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68054D" w14:textId="77777777" w:rsidR="00D91E1B" w:rsidRDefault="00D91E1B" w:rsidP="00D91E1B">
      <w:pPr>
        <w:pStyle w:val="Portada1"/>
      </w:pPr>
      <w:r>
        <w:t>TRIBUNAL CONSTITUCIONAL</w:t>
      </w:r>
    </w:p>
    <w:p w14:paraId="2FCDE8A3" w14:textId="3328C05A" w:rsidR="008D479B" w:rsidRDefault="008D479B" w:rsidP="00D91E1B">
      <w:pPr>
        <w:pStyle w:val="Portada1"/>
      </w:pPr>
    </w:p>
    <w:p w14:paraId="09D4E81A" w14:textId="77777777" w:rsidR="00D91E1B" w:rsidRDefault="00D91E1B" w:rsidP="00D91E1B">
      <w:pPr>
        <w:pStyle w:val="Portada2"/>
      </w:pPr>
      <w:r>
        <w:t>SECRETARÍA GENERAL</w:t>
      </w:r>
    </w:p>
    <w:p w14:paraId="1C7E54AE" w14:textId="3583515B" w:rsidR="00D91E1B" w:rsidRDefault="00D91E1B" w:rsidP="00D91E1B">
      <w:pPr>
        <w:pStyle w:val="Portada2"/>
      </w:pPr>
    </w:p>
    <w:p w14:paraId="68AF1315" w14:textId="77777777" w:rsidR="00D91E1B" w:rsidRDefault="00D91E1B" w:rsidP="00D91E1B">
      <w:pPr>
        <w:pStyle w:val="Portada2"/>
      </w:pPr>
    </w:p>
    <w:p w14:paraId="71EE9C9D" w14:textId="77777777" w:rsidR="00D91E1B" w:rsidRDefault="00D91E1B" w:rsidP="00D91E1B">
      <w:pPr>
        <w:pStyle w:val="Portada2"/>
      </w:pPr>
    </w:p>
    <w:p w14:paraId="6234BC26" w14:textId="77777777" w:rsidR="00D91E1B" w:rsidRDefault="00D91E1B" w:rsidP="00D91E1B">
      <w:pPr>
        <w:pStyle w:val="Portada2"/>
      </w:pPr>
    </w:p>
    <w:p w14:paraId="011936B6" w14:textId="77777777" w:rsidR="00D91E1B" w:rsidRDefault="00D91E1B" w:rsidP="00D91E1B">
      <w:pPr>
        <w:pStyle w:val="Portada2"/>
      </w:pPr>
    </w:p>
    <w:p w14:paraId="29FDE2C4" w14:textId="77777777" w:rsidR="00D91E1B" w:rsidRDefault="00D91E1B" w:rsidP="00D91E1B">
      <w:pPr>
        <w:pStyle w:val="Portada2"/>
      </w:pPr>
    </w:p>
    <w:p w14:paraId="41FAB677" w14:textId="77777777" w:rsidR="00D91E1B" w:rsidRDefault="00D91E1B" w:rsidP="00D91E1B">
      <w:pPr>
        <w:pStyle w:val="Portada2"/>
      </w:pPr>
    </w:p>
    <w:p w14:paraId="31FBCD82" w14:textId="77777777" w:rsidR="00D91E1B" w:rsidRDefault="00D91E1B" w:rsidP="00D91E1B">
      <w:pPr>
        <w:pStyle w:val="Portada2"/>
      </w:pPr>
    </w:p>
    <w:p w14:paraId="53007192" w14:textId="77777777" w:rsidR="00D91E1B" w:rsidRDefault="00D91E1B" w:rsidP="00D91E1B">
      <w:pPr>
        <w:pStyle w:val="PortadaPrincipal"/>
      </w:pPr>
      <w:r>
        <w:t>JURISPRUDENCIA</w:t>
      </w:r>
    </w:p>
    <w:p w14:paraId="6B44270D" w14:textId="77777777" w:rsidR="00D91E1B" w:rsidRDefault="00D91E1B" w:rsidP="00D91E1B">
      <w:pPr>
        <w:pStyle w:val="PortadaPrincipal"/>
      </w:pPr>
      <w:r>
        <w:t>CONSTITUCIONAL</w:t>
      </w:r>
    </w:p>
    <w:p w14:paraId="6DBA8290" w14:textId="272FAE73" w:rsidR="00D91E1B" w:rsidRDefault="00D91E1B" w:rsidP="00D91E1B">
      <w:pPr>
        <w:pStyle w:val="PortadaPrincipal"/>
      </w:pPr>
    </w:p>
    <w:p w14:paraId="41B82E0A" w14:textId="77777777" w:rsidR="00D91E1B" w:rsidRPr="00D91E1B" w:rsidRDefault="00D91E1B" w:rsidP="00D91E1B">
      <w:pPr>
        <w:pStyle w:val="Portada1"/>
        <w:rPr>
          <w:b/>
        </w:rPr>
      </w:pPr>
      <w:r w:rsidRPr="00D91E1B">
        <w:rPr>
          <w:b/>
        </w:rPr>
        <w:t>TOMO CENTÉSIMO DÉCIMO TERCERO</w:t>
      </w:r>
    </w:p>
    <w:p w14:paraId="7E15693C" w14:textId="77777777" w:rsidR="00D91E1B" w:rsidRPr="00D91E1B" w:rsidRDefault="00D91E1B" w:rsidP="00D91E1B">
      <w:pPr>
        <w:pStyle w:val="Portada1"/>
        <w:rPr>
          <w:b/>
        </w:rPr>
      </w:pPr>
      <w:r w:rsidRPr="00D91E1B">
        <w:rPr>
          <w:b/>
        </w:rPr>
        <w:t>(julio - diciembre 2023)</w:t>
      </w:r>
    </w:p>
    <w:p w14:paraId="74CD15C2" w14:textId="7AC8A2AB" w:rsidR="00D91E1B" w:rsidRDefault="00D91E1B" w:rsidP="00D91E1B">
      <w:pPr>
        <w:pStyle w:val="Portada1"/>
      </w:pPr>
    </w:p>
    <w:p w14:paraId="5C3A6FEA" w14:textId="77777777" w:rsidR="00D91E1B" w:rsidRDefault="00D91E1B" w:rsidP="00D91E1B">
      <w:pPr>
        <w:pStyle w:val="Portada1"/>
      </w:pPr>
    </w:p>
    <w:p w14:paraId="7A477B6B" w14:textId="77777777" w:rsidR="00D91E1B" w:rsidRDefault="00D91E1B" w:rsidP="00D91E1B">
      <w:pPr>
        <w:pStyle w:val="Portada1"/>
      </w:pPr>
    </w:p>
    <w:p w14:paraId="50FA6169" w14:textId="3CFC0059" w:rsidR="00D91E1B" w:rsidRDefault="00D91E1B" w:rsidP="00D91E1B">
      <w:pPr>
        <w:pStyle w:val="Portada1"/>
      </w:pPr>
      <w:r>
        <w:rPr>
          <w:noProof/>
          <w14:ligatures w14:val="standardContextual"/>
        </w:rPr>
        <w:drawing>
          <wp:inline distT="0" distB="0" distL="0" distR="0" wp14:anchorId="2AA62A54" wp14:editId="73BAF07E">
            <wp:extent cx="1047896" cy="1047896"/>
            <wp:effectExtent l="0" t="0" r="0" b="0"/>
            <wp:docPr id="954852438" name="Imagen 1"/>
            <wp:cNvGraphicFramePr/>
            <a:graphic xmlns:a="http://schemas.openxmlformats.org/drawingml/2006/main">
              <a:graphicData uri="http://schemas.openxmlformats.org/drawingml/2006/picture">
                <pic:pic xmlns:pic="http://schemas.openxmlformats.org/drawingml/2006/picture">
                  <pic:nvPicPr>
                    <pic:cNvPr id="954852438" name=""/>
                    <pic:cNvPicPr/>
                  </pic:nvPicPr>
                  <pic:blipFill>
                    <a:blip r:embed="rId7">
                      <a:extLst>
                        <a:ext uri="{28A0092B-C50C-407E-A947-70E740481C1C}">
                          <a14:useLocalDpi xmlns:a14="http://schemas.microsoft.com/office/drawing/2010/main" val="0"/>
                        </a:ext>
                      </a:extLst>
                    </a:blip>
                    <a:stretch>
                      <a:fillRect/>
                    </a:stretch>
                  </pic:blipFill>
                  <pic:spPr>
                    <a:xfrm>
                      <a:off x="0" y="0"/>
                      <a:ext cx="1047896" cy="1047896"/>
                    </a:xfrm>
                    <a:prstGeom prst="rect">
                      <a:avLst/>
                    </a:prstGeom>
                  </pic:spPr>
                </pic:pic>
              </a:graphicData>
            </a:graphic>
          </wp:inline>
        </w:drawing>
      </w:r>
    </w:p>
    <w:p w14:paraId="00057DCD" w14:textId="77777777" w:rsidR="00D91E1B" w:rsidRDefault="00D91E1B" w:rsidP="00D91E1B">
      <w:pPr>
        <w:pStyle w:val="Portada1"/>
      </w:pPr>
    </w:p>
    <w:p w14:paraId="3F54ACC1" w14:textId="77777777" w:rsidR="00D91E1B" w:rsidRDefault="00D91E1B" w:rsidP="00D91E1B">
      <w:pPr>
        <w:pStyle w:val="Portada1"/>
      </w:pPr>
    </w:p>
    <w:p w14:paraId="20322C05" w14:textId="77777777" w:rsidR="00D91E1B" w:rsidRDefault="00D91E1B" w:rsidP="00D91E1B">
      <w:pPr>
        <w:pStyle w:val="Portada1"/>
      </w:pPr>
    </w:p>
    <w:p w14:paraId="138E8630" w14:textId="77777777" w:rsidR="00D91E1B" w:rsidRDefault="00D91E1B" w:rsidP="00D91E1B">
      <w:pPr>
        <w:pStyle w:val="Portada1"/>
      </w:pPr>
    </w:p>
    <w:p w14:paraId="7627A95F" w14:textId="77777777" w:rsidR="00D91E1B" w:rsidRDefault="00D91E1B" w:rsidP="00D91E1B">
      <w:pPr>
        <w:pStyle w:val="Portada1"/>
      </w:pPr>
    </w:p>
    <w:p w14:paraId="61E18758" w14:textId="77777777" w:rsidR="00D91E1B" w:rsidRDefault="00D91E1B" w:rsidP="00D91E1B">
      <w:pPr>
        <w:pStyle w:val="Portada2"/>
      </w:pPr>
      <w:r>
        <w:t>MADRID 2023</w:t>
      </w:r>
    </w:p>
    <w:p w14:paraId="22062111" w14:textId="1C7DD5ED" w:rsidR="007309D3" w:rsidRDefault="007309D3">
      <w:pPr>
        <w:spacing w:after="160" w:line="278" w:lineRule="auto"/>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br w:type="page"/>
      </w:r>
    </w:p>
    <w:p w14:paraId="10B204EB" w14:textId="77777777" w:rsidR="007309D3" w:rsidRDefault="007309D3" w:rsidP="007309D3">
      <w:pPr>
        <w:pStyle w:val="CabeceraApartadoDerecha"/>
      </w:pPr>
      <w:r>
        <w:lastRenderedPageBreak/>
        <w:t>CONTENIDO</w:t>
      </w:r>
    </w:p>
    <w:p w14:paraId="11056F86" w14:textId="49A316E4" w:rsidR="008D479B" w:rsidRDefault="008D479B" w:rsidP="007309D3">
      <w:pPr>
        <w:pStyle w:val="CabeceraApartadoDerecha"/>
      </w:pPr>
    </w:p>
    <w:p w14:paraId="02A5BF95" w14:textId="3E049B28" w:rsidR="007309D3" w:rsidRDefault="007309D3" w:rsidP="007309D3">
      <w:pPr>
        <w:pStyle w:val="EntradandiceSumario"/>
        <w:keepNext w:val="0"/>
      </w:pPr>
      <w:r>
        <w:t>1. SENTENCIAS: STC 78/2023 A STC 190/2023</w:t>
      </w:r>
      <w:r>
        <w:tab/>
      </w:r>
      <w:r>
        <w:tab/>
      </w:r>
      <w:r>
        <w:fldChar w:fldCharType="begin"/>
      </w:r>
      <w:r>
        <w:instrText xml:space="preserve"> PAGEREF SUMARIOSENTENCIAS \h </w:instrText>
      </w:r>
      <w:r>
        <w:fldChar w:fldCharType="separate"/>
      </w:r>
      <w:r w:rsidR="00C73693">
        <w:rPr>
          <w:noProof/>
        </w:rPr>
        <w:t>3</w:t>
      </w:r>
      <w:r>
        <w:fldChar w:fldCharType="end"/>
      </w:r>
    </w:p>
    <w:p w14:paraId="5A74865F" w14:textId="4353D882" w:rsidR="007309D3" w:rsidRDefault="007309D3" w:rsidP="007309D3">
      <w:pPr>
        <w:pStyle w:val="EntradandiceSumario"/>
        <w:keepNext w:val="0"/>
      </w:pPr>
    </w:p>
    <w:p w14:paraId="2469B119" w14:textId="7BC52586" w:rsidR="007309D3" w:rsidRDefault="007309D3" w:rsidP="007309D3">
      <w:pPr>
        <w:pStyle w:val="EntradandiceSumario"/>
        <w:keepNext w:val="0"/>
      </w:pPr>
      <w:bookmarkStart w:id="0" w:name="SUMARIOSINDICES"/>
      <w:r>
        <w:t>2. AUTOS: ATC 331/2023 A ATC 689/2023</w:t>
      </w:r>
      <w:r>
        <w:tab/>
      </w:r>
      <w:r>
        <w:tab/>
      </w:r>
      <w:r>
        <w:fldChar w:fldCharType="begin"/>
      </w:r>
      <w:r>
        <w:instrText xml:space="preserve"> PAGEREF SUMARIOSAUTOS \h </w:instrText>
      </w:r>
      <w:r>
        <w:fldChar w:fldCharType="separate"/>
      </w:r>
      <w:r w:rsidR="00C73693">
        <w:rPr>
          <w:noProof/>
        </w:rPr>
        <w:t>25</w:t>
      </w:r>
      <w:r>
        <w:fldChar w:fldCharType="end"/>
      </w:r>
    </w:p>
    <w:bookmarkEnd w:id="0"/>
    <w:p w14:paraId="1C2D9A75" w14:textId="1C8B3B2B" w:rsidR="007309D3" w:rsidRDefault="007309D3" w:rsidP="007309D3">
      <w:pPr>
        <w:pStyle w:val="EntradandiceSumario"/>
        <w:keepNext w:val="0"/>
      </w:pPr>
    </w:p>
    <w:p w14:paraId="6FD24A76" w14:textId="77777777" w:rsidR="007309D3" w:rsidRDefault="007309D3" w:rsidP="007309D3">
      <w:pPr>
        <w:pStyle w:val="EntradandiceSumario"/>
        <w:keepNext w:val="0"/>
      </w:pPr>
      <w:r>
        <w:t>3. ÍNDICE DE DISPOSICIONES CON FUERZA DE LEY IMPUGNADAS:</w:t>
      </w:r>
    </w:p>
    <w:p w14:paraId="41E1D9E9" w14:textId="107190F2" w:rsidR="007309D3" w:rsidRDefault="007309D3" w:rsidP="007309D3">
      <w:pPr>
        <w:pStyle w:val="EntradandiceSumario"/>
        <w:keepNext w:val="0"/>
      </w:pPr>
    </w:p>
    <w:p w14:paraId="02459B3C" w14:textId="57A67834" w:rsidR="007309D3" w:rsidRDefault="007309D3" w:rsidP="007309D3">
      <w:pPr>
        <w:pStyle w:val="EntradandiceSumarioNivel2"/>
        <w:keepNext w:val="0"/>
      </w:pPr>
      <w:r>
        <w:t>A) Disposiciones con fuerza de ley del Estado</w:t>
      </w:r>
      <w:r>
        <w:tab/>
      </w:r>
      <w:r>
        <w:tab/>
      </w:r>
      <w:r>
        <w:fldChar w:fldCharType="begin"/>
      </w:r>
      <w:r>
        <w:instrText xml:space="preserve"> PAGEREF INDICE22802 \h </w:instrText>
      </w:r>
      <w:r>
        <w:fldChar w:fldCharType="separate"/>
      </w:r>
      <w:r w:rsidR="00C73693">
        <w:rPr>
          <w:noProof/>
        </w:rPr>
        <w:t>3036</w:t>
      </w:r>
      <w:r>
        <w:fldChar w:fldCharType="end"/>
      </w:r>
    </w:p>
    <w:p w14:paraId="1765D882" w14:textId="42526359" w:rsidR="007309D3" w:rsidRDefault="007309D3" w:rsidP="007309D3">
      <w:pPr>
        <w:pStyle w:val="EntradandiceSumarioNivel2"/>
        <w:keepNext w:val="0"/>
      </w:pPr>
      <w:r>
        <w:t>B) Disposiciones con fuerza de ley de las Comunidades Autónomas</w:t>
      </w:r>
      <w:r>
        <w:tab/>
      </w:r>
      <w:r>
        <w:tab/>
      </w:r>
      <w:r>
        <w:fldChar w:fldCharType="begin"/>
      </w:r>
      <w:r>
        <w:instrText xml:space="preserve"> PAGEREF INDICE22806 \h </w:instrText>
      </w:r>
      <w:r>
        <w:fldChar w:fldCharType="separate"/>
      </w:r>
      <w:r w:rsidR="00C73693">
        <w:rPr>
          <w:noProof/>
        </w:rPr>
        <w:t>3038</w:t>
      </w:r>
      <w:r>
        <w:fldChar w:fldCharType="end"/>
      </w:r>
    </w:p>
    <w:p w14:paraId="21E92F3F" w14:textId="77777777" w:rsidR="007309D3" w:rsidRDefault="007309D3" w:rsidP="007309D3"/>
    <w:p w14:paraId="7DDC5DCE" w14:textId="77777777" w:rsidR="007309D3" w:rsidRDefault="007309D3" w:rsidP="007309D3">
      <w:pPr>
        <w:pStyle w:val="EntradandiceSumario"/>
        <w:keepNext w:val="0"/>
      </w:pPr>
      <w:r>
        <w:t>4. ÍNDICE DE DISPOSICIONES GENERALES Y RESOLUCIONES IMPUGNADAS:</w:t>
      </w:r>
    </w:p>
    <w:p w14:paraId="5E4D0E92" w14:textId="4D34CE54" w:rsidR="007309D3" w:rsidRDefault="007309D3" w:rsidP="007309D3">
      <w:pPr>
        <w:pStyle w:val="EntradandiceSumario"/>
        <w:keepNext w:val="0"/>
      </w:pPr>
    </w:p>
    <w:p w14:paraId="0B461861" w14:textId="183023A9" w:rsidR="007309D3" w:rsidRDefault="007309D3" w:rsidP="007309D3">
      <w:pPr>
        <w:pStyle w:val="EntradandiceSumarioNivel2"/>
        <w:keepNext w:val="0"/>
      </w:pPr>
      <w:r>
        <w:t>A) Disposiciones del Estado</w:t>
      </w:r>
      <w:r>
        <w:tab/>
      </w:r>
      <w:r>
        <w:tab/>
      </w:r>
      <w:r>
        <w:fldChar w:fldCharType="begin"/>
      </w:r>
      <w:r>
        <w:instrText xml:space="preserve"> PAGEREF INDICE22803 \h </w:instrText>
      </w:r>
      <w:r>
        <w:fldChar w:fldCharType="separate"/>
      </w:r>
      <w:r w:rsidR="00C73693">
        <w:rPr>
          <w:noProof/>
        </w:rPr>
        <w:t>3041</w:t>
      </w:r>
      <w:r>
        <w:fldChar w:fldCharType="end"/>
      </w:r>
    </w:p>
    <w:p w14:paraId="049A9CF5" w14:textId="441FC7AE" w:rsidR="007309D3" w:rsidRDefault="007309D3" w:rsidP="007309D3">
      <w:pPr>
        <w:pStyle w:val="EntradandiceSumarioNivel2"/>
        <w:keepNext w:val="0"/>
      </w:pPr>
      <w:r>
        <w:t>B) Disposiciones de las Comunidades y Ciudades Autónomas</w:t>
      </w:r>
      <w:r>
        <w:tab/>
      </w:r>
      <w:r>
        <w:tab/>
      </w:r>
      <w:r>
        <w:fldChar w:fldCharType="begin"/>
      </w:r>
      <w:r>
        <w:instrText xml:space="preserve"> PAGEREF INDICE22824 \h </w:instrText>
      </w:r>
      <w:r>
        <w:fldChar w:fldCharType="separate"/>
      </w:r>
      <w:r w:rsidR="00C73693">
        <w:rPr>
          <w:noProof/>
        </w:rPr>
        <w:t>3043</w:t>
      </w:r>
      <w:r>
        <w:fldChar w:fldCharType="end"/>
      </w:r>
    </w:p>
    <w:p w14:paraId="479F6411" w14:textId="2BA0D800" w:rsidR="007309D3" w:rsidRDefault="007309D3" w:rsidP="007309D3">
      <w:pPr>
        <w:pStyle w:val="EntradandiceSumarioNivel2"/>
        <w:keepNext w:val="0"/>
      </w:pPr>
      <w:r>
        <w:t>C) Disposiciones de territorios históricos y corporaciones locales</w:t>
      </w:r>
      <w:r>
        <w:tab/>
      </w:r>
      <w:r>
        <w:tab/>
      </w:r>
      <w:r>
        <w:fldChar w:fldCharType="begin"/>
      </w:r>
      <w:r>
        <w:instrText xml:space="preserve"> PAGEREF INDICE22825 \h </w:instrText>
      </w:r>
      <w:r>
        <w:fldChar w:fldCharType="separate"/>
      </w:r>
      <w:r w:rsidR="00C73693">
        <w:rPr>
          <w:noProof/>
        </w:rPr>
        <w:t>3046</w:t>
      </w:r>
      <w:r>
        <w:fldChar w:fldCharType="end"/>
      </w:r>
    </w:p>
    <w:p w14:paraId="08492C8A" w14:textId="77777777" w:rsidR="007309D3" w:rsidRDefault="007309D3" w:rsidP="007309D3"/>
    <w:p w14:paraId="452EEA7A" w14:textId="77777777" w:rsidR="007309D3" w:rsidRDefault="007309D3" w:rsidP="007309D3">
      <w:pPr>
        <w:pStyle w:val="EntradandiceSumario"/>
        <w:keepNext w:val="0"/>
      </w:pPr>
      <w:r>
        <w:t>5. ÍNDICE DE DISPOSICIONES CITADAS:</w:t>
      </w:r>
    </w:p>
    <w:p w14:paraId="154EE505" w14:textId="0EB4B275" w:rsidR="007309D3" w:rsidRDefault="007309D3" w:rsidP="007309D3">
      <w:pPr>
        <w:pStyle w:val="EntradandiceSumario"/>
        <w:keepNext w:val="0"/>
      </w:pPr>
    </w:p>
    <w:p w14:paraId="4CB887C1" w14:textId="7BFE22BF" w:rsidR="007309D3" w:rsidRDefault="007309D3" w:rsidP="007309D3">
      <w:pPr>
        <w:pStyle w:val="EntradandiceSumarioNivel2"/>
        <w:keepNext w:val="0"/>
      </w:pPr>
      <w:r>
        <w:t>A) Constitución</w:t>
      </w:r>
      <w:r>
        <w:tab/>
      </w:r>
      <w:r>
        <w:tab/>
      </w:r>
      <w:r>
        <w:fldChar w:fldCharType="begin"/>
      </w:r>
      <w:r>
        <w:instrText xml:space="preserve"> PAGEREF INDICE22804 \h </w:instrText>
      </w:r>
      <w:r>
        <w:fldChar w:fldCharType="separate"/>
      </w:r>
      <w:r w:rsidR="00C73693">
        <w:rPr>
          <w:noProof/>
        </w:rPr>
        <w:t>3048</w:t>
      </w:r>
      <w:r>
        <w:fldChar w:fldCharType="end"/>
      </w:r>
    </w:p>
    <w:p w14:paraId="272CE441" w14:textId="7BB047EE" w:rsidR="007309D3" w:rsidRDefault="007309D3" w:rsidP="007309D3">
      <w:pPr>
        <w:pStyle w:val="EntradandiceSumarioNivel2"/>
        <w:keepNext w:val="0"/>
      </w:pPr>
      <w:r>
        <w:t>B) Tribunal Constitucional</w:t>
      </w:r>
      <w:r>
        <w:tab/>
      </w:r>
      <w:r>
        <w:tab/>
      </w:r>
      <w:r>
        <w:fldChar w:fldCharType="begin"/>
      </w:r>
      <w:r>
        <w:instrText xml:space="preserve"> PAGEREF INDICE22843 \h </w:instrText>
      </w:r>
      <w:r>
        <w:fldChar w:fldCharType="separate"/>
      </w:r>
      <w:r w:rsidR="00C73693">
        <w:rPr>
          <w:noProof/>
        </w:rPr>
        <w:t>3055</w:t>
      </w:r>
      <w:r>
        <w:fldChar w:fldCharType="end"/>
      </w:r>
    </w:p>
    <w:p w14:paraId="1CF62D5F" w14:textId="70082ABF" w:rsidR="007309D3" w:rsidRDefault="007309D3" w:rsidP="007309D3">
      <w:pPr>
        <w:pStyle w:val="EntradandiceSumarioNivel2"/>
        <w:keepNext w:val="0"/>
      </w:pPr>
      <w:r>
        <w:t>C) Cortes Generales</w:t>
      </w:r>
      <w:r>
        <w:tab/>
      </w:r>
      <w:r>
        <w:tab/>
      </w:r>
      <w:r>
        <w:fldChar w:fldCharType="begin"/>
      </w:r>
      <w:r>
        <w:instrText xml:space="preserve"> PAGEREF INDICE22844 \h </w:instrText>
      </w:r>
      <w:r>
        <w:fldChar w:fldCharType="separate"/>
      </w:r>
      <w:r w:rsidR="00C73693">
        <w:rPr>
          <w:noProof/>
        </w:rPr>
        <w:t>3061</w:t>
      </w:r>
      <w:r>
        <w:fldChar w:fldCharType="end"/>
      </w:r>
    </w:p>
    <w:p w14:paraId="35CC294C" w14:textId="77EE6AB4" w:rsidR="007309D3" w:rsidRDefault="007309D3" w:rsidP="007309D3">
      <w:pPr>
        <w:pStyle w:val="EntradandiceSumarioNivel2"/>
        <w:keepNext w:val="0"/>
      </w:pPr>
      <w:r>
        <w:t>D) Leyes Orgánicas</w:t>
      </w:r>
      <w:r>
        <w:tab/>
      </w:r>
      <w:r>
        <w:tab/>
      </w:r>
      <w:r>
        <w:fldChar w:fldCharType="begin"/>
      </w:r>
      <w:r>
        <w:instrText xml:space="preserve"> PAGEREF INDICE22845 \h </w:instrText>
      </w:r>
      <w:r>
        <w:fldChar w:fldCharType="separate"/>
      </w:r>
      <w:r w:rsidR="00C73693">
        <w:rPr>
          <w:noProof/>
        </w:rPr>
        <w:t>3063</w:t>
      </w:r>
      <w:r>
        <w:fldChar w:fldCharType="end"/>
      </w:r>
    </w:p>
    <w:p w14:paraId="404BFBB1" w14:textId="2AEFF51B" w:rsidR="007309D3" w:rsidRDefault="007309D3" w:rsidP="007309D3">
      <w:pPr>
        <w:pStyle w:val="EntradandiceSumarioNivel2"/>
        <w:keepNext w:val="0"/>
      </w:pPr>
      <w:r>
        <w:t>E) Leyes de las Cortes Generales</w:t>
      </w:r>
      <w:r>
        <w:tab/>
      </w:r>
      <w:r>
        <w:tab/>
      </w:r>
      <w:r>
        <w:fldChar w:fldCharType="begin"/>
      </w:r>
      <w:r>
        <w:instrText xml:space="preserve"> PAGEREF INDICE22846 \h </w:instrText>
      </w:r>
      <w:r>
        <w:fldChar w:fldCharType="separate"/>
      </w:r>
      <w:r w:rsidR="00C73693">
        <w:rPr>
          <w:noProof/>
        </w:rPr>
        <w:t>3076</w:t>
      </w:r>
      <w:r>
        <w:fldChar w:fldCharType="end"/>
      </w:r>
    </w:p>
    <w:p w14:paraId="49300606" w14:textId="16F794E0" w:rsidR="007309D3" w:rsidRDefault="007309D3" w:rsidP="007309D3">
      <w:pPr>
        <w:pStyle w:val="EntradandiceSumarioNivel2"/>
        <w:keepNext w:val="0"/>
      </w:pPr>
      <w:r>
        <w:t>F) Reales Decretos Legislativos</w:t>
      </w:r>
      <w:r>
        <w:tab/>
      </w:r>
      <w:r>
        <w:tab/>
      </w:r>
      <w:r>
        <w:fldChar w:fldCharType="begin"/>
      </w:r>
      <w:r>
        <w:instrText xml:space="preserve"> PAGEREF INDICE22847 \h </w:instrText>
      </w:r>
      <w:r>
        <w:fldChar w:fldCharType="separate"/>
      </w:r>
      <w:r w:rsidR="00C73693">
        <w:rPr>
          <w:noProof/>
        </w:rPr>
        <w:t>3086</w:t>
      </w:r>
      <w:r>
        <w:fldChar w:fldCharType="end"/>
      </w:r>
    </w:p>
    <w:p w14:paraId="209B58C1" w14:textId="154B49EA" w:rsidR="007309D3" w:rsidRDefault="007309D3" w:rsidP="007309D3">
      <w:pPr>
        <w:pStyle w:val="EntradandiceSumarioNivel2"/>
        <w:keepNext w:val="0"/>
      </w:pPr>
      <w:r>
        <w:t>G) Reales Decretos-leyes</w:t>
      </w:r>
      <w:r>
        <w:tab/>
      </w:r>
      <w:r>
        <w:tab/>
      </w:r>
      <w:r>
        <w:fldChar w:fldCharType="begin"/>
      </w:r>
      <w:r>
        <w:instrText xml:space="preserve"> PAGEREF INDICE22848 \h </w:instrText>
      </w:r>
      <w:r>
        <w:fldChar w:fldCharType="separate"/>
      </w:r>
      <w:r w:rsidR="00C73693">
        <w:rPr>
          <w:noProof/>
        </w:rPr>
        <w:t>3088</w:t>
      </w:r>
      <w:r>
        <w:fldChar w:fldCharType="end"/>
      </w:r>
    </w:p>
    <w:p w14:paraId="1A0D67A6" w14:textId="57987FF3" w:rsidR="007309D3" w:rsidRDefault="007309D3" w:rsidP="007309D3">
      <w:pPr>
        <w:pStyle w:val="EntradandiceSumarioNivel2"/>
        <w:keepNext w:val="0"/>
      </w:pPr>
      <w:r>
        <w:t>H) Reales Decretos y otras disposiciones generales del Estado</w:t>
      </w:r>
      <w:r>
        <w:tab/>
      </w:r>
      <w:r>
        <w:tab/>
      </w:r>
      <w:r>
        <w:fldChar w:fldCharType="begin"/>
      </w:r>
      <w:r>
        <w:instrText xml:space="preserve"> PAGEREF INDICE22849 \h </w:instrText>
      </w:r>
      <w:r>
        <w:fldChar w:fldCharType="separate"/>
      </w:r>
      <w:r w:rsidR="00C73693">
        <w:rPr>
          <w:noProof/>
        </w:rPr>
        <w:t>3089</w:t>
      </w:r>
      <w:r>
        <w:fldChar w:fldCharType="end"/>
      </w:r>
    </w:p>
    <w:p w14:paraId="4CA9CF5E" w14:textId="6AC70D79" w:rsidR="007309D3" w:rsidRDefault="007309D3" w:rsidP="007309D3">
      <w:pPr>
        <w:pStyle w:val="EntradandiceSumarioNivel2"/>
        <w:keepNext w:val="0"/>
      </w:pPr>
      <w:r>
        <w:t>I) Legislación preconstitucional</w:t>
      </w:r>
      <w:r>
        <w:tab/>
      </w:r>
      <w:r>
        <w:tab/>
      </w:r>
      <w:r>
        <w:fldChar w:fldCharType="begin"/>
      </w:r>
      <w:r>
        <w:instrText xml:space="preserve"> PAGEREF INDICE22850 \h </w:instrText>
      </w:r>
      <w:r>
        <w:fldChar w:fldCharType="separate"/>
      </w:r>
      <w:r w:rsidR="00C73693">
        <w:rPr>
          <w:noProof/>
        </w:rPr>
        <w:t>3094</w:t>
      </w:r>
      <w:r>
        <w:fldChar w:fldCharType="end"/>
      </w:r>
    </w:p>
    <w:p w14:paraId="0FA1A870" w14:textId="0E2BD571" w:rsidR="007309D3" w:rsidRDefault="007309D3" w:rsidP="007309D3">
      <w:pPr>
        <w:pStyle w:val="EntradandiceSumarioNivel2"/>
        <w:keepNext w:val="0"/>
      </w:pPr>
      <w:r>
        <w:t>J) Comunidades y Ciudades Autónomas</w:t>
      </w:r>
      <w:r>
        <w:tab/>
      </w:r>
      <w:r>
        <w:tab/>
      </w:r>
      <w:r>
        <w:fldChar w:fldCharType="begin"/>
      </w:r>
      <w:r>
        <w:instrText xml:space="preserve"> PAGEREF INDICE22851 \h </w:instrText>
      </w:r>
      <w:r>
        <w:fldChar w:fldCharType="separate"/>
      </w:r>
      <w:r w:rsidR="00C73693">
        <w:rPr>
          <w:noProof/>
        </w:rPr>
        <w:t>3096</w:t>
      </w:r>
      <w:r>
        <w:fldChar w:fldCharType="end"/>
      </w:r>
    </w:p>
    <w:p w14:paraId="1CFDA210" w14:textId="4290A43B" w:rsidR="007309D3" w:rsidRDefault="007309D3" w:rsidP="007309D3">
      <w:pPr>
        <w:pStyle w:val="EntradandiceSumarioNivel2"/>
        <w:keepNext w:val="0"/>
      </w:pPr>
      <w:r>
        <w:t>K) Territorios históricos y corporaciones locales</w:t>
      </w:r>
      <w:r>
        <w:tab/>
      </w:r>
      <w:r>
        <w:tab/>
      </w:r>
      <w:r>
        <w:fldChar w:fldCharType="begin"/>
      </w:r>
      <w:r>
        <w:instrText xml:space="preserve"> PAGEREF INDICE22869 \h </w:instrText>
      </w:r>
      <w:r>
        <w:fldChar w:fldCharType="separate"/>
      </w:r>
      <w:r w:rsidR="00C73693">
        <w:rPr>
          <w:noProof/>
        </w:rPr>
        <w:t>3111</w:t>
      </w:r>
      <w:r>
        <w:fldChar w:fldCharType="end"/>
      </w:r>
    </w:p>
    <w:p w14:paraId="6141962E" w14:textId="154A846E" w:rsidR="007309D3" w:rsidRDefault="007309D3" w:rsidP="007309D3">
      <w:pPr>
        <w:pStyle w:val="EntradandiceSumarioNivel2"/>
        <w:keepNext w:val="0"/>
      </w:pPr>
      <w:r>
        <w:t>L) Tratados y acuerdos internacionales</w:t>
      </w:r>
      <w:r>
        <w:tab/>
      </w:r>
      <w:r>
        <w:tab/>
      </w:r>
      <w:r>
        <w:fldChar w:fldCharType="begin"/>
      </w:r>
      <w:r>
        <w:instrText xml:space="preserve"> PAGEREF INDICE22870 \h </w:instrText>
      </w:r>
      <w:r>
        <w:fldChar w:fldCharType="separate"/>
      </w:r>
      <w:r w:rsidR="00C73693">
        <w:rPr>
          <w:noProof/>
        </w:rPr>
        <w:t>3112</w:t>
      </w:r>
      <w:r>
        <w:fldChar w:fldCharType="end"/>
      </w:r>
    </w:p>
    <w:p w14:paraId="1D29B9BE" w14:textId="00A7515D" w:rsidR="007309D3" w:rsidRDefault="007309D3" w:rsidP="007309D3">
      <w:pPr>
        <w:pStyle w:val="EntradandiceSumarioNivel2"/>
        <w:keepNext w:val="0"/>
      </w:pPr>
      <w:r>
        <w:t>M) Unión Europea</w:t>
      </w:r>
      <w:r>
        <w:tab/>
      </w:r>
      <w:r>
        <w:tab/>
      </w:r>
      <w:r>
        <w:fldChar w:fldCharType="begin"/>
      </w:r>
      <w:r>
        <w:instrText xml:space="preserve"> PAGEREF INDICE22871 \h </w:instrText>
      </w:r>
      <w:r>
        <w:fldChar w:fldCharType="separate"/>
      </w:r>
      <w:r w:rsidR="00C73693">
        <w:rPr>
          <w:noProof/>
        </w:rPr>
        <w:t>3113</w:t>
      </w:r>
      <w:r>
        <w:fldChar w:fldCharType="end"/>
      </w:r>
    </w:p>
    <w:p w14:paraId="13EC30D4" w14:textId="61106CCA" w:rsidR="007309D3" w:rsidRDefault="007309D3" w:rsidP="007309D3">
      <w:pPr>
        <w:pStyle w:val="EntradandiceSumarioNivel2"/>
        <w:keepNext w:val="0"/>
      </w:pPr>
      <w:r>
        <w:t>N) Consejo de Europa</w:t>
      </w:r>
      <w:r>
        <w:tab/>
      </w:r>
      <w:r>
        <w:tab/>
      </w:r>
      <w:r>
        <w:fldChar w:fldCharType="begin"/>
      </w:r>
      <w:r>
        <w:instrText xml:space="preserve"> PAGEREF INDICE27994 \h </w:instrText>
      </w:r>
      <w:r>
        <w:fldChar w:fldCharType="separate"/>
      </w:r>
      <w:r w:rsidR="00C73693">
        <w:rPr>
          <w:noProof/>
        </w:rPr>
        <w:t>3117</w:t>
      </w:r>
      <w:r>
        <w:fldChar w:fldCharType="end"/>
      </w:r>
    </w:p>
    <w:p w14:paraId="16D65029" w14:textId="49973FE1" w:rsidR="007309D3" w:rsidRDefault="007309D3" w:rsidP="007309D3">
      <w:pPr>
        <w:pStyle w:val="EntradandiceSumarioNivel2"/>
        <w:keepNext w:val="0"/>
      </w:pPr>
      <w:r>
        <w:t>Ñ) Legislación extranjera</w:t>
      </w:r>
      <w:r>
        <w:tab/>
      </w:r>
      <w:r>
        <w:tab/>
      </w:r>
      <w:r>
        <w:fldChar w:fldCharType="begin"/>
      </w:r>
      <w:r>
        <w:instrText xml:space="preserve"> PAGEREF INDICE22872 \h </w:instrText>
      </w:r>
      <w:r>
        <w:fldChar w:fldCharType="separate"/>
      </w:r>
      <w:r w:rsidR="00C73693">
        <w:rPr>
          <w:noProof/>
        </w:rPr>
        <w:t>3118</w:t>
      </w:r>
      <w:r>
        <w:fldChar w:fldCharType="end"/>
      </w:r>
    </w:p>
    <w:p w14:paraId="768131EA" w14:textId="77777777" w:rsidR="007309D3" w:rsidRDefault="007309D3" w:rsidP="007309D3"/>
    <w:p w14:paraId="70C6BE89" w14:textId="77777777" w:rsidR="007309D3" w:rsidRDefault="007309D3" w:rsidP="007309D3">
      <w:pPr>
        <w:pStyle w:val="EntradandiceSumario"/>
        <w:keepNext w:val="0"/>
      </w:pPr>
      <w:r>
        <w:t>6. ÍNDICE DE RESOLUCIONES DE OTROS TRIBUNALES CITADAS:</w:t>
      </w:r>
    </w:p>
    <w:p w14:paraId="64A281AC" w14:textId="49558471" w:rsidR="007309D3" w:rsidRDefault="007309D3" w:rsidP="007309D3">
      <w:pPr>
        <w:pStyle w:val="EntradandiceSumario"/>
        <w:keepNext w:val="0"/>
      </w:pPr>
    </w:p>
    <w:p w14:paraId="28E6C31C" w14:textId="559AF1AA" w:rsidR="007309D3" w:rsidRDefault="007309D3" w:rsidP="007309D3">
      <w:pPr>
        <w:pStyle w:val="EntradandiceSumarioNivel2"/>
        <w:keepNext w:val="0"/>
      </w:pPr>
      <w:r>
        <w:t>A) Tribunal Europeo de Derechos Humanos</w:t>
      </w:r>
      <w:r>
        <w:tab/>
      </w:r>
      <w:r>
        <w:tab/>
      </w:r>
      <w:r>
        <w:fldChar w:fldCharType="begin"/>
      </w:r>
      <w:r>
        <w:instrText xml:space="preserve"> PAGEREF INDICE22805 \h </w:instrText>
      </w:r>
      <w:r>
        <w:fldChar w:fldCharType="separate"/>
      </w:r>
      <w:r w:rsidR="00C73693">
        <w:rPr>
          <w:noProof/>
        </w:rPr>
        <w:t>3120</w:t>
      </w:r>
      <w:r>
        <w:fldChar w:fldCharType="end"/>
      </w:r>
    </w:p>
    <w:p w14:paraId="37F52068" w14:textId="10D6AC31" w:rsidR="007309D3" w:rsidRDefault="007309D3" w:rsidP="007309D3">
      <w:pPr>
        <w:pStyle w:val="EntradandiceSumarioNivel2"/>
        <w:keepNext w:val="0"/>
      </w:pPr>
      <w:r>
        <w:t>B) Tribunales de Justicia de las Comunidades Europeas y de la Unión Europea</w:t>
      </w:r>
      <w:r>
        <w:tab/>
      </w:r>
      <w:r>
        <w:tab/>
      </w:r>
      <w:r>
        <w:fldChar w:fldCharType="begin"/>
      </w:r>
      <w:r>
        <w:instrText xml:space="preserve"> PAGEREF INDICE22924 \h </w:instrText>
      </w:r>
      <w:r>
        <w:fldChar w:fldCharType="separate"/>
      </w:r>
      <w:r w:rsidR="00C73693">
        <w:rPr>
          <w:noProof/>
        </w:rPr>
        <w:t>3126</w:t>
      </w:r>
      <w:r>
        <w:fldChar w:fldCharType="end"/>
      </w:r>
    </w:p>
    <w:p w14:paraId="4B3C8BBB" w14:textId="72FDD24F" w:rsidR="007309D3" w:rsidRDefault="007309D3" w:rsidP="007309D3">
      <w:pPr>
        <w:pStyle w:val="EntradandiceSumarioNivel2"/>
        <w:keepNext w:val="0"/>
      </w:pPr>
      <w:r>
        <w:t>C) Tribunal Supremo</w:t>
      </w:r>
      <w:r>
        <w:tab/>
      </w:r>
      <w:r>
        <w:tab/>
      </w:r>
      <w:r>
        <w:fldChar w:fldCharType="begin"/>
      </w:r>
      <w:r>
        <w:instrText xml:space="preserve"> PAGEREF INDICE22925 \h </w:instrText>
      </w:r>
      <w:r>
        <w:fldChar w:fldCharType="separate"/>
      </w:r>
      <w:r w:rsidR="00C73693">
        <w:rPr>
          <w:noProof/>
        </w:rPr>
        <w:t>3131</w:t>
      </w:r>
      <w:r>
        <w:fldChar w:fldCharType="end"/>
      </w:r>
    </w:p>
    <w:p w14:paraId="09C8A87D" w14:textId="77777777" w:rsidR="007309D3" w:rsidRDefault="007309D3" w:rsidP="007309D3"/>
    <w:p w14:paraId="675228E1" w14:textId="7D391C14" w:rsidR="007309D3" w:rsidRDefault="007309D3" w:rsidP="007309D3">
      <w:pPr>
        <w:pStyle w:val="EntradandiceSumario"/>
        <w:keepNext w:val="0"/>
      </w:pPr>
      <w:r>
        <w:t>7. ÍNDICE ANALÍTICO</w:t>
      </w:r>
      <w:r>
        <w:tab/>
      </w:r>
      <w:r>
        <w:tab/>
      </w:r>
      <w:r>
        <w:fldChar w:fldCharType="begin"/>
      </w:r>
      <w:r>
        <w:instrText xml:space="preserve"> PAGEREF INDICE5ALFABETICO \h </w:instrText>
      </w:r>
      <w:r>
        <w:fldChar w:fldCharType="separate"/>
      </w:r>
      <w:r w:rsidR="00C73693">
        <w:rPr>
          <w:noProof/>
        </w:rPr>
        <w:t>3135</w:t>
      </w:r>
      <w:r>
        <w:fldChar w:fldCharType="end"/>
      </w:r>
    </w:p>
    <w:p w14:paraId="198BB631" w14:textId="77777777" w:rsidR="007309D3" w:rsidRDefault="007309D3" w:rsidP="007309D3"/>
    <w:p w14:paraId="08A85D6C" w14:textId="2C51AEB0" w:rsidR="007309D3" w:rsidRDefault="007309D3" w:rsidP="007309D3">
      <w:pPr>
        <w:pStyle w:val="EntradandiceSumario"/>
        <w:keepNext w:val="0"/>
      </w:pPr>
      <w:r>
        <w:t>8. ABREVIATURAS Y ACRÓNIMOS</w:t>
      </w:r>
      <w:r>
        <w:tab/>
      </w:r>
      <w:r>
        <w:tab/>
      </w:r>
      <w:r>
        <w:fldChar w:fldCharType="begin"/>
      </w:r>
      <w:r>
        <w:instrText xml:space="preserve"> PAGEREF ACRONIMOS \h </w:instrText>
      </w:r>
      <w:r>
        <w:fldChar w:fldCharType="separate"/>
      </w:r>
      <w:r w:rsidR="00C73693">
        <w:rPr>
          <w:noProof/>
        </w:rPr>
        <w:t>3153</w:t>
      </w:r>
      <w:r>
        <w:fldChar w:fldCharType="end"/>
      </w:r>
    </w:p>
    <w:p w14:paraId="37A23298" w14:textId="647BCE47" w:rsidR="007309D3" w:rsidRDefault="007309D3">
      <w:pPr>
        <w:spacing w:after="160" w:line="278" w:lineRule="auto"/>
        <w:rPr>
          <w:rFonts w:ascii="Times New Roman" w:eastAsia="Times New Roman" w:hAnsi="Times New Roman" w:cs="Times New Roman"/>
          <w:sz w:val="24"/>
          <w:szCs w:val="24"/>
          <w:lang w:eastAsia="es-ES"/>
        </w:rPr>
      </w:pPr>
      <w:r>
        <w:br w:type="page"/>
      </w:r>
    </w:p>
    <w:p w14:paraId="7CA56A8F" w14:textId="77777777" w:rsidR="007309D3" w:rsidRDefault="007309D3" w:rsidP="007309D3">
      <w:pPr>
        <w:pStyle w:val="EntradandiceSumario"/>
        <w:keepNext w:val="0"/>
      </w:pPr>
    </w:p>
    <w:p w14:paraId="0F3E2ADC" w14:textId="77777777" w:rsidR="007309D3" w:rsidRDefault="007309D3" w:rsidP="007309D3"/>
    <w:p w14:paraId="226A639D" w14:textId="77777777" w:rsidR="007309D3" w:rsidRDefault="007309D3" w:rsidP="007309D3"/>
    <w:p w14:paraId="6957FE59" w14:textId="77777777" w:rsidR="007309D3" w:rsidRDefault="007309D3" w:rsidP="007309D3">
      <w:pPr>
        <w:pStyle w:val="Ttulondice"/>
      </w:pPr>
      <w:bookmarkStart w:id="1" w:name="SUMARIOSENTENCIAS"/>
      <w:r>
        <w:t>1. SENTENCIAS: STC 78/2023 A STC 190/2023</w:t>
      </w:r>
    </w:p>
    <w:bookmarkEnd w:id="1"/>
    <w:p w14:paraId="592FD288" w14:textId="1AAC9189" w:rsidR="007309D3" w:rsidRDefault="007309D3" w:rsidP="007309D3">
      <w:pPr>
        <w:pStyle w:val="Ttulondice"/>
      </w:pPr>
    </w:p>
    <w:p w14:paraId="07756F17" w14:textId="77777777" w:rsidR="007309D3" w:rsidRDefault="007309D3" w:rsidP="007309D3">
      <w:pPr>
        <w:pStyle w:val="Ttulondice"/>
      </w:pPr>
    </w:p>
    <w:p w14:paraId="324270FC" w14:textId="77777777" w:rsidR="007309D3" w:rsidRDefault="007309D3" w:rsidP="007309D3">
      <w:pPr>
        <w:pStyle w:val="Ttulondice"/>
      </w:pPr>
    </w:p>
    <w:p w14:paraId="532DC3AF" w14:textId="77777777" w:rsidR="007309D3" w:rsidRDefault="007309D3" w:rsidP="007309D3">
      <w:pPr>
        <w:pStyle w:val="Ttulondice"/>
      </w:pPr>
    </w:p>
    <w:p w14:paraId="5A08960D" w14:textId="77777777" w:rsidR="007309D3" w:rsidRDefault="007309D3" w:rsidP="007309D3">
      <w:pPr>
        <w:pStyle w:val="Ttulondice"/>
      </w:pPr>
    </w:p>
    <w:p w14:paraId="1296EFE0" w14:textId="77777777" w:rsidR="007309D3" w:rsidRDefault="007309D3" w:rsidP="007309D3">
      <w:pPr>
        <w:pStyle w:val="Ttulondice"/>
      </w:pPr>
    </w:p>
    <w:p w14:paraId="1C8186E9" w14:textId="77777777" w:rsidR="007309D3" w:rsidRDefault="007309D3" w:rsidP="007309D3">
      <w:pPr>
        <w:pStyle w:val="EntradandiceSentencia"/>
      </w:pPr>
      <w:r>
        <w:t>Sala Primera. Sentencia 78/2023, de 3 de julio de 2023</w:t>
      </w:r>
    </w:p>
    <w:p w14:paraId="5481CB06" w14:textId="125686E4" w:rsidR="007309D3" w:rsidRDefault="007309D3" w:rsidP="007309D3">
      <w:pPr>
        <w:pStyle w:val="EntradandiceSentencia"/>
      </w:pPr>
    </w:p>
    <w:p w14:paraId="290EA9D0" w14:textId="356CA2FE" w:rsidR="007309D3" w:rsidRDefault="007309D3" w:rsidP="007309D3">
      <w:pPr>
        <w:pStyle w:val="EntradaSumario"/>
      </w:pPr>
      <w:r w:rsidRPr="007309D3">
        <w:rPr>
          <w:rStyle w:val="TextoNormalCaracter"/>
        </w:rPr>
        <w:t xml:space="preserve">Recurso de amparo 2669-2019. </w:t>
      </w:r>
      <w:r w:rsidRPr="007309D3">
        <w:rPr>
          <w:rStyle w:val="TextoNormalCursivaCaracter"/>
        </w:rPr>
        <w:t xml:space="preserve"> Vulneración del derecho a la integridad física y moral: lesión causada por la derivación a una clínica privada, ubicada fuera del territorio autonómico, para la práctica de la interrupción del embarazo. Votos particulares.</w:t>
      </w:r>
      <w:r>
        <w:tab/>
      </w:r>
      <w:r>
        <w:tab/>
      </w:r>
      <w:r>
        <w:fldChar w:fldCharType="begin"/>
      </w:r>
      <w:r>
        <w:instrText xml:space="preserve"> PAGEREF SENTENCIA_2023_78 \h </w:instrText>
      </w:r>
      <w:r>
        <w:fldChar w:fldCharType="separate"/>
      </w:r>
      <w:r w:rsidR="00C73693">
        <w:rPr>
          <w:noProof/>
        </w:rPr>
        <w:t>64</w:t>
      </w:r>
      <w:r>
        <w:fldChar w:fldCharType="end"/>
      </w:r>
    </w:p>
    <w:p w14:paraId="4273D38D" w14:textId="77777777" w:rsidR="008D479B" w:rsidRDefault="008D479B" w:rsidP="007309D3"/>
    <w:p w14:paraId="741733E5" w14:textId="77777777" w:rsidR="007309D3" w:rsidRDefault="007309D3" w:rsidP="007309D3">
      <w:pPr>
        <w:pStyle w:val="EntradandiceSentencia"/>
      </w:pPr>
      <w:r>
        <w:t>Sala Segunda. Sentencia 79/2023, de 3 de julio de 2023</w:t>
      </w:r>
    </w:p>
    <w:p w14:paraId="0F5E2478" w14:textId="29A9D9D9" w:rsidR="007309D3" w:rsidRDefault="007309D3" w:rsidP="007309D3">
      <w:pPr>
        <w:pStyle w:val="EntradandiceSentencia"/>
      </w:pPr>
    </w:p>
    <w:p w14:paraId="2AB8A21E" w14:textId="0F11BFA2" w:rsidR="007309D3" w:rsidRDefault="007309D3" w:rsidP="007309D3">
      <w:pPr>
        <w:pStyle w:val="EntradaSumario"/>
      </w:pPr>
      <w:r w:rsidRPr="007309D3">
        <w:rPr>
          <w:rStyle w:val="TextoNormalCaracter"/>
        </w:rPr>
        <w:t xml:space="preserve">Recurso de amparo 3638-2020. </w:t>
      </w:r>
      <w:r w:rsidRPr="007309D3">
        <w:rPr>
          <w:rStyle w:val="TextoNormalCursivaCaracter"/>
        </w:rPr>
        <w:t xml:space="preserve"> Vulneración del derecho a la libertad ideológica, en conexión con las libertades de expresión y de reunión: despido disciplinario de quien participó en una manifestación y difundió por las redes sociales fotografías con mensajes políticos tomadas en su puesto de trabajo.</w:t>
      </w:r>
      <w:r>
        <w:tab/>
      </w:r>
      <w:r>
        <w:tab/>
      </w:r>
      <w:r>
        <w:fldChar w:fldCharType="begin"/>
      </w:r>
      <w:r>
        <w:instrText xml:space="preserve"> PAGEREF SENTENCIA_2023_79 \h </w:instrText>
      </w:r>
      <w:r>
        <w:fldChar w:fldCharType="separate"/>
      </w:r>
      <w:r w:rsidR="00C73693">
        <w:rPr>
          <w:noProof/>
        </w:rPr>
        <w:t>102</w:t>
      </w:r>
      <w:r>
        <w:fldChar w:fldCharType="end"/>
      </w:r>
    </w:p>
    <w:p w14:paraId="6448998F" w14:textId="77777777" w:rsidR="007309D3" w:rsidRDefault="007309D3" w:rsidP="007309D3"/>
    <w:p w14:paraId="750E163D" w14:textId="77777777" w:rsidR="007309D3" w:rsidRDefault="007309D3" w:rsidP="007309D3">
      <w:pPr>
        <w:pStyle w:val="EntradandiceSentencia"/>
      </w:pPr>
      <w:r>
        <w:t>Sala Primera. Sentencia 80/2023, de 3 de julio de 2023</w:t>
      </w:r>
    </w:p>
    <w:p w14:paraId="1DB518E8" w14:textId="47893048" w:rsidR="007309D3" w:rsidRDefault="007309D3" w:rsidP="007309D3">
      <w:pPr>
        <w:pStyle w:val="EntradandiceSentencia"/>
      </w:pPr>
    </w:p>
    <w:p w14:paraId="0917781B" w14:textId="659045EF" w:rsidR="007309D3" w:rsidRDefault="007309D3" w:rsidP="007309D3">
      <w:pPr>
        <w:pStyle w:val="EntradaSumario"/>
      </w:pPr>
      <w:r w:rsidRPr="007309D3">
        <w:rPr>
          <w:rStyle w:val="TextoNormalCaracter"/>
        </w:rPr>
        <w:t xml:space="preserve">Recurso de amparo 4255-2020. </w:t>
      </w:r>
      <w:r w:rsidRPr="007309D3">
        <w:rPr>
          <w:rStyle w:val="TextoNormalCursivaCaracter"/>
        </w:rPr>
        <w:t xml:space="preserve"> Vulneración de los derechos a la tutela judicial efectiva y a la legalidad sancionadora: aplicación irrazonable de la norma sancionadora que, anteponiendo la expulsión a la multa, infringió la garantía material del derecho (STC 47/2023).</w:t>
      </w:r>
      <w:r>
        <w:tab/>
      </w:r>
      <w:r>
        <w:tab/>
      </w:r>
      <w:r>
        <w:fldChar w:fldCharType="begin"/>
      </w:r>
      <w:r>
        <w:instrText xml:space="preserve"> PAGEREF SENTENCIA_2023_80 \h </w:instrText>
      </w:r>
      <w:r>
        <w:fldChar w:fldCharType="separate"/>
      </w:r>
      <w:r w:rsidR="00C73693">
        <w:rPr>
          <w:noProof/>
        </w:rPr>
        <w:t>128</w:t>
      </w:r>
      <w:r>
        <w:fldChar w:fldCharType="end"/>
      </w:r>
    </w:p>
    <w:p w14:paraId="14904585" w14:textId="77777777" w:rsidR="007309D3" w:rsidRDefault="007309D3" w:rsidP="007309D3"/>
    <w:p w14:paraId="595B54B5" w14:textId="77777777" w:rsidR="007309D3" w:rsidRDefault="007309D3" w:rsidP="007309D3">
      <w:pPr>
        <w:pStyle w:val="EntradandiceSentencia"/>
      </w:pPr>
      <w:r>
        <w:t>Sala Segunda. Sentencia 81/2023, de 3 de julio de 2023</w:t>
      </w:r>
    </w:p>
    <w:p w14:paraId="7C552AFC" w14:textId="6A5EFEA1" w:rsidR="007309D3" w:rsidRDefault="007309D3" w:rsidP="007309D3">
      <w:pPr>
        <w:pStyle w:val="EntradandiceSentencia"/>
      </w:pPr>
    </w:p>
    <w:p w14:paraId="6A1A73A4" w14:textId="74F8EFE1" w:rsidR="007309D3" w:rsidRDefault="007309D3" w:rsidP="007309D3">
      <w:pPr>
        <w:pStyle w:val="EntradaSumario"/>
      </w:pPr>
      <w:r w:rsidRPr="007309D3">
        <w:rPr>
          <w:rStyle w:val="TextoNormalCaracter"/>
        </w:rPr>
        <w:t xml:space="preserve">Recursos de amparo 8250-2021, 8360-2021 (acumulados). </w:t>
      </w:r>
      <w:r w:rsidRPr="007309D3">
        <w:rPr>
          <w:rStyle w:val="TextoNormalCursivaCaracter"/>
        </w:rPr>
        <w:t xml:space="preserve"> Vulneración del derecho a la tutela judicial sin indefensión: entidades mercantiles que no fueron llamadas a una causa penal en la que se controvertían sendas licencias de obra de las que eran titulares.</w:t>
      </w:r>
      <w:r>
        <w:tab/>
      </w:r>
      <w:r>
        <w:tab/>
      </w:r>
      <w:r>
        <w:fldChar w:fldCharType="begin"/>
      </w:r>
      <w:r>
        <w:instrText xml:space="preserve"> PAGEREF SENTENCIA_2023_81 \h </w:instrText>
      </w:r>
      <w:r>
        <w:fldChar w:fldCharType="separate"/>
      </w:r>
      <w:r w:rsidR="00C73693">
        <w:rPr>
          <w:noProof/>
        </w:rPr>
        <w:t>147</w:t>
      </w:r>
      <w:r>
        <w:fldChar w:fldCharType="end"/>
      </w:r>
    </w:p>
    <w:p w14:paraId="67FB088C" w14:textId="77777777" w:rsidR="007309D3" w:rsidRDefault="007309D3" w:rsidP="007309D3"/>
    <w:p w14:paraId="27622EDD" w14:textId="77777777" w:rsidR="007309D3" w:rsidRDefault="007309D3" w:rsidP="007309D3">
      <w:pPr>
        <w:pStyle w:val="EntradandiceSentencia"/>
      </w:pPr>
      <w:r>
        <w:t>Sala Segunda. Sentencia 82/2023, de 3 de julio de 2023</w:t>
      </w:r>
    </w:p>
    <w:p w14:paraId="052374F9" w14:textId="3C4B149A" w:rsidR="007309D3" w:rsidRDefault="007309D3" w:rsidP="007309D3">
      <w:pPr>
        <w:pStyle w:val="EntradandiceSentencia"/>
      </w:pPr>
    </w:p>
    <w:p w14:paraId="3CABC326" w14:textId="5934A893" w:rsidR="007309D3" w:rsidRDefault="007309D3" w:rsidP="007309D3">
      <w:pPr>
        <w:pStyle w:val="EntradaSumario"/>
      </w:pPr>
      <w:r w:rsidRPr="007309D3">
        <w:rPr>
          <w:rStyle w:val="TextoNormalCaracter"/>
        </w:rPr>
        <w:t xml:space="preserve">Recurso de amparo 1414-2022. </w:t>
      </w:r>
      <w:r w:rsidRPr="007309D3">
        <w:rPr>
          <w:rStyle w:val="TextoNormalCursivaCaracter"/>
        </w:rPr>
        <w:t xml:space="preserve"> Alegada vulneración de los derechos a las funciones representativas, a la libertad de expresión y a la tutela judicial efectiva: inadmisión del recurso de amparo planteado sin agotar la vía judicial previa.</w:t>
      </w:r>
      <w:r>
        <w:tab/>
      </w:r>
      <w:r>
        <w:tab/>
      </w:r>
      <w:r>
        <w:fldChar w:fldCharType="begin"/>
      </w:r>
      <w:r>
        <w:instrText xml:space="preserve"> PAGEREF SENTENCIA_2023_82 \h </w:instrText>
      </w:r>
      <w:r>
        <w:fldChar w:fldCharType="separate"/>
      </w:r>
      <w:r w:rsidR="00C73693">
        <w:rPr>
          <w:noProof/>
        </w:rPr>
        <w:t>159</w:t>
      </w:r>
      <w:r>
        <w:fldChar w:fldCharType="end"/>
      </w:r>
    </w:p>
    <w:p w14:paraId="1DEC2F22" w14:textId="77777777" w:rsidR="007309D3" w:rsidRDefault="007309D3" w:rsidP="007309D3"/>
    <w:p w14:paraId="1B62EA34" w14:textId="77777777" w:rsidR="007309D3" w:rsidRDefault="007309D3" w:rsidP="007309D3">
      <w:pPr>
        <w:pStyle w:val="EntradandiceSentencia"/>
      </w:pPr>
      <w:r>
        <w:t>Pleno. Sentencia 83/2023, de 4 de julio de 2023</w:t>
      </w:r>
    </w:p>
    <w:p w14:paraId="55EACD70" w14:textId="2BD81323" w:rsidR="007309D3" w:rsidRDefault="007309D3" w:rsidP="007309D3">
      <w:pPr>
        <w:pStyle w:val="EntradandiceSentencia"/>
      </w:pPr>
    </w:p>
    <w:p w14:paraId="78A94F76" w14:textId="69703FB3" w:rsidR="007309D3" w:rsidRDefault="007309D3" w:rsidP="007309D3">
      <w:pPr>
        <w:pStyle w:val="EntradaSumario"/>
      </w:pPr>
      <w:r w:rsidRPr="007309D3">
        <w:rPr>
          <w:rStyle w:val="TextoNormalCaracter"/>
        </w:rPr>
        <w:t xml:space="preserve">Recurso de amparo 4913-2020. </w:t>
      </w:r>
      <w:r w:rsidRPr="007309D3">
        <w:rPr>
          <w:rStyle w:val="TextoNormalCursivaCaracter"/>
        </w:rPr>
        <w:t xml:space="preserve"> Supuesta vulneración de los derechos a la libertad de expresión y a la tutela judicial efectiva: comentario publicado en la página web de la mercantil demandante en el que, al valorar la conducta de un cargo público, se incluyen expresiones injuriosas o vejatorias, innecesarias para expresar la opinión crítica que se emite. Votos particulares.</w:t>
      </w:r>
      <w:r>
        <w:tab/>
      </w:r>
      <w:r>
        <w:tab/>
      </w:r>
      <w:r>
        <w:fldChar w:fldCharType="begin"/>
      </w:r>
      <w:r>
        <w:instrText xml:space="preserve"> PAGEREF SENTENCIA_2023_83 \h </w:instrText>
      </w:r>
      <w:r>
        <w:fldChar w:fldCharType="separate"/>
      </w:r>
      <w:r w:rsidR="00C73693">
        <w:rPr>
          <w:noProof/>
        </w:rPr>
        <w:t>188</w:t>
      </w:r>
      <w:r>
        <w:fldChar w:fldCharType="end"/>
      </w:r>
    </w:p>
    <w:p w14:paraId="09C40841" w14:textId="77777777" w:rsidR="007309D3" w:rsidRDefault="007309D3" w:rsidP="007309D3"/>
    <w:p w14:paraId="0181523D" w14:textId="77777777" w:rsidR="007309D3" w:rsidRDefault="007309D3" w:rsidP="007309D3">
      <w:pPr>
        <w:pStyle w:val="EntradandiceSentencia"/>
      </w:pPr>
      <w:r>
        <w:t>Pleno. Sentencia 84/2023, de 5 de julio de 2023</w:t>
      </w:r>
    </w:p>
    <w:p w14:paraId="0D470974" w14:textId="794259F0" w:rsidR="007309D3" w:rsidRDefault="007309D3" w:rsidP="007309D3">
      <w:pPr>
        <w:pStyle w:val="EntradandiceSentencia"/>
      </w:pPr>
    </w:p>
    <w:p w14:paraId="0925A38A" w14:textId="05B85E55" w:rsidR="007309D3" w:rsidRDefault="007309D3" w:rsidP="007309D3">
      <w:pPr>
        <w:pStyle w:val="EntradaSumario"/>
      </w:pPr>
      <w:r w:rsidRPr="007309D3">
        <w:rPr>
          <w:rStyle w:val="TextoNormalCaracter"/>
        </w:rPr>
        <w:t xml:space="preserve">Recurso de amparo 2233-2020. </w:t>
      </w:r>
      <w:r w:rsidRPr="007309D3">
        <w:rPr>
          <w:rStyle w:val="TextoNormalCursivaCaracter"/>
        </w:rPr>
        <w:t xml:space="preserve"> Supuesta vulneración de los derechos de reunión y manifestación y a la tutela judicial efectiva: prohibición gubernativa de una manifestación justificada por la protección de la salud pública (STC 61/2023). Voto particular.</w:t>
      </w:r>
      <w:r>
        <w:tab/>
      </w:r>
      <w:r>
        <w:tab/>
      </w:r>
      <w:r>
        <w:fldChar w:fldCharType="begin"/>
      </w:r>
      <w:r>
        <w:instrText xml:space="preserve"> PAGEREF SENTENCIA_2023_84 \h </w:instrText>
      </w:r>
      <w:r>
        <w:fldChar w:fldCharType="separate"/>
      </w:r>
      <w:r w:rsidR="00C73693">
        <w:rPr>
          <w:noProof/>
        </w:rPr>
        <w:t>226</w:t>
      </w:r>
      <w:r>
        <w:fldChar w:fldCharType="end"/>
      </w:r>
    </w:p>
    <w:p w14:paraId="323781C7" w14:textId="77777777" w:rsidR="007309D3" w:rsidRDefault="007309D3" w:rsidP="007309D3"/>
    <w:p w14:paraId="66C05C03" w14:textId="77777777" w:rsidR="007309D3" w:rsidRDefault="007309D3" w:rsidP="007309D3">
      <w:pPr>
        <w:pStyle w:val="EntradandiceSentencia"/>
      </w:pPr>
      <w:r>
        <w:t>Pleno. Sentencia 85/2023, de 5 de julio de 2023</w:t>
      </w:r>
    </w:p>
    <w:p w14:paraId="7B92E3FE" w14:textId="4D418CB8" w:rsidR="007309D3" w:rsidRDefault="007309D3" w:rsidP="007309D3">
      <w:pPr>
        <w:pStyle w:val="EntradandiceSentencia"/>
      </w:pPr>
    </w:p>
    <w:p w14:paraId="6409FBA3" w14:textId="764E1C2B" w:rsidR="007309D3" w:rsidRDefault="007309D3" w:rsidP="007309D3">
      <w:pPr>
        <w:pStyle w:val="EntradaSumario"/>
      </w:pPr>
      <w:r w:rsidRPr="007309D3">
        <w:rPr>
          <w:rStyle w:val="TextoNormalCaracter"/>
        </w:rPr>
        <w:t xml:space="preserve">Cuestión de inconstitucionalidad 6002-2021. </w:t>
      </w:r>
      <w:r w:rsidRPr="007309D3">
        <w:rPr>
          <w:rStyle w:val="TextoNormalCursivaCaracter"/>
        </w:rPr>
        <w:t xml:space="preserve"> Régimen de cooficialidad lingüística, principio de seguridad jurídica y derechos a la igualdad y a la participación política: nulidad parcial del precepto legal relativo a la lengua oficial de las entidades locales en la Comunidad Autónoma de Euskadi. Voto particular.</w:t>
      </w:r>
      <w:r>
        <w:tab/>
      </w:r>
      <w:r>
        <w:tab/>
      </w:r>
      <w:r>
        <w:fldChar w:fldCharType="begin"/>
      </w:r>
      <w:r>
        <w:instrText xml:space="preserve"> PAGEREF SENTENCIA_2023_85 \h </w:instrText>
      </w:r>
      <w:r>
        <w:fldChar w:fldCharType="separate"/>
      </w:r>
      <w:r w:rsidR="00C73693">
        <w:rPr>
          <w:noProof/>
        </w:rPr>
        <w:t>258</w:t>
      </w:r>
      <w:r>
        <w:fldChar w:fldCharType="end"/>
      </w:r>
    </w:p>
    <w:p w14:paraId="779C44D2" w14:textId="77777777" w:rsidR="007309D3" w:rsidRDefault="007309D3" w:rsidP="007309D3"/>
    <w:p w14:paraId="5AAB9F14" w14:textId="77777777" w:rsidR="007309D3" w:rsidRDefault="007309D3" w:rsidP="007309D3">
      <w:pPr>
        <w:pStyle w:val="EntradandiceSentencia"/>
      </w:pPr>
      <w:r>
        <w:t>Sala Primera. Sentencia 86/2023, de 17 de julio de 2023</w:t>
      </w:r>
    </w:p>
    <w:p w14:paraId="29FE4C8A" w14:textId="1BCB2087" w:rsidR="007309D3" w:rsidRDefault="007309D3" w:rsidP="007309D3">
      <w:pPr>
        <w:pStyle w:val="EntradandiceSentencia"/>
      </w:pPr>
    </w:p>
    <w:p w14:paraId="70B518D3" w14:textId="45086493" w:rsidR="007309D3" w:rsidRDefault="007309D3" w:rsidP="007309D3">
      <w:pPr>
        <w:pStyle w:val="EntradaSumario"/>
      </w:pPr>
      <w:r w:rsidRPr="007309D3">
        <w:rPr>
          <w:rStyle w:val="TextoNormalCaracter"/>
        </w:rPr>
        <w:t xml:space="preserve">Recurso de amparo 4650-2021. </w:t>
      </w:r>
      <w:r w:rsidRPr="007309D3">
        <w:rPr>
          <w:rStyle w:val="TextoNormalCursivaCaracter"/>
        </w:rPr>
        <w:t xml:space="preserve"> Vulneración del derecho a la legalidad sancionadora: aplicación irrazonable de la norma sancionadora que, anteponiendo la expulsión a la multa, infringió la garantía material del derecho (STC 47/2023).</w:t>
      </w:r>
      <w:r>
        <w:tab/>
      </w:r>
      <w:r>
        <w:tab/>
      </w:r>
      <w:r>
        <w:fldChar w:fldCharType="begin"/>
      </w:r>
      <w:r>
        <w:instrText xml:space="preserve"> PAGEREF SENTENCIA_2023_86 \h </w:instrText>
      </w:r>
      <w:r>
        <w:fldChar w:fldCharType="separate"/>
      </w:r>
      <w:r w:rsidR="00C73693">
        <w:rPr>
          <w:noProof/>
        </w:rPr>
        <w:t>286</w:t>
      </w:r>
      <w:r>
        <w:fldChar w:fldCharType="end"/>
      </w:r>
    </w:p>
    <w:p w14:paraId="44C2763B" w14:textId="77777777" w:rsidR="007309D3" w:rsidRDefault="007309D3" w:rsidP="007309D3"/>
    <w:p w14:paraId="04EC89EB" w14:textId="77777777" w:rsidR="007309D3" w:rsidRDefault="007309D3" w:rsidP="007309D3">
      <w:pPr>
        <w:pStyle w:val="EntradandiceSentencia"/>
      </w:pPr>
      <w:r>
        <w:t>Sala Primera. Sentencia 87/2023, de 17 de julio de 2023</w:t>
      </w:r>
    </w:p>
    <w:p w14:paraId="31106EC7" w14:textId="5E768C2D" w:rsidR="007309D3" w:rsidRDefault="007309D3" w:rsidP="007309D3">
      <w:pPr>
        <w:pStyle w:val="EntradandiceSentencia"/>
      </w:pPr>
    </w:p>
    <w:p w14:paraId="68527E5B" w14:textId="277DE715" w:rsidR="007309D3" w:rsidRDefault="007309D3" w:rsidP="007309D3">
      <w:pPr>
        <w:pStyle w:val="EntradaSumario"/>
      </w:pPr>
      <w:r w:rsidRPr="007309D3">
        <w:rPr>
          <w:rStyle w:val="TextoNormalCaracter"/>
        </w:rPr>
        <w:t xml:space="preserve">Recurso de amparo 2353-2022. </w:t>
      </w:r>
      <w:r w:rsidRPr="007309D3">
        <w:rPr>
          <w:rStyle w:val="TextoNormalCursivaCaracter"/>
        </w:rPr>
        <w:t xml:space="preserve"> Vulneración de los derechos a la tutela judicial efectiva y a la legalidad sancionadora: aplicación irrazonable de la norma sancionadora que, anteponiendo la expulsión a la multa, infringió la garantía material del derecho (STC 47/2023).</w:t>
      </w:r>
      <w:r>
        <w:tab/>
      </w:r>
      <w:r>
        <w:tab/>
      </w:r>
      <w:r>
        <w:fldChar w:fldCharType="begin"/>
      </w:r>
      <w:r>
        <w:instrText xml:space="preserve"> PAGEREF SENTENCIA_2023_87 \h </w:instrText>
      </w:r>
      <w:r>
        <w:fldChar w:fldCharType="separate"/>
      </w:r>
      <w:r w:rsidR="00C73693">
        <w:rPr>
          <w:noProof/>
        </w:rPr>
        <w:t>300</w:t>
      </w:r>
      <w:r>
        <w:fldChar w:fldCharType="end"/>
      </w:r>
    </w:p>
    <w:p w14:paraId="682DC4B3" w14:textId="77777777" w:rsidR="007309D3" w:rsidRDefault="007309D3" w:rsidP="007309D3"/>
    <w:p w14:paraId="6FDD1BCE" w14:textId="77777777" w:rsidR="007309D3" w:rsidRDefault="007309D3" w:rsidP="007309D3">
      <w:pPr>
        <w:pStyle w:val="EntradandiceSentencia"/>
      </w:pPr>
      <w:r>
        <w:t>Pleno. Sentencia 88/2023, de 18 de julio de 2023</w:t>
      </w:r>
    </w:p>
    <w:p w14:paraId="13153EBB" w14:textId="3114390B" w:rsidR="007309D3" w:rsidRDefault="007309D3" w:rsidP="007309D3">
      <w:pPr>
        <w:pStyle w:val="EntradandiceSentencia"/>
      </w:pPr>
    </w:p>
    <w:p w14:paraId="64158E2A" w14:textId="1C00285B" w:rsidR="007309D3" w:rsidRDefault="007309D3" w:rsidP="007309D3">
      <w:pPr>
        <w:pStyle w:val="EntradaSumario"/>
      </w:pPr>
      <w:r w:rsidRPr="007309D3">
        <w:rPr>
          <w:rStyle w:val="TextoNormalCaracter"/>
        </w:rPr>
        <w:t xml:space="preserve">Recurso de amparo 2192-2020. </w:t>
      </w:r>
      <w:r w:rsidRPr="007309D3">
        <w:rPr>
          <w:rStyle w:val="TextoNormalCursivaCaracter"/>
        </w:rPr>
        <w:t xml:space="preserve"> Supuesta vulneración de los derechos de reunión y manifestación y a la tutela judicial efectiva: prohibición gubernativa de una manifestación justificada por la protección de la salud pública (STC 61/2023). Voto particular.</w:t>
      </w:r>
      <w:r>
        <w:tab/>
      </w:r>
      <w:r>
        <w:tab/>
      </w:r>
      <w:r>
        <w:fldChar w:fldCharType="begin"/>
      </w:r>
      <w:r>
        <w:instrText xml:space="preserve"> PAGEREF SENTENCIA_2023_88 \h </w:instrText>
      </w:r>
      <w:r>
        <w:fldChar w:fldCharType="separate"/>
      </w:r>
      <w:r w:rsidR="00C73693">
        <w:rPr>
          <w:noProof/>
        </w:rPr>
        <w:t>325</w:t>
      </w:r>
      <w:r>
        <w:fldChar w:fldCharType="end"/>
      </w:r>
    </w:p>
    <w:p w14:paraId="3C27CE33" w14:textId="77777777" w:rsidR="007309D3" w:rsidRDefault="007309D3" w:rsidP="007309D3"/>
    <w:p w14:paraId="125807B1" w14:textId="77777777" w:rsidR="007309D3" w:rsidRDefault="007309D3" w:rsidP="007309D3">
      <w:pPr>
        <w:pStyle w:val="EntradandiceSentencia"/>
      </w:pPr>
      <w:r>
        <w:t>Pleno. Sentencia 89/2023, de 18 de julio de 2023</w:t>
      </w:r>
    </w:p>
    <w:p w14:paraId="24B51AD7" w14:textId="52D361B4" w:rsidR="007309D3" w:rsidRDefault="007309D3" w:rsidP="007309D3">
      <w:pPr>
        <w:pStyle w:val="EntradandiceSentencia"/>
      </w:pPr>
    </w:p>
    <w:p w14:paraId="420163CD" w14:textId="52E0C89B" w:rsidR="007309D3" w:rsidRDefault="007309D3" w:rsidP="007309D3">
      <w:pPr>
        <w:pStyle w:val="EntradaSumario"/>
      </w:pPr>
      <w:r w:rsidRPr="007309D3">
        <w:rPr>
          <w:rStyle w:val="TextoNormalCaracter"/>
        </w:rPr>
        <w:t xml:space="preserve">Recurso de amparo 140-2021. </w:t>
      </w:r>
      <w:r w:rsidRPr="007309D3">
        <w:rPr>
          <w:rStyle w:val="TextoNormalCursivaCaracter"/>
        </w:rPr>
        <w:t xml:space="preserve"> Supuesta vulneración del derecho a la igualdad y de las libertades de expresión e información: resolución administrativa que no resulta desproporcionada y que viene impuesta por la inexistencia de reserva de dominio público radioeléctrico. Votos particulares.</w:t>
      </w:r>
      <w:r>
        <w:tab/>
      </w:r>
      <w:r>
        <w:tab/>
      </w:r>
      <w:r>
        <w:fldChar w:fldCharType="begin"/>
      </w:r>
      <w:r>
        <w:instrText xml:space="preserve"> PAGEREF SENTENCIA_2023_89 \h </w:instrText>
      </w:r>
      <w:r>
        <w:fldChar w:fldCharType="separate"/>
      </w:r>
      <w:r w:rsidR="00C73693">
        <w:rPr>
          <w:noProof/>
        </w:rPr>
        <w:t>347</w:t>
      </w:r>
      <w:r>
        <w:fldChar w:fldCharType="end"/>
      </w:r>
    </w:p>
    <w:p w14:paraId="3700B3C2" w14:textId="77777777" w:rsidR="007309D3" w:rsidRDefault="007309D3" w:rsidP="007309D3"/>
    <w:p w14:paraId="6019687B" w14:textId="77777777" w:rsidR="007309D3" w:rsidRDefault="007309D3" w:rsidP="007309D3">
      <w:pPr>
        <w:pStyle w:val="EntradandiceSentencia"/>
      </w:pPr>
      <w:r>
        <w:t>Sala Primera. Sentencia 90/2023, de 11 de septiembre de 2023</w:t>
      </w:r>
    </w:p>
    <w:p w14:paraId="29743855" w14:textId="6AA1E6A0" w:rsidR="007309D3" w:rsidRDefault="007309D3" w:rsidP="007309D3">
      <w:pPr>
        <w:pStyle w:val="EntradandiceSentencia"/>
      </w:pPr>
    </w:p>
    <w:p w14:paraId="6E80DB86" w14:textId="12D47241" w:rsidR="007309D3" w:rsidRDefault="007309D3" w:rsidP="007309D3">
      <w:pPr>
        <w:pStyle w:val="EntradaSumario"/>
      </w:pPr>
      <w:r w:rsidRPr="007309D3">
        <w:rPr>
          <w:rStyle w:val="TextoNormalCaracter"/>
        </w:rPr>
        <w:t xml:space="preserve">Recurso de amparo 3212-2020. </w:t>
      </w:r>
      <w:r w:rsidRPr="007309D3">
        <w:rPr>
          <w:rStyle w:val="TextoNormalCursivaCaracter"/>
        </w:rPr>
        <w:t xml:space="preserve"> Supuesta vulneración de los derechos a la igualdad y a la tutela judicial efectiva; alegada vulneración del derecho a la libre circulación: resoluciones judiciales que dan respuesta motivada y fundada en Derecho a las pretensiones oportunamente deducidas por la actora; falta de agotamiento de la vía judicial previa.</w:t>
      </w:r>
      <w:r>
        <w:tab/>
      </w:r>
      <w:r>
        <w:tab/>
      </w:r>
      <w:r>
        <w:fldChar w:fldCharType="begin"/>
      </w:r>
      <w:r>
        <w:instrText xml:space="preserve"> PAGEREF SENTENCIA_2023_90 \h </w:instrText>
      </w:r>
      <w:r>
        <w:fldChar w:fldCharType="separate"/>
      </w:r>
      <w:r w:rsidR="00C73693">
        <w:rPr>
          <w:noProof/>
        </w:rPr>
        <w:t>390</w:t>
      </w:r>
      <w:r>
        <w:fldChar w:fldCharType="end"/>
      </w:r>
    </w:p>
    <w:p w14:paraId="01CEC778" w14:textId="77777777" w:rsidR="007309D3" w:rsidRDefault="007309D3" w:rsidP="007309D3"/>
    <w:p w14:paraId="7CB9FF18" w14:textId="77777777" w:rsidR="007309D3" w:rsidRDefault="007309D3" w:rsidP="007309D3">
      <w:pPr>
        <w:pStyle w:val="EntradandiceSentencia"/>
      </w:pPr>
      <w:r>
        <w:t>Sala Primera. Sentencia 91/2023, de 11 de septiembre de 2023</w:t>
      </w:r>
    </w:p>
    <w:p w14:paraId="5DD03D37" w14:textId="18C9471E" w:rsidR="007309D3" w:rsidRDefault="007309D3" w:rsidP="007309D3">
      <w:pPr>
        <w:pStyle w:val="EntradandiceSentencia"/>
      </w:pPr>
    </w:p>
    <w:p w14:paraId="2BD78D74" w14:textId="744B662A" w:rsidR="007309D3" w:rsidRDefault="007309D3" w:rsidP="007309D3">
      <w:pPr>
        <w:pStyle w:val="EntradaSumario"/>
      </w:pPr>
      <w:r w:rsidRPr="007309D3">
        <w:rPr>
          <w:rStyle w:val="TextoNormalCaracter"/>
        </w:rPr>
        <w:t xml:space="preserve">Recurso de amparo 5905-2020. </w:t>
      </w:r>
      <w:r w:rsidRPr="007309D3">
        <w:rPr>
          <w:rStyle w:val="TextoNormalCursivaCaracter"/>
        </w:rPr>
        <w:t xml:space="preserve"> Vulneración del derecho a la tutela judicial efectiva (resolución fundada en Derecho): autos que, ignorando el principio de efectividad del Derecho de la Unión Europea, deniegan la imposición de costas en un proceso en el que se ha declarado el carácter abusivo de cláusulas contractuales.</w:t>
      </w:r>
      <w:r>
        <w:tab/>
      </w:r>
      <w:r>
        <w:tab/>
      </w:r>
      <w:r>
        <w:fldChar w:fldCharType="begin"/>
      </w:r>
      <w:r>
        <w:instrText xml:space="preserve"> PAGEREF SENTENCIA_2023_91 \h </w:instrText>
      </w:r>
      <w:r>
        <w:fldChar w:fldCharType="separate"/>
      </w:r>
      <w:r w:rsidR="00C73693">
        <w:rPr>
          <w:noProof/>
        </w:rPr>
        <w:t>409</w:t>
      </w:r>
      <w:r>
        <w:fldChar w:fldCharType="end"/>
      </w:r>
    </w:p>
    <w:p w14:paraId="4DC4A96C" w14:textId="77777777" w:rsidR="007309D3" w:rsidRDefault="007309D3" w:rsidP="007309D3"/>
    <w:p w14:paraId="1870CB5F" w14:textId="77777777" w:rsidR="007309D3" w:rsidRDefault="007309D3" w:rsidP="007309D3">
      <w:pPr>
        <w:pStyle w:val="EntradandiceSentencia"/>
      </w:pPr>
      <w:r>
        <w:t>Sala Segunda. Sentencia 92/2023, de 11 de septiembre de 2023</w:t>
      </w:r>
    </w:p>
    <w:p w14:paraId="6C23EFB2" w14:textId="39AF62DF" w:rsidR="007309D3" w:rsidRDefault="007309D3" w:rsidP="007309D3">
      <w:pPr>
        <w:pStyle w:val="EntradandiceSentencia"/>
      </w:pPr>
    </w:p>
    <w:p w14:paraId="7B0938BB" w14:textId="6122DCDB" w:rsidR="007309D3" w:rsidRDefault="007309D3" w:rsidP="007309D3">
      <w:pPr>
        <w:pStyle w:val="EntradaSumario"/>
      </w:pPr>
      <w:r w:rsidRPr="007309D3">
        <w:rPr>
          <w:rStyle w:val="TextoNormalCaracter"/>
        </w:rPr>
        <w:t xml:space="preserve">Recurso de amparo 3456-2021. </w:t>
      </w:r>
      <w:r w:rsidRPr="007309D3">
        <w:rPr>
          <w:rStyle w:val="TextoNormalCursivaCaracter"/>
        </w:rPr>
        <w:t xml:space="preserve"> Vulneración del derecho a la intimidad personal; alegada vulneración del derecho a la tutela judicial efectiva (acceso al recurso): captación de imágenes en el interior de un garaje privado llevada a cabo sin autorización judicial; falta de agotamiento de la vía judicial previa al no haberse promovido el incidente de nulidad de actuaciones. Voto particular.</w:t>
      </w:r>
      <w:r>
        <w:tab/>
      </w:r>
      <w:r>
        <w:tab/>
      </w:r>
      <w:r>
        <w:fldChar w:fldCharType="begin"/>
      </w:r>
      <w:r>
        <w:instrText xml:space="preserve"> PAGEREF SENTENCIA_2023_92 \h </w:instrText>
      </w:r>
      <w:r>
        <w:fldChar w:fldCharType="separate"/>
      </w:r>
      <w:r w:rsidR="00C73693">
        <w:rPr>
          <w:noProof/>
        </w:rPr>
        <w:t>423</w:t>
      </w:r>
      <w:r>
        <w:fldChar w:fldCharType="end"/>
      </w:r>
    </w:p>
    <w:p w14:paraId="4EFC9361" w14:textId="77777777" w:rsidR="007309D3" w:rsidRDefault="007309D3" w:rsidP="007309D3"/>
    <w:p w14:paraId="650F43EC" w14:textId="77777777" w:rsidR="007309D3" w:rsidRDefault="007309D3" w:rsidP="007309D3">
      <w:pPr>
        <w:pStyle w:val="EntradandiceSentencia"/>
      </w:pPr>
      <w:r>
        <w:t>Pleno. Sentencia 93/2023, de 12 de septiembre de 2023</w:t>
      </w:r>
    </w:p>
    <w:p w14:paraId="18A7A204" w14:textId="71FF2A86" w:rsidR="007309D3" w:rsidRDefault="007309D3" w:rsidP="007309D3">
      <w:pPr>
        <w:pStyle w:val="EntradandiceSentencia"/>
      </w:pPr>
    </w:p>
    <w:p w14:paraId="44B2F341" w14:textId="67F10970" w:rsidR="007309D3" w:rsidRDefault="007309D3" w:rsidP="007309D3">
      <w:pPr>
        <w:pStyle w:val="EntradaSumario"/>
      </w:pPr>
      <w:r w:rsidRPr="007309D3">
        <w:rPr>
          <w:rStyle w:val="TextoNormalCaracter"/>
        </w:rPr>
        <w:t xml:space="preserve">Recurso de amparo 6513-2020. </w:t>
      </w:r>
      <w:r w:rsidRPr="007309D3">
        <w:rPr>
          <w:rStyle w:val="TextoNormalCursivaCaracter"/>
        </w:rPr>
        <w:t xml:space="preserve"> Vulneración del derecho al ejercicio de las funciones representativas, en relación con el derecho de los ciudadanos a participar en los asuntos públicos a través de sus representantes: resoluciones parlamentarias que, contraviniendo la normativa vigente al momento de dictarse, afectan al núcleo esencial de la función representativa.</w:t>
      </w:r>
      <w:r>
        <w:tab/>
      </w:r>
      <w:r>
        <w:tab/>
      </w:r>
      <w:r>
        <w:fldChar w:fldCharType="begin"/>
      </w:r>
      <w:r>
        <w:instrText xml:space="preserve"> PAGEREF SENTENCIA_2023_93 \h </w:instrText>
      </w:r>
      <w:r>
        <w:fldChar w:fldCharType="separate"/>
      </w:r>
      <w:r w:rsidR="00C73693">
        <w:rPr>
          <w:noProof/>
        </w:rPr>
        <w:t>452</w:t>
      </w:r>
      <w:r>
        <w:fldChar w:fldCharType="end"/>
      </w:r>
    </w:p>
    <w:p w14:paraId="03B4C31B" w14:textId="77777777" w:rsidR="007309D3" w:rsidRDefault="007309D3" w:rsidP="007309D3"/>
    <w:p w14:paraId="641BAA31" w14:textId="77777777" w:rsidR="007309D3" w:rsidRDefault="007309D3" w:rsidP="007309D3">
      <w:pPr>
        <w:pStyle w:val="EntradandiceSentencia"/>
      </w:pPr>
      <w:r>
        <w:t>Pleno. Sentencia 94/2023, de 12 de septiembre de 2023</w:t>
      </w:r>
    </w:p>
    <w:p w14:paraId="7479C89A" w14:textId="7F11ACB5" w:rsidR="007309D3" w:rsidRDefault="007309D3" w:rsidP="007309D3">
      <w:pPr>
        <w:pStyle w:val="EntradandiceSentencia"/>
      </w:pPr>
    </w:p>
    <w:p w14:paraId="566A5D07" w14:textId="2656A3DB" w:rsidR="007309D3" w:rsidRDefault="007309D3" w:rsidP="007309D3">
      <w:pPr>
        <w:pStyle w:val="EntradaSumario"/>
      </w:pPr>
      <w:r w:rsidRPr="007309D3">
        <w:rPr>
          <w:rStyle w:val="TextoNormalCaracter"/>
        </w:rPr>
        <w:t xml:space="preserve">Recurso de inconstitucionalidad 4313-2021. </w:t>
      </w:r>
      <w:r w:rsidRPr="007309D3">
        <w:rPr>
          <w:rStyle w:val="TextoNormalCursivaCaracter"/>
        </w:rPr>
        <w:t xml:space="preserve"> Derecho a la vida y a la integridad física y moral: constitucionalidad de la regulación legal del derecho a la autodeterminación respecto de la propia muerte en contextos eutanásicos (STC 19/2023). Votos particulares.</w:t>
      </w:r>
      <w:r>
        <w:tab/>
      </w:r>
      <w:r>
        <w:tab/>
      </w:r>
      <w:r>
        <w:fldChar w:fldCharType="begin"/>
      </w:r>
      <w:r>
        <w:instrText xml:space="preserve"> PAGEREF SENTENCIA_2023_94 \h </w:instrText>
      </w:r>
      <w:r>
        <w:fldChar w:fldCharType="separate"/>
      </w:r>
      <w:r w:rsidR="00C73693">
        <w:rPr>
          <w:noProof/>
        </w:rPr>
        <w:t>478</w:t>
      </w:r>
      <w:r>
        <w:fldChar w:fldCharType="end"/>
      </w:r>
    </w:p>
    <w:p w14:paraId="65EC1A93" w14:textId="77777777" w:rsidR="007309D3" w:rsidRDefault="007309D3" w:rsidP="007309D3"/>
    <w:p w14:paraId="6CEBA1B6" w14:textId="77777777" w:rsidR="007309D3" w:rsidRDefault="007309D3" w:rsidP="007309D3">
      <w:pPr>
        <w:pStyle w:val="EntradandiceSentencia"/>
      </w:pPr>
      <w:r>
        <w:t>Sala Segunda. Sentencia 95/2023, de 12 de septiembre de 2023</w:t>
      </w:r>
    </w:p>
    <w:p w14:paraId="192E7B90" w14:textId="27471489" w:rsidR="007309D3" w:rsidRDefault="007309D3" w:rsidP="007309D3">
      <w:pPr>
        <w:pStyle w:val="EntradandiceSentencia"/>
      </w:pPr>
    </w:p>
    <w:p w14:paraId="01B95BA8" w14:textId="6EF0DA8B" w:rsidR="007309D3" w:rsidRDefault="007309D3" w:rsidP="007309D3">
      <w:pPr>
        <w:pStyle w:val="EntradaSumario"/>
      </w:pPr>
      <w:r w:rsidRPr="007309D3">
        <w:rPr>
          <w:rStyle w:val="TextoNormalCaracter"/>
        </w:rPr>
        <w:t xml:space="preserve">Recurso de amparo electoral 5529-2023. </w:t>
      </w:r>
      <w:r w:rsidRPr="007309D3">
        <w:rPr>
          <w:rStyle w:val="TextoNormalCursivaCaracter"/>
        </w:rPr>
        <w:t xml:space="preserve"> Supuesta vulneración del derecho de acceso a los cargos públicos en condiciones de igualdad: denegación de la solicitud de revisión de la totalidad del voto nulo no protestado por parte de la Junta Electoral Provincial de Madrid. Voto particular.</w:t>
      </w:r>
      <w:r>
        <w:tab/>
      </w:r>
      <w:r>
        <w:tab/>
      </w:r>
      <w:r>
        <w:fldChar w:fldCharType="begin"/>
      </w:r>
      <w:r>
        <w:instrText xml:space="preserve"> PAGEREF SENTENCIA_2023_95 \h </w:instrText>
      </w:r>
      <w:r>
        <w:fldChar w:fldCharType="separate"/>
      </w:r>
      <w:r w:rsidR="00C73693">
        <w:rPr>
          <w:noProof/>
        </w:rPr>
        <w:t>561</w:t>
      </w:r>
      <w:r>
        <w:fldChar w:fldCharType="end"/>
      </w:r>
    </w:p>
    <w:p w14:paraId="7F33581E" w14:textId="77777777" w:rsidR="007309D3" w:rsidRDefault="007309D3" w:rsidP="007309D3"/>
    <w:p w14:paraId="368602D1" w14:textId="77777777" w:rsidR="007309D3" w:rsidRDefault="007309D3" w:rsidP="007309D3">
      <w:pPr>
        <w:pStyle w:val="EntradandiceSentencia"/>
      </w:pPr>
      <w:r>
        <w:t>Sala Primera. Sentencia 96/2023, de 25 de septiembre de 2023</w:t>
      </w:r>
    </w:p>
    <w:p w14:paraId="42EA2727" w14:textId="2BECCD20" w:rsidR="007309D3" w:rsidRDefault="007309D3" w:rsidP="007309D3">
      <w:pPr>
        <w:pStyle w:val="EntradandiceSentencia"/>
      </w:pPr>
    </w:p>
    <w:p w14:paraId="3E9E9FB1" w14:textId="0CF13E79" w:rsidR="007309D3" w:rsidRDefault="007309D3" w:rsidP="007309D3">
      <w:pPr>
        <w:pStyle w:val="EntradaSumario"/>
      </w:pPr>
      <w:r w:rsidRPr="007309D3">
        <w:rPr>
          <w:rStyle w:val="TextoNormalCaracter"/>
        </w:rPr>
        <w:t xml:space="preserve">Recurso de amparo 5553-2020. </w:t>
      </w:r>
      <w:r w:rsidRPr="007309D3">
        <w:rPr>
          <w:rStyle w:val="TextoNormalCursivaCaracter"/>
        </w:rPr>
        <w:t xml:space="preserve"> Vulneración del derecho a la tutela judicial efectiva (resolución fundada en Derecho): STC 91/2023 (autos que, ignorando el principio de efectividad del Derecho de la Unión Europea, deniegan la imposición de costas en un proceso en el que se ha declarado el carácter abusivo de cláusulas contractuales).</w:t>
      </w:r>
      <w:r>
        <w:tab/>
      </w:r>
      <w:r>
        <w:tab/>
      </w:r>
      <w:r>
        <w:fldChar w:fldCharType="begin"/>
      </w:r>
      <w:r>
        <w:instrText xml:space="preserve"> PAGEREF SENTENCIA_2023_96 \h </w:instrText>
      </w:r>
      <w:r>
        <w:fldChar w:fldCharType="separate"/>
      </w:r>
      <w:r w:rsidR="00C73693">
        <w:rPr>
          <w:noProof/>
        </w:rPr>
        <w:t>579</w:t>
      </w:r>
      <w:r>
        <w:fldChar w:fldCharType="end"/>
      </w:r>
    </w:p>
    <w:p w14:paraId="0079E9C3" w14:textId="77777777" w:rsidR="007309D3" w:rsidRDefault="007309D3" w:rsidP="007309D3"/>
    <w:p w14:paraId="466F4FC5" w14:textId="77777777" w:rsidR="007309D3" w:rsidRDefault="007309D3" w:rsidP="007309D3">
      <w:pPr>
        <w:pStyle w:val="EntradandiceSentencia"/>
      </w:pPr>
      <w:r>
        <w:t>Sala Primera. Sentencia 97/2023, de 25 de septiembre de 2023</w:t>
      </w:r>
    </w:p>
    <w:p w14:paraId="583DABE0" w14:textId="50F79DD8" w:rsidR="007309D3" w:rsidRDefault="007309D3" w:rsidP="007309D3">
      <w:pPr>
        <w:pStyle w:val="EntradandiceSentencia"/>
      </w:pPr>
    </w:p>
    <w:p w14:paraId="1D11C76A" w14:textId="0DC2B2A6" w:rsidR="007309D3" w:rsidRDefault="007309D3" w:rsidP="007309D3">
      <w:pPr>
        <w:pStyle w:val="EntradaSumario"/>
      </w:pPr>
      <w:r w:rsidRPr="007309D3">
        <w:rPr>
          <w:rStyle w:val="TextoNormalCaracter"/>
        </w:rPr>
        <w:t xml:space="preserve">Recurso de amparo 141-2021. </w:t>
      </w:r>
      <w:r w:rsidRPr="007309D3">
        <w:rPr>
          <w:rStyle w:val="TextoNormalCursivaCaracter"/>
        </w:rPr>
        <w:t xml:space="preserve"> Supuesta vulneración del derecho a la igualdad y a las libertades de expresión e información: STC 89/2023 (resolución administrativa que no resulta desproporcionada y que viene impuesta por la inexistencia de reserva de dominio público radioeléctrico).Voto particular.</w:t>
      </w:r>
      <w:r>
        <w:tab/>
      </w:r>
      <w:r>
        <w:tab/>
      </w:r>
      <w:r>
        <w:fldChar w:fldCharType="begin"/>
      </w:r>
      <w:r>
        <w:instrText xml:space="preserve"> PAGEREF SENTENCIA_2023_97 \h </w:instrText>
      </w:r>
      <w:r>
        <w:fldChar w:fldCharType="separate"/>
      </w:r>
      <w:r w:rsidR="00C73693">
        <w:rPr>
          <w:noProof/>
        </w:rPr>
        <w:t>595</w:t>
      </w:r>
      <w:r>
        <w:fldChar w:fldCharType="end"/>
      </w:r>
    </w:p>
    <w:p w14:paraId="009D631E" w14:textId="77777777" w:rsidR="007309D3" w:rsidRDefault="007309D3" w:rsidP="007309D3"/>
    <w:p w14:paraId="028FBC98" w14:textId="77777777" w:rsidR="007309D3" w:rsidRDefault="007309D3" w:rsidP="007309D3">
      <w:pPr>
        <w:pStyle w:val="EntradandiceSentencia"/>
      </w:pPr>
      <w:r>
        <w:t>Sala Segunda. Sentencia 98/2023, de 25 de septiembre de 2023</w:t>
      </w:r>
    </w:p>
    <w:p w14:paraId="50E08761" w14:textId="50B67412" w:rsidR="007309D3" w:rsidRDefault="007309D3" w:rsidP="007309D3">
      <w:pPr>
        <w:pStyle w:val="EntradandiceSentencia"/>
      </w:pPr>
    </w:p>
    <w:p w14:paraId="1815EE56" w14:textId="64D6D43B" w:rsidR="007309D3" w:rsidRDefault="007309D3" w:rsidP="007309D3">
      <w:pPr>
        <w:pStyle w:val="EntradaSumario"/>
      </w:pPr>
      <w:r w:rsidRPr="007309D3">
        <w:rPr>
          <w:rStyle w:val="TextoNormalCaracter"/>
        </w:rPr>
        <w:t xml:space="preserve">Recurso de amparo 164-2021. </w:t>
      </w:r>
      <w:r w:rsidRPr="007309D3">
        <w:rPr>
          <w:rStyle w:val="TextoNormalCursivaCaracter"/>
        </w:rPr>
        <w:t xml:space="preserve"> Supuesta vulneración del derecho a la igualdad y a las libertades de expresión e información: STC 89/2023 (resolución administrativa que no resulta desproporcionada y que viene impuesta por la inexistencia de reserva de dominio público radioeléctrico). Voto particular.</w:t>
      </w:r>
      <w:r>
        <w:tab/>
      </w:r>
      <w:r>
        <w:tab/>
      </w:r>
      <w:r>
        <w:fldChar w:fldCharType="begin"/>
      </w:r>
      <w:r>
        <w:instrText xml:space="preserve"> PAGEREF SENTENCIA_2023_98 \h </w:instrText>
      </w:r>
      <w:r>
        <w:fldChar w:fldCharType="separate"/>
      </w:r>
      <w:r w:rsidR="00C73693">
        <w:rPr>
          <w:noProof/>
        </w:rPr>
        <w:t>601</w:t>
      </w:r>
      <w:r>
        <w:fldChar w:fldCharType="end"/>
      </w:r>
    </w:p>
    <w:p w14:paraId="3972915E" w14:textId="77777777" w:rsidR="007309D3" w:rsidRDefault="007309D3" w:rsidP="007309D3"/>
    <w:p w14:paraId="3C345C05" w14:textId="77777777" w:rsidR="007309D3" w:rsidRDefault="007309D3" w:rsidP="007309D3">
      <w:pPr>
        <w:pStyle w:val="EntradandiceSentencia"/>
      </w:pPr>
      <w:r>
        <w:t>Sala Primera. Sentencia 99/2023, de 25 de septiembre de 2023</w:t>
      </w:r>
    </w:p>
    <w:p w14:paraId="7200894E" w14:textId="19A07850" w:rsidR="007309D3" w:rsidRDefault="007309D3" w:rsidP="007309D3">
      <w:pPr>
        <w:pStyle w:val="EntradandiceSentencia"/>
      </w:pPr>
    </w:p>
    <w:p w14:paraId="51CDC94D" w14:textId="21B08A8E" w:rsidR="007309D3" w:rsidRDefault="007309D3" w:rsidP="007309D3">
      <w:pPr>
        <w:pStyle w:val="EntradaSumario"/>
      </w:pPr>
      <w:r w:rsidRPr="007309D3">
        <w:rPr>
          <w:rStyle w:val="TextoNormalCaracter"/>
        </w:rPr>
        <w:t xml:space="preserve">Recurso de amparo 165-2021. </w:t>
      </w:r>
      <w:r w:rsidRPr="007309D3">
        <w:rPr>
          <w:rStyle w:val="TextoNormalCursivaCaracter"/>
        </w:rPr>
        <w:t xml:space="preserve"> Supuesta vulneración del derecho a la igualdad y a las libertades de expresión e información: STC 89/2023 (resolución administrativa que no resulta desproporcionada y que viene impuesta por la inexistencia de reserva de dominio público radioeléctrico). Voto particular.</w:t>
      </w:r>
      <w:r>
        <w:tab/>
      </w:r>
      <w:r>
        <w:tab/>
      </w:r>
      <w:r>
        <w:fldChar w:fldCharType="begin"/>
      </w:r>
      <w:r>
        <w:instrText xml:space="preserve"> PAGEREF SENTENCIA_2023_99 \h </w:instrText>
      </w:r>
      <w:r>
        <w:fldChar w:fldCharType="separate"/>
      </w:r>
      <w:r w:rsidR="00C73693">
        <w:rPr>
          <w:noProof/>
        </w:rPr>
        <w:t>607</w:t>
      </w:r>
      <w:r>
        <w:fldChar w:fldCharType="end"/>
      </w:r>
    </w:p>
    <w:p w14:paraId="2AF9864D" w14:textId="77777777" w:rsidR="007309D3" w:rsidRDefault="007309D3" w:rsidP="007309D3"/>
    <w:p w14:paraId="68AE0318" w14:textId="77777777" w:rsidR="007309D3" w:rsidRDefault="007309D3" w:rsidP="007309D3">
      <w:pPr>
        <w:pStyle w:val="EntradandiceSentencia"/>
      </w:pPr>
      <w:r>
        <w:t>Sala Segunda. Sentencia 100/2023, de 25 de septiembre de 2023</w:t>
      </w:r>
    </w:p>
    <w:p w14:paraId="70CA5778" w14:textId="1D8A9620" w:rsidR="007309D3" w:rsidRDefault="007309D3" w:rsidP="007309D3">
      <w:pPr>
        <w:pStyle w:val="EntradandiceSentencia"/>
      </w:pPr>
    </w:p>
    <w:p w14:paraId="49BB9450" w14:textId="41897C16" w:rsidR="007309D3" w:rsidRDefault="007309D3" w:rsidP="007309D3">
      <w:pPr>
        <w:pStyle w:val="EntradaSumario"/>
      </w:pPr>
      <w:r w:rsidRPr="007309D3">
        <w:rPr>
          <w:rStyle w:val="TextoNormalCaracter"/>
        </w:rPr>
        <w:t xml:space="preserve">Recurso de amparo 418-2021. </w:t>
      </w:r>
      <w:r w:rsidRPr="007309D3">
        <w:rPr>
          <w:rStyle w:val="TextoNormalCursivaCaracter"/>
        </w:rPr>
        <w:t xml:space="preserve"> Supuesta vulneración del derecho a la igualdad y a las libertades de expresión e información: STC 89/2023 (resolución administrativa que no resulta desproporcionada y que viene impuesta por la inexistencia de reserva de dominio público radioeléctrico). Voto particular.</w:t>
      </w:r>
      <w:r>
        <w:tab/>
      </w:r>
      <w:r>
        <w:tab/>
      </w:r>
      <w:r>
        <w:fldChar w:fldCharType="begin"/>
      </w:r>
      <w:r>
        <w:instrText xml:space="preserve"> PAGEREF SENTENCIA_2023_100 \h </w:instrText>
      </w:r>
      <w:r>
        <w:fldChar w:fldCharType="separate"/>
      </w:r>
      <w:r w:rsidR="00C73693">
        <w:rPr>
          <w:noProof/>
        </w:rPr>
        <w:t>613</w:t>
      </w:r>
      <w:r>
        <w:fldChar w:fldCharType="end"/>
      </w:r>
    </w:p>
    <w:p w14:paraId="380977CF" w14:textId="77777777" w:rsidR="007309D3" w:rsidRDefault="007309D3" w:rsidP="007309D3"/>
    <w:p w14:paraId="52CBED26" w14:textId="77777777" w:rsidR="007309D3" w:rsidRDefault="007309D3" w:rsidP="007309D3">
      <w:pPr>
        <w:pStyle w:val="EntradandiceSentencia"/>
      </w:pPr>
      <w:r>
        <w:t>Sala Segunda. Sentencia 101/2023, de 25 de septiembre de 2023</w:t>
      </w:r>
    </w:p>
    <w:p w14:paraId="11E574C8" w14:textId="2ABDEA22" w:rsidR="007309D3" w:rsidRDefault="007309D3" w:rsidP="007309D3">
      <w:pPr>
        <w:pStyle w:val="EntradandiceSentencia"/>
      </w:pPr>
    </w:p>
    <w:p w14:paraId="0FAA2CE4" w14:textId="50F4F3CE" w:rsidR="007309D3" w:rsidRDefault="007309D3" w:rsidP="007309D3">
      <w:pPr>
        <w:pStyle w:val="EntradaSumario"/>
      </w:pPr>
      <w:r w:rsidRPr="007309D3">
        <w:rPr>
          <w:rStyle w:val="TextoNormalCaracter"/>
        </w:rPr>
        <w:t xml:space="preserve">Recurso de amparo 462-2021. </w:t>
      </w:r>
      <w:r w:rsidRPr="007309D3">
        <w:rPr>
          <w:rStyle w:val="TextoNormalCursivaCaracter"/>
        </w:rPr>
        <w:t xml:space="preserve"> Alegada vulneración de los derechos a la tutela judicial efectiva y a un proceso con todas las garantías: inadmisión del recurso de amparo planteado sin haber agotado la vía judicial previa.</w:t>
      </w:r>
      <w:r>
        <w:tab/>
      </w:r>
      <w:r>
        <w:tab/>
      </w:r>
      <w:r>
        <w:fldChar w:fldCharType="begin"/>
      </w:r>
      <w:r>
        <w:instrText xml:space="preserve"> PAGEREF SENTENCIA_2023_101 \h </w:instrText>
      </w:r>
      <w:r>
        <w:fldChar w:fldCharType="separate"/>
      </w:r>
      <w:r w:rsidR="00C73693">
        <w:rPr>
          <w:noProof/>
        </w:rPr>
        <w:t>619</w:t>
      </w:r>
      <w:r>
        <w:fldChar w:fldCharType="end"/>
      </w:r>
    </w:p>
    <w:p w14:paraId="2B1E1031" w14:textId="77777777" w:rsidR="007309D3" w:rsidRDefault="007309D3" w:rsidP="007309D3"/>
    <w:p w14:paraId="705BE8E5" w14:textId="77777777" w:rsidR="007309D3" w:rsidRDefault="007309D3" w:rsidP="007309D3">
      <w:pPr>
        <w:pStyle w:val="EntradandiceSentencia"/>
      </w:pPr>
      <w:r>
        <w:t>Sala Primera. Sentencia 102/2023, de 25 de septiembre de 2023</w:t>
      </w:r>
    </w:p>
    <w:p w14:paraId="5C24AE52" w14:textId="06406B2A" w:rsidR="007309D3" w:rsidRDefault="007309D3" w:rsidP="007309D3">
      <w:pPr>
        <w:pStyle w:val="EntradandiceSentencia"/>
      </w:pPr>
    </w:p>
    <w:p w14:paraId="50EEBD0D" w14:textId="2F037FA3" w:rsidR="007309D3" w:rsidRDefault="007309D3" w:rsidP="007309D3">
      <w:pPr>
        <w:pStyle w:val="EntradaSumario"/>
      </w:pPr>
      <w:r w:rsidRPr="007309D3">
        <w:rPr>
          <w:rStyle w:val="TextoNormalCaracter"/>
        </w:rPr>
        <w:t xml:space="preserve">Recurso de amparo 508-2021. </w:t>
      </w:r>
      <w:r w:rsidRPr="007309D3">
        <w:rPr>
          <w:rStyle w:val="TextoNormalCursivaCaracter"/>
        </w:rPr>
        <w:t xml:space="preserve"> Supuesta vulneración del derecho a la igualdad y a las libertades de expresión e información: STC 89/2023 (resolución administrativa que no resulta desproporcionada y que viene impuesta por la inexistencia de reserva de dominio público radioeléctrico). Voto particular.</w:t>
      </w:r>
      <w:r>
        <w:tab/>
      </w:r>
      <w:r>
        <w:tab/>
      </w:r>
      <w:r>
        <w:fldChar w:fldCharType="begin"/>
      </w:r>
      <w:r>
        <w:instrText xml:space="preserve"> PAGEREF SENTENCIA_2023_102 \h </w:instrText>
      </w:r>
      <w:r>
        <w:fldChar w:fldCharType="separate"/>
      </w:r>
      <w:r w:rsidR="00C73693">
        <w:rPr>
          <w:noProof/>
        </w:rPr>
        <w:t>634</w:t>
      </w:r>
      <w:r>
        <w:fldChar w:fldCharType="end"/>
      </w:r>
    </w:p>
    <w:p w14:paraId="48D451B8" w14:textId="77777777" w:rsidR="007309D3" w:rsidRDefault="007309D3" w:rsidP="007309D3"/>
    <w:p w14:paraId="05811BA0" w14:textId="77777777" w:rsidR="007309D3" w:rsidRDefault="007309D3" w:rsidP="007309D3">
      <w:pPr>
        <w:pStyle w:val="EntradandiceSentencia"/>
      </w:pPr>
      <w:r>
        <w:t>Sala Segunda. Sentencia 103/2023, de 25 de septiembre de 2023</w:t>
      </w:r>
    </w:p>
    <w:p w14:paraId="089BAD99" w14:textId="575F7E67" w:rsidR="007309D3" w:rsidRDefault="007309D3" w:rsidP="007309D3">
      <w:pPr>
        <w:pStyle w:val="EntradandiceSentencia"/>
      </w:pPr>
    </w:p>
    <w:p w14:paraId="0AC02178" w14:textId="3EBF771B" w:rsidR="007309D3" w:rsidRDefault="007309D3" w:rsidP="007309D3">
      <w:pPr>
        <w:pStyle w:val="EntradaSumario"/>
      </w:pPr>
      <w:r w:rsidRPr="007309D3">
        <w:rPr>
          <w:rStyle w:val="TextoNormalCaracter"/>
        </w:rPr>
        <w:t xml:space="preserve">Recurso de amparo 719-2021. </w:t>
      </w:r>
      <w:r w:rsidRPr="007309D3">
        <w:rPr>
          <w:rStyle w:val="TextoNormalCursivaCaracter"/>
        </w:rPr>
        <w:t xml:space="preserve"> Supuesta vulneración del derecho a la igualdad y a las libertades de expresión e información: STC 89/2023 (resolución administrativa que no resulta desproporcionada y que viene impuesta por la inexistencia de reserva de dominio público radioeléctrico). Voto particular.</w:t>
      </w:r>
      <w:r>
        <w:tab/>
      </w:r>
      <w:r>
        <w:tab/>
      </w:r>
      <w:r>
        <w:fldChar w:fldCharType="begin"/>
      </w:r>
      <w:r>
        <w:instrText xml:space="preserve"> PAGEREF SENTENCIA_2023_103 \h </w:instrText>
      </w:r>
      <w:r>
        <w:fldChar w:fldCharType="separate"/>
      </w:r>
      <w:r w:rsidR="00C73693">
        <w:rPr>
          <w:noProof/>
        </w:rPr>
        <w:t>640</w:t>
      </w:r>
      <w:r>
        <w:fldChar w:fldCharType="end"/>
      </w:r>
    </w:p>
    <w:p w14:paraId="0A59B1DE" w14:textId="77777777" w:rsidR="007309D3" w:rsidRDefault="007309D3" w:rsidP="007309D3"/>
    <w:p w14:paraId="101253E4" w14:textId="77777777" w:rsidR="007309D3" w:rsidRDefault="007309D3" w:rsidP="007309D3">
      <w:pPr>
        <w:pStyle w:val="EntradandiceSentencia"/>
      </w:pPr>
      <w:r>
        <w:t>Sala Primera. Sentencia 104/2023, de 25 de septiembre de 2023</w:t>
      </w:r>
    </w:p>
    <w:p w14:paraId="335A5DD6" w14:textId="2CCEAEBD" w:rsidR="007309D3" w:rsidRDefault="007309D3" w:rsidP="007309D3">
      <w:pPr>
        <w:pStyle w:val="EntradandiceSentencia"/>
      </w:pPr>
    </w:p>
    <w:p w14:paraId="28742C3F" w14:textId="580F2DA7" w:rsidR="007309D3" w:rsidRDefault="007309D3" w:rsidP="007309D3">
      <w:pPr>
        <w:pStyle w:val="EntradaSumario"/>
      </w:pPr>
      <w:r w:rsidRPr="007309D3">
        <w:rPr>
          <w:rStyle w:val="TextoNormalCaracter"/>
        </w:rPr>
        <w:t xml:space="preserve">Recurso de amparo 720-2021. </w:t>
      </w:r>
      <w:r w:rsidRPr="007309D3">
        <w:rPr>
          <w:rStyle w:val="TextoNormalCursivaCaracter"/>
        </w:rPr>
        <w:t xml:space="preserve"> Supuesta vulneración del derecho a la igualdad y a las libertades de expresión e información: STC 89/2023 (resolución administrativa que no resulta desproporcionada y que viene impuesta por la inexistencia de reserva de dominio público radioeléctrico). Voto particular.</w:t>
      </w:r>
      <w:r>
        <w:tab/>
      </w:r>
      <w:r>
        <w:tab/>
      </w:r>
      <w:r>
        <w:fldChar w:fldCharType="begin"/>
      </w:r>
      <w:r>
        <w:instrText xml:space="preserve"> PAGEREF SENTENCIA_2023_104 \h </w:instrText>
      </w:r>
      <w:r>
        <w:fldChar w:fldCharType="separate"/>
      </w:r>
      <w:r w:rsidR="00C73693">
        <w:rPr>
          <w:noProof/>
        </w:rPr>
        <w:t>646</w:t>
      </w:r>
      <w:r>
        <w:fldChar w:fldCharType="end"/>
      </w:r>
    </w:p>
    <w:p w14:paraId="39122A2B" w14:textId="77777777" w:rsidR="007309D3" w:rsidRDefault="007309D3" w:rsidP="007309D3"/>
    <w:p w14:paraId="742E67B7" w14:textId="77777777" w:rsidR="007309D3" w:rsidRDefault="007309D3" w:rsidP="007309D3">
      <w:pPr>
        <w:pStyle w:val="EntradandiceSentencia"/>
      </w:pPr>
      <w:r>
        <w:t>Sala Primera. Sentencia 105/2023, de 25 de septiembre de 2023</w:t>
      </w:r>
    </w:p>
    <w:p w14:paraId="35EF5CF1" w14:textId="3ACD61D1" w:rsidR="007309D3" w:rsidRDefault="007309D3" w:rsidP="007309D3">
      <w:pPr>
        <w:pStyle w:val="EntradandiceSentencia"/>
      </w:pPr>
    </w:p>
    <w:p w14:paraId="2412EB8D" w14:textId="02238374" w:rsidR="007309D3" w:rsidRDefault="007309D3" w:rsidP="007309D3">
      <w:pPr>
        <w:pStyle w:val="EntradaSumario"/>
      </w:pPr>
      <w:r w:rsidRPr="007309D3">
        <w:rPr>
          <w:rStyle w:val="TextoNormalCaracter"/>
        </w:rPr>
        <w:t xml:space="preserve">Recurso de amparo 756-2021. </w:t>
      </w:r>
      <w:r w:rsidRPr="007309D3">
        <w:rPr>
          <w:rStyle w:val="TextoNormalCursivaCaracter"/>
        </w:rPr>
        <w:t xml:space="preserve"> Supuesta vulneración del derecho a la igualdad y a las libertades de expresión e información: STC 89/2023 (resolución administrativa que no resulta desproporcionada y que viene impuesta por la inexistencia de reserva de dominio público radioeléctrico). Voto particular.</w:t>
      </w:r>
      <w:r>
        <w:tab/>
      </w:r>
      <w:r>
        <w:tab/>
      </w:r>
      <w:r>
        <w:fldChar w:fldCharType="begin"/>
      </w:r>
      <w:r>
        <w:instrText xml:space="preserve"> PAGEREF SENTENCIA_2023_105 \h </w:instrText>
      </w:r>
      <w:r>
        <w:fldChar w:fldCharType="separate"/>
      </w:r>
      <w:r w:rsidR="00C73693">
        <w:rPr>
          <w:noProof/>
        </w:rPr>
        <w:t>652</w:t>
      </w:r>
      <w:r>
        <w:fldChar w:fldCharType="end"/>
      </w:r>
    </w:p>
    <w:p w14:paraId="7A1276F0" w14:textId="77777777" w:rsidR="007309D3" w:rsidRDefault="007309D3" w:rsidP="007309D3"/>
    <w:p w14:paraId="032654F5" w14:textId="77777777" w:rsidR="007309D3" w:rsidRDefault="007309D3" w:rsidP="007309D3">
      <w:pPr>
        <w:pStyle w:val="EntradandiceSentencia"/>
      </w:pPr>
      <w:r>
        <w:t>Sala Segunda. Sentencia 106/2023, de 25 de septiembre de 2023</w:t>
      </w:r>
    </w:p>
    <w:p w14:paraId="664C2EA8" w14:textId="13A6DAD8" w:rsidR="007309D3" w:rsidRDefault="007309D3" w:rsidP="007309D3">
      <w:pPr>
        <w:pStyle w:val="EntradandiceSentencia"/>
      </w:pPr>
    </w:p>
    <w:p w14:paraId="233C7633" w14:textId="106128B6" w:rsidR="007309D3" w:rsidRDefault="007309D3" w:rsidP="007309D3">
      <w:pPr>
        <w:pStyle w:val="EntradaSumario"/>
      </w:pPr>
      <w:r w:rsidRPr="007309D3">
        <w:rPr>
          <w:rStyle w:val="TextoNormalCaracter"/>
        </w:rPr>
        <w:t xml:space="preserve">Recurso de amparo 817-2021. </w:t>
      </w:r>
      <w:r w:rsidRPr="007309D3">
        <w:rPr>
          <w:rStyle w:val="TextoNormalCursivaCaracter"/>
        </w:rPr>
        <w:t xml:space="preserve"> Supuesta vulneración del derecho a la igualdad y a las libertades de expresión e información: STC 89/2023 (resolución administrativa que no resulta desproporcionada y que viene impuesta por la inexistencia de reserva de dominio público radioeléctrico). Voto particular.</w:t>
      </w:r>
      <w:r>
        <w:tab/>
      </w:r>
      <w:r>
        <w:tab/>
      </w:r>
      <w:r>
        <w:fldChar w:fldCharType="begin"/>
      </w:r>
      <w:r>
        <w:instrText xml:space="preserve"> PAGEREF SENTENCIA_2023_106 \h </w:instrText>
      </w:r>
      <w:r>
        <w:fldChar w:fldCharType="separate"/>
      </w:r>
      <w:r w:rsidR="00C73693">
        <w:rPr>
          <w:noProof/>
        </w:rPr>
        <w:t>658</w:t>
      </w:r>
      <w:r>
        <w:fldChar w:fldCharType="end"/>
      </w:r>
    </w:p>
    <w:p w14:paraId="58D5AD29" w14:textId="77777777" w:rsidR="007309D3" w:rsidRDefault="007309D3" w:rsidP="007309D3"/>
    <w:p w14:paraId="06214A53" w14:textId="77777777" w:rsidR="007309D3" w:rsidRDefault="007309D3" w:rsidP="007309D3">
      <w:pPr>
        <w:pStyle w:val="EntradandiceSentencia"/>
      </w:pPr>
      <w:r>
        <w:t>Sala Primera. Sentencia 107/2023, de 25 de septiembre de 2023</w:t>
      </w:r>
    </w:p>
    <w:p w14:paraId="7962E67A" w14:textId="6230D326" w:rsidR="007309D3" w:rsidRDefault="007309D3" w:rsidP="007309D3">
      <w:pPr>
        <w:pStyle w:val="EntradandiceSentencia"/>
      </w:pPr>
    </w:p>
    <w:p w14:paraId="4A78E302" w14:textId="585AFFC6" w:rsidR="007309D3" w:rsidRDefault="007309D3" w:rsidP="007309D3">
      <w:pPr>
        <w:pStyle w:val="EntradaSumario"/>
      </w:pPr>
      <w:r w:rsidRPr="007309D3">
        <w:rPr>
          <w:rStyle w:val="TextoNormalCaracter"/>
        </w:rPr>
        <w:t xml:space="preserve">Recurso de amparo 828-2021. </w:t>
      </w:r>
      <w:r w:rsidRPr="007309D3">
        <w:rPr>
          <w:rStyle w:val="TextoNormalCursivaCaracter"/>
        </w:rPr>
        <w:t xml:space="preserve"> Supuesta vulneración del derecho a la igualdad y a las libertades de expresión e información: STC 89/2023 (resolución administrativa que no resulta desproporcionada y que viene impuesta por la inexistencia de reserva de dominio público radioeléctrico). Voto particular.</w:t>
      </w:r>
      <w:r>
        <w:tab/>
      </w:r>
      <w:r>
        <w:tab/>
      </w:r>
      <w:r>
        <w:fldChar w:fldCharType="begin"/>
      </w:r>
      <w:r>
        <w:instrText xml:space="preserve"> PAGEREF SENTENCIA_2023_107 \h </w:instrText>
      </w:r>
      <w:r>
        <w:fldChar w:fldCharType="separate"/>
      </w:r>
      <w:r w:rsidR="00C73693">
        <w:rPr>
          <w:noProof/>
        </w:rPr>
        <w:t>665</w:t>
      </w:r>
      <w:r>
        <w:fldChar w:fldCharType="end"/>
      </w:r>
    </w:p>
    <w:p w14:paraId="11821C9A" w14:textId="77777777" w:rsidR="007309D3" w:rsidRDefault="007309D3" w:rsidP="007309D3"/>
    <w:p w14:paraId="71FF7EE9" w14:textId="77777777" w:rsidR="007309D3" w:rsidRDefault="007309D3" w:rsidP="007309D3">
      <w:pPr>
        <w:pStyle w:val="EntradandiceSentencia"/>
      </w:pPr>
      <w:r>
        <w:t>Sala Segunda. Sentencia 108/2023, de 25 de septiembre de 2023</w:t>
      </w:r>
    </w:p>
    <w:p w14:paraId="222B2EE3" w14:textId="6DB27355" w:rsidR="007309D3" w:rsidRDefault="007309D3" w:rsidP="007309D3">
      <w:pPr>
        <w:pStyle w:val="EntradandiceSentencia"/>
      </w:pPr>
    </w:p>
    <w:p w14:paraId="30BB748D" w14:textId="1BA1F61D" w:rsidR="007309D3" w:rsidRDefault="007309D3" w:rsidP="007309D3">
      <w:pPr>
        <w:pStyle w:val="EntradaSumario"/>
      </w:pPr>
      <w:r w:rsidRPr="007309D3">
        <w:rPr>
          <w:rStyle w:val="TextoNormalCaracter"/>
        </w:rPr>
        <w:t xml:space="preserve">Recurso de amparo 829-2021. </w:t>
      </w:r>
      <w:r w:rsidRPr="007309D3">
        <w:rPr>
          <w:rStyle w:val="TextoNormalCursivaCaracter"/>
        </w:rPr>
        <w:t xml:space="preserve"> Supuesta vulneración del derecho a la igualdad y a las libertades de expresión e información: STC 89/2023 (resolución administrativa que no resulta desproporcionada y que viene impuesta por la inexistencia de reserva de dominio público radioeléctrico). Voto particular.</w:t>
      </w:r>
      <w:r>
        <w:tab/>
      </w:r>
      <w:r>
        <w:tab/>
      </w:r>
      <w:r>
        <w:fldChar w:fldCharType="begin"/>
      </w:r>
      <w:r>
        <w:instrText xml:space="preserve"> PAGEREF SENTENCIA_2023_108 \h </w:instrText>
      </w:r>
      <w:r>
        <w:fldChar w:fldCharType="separate"/>
      </w:r>
      <w:r w:rsidR="00C73693">
        <w:rPr>
          <w:noProof/>
        </w:rPr>
        <w:t>671</w:t>
      </w:r>
      <w:r>
        <w:fldChar w:fldCharType="end"/>
      </w:r>
    </w:p>
    <w:p w14:paraId="139EF241" w14:textId="77777777" w:rsidR="007309D3" w:rsidRDefault="007309D3" w:rsidP="007309D3"/>
    <w:p w14:paraId="5A37E54C" w14:textId="77777777" w:rsidR="007309D3" w:rsidRDefault="007309D3" w:rsidP="007309D3">
      <w:pPr>
        <w:pStyle w:val="EntradandiceSentencia"/>
      </w:pPr>
      <w:r>
        <w:t>Sala Primera. Sentencia 109/2023, de 25 de septiembre de 2023</w:t>
      </w:r>
    </w:p>
    <w:p w14:paraId="21527DD1" w14:textId="74B18B3F" w:rsidR="007309D3" w:rsidRDefault="007309D3" w:rsidP="007309D3">
      <w:pPr>
        <w:pStyle w:val="EntradandiceSentencia"/>
      </w:pPr>
    </w:p>
    <w:p w14:paraId="48CBBD8B" w14:textId="4B918FED" w:rsidR="007309D3" w:rsidRDefault="007309D3" w:rsidP="007309D3">
      <w:pPr>
        <w:pStyle w:val="EntradaSumario"/>
      </w:pPr>
      <w:r w:rsidRPr="007309D3">
        <w:rPr>
          <w:rStyle w:val="TextoNormalCaracter"/>
        </w:rPr>
        <w:t xml:space="preserve">Recurso de amparo 895-2021. </w:t>
      </w:r>
      <w:r w:rsidRPr="007309D3">
        <w:rPr>
          <w:rStyle w:val="TextoNormalCursivaCaracter"/>
        </w:rPr>
        <w:t xml:space="preserve"> Supuesta vulneración del derecho a la igualdad y a las libertades de expresión e información: STC 89/2023 (resolución administrativa que no resulta desproporcionada y que viene impuesta por la inexistencia de reserva de dominio público radioeléctrico). Voto particular.</w:t>
      </w:r>
      <w:r>
        <w:tab/>
      </w:r>
      <w:r>
        <w:tab/>
      </w:r>
      <w:r>
        <w:fldChar w:fldCharType="begin"/>
      </w:r>
      <w:r>
        <w:instrText xml:space="preserve"> PAGEREF SENTENCIA_2023_109 \h </w:instrText>
      </w:r>
      <w:r>
        <w:fldChar w:fldCharType="separate"/>
      </w:r>
      <w:r w:rsidR="00C73693">
        <w:rPr>
          <w:noProof/>
        </w:rPr>
        <w:t>677</w:t>
      </w:r>
      <w:r>
        <w:fldChar w:fldCharType="end"/>
      </w:r>
    </w:p>
    <w:p w14:paraId="5E06E2F0" w14:textId="77777777" w:rsidR="007309D3" w:rsidRDefault="007309D3" w:rsidP="007309D3"/>
    <w:p w14:paraId="149BDEF1" w14:textId="77777777" w:rsidR="007309D3" w:rsidRDefault="007309D3" w:rsidP="007309D3">
      <w:pPr>
        <w:pStyle w:val="EntradandiceSentencia"/>
      </w:pPr>
      <w:r>
        <w:t>Sala Primera. Sentencia 110/2023, de 25 de septiembre de 2023</w:t>
      </w:r>
    </w:p>
    <w:p w14:paraId="536D0465" w14:textId="184E72EE" w:rsidR="007309D3" w:rsidRDefault="007309D3" w:rsidP="007309D3">
      <w:pPr>
        <w:pStyle w:val="EntradandiceSentencia"/>
      </w:pPr>
    </w:p>
    <w:p w14:paraId="09D65FEC" w14:textId="28F67BA2" w:rsidR="007309D3" w:rsidRDefault="007309D3" w:rsidP="007309D3">
      <w:pPr>
        <w:pStyle w:val="EntradaSumario"/>
      </w:pPr>
      <w:r w:rsidRPr="007309D3">
        <w:rPr>
          <w:rStyle w:val="TextoNormalCaracter"/>
        </w:rPr>
        <w:t xml:space="preserve">Recurso de amparo 1096-2021. </w:t>
      </w:r>
      <w:r w:rsidRPr="007309D3">
        <w:rPr>
          <w:rStyle w:val="TextoNormalCursivaCaracter"/>
        </w:rPr>
        <w:t xml:space="preserve"> Supuesta vulneración del derecho a la igualdad y a las libertades de expresión e información: STC 89/2023 (resolución administrativa que no resulta desproporcionada y que viene impuesta por la inexistencia de reserva de dominio público radioeléctrico). Voto particular.</w:t>
      </w:r>
      <w:r>
        <w:tab/>
      </w:r>
      <w:r>
        <w:tab/>
      </w:r>
      <w:r>
        <w:fldChar w:fldCharType="begin"/>
      </w:r>
      <w:r>
        <w:instrText xml:space="preserve"> PAGEREF SENTENCIA_2023_110 \h </w:instrText>
      </w:r>
      <w:r>
        <w:fldChar w:fldCharType="separate"/>
      </w:r>
      <w:r w:rsidR="00C73693">
        <w:rPr>
          <w:noProof/>
        </w:rPr>
        <w:t>682</w:t>
      </w:r>
      <w:r>
        <w:fldChar w:fldCharType="end"/>
      </w:r>
    </w:p>
    <w:p w14:paraId="653C00FB" w14:textId="77777777" w:rsidR="007309D3" w:rsidRDefault="007309D3" w:rsidP="007309D3"/>
    <w:p w14:paraId="72656BEC" w14:textId="77777777" w:rsidR="007309D3" w:rsidRDefault="007309D3" w:rsidP="007309D3">
      <w:pPr>
        <w:pStyle w:val="EntradandiceSentencia"/>
      </w:pPr>
      <w:r>
        <w:t>Sala Primera. Sentencia 111/2023, de 25 de septiembre de 2023</w:t>
      </w:r>
    </w:p>
    <w:p w14:paraId="63C05A1C" w14:textId="654DBD56" w:rsidR="007309D3" w:rsidRDefault="007309D3" w:rsidP="007309D3">
      <w:pPr>
        <w:pStyle w:val="EntradandiceSentencia"/>
      </w:pPr>
    </w:p>
    <w:p w14:paraId="1B50B7A0" w14:textId="60101E1C" w:rsidR="007309D3" w:rsidRDefault="007309D3" w:rsidP="007309D3">
      <w:pPr>
        <w:pStyle w:val="EntradaSumario"/>
      </w:pPr>
      <w:r w:rsidRPr="007309D3">
        <w:rPr>
          <w:rStyle w:val="TextoNormalCaracter"/>
        </w:rPr>
        <w:t xml:space="preserve">Recurso de amparo 1168-2021. </w:t>
      </w:r>
      <w:r w:rsidRPr="007309D3">
        <w:rPr>
          <w:rStyle w:val="TextoNormalCursivaCaracter"/>
        </w:rPr>
        <w:t xml:space="preserve"> Supuesta vulneración del derecho a la igualdad y a las libertades de expresión e información: STC 89/2023 (resolución administrativa que no resulta desproporcionada y que viene impuesta por la inexistencia de reserva de dominio público radioeléctrico). Voto particular.</w:t>
      </w:r>
      <w:r>
        <w:tab/>
      </w:r>
      <w:r>
        <w:tab/>
      </w:r>
      <w:r>
        <w:fldChar w:fldCharType="begin"/>
      </w:r>
      <w:r>
        <w:instrText xml:space="preserve"> PAGEREF SENTENCIA_2023_111 \h </w:instrText>
      </w:r>
      <w:r>
        <w:fldChar w:fldCharType="separate"/>
      </w:r>
      <w:r w:rsidR="00C73693">
        <w:rPr>
          <w:noProof/>
        </w:rPr>
        <w:t>687</w:t>
      </w:r>
      <w:r>
        <w:fldChar w:fldCharType="end"/>
      </w:r>
    </w:p>
    <w:p w14:paraId="3ADE8C02" w14:textId="77777777" w:rsidR="007309D3" w:rsidRDefault="007309D3" w:rsidP="007309D3"/>
    <w:p w14:paraId="43743A51" w14:textId="77777777" w:rsidR="007309D3" w:rsidRDefault="007309D3" w:rsidP="007309D3">
      <w:pPr>
        <w:pStyle w:val="EntradandiceSentencia"/>
      </w:pPr>
      <w:r>
        <w:t>Sala Segunda. Sentencia 112/2023, de 25 de septiembre de 2023</w:t>
      </w:r>
    </w:p>
    <w:p w14:paraId="53ACB4C5" w14:textId="239FC5CE" w:rsidR="007309D3" w:rsidRDefault="007309D3" w:rsidP="007309D3">
      <w:pPr>
        <w:pStyle w:val="EntradandiceSentencia"/>
      </w:pPr>
    </w:p>
    <w:p w14:paraId="713C994A" w14:textId="31ED340D" w:rsidR="007309D3" w:rsidRDefault="007309D3" w:rsidP="007309D3">
      <w:pPr>
        <w:pStyle w:val="EntradaSumario"/>
      </w:pPr>
      <w:r w:rsidRPr="007309D3">
        <w:rPr>
          <w:rStyle w:val="TextoNormalCaracter"/>
        </w:rPr>
        <w:t xml:space="preserve">Recurso de amparo 1750-2021. </w:t>
      </w:r>
      <w:r w:rsidRPr="007309D3">
        <w:rPr>
          <w:rStyle w:val="TextoNormalCursivaCaracter"/>
        </w:rPr>
        <w:t xml:space="preserve"> Supuesta vulneración del derecho a la igualdad y a las libertades de expresión e información: STC 89/2023 (resolución administrativa que no resulta desproporcionada y que viene impuesta por la inexistencia de reserva de dominio público radioeléctrico). Voto particular.</w:t>
      </w:r>
      <w:r>
        <w:tab/>
      </w:r>
      <w:r>
        <w:tab/>
      </w:r>
      <w:r>
        <w:fldChar w:fldCharType="begin"/>
      </w:r>
      <w:r>
        <w:instrText xml:space="preserve"> PAGEREF SENTENCIA_2023_112 \h </w:instrText>
      </w:r>
      <w:r>
        <w:fldChar w:fldCharType="separate"/>
      </w:r>
      <w:r w:rsidR="00C73693">
        <w:rPr>
          <w:noProof/>
        </w:rPr>
        <w:t>693</w:t>
      </w:r>
      <w:r>
        <w:fldChar w:fldCharType="end"/>
      </w:r>
    </w:p>
    <w:p w14:paraId="095B235C" w14:textId="77777777" w:rsidR="007309D3" w:rsidRDefault="007309D3" w:rsidP="007309D3"/>
    <w:p w14:paraId="433788A8" w14:textId="77777777" w:rsidR="007309D3" w:rsidRDefault="007309D3" w:rsidP="007309D3">
      <w:pPr>
        <w:pStyle w:val="EntradandiceSentencia"/>
      </w:pPr>
      <w:r>
        <w:t>Sala Segunda. Sentencia 113/2023, de 25 de septiembre de 2023</w:t>
      </w:r>
    </w:p>
    <w:p w14:paraId="375F2EEF" w14:textId="59984FBA" w:rsidR="007309D3" w:rsidRDefault="007309D3" w:rsidP="007309D3">
      <w:pPr>
        <w:pStyle w:val="EntradandiceSentencia"/>
      </w:pPr>
    </w:p>
    <w:p w14:paraId="29AF3989" w14:textId="3BEE89B7" w:rsidR="007309D3" w:rsidRDefault="007309D3" w:rsidP="007309D3">
      <w:pPr>
        <w:pStyle w:val="EntradaSumario"/>
      </w:pPr>
      <w:r w:rsidRPr="007309D3">
        <w:rPr>
          <w:rStyle w:val="TextoNormalCaracter"/>
        </w:rPr>
        <w:t xml:space="preserve">Recurso de amparo 1754-2021. </w:t>
      </w:r>
      <w:r w:rsidRPr="007309D3">
        <w:rPr>
          <w:rStyle w:val="TextoNormalCursivaCaracter"/>
        </w:rPr>
        <w:t xml:space="preserve"> Supuesta vulneración del derecho a la igualdad y a las libertades de expresión e información: STC 89/2023 (resolución administrativa que no resulta desproporcionada y que viene impuesta por la inexistencia de reserva de dominio público radioeléctrico). Voto particular.</w:t>
      </w:r>
      <w:r>
        <w:tab/>
      </w:r>
      <w:r>
        <w:tab/>
      </w:r>
      <w:r>
        <w:fldChar w:fldCharType="begin"/>
      </w:r>
      <w:r>
        <w:instrText xml:space="preserve"> PAGEREF SENTENCIA_2023_113 \h </w:instrText>
      </w:r>
      <w:r>
        <w:fldChar w:fldCharType="separate"/>
      </w:r>
      <w:r w:rsidR="00C73693">
        <w:rPr>
          <w:noProof/>
        </w:rPr>
        <w:t>699</w:t>
      </w:r>
      <w:r>
        <w:fldChar w:fldCharType="end"/>
      </w:r>
    </w:p>
    <w:p w14:paraId="5627237B" w14:textId="77777777" w:rsidR="007309D3" w:rsidRDefault="007309D3" w:rsidP="007309D3"/>
    <w:p w14:paraId="70B05DAE" w14:textId="77777777" w:rsidR="007309D3" w:rsidRDefault="007309D3" w:rsidP="007309D3">
      <w:pPr>
        <w:pStyle w:val="EntradandiceSentencia"/>
      </w:pPr>
      <w:r>
        <w:t>Sala Segunda. Sentencia 114/2023, de 25 de septiembre de 2023</w:t>
      </w:r>
    </w:p>
    <w:p w14:paraId="5AB222C9" w14:textId="7EED4D03" w:rsidR="007309D3" w:rsidRDefault="007309D3" w:rsidP="007309D3">
      <w:pPr>
        <w:pStyle w:val="EntradandiceSentencia"/>
      </w:pPr>
    </w:p>
    <w:p w14:paraId="349141DE" w14:textId="53539D0C" w:rsidR="007309D3" w:rsidRDefault="007309D3" w:rsidP="007309D3">
      <w:pPr>
        <w:pStyle w:val="EntradaSumario"/>
      </w:pPr>
      <w:r w:rsidRPr="007309D3">
        <w:rPr>
          <w:rStyle w:val="TextoNormalCaracter"/>
        </w:rPr>
        <w:t xml:space="preserve">Recurso de amparo 1847-2021. </w:t>
      </w:r>
      <w:r w:rsidRPr="007309D3">
        <w:rPr>
          <w:rStyle w:val="TextoNormalCursivaCaracter"/>
        </w:rPr>
        <w:t xml:space="preserve"> Supuesta vulneración del derecho a la igualdad y a las libertades de expresión e información: STC 89/2023 (resolución administrativa que no resulta desproporcionada y que viene impuesta por la inexistencia de reserva de dominio público radioeléctrico). Voto particular.</w:t>
      </w:r>
      <w:r>
        <w:tab/>
      </w:r>
      <w:r>
        <w:tab/>
      </w:r>
      <w:r>
        <w:fldChar w:fldCharType="begin"/>
      </w:r>
      <w:r>
        <w:instrText xml:space="preserve"> PAGEREF SENTENCIA_2023_114 \h </w:instrText>
      </w:r>
      <w:r>
        <w:fldChar w:fldCharType="separate"/>
      </w:r>
      <w:r w:rsidR="00C73693">
        <w:rPr>
          <w:noProof/>
        </w:rPr>
        <w:t>705</w:t>
      </w:r>
      <w:r>
        <w:fldChar w:fldCharType="end"/>
      </w:r>
    </w:p>
    <w:p w14:paraId="29ED427F" w14:textId="77777777" w:rsidR="007309D3" w:rsidRDefault="007309D3" w:rsidP="007309D3"/>
    <w:p w14:paraId="6085D133" w14:textId="77777777" w:rsidR="007309D3" w:rsidRDefault="007309D3" w:rsidP="007309D3">
      <w:pPr>
        <w:pStyle w:val="EntradandiceSentencia"/>
      </w:pPr>
      <w:r>
        <w:t>Sala Primera. Sentencia 115/2023, de 25 de septiembre de 2023</w:t>
      </w:r>
    </w:p>
    <w:p w14:paraId="74DE7BD3" w14:textId="164141CB" w:rsidR="007309D3" w:rsidRDefault="007309D3" w:rsidP="007309D3">
      <w:pPr>
        <w:pStyle w:val="EntradandiceSentencia"/>
      </w:pPr>
    </w:p>
    <w:p w14:paraId="77C9778C" w14:textId="67634025" w:rsidR="007309D3" w:rsidRDefault="007309D3" w:rsidP="007309D3">
      <w:pPr>
        <w:pStyle w:val="EntradaSumario"/>
      </w:pPr>
      <w:r w:rsidRPr="007309D3">
        <w:rPr>
          <w:rStyle w:val="TextoNormalCaracter"/>
        </w:rPr>
        <w:t xml:space="preserve">Recurso de amparo 2749-2021. </w:t>
      </w:r>
      <w:r w:rsidRPr="007309D3">
        <w:rPr>
          <w:rStyle w:val="TextoNormalCursivaCaracter"/>
        </w:rPr>
        <w:t xml:space="preserve"> Supuesta vulneración del derecho a la igualdad y a las libertades de expresión e información: STC 89/2023 (resolución administrativa que no resulta desproporcionada y que viene impuesta por la inexistencia de reserva de dominio público radioeléctrico). Voto particular.</w:t>
      </w:r>
      <w:r>
        <w:tab/>
      </w:r>
      <w:r>
        <w:tab/>
      </w:r>
      <w:r>
        <w:fldChar w:fldCharType="begin"/>
      </w:r>
      <w:r>
        <w:instrText xml:space="preserve"> PAGEREF SENTENCIA_2023_115 \h </w:instrText>
      </w:r>
      <w:r>
        <w:fldChar w:fldCharType="separate"/>
      </w:r>
      <w:r w:rsidR="00C73693">
        <w:rPr>
          <w:noProof/>
        </w:rPr>
        <w:t>710</w:t>
      </w:r>
      <w:r>
        <w:fldChar w:fldCharType="end"/>
      </w:r>
    </w:p>
    <w:p w14:paraId="3B293C1F" w14:textId="77777777" w:rsidR="007309D3" w:rsidRDefault="007309D3" w:rsidP="007309D3"/>
    <w:p w14:paraId="35D5C2D2" w14:textId="77777777" w:rsidR="007309D3" w:rsidRDefault="007309D3" w:rsidP="007309D3">
      <w:pPr>
        <w:pStyle w:val="EntradandiceSentencia"/>
      </w:pPr>
      <w:r>
        <w:t>Sala Primera. Sentencia 116/2023, de 25 de septiembre de 2023</w:t>
      </w:r>
    </w:p>
    <w:p w14:paraId="49282299" w14:textId="23C41E93" w:rsidR="007309D3" w:rsidRDefault="007309D3" w:rsidP="007309D3">
      <w:pPr>
        <w:pStyle w:val="EntradandiceSentencia"/>
      </w:pPr>
    </w:p>
    <w:p w14:paraId="66B4478B" w14:textId="61A36DCA" w:rsidR="007309D3" w:rsidRDefault="007309D3" w:rsidP="007309D3">
      <w:pPr>
        <w:pStyle w:val="EntradaSumario"/>
      </w:pPr>
      <w:r w:rsidRPr="007309D3">
        <w:rPr>
          <w:rStyle w:val="TextoNormalCaracter"/>
        </w:rPr>
        <w:t xml:space="preserve">Recurso de amparo 3837-2021. </w:t>
      </w:r>
      <w:r w:rsidRPr="007309D3">
        <w:rPr>
          <w:rStyle w:val="TextoNormalCursivaCaracter"/>
        </w:rPr>
        <w:t xml:space="preserve"> Supuesta vulneración del derecho a la igualdad en el acceso a los cargos públicos: utilización del cociente Imperiali para el reparto de designación de senadores autonómicos que no contraviene la normativa aplicable ni el principio de proporcionalidad.</w:t>
      </w:r>
      <w:r>
        <w:tab/>
      </w:r>
      <w:r>
        <w:tab/>
      </w:r>
      <w:r>
        <w:fldChar w:fldCharType="begin"/>
      </w:r>
      <w:r>
        <w:instrText xml:space="preserve"> PAGEREF SENTENCIA_2023_116 \h </w:instrText>
      </w:r>
      <w:r>
        <w:fldChar w:fldCharType="separate"/>
      </w:r>
      <w:r w:rsidR="00C73693">
        <w:rPr>
          <w:noProof/>
        </w:rPr>
        <w:t>716</w:t>
      </w:r>
      <w:r>
        <w:fldChar w:fldCharType="end"/>
      </w:r>
    </w:p>
    <w:p w14:paraId="554CADE9" w14:textId="77777777" w:rsidR="007309D3" w:rsidRDefault="007309D3" w:rsidP="007309D3"/>
    <w:p w14:paraId="2E31DE25" w14:textId="77777777" w:rsidR="007309D3" w:rsidRDefault="007309D3" w:rsidP="007309D3">
      <w:pPr>
        <w:pStyle w:val="EntradandiceSentencia"/>
      </w:pPr>
      <w:r>
        <w:t>Sala Segunda. Sentencia 117/2023, de 25 de septiembre de 2023</w:t>
      </w:r>
    </w:p>
    <w:p w14:paraId="74A5C21C" w14:textId="16149201" w:rsidR="007309D3" w:rsidRDefault="007309D3" w:rsidP="007309D3">
      <w:pPr>
        <w:pStyle w:val="EntradandiceSentencia"/>
      </w:pPr>
    </w:p>
    <w:p w14:paraId="005AE230" w14:textId="0553E6AD" w:rsidR="007309D3" w:rsidRDefault="007309D3" w:rsidP="007309D3">
      <w:pPr>
        <w:pStyle w:val="EntradaSumario"/>
      </w:pPr>
      <w:r w:rsidRPr="007309D3">
        <w:rPr>
          <w:rStyle w:val="TextoNormalCaracter"/>
        </w:rPr>
        <w:t xml:space="preserve">Recurso de amparo 4397-2021. </w:t>
      </w:r>
      <w:r w:rsidRPr="007309D3">
        <w:rPr>
          <w:rStyle w:val="TextoNormalCursivaCaracter"/>
        </w:rPr>
        <w:t xml:space="preserve"> Supuesta vulneración del derecho a la igualdad y a las libertades de expresión e información: STC 89/2023 (resolución administrativa que no resulta desproporcionada y que viene impuesta por la inexistencia de reserva de dominio público radioeléctrico). Voto particular.</w:t>
      </w:r>
      <w:r>
        <w:tab/>
      </w:r>
      <w:r>
        <w:tab/>
      </w:r>
      <w:r>
        <w:fldChar w:fldCharType="begin"/>
      </w:r>
      <w:r>
        <w:instrText xml:space="preserve"> PAGEREF SENTENCIA_2023_117 \h </w:instrText>
      </w:r>
      <w:r>
        <w:fldChar w:fldCharType="separate"/>
      </w:r>
      <w:r w:rsidR="00C73693">
        <w:rPr>
          <w:noProof/>
        </w:rPr>
        <w:t>735</w:t>
      </w:r>
      <w:r>
        <w:fldChar w:fldCharType="end"/>
      </w:r>
    </w:p>
    <w:p w14:paraId="0C8408FE" w14:textId="77777777" w:rsidR="007309D3" w:rsidRDefault="007309D3" w:rsidP="007309D3"/>
    <w:p w14:paraId="6127876D" w14:textId="77777777" w:rsidR="007309D3" w:rsidRDefault="007309D3" w:rsidP="007309D3">
      <w:pPr>
        <w:pStyle w:val="EntradandiceSentencia"/>
      </w:pPr>
      <w:r>
        <w:t>Sala Segunda. Sentencia 118/2023, de 25 de septiembre de 2023</w:t>
      </w:r>
    </w:p>
    <w:p w14:paraId="6958AE87" w14:textId="0A2C50E1" w:rsidR="007309D3" w:rsidRDefault="007309D3" w:rsidP="007309D3">
      <w:pPr>
        <w:pStyle w:val="EntradandiceSentencia"/>
      </w:pPr>
    </w:p>
    <w:p w14:paraId="36EC28D2" w14:textId="6B449234" w:rsidR="007309D3" w:rsidRDefault="007309D3" w:rsidP="007309D3">
      <w:pPr>
        <w:pStyle w:val="EntradaSumario"/>
      </w:pPr>
      <w:r w:rsidRPr="007309D3">
        <w:rPr>
          <w:rStyle w:val="TextoNormalCaracter"/>
        </w:rPr>
        <w:t xml:space="preserve">Recurso de amparo 4568-2021. </w:t>
      </w:r>
      <w:r w:rsidRPr="007309D3">
        <w:rPr>
          <w:rStyle w:val="TextoNormalCursivaCaracter"/>
        </w:rPr>
        <w:t xml:space="preserve"> Supuesta vulneración del derecho a la igualdad y a las libertades de expresión e información: STC 89/2023 (resolución administrativa que no resulta desproporcionada y que viene impuesta por la inexistencia de reserva de dominio público radioeléctrico). Voto particular.</w:t>
      </w:r>
      <w:r>
        <w:tab/>
      </w:r>
      <w:r>
        <w:tab/>
      </w:r>
      <w:r>
        <w:fldChar w:fldCharType="begin"/>
      </w:r>
      <w:r>
        <w:instrText xml:space="preserve"> PAGEREF SENTENCIA_2023_118 \h </w:instrText>
      </w:r>
      <w:r>
        <w:fldChar w:fldCharType="separate"/>
      </w:r>
      <w:r w:rsidR="00C73693">
        <w:rPr>
          <w:noProof/>
        </w:rPr>
        <w:t>740</w:t>
      </w:r>
      <w:r>
        <w:fldChar w:fldCharType="end"/>
      </w:r>
    </w:p>
    <w:p w14:paraId="20AAA31A" w14:textId="77777777" w:rsidR="007309D3" w:rsidRDefault="007309D3" w:rsidP="007309D3"/>
    <w:p w14:paraId="14DF54E7" w14:textId="77777777" w:rsidR="007309D3" w:rsidRDefault="007309D3" w:rsidP="007309D3">
      <w:pPr>
        <w:pStyle w:val="EntradandiceSentencia"/>
      </w:pPr>
      <w:r>
        <w:t>Sala Primera. Sentencia 119/2023, de 25 de septiembre de 2023</w:t>
      </w:r>
    </w:p>
    <w:p w14:paraId="45B59CB4" w14:textId="63497A22" w:rsidR="007309D3" w:rsidRDefault="007309D3" w:rsidP="007309D3">
      <w:pPr>
        <w:pStyle w:val="EntradandiceSentencia"/>
      </w:pPr>
    </w:p>
    <w:p w14:paraId="7BC64D0F" w14:textId="4DD6D1AC" w:rsidR="007309D3" w:rsidRDefault="007309D3" w:rsidP="007309D3">
      <w:pPr>
        <w:pStyle w:val="EntradaSumario"/>
      </w:pPr>
      <w:r w:rsidRPr="007309D3">
        <w:rPr>
          <w:rStyle w:val="TextoNormalCaracter"/>
        </w:rPr>
        <w:t xml:space="preserve">Recurso de amparo 6464-2021. </w:t>
      </w:r>
      <w:r w:rsidRPr="007309D3">
        <w:rPr>
          <w:rStyle w:val="TextoNormalCursivaCaracter"/>
        </w:rPr>
        <w:t xml:space="preserve"> Supuesta vulneración del derecho a la igualdad y a las libertades de expresión e información: STC 89/2023 (resolución administrativa que no resulta desproporcionada y que viene impuesta por la inexistencia de reserva de dominio público radioeléctrico). Voto particular.</w:t>
      </w:r>
      <w:r>
        <w:tab/>
      </w:r>
      <w:r>
        <w:tab/>
      </w:r>
      <w:r>
        <w:fldChar w:fldCharType="begin"/>
      </w:r>
      <w:r>
        <w:instrText xml:space="preserve"> PAGEREF SENTENCIA_2023_119 \h </w:instrText>
      </w:r>
      <w:r>
        <w:fldChar w:fldCharType="separate"/>
      </w:r>
      <w:r w:rsidR="00C73693">
        <w:rPr>
          <w:noProof/>
        </w:rPr>
        <w:t>746</w:t>
      </w:r>
      <w:r>
        <w:fldChar w:fldCharType="end"/>
      </w:r>
    </w:p>
    <w:p w14:paraId="6E7B11BD" w14:textId="77777777" w:rsidR="007309D3" w:rsidRDefault="007309D3" w:rsidP="007309D3"/>
    <w:p w14:paraId="3BD629EE" w14:textId="77777777" w:rsidR="007309D3" w:rsidRDefault="007309D3" w:rsidP="007309D3">
      <w:pPr>
        <w:pStyle w:val="EntradandiceSentencia"/>
      </w:pPr>
      <w:r>
        <w:t>Sala Primera. Sentencia 120/2023, de 25 de septiembre de 2023</w:t>
      </w:r>
    </w:p>
    <w:p w14:paraId="1CA249FC" w14:textId="18FCF881" w:rsidR="007309D3" w:rsidRDefault="007309D3" w:rsidP="007309D3">
      <w:pPr>
        <w:pStyle w:val="EntradandiceSentencia"/>
      </w:pPr>
    </w:p>
    <w:p w14:paraId="4FF365F5" w14:textId="5AB8853A" w:rsidR="007309D3" w:rsidRDefault="007309D3" w:rsidP="007309D3">
      <w:pPr>
        <w:pStyle w:val="EntradaSumario"/>
      </w:pPr>
      <w:r w:rsidRPr="007309D3">
        <w:rPr>
          <w:rStyle w:val="TextoNormalCaracter"/>
        </w:rPr>
        <w:t xml:space="preserve">Recurso de amparo 7122-2021. </w:t>
      </w:r>
      <w:r w:rsidRPr="007309D3">
        <w:rPr>
          <w:rStyle w:val="TextoNormalCursivaCaracter"/>
        </w:rPr>
        <w:t xml:space="preserve"> Supuesta vulneración del derecho a la igualdad y a las libertades de expresión e información: STC 89/2023 (resolución administrativa que no resulta desproporcionada y que viene impuesta por la inexistencia de reserva de dominio público radioeléctrico). Voto particular.</w:t>
      </w:r>
      <w:r>
        <w:tab/>
      </w:r>
      <w:r>
        <w:tab/>
      </w:r>
      <w:r>
        <w:fldChar w:fldCharType="begin"/>
      </w:r>
      <w:r>
        <w:instrText xml:space="preserve"> PAGEREF SENTENCIA_2023_120 \h </w:instrText>
      </w:r>
      <w:r>
        <w:fldChar w:fldCharType="separate"/>
      </w:r>
      <w:r w:rsidR="00C73693">
        <w:rPr>
          <w:noProof/>
        </w:rPr>
        <w:t>751</w:t>
      </w:r>
      <w:r>
        <w:fldChar w:fldCharType="end"/>
      </w:r>
    </w:p>
    <w:p w14:paraId="2E8CC5AA" w14:textId="77777777" w:rsidR="007309D3" w:rsidRDefault="007309D3" w:rsidP="007309D3"/>
    <w:p w14:paraId="7DD3FD64" w14:textId="77777777" w:rsidR="007309D3" w:rsidRDefault="007309D3" w:rsidP="007309D3">
      <w:pPr>
        <w:pStyle w:val="EntradandiceSentencia"/>
      </w:pPr>
      <w:r>
        <w:t>Sala Segunda. Sentencia 121/2023, de 25 de septiembre de 2023</w:t>
      </w:r>
    </w:p>
    <w:p w14:paraId="6CCEA32E" w14:textId="4E57152B" w:rsidR="007309D3" w:rsidRDefault="007309D3" w:rsidP="007309D3">
      <w:pPr>
        <w:pStyle w:val="EntradandiceSentencia"/>
      </w:pPr>
    </w:p>
    <w:p w14:paraId="5239F66D" w14:textId="54D82815" w:rsidR="007309D3" w:rsidRDefault="007309D3" w:rsidP="007309D3">
      <w:pPr>
        <w:pStyle w:val="EntradaSumario"/>
      </w:pPr>
      <w:r w:rsidRPr="007309D3">
        <w:rPr>
          <w:rStyle w:val="TextoNormalCaracter"/>
        </w:rPr>
        <w:t xml:space="preserve">Recurso de amparo 7638-2021. </w:t>
      </w:r>
      <w:r w:rsidRPr="007309D3">
        <w:rPr>
          <w:rStyle w:val="TextoNormalCursivaCaracter"/>
        </w:rPr>
        <w:t xml:space="preserve"> Supuesta vulneración del derecho a la igualdad y a las libertades de expresión e información: STC 89/2023 (resolución administrativa que no resulta desproporcionada y que viene impuesta por la inexistencia de reserva de dominio público radioeléctrico). Voto particular.</w:t>
      </w:r>
      <w:r>
        <w:tab/>
      </w:r>
      <w:r>
        <w:tab/>
      </w:r>
      <w:r>
        <w:fldChar w:fldCharType="begin"/>
      </w:r>
      <w:r>
        <w:instrText xml:space="preserve"> PAGEREF SENTENCIA_2023_121 \h </w:instrText>
      </w:r>
      <w:r>
        <w:fldChar w:fldCharType="separate"/>
      </w:r>
      <w:r w:rsidR="00C73693">
        <w:rPr>
          <w:noProof/>
        </w:rPr>
        <w:t>756</w:t>
      </w:r>
      <w:r>
        <w:fldChar w:fldCharType="end"/>
      </w:r>
    </w:p>
    <w:p w14:paraId="64826A5F" w14:textId="77777777" w:rsidR="007309D3" w:rsidRDefault="007309D3" w:rsidP="007309D3"/>
    <w:p w14:paraId="5F00FDAD" w14:textId="77777777" w:rsidR="007309D3" w:rsidRDefault="007309D3" w:rsidP="007309D3">
      <w:pPr>
        <w:pStyle w:val="EntradandiceSentencia"/>
      </w:pPr>
      <w:r>
        <w:t>Sala Segunda. Sentencia 122/2023, de 25 de septiembre de 2023</w:t>
      </w:r>
    </w:p>
    <w:p w14:paraId="62C15E47" w14:textId="2F4AADF9" w:rsidR="007309D3" w:rsidRDefault="007309D3" w:rsidP="007309D3">
      <w:pPr>
        <w:pStyle w:val="EntradandiceSentencia"/>
      </w:pPr>
    </w:p>
    <w:p w14:paraId="56DC7B12" w14:textId="5CC84417" w:rsidR="007309D3" w:rsidRDefault="007309D3" w:rsidP="007309D3">
      <w:pPr>
        <w:pStyle w:val="EntradaSumario"/>
      </w:pPr>
      <w:r w:rsidRPr="007309D3">
        <w:rPr>
          <w:rStyle w:val="TextoNormalCaracter"/>
        </w:rPr>
        <w:t xml:space="preserve">Recurso de amparo 6215-2022. </w:t>
      </w:r>
      <w:r w:rsidRPr="007309D3">
        <w:rPr>
          <w:rStyle w:val="TextoNormalCursivaCaracter"/>
        </w:rPr>
        <w:t xml:space="preserve"> Vulneración del derecho a la tutela judicial efectiva: STC 40/2020 [inadecuada utilización de la dirección electrónica habilitada como cauce de comunicación del primer emplazamiento procesal (SSTC 6/2019 y 47/2019) e inadmisión de la oposición a la ejecución resultante de la confusión del deber de las personas jurídicas de relacionarse con la administración de justicia por medio de comunicaciones electrónicas con la regulación del primer emplazamiento en los procesos civiles].</w:t>
      </w:r>
      <w:r>
        <w:tab/>
      </w:r>
      <w:r>
        <w:tab/>
      </w:r>
      <w:r>
        <w:fldChar w:fldCharType="begin"/>
      </w:r>
      <w:r>
        <w:instrText xml:space="preserve"> PAGEREF SENTENCIA_2023_122 \h </w:instrText>
      </w:r>
      <w:r>
        <w:fldChar w:fldCharType="separate"/>
      </w:r>
      <w:r w:rsidR="00C73693">
        <w:rPr>
          <w:noProof/>
        </w:rPr>
        <w:t>762</w:t>
      </w:r>
      <w:r>
        <w:fldChar w:fldCharType="end"/>
      </w:r>
    </w:p>
    <w:p w14:paraId="752CE563" w14:textId="77777777" w:rsidR="007309D3" w:rsidRDefault="007309D3" w:rsidP="007309D3"/>
    <w:p w14:paraId="07230729" w14:textId="77777777" w:rsidR="007309D3" w:rsidRDefault="007309D3" w:rsidP="007309D3">
      <w:pPr>
        <w:pStyle w:val="EntradandiceSentencia"/>
      </w:pPr>
      <w:r>
        <w:t>Sala Primera. Sentencia 123/2023, de 25 de septiembre de 2023</w:t>
      </w:r>
    </w:p>
    <w:p w14:paraId="5EE97DB3" w14:textId="3E881F3C" w:rsidR="007309D3" w:rsidRDefault="007309D3" w:rsidP="007309D3">
      <w:pPr>
        <w:pStyle w:val="EntradandiceSentencia"/>
      </w:pPr>
    </w:p>
    <w:p w14:paraId="4639E6D5" w14:textId="4C0C8093" w:rsidR="007309D3" w:rsidRDefault="007309D3" w:rsidP="007309D3">
      <w:pPr>
        <w:pStyle w:val="EntradaSumario"/>
      </w:pPr>
      <w:r w:rsidRPr="007309D3">
        <w:rPr>
          <w:rStyle w:val="TextoNormalCaracter"/>
        </w:rPr>
        <w:t xml:space="preserve">Recurso de amparo 27-2023. </w:t>
      </w:r>
      <w:r w:rsidRPr="007309D3">
        <w:rPr>
          <w:rStyle w:val="TextoNormalCursivaCaracter"/>
        </w:rPr>
        <w:t xml:space="preserve"> Alegada vulneración del derecho a la libertad personal y a la tutela judicial efectiva (motivación): inadmisión del recurso de amparo planteado sin haber agotado la vía judicial previa.</w:t>
      </w:r>
      <w:r>
        <w:tab/>
      </w:r>
      <w:r>
        <w:tab/>
      </w:r>
      <w:r>
        <w:fldChar w:fldCharType="begin"/>
      </w:r>
      <w:r>
        <w:instrText xml:space="preserve"> PAGEREF SENTENCIA_2023_123 \h </w:instrText>
      </w:r>
      <w:r>
        <w:fldChar w:fldCharType="separate"/>
      </w:r>
      <w:r w:rsidR="00C73693">
        <w:rPr>
          <w:noProof/>
        </w:rPr>
        <w:t>769</w:t>
      </w:r>
      <w:r>
        <w:fldChar w:fldCharType="end"/>
      </w:r>
    </w:p>
    <w:p w14:paraId="7BE01039" w14:textId="77777777" w:rsidR="007309D3" w:rsidRDefault="007309D3" w:rsidP="007309D3"/>
    <w:p w14:paraId="03EB2CAF" w14:textId="77777777" w:rsidR="007309D3" w:rsidRDefault="007309D3" w:rsidP="007309D3">
      <w:pPr>
        <w:pStyle w:val="EntradandiceSentencia"/>
      </w:pPr>
      <w:r>
        <w:t>Pleno. Sentencia 124/2023, de 26 de septiembre de 2023</w:t>
      </w:r>
    </w:p>
    <w:p w14:paraId="379A2D48" w14:textId="30C8016B" w:rsidR="007309D3" w:rsidRDefault="007309D3" w:rsidP="007309D3">
      <w:pPr>
        <w:pStyle w:val="EntradandiceSentencia"/>
      </w:pPr>
    </w:p>
    <w:p w14:paraId="4832BC6E" w14:textId="16444482" w:rsidR="007309D3" w:rsidRDefault="007309D3" w:rsidP="007309D3">
      <w:pPr>
        <w:pStyle w:val="EntradaSumario"/>
      </w:pPr>
      <w:r w:rsidRPr="007309D3">
        <w:rPr>
          <w:rStyle w:val="TextoNormalCaracter"/>
        </w:rPr>
        <w:t xml:space="preserve">Recurso de inconstitucionalidad 614-2022. </w:t>
      </w:r>
      <w:r w:rsidRPr="007309D3">
        <w:rPr>
          <w:rStyle w:val="TextoNormalCursivaCaracter"/>
        </w:rPr>
        <w:t xml:space="preserve"> Principio de autonomía local (autonomía provincial): nulidad de los preceptos legales que establecen las reglas de distribución del fondo de cooperación municipal y prevén el requerimiento al presidente de la diputación provincial para que se respeten las directrices de coordinación del plan sectorial de financiación del fondo. Votos particulares.</w:t>
      </w:r>
      <w:r>
        <w:tab/>
      </w:r>
      <w:r>
        <w:tab/>
      </w:r>
      <w:r>
        <w:fldChar w:fldCharType="begin"/>
      </w:r>
      <w:r>
        <w:instrText xml:space="preserve"> PAGEREF SENTENCIA_2023_124 \h </w:instrText>
      </w:r>
      <w:r>
        <w:fldChar w:fldCharType="separate"/>
      </w:r>
      <w:r w:rsidR="00C73693">
        <w:rPr>
          <w:noProof/>
        </w:rPr>
        <w:t>798</w:t>
      </w:r>
      <w:r>
        <w:fldChar w:fldCharType="end"/>
      </w:r>
    </w:p>
    <w:p w14:paraId="2B075437" w14:textId="77777777" w:rsidR="007309D3" w:rsidRDefault="007309D3" w:rsidP="007309D3"/>
    <w:p w14:paraId="10568996" w14:textId="77777777" w:rsidR="007309D3" w:rsidRDefault="007309D3" w:rsidP="007309D3">
      <w:pPr>
        <w:pStyle w:val="EntradandiceSentencia"/>
      </w:pPr>
      <w:r>
        <w:t>Pleno. Sentencia 125/2023, de 27 de septiembre de 2023</w:t>
      </w:r>
    </w:p>
    <w:p w14:paraId="5C1DC356" w14:textId="7CDB9E58" w:rsidR="007309D3" w:rsidRDefault="007309D3" w:rsidP="007309D3">
      <w:pPr>
        <w:pStyle w:val="EntradandiceSentencia"/>
      </w:pPr>
    </w:p>
    <w:p w14:paraId="72AF96D4" w14:textId="5954B241" w:rsidR="007309D3" w:rsidRDefault="007309D3" w:rsidP="007309D3">
      <w:pPr>
        <w:pStyle w:val="EntradaSumario"/>
      </w:pPr>
      <w:r w:rsidRPr="007309D3">
        <w:rPr>
          <w:rStyle w:val="TextoNormalCaracter"/>
        </w:rPr>
        <w:t xml:space="preserve">Recurso de amparo 962-2020. </w:t>
      </w:r>
      <w:r w:rsidRPr="007309D3">
        <w:rPr>
          <w:rStyle w:val="TextoNormalCursivaCaracter"/>
        </w:rPr>
        <w:t xml:space="preserve"> Supuesta vulneración del derecho de representación política: STC 65/2023 (ausencia de acreditación de la incidencia, por la aceptación de las veintinueve fórmulas de acatamiento controvertidas, en la función representativa de los parlamentarios recurrentes). Votos particulares.</w:t>
      </w:r>
      <w:r>
        <w:tab/>
      </w:r>
      <w:r>
        <w:tab/>
      </w:r>
      <w:r>
        <w:fldChar w:fldCharType="begin"/>
      </w:r>
      <w:r>
        <w:instrText xml:space="preserve"> PAGEREF SENTENCIA_2023_125 \h </w:instrText>
      </w:r>
      <w:r>
        <w:fldChar w:fldCharType="separate"/>
      </w:r>
      <w:r w:rsidR="00C73693">
        <w:rPr>
          <w:noProof/>
        </w:rPr>
        <w:t>863</w:t>
      </w:r>
      <w:r>
        <w:fldChar w:fldCharType="end"/>
      </w:r>
    </w:p>
    <w:p w14:paraId="2A02FC43" w14:textId="77777777" w:rsidR="007309D3" w:rsidRDefault="007309D3" w:rsidP="007309D3"/>
    <w:p w14:paraId="045F41B1" w14:textId="77777777" w:rsidR="007309D3" w:rsidRDefault="007309D3" w:rsidP="007309D3">
      <w:pPr>
        <w:pStyle w:val="EntradandiceSentencia"/>
      </w:pPr>
      <w:r>
        <w:t>Pleno. Sentencia 126/2023, de 27 de septiembre de 2023</w:t>
      </w:r>
    </w:p>
    <w:p w14:paraId="4CC2D176" w14:textId="68EA6CDD" w:rsidR="007309D3" w:rsidRDefault="007309D3" w:rsidP="007309D3">
      <w:pPr>
        <w:pStyle w:val="EntradandiceSentencia"/>
      </w:pPr>
    </w:p>
    <w:p w14:paraId="43BF029C" w14:textId="4556546F" w:rsidR="007309D3" w:rsidRDefault="007309D3" w:rsidP="007309D3">
      <w:pPr>
        <w:pStyle w:val="EntradaSumario"/>
      </w:pPr>
      <w:r w:rsidRPr="007309D3">
        <w:rPr>
          <w:rStyle w:val="TextoNormalCaracter"/>
        </w:rPr>
        <w:t xml:space="preserve">Recurso de inconstitucionalidad 3839-2022. </w:t>
      </w:r>
      <w:r w:rsidRPr="007309D3">
        <w:rPr>
          <w:rStyle w:val="TextoNormalCursivaCaracter"/>
        </w:rPr>
        <w:t xml:space="preserve"> Límites a los decretos leyes autonómicos: suficiente justificación de la concurrencia del presupuesto habilitante de la extraordinaria y urgente necesidad para la modificación, en ejercicio de las competencias autonómicas, del régimen de restitución de cultivos.</w:t>
      </w:r>
      <w:r>
        <w:tab/>
      </w:r>
      <w:r>
        <w:tab/>
      </w:r>
      <w:r>
        <w:fldChar w:fldCharType="begin"/>
      </w:r>
      <w:r>
        <w:instrText xml:space="preserve"> PAGEREF SENTENCIA_2023_126 \h </w:instrText>
      </w:r>
      <w:r>
        <w:fldChar w:fldCharType="separate"/>
      </w:r>
      <w:r w:rsidR="00C73693">
        <w:rPr>
          <w:noProof/>
        </w:rPr>
        <w:t>886</w:t>
      </w:r>
      <w:r>
        <w:fldChar w:fldCharType="end"/>
      </w:r>
    </w:p>
    <w:p w14:paraId="3CF127CA" w14:textId="77777777" w:rsidR="007309D3" w:rsidRDefault="007309D3" w:rsidP="007309D3"/>
    <w:p w14:paraId="2927E8FC" w14:textId="77777777" w:rsidR="007309D3" w:rsidRDefault="007309D3" w:rsidP="007309D3">
      <w:pPr>
        <w:pStyle w:val="EntradandiceSentencia"/>
      </w:pPr>
      <w:r>
        <w:t>Pleno. Sentencia 127/2023, de 27 de septiembre de 2023</w:t>
      </w:r>
    </w:p>
    <w:p w14:paraId="4B251BEB" w14:textId="69ACE707" w:rsidR="007309D3" w:rsidRDefault="007309D3" w:rsidP="007309D3">
      <w:pPr>
        <w:pStyle w:val="EntradandiceSentencia"/>
      </w:pPr>
    </w:p>
    <w:p w14:paraId="743DAEF0" w14:textId="2DF75D31" w:rsidR="007309D3" w:rsidRDefault="007309D3" w:rsidP="007309D3">
      <w:pPr>
        <w:pStyle w:val="EntradaSumario"/>
      </w:pPr>
      <w:r w:rsidRPr="007309D3">
        <w:rPr>
          <w:rStyle w:val="TextoNormalCaracter"/>
        </w:rPr>
        <w:t xml:space="preserve">Recurso de inconstitucionalidad 3726-2023. </w:t>
      </w:r>
      <w:r w:rsidRPr="007309D3">
        <w:rPr>
          <w:rStyle w:val="TextoNormalCursivaCaracter"/>
        </w:rPr>
        <w:t xml:space="preserve"> Límites a los decretos leyes autonómicos: nulidad de los preceptos relativos al tratamiento y beneficio metalúrgico y mineralúrgico en Extremadura, las consecuencias de su incumplimiento, y la declaración de utilidad pública e interés social a los efectos expropiatorios de las concesiones de explotación de los recursos minerales de litio. Voto particular.</w:t>
      </w:r>
      <w:r>
        <w:tab/>
      </w:r>
      <w:r>
        <w:tab/>
      </w:r>
      <w:r>
        <w:fldChar w:fldCharType="begin"/>
      </w:r>
      <w:r>
        <w:instrText xml:space="preserve"> PAGEREF SENTENCIA_2023_127 \h </w:instrText>
      </w:r>
      <w:r>
        <w:fldChar w:fldCharType="separate"/>
      </w:r>
      <w:r w:rsidR="00C73693">
        <w:rPr>
          <w:noProof/>
        </w:rPr>
        <w:t>906</w:t>
      </w:r>
      <w:r>
        <w:fldChar w:fldCharType="end"/>
      </w:r>
    </w:p>
    <w:p w14:paraId="5D19C97C" w14:textId="77777777" w:rsidR="007309D3" w:rsidRDefault="007309D3" w:rsidP="007309D3"/>
    <w:p w14:paraId="0B807814" w14:textId="77777777" w:rsidR="007309D3" w:rsidRDefault="007309D3" w:rsidP="007309D3">
      <w:pPr>
        <w:pStyle w:val="EntradandiceSentencia"/>
      </w:pPr>
      <w:r>
        <w:t>Pleno. Sentencia 128/2023, de 2 de octubre de 2023</w:t>
      </w:r>
    </w:p>
    <w:p w14:paraId="5FDE9D99" w14:textId="7A50DECE" w:rsidR="007309D3" w:rsidRDefault="007309D3" w:rsidP="007309D3">
      <w:pPr>
        <w:pStyle w:val="EntradandiceSentencia"/>
      </w:pPr>
    </w:p>
    <w:p w14:paraId="5BEF076E" w14:textId="060D6C05" w:rsidR="007309D3" w:rsidRDefault="007309D3" w:rsidP="007309D3">
      <w:pPr>
        <w:pStyle w:val="EntradaSumario"/>
      </w:pPr>
      <w:r w:rsidRPr="007309D3">
        <w:rPr>
          <w:rStyle w:val="TextoNormalCaracter"/>
        </w:rPr>
        <w:t xml:space="preserve">Recurso de inconstitucionalidad 2379-2021. </w:t>
      </w:r>
      <w:r w:rsidRPr="007309D3">
        <w:rPr>
          <w:rStyle w:val="TextoNormalCursivaCaracter"/>
        </w:rPr>
        <w:t xml:space="preserve"> Régimen constitucional de las proposiciones de ley y del Consejo General del Poder Judicial: constitucionalidad de las previsiones legales que limitan funciones que puede ejercer el Consejo tras la expiración del mandato de sus miembros; suspensión de las facultades de nombramiento de presidente del Tribunal Supremo y de planteamiento del conflicto de atribuciones entre órganos constitucionales. Voto particular.</w:t>
      </w:r>
      <w:r>
        <w:tab/>
      </w:r>
      <w:r>
        <w:tab/>
      </w:r>
      <w:r>
        <w:fldChar w:fldCharType="begin"/>
      </w:r>
      <w:r>
        <w:instrText xml:space="preserve"> PAGEREF SENTENCIA_2023_128 \h </w:instrText>
      </w:r>
      <w:r>
        <w:fldChar w:fldCharType="separate"/>
      </w:r>
      <w:r w:rsidR="00C73693">
        <w:rPr>
          <w:noProof/>
        </w:rPr>
        <w:t>923</w:t>
      </w:r>
      <w:r>
        <w:fldChar w:fldCharType="end"/>
      </w:r>
    </w:p>
    <w:p w14:paraId="2F5FCDFE" w14:textId="77777777" w:rsidR="007309D3" w:rsidRDefault="007309D3" w:rsidP="007309D3"/>
    <w:p w14:paraId="04F8B524" w14:textId="77777777" w:rsidR="007309D3" w:rsidRDefault="007309D3" w:rsidP="007309D3">
      <w:pPr>
        <w:pStyle w:val="EntradandiceSentencia"/>
      </w:pPr>
      <w:r>
        <w:t>Sala Segunda. Sentencia 129/2023, de 23 de octubre de 2023</w:t>
      </w:r>
    </w:p>
    <w:p w14:paraId="2402F4BB" w14:textId="20735E63" w:rsidR="007309D3" w:rsidRDefault="007309D3" w:rsidP="007309D3">
      <w:pPr>
        <w:pStyle w:val="EntradandiceSentencia"/>
      </w:pPr>
    </w:p>
    <w:p w14:paraId="7451F0FE" w14:textId="2A446E14" w:rsidR="007309D3" w:rsidRDefault="007309D3" w:rsidP="007309D3">
      <w:pPr>
        <w:pStyle w:val="EntradaSumario"/>
      </w:pPr>
      <w:r w:rsidRPr="007309D3">
        <w:rPr>
          <w:rStyle w:val="TextoNormalCaracter"/>
        </w:rPr>
        <w:t xml:space="preserve">Recurso de amparo 4351-2020. </w:t>
      </w:r>
      <w:r w:rsidRPr="007309D3">
        <w:rPr>
          <w:rStyle w:val="TextoNormalCursivaCaracter"/>
        </w:rPr>
        <w:t xml:space="preserve"> Supuesta vulneración del derecho de asociación: la impugnación de decisiones de la asamblea de la asociación mundial sin el agotamiento previo de la vía interna de resolución de conflictos no constituye ejercicio de una facultad de la dimensión inter privatos del derecho de asociación, sino el incumplimiento de una obligación de los asociados.</w:t>
      </w:r>
      <w:r>
        <w:tab/>
      </w:r>
      <w:r>
        <w:tab/>
      </w:r>
      <w:r>
        <w:fldChar w:fldCharType="begin"/>
      </w:r>
      <w:r>
        <w:instrText xml:space="preserve"> PAGEREF SENTENCIA_2023_129 \h </w:instrText>
      </w:r>
      <w:r>
        <w:fldChar w:fldCharType="separate"/>
      </w:r>
      <w:r w:rsidR="00C73693">
        <w:rPr>
          <w:noProof/>
        </w:rPr>
        <w:t>982</w:t>
      </w:r>
      <w:r>
        <w:fldChar w:fldCharType="end"/>
      </w:r>
    </w:p>
    <w:p w14:paraId="5B6F46BC" w14:textId="77777777" w:rsidR="007309D3" w:rsidRDefault="007309D3" w:rsidP="007309D3"/>
    <w:p w14:paraId="2E024470" w14:textId="77777777" w:rsidR="007309D3" w:rsidRDefault="007309D3" w:rsidP="007309D3">
      <w:pPr>
        <w:pStyle w:val="EntradandiceSentencia"/>
      </w:pPr>
      <w:r>
        <w:t>Sala Segunda. Sentencia 130/2023, de 23 de octubre de 2023</w:t>
      </w:r>
    </w:p>
    <w:p w14:paraId="132D017E" w14:textId="409EFAA4" w:rsidR="007309D3" w:rsidRDefault="007309D3" w:rsidP="007309D3">
      <w:pPr>
        <w:pStyle w:val="EntradandiceSentencia"/>
      </w:pPr>
    </w:p>
    <w:p w14:paraId="7EA67FC6" w14:textId="0BB7CD02" w:rsidR="007309D3" w:rsidRDefault="007309D3" w:rsidP="007309D3">
      <w:pPr>
        <w:pStyle w:val="EntradaSumario"/>
      </w:pPr>
      <w:r w:rsidRPr="007309D3">
        <w:rPr>
          <w:rStyle w:val="TextoNormalCaracter"/>
        </w:rPr>
        <w:t xml:space="preserve">Recurso de amparo 6324-2020. </w:t>
      </w:r>
      <w:r w:rsidRPr="007309D3">
        <w:rPr>
          <w:rStyle w:val="TextoNormalCursivaCaracter"/>
        </w:rPr>
        <w:t xml:space="preserve"> Vulneración del derecho a la legalidad sancionadora: aplicación irrazonable de la norma sancionadora que, anteponiendo la expulsión a la multa, infringió la garantía material del derecho (STC 47/2023).</w:t>
      </w:r>
      <w:r>
        <w:tab/>
      </w:r>
      <w:r>
        <w:tab/>
      </w:r>
      <w:r>
        <w:fldChar w:fldCharType="begin"/>
      </w:r>
      <w:r>
        <w:instrText xml:space="preserve"> PAGEREF SENTENCIA_2023_130 \h </w:instrText>
      </w:r>
      <w:r>
        <w:fldChar w:fldCharType="separate"/>
      </w:r>
      <w:r w:rsidR="00C73693">
        <w:rPr>
          <w:noProof/>
        </w:rPr>
        <w:t>999</w:t>
      </w:r>
      <w:r>
        <w:fldChar w:fldCharType="end"/>
      </w:r>
    </w:p>
    <w:p w14:paraId="4F808F43" w14:textId="77777777" w:rsidR="007309D3" w:rsidRDefault="007309D3" w:rsidP="007309D3"/>
    <w:p w14:paraId="4113A686" w14:textId="77777777" w:rsidR="007309D3" w:rsidRDefault="007309D3" w:rsidP="007309D3">
      <w:pPr>
        <w:pStyle w:val="EntradandiceSentencia"/>
      </w:pPr>
      <w:r>
        <w:t>Sala Segunda. Sentencia 131/2023, de 23 de octubre de 2023</w:t>
      </w:r>
    </w:p>
    <w:p w14:paraId="7C9C00AD" w14:textId="07D2E7CF" w:rsidR="007309D3" w:rsidRDefault="007309D3" w:rsidP="007309D3">
      <w:pPr>
        <w:pStyle w:val="EntradandiceSentencia"/>
      </w:pPr>
    </w:p>
    <w:p w14:paraId="283781F6" w14:textId="36F7C03C" w:rsidR="007309D3" w:rsidRDefault="007309D3" w:rsidP="007309D3">
      <w:pPr>
        <w:pStyle w:val="EntradaSumario"/>
      </w:pPr>
      <w:r w:rsidRPr="007309D3">
        <w:rPr>
          <w:rStyle w:val="TextoNormalCaracter"/>
        </w:rPr>
        <w:t xml:space="preserve">Recurso de amparo 3409-2021. </w:t>
      </w:r>
      <w:r w:rsidRPr="007309D3">
        <w:rPr>
          <w:rStyle w:val="TextoNormalCursivaCaracter"/>
        </w:rPr>
        <w:t xml:space="preserve"> Supuesta vulneración de los derechos a la tutela judicial efectiva y a un proceso con todas las garantías: resoluciones judiciales que valoran adecuadamente el interés superior de un menor en la investigación penal. Voto particular.</w:t>
      </w:r>
      <w:r>
        <w:tab/>
      </w:r>
      <w:r>
        <w:tab/>
      </w:r>
      <w:r>
        <w:fldChar w:fldCharType="begin"/>
      </w:r>
      <w:r>
        <w:instrText xml:space="preserve"> PAGEREF SENTENCIA_2023_131 \h </w:instrText>
      </w:r>
      <w:r>
        <w:fldChar w:fldCharType="separate"/>
      </w:r>
      <w:r w:rsidR="00C73693">
        <w:rPr>
          <w:noProof/>
        </w:rPr>
        <w:t>1018</w:t>
      </w:r>
      <w:r>
        <w:fldChar w:fldCharType="end"/>
      </w:r>
    </w:p>
    <w:p w14:paraId="27B4BAC8" w14:textId="77777777" w:rsidR="007309D3" w:rsidRDefault="007309D3" w:rsidP="007309D3"/>
    <w:p w14:paraId="10A80F60" w14:textId="77777777" w:rsidR="007309D3" w:rsidRDefault="007309D3" w:rsidP="007309D3">
      <w:pPr>
        <w:pStyle w:val="EntradandiceSentencia"/>
      </w:pPr>
      <w:r>
        <w:t>Sala Segunda. Sentencia 132/2023, de 23 de octubre de 2023</w:t>
      </w:r>
    </w:p>
    <w:p w14:paraId="5FE36578" w14:textId="31B89139" w:rsidR="007309D3" w:rsidRDefault="007309D3" w:rsidP="007309D3">
      <w:pPr>
        <w:pStyle w:val="EntradandiceSentencia"/>
      </w:pPr>
    </w:p>
    <w:p w14:paraId="2FE1904C" w14:textId="7EEE34C8" w:rsidR="007309D3" w:rsidRDefault="007309D3" w:rsidP="007309D3">
      <w:pPr>
        <w:pStyle w:val="EntradaSumario"/>
      </w:pPr>
      <w:r w:rsidRPr="007309D3">
        <w:rPr>
          <w:rStyle w:val="TextoNormalCaracter"/>
        </w:rPr>
        <w:t xml:space="preserve">Recurso de amparo 5030-2021. </w:t>
      </w:r>
      <w:r w:rsidRPr="007309D3">
        <w:rPr>
          <w:rStyle w:val="TextoNormalCursivaCaracter"/>
        </w:rPr>
        <w:t xml:space="preserve"> Supuesta vulneración del derecho al ejercicio del cargo representativo: veto gubernamental a una iniciativa legislativa susceptible de provocar un incremento de créditos presupuestarios (SSTC 34/2018 y 44/2018). Voto particular.</w:t>
      </w:r>
      <w:r>
        <w:tab/>
      </w:r>
      <w:r>
        <w:tab/>
      </w:r>
      <w:r>
        <w:fldChar w:fldCharType="begin"/>
      </w:r>
      <w:r>
        <w:instrText xml:space="preserve"> PAGEREF SENTENCIA_2023_132 \h </w:instrText>
      </w:r>
      <w:r>
        <w:fldChar w:fldCharType="separate"/>
      </w:r>
      <w:r w:rsidR="00C73693">
        <w:rPr>
          <w:noProof/>
        </w:rPr>
        <w:t>1045</w:t>
      </w:r>
      <w:r>
        <w:fldChar w:fldCharType="end"/>
      </w:r>
    </w:p>
    <w:p w14:paraId="123FD49E" w14:textId="77777777" w:rsidR="007309D3" w:rsidRDefault="007309D3" w:rsidP="007309D3"/>
    <w:p w14:paraId="718B25B0" w14:textId="77777777" w:rsidR="007309D3" w:rsidRDefault="007309D3" w:rsidP="007309D3">
      <w:pPr>
        <w:pStyle w:val="EntradandiceSentencia"/>
      </w:pPr>
      <w:r>
        <w:t>Sala Segunda. Sentencia 133/2023, de 23 de octubre de 2023</w:t>
      </w:r>
    </w:p>
    <w:p w14:paraId="13CCEF6E" w14:textId="3809F866" w:rsidR="007309D3" w:rsidRDefault="007309D3" w:rsidP="007309D3">
      <w:pPr>
        <w:pStyle w:val="EntradandiceSentencia"/>
      </w:pPr>
    </w:p>
    <w:p w14:paraId="3949F220" w14:textId="2DED5FAF" w:rsidR="007309D3" w:rsidRDefault="007309D3" w:rsidP="007309D3">
      <w:pPr>
        <w:pStyle w:val="EntradaSumario"/>
      </w:pPr>
      <w:r w:rsidRPr="007309D3">
        <w:rPr>
          <w:rStyle w:val="TextoNormalCaracter"/>
        </w:rPr>
        <w:t xml:space="preserve">Recurso de amparo 5658-2021. </w:t>
      </w:r>
      <w:r w:rsidRPr="007309D3">
        <w:rPr>
          <w:rStyle w:val="TextoNormalCursivaCaracter"/>
        </w:rPr>
        <w:t xml:space="preserve"> Supuesta vulneración del derecho de representación política: STC 65/2023 (ausencia de acreditación de la incidencia, por la aceptación de las veintinueve fórmulas de acatamiento controvertidas, en la función representativa de los parlamentarios recurrentes). Voto particular.</w:t>
      </w:r>
      <w:r>
        <w:tab/>
      </w:r>
      <w:r>
        <w:tab/>
      </w:r>
      <w:r>
        <w:fldChar w:fldCharType="begin"/>
      </w:r>
      <w:r>
        <w:instrText xml:space="preserve"> PAGEREF SENTENCIA_2023_133 \h </w:instrText>
      </w:r>
      <w:r>
        <w:fldChar w:fldCharType="separate"/>
      </w:r>
      <w:r w:rsidR="00C73693">
        <w:rPr>
          <w:noProof/>
        </w:rPr>
        <w:t>1071</w:t>
      </w:r>
      <w:r>
        <w:fldChar w:fldCharType="end"/>
      </w:r>
    </w:p>
    <w:p w14:paraId="766B032A" w14:textId="77777777" w:rsidR="007309D3" w:rsidRDefault="007309D3" w:rsidP="007309D3"/>
    <w:p w14:paraId="7B8BB9E7" w14:textId="77777777" w:rsidR="007309D3" w:rsidRDefault="007309D3" w:rsidP="007309D3">
      <w:pPr>
        <w:pStyle w:val="EntradandiceSentencia"/>
      </w:pPr>
      <w:r>
        <w:t>Sala Segunda. Sentencia 134/2023, de 23 de octubre de 2023</w:t>
      </w:r>
    </w:p>
    <w:p w14:paraId="6483BB83" w14:textId="2CBD7705" w:rsidR="007309D3" w:rsidRDefault="007309D3" w:rsidP="007309D3">
      <w:pPr>
        <w:pStyle w:val="EntradandiceSentencia"/>
      </w:pPr>
    </w:p>
    <w:p w14:paraId="19069704" w14:textId="741C1841" w:rsidR="007309D3" w:rsidRDefault="007309D3" w:rsidP="007309D3">
      <w:pPr>
        <w:pStyle w:val="EntradaSumario"/>
      </w:pPr>
      <w:r w:rsidRPr="007309D3">
        <w:rPr>
          <w:rStyle w:val="TextoNormalCaracter"/>
        </w:rPr>
        <w:t xml:space="preserve">Recurso de amparo 8144-2021. </w:t>
      </w:r>
      <w:r w:rsidRPr="007309D3">
        <w:rPr>
          <w:rStyle w:val="TextoNormalCursivaCaracter"/>
        </w:rPr>
        <w:t xml:space="preserve"> Vulneración del derecho a la tutela judicial efectiva (acceso al recurso): inadmisión carente de motivación de un incidente de nulidad de actuaciones en el que se denunciaba la desatención de la doctrina constitucional y la jurisprudencia del Tribunal de Justicia de la Unión Europea (STC 102/2020).</w:t>
      </w:r>
      <w:r>
        <w:tab/>
      </w:r>
      <w:r>
        <w:tab/>
      </w:r>
      <w:r>
        <w:fldChar w:fldCharType="begin"/>
      </w:r>
      <w:r>
        <w:instrText xml:space="preserve"> PAGEREF SENTENCIA_2023_134 \h </w:instrText>
      </w:r>
      <w:r>
        <w:fldChar w:fldCharType="separate"/>
      </w:r>
      <w:r w:rsidR="00C73693">
        <w:rPr>
          <w:noProof/>
        </w:rPr>
        <w:t>1084</w:t>
      </w:r>
      <w:r>
        <w:fldChar w:fldCharType="end"/>
      </w:r>
    </w:p>
    <w:p w14:paraId="57B5CABF" w14:textId="77777777" w:rsidR="007309D3" w:rsidRDefault="007309D3" w:rsidP="007309D3"/>
    <w:p w14:paraId="475115D4" w14:textId="77777777" w:rsidR="007309D3" w:rsidRDefault="007309D3" w:rsidP="007309D3">
      <w:pPr>
        <w:pStyle w:val="EntradandiceSentencia"/>
      </w:pPr>
      <w:r>
        <w:t>Sala Segunda. Sentencia 135/2023, de 23 de octubre de 2023</w:t>
      </w:r>
    </w:p>
    <w:p w14:paraId="5DAC3D62" w14:textId="33BBD116" w:rsidR="007309D3" w:rsidRDefault="007309D3" w:rsidP="007309D3">
      <w:pPr>
        <w:pStyle w:val="EntradandiceSentencia"/>
      </w:pPr>
    </w:p>
    <w:p w14:paraId="3E5A085A" w14:textId="227A424B" w:rsidR="007309D3" w:rsidRDefault="007309D3" w:rsidP="007309D3">
      <w:pPr>
        <w:pStyle w:val="EntradaSumario"/>
      </w:pPr>
      <w:r w:rsidRPr="007309D3">
        <w:rPr>
          <w:rStyle w:val="TextoNormalCaracter"/>
        </w:rPr>
        <w:t xml:space="preserve">Recurso de amparo 3293-2022. </w:t>
      </w:r>
      <w:r w:rsidRPr="007309D3">
        <w:rPr>
          <w:rStyle w:val="TextoNormalCursivaCaracter"/>
        </w:rPr>
        <w:t xml:space="preserve"> Supuesta vulneración del derecho de representación política: STC 65/2023 (ausencia de acreditación de la incidencia, por la aceptación de las veintinueve fórmulas de acatamiento controvertidas, en la función representativa de los parlamentarios recurrentes). Voto particular.</w:t>
      </w:r>
      <w:r>
        <w:tab/>
      </w:r>
      <w:r>
        <w:tab/>
      </w:r>
      <w:r>
        <w:fldChar w:fldCharType="begin"/>
      </w:r>
      <w:r>
        <w:instrText xml:space="preserve"> PAGEREF SENTENCIA_2023_135 \h </w:instrText>
      </w:r>
      <w:r>
        <w:fldChar w:fldCharType="separate"/>
      </w:r>
      <w:r w:rsidR="00C73693">
        <w:rPr>
          <w:noProof/>
        </w:rPr>
        <w:t>1094</w:t>
      </w:r>
      <w:r>
        <w:fldChar w:fldCharType="end"/>
      </w:r>
    </w:p>
    <w:p w14:paraId="4D93E7B1" w14:textId="77777777" w:rsidR="007309D3" w:rsidRDefault="007309D3" w:rsidP="007309D3"/>
    <w:p w14:paraId="46D79BE5" w14:textId="77777777" w:rsidR="007309D3" w:rsidRDefault="007309D3" w:rsidP="007309D3">
      <w:pPr>
        <w:pStyle w:val="EntradandiceSentencia"/>
      </w:pPr>
      <w:r>
        <w:t>Sala Primera. Sentencia 136/2023, de 23 de octubre de 2023</w:t>
      </w:r>
    </w:p>
    <w:p w14:paraId="6B143C76" w14:textId="0260638C" w:rsidR="007309D3" w:rsidRDefault="007309D3" w:rsidP="007309D3">
      <w:pPr>
        <w:pStyle w:val="EntradandiceSentencia"/>
      </w:pPr>
    </w:p>
    <w:p w14:paraId="1AEEDFED" w14:textId="14FE7831" w:rsidR="007309D3" w:rsidRDefault="007309D3" w:rsidP="007309D3">
      <w:pPr>
        <w:pStyle w:val="EntradaSumario"/>
      </w:pPr>
      <w:r w:rsidRPr="007309D3">
        <w:rPr>
          <w:rStyle w:val="TextoNormalCaracter"/>
        </w:rPr>
        <w:t xml:space="preserve">Recurso de amparo 5402-2022. </w:t>
      </w:r>
      <w:r w:rsidRPr="007309D3">
        <w:rPr>
          <w:rStyle w:val="TextoNormalCursivaCaracter"/>
        </w:rPr>
        <w:t xml:space="preserve"> Vulneración del derecho a la libertad personal: resoluciones judiciales que no computan el período de privación de libertad transcurrido en Rumanía en cumplimiento de una orden europea de detención y entrega expedida por las autoridades judiciales españolas (STC 143/2022).</w:t>
      </w:r>
      <w:r>
        <w:tab/>
      </w:r>
      <w:r>
        <w:tab/>
      </w:r>
      <w:r>
        <w:fldChar w:fldCharType="begin"/>
      </w:r>
      <w:r>
        <w:instrText xml:space="preserve"> PAGEREF SENTENCIA_2023_136 \h </w:instrText>
      </w:r>
      <w:r>
        <w:fldChar w:fldCharType="separate"/>
      </w:r>
      <w:r w:rsidR="00C73693">
        <w:rPr>
          <w:noProof/>
        </w:rPr>
        <w:t>1105</w:t>
      </w:r>
      <w:r>
        <w:fldChar w:fldCharType="end"/>
      </w:r>
    </w:p>
    <w:p w14:paraId="38BB15A3" w14:textId="77777777" w:rsidR="007309D3" w:rsidRDefault="007309D3" w:rsidP="007309D3"/>
    <w:p w14:paraId="562ABD9B" w14:textId="77777777" w:rsidR="007309D3" w:rsidRDefault="007309D3" w:rsidP="007309D3">
      <w:pPr>
        <w:pStyle w:val="EntradandiceSentencia"/>
      </w:pPr>
      <w:r>
        <w:t>Sala Primera. Sentencia 137/2023, de 23 de octubre de 2023</w:t>
      </w:r>
    </w:p>
    <w:p w14:paraId="638A3364" w14:textId="47E27837" w:rsidR="007309D3" w:rsidRDefault="007309D3" w:rsidP="007309D3">
      <w:pPr>
        <w:pStyle w:val="EntradandiceSentencia"/>
      </w:pPr>
    </w:p>
    <w:p w14:paraId="7CC62309" w14:textId="4C4079A8" w:rsidR="007309D3" w:rsidRDefault="007309D3" w:rsidP="007309D3">
      <w:pPr>
        <w:pStyle w:val="EntradaSumario"/>
      </w:pPr>
      <w:r w:rsidRPr="007309D3">
        <w:rPr>
          <w:rStyle w:val="TextoNormalCaracter"/>
        </w:rPr>
        <w:t xml:space="preserve">Recurso de amparo 5529-2022. </w:t>
      </w:r>
      <w:r w:rsidRPr="007309D3">
        <w:rPr>
          <w:rStyle w:val="TextoNormalCursivaCaracter"/>
        </w:rPr>
        <w:t xml:space="preserve"> Vulneración del derecho a la tutela judicial sin indefensión: emplazamiento edictal del demandado sin agotar las posibilidades de comunicación personal en el domicilio que obraba en las actuaciones.</w:t>
      </w:r>
      <w:r>
        <w:tab/>
      </w:r>
      <w:r>
        <w:tab/>
      </w:r>
      <w:r>
        <w:fldChar w:fldCharType="begin"/>
      </w:r>
      <w:r>
        <w:instrText xml:space="preserve"> PAGEREF SENTENCIA_2023_137 \h </w:instrText>
      </w:r>
      <w:r>
        <w:fldChar w:fldCharType="separate"/>
      </w:r>
      <w:r w:rsidR="00C73693">
        <w:rPr>
          <w:noProof/>
        </w:rPr>
        <w:t>1122</w:t>
      </w:r>
      <w:r>
        <w:fldChar w:fldCharType="end"/>
      </w:r>
    </w:p>
    <w:p w14:paraId="35E62F94" w14:textId="77777777" w:rsidR="007309D3" w:rsidRDefault="007309D3" w:rsidP="007309D3"/>
    <w:p w14:paraId="00C40F94" w14:textId="77777777" w:rsidR="007309D3" w:rsidRDefault="007309D3" w:rsidP="007309D3">
      <w:pPr>
        <w:pStyle w:val="EntradandiceSentencia"/>
      </w:pPr>
      <w:r>
        <w:t>Sala Primera. Sentencia 138/2023, de 23 de octubre de 2023</w:t>
      </w:r>
    </w:p>
    <w:p w14:paraId="77999708" w14:textId="5A44141A" w:rsidR="007309D3" w:rsidRDefault="007309D3" w:rsidP="007309D3">
      <w:pPr>
        <w:pStyle w:val="EntradandiceSentencia"/>
      </w:pPr>
    </w:p>
    <w:p w14:paraId="4414E0C4" w14:textId="5B85FAC4" w:rsidR="007309D3" w:rsidRDefault="007309D3" w:rsidP="007309D3">
      <w:pPr>
        <w:pStyle w:val="EntradaSumario"/>
      </w:pPr>
      <w:r w:rsidRPr="007309D3">
        <w:rPr>
          <w:rStyle w:val="TextoNormalCaracter"/>
        </w:rPr>
        <w:t xml:space="preserve">Recurso de amparo 6255-2022. </w:t>
      </w:r>
      <w:r w:rsidRPr="007309D3">
        <w:rPr>
          <w:rStyle w:val="TextoNormalCursivaCaracter"/>
        </w:rPr>
        <w:t xml:space="preserve"> Vulneración del derecho a la tutela judicial efectiva: STC 40/2020 [inadecuada utilización de la dirección electrónica habilitada como cauce de comunicación del primer emplazamiento procesal (SSTC 6/2019 y 47/2019) e inadmisión de la oposición a la ejecución resultante de la confusión del deber de las personas jurídicas de relacionarse con la administración de justicia por medio de comunicaciones electrónicas con la regulación del primer emplazamiento en los procesos civiles].</w:t>
      </w:r>
      <w:r>
        <w:tab/>
      </w:r>
      <w:r>
        <w:tab/>
      </w:r>
      <w:r>
        <w:fldChar w:fldCharType="begin"/>
      </w:r>
      <w:r>
        <w:instrText xml:space="preserve"> PAGEREF SENTENCIA_2023_138 \h </w:instrText>
      </w:r>
      <w:r>
        <w:fldChar w:fldCharType="separate"/>
      </w:r>
      <w:r w:rsidR="00C73693">
        <w:rPr>
          <w:noProof/>
        </w:rPr>
        <w:t>1134</w:t>
      </w:r>
      <w:r>
        <w:fldChar w:fldCharType="end"/>
      </w:r>
    </w:p>
    <w:p w14:paraId="202E45FC" w14:textId="77777777" w:rsidR="007309D3" w:rsidRDefault="007309D3" w:rsidP="007309D3"/>
    <w:p w14:paraId="5F1BCF73" w14:textId="77777777" w:rsidR="007309D3" w:rsidRDefault="007309D3" w:rsidP="007309D3">
      <w:pPr>
        <w:pStyle w:val="EntradandiceSentencia"/>
      </w:pPr>
      <w:r>
        <w:t>Pleno. Sentencia 139/2023, de 24 de octubre de 2023</w:t>
      </w:r>
    </w:p>
    <w:p w14:paraId="0B261B01" w14:textId="4FE6AA30" w:rsidR="007309D3" w:rsidRDefault="007309D3" w:rsidP="007309D3">
      <w:pPr>
        <w:pStyle w:val="EntradandiceSentencia"/>
      </w:pPr>
    </w:p>
    <w:p w14:paraId="2A36DC5D" w14:textId="0E24E28E" w:rsidR="007309D3" w:rsidRDefault="007309D3" w:rsidP="007309D3">
      <w:pPr>
        <w:pStyle w:val="EntradaSumario"/>
      </w:pPr>
      <w:r w:rsidRPr="007309D3">
        <w:rPr>
          <w:rStyle w:val="TextoNormalCaracter"/>
        </w:rPr>
        <w:t xml:space="preserve">Recurso de amparo 4881-2019. </w:t>
      </w:r>
      <w:r w:rsidRPr="007309D3">
        <w:rPr>
          <w:rStyle w:val="TextoNormalCursivaCaracter"/>
        </w:rPr>
        <w:t xml:space="preserve"> Supuesta vulneración del derecho de representación política: STC 65/2023 (ausencia de acreditación de la incidencia, por la aceptación de las veintinueve fórmulas de acatamiento controvertidas, en la función representativa de los parlamentarios recurrentes). Voto particular.</w:t>
      </w:r>
      <w:r>
        <w:tab/>
      </w:r>
      <w:r>
        <w:tab/>
      </w:r>
      <w:r>
        <w:fldChar w:fldCharType="begin"/>
      </w:r>
      <w:r>
        <w:instrText xml:space="preserve"> PAGEREF SENTENCIA_2023_139 \h </w:instrText>
      </w:r>
      <w:r>
        <w:fldChar w:fldCharType="separate"/>
      </w:r>
      <w:r w:rsidR="00C73693">
        <w:rPr>
          <w:noProof/>
        </w:rPr>
        <w:t>1142</w:t>
      </w:r>
      <w:r>
        <w:fldChar w:fldCharType="end"/>
      </w:r>
    </w:p>
    <w:p w14:paraId="0F9A486F" w14:textId="77777777" w:rsidR="007309D3" w:rsidRDefault="007309D3" w:rsidP="007309D3"/>
    <w:p w14:paraId="3F2265DD" w14:textId="77777777" w:rsidR="007309D3" w:rsidRDefault="007309D3" w:rsidP="007309D3">
      <w:pPr>
        <w:pStyle w:val="EntradandiceSentencia"/>
      </w:pPr>
      <w:r>
        <w:t>Pleno. Sentencia 140/2023, de 24 de octubre de 2023</w:t>
      </w:r>
    </w:p>
    <w:p w14:paraId="1577F858" w14:textId="367EF24E" w:rsidR="007309D3" w:rsidRDefault="007309D3" w:rsidP="007309D3">
      <w:pPr>
        <w:pStyle w:val="EntradandiceSentencia"/>
      </w:pPr>
    </w:p>
    <w:p w14:paraId="6A5292F5" w14:textId="73BB4C87" w:rsidR="007309D3" w:rsidRDefault="007309D3" w:rsidP="007309D3">
      <w:pPr>
        <w:pStyle w:val="EntradaSumario"/>
      </w:pPr>
      <w:r w:rsidRPr="007309D3">
        <w:rPr>
          <w:rStyle w:val="TextoNormalCaracter"/>
        </w:rPr>
        <w:t xml:space="preserve">Recurso de amparo 4952-2019. </w:t>
      </w:r>
      <w:r w:rsidRPr="007309D3">
        <w:rPr>
          <w:rStyle w:val="TextoNormalCursivaCaracter"/>
        </w:rPr>
        <w:t xml:space="preserve"> Supuesta vulneración del derecho de representación política: STC 65/2023 (ausencia de acreditación de la incidencia, por la aceptación de las veintinueve fórmulas de acatamiento controvertidas, en la función representativa de los parlamentarios recurrentes). Voto particular.</w:t>
      </w:r>
      <w:r>
        <w:tab/>
      </w:r>
      <w:r>
        <w:tab/>
      </w:r>
      <w:r>
        <w:fldChar w:fldCharType="begin"/>
      </w:r>
      <w:r>
        <w:instrText xml:space="preserve"> PAGEREF SENTENCIA_2023_140 \h </w:instrText>
      </w:r>
      <w:r>
        <w:fldChar w:fldCharType="separate"/>
      </w:r>
      <w:r w:rsidR="00C73693">
        <w:rPr>
          <w:noProof/>
        </w:rPr>
        <w:t>1158</w:t>
      </w:r>
      <w:r>
        <w:fldChar w:fldCharType="end"/>
      </w:r>
    </w:p>
    <w:p w14:paraId="584529F5" w14:textId="77777777" w:rsidR="007309D3" w:rsidRDefault="007309D3" w:rsidP="007309D3"/>
    <w:p w14:paraId="352A6F76" w14:textId="77777777" w:rsidR="007309D3" w:rsidRDefault="007309D3" w:rsidP="007309D3">
      <w:pPr>
        <w:pStyle w:val="EntradandiceSentencia"/>
      </w:pPr>
      <w:r>
        <w:t>Pleno. Sentencia 141/2023, de 24 de octubre de 2023</w:t>
      </w:r>
    </w:p>
    <w:p w14:paraId="7953A642" w14:textId="191E297D" w:rsidR="007309D3" w:rsidRDefault="007309D3" w:rsidP="007309D3">
      <w:pPr>
        <w:pStyle w:val="EntradandiceSentencia"/>
      </w:pPr>
    </w:p>
    <w:p w14:paraId="4CB8B7D0" w14:textId="3C0195A2" w:rsidR="007309D3" w:rsidRDefault="007309D3" w:rsidP="007309D3">
      <w:pPr>
        <w:pStyle w:val="EntradaSumario"/>
      </w:pPr>
      <w:r w:rsidRPr="007309D3">
        <w:rPr>
          <w:rStyle w:val="TextoNormalCaracter"/>
        </w:rPr>
        <w:t xml:space="preserve">Recurso de amparo 1314-2020. </w:t>
      </w:r>
      <w:r w:rsidRPr="007309D3">
        <w:rPr>
          <w:rStyle w:val="TextoNormalCursivaCaracter"/>
        </w:rPr>
        <w:t xml:space="preserve"> Supuesta vulneración del derecho de representación política: STC 65/2023 (ausencia de acreditación de la incidencia, por la aceptación de las veintinueve fórmulas de acatamiento controvertidas, en la función representativa de los parlamentarios recurrentes). Voto particular.</w:t>
      </w:r>
      <w:r>
        <w:tab/>
      </w:r>
      <w:r>
        <w:tab/>
      </w:r>
      <w:r>
        <w:fldChar w:fldCharType="begin"/>
      </w:r>
      <w:r>
        <w:instrText xml:space="preserve"> PAGEREF SENTENCIA_2023_141 \h </w:instrText>
      </w:r>
      <w:r>
        <w:fldChar w:fldCharType="separate"/>
      </w:r>
      <w:r w:rsidR="00C73693">
        <w:rPr>
          <w:noProof/>
        </w:rPr>
        <w:t>1171</w:t>
      </w:r>
      <w:r>
        <w:fldChar w:fldCharType="end"/>
      </w:r>
    </w:p>
    <w:p w14:paraId="3C66C358" w14:textId="77777777" w:rsidR="007309D3" w:rsidRDefault="007309D3" w:rsidP="007309D3"/>
    <w:p w14:paraId="6B5A44EA" w14:textId="77777777" w:rsidR="007309D3" w:rsidRDefault="007309D3" w:rsidP="007309D3">
      <w:pPr>
        <w:pStyle w:val="EntradandiceSentencia"/>
      </w:pPr>
      <w:r>
        <w:t>Pleno. Sentencia 142/2023, de 24 de octubre de 2023</w:t>
      </w:r>
    </w:p>
    <w:p w14:paraId="1347CC64" w14:textId="4478DA44" w:rsidR="007309D3" w:rsidRDefault="007309D3" w:rsidP="007309D3">
      <w:pPr>
        <w:pStyle w:val="EntradandiceSentencia"/>
      </w:pPr>
    </w:p>
    <w:p w14:paraId="260B3612" w14:textId="6EF065F8" w:rsidR="007309D3" w:rsidRDefault="007309D3" w:rsidP="007309D3">
      <w:pPr>
        <w:pStyle w:val="EntradaSumario"/>
      </w:pPr>
      <w:r w:rsidRPr="007309D3">
        <w:rPr>
          <w:rStyle w:val="TextoNormalCaracter"/>
        </w:rPr>
        <w:t xml:space="preserve">Recurso de amparo 2001-2020. </w:t>
      </w:r>
      <w:r w:rsidRPr="007309D3">
        <w:rPr>
          <w:rStyle w:val="TextoNormalCursivaCaracter"/>
        </w:rPr>
        <w:t xml:space="preserve"> Supuesta vulneración del derecho de representación política: STC 65/2023 (ausencia de acreditación de la incidencia, por la aceptación de las veintinueve fórmulas de acatamiento controvertidas, en la función representativa de los parlamentarios recurrentes). Voto particular.</w:t>
      </w:r>
      <w:r>
        <w:tab/>
      </w:r>
      <w:r>
        <w:tab/>
      </w:r>
      <w:r>
        <w:fldChar w:fldCharType="begin"/>
      </w:r>
      <w:r>
        <w:instrText xml:space="preserve"> PAGEREF SENTENCIA_2023_142 \h </w:instrText>
      </w:r>
      <w:r>
        <w:fldChar w:fldCharType="separate"/>
      </w:r>
      <w:r w:rsidR="00C73693">
        <w:rPr>
          <w:noProof/>
        </w:rPr>
        <w:t>1183</w:t>
      </w:r>
      <w:r>
        <w:fldChar w:fldCharType="end"/>
      </w:r>
    </w:p>
    <w:p w14:paraId="6A2F31A0" w14:textId="77777777" w:rsidR="007309D3" w:rsidRDefault="007309D3" w:rsidP="007309D3"/>
    <w:p w14:paraId="42F7391F" w14:textId="77777777" w:rsidR="007309D3" w:rsidRDefault="007309D3" w:rsidP="007309D3">
      <w:pPr>
        <w:pStyle w:val="EntradandiceSentencia"/>
      </w:pPr>
      <w:r>
        <w:t>Pleno. Sentencia 143/2023, de 24 de octubre de 2023</w:t>
      </w:r>
    </w:p>
    <w:p w14:paraId="5E13D6BD" w14:textId="3A21EFBF" w:rsidR="007309D3" w:rsidRDefault="007309D3" w:rsidP="007309D3">
      <w:pPr>
        <w:pStyle w:val="EntradandiceSentencia"/>
      </w:pPr>
    </w:p>
    <w:p w14:paraId="45EE58F5" w14:textId="5C2623A7" w:rsidR="007309D3" w:rsidRDefault="007309D3" w:rsidP="007309D3">
      <w:pPr>
        <w:pStyle w:val="EntradaSumario"/>
      </w:pPr>
      <w:r w:rsidRPr="007309D3">
        <w:rPr>
          <w:rStyle w:val="TextoNormalCaracter"/>
        </w:rPr>
        <w:t xml:space="preserve">Recurso de inconstitucionalidad 874-2022. </w:t>
      </w:r>
      <w:r w:rsidRPr="007309D3">
        <w:rPr>
          <w:rStyle w:val="TextoNormalCursivaCaracter"/>
        </w:rPr>
        <w:t xml:space="preserve"> Principio de autonomía local (autonomía provincial): pérdida sobrevenida de objeto del proceso constitucional referido a los preceptos legales que establecen las reglas de distribución del fondo de cooperación municipal y prevén el requerimiento al presidente de la diputación provincial para que se respeten las directrices de coordinación del plan sectorial de financiación del fondo (STC 124/2023); constitucionalidad de las restantes previsiones legales autonómicas. Votos particulares.</w:t>
      </w:r>
      <w:r>
        <w:tab/>
      </w:r>
      <w:r>
        <w:tab/>
      </w:r>
      <w:r>
        <w:fldChar w:fldCharType="begin"/>
      </w:r>
      <w:r>
        <w:instrText xml:space="preserve"> PAGEREF SENTENCIA_2023_143 \h </w:instrText>
      </w:r>
      <w:r>
        <w:fldChar w:fldCharType="separate"/>
      </w:r>
      <w:r w:rsidR="00C73693">
        <w:rPr>
          <w:noProof/>
        </w:rPr>
        <w:t>1204</w:t>
      </w:r>
      <w:r>
        <w:fldChar w:fldCharType="end"/>
      </w:r>
    </w:p>
    <w:p w14:paraId="3552D931" w14:textId="77777777" w:rsidR="007309D3" w:rsidRDefault="007309D3" w:rsidP="007309D3"/>
    <w:p w14:paraId="10BFAC2F" w14:textId="77777777" w:rsidR="007309D3" w:rsidRDefault="007309D3" w:rsidP="007309D3">
      <w:pPr>
        <w:pStyle w:val="EntradandiceSentencia"/>
      </w:pPr>
      <w:r>
        <w:t>Pleno. Sentencia 144/2023, de 25 de octubre de 2023</w:t>
      </w:r>
    </w:p>
    <w:p w14:paraId="04771C6C" w14:textId="6889FD1A" w:rsidR="007309D3" w:rsidRDefault="007309D3" w:rsidP="007309D3">
      <w:pPr>
        <w:pStyle w:val="EntradandiceSentencia"/>
      </w:pPr>
    </w:p>
    <w:p w14:paraId="47CDD07C" w14:textId="36DF7CE8" w:rsidR="007309D3" w:rsidRDefault="007309D3" w:rsidP="007309D3">
      <w:pPr>
        <w:pStyle w:val="EntradaSumario"/>
      </w:pPr>
      <w:r w:rsidRPr="007309D3">
        <w:rPr>
          <w:rStyle w:val="TextoNormalCaracter"/>
        </w:rPr>
        <w:t xml:space="preserve">Recurso de inconstitucionalidad 4977-2021. </w:t>
      </w:r>
      <w:r w:rsidRPr="007309D3">
        <w:rPr>
          <w:rStyle w:val="TextoNormalCursivaCaracter"/>
        </w:rPr>
        <w:t xml:space="preserve"> Límites de los decretos leyes: concurrencia del presupuesto habilitante de la situación de extraordinaria y urgente necesidad y de la conexión de sentido de las medidas dispuestas para hacerle frente. Voto particular.</w:t>
      </w:r>
      <w:r>
        <w:tab/>
      </w:r>
      <w:r>
        <w:tab/>
      </w:r>
      <w:r>
        <w:fldChar w:fldCharType="begin"/>
      </w:r>
      <w:r>
        <w:instrText xml:space="preserve"> PAGEREF SENTENCIA_2023_144 \h </w:instrText>
      </w:r>
      <w:r>
        <w:fldChar w:fldCharType="separate"/>
      </w:r>
      <w:r w:rsidR="00C73693">
        <w:rPr>
          <w:noProof/>
        </w:rPr>
        <w:t>1224</w:t>
      </w:r>
      <w:r>
        <w:fldChar w:fldCharType="end"/>
      </w:r>
    </w:p>
    <w:p w14:paraId="1DCF454B" w14:textId="77777777" w:rsidR="007309D3" w:rsidRDefault="007309D3" w:rsidP="007309D3"/>
    <w:p w14:paraId="004C7E46" w14:textId="77777777" w:rsidR="007309D3" w:rsidRDefault="007309D3" w:rsidP="007309D3">
      <w:pPr>
        <w:pStyle w:val="EntradandiceSentencia"/>
      </w:pPr>
      <w:r>
        <w:t>Pleno. Sentencia 145/2023, de 25 de octubre de 2023</w:t>
      </w:r>
    </w:p>
    <w:p w14:paraId="5E6D8A8E" w14:textId="2B69436D" w:rsidR="007309D3" w:rsidRDefault="007309D3" w:rsidP="007309D3">
      <w:pPr>
        <w:pStyle w:val="EntradandiceSentencia"/>
      </w:pPr>
    </w:p>
    <w:p w14:paraId="5E909C22" w14:textId="24046260" w:rsidR="007309D3" w:rsidRDefault="007309D3" w:rsidP="007309D3">
      <w:pPr>
        <w:pStyle w:val="EntradaSumario"/>
      </w:pPr>
      <w:r w:rsidRPr="007309D3">
        <w:rPr>
          <w:rStyle w:val="TextoNormalCaracter"/>
        </w:rPr>
        <w:t xml:space="preserve">Recurso de inconstitucionalidad 6345-2021. </w:t>
      </w:r>
      <w:r w:rsidRPr="007309D3">
        <w:rPr>
          <w:rStyle w:val="TextoNormalCursivaCaracter"/>
        </w:rPr>
        <w:t xml:space="preserve"> Límites de los decretos leyes: concurrencia del presupuesto habilitante y de la conexión de sentido en una norma de urgencia que no desconoce los límites materiales de los decretos leyes.</w:t>
      </w:r>
      <w:r>
        <w:tab/>
      </w:r>
      <w:r>
        <w:tab/>
      </w:r>
      <w:r>
        <w:fldChar w:fldCharType="begin"/>
      </w:r>
      <w:r>
        <w:instrText xml:space="preserve"> PAGEREF SENTENCIA_2023_145 \h </w:instrText>
      </w:r>
      <w:r>
        <w:fldChar w:fldCharType="separate"/>
      </w:r>
      <w:r w:rsidR="00C73693">
        <w:rPr>
          <w:noProof/>
        </w:rPr>
        <w:t>1259</w:t>
      </w:r>
      <w:r>
        <w:fldChar w:fldCharType="end"/>
      </w:r>
    </w:p>
    <w:p w14:paraId="563372C1" w14:textId="77777777" w:rsidR="007309D3" w:rsidRDefault="007309D3" w:rsidP="007309D3"/>
    <w:p w14:paraId="449C9E87" w14:textId="77777777" w:rsidR="007309D3" w:rsidRDefault="007309D3" w:rsidP="007309D3">
      <w:pPr>
        <w:pStyle w:val="EntradandiceSentencia"/>
      </w:pPr>
      <w:r>
        <w:t>Pleno. Sentencia 146/2023, de 26 de octubre de 2023</w:t>
      </w:r>
    </w:p>
    <w:p w14:paraId="4012AE17" w14:textId="27AD7635" w:rsidR="007309D3" w:rsidRDefault="007309D3" w:rsidP="007309D3">
      <w:pPr>
        <w:pStyle w:val="EntradandiceSentencia"/>
      </w:pPr>
    </w:p>
    <w:p w14:paraId="74AC6443" w14:textId="1FC5E768" w:rsidR="007309D3" w:rsidRDefault="007309D3" w:rsidP="007309D3">
      <w:pPr>
        <w:pStyle w:val="EntradaSumario"/>
      </w:pPr>
      <w:r w:rsidRPr="007309D3">
        <w:rPr>
          <w:rStyle w:val="TextoNormalCaracter"/>
        </w:rPr>
        <w:t xml:space="preserve">Recurso de inconstitucionalidad 3133-2023. </w:t>
      </w:r>
      <w:r w:rsidRPr="007309D3">
        <w:rPr>
          <w:rStyle w:val="TextoNormalCursivaCaracter"/>
        </w:rPr>
        <w:t xml:space="preserve"> Competencias sobre legislación procesal: nulidad del precepto autonómico que exige la tramitación de un procedimiento de jurisdicción voluntaria para la autorización judicial de actuaciones que afecten al derecho a la vida de las personas con discapacidad.</w:t>
      </w:r>
      <w:r>
        <w:tab/>
      </w:r>
      <w:r>
        <w:tab/>
      </w:r>
      <w:r>
        <w:fldChar w:fldCharType="begin"/>
      </w:r>
      <w:r>
        <w:instrText xml:space="preserve"> PAGEREF SENTENCIA_2023_146 \h </w:instrText>
      </w:r>
      <w:r>
        <w:fldChar w:fldCharType="separate"/>
      </w:r>
      <w:r w:rsidR="00C73693">
        <w:rPr>
          <w:noProof/>
        </w:rPr>
        <w:t>1292</w:t>
      </w:r>
      <w:r>
        <w:fldChar w:fldCharType="end"/>
      </w:r>
    </w:p>
    <w:p w14:paraId="6A578F9A" w14:textId="77777777" w:rsidR="007309D3" w:rsidRDefault="007309D3" w:rsidP="007309D3"/>
    <w:p w14:paraId="31ADAA5C" w14:textId="77777777" w:rsidR="007309D3" w:rsidRDefault="007309D3" w:rsidP="007309D3">
      <w:pPr>
        <w:pStyle w:val="EntradandiceSentencia"/>
      </w:pPr>
      <w:r>
        <w:t>Pleno. Sentencia 147/2023, de 6 de noviembre de 2023</w:t>
      </w:r>
    </w:p>
    <w:p w14:paraId="768FFB35" w14:textId="0CA50496" w:rsidR="007309D3" w:rsidRDefault="007309D3" w:rsidP="007309D3">
      <w:pPr>
        <w:pStyle w:val="EntradandiceSentencia"/>
      </w:pPr>
    </w:p>
    <w:p w14:paraId="6CA16B70" w14:textId="100C2389" w:rsidR="007309D3" w:rsidRDefault="007309D3" w:rsidP="007309D3">
      <w:pPr>
        <w:pStyle w:val="EntradaSumario"/>
      </w:pPr>
      <w:r w:rsidRPr="007309D3">
        <w:rPr>
          <w:rStyle w:val="TextoNormalCaracter"/>
        </w:rPr>
        <w:t xml:space="preserve">Recurso de inconstitucionalidad 4469-2021. </w:t>
      </w:r>
      <w:r w:rsidRPr="007309D3">
        <w:rPr>
          <w:rStyle w:val="TextoNormalCursivaCaracter"/>
        </w:rPr>
        <w:t xml:space="preserve"> Límites de los decretos leyes: STC 144/2023 (concurrencia del presupuesto habilitante de la situación de extraordinaria y urgente necesidad y de la conexión de sentido de las medidas dispuestas para hacerle frente). Voto particular.</w:t>
      </w:r>
      <w:r>
        <w:tab/>
      </w:r>
      <w:r>
        <w:tab/>
      </w:r>
      <w:r>
        <w:fldChar w:fldCharType="begin"/>
      </w:r>
      <w:r>
        <w:instrText xml:space="preserve"> PAGEREF SENTENCIA_2023_147 \h </w:instrText>
      </w:r>
      <w:r>
        <w:fldChar w:fldCharType="separate"/>
      </w:r>
      <w:r w:rsidR="00C73693">
        <w:rPr>
          <w:noProof/>
        </w:rPr>
        <w:t>1302</w:t>
      </w:r>
      <w:r>
        <w:fldChar w:fldCharType="end"/>
      </w:r>
    </w:p>
    <w:p w14:paraId="29ABC1EC" w14:textId="77777777" w:rsidR="007309D3" w:rsidRDefault="007309D3" w:rsidP="007309D3"/>
    <w:p w14:paraId="4D965C12" w14:textId="77777777" w:rsidR="007309D3" w:rsidRDefault="007309D3" w:rsidP="007309D3">
      <w:pPr>
        <w:pStyle w:val="EntradandiceSentencia"/>
      </w:pPr>
      <w:r>
        <w:t>Pleno. Sentencia 148/2023, de 6 de noviembre de 2023</w:t>
      </w:r>
    </w:p>
    <w:p w14:paraId="29A26A23" w14:textId="56CE90D0" w:rsidR="007309D3" w:rsidRDefault="007309D3" w:rsidP="007309D3">
      <w:pPr>
        <w:pStyle w:val="EntradandiceSentencia"/>
      </w:pPr>
    </w:p>
    <w:p w14:paraId="4AB758A1" w14:textId="14D86391" w:rsidR="007309D3" w:rsidRDefault="007309D3" w:rsidP="007309D3">
      <w:pPr>
        <w:pStyle w:val="EntradaSumario"/>
      </w:pPr>
      <w:r w:rsidRPr="007309D3">
        <w:rPr>
          <w:rStyle w:val="TextoNormalCaracter"/>
        </w:rPr>
        <w:t xml:space="preserve">Recurso de amparo 3272-2022. </w:t>
      </w:r>
      <w:r w:rsidRPr="007309D3">
        <w:rPr>
          <w:rStyle w:val="TextoNormalCursivaCaracter"/>
        </w:rPr>
        <w:t xml:space="preserve"> Supuesta vulneración de los derechos a la integridad física, a la tutela judicial (motivación) y a un proceso con todas las garantías: resoluciones judiciales que ponderaron adecuadamente los intereses de una persona menor de edad (STC 38/2023).</w:t>
      </w:r>
      <w:r>
        <w:tab/>
      </w:r>
      <w:r>
        <w:tab/>
      </w:r>
      <w:r>
        <w:fldChar w:fldCharType="begin"/>
      </w:r>
      <w:r>
        <w:instrText xml:space="preserve"> PAGEREF SENTENCIA_2023_148 \h </w:instrText>
      </w:r>
      <w:r>
        <w:fldChar w:fldCharType="separate"/>
      </w:r>
      <w:r w:rsidR="00C73693">
        <w:rPr>
          <w:noProof/>
        </w:rPr>
        <w:t>1310</w:t>
      </w:r>
      <w:r>
        <w:fldChar w:fldCharType="end"/>
      </w:r>
    </w:p>
    <w:p w14:paraId="108D8BA9" w14:textId="77777777" w:rsidR="007309D3" w:rsidRDefault="007309D3" w:rsidP="007309D3"/>
    <w:p w14:paraId="7A6BC2C8" w14:textId="77777777" w:rsidR="007309D3" w:rsidRDefault="007309D3" w:rsidP="007309D3">
      <w:pPr>
        <w:pStyle w:val="EntradandiceSentencia"/>
      </w:pPr>
      <w:r>
        <w:t>Pleno. Sentencia 149/2023, de 7 de noviembre de 2023</w:t>
      </w:r>
    </w:p>
    <w:p w14:paraId="1DF22E01" w14:textId="6EDB9EE6" w:rsidR="007309D3" w:rsidRDefault="007309D3" w:rsidP="007309D3">
      <w:pPr>
        <w:pStyle w:val="EntradandiceSentencia"/>
      </w:pPr>
    </w:p>
    <w:p w14:paraId="61414555" w14:textId="0E867F1C" w:rsidR="007309D3" w:rsidRDefault="007309D3" w:rsidP="007309D3">
      <w:pPr>
        <w:pStyle w:val="EntradaSumario"/>
      </w:pPr>
      <w:r w:rsidRPr="007309D3">
        <w:rPr>
          <w:rStyle w:val="TextoNormalCaracter"/>
        </w:rPr>
        <w:t xml:space="preserve">Recurso de inconstitucionalidad 616-2023. </w:t>
      </w:r>
      <w:r w:rsidRPr="007309D3">
        <w:rPr>
          <w:rStyle w:val="TextoNormalCursivaCaracter"/>
        </w:rPr>
        <w:t xml:space="preserve"> Supuesta vulneración del derecho al ejercicio de las funciones representativas (homogeneidad de las enmiendas parlamentarias respecto del texto que se pretende modificar), principios de legalidad tributaria, capacidad económica y no confiscatoriedad, corresponsabilidad fiscal y lealtad institucional: constitucionalidad del precepto legal que crea el impuesto temporal sobre grandes fortunas como tributo directo, de naturaleza personal y complementario del impuesto sobre el patrimonio. Voto particular.</w:t>
      </w:r>
      <w:r>
        <w:tab/>
      </w:r>
      <w:r>
        <w:tab/>
      </w:r>
      <w:r>
        <w:fldChar w:fldCharType="begin"/>
      </w:r>
      <w:r>
        <w:instrText xml:space="preserve"> PAGEREF SENTENCIA_2023_149 \h </w:instrText>
      </w:r>
      <w:r>
        <w:fldChar w:fldCharType="separate"/>
      </w:r>
      <w:r w:rsidR="00C73693">
        <w:rPr>
          <w:noProof/>
        </w:rPr>
        <w:t>1334</w:t>
      </w:r>
      <w:r>
        <w:fldChar w:fldCharType="end"/>
      </w:r>
    </w:p>
    <w:p w14:paraId="03899AF4" w14:textId="77777777" w:rsidR="007309D3" w:rsidRDefault="007309D3" w:rsidP="007309D3"/>
    <w:p w14:paraId="4E4D49DB" w14:textId="77777777" w:rsidR="007309D3" w:rsidRDefault="007309D3" w:rsidP="007309D3">
      <w:pPr>
        <w:pStyle w:val="EntradandiceSentencia"/>
      </w:pPr>
      <w:r>
        <w:t>Sala Segunda. Sentencia 150/2023, de 20 de noviembre de 2023</w:t>
      </w:r>
    </w:p>
    <w:p w14:paraId="28FE89FC" w14:textId="48004B15" w:rsidR="007309D3" w:rsidRDefault="007309D3" w:rsidP="007309D3">
      <w:pPr>
        <w:pStyle w:val="EntradandiceSentencia"/>
      </w:pPr>
    </w:p>
    <w:p w14:paraId="5C0676C1" w14:textId="69B456AB" w:rsidR="007309D3" w:rsidRDefault="007309D3" w:rsidP="007309D3">
      <w:pPr>
        <w:pStyle w:val="EntradaSumario"/>
      </w:pPr>
      <w:r w:rsidRPr="007309D3">
        <w:rPr>
          <w:rStyle w:val="TextoNormalCaracter"/>
        </w:rPr>
        <w:t xml:space="preserve">Recurso de amparo 5467-2019. </w:t>
      </w:r>
      <w:r w:rsidRPr="007309D3">
        <w:rPr>
          <w:rStyle w:val="TextoNormalCursivaCaracter"/>
        </w:rPr>
        <w:t xml:space="preserve"> Vulneración del derecho de defensa: resolución administrativa sancionadora que se funda en datos nuevos incorporados a la propuesta de resolución de la que no se dio traslado al interesado (STC 145/2011).</w:t>
      </w:r>
      <w:r>
        <w:tab/>
      </w:r>
      <w:r>
        <w:tab/>
      </w:r>
      <w:r>
        <w:fldChar w:fldCharType="begin"/>
      </w:r>
      <w:r>
        <w:instrText xml:space="preserve"> PAGEREF SENTENCIA_2023_150 \h </w:instrText>
      </w:r>
      <w:r>
        <w:fldChar w:fldCharType="separate"/>
      </w:r>
      <w:r w:rsidR="00C73693">
        <w:rPr>
          <w:noProof/>
        </w:rPr>
        <w:t>1401</w:t>
      </w:r>
      <w:r>
        <w:fldChar w:fldCharType="end"/>
      </w:r>
    </w:p>
    <w:p w14:paraId="18F2A0FE" w14:textId="77777777" w:rsidR="007309D3" w:rsidRDefault="007309D3" w:rsidP="007309D3"/>
    <w:p w14:paraId="62D2A750" w14:textId="77777777" w:rsidR="007309D3" w:rsidRDefault="007309D3" w:rsidP="007309D3">
      <w:pPr>
        <w:pStyle w:val="EntradandiceSentencia"/>
      </w:pPr>
      <w:r>
        <w:t>Sala Segunda. Sentencia 151/2023, de 20 de noviembre de 2023</w:t>
      </w:r>
    </w:p>
    <w:p w14:paraId="2E11171B" w14:textId="60B03448" w:rsidR="007309D3" w:rsidRDefault="007309D3" w:rsidP="007309D3">
      <w:pPr>
        <w:pStyle w:val="EntradandiceSentencia"/>
      </w:pPr>
    </w:p>
    <w:p w14:paraId="3CEC971F" w14:textId="7E059E32" w:rsidR="007309D3" w:rsidRDefault="007309D3" w:rsidP="007309D3">
      <w:pPr>
        <w:pStyle w:val="EntradaSumario"/>
      </w:pPr>
      <w:r w:rsidRPr="007309D3">
        <w:rPr>
          <w:rStyle w:val="TextoNormalCaracter"/>
        </w:rPr>
        <w:t xml:space="preserve">Recurso de amparo 3467-2021. </w:t>
      </w:r>
      <w:r w:rsidRPr="007309D3">
        <w:rPr>
          <w:rStyle w:val="TextoNormalCursivaCaracter"/>
        </w:rPr>
        <w:t xml:space="preserve"> Alegada vulneración del derecho a la tutela judicial efectiva: inadmisión del recurso de amparo por falta de agotamiento de la vía judicial previa al promoverse extemporáneamente el incidente de nulidad de actuaciones.</w:t>
      </w:r>
      <w:r>
        <w:tab/>
      </w:r>
      <w:r>
        <w:tab/>
      </w:r>
      <w:r>
        <w:fldChar w:fldCharType="begin"/>
      </w:r>
      <w:r>
        <w:instrText xml:space="preserve"> PAGEREF SENTENCIA_2023_151 \h </w:instrText>
      </w:r>
      <w:r>
        <w:fldChar w:fldCharType="separate"/>
      </w:r>
      <w:r w:rsidR="00C73693">
        <w:rPr>
          <w:noProof/>
        </w:rPr>
        <w:t>1417</w:t>
      </w:r>
      <w:r>
        <w:fldChar w:fldCharType="end"/>
      </w:r>
    </w:p>
    <w:p w14:paraId="74A37424" w14:textId="77777777" w:rsidR="007309D3" w:rsidRDefault="007309D3" w:rsidP="007309D3"/>
    <w:p w14:paraId="6209F4CE" w14:textId="77777777" w:rsidR="007309D3" w:rsidRDefault="007309D3" w:rsidP="007309D3">
      <w:pPr>
        <w:pStyle w:val="EntradandiceSentencia"/>
      </w:pPr>
      <w:r>
        <w:t>Sala Segunda. Sentencia 152/2023, de 20 de noviembre de 2023</w:t>
      </w:r>
    </w:p>
    <w:p w14:paraId="438012B5" w14:textId="235A80BF" w:rsidR="007309D3" w:rsidRDefault="007309D3" w:rsidP="007309D3">
      <w:pPr>
        <w:pStyle w:val="EntradandiceSentencia"/>
      </w:pPr>
    </w:p>
    <w:p w14:paraId="5AED7A47" w14:textId="73DA3824" w:rsidR="007309D3" w:rsidRDefault="007309D3" w:rsidP="007309D3">
      <w:pPr>
        <w:pStyle w:val="EntradaSumario"/>
      </w:pPr>
      <w:r w:rsidRPr="007309D3">
        <w:rPr>
          <w:rStyle w:val="TextoNormalCaracter"/>
        </w:rPr>
        <w:t xml:space="preserve">Recurso de amparo 6609-2021. </w:t>
      </w:r>
      <w:r w:rsidRPr="007309D3">
        <w:rPr>
          <w:rStyle w:val="TextoNormalCursivaCaracter"/>
        </w:rPr>
        <w:t xml:space="preserve"> Vulneración de los derechos a la libertad personal y de defensa: STC 30/2023 [denegación de acceso a las actuaciones precisas para impugnar la prisión provisional acordada que no respeta las garantías legales de información imprescindibles para una defensa frente a la privación cautelar de libertad (STC 180/2020)].</w:t>
      </w:r>
      <w:r>
        <w:tab/>
      </w:r>
      <w:r>
        <w:tab/>
      </w:r>
      <w:r>
        <w:fldChar w:fldCharType="begin"/>
      </w:r>
      <w:r>
        <w:instrText xml:space="preserve"> PAGEREF SENTENCIA_2023_152 \h </w:instrText>
      </w:r>
      <w:r>
        <w:fldChar w:fldCharType="separate"/>
      </w:r>
      <w:r w:rsidR="00C73693">
        <w:rPr>
          <w:noProof/>
        </w:rPr>
        <w:t>1434</w:t>
      </w:r>
      <w:r>
        <w:fldChar w:fldCharType="end"/>
      </w:r>
    </w:p>
    <w:p w14:paraId="17D20CBC" w14:textId="77777777" w:rsidR="007309D3" w:rsidRDefault="007309D3" w:rsidP="007309D3"/>
    <w:p w14:paraId="097FD14B" w14:textId="77777777" w:rsidR="007309D3" w:rsidRDefault="007309D3" w:rsidP="007309D3">
      <w:pPr>
        <w:pStyle w:val="EntradandiceSentencia"/>
      </w:pPr>
      <w:r>
        <w:t>Sala Segunda. Sentencia 153/2023, de 20 de noviembre de 2023</w:t>
      </w:r>
    </w:p>
    <w:p w14:paraId="6E103565" w14:textId="7EDD43D2" w:rsidR="007309D3" w:rsidRDefault="007309D3" w:rsidP="007309D3">
      <w:pPr>
        <w:pStyle w:val="EntradandiceSentencia"/>
      </w:pPr>
    </w:p>
    <w:p w14:paraId="6F48E79F" w14:textId="02A6852F" w:rsidR="007309D3" w:rsidRDefault="007309D3" w:rsidP="007309D3">
      <w:pPr>
        <w:pStyle w:val="EntradaSumario"/>
      </w:pPr>
      <w:r w:rsidRPr="007309D3">
        <w:rPr>
          <w:rStyle w:val="TextoNormalCaracter"/>
        </w:rPr>
        <w:t xml:space="preserve">Recurso de amparo 55-2022. </w:t>
      </w:r>
      <w:r w:rsidRPr="007309D3">
        <w:rPr>
          <w:rStyle w:val="TextoNormalCursivaCaracter"/>
        </w:rPr>
        <w:t xml:space="preserve"> Vulneración del derecho a la tutela judicial efectiva (acceso al recurso legal): inadmisión del incidente de nulidad de actuaciones fundada, inmotivadamente, en la procedencia del recurso de casación por infracción de ley.</w:t>
      </w:r>
      <w:r>
        <w:tab/>
      </w:r>
      <w:r>
        <w:tab/>
      </w:r>
      <w:r>
        <w:fldChar w:fldCharType="begin"/>
      </w:r>
      <w:r>
        <w:instrText xml:space="preserve"> PAGEREF SENTENCIA_2023_153 \h </w:instrText>
      </w:r>
      <w:r>
        <w:fldChar w:fldCharType="separate"/>
      </w:r>
      <w:r w:rsidR="00C73693">
        <w:rPr>
          <w:noProof/>
        </w:rPr>
        <w:t>1444</w:t>
      </w:r>
      <w:r>
        <w:fldChar w:fldCharType="end"/>
      </w:r>
    </w:p>
    <w:p w14:paraId="3E13B83A" w14:textId="77777777" w:rsidR="007309D3" w:rsidRDefault="007309D3" w:rsidP="007309D3"/>
    <w:p w14:paraId="7F88BCC2" w14:textId="77777777" w:rsidR="007309D3" w:rsidRDefault="007309D3" w:rsidP="007309D3">
      <w:pPr>
        <w:pStyle w:val="EntradandiceSentencia"/>
      </w:pPr>
      <w:r>
        <w:t>Sala Primera. Sentencia 154/2023, de 20 de noviembre de 2023</w:t>
      </w:r>
    </w:p>
    <w:p w14:paraId="12DD9B05" w14:textId="5A90C956" w:rsidR="007309D3" w:rsidRDefault="007309D3" w:rsidP="007309D3">
      <w:pPr>
        <w:pStyle w:val="EntradandiceSentencia"/>
      </w:pPr>
    </w:p>
    <w:p w14:paraId="21DBE389" w14:textId="2003FF4E" w:rsidR="007309D3" w:rsidRDefault="007309D3" w:rsidP="007309D3">
      <w:pPr>
        <w:pStyle w:val="EntradaSumario"/>
      </w:pPr>
      <w:r w:rsidRPr="007309D3">
        <w:rPr>
          <w:rStyle w:val="TextoNormalCaracter"/>
        </w:rPr>
        <w:t xml:space="preserve">Recurso de amparo 3900-2022. </w:t>
      </w:r>
      <w:r w:rsidRPr="007309D3">
        <w:rPr>
          <w:rStyle w:val="TextoNormalCursivaCaracter"/>
        </w:rPr>
        <w:t xml:space="preserve"> Supuesta vulneración del derecho a la integridad física: STC 148/2023 [resoluciones judiciales que realizaron una ponderación adecuada de los intereses de una persona menor de edad (STC 38/2023)].</w:t>
      </w:r>
      <w:r>
        <w:tab/>
      </w:r>
      <w:r>
        <w:tab/>
      </w:r>
      <w:r>
        <w:fldChar w:fldCharType="begin"/>
      </w:r>
      <w:r>
        <w:instrText xml:space="preserve"> PAGEREF SENTENCIA_2023_154 \h </w:instrText>
      </w:r>
      <w:r>
        <w:fldChar w:fldCharType="separate"/>
      </w:r>
      <w:r w:rsidR="00C73693">
        <w:rPr>
          <w:noProof/>
        </w:rPr>
        <w:t>1454</w:t>
      </w:r>
      <w:r>
        <w:fldChar w:fldCharType="end"/>
      </w:r>
    </w:p>
    <w:p w14:paraId="536D8B3F" w14:textId="77777777" w:rsidR="007309D3" w:rsidRDefault="007309D3" w:rsidP="007309D3"/>
    <w:p w14:paraId="52BD7FC4" w14:textId="77777777" w:rsidR="007309D3" w:rsidRDefault="007309D3" w:rsidP="007309D3">
      <w:pPr>
        <w:pStyle w:val="EntradandiceSentencia"/>
      </w:pPr>
      <w:r>
        <w:t>Sala Primera. Sentencia 155/2023, de 20 de noviembre de 2023</w:t>
      </w:r>
    </w:p>
    <w:p w14:paraId="398FB03E" w14:textId="586917A8" w:rsidR="007309D3" w:rsidRDefault="007309D3" w:rsidP="007309D3">
      <w:pPr>
        <w:pStyle w:val="EntradandiceSentencia"/>
      </w:pPr>
    </w:p>
    <w:p w14:paraId="47619AFC" w14:textId="69C123FD" w:rsidR="007309D3" w:rsidRDefault="007309D3" w:rsidP="007309D3">
      <w:pPr>
        <w:pStyle w:val="EntradaSumario"/>
      </w:pPr>
      <w:r w:rsidRPr="007309D3">
        <w:rPr>
          <w:rStyle w:val="TextoNormalCaracter"/>
        </w:rPr>
        <w:t xml:space="preserve">Recurso de amparo 4858-2022. </w:t>
      </w:r>
      <w:r w:rsidRPr="007309D3">
        <w:rPr>
          <w:rStyle w:val="TextoNormalCursivaCaracter"/>
        </w:rPr>
        <w:t xml:space="preserve"> Supuesta vulneración de los derechos a la integridad física y a la tutela judicial efectiva (motivación): STC 148/2023 [resoluciones judiciales que realizaron una ponderación adecuada de los intereses de una persona menor de edad (STC 38/2023)].</w:t>
      </w:r>
      <w:r>
        <w:tab/>
      </w:r>
      <w:r>
        <w:tab/>
      </w:r>
      <w:r>
        <w:fldChar w:fldCharType="begin"/>
      </w:r>
      <w:r>
        <w:instrText xml:space="preserve"> PAGEREF SENTENCIA_2023_155 \h </w:instrText>
      </w:r>
      <w:r>
        <w:fldChar w:fldCharType="separate"/>
      </w:r>
      <w:r w:rsidR="00C73693">
        <w:rPr>
          <w:noProof/>
        </w:rPr>
        <w:t>1462</w:t>
      </w:r>
      <w:r>
        <w:fldChar w:fldCharType="end"/>
      </w:r>
    </w:p>
    <w:p w14:paraId="5CCFA26B" w14:textId="77777777" w:rsidR="007309D3" w:rsidRDefault="007309D3" w:rsidP="007309D3"/>
    <w:p w14:paraId="068A62D1" w14:textId="77777777" w:rsidR="007309D3" w:rsidRDefault="007309D3" w:rsidP="007309D3">
      <w:pPr>
        <w:pStyle w:val="EntradandiceSentencia"/>
      </w:pPr>
      <w:r>
        <w:t>Sala Primera. Sentencia 156/2023, de 20 de noviembre de 2023</w:t>
      </w:r>
    </w:p>
    <w:p w14:paraId="778BA03C" w14:textId="428F17A1" w:rsidR="007309D3" w:rsidRDefault="007309D3" w:rsidP="007309D3">
      <w:pPr>
        <w:pStyle w:val="EntradandiceSentencia"/>
      </w:pPr>
    </w:p>
    <w:p w14:paraId="7D3032B1" w14:textId="479F6904" w:rsidR="007309D3" w:rsidRDefault="007309D3" w:rsidP="007309D3">
      <w:pPr>
        <w:pStyle w:val="EntradaSumario"/>
      </w:pPr>
      <w:r w:rsidRPr="007309D3">
        <w:rPr>
          <w:rStyle w:val="TextoNormalCaracter"/>
        </w:rPr>
        <w:t xml:space="preserve">Recurso de amparo 5687-2022. </w:t>
      </w:r>
      <w:r w:rsidRPr="007309D3">
        <w:rPr>
          <w:rStyle w:val="TextoNormalCursivaCaracter"/>
        </w:rPr>
        <w:t xml:space="preserve"> Supuesta vulneración de los derechos a la integridad física, a la tutela judicial efectiva (motivación) y a un proceso con todas las garantías: STC 148/2023 [resoluciones judiciales que realizaron una ponderación adecuada de los intereses de una persona menor de edad (STC 38/2023)].</w:t>
      </w:r>
      <w:r>
        <w:tab/>
      </w:r>
      <w:r>
        <w:tab/>
      </w:r>
      <w:r>
        <w:fldChar w:fldCharType="begin"/>
      </w:r>
      <w:r>
        <w:instrText xml:space="preserve"> PAGEREF SENTENCIA_2023_156 \h </w:instrText>
      </w:r>
      <w:r>
        <w:fldChar w:fldCharType="separate"/>
      </w:r>
      <w:r w:rsidR="00C73693">
        <w:rPr>
          <w:noProof/>
        </w:rPr>
        <w:t>1472</w:t>
      </w:r>
      <w:r>
        <w:fldChar w:fldCharType="end"/>
      </w:r>
    </w:p>
    <w:p w14:paraId="1333EB46" w14:textId="77777777" w:rsidR="007309D3" w:rsidRDefault="007309D3" w:rsidP="007309D3"/>
    <w:p w14:paraId="5D17CAF4" w14:textId="77777777" w:rsidR="007309D3" w:rsidRDefault="007309D3" w:rsidP="007309D3">
      <w:pPr>
        <w:pStyle w:val="EntradandiceSentencia"/>
      </w:pPr>
      <w:r>
        <w:t>Sala Segunda. Sentencia 157/2023, de 20 de noviembre de 2023</w:t>
      </w:r>
    </w:p>
    <w:p w14:paraId="66FBA217" w14:textId="5E863122" w:rsidR="007309D3" w:rsidRDefault="007309D3" w:rsidP="007309D3">
      <w:pPr>
        <w:pStyle w:val="EntradandiceSentencia"/>
      </w:pPr>
    </w:p>
    <w:p w14:paraId="55EDF160" w14:textId="348FA654" w:rsidR="007309D3" w:rsidRDefault="007309D3" w:rsidP="007309D3">
      <w:pPr>
        <w:pStyle w:val="EntradaSumario"/>
      </w:pPr>
      <w:r w:rsidRPr="007309D3">
        <w:rPr>
          <w:rStyle w:val="TextoNormalCaracter"/>
        </w:rPr>
        <w:t xml:space="preserve">Recurso de amparo 5690-2022. </w:t>
      </w:r>
      <w:r w:rsidRPr="007309D3">
        <w:rPr>
          <w:rStyle w:val="TextoNormalCursivaCaracter"/>
        </w:rPr>
        <w:t xml:space="preserve"> Supuesta vulneración del derecho a la integridad física: STC 148/2023 [resoluciones judiciales que realizaron una ponderación adecuada de los intereses de una persona menor de edad (STC 38/2023)].</w:t>
      </w:r>
      <w:r>
        <w:tab/>
      </w:r>
      <w:r>
        <w:tab/>
      </w:r>
      <w:r>
        <w:fldChar w:fldCharType="begin"/>
      </w:r>
      <w:r>
        <w:instrText xml:space="preserve"> PAGEREF SENTENCIA_2023_157 \h </w:instrText>
      </w:r>
      <w:r>
        <w:fldChar w:fldCharType="separate"/>
      </w:r>
      <w:r w:rsidR="00C73693">
        <w:rPr>
          <w:noProof/>
        </w:rPr>
        <w:t>1480</w:t>
      </w:r>
      <w:r>
        <w:fldChar w:fldCharType="end"/>
      </w:r>
    </w:p>
    <w:p w14:paraId="333CBD79" w14:textId="77777777" w:rsidR="007309D3" w:rsidRDefault="007309D3" w:rsidP="007309D3"/>
    <w:p w14:paraId="67A782CF" w14:textId="77777777" w:rsidR="007309D3" w:rsidRDefault="007309D3" w:rsidP="007309D3">
      <w:pPr>
        <w:pStyle w:val="EntradandiceSentencia"/>
      </w:pPr>
      <w:r>
        <w:t>Sala Segunda. Sentencia 158/2023, de 20 de noviembre de 2023</w:t>
      </w:r>
    </w:p>
    <w:p w14:paraId="7FC1DDD2" w14:textId="4B67C96F" w:rsidR="007309D3" w:rsidRDefault="007309D3" w:rsidP="007309D3">
      <w:pPr>
        <w:pStyle w:val="EntradandiceSentencia"/>
      </w:pPr>
    </w:p>
    <w:p w14:paraId="611F2A1A" w14:textId="65D6C029" w:rsidR="007309D3" w:rsidRDefault="007309D3" w:rsidP="007309D3">
      <w:pPr>
        <w:pStyle w:val="EntradaSumario"/>
      </w:pPr>
      <w:r w:rsidRPr="007309D3">
        <w:rPr>
          <w:rStyle w:val="TextoNormalCaracter"/>
        </w:rPr>
        <w:t xml:space="preserve">Recurso de amparo 6134-2022. </w:t>
      </w:r>
      <w:r w:rsidRPr="007309D3">
        <w:rPr>
          <w:rStyle w:val="TextoNormalCursivaCaracter"/>
        </w:rPr>
        <w:t xml:space="preserve"> Supuesta vulneración de los derechos a la integridad física y a la tutela judicial efectiva (motivación): STC 148/2023 [resoluciones judiciales que realizaron una ponderación adecuada de los intereses de una persona menor de edad (STC 38/2023)].</w:t>
      </w:r>
      <w:r>
        <w:tab/>
      </w:r>
      <w:r>
        <w:tab/>
      </w:r>
      <w:r>
        <w:fldChar w:fldCharType="begin"/>
      </w:r>
      <w:r>
        <w:instrText xml:space="preserve"> PAGEREF SENTENCIA_2023_158 \h </w:instrText>
      </w:r>
      <w:r>
        <w:fldChar w:fldCharType="separate"/>
      </w:r>
      <w:r w:rsidR="00C73693">
        <w:rPr>
          <w:noProof/>
        </w:rPr>
        <w:t>1487</w:t>
      </w:r>
      <w:r>
        <w:fldChar w:fldCharType="end"/>
      </w:r>
    </w:p>
    <w:p w14:paraId="11B4E7C6" w14:textId="77777777" w:rsidR="007309D3" w:rsidRDefault="007309D3" w:rsidP="007309D3"/>
    <w:p w14:paraId="55736FA0" w14:textId="77777777" w:rsidR="007309D3" w:rsidRDefault="007309D3" w:rsidP="007309D3">
      <w:pPr>
        <w:pStyle w:val="EntradandiceSentencia"/>
      </w:pPr>
      <w:r>
        <w:t>Sala Segunda. Sentencia 159/2023, de 20 de noviembre de 2023</w:t>
      </w:r>
    </w:p>
    <w:p w14:paraId="085A5910" w14:textId="0D176467" w:rsidR="007309D3" w:rsidRDefault="007309D3" w:rsidP="007309D3">
      <w:pPr>
        <w:pStyle w:val="EntradandiceSentencia"/>
      </w:pPr>
    </w:p>
    <w:p w14:paraId="1C9CE7DD" w14:textId="06FFE2DD" w:rsidR="007309D3" w:rsidRDefault="007309D3" w:rsidP="007309D3">
      <w:pPr>
        <w:pStyle w:val="EntradaSumario"/>
      </w:pPr>
      <w:r w:rsidRPr="007309D3">
        <w:rPr>
          <w:rStyle w:val="TextoNormalCaracter"/>
        </w:rPr>
        <w:t xml:space="preserve">Recurso de amparo 8110-2022. </w:t>
      </w:r>
      <w:r w:rsidRPr="007309D3">
        <w:rPr>
          <w:rStyle w:val="TextoNormalCursivaCaracter"/>
        </w:rPr>
        <w:t xml:space="preserve"> Supuesta vulneración de los derechos a la integridad física y a la tutela judicial efectiva (motivación): STC 148/2023 [resoluciones judiciales que realizaron una ponderación adecuada de los intereses de una persona menor de edad (STC 38/2023)].</w:t>
      </w:r>
      <w:r>
        <w:tab/>
      </w:r>
      <w:r>
        <w:tab/>
      </w:r>
      <w:r>
        <w:fldChar w:fldCharType="begin"/>
      </w:r>
      <w:r>
        <w:instrText xml:space="preserve"> PAGEREF SENTENCIA_2023_159 \h </w:instrText>
      </w:r>
      <w:r>
        <w:fldChar w:fldCharType="separate"/>
      </w:r>
      <w:r w:rsidR="00C73693">
        <w:rPr>
          <w:noProof/>
        </w:rPr>
        <w:t>1495</w:t>
      </w:r>
      <w:r>
        <w:fldChar w:fldCharType="end"/>
      </w:r>
    </w:p>
    <w:p w14:paraId="441DEF83" w14:textId="77777777" w:rsidR="007309D3" w:rsidRDefault="007309D3" w:rsidP="007309D3"/>
    <w:p w14:paraId="5A7397B1" w14:textId="77777777" w:rsidR="007309D3" w:rsidRDefault="007309D3" w:rsidP="007309D3">
      <w:pPr>
        <w:pStyle w:val="EntradandiceSentencia"/>
      </w:pPr>
      <w:r>
        <w:t>Sala Primera. Sentencia 160/2023, de 20 de noviembre de 2023</w:t>
      </w:r>
    </w:p>
    <w:p w14:paraId="03090A86" w14:textId="0CE57985" w:rsidR="007309D3" w:rsidRDefault="007309D3" w:rsidP="007309D3">
      <w:pPr>
        <w:pStyle w:val="EntradandiceSentencia"/>
      </w:pPr>
    </w:p>
    <w:p w14:paraId="0B886C60" w14:textId="516BC8EC" w:rsidR="007309D3" w:rsidRDefault="007309D3" w:rsidP="007309D3">
      <w:pPr>
        <w:pStyle w:val="EntradaSumario"/>
      </w:pPr>
      <w:r w:rsidRPr="007309D3">
        <w:rPr>
          <w:rStyle w:val="TextoNormalCaracter"/>
        </w:rPr>
        <w:t xml:space="preserve">Recurso de amparo 572-2023. </w:t>
      </w:r>
      <w:r w:rsidRPr="007309D3">
        <w:rPr>
          <w:rStyle w:val="TextoNormalCursivaCaracter"/>
        </w:rPr>
        <w:t xml:space="preserve"> Supuesta vulneración de los derechos a la integridad física, a la tutela judicial efectiva (motivación) y a un proceso con todas las garantías: STC 148/2023 [resoluciones judiciales que realizaron una ponderación adecuada de los intereses de una persona menor de edad (STC 38/2023)].</w:t>
      </w:r>
      <w:r>
        <w:tab/>
      </w:r>
      <w:r>
        <w:tab/>
      </w:r>
      <w:r>
        <w:fldChar w:fldCharType="begin"/>
      </w:r>
      <w:r>
        <w:instrText xml:space="preserve"> PAGEREF SENTENCIA_2023_160 \h </w:instrText>
      </w:r>
      <w:r>
        <w:fldChar w:fldCharType="separate"/>
      </w:r>
      <w:r w:rsidR="00C73693">
        <w:rPr>
          <w:noProof/>
        </w:rPr>
        <w:t>1502</w:t>
      </w:r>
      <w:r>
        <w:fldChar w:fldCharType="end"/>
      </w:r>
    </w:p>
    <w:p w14:paraId="6540EC0A" w14:textId="77777777" w:rsidR="007309D3" w:rsidRDefault="007309D3" w:rsidP="007309D3"/>
    <w:p w14:paraId="45790E6D" w14:textId="77777777" w:rsidR="007309D3" w:rsidRDefault="007309D3" w:rsidP="007309D3">
      <w:pPr>
        <w:pStyle w:val="EntradandiceSentencia"/>
      </w:pPr>
      <w:r>
        <w:t>Sala Segunda. Sentencia 161/2023, de 20 de noviembre de 2023</w:t>
      </w:r>
    </w:p>
    <w:p w14:paraId="11E472FD" w14:textId="041C1C5F" w:rsidR="007309D3" w:rsidRDefault="007309D3" w:rsidP="007309D3">
      <w:pPr>
        <w:pStyle w:val="EntradandiceSentencia"/>
      </w:pPr>
    </w:p>
    <w:p w14:paraId="18DEAD77" w14:textId="5BA02181" w:rsidR="007309D3" w:rsidRDefault="007309D3" w:rsidP="007309D3">
      <w:pPr>
        <w:pStyle w:val="EntradaSumario"/>
      </w:pPr>
      <w:r w:rsidRPr="007309D3">
        <w:rPr>
          <w:rStyle w:val="TextoNormalCaracter"/>
        </w:rPr>
        <w:t xml:space="preserve">Recurso de amparo 844-2023. </w:t>
      </w:r>
      <w:r w:rsidRPr="007309D3">
        <w:rPr>
          <w:rStyle w:val="TextoNormalCursivaCaracter"/>
        </w:rPr>
        <w:t xml:space="preserve"> Alegada vulneración de los derechos a la integridad física, a la tutela judicial efectiva, en relación con el derecho a un juez imparcial, a la igualdad y a la intimidad: inadmisión de la demanda de amparo prematuramente formulada pues no había finalizado el procedimiento de jurisdicción voluntaria.</w:t>
      </w:r>
      <w:r>
        <w:tab/>
      </w:r>
      <w:r>
        <w:tab/>
      </w:r>
      <w:r>
        <w:fldChar w:fldCharType="begin"/>
      </w:r>
      <w:r>
        <w:instrText xml:space="preserve"> PAGEREF SENTENCIA_2023_161 \h </w:instrText>
      </w:r>
      <w:r>
        <w:fldChar w:fldCharType="separate"/>
      </w:r>
      <w:r w:rsidR="00C73693">
        <w:rPr>
          <w:noProof/>
        </w:rPr>
        <w:t>1510</w:t>
      </w:r>
      <w:r>
        <w:fldChar w:fldCharType="end"/>
      </w:r>
    </w:p>
    <w:p w14:paraId="0AF500C0" w14:textId="77777777" w:rsidR="007309D3" w:rsidRDefault="007309D3" w:rsidP="007309D3"/>
    <w:p w14:paraId="1DC7E0C6" w14:textId="77777777" w:rsidR="007309D3" w:rsidRDefault="007309D3" w:rsidP="007309D3">
      <w:pPr>
        <w:pStyle w:val="EntradandiceSentencia"/>
      </w:pPr>
      <w:r>
        <w:t>Sala Primera. Sentencia 162/2023, de 20 de noviembre de 2023</w:t>
      </w:r>
    </w:p>
    <w:p w14:paraId="014604FA" w14:textId="7639ADA7" w:rsidR="007309D3" w:rsidRDefault="007309D3" w:rsidP="007309D3">
      <w:pPr>
        <w:pStyle w:val="EntradandiceSentencia"/>
      </w:pPr>
    </w:p>
    <w:p w14:paraId="7DB3749C" w14:textId="07A348F5" w:rsidR="007309D3" w:rsidRDefault="007309D3" w:rsidP="007309D3">
      <w:pPr>
        <w:pStyle w:val="EntradaSumario"/>
      </w:pPr>
      <w:r w:rsidRPr="007309D3">
        <w:rPr>
          <w:rStyle w:val="TextoNormalCaracter"/>
        </w:rPr>
        <w:t xml:space="preserve">Recurso de amparo 1824-2023. </w:t>
      </w:r>
      <w:r w:rsidRPr="007309D3">
        <w:rPr>
          <w:rStyle w:val="TextoNormalCursivaCaracter"/>
        </w:rPr>
        <w:t xml:space="preserve"> Supuesta vulneración del derecho a la integridad física: STC 148/2023 [resoluciones judiciales que realizaron una ponderación adecuada de los intereses de una persona menor de edad (STC 38/2023)].</w:t>
      </w:r>
      <w:r>
        <w:tab/>
      </w:r>
      <w:r>
        <w:tab/>
      </w:r>
      <w:r>
        <w:fldChar w:fldCharType="begin"/>
      </w:r>
      <w:r>
        <w:instrText xml:space="preserve"> PAGEREF SENTENCIA_2023_162 \h </w:instrText>
      </w:r>
      <w:r>
        <w:fldChar w:fldCharType="separate"/>
      </w:r>
      <w:r w:rsidR="00C73693">
        <w:rPr>
          <w:noProof/>
        </w:rPr>
        <w:t>1518</w:t>
      </w:r>
      <w:r>
        <w:fldChar w:fldCharType="end"/>
      </w:r>
    </w:p>
    <w:p w14:paraId="7733AE5F" w14:textId="77777777" w:rsidR="007309D3" w:rsidRDefault="007309D3" w:rsidP="007309D3"/>
    <w:p w14:paraId="2950DD20" w14:textId="77777777" w:rsidR="007309D3" w:rsidRDefault="007309D3" w:rsidP="007309D3">
      <w:pPr>
        <w:pStyle w:val="EntradandiceSentencia"/>
      </w:pPr>
      <w:r>
        <w:t>Sala Primera. Sentencia 163/2023, de 20 de noviembre de 2023</w:t>
      </w:r>
    </w:p>
    <w:p w14:paraId="4F68719E" w14:textId="74DBA4DE" w:rsidR="007309D3" w:rsidRDefault="007309D3" w:rsidP="007309D3">
      <w:pPr>
        <w:pStyle w:val="EntradandiceSentencia"/>
      </w:pPr>
    </w:p>
    <w:p w14:paraId="54A502B5" w14:textId="17F8EA07" w:rsidR="007309D3" w:rsidRDefault="007309D3" w:rsidP="007309D3">
      <w:pPr>
        <w:pStyle w:val="EntradaSumario"/>
      </w:pPr>
      <w:r w:rsidRPr="007309D3">
        <w:rPr>
          <w:rStyle w:val="TextoNormalCaracter"/>
        </w:rPr>
        <w:t xml:space="preserve">Recurso de amparo 2048-2023. </w:t>
      </w:r>
      <w:r w:rsidRPr="007309D3">
        <w:rPr>
          <w:rStyle w:val="TextoNormalCursivaCaracter"/>
        </w:rPr>
        <w:t xml:space="preserve"> Supuesta vulneración de los derechos a la igualdad, la integridad física, la intimidad y la tutela judicial efectiva (motivación): STC 38/2023 (resoluciones judiciales que realizaron una ponderación adecuada de los intereses de una persona vulnerable y proporcionada a sus necesidades atendiendo a las circunstancias concurrentes).</w:t>
      </w:r>
      <w:r>
        <w:tab/>
      </w:r>
      <w:r>
        <w:tab/>
      </w:r>
      <w:r>
        <w:fldChar w:fldCharType="begin"/>
      </w:r>
      <w:r>
        <w:instrText xml:space="preserve"> PAGEREF SENTENCIA_2023_163 \h </w:instrText>
      </w:r>
      <w:r>
        <w:fldChar w:fldCharType="separate"/>
      </w:r>
      <w:r w:rsidR="00C73693">
        <w:rPr>
          <w:noProof/>
        </w:rPr>
        <w:t>1527</w:t>
      </w:r>
      <w:r>
        <w:fldChar w:fldCharType="end"/>
      </w:r>
    </w:p>
    <w:p w14:paraId="44E43BDC" w14:textId="77777777" w:rsidR="007309D3" w:rsidRDefault="007309D3" w:rsidP="007309D3"/>
    <w:p w14:paraId="1635D64A" w14:textId="77777777" w:rsidR="007309D3" w:rsidRDefault="007309D3" w:rsidP="007309D3">
      <w:pPr>
        <w:pStyle w:val="EntradandiceSentencia"/>
      </w:pPr>
      <w:r>
        <w:t>Pleno. Sentencia 164/2023, de 21 de noviembre de 2023</w:t>
      </w:r>
    </w:p>
    <w:p w14:paraId="10A65DDE" w14:textId="596BC372" w:rsidR="007309D3" w:rsidRDefault="007309D3" w:rsidP="007309D3">
      <w:pPr>
        <w:pStyle w:val="EntradandiceSentencia"/>
      </w:pPr>
    </w:p>
    <w:p w14:paraId="701359BA" w14:textId="278182B2" w:rsidR="007309D3" w:rsidRDefault="007309D3" w:rsidP="007309D3">
      <w:pPr>
        <w:pStyle w:val="EntradaSumario"/>
      </w:pPr>
      <w:r w:rsidRPr="007309D3">
        <w:rPr>
          <w:rStyle w:val="TextoNormalCaracter"/>
        </w:rPr>
        <w:t xml:space="preserve">Recurso de amparo 1293-2021. </w:t>
      </w:r>
      <w:r w:rsidRPr="007309D3">
        <w:rPr>
          <w:rStyle w:val="TextoNormalCursivaCaracter"/>
        </w:rPr>
        <w:t xml:space="preserve"> Vulneración del derecho de reunión y manifestación: prohibición injustificada y desproporcionada de la convocatoria de una concentración al aire libre, con número limitado de asistentes y en la que se garantizaba el uso de mascarillas y el mantenimiento de una distancia interpersonal de seguridad. Votos particulares.</w:t>
      </w:r>
      <w:r>
        <w:tab/>
      </w:r>
      <w:r>
        <w:tab/>
      </w:r>
      <w:r>
        <w:fldChar w:fldCharType="begin"/>
      </w:r>
      <w:r>
        <w:instrText xml:space="preserve"> PAGEREF SENTENCIA_2023_164 \h </w:instrText>
      </w:r>
      <w:r>
        <w:fldChar w:fldCharType="separate"/>
      </w:r>
      <w:r w:rsidR="00C73693">
        <w:rPr>
          <w:noProof/>
        </w:rPr>
        <w:t>1539</w:t>
      </w:r>
      <w:r>
        <w:fldChar w:fldCharType="end"/>
      </w:r>
    </w:p>
    <w:p w14:paraId="3710696E" w14:textId="77777777" w:rsidR="007309D3" w:rsidRDefault="007309D3" w:rsidP="007309D3"/>
    <w:p w14:paraId="7CB77EEF" w14:textId="77777777" w:rsidR="007309D3" w:rsidRDefault="007309D3" w:rsidP="007309D3">
      <w:pPr>
        <w:pStyle w:val="EntradandiceSentencia"/>
      </w:pPr>
      <w:r>
        <w:t>Pleno. Sentencia 165/2023, de 21 de noviembre de 2023</w:t>
      </w:r>
    </w:p>
    <w:p w14:paraId="5D4333A7" w14:textId="762175F7" w:rsidR="007309D3" w:rsidRDefault="007309D3" w:rsidP="007309D3">
      <w:pPr>
        <w:pStyle w:val="EntradandiceSentencia"/>
      </w:pPr>
    </w:p>
    <w:p w14:paraId="25536B65" w14:textId="74373B7C" w:rsidR="007309D3" w:rsidRDefault="007309D3" w:rsidP="007309D3">
      <w:pPr>
        <w:pStyle w:val="EntradaSumario"/>
      </w:pPr>
      <w:r w:rsidRPr="007309D3">
        <w:rPr>
          <w:rStyle w:val="TextoNormalCaracter"/>
        </w:rPr>
        <w:t xml:space="preserve">Recurso de amparo 7813-2021. </w:t>
      </w:r>
      <w:r w:rsidRPr="007309D3">
        <w:rPr>
          <w:rStyle w:val="TextoNormalCursivaCaracter"/>
        </w:rPr>
        <w:t xml:space="preserve"> Supuesta vulneración del derecho al ejercicio de las funciones representativas: denegación de acceso a los expedientes de indulto correspondientes a nueve condenados “en el juicio del procés” beneficiados por la medida de gracia. Voto particular.</w:t>
      </w:r>
      <w:r>
        <w:tab/>
      </w:r>
      <w:r>
        <w:tab/>
      </w:r>
      <w:r>
        <w:fldChar w:fldCharType="begin"/>
      </w:r>
      <w:r>
        <w:instrText xml:space="preserve"> PAGEREF SENTENCIA_2023_165 \h </w:instrText>
      </w:r>
      <w:r>
        <w:fldChar w:fldCharType="separate"/>
      </w:r>
      <w:r w:rsidR="00C73693">
        <w:rPr>
          <w:noProof/>
        </w:rPr>
        <w:t>1575</w:t>
      </w:r>
      <w:r>
        <w:fldChar w:fldCharType="end"/>
      </w:r>
    </w:p>
    <w:p w14:paraId="718B89E2" w14:textId="77777777" w:rsidR="007309D3" w:rsidRDefault="007309D3" w:rsidP="007309D3"/>
    <w:p w14:paraId="55123F44" w14:textId="77777777" w:rsidR="007309D3" w:rsidRDefault="007309D3" w:rsidP="007309D3">
      <w:pPr>
        <w:pStyle w:val="EntradandiceSentencia"/>
      </w:pPr>
      <w:r>
        <w:t>Pleno. Sentencia 166/2023, de 22 de noviembre de 2023</w:t>
      </w:r>
    </w:p>
    <w:p w14:paraId="3A9AAFD2" w14:textId="5B57DEFC" w:rsidR="007309D3" w:rsidRDefault="007309D3" w:rsidP="007309D3">
      <w:pPr>
        <w:pStyle w:val="EntradandiceSentencia"/>
      </w:pPr>
    </w:p>
    <w:p w14:paraId="66ABE23A" w14:textId="2D190559" w:rsidR="007309D3" w:rsidRDefault="007309D3" w:rsidP="007309D3">
      <w:pPr>
        <w:pStyle w:val="EntradaSumario"/>
      </w:pPr>
      <w:r w:rsidRPr="007309D3">
        <w:rPr>
          <w:rStyle w:val="TextoNormalCaracter"/>
        </w:rPr>
        <w:t xml:space="preserve">Recurso de inconstitucionalidad 5305-2021. </w:t>
      </w:r>
      <w:r w:rsidRPr="007309D3">
        <w:rPr>
          <w:rStyle w:val="TextoNormalCursivaCaracter"/>
        </w:rPr>
        <w:t xml:space="preserve"> Límites de los decretos leyes: medida de urgencia dictada con justificación de la concurrencia del presupuesto habilitante y cumpliendo la exigencia de conexión de sentido, que no quebranta los límites materiales de estas normas.</w:t>
      </w:r>
      <w:r>
        <w:tab/>
      </w:r>
      <w:r>
        <w:tab/>
      </w:r>
      <w:r>
        <w:fldChar w:fldCharType="begin"/>
      </w:r>
      <w:r>
        <w:instrText xml:space="preserve"> PAGEREF SENTENCIA_2023_166 \h </w:instrText>
      </w:r>
      <w:r>
        <w:fldChar w:fldCharType="separate"/>
      </w:r>
      <w:r w:rsidR="00C73693">
        <w:rPr>
          <w:noProof/>
        </w:rPr>
        <w:t>1602</w:t>
      </w:r>
      <w:r>
        <w:fldChar w:fldCharType="end"/>
      </w:r>
    </w:p>
    <w:p w14:paraId="364490C4" w14:textId="77777777" w:rsidR="007309D3" w:rsidRDefault="007309D3" w:rsidP="007309D3"/>
    <w:p w14:paraId="13DC74FE" w14:textId="77777777" w:rsidR="007309D3" w:rsidRDefault="007309D3" w:rsidP="007309D3">
      <w:pPr>
        <w:pStyle w:val="EntradandiceSentencia"/>
      </w:pPr>
      <w:r>
        <w:t>Pleno. Sentencia 167/2023, de 22 de noviembre de 2023</w:t>
      </w:r>
    </w:p>
    <w:p w14:paraId="2DE22DB9" w14:textId="5900EEF8" w:rsidR="007309D3" w:rsidRDefault="007309D3" w:rsidP="007309D3">
      <w:pPr>
        <w:pStyle w:val="EntradandiceSentencia"/>
      </w:pPr>
    </w:p>
    <w:p w14:paraId="744B7D76" w14:textId="713DFB7A" w:rsidR="007309D3" w:rsidRDefault="007309D3" w:rsidP="007309D3">
      <w:pPr>
        <w:pStyle w:val="EntradaSumario"/>
      </w:pPr>
      <w:r w:rsidRPr="007309D3">
        <w:rPr>
          <w:rStyle w:val="TextoNormalCaracter"/>
        </w:rPr>
        <w:t xml:space="preserve">Recurso de amparo 5657-2021. </w:t>
      </w:r>
      <w:r w:rsidRPr="007309D3">
        <w:rPr>
          <w:rStyle w:val="TextoNormalCursivaCaracter"/>
        </w:rPr>
        <w:t xml:space="preserve"> Vulneración del derecho al ejercicio de las funciones representativas en conexión con el derecho de los ciudadanos a participar en los asuntos públicos a través de representantes: indebida aceptación del veto gubernamental a una iniciativa legislativa que no afectaba al presupuesto en vigor.</w:t>
      </w:r>
      <w:r>
        <w:tab/>
      </w:r>
      <w:r>
        <w:tab/>
      </w:r>
      <w:r>
        <w:fldChar w:fldCharType="begin"/>
      </w:r>
      <w:r>
        <w:instrText xml:space="preserve"> PAGEREF SENTENCIA_2023_167 \h </w:instrText>
      </w:r>
      <w:r>
        <w:fldChar w:fldCharType="separate"/>
      </w:r>
      <w:r w:rsidR="00C73693">
        <w:rPr>
          <w:noProof/>
        </w:rPr>
        <w:t>1622</w:t>
      </w:r>
      <w:r>
        <w:fldChar w:fldCharType="end"/>
      </w:r>
    </w:p>
    <w:p w14:paraId="6C1218BC" w14:textId="77777777" w:rsidR="007309D3" w:rsidRDefault="007309D3" w:rsidP="007309D3"/>
    <w:p w14:paraId="1958DF14" w14:textId="77777777" w:rsidR="007309D3" w:rsidRDefault="007309D3" w:rsidP="007309D3">
      <w:pPr>
        <w:pStyle w:val="EntradandiceSentencia"/>
      </w:pPr>
      <w:r>
        <w:t>Pleno. Sentencia 168/2023, de 22 de noviembre de 2023</w:t>
      </w:r>
    </w:p>
    <w:p w14:paraId="14F163D4" w14:textId="0B8F73C4" w:rsidR="007309D3" w:rsidRDefault="007309D3" w:rsidP="007309D3">
      <w:pPr>
        <w:pStyle w:val="EntradandiceSentencia"/>
      </w:pPr>
    </w:p>
    <w:p w14:paraId="4B6FA5D2" w14:textId="070830D1" w:rsidR="007309D3" w:rsidRDefault="007309D3" w:rsidP="007309D3">
      <w:pPr>
        <w:pStyle w:val="EntradaSumario"/>
      </w:pPr>
      <w:r w:rsidRPr="007309D3">
        <w:rPr>
          <w:rStyle w:val="TextoNormalCaracter"/>
        </w:rPr>
        <w:t xml:space="preserve">Cuestión de inconstitucionalidad 1096-2022. </w:t>
      </w:r>
      <w:r w:rsidRPr="007309D3">
        <w:rPr>
          <w:rStyle w:val="TextoNormalCursivaCaracter"/>
        </w:rPr>
        <w:t xml:space="preserve"> Derecho de propiedad y principio de seguridad jurídica: inconstitucionalidad del precepto legal que priva a los propietarios de la facultad de instar la expropiación rogada de terrenos destinados a dotaciones públicas.</w:t>
      </w:r>
      <w:r>
        <w:tab/>
      </w:r>
      <w:r>
        <w:tab/>
      </w:r>
      <w:r>
        <w:fldChar w:fldCharType="begin"/>
      </w:r>
      <w:r>
        <w:instrText xml:space="preserve"> PAGEREF SENTENCIA_2023_168 \h </w:instrText>
      </w:r>
      <w:r>
        <w:fldChar w:fldCharType="separate"/>
      </w:r>
      <w:r w:rsidR="00C73693">
        <w:rPr>
          <w:noProof/>
        </w:rPr>
        <w:t>1669</w:t>
      </w:r>
      <w:r>
        <w:fldChar w:fldCharType="end"/>
      </w:r>
    </w:p>
    <w:p w14:paraId="769ABC7F" w14:textId="77777777" w:rsidR="007309D3" w:rsidRDefault="007309D3" w:rsidP="007309D3"/>
    <w:p w14:paraId="1BAEAB1E" w14:textId="77777777" w:rsidR="007309D3" w:rsidRDefault="007309D3" w:rsidP="007309D3">
      <w:pPr>
        <w:pStyle w:val="EntradandiceSentencia"/>
      </w:pPr>
      <w:r>
        <w:t>Pleno. Sentencia 169/2023, de 22 de noviembre de 2023</w:t>
      </w:r>
    </w:p>
    <w:p w14:paraId="119B5AA1" w14:textId="0FF095C7" w:rsidR="007309D3" w:rsidRDefault="007309D3" w:rsidP="007309D3">
      <w:pPr>
        <w:pStyle w:val="EntradandiceSentencia"/>
      </w:pPr>
    </w:p>
    <w:p w14:paraId="329483EF" w14:textId="661726AC" w:rsidR="007309D3" w:rsidRDefault="007309D3" w:rsidP="007309D3">
      <w:pPr>
        <w:pStyle w:val="EntradaSumario"/>
      </w:pPr>
      <w:r w:rsidRPr="007309D3">
        <w:rPr>
          <w:rStyle w:val="TextoNormalCaracter"/>
        </w:rPr>
        <w:t xml:space="preserve">Cuestión de inconstitucionalidad 5949-2022. </w:t>
      </w:r>
      <w:r w:rsidRPr="007309D3">
        <w:rPr>
          <w:rStyle w:val="TextoNormalCursivaCaracter"/>
        </w:rPr>
        <w:t xml:space="preserve"> Extinción, por desaparición de su objeto, de la cuestión de inconstitucionalidad consecuencia de la reforma sobrevenida del precepto legal sobre el que versa.</w:t>
      </w:r>
      <w:r>
        <w:tab/>
      </w:r>
      <w:r>
        <w:tab/>
      </w:r>
      <w:r>
        <w:fldChar w:fldCharType="begin"/>
      </w:r>
      <w:r>
        <w:instrText xml:space="preserve"> PAGEREF SENTENCIA_2023_169 \h </w:instrText>
      </w:r>
      <w:r>
        <w:fldChar w:fldCharType="separate"/>
      </w:r>
      <w:r w:rsidR="00C73693">
        <w:rPr>
          <w:noProof/>
        </w:rPr>
        <w:t>1692</w:t>
      </w:r>
      <w:r>
        <w:fldChar w:fldCharType="end"/>
      </w:r>
    </w:p>
    <w:p w14:paraId="10EED62A" w14:textId="77777777" w:rsidR="007309D3" w:rsidRDefault="007309D3" w:rsidP="007309D3"/>
    <w:p w14:paraId="2DB5A128" w14:textId="77777777" w:rsidR="007309D3" w:rsidRDefault="007309D3" w:rsidP="007309D3">
      <w:pPr>
        <w:pStyle w:val="EntradandiceSentencia"/>
      </w:pPr>
      <w:r>
        <w:t>Pleno. Sentencia 170/2023, de 22 de noviembre de 2023</w:t>
      </w:r>
    </w:p>
    <w:p w14:paraId="3E2CD091" w14:textId="584A1933" w:rsidR="007309D3" w:rsidRDefault="007309D3" w:rsidP="007309D3">
      <w:pPr>
        <w:pStyle w:val="EntradandiceSentencia"/>
      </w:pPr>
    </w:p>
    <w:p w14:paraId="2E373C56" w14:textId="4E586999" w:rsidR="007309D3" w:rsidRDefault="007309D3" w:rsidP="007309D3">
      <w:pPr>
        <w:pStyle w:val="EntradaSumario"/>
      </w:pPr>
      <w:r w:rsidRPr="007309D3">
        <w:rPr>
          <w:rStyle w:val="TextoNormalCaracter"/>
        </w:rPr>
        <w:t xml:space="preserve">Recurso de inconstitucionalidad 1258-2023. </w:t>
      </w:r>
      <w:r w:rsidRPr="007309D3">
        <w:rPr>
          <w:rStyle w:val="TextoNormalCursivaCaracter"/>
        </w:rPr>
        <w:t xml:space="preserve"> Supuesta vulneración del derecho al ejercicio de las funciones representativas (homogeneidad de las enmiendas parlamentarias respecto del texto que se pretende modificar), principios de legalidad tributaria, capacidad económica y no confiscatoriedad, corresponsabilidad fiscal y lealtad institucional: STC 149/2023 (constitucionalidad del precepto legal que crea el impuesto temporal sobre grandes fortunas como tributo directo, de naturaleza personal y complementario del impuesto sobre el patrimonio). Voto particular.</w:t>
      </w:r>
      <w:r>
        <w:tab/>
      </w:r>
      <w:r>
        <w:tab/>
      </w:r>
      <w:r>
        <w:fldChar w:fldCharType="begin"/>
      </w:r>
      <w:r>
        <w:instrText xml:space="preserve"> PAGEREF SENTENCIA_2023_170 \h </w:instrText>
      </w:r>
      <w:r>
        <w:fldChar w:fldCharType="separate"/>
      </w:r>
      <w:r w:rsidR="00C73693">
        <w:rPr>
          <w:noProof/>
        </w:rPr>
        <w:t>1717</w:t>
      </w:r>
      <w:r>
        <w:fldChar w:fldCharType="end"/>
      </w:r>
    </w:p>
    <w:p w14:paraId="043351E3" w14:textId="77777777" w:rsidR="007309D3" w:rsidRDefault="007309D3" w:rsidP="007309D3"/>
    <w:p w14:paraId="2C7BFB54" w14:textId="77777777" w:rsidR="007309D3" w:rsidRDefault="007309D3" w:rsidP="007309D3">
      <w:pPr>
        <w:pStyle w:val="EntradandiceSentencia"/>
      </w:pPr>
      <w:r>
        <w:t>Pleno. Sentencia 171/2023, de 22 de noviembre de 2023</w:t>
      </w:r>
    </w:p>
    <w:p w14:paraId="08AFB165" w14:textId="57352291" w:rsidR="007309D3" w:rsidRDefault="007309D3" w:rsidP="007309D3">
      <w:pPr>
        <w:pStyle w:val="EntradandiceSentencia"/>
      </w:pPr>
    </w:p>
    <w:p w14:paraId="2E6900A3" w14:textId="6792B186" w:rsidR="007309D3" w:rsidRDefault="007309D3" w:rsidP="007309D3">
      <w:pPr>
        <w:pStyle w:val="EntradaSumario"/>
      </w:pPr>
      <w:r w:rsidRPr="007309D3">
        <w:rPr>
          <w:rStyle w:val="TextoNormalCaracter"/>
        </w:rPr>
        <w:t xml:space="preserve">Recurso de inconstitucionalidad 1951-2023. </w:t>
      </w:r>
      <w:r w:rsidRPr="007309D3">
        <w:rPr>
          <w:rStyle w:val="TextoNormalCursivaCaracter"/>
        </w:rPr>
        <w:t xml:space="preserve"> Supuesta vulneración del derecho al ejercicio de las funciones representativas (homogeneidad de las enmiendas parlamentarias respecto del texto que se pretende modificar), principios de legalidad tributaria, capacidad económica y no confiscatoriedad, corresponsabilidad fiscal y lealtad institucional: STC 149/2023 (constitucionalidad del precepto legal que crea el impuesto temporal sobre grandes fortunas como tributo directo, de naturaleza personal y complementario del impuesto sobre el patrimonio). Voto particular.</w:t>
      </w:r>
      <w:r>
        <w:tab/>
      </w:r>
      <w:r>
        <w:tab/>
      </w:r>
      <w:r>
        <w:fldChar w:fldCharType="begin"/>
      </w:r>
      <w:r>
        <w:instrText xml:space="preserve"> PAGEREF SENTENCIA_2023_171 \h </w:instrText>
      </w:r>
      <w:r>
        <w:fldChar w:fldCharType="separate"/>
      </w:r>
      <w:r w:rsidR="00C73693">
        <w:rPr>
          <w:noProof/>
        </w:rPr>
        <w:t>1733</w:t>
      </w:r>
      <w:r>
        <w:fldChar w:fldCharType="end"/>
      </w:r>
    </w:p>
    <w:p w14:paraId="2EEB4E79" w14:textId="77777777" w:rsidR="007309D3" w:rsidRDefault="007309D3" w:rsidP="007309D3"/>
    <w:p w14:paraId="3F9ABD07" w14:textId="77777777" w:rsidR="007309D3" w:rsidRDefault="007309D3" w:rsidP="007309D3">
      <w:pPr>
        <w:pStyle w:val="EntradandiceSentencia"/>
      </w:pPr>
      <w:r>
        <w:t>Sala Segunda. Sentencia 172/2023, de 11 de diciembre de 2023</w:t>
      </w:r>
    </w:p>
    <w:p w14:paraId="3ECD487E" w14:textId="6462DBE5" w:rsidR="007309D3" w:rsidRDefault="007309D3" w:rsidP="007309D3">
      <w:pPr>
        <w:pStyle w:val="EntradandiceSentencia"/>
      </w:pPr>
    </w:p>
    <w:p w14:paraId="5CA10DFD" w14:textId="0A58CB8E" w:rsidR="007309D3" w:rsidRDefault="007309D3" w:rsidP="007309D3">
      <w:pPr>
        <w:pStyle w:val="EntradaSumario"/>
      </w:pPr>
      <w:r w:rsidRPr="007309D3">
        <w:rPr>
          <w:rStyle w:val="TextoNormalCaracter"/>
        </w:rPr>
        <w:t xml:space="preserve">Recurso de amparo 5479-2019. </w:t>
      </w:r>
      <w:r w:rsidRPr="007309D3">
        <w:rPr>
          <w:rStyle w:val="TextoNormalCursivaCaracter"/>
        </w:rPr>
        <w:t xml:space="preserve"> Vulneración del derecho a la tutela judicial efectiva (motivación): ausencia de control judicial de las cláusulas abusivas que ignora la primacía del Derecho de la Unión Europea, en los términos de la STC 31/2019 (STC 26/2023).</w:t>
      </w:r>
      <w:r>
        <w:tab/>
      </w:r>
      <w:r>
        <w:tab/>
      </w:r>
      <w:r>
        <w:fldChar w:fldCharType="begin"/>
      </w:r>
      <w:r>
        <w:instrText xml:space="preserve"> PAGEREF SENTENCIA_2023_172 \h </w:instrText>
      </w:r>
      <w:r>
        <w:fldChar w:fldCharType="separate"/>
      </w:r>
      <w:r w:rsidR="00C73693">
        <w:rPr>
          <w:noProof/>
        </w:rPr>
        <w:t>1749</w:t>
      </w:r>
      <w:r>
        <w:fldChar w:fldCharType="end"/>
      </w:r>
    </w:p>
    <w:p w14:paraId="7291A1EC" w14:textId="77777777" w:rsidR="007309D3" w:rsidRDefault="007309D3" w:rsidP="007309D3"/>
    <w:p w14:paraId="57AA9852" w14:textId="77777777" w:rsidR="007309D3" w:rsidRDefault="007309D3" w:rsidP="007309D3">
      <w:pPr>
        <w:pStyle w:val="EntradandiceSentencia"/>
      </w:pPr>
      <w:r>
        <w:t>Sala Primera. Sentencia 173/2023, de 11 de diciembre de 2023</w:t>
      </w:r>
    </w:p>
    <w:p w14:paraId="434BCEF5" w14:textId="4E4F6A37" w:rsidR="007309D3" w:rsidRDefault="007309D3" w:rsidP="007309D3">
      <w:pPr>
        <w:pStyle w:val="EntradandiceSentencia"/>
      </w:pPr>
    </w:p>
    <w:p w14:paraId="252E8DC4" w14:textId="27703BC0" w:rsidR="007309D3" w:rsidRDefault="007309D3" w:rsidP="007309D3">
      <w:pPr>
        <w:pStyle w:val="EntradaSumario"/>
      </w:pPr>
      <w:r w:rsidRPr="007309D3">
        <w:rPr>
          <w:rStyle w:val="TextoNormalCaracter"/>
        </w:rPr>
        <w:t xml:space="preserve">Recurso de amparo 1965-2021. </w:t>
      </w:r>
      <w:r w:rsidRPr="007309D3">
        <w:rPr>
          <w:rStyle w:val="TextoNormalCursivaCaracter"/>
        </w:rPr>
        <w:t xml:space="preserve"> Vulneración del derecho de reunión y manifestación: STC 164/2023 (prohibición injustificada y desproporcionada de la convocatoria de concentraciones al aire libre, con número limitado de asistentes y garantizando el uso de mascarillas y el mantenimiento de una distancia interpersonal de seguridad). Votos particulares.</w:t>
      </w:r>
      <w:r>
        <w:tab/>
      </w:r>
      <w:r>
        <w:tab/>
      </w:r>
      <w:r>
        <w:fldChar w:fldCharType="begin"/>
      </w:r>
      <w:r>
        <w:instrText xml:space="preserve"> PAGEREF SENTENCIA_2023_173 \h </w:instrText>
      </w:r>
      <w:r>
        <w:fldChar w:fldCharType="separate"/>
      </w:r>
      <w:r w:rsidR="00C73693">
        <w:rPr>
          <w:noProof/>
        </w:rPr>
        <w:t>1769</w:t>
      </w:r>
      <w:r>
        <w:fldChar w:fldCharType="end"/>
      </w:r>
    </w:p>
    <w:p w14:paraId="78DB0A3C" w14:textId="77777777" w:rsidR="007309D3" w:rsidRDefault="007309D3" w:rsidP="007309D3"/>
    <w:p w14:paraId="426EA906" w14:textId="77777777" w:rsidR="007309D3" w:rsidRDefault="007309D3" w:rsidP="007309D3">
      <w:pPr>
        <w:pStyle w:val="EntradandiceSentencia"/>
      </w:pPr>
      <w:r>
        <w:t>Sala Segunda. Sentencia 174/2023, de 11 de diciembre de 2023</w:t>
      </w:r>
    </w:p>
    <w:p w14:paraId="58C2CF57" w14:textId="449926B4" w:rsidR="007309D3" w:rsidRDefault="007309D3" w:rsidP="007309D3">
      <w:pPr>
        <w:pStyle w:val="EntradandiceSentencia"/>
      </w:pPr>
    </w:p>
    <w:p w14:paraId="5DBC2B3D" w14:textId="7DA786B4" w:rsidR="007309D3" w:rsidRDefault="007309D3" w:rsidP="007309D3">
      <w:pPr>
        <w:pStyle w:val="EntradaSumario"/>
      </w:pPr>
      <w:r w:rsidRPr="007309D3">
        <w:rPr>
          <w:rStyle w:val="TextoNormalCaracter"/>
        </w:rPr>
        <w:t xml:space="preserve">Recurso de amparo 2027-2021. </w:t>
      </w:r>
      <w:r w:rsidRPr="007309D3">
        <w:rPr>
          <w:rStyle w:val="TextoNormalCursivaCaracter"/>
        </w:rPr>
        <w:t xml:space="preserve"> Vulneración del derecho de reunión y manifestación: STC 164/2023 (prohibición injustificada y desproporcionada de la convocatoria de concentraciones al aire libre, con número limitado de asistentes y garantizando el uso de mascarillas y el mantenimiento de una distancia interpersonal de seguridad).</w:t>
      </w:r>
      <w:r>
        <w:tab/>
      </w:r>
      <w:r>
        <w:tab/>
      </w:r>
      <w:r>
        <w:fldChar w:fldCharType="begin"/>
      </w:r>
      <w:r>
        <w:instrText xml:space="preserve"> PAGEREF SENTENCIA_2023_174 \h </w:instrText>
      </w:r>
      <w:r>
        <w:fldChar w:fldCharType="separate"/>
      </w:r>
      <w:r w:rsidR="00C73693">
        <w:rPr>
          <w:noProof/>
        </w:rPr>
        <w:t>1783</w:t>
      </w:r>
      <w:r>
        <w:fldChar w:fldCharType="end"/>
      </w:r>
    </w:p>
    <w:p w14:paraId="4B921E23" w14:textId="77777777" w:rsidR="007309D3" w:rsidRDefault="007309D3" w:rsidP="007309D3"/>
    <w:p w14:paraId="202B8693" w14:textId="77777777" w:rsidR="007309D3" w:rsidRDefault="007309D3" w:rsidP="007309D3">
      <w:pPr>
        <w:pStyle w:val="EntradandiceSentencia"/>
      </w:pPr>
      <w:r>
        <w:t>Sala Primera. Sentencia 175/2023, de 11 de diciembre de 2023</w:t>
      </w:r>
    </w:p>
    <w:p w14:paraId="5F175315" w14:textId="1CDB3275" w:rsidR="007309D3" w:rsidRDefault="007309D3" w:rsidP="007309D3">
      <w:pPr>
        <w:pStyle w:val="EntradandiceSentencia"/>
      </w:pPr>
    </w:p>
    <w:p w14:paraId="61F88321" w14:textId="34F627EB" w:rsidR="007309D3" w:rsidRDefault="007309D3" w:rsidP="007309D3">
      <w:pPr>
        <w:pStyle w:val="EntradaSumario"/>
      </w:pPr>
      <w:r w:rsidRPr="007309D3">
        <w:rPr>
          <w:rStyle w:val="TextoNormalCaracter"/>
        </w:rPr>
        <w:t xml:space="preserve">Recurso de amparo 2028-2021. </w:t>
      </w:r>
      <w:r w:rsidRPr="007309D3">
        <w:rPr>
          <w:rStyle w:val="TextoNormalCursivaCaracter"/>
        </w:rPr>
        <w:t xml:space="preserve"> Vulneración del derecho de reunión y manifestación: STC 164/2023 (prohibición injustificada y desproporcionada de la convocatoria de concentración al aire libre, con número limitado de asistentes y garantizando el uso de mascarillas y el mantenimiento de una distancia interpersonal de seguridad). Votos particulares.</w:t>
      </w:r>
      <w:r>
        <w:tab/>
      </w:r>
      <w:r>
        <w:tab/>
      </w:r>
      <w:r>
        <w:fldChar w:fldCharType="begin"/>
      </w:r>
      <w:r>
        <w:instrText xml:space="preserve"> PAGEREF SENTENCIA_2023_175 \h </w:instrText>
      </w:r>
      <w:r>
        <w:fldChar w:fldCharType="separate"/>
      </w:r>
      <w:r w:rsidR="00C73693">
        <w:rPr>
          <w:noProof/>
        </w:rPr>
        <w:t>1792</w:t>
      </w:r>
      <w:r>
        <w:fldChar w:fldCharType="end"/>
      </w:r>
    </w:p>
    <w:p w14:paraId="564376B9" w14:textId="77777777" w:rsidR="007309D3" w:rsidRDefault="007309D3" w:rsidP="007309D3"/>
    <w:p w14:paraId="26217A1C" w14:textId="77777777" w:rsidR="007309D3" w:rsidRDefault="007309D3" w:rsidP="007309D3">
      <w:pPr>
        <w:pStyle w:val="EntradandiceSentencia"/>
      </w:pPr>
      <w:r>
        <w:t>Sala Primera. Sentencia 176/2023, de 11 de diciembre de 2023</w:t>
      </w:r>
    </w:p>
    <w:p w14:paraId="06A84581" w14:textId="007F13A6" w:rsidR="007309D3" w:rsidRDefault="007309D3" w:rsidP="007309D3">
      <w:pPr>
        <w:pStyle w:val="EntradandiceSentencia"/>
      </w:pPr>
    </w:p>
    <w:p w14:paraId="1AA25FD0" w14:textId="07519318" w:rsidR="007309D3" w:rsidRDefault="007309D3" w:rsidP="007309D3">
      <w:pPr>
        <w:pStyle w:val="EntradaSumario"/>
      </w:pPr>
      <w:r w:rsidRPr="007309D3">
        <w:rPr>
          <w:rStyle w:val="TextoNormalCaracter"/>
        </w:rPr>
        <w:t xml:space="preserve">Recurso de amparo 2029-2021. </w:t>
      </w:r>
      <w:r w:rsidRPr="007309D3">
        <w:rPr>
          <w:rStyle w:val="TextoNormalCursivaCaracter"/>
        </w:rPr>
        <w:t xml:space="preserve"> Vulneración del derecho de reunión y manifestación: STC 164/2023 (prohibición injustificada y desproporcionada de la convocatoria de concentración al aire libre, con número limitado de asistentes y garantizando el uso de mascarillas y el mantenimiento de una distancia interpersonal de seguridad). Votos particulares.</w:t>
      </w:r>
      <w:r>
        <w:tab/>
      </w:r>
      <w:r>
        <w:tab/>
      </w:r>
      <w:r>
        <w:fldChar w:fldCharType="begin"/>
      </w:r>
      <w:r>
        <w:instrText xml:space="preserve"> PAGEREF SENTENCIA_2023_176 \h </w:instrText>
      </w:r>
      <w:r>
        <w:fldChar w:fldCharType="separate"/>
      </w:r>
      <w:r w:rsidR="00C73693">
        <w:rPr>
          <w:noProof/>
        </w:rPr>
        <w:t>1802</w:t>
      </w:r>
      <w:r>
        <w:fldChar w:fldCharType="end"/>
      </w:r>
    </w:p>
    <w:p w14:paraId="7B9CDC6D" w14:textId="77777777" w:rsidR="007309D3" w:rsidRDefault="007309D3" w:rsidP="007309D3"/>
    <w:p w14:paraId="34972C15" w14:textId="77777777" w:rsidR="007309D3" w:rsidRDefault="007309D3" w:rsidP="007309D3">
      <w:pPr>
        <w:pStyle w:val="EntradandiceSentencia"/>
      </w:pPr>
      <w:r>
        <w:t>Sala Segunda. Sentencia 177/2023, de 11 de diciembre de 2023</w:t>
      </w:r>
    </w:p>
    <w:p w14:paraId="20EAA06D" w14:textId="64192B18" w:rsidR="007309D3" w:rsidRDefault="007309D3" w:rsidP="007309D3">
      <w:pPr>
        <w:pStyle w:val="EntradandiceSentencia"/>
      </w:pPr>
    </w:p>
    <w:p w14:paraId="6383FE11" w14:textId="01C9EC1B" w:rsidR="007309D3" w:rsidRDefault="007309D3" w:rsidP="007309D3">
      <w:pPr>
        <w:pStyle w:val="EntradaSumario"/>
      </w:pPr>
      <w:r w:rsidRPr="007309D3">
        <w:rPr>
          <w:rStyle w:val="TextoNormalCaracter"/>
        </w:rPr>
        <w:t xml:space="preserve">Recurso de amparo 2031-2021. </w:t>
      </w:r>
      <w:r w:rsidRPr="007309D3">
        <w:rPr>
          <w:rStyle w:val="TextoNormalCursivaCaracter"/>
        </w:rPr>
        <w:t xml:space="preserve"> Vulneración del derecho de reunión y manifestación: STC 164/2023 (prohibición injustificada y desproporcionada de la convocatoria de concentración al aire libre, con número limitado de asistentes y garantizando el uso de mascarillas y el mantenimiento de una distancia interpersonal de seguridad).</w:t>
      </w:r>
      <w:r>
        <w:tab/>
      </w:r>
      <w:r>
        <w:tab/>
      </w:r>
      <w:r>
        <w:fldChar w:fldCharType="begin"/>
      </w:r>
      <w:r>
        <w:instrText xml:space="preserve"> PAGEREF SENTENCIA_2023_177 \h </w:instrText>
      </w:r>
      <w:r>
        <w:fldChar w:fldCharType="separate"/>
      </w:r>
      <w:r w:rsidR="00C73693">
        <w:rPr>
          <w:noProof/>
        </w:rPr>
        <w:t>1810</w:t>
      </w:r>
      <w:r>
        <w:fldChar w:fldCharType="end"/>
      </w:r>
    </w:p>
    <w:p w14:paraId="35378D07" w14:textId="77777777" w:rsidR="007309D3" w:rsidRDefault="007309D3" w:rsidP="007309D3"/>
    <w:p w14:paraId="32CAAABE" w14:textId="77777777" w:rsidR="007309D3" w:rsidRDefault="007309D3" w:rsidP="007309D3">
      <w:pPr>
        <w:pStyle w:val="EntradandiceSentencia"/>
      </w:pPr>
      <w:r>
        <w:t>Sala Primera. Sentencia 178/2023, de 11 de diciembre de 2023</w:t>
      </w:r>
    </w:p>
    <w:p w14:paraId="47E97EB2" w14:textId="63AE5A4A" w:rsidR="007309D3" w:rsidRDefault="007309D3" w:rsidP="007309D3">
      <w:pPr>
        <w:pStyle w:val="EntradandiceSentencia"/>
      </w:pPr>
    </w:p>
    <w:p w14:paraId="70159B4A" w14:textId="7BB7CC68" w:rsidR="007309D3" w:rsidRDefault="007309D3" w:rsidP="007309D3">
      <w:pPr>
        <w:pStyle w:val="EntradaSumario"/>
      </w:pPr>
      <w:r w:rsidRPr="007309D3">
        <w:rPr>
          <w:rStyle w:val="TextoNormalCaracter"/>
        </w:rPr>
        <w:t xml:space="preserve">Recurso de amparo 2038-2021. </w:t>
      </w:r>
      <w:r w:rsidRPr="007309D3">
        <w:rPr>
          <w:rStyle w:val="TextoNormalCursivaCaracter"/>
        </w:rPr>
        <w:t xml:space="preserve"> Vulneración del derecho de reunión y manifestación: STC 164/2023 (prohibición injustificada y desproporcionada de la convocatoria de concentración al aire libre, con número limitado de asistentes y garantizando el uso de mascarillas y el mantenimiento de una distancia interpersonal de seguridad). Votos particulares.</w:t>
      </w:r>
      <w:r>
        <w:tab/>
      </w:r>
      <w:r>
        <w:tab/>
      </w:r>
      <w:r>
        <w:fldChar w:fldCharType="begin"/>
      </w:r>
      <w:r>
        <w:instrText xml:space="preserve"> PAGEREF SENTENCIA_2023_178 \h </w:instrText>
      </w:r>
      <w:r>
        <w:fldChar w:fldCharType="separate"/>
      </w:r>
      <w:r w:rsidR="00C73693">
        <w:rPr>
          <w:noProof/>
        </w:rPr>
        <w:t>1818</w:t>
      </w:r>
      <w:r>
        <w:fldChar w:fldCharType="end"/>
      </w:r>
    </w:p>
    <w:p w14:paraId="5398FF65" w14:textId="77777777" w:rsidR="007309D3" w:rsidRDefault="007309D3" w:rsidP="007309D3"/>
    <w:p w14:paraId="1252BFB1" w14:textId="77777777" w:rsidR="007309D3" w:rsidRDefault="007309D3" w:rsidP="007309D3">
      <w:pPr>
        <w:pStyle w:val="EntradandiceSentencia"/>
      </w:pPr>
      <w:r>
        <w:t>Sala Segunda. Sentencia 179/2023, de 11 de diciembre de 2023</w:t>
      </w:r>
    </w:p>
    <w:p w14:paraId="5C9CC044" w14:textId="0488E200" w:rsidR="007309D3" w:rsidRDefault="007309D3" w:rsidP="007309D3">
      <w:pPr>
        <w:pStyle w:val="EntradandiceSentencia"/>
      </w:pPr>
    </w:p>
    <w:p w14:paraId="7F3F5967" w14:textId="3964BBE7" w:rsidR="007309D3" w:rsidRDefault="007309D3" w:rsidP="007309D3">
      <w:pPr>
        <w:pStyle w:val="EntradaSumario"/>
      </w:pPr>
      <w:r w:rsidRPr="007309D3">
        <w:rPr>
          <w:rStyle w:val="TextoNormalCaracter"/>
        </w:rPr>
        <w:t xml:space="preserve">Recurso de amparo 63-2022. </w:t>
      </w:r>
      <w:r w:rsidRPr="007309D3">
        <w:rPr>
          <w:rStyle w:val="TextoNormalCursivaCaracter"/>
        </w:rPr>
        <w:t xml:space="preserve"> Supuesta vulneración del derecho a la legalidad sancionadora (principios de personalidad y culpabilidad): sanción por inobservancia de la normativa sobre blanqueo de capitales imputable a una entidad de crédito absorbida por la mercantil demandante de amparo.</w:t>
      </w:r>
      <w:r>
        <w:tab/>
      </w:r>
      <w:r>
        <w:tab/>
      </w:r>
      <w:r>
        <w:fldChar w:fldCharType="begin"/>
      </w:r>
      <w:r>
        <w:instrText xml:space="preserve"> PAGEREF SENTENCIA_2023_179 \h </w:instrText>
      </w:r>
      <w:r>
        <w:fldChar w:fldCharType="separate"/>
      </w:r>
      <w:r w:rsidR="00C73693">
        <w:rPr>
          <w:noProof/>
        </w:rPr>
        <w:t>1829</w:t>
      </w:r>
      <w:r>
        <w:fldChar w:fldCharType="end"/>
      </w:r>
    </w:p>
    <w:p w14:paraId="6D7BD7B9" w14:textId="77777777" w:rsidR="007309D3" w:rsidRDefault="007309D3" w:rsidP="007309D3"/>
    <w:p w14:paraId="4BFB172B" w14:textId="77777777" w:rsidR="007309D3" w:rsidRDefault="007309D3" w:rsidP="007309D3">
      <w:pPr>
        <w:pStyle w:val="EntradandiceSentencia"/>
      </w:pPr>
      <w:r>
        <w:t>Sala Segunda. Sentencia 180/2023, de 11 de diciembre de 2023</w:t>
      </w:r>
    </w:p>
    <w:p w14:paraId="60269E46" w14:textId="4492BA1F" w:rsidR="007309D3" w:rsidRDefault="007309D3" w:rsidP="007309D3">
      <w:pPr>
        <w:pStyle w:val="EntradandiceSentencia"/>
      </w:pPr>
    </w:p>
    <w:p w14:paraId="65589F8E" w14:textId="76FEF743" w:rsidR="007309D3" w:rsidRDefault="007309D3" w:rsidP="007309D3">
      <w:pPr>
        <w:pStyle w:val="EntradaSumario"/>
      </w:pPr>
      <w:r w:rsidRPr="007309D3">
        <w:rPr>
          <w:rStyle w:val="TextoNormalCaracter"/>
        </w:rPr>
        <w:t xml:space="preserve">Recurso de amparo 2354-2022. </w:t>
      </w:r>
      <w:r w:rsidRPr="007309D3">
        <w:rPr>
          <w:rStyle w:val="TextoNormalCursivaCaracter"/>
        </w:rPr>
        <w:t xml:space="preserve"> Supuesta vulneración del derecho a la integridad física: STC 148/2023 [resoluciones judiciales que realizaron una ponderación adecuada de los intereses de una persona menor de edad (STC 38/2023)].</w:t>
      </w:r>
      <w:r>
        <w:tab/>
      </w:r>
      <w:r>
        <w:tab/>
      </w:r>
      <w:r>
        <w:fldChar w:fldCharType="begin"/>
      </w:r>
      <w:r>
        <w:instrText xml:space="preserve"> PAGEREF SENTENCIA_2023_180 \h </w:instrText>
      </w:r>
      <w:r>
        <w:fldChar w:fldCharType="separate"/>
      </w:r>
      <w:r w:rsidR="00C73693">
        <w:rPr>
          <w:noProof/>
        </w:rPr>
        <w:t>1846</w:t>
      </w:r>
      <w:r>
        <w:fldChar w:fldCharType="end"/>
      </w:r>
    </w:p>
    <w:p w14:paraId="478C9DDA" w14:textId="77777777" w:rsidR="007309D3" w:rsidRDefault="007309D3" w:rsidP="007309D3"/>
    <w:p w14:paraId="7848563A" w14:textId="77777777" w:rsidR="007309D3" w:rsidRDefault="007309D3" w:rsidP="007309D3">
      <w:pPr>
        <w:pStyle w:val="EntradandiceSentencia"/>
      </w:pPr>
      <w:r>
        <w:t>Sala Primera. Sentencia 181/2023, de 11 de diciembre de 2023</w:t>
      </w:r>
    </w:p>
    <w:p w14:paraId="02FCAF35" w14:textId="32DA35A2" w:rsidR="007309D3" w:rsidRDefault="007309D3" w:rsidP="007309D3">
      <w:pPr>
        <w:pStyle w:val="EntradandiceSentencia"/>
      </w:pPr>
    </w:p>
    <w:p w14:paraId="17BDBDFF" w14:textId="507BE358" w:rsidR="007309D3" w:rsidRDefault="007309D3" w:rsidP="007309D3">
      <w:pPr>
        <w:pStyle w:val="EntradaSumario"/>
      </w:pPr>
      <w:r w:rsidRPr="007309D3">
        <w:rPr>
          <w:rStyle w:val="TextoNormalCaracter"/>
        </w:rPr>
        <w:t xml:space="preserve">Recurso de amparo 2769-2022. </w:t>
      </w:r>
      <w:r w:rsidRPr="007309D3">
        <w:rPr>
          <w:rStyle w:val="TextoNormalCursivaCaracter"/>
        </w:rPr>
        <w:t xml:space="preserve"> Alegada vulneración de los derechos a la integridad física y a la intimidad; supuesta vulneración de los derechos a la tutela judicial efectiva (incongruencia) y a un proceso con todas las garantías: inadmisión parcial del recurso por falta de invocación previa en la vía judicial; exploración del menor no grabada para preservar su intimidad, resolución judicial en la que se guarda la necesaria correspondencia entre lo solicitado y lo acordado, la utilización de la expresión “postulados negacionistas” no basta para apreciar una falta de imparcialidad objetivamente fundada.</w:t>
      </w:r>
      <w:r>
        <w:tab/>
      </w:r>
      <w:r>
        <w:tab/>
      </w:r>
      <w:r>
        <w:fldChar w:fldCharType="begin"/>
      </w:r>
      <w:r>
        <w:instrText xml:space="preserve"> PAGEREF SENTENCIA_2023_181 \h </w:instrText>
      </w:r>
      <w:r>
        <w:fldChar w:fldCharType="separate"/>
      </w:r>
      <w:r w:rsidR="00C73693">
        <w:rPr>
          <w:noProof/>
        </w:rPr>
        <w:t>1854</w:t>
      </w:r>
      <w:r>
        <w:fldChar w:fldCharType="end"/>
      </w:r>
    </w:p>
    <w:p w14:paraId="5615CE16" w14:textId="77777777" w:rsidR="007309D3" w:rsidRDefault="007309D3" w:rsidP="007309D3"/>
    <w:p w14:paraId="0C63E5AE" w14:textId="77777777" w:rsidR="007309D3" w:rsidRDefault="007309D3" w:rsidP="007309D3">
      <w:pPr>
        <w:pStyle w:val="EntradandiceSentencia"/>
      </w:pPr>
      <w:r>
        <w:t>Sala Segunda. Sentencia 182/2023, de 11 de diciembre de 2023</w:t>
      </w:r>
    </w:p>
    <w:p w14:paraId="3FEEEA02" w14:textId="4B941E86" w:rsidR="007309D3" w:rsidRDefault="007309D3" w:rsidP="007309D3">
      <w:pPr>
        <w:pStyle w:val="EntradandiceSentencia"/>
      </w:pPr>
    </w:p>
    <w:p w14:paraId="215CB986" w14:textId="57CA603D" w:rsidR="007309D3" w:rsidRDefault="007309D3" w:rsidP="007309D3">
      <w:pPr>
        <w:pStyle w:val="EntradaSumario"/>
      </w:pPr>
      <w:r w:rsidRPr="007309D3">
        <w:rPr>
          <w:rStyle w:val="TextoNormalCaracter"/>
        </w:rPr>
        <w:t xml:space="preserve">Recurso de amparo 5688-2022. </w:t>
      </w:r>
      <w:r w:rsidRPr="007309D3">
        <w:rPr>
          <w:rStyle w:val="TextoNormalCursivaCaracter"/>
        </w:rPr>
        <w:t xml:space="preserve"> Supuesta vulneración del derecho a la integridad física: STC 148/2023 [resoluciones judiciales que realizaron una ponderación adecuada de los intereses de una persona menor de edad (STC 38/2023)].</w:t>
      </w:r>
      <w:r>
        <w:tab/>
      </w:r>
      <w:r>
        <w:tab/>
      </w:r>
      <w:r>
        <w:fldChar w:fldCharType="begin"/>
      </w:r>
      <w:r>
        <w:instrText xml:space="preserve"> PAGEREF SENTENCIA_2023_182 \h </w:instrText>
      </w:r>
      <w:r>
        <w:fldChar w:fldCharType="separate"/>
      </w:r>
      <w:r w:rsidR="00C73693">
        <w:rPr>
          <w:noProof/>
        </w:rPr>
        <w:t>1864</w:t>
      </w:r>
      <w:r>
        <w:fldChar w:fldCharType="end"/>
      </w:r>
    </w:p>
    <w:p w14:paraId="057B72CA" w14:textId="77777777" w:rsidR="007309D3" w:rsidRDefault="007309D3" w:rsidP="007309D3"/>
    <w:p w14:paraId="37A044DB" w14:textId="77777777" w:rsidR="007309D3" w:rsidRDefault="007309D3" w:rsidP="007309D3">
      <w:pPr>
        <w:pStyle w:val="EntradandiceSentencia"/>
      </w:pPr>
      <w:r>
        <w:t>Sala Segunda. Sentencia 183/2023, de 11 de diciembre de 2023</w:t>
      </w:r>
    </w:p>
    <w:p w14:paraId="2E0E4D4C" w14:textId="75B83A44" w:rsidR="007309D3" w:rsidRDefault="007309D3" w:rsidP="007309D3">
      <w:pPr>
        <w:pStyle w:val="EntradandiceSentencia"/>
      </w:pPr>
    </w:p>
    <w:p w14:paraId="45B875FA" w14:textId="2D9A4B21" w:rsidR="007309D3" w:rsidRDefault="007309D3" w:rsidP="007309D3">
      <w:pPr>
        <w:pStyle w:val="EntradaSumario"/>
      </w:pPr>
      <w:r w:rsidRPr="007309D3">
        <w:rPr>
          <w:rStyle w:val="TextoNormalCaracter"/>
        </w:rPr>
        <w:t xml:space="preserve">Recurso de amparo 5691-2022. </w:t>
      </w:r>
      <w:r w:rsidRPr="007309D3">
        <w:rPr>
          <w:rStyle w:val="TextoNormalCursivaCaracter"/>
        </w:rPr>
        <w:t xml:space="preserve"> Supuesta vulneración del derecho a la integridad física: STC 148/2023 [resoluciones judiciales que realizaron una ponderación adecuada de los intereses de una persona menor de edad (STC 38/2023)].</w:t>
      </w:r>
      <w:r>
        <w:tab/>
      </w:r>
      <w:r>
        <w:tab/>
      </w:r>
      <w:r>
        <w:fldChar w:fldCharType="begin"/>
      </w:r>
      <w:r>
        <w:instrText xml:space="preserve"> PAGEREF SENTENCIA_2023_183 \h </w:instrText>
      </w:r>
      <w:r>
        <w:fldChar w:fldCharType="separate"/>
      </w:r>
      <w:r w:rsidR="00C73693">
        <w:rPr>
          <w:noProof/>
        </w:rPr>
        <w:t>1871</w:t>
      </w:r>
      <w:r>
        <w:fldChar w:fldCharType="end"/>
      </w:r>
    </w:p>
    <w:p w14:paraId="7F18FD5C" w14:textId="77777777" w:rsidR="007309D3" w:rsidRDefault="007309D3" w:rsidP="007309D3"/>
    <w:p w14:paraId="1552B072" w14:textId="77777777" w:rsidR="007309D3" w:rsidRDefault="007309D3" w:rsidP="007309D3">
      <w:pPr>
        <w:pStyle w:val="EntradandiceSentencia"/>
      </w:pPr>
      <w:r>
        <w:t>Sala Primera. Sentencia 184/2023, de 11 de diciembre de 2023</w:t>
      </w:r>
    </w:p>
    <w:p w14:paraId="2605BDB9" w14:textId="454C25CB" w:rsidR="007309D3" w:rsidRDefault="007309D3" w:rsidP="007309D3">
      <w:pPr>
        <w:pStyle w:val="EntradandiceSentencia"/>
      </w:pPr>
    </w:p>
    <w:p w14:paraId="5E8CBD0D" w14:textId="3ECDF545" w:rsidR="007309D3" w:rsidRDefault="007309D3" w:rsidP="007309D3">
      <w:pPr>
        <w:pStyle w:val="EntradaSumario"/>
      </w:pPr>
      <w:r w:rsidRPr="007309D3">
        <w:rPr>
          <w:rStyle w:val="TextoNormalCaracter"/>
        </w:rPr>
        <w:t xml:space="preserve">Recurso de amparo 7685-2022. </w:t>
      </w:r>
      <w:r w:rsidRPr="007309D3">
        <w:rPr>
          <w:rStyle w:val="TextoNormalCursivaCaracter"/>
        </w:rPr>
        <w:t xml:space="preserve"> Vulneración del derecho a la tutela judicial efectiva en relación con el derecho a la libertad personal: revocación de la suspensión de ejecución de pena privativa de libertad que no satisface las exigencias de motivación reforzada.</w:t>
      </w:r>
      <w:r>
        <w:tab/>
      </w:r>
      <w:r>
        <w:tab/>
      </w:r>
      <w:r>
        <w:fldChar w:fldCharType="begin"/>
      </w:r>
      <w:r>
        <w:instrText xml:space="preserve"> PAGEREF SENTENCIA_2023_184 \h </w:instrText>
      </w:r>
      <w:r>
        <w:fldChar w:fldCharType="separate"/>
      </w:r>
      <w:r w:rsidR="00C73693">
        <w:rPr>
          <w:noProof/>
        </w:rPr>
        <w:t>1878</w:t>
      </w:r>
      <w:r>
        <w:fldChar w:fldCharType="end"/>
      </w:r>
    </w:p>
    <w:p w14:paraId="15F06C64" w14:textId="77777777" w:rsidR="007309D3" w:rsidRDefault="007309D3" w:rsidP="007309D3"/>
    <w:p w14:paraId="53D4EF0A" w14:textId="77777777" w:rsidR="007309D3" w:rsidRDefault="007309D3" w:rsidP="007309D3">
      <w:pPr>
        <w:pStyle w:val="EntradandiceSentencia"/>
      </w:pPr>
      <w:r>
        <w:t>Sala Primera. Sentencia 185/2023, de 11 de diciembre de 2023</w:t>
      </w:r>
    </w:p>
    <w:p w14:paraId="3A61E3F6" w14:textId="58732164" w:rsidR="007309D3" w:rsidRDefault="007309D3" w:rsidP="007309D3">
      <w:pPr>
        <w:pStyle w:val="EntradandiceSentencia"/>
      </w:pPr>
    </w:p>
    <w:p w14:paraId="56A3F712" w14:textId="0AC2D4EF" w:rsidR="007309D3" w:rsidRDefault="007309D3" w:rsidP="007309D3">
      <w:pPr>
        <w:pStyle w:val="EntradaSumario"/>
      </w:pPr>
      <w:r w:rsidRPr="007309D3">
        <w:rPr>
          <w:rStyle w:val="TextoNormalCaracter"/>
        </w:rPr>
        <w:t xml:space="preserve">Recurso de amparo 705-2023. </w:t>
      </w:r>
      <w:r w:rsidRPr="007309D3">
        <w:rPr>
          <w:rStyle w:val="TextoNormalCursivaCaracter"/>
        </w:rPr>
        <w:t xml:space="preserve"> Supuesta vulneración del derecho a la integridad física: STC 148/2023 [resoluciones judiciales que realizaron una ponderación adecuada de los intereses de una persona menor de edad (STC 38/2023)].</w:t>
      </w:r>
      <w:r>
        <w:tab/>
      </w:r>
      <w:r>
        <w:tab/>
      </w:r>
      <w:r>
        <w:fldChar w:fldCharType="begin"/>
      </w:r>
      <w:r>
        <w:instrText xml:space="preserve"> PAGEREF SENTENCIA_2023_185 \h </w:instrText>
      </w:r>
      <w:r>
        <w:fldChar w:fldCharType="separate"/>
      </w:r>
      <w:r w:rsidR="00C73693">
        <w:rPr>
          <w:noProof/>
        </w:rPr>
        <w:t>1898</w:t>
      </w:r>
      <w:r>
        <w:fldChar w:fldCharType="end"/>
      </w:r>
    </w:p>
    <w:p w14:paraId="3AA3DC0B" w14:textId="77777777" w:rsidR="007309D3" w:rsidRDefault="007309D3" w:rsidP="007309D3"/>
    <w:p w14:paraId="293D1ACF" w14:textId="77777777" w:rsidR="007309D3" w:rsidRDefault="007309D3" w:rsidP="007309D3">
      <w:pPr>
        <w:pStyle w:val="EntradandiceSentencia"/>
      </w:pPr>
      <w:r>
        <w:t>Sala Segunda. Sentencia 186/2023, de 11 de diciembre de 2023</w:t>
      </w:r>
    </w:p>
    <w:p w14:paraId="7DD1432E" w14:textId="600B36AB" w:rsidR="007309D3" w:rsidRDefault="007309D3" w:rsidP="007309D3">
      <w:pPr>
        <w:pStyle w:val="EntradandiceSentencia"/>
      </w:pPr>
    </w:p>
    <w:p w14:paraId="6578D08E" w14:textId="2459C8D2" w:rsidR="007309D3" w:rsidRDefault="007309D3" w:rsidP="007309D3">
      <w:pPr>
        <w:pStyle w:val="EntradaSumario"/>
      </w:pPr>
      <w:r w:rsidRPr="007309D3">
        <w:rPr>
          <w:rStyle w:val="TextoNormalCaracter"/>
        </w:rPr>
        <w:t xml:space="preserve">Recurso de amparo 1069-2023. </w:t>
      </w:r>
      <w:r w:rsidRPr="007309D3">
        <w:rPr>
          <w:rStyle w:val="TextoNormalCursivaCaracter"/>
        </w:rPr>
        <w:t xml:space="preserve"> Supuesta vulneración del derecho a la integridad física: STC 148/2023 [resoluciones judiciales que realizaron una ponderación adecuada de los intereses de una persona menor de edad (STC 38/2023)].</w:t>
      </w:r>
      <w:r>
        <w:tab/>
      </w:r>
      <w:r>
        <w:tab/>
      </w:r>
      <w:r>
        <w:fldChar w:fldCharType="begin"/>
      </w:r>
      <w:r>
        <w:instrText xml:space="preserve"> PAGEREF SENTENCIA_2023_186 \h </w:instrText>
      </w:r>
      <w:r>
        <w:fldChar w:fldCharType="separate"/>
      </w:r>
      <w:r w:rsidR="00C73693">
        <w:rPr>
          <w:noProof/>
        </w:rPr>
        <w:t>1907</w:t>
      </w:r>
      <w:r>
        <w:fldChar w:fldCharType="end"/>
      </w:r>
    </w:p>
    <w:p w14:paraId="75C9D3E0" w14:textId="77777777" w:rsidR="007309D3" w:rsidRDefault="007309D3" w:rsidP="007309D3"/>
    <w:p w14:paraId="22DFA8E5" w14:textId="77777777" w:rsidR="007309D3" w:rsidRDefault="007309D3" w:rsidP="007309D3">
      <w:pPr>
        <w:pStyle w:val="EntradandiceSentencia"/>
      </w:pPr>
      <w:r>
        <w:t>Sala Primera. Sentencia 187/2023, de 11 de diciembre de 2023</w:t>
      </w:r>
    </w:p>
    <w:p w14:paraId="687ADC28" w14:textId="4C5CE590" w:rsidR="007309D3" w:rsidRDefault="007309D3" w:rsidP="007309D3">
      <w:pPr>
        <w:pStyle w:val="EntradandiceSentencia"/>
      </w:pPr>
    </w:p>
    <w:p w14:paraId="0FFE2C62" w14:textId="156744BD" w:rsidR="007309D3" w:rsidRDefault="007309D3" w:rsidP="007309D3">
      <w:pPr>
        <w:pStyle w:val="EntradaSumario"/>
      </w:pPr>
      <w:r w:rsidRPr="007309D3">
        <w:rPr>
          <w:rStyle w:val="TextoNormalCaracter"/>
        </w:rPr>
        <w:t xml:space="preserve">Recurso de amparo 1289-2023. </w:t>
      </w:r>
      <w:r w:rsidRPr="007309D3">
        <w:rPr>
          <w:rStyle w:val="TextoNormalCursivaCaracter"/>
        </w:rPr>
        <w:t xml:space="preserve"> Supuesta vulneración del derecho a la integridad física: STC 148/2023 [resoluciones judiciales que realizaron una ponderación adecuada de los intereses de una persona menor de edad (STC 38/2023)].</w:t>
      </w:r>
      <w:r>
        <w:tab/>
      </w:r>
      <w:r>
        <w:tab/>
      </w:r>
      <w:r>
        <w:fldChar w:fldCharType="begin"/>
      </w:r>
      <w:r>
        <w:instrText xml:space="preserve"> PAGEREF SENTENCIA_2023_187 \h </w:instrText>
      </w:r>
      <w:r>
        <w:fldChar w:fldCharType="separate"/>
      </w:r>
      <w:r w:rsidR="00C73693">
        <w:rPr>
          <w:noProof/>
        </w:rPr>
        <w:t>1913</w:t>
      </w:r>
      <w:r>
        <w:fldChar w:fldCharType="end"/>
      </w:r>
    </w:p>
    <w:p w14:paraId="4CD20918" w14:textId="77777777" w:rsidR="007309D3" w:rsidRDefault="007309D3" w:rsidP="007309D3"/>
    <w:p w14:paraId="08F55C37" w14:textId="77777777" w:rsidR="007309D3" w:rsidRDefault="007309D3" w:rsidP="007309D3">
      <w:pPr>
        <w:pStyle w:val="EntradandiceSentencia"/>
      </w:pPr>
      <w:r>
        <w:t>Pleno. Sentencia 188/2023, de 12 de diciembre de 2023</w:t>
      </w:r>
    </w:p>
    <w:p w14:paraId="42B5A210" w14:textId="4D171109" w:rsidR="007309D3" w:rsidRDefault="007309D3" w:rsidP="007309D3">
      <w:pPr>
        <w:pStyle w:val="EntradandiceSentencia"/>
      </w:pPr>
    </w:p>
    <w:p w14:paraId="03274A60" w14:textId="57A9DC70" w:rsidR="007309D3" w:rsidRDefault="007309D3" w:rsidP="007309D3">
      <w:pPr>
        <w:pStyle w:val="EntradaSumario"/>
      </w:pPr>
      <w:r w:rsidRPr="007309D3">
        <w:rPr>
          <w:rStyle w:val="TextoNormalCaracter"/>
        </w:rPr>
        <w:t xml:space="preserve">Recurso de amparo 1294-2021. </w:t>
      </w:r>
      <w:r w:rsidRPr="007309D3">
        <w:rPr>
          <w:rStyle w:val="TextoNormalCursivaCaracter"/>
        </w:rPr>
        <w:t xml:space="preserve"> Vulneración del derecho de reunión y manifestación: STC 164/2023 (prohibición injustificada y desproporcionada de la convocatoria de concentración al aire libre, con número limitado de asistentes y garantizando el uso de mascarillas y el mantenimiento de una distancia interpersonal de seguridad). Votos particulares.</w:t>
      </w:r>
      <w:r>
        <w:tab/>
      </w:r>
      <w:r>
        <w:tab/>
      </w:r>
      <w:r>
        <w:fldChar w:fldCharType="begin"/>
      </w:r>
      <w:r>
        <w:instrText xml:space="preserve"> PAGEREF SENTENCIA_2023_188 \h </w:instrText>
      </w:r>
      <w:r>
        <w:fldChar w:fldCharType="separate"/>
      </w:r>
      <w:r w:rsidR="00C73693">
        <w:rPr>
          <w:noProof/>
        </w:rPr>
        <w:t>1922</w:t>
      </w:r>
      <w:r>
        <w:fldChar w:fldCharType="end"/>
      </w:r>
    </w:p>
    <w:p w14:paraId="623BD5E6" w14:textId="77777777" w:rsidR="007309D3" w:rsidRDefault="007309D3" w:rsidP="007309D3"/>
    <w:p w14:paraId="6295B963" w14:textId="77777777" w:rsidR="007309D3" w:rsidRDefault="007309D3" w:rsidP="007309D3">
      <w:pPr>
        <w:pStyle w:val="EntradandiceSentencia"/>
      </w:pPr>
      <w:r>
        <w:t>Pleno. Sentencia 189/2023, de 12 de diciembre de 2023</w:t>
      </w:r>
    </w:p>
    <w:p w14:paraId="5AB21440" w14:textId="7CBFBBD4" w:rsidR="007309D3" w:rsidRDefault="007309D3" w:rsidP="007309D3">
      <w:pPr>
        <w:pStyle w:val="EntradandiceSentencia"/>
      </w:pPr>
    </w:p>
    <w:p w14:paraId="046904E2" w14:textId="3AFF9F9D" w:rsidR="007309D3" w:rsidRDefault="007309D3" w:rsidP="007309D3">
      <w:pPr>
        <w:pStyle w:val="EntradaSumario"/>
      </w:pPr>
      <w:r w:rsidRPr="007309D3">
        <w:rPr>
          <w:rStyle w:val="TextoNormalCaracter"/>
        </w:rPr>
        <w:t xml:space="preserve">Recurso de inconstitucionalidad 1922-2023. </w:t>
      </w:r>
      <w:r w:rsidRPr="007309D3">
        <w:rPr>
          <w:rStyle w:val="TextoNormalCursivaCaracter"/>
        </w:rPr>
        <w:t xml:space="preserve"> Supuesta vulneración del derecho al ejercicio de las funciones representativas (homogeneidad de las enmiendas parlamentarias respecto del texto que se pretende modificar), principios de legalidad tributaria, capacidad económica y no confiscatoriedad, corresponsabilidad fiscal y lealtad institucional: STC 149/2023 (constitucionalidad del precepto legal que crea el impuesto temporal sobre grandes fortunas como tributo directo, de naturaleza personal y complementario del impuesto sobre el patrimonio). Voto particular.</w:t>
      </w:r>
      <w:r>
        <w:tab/>
      </w:r>
      <w:r>
        <w:tab/>
      </w:r>
      <w:r>
        <w:fldChar w:fldCharType="begin"/>
      </w:r>
      <w:r>
        <w:instrText xml:space="preserve"> PAGEREF SENTENCIA_2023_189 \h </w:instrText>
      </w:r>
      <w:r>
        <w:fldChar w:fldCharType="separate"/>
      </w:r>
      <w:r w:rsidR="00C73693">
        <w:rPr>
          <w:noProof/>
        </w:rPr>
        <w:t>1938</w:t>
      </w:r>
      <w:r>
        <w:fldChar w:fldCharType="end"/>
      </w:r>
    </w:p>
    <w:p w14:paraId="4326B519" w14:textId="77777777" w:rsidR="007309D3" w:rsidRDefault="007309D3" w:rsidP="007309D3"/>
    <w:p w14:paraId="71123C41" w14:textId="77777777" w:rsidR="007309D3" w:rsidRDefault="007309D3" w:rsidP="007309D3">
      <w:pPr>
        <w:pStyle w:val="EntradandiceSentencia"/>
      </w:pPr>
      <w:r>
        <w:t>Pleno. Sentencia 190/2023, de 12 de diciembre de 2023</w:t>
      </w:r>
    </w:p>
    <w:p w14:paraId="5D2A8F94" w14:textId="44D3167B" w:rsidR="007309D3" w:rsidRDefault="007309D3" w:rsidP="007309D3">
      <w:pPr>
        <w:pStyle w:val="EntradandiceSentencia"/>
      </w:pPr>
    </w:p>
    <w:p w14:paraId="5092F46F" w14:textId="0658011B" w:rsidR="007309D3" w:rsidRDefault="007309D3" w:rsidP="007309D3">
      <w:pPr>
        <w:pStyle w:val="EntradaSumario"/>
      </w:pPr>
      <w:r w:rsidRPr="007309D3">
        <w:rPr>
          <w:rStyle w:val="TextoNormalCaracter"/>
        </w:rPr>
        <w:t xml:space="preserve">Recurso de inconstitucionalidad 1993-2023. </w:t>
      </w:r>
      <w:r w:rsidRPr="007309D3">
        <w:rPr>
          <w:rStyle w:val="TextoNormalCursivaCaracter"/>
        </w:rPr>
        <w:t xml:space="preserve"> Supuesta vulneración del derecho al ejercicio de las funciones representativas (homogeneidad de las enmiendas parlamentarias respecto del texto que se pretende modificar), principios de legalidad tributaria, capacidad económica y no confiscatoriedad, corresponsabilidad fiscal y lealtad institucional: STC 149/2023 (constitucionalidad del precepto legal que crea el impuesto temporal sobre grandes fortunas como tributo directo, de naturaleza personal y complementario del impuesto sobre el patrimonio). Voto particular.</w:t>
      </w:r>
      <w:r>
        <w:tab/>
      </w:r>
      <w:r>
        <w:tab/>
      </w:r>
      <w:r>
        <w:fldChar w:fldCharType="begin"/>
      </w:r>
      <w:r>
        <w:instrText xml:space="preserve"> PAGEREF SENTENCIA_2023_190 \h </w:instrText>
      </w:r>
      <w:r>
        <w:fldChar w:fldCharType="separate"/>
      </w:r>
      <w:r w:rsidR="00C73693">
        <w:rPr>
          <w:noProof/>
        </w:rPr>
        <w:t>1953</w:t>
      </w:r>
      <w:r>
        <w:fldChar w:fldCharType="end"/>
      </w:r>
    </w:p>
    <w:p w14:paraId="734BE4CC" w14:textId="4195657D" w:rsidR="007309D3" w:rsidRDefault="007309D3">
      <w:pPr>
        <w:spacing w:after="160" w:line="278" w:lineRule="auto"/>
      </w:pPr>
      <w:r>
        <w:br w:type="page"/>
      </w:r>
    </w:p>
    <w:p w14:paraId="1B633E29" w14:textId="77777777" w:rsidR="007309D3" w:rsidRDefault="007309D3" w:rsidP="007309D3"/>
    <w:p w14:paraId="53889D87" w14:textId="77777777" w:rsidR="007309D3" w:rsidRDefault="007309D3" w:rsidP="007309D3"/>
    <w:p w14:paraId="45AF48EF" w14:textId="77777777" w:rsidR="007309D3" w:rsidRDefault="007309D3" w:rsidP="007309D3"/>
    <w:p w14:paraId="531B50B6" w14:textId="77777777" w:rsidR="007309D3" w:rsidRDefault="007309D3" w:rsidP="007309D3">
      <w:pPr>
        <w:pStyle w:val="Ttulondice"/>
      </w:pPr>
      <w:bookmarkStart w:id="2" w:name="SUMARIOSAUTOS"/>
      <w:r>
        <w:t>2. AUTOS: ATC 331/2023 A ATC 689/2023</w:t>
      </w:r>
    </w:p>
    <w:bookmarkEnd w:id="2"/>
    <w:p w14:paraId="141AB3B0" w14:textId="5F6C26DA" w:rsidR="007309D3" w:rsidRDefault="007309D3" w:rsidP="007309D3">
      <w:pPr>
        <w:pStyle w:val="Ttulondice"/>
      </w:pPr>
    </w:p>
    <w:p w14:paraId="08C69155" w14:textId="77777777" w:rsidR="007309D3" w:rsidRDefault="007309D3" w:rsidP="007309D3">
      <w:pPr>
        <w:pStyle w:val="Ttulondice"/>
      </w:pPr>
    </w:p>
    <w:p w14:paraId="6831A39B" w14:textId="77777777" w:rsidR="007309D3" w:rsidRDefault="007309D3" w:rsidP="007309D3">
      <w:pPr>
        <w:pStyle w:val="Ttulondice"/>
      </w:pPr>
    </w:p>
    <w:p w14:paraId="7D487554" w14:textId="77777777" w:rsidR="007309D3" w:rsidRDefault="007309D3" w:rsidP="007309D3">
      <w:pPr>
        <w:pStyle w:val="Ttulondice"/>
      </w:pPr>
    </w:p>
    <w:p w14:paraId="67D455F7" w14:textId="77777777" w:rsidR="007309D3" w:rsidRDefault="007309D3" w:rsidP="007309D3">
      <w:pPr>
        <w:pStyle w:val="Ttulondice"/>
      </w:pPr>
    </w:p>
    <w:p w14:paraId="1837C52F" w14:textId="77777777" w:rsidR="007309D3" w:rsidRDefault="007309D3" w:rsidP="007309D3">
      <w:pPr>
        <w:pStyle w:val="Ttulondice"/>
      </w:pPr>
    </w:p>
    <w:p w14:paraId="0F265313" w14:textId="77777777" w:rsidR="007309D3" w:rsidRDefault="007309D3" w:rsidP="007309D3">
      <w:pPr>
        <w:pStyle w:val="Ttulondice"/>
      </w:pPr>
    </w:p>
    <w:p w14:paraId="6AE7DCC5" w14:textId="21D551BE" w:rsidR="007309D3" w:rsidRDefault="007309D3" w:rsidP="007309D3">
      <w:pPr>
        <w:pStyle w:val="EntradandiceAuto"/>
      </w:pPr>
      <w:r>
        <w:t>Sala Segunda. Auto 331/2023, de 3 de julio de 2023. Deniega la solicitud de aclaración formulada en relación con la STC 39/2023, de 8 de mayo, dictada en el recurso de amparo 296-2020, promovido por doña María Rosa Coll Colom en proceso contencioso-administrativo.</w:t>
      </w:r>
      <w:r>
        <w:tab/>
      </w:r>
      <w:r>
        <w:tab/>
      </w:r>
      <w:r>
        <w:fldChar w:fldCharType="begin"/>
      </w:r>
      <w:r>
        <w:instrText xml:space="preserve"> PAGEREF AUTO_2023_331 \h </w:instrText>
      </w:r>
      <w:r>
        <w:fldChar w:fldCharType="separate"/>
      </w:r>
      <w:r w:rsidR="00C73693">
        <w:rPr>
          <w:noProof/>
        </w:rPr>
        <w:t>1970</w:t>
      </w:r>
      <w:r>
        <w:fldChar w:fldCharType="end"/>
      </w:r>
    </w:p>
    <w:p w14:paraId="1C55E906" w14:textId="77777777" w:rsidR="008D479B" w:rsidRDefault="008D479B" w:rsidP="007309D3"/>
    <w:p w14:paraId="58D553AB" w14:textId="13F77D61" w:rsidR="007309D3" w:rsidRDefault="007309D3" w:rsidP="007309D3">
      <w:pPr>
        <w:pStyle w:val="EntradandiceAuto"/>
      </w:pPr>
      <w:r>
        <w:t>Sala Segunda. Auto 332/2023, de 3 de julio de 2023. Acepta una abstención en el recurso de amparo 4397-2021, promovido por la mercantil Emplazamientos Radiales, S.L., en proceso contencioso-administrativo.</w:t>
      </w:r>
      <w:r>
        <w:tab/>
      </w:r>
      <w:r>
        <w:tab/>
      </w:r>
      <w:r>
        <w:fldChar w:fldCharType="begin"/>
      </w:r>
      <w:r>
        <w:instrText xml:space="preserve"> PAGEREF AUTO_2023_332 \h </w:instrText>
      </w:r>
      <w:r>
        <w:fldChar w:fldCharType="separate"/>
      </w:r>
      <w:r w:rsidR="00C73693">
        <w:rPr>
          <w:noProof/>
        </w:rPr>
        <w:t>1972</w:t>
      </w:r>
      <w:r>
        <w:fldChar w:fldCharType="end"/>
      </w:r>
    </w:p>
    <w:p w14:paraId="74B29D55" w14:textId="77777777" w:rsidR="007309D3" w:rsidRDefault="007309D3" w:rsidP="007309D3"/>
    <w:p w14:paraId="13CEB41C" w14:textId="27D6E069" w:rsidR="007309D3" w:rsidRDefault="007309D3" w:rsidP="007309D3">
      <w:pPr>
        <w:pStyle w:val="EntradandiceAuto"/>
      </w:pPr>
      <w:r>
        <w:t>Sala Segunda. Auto 333/2023, de 3 de julio de 2023. Acepta una abstención en el recurso de amparo 7042-2021, promovido por la mercantil Tubos Reunidos, S.A., en proceso contencioso-administrativo.</w:t>
      </w:r>
      <w:r>
        <w:tab/>
      </w:r>
      <w:r>
        <w:tab/>
      </w:r>
      <w:r>
        <w:fldChar w:fldCharType="begin"/>
      </w:r>
      <w:r>
        <w:instrText xml:space="preserve"> PAGEREF AUTO_2023_333 \h </w:instrText>
      </w:r>
      <w:r>
        <w:fldChar w:fldCharType="separate"/>
      </w:r>
      <w:r w:rsidR="00C73693">
        <w:rPr>
          <w:noProof/>
        </w:rPr>
        <w:t>1974</w:t>
      </w:r>
      <w:r>
        <w:fldChar w:fldCharType="end"/>
      </w:r>
    </w:p>
    <w:p w14:paraId="042BC11D" w14:textId="77777777" w:rsidR="007309D3" w:rsidRDefault="007309D3" w:rsidP="007309D3"/>
    <w:p w14:paraId="08F55FED" w14:textId="3C4D274A" w:rsidR="007309D3" w:rsidRDefault="007309D3" w:rsidP="007309D3">
      <w:pPr>
        <w:pStyle w:val="EntradandiceAuto"/>
      </w:pPr>
      <w:r>
        <w:t>Sala Primera. Auto 334/2023, de 3 de julio de 2023. Deniega la suspensión en el recurso de amparo 921-2022, promovido por la entidad Auro New Transport Concept, S.L., en pleito civil.</w:t>
      </w:r>
      <w:r>
        <w:tab/>
      </w:r>
      <w:r>
        <w:tab/>
      </w:r>
      <w:r>
        <w:fldChar w:fldCharType="begin"/>
      </w:r>
      <w:r>
        <w:instrText xml:space="preserve"> PAGEREF AUTO_2023_334 \h </w:instrText>
      </w:r>
      <w:r>
        <w:fldChar w:fldCharType="separate"/>
      </w:r>
      <w:r w:rsidR="00C73693">
        <w:rPr>
          <w:noProof/>
        </w:rPr>
        <w:t>1976</w:t>
      </w:r>
      <w:r>
        <w:fldChar w:fldCharType="end"/>
      </w:r>
    </w:p>
    <w:p w14:paraId="3B2C11FD" w14:textId="77777777" w:rsidR="007309D3" w:rsidRDefault="007309D3" w:rsidP="007309D3"/>
    <w:p w14:paraId="47E21616" w14:textId="68D64E7F" w:rsidR="007309D3" w:rsidRDefault="007309D3" w:rsidP="007309D3">
      <w:pPr>
        <w:pStyle w:val="EntradandiceAuto"/>
      </w:pPr>
      <w:r>
        <w:t>Sección Tercera. Auto 335/2023, de 3 de julio de 2023. Acepta una abstención en el recurso de amparo 4996-2022, promovido en proceso contencioso-administrativo.</w:t>
      </w:r>
      <w:r>
        <w:tab/>
      </w:r>
      <w:r>
        <w:tab/>
      </w:r>
      <w:r>
        <w:fldChar w:fldCharType="begin"/>
      </w:r>
      <w:r>
        <w:instrText xml:space="preserve"> PAGEREF AUTO_2023_335 \h </w:instrText>
      </w:r>
      <w:r>
        <w:fldChar w:fldCharType="separate"/>
      </w:r>
      <w:r w:rsidR="00C73693">
        <w:rPr>
          <w:noProof/>
        </w:rPr>
        <w:t>2012</w:t>
      </w:r>
      <w:r>
        <w:fldChar w:fldCharType="end"/>
      </w:r>
    </w:p>
    <w:p w14:paraId="13AF790E" w14:textId="77777777" w:rsidR="007309D3" w:rsidRDefault="007309D3" w:rsidP="007309D3"/>
    <w:p w14:paraId="4849EA2D" w14:textId="6E1F9FCC" w:rsidR="007309D3" w:rsidRDefault="007309D3" w:rsidP="007309D3">
      <w:pPr>
        <w:pStyle w:val="EntradandiceAuto"/>
      </w:pPr>
      <w:r>
        <w:t>Sección Tercera. Auto 336/2023, de 3 de julio de 2023. Acepta una abstención en el recurso de amparo 5082-2022, promovido en proceso contencioso-administrativo.</w:t>
      </w:r>
      <w:r>
        <w:tab/>
      </w:r>
      <w:r>
        <w:tab/>
      </w:r>
      <w:r>
        <w:fldChar w:fldCharType="begin"/>
      </w:r>
      <w:r>
        <w:instrText xml:space="preserve"> PAGEREF AUTO_2023_336 \h </w:instrText>
      </w:r>
      <w:r>
        <w:fldChar w:fldCharType="separate"/>
      </w:r>
      <w:r w:rsidR="00C73693">
        <w:rPr>
          <w:noProof/>
        </w:rPr>
        <w:t>2014</w:t>
      </w:r>
      <w:r>
        <w:fldChar w:fldCharType="end"/>
      </w:r>
    </w:p>
    <w:p w14:paraId="78660AF2" w14:textId="77777777" w:rsidR="007309D3" w:rsidRDefault="007309D3" w:rsidP="007309D3"/>
    <w:p w14:paraId="6454B94F" w14:textId="5E04270F" w:rsidR="007309D3" w:rsidRDefault="007309D3" w:rsidP="007309D3">
      <w:pPr>
        <w:pStyle w:val="EntradandiceAuto"/>
      </w:pPr>
      <w:r>
        <w:t>Sección Tercera. Auto 337/2023, de 3 de julio de 2023. Acepta una abstención en el recurso de amparo 5119-2022, promovido en proceso contencioso-administrativo.</w:t>
      </w:r>
      <w:r>
        <w:tab/>
      </w:r>
      <w:r>
        <w:tab/>
      </w:r>
      <w:r>
        <w:fldChar w:fldCharType="begin"/>
      </w:r>
      <w:r>
        <w:instrText xml:space="preserve"> PAGEREF AUTO_2023_337 \h </w:instrText>
      </w:r>
      <w:r>
        <w:fldChar w:fldCharType="separate"/>
      </w:r>
      <w:r w:rsidR="00C73693">
        <w:rPr>
          <w:noProof/>
        </w:rPr>
        <w:t>2016</w:t>
      </w:r>
      <w:r>
        <w:fldChar w:fldCharType="end"/>
      </w:r>
    </w:p>
    <w:p w14:paraId="7BC88283" w14:textId="77777777" w:rsidR="007309D3" w:rsidRDefault="007309D3" w:rsidP="007309D3"/>
    <w:p w14:paraId="57F9F7A4" w14:textId="2AEF9EAF" w:rsidR="007309D3" w:rsidRDefault="007309D3" w:rsidP="007309D3">
      <w:pPr>
        <w:pStyle w:val="EntradandiceAuto"/>
      </w:pPr>
      <w:r>
        <w:t>Sala Segunda. Auto 338/2023, de 3 de julio de 2023. Admite a trámite el recurso de amparo 5165-2022, promovido por la asociación Coordinadora de Barrios para el Seguimiento de Menores y Jóvenes y otras en causa penal. Voto particular.</w:t>
      </w:r>
      <w:r>
        <w:tab/>
      </w:r>
      <w:r>
        <w:tab/>
      </w:r>
      <w:r>
        <w:fldChar w:fldCharType="begin"/>
      </w:r>
      <w:r>
        <w:instrText xml:space="preserve"> PAGEREF AUTO_2023_338 \h </w:instrText>
      </w:r>
      <w:r>
        <w:fldChar w:fldCharType="separate"/>
      </w:r>
      <w:r w:rsidR="00C73693">
        <w:rPr>
          <w:noProof/>
        </w:rPr>
        <w:t>2018</w:t>
      </w:r>
      <w:r>
        <w:fldChar w:fldCharType="end"/>
      </w:r>
    </w:p>
    <w:p w14:paraId="6408E28D" w14:textId="77777777" w:rsidR="007309D3" w:rsidRDefault="007309D3" w:rsidP="007309D3"/>
    <w:p w14:paraId="7190C281" w14:textId="4029BFE3" w:rsidR="007309D3" w:rsidRDefault="007309D3" w:rsidP="007309D3">
      <w:pPr>
        <w:pStyle w:val="EntradandiceAuto"/>
      </w:pPr>
      <w:r>
        <w:t>Sección Tercera. Auto 339/2023, de 3 de julio de 2023. Acepta una abstención en el recurso de amparo 5203-2022, promovido en proceso contencioso-administrativo.</w:t>
      </w:r>
      <w:r>
        <w:tab/>
      </w:r>
      <w:r>
        <w:tab/>
      </w:r>
      <w:r>
        <w:fldChar w:fldCharType="begin"/>
      </w:r>
      <w:r>
        <w:instrText xml:space="preserve"> PAGEREF AUTO_2023_339 \h </w:instrText>
      </w:r>
      <w:r>
        <w:fldChar w:fldCharType="separate"/>
      </w:r>
      <w:r w:rsidR="00C73693">
        <w:rPr>
          <w:noProof/>
        </w:rPr>
        <w:t>2031</w:t>
      </w:r>
      <w:r>
        <w:fldChar w:fldCharType="end"/>
      </w:r>
    </w:p>
    <w:p w14:paraId="6CC109D1" w14:textId="77777777" w:rsidR="007309D3" w:rsidRDefault="007309D3" w:rsidP="007309D3"/>
    <w:p w14:paraId="1B4EA9CE" w14:textId="2092E4E7" w:rsidR="007309D3" w:rsidRDefault="007309D3" w:rsidP="007309D3">
      <w:pPr>
        <w:pStyle w:val="EntradandiceAuto"/>
      </w:pPr>
      <w:r>
        <w:t>Sección Tercera. Auto 340/2023, de 3 de julio de 2023. Acepta una abstención en el recurso de amparo 5311-2022, promovido en proceso contencioso-administrativo</w:t>
      </w:r>
      <w:r>
        <w:tab/>
      </w:r>
      <w:r>
        <w:tab/>
      </w:r>
      <w:r>
        <w:fldChar w:fldCharType="begin"/>
      </w:r>
      <w:r>
        <w:instrText xml:space="preserve"> PAGEREF AUTO_2023_340 \h </w:instrText>
      </w:r>
      <w:r>
        <w:fldChar w:fldCharType="separate"/>
      </w:r>
      <w:r w:rsidR="00C73693">
        <w:rPr>
          <w:noProof/>
        </w:rPr>
        <w:t>2033</w:t>
      </w:r>
      <w:r>
        <w:fldChar w:fldCharType="end"/>
      </w:r>
    </w:p>
    <w:p w14:paraId="32F88B41" w14:textId="77777777" w:rsidR="007309D3" w:rsidRDefault="007309D3" w:rsidP="007309D3"/>
    <w:p w14:paraId="3D4C69AE" w14:textId="25A4A6B7" w:rsidR="007309D3" w:rsidRDefault="007309D3" w:rsidP="007309D3">
      <w:pPr>
        <w:pStyle w:val="EntradandiceAuto"/>
      </w:pPr>
      <w:r>
        <w:t>Sección Tercera. Auto 341/2023, de 3 de julio de 2023. Acepta una abstención en el recurso de amparo 5395-2022, promovido en proceso contencioso-administrativo.</w:t>
      </w:r>
      <w:r>
        <w:tab/>
      </w:r>
      <w:r>
        <w:tab/>
      </w:r>
      <w:r>
        <w:fldChar w:fldCharType="begin"/>
      </w:r>
      <w:r>
        <w:instrText xml:space="preserve"> PAGEREF AUTO_2023_341 \h </w:instrText>
      </w:r>
      <w:r>
        <w:fldChar w:fldCharType="separate"/>
      </w:r>
      <w:r w:rsidR="00C73693">
        <w:rPr>
          <w:noProof/>
        </w:rPr>
        <w:t>2035</w:t>
      </w:r>
      <w:r>
        <w:fldChar w:fldCharType="end"/>
      </w:r>
    </w:p>
    <w:p w14:paraId="1321593B" w14:textId="77777777" w:rsidR="007309D3" w:rsidRDefault="007309D3" w:rsidP="007309D3"/>
    <w:p w14:paraId="6DB6A1F7" w14:textId="673E1EA0" w:rsidR="007309D3" w:rsidRDefault="007309D3" w:rsidP="007309D3">
      <w:pPr>
        <w:pStyle w:val="EntradandiceAuto"/>
      </w:pPr>
      <w:r>
        <w:t>Sección Tercera. Auto 342/2023, de 3 de julio de 2023. Acepta una abstención en el recurso de amparo 5478-2022, promovido en proceso contencioso-administrativo.</w:t>
      </w:r>
      <w:r>
        <w:tab/>
      </w:r>
      <w:r>
        <w:tab/>
      </w:r>
      <w:r>
        <w:fldChar w:fldCharType="begin"/>
      </w:r>
      <w:r>
        <w:instrText xml:space="preserve"> PAGEREF AUTO_2023_342 \h </w:instrText>
      </w:r>
      <w:r>
        <w:fldChar w:fldCharType="separate"/>
      </w:r>
      <w:r w:rsidR="00C73693">
        <w:rPr>
          <w:noProof/>
        </w:rPr>
        <w:t>2037</w:t>
      </w:r>
      <w:r>
        <w:fldChar w:fldCharType="end"/>
      </w:r>
    </w:p>
    <w:p w14:paraId="58222645" w14:textId="77777777" w:rsidR="007309D3" w:rsidRDefault="007309D3" w:rsidP="007309D3"/>
    <w:p w14:paraId="0A3EB757" w14:textId="41DAB056" w:rsidR="007309D3" w:rsidRDefault="007309D3" w:rsidP="007309D3">
      <w:pPr>
        <w:pStyle w:val="EntradandiceAuto"/>
      </w:pPr>
      <w:r>
        <w:t>Sección Tercera. Auto 343/2023, de 3 de julio de 2023. Acepta una abstención en el recurso de amparo 5801-2022, promovido en proceso contencioso-administrativo.</w:t>
      </w:r>
      <w:r>
        <w:tab/>
      </w:r>
      <w:r>
        <w:tab/>
      </w:r>
      <w:r>
        <w:fldChar w:fldCharType="begin"/>
      </w:r>
      <w:r>
        <w:instrText xml:space="preserve"> PAGEREF AUTO_2023_343 \h </w:instrText>
      </w:r>
      <w:r>
        <w:fldChar w:fldCharType="separate"/>
      </w:r>
      <w:r w:rsidR="00C73693">
        <w:rPr>
          <w:noProof/>
        </w:rPr>
        <w:t>2039</w:t>
      </w:r>
      <w:r>
        <w:fldChar w:fldCharType="end"/>
      </w:r>
    </w:p>
    <w:p w14:paraId="281A7443" w14:textId="77777777" w:rsidR="007309D3" w:rsidRDefault="007309D3" w:rsidP="007309D3"/>
    <w:p w14:paraId="19A01315" w14:textId="3CB48078" w:rsidR="007309D3" w:rsidRDefault="007309D3" w:rsidP="007309D3">
      <w:pPr>
        <w:pStyle w:val="EntradandiceAuto"/>
      </w:pPr>
      <w:r>
        <w:t>Sección Tercera. Auto 344/2023, de 3 de julio de 2023. Acepta una abstención en el recurso de amparo 5841-2022, promovido en proceso contencioso-administrativo.</w:t>
      </w:r>
      <w:r>
        <w:tab/>
      </w:r>
      <w:r>
        <w:tab/>
      </w:r>
      <w:r>
        <w:fldChar w:fldCharType="begin"/>
      </w:r>
      <w:r>
        <w:instrText xml:space="preserve"> PAGEREF AUTO_2023_344 \h </w:instrText>
      </w:r>
      <w:r>
        <w:fldChar w:fldCharType="separate"/>
      </w:r>
      <w:r w:rsidR="00C73693">
        <w:rPr>
          <w:noProof/>
        </w:rPr>
        <w:t>2041</w:t>
      </w:r>
      <w:r>
        <w:fldChar w:fldCharType="end"/>
      </w:r>
    </w:p>
    <w:p w14:paraId="2A28D844" w14:textId="77777777" w:rsidR="007309D3" w:rsidRDefault="007309D3" w:rsidP="007309D3"/>
    <w:p w14:paraId="4CA4DDFA" w14:textId="71CEBB88" w:rsidR="007309D3" w:rsidRDefault="007309D3" w:rsidP="007309D3">
      <w:pPr>
        <w:pStyle w:val="EntradandiceAuto"/>
      </w:pPr>
      <w:r>
        <w:t>Sección Tercera. Auto 345/2023, de 3 de julio de 2023. Acepta una abstención en el recurso de amparo 5985-2022, promovido en proceso contencioso-administrativo.</w:t>
      </w:r>
      <w:r>
        <w:tab/>
      </w:r>
      <w:r>
        <w:tab/>
      </w:r>
      <w:r>
        <w:fldChar w:fldCharType="begin"/>
      </w:r>
      <w:r>
        <w:instrText xml:space="preserve"> PAGEREF AUTO_2023_345 \h </w:instrText>
      </w:r>
      <w:r>
        <w:fldChar w:fldCharType="separate"/>
      </w:r>
      <w:r w:rsidR="00C73693">
        <w:rPr>
          <w:noProof/>
        </w:rPr>
        <w:t>2043</w:t>
      </w:r>
      <w:r>
        <w:fldChar w:fldCharType="end"/>
      </w:r>
    </w:p>
    <w:p w14:paraId="5A980DD8" w14:textId="77777777" w:rsidR="007309D3" w:rsidRDefault="007309D3" w:rsidP="007309D3"/>
    <w:p w14:paraId="321EFCC7" w14:textId="6B0A426B" w:rsidR="007309D3" w:rsidRDefault="007309D3" w:rsidP="007309D3">
      <w:pPr>
        <w:pStyle w:val="EntradandiceAuto"/>
      </w:pPr>
      <w:r>
        <w:t>Sección Tercera. Auto 346/2023, de 3 de julio de 2023. Acepta una abstención en el recurso de amparo 6011-2022, promovido en proceso contencioso-administrativo.</w:t>
      </w:r>
      <w:r>
        <w:tab/>
      </w:r>
      <w:r>
        <w:tab/>
      </w:r>
      <w:r>
        <w:fldChar w:fldCharType="begin"/>
      </w:r>
      <w:r>
        <w:instrText xml:space="preserve"> PAGEREF AUTO_2023_346 \h </w:instrText>
      </w:r>
      <w:r>
        <w:fldChar w:fldCharType="separate"/>
      </w:r>
      <w:r w:rsidR="00C73693">
        <w:rPr>
          <w:noProof/>
        </w:rPr>
        <w:t>2045</w:t>
      </w:r>
      <w:r>
        <w:fldChar w:fldCharType="end"/>
      </w:r>
    </w:p>
    <w:p w14:paraId="58DC7B92" w14:textId="77777777" w:rsidR="007309D3" w:rsidRDefault="007309D3" w:rsidP="007309D3"/>
    <w:p w14:paraId="71A9DF78" w14:textId="1AF418B1" w:rsidR="007309D3" w:rsidRDefault="007309D3" w:rsidP="007309D3">
      <w:pPr>
        <w:pStyle w:val="EntradandiceAuto"/>
      </w:pPr>
      <w:r>
        <w:t>Sección Tercera. Auto 347/2023, de 3 de julio de 2023. Acepta una abstención en el recurso de amparo 6094-2022, promovido en proceso contencioso-administrativo.</w:t>
      </w:r>
      <w:r>
        <w:tab/>
      </w:r>
      <w:r>
        <w:tab/>
      </w:r>
      <w:r>
        <w:fldChar w:fldCharType="begin"/>
      </w:r>
      <w:r>
        <w:instrText xml:space="preserve"> PAGEREF AUTO_2023_347 \h </w:instrText>
      </w:r>
      <w:r>
        <w:fldChar w:fldCharType="separate"/>
      </w:r>
      <w:r w:rsidR="00C73693">
        <w:rPr>
          <w:noProof/>
        </w:rPr>
        <w:t>2047</w:t>
      </w:r>
      <w:r>
        <w:fldChar w:fldCharType="end"/>
      </w:r>
    </w:p>
    <w:p w14:paraId="34DA7FCF" w14:textId="77777777" w:rsidR="007309D3" w:rsidRDefault="007309D3" w:rsidP="007309D3"/>
    <w:p w14:paraId="45C31F12" w14:textId="1247D094" w:rsidR="007309D3" w:rsidRDefault="007309D3" w:rsidP="007309D3">
      <w:pPr>
        <w:pStyle w:val="EntradandiceAuto"/>
      </w:pPr>
      <w:r>
        <w:t>Sección Tercera. Auto 348/2023, de 3 de julio de 2023. Acepta una abstención en el recurso de amparo 6143-2022, promovido en proceso contencioso-administrativo.</w:t>
      </w:r>
      <w:r>
        <w:tab/>
      </w:r>
      <w:r>
        <w:tab/>
      </w:r>
      <w:r>
        <w:fldChar w:fldCharType="begin"/>
      </w:r>
      <w:r>
        <w:instrText xml:space="preserve"> PAGEREF AUTO_2023_348 \h </w:instrText>
      </w:r>
      <w:r>
        <w:fldChar w:fldCharType="separate"/>
      </w:r>
      <w:r w:rsidR="00C73693">
        <w:rPr>
          <w:noProof/>
        </w:rPr>
        <w:t>2049</w:t>
      </w:r>
      <w:r>
        <w:fldChar w:fldCharType="end"/>
      </w:r>
    </w:p>
    <w:p w14:paraId="7776A0FD" w14:textId="77777777" w:rsidR="007309D3" w:rsidRDefault="007309D3" w:rsidP="007309D3"/>
    <w:p w14:paraId="5781DC27" w14:textId="36EE5D19" w:rsidR="007309D3" w:rsidRDefault="007309D3" w:rsidP="007309D3">
      <w:pPr>
        <w:pStyle w:val="EntradandiceAuto"/>
      </w:pPr>
      <w:r>
        <w:t>Sección Tercera. Auto 349/2023, de 3 de julio de 2023. Acepta una abstención en el recurso de amparo 6154-2022, promovido en proceso contencioso-administrativo.</w:t>
      </w:r>
      <w:r>
        <w:tab/>
      </w:r>
      <w:r>
        <w:tab/>
      </w:r>
      <w:r>
        <w:fldChar w:fldCharType="begin"/>
      </w:r>
      <w:r>
        <w:instrText xml:space="preserve"> PAGEREF AUTO_2023_349 \h </w:instrText>
      </w:r>
      <w:r>
        <w:fldChar w:fldCharType="separate"/>
      </w:r>
      <w:r w:rsidR="00C73693">
        <w:rPr>
          <w:noProof/>
        </w:rPr>
        <w:t>2051</w:t>
      </w:r>
      <w:r>
        <w:fldChar w:fldCharType="end"/>
      </w:r>
    </w:p>
    <w:p w14:paraId="2071C60C" w14:textId="77777777" w:rsidR="007309D3" w:rsidRDefault="007309D3" w:rsidP="007309D3"/>
    <w:p w14:paraId="69DB4AF0" w14:textId="61E5B6F4" w:rsidR="007309D3" w:rsidRDefault="007309D3" w:rsidP="007309D3">
      <w:pPr>
        <w:pStyle w:val="EntradandiceAuto"/>
      </w:pPr>
      <w:r>
        <w:t>Sección Tercera. Auto 350/2023, de 3 de julio de 2023. Acepta una abstención en el recurso de amparo 6169-2022, promovido en proceso contencioso-administrativo.</w:t>
      </w:r>
      <w:r>
        <w:tab/>
      </w:r>
      <w:r>
        <w:tab/>
      </w:r>
      <w:r>
        <w:fldChar w:fldCharType="begin"/>
      </w:r>
      <w:r>
        <w:instrText xml:space="preserve"> PAGEREF AUTO_2023_350 \h </w:instrText>
      </w:r>
      <w:r>
        <w:fldChar w:fldCharType="separate"/>
      </w:r>
      <w:r w:rsidR="00C73693">
        <w:rPr>
          <w:noProof/>
        </w:rPr>
        <w:t>2053</w:t>
      </w:r>
      <w:r>
        <w:fldChar w:fldCharType="end"/>
      </w:r>
    </w:p>
    <w:p w14:paraId="59F3D1DE" w14:textId="77777777" w:rsidR="007309D3" w:rsidRDefault="007309D3" w:rsidP="007309D3"/>
    <w:p w14:paraId="139C6359" w14:textId="12715260" w:rsidR="007309D3" w:rsidRDefault="007309D3" w:rsidP="007309D3">
      <w:pPr>
        <w:pStyle w:val="EntradandiceAuto"/>
      </w:pPr>
      <w:r>
        <w:t>Sección Tercera. Auto 351/2023, de 3 de julio de 2023. Acepta una abstención en el recurso de amparo 6174-2022, promovido en proceso contencioso-administrativo.</w:t>
      </w:r>
      <w:r>
        <w:tab/>
      </w:r>
      <w:r>
        <w:tab/>
      </w:r>
      <w:r>
        <w:fldChar w:fldCharType="begin"/>
      </w:r>
      <w:r>
        <w:instrText xml:space="preserve"> PAGEREF AUTO_2023_351 \h </w:instrText>
      </w:r>
      <w:r>
        <w:fldChar w:fldCharType="separate"/>
      </w:r>
      <w:r w:rsidR="00C73693">
        <w:rPr>
          <w:noProof/>
        </w:rPr>
        <w:t>2055</w:t>
      </w:r>
      <w:r>
        <w:fldChar w:fldCharType="end"/>
      </w:r>
    </w:p>
    <w:p w14:paraId="050028E4" w14:textId="77777777" w:rsidR="007309D3" w:rsidRDefault="007309D3" w:rsidP="007309D3"/>
    <w:p w14:paraId="1F7F82CC" w14:textId="4A264079" w:rsidR="007309D3" w:rsidRDefault="007309D3" w:rsidP="007309D3">
      <w:pPr>
        <w:pStyle w:val="EntradandiceAuto"/>
      </w:pPr>
      <w:r>
        <w:t>Sección Tercera. Auto 352/2023, de 3 de julio de 2023. Acepta una abstención en el recurso de amparo 6203-2022, promovido en proceso contencioso-administrativo.</w:t>
      </w:r>
      <w:r>
        <w:tab/>
      </w:r>
      <w:r>
        <w:tab/>
      </w:r>
      <w:r>
        <w:fldChar w:fldCharType="begin"/>
      </w:r>
      <w:r>
        <w:instrText xml:space="preserve"> PAGEREF AUTO_2023_352 \h </w:instrText>
      </w:r>
      <w:r>
        <w:fldChar w:fldCharType="separate"/>
      </w:r>
      <w:r w:rsidR="00C73693">
        <w:rPr>
          <w:noProof/>
        </w:rPr>
        <w:t>2057</w:t>
      </w:r>
      <w:r>
        <w:fldChar w:fldCharType="end"/>
      </w:r>
    </w:p>
    <w:p w14:paraId="380BE1C9" w14:textId="77777777" w:rsidR="007309D3" w:rsidRDefault="007309D3" w:rsidP="007309D3"/>
    <w:p w14:paraId="365FB2C6" w14:textId="441F10F9" w:rsidR="007309D3" w:rsidRDefault="007309D3" w:rsidP="007309D3">
      <w:pPr>
        <w:pStyle w:val="EntradandiceAuto"/>
      </w:pPr>
      <w:r>
        <w:t>Pleno. Auto 353/2023, de 4 de julio de 2023. Estima el recurso de súplica interpuesto en relación con el ATC 236/2023, de 9 de mayo, que inadmitió las recusaciones planteadas en el recurso de amparo 1234-2022, promovido por don Josep Costa i Roselló en causa penal.</w:t>
      </w:r>
      <w:r>
        <w:tab/>
      </w:r>
      <w:r>
        <w:tab/>
      </w:r>
      <w:r>
        <w:fldChar w:fldCharType="begin"/>
      </w:r>
      <w:r>
        <w:instrText xml:space="preserve"> PAGEREF AUTO_2023_353 \h </w:instrText>
      </w:r>
      <w:r>
        <w:fldChar w:fldCharType="separate"/>
      </w:r>
      <w:r w:rsidR="00C73693">
        <w:rPr>
          <w:noProof/>
        </w:rPr>
        <w:t>2059</w:t>
      </w:r>
      <w:r>
        <w:fldChar w:fldCharType="end"/>
      </w:r>
    </w:p>
    <w:p w14:paraId="356D587F" w14:textId="77777777" w:rsidR="007309D3" w:rsidRDefault="007309D3" w:rsidP="007309D3"/>
    <w:p w14:paraId="03E9FC64" w14:textId="46CA296C" w:rsidR="007309D3" w:rsidRDefault="007309D3" w:rsidP="007309D3">
      <w:pPr>
        <w:pStyle w:val="EntradandiceAuto"/>
      </w:pPr>
      <w:r>
        <w:t>Pleno. Auto 354/2023, de 4 de julio de 2023. Inadmite a trámite el conflicto en defensa de la autonomía local 1631-2023, promovido por el Consell Insular de Formentera en relación con varios preceptos de la Ley del Parlamento de las Illes Balears 6/2022, de 5 de agosto, de archivos y gestión documental de las Illes Balears.</w:t>
      </w:r>
      <w:r>
        <w:tab/>
      </w:r>
      <w:r>
        <w:tab/>
      </w:r>
      <w:r>
        <w:fldChar w:fldCharType="begin"/>
      </w:r>
      <w:r>
        <w:instrText xml:space="preserve"> PAGEREF AUTO_2023_354 \h </w:instrText>
      </w:r>
      <w:r>
        <w:fldChar w:fldCharType="separate"/>
      </w:r>
      <w:r w:rsidR="00C73693">
        <w:rPr>
          <w:noProof/>
        </w:rPr>
        <w:t>2070</w:t>
      </w:r>
      <w:r>
        <w:fldChar w:fldCharType="end"/>
      </w:r>
    </w:p>
    <w:p w14:paraId="01C5E53A" w14:textId="77777777" w:rsidR="007309D3" w:rsidRDefault="007309D3" w:rsidP="007309D3"/>
    <w:p w14:paraId="61F3B243" w14:textId="31F6894C" w:rsidR="007309D3" w:rsidRDefault="007309D3" w:rsidP="007309D3">
      <w:pPr>
        <w:pStyle w:val="EntradandiceAuto"/>
      </w:pPr>
      <w:r>
        <w:t>Pleno. Auto 355/2023, de 4 de julio de 2023. Acepta una abstención en la cuestión de inconstitucionalidad 2577-2023, planteada por la Sala de lo Contencioso-Administrativo de la Audiencia Nacional, en relación con los apartados primero y segundo del artículo 3.1 del Real Decreto-ley 3/2016, de 2 de diciembre, por el que se adoptan medidas en el ámbito tributario dirigidas a la consolidación de las finanzas públicas y otras medidas urgentes en materia social.</w:t>
      </w:r>
      <w:r>
        <w:tab/>
      </w:r>
      <w:r>
        <w:tab/>
      </w:r>
      <w:r>
        <w:fldChar w:fldCharType="begin"/>
      </w:r>
      <w:r>
        <w:instrText xml:space="preserve"> PAGEREF AUTO_2023_355 \h </w:instrText>
      </w:r>
      <w:r>
        <w:fldChar w:fldCharType="separate"/>
      </w:r>
      <w:r w:rsidR="00C73693">
        <w:rPr>
          <w:noProof/>
        </w:rPr>
        <w:t>2079</w:t>
      </w:r>
      <w:r>
        <w:fldChar w:fldCharType="end"/>
      </w:r>
    </w:p>
    <w:p w14:paraId="7F9D3735" w14:textId="77777777" w:rsidR="007309D3" w:rsidRDefault="007309D3" w:rsidP="007309D3"/>
    <w:p w14:paraId="49BAAA4D" w14:textId="7EB11E77" w:rsidR="007309D3" w:rsidRDefault="007309D3" w:rsidP="007309D3">
      <w:pPr>
        <w:pStyle w:val="EntradandiceAuto"/>
      </w:pPr>
      <w:r>
        <w:t>Sección Tercera. Auto 356/2023, de 17 de julio de 2023. Acepta una abstención en el recurso de amparo 4670-2022, promovido en proceso contencioso-administrativo.</w:t>
      </w:r>
      <w:r>
        <w:tab/>
      </w:r>
      <w:r>
        <w:tab/>
      </w:r>
      <w:r>
        <w:fldChar w:fldCharType="begin"/>
      </w:r>
      <w:r>
        <w:instrText xml:space="preserve"> PAGEREF AUTO_2023_356 \h </w:instrText>
      </w:r>
      <w:r>
        <w:fldChar w:fldCharType="separate"/>
      </w:r>
      <w:r w:rsidR="00C73693">
        <w:rPr>
          <w:noProof/>
        </w:rPr>
        <w:t>2081</w:t>
      </w:r>
      <w:r>
        <w:fldChar w:fldCharType="end"/>
      </w:r>
    </w:p>
    <w:p w14:paraId="5C0D52C5" w14:textId="77777777" w:rsidR="007309D3" w:rsidRDefault="007309D3" w:rsidP="007309D3"/>
    <w:p w14:paraId="2FF7338C" w14:textId="27C65BD5" w:rsidR="007309D3" w:rsidRDefault="007309D3" w:rsidP="007309D3">
      <w:pPr>
        <w:pStyle w:val="EntradandiceAuto"/>
      </w:pPr>
      <w:r>
        <w:t>Sección Tercera. Auto 357/2023, de 17 de julio de 2023. Acepta una abstención en el recurso de amparo 4682-2022, promovido en proceso contencioso-administrativo.</w:t>
      </w:r>
      <w:r>
        <w:tab/>
      </w:r>
      <w:r>
        <w:tab/>
      </w:r>
      <w:r>
        <w:fldChar w:fldCharType="begin"/>
      </w:r>
      <w:r>
        <w:instrText xml:space="preserve"> PAGEREF AUTO_2023_357 \h </w:instrText>
      </w:r>
      <w:r>
        <w:fldChar w:fldCharType="separate"/>
      </w:r>
      <w:r w:rsidR="00C73693">
        <w:rPr>
          <w:noProof/>
        </w:rPr>
        <w:t>2083</w:t>
      </w:r>
      <w:r>
        <w:fldChar w:fldCharType="end"/>
      </w:r>
    </w:p>
    <w:p w14:paraId="3294F0B1" w14:textId="77777777" w:rsidR="007309D3" w:rsidRDefault="007309D3" w:rsidP="007309D3"/>
    <w:p w14:paraId="63F26D48" w14:textId="2BA971E3" w:rsidR="007309D3" w:rsidRDefault="007309D3" w:rsidP="007309D3">
      <w:pPr>
        <w:pStyle w:val="EntradandiceAuto"/>
      </w:pPr>
      <w:r>
        <w:t>Sección Tercera. Auto 358/2023, de 17 de julio de 2023. Acepta una abstención en el recurso de amparo 4718-2022, promovido en proceso contencioso-administrativo.</w:t>
      </w:r>
      <w:r>
        <w:tab/>
      </w:r>
      <w:r>
        <w:tab/>
      </w:r>
      <w:r>
        <w:fldChar w:fldCharType="begin"/>
      </w:r>
      <w:r>
        <w:instrText xml:space="preserve"> PAGEREF AUTO_2023_358 \h </w:instrText>
      </w:r>
      <w:r>
        <w:fldChar w:fldCharType="separate"/>
      </w:r>
      <w:r w:rsidR="00C73693">
        <w:rPr>
          <w:noProof/>
        </w:rPr>
        <w:t>2085</w:t>
      </w:r>
      <w:r>
        <w:fldChar w:fldCharType="end"/>
      </w:r>
    </w:p>
    <w:p w14:paraId="4BFD42DD" w14:textId="77777777" w:rsidR="007309D3" w:rsidRDefault="007309D3" w:rsidP="007309D3"/>
    <w:p w14:paraId="4A72DC17" w14:textId="1C1488D8" w:rsidR="007309D3" w:rsidRDefault="007309D3" w:rsidP="007309D3">
      <w:pPr>
        <w:pStyle w:val="EntradandiceAuto"/>
      </w:pPr>
      <w:r>
        <w:t>Sección Tercera. Auto 359/2023, de 17 de julio de 2023. Acepta una abstención en el recurso de amparo 4754-2022, promovido en proceso contencioso-administrativo.</w:t>
      </w:r>
      <w:r>
        <w:tab/>
      </w:r>
      <w:r>
        <w:tab/>
      </w:r>
      <w:r>
        <w:fldChar w:fldCharType="begin"/>
      </w:r>
      <w:r>
        <w:instrText xml:space="preserve"> PAGEREF AUTO_2023_359 \h </w:instrText>
      </w:r>
      <w:r>
        <w:fldChar w:fldCharType="separate"/>
      </w:r>
      <w:r w:rsidR="00C73693">
        <w:rPr>
          <w:noProof/>
        </w:rPr>
        <w:t>2087</w:t>
      </w:r>
      <w:r>
        <w:fldChar w:fldCharType="end"/>
      </w:r>
    </w:p>
    <w:p w14:paraId="68800025" w14:textId="77777777" w:rsidR="007309D3" w:rsidRDefault="007309D3" w:rsidP="007309D3"/>
    <w:p w14:paraId="7DBA8289" w14:textId="580A45AC" w:rsidR="007309D3" w:rsidRDefault="007309D3" w:rsidP="007309D3">
      <w:pPr>
        <w:pStyle w:val="EntradandiceAuto"/>
      </w:pPr>
      <w:r>
        <w:t>Sección Tercera. Auto 360/2023, de 17 de julio de 2023. Acepta una abstención en el recurso de amparo 4800-2022, promovido en proceso contencioso-administrativo.</w:t>
      </w:r>
      <w:r>
        <w:tab/>
      </w:r>
      <w:r>
        <w:tab/>
      </w:r>
      <w:r>
        <w:fldChar w:fldCharType="begin"/>
      </w:r>
      <w:r>
        <w:instrText xml:space="preserve"> PAGEREF AUTO_2023_360 \h </w:instrText>
      </w:r>
      <w:r>
        <w:fldChar w:fldCharType="separate"/>
      </w:r>
      <w:r w:rsidR="00C73693">
        <w:rPr>
          <w:noProof/>
        </w:rPr>
        <w:t>2089</w:t>
      </w:r>
      <w:r>
        <w:fldChar w:fldCharType="end"/>
      </w:r>
    </w:p>
    <w:p w14:paraId="41D51710" w14:textId="77777777" w:rsidR="007309D3" w:rsidRDefault="007309D3" w:rsidP="007309D3"/>
    <w:p w14:paraId="000F7BB0" w14:textId="63589508" w:rsidR="007309D3" w:rsidRDefault="007309D3" w:rsidP="007309D3">
      <w:pPr>
        <w:pStyle w:val="EntradandiceAuto"/>
      </w:pPr>
      <w:r>
        <w:t>Sección Tercera. Auto 361/2023, de 17 de julio de 2023. Acepta una abstención en el recurso de amparo 4957-2022, promovido en proceso contencioso-administrativo.</w:t>
      </w:r>
      <w:r>
        <w:tab/>
      </w:r>
      <w:r>
        <w:tab/>
      </w:r>
      <w:r>
        <w:fldChar w:fldCharType="begin"/>
      </w:r>
      <w:r>
        <w:instrText xml:space="preserve"> PAGEREF AUTO_2023_361 \h </w:instrText>
      </w:r>
      <w:r>
        <w:fldChar w:fldCharType="separate"/>
      </w:r>
      <w:r w:rsidR="00C73693">
        <w:rPr>
          <w:noProof/>
        </w:rPr>
        <w:t>2091</w:t>
      </w:r>
      <w:r>
        <w:fldChar w:fldCharType="end"/>
      </w:r>
    </w:p>
    <w:p w14:paraId="60BEBDE8" w14:textId="77777777" w:rsidR="007309D3" w:rsidRDefault="007309D3" w:rsidP="007309D3"/>
    <w:p w14:paraId="20C93C39" w14:textId="176E807E" w:rsidR="007309D3" w:rsidRDefault="007309D3" w:rsidP="007309D3">
      <w:pPr>
        <w:pStyle w:val="EntradandiceAuto"/>
      </w:pPr>
      <w:r>
        <w:t>Sección Tercera. Auto 362/2023, de 17 de julio de 2023. Acepta una abstención en el recurso de amparo 5106-2022, promovido en proceso contencioso-administrativo.</w:t>
      </w:r>
      <w:r>
        <w:tab/>
      </w:r>
      <w:r>
        <w:tab/>
      </w:r>
      <w:r>
        <w:fldChar w:fldCharType="begin"/>
      </w:r>
      <w:r>
        <w:instrText xml:space="preserve"> PAGEREF AUTO_2023_362 \h </w:instrText>
      </w:r>
      <w:r>
        <w:fldChar w:fldCharType="separate"/>
      </w:r>
      <w:r w:rsidR="00C73693">
        <w:rPr>
          <w:noProof/>
        </w:rPr>
        <w:t>2093</w:t>
      </w:r>
      <w:r>
        <w:fldChar w:fldCharType="end"/>
      </w:r>
    </w:p>
    <w:p w14:paraId="0A9830BD" w14:textId="77777777" w:rsidR="007309D3" w:rsidRDefault="007309D3" w:rsidP="007309D3"/>
    <w:p w14:paraId="41D55064" w14:textId="20298756" w:rsidR="007309D3" w:rsidRDefault="007309D3" w:rsidP="007309D3">
      <w:pPr>
        <w:pStyle w:val="EntradandiceAuto"/>
      </w:pPr>
      <w:r>
        <w:t>Sección Tercera. Auto 363/2023, de 17 de julio de 2023. Acepta una abstención en el recurso de amparo 5260-2022, promovido en proceso contencioso-administrativo.</w:t>
      </w:r>
      <w:r>
        <w:tab/>
      </w:r>
      <w:r>
        <w:tab/>
      </w:r>
      <w:r>
        <w:fldChar w:fldCharType="begin"/>
      </w:r>
      <w:r>
        <w:instrText xml:space="preserve"> PAGEREF AUTO_2023_363 \h </w:instrText>
      </w:r>
      <w:r>
        <w:fldChar w:fldCharType="separate"/>
      </w:r>
      <w:r w:rsidR="00C73693">
        <w:rPr>
          <w:noProof/>
        </w:rPr>
        <w:t>2095</w:t>
      </w:r>
      <w:r>
        <w:fldChar w:fldCharType="end"/>
      </w:r>
    </w:p>
    <w:p w14:paraId="4D56955A" w14:textId="77777777" w:rsidR="007309D3" w:rsidRDefault="007309D3" w:rsidP="007309D3"/>
    <w:p w14:paraId="6D9FF51E" w14:textId="66D1E9E7" w:rsidR="007309D3" w:rsidRDefault="007309D3" w:rsidP="007309D3">
      <w:pPr>
        <w:pStyle w:val="EntradandiceAuto"/>
      </w:pPr>
      <w:r>
        <w:t>Sección Tercera. Auto 364/2023, de 17 de julio de 2023. Acepta una abstención en el recurso de amparo 5287-2022, promovido en proceso contencioso-administrativo.</w:t>
      </w:r>
      <w:r>
        <w:tab/>
      </w:r>
      <w:r>
        <w:tab/>
      </w:r>
      <w:r>
        <w:fldChar w:fldCharType="begin"/>
      </w:r>
      <w:r>
        <w:instrText xml:space="preserve"> PAGEREF AUTO_2023_364 \h </w:instrText>
      </w:r>
      <w:r>
        <w:fldChar w:fldCharType="separate"/>
      </w:r>
      <w:r w:rsidR="00C73693">
        <w:rPr>
          <w:noProof/>
        </w:rPr>
        <w:t>2097</w:t>
      </w:r>
      <w:r>
        <w:fldChar w:fldCharType="end"/>
      </w:r>
    </w:p>
    <w:p w14:paraId="407D4FA6" w14:textId="77777777" w:rsidR="007309D3" w:rsidRDefault="007309D3" w:rsidP="007309D3"/>
    <w:p w14:paraId="3326F5E7" w14:textId="167BDB63" w:rsidR="007309D3" w:rsidRDefault="007309D3" w:rsidP="007309D3">
      <w:pPr>
        <w:pStyle w:val="EntradandiceAuto"/>
      </w:pPr>
      <w:r>
        <w:t>Sección Tercera. Auto 365/2023, de 17 de julio de 2023. Acepta una abstención en el recurso de amparo 5356-2022, promovido en proceso contencioso-administrativo.</w:t>
      </w:r>
      <w:r>
        <w:tab/>
      </w:r>
      <w:r>
        <w:tab/>
      </w:r>
      <w:r>
        <w:fldChar w:fldCharType="begin"/>
      </w:r>
      <w:r>
        <w:instrText xml:space="preserve"> PAGEREF AUTO_2023_365 \h </w:instrText>
      </w:r>
      <w:r>
        <w:fldChar w:fldCharType="separate"/>
      </w:r>
      <w:r w:rsidR="00C73693">
        <w:rPr>
          <w:noProof/>
        </w:rPr>
        <w:t>2099</w:t>
      </w:r>
      <w:r>
        <w:fldChar w:fldCharType="end"/>
      </w:r>
    </w:p>
    <w:p w14:paraId="3A4ED1BC" w14:textId="77777777" w:rsidR="007309D3" w:rsidRDefault="007309D3" w:rsidP="007309D3"/>
    <w:p w14:paraId="589A3766" w14:textId="084E2E1F" w:rsidR="007309D3" w:rsidRDefault="007309D3" w:rsidP="007309D3">
      <w:pPr>
        <w:pStyle w:val="EntradandiceAuto"/>
      </w:pPr>
      <w:r>
        <w:t>Sección Tercera. Auto 366/2023, de 17 de julio de 2023. Acepta una abstención en el recurso de amparo 5358-2022, promovido en proceso contencioso-administrativo.</w:t>
      </w:r>
      <w:r>
        <w:tab/>
      </w:r>
      <w:r>
        <w:tab/>
      </w:r>
      <w:r>
        <w:fldChar w:fldCharType="begin"/>
      </w:r>
      <w:r>
        <w:instrText xml:space="preserve"> PAGEREF AUTO_2023_366 \h </w:instrText>
      </w:r>
      <w:r>
        <w:fldChar w:fldCharType="separate"/>
      </w:r>
      <w:r w:rsidR="00C73693">
        <w:rPr>
          <w:noProof/>
        </w:rPr>
        <w:t>2101</w:t>
      </w:r>
      <w:r>
        <w:fldChar w:fldCharType="end"/>
      </w:r>
    </w:p>
    <w:p w14:paraId="4A09152C" w14:textId="77777777" w:rsidR="007309D3" w:rsidRDefault="007309D3" w:rsidP="007309D3"/>
    <w:p w14:paraId="639E2B71" w14:textId="13E6AE70" w:rsidR="007309D3" w:rsidRDefault="007309D3" w:rsidP="007309D3">
      <w:pPr>
        <w:pStyle w:val="EntradandiceAuto"/>
      </w:pPr>
      <w:r>
        <w:t>Sección Tercera. Auto 367/2023, de 17 de julio de 2023. Acepta una abstención en el recurso de amparo 5588-2022, promovido en proceso contencioso-administrativo.</w:t>
      </w:r>
      <w:r>
        <w:tab/>
      </w:r>
      <w:r>
        <w:tab/>
      </w:r>
      <w:r>
        <w:fldChar w:fldCharType="begin"/>
      </w:r>
      <w:r>
        <w:instrText xml:space="preserve"> PAGEREF AUTO_2023_367 \h </w:instrText>
      </w:r>
      <w:r>
        <w:fldChar w:fldCharType="separate"/>
      </w:r>
      <w:r w:rsidR="00C73693">
        <w:rPr>
          <w:noProof/>
        </w:rPr>
        <w:t>2103</w:t>
      </w:r>
      <w:r>
        <w:fldChar w:fldCharType="end"/>
      </w:r>
    </w:p>
    <w:p w14:paraId="2F633AE1" w14:textId="77777777" w:rsidR="007309D3" w:rsidRDefault="007309D3" w:rsidP="007309D3"/>
    <w:p w14:paraId="0116846F" w14:textId="1660FFF3" w:rsidR="007309D3" w:rsidRDefault="007309D3" w:rsidP="007309D3">
      <w:pPr>
        <w:pStyle w:val="EntradandiceAuto"/>
      </w:pPr>
      <w:r>
        <w:t>Sección Tercera. Auto 368/2023, de 17 de julio de 2023. Acepta una abstención en el recurso de amparo 5634-2022, promovido en proceso contencioso-administrativo.</w:t>
      </w:r>
      <w:r>
        <w:tab/>
      </w:r>
      <w:r>
        <w:tab/>
      </w:r>
      <w:r>
        <w:fldChar w:fldCharType="begin"/>
      </w:r>
      <w:r>
        <w:instrText xml:space="preserve"> PAGEREF AUTO_2023_368 \h </w:instrText>
      </w:r>
      <w:r>
        <w:fldChar w:fldCharType="separate"/>
      </w:r>
      <w:r w:rsidR="00C73693">
        <w:rPr>
          <w:noProof/>
        </w:rPr>
        <w:t>2105</w:t>
      </w:r>
      <w:r>
        <w:fldChar w:fldCharType="end"/>
      </w:r>
    </w:p>
    <w:p w14:paraId="660B8AB8" w14:textId="77777777" w:rsidR="007309D3" w:rsidRDefault="007309D3" w:rsidP="007309D3"/>
    <w:p w14:paraId="5E47D81B" w14:textId="36CE715F" w:rsidR="007309D3" w:rsidRDefault="007309D3" w:rsidP="007309D3">
      <w:pPr>
        <w:pStyle w:val="EntradandiceAuto"/>
      </w:pPr>
      <w:r>
        <w:t>Sección Tercera. Auto 369/2023, de 17 de julio de 2023. Acepta una abstención en el recurso de amparo 5999-2022, promovido en proceso contencioso-administrativo.</w:t>
      </w:r>
      <w:r>
        <w:tab/>
      </w:r>
      <w:r>
        <w:tab/>
      </w:r>
      <w:r>
        <w:fldChar w:fldCharType="begin"/>
      </w:r>
      <w:r>
        <w:instrText xml:space="preserve"> PAGEREF AUTO_2023_369 \h </w:instrText>
      </w:r>
      <w:r>
        <w:fldChar w:fldCharType="separate"/>
      </w:r>
      <w:r w:rsidR="00C73693">
        <w:rPr>
          <w:noProof/>
        </w:rPr>
        <w:t>2107</w:t>
      </w:r>
      <w:r>
        <w:fldChar w:fldCharType="end"/>
      </w:r>
    </w:p>
    <w:p w14:paraId="6A78E087" w14:textId="77777777" w:rsidR="007309D3" w:rsidRDefault="007309D3" w:rsidP="007309D3"/>
    <w:p w14:paraId="411C808F" w14:textId="37DBDAD6" w:rsidR="007309D3" w:rsidRDefault="007309D3" w:rsidP="007309D3">
      <w:pPr>
        <w:pStyle w:val="EntradandiceAuto"/>
      </w:pPr>
      <w:r>
        <w:t>Sala Primera. Auto 370/2023, de 17 de julio de 2023. Deniega la suspensión y ordena la anotación preventiva de la demanda en el recurso de amparo 6255-2022, promovido por Penrei Inversiones, S.L., en pleito civil.</w:t>
      </w:r>
      <w:r>
        <w:tab/>
      </w:r>
      <w:r>
        <w:tab/>
      </w:r>
      <w:r>
        <w:fldChar w:fldCharType="begin"/>
      </w:r>
      <w:r>
        <w:instrText xml:space="preserve"> PAGEREF AUTO_2023_370 \h </w:instrText>
      </w:r>
      <w:r>
        <w:fldChar w:fldCharType="separate"/>
      </w:r>
      <w:r w:rsidR="00C73693">
        <w:rPr>
          <w:noProof/>
        </w:rPr>
        <w:t>2109</w:t>
      </w:r>
      <w:r>
        <w:fldChar w:fldCharType="end"/>
      </w:r>
    </w:p>
    <w:p w14:paraId="16573417" w14:textId="77777777" w:rsidR="007309D3" w:rsidRDefault="007309D3" w:rsidP="007309D3"/>
    <w:p w14:paraId="4FB49B8A" w14:textId="75DE3AB2" w:rsidR="007309D3" w:rsidRDefault="007309D3" w:rsidP="007309D3">
      <w:pPr>
        <w:pStyle w:val="EntradandiceAuto"/>
      </w:pPr>
      <w:r>
        <w:t>Sección Tercera. Auto 371/2023, de 17 de julio de 2023. Acepta una abstención en el recurso de amparo 6737-2022, promovido en proceso contencioso-administrativo.</w:t>
      </w:r>
      <w:r>
        <w:tab/>
      </w:r>
      <w:r>
        <w:tab/>
      </w:r>
      <w:r>
        <w:fldChar w:fldCharType="begin"/>
      </w:r>
      <w:r>
        <w:instrText xml:space="preserve"> PAGEREF AUTO_2023_371 \h </w:instrText>
      </w:r>
      <w:r>
        <w:fldChar w:fldCharType="separate"/>
      </w:r>
      <w:r w:rsidR="00C73693">
        <w:rPr>
          <w:noProof/>
        </w:rPr>
        <w:t>2114</w:t>
      </w:r>
      <w:r>
        <w:fldChar w:fldCharType="end"/>
      </w:r>
    </w:p>
    <w:p w14:paraId="3ABD6DD5" w14:textId="77777777" w:rsidR="007309D3" w:rsidRDefault="007309D3" w:rsidP="007309D3"/>
    <w:p w14:paraId="6744B63E" w14:textId="3DAF64EE" w:rsidR="007309D3" w:rsidRDefault="007309D3" w:rsidP="007309D3">
      <w:pPr>
        <w:pStyle w:val="EntradandiceAuto"/>
      </w:pPr>
      <w:r>
        <w:t>Sección Tercera. Auto 372/2023, de 17 de julio de 2023. Acepta una abstención en el recurso de amparo 7159-2022, promovido en proceso contencioso-administrativo.</w:t>
      </w:r>
      <w:r>
        <w:tab/>
      </w:r>
      <w:r>
        <w:tab/>
      </w:r>
      <w:r>
        <w:fldChar w:fldCharType="begin"/>
      </w:r>
      <w:r>
        <w:instrText xml:space="preserve"> PAGEREF AUTO_2023_372 \h </w:instrText>
      </w:r>
      <w:r>
        <w:fldChar w:fldCharType="separate"/>
      </w:r>
      <w:r w:rsidR="00C73693">
        <w:rPr>
          <w:noProof/>
        </w:rPr>
        <w:t>2116</w:t>
      </w:r>
      <w:r>
        <w:fldChar w:fldCharType="end"/>
      </w:r>
    </w:p>
    <w:p w14:paraId="48B50FF3" w14:textId="77777777" w:rsidR="007309D3" w:rsidRDefault="007309D3" w:rsidP="007309D3"/>
    <w:p w14:paraId="249AFC62" w14:textId="38582272" w:rsidR="007309D3" w:rsidRDefault="007309D3" w:rsidP="007309D3">
      <w:pPr>
        <w:pStyle w:val="EntradandiceAuto"/>
      </w:pPr>
      <w:r>
        <w:t>Sección Tercera. Auto 373/2023, de 17 de julio de 2023. Acepta una abstención en el recurso de amparo 7202-2022, promovido en proceso contencioso-administrativo.</w:t>
      </w:r>
      <w:r>
        <w:tab/>
      </w:r>
      <w:r>
        <w:tab/>
      </w:r>
      <w:r>
        <w:fldChar w:fldCharType="begin"/>
      </w:r>
      <w:r>
        <w:instrText xml:space="preserve"> PAGEREF AUTO_2023_373 \h </w:instrText>
      </w:r>
      <w:r>
        <w:fldChar w:fldCharType="separate"/>
      </w:r>
      <w:r w:rsidR="00C73693">
        <w:rPr>
          <w:noProof/>
        </w:rPr>
        <w:t>2118</w:t>
      </w:r>
      <w:r>
        <w:fldChar w:fldCharType="end"/>
      </w:r>
    </w:p>
    <w:p w14:paraId="54A70102" w14:textId="77777777" w:rsidR="007309D3" w:rsidRDefault="007309D3" w:rsidP="007309D3"/>
    <w:p w14:paraId="242B54E9" w14:textId="11054813" w:rsidR="007309D3" w:rsidRDefault="007309D3" w:rsidP="007309D3">
      <w:pPr>
        <w:pStyle w:val="EntradandiceAuto"/>
      </w:pPr>
      <w:r>
        <w:t>Pleno. Auto 374/2023, de 18 de julio de 2023. Acepta una abstención en el recurso de amparo 3616-2022, promovido en procedimiento parlamentario.</w:t>
      </w:r>
      <w:r>
        <w:tab/>
      </w:r>
      <w:r>
        <w:tab/>
      </w:r>
      <w:r>
        <w:fldChar w:fldCharType="begin"/>
      </w:r>
      <w:r>
        <w:instrText xml:space="preserve"> PAGEREF AUTO_2023_374 \h </w:instrText>
      </w:r>
      <w:r>
        <w:fldChar w:fldCharType="separate"/>
      </w:r>
      <w:r w:rsidR="00C73693">
        <w:rPr>
          <w:noProof/>
        </w:rPr>
        <w:t>2120</w:t>
      </w:r>
      <w:r>
        <w:fldChar w:fldCharType="end"/>
      </w:r>
    </w:p>
    <w:p w14:paraId="2F555687" w14:textId="77777777" w:rsidR="007309D3" w:rsidRDefault="007309D3" w:rsidP="007309D3"/>
    <w:p w14:paraId="3E761EA6" w14:textId="3C4682D9" w:rsidR="007309D3" w:rsidRDefault="007309D3" w:rsidP="007309D3">
      <w:pPr>
        <w:pStyle w:val="EntradandiceAuto"/>
      </w:pPr>
      <w:r>
        <w:t>Sección Cuarta. Auto 375/2023, de 18 de julio de 2023. Estima el recurso de súplica interpuesto por el Ministerio Fiscal en relación con la providencia de inadmisión, e inadmite a trámite el recurso de amparo 3873-2022, promovido por don Simone Perrella en causa penal.</w:t>
      </w:r>
      <w:r>
        <w:tab/>
      </w:r>
      <w:r>
        <w:tab/>
      </w:r>
      <w:r>
        <w:fldChar w:fldCharType="begin"/>
      </w:r>
      <w:r>
        <w:instrText xml:space="preserve"> PAGEREF AUTO_2023_375 \h </w:instrText>
      </w:r>
      <w:r>
        <w:fldChar w:fldCharType="separate"/>
      </w:r>
      <w:r w:rsidR="00C73693">
        <w:rPr>
          <w:noProof/>
        </w:rPr>
        <w:t>2122</w:t>
      </w:r>
      <w:r>
        <w:fldChar w:fldCharType="end"/>
      </w:r>
    </w:p>
    <w:p w14:paraId="6911AC53" w14:textId="77777777" w:rsidR="007309D3" w:rsidRDefault="007309D3" w:rsidP="007309D3"/>
    <w:p w14:paraId="1F6F2B15" w14:textId="1411857F" w:rsidR="007309D3" w:rsidRDefault="007309D3" w:rsidP="007309D3">
      <w:pPr>
        <w:pStyle w:val="EntradandiceAuto"/>
      </w:pPr>
      <w:r>
        <w:t>Pleno. Auto 376/2023, de 18 de julio de 2023. Inadmite a trámite la cuestión de inconstitucionalidad 1577-2023, planteada por el Juzgado de lo Contencioso-Administrativo núm. 33 de Madrid, respecto del art. 104.5 del texto refundido de la Ley reguladora de las haciendas locales, aprobado por el Real Decreto Legislativo 2/2004, de 5 de marzo, en la redacción dada por el Real Decreto-ley 26/2021, de 8 de noviembre.</w:t>
      </w:r>
      <w:r>
        <w:tab/>
      </w:r>
      <w:r>
        <w:tab/>
      </w:r>
      <w:r>
        <w:fldChar w:fldCharType="begin"/>
      </w:r>
      <w:r>
        <w:instrText xml:space="preserve"> PAGEREF AUTO_2023_376 \h </w:instrText>
      </w:r>
      <w:r>
        <w:fldChar w:fldCharType="separate"/>
      </w:r>
      <w:r w:rsidR="00C73693">
        <w:rPr>
          <w:noProof/>
        </w:rPr>
        <w:t>2128</w:t>
      </w:r>
      <w:r>
        <w:fldChar w:fldCharType="end"/>
      </w:r>
    </w:p>
    <w:p w14:paraId="6EFAA6A7" w14:textId="77777777" w:rsidR="007309D3" w:rsidRDefault="007309D3" w:rsidP="007309D3"/>
    <w:p w14:paraId="17D9503A" w14:textId="1B7BC560" w:rsidR="007309D3" w:rsidRDefault="007309D3" w:rsidP="007309D3">
      <w:pPr>
        <w:pStyle w:val="EntradandiceAuto"/>
      </w:pPr>
      <w:r>
        <w:t>Pleno. Auto 377/2023, de 18 de julio de 2023. Acepta una abstención en la cuestión de inconstitucionalidad 2800-2023, planteada por la Sala de lo Contencioso-Administrativo de la Audiencia Nacional, en relación con los apartados primero y segundo del artículo 3.1 del Real Decreto-ley 3/2016, de 2 de diciembre, por el que se adoptan medidas en el ámbito tributario dirigidas a la consolidación de las finanzas públicas y otras medidas urgentes en materia social.</w:t>
      </w:r>
      <w:r>
        <w:tab/>
      </w:r>
      <w:r>
        <w:tab/>
      </w:r>
      <w:r>
        <w:fldChar w:fldCharType="begin"/>
      </w:r>
      <w:r>
        <w:instrText xml:space="preserve"> PAGEREF AUTO_2023_377 \h </w:instrText>
      </w:r>
      <w:r>
        <w:fldChar w:fldCharType="separate"/>
      </w:r>
      <w:r w:rsidR="00C73693">
        <w:rPr>
          <w:noProof/>
        </w:rPr>
        <w:t>2142</w:t>
      </w:r>
      <w:r>
        <w:fldChar w:fldCharType="end"/>
      </w:r>
    </w:p>
    <w:p w14:paraId="027FA204" w14:textId="77777777" w:rsidR="007309D3" w:rsidRDefault="007309D3" w:rsidP="007309D3"/>
    <w:p w14:paraId="5087C3E9" w14:textId="6CB0CCE0" w:rsidR="007309D3" w:rsidRDefault="007309D3" w:rsidP="007309D3">
      <w:pPr>
        <w:pStyle w:val="EntradandiceAuto"/>
      </w:pPr>
      <w:r>
        <w:t>Sección de Vacaciones. Auto 378/2023, de 9 de agosto de 2023. Inadmite a trámite el recurso de amparo 5439-2023, promovido por don Carles Puigdemont i Casamajó y don Antoni Comín i Oliveres en causa penal. Voto particular.</w:t>
      </w:r>
      <w:r>
        <w:tab/>
      </w:r>
      <w:r>
        <w:tab/>
      </w:r>
      <w:r>
        <w:fldChar w:fldCharType="begin"/>
      </w:r>
      <w:r>
        <w:instrText xml:space="preserve"> PAGEREF AUTO_2023_378 \h </w:instrText>
      </w:r>
      <w:r>
        <w:fldChar w:fldCharType="separate"/>
      </w:r>
      <w:r w:rsidR="00C73693">
        <w:rPr>
          <w:noProof/>
        </w:rPr>
        <w:t>2144</w:t>
      </w:r>
      <w:r>
        <w:fldChar w:fldCharType="end"/>
      </w:r>
    </w:p>
    <w:p w14:paraId="61150349" w14:textId="77777777" w:rsidR="007309D3" w:rsidRDefault="007309D3" w:rsidP="007309D3"/>
    <w:p w14:paraId="065B3D9A" w14:textId="763955EC" w:rsidR="007309D3" w:rsidRDefault="007309D3" w:rsidP="007309D3">
      <w:pPr>
        <w:pStyle w:val="EntradandiceAuto"/>
      </w:pPr>
      <w:r>
        <w:t>Sección Tercera. Auto 379/2023, de 4 de septiembre de 2023. Acepta una abstención en el recurso de amparo 305-2022, promovido en proceso contencioso-administrativo.</w:t>
      </w:r>
      <w:r>
        <w:tab/>
      </w:r>
      <w:r>
        <w:tab/>
      </w:r>
      <w:r>
        <w:fldChar w:fldCharType="begin"/>
      </w:r>
      <w:r>
        <w:instrText xml:space="preserve"> PAGEREF AUTO_2023_379 \h </w:instrText>
      </w:r>
      <w:r>
        <w:fldChar w:fldCharType="separate"/>
      </w:r>
      <w:r w:rsidR="00C73693">
        <w:rPr>
          <w:noProof/>
        </w:rPr>
        <w:t>2154</w:t>
      </w:r>
      <w:r>
        <w:fldChar w:fldCharType="end"/>
      </w:r>
    </w:p>
    <w:p w14:paraId="69CB189C" w14:textId="77777777" w:rsidR="007309D3" w:rsidRDefault="007309D3" w:rsidP="007309D3"/>
    <w:p w14:paraId="0A55CC51" w14:textId="3B74ED96" w:rsidR="007309D3" w:rsidRDefault="007309D3" w:rsidP="007309D3">
      <w:pPr>
        <w:pStyle w:val="EntradandiceAuto"/>
      </w:pPr>
      <w:r>
        <w:t>Sección Tercera. Auto 380/2023, de 4 de septiembre de 2023. Acepta una abstención en el recurso de amparo 3545-2022, promovido en proceso contencioso-administrativo.</w:t>
      </w:r>
      <w:r>
        <w:tab/>
      </w:r>
      <w:r>
        <w:tab/>
      </w:r>
      <w:r>
        <w:fldChar w:fldCharType="begin"/>
      </w:r>
      <w:r>
        <w:instrText xml:space="preserve"> PAGEREF AUTO_2023_380 \h </w:instrText>
      </w:r>
      <w:r>
        <w:fldChar w:fldCharType="separate"/>
      </w:r>
      <w:r w:rsidR="00C73693">
        <w:rPr>
          <w:noProof/>
        </w:rPr>
        <w:t>2156</w:t>
      </w:r>
      <w:r>
        <w:fldChar w:fldCharType="end"/>
      </w:r>
    </w:p>
    <w:p w14:paraId="1452D8EF" w14:textId="77777777" w:rsidR="007309D3" w:rsidRDefault="007309D3" w:rsidP="007309D3"/>
    <w:p w14:paraId="32F4C83A" w14:textId="0B283C4E" w:rsidR="007309D3" w:rsidRDefault="007309D3" w:rsidP="007309D3">
      <w:pPr>
        <w:pStyle w:val="EntradandiceAuto"/>
      </w:pPr>
      <w:r>
        <w:t>Sección Tercera. Auto 381/2023, de 4 de septiembre de 2023. Acepta una abstención en el recurso de amparo 3787-2022, promovido en proceso contencioso-administrativo.</w:t>
      </w:r>
      <w:r>
        <w:tab/>
      </w:r>
      <w:r>
        <w:tab/>
      </w:r>
      <w:r>
        <w:fldChar w:fldCharType="begin"/>
      </w:r>
      <w:r>
        <w:instrText xml:space="preserve"> PAGEREF AUTO_2023_381 \h </w:instrText>
      </w:r>
      <w:r>
        <w:fldChar w:fldCharType="separate"/>
      </w:r>
      <w:r w:rsidR="00C73693">
        <w:rPr>
          <w:noProof/>
        </w:rPr>
        <w:t>2158</w:t>
      </w:r>
      <w:r>
        <w:fldChar w:fldCharType="end"/>
      </w:r>
    </w:p>
    <w:p w14:paraId="61F5BF97" w14:textId="77777777" w:rsidR="007309D3" w:rsidRDefault="007309D3" w:rsidP="007309D3"/>
    <w:p w14:paraId="71CA32C5" w14:textId="4A8F07E7" w:rsidR="007309D3" w:rsidRDefault="007309D3" w:rsidP="007309D3">
      <w:pPr>
        <w:pStyle w:val="EntradandiceAuto"/>
      </w:pPr>
      <w:r>
        <w:t>Sección Tercera. Auto 382/2023, de 4 de septiembre de 2023. Acepta una abstención en el recurso de amparo 3884-2022, promovido en proceso contencioso-administrativo.</w:t>
      </w:r>
      <w:r>
        <w:tab/>
      </w:r>
      <w:r>
        <w:tab/>
      </w:r>
      <w:r>
        <w:fldChar w:fldCharType="begin"/>
      </w:r>
      <w:r>
        <w:instrText xml:space="preserve"> PAGEREF AUTO_2023_382 \h </w:instrText>
      </w:r>
      <w:r>
        <w:fldChar w:fldCharType="separate"/>
      </w:r>
      <w:r w:rsidR="00C73693">
        <w:rPr>
          <w:noProof/>
        </w:rPr>
        <w:t>2160</w:t>
      </w:r>
      <w:r>
        <w:fldChar w:fldCharType="end"/>
      </w:r>
    </w:p>
    <w:p w14:paraId="70EBC18E" w14:textId="77777777" w:rsidR="007309D3" w:rsidRDefault="007309D3" w:rsidP="007309D3"/>
    <w:p w14:paraId="0179DA7B" w14:textId="6081558E" w:rsidR="007309D3" w:rsidRDefault="007309D3" w:rsidP="007309D3">
      <w:pPr>
        <w:pStyle w:val="EntradandiceAuto"/>
      </w:pPr>
      <w:r>
        <w:t>Sección Tercera. Auto 383/2023, de 4 de septiembre de 2023. Acepta una abstención en el recurso de amparo 3910-2022, promovido en proceso contencioso-administrativo.</w:t>
      </w:r>
      <w:r>
        <w:tab/>
      </w:r>
      <w:r>
        <w:tab/>
      </w:r>
      <w:r>
        <w:fldChar w:fldCharType="begin"/>
      </w:r>
      <w:r>
        <w:instrText xml:space="preserve"> PAGEREF AUTO_2023_383 \h </w:instrText>
      </w:r>
      <w:r>
        <w:fldChar w:fldCharType="separate"/>
      </w:r>
      <w:r w:rsidR="00C73693">
        <w:rPr>
          <w:noProof/>
        </w:rPr>
        <w:t>2162</w:t>
      </w:r>
      <w:r>
        <w:fldChar w:fldCharType="end"/>
      </w:r>
    </w:p>
    <w:p w14:paraId="30A07832" w14:textId="77777777" w:rsidR="007309D3" w:rsidRDefault="007309D3" w:rsidP="007309D3"/>
    <w:p w14:paraId="3C02451A" w14:textId="3634048F" w:rsidR="007309D3" w:rsidRDefault="007309D3" w:rsidP="007309D3">
      <w:pPr>
        <w:pStyle w:val="EntradandiceAuto"/>
      </w:pPr>
      <w:r>
        <w:t>Sección Tercera. Auto 384/2023, de 4 de septiembre de 2023. Acepta una abstención en el recurso de amparo 3995-2022, promovido en proceso contencioso-administrativo.</w:t>
      </w:r>
      <w:r>
        <w:tab/>
      </w:r>
      <w:r>
        <w:tab/>
      </w:r>
      <w:r>
        <w:fldChar w:fldCharType="begin"/>
      </w:r>
      <w:r>
        <w:instrText xml:space="preserve"> PAGEREF AUTO_2023_384 \h </w:instrText>
      </w:r>
      <w:r>
        <w:fldChar w:fldCharType="separate"/>
      </w:r>
      <w:r w:rsidR="00C73693">
        <w:rPr>
          <w:noProof/>
        </w:rPr>
        <w:t>2164</w:t>
      </w:r>
      <w:r>
        <w:fldChar w:fldCharType="end"/>
      </w:r>
    </w:p>
    <w:p w14:paraId="6AEA378D" w14:textId="77777777" w:rsidR="007309D3" w:rsidRDefault="007309D3" w:rsidP="007309D3"/>
    <w:p w14:paraId="15D44771" w14:textId="7FC2FCBD" w:rsidR="007309D3" w:rsidRDefault="007309D3" w:rsidP="007309D3">
      <w:pPr>
        <w:pStyle w:val="EntradandiceAuto"/>
      </w:pPr>
      <w:r>
        <w:t>Sección Tercera. Auto 385/2023, de 4 de septiembre de 2023. Acepta una abstención en el recurso de amparo 4164-2022, promovido en proceso contencioso-administrativo.</w:t>
      </w:r>
      <w:r>
        <w:tab/>
      </w:r>
      <w:r>
        <w:tab/>
      </w:r>
      <w:r>
        <w:fldChar w:fldCharType="begin"/>
      </w:r>
      <w:r>
        <w:instrText xml:space="preserve"> PAGEREF AUTO_2023_385 \h </w:instrText>
      </w:r>
      <w:r>
        <w:fldChar w:fldCharType="separate"/>
      </w:r>
      <w:r w:rsidR="00C73693">
        <w:rPr>
          <w:noProof/>
        </w:rPr>
        <w:t>2166</w:t>
      </w:r>
      <w:r>
        <w:fldChar w:fldCharType="end"/>
      </w:r>
    </w:p>
    <w:p w14:paraId="3B6D51AF" w14:textId="77777777" w:rsidR="007309D3" w:rsidRDefault="007309D3" w:rsidP="007309D3"/>
    <w:p w14:paraId="76A1DF7E" w14:textId="64F64538" w:rsidR="007309D3" w:rsidRDefault="007309D3" w:rsidP="007309D3">
      <w:pPr>
        <w:pStyle w:val="EntradandiceAuto"/>
      </w:pPr>
      <w:r>
        <w:t>Sección Tercera. Auto 386/2023, de 4 de septiembre de 2023. Acepta una abstención en el recurso de amparo 4332-2022, por la entidad Transformación de Materia Vegetal (TRAMAVE, S.L.), promovido en proceso contencioso-administrativo.</w:t>
      </w:r>
      <w:r>
        <w:tab/>
      </w:r>
      <w:r>
        <w:tab/>
      </w:r>
      <w:r>
        <w:fldChar w:fldCharType="begin"/>
      </w:r>
      <w:r>
        <w:instrText xml:space="preserve"> PAGEREF AUTO_2023_386 \h </w:instrText>
      </w:r>
      <w:r>
        <w:fldChar w:fldCharType="separate"/>
      </w:r>
      <w:r w:rsidR="00C73693">
        <w:rPr>
          <w:noProof/>
        </w:rPr>
        <w:t>2168</w:t>
      </w:r>
      <w:r>
        <w:fldChar w:fldCharType="end"/>
      </w:r>
    </w:p>
    <w:p w14:paraId="2094A329" w14:textId="77777777" w:rsidR="007309D3" w:rsidRDefault="007309D3" w:rsidP="007309D3"/>
    <w:p w14:paraId="35003A8B" w14:textId="2B7D420A" w:rsidR="007309D3" w:rsidRDefault="007309D3" w:rsidP="007309D3">
      <w:pPr>
        <w:pStyle w:val="EntradandiceAuto"/>
      </w:pPr>
      <w:r>
        <w:t>Sección Tercera. Auto 387/2023, de 4 de septiembre de 2023. Acepta una abstención en el recurso de amparo 4523-2022, promovido por el Ayuntamiento de Zamora, en proceso contencioso-administrativo.</w:t>
      </w:r>
      <w:r>
        <w:tab/>
      </w:r>
      <w:r>
        <w:tab/>
      </w:r>
      <w:r>
        <w:fldChar w:fldCharType="begin"/>
      </w:r>
      <w:r>
        <w:instrText xml:space="preserve"> PAGEREF AUTO_2023_387 \h </w:instrText>
      </w:r>
      <w:r>
        <w:fldChar w:fldCharType="separate"/>
      </w:r>
      <w:r w:rsidR="00C73693">
        <w:rPr>
          <w:noProof/>
        </w:rPr>
        <w:t>2170</w:t>
      </w:r>
      <w:r>
        <w:fldChar w:fldCharType="end"/>
      </w:r>
    </w:p>
    <w:p w14:paraId="36796CA5" w14:textId="77777777" w:rsidR="007309D3" w:rsidRDefault="007309D3" w:rsidP="007309D3"/>
    <w:p w14:paraId="7D6F6E07" w14:textId="6B53B502" w:rsidR="007309D3" w:rsidRDefault="007309D3" w:rsidP="007309D3">
      <w:pPr>
        <w:pStyle w:val="EntradandiceAuto"/>
      </w:pPr>
      <w:r>
        <w:t>Sección Tercera. Auto 388/2023, de 4 de septiembre de 2023. Acepta una abstención en el recurso de amparo 4790-2022, promovido en proceso contencioso-administrativo.</w:t>
      </w:r>
      <w:r>
        <w:tab/>
      </w:r>
      <w:r>
        <w:tab/>
      </w:r>
      <w:r>
        <w:fldChar w:fldCharType="begin"/>
      </w:r>
      <w:r>
        <w:instrText xml:space="preserve"> PAGEREF AUTO_2023_388 \h </w:instrText>
      </w:r>
      <w:r>
        <w:fldChar w:fldCharType="separate"/>
      </w:r>
      <w:r w:rsidR="00C73693">
        <w:rPr>
          <w:noProof/>
        </w:rPr>
        <w:t>2172</w:t>
      </w:r>
      <w:r>
        <w:fldChar w:fldCharType="end"/>
      </w:r>
    </w:p>
    <w:p w14:paraId="74EC4EFE" w14:textId="77777777" w:rsidR="007309D3" w:rsidRDefault="007309D3" w:rsidP="007309D3"/>
    <w:p w14:paraId="5ECAFF08" w14:textId="041D3B6B" w:rsidR="007309D3" w:rsidRDefault="007309D3" w:rsidP="007309D3">
      <w:pPr>
        <w:pStyle w:val="EntradandiceAuto"/>
      </w:pPr>
      <w:r>
        <w:t>Sección Tercera. Auto 389/2023, de 4 de septiembre de 2023. Acepta una abstención en el recurso de amparo 4910-2022, promovido en proceso contencioso-administrativo.</w:t>
      </w:r>
      <w:r>
        <w:tab/>
      </w:r>
      <w:r>
        <w:tab/>
      </w:r>
      <w:r>
        <w:fldChar w:fldCharType="begin"/>
      </w:r>
      <w:r>
        <w:instrText xml:space="preserve"> PAGEREF AUTO_2023_389 \h </w:instrText>
      </w:r>
      <w:r>
        <w:fldChar w:fldCharType="separate"/>
      </w:r>
      <w:r w:rsidR="00C73693">
        <w:rPr>
          <w:noProof/>
        </w:rPr>
        <w:t>2174</w:t>
      </w:r>
      <w:r>
        <w:fldChar w:fldCharType="end"/>
      </w:r>
    </w:p>
    <w:p w14:paraId="453F5BB5" w14:textId="77777777" w:rsidR="007309D3" w:rsidRDefault="007309D3" w:rsidP="007309D3"/>
    <w:p w14:paraId="786776B6" w14:textId="0ED4D169" w:rsidR="007309D3" w:rsidRDefault="007309D3" w:rsidP="007309D3">
      <w:pPr>
        <w:pStyle w:val="EntradandiceAuto"/>
      </w:pPr>
      <w:r>
        <w:t>Sección Tercera. Auto 390/2023, de 4 de septiembre de 2023. Acepta una abstención en el recurso de amparo 5116-2022, promovido en proceso contencioso-administrativo.</w:t>
      </w:r>
      <w:r>
        <w:tab/>
      </w:r>
      <w:r>
        <w:tab/>
      </w:r>
      <w:r>
        <w:fldChar w:fldCharType="begin"/>
      </w:r>
      <w:r>
        <w:instrText xml:space="preserve"> PAGEREF AUTO_2023_390 \h </w:instrText>
      </w:r>
      <w:r>
        <w:fldChar w:fldCharType="separate"/>
      </w:r>
      <w:r w:rsidR="00C73693">
        <w:rPr>
          <w:noProof/>
        </w:rPr>
        <w:t>2176</w:t>
      </w:r>
      <w:r>
        <w:fldChar w:fldCharType="end"/>
      </w:r>
    </w:p>
    <w:p w14:paraId="27D4469F" w14:textId="77777777" w:rsidR="007309D3" w:rsidRDefault="007309D3" w:rsidP="007309D3"/>
    <w:p w14:paraId="667BB497" w14:textId="5FA2CE12" w:rsidR="007309D3" w:rsidRDefault="007309D3" w:rsidP="007309D3">
      <w:pPr>
        <w:pStyle w:val="EntradandiceAuto"/>
      </w:pPr>
      <w:r>
        <w:t>Sección Tercera. Auto 391/2023, de 4 de septiembre de 2023. Acepta una abstención en el recurso de amparo 5214-2022, promovido en proceso contencioso-administrativo.</w:t>
      </w:r>
      <w:r>
        <w:tab/>
      </w:r>
      <w:r>
        <w:tab/>
      </w:r>
      <w:r>
        <w:fldChar w:fldCharType="begin"/>
      </w:r>
      <w:r>
        <w:instrText xml:space="preserve"> PAGEREF AUTO_2023_391 \h </w:instrText>
      </w:r>
      <w:r>
        <w:fldChar w:fldCharType="separate"/>
      </w:r>
      <w:r w:rsidR="00C73693">
        <w:rPr>
          <w:noProof/>
        </w:rPr>
        <w:t>2178</w:t>
      </w:r>
      <w:r>
        <w:fldChar w:fldCharType="end"/>
      </w:r>
    </w:p>
    <w:p w14:paraId="7A7F8F8E" w14:textId="77777777" w:rsidR="007309D3" w:rsidRDefault="007309D3" w:rsidP="007309D3"/>
    <w:p w14:paraId="3584B5DC" w14:textId="3A9267FA" w:rsidR="007309D3" w:rsidRDefault="007309D3" w:rsidP="007309D3">
      <w:pPr>
        <w:pStyle w:val="EntradandiceAuto"/>
      </w:pPr>
      <w:r>
        <w:t>Sección Tercera. Auto 392/2023, de 4 de septiembre de 2023. Acepta una abstención en el recurso de amparo 5224-2022, promovido en proceso contencioso-administrativo.</w:t>
      </w:r>
      <w:r>
        <w:tab/>
      </w:r>
      <w:r>
        <w:tab/>
      </w:r>
      <w:r>
        <w:fldChar w:fldCharType="begin"/>
      </w:r>
      <w:r>
        <w:instrText xml:space="preserve"> PAGEREF AUTO_2023_392 \h </w:instrText>
      </w:r>
      <w:r>
        <w:fldChar w:fldCharType="separate"/>
      </w:r>
      <w:r w:rsidR="00C73693">
        <w:rPr>
          <w:noProof/>
        </w:rPr>
        <w:t>2180</w:t>
      </w:r>
      <w:r>
        <w:fldChar w:fldCharType="end"/>
      </w:r>
    </w:p>
    <w:p w14:paraId="14C5D950" w14:textId="77777777" w:rsidR="007309D3" w:rsidRDefault="007309D3" w:rsidP="007309D3"/>
    <w:p w14:paraId="141B43D0" w14:textId="61B543C5" w:rsidR="007309D3" w:rsidRDefault="007309D3" w:rsidP="007309D3">
      <w:pPr>
        <w:pStyle w:val="EntradandiceAuto"/>
      </w:pPr>
      <w:r>
        <w:t>Sección Tercera. Auto 393/2023, de 4 de septiembre de 2023. Acepta una abstención en el recurso de amparo 6649-2022, promovido en proceso contencioso-administrativo.</w:t>
      </w:r>
      <w:r>
        <w:tab/>
      </w:r>
      <w:r>
        <w:tab/>
      </w:r>
      <w:r>
        <w:fldChar w:fldCharType="begin"/>
      </w:r>
      <w:r>
        <w:instrText xml:space="preserve"> PAGEREF AUTO_2023_393 \h </w:instrText>
      </w:r>
      <w:r>
        <w:fldChar w:fldCharType="separate"/>
      </w:r>
      <w:r w:rsidR="00C73693">
        <w:rPr>
          <w:noProof/>
        </w:rPr>
        <w:t>2182</w:t>
      </w:r>
      <w:r>
        <w:fldChar w:fldCharType="end"/>
      </w:r>
    </w:p>
    <w:p w14:paraId="6135B7A4" w14:textId="77777777" w:rsidR="007309D3" w:rsidRDefault="007309D3" w:rsidP="007309D3"/>
    <w:p w14:paraId="129F58CA" w14:textId="4CFE6773" w:rsidR="007309D3" w:rsidRDefault="007309D3" w:rsidP="007309D3">
      <w:pPr>
        <w:pStyle w:val="EntradandiceAuto"/>
      </w:pPr>
      <w:r>
        <w:t>Sección Tercera. Auto 394/2023, de 4 de septiembre de 2023. Acepta una abstención en el recurso de amparo 6763-2022, promovido por la entidad Ayacasay, S.L., en proceso contencioso-administrativo.</w:t>
      </w:r>
      <w:r>
        <w:tab/>
      </w:r>
      <w:r>
        <w:tab/>
      </w:r>
      <w:r>
        <w:fldChar w:fldCharType="begin"/>
      </w:r>
      <w:r>
        <w:instrText xml:space="preserve"> PAGEREF AUTO_2023_394 \h </w:instrText>
      </w:r>
      <w:r>
        <w:fldChar w:fldCharType="separate"/>
      </w:r>
      <w:r w:rsidR="00C73693">
        <w:rPr>
          <w:noProof/>
        </w:rPr>
        <w:t>2184</w:t>
      </w:r>
      <w:r>
        <w:fldChar w:fldCharType="end"/>
      </w:r>
    </w:p>
    <w:p w14:paraId="75B656BC" w14:textId="77777777" w:rsidR="007309D3" w:rsidRDefault="007309D3" w:rsidP="007309D3"/>
    <w:p w14:paraId="3FC77569" w14:textId="0B5BD1AE" w:rsidR="007309D3" w:rsidRDefault="007309D3" w:rsidP="007309D3">
      <w:pPr>
        <w:pStyle w:val="EntradandiceAuto"/>
      </w:pPr>
      <w:r>
        <w:t>Sección Tercera. Auto 395/2023, de 4 de septiembre de 2023. Acepta una abstención en el recurso de amparo 7082-2022, promovido en proceso contencioso-administrativo.</w:t>
      </w:r>
      <w:r>
        <w:tab/>
      </w:r>
      <w:r>
        <w:tab/>
      </w:r>
      <w:r>
        <w:fldChar w:fldCharType="begin"/>
      </w:r>
      <w:r>
        <w:instrText xml:space="preserve"> PAGEREF AUTO_2023_395 \h </w:instrText>
      </w:r>
      <w:r>
        <w:fldChar w:fldCharType="separate"/>
      </w:r>
      <w:r w:rsidR="00C73693">
        <w:rPr>
          <w:noProof/>
        </w:rPr>
        <w:t>2186</w:t>
      </w:r>
      <w:r>
        <w:fldChar w:fldCharType="end"/>
      </w:r>
    </w:p>
    <w:p w14:paraId="444EC242" w14:textId="77777777" w:rsidR="007309D3" w:rsidRDefault="007309D3" w:rsidP="007309D3"/>
    <w:p w14:paraId="58FD863B" w14:textId="5D97D203" w:rsidR="007309D3" w:rsidRDefault="007309D3" w:rsidP="007309D3">
      <w:pPr>
        <w:pStyle w:val="EntradandiceAuto"/>
      </w:pPr>
      <w:r>
        <w:t>Sección Tercera. Auto 396/2023, de 4 de septiembre de 2023. Acepta una abstención en el recurso de amparo 7125-2022, promovido por la entidad Bandera de San Andrés, S.L., en proceso contencioso-administrativo.</w:t>
      </w:r>
      <w:r>
        <w:tab/>
      </w:r>
      <w:r>
        <w:tab/>
      </w:r>
      <w:r>
        <w:fldChar w:fldCharType="begin"/>
      </w:r>
      <w:r>
        <w:instrText xml:space="preserve"> PAGEREF AUTO_2023_396 \h </w:instrText>
      </w:r>
      <w:r>
        <w:fldChar w:fldCharType="separate"/>
      </w:r>
      <w:r w:rsidR="00C73693">
        <w:rPr>
          <w:noProof/>
        </w:rPr>
        <w:t>2188</w:t>
      </w:r>
      <w:r>
        <w:fldChar w:fldCharType="end"/>
      </w:r>
    </w:p>
    <w:p w14:paraId="7B52C6F1" w14:textId="77777777" w:rsidR="007309D3" w:rsidRDefault="007309D3" w:rsidP="007309D3"/>
    <w:p w14:paraId="3943891C" w14:textId="2B793861" w:rsidR="007309D3" w:rsidRDefault="007309D3" w:rsidP="007309D3">
      <w:pPr>
        <w:pStyle w:val="EntradandiceAuto"/>
      </w:pPr>
      <w:r>
        <w:t>Sección Tercera. Auto 397/2023, de 4 de septiembre de 2023. Acepta una abstención en el recurso de amparo 7542-2022, promovido en proceso contencioso-administrativo.</w:t>
      </w:r>
      <w:r>
        <w:tab/>
      </w:r>
      <w:r>
        <w:tab/>
      </w:r>
      <w:r>
        <w:fldChar w:fldCharType="begin"/>
      </w:r>
      <w:r>
        <w:instrText xml:space="preserve"> PAGEREF AUTO_2023_397 \h </w:instrText>
      </w:r>
      <w:r>
        <w:fldChar w:fldCharType="separate"/>
      </w:r>
      <w:r w:rsidR="00C73693">
        <w:rPr>
          <w:noProof/>
        </w:rPr>
        <w:t>2190</w:t>
      </w:r>
      <w:r>
        <w:fldChar w:fldCharType="end"/>
      </w:r>
    </w:p>
    <w:p w14:paraId="707A3464" w14:textId="77777777" w:rsidR="007309D3" w:rsidRDefault="007309D3" w:rsidP="007309D3"/>
    <w:p w14:paraId="653CC805" w14:textId="6CF1E32B" w:rsidR="007309D3" w:rsidRDefault="007309D3" w:rsidP="007309D3">
      <w:pPr>
        <w:pStyle w:val="EntradandiceAuto"/>
      </w:pPr>
      <w:r>
        <w:t>Sección Tercera. Auto 398/2023, de 4 de septiembre de 2023. Acepta una abstención en el recurso de amparo 7545-2022, promovido en proceso contencioso-administrativo.</w:t>
      </w:r>
      <w:r>
        <w:tab/>
      </w:r>
      <w:r>
        <w:tab/>
      </w:r>
      <w:r>
        <w:fldChar w:fldCharType="begin"/>
      </w:r>
      <w:r>
        <w:instrText xml:space="preserve"> PAGEREF AUTO_2023_398 \h </w:instrText>
      </w:r>
      <w:r>
        <w:fldChar w:fldCharType="separate"/>
      </w:r>
      <w:r w:rsidR="00C73693">
        <w:rPr>
          <w:noProof/>
        </w:rPr>
        <w:t>2192</w:t>
      </w:r>
      <w:r>
        <w:fldChar w:fldCharType="end"/>
      </w:r>
    </w:p>
    <w:p w14:paraId="048688DE" w14:textId="77777777" w:rsidR="007309D3" w:rsidRDefault="007309D3" w:rsidP="007309D3"/>
    <w:p w14:paraId="006D11B2" w14:textId="4DA4ADEC" w:rsidR="007309D3" w:rsidRDefault="007309D3" w:rsidP="007309D3">
      <w:pPr>
        <w:pStyle w:val="EntradandiceAuto"/>
      </w:pPr>
      <w:r>
        <w:t>Sección Tercera. Auto 399/2023, de 4 de septiembre de 2023. Acepta una abstención en el recurso de amparo 7581-2022, promovido en proceso contencioso-administrativo.</w:t>
      </w:r>
      <w:r>
        <w:tab/>
      </w:r>
      <w:r>
        <w:tab/>
      </w:r>
      <w:r>
        <w:fldChar w:fldCharType="begin"/>
      </w:r>
      <w:r>
        <w:instrText xml:space="preserve"> PAGEREF AUTO_2023_399 \h </w:instrText>
      </w:r>
      <w:r>
        <w:fldChar w:fldCharType="separate"/>
      </w:r>
      <w:r w:rsidR="00C73693">
        <w:rPr>
          <w:noProof/>
        </w:rPr>
        <w:t>2194</w:t>
      </w:r>
      <w:r>
        <w:fldChar w:fldCharType="end"/>
      </w:r>
    </w:p>
    <w:p w14:paraId="46842A7B" w14:textId="77777777" w:rsidR="007309D3" w:rsidRDefault="007309D3" w:rsidP="007309D3"/>
    <w:p w14:paraId="391C7ED0" w14:textId="406B4DDC" w:rsidR="007309D3" w:rsidRDefault="007309D3" w:rsidP="007309D3">
      <w:pPr>
        <w:pStyle w:val="EntradandiceAuto"/>
      </w:pPr>
      <w:r>
        <w:t>Sección Tercera. Auto 400/2023, de 4 de septiembre de 2023. Acepta una abstención en el recurso de amparo 7591-2022, promovido en proceso contencioso-administrativo.</w:t>
      </w:r>
      <w:r>
        <w:tab/>
      </w:r>
      <w:r>
        <w:tab/>
      </w:r>
      <w:r>
        <w:fldChar w:fldCharType="begin"/>
      </w:r>
      <w:r>
        <w:instrText xml:space="preserve"> PAGEREF AUTO_2023_400 \h </w:instrText>
      </w:r>
      <w:r>
        <w:fldChar w:fldCharType="separate"/>
      </w:r>
      <w:r w:rsidR="00C73693">
        <w:rPr>
          <w:noProof/>
        </w:rPr>
        <w:t>2196</w:t>
      </w:r>
      <w:r>
        <w:fldChar w:fldCharType="end"/>
      </w:r>
    </w:p>
    <w:p w14:paraId="7BF438A4" w14:textId="77777777" w:rsidR="007309D3" w:rsidRDefault="007309D3" w:rsidP="007309D3"/>
    <w:p w14:paraId="2EDF3B7F" w14:textId="06B6CEF9" w:rsidR="007309D3" w:rsidRDefault="007309D3" w:rsidP="007309D3">
      <w:pPr>
        <w:pStyle w:val="EntradandiceAuto"/>
      </w:pPr>
      <w:r>
        <w:t>Sección Tercera. Auto 401/2023, de 4 de septiembre de 2023. Acepta una abstención en el recurso de amparo 7895-2022, promovido en proceso contencioso-administrativo.</w:t>
      </w:r>
      <w:r>
        <w:tab/>
      </w:r>
      <w:r>
        <w:tab/>
      </w:r>
      <w:r>
        <w:fldChar w:fldCharType="begin"/>
      </w:r>
      <w:r>
        <w:instrText xml:space="preserve"> PAGEREF AUTO_2023_401 \h </w:instrText>
      </w:r>
      <w:r>
        <w:fldChar w:fldCharType="separate"/>
      </w:r>
      <w:r w:rsidR="00C73693">
        <w:rPr>
          <w:noProof/>
        </w:rPr>
        <w:t>2198</w:t>
      </w:r>
      <w:r>
        <w:fldChar w:fldCharType="end"/>
      </w:r>
    </w:p>
    <w:p w14:paraId="73440CE7" w14:textId="77777777" w:rsidR="007309D3" w:rsidRDefault="007309D3" w:rsidP="007309D3"/>
    <w:p w14:paraId="7B8DBD79" w14:textId="5699756D" w:rsidR="007309D3" w:rsidRDefault="007309D3" w:rsidP="007309D3">
      <w:pPr>
        <w:pStyle w:val="EntradandiceAuto"/>
      </w:pPr>
      <w:r>
        <w:t>Sección Tercera. Auto 402/2023, de 4 de septiembre de 2023. Acepta una abstención en el recurso de amparo 8115-2022, promovido en proceso contencioso-administrativo.</w:t>
      </w:r>
      <w:r>
        <w:tab/>
      </w:r>
      <w:r>
        <w:tab/>
      </w:r>
      <w:r>
        <w:fldChar w:fldCharType="begin"/>
      </w:r>
      <w:r>
        <w:instrText xml:space="preserve"> PAGEREF AUTO_2023_402 \h </w:instrText>
      </w:r>
      <w:r>
        <w:fldChar w:fldCharType="separate"/>
      </w:r>
      <w:r w:rsidR="00C73693">
        <w:rPr>
          <w:noProof/>
        </w:rPr>
        <w:t>2200</w:t>
      </w:r>
      <w:r>
        <w:fldChar w:fldCharType="end"/>
      </w:r>
    </w:p>
    <w:p w14:paraId="1D552A39" w14:textId="77777777" w:rsidR="007309D3" w:rsidRDefault="007309D3" w:rsidP="007309D3"/>
    <w:p w14:paraId="4A0C4F61" w14:textId="601C3883" w:rsidR="007309D3" w:rsidRDefault="007309D3" w:rsidP="007309D3">
      <w:pPr>
        <w:pStyle w:val="EntradandiceAuto"/>
      </w:pPr>
      <w:r>
        <w:t>Sección Tercera. Auto 403/2023, de 4 de septiembre de 2023. Acepta una abstención en el recurso de amparo 1756-2023, promovido en proceso contencioso-administrativo.</w:t>
      </w:r>
      <w:r>
        <w:tab/>
      </w:r>
      <w:r>
        <w:tab/>
      </w:r>
      <w:r>
        <w:fldChar w:fldCharType="begin"/>
      </w:r>
      <w:r>
        <w:instrText xml:space="preserve"> PAGEREF AUTO_2023_403 \h </w:instrText>
      </w:r>
      <w:r>
        <w:fldChar w:fldCharType="separate"/>
      </w:r>
      <w:r w:rsidR="00C73693">
        <w:rPr>
          <w:noProof/>
        </w:rPr>
        <w:t>2202</w:t>
      </w:r>
      <w:r>
        <w:fldChar w:fldCharType="end"/>
      </w:r>
    </w:p>
    <w:p w14:paraId="0B1120E1" w14:textId="77777777" w:rsidR="007309D3" w:rsidRDefault="007309D3" w:rsidP="007309D3"/>
    <w:p w14:paraId="4F209120" w14:textId="5C9D69C5" w:rsidR="007309D3" w:rsidRDefault="007309D3" w:rsidP="007309D3">
      <w:pPr>
        <w:pStyle w:val="EntradandiceAuto"/>
      </w:pPr>
      <w:r>
        <w:t>Sección Tercera. Auto 404/2023, de 4 de septiembre de 2023. Acepta una abstención en el recurso de amparo 1849-2023, promovido en proceso contencioso-administrativo.</w:t>
      </w:r>
      <w:r>
        <w:tab/>
      </w:r>
      <w:r>
        <w:tab/>
      </w:r>
      <w:r>
        <w:fldChar w:fldCharType="begin"/>
      </w:r>
      <w:r>
        <w:instrText xml:space="preserve"> PAGEREF AUTO_2023_404 \h </w:instrText>
      </w:r>
      <w:r>
        <w:fldChar w:fldCharType="separate"/>
      </w:r>
      <w:r w:rsidR="00C73693">
        <w:rPr>
          <w:noProof/>
        </w:rPr>
        <w:t>2204</w:t>
      </w:r>
      <w:r>
        <w:fldChar w:fldCharType="end"/>
      </w:r>
    </w:p>
    <w:p w14:paraId="47769331" w14:textId="77777777" w:rsidR="007309D3" w:rsidRDefault="007309D3" w:rsidP="007309D3"/>
    <w:p w14:paraId="20A20B04" w14:textId="08839DC9" w:rsidR="007309D3" w:rsidRDefault="007309D3" w:rsidP="007309D3">
      <w:pPr>
        <w:pStyle w:val="EntradandiceAuto"/>
      </w:pPr>
      <w:r>
        <w:t>Sección Tercera. Auto 405/2023, de 4 de septiembre de 2023. Acepta una abstención en el recurso de amparo 2213-2023, promovido en proceso contencioso-administrativo.</w:t>
      </w:r>
      <w:r>
        <w:tab/>
      </w:r>
      <w:r>
        <w:tab/>
      </w:r>
      <w:r>
        <w:fldChar w:fldCharType="begin"/>
      </w:r>
      <w:r>
        <w:instrText xml:space="preserve"> PAGEREF AUTO_2023_405 \h </w:instrText>
      </w:r>
      <w:r>
        <w:fldChar w:fldCharType="separate"/>
      </w:r>
      <w:r w:rsidR="00C73693">
        <w:rPr>
          <w:noProof/>
        </w:rPr>
        <w:t>2206</w:t>
      </w:r>
      <w:r>
        <w:fldChar w:fldCharType="end"/>
      </w:r>
    </w:p>
    <w:p w14:paraId="310C7B53" w14:textId="77777777" w:rsidR="007309D3" w:rsidRDefault="007309D3" w:rsidP="007309D3"/>
    <w:p w14:paraId="25D944EA" w14:textId="51A66DFB" w:rsidR="007309D3" w:rsidRDefault="007309D3" w:rsidP="007309D3">
      <w:pPr>
        <w:pStyle w:val="EntradandiceAuto"/>
      </w:pPr>
      <w:r>
        <w:t>Sección Tercera. Auto 406/2023, de 4 de septiembre de 2023. Acepta una abstención en el recurso de amparo 2397-2023, promovido en proceso contencioso-administrativo.</w:t>
      </w:r>
      <w:r>
        <w:tab/>
      </w:r>
      <w:r>
        <w:tab/>
      </w:r>
      <w:r>
        <w:fldChar w:fldCharType="begin"/>
      </w:r>
      <w:r>
        <w:instrText xml:space="preserve"> PAGEREF AUTO_2023_406 \h </w:instrText>
      </w:r>
      <w:r>
        <w:fldChar w:fldCharType="separate"/>
      </w:r>
      <w:r w:rsidR="00C73693">
        <w:rPr>
          <w:noProof/>
        </w:rPr>
        <w:t>2208</w:t>
      </w:r>
      <w:r>
        <w:fldChar w:fldCharType="end"/>
      </w:r>
    </w:p>
    <w:p w14:paraId="2A0AC31F" w14:textId="77777777" w:rsidR="007309D3" w:rsidRDefault="007309D3" w:rsidP="007309D3"/>
    <w:p w14:paraId="5E0FB84A" w14:textId="48D534F8" w:rsidR="007309D3" w:rsidRDefault="007309D3" w:rsidP="007309D3">
      <w:pPr>
        <w:pStyle w:val="EntradandiceAuto"/>
      </w:pPr>
      <w:r>
        <w:t>Sección Tercera. Auto 407/2023, de 4 de septiembre de 2023. Acepta una abstención en el recurso de amparo 2421-2023, promovido en proceso contencioso-administrativo.</w:t>
      </w:r>
      <w:r>
        <w:tab/>
      </w:r>
      <w:r>
        <w:tab/>
      </w:r>
      <w:r>
        <w:fldChar w:fldCharType="begin"/>
      </w:r>
      <w:r>
        <w:instrText xml:space="preserve"> PAGEREF AUTO_2023_407 \h </w:instrText>
      </w:r>
      <w:r>
        <w:fldChar w:fldCharType="separate"/>
      </w:r>
      <w:r w:rsidR="00C73693">
        <w:rPr>
          <w:noProof/>
        </w:rPr>
        <w:t>2210</w:t>
      </w:r>
      <w:r>
        <w:fldChar w:fldCharType="end"/>
      </w:r>
    </w:p>
    <w:p w14:paraId="3DE45374" w14:textId="77777777" w:rsidR="007309D3" w:rsidRDefault="007309D3" w:rsidP="007309D3"/>
    <w:p w14:paraId="349AF166" w14:textId="4D57F952" w:rsidR="007309D3" w:rsidRDefault="007309D3" w:rsidP="007309D3">
      <w:pPr>
        <w:pStyle w:val="EntradandiceAuto"/>
      </w:pPr>
      <w:r>
        <w:t>Sección Tercera. Auto 408/2023, de 4 de septiembre de 2023. Acepta una abstención en el recurso de amparo 2432-2023, promovido en proceso contencioso-administrativo.</w:t>
      </w:r>
      <w:r>
        <w:tab/>
      </w:r>
      <w:r>
        <w:tab/>
      </w:r>
      <w:r>
        <w:fldChar w:fldCharType="begin"/>
      </w:r>
      <w:r>
        <w:instrText xml:space="preserve"> PAGEREF AUTO_2023_408 \h </w:instrText>
      </w:r>
      <w:r>
        <w:fldChar w:fldCharType="separate"/>
      </w:r>
      <w:r w:rsidR="00C73693">
        <w:rPr>
          <w:noProof/>
        </w:rPr>
        <w:t>2212</w:t>
      </w:r>
      <w:r>
        <w:fldChar w:fldCharType="end"/>
      </w:r>
    </w:p>
    <w:p w14:paraId="6F0B3335" w14:textId="77777777" w:rsidR="007309D3" w:rsidRDefault="007309D3" w:rsidP="007309D3"/>
    <w:p w14:paraId="36359936" w14:textId="23B35AE7" w:rsidR="007309D3" w:rsidRDefault="007309D3" w:rsidP="007309D3">
      <w:pPr>
        <w:pStyle w:val="EntradandiceAuto"/>
      </w:pPr>
      <w:r>
        <w:t>Sección Tercera. Auto 409/2023, de 4 de septiembre de 2023. Acepta una abstención en el recurso de amparo 2434-2023, promovido en proceso contencioso-administrativo.</w:t>
      </w:r>
      <w:r>
        <w:tab/>
      </w:r>
      <w:r>
        <w:tab/>
      </w:r>
      <w:r>
        <w:fldChar w:fldCharType="begin"/>
      </w:r>
      <w:r>
        <w:instrText xml:space="preserve"> PAGEREF AUTO_2023_409 \h </w:instrText>
      </w:r>
      <w:r>
        <w:fldChar w:fldCharType="separate"/>
      </w:r>
      <w:r w:rsidR="00C73693">
        <w:rPr>
          <w:noProof/>
        </w:rPr>
        <w:t>2214</w:t>
      </w:r>
      <w:r>
        <w:fldChar w:fldCharType="end"/>
      </w:r>
    </w:p>
    <w:p w14:paraId="0692AFBC" w14:textId="77777777" w:rsidR="007309D3" w:rsidRDefault="007309D3" w:rsidP="007309D3"/>
    <w:p w14:paraId="1D83F177" w14:textId="1A61F6AC" w:rsidR="007309D3" w:rsidRDefault="007309D3" w:rsidP="007309D3">
      <w:pPr>
        <w:pStyle w:val="EntradandiceAuto"/>
      </w:pPr>
      <w:r>
        <w:t>Sección Tercera. Auto 410/2023, de 4 de septiembre de 2023. Acepta una abstención en el recurso de amparo 2444-2023, promovido en proceso contencioso-administrativo.</w:t>
      </w:r>
      <w:r>
        <w:tab/>
      </w:r>
      <w:r>
        <w:tab/>
      </w:r>
      <w:r>
        <w:fldChar w:fldCharType="begin"/>
      </w:r>
      <w:r>
        <w:instrText xml:space="preserve"> PAGEREF AUTO_2023_410 \h </w:instrText>
      </w:r>
      <w:r>
        <w:fldChar w:fldCharType="separate"/>
      </w:r>
      <w:r w:rsidR="00C73693">
        <w:rPr>
          <w:noProof/>
        </w:rPr>
        <w:t>2216</w:t>
      </w:r>
      <w:r>
        <w:fldChar w:fldCharType="end"/>
      </w:r>
    </w:p>
    <w:p w14:paraId="6C10FCB6" w14:textId="77777777" w:rsidR="007309D3" w:rsidRDefault="007309D3" w:rsidP="007309D3"/>
    <w:p w14:paraId="64B5FB11" w14:textId="46445504" w:rsidR="007309D3" w:rsidRDefault="007309D3" w:rsidP="007309D3">
      <w:pPr>
        <w:pStyle w:val="EntradandiceAuto"/>
      </w:pPr>
      <w:r>
        <w:t>Sección Tercera. Auto 411/2023, de 4 de septiembre de 2023. Acepta una abstención en el recurso de amparo 2446-2023, promovido en proceso contencioso-administrativo.</w:t>
      </w:r>
      <w:r>
        <w:tab/>
      </w:r>
      <w:r>
        <w:tab/>
      </w:r>
      <w:r>
        <w:fldChar w:fldCharType="begin"/>
      </w:r>
      <w:r>
        <w:instrText xml:space="preserve"> PAGEREF AUTO_2023_411 \h </w:instrText>
      </w:r>
      <w:r>
        <w:fldChar w:fldCharType="separate"/>
      </w:r>
      <w:r w:rsidR="00C73693">
        <w:rPr>
          <w:noProof/>
        </w:rPr>
        <w:t>2218</w:t>
      </w:r>
      <w:r>
        <w:fldChar w:fldCharType="end"/>
      </w:r>
    </w:p>
    <w:p w14:paraId="4C52F948" w14:textId="77777777" w:rsidR="007309D3" w:rsidRDefault="007309D3" w:rsidP="007309D3"/>
    <w:p w14:paraId="234D822C" w14:textId="77241689" w:rsidR="007309D3" w:rsidRDefault="007309D3" w:rsidP="007309D3">
      <w:pPr>
        <w:pStyle w:val="EntradandiceAuto"/>
      </w:pPr>
      <w:r>
        <w:t>Sección Tercera. Auto 412/2023, de 4 de septiembre de 2023. Acepta una abstención en el recurso de amparo 2480-2023, promovido en proceso contencioso-administrativo.</w:t>
      </w:r>
      <w:r>
        <w:tab/>
      </w:r>
      <w:r>
        <w:tab/>
      </w:r>
      <w:r>
        <w:fldChar w:fldCharType="begin"/>
      </w:r>
      <w:r>
        <w:instrText xml:space="preserve"> PAGEREF AUTO_2023_412 \h </w:instrText>
      </w:r>
      <w:r>
        <w:fldChar w:fldCharType="separate"/>
      </w:r>
      <w:r w:rsidR="00C73693">
        <w:rPr>
          <w:noProof/>
        </w:rPr>
        <w:t>2220</w:t>
      </w:r>
      <w:r>
        <w:fldChar w:fldCharType="end"/>
      </w:r>
    </w:p>
    <w:p w14:paraId="32070BA7" w14:textId="77777777" w:rsidR="007309D3" w:rsidRDefault="007309D3" w:rsidP="007309D3"/>
    <w:p w14:paraId="3B142C5D" w14:textId="09F7B377" w:rsidR="007309D3" w:rsidRDefault="007309D3" w:rsidP="007309D3">
      <w:pPr>
        <w:pStyle w:val="EntradandiceAuto"/>
      </w:pPr>
      <w:r>
        <w:t>Sección Tercera. Auto 413/2023, de 4 de septiembre de 2023. Acepta una abstención en el recurso de amparo 2514-2023, promovido en proceso contencioso-administrativo.</w:t>
      </w:r>
      <w:r>
        <w:tab/>
      </w:r>
      <w:r>
        <w:tab/>
      </w:r>
      <w:r>
        <w:fldChar w:fldCharType="begin"/>
      </w:r>
      <w:r>
        <w:instrText xml:space="preserve"> PAGEREF AUTO_2023_413 \h </w:instrText>
      </w:r>
      <w:r>
        <w:fldChar w:fldCharType="separate"/>
      </w:r>
      <w:r w:rsidR="00C73693">
        <w:rPr>
          <w:noProof/>
        </w:rPr>
        <w:t>2222</w:t>
      </w:r>
      <w:r>
        <w:fldChar w:fldCharType="end"/>
      </w:r>
    </w:p>
    <w:p w14:paraId="7AC05CE0" w14:textId="77777777" w:rsidR="007309D3" w:rsidRDefault="007309D3" w:rsidP="007309D3"/>
    <w:p w14:paraId="2461B59B" w14:textId="3F482AF3" w:rsidR="007309D3" w:rsidRDefault="007309D3" w:rsidP="007309D3">
      <w:pPr>
        <w:pStyle w:val="EntradandiceAuto"/>
      </w:pPr>
      <w:r>
        <w:t>Sección Tercera. Auto 414/2023, de 4 de septiembre de 2023. Acepta una abstención en el recurso de amparo 2615-2023, promovido en proceso contencioso-administrativo.</w:t>
      </w:r>
      <w:r>
        <w:tab/>
      </w:r>
      <w:r>
        <w:tab/>
      </w:r>
      <w:r>
        <w:fldChar w:fldCharType="begin"/>
      </w:r>
      <w:r>
        <w:instrText xml:space="preserve"> PAGEREF AUTO_2023_414 \h </w:instrText>
      </w:r>
      <w:r>
        <w:fldChar w:fldCharType="separate"/>
      </w:r>
      <w:r w:rsidR="00C73693">
        <w:rPr>
          <w:noProof/>
        </w:rPr>
        <w:t>2224</w:t>
      </w:r>
      <w:r>
        <w:fldChar w:fldCharType="end"/>
      </w:r>
    </w:p>
    <w:p w14:paraId="6B7D2151" w14:textId="77777777" w:rsidR="007309D3" w:rsidRDefault="007309D3" w:rsidP="007309D3"/>
    <w:p w14:paraId="53BC0983" w14:textId="17BD09F4" w:rsidR="007309D3" w:rsidRDefault="007309D3" w:rsidP="007309D3">
      <w:pPr>
        <w:pStyle w:val="EntradandiceAuto"/>
      </w:pPr>
      <w:r>
        <w:t>Sección Tercera. Auto 415/2023, de 4 de septiembre de 2023. Acepta una abstención en el recurso de amparo 2723-2023, promovido en proceso contencioso-administrativo.</w:t>
      </w:r>
      <w:r>
        <w:tab/>
      </w:r>
      <w:r>
        <w:tab/>
      </w:r>
      <w:r>
        <w:fldChar w:fldCharType="begin"/>
      </w:r>
      <w:r>
        <w:instrText xml:space="preserve"> PAGEREF AUTO_2023_415 \h </w:instrText>
      </w:r>
      <w:r>
        <w:fldChar w:fldCharType="separate"/>
      </w:r>
      <w:r w:rsidR="00C73693">
        <w:rPr>
          <w:noProof/>
        </w:rPr>
        <w:t>2226</w:t>
      </w:r>
      <w:r>
        <w:fldChar w:fldCharType="end"/>
      </w:r>
    </w:p>
    <w:p w14:paraId="3BC91DB5" w14:textId="77777777" w:rsidR="007309D3" w:rsidRDefault="007309D3" w:rsidP="007309D3"/>
    <w:p w14:paraId="09E581E5" w14:textId="38A9B858" w:rsidR="007309D3" w:rsidRDefault="007309D3" w:rsidP="007309D3">
      <w:pPr>
        <w:pStyle w:val="EntradandiceAuto"/>
      </w:pPr>
      <w:r>
        <w:t>Sección Tercera. Auto 416/2023, de 4 de septiembre de 2023. Acepta una abstención en el recurso de amparo 2868-2023, promovido en proceso contencioso-administrativo.</w:t>
      </w:r>
      <w:r>
        <w:tab/>
      </w:r>
      <w:r>
        <w:tab/>
      </w:r>
      <w:r>
        <w:fldChar w:fldCharType="begin"/>
      </w:r>
      <w:r>
        <w:instrText xml:space="preserve"> PAGEREF AUTO_2023_416 \h </w:instrText>
      </w:r>
      <w:r>
        <w:fldChar w:fldCharType="separate"/>
      </w:r>
      <w:r w:rsidR="00C73693">
        <w:rPr>
          <w:noProof/>
        </w:rPr>
        <w:t>2228</w:t>
      </w:r>
      <w:r>
        <w:fldChar w:fldCharType="end"/>
      </w:r>
    </w:p>
    <w:p w14:paraId="16F4B966" w14:textId="77777777" w:rsidR="007309D3" w:rsidRDefault="007309D3" w:rsidP="007309D3"/>
    <w:p w14:paraId="62356BBA" w14:textId="61672702" w:rsidR="007309D3" w:rsidRDefault="007309D3" w:rsidP="007309D3">
      <w:pPr>
        <w:pStyle w:val="EntradandiceAuto"/>
      </w:pPr>
      <w:r>
        <w:t>Sección Tercera. Auto 417/2023, de 4 de septiembre de 2023. Acepta una abstención en el recurso de amparo 2964-2023, promovido en proceso contencioso-administrativo.</w:t>
      </w:r>
      <w:r>
        <w:tab/>
      </w:r>
      <w:r>
        <w:tab/>
      </w:r>
      <w:r>
        <w:fldChar w:fldCharType="begin"/>
      </w:r>
      <w:r>
        <w:instrText xml:space="preserve"> PAGEREF AUTO_2023_417 \h </w:instrText>
      </w:r>
      <w:r>
        <w:fldChar w:fldCharType="separate"/>
      </w:r>
      <w:r w:rsidR="00C73693">
        <w:rPr>
          <w:noProof/>
        </w:rPr>
        <w:t>2230</w:t>
      </w:r>
      <w:r>
        <w:fldChar w:fldCharType="end"/>
      </w:r>
    </w:p>
    <w:p w14:paraId="6C50198B" w14:textId="77777777" w:rsidR="007309D3" w:rsidRDefault="007309D3" w:rsidP="007309D3"/>
    <w:p w14:paraId="55FD85CC" w14:textId="226EFEA3" w:rsidR="007309D3" w:rsidRDefault="007309D3" w:rsidP="007309D3">
      <w:pPr>
        <w:pStyle w:val="EntradandiceAuto"/>
      </w:pPr>
      <w:r>
        <w:t>Sección Tercera. Auto 418/2023, de 4 de septiembre de 2023. Acepta una abstención en el recurso de amparo 3039-2023, promovido en proceso contencioso-administrativo.</w:t>
      </w:r>
      <w:r>
        <w:tab/>
      </w:r>
      <w:r>
        <w:tab/>
      </w:r>
      <w:r>
        <w:fldChar w:fldCharType="begin"/>
      </w:r>
      <w:r>
        <w:instrText xml:space="preserve"> PAGEREF AUTO_2023_418 \h </w:instrText>
      </w:r>
      <w:r>
        <w:fldChar w:fldCharType="separate"/>
      </w:r>
      <w:r w:rsidR="00C73693">
        <w:rPr>
          <w:noProof/>
        </w:rPr>
        <w:t>2232</w:t>
      </w:r>
      <w:r>
        <w:fldChar w:fldCharType="end"/>
      </w:r>
    </w:p>
    <w:p w14:paraId="334B0A0F" w14:textId="77777777" w:rsidR="007309D3" w:rsidRDefault="007309D3" w:rsidP="007309D3"/>
    <w:p w14:paraId="2D0230BD" w14:textId="7851577C" w:rsidR="007309D3" w:rsidRDefault="007309D3" w:rsidP="007309D3">
      <w:pPr>
        <w:pStyle w:val="EntradandiceAuto"/>
      </w:pPr>
      <w:r>
        <w:t>Sección Tercera. Auto 419/2023, de 4 de septiembre de 2023. Acepta una abstención en el recurso de amparo 3121-2023, promovido en proceso contencioso-administrativo.</w:t>
      </w:r>
      <w:r>
        <w:tab/>
      </w:r>
      <w:r>
        <w:tab/>
      </w:r>
      <w:r>
        <w:fldChar w:fldCharType="begin"/>
      </w:r>
      <w:r>
        <w:instrText xml:space="preserve"> PAGEREF AUTO_2023_419 \h </w:instrText>
      </w:r>
      <w:r>
        <w:fldChar w:fldCharType="separate"/>
      </w:r>
      <w:r w:rsidR="00C73693">
        <w:rPr>
          <w:noProof/>
        </w:rPr>
        <w:t>2234</w:t>
      </w:r>
      <w:r>
        <w:fldChar w:fldCharType="end"/>
      </w:r>
    </w:p>
    <w:p w14:paraId="20CF34A8" w14:textId="77777777" w:rsidR="007309D3" w:rsidRDefault="007309D3" w:rsidP="007309D3"/>
    <w:p w14:paraId="2AE8F75B" w14:textId="13869BD8" w:rsidR="007309D3" w:rsidRDefault="007309D3" w:rsidP="007309D3">
      <w:pPr>
        <w:pStyle w:val="EntradandiceAuto"/>
      </w:pPr>
      <w:r>
        <w:t>Sección Tercera. Auto 420/2023, de 4 de septiembre de 2023. Acepta una abstención en el recurso de amparo 3125-2023, promovido en proceso contencioso-administrativo.</w:t>
      </w:r>
      <w:r>
        <w:tab/>
      </w:r>
      <w:r>
        <w:tab/>
      </w:r>
      <w:r>
        <w:fldChar w:fldCharType="begin"/>
      </w:r>
      <w:r>
        <w:instrText xml:space="preserve"> PAGEREF AUTO_2023_420 \h </w:instrText>
      </w:r>
      <w:r>
        <w:fldChar w:fldCharType="separate"/>
      </w:r>
      <w:r w:rsidR="00C73693">
        <w:rPr>
          <w:noProof/>
        </w:rPr>
        <w:t>2236</w:t>
      </w:r>
      <w:r>
        <w:fldChar w:fldCharType="end"/>
      </w:r>
    </w:p>
    <w:p w14:paraId="5C04308D" w14:textId="77777777" w:rsidR="007309D3" w:rsidRDefault="007309D3" w:rsidP="007309D3"/>
    <w:p w14:paraId="24717916" w14:textId="0845B249" w:rsidR="007309D3" w:rsidRDefault="007309D3" w:rsidP="007309D3">
      <w:pPr>
        <w:pStyle w:val="EntradandiceAuto"/>
      </w:pPr>
      <w:r>
        <w:t>Sección Tercera. Auto 421/2023, de 4 de septiembre de 2023. Acepta una abstención en el recurso de amparo 3146-2023, promovido en proceso contencioso-administrativo.</w:t>
      </w:r>
      <w:r>
        <w:tab/>
      </w:r>
      <w:r>
        <w:tab/>
      </w:r>
      <w:r>
        <w:fldChar w:fldCharType="begin"/>
      </w:r>
      <w:r>
        <w:instrText xml:space="preserve"> PAGEREF AUTO_2023_421 \h </w:instrText>
      </w:r>
      <w:r>
        <w:fldChar w:fldCharType="separate"/>
      </w:r>
      <w:r w:rsidR="00C73693">
        <w:rPr>
          <w:noProof/>
        </w:rPr>
        <w:t>2238</w:t>
      </w:r>
      <w:r>
        <w:fldChar w:fldCharType="end"/>
      </w:r>
    </w:p>
    <w:p w14:paraId="46C685D5" w14:textId="77777777" w:rsidR="007309D3" w:rsidRDefault="007309D3" w:rsidP="007309D3"/>
    <w:p w14:paraId="7CE1819E" w14:textId="342CB7AF" w:rsidR="007309D3" w:rsidRDefault="007309D3" w:rsidP="007309D3">
      <w:pPr>
        <w:pStyle w:val="EntradandiceAuto"/>
      </w:pPr>
      <w:r>
        <w:t>Sección Tercera. Auto 422/2023, de 4 de septiembre de 2023. Acepta una abstención en el recurso de amparo 3267-2023, promovido en proceso contencioso-administrativo.</w:t>
      </w:r>
      <w:r>
        <w:tab/>
      </w:r>
      <w:r>
        <w:tab/>
      </w:r>
      <w:r>
        <w:fldChar w:fldCharType="begin"/>
      </w:r>
      <w:r>
        <w:instrText xml:space="preserve"> PAGEREF AUTO_2023_422 \h </w:instrText>
      </w:r>
      <w:r>
        <w:fldChar w:fldCharType="separate"/>
      </w:r>
      <w:r w:rsidR="00C73693">
        <w:rPr>
          <w:noProof/>
        </w:rPr>
        <w:t>2240</w:t>
      </w:r>
      <w:r>
        <w:fldChar w:fldCharType="end"/>
      </w:r>
    </w:p>
    <w:p w14:paraId="45D9605A" w14:textId="77777777" w:rsidR="007309D3" w:rsidRDefault="007309D3" w:rsidP="007309D3"/>
    <w:p w14:paraId="11A13926" w14:textId="45E4A65F" w:rsidR="007309D3" w:rsidRDefault="007309D3" w:rsidP="007309D3">
      <w:pPr>
        <w:pStyle w:val="EntradandiceAuto"/>
      </w:pPr>
      <w:r>
        <w:t>Sección Tercera. Auto 423/2023, de 4 de septiembre de 2023. Acepta una abstención en el recurso de amparo 3269-2023, promovido en proceso contencioso-administrativo.</w:t>
      </w:r>
      <w:r>
        <w:tab/>
      </w:r>
      <w:r>
        <w:tab/>
      </w:r>
      <w:r>
        <w:fldChar w:fldCharType="begin"/>
      </w:r>
      <w:r>
        <w:instrText xml:space="preserve"> PAGEREF AUTO_2023_423 \h </w:instrText>
      </w:r>
      <w:r>
        <w:fldChar w:fldCharType="separate"/>
      </w:r>
      <w:r w:rsidR="00C73693">
        <w:rPr>
          <w:noProof/>
        </w:rPr>
        <w:t>2242</w:t>
      </w:r>
      <w:r>
        <w:fldChar w:fldCharType="end"/>
      </w:r>
    </w:p>
    <w:p w14:paraId="43DDDDA1" w14:textId="77777777" w:rsidR="007309D3" w:rsidRDefault="007309D3" w:rsidP="007309D3"/>
    <w:p w14:paraId="61637D8F" w14:textId="049F8779" w:rsidR="007309D3" w:rsidRDefault="007309D3" w:rsidP="007309D3">
      <w:pPr>
        <w:pStyle w:val="EntradandiceAuto"/>
      </w:pPr>
      <w:r>
        <w:t>Sección Tercera. Auto 424/2023, de 4 de septiembre de 2023. Acepta una abstención en el recurso de amparo 3427-2023, promovido en proceso contencioso-administrativo.</w:t>
      </w:r>
      <w:r>
        <w:tab/>
      </w:r>
      <w:r>
        <w:tab/>
      </w:r>
      <w:r>
        <w:fldChar w:fldCharType="begin"/>
      </w:r>
      <w:r>
        <w:instrText xml:space="preserve"> PAGEREF AUTO_2023_424 \h </w:instrText>
      </w:r>
      <w:r>
        <w:fldChar w:fldCharType="separate"/>
      </w:r>
      <w:r w:rsidR="00C73693">
        <w:rPr>
          <w:noProof/>
        </w:rPr>
        <w:t>2244</w:t>
      </w:r>
      <w:r>
        <w:fldChar w:fldCharType="end"/>
      </w:r>
    </w:p>
    <w:p w14:paraId="579292A9" w14:textId="77777777" w:rsidR="007309D3" w:rsidRDefault="007309D3" w:rsidP="007309D3"/>
    <w:p w14:paraId="0C7591B3" w14:textId="27D56B47" w:rsidR="007309D3" w:rsidRDefault="007309D3" w:rsidP="007309D3">
      <w:pPr>
        <w:pStyle w:val="EntradandiceAuto"/>
      </w:pPr>
      <w:r>
        <w:t>Sala Segunda. Auto 425/2023, de 5 de septiembre de 2023. Admite a trámite el recurso de amparo 5529-2023, promovido por el Partido Socialista Obrero Español y otros en procedimiento electoral. Voto particular.</w:t>
      </w:r>
      <w:r>
        <w:tab/>
      </w:r>
      <w:r>
        <w:tab/>
      </w:r>
      <w:r>
        <w:fldChar w:fldCharType="begin"/>
      </w:r>
      <w:r>
        <w:instrText xml:space="preserve"> PAGEREF AUTO_2023_425 \h </w:instrText>
      </w:r>
      <w:r>
        <w:fldChar w:fldCharType="separate"/>
      </w:r>
      <w:r w:rsidR="00C73693">
        <w:rPr>
          <w:noProof/>
        </w:rPr>
        <w:t>2246</w:t>
      </w:r>
      <w:r>
        <w:fldChar w:fldCharType="end"/>
      </w:r>
    </w:p>
    <w:p w14:paraId="51D84600" w14:textId="77777777" w:rsidR="007309D3" w:rsidRDefault="007309D3" w:rsidP="007309D3"/>
    <w:p w14:paraId="795FFBFA" w14:textId="16EEB104" w:rsidR="007309D3" w:rsidRDefault="007309D3" w:rsidP="007309D3">
      <w:pPr>
        <w:pStyle w:val="EntradandiceAuto"/>
      </w:pPr>
      <w:r>
        <w:t>Sección Tercera. Auto 426/2023, de 6 de septiembre de 2023. Acepta una abstención en el recurso de amparo 1847-2022, promovido por la entidad Asociación Emplazamientos y Comunicación Nueva Esperanza, en proceso contencioso-administrativo.</w:t>
      </w:r>
      <w:r>
        <w:tab/>
      </w:r>
      <w:r>
        <w:tab/>
      </w:r>
      <w:r>
        <w:fldChar w:fldCharType="begin"/>
      </w:r>
      <w:r>
        <w:instrText xml:space="preserve"> PAGEREF AUTO_2023_426 \h </w:instrText>
      </w:r>
      <w:r>
        <w:fldChar w:fldCharType="separate"/>
      </w:r>
      <w:r w:rsidR="00C73693">
        <w:rPr>
          <w:noProof/>
        </w:rPr>
        <w:t>2254</w:t>
      </w:r>
      <w:r>
        <w:fldChar w:fldCharType="end"/>
      </w:r>
    </w:p>
    <w:p w14:paraId="2C532EC8" w14:textId="77777777" w:rsidR="007309D3" w:rsidRDefault="007309D3" w:rsidP="007309D3"/>
    <w:p w14:paraId="68795ED3" w14:textId="310CD504" w:rsidR="007309D3" w:rsidRDefault="007309D3" w:rsidP="007309D3">
      <w:pPr>
        <w:pStyle w:val="EntradandiceAuto"/>
      </w:pPr>
      <w:r>
        <w:t>Sección Cuarta. Auto 427/2023, de 11 de septiembre de 2023. Inadmite a trámite el recurso de amparo 1055-2022, promovido por doña Sonsoles Coronado Escudero en proceso contencioso</w:t>
      </w:r>
      <w:r>
        <w:rPr>
          <w:rFonts w:ascii="Cambria Math" w:hAnsi="Cambria Math" w:cs="Cambria Math"/>
        </w:rPr>
        <w:t>‑</w:t>
      </w:r>
      <w:r>
        <w:t>administrativo. Voto particular.</w:t>
      </w:r>
      <w:r>
        <w:tab/>
      </w:r>
      <w:r>
        <w:tab/>
      </w:r>
      <w:r>
        <w:fldChar w:fldCharType="begin"/>
      </w:r>
      <w:r>
        <w:instrText xml:space="preserve"> PAGEREF AUTO_2023_427 \h </w:instrText>
      </w:r>
      <w:r>
        <w:fldChar w:fldCharType="separate"/>
      </w:r>
      <w:r w:rsidR="00C73693">
        <w:rPr>
          <w:noProof/>
        </w:rPr>
        <w:t>2256</w:t>
      </w:r>
      <w:r>
        <w:fldChar w:fldCharType="end"/>
      </w:r>
    </w:p>
    <w:p w14:paraId="20FFC000" w14:textId="77777777" w:rsidR="007309D3" w:rsidRDefault="007309D3" w:rsidP="007309D3"/>
    <w:p w14:paraId="68032F72" w14:textId="50D7C72A" w:rsidR="007309D3" w:rsidRDefault="007309D3" w:rsidP="007309D3">
      <w:pPr>
        <w:pStyle w:val="EntradandiceAuto"/>
      </w:pPr>
      <w:r>
        <w:t>Sala Segunda. Auto 428/2023, de 11 de septiembre de 2023. Deniega la suspensión en el recurso de amparo 1372-2022, promovido por doña Olga Villanueva Illana en procedimiento de desahucio.</w:t>
      </w:r>
      <w:r>
        <w:tab/>
      </w:r>
      <w:r>
        <w:tab/>
      </w:r>
      <w:r>
        <w:fldChar w:fldCharType="begin"/>
      </w:r>
      <w:r>
        <w:instrText xml:space="preserve"> PAGEREF AUTO_2023_428 \h </w:instrText>
      </w:r>
      <w:r>
        <w:fldChar w:fldCharType="separate"/>
      </w:r>
      <w:r w:rsidR="00C73693">
        <w:rPr>
          <w:noProof/>
        </w:rPr>
        <w:t>2276</w:t>
      </w:r>
      <w:r>
        <w:fldChar w:fldCharType="end"/>
      </w:r>
    </w:p>
    <w:p w14:paraId="5AC96BAA" w14:textId="77777777" w:rsidR="007309D3" w:rsidRDefault="007309D3" w:rsidP="007309D3"/>
    <w:p w14:paraId="37CAD964" w14:textId="0B126727" w:rsidR="007309D3" w:rsidRDefault="007309D3" w:rsidP="007309D3">
      <w:pPr>
        <w:pStyle w:val="EntradandiceAuto"/>
      </w:pPr>
      <w:r>
        <w:t>Sala Primera. Auto 429/2023, de 11 de septiembre de 2023. Deniega la suspensión en el recurso de amparo 5505-2022, promovido por doña L.D.D., en procedimiento de jurisdicción voluntaria.</w:t>
      </w:r>
      <w:r>
        <w:tab/>
      </w:r>
      <w:r>
        <w:tab/>
      </w:r>
      <w:r>
        <w:fldChar w:fldCharType="begin"/>
      </w:r>
      <w:r>
        <w:instrText xml:space="preserve"> PAGEREF AUTO_2023_429 \h </w:instrText>
      </w:r>
      <w:r>
        <w:fldChar w:fldCharType="separate"/>
      </w:r>
      <w:r w:rsidR="00C73693">
        <w:rPr>
          <w:noProof/>
        </w:rPr>
        <w:t>2284</w:t>
      </w:r>
      <w:r>
        <w:fldChar w:fldCharType="end"/>
      </w:r>
    </w:p>
    <w:p w14:paraId="6B1DC5CA" w14:textId="77777777" w:rsidR="007309D3" w:rsidRDefault="007309D3" w:rsidP="007309D3"/>
    <w:p w14:paraId="35770BCF" w14:textId="506407BD" w:rsidR="007309D3" w:rsidRDefault="007309D3" w:rsidP="007309D3">
      <w:pPr>
        <w:pStyle w:val="EntradandiceAuto"/>
      </w:pPr>
      <w:r>
        <w:t>Sección Cuarta. Auto 430/2023, de 11 de septiembre de 2023. Acepta una abstención en el recurso de amparo 8550-2022, promovido en proceso contencioso-administrativo.</w:t>
      </w:r>
      <w:r>
        <w:tab/>
      </w:r>
      <w:r>
        <w:tab/>
      </w:r>
      <w:r>
        <w:fldChar w:fldCharType="begin"/>
      </w:r>
      <w:r>
        <w:instrText xml:space="preserve"> PAGEREF AUTO_2023_430 \h </w:instrText>
      </w:r>
      <w:r>
        <w:fldChar w:fldCharType="separate"/>
      </w:r>
      <w:r w:rsidR="00C73693">
        <w:rPr>
          <w:noProof/>
        </w:rPr>
        <w:t>2289</w:t>
      </w:r>
      <w:r>
        <w:fldChar w:fldCharType="end"/>
      </w:r>
    </w:p>
    <w:p w14:paraId="7D89C08B" w14:textId="77777777" w:rsidR="007309D3" w:rsidRDefault="007309D3" w:rsidP="007309D3"/>
    <w:p w14:paraId="12B8594C" w14:textId="4562E5E8" w:rsidR="007309D3" w:rsidRDefault="007309D3" w:rsidP="007309D3">
      <w:pPr>
        <w:pStyle w:val="EntradandiceAuto"/>
      </w:pPr>
      <w:r>
        <w:t>Sala Primera. Auto 431/2023, de 11 de septiembre de 2023. Deniega la suspensión en el recurso de amparo 572-2023, promovido por doña M.M.Q.C., en procedimiento de jurisdicción voluntaria.</w:t>
      </w:r>
      <w:r>
        <w:tab/>
      </w:r>
      <w:r>
        <w:tab/>
      </w:r>
      <w:r>
        <w:fldChar w:fldCharType="begin"/>
      </w:r>
      <w:r>
        <w:instrText xml:space="preserve"> PAGEREF AUTO_2023_431 \h </w:instrText>
      </w:r>
      <w:r>
        <w:fldChar w:fldCharType="separate"/>
      </w:r>
      <w:r w:rsidR="00C73693">
        <w:rPr>
          <w:noProof/>
        </w:rPr>
        <w:t>2291</w:t>
      </w:r>
      <w:r>
        <w:fldChar w:fldCharType="end"/>
      </w:r>
    </w:p>
    <w:p w14:paraId="4A0A785E" w14:textId="77777777" w:rsidR="007309D3" w:rsidRDefault="007309D3" w:rsidP="007309D3"/>
    <w:p w14:paraId="2AB4A62D" w14:textId="64FBD045" w:rsidR="007309D3" w:rsidRDefault="007309D3" w:rsidP="007309D3">
      <w:pPr>
        <w:pStyle w:val="EntradandiceAuto"/>
      </w:pPr>
      <w:r>
        <w:t>Sala Segunda. Auto 432/2023, de 11 de septiembre de 2023. Inadmite una recusación en el recurso de amparo 5529-2023, promovido por el Partido Socialista Obrero Español en proceso electoral.</w:t>
      </w:r>
      <w:r>
        <w:tab/>
      </w:r>
      <w:r>
        <w:tab/>
      </w:r>
      <w:r>
        <w:fldChar w:fldCharType="begin"/>
      </w:r>
      <w:r>
        <w:instrText xml:space="preserve"> PAGEREF AUTO_2023_432 \h </w:instrText>
      </w:r>
      <w:r>
        <w:fldChar w:fldCharType="separate"/>
      </w:r>
      <w:r w:rsidR="00C73693">
        <w:rPr>
          <w:noProof/>
        </w:rPr>
        <w:t>2295</w:t>
      </w:r>
      <w:r>
        <w:fldChar w:fldCharType="end"/>
      </w:r>
    </w:p>
    <w:p w14:paraId="0DA9B88D" w14:textId="77777777" w:rsidR="007309D3" w:rsidRDefault="007309D3" w:rsidP="007309D3"/>
    <w:p w14:paraId="4F30DA8F" w14:textId="47780524" w:rsidR="007309D3" w:rsidRDefault="007309D3" w:rsidP="007309D3">
      <w:pPr>
        <w:pStyle w:val="EntradandiceAuto"/>
      </w:pPr>
      <w:r>
        <w:t>Pleno. Auto 433/2023, de 12 de septiembre de 2023. Acepta una abstención en las cuestiones de inconstitucionalidad núm. 4242-2023 y 4408-2023, planteadas contra la Ley 16/2022, de 5 de septiembre, de reforma del texto refundido de la Ley Concursal, aprobado por Real Decreto Legislativo 1/2020, de 5 de mayo.</w:t>
      </w:r>
      <w:r>
        <w:tab/>
      </w:r>
      <w:r>
        <w:tab/>
      </w:r>
      <w:r>
        <w:fldChar w:fldCharType="begin"/>
      </w:r>
      <w:r>
        <w:instrText xml:space="preserve"> PAGEREF AUTO_2023_433 \h </w:instrText>
      </w:r>
      <w:r>
        <w:fldChar w:fldCharType="separate"/>
      </w:r>
      <w:r w:rsidR="00C73693">
        <w:rPr>
          <w:noProof/>
        </w:rPr>
        <w:t>2299</w:t>
      </w:r>
      <w:r>
        <w:fldChar w:fldCharType="end"/>
      </w:r>
    </w:p>
    <w:p w14:paraId="4C78C75C" w14:textId="77777777" w:rsidR="007309D3" w:rsidRDefault="007309D3" w:rsidP="007309D3"/>
    <w:p w14:paraId="07FE24BF" w14:textId="1A13FA7E" w:rsidR="007309D3" w:rsidRDefault="007309D3" w:rsidP="007309D3">
      <w:pPr>
        <w:pStyle w:val="EntradandiceAuto"/>
      </w:pPr>
      <w:r>
        <w:t>Pleno. Auto 434/2023, de 12 de septiembre de 2023. Acepta una abstención en el recurso de amparo 5439-2023, promovido por don Carles Puigdemont i Casamajó y don Antoni Comín i Oliveres en causa penal.</w:t>
      </w:r>
      <w:r>
        <w:tab/>
      </w:r>
      <w:r>
        <w:tab/>
      </w:r>
      <w:r>
        <w:fldChar w:fldCharType="begin"/>
      </w:r>
      <w:r>
        <w:instrText xml:space="preserve"> PAGEREF AUTO_2023_434 \h </w:instrText>
      </w:r>
      <w:r>
        <w:fldChar w:fldCharType="separate"/>
      </w:r>
      <w:r w:rsidR="00C73693">
        <w:rPr>
          <w:noProof/>
        </w:rPr>
        <w:t>2301</w:t>
      </w:r>
      <w:r>
        <w:fldChar w:fldCharType="end"/>
      </w:r>
    </w:p>
    <w:p w14:paraId="28F033CA" w14:textId="77777777" w:rsidR="007309D3" w:rsidRDefault="007309D3" w:rsidP="007309D3"/>
    <w:p w14:paraId="59580A2B" w14:textId="68F3E59F" w:rsidR="007309D3" w:rsidRDefault="007309D3" w:rsidP="007309D3">
      <w:pPr>
        <w:pStyle w:val="EntradandiceAuto"/>
      </w:pPr>
      <w:r>
        <w:t>Sección Tercera. Auto 435/2023, de 22 de septiembre de 2023. Acepta una abstención en el recurso de amparo 2672-2022, promovido en proceso contencioso administrativo.</w:t>
      </w:r>
      <w:r>
        <w:tab/>
      </w:r>
      <w:r>
        <w:tab/>
      </w:r>
      <w:r>
        <w:fldChar w:fldCharType="begin"/>
      </w:r>
      <w:r>
        <w:instrText xml:space="preserve"> PAGEREF AUTO_2023_435 \h </w:instrText>
      </w:r>
      <w:r>
        <w:fldChar w:fldCharType="separate"/>
      </w:r>
      <w:r w:rsidR="00C73693">
        <w:rPr>
          <w:noProof/>
        </w:rPr>
        <w:t>2303</w:t>
      </w:r>
      <w:r>
        <w:fldChar w:fldCharType="end"/>
      </w:r>
    </w:p>
    <w:p w14:paraId="499C8F8B" w14:textId="77777777" w:rsidR="007309D3" w:rsidRDefault="007309D3" w:rsidP="007309D3"/>
    <w:p w14:paraId="2E812066" w14:textId="3EC26871" w:rsidR="007309D3" w:rsidRDefault="007309D3" w:rsidP="007309D3">
      <w:pPr>
        <w:pStyle w:val="EntradandiceAuto"/>
      </w:pPr>
      <w:r>
        <w:t>Sala Primera. Auto 436/2023, de 25 de septiembre de 2023. Deniega la suspensión en el recurso de amparo 1289-2023, promovido doña R. M. S. P., en procedimiento de jurisdicción voluntaria.</w:t>
      </w:r>
      <w:r>
        <w:tab/>
      </w:r>
      <w:r>
        <w:tab/>
      </w:r>
      <w:r>
        <w:fldChar w:fldCharType="begin"/>
      </w:r>
      <w:r>
        <w:instrText xml:space="preserve"> PAGEREF AUTO_2023_436 \h </w:instrText>
      </w:r>
      <w:r>
        <w:fldChar w:fldCharType="separate"/>
      </w:r>
      <w:r w:rsidR="00C73693">
        <w:rPr>
          <w:noProof/>
        </w:rPr>
        <w:t>2305</w:t>
      </w:r>
      <w:r>
        <w:fldChar w:fldCharType="end"/>
      </w:r>
    </w:p>
    <w:p w14:paraId="112B3DAE" w14:textId="77777777" w:rsidR="007309D3" w:rsidRDefault="007309D3" w:rsidP="007309D3"/>
    <w:p w14:paraId="3020E77A" w14:textId="44CEDB80" w:rsidR="007309D3" w:rsidRDefault="007309D3" w:rsidP="007309D3">
      <w:pPr>
        <w:pStyle w:val="EntradandiceAuto"/>
      </w:pPr>
      <w:r>
        <w:t>Pleno. Auto 437/2023, de 26 de septiembre de 2023. Acuerda el desistimiento y archiva la pieza separada de suspensión en el recurso de amparo 2119-2023, promovido por don José Antonio Griñán Martínez, en causa penal.</w:t>
      </w:r>
      <w:r>
        <w:tab/>
      </w:r>
      <w:r>
        <w:tab/>
      </w:r>
      <w:r>
        <w:fldChar w:fldCharType="begin"/>
      </w:r>
      <w:r>
        <w:instrText xml:space="preserve"> PAGEREF AUTO_2023_437 \h </w:instrText>
      </w:r>
      <w:r>
        <w:fldChar w:fldCharType="separate"/>
      </w:r>
      <w:r w:rsidR="00C73693">
        <w:rPr>
          <w:noProof/>
        </w:rPr>
        <w:t>2315</w:t>
      </w:r>
      <w:r>
        <w:fldChar w:fldCharType="end"/>
      </w:r>
    </w:p>
    <w:p w14:paraId="3FA08899" w14:textId="77777777" w:rsidR="007309D3" w:rsidRDefault="007309D3" w:rsidP="007309D3"/>
    <w:p w14:paraId="6E412AA6" w14:textId="5C9AD888" w:rsidR="007309D3" w:rsidRDefault="007309D3" w:rsidP="007309D3">
      <w:pPr>
        <w:pStyle w:val="EntradandiceAuto"/>
      </w:pPr>
      <w:r>
        <w:t>Pleno. Auto 438/2023, de 26 de septiembre de 2023. Deniega la suspensión en el recurso de amparo 2136-2023, promovido por don Miguel Ángel Serrano Aguilar en causa penal.</w:t>
      </w:r>
      <w:r>
        <w:tab/>
      </w:r>
      <w:r>
        <w:tab/>
      </w:r>
      <w:r>
        <w:fldChar w:fldCharType="begin"/>
      </w:r>
      <w:r>
        <w:instrText xml:space="preserve"> PAGEREF AUTO_2023_438 \h </w:instrText>
      </w:r>
      <w:r>
        <w:fldChar w:fldCharType="separate"/>
      </w:r>
      <w:r w:rsidR="00C73693">
        <w:rPr>
          <w:noProof/>
        </w:rPr>
        <w:t>2318</w:t>
      </w:r>
      <w:r>
        <w:fldChar w:fldCharType="end"/>
      </w:r>
    </w:p>
    <w:p w14:paraId="49D347F0" w14:textId="77777777" w:rsidR="007309D3" w:rsidRDefault="007309D3" w:rsidP="007309D3"/>
    <w:p w14:paraId="2B0EFC26" w14:textId="159436F0" w:rsidR="007309D3" w:rsidRDefault="007309D3" w:rsidP="007309D3">
      <w:pPr>
        <w:pStyle w:val="EntradandiceAuto"/>
      </w:pPr>
      <w:r>
        <w:t>Pleno. Auto 439/2023, de 26 de septiembre de 2023. Deniega la suspensión en el recurso de amparo 2239-2023, promovido por don Juan Márquez Contreras en causa penal.</w:t>
      </w:r>
      <w:r>
        <w:tab/>
      </w:r>
      <w:r>
        <w:tab/>
      </w:r>
      <w:r>
        <w:fldChar w:fldCharType="begin"/>
      </w:r>
      <w:r>
        <w:instrText xml:space="preserve"> PAGEREF AUTO_2023_439 \h </w:instrText>
      </w:r>
      <w:r>
        <w:fldChar w:fldCharType="separate"/>
      </w:r>
      <w:r w:rsidR="00C73693">
        <w:rPr>
          <w:noProof/>
        </w:rPr>
        <w:t>2324</w:t>
      </w:r>
      <w:r>
        <w:fldChar w:fldCharType="end"/>
      </w:r>
    </w:p>
    <w:p w14:paraId="5611F2E4" w14:textId="77777777" w:rsidR="007309D3" w:rsidRDefault="007309D3" w:rsidP="007309D3"/>
    <w:p w14:paraId="7FF6198A" w14:textId="5F491107" w:rsidR="007309D3" w:rsidRDefault="007309D3" w:rsidP="007309D3">
      <w:pPr>
        <w:pStyle w:val="EntradandiceAuto"/>
      </w:pPr>
      <w:r>
        <w:t>Pleno. Auto 440/2023, de 26 de septiembre de 2023. Deniega la suspensión en el recurso de amparo 2348-2023, promovido por don Antonio Fernández García en causa penal.</w:t>
      </w:r>
      <w:r>
        <w:tab/>
      </w:r>
      <w:r>
        <w:tab/>
      </w:r>
      <w:r>
        <w:fldChar w:fldCharType="begin"/>
      </w:r>
      <w:r>
        <w:instrText xml:space="preserve"> PAGEREF AUTO_2023_440 \h </w:instrText>
      </w:r>
      <w:r>
        <w:fldChar w:fldCharType="separate"/>
      </w:r>
      <w:r w:rsidR="00C73693">
        <w:rPr>
          <w:noProof/>
        </w:rPr>
        <w:t>2329</w:t>
      </w:r>
      <w:r>
        <w:fldChar w:fldCharType="end"/>
      </w:r>
    </w:p>
    <w:p w14:paraId="44D0BFBF" w14:textId="77777777" w:rsidR="007309D3" w:rsidRDefault="007309D3" w:rsidP="007309D3"/>
    <w:p w14:paraId="28317E08" w14:textId="7298CCDB" w:rsidR="007309D3" w:rsidRDefault="007309D3" w:rsidP="007309D3">
      <w:pPr>
        <w:pStyle w:val="EntradandiceAuto"/>
      </w:pPr>
      <w:r>
        <w:t>Pleno. Auto 441/2023, de 26 de septiembre de 2023. Deniega la suspensión en el recurso de amparo 2360-2023, promovido por don Francisco Vallejo Serrano en causa penal.</w:t>
      </w:r>
      <w:r>
        <w:tab/>
      </w:r>
      <w:r>
        <w:tab/>
      </w:r>
      <w:r>
        <w:fldChar w:fldCharType="begin"/>
      </w:r>
      <w:r>
        <w:instrText xml:space="preserve"> PAGEREF AUTO_2023_441 \h </w:instrText>
      </w:r>
      <w:r>
        <w:fldChar w:fldCharType="separate"/>
      </w:r>
      <w:r w:rsidR="00C73693">
        <w:rPr>
          <w:noProof/>
        </w:rPr>
        <w:t>2334</w:t>
      </w:r>
      <w:r>
        <w:fldChar w:fldCharType="end"/>
      </w:r>
    </w:p>
    <w:p w14:paraId="5FCD4BAC" w14:textId="77777777" w:rsidR="007309D3" w:rsidRDefault="007309D3" w:rsidP="007309D3"/>
    <w:p w14:paraId="38BF81F0" w14:textId="3FE59793" w:rsidR="007309D3" w:rsidRDefault="007309D3" w:rsidP="007309D3">
      <w:pPr>
        <w:pStyle w:val="EntradandiceAuto"/>
      </w:pPr>
      <w:r>
        <w:t>Pleno. Auto 442/2023, de 26 de septiembre de 2023. Deniega la suspensión en el recurso de amparo 2361-2023, promovido por don Jesús María Rodríguez Román en causa penal.</w:t>
      </w:r>
      <w:r>
        <w:tab/>
      </w:r>
      <w:r>
        <w:tab/>
      </w:r>
      <w:r>
        <w:fldChar w:fldCharType="begin"/>
      </w:r>
      <w:r>
        <w:instrText xml:space="preserve"> PAGEREF AUTO_2023_442 \h </w:instrText>
      </w:r>
      <w:r>
        <w:fldChar w:fldCharType="separate"/>
      </w:r>
      <w:r w:rsidR="00C73693">
        <w:rPr>
          <w:noProof/>
        </w:rPr>
        <w:t>2340</w:t>
      </w:r>
      <w:r>
        <w:fldChar w:fldCharType="end"/>
      </w:r>
    </w:p>
    <w:p w14:paraId="5B5C310A" w14:textId="77777777" w:rsidR="007309D3" w:rsidRDefault="007309D3" w:rsidP="007309D3"/>
    <w:p w14:paraId="3CE1DCE9" w14:textId="7AF190A8" w:rsidR="007309D3" w:rsidRDefault="007309D3" w:rsidP="007309D3">
      <w:pPr>
        <w:pStyle w:val="EntradandiceAuto"/>
      </w:pPr>
      <w:r>
        <w:t>Pleno. Auto 443/2023, de 26 de septiembre de 2023. Deniega la suspensión en el recurso de amparo 2391-2023, promovido por doña Carmen Martínez Aguayo en causa penal.</w:t>
      </w:r>
      <w:r>
        <w:tab/>
      </w:r>
      <w:r>
        <w:tab/>
      </w:r>
      <w:r>
        <w:fldChar w:fldCharType="begin"/>
      </w:r>
      <w:r>
        <w:instrText xml:space="preserve"> PAGEREF AUTO_2023_443 \h </w:instrText>
      </w:r>
      <w:r>
        <w:fldChar w:fldCharType="separate"/>
      </w:r>
      <w:r w:rsidR="00C73693">
        <w:rPr>
          <w:noProof/>
        </w:rPr>
        <w:t>2346</w:t>
      </w:r>
      <w:r>
        <w:fldChar w:fldCharType="end"/>
      </w:r>
    </w:p>
    <w:p w14:paraId="02B78B67" w14:textId="77777777" w:rsidR="007309D3" w:rsidRDefault="007309D3" w:rsidP="007309D3"/>
    <w:p w14:paraId="262073DD" w14:textId="6E605DC9" w:rsidR="007309D3" w:rsidRDefault="007309D3" w:rsidP="007309D3">
      <w:pPr>
        <w:pStyle w:val="EntradandiceAuto"/>
      </w:pPr>
      <w:r>
        <w:t>Pleno. Auto 444/2023, de 26 de septiembre de 2023. Deniega la suspensión en el recurso de amparo 2552-2023, promovido por don José Antonio Viera Chacón en causa penal.</w:t>
      </w:r>
      <w:r>
        <w:tab/>
      </w:r>
      <w:r>
        <w:tab/>
      </w:r>
      <w:r>
        <w:fldChar w:fldCharType="begin"/>
      </w:r>
      <w:r>
        <w:instrText xml:space="preserve"> PAGEREF AUTO_2023_444 \h </w:instrText>
      </w:r>
      <w:r>
        <w:fldChar w:fldCharType="separate"/>
      </w:r>
      <w:r w:rsidR="00C73693">
        <w:rPr>
          <w:noProof/>
        </w:rPr>
        <w:t>2352</w:t>
      </w:r>
      <w:r>
        <w:fldChar w:fldCharType="end"/>
      </w:r>
    </w:p>
    <w:p w14:paraId="5E9485E2" w14:textId="77777777" w:rsidR="007309D3" w:rsidRDefault="007309D3" w:rsidP="007309D3"/>
    <w:p w14:paraId="195FC74B" w14:textId="1249BD6B" w:rsidR="007309D3" w:rsidRDefault="007309D3" w:rsidP="007309D3">
      <w:pPr>
        <w:pStyle w:val="EntradandiceAuto"/>
      </w:pPr>
      <w:r>
        <w:t>Pleno. Auto 445/2023, de 27 de septiembre de 2023. Mantiene la suspensión acordada en el recurso de inconstitucionalidad 3133-2023, interpuesto por el presidente del Gobierno respecto de la disposición adicional segunda de la Ley de la Asamblea de Madrid 1/2023, de 15 de febrero, de creación de la Agencia Madrileña para el Apoyo a las Personas Adultas con Discapacidad.</w:t>
      </w:r>
      <w:r>
        <w:tab/>
      </w:r>
      <w:r>
        <w:tab/>
      </w:r>
      <w:r>
        <w:fldChar w:fldCharType="begin"/>
      </w:r>
      <w:r>
        <w:instrText xml:space="preserve"> PAGEREF AUTO_2023_445 \h </w:instrText>
      </w:r>
      <w:r>
        <w:fldChar w:fldCharType="separate"/>
      </w:r>
      <w:r w:rsidR="00C73693">
        <w:rPr>
          <w:noProof/>
        </w:rPr>
        <w:t>2356</w:t>
      </w:r>
      <w:r>
        <w:fldChar w:fldCharType="end"/>
      </w:r>
    </w:p>
    <w:p w14:paraId="7DB33BCA" w14:textId="77777777" w:rsidR="007309D3" w:rsidRDefault="007309D3" w:rsidP="007309D3"/>
    <w:p w14:paraId="54AB2473" w14:textId="0A6D72A7" w:rsidR="007309D3" w:rsidRDefault="007309D3" w:rsidP="007309D3">
      <w:pPr>
        <w:pStyle w:val="EntradandiceAuto"/>
      </w:pPr>
      <w:r>
        <w:t>Pleno. Auto 446/2023, de 27 de septiembre de 2023. Inadmite a trámite la cuestión de inconstitucionalidad 3594-2023, planteada por la Sala de lo Social del Tribunal Superior de Justicia del País Vasco respecto del artículo 177 del texto refundido de la Ley general de la Seguridad Social, el artículo 48.4 del texto refundido de la Ley del estatuto de los trabajadores y, en su caso, el artículo 49 a) y c) del texto refundido de la Ley del estatuto básico del empleado público.</w:t>
      </w:r>
      <w:r>
        <w:tab/>
      </w:r>
      <w:r>
        <w:tab/>
      </w:r>
      <w:r>
        <w:fldChar w:fldCharType="begin"/>
      </w:r>
      <w:r>
        <w:instrText xml:space="preserve"> PAGEREF AUTO_2023_446 \h </w:instrText>
      </w:r>
      <w:r>
        <w:fldChar w:fldCharType="separate"/>
      </w:r>
      <w:r w:rsidR="00C73693">
        <w:rPr>
          <w:noProof/>
        </w:rPr>
        <w:t>2364</w:t>
      </w:r>
      <w:r>
        <w:fldChar w:fldCharType="end"/>
      </w:r>
    </w:p>
    <w:p w14:paraId="681D8849" w14:textId="77777777" w:rsidR="007309D3" w:rsidRDefault="007309D3" w:rsidP="007309D3"/>
    <w:p w14:paraId="3E339486" w14:textId="1E97D8CD" w:rsidR="007309D3" w:rsidRDefault="007309D3" w:rsidP="007309D3">
      <w:pPr>
        <w:pStyle w:val="EntradandiceAuto"/>
      </w:pPr>
      <w:r>
        <w:t>Sección Cuarta. Auto 447/2023, de 5 de octubre de 2023. Estima el recurso de súplica interpuesto por el Ministerio Fiscal en relación con la providencia de inadmisión, e inadmite a trámite el recurso de amparo 8357-2022, promovido por Limpieza de Málaga, Sociedad Anónima Municipal, en litigio social.</w:t>
      </w:r>
      <w:r>
        <w:tab/>
      </w:r>
      <w:r>
        <w:tab/>
      </w:r>
      <w:r>
        <w:fldChar w:fldCharType="begin"/>
      </w:r>
      <w:r>
        <w:instrText xml:space="preserve"> PAGEREF AUTO_2023_447 \h </w:instrText>
      </w:r>
      <w:r>
        <w:fldChar w:fldCharType="separate"/>
      </w:r>
      <w:r w:rsidR="00C73693">
        <w:rPr>
          <w:noProof/>
        </w:rPr>
        <w:t>2372</w:t>
      </w:r>
      <w:r>
        <w:fldChar w:fldCharType="end"/>
      </w:r>
    </w:p>
    <w:p w14:paraId="44148A3F" w14:textId="77777777" w:rsidR="007309D3" w:rsidRDefault="007309D3" w:rsidP="007309D3"/>
    <w:p w14:paraId="396D5AB7" w14:textId="3818BE72" w:rsidR="007309D3" w:rsidRDefault="007309D3" w:rsidP="007309D3">
      <w:pPr>
        <w:pStyle w:val="EntradandiceAuto"/>
      </w:pPr>
      <w:r>
        <w:t>Sección Cuarta. Auto 448/2023, de 10 de octubre de 2023. Estima el recurso de súplica interpuesto por el Ministerio Fiscal en relación con la providencia de inadmisión, e inadmite a trámite el recurso de amparo 8345-2022, promovido por don Ivan Líder Quito Ramos, en pleito civil.</w:t>
      </w:r>
      <w:r>
        <w:tab/>
      </w:r>
      <w:r>
        <w:tab/>
      </w:r>
      <w:r>
        <w:fldChar w:fldCharType="begin"/>
      </w:r>
      <w:r>
        <w:instrText xml:space="preserve"> PAGEREF AUTO_2023_448 \h </w:instrText>
      </w:r>
      <w:r>
        <w:fldChar w:fldCharType="separate"/>
      </w:r>
      <w:r w:rsidR="00C73693">
        <w:rPr>
          <w:noProof/>
        </w:rPr>
        <w:t>2376</w:t>
      </w:r>
      <w:r>
        <w:fldChar w:fldCharType="end"/>
      </w:r>
    </w:p>
    <w:p w14:paraId="097007E5" w14:textId="77777777" w:rsidR="007309D3" w:rsidRDefault="007309D3" w:rsidP="007309D3"/>
    <w:p w14:paraId="0573D2CA" w14:textId="748BB9AB" w:rsidR="007309D3" w:rsidRDefault="007309D3" w:rsidP="007309D3">
      <w:pPr>
        <w:pStyle w:val="EntradandiceAuto"/>
      </w:pPr>
      <w:r>
        <w:t>Sección Tercera. Auto 449/2023, de 10 de octubre de 2023. Acepta una abstención en el recurso de amparo 8544-2022, promovido por el partido político Vox, en causa penal.</w:t>
      </w:r>
      <w:r>
        <w:tab/>
      </w:r>
      <w:r>
        <w:tab/>
      </w:r>
      <w:r>
        <w:fldChar w:fldCharType="begin"/>
      </w:r>
      <w:r>
        <w:instrText xml:space="preserve"> PAGEREF AUTO_2023_449 \h </w:instrText>
      </w:r>
      <w:r>
        <w:fldChar w:fldCharType="separate"/>
      </w:r>
      <w:r w:rsidR="00C73693">
        <w:rPr>
          <w:noProof/>
        </w:rPr>
        <w:t>2382</w:t>
      </w:r>
      <w:r>
        <w:fldChar w:fldCharType="end"/>
      </w:r>
    </w:p>
    <w:p w14:paraId="7E0EC160" w14:textId="77777777" w:rsidR="007309D3" w:rsidRDefault="007309D3" w:rsidP="007309D3"/>
    <w:p w14:paraId="3899FEF5" w14:textId="60818D0F" w:rsidR="007309D3" w:rsidRDefault="007309D3" w:rsidP="007309D3">
      <w:pPr>
        <w:pStyle w:val="EntradandiceAuto"/>
      </w:pPr>
      <w:r>
        <w:t>Sección Tercera. Auto 450/2023, de 23 de octubre de 2023. Acepta una abstención en el recurso de amparo 533-2022, promovido en proceso contencioso-administrativo.</w:t>
      </w:r>
      <w:r>
        <w:tab/>
      </w:r>
      <w:r>
        <w:tab/>
      </w:r>
      <w:r>
        <w:fldChar w:fldCharType="begin"/>
      </w:r>
      <w:r>
        <w:instrText xml:space="preserve"> PAGEREF AUTO_2023_450 \h </w:instrText>
      </w:r>
      <w:r>
        <w:fldChar w:fldCharType="separate"/>
      </w:r>
      <w:r w:rsidR="00C73693">
        <w:rPr>
          <w:noProof/>
        </w:rPr>
        <w:t>2384</w:t>
      </w:r>
      <w:r>
        <w:fldChar w:fldCharType="end"/>
      </w:r>
    </w:p>
    <w:p w14:paraId="4D9EE752" w14:textId="77777777" w:rsidR="007309D3" w:rsidRDefault="007309D3" w:rsidP="007309D3"/>
    <w:p w14:paraId="2C49D0DC" w14:textId="4C318602" w:rsidR="007309D3" w:rsidRDefault="007309D3" w:rsidP="007309D3">
      <w:pPr>
        <w:pStyle w:val="EntradandiceAuto"/>
      </w:pPr>
      <w:r>
        <w:t>Sección Tercera. Auto 451/2023, de 23 de octubre de 2023. Acepta una abstención en el recurso de amparo 1552-2022, promovido en proceso contencioso-administrativo.</w:t>
      </w:r>
      <w:r>
        <w:tab/>
      </w:r>
      <w:r>
        <w:tab/>
      </w:r>
      <w:r>
        <w:fldChar w:fldCharType="begin"/>
      </w:r>
      <w:r>
        <w:instrText xml:space="preserve"> PAGEREF AUTO_2023_451 \h </w:instrText>
      </w:r>
      <w:r>
        <w:fldChar w:fldCharType="separate"/>
      </w:r>
      <w:r w:rsidR="00C73693">
        <w:rPr>
          <w:noProof/>
        </w:rPr>
        <w:t>2386</w:t>
      </w:r>
      <w:r>
        <w:fldChar w:fldCharType="end"/>
      </w:r>
    </w:p>
    <w:p w14:paraId="5434FA10" w14:textId="77777777" w:rsidR="007309D3" w:rsidRDefault="007309D3" w:rsidP="007309D3"/>
    <w:p w14:paraId="606325AA" w14:textId="42A20AB7" w:rsidR="007309D3" w:rsidRDefault="007309D3" w:rsidP="007309D3">
      <w:pPr>
        <w:pStyle w:val="EntradandiceAuto"/>
      </w:pPr>
      <w:r>
        <w:t>Sección Tercera. Auto 452/2023, de 23 de octubre de 2023. Acepta una abstención en el recurso de amparo 1865-2022, promovido en proceso contencioso-administrativo.</w:t>
      </w:r>
      <w:r>
        <w:tab/>
      </w:r>
      <w:r>
        <w:tab/>
      </w:r>
      <w:r>
        <w:fldChar w:fldCharType="begin"/>
      </w:r>
      <w:r>
        <w:instrText xml:space="preserve"> PAGEREF AUTO_2023_452 \h </w:instrText>
      </w:r>
      <w:r>
        <w:fldChar w:fldCharType="separate"/>
      </w:r>
      <w:r w:rsidR="00C73693">
        <w:rPr>
          <w:noProof/>
        </w:rPr>
        <w:t>2388</w:t>
      </w:r>
      <w:r>
        <w:fldChar w:fldCharType="end"/>
      </w:r>
    </w:p>
    <w:p w14:paraId="191FDD3A" w14:textId="77777777" w:rsidR="007309D3" w:rsidRDefault="007309D3" w:rsidP="007309D3"/>
    <w:p w14:paraId="06C0D9A4" w14:textId="5A2AD570" w:rsidR="007309D3" w:rsidRDefault="007309D3" w:rsidP="007309D3">
      <w:pPr>
        <w:pStyle w:val="EntradandiceAuto"/>
      </w:pPr>
      <w:r>
        <w:t>Sección Tercera. Auto 453/2023, de 23 de octubre de 2023. Acepta una abstención en el recurso de amparo 2402-2022, promovido en proceso contencioso-administrativo.</w:t>
      </w:r>
      <w:r>
        <w:tab/>
      </w:r>
      <w:r>
        <w:tab/>
      </w:r>
      <w:r>
        <w:fldChar w:fldCharType="begin"/>
      </w:r>
      <w:r>
        <w:instrText xml:space="preserve"> PAGEREF AUTO_2023_453 \h </w:instrText>
      </w:r>
      <w:r>
        <w:fldChar w:fldCharType="separate"/>
      </w:r>
      <w:r w:rsidR="00C73693">
        <w:rPr>
          <w:noProof/>
        </w:rPr>
        <w:t>2390</w:t>
      </w:r>
      <w:r>
        <w:fldChar w:fldCharType="end"/>
      </w:r>
    </w:p>
    <w:p w14:paraId="4F03EBBE" w14:textId="77777777" w:rsidR="007309D3" w:rsidRDefault="007309D3" w:rsidP="007309D3"/>
    <w:p w14:paraId="0309ABBA" w14:textId="305D4905" w:rsidR="007309D3" w:rsidRDefault="007309D3" w:rsidP="007309D3">
      <w:pPr>
        <w:pStyle w:val="EntradandiceAuto"/>
      </w:pPr>
      <w:r>
        <w:t>Sección Tercera. Auto 454/2023, de 23 de octubre de 2023. Acepta una abstención en el recurso de amparo 2669-2022, promovido en proceso contencioso-administrativo.</w:t>
      </w:r>
      <w:r>
        <w:tab/>
      </w:r>
      <w:r>
        <w:tab/>
      </w:r>
      <w:r>
        <w:fldChar w:fldCharType="begin"/>
      </w:r>
      <w:r>
        <w:instrText xml:space="preserve"> PAGEREF AUTO_2023_454 \h </w:instrText>
      </w:r>
      <w:r>
        <w:fldChar w:fldCharType="separate"/>
      </w:r>
      <w:r w:rsidR="00C73693">
        <w:rPr>
          <w:noProof/>
        </w:rPr>
        <w:t>2392</w:t>
      </w:r>
      <w:r>
        <w:fldChar w:fldCharType="end"/>
      </w:r>
    </w:p>
    <w:p w14:paraId="670C6CBF" w14:textId="77777777" w:rsidR="007309D3" w:rsidRDefault="007309D3" w:rsidP="007309D3"/>
    <w:p w14:paraId="39D77108" w14:textId="3F71ECEC" w:rsidR="007309D3" w:rsidRDefault="007309D3" w:rsidP="007309D3">
      <w:pPr>
        <w:pStyle w:val="EntradandiceAuto"/>
      </w:pPr>
      <w:r>
        <w:t>Sección Tercera. Auto 455/2023, de 23 de octubre de 2023. Acepta una abstención en el recurso de amparo 3245-2022, promovido en proceso contencioso-administrativo.</w:t>
      </w:r>
      <w:r>
        <w:tab/>
      </w:r>
      <w:r>
        <w:tab/>
      </w:r>
      <w:r>
        <w:fldChar w:fldCharType="begin"/>
      </w:r>
      <w:r>
        <w:instrText xml:space="preserve"> PAGEREF AUTO_2023_455 \h </w:instrText>
      </w:r>
      <w:r>
        <w:fldChar w:fldCharType="separate"/>
      </w:r>
      <w:r w:rsidR="00C73693">
        <w:rPr>
          <w:noProof/>
        </w:rPr>
        <w:t>2394</w:t>
      </w:r>
      <w:r>
        <w:fldChar w:fldCharType="end"/>
      </w:r>
    </w:p>
    <w:p w14:paraId="57DE4E98" w14:textId="77777777" w:rsidR="007309D3" w:rsidRDefault="007309D3" w:rsidP="007309D3"/>
    <w:p w14:paraId="6D8046E1" w14:textId="25C6A5D3" w:rsidR="007309D3" w:rsidRDefault="007309D3" w:rsidP="007309D3">
      <w:pPr>
        <w:pStyle w:val="EntradandiceAuto"/>
      </w:pPr>
      <w:r>
        <w:t>Sección Tercera. Auto 456/2023, de 23 de octubre de 2023. Acepta una abstención en el recurso de amparo 4294-2022, promovido en proceso contencioso-administrativo.</w:t>
      </w:r>
      <w:r>
        <w:tab/>
      </w:r>
      <w:r>
        <w:tab/>
      </w:r>
      <w:r>
        <w:fldChar w:fldCharType="begin"/>
      </w:r>
      <w:r>
        <w:instrText xml:space="preserve"> PAGEREF AUTO_2023_456 \h </w:instrText>
      </w:r>
      <w:r>
        <w:fldChar w:fldCharType="separate"/>
      </w:r>
      <w:r w:rsidR="00C73693">
        <w:rPr>
          <w:noProof/>
        </w:rPr>
        <w:t>2396</w:t>
      </w:r>
      <w:r>
        <w:fldChar w:fldCharType="end"/>
      </w:r>
    </w:p>
    <w:p w14:paraId="58A0742F" w14:textId="77777777" w:rsidR="007309D3" w:rsidRDefault="007309D3" w:rsidP="007309D3"/>
    <w:p w14:paraId="546E2119" w14:textId="7B2B6EA1" w:rsidR="007309D3" w:rsidRDefault="007309D3" w:rsidP="007309D3">
      <w:pPr>
        <w:pStyle w:val="EntradandiceAuto"/>
      </w:pPr>
      <w:r>
        <w:t>Sección Tercera. Auto 457/2023, de 23 de octubre de 2023. Acepta una abstención en el recurso de amparo 4466-2022, promovido en proceso contencioso-administrativo.</w:t>
      </w:r>
      <w:r>
        <w:tab/>
      </w:r>
      <w:r>
        <w:tab/>
      </w:r>
      <w:r>
        <w:fldChar w:fldCharType="begin"/>
      </w:r>
      <w:r>
        <w:instrText xml:space="preserve"> PAGEREF AUTO_2023_457 \h </w:instrText>
      </w:r>
      <w:r>
        <w:fldChar w:fldCharType="separate"/>
      </w:r>
      <w:r w:rsidR="00C73693">
        <w:rPr>
          <w:noProof/>
        </w:rPr>
        <w:t>2398</w:t>
      </w:r>
      <w:r>
        <w:fldChar w:fldCharType="end"/>
      </w:r>
    </w:p>
    <w:p w14:paraId="2317D77D" w14:textId="77777777" w:rsidR="007309D3" w:rsidRDefault="007309D3" w:rsidP="007309D3"/>
    <w:p w14:paraId="41AB7088" w14:textId="51B07640" w:rsidR="007309D3" w:rsidRDefault="007309D3" w:rsidP="007309D3">
      <w:pPr>
        <w:pStyle w:val="EntradandiceAuto"/>
      </w:pPr>
      <w:r>
        <w:t>Sala Segunda. Auto 458/2023, de 23 de octubre de 2023. Deniega la suspensión en el recurso de amparo 6222-2022, promovido por don José Luis Fernández Castañón de Amores en pleito civil.</w:t>
      </w:r>
      <w:r>
        <w:tab/>
      </w:r>
      <w:r>
        <w:tab/>
      </w:r>
      <w:r>
        <w:fldChar w:fldCharType="begin"/>
      </w:r>
      <w:r>
        <w:instrText xml:space="preserve"> PAGEREF AUTO_2023_458 \h </w:instrText>
      </w:r>
      <w:r>
        <w:fldChar w:fldCharType="separate"/>
      </w:r>
      <w:r w:rsidR="00C73693">
        <w:rPr>
          <w:noProof/>
        </w:rPr>
        <w:t>2400</w:t>
      </w:r>
      <w:r>
        <w:fldChar w:fldCharType="end"/>
      </w:r>
    </w:p>
    <w:p w14:paraId="46EF30D4" w14:textId="77777777" w:rsidR="007309D3" w:rsidRDefault="007309D3" w:rsidP="007309D3"/>
    <w:p w14:paraId="635ED8CE" w14:textId="3E4B78A3" w:rsidR="007309D3" w:rsidRDefault="007309D3" w:rsidP="007309D3">
      <w:pPr>
        <w:pStyle w:val="EntradandiceAuto"/>
      </w:pPr>
      <w:r>
        <w:t>Sección Tercera. Auto 459/2023, de 23 de octubre de 2023. Acepta una abstención en el recurso de amparo 6350-2022, promovido en proceso contencioso-administrativo.</w:t>
      </w:r>
      <w:r>
        <w:tab/>
      </w:r>
      <w:r>
        <w:tab/>
      </w:r>
      <w:r>
        <w:fldChar w:fldCharType="begin"/>
      </w:r>
      <w:r>
        <w:instrText xml:space="preserve"> PAGEREF AUTO_2023_459 \h </w:instrText>
      </w:r>
      <w:r>
        <w:fldChar w:fldCharType="separate"/>
      </w:r>
      <w:r w:rsidR="00C73693">
        <w:rPr>
          <w:noProof/>
        </w:rPr>
        <w:t>2405</w:t>
      </w:r>
      <w:r>
        <w:fldChar w:fldCharType="end"/>
      </w:r>
    </w:p>
    <w:p w14:paraId="45F2475E" w14:textId="77777777" w:rsidR="007309D3" w:rsidRDefault="007309D3" w:rsidP="007309D3"/>
    <w:p w14:paraId="087CDC64" w14:textId="27873E92" w:rsidR="007309D3" w:rsidRDefault="007309D3" w:rsidP="007309D3">
      <w:pPr>
        <w:pStyle w:val="EntradandiceAuto"/>
      </w:pPr>
      <w:r>
        <w:t>Sección Tercera. Auto 460/2023, de 23 de octubre de 2023. Acepta una abstención en el recurso de amparo 6484-2022, promovido en proceso contencioso-administrativo.</w:t>
      </w:r>
      <w:r>
        <w:tab/>
      </w:r>
      <w:r>
        <w:tab/>
      </w:r>
      <w:r>
        <w:fldChar w:fldCharType="begin"/>
      </w:r>
      <w:r>
        <w:instrText xml:space="preserve"> PAGEREF AUTO_2023_460 \h </w:instrText>
      </w:r>
      <w:r>
        <w:fldChar w:fldCharType="separate"/>
      </w:r>
      <w:r w:rsidR="00C73693">
        <w:rPr>
          <w:noProof/>
        </w:rPr>
        <w:t>2407</w:t>
      </w:r>
      <w:r>
        <w:fldChar w:fldCharType="end"/>
      </w:r>
    </w:p>
    <w:p w14:paraId="79952A0B" w14:textId="77777777" w:rsidR="007309D3" w:rsidRDefault="007309D3" w:rsidP="007309D3"/>
    <w:p w14:paraId="4DC7D676" w14:textId="4218CC84" w:rsidR="007309D3" w:rsidRDefault="007309D3" w:rsidP="007309D3">
      <w:pPr>
        <w:pStyle w:val="EntradandiceAuto"/>
      </w:pPr>
      <w:r>
        <w:t>Sección Tercera. Auto 461/2023, de 23 de octubre de 2023. Acepta una abstención en el recurso de amparo 6881-2022, promovido en proceso contencioso-administrativo.</w:t>
      </w:r>
      <w:r>
        <w:tab/>
      </w:r>
      <w:r>
        <w:tab/>
      </w:r>
      <w:r>
        <w:fldChar w:fldCharType="begin"/>
      </w:r>
      <w:r>
        <w:instrText xml:space="preserve"> PAGEREF AUTO_2023_461 \h </w:instrText>
      </w:r>
      <w:r>
        <w:fldChar w:fldCharType="separate"/>
      </w:r>
      <w:r w:rsidR="00C73693">
        <w:rPr>
          <w:noProof/>
        </w:rPr>
        <w:t>2409</w:t>
      </w:r>
      <w:r>
        <w:fldChar w:fldCharType="end"/>
      </w:r>
    </w:p>
    <w:p w14:paraId="74C02C7E" w14:textId="77777777" w:rsidR="007309D3" w:rsidRDefault="007309D3" w:rsidP="007309D3"/>
    <w:p w14:paraId="5B2910AA" w14:textId="3381C321" w:rsidR="007309D3" w:rsidRDefault="007309D3" w:rsidP="007309D3">
      <w:pPr>
        <w:pStyle w:val="EntradandiceAuto"/>
      </w:pPr>
      <w:r>
        <w:t>Sección Tercera. Auto 462/2023, de 23 de octubre de 2023. Acepta una abstención en el recurso de amparo 7111-2022, promovido en proceso contencioso-administrativo.</w:t>
      </w:r>
      <w:r>
        <w:tab/>
      </w:r>
      <w:r>
        <w:tab/>
      </w:r>
      <w:r>
        <w:fldChar w:fldCharType="begin"/>
      </w:r>
      <w:r>
        <w:instrText xml:space="preserve"> PAGEREF AUTO_2023_462 \h </w:instrText>
      </w:r>
      <w:r>
        <w:fldChar w:fldCharType="separate"/>
      </w:r>
      <w:r w:rsidR="00C73693">
        <w:rPr>
          <w:noProof/>
        </w:rPr>
        <w:t>2411</w:t>
      </w:r>
      <w:r>
        <w:fldChar w:fldCharType="end"/>
      </w:r>
    </w:p>
    <w:p w14:paraId="54EE3923" w14:textId="77777777" w:rsidR="007309D3" w:rsidRDefault="007309D3" w:rsidP="007309D3"/>
    <w:p w14:paraId="28C4DF2F" w14:textId="4EACFB8D" w:rsidR="007309D3" w:rsidRDefault="007309D3" w:rsidP="007309D3">
      <w:pPr>
        <w:pStyle w:val="EntradandiceAuto"/>
      </w:pPr>
      <w:r>
        <w:t>Sección Tercera. Auto 463/2023, de 23 de octubre de 2023. Acepta una abstención en el recurso de amparo 7112-2022, promovido en proceso contencioso-administrativo.</w:t>
      </w:r>
      <w:r>
        <w:tab/>
      </w:r>
      <w:r>
        <w:tab/>
      </w:r>
      <w:r>
        <w:fldChar w:fldCharType="begin"/>
      </w:r>
      <w:r>
        <w:instrText xml:space="preserve"> PAGEREF AUTO_2023_463 \h </w:instrText>
      </w:r>
      <w:r>
        <w:fldChar w:fldCharType="separate"/>
      </w:r>
      <w:r w:rsidR="00C73693">
        <w:rPr>
          <w:noProof/>
        </w:rPr>
        <w:t>2413</w:t>
      </w:r>
      <w:r>
        <w:fldChar w:fldCharType="end"/>
      </w:r>
    </w:p>
    <w:p w14:paraId="6B569A1A" w14:textId="77777777" w:rsidR="007309D3" w:rsidRDefault="007309D3" w:rsidP="007309D3"/>
    <w:p w14:paraId="65DD13EE" w14:textId="41DAB8B5" w:rsidR="007309D3" w:rsidRDefault="007309D3" w:rsidP="007309D3">
      <w:pPr>
        <w:pStyle w:val="EntradandiceAuto"/>
      </w:pPr>
      <w:r>
        <w:t>Sección Tercera. Auto 464/2023, de 23 de octubre de 2023. Acepta una abstención en el recurso de amparo 7162-2022, promovido en proceso contencioso-administrativo.</w:t>
      </w:r>
      <w:r>
        <w:tab/>
      </w:r>
      <w:r>
        <w:tab/>
      </w:r>
      <w:r>
        <w:fldChar w:fldCharType="begin"/>
      </w:r>
      <w:r>
        <w:instrText xml:space="preserve"> PAGEREF AUTO_2023_464 \h </w:instrText>
      </w:r>
      <w:r>
        <w:fldChar w:fldCharType="separate"/>
      </w:r>
      <w:r w:rsidR="00C73693">
        <w:rPr>
          <w:noProof/>
        </w:rPr>
        <w:t>2415</w:t>
      </w:r>
      <w:r>
        <w:fldChar w:fldCharType="end"/>
      </w:r>
    </w:p>
    <w:p w14:paraId="47892177" w14:textId="77777777" w:rsidR="007309D3" w:rsidRDefault="007309D3" w:rsidP="007309D3"/>
    <w:p w14:paraId="318097E3" w14:textId="602B6F21" w:rsidR="007309D3" w:rsidRDefault="007309D3" w:rsidP="007309D3">
      <w:pPr>
        <w:pStyle w:val="EntradandiceAuto"/>
      </w:pPr>
      <w:r>
        <w:t>Sección Tercera. Auto 465/2023, de 23 de octubre de 2023. Acepta una abstención en el recurso de amparo 7302-2022, promovido en proceso contencioso-administrativo.</w:t>
      </w:r>
      <w:r>
        <w:tab/>
      </w:r>
      <w:r>
        <w:tab/>
      </w:r>
      <w:r>
        <w:fldChar w:fldCharType="begin"/>
      </w:r>
      <w:r>
        <w:instrText xml:space="preserve"> PAGEREF AUTO_2023_465 \h </w:instrText>
      </w:r>
      <w:r>
        <w:fldChar w:fldCharType="separate"/>
      </w:r>
      <w:r w:rsidR="00C73693">
        <w:rPr>
          <w:noProof/>
        </w:rPr>
        <w:t>2417</w:t>
      </w:r>
      <w:r>
        <w:fldChar w:fldCharType="end"/>
      </w:r>
    </w:p>
    <w:p w14:paraId="04F38826" w14:textId="77777777" w:rsidR="007309D3" w:rsidRDefault="007309D3" w:rsidP="007309D3"/>
    <w:p w14:paraId="4A035A94" w14:textId="7950F6FE" w:rsidR="007309D3" w:rsidRDefault="007309D3" w:rsidP="007309D3">
      <w:pPr>
        <w:pStyle w:val="EntradandiceAuto"/>
      </w:pPr>
      <w:r>
        <w:t>Sección Tercera. Auto 466/2023, de 23 de octubre de 2023. Acepta una abstención en el recurso de amparo 7365-2022, promovido en proceso contencioso-administrativo.</w:t>
      </w:r>
      <w:r>
        <w:tab/>
      </w:r>
      <w:r>
        <w:tab/>
      </w:r>
      <w:r>
        <w:fldChar w:fldCharType="begin"/>
      </w:r>
      <w:r>
        <w:instrText xml:space="preserve"> PAGEREF AUTO_2023_466 \h </w:instrText>
      </w:r>
      <w:r>
        <w:fldChar w:fldCharType="separate"/>
      </w:r>
      <w:r w:rsidR="00C73693">
        <w:rPr>
          <w:noProof/>
        </w:rPr>
        <w:t>2419</w:t>
      </w:r>
      <w:r>
        <w:fldChar w:fldCharType="end"/>
      </w:r>
    </w:p>
    <w:p w14:paraId="16F0BBDC" w14:textId="77777777" w:rsidR="007309D3" w:rsidRDefault="007309D3" w:rsidP="007309D3"/>
    <w:p w14:paraId="29D7381A" w14:textId="22C1FE7B" w:rsidR="007309D3" w:rsidRDefault="007309D3" w:rsidP="007309D3">
      <w:pPr>
        <w:pStyle w:val="EntradandiceAuto"/>
      </w:pPr>
      <w:r>
        <w:t>Sección Tercera. Auto 467/2023, de 23 de octubre de 2023. Acepta una abstención en el recurso de amparo 7422-2022, promovido en proceso contencioso-administrativo.</w:t>
      </w:r>
      <w:r>
        <w:tab/>
      </w:r>
      <w:r>
        <w:tab/>
      </w:r>
      <w:r>
        <w:fldChar w:fldCharType="begin"/>
      </w:r>
      <w:r>
        <w:instrText xml:space="preserve"> PAGEREF AUTO_2023_467 \h </w:instrText>
      </w:r>
      <w:r>
        <w:fldChar w:fldCharType="separate"/>
      </w:r>
      <w:r w:rsidR="00C73693">
        <w:rPr>
          <w:noProof/>
        </w:rPr>
        <w:t>2421</w:t>
      </w:r>
      <w:r>
        <w:fldChar w:fldCharType="end"/>
      </w:r>
    </w:p>
    <w:p w14:paraId="04797194" w14:textId="77777777" w:rsidR="007309D3" w:rsidRDefault="007309D3" w:rsidP="007309D3"/>
    <w:p w14:paraId="36625CAE" w14:textId="1C7DB974" w:rsidR="007309D3" w:rsidRDefault="007309D3" w:rsidP="007309D3">
      <w:pPr>
        <w:pStyle w:val="EntradandiceAuto"/>
      </w:pPr>
      <w:r>
        <w:t>Sección Tercera. Auto 468/2023, de 23 de octubre de 2023. Acepta una abstención en el recurso de amparo 7432-2022, promovido en proceso contencioso-administrativo.</w:t>
      </w:r>
      <w:r>
        <w:tab/>
      </w:r>
      <w:r>
        <w:tab/>
      </w:r>
      <w:r>
        <w:fldChar w:fldCharType="begin"/>
      </w:r>
      <w:r>
        <w:instrText xml:space="preserve"> PAGEREF AUTO_2023_468 \h </w:instrText>
      </w:r>
      <w:r>
        <w:fldChar w:fldCharType="separate"/>
      </w:r>
      <w:r w:rsidR="00C73693">
        <w:rPr>
          <w:noProof/>
        </w:rPr>
        <w:t>2423</w:t>
      </w:r>
      <w:r>
        <w:fldChar w:fldCharType="end"/>
      </w:r>
    </w:p>
    <w:p w14:paraId="29F7CF11" w14:textId="77777777" w:rsidR="007309D3" w:rsidRDefault="007309D3" w:rsidP="007309D3"/>
    <w:p w14:paraId="765B2006" w14:textId="24643699" w:rsidR="007309D3" w:rsidRDefault="007309D3" w:rsidP="007309D3">
      <w:pPr>
        <w:pStyle w:val="EntradandiceAuto"/>
      </w:pPr>
      <w:r>
        <w:t>Sección Tercera. Auto 469/2023, de 23 de octubre de 2023. Acepta una abstención en el recurso de amparo 7509-2022, promovido por Acciona Saltos de Agua, S.L., en proceso contencioso-administrativo</w:t>
      </w:r>
      <w:r>
        <w:tab/>
      </w:r>
      <w:r>
        <w:tab/>
      </w:r>
      <w:r>
        <w:fldChar w:fldCharType="begin"/>
      </w:r>
      <w:r>
        <w:instrText xml:space="preserve"> PAGEREF AUTO_2023_469 \h </w:instrText>
      </w:r>
      <w:r>
        <w:fldChar w:fldCharType="separate"/>
      </w:r>
      <w:r w:rsidR="00C73693">
        <w:rPr>
          <w:noProof/>
        </w:rPr>
        <w:t>2425</w:t>
      </w:r>
      <w:r>
        <w:fldChar w:fldCharType="end"/>
      </w:r>
    </w:p>
    <w:p w14:paraId="7C042DEF" w14:textId="77777777" w:rsidR="007309D3" w:rsidRDefault="007309D3" w:rsidP="007309D3"/>
    <w:p w14:paraId="681F74CA" w14:textId="1B19811D" w:rsidR="007309D3" w:rsidRDefault="007309D3" w:rsidP="007309D3">
      <w:pPr>
        <w:pStyle w:val="EntradandiceAuto"/>
      </w:pPr>
      <w:r>
        <w:t>Sección Tercera. Auto 470/2023, de 23 de octubre de 2023. Acepta una abstención en el recurso de amparo 7512-2022, promovido por la entidad Acciona Saltos de Agua, S.L., en proceso contencioso-administrativo.</w:t>
      </w:r>
      <w:r>
        <w:tab/>
      </w:r>
      <w:r>
        <w:tab/>
      </w:r>
      <w:r>
        <w:fldChar w:fldCharType="begin"/>
      </w:r>
      <w:r>
        <w:instrText xml:space="preserve"> PAGEREF AUTO_2023_470 \h </w:instrText>
      </w:r>
      <w:r>
        <w:fldChar w:fldCharType="separate"/>
      </w:r>
      <w:r w:rsidR="00C73693">
        <w:rPr>
          <w:noProof/>
        </w:rPr>
        <w:t>2427</w:t>
      </w:r>
      <w:r>
        <w:fldChar w:fldCharType="end"/>
      </w:r>
    </w:p>
    <w:p w14:paraId="5404396B" w14:textId="77777777" w:rsidR="007309D3" w:rsidRDefault="007309D3" w:rsidP="007309D3"/>
    <w:p w14:paraId="71374735" w14:textId="536C3CB3" w:rsidR="007309D3" w:rsidRDefault="007309D3" w:rsidP="007309D3">
      <w:pPr>
        <w:pStyle w:val="EntradandiceAuto"/>
      </w:pPr>
      <w:r>
        <w:t>Sección Tercera. Auto 471/2023, de 23 de octubre de 2023. Acepta una abstención en el recurso de amparo 121-2023, promovido en proceso contencioso-administrativo.</w:t>
      </w:r>
      <w:r>
        <w:tab/>
      </w:r>
      <w:r>
        <w:tab/>
      </w:r>
      <w:r>
        <w:fldChar w:fldCharType="begin"/>
      </w:r>
      <w:r>
        <w:instrText xml:space="preserve"> PAGEREF AUTO_2023_471 \h </w:instrText>
      </w:r>
      <w:r>
        <w:fldChar w:fldCharType="separate"/>
      </w:r>
      <w:r w:rsidR="00C73693">
        <w:rPr>
          <w:noProof/>
        </w:rPr>
        <w:t>2429</w:t>
      </w:r>
      <w:r>
        <w:fldChar w:fldCharType="end"/>
      </w:r>
    </w:p>
    <w:p w14:paraId="288BCF00" w14:textId="77777777" w:rsidR="007309D3" w:rsidRDefault="007309D3" w:rsidP="007309D3"/>
    <w:p w14:paraId="60F2F80A" w14:textId="0932C524" w:rsidR="007309D3" w:rsidRDefault="007309D3" w:rsidP="007309D3">
      <w:pPr>
        <w:pStyle w:val="EntradandiceAuto"/>
      </w:pPr>
      <w:r>
        <w:t>Sala Primera. Auto 472/2023, de 23 de octubre de 2023. Acuerda el desistimiento de la pieza separada de suspensión en el recurso de amparo 705-2023, promovido por don J.D.O.M., en procedimiento de jurisdicción voluntaria.</w:t>
      </w:r>
      <w:r>
        <w:tab/>
      </w:r>
      <w:r>
        <w:tab/>
      </w:r>
      <w:r>
        <w:fldChar w:fldCharType="begin"/>
      </w:r>
      <w:r>
        <w:instrText xml:space="preserve"> PAGEREF AUTO_2023_472 \h </w:instrText>
      </w:r>
      <w:r>
        <w:fldChar w:fldCharType="separate"/>
      </w:r>
      <w:r w:rsidR="00C73693">
        <w:rPr>
          <w:noProof/>
        </w:rPr>
        <w:t>2431</w:t>
      </w:r>
      <w:r>
        <w:fldChar w:fldCharType="end"/>
      </w:r>
    </w:p>
    <w:p w14:paraId="5C9619BF" w14:textId="77777777" w:rsidR="007309D3" w:rsidRDefault="007309D3" w:rsidP="007309D3"/>
    <w:p w14:paraId="757BACFF" w14:textId="51A92634" w:rsidR="007309D3" w:rsidRDefault="007309D3" w:rsidP="007309D3">
      <w:pPr>
        <w:pStyle w:val="EntradandiceAuto"/>
      </w:pPr>
      <w:r>
        <w:t>Sala Primera. Auto 473/2023, de 23 de octubre de 2023. Deniega la suspensión en el recurso de amparo 1305-2023, promovido por don M.J.B.D., en procedimiento de jurisdicción voluntaria.</w:t>
      </w:r>
      <w:r>
        <w:tab/>
      </w:r>
      <w:r>
        <w:tab/>
      </w:r>
      <w:r>
        <w:fldChar w:fldCharType="begin"/>
      </w:r>
      <w:r>
        <w:instrText xml:space="preserve"> PAGEREF AUTO_2023_473 \h </w:instrText>
      </w:r>
      <w:r>
        <w:fldChar w:fldCharType="separate"/>
      </w:r>
      <w:r w:rsidR="00C73693">
        <w:rPr>
          <w:noProof/>
        </w:rPr>
        <w:t>2440</w:t>
      </w:r>
      <w:r>
        <w:fldChar w:fldCharType="end"/>
      </w:r>
    </w:p>
    <w:p w14:paraId="134055D6" w14:textId="77777777" w:rsidR="007309D3" w:rsidRDefault="007309D3" w:rsidP="007309D3"/>
    <w:p w14:paraId="082DE676" w14:textId="5AE8C116" w:rsidR="007309D3" w:rsidRDefault="007309D3" w:rsidP="007309D3">
      <w:pPr>
        <w:pStyle w:val="EntradandiceAuto"/>
      </w:pPr>
      <w:r>
        <w:t>Sección Tercera. Auto 474/2023, de 23 de octubre de 2023. Acepta una abstención en el recurso de amparo 1827-2023, promovido en proceso contencioso-administrativo.</w:t>
      </w:r>
      <w:r>
        <w:tab/>
      </w:r>
      <w:r>
        <w:tab/>
      </w:r>
      <w:r>
        <w:fldChar w:fldCharType="begin"/>
      </w:r>
      <w:r>
        <w:instrText xml:space="preserve"> PAGEREF AUTO_2023_474 \h </w:instrText>
      </w:r>
      <w:r>
        <w:fldChar w:fldCharType="separate"/>
      </w:r>
      <w:r w:rsidR="00C73693">
        <w:rPr>
          <w:noProof/>
        </w:rPr>
        <w:t>2446</w:t>
      </w:r>
      <w:r>
        <w:fldChar w:fldCharType="end"/>
      </w:r>
    </w:p>
    <w:p w14:paraId="1D284833" w14:textId="77777777" w:rsidR="007309D3" w:rsidRDefault="007309D3" w:rsidP="007309D3"/>
    <w:p w14:paraId="6F8DFE06" w14:textId="0EFAD211" w:rsidR="007309D3" w:rsidRDefault="007309D3" w:rsidP="007309D3">
      <w:pPr>
        <w:pStyle w:val="EntradandiceAuto"/>
      </w:pPr>
      <w:r>
        <w:t>Sección Tercera. Auto 475/2023, de 23 de octubre de 2023. Acepta una abstención en el recurso de amparo 1865-2023, promovido por Agrantia, S.L.U., en proceso contencioso-administrativo.</w:t>
      </w:r>
      <w:r>
        <w:tab/>
      </w:r>
      <w:r>
        <w:tab/>
      </w:r>
      <w:r>
        <w:fldChar w:fldCharType="begin"/>
      </w:r>
      <w:r>
        <w:instrText xml:space="preserve"> PAGEREF AUTO_2023_475 \h </w:instrText>
      </w:r>
      <w:r>
        <w:fldChar w:fldCharType="separate"/>
      </w:r>
      <w:r w:rsidR="00C73693">
        <w:rPr>
          <w:noProof/>
        </w:rPr>
        <w:t>2448</w:t>
      </w:r>
      <w:r>
        <w:fldChar w:fldCharType="end"/>
      </w:r>
    </w:p>
    <w:p w14:paraId="4094656C" w14:textId="77777777" w:rsidR="007309D3" w:rsidRDefault="007309D3" w:rsidP="007309D3"/>
    <w:p w14:paraId="1963D650" w14:textId="52898BC0" w:rsidR="007309D3" w:rsidRDefault="007309D3" w:rsidP="007309D3">
      <w:pPr>
        <w:pStyle w:val="EntradandiceAuto"/>
      </w:pPr>
      <w:r>
        <w:t>Sección Tercera. Auto 476/2023, de 23 de octubre de 2023. Acepta una abstención en el recurso de amparo 1885-2023, promovido por Mariscos Curras e Hijos, S.L., en proceso contencioso-administrativo.</w:t>
      </w:r>
      <w:r>
        <w:tab/>
      </w:r>
      <w:r>
        <w:tab/>
      </w:r>
      <w:r>
        <w:fldChar w:fldCharType="begin"/>
      </w:r>
      <w:r>
        <w:instrText xml:space="preserve"> PAGEREF AUTO_2023_476 \h </w:instrText>
      </w:r>
      <w:r>
        <w:fldChar w:fldCharType="separate"/>
      </w:r>
      <w:r w:rsidR="00C73693">
        <w:rPr>
          <w:noProof/>
        </w:rPr>
        <w:t>2450</w:t>
      </w:r>
      <w:r>
        <w:fldChar w:fldCharType="end"/>
      </w:r>
    </w:p>
    <w:p w14:paraId="0E517353" w14:textId="77777777" w:rsidR="007309D3" w:rsidRDefault="007309D3" w:rsidP="007309D3"/>
    <w:p w14:paraId="6E2A0B3C" w14:textId="37A6FF70" w:rsidR="007309D3" w:rsidRDefault="007309D3" w:rsidP="007309D3">
      <w:pPr>
        <w:pStyle w:val="EntradandiceAuto"/>
      </w:pPr>
      <w:r>
        <w:t>Sala Primera. Auto 477/2023, de 23 de octubre de 2023. Deniega la suspensión en el recurso de amparo 2048-2023, promovido por doña M.I.O.C., y don I.R.Q., en procedimiento de jurisdicción voluntaria.</w:t>
      </w:r>
      <w:r>
        <w:tab/>
      </w:r>
      <w:r>
        <w:tab/>
      </w:r>
      <w:r>
        <w:fldChar w:fldCharType="begin"/>
      </w:r>
      <w:r>
        <w:instrText xml:space="preserve"> PAGEREF AUTO_2023_477 \h </w:instrText>
      </w:r>
      <w:r>
        <w:fldChar w:fldCharType="separate"/>
      </w:r>
      <w:r w:rsidR="00C73693">
        <w:rPr>
          <w:noProof/>
        </w:rPr>
        <w:t>2452</w:t>
      </w:r>
      <w:r>
        <w:fldChar w:fldCharType="end"/>
      </w:r>
    </w:p>
    <w:p w14:paraId="73066D2E" w14:textId="77777777" w:rsidR="007309D3" w:rsidRDefault="007309D3" w:rsidP="007309D3"/>
    <w:p w14:paraId="51BA6EA5" w14:textId="192CAAE4" w:rsidR="007309D3" w:rsidRDefault="007309D3" w:rsidP="007309D3">
      <w:pPr>
        <w:pStyle w:val="EntradandiceAuto"/>
      </w:pPr>
      <w:r>
        <w:t>Sección Primera. Auto 478/2023, de 23 de octubre de 2023. Acepta una abstención en el recurso de amparo 2212-2023, promovido en proceso militar.</w:t>
      </w:r>
      <w:r>
        <w:tab/>
      </w:r>
      <w:r>
        <w:tab/>
      </w:r>
      <w:r>
        <w:fldChar w:fldCharType="begin"/>
      </w:r>
      <w:r>
        <w:instrText xml:space="preserve"> PAGEREF AUTO_2023_478 \h </w:instrText>
      </w:r>
      <w:r>
        <w:fldChar w:fldCharType="separate"/>
      </w:r>
      <w:r w:rsidR="00C73693">
        <w:rPr>
          <w:noProof/>
        </w:rPr>
        <w:t>2462</w:t>
      </w:r>
      <w:r>
        <w:fldChar w:fldCharType="end"/>
      </w:r>
    </w:p>
    <w:p w14:paraId="1CC1B131" w14:textId="77777777" w:rsidR="007309D3" w:rsidRDefault="007309D3" w:rsidP="007309D3"/>
    <w:p w14:paraId="17FCC261" w14:textId="0707DB16" w:rsidR="007309D3" w:rsidRDefault="007309D3" w:rsidP="007309D3">
      <w:pPr>
        <w:pStyle w:val="EntradandiceAuto"/>
      </w:pPr>
      <w:r>
        <w:t>Sección Tercera. Auto 479/2023, de 23 de octubre de 2023. Acepta una abstención en el recurso de amparo 2325-2023, promovido en proceso contencioso-administrativo.</w:t>
      </w:r>
      <w:r>
        <w:tab/>
      </w:r>
      <w:r>
        <w:tab/>
      </w:r>
      <w:r>
        <w:fldChar w:fldCharType="begin"/>
      </w:r>
      <w:r>
        <w:instrText xml:space="preserve"> PAGEREF AUTO_2023_479 \h </w:instrText>
      </w:r>
      <w:r>
        <w:fldChar w:fldCharType="separate"/>
      </w:r>
      <w:r w:rsidR="00C73693">
        <w:rPr>
          <w:noProof/>
        </w:rPr>
        <w:t>2463</w:t>
      </w:r>
      <w:r>
        <w:fldChar w:fldCharType="end"/>
      </w:r>
    </w:p>
    <w:p w14:paraId="6EE37FC0" w14:textId="77777777" w:rsidR="007309D3" w:rsidRDefault="007309D3" w:rsidP="007309D3"/>
    <w:p w14:paraId="7A63FB84" w14:textId="04A59A29" w:rsidR="007309D3" w:rsidRDefault="007309D3" w:rsidP="007309D3">
      <w:pPr>
        <w:pStyle w:val="EntradandiceAuto"/>
      </w:pPr>
      <w:r>
        <w:t>Sección Tercera. Auto 480/2023, de 23 de octubre de 2023. Acepta una abstención en el recurso de amparo 2530-2023, promovido en proceso contencioso-administrativo.</w:t>
      </w:r>
      <w:r>
        <w:tab/>
      </w:r>
      <w:r>
        <w:tab/>
      </w:r>
      <w:r>
        <w:fldChar w:fldCharType="begin"/>
      </w:r>
      <w:r>
        <w:instrText xml:space="preserve"> PAGEREF AUTO_2023_480 \h </w:instrText>
      </w:r>
      <w:r>
        <w:fldChar w:fldCharType="separate"/>
      </w:r>
      <w:r w:rsidR="00C73693">
        <w:rPr>
          <w:noProof/>
        </w:rPr>
        <w:t>2465</w:t>
      </w:r>
      <w:r>
        <w:fldChar w:fldCharType="end"/>
      </w:r>
    </w:p>
    <w:p w14:paraId="6E71637F" w14:textId="77777777" w:rsidR="007309D3" w:rsidRDefault="007309D3" w:rsidP="007309D3"/>
    <w:p w14:paraId="1232607B" w14:textId="0BBE500F" w:rsidR="007309D3" w:rsidRDefault="007309D3" w:rsidP="007309D3">
      <w:pPr>
        <w:pStyle w:val="EntradandiceAuto"/>
      </w:pPr>
      <w:r>
        <w:t>Sección Tercera. Auto 481/2023, de 23 de octubre de 2023. Acepta una abstención en el recurso de amparo 3150-2023, promovido en proceso contencioso-administrativo.</w:t>
      </w:r>
      <w:r>
        <w:tab/>
      </w:r>
      <w:r>
        <w:tab/>
      </w:r>
      <w:r>
        <w:fldChar w:fldCharType="begin"/>
      </w:r>
      <w:r>
        <w:instrText xml:space="preserve"> PAGEREF AUTO_2023_481 \h </w:instrText>
      </w:r>
      <w:r>
        <w:fldChar w:fldCharType="separate"/>
      </w:r>
      <w:r w:rsidR="00C73693">
        <w:rPr>
          <w:noProof/>
        </w:rPr>
        <w:t>2467</w:t>
      </w:r>
      <w:r>
        <w:fldChar w:fldCharType="end"/>
      </w:r>
    </w:p>
    <w:p w14:paraId="6E91B7A6" w14:textId="77777777" w:rsidR="007309D3" w:rsidRDefault="007309D3" w:rsidP="007309D3"/>
    <w:p w14:paraId="5E464966" w14:textId="1057B7A9" w:rsidR="007309D3" w:rsidRDefault="007309D3" w:rsidP="007309D3">
      <w:pPr>
        <w:pStyle w:val="EntradandiceAuto"/>
      </w:pPr>
      <w:r>
        <w:t>Sala Segunda. Auto 482/2023, de 23 de octubre de 2023. Mantiene la suspensión acordada por providencia en el recurso de amparo 4735-2023, promovido por don Yahya Azzaoui, en causa penal.</w:t>
      </w:r>
      <w:r>
        <w:tab/>
      </w:r>
      <w:r>
        <w:tab/>
      </w:r>
      <w:r>
        <w:fldChar w:fldCharType="begin"/>
      </w:r>
      <w:r>
        <w:instrText xml:space="preserve"> PAGEREF AUTO_2023_482 \h </w:instrText>
      </w:r>
      <w:r>
        <w:fldChar w:fldCharType="separate"/>
      </w:r>
      <w:r w:rsidR="00C73693">
        <w:rPr>
          <w:noProof/>
        </w:rPr>
        <w:t>2469</w:t>
      </w:r>
      <w:r>
        <w:fldChar w:fldCharType="end"/>
      </w:r>
    </w:p>
    <w:p w14:paraId="0FBFF075" w14:textId="77777777" w:rsidR="007309D3" w:rsidRDefault="007309D3" w:rsidP="007309D3"/>
    <w:p w14:paraId="664879AC" w14:textId="3FF855DC" w:rsidR="007309D3" w:rsidRDefault="007309D3" w:rsidP="007309D3">
      <w:pPr>
        <w:pStyle w:val="EntradandiceAuto"/>
      </w:pPr>
      <w:r>
        <w:t>Pleno. Auto 483/2023, de 24 de octubre de 2023. Inadmite las recusaciones formuladas en el recurso de amparo 1234-2022, promovido por don Josep Costa i Roselló en causa penal.</w:t>
      </w:r>
      <w:r>
        <w:tab/>
      </w:r>
      <w:r>
        <w:tab/>
      </w:r>
      <w:r>
        <w:fldChar w:fldCharType="begin"/>
      </w:r>
      <w:r>
        <w:instrText xml:space="preserve"> PAGEREF AUTO_2023_483 \h </w:instrText>
      </w:r>
      <w:r>
        <w:fldChar w:fldCharType="separate"/>
      </w:r>
      <w:r w:rsidR="00C73693">
        <w:rPr>
          <w:noProof/>
        </w:rPr>
        <w:t>2473</w:t>
      </w:r>
      <w:r>
        <w:fldChar w:fldCharType="end"/>
      </w:r>
    </w:p>
    <w:p w14:paraId="21E135B5" w14:textId="77777777" w:rsidR="007309D3" w:rsidRDefault="007309D3" w:rsidP="007309D3"/>
    <w:p w14:paraId="763B73E5" w14:textId="44E6C51F" w:rsidR="007309D3" w:rsidRDefault="007309D3" w:rsidP="007309D3">
      <w:pPr>
        <w:pStyle w:val="EntradandiceAuto"/>
      </w:pPr>
      <w:r>
        <w:t>Pleno. Auto 484/2023, de 24 de octubre de 2023. Inadmite la recusación formulada en el recurso de amparo 7314-2022, promovido por doña R.O.G., en procedimiento de jurisdicción voluntaria.</w:t>
      </w:r>
      <w:r>
        <w:tab/>
      </w:r>
      <w:r>
        <w:tab/>
      </w:r>
      <w:r>
        <w:fldChar w:fldCharType="begin"/>
      </w:r>
      <w:r>
        <w:instrText xml:space="preserve"> PAGEREF AUTO_2023_484 \h </w:instrText>
      </w:r>
      <w:r>
        <w:fldChar w:fldCharType="separate"/>
      </w:r>
      <w:r w:rsidR="00C73693">
        <w:rPr>
          <w:noProof/>
        </w:rPr>
        <w:t>2480</w:t>
      </w:r>
      <w:r>
        <w:fldChar w:fldCharType="end"/>
      </w:r>
    </w:p>
    <w:p w14:paraId="5B14A8E2" w14:textId="77777777" w:rsidR="007309D3" w:rsidRDefault="007309D3" w:rsidP="007309D3"/>
    <w:p w14:paraId="0C1F3BA6" w14:textId="7E155989" w:rsidR="007309D3" w:rsidRDefault="007309D3" w:rsidP="007309D3">
      <w:pPr>
        <w:pStyle w:val="EntradandiceAuto"/>
      </w:pPr>
      <w:r>
        <w:t>Pleno. Auto 485/2023, de 24 de octubre de 2023. Desestima el recurso de súplica interpuesto en relación con el ATC 354/2023, de 4 de julio, que inadmitió a trámite el conflicto en defensa de la autonomía local núm. 1631-2023, promovido por el Consell Insular de Formentera en relación con varios preceptos de la Ley del Parlamento de las Illes Balears 6/2022, de 5 de agosto, de archivos y gestión documental de las Illes Balears.</w:t>
      </w:r>
      <w:r>
        <w:tab/>
      </w:r>
      <w:r>
        <w:tab/>
      </w:r>
      <w:r>
        <w:fldChar w:fldCharType="begin"/>
      </w:r>
      <w:r>
        <w:instrText xml:space="preserve"> PAGEREF AUTO_2023_485 \h </w:instrText>
      </w:r>
      <w:r>
        <w:fldChar w:fldCharType="separate"/>
      </w:r>
      <w:r w:rsidR="00C73693">
        <w:rPr>
          <w:noProof/>
        </w:rPr>
        <w:t>2485</w:t>
      </w:r>
      <w:r>
        <w:fldChar w:fldCharType="end"/>
      </w:r>
    </w:p>
    <w:p w14:paraId="00A03A60" w14:textId="77777777" w:rsidR="007309D3" w:rsidRDefault="007309D3" w:rsidP="007309D3"/>
    <w:p w14:paraId="0307F205" w14:textId="1735C18D" w:rsidR="007309D3" w:rsidRDefault="007309D3" w:rsidP="007309D3">
      <w:pPr>
        <w:pStyle w:val="EntradandiceAuto"/>
      </w:pPr>
      <w:r>
        <w:t>Pleno. Auto 486/2023, de 24 de octubre de 2023. Inadmite a trámite la cuestión prejudicial de validez 2029-2023, planteada por el Juzgado de lo Contencioso-Administrativo núm. 3 de Donostia-San Sebastián en relación con el art. 4.1, párrafo segundo, 4.2 a) y 4.3 de la Norma Foral 16/1989, de 5 de julio, del Territorio Histórico de Gipuzkoa, reguladora del impuesto sobre el incremento del valor de los terrenos de naturaleza urbana.</w:t>
      </w:r>
      <w:r>
        <w:tab/>
      </w:r>
      <w:r>
        <w:tab/>
      </w:r>
      <w:r>
        <w:fldChar w:fldCharType="begin"/>
      </w:r>
      <w:r>
        <w:instrText xml:space="preserve"> PAGEREF AUTO_2023_486 \h </w:instrText>
      </w:r>
      <w:r>
        <w:fldChar w:fldCharType="separate"/>
      </w:r>
      <w:r w:rsidR="00C73693">
        <w:rPr>
          <w:noProof/>
        </w:rPr>
        <w:t>2496</w:t>
      </w:r>
      <w:r>
        <w:fldChar w:fldCharType="end"/>
      </w:r>
    </w:p>
    <w:p w14:paraId="66DA6222" w14:textId="77777777" w:rsidR="007309D3" w:rsidRDefault="007309D3" w:rsidP="007309D3"/>
    <w:p w14:paraId="430F9920" w14:textId="65A93A08" w:rsidR="007309D3" w:rsidRDefault="007309D3" w:rsidP="007309D3">
      <w:pPr>
        <w:pStyle w:val="EntradandiceAuto"/>
      </w:pPr>
      <w:r>
        <w:t>Pleno. Auto 487/2023, de 24 de octubre de 2023. Desestima solicitud de revisión de diligencia de ordenación dictada en el recurso de amparo 4811-2023, promovido por don Antonio López Navidad en proceso contencioso administrativo.</w:t>
      </w:r>
      <w:r>
        <w:tab/>
      </w:r>
      <w:r>
        <w:tab/>
      </w:r>
      <w:r>
        <w:fldChar w:fldCharType="begin"/>
      </w:r>
      <w:r>
        <w:instrText xml:space="preserve"> PAGEREF AUTO_2023_487 \h </w:instrText>
      </w:r>
      <w:r>
        <w:fldChar w:fldCharType="separate"/>
      </w:r>
      <w:r w:rsidR="00C73693">
        <w:rPr>
          <w:noProof/>
        </w:rPr>
        <w:t>2505</w:t>
      </w:r>
      <w:r>
        <w:fldChar w:fldCharType="end"/>
      </w:r>
    </w:p>
    <w:p w14:paraId="1BAB5BF4" w14:textId="77777777" w:rsidR="007309D3" w:rsidRDefault="007309D3" w:rsidP="007309D3"/>
    <w:p w14:paraId="1C3599A8" w14:textId="0EA22135" w:rsidR="007309D3" w:rsidRDefault="007309D3" w:rsidP="007309D3">
      <w:pPr>
        <w:pStyle w:val="EntradandiceAuto"/>
      </w:pPr>
      <w:r>
        <w:t>Pleno. Auto 488/2023, de 24 de octubre de 2023. Inadmite las recusaciones formuladas en el recurso de amparo 4811-2023, en proceso contencioso-administrativo.</w:t>
      </w:r>
      <w:r>
        <w:tab/>
      </w:r>
      <w:r>
        <w:tab/>
      </w:r>
      <w:r>
        <w:fldChar w:fldCharType="begin"/>
      </w:r>
      <w:r>
        <w:instrText xml:space="preserve"> PAGEREF AUTO_2023_488 \h </w:instrText>
      </w:r>
      <w:r>
        <w:fldChar w:fldCharType="separate"/>
      </w:r>
      <w:r w:rsidR="00C73693">
        <w:rPr>
          <w:noProof/>
        </w:rPr>
        <w:t>2507</w:t>
      </w:r>
      <w:r>
        <w:fldChar w:fldCharType="end"/>
      </w:r>
    </w:p>
    <w:p w14:paraId="3A57CD05" w14:textId="77777777" w:rsidR="007309D3" w:rsidRDefault="007309D3" w:rsidP="007309D3"/>
    <w:p w14:paraId="30517BDE" w14:textId="4FB4FF99" w:rsidR="007309D3" w:rsidRDefault="007309D3" w:rsidP="007309D3">
      <w:pPr>
        <w:pStyle w:val="EntradandiceAuto"/>
      </w:pPr>
      <w:r>
        <w:t>Pleno. Auto 489/2023, de 24 de octubre de 2023. Inadmite una recusación formulada en el recurso de amparo 5308-2023, en procedimiento de jurisdicción voluntaria.</w:t>
      </w:r>
      <w:r>
        <w:tab/>
      </w:r>
      <w:r>
        <w:tab/>
      </w:r>
      <w:r>
        <w:fldChar w:fldCharType="begin"/>
      </w:r>
      <w:r>
        <w:instrText xml:space="preserve"> PAGEREF AUTO_2023_489 \h </w:instrText>
      </w:r>
      <w:r>
        <w:fldChar w:fldCharType="separate"/>
      </w:r>
      <w:r w:rsidR="00C73693">
        <w:rPr>
          <w:noProof/>
        </w:rPr>
        <w:t>2511</w:t>
      </w:r>
      <w:r>
        <w:fldChar w:fldCharType="end"/>
      </w:r>
    </w:p>
    <w:p w14:paraId="79D5C1CF" w14:textId="77777777" w:rsidR="007309D3" w:rsidRDefault="007309D3" w:rsidP="007309D3"/>
    <w:p w14:paraId="2530BD86" w14:textId="3DB7BAE3" w:rsidR="007309D3" w:rsidRDefault="007309D3" w:rsidP="007309D3">
      <w:pPr>
        <w:pStyle w:val="EntradandiceAuto"/>
      </w:pPr>
      <w:r>
        <w:t>Pleno. Auto 490/2023, de 24 de octubre de 2023. Inadmite las recusaciones formuladas en el recurso de amparo 5439-2023 y otros cuatro más, promovidos por don Carles Puigdemont i Casamajó, don Antoni Comín i Oliveres y doña Clara Ponsatí i Obiols en causa penal.</w:t>
      </w:r>
      <w:r>
        <w:tab/>
      </w:r>
      <w:r>
        <w:tab/>
      </w:r>
      <w:r>
        <w:fldChar w:fldCharType="begin"/>
      </w:r>
      <w:r>
        <w:instrText xml:space="preserve"> PAGEREF AUTO_2023_490 \h </w:instrText>
      </w:r>
      <w:r>
        <w:fldChar w:fldCharType="separate"/>
      </w:r>
      <w:r w:rsidR="00C73693">
        <w:rPr>
          <w:noProof/>
        </w:rPr>
        <w:t>2518</w:t>
      </w:r>
      <w:r>
        <w:fldChar w:fldCharType="end"/>
      </w:r>
    </w:p>
    <w:p w14:paraId="09007246" w14:textId="77777777" w:rsidR="007309D3" w:rsidRDefault="007309D3" w:rsidP="007309D3"/>
    <w:p w14:paraId="72E6CE4A" w14:textId="51891C48" w:rsidR="007309D3" w:rsidRDefault="007309D3" w:rsidP="007309D3">
      <w:pPr>
        <w:pStyle w:val="EntradandiceAuto"/>
      </w:pPr>
      <w:r>
        <w:t>Sección Tercera. Auto 491/2023, de 2 de noviembre de 2023. Acepta una abstención en el recurso de amparo 4791-2022, promovido en proceso contencioso administrativo.</w:t>
      </w:r>
      <w:r>
        <w:tab/>
      </w:r>
      <w:r>
        <w:tab/>
      </w:r>
      <w:r>
        <w:fldChar w:fldCharType="begin"/>
      </w:r>
      <w:r>
        <w:instrText xml:space="preserve"> PAGEREF AUTO_2023_491 \h </w:instrText>
      </w:r>
      <w:r>
        <w:fldChar w:fldCharType="separate"/>
      </w:r>
      <w:r w:rsidR="00C73693">
        <w:rPr>
          <w:noProof/>
        </w:rPr>
        <w:t>2529</w:t>
      </w:r>
      <w:r>
        <w:fldChar w:fldCharType="end"/>
      </w:r>
    </w:p>
    <w:p w14:paraId="199CE3B7" w14:textId="77777777" w:rsidR="007309D3" w:rsidRDefault="007309D3" w:rsidP="007309D3"/>
    <w:p w14:paraId="6DF5A1E2" w14:textId="16F7FF31" w:rsidR="007309D3" w:rsidRDefault="007309D3" w:rsidP="007309D3">
      <w:pPr>
        <w:pStyle w:val="EntradandiceAuto"/>
      </w:pPr>
      <w:r>
        <w:t>Sección Tercera. Auto 492/2023, de 2 de noviembre de 2023. Acepta una abstención en el recurso de amparo 5030-2022, promovido en proceso contencioso administrativo.</w:t>
      </w:r>
      <w:r>
        <w:tab/>
      </w:r>
      <w:r>
        <w:tab/>
      </w:r>
      <w:r>
        <w:fldChar w:fldCharType="begin"/>
      </w:r>
      <w:r>
        <w:instrText xml:space="preserve"> PAGEREF AUTO_2023_492 \h </w:instrText>
      </w:r>
      <w:r>
        <w:fldChar w:fldCharType="separate"/>
      </w:r>
      <w:r w:rsidR="00C73693">
        <w:rPr>
          <w:noProof/>
        </w:rPr>
        <w:t>2531</w:t>
      </w:r>
      <w:r>
        <w:fldChar w:fldCharType="end"/>
      </w:r>
    </w:p>
    <w:p w14:paraId="3F895F1C" w14:textId="77777777" w:rsidR="007309D3" w:rsidRDefault="007309D3" w:rsidP="007309D3"/>
    <w:p w14:paraId="788D3F37" w14:textId="4D321D7F" w:rsidR="007309D3" w:rsidRDefault="007309D3" w:rsidP="007309D3">
      <w:pPr>
        <w:pStyle w:val="EntradandiceAuto"/>
      </w:pPr>
      <w:r>
        <w:t>Sección Tercera. Auto 493/2023, de 2 de noviembre de 2023. Acepta una abstención en el recurso de amparo 5491-2022, promovido en proceso contencioso administrativo.</w:t>
      </w:r>
      <w:r>
        <w:tab/>
      </w:r>
      <w:r>
        <w:tab/>
      </w:r>
      <w:r>
        <w:fldChar w:fldCharType="begin"/>
      </w:r>
      <w:r>
        <w:instrText xml:space="preserve"> PAGEREF AUTO_2023_493 \h </w:instrText>
      </w:r>
      <w:r>
        <w:fldChar w:fldCharType="separate"/>
      </w:r>
      <w:r w:rsidR="00C73693">
        <w:rPr>
          <w:noProof/>
        </w:rPr>
        <w:t>2533</w:t>
      </w:r>
      <w:r>
        <w:fldChar w:fldCharType="end"/>
      </w:r>
    </w:p>
    <w:p w14:paraId="4015B405" w14:textId="77777777" w:rsidR="007309D3" w:rsidRDefault="007309D3" w:rsidP="007309D3"/>
    <w:p w14:paraId="123FB393" w14:textId="7227F0E2" w:rsidR="007309D3" w:rsidRDefault="007309D3" w:rsidP="007309D3">
      <w:pPr>
        <w:pStyle w:val="EntradandiceAuto"/>
      </w:pPr>
      <w:r>
        <w:t>Sección Tercera. Auto 494/2023, de 2 de noviembre de 2023. Acepta una abstención en el recurso de amparo 5851-2022, promovido en proceso contencioso administrativo.</w:t>
      </w:r>
      <w:r>
        <w:tab/>
      </w:r>
      <w:r>
        <w:tab/>
      </w:r>
      <w:r>
        <w:fldChar w:fldCharType="begin"/>
      </w:r>
      <w:r>
        <w:instrText xml:space="preserve"> PAGEREF AUTO_2023_494 \h </w:instrText>
      </w:r>
      <w:r>
        <w:fldChar w:fldCharType="separate"/>
      </w:r>
      <w:r w:rsidR="00C73693">
        <w:rPr>
          <w:noProof/>
        </w:rPr>
        <w:t>2535</w:t>
      </w:r>
      <w:r>
        <w:fldChar w:fldCharType="end"/>
      </w:r>
    </w:p>
    <w:p w14:paraId="5881E294" w14:textId="77777777" w:rsidR="007309D3" w:rsidRDefault="007309D3" w:rsidP="007309D3"/>
    <w:p w14:paraId="371EAA0F" w14:textId="1C00AAB5" w:rsidR="007309D3" w:rsidRDefault="007309D3" w:rsidP="007309D3">
      <w:pPr>
        <w:pStyle w:val="EntradandiceAuto"/>
      </w:pPr>
      <w:r>
        <w:t>Sección Tercera. Auto 495/2023, de 2 de noviembre de 2023. Acepta una abstención en el recurso de amparo 6114-2022, promovido en proceso contencioso administrativo.</w:t>
      </w:r>
      <w:r>
        <w:tab/>
      </w:r>
      <w:r>
        <w:tab/>
      </w:r>
      <w:r>
        <w:fldChar w:fldCharType="begin"/>
      </w:r>
      <w:r>
        <w:instrText xml:space="preserve"> PAGEREF AUTO_2023_495 \h </w:instrText>
      </w:r>
      <w:r>
        <w:fldChar w:fldCharType="separate"/>
      </w:r>
      <w:r w:rsidR="00C73693">
        <w:rPr>
          <w:noProof/>
        </w:rPr>
        <w:t>2537</w:t>
      </w:r>
      <w:r>
        <w:fldChar w:fldCharType="end"/>
      </w:r>
    </w:p>
    <w:p w14:paraId="7CBDDDF7" w14:textId="77777777" w:rsidR="007309D3" w:rsidRDefault="007309D3" w:rsidP="007309D3"/>
    <w:p w14:paraId="2A637CDB" w14:textId="3592CB51" w:rsidR="007309D3" w:rsidRDefault="007309D3" w:rsidP="007309D3">
      <w:pPr>
        <w:pStyle w:val="EntradandiceAuto"/>
      </w:pPr>
      <w:r>
        <w:t>Sección Tercera. Auto 496/2023, de 2 de noviembre de 2023. Acepta una abstención en el recurso de amparo 7004-2022, promovido en proceso contencioso administrativo.</w:t>
      </w:r>
      <w:r>
        <w:tab/>
      </w:r>
      <w:r>
        <w:tab/>
      </w:r>
      <w:r>
        <w:fldChar w:fldCharType="begin"/>
      </w:r>
      <w:r>
        <w:instrText xml:space="preserve"> PAGEREF AUTO_2023_496 \h </w:instrText>
      </w:r>
      <w:r>
        <w:fldChar w:fldCharType="separate"/>
      </w:r>
      <w:r w:rsidR="00C73693">
        <w:rPr>
          <w:noProof/>
        </w:rPr>
        <w:t>2539</w:t>
      </w:r>
      <w:r>
        <w:fldChar w:fldCharType="end"/>
      </w:r>
    </w:p>
    <w:p w14:paraId="6361D001" w14:textId="77777777" w:rsidR="007309D3" w:rsidRDefault="007309D3" w:rsidP="007309D3"/>
    <w:p w14:paraId="36062F33" w14:textId="0F409E36" w:rsidR="007309D3" w:rsidRDefault="007309D3" w:rsidP="007309D3">
      <w:pPr>
        <w:pStyle w:val="EntradandiceAuto"/>
      </w:pPr>
      <w:r>
        <w:t>Sección Tercera. Auto 497/2023, de 2 de noviembre de 2023. Acepta una abstención en el recurso de amparo 7102-2022, promovido en proceso contencioso administrativo.</w:t>
      </w:r>
      <w:r>
        <w:tab/>
      </w:r>
      <w:r>
        <w:tab/>
      </w:r>
      <w:r>
        <w:fldChar w:fldCharType="begin"/>
      </w:r>
      <w:r>
        <w:instrText xml:space="preserve"> PAGEREF AUTO_2023_497 \h </w:instrText>
      </w:r>
      <w:r>
        <w:fldChar w:fldCharType="separate"/>
      </w:r>
      <w:r w:rsidR="00C73693">
        <w:rPr>
          <w:noProof/>
        </w:rPr>
        <w:t>2541</w:t>
      </w:r>
      <w:r>
        <w:fldChar w:fldCharType="end"/>
      </w:r>
    </w:p>
    <w:p w14:paraId="03F38CB2" w14:textId="77777777" w:rsidR="007309D3" w:rsidRDefault="007309D3" w:rsidP="007309D3"/>
    <w:p w14:paraId="1342EC3F" w14:textId="1B5B3247" w:rsidR="007309D3" w:rsidRDefault="007309D3" w:rsidP="007309D3">
      <w:pPr>
        <w:pStyle w:val="EntradandiceAuto"/>
      </w:pPr>
      <w:r>
        <w:t>Sección Tercera. Auto 498/2023, de 2 de noviembre de 2023. Acepta una abstención en el recurso de amparo 7267-2022, promovido en proceso contencioso administrativo.</w:t>
      </w:r>
      <w:r>
        <w:tab/>
      </w:r>
      <w:r>
        <w:tab/>
      </w:r>
      <w:r>
        <w:fldChar w:fldCharType="begin"/>
      </w:r>
      <w:r>
        <w:instrText xml:space="preserve"> PAGEREF AUTO_2023_498 \h </w:instrText>
      </w:r>
      <w:r>
        <w:fldChar w:fldCharType="separate"/>
      </w:r>
      <w:r w:rsidR="00C73693">
        <w:rPr>
          <w:noProof/>
        </w:rPr>
        <w:t>2543</w:t>
      </w:r>
      <w:r>
        <w:fldChar w:fldCharType="end"/>
      </w:r>
    </w:p>
    <w:p w14:paraId="4861069F" w14:textId="77777777" w:rsidR="007309D3" w:rsidRDefault="007309D3" w:rsidP="007309D3"/>
    <w:p w14:paraId="6080C5CF" w14:textId="06E8DB44" w:rsidR="007309D3" w:rsidRDefault="007309D3" w:rsidP="007309D3">
      <w:pPr>
        <w:pStyle w:val="EntradandiceAuto"/>
      </w:pPr>
      <w:r>
        <w:t>Sección Tercera. Auto 499/2023, de 2 de noviembre de 2023. Acepta una abstención en el recurso de amparo 7303-2022, promovido en proceso contencioso administrativo.</w:t>
      </w:r>
      <w:r>
        <w:tab/>
      </w:r>
      <w:r>
        <w:tab/>
      </w:r>
      <w:r>
        <w:fldChar w:fldCharType="begin"/>
      </w:r>
      <w:r>
        <w:instrText xml:space="preserve"> PAGEREF AUTO_2023_499 \h </w:instrText>
      </w:r>
      <w:r>
        <w:fldChar w:fldCharType="separate"/>
      </w:r>
      <w:r w:rsidR="00C73693">
        <w:rPr>
          <w:noProof/>
        </w:rPr>
        <w:t>2545</w:t>
      </w:r>
      <w:r>
        <w:fldChar w:fldCharType="end"/>
      </w:r>
    </w:p>
    <w:p w14:paraId="19C28FB1" w14:textId="77777777" w:rsidR="007309D3" w:rsidRDefault="007309D3" w:rsidP="007309D3"/>
    <w:p w14:paraId="719872EA" w14:textId="15660A60" w:rsidR="007309D3" w:rsidRDefault="007309D3" w:rsidP="007309D3">
      <w:pPr>
        <w:pStyle w:val="EntradandiceAuto"/>
      </w:pPr>
      <w:r>
        <w:t>Sección Tercera. Auto 500/2023, de 2 de noviembre de 2023. Acepta una abstención en el recurso de amparo 7452-2022, promovido en proceso contencioso administrativo.</w:t>
      </w:r>
      <w:r>
        <w:tab/>
      </w:r>
      <w:r>
        <w:tab/>
      </w:r>
      <w:r>
        <w:fldChar w:fldCharType="begin"/>
      </w:r>
      <w:r>
        <w:instrText xml:space="preserve"> PAGEREF AUTO_2023_500 \h </w:instrText>
      </w:r>
      <w:r>
        <w:fldChar w:fldCharType="separate"/>
      </w:r>
      <w:r w:rsidR="00C73693">
        <w:rPr>
          <w:noProof/>
        </w:rPr>
        <w:t>2547</w:t>
      </w:r>
      <w:r>
        <w:fldChar w:fldCharType="end"/>
      </w:r>
    </w:p>
    <w:p w14:paraId="39DFB7E2" w14:textId="77777777" w:rsidR="007309D3" w:rsidRDefault="007309D3" w:rsidP="007309D3"/>
    <w:p w14:paraId="45023C50" w14:textId="12D7794F" w:rsidR="007309D3" w:rsidRDefault="007309D3" w:rsidP="007309D3">
      <w:pPr>
        <w:pStyle w:val="EntradandiceAuto"/>
      </w:pPr>
      <w:r>
        <w:t>Sección Tercera. Auto 501/2023, de 2 de noviembre de 2023. Acepta una abstención en el recurso de amparo 7617-2022, promovido en proceso contencioso administrativo.</w:t>
      </w:r>
      <w:r>
        <w:tab/>
      </w:r>
      <w:r>
        <w:tab/>
      </w:r>
      <w:r>
        <w:fldChar w:fldCharType="begin"/>
      </w:r>
      <w:r>
        <w:instrText xml:space="preserve"> PAGEREF AUTO_2023_501 \h </w:instrText>
      </w:r>
      <w:r>
        <w:fldChar w:fldCharType="separate"/>
      </w:r>
      <w:r w:rsidR="00C73693">
        <w:rPr>
          <w:noProof/>
        </w:rPr>
        <w:t>2549</w:t>
      </w:r>
      <w:r>
        <w:fldChar w:fldCharType="end"/>
      </w:r>
    </w:p>
    <w:p w14:paraId="3EC78BDB" w14:textId="77777777" w:rsidR="007309D3" w:rsidRDefault="007309D3" w:rsidP="007309D3"/>
    <w:p w14:paraId="73A2DA91" w14:textId="3EC8C9D6" w:rsidR="007309D3" w:rsidRDefault="007309D3" w:rsidP="007309D3">
      <w:pPr>
        <w:pStyle w:val="EntradandiceAuto"/>
      </w:pPr>
      <w:r>
        <w:t>Sección Tercera. Auto 502/2023, de 2 de noviembre de 2023. Acepta una abstención en el recurso de amparo 7663-2022, promovido en proceso contencioso administrativo.</w:t>
      </w:r>
      <w:r>
        <w:tab/>
      </w:r>
      <w:r>
        <w:tab/>
      </w:r>
      <w:r>
        <w:fldChar w:fldCharType="begin"/>
      </w:r>
      <w:r>
        <w:instrText xml:space="preserve"> PAGEREF AUTO_2023_502 \h </w:instrText>
      </w:r>
      <w:r>
        <w:fldChar w:fldCharType="separate"/>
      </w:r>
      <w:r w:rsidR="00C73693">
        <w:rPr>
          <w:noProof/>
        </w:rPr>
        <w:t>2551</w:t>
      </w:r>
      <w:r>
        <w:fldChar w:fldCharType="end"/>
      </w:r>
    </w:p>
    <w:p w14:paraId="2D772BB8" w14:textId="77777777" w:rsidR="007309D3" w:rsidRDefault="007309D3" w:rsidP="007309D3"/>
    <w:p w14:paraId="6001DDE6" w14:textId="2677FDBF" w:rsidR="007309D3" w:rsidRDefault="007309D3" w:rsidP="007309D3">
      <w:pPr>
        <w:pStyle w:val="EntradandiceAuto"/>
      </w:pPr>
      <w:r>
        <w:t>Sección Tercera. Auto 503/2023, de 2 de noviembre de 2023. Acepta una abstención en el recurso de amparo 8276-2022, promovido en proceso contencioso administrativo.</w:t>
      </w:r>
      <w:r>
        <w:tab/>
      </w:r>
      <w:r>
        <w:tab/>
      </w:r>
      <w:r>
        <w:fldChar w:fldCharType="begin"/>
      </w:r>
      <w:r>
        <w:instrText xml:space="preserve"> PAGEREF AUTO_2023_503 \h </w:instrText>
      </w:r>
      <w:r>
        <w:fldChar w:fldCharType="separate"/>
      </w:r>
      <w:r w:rsidR="00C73693">
        <w:rPr>
          <w:noProof/>
        </w:rPr>
        <w:t>2553</w:t>
      </w:r>
      <w:r>
        <w:fldChar w:fldCharType="end"/>
      </w:r>
    </w:p>
    <w:p w14:paraId="2F0E974B" w14:textId="77777777" w:rsidR="007309D3" w:rsidRDefault="007309D3" w:rsidP="007309D3"/>
    <w:p w14:paraId="5BA2FA7F" w14:textId="2E269C3A" w:rsidR="007309D3" w:rsidRDefault="007309D3" w:rsidP="007309D3">
      <w:pPr>
        <w:pStyle w:val="EntradandiceAuto"/>
      </w:pPr>
      <w:r>
        <w:t>Sección Cuarta. Auto 504/2023, de 2 de noviembre de 2023. Acepta una abstención en el recurso de amparo 818-2023, promovido por la entidad Bercea Group B.C.N., S.L., en proceso contencioso administrativo.</w:t>
      </w:r>
      <w:r>
        <w:tab/>
      </w:r>
      <w:r>
        <w:tab/>
      </w:r>
      <w:r>
        <w:fldChar w:fldCharType="begin"/>
      </w:r>
      <w:r>
        <w:instrText xml:space="preserve"> PAGEREF AUTO_2023_504 \h </w:instrText>
      </w:r>
      <w:r>
        <w:fldChar w:fldCharType="separate"/>
      </w:r>
      <w:r w:rsidR="00C73693">
        <w:rPr>
          <w:noProof/>
        </w:rPr>
        <w:t>2555</w:t>
      </w:r>
      <w:r>
        <w:fldChar w:fldCharType="end"/>
      </w:r>
    </w:p>
    <w:p w14:paraId="1CD71A5F" w14:textId="77777777" w:rsidR="007309D3" w:rsidRDefault="007309D3" w:rsidP="007309D3"/>
    <w:p w14:paraId="6A88A92A" w14:textId="4371B78B" w:rsidR="007309D3" w:rsidRDefault="007309D3" w:rsidP="007309D3">
      <w:pPr>
        <w:pStyle w:val="EntradandiceAuto"/>
      </w:pPr>
      <w:r>
        <w:t>Sección Tercera. Auto 505/2023, de 2 de noviembre de 2023. Acepta una abstención en el recurso de amparo 1851-2023, promovido en proceso contencioso administrativo.</w:t>
      </w:r>
      <w:r>
        <w:tab/>
      </w:r>
      <w:r>
        <w:tab/>
      </w:r>
      <w:r>
        <w:fldChar w:fldCharType="begin"/>
      </w:r>
      <w:r>
        <w:instrText xml:space="preserve"> PAGEREF AUTO_2023_505 \h </w:instrText>
      </w:r>
      <w:r>
        <w:fldChar w:fldCharType="separate"/>
      </w:r>
      <w:r w:rsidR="00C73693">
        <w:rPr>
          <w:noProof/>
        </w:rPr>
        <w:t>2557</w:t>
      </w:r>
      <w:r>
        <w:fldChar w:fldCharType="end"/>
      </w:r>
    </w:p>
    <w:p w14:paraId="6CA0AB7C" w14:textId="77777777" w:rsidR="007309D3" w:rsidRDefault="007309D3" w:rsidP="007309D3"/>
    <w:p w14:paraId="0F361453" w14:textId="69148853" w:rsidR="007309D3" w:rsidRDefault="007309D3" w:rsidP="007309D3">
      <w:pPr>
        <w:pStyle w:val="EntradandiceAuto"/>
      </w:pPr>
      <w:r>
        <w:t>Sección Tercera. Auto 506/2023, de 2 de noviembre de 2023. Acepta una abstención en el recurso de amparo 2623-2023, promovido en proceso contencioso administrativo.</w:t>
      </w:r>
      <w:r>
        <w:tab/>
      </w:r>
      <w:r>
        <w:tab/>
      </w:r>
      <w:r>
        <w:fldChar w:fldCharType="begin"/>
      </w:r>
      <w:r>
        <w:instrText xml:space="preserve"> PAGEREF AUTO_2023_506 \h </w:instrText>
      </w:r>
      <w:r>
        <w:fldChar w:fldCharType="separate"/>
      </w:r>
      <w:r w:rsidR="00C73693">
        <w:rPr>
          <w:noProof/>
        </w:rPr>
        <w:t>2559</w:t>
      </w:r>
      <w:r>
        <w:fldChar w:fldCharType="end"/>
      </w:r>
    </w:p>
    <w:p w14:paraId="6C5A2C71" w14:textId="77777777" w:rsidR="007309D3" w:rsidRDefault="007309D3" w:rsidP="007309D3"/>
    <w:p w14:paraId="1D1C00C0" w14:textId="57F29599" w:rsidR="007309D3" w:rsidRDefault="007309D3" w:rsidP="007309D3">
      <w:pPr>
        <w:pStyle w:val="EntradandiceAuto"/>
      </w:pPr>
      <w:r>
        <w:t>Sección Tercera. Auto 507/2023, de 2 de noviembre de 2023. Acepta una abstención en el recurso de amparo 2924-2023, promovido en proceso contencioso administrativo.</w:t>
      </w:r>
      <w:r>
        <w:tab/>
      </w:r>
      <w:r>
        <w:tab/>
      </w:r>
      <w:r>
        <w:fldChar w:fldCharType="begin"/>
      </w:r>
      <w:r>
        <w:instrText xml:space="preserve"> PAGEREF AUTO_2023_507 \h </w:instrText>
      </w:r>
      <w:r>
        <w:fldChar w:fldCharType="separate"/>
      </w:r>
      <w:r w:rsidR="00C73693">
        <w:rPr>
          <w:noProof/>
        </w:rPr>
        <w:t>2561</w:t>
      </w:r>
      <w:r>
        <w:fldChar w:fldCharType="end"/>
      </w:r>
    </w:p>
    <w:p w14:paraId="7B03CADE" w14:textId="77777777" w:rsidR="007309D3" w:rsidRDefault="007309D3" w:rsidP="007309D3"/>
    <w:p w14:paraId="5840729D" w14:textId="16BC8D4E" w:rsidR="007309D3" w:rsidRDefault="007309D3" w:rsidP="007309D3">
      <w:pPr>
        <w:pStyle w:val="EntradandiceAuto"/>
      </w:pPr>
      <w:r>
        <w:t>Sección Tercera. Auto 508/2023, de 2 de noviembre de 2023. Acepta una abstención en el recurso de amparo 2978-2023, promovido en proceso contencioso administrativo.</w:t>
      </w:r>
      <w:r>
        <w:tab/>
      </w:r>
      <w:r>
        <w:tab/>
      </w:r>
      <w:r>
        <w:fldChar w:fldCharType="begin"/>
      </w:r>
      <w:r>
        <w:instrText xml:space="preserve"> PAGEREF AUTO_2023_508 \h </w:instrText>
      </w:r>
      <w:r>
        <w:fldChar w:fldCharType="separate"/>
      </w:r>
      <w:r w:rsidR="00C73693">
        <w:rPr>
          <w:noProof/>
        </w:rPr>
        <w:t>2563</w:t>
      </w:r>
      <w:r>
        <w:fldChar w:fldCharType="end"/>
      </w:r>
    </w:p>
    <w:p w14:paraId="1DD8D3DC" w14:textId="77777777" w:rsidR="007309D3" w:rsidRDefault="007309D3" w:rsidP="007309D3"/>
    <w:p w14:paraId="35794137" w14:textId="568C7ED0" w:rsidR="007309D3" w:rsidRDefault="007309D3" w:rsidP="007309D3">
      <w:pPr>
        <w:pStyle w:val="EntradandiceAuto"/>
      </w:pPr>
      <w:r>
        <w:t>Sección Tercera. Auto 509/2023, de 2 de noviembre de 2023. Acepta una abstención en el recurso de amparo 3062-2023, promovido en proceso contencioso administrativo.</w:t>
      </w:r>
      <w:r>
        <w:tab/>
      </w:r>
      <w:r>
        <w:tab/>
      </w:r>
      <w:r>
        <w:fldChar w:fldCharType="begin"/>
      </w:r>
      <w:r>
        <w:instrText xml:space="preserve"> PAGEREF AUTO_2023_509 \h </w:instrText>
      </w:r>
      <w:r>
        <w:fldChar w:fldCharType="separate"/>
      </w:r>
      <w:r w:rsidR="00C73693">
        <w:rPr>
          <w:noProof/>
        </w:rPr>
        <w:t>2565</w:t>
      </w:r>
      <w:r>
        <w:fldChar w:fldCharType="end"/>
      </w:r>
    </w:p>
    <w:p w14:paraId="7F1857A5" w14:textId="77777777" w:rsidR="007309D3" w:rsidRDefault="007309D3" w:rsidP="007309D3"/>
    <w:p w14:paraId="12142F07" w14:textId="36828E2C" w:rsidR="007309D3" w:rsidRDefault="007309D3" w:rsidP="007309D3">
      <w:pPr>
        <w:pStyle w:val="EntradandiceAuto"/>
      </w:pPr>
      <w:r>
        <w:t>Sección Tercera. Auto 510/2023, de 2 de noviembre de 2023. Acepta una abstención en el recurso de amparo 3084-2023, promovido en proceso contencioso administrativo.</w:t>
      </w:r>
      <w:r>
        <w:tab/>
      </w:r>
      <w:r>
        <w:tab/>
      </w:r>
      <w:r>
        <w:fldChar w:fldCharType="begin"/>
      </w:r>
      <w:r>
        <w:instrText xml:space="preserve"> PAGEREF AUTO_2023_510 \h </w:instrText>
      </w:r>
      <w:r>
        <w:fldChar w:fldCharType="separate"/>
      </w:r>
      <w:r w:rsidR="00C73693">
        <w:rPr>
          <w:noProof/>
        </w:rPr>
        <w:t>2567</w:t>
      </w:r>
      <w:r>
        <w:fldChar w:fldCharType="end"/>
      </w:r>
    </w:p>
    <w:p w14:paraId="17D89CC4" w14:textId="77777777" w:rsidR="007309D3" w:rsidRDefault="007309D3" w:rsidP="007309D3"/>
    <w:p w14:paraId="35259442" w14:textId="729C9AE0" w:rsidR="007309D3" w:rsidRDefault="007309D3" w:rsidP="007309D3">
      <w:pPr>
        <w:pStyle w:val="EntradandiceAuto"/>
      </w:pPr>
      <w:r>
        <w:t>Sección Tercera. Auto 511/2023, de 2 de noviembre de 2023. Acepta una abstención en el recurso de amparo 4035-2023, promovido en proceso contencioso administrativo.</w:t>
      </w:r>
      <w:r>
        <w:tab/>
      </w:r>
      <w:r>
        <w:tab/>
      </w:r>
      <w:r>
        <w:fldChar w:fldCharType="begin"/>
      </w:r>
      <w:r>
        <w:instrText xml:space="preserve"> PAGEREF AUTO_2023_511 \h </w:instrText>
      </w:r>
      <w:r>
        <w:fldChar w:fldCharType="separate"/>
      </w:r>
      <w:r w:rsidR="00C73693">
        <w:rPr>
          <w:noProof/>
        </w:rPr>
        <w:t>2569</w:t>
      </w:r>
      <w:r>
        <w:fldChar w:fldCharType="end"/>
      </w:r>
    </w:p>
    <w:p w14:paraId="770B7901" w14:textId="77777777" w:rsidR="007309D3" w:rsidRDefault="007309D3" w:rsidP="007309D3"/>
    <w:p w14:paraId="0DC1FEB0" w14:textId="665FC952" w:rsidR="007309D3" w:rsidRDefault="007309D3" w:rsidP="007309D3">
      <w:pPr>
        <w:pStyle w:val="EntradandiceAuto"/>
      </w:pPr>
      <w:r>
        <w:t>Sección Tercera. Auto 512/2023, de 6 de noviembre de 2023. Acepta una abstención en el recurso de amparo 3499-2022, promovido en proceso contencioso administrativo.</w:t>
      </w:r>
      <w:r>
        <w:tab/>
      </w:r>
      <w:r>
        <w:tab/>
      </w:r>
      <w:r>
        <w:fldChar w:fldCharType="begin"/>
      </w:r>
      <w:r>
        <w:instrText xml:space="preserve"> PAGEREF AUTO_2023_512 \h </w:instrText>
      </w:r>
      <w:r>
        <w:fldChar w:fldCharType="separate"/>
      </w:r>
      <w:r w:rsidR="00C73693">
        <w:rPr>
          <w:noProof/>
        </w:rPr>
        <w:t>2571</w:t>
      </w:r>
      <w:r>
        <w:fldChar w:fldCharType="end"/>
      </w:r>
    </w:p>
    <w:p w14:paraId="69F114B1" w14:textId="77777777" w:rsidR="007309D3" w:rsidRDefault="007309D3" w:rsidP="007309D3"/>
    <w:p w14:paraId="78FAC915" w14:textId="3F4EABEF" w:rsidR="007309D3" w:rsidRDefault="007309D3" w:rsidP="007309D3">
      <w:pPr>
        <w:pStyle w:val="EntradandiceAuto"/>
      </w:pPr>
      <w:r>
        <w:t>Sección Tercera. Auto 513/2023, de 6 de noviembre de 2023. Acepta una abstención en el recurso de amparo 3737-2022, promovido en proceso contencioso administrativo.</w:t>
      </w:r>
      <w:r>
        <w:tab/>
      </w:r>
      <w:r>
        <w:tab/>
      </w:r>
      <w:r>
        <w:fldChar w:fldCharType="begin"/>
      </w:r>
      <w:r>
        <w:instrText xml:space="preserve"> PAGEREF AUTO_2023_513 \h </w:instrText>
      </w:r>
      <w:r>
        <w:fldChar w:fldCharType="separate"/>
      </w:r>
      <w:r w:rsidR="00C73693">
        <w:rPr>
          <w:noProof/>
        </w:rPr>
        <w:t>2573</w:t>
      </w:r>
      <w:r>
        <w:fldChar w:fldCharType="end"/>
      </w:r>
    </w:p>
    <w:p w14:paraId="53E53AAF" w14:textId="77777777" w:rsidR="007309D3" w:rsidRDefault="007309D3" w:rsidP="007309D3"/>
    <w:p w14:paraId="6D4655FB" w14:textId="1410450D" w:rsidR="007309D3" w:rsidRDefault="007309D3" w:rsidP="007309D3">
      <w:pPr>
        <w:pStyle w:val="EntradandiceAuto"/>
      </w:pPr>
      <w:r>
        <w:t>Sección Tercera. Auto 514/2023, de 6 de noviembre de 2023. Acepta una abstención en el recurso de amparo 4908-2022, promovido en proceso contencioso administrativo.</w:t>
      </w:r>
      <w:r>
        <w:tab/>
      </w:r>
      <w:r>
        <w:tab/>
      </w:r>
      <w:r>
        <w:fldChar w:fldCharType="begin"/>
      </w:r>
      <w:r>
        <w:instrText xml:space="preserve"> PAGEREF AUTO_2023_514 \h </w:instrText>
      </w:r>
      <w:r>
        <w:fldChar w:fldCharType="separate"/>
      </w:r>
      <w:r w:rsidR="00C73693">
        <w:rPr>
          <w:noProof/>
        </w:rPr>
        <w:t>2575</w:t>
      </w:r>
      <w:r>
        <w:fldChar w:fldCharType="end"/>
      </w:r>
    </w:p>
    <w:p w14:paraId="508A88CB" w14:textId="77777777" w:rsidR="007309D3" w:rsidRDefault="007309D3" w:rsidP="007309D3"/>
    <w:p w14:paraId="0EE068C7" w14:textId="5DD58DC3" w:rsidR="007309D3" w:rsidRDefault="007309D3" w:rsidP="007309D3">
      <w:pPr>
        <w:pStyle w:val="EntradandiceAuto"/>
      </w:pPr>
      <w:r>
        <w:t>Sección Tercera. Auto 515/2023, de 6 de noviembre de 2023. Acepta una abstención en el recurso de amparo 5104-2022, promovido en proceso contencioso-administrativo.</w:t>
      </w:r>
      <w:r>
        <w:tab/>
      </w:r>
      <w:r>
        <w:tab/>
      </w:r>
      <w:r>
        <w:fldChar w:fldCharType="begin"/>
      </w:r>
      <w:r>
        <w:instrText xml:space="preserve"> PAGEREF AUTO_2023_515 \h </w:instrText>
      </w:r>
      <w:r>
        <w:fldChar w:fldCharType="separate"/>
      </w:r>
      <w:r w:rsidR="00C73693">
        <w:rPr>
          <w:noProof/>
        </w:rPr>
        <w:t>2577</w:t>
      </w:r>
      <w:r>
        <w:fldChar w:fldCharType="end"/>
      </w:r>
    </w:p>
    <w:p w14:paraId="25B78A83" w14:textId="77777777" w:rsidR="007309D3" w:rsidRDefault="007309D3" w:rsidP="007309D3"/>
    <w:p w14:paraId="5B9DE554" w14:textId="44107F28" w:rsidR="007309D3" w:rsidRDefault="007309D3" w:rsidP="007309D3">
      <w:pPr>
        <w:pStyle w:val="EntradandiceAuto"/>
      </w:pPr>
      <w:r>
        <w:t>Sección Tercera. Auto 516/2023, de 6 de noviembre de 2023. Acepta una abstención en el recurso de amparo 5236-2022, promovido en proceso contencioso-administrativo.</w:t>
      </w:r>
      <w:r>
        <w:tab/>
      </w:r>
      <w:r>
        <w:tab/>
      </w:r>
      <w:r>
        <w:fldChar w:fldCharType="begin"/>
      </w:r>
      <w:r>
        <w:instrText xml:space="preserve"> PAGEREF AUTO_2023_516 \h </w:instrText>
      </w:r>
      <w:r>
        <w:fldChar w:fldCharType="separate"/>
      </w:r>
      <w:r w:rsidR="00C73693">
        <w:rPr>
          <w:noProof/>
        </w:rPr>
        <w:t>2579</w:t>
      </w:r>
      <w:r>
        <w:fldChar w:fldCharType="end"/>
      </w:r>
    </w:p>
    <w:p w14:paraId="55D695ED" w14:textId="77777777" w:rsidR="007309D3" w:rsidRDefault="007309D3" w:rsidP="007309D3"/>
    <w:p w14:paraId="0BAADF71" w14:textId="19BD9F96" w:rsidR="007309D3" w:rsidRDefault="007309D3" w:rsidP="007309D3">
      <w:pPr>
        <w:pStyle w:val="EntradandiceAuto"/>
      </w:pPr>
      <w:r>
        <w:t>Sección Tercera. Auto 517/2023, de 6 de noviembre de 2023. Acepta una abstención en el recurso de amparo 5781-2022, promovido en proceso contencioso-administrativo.</w:t>
      </w:r>
      <w:r>
        <w:tab/>
      </w:r>
      <w:r>
        <w:tab/>
      </w:r>
      <w:r>
        <w:fldChar w:fldCharType="begin"/>
      </w:r>
      <w:r>
        <w:instrText xml:space="preserve"> PAGEREF AUTO_2023_517 \h </w:instrText>
      </w:r>
      <w:r>
        <w:fldChar w:fldCharType="separate"/>
      </w:r>
      <w:r w:rsidR="00C73693">
        <w:rPr>
          <w:noProof/>
        </w:rPr>
        <w:t>2581</w:t>
      </w:r>
      <w:r>
        <w:fldChar w:fldCharType="end"/>
      </w:r>
    </w:p>
    <w:p w14:paraId="48DC9050" w14:textId="77777777" w:rsidR="007309D3" w:rsidRDefault="007309D3" w:rsidP="007309D3"/>
    <w:p w14:paraId="6D436B6B" w14:textId="08280686" w:rsidR="007309D3" w:rsidRDefault="007309D3" w:rsidP="007309D3">
      <w:pPr>
        <w:pStyle w:val="EntradandiceAuto"/>
      </w:pPr>
      <w:r>
        <w:t>Sección Tercera. Auto 518/2023, de 6 de noviembre de 2023. Acepta una abstención en el recurso de amparo 5821-2022, promovido en proceso contencioso-administrativo.</w:t>
      </w:r>
      <w:r>
        <w:tab/>
      </w:r>
      <w:r>
        <w:tab/>
      </w:r>
      <w:r>
        <w:fldChar w:fldCharType="begin"/>
      </w:r>
      <w:r>
        <w:instrText xml:space="preserve"> PAGEREF AUTO_2023_518 \h </w:instrText>
      </w:r>
      <w:r>
        <w:fldChar w:fldCharType="separate"/>
      </w:r>
      <w:r w:rsidR="00C73693">
        <w:rPr>
          <w:noProof/>
        </w:rPr>
        <w:t>2583</w:t>
      </w:r>
      <w:r>
        <w:fldChar w:fldCharType="end"/>
      </w:r>
    </w:p>
    <w:p w14:paraId="22D4897E" w14:textId="77777777" w:rsidR="007309D3" w:rsidRDefault="007309D3" w:rsidP="007309D3"/>
    <w:p w14:paraId="57A0FD0A" w14:textId="41D0EAD7" w:rsidR="007309D3" w:rsidRDefault="007309D3" w:rsidP="007309D3">
      <w:pPr>
        <w:pStyle w:val="EntradandiceAuto"/>
      </w:pPr>
      <w:r>
        <w:t>Sección Tercera. Auto 519/2023, de 6 de noviembre de 2023. Acepta una abstención en el recurso de amparo 6043-2022, promovido en proceso contencioso-administrativo.</w:t>
      </w:r>
      <w:r>
        <w:tab/>
      </w:r>
      <w:r>
        <w:tab/>
      </w:r>
      <w:r>
        <w:fldChar w:fldCharType="begin"/>
      </w:r>
      <w:r>
        <w:instrText xml:space="preserve"> PAGEREF AUTO_2023_519 \h </w:instrText>
      </w:r>
      <w:r>
        <w:fldChar w:fldCharType="separate"/>
      </w:r>
      <w:r w:rsidR="00C73693">
        <w:rPr>
          <w:noProof/>
        </w:rPr>
        <w:t>2585</w:t>
      </w:r>
      <w:r>
        <w:fldChar w:fldCharType="end"/>
      </w:r>
    </w:p>
    <w:p w14:paraId="02B2E897" w14:textId="77777777" w:rsidR="007309D3" w:rsidRDefault="007309D3" w:rsidP="007309D3"/>
    <w:p w14:paraId="13768234" w14:textId="2BFF86A8" w:rsidR="007309D3" w:rsidRDefault="007309D3" w:rsidP="007309D3">
      <w:pPr>
        <w:pStyle w:val="EntradandiceAuto"/>
      </w:pPr>
      <w:r>
        <w:t>Sección Tercera. Auto 520/2023, de 6 de noviembre de 2023. Acepta una abstención en el recurso de amparo 6591-2022, promovido por la entidad Post Belt Caminjun 3.0, S.L. en proceso contencioso-administrativo.</w:t>
      </w:r>
      <w:r>
        <w:tab/>
      </w:r>
      <w:r>
        <w:tab/>
      </w:r>
      <w:r>
        <w:fldChar w:fldCharType="begin"/>
      </w:r>
      <w:r>
        <w:instrText xml:space="preserve"> PAGEREF AUTO_2023_520 \h </w:instrText>
      </w:r>
      <w:r>
        <w:fldChar w:fldCharType="separate"/>
      </w:r>
      <w:r w:rsidR="00C73693">
        <w:rPr>
          <w:noProof/>
        </w:rPr>
        <w:t>2587</w:t>
      </w:r>
      <w:r>
        <w:fldChar w:fldCharType="end"/>
      </w:r>
    </w:p>
    <w:p w14:paraId="0D89DC99" w14:textId="77777777" w:rsidR="007309D3" w:rsidRDefault="007309D3" w:rsidP="007309D3"/>
    <w:p w14:paraId="016FF756" w14:textId="487F0009" w:rsidR="007309D3" w:rsidRDefault="007309D3" w:rsidP="007309D3">
      <w:pPr>
        <w:pStyle w:val="EntradandiceAuto"/>
      </w:pPr>
      <w:r>
        <w:t>Pleno. Auto 521/2023, de 6 de noviembre de 2023. Acepta una abstención en el recurso de inconstitucionalidad núm. 6914-2022, interpuesto por más de cincuenta diputados del Grupo Parlamentario Popular en relación con la Ley Orgánica 8/2022, de 27 de julio, de modificación de los artículos 570 bis y 599 de la Ley Orgánica 6/1985, de 1 de julio, del Poder Judicial.</w:t>
      </w:r>
      <w:r>
        <w:tab/>
      </w:r>
      <w:r>
        <w:tab/>
      </w:r>
      <w:r>
        <w:fldChar w:fldCharType="begin"/>
      </w:r>
      <w:r>
        <w:instrText xml:space="preserve"> PAGEREF AUTO_2023_521 \h </w:instrText>
      </w:r>
      <w:r>
        <w:fldChar w:fldCharType="separate"/>
      </w:r>
      <w:r w:rsidR="00C73693">
        <w:rPr>
          <w:noProof/>
        </w:rPr>
        <w:t>2589</w:t>
      </w:r>
      <w:r>
        <w:fldChar w:fldCharType="end"/>
      </w:r>
    </w:p>
    <w:p w14:paraId="57FAF293" w14:textId="77777777" w:rsidR="007309D3" w:rsidRDefault="007309D3" w:rsidP="007309D3"/>
    <w:p w14:paraId="3DBA1C1B" w14:textId="3C1A8CF8" w:rsidR="007309D3" w:rsidRDefault="007309D3" w:rsidP="007309D3">
      <w:pPr>
        <w:pStyle w:val="EntradandiceAuto"/>
      </w:pPr>
      <w:r>
        <w:t>Pleno. Auto 522/2023, de 6 de noviembre de 2023. Acepta una abstención en el recurso de inconstitucionalidad núm. 6914-2022, interpuesto por más de cincuenta diputados del Grupo Parlamentario Popular en relación con la Ley Orgánica 8/2022, de 27 de julio, de modificación de los artículos 570 bis y 599 de la Ley Orgánica 6/1985, de 1 de julio, del Poder Judicial.</w:t>
      </w:r>
      <w:r>
        <w:tab/>
      </w:r>
      <w:r>
        <w:tab/>
      </w:r>
      <w:r>
        <w:fldChar w:fldCharType="begin"/>
      </w:r>
      <w:r>
        <w:instrText xml:space="preserve"> PAGEREF AUTO_2023_522 \h </w:instrText>
      </w:r>
      <w:r>
        <w:fldChar w:fldCharType="separate"/>
      </w:r>
      <w:r w:rsidR="00C73693">
        <w:rPr>
          <w:noProof/>
        </w:rPr>
        <w:t>2592</w:t>
      </w:r>
      <w:r>
        <w:fldChar w:fldCharType="end"/>
      </w:r>
    </w:p>
    <w:p w14:paraId="7E13588D" w14:textId="77777777" w:rsidR="007309D3" w:rsidRDefault="007309D3" w:rsidP="007309D3"/>
    <w:p w14:paraId="0F08BA4E" w14:textId="280179FD" w:rsidR="007309D3" w:rsidRDefault="007309D3" w:rsidP="007309D3">
      <w:pPr>
        <w:pStyle w:val="EntradandiceAuto"/>
      </w:pPr>
      <w:r>
        <w:t>Sección Tercera. Auto 523/2023, de 6 de noviembre de 2023. Acepta una abstención en el recurso de amparo 7071-2022, promovido en proceso contencioso-administrativo.</w:t>
      </w:r>
      <w:r>
        <w:tab/>
      </w:r>
      <w:r>
        <w:tab/>
      </w:r>
      <w:r>
        <w:fldChar w:fldCharType="begin"/>
      </w:r>
      <w:r>
        <w:instrText xml:space="preserve"> PAGEREF AUTO_2023_523 \h </w:instrText>
      </w:r>
      <w:r>
        <w:fldChar w:fldCharType="separate"/>
      </w:r>
      <w:r w:rsidR="00C73693">
        <w:rPr>
          <w:noProof/>
        </w:rPr>
        <w:t>2595</w:t>
      </w:r>
      <w:r>
        <w:fldChar w:fldCharType="end"/>
      </w:r>
    </w:p>
    <w:p w14:paraId="0F484379" w14:textId="77777777" w:rsidR="007309D3" w:rsidRDefault="007309D3" w:rsidP="007309D3"/>
    <w:p w14:paraId="5679D33B" w14:textId="48BF3550" w:rsidR="007309D3" w:rsidRDefault="007309D3" w:rsidP="007309D3">
      <w:pPr>
        <w:pStyle w:val="EntradandiceAuto"/>
      </w:pPr>
      <w:r>
        <w:t>Sección Tercera. Auto 524/2023, de 6 de noviembre de 2023. Acepta una abstención en el recurso de amparo 7905-2022, promovido en proceso contencioso-administrativo.</w:t>
      </w:r>
      <w:r>
        <w:tab/>
      </w:r>
      <w:r>
        <w:tab/>
      </w:r>
      <w:r>
        <w:fldChar w:fldCharType="begin"/>
      </w:r>
      <w:r>
        <w:instrText xml:space="preserve"> PAGEREF AUTO_2023_524 \h </w:instrText>
      </w:r>
      <w:r>
        <w:fldChar w:fldCharType="separate"/>
      </w:r>
      <w:r w:rsidR="00C73693">
        <w:rPr>
          <w:noProof/>
        </w:rPr>
        <w:t>2597</w:t>
      </w:r>
      <w:r>
        <w:fldChar w:fldCharType="end"/>
      </w:r>
    </w:p>
    <w:p w14:paraId="349D3A0A" w14:textId="77777777" w:rsidR="007309D3" w:rsidRDefault="007309D3" w:rsidP="007309D3"/>
    <w:p w14:paraId="693E0FC2" w14:textId="78E40BF0" w:rsidR="007309D3" w:rsidRDefault="007309D3" w:rsidP="007309D3">
      <w:pPr>
        <w:pStyle w:val="EntradandiceAuto"/>
      </w:pPr>
      <w:r>
        <w:t>Sección Tercera. Auto 525/2023, de 6 de noviembre de 2023. Acepta una abstención en el recurso de amparo 8243-2022, promovido en proceso contencioso-administrativo.</w:t>
      </w:r>
      <w:r>
        <w:tab/>
      </w:r>
      <w:r>
        <w:tab/>
      </w:r>
      <w:r>
        <w:fldChar w:fldCharType="begin"/>
      </w:r>
      <w:r>
        <w:instrText xml:space="preserve"> PAGEREF AUTO_2023_525 \h </w:instrText>
      </w:r>
      <w:r>
        <w:fldChar w:fldCharType="separate"/>
      </w:r>
      <w:r w:rsidR="00C73693">
        <w:rPr>
          <w:noProof/>
        </w:rPr>
        <w:t>2599</w:t>
      </w:r>
      <w:r>
        <w:fldChar w:fldCharType="end"/>
      </w:r>
    </w:p>
    <w:p w14:paraId="7458877B" w14:textId="77777777" w:rsidR="007309D3" w:rsidRDefault="007309D3" w:rsidP="007309D3"/>
    <w:p w14:paraId="1D04F376" w14:textId="3A066B51" w:rsidR="007309D3" w:rsidRDefault="007309D3" w:rsidP="007309D3">
      <w:pPr>
        <w:pStyle w:val="EntradandiceAuto"/>
      </w:pPr>
      <w:r>
        <w:t>Pleno. Auto 526/2023, de 6 de noviembre de 2023. Inadmite a trámite la cuestión de inconstitucionalidad 1019-2023, planteada por la Sección Cuarta de la Sala de lo Contencioso-Administrativo del Tribunal Supremo en relación con el artículo 17 bis.2 b) de la Ley Orgánica 8/2007, de 4 de julio, sobre financiación de los partidos políticos.</w:t>
      </w:r>
      <w:r>
        <w:tab/>
      </w:r>
      <w:r>
        <w:tab/>
      </w:r>
      <w:r>
        <w:fldChar w:fldCharType="begin"/>
      </w:r>
      <w:r>
        <w:instrText xml:space="preserve"> PAGEREF AUTO_2023_526 \h </w:instrText>
      </w:r>
      <w:r>
        <w:fldChar w:fldCharType="separate"/>
      </w:r>
      <w:r w:rsidR="00C73693">
        <w:rPr>
          <w:noProof/>
        </w:rPr>
        <w:t>2601</w:t>
      </w:r>
      <w:r>
        <w:fldChar w:fldCharType="end"/>
      </w:r>
    </w:p>
    <w:p w14:paraId="005A5039" w14:textId="77777777" w:rsidR="007309D3" w:rsidRDefault="007309D3" w:rsidP="007309D3"/>
    <w:p w14:paraId="74F08C4D" w14:textId="4B237E78" w:rsidR="007309D3" w:rsidRDefault="007309D3" w:rsidP="007309D3">
      <w:pPr>
        <w:pStyle w:val="EntradandiceAuto"/>
      </w:pPr>
      <w:r>
        <w:t>Sección Tercera. Auto 527/2023, de 6 de noviembre de 2023. Acepta una abstención en el recurso de amparo 2403-2023, promovido en proceso contencioso-administrativo.</w:t>
      </w:r>
      <w:r>
        <w:tab/>
      </w:r>
      <w:r>
        <w:tab/>
      </w:r>
      <w:r>
        <w:fldChar w:fldCharType="begin"/>
      </w:r>
      <w:r>
        <w:instrText xml:space="preserve"> PAGEREF AUTO_2023_527 \h </w:instrText>
      </w:r>
      <w:r>
        <w:fldChar w:fldCharType="separate"/>
      </w:r>
      <w:r w:rsidR="00C73693">
        <w:rPr>
          <w:noProof/>
        </w:rPr>
        <w:t>2612</w:t>
      </w:r>
      <w:r>
        <w:fldChar w:fldCharType="end"/>
      </w:r>
    </w:p>
    <w:p w14:paraId="5885B4C9" w14:textId="77777777" w:rsidR="007309D3" w:rsidRDefault="007309D3" w:rsidP="007309D3"/>
    <w:p w14:paraId="5FCC33E1" w14:textId="3C8831DE" w:rsidR="007309D3" w:rsidRDefault="007309D3" w:rsidP="007309D3">
      <w:pPr>
        <w:pStyle w:val="EntradandiceAuto"/>
      </w:pPr>
      <w:r>
        <w:t>Sección Tercera. Auto 528/2023, de 6 de noviembre de 2023. Acepta una abstención en el recurso de amparo 3731-2023, promovido en proceso contencioso-administrativo.</w:t>
      </w:r>
      <w:r>
        <w:tab/>
      </w:r>
      <w:r>
        <w:tab/>
      </w:r>
      <w:r>
        <w:fldChar w:fldCharType="begin"/>
      </w:r>
      <w:r>
        <w:instrText xml:space="preserve"> PAGEREF AUTO_2023_528 \h </w:instrText>
      </w:r>
      <w:r>
        <w:fldChar w:fldCharType="separate"/>
      </w:r>
      <w:r w:rsidR="00C73693">
        <w:rPr>
          <w:noProof/>
        </w:rPr>
        <w:t>2614</w:t>
      </w:r>
      <w:r>
        <w:fldChar w:fldCharType="end"/>
      </w:r>
    </w:p>
    <w:p w14:paraId="4742670A" w14:textId="77777777" w:rsidR="007309D3" w:rsidRDefault="007309D3" w:rsidP="007309D3"/>
    <w:p w14:paraId="33602E06" w14:textId="7766F572" w:rsidR="007309D3" w:rsidRDefault="007309D3" w:rsidP="007309D3">
      <w:pPr>
        <w:pStyle w:val="EntradandiceAuto"/>
      </w:pPr>
      <w:r>
        <w:t>Sección Cuarta. Auto 529/2023, de 6 de noviembre de 2023. Acepta una abstención en el recurso de amparo 3789-2023, promovido por la entidad Obras Generales del Norte, S.A., en pleito civil.</w:t>
      </w:r>
      <w:r>
        <w:tab/>
      </w:r>
      <w:r>
        <w:tab/>
      </w:r>
      <w:r>
        <w:fldChar w:fldCharType="begin"/>
      </w:r>
      <w:r>
        <w:instrText xml:space="preserve"> PAGEREF AUTO_2023_529 \h </w:instrText>
      </w:r>
      <w:r>
        <w:fldChar w:fldCharType="separate"/>
      </w:r>
      <w:r w:rsidR="00C73693">
        <w:rPr>
          <w:noProof/>
        </w:rPr>
        <w:t>2616</w:t>
      </w:r>
      <w:r>
        <w:fldChar w:fldCharType="end"/>
      </w:r>
    </w:p>
    <w:p w14:paraId="60647646" w14:textId="77777777" w:rsidR="007309D3" w:rsidRDefault="007309D3" w:rsidP="007309D3"/>
    <w:p w14:paraId="6C79CAD1" w14:textId="7AFE5086" w:rsidR="007309D3" w:rsidRDefault="007309D3" w:rsidP="007309D3">
      <w:pPr>
        <w:pStyle w:val="EntradandiceAuto"/>
      </w:pPr>
      <w:r>
        <w:t>Sección Tercera. Auto 530/2023, de 6 de noviembre de 2023. Acepta una abstención en el recurso de amparo 4083-2023, promovido en proceso contencioso-administrativo.</w:t>
      </w:r>
      <w:r>
        <w:tab/>
      </w:r>
      <w:r>
        <w:tab/>
      </w:r>
      <w:r>
        <w:fldChar w:fldCharType="begin"/>
      </w:r>
      <w:r>
        <w:instrText xml:space="preserve"> PAGEREF AUTO_2023_530 \h </w:instrText>
      </w:r>
      <w:r>
        <w:fldChar w:fldCharType="separate"/>
      </w:r>
      <w:r w:rsidR="00C73693">
        <w:rPr>
          <w:noProof/>
        </w:rPr>
        <w:t>2618</w:t>
      </w:r>
      <w:r>
        <w:fldChar w:fldCharType="end"/>
      </w:r>
    </w:p>
    <w:p w14:paraId="1394F429" w14:textId="77777777" w:rsidR="007309D3" w:rsidRDefault="007309D3" w:rsidP="007309D3"/>
    <w:p w14:paraId="4117EF25" w14:textId="5F6C8081" w:rsidR="007309D3" w:rsidRDefault="007309D3" w:rsidP="007309D3">
      <w:pPr>
        <w:pStyle w:val="EntradandiceAuto"/>
      </w:pPr>
      <w:r>
        <w:t>Sección Tercera. Auto 531/2023, de 6 de noviembre de 2023. Acepta una abstención en el recurso de amparo 4097-2023, promovido en proceso contencioso-administrativo.</w:t>
      </w:r>
      <w:r>
        <w:tab/>
      </w:r>
      <w:r>
        <w:tab/>
      </w:r>
      <w:r>
        <w:fldChar w:fldCharType="begin"/>
      </w:r>
      <w:r>
        <w:instrText xml:space="preserve"> PAGEREF AUTO_2023_531 \h </w:instrText>
      </w:r>
      <w:r>
        <w:fldChar w:fldCharType="separate"/>
      </w:r>
      <w:r w:rsidR="00C73693">
        <w:rPr>
          <w:noProof/>
        </w:rPr>
        <w:t>2620</w:t>
      </w:r>
      <w:r>
        <w:fldChar w:fldCharType="end"/>
      </w:r>
    </w:p>
    <w:p w14:paraId="07083C37" w14:textId="77777777" w:rsidR="007309D3" w:rsidRDefault="007309D3" w:rsidP="007309D3"/>
    <w:p w14:paraId="4A913DEC" w14:textId="43E41AFC" w:rsidR="007309D3" w:rsidRDefault="007309D3" w:rsidP="007309D3">
      <w:pPr>
        <w:pStyle w:val="EntradandiceAuto"/>
      </w:pPr>
      <w:r>
        <w:t>Pleno. Auto 532/2023, de 6 de noviembre de 2023. Inadmite a trámite la cuestión de inconstitucionalidad 4242-2023, planteada por el Juzgado de lo Mercantil núm. 7 de Barcelona respecto de la disposición transitoria primera, apartado 3.6 de la Ley 16/2022, de 5 de septiembre, en relación con el artículo 489.1.5 del texto refundido de la Ley concursal, aprobado por el Real Decreto Legislativo 1/2020, de 5 de mayo, en la redacción dada por la Ley 16/2022, así como en relación a los artículos 491 y 497 de ese mismo texto refundido, en la redacción anterior a la dada por la Ley 16/2022.</w:t>
      </w:r>
      <w:r>
        <w:tab/>
      </w:r>
      <w:r>
        <w:tab/>
      </w:r>
      <w:r>
        <w:fldChar w:fldCharType="begin"/>
      </w:r>
      <w:r>
        <w:instrText xml:space="preserve"> PAGEREF AUTO_2023_532 \h </w:instrText>
      </w:r>
      <w:r>
        <w:fldChar w:fldCharType="separate"/>
      </w:r>
      <w:r w:rsidR="00C73693">
        <w:rPr>
          <w:noProof/>
        </w:rPr>
        <w:t>2622</w:t>
      </w:r>
      <w:r>
        <w:fldChar w:fldCharType="end"/>
      </w:r>
    </w:p>
    <w:p w14:paraId="45D16DA8" w14:textId="77777777" w:rsidR="007309D3" w:rsidRDefault="007309D3" w:rsidP="007309D3"/>
    <w:p w14:paraId="1929A31B" w14:textId="1ABDFEA6" w:rsidR="007309D3" w:rsidRDefault="007309D3" w:rsidP="007309D3">
      <w:pPr>
        <w:pStyle w:val="EntradandiceAuto"/>
      </w:pPr>
      <w:r>
        <w:t>Sección Tercera. Auto 533/2023, de 6 de noviembre de 2023. Acepta una abstención en el recurso de amparo 4251-2023, promovido en proceso contencioso-administrativo.</w:t>
      </w:r>
      <w:r>
        <w:tab/>
      </w:r>
      <w:r>
        <w:tab/>
      </w:r>
      <w:r>
        <w:fldChar w:fldCharType="begin"/>
      </w:r>
      <w:r>
        <w:instrText xml:space="preserve"> PAGEREF AUTO_2023_533 \h </w:instrText>
      </w:r>
      <w:r>
        <w:fldChar w:fldCharType="separate"/>
      </w:r>
      <w:r w:rsidR="00C73693">
        <w:rPr>
          <w:noProof/>
        </w:rPr>
        <w:t>2642</w:t>
      </w:r>
      <w:r>
        <w:fldChar w:fldCharType="end"/>
      </w:r>
    </w:p>
    <w:p w14:paraId="172203CC" w14:textId="77777777" w:rsidR="007309D3" w:rsidRDefault="007309D3" w:rsidP="007309D3"/>
    <w:p w14:paraId="7AEAFD32" w14:textId="532A2A3F" w:rsidR="007309D3" w:rsidRDefault="007309D3" w:rsidP="007309D3">
      <w:pPr>
        <w:pStyle w:val="EntradandiceAuto"/>
      </w:pPr>
      <w:r>
        <w:t>Sección Tercera. Auto 534/2023, de 6 de noviembre de 2023. Acepta una abstención en el recurso de amparo 4315-2023, promovido en proceso contencioso-administrativo.</w:t>
      </w:r>
      <w:r>
        <w:tab/>
      </w:r>
      <w:r>
        <w:tab/>
      </w:r>
      <w:r>
        <w:fldChar w:fldCharType="begin"/>
      </w:r>
      <w:r>
        <w:instrText xml:space="preserve"> PAGEREF AUTO_2023_534 \h </w:instrText>
      </w:r>
      <w:r>
        <w:fldChar w:fldCharType="separate"/>
      </w:r>
      <w:r w:rsidR="00C73693">
        <w:rPr>
          <w:noProof/>
        </w:rPr>
        <w:t>2644</w:t>
      </w:r>
      <w:r>
        <w:fldChar w:fldCharType="end"/>
      </w:r>
    </w:p>
    <w:p w14:paraId="6DCE51DD" w14:textId="77777777" w:rsidR="007309D3" w:rsidRDefault="007309D3" w:rsidP="007309D3"/>
    <w:p w14:paraId="71F39840" w14:textId="071ACD90" w:rsidR="007309D3" w:rsidRDefault="007309D3" w:rsidP="007309D3">
      <w:pPr>
        <w:pStyle w:val="EntradandiceAuto"/>
      </w:pPr>
      <w:r>
        <w:t>Pleno. Auto 535/2023, de 6 de noviembre de 2023. Inadmite a trámite la cuestión de inconstitucionalidad 4408-2023, planteada por el Juzgado de lo Mercantil núm. 7 de Barcelona respecto de la disposición transitoria primera, apartado 3.6 de la Ley 16/2022, de 5 de septiembre, en relación con el artículo 489.1.5 del texto refundido de la Ley concursal, aprobado por el Real Decreto Legislativo 1/2020, de 5 de mayo, en la redacción dada por la Ley 16/2022; así como en cuanto a los artículos 491 y 497 de ese mismo refundido, en la redacción anterior a la dada por la Ley 16/2022.</w:t>
      </w:r>
      <w:r>
        <w:tab/>
      </w:r>
      <w:r>
        <w:tab/>
      </w:r>
      <w:r>
        <w:fldChar w:fldCharType="begin"/>
      </w:r>
      <w:r>
        <w:instrText xml:space="preserve"> PAGEREF AUTO_2023_535 \h </w:instrText>
      </w:r>
      <w:r>
        <w:fldChar w:fldCharType="separate"/>
      </w:r>
      <w:r w:rsidR="00C73693">
        <w:rPr>
          <w:noProof/>
        </w:rPr>
        <w:t>2646</w:t>
      </w:r>
      <w:r>
        <w:fldChar w:fldCharType="end"/>
      </w:r>
    </w:p>
    <w:p w14:paraId="19BF0EDF" w14:textId="77777777" w:rsidR="007309D3" w:rsidRDefault="007309D3" w:rsidP="007309D3"/>
    <w:p w14:paraId="0FA4830D" w14:textId="5BA70CE9" w:rsidR="007309D3" w:rsidRDefault="007309D3" w:rsidP="007309D3">
      <w:pPr>
        <w:pStyle w:val="EntradandiceAuto"/>
      </w:pPr>
      <w:r>
        <w:t>Sección Primera. Auto 536/2023, de 6 de noviembre de 2023. Acepta una abstención en el recurso de amparo 5266-2023, promovido en causa penal.</w:t>
      </w:r>
      <w:r>
        <w:tab/>
      </w:r>
      <w:r>
        <w:tab/>
      </w:r>
      <w:r>
        <w:fldChar w:fldCharType="begin"/>
      </w:r>
      <w:r>
        <w:instrText xml:space="preserve"> PAGEREF AUTO_2023_536 \h </w:instrText>
      </w:r>
      <w:r>
        <w:fldChar w:fldCharType="separate"/>
      </w:r>
      <w:r w:rsidR="00C73693">
        <w:rPr>
          <w:noProof/>
        </w:rPr>
        <w:t>2666</w:t>
      </w:r>
      <w:r>
        <w:fldChar w:fldCharType="end"/>
      </w:r>
    </w:p>
    <w:p w14:paraId="265F8A56" w14:textId="77777777" w:rsidR="007309D3" w:rsidRDefault="007309D3" w:rsidP="007309D3"/>
    <w:p w14:paraId="58D8F2BE" w14:textId="5167DD47" w:rsidR="007309D3" w:rsidRDefault="007309D3" w:rsidP="007309D3">
      <w:pPr>
        <w:pStyle w:val="EntradandiceAuto"/>
      </w:pPr>
      <w:r>
        <w:t>Sección Tercera. Auto 537/2023, de 10 de noviembre de 2023. Acepta una abstención en el recurso de amparo 2182-2022, promovido en proceso contencioso-administrativo.</w:t>
      </w:r>
      <w:r>
        <w:tab/>
      </w:r>
      <w:r>
        <w:tab/>
      </w:r>
      <w:r>
        <w:fldChar w:fldCharType="begin"/>
      </w:r>
      <w:r>
        <w:instrText xml:space="preserve"> PAGEREF AUTO_2023_537 \h </w:instrText>
      </w:r>
      <w:r>
        <w:fldChar w:fldCharType="separate"/>
      </w:r>
      <w:r w:rsidR="00C73693">
        <w:rPr>
          <w:noProof/>
        </w:rPr>
        <w:t>2667</w:t>
      </w:r>
      <w:r>
        <w:fldChar w:fldCharType="end"/>
      </w:r>
    </w:p>
    <w:p w14:paraId="3B382294" w14:textId="77777777" w:rsidR="007309D3" w:rsidRDefault="007309D3" w:rsidP="007309D3"/>
    <w:p w14:paraId="6D0EFF16" w14:textId="6BC89CD2" w:rsidR="007309D3" w:rsidRDefault="007309D3" w:rsidP="007309D3">
      <w:pPr>
        <w:pStyle w:val="EntradandiceAuto"/>
      </w:pPr>
      <w:r>
        <w:t>Sección Tercera. Auto 538/2023, de 10 de noviembre de 2023. Acepta una abstención en el recurso de amparo 4997-2022, promovido en proceso contencioso-administrativo.</w:t>
      </w:r>
      <w:r>
        <w:tab/>
      </w:r>
      <w:r>
        <w:tab/>
      </w:r>
      <w:r>
        <w:fldChar w:fldCharType="begin"/>
      </w:r>
      <w:r>
        <w:instrText xml:space="preserve"> PAGEREF AUTO_2023_538 \h </w:instrText>
      </w:r>
      <w:r>
        <w:fldChar w:fldCharType="separate"/>
      </w:r>
      <w:r w:rsidR="00C73693">
        <w:rPr>
          <w:noProof/>
        </w:rPr>
        <w:t>2669</w:t>
      </w:r>
      <w:r>
        <w:fldChar w:fldCharType="end"/>
      </w:r>
    </w:p>
    <w:p w14:paraId="1B62F73A" w14:textId="77777777" w:rsidR="007309D3" w:rsidRDefault="007309D3" w:rsidP="007309D3"/>
    <w:p w14:paraId="39F8F16F" w14:textId="33612BF9" w:rsidR="007309D3" w:rsidRDefault="007309D3" w:rsidP="007309D3">
      <w:pPr>
        <w:pStyle w:val="EntradandiceAuto"/>
      </w:pPr>
      <w:r>
        <w:t>Sección Tercera. Auto 539/2023, de 10 de noviembre de 2023. Acepta una abstención en el recurso de amparo 5008-2022, promovido en proceso contencioso-administrativo.</w:t>
      </w:r>
      <w:r>
        <w:tab/>
      </w:r>
      <w:r>
        <w:tab/>
      </w:r>
      <w:r>
        <w:fldChar w:fldCharType="begin"/>
      </w:r>
      <w:r>
        <w:instrText xml:space="preserve"> PAGEREF AUTO_2023_539 \h </w:instrText>
      </w:r>
      <w:r>
        <w:fldChar w:fldCharType="separate"/>
      </w:r>
      <w:r w:rsidR="00C73693">
        <w:rPr>
          <w:noProof/>
        </w:rPr>
        <w:t>2671</w:t>
      </w:r>
      <w:r>
        <w:fldChar w:fldCharType="end"/>
      </w:r>
    </w:p>
    <w:p w14:paraId="40641A45" w14:textId="77777777" w:rsidR="007309D3" w:rsidRDefault="007309D3" w:rsidP="007309D3"/>
    <w:p w14:paraId="775299F3" w14:textId="16246AF8" w:rsidR="007309D3" w:rsidRDefault="007309D3" w:rsidP="007309D3">
      <w:pPr>
        <w:pStyle w:val="EntradandiceAuto"/>
      </w:pPr>
      <w:r>
        <w:t>Sección Tercera. Auto 540/2023, de 10 de noviembre de 2023. Acepta una abstención en el recurso de amparo 5080-2022, promovido en proceso contencioso-administrativo.</w:t>
      </w:r>
      <w:r>
        <w:tab/>
      </w:r>
      <w:r>
        <w:tab/>
      </w:r>
      <w:r>
        <w:fldChar w:fldCharType="begin"/>
      </w:r>
      <w:r>
        <w:instrText xml:space="preserve"> PAGEREF AUTO_2023_540 \h </w:instrText>
      </w:r>
      <w:r>
        <w:fldChar w:fldCharType="separate"/>
      </w:r>
      <w:r w:rsidR="00C73693">
        <w:rPr>
          <w:noProof/>
        </w:rPr>
        <w:t>2673</w:t>
      </w:r>
      <w:r>
        <w:fldChar w:fldCharType="end"/>
      </w:r>
    </w:p>
    <w:p w14:paraId="72A99D4D" w14:textId="77777777" w:rsidR="007309D3" w:rsidRDefault="007309D3" w:rsidP="007309D3"/>
    <w:p w14:paraId="66A8239B" w14:textId="3D041FEE" w:rsidR="007309D3" w:rsidRDefault="007309D3" w:rsidP="007309D3">
      <w:pPr>
        <w:pStyle w:val="EntradandiceAuto"/>
      </w:pPr>
      <w:r>
        <w:t>Sección Tercera. Auto 541/2023, de 10 de noviembre de 2023. Acepta una abstención en el recurso de amparo 5490-2022, promovido en proceso contencioso-administrativo.</w:t>
      </w:r>
      <w:r>
        <w:tab/>
      </w:r>
      <w:r>
        <w:tab/>
      </w:r>
      <w:r>
        <w:fldChar w:fldCharType="begin"/>
      </w:r>
      <w:r>
        <w:instrText xml:space="preserve"> PAGEREF AUTO_2023_541 \h </w:instrText>
      </w:r>
      <w:r>
        <w:fldChar w:fldCharType="separate"/>
      </w:r>
      <w:r w:rsidR="00C73693">
        <w:rPr>
          <w:noProof/>
        </w:rPr>
        <w:t>2675</w:t>
      </w:r>
      <w:r>
        <w:fldChar w:fldCharType="end"/>
      </w:r>
    </w:p>
    <w:p w14:paraId="6CAE23E0" w14:textId="77777777" w:rsidR="007309D3" w:rsidRDefault="007309D3" w:rsidP="007309D3"/>
    <w:p w14:paraId="0A42A39B" w14:textId="406A696F" w:rsidR="007309D3" w:rsidRDefault="007309D3" w:rsidP="007309D3">
      <w:pPr>
        <w:pStyle w:val="EntradandiceAuto"/>
      </w:pPr>
      <w:r>
        <w:t>Sección Tercera. Auto 542/2023, de 10 de noviembre de 2023. Acepta una abstención en el recurso de amparo 5710-2022, promovido por la entidad Molino y Jarilla S.L., en proceso contencioso-administrativo.</w:t>
      </w:r>
      <w:r>
        <w:tab/>
      </w:r>
      <w:r>
        <w:tab/>
      </w:r>
      <w:r>
        <w:fldChar w:fldCharType="begin"/>
      </w:r>
      <w:r>
        <w:instrText xml:space="preserve"> PAGEREF AUTO_2023_542 \h </w:instrText>
      </w:r>
      <w:r>
        <w:fldChar w:fldCharType="separate"/>
      </w:r>
      <w:r w:rsidR="00C73693">
        <w:rPr>
          <w:noProof/>
        </w:rPr>
        <w:t>2677</w:t>
      </w:r>
      <w:r>
        <w:fldChar w:fldCharType="end"/>
      </w:r>
    </w:p>
    <w:p w14:paraId="6293BFEA" w14:textId="77777777" w:rsidR="007309D3" w:rsidRDefault="007309D3" w:rsidP="007309D3"/>
    <w:p w14:paraId="6867D270" w14:textId="4E99018F" w:rsidR="007309D3" w:rsidRDefault="007309D3" w:rsidP="007309D3">
      <w:pPr>
        <w:pStyle w:val="EntradandiceAuto"/>
      </w:pPr>
      <w:r>
        <w:t>Sección Tercera. Auto 543/2023, de 10 de noviembre de 2023. Acepta una abstención en el recurso de amparo 6145-2022, promovido en proceso contencioso-administrativo.</w:t>
      </w:r>
      <w:r>
        <w:tab/>
      </w:r>
      <w:r>
        <w:tab/>
      </w:r>
      <w:r>
        <w:fldChar w:fldCharType="begin"/>
      </w:r>
      <w:r>
        <w:instrText xml:space="preserve"> PAGEREF AUTO_2023_543 \h </w:instrText>
      </w:r>
      <w:r>
        <w:fldChar w:fldCharType="separate"/>
      </w:r>
      <w:r w:rsidR="00C73693">
        <w:rPr>
          <w:noProof/>
        </w:rPr>
        <w:t>2679</w:t>
      </w:r>
      <w:r>
        <w:fldChar w:fldCharType="end"/>
      </w:r>
    </w:p>
    <w:p w14:paraId="626D4254" w14:textId="77777777" w:rsidR="007309D3" w:rsidRDefault="007309D3" w:rsidP="007309D3"/>
    <w:p w14:paraId="391E7049" w14:textId="79E7B574" w:rsidR="007309D3" w:rsidRDefault="007309D3" w:rsidP="007309D3">
      <w:pPr>
        <w:pStyle w:val="EntradandiceAuto"/>
      </w:pPr>
      <w:r>
        <w:t>Sección Tercera. Auto 544/2023, de 10 de noviembre de 2023. Acepta una abstención en el recurso de amparo 6155-2022, promovido por la entidad Korreo Berri, S.L., en proceso contencioso-administrativo.</w:t>
      </w:r>
      <w:r>
        <w:tab/>
      </w:r>
      <w:r>
        <w:tab/>
      </w:r>
      <w:r>
        <w:fldChar w:fldCharType="begin"/>
      </w:r>
      <w:r>
        <w:instrText xml:space="preserve"> PAGEREF AUTO_2023_544 \h </w:instrText>
      </w:r>
      <w:r>
        <w:fldChar w:fldCharType="separate"/>
      </w:r>
      <w:r w:rsidR="00C73693">
        <w:rPr>
          <w:noProof/>
        </w:rPr>
        <w:t>2681</w:t>
      </w:r>
      <w:r>
        <w:fldChar w:fldCharType="end"/>
      </w:r>
    </w:p>
    <w:p w14:paraId="41C5E79B" w14:textId="77777777" w:rsidR="007309D3" w:rsidRDefault="007309D3" w:rsidP="007309D3"/>
    <w:p w14:paraId="2C82D686" w14:textId="4A859568" w:rsidR="007309D3" w:rsidRDefault="007309D3" w:rsidP="007309D3">
      <w:pPr>
        <w:pStyle w:val="EntradandiceAuto"/>
      </w:pPr>
      <w:r>
        <w:t>Sección Tercera. Auto 545/2023, de 10 de noviembre de 2023. Acepta una abstención en el recurso de amparo 7592-2022, promovido en proceso contencioso-administrativo.</w:t>
      </w:r>
      <w:r>
        <w:tab/>
      </w:r>
      <w:r>
        <w:tab/>
      </w:r>
      <w:r>
        <w:fldChar w:fldCharType="begin"/>
      </w:r>
      <w:r>
        <w:instrText xml:space="preserve"> PAGEREF AUTO_2023_545 \h </w:instrText>
      </w:r>
      <w:r>
        <w:fldChar w:fldCharType="separate"/>
      </w:r>
      <w:r w:rsidR="00C73693">
        <w:rPr>
          <w:noProof/>
        </w:rPr>
        <w:t>2683</w:t>
      </w:r>
      <w:r>
        <w:fldChar w:fldCharType="end"/>
      </w:r>
    </w:p>
    <w:p w14:paraId="667925E6" w14:textId="77777777" w:rsidR="007309D3" w:rsidRDefault="007309D3" w:rsidP="007309D3"/>
    <w:p w14:paraId="58EAB969" w14:textId="7B938162" w:rsidR="007309D3" w:rsidRDefault="007309D3" w:rsidP="007309D3">
      <w:pPr>
        <w:pStyle w:val="EntradandiceAuto"/>
      </w:pPr>
      <w:r>
        <w:t>Sección Tercera. Auto 546/2023, de 10 de noviembre de 2023. Acepta una abstención en el recurso de amparo 7701-2022, promovido en proceso contencioso-administrativo.</w:t>
      </w:r>
      <w:r>
        <w:tab/>
      </w:r>
      <w:r>
        <w:tab/>
      </w:r>
      <w:r>
        <w:fldChar w:fldCharType="begin"/>
      </w:r>
      <w:r>
        <w:instrText xml:space="preserve"> PAGEREF AUTO_2023_546 \h </w:instrText>
      </w:r>
      <w:r>
        <w:fldChar w:fldCharType="separate"/>
      </w:r>
      <w:r w:rsidR="00C73693">
        <w:rPr>
          <w:noProof/>
        </w:rPr>
        <w:t>2685</w:t>
      </w:r>
      <w:r>
        <w:fldChar w:fldCharType="end"/>
      </w:r>
    </w:p>
    <w:p w14:paraId="060C30B3" w14:textId="77777777" w:rsidR="007309D3" w:rsidRDefault="007309D3" w:rsidP="007309D3"/>
    <w:p w14:paraId="71B7692A" w14:textId="3E32ED36" w:rsidR="007309D3" w:rsidRDefault="007309D3" w:rsidP="007309D3">
      <w:pPr>
        <w:pStyle w:val="EntradandiceAuto"/>
      </w:pPr>
      <w:r>
        <w:t>Sección Tercera. Auto 547/2023, de 10 de noviembre de 2023. Acepta una abstención en el recurso de amparo 7871-2022, promovido en proceso contencioso-administrativo.</w:t>
      </w:r>
      <w:r>
        <w:tab/>
      </w:r>
      <w:r>
        <w:tab/>
      </w:r>
      <w:r>
        <w:fldChar w:fldCharType="begin"/>
      </w:r>
      <w:r>
        <w:instrText xml:space="preserve"> PAGEREF AUTO_2023_547 \h </w:instrText>
      </w:r>
      <w:r>
        <w:fldChar w:fldCharType="separate"/>
      </w:r>
      <w:r w:rsidR="00C73693">
        <w:rPr>
          <w:noProof/>
        </w:rPr>
        <w:t>2687</w:t>
      </w:r>
      <w:r>
        <w:fldChar w:fldCharType="end"/>
      </w:r>
    </w:p>
    <w:p w14:paraId="7E11ACB9" w14:textId="77777777" w:rsidR="007309D3" w:rsidRDefault="007309D3" w:rsidP="007309D3"/>
    <w:p w14:paraId="4397BD7A" w14:textId="51778507" w:rsidR="007309D3" w:rsidRDefault="007309D3" w:rsidP="007309D3">
      <w:pPr>
        <w:pStyle w:val="EntradandiceAuto"/>
      </w:pPr>
      <w:r>
        <w:t>Sección Tercera. Auto 548/2023, de 10 de noviembre de 2023. Acepta una abstención en el recurso de amparo 7931-2022, promovido en proceso contencioso-administrativo.</w:t>
      </w:r>
      <w:r>
        <w:tab/>
      </w:r>
      <w:r>
        <w:tab/>
      </w:r>
      <w:r>
        <w:fldChar w:fldCharType="begin"/>
      </w:r>
      <w:r>
        <w:instrText xml:space="preserve"> PAGEREF AUTO_2023_548 \h </w:instrText>
      </w:r>
      <w:r>
        <w:fldChar w:fldCharType="separate"/>
      </w:r>
      <w:r w:rsidR="00C73693">
        <w:rPr>
          <w:noProof/>
        </w:rPr>
        <w:t>2689</w:t>
      </w:r>
      <w:r>
        <w:fldChar w:fldCharType="end"/>
      </w:r>
    </w:p>
    <w:p w14:paraId="40796A67" w14:textId="77777777" w:rsidR="007309D3" w:rsidRDefault="007309D3" w:rsidP="007309D3"/>
    <w:p w14:paraId="21FAE1E1" w14:textId="6CF2EC2E" w:rsidR="007309D3" w:rsidRDefault="007309D3" w:rsidP="007309D3">
      <w:pPr>
        <w:pStyle w:val="EntradandiceAuto"/>
      </w:pPr>
      <w:r>
        <w:t>Sección Tercera. Auto 549/2023, de 10 de noviembre de 2023. Acepta una abstención en el recurso de amparo 8376-2022, promovido en proceso contencioso-administrativo.</w:t>
      </w:r>
      <w:r>
        <w:tab/>
      </w:r>
      <w:r>
        <w:tab/>
      </w:r>
      <w:r>
        <w:fldChar w:fldCharType="begin"/>
      </w:r>
      <w:r>
        <w:instrText xml:space="preserve"> PAGEREF AUTO_2023_549 \h </w:instrText>
      </w:r>
      <w:r>
        <w:fldChar w:fldCharType="separate"/>
      </w:r>
      <w:r w:rsidR="00C73693">
        <w:rPr>
          <w:noProof/>
        </w:rPr>
        <w:t>2691</w:t>
      </w:r>
      <w:r>
        <w:fldChar w:fldCharType="end"/>
      </w:r>
    </w:p>
    <w:p w14:paraId="428F73DB" w14:textId="77777777" w:rsidR="007309D3" w:rsidRDefault="007309D3" w:rsidP="007309D3"/>
    <w:p w14:paraId="55F6D82B" w14:textId="57A43785" w:rsidR="007309D3" w:rsidRDefault="007309D3" w:rsidP="007309D3">
      <w:pPr>
        <w:pStyle w:val="EntradandiceAuto"/>
      </w:pPr>
      <w:r>
        <w:t>Sección Tercera. Auto 550/2023, de 10 de noviembre de 2023. Acepta una abstención en el recurso de amparo 8377-2022, promovido en proceso contencioso-administrativo.</w:t>
      </w:r>
      <w:r>
        <w:tab/>
      </w:r>
      <w:r>
        <w:tab/>
      </w:r>
      <w:r>
        <w:fldChar w:fldCharType="begin"/>
      </w:r>
      <w:r>
        <w:instrText xml:space="preserve"> PAGEREF AUTO_2023_550 \h </w:instrText>
      </w:r>
      <w:r>
        <w:fldChar w:fldCharType="separate"/>
      </w:r>
      <w:r w:rsidR="00C73693">
        <w:rPr>
          <w:noProof/>
        </w:rPr>
        <w:t>2693</w:t>
      </w:r>
      <w:r>
        <w:fldChar w:fldCharType="end"/>
      </w:r>
    </w:p>
    <w:p w14:paraId="641EC526" w14:textId="77777777" w:rsidR="007309D3" w:rsidRDefault="007309D3" w:rsidP="007309D3"/>
    <w:p w14:paraId="4A838E40" w14:textId="6932C755" w:rsidR="007309D3" w:rsidRDefault="007309D3" w:rsidP="007309D3">
      <w:pPr>
        <w:pStyle w:val="EntradandiceAuto"/>
      </w:pPr>
      <w:r>
        <w:t>Sección Tercera. Auto 551/2023, de 10 de noviembre de 2023. Acepta una abstención en el recurso de amparo 8460-2022, promovido en proceso contencioso-administrativo.</w:t>
      </w:r>
      <w:r>
        <w:tab/>
      </w:r>
      <w:r>
        <w:tab/>
      </w:r>
      <w:r>
        <w:fldChar w:fldCharType="begin"/>
      </w:r>
      <w:r>
        <w:instrText xml:space="preserve"> PAGEREF AUTO_2023_551 \h </w:instrText>
      </w:r>
      <w:r>
        <w:fldChar w:fldCharType="separate"/>
      </w:r>
      <w:r w:rsidR="00C73693">
        <w:rPr>
          <w:noProof/>
        </w:rPr>
        <w:t>2695</w:t>
      </w:r>
      <w:r>
        <w:fldChar w:fldCharType="end"/>
      </w:r>
    </w:p>
    <w:p w14:paraId="376FB61D" w14:textId="77777777" w:rsidR="007309D3" w:rsidRDefault="007309D3" w:rsidP="007309D3"/>
    <w:p w14:paraId="52283111" w14:textId="4F0DFB2E" w:rsidR="007309D3" w:rsidRDefault="007309D3" w:rsidP="007309D3">
      <w:pPr>
        <w:pStyle w:val="EntradandiceAuto"/>
      </w:pPr>
      <w:r>
        <w:t>Sección Tercera. Auto 552/2023, de 10 de noviembre de 2023. Acepta una abstención en el recurso de amparo 54-2023, promovido en proceso contencioso-administrativo.</w:t>
      </w:r>
      <w:r>
        <w:tab/>
      </w:r>
      <w:r>
        <w:tab/>
      </w:r>
      <w:r>
        <w:fldChar w:fldCharType="begin"/>
      </w:r>
      <w:r>
        <w:instrText xml:space="preserve"> PAGEREF AUTO_2023_552 \h </w:instrText>
      </w:r>
      <w:r>
        <w:fldChar w:fldCharType="separate"/>
      </w:r>
      <w:r w:rsidR="00C73693">
        <w:rPr>
          <w:noProof/>
        </w:rPr>
        <w:t>2697</w:t>
      </w:r>
      <w:r>
        <w:fldChar w:fldCharType="end"/>
      </w:r>
    </w:p>
    <w:p w14:paraId="40FC3CD3" w14:textId="77777777" w:rsidR="007309D3" w:rsidRDefault="007309D3" w:rsidP="007309D3"/>
    <w:p w14:paraId="7A0660EE" w14:textId="0735BE22" w:rsidR="007309D3" w:rsidRDefault="007309D3" w:rsidP="007309D3">
      <w:pPr>
        <w:pStyle w:val="EntradandiceAuto"/>
      </w:pPr>
      <w:r>
        <w:t>Sección Tercera. Auto 553/2023, de 10 de noviembre de 2023. Acepta una abstención en el recurso de amparo 990-2023, promovido en proceso contencioso-administrativo.</w:t>
      </w:r>
      <w:r>
        <w:tab/>
      </w:r>
      <w:r>
        <w:tab/>
      </w:r>
      <w:r>
        <w:fldChar w:fldCharType="begin"/>
      </w:r>
      <w:r>
        <w:instrText xml:space="preserve"> PAGEREF AUTO_2023_553 \h </w:instrText>
      </w:r>
      <w:r>
        <w:fldChar w:fldCharType="separate"/>
      </w:r>
      <w:r w:rsidR="00C73693">
        <w:rPr>
          <w:noProof/>
        </w:rPr>
        <w:t>2699</w:t>
      </w:r>
      <w:r>
        <w:fldChar w:fldCharType="end"/>
      </w:r>
    </w:p>
    <w:p w14:paraId="0BCA9B8B" w14:textId="77777777" w:rsidR="007309D3" w:rsidRDefault="007309D3" w:rsidP="007309D3"/>
    <w:p w14:paraId="579EF838" w14:textId="2E03DAC4" w:rsidR="007309D3" w:rsidRDefault="007309D3" w:rsidP="007309D3">
      <w:pPr>
        <w:pStyle w:val="EntradandiceAuto"/>
      </w:pPr>
      <w:r>
        <w:t>Sección Tercera. Auto 554/2023, de 10 de noviembre de 2023. Acepta una abstención en el recurso de amparo 2647-2023, promovido en proceso contencioso-administrativo.</w:t>
      </w:r>
      <w:r>
        <w:tab/>
      </w:r>
      <w:r>
        <w:tab/>
      </w:r>
      <w:r>
        <w:fldChar w:fldCharType="begin"/>
      </w:r>
      <w:r>
        <w:instrText xml:space="preserve"> PAGEREF AUTO_2023_554 \h </w:instrText>
      </w:r>
      <w:r>
        <w:fldChar w:fldCharType="separate"/>
      </w:r>
      <w:r w:rsidR="00C73693">
        <w:rPr>
          <w:noProof/>
        </w:rPr>
        <w:t>2701</w:t>
      </w:r>
      <w:r>
        <w:fldChar w:fldCharType="end"/>
      </w:r>
    </w:p>
    <w:p w14:paraId="4FE77B13" w14:textId="77777777" w:rsidR="007309D3" w:rsidRDefault="007309D3" w:rsidP="007309D3"/>
    <w:p w14:paraId="5E41C11F" w14:textId="5A6392BB" w:rsidR="007309D3" w:rsidRDefault="007309D3" w:rsidP="007309D3">
      <w:pPr>
        <w:pStyle w:val="EntradandiceAuto"/>
      </w:pPr>
      <w:r>
        <w:t>Sección Tercera. Auto 555/2023, de 10 de noviembre de 2023. Acepta una abstención en el recurso de amparo 3997-2023, promovido por la entidad Universal Desiré 10, S.L., en proceso contencioso-administrativo.</w:t>
      </w:r>
      <w:r>
        <w:tab/>
      </w:r>
      <w:r>
        <w:tab/>
      </w:r>
      <w:r>
        <w:fldChar w:fldCharType="begin"/>
      </w:r>
      <w:r>
        <w:instrText xml:space="preserve"> PAGEREF AUTO_2023_555 \h </w:instrText>
      </w:r>
      <w:r>
        <w:fldChar w:fldCharType="separate"/>
      </w:r>
      <w:r w:rsidR="00C73693">
        <w:rPr>
          <w:noProof/>
        </w:rPr>
        <w:t>2703</w:t>
      </w:r>
      <w:r>
        <w:fldChar w:fldCharType="end"/>
      </w:r>
    </w:p>
    <w:p w14:paraId="787F915C" w14:textId="77777777" w:rsidR="007309D3" w:rsidRDefault="007309D3" w:rsidP="007309D3"/>
    <w:p w14:paraId="22E754CE" w14:textId="74CCEED0" w:rsidR="007309D3" w:rsidRDefault="007309D3" w:rsidP="007309D3">
      <w:pPr>
        <w:pStyle w:val="EntradandiceAuto"/>
      </w:pPr>
      <w:r>
        <w:t>Sección Tercera. Auto 556/2023, de 10 de noviembre de 2023. Acepta una abstención en el recurso de amparo 4462-2023, promovido en proceso contencioso-administrativo.</w:t>
      </w:r>
      <w:r>
        <w:tab/>
      </w:r>
      <w:r>
        <w:tab/>
      </w:r>
      <w:r>
        <w:fldChar w:fldCharType="begin"/>
      </w:r>
      <w:r>
        <w:instrText xml:space="preserve"> PAGEREF AUTO_2023_556 \h </w:instrText>
      </w:r>
      <w:r>
        <w:fldChar w:fldCharType="separate"/>
      </w:r>
      <w:r w:rsidR="00C73693">
        <w:rPr>
          <w:noProof/>
        </w:rPr>
        <w:t>2705</w:t>
      </w:r>
      <w:r>
        <w:fldChar w:fldCharType="end"/>
      </w:r>
    </w:p>
    <w:p w14:paraId="41291964" w14:textId="77777777" w:rsidR="007309D3" w:rsidRDefault="007309D3" w:rsidP="007309D3"/>
    <w:p w14:paraId="16E91518" w14:textId="18A26BA5" w:rsidR="007309D3" w:rsidRDefault="007309D3" w:rsidP="007309D3">
      <w:pPr>
        <w:pStyle w:val="EntradandiceAuto"/>
      </w:pPr>
      <w:r>
        <w:t>Sección Tercera. Auto 557/2023, de 10 de noviembre de 2023. Acepta una abstención en el recurso de amparo 4758-2023, promovido en proceso contencioso-administrativo.</w:t>
      </w:r>
      <w:r>
        <w:tab/>
      </w:r>
      <w:r>
        <w:tab/>
      </w:r>
      <w:r>
        <w:fldChar w:fldCharType="begin"/>
      </w:r>
      <w:r>
        <w:instrText xml:space="preserve"> PAGEREF AUTO_2023_557 \h </w:instrText>
      </w:r>
      <w:r>
        <w:fldChar w:fldCharType="separate"/>
      </w:r>
      <w:r w:rsidR="00C73693">
        <w:rPr>
          <w:noProof/>
        </w:rPr>
        <w:t>2707</w:t>
      </w:r>
      <w:r>
        <w:fldChar w:fldCharType="end"/>
      </w:r>
    </w:p>
    <w:p w14:paraId="48982F18" w14:textId="77777777" w:rsidR="007309D3" w:rsidRDefault="007309D3" w:rsidP="007309D3"/>
    <w:p w14:paraId="09D540C4" w14:textId="1B2379A6" w:rsidR="007309D3" w:rsidRDefault="007309D3" w:rsidP="007309D3">
      <w:pPr>
        <w:pStyle w:val="EntradandiceAuto"/>
      </w:pPr>
      <w:r>
        <w:t>Sección Tercera. Auto 558/2023, de 13 de noviembre de 2023. Acepta una abstención en el recurso de amparo 3578-2022, promovido en proceso contencioso-administrativo.</w:t>
      </w:r>
      <w:r>
        <w:tab/>
      </w:r>
      <w:r>
        <w:tab/>
      </w:r>
      <w:r>
        <w:fldChar w:fldCharType="begin"/>
      </w:r>
      <w:r>
        <w:instrText xml:space="preserve"> PAGEREF AUTO_2023_558 \h </w:instrText>
      </w:r>
      <w:r>
        <w:fldChar w:fldCharType="separate"/>
      </w:r>
      <w:r w:rsidR="00C73693">
        <w:rPr>
          <w:noProof/>
        </w:rPr>
        <w:t>2709</w:t>
      </w:r>
      <w:r>
        <w:fldChar w:fldCharType="end"/>
      </w:r>
    </w:p>
    <w:p w14:paraId="5739E897" w14:textId="77777777" w:rsidR="007309D3" w:rsidRDefault="007309D3" w:rsidP="007309D3"/>
    <w:p w14:paraId="420F9926" w14:textId="5513CCD3" w:rsidR="007309D3" w:rsidRDefault="007309D3" w:rsidP="007309D3">
      <w:pPr>
        <w:pStyle w:val="EntradandiceAuto"/>
      </w:pPr>
      <w:r>
        <w:t>Sección Tercera. Auto 559/2023, de 13 de noviembre de 2023. Acepta una abstención en el recurso de amparo 4454-2022, promovido en proceso contencioso-administrativo.</w:t>
      </w:r>
      <w:r>
        <w:tab/>
      </w:r>
      <w:r>
        <w:tab/>
      </w:r>
      <w:r>
        <w:fldChar w:fldCharType="begin"/>
      </w:r>
      <w:r>
        <w:instrText xml:space="preserve"> PAGEREF AUTO_2023_559 \h </w:instrText>
      </w:r>
      <w:r>
        <w:fldChar w:fldCharType="separate"/>
      </w:r>
      <w:r w:rsidR="00C73693">
        <w:rPr>
          <w:noProof/>
        </w:rPr>
        <w:t>2711</w:t>
      </w:r>
      <w:r>
        <w:fldChar w:fldCharType="end"/>
      </w:r>
    </w:p>
    <w:p w14:paraId="29170BE8" w14:textId="77777777" w:rsidR="007309D3" w:rsidRDefault="007309D3" w:rsidP="007309D3"/>
    <w:p w14:paraId="3301A939" w14:textId="314D024F" w:rsidR="007309D3" w:rsidRDefault="007309D3" w:rsidP="007309D3">
      <w:pPr>
        <w:pStyle w:val="EntradandiceAuto"/>
      </w:pPr>
      <w:r>
        <w:t>Sección Tercera. Auto 560/2023, de 13 de noviembre de 2023. Acepta una abstención en el recurso de amparo 4731-2022, promovido en proceso contencioso-administrativo.</w:t>
      </w:r>
      <w:r>
        <w:tab/>
      </w:r>
      <w:r>
        <w:tab/>
      </w:r>
      <w:r>
        <w:fldChar w:fldCharType="begin"/>
      </w:r>
      <w:r>
        <w:instrText xml:space="preserve"> PAGEREF AUTO_2023_560 \h </w:instrText>
      </w:r>
      <w:r>
        <w:fldChar w:fldCharType="separate"/>
      </w:r>
      <w:r w:rsidR="00C73693">
        <w:rPr>
          <w:noProof/>
        </w:rPr>
        <w:t>2713</w:t>
      </w:r>
      <w:r>
        <w:fldChar w:fldCharType="end"/>
      </w:r>
    </w:p>
    <w:p w14:paraId="0648002E" w14:textId="77777777" w:rsidR="007309D3" w:rsidRDefault="007309D3" w:rsidP="007309D3"/>
    <w:p w14:paraId="77EF95CA" w14:textId="2B4100C6" w:rsidR="007309D3" w:rsidRDefault="007309D3" w:rsidP="007309D3">
      <w:pPr>
        <w:pStyle w:val="EntradandiceAuto"/>
      </w:pPr>
      <w:r>
        <w:t>Sección Tercera. Auto 561/2023, de 13 de noviembre de 2023. Acepta una abstención en el recurso de amparo 5806-2022, promovido en proceso contencioso-administrativo.</w:t>
      </w:r>
      <w:r>
        <w:tab/>
      </w:r>
      <w:r>
        <w:tab/>
      </w:r>
      <w:r>
        <w:fldChar w:fldCharType="begin"/>
      </w:r>
      <w:r>
        <w:instrText xml:space="preserve"> PAGEREF AUTO_2023_561 \h </w:instrText>
      </w:r>
      <w:r>
        <w:fldChar w:fldCharType="separate"/>
      </w:r>
      <w:r w:rsidR="00C73693">
        <w:rPr>
          <w:noProof/>
        </w:rPr>
        <w:t>2715</w:t>
      </w:r>
      <w:r>
        <w:fldChar w:fldCharType="end"/>
      </w:r>
    </w:p>
    <w:p w14:paraId="2A6D9E9C" w14:textId="77777777" w:rsidR="007309D3" w:rsidRDefault="007309D3" w:rsidP="007309D3"/>
    <w:p w14:paraId="0A103C8C" w14:textId="376761A9" w:rsidR="007309D3" w:rsidRDefault="007309D3" w:rsidP="007309D3">
      <w:pPr>
        <w:pStyle w:val="EntradandiceAuto"/>
      </w:pPr>
      <w:r>
        <w:t>Sección Tercera. Auto 562/2023, de 13 de noviembre de 2023. Acepta una abstención en el recurso de amparo 5830-2022, promovido en proceso contencioso-administrativo.</w:t>
      </w:r>
      <w:r>
        <w:tab/>
      </w:r>
      <w:r>
        <w:tab/>
      </w:r>
      <w:r>
        <w:fldChar w:fldCharType="begin"/>
      </w:r>
      <w:r>
        <w:instrText xml:space="preserve"> PAGEREF AUTO_2023_562 \h </w:instrText>
      </w:r>
      <w:r>
        <w:fldChar w:fldCharType="separate"/>
      </w:r>
      <w:r w:rsidR="00C73693">
        <w:rPr>
          <w:noProof/>
        </w:rPr>
        <w:t>2717</w:t>
      </w:r>
      <w:r>
        <w:fldChar w:fldCharType="end"/>
      </w:r>
    </w:p>
    <w:p w14:paraId="363F560D" w14:textId="77777777" w:rsidR="007309D3" w:rsidRDefault="007309D3" w:rsidP="007309D3"/>
    <w:p w14:paraId="72FDA5AB" w14:textId="529E6629" w:rsidR="007309D3" w:rsidRDefault="007309D3" w:rsidP="007309D3">
      <w:pPr>
        <w:pStyle w:val="EntradandiceAuto"/>
      </w:pPr>
      <w:r>
        <w:t>Sección Tercera. Auto 563/2023, de 13 de noviembre de 2023. Acepta una abstención en el recurso de amparo 5852-2022, promovido en proceso contencioso-administrativo.</w:t>
      </w:r>
      <w:r>
        <w:tab/>
      </w:r>
      <w:r>
        <w:tab/>
      </w:r>
      <w:r>
        <w:fldChar w:fldCharType="begin"/>
      </w:r>
      <w:r>
        <w:instrText xml:space="preserve"> PAGEREF AUTO_2023_563 \h </w:instrText>
      </w:r>
      <w:r>
        <w:fldChar w:fldCharType="separate"/>
      </w:r>
      <w:r w:rsidR="00C73693">
        <w:rPr>
          <w:noProof/>
        </w:rPr>
        <w:t>2719</w:t>
      </w:r>
      <w:r>
        <w:fldChar w:fldCharType="end"/>
      </w:r>
    </w:p>
    <w:p w14:paraId="0EE0A981" w14:textId="77777777" w:rsidR="007309D3" w:rsidRDefault="007309D3" w:rsidP="007309D3"/>
    <w:p w14:paraId="6CB730D0" w14:textId="2D720E55" w:rsidR="007309D3" w:rsidRDefault="007309D3" w:rsidP="007309D3">
      <w:pPr>
        <w:pStyle w:val="EntradandiceAuto"/>
      </w:pPr>
      <w:r>
        <w:t>Sección Tercera. Auto 564/2023, de 13 de noviembre de 2023. Acepta una abstención en el recurso de amparo 6578-2022, promovido en proceso contencioso-administrativo.</w:t>
      </w:r>
      <w:r>
        <w:tab/>
      </w:r>
      <w:r>
        <w:tab/>
      </w:r>
      <w:r>
        <w:fldChar w:fldCharType="begin"/>
      </w:r>
      <w:r>
        <w:instrText xml:space="preserve"> PAGEREF AUTO_2023_564 \h </w:instrText>
      </w:r>
      <w:r>
        <w:fldChar w:fldCharType="separate"/>
      </w:r>
      <w:r w:rsidR="00C73693">
        <w:rPr>
          <w:noProof/>
        </w:rPr>
        <w:t>2721</w:t>
      </w:r>
      <w:r>
        <w:fldChar w:fldCharType="end"/>
      </w:r>
    </w:p>
    <w:p w14:paraId="0B962256" w14:textId="77777777" w:rsidR="007309D3" w:rsidRDefault="007309D3" w:rsidP="007309D3"/>
    <w:p w14:paraId="0044C731" w14:textId="10B28D86" w:rsidR="007309D3" w:rsidRDefault="007309D3" w:rsidP="007309D3">
      <w:pPr>
        <w:pStyle w:val="EntradandiceAuto"/>
      </w:pPr>
      <w:r>
        <w:t>Sección Tercera. Auto 565/2023, de 13 de noviembre de 2023. Acepta una abstención en el recurso de amparo 6931-2022, promovido en proceso contencioso-administrativo.</w:t>
      </w:r>
      <w:r>
        <w:tab/>
      </w:r>
      <w:r>
        <w:tab/>
      </w:r>
      <w:r>
        <w:fldChar w:fldCharType="begin"/>
      </w:r>
      <w:r>
        <w:instrText xml:space="preserve"> PAGEREF AUTO_2023_565 \h </w:instrText>
      </w:r>
      <w:r>
        <w:fldChar w:fldCharType="separate"/>
      </w:r>
      <w:r w:rsidR="00C73693">
        <w:rPr>
          <w:noProof/>
        </w:rPr>
        <w:t>2723</w:t>
      </w:r>
      <w:r>
        <w:fldChar w:fldCharType="end"/>
      </w:r>
    </w:p>
    <w:p w14:paraId="3BD042C9" w14:textId="77777777" w:rsidR="007309D3" w:rsidRDefault="007309D3" w:rsidP="007309D3"/>
    <w:p w14:paraId="6703B852" w14:textId="771754A1" w:rsidR="007309D3" w:rsidRDefault="007309D3" w:rsidP="007309D3">
      <w:pPr>
        <w:pStyle w:val="EntradandiceAuto"/>
      </w:pPr>
      <w:r>
        <w:t>Sección Tercera. Auto 566/2023, de 13 de noviembre de 2023. Acepta una abstención en el recurso de amparo 7026-2022, promovido en proceso contencioso-administrativo.</w:t>
      </w:r>
      <w:r>
        <w:tab/>
      </w:r>
      <w:r>
        <w:tab/>
      </w:r>
      <w:r>
        <w:fldChar w:fldCharType="begin"/>
      </w:r>
      <w:r>
        <w:instrText xml:space="preserve"> PAGEREF AUTO_2023_566 \h </w:instrText>
      </w:r>
      <w:r>
        <w:fldChar w:fldCharType="separate"/>
      </w:r>
      <w:r w:rsidR="00C73693">
        <w:rPr>
          <w:noProof/>
        </w:rPr>
        <w:t>2725</w:t>
      </w:r>
      <w:r>
        <w:fldChar w:fldCharType="end"/>
      </w:r>
    </w:p>
    <w:p w14:paraId="68723BEC" w14:textId="77777777" w:rsidR="007309D3" w:rsidRDefault="007309D3" w:rsidP="007309D3"/>
    <w:p w14:paraId="2CC41440" w14:textId="5E4C07FB" w:rsidR="007309D3" w:rsidRDefault="007309D3" w:rsidP="007309D3">
      <w:pPr>
        <w:pStyle w:val="EntradandiceAuto"/>
      </w:pPr>
      <w:r>
        <w:t>Sección Tercera. Auto 567/2023, de 13 de noviembre de 2023. Acepta una abstención en el recurso de amparo 7305-2022, promovido en proceso contencioso-administrativo.</w:t>
      </w:r>
      <w:r>
        <w:tab/>
      </w:r>
      <w:r>
        <w:tab/>
      </w:r>
      <w:r>
        <w:fldChar w:fldCharType="begin"/>
      </w:r>
      <w:r>
        <w:instrText xml:space="preserve"> PAGEREF AUTO_2023_567 \h </w:instrText>
      </w:r>
      <w:r>
        <w:fldChar w:fldCharType="separate"/>
      </w:r>
      <w:r w:rsidR="00C73693">
        <w:rPr>
          <w:noProof/>
        </w:rPr>
        <w:t>2727</w:t>
      </w:r>
      <w:r>
        <w:fldChar w:fldCharType="end"/>
      </w:r>
    </w:p>
    <w:p w14:paraId="7169F8E2" w14:textId="77777777" w:rsidR="007309D3" w:rsidRDefault="007309D3" w:rsidP="007309D3"/>
    <w:p w14:paraId="4E5B00F9" w14:textId="600E7926" w:rsidR="007309D3" w:rsidRDefault="007309D3" w:rsidP="007309D3">
      <w:pPr>
        <w:pStyle w:val="EntradandiceAuto"/>
      </w:pPr>
      <w:r>
        <w:t>Sección Tercera. Auto 568/2023, de 13 de noviembre de 2023. Acepta una abstención en el recurso de amparo 7497-2022, promovido por la entidad Fertinagro Biotech, S.L., en proceso contencioso-administrativo.</w:t>
      </w:r>
      <w:r>
        <w:tab/>
      </w:r>
      <w:r>
        <w:tab/>
      </w:r>
      <w:r>
        <w:fldChar w:fldCharType="begin"/>
      </w:r>
      <w:r>
        <w:instrText xml:space="preserve"> PAGEREF AUTO_2023_568 \h </w:instrText>
      </w:r>
      <w:r>
        <w:fldChar w:fldCharType="separate"/>
      </w:r>
      <w:r w:rsidR="00C73693">
        <w:rPr>
          <w:noProof/>
        </w:rPr>
        <w:t>2729</w:t>
      </w:r>
      <w:r>
        <w:fldChar w:fldCharType="end"/>
      </w:r>
    </w:p>
    <w:p w14:paraId="54691616" w14:textId="77777777" w:rsidR="007309D3" w:rsidRDefault="007309D3" w:rsidP="007309D3"/>
    <w:p w14:paraId="51245009" w14:textId="15EACC73" w:rsidR="007309D3" w:rsidRDefault="007309D3" w:rsidP="007309D3">
      <w:pPr>
        <w:pStyle w:val="EntradandiceAuto"/>
      </w:pPr>
      <w:r>
        <w:t>Sección Tercera. Auto 569/2023, de 13 de noviembre de 2023. Acepta una abstención en el recurso de amparo 8095-2022, promovido en proceso contencioso-administrativo.</w:t>
      </w:r>
      <w:r>
        <w:tab/>
      </w:r>
      <w:r>
        <w:tab/>
      </w:r>
      <w:r>
        <w:fldChar w:fldCharType="begin"/>
      </w:r>
      <w:r>
        <w:instrText xml:space="preserve"> PAGEREF AUTO_2023_569 \h </w:instrText>
      </w:r>
      <w:r>
        <w:fldChar w:fldCharType="separate"/>
      </w:r>
      <w:r w:rsidR="00C73693">
        <w:rPr>
          <w:noProof/>
        </w:rPr>
        <w:t>2731</w:t>
      </w:r>
      <w:r>
        <w:fldChar w:fldCharType="end"/>
      </w:r>
    </w:p>
    <w:p w14:paraId="7A59494A" w14:textId="77777777" w:rsidR="007309D3" w:rsidRDefault="007309D3" w:rsidP="007309D3"/>
    <w:p w14:paraId="59A3A5D1" w14:textId="28F927B1" w:rsidR="007309D3" w:rsidRDefault="007309D3" w:rsidP="007309D3">
      <w:pPr>
        <w:pStyle w:val="EntradandiceAuto"/>
      </w:pPr>
      <w:r>
        <w:t>Sección Tercera. Auto 570/2023, de 13 de noviembre de 2023. Acepta una abstención en el recurso de amparo 2398-2023, promovido en proceso contencioso-administrativo.</w:t>
      </w:r>
      <w:r>
        <w:tab/>
      </w:r>
      <w:r>
        <w:tab/>
      </w:r>
      <w:r>
        <w:fldChar w:fldCharType="begin"/>
      </w:r>
      <w:r>
        <w:instrText xml:space="preserve"> PAGEREF AUTO_2023_570 \h </w:instrText>
      </w:r>
      <w:r>
        <w:fldChar w:fldCharType="separate"/>
      </w:r>
      <w:r w:rsidR="00C73693">
        <w:rPr>
          <w:noProof/>
        </w:rPr>
        <w:t>2733</w:t>
      </w:r>
      <w:r>
        <w:fldChar w:fldCharType="end"/>
      </w:r>
    </w:p>
    <w:p w14:paraId="79A2B003" w14:textId="77777777" w:rsidR="007309D3" w:rsidRDefault="007309D3" w:rsidP="007309D3"/>
    <w:p w14:paraId="490D3AE9" w14:textId="043C1616" w:rsidR="007309D3" w:rsidRDefault="007309D3" w:rsidP="007309D3">
      <w:pPr>
        <w:pStyle w:val="EntradandiceAuto"/>
      </w:pPr>
      <w:r>
        <w:t>Sección Tercera. Auto 571/2023, de 13 de noviembre de 2023. Acepta una abstención en el recurso de amparo 2976-2023, promovido en proceso contencioso-administrativo.</w:t>
      </w:r>
      <w:r>
        <w:tab/>
      </w:r>
      <w:r>
        <w:tab/>
      </w:r>
      <w:r>
        <w:fldChar w:fldCharType="begin"/>
      </w:r>
      <w:r>
        <w:instrText xml:space="preserve"> PAGEREF AUTO_2023_571 \h </w:instrText>
      </w:r>
      <w:r>
        <w:fldChar w:fldCharType="separate"/>
      </w:r>
      <w:r w:rsidR="00C73693">
        <w:rPr>
          <w:noProof/>
        </w:rPr>
        <w:t>2735</w:t>
      </w:r>
      <w:r>
        <w:fldChar w:fldCharType="end"/>
      </w:r>
    </w:p>
    <w:p w14:paraId="7755C112" w14:textId="77777777" w:rsidR="007309D3" w:rsidRDefault="007309D3" w:rsidP="007309D3"/>
    <w:p w14:paraId="2F8F0A34" w14:textId="684DC09C" w:rsidR="007309D3" w:rsidRDefault="007309D3" w:rsidP="007309D3">
      <w:pPr>
        <w:pStyle w:val="EntradandiceAuto"/>
      </w:pPr>
      <w:r>
        <w:t>Sección Tercera. Auto 572/2023, de 13 de noviembre de 2023. Acepta una abstención en el recurso de amparo 3868-2023, promovido en proceso contencioso-administrativo.</w:t>
      </w:r>
      <w:r>
        <w:tab/>
      </w:r>
      <w:r>
        <w:tab/>
      </w:r>
      <w:r>
        <w:fldChar w:fldCharType="begin"/>
      </w:r>
      <w:r>
        <w:instrText xml:space="preserve"> PAGEREF AUTO_2023_572 \h </w:instrText>
      </w:r>
      <w:r>
        <w:fldChar w:fldCharType="separate"/>
      </w:r>
      <w:r w:rsidR="00C73693">
        <w:rPr>
          <w:noProof/>
        </w:rPr>
        <w:t>2737</w:t>
      </w:r>
      <w:r>
        <w:fldChar w:fldCharType="end"/>
      </w:r>
    </w:p>
    <w:p w14:paraId="7DD6EA57" w14:textId="77777777" w:rsidR="007309D3" w:rsidRDefault="007309D3" w:rsidP="007309D3"/>
    <w:p w14:paraId="41DBC02F" w14:textId="6709DEB8" w:rsidR="007309D3" w:rsidRDefault="007309D3" w:rsidP="007309D3">
      <w:pPr>
        <w:pStyle w:val="EntradandiceAuto"/>
      </w:pPr>
      <w:r>
        <w:t>Sección Tercera. Auto 573/2023, de 13 de noviembre de 2023. Acepta una abstención en el recurso de amparo 4059-2023, promovido en proceso contencioso-administrativo.</w:t>
      </w:r>
      <w:r>
        <w:tab/>
      </w:r>
      <w:r>
        <w:tab/>
      </w:r>
      <w:r>
        <w:fldChar w:fldCharType="begin"/>
      </w:r>
      <w:r>
        <w:instrText xml:space="preserve"> PAGEREF AUTO_2023_573 \h </w:instrText>
      </w:r>
      <w:r>
        <w:fldChar w:fldCharType="separate"/>
      </w:r>
      <w:r w:rsidR="00C73693">
        <w:rPr>
          <w:noProof/>
        </w:rPr>
        <w:t>2739</w:t>
      </w:r>
      <w:r>
        <w:fldChar w:fldCharType="end"/>
      </w:r>
    </w:p>
    <w:p w14:paraId="60D7A4D5" w14:textId="77777777" w:rsidR="007309D3" w:rsidRDefault="007309D3" w:rsidP="007309D3"/>
    <w:p w14:paraId="0F7CA9E2" w14:textId="5020D495" w:rsidR="007309D3" w:rsidRDefault="007309D3" w:rsidP="007309D3">
      <w:pPr>
        <w:pStyle w:val="EntradandiceAuto"/>
      </w:pPr>
      <w:r>
        <w:t>Sección Tercera. Auto 574/2023, de 13 de noviembre de 2023. Acepta una abstención en el recurso de amparo 4204-2023, promovido en proceso contencioso-administrativo.</w:t>
      </w:r>
      <w:r>
        <w:tab/>
      </w:r>
      <w:r>
        <w:tab/>
      </w:r>
      <w:r>
        <w:fldChar w:fldCharType="begin"/>
      </w:r>
      <w:r>
        <w:instrText xml:space="preserve"> PAGEREF AUTO_2023_574 \h </w:instrText>
      </w:r>
      <w:r>
        <w:fldChar w:fldCharType="separate"/>
      </w:r>
      <w:r w:rsidR="00C73693">
        <w:rPr>
          <w:noProof/>
        </w:rPr>
        <w:t>2741</w:t>
      </w:r>
      <w:r>
        <w:fldChar w:fldCharType="end"/>
      </w:r>
    </w:p>
    <w:p w14:paraId="047F4392" w14:textId="77777777" w:rsidR="007309D3" w:rsidRDefault="007309D3" w:rsidP="007309D3"/>
    <w:p w14:paraId="6B2A3716" w14:textId="038A01DF" w:rsidR="007309D3" w:rsidRDefault="007309D3" w:rsidP="007309D3">
      <w:pPr>
        <w:pStyle w:val="EntradandiceAuto"/>
      </w:pPr>
      <w:r>
        <w:t>Sección Tercera. Auto 575/2023, de 13 de noviembre de 2023. Acepta una abstención en el recurso de amparo 4214-2023, promovido en proceso contencioso-administrativo.</w:t>
      </w:r>
      <w:r>
        <w:tab/>
      </w:r>
      <w:r>
        <w:tab/>
      </w:r>
      <w:r>
        <w:fldChar w:fldCharType="begin"/>
      </w:r>
      <w:r>
        <w:instrText xml:space="preserve"> PAGEREF AUTO_2023_575 \h </w:instrText>
      </w:r>
      <w:r>
        <w:fldChar w:fldCharType="separate"/>
      </w:r>
      <w:r w:rsidR="00C73693">
        <w:rPr>
          <w:noProof/>
        </w:rPr>
        <w:t>2743</w:t>
      </w:r>
      <w:r>
        <w:fldChar w:fldCharType="end"/>
      </w:r>
    </w:p>
    <w:p w14:paraId="63A4FB85" w14:textId="77777777" w:rsidR="007309D3" w:rsidRDefault="007309D3" w:rsidP="007309D3"/>
    <w:p w14:paraId="794FDAAC" w14:textId="39B1BB82" w:rsidR="007309D3" w:rsidRDefault="007309D3" w:rsidP="007309D3">
      <w:pPr>
        <w:pStyle w:val="EntradandiceAuto"/>
      </w:pPr>
      <w:r>
        <w:t>Sección Primera. Auto 576/2023, de 14 de noviembre de 2023. Acepta una abstención en el recurso de amparo 2052-2023, promovido en causa penal.</w:t>
      </w:r>
      <w:r>
        <w:tab/>
      </w:r>
      <w:r>
        <w:tab/>
      </w:r>
      <w:r>
        <w:fldChar w:fldCharType="begin"/>
      </w:r>
      <w:r>
        <w:instrText xml:space="preserve"> PAGEREF AUTO_2023_576 \h </w:instrText>
      </w:r>
      <w:r>
        <w:fldChar w:fldCharType="separate"/>
      </w:r>
      <w:r w:rsidR="00C73693">
        <w:rPr>
          <w:noProof/>
        </w:rPr>
        <w:t>2745</w:t>
      </w:r>
      <w:r>
        <w:fldChar w:fldCharType="end"/>
      </w:r>
    </w:p>
    <w:p w14:paraId="7F20B4E3" w14:textId="77777777" w:rsidR="007309D3" w:rsidRDefault="007309D3" w:rsidP="007309D3"/>
    <w:p w14:paraId="6513D54E" w14:textId="4B8E2BC5" w:rsidR="007309D3" w:rsidRDefault="007309D3" w:rsidP="007309D3">
      <w:pPr>
        <w:pStyle w:val="EntradandiceAuto"/>
      </w:pPr>
      <w:r>
        <w:t>Sección Tercera. Auto 577/2023, de 16 de noviembre de 2023. Acepta una abstención en el recurso de amparo 7271-2021, promovido en proceso contencioso-administrativo.</w:t>
      </w:r>
      <w:r>
        <w:tab/>
      </w:r>
      <w:r>
        <w:tab/>
      </w:r>
      <w:r>
        <w:fldChar w:fldCharType="begin"/>
      </w:r>
      <w:r>
        <w:instrText xml:space="preserve"> PAGEREF AUTO_2023_577 \h </w:instrText>
      </w:r>
      <w:r>
        <w:fldChar w:fldCharType="separate"/>
      </w:r>
      <w:r w:rsidR="00C73693">
        <w:rPr>
          <w:noProof/>
        </w:rPr>
        <w:t>2747</w:t>
      </w:r>
      <w:r>
        <w:fldChar w:fldCharType="end"/>
      </w:r>
    </w:p>
    <w:p w14:paraId="73C254ED" w14:textId="77777777" w:rsidR="007309D3" w:rsidRDefault="007309D3" w:rsidP="007309D3"/>
    <w:p w14:paraId="2B4D1515" w14:textId="20A37156" w:rsidR="007309D3" w:rsidRDefault="007309D3" w:rsidP="007309D3">
      <w:pPr>
        <w:pStyle w:val="EntradandiceAuto"/>
      </w:pPr>
      <w:r>
        <w:t>Sección Tercera. Auto 578/2023, de 16 de noviembre de 2023. Acepta una abstención en el recurso de amparo 742-2022, promovido en proceso contencioso-administrativo.</w:t>
      </w:r>
      <w:r>
        <w:tab/>
      </w:r>
      <w:r>
        <w:tab/>
      </w:r>
      <w:r>
        <w:fldChar w:fldCharType="begin"/>
      </w:r>
      <w:r>
        <w:instrText xml:space="preserve"> PAGEREF AUTO_2023_578 \h </w:instrText>
      </w:r>
      <w:r>
        <w:fldChar w:fldCharType="separate"/>
      </w:r>
      <w:r w:rsidR="00C73693">
        <w:rPr>
          <w:noProof/>
        </w:rPr>
        <w:t>2749</w:t>
      </w:r>
      <w:r>
        <w:fldChar w:fldCharType="end"/>
      </w:r>
    </w:p>
    <w:p w14:paraId="6FCCC338" w14:textId="77777777" w:rsidR="007309D3" w:rsidRDefault="007309D3" w:rsidP="007309D3"/>
    <w:p w14:paraId="363A53A0" w14:textId="5AAF0D8C" w:rsidR="007309D3" w:rsidRDefault="007309D3" w:rsidP="007309D3">
      <w:pPr>
        <w:pStyle w:val="EntradandiceAuto"/>
      </w:pPr>
      <w:r>
        <w:t>Sección Tercera. Auto 579/2023, de 16 de noviembre de 2023. Acepta una abstención en el recurso de amparo 814-2022, promovido en proceso contencioso-administrativo.</w:t>
      </w:r>
      <w:r>
        <w:tab/>
      </w:r>
      <w:r>
        <w:tab/>
      </w:r>
      <w:r>
        <w:fldChar w:fldCharType="begin"/>
      </w:r>
      <w:r>
        <w:instrText xml:space="preserve"> PAGEREF AUTO_2023_579 \h </w:instrText>
      </w:r>
      <w:r>
        <w:fldChar w:fldCharType="separate"/>
      </w:r>
      <w:r w:rsidR="00C73693">
        <w:rPr>
          <w:noProof/>
        </w:rPr>
        <w:t>2751</w:t>
      </w:r>
      <w:r>
        <w:fldChar w:fldCharType="end"/>
      </w:r>
    </w:p>
    <w:p w14:paraId="4596AB71" w14:textId="77777777" w:rsidR="007309D3" w:rsidRDefault="007309D3" w:rsidP="007309D3"/>
    <w:p w14:paraId="58DD7A9A" w14:textId="212D0418" w:rsidR="007309D3" w:rsidRDefault="007309D3" w:rsidP="007309D3">
      <w:pPr>
        <w:pStyle w:val="EntradandiceAuto"/>
      </w:pPr>
      <w:r>
        <w:t>Sección Tercera. Auto 580/2023, de 16 de noviembre de 2023. Acepta una abstención en el recurso de amparo 1433-2022, promovido en proceso contencioso-administrativo.</w:t>
      </w:r>
      <w:r>
        <w:tab/>
      </w:r>
      <w:r>
        <w:tab/>
      </w:r>
      <w:r>
        <w:fldChar w:fldCharType="begin"/>
      </w:r>
      <w:r>
        <w:instrText xml:space="preserve"> PAGEREF AUTO_2023_580 \h </w:instrText>
      </w:r>
      <w:r>
        <w:fldChar w:fldCharType="separate"/>
      </w:r>
      <w:r w:rsidR="00C73693">
        <w:rPr>
          <w:noProof/>
        </w:rPr>
        <w:t>2753</w:t>
      </w:r>
      <w:r>
        <w:fldChar w:fldCharType="end"/>
      </w:r>
    </w:p>
    <w:p w14:paraId="7F1162CB" w14:textId="77777777" w:rsidR="007309D3" w:rsidRDefault="007309D3" w:rsidP="007309D3"/>
    <w:p w14:paraId="110CABE8" w14:textId="23B5E03F" w:rsidR="007309D3" w:rsidRDefault="007309D3" w:rsidP="007309D3">
      <w:pPr>
        <w:pStyle w:val="EntradandiceAuto"/>
      </w:pPr>
      <w:r>
        <w:t>Sección Tercera. Auto 581/2023, de 16 de noviembre de 2023. Acepta una abstención en el recurso de amparo 1800-2022, promovido en proceso contencioso-administrativo.</w:t>
      </w:r>
      <w:r>
        <w:tab/>
      </w:r>
      <w:r>
        <w:tab/>
      </w:r>
      <w:r>
        <w:fldChar w:fldCharType="begin"/>
      </w:r>
      <w:r>
        <w:instrText xml:space="preserve"> PAGEREF AUTO_2023_581 \h </w:instrText>
      </w:r>
      <w:r>
        <w:fldChar w:fldCharType="separate"/>
      </w:r>
      <w:r w:rsidR="00C73693">
        <w:rPr>
          <w:noProof/>
        </w:rPr>
        <w:t>2755</w:t>
      </w:r>
      <w:r>
        <w:fldChar w:fldCharType="end"/>
      </w:r>
    </w:p>
    <w:p w14:paraId="04B45454" w14:textId="77777777" w:rsidR="007309D3" w:rsidRDefault="007309D3" w:rsidP="007309D3"/>
    <w:p w14:paraId="31F9F0CE" w14:textId="2E4B5732" w:rsidR="007309D3" w:rsidRDefault="007309D3" w:rsidP="007309D3">
      <w:pPr>
        <w:pStyle w:val="EntradandiceAuto"/>
      </w:pPr>
      <w:r>
        <w:t>Sección Tercera. Auto 582/2023, de 16 de noviembre de 2023. Acepta una abstención en el recurso de amparo 3799-2022, promovido en proceso contencioso-administrativo.</w:t>
      </w:r>
      <w:r>
        <w:tab/>
      </w:r>
      <w:r>
        <w:tab/>
      </w:r>
      <w:r>
        <w:fldChar w:fldCharType="begin"/>
      </w:r>
      <w:r>
        <w:instrText xml:space="preserve"> PAGEREF AUTO_2023_582 \h </w:instrText>
      </w:r>
      <w:r>
        <w:fldChar w:fldCharType="separate"/>
      </w:r>
      <w:r w:rsidR="00C73693">
        <w:rPr>
          <w:noProof/>
        </w:rPr>
        <w:t>2757</w:t>
      </w:r>
      <w:r>
        <w:fldChar w:fldCharType="end"/>
      </w:r>
    </w:p>
    <w:p w14:paraId="3F1902A9" w14:textId="77777777" w:rsidR="007309D3" w:rsidRDefault="007309D3" w:rsidP="007309D3"/>
    <w:p w14:paraId="615C48C0" w14:textId="5708C8DD" w:rsidR="007309D3" w:rsidRDefault="007309D3" w:rsidP="007309D3">
      <w:pPr>
        <w:pStyle w:val="EntradandiceAuto"/>
      </w:pPr>
      <w:r>
        <w:t>Sección Tercera. Auto 583/2023, de 16 de noviembre de 2023. Acepta una abstención en el recurso de amparo 3806-2022, promovido en proceso contencioso-administrativo.</w:t>
      </w:r>
      <w:r>
        <w:tab/>
      </w:r>
      <w:r>
        <w:tab/>
      </w:r>
      <w:r>
        <w:fldChar w:fldCharType="begin"/>
      </w:r>
      <w:r>
        <w:instrText xml:space="preserve"> PAGEREF AUTO_2023_583 \h </w:instrText>
      </w:r>
      <w:r>
        <w:fldChar w:fldCharType="separate"/>
      </w:r>
      <w:r w:rsidR="00C73693">
        <w:rPr>
          <w:noProof/>
        </w:rPr>
        <w:t>2759</w:t>
      </w:r>
      <w:r>
        <w:fldChar w:fldCharType="end"/>
      </w:r>
    </w:p>
    <w:p w14:paraId="6DA14C79" w14:textId="77777777" w:rsidR="007309D3" w:rsidRDefault="007309D3" w:rsidP="007309D3"/>
    <w:p w14:paraId="6D394A42" w14:textId="5801F335" w:rsidR="007309D3" w:rsidRDefault="007309D3" w:rsidP="007309D3">
      <w:pPr>
        <w:pStyle w:val="EntradandiceAuto"/>
      </w:pPr>
      <w:r>
        <w:t>Sección Tercera. Auto 584/2023, de 16 de noviembre de 2023. Acepta una abstención en el recurso de amparo 4442-2022, promovido en proceso contencioso-administrativo.</w:t>
      </w:r>
      <w:r>
        <w:tab/>
      </w:r>
      <w:r>
        <w:tab/>
      </w:r>
      <w:r>
        <w:fldChar w:fldCharType="begin"/>
      </w:r>
      <w:r>
        <w:instrText xml:space="preserve"> PAGEREF AUTO_2023_584 \h </w:instrText>
      </w:r>
      <w:r>
        <w:fldChar w:fldCharType="separate"/>
      </w:r>
      <w:r w:rsidR="00C73693">
        <w:rPr>
          <w:noProof/>
        </w:rPr>
        <w:t>2761</w:t>
      </w:r>
      <w:r>
        <w:fldChar w:fldCharType="end"/>
      </w:r>
    </w:p>
    <w:p w14:paraId="31BF8562" w14:textId="77777777" w:rsidR="007309D3" w:rsidRDefault="007309D3" w:rsidP="007309D3"/>
    <w:p w14:paraId="0B11576B" w14:textId="622FCC0A" w:rsidR="007309D3" w:rsidRDefault="007309D3" w:rsidP="007309D3">
      <w:pPr>
        <w:pStyle w:val="EntradandiceAuto"/>
      </w:pPr>
      <w:r>
        <w:t>Sección Tercera. Auto 585/2023, de 16 de noviembre de 2023. Acepta una abstención en el recurso de amparo 4484-2022, promovido en proceso contencioso-administrativo.</w:t>
      </w:r>
      <w:r>
        <w:tab/>
      </w:r>
      <w:r>
        <w:tab/>
      </w:r>
      <w:r>
        <w:fldChar w:fldCharType="begin"/>
      </w:r>
      <w:r>
        <w:instrText xml:space="preserve"> PAGEREF AUTO_2023_585 \h </w:instrText>
      </w:r>
      <w:r>
        <w:fldChar w:fldCharType="separate"/>
      </w:r>
      <w:r w:rsidR="00C73693">
        <w:rPr>
          <w:noProof/>
        </w:rPr>
        <w:t>2763</w:t>
      </w:r>
      <w:r>
        <w:fldChar w:fldCharType="end"/>
      </w:r>
    </w:p>
    <w:p w14:paraId="68983DF0" w14:textId="77777777" w:rsidR="007309D3" w:rsidRDefault="007309D3" w:rsidP="007309D3"/>
    <w:p w14:paraId="46433536" w14:textId="28661555" w:rsidR="007309D3" w:rsidRDefault="007309D3" w:rsidP="007309D3">
      <w:pPr>
        <w:pStyle w:val="EntradandiceAuto"/>
      </w:pPr>
      <w:r>
        <w:t>Sección Tercera. Auto 586/2023, de 16 de noviembre de 2023. Acepta una abstención en el recurso de amparo 4680-2022, promovido en proceso contencioso-administrativo.</w:t>
      </w:r>
      <w:r>
        <w:tab/>
      </w:r>
      <w:r>
        <w:tab/>
      </w:r>
      <w:r>
        <w:fldChar w:fldCharType="begin"/>
      </w:r>
      <w:r>
        <w:instrText xml:space="preserve"> PAGEREF AUTO_2023_586 \h </w:instrText>
      </w:r>
      <w:r>
        <w:fldChar w:fldCharType="separate"/>
      </w:r>
      <w:r w:rsidR="00C73693">
        <w:rPr>
          <w:noProof/>
        </w:rPr>
        <w:t>2765</w:t>
      </w:r>
      <w:r>
        <w:fldChar w:fldCharType="end"/>
      </w:r>
    </w:p>
    <w:p w14:paraId="119CEE61" w14:textId="77777777" w:rsidR="007309D3" w:rsidRDefault="007309D3" w:rsidP="007309D3"/>
    <w:p w14:paraId="50461D55" w14:textId="0053E00A" w:rsidR="007309D3" w:rsidRDefault="007309D3" w:rsidP="007309D3">
      <w:pPr>
        <w:pStyle w:val="EntradandiceAuto"/>
      </w:pPr>
      <w:r>
        <w:t>Sección Tercera. Auto 587/2023, de 16 de noviembre de 2023. Acepta una abstención en el recurso de amparo 4815-2022, promovido en proceso contencioso-administrativo.</w:t>
      </w:r>
      <w:r>
        <w:tab/>
      </w:r>
      <w:r>
        <w:tab/>
      </w:r>
      <w:r>
        <w:fldChar w:fldCharType="begin"/>
      </w:r>
      <w:r>
        <w:instrText xml:space="preserve"> PAGEREF AUTO_2023_587 \h </w:instrText>
      </w:r>
      <w:r>
        <w:fldChar w:fldCharType="separate"/>
      </w:r>
      <w:r w:rsidR="00C73693">
        <w:rPr>
          <w:noProof/>
        </w:rPr>
        <w:t>2767</w:t>
      </w:r>
      <w:r>
        <w:fldChar w:fldCharType="end"/>
      </w:r>
    </w:p>
    <w:p w14:paraId="5087AE57" w14:textId="77777777" w:rsidR="007309D3" w:rsidRDefault="007309D3" w:rsidP="007309D3"/>
    <w:p w14:paraId="425E84A6" w14:textId="55B39120" w:rsidR="007309D3" w:rsidRDefault="007309D3" w:rsidP="007309D3">
      <w:pPr>
        <w:pStyle w:val="EntradandiceAuto"/>
      </w:pPr>
      <w:r>
        <w:t>Sección Tercera. Auto 588/2023, de 16 de noviembre de 2023. Acepta una abstención en el recurso de amparo 4942-2022, promovido en proceso contencioso-administrativo.</w:t>
      </w:r>
      <w:r>
        <w:tab/>
      </w:r>
      <w:r>
        <w:tab/>
      </w:r>
      <w:r>
        <w:fldChar w:fldCharType="begin"/>
      </w:r>
      <w:r>
        <w:instrText xml:space="preserve"> PAGEREF AUTO_2023_588 \h </w:instrText>
      </w:r>
      <w:r>
        <w:fldChar w:fldCharType="separate"/>
      </w:r>
      <w:r w:rsidR="00C73693">
        <w:rPr>
          <w:noProof/>
        </w:rPr>
        <w:t>2769</w:t>
      </w:r>
      <w:r>
        <w:fldChar w:fldCharType="end"/>
      </w:r>
    </w:p>
    <w:p w14:paraId="4FE3DB18" w14:textId="77777777" w:rsidR="007309D3" w:rsidRDefault="007309D3" w:rsidP="007309D3"/>
    <w:p w14:paraId="19D6B2F5" w14:textId="1AFB264D" w:rsidR="007309D3" w:rsidRDefault="007309D3" w:rsidP="007309D3">
      <w:pPr>
        <w:pStyle w:val="EntradandiceAuto"/>
      </w:pPr>
      <w:r>
        <w:t>Sección Tercera. Auto 589/2023, de 16 de noviembre de 2023. Acepta una abstención en el recurso de amparo 5140-2022, promovido en proceso contencioso-administrativo.</w:t>
      </w:r>
      <w:r>
        <w:tab/>
      </w:r>
      <w:r>
        <w:tab/>
      </w:r>
      <w:r>
        <w:fldChar w:fldCharType="begin"/>
      </w:r>
      <w:r>
        <w:instrText xml:space="preserve"> PAGEREF AUTO_2023_589 \h </w:instrText>
      </w:r>
      <w:r>
        <w:fldChar w:fldCharType="separate"/>
      </w:r>
      <w:r w:rsidR="00C73693">
        <w:rPr>
          <w:noProof/>
        </w:rPr>
        <w:t>2771</w:t>
      </w:r>
      <w:r>
        <w:fldChar w:fldCharType="end"/>
      </w:r>
    </w:p>
    <w:p w14:paraId="1BAB81D7" w14:textId="77777777" w:rsidR="007309D3" w:rsidRDefault="007309D3" w:rsidP="007309D3"/>
    <w:p w14:paraId="37B2E0C6" w14:textId="0141808E" w:rsidR="007309D3" w:rsidRDefault="007309D3" w:rsidP="007309D3">
      <w:pPr>
        <w:pStyle w:val="EntradandiceAuto"/>
      </w:pPr>
      <w:r>
        <w:t>Sección Tercera. Auto 590/2023, de 16 de noviembre de 2023. Acepta una abstención en el recurso de amparo 6460-2022, promovido en proceso contencioso-administrativo.</w:t>
      </w:r>
      <w:r>
        <w:tab/>
      </w:r>
      <w:r>
        <w:tab/>
      </w:r>
      <w:r>
        <w:fldChar w:fldCharType="begin"/>
      </w:r>
      <w:r>
        <w:instrText xml:space="preserve"> PAGEREF AUTO_2023_590 \h </w:instrText>
      </w:r>
      <w:r>
        <w:fldChar w:fldCharType="separate"/>
      </w:r>
      <w:r w:rsidR="00C73693">
        <w:rPr>
          <w:noProof/>
        </w:rPr>
        <w:t>2773</w:t>
      </w:r>
      <w:r>
        <w:fldChar w:fldCharType="end"/>
      </w:r>
    </w:p>
    <w:p w14:paraId="2C860BAC" w14:textId="77777777" w:rsidR="007309D3" w:rsidRDefault="007309D3" w:rsidP="007309D3"/>
    <w:p w14:paraId="6626A15D" w14:textId="5A321F80" w:rsidR="007309D3" w:rsidRDefault="007309D3" w:rsidP="007309D3">
      <w:pPr>
        <w:pStyle w:val="EntradandiceAuto"/>
      </w:pPr>
      <w:r>
        <w:t>Sección Tercera. Auto 591/2023, de 16 de noviembre de 2023. Acepta una abstención en el recurso de amparo 6628-2022, promovido en proceso contencioso-administrativo.</w:t>
      </w:r>
      <w:r>
        <w:tab/>
      </w:r>
      <w:r>
        <w:tab/>
      </w:r>
      <w:r>
        <w:fldChar w:fldCharType="begin"/>
      </w:r>
      <w:r>
        <w:instrText xml:space="preserve"> PAGEREF AUTO_2023_591 \h </w:instrText>
      </w:r>
      <w:r>
        <w:fldChar w:fldCharType="separate"/>
      </w:r>
      <w:r w:rsidR="00C73693">
        <w:rPr>
          <w:noProof/>
        </w:rPr>
        <w:t>2775</w:t>
      </w:r>
      <w:r>
        <w:fldChar w:fldCharType="end"/>
      </w:r>
    </w:p>
    <w:p w14:paraId="3D8440A9" w14:textId="77777777" w:rsidR="007309D3" w:rsidRDefault="007309D3" w:rsidP="007309D3"/>
    <w:p w14:paraId="3B9E1484" w14:textId="2CF5DA14" w:rsidR="007309D3" w:rsidRDefault="007309D3" w:rsidP="007309D3">
      <w:pPr>
        <w:pStyle w:val="EntradandiceAuto"/>
      </w:pPr>
      <w:r>
        <w:t>Sección Tercera. Auto 592/2023, de 16 de noviembre de 2023. Acepta una abstención en el recurso de amparo 2442-2023, promovido en proceso contencioso-administrativo.</w:t>
      </w:r>
      <w:r>
        <w:tab/>
      </w:r>
      <w:r>
        <w:tab/>
      </w:r>
      <w:r>
        <w:fldChar w:fldCharType="begin"/>
      </w:r>
      <w:r>
        <w:instrText xml:space="preserve"> PAGEREF AUTO_2023_592 \h </w:instrText>
      </w:r>
      <w:r>
        <w:fldChar w:fldCharType="separate"/>
      </w:r>
      <w:r w:rsidR="00C73693">
        <w:rPr>
          <w:noProof/>
        </w:rPr>
        <w:t>2777</w:t>
      </w:r>
      <w:r>
        <w:fldChar w:fldCharType="end"/>
      </w:r>
    </w:p>
    <w:p w14:paraId="03AD8CEF" w14:textId="77777777" w:rsidR="007309D3" w:rsidRDefault="007309D3" w:rsidP="007309D3"/>
    <w:p w14:paraId="460C3D4A" w14:textId="3AA4AECA" w:rsidR="007309D3" w:rsidRDefault="007309D3" w:rsidP="007309D3">
      <w:pPr>
        <w:pStyle w:val="EntradandiceAuto"/>
      </w:pPr>
      <w:r>
        <w:t>Sección Tercera. Auto 593/2023, de 16 de noviembre de 2023. Acepta una abstención en el recurso de amparo 2466-2023, promovido en proceso contencioso-administrativo.</w:t>
      </w:r>
      <w:r>
        <w:tab/>
      </w:r>
      <w:r>
        <w:tab/>
      </w:r>
      <w:r>
        <w:fldChar w:fldCharType="begin"/>
      </w:r>
      <w:r>
        <w:instrText xml:space="preserve"> PAGEREF AUTO_2023_593 \h </w:instrText>
      </w:r>
      <w:r>
        <w:fldChar w:fldCharType="separate"/>
      </w:r>
      <w:r w:rsidR="00C73693">
        <w:rPr>
          <w:noProof/>
        </w:rPr>
        <w:t>2779</w:t>
      </w:r>
      <w:r>
        <w:fldChar w:fldCharType="end"/>
      </w:r>
    </w:p>
    <w:p w14:paraId="575E4297" w14:textId="77777777" w:rsidR="007309D3" w:rsidRDefault="007309D3" w:rsidP="007309D3"/>
    <w:p w14:paraId="125D1564" w14:textId="50D48C1F" w:rsidR="007309D3" w:rsidRDefault="007309D3" w:rsidP="007309D3">
      <w:pPr>
        <w:pStyle w:val="EntradandiceAuto"/>
      </w:pPr>
      <w:r>
        <w:t>Sección Tercera. Auto 594/2023, de 16 de noviembre de 2023. Acepta una abstención en el recurso de amparo 2504-2023, promovido en proceso contencioso-administrativo.</w:t>
      </w:r>
      <w:r>
        <w:tab/>
      </w:r>
      <w:r>
        <w:tab/>
      </w:r>
      <w:r>
        <w:fldChar w:fldCharType="begin"/>
      </w:r>
      <w:r>
        <w:instrText xml:space="preserve"> PAGEREF AUTO_2023_594 \h </w:instrText>
      </w:r>
      <w:r>
        <w:fldChar w:fldCharType="separate"/>
      </w:r>
      <w:r w:rsidR="00C73693">
        <w:rPr>
          <w:noProof/>
        </w:rPr>
        <w:t>2781</w:t>
      </w:r>
      <w:r>
        <w:fldChar w:fldCharType="end"/>
      </w:r>
    </w:p>
    <w:p w14:paraId="3AE5CD76" w14:textId="77777777" w:rsidR="007309D3" w:rsidRDefault="007309D3" w:rsidP="007309D3"/>
    <w:p w14:paraId="10AD2403" w14:textId="60DCB699" w:rsidR="007309D3" w:rsidRDefault="007309D3" w:rsidP="007309D3">
      <w:pPr>
        <w:pStyle w:val="EntradandiceAuto"/>
      </w:pPr>
      <w:r>
        <w:t>Sección Tercera. Auto 595/2023, de 16 de noviembre de 2023. Acepta una abstención en el recurso de amparo 2707-2023, promovido en proceso contencioso-administrativo.</w:t>
      </w:r>
      <w:r>
        <w:tab/>
      </w:r>
      <w:r>
        <w:tab/>
      </w:r>
      <w:r>
        <w:fldChar w:fldCharType="begin"/>
      </w:r>
      <w:r>
        <w:instrText xml:space="preserve"> PAGEREF AUTO_2023_595 \h </w:instrText>
      </w:r>
      <w:r>
        <w:fldChar w:fldCharType="separate"/>
      </w:r>
      <w:r w:rsidR="00C73693">
        <w:rPr>
          <w:noProof/>
        </w:rPr>
        <w:t>2783</w:t>
      </w:r>
      <w:r>
        <w:fldChar w:fldCharType="end"/>
      </w:r>
    </w:p>
    <w:p w14:paraId="064B8C98" w14:textId="77777777" w:rsidR="007309D3" w:rsidRDefault="007309D3" w:rsidP="007309D3"/>
    <w:p w14:paraId="1ACD37F1" w14:textId="10DEEB71" w:rsidR="007309D3" w:rsidRDefault="007309D3" w:rsidP="007309D3">
      <w:pPr>
        <w:pStyle w:val="EntradandiceAuto"/>
      </w:pPr>
      <w:r>
        <w:t>Sección Tercera. Auto 596/2023, de 16 de noviembre de 2023. Acepta una abstención en el recurso de amparo 2747-2023, promovido en proceso contencioso-administrativo.</w:t>
      </w:r>
      <w:r>
        <w:tab/>
      </w:r>
      <w:r>
        <w:tab/>
      </w:r>
      <w:r>
        <w:fldChar w:fldCharType="begin"/>
      </w:r>
      <w:r>
        <w:instrText xml:space="preserve"> PAGEREF AUTO_2023_596 \h </w:instrText>
      </w:r>
      <w:r>
        <w:fldChar w:fldCharType="separate"/>
      </w:r>
      <w:r w:rsidR="00C73693">
        <w:rPr>
          <w:noProof/>
        </w:rPr>
        <w:t>2785</w:t>
      </w:r>
      <w:r>
        <w:fldChar w:fldCharType="end"/>
      </w:r>
    </w:p>
    <w:p w14:paraId="4F524294" w14:textId="77777777" w:rsidR="007309D3" w:rsidRDefault="007309D3" w:rsidP="007309D3"/>
    <w:p w14:paraId="35F900B2" w14:textId="0602C0DA" w:rsidR="007309D3" w:rsidRDefault="007309D3" w:rsidP="007309D3">
      <w:pPr>
        <w:pStyle w:val="EntradandiceAuto"/>
      </w:pPr>
      <w:r>
        <w:t>Sección Primera. Auto 597/2023, de 16 de noviembre de 2023. Acepta una abstención en el recurso de amparo 4805-2023, promovido en proceso militar.</w:t>
      </w:r>
      <w:r>
        <w:tab/>
      </w:r>
      <w:r>
        <w:tab/>
      </w:r>
      <w:r>
        <w:fldChar w:fldCharType="begin"/>
      </w:r>
      <w:r>
        <w:instrText xml:space="preserve"> PAGEREF AUTO_2023_597 \h </w:instrText>
      </w:r>
      <w:r>
        <w:fldChar w:fldCharType="separate"/>
      </w:r>
      <w:r w:rsidR="00C73693">
        <w:rPr>
          <w:noProof/>
        </w:rPr>
        <w:t>2787</w:t>
      </w:r>
      <w:r>
        <w:fldChar w:fldCharType="end"/>
      </w:r>
    </w:p>
    <w:p w14:paraId="37D3E11D" w14:textId="77777777" w:rsidR="007309D3" w:rsidRDefault="007309D3" w:rsidP="007309D3"/>
    <w:p w14:paraId="7C86E733" w14:textId="36BDBB50" w:rsidR="007309D3" w:rsidRDefault="007309D3" w:rsidP="007309D3">
      <w:pPr>
        <w:pStyle w:val="EntradandiceAuto"/>
      </w:pPr>
      <w:r>
        <w:t>Sala Primera. Auto 598/2023, de 20 de noviembre de 2023. Deniega la aclaración de la sentencia 91/2023, de 11 de septiembre, dictada en el recurso de amparo 5905-2020, promovido por doña Tatiana Castillo Medina en pleito civil.</w:t>
      </w:r>
      <w:r>
        <w:tab/>
      </w:r>
      <w:r>
        <w:tab/>
      </w:r>
      <w:r>
        <w:fldChar w:fldCharType="begin"/>
      </w:r>
      <w:r>
        <w:instrText xml:space="preserve"> PAGEREF AUTO_2023_598 \h </w:instrText>
      </w:r>
      <w:r>
        <w:fldChar w:fldCharType="separate"/>
      </w:r>
      <w:r w:rsidR="00C73693">
        <w:rPr>
          <w:noProof/>
        </w:rPr>
        <w:t>2788</w:t>
      </w:r>
      <w:r>
        <w:fldChar w:fldCharType="end"/>
      </w:r>
    </w:p>
    <w:p w14:paraId="2B20154E" w14:textId="77777777" w:rsidR="007309D3" w:rsidRDefault="007309D3" w:rsidP="007309D3"/>
    <w:p w14:paraId="1CE6A231" w14:textId="33D8196C" w:rsidR="007309D3" w:rsidRDefault="007309D3" w:rsidP="007309D3">
      <w:pPr>
        <w:pStyle w:val="EntradandiceAuto"/>
      </w:pPr>
      <w:r>
        <w:t>Sala Segunda. Auto 599/2023, de 20 de noviembre de 2023. Deniega la suspensión en el recurso de amparo 5582-2021, promovido por don José Martínez López en causa penal.</w:t>
      </w:r>
      <w:r>
        <w:tab/>
      </w:r>
      <w:r>
        <w:tab/>
      </w:r>
      <w:r>
        <w:fldChar w:fldCharType="begin"/>
      </w:r>
      <w:r>
        <w:instrText xml:space="preserve"> PAGEREF AUTO_2023_599 \h </w:instrText>
      </w:r>
      <w:r>
        <w:fldChar w:fldCharType="separate"/>
      </w:r>
      <w:r w:rsidR="00C73693">
        <w:rPr>
          <w:noProof/>
        </w:rPr>
        <w:t>2792</w:t>
      </w:r>
      <w:r>
        <w:fldChar w:fldCharType="end"/>
      </w:r>
    </w:p>
    <w:p w14:paraId="53A7E7D5" w14:textId="77777777" w:rsidR="007309D3" w:rsidRDefault="007309D3" w:rsidP="007309D3"/>
    <w:p w14:paraId="2D834343" w14:textId="27D96A2F" w:rsidR="007309D3" w:rsidRDefault="007309D3" w:rsidP="007309D3">
      <w:pPr>
        <w:pStyle w:val="EntradandiceAuto"/>
      </w:pPr>
      <w:r>
        <w:t>Sala Segunda. Auto 600/2023, de 20 de noviembre de 2023. Acuerda la suspensión en el recurso de amparo 1430-2022, promovido por doña María Teresa Fernández Shaw Navarro y doña Lucía Carlota Siloniz Fernández Shaw en procedimiento hipotecario.</w:t>
      </w:r>
      <w:r>
        <w:tab/>
      </w:r>
      <w:r>
        <w:tab/>
      </w:r>
      <w:r>
        <w:fldChar w:fldCharType="begin"/>
      </w:r>
      <w:r>
        <w:instrText xml:space="preserve"> PAGEREF AUTO_2023_600 \h </w:instrText>
      </w:r>
      <w:r>
        <w:fldChar w:fldCharType="separate"/>
      </w:r>
      <w:r w:rsidR="00C73693">
        <w:rPr>
          <w:noProof/>
        </w:rPr>
        <w:t>2798</w:t>
      </w:r>
      <w:r>
        <w:fldChar w:fldCharType="end"/>
      </w:r>
    </w:p>
    <w:p w14:paraId="02D7496A" w14:textId="77777777" w:rsidR="007309D3" w:rsidRDefault="007309D3" w:rsidP="007309D3"/>
    <w:p w14:paraId="6E9B253F" w14:textId="43F3A1D3" w:rsidR="007309D3" w:rsidRDefault="007309D3" w:rsidP="007309D3">
      <w:pPr>
        <w:pStyle w:val="EntradandiceAuto"/>
      </w:pPr>
      <w:r>
        <w:t>Sala Segunda. Auto 601/2023, de 20 de noviembre de 2023. Deniega la suspensión y ordena la anotación preventiva de la demanda en el recurso de amparo 1762-2023, promovido por don Ernesto Gallego Sánchez en procedimiento hipotecario.</w:t>
      </w:r>
      <w:r>
        <w:tab/>
      </w:r>
      <w:r>
        <w:tab/>
      </w:r>
      <w:r>
        <w:fldChar w:fldCharType="begin"/>
      </w:r>
      <w:r>
        <w:instrText xml:space="preserve"> PAGEREF AUTO_2023_601 \h </w:instrText>
      </w:r>
      <w:r>
        <w:fldChar w:fldCharType="separate"/>
      </w:r>
      <w:r w:rsidR="00C73693">
        <w:rPr>
          <w:noProof/>
        </w:rPr>
        <w:t>2802</w:t>
      </w:r>
      <w:r>
        <w:fldChar w:fldCharType="end"/>
      </w:r>
    </w:p>
    <w:p w14:paraId="43570FA6" w14:textId="77777777" w:rsidR="007309D3" w:rsidRDefault="007309D3" w:rsidP="007309D3"/>
    <w:p w14:paraId="061A6DDD" w14:textId="6A24011E" w:rsidR="007309D3" w:rsidRDefault="007309D3" w:rsidP="007309D3">
      <w:pPr>
        <w:pStyle w:val="EntradandiceAuto"/>
      </w:pPr>
      <w:r>
        <w:t>Pleno. Auto 602/2023, de 21 de noviembre de 2023. Acuerda el desistimiento en el conflicto positivo de competencia 3464-2023, planteado por el Gobierno Vasco en relación con la Orden HFP/55/2023, de 24 de enero, relativa al análisis sistemático del riesgo de conflicto de interés en los procedimientos que ejecutan el plan de recuperación, transformación y resiliencia.</w:t>
      </w:r>
      <w:r>
        <w:tab/>
      </w:r>
      <w:r>
        <w:tab/>
      </w:r>
      <w:r>
        <w:fldChar w:fldCharType="begin"/>
      </w:r>
      <w:r>
        <w:instrText xml:space="preserve"> PAGEREF AUTO_2023_602 \h </w:instrText>
      </w:r>
      <w:r>
        <w:fldChar w:fldCharType="separate"/>
      </w:r>
      <w:r w:rsidR="00C73693">
        <w:rPr>
          <w:noProof/>
        </w:rPr>
        <w:t>2807</w:t>
      </w:r>
      <w:r>
        <w:fldChar w:fldCharType="end"/>
      </w:r>
    </w:p>
    <w:p w14:paraId="322BA38E" w14:textId="77777777" w:rsidR="007309D3" w:rsidRDefault="007309D3" w:rsidP="007309D3"/>
    <w:p w14:paraId="0DDDADF6" w14:textId="307EC331" w:rsidR="007309D3" w:rsidRDefault="007309D3" w:rsidP="007309D3">
      <w:pPr>
        <w:pStyle w:val="EntradandiceAuto"/>
      </w:pPr>
      <w:r>
        <w:t>Pleno. Auto 603/2023, de 21 de noviembre de 2023. Inadmite a trámite la cuestión de inconstitucionalidad 3866-2023, planteada por el Juzgado de lo Contencioso-Administrativo núm. 5 de Barcelona en relación con el artículo 57.1 de la Ley Orgánica 4/2000, de 11 de enero, sobre derechos y libertades de los extranjeros en España y su integración social.</w:t>
      </w:r>
      <w:r>
        <w:tab/>
      </w:r>
      <w:r>
        <w:tab/>
      </w:r>
      <w:r>
        <w:fldChar w:fldCharType="begin"/>
      </w:r>
      <w:r>
        <w:instrText xml:space="preserve"> PAGEREF AUTO_2023_603 \h </w:instrText>
      </w:r>
      <w:r>
        <w:fldChar w:fldCharType="separate"/>
      </w:r>
      <w:r w:rsidR="00C73693">
        <w:rPr>
          <w:noProof/>
        </w:rPr>
        <w:t>2809</w:t>
      </w:r>
      <w:r>
        <w:fldChar w:fldCharType="end"/>
      </w:r>
    </w:p>
    <w:p w14:paraId="6E87C4B5" w14:textId="77777777" w:rsidR="007309D3" w:rsidRDefault="007309D3" w:rsidP="007309D3"/>
    <w:p w14:paraId="72877EBB" w14:textId="151D3CD4" w:rsidR="007309D3" w:rsidRDefault="007309D3" w:rsidP="007309D3">
      <w:pPr>
        <w:pStyle w:val="EntradandiceAuto"/>
      </w:pPr>
      <w:r>
        <w:t>Pleno. Auto 604/2023, de 21 de noviembre de 2023. Inadmite a trámite la cuestión de inconstitucionalidad 5470-2023, planteada por la Sección Primera de la Sala de lo Contencioso-Administrativo del Tribunal Superior de Justicia de la Región de Murcia, en relación con la disposición transitoria quinta de la Ley de la Asamblea Regional de Murcia 6/2019, de 4 de abril, de coordinación de las policías locales de la Comunidad Autónoma de la Región de Murcia.</w:t>
      </w:r>
      <w:r>
        <w:tab/>
      </w:r>
      <w:r>
        <w:tab/>
      </w:r>
      <w:r>
        <w:fldChar w:fldCharType="begin"/>
      </w:r>
      <w:r>
        <w:instrText xml:space="preserve"> PAGEREF AUTO_2023_604 \h </w:instrText>
      </w:r>
      <w:r>
        <w:fldChar w:fldCharType="separate"/>
      </w:r>
      <w:r w:rsidR="00C73693">
        <w:rPr>
          <w:noProof/>
        </w:rPr>
        <w:t>2822</w:t>
      </w:r>
      <w:r>
        <w:fldChar w:fldCharType="end"/>
      </w:r>
    </w:p>
    <w:p w14:paraId="52D9A497" w14:textId="77777777" w:rsidR="007309D3" w:rsidRDefault="007309D3" w:rsidP="007309D3"/>
    <w:p w14:paraId="4B816981" w14:textId="0245FCB7" w:rsidR="007309D3" w:rsidRDefault="007309D3" w:rsidP="007309D3">
      <w:pPr>
        <w:pStyle w:val="EntradandiceAuto"/>
      </w:pPr>
      <w:r>
        <w:t>Sección Tercera. Auto 605/2023, de 1 de diciembre de 2023. Acepta una abstención en el recurso de amparo 3149-2022, promovido por la entidad J.F. Baños S.XXI, S.L., en proceso contencioso administrativo.</w:t>
      </w:r>
      <w:r>
        <w:tab/>
      </w:r>
      <w:r>
        <w:tab/>
      </w:r>
      <w:r>
        <w:fldChar w:fldCharType="begin"/>
      </w:r>
      <w:r>
        <w:instrText xml:space="preserve"> PAGEREF AUTO_2023_605 \h </w:instrText>
      </w:r>
      <w:r>
        <w:fldChar w:fldCharType="separate"/>
      </w:r>
      <w:r w:rsidR="00C73693">
        <w:rPr>
          <w:noProof/>
        </w:rPr>
        <w:t>2831</w:t>
      </w:r>
      <w:r>
        <w:fldChar w:fldCharType="end"/>
      </w:r>
    </w:p>
    <w:p w14:paraId="48906D48" w14:textId="77777777" w:rsidR="007309D3" w:rsidRDefault="007309D3" w:rsidP="007309D3"/>
    <w:p w14:paraId="442D60FE" w14:textId="65C802E4" w:rsidR="007309D3" w:rsidRDefault="007309D3" w:rsidP="007309D3">
      <w:pPr>
        <w:pStyle w:val="EntradandiceAuto"/>
      </w:pPr>
      <w:r>
        <w:t>Sección Tercera. Auto 606/2023, de 1 de diciembre de 2023. Acepta una abstención en el recurso de amparo 3710-2022, promovido en proceso contencioso administrativo.</w:t>
      </w:r>
      <w:r>
        <w:tab/>
      </w:r>
      <w:r>
        <w:tab/>
      </w:r>
      <w:r>
        <w:fldChar w:fldCharType="begin"/>
      </w:r>
      <w:r>
        <w:instrText xml:space="preserve"> PAGEREF AUTO_2023_606 \h </w:instrText>
      </w:r>
      <w:r>
        <w:fldChar w:fldCharType="separate"/>
      </w:r>
      <w:r w:rsidR="00C73693">
        <w:rPr>
          <w:noProof/>
        </w:rPr>
        <w:t>2833</w:t>
      </w:r>
      <w:r>
        <w:fldChar w:fldCharType="end"/>
      </w:r>
    </w:p>
    <w:p w14:paraId="648589B6" w14:textId="77777777" w:rsidR="007309D3" w:rsidRDefault="007309D3" w:rsidP="007309D3"/>
    <w:p w14:paraId="1FB21F5D" w14:textId="0ADD0F30" w:rsidR="007309D3" w:rsidRDefault="007309D3" w:rsidP="007309D3">
      <w:pPr>
        <w:pStyle w:val="EntradandiceAuto"/>
      </w:pPr>
      <w:r>
        <w:t>Sección Tercera. Auto 607/2023, de 1 de diciembre de 2023. Acepta una abstención en el recurso de amparo 4177-2022, promovido en proceso contencioso administrativo.</w:t>
      </w:r>
      <w:r>
        <w:tab/>
      </w:r>
      <w:r>
        <w:tab/>
      </w:r>
      <w:r>
        <w:fldChar w:fldCharType="begin"/>
      </w:r>
      <w:r>
        <w:instrText xml:space="preserve"> PAGEREF AUTO_2023_607 \h </w:instrText>
      </w:r>
      <w:r>
        <w:fldChar w:fldCharType="separate"/>
      </w:r>
      <w:r w:rsidR="00C73693">
        <w:rPr>
          <w:noProof/>
        </w:rPr>
        <w:t>2835</w:t>
      </w:r>
      <w:r>
        <w:fldChar w:fldCharType="end"/>
      </w:r>
    </w:p>
    <w:p w14:paraId="23E35143" w14:textId="77777777" w:rsidR="007309D3" w:rsidRDefault="007309D3" w:rsidP="007309D3"/>
    <w:p w14:paraId="0D991392" w14:textId="5360EC9C" w:rsidR="007309D3" w:rsidRDefault="007309D3" w:rsidP="007309D3">
      <w:pPr>
        <w:pStyle w:val="EntradandiceAuto"/>
      </w:pPr>
      <w:r>
        <w:t>Sección Tercera. Auto 608/2023, de 1 de diciembre de 2023. Acepta una abstención en el recurso de amparo 4403-2022, promovido en proceso contencioso administrativo.</w:t>
      </w:r>
      <w:r>
        <w:tab/>
      </w:r>
      <w:r>
        <w:tab/>
      </w:r>
      <w:r>
        <w:fldChar w:fldCharType="begin"/>
      </w:r>
      <w:r>
        <w:instrText xml:space="preserve"> PAGEREF AUTO_2023_608 \h </w:instrText>
      </w:r>
      <w:r>
        <w:fldChar w:fldCharType="separate"/>
      </w:r>
      <w:r w:rsidR="00C73693">
        <w:rPr>
          <w:noProof/>
        </w:rPr>
        <w:t>2837</w:t>
      </w:r>
      <w:r>
        <w:fldChar w:fldCharType="end"/>
      </w:r>
    </w:p>
    <w:p w14:paraId="12092326" w14:textId="77777777" w:rsidR="007309D3" w:rsidRDefault="007309D3" w:rsidP="007309D3"/>
    <w:p w14:paraId="6F3F28E6" w14:textId="70211DEF" w:rsidR="007309D3" w:rsidRDefault="007309D3" w:rsidP="007309D3">
      <w:pPr>
        <w:pStyle w:val="EntradandiceAuto"/>
      </w:pPr>
      <w:r>
        <w:t>Sección Tercera. Auto 609/2023, de 1 de diciembre de 2023. Acepta una abstención en el recurso de amparo 5263-2022, promovido en proceso contencioso administrativo.</w:t>
      </w:r>
      <w:r>
        <w:tab/>
      </w:r>
      <w:r>
        <w:tab/>
      </w:r>
      <w:r>
        <w:fldChar w:fldCharType="begin"/>
      </w:r>
      <w:r>
        <w:instrText xml:space="preserve"> PAGEREF AUTO_2023_609 \h </w:instrText>
      </w:r>
      <w:r>
        <w:fldChar w:fldCharType="separate"/>
      </w:r>
      <w:r w:rsidR="00C73693">
        <w:rPr>
          <w:noProof/>
        </w:rPr>
        <w:t>2839</w:t>
      </w:r>
      <w:r>
        <w:fldChar w:fldCharType="end"/>
      </w:r>
    </w:p>
    <w:p w14:paraId="64C5A2F8" w14:textId="77777777" w:rsidR="007309D3" w:rsidRDefault="007309D3" w:rsidP="007309D3"/>
    <w:p w14:paraId="7902C7E9" w14:textId="576FB05D" w:rsidR="007309D3" w:rsidRDefault="007309D3" w:rsidP="007309D3">
      <w:pPr>
        <w:pStyle w:val="EntradandiceAuto"/>
      </w:pPr>
      <w:r>
        <w:t>Sección Tercera. Auto 610/2023, de 1 de diciembre de 2023. Acepta una abstención en el recurso de amparo 5380-2022, promovido en proceso contencioso administrativo.</w:t>
      </w:r>
      <w:r>
        <w:tab/>
      </w:r>
      <w:r>
        <w:tab/>
      </w:r>
      <w:r>
        <w:fldChar w:fldCharType="begin"/>
      </w:r>
      <w:r>
        <w:instrText xml:space="preserve"> PAGEREF AUTO_2023_610 \h </w:instrText>
      </w:r>
      <w:r>
        <w:fldChar w:fldCharType="separate"/>
      </w:r>
      <w:r w:rsidR="00C73693">
        <w:rPr>
          <w:noProof/>
        </w:rPr>
        <w:t>2841</w:t>
      </w:r>
      <w:r>
        <w:fldChar w:fldCharType="end"/>
      </w:r>
    </w:p>
    <w:p w14:paraId="72A04874" w14:textId="77777777" w:rsidR="007309D3" w:rsidRDefault="007309D3" w:rsidP="007309D3"/>
    <w:p w14:paraId="25118088" w14:textId="58402D57" w:rsidR="007309D3" w:rsidRDefault="007309D3" w:rsidP="007309D3">
      <w:pPr>
        <w:pStyle w:val="EntradandiceAuto"/>
      </w:pPr>
      <w:r>
        <w:t>Sección Tercera. Auto 611/2023, de 1 de diciembre de 2023. Acepta una abstención en el recurso de amparo 5394-2022, promovido por la entidad Accesos Ibiza, S.A., en proceso contencioso administrativo.</w:t>
      </w:r>
      <w:r>
        <w:tab/>
      </w:r>
      <w:r>
        <w:tab/>
      </w:r>
      <w:r>
        <w:fldChar w:fldCharType="begin"/>
      </w:r>
      <w:r>
        <w:instrText xml:space="preserve"> PAGEREF AUTO_2023_611 \h </w:instrText>
      </w:r>
      <w:r>
        <w:fldChar w:fldCharType="separate"/>
      </w:r>
      <w:r w:rsidR="00C73693">
        <w:rPr>
          <w:noProof/>
        </w:rPr>
        <w:t>2843</w:t>
      </w:r>
      <w:r>
        <w:fldChar w:fldCharType="end"/>
      </w:r>
    </w:p>
    <w:p w14:paraId="6DE8A278" w14:textId="77777777" w:rsidR="007309D3" w:rsidRDefault="007309D3" w:rsidP="007309D3"/>
    <w:p w14:paraId="3D8E4833" w14:textId="0C2F57EE" w:rsidR="007309D3" w:rsidRDefault="007309D3" w:rsidP="007309D3">
      <w:pPr>
        <w:pStyle w:val="EntradandiceAuto"/>
      </w:pPr>
      <w:r>
        <w:t>Sección Tercera. Auto 612/2023, de 1 de diciembre de 2023. Acepta una abstención en el recurso de amparo 6074-2022, promovido en proceso contencioso administrativo.</w:t>
      </w:r>
      <w:r>
        <w:tab/>
      </w:r>
      <w:r>
        <w:tab/>
      </w:r>
      <w:r>
        <w:fldChar w:fldCharType="begin"/>
      </w:r>
      <w:r>
        <w:instrText xml:space="preserve"> PAGEREF AUTO_2023_612 \h </w:instrText>
      </w:r>
      <w:r>
        <w:fldChar w:fldCharType="separate"/>
      </w:r>
      <w:r w:rsidR="00C73693">
        <w:rPr>
          <w:noProof/>
        </w:rPr>
        <w:t>2845</w:t>
      </w:r>
      <w:r>
        <w:fldChar w:fldCharType="end"/>
      </w:r>
    </w:p>
    <w:p w14:paraId="17F1703B" w14:textId="77777777" w:rsidR="007309D3" w:rsidRDefault="007309D3" w:rsidP="007309D3"/>
    <w:p w14:paraId="6483867F" w14:textId="196F4469" w:rsidR="007309D3" w:rsidRDefault="007309D3" w:rsidP="007309D3">
      <w:pPr>
        <w:pStyle w:val="EntradandiceAuto"/>
      </w:pPr>
      <w:r>
        <w:t>Sección Tercera. Auto 613/2023, de 1 de diciembre de 2023. Acepta una abstención en el recurso de amparo 6740-2022, promovido en proceso contencioso administrativo.</w:t>
      </w:r>
      <w:r>
        <w:tab/>
      </w:r>
      <w:r>
        <w:tab/>
      </w:r>
      <w:r>
        <w:fldChar w:fldCharType="begin"/>
      </w:r>
      <w:r>
        <w:instrText xml:space="preserve"> PAGEREF AUTO_2023_613 \h </w:instrText>
      </w:r>
      <w:r>
        <w:fldChar w:fldCharType="separate"/>
      </w:r>
      <w:r w:rsidR="00C73693">
        <w:rPr>
          <w:noProof/>
        </w:rPr>
        <w:t>2847</w:t>
      </w:r>
      <w:r>
        <w:fldChar w:fldCharType="end"/>
      </w:r>
    </w:p>
    <w:p w14:paraId="5985F4CC" w14:textId="77777777" w:rsidR="007309D3" w:rsidRDefault="007309D3" w:rsidP="007309D3"/>
    <w:p w14:paraId="24428792" w14:textId="088E84E6" w:rsidR="007309D3" w:rsidRDefault="007309D3" w:rsidP="007309D3">
      <w:pPr>
        <w:pStyle w:val="EntradandiceAuto"/>
      </w:pPr>
      <w:r>
        <w:t>Sección Tercera. Auto 614/2023, de 1 de diciembre de 2023. Acepta una abstención en el recurso de amparo 7074-2022, promovido por Acciona Saltos de Agua, S.L., en proceso contencioso administrativo.</w:t>
      </w:r>
      <w:r>
        <w:tab/>
      </w:r>
      <w:r>
        <w:tab/>
      </w:r>
      <w:r>
        <w:fldChar w:fldCharType="begin"/>
      </w:r>
      <w:r>
        <w:instrText xml:space="preserve"> PAGEREF AUTO_2023_614 \h </w:instrText>
      </w:r>
      <w:r>
        <w:fldChar w:fldCharType="separate"/>
      </w:r>
      <w:r w:rsidR="00C73693">
        <w:rPr>
          <w:noProof/>
        </w:rPr>
        <w:t>2849</w:t>
      </w:r>
      <w:r>
        <w:fldChar w:fldCharType="end"/>
      </w:r>
    </w:p>
    <w:p w14:paraId="09BB7AF2" w14:textId="77777777" w:rsidR="007309D3" w:rsidRDefault="007309D3" w:rsidP="007309D3"/>
    <w:p w14:paraId="596DD769" w14:textId="69702A9B" w:rsidR="007309D3" w:rsidRDefault="007309D3" w:rsidP="007309D3">
      <w:pPr>
        <w:pStyle w:val="EntradandiceAuto"/>
      </w:pPr>
      <w:r>
        <w:t>Sección Tercera. Auto 615/2023, de 1 de diciembre de 2023. Acepta una abstención en el recurso de amparo 7651-2022, promovido en proceso contencioso administrativo.</w:t>
      </w:r>
      <w:r>
        <w:tab/>
      </w:r>
      <w:r>
        <w:tab/>
      </w:r>
      <w:r>
        <w:fldChar w:fldCharType="begin"/>
      </w:r>
      <w:r>
        <w:instrText xml:space="preserve"> PAGEREF AUTO_2023_615 \h </w:instrText>
      </w:r>
      <w:r>
        <w:fldChar w:fldCharType="separate"/>
      </w:r>
      <w:r w:rsidR="00C73693">
        <w:rPr>
          <w:noProof/>
        </w:rPr>
        <w:t>2851</w:t>
      </w:r>
      <w:r>
        <w:fldChar w:fldCharType="end"/>
      </w:r>
    </w:p>
    <w:p w14:paraId="537D9795" w14:textId="77777777" w:rsidR="007309D3" w:rsidRDefault="007309D3" w:rsidP="007309D3"/>
    <w:p w14:paraId="04B44421" w14:textId="458B442D" w:rsidR="007309D3" w:rsidRDefault="007309D3" w:rsidP="007309D3">
      <w:pPr>
        <w:pStyle w:val="EntradandiceAuto"/>
      </w:pPr>
      <w:r>
        <w:t>Sección Tercera. Auto 616/2023, de 1 de diciembre de 2023. Acepta una abstención en el recurso de amparo 7747-2022, promovido en proceso contencioso administrativo.</w:t>
      </w:r>
      <w:r>
        <w:tab/>
      </w:r>
      <w:r>
        <w:tab/>
      </w:r>
      <w:r>
        <w:fldChar w:fldCharType="begin"/>
      </w:r>
      <w:r>
        <w:instrText xml:space="preserve"> PAGEREF AUTO_2023_616 \h </w:instrText>
      </w:r>
      <w:r>
        <w:fldChar w:fldCharType="separate"/>
      </w:r>
      <w:r w:rsidR="00C73693">
        <w:rPr>
          <w:noProof/>
        </w:rPr>
        <w:t>2853</w:t>
      </w:r>
      <w:r>
        <w:fldChar w:fldCharType="end"/>
      </w:r>
    </w:p>
    <w:p w14:paraId="6BD12968" w14:textId="77777777" w:rsidR="007309D3" w:rsidRDefault="007309D3" w:rsidP="007309D3"/>
    <w:p w14:paraId="1CB26E84" w14:textId="01B61A75" w:rsidR="007309D3" w:rsidRDefault="007309D3" w:rsidP="007309D3">
      <w:pPr>
        <w:pStyle w:val="EntradandiceAuto"/>
      </w:pPr>
      <w:r>
        <w:t>Sección Tercera. Auto 617/2023, de 1 de diciembre de 2023. Acepta una abstención en el recurso de amparo 7934-2022, promovido en proceso contencioso administrativo.</w:t>
      </w:r>
      <w:r>
        <w:tab/>
      </w:r>
      <w:r>
        <w:tab/>
      </w:r>
      <w:r>
        <w:fldChar w:fldCharType="begin"/>
      </w:r>
      <w:r>
        <w:instrText xml:space="preserve"> PAGEREF AUTO_2023_617 \h </w:instrText>
      </w:r>
      <w:r>
        <w:fldChar w:fldCharType="separate"/>
      </w:r>
      <w:r w:rsidR="00C73693">
        <w:rPr>
          <w:noProof/>
        </w:rPr>
        <w:t>2855</w:t>
      </w:r>
      <w:r>
        <w:fldChar w:fldCharType="end"/>
      </w:r>
    </w:p>
    <w:p w14:paraId="35412C2F" w14:textId="77777777" w:rsidR="007309D3" w:rsidRDefault="007309D3" w:rsidP="007309D3"/>
    <w:p w14:paraId="2FF06EF2" w14:textId="21CE7FD7" w:rsidR="007309D3" w:rsidRDefault="007309D3" w:rsidP="007309D3">
      <w:pPr>
        <w:pStyle w:val="EntradandiceAuto"/>
      </w:pPr>
      <w:r>
        <w:t>Sección Tercera. Auto 618/2023, de 1 de diciembre de 2023. Acepta una abstención en el recurso de amparo 8484-2022, promovido en proceso contencioso administrativo.</w:t>
      </w:r>
      <w:r>
        <w:tab/>
      </w:r>
      <w:r>
        <w:tab/>
      </w:r>
      <w:r>
        <w:fldChar w:fldCharType="begin"/>
      </w:r>
      <w:r>
        <w:instrText xml:space="preserve"> PAGEREF AUTO_2023_618 \h </w:instrText>
      </w:r>
      <w:r>
        <w:fldChar w:fldCharType="separate"/>
      </w:r>
      <w:r w:rsidR="00C73693">
        <w:rPr>
          <w:noProof/>
        </w:rPr>
        <w:t>2857</w:t>
      </w:r>
      <w:r>
        <w:fldChar w:fldCharType="end"/>
      </w:r>
    </w:p>
    <w:p w14:paraId="20A07534" w14:textId="77777777" w:rsidR="007309D3" w:rsidRDefault="007309D3" w:rsidP="007309D3"/>
    <w:p w14:paraId="2B503C29" w14:textId="6A909E5E" w:rsidR="007309D3" w:rsidRDefault="007309D3" w:rsidP="007309D3">
      <w:pPr>
        <w:pStyle w:val="EntradandiceAuto"/>
      </w:pPr>
      <w:r>
        <w:t>Sección Tercera. Auto 619/2023, de 1 de diciembre de 2023. Acepta una abstención en el recurso de amparo 8534-2022, promovido en proceso contencioso administrativo.</w:t>
      </w:r>
      <w:r>
        <w:tab/>
      </w:r>
      <w:r>
        <w:tab/>
      </w:r>
      <w:r>
        <w:fldChar w:fldCharType="begin"/>
      </w:r>
      <w:r>
        <w:instrText xml:space="preserve"> PAGEREF AUTO_2023_619 \h </w:instrText>
      </w:r>
      <w:r>
        <w:fldChar w:fldCharType="separate"/>
      </w:r>
      <w:r w:rsidR="00C73693">
        <w:rPr>
          <w:noProof/>
        </w:rPr>
        <w:t>2859</w:t>
      </w:r>
      <w:r>
        <w:fldChar w:fldCharType="end"/>
      </w:r>
    </w:p>
    <w:p w14:paraId="1F3409C6" w14:textId="77777777" w:rsidR="007309D3" w:rsidRDefault="007309D3" w:rsidP="007309D3"/>
    <w:p w14:paraId="0CA6F3FE" w14:textId="4B30BCD3" w:rsidR="007309D3" w:rsidRDefault="007309D3" w:rsidP="007309D3">
      <w:pPr>
        <w:pStyle w:val="EntradandiceAuto"/>
      </w:pPr>
      <w:r>
        <w:t>Sección Tercera. Auto 620/2023, de 1 de diciembre de 2023. Acepta una abstención en el recurso de amparo 3148-2023, promovido por la entidad Accorinvest Spain, S.A., en proceso contencioso administrativo.</w:t>
      </w:r>
      <w:r>
        <w:tab/>
      </w:r>
      <w:r>
        <w:tab/>
      </w:r>
      <w:r>
        <w:fldChar w:fldCharType="begin"/>
      </w:r>
      <w:r>
        <w:instrText xml:space="preserve"> PAGEREF AUTO_2023_620 \h </w:instrText>
      </w:r>
      <w:r>
        <w:fldChar w:fldCharType="separate"/>
      </w:r>
      <w:r w:rsidR="00C73693">
        <w:rPr>
          <w:noProof/>
        </w:rPr>
        <w:t>2861</w:t>
      </w:r>
      <w:r>
        <w:fldChar w:fldCharType="end"/>
      </w:r>
    </w:p>
    <w:p w14:paraId="7ACF5D5D" w14:textId="77777777" w:rsidR="007309D3" w:rsidRDefault="007309D3" w:rsidP="007309D3"/>
    <w:p w14:paraId="1C63A0C9" w14:textId="5C520581" w:rsidR="007309D3" w:rsidRDefault="007309D3" w:rsidP="007309D3">
      <w:pPr>
        <w:pStyle w:val="EntradandiceAuto"/>
      </w:pPr>
      <w:r>
        <w:t>Sección Tercera. Auto 621/2023, de 1 de diciembre de 2023. Acepta una abstención en el recurso de amparo 3172-2023, promovido en proceso contencioso administrativo.</w:t>
      </w:r>
      <w:r>
        <w:tab/>
      </w:r>
      <w:r>
        <w:tab/>
      </w:r>
      <w:r>
        <w:fldChar w:fldCharType="begin"/>
      </w:r>
      <w:r>
        <w:instrText xml:space="preserve"> PAGEREF AUTO_2023_621 \h </w:instrText>
      </w:r>
      <w:r>
        <w:fldChar w:fldCharType="separate"/>
      </w:r>
      <w:r w:rsidR="00C73693">
        <w:rPr>
          <w:noProof/>
        </w:rPr>
        <w:t>2863</w:t>
      </w:r>
      <w:r>
        <w:fldChar w:fldCharType="end"/>
      </w:r>
    </w:p>
    <w:p w14:paraId="0CB93C02" w14:textId="77777777" w:rsidR="007309D3" w:rsidRDefault="007309D3" w:rsidP="007309D3"/>
    <w:p w14:paraId="4EFE5C25" w14:textId="03EE351B" w:rsidR="007309D3" w:rsidRDefault="007309D3" w:rsidP="007309D3">
      <w:pPr>
        <w:pStyle w:val="EntradandiceAuto"/>
      </w:pPr>
      <w:r>
        <w:t>Sección Tercera. Auto 622/2023, de 4 de diciembre de 2023. Acepta una abstención en el recurso de amparo 4706-2022, promovido en proceso contencioso administrativo.</w:t>
      </w:r>
      <w:r>
        <w:tab/>
      </w:r>
      <w:r>
        <w:tab/>
      </w:r>
      <w:r>
        <w:fldChar w:fldCharType="begin"/>
      </w:r>
      <w:r>
        <w:instrText xml:space="preserve"> PAGEREF AUTO_2023_622 \h </w:instrText>
      </w:r>
      <w:r>
        <w:fldChar w:fldCharType="separate"/>
      </w:r>
      <w:r w:rsidR="00C73693">
        <w:rPr>
          <w:noProof/>
        </w:rPr>
        <w:t>2865</w:t>
      </w:r>
      <w:r>
        <w:fldChar w:fldCharType="end"/>
      </w:r>
    </w:p>
    <w:p w14:paraId="4D8AF72B" w14:textId="77777777" w:rsidR="007309D3" w:rsidRDefault="007309D3" w:rsidP="007309D3"/>
    <w:p w14:paraId="7F30C2CE" w14:textId="6C28513F" w:rsidR="007309D3" w:rsidRDefault="007309D3" w:rsidP="007309D3">
      <w:pPr>
        <w:pStyle w:val="EntradandiceAuto"/>
      </w:pPr>
      <w:r>
        <w:t>Sección Tercera. Auto 623/2023, de 4 de diciembre de 2023. Acepta una abstención en el recurso de amparo 4850-2022, promovido en proceso contencioso administrativo.</w:t>
      </w:r>
      <w:r>
        <w:tab/>
      </w:r>
      <w:r>
        <w:tab/>
      </w:r>
      <w:r>
        <w:fldChar w:fldCharType="begin"/>
      </w:r>
      <w:r>
        <w:instrText xml:space="preserve"> PAGEREF AUTO_2023_623 \h </w:instrText>
      </w:r>
      <w:r>
        <w:fldChar w:fldCharType="separate"/>
      </w:r>
      <w:r w:rsidR="00C73693">
        <w:rPr>
          <w:noProof/>
        </w:rPr>
        <w:t>2867</w:t>
      </w:r>
      <w:r>
        <w:fldChar w:fldCharType="end"/>
      </w:r>
    </w:p>
    <w:p w14:paraId="786360B4" w14:textId="77777777" w:rsidR="007309D3" w:rsidRDefault="007309D3" w:rsidP="007309D3"/>
    <w:p w14:paraId="6E706D40" w14:textId="64F64F96" w:rsidR="007309D3" w:rsidRDefault="007309D3" w:rsidP="007309D3">
      <w:pPr>
        <w:pStyle w:val="EntradandiceAuto"/>
      </w:pPr>
      <w:r>
        <w:t>Sección Tercera. Auto 624/2023, de 4 de diciembre de 2023. Acepta una abstención en el recurso de amparo 7603-2022, promovido en proceso contencioso administrativo.</w:t>
      </w:r>
      <w:r>
        <w:tab/>
      </w:r>
      <w:r>
        <w:tab/>
      </w:r>
      <w:r>
        <w:fldChar w:fldCharType="begin"/>
      </w:r>
      <w:r>
        <w:instrText xml:space="preserve"> PAGEREF AUTO_2023_624 \h </w:instrText>
      </w:r>
      <w:r>
        <w:fldChar w:fldCharType="separate"/>
      </w:r>
      <w:r w:rsidR="00C73693">
        <w:rPr>
          <w:noProof/>
        </w:rPr>
        <w:t>2869</w:t>
      </w:r>
      <w:r>
        <w:fldChar w:fldCharType="end"/>
      </w:r>
    </w:p>
    <w:p w14:paraId="5285CB5D" w14:textId="77777777" w:rsidR="007309D3" w:rsidRDefault="007309D3" w:rsidP="007309D3"/>
    <w:p w14:paraId="2214C638" w14:textId="479C1155" w:rsidR="007309D3" w:rsidRDefault="007309D3" w:rsidP="007309D3">
      <w:pPr>
        <w:pStyle w:val="EntradandiceAuto"/>
      </w:pPr>
      <w:r>
        <w:t>Sección Tercera. Auto 625/2023, de 4 de diciembre de 2023. Acepta una abstención en el recurso de amparo 8100-2022, promovido en proceso contencioso administrativo.</w:t>
      </w:r>
      <w:r>
        <w:tab/>
      </w:r>
      <w:r>
        <w:tab/>
      </w:r>
      <w:r>
        <w:fldChar w:fldCharType="begin"/>
      </w:r>
      <w:r>
        <w:instrText xml:space="preserve"> PAGEREF AUTO_2023_625 \h </w:instrText>
      </w:r>
      <w:r>
        <w:fldChar w:fldCharType="separate"/>
      </w:r>
      <w:r w:rsidR="00C73693">
        <w:rPr>
          <w:noProof/>
        </w:rPr>
        <w:t>2871</w:t>
      </w:r>
      <w:r>
        <w:fldChar w:fldCharType="end"/>
      </w:r>
    </w:p>
    <w:p w14:paraId="62D0F08D" w14:textId="77777777" w:rsidR="007309D3" w:rsidRDefault="007309D3" w:rsidP="007309D3"/>
    <w:p w14:paraId="023E1FD8" w14:textId="5E643752" w:rsidR="007309D3" w:rsidRDefault="007309D3" w:rsidP="007309D3">
      <w:pPr>
        <w:pStyle w:val="EntradandiceAuto"/>
      </w:pPr>
      <w:r>
        <w:t>Sección Tercera. Auto 626/2023, de 4 de diciembre de 2023. Acepta una abstención en el recurso de amparo 8291-2022, promovido en proceso contencioso administrativo.</w:t>
      </w:r>
      <w:r>
        <w:tab/>
      </w:r>
      <w:r>
        <w:tab/>
      </w:r>
      <w:r>
        <w:fldChar w:fldCharType="begin"/>
      </w:r>
      <w:r>
        <w:instrText xml:space="preserve"> PAGEREF AUTO_2023_626 \h </w:instrText>
      </w:r>
      <w:r>
        <w:fldChar w:fldCharType="separate"/>
      </w:r>
      <w:r w:rsidR="00C73693">
        <w:rPr>
          <w:noProof/>
        </w:rPr>
        <w:t>2873</w:t>
      </w:r>
      <w:r>
        <w:fldChar w:fldCharType="end"/>
      </w:r>
    </w:p>
    <w:p w14:paraId="2CD6AAA0" w14:textId="77777777" w:rsidR="007309D3" w:rsidRDefault="007309D3" w:rsidP="007309D3"/>
    <w:p w14:paraId="2B1FD7DB" w14:textId="513E7299" w:rsidR="007309D3" w:rsidRDefault="007309D3" w:rsidP="007309D3">
      <w:pPr>
        <w:pStyle w:val="EntradandiceAuto"/>
      </w:pPr>
      <w:r>
        <w:t>Sección Tercera. Auto 627/2023, de 4 de diciembre de 2023. Acepta una abstención en el recurso de amparo 8474-2022, promovido en proceso contencioso administrativo.</w:t>
      </w:r>
      <w:r>
        <w:tab/>
      </w:r>
      <w:r>
        <w:tab/>
      </w:r>
      <w:r>
        <w:fldChar w:fldCharType="begin"/>
      </w:r>
      <w:r>
        <w:instrText xml:space="preserve"> PAGEREF AUTO_2023_627 \h </w:instrText>
      </w:r>
      <w:r>
        <w:fldChar w:fldCharType="separate"/>
      </w:r>
      <w:r w:rsidR="00C73693">
        <w:rPr>
          <w:noProof/>
        </w:rPr>
        <w:t>2875</w:t>
      </w:r>
      <w:r>
        <w:fldChar w:fldCharType="end"/>
      </w:r>
    </w:p>
    <w:p w14:paraId="6E56EB08" w14:textId="77777777" w:rsidR="007309D3" w:rsidRDefault="007309D3" w:rsidP="007309D3"/>
    <w:p w14:paraId="2BB5589C" w14:textId="3AF71577" w:rsidR="007309D3" w:rsidRDefault="007309D3" w:rsidP="007309D3">
      <w:pPr>
        <w:pStyle w:val="EntradandiceAuto"/>
      </w:pPr>
      <w:r>
        <w:t>Sección Tercera. Auto 628/2023, de 4 de diciembre de 2023. Acepta una abstención en el recurso de amparo 2808-2023, promovido en proceso contencioso administrativo.</w:t>
      </w:r>
      <w:r>
        <w:tab/>
      </w:r>
      <w:r>
        <w:tab/>
      </w:r>
      <w:r>
        <w:fldChar w:fldCharType="begin"/>
      </w:r>
      <w:r>
        <w:instrText xml:space="preserve"> PAGEREF AUTO_2023_628 \h </w:instrText>
      </w:r>
      <w:r>
        <w:fldChar w:fldCharType="separate"/>
      </w:r>
      <w:r w:rsidR="00C73693">
        <w:rPr>
          <w:noProof/>
        </w:rPr>
        <w:t>2877</w:t>
      </w:r>
      <w:r>
        <w:fldChar w:fldCharType="end"/>
      </w:r>
    </w:p>
    <w:p w14:paraId="35ECEF5E" w14:textId="77777777" w:rsidR="007309D3" w:rsidRDefault="007309D3" w:rsidP="007309D3"/>
    <w:p w14:paraId="19B3ABBB" w14:textId="62E0C908" w:rsidR="007309D3" w:rsidRDefault="007309D3" w:rsidP="007309D3">
      <w:pPr>
        <w:pStyle w:val="EntradandiceAuto"/>
      </w:pPr>
      <w:r>
        <w:t>Sección Tercera. Auto 629/2023, de 4 de diciembre de 2023. Acepta una abstención en el recurso de amparo 3001-2023, promovido en proceso contencioso administrativo.</w:t>
      </w:r>
      <w:r>
        <w:tab/>
      </w:r>
      <w:r>
        <w:tab/>
      </w:r>
      <w:r>
        <w:fldChar w:fldCharType="begin"/>
      </w:r>
      <w:r>
        <w:instrText xml:space="preserve"> PAGEREF AUTO_2023_629 \h </w:instrText>
      </w:r>
      <w:r>
        <w:fldChar w:fldCharType="separate"/>
      </w:r>
      <w:r w:rsidR="00C73693">
        <w:rPr>
          <w:noProof/>
        </w:rPr>
        <w:t>2879</w:t>
      </w:r>
      <w:r>
        <w:fldChar w:fldCharType="end"/>
      </w:r>
    </w:p>
    <w:p w14:paraId="4F377C2D" w14:textId="77777777" w:rsidR="007309D3" w:rsidRDefault="007309D3" w:rsidP="007309D3"/>
    <w:p w14:paraId="44C14A9C" w14:textId="148F6B4F" w:rsidR="007309D3" w:rsidRDefault="007309D3" w:rsidP="007309D3">
      <w:pPr>
        <w:pStyle w:val="EntradandiceAuto"/>
      </w:pPr>
      <w:r>
        <w:t>Sección Tercera. Auto 630/2023, de 4 de diciembre de 2023. Acepta una abstención en el recurso de amparo 3025-2023, promovido en proceso contencioso administrativo.</w:t>
      </w:r>
      <w:r>
        <w:tab/>
      </w:r>
      <w:r>
        <w:tab/>
      </w:r>
      <w:r>
        <w:fldChar w:fldCharType="begin"/>
      </w:r>
      <w:r>
        <w:instrText xml:space="preserve"> PAGEREF AUTO_2023_630 \h </w:instrText>
      </w:r>
      <w:r>
        <w:fldChar w:fldCharType="separate"/>
      </w:r>
      <w:r w:rsidR="00C73693">
        <w:rPr>
          <w:noProof/>
        </w:rPr>
        <w:t>2881</w:t>
      </w:r>
      <w:r>
        <w:fldChar w:fldCharType="end"/>
      </w:r>
    </w:p>
    <w:p w14:paraId="2EF313EE" w14:textId="77777777" w:rsidR="007309D3" w:rsidRDefault="007309D3" w:rsidP="007309D3"/>
    <w:p w14:paraId="4D0608A2" w14:textId="757239BB" w:rsidR="007309D3" w:rsidRDefault="007309D3" w:rsidP="007309D3">
      <w:pPr>
        <w:pStyle w:val="EntradandiceAuto"/>
      </w:pPr>
      <w:r>
        <w:t>Sección Tercera. Auto 631/2023, de 4 de diciembre de 2023. Acepta una abstención en el recurso de amparo 3027-2023, promovido en proceso contencioso administrativo.</w:t>
      </w:r>
      <w:r>
        <w:tab/>
      </w:r>
      <w:r>
        <w:tab/>
      </w:r>
      <w:r>
        <w:fldChar w:fldCharType="begin"/>
      </w:r>
      <w:r>
        <w:instrText xml:space="preserve"> PAGEREF AUTO_2023_631 \h </w:instrText>
      </w:r>
      <w:r>
        <w:fldChar w:fldCharType="separate"/>
      </w:r>
      <w:r w:rsidR="00C73693">
        <w:rPr>
          <w:noProof/>
        </w:rPr>
        <w:t>2883</w:t>
      </w:r>
      <w:r>
        <w:fldChar w:fldCharType="end"/>
      </w:r>
    </w:p>
    <w:p w14:paraId="5121CA70" w14:textId="77777777" w:rsidR="007309D3" w:rsidRDefault="007309D3" w:rsidP="007309D3"/>
    <w:p w14:paraId="1EF7F2A8" w14:textId="1DBB8C44" w:rsidR="007309D3" w:rsidRDefault="007309D3" w:rsidP="007309D3">
      <w:pPr>
        <w:pStyle w:val="EntradandiceAuto"/>
      </w:pPr>
      <w:r>
        <w:t>Sección Tercera. Auto 632/2023, de 4 de diciembre de 2023. Acepta una abstención en el recurso de amparo 3037-2023, promovido en proceso contencioso administrativo.</w:t>
      </w:r>
      <w:r>
        <w:tab/>
      </w:r>
      <w:r>
        <w:tab/>
      </w:r>
      <w:r>
        <w:fldChar w:fldCharType="begin"/>
      </w:r>
      <w:r>
        <w:instrText xml:space="preserve"> PAGEREF AUTO_2023_632 \h </w:instrText>
      </w:r>
      <w:r>
        <w:fldChar w:fldCharType="separate"/>
      </w:r>
      <w:r w:rsidR="00C73693">
        <w:rPr>
          <w:noProof/>
        </w:rPr>
        <w:t>2885</w:t>
      </w:r>
      <w:r>
        <w:fldChar w:fldCharType="end"/>
      </w:r>
    </w:p>
    <w:p w14:paraId="0F4CA74B" w14:textId="77777777" w:rsidR="007309D3" w:rsidRDefault="007309D3" w:rsidP="007309D3"/>
    <w:p w14:paraId="55E641EE" w14:textId="1C5D84ED" w:rsidR="007309D3" w:rsidRDefault="007309D3" w:rsidP="007309D3">
      <w:pPr>
        <w:pStyle w:val="EntradandiceAuto"/>
      </w:pPr>
      <w:r>
        <w:t>Sección Tercera. Auto 633/2023, de 4 de diciembre de 2023. Acepta una abstención en el recurso de amparo 3123-2023, promovido en proceso contencioso administrativo.</w:t>
      </w:r>
      <w:r>
        <w:tab/>
      </w:r>
      <w:r>
        <w:tab/>
      </w:r>
      <w:r>
        <w:fldChar w:fldCharType="begin"/>
      </w:r>
      <w:r>
        <w:instrText xml:space="preserve"> PAGEREF AUTO_2023_633 \h </w:instrText>
      </w:r>
      <w:r>
        <w:fldChar w:fldCharType="separate"/>
      </w:r>
      <w:r w:rsidR="00C73693">
        <w:rPr>
          <w:noProof/>
        </w:rPr>
        <w:t>2887</w:t>
      </w:r>
      <w:r>
        <w:fldChar w:fldCharType="end"/>
      </w:r>
    </w:p>
    <w:p w14:paraId="2DFA15B1" w14:textId="77777777" w:rsidR="007309D3" w:rsidRDefault="007309D3" w:rsidP="007309D3"/>
    <w:p w14:paraId="7C2C9EE9" w14:textId="727D37DF" w:rsidR="007309D3" w:rsidRDefault="007309D3" w:rsidP="007309D3">
      <w:pPr>
        <w:pStyle w:val="EntradandiceAuto"/>
      </w:pPr>
      <w:r>
        <w:t>Sección Tercera. Auto 634/2023, de 4 de diciembre de 2023. Acepta una abstención en el recurso de amparo 3210-2023, promovido en proceso contencioso administrativo.</w:t>
      </w:r>
      <w:r>
        <w:tab/>
      </w:r>
      <w:r>
        <w:tab/>
      </w:r>
      <w:r>
        <w:fldChar w:fldCharType="begin"/>
      </w:r>
      <w:r>
        <w:instrText xml:space="preserve"> PAGEREF AUTO_2023_634 \h </w:instrText>
      </w:r>
      <w:r>
        <w:fldChar w:fldCharType="separate"/>
      </w:r>
      <w:r w:rsidR="00C73693">
        <w:rPr>
          <w:noProof/>
        </w:rPr>
        <w:t>2889</w:t>
      </w:r>
      <w:r>
        <w:fldChar w:fldCharType="end"/>
      </w:r>
    </w:p>
    <w:p w14:paraId="449D00D7" w14:textId="77777777" w:rsidR="007309D3" w:rsidRDefault="007309D3" w:rsidP="007309D3"/>
    <w:p w14:paraId="66EFA884" w14:textId="3960F01C" w:rsidR="007309D3" w:rsidRDefault="007309D3" w:rsidP="007309D3">
      <w:pPr>
        <w:pStyle w:val="EntradandiceAuto"/>
      </w:pPr>
      <w:r>
        <w:t>Sección Tercera. Auto 635/2023, de 4 de diciembre de 2023. Acepta una abstención en el recurso de amparo 3291-2023, promovido en proceso contencioso administrativo.</w:t>
      </w:r>
      <w:r>
        <w:tab/>
      </w:r>
      <w:r>
        <w:tab/>
      </w:r>
      <w:r>
        <w:fldChar w:fldCharType="begin"/>
      </w:r>
      <w:r>
        <w:instrText xml:space="preserve"> PAGEREF AUTO_2023_635 \h </w:instrText>
      </w:r>
      <w:r>
        <w:fldChar w:fldCharType="separate"/>
      </w:r>
      <w:r w:rsidR="00C73693">
        <w:rPr>
          <w:noProof/>
        </w:rPr>
        <w:t>2891</w:t>
      </w:r>
      <w:r>
        <w:fldChar w:fldCharType="end"/>
      </w:r>
    </w:p>
    <w:p w14:paraId="1D9B78F1" w14:textId="77777777" w:rsidR="007309D3" w:rsidRDefault="007309D3" w:rsidP="007309D3"/>
    <w:p w14:paraId="5B25CBD7" w14:textId="271F2795" w:rsidR="007309D3" w:rsidRDefault="007309D3" w:rsidP="007309D3">
      <w:pPr>
        <w:pStyle w:val="EntradandiceAuto"/>
      </w:pPr>
      <w:r>
        <w:t>Sección Tercera. Auto 636/2023, de 4 de diciembre de 2023. Acepta una abstención en el recurso de amparo 3293-2023, promovido en proceso contencioso administrativo.</w:t>
      </w:r>
      <w:r>
        <w:tab/>
      </w:r>
      <w:r>
        <w:tab/>
      </w:r>
      <w:r>
        <w:fldChar w:fldCharType="begin"/>
      </w:r>
      <w:r>
        <w:instrText xml:space="preserve"> PAGEREF AUTO_2023_636 \h </w:instrText>
      </w:r>
      <w:r>
        <w:fldChar w:fldCharType="separate"/>
      </w:r>
      <w:r w:rsidR="00C73693">
        <w:rPr>
          <w:noProof/>
        </w:rPr>
        <w:t>2893</w:t>
      </w:r>
      <w:r>
        <w:fldChar w:fldCharType="end"/>
      </w:r>
    </w:p>
    <w:p w14:paraId="6932E4CA" w14:textId="77777777" w:rsidR="007309D3" w:rsidRDefault="007309D3" w:rsidP="007309D3"/>
    <w:p w14:paraId="0E8EDEEE" w14:textId="7C3BFE0D" w:rsidR="007309D3" w:rsidRDefault="007309D3" w:rsidP="007309D3">
      <w:pPr>
        <w:pStyle w:val="EntradandiceAuto"/>
      </w:pPr>
      <w:r>
        <w:t>Sección Tercera. Auto 637/2023, de 4 de diciembre de 2023. Acepta una abstención en el recurso de amparo 3389-2023, promovido en proceso contencioso administrativo.</w:t>
      </w:r>
      <w:r>
        <w:tab/>
      </w:r>
      <w:r>
        <w:tab/>
      </w:r>
      <w:r>
        <w:fldChar w:fldCharType="begin"/>
      </w:r>
      <w:r>
        <w:instrText xml:space="preserve"> PAGEREF AUTO_2023_637 \h </w:instrText>
      </w:r>
      <w:r>
        <w:fldChar w:fldCharType="separate"/>
      </w:r>
      <w:r w:rsidR="00C73693">
        <w:rPr>
          <w:noProof/>
        </w:rPr>
        <w:t>2895</w:t>
      </w:r>
      <w:r>
        <w:fldChar w:fldCharType="end"/>
      </w:r>
    </w:p>
    <w:p w14:paraId="0156BE6E" w14:textId="77777777" w:rsidR="007309D3" w:rsidRDefault="007309D3" w:rsidP="007309D3"/>
    <w:p w14:paraId="34B723FA" w14:textId="7FD72615" w:rsidR="007309D3" w:rsidRDefault="007309D3" w:rsidP="007309D3">
      <w:pPr>
        <w:pStyle w:val="EntradandiceAuto"/>
      </w:pPr>
      <w:r>
        <w:t>Sección Tercera. Auto 638/2023, de 4 de diciembre de 2023. Acepta una abstención en el recurso de amparo 3423-2023, promovido en proceso contencioso administrativo.</w:t>
      </w:r>
      <w:r>
        <w:tab/>
      </w:r>
      <w:r>
        <w:tab/>
      </w:r>
      <w:r>
        <w:fldChar w:fldCharType="begin"/>
      </w:r>
      <w:r>
        <w:instrText xml:space="preserve"> PAGEREF AUTO_2023_638 \h </w:instrText>
      </w:r>
      <w:r>
        <w:fldChar w:fldCharType="separate"/>
      </w:r>
      <w:r w:rsidR="00C73693">
        <w:rPr>
          <w:noProof/>
        </w:rPr>
        <w:t>2897</w:t>
      </w:r>
      <w:r>
        <w:fldChar w:fldCharType="end"/>
      </w:r>
    </w:p>
    <w:p w14:paraId="2249C294" w14:textId="77777777" w:rsidR="007309D3" w:rsidRDefault="007309D3" w:rsidP="007309D3"/>
    <w:p w14:paraId="556AA499" w14:textId="64EDB66F" w:rsidR="007309D3" w:rsidRDefault="007309D3" w:rsidP="007309D3">
      <w:pPr>
        <w:pStyle w:val="EntradandiceAuto"/>
      </w:pPr>
      <w:r>
        <w:t>Sección Tercera. Auto 639/2023, de 4 de diciembre de 2023. Acepta una abstención en el recurso de amparo 3476-2023, promovido en proceso contencioso administrativo.</w:t>
      </w:r>
      <w:r>
        <w:tab/>
      </w:r>
      <w:r>
        <w:tab/>
      </w:r>
      <w:r>
        <w:fldChar w:fldCharType="begin"/>
      </w:r>
      <w:r>
        <w:instrText xml:space="preserve"> PAGEREF AUTO_2023_639 \h </w:instrText>
      </w:r>
      <w:r>
        <w:fldChar w:fldCharType="separate"/>
      </w:r>
      <w:r w:rsidR="00C73693">
        <w:rPr>
          <w:noProof/>
        </w:rPr>
        <w:t>2899</w:t>
      </w:r>
      <w:r>
        <w:fldChar w:fldCharType="end"/>
      </w:r>
    </w:p>
    <w:p w14:paraId="0432497B" w14:textId="77777777" w:rsidR="007309D3" w:rsidRDefault="007309D3" w:rsidP="007309D3"/>
    <w:p w14:paraId="14B2AED2" w14:textId="6012EDD2" w:rsidR="007309D3" w:rsidRDefault="007309D3" w:rsidP="007309D3">
      <w:pPr>
        <w:pStyle w:val="EntradandiceAuto"/>
      </w:pPr>
      <w:r>
        <w:t>Sección Tercera. Auto 640/2023, de 11 de diciembre de 2023. Acepta una abstención en el recurso de amparo 1152-2022, promovido por la entidad RHL Hamburger Lloyd Tanker GmbH &amp; CO KG, en proceso contencioso administrativo.</w:t>
      </w:r>
      <w:r>
        <w:tab/>
      </w:r>
      <w:r>
        <w:tab/>
      </w:r>
      <w:r>
        <w:fldChar w:fldCharType="begin"/>
      </w:r>
      <w:r>
        <w:instrText xml:space="preserve"> PAGEREF AUTO_2023_640 \h </w:instrText>
      </w:r>
      <w:r>
        <w:fldChar w:fldCharType="separate"/>
      </w:r>
      <w:r w:rsidR="00C73693">
        <w:rPr>
          <w:noProof/>
        </w:rPr>
        <w:t>2901</w:t>
      </w:r>
      <w:r>
        <w:fldChar w:fldCharType="end"/>
      </w:r>
    </w:p>
    <w:p w14:paraId="53986745" w14:textId="77777777" w:rsidR="007309D3" w:rsidRDefault="007309D3" w:rsidP="007309D3"/>
    <w:p w14:paraId="0D26748C" w14:textId="4BFB4254" w:rsidR="007309D3" w:rsidRDefault="007309D3" w:rsidP="007309D3">
      <w:pPr>
        <w:pStyle w:val="EntradandiceAuto"/>
      </w:pPr>
      <w:r>
        <w:t>Sección Tercera. Auto 641/2023, de 11 de diciembre de 2023. Acepta una abstención en el recurso de amparo 1782-2022, promovido en proceso contencioso administrativo.</w:t>
      </w:r>
      <w:r>
        <w:tab/>
      </w:r>
      <w:r>
        <w:tab/>
      </w:r>
      <w:r>
        <w:fldChar w:fldCharType="begin"/>
      </w:r>
      <w:r>
        <w:instrText xml:space="preserve"> PAGEREF AUTO_2023_641 \h </w:instrText>
      </w:r>
      <w:r>
        <w:fldChar w:fldCharType="separate"/>
      </w:r>
      <w:r w:rsidR="00C73693">
        <w:rPr>
          <w:noProof/>
        </w:rPr>
        <w:t>2903</w:t>
      </w:r>
      <w:r>
        <w:fldChar w:fldCharType="end"/>
      </w:r>
    </w:p>
    <w:p w14:paraId="6C557C15" w14:textId="77777777" w:rsidR="007309D3" w:rsidRDefault="007309D3" w:rsidP="007309D3"/>
    <w:p w14:paraId="79C292E8" w14:textId="20BC6DF0" w:rsidR="007309D3" w:rsidRDefault="007309D3" w:rsidP="007309D3">
      <w:pPr>
        <w:pStyle w:val="EntradandiceAuto"/>
      </w:pPr>
      <w:r>
        <w:t>Sección Tercera. Auto 642/2023, de 11 de diciembre de 2023. Acepta una abstención en el recurso de amparo 2741-2022, promovido en proceso contencioso administrativo.</w:t>
      </w:r>
      <w:r>
        <w:tab/>
      </w:r>
      <w:r>
        <w:tab/>
      </w:r>
      <w:r>
        <w:fldChar w:fldCharType="begin"/>
      </w:r>
      <w:r>
        <w:instrText xml:space="preserve"> PAGEREF AUTO_2023_642 \h </w:instrText>
      </w:r>
      <w:r>
        <w:fldChar w:fldCharType="separate"/>
      </w:r>
      <w:r w:rsidR="00C73693">
        <w:rPr>
          <w:noProof/>
        </w:rPr>
        <w:t>2905</w:t>
      </w:r>
      <w:r>
        <w:fldChar w:fldCharType="end"/>
      </w:r>
    </w:p>
    <w:p w14:paraId="12C4778E" w14:textId="77777777" w:rsidR="007309D3" w:rsidRDefault="007309D3" w:rsidP="007309D3"/>
    <w:p w14:paraId="0850D326" w14:textId="5C68C0AA" w:rsidR="007309D3" w:rsidRDefault="007309D3" w:rsidP="007309D3">
      <w:pPr>
        <w:pStyle w:val="EntradandiceAuto"/>
      </w:pPr>
      <w:r>
        <w:t>Sección Tercera. Auto 643/2023, de 11 de diciembre de 2023. Acepta una abstención en el recurso de amparo 4017-2022, promovido en proceso contencioso administrativo.</w:t>
      </w:r>
      <w:r>
        <w:tab/>
      </w:r>
      <w:r>
        <w:tab/>
      </w:r>
      <w:r>
        <w:fldChar w:fldCharType="begin"/>
      </w:r>
      <w:r>
        <w:instrText xml:space="preserve"> PAGEREF AUTO_2023_643 \h </w:instrText>
      </w:r>
      <w:r>
        <w:fldChar w:fldCharType="separate"/>
      </w:r>
      <w:r w:rsidR="00C73693">
        <w:rPr>
          <w:noProof/>
        </w:rPr>
        <w:t>2907</w:t>
      </w:r>
      <w:r>
        <w:fldChar w:fldCharType="end"/>
      </w:r>
    </w:p>
    <w:p w14:paraId="0931714D" w14:textId="77777777" w:rsidR="007309D3" w:rsidRDefault="007309D3" w:rsidP="007309D3"/>
    <w:p w14:paraId="76AF5B6E" w14:textId="50D2F30A" w:rsidR="007309D3" w:rsidRDefault="007309D3" w:rsidP="007309D3">
      <w:pPr>
        <w:pStyle w:val="EntradandiceAuto"/>
      </w:pPr>
      <w:r>
        <w:t>Sección Tercera. Auto 644/2023, de 11 de diciembre de 2023. Acepta una abstención en el recurso de amparo 4153-2022, promovido en proceso contencioso administrativo.</w:t>
      </w:r>
      <w:r>
        <w:tab/>
      </w:r>
      <w:r>
        <w:tab/>
      </w:r>
      <w:r>
        <w:fldChar w:fldCharType="begin"/>
      </w:r>
      <w:r>
        <w:instrText xml:space="preserve"> PAGEREF AUTO_2023_644 \h </w:instrText>
      </w:r>
      <w:r>
        <w:fldChar w:fldCharType="separate"/>
      </w:r>
      <w:r w:rsidR="00C73693">
        <w:rPr>
          <w:noProof/>
        </w:rPr>
        <w:t>2909</w:t>
      </w:r>
      <w:r>
        <w:fldChar w:fldCharType="end"/>
      </w:r>
    </w:p>
    <w:p w14:paraId="5C2E35D9" w14:textId="77777777" w:rsidR="007309D3" w:rsidRDefault="007309D3" w:rsidP="007309D3"/>
    <w:p w14:paraId="130B8168" w14:textId="132835E3" w:rsidR="007309D3" w:rsidRDefault="007309D3" w:rsidP="007309D3">
      <w:pPr>
        <w:pStyle w:val="EntradandiceAuto"/>
      </w:pPr>
      <w:r>
        <w:t>Sección Segunda. Auto 645/2023, de 11 de diciembre de 2023. Acepta una abstención en el recurso de amparo 4631-2022, promovido en proceso contencioso administrativo.</w:t>
      </w:r>
      <w:r>
        <w:tab/>
      </w:r>
      <w:r>
        <w:tab/>
      </w:r>
      <w:r>
        <w:fldChar w:fldCharType="begin"/>
      </w:r>
      <w:r>
        <w:instrText xml:space="preserve"> PAGEREF AUTO_2023_645 \h </w:instrText>
      </w:r>
      <w:r>
        <w:fldChar w:fldCharType="separate"/>
      </w:r>
      <w:r w:rsidR="00C73693">
        <w:rPr>
          <w:noProof/>
        </w:rPr>
        <w:t>2911</w:t>
      </w:r>
      <w:r>
        <w:fldChar w:fldCharType="end"/>
      </w:r>
    </w:p>
    <w:p w14:paraId="6AED949C" w14:textId="77777777" w:rsidR="007309D3" w:rsidRDefault="007309D3" w:rsidP="007309D3"/>
    <w:p w14:paraId="3C63AF4A" w14:textId="30A3F49A" w:rsidR="007309D3" w:rsidRDefault="007309D3" w:rsidP="007309D3">
      <w:pPr>
        <w:pStyle w:val="EntradandiceAuto"/>
      </w:pPr>
      <w:r>
        <w:t>Sección Tercera. Auto 646/2023, de 11 de diciembre de 2023. Acepta una abstención en el recurso de amparo 4911-2022, promovido en proceso contencioso administrativo.</w:t>
      </w:r>
      <w:r>
        <w:tab/>
      </w:r>
      <w:r>
        <w:tab/>
      </w:r>
      <w:r>
        <w:fldChar w:fldCharType="begin"/>
      </w:r>
      <w:r>
        <w:instrText xml:space="preserve"> PAGEREF AUTO_2023_646 \h </w:instrText>
      </w:r>
      <w:r>
        <w:fldChar w:fldCharType="separate"/>
      </w:r>
      <w:r w:rsidR="00C73693">
        <w:rPr>
          <w:noProof/>
        </w:rPr>
        <w:t>2913</w:t>
      </w:r>
      <w:r>
        <w:fldChar w:fldCharType="end"/>
      </w:r>
    </w:p>
    <w:p w14:paraId="0776036E" w14:textId="77777777" w:rsidR="007309D3" w:rsidRDefault="007309D3" w:rsidP="007309D3"/>
    <w:p w14:paraId="4B947CF8" w14:textId="11817D82" w:rsidR="007309D3" w:rsidRDefault="007309D3" w:rsidP="007309D3">
      <w:pPr>
        <w:pStyle w:val="EntradandiceAuto"/>
      </w:pPr>
      <w:r>
        <w:t>Sección Tercera. Auto 647/2023, de 11 de diciembre de 2023. Acepta una abstención en el recurso de amparo 5406-2022, promovido en proceso contencioso administrativo.</w:t>
      </w:r>
      <w:r>
        <w:tab/>
      </w:r>
      <w:r>
        <w:tab/>
      </w:r>
      <w:r>
        <w:fldChar w:fldCharType="begin"/>
      </w:r>
      <w:r>
        <w:instrText xml:space="preserve"> PAGEREF AUTO_2023_647 \h </w:instrText>
      </w:r>
      <w:r>
        <w:fldChar w:fldCharType="separate"/>
      </w:r>
      <w:r w:rsidR="00C73693">
        <w:rPr>
          <w:noProof/>
        </w:rPr>
        <w:t>2915</w:t>
      </w:r>
      <w:r>
        <w:fldChar w:fldCharType="end"/>
      </w:r>
    </w:p>
    <w:p w14:paraId="40270FD3" w14:textId="77777777" w:rsidR="007309D3" w:rsidRDefault="007309D3" w:rsidP="007309D3"/>
    <w:p w14:paraId="178C476F" w14:textId="5A020AA5" w:rsidR="007309D3" w:rsidRDefault="007309D3" w:rsidP="007309D3">
      <w:pPr>
        <w:pStyle w:val="EntradandiceAuto"/>
      </w:pPr>
      <w:r>
        <w:t>Sección Tercera. Auto 648/2023, de 11 de diciembre de 2023. Acepta una abstención en el recurso de amparo 5561-2022, promovido en proceso contencioso administrativo.</w:t>
      </w:r>
      <w:r>
        <w:tab/>
      </w:r>
      <w:r>
        <w:tab/>
      </w:r>
      <w:r>
        <w:fldChar w:fldCharType="begin"/>
      </w:r>
      <w:r>
        <w:instrText xml:space="preserve"> PAGEREF AUTO_2023_648 \h </w:instrText>
      </w:r>
      <w:r>
        <w:fldChar w:fldCharType="separate"/>
      </w:r>
      <w:r w:rsidR="00C73693">
        <w:rPr>
          <w:noProof/>
        </w:rPr>
        <w:t>2917</w:t>
      </w:r>
      <w:r>
        <w:fldChar w:fldCharType="end"/>
      </w:r>
    </w:p>
    <w:p w14:paraId="139CA8AB" w14:textId="77777777" w:rsidR="007309D3" w:rsidRDefault="007309D3" w:rsidP="007309D3"/>
    <w:p w14:paraId="03AB33B3" w14:textId="2FDB3D1B" w:rsidR="007309D3" w:rsidRDefault="007309D3" w:rsidP="007309D3">
      <w:pPr>
        <w:pStyle w:val="EntradandiceAuto"/>
      </w:pPr>
      <w:r>
        <w:t>Sección Tercera. Auto 649/2023, de 11 de diciembre de 2023. Acepta una abstención en el recurso de amparo 5636-2022, promovido en proceso contencioso administrativo.</w:t>
      </w:r>
      <w:r>
        <w:tab/>
      </w:r>
      <w:r>
        <w:tab/>
      </w:r>
      <w:r>
        <w:fldChar w:fldCharType="begin"/>
      </w:r>
      <w:r>
        <w:instrText xml:space="preserve"> PAGEREF AUTO_2023_649 \h </w:instrText>
      </w:r>
      <w:r>
        <w:fldChar w:fldCharType="separate"/>
      </w:r>
      <w:r w:rsidR="00C73693">
        <w:rPr>
          <w:noProof/>
        </w:rPr>
        <w:t>2919</w:t>
      </w:r>
      <w:r>
        <w:fldChar w:fldCharType="end"/>
      </w:r>
    </w:p>
    <w:p w14:paraId="30C8B1F6" w14:textId="77777777" w:rsidR="007309D3" w:rsidRDefault="007309D3" w:rsidP="007309D3"/>
    <w:p w14:paraId="76DE126B" w14:textId="5FAFFECF" w:rsidR="007309D3" w:rsidRDefault="007309D3" w:rsidP="007309D3">
      <w:pPr>
        <w:pStyle w:val="EntradandiceAuto"/>
      </w:pPr>
      <w:r>
        <w:t>Sección Tercera. Auto 650/2023, de 11 de diciembre de 2023. Acepta una abstención en el recurso de amparo 5746-2022, promovido en proceso contencioso administrativo.</w:t>
      </w:r>
      <w:r>
        <w:tab/>
      </w:r>
      <w:r>
        <w:tab/>
      </w:r>
      <w:r>
        <w:fldChar w:fldCharType="begin"/>
      </w:r>
      <w:r>
        <w:instrText xml:space="preserve"> PAGEREF AUTO_2023_650 \h </w:instrText>
      </w:r>
      <w:r>
        <w:fldChar w:fldCharType="separate"/>
      </w:r>
      <w:r w:rsidR="00C73693">
        <w:rPr>
          <w:noProof/>
        </w:rPr>
        <w:t>2921</w:t>
      </w:r>
      <w:r>
        <w:fldChar w:fldCharType="end"/>
      </w:r>
    </w:p>
    <w:p w14:paraId="0410F79F" w14:textId="77777777" w:rsidR="007309D3" w:rsidRDefault="007309D3" w:rsidP="007309D3"/>
    <w:p w14:paraId="18FB3716" w14:textId="11E05EDF" w:rsidR="007309D3" w:rsidRDefault="007309D3" w:rsidP="007309D3">
      <w:pPr>
        <w:pStyle w:val="EntradandiceAuto"/>
      </w:pPr>
      <w:r>
        <w:t>Sección Tercera. Auto 651/2023, de 11 de diciembre de 2023. Acepta una abstención en el recurso de amparo 6385-2022, promovido en proceso contencioso administrativo.</w:t>
      </w:r>
      <w:r>
        <w:tab/>
      </w:r>
      <w:r>
        <w:tab/>
      </w:r>
      <w:r>
        <w:fldChar w:fldCharType="begin"/>
      </w:r>
      <w:r>
        <w:instrText xml:space="preserve"> PAGEREF AUTO_2023_651 \h </w:instrText>
      </w:r>
      <w:r>
        <w:fldChar w:fldCharType="separate"/>
      </w:r>
      <w:r w:rsidR="00C73693">
        <w:rPr>
          <w:noProof/>
        </w:rPr>
        <w:t>2923</w:t>
      </w:r>
      <w:r>
        <w:fldChar w:fldCharType="end"/>
      </w:r>
    </w:p>
    <w:p w14:paraId="26B0D8C5" w14:textId="77777777" w:rsidR="007309D3" w:rsidRDefault="007309D3" w:rsidP="007309D3"/>
    <w:p w14:paraId="2004F182" w14:textId="27149C5B" w:rsidR="007309D3" w:rsidRDefault="007309D3" w:rsidP="007309D3">
      <w:pPr>
        <w:pStyle w:val="EntradandiceAuto"/>
      </w:pPr>
      <w:r>
        <w:t>Sección Tercera. Auto 652/2023, de 11 de diciembre de 2023. Acepta una abstención en el recurso de amparo 6543-2022, promovido en proceso contencioso administrativo.</w:t>
      </w:r>
      <w:r>
        <w:tab/>
      </w:r>
      <w:r>
        <w:tab/>
      </w:r>
      <w:r>
        <w:fldChar w:fldCharType="begin"/>
      </w:r>
      <w:r>
        <w:instrText xml:space="preserve"> PAGEREF AUTO_2023_652 \h </w:instrText>
      </w:r>
      <w:r>
        <w:fldChar w:fldCharType="separate"/>
      </w:r>
      <w:r w:rsidR="00C73693">
        <w:rPr>
          <w:noProof/>
        </w:rPr>
        <w:t>2925</w:t>
      </w:r>
      <w:r>
        <w:fldChar w:fldCharType="end"/>
      </w:r>
    </w:p>
    <w:p w14:paraId="708F3ADA" w14:textId="77777777" w:rsidR="007309D3" w:rsidRDefault="007309D3" w:rsidP="007309D3"/>
    <w:p w14:paraId="57AB80A3" w14:textId="299433A1" w:rsidR="007309D3" w:rsidRDefault="007309D3" w:rsidP="007309D3">
      <w:pPr>
        <w:pStyle w:val="EntradandiceAuto"/>
      </w:pPr>
      <w:r>
        <w:t>Sección Tercera. Auto 653/2023, de 11 de diciembre de 2023. Acepta una abstención en el recurso de amparo 6860-2022, promovido en proceso contencioso administrativo.</w:t>
      </w:r>
      <w:r>
        <w:tab/>
      </w:r>
      <w:r>
        <w:tab/>
      </w:r>
      <w:r>
        <w:fldChar w:fldCharType="begin"/>
      </w:r>
      <w:r>
        <w:instrText xml:space="preserve"> PAGEREF AUTO_2023_653 \h </w:instrText>
      </w:r>
      <w:r>
        <w:fldChar w:fldCharType="separate"/>
      </w:r>
      <w:r w:rsidR="00C73693">
        <w:rPr>
          <w:noProof/>
        </w:rPr>
        <w:t>2927</w:t>
      </w:r>
      <w:r>
        <w:fldChar w:fldCharType="end"/>
      </w:r>
    </w:p>
    <w:p w14:paraId="5742A1B0" w14:textId="77777777" w:rsidR="007309D3" w:rsidRDefault="007309D3" w:rsidP="007309D3"/>
    <w:p w14:paraId="01687392" w14:textId="0E236229" w:rsidR="007309D3" w:rsidRDefault="007309D3" w:rsidP="007309D3">
      <w:pPr>
        <w:pStyle w:val="EntradandiceAuto"/>
      </w:pPr>
      <w:r>
        <w:t>Sección Tercera. Auto 654/2023, de 11 de diciembre de 2023. Acepta una abstención en el recurso de amparo 7172-2022, promovido por Acción Comercial Outsourcing, S.L., en proceso contencioso administrativo.</w:t>
      </w:r>
      <w:r>
        <w:tab/>
      </w:r>
      <w:r>
        <w:tab/>
      </w:r>
      <w:r>
        <w:fldChar w:fldCharType="begin"/>
      </w:r>
      <w:r>
        <w:instrText xml:space="preserve"> PAGEREF AUTO_2023_654 \h </w:instrText>
      </w:r>
      <w:r>
        <w:fldChar w:fldCharType="separate"/>
      </w:r>
      <w:r w:rsidR="00C73693">
        <w:rPr>
          <w:noProof/>
        </w:rPr>
        <w:t>2929</w:t>
      </w:r>
      <w:r>
        <w:fldChar w:fldCharType="end"/>
      </w:r>
    </w:p>
    <w:p w14:paraId="5300E8FA" w14:textId="77777777" w:rsidR="007309D3" w:rsidRDefault="007309D3" w:rsidP="007309D3"/>
    <w:p w14:paraId="287B2DDA" w14:textId="147034D3" w:rsidR="007309D3" w:rsidRDefault="007309D3" w:rsidP="007309D3">
      <w:pPr>
        <w:pStyle w:val="EntradandiceAuto"/>
      </w:pPr>
      <w:r>
        <w:t>Sección Tercera. Auto 655/2023, de 11 de diciembre de 2023. Acepta una abstención en el recurso de amparo 7262-2022, promovido en proceso contencioso administrativo.</w:t>
      </w:r>
      <w:r>
        <w:tab/>
      </w:r>
      <w:r>
        <w:tab/>
      </w:r>
      <w:r>
        <w:fldChar w:fldCharType="begin"/>
      </w:r>
      <w:r>
        <w:instrText xml:space="preserve"> PAGEREF AUTO_2023_655 \h </w:instrText>
      </w:r>
      <w:r>
        <w:fldChar w:fldCharType="separate"/>
      </w:r>
      <w:r w:rsidR="00C73693">
        <w:rPr>
          <w:noProof/>
        </w:rPr>
        <w:t>2931</w:t>
      </w:r>
      <w:r>
        <w:fldChar w:fldCharType="end"/>
      </w:r>
    </w:p>
    <w:p w14:paraId="32962F81" w14:textId="77777777" w:rsidR="007309D3" w:rsidRDefault="007309D3" w:rsidP="007309D3"/>
    <w:p w14:paraId="46A30B75" w14:textId="3DF3D4BA" w:rsidR="007309D3" w:rsidRDefault="007309D3" w:rsidP="007309D3">
      <w:pPr>
        <w:pStyle w:val="EntradandiceAuto"/>
      </w:pPr>
      <w:r>
        <w:t>Sección Tercera. Auto 656/2023, de 11 de diciembre de 2023. Acepta una abstención en el recurso de amparo 7281-2022, promovido en proceso contencioso administrativo.</w:t>
      </w:r>
      <w:r>
        <w:tab/>
      </w:r>
      <w:r>
        <w:tab/>
      </w:r>
      <w:r>
        <w:fldChar w:fldCharType="begin"/>
      </w:r>
      <w:r>
        <w:instrText xml:space="preserve"> PAGEREF AUTO_2023_656 \h </w:instrText>
      </w:r>
      <w:r>
        <w:fldChar w:fldCharType="separate"/>
      </w:r>
      <w:r w:rsidR="00C73693">
        <w:rPr>
          <w:noProof/>
        </w:rPr>
        <w:t>2933</w:t>
      </w:r>
      <w:r>
        <w:fldChar w:fldCharType="end"/>
      </w:r>
    </w:p>
    <w:p w14:paraId="336EB450" w14:textId="77777777" w:rsidR="007309D3" w:rsidRDefault="007309D3" w:rsidP="007309D3"/>
    <w:p w14:paraId="54B134A3" w14:textId="59BD6685" w:rsidR="007309D3" w:rsidRDefault="007309D3" w:rsidP="007309D3">
      <w:pPr>
        <w:pStyle w:val="EntradandiceAuto"/>
      </w:pPr>
      <w:r>
        <w:t>Sección Tercera. Auto 657/2023, de 11 de diciembre de 2023. Acepta una abstención en el recurso de amparo 7562-2022, promovido en proceso contencioso administrativo.</w:t>
      </w:r>
      <w:r>
        <w:tab/>
      </w:r>
      <w:r>
        <w:tab/>
      </w:r>
      <w:r>
        <w:fldChar w:fldCharType="begin"/>
      </w:r>
      <w:r>
        <w:instrText xml:space="preserve"> PAGEREF AUTO_2023_657 \h </w:instrText>
      </w:r>
      <w:r>
        <w:fldChar w:fldCharType="separate"/>
      </w:r>
      <w:r w:rsidR="00C73693">
        <w:rPr>
          <w:noProof/>
        </w:rPr>
        <w:t>2935</w:t>
      </w:r>
      <w:r>
        <w:fldChar w:fldCharType="end"/>
      </w:r>
    </w:p>
    <w:p w14:paraId="6D1DF20D" w14:textId="77777777" w:rsidR="007309D3" w:rsidRDefault="007309D3" w:rsidP="007309D3"/>
    <w:p w14:paraId="11429F44" w14:textId="3A497033" w:rsidR="007309D3" w:rsidRDefault="007309D3" w:rsidP="007309D3">
      <w:pPr>
        <w:pStyle w:val="EntradandiceAuto"/>
      </w:pPr>
      <w:r>
        <w:t>Sección Tercera. Auto 658/2023, de 11 de diciembre de 2023. Acepta una abstención en el recurso de amparo 7807-2022, promovido en proceso contencioso administrativo.</w:t>
      </w:r>
      <w:r>
        <w:tab/>
      </w:r>
      <w:r>
        <w:tab/>
      </w:r>
      <w:r>
        <w:fldChar w:fldCharType="begin"/>
      </w:r>
      <w:r>
        <w:instrText xml:space="preserve"> PAGEREF AUTO_2023_658 \h </w:instrText>
      </w:r>
      <w:r>
        <w:fldChar w:fldCharType="separate"/>
      </w:r>
      <w:r w:rsidR="00C73693">
        <w:rPr>
          <w:noProof/>
        </w:rPr>
        <w:t>2937</w:t>
      </w:r>
      <w:r>
        <w:fldChar w:fldCharType="end"/>
      </w:r>
    </w:p>
    <w:p w14:paraId="6D85D981" w14:textId="77777777" w:rsidR="007309D3" w:rsidRDefault="007309D3" w:rsidP="007309D3"/>
    <w:p w14:paraId="65EAD6DC" w14:textId="07FB596D" w:rsidR="007309D3" w:rsidRDefault="007309D3" w:rsidP="007309D3">
      <w:pPr>
        <w:pStyle w:val="EntradandiceAuto"/>
      </w:pPr>
      <w:r>
        <w:t>Sección Tercera. Auto 659/2023, de 11 de diciembre de 2023. Acepta una abstención en el recurso de amparo 8498-2022, promovido en proceso contencioso administrativo.</w:t>
      </w:r>
      <w:r>
        <w:tab/>
      </w:r>
      <w:r>
        <w:tab/>
      </w:r>
      <w:r>
        <w:fldChar w:fldCharType="begin"/>
      </w:r>
      <w:r>
        <w:instrText xml:space="preserve"> PAGEREF AUTO_2023_659 \h </w:instrText>
      </w:r>
      <w:r>
        <w:fldChar w:fldCharType="separate"/>
      </w:r>
      <w:r w:rsidR="00C73693">
        <w:rPr>
          <w:noProof/>
        </w:rPr>
        <w:t>2939</w:t>
      </w:r>
      <w:r>
        <w:fldChar w:fldCharType="end"/>
      </w:r>
    </w:p>
    <w:p w14:paraId="44F1E684" w14:textId="77777777" w:rsidR="007309D3" w:rsidRDefault="007309D3" w:rsidP="007309D3"/>
    <w:p w14:paraId="3FF77E3D" w14:textId="01EE3A56" w:rsidR="007309D3" w:rsidRDefault="007309D3" w:rsidP="007309D3">
      <w:pPr>
        <w:pStyle w:val="EntradandiceAuto"/>
      </w:pPr>
      <w:r>
        <w:t>Sección Tercera. Auto 660/2023, de 11 de diciembre de 2023. Acepta una abstención en el recurso de amparo 1053-2023, promovido en proceso contencioso administrativo.</w:t>
      </w:r>
      <w:r>
        <w:tab/>
      </w:r>
      <w:r>
        <w:tab/>
      </w:r>
      <w:r>
        <w:fldChar w:fldCharType="begin"/>
      </w:r>
      <w:r>
        <w:instrText xml:space="preserve"> PAGEREF AUTO_2023_660 \h </w:instrText>
      </w:r>
      <w:r>
        <w:fldChar w:fldCharType="separate"/>
      </w:r>
      <w:r w:rsidR="00C73693">
        <w:rPr>
          <w:noProof/>
        </w:rPr>
        <w:t>2941</w:t>
      </w:r>
      <w:r>
        <w:fldChar w:fldCharType="end"/>
      </w:r>
    </w:p>
    <w:p w14:paraId="4AB62AD3" w14:textId="77777777" w:rsidR="007309D3" w:rsidRDefault="007309D3" w:rsidP="007309D3"/>
    <w:p w14:paraId="3ACC510E" w14:textId="67C6CCD9" w:rsidR="007309D3" w:rsidRDefault="007309D3" w:rsidP="007309D3">
      <w:pPr>
        <w:pStyle w:val="EntradandiceAuto"/>
      </w:pPr>
      <w:r>
        <w:t>Sala Primera. Auto 661/2023, de 11 de diciembre de 2023. Deniega la suspensión en el recurso de amparo 3229-2023, promovido por don R.R., en procedimiento de jurisdicción voluntaria.</w:t>
      </w:r>
      <w:r>
        <w:tab/>
      </w:r>
      <w:r>
        <w:tab/>
      </w:r>
      <w:r>
        <w:fldChar w:fldCharType="begin"/>
      </w:r>
      <w:r>
        <w:instrText xml:space="preserve"> PAGEREF AUTO_2023_661 \h </w:instrText>
      </w:r>
      <w:r>
        <w:fldChar w:fldCharType="separate"/>
      </w:r>
      <w:r w:rsidR="00C73693">
        <w:rPr>
          <w:noProof/>
        </w:rPr>
        <w:t>2943</w:t>
      </w:r>
      <w:r>
        <w:fldChar w:fldCharType="end"/>
      </w:r>
    </w:p>
    <w:p w14:paraId="30610FB0" w14:textId="77777777" w:rsidR="007309D3" w:rsidRDefault="007309D3" w:rsidP="007309D3"/>
    <w:p w14:paraId="45B13B62" w14:textId="2CD46CCD" w:rsidR="007309D3" w:rsidRDefault="007309D3" w:rsidP="007309D3">
      <w:pPr>
        <w:pStyle w:val="EntradandiceAuto"/>
      </w:pPr>
      <w:r>
        <w:t>Sección Tercera. Auto 662/2023, de 11 de diciembre de 2023. Acepta una abstención en el recurso de amparo 3425-2023, promovido en proceso contencioso administrativo.</w:t>
      </w:r>
      <w:r>
        <w:tab/>
      </w:r>
      <w:r>
        <w:tab/>
      </w:r>
      <w:r>
        <w:fldChar w:fldCharType="begin"/>
      </w:r>
      <w:r>
        <w:instrText xml:space="preserve"> PAGEREF AUTO_2023_662 \h </w:instrText>
      </w:r>
      <w:r>
        <w:fldChar w:fldCharType="separate"/>
      </w:r>
      <w:r w:rsidR="00C73693">
        <w:rPr>
          <w:noProof/>
        </w:rPr>
        <w:t>2953</w:t>
      </w:r>
      <w:r>
        <w:fldChar w:fldCharType="end"/>
      </w:r>
    </w:p>
    <w:p w14:paraId="1318049D" w14:textId="77777777" w:rsidR="007309D3" w:rsidRDefault="007309D3" w:rsidP="007309D3"/>
    <w:p w14:paraId="76234BB1" w14:textId="09D61EFE" w:rsidR="007309D3" w:rsidRDefault="007309D3" w:rsidP="007309D3">
      <w:pPr>
        <w:pStyle w:val="EntradandiceAuto"/>
      </w:pPr>
      <w:r>
        <w:t>Sala Segunda. Auto 663/2023, de 11 de diciembre de 2023. Acuerda la suspensión en el recurso de amparo 6218-2023, promovido por don Fikri Boutajer en proceso de extradición.</w:t>
      </w:r>
      <w:r>
        <w:tab/>
      </w:r>
      <w:r>
        <w:tab/>
      </w:r>
      <w:r>
        <w:fldChar w:fldCharType="begin"/>
      </w:r>
      <w:r>
        <w:instrText xml:space="preserve"> PAGEREF AUTO_2023_663 \h </w:instrText>
      </w:r>
      <w:r>
        <w:fldChar w:fldCharType="separate"/>
      </w:r>
      <w:r w:rsidR="00C73693">
        <w:rPr>
          <w:noProof/>
        </w:rPr>
        <w:t>2955</w:t>
      </w:r>
      <w:r>
        <w:fldChar w:fldCharType="end"/>
      </w:r>
    </w:p>
    <w:p w14:paraId="380B3D45" w14:textId="77777777" w:rsidR="007309D3" w:rsidRDefault="007309D3" w:rsidP="007309D3"/>
    <w:p w14:paraId="104B6C42" w14:textId="33A509DF" w:rsidR="007309D3" w:rsidRDefault="007309D3" w:rsidP="007309D3">
      <w:pPr>
        <w:pStyle w:val="EntradandiceAuto"/>
      </w:pPr>
      <w:r>
        <w:t>Pleno. Auto 664/2023, de 12 de diciembre de 2023. Acepta una abstención en el recurso de amparo 843-2021, promovido en procedimiento parlamentario.</w:t>
      </w:r>
      <w:r>
        <w:tab/>
      </w:r>
      <w:r>
        <w:tab/>
      </w:r>
      <w:r>
        <w:fldChar w:fldCharType="begin"/>
      </w:r>
      <w:r>
        <w:instrText xml:space="preserve"> PAGEREF AUTO_2023_664 \h </w:instrText>
      </w:r>
      <w:r>
        <w:fldChar w:fldCharType="separate"/>
      </w:r>
      <w:r w:rsidR="00C73693">
        <w:rPr>
          <w:noProof/>
        </w:rPr>
        <w:t>2959</w:t>
      </w:r>
      <w:r>
        <w:fldChar w:fldCharType="end"/>
      </w:r>
    </w:p>
    <w:p w14:paraId="20AC0B46" w14:textId="77777777" w:rsidR="007309D3" w:rsidRDefault="007309D3" w:rsidP="007309D3"/>
    <w:p w14:paraId="3C7D1617" w14:textId="753EB700" w:rsidR="007309D3" w:rsidRDefault="007309D3" w:rsidP="007309D3">
      <w:pPr>
        <w:pStyle w:val="EntradandiceAuto"/>
      </w:pPr>
      <w:r>
        <w:t>Pleno. Auto 665/2023, de 12 de diciembre de 2023. Inadmite una recusación formulada en el recurso de amparo 3966-2022, promovido por doña Blanca Parga Landa en proceso contencioso administrativo.</w:t>
      </w:r>
      <w:r>
        <w:tab/>
      </w:r>
      <w:r>
        <w:tab/>
      </w:r>
      <w:r>
        <w:fldChar w:fldCharType="begin"/>
      </w:r>
      <w:r>
        <w:instrText xml:space="preserve"> PAGEREF AUTO_2023_665 \h </w:instrText>
      </w:r>
      <w:r>
        <w:fldChar w:fldCharType="separate"/>
      </w:r>
      <w:r w:rsidR="00C73693">
        <w:rPr>
          <w:noProof/>
        </w:rPr>
        <w:t>2961</w:t>
      </w:r>
      <w:r>
        <w:fldChar w:fldCharType="end"/>
      </w:r>
    </w:p>
    <w:p w14:paraId="59C6C6A2" w14:textId="77777777" w:rsidR="007309D3" w:rsidRDefault="007309D3" w:rsidP="007309D3"/>
    <w:p w14:paraId="39633D41" w14:textId="40F28DF7" w:rsidR="007309D3" w:rsidRDefault="007309D3" w:rsidP="007309D3">
      <w:pPr>
        <w:pStyle w:val="EntradandiceAuto"/>
      </w:pPr>
      <w:r>
        <w:t>Pleno. Auto 666/2023, de 12 de diciembre de 2023. Deja sin efecto, al estimar un recurso de revisión, la diligencia de ordenación dictada en el recurso de amparo 5532-2022, promovido por don José Edmundo Espinosa Lorente y doña Fermina Espinosa Lorente en proceso contencioso administrativo, devolviendo las actuaciones para que se resuelva sobre su admisión.</w:t>
      </w:r>
      <w:r>
        <w:tab/>
      </w:r>
      <w:r>
        <w:tab/>
      </w:r>
      <w:r>
        <w:fldChar w:fldCharType="begin"/>
      </w:r>
      <w:r>
        <w:instrText xml:space="preserve"> PAGEREF AUTO_2023_666 \h </w:instrText>
      </w:r>
      <w:r>
        <w:fldChar w:fldCharType="separate"/>
      </w:r>
      <w:r w:rsidR="00C73693">
        <w:rPr>
          <w:noProof/>
        </w:rPr>
        <w:t>2967</w:t>
      </w:r>
      <w:r>
        <w:fldChar w:fldCharType="end"/>
      </w:r>
    </w:p>
    <w:p w14:paraId="727ECCE4" w14:textId="77777777" w:rsidR="007309D3" w:rsidRDefault="007309D3" w:rsidP="007309D3"/>
    <w:p w14:paraId="29786FB5" w14:textId="273020DD" w:rsidR="007309D3" w:rsidRDefault="007309D3" w:rsidP="007309D3">
      <w:pPr>
        <w:pStyle w:val="EntradandiceAuto"/>
      </w:pPr>
      <w:r>
        <w:t>Pleno. Auto 667/2023, de 12 de diciembre de 2023. Inadmite a trámite la cuestión de inconstitucionalidad 1699-2023, planteada por el Juzgado de lo Contencioso-Administrativo núm. 22 de Madrid, en relación con el párrafo cuarto del artículo 104.5 del texto refundido de la Ley reguladora de las haciendas locales, aprobado por el Real Decreto Legislativo 2/2004, de 5 de marzo, en la redacción dada por el Real Decreto-ley 26/2021, de 8 de noviembre.</w:t>
      </w:r>
      <w:r>
        <w:tab/>
      </w:r>
      <w:r>
        <w:tab/>
      </w:r>
      <w:r>
        <w:fldChar w:fldCharType="begin"/>
      </w:r>
      <w:r>
        <w:instrText xml:space="preserve"> PAGEREF AUTO_2023_667 \h </w:instrText>
      </w:r>
      <w:r>
        <w:fldChar w:fldCharType="separate"/>
      </w:r>
      <w:r w:rsidR="00C73693">
        <w:rPr>
          <w:noProof/>
        </w:rPr>
        <w:t>2970</w:t>
      </w:r>
      <w:r>
        <w:fldChar w:fldCharType="end"/>
      </w:r>
    </w:p>
    <w:p w14:paraId="31E47BAD" w14:textId="77777777" w:rsidR="007309D3" w:rsidRDefault="007309D3" w:rsidP="007309D3"/>
    <w:p w14:paraId="42C9DFDF" w14:textId="749453A1" w:rsidR="007309D3" w:rsidRDefault="007309D3" w:rsidP="007309D3">
      <w:pPr>
        <w:pStyle w:val="EntradandiceAuto"/>
      </w:pPr>
      <w:r>
        <w:t>Pleno. Auto 668/2023, de 12 de diciembre de 2023. Inadmite la petición de nulidad de actuaciones en relación con los AATC 487/2023 y 488/2023, de 24 de octubre, dictados en incidente de recusación en el recurso de amparo 4811-2023, promovido por don Antonio López Navidad, en proceso contencioso-administrativo.</w:t>
      </w:r>
      <w:r>
        <w:tab/>
      </w:r>
      <w:r>
        <w:tab/>
      </w:r>
      <w:r>
        <w:fldChar w:fldCharType="begin"/>
      </w:r>
      <w:r>
        <w:instrText xml:space="preserve"> PAGEREF AUTO_2023_668 \h </w:instrText>
      </w:r>
      <w:r>
        <w:fldChar w:fldCharType="separate"/>
      </w:r>
      <w:r w:rsidR="00C73693">
        <w:rPr>
          <w:noProof/>
        </w:rPr>
        <w:t>2981</w:t>
      </w:r>
      <w:r>
        <w:fldChar w:fldCharType="end"/>
      </w:r>
    </w:p>
    <w:p w14:paraId="7AF5531F" w14:textId="77777777" w:rsidR="007309D3" w:rsidRDefault="007309D3" w:rsidP="007309D3"/>
    <w:p w14:paraId="11535931" w14:textId="6FC73290" w:rsidR="007309D3" w:rsidRDefault="007309D3" w:rsidP="007309D3">
      <w:pPr>
        <w:pStyle w:val="EntradandiceAuto"/>
      </w:pPr>
      <w:r>
        <w:t>Pleno. Auto 669/2023, de 12 de diciembre de 2023. Inadmite a trámite la cuestión de inconstitucionalidad 5479-2023, planteada por la Sección Segunda de la Sala de lo Contencioso-Administrativo del Tribunal Superior de Justicia de Canarias en relación con la disposición adicional sexagésima novena de la Ley 48/2015, de 29 de octubre, de presupuestos generales del Estado para el año 2016.</w:t>
      </w:r>
      <w:r>
        <w:tab/>
      </w:r>
      <w:r>
        <w:tab/>
      </w:r>
      <w:r>
        <w:fldChar w:fldCharType="begin"/>
      </w:r>
      <w:r>
        <w:instrText xml:space="preserve"> PAGEREF AUTO_2023_669 \h </w:instrText>
      </w:r>
      <w:r>
        <w:fldChar w:fldCharType="separate"/>
      </w:r>
      <w:r w:rsidR="00C73693">
        <w:rPr>
          <w:noProof/>
        </w:rPr>
        <w:t>2983</w:t>
      </w:r>
      <w:r>
        <w:fldChar w:fldCharType="end"/>
      </w:r>
    </w:p>
    <w:p w14:paraId="1D439897" w14:textId="77777777" w:rsidR="007309D3" w:rsidRDefault="007309D3" w:rsidP="007309D3"/>
    <w:p w14:paraId="241DCDAF" w14:textId="3A549B90" w:rsidR="007309D3" w:rsidRDefault="007309D3" w:rsidP="007309D3">
      <w:pPr>
        <w:pStyle w:val="EntradandiceAuto"/>
      </w:pPr>
      <w:r>
        <w:t>Sección Tercera. Auto 670/2023, de 18 de diciembre de 2023. Acepta una abstención en el recurso de amparo 3164-2022, promovido en proceso contencioso administrativo.</w:t>
      </w:r>
      <w:r>
        <w:tab/>
      </w:r>
      <w:r>
        <w:tab/>
      </w:r>
      <w:r>
        <w:fldChar w:fldCharType="begin"/>
      </w:r>
      <w:r>
        <w:instrText xml:space="preserve"> PAGEREF AUTO_2023_670 \h </w:instrText>
      </w:r>
      <w:r>
        <w:fldChar w:fldCharType="separate"/>
      </w:r>
      <w:r w:rsidR="00C73693">
        <w:rPr>
          <w:noProof/>
        </w:rPr>
        <w:t>2996</w:t>
      </w:r>
      <w:r>
        <w:fldChar w:fldCharType="end"/>
      </w:r>
    </w:p>
    <w:p w14:paraId="65B4B446" w14:textId="77777777" w:rsidR="007309D3" w:rsidRDefault="007309D3" w:rsidP="007309D3"/>
    <w:p w14:paraId="3CF68E82" w14:textId="793B848E" w:rsidR="007309D3" w:rsidRDefault="007309D3" w:rsidP="007309D3">
      <w:pPr>
        <w:pStyle w:val="EntradandiceAuto"/>
      </w:pPr>
      <w:r>
        <w:t>Sección Tercera. Auto 671/2023, de 18 de diciembre de 2023. Acepta una abstención en el recurso de amparo 3380-2022, promovido en proceso contencioso administrativo.</w:t>
      </w:r>
      <w:r>
        <w:tab/>
      </w:r>
      <w:r>
        <w:tab/>
      </w:r>
      <w:r>
        <w:fldChar w:fldCharType="begin"/>
      </w:r>
      <w:r>
        <w:instrText xml:space="preserve"> PAGEREF AUTO_2023_671 \h </w:instrText>
      </w:r>
      <w:r>
        <w:fldChar w:fldCharType="separate"/>
      </w:r>
      <w:r w:rsidR="00C73693">
        <w:rPr>
          <w:noProof/>
        </w:rPr>
        <w:t>2998</w:t>
      </w:r>
      <w:r>
        <w:fldChar w:fldCharType="end"/>
      </w:r>
    </w:p>
    <w:p w14:paraId="6F6C7F06" w14:textId="77777777" w:rsidR="007309D3" w:rsidRDefault="007309D3" w:rsidP="007309D3"/>
    <w:p w14:paraId="14782098" w14:textId="27A57996" w:rsidR="007309D3" w:rsidRDefault="007309D3" w:rsidP="007309D3">
      <w:pPr>
        <w:pStyle w:val="EntradandiceAuto"/>
      </w:pPr>
      <w:r>
        <w:t>Sección Tercera. Auto 672/2023, de 18 de diciembre de 2023. Acepta una abstención en el recurso de amparo 3773-2022, promovido en proceso contencioso administrativo.</w:t>
      </w:r>
      <w:r>
        <w:tab/>
      </w:r>
      <w:r>
        <w:tab/>
      </w:r>
      <w:r>
        <w:fldChar w:fldCharType="begin"/>
      </w:r>
      <w:r>
        <w:instrText xml:space="preserve"> PAGEREF AUTO_2023_672 \h </w:instrText>
      </w:r>
      <w:r>
        <w:fldChar w:fldCharType="separate"/>
      </w:r>
      <w:r w:rsidR="00C73693">
        <w:rPr>
          <w:noProof/>
        </w:rPr>
        <w:t>3000</w:t>
      </w:r>
      <w:r>
        <w:fldChar w:fldCharType="end"/>
      </w:r>
    </w:p>
    <w:p w14:paraId="2A3124F0" w14:textId="77777777" w:rsidR="007309D3" w:rsidRDefault="007309D3" w:rsidP="007309D3"/>
    <w:p w14:paraId="5A6E85C6" w14:textId="431EC7CC" w:rsidR="007309D3" w:rsidRDefault="007309D3" w:rsidP="007309D3">
      <w:pPr>
        <w:pStyle w:val="EntradandiceAuto"/>
      </w:pPr>
      <w:r>
        <w:t>Sección Tercera. Auto 673/2023, de 18 de diciembre de 2023. Acepta una abstención en el recurso de amparo 3872-2022, promovido en proceso contencioso administrativo.</w:t>
      </w:r>
      <w:r>
        <w:tab/>
      </w:r>
      <w:r>
        <w:tab/>
      </w:r>
      <w:r>
        <w:fldChar w:fldCharType="begin"/>
      </w:r>
      <w:r>
        <w:instrText xml:space="preserve"> PAGEREF AUTO_2023_673 \h </w:instrText>
      </w:r>
      <w:r>
        <w:fldChar w:fldCharType="separate"/>
      </w:r>
      <w:r w:rsidR="00C73693">
        <w:rPr>
          <w:noProof/>
        </w:rPr>
        <w:t>3002</w:t>
      </w:r>
      <w:r>
        <w:fldChar w:fldCharType="end"/>
      </w:r>
    </w:p>
    <w:p w14:paraId="2D7A1209" w14:textId="77777777" w:rsidR="007309D3" w:rsidRDefault="007309D3" w:rsidP="007309D3"/>
    <w:p w14:paraId="288C901A" w14:textId="53278058" w:rsidR="007309D3" w:rsidRDefault="007309D3" w:rsidP="007309D3">
      <w:pPr>
        <w:pStyle w:val="EntradandiceAuto"/>
      </w:pPr>
      <w:r>
        <w:t>Sección Tercera. Auto 674/2023, de 18 de diciembre de 2023. Acepta una abstención en el recurso de amparo 4656-2022, promovido en proceso contencioso administrativo.</w:t>
      </w:r>
      <w:r>
        <w:tab/>
      </w:r>
      <w:r>
        <w:tab/>
      </w:r>
      <w:r>
        <w:fldChar w:fldCharType="begin"/>
      </w:r>
      <w:r>
        <w:instrText xml:space="preserve"> PAGEREF AUTO_2023_674 \h </w:instrText>
      </w:r>
      <w:r>
        <w:fldChar w:fldCharType="separate"/>
      </w:r>
      <w:r w:rsidR="00C73693">
        <w:rPr>
          <w:noProof/>
        </w:rPr>
        <w:t>3004</w:t>
      </w:r>
      <w:r>
        <w:fldChar w:fldCharType="end"/>
      </w:r>
    </w:p>
    <w:p w14:paraId="53CF6F83" w14:textId="77777777" w:rsidR="007309D3" w:rsidRDefault="007309D3" w:rsidP="007309D3"/>
    <w:p w14:paraId="726F6B94" w14:textId="42DCAE7E" w:rsidR="007309D3" w:rsidRDefault="007309D3" w:rsidP="007309D3">
      <w:pPr>
        <w:pStyle w:val="EntradandiceAuto"/>
      </w:pPr>
      <w:r>
        <w:t>Sección Tercera. Auto 675/2023, de 18 de diciembre de 2023. Acepta una abstención en el recurso de amparo 4695-2022, promovido en proceso contencioso administrativo.</w:t>
      </w:r>
      <w:r>
        <w:tab/>
      </w:r>
      <w:r>
        <w:tab/>
      </w:r>
      <w:r>
        <w:fldChar w:fldCharType="begin"/>
      </w:r>
      <w:r>
        <w:instrText xml:space="preserve"> PAGEREF AUTO_2023_675 \h </w:instrText>
      </w:r>
      <w:r>
        <w:fldChar w:fldCharType="separate"/>
      </w:r>
      <w:r w:rsidR="00C73693">
        <w:rPr>
          <w:noProof/>
        </w:rPr>
        <w:t>3006</w:t>
      </w:r>
      <w:r>
        <w:fldChar w:fldCharType="end"/>
      </w:r>
    </w:p>
    <w:p w14:paraId="74D287E3" w14:textId="77777777" w:rsidR="007309D3" w:rsidRDefault="007309D3" w:rsidP="007309D3"/>
    <w:p w14:paraId="3F774480" w14:textId="6BC88771" w:rsidR="007309D3" w:rsidRDefault="007309D3" w:rsidP="007309D3">
      <w:pPr>
        <w:pStyle w:val="EntradandiceAuto"/>
      </w:pPr>
      <w:r>
        <w:t>Sección Tercera. Auto 676/2023, de 18 de diciembre de 2023. Acepta una abstención en el recurso de amparo 5598-2022, promovido en proceso contencioso administrativo.</w:t>
      </w:r>
      <w:r>
        <w:tab/>
      </w:r>
      <w:r>
        <w:tab/>
      </w:r>
      <w:r>
        <w:fldChar w:fldCharType="begin"/>
      </w:r>
      <w:r>
        <w:instrText xml:space="preserve"> PAGEREF AUTO_2023_676 \h </w:instrText>
      </w:r>
      <w:r>
        <w:fldChar w:fldCharType="separate"/>
      </w:r>
      <w:r w:rsidR="00C73693">
        <w:rPr>
          <w:noProof/>
        </w:rPr>
        <w:t>3008</w:t>
      </w:r>
      <w:r>
        <w:fldChar w:fldCharType="end"/>
      </w:r>
    </w:p>
    <w:p w14:paraId="407ED50C" w14:textId="77777777" w:rsidR="007309D3" w:rsidRDefault="007309D3" w:rsidP="007309D3"/>
    <w:p w14:paraId="105765BD" w14:textId="4AB2EB30" w:rsidR="007309D3" w:rsidRDefault="007309D3" w:rsidP="007309D3">
      <w:pPr>
        <w:pStyle w:val="EntradandiceAuto"/>
      </w:pPr>
      <w:r>
        <w:t>Sección Tercera. Auto 677/2023, de 18 de diciembre de 2023. Acepta una abstención en el recurso de amparo 6104-2022, promovido en proceso contencioso administrativo.</w:t>
      </w:r>
      <w:r>
        <w:tab/>
      </w:r>
      <w:r>
        <w:tab/>
      </w:r>
      <w:r>
        <w:fldChar w:fldCharType="begin"/>
      </w:r>
      <w:r>
        <w:instrText xml:space="preserve"> PAGEREF AUTO_2023_677 \h </w:instrText>
      </w:r>
      <w:r>
        <w:fldChar w:fldCharType="separate"/>
      </w:r>
      <w:r w:rsidR="00C73693">
        <w:rPr>
          <w:noProof/>
        </w:rPr>
        <w:t>3010</w:t>
      </w:r>
      <w:r>
        <w:fldChar w:fldCharType="end"/>
      </w:r>
    </w:p>
    <w:p w14:paraId="4F5078AA" w14:textId="77777777" w:rsidR="007309D3" w:rsidRDefault="007309D3" w:rsidP="007309D3"/>
    <w:p w14:paraId="262EDE43" w14:textId="7FE68159" w:rsidR="007309D3" w:rsidRDefault="007309D3" w:rsidP="007309D3">
      <w:pPr>
        <w:pStyle w:val="EntradandiceAuto"/>
      </w:pPr>
      <w:r>
        <w:t>Sección Tercera. Auto 678/2023, de 18 de diciembre de 2023. Acepta una abstención en el recurso de amparo 6184-2022, promovido en proceso contencioso administrativo.</w:t>
      </w:r>
      <w:r>
        <w:tab/>
      </w:r>
      <w:r>
        <w:tab/>
      </w:r>
      <w:r>
        <w:fldChar w:fldCharType="begin"/>
      </w:r>
      <w:r>
        <w:instrText xml:space="preserve"> PAGEREF AUTO_2023_678 \h </w:instrText>
      </w:r>
      <w:r>
        <w:fldChar w:fldCharType="separate"/>
      </w:r>
      <w:r w:rsidR="00C73693">
        <w:rPr>
          <w:noProof/>
        </w:rPr>
        <w:t>3012</w:t>
      </w:r>
      <w:r>
        <w:fldChar w:fldCharType="end"/>
      </w:r>
    </w:p>
    <w:p w14:paraId="77CE2D87" w14:textId="77777777" w:rsidR="007309D3" w:rsidRDefault="007309D3" w:rsidP="007309D3"/>
    <w:p w14:paraId="5B78CF08" w14:textId="327E59A9" w:rsidR="007309D3" w:rsidRDefault="007309D3" w:rsidP="007309D3">
      <w:pPr>
        <w:pStyle w:val="EntradandiceAuto"/>
      </w:pPr>
      <w:r>
        <w:t>Sección Tercera. Auto 679/2023, de 18 de diciembre de 2023. Acepta una abstención en el recurso de amparo 6294-2022, promovido en proceso contencioso administrativo.</w:t>
      </w:r>
      <w:r>
        <w:tab/>
      </w:r>
      <w:r>
        <w:tab/>
      </w:r>
      <w:r>
        <w:fldChar w:fldCharType="begin"/>
      </w:r>
      <w:r>
        <w:instrText xml:space="preserve"> PAGEREF AUTO_2023_679 \h </w:instrText>
      </w:r>
      <w:r>
        <w:fldChar w:fldCharType="separate"/>
      </w:r>
      <w:r w:rsidR="00C73693">
        <w:rPr>
          <w:noProof/>
        </w:rPr>
        <w:t>3014</w:t>
      </w:r>
      <w:r>
        <w:fldChar w:fldCharType="end"/>
      </w:r>
    </w:p>
    <w:p w14:paraId="1C8B7467" w14:textId="77777777" w:rsidR="007309D3" w:rsidRDefault="007309D3" w:rsidP="007309D3"/>
    <w:p w14:paraId="5C351406" w14:textId="762C2DBC" w:rsidR="007309D3" w:rsidRDefault="007309D3" w:rsidP="007309D3">
      <w:pPr>
        <w:pStyle w:val="EntradandiceAuto"/>
      </w:pPr>
      <w:r>
        <w:t>Sección Tercera. Auto 680/2023, de 18 de diciembre de 2023. Acepta una abstención en el recurso de amparo 6890-2022, promovido en proceso contencioso administrativo.</w:t>
      </w:r>
      <w:r>
        <w:tab/>
      </w:r>
      <w:r>
        <w:tab/>
      </w:r>
      <w:r>
        <w:fldChar w:fldCharType="begin"/>
      </w:r>
      <w:r>
        <w:instrText xml:space="preserve"> PAGEREF AUTO_2023_680 \h </w:instrText>
      </w:r>
      <w:r>
        <w:fldChar w:fldCharType="separate"/>
      </w:r>
      <w:r w:rsidR="00C73693">
        <w:rPr>
          <w:noProof/>
        </w:rPr>
        <w:t>3016</w:t>
      </w:r>
      <w:r>
        <w:fldChar w:fldCharType="end"/>
      </w:r>
    </w:p>
    <w:p w14:paraId="2641998E" w14:textId="77777777" w:rsidR="007309D3" w:rsidRDefault="007309D3" w:rsidP="007309D3"/>
    <w:p w14:paraId="3CE790CB" w14:textId="0BD65016" w:rsidR="007309D3" w:rsidRDefault="007309D3" w:rsidP="007309D3">
      <w:pPr>
        <w:pStyle w:val="EntradandiceAuto"/>
      </w:pPr>
      <w:r>
        <w:t>Sección Tercera. Auto 681/2023, de 18 de diciembre de 2023. Acepta una abstención en el recurso de amparo 6910-2022, promovido en proceso contencioso administrativo.</w:t>
      </w:r>
      <w:r>
        <w:tab/>
      </w:r>
      <w:r>
        <w:tab/>
      </w:r>
      <w:r>
        <w:fldChar w:fldCharType="begin"/>
      </w:r>
      <w:r>
        <w:instrText xml:space="preserve"> PAGEREF AUTO_2023_681 \h </w:instrText>
      </w:r>
      <w:r>
        <w:fldChar w:fldCharType="separate"/>
      </w:r>
      <w:r w:rsidR="00C73693">
        <w:rPr>
          <w:noProof/>
        </w:rPr>
        <w:t>3018</w:t>
      </w:r>
      <w:r>
        <w:fldChar w:fldCharType="end"/>
      </w:r>
    </w:p>
    <w:p w14:paraId="7B5ECBF4" w14:textId="77777777" w:rsidR="007309D3" w:rsidRDefault="007309D3" w:rsidP="007309D3"/>
    <w:p w14:paraId="448F4EDC" w14:textId="022BF6A5" w:rsidR="007309D3" w:rsidRDefault="007309D3" w:rsidP="007309D3">
      <w:pPr>
        <w:pStyle w:val="EntradandiceAuto"/>
      </w:pPr>
      <w:r>
        <w:t>Sección Tercera. Auto 682/2023, de 18 de diciembre de 2023. Acepta una abstención en el recurso de amparo 6921-2022, promovido en proceso contencioso administrativo.</w:t>
      </w:r>
      <w:r>
        <w:tab/>
      </w:r>
      <w:r>
        <w:tab/>
      </w:r>
      <w:r>
        <w:fldChar w:fldCharType="begin"/>
      </w:r>
      <w:r>
        <w:instrText xml:space="preserve"> PAGEREF AUTO_2023_682 \h </w:instrText>
      </w:r>
      <w:r>
        <w:fldChar w:fldCharType="separate"/>
      </w:r>
      <w:r w:rsidR="00C73693">
        <w:rPr>
          <w:noProof/>
        </w:rPr>
        <w:t>3020</w:t>
      </w:r>
      <w:r>
        <w:fldChar w:fldCharType="end"/>
      </w:r>
    </w:p>
    <w:p w14:paraId="57C9BE3B" w14:textId="77777777" w:rsidR="007309D3" w:rsidRDefault="007309D3" w:rsidP="007309D3"/>
    <w:p w14:paraId="59ED2D15" w14:textId="369015DE" w:rsidR="007309D3" w:rsidRDefault="007309D3" w:rsidP="007309D3">
      <w:pPr>
        <w:pStyle w:val="EntradandiceAuto"/>
      </w:pPr>
      <w:r>
        <w:t>Sección Tercera. Auto 683/2023, de 18 de diciembre de 2023. Acepta una abstención en el recurso de amparo 7675-2022, promovido por Pincasa S.L., en proceso contencioso administrativo.</w:t>
      </w:r>
      <w:r>
        <w:tab/>
      </w:r>
      <w:r>
        <w:tab/>
      </w:r>
      <w:r>
        <w:fldChar w:fldCharType="begin"/>
      </w:r>
      <w:r>
        <w:instrText xml:space="preserve"> PAGEREF AUTO_2023_683 \h </w:instrText>
      </w:r>
      <w:r>
        <w:fldChar w:fldCharType="separate"/>
      </w:r>
      <w:r w:rsidR="00C73693">
        <w:rPr>
          <w:noProof/>
        </w:rPr>
        <w:t>3022</w:t>
      </w:r>
      <w:r>
        <w:fldChar w:fldCharType="end"/>
      </w:r>
    </w:p>
    <w:p w14:paraId="144D56F4" w14:textId="77777777" w:rsidR="007309D3" w:rsidRDefault="007309D3" w:rsidP="007309D3"/>
    <w:p w14:paraId="251C59DD" w14:textId="359CA895" w:rsidR="007309D3" w:rsidRDefault="007309D3" w:rsidP="007309D3">
      <w:pPr>
        <w:pStyle w:val="EntradandiceAuto"/>
      </w:pPr>
      <w:r>
        <w:t>Sección Tercera. Auto 684/2023, de 18 de diciembre de 2023. Acepta una abstención en el recurso de amparo 8269-2022, promovido en proceso contencioso administrativo.</w:t>
      </w:r>
      <w:r>
        <w:tab/>
      </w:r>
      <w:r>
        <w:tab/>
      </w:r>
      <w:r>
        <w:fldChar w:fldCharType="begin"/>
      </w:r>
      <w:r>
        <w:instrText xml:space="preserve"> PAGEREF AUTO_2023_684 \h </w:instrText>
      </w:r>
      <w:r>
        <w:fldChar w:fldCharType="separate"/>
      </w:r>
      <w:r w:rsidR="00C73693">
        <w:rPr>
          <w:noProof/>
        </w:rPr>
        <w:t>3024</w:t>
      </w:r>
      <w:r>
        <w:fldChar w:fldCharType="end"/>
      </w:r>
    </w:p>
    <w:p w14:paraId="01E3021B" w14:textId="77777777" w:rsidR="007309D3" w:rsidRDefault="007309D3" w:rsidP="007309D3"/>
    <w:p w14:paraId="146B88D3" w14:textId="464ACCCD" w:rsidR="007309D3" w:rsidRDefault="007309D3" w:rsidP="007309D3">
      <w:pPr>
        <w:pStyle w:val="EntradandiceAuto"/>
      </w:pPr>
      <w:r>
        <w:t>Sección Tercera. Auto 685/2023, de 18 de diciembre de 2023. Acepta una abstención en el recurso de amparo 8414-2022, promovido en proceso contencioso administrativo.</w:t>
      </w:r>
      <w:r>
        <w:tab/>
      </w:r>
      <w:r>
        <w:tab/>
      </w:r>
      <w:r>
        <w:fldChar w:fldCharType="begin"/>
      </w:r>
      <w:r>
        <w:instrText xml:space="preserve"> PAGEREF AUTO_2023_685 \h </w:instrText>
      </w:r>
      <w:r>
        <w:fldChar w:fldCharType="separate"/>
      </w:r>
      <w:r w:rsidR="00C73693">
        <w:rPr>
          <w:noProof/>
        </w:rPr>
        <w:t>3026</w:t>
      </w:r>
      <w:r>
        <w:fldChar w:fldCharType="end"/>
      </w:r>
    </w:p>
    <w:p w14:paraId="6AB7A17A" w14:textId="77777777" w:rsidR="007309D3" w:rsidRDefault="007309D3" w:rsidP="007309D3"/>
    <w:p w14:paraId="285F4D5F" w14:textId="10B5304E" w:rsidR="007309D3" w:rsidRDefault="007309D3" w:rsidP="007309D3">
      <w:pPr>
        <w:pStyle w:val="EntradandiceAuto"/>
      </w:pPr>
      <w:r>
        <w:t>Sección Tercera. Auto 686/2023, de 18 de diciembre de 2023. Acepta una abstención en el recurso de amparo 1617-2023, promovido en proceso contencioso administrativo.</w:t>
      </w:r>
      <w:r>
        <w:tab/>
      </w:r>
      <w:r>
        <w:tab/>
      </w:r>
      <w:r>
        <w:fldChar w:fldCharType="begin"/>
      </w:r>
      <w:r>
        <w:instrText xml:space="preserve"> PAGEREF AUTO_2023_686 \h </w:instrText>
      </w:r>
      <w:r>
        <w:fldChar w:fldCharType="separate"/>
      </w:r>
      <w:r w:rsidR="00C73693">
        <w:rPr>
          <w:noProof/>
        </w:rPr>
        <w:t>3028</w:t>
      </w:r>
      <w:r>
        <w:fldChar w:fldCharType="end"/>
      </w:r>
    </w:p>
    <w:p w14:paraId="3CC35FFF" w14:textId="77777777" w:rsidR="007309D3" w:rsidRDefault="007309D3" w:rsidP="007309D3"/>
    <w:p w14:paraId="0E80F183" w14:textId="4483A333" w:rsidR="007309D3" w:rsidRDefault="007309D3" w:rsidP="007309D3">
      <w:pPr>
        <w:pStyle w:val="EntradandiceAuto"/>
      </w:pPr>
      <w:r>
        <w:t>Sección Tercera. Auto 687/2023, de 18 de diciembre de 2023. Acepta una abstención en el recurso de amparo 1704-2023, promovido en proceso contencioso administrativo.</w:t>
      </w:r>
      <w:r>
        <w:tab/>
      </w:r>
      <w:r>
        <w:tab/>
      </w:r>
      <w:r>
        <w:fldChar w:fldCharType="begin"/>
      </w:r>
      <w:r>
        <w:instrText xml:space="preserve"> PAGEREF AUTO_2023_687 \h </w:instrText>
      </w:r>
      <w:r>
        <w:fldChar w:fldCharType="separate"/>
      </w:r>
      <w:r w:rsidR="00C73693">
        <w:rPr>
          <w:noProof/>
        </w:rPr>
        <w:t>3030</w:t>
      </w:r>
      <w:r>
        <w:fldChar w:fldCharType="end"/>
      </w:r>
    </w:p>
    <w:p w14:paraId="4615A0D4" w14:textId="77777777" w:rsidR="007309D3" w:rsidRDefault="007309D3" w:rsidP="007309D3"/>
    <w:p w14:paraId="331D577E" w14:textId="14B0604A" w:rsidR="007309D3" w:rsidRDefault="007309D3" w:rsidP="007309D3">
      <w:pPr>
        <w:pStyle w:val="EntradandiceAuto"/>
      </w:pPr>
      <w:r>
        <w:t>Sección Tercera. Auto 688/2023, de 18 de diciembre de 2023. Acepta una abstención en el recurso de amparo 3343-2023, promovido en proceso contencioso administrativo.</w:t>
      </w:r>
      <w:r>
        <w:tab/>
      </w:r>
      <w:r>
        <w:tab/>
      </w:r>
      <w:r>
        <w:fldChar w:fldCharType="begin"/>
      </w:r>
      <w:r>
        <w:instrText xml:space="preserve"> PAGEREF AUTO_2023_688 \h </w:instrText>
      </w:r>
      <w:r>
        <w:fldChar w:fldCharType="separate"/>
      </w:r>
      <w:r w:rsidR="00C73693">
        <w:rPr>
          <w:noProof/>
        </w:rPr>
        <w:t>3032</w:t>
      </w:r>
      <w:r>
        <w:fldChar w:fldCharType="end"/>
      </w:r>
    </w:p>
    <w:p w14:paraId="64661F82" w14:textId="77777777" w:rsidR="007309D3" w:rsidRDefault="007309D3" w:rsidP="007309D3"/>
    <w:p w14:paraId="48707430" w14:textId="0F80E3D2" w:rsidR="007309D3" w:rsidRDefault="007309D3" w:rsidP="007309D3">
      <w:pPr>
        <w:pStyle w:val="EntradandiceAuto"/>
      </w:pPr>
      <w:r>
        <w:t>Sección Tercera. Auto 689/2023, de 18 de diciembre de 2023. Acepta una abstención en el recurso de amparo 3387-2023, promovido por Quinber Dreams, S.L., en proceso contencioso administrativo.</w:t>
      </w:r>
      <w:r>
        <w:tab/>
      </w:r>
      <w:r>
        <w:tab/>
      </w:r>
      <w:r>
        <w:fldChar w:fldCharType="begin"/>
      </w:r>
      <w:r>
        <w:instrText xml:space="preserve"> PAGEREF AUTO_2023_689 \h </w:instrText>
      </w:r>
      <w:r>
        <w:fldChar w:fldCharType="separate"/>
      </w:r>
      <w:r w:rsidR="00C73693">
        <w:rPr>
          <w:noProof/>
        </w:rPr>
        <w:t>3034</w:t>
      </w:r>
      <w:r>
        <w:fldChar w:fldCharType="end"/>
      </w:r>
    </w:p>
    <w:p w14:paraId="40D05F1B" w14:textId="14DD59D1" w:rsidR="007309D3" w:rsidRDefault="007309D3">
      <w:pPr>
        <w:spacing w:after="160" w:line="278" w:lineRule="auto"/>
      </w:pPr>
      <w:r>
        <w:br w:type="page"/>
      </w:r>
    </w:p>
    <w:p w14:paraId="0ACB5396" w14:textId="77777777" w:rsidR="007309D3" w:rsidRDefault="007309D3" w:rsidP="008D479B"/>
    <w:p w14:paraId="5519FF06" w14:textId="77777777" w:rsidR="007309D3" w:rsidRDefault="007309D3" w:rsidP="008D479B"/>
    <w:p w14:paraId="7A5EE102" w14:textId="77777777" w:rsidR="008D479B" w:rsidRDefault="008D479B" w:rsidP="008D479B"/>
    <w:p w14:paraId="641D2CEB" w14:textId="77777777" w:rsidR="008D479B" w:rsidRDefault="008D479B" w:rsidP="008D479B"/>
    <w:p w14:paraId="1934E29B" w14:textId="77777777" w:rsidR="008D479B" w:rsidRDefault="008D479B" w:rsidP="008D479B"/>
    <w:p w14:paraId="439F6F55" w14:textId="77777777" w:rsidR="008D479B" w:rsidRDefault="008D479B" w:rsidP="008D479B"/>
    <w:p w14:paraId="5EAAE013" w14:textId="77777777" w:rsidR="008D479B" w:rsidRDefault="008D479B" w:rsidP="008D479B"/>
    <w:p w14:paraId="60AA6AFF" w14:textId="77777777" w:rsidR="008D479B" w:rsidRDefault="008D479B" w:rsidP="008D479B"/>
    <w:p w14:paraId="57F170E3" w14:textId="77777777" w:rsidR="008D479B" w:rsidRDefault="008D479B" w:rsidP="008D479B">
      <w:pPr>
        <w:pStyle w:val="CabeceraApartado"/>
      </w:pPr>
      <w:r>
        <w:t>SENTENCIAS</w:t>
      </w:r>
    </w:p>
    <w:p w14:paraId="4B710239" w14:textId="496F30C1" w:rsidR="008D479B" w:rsidRDefault="008D479B">
      <w:pPr>
        <w:spacing w:after="160" w:line="278" w:lineRule="auto"/>
        <w:rPr>
          <w:rFonts w:ascii="Times New Roman" w:eastAsia="Times New Roman" w:hAnsi="Times New Roman" w:cs="Times New Roman"/>
          <w:sz w:val="48"/>
          <w:szCs w:val="24"/>
          <w:lang w:eastAsia="es-ES"/>
        </w:rPr>
      </w:pPr>
      <w:r>
        <w:br w:type="page"/>
      </w:r>
    </w:p>
    <w:p w14:paraId="740A559B" w14:textId="77777777" w:rsidR="008D479B" w:rsidRDefault="008D479B" w:rsidP="008D479B">
      <w:pPr>
        <w:pStyle w:val="TtuloResolucin"/>
      </w:pPr>
      <w:bookmarkStart w:id="3" w:name="SENTENCIA_2023_78"/>
      <w:r>
        <w:lastRenderedPageBreak/>
        <w:t>SENTENCIA 78/2023, de 3 de julio de 2023</w:t>
      </w:r>
    </w:p>
    <w:bookmarkEnd w:id="3"/>
    <w:p w14:paraId="78E8DB22" w14:textId="77777777" w:rsidR="008D479B" w:rsidRDefault="008D479B" w:rsidP="008D479B">
      <w:pPr>
        <w:pStyle w:val="TtuloResolucin"/>
      </w:pPr>
      <w:r>
        <w:t>Sala Primera</w:t>
      </w:r>
    </w:p>
    <w:p w14:paraId="7586D482" w14:textId="77777777" w:rsidR="008D479B" w:rsidRDefault="008D479B" w:rsidP="008D479B">
      <w:pPr>
        <w:pStyle w:val="TtuloBOE"/>
      </w:pPr>
      <w:r>
        <w:t>(BOE núm. 184, de 3 de agosto de 2023)</w:t>
      </w:r>
    </w:p>
    <w:p w14:paraId="061A37D7" w14:textId="77777777" w:rsidR="008D479B" w:rsidRDefault="008D479B" w:rsidP="008D479B">
      <w:pPr>
        <w:pStyle w:val="TextoNormalCentrado"/>
      </w:pPr>
      <w:r>
        <w:t>ECLI:ES:TC:2023:78</w:t>
      </w:r>
    </w:p>
    <w:p w14:paraId="424AD636" w14:textId="4C08BBD2" w:rsidR="008D479B" w:rsidRDefault="008D479B" w:rsidP="008D479B">
      <w:pPr>
        <w:pStyle w:val="TextoNormalCentrado"/>
      </w:pPr>
    </w:p>
    <w:p w14:paraId="7218F1A5" w14:textId="77777777" w:rsidR="008D479B" w:rsidRDefault="008D479B" w:rsidP="008D479B">
      <w:pPr>
        <w:pStyle w:val="SntesisDescriptiva"/>
      </w:pPr>
      <w:r>
        <w:t>Recurso de amparo 2669-2019. Promovido por doña A.C.M., respecto de las resoluciones dictadas por las salas de lo contencioso-administrativo del Tribunal Supremo y del Tribunal Superior de Justicia de la Región de Murcia que desestimaron su reclamación de responsabilidad patrimonial.</w:t>
      </w:r>
    </w:p>
    <w:p w14:paraId="42AF6FE2" w14:textId="1D662151" w:rsidR="008D479B" w:rsidRDefault="008D479B" w:rsidP="008D479B">
      <w:pPr>
        <w:pStyle w:val="SntesisDescriptiva"/>
      </w:pPr>
    </w:p>
    <w:p w14:paraId="0D3D3E7F" w14:textId="77777777" w:rsidR="008D479B" w:rsidRDefault="008D479B" w:rsidP="008D479B">
      <w:pPr>
        <w:pStyle w:val="SntesisAnaltica"/>
      </w:pPr>
      <w:r>
        <w:t>Vulneración del derecho a la integridad física y moral: lesión causada por la derivación a una clínica privada, ubicada fuera del territorio autonómico, para la práctica de la interrupción del embarazo. Votos particulares.</w:t>
      </w:r>
    </w:p>
    <w:p w14:paraId="11EFA6AC" w14:textId="31D9D7EC" w:rsidR="008D479B" w:rsidRDefault="008D479B" w:rsidP="008D479B">
      <w:pPr>
        <w:pStyle w:val="SntesisAnaltica"/>
      </w:pPr>
    </w:p>
    <w:p w14:paraId="0F1C7253" w14:textId="19C5EBCB" w:rsidR="008D479B" w:rsidRDefault="008D479B" w:rsidP="008D479B">
      <w:pPr>
        <w:pStyle w:val="Extracto"/>
      </w:pPr>
      <w:r>
        <w:t>1.</w:t>
      </w:r>
      <w:r>
        <w:tab/>
        <w:t>La interrupción voluntaria del embarazo forma parte del contenido constitucionalmente protegido del derecho fundamental a la integridad física y moral en el art. 15 CE, en conexión con la dignidad de la persona y el libre desarrollo de su personalidad como principios rectores del orden político y la paz social consagrados en el art. 10.1 CE (STC 44/2023) [FJ 5].</w:t>
      </w:r>
    </w:p>
    <w:p w14:paraId="12D064C4" w14:textId="77777777" w:rsidR="008D479B" w:rsidRDefault="008D479B" w:rsidP="008D479B">
      <w:pPr>
        <w:pStyle w:val="Extracto"/>
      </w:pPr>
    </w:p>
    <w:p w14:paraId="75C9F925" w14:textId="4B558F2F" w:rsidR="008D479B" w:rsidRDefault="008D479B" w:rsidP="008D479B">
      <w:pPr>
        <w:pStyle w:val="Extracto"/>
      </w:pPr>
      <w:r>
        <w:t>2.</w:t>
      </w:r>
      <w:r>
        <w:tab/>
        <w:t>La infracción de la ley que regula el ejercicio del derecho a la interrupción del embarazo no conlleva necesariamente la infracción del derecho fundamental a la integridad física y moral de la mujer, sino que para apreciar vulneración es preciso que la previsión legal incumplida incida directamente en el ámbito tutelado por este derecho fundamental, lo que sucederá: cuando no se respete el ámbito de libertad que el legislador otorga a la mujer para adoptar de forma autónoma y sin coerción la decisión que considere más adecuada en cuanto a la continuación o no de la gestación; y cuando se dificulte de manera relevante el acceso a la prestación sanitaria de la interrupción del embarazo  (STC 44/2023) [FJ 5].</w:t>
      </w:r>
    </w:p>
    <w:p w14:paraId="6597CDF9" w14:textId="77777777" w:rsidR="008D479B" w:rsidRDefault="008D479B" w:rsidP="008D479B">
      <w:pPr>
        <w:pStyle w:val="Extracto"/>
      </w:pPr>
    </w:p>
    <w:p w14:paraId="3B18C99F" w14:textId="1424C26E" w:rsidR="008D479B" w:rsidRDefault="008D479B" w:rsidP="008D479B">
      <w:pPr>
        <w:pStyle w:val="Extracto"/>
      </w:pPr>
      <w:r>
        <w:t>3.</w:t>
      </w:r>
      <w:r>
        <w:tab/>
        <w:t>Los profesionales sanitarios de la red sanitaria pública o vinculados a la misma sólo están exentos de practicar la interrupción voluntaria del embarazo cuando hayan ejercido su derecho a la objeción de conciencia conforme establece la Ley Orgánica 2/2010. La objeción de conciencia, en tanto que excepción a una obligación legal y en consecuencia de carácter excepcional, debe ser objeto de una interpretación estricta (STC 44/2023) [FJ 6].</w:t>
      </w:r>
    </w:p>
    <w:p w14:paraId="7BF5FD49" w14:textId="77777777" w:rsidR="008D479B" w:rsidRDefault="008D479B" w:rsidP="008D479B">
      <w:pPr>
        <w:pStyle w:val="Extracto"/>
      </w:pPr>
    </w:p>
    <w:p w14:paraId="34F40E1C" w14:textId="77777777" w:rsidR="008D479B" w:rsidRDefault="008D479B" w:rsidP="008D479B">
      <w:pPr>
        <w:pStyle w:val="Extracto"/>
      </w:pPr>
    </w:p>
    <w:p w14:paraId="76B37388" w14:textId="77777777" w:rsidR="008D479B" w:rsidRDefault="008D479B" w:rsidP="008D479B">
      <w:pPr>
        <w:pStyle w:val="TextoNormal"/>
      </w:pPr>
      <w:r>
        <w:t>La Sala Primera del Tribunal Constitucional, compuesta por el magistrado don Cándido Conde-Pumpido Tourón, presidente, y los magistrados y magistradas don Ricardo Enríquez Sancho, doña Concepción Espejel Jorquera, doña María Luisa Segoviano Astaburuaga y don Juan Carlos Campo Moreno, ha pronunciado</w:t>
      </w:r>
    </w:p>
    <w:p w14:paraId="2838AA16" w14:textId="156249BC" w:rsidR="008D479B" w:rsidRDefault="008D479B" w:rsidP="008D479B">
      <w:pPr>
        <w:pStyle w:val="TextoNormal"/>
      </w:pPr>
    </w:p>
    <w:p w14:paraId="65AF7560" w14:textId="77777777" w:rsidR="008D479B" w:rsidRDefault="008D479B" w:rsidP="008D479B">
      <w:pPr>
        <w:pStyle w:val="TextoNormalCentrado"/>
        <w:keepNext/>
      </w:pPr>
      <w:r>
        <w:t>EN NOMBRE DEL REY</w:t>
      </w:r>
    </w:p>
    <w:p w14:paraId="4A2163EE" w14:textId="7E037514" w:rsidR="008D479B" w:rsidRDefault="008D479B" w:rsidP="008D479B">
      <w:pPr>
        <w:pStyle w:val="TextoNormalCentrado"/>
        <w:keepNext/>
      </w:pPr>
    </w:p>
    <w:p w14:paraId="2F4EAB25" w14:textId="77777777" w:rsidR="008D479B" w:rsidRDefault="008D479B" w:rsidP="008D479B">
      <w:pPr>
        <w:pStyle w:val="TextoNormalCentrado"/>
        <w:keepNext/>
      </w:pPr>
    </w:p>
    <w:p w14:paraId="4B290CA1" w14:textId="77777777" w:rsidR="008D479B" w:rsidRDefault="008D479B" w:rsidP="008D479B">
      <w:pPr>
        <w:pStyle w:val="TextoNormal"/>
      </w:pPr>
      <w:r>
        <w:t>la siguiente</w:t>
      </w:r>
    </w:p>
    <w:p w14:paraId="31174016" w14:textId="640266A7" w:rsidR="008D479B" w:rsidRDefault="008D479B" w:rsidP="008D479B">
      <w:pPr>
        <w:pStyle w:val="TextoNormal"/>
      </w:pPr>
    </w:p>
    <w:p w14:paraId="74D0FA4D" w14:textId="77777777" w:rsidR="008D479B" w:rsidRDefault="008D479B" w:rsidP="008D479B">
      <w:pPr>
        <w:pStyle w:val="TextoNormalCentrado"/>
        <w:keepNext/>
      </w:pPr>
      <w:r>
        <w:t>SENTENCIA</w:t>
      </w:r>
    </w:p>
    <w:p w14:paraId="1E8792A2" w14:textId="521117F5" w:rsidR="008D479B" w:rsidRDefault="008D479B" w:rsidP="008D479B">
      <w:pPr>
        <w:pStyle w:val="TextoNormalCentrado"/>
        <w:keepNext/>
      </w:pPr>
    </w:p>
    <w:p w14:paraId="2C850E6A" w14:textId="77777777" w:rsidR="008D479B" w:rsidRDefault="008D479B" w:rsidP="008D479B">
      <w:pPr>
        <w:pStyle w:val="TextoNormal"/>
      </w:pPr>
      <w:r>
        <w:t>En el recurso de amparo núm. 2669-2019, promovido por doña A.C.M., contra la desestimación por silencio administrativo de la reclamación de responsabilidad patrimonial que interpuso el 16 de octubre de 2015 contra el Servicio Murciano de Salud; contra la sentencia de la Sala de lo Contencioso-Administrativo del Tribunal Superior de Justicia de la Región de Murcia, de 22 de junio de 2018, por la que se desestimó el recurso contencioso-administrativo interpuesto contra la desestimación por silencio de la referida reclamación; contra la providencia de la Sala de lo Contencioso-Administrativo, Sección Primera, del Tribunal Supremo de 17 de enero de 2019, por la que se inadmite el recurso de casación interpuesto contra la citada sentencia del Tribunal Superior de Justicia y contra la providencia de 14 de marzo de 2019, del mismo órgano judicial, por la que se inadmitió el incidente de nulidad de actuaciones interpuesto contra la providencia que inadmitió el recurso de casación. Ha comparecido el letrado de la Comunidad Autónoma de la Región de Murcia. Ha intervenido el Ministerio Fiscal. Ha sido ponente el presidente del Tribunal Constitucional don Cándido Conde-Pumpido Tourón.</w:t>
      </w:r>
    </w:p>
    <w:p w14:paraId="22518A27" w14:textId="343691D3" w:rsidR="008D479B" w:rsidRDefault="008D479B" w:rsidP="008D479B">
      <w:pPr>
        <w:pStyle w:val="TextoNormal"/>
      </w:pPr>
    </w:p>
    <w:p w14:paraId="00C8E1FB" w14:textId="77777777" w:rsidR="008D479B" w:rsidRDefault="008D479B" w:rsidP="008D479B">
      <w:pPr>
        <w:pStyle w:val="TextoNormalNegritaCentrado"/>
        <w:keepNext/>
      </w:pPr>
      <w:r>
        <w:t>I. Antecedentes</w:t>
      </w:r>
    </w:p>
    <w:p w14:paraId="505A7EEA" w14:textId="3AC3B378" w:rsidR="008D479B" w:rsidRDefault="008D479B" w:rsidP="008D479B">
      <w:pPr>
        <w:pStyle w:val="TextoNormalNegritaCentrado"/>
        <w:keepNext/>
      </w:pPr>
    </w:p>
    <w:p w14:paraId="2E96FBD7" w14:textId="430BB18F" w:rsidR="008D479B" w:rsidRDefault="008D479B" w:rsidP="008D479B">
      <w:pPr>
        <w:pStyle w:val="TextoNormal"/>
      </w:pPr>
      <w:r w:rsidRPr="008D479B">
        <w:rPr>
          <w:rStyle w:val="NumeroAFNegritaCaracter"/>
        </w:rPr>
        <w:t>1</w:t>
      </w:r>
      <w:r>
        <w:t>. Por escrito registrado en el tribunal el 26 de abril de 2019 la procuradora de los tribunales doña Raquel Cano Cuadrado, en nombre de doña A.C.M., asistida por la letrada doña Teresa Cristina Fernández Paredes, interpuso recurso de amparo contra la desestimación por silencio administrativo de la reclamación de responsabilidad patrimonial que interpuso el 16 de octubre de 2015 contra el Servicio Murciano de Salud; contra la sentencia de la Sala de lo Contencioso-Administrativo del Tribunal Superior de Justicia de la Región de Murcia, de 22 de junio de 2018, por la que se desestimó el recurso contencioso-administrativo interpuesto contra la desestimación por silencio de la referida reclamación; contra la providencia de la Sala de lo Contencioso-Administrativo, Sección Primera, del Tribunal Supremo de 17 de enero de 2019, por la que se inadmite el recurso de casación interpuesto contra la citada sentencia del Tribunal Superior de Justicia y contra la providencia de 14 de marzo de 2019, del mismo órgano judicial, por la que se inadmitió el incidente de nulidad de actuaciones interpuesto contra la providencia que inadmitió el recurso de casación.</w:t>
      </w:r>
    </w:p>
    <w:p w14:paraId="6123A524" w14:textId="77777777" w:rsidR="008D479B" w:rsidRDefault="008D479B" w:rsidP="008D479B">
      <w:pPr>
        <w:pStyle w:val="TextoNormal"/>
      </w:pPr>
    </w:p>
    <w:p w14:paraId="2FE8A950" w14:textId="77777777" w:rsidR="008D479B" w:rsidRDefault="008D479B" w:rsidP="008D479B">
      <w:pPr>
        <w:pStyle w:val="TextoNormal"/>
      </w:pPr>
      <w:r w:rsidRPr="008D479B">
        <w:rPr>
          <w:rStyle w:val="NumeroAFNegritaCaracter"/>
        </w:rPr>
        <w:t>2</w:t>
      </w:r>
      <w:r>
        <w:t>. En la demanda de amparo se exponen los siguientes antecedentes:</w:t>
      </w:r>
    </w:p>
    <w:p w14:paraId="18D307FA" w14:textId="77777777" w:rsidR="008D479B" w:rsidRDefault="008D479B" w:rsidP="008D479B">
      <w:pPr>
        <w:pStyle w:val="TextoNormal"/>
      </w:pPr>
    </w:p>
    <w:p w14:paraId="01E5F137" w14:textId="77777777" w:rsidR="008D479B" w:rsidRDefault="008D479B" w:rsidP="008D479B">
      <w:pPr>
        <w:pStyle w:val="TextoNormal"/>
      </w:pPr>
      <w:r>
        <w:t>a) La recurrente tiene diagnosticada desde la adolescencia una enfermedad denominada agenesia del cuerpo calloso parcial, con foco de epilepsia. Debido a su enfermedad tuvo una educación formal intermitente, finalizando sus estudios de la educación secundaria obligatoria a los veintiséis años. Sus recursos económicos y los de su marido son muy limitados.</w:t>
      </w:r>
    </w:p>
    <w:p w14:paraId="1A2E4041" w14:textId="77777777" w:rsidR="008D479B" w:rsidRDefault="008D479B" w:rsidP="008D479B">
      <w:pPr>
        <w:pStyle w:val="TextoNormal"/>
      </w:pPr>
    </w:p>
    <w:p w14:paraId="309BA0FA" w14:textId="77777777" w:rsidR="008D479B" w:rsidRDefault="008D479B" w:rsidP="008D479B">
      <w:pPr>
        <w:pStyle w:val="TextoNormal"/>
      </w:pPr>
      <w:r>
        <w:t>b) En julio de 2014 se quedó embarazada y fue derivada al Hospital General Universitario Santa Lucía en la ciudad de Cartagena. Según aduce, en este centro no se le informa de los posibles riesgos para el normal desarrollo del feto como consecuencia directa del impacto de su enfermedad. Afirma que tampoco se le realizaron pruebas adicionales o específicas a tal efecto.</w:t>
      </w:r>
    </w:p>
    <w:p w14:paraId="6278A241" w14:textId="77777777" w:rsidR="008D479B" w:rsidRDefault="008D479B" w:rsidP="008D479B">
      <w:pPr>
        <w:pStyle w:val="TextoNormal"/>
      </w:pPr>
    </w:p>
    <w:p w14:paraId="327EB502" w14:textId="77777777" w:rsidR="008D479B" w:rsidRDefault="008D479B" w:rsidP="008D479B">
      <w:pPr>
        <w:pStyle w:val="TextoNormal"/>
      </w:pPr>
      <w:r>
        <w:t>c) El 22 de octubre de 2014 la recurrente acudió al Hospital General Universitario Santa Lucía, acompañada de su suegra, para realizarse la ecografía preceptiva. El médico que la atiende, el doctor M.G., detecta una anomalía y consulta con un compañero. Según la recurrente, cuando preguntaron lo que sucedía, el facultativo respondió: “No, es que lo mismo, es agenesia del cuerpo calloso”. La suegra de la demandante preguntó al médico “si eso es malo” y contestó: “¿pero no la ves a ella?”. Le dan cita para revisión el 20 de noviembre.</w:t>
      </w:r>
    </w:p>
    <w:p w14:paraId="1A15AC1D" w14:textId="77777777" w:rsidR="008D479B" w:rsidRDefault="008D479B" w:rsidP="008D479B">
      <w:pPr>
        <w:pStyle w:val="TextoNormal"/>
      </w:pPr>
    </w:p>
    <w:p w14:paraId="75177486" w14:textId="77777777" w:rsidR="008D479B" w:rsidRDefault="008D479B" w:rsidP="008D479B">
      <w:pPr>
        <w:pStyle w:val="TextoNormal"/>
      </w:pPr>
      <w:r>
        <w:t>d) El 5 de noviembre de 2014, haciendo uso de un seguro privado, la recurrente, alertada por la posible malformación advertida por el doctor M.G., acude a una clínica privada. Según la demandante, allí le explican que la agenesia que tiene el feto parece ser completa, no parcial, y le dicen que tiene que “moverse”, dado lo avanzado de la gestación.</w:t>
      </w:r>
    </w:p>
    <w:p w14:paraId="29F4368A" w14:textId="77777777" w:rsidR="008D479B" w:rsidRDefault="008D479B" w:rsidP="008D479B">
      <w:pPr>
        <w:pStyle w:val="TextoNormal"/>
      </w:pPr>
    </w:p>
    <w:p w14:paraId="3396BC8B" w14:textId="77777777" w:rsidR="008D479B" w:rsidRDefault="008D479B" w:rsidP="008D479B">
      <w:pPr>
        <w:pStyle w:val="TextoNormal"/>
      </w:pPr>
      <w:r>
        <w:t>e) Al recibir esta información doña A.C.M., acude al Hospital General Universitario Santa Lucía, pero, al no tener cita, no fue atendida, por lo que se dirigió a su centro de salud donde fue atendida por su matrona. Se envió un fax al Hospital General Universitario Santa Lucía solicitando que se la cite con carácter urgente. En el hospital le dieron cita para el día 10 de noviembre.</w:t>
      </w:r>
    </w:p>
    <w:p w14:paraId="01F6C1F2" w14:textId="77777777" w:rsidR="008D479B" w:rsidRDefault="008D479B" w:rsidP="008D479B">
      <w:pPr>
        <w:pStyle w:val="TextoNormal"/>
      </w:pPr>
    </w:p>
    <w:p w14:paraId="00EAABAD" w14:textId="77777777" w:rsidR="008D479B" w:rsidRDefault="008D479B" w:rsidP="008D479B">
      <w:pPr>
        <w:pStyle w:val="TextoNormal"/>
      </w:pPr>
      <w:r>
        <w:t>f) El 10 de noviembre, en su semana veintitrés + tres de gestación, la atendieron en el Hospital General Universitario Santa Lucía tres médicos de la sección de ginecología del servicio de ginecología y obstetricia, entre ellos el jefe de servicio. Uno de los doctores dejó anotado en la historia clínica lo siguiente: “No puedo excluir totalmente la posibilidad de agenesia de c. calloso. Se explican las posibilidades diagnósticas. Se revalorará en diez días y la posibilidad de realizar RM [resonancia magnética]”. En la demanda se afirma que, a pesar de que en la historia clínica se hizo constar que explicaron a doña A.C.M., las posibilidades diagnósticas, esta explicación se limitó a un comentario informal por el que se le indicó que “lo mismo puede salirte bien que mal, hasta la semana treinta y dos no se ve bien del todo”. La recurrente afirma también que los médicos no le explicaron que uno de los diagnósticos posibles era que se confirmara la agenesia del cuerpo calloso completo del feto ni tampoco le explicaron que si tal diagnóstico se confirmara podía interrumpir el embarazo.</w:t>
      </w:r>
    </w:p>
    <w:p w14:paraId="415DC4F4" w14:textId="77777777" w:rsidR="008D479B" w:rsidRDefault="008D479B" w:rsidP="008D479B">
      <w:pPr>
        <w:pStyle w:val="TextoNormal"/>
      </w:pPr>
    </w:p>
    <w:p w14:paraId="3255B4F6" w14:textId="77777777" w:rsidR="008D479B" w:rsidRDefault="008D479B" w:rsidP="008D479B">
      <w:pPr>
        <w:pStyle w:val="TextoNormal"/>
      </w:pPr>
      <w:r>
        <w:t>Tras esta cita médica, la recurrente se quedó muy preocupada, por lo que ese mismo día acudió a un centro privado de Murcia en el que le realizaron un “examen ultrasónico en modo B (tiempo real) mediante una sonda abdominal”. Los resultados confirmaron el diagnóstico de agenesia completa del cuerpo calloso en el feto y se le explicó la necesidad de hacer una resonancia magnética nuclear (RMN) para ver en el grado en el que se encuentra. Se detectan, además, otras malformaciones cerebrales.</w:t>
      </w:r>
    </w:p>
    <w:p w14:paraId="7500CBF9" w14:textId="77777777" w:rsidR="008D479B" w:rsidRDefault="008D479B" w:rsidP="008D479B">
      <w:pPr>
        <w:pStyle w:val="TextoNormal"/>
      </w:pPr>
    </w:p>
    <w:p w14:paraId="57AC97BA" w14:textId="77777777" w:rsidR="008D479B" w:rsidRDefault="008D479B" w:rsidP="008D479B">
      <w:pPr>
        <w:pStyle w:val="TextoNormal"/>
      </w:pPr>
      <w:r>
        <w:t>g) El 13 de noviembre (semana veintitrés + seis de gestación) acude a una clínica privada en Madrid para que le hagan la resonancia magnética nuclear. En este centro, el médico le prescribe un estudio genético, que se lo hace esa misma mañana, y una resonancia, que se realiza por la tarde. Tras los resultados de estas pruebas le explican que el feto tiene una agenesia del 90 por 100. Asimismo, se diagnostican malformaciones encefálicas bilaterales. Por todo ello, se le informa de que el pronóstico neurológico es malo, con una probabilidad muy elevada de que el cuadro se asocie con discapacidad intelectual, afectación motora y crisis epilépticas que llevarían a una situación de dependencia grave y ausencia de autonomía. Se recomienda valoración por el comité ético para considerar la interrupción del embarazo en función de esta información y la decisión de los padres.</w:t>
      </w:r>
    </w:p>
    <w:p w14:paraId="7321265C" w14:textId="77777777" w:rsidR="008D479B" w:rsidRDefault="008D479B" w:rsidP="008D479B">
      <w:pPr>
        <w:pStyle w:val="TextoNormal"/>
      </w:pPr>
    </w:p>
    <w:p w14:paraId="27964347" w14:textId="77777777" w:rsidR="008D479B" w:rsidRDefault="008D479B" w:rsidP="008D479B">
      <w:pPr>
        <w:pStyle w:val="TextoNormal"/>
      </w:pPr>
      <w:r>
        <w:t>h) Con estos resultados, el día 14 de noviembre, acude a su centro médico en Cartagena. A la vista de estos, su doctora de cabecera llama directamente al hospital para que la atiendan con carácter urgente, sin embargo, mantiene la cita del 20 de noviembre.</w:t>
      </w:r>
    </w:p>
    <w:p w14:paraId="6B495A99" w14:textId="77777777" w:rsidR="008D479B" w:rsidRDefault="008D479B" w:rsidP="008D479B">
      <w:pPr>
        <w:pStyle w:val="TextoNormal"/>
      </w:pPr>
    </w:p>
    <w:p w14:paraId="030D23CA" w14:textId="77777777" w:rsidR="008D479B" w:rsidRDefault="008D479B" w:rsidP="008D479B">
      <w:pPr>
        <w:pStyle w:val="TextoNormal"/>
      </w:pPr>
      <w:r>
        <w:t>i) El 20 de noviembre, semana veinticuatro + seis de gestación, acuden al Hospital General Universitario Santa Lucía. En la consulta están presentes los médicos gineco-obstetras (entre ellos el jefe de sección) y una radióloga. En la historia clínica se hace referencia a lo siguiente:</w:t>
      </w:r>
    </w:p>
    <w:p w14:paraId="0D06DC07" w14:textId="77777777" w:rsidR="008D479B" w:rsidRDefault="008D479B" w:rsidP="008D479B">
      <w:pPr>
        <w:pStyle w:val="TextoNormal"/>
      </w:pPr>
    </w:p>
    <w:p w14:paraId="4394D5A1" w14:textId="77777777" w:rsidR="008D479B" w:rsidRDefault="008D479B" w:rsidP="008D479B">
      <w:pPr>
        <w:pStyle w:val="TextoNormal"/>
      </w:pPr>
      <w:r>
        <w:t>“La paciente y su pareja aportan estudio de RMN fetal realizado en centro privado […] Revisamos el estudio de RMN junto con el servicio de radiología de este centro […]. Solo se aprecia ausencia total del cuerpo calloso, y dentro del contexto de esta patología, el hallazgo de discreta colpocefalia que no se considera como un hallazgo patológico asociado. Se decide, de mutuo acuerdo con los padres, realizar interconsulta con servicio de Neurología Pediátrica de este centro para segunda opinión y valoración pronostica. Tras conversación con esa especialidad, y en vista del pronóstico incierto de la patología, los padres deciden solicitar interrupción legal del embarazo. Se deriva para revisión del caso por comité ético de la región de Murcia”.</w:t>
      </w:r>
    </w:p>
    <w:p w14:paraId="4FFCFFFB" w14:textId="77777777" w:rsidR="008D479B" w:rsidRDefault="008D479B" w:rsidP="008D479B">
      <w:pPr>
        <w:pStyle w:val="TextoNormal"/>
      </w:pPr>
    </w:p>
    <w:p w14:paraId="13F46C23" w14:textId="77777777" w:rsidR="008D479B" w:rsidRDefault="008D479B" w:rsidP="008D479B">
      <w:pPr>
        <w:pStyle w:val="TextoNormal"/>
      </w:pPr>
      <w:r>
        <w:t>Según la recurrente, en aquella cita, se le informa por primera vez de que el hospital cuenta con un servicio de neurología pediátrica. Ese mismo día obtiene una cita con un médico de ese servicio. El neurólogo pediátrico le explica que la enfermedad que tiene el feto es muy grave y le da toda la información y explicaciones que pide sobre el probable diagnóstico y pronóstico de la vida del feto en caso de nacer, coincidiendo con lo expuesto en la clínica privada de Madrid.</w:t>
      </w:r>
    </w:p>
    <w:p w14:paraId="4C60A886" w14:textId="77777777" w:rsidR="008D479B" w:rsidRDefault="008D479B" w:rsidP="008D479B">
      <w:pPr>
        <w:pStyle w:val="TextoNormal"/>
      </w:pPr>
    </w:p>
    <w:p w14:paraId="2D84D038" w14:textId="77777777" w:rsidR="008D479B" w:rsidRDefault="008D479B" w:rsidP="008D479B">
      <w:pPr>
        <w:pStyle w:val="TextoNormal"/>
      </w:pPr>
      <w:r>
        <w:t>j) Con esta información, la recurrente finalmente decide abortar, acogiéndose a la excepción prevista en el art. 15 c) de la Ley Orgánica 2/2010, de 3 de marzo, de salud sexual y reproductiva y de la interrupción voluntaria del embarazo: “Cuando se detecten anomalías fetales incompatibles con la vida y así conste en un dictamen emitido con anterioridad por un médico o médica especialista, distinto del que practique la intervención, o cuando se detecte en el feto una enfermedad extremadamente grave e incurable en el momento del diagnóstico y así lo confirme un comité clínico”.</w:t>
      </w:r>
    </w:p>
    <w:p w14:paraId="13C85365" w14:textId="77777777" w:rsidR="008D479B" w:rsidRDefault="008D479B" w:rsidP="008D479B">
      <w:pPr>
        <w:pStyle w:val="TextoNormal"/>
      </w:pPr>
    </w:p>
    <w:p w14:paraId="79A15739" w14:textId="77777777" w:rsidR="008D479B" w:rsidRDefault="008D479B" w:rsidP="008D479B">
      <w:pPr>
        <w:pStyle w:val="TextoNormal"/>
      </w:pPr>
      <w:r>
        <w:t>k) Para ello, presenta su solicitud de interrupción voluntaria del embarazo al comité asesor clínico de Murcia. El 26 de noviembre (semana veinticinco + seis de gestación) recibe una llamada donde la informan de que el comité clínico ha aprobado su solicitud y le explican que la interrupción voluntaria del embarazo se realizará en una clínica privada de Madrid. En ningún momento le envían la copia del informe del comité. Toda la información se le comunica por teléfono.</w:t>
      </w:r>
    </w:p>
    <w:p w14:paraId="268A59E2" w14:textId="77777777" w:rsidR="008D479B" w:rsidRDefault="008D479B" w:rsidP="008D479B">
      <w:pPr>
        <w:pStyle w:val="TextoNormal"/>
      </w:pPr>
    </w:p>
    <w:p w14:paraId="3D571944" w14:textId="77777777" w:rsidR="008D479B" w:rsidRDefault="008D479B" w:rsidP="008D479B">
      <w:pPr>
        <w:pStyle w:val="TextoNormal"/>
      </w:pPr>
      <w:r>
        <w:t>l) En la clínica privada de Madrid, el 1 de diciembre le practican un parto inducido (semana veintiséis + cinco de gestación), ya que, dado lo avanzado de la gestación, no era posible practicar un procedimiento de interrupción voluntaria del embarazo menos invasivo.</w:t>
      </w:r>
    </w:p>
    <w:p w14:paraId="7AF6931F" w14:textId="77777777" w:rsidR="008D479B" w:rsidRDefault="008D479B" w:rsidP="008D479B">
      <w:pPr>
        <w:pStyle w:val="TextoNormal"/>
      </w:pPr>
    </w:p>
    <w:p w14:paraId="53A451B3" w14:textId="77777777" w:rsidR="008D479B" w:rsidRDefault="008D479B" w:rsidP="008D479B">
      <w:pPr>
        <w:pStyle w:val="TextoNormal"/>
      </w:pPr>
      <w:r>
        <w:t>La recurrente afirma que al llegar al centro la esperaban un grupo de manifestantes antiabortistas.</w:t>
      </w:r>
    </w:p>
    <w:p w14:paraId="4AF81CE4" w14:textId="77777777" w:rsidR="008D479B" w:rsidRDefault="008D479B" w:rsidP="008D479B">
      <w:pPr>
        <w:pStyle w:val="TextoNormal"/>
      </w:pPr>
    </w:p>
    <w:p w14:paraId="58EE83BA" w14:textId="4A31C2F1" w:rsidR="008D479B" w:rsidRDefault="008D479B" w:rsidP="008D479B">
      <w:pPr>
        <w:pStyle w:val="TextoNormal"/>
      </w:pPr>
      <w:r>
        <w:t>Tras la interrupción del embarazo le recomiendan que a los diez días acuda a una revisión postparto, bien a esa misma clínica o en su centro hospitalario asignado. Dado que para entonces ya había regresado a Cartagena, el 3 de diciembre acude a su médica de cabecera quien la remite al Hospital General Universitario Santa Lucía. Según la recurrente, en el hospital le dicen que no pueden atenderla, que tiene que ir a una clínica especializada en la interrupción voluntaria del embarazo, rechazando darle tratamiento médico y apoyo psicológico. La recurrente afirma que, con la ayuda de su hermana, tiene que pedir cita y trasladarse a la ciudad de Murcia para la revisión.</w:t>
      </w:r>
    </w:p>
    <w:p w14:paraId="7A344E02" w14:textId="77777777" w:rsidR="008D479B" w:rsidRDefault="008D479B" w:rsidP="008D479B">
      <w:pPr>
        <w:pStyle w:val="TextoNormal"/>
      </w:pPr>
    </w:p>
    <w:p w14:paraId="71542FAB" w14:textId="77777777" w:rsidR="008D479B" w:rsidRDefault="008D479B" w:rsidP="008D479B">
      <w:pPr>
        <w:pStyle w:val="TextoNormal"/>
      </w:pPr>
      <w:r w:rsidRPr="008D479B">
        <w:rPr>
          <w:rStyle w:val="NumeroAFNegritaCaracter"/>
        </w:rPr>
        <w:t>3</w:t>
      </w:r>
      <w:r>
        <w:t>. El 16 de octubre de 2015 se presenta reclamación de responsabilidad patrimonial por el funcionamiento de los servicios sanitarios. En esta reclamación se sostiene que el Hospital General Universitario Santa Lucía de Cartagena ha vulnerado sus derechos a la salud, en particular a su salud reproductiva, su derecho de acceso a la información en materia de salud, sus derechos fundamentales a la vida privada, a la dignidad y a vivir libre de tratos crueles, inhumanos y degradantes, todos ellos en relación con el derecho a no sufrir discriminación. Según aduce la vulneración de estos derechos le ha causado los siguientes daños: (i) daños morales producidos por el trato sufrido por el Servicio Murciano de Salud durante su embarazo, por la obstaculización de su derecho a la interrupción voluntaria del embarazo y por tener que desplazarse a otra comunidad autónoma que no era la suya; (ii) daños psiquiátricos y psicológicos consistentes en un “trastorno por estrés postraumático crónico asociado a un trastorno depresivo mayor único grave con síntomas psicóticos congruentes con el estado de ánimo”, y (iii) daños patrimoniales derivados de los gastos que ha tenido que incurrir a causa de los desplazamientos dentro de la Región de Murcia y a Madrid para la realización de pruebas médicas en clínicas privadas y los derivados de la mudanza que ha tenido que realizar para poder estar más acompañada y poder hacer frente a los trastornos graves que le ha producido la actuación de los servicios públicos de salud.</w:t>
      </w:r>
    </w:p>
    <w:p w14:paraId="644BEFDA" w14:textId="77777777" w:rsidR="008D479B" w:rsidRDefault="008D479B" w:rsidP="008D479B">
      <w:pPr>
        <w:pStyle w:val="TextoNormal"/>
      </w:pPr>
    </w:p>
    <w:p w14:paraId="5A60EADF" w14:textId="77777777" w:rsidR="008D479B" w:rsidRDefault="008D479B" w:rsidP="008D479B">
      <w:pPr>
        <w:pStyle w:val="TextoNormal"/>
      </w:pPr>
      <w:r>
        <w:t>Por todo ello solicita que se declare la vulneración de los derechos que se consideran lesionados, su derecho a recibir una indemnización de 81 844,43 € por los daños y perjuicios causados, que se acuerde el establecimiento de un protocolo de atención integral en salud sexual y reproductiva a las mujeres y niñas, y se imponga una sanción administrativa al Hospital General Universitario Santa Lucía.</w:t>
      </w:r>
    </w:p>
    <w:p w14:paraId="7543BB75" w14:textId="77777777" w:rsidR="008D479B" w:rsidRDefault="008D479B" w:rsidP="008D479B">
      <w:pPr>
        <w:pStyle w:val="TextoNormal"/>
      </w:pPr>
    </w:p>
    <w:p w14:paraId="29B264B2" w14:textId="14CBF697" w:rsidR="008D479B" w:rsidRDefault="008D479B" w:rsidP="008D479B">
      <w:pPr>
        <w:pStyle w:val="TextoNormal"/>
      </w:pPr>
      <w:r>
        <w:t>Esta reclamación se consideró desestimada por silencio administrativo negativo al transcurrir más de seis meses desde su interposición sin que la administración dictara resolución.</w:t>
      </w:r>
    </w:p>
    <w:p w14:paraId="2B50F436" w14:textId="77777777" w:rsidR="008D479B" w:rsidRDefault="008D479B" w:rsidP="008D479B">
      <w:pPr>
        <w:pStyle w:val="TextoNormal"/>
      </w:pPr>
    </w:p>
    <w:p w14:paraId="20CD1BAE" w14:textId="77777777" w:rsidR="008D479B" w:rsidRDefault="008D479B" w:rsidP="008D479B">
      <w:pPr>
        <w:pStyle w:val="TextoNormal"/>
      </w:pPr>
      <w:r w:rsidRPr="008D479B">
        <w:rPr>
          <w:rStyle w:val="NumeroAFNegritaCaracter"/>
        </w:rPr>
        <w:t>4</w:t>
      </w:r>
      <w:r>
        <w:t>. Contra la desestimación por silencio de su reclamación de responsabilidad patrimonial interpuso recurso contencioso-administrativo ante la Sala de lo Contencioso-Administrativo del Tribunal Superior de Justicia de Murcia, en el que reprodujo las solicitudes formuladas en vía administrativa, poniendo de manifiesto que la actuación de las autoridades sanitarias de la Región de Murcia no garantizó sus derechos fundamentales a la integridad personal (art. 15 CE) y a no sufrir discriminación por razones de sexo, condición psicofísica y socioeconómica (art. 14 CE) y además vulneró su derecho a la libertad personal en su vertiente de autodeterminación (art. 17 CE) y a la intimidad personal y familiar (art. 18 CE).</w:t>
      </w:r>
    </w:p>
    <w:p w14:paraId="0E54FEB2" w14:textId="77777777" w:rsidR="008D479B" w:rsidRDefault="008D479B" w:rsidP="008D479B">
      <w:pPr>
        <w:pStyle w:val="TextoNormal"/>
      </w:pPr>
    </w:p>
    <w:p w14:paraId="069453B8" w14:textId="77777777" w:rsidR="008D479B" w:rsidRDefault="008D479B" w:rsidP="008D479B">
      <w:pPr>
        <w:pStyle w:val="TextoNormal"/>
      </w:pPr>
      <w:r>
        <w:t xml:space="preserve">Por sentencia de 22 de julio de 2018, el Tribunal Superior de Justicia de Murcia desestimó el recurso al apreciar que la actuación de los servicios sanitarios había sido conforme a la </w:t>
      </w:r>
      <w:r w:rsidRPr="008D479B">
        <w:rPr>
          <w:i/>
        </w:rPr>
        <w:t>lex artis</w:t>
      </w:r>
      <w:r>
        <w:t>. La Sala llegó a esta conclusión tras valorar la prueba practicada. Considera acreditado por las declaraciones de los facultativos especialistas del servicio de obstetricia del Hospital General Universitario Santa Lucía de Cartagena que el tratamiento del embarazo de la recurrente fue correcto y que la informaron del desarrollo de su embarazo así como de la enfermedad fetal, pues según afirma esta resolución “consta paso a paso el seguimiento del embarazo de la actora en la historia clínica, en su cartilla de embarazada, en los informes clínicos de los ginecólogos y en la historia de atención primaria”. Asimismo, concluyó que la derivación a la clínica privada de Madrid era correcta, ya que “en Murcia ningún facultativo ha pedido poder practicar interrupciones voluntarias de embarazo en la sanidad pública, según consta en certificado remitido por el director gerente del área I”.</w:t>
      </w:r>
    </w:p>
    <w:p w14:paraId="0CA6CB48" w14:textId="77777777" w:rsidR="008D479B" w:rsidRDefault="008D479B" w:rsidP="008D479B">
      <w:pPr>
        <w:pStyle w:val="TextoNormal"/>
      </w:pPr>
    </w:p>
    <w:p w14:paraId="7923AC98" w14:textId="77777777" w:rsidR="008D479B" w:rsidRDefault="008D479B" w:rsidP="008D479B">
      <w:pPr>
        <w:pStyle w:val="TextoNormal"/>
      </w:pPr>
      <w:r>
        <w:t>Respecto de las pruebas periciales practicadas a solicitud de la recurrente considera que sus conclusiones “en esencia hablan de lo que se les ha referido por la actora, lo que no deja de ser una apreciación subjetiva de esta”.</w:t>
      </w:r>
    </w:p>
    <w:p w14:paraId="0E50D03A" w14:textId="77777777" w:rsidR="008D479B" w:rsidRDefault="008D479B" w:rsidP="008D479B">
      <w:pPr>
        <w:pStyle w:val="TextoNormal"/>
      </w:pPr>
    </w:p>
    <w:p w14:paraId="5F14081B" w14:textId="342D22C4" w:rsidR="008D479B" w:rsidRDefault="008D479B" w:rsidP="008D479B">
      <w:pPr>
        <w:pStyle w:val="TextoNormal"/>
      </w:pPr>
      <w:r>
        <w:t>También rechaza las alegaciones relativas al trato vejatorio y discriminatorio alegado, al apreciar que no había quedado “mínimamente acreditado” (FJ 4).</w:t>
      </w:r>
    </w:p>
    <w:p w14:paraId="662B35BE" w14:textId="77777777" w:rsidR="008D479B" w:rsidRDefault="008D479B" w:rsidP="008D479B">
      <w:pPr>
        <w:pStyle w:val="TextoNormal"/>
      </w:pPr>
    </w:p>
    <w:p w14:paraId="47BA50CE" w14:textId="69CC1EFA" w:rsidR="008D479B" w:rsidRDefault="008D479B" w:rsidP="008D479B">
      <w:pPr>
        <w:pStyle w:val="TextoNormal"/>
      </w:pPr>
      <w:r w:rsidRPr="008D479B">
        <w:rPr>
          <w:rStyle w:val="NumeroAFNegritaCaracter"/>
        </w:rPr>
        <w:t>5</w:t>
      </w:r>
      <w:r>
        <w:t>. Contra la referida sentencia se interpuso recurso de casación. Por providencia de 17 de enero de 2019, notificada ese mismo día, el Tribunal Supremo inadmitió a trámite el recurso al apreciar que (i) no se había fundamentado de forma suficiente la concurrencia del interés casacional objetivo para la formación de la jurisprudencia y la conveniencia de un pronunciamiento de la Sala de lo Contencioso-Administrativo del Tribunal Supremo; y (ii) que el recurso carecía de interés casacional objetivo en los términos en los que se había preparado.</w:t>
      </w:r>
    </w:p>
    <w:p w14:paraId="1AD07665" w14:textId="77777777" w:rsidR="008D479B" w:rsidRDefault="008D479B" w:rsidP="008D479B">
      <w:pPr>
        <w:pStyle w:val="TextoNormal"/>
      </w:pPr>
    </w:p>
    <w:p w14:paraId="176508C6" w14:textId="1A0E5FD6" w:rsidR="008D479B" w:rsidRDefault="008D479B" w:rsidP="008D479B">
      <w:pPr>
        <w:pStyle w:val="TextoNormal"/>
      </w:pPr>
      <w:r w:rsidRPr="008D479B">
        <w:rPr>
          <w:rStyle w:val="NumeroAFNegritaCaracter"/>
        </w:rPr>
        <w:t>6</w:t>
      </w:r>
      <w:r>
        <w:t>. Frente a la anterior providencia, el 14 de febrero de 2019, se interpuso incidente de nulidad de actuaciones, que fue inadmitido por providencia de 14 de marzo de 2019.</w:t>
      </w:r>
    </w:p>
    <w:p w14:paraId="12053DE4" w14:textId="77777777" w:rsidR="008D479B" w:rsidRDefault="008D479B" w:rsidP="008D479B">
      <w:pPr>
        <w:pStyle w:val="TextoNormal"/>
      </w:pPr>
    </w:p>
    <w:p w14:paraId="0A536DE0" w14:textId="77777777" w:rsidR="008D479B" w:rsidRDefault="008D479B" w:rsidP="008D479B">
      <w:pPr>
        <w:pStyle w:val="TextoNormal"/>
      </w:pPr>
      <w:r w:rsidRPr="008D479B">
        <w:rPr>
          <w:rStyle w:val="NumeroAFNegritaCaracter"/>
        </w:rPr>
        <w:t>7</w:t>
      </w:r>
      <w:r>
        <w:t xml:space="preserve">. En la demanda de amparo se aduce, por una parte, la vulneración del derecho a la tutela judicial efectiva (art. 24.1 CE) y el derecho a un proceso con todas las garantías (art. 24.2 CE). Entiende la recurrente que las resoluciones judiciales impugnadas vulneran este derecho fundamental por varios motivos. Se alega que la inadmisión del recurso de casación y del incidente de nulidad de actuaciones suponen una vulneración autónoma del derecho a la tutela judicial efectiva en su vertiente de derecho de acceso a la justicia, a los recursos y a un proceso con todas las garantías porque le impide la revisión en segunda instancia de sus pretensiones. En la demanda de amparo se afirma que el Tribunal Europeo de Derechos Humanos sostiene que la denegación del derecho de acceso al recurso y, en concreto, del recurso de casación, puede vulnerar el derecho que garantiza el art. 6.1 del Convenio europeo de derechos humanos (CEDH). Se citan las SSTEDH de 31 de julio de 2001, asunto </w:t>
      </w:r>
      <w:r w:rsidRPr="008D479B">
        <w:rPr>
          <w:i/>
        </w:rPr>
        <w:t>Mortier c. Francia</w:t>
      </w:r>
      <w:r>
        <w:t xml:space="preserve">; de 2 de junio de 2016, asunto </w:t>
      </w:r>
      <w:r w:rsidRPr="008D479B">
        <w:rPr>
          <w:i/>
        </w:rPr>
        <w:t>Papaioannou c. Grecia</w:t>
      </w:r>
      <w:r>
        <w:t xml:space="preserve">, y de 5 de noviembre de 2019, asunto </w:t>
      </w:r>
      <w:r w:rsidRPr="008D479B">
        <w:rPr>
          <w:i/>
        </w:rPr>
        <w:t>Nunes Guerreiro c. Luxemburgo</w:t>
      </w:r>
      <w:r>
        <w:t>. Junto a ello se aduce que la falta de acceso a la segunda instancia le ha impedido que pueda obtener la protección de sus derechos fundamentales. Entiende, además, que la inadmisión del recurso de casación, al no reparar los derechos fundamentales sustantivos de la recurrente, es lesiva también de estos derechos.</w:t>
      </w:r>
    </w:p>
    <w:p w14:paraId="60D9B12C" w14:textId="77777777" w:rsidR="008D479B" w:rsidRDefault="008D479B" w:rsidP="008D479B">
      <w:pPr>
        <w:pStyle w:val="TextoNormal"/>
      </w:pPr>
    </w:p>
    <w:p w14:paraId="6CFDEB65" w14:textId="77777777" w:rsidR="008D479B" w:rsidRDefault="008D479B" w:rsidP="008D479B">
      <w:pPr>
        <w:pStyle w:val="TextoNormal"/>
      </w:pPr>
      <w:r>
        <w:t>Asimismo, la recurrente sostiene que no ha obtenido una decisión motivada y razonada sobre la vulneración de los derechos fundamentales sustantivos denunciados (el derecho a la integridad física y moral, a la intimidad personal y familiar y a no sufrir discriminación, entre otros motivos, por razón de sexo). Considera que en estos casos en los que se aduce la vulneración de derechos fundamentales el derecho a la tutela judicial efectiva exige un “canon constitucional reforzado”. Se invocan las SSTC 112/2004, de 12 de julio, FJ 4; 196/2005, de 18 de julio, FJ 5; 74/2007, de 16 de abril, FJ 3; 202/2007, de 24 de septiembre, FJ 3; 250/2007, de 17 de diciembre, FJ 5, y 34/2008, de 25 de febrero, FJ 6.</w:t>
      </w:r>
    </w:p>
    <w:p w14:paraId="7F16AE1B" w14:textId="77777777" w:rsidR="008D479B" w:rsidRDefault="008D479B" w:rsidP="008D479B">
      <w:pPr>
        <w:pStyle w:val="TextoNormal"/>
      </w:pPr>
    </w:p>
    <w:p w14:paraId="6CADF5B9" w14:textId="77777777" w:rsidR="008D479B" w:rsidRDefault="008D479B" w:rsidP="008D479B">
      <w:pPr>
        <w:pStyle w:val="TextoNormal"/>
      </w:pPr>
      <w:r>
        <w:t xml:space="preserve">Se alega, por otra parte, que los profesionales sanitarios sometieron a la recurrente a un trato vejatorio y prejuicioso. La recurrente sostiene que tales hechos afectaron severamente a su integridad física y mental al causarle enormes y duraderos sufrimientos, por lo que considera vulnerado su derecho a la integridad física y moral garantizado en el art. 15 CE y art. 3 CEDH. Aduce también la vulneración de su derecho a la intimidad familiar y personal (art. 18.1 CE y art. 8 CEDH). Entiende que el derecho a la información en materia de salud sexual y reproductiva está intrínsecamente relacionado con la autonomía y el derecho a la dignidad y se enmarca en el seno de la protección a la intimidad personal y familiar. La recurrente afirma que no se le suministró de manera completa y adecuada información sobre su embarazo de alto riesgo ni sobre el anormal desarrollo fetal ni sobre sobre la posibilidad de interrumpir la gestación ni sobre sus derechos a las prestaciones sanitarias públicas, como exigen los arts. 6 y 17.1 y 4 de Ley Orgánica 2/2010, de 3 de marzo, de salud sexual y reproductiva y de la interrupción voluntaria del embarazo. Por ello considera que el Servicio Murciano de Salud, al ignorar que las decisiones sobre el embarazo y la maternidad corresponden a las mujeres e imponer barreras a su acceso a la interrupción voluntaria del embarazo, vulneró su derecho a la intimidad personal y familiar y a su dignidad. También se consideran vulnerados los arts. 3 y 8 CEDH. Se invoca la STEDH de 26 de mayo de 2011, asunto </w:t>
      </w:r>
      <w:r w:rsidRPr="008D479B">
        <w:rPr>
          <w:i/>
        </w:rPr>
        <w:t>R.R. c. Polonia</w:t>
      </w:r>
      <w:r>
        <w:t>.</w:t>
      </w:r>
    </w:p>
    <w:p w14:paraId="124FBA69" w14:textId="77777777" w:rsidR="008D479B" w:rsidRDefault="008D479B" w:rsidP="008D479B">
      <w:pPr>
        <w:pStyle w:val="TextoNormal"/>
      </w:pPr>
    </w:p>
    <w:p w14:paraId="4AA9CE7D" w14:textId="77777777" w:rsidR="008D479B" w:rsidRDefault="008D479B" w:rsidP="008D479B">
      <w:pPr>
        <w:pStyle w:val="TextoNormal"/>
      </w:pPr>
      <w:r>
        <w:t>En la demanda de amparo se aduce, además, la vulneración del principio de no discriminación por razón de sexo [art. 14 CE, arts. 14 y 1 del protocolo núm. 12 al CEDH, arts. 1, 12 y 16 e) de la Convención de todas las formas de discriminación contra la mujer: CEDAW]. Se afirma que los hechos de los que trae causa el presente recurso de amparo constituyen un supuesto de discriminación en el que confluyen diversos factores de exclusión: el sexo, el género, la condición psicofísica (la recurrente tiene la misma enfermedad que se le diagnosticó al feto), la condición socioeconómica y la residencia en una comunidad autónoma en la que se dificulta el acceso a la interrupción voluntaria del embarazo. Asimismo, se sostiene que las barreras que obstaculizan el acceso al aborto en condiciones de igualdad, dignidad y seguridad —en este caso por falta de información completa en tiempo y forma— suponen una práctica discriminatoria, ya que vulneran derechos propios y específicos de las mujeres, en tanto que son las únicas que pueden quedarse embarazadas y, por tanto, requerir del procedimiento médico de interrupción del embarazo. También se alega que el trato diferenciado afectó a la recurrente de manera particularizada, porque, debido a su condición socioeconómica, le resultaba especialmente gravoso sufragarse los gastos que conlleva verse obligada a trasladarse a otra comunidad autónoma para poder interrumpir el embarazo. Se aduce que la discriminación padecida tuvo especial incidencia en la demandante por carecer de una formación cultural que le permitiera hacer prevalecer su opinión frente a la de los médicos que la trataban.</w:t>
      </w:r>
    </w:p>
    <w:p w14:paraId="51F9E03C" w14:textId="77777777" w:rsidR="008D479B" w:rsidRDefault="008D479B" w:rsidP="008D479B">
      <w:pPr>
        <w:pStyle w:val="TextoNormal"/>
      </w:pPr>
    </w:p>
    <w:p w14:paraId="127DE6FB" w14:textId="77777777" w:rsidR="008D479B" w:rsidRDefault="008D479B" w:rsidP="008D479B">
      <w:pPr>
        <w:pStyle w:val="TextoNormal"/>
      </w:pPr>
      <w:r>
        <w:t>Se afirma, por otra parte, que hubo una objeción de conciencia generalizada en toda la Región de Murcia, lo que supone, según la recurrente, no solo la infracción de lo establecido en los apartados 1 y 3 del art. 19 y del art. 18 de la Ley Orgánica 2/2010 en la redacción entonces vigente, sino también la del art. 14 CE. La demandante de amparo entiende que se produce esta vulneración constitucional porque esta situación de objeción de conciencia generalizada produce una grave situación de desigualdad para las mujeres murcianas en relación con las que residen en otra comunidad autónoma. Alega que no es lo mismo poder interrumpir el embarazo en la comunidad autónoma en la que se reside que tener que acudir a otra, lo que supone asumir los gastos de desplazamiento y tener que hacer un viaje en una situación en la que, como consecuencia de la interrupción del embarazo, se sufre malestar físico y emocional.</w:t>
      </w:r>
    </w:p>
    <w:p w14:paraId="0681B31A" w14:textId="77777777" w:rsidR="008D479B" w:rsidRDefault="008D479B" w:rsidP="008D479B">
      <w:pPr>
        <w:pStyle w:val="TextoNormal"/>
      </w:pPr>
    </w:p>
    <w:p w14:paraId="7689B4E5" w14:textId="4744529E" w:rsidR="008D479B" w:rsidRDefault="008D479B" w:rsidP="008D479B">
      <w:pPr>
        <w:pStyle w:val="TextoNormal"/>
      </w:pPr>
      <w:r>
        <w:t>En virtud de las consideraciones expuestas, la recurrente solicita al Tribunal que admita la demanda de amparo y tras los trámites oportunos dicte sentencia por la que se anule la sentencia del Tribunal Superior de Justicia que desestimó el recurso contencioso-administrativo interpuesto contra la desestimación por silencio de la reclamación de responsabilidad por el funcionamiento del Servicio de Salud de Murcia así como la providencia de 17 de enero de 2019, por la que se inadmitió a trámite el recurso de casación contra la referida sentencia, que se reconozca que se han vulnerado sus derechos a la tutela judicial efectiva, a la integridad física y moral, a la intimidad personal y familiar y a no sufrir discriminación por razón de sexo y de situación económica y que se la reintegre en los derechos fundamentales vulnerados con las reparaciones pertinentes.</w:t>
      </w:r>
    </w:p>
    <w:p w14:paraId="740F7FCC" w14:textId="77777777" w:rsidR="008D479B" w:rsidRDefault="008D479B" w:rsidP="008D479B">
      <w:pPr>
        <w:pStyle w:val="TextoNormal"/>
      </w:pPr>
    </w:p>
    <w:p w14:paraId="43D14C72" w14:textId="137D83FC" w:rsidR="008D479B" w:rsidRDefault="008D479B" w:rsidP="008D479B">
      <w:pPr>
        <w:pStyle w:val="TextoNormal"/>
      </w:pPr>
      <w:r w:rsidRPr="008D479B">
        <w:rPr>
          <w:rStyle w:val="NumeroAFNegritaCaracter"/>
        </w:rPr>
        <w:t>8</w:t>
      </w:r>
      <w:r>
        <w:t>. La Sección Tercera de este tribunal, por providencia de 31 de mayo de 2021, acordó admitir a trámite el presente recurso de amparo al apreciar que la cuestión que suscitaba tenía especial trascendencia constitucional porque afecta a una vertiente de un derecho fundamental sobre la que no hay doctrina constitucional [STC 155/2009, FJ 2 a)]. En aplicación de lo dispuesto en el art. 51 de la Ley Orgánica del Tribunal Constitucional (LOTC) acordó también dirigir atenta comunicación al Tribunal Supremo a fin de que en un plazo que no excediera de diez días remitiera certificación o copia adverada de las actuaciones correspondientes al recurso de casación núm. 5865-2018 y al Tribunal Superior de Justicia de Murcia para que también, en el mismo plazo de diez días, remitiera certificación o fotocopia adverada de las actuaciones correspondientes al recurso núm. 417-2016, debiendo previamente emplazar a quienes hubieran sido parte en el procedimiento, excepto a la parte recurrente en amparo, para que, en un plazo diez días, si lo deseaban, pudieran comparecer en este procedimiento.</w:t>
      </w:r>
    </w:p>
    <w:p w14:paraId="2E2D4F68" w14:textId="77777777" w:rsidR="008D479B" w:rsidRDefault="008D479B" w:rsidP="008D479B">
      <w:pPr>
        <w:pStyle w:val="TextoNormal"/>
      </w:pPr>
    </w:p>
    <w:p w14:paraId="4EB16F49" w14:textId="0807132C" w:rsidR="008D479B" w:rsidRDefault="008D479B" w:rsidP="008D479B">
      <w:pPr>
        <w:pStyle w:val="TextoNormal"/>
      </w:pPr>
      <w:r w:rsidRPr="008D479B">
        <w:rPr>
          <w:rStyle w:val="NumeroAFNegritaCaracter"/>
        </w:rPr>
        <w:t>9</w:t>
      </w:r>
      <w:r>
        <w:t>. Por escrito registrado en el tribunal el 29 de septiembre de 2021 el letrado de la comunidad autónoma de la Región de Murcia se personó como parte en el presente procedimiento.</w:t>
      </w:r>
    </w:p>
    <w:p w14:paraId="025344FB" w14:textId="77777777" w:rsidR="008D479B" w:rsidRDefault="008D479B" w:rsidP="008D479B">
      <w:pPr>
        <w:pStyle w:val="TextoNormal"/>
      </w:pPr>
    </w:p>
    <w:p w14:paraId="7F00E09F" w14:textId="6D980998" w:rsidR="008D479B" w:rsidRDefault="008D479B" w:rsidP="008D479B">
      <w:pPr>
        <w:pStyle w:val="TextoNormal"/>
      </w:pPr>
      <w:r w:rsidRPr="008D479B">
        <w:rPr>
          <w:rStyle w:val="NumeroAFNegritaCaracter"/>
        </w:rPr>
        <w:t>10</w:t>
      </w:r>
      <w:r>
        <w:t>. Por diligencia de ordenación del secretario de justicia se tuvo por personado y parte en el presente recurso de amparo al letrado de los servicios jurídicos de la Comunidad Autónoma de la Región de Murcia en nombre y representación de la referida comunidad autónoma. Asimismo, se acordó dar vista de las actuaciones a las partes personadas y al Ministerio Fiscal por plazo común de veinte días, para que dentro de dicho plazo pudieran presentar las alegaciones que estimaran convenientes.</w:t>
      </w:r>
    </w:p>
    <w:p w14:paraId="45B65EEB" w14:textId="77777777" w:rsidR="008D479B" w:rsidRDefault="008D479B" w:rsidP="008D479B">
      <w:pPr>
        <w:pStyle w:val="TextoNormal"/>
      </w:pPr>
    </w:p>
    <w:p w14:paraId="55BA8D67" w14:textId="77777777" w:rsidR="008D479B" w:rsidRDefault="008D479B" w:rsidP="008D479B">
      <w:pPr>
        <w:pStyle w:val="TextoNormal"/>
      </w:pPr>
      <w:r w:rsidRPr="008D479B">
        <w:rPr>
          <w:rStyle w:val="NumeroAFNegritaCaracter"/>
        </w:rPr>
        <w:t>11</w:t>
      </w:r>
      <w:r>
        <w:t>. Por escrito registrado el 9 de noviembre de 2021 el letrado de la Comunidad Autónoma de la Región de Murcia formuló alegaciones. Aduce, en primer lugar, que con relación a los antecedentes de hecho referidos a la asistencia sanitaria prestada a la recurrente debe atenderse a los hechos declarados probados en el fundamento de Derecho cuarto de la sentencia de instancia. Invoca las SSTC 2/1982, de 29 de enero, y 11/1982, de 29 de marzo. También afirma que, a este respecto, resulta relevante que la solicitante de amparo no invoque ninguna infracción de su derecho a la tutela judicial efectiva en relación con el desarrollo del juicio en la instancia ni en la valoración de la prueba.</w:t>
      </w:r>
    </w:p>
    <w:p w14:paraId="646BA825" w14:textId="77777777" w:rsidR="008D479B" w:rsidRDefault="008D479B" w:rsidP="008D479B">
      <w:pPr>
        <w:pStyle w:val="TextoNormal"/>
      </w:pPr>
    </w:p>
    <w:p w14:paraId="50D6FFFB" w14:textId="77777777" w:rsidR="008D479B" w:rsidRDefault="008D479B" w:rsidP="008D479B">
      <w:pPr>
        <w:pStyle w:val="TextoNormal"/>
      </w:pPr>
      <w:r>
        <w:t>Por lo que se refiere a los antecedentes de hecho referidos al curso del procedimiento administrativo y al proceso judicial, esta parte procesal se remite a las resoluciones dictadas en vía administrativa y judicial y rechaza cualquier afirmación que contradiga lo recogido en esas resoluciones.</w:t>
      </w:r>
    </w:p>
    <w:p w14:paraId="70E9E9A6" w14:textId="77777777" w:rsidR="008D479B" w:rsidRDefault="008D479B" w:rsidP="008D479B">
      <w:pPr>
        <w:pStyle w:val="TextoNormal"/>
      </w:pPr>
    </w:p>
    <w:p w14:paraId="2BAFE3A3" w14:textId="77777777" w:rsidR="008D479B" w:rsidRDefault="008D479B" w:rsidP="008D479B">
      <w:pPr>
        <w:pStyle w:val="TextoNormal"/>
      </w:pPr>
      <w:r>
        <w:t xml:space="preserve">El letrado de la Región de Murcia se pronuncia, en primer lugar, sobre la admisibilidad del recurso. A su juicio, las quejas por las que se aduce que el Servicio Murciano de Salud ha lesionado los derechos fundamentales de la recurrente que garantizan los arts. 14, 15 y 18.1 CE deben ser inadmitidas. Considera que respecto de estas quejas no se ha justificado la especial trascendencia constitucional. Sostiene, además, que los hechos referidos a la asistencia sanitaria son expuestos ignorando los hechos probados de la sentencia. También aduce que la demanda resulta confusa al emplear argumentos relativos a la objeción de conciencia de los profesionales sanitarios que nada tienen ver con la asistencia sanitaria que, supuestamente, le causó los daños en los que fundamenta su solicitud de responsabilidad patrimonial. Junto a ello alega que se invocan lesiones de derechos fundamentales sin concretar los hechos en los que se fundamenta. Así sucede, según el letrado de la Región de Murcia, respecto de las afirmaciones en las que mantiene que ha sufrido tratos humillantes y vejatorios o que no se le han practicado pruebas diagnósticas requeridas. Alega, además, que la recurrente no aduce un término de comparación para justificar la discriminación que dice haber padecido. Por ello entiende que el recurso solo debería admitirse respecto de las vulneraciones de derechos fundamentales que se atribuyen a las resoluciones judiciales. Respecto de estas últimas quejas solicita su desestimación al considerar que no concurren las vulneraciones del art. 24 CE alegadas. A su juicio, la queja por la que la recurrente aduce que el Tribunal Supremo, al inadmitir su recurso de casación, le ha vulnerado su derecho a la tutela judicial efectiva (arts. 24.1 CE y 6 CEDH) al haberle impedido el derecho a la segunda instancia y por haber adoptado una decisión inmotivada y que es excesivamente formalista, no puede prosperar. Esta parte procesal alega que del art. 24 CE en relación con los arts. 6 CEDH y 2.1 del Protocolo núm. 7 de este Convenio no se deriva ningún derecho a la segunda instancia judicial salvo en materia penal, por lo que al no existir en el ámbito contencioso-administrativo un derecho a la segunda instancia no puede apreciarse que las resoluciones recurridas vulneren por este motivo el referido derecho fundamental. Descarta también que la decisión del Tribunal Supremo por la que acuerda inadmitir el recurso de casación por apreciar que carecía de interés casacional objetivo para la formación de jurisprudencia esté indebidamente motivada, pues considera que esta motivación es suficiente al permitir conocer los motivos por los que se inadmite el recurso, sin que sea necesario una explicación exhaustiva de tales motivos. Invoca la doctrina establecida por el Tribunal Europeo de Derechos Humanos de 20 de enero de 2015, en el asunto </w:t>
      </w:r>
      <w:r w:rsidRPr="008D479B">
        <w:rPr>
          <w:i/>
        </w:rPr>
        <w:t>Arribas Antón</w:t>
      </w:r>
      <w:r>
        <w:t>. De igual modo rechaza que la decisión del Tribunal Supremo por la que acordó la inadmisión del recurso de casación sea excesivamente formalista, pues considera que es una carga de quien prepare un recurso de casación justificar que se cumplen los requisitos de admisión, entre ellos el de que concurre el interés casacional objetivo.</w:t>
      </w:r>
    </w:p>
    <w:p w14:paraId="0501EEB1" w14:textId="77777777" w:rsidR="008D479B" w:rsidRDefault="008D479B" w:rsidP="008D479B">
      <w:pPr>
        <w:pStyle w:val="TextoNormal"/>
      </w:pPr>
    </w:p>
    <w:p w14:paraId="24C677FF" w14:textId="77777777" w:rsidR="008D479B" w:rsidRDefault="008D479B" w:rsidP="008D479B">
      <w:pPr>
        <w:pStyle w:val="TextoNormal"/>
      </w:pPr>
      <w:r>
        <w:t>El letrado de la Región de Murcia, subsidiariamente, descarta también que concurran las vulneraciones de los derechos a la integridad física y moral (art. 15 CE), a la intimidad personal y familiar (art. 18.1 CE) y del derecho a la igualdad y a la no discriminación por razón de sexo (art. 14 CE). Aduce que no puede apreciarse la vulneración de los derechos a la integridad física y moral porque, de acuerdo con los hechos declarados probados en la sentencia de instancia, no concurren los presupuestos fácticos en los que la recurrente fundamenta la referida vulneración. En esta sentencia se sostuvo que los tratos vejatorios y humillantes alegados no estaban acreditados; que no hubo falta de información por parte de los facultativos del Servicio Murciano de Salud, al constar en la historia clínica de la recurrente y en su cartilla de embarazada, en los informes ginecológicos y en la historia de atención primaria y que tampoco hubo un retraso en el diagnóstico de la malformación fetal, pues la sentencia consideró acreditado que no era posible diagnosticarla antes de la semana veinte o veintidós, que fue cuando se detectó, en concreto, en la semana veinte + cinco.</w:t>
      </w:r>
    </w:p>
    <w:p w14:paraId="3CFA18AD" w14:textId="77777777" w:rsidR="008D479B" w:rsidRDefault="008D479B" w:rsidP="008D479B">
      <w:pPr>
        <w:pStyle w:val="TextoNormal"/>
      </w:pPr>
    </w:p>
    <w:p w14:paraId="1D27B514" w14:textId="77777777" w:rsidR="008D479B" w:rsidRDefault="008D479B" w:rsidP="008D479B">
      <w:pPr>
        <w:pStyle w:val="TextoNormal"/>
      </w:pPr>
      <w:r>
        <w:t>Por lo que se refiere al derecho a la intimidad, el representante de la Región de Murcia sostiene que como el derecho a la intimidad “implica el derecho de cada persona a mantener un ámbito personal en un ámbito estrictamente privado […] no se comparte la relación que establece la demandante de amparo entre el derecho a la intimidad y las conductas que afirma infractoras de tal derecho”. Junto a ello alega, que, aunque se considerase que existe tal relación, las conductas que la recurrente entiende lesivas del referido derecho no han sido expresamente rechazadas por la sentencia de instancia, al no considerar acreditados los hechos denunciados.</w:t>
      </w:r>
    </w:p>
    <w:p w14:paraId="04D4C92A" w14:textId="77777777" w:rsidR="008D479B" w:rsidRDefault="008D479B" w:rsidP="008D479B">
      <w:pPr>
        <w:pStyle w:val="TextoNormal"/>
      </w:pPr>
    </w:p>
    <w:p w14:paraId="7C9FA377" w14:textId="77777777" w:rsidR="008D479B" w:rsidRDefault="008D479B" w:rsidP="008D479B">
      <w:pPr>
        <w:pStyle w:val="TextoNormal"/>
      </w:pPr>
      <w:r>
        <w:t>Asimismo, rechaza que exista la vulneración del derecho a la igualdad invocada, pues la demandante no ha aducido ningún término de comparación en el que pueda fundamentarse la desigualdad invocada. Entiende también que tampoco puede apreciarse la discriminación por razón de sexo alegada, ya que la demandante no identifica un tratamiento peyorativo fundado en la mera constatación del sexo o del embarazo.</w:t>
      </w:r>
    </w:p>
    <w:p w14:paraId="5BBC4323" w14:textId="77777777" w:rsidR="008D479B" w:rsidRDefault="008D479B" w:rsidP="008D479B">
      <w:pPr>
        <w:pStyle w:val="TextoNormal"/>
      </w:pPr>
    </w:p>
    <w:p w14:paraId="210B5441" w14:textId="2401EFF0" w:rsidR="008D479B" w:rsidRDefault="008D479B" w:rsidP="008D479B">
      <w:pPr>
        <w:pStyle w:val="TextoNormal"/>
      </w:pPr>
      <w:r>
        <w:t>Por todo ello, el letrado de la Región de Murcia solicita que se inadmita el presente recurso respecto de las vulneraciones de derechos fundamentales que se imputan al Servicio Murciano de Salud y se desestimen las quejas que se atribuyen a las resoluciones judiciales impugnadas. Subsidiariamente solicita la íntegra desestimación del recurso.</w:t>
      </w:r>
    </w:p>
    <w:p w14:paraId="3BB0F5C8" w14:textId="77777777" w:rsidR="008D479B" w:rsidRDefault="008D479B" w:rsidP="008D479B">
      <w:pPr>
        <w:pStyle w:val="TextoNormal"/>
      </w:pPr>
    </w:p>
    <w:p w14:paraId="065029D4" w14:textId="77777777" w:rsidR="008D479B" w:rsidRDefault="008D479B" w:rsidP="008D479B">
      <w:pPr>
        <w:pStyle w:val="TextoNormal"/>
      </w:pPr>
      <w:r w:rsidRPr="008D479B">
        <w:rPr>
          <w:rStyle w:val="NumeroAFNegritaCaracter"/>
        </w:rPr>
        <w:t>12</w:t>
      </w:r>
      <w:r>
        <w:t>. La fiscal ante el Tribunal Constitucional, por escrito registrado el 19 de noviembre de 2021, puso de manifiesto que no podía acceder a las actuaciones, ya que estas se contenían en CD a cuyos archivos no se podían abrir al estar encriptados. Por ello solicitó al Tribunal que requiriese a la Sala de lo Contencioso-Administrativo del Tribunal Superior de Justicia de Murcia para que enviase las actuaciones en un formato accesible.</w:t>
      </w:r>
    </w:p>
    <w:p w14:paraId="4BAEBA94" w14:textId="77777777" w:rsidR="008D479B" w:rsidRDefault="008D479B" w:rsidP="008D479B">
      <w:pPr>
        <w:pStyle w:val="TextoNormal"/>
      </w:pPr>
    </w:p>
    <w:p w14:paraId="38B92574" w14:textId="77777777" w:rsidR="008D479B" w:rsidRDefault="008D479B" w:rsidP="008D479B">
      <w:pPr>
        <w:pStyle w:val="TextoNormal"/>
      </w:pPr>
      <w:r>
        <w:t>Por diligencia de ordenación de 26 de noviembre de 2021 del secretario de justicia de la Sección Tercera del Tribunal se acordó suspender el plazo para formular alegaciones y requerir a la Sección Primera de la Sala de lo Contencioso-Administrativo del Tribunal Superior de Justicia de Murcia a fin de que remitiera urgentemente copia de las actuaciones correspondientes al procedimiento ordinario 417-2016 en un formato perfectamente legible, ya sea en papel o en formato digital.</w:t>
      </w:r>
    </w:p>
    <w:p w14:paraId="458257A9" w14:textId="77777777" w:rsidR="008D479B" w:rsidRDefault="008D479B" w:rsidP="008D479B">
      <w:pPr>
        <w:pStyle w:val="TextoNormal"/>
      </w:pPr>
    </w:p>
    <w:p w14:paraId="03653B17" w14:textId="77777777" w:rsidR="008D479B" w:rsidRDefault="008D479B" w:rsidP="008D479B">
      <w:pPr>
        <w:pStyle w:val="TextoNormal"/>
      </w:pPr>
      <w:r>
        <w:t>El 13 de enero de 2002 tuvo entrada en el registro del Tribunal un escrito del letrado de la administración de justicia de la Sección Primera de la Sala de lo Contencioso-Administrativo del Tribunal Superior de Justicia de Murcia en el que ponía de manifiesto que remitía un CD con las actuaciones.</w:t>
      </w:r>
    </w:p>
    <w:p w14:paraId="407E8D77" w14:textId="77777777" w:rsidR="008D479B" w:rsidRDefault="008D479B" w:rsidP="008D479B">
      <w:pPr>
        <w:pStyle w:val="TextoNormal"/>
      </w:pPr>
    </w:p>
    <w:p w14:paraId="1FF99FD9" w14:textId="6E96C02B" w:rsidR="008D479B" w:rsidRDefault="008D479B" w:rsidP="008D479B">
      <w:pPr>
        <w:pStyle w:val="TextoNormal"/>
      </w:pPr>
      <w:r>
        <w:t>Por diligencia de ordenación de 25 de enero de 2022 del secretario de justicia de la Sección Tercera del Tribunal se acordó tener por recibidas las actuaciones en formato CD procedentes del Tribunal Superior de Justicia de Murcia y dar vista de ellas a las partes a fin de que pudieran formular las alegaciones que su derecho conviniera por el resto del plazo conferido, conforme determina el art. 52.1 LOTC.</w:t>
      </w:r>
    </w:p>
    <w:p w14:paraId="2F87925F" w14:textId="77777777" w:rsidR="008D479B" w:rsidRDefault="008D479B" w:rsidP="008D479B">
      <w:pPr>
        <w:pStyle w:val="TextoNormal"/>
      </w:pPr>
    </w:p>
    <w:p w14:paraId="5361F955" w14:textId="77777777" w:rsidR="008D479B" w:rsidRDefault="008D479B" w:rsidP="008D479B">
      <w:pPr>
        <w:pStyle w:val="TextoNormal"/>
      </w:pPr>
      <w:r w:rsidRPr="008D479B">
        <w:rPr>
          <w:rStyle w:val="NumeroAFNegritaCaracter"/>
        </w:rPr>
        <w:t>13</w:t>
      </w:r>
      <w:r>
        <w:t>. Por escrito registrado en el Tribunal el 15 de noviembre de 2021 la representación procesal de la recurrente en amparo formuló alegaciones en el plazo conferido, conforme dispone el art. 52.1 LOTC. Según se aduce, el caso de la demandante es un claro ejemplo de los obstáculos que encuentran las mujeres que, aunque quieren ser madres, sus embarazos tienen complicaciones graves de salud y se encuentran en una situación en la que no pueden interrumpir el embarazo por falta de información adecuada y por el uso abusivo y sin garantías del derecho a la objeción de conciencia por parte de los médicos.</w:t>
      </w:r>
    </w:p>
    <w:p w14:paraId="542E7B5E" w14:textId="77777777" w:rsidR="008D479B" w:rsidRDefault="008D479B" w:rsidP="008D479B">
      <w:pPr>
        <w:pStyle w:val="TextoNormal"/>
      </w:pPr>
    </w:p>
    <w:p w14:paraId="6A72847D" w14:textId="77777777" w:rsidR="008D479B" w:rsidRDefault="008D479B" w:rsidP="008D479B">
      <w:pPr>
        <w:pStyle w:val="TextoNormal"/>
      </w:pPr>
      <w:r>
        <w:t>Se pone de manifiesto que las graves barreras de acceso a la interrupción del embarazo y las consecuencias en los derechos de las mujeres han sido reconocidas recientemente por el Parlamento Europeo en su informe de 24 de junio de 2021 sobre la situación de la salud y los derechos sexuales y reproductivos en la Unión en el marco de la salud de las mujeres. Se transcribe el apartado U de este informe en el que se sostiene que aun cuando exista legalmente la posibilidad del aborto, a menudo existen una serie de obstáculos que dificultan su práctica, sometiendo a las mujeres a periodos de espera injustificados desde el punto de vista médico, falta de información o incluso información errónea deliberada (este informe se adjunta a las alegaciones). Se alude también el informe elaborado por L’Associació Drets Sexuals i reproductius, que tiene como objeto mostrar la sistematicidad y persistencia de las barreras de acceso a la interrupción del embarazo, sobre todo las que tienen que ver con la objeción de conciencia, y la falta de información en materia de salud sexual y reproductiva, en particular cuando se trata de embarazos más allá de la semana veintiuno en los que hay complicaciones de salud con el feto (este informe también se aporta).</w:t>
      </w:r>
    </w:p>
    <w:p w14:paraId="46551102" w14:textId="77777777" w:rsidR="008D479B" w:rsidRDefault="008D479B" w:rsidP="008D479B">
      <w:pPr>
        <w:pStyle w:val="TextoNormal"/>
      </w:pPr>
    </w:p>
    <w:p w14:paraId="3D4AE074" w14:textId="77777777" w:rsidR="008D479B" w:rsidRDefault="008D479B" w:rsidP="008D479B">
      <w:pPr>
        <w:pStyle w:val="TextoNormal"/>
      </w:pPr>
      <w:r>
        <w:t>Se alega, por otra parte, que el acceso a la información sobre la salud reproductiva es condición imprescindible para que una mujer pueda ejercer su autonomía reproductiva y sus derechos a la salud y a la integridad física. Tras exponer la normativa nacional que se entiende de aplicación, se alude a las razones por las que se consideran vulnerados los derechos de la demandante a la intimidad personal y familiar (art. 18.1 CE), a la integridad física y moral (art. 15 CE) y al libre desarrollo de la personalidad (art. 10.1 CE). Se aduce, citando la STC 25/1996, de 11 de marzo, FJ 3, que el Tribunal ha afirmado que el derecho a que no se dañe o perjudique la salud personal queda también comprendido en el derecho a la integridad personal. Asimismo, se sostiene que, en el ámbito de la asistencia sanitaria el Tribunal ha subrayado que la privación injustificada de información médica adecuada sobre las medidas terapéuticas equivale a la privación del derecho a la integridad física del paciente (se cita la STC 27/2011, de 28 de marzo, FJ 5) y que la falta de información previa al consentimiento puede desencadenar la responsabilidad administrativa en intervenciones sanitarias no estrictamente curativas, en concreto en casos relacionados con la autonomía reproductiva (se invoca la STC 9/2015, de 2 de febrero, FJ 3).</w:t>
      </w:r>
    </w:p>
    <w:p w14:paraId="76D517FA" w14:textId="77777777" w:rsidR="008D479B" w:rsidRDefault="008D479B" w:rsidP="008D479B">
      <w:pPr>
        <w:pStyle w:val="TextoNormal"/>
      </w:pPr>
    </w:p>
    <w:p w14:paraId="3882EE82" w14:textId="77777777" w:rsidR="008D479B" w:rsidRDefault="008D479B" w:rsidP="008D479B">
      <w:pPr>
        <w:pStyle w:val="TextoNormal"/>
      </w:pPr>
      <w:r>
        <w:t xml:space="preserve">Se cita también la jurisprudencia del Tribunal Europeo de Derechos Humanos sobre lo que debe entenderse por derecho a la información y el respeto a la vida privada en relación con la salud sexual y reproductiva y sus posibles límites. En concreto, se señala que la STEDH de 29 de octubre de 1992, asunto </w:t>
      </w:r>
      <w:r w:rsidRPr="008D479B">
        <w:rPr>
          <w:i/>
        </w:rPr>
        <w:t>Open door y Dublin Well Woman c. Irlanda</w:t>
      </w:r>
      <w:r>
        <w:t xml:space="preserve">, sostuvo que dicha información resulta esencial para la salud o bienestar de la mujer, ya que puede evitar que las mujeres tengan que abortar en etapas muy avanzadas del embarazo y que puedan decidir de manera fundada si quieren o no tener hijos y de los riesgos y beneficios de cada procedimiento. También se cita la STEDH </w:t>
      </w:r>
      <w:r w:rsidRPr="008D479B">
        <w:rPr>
          <w:i/>
        </w:rPr>
        <w:t>R.R. c. Polonia</w:t>
      </w:r>
      <w:r>
        <w:t xml:space="preserve"> en la que se reconoció que una vez que el Estado ha promulgado normas que posibilitan el aborto no puede imponer obstáculos que imposibiliten la interrupción del embarazo, incluyendo aquellos casos en los que las barreras se traducen en falta de información sobre la posibilidad de abortar. Se alude, además, a la STEDH de 30 de octubre de 2012, asunto </w:t>
      </w:r>
      <w:r w:rsidRPr="008D479B">
        <w:rPr>
          <w:i/>
        </w:rPr>
        <w:t>P. y S. c. Polonia</w:t>
      </w:r>
      <w:r>
        <w:t xml:space="preserve">, en la que se reconoció una vulneración del art. 8 CEDH al apreciar que la información dada a las demandantes no fue oportuna ni confiable y se sostuvo que el acceso efectivo a información fidedigna sobre las condiciones para interrumpir el embarazo de forma legal es relevante para el ejercicio de la autonomía personal (§ 111). Igualmente se invoca la SSTEDH de 22 de noviembre de 2011, asunto </w:t>
      </w:r>
      <w:r w:rsidRPr="008D479B">
        <w:rPr>
          <w:i/>
        </w:rPr>
        <w:t>A.K. c. Letonia</w:t>
      </w:r>
      <w:r>
        <w:t xml:space="preserve">, y de 16 de diciembre de 2012, asunto </w:t>
      </w:r>
      <w:r w:rsidRPr="008D479B">
        <w:rPr>
          <w:i/>
        </w:rPr>
        <w:t>A.B. y C. c. Irlanda</w:t>
      </w:r>
      <w:r>
        <w:t>.</w:t>
      </w:r>
    </w:p>
    <w:p w14:paraId="59F55F1E" w14:textId="77777777" w:rsidR="008D479B" w:rsidRDefault="008D479B" w:rsidP="008D479B">
      <w:pPr>
        <w:pStyle w:val="TextoNormal"/>
      </w:pPr>
    </w:p>
    <w:p w14:paraId="6092FF12" w14:textId="77777777" w:rsidR="008D479B" w:rsidRDefault="008D479B" w:rsidP="008D479B">
      <w:pPr>
        <w:pStyle w:val="TextoNormal"/>
      </w:pPr>
      <w:r>
        <w:t xml:space="preserve">Se afirma también que el Tribunal, para determinar si se cumplieron todas las garantías que se imponen a toda intervención médica que afecte a la integridad corporal del paciente, debe tener en cuenta los tratados y acuerdos ratificados por España en la materia. Se hace referencia a la observación general núm. 22, relativa al derecho a la salud sexual y reproductiva, del Comité de Derechos Económicos Sociales y Culturales encargado de la interpretación del Pacto internacional de derechos económicos, sociales y culturales y a la núm. 25, relativa a la ciencia y los derechos económicos, en la que se hace referencia a la necesidad de aplicar un enfoque de género. También se alude al Comité CEDAW, en su recomendación general núm. 24 sobre la mujer y la salud, en la que se enfatiza la importancia de que los Estados informen sobre las cuestiones de salud que afectan a las mujeres. Se señala, además, que el Comité CEDAW, en el asunto </w:t>
      </w:r>
      <w:r w:rsidRPr="008D479B">
        <w:rPr>
          <w:i/>
        </w:rPr>
        <w:t>A.S. c. Hungría</w:t>
      </w:r>
      <w:r>
        <w:t xml:space="preserve">, de 15 de junio de 2012, resolvió que Hungría no había proporcionado la información ni el asesoramiento apropiados sobre planificación familiar a la actora y que por ello había vulnerado el apartado h) del art. 10 de la Convención. Se cita, asimismo, el asunto </w:t>
      </w:r>
      <w:r w:rsidRPr="008D479B">
        <w:rPr>
          <w:i/>
        </w:rPr>
        <w:t>S.F.M. c. España</w:t>
      </w:r>
      <w:r>
        <w:t>, de 28 de febrero de 2020, en el que el Comité recordó a España la obligación de asegurar los derechos de la mujer a una maternidad sin riesgo y el acceso de todas las mujeres a una atención obstétrica adecuada y la de proporcionar a las mujeres información adecuada en cada etapa del parto y requerir su consentimiento informado en todos los tratamientos invasivos durante la atención del parto, excepto en las situaciones en las que la vida de la mujer corre riesgo.</w:t>
      </w:r>
    </w:p>
    <w:p w14:paraId="5C24AC28" w14:textId="77777777" w:rsidR="008D479B" w:rsidRDefault="008D479B" w:rsidP="008D479B">
      <w:pPr>
        <w:pStyle w:val="TextoNormal"/>
      </w:pPr>
    </w:p>
    <w:p w14:paraId="45ECCDE9" w14:textId="77777777" w:rsidR="008D479B" w:rsidRDefault="008D479B" w:rsidP="008D479B">
      <w:pPr>
        <w:pStyle w:val="TextoNormal"/>
      </w:pPr>
      <w:r>
        <w:t>Las consideraciones anteriores llevan a la representación procesal de la demandante a sostener que, de acuerdo con la jurisprudencia y dentro de los parámetros regionales e internacionales, las garantías que integran el derecho a la salud, a la integridad física y moral y a la intimidad personal y familiar, se encuentra el deber de informar cómo ejercitar estos derechos. Según se sostiene estos derechos se vieron afectados en el caso de la demandante ya que (i) no se le prestó atención ajustada a las circunstancias al haber calificado su embarazo como normal, cuando era de alto riesgo; (ii) se produjo una innecesaria y continúa demora en su correcta atención médica y (iii) en ningún momento se le informa sobre la posibilidad de interrumpir la gestación. Por ello, se afirma que las resoluciones recurridas vulneran el derecho a la integridad física (art. 15 CE), a la intimidad personal (art. 18 CE) en relación con el deber de motivar las resoluciones judiciales, al apreciar, que de acuerdo con la doctrina establecida en la STC 37/2011, de 28 de marzo, FJ 6, sobre las resoluciones judiciales que inciden en el contenido de un derecho fundamental pesa un deber de motivación reforzada. Se alega que, en casos como en el de la demandante, el art. 24.1 CE exige, además de una resolución motivada y fundada en Derecho, una resolución coherente con el resto de los derechos fundamentales que están en juego, exigencia, que, según la recurrente, no se cumple en este caso.</w:t>
      </w:r>
    </w:p>
    <w:p w14:paraId="3D762B23" w14:textId="77777777" w:rsidR="008D479B" w:rsidRDefault="008D479B" w:rsidP="008D479B">
      <w:pPr>
        <w:pStyle w:val="TextoNormal"/>
      </w:pPr>
    </w:p>
    <w:p w14:paraId="4F6D08B2" w14:textId="77777777" w:rsidR="008D479B" w:rsidRDefault="008D479B" w:rsidP="008D479B">
      <w:pPr>
        <w:pStyle w:val="TextoNormal"/>
      </w:pPr>
      <w:r>
        <w:t xml:space="preserve">Por otra parte, se aduce que el derecho a la objeción de conciencia de los profesionales sanitarios no es ilimitado y debe hacerse compatible con los derechos fundamentales de los afectados en los casos de interrupción del embarazo (se cita la STC 151/2014, de 25 de septiembre, FJ 3). Se afirma que, de acuerdo con la jurisprudencia del Tribunal Europeo de Derechos Humanos, si las leyes de los Estados permiten la objeción de conciencia deben garantizar también el acceso al aborto y a otros servicios de salud. Se invocan las SSTEDH de 2 de octubre de 2001, asunto </w:t>
      </w:r>
      <w:r w:rsidRPr="008D479B">
        <w:rPr>
          <w:i/>
        </w:rPr>
        <w:t>Pichon y Sajous c. Francia</w:t>
      </w:r>
      <w:r>
        <w:t xml:space="preserve">, y asunto </w:t>
      </w:r>
      <w:r w:rsidRPr="008D479B">
        <w:rPr>
          <w:i/>
        </w:rPr>
        <w:t>R.R. c. Polonia</w:t>
      </w:r>
      <w:r>
        <w:t xml:space="preserve">. También se citan las resoluciones del Comité Europeo de Derechos Sociales recaídas en los asuntos </w:t>
      </w:r>
      <w:r w:rsidRPr="008D479B">
        <w:rPr>
          <w:i/>
        </w:rPr>
        <w:t>Federación de Familias Católicas en Europa (FACE) c. Suecia</w:t>
      </w:r>
      <w:r>
        <w:t xml:space="preserve"> y </w:t>
      </w:r>
      <w:r w:rsidRPr="008D479B">
        <w:rPr>
          <w:i/>
        </w:rPr>
        <w:t>Federación Internacional de Planificación Familiar-Red Europea (IPPF EN) c. Italia</w:t>
      </w:r>
      <w:r>
        <w:t xml:space="preserve"> y la recomendación general 24 y 35 del Comité CEDAW y las observaciones que ha efectuado este comité a diferentes países al haber constatado la utilización del derecho a la objeción de conciencia como barrera de acceso al aborto seguro y ha recomendado que los Estados impidan esa práctica.</w:t>
      </w:r>
    </w:p>
    <w:p w14:paraId="2AFFAFBC" w14:textId="77777777" w:rsidR="008D479B" w:rsidRDefault="008D479B" w:rsidP="008D479B">
      <w:pPr>
        <w:pStyle w:val="TextoNormal"/>
      </w:pPr>
    </w:p>
    <w:p w14:paraId="4B57BD92" w14:textId="5F6CF235" w:rsidR="008D479B" w:rsidRDefault="008D479B" w:rsidP="008D479B">
      <w:pPr>
        <w:pStyle w:val="TextoNormal"/>
      </w:pPr>
      <w:r>
        <w:t>La recurrente en amparo entiende, además, que la sentencia del Tribunal Superior de Justicia de Murcia, al apreciar que la derivación a una clínica privada de Madrid para practicar la interrupción del embarazo se hizo correctamente porque “ningún facultativo ha pedido poder practicar interrupciones voluntarias del embarazo en la sanidad pública de Murcia” infringe de manera patente lo dispuesto en el art. 19.2 de la Ley Orgánica 2/2010, en la redacción entonces vigente, que obliga a que los objetores de conciencia manifiesten anticipadamente y por escrito su opción de no realizar interrupciones voluntarias del embarazo. Por ello alega que esta sentencia efectúa una interpretación irrazonable de lo dispuesto en el referido precepto legal. Según se aduce, la actuación de la administración sanitaria de Murcia, en la medida que permite un ejercicio antijurídico de la objeción de conciencia, vulneró los derechos fundamentales de la demandante.</w:t>
      </w:r>
    </w:p>
    <w:p w14:paraId="746C636D" w14:textId="77777777" w:rsidR="008D479B" w:rsidRDefault="008D479B" w:rsidP="008D479B">
      <w:pPr>
        <w:pStyle w:val="TextoNormal"/>
      </w:pPr>
    </w:p>
    <w:p w14:paraId="197733AC" w14:textId="0D060E27" w:rsidR="008D479B" w:rsidRDefault="008D479B" w:rsidP="008D479B">
      <w:pPr>
        <w:pStyle w:val="TextoNormal"/>
      </w:pPr>
      <w:r w:rsidRPr="008D479B">
        <w:rPr>
          <w:rStyle w:val="NumeroAFNegritaCaracter"/>
        </w:rPr>
        <w:t>14</w:t>
      </w:r>
      <w:r>
        <w:t>. El 15 de febrero de 2022 la representación procesal de la Comunidad Autónoma de la Región de Murcia presenta en el registro del Tribunal otro escrito de alegaciones en el que reproduce las efectuadas en su escrito registrado el 9 de noviembre de 2021.</w:t>
      </w:r>
    </w:p>
    <w:p w14:paraId="5433B8C7" w14:textId="77777777" w:rsidR="008D479B" w:rsidRDefault="008D479B" w:rsidP="008D479B">
      <w:pPr>
        <w:pStyle w:val="TextoNormal"/>
      </w:pPr>
    </w:p>
    <w:p w14:paraId="77DF2567" w14:textId="77777777" w:rsidR="008D479B" w:rsidRDefault="008D479B" w:rsidP="008D479B">
      <w:pPr>
        <w:pStyle w:val="TextoNormal"/>
      </w:pPr>
      <w:r w:rsidRPr="008D479B">
        <w:rPr>
          <w:rStyle w:val="NumeroAFNegritaCaracter"/>
        </w:rPr>
        <w:t>15</w:t>
      </w:r>
      <w:r>
        <w:t xml:space="preserve">. Por escrito presentado en el registro del Tribunal el 23 de febrero de 2022 la fiscal ante el Tribunal Constitucional formuló alegaciones. En este escrito se exponen los antecedentes de hecho de los que trae causa el presente recurso. Se resumen, las alegaciones que formuló la recurrente en la vía administrativa, en la vía judicial y en el presente recurso de amparo. También se pone de manifiesto que la reclamación de responsabilidad patrimonial de la administración fue desestimada por silencio, indicando que las razones de esta desestimación pueden encontrarse en el escrito de contestación a la demanda del recurso contencioso-administrativo interpuesto por la actora. Se resumen, asimismo, las razones por las que la sentencia dictada por la Sala de lo Contencioso-Administrativo del Tribunal Superior de Justicia de Murcia desestimó el recurso. A continuación, la fiscal analiza las vulneraciones de derechos fundamentales que se atribuyen a la actuación del Servicio de Salud de Murcia. Examina, en primer lugar, la queja por la que se aduce la vulneración del derecho a la integridad física y moral (art. 15 CE). A su juicio, del conjunto de las actuaciones resulta que los facultativos del Hospital General Universitario Santa Lucía no realizaron a la recurrente, tras la ecografía de 22 de octubre, nuevas pruebas para corroborar el diagnóstico inicial, pese a que la paciente aportaba nuevas pruebas que demostraban una mayor gravedad de la patología detectada. Por todo ello, la fiscal considera que dejaron pasar las semanas sin confirma la información para que pudiera decidir libremente sobre la continuidad del embarazo o la práctica del aborto antes de la semana veintidós, pues cuando se le da cita para el 20 de noviembre está ya en la semana veinticuatro + seis de la gestación. Entiende también que los servicios de salud de la Región de Murcia sometieron a la recurrente a un trato peyorativo en relación con la interrupción voluntaria del embarazo al remitirla a un centro de otra comunidad autónoma sin que esté acreditado que todos los facultativos de los hospitales del Servicio Murciano de Salud hayan ejercitado por escrito y expresamente la objeción de conciencia respecto de la interrupción voluntaria del embarazo, como establecen los arts. 18 y 19.1 y 2 de la Ley Orgánica 2/2010. Alega, además, que se privó a la recurrente de la revisión postparto en el Hospital General Universitario Santa Lucía, remitiéndola a una clínica especializada en la interrupción del embarazo. Estas consideraciones llevan a la fiscal a entender que la conducta observada por los facultativos del Servicio Murciano de Salud, en relación con el control del embarazo de la recurrente, vulneró su derecho a la integridad personal y a la integridad moral. Se cita la STEDH </w:t>
      </w:r>
      <w:r w:rsidRPr="008D479B">
        <w:rPr>
          <w:i/>
        </w:rPr>
        <w:t>R.R. c. Polonia</w:t>
      </w:r>
      <w:r>
        <w:t>.</w:t>
      </w:r>
    </w:p>
    <w:p w14:paraId="24E8208B" w14:textId="77777777" w:rsidR="008D479B" w:rsidRDefault="008D479B" w:rsidP="008D479B">
      <w:pPr>
        <w:pStyle w:val="TextoNormal"/>
      </w:pPr>
    </w:p>
    <w:p w14:paraId="0EDB5D81" w14:textId="77777777" w:rsidR="008D479B" w:rsidRDefault="008D479B" w:rsidP="008D479B">
      <w:pPr>
        <w:pStyle w:val="TextoNormal"/>
      </w:pPr>
      <w:r>
        <w:t xml:space="preserve">A juicio de la fiscal, los facultativos del Servicio Murciano de Salud, al privar a la demandante de información precisa en el tiempo oportuno para poder tomar una decisión sobre la interrupción del embarazo en el momento adecuado y de acuerdo con los plazos establecidos en la Ley Orgánica 2/2010, tuvo que interrumpir el embarazo por un procedimiento más gravoso, lo que no solo vulneró su derecho a la integridad personal y moral sino también su intimidad personal. La fiscal entiende que, aunque el contenido del derecho que consagra el art. 8 CEDH (el derecho al respeto a la vida privada y familiar) no se corresponde exactamente con el del art. 18.1 CE, sí es gran parte coincidente y es posible aplicar la doctrina establecida por el Tribunal Europeo de Derechos Humanos sobre el derecho a la vida privada de acuerdo con lo previsto en el art. 10.2 CE. Se invoca, en particular, la doctrina establecida por la STEDH </w:t>
      </w:r>
      <w:r w:rsidRPr="008D479B">
        <w:rPr>
          <w:i/>
        </w:rPr>
        <w:t>R.R. c. Polonia</w:t>
      </w:r>
      <w:r>
        <w:t>.</w:t>
      </w:r>
    </w:p>
    <w:p w14:paraId="383663C0" w14:textId="77777777" w:rsidR="008D479B" w:rsidRDefault="008D479B" w:rsidP="008D479B">
      <w:pPr>
        <w:pStyle w:val="TextoNormal"/>
      </w:pPr>
    </w:p>
    <w:p w14:paraId="75C6A8F3" w14:textId="77777777" w:rsidR="008D479B" w:rsidRDefault="008D479B" w:rsidP="008D479B">
      <w:pPr>
        <w:pStyle w:val="TextoNormal"/>
      </w:pPr>
      <w:r>
        <w:t>La fiscal considera que también se ha vulnerado el derecho a la igualdad y el derecho a no sufrir discriminación de la recurrente en amparo. Afirma que si la actuación del Servicio de Salud de Murcia ha vulnerado los derechos de la recurrente a la integridad personal y a la intimidad personal y familiar esta actuación es también una discriminación por razón de sexo, en cuanto que el trato desfavorable se produce en función de las condiciones biológicas que son inherentes a la condición de mujer. También entiende que el Servicio Murciano de Salud obstaculizó el acceso a la interrupción voluntaria del embarazo de la demandante al remitirla para su práctica a un centro privado en la ciudad de Madrid sin estar acreditado que todos los facultativos del Servicio Murciano de Salud hubieran ejercido individualmente y por escrito su derecho a la objeción de conciencia. En su opinión, obligar a la mujer embarazada, que quiere interrumpir voluntariamente el embarazo por encontrarse en uno de los supuestos en los que la ley permite esta práctica, a tener que trasladarse fuera de su comunidad autónoma comporta un mayor gravamen para quien, objetivamente, se encuentra en una situación de especial vulnerabilidad que supone un trato desfavorable y discriminatorio que vulnera el art. 14 CE.</w:t>
      </w:r>
    </w:p>
    <w:p w14:paraId="4DCABF41" w14:textId="77777777" w:rsidR="008D479B" w:rsidRDefault="008D479B" w:rsidP="008D479B">
      <w:pPr>
        <w:pStyle w:val="TextoNormal"/>
      </w:pPr>
    </w:p>
    <w:p w14:paraId="2DEF13B3" w14:textId="77777777" w:rsidR="008D479B" w:rsidRDefault="008D479B" w:rsidP="008D479B">
      <w:pPr>
        <w:pStyle w:val="TextoNormal"/>
      </w:pPr>
      <w:r>
        <w:t>No aprecia, en cambio, la fiscal que en el presente caso haya habido una discriminación de la recurrente por las razones psicofísicas, como se aduce en la demanda de amparo, pues entiende que la actuación desfavorable y peyorativa no se corresponde con la patología que sufre la demandante.</w:t>
      </w:r>
    </w:p>
    <w:p w14:paraId="1A556367" w14:textId="77777777" w:rsidR="008D479B" w:rsidRDefault="008D479B" w:rsidP="008D479B">
      <w:pPr>
        <w:pStyle w:val="TextoNormal"/>
      </w:pPr>
    </w:p>
    <w:p w14:paraId="50F098ED" w14:textId="77777777" w:rsidR="008D479B" w:rsidRDefault="008D479B" w:rsidP="008D479B">
      <w:pPr>
        <w:pStyle w:val="TextoNormal"/>
      </w:pPr>
      <w:r>
        <w:t>La fiscal analiza también si las resoluciones judiciales impugnadas han vulnerado los derechos que consagra el art. 24 CE. Entiende que, aunque la estimación de las vulneraciones de los derechos fundamentales sustantivos que se imputan al acto administrativo haría innecesario efectuar este examen, con carácter subsidiario analiza si concurren o no las vulneraciones aducidas por la recurrente.</w:t>
      </w:r>
    </w:p>
    <w:p w14:paraId="3E0C113B" w14:textId="77777777" w:rsidR="008D479B" w:rsidRDefault="008D479B" w:rsidP="008D479B">
      <w:pPr>
        <w:pStyle w:val="TextoNormal"/>
      </w:pPr>
    </w:p>
    <w:p w14:paraId="648CA370" w14:textId="77777777" w:rsidR="008D479B" w:rsidRDefault="008D479B" w:rsidP="008D479B">
      <w:pPr>
        <w:pStyle w:val="TextoNormal"/>
      </w:pPr>
      <w:r>
        <w:t>Por lo que se refiere a la sentencia de la Sala de lo Contencioso-Administrativo del Tribunal Superior de Justicia de Murcia, a juicio de la fiscal, la única infracción que se le imputa es no haber tutelado la vulneración de los derechos fundamentales que atribuye al acto administrativo (la de los derechos que consagran los arts. 15, 18.1 y 14 CE), pero no le atribuye una vulneración autónoma. Tampoco aprecia que las providencias que inadmitieron el recurso de casación y el incidente de nulidad de actuaciones hayan vulnerado el derecho que consagra el 24.1 CE, pues se trata de resoluciones debidamente motivadas. De igual modo estima que no cabe entender que la providencia por la que se acordó la inadmisión del recurso de casación es contraria al art. 24.2 CE por vulnerar el derecho a un proceso con todas las garantías al haber vulnerado el derecho a la doble instancia, pues no existe un derecho fundamental a la doble instancia en el orden contencioso-administrativo.</w:t>
      </w:r>
    </w:p>
    <w:p w14:paraId="432BEE3E" w14:textId="77777777" w:rsidR="008D479B" w:rsidRDefault="008D479B" w:rsidP="008D479B">
      <w:pPr>
        <w:pStyle w:val="TextoNormal"/>
      </w:pPr>
    </w:p>
    <w:p w14:paraId="64F2227A" w14:textId="65B28411" w:rsidR="008D479B" w:rsidRDefault="008D479B" w:rsidP="008D479B">
      <w:pPr>
        <w:pStyle w:val="TextoNormal"/>
      </w:pPr>
      <w:r>
        <w:t>Por todo ello, la fiscal solicita la estimación parcial del presente recurso de amparo, que se declare que el acto administrativo impugnado ha vulnerado los derechos fundamentales a la integridad física y moral (art. 15), a la intimidad personal (art. 18.1 CE) y la prohibición de discriminación (art. 14 CE) y anule las resoluciones impugnadas en este proceso constitucional con retroacción de las actuaciones para que el Servicio Murciano de Salud dicte una nueva resolución respetuosa con los derechos fundamentales de la recurrente en amparo.</w:t>
      </w:r>
    </w:p>
    <w:p w14:paraId="5E85E227" w14:textId="77777777" w:rsidR="008D479B" w:rsidRDefault="008D479B" w:rsidP="008D479B">
      <w:pPr>
        <w:pStyle w:val="TextoNormal"/>
      </w:pPr>
    </w:p>
    <w:p w14:paraId="6441FA23" w14:textId="5226083A" w:rsidR="008D479B" w:rsidRDefault="008D479B" w:rsidP="008D479B">
      <w:pPr>
        <w:pStyle w:val="TextoNormal"/>
      </w:pPr>
      <w:r w:rsidRPr="008D479B">
        <w:rPr>
          <w:rStyle w:val="NumeroAFNegritaCaracter"/>
        </w:rPr>
        <w:t>16</w:t>
      </w:r>
      <w:r>
        <w:t>. Por providencia de 29 de junio pasado, se señaló para deliberación y votación de la presente sentencia el 3 de julio de 2023.</w:t>
      </w:r>
    </w:p>
    <w:p w14:paraId="2EA25912" w14:textId="77777777" w:rsidR="008D479B" w:rsidRDefault="008D479B" w:rsidP="008D479B">
      <w:pPr>
        <w:pStyle w:val="TextoNormal"/>
      </w:pPr>
    </w:p>
    <w:p w14:paraId="67F98D47" w14:textId="77777777" w:rsidR="008D479B" w:rsidRDefault="008D479B" w:rsidP="008D479B">
      <w:pPr>
        <w:pStyle w:val="TextoNormalNegritaCentrado"/>
        <w:keepNext/>
      </w:pPr>
      <w:r>
        <w:t>II. Fundamentos jurídicos</w:t>
      </w:r>
    </w:p>
    <w:p w14:paraId="1C3514C1" w14:textId="3B69E16B" w:rsidR="008D479B" w:rsidRDefault="008D479B" w:rsidP="008D479B">
      <w:pPr>
        <w:pStyle w:val="TextoNormalNegritaCentrado"/>
        <w:keepNext/>
      </w:pPr>
    </w:p>
    <w:p w14:paraId="6753A385" w14:textId="77777777" w:rsidR="008D479B" w:rsidRDefault="008D479B" w:rsidP="008D479B">
      <w:pPr>
        <w:pStyle w:val="TextoNormal"/>
      </w:pPr>
      <w:r w:rsidRPr="008D479B">
        <w:rPr>
          <w:rStyle w:val="NumeroAFNegritaCaracter"/>
        </w:rPr>
        <w:t>1</w:t>
      </w:r>
      <w:r>
        <w:t xml:space="preserve">. </w:t>
      </w:r>
      <w:r w:rsidRPr="008D479B">
        <w:rPr>
          <w:i/>
        </w:rPr>
        <w:t>Objeto del recurso y pretensiones de las partes</w:t>
      </w:r>
    </w:p>
    <w:p w14:paraId="54B564C6" w14:textId="77777777" w:rsidR="008D479B" w:rsidRDefault="008D479B" w:rsidP="008D479B">
      <w:pPr>
        <w:pStyle w:val="TextoNormal"/>
      </w:pPr>
    </w:p>
    <w:p w14:paraId="0A9DBEE6" w14:textId="77777777" w:rsidR="008D479B" w:rsidRDefault="008D479B" w:rsidP="008D479B">
      <w:pPr>
        <w:pStyle w:val="TextoNormal"/>
      </w:pPr>
      <w:r>
        <w:t>En el presente recurso de amparo se impugna la desestimación por silencio administrativo de la reclamación de responsabilidad patrimonial que la recurrente interpuso el 16 de octubre de 2015 contra el Servicio Murciano de Salud por la que solicitaba una indemnización, al considerar que el tratamiento que le fue dispensado con ocasión del seguimiento y control de su embarazo por los facultativos del Hospital General Universitario Santa Lucía de Cartagena, que culminó con su interrupción voluntaria en una clínica privada de Madrid, le había causado daños. Asimismo, se recurre la sentencia de la Sala de lo Contencioso-Administrativo del Tribunal Superior de Justicia de 22 de junio de 2018, por la que se desestimó el recurso contencioso-administrativo interpuesto contra la desestimación por silencio de la referida reclamación; la providencia de la Sala de lo Contencioso-Administrativo, Sección Primera, del Tribunal Supremo de 17 de enero de 2019, por la que se inadmite el recurso de casación interpuesto contra la citada sentencia del Tribunal Superior de Justicia y la providencia de 14 de marzo de 2019, del mismo órgano judicial, por la que se inadmitió el incidente de nulidad de actuaciones interpuesto contra la providencia que inadmitió el recurso de casación.</w:t>
      </w:r>
    </w:p>
    <w:p w14:paraId="08E68F41" w14:textId="77777777" w:rsidR="008D479B" w:rsidRDefault="008D479B" w:rsidP="008D479B">
      <w:pPr>
        <w:pStyle w:val="TextoNormal"/>
      </w:pPr>
    </w:p>
    <w:p w14:paraId="50839181" w14:textId="77777777" w:rsidR="008D479B" w:rsidRDefault="008D479B" w:rsidP="008D479B">
      <w:pPr>
        <w:pStyle w:val="TextoNormal"/>
      </w:pPr>
      <w:r>
        <w:t>La demandante en amparo alega haber recibido tratos humillantes y vejatorios por parte de los profesionales sanitarios que la atendieron durante su embarazo. Aduce, además, que no se le suministró de manera completa y adecuada información sobre su embarazo de alto riesgo ni del anormal desarrollo fetal. También denuncia que en ningún momento se le informó sobre la posibilidad de interrumpir el embarazo ni le hicieron las pruebas diagnósticas necesarias en el momento oportuno, lo que derivó en una espera innecesaria de más de seis semanas para el ejercicio de su derecho a la interrupción del embarazo. La recurrente considera que tales hechos vulneraron su derecho a la integridad física y moral (art. 15 CE y art. 3 CEDH), su derecho a la intimidad familiar y personal (art. 18.1 CE y art. 8 CEDH) y su derecho a no sufrir discriminación. En relación con esta queja aduce, en concreto, que han confluido diversos factores que han determinado un trato discriminatorio: el sexo, el género, su condición psicofísica y socioeconómica, su formación cultural y residir en una comunidad autónoma en la que se dificulta el acceso a la interrupción del embarazo. Por ello considera vulnerados los derechos que consagran el art. 14 CE, los arts. 14 y 1 del protocolo núm. 12 al CEDH y los arts. 1, 12 y 16 e) de la Convención de todas las formas de discriminación contra la mujer (CEDAW). Entiende, además, que también lesiona su derecho a la igualdad (art. 14 CE) el que todos los facultativos especialistas en ginecología y obstetricia de la Región de Murcia hayan ejercido su derecho a la objeción de conciencia en relación con la práctica de la interrupción voluntaria del embarazo, pues, según se alega, esta objeción de conciencia generalizada provoca una grave situación de desigualdad para las mujeres murcianas respecto de las que residen en otra comunidad autónoma.</w:t>
      </w:r>
    </w:p>
    <w:p w14:paraId="4822963D" w14:textId="77777777" w:rsidR="008D479B" w:rsidRDefault="008D479B" w:rsidP="008D479B">
      <w:pPr>
        <w:pStyle w:val="TextoNormal"/>
      </w:pPr>
    </w:p>
    <w:p w14:paraId="79562B25" w14:textId="77777777" w:rsidR="008D479B" w:rsidRDefault="008D479B" w:rsidP="008D479B">
      <w:pPr>
        <w:pStyle w:val="TextoNormal"/>
      </w:pPr>
      <w:r>
        <w:t>En relación con las resoluciones judiciales impugnadas, la recurrente en amparo considera que tanto la providencia por la que se acordó la inadmisión del recurso de casación, como la que inadmitió el incidente de nulidad de actuaciones contra aquella resolución han vulnerado su derecho a la tutela judicial efectiva, al impedirle acceder a la justicia y al recurso (art. 24.1 CE), su derecho a un proceso con todas las garantías al privarle de su derecho a la segunda instancia (art. 24.2 CE) y el derecho que consagra el art. 6.1 CEDH. También alega que las resoluciones judiciales recurridas han lesionado su derecho a la tutela judicial efectiva al no haber obtenido una resolución debidamente razonada sobre la vulneración de los derechos fundamentales sustantivos denunciados [el derecho a la integridad física y moral (art. 15 CE), a la intimidad personal y familiar (art. 18.1 CE) y a no sufrir discriminación (art. 14)].</w:t>
      </w:r>
    </w:p>
    <w:p w14:paraId="29694800" w14:textId="77777777" w:rsidR="008D479B" w:rsidRDefault="008D479B" w:rsidP="008D479B">
      <w:pPr>
        <w:pStyle w:val="TextoNormal"/>
      </w:pPr>
    </w:p>
    <w:p w14:paraId="0A154338" w14:textId="77777777" w:rsidR="008D479B" w:rsidRDefault="008D479B" w:rsidP="008D479B">
      <w:pPr>
        <w:pStyle w:val="TextoNormal"/>
      </w:pPr>
      <w:r>
        <w:t>El letrado de la Comunidad Autónoma de la Región de Murcia, como se ha expuesto en los antecedentes, interesa la inadmisión del recurso de amparo en relación con las vulneraciones de derechos fundamentales que se atribuyen a la asistencia sanitaria prestada a la recurrente por el Servicio Murciano de Salud y la desestimación respecto de la queja por la que se alega que las resoluciones judiciales impugnadas han vulnerado el art. 24 CE y, subsidiariamente, solicita la íntegra desestimación del recurso.</w:t>
      </w:r>
    </w:p>
    <w:p w14:paraId="2BB3539F" w14:textId="77777777" w:rsidR="008D479B" w:rsidRDefault="008D479B" w:rsidP="008D479B">
      <w:pPr>
        <w:pStyle w:val="TextoNormal"/>
      </w:pPr>
    </w:p>
    <w:p w14:paraId="7595D762" w14:textId="365239D7" w:rsidR="008D479B" w:rsidRDefault="008D479B" w:rsidP="008D479B">
      <w:pPr>
        <w:pStyle w:val="TextoNormal"/>
      </w:pPr>
      <w:r>
        <w:t>El Ministerio Fiscal, por las razones indicadas en los antecedentes, considera que no procede estimar las quejas por las que se aduce que las resoluciones judiciales impugnadas han vulnerado el derecho a la tutela judicial efectiva (art. 24.1 CE) y el derecho a un proceso con todas las garantías (art. 24.2 CE). Por el contrario, a su juicio, sí concurren las vulneraciones de los derechos a la integridad física y moral (art. 15 CE), del derecho a la intimidad personal y familiar (art. 18.1 CE) y del derecho a la igualdad y la no discriminación (art. 14 CE). Por ello solicita la estimación parcial del recurso del amparo.</w:t>
      </w:r>
    </w:p>
    <w:p w14:paraId="08B21205" w14:textId="77777777" w:rsidR="008D479B" w:rsidRDefault="008D479B" w:rsidP="008D479B">
      <w:pPr>
        <w:pStyle w:val="TextoNormal"/>
      </w:pPr>
    </w:p>
    <w:p w14:paraId="75AF07A1" w14:textId="77777777" w:rsidR="008D479B" w:rsidRDefault="008D479B" w:rsidP="008D479B">
      <w:pPr>
        <w:pStyle w:val="TextoNormal"/>
      </w:pPr>
      <w:r w:rsidRPr="008D479B">
        <w:rPr>
          <w:rStyle w:val="NumeroAFNegritaCaracter"/>
        </w:rPr>
        <w:t>2</w:t>
      </w:r>
      <w:r>
        <w:t xml:space="preserve">. </w:t>
      </w:r>
      <w:r w:rsidRPr="008D479B">
        <w:rPr>
          <w:i/>
        </w:rPr>
        <w:t>Consideración previa</w:t>
      </w:r>
    </w:p>
    <w:p w14:paraId="50018DCF" w14:textId="77777777" w:rsidR="008D479B" w:rsidRDefault="008D479B" w:rsidP="008D479B">
      <w:pPr>
        <w:pStyle w:val="TextoNormal"/>
      </w:pPr>
    </w:p>
    <w:p w14:paraId="2494B589" w14:textId="7350F075" w:rsidR="008D479B" w:rsidRDefault="008D479B" w:rsidP="008D479B">
      <w:pPr>
        <w:pStyle w:val="TextoNormal"/>
      </w:pPr>
      <w:r>
        <w:t>Aun cuando no haya sido solicitado por la recurrente, el Tribunal entiende que, dado el objeto de este recurso, le corresponde adoptar las medidas pertinentes para la adecuada protección de los derechos reconocidos en el art. 18.1 y 4 CE, en aplicación del art. 86.3 LOTC y del acuerdo del Pleno de 23 de julio de 2015, por el que se regula la exclusión de los datos de identidad personal en la publicación de las resolución las resoluciones jurisdiccionales (“Boletín Oficial del Estado” núm. 178, de 27 de julio de 2015). En consecuencia, la presente sentencia identifica a la recurrente y a aquellos que no han sido parte en el recurso de amparo por sus iniciales.</w:t>
      </w:r>
    </w:p>
    <w:p w14:paraId="599EC454" w14:textId="77777777" w:rsidR="008D479B" w:rsidRDefault="008D479B" w:rsidP="008D479B">
      <w:pPr>
        <w:pStyle w:val="TextoNormal"/>
      </w:pPr>
    </w:p>
    <w:p w14:paraId="0FFF28A2" w14:textId="77777777" w:rsidR="008D479B" w:rsidRDefault="008D479B" w:rsidP="008D479B">
      <w:pPr>
        <w:pStyle w:val="TextoNormal"/>
      </w:pPr>
      <w:r w:rsidRPr="008D479B">
        <w:rPr>
          <w:rStyle w:val="NumeroAFNegritaCaracter"/>
        </w:rPr>
        <w:t>3</w:t>
      </w:r>
      <w:r>
        <w:t xml:space="preserve">. </w:t>
      </w:r>
      <w:r w:rsidRPr="008D479B">
        <w:rPr>
          <w:i/>
        </w:rPr>
        <w:t>Sobre las causas de inadmisibilidad parcial alegadas</w:t>
      </w:r>
    </w:p>
    <w:p w14:paraId="3FF23A9D" w14:textId="77777777" w:rsidR="008D479B" w:rsidRDefault="008D479B" w:rsidP="008D479B">
      <w:pPr>
        <w:pStyle w:val="TextoNormal"/>
      </w:pPr>
    </w:p>
    <w:p w14:paraId="0D184964" w14:textId="77777777" w:rsidR="008D479B" w:rsidRDefault="008D479B" w:rsidP="008D479B">
      <w:pPr>
        <w:pStyle w:val="TextoNormal"/>
      </w:pPr>
      <w:r>
        <w:t>Como se ha indicado, el letrado de la Región de Murcia solicita la inadmisión parcial del recurso. Alega que las quejas por las que se aduce que los facultativos del Servicio Murciano de Salud han vulnerado los derechos fundamentales de la recurrente en amparo no reúnen los requisitos de admisibilidad, pues considera, por una parte, que respecto de estos motivos del recurso no se ha justificado la especial trascendencia constitucional y, por otra, que los hechos en los que estas quejas se fundamentan no son los que ha considerado probados la sentencia de la Sección Primera de la Sala de lo Contencioso-Administrativo del Tribunal Superior de Justicia de Murcia, de 22 de junio de 2018, que resolvió el recurso contencioso-administrativo interpuesto contra la desestimación por silencio de la reclamación de responsabilidad patrimonial que formuló la recurrente en amparo contra el Servicio Murciano de Salud. También considera que, en relación con la alegación por la que se entiende haber recibido tratos humillantes o vejatorios por parte del personal sanitario de los servicios públicos de salud de la Región de Murcia y la que sostiene que no se le han practicado pruebas diagnósticas que eran necesarias, no se concretan los hechos en los que estas quejas se fundamentan y por este motivo deben ser inadmitidas.</w:t>
      </w:r>
    </w:p>
    <w:p w14:paraId="3F04DF2B" w14:textId="77777777" w:rsidR="008D479B" w:rsidRDefault="008D479B" w:rsidP="008D479B">
      <w:pPr>
        <w:pStyle w:val="TextoNormal"/>
      </w:pPr>
    </w:p>
    <w:p w14:paraId="4990A6C6" w14:textId="77777777" w:rsidR="008D479B" w:rsidRDefault="008D479B" w:rsidP="008D479B">
      <w:pPr>
        <w:pStyle w:val="TextoNormal"/>
      </w:pPr>
      <w:r>
        <w:t>No procede acceder a la solicitud de inadmisibilidad parcial formulada por el letrado de la Región de Murcia. De acuerdo con la doctrina del Tribunal “una vez admitido el recurso por apreciarse la especial trascendencia constitucional, no es posible seleccionar los motivos que deben ser objeto de enjuiciamiento en el proceso, […] puesto que el amparo constitucional no ha perdido su dimensión subjetiva como instrumento procesal para preservar o restablecer las violaciones de los derechos y libertades fundamentales, de manera que si el contenido del recurso justifica una decisión sobre el fondo, como aquí ha sucedido, debe ser admitido y examinado en la totalidad de su contenido, sin que sea posible incluir o excluir determinados motivos en función de su especial trascendencia constitucional. Dicho en otras palabras, la especial trascendencia constitucional se exige del recurso y no de cada uno de los motivos en concreto” (STC 2/2013, de 14 de enero, FJ 3). La aplicación de esta doctrina conlleva que no proceda la inadmisión parcial que solicita esta parte procesal. En la demanda se justifica la especial trascendencia constitucional del recurso, sin que sea necesario, como se acaba de exponer, que esta exigencia se cumpla respecto de cada uno de los motivos en los que se fundamenta. En consecuencia, esta causa de inadmisibilidad debe ser desestimada.</w:t>
      </w:r>
    </w:p>
    <w:p w14:paraId="3301C124" w14:textId="77777777" w:rsidR="008D479B" w:rsidRDefault="008D479B" w:rsidP="008D479B">
      <w:pPr>
        <w:pStyle w:val="TextoNormal"/>
      </w:pPr>
    </w:p>
    <w:p w14:paraId="09994825" w14:textId="44BD7C55" w:rsidR="008D479B" w:rsidRDefault="008D479B" w:rsidP="008D479B">
      <w:pPr>
        <w:pStyle w:val="TextoNormal"/>
      </w:pPr>
      <w:r>
        <w:t>Tampoco pueden inadmitirse las quejas por las que se alega que los facultativos del Servicio Murciano de Salud han vulnerado los derechos fundamentales de la recurrente en amparo porque se fundamenten en hechos que no son los declarados probados por la sentencia impugnada o porque respecto de determinadas alegaciones no se concreten los hechos en los que se basan. Una vez admitido a trámite el recurso, el examen de tales alegaciones, al afectar a la cuestión de fondo planteada, no pueden analizarse como si fuera un requisito procesal cuyo incumplimiento determine la inadmisibilidad de ese motivo del recurso.</w:t>
      </w:r>
    </w:p>
    <w:p w14:paraId="22073323" w14:textId="77777777" w:rsidR="008D479B" w:rsidRDefault="008D479B" w:rsidP="008D479B">
      <w:pPr>
        <w:pStyle w:val="TextoNormal"/>
      </w:pPr>
    </w:p>
    <w:p w14:paraId="6233B91D" w14:textId="77777777" w:rsidR="008D479B" w:rsidRDefault="008D479B" w:rsidP="008D479B">
      <w:pPr>
        <w:pStyle w:val="TextoNormal"/>
      </w:pPr>
      <w:r w:rsidRPr="008D479B">
        <w:rPr>
          <w:rStyle w:val="NumeroAFNegritaCaracter"/>
        </w:rPr>
        <w:t>4</w:t>
      </w:r>
      <w:r>
        <w:t xml:space="preserve">. </w:t>
      </w:r>
      <w:r w:rsidRPr="008D479B">
        <w:rPr>
          <w:i/>
        </w:rPr>
        <w:t>Naturaleza del recurso de amparo y delimitación del alcance del juicio de constitucionalidad que se va a efectuar</w:t>
      </w:r>
    </w:p>
    <w:p w14:paraId="51BABFBB" w14:textId="77777777" w:rsidR="008D479B" w:rsidRDefault="008D479B" w:rsidP="008D479B">
      <w:pPr>
        <w:pStyle w:val="TextoNormal"/>
      </w:pPr>
    </w:p>
    <w:p w14:paraId="49947370" w14:textId="77777777" w:rsidR="008D479B" w:rsidRDefault="008D479B" w:rsidP="008D479B">
      <w:pPr>
        <w:pStyle w:val="TextoNormal"/>
      </w:pPr>
      <w:r>
        <w:t>a) El presente recurso de amparo es un recurso mixto, pues, por una parte, se aduce que las resoluciones judiciales impugnadas han vulnerado el derecho a la tutela judicial efectiva (art. 24.1 CE), el derecho a un proceso con todas las garantías (art. 24.2 CE) y el derecho que consagra el art. 6.1 CEDH y, por otra, que el Servicio Murciano de Salud ha lesionado los derechos de la recurrente en amparo a su integridad física y moral (art. 15 CE y art. 3 CEDH), a la intimidad (art. 18.1 CE y art. 8 CEDH) a la igualdad y a no sufrir discriminación [art. 14 CE, arts. 14 y 1 del protocolo núm. 12 al CEDH y arts. 1, 12 y 16 e) CEDAW]. La circunstancia de que en el “suplico” de la demanda solo se solicite la anulación de las resoluciones judiciales recurridas no impide calificarlo como tal, pues lo relevante, a estos efectos, es que en la argumentación de la demanda imputa, por una parte, vulneraciones de derechos fundamentales a la administración y, por otra, a los órganos judiciales y estas quejas son autónomas.</w:t>
      </w:r>
    </w:p>
    <w:p w14:paraId="08DBB565" w14:textId="77777777" w:rsidR="008D479B" w:rsidRDefault="008D479B" w:rsidP="008D479B">
      <w:pPr>
        <w:pStyle w:val="TextoNormal"/>
      </w:pPr>
    </w:p>
    <w:p w14:paraId="7555E75D" w14:textId="77777777" w:rsidR="008D479B" w:rsidRDefault="008D479B" w:rsidP="008D479B">
      <w:pPr>
        <w:pStyle w:val="TextoNormal"/>
      </w:pPr>
      <w:r>
        <w:t>La calificación del recurso como “mixto” determina que, de acuerdo con la jurisprudencia del Tribunal (entre otras muchas, STC 56/2019, de 6 de mayo, FJ 2), hayan de examinarse, en primer lugar, las vulneraciones de derechos fundamentales que se imputan a la administración y solo en el caso de que estas quejas fueran desestimadas se analizarían las vulneraciones de derechos fundamentales que se atribuyen a los órganos judiciales.</w:t>
      </w:r>
    </w:p>
    <w:p w14:paraId="571FBCEB" w14:textId="77777777" w:rsidR="008D479B" w:rsidRDefault="008D479B" w:rsidP="008D479B">
      <w:pPr>
        <w:pStyle w:val="TextoNormal"/>
      </w:pPr>
    </w:p>
    <w:p w14:paraId="075DCDD8" w14:textId="77777777" w:rsidR="008D479B" w:rsidRDefault="008D479B" w:rsidP="008D479B">
      <w:pPr>
        <w:pStyle w:val="TextoNormal"/>
      </w:pPr>
      <w:r>
        <w:t>b) Ha de precisarse, por otra parte, que la resolución del presente recurso de amparo no puede tener más alcance que el de examinar si las resoluciones impugnadas han incurrido o no en las vulneraciones de derechos fundamentales que les imputa la recurrente en amparo, sin que corresponda al Tribunal pronunciarse sobre si procede o no reconocerle la indemnización reclamada. Esta es una cuestión de legalidad ordinaria cuyo análisis es ajeno a la jurisdicción constitucional.</w:t>
      </w:r>
    </w:p>
    <w:p w14:paraId="25E4854C" w14:textId="77777777" w:rsidR="008D479B" w:rsidRDefault="008D479B" w:rsidP="008D479B">
      <w:pPr>
        <w:pStyle w:val="TextoNormal"/>
      </w:pPr>
    </w:p>
    <w:p w14:paraId="5AB7300C" w14:textId="77777777" w:rsidR="008D479B" w:rsidRDefault="008D479B" w:rsidP="008D479B">
      <w:pPr>
        <w:pStyle w:val="TextoNormal"/>
      </w:pPr>
      <w:r>
        <w:t>c) También debe indicarse que, en relación con los hechos que han dado lugar al proceso, de acuerdo con la jurisprudencia constitucional (SSTC 93/1992, de 11 de junio, FJ 4, y 56/2019, de 6 de mayo, FJ 3) “cuando el Tribunal conoce de la presunta vulneración de un derecho fundamental por parte de una autoridad administrativa, en el cauce del art. 43 LOTC, no resultan de aplicación los límites que establece el art. 44.1 b) LOTC”, que le impide entrar a conocerlos. Ahora bien, de esta jurisprudencia constitucional no cabe deducir que el Tribunal pueda desconocer los hechos que los órganos judiciales han considerado probados al enjuiciar las vulneraciones de derechos fundamentales que se imputan a la administración. Estos hechos han de respetarse en todo caso, salvo, obviamente, cuando se acuda en amparo aduciendo que el órgano judicial ha incurrido en error patente, arbitrariedad o irrazonalibidad en la apreciación de los hechos. Cuestión distinta es que partiendo de tales hechos se puedan realizar inferencias o valoraciones jurídico-constitucionales diferentes. Como afirmó la STC 56/2019 “en lo concerniente a las vulneraciones atribuidas a la administración, este tribunal no está vinculado por las valoraciones fácticas realizadas en la jurisdicción ordinaria”, pero sí lo está, salvo la excepción apuntada, en lo concerniente a la determinación de los hechos.</w:t>
      </w:r>
    </w:p>
    <w:p w14:paraId="688B2371" w14:textId="77777777" w:rsidR="008D479B" w:rsidRDefault="008D479B" w:rsidP="008D479B">
      <w:pPr>
        <w:pStyle w:val="TextoNormal"/>
      </w:pPr>
    </w:p>
    <w:p w14:paraId="32E6BB0A" w14:textId="6E2F9D74" w:rsidR="008D479B" w:rsidRDefault="008D479B" w:rsidP="008D479B">
      <w:pPr>
        <w:pStyle w:val="TextoNormal"/>
      </w:pPr>
      <w:r>
        <w:t xml:space="preserve">d) Asimismo, conviene advertir que aunque en la demanda de amparo se invocan vulneraciones de derechos reconocidos en el Convenio europeo de derechos humanos y de otros textos internacionales al “Tribunal no le corresponde, al conocer del recurso de amparo, examinar la observancia o inobservancia, </w:t>
      </w:r>
      <w:r w:rsidRPr="008D479B">
        <w:rPr>
          <w:i/>
        </w:rPr>
        <w:t>per se</w:t>
      </w:r>
      <w:r>
        <w:t>, de textos internacionales que obliguen a España en materia de derechos humanos, sino comprobar el respeto o la infracción de los preceptos constitucionales que reconocen los derechos fundamentales y libertades públicas susceptibles de amparo constitucional (arts. 53.2 CE y 41.1 LOTC), sin perjuicio de que, por mandato del art. 10.2 CE, deban ser interpretados tales preceptos de conformidad con la Declaración universal de derechos humanos y tratados y acuerdos internacionales sobre la misma materia ratificados por España” (STC 126/2009, de 21 de mayo, FJ 3; en el mismo sentido, entre otras muchas, SSTC 85/2003, de 8 de mayo, FJ 6; 99/2004, de 27 de mayo, FJ 3; 68/2005, de 31 de marzo, FJ 2; 44/2019, de 12 de febrero, FJ 2; 184/2021, de 28 de octubre, FJ 14, y 11/2023, de 23 de febrero, FJ 3).</w:t>
      </w:r>
    </w:p>
    <w:p w14:paraId="43F82C5B" w14:textId="77777777" w:rsidR="008D479B" w:rsidRDefault="008D479B" w:rsidP="008D479B">
      <w:pPr>
        <w:pStyle w:val="TextoNormal"/>
      </w:pPr>
    </w:p>
    <w:p w14:paraId="0E694744" w14:textId="77777777" w:rsidR="008D479B" w:rsidRDefault="008D479B" w:rsidP="008D479B">
      <w:pPr>
        <w:pStyle w:val="TextoNormal"/>
      </w:pPr>
      <w:r w:rsidRPr="008D479B">
        <w:rPr>
          <w:rStyle w:val="NumeroAFNegritaCaracter"/>
        </w:rPr>
        <w:t>5</w:t>
      </w:r>
      <w:r>
        <w:t xml:space="preserve">. </w:t>
      </w:r>
      <w:r w:rsidRPr="008D479B">
        <w:rPr>
          <w:i/>
        </w:rPr>
        <w:t>Sobre la naturaleza y alcance del derecho de la mujer a interrumpir el embarazo</w:t>
      </w:r>
    </w:p>
    <w:p w14:paraId="5CC318B3" w14:textId="77777777" w:rsidR="008D479B" w:rsidRDefault="008D479B" w:rsidP="008D479B">
      <w:pPr>
        <w:pStyle w:val="TextoNormal"/>
      </w:pPr>
    </w:p>
    <w:p w14:paraId="55FC2F08" w14:textId="77777777" w:rsidR="008D479B" w:rsidRDefault="008D479B" w:rsidP="008D479B">
      <w:pPr>
        <w:pStyle w:val="TextoNormal"/>
      </w:pPr>
      <w:r>
        <w:t>Como ha declarado la STC 44/2023, de 9 de mayo, FJ 3 B), la interrupción voluntaria del embarazo “forma parte del contenido constitucionalmente protegido del derecho fundamental a la integridad física y moral (art. 15 CE) en conexión con la dignidad de la persona y el libre desarrollo de su personalidad como principios rectores del orden político y la paz social (art. 10.1 CE)”. Al tratarse de un derecho cuyo ejercicio precisa un desarrollo legislativo que establezca una regulación que sea respetuosa con los derechos y los bienes constitucionales concernidos por la interrupción voluntaria del embarazo [el derecho fundamental de la mujer a la integridad física y moral (art. 15 CE) en relación con su dignidad y el libre desarrollo de su personalidad (art. 10.1 CE) y el deber del Estado de proteger la vida prenatal como bien constitucional (art. 15 CE)] nos encontramos ante un derecho de configuración legal.</w:t>
      </w:r>
    </w:p>
    <w:p w14:paraId="48694C6E" w14:textId="77777777" w:rsidR="008D479B" w:rsidRDefault="008D479B" w:rsidP="008D479B">
      <w:pPr>
        <w:pStyle w:val="TextoNormal"/>
      </w:pPr>
    </w:p>
    <w:p w14:paraId="4B9E4BF6" w14:textId="767CD99D" w:rsidR="008D479B" w:rsidRDefault="008D479B" w:rsidP="008D479B">
      <w:pPr>
        <w:pStyle w:val="TextoNormal"/>
      </w:pPr>
      <w:r>
        <w:t>Esta naturaleza no determina que cualquier infracción de la ley que regula el ejercicio del derecho a la interrupción del embarazo conlleve la infracción del derecho fundamental a la integridad física y moral de la mujer. Para poder apreciar su vulneración es preciso que la previsión legal incumplida incida directamente en el ámbito tutelado por este derecho fundamental, lo que sucederá tanto en los casos en los que no se respete el ámbito de libertad que el legislador otorga a la mujer para que pueda adoptar de forma autónoma y sin coerción de ningún tipo la decisión que considere más adecuada en cuanto a la continuación o no de la gestación [STC 44/2023, FJ 3 D)], como en aquellos en los que se dificulte de manera relevante el acceso a la prestación sanitaria de la interrupción del embarazo o su práctica. En consecuencia, en aquellos casos en los que no se respeten las previsiones legales que tienen como objeto proporcionar garantías para que la mujer pueda tomar esta decisión libremente, con pleno conocimiento de causa y con todos los elementos de juicio necesarios, así como aquellas que tienen como finalidad asegurar que la prestación de la interrupción del embarazo se va a efectuar con respeto de los derechos fundamentales de la mujer, la vulneración legal conllevará también la del derecho fundamental afectado.</w:t>
      </w:r>
    </w:p>
    <w:p w14:paraId="7EBD209C" w14:textId="77777777" w:rsidR="008D479B" w:rsidRDefault="008D479B" w:rsidP="008D479B">
      <w:pPr>
        <w:pStyle w:val="TextoNormal"/>
      </w:pPr>
    </w:p>
    <w:p w14:paraId="541499E9" w14:textId="77777777" w:rsidR="008D479B" w:rsidRDefault="008D479B" w:rsidP="008D479B">
      <w:pPr>
        <w:pStyle w:val="TextoNormal"/>
      </w:pPr>
      <w:r w:rsidRPr="008D479B">
        <w:rPr>
          <w:rStyle w:val="NumeroAFNegritaCaracter"/>
        </w:rPr>
        <w:t>6</w:t>
      </w:r>
      <w:r>
        <w:t xml:space="preserve">. </w:t>
      </w:r>
      <w:r w:rsidRPr="008D479B">
        <w:rPr>
          <w:i/>
        </w:rPr>
        <w:t>Sobre los hechos en los que se fundamenta la vulneración de los derechos fundamentales invocados</w:t>
      </w:r>
    </w:p>
    <w:p w14:paraId="737912CB" w14:textId="77777777" w:rsidR="008D479B" w:rsidRDefault="008D479B" w:rsidP="008D479B">
      <w:pPr>
        <w:pStyle w:val="TextoNormal"/>
      </w:pPr>
    </w:p>
    <w:p w14:paraId="7BA5F06A" w14:textId="77777777" w:rsidR="008D479B" w:rsidRDefault="008D479B" w:rsidP="008D479B">
      <w:pPr>
        <w:pStyle w:val="TextoNormal"/>
      </w:pPr>
      <w:r>
        <w:t>Como se ha indicado, la recurrente estima que los facultativos del Servicio Murciano de Salud han vulnerado su derecho a la integridad física y moral (art. 15 CE), su derecho a la intimidad personal (art. 18.1 CE) y a no sufrir discriminación (art. 14 CE) porque (i) sufrió tratos humillantes y vejatorios por parte de los profesionales sanitarios; (ii) no le suministraron de forma adecuada información sobre su embarazo de alto riesgo ni del anormal desarrollo fetal; (iii) no se le hicieron pruebas diagnósticas necesarias en el momento oportuno; (iv) tampoco se le informó sobre la posibilidad de interrumpir la gestación, y (v) tuvo que desplazarse a una comunidad autónoma distinta de la que reside para poder interrumpir el embarazo al existir una objeción de conciencia generalizada de los profesionales sanitarios de la Región de Murcia a realizar abortos.</w:t>
      </w:r>
    </w:p>
    <w:p w14:paraId="65B72158" w14:textId="77777777" w:rsidR="008D479B" w:rsidRDefault="008D479B" w:rsidP="008D479B">
      <w:pPr>
        <w:pStyle w:val="TextoNormal"/>
      </w:pPr>
    </w:p>
    <w:p w14:paraId="368F7CF7" w14:textId="77777777" w:rsidR="008D479B" w:rsidRDefault="008D479B" w:rsidP="008D479B">
      <w:pPr>
        <w:pStyle w:val="TextoNormal"/>
      </w:pPr>
      <w:r>
        <w:t>Estos hechos, según aduce la demandante “afectaron severamente su integridad física y mental, causándole enormes y duraderos sufrimientos físicos y emocionales por motivos de género”.</w:t>
      </w:r>
    </w:p>
    <w:p w14:paraId="28CCFF8C" w14:textId="77777777" w:rsidR="008D479B" w:rsidRDefault="008D479B" w:rsidP="008D479B">
      <w:pPr>
        <w:pStyle w:val="TextoNormal"/>
      </w:pPr>
    </w:p>
    <w:p w14:paraId="3FD29F3E" w14:textId="77777777" w:rsidR="008D479B" w:rsidRDefault="008D479B" w:rsidP="008D479B">
      <w:pPr>
        <w:pStyle w:val="TextoNormal"/>
      </w:pPr>
      <w:r>
        <w:t>El letrado de la Región de Murcia entiende que los hechos en los que se fundamenta la lesión de los derechos fundamentales que se imputan a la administración sanitaria no se encuentran acreditados.</w:t>
      </w:r>
    </w:p>
    <w:p w14:paraId="78A447ED" w14:textId="77777777" w:rsidR="008D479B" w:rsidRDefault="008D479B" w:rsidP="008D479B">
      <w:pPr>
        <w:pStyle w:val="TextoNormal"/>
      </w:pPr>
    </w:p>
    <w:p w14:paraId="2B075F84" w14:textId="77777777" w:rsidR="008D479B" w:rsidRDefault="008D479B" w:rsidP="008D479B">
      <w:pPr>
        <w:pStyle w:val="TextoNormal"/>
      </w:pPr>
      <w:r>
        <w:t>Para examinar si concurren las vulneraciones de derechos fundamentales alegadas es necesario, en primer lugar, determinar los hechos de los que traen causa.</w:t>
      </w:r>
    </w:p>
    <w:p w14:paraId="658297D3" w14:textId="77777777" w:rsidR="008D479B" w:rsidRDefault="008D479B" w:rsidP="008D479B">
      <w:pPr>
        <w:pStyle w:val="TextoNormal"/>
      </w:pPr>
    </w:p>
    <w:p w14:paraId="2EEE28D7" w14:textId="77777777" w:rsidR="008D479B" w:rsidRDefault="008D479B" w:rsidP="008D479B">
      <w:pPr>
        <w:pStyle w:val="TextoNormal"/>
      </w:pPr>
      <w:r>
        <w:t>A) Sobre los tratos humillantes, vejatorios y prejuiciosos que se imputan a los profesionales sanitarios del Servicio Murciano de Salud</w:t>
      </w:r>
    </w:p>
    <w:p w14:paraId="2AC7A233" w14:textId="77777777" w:rsidR="008D479B" w:rsidRDefault="008D479B" w:rsidP="008D479B">
      <w:pPr>
        <w:pStyle w:val="TextoNormal"/>
      </w:pPr>
    </w:p>
    <w:p w14:paraId="3AADD0A4" w14:textId="77777777" w:rsidR="008D479B" w:rsidRDefault="008D479B" w:rsidP="008D479B">
      <w:pPr>
        <w:pStyle w:val="TextoNormal"/>
      </w:pPr>
      <w:r>
        <w:t>Como se acaba de indicar, la recurrente sostiene que los profesionales sanitarios la sometieron a tratos humillantes, vejatorios y prejuiciosos. La sentencia impugnada considera que estos tratos no han quedado mínimamente acreditados. La demandante no recurre en amparo esta resolución por apreciar que el órgano judicial ha incurrido en un error patente, en arbitrariedad o en irrazonabilidad al efectuar esta afirmación. En consecuencia, de acuerdo con lo expuesto en el fundamento jurídico 4 c) de esta sentencia, no puede considerarse acreditado que concurran los hechos que la demandante califica como “humillantes, vejatorios y prejuiciosos”, lo que determina que la queja que se fundamenta en tales hechos no pueda ser examinada.</w:t>
      </w:r>
    </w:p>
    <w:p w14:paraId="1BA97B03" w14:textId="77777777" w:rsidR="008D479B" w:rsidRDefault="008D479B" w:rsidP="008D479B">
      <w:pPr>
        <w:pStyle w:val="TextoNormal"/>
      </w:pPr>
    </w:p>
    <w:p w14:paraId="50E9C668" w14:textId="77777777" w:rsidR="008D479B" w:rsidRDefault="008D479B" w:rsidP="008D479B">
      <w:pPr>
        <w:pStyle w:val="TextoNormal"/>
      </w:pPr>
      <w:r>
        <w:t>B) Sobre si los facultativos del Servicio Murciano de Salud ofrecieron información suficiente a la recurrente respecto de su embarazo, el anormal desarrollo del feto y la posibilidad de interrumpir el embarazo</w:t>
      </w:r>
    </w:p>
    <w:p w14:paraId="06C721C3" w14:textId="77777777" w:rsidR="008D479B" w:rsidRDefault="008D479B" w:rsidP="008D479B">
      <w:pPr>
        <w:pStyle w:val="TextoNormal"/>
      </w:pPr>
    </w:p>
    <w:p w14:paraId="031EEBEA" w14:textId="77777777" w:rsidR="008D479B" w:rsidRDefault="008D479B" w:rsidP="008D479B">
      <w:pPr>
        <w:pStyle w:val="TextoNormal"/>
      </w:pPr>
      <w:r>
        <w:t>Respecto de estos hechos, tampoco la recurrente ha impugnado en el recurso de amparo la apreciación de los hechos efectuada por el órgano judicial por considerar que haya incurrido en un error patente, en arbitrariedad o en irrazonabilidad, por lo que no podemos cuestionar los hechos de los que la sentencia impugnada deduce que la demandante fue informada tanto de la evolución de su embarazo como de la enfermedad fetal. Cuestión distinta es valorar si la información que se le otorgó era o no suficiente y si, en su caso, la falta de información tuvo entidad suficiente para lesionar los derechos fundamentales alegados. Para poder efectuar esta valoración se van a analizar, además de las consideraciones efectuadas en la sentencia, las alegaciones de la recurrente y la historia clínica y los informes médicos que obran en las actuaciones.</w:t>
      </w:r>
    </w:p>
    <w:p w14:paraId="2DA7DC9B" w14:textId="77777777" w:rsidR="008D479B" w:rsidRDefault="008D479B" w:rsidP="008D479B">
      <w:pPr>
        <w:pStyle w:val="TextoNormal"/>
      </w:pPr>
    </w:p>
    <w:p w14:paraId="3CF8BC7E" w14:textId="77777777" w:rsidR="008D479B" w:rsidRDefault="008D479B" w:rsidP="008D479B">
      <w:pPr>
        <w:pStyle w:val="TextoNormal"/>
      </w:pPr>
      <w:r>
        <w:t>a) Valoración de los hechos por la sentencia impugnada</w:t>
      </w:r>
    </w:p>
    <w:p w14:paraId="7298D74A" w14:textId="77777777" w:rsidR="008D479B" w:rsidRDefault="008D479B" w:rsidP="008D479B">
      <w:pPr>
        <w:pStyle w:val="TextoNormal"/>
      </w:pPr>
    </w:p>
    <w:p w14:paraId="7AD52CE6" w14:textId="77777777" w:rsidR="008D479B" w:rsidRDefault="008D479B" w:rsidP="008D479B">
      <w:pPr>
        <w:pStyle w:val="TextoNormal"/>
      </w:pPr>
      <w:r>
        <w:t>El órgano judicial, de acuerdo con lo manifestado por los facultativos que declararon como peritos en el proceso y de la historia clínica que está incorporada a las actuaciones, llega a la conclusión de que no hubo falta de información a la paciente. Según se afirma en el fundamento de Derecho 4, el doctor M., que fue uno de los facultativos del servicio de obstetricia del Hospital General Universitario Santa Lucía de Cartagena que atendió a la recurrente y compareció en el proceso como perito, declaró que la agenesia parcial del cuerpo calloso no es un factor de un embarazo de alto riesgo, ya que cuando se diagnostica es en la semana veinte o veintidós. También sostuvo que una vez que se detecta, se establece un protocolo de seguimiento, se somete a la paciente a un régimen de visitas más frecuentes que las de un embarazo normal y se estudia la patología. La sentencia declara que fue lo “que se hizo con la actora que se la citó para nueva revisión en cuatro semanas (semana veinticuatro) donde se la revisó incluso diez días antes mediante interconsulta de la matrona del Servicio Murciano de Salud”.</w:t>
      </w:r>
    </w:p>
    <w:p w14:paraId="2ACE8F2D" w14:textId="77777777" w:rsidR="008D479B" w:rsidRDefault="008D479B" w:rsidP="008D479B">
      <w:pPr>
        <w:pStyle w:val="TextoNormal"/>
      </w:pPr>
    </w:p>
    <w:p w14:paraId="0F0C61BA" w14:textId="77777777" w:rsidR="008D479B" w:rsidRDefault="008D479B" w:rsidP="008D479B">
      <w:pPr>
        <w:pStyle w:val="TextoNormal"/>
      </w:pPr>
      <w:r>
        <w:t>La Sala pone de manifiesto que, según la declaración del doctor S., otro de los facultativos que atendió a la recurrente, el estudio que se efectúa a través de la resonancia no tiene siempre una especificidad del 100 por 100, pues se puede considerar que hay un cuerpo calloso y estar equivocado o, por el contrario, se puede apreciar que no existe y, sin embargo, estar presente. Se afirma que su especificidad aumenta más allá de la semana veintidós y por ello a veces se retrasa esta prueba hasta la semana veintiocho. También reconoció que esta situación “puede ser agobiante para la familia, pero lo que debe prevalecer es llegar a un diagnóstico lo más certero posible”. La sentencia recoge también que el informe de la doctora G.M. (perito de la parte actora) recomienda realizar la resonancia a partir de la semana veintidós y resalta también la importancia de efectuar un diagnóstico prenatal lo más preciso posible para dar información adecuada a los padres y permitir que tomen decisiones con tiempo suficiente.</w:t>
      </w:r>
    </w:p>
    <w:p w14:paraId="54DBAC89" w14:textId="77777777" w:rsidR="008D479B" w:rsidRDefault="008D479B" w:rsidP="008D479B">
      <w:pPr>
        <w:pStyle w:val="TextoNormal"/>
      </w:pPr>
    </w:p>
    <w:p w14:paraId="5370816C" w14:textId="77777777" w:rsidR="008D479B" w:rsidRDefault="008D479B" w:rsidP="008D479B">
      <w:pPr>
        <w:pStyle w:val="TextoNormal"/>
      </w:pPr>
      <w:r>
        <w:t xml:space="preserve">La Sala llega a la conclusión de que el Servicio Murciano de Salud no ocultó información a la recurrente al constar “paso a paso el seguimiento de la actora en la historia clínica, en su cartilla de embarazada, en los informes clínicos de los ginecólogos y en la historia de atención primaria”. Asimismo, señala que esta información se le otorgó en la consulta que tuvo lugar el 22 de octubre de 2014 (semana veinte + cinco de gestación) en la que se informa a la recurrente de la ausencia de </w:t>
      </w:r>
      <w:r w:rsidRPr="008D479B">
        <w:rPr>
          <w:i/>
        </w:rPr>
        <w:t>cavum</w:t>
      </w:r>
      <w:r>
        <w:t>; en la consulta de 10 de noviembre de 2014 (semana veintitrés + tres de gestación), en la que se explican las posibilidades diagnósticas, y también en la consulta que tuvo lugar el 20 de noviembre (semana veinticuatro + seis de gestación).</w:t>
      </w:r>
    </w:p>
    <w:p w14:paraId="156D399D" w14:textId="77777777" w:rsidR="008D479B" w:rsidRDefault="008D479B" w:rsidP="008D479B">
      <w:pPr>
        <w:pStyle w:val="TextoNormal"/>
      </w:pPr>
    </w:p>
    <w:p w14:paraId="3C6C0E42" w14:textId="77777777" w:rsidR="008D479B" w:rsidRDefault="008D479B" w:rsidP="008D479B">
      <w:pPr>
        <w:pStyle w:val="TextoNormal"/>
      </w:pPr>
      <w:r>
        <w:t>Por otra parte, el órgano judicial entiende que la circunstancia de que la recurrente acudiera a un centro sanitario privado para solicitar una segunda opinión médica y de que fuera en la sanidad privada donde se le practicó la resonancia no conlleva que existiera ocultación de información por parte del Servicio Murciano de Salud.</w:t>
      </w:r>
    </w:p>
    <w:p w14:paraId="7B4AEEDD" w14:textId="77777777" w:rsidR="008D479B" w:rsidRDefault="008D479B" w:rsidP="008D479B">
      <w:pPr>
        <w:pStyle w:val="TextoNormal"/>
      </w:pPr>
    </w:p>
    <w:p w14:paraId="02304FFF" w14:textId="77777777" w:rsidR="008D479B" w:rsidRDefault="008D479B" w:rsidP="008D479B">
      <w:pPr>
        <w:pStyle w:val="TextoNormal"/>
      </w:pPr>
      <w:r>
        <w:t>b) Valoración de los hechos por la recurrente</w:t>
      </w:r>
    </w:p>
    <w:p w14:paraId="5C9BE995" w14:textId="77777777" w:rsidR="008D479B" w:rsidRDefault="008D479B" w:rsidP="008D479B">
      <w:pPr>
        <w:pStyle w:val="TextoNormal"/>
      </w:pPr>
    </w:p>
    <w:p w14:paraId="21E000E2" w14:textId="77777777" w:rsidR="008D479B" w:rsidRDefault="008D479B" w:rsidP="008D479B">
      <w:pPr>
        <w:pStyle w:val="TextoNormal"/>
      </w:pPr>
      <w:r>
        <w:t>La demandante entiende que la información recibida no fue suficiente. Aduce, como se ha expuesto en los antecedentes, que tras acudir a la consulta el día 22 de octubre de 2014 en el Hospital General Universitario Santa Lucía, su marido y ella se quedaron preocupados por la somera respuesta hospitalaria, así como por las posibles complicaciones del feto y, ante el excesivo plazo de cuatro semanas que les dieron hasta la siguiente cita en la sanidad pública, decidieron acudir a la sanidad privada. El 5 de noviembre fueron a la consulta privada y, tras hacerle una nueva ecografía, el médico les informó de que la agenesia que padecía el feto parecía ser completa y no parcial. También les dijo que, dado lo avanzado de la gestión tenían, que “moverse”. Ante esta información, el día siguiente, esto es, el 6 de noviembre, acuden de nuevo al Hospital General Universitario Santa Lucía para que les explicaran qué hacer en su situación. Como la recurrente no tenía cita no pudo ser asistida por lo que fue a su centro de salud donde la atiende su matrona, quien, ante los informes de la sanidad privada y la información que le proporcionó la demandante, decidió enviar un fax al hospital solicitando una consulta urgente. Al siguiente día, el 7 de noviembre, que era viernes, la recurrente acude personalmente al Hospital General Universitario Santa Lucía y obtuvo una cita para el día 10 de noviembre, lunes. Tras esta revisión, el medico consideró, según consta en la historia, que “no pued[e] excluir totalmente la posibilidad de agenesia de c. calloso”. Se refleja también en la historia que se explican las posibilidades diagnósticas, que se “revalorará a la paciente en diez días y la posibilidad de realizar RM”. Doña A.C.M., afirma que la única información que recibió fue “que lo mismo puede salirte bien que mal si esperas, además esto hasta la semana treinta y dos no se ve bien del todo”.</w:t>
      </w:r>
    </w:p>
    <w:p w14:paraId="5E8A7FE4" w14:textId="77777777" w:rsidR="008D479B" w:rsidRDefault="008D479B" w:rsidP="008D479B">
      <w:pPr>
        <w:pStyle w:val="TextoNormal"/>
      </w:pPr>
    </w:p>
    <w:p w14:paraId="13B75304" w14:textId="77777777" w:rsidR="008D479B" w:rsidRDefault="008D479B" w:rsidP="008D479B">
      <w:pPr>
        <w:pStyle w:val="TextoNormal"/>
      </w:pPr>
      <w:r>
        <w:t>Dada la preocupación que le ocasionó esta información, la recurrente acudió de nuevo a la sanidad privada. Obtuvo cita ese mismo día en el que le hicieron una nueva ecografía, le confirmaron el diagnóstico y le informaron de que para determinar el grado de la enfermedad debía hacerse una resonancia magnética al feto. Como en Murcia no encontró ningún hospital que hiciera este tipo de pruebas tuvo que acudir a un centro sanitario de Madrid. La prueba se realizó tres días después, el día 13 de noviembre, y el resultado fue que la agenesia era del 90 por 100. Se detectaron, además, malformaciones encefálicas bilaterales. Los médicos del centro privado informaron a la demandante de amparo de que el pronóstico era malo y de que tenía una probabilidad muy elevada de que el cuadro se asociara con discapacidad intelectual, afectación motora y crisis epilépticas, que llevarían a una situación de dependencia grave y ausencia de autonomía. También recomendó valoración por el comité clínico para considerar la interrupción del embarazo en función de esta información.</w:t>
      </w:r>
    </w:p>
    <w:p w14:paraId="288FC29E" w14:textId="77777777" w:rsidR="008D479B" w:rsidRDefault="008D479B" w:rsidP="008D479B">
      <w:pPr>
        <w:pStyle w:val="TextoNormal"/>
      </w:pPr>
    </w:p>
    <w:p w14:paraId="0C77BC60" w14:textId="77777777" w:rsidR="008D479B" w:rsidRDefault="008D479B" w:rsidP="008D479B">
      <w:pPr>
        <w:pStyle w:val="TextoNormal"/>
      </w:pPr>
      <w:r>
        <w:t>El 20 de noviembre acudió a la cita que tenía en el hospital público. Los facultativos de este hospital, a la vista de la resonancia realizada en el centro sanitario privado, confirman el diagnóstico de agenesia total del cuerpo calloso. Se decidió, juntamente con los padres, realizar interconsulta con el servicio de neurología pediátrica. Según sostiene la recurrente, el médico de este servicio les explicó, a ella y a su pareja, que la enfermedad era de carácter muy grave y les ofreció toda la información y explicaciones que pidieron sobre el diagnóstico y su pronóstico, que coincidió con el realizado por el hospital privado.</w:t>
      </w:r>
    </w:p>
    <w:p w14:paraId="6E235B6F" w14:textId="77777777" w:rsidR="008D479B" w:rsidRDefault="008D479B" w:rsidP="008D479B">
      <w:pPr>
        <w:pStyle w:val="TextoNormal"/>
      </w:pPr>
    </w:p>
    <w:p w14:paraId="18BC6878" w14:textId="77777777" w:rsidR="008D479B" w:rsidRDefault="008D479B" w:rsidP="008D479B">
      <w:pPr>
        <w:pStyle w:val="TextoNormal"/>
      </w:pPr>
      <w:r>
        <w:t>Valorada la información ofrecida por el facultativo del servicio de neurología pediátrica la recurrente decidió interrumpir el embarazo. Al encontrarse en la semana veinticuatro + seis de la gestación la derivaron al comité clínico de la Región de Murcia, de acuerdo con lo dispuesto en los arts. 15 y 16 de la Ley Orgánica 2/2010. La recurrente afirma que “le hacen firmar varios papeles que envían al comité asesor sin que le den ninguna información sobre el contenido de los documentos, sobre el procedimiento o las posibilidades de futuros embarazos sanos”. Una semana más tarde, el 26 de noviembre (semana veinticinco + seis de gestación), recibió una llamada en la que le confirmaron que el comité clínico había aprobado su solicitud de interrupción voluntaria del embarazo en una clínica privada de Madrid, advirtiéndole de que tendría que trasladarse allí por sus propios medios. El comité no le envió el informe. Tras reclamarlo se lo mandaron en agosto de 2015.</w:t>
      </w:r>
    </w:p>
    <w:p w14:paraId="247C6A52" w14:textId="77777777" w:rsidR="008D479B" w:rsidRDefault="008D479B" w:rsidP="008D479B">
      <w:pPr>
        <w:pStyle w:val="TextoNormal"/>
      </w:pPr>
    </w:p>
    <w:p w14:paraId="41D5D850" w14:textId="77777777" w:rsidR="008D479B" w:rsidRDefault="008D479B" w:rsidP="008D479B">
      <w:pPr>
        <w:pStyle w:val="TextoNormal"/>
      </w:pPr>
      <w:r>
        <w:t>La interrupción voluntaria del embarazo se produjo el día 1 de diciembre y se efectúo, dado lo avanzado de la gestación, mediante un parto inducido.</w:t>
      </w:r>
    </w:p>
    <w:p w14:paraId="5C1E482D" w14:textId="77777777" w:rsidR="008D479B" w:rsidRDefault="008D479B" w:rsidP="008D479B">
      <w:pPr>
        <w:pStyle w:val="TextoNormal"/>
      </w:pPr>
    </w:p>
    <w:p w14:paraId="4179FA0F" w14:textId="77777777" w:rsidR="008D479B" w:rsidRDefault="008D479B" w:rsidP="008D479B">
      <w:pPr>
        <w:pStyle w:val="TextoNormal"/>
      </w:pPr>
      <w:r>
        <w:t>c) Valoración de los hechos que efectúa el Tribunal</w:t>
      </w:r>
    </w:p>
    <w:p w14:paraId="26936ABC" w14:textId="77777777" w:rsidR="008D479B" w:rsidRDefault="008D479B" w:rsidP="008D479B">
      <w:pPr>
        <w:pStyle w:val="TextoNormal"/>
      </w:pPr>
    </w:p>
    <w:p w14:paraId="74DE446B" w14:textId="77777777" w:rsidR="008D479B" w:rsidRDefault="008D479B" w:rsidP="008D479B">
      <w:pPr>
        <w:pStyle w:val="TextoNormal"/>
      </w:pPr>
      <w:r>
        <w:t>Una vez examinada la valoración de los hechos que ha efectuado la sentencia impugnada, la que realiza la recurrente, la historia clínica y los informes médicos que obran en las actuaciones el Tribunal ha llegado a la conclusión de que los facultativos del Servicio Murciano de Salud no ocultaron información a la recurrente sobre el desarrollo de su embarazo ni sobre la enfermedad del feto. Asimismo, el Tribunal entiende que no pusieron obstáculos para que pudiera ejercer su derecho a la interrupción voluntaria del embarazo. Esta conclusión se fundamenta en que, según las declaraciones de los médicos que intervinieron en el proceso en el que recayó la sentencia impugnada, la enfermedad fetal no pudo diagnosticarse en la ecografía que le hicieron el 22 de octubre de 2014 (semana veinte de la gestación) porque esta enfermedad no puede detectarse antes de la semana veintidós. Es a partir de este momento cuando se recomienda efectuar la resonancia que confirme el diagnóstico, aunque para obtener un diagnóstico certero es mejor, según sostuvo en el proceso el doctor S., retrasarla algunas semanas más (declaró que a veces se efectúa en la semana veintiocho).</w:t>
      </w:r>
    </w:p>
    <w:p w14:paraId="5AD191D6" w14:textId="77777777" w:rsidR="008D479B" w:rsidRDefault="008D479B" w:rsidP="008D479B">
      <w:pPr>
        <w:pStyle w:val="TextoNormal"/>
      </w:pPr>
    </w:p>
    <w:p w14:paraId="26BFFBD3" w14:textId="77777777" w:rsidR="008D479B" w:rsidRDefault="008D479B" w:rsidP="008D479B">
      <w:pPr>
        <w:pStyle w:val="TextoNormal"/>
      </w:pPr>
      <w:r>
        <w:t>En la ecografía de la semana veinte de la gestación, según consta en el informe médico que obra en las actuaciones, se detectaron hallazgos sugestivos de la agenesia parcial del cuerpo calloso, pero no se diagnostica la enfermedad. Los médicos informaron a la recurrente de estos hallazgos, pues según se sostiene en la demanda de amparo, cuando la demandante le pregunta al médico qué pasaba al ver que consultaba a un compañero, le respondió: “no, es que lo mismo es agenesia del cuerpo calloso”. Ciertamente, el facultativo hubiera debido explicarle en qué consistía esa enfermedad y las posibilidades que había de que las sospechas se confirmaran, pero de la escueta respuesta que le dio el médico no cabe deducir que hubo ocultación de información con el fin de obstaculizar el ejercicio del derecho de la recurrente a la interrupción del embarazo. A la misma conclusión hay que llegar respecto de las siguientes consultas médicas. En la de 10 de noviembre, el médico hizo constar en la historia clínica, como recoge la sentencia impugnada, que no se podía excluir totalmente la posibilidad de agenesia del cuerpo calloso y que se le explican a la paciente las posibilidades diagnósticas. También indica que se la revaluará en diez días y la posibilidad de realizar una resonancia magnética. Es, finalmente, en la consulta que tiene lugar el 20 de noviembre cuando se confirma la enfermedad del feto a la vista de la resonancia que se había hecho la recurrente en una clínica privada. En este momento, como se ha indicado, se realiza una interconsulta a neurología pediátrica para pedir una segunda opinión e información sobre el pronóstico de la enfermedad. El médico de este servicio le dio información completa, según reconoce la demandante, sobre la enfermedad del feto y sobre la posibilidad de interrumpir el embarazo.</w:t>
      </w:r>
    </w:p>
    <w:p w14:paraId="7F67E95F" w14:textId="77777777" w:rsidR="008D479B" w:rsidRDefault="008D479B" w:rsidP="008D479B">
      <w:pPr>
        <w:pStyle w:val="TextoNormal"/>
      </w:pPr>
    </w:p>
    <w:p w14:paraId="34DA627A" w14:textId="77777777" w:rsidR="008D479B" w:rsidRDefault="008D479B" w:rsidP="008D479B">
      <w:pPr>
        <w:pStyle w:val="TextoNormal"/>
      </w:pPr>
      <w:r>
        <w:t>Debe señalarse, por otra parte, que del hecho de que la recurrente acudiera a solicitar una segunda opinión a la sanidad privada y de que fuera en uno de estos centros donde se hiciera la resonancia y el estudio genético, no puede deducirse que estas pruebas no se las fueran a realizar en el hospital público. Como se acaba de señalar, en el informe elaborado por el facultativo tras la consulta del día 10 de noviembre, se indica que ha de revalorarse a la paciente en diez días, así como la posibilidad de efectuar la resonancia.</w:t>
      </w:r>
    </w:p>
    <w:p w14:paraId="68AA4BD2" w14:textId="77777777" w:rsidR="008D479B" w:rsidRDefault="008D479B" w:rsidP="008D479B">
      <w:pPr>
        <w:pStyle w:val="TextoNormal"/>
      </w:pPr>
    </w:p>
    <w:p w14:paraId="5E07C94C" w14:textId="77777777" w:rsidR="008D479B" w:rsidRDefault="008D479B" w:rsidP="008D479B">
      <w:pPr>
        <w:pStyle w:val="TextoNormal"/>
      </w:pPr>
      <w:r>
        <w:t>De igual modo, ha de tenerse en cuenta que el tiempo que ha transcurrido desde que se confirma la grave enfermedad del feto (20 de noviembre de 2014) y la interrupción del embarazo (1 de diciembre de 2014) es de once días, y desde que el comité clínico aprueba la solicitud de interrupción del embarazo (26 de noviembre) hasta que se practica de cinco días. La interrupción del embarazo no se demoró casi siete semanas, como afirma la recurrente, pues, como se ha indicado, el diagnóstico de la enfermedad del feto no se podía efectuar el 22 de octubre (semana veinte de embarazo), pues en esa fecha lo único que pudo detectarse fueron hallazgos sospechosos de agenesia del cuerpo calloso y en ese momento era todavía pronto para poder realizar la resonancia que confirmara el diagnóstico. La circunstancia de que la sanidad privada haya actuado con más celeridad que la pública no conlleva que la actuación de los facultativos del Servicio Murciano de Salud no haya actuado con la diligencia y rapidez que se requiere en estos casos.</w:t>
      </w:r>
    </w:p>
    <w:p w14:paraId="19D1C10B" w14:textId="77777777" w:rsidR="008D479B" w:rsidRDefault="008D479B" w:rsidP="008D479B">
      <w:pPr>
        <w:pStyle w:val="TextoNormal"/>
      </w:pPr>
    </w:p>
    <w:p w14:paraId="2819DCE3" w14:textId="77777777" w:rsidR="008D479B" w:rsidRDefault="008D479B" w:rsidP="008D479B">
      <w:pPr>
        <w:pStyle w:val="TextoNormal"/>
      </w:pPr>
      <w:r>
        <w:t>C) A la misma conclusión ha de llegarse en relación con la queja por la que se aduce que no se le practicaron las pruebas diagnósticas en el momento oportuno. La demandante se refiere a una resonancia magnética y unas pruebas genéticas. En el informe realizado por el facultativo cuando la demandante acudió a la consulta el 10 de noviembre de 2014 (semana veintitrés + cuatro) consta que se valorará la realización de esta prueba cuando la paciente acuda a la revisión y esta revisión estaba prevista a los diez días. Si esta prueba no se hizo fue porque la demandante decidió no esperar y hacérsela en la sanidad privada.</w:t>
      </w:r>
    </w:p>
    <w:p w14:paraId="2576FEE9" w14:textId="77777777" w:rsidR="008D479B" w:rsidRDefault="008D479B" w:rsidP="008D479B">
      <w:pPr>
        <w:pStyle w:val="TextoNormal"/>
      </w:pPr>
    </w:p>
    <w:p w14:paraId="473737FC" w14:textId="77777777" w:rsidR="008D479B" w:rsidRDefault="008D479B" w:rsidP="008D479B">
      <w:pPr>
        <w:pStyle w:val="TextoNormal"/>
      </w:pPr>
      <w:r>
        <w:t>La recurrente no aporta datos de los que pueda inferirse que el médico retrasara la decisión de efectuar esta prueba a la revisión del día 20 de noviembre con la finalidad de obstaculizar el ejercicio de su derecho a interrumpir el embarazo. Como se ha indicado, de acuerdo con la prueba pericial practicada en el proceso, la resonancia en este tipo de enfermedad fetal está indicada a partir de la semana veintidós de la gestación o posterior, al ser mayor su fiabilidad cuanto más tarde se efectúe. Según la opinión del doctor S., en ocasiones se espera hasta la semana veintiocho. Por lo que el día 20 de noviembre no era un momento tardío para acordar su práctica, ya que en esa fecha la recurrente se encontraba en la semana veinticuatro de la gestación.</w:t>
      </w:r>
    </w:p>
    <w:p w14:paraId="379C55CF" w14:textId="77777777" w:rsidR="008D479B" w:rsidRDefault="008D479B" w:rsidP="008D479B">
      <w:pPr>
        <w:pStyle w:val="TextoNormal"/>
      </w:pPr>
    </w:p>
    <w:p w14:paraId="3586999F" w14:textId="77777777" w:rsidR="008D479B" w:rsidRDefault="008D479B" w:rsidP="008D479B">
      <w:pPr>
        <w:pStyle w:val="TextoNormal"/>
      </w:pPr>
      <w:r>
        <w:t>Por lo que se refiere a la prueba genética que según la recurrente se le hubiera debido hacer no se aducen en la demanda las razones por las que se considera necesaria esta prueba ni, en su caso, el momento en que hubiera debido realizarse. En todo caso, como la recurrente se efectuó esta prueba en la sanidad privada y la aportó a los médicos del hospital público su práctica ya no sería necesaria.</w:t>
      </w:r>
    </w:p>
    <w:p w14:paraId="7637FA92" w14:textId="77777777" w:rsidR="008D479B" w:rsidRDefault="008D479B" w:rsidP="008D479B">
      <w:pPr>
        <w:pStyle w:val="TextoNormal"/>
      </w:pPr>
    </w:p>
    <w:p w14:paraId="2182E6EE" w14:textId="77777777" w:rsidR="008D479B" w:rsidRDefault="008D479B" w:rsidP="008D479B">
      <w:pPr>
        <w:pStyle w:val="TextoNormal"/>
      </w:pPr>
      <w:r>
        <w:t>D) Finalmente, queda por analizar si puede considerarse acreditado que el Servicio Murciano de Salud derivó a la recurrente a un centro privado en Madrid para que le practicaran la interrupción del embarazo y si existe una objeción generalizada de los médicos murcianos a practicar abortos. Es un hecho incontrovertido que la recurrente fue derivada a un centro sanitario de Madrid para llevar a cabo la interrupción del embarazo, por lo que este hecho ha de considerarse probado.</w:t>
      </w:r>
    </w:p>
    <w:p w14:paraId="37A6820A" w14:textId="77777777" w:rsidR="008D479B" w:rsidRDefault="008D479B" w:rsidP="008D479B">
      <w:pPr>
        <w:pStyle w:val="TextoNormal"/>
      </w:pPr>
    </w:p>
    <w:p w14:paraId="23F9593E" w14:textId="77777777" w:rsidR="008D479B" w:rsidRDefault="008D479B" w:rsidP="008D479B">
      <w:pPr>
        <w:pStyle w:val="TextoNormal"/>
      </w:pPr>
      <w:r>
        <w:t>Por el contrario, no puede considerarse acreditado que en la Región de Murcia exista una objeción de conciencia generalizada de los facultativos murcianos a practicar abortos. Consta en las actuaciones un escrito del director gerente del área I del Servicio Murciano de Salud en el que se afirma:</w:t>
      </w:r>
    </w:p>
    <w:p w14:paraId="74EBD9A1" w14:textId="77777777" w:rsidR="008D479B" w:rsidRDefault="008D479B" w:rsidP="008D479B">
      <w:pPr>
        <w:pStyle w:val="TextoNormal"/>
      </w:pPr>
    </w:p>
    <w:p w14:paraId="620EEF70" w14:textId="77777777" w:rsidR="008D479B" w:rsidRDefault="008D479B" w:rsidP="008D479B">
      <w:pPr>
        <w:pStyle w:val="TextoNormal"/>
      </w:pPr>
      <w:r>
        <w:t>“Por las noticias que tiene esta Dirección Gerencia, el 100 por 100 de los facultativos especialistas en ginecología/obstetricia del hospital y Servicio Murciano de Salud están acogidos a la objeción de conciencia para la práctica de abortos en los hospitales públicos de la región, por lo que esta prestación sanitaria se lleva a cabo, cuando se cumplen los requisitos establecidos, mediante la derivación a las clínicas privadas inscritas para ello por la Consejería de Salud.</w:t>
      </w:r>
    </w:p>
    <w:p w14:paraId="355ED131" w14:textId="77777777" w:rsidR="008D479B" w:rsidRDefault="008D479B" w:rsidP="008D479B">
      <w:pPr>
        <w:pStyle w:val="TextoNormal"/>
      </w:pPr>
    </w:p>
    <w:p w14:paraId="18381F63" w14:textId="77777777" w:rsidR="008D479B" w:rsidRDefault="008D479B" w:rsidP="008D479B">
      <w:pPr>
        <w:pStyle w:val="TextoNormal"/>
      </w:pPr>
      <w:r>
        <w:t>Finalmente le indico que tampoco existe ningún registro de facultativos en relación a la objeción de conciencia en el derecho al aborto voluntario, porque ningún facultativo ha pedido poder practicar interrupciones voluntarias de embarazo en la sanidad pública de la Región de Murcia”.</w:t>
      </w:r>
    </w:p>
    <w:p w14:paraId="20142975" w14:textId="77777777" w:rsidR="008D479B" w:rsidRDefault="008D479B" w:rsidP="008D479B">
      <w:pPr>
        <w:pStyle w:val="TextoNormal"/>
      </w:pPr>
    </w:p>
    <w:p w14:paraId="16832F1D" w14:textId="77777777" w:rsidR="008D479B" w:rsidRDefault="008D479B" w:rsidP="008D479B">
      <w:pPr>
        <w:pStyle w:val="TextoNormal"/>
      </w:pPr>
      <w:r>
        <w:t xml:space="preserve">Como pone de manifiesto la fiscal en sus alegaciones, este informe no permite entender acreditado que todos los facultativos del Servicio Murciano de Salud hayan ejercido su derecho a la objeción de conciencia, pues, por una parte, se limita a decir “[p]or las noticias que tiene esta Dirección Gerencia” (no se sabe si esas noticias son o no oficiales) y, por otra, porque afirma que no existe ningún registro de objetores de conciencia “porque ningún facultativo ha pedido poder practicar interrupciones voluntarias del embarazo en la sanidad pública de la Región de Murcia”. Esta última es la razón por la que la sentencia impugnada considera que la derivación a la clínica privada de Madrid para la práctica de la interrupción del embarazo es correcta. Esta conclusión, sin embargo, no puede aceptarse, pues contraviene frontalmente lo dispuesto en la Ley Orgánica 2/2010, de 3 de marzo, de salud sexual y reproductiva y de la interrupción voluntaria del embarazo (en el art. 19.2 en la redacción entonces vigente y en el art. 19 </w:t>
      </w:r>
      <w:r w:rsidRPr="008D479B">
        <w:rPr>
          <w:i/>
        </w:rPr>
        <w:t>bis</w:t>
      </w:r>
      <w:r>
        <w:t xml:space="preserve"> en la redacción actual) que establece que el derecho a la objeción de conciencia ha de ejercerse siempre de forma individual y debe manifestarse anticipadamente y por escrito.</w:t>
      </w:r>
    </w:p>
    <w:p w14:paraId="0E779640" w14:textId="77777777" w:rsidR="008D479B" w:rsidRDefault="008D479B" w:rsidP="008D479B">
      <w:pPr>
        <w:pStyle w:val="TextoNormal"/>
      </w:pPr>
    </w:p>
    <w:p w14:paraId="46FE6E3D" w14:textId="77777777" w:rsidR="008D479B" w:rsidRDefault="008D479B" w:rsidP="008D479B">
      <w:pPr>
        <w:pStyle w:val="TextoNormal"/>
      </w:pPr>
      <w:r>
        <w:t>Resulta, por tanto, que el hecho de que en la Región de Murcia ningún facultativo haya pedido practicar la interrupción del embarazo no acredita que en esta comunidad autónoma todos los médicos hayan ejercido su derecho a la objeción de conciencia. La conclusión que se deduce de los arts. 18 y 19 de la Ley Orgánica 2/2010 es la contraria: los profesionales sanitarios de la red sanitaria pública o vinculados a la misma solo están exentos de practicar la interrupción voluntaria del embarazo cuando hayan ejercido su derecho a la objeción de conciencia conforme establece la Ley Orgánica 2/2010. La objeción de conciencia, como afirma la STC 44/2023, FJ 9 “en tanto que excepción a una obligación legal y en consecuencia de carácter excepcional, debe ser objeto de una interpretación estricta”.</w:t>
      </w:r>
    </w:p>
    <w:p w14:paraId="5E4243F4" w14:textId="77777777" w:rsidR="008D479B" w:rsidRDefault="008D479B" w:rsidP="008D479B">
      <w:pPr>
        <w:pStyle w:val="TextoNormal"/>
      </w:pPr>
    </w:p>
    <w:p w14:paraId="3DDBEB61" w14:textId="77777777" w:rsidR="008D479B" w:rsidRDefault="008D479B" w:rsidP="008D479B">
      <w:pPr>
        <w:pStyle w:val="TextoNormal"/>
      </w:pPr>
      <w:r>
        <w:t>Cuestión distinta es si esta derivación puede estimarse lesiva de los derechos fundamentales que invoca la recurrente. Sobre esta cuestión nos pronunciaremos a continuación.</w:t>
      </w:r>
    </w:p>
    <w:p w14:paraId="4832A730" w14:textId="77777777" w:rsidR="008D479B" w:rsidRDefault="008D479B" w:rsidP="008D479B">
      <w:pPr>
        <w:pStyle w:val="TextoNormal"/>
      </w:pPr>
    </w:p>
    <w:p w14:paraId="61503CB5" w14:textId="0210E5D0" w:rsidR="008D479B" w:rsidRDefault="008D479B" w:rsidP="008D479B">
      <w:pPr>
        <w:pStyle w:val="TextoNormal"/>
      </w:pPr>
      <w:r>
        <w:t>E) En conclusión, no puede considerarse acreditado que el personal sanitario del Servicio Murciano de Salud haya tratado a la recurrente de modo humillante ni que le haya ocultado información sobre el desarrollo de su embarazo ni sobre la enfermedad del feto ni sobre las posibilidades de interrumpir el embarazo con el fin de obstaculizar su derecho a la interrupción voluntaria del embarazo. Tampoco puede considerase probado que todos los profesionales sanitarios de Murcia hayan ejercido su derecho a la objeción de conciencia. Por ello, las vulneraciones de derechos fundamentales que, según la recurrente, han originado tales hechos no pueden concurrir.</w:t>
      </w:r>
    </w:p>
    <w:p w14:paraId="6E1FDBD1" w14:textId="77777777" w:rsidR="008D479B" w:rsidRDefault="008D479B" w:rsidP="008D479B">
      <w:pPr>
        <w:pStyle w:val="TextoNormal"/>
      </w:pPr>
    </w:p>
    <w:p w14:paraId="2F2E2ABC" w14:textId="77777777" w:rsidR="008D479B" w:rsidRDefault="008D479B" w:rsidP="008D479B">
      <w:pPr>
        <w:pStyle w:val="TextoNormal"/>
      </w:pPr>
      <w:r w:rsidRPr="008D479B">
        <w:rPr>
          <w:rStyle w:val="NumeroAFNegritaCaracter"/>
        </w:rPr>
        <w:t>7</w:t>
      </w:r>
      <w:r>
        <w:t xml:space="preserve">. </w:t>
      </w:r>
      <w:r w:rsidRPr="008D479B">
        <w:rPr>
          <w:i/>
        </w:rPr>
        <w:t>Sobre la práctica de la interrupción del embarazo en una localidad distinta a la de la residencia y su incidencia en los derechos fundamentales de la mujer</w:t>
      </w:r>
    </w:p>
    <w:p w14:paraId="0278026C" w14:textId="77777777" w:rsidR="008D479B" w:rsidRDefault="008D479B" w:rsidP="008D479B">
      <w:pPr>
        <w:pStyle w:val="TextoNormal"/>
      </w:pPr>
    </w:p>
    <w:p w14:paraId="56D88DE6" w14:textId="77777777" w:rsidR="008D479B" w:rsidRDefault="008D479B" w:rsidP="008D479B">
      <w:pPr>
        <w:pStyle w:val="TextoNormal"/>
      </w:pPr>
      <w:r>
        <w:t>La recurrente sostiene que el Servicio Murciano de Salud, al derivarla a una clínica privada de Madrid para la práctica de la interrupción del embarazo, ha vulnerado su derecho a la igualdad (art. 14 CE). Alega que en la Región de Murcia se produce de hecho una objeción de conciencia generalizada que provoca una situación de desigualdad para las mujeres murcianas en relación con las residentes en otras comunidades autónomas. Aduce también que este trato diferenciado le afectó especialmente, pues, dada su situación socioeconómica, le resultaba muy gravoso sufragarse los gastos que origina el tener que trasladarse a otra comunidad autónoma para la interrupción del embarazo.</w:t>
      </w:r>
    </w:p>
    <w:p w14:paraId="449D346C" w14:textId="77777777" w:rsidR="008D479B" w:rsidRDefault="008D479B" w:rsidP="008D479B">
      <w:pPr>
        <w:pStyle w:val="TextoNormal"/>
      </w:pPr>
    </w:p>
    <w:p w14:paraId="503BA0C0" w14:textId="77777777" w:rsidR="008D479B" w:rsidRDefault="008D479B" w:rsidP="008D479B">
      <w:pPr>
        <w:pStyle w:val="TextoNormal"/>
      </w:pPr>
      <w:r>
        <w:t>Como se ha expuesto anteriormente, no puede considerarse acreditado que todos los profesionales de la Región de Murcia de la sanidad pública o de los centros vinculados a ella hayan ejercido su derecho a la objeción de conciencia en los términos legalmente establecidos, que son los únicos en los que este derecho puede ejercerse para que puedan quedar eximidos de la obligación que la ley les impone de practicar la interrupción del embarazo en los supuestos previstos en ella. En el presente caso lo que ha quedado probado es que ninguno de los facultativos de la Región de Murcia había pedido practicar abortos. Esta circunstancia no puede justificar que la prestación de la interrupción del embarazo se efectúe en un centro privado. La Ley Orgánica 2/2010 establece que esta posibilidad es excepcional y la condiciona a que “el servicio público de salud no pudiera facilitar en tiempo la prestación” (art. 19.2 en la redacción vigente en el momento de los hechos, previsión que en la redacción actual se contiene en el art. 19.5).</w:t>
      </w:r>
    </w:p>
    <w:p w14:paraId="0BC9CA26" w14:textId="77777777" w:rsidR="008D479B" w:rsidRDefault="008D479B" w:rsidP="008D479B">
      <w:pPr>
        <w:pStyle w:val="TextoNormal"/>
      </w:pPr>
    </w:p>
    <w:p w14:paraId="18FCEF07" w14:textId="77777777" w:rsidR="008D479B" w:rsidRDefault="008D479B" w:rsidP="008D479B">
      <w:pPr>
        <w:pStyle w:val="TextoNormal"/>
      </w:pPr>
      <w:r>
        <w:t>Por esta razón, en contra de lo que sostiene la sentencia impugnada, la derivación a una clínica privada en Madrid no “se hace de forma correcta”, sino que se hizo vulnerando manifiestamente lo dispuesto en el art. 19.2 de la Ley Orgánica 2/2010, en la redacción vigente en el momento de los hechos. Como sostiene la STC 44/2023, FJ 8, la ley ha creado “una obligación a cargo de las administraciones públicas de garantizar una prestación pública de la interrupción voluntaria del embarazo que se configura como un derecho público subjetivo de carácter prestacional”. Este derecho conlleva que la prestación ha de efectuarse en los términos que la ley lo configura (art. 12 de la Ley Orgánica 2/2010) y, como se acaba de señalar, esta norma establece que la interrupción del embarazo ha de efectuarse en los centros de la red sanitaria pública, salvo en los supuestos excepcionales en los que el servicio público de salud no pueda facilitar en tiempo la prestación. En el presente caso no se ha acreditado que concurra esta circunstancia.</w:t>
      </w:r>
    </w:p>
    <w:p w14:paraId="28D2D33E" w14:textId="77777777" w:rsidR="008D479B" w:rsidRDefault="008D479B" w:rsidP="008D479B">
      <w:pPr>
        <w:pStyle w:val="TextoNormal"/>
      </w:pPr>
    </w:p>
    <w:p w14:paraId="6827A6E7" w14:textId="77777777" w:rsidR="008D479B" w:rsidRDefault="008D479B" w:rsidP="008D479B">
      <w:pPr>
        <w:pStyle w:val="TextoNormal"/>
      </w:pPr>
      <w:r>
        <w:t>Como se ha indicado anteriormente, al ser el derecho a la interrupción del embarazo un derecho de configuración legal que forma parte del contenido constitucionalmente protegido del derecho fundamental a la integridad física y moral de la mujer, la infracción de las previsiones legales que tienen como objeto garantizar que este derecho se ejerce conforme a las exigencias constitucionales conllevan también la del derecho fundamental. Por esta razón, en el presente caso el Servicio Murciano de Salud, al derivar a la recurrente a una clínica privada de Madrid para la práctica de la interrupción del embarazo sin acreditar que concurrían circunstancias excepcionales que impidiesen a los servicios públicos de salud de la Región de Murcia realizar esta prestación en tiempo, no solo ha vulnerado el art. 19.2 de la Ley Orgánica 2/2010, en la redacción entonces vigente, sino que también ha lesionado el derecho fundamental de la recurrente a interrumpir su embarazo con las garantías legales. Una de estas garantías es que la interrupción del embarazo se practique por los servicios públicos de salud de la comunidad autónoma donde reside la mujer gestante salvo que concurra la excepción señalada. A través de esta medida la ley trata de asegurar que la interrupción del embarazo se lleve a cabo del modo menos gravoso para la mujer tratando de evitar desplazamientos que, además de provocar gastos, pueden ser perjudiciales para quien acaba de ser objeto de una intervención médica de estas características, y de garantizar, en la medida de lo posible, que la mujer que va a interrumpir el embarazo, que se encuentra en una situación de vulnerabilidad física y emocional, no salga de su entorno habitual y pueda contar con los apoyos de sus allegados para hacer frente a esta difícil situación del modo menos traumático posible.</w:t>
      </w:r>
    </w:p>
    <w:p w14:paraId="723F416A" w14:textId="77777777" w:rsidR="008D479B" w:rsidRDefault="008D479B" w:rsidP="008D479B">
      <w:pPr>
        <w:pStyle w:val="TextoNormal"/>
      </w:pPr>
    </w:p>
    <w:p w14:paraId="2B349D22" w14:textId="77777777" w:rsidR="008D479B" w:rsidRDefault="008D479B" w:rsidP="008D479B">
      <w:pPr>
        <w:pStyle w:val="TextoNormal"/>
      </w:pPr>
      <w:r>
        <w:t xml:space="preserve">En este sentido se ha pronunciado el Tribunal Europeo de Derechos Humanos en un caso que presenta cierta similitud con el que ahora se analiza. Es el asunto resuelto por la STEDH de 30 de octubre de 2012, asunto </w:t>
      </w:r>
      <w:r w:rsidRPr="008D479B">
        <w:rPr>
          <w:i/>
        </w:rPr>
        <w:t>P. y S. c. Polonia</w:t>
      </w:r>
      <w:r>
        <w:t>, § 105 a 108. En el supuesto enjuiciado por esta sentencia la recurrente tuvo que interrumpir su embarazo en un hospital en una localidad que se encontraba a 500 km. El Tribunal Europeo de Derechos Humanos apreció la vulneración del art. 8 CEDH al estimar que las autoridades no cumplieron su obligación positiva de asegurar a los demandantes el respeto efectivo de su vida privada, al no encontrar justificado que tuviera que practicarse la interrupción del embarazo en un hospital tan lejano de su domicilio. Consideró que los Estados están obligados a organizar sus servicios de salud de manera que pueda garantizarse que el ejercicio del derecho a la objeción de conciencia de los profesionales sanitarios no impida que los pacientes puedan acceder a las prestaciones que tienen derecho en virtud de la legislación vigente.</w:t>
      </w:r>
    </w:p>
    <w:p w14:paraId="01FC95A2" w14:textId="77777777" w:rsidR="008D479B" w:rsidRDefault="008D479B" w:rsidP="008D479B">
      <w:pPr>
        <w:pStyle w:val="TextoNormal"/>
      </w:pPr>
    </w:p>
    <w:p w14:paraId="6E12B59B" w14:textId="77777777" w:rsidR="008D479B" w:rsidRDefault="008D479B" w:rsidP="008D479B">
      <w:pPr>
        <w:pStyle w:val="TextoNormal"/>
      </w:pPr>
      <w:r>
        <w:t>El Servicio Murciano de Salud, al derivar a la recurrente a un centro sanitario privado en una localidad lejana de su residencia habitual para practicar la interrupción del embarazo sin haber aducido ningún motivo excepcional que justificara que los servicios de salud de esta comunidad autónoma no pudieron facilitar en tiempo la prestación, ha vulnerado el derecho de la recurrente a la interrupción del embarazo que forma parte de su derecho fundamental a la integridad física y moral (art. 15 CE, en conexión con el art. 10.1 CE).</w:t>
      </w:r>
    </w:p>
    <w:p w14:paraId="1B11F223" w14:textId="77777777" w:rsidR="008D479B" w:rsidRDefault="008D479B" w:rsidP="008D479B">
      <w:pPr>
        <w:pStyle w:val="TextoNormal"/>
      </w:pPr>
    </w:p>
    <w:p w14:paraId="6CCA9A99" w14:textId="59528AE4" w:rsidR="008D479B" w:rsidRDefault="008D479B" w:rsidP="008D479B">
      <w:pPr>
        <w:pStyle w:val="TextoNormal"/>
      </w:pPr>
      <w:r>
        <w:t>Las consideraciones expuestas determinan que el recurso de amparo deba ser estimado sin que proceda entrar a examinar las vulneraciones del art. 24 CE que se imputan a las resoluciones judiciales impugnadas, tal y como se ha indicado en el fundamento jurídico 4 a) de esta sentencia.</w:t>
      </w:r>
    </w:p>
    <w:p w14:paraId="013D94DC" w14:textId="77777777" w:rsidR="008D479B" w:rsidRDefault="008D479B" w:rsidP="008D479B">
      <w:pPr>
        <w:pStyle w:val="TextoNormal"/>
      </w:pPr>
    </w:p>
    <w:p w14:paraId="08125667" w14:textId="77777777" w:rsidR="008D479B" w:rsidRDefault="008D479B" w:rsidP="008D479B">
      <w:pPr>
        <w:pStyle w:val="TextoNormalCentrado"/>
        <w:keepNext/>
      </w:pPr>
      <w:r>
        <w:t>FALLO</w:t>
      </w:r>
    </w:p>
    <w:p w14:paraId="1F8F9843" w14:textId="62D1074F" w:rsidR="008D479B" w:rsidRDefault="008D479B" w:rsidP="008D479B">
      <w:pPr>
        <w:pStyle w:val="TextoNormalCentrado"/>
        <w:keepNext/>
      </w:pPr>
    </w:p>
    <w:p w14:paraId="650BCE83" w14:textId="77777777" w:rsidR="008D479B" w:rsidRDefault="008D479B" w:rsidP="008D479B">
      <w:pPr>
        <w:pStyle w:val="TextoNormal"/>
      </w:pPr>
      <w:r>
        <w:t>En atención a todo lo expuesto, el Tribunal Constitucional, por la autoridad que le confiere la Constitución de la Nación española, ha decidido estimar el recurso de amparo de doña A.C.M., y, en su virtud:</w:t>
      </w:r>
    </w:p>
    <w:p w14:paraId="0894EE7B" w14:textId="77777777" w:rsidR="008D479B" w:rsidRDefault="008D479B" w:rsidP="008D479B">
      <w:pPr>
        <w:pStyle w:val="TextoNormal"/>
      </w:pPr>
    </w:p>
    <w:p w14:paraId="38EAB10C" w14:textId="77777777" w:rsidR="008D479B" w:rsidRDefault="008D479B" w:rsidP="008D479B">
      <w:pPr>
        <w:pStyle w:val="TextoNormal"/>
      </w:pPr>
      <w:r>
        <w:t>1º Reconocer que el Servicio Murciano de Salud vulneró el derecho fundamental de doña A.C.M., a su integridad física y moral, que integra su derecho a la interrupción voluntaria del embarazo en las condiciones y las garantías legalmente previstas (art. 15 CE en relación con el 10.1 CE), al derivarla a una clínica privada en Madrid para que se realizase fuera de su comunidad autónoma la práctica de la interrupción de su embarazo.</w:t>
      </w:r>
    </w:p>
    <w:p w14:paraId="1EAF4C34" w14:textId="77777777" w:rsidR="008D479B" w:rsidRDefault="008D479B" w:rsidP="008D479B">
      <w:pPr>
        <w:pStyle w:val="TextoNormal"/>
      </w:pPr>
    </w:p>
    <w:p w14:paraId="32C48296" w14:textId="77777777" w:rsidR="008D479B" w:rsidRDefault="008D479B" w:rsidP="008D479B">
      <w:pPr>
        <w:pStyle w:val="TextoNormal"/>
      </w:pPr>
      <w:r>
        <w:t>2º Anular la desestimación por silencio administrativo de la reclamación de responsabilidad patrimonial que interpuso la recurrente el 16 de octubre de 2015 contra el Servicio Murciano de Salud así como la sentencia de la Sala de lo Contencioso-Administrativo de 22 de junio de 2018, del Tribunal Superior de Justicia de la Región de Murcia por la que se desestimó el recurso contencioso-administrativo interpuesto contra la desestimación por silencio de la referida reclamación; la providencia de la Sala de lo Contencioso-Administrativo, Sección Primera, del Tribunal Supremo de 17 de enero de 2019 por la que se inadmitió el recurso de casación interpuesto contra la citada sentencia del Tribunal Superior de Justicia y la providencia de 14 de marzo de 2019, del mismo órgano judicial, por la que se inadmitió el incidente de nulidad de actuaciones interpuesto contra la providencia que inadmitió el recurso de casación.</w:t>
      </w:r>
    </w:p>
    <w:p w14:paraId="21581F53" w14:textId="77777777" w:rsidR="008D479B" w:rsidRDefault="008D479B" w:rsidP="008D479B">
      <w:pPr>
        <w:pStyle w:val="TextoNormal"/>
      </w:pPr>
    </w:p>
    <w:p w14:paraId="3A02E20C" w14:textId="0DD6914B" w:rsidR="008D479B" w:rsidRDefault="008D479B" w:rsidP="008D479B">
      <w:pPr>
        <w:pStyle w:val="TextoNormal"/>
      </w:pPr>
      <w:r>
        <w:t>3º Retrotraer las actuaciones al momento en que el Servicio Murciano de Salud debió resolver expresamente la reclamación de responsabilidad patrimonial formulada por doña A.C.M., para que resuelva esta reclamación de forma respetuosa con los derechos fundamentales vulnerados.</w:t>
      </w:r>
    </w:p>
    <w:p w14:paraId="73E60C0F" w14:textId="77777777" w:rsidR="008D479B" w:rsidRDefault="008D479B" w:rsidP="008D479B">
      <w:pPr>
        <w:pStyle w:val="TextoNormal"/>
      </w:pPr>
    </w:p>
    <w:p w14:paraId="31AFB004" w14:textId="77777777" w:rsidR="008D479B" w:rsidRDefault="008D479B" w:rsidP="008D479B">
      <w:pPr>
        <w:pStyle w:val="TextoNormal"/>
      </w:pPr>
      <w:r>
        <w:t>Publíquese esta sentencia en el “Boletín Oficial del Estado”.</w:t>
      </w:r>
    </w:p>
    <w:p w14:paraId="7219D204" w14:textId="77777777" w:rsidR="008D479B" w:rsidRDefault="008D479B" w:rsidP="008D479B">
      <w:pPr>
        <w:pStyle w:val="TextoNormal"/>
      </w:pPr>
      <w:r>
        <w:t>Dada en Madrid, a tres de julio de dos mil veintitrés.</w:t>
      </w:r>
    </w:p>
    <w:p w14:paraId="7DF8223D" w14:textId="3C0049BE" w:rsidR="008D479B" w:rsidRDefault="008D479B" w:rsidP="008D479B">
      <w:pPr>
        <w:pStyle w:val="ParrafoNormal"/>
      </w:pPr>
    </w:p>
    <w:p w14:paraId="113B20C8" w14:textId="77777777" w:rsidR="008D479B" w:rsidRDefault="008D479B" w:rsidP="008D479B">
      <w:pPr>
        <w:pStyle w:val="TextoNormalNegritaCentrado"/>
        <w:keepNext/>
      </w:pPr>
      <w:r>
        <w:t>Voto particular concurrente que formula el magistrado don Ricardo Enríquez Sancho a la sentencia dictada en el recurso de amparo número 2669-2019</w:t>
      </w:r>
    </w:p>
    <w:p w14:paraId="4A65D657" w14:textId="3FDCB5E6" w:rsidR="008D479B" w:rsidRDefault="008D479B" w:rsidP="008D479B">
      <w:pPr>
        <w:pStyle w:val="TextoNormalNegritaCentrado"/>
        <w:keepNext/>
      </w:pPr>
    </w:p>
    <w:p w14:paraId="29B78BEE" w14:textId="77777777" w:rsidR="008D479B" w:rsidRDefault="008D479B" w:rsidP="008D479B">
      <w:pPr>
        <w:pStyle w:val="TextoNormal"/>
      </w:pPr>
      <w:r>
        <w:t>En el ejercicio de la facultad que me confiere el artículo 90.2 de la Ley Orgánica del Tribunal Constitucional, y con el máximo respeto a la opinión de mis compañeros, manifiesto mi discrepancia con parte de la fundamentación jurídica de la sentencia (no con el fallo, que comparto plenamente).</w:t>
      </w:r>
    </w:p>
    <w:p w14:paraId="22D2A346" w14:textId="77777777" w:rsidR="008D479B" w:rsidRDefault="008D479B" w:rsidP="008D479B">
      <w:pPr>
        <w:pStyle w:val="TextoNormal"/>
      </w:pPr>
    </w:p>
    <w:p w14:paraId="57A7C8B9" w14:textId="77777777" w:rsidR="008D479B" w:rsidRDefault="008D479B" w:rsidP="008D479B">
      <w:pPr>
        <w:pStyle w:val="TextoNormal"/>
      </w:pPr>
      <w:r>
        <w:t>Mi discrepancia se circunscribe a la mención que se hace en el fundamento jurídico 5 a la STC 44/2023, de 9 de mayo, FJ 3 B), y a la doctrina que en ella se contiene sobre el derecho a la interrupción voluntaria del embarazo como un derecho constitucional que “forma parte” del derecho a la integridad física y moral del art. 15 CE. Por las razones que ya expresé junto con otros compañeros en el voto particular a la citada STC 44/2023, considero que no existe tal derecho constitucional a una regulación legal de plazos (que es lo que esta STC 44/2023 sostiene).</w:t>
      </w:r>
    </w:p>
    <w:p w14:paraId="678392B8" w14:textId="77777777" w:rsidR="008D479B" w:rsidRDefault="008D479B" w:rsidP="008D479B">
      <w:pPr>
        <w:pStyle w:val="TextoNormal"/>
      </w:pPr>
    </w:p>
    <w:p w14:paraId="5E3800C6" w14:textId="77777777" w:rsidR="008D479B" w:rsidRDefault="008D479B" w:rsidP="008D479B">
      <w:pPr>
        <w:pStyle w:val="TextoNormal"/>
      </w:pPr>
      <w:r>
        <w:t>Esta discrepancia no me impide, sin embargo, compartir el fallo alcanzado y las razones que han conducido al otorgamiento del amparo. En el presente caso se ha producido efectivamente una interrupción voluntaria del embarazo, y forma parte de la jurisdicción de este tribunal verificar en un recurso de amparo si las circunstancias en que se ha producido una intromisión en la integridad física son conformes con las condiciones y garantías previstas por el legislador (por ejemplo, STC 37/2011, de 28 de marzo, otorgando el amparo por vulneración del art. 15 en un caso de ausencia de consentimiento informado sin causa legal para ello). En el supuesto de autos no ha sido así de forma flagrante, por las razones correctamente apreciadas en la sentencia: el incumplimiento injustificado, manifiesto e incontrovertido por el Servicio Murciano de Salud de lo dispuesto en el art. 19.2 de la Ley Orgánica 2/2010, que provocó un sufrimiento extraordinario y adicional a la paciente, su traslado de Cartagena a Madrid (y vuelta a Cartagena) para la práctica de la intervención.</w:t>
      </w:r>
    </w:p>
    <w:p w14:paraId="1BA3249F" w14:textId="77777777" w:rsidR="008D479B" w:rsidRDefault="008D479B" w:rsidP="008D479B">
      <w:pPr>
        <w:pStyle w:val="TextoNormal"/>
      </w:pPr>
    </w:p>
    <w:p w14:paraId="106D55DD" w14:textId="77777777" w:rsidR="008D479B" w:rsidRDefault="008D479B" w:rsidP="008D479B">
      <w:pPr>
        <w:pStyle w:val="TextoNormal"/>
      </w:pPr>
      <w:r>
        <w:t>En definitiva, con este limitado alcance de reiterar mi desacuerdo con la STC 44/2023, de innecesaria cita en esta nueva sentencia, formulo el presente voto particular concurrente.</w:t>
      </w:r>
    </w:p>
    <w:p w14:paraId="53E02CCF" w14:textId="77777777" w:rsidR="008D479B" w:rsidRDefault="008D479B" w:rsidP="008D479B">
      <w:pPr>
        <w:pStyle w:val="TextoNormal"/>
      </w:pPr>
    </w:p>
    <w:p w14:paraId="65B67D00" w14:textId="5A23DB69" w:rsidR="008D479B" w:rsidRDefault="008D479B" w:rsidP="008D479B">
      <w:pPr>
        <w:pStyle w:val="TextoNormal"/>
      </w:pPr>
      <w:r>
        <w:t>Madrid, a tres de julio de dos mil veintitrés.</w:t>
      </w:r>
    </w:p>
    <w:p w14:paraId="5A87FB2D" w14:textId="77777777" w:rsidR="008D479B" w:rsidRDefault="008D479B" w:rsidP="008D479B">
      <w:pPr>
        <w:pStyle w:val="TextoNormal"/>
      </w:pPr>
    </w:p>
    <w:p w14:paraId="46E54CFF" w14:textId="77777777" w:rsidR="008D479B" w:rsidRDefault="008D479B" w:rsidP="008D479B">
      <w:pPr>
        <w:pStyle w:val="TextoNormalNegritaCentrado"/>
        <w:keepNext/>
      </w:pPr>
      <w:r>
        <w:t>Voto particular concurrente que formula la magistrada doña Concepción Espejel Jorquera, a la sentencia dictada por la Sala Primera del Tribunal Constitucional con fecha 3 de julio de 2023, en el recurso de amparo núm. 2669-2019</w:t>
      </w:r>
    </w:p>
    <w:p w14:paraId="1C1F5CB6" w14:textId="7A3463CB" w:rsidR="008D479B" w:rsidRDefault="008D479B" w:rsidP="008D479B">
      <w:pPr>
        <w:pStyle w:val="TextoNormalNegritaCentrado"/>
        <w:keepNext/>
      </w:pPr>
    </w:p>
    <w:p w14:paraId="36B9B1A1" w14:textId="77777777" w:rsidR="008D479B" w:rsidRDefault="008D479B" w:rsidP="008D479B">
      <w:pPr>
        <w:pStyle w:val="TextoNormal"/>
      </w:pPr>
      <w:r>
        <w:t>En el ejercicio de la facultad que me confiere el artículo 90.2 de la Ley Orgánica del Tribunal Constitucional, y con el máximo respeto a la opinión de la mayoría, formulo el presente voto particular concurrente. Aunque comparto el pronunciamiento estimatorio del recurso de amparo, discrepo en parte de la fundamentación de la sentencia y, consecuentemente, de la declaración de vulneración en la forma en que se recoge en el fallo, del derecho a la integridad física y moral del art. 15 CE y considero que el recurso debería haber sido estimado por vulneración del derecho a la intimidad personal y familiar del art. 18.1 CE, estrechamente vinculado con el respeto a la dignidad de la persona del art. 10.1 CE o, en su defecto, por vulneración del derecho a obtener una resolución judicial fundada en derecho del art 24 CE.</w:t>
      </w:r>
    </w:p>
    <w:p w14:paraId="12905987" w14:textId="77777777" w:rsidR="008D479B" w:rsidRDefault="008D479B" w:rsidP="008D479B">
      <w:pPr>
        <w:pStyle w:val="TextoNormal"/>
      </w:pPr>
    </w:p>
    <w:p w14:paraId="0FD81D33" w14:textId="77777777" w:rsidR="008D479B" w:rsidRDefault="008D479B" w:rsidP="008D479B">
      <w:pPr>
        <w:pStyle w:val="TextoNormal"/>
      </w:pPr>
      <w:r>
        <w:t>1. Discrepo en parte de la fundamentación contenida en el apartado 5 de la sentencia titulado “Sobre la naturaleza y alcance del derecho de la mujer a interrumpir el embarazo” que se inicia con la cita de la STC 44/2023, de 9 de mayo, FJ 3 B).</w:t>
      </w:r>
    </w:p>
    <w:p w14:paraId="175977E2" w14:textId="77777777" w:rsidR="008D479B" w:rsidRDefault="008D479B" w:rsidP="008D479B">
      <w:pPr>
        <w:pStyle w:val="TextoNormal"/>
      </w:pPr>
    </w:p>
    <w:p w14:paraId="6D613EFC" w14:textId="77777777" w:rsidR="008D479B" w:rsidRDefault="008D479B" w:rsidP="008D479B">
      <w:pPr>
        <w:pStyle w:val="TextoNormal"/>
      </w:pPr>
      <w:r>
        <w:t>Es cierto que la sentencia a la que formulo el presente voto concurrente no se refiere de modo expreso a lo que en la STC 44/2023 se venía a calificar como derecho fundamental de la mujer a la autodeterminación respecto a la interrupción voluntaria del embarazo. Es igualmente cierto que, al final del primer párrafo del fundamento jurídico 5 de la sentencia dictada en el presento recurso de amparo, se señala que “nos encontramos ante un derecho de configuración legal”, lo que no se reconocía en la STC 44/2023.</w:t>
      </w:r>
    </w:p>
    <w:p w14:paraId="744D1540" w14:textId="77777777" w:rsidR="008D479B" w:rsidRDefault="008D479B" w:rsidP="008D479B">
      <w:pPr>
        <w:pStyle w:val="TextoNormal"/>
      </w:pPr>
    </w:p>
    <w:p w14:paraId="31A6A1BF" w14:textId="77777777" w:rsidR="008D479B" w:rsidRDefault="008D479B" w:rsidP="008D479B">
      <w:pPr>
        <w:pStyle w:val="TextoNormal"/>
      </w:pPr>
      <w:r>
        <w:t>Sin embargo, el mencionado fundamento jurídico 5 cita reiteradamente la STC 44/2023 sin apartarse de modo expreso de la doctrina sentada en la misma, de la que parte y aplica al caso examinado.</w:t>
      </w:r>
    </w:p>
    <w:p w14:paraId="400789AA" w14:textId="77777777" w:rsidR="008D479B" w:rsidRDefault="008D479B" w:rsidP="008D479B">
      <w:pPr>
        <w:pStyle w:val="TextoNormal"/>
      </w:pPr>
    </w:p>
    <w:p w14:paraId="74BC5806" w14:textId="77777777" w:rsidR="008D479B" w:rsidRDefault="008D479B" w:rsidP="008D479B">
      <w:pPr>
        <w:pStyle w:val="TextoNormal"/>
      </w:pPr>
      <w:r>
        <w:t>Por otro lado, inmediatamente antes de reconocer que “nos encontramos ante un derecho de configuración legal”, se comienza por reiterar que “la interrupción del embarazo forma parte del contenido constitucionalmente protegido del derecho fundamental a la integridad física y moral (art. 15 CE) en conexión con la dignidad de la persona y el libre desarrollo de su personalidad como principios rectores del orden político y la paz social (art. 10.1 CE)”.</w:t>
      </w:r>
    </w:p>
    <w:p w14:paraId="5A75FABF" w14:textId="77777777" w:rsidR="008D479B" w:rsidRDefault="008D479B" w:rsidP="008D479B">
      <w:pPr>
        <w:pStyle w:val="TextoNormal"/>
      </w:pPr>
    </w:p>
    <w:p w14:paraId="5AECC156" w14:textId="77777777" w:rsidR="008D479B" w:rsidRDefault="008D479B" w:rsidP="008D479B">
      <w:pPr>
        <w:pStyle w:val="TextoNormal"/>
      </w:pPr>
      <w:r>
        <w:t xml:space="preserve">Dicho planteamiento me lleva a la necesidad de reiterar los argumentos que expuse en el apartado 3 del voto particular que en su día formulé a la sentencia dictada por el Pleno con fecha 9 de mayo de 2023, en el recurso de inconstitucionalidad núm. 4523-2010 (RI 4523-2010), en el que señalé que la STC 44/2023 vino a crear </w:t>
      </w:r>
      <w:r w:rsidRPr="008D479B">
        <w:rPr>
          <w:i/>
        </w:rPr>
        <w:t>ex novo</w:t>
      </w:r>
      <w:r>
        <w:t xml:space="preserve"> lo que denominó “derecho de la mujer a la autodeterminación respecto a la interrupción voluntaria del embarazo”, que construyó, de un lado, a partir del art. 10.1 CE y, de otro, del art. 15 de la CE, tesis que no puedo compartir.</w:t>
      </w:r>
    </w:p>
    <w:p w14:paraId="742B5A0A" w14:textId="77777777" w:rsidR="008D479B" w:rsidRDefault="008D479B" w:rsidP="008D479B">
      <w:pPr>
        <w:pStyle w:val="TextoNormal"/>
      </w:pPr>
    </w:p>
    <w:p w14:paraId="04A98773" w14:textId="77777777" w:rsidR="008D479B" w:rsidRDefault="008D479B" w:rsidP="008D479B">
      <w:pPr>
        <w:pStyle w:val="TextoNormal"/>
      </w:pPr>
      <w:r>
        <w:t>Como indiqué en el referido voto particular, la mencionada STC 44/2023 desbordó los límites de enjuiciamiento del Tribunal Constitucional y, en vez de limitarse a analizar si la opción legislativa se acomoda o no a la Constitución, acabó creando un pseudoderecho fundamental de la mujer a la autodeterminación para la interrupción del embarazo, no recogido en la Constitución, cuya creación, obviamente, compete al poder constituyente y no a este tribunal.</w:t>
      </w:r>
    </w:p>
    <w:p w14:paraId="730AEC34" w14:textId="77777777" w:rsidR="008D479B" w:rsidRDefault="008D479B" w:rsidP="008D479B">
      <w:pPr>
        <w:pStyle w:val="TextoNormal"/>
      </w:pPr>
    </w:p>
    <w:p w14:paraId="72E1B305" w14:textId="77777777" w:rsidR="008D479B" w:rsidRDefault="008D479B" w:rsidP="008D479B">
      <w:pPr>
        <w:pStyle w:val="TextoNormal"/>
      </w:pPr>
      <w:r>
        <w:t>La propia STC 44/2023 reconoció que “[l]a labor de interpretación de la Constitución no consiste necesariamente en cerrar el paso a las opciones o variantes imponiendo autoritariamente una de ellas. A esta conclusión habrá que llegar únicamente cuando el carácter unívoco de la interpretación se imponga por el juego de los criterios hermenéuticos. Queremos decir que las opciones políticas y de gobierno no están previamente programadas de una vez por todas, de manera tal que lo único que cabe hacer en adelante es desarrollar ese programa previo”.</w:t>
      </w:r>
    </w:p>
    <w:p w14:paraId="5B41F8A1" w14:textId="77777777" w:rsidR="008D479B" w:rsidRDefault="008D479B" w:rsidP="008D479B">
      <w:pPr>
        <w:pStyle w:val="TextoNormal"/>
      </w:pPr>
    </w:p>
    <w:p w14:paraId="16DB7CBE" w14:textId="77777777" w:rsidR="008D479B" w:rsidRDefault="008D479B" w:rsidP="008D479B">
      <w:pPr>
        <w:pStyle w:val="TextoNormal"/>
      </w:pPr>
      <w:r>
        <w:t>Como afirmara ya la STC 4/1981, de 2 de febrero, FJ 3, la función del Tribunal Constitucional consiste en fijar los límites dentro de los cuales puede moverse libremente el legislador y convertir en ley sus opciones políticas, plasmar sus preferencias ideológicas y sus juicios de oportunidad. Libertad del legislador que deriva de su específica legitimidad democrática, de su naturaleza como representante en cada momento histórico de la soberanía popular (art. 66 CE); en suma, “[l]a ley, como emanación de la voluntad popular, solo puede ser en principio derogada o modificada por los representantes de esa voluntad, y solo para el caso de que el precepto legal infrinja la Constitución se ha concedido a este tribunal la potestad de anularla” (STC 17/1981, de 1 de junio, FJ 7).</w:t>
      </w:r>
    </w:p>
    <w:p w14:paraId="1AA20874" w14:textId="77777777" w:rsidR="008D479B" w:rsidRDefault="008D479B" w:rsidP="008D479B">
      <w:pPr>
        <w:pStyle w:val="TextoNormal"/>
      </w:pPr>
    </w:p>
    <w:p w14:paraId="4A37C83F" w14:textId="77777777" w:rsidR="008D479B" w:rsidRDefault="008D479B" w:rsidP="008D479B">
      <w:pPr>
        <w:pStyle w:val="TextoNormal"/>
      </w:pPr>
      <w:r>
        <w:t>En esta línea, este tribunal ha declarado también que “‘el legislador no ejecuta la Constitución, sino que crea Derecho con libertad dentro del marco que esta ofrece’ de modo que ‘este Tribunal no ha de hacer las veces de propio legislador constriñendo su libertad de disposición allí donde la Constitución no lo haga de manera inequívoca’ (SSTC 215/2016, de 15 de diciembre, FJ 3, y 191/2016, de 15 de noviembre, FJ 3, entre otras)” (STC 112/2021, de 13 de mayo, FJ 5).</w:t>
      </w:r>
    </w:p>
    <w:p w14:paraId="70523CFA" w14:textId="77777777" w:rsidR="008D479B" w:rsidRDefault="008D479B" w:rsidP="008D479B">
      <w:pPr>
        <w:pStyle w:val="TextoNormal"/>
      </w:pPr>
    </w:p>
    <w:p w14:paraId="69FDD532" w14:textId="77777777" w:rsidR="008D479B" w:rsidRDefault="008D479B" w:rsidP="008D479B">
      <w:pPr>
        <w:pStyle w:val="TextoNormal"/>
      </w:pPr>
      <w:r>
        <w:t>Del mismo modo viene señalando este tribunal que “la reversibilidad de las decisiones normativas es inherente a la idea de democracia” y que “esta noción, consustancial al principio democrático, otorga al legislador un margen de configuración plenamente legítimo, amplio pero no ilimitado, pues está supeditado a los deberes que emanan de la Constitución” (STC 233/2015, de 5 de noviembre, FJ 2).</w:t>
      </w:r>
    </w:p>
    <w:p w14:paraId="039D640B" w14:textId="77777777" w:rsidR="008D479B" w:rsidRDefault="008D479B" w:rsidP="008D479B">
      <w:pPr>
        <w:pStyle w:val="TextoNormal"/>
      </w:pPr>
    </w:p>
    <w:p w14:paraId="57FAD045" w14:textId="77777777" w:rsidR="008D479B" w:rsidRDefault="008D479B" w:rsidP="008D479B">
      <w:pPr>
        <w:pStyle w:val="TextoNormal"/>
      </w:pPr>
      <w:r>
        <w:t>Apartándose de dicha doctrina la STC 44/2023 desbordó, como he apuntado, la función de control que corresponde a este tribunal, construyendo artificiosamente un inexistente derecho fundamental a la autodeterminación de la mujer para la interrupción voluntaria del embarazo, cerrando así la posibilidad de cualquier otra opción legislativa, para acabar prejuzgando la decisión que pueda adoptarse en impugnaciones de la Ley Orgánica 1/2023.</w:t>
      </w:r>
    </w:p>
    <w:p w14:paraId="5707CA1C" w14:textId="77777777" w:rsidR="008D479B" w:rsidRDefault="008D479B" w:rsidP="008D479B">
      <w:pPr>
        <w:pStyle w:val="TextoNormal"/>
      </w:pPr>
    </w:p>
    <w:p w14:paraId="00ED9560" w14:textId="77777777" w:rsidR="008D479B" w:rsidRDefault="008D479B" w:rsidP="008D479B">
      <w:pPr>
        <w:pStyle w:val="TextoNormal"/>
      </w:pPr>
      <w:r>
        <w:t xml:space="preserve">Reitero igualmente las consideraciones vertidas en el voto particular a la STC 44/2023 relativas a que la doctrina del Tribunal Europeo de Derechos Humanos no ampara las conclusiones a las que se llegó en dicha sentencia, dado que las resoluciones de aquel no imponen un concreto modelo legislativo, sino que permiten un amplio margen de configuración por parte de los Estados miembros. Así, en la cuestión central relativa a si el feto es o no una persona, según la interpretación del art. 2 CEDH, que protege el derecho de “toda persona a la vida”, el Tribunal Europeo de Derechos Humanos ha mantenido esta cuestión abierta con el fin de permitir a los Estados determinar cuándo comienza la vida y, por lo tanto, cuándo debe comenzar la protección legal. En el asunto </w:t>
      </w:r>
      <w:r w:rsidRPr="008D479B">
        <w:rPr>
          <w:i/>
        </w:rPr>
        <w:t>Vo c. Francia</w:t>
      </w:r>
      <w:r>
        <w:t>, declaró “que no es ni deseable, ni siquiera posible, así como las cosas están, responder a esta cuestión tan abstracta de si el feto es una persona según el art. 2 de la Convención”, si bien agregó que “puede considerarse como la base común entre los Estados que el embrión/feto pertenece a la raza humana” y, en consecuencia, “requiere de protección en nombre de la dignidad humana”.</w:t>
      </w:r>
    </w:p>
    <w:p w14:paraId="42D20B1F" w14:textId="77777777" w:rsidR="008D479B" w:rsidRDefault="008D479B" w:rsidP="008D479B">
      <w:pPr>
        <w:pStyle w:val="TextoNormal"/>
      </w:pPr>
    </w:p>
    <w:p w14:paraId="51286B23" w14:textId="77777777" w:rsidR="008D479B" w:rsidRDefault="008D479B" w:rsidP="008D479B">
      <w:pPr>
        <w:pStyle w:val="TextoNormal"/>
      </w:pPr>
      <w:r>
        <w:t>En cualquier caso, ninguna de las resoluciones del Tribunal Europeo de Derechos Humanos reconoce un pretendido derecho fundamental al aborto.</w:t>
      </w:r>
    </w:p>
    <w:p w14:paraId="06D45F2E" w14:textId="77777777" w:rsidR="008D479B" w:rsidRDefault="008D479B" w:rsidP="008D479B">
      <w:pPr>
        <w:pStyle w:val="TextoNormal"/>
      </w:pPr>
    </w:p>
    <w:p w14:paraId="69A80537" w14:textId="77777777" w:rsidR="008D479B" w:rsidRDefault="008D479B" w:rsidP="008D479B">
      <w:pPr>
        <w:pStyle w:val="TextoNormal"/>
      </w:pPr>
      <w:r>
        <w:t xml:space="preserve">Por el contrario, el Tribunal Europeo de Derechos Humanos considera que el art. 8 no puede interpretarse en el sentido que confiera un derecho al aborto (STEDH de 16 de diciembre de 2010, asunto </w:t>
      </w:r>
      <w:r w:rsidRPr="008D479B">
        <w:rPr>
          <w:i/>
        </w:rPr>
        <w:t>A. B. y C. c. Irlanda</w:t>
      </w:r>
      <w:r>
        <w:t xml:space="preserve">) ni tampoco el derecho a practicarlo (asunto </w:t>
      </w:r>
      <w:r w:rsidRPr="008D479B">
        <w:rPr>
          <w:i/>
        </w:rPr>
        <w:t>Jean-Jacques c. Bélgica</w:t>
      </w:r>
      <w:r>
        <w:t xml:space="preserve">). En el mismo sentido, en la STEDH de 30 de octubre de 2012, asunto </w:t>
      </w:r>
      <w:r w:rsidRPr="008D479B">
        <w:rPr>
          <w:i/>
        </w:rPr>
        <w:t>P. y S. c. Polonia</w:t>
      </w:r>
      <w:r>
        <w:t>, el Tribunal declaró que el art. 8 CEDH, que garantiza la autonomía personal, no se puede interpretar como otorgamiento de un derecho al aborto.</w:t>
      </w:r>
    </w:p>
    <w:p w14:paraId="4FB14864" w14:textId="77777777" w:rsidR="008D479B" w:rsidRDefault="008D479B" w:rsidP="008D479B">
      <w:pPr>
        <w:pStyle w:val="TextoNormal"/>
      </w:pPr>
    </w:p>
    <w:p w14:paraId="4C250E7F" w14:textId="77777777" w:rsidR="008D479B" w:rsidRDefault="008D479B" w:rsidP="008D479B">
      <w:pPr>
        <w:pStyle w:val="TextoNormal"/>
      </w:pPr>
      <w:r>
        <w:t>Además, el Tribunal Europeo de Derechos Humanos ha subrayado que, una vez que el Estado, actuando dentro de los límites de su apreciación, adopte disposiciones legales que permitan el aborto en algunas situaciones, “el marco legal diseñado para estos fines debe ser de alguna manera coherente, tomando en cuenta de manera adecuada los diferentes intereses legítimos en juego en conformidad con las obligaciones de la derivadas de la Convención” (asunt</w:t>
      </w:r>
      <w:r w:rsidRPr="008D479B">
        <w:rPr>
          <w:i/>
        </w:rPr>
        <w:t>o P. y S. c. Polon</w:t>
      </w:r>
      <w:r>
        <w:t>ia).</w:t>
      </w:r>
    </w:p>
    <w:p w14:paraId="467010F1" w14:textId="77777777" w:rsidR="008D479B" w:rsidRDefault="008D479B" w:rsidP="008D479B">
      <w:pPr>
        <w:pStyle w:val="TextoNormal"/>
      </w:pPr>
    </w:p>
    <w:p w14:paraId="065B4F9A" w14:textId="77777777" w:rsidR="008D479B" w:rsidRDefault="008D479B" w:rsidP="008D479B">
      <w:pPr>
        <w:pStyle w:val="TextoNormal"/>
      </w:pPr>
      <w:r>
        <w:t xml:space="preserve">El mismo Tribunal Europeo de Derechos Humanos ha declarado que los Estados son libres de decidir si permiten el aborto, para añadir que, ello no obstante, si la legislación nacional decide legalizarlo, el Tribunal puede analizar el marco legal mediante la búsqueda de un justo equilibrio, en una situación específica, entre los distintos derechos e intereses de las partes involucradas. Así, la Gran Sala declaró en el asunto </w:t>
      </w:r>
      <w:r w:rsidRPr="008D479B">
        <w:rPr>
          <w:i/>
        </w:rPr>
        <w:t>Vo. c. Francia</w:t>
      </w:r>
      <w:r>
        <w:t xml:space="preserve"> que “[e]stá claro [...] que la cuestión siempre ha sido determinada por el peso de varios, y a veces contradictorios, derechos o libertades”. El Tribunal Europeo recuerda, en síntesis, que si un Estado decide permitir el aborto, su “margen de apreciación no es ilimitado” con respecto a “cómo se equilibran los derechos en conflicto”, y que “el Tribunal debe supervisar si la injerencia constituye un equilibrio proporcional de los intereses en juego”.</w:t>
      </w:r>
    </w:p>
    <w:p w14:paraId="1C574DAE" w14:textId="77777777" w:rsidR="008D479B" w:rsidRDefault="008D479B" w:rsidP="008D479B">
      <w:pPr>
        <w:pStyle w:val="TextoNormal"/>
      </w:pPr>
    </w:p>
    <w:p w14:paraId="260AF961" w14:textId="77777777" w:rsidR="008D479B" w:rsidRDefault="008D479B" w:rsidP="008D479B">
      <w:pPr>
        <w:pStyle w:val="TextoNormal"/>
      </w:pPr>
      <w:r>
        <w:t>En consecuencia, el Tribunal Europeo de Derechos Humanos declara que hay que sopesar la necesidad y la proporcionalidad de los derechos e intereses afectados en casos de aborto a la luz del Convenio europeo de derechos humanos.</w:t>
      </w:r>
    </w:p>
    <w:p w14:paraId="432D3430" w14:textId="77777777" w:rsidR="008D479B" w:rsidRDefault="008D479B" w:rsidP="008D479B">
      <w:pPr>
        <w:pStyle w:val="TextoNormal"/>
      </w:pPr>
    </w:p>
    <w:p w14:paraId="576891EC" w14:textId="77777777" w:rsidR="008D479B" w:rsidRDefault="008D479B" w:rsidP="008D479B">
      <w:pPr>
        <w:pStyle w:val="TextoNormal"/>
      </w:pPr>
      <w:r>
        <w:t>Apunté igualmente en el mencionado voto particular, al que me remito, que la creación de un supuesto derecho fundamental a la autodeterminación de la interrupción voluntaria del embarazo, no sería posible en cuanto contradice, lesiona o atenta contra un bien constitucionalmente protegido, como es la vida de</w:t>
      </w:r>
      <w:r w:rsidRPr="008D479B">
        <w:rPr>
          <w:i/>
        </w:rPr>
        <w:t>l nascitur</w:t>
      </w:r>
      <w:r>
        <w:t>us.</w:t>
      </w:r>
    </w:p>
    <w:p w14:paraId="291414C3" w14:textId="77777777" w:rsidR="008D479B" w:rsidRDefault="008D479B" w:rsidP="008D479B">
      <w:pPr>
        <w:pStyle w:val="TextoNormal"/>
      </w:pPr>
    </w:p>
    <w:p w14:paraId="5B115FEF" w14:textId="77777777" w:rsidR="008D479B" w:rsidRDefault="008D479B" w:rsidP="008D479B">
      <w:pPr>
        <w:pStyle w:val="TextoNormal"/>
      </w:pPr>
      <w:r>
        <w:t>En el propio fundamento 5 de la sentencia dictada en el presente recurso de amparo se viene a reconocer que la interrupción voluntaria del embarazo se trata de “un derecho cuyo ejercicio precisa un desarrollo legislativo que establezca una regulación que sea respetuosa con los derechos y bienes constitucionales concernidos por la interrupción voluntaria del embarazo” [el derecho fundamental de la mujer a la integridad física y moral (art. 15 CE) en relación con su dignidad y el libre desarrollo de su personalidad. (art. 10 CE) y el deber del Estado de proteger la vida prenatal como bien constitucional (art. 15 CE)].</w:t>
      </w:r>
    </w:p>
    <w:p w14:paraId="6D407D1D" w14:textId="77777777" w:rsidR="008D479B" w:rsidRDefault="008D479B" w:rsidP="008D479B">
      <w:pPr>
        <w:pStyle w:val="TextoNormal"/>
      </w:pPr>
    </w:p>
    <w:p w14:paraId="58692CD3" w14:textId="77777777" w:rsidR="008D479B" w:rsidRDefault="008D479B" w:rsidP="008D479B">
      <w:pPr>
        <w:pStyle w:val="TextoNormal"/>
      </w:pPr>
      <w:r>
        <w:t>Como he indicado precedentemente, el fundamento 5, finalmente, reconoce que “nos encontramos ante un derecho de configuración legal”. Seguidamente, el siguiente párrafo del apartado 5, indica que “[e]sta naturaleza no determina que cualquier infracción de la ley que regula el ejercicio del derecho a la interrupción del embarazo conlleve la infracción del derecho fundamental a la integridad física y moral de la mujer”. Continúa el razonamiento señalando que “[p]ara poder apreciar su vulneración es preciso que la previsión legal incumplida incida directamente en el ámbito tutelado por este derecho fundamental, lo que sucederá tanto en los casos en los que no se respete el ámbito de libertad que el legislador otorga a la mujer para que pueda adoptar de forma autónoma y sin coerción de ningún tipo la decisión que considere más adecuada en cuanto a la continuación o no de la gestación [STC 44/2023, FJ 3 D)] como en aquellos en los que se dificulte de manera relevante el acceso a la prestación sanitaria de la interrupción del embarazo o su práctica”. Concluye, finalmente, señalando que “[e]n consecuencia, en aquellos casos en los que no se respeten las previsiones legales que tienen como objeto proporcionar garantías para que la mujer pueda tomar esta decisión libremente, con pleno conocimiento de causa y con todos los elementos de juicio necesarios, así como aquellas que tienen como finalidad asegurar que la prestación de la interrupción del embarazo se va a efectuar con respeto de los derechos fundamentales de la mujer, la vulneración legal conllevará también la del derecho fundamental afectado”.</w:t>
      </w:r>
    </w:p>
    <w:p w14:paraId="7C0F2A70" w14:textId="77777777" w:rsidR="008D479B" w:rsidRDefault="008D479B" w:rsidP="008D479B">
      <w:pPr>
        <w:pStyle w:val="TextoNormal"/>
      </w:pPr>
    </w:p>
    <w:p w14:paraId="1F44D3BD" w14:textId="77777777" w:rsidR="008D479B" w:rsidRDefault="008D479B" w:rsidP="008D479B">
      <w:pPr>
        <w:pStyle w:val="TextoNormal"/>
      </w:pPr>
      <w:r>
        <w:t>Comparto el planteamiento de la sentencia que, tras afirmar —según se concibe en la Ley Orgánica 2/2010— que la interrupción voluntaria del embarazo “es un derecho de configuración legal”, declara que ello “no determina que cualquier infracción de la ley que regula el ejercicio del derecho a la interrupción del embarazo conlleve la infracción del derecho fundamental a la integridad física y moral de la mujer”, pero discrepo de los argumentos de la misma que añaden que “tanto en los casos en los que no se respete el ámbito de libertad que el legislador otorga a la mujer para que pueda adoptar de forma autónoma y sin coerción de ningún tipo la decisión que considere más adecuada en cuanto a la continuación o no de la gestación [STC 44/2023, FJ 3 D)], como en aquellos en los que se dificulte de manera relevante el acceso a la prestación sanitaria de la interrupción del embarazo o su práctica” se incida directamente en el ámbito tutelado por lo que, también en la presente resolución, se continúa considerando como un derecho fundamental que se encuadra en el derecho a la integridad física y moral de la mujer.</w:t>
      </w:r>
    </w:p>
    <w:p w14:paraId="5C48CB62" w14:textId="77777777" w:rsidR="008D479B" w:rsidRDefault="008D479B" w:rsidP="008D479B">
      <w:pPr>
        <w:pStyle w:val="TextoNormal"/>
      </w:pPr>
    </w:p>
    <w:p w14:paraId="14908480" w14:textId="77777777" w:rsidR="008D479B" w:rsidRDefault="008D479B" w:rsidP="008D479B">
      <w:pPr>
        <w:pStyle w:val="TextoNormal"/>
      </w:pPr>
      <w:r>
        <w:t>En resumen, discrepo de que el aborto pueda considerarse un derecho fundamental de la mujer a la autodeterminación en la interrupción del embarazo, construido en la STC 44/2023, de un lado, a partir del art. 10.1 CE y, de otro, en el art. 15 CE, y también discrepo de que, como se indica en la sentencia aprobada por la Sala, la contravención del derecho de configuración legal a la interrupción voluntaria del embarazo pueda incidir directamente en el ámbito tutelado por el derecho fundamental a la integridad física y moral de la mujer en la forma en que finalmente se concluye en el fundamento jurídico 7 de la sentencia, declaración que conduce a resultados desproporcionados a la vista de los precedentes de este tribunal respecto al contenido del derecho fundamental a la integridad física y moral, doctrina armonizada con la del Tribunal Europeo de Derechos Humanos al interpretar el art. 3 CEDH.</w:t>
      </w:r>
    </w:p>
    <w:p w14:paraId="06437089" w14:textId="77777777" w:rsidR="008D479B" w:rsidRDefault="008D479B" w:rsidP="008D479B">
      <w:pPr>
        <w:pStyle w:val="TextoNormal"/>
      </w:pPr>
    </w:p>
    <w:p w14:paraId="6BA8EB78" w14:textId="77777777" w:rsidR="008D479B" w:rsidRDefault="008D479B" w:rsidP="008D479B">
      <w:pPr>
        <w:pStyle w:val="TextoNormal"/>
      </w:pPr>
      <w:r>
        <w:t>2. En relación con el apartado 6 sobre los hechos en que se fundamenta la vulneración de los derechos fundamentales invocado, comparto los argumentos contenidos en los apartados A), B) y C) del fundamento jurídico 6 de la sentencia, que concluyen respectivamente en la imposibilidad de examinar la queja relativa a pretendidos tratos humillantes, vejatorios y prejuiciosos, que no se consideraron mínimamente acreditados en la sentencia impugnada, respecto de la cual la recurrente no ha invocado error patente, arbitrariedad o irrazonabilidad; que no hubo falta de información a la paciente, ni se ocultó a la misma información alguna; descartando que no se le practicaran las pruebas diagnósticas procedentes en el momento oportuno con la finalidad de obstaculizar la interrupción del embarazo.</w:t>
      </w:r>
    </w:p>
    <w:p w14:paraId="1CA685B6" w14:textId="77777777" w:rsidR="008D479B" w:rsidRDefault="008D479B" w:rsidP="008D479B">
      <w:pPr>
        <w:pStyle w:val="TextoNormal"/>
      </w:pPr>
    </w:p>
    <w:p w14:paraId="39342FED" w14:textId="77777777" w:rsidR="008D479B" w:rsidRDefault="008D479B" w:rsidP="008D479B">
      <w:pPr>
        <w:pStyle w:val="TextoNormal"/>
      </w:pPr>
      <w:r>
        <w:t>Comparto igualmente la valoración fáctica contenida en el apartado D) del fundamento jurídico 6 en cuanto se concluye que las afirmaciones contenidas en el escrito del director gerente del área I del Servicio Murciano de Salud no bastan para entender acreditado que la totalidad de los especialistas en ginecología/obstetricia del hospital y Servicio Murciano de Salud estén acogidos a la objeción de conciencia para la práctica de abortos en los hospitales públicos, sobre cuya base se pretendió justificar la derivación a clínicas privadas. Igualmente considero que la inexistencia de un registro de objetores se justifique por la invocación de que ningún facultativo hubiera pedido poder practicar interrupciones del embarazo en la sanidad pública de la Región de Murcia.</w:t>
      </w:r>
    </w:p>
    <w:p w14:paraId="29B58A73" w14:textId="77777777" w:rsidR="008D479B" w:rsidRDefault="008D479B" w:rsidP="008D479B">
      <w:pPr>
        <w:pStyle w:val="TextoNormal"/>
      </w:pPr>
    </w:p>
    <w:p w14:paraId="32FDA874" w14:textId="77777777" w:rsidR="008D479B" w:rsidRDefault="008D479B" w:rsidP="008D479B">
      <w:pPr>
        <w:pStyle w:val="TextoNormal"/>
      </w:pPr>
      <w:r>
        <w:t>En tales circunstancias, como se señala en el citado apartado D) del fundamento jurídico 6, no podemos compartir la conclusión a la que llegó la sentencia impugnada de que la derivación a una clínica privada de Madrid fue correcta.</w:t>
      </w:r>
    </w:p>
    <w:p w14:paraId="1651FAAE" w14:textId="77777777" w:rsidR="008D479B" w:rsidRDefault="008D479B" w:rsidP="008D479B">
      <w:pPr>
        <w:pStyle w:val="TextoNormal"/>
      </w:pPr>
    </w:p>
    <w:p w14:paraId="74125934" w14:textId="77777777" w:rsidR="008D479B" w:rsidRDefault="008D479B" w:rsidP="008D479B">
      <w:pPr>
        <w:pStyle w:val="TextoNormal"/>
      </w:pPr>
      <w:r>
        <w:t>Por tal motivo, si fuera procedente entrar en la alegación de vulneración del derecho a la tutela judicial efectiva, habría de declararse vulnerado el derecho a obtener una resolución fundada en Derecho, dado que la resolución contraviene lo dispuesto en la Ley Orgánica 2/2010.</w:t>
      </w:r>
    </w:p>
    <w:p w14:paraId="1D83C2F8" w14:textId="77777777" w:rsidR="008D479B" w:rsidRDefault="008D479B" w:rsidP="008D479B">
      <w:pPr>
        <w:pStyle w:val="TextoNormal"/>
      </w:pPr>
    </w:p>
    <w:p w14:paraId="43449B5E" w14:textId="77777777" w:rsidR="008D479B" w:rsidRDefault="008D479B" w:rsidP="008D479B">
      <w:pPr>
        <w:pStyle w:val="TextoNormal"/>
      </w:pPr>
      <w:r>
        <w:t>3. Sin embargo, no comparto las consideraciones que se efectúan en el referido apartado D) respecto a la interpretación estricta del derecho a la objeción de conciencia, con base a las afirmaciones contenidas en la STC 44/2023, a la que formulé voto particular y a las que me remito en este punto.</w:t>
      </w:r>
    </w:p>
    <w:p w14:paraId="11FB67FB" w14:textId="77777777" w:rsidR="008D479B" w:rsidRDefault="008D479B" w:rsidP="008D479B">
      <w:pPr>
        <w:pStyle w:val="TextoNormal"/>
      </w:pPr>
    </w:p>
    <w:p w14:paraId="051E26B1" w14:textId="77777777" w:rsidR="008D479B" w:rsidRDefault="008D479B" w:rsidP="008D479B">
      <w:pPr>
        <w:pStyle w:val="TextoNormal"/>
      </w:pPr>
      <w:r>
        <w:t>4. Como he anticipado, discrepo de las consideraciones contendidas en el fundamento jurídico 7 de la sentencia.</w:t>
      </w:r>
    </w:p>
    <w:p w14:paraId="6E409071" w14:textId="77777777" w:rsidR="008D479B" w:rsidRDefault="008D479B" w:rsidP="008D479B">
      <w:pPr>
        <w:pStyle w:val="TextoNormal"/>
      </w:pPr>
    </w:p>
    <w:p w14:paraId="05A0F7E7" w14:textId="77777777" w:rsidR="008D479B" w:rsidRDefault="008D479B" w:rsidP="008D479B">
      <w:pPr>
        <w:pStyle w:val="TextoNormal"/>
      </w:pPr>
      <w:r>
        <w:t>En dicho apartado parte de que, de las quejas en las que se fundamenta el recurso, únicamente se acoge la relativa a la derivación a la recurrente para la práctica de la interrupción del embarazo a una clínica privada de Madrid y en el mismo se declara finalmente la existencia de vulneración del derecho a la integridad física y moral de la demandante, conclusión que no puedo compartir.</w:t>
      </w:r>
    </w:p>
    <w:p w14:paraId="0ADE9E13" w14:textId="77777777" w:rsidR="008D479B" w:rsidRDefault="008D479B" w:rsidP="008D479B">
      <w:pPr>
        <w:pStyle w:val="TextoNormal"/>
      </w:pPr>
    </w:p>
    <w:p w14:paraId="6DA6E66C" w14:textId="77777777" w:rsidR="008D479B" w:rsidRDefault="008D479B" w:rsidP="008D479B">
      <w:pPr>
        <w:pStyle w:val="TextoNormal"/>
      </w:pPr>
      <w:r>
        <w:t>Como he apuntado precedentemente, a mi juicio, no cabe sostener que la infracción de cualesquiera artículos de la Ley Orgánica 2/2010, que tenga como efecto dificultar de manera relevante el acceso a la prestación sanitaria de la interrupción del embarazo o su práctica, vulnere el derecho fundamental del art. 15 CE.</w:t>
      </w:r>
    </w:p>
    <w:p w14:paraId="3395C2EB" w14:textId="77777777" w:rsidR="008D479B" w:rsidRDefault="008D479B" w:rsidP="008D479B">
      <w:pPr>
        <w:pStyle w:val="TextoNormal"/>
      </w:pPr>
    </w:p>
    <w:p w14:paraId="5AEDABFA" w14:textId="77777777" w:rsidR="008D479B" w:rsidRDefault="008D479B" w:rsidP="008D479B">
      <w:pPr>
        <w:pStyle w:val="TextoNormal"/>
      </w:pPr>
      <w:r>
        <w:t>En este caso, la sentencia estima que se produjo la infracción del art. 19.2 de la Ley Orgánica 2/2010, en su versión original y, a partir de aquí, concluye que “el Servicio Murciano de Salud, al derivar a la recurrente a una clínica privada de Madrid para la práctica de la interrupción del embarazo sin acreditar que concurrían circunstancias excepcionales que impidiesen a los servicios públicos de salud de la Región de Murcia realizar esta prestación en tiempo, no solo ha vulnerado el art. 19.2 de la Ley Orgánica 2/2010, en la redacción entonces vigente, sino que también ha lesionado el derecho fundamental de la recurrente a interrumpir su embarazo con las garantías legales”. Conclusión en la que insiste en un párrafo más adelante: “El Servicio Murciano de Salud, al derivar a la recurrente a un centro sanitario privado en una localidad lejana de su residencia habitual para practicar la interrupción del embarazo sin haber aducido ningún motivo excepcional que justificara que los servicios de salud de esta comunidad autónoma no pudieron facilitar en tiempo la prestación, ha vulnerado el derecho de la recurrente a la interrupción del embarazo que forma parte de su derecho fundamental a la integridad física y moral (art. 15 CE, en conexión con el art. 10.1 CE)”.</w:t>
      </w:r>
    </w:p>
    <w:p w14:paraId="649D7E46" w14:textId="77777777" w:rsidR="008D479B" w:rsidRDefault="008D479B" w:rsidP="008D479B">
      <w:pPr>
        <w:pStyle w:val="TextoNormal"/>
      </w:pPr>
    </w:p>
    <w:p w14:paraId="647BE8BD" w14:textId="77777777" w:rsidR="008D479B" w:rsidRDefault="008D479B" w:rsidP="008D479B">
      <w:pPr>
        <w:pStyle w:val="TextoNormal"/>
      </w:pPr>
      <w:r>
        <w:t>La sentencia no va más allá en la concreción de qué parte de la integridad física o qué aspecto de la integridad moral de la demandante fue lesionada por la actuación —u omisión de actuar— de la administración sanitaria; tampoco refiere que se haya acreditado un riesgo palmario y manifiesto de que la lesión pudiera llegar a producirse.</w:t>
      </w:r>
    </w:p>
    <w:p w14:paraId="0FB4E714" w14:textId="77777777" w:rsidR="008D479B" w:rsidRDefault="008D479B" w:rsidP="008D479B">
      <w:pPr>
        <w:pStyle w:val="TextoNormal"/>
      </w:pPr>
    </w:p>
    <w:p w14:paraId="3805715F" w14:textId="77777777" w:rsidR="008D479B" w:rsidRDefault="008D479B" w:rsidP="008D479B">
      <w:pPr>
        <w:pStyle w:val="TextoNormal"/>
      </w:pPr>
      <w:r>
        <w:t>Aun en la hipótesis, que no comparto, de que la práctica abortiva pudiera anclarse en el art. 15 CE, en todo caso, habría de disentir de la declaración de existencia de vulneración del derecho a la integridad física de la demandante apreciada por la Sala en este recurso de amparo.</w:t>
      </w:r>
    </w:p>
    <w:p w14:paraId="47C2D28F" w14:textId="77777777" w:rsidR="008D479B" w:rsidRDefault="008D479B" w:rsidP="008D479B">
      <w:pPr>
        <w:pStyle w:val="TextoNormal"/>
      </w:pPr>
    </w:p>
    <w:p w14:paraId="3993F3A2" w14:textId="77777777" w:rsidR="008D479B" w:rsidRDefault="008D479B" w:rsidP="008D479B">
      <w:pPr>
        <w:pStyle w:val="TextoNormal"/>
      </w:pPr>
      <w:r>
        <w:t>En casos como este, en los que en definitiva lo que se produce es la omisión de prestación abortiva en un centro sanitario de la comunidad autónoma de residencia de la gestante, debido al supuesto acogimiento generalizado a la objeción de conciencia de los facultativos de la Región de Murcia a practicar abortos, no se produce injerencia alguna en la indemnidad física o moral de la mujer, sin perjuicio de que se vieran afectados otros de sus derechos, incluso fundamentales, a los que luego me referiré, al producirse el desplazamiento de la gestante a un centro sanitario situado en otra comunidad autónoma a unos 400 kilómetros de su domicilio, máxime cuando la práctica abortiva estaba justificada al tratarse de un feto con agenesia del 90 por 100 y malformaciones encefálicas bilaterales, con un pronóstico neurológico “malo” y una probabilidad muy elevada de que el cuadro se asocie con discapacidad intelectual, afectación motora y crisis epilépticas que llevarían a una situación de dependencia grave y ausencia de autonomía [antecedente 2 g)].</w:t>
      </w:r>
    </w:p>
    <w:p w14:paraId="35E68F21" w14:textId="77777777" w:rsidR="008D479B" w:rsidRDefault="008D479B" w:rsidP="008D479B">
      <w:pPr>
        <w:pStyle w:val="TextoNormal"/>
      </w:pPr>
    </w:p>
    <w:p w14:paraId="6A615EA9" w14:textId="77777777" w:rsidR="008D479B" w:rsidRDefault="008D479B" w:rsidP="008D479B">
      <w:pPr>
        <w:pStyle w:val="TextoNormal"/>
      </w:pPr>
      <w:r>
        <w:t>En definitiva, la infracción del deber legal de prestación abortiva ha de ser de una naturaleza y entidad suficiente en la esfera corporal o moral de la gestante como para incurrir en la vulneración del art. 15 CE, lo que considero que no se ha producido, a la vista de las circunstancias del caso, en el que no hay ningún ataque dirigido a lesionar el cuerpo o integridad moral de la mujer, ni tampoco una intervención no consentida, ni un obstáculo al libre desarrollo de su personalidad.</w:t>
      </w:r>
    </w:p>
    <w:p w14:paraId="30E4CF28" w14:textId="77777777" w:rsidR="008D479B" w:rsidRDefault="008D479B" w:rsidP="008D479B">
      <w:pPr>
        <w:pStyle w:val="TextoNormal"/>
      </w:pPr>
    </w:p>
    <w:p w14:paraId="5305872F" w14:textId="77777777" w:rsidR="008D479B" w:rsidRDefault="008D479B" w:rsidP="008D479B">
      <w:pPr>
        <w:pStyle w:val="TextoNormal"/>
      </w:pPr>
      <w:r>
        <w:t>La recurrente solicitó una interrupción del embarazo por una patología del feto que fue aprobada por el comité ético de la Región de Murcia, que se llevó a cabo en un lapso temporal breve, sin que se hayan acreditado los pretendidos tratos humillantes, vejatorios y prejuiciosos alegados, ni que se produjera falta de información u ocultación a la paciente, ni omisión de las pruebas diagnósticas procedentes en el momento oportuno, con la finalidad de obstaculizar la interrupción del embarazo, como la propia sentencia declara.</w:t>
      </w:r>
    </w:p>
    <w:p w14:paraId="637747D7" w14:textId="77777777" w:rsidR="008D479B" w:rsidRDefault="008D479B" w:rsidP="008D479B">
      <w:pPr>
        <w:pStyle w:val="TextoNormal"/>
      </w:pPr>
    </w:p>
    <w:p w14:paraId="5771A893" w14:textId="77777777" w:rsidR="008D479B" w:rsidRDefault="008D479B" w:rsidP="008D479B">
      <w:pPr>
        <w:pStyle w:val="TextoNormal"/>
      </w:pPr>
      <w:r>
        <w:t>5. Estimo que la vulneración del artículo 19.2 de la Ley Orgánica 2/2010 a la que se refiere el fundamento jurídico 7 y las consideraciones que en el mismo se efectúan, relativas a que las medidas establecidas en el mencionado precepto tratan de asegurar que la interrupción del embarazo se lleva a cabo del modo menos gravoso para la mujer, conducirían en el caso enjuiciado a la estimación de la vulneración del derecho a la intimidad personal y familiar del art. 18 CE, vistas las circunstancias concurrentes, como el estado del embarazo, el diagnóstico del feto y la situación de vulnerabilidad emocional de la gestante, que exigía garantizar en la medida de lo posible que pudiera acceder a la prestación sin salir de su entorno y que pudiera contar con los apoyos de sus allegados para hacer frente a esa difícil situación del modo menos traumático posible.</w:t>
      </w:r>
    </w:p>
    <w:p w14:paraId="0FFC23B6" w14:textId="77777777" w:rsidR="008D479B" w:rsidRDefault="008D479B" w:rsidP="008D479B">
      <w:pPr>
        <w:pStyle w:val="TextoNormal"/>
      </w:pPr>
    </w:p>
    <w:p w14:paraId="3A47A80B" w14:textId="77777777" w:rsidR="008D479B" w:rsidRDefault="008D479B" w:rsidP="008D479B">
      <w:pPr>
        <w:pStyle w:val="TextoNormal"/>
      </w:pPr>
      <w:r>
        <w:t>La sentencia a la que formulo el presente voto particular, pese a haber sido alegada por la recurrente, no entra en absoluto a examinar la vulneración del mencionado derecho.</w:t>
      </w:r>
    </w:p>
    <w:p w14:paraId="15E10213" w14:textId="77777777" w:rsidR="008D479B" w:rsidRDefault="008D479B" w:rsidP="008D479B">
      <w:pPr>
        <w:pStyle w:val="TextoNormal"/>
      </w:pPr>
    </w:p>
    <w:p w14:paraId="3015AFBA" w14:textId="77777777" w:rsidR="008D479B" w:rsidRDefault="008D479B" w:rsidP="008D479B">
      <w:pPr>
        <w:pStyle w:val="TextoNormal"/>
      </w:pPr>
      <w:r>
        <w:t xml:space="preserve">Paradójicamente, la sentencia cita la STEDH de 30 de octubre de 2012, asunto </w:t>
      </w:r>
      <w:r w:rsidRPr="008D479B">
        <w:rPr>
          <w:i/>
        </w:rPr>
        <w:t>P. y S, c. Polonia</w:t>
      </w:r>
      <w:r>
        <w:t>, dictada en un supuesto en el que la recurrente tuvo que interrumpir su embarazo en un hospital que se encontraba en una localidad distante 500 km de la de su domicilio. La referida sentencia apreció la vulneración del artículo 8 CEDH porque las autoridades no cumplieron su obligación positiva de asegurar a los demandantes el respeto efectivo de su vida privada, al no encontrar justificado que tuviera que practicarse la interrupción del embarazo en un hospital tan lejano de su domicilio; considerando que los Estados están obligados a organizar sus servicios de salud de manera que pueda garantizarse que el ejercicio del derecho a la objeción de conciencia de los profesionales sanitarios no impida que los pacientes puedan acceder a las prestaciones a las que tienen derecho en virtud de la legislación vigente.</w:t>
      </w:r>
    </w:p>
    <w:p w14:paraId="546CB9CC" w14:textId="77777777" w:rsidR="008D479B" w:rsidRDefault="008D479B" w:rsidP="008D479B">
      <w:pPr>
        <w:pStyle w:val="TextoNormal"/>
      </w:pPr>
    </w:p>
    <w:p w14:paraId="2CB55533" w14:textId="77777777" w:rsidR="008D479B" w:rsidRDefault="008D479B" w:rsidP="008D479B">
      <w:pPr>
        <w:pStyle w:val="TextoNormal"/>
      </w:pPr>
      <w:r>
        <w:t>Sin embargo, la sentencia de la que discrepo parcialmente no declara vulnerado el derecho a la intimidad personal y familiar del art. 18 CE, sino que considera que la derivación a un centro sanitario privado en una localidad lejana a la de su residencia habitual para practicar la interrupción del embarazo, sin haber justificado el Servicio Murciano de Salud ningún motivo excepcional que impidiera que la prestación se efectuara en tiempo en dicha comunidad, vulneró el derecho de la recurrente a la interrupción voluntaria del embarazo que forma parte de su derecho fundamental a la integridad física y moral (artículo 15 CE en conexión con el artículo 10.1 CE), conclusión de la que, como he expuesto, disiento.</w:t>
      </w:r>
    </w:p>
    <w:p w14:paraId="5C766377" w14:textId="77777777" w:rsidR="008D479B" w:rsidRDefault="008D479B" w:rsidP="008D479B">
      <w:pPr>
        <w:pStyle w:val="TextoNormal"/>
      </w:pPr>
    </w:p>
    <w:p w14:paraId="3AD4CE02" w14:textId="77777777" w:rsidR="008D479B" w:rsidRDefault="008D479B" w:rsidP="008D479B">
      <w:pPr>
        <w:pStyle w:val="TextoNormal"/>
      </w:pPr>
      <w:r>
        <w:t>Por mi parte, considero que, atendidas las circunstancias del caso, no puede estimarse vulnerado el derecho del art. 15 CE, pero la derivación para obtener la prestación a una comunidad autónoma alejada del propio domicilio y del entorno familiar del que podía recibir apoyo la recurrente en las circunstancias en que se encontraba, sí pudo constituir una intromisión injustificada en su derecho a la intimidad personal y familiar del art. 18 CE, en la línea en la que se pronunció la STEDH de 30 de octubre de 2012, asunt</w:t>
      </w:r>
      <w:r w:rsidRPr="008D479B">
        <w:rPr>
          <w:i/>
        </w:rPr>
        <w:t>o P. y S, c. Polon</w:t>
      </w:r>
      <w:r>
        <w:t>ia.</w:t>
      </w:r>
    </w:p>
    <w:p w14:paraId="608E25CC" w14:textId="77777777" w:rsidR="008D479B" w:rsidRDefault="008D479B" w:rsidP="008D479B">
      <w:pPr>
        <w:pStyle w:val="TextoNormal"/>
      </w:pPr>
    </w:p>
    <w:p w14:paraId="4FB2644C" w14:textId="77777777" w:rsidR="008D479B" w:rsidRDefault="008D479B" w:rsidP="008D479B">
      <w:pPr>
        <w:pStyle w:val="TextoNormal"/>
      </w:pPr>
      <w:r>
        <w:t>Es cierto que este tribunal ha declarado reiteradamente (por todas, STC 66/2022, de 2 de junio, FJ 4) que “nuestra Constitución no reconoce un ‘derecho a la vida familiar’ en los mismos términos en que la jurisprudencia del Tribunal Europeo de Derechos Humanos ha interpretado el art. 8.1 CEDH […]”, y que la doctrina constitucional no ha admitido que el “deslinde del ámbito material de protección del derecho a la intimidad personal y familiar reconocido en el art. 18.1 CE, […] ‘deba verificarse mediante la mimética recepción del contenido del derecho a la vida privada y familiar reconocido en el art. 8.1 CEDH, según lo interpreta el Tribunal Europeo de Derechos Humanos’” y que “‘el derecho a la vida privada y familiar reconocido en el art. 8.1 CEDH y el derecho a la intimidad personal y familiar reconocido en el art. 18.1 CE no son coextensos’ (ATC del Pleno 40/2017, de 28 de febrero, FJ 3)”.</w:t>
      </w:r>
    </w:p>
    <w:p w14:paraId="6FF2AE08" w14:textId="77777777" w:rsidR="008D479B" w:rsidRDefault="008D479B" w:rsidP="008D479B">
      <w:pPr>
        <w:pStyle w:val="TextoNormal"/>
      </w:pPr>
    </w:p>
    <w:p w14:paraId="6DA1F5E0" w14:textId="77777777" w:rsidR="008D479B" w:rsidRDefault="008D479B" w:rsidP="008D479B">
      <w:pPr>
        <w:pStyle w:val="TextoNormal"/>
      </w:pPr>
      <w:r>
        <w:t xml:space="preserve">No cabe olvidar, sin embargo, que la doctrina del Tribunal Europeo de Derechos Humanos “es criterio de interpretación de las normas constitucionales relativas a las libertades y derechos fundamentales (art. 10.2 CE)” (STC 11/2016, de 1 de febrero, FJ 3), de tal manera que la jurisprudencia de ese tribunal </w:t>
      </w:r>
      <w:r w:rsidRPr="008D479B">
        <w:rPr>
          <w:i/>
        </w:rPr>
        <w:t>ex</w:t>
      </w:r>
      <w:r>
        <w:t xml:space="preserve"> art. 10.2 CE es un relevante elemento hermenéutico en la determinación del sentido y alcance de los derechos fundamentales que la Constitución proclama.</w:t>
      </w:r>
    </w:p>
    <w:p w14:paraId="55700B95" w14:textId="77777777" w:rsidR="008D479B" w:rsidRDefault="008D479B" w:rsidP="008D479B">
      <w:pPr>
        <w:pStyle w:val="TextoNormal"/>
      </w:pPr>
    </w:p>
    <w:p w14:paraId="59635116" w14:textId="77777777" w:rsidR="008D479B" w:rsidRDefault="008D479B" w:rsidP="008D479B">
      <w:pPr>
        <w:pStyle w:val="TextoNormal"/>
      </w:pPr>
      <w:r>
        <w:t>En este sentido la citada STC 66/2022 señaló que el derecho a la intimidad personal “se configura como un derecho fundamental estrictamente vinculado a la propia personalidad y que deriva, sin ningún género de dudas, de la dignidad de la persona que el art. 10.1 CE reconoce” y, por ello, es patente la conexión entre ese derecho y la esfera reservada para sí por el individuo, en los más básicos aspectos de su autodeterminación como persona.</w:t>
      </w:r>
    </w:p>
    <w:p w14:paraId="4AC213D6" w14:textId="77777777" w:rsidR="008D479B" w:rsidRDefault="008D479B" w:rsidP="008D479B">
      <w:pPr>
        <w:pStyle w:val="TextoNormal"/>
      </w:pPr>
    </w:p>
    <w:p w14:paraId="320AAC36" w14:textId="77777777" w:rsidR="008D479B" w:rsidRDefault="008D479B" w:rsidP="008D479B">
      <w:pPr>
        <w:pStyle w:val="TextoNormal"/>
      </w:pPr>
      <w:r>
        <w:t>Además, el art. 18.1 CE confiere a la persona el poder jurídico de imponer a terceros, sean estos poderes públicos o simples particulares, el deber de abstenerse de toda intromisión en la esfera íntima y la prohibición de hacer uso de lo así conocido, y de ello se deduce que el derecho fundamental a la intimidad personal otorga cuando menos una facultad negativa o de exclusión, que impone a terceros el deber de abstención de intromisiones salvo que estén fundadas en una previsión legal que tenga justificación constitucional y que sea proporcionada, o que exista un consentimiento eficaz que lo autorice, pues corresponde a cada persona acotar el ámbito de intimidad personal y familiar que reserva al conocimiento ajeno.</w:t>
      </w:r>
    </w:p>
    <w:p w14:paraId="0D754C53" w14:textId="77777777" w:rsidR="008D479B" w:rsidRDefault="008D479B" w:rsidP="008D479B">
      <w:pPr>
        <w:pStyle w:val="TextoNormal"/>
      </w:pPr>
    </w:p>
    <w:p w14:paraId="0B8E105E" w14:textId="77777777" w:rsidR="008D479B" w:rsidRDefault="008D479B" w:rsidP="008D479B">
      <w:pPr>
        <w:pStyle w:val="TextoNormal"/>
      </w:pPr>
      <w:r>
        <w:t>Señaló igualmente la mencionada STC 66/2022 que este derecho fundamental se extiende, no solo a aspectos de la propia vida, sino también a determinados aspectos de la vida de otras personas con las que se guarde una especial y estrecha vinculación, como es la familiar; aspectos que, por la relación o vínculo existente con ellas, inciden en la propia esfera de la personalidad del individuo que los derechos del art. 18 CE protegen.</w:t>
      </w:r>
    </w:p>
    <w:p w14:paraId="50C2EFCC" w14:textId="77777777" w:rsidR="008D479B" w:rsidRDefault="008D479B" w:rsidP="008D479B">
      <w:pPr>
        <w:pStyle w:val="TextoNormal"/>
      </w:pPr>
    </w:p>
    <w:p w14:paraId="71B58384" w14:textId="77777777" w:rsidR="008D479B" w:rsidRDefault="008D479B" w:rsidP="008D479B">
      <w:pPr>
        <w:pStyle w:val="TextoNormal"/>
      </w:pPr>
      <w:r>
        <w:t>Apuntó finalmente aquella sentencia que el deseo de ser padres y la materialización de dicho deseo, que culmina con el parto, se integra en el derecho a la intimidad personal y familiar, como proyección directa y derivada de la dignidad humana, en especial de la dignidad de la mujer que da a luz un nuevo ser, alcanzando, igualmente, a todas las decisiones que tienen que ver con la gestación y con ese alumbramiento.</w:t>
      </w:r>
    </w:p>
    <w:p w14:paraId="5992F71A" w14:textId="77777777" w:rsidR="008D479B" w:rsidRDefault="008D479B" w:rsidP="008D479B">
      <w:pPr>
        <w:pStyle w:val="TextoNormal"/>
      </w:pPr>
    </w:p>
    <w:p w14:paraId="3678FE61" w14:textId="77777777" w:rsidR="008D479B" w:rsidRDefault="008D479B" w:rsidP="008D479B">
      <w:pPr>
        <w:pStyle w:val="TextoNormal"/>
      </w:pPr>
      <w:r>
        <w:t>En este sentido, una vez aprobada en el presente caso por el comité ético la interrupción del embarazo por presentar el feto agenesia del 90 por 100 y malformaciones encefálicas bilaterales, con pronóstico neurológico “malo” y una probabilidad muy elevada de que el cuadro se asocie con discapacidad intelectual, afectación motora y crisis epilépticas que llevarían a una situación de dependencia grave y ausencia de autonomía [antecedente 2 g) de la sentencia], y que la intervención por lo avanzado de la gestación debía efectuarse mediante parto inducido, en consideración a las demás circunstancias de la recurrente, la imposición del desplazamiento a otra ciudad alejada de su domicilio para obtener la prestación comportó la vulneración del derecho a la intimidad personal y familiar de la recurrente.</w:t>
      </w:r>
    </w:p>
    <w:p w14:paraId="1B1585A9" w14:textId="77777777" w:rsidR="008D479B" w:rsidRDefault="008D479B" w:rsidP="008D479B">
      <w:pPr>
        <w:pStyle w:val="TextoNormal"/>
      </w:pPr>
    </w:p>
    <w:p w14:paraId="71C1F4DD" w14:textId="77777777" w:rsidR="008D479B" w:rsidRDefault="008D479B" w:rsidP="008D479B">
      <w:pPr>
        <w:pStyle w:val="TextoNormal"/>
      </w:pPr>
      <w:r>
        <w:t>En base a las mencionadas consideraciones formulo mi voto particular a la sentencia dictada por la Sala Primera del Tribunal Constitucional con fecha 3 de julio de 2023 en el recurso de amparo 2669-2019.</w:t>
      </w:r>
    </w:p>
    <w:p w14:paraId="60C9E935" w14:textId="77777777" w:rsidR="008D479B" w:rsidRDefault="008D479B" w:rsidP="008D479B">
      <w:pPr>
        <w:pStyle w:val="TextoNormal"/>
      </w:pPr>
    </w:p>
    <w:p w14:paraId="5CCBFD5F" w14:textId="3D046FB8" w:rsidR="008D479B" w:rsidRDefault="008D479B" w:rsidP="008D479B">
      <w:pPr>
        <w:pStyle w:val="TextoNormal"/>
      </w:pPr>
      <w:r>
        <w:t>Madrid, a cinco de julio de dos mil veintitrés.</w:t>
      </w:r>
    </w:p>
    <w:p w14:paraId="779A3643" w14:textId="72209B0D" w:rsidR="008D479B" w:rsidRDefault="008D479B">
      <w:pPr>
        <w:spacing w:after="160" w:line="278" w:lineRule="auto"/>
        <w:rPr>
          <w:rFonts w:ascii="Times New Roman" w:eastAsia="Times New Roman" w:hAnsi="Times New Roman" w:cs="Times New Roman"/>
          <w:sz w:val="24"/>
          <w:szCs w:val="24"/>
          <w:lang w:eastAsia="es-ES"/>
        </w:rPr>
      </w:pPr>
      <w:r>
        <w:br w:type="page"/>
      </w:r>
    </w:p>
    <w:p w14:paraId="1FAF0395" w14:textId="77777777" w:rsidR="008D479B" w:rsidRDefault="008D479B" w:rsidP="008D479B">
      <w:pPr>
        <w:pStyle w:val="TtuloResolucin"/>
      </w:pPr>
      <w:bookmarkStart w:id="4" w:name="SENTENCIA_2023_79"/>
      <w:r>
        <w:t>SENTENCIA 79/2023, de 3 de julio de 2023</w:t>
      </w:r>
    </w:p>
    <w:bookmarkEnd w:id="4"/>
    <w:p w14:paraId="562EF331" w14:textId="77777777" w:rsidR="008D479B" w:rsidRDefault="008D479B" w:rsidP="008D479B">
      <w:pPr>
        <w:pStyle w:val="TtuloResolucin"/>
      </w:pPr>
      <w:r>
        <w:t>Sala Segunda</w:t>
      </w:r>
    </w:p>
    <w:p w14:paraId="0ED7FA08" w14:textId="77777777" w:rsidR="008D479B" w:rsidRDefault="008D479B" w:rsidP="008D479B">
      <w:pPr>
        <w:pStyle w:val="TtuloBOE"/>
      </w:pPr>
      <w:r>
        <w:t>(BOE núm. 184, de 3 de agosto de 2023)</w:t>
      </w:r>
    </w:p>
    <w:p w14:paraId="369D20B4" w14:textId="77777777" w:rsidR="008D479B" w:rsidRDefault="008D479B" w:rsidP="008D479B">
      <w:pPr>
        <w:pStyle w:val="TextoNormalCentrado"/>
      </w:pPr>
      <w:r>
        <w:t>ECLI:ES:TC:2023:79</w:t>
      </w:r>
    </w:p>
    <w:p w14:paraId="22D59DBB" w14:textId="7810C687" w:rsidR="008D479B" w:rsidRDefault="008D479B" w:rsidP="008D479B">
      <w:pPr>
        <w:pStyle w:val="TextoNormalCentrado"/>
      </w:pPr>
    </w:p>
    <w:p w14:paraId="4D92F0B2" w14:textId="77777777" w:rsidR="008D479B" w:rsidRDefault="008D479B" w:rsidP="008D479B">
      <w:pPr>
        <w:pStyle w:val="SntesisDescriptiva"/>
      </w:pPr>
      <w:r>
        <w:t>Recurso de amparo 3638-2020. Promovido por don Jaouad Ballasah en relación con las resoluciones dictadas por las salas de lo social del Tribunal Supremo y del Tribunal Superior de Justicia de Madrid en proceso por despido.</w:t>
      </w:r>
    </w:p>
    <w:p w14:paraId="3147BC45" w14:textId="280E745E" w:rsidR="008D479B" w:rsidRDefault="008D479B" w:rsidP="008D479B">
      <w:pPr>
        <w:pStyle w:val="SntesisDescriptiva"/>
      </w:pPr>
    </w:p>
    <w:p w14:paraId="03D4BD62" w14:textId="77777777" w:rsidR="008D479B" w:rsidRDefault="008D479B" w:rsidP="008D479B">
      <w:pPr>
        <w:pStyle w:val="SntesisAnaltica"/>
      </w:pPr>
      <w:r>
        <w:t>Vulneración del derecho a la libertad ideológica, en conexión con las libertades de expresión y de reunión: despido disciplinario de quien participó en una manifestación y difundió por las redes sociales fotografías con mensajes políticos tomadas en su puesto de trabajo.</w:t>
      </w:r>
    </w:p>
    <w:p w14:paraId="26A62C74" w14:textId="4AB10334" w:rsidR="008D479B" w:rsidRDefault="008D479B" w:rsidP="008D479B">
      <w:pPr>
        <w:pStyle w:val="SntesisAnaltica"/>
      </w:pPr>
    </w:p>
    <w:p w14:paraId="473C517C" w14:textId="142B2522" w:rsidR="008D479B" w:rsidRDefault="008D479B" w:rsidP="008D479B">
      <w:pPr>
        <w:pStyle w:val="Extracto"/>
      </w:pPr>
      <w:r>
        <w:t>1.</w:t>
      </w:r>
      <w:r>
        <w:tab/>
        <w:t xml:space="preserve">La libertad ideológica se garantiza por la Constitución sin más limitaciones, en sus manifestaciones, que la necesaria para el mantenimiento del orden público protegido por la ley </w:t>
      </w:r>
      <w:r w:rsidRPr="008D479B">
        <w:rPr>
          <w:i/>
        </w:rPr>
        <w:t>ex</w:t>
      </w:r>
      <w:r>
        <w:t xml:space="preserve"> art. 16.1 CE.  Y, dentro del específico contexto de la relación laboral, cualquier norma o decisión que coarte el ejercicio de la libertad ideológica requerirá una rigurosa ponderación entre los distintos intereses en juego, para determinar si los derechos fundamentales del trabajador pudieran verse menoscabados (SSTC 159/1986172/2021) [FJ 3].</w:t>
      </w:r>
    </w:p>
    <w:p w14:paraId="5FE80355" w14:textId="77777777" w:rsidR="008D479B" w:rsidRDefault="008D479B" w:rsidP="008D479B">
      <w:pPr>
        <w:pStyle w:val="Extracto"/>
      </w:pPr>
    </w:p>
    <w:p w14:paraId="171E7ABB" w14:textId="31E4A6BD" w:rsidR="008D479B" w:rsidRDefault="008D479B" w:rsidP="008D479B">
      <w:pPr>
        <w:pStyle w:val="Extracto"/>
      </w:pPr>
      <w:r>
        <w:t>2.</w:t>
      </w:r>
      <w:r>
        <w:tab/>
        <w:t>Sin perjuicio de la existencia de una aparente causa legal justificativa de la decisión empresarial extintiva, en los despidos pluricausales se exige que el empresario acredite que su decisión cuenta con una justificación objetiva y razonable que permita excluir cualquier propósito lesivo de un derecho fundamental (SSTC 41/2006 y 125/2008) [FJ 3].</w:t>
      </w:r>
    </w:p>
    <w:p w14:paraId="6A58362E" w14:textId="77777777" w:rsidR="008D479B" w:rsidRDefault="008D479B" w:rsidP="008D479B">
      <w:pPr>
        <w:pStyle w:val="Extracto"/>
      </w:pPr>
    </w:p>
    <w:p w14:paraId="4A76E9D0" w14:textId="1DFA4368" w:rsidR="008D479B" w:rsidRDefault="008D479B" w:rsidP="008D479B">
      <w:pPr>
        <w:pStyle w:val="Extracto"/>
      </w:pPr>
      <w:r>
        <w:t>3.</w:t>
      </w:r>
      <w:r>
        <w:tab/>
        <w:t>Habiéndose aportado suficientes indicios razonables de que un despido disciplinario pudiera vulnerar el derecho a la libertad ideológica, incumbe al autor de tal medida la carga de probar que su actuación obedeció a motivos extraños a todo propósito atentatorio del mencionado derecho fundamental [FJ 4].</w:t>
      </w:r>
    </w:p>
    <w:p w14:paraId="7502C949" w14:textId="77777777" w:rsidR="008D479B" w:rsidRDefault="008D479B" w:rsidP="008D479B">
      <w:pPr>
        <w:pStyle w:val="Extracto"/>
      </w:pPr>
    </w:p>
    <w:p w14:paraId="65E16270" w14:textId="77777777" w:rsidR="008D479B" w:rsidRDefault="008D479B" w:rsidP="008D479B">
      <w:pPr>
        <w:pStyle w:val="Extracto"/>
      </w:pPr>
    </w:p>
    <w:p w14:paraId="4F092296" w14:textId="77777777" w:rsidR="008D479B" w:rsidRDefault="008D479B" w:rsidP="008D479B">
      <w:pPr>
        <w:pStyle w:val="TextoNormal"/>
      </w:pPr>
      <w: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14:paraId="5D186F04" w14:textId="60CA6171" w:rsidR="008D479B" w:rsidRDefault="008D479B" w:rsidP="008D479B">
      <w:pPr>
        <w:pStyle w:val="TextoNormal"/>
      </w:pPr>
    </w:p>
    <w:p w14:paraId="1BFD56AC" w14:textId="77777777" w:rsidR="008D479B" w:rsidRDefault="008D479B" w:rsidP="008D479B">
      <w:pPr>
        <w:pStyle w:val="TextoNormalCentrado"/>
        <w:keepNext/>
      </w:pPr>
      <w:r>
        <w:t>EN NOMBRE DEL REY</w:t>
      </w:r>
    </w:p>
    <w:p w14:paraId="4133102A" w14:textId="5EFFF23F" w:rsidR="008D479B" w:rsidRDefault="008D479B" w:rsidP="008D479B">
      <w:pPr>
        <w:pStyle w:val="TextoNormalCentrado"/>
        <w:keepNext/>
      </w:pPr>
    </w:p>
    <w:p w14:paraId="5AEFA562" w14:textId="77777777" w:rsidR="008D479B" w:rsidRDefault="008D479B" w:rsidP="008D479B">
      <w:pPr>
        <w:pStyle w:val="TextoNormalCentrado"/>
        <w:keepNext/>
      </w:pPr>
    </w:p>
    <w:p w14:paraId="1218E9B6" w14:textId="77777777" w:rsidR="008D479B" w:rsidRDefault="008D479B" w:rsidP="008D479B">
      <w:pPr>
        <w:pStyle w:val="TextoNormal"/>
      </w:pPr>
      <w:r>
        <w:t>la siguiente</w:t>
      </w:r>
    </w:p>
    <w:p w14:paraId="0ABE5475" w14:textId="42BAC4B3" w:rsidR="008D479B" w:rsidRDefault="008D479B" w:rsidP="008D479B">
      <w:pPr>
        <w:pStyle w:val="TextoNormal"/>
      </w:pPr>
    </w:p>
    <w:p w14:paraId="1DDBF027" w14:textId="77777777" w:rsidR="008D479B" w:rsidRDefault="008D479B" w:rsidP="008D479B">
      <w:pPr>
        <w:pStyle w:val="TextoNormalCentrado"/>
        <w:keepNext/>
      </w:pPr>
      <w:r>
        <w:t>SENTENCIA</w:t>
      </w:r>
    </w:p>
    <w:p w14:paraId="52007B7B" w14:textId="778E017C" w:rsidR="008D479B" w:rsidRDefault="008D479B" w:rsidP="008D479B">
      <w:pPr>
        <w:pStyle w:val="TextoNormalCentrado"/>
        <w:keepNext/>
      </w:pPr>
    </w:p>
    <w:p w14:paraId="5F6F0648" w14:textId="77777777" w:rsidR="008D479B" w:rsidRDefault="008D479B" w:rsidP="008D479B">
      <w:pPr>
        <w:pStyle w:val="TextoNormal"/>
      </w:pPr>
      <w:r>
        <w:t>En el recurso de amparo núm. 3638-2020, promovido por don Jaouad Ballasah, representado por la procuradora de los tribunales doña María del Carmen Armesto Tinoco y bajo la dirección del letrado don David Moya García, contra el auto de 11 de junio de 2020, dictado por la Sala de lo Social del Tribunal Supremo, por el que se inadmite el recurso de casación para la unificación de doctrina núm. 3594-2019 promovido contra la sentencia núm. 525/2019, de 29 de mayo, de la Sala de lo Social del Tribunal Superior de Justicia de Madrid, desestimatoria del recurso de suplicación núm. 19-2019 interpuesto contra la sentencia núm. 217/2018, de 15 de junio, del Juzgado de lo Social núm. 27 de Madrid, en autos de despido núm. 1069-2017. Ha intervenido el Ministerio Fiscal. Se ha personado el Banque Chaabi du Maroc, sucursal en España, representado por el procurador de los tribunales don Isidro Orquín Cedenilla. Ha sido ponente el magistrado don César Tolosa Tribiño.</w:t>
      </w:r>
    </w:p>
    <w:p w14:paraId="311196D2" w14:textId="62EAA955" w:rsidR="008D479B" w:rsidRDefault="008D479B" w:rsidP="008D479B">
      <w:pPr>
        <w:pStyle w:val="TextoNormal"/>
      </w:pPr>
    </w:p>
    <w:p w14:paraId="5B34F311" w14:textId="77777777" w:rsidR="008D479B" w:rsidRDefault="008D479B" w:rsidP="008D479B">
      <w:pPr>
        <w:pStyle w:val="TextoNormalNegritaCentrado"/>
        <w:keepNext/>
      </w:pPr>
      <w:r>
        <w:t>I. Antecedentes</w:t>
      </w:r>
    </w:p>
    <w:p w14:paraId="6ACD76F1" w14:textId="6758F828" w:rsidR="008D479B" w:rsidRDefault="008D479B" w:rsidP="008D479B">
      <w:pPr>
        <w:pStyle w:val="TextoNormalNegritaCentrado"/>
        <w:keepNext/>
      </w:pPr>
    </w:p>
    <w:p w14:paraId="75410E8A" w14:textId="7B91CE28" w:rsidR="008D479B" w:rsidRDefault="008D479B" w:rsidP="008D479B">
      <w:pPr>
        <w:pStyle w:val="TextoNormal"/>
      </w:pPr>
      <w:r w:rsidRPr="008D479B">
        <w:rPr>
          <w:rStyle w:val="NumeroAFNegritaCaracter"/>
        </w:rPr>
        <w:t>1</w:t>
      </w:r>
      <w:r>
        <w:t>. El 23 de julio de 2020, don Jaouad Ballasah, representado por la procuradora de los tribunales doña María del Carmen Armesto Tinoco y bajo la dirección del letrado don David Moya García, interpuso recurso de amparo contra las resoluciones judiciales mencionadas en el encabezamiento de esta sentencia.</w:t>
      </w:r>
    </w:p>
    <w:p w14:paraId="20F4CF38" w14:textId="77777777" w:rsidR="008D479B" w:rsidRDefault="008D479B" w:rsidP="008D479B">
      <w:pPr>
        <w:pStyle w:val="TextoNormal"/>
      </w:pPr>
    </w:p>
    <w:p w14:paraId="5154DC7C" w14:textId="77777777" w:rsidR="008D479B" w:rsidRDefault="008D479B" w:rsidP="008D479B">
      <w:pPr>
        <w:pStyle w:val="TextoNormal"/>
      </w:pPr>
      <w:r w:rsidRPr="008D479B">
        <w:rPr>
          <w:rStyle w:val="NumeroAFNegritaCaracter"/>
        </w:rPr>
        <w:t>2</w:t>
      </w:r>
      <w:r>
        <w:t>. Los hechos relevantes para resolver el presente recurso de amparo son los siguientes:</w:t>
      </w:r>
    </w:p>
    <w:p w14:paraId="4781768C" w14:textId="77777777" w:rsidR="008D479B" w:rsidRDefault="008D479B" w:rsidP="008D479B">
      <w:pPr>
        <w:pStyle w:val="TextoNormal"/>
      </w:pPr>
    </w:p>
    <w:p w14:paraId="1ACC6D6C" w14:textId="77777777" w:rsidR="008D479B" w:rsidRDefault="008D479B" w:rsidP="008D479B">
      <w:pPr>
        <w:pStyle w:val="TextoNormal"/>
      </w:pPr>
      <w:r>
        <w:t>a) Participación en una manifestación: don Jaouad Ballasah (en adelante, el recurrente), natural del Rif, vino prestando servicios desde el 16 de marzo de 2009 para el Banque Chaabi du Maroc, como director de su sucursal en Madrid [hechos probados primero y segundo de la sentencia núm. 217/2018, de 15 de junio, del Juzgado de lo Social núm. 27 de Madrid, en los autos de despido núm. 1069-2017 (en adelante, SJS 217/2018)]. Junto a él trabajaba desde el 8 de febrero de 2016, entre otros, doña Hanane Bijbij, natural del Rif, con la categoría de asesora comercial y sin ostentar cargo sindical alguno [hechos probados primero, segundo y quinto de la sentencia núm. 34/2018, de 25 de enero, del Juzgado de lo Social núm. 32 de Madrid, en los autos de despido núm. 741-2017 (en adelante, SJS 34/2018)].</w:t>
      </w:r>
    </w:p>
    <w:p w14:paraId="0AB389B2" w14:textId="77777777" w:rsidR="008D479B" w:rsidRDefault="008D479B" w:rsidP="008D479B">
      <w:pPr>
        <w:pStyle w:val="TextoNormal"/>
      </w:pPr>
    </w:p>
    <w:p w14:paraId="74B2F271" w14:textId="77777777" w:rsidR="008D479B" w:rsidRDefault="008D479B" w:rsidP="008D479B">
      <w:pPr>
        <w:pStyle w:val="TextoNormal"/>
      </w:pPr>
      <w:r>
        <w:t>La tarde del viernes 2 de junio de 2017 tanto el recurrente como la señora Bijbij acudieron en Madrid a una manifestación por la defensa de los derechos de los ciudadanos del Valle del Rif en la que se denunciaba la situación política en la que se encontraba la región dentro del Reino de Marruecos. “Por su condición de director de la oficina en Madrid del Banque Chaabi du Maroc, que es próxima a la monarquía marroquí, el suceso tuvo gran difusión en los medios de comunicación de dicha nación” (hecho probado tercero, SJS 217/2018).</w:t>
      </w:r>
    </w:p>
    <w:p w14:paraId="329758FB" w14:textId="77777777" w:rsidR="008D479B" w:rsidRDefault="008D479B" w:rsidP="008D479B">
      <w:pPr>
        <w:pStyle w:val="TextoNormal"/>
      </w:pPr>
    </w:p>
    <w:p w14:paraId="28389055" w14:textId="77777777" w:rsidR="008D479B" w:rsidRDefault="008D479B" w:rsidP="008D479B">
      <w:pPr>
        <w:pStyle w:val="TextoNormal"/>
      </w:pPr>
      <w:r>
        <w:t>b) Despido disciplinario: el Banque Chaabi du Maroc comunicó al recurrente el 5 de junio siguiente la decisión de abrirle un proceso de investigación, al haber “tenido conocimiento de unos hechos que podrían ser constitutivos de una falta laboral de carácter muy grave”, acordando cautelarmente la suspensión de empleo, pero no de sueldo (hecho probado tercero, SJS 217/2018). Además, ese mismo día procedió al despido disciplinario de la señora Bijbij alegando como causa su falta de rendimiento y el descontento de la clientela [este despido sería luego declarado improcedente (por inconcreción de la carta de despido), que no nulo (al no haberse acreditado la relación de causa-efecto con la participación en la manifestación controvertida), por la sentencia núm. 34/2018, de 25 de enero, del Juzgado de lo Social núm. 32 de Madrid (autos de despido núm. 741-2017), luego confirmada en suplicación por la núm. 197/2019, de 15 de febrero (recurso núm. 840-2018), por el mismo motivo].</w:t>
      </w:r>
    </w:p>
    <w:p w14:paraId="027BB01B" w14:textId="77777777" w:rsidR="008D479B" w:rsidRDefault="008D479B" w:rsidP="008D479B">
      <w:pPr>
        <w:pStyle w:val="TextoNormal"/>
      </w:pPr>
    </w:p>
    <w:p w14:paraId="6CE38269" w14:textId="77777777" w:rsidR="008D479B" w:rsidRDefault="008D479B" w:rsidP="008D479B">
      <w:pPr>
        <w:pStyle w:val="TextoNormal"/>
      </w:pPr>
      <w:r>
        <w:t>La fase de investigación de la conducta del recurrente se fue prorrogando quincenalmente por medio de una serie de comunicados de contenido similar en los que no se especificaban los hechos que se estaban investigando (hecho probado cuarto, SJS 217/2018). Posteriormente, con fecha de 28 de julio de 2017, el Banque Chaabi du Maroc comunicó al recurrente la decisión de incoar un expediente contradictorio (hecho probado quinto, SJS 217/2018), no solo por haber constatado la existencia de una serie de conductas que podrían ser constitutivas de infracciones laborales muy graves [arts. 69.1 del convenio colectivo de banca (CCB), y 54.2 d) de la Ley del estatuto de los trabajadores (LET)], sino también por haber incurrido en una evidente transgresión del código deontológico vigente en esa entidad. Se le indicaba al respecto que habiéndose tenido indicios desde el comienzo del mes de junio de que el recurrente estaba haciendo un “uso indebido de la imagen del banco en redes sociales”, se comenzó una investigación en el curso de la cual se había tenido acceso el día 13 de julio de 2017 a su perfil público abierto en la red social “Facebook”, en la que se presentaba como director en Chaabi Bank, figurando una fotografía sentado en su despacho y en la que podía verse de fondo un documento publicitario que señalaba: “A tu lado, para financiar tus proyectos, Chaabi Bank”. Esa misma imagen se había utilizado para realizar diversas publicaciones (10 de enero, 6 de marzo, 16 y 19 de mayo, todos ellos de 2017), con parches o ilustraciones superpuestas en árabe y que traducidas al castellano señalaban: “Orgulloso de ser rifeño”, “Los rifeños no son escoria. El Rif no es separatista”, “¿Sois un gobierno o una banda de delincuentes?” (hecho probado sexto, SJS 217/2018).</w:t>
      </w:r>
    </w:p>
    <w:p w14:paraId="2A3BDB08" w14:textId="77777777" w:rsidR="008D479B" w:rsidRDefault="008D479B" w:rsidP="008D479B">
      <w:pPr>
        <w:pStyle w:val="TextoNormal"/>
      </w:pPr>
    </w:p>
    <w:p w14:paraId="74334C08" w14:textId="77777777" w:rsidR="008D479B" w:rsidRDefault="008D479B" w:rsidP="008D479B">
      <w:pPr>
        <w:pStyle w:val="TextoNormal"/>
      </w:pPr>
      <w:r>
        <w:t>De los hechos anteriores se dedujo la existencia de una transgresión de la buena fe contractual por “el uso indebido y no autorizado de los medios y dependencias del banco para publicaciones de contenido privado en redes sociales” que podían, además, dar lugar a confusión, pues sus opiniones podían atribuirse erróneamente a esa entidad bancaria. Era, por ello, una conducta especialmente reprochable al haber utilizado una imagen relacionada con su empleo y su posición de poder en el banco para ofrecer su imagen en esa red social y exteriorizar sus opiniones. En ese sentido, el mensaje indicando “¿Sois un gobierno o una banda de delincuentes?” suponía una falta de respeto hacia el ejecutivo marroquí al tildar a sus componentes de delincuentes, afirmación que la entidad en modo alguno compartía y que los clientes podían, erróneamente, atribuirle. Por lo tanto, se le generaba potencialmente un daño económico real al verse concernida la imagen tanto de la citada entidad financiera como de la clientela (que mayoritariamente no compartía esas opiniones), recordando que no se proyectaba hacia el exterior de forma exclusiva por sus propios actos, sino que se completaba por la de todos aquellos que integraban la organización, especialmente, si ocupaban posiciones de cierta responsabilidad, como era el caso. En suma, tales circunstancias no solo implicaban una transgresión de la buena fe contractual, sino también una pérdida de confianza en su persona de modo que, de confirmarse, supondrían una clara vulneración de los principios de buena fe y diligencia profesional. Por tal motivo, dado que era delegado de personal, se le advirtió de la incoación de un expediente contradictorio de conformidad con lo previsto en el art. 68 a) LET.</w:t>
      </w:r>
    </w:p>
    <w:p w14:paraId="5967DFEA" w14:textId="77777777" w:rsidR="008D479B" w:rsidRDefault="008D479B" w:rsidP="008D479B">
      <w:pPr>
        <w:pStyle w:val="TextoNormal"/>
      </w:pPr>
    </w:p>
    <w:p w14:paraId="007F60B9" w14:textId="77777777" w:rsidR="008D479B" w:rsidRDefault="008D479B" w:rsidP="008D479B">
      <w:pPr>
        <w:pStyle w:val="TextoNormal"/>
      </w:pPr>
      <w:r>
        <w:t>Una vez concluido el referido expediente contradictorio, con fecha de 10 de agosto de 2017 la entidad bancaria notificó al recurrente carta de despido disciplinario por transgresión de la buena fe contractual y abuso de confianza, en la que se le imputaba “hacer un uso indebido de la imagen de la empresa al publicar en su cuenta de la red social ‘Facebook’ una foto de sí mismo en su puesto de trabajo y en la que aparece el eslogan publicitario del banco, junto a mensajes tales como ‘orgulloso de ser rifeño’, ‘los rifeños no son escoria. El Rif no es separatista’ y ‘¿sois un gobierno o una banda de delincuentes?’” (hecho probado sexto, SJS 217/2018). Según consta en el siguiente hecho probado séptimo, las publicaciones aparecieron en el perfil abierto de la cuenta del recurrente en la citada red social desde el 10 de enero de 2017 y fechas sucesivas.</w:t>
      </w:r>
    </w:p>
    <w:p w14:paraId="04C6BE03" w14:textId="77777777" w:rsidR="008D479B" w:rsidRDefault="008D479B" w:rsidP="008D479B">
      <w:pPr>
        <w:pStyle w:val="TextoNormal"/>
      </w:pPr>
    </w:p>
    <w:p w14:paraId="3BAF146C" w14:textId="77777777" w:rsidR="008D479B" w:rsidRDefault="008D479B" w:rsidP="008D479B">
      <w:pPr>
        <w:pStyle w:val="TextoNormal"/>
      </w:pPr>
      <w:r>
        <w:t>c) Demanda por despido nulo: disconforme con el despido, el recurrente formuló demanda instando la declaración de nulidad (subsidiariamente, la improcedencia) por lesión de los siguientes derechos fundamentales: del derecho a no ser discriminado por su condición de rifeño y su apoyo al mencionado pueblo (arts. 14 y 16 CE); de su derecho a la imagen y al honor (art. 18.1 CE); de su derecho de reunión como consecuencia de su participación en la manifestación del 2 de junio de 2017 en Madrid a favor del Rif (art. 21 CE); de su libertad de expresión por haber sido sancionado por difundir sus ideas en la red social (art. 20.1 CE); y de su libertad sindical por haber pretendido la empresa que el despido fuera ejemplificante para el resto de empleados, dada su condición de representante de los trabajadores (arts. 7 y 28 CE). En su demanda hacía especial hincapié, de un lado, en que otra compañera del mismo banco —que también acudió a la controvertida manifestación— fuese despedida de manera fulminante y, de otro lado, en que la directora (en España) del banco (doña Leila Hayat) le hubiese comunicado a mediados de junio de 2017 que estaba recibiendo presiones de la embajada de Marruecos y del director del banco en Francia para que fuera despedido por su participación en la manifestación y por sus opiniones en defensa del pueblo rifeño. La demandada, por su parte, interesó la calificación del despido como procedente aduciendo que estuvo motivado por la utilización de la imagen de la empresa para divulgar las opiniones ideológicas del actor acerca del estatus político del Valle del Rif y de su relación con el Estado marroquí comprometiendo, de ese modo, su posición, íntimamente ligada a la monarquía de dicho país.</w:t>
      </w:r>
    </w:p>
    <w:p w14:paraId="4EF5DA85" w14:textId="77777777" w:rsidR="008D479B" w:rsidRDefault="008D479B" w:rsidP="008D479B">
      <w:pPr>
        <w:pStyle w:val="TextoNormal"/>
      </w:pPr>
    </w:p>
    <w:p w14:paraId="198BB28D" w14:textId="77777777" w:rsidR="008D479B" w:rsidRDefault="008D479B" w:rsidP="008D479B">
      <w:pPr>
        <w:pStyle w:val="TextoNormal"/>
      </w:pPr>
      <w:r>
        <w:t>La demanda fue estimada mediante la sentencia núm. 217/2018, de 15 de junio, del Juzgado de lo Social núm. 27 de Madrid (autos de despido núm. 1069-2017), que declaró la nulidad del despido dado que, existiendo elementos indiciarios suficientes de la vulneración de derechos fundamentales del actor, la empresa demandada no los había desvirtuado. Concretamente, en el fundamento de Derecho segundo de la citada resolución judicial se subraya que: (i) el periodo de investigación abierto con la suspensión de empleo del trabajador tuvo lugar el 5 de junio de 2017, es decir, “el primer día laborable con posterioridad a que aquel hubiera acudido a la manifestación que tuvo lugar la tarde del viernes 2 de junio en defensa de los derechos de los ciudadanos del Valle del Rif”; (ii) a la vista del comportamiento de la empleadora, podía presumirse que el motivo cierto del despido disciplinario del trabajador “se debió al hecho concreto de haber concurrido a una manifestación pública como reflejo inmediato de su libertad ideológica reconocida en el art. 16 de la Constitución Española”; (iii) de la conjunción de los medios de prueba obrantes en las actuaciones, podía concluirse que la demandada no había conseguido ofrecer una causa legítima que amparase el despido disciplinario del actor, en tanto que, aunque en la carta de despido se le imputaba el uso indebido de la imagen de la empresa por publicación en su cuenta abierta de Facebook de una foto de sí mismo con mensajes en apoyo del pueblo rifeño, no resultaba verosímil esa hipótesis; (iv) que “tal y como declaró la directora general en España de la empresa demandada, doña Leila Hayat, una vez la entidad bancaria tuvo conocimiento de que el trabajador había acudido a la manifestación del día 2 de junio ya mencionada, recibió el encargo por medio de llamadas telefónicas de los responsables marroquíes del grupo empresarial de investigar los actos y la conducta de don Jaouad para clarificar lo sucedido”; (v) que “dada la naturaleza sencilla y simple de los hechos de los que ya había tenido constancia la empresa por los medios de comunicación no resulta[ba] creíble la necesidad de abrir un proceso de investigación que se prolongó durante más de dos meses, desde el 5 de junio hasta el 10 de agosto, incluyendo el expediente contradictorio en el que se dio audiencia al demandante; durante este período estuvo además el trabajador suspendido de empleo como medida cautelar, infringiendo, de esta forma, el art. 71 del convenio colectivo de banca”; y (vi) que “en ninguna de las cartas que la empresa remitió al trabajador para comunicarle su suspensión de empleo para dilucidar los hechos acaecidos se especifica, siquiera en grado mínimo, los hechos que precisamente motivaron la preocupación de la empresa y la apertura de dicha investigación, haciendo presumir una intención evidente de ocultación de la causa cierta del despido disciplinario impugnado”.</w:t>
      </w:r>
    </w:p>
    <w:p w14:paraId="79F156FB" w14:textId="77777777" w:rsidR="008D479B" w:rsidRDefault="008D479B" w:rsidP="008D479B">
      <w:pPr>
        <w:pStyle w:val="TextoNormal"/>
      </w:pPr>
    </w:p>
    <w:p w14:paraId="023A2976" w14:textId="77777777" w:rsidR="008D479B" w:rsidRDefault="008D479B" w:rsidP="008D479B">
      <w:pPr>
        <w:pStyle w:val="TextoNormal"/>
      </w:pPr>
      <w:r>
        <w:t>A la vista de todo lo anterior, una vez valoradas las pruebas existentes, se concluyó señalando que “la fase investigadora llevada a cabo por la empleadora tuvo únicamente como finalidad intentar encontrar una causa en la que fundamentar legítimamente el despido ya decidido, y que no fuera la mera asistencia a una manifestación desconectada de la actividad empresarial que pudiera incurrir en una vulneración de derechos fundamentales”, de modo que “las razones esgrimidas por la empresa en la carta de despido, aunque ciertas, fueron construidas y elaboradas por aquella con la intención de cimentar un despido que pudiera tener visos de ser procedente, enmascarando la verdadera causa que hizo que la empresa tomara la decisión de prescindir del trabajador, cual es el hecho de haber acudido este a una manifestación de índole política que se oponía frontalmente con los postulados conservadores y tradicionales de la entidad bancaria empleadora”.</w:t>
      </w:r>
    </w:p>
    <w:p w14:paraId="403CBA05" w14:textId="77777777" w:rsidR="008D479B" w:rsidRDefault="008D479B" w:rsidP="008D479B">
      <w:pPr>
        <w:pStyle w:val="TextoNormal"/>
      </w:pPr>
    </w:p>
    <w:p w14:paraId="237051F3" w14:textId="77777777" w:rsidR="008D479B" w:rsidRDefault="008D479B" w:rsidP="008D479B">
      <w:pPr>
        <w:pStyle w:val="TextoNormal"/>
      </w:pPr>
      <w:r>
        <w:t>d) Recursos de suplicación: frente a la anterior sentencia se interpusieron sendos recursos, tanto por el actor como la entidad demandada (recursos de suplicación núm. 19-2019), formulando cada parte, asimismo, escrito de impugnación del contrario. El actor interesó la revisión de los hechos y denunció infracción normativa (discutiendo la determinación de la antigüedad en la empresa). Por su parte, la entidad bancaria interesó también la modificación fáctica e instó la calificación de la procedencia del despido discutiendo, además, la indemnización por daños [infracción de los arts. 54 y 55 del texto refundido de la Ley del estatuto de los trabajadores, aprobado por el Real Decreto Legislativo 2/2015, de 23 de octubre (LET); 108 y 183 de la Ley 36/2011, de 10 de octubre, reguladora de la jurisdicción social (LJS); y 24 CE].</w:t>
      </w:r>
    </w:p>
    <w:p w14:paraId="745FFEE1" w14:textId="77777777" w:rsidR="008D479B" w:rsidRDefault="008D479B" w:rsidP="008D479B">
      <w:pPr>
        <w:pStyle w:val="TextoNormal"/>
      </w:pPr>
    </w:p>
    <w:p w14:paraId="139C2877" w14:textId="77777777" w:rsidR="008D479B" w:rsidRDefault="008D479B" w:rsidP="008D479B">
      <w:pPr>
        <w:pStyle w:val="TextoNormal"/>
      </w:pPr>
      <w:r>
        <w:t>Por lo que al presente recurso de amparo interesa, hay que subrayar que en el motivo cuarto del recurso de suplicación formulado por el banco demandado (en el que se denunciaba la infracción normativa, interesando que el despido del actor se calificase como procedente), en relación con las publicaciones en “Facebook” que fueron objeto de sanción, se indicaba que: “[e]sta falta de respeto hacia dicho gobierno [el marroquí], se trata de un ideal radicalmente opuesto a los valores del banco y la imagen que este quiere proyectar al exterior, generando confusión entre los clientes y una opinión o pensamiento generalizado del banco, que ocasionó y puede seguir provocando numerosos daños a la entidad, desde un punto de vista reputacional como de resultados económicos”. Y, aun cuando era plenamente consciente de que el marco legislativo aplicable a la tipificación de la infracción laboral cometida era exclusivamente el derecho español, sin embargo, se añadía a renglón seguido que, en aras de demostrar la transgresión de la buena fe en la conducta del actor se consideraba necesario indicar que, “en aplicación del derecho marroquí, las conductas y declaraciones realizadas por el actor (en contra del Gobierno y del Banco) supondrían delitos que serían juzgados en el marco de un proceso penal (rebelión, secesión, sedición)”, de lo cual el trabajador era plenamente consciente.</w:t>
      </w:r>
    </w:p>
    <w:p w14:paraId="077B3FEF" w14:textId="77777777" w:rsidR="008D479B" w:rsidRDefault="008D479B" w:rsidP="008D479B">
      <w:pPr>
        <w:pStyle w:val="TextoNormal"/>
      </w:pPr>
    </w:p>
    <w:p w14:paraId="46F25A56" w14:textId="77777777" w:rsidR="008D479B" w:rsidRDefault="008D479B" w:rsidP="008D479B">
      <w:pPr>
        <w:pStyle w:val="TextoNormal"/>
      </w:pPr>
      <w:r>
        <w:t>Por sentencia núm. 525/2019, de 29 de mayo, de la Sala de lo Social del Tribunal Superior de Justicia de Madrid, se desestimó el recurso del actor y se estimó el formulado por la entidad bancaria. Tras rechazarse las revisiones fácticas interesadas por ambas partes (salvo en un extremo relativo a la suscripción de un acuerdo de desplazamiento, no relevante para el caso), la Sala entró a analizar las infracciones normativas denunciadas señalando que la entidad bancaria consideraba que la causa de despido imputada revestía la gravedad suficiente para despedir al actor y para que el despido fuese declarado procedente, y apoyaba la infracción (uso indebido de la imagen de la empresa) en el hecho declarado probado tercero de la sentencia de instancia, relativo a la “la asistencia e intervención personal del actor en una manifestación pública en Madrid en protesta por la situación en la región del Rif (Marruecos), de lo que obviamente era responsable el Gobierno marroquí”.</w:t>
      </w:r>
    </w:p>
    <w:p w14:paraId="0E1DD430" w14:textId="77777777" w:rsidR="008D479B" w:rsidRDefault="008D479B" w:rsidP="008D479B">
      <w:pPr>
        <w:pStyle w:val="TextoNormal"/>
      </w:pPr>
    </w:p>
    <w:p w14:paraId="000D4BA0" w14:textId="77777777" w:rsidR="008D479B" w:rsidRDefault="008D479B" w:rsidP="008D479B">
      <w:pPr>
        <w:pStyle w:val="TextoNormal"/>
      </w:pPr>
      <w:r>
        <w:t>La Sala hizo después referencia a lo constatado en el hecho probado sexto (publicaciones en la red social “Facebook”) para después destacar la importancia que tiene la “imagen” de la empresa como elemento diferenciador de la misma, al ser uno de los factores fundamentales para que el negocio se posicione en la mente de los clientes. A su juicio: (i) el recurrente (jefe de sucursal y, por ello, imagen visible de la entidad bancaria) abusó de la confianza en él depositada al usar su puesto de trabajo y la imagen corporativa de forma indebida, transgrediendo la buena fe contractual al poder ser atribuidas sus actuaciones personales al banco, sin contar con su consentimiento ni su conocimiento; (ii) “la causa base de la decisión adoptada por la empresa demandada para proceder a despedir disciplinariamente al actor […] fue la utilización que este hizo de la imagen del banco sin su autorización para promover y apoyar una causa no bancaria como era la pretensión de secesión e independencia de una parte del Reino de Marruecos: El Rif, utilizándose las instalaciones del mismo; dándoles cobertura mediática televisiva y utilizando expresiones, con la consecuente publicidad, sobre los gobernantes de su país tales como describirlos de ‘banda de delincuentes’”; y (iii) el alto cargo que ocupaba el actor en el banco (director para España) era de especial confianza y responsabilidad, por lo que, aunque se sintiese —como proclamaba— orgulloso de ser rifeño, le era exigible el cumplimiento de las obligaciones de su puesto de trabajo con especial diligencia y buena fe, dada la confianza que en él se había depositado, y, en especial, la trascendencia y repercusión de sus actos sobre la total actividad profesional de ese banco.</w:t>
      </w:r>
    </w:p>
    <w:p w14:paraId="3755B43E" w14:textId="77777777" w:rsidR="008D479B" w:rsidRDefault="008D479B" w:rsidP="008D479B">
      <w:pPr>
        <w:pStyle w:val="TextoNormal"/>
      </w:pPr>
    </w:p>
    <w:p w14:paraId="02C91340" w14:textId="77777777" w:rsidR="008D479B" w:rsidRDefault="008D479B" w:rsidP="008D479B">
      <w:pPr>
        <w:pStyle w:val="TextoNormal"/>
      </w:pPr>
      <w:r>
        <w:t>En suma, cabía apreciar que el recurrente “se extralimitó en su cometido, que era de naturaleza laboral y profesional únicamente, actuando en otros ámbitos y sobre otras cuestiones que no eran las propias del banco ni las de un cargo de director”, y que al hacerlo “sin autorización, porque no la pidió”, aunque era consciente de su transcendencia y relevancia no profesional, quebrantó la buena fe contractual y defraudó la confianza que se le había otorgado. Su “fraudulenta” conducta resultaba incompatible y materialmente contraria al principio de buena fe, al haber utilizado las instalaciones del banco para un uso no bancario, profiriendo expresiones vejatorias para los gobernantes marroquíes en un asunto de interés y transcendencia públicas. Y, por ello, la sanción impuesta fue proporcionada a la comisión de una infracción grave y culpable de los deberes laborales, lo que había de conducir a la desestimación del recurso de suplicación formulado por el actor y a la estimación del interpuesto por la empresa demandada, mediante la revocación de la sentencia recurrida y la calificación de la procedencia del despido.</w:t>
      </w:r>
    </w:p>
    <w:p w14:paraId="110A9F69" w14:textId="77777777" w:rsidR="008D479B" w:rsidRDefault="008D479B" w:rsidP="008D479B">
      <w:pPr>
        <w:pStyle w:val="TextoNormal"/>
      </w:pPr>
    </w:p>
    <w:p w14:paraId="23A7B0AD" w14:textId="09DD2AB5" w:rsidR="008D479B" w:rsidRDefault="008D479B" w:rsidP="008D479B">
      <w:pPr>
        <w:pStyle w:val="TextoNormal"/>
      </w:pPr>
      <w:r>
        <w:t>e) Recurso de casación: disconforme con la anterior resolución judicial, el actor interpuso recurso de casación para la unificación de doctrina (núm. 3594-2019), que fue inadmitido a trámite por auto de 11 de junio de 2020, de la Sala de lo Social del Tribunal Supremo, por falta de contradicción.</w:t>
      </w:r>
    </w:p>
    <w:p w14:paraId="414A6A4B" w14:textId="77777777" w:rsidR="008D479B" w:rsidRDefault="008D479B" w:rsidP="008D479B">
      <w:pPr>
        <w:pStyle w:val="TextoNormal"/>
      </w:pPr>
    </w:p>
    <w:p w14:paraId="797B4B53" w14:textId="77777777" w:rsidR="008D479B" w:rsidRDefault="008D479B" w:rsidP="008D479B">
      <w:pPr>
        <w:pStyle w:val="TextoNormal"/>
      </w:pPr>
      <w:r w:rsidRPr="008D479B">
        <w:rPr>
          <w:rStyle w:val="NumeroAFNegritaCaracter"/>
        </w:rPr>
        <w:t>3</w:t>
      </w:r>
      <w:r>
        <w:t>. En la demanda de amparo se afirma que tanto la sentencia núm. 525/2019, de 29 de mayo, de la Sala de lo Social del Tribunal Superior de Justicia de Madrid, así como el auto de la Sala de lo Social del Tribunal Supremo de 11 de junio de 2020 (en la medida en que la confirmó), vulneran el derecho a la libertad ideológica (art. 16.1 CE). Se recuerda que, en casos como el que se plantea, el Tribunal Constitucional no puede limitarse a comprobar simplemente la razonabilidad de la motivación judicial, sino que ha de examinar si la ponderación realizada resulta o no respetuosa con la definición y valoración constitucional del derecho fundamental en juego (STC 89/2018, de 6 de septiembre).</w:t>
      </w:r>
    </w:p>
    <w:p w14:paraId="188F3783" w14:textId="77777777" w:rsidR="008D479B" w:rsidRDefault="008D479B" w:rsidP="008D479B">
      <w:pPr>
        <w:pStyle w:val="TextoNormal"/>
      </w:pPr>
    </w:p>
    <w:p w14:paraId="1AD36136" w14:textId="77777777" w:rsidR="008D479B" w:rsidRDefault="008D479B" w:rsidP="008D479B">
      <w:pPr>
        <w:pStyle w:val="TextoNormal"/>
      </w:pPr>
      <w:r>
        <w:t>A la vista de lo anterior, se niega que la resolución impugnada haya realizado una ponderación adecuada al declarar la procedencia del despido, cuando del contexto y de las circunstancias relevantes del caso se deducía claramente que el verdadero motivo del despido fue el ejercicio del derecho a la libertad ideológica, y no la causa alegada tras la prolongada investigación a la que fue sometido el recurrente. A su juicio, las razones esgrimidas en la carta de despido, aunque ciertas, fueron construidas y elaboradas por la empresa con la intención de cimentar un despido que pudiera tener visos de procedencia, enmascarando, de ese modo, el motivo real al que obedecía, esto es, haber acudido a una manifestación de índole político que se oponía frontalmente a los postulados conservadores y tradicionales de la entidad bancaria empleadora. Se estaría, en definitiva, ante un acto empresarial atentatorio de la libertad ideológica, que derivó en una sanción disciplinaria en forma de despido merecedora de la calificación de nulidad.</w:t>
      </w:r>
    </w:p>
    <w:p w14:paraId="0503D604" w14:textId="77777777" w:rsidR="008D479B" w:rsidRDefault="008D479B" w:rsidP="008D479B">
      <w:pPr>
        <w:pStyle w:val="TextoNormal"/>
      </w:pPr>
    </w:p>
    <w:p w14:paraId="4D65CFA2" w14:textId="0E5A03F7" w:rsidR="008D479B" w:rsidRDefault="008D479B" w:rsidP="008D479B">
      <w:pPr>
        <w:pStyle w:val="TextoNormal"/>
      </w:pPr>
      <w:r>
        <w:t>Por último, se concluye el escrito de demanda afirmando la especial trascendencia constitucional del recurso formulado, al plantearse una faceta sobre el derecho a la libertad ideológica sobre el que no hay doctrina constitucional, en la medida que permitiría a este tribunal impedir injerencias empresariales como la denunciada, limitativas o neutralizadoras de la vertiente externa de la libertad ideológica del trabajador.</w:t>
      </w:r>
    </w:p>
    <w:p w14:paraId="51574E44" w14:textId="77777777" w:rsidR="008D479B" w:rsidRDefault="008D479B" w:rsidP="008D479B">
      <w:pPr>
        <w:pStyle w:val="TextoNormal"/>
      </w:pPr>
    </w:p>
    <w:p w14:paraId="6077F92D" w14:textId="267558E1" w:rsidR="008D479B" w:rsidRDefault="008D479B" w:rsidP="008D479B">
      <w:pPr>
        <w:pStyle w:val="TextoNormal"/>
      </w:pPr>
      <w:r w:rsidRPr="008D479B">
        <w:rPr>
          <w:rStyle w:val="NumeroAFNegritaCaracter"/>
        </w:rPr>
        <w:t>4</w:t>
      </w:r>
      <w:r>
        <w:t>. La Sección Tercera de este tribunal, mediante providencia de 10 de febrero de 2021 acordó la admisión a trámite del recurso al apreciar que su contenido justificaba una decisión sobre el fondo por parte del Tribunal por su especial trascendencia constitucional [art. 50.1 de la Ley Orgánica del Tribunal Constitucional (LOTC)], al plantear un problema o una faceta de un derecho fundamental sobre el que no había doctrina [STC 155/2009, de 25 de junio, FJ 2 a)]. Acordó igualmente dirigir atenta comunicación a la Sala de lo Social del Tribunal Supremo, a la Sección Segunda de la Sala de lo Social del Tribunal Superior de Justicia de Madrid, así como al Juzgado de lo Social núm. 27 de Madrid, a fin de que, en plazo que no excediera de diez días, remitiesen certificación o fotocopia adverada de las actuaciones correspondientes, respectivamente, al recurso de casación núm. 3594-2019, al recurso de suplicación núm. 19-2019, y a los autos de despido núm. 1067-2017, debiendo previamente emplazarse por ese último, para que en el plazo de diez días pudieran comparecer en el recurso de amparo, si lo deseaban, a quienes hubieran sido parte en el procedimiento, excepto la parte recurrente en amparo.</w:t>
      </w:r>
    </w:p>
    <w:p w14:paraId="5C46F722" w14:textId="77777777" w:rsidR="008D479B" w:rsidRDefault="008D479B" w:rsidP="008D479B">
      <w:pPr>
        <w:pStyle w:val="TextoNormal"/>
      </w:pPr>
    </w:p>
    <w:p w14:paraId="3C2D7BC0" w14:textId="37F137A9" w:rsidR="008D479B" w:rsidRDefault="008D479B" w:rsidP="008D479B">
      <w:pPr>
        <w:pStyle w:val="TextoNormal"/>
      </w:pPr>
      <w:r w:rsidRPr="008D479B">
        <w:rPr>
          <w:rStyle w:val="NumeroAFNegritaCaracter"/>
        </w:rPr>
        <w:t>5</w:t>
      </w:r>
      <w:r>
        <w:t>. Con fecha de 10 de marzo de 2021 tuvo su entrada en el registro de este tribunal escrito por el que el procurador de los tribunales don Isidro Orquín Cedenilla se personó en nombre del Banque Chaabi du Maroc, sucursal en España.</w:t>
      </w:r>
    </w:p>
    <w:p w14:paraId="2ECF29E4" w14:textId="77777777" w:rsidR="008D479B" w:rsidRDefault="008D479B" w:rsidP="008D479B">
      <w:pPr>
        <w:pStyle w:val="TextoNormal"/>
      </w:pPr>
    </w:p>
    <w:p w14:paraId="3D12CA10" w14:textId="3BE3B5BA" w:rsidR="008D479B" w:rsidRDefault="008D479B" w:rsidP="008D479B">
      <w:pPr>
        <w:pStyle w:val="TextoNormal"/>
      </w:pPr>
      <w:r w:rsidRPr="008D479B">
        <w:rPr>
          <w:rStyle w:val="NumeroAFNegritaCaracter"/>
        </w:rPr>
        <w:t>6</w:t>
      </w:r>
      <w:r>
        <w:t>. Por diligencia de ordenación de 13 de abril de 2021, se tuvo por personado y parte en el procedimiento al citado procurador en nombre y representación del Banque Chaabi du Maroc, y se dio vista de las actuaciones recibidas a las partes personas y al Ministerio Fiscal por plazo común de veinte días, para que pudieran presentar las alegaciones que estimasen pertinentes de conformidad con el art. 52.1 LOTC.</w:t>
      </w:r>
    </w:p>
    <w:p w14:paraId="3390EB41" w14:textId="77777777" w:rsidR="008D479B" w:rsidRDefault="008D479B" w:rsidP="008D479B">
      <w:pPr>
        <w:pStyle w:val="TextoNormal"/>
      </w:pPr>
    </w:p>
    <w:p w14:paraId="1B7D77E5" w14:textId="7566F255" w:rsidR="008D479B" w:rsidRDefault="008D479B" w:rsidP="008D479B">
      <w:pPr>
        <w:pStyle w:val="TextoNormal"/>
      </w:pPr>
      <w:r w:rsidRPr="008D479B">
        <w:rPr>
          <w:rStyle w:val="NumeroAFNegritaCaracter"/>
        </w:rPr>
        <w:t>7</w:t>
      </w:r>
      <w:r>
        <w:t>. Por escrito de 7 de mayo de 2021, la procuradora de los tribunales doña Carmen Armesto Tinoco, en nombre y representación del recurrente en amparo, evacuó el trámite conferido y se ratificó en lo expuesto en su escrito inicial de demanda, solicitando la estimación del recurso de amparo.</w:t>
      </w:r>
    </w:p>
    <w:p w14:paraId="01A805CC" w14:textId="77777777" w:rsidR="008D479B" w:rsidRDefault="008D479B" w:rsidP="008D479B">
      <w:pPr>
        <w:pStyle w:val="TextoNormal"/>
      </w:pPr>
    </w:p>
    <w:p w14:paraId="2BFDDDF2" w14:textId="77777777" w:rsidR="008D479B" w:rsidRDefault="008D479B" w:rsidP="008D479B">
      <w:pPr>
        <w:pStyle w:val="TextoNormal"/>
      </w:pPr>
      <w:r w:rsidRPr="008D479B">
        <w:rPr>
          <w:rStyle w:val="NumeroAFNegritaCaracter"/>
        </w:rPr>
        <w:t>8</w:t>
      </w:r>
      <w:r>
        <w:t>. Por escrito que tuvo entrada en el registro de este tribunal con fecha de 13 de mayo de 2021, el Ministerio Fiscal formuló sus alegaciones. Antes de examinar el concreto motivo en el que se fundamenta el recurso de amparo comenzó recordando que: (i) los derechos fundamentales del trabajador no desparecen con motivo del vínculo laboral existente con la empresa (STC 146/2019, de 25 de noviembre), ya que la celebración del contrato de trabajo no implica para el trabajador la privación de los derechos que la Constitución le reconoce como ciudadano; (ii) el principio de buena fe, no obstante, opera como un límite adicional que modula el ejercicio de esos derechos (STC 106/1996, de 12 de junio), si bien la modulación ha de ser la estrictamente necesaria al no existir un deber genérico de lealtad con su significado omnicomprensivo de sujeción del trabajador al interés empresarial (SSTC 120/1983, de 15 de diciembre, y 4/1996, de 16 de enero); (iii) los órganos judiciales deben ponderar los derechos en conflicto atendiendo a la proporcionalidad y a los diversos intereses que están en juego (STC 170/2013, de 7 de octubre, y SSTEDH de 29 de febrero de 2000, de 21 de septiembre de 2011 y de 5 de noviembre de 2019); (iv) el Tribunal se ha pronunciado sobre la libertad ideológica en el ámbito de las relaciones laborales en las SSTC 47/1985, de 27 de marzo (que declaró la nulidad de un despido de un trabajador de un centro educativo por discrepancia con su ideario), y 51/2011, de 14 de abril (en la que también apreció la vulneración del citado derecho fundamental en el caso del despido de una profesora de religión por haber contraído matrimonio civil con un divorciado); (v) existe una vinculación entre la libertad ideológica y la libertad de expresión (STC 190/2020, de 1 de octubre); (vi) el derecho de reunión (art. 21 CE) es una manifestación colectiva de la libertad de expresión ejercitada a través de una asociación transitoria (SSTC 38/2009, de 9 de febrero, y 170/2008, de 15 de diciembre) y el derecho de manifestación es una vertiente del de reunión (STC 172/2020, de 19 de noviembre), de lo que puede deducirse que cuando sirva de instrumento para expresar una ideología, los participantes en una manifestación estarán haciendo uso de su libertad ideológica al acudir a la reunión o manifestación; (vii) cabe apreciar la existencia de la vulneración de un derecho fundamental sustantivo (la libertad ideológica, en el presente caso) cuando los órganos judiciales ignoren la dimensión constitucional de la cuestión que se someta a su enjuiciamiento (STC 26/2011, de 14 de marzo); (viii) en los supuestos de despidos por vulneración de derechos fundamentales se invierte la carga de la prueba (SSTC 183/2015, de 10 de septiembre, y 51/2021, de 15 de marzo); y (ix) este tribunal queda vinculado por los hechos declarados probados en la jurisdicción ordinaria (STC 165/2020, de 16 de noviembre).</w:t>
      </w:r>
    </w:p>
    <w:p w14:paraId="1F5D90B4" w14:textId="77777777" w:rsidR="008D479B" w:rsidRDefault="008D479B" w:rsidP="008D479B">
      <w:pPr>
        <w:pStyle w:val="TextoNormal"/>
      </w:pPr>
    </w:p>
    <w:p w14:paraId="00984FAD" w14:textId="77777777" w:rsidR="008D479B" w:rsidRDefault="008D479B" w:rsidP="008D479B">
      <w:pPr>
        <w:pStyle w:val="TextoNormal"/>
      </w:pPr>
      <w:r>
        <w:t>Una vez expuesta la anterior doctrina, recuerda el fiscal la fundamentación de la sentencia del juzgado (para apreciar la lesión constitucional) y la del tribunal superior de justicia (para rechazarla), destacando que este último, para justificar la infracción del principio de buena fe y el abuso de confianza en el que habría incurrido el actor, hizo referencia a datos que no resultaban de los hechos probados, al menos, no exactamente. Precisa, en tal sentido, que la sentencia recurrida señaló que el demandante era “director para España”, lo que no era coincidente con los hechos probados que lo calificaban solo de “director de la oficina en Madrid”, afirmación incluso contraria a lo que se indicaba en la propia carta de despido, que lo calificaba de “jefe de oficina”, aunque fuera “la más importante de las cuatro que hay en España”. Asimismo, la sentencia impugnada señaló que la causa política que el demandante apoyaba era “la pretensión de secesión e independencia de una parte del Reino de Marruecos: El Rif”, lo que no resultaba de los hechos probados, siendo contradictorio con la frase “El Rif no es separatista”, que el demandante publicó en su perfil público de la red social según los hechos probados. Además, la sentencia mencionaba la “cobertura televisiva”, cuando no constaba específicamente en los hechos probados. En ellos solo había una referencia genérica a la “gran difusión en los medios de comunicación”, con relación a la manifestación en la que participó el actor, que no se mencionaba, sin embargo, en la carta de despido.</w:t>
      </w:r>
    </w:p>
    <w:p w14:paraId="0C776399" w14:textId="77777777" w:rsidR="008D479B" w:rsidRDefault="008D479B" w:rsidP="008D479B">
      <w:pPr>
        <w:pStyle w:val="TextoNormal"/>
      </w:pPr>
    </w:p>
    <w:p w14:paraId="0EE815DA" w14:textId="77777777" w:rsidR="008D479B" w:rsidRDefault="008D479B" w:rsidP="008D479B">
      <w:pPr>
        <w:pStyle w:val="TextoNormal"/>
      </w:pPr>
      <w:r>
        <w:t>Precisado lo que antecede, recuerda el fiscal que la demanda de amparo considera acertada la valoración del juzgador de instancia y no niega la existencia de las fotografías en la red social, ni discute tampoco que las mismas pudieran ser motivo de despido, sino que lo que defiende es que el motivo verdadero del despido fue su asistencia a la manifestación y su adscripción ideológica. Destaca a este respecto que la empresa no hizo mención en la carta de despido de la asistencia a la manifestación, pero que resultaba contradictorio con ello el que en el recurso de suplicación se dijera que el uso indebido de los medios de la empresa se apoyaba en el hecho tercero de la sentencia, que consistía, sustancialmente, en la asistencia del actor a la manifestación pública en Madrid en protesta por la situación en la región del Rif. Tal referencia a la asistencia a la manifestación que realizaba la sentencia impugnada hacía necesario, a juicio del fiscal, pronunciarse sobre si supuso un legítimo ejercicio de la libertad ideológica y si fue ese el verdadero motivo del despido. Pues bien, señala a este respecto que el recurrente hizo un uso legítimo de su libertad ideológica, en relación con la libertad de reunión, al acudir, fuera de las horas de trabajo y sin utilizar en ese acto ninguna imagen del banco, a la mencionada manifestación. Acudió a ella, no como empleado del banco o director de sucursal, sino como persona ejerciendo su derecho, por lo que no le era aplicable en tal actuación ni siquiera el “límite débil” derivado de la relación laboral, al que se refiere la doctrina constitucional. Sería contrario tanto a ese derecho, como al de reunión y manifestación, el que por el hecho de ser el “jefe de la oficina más importante de las cuatro que hay en España”, su director no pudiera acudir a título personal, a una manifestación de índole político. Resulta, en suma, contrario al derecho fundamental, despedir al trabajador por la mera discrepancia con las ideas políticas de la dirección del banco, máxime cuando este no tiene un ideario definido, como ocurría en el caso de los centros de enseñanza católicos a los que la doctrina constitucional hace referencia.</w:t>
      </w:r>
    </w:p>
    <w:p w14:paraId="70969564" w14:textId="77777777" w:rsidR="008D479B" w:rsidRDefault="008D479B" w:rsidP="008D479B">
      <w:pPr>
        <w:pStyle w:val="TextoNormal"/>
      </w:pPr>
    </w:p>
    <w:p w14:paraId="69616AB1" w14:textId="77777777" w:rsidR="008D479B" w:rsidRDefault="008D479B" w:rsidP="008D479B">
      <w:pPr>
        <w:pStyle w:val="TextoNormal"/>
      </w:pPr>
      <w:r>
        <w:t>Sentado lo anterior, pasa a analizar si hay indicios de que el despido tuvo por causa la asistencia a la manifestación de índole político, y si la empresa desvirtuó los indicios aportados por el actor. Considera el fiscal a estos efectos que eran indicios de la vulneración el que las actuaciones contra el actor (suspensión de empleo y apertura de una investigación) se iniciaran en cuanto se tuvo conocimiento de su asistencia a la manifestación (hecho probado tercero de la sentencia de instancia) y el que la directora en España de la entidad bancaria (doña Leyla Hayat) afirmase que por eso recibió desde Marruecos la orden de investigarlo (afirmación con carácter fáctico en el fundamento de derecho segundo de la misma sentencia). De ello cabría deducir que el motivo del despido fue la asistencia del actor a esa manifestación, a través de la cual mantuvo una posición ideológica que era crítica con la actuación de las autoridades de Marruecos y con la monarquía marroquí a la que, según los hechos probados, era próximo el banco para el que trabajaba. En consecuencia, aunque nadie duda de la veracidad de los hechos mencionados en la carta de despido, la discrepancia versaba en torno a si eran o no el motivo real del despido, y resulta que, si bien la parte demandada probó la veracidad de tales hechos, no consiguió acreditar que el motivo real estuviera desvinculado del legítimo ejercicio de la libertad ideológica del trabajador. En suma, la publicación de las imágenes en las redes sociales fue tan solo el motivo aparente de su despido, no pudiéndose disociar este último del previo ejercicio de un derecho fundamental (la libertad ideológica, expresada con la asistencia a la manifestación en defensa de los derechos de los ciudadanos del Valle del Rif).</w:t>
      </w:r>
    </w:p>
    <w:p w14:paraId="156E8AEB" w14:textId="77777777" w:rsidR="008D479B" w:rsidRDefault="008D479B" w:rsidP="008D479B">
      <w:pPr>
        <w:pStyle w:val="TextoNormal"/>
      </w:pPr>
    </w:p>
    <w:p w14:paraId="5CD04858" w14:textId="77777777" w:rsidR="008D479B" w:rsidRDefault="008D479B" w:rsidP="008D479B">
      <w:pPr>
        <w:pStyle w:val="TextoNormal"/>
      </w:pPr>
      <w:r>
        <w:t>La anterior conclusión se alcanza valorando las siguientes circunstancias: (i) las imágenes en las que se apoyó el despido fueron colgadas en el perfil público del trabajador en una de las redes sociales más utilizadas cinco meses antes de que se iniciase la investigación, sin que la empresa hubiera actuado al respecto; (ii) la investigación duró casi dos meses, sin llegar a mencionar, ni al inicio ni en las subsiguientes prórrogas, el objeto de lo investigado, lo que permitiría presumir una intención de ocultación de la causa cierta del despido (esto es, como dijo el juzgado, encontrar una causa en la que fundar el despido ya decidido por la asistencia a la manifestación); (iii) la gran difusión en los medios de comunicación de Marruecos de la participación del trabajador en la manifestación, junto con la proximidad del banco a la monarquía marroquí; y (iv) la mención en el recurso de suplicación de la asistencia a la manifestación del actor cuando no era esa la causa de despido alegada en la carta de despido. A pesar de todo ello, el tribunal superior de justicia no llevó a cabo una ponderación del derecho fundamental cuya vulneración se alegaba, ignorando la dimensión constitucional de la cuestión controvertida. Ciertamente, aunque la infracción constitucional había sido apreciada por el juzgado en la sentencia que se revocaba, la sala resolvió tan solo con argumentos de mera legalidad ordinaria, limitándose a citar únicamente una sentencia relativa a un derecho fundamental no implicado (la libertad de información, en un asunto de índole penal).</w:t>
      </w:r>
    </w:p>
    <w:p w14:paraId="2EDB3609" w14:textId="77777777" w:rsidR="008D479B" w:rsidRDefault="008D479B" w:rsidP="008D479B">
      <w:pPr>
        <w:pStyle w:val="TextoNormal"/>
      </w:pPr>
    </w:p>
    <w:p w14:paraId="79127189" w14:textId="5AD5462D" w:rsidR="008D479B" w:rsidRDefault="008D479B" w:rsidP="008D479B">
      <w:pPr>
        <w:pStyle w:val="TextoNormal"/>
      </w:pPr>
      <w:r>
        <w:t>Por consiguiente, el fiscal concluye su escrito de alegaciones afirmando que el despido del recurrente se produjo con vulneración de su derecho a la libertad ideológica ya que, habiendo aportado indicios de su vulneración, sin embargo, no fueron desvirtuados por la empresa. Interesa, por consiguiente, que se otorgue el amparo, anulándose las resoluciones judiciales impugnadas y declarando la firmeza de la sentencia del Juzgado de lo Social núm. 27 de Madrid, dictada en los autos núm. 1069-2017, por haberse vulnerado el “derecho a la libertad sindical en relación el derecho de huelga (art. 28.1 en relación con el art. 28.2 CE)”.</w:t>
      </w:r>
    </w:p>
    <w:p w14:paraId="5AE125BA" w14:textId="77777777" w:rsidR="008D479B" w:rsidRDefault="008D479B" w:rsidP="008D479B">
      <w:pPr>
        <w:pStyle w:val="TextoNormal"/>
      </w:pPr>
    </w:p>
    <w:p w14:paraId="7D9623F2" w14:textId="77777777" w:rsidR="008D479B" w:rsidRDefault="008D479B" w:rsidP="008D479B">
      <w:pPr>
        <w:pStyle w:val="TextoNormal"/>
      </w:pPr>
      <w:r w:rsidRPr="008D479B">
        <w:rPr>
          <w:rStyle w:val="NumeroAFNegritaCaracter"/>
        </w:rPr>
        <w:t>9</w:t>
      </w:r>
      <w:r>
        <w:t>. Con fecha de 19 de mayo de 2021, tuvo entrada en el registro de este tribunal el escrito de alegaciones del Banque Chaabi du Maroc (sucursal en España). Tras una síntesis de los hechos, se subraya que el relato fáctico delimitado en la instancia quedó inalterado en suplicación, por lo que nos encontramos ante unos hechos pacíficos. Destaca la importancia de sus antecedentes de hecho sexto y séptimo que ponen de manifiesto los incumplimientos laborales del actor, que precipitaron la extinción de su relación laboral. A pesar de ello, el juzgador de instancia consideró que la causa determinante del despido no fueron tales infracciones laborales sino la asistencia a una manifestación pública, dejando de valorar el contenido de la carta de despido. No puede, sin embargo, establecerse una vinculación directa entre la decisión de despido y la asistencia a la referida manifestación, como tampoco resulta viable una revisión del relato fáctico en sede de amparo que no ha sido cuestionado en el procedimiento, conforme a lo señalado en la sentencia de este tribunal de 5 de marzo de 2018.</w:t>
      </w:r>
    </w:p>
    <w:p w14:paraId="5C123C48" w14:textId="77777777" w:rsidR="008D479B" w:rsidRDefault="008D479B" w:rsidP="008D479B">
      <w:pPr>
        <w:pStyle w:val="TextoNormal"/>
      </w:pPr>
    </w:p>
    <w:p w14:paraId="20EA80D0" w14:textId="77777777" w:rsidR="008D479B" w:rsidRDefault="008D479B" w:rsidP="008D479B">
      <w:pPr>
        <w:pStyle w:val="TextoNormal"/>
      </w:pPr>
      <w:r>
        <w:t>Dicho lo que antecede, se señala que el tribunal superior de justicia analizó la causa expuesta en la carta de despido, que era la fuente principal de exteriorización de la voluntad extintiva empresarial, y tras constatar que tales hechos habían resultado acreditados, los calificó como muy graves, considerando ajustada a derecho la decisión de despido disciplinario, sin que pueda otorgarse a la carta de despido el calificativo de “instrumental”, como hizo el juzgado de lo social. Insiste en las infracciones cometidas por el actor: transgresión de la buena fe contractual y abuso de confianza, materializados en la utilización de la imagen de ese banco para la promoción y apoyo de una causa política, utilizando el logo, imagen e instalaciones empresariales sin informar ni solicitar autorización. Destaca el cargo que ostentaba el actor (director de la sucursal), esto es, un puesto de especial confianza, lo que agravaba el incumplimiento al tener un mayor “desvalor” conforme aprecia, en tales casos, la doctrina judicial. En suma, el verdadero motivo de la extinción no fue su participación en la manifestación sino la “externalización de su posición en un conflicto ideológico, utilizando el ‘altavoz’ del banco, y sirviéndose para ello de su logo, su imagen y su infraestructura, al realizar dichas publicaciones en su puesto de trabajo”. Se recuerda también que conforme ha dicho este tribunal en su sentencia de 17 de julio de 1989, los derechos fundamentales no son ilimitados ni justifican el incumplimiento grave y culpable de un empleado, como ocurre en este caso. Por consiguiente, se considera acertada la sentencia de suplicación que apreció que la conducta dolosa del actor supuso un quebranto de la buena fe contractual que justificaba el despido del que fue objeto.</w:t>
      </w:r>
    </w:p>
    <w:p w14:paraId="79404B90" w14:textId="77777777" w:rsidR="008D479B" w:rsidRDefault="008D479B" w:rsidP="008D479B">
      <w:pPr>
        <w:pStyle w:val="TextoNormal"/>
      </w:pPr>
    </w:p>
    <w:p w14:paraId="77DB48DF" w14:textId="77777777" w:rsidR="008D479B" w:rsidRDefault="008D479B" w:rsidP="008D479B">
      <w:pPr>
        <w:pStyle w:val="TextoNormal"/>
      </w:pPr>
      <w:r>
        <w:t xml:space="preserve">Una vez aclarado lo anterior, se ponen de manifiesto las deficiencias que se advierten en el recurso de amparo y que deberían conducir a su inadmisión o desestimación. En este sentido se precisa que, aun cuando en la vía judicial el actor sostuvo la vulneración de hasta cinco derechos fundamentales, en el recurso de amparo solo se refiere a la libertad ideológica, lo que determina que el análisis haya de limitarse a ese derecho. También se señala que el recurso adolece de un grave defecto de planteamiento en tanto que la parte actora no lo habría articulado correctamente al no evidenciar el conflicto existente entre derechos y libertades (libertad ideológica y libertad de empresa), sobre el que habría que realizar el juicio de proporcionalidad. No se habrían expresado los motivos por los que se habría infringido tal derecho, ni delimitado, tampoco, su alcance. Al haberse omitido las razones en las que se justifica la eventual vulneración, se ha limitado el alcance de las alegaciones que esa parte puede realizar al respecto, lo que permite no solo negar la infracción constitucional aducida, sino también la concurrencia del requisito de la especial trascendencia constitucional. En cualquier caso, se considera que el recurrente en realidad no estaría cuestionando la vulneración de ese derecho sustantivo sino más bien del derecho a la tutela judicial efectiva (art. 24 CE), al discutir la valoración realizada por el tribunal </w:t>
      </w:r>
      <w:r w:rsidRPr="008D479B">
        <w:rPr>
          <w:i/>
        </w:rPr>
        <w:t>ad quem</w:t>
      </w:r>
      <w:r>
        <w:t xml:space="preserve"> de las circunstancias concurrentes en el procedimiento de despido. Al no haber alegado la infracción de tal precepto, estaríamos ante un defecto insubsanable que habría de determinar la inadmisión del recurso o, en su caso, la desestimación por carencia de objeto.</w:t>
      </w:r>
    </w:p>
    <w:p w14:paraId="12C91D87" w14:textId="77777777" w:rsidR="008D479B" w:rsidRDefault="008D479B" w:rsidP="008D479B">
      <w:pPr>
        <w:pStyle w:val="TextoNormal"/>
      </w:pPr>
    </w:p>
    <w:p w14:paraId="34536007" w14:textId="77777777" w:rsidR="008D479B" w:rsidRDefault="008D479B" w:rsidP="008D479B">
      <w:pPr>
        <w:pStyle w:val="TextoNormal"/>
      </w:pPr>
      <w:r>
        <w:t>Con carácter subsidiario, y solo para el caso de que este tribunal no acoja la petición de inadmisión del recurso, pasa a analizar el Banque Chaabi du Maroc la vulneración del derecho a la libertad ideológica (art. 16 CE), reprochando nuevamente a la parte recurrente la falta de concreción del acto supuestamente lesivo, lo que le provoca importantes dificultades de defensa. Recuerda también el alcance revisor de este tribunal, sujeto a los hechos declarados probados (sentencias de este tribunal de 18 de enero de 1993 y de 6 de marzo de 2018) y, tras ello, delimita el concepto del derecho fundamental con base a la doctrina constitucional y su alcance dentro del ámbito laboral. Trasladando al caso de autos tal doctrina, señala que resulta evidente que las manifestaciones hechas por el recurrente haciendo uso de medios empresariales no guardaban relación alguna con sus intereses laborales, como tampoco la manifestación a la que acudió (si bien esta última ha de quedar necesariamente fuera del ámbito del conocimiento del recurso). Añade que los derechos fundamentales del trabajador pueden ser modulados en el ámbito laboral por el principio de buena fe contractual y que el recurrente no ostentaba un derecho indiscriminado y absoluto a realizar manifestaciones políticas en el marco de su relación de trabajo amparándose en la libertad ideológica. E insiste en que el aspecto clave no es la concreta ideológica del recurrente o un determinado posicionamiento político en su esfera individual, sino la utilización de los medios empresariales para realizar comentarios políticos. De este modo, el banco no habría vulnerado los derechos fundamentales del actor, y la sentencia impugnada (que declaró la procedencia del despido) no habría provocado tampoco la infracción del art. 16 de la Constitución.</w:t>
      </w:r>
    </w:p>
    <w:p w14:paraId="43A523A2" w14:textId="77777777" w:rsidR="008D479B" w:rsidRDefault="008D479B" w:rsidP="008D479B">
      <w:pPr>
        <w:pStyle w:val="TextoNormal"/>
      </w:pPr>
    </w:p>
    <w:p w14:paraId="35886C62" w14:textId="441E7C86" w:rsidR="008D479B" w:rsidRDefault="008D479B" w:rsidP="008D479B">
      <w:pPr>
        <w:pStyle w:val="TextoNormal"/>
      </w:pPr>
      <w:r>
        <w:t>A continuación, se trae a colación la sentencia de este tribunal de 10 de mayo de 2021 (que enjuició los comentarios publicados a través de “Facebook” sobre la muerte de un torero), que parte de la base de que el ejercicio de la libertad de expresión no puede servir de excusa para el insulto, ni tampoco ser instrumento para menoscabar la dignidad del ser humano y su propio valor como persona. Tal doctrina debería servir como parámetro interpretativo para la resolución del presente recurso de amparo, toda vez que los incumplimientos del trabajador (no controvertidos), a pesar de no ser de “interés vinculado a la actividad laboral”, sí se realizaron desde el “altavoz” del banco, utilizando sus medios. En otras palabras, si la libertad de expresión no ampara —según la sentencia señalada— determinados comentarios, incluso en la esfera del desarrollo individual, una superior modulación podrá sufrir el derecho fundamental cuando la actuación se produce en el seno de la relación laboral y con incumplimientos acreditados en ese concreto marco. La tutela de la libertad ideológica del trabajador no puede implicar, en consecuencia, la vulneración del derecho al honor de esa entidad bancaria, por asociarse y vincularse al mismo, como propias, una serie de declaraciones políticas realizadas por su director, considerando, en definitiva, plenamente ajustadas a derecho la sentencia y auto recurridos.</w:t>
      </w:r>
    </w:p>
    <w:p w14:paraId="5C004550" w14:textId="77777777" w:rsidR="008D479B" w:rsidRDefault="008D479B" w:rsidP="008D479B">
      <w:pPr>
        <w:pStyle w:val="TextoNormal"/>
      </w:pPr>
    </w:p>
    <w:p w14:paraId="0FC6BC12" w14:textId="5629CA71" w:rsidR="008D479B" w:rsidRDefault="008D479B" w:rsidP="008D479B">
      <w:pPr>
        <w:pStyle w:val="TextoNormal"/>
      </w:pPr>
      <w:r w:rsidRPr="008D479B">
        <w:rPr>
          <w:rStyle w:val="NumeroAFNegritaCaracter"/>
        </w:rPr>
        <w:t>10</w:t>
      </w:r>
      <w:r>
        <w:t>. Por providencia de 29 de junio de 2023 se fijó para deliberación y votación de la presente sentencia el día 3 de julio de 2023.</w:t>
      </w:r>
    </w:p>
    <w:p w14:paraId="17A51E60" w14:textId="77777777" w:rsidR="008D479B" w:rsidRDefault="008D479B" w:rsidP="008D479B">
      <w:pPr>
        <w:pStyle w:val="TextoNormal"/>
      </w:pPr>
    </w:p>
    <w:p w14:paraId="5F095CFD" w14:textId="77777777" w:rsidR="008D479B" w:rsidRDefault="008D479B" w:rsidP="008D479B">
      <w:pPr>
        <w:pStyle w:val="TextoNormalNegritaCentrado"/>
        <w:keepNext/>
      </w:pPr>
      <w:r>
        <w:t>II. Fundamentos jurídicos</w:t>
      </w:r>
    </w:p>
    <w:p w14:paraId="52508241" w14:textId="75A1E634" w:rsidR="008D479B" w:rsidRDefault="008D479B" w:rsidP="008D479B">
      <w:pPr>
        <w:pStyle w:val="TextoNormalNegritaCentrado"/>
        <w:keepNext/>
      </w:pPr>
    </w:p>
    <w:p w14:paraId="3E358687" w14:textId="77777777" w:rsidR="008D479B" w:rsidRDefault="008D479B" w:rsidP="008D479B">
      <w:pPr>
        <w:pStyle w:val="TextoNormal"/>
      </w:pPr>
      <w:r w:rsidRPr="008D479B">
        <w:rPr>
          <w:rStyle w:val="NumeroAFNegritaCaracter"/>
        </w:rPr>
        <w:t>1</w:t>
      </w:r>
      <w:r>
        <w:t xml:space="preserve">. </w:t>
      </w:r>
      <w:r w:rsidRPr="008D479B">
        <w:rPr>
          <w:i/>
        </w:rPr>
        <w:t>Objeto del recurso y pretensiones de las partes</w:t>
      </w:r>
    </w:p>
    <w:p w14:paraId="355E66EE" w14:textId="77777777" w:rsidR="008D479B" w:rsidRDefault="008D479B" w:rsidP="008D479B">
      <w:pPr>
        <w:pStyle w:val="TextoNormal"/>
      </w:pPr>
    </w:p>
    <w:p w14:paraId="26400D87" w14:textId="77777777" w:rsidR="008D479B" w:rsidRDefault="008D479B" w:rsidP="008D479B">
      <w:pPr>
        <w:pStyle w:val="TextoNormal"/>
      </w:pPr>
      <w:r>
        <w:t>El presente recurso de amparo tiene por objeto determinar si el despido del recurrente (director de la sucursal en Madrid del Banque Chaabi du Maroc) vulneró su derecho a la libertad ideológica (art. 16.1 CE), al poder tener como motivo su participación en una manifestación pública en defensa de los ciudadanos del Valle del Rif en la que se denunciaba la situación política en la que se encontraba la región dentro del Reino de Marruecos. Su despido fue calificado como nulo por la sentencia núm. 217/2018, de 15 de junio, del Juzgado de lo Social núm. 27 de Madrid, al concurrir a juicio de este órgano judicial suficientes elementos indiciarios de la vulneración constitucional denunciada que no fueron desvirtuados por la demandada y que ponían de manifiesto que la causa esgrimida en la carta de despido por la entidad bancaria (próxima a la monarquía marroquí) enmascaraba el verdadero motivo del despido, a saber, el hecho de haber acudido a la citada manifestación.</w:t>
      </w:r>
    </w:p>
    <w:p w14:paraId="600BF6F1" w14:textId="77777777" w:rsidR="008D479B" w:rsidRDefault="008D479B" w:rsidP="008D479B">
      <w:pPr>
        <w:pStyle w:val="TextoNormal"/>
      </w:pPr>
    </w:p>
    <w:p w14:paraId="29953611" w14:textId="77777777" w:rsidR="008D479B" w:rsidRDefault="008D479B" w:rsidP="008D479B">
      <w:pPr>
        <w:pStyle w:val="TextoNormal"/>
      </w:pPr>
      <w:r>
        <w:t>La anterior resolución fue revocada por la sentencia núm. 525/2019, de 29 de mayo, de la Sala de lo Social del Tribunal Superior de Justicia de Madrid, que declaró la procedencia del despido al considerar concurrente la causa esgrimida en la carta de despido, como era, la transgresión de la buena fe contractual y el abuso de confianza, al haber hecho el trabajador un uso indebido de la imagen y medios de la empresa en redes sociales mediante la publicación de fotografías tomadas en su despacho con mensajes políticos superpuestos.</w:t>
      </w:r>
    </w:p>
    <w:p w14:paraId="505EEFAE" w14:textId="77777777" w:rsidR="008D479B" w:rsidRDefault="008D479B" w:rsidP="008D479B">
      <w:pPr>
        <w:pStyle w:val="TextoNormal"/>
      </w:pPr>
    </w:p>
    <w:p w14:paraId="3A9128AF" w14:textId="77777777" w:rsidR="008D479B" w:rsidRDefault="008D479B" w:rsidP="008D479B">
      <w:pPr>
        <w:pStyle w:val="TextoNormal"/>
      </w:pPr>
      <w:r>
        <w:t>El fiscal interesa la estimación del recurso de amparo planteado, en tanto que entiende que habiéndose aportado indicios suficientes de la vulneración no fueron rebatidos por la demandada, ya que no logró probar que el despido estuviera desvinculado del ejercicio del derecho a la libertad ideológica del recurrente en amparo. A su juicio, la sentencia del Tribunal Superior de Justicia de Madrid impugnada habría ignorado la dimensión constitucional de la cuestión planteada, limitándose a acoger la causa aparente del despido alegada por la empresa.</w:t>
      </w:r>
    </w:p>
    <w:p w14:paraId="433F5E94" w14:textId="77777777" w:rsidR="008D479B" w:rsidRDefault="008D479B" w:rsidP="008D479B">
      <w:pPr>
        <w:pStyle w:val="TextoNormal"/>
      </w:pPr>
    </w:p>
    <w:p w14:paraId="44C6C2AF" w14:textId="1823218C" w:rsidR="008D479B" w:rsidRDefault="008D479B" w:rsidP="008D479B">
      <w:pPr>
        <w:pStyle w:val="TextoNormal"/>
      </w:pPr>
      <w:r>
        <w:t xml:space="preserve">El Banque Chaabi du Maroc solicita, en primer lugar, la inadmisión del recurso al entender que carecería de objeto, pues se habría planteado de forma defectuosa, por cuanto que lo que realmente se estaría cuestionando sería la valoración realizada por el tribunal </w:t>
      </w:r>
      <w:r w:rsidRPr="008D479B">
        <w:rPr>
          <w:i/>
        </w:rPr>
        <w:t>ad quem</w:t>
      </w:r>
      <w:r>
        <w:t xml:space="preserve"> de las circunstancias del caso, lo que exigía la alegación de la eventual infracción del derecho a la tutela judicial efectiva (art. 24 CE). Además, con carácter subsidiario, insta la desestimación del recurso al negar la concurrencia de la infracción del precepto constitucional invocado (art. 16.1 CE), en la medida que el motivo de la extinción del contrato fue el expresado en la carta de despido, de suficiente gravedad para justificar la sanción impuesta.</w:t>
      </w:r>
    </w:p>
    <w:p w14:paraId="79F8FE71" w14:textId="77777777" w:rsidR="008D479B" w:rsidRDefault="008D479B" w:rsidP="008D479B">
      <w:pPr>
        <w:pStyle w:val="TextoNormal"/>
      </w:pPr>
    </w:p>
    <w:p w14:paraId="77D987FB" w14:textId="77777777" w:rsidR="008D479B" w:rsidRDefault="008D479B" w:rsidP="008D479B">
      <w:pPr>
        <w:pStyle w:val="TextoNormal"/>
      </w:pPr>
      <w:r w:rsidRPr="008D479B">
        <w:rPr>
          <w:rStyle w:val="NumeroAFNegritaCaracter"/>
        </w:rPr>
        <w:t>2</w:t>
      </w:r>
      <w:r>
        <w:t xml:space="preserve">. </w:t>
      </w:r>
      <w:r w:rsidRPr="008D479B">
        <w:rPr>
          <w:i/>
        </w:rPr>
        <w:t>Precisiones previas</w:t>
      </w:r>
    </w:p>
    <w:p w14:paraId="68F28A5A" w14:textId="77777777" w:rsidR="008D479B" w:rsidRDefault="008D479B" w:rsidP="008D479B">
      <w:pPr>
        <w:pStyle w:val="TextoNormal"/>
      </w:pPr>
    </w:p>
    <w:p w14:paraId="2FA7DD81" w14:textId="77777777" w:rsidR="008D479B" w:rsidRDefault="008D479B" w:rsidP="008D479B">
      <w:pPr>
        <w:pStyle w:val="TextoNormal"/>
      </w:pPr>
      <w:r>
        <w:t>Antes de entrar en el examen de fondo, resulta necesario realizar una serie de precisiones previas, tanto sobre el objeto como respecto de los óbices de procedibilidad opuestos por el Banque Chaabi du Maroc, ya que la inicial decisión de admisión a trámite del recurso de amparo no impide que, de oficio o a instancia de parte, como ahora sucede, puedan analizarse en sentencia los presupuestos procesales para la viabilidad del recurso (SSTC 130/2018, de 12 de diciembre, FJ 2, y 6/2023, de 20 de febrero, FJ 2).</w:t>
      </w:r>
    </w:p>
    <w:p w14:paraId="75BC676D" w14:textId="77777777" w:rsidR="008D479B" w:rsidRDefault="008D479B" w:rsidP="008D479B">
      <w:pPr>
        <w:pStyle w:val="TextoNormal"/>
      </w:pPr>
    </w:p>
    <w:p w14:paraId="59C8A12D" w14:textId="77777777" w:rsidR="008D479B" w:rsidRDefault="008D479B" w:rsidP="008D479B">
      <w:pPr>
        <w:pStyle w:val="TextoNormal"/>
      </w:pPr>
      <w:r>
        <w:t>a) Planteamiento del recurso: alega la entidad financiera demandada que la parte recurrente habría incumplido con su carga de concretar debidamente los preceptos constitucionales infringidos, fijando con precisión el amparo solicitado (arts. 44 y 49, ambos de la Ley Orgánica del Tribunal Constitucional). A su juicio, la demanda no identificaría correctamente el derecho fundamental afectado, por cuanto que la pretensión articulada no estaría conectada, en realidad, con el derecho invocado (la libertad ideológica reconocida en el art. 16.1 CE), sino con el derecho a la tutela judicial efectiva (art. 24.1 CE), en la medida que lo verdaderamente discutido sería la valoración judicial de las circunstancias del caso. Esa carencia en la identificación o especificación del precepto constitucional controvertido le habría dificultado a la entidad bancaria formular sus alegaciones, siendo un defecto insubsanable que debería determinar la inadmisión del recurso de amparo.</w:t>
      </w:r>
    </w:p>
    <w:p w14:paraId="173997B2" w14:textId="77777777" w:rsidR="008D479B" w:rsidRDefault="008D479B" w:rsidP="008D479B">
      <w:pPr>
        <w:pStyle w:val="TextoNormal"/>
      </w:pPr>
    </w:p>
    <w:p w14:paraId="05E77E3A" w14:textId="77777777" w:rsidR="008D479B" w:rsidRDefault="008D479B" w:rsidP="008D479B">
      <w:pPr>
        <w:pStyle w:val="TextoNormal"/>
      </w:pPr>
      <w:r>
        <w:t>Debe aclararse que lo que hace la entidad financiera es rehacer la demanda de amparo para provocar una suerte de silogismo demostrativo a través del cual alcanza una conclusión que le sirve para oponerla como óbice de procedibilidad. En efecto, partiendo de la obligada invocación previa de toda lesión de un derecho fundamental (premisa mayor), identifica la eventual concurrencia de una lesión diferente a la denunciada (premisa menor), para deducir la existencia de un óbice de procedibilidad (conclusión), la falta de invocación de esa otra vulneración. Este tribunal no puede aceptar ese método argumentativo, lo que ya es suficiente para rechazar el pretendido óbice. En cualquier caso, basta la lectura de la demanda de amparo para comprobar la inexistencia de duda alguna sobre su contenido, pues toda la argumentación del recurrente gira en torno a la eventual vulneración del art. 16.1 CE, concretamente, sobre la participación en una manifestación pública por la defensa de los derechos de los ciudadanos del Valle del Rif como única causa de su despido, como así le fue reconocido por la sentencia de instancia, pero no por la de suplicación. Reclama, pues, que se reconozca la lesión constitucional del art. 16 CE provocada, en primer lugar, por la entidad financiera, y solo en la medida en que no reparó la infracción denunciada, por el órgano de suplicación.</w:t>
      </w:r>
    </w:p>
    <w:p w14:paraId="298485AF" w14:textId="77777777" w:rsidR="008D479B" w:rsidRDefault="008D479B" w:rsidP="008D479B">
      <w:pPr>
        <w:pStyle w:val="TextoNormal"/>
      </w:pPr>
    </w:p>
    <w:p w14:paraId="39A8F5A8" w14:textId="77777777" w:rsidR="008D479B" w:rsidRDefault="008D479B" w:rsidP="008D479B">
      <w:pPr>
        <w:pStyle w:val="TextoNormal"/>
      </w:pPr>
      <w:r>
        <w:t>Según lo que antecede, el objeto del presente recurso de amparo lo constituye la eventual infracción del derecho fundamental a la libertad ideológica (art. 16 CE), de carácter sustantivo, lo que nos impide limitarnos a verificar el carácter motivado, razonable y no arbitrario de la resolución judicial impugnada, cual pretende la parte demandada, debiendo también comprobar si se ha producido o no la vulneración del derecho fundamental denunciado (SSTC 131/2017, de 13 de noviembre, FJ 5, y 172/2021, de 7 de octubre, FJ 2 a), de modo que, caso de constatarse tal lesión constitucional, procederá el reconocimiento del derecho y la consiguiente anulación de la sentencia que lo niega. Pero no solo eso. Incluso si el recurrente hubiera alegado en su demanda también la vulneración del derecho a la tutela judicial efectiva (art. 24.1 CE), el canon de control que impone ese precepto hubiera quedado absorbido por el propio del derecho sustantivo sobre el que se centra toda la fundamentación del recurso (por todas, SSTC 14/2002, de 28 de enero, FJ 5, y 182/2015, de 7 de septiembre, FJ 5), a saber, la infracción del derecho a la libertad ideológica reconocido en el art. 16.1 CE.</w:t>
      </w:r>
    </w:p>
    <w:p w14:paraId="682441EF" w14:textId="77777777" w:rsidR="008D479B" w:rsidRDefault="008D479B" w:rsidP="008D479B">
      <w:pPr>
        <w:pStyle w:val="TextoNormal"/>
      </w:pPr>
    </w:p>
    <w:p w14:paraId="42FC9DAB" w14:textId="77777777" w:rsidR="008D479B" w:rsidRDefault="008D479B" w:rsidP="008D479B">
      <w:pPr>
        <w:pStyle w:val="TextoNormal"/>
      </w:pPr>
      <w:r>
        <w:t>En suma, hay que descartar el óbice alegado por la entidad bancaria, ya que en cumplimiento del art. 49 LOTC, la demanda de amparo expone con claridad y concisión los hechos que la fundamentan, el precepto constitucional que se estima infringido y el amparo solicitado. Todo ello ha permitido a las partes personadas en el presente proceso constitucional poder evacuar el trámite conferido en el art. 52 LOTC con plenitud de conocimiento sobre el objeto y alcance del presente proceso constitucional, sin atisbo alguno de indefensión, como queda materialmente demostrado con las extensas y detalladas alegaciones formuladas por la entidad financiera.</w:t>
      </w:r>
    </w:p>
    <w:p w14:paraId="699B6673" w14:textId="77777777" w:rsidR="008D479B" w:rsidRDefault="008D479B" w:rsidP="008D479B">
      <w:pPr>
        <w:pStyle w:val="TextoNormal"/>
      </w:pPr>
    </w:p>
    <w:p w14:paraId="1D17DDDD" w14:textId="77777777" w:rsidR="008D479B" w:rsidRDefault="008D479B" w:rsidP="008D479B">
      <w:pPr>
        <w:pStyle w:val="TextoNormal"/>
      </w:pPr>
      <w:r>
        <w:t>b) Especial trascendencia constitucional: opone también la parte demandada como causa de inadmisión la falta de especial trascendencia constitucional del recurso de amparo. Este otro motivo debe ser rechazado también ante la ausencia de la más mínima argumentación que lo sostenga. Antes que nada, es necesario subrayar que quien niega la concurrencia de aquel requisito tiene la carga de argumentar las razones por las cuales considera que la lesión denunciada carece de la necesaria importancia para “la interpretación de la Constitución, para su aplicación o para su general eficacia, y para la determinación del contenido y alcance de los derechos fundamentales” [art. 50.1 b) LOTC], especialmente cuando el planteamiento del óbice se produce en un momento en el que ya se ha adoptado una decisión de admisión por parte de este tribunal (en la providencia de 10 de febrero de 2021), derivada de un enjuiciamiento inicial sobre su concurrencia, por plantear un problema o una faceta de un derecho fundamental sobre el que no hay doctrina [STC 155/2009, FJ 2 a)].</w:t>
      </w:r>
    </w:p>
    <w:p w14:paraId="2252AA26" w14:textId="77777777" w:rsidR="008D479B" w:rsidRDefault="008D479B" w:rsidP="008D479B">
      <w:pPr>
        <w:pStyle w:val="TextoNormal"/>
      </w:pPr>
    </w:p>
    <w:p w14:paraId="400BFDA1" w14:textId="77777777" w:rsidR="008D479B" w:rsidRDefault="008D479B" w:rsidP="008D479B">
      <w:pPr>
        <w:pStyle w:val="TextoNormal"/>
      </w:pPr>
      <w:r>
        <w:t>En cualquier caso, para descartar cualquier tipo de duda sobre la existencia de una especial trascendencia constitucional, hay que añadir ahora que este tribunal ha tenido la oportunidad de analizar el alcance del derecho a la libertad ideológica (art. 16.1 CE) dentro del específico contexto de la relación laboral, por ejemplo, al examinar decisiones discrecionales de cese de trabajadores (STC 190/2001, de 1 de octubre), al enjuiciar el sistema de selección y contratación de profesores de religión católica en los centros de enseñanza públicos (SSTC 128/2007, de 4 de junio; 51/2011, de 14 de abril, y 140/2014, de 11 de septiembre), o al analizar el despido de profesores que no se ajustaban al ideario educativo del centro en que prestaban servicios (STC 47/1985, de 27 de marzo, y 106/1996, de 12 de junio). En el presente recurso de amparo, sin embargo, se plantea una problemática novedosa relativa a la eventual infracción de la libertad ideológica del trabajador por la mera discrepancia con las ideas políticas de su empleadora, cuando la misma no es una empresa de tendencia que tenga un ideario que le permita la modulación de las libertades constitucionales de sus empleados en los términos que han sido examinados por este tribunal. Y a esto habría que añadir ahora la peculiaridad de no estar comprometido solo el ejercicio de la libertad ideológica del trabajador (art. 16.1 CE), sino también el de otros derechos conexos como son el de reunión (art. 21.1 CE) y la libertad de expresión [art. 20.1 a) CE], que tan estrecha relación mantienen con el pluralismo político (art. 1.1 CE).</w:t>
      </w:r>
    </w:p>
    <w:p w14:paraId="5C04C89C" w14:textId="77777777" w:rsidR="008D479B" w:rsidRDefault="008D479B" w:rsidP="008D479B">
      <w:pPr>
        <w:pStyle w:val="TextoNormal"/>
      </w:pPr>
    </w:p>
    <w:p w14:paraId="588B1BA4" w14:textId="77777777" w:rsidR="008D479B" w:rsidRDefault="008D479B" w:rsidP="008D479B">
      <w:pPr>
        <w:pStyle w:val="TextoNormal"/>
      </w:pPr>
      <w:r>
        <w:t>Aunque existe una resolución de este tribunal sobre un problema similar, la STC 20/2002, de 28 de enero (relativa al despido de un director de una oficina bancaria por las afirmaciones vertidas, en su calidad de accionista, en la junta de accionistas del grupo), lo cierto es que existe una diferencia sustancial entre aquella y el asunto ahora analizado. En aquel supuesto, lo cuestionado fue el despido derivado de ciertas manifestaciones vertidas en una reunión privada (junta de accionistas de la entidad bancaria), mientras que lo que se plantea en este caso es la posibilidad de que el despido haya tenido como fundamento real la participación del demandante de amparo en una reunión pública (la manifestación celebrada en Madrid). En el primer supuesto, el despido habría afectado a la libertad de expresión, mientras que, de considerarse demostrado que la causa del despido en este caso fue la participación en la manifestación, lo afectado sería el derecho a la libertad ideológica, que haría necesario un nuevo pronunciamiento de este tribunal.</w:t>
      </w:r>
    </w:p>
    <w:p w14:paraId="630AA68B" w14:textId="77777777" w:rsidR="008D479B" w:rsidRDefault="008D479B" w:rsidP="008D479B">
      <w:pPr>
        <w:pStyle w:val="TextoNormal"/>
      </w:pPr>
    </w:p>
    <w:p w14:paraId="3FA48E23" w14:textId="77777777" w:rsidR="008D479B" w:rsidRDefault="008D479B" w:rsidP="008D479B">
      <w:pPr>
        <w:pStyle w:val="TextoNormal"/>
      </w:pPr>
      <w:r>
        <w:t>Por consiguiente, existen sobradas razones para adoptar una decisión de fondo por parte de este tribunal [art. 50.1 b) LOTC], que incida en la determinación del alcance de la libertad ideológica en el marco de la relación laboral. Eso sí, dada la naturaleza de los derechos fundamentales en juego, nuestro juicio no ha de ser un control meramente externo de la razonabilidad de la motivación de la resolución judicial impugnada, sino que hemos de aplicar inmediatamente a los hechos probados las exigencias dimanantes de la Constitución para determinar si se ha realizado una ponderación adecuada “que respete la correcta definición y valoración constitucional del derecho fundamental aquí en juego y de las obligaciones que puedan modularlo”, lo que nos permitirá dilucidar, a la luz de las concretas circunstancias del caso, “si la reacción empresarial que condujo al despido es legítima o, por el contrario, el trabajador fue sancionado disciplinariamente por el lícito ejercicio de sus derechos fundamentales, en cuyo caso ‘el despido no podría dejar de calificarse como nulo’” (SSTC 106/1996, de 12 de junio, FJ 5, y 20/2002, de 28 de enero, FJ 3). Y aunque para ello sea necesario utilizar criterios distintos de los aplicados por los órganos judiciales, ya que sus razones no vinculan a este tribunal ni reducen su jurisdicción a la simple revisión de la motivación de las resoluciones que hayan pronunciado (SSTC 50/2010, de 4 de octubre, FJ 3, y 216/2013, de 19 de diciembre, FJ 3).</w:t>
      </w:r>
    </w:p>
    <w:p w14:paraId="07DB28ED" w14:textId="77777777" w:rsidR="008D479B" w:rsidRDefault="008D479B" w:rsidP="008D479B">
      <w:pPr>
        <w:pStyle w:val="TextoNormal"/>
      </w:pPr>
    </w:p>
    <w:p w14:paraId="6BE48571" w14:textId="77777777" w:rsidR="008D479B" w:rsidRDefault="008D479B" w:rsidP="008D479B">
      <w:pPr>
        <w:pStyle w:val="TextoNormal"/>
      </w:pPr>
      <w:r>
        <w:t>c) Delimitación del objeto del recurso: considera el Banque Chaabi du Maroc que, en el caso de descartarse los motivos de inadmisión planteados, el objeto del recurso habría de limitarse exclusivamente a examinar la eventual infracción del derecho a la libertad ideológica (art. 16.1 CE), al ser este el único precepto citado en la demanda de amparo, sin tener en cuenta este tribunal otros derechos fundamentales invocados en la vía judicial para fundamentar la demanda de despido: el derecho a la igualdad (art. 14 CE), la libertad de expresión [art. 20.1 a) CE], el derecho de reunión (art. 21 CE) y la libertad sindical (art. 28.1 CE). Afirma que la manifestación a la que acudió el recurrente habría de quedar fuera del ámbito de conocimiento de este recurso, por cuanto que la controversia habría de centrarse en el motivo que fue alegado por la empresa en la carta de despido y, concretamente, en la utilización indebida de los medios empresariales para realizar comentarios políticos.</w:t>
      </w:r>
    </w:p>
    <w:p w14:paraId="09E09667" w14:textId="77777777" w:rsidR="008D479B" w:rsidRDefault="008D479B" w:rsidP="008D479B">
      <w:pPr>
        <w:pStyle w:val="TextoNormal"/>
      </w:pPr>
    </w:p>
    <w:p w14:paraId="7C73729A" w14:textId="77777777" w:rsidR="008D479B" w:rsidRDefault="008D479B" w:rsidP="008D479B">
      <w:pPr>
        <w:pStyle w:val="TextoNormal"/>
      </w:pPr>
      <w:r>
        <w:t xml:space="preserve">Tampoco puede aceptarse la delimitación del objeto del recurso pretendida por la entidad bancaria. Es preciso recordar que en la demanda de amparo no resulta necesaria la cita, concreta y numérica del precepto constitucional que proclama el derecho supuestamente vulnerado, ni siquiera la mención de su </w:t>
      </w:r>
      <w:r w:rsidRPr="008D479B">
        <w:rPr>
          <w:i/>
        </w:rPr>
        <w:t>nomen iuris</w:t>
      </w:r>
      <w:r>
        <w:t>, para que este tribunal pueda abordar su eventual lesión. Basta con que las alegaciones formuladas por la parte recurrente permitan a este tribunal identificar los términos del debate y las circunstancias de la violación del derecho fundamental o del agravio denunciado, de tal modo que podamos pronunciarnos sobre la cuestión que se nos plantea y reparar, en su caso, la vulneración denunciada (entre otras, STC 41/2012, de 29 de marzo, FJ 4). A estos efectos resulta que, aun cuando la parte recurrente no hace alusión alguna en su demanda de amparo a su condición de representante de los trabajadores, ni tampoco a la lesión de los derechos a la igualdad (art. 14 CE) y a la libertad sindical (art. 28.1 CE), sí denuncia el hecho de que su empleadora le haya sancionado por la expresión de sus ideas y por haber participado en una manifestación en la que aquellas se publicitaron colectivamente, con la consiguiente afectación de los derechos fundamentales a la libertad de expresión y de reunión también reconocidos constitucionalmente [arts. 20.1 a) y 21 CE]. Pues bien, no habría obstáculo alguno para apreciar la infracción de estos otros derechos fundamentales conexos al que ha sido alegado expresamente por la parte recurrente, siempre y cuando su análisis haya sido sometido previamente a la consideración de los órganos judiciales, para salvaguardar el principio de subsidiariedad como elemento configurador del amparo constitucional exigido por el art. 44.1 c) LOTC [STC 105/2022, de 13 de septiembre, FJ 2 i)], como así ha sucedido en el presente supuesto según reconoce expresamente la entidad financiera demandada.</w:t>
      </w:r>
    </w:p>
    <w:p w14:paraId="540251F5" w14:textId="77777777" w:rsidR="008D479B" w:rsidRDefault="008D479B" w:rsidP="008D479B">
      <w:pPr>
        <w:pStyle w:val="TextoNormal"/>
      </w:pPr>
    </w:p>
    <w:p w14:paraId="098BAAF7" w14:textId="77777777" w:rsidR="008D479B" w:rsidRDefault="008D479B" w:rsidP="008D479B">
      <w:pPr>
        <w:pStyle w:val="TextoNormal"/>
      </w:pPr>
      <w:r>
        <w:t>Por otra parte, en modo alguno puede quedar fuera del ámbito de nuestro enjuiciamiento la asistencia del recurrente a la manifestación pública del día 2 de junio de 2017 en Madrid, cual pretende la entidad demandada, porque el objeto del presente proceso constitucional lo constituye determinar, precisamente, si su participación en tal acto fue la causa real de su despido, tanto más al afirmar con rotundidad la sentencia de instancia que “las razones esgrimidas por la empresa en la carta de despido, aunque ciertas, fueron construidas y elaboradas por aquella con la intención de cimentar un despido que pudiera tener visos de ser procedente, enmascarando la verdadera causa que hizo que la empresa tomara la decisión de prescindir del trabajador, cual es el hecho de haber acudido este a una manifestación de índole política que se oponía frontalmente con los postulados conservadores y tradicionales de la entidad bancaria empleadora” (fundamento de Derecho segundo).</w:t>
      </w:r>
    </w:p>
    <w:p w14:paraId="50BA7DEE" w14:textId="77777777" w:rsidR="008D479B" w:rsidRDefault="008D479B" w:rsidP="008D479B">
      <w:pPr>
        <w:pStyle w:val="TextoNormal"/>
      </w:pPr>
    </w:p>
    <w:p w14:paraId="65860A2D" w14:textId="77777777" w:rsidR="008D479B" w:rsidRDefault="008D479B" w:rsidP="008D479B">
      <w:pPr>
        <w:pStyle w:val="TextoNormal"/>
      </w:pPr>
      <w:r>
        <w:t>d) El derecho al honor de las personas jurídicas: la entidad demandada recurre a la STC 93/2021, de 10 mayo (respecto de la publicación en la red social “Facebook” de una noticia sobre el fallecimiento de un torero a consecuencia de una cornada en una plaza de toros), que parte de la base de que el ejercicio de la libertad de expresión no puede servir de excusa para el insulto, ni tampoco como instrumento para menoscabar la dignidad del ser humano y su propio valor como persona, para afirmar que la tutela de la libertad ideológica del trabajador no puede implicar la vulneración del derecho al honor de esa entidad bancaria. Por su parte, la sentencia dictada en suplicación acude para justificar su decisión al contenido —que se limita a transcribir sin juicio o ponderación de ninguna clase— de la STC 85/1992, de 8 de junio (con relación a la naturaleza de las expresiones vertidas por un locutor en un programa radiofónico respecto de un concejal), en la que señalaba que el derecho al honor, no solo es un límite a las libertades de expresión y comunicación, sino que es un derecho fundamental derivado de la dignidad de la persona, confiriendo a su titular “el derecho a no ser escarnecido o humillado ante uno mismo o ante los demás” (FJ 4). Con ello, una y otra, pretenden convertir el objeto de la controversia (la asistencia a una manifestación en favor de los ciudadanos del Rif como eventual causa determinante del despido), en un debate sobre determinadas afirmaciones del demandante efectuadas en la red social “Facebook” durante los cinco meses previos a su participación en el controvertido acto público, planteando así un conflicto entre los derechos a la libertad de expresión de este y al “honor” de la entidad financiera, respectivamente garantizados en los arts. 20.1 a) y 18.1 CE.</w:t>
      </w:r>
    </w:p>
    <w:p w14:paraId="7F0E0AD1" w14:textId="77777777" w:rsidR="008D479B" w:rsidRDefault="008D479B" w:rsidP="008D479B">
      <w:pPr>
        <w:pStyle w:val="TextoNormal"/>
      </w:pPr>
    </w:p>
    <w:p w14:paraId="59CBAE56" w14:textId="77777777" w:rsidR="008D479B" w:rsidRDefault="008D479B" w:rsidP="008D479B">
      <w:pPr>
        <w:pStyle w:val="TextoNormal"/>
      </w:pPr>
      <w:r>
        <w:t>A tal efecto, es necesario recordar que aunque con carácter general la titularidad de los derechos fundamentales y libertades públicas corresponde a las personas naturales, por derivar un buen número de ellos —</w:t>
      </w:r>
      <w:r w:rsidRPr="008D479B">
        <w:rPr>
          <w:i/>
        </w:rPr>
        <w:t>ex</w:t>
      </w:r>
      <w:r>
        <w:t xml:space="preserve"> art. 10.1 CE— de la dignidad de la persona y el desarrollo de su personalidad, lo cierto es que ello no ha obstado a que este Tribunal Constitucional haya reconocido también a las personas morales (públicas o privadas) ciertos derechos fundamentales y libertades públicas (STC 64/1988, de 12 de abril, FJ 1), como el derecho al honor. Y ello porque “el derecho a la propia estimación o al buen nombre o reputación en que consiste” no es patrimonio exclusivo de las personas físicas [STC 139/1995, de 26 de septiembre, FJ 5, y también SSTC 214/1991, de 11 de noviembre, FJ 6 b); 183/1995, de 11 de diciembre, FJ 2, y 79/2014, de 28 de mayo, FJ 3]. Ahora bien, al no ser el prestigio, la reputación o el buen nombre en la consideración ajena, términos exactamente identificables con el honor, le hemos asignado “un nivel más débil de protección” del que corresponde atribuir al derecho al honor de las personas físicas (SSTC 107/1988, de 8 de junio, FJ 2; 139/1995, de 25 de septiembre, FJ 5, y 20/2002, de 28 de enero, FJ 7).</w:t>
      </w:r>
    </w:p>
    <w:p w14:paraId="7AE9FAFE" w14:textId="77777777" w:rsidR="008D479B" w:rsidRDefault="008D479B" w:rsidP="008D479B">
      <w:pPr>
        <w:pStyle w:val="TextoNormal"/>
      </w:pPr>
    </w:p>
    <w:p w14:paraId="015BC605" w14:textId="249C50ED" w:rsidR="008D479B" w:rsidRDefault="008D479B" w:rsidP="008D479B">
      <w:pPr>
        <w:pStyle w:val="TextoNormal"/>
      </w:pPr>
      <w:r>
        <w:t>En consecuencia, aunque las afirmaciones del empleado despedido, de haber sido ofensivas, podrían haber afectado a la consideración pública de la empresa que no, en modo alguno, menoscabar su dignidad, sin embargo, hemos de insistir en que el conflicto traído ante esta sede constitucional no es el eventualmente producido entre dos derechos fundamentales, a saber, la libertad de expresión del trabajador y la pretendida reputación de la empresa, como pretende esta, sino que queda circunscrito exclusivamente al materializado entre la libertad ideológica de aquel (en un entorno ajeno al trabajo) y el poder disciplinario empresarial. Nuestra función ha de limitarse a examinar, entonces, si la sanción de despido disciplinario por transgresión de la buena fe contractual ha vulnerado aquel derecho fundamental, y también la sentencia dictada en suplicación, en la medida en que no reparó la lesión, o si, por el contrario, su participación en la manifestación controvertida, por las connotaciones políticas asociadas a la misma, excedió de los límites constitucionalmente admisibles, siendo proporcionada y adecuada la medida disciplinaria adoptada por la empresa.</w:t>
      </w:r>
    </w:p>
    <w:p w14:paraId="7F025CDE" w14:textId="77777777" w:rsidR="008D479B" w:rsidRDefault="008D479B" w:rsidP="008D479B">
      <w:pPr>
        <w:pStyle w:val="TextoNormal"/>
      </w:pPr>
    </w:p>
    <w:p w14:paraId="18499244" w14:textId="77777777" w:rsidR="008D479B" w:rsidRDefault="008D479B" w:rsidP="008D479B">
      <w:pPr>
        <w:pStyle w:val="TextoNormal"/>
      </w:pPr>
      <w:r w:rsidRPr="008D479B">
        <w:rPr>
          <w:rStyle w:val="NumeroAFNegritaCaracter"/>
        </w:rPr>
        <w:t>3</w:t>
      </w:r>
      <w:r>
        <w:t xml:space="preserve">. </w:t>
      </w:r>
      <w:r w:rsidRPr="008D479B">
        <w:rPr>
          <w:i/>
        </w:rPr>
        <w:t>Doctrina constitucional aplicable</w:t>
      </w:r>
    </w:p>
    <w:p w14:paraId="2D509844" w14:textId="77777777" w:rsidR="008D479B" w:rsidRDefault="008D479B" w:rsidP="008D479B">
      <w:pPr>
        <w:pStyle w:val="TextoNormal"/>
      </w:pPr>
    </w:p>
    <w:p w14:paraId="58CF1FE1" w14:textId="77777777" w:rsidR="008D479B" w:rsidRDefault="008D479B" w:rsidP="008D479B">
      <w:pPr>
        <w:pStyle w:val="TextoNormal"/>
      </w:pPr>
      <w:r>
        <w:t>a) El derecho a la libertad ideológica (art. 16.1 CE): como hemos tenido la oportunidad de subrayar, el derecho a la libertad ideológica reconocido en el art. 16.1 CE es esencial para nuestro Estado social y democrático de Derecho por su estrecha vinculación con el pluralismo político (SSTC 177/2015, de 22 de julio, FJ 5, y 81/2020, de 15 de julio, FJ 12). Comprende, como dimensión interna, la posibilidad de “adoptar una determinada posición intelectual ante la vida y cuanto le concierne, y a representar o enjuiciar la realidad según personales convicciones” y, como dimensión externa, un “</w:t>
      </w:r>
      <w:r w:rsidRPr="008D479B">
        <w:rPr>
          <w:i/>
        </w:rPr>
        <w:t>agere licere</w:t>
      </w:r>
      <w:r>
        <w:t>, con arreglo a las propias ideas” sin sufrir por ello sanción o demérito, ni padecer la compulsión o la injerencia de los poderes públicos o de los particulares (SSTC 81/2020, FJ 12, y 93/2021, de 10 de mayo, FJ 7). Dado que sin ella no serían posibles los valores superiores de nuestro ordenamiento jurídico que se propugnan en el art. 1.1 CE para constituir el Estado social y democrático de Derecho, se hace necesario que su ámbito no se recorte ni tenga “más limitación, en sus manifestaciones, que la necesaria para el mantenimiento del orden público protegido por la ley”, como expresamente determina el art. 16.1 CE (STC 190/2020, de 15 de diciembre, FJ 3).</w:t>
      </w:r>
    </w:p>
    <w:p w14:paraId="2A1BC32E" w14:textId="77777777" w:rsidR="008D479B" w:rsidRDefault="008D479B" w:rsidP="008D479B">
      <w:pPr>
        <w:pStyle w:val="TextoNormal"/>
      </w:pPr>
    </w:p>
    <w:p w14:paraId="65438B01" w14:textId="77777777" w:rsidR="008D479B" w:rsidRDefault="008D479B" w:rsidP="008D479B">
      <w:pPr>
        <w:pStyle w:val="TextoNormal"/>
      </w:pPr>
      <w:r>
        <w:t>Finalmente, también hemos subrayado el vínculo que tiene la libertad ideológica con la libertad de expresión, en la medida en que la libertad de ideas conlleva el derecho a expresarlas libremente, garantizado en el art. 20.1 a) CE (SSTC 177/2015, de 22 de junio, FJ 5, y 190/2020, de 15 de diciembre, FJ 3); y también con el derecho de reunión (art. 21 CE), al permitir, a través de una asociación transitoria de personas, la manifestación colectiva de la libertad de expresión, sirviendo al intercambio o exposición de ideas, a la defensa de intereses o a la publicidad de problemas y reivindicaciones, constituyendo, por tanto, un cauce relevante del principio democrático participativo (SSTC 42/2000, de 14 de febrero, FJ 2; 301/2006, de 23 de octubre, FJ 2, y 47/2022, de 24 de marzo, FJ 8).</w:t>
      </w:r>
    </w:p>
    <w:p w14:paraId="76E12118" w14:textId="77777777" w:rsidR="008D479B" w:rsidRDefault="008D479B" w:rsidP="008D479B">
      <w:pPr>
        <w:pStyle w:val="TextoNormal"/>
      </w:pPr>
    </w:p>
    <w:p w14:paraId="47BB378A" w14:textId="77777777" w:rsidR="008D479B" w:rsidRDefault="008D479B" w:rsidP="008D479B">
      <w:pPr>
        <w:pStyle w:val="TextoNormal"/>
      </w:pPr>
      <w:r>
        <w:t xml:space="preserve">b) La libertad ideológica en el ámbito laboral: centrándonos ya en el ámbito específico de las relaciones laborales, hay que comenzar recordando, ante todo, que la celebración de un contrato de trabajo no implica para el trabajador la privación de los derechos que la Constitución le reconoce como ciudadano, y que la libertad de empresa (art. 38 CE) no legitima tampoco que hayan de soportar limitaciones injustificadas de sus derechos fundamentales y libertades públicas [por todas, SSTC 88/1985, de 19 de julio, FJ 2; 89/2018, de 6 de septiembre, FJ 3; 146/2019, de 25 de noviembre, FJ 4, y 119/2022, de 29 de septiembre, FJ 4 A a)]. Es preciso que los órganos judiciales preserven el necesario equilibrio entre las obligaciones del trabajador dimanantes del contrato de trabajo y el ámbito de sus derechos y libertades constitucionales, pues dada la posición preeminente de estos en el ordenamiento jurídico, la “modulación” que el contrato de trabajo puede producir en su ejercicio “ha de ser la estrictamente imprescindible para el logro de los legítimos intereses empresariales, y proporcional y adecuada a la consecución de tal fin” (por todas, SSTC 170/2013, de 7 de octubre, FJ 3, y 146/2019, de 25 de noviembre, FJ 4; y, en tal sentido, con relación al alcance permisible de la restricción, SSTEDH de 29 de febrero de 2000 , asunto </w:t>
      </w:r>
      <w:r w:rsidRPr="008D479B">
        <w:rPr>
          <w:i/>
        </w:rPr>
        <w:t>Fuentes Bobo c. España</w:t>
      </w:r>
      <w:r>
        <w:t xml:space="preserve">, y de 12 de septiembre de 2011, asunto </w:t>
      </w:r>
      <w:r w:rsidRPr="008D479B">
        <w:rPr>
          <w:i/>
        </w:rPr>
        <w:t>Palomo Sánchez y otros c. España</w:t>
      </w:r>
      <w:r>
        <w:t>).</w:t>
      </w:r>
    </w:p>
    <w:p w14:paraId="03BB53DB" w14:textId="77777777" w:rsidR="008D479B" w:rsidRDefault="008D479B" w:rsidP="008D479B">
      <w:pPr>
        <w:pStyle w:val="TextoNormal"/>
      </w:pPr>
    </w:p>
    <w:p w14:paraId="510383B9" w14:textId="77777777" w:rsidR="008D479B" w:rsidRDefault="008D479B" w:rsidP="008D479B">
      <w:pPr>
        <w:pStyle w:val="TextoNormal"/>
      </w:pPr>
      <w:r>
        <w:t>Partiendo de lo anterior, concretamente con relación al derecho a la libertad ideológica, hemos apreciado que la misma puede sufrir restricciones cuando el trabajador presta servicios en empresas de tendencia ideológica, como ocurre en el caso de los centros educativos privados que cuentan con un ideario definido. De tal modo que, cuando se realiza una “actividad docente hostil o contraria al ideario de un centro docente”, puede estar justificado el despido del trabajador al que se le impute tal conducta si resulta probado “el ataque abierto o solapado” a ese ideario. Pero, incluso en tales casos en los que puede estar justificada la injerencia empresarial en el disfrute del derecho, esta no puede ser ilimitada, ya que la simple disconformidad de un trabajador respecto a tal ideario no puede ser causa de despido “si no se ha exteriorizado o puesto de manifiesto en algunas de las actividades educativas del centro” (SSTC 47/1985, de 27 de marzo, FJ 3, y 106/1996, de 12 de junio, FJ 3).</w:t>
      </w:r>
    </w:p>
    <w:p w14:paraId="6FBD9887" w14:textId="77777777" w:rsidR="008D479B" w:rsidRDefault="008D479B" w:rsidP="008D479B">
      <w:pPr>
        <w:pStyle w:val="TextoNormal"/>
      </w:pPr>
    </w:p>
    <w:p w14:paraId="6325CCB2" w14:textId="77777777" w:rsidR="008D479B" w:rsidRDefault="008D479B" w:rsidP="008D479B">
      <w:pPr>
        <w:pStyle w:val="TextoNormal"/>
      </w:pPr>
      <w:r>
        <w:t>La precedente doctrina, sin embargo, difícilmente puede ser trasladable, so pena de alterar su originario y legítimo significado, a los casos en los que, o bien el trabajador, a pesar de estar contratado en una empresa con ideario realiza dentro de ella una actividad “neutra”, o bien es la propia empresa la que se dedica a una actividad calificable como tal, al no estar vinculada a un ideario (STC 106/1996, de 12 de junio, FJ 4). No cabe duda de que, en tales supuestos, las creencias ideológicas que pudiera tener y manifestar el trabajador resultan irrelevantes para desempeñar las prestaciones dimanantes de su contrato laboral, y la expresión, individual o colectiva (uniéndose a grupos que compartan sus ideas) no puede ser motivo de sanción empresarial. Se ha de tener siempre presente, en definitiva, que la libertad ideológica se garantiza por la Constitución “sin más limitaciones, en sus manifestaciones, que la necesaria para el mantenimiento del orden público protegido por la ley” (art. 16.1 CE). Por consiguiente, cualquier norma o decisión que coarte su ejercicio requerirá una “rigurosa ponderación” (STC 159/1986, de 16 de diciembre, FJ 6), sin que el juicio que este tribunal efectúe al respecto se pueda circunscribir, como ya ha quedado apuntado, a un examen externo de la suficiencia y consistencia de la motivación de la resolución impugnada bajo el prisma del art. 24.1 CE, siendo necesario ponderar el conflicto entre los distintos intereses en juego, determinando si los derechos fundamentales del trabajador se han visto menoscabados [por todas, la citada STC 172/2021, FJ 2 a)].</w:t>
      </w:r>
    </w:p>
    <w:p w14:paraId="4CE226EE" w14:textId="77777777" w:rsidR="008D479B" w:rsidRDefault="008D479B" w:rsidP="008D479B">
      <w:pPr>
        <w:pStyle w:val="TextoNormal"/>
      </w:pPr>
    </w:p>
    <w:p w14:paraId="689C37D0" w14:textId="77777777" w:rsidR="008D479B" w:rsidRDefault="008D479B" w:rsidP="008D479B">
      <w:pPr>
        <w:pStyle w:val="TextoNormal"/>
      </w:pPr>
      <w:r>
        <w:t>c) La inversión de la carga de la prueba para la efectividad de los derechos fundamentales en el ámbito laboral: este tribunal ha venido resaltando de forma inveterada la importancia de las reglas de distribución de la carga de la prueba para alcanzar la efectividad de la tutela de los derechos fundamentales en el ámbito de las relaciones laborales. En este sentido, hemos señalado que, cuando se alegue que una determinada medida encubre en realidad una conducta lesiva de los derechos fundamentales, incumbe a su autor la carga de probar que su actuación obedece a motivos extraños a todo propósito atentatorio de un derecho fundamental. No obstante, para imponer tal carga, quien denuncia la conducta debe aportar previamente unos indicios razonables y suficientes de que el acto impugnado ha podido lesionar sus derechos fundamentales. No es suficiente, en consecuencia, la mera alegación de la vulneración constitucional, ya que al demandante le corresponde presentar un indicio razonable de que la lesión denunciada se ha producido, esto es, un principio de prueba dirigido a poner de manifiesto, en su caso, el motivo oculto de aquel acto para, una vez alcanzado el anterior resultado probatorio por el demandante, hacer recaer sobre la parte demandada la carga de probar la existencia de causas suficientes, reales y serias para calificar de razonable su decisión (SSTC 87/1998, de 21 de abril, FJ 3; 29/2000, de 31 de enero, FJ 3, y 67/2022, de 2 de junio, FJ 5). No se trata de situar al demandado ante la prueba diabólica de un hecho negativo, como es la inexistencia de un móvil lesivo de derechos fundamentales (STC 233/2007, de 5 de noviembre, FJ 9), sino de que su actuación ha venido fundada en causas reales, absolutamente extrañas a la pretendida vulneración de derechos fundamentales, que cuentan con una entidad suficiente para adoptar la decisión extintiva, único medio de destruir la apariencia lesiva creada por los indicios (SSTC 140/2014, de 11 de septiembre, FJ 7, y 51/2021, de 15 de marzo, FJ 3).</w:t>
      </w:r>
    </w:p>
    <w:p w14:paraId="05D1E1CC" w14:textId="77777777" w:rsidR="008D479B" w:rsidRDefault="008D479B" w:rsidP="008D479B">
      <w:pPr>
        <w:pStyle w:val="TextoNormal"/>
      </w:pPr>
    </w:p>
    <w:p w14:paraId="53B337B8" w14:textId="77777777" w:rsidR="008D479B" w:rsidRDefault="008D479B" w:rsidP="008D479B">
      <w:pPr>
        <w:pStyle w:val="TextoNormal"/>
      </w:pPr>
      <w:r>
        <w:t>d) Despidos “pluricausales”: la doctrina anteriormente expuesta sobre la distribución de la carga probatoria es también aplicable en el caso de los despidos pluricausales, que son aquellos en los que, sin perjuicio de la existencia de una aparente causa legal justificativa de la decisión empresarial extintiva concurre, al mismo tiempo, un trasfondo eventualmente lesivo de un derecho fundamental, lo que exige que el empresario acredite que su decisión cuenta con una justificación objetiva y razonable que permita excluir cualquier propósito lesivo de un derecho fundamental (por todas, SSTC 41/2006, de 13 de febrero, FJ 5, y 125/2008, de 20 de octubre, FJ 6).</w:t>
      </w:r>
    </w:p>
    <w:p w14:paraId="092F7640" w14:textId="77777777" w:rsidR="008D479B" w:rsidRDefault="008D479B" w:rsidP="008D479B">
      <w:pPr>
        <w:pStyle w:val="TextoNormal"/>
      </w:pPr>
    </w:p>
    <w:p w14:paraId="5BBB7604" w14:textId="77777777" w:rsidR="008D479B" w:rsidRDefault="008D479B" w:rsidP="008D479B">
      <w:pPr>
        <w:pStyle w:val="TextoNormal"/>
      </w:pPr>
      <w:r>
        <w:t>El panorama indiciario aportado por el trabajador podrá neutralizarse por el empleador acreditando de manera plena la concurrencia de la causa legal expresada en la carta de despido, siempre que el resultado probatorio revele la desconexión de la decisión adoptada con un propósito contrario al derecho fundamental invocado. Ciertamente, la existencia de un motivo legal de despido que posibilite declararlo como procedente “no permite descartar —en todo caso y sin excepción— que este sea lesivo de derechos fundamentales” (STC 41/2006, FJ 5).</w:t>
      </w:r>
    </w:p>
    <w:p w14:paraId="6568AFC2" w14:textId="77777777" w:rsidR="008D479B" w:rsidRDefault="008D479B" w:rsidP="008D479B">
      <w:pPr>
        <w:pStyle w:val="TextoNormal"/>
      </w:pPr>
    </w:p>
    <w:p w14:paraId="74532782" w14:textId="70D5EEC3" w:rsidR="008D479B" w:rsidRDefault="008D479B" w:rsidP="008D479B">
      <w:pPr>
        <w:pStyle w:val="TextoNormal"/>
      </w:pPr>
      <w:r>
        <w:t>En suma, cuando se ventila un despido pluricausal, el empresario habrá de acreditar que la causa alegada tiene una justificación objetiva y razonable que, con independencia de que merezca la calificación de procedente, permita “excluir cualquier propósito discriminatorio o contrario al derecho fundamental invocado” (por todas, STC 125/2008, FJ 6).</w:t>
      </w:r>
    </w:p>
    <w:p w14:paraId="55BD4B05" w14:textId="77777777" w:rsidR="008D479B" w:rsidRDefault="008D479B" w:rsidP="008D479B">
      <w:pPr>
        <w:pStyle w:val="TextoNormal"/>
      </w:pPr>
    </w:p>
    <w:p w14:paraId="33DFB139" w14:textId="77777777" w:rsidR="008D479B" w:rsidRDefault="008D479B" w:rsidP="008D479B">
      <w:pPr>
        <w:pStyle w:val="TextoNormal"/>
      </w:pPr>
      <w:r w:rsidRPr="008D479B">
        <w:rPr>
          <w:rStyle w:val="NumeroAFNegritaCaracter"/>
        </w:rPr>
        <w:t>4</w:t>
      </w:r>
      <w:r>
        <w:t xml:space="preserve">. </w:t>
      </w:r>
      <w:r w:rsidRPr="008D479B">
        <w:rPr>
          <w:i/>
        </w:rPr>
        <w:t>Enjuiciamiento del caso</w:t>
      </w:r>
    </w:p>
    <w:p w14:paraId="0DC63CC5" w14:textId="77777777" w:rsidR="008D479B" w:rsidRDefault="008D479B" w:rsidP="008D479B">
      <w:pPr>
        <w:pStyle w:val="TextoNormal"/>
      </w:pPr>
    </w:p>
    <w:p w14:paraId="43495B0E" w14:textId="77777777" w:rsidR="008D479B" w:rsidRDefault="008D479B" w:rsidP="008D479B">
      <w:pPr>
        <w:pStyle w:val="TextoNormal"/>
      </w:pPr>
      <w:r>
        <w:t>a) Actividad empresarial neutra: como ha quedado expuesto a lo largo de esta resolución, el recurrente en amparo trabajaba como director de sucursal, en Madrid, del Banque Chaabi du Maroc, próximo a la monarquía marroquí. Tras participar en una manifestación por la defensa de los derechos de los ciudadanos del Valle del Rif, en la que se denunciaba la situación política de la región dentro del Reino de Marruecos, la entidad bancaria le suspendió de empleo y le abrió una investigación para clarificar lo sucedido. Transcurridos dos meses, le notificó su despido disciplinario, por constatarse en el curso de las averiguaciones un uso indebido de los medios y de la imagen del banco, al haber publicado en redes sociales fotos con mensajes políticos tomadas en su puesto de trabajo.</w:t>
      </w:r>
    </w:p>
    <w:p w14:paraId="0B401C87" w14:textId="77777777" w:rsidR="008D479B" w:rsidRDefault="008D479B" w:rsidP="008D479B">
      <w:pPr>
        <w:pStyle w:val="TextoNormal"/>
      </w:pPr>
    </w:p>
    <w:p w14:paraId="1BE078D6" w14:textId="77777777" w:rsidR="008D479B" w:rsidRDefault="008D479B" w:rsidP="008D479B">
      <w:pPr>
        <w:pStyle w:val="TextoNormal"/>
      </w:pPr>
      <w:r>
        <w:t>Antes de adentrarnos en el enjuiciamiento que nos corresponde, hemos de dejar claro que la demandada no es una empresa “ideológica”, que tenga por finalidad la promoción y defensa de sus ideas y que, en consecuencia, pudiera exigir a sus trabajadores una conducta congruente con su ideario. Se trata de una entidad bancaria que tiene como objetivo y fin el ofrecimiento de servicios de carácter financiero desarrollando, por lo tanto, una actividad calificable como “neutra”. De este modo, mientras que en el caso de las empresas con ideario (por ejemplo, los centros docentes privados), el ataque por parte de un profesor del ideario del centro supone una confrontación entre dos derechos fundamentales —la libertad de cátedra del profesor [art. 20.1 c) CE] y la libertad de enseñanza del titular del centro (art. 27.1 CE)—, en los supuestos de empresas con actividades neutras, como sucede en el presente supuesto, solo concurre un derecho fundamental —la libertad ideológica del trabajador expresada a través de su derecho de reunión [art. 16.1, en conexión con los arts. 20.1 a) y 21, todos ellos de la CE]— que se ejerce frente al poder de dirección del empresario y las obligaciones que se derivan del contrato de trabajo. Y la prestación laboral que el actor cumple en la oficina bancaria, meramente técnica y, por lo tanto, totalmente neutra respecto de la ideología de la empresa sitúa a esta respecto de aquel en un plano de legalidad laboral, “no permitiendo al empresario exigir al trabajador más que el cumplimiento de las obligaciones que se derivan del contrato laboral que las une” [STC 106/1996, de 12 de junio, FJ 4 A)].</w:t>
      </w:r>
    </w:p>
    <w:p w14:paraId="42B2276C" w14:textId="77777777" w:rsidR="008D479B" w:rsidRDefault="008D479B" w:rsidP="008D479B">
      <w:pPr>
        <w:pStyle w:val="TextoNormal"/>
      </w:pPr>
    </w:p>
    <w:p w14:paraId="3B2864EE" w14:textId="77777777" w:rsidR="008D479B" w:rsidRDefault="008D479B" w:rsidP="008D479B">
      <w:pPr>
        <w:pStyle w:val="TextoNormal"/>
      </w:pPr>
      <w:r>
        <w:t>La ideología, en definitiva, ni constituye el fundamento de la actividad empresarial, ni puede justificar la restricción de los derechos fundamentales de sus trabajadores, por mucho que el banco pudiera ser próximo a la monarquía marroquí (como expresamente señaló el hecho probado tercero de la sentencia de instancia y mantuvo la entidad bancaria al oponerse a la demanda de despido) o poseyera unos “valores” radicalmente opuestos a los del recurrente (como sostuvo también aquella en su recurso de suplicación).</w:t>
      </w:r>
    </w:p>
    <w:p w14:paraId="0FE93300" w14:textId="77777777" w:rsidR="008D479B" w:rsidRDefault="008D479B" w:rsidP="008D479B">
      <w:pPr>
        <w:pStyle w:val="TextoNormal"/>
      </w:pPr>
    </w:p>
    <w:p w14:paraId="11CB03B3" w14:textId="77777777" w:rsidR="008D479B" w:rsidRDefault="008D479B" w:rsidP="008D479B">
      <w:pPr>
        <w:pStyle w:val="TextoNormal"/>
      </w:pPr>
      <w:r>
        <w:t>Partiendo, por lo tanto, de que el recurrente no trabajaba en una empresa ideológica, que tuviera un ideario que pudiera permitir la modulación de las libertades constitucionales de sus empleados en los términos que han sido examinados por este tribunal, debemos ahora analizar si el recurrente en amparo ha aportado una prueba verosímil de la vulneración denunciada, es decir, si ha acreditado suficientemente la existencia de indicios que generen una razonable sospecha, apariencia o presunción de la discriminación ideológica denunciada, y si, en tal caso, la parte demandada ha probado que los hechos motivadores de su actuación se presentan razonablemente ajenos a todo móvil discriminatorio.</w:t>
      </w:r>
    </w:p>
    <w:p w14:paraId="6C557709" w14:textId="77777777" w:rsidR="008D479B" w:rsidRDefault="008D479B" w:rsidP="008D479B">
      <w:pPr>
        <w:pStyle w:val="TextoNormal"/>
      </w:pPr>
    </w:p>
    <w:p w14:paraId="79C6C2E5" w14:textId="77777777" w:rsidR="008D479B" w:rsidRDefault="008D479B" w:rsidP="008D479B">
      <w:pPr>
        <w:pStyle w:val="TextoNormal"/>
      </w:pPr>
      <w:r>
        <w:t>b) Panorama indiciario: del relato fáctico de la sentencia de instancia (que se mantuvo inalterado en el grado de suplicación) se deduce que el recurrente desplegó una actividad alegatoria y probatoria suficientemente precisa en torno a la eventual violación de su derecho fundamental, habiendo aportado indicios razonables y suficientes sobre la posible conexión entre el ejercicio de su derecho a la libertad ideológica y el despido acordado.</w:t>
      </w:r>
    </w:p>
    <w:p w14:paraId="1808458C" w14:textId="77777777" w:rsidR="008D479B" w:rsidRDefault="008D479B" w:rsidP="008D479B">
      <w:pPr>
        <w:pStyle w:val="TextoNormal"/>
      </w:pPr>
    </w:p>
    <w:p w14:paraId="7B074889" w14:textId="77777777" w:rsidR="008D479B" w:rsidRDefault="008D479B" w:rsidP="008D479B">
      <w:pPr>
        <w:pStyle w:val="TextoNormal"/>
      </w:pPr>
      <w:r>
        <w:t>En efecto, el recurrente logró acreditar (como así consta en la sentencia de instancia) que: (i) el 2 de junio de 2017 se manifestó en Madrid en defensa de los derechos de los ciudadanos del Valle del Rif (hecho probado tercero); (ii) el siguiente día 5 de junio, su empleadora le notificó la apertura de un procedimiento de investigación, sin concretar los motivos, indicando únicamente haber tenido conocimiento “de unos hechos que podrían ser constitutivos de una falta laboral de carácter muy grave” (hecho probado tercero); (iii) una vez que la entidad bancaria tuvo conocimiento de que el trabajador había acudido a tal manifestación, la directora general en España de la entidad bancaria demandada recibió el encargo de los responsables marroquíes del grupo empresarial, de investigar los actos y la conducta del recurrente para clarificar lo sucedido (fundamento de Derecho tercero); (iv) la investigación se prorrogó hasta en tres ocasiones, mediante comunicaciones similares (sin especificar la causa de la investigación) hasta el día 28 de julio de 2017, fecha en la que se abrió al recurrente un expediente contradictorio (hechos probados cuarto y quinto); (v) durante todo ese tiempo, al recurrente se le mantuvo apartado del trabajo al tomarse como medida cautelar la suspensión de empleo (hecho probado tercero); (vi) la notificación del despido disciplinario se produjo el 10 de agosto de 2017, alegándose como motivo la transgresión de la buena fe contractual y el abuso de confianza por el uso indebido de la imagen del banco en redes sociales, al haberse publicado imágenes con mensajes políticos tomadas en su despacho (hecho probado sexto); (vii) la entrada de la entidad bancaria en el perfil del recurrente (de libre acceso) en la red social “Facebook” se produjo —según la carta de despido— el día 13 de julio de 2017; y (viii) las publicaciones que motivaron el despido constaban en la red social desde meses antes del inicio de la investigación, concretamente, desde el 10 de enero de 2017 y fechas sucesivas (hecho probado séptimo).</w:t>
      </w:r>
    </w:p>
    <w:p w14:paraId="1E1F19AD" w14:textId="77777777" w:rsidR="008D479B" w:rsidRDefault="008D479B" w:rsidP="008D479B">
      <w:pPr>
        <w:pStyle w:val="TextoNormal"/>
      </w:pPr>
    </w:p>
    <w:p w14:paraId="5BB0DE6D" w14:textId="77777777" w:rsidR="008D479B" w:rsidRDefault="008D479B" w:rsidP="008D479B">
      <w:pPr>
        <w:pStyle w:val="TextoNormal"/>
      </w:pPr>
      <w:r>
        <w:t>El conjunto de las circunstancias señaladas es suficiente para fundar un panorama indiciario lesivo de sus derechos fundamentales, pues los anteriores hechos ponen de manifiesto la razonable sospecha de que el despido del recurrente pudiera haber tenido por causa real el ejercicio de su derecho a poder expresar libremente su ideología en defensa de los derechos de los ciudadanos del Rif (contraria a la de su empleadora) en la manifestación pública que tuvo lugar el día 2 de junio de 2017, y no el motivo indicado en la carta de despido (uso de imágenes corporativas en la red social), que solo fue descubierto en el curso de la investigación tras su participación en la controvertida manifestación.</w:t>
      </w:r>
    </w:p>
    <w:p w14:paraId="7EDA6B52" w14:textId="77777777" w:rsidR="008D479B" w:rsidRDefault="008D479B" w:rsidP="008D479B">
      <w:pPr>
        <w:pStyle w:val="TextoNormal"/>
      </w:pPr>
    </w:p>
    <w:p w14:paraId="11EE11B4" w14:textId="77777777" w:rsidR="008D479B" w:rsidRDefault="008D479B" w:rsidP="008D479B">
      <w:pPr>
        <w:pStyle w:val="TextoNormal"/>
      </w:pPr>
      <w:r>
        <w:t>Resulta evidente, entonces, la correlación y proximidad temporal entre la asistencia del recurrente a la manifestación, en la tarde del viernes 2 de junio de 2017, y la inmediata decisión empresarial de apartarle de su puesto de trabajo y de comenzar a investigarlo el siguiente lunes 5 de junio. Esa relación de causa-efecto fue corroborada por la directora general en España de la entidad empleadora, según la cual, “una vez tuvo conocimiento de que el trabajador había acudido a la manifestación del día 2 de junio ya mencionada, recibió el encargo por medio de llamadas telefónicas de los responsables marroquíes del grupo empresarial de investigar los actos y la conducta de don Jaouad para clarificar lo sucedido” (fundamento de Derecho segundo de la sentencia de instancia). Como señaló el juzgado, no resultaba creíble la necesidad de abrir un proceso de investigación (que duró más de dos meses y que mantuvo al recurrente suspendido de empleo), cuando ya había tenido conocimiento de “lo sucedido” por los medios de comunicación.</w:t>
      </w:r>
    </w:p>
    <w:p w14:paraId="613BEF75" w14:textId="77777777" w:rsidR="008D479B" w:rsidRDefault="008D479B" w:rsidP="008D479B">
      <w:pPr>
        <w:pStyle w:val="TextoNormal"/>
      </w:pPr>
    </w:p>
    <w:p w14:paraId="60ED58B8" w14:textId="77777777" w:rsidR="008D479B" w:rsidRDefault="008D479B" w:rsidP="008D479B">
      <w:pPr>
        <w:pStyle w:val="TextoNormal"/>
      </w:pPr>
      <w:r>
        <w:t>También refuerza el panorama discriminatorio señalado, el que las imágenes publicadas en redes sociales, que según la empresa motivaron el despido del recurrente, se descubrieran el día 13 de julio de 2017, esto es, bien avanzada la investigación (concretamente, transcurridos treinta y ocho días desde su inicio), lo que evidencia que no pudieron ser el motivo de las decisiones de suspensión de empleo y de la apertura del procedimiento de investigación acordadas el día 5 de junio anterior. En cualquier caso, resulta significativo que tales publicaciones figurasen en una conocida red social desde meses antes del inicio de la investigación y que, siendo el perfil público del recurrente de libre acceso, la entidad bancaria procediera a revisar su contenido solo tras tener conocimiento de la participación del recurrente en la manifestación pública controvertida.</w:t>
      </w:r>
    </w:p>
    <w:p w14:paraId="77EDBFB0" w14:textId="77777777" w:rsidR="008D479B" w:rsidRDefault="008D479B" w:rsidP="008D479B">
      <w:pPr>
        <w:pStyle w:val="TextoNormal"/>
      </w:pPr>
    </w:p>
    <w:p w14:paraId="75F9BDF3" w14:textId="77777777" w:rsidR="008D479B" w:rsidRDefault="008D479B" w:rsidP="008D479B">
      <w:pPr>
        <w:pStyle w:val="TextoNormal"/>
      </w:pPr>
      <w:r>
        <w:t>Aunque lo anterior permitiría apreciar la existencia de indicios suficientes de la eventual conexión entre la decisión de despido y el ejercicio por el recurrente de su derecho a la libertad ideológica, es patente también que, como consta en los antecedentes de hecho de la resolución de la instancia, otra empleada de las misma entidad bancaria (asesora comercial) fuese despedida de forma inmediata tras participar en la citada manifestación, y que tal despido recibiera la calificación de improcedente al no acreditar la empresa la causa esgrimida (disminución del rendimiento y mala relación con la clientela).</w:t>
      </w:r>
    </w:p>
    <w:p w14:paraId="52B94A22" w14:textId="77777777" w:rsidR="008D479B" w:rsidRDefault="008D479B" w:rsidP="008D479B">
      <w:pPr>
        <w:pStyle w:val="TextoNormal"/>
      </w:pPr>
    </w:p>
    <w:p w14:paraId="4399517D" w14:textId="77777777" w:rsidR="008D479B" w:rsidRDefault="008D479B" w:rsidP="008D479B">
      <w:pPr>
        <w:pStyle w:val="TextoNormal"/>
      </w:pPr>
      <w:r>
        <w:t>Todas estas circunstancias nos permiten afirmar, en concordancia con lo apreciado por el juzgador de instancia y lo sostenido por el fiscal, que el recurrente logró acreditar unos hechos que conformaban un panorama indiciario de discriminación ideológica, generando la razonable sospecha, apariencia o presunción de que las medidas adoptadas en su contra (suspensión de empleo, sometimiento a investigación y, finalmente, sanción de despido) tuvieron por causa real su participación en una manifestación pública en la que se expresaron ideas, y se hicieron denuncias y reclamaciones no compartidas por su empleadora en torno a la situación política del Valle del Rif dentro del Reino de Marruecos.</w:t>
      </w:r>
    </w:p>
    <w:p w14:paraId="55DBA573" w14:textId="77777777" w:rsidR="008D479B" w:rsidRDefault="008D479B" w:rsidP="008D479B">
      <w:pPr>
        <w:pStyle w:val="TextoNormal"/>
      </w:pPr>
    </w:p>
    <w:p w14:paraId="1EF47EF6" w14:textId="77777777" w:rsidR="008D479B" w:rsidRDefault="008D479B" w:rsidP="008D479B">
      <w:pPr>
        <w:pStyle w:val="TextoNormal"/>
      </w:pPr>
      <w:r>
        <w:t xml:space="preserve">c) Inversión del </w:t>
      </w:r>
      <w:r w:rsidRPr="008D479B">
        <w:rPr>
          <w:i/>
        </w:rPr>
        <w:t>onus probandi</w:t>
      </w:r>
      <w:r>
        <w:t>: habiendo aportado el recurrente suficientes indicios razonables de que el acto impugnado (despido) podía vulnerar su derecho a la libertad ideológica, incumbía al autor de la medida disciplinaria la carga de probar que su actuación obedeció a motivos extraños a todo propósito atentatorio de tal derecho fundamental. La entidad bancaria demandada no cumplió, sin embargo, con la carga probatoria que sobre ella pesaba, al no demostrar que las razones reales de su decisión fueran ajenas al móvil discriminatorio denunciado, o que los hechos indiciarios ofrecidos por el actor carecieran de conexión alguna con la decisión de despido. En efecto, aunque, como ha quedado dicho, la confluencia junto al panorama indiciario de un motivo concomitante de justificación de la extinción del contrato no la exoneraba de la carga de neutralizar los indicios, se limitó a probar la concurrencia de un incumplimiento laboral sancionable con el despido (descubierto durante la fase de investigación abierta al recurrente tras su asistencia a la manifestación), sin realizar esfuerzo alguno para desvirtuar los claros indicios de discriminación aportados de contrario.</w:t>
      </w:r>
    </w:p>
    <w:p w14:paraId="28718F4E" w14:textId="77777777" w:rsidR="008D479B" w:rsidRDefault="008D479B" w:rsidP="008D479B">
      <w:pPr>
        <w:pStyle w:val="TextoNormal"/>
      </w:pPr>
    </w:p>
    <w:p w14:paraId="34728E17" w14:textId="77777777" w:rsidR="008D479B" w:rsidRDefault="008D479B" w:rsidP="008D479B">
      <w:pPr>
        <w:pStyle w:val="TextoNormal"/>
      </w:pPr>
      <w:r>
        <w:t>Tal y como apreció el juzgador de instancia, teniendo en cuenta el relato de hechos y el panorama indiciario aportado por el actor, no resultaba verosímil que la decisión extintiva obedeciera a la causa alegada en la carta de despido (uso indebido de la imagen y medios de la empresa en las redes sociales), por cuanto que había resultado acreditada, de un lado, la clara conexión existente entre la participación del actor en la manifestación pública y las medidas adoptadas (suspensión de empleo e inicio de un largo procedimiento de investigación sin especificar su causa y que desembocó en la sanción de despido); de otro, que las imágenes que según la empresa provocaron el despido figuraban desde meses antes del inicio de la investigación en la red social, sin que se hubiera adoptado medida alguna al respecto, a pesar de ser el perfil público del trabajador de libre acceso. Por consiguiente, del relato de hechos probados cabía razonablemente deducir, como afirmó la sentencia de instancia, que tal fase investigadora tuvo como única finalidad “intentar encontrar una causa en la que fundamentar legítimamente el despido ya decidido, y que no fuera la mera asistencia a una manifestación desconectada con la actividad empresarial que pudiera incurrir en vulneración de derechos fundamentales” (fundamento de Derecho segundo).</w:t>
      </w:r>
    </w:p>
    <w:p w14:paraId="0AB6D061" w14:textId="77777777" w:rsidR="008D479B" w:rsidRDefault="008D479B" w:rsidP="008D479B">
      <w:pPr>
        <w:pStyle w:val="TextoNormal"/>
      </w:pPr>
    </w:p>
    <w:p w14:paraId="71E1716A" w14:textId="77777777" w:rsidR="008D479B" w:rsidRDefault="008D479B" w:rsidP="008D479B">
      <w:pPr>
        <w:pStyle w:val="TextoNormal"/>
      </w:pPr>
      <w:r>
        <w:t xml:space="preserve">A pesar de que la demandada no cumplió con la carga probatoria que le incumbía, la sentencia de la Sala de lo Social del Tribunal Superior de Justicia de Madrid que ahora se impugna asumió sin más las razones ofrecidas por la empresa demandada, aunque careciese de la fundamentación que resultaba constitucionalmente exigible para desvirtuar el panorama indiciario acreditado de contrario. Aunque el juzgador de instancia había concluido, en correcta aplicación de la doctrina constitucional sobre la prueba indiciaria y la inversión del </w:t>
      </w:r>
      <w:r w:rsidRPr="008D479B">
        <w:rPr>
          <w:i/>
        </w:rPr>
        <w:t>onus probandi</w:t>
      </w:r>
      <w:r>
        <w:t>, que la empresa no había conseguido ofrecer una causa legítima desvinculada del motivo de discriminación denunciado que amparase su decisión extintiva de la relación laboral, aquella sala de lo social se conformó con las manifestaciones vertidas en la carta de despido, no haciendo ponderación alguna de los diversos indicios de discriminación aportados por el trabajador, como tampoco de los argumentos ofrecidos por el juzgador de instancia para declarar el despido nulo por lesión del derecho fundamental. Simplemente, la Sala se limitó a abordar su enjuiciamiento desde el estricto plano de la legalidad ordinaria, como apunta el fiscal, ignorando la dimensión constitucional de la cuestión controvertida y abdicando, con ello, de la función tutelar que le correspondía como primer garante de los derechos fundamentales del trabajador.</w:t>
      </w:r>
    </w:p>
    <w:p w14:paraId="66FFF21B" w14:textId="77777777" w:rsidR="008D479B" w:rsidRDefault="008D479B" w:rsidP="008D479B">
      <w:pPr>
        <w:pStyle w:val="TextoNormal"/>
      </w:pPr>
    </w:p>
    <w:p w14:paraId="7B5E101B" w14:textId="757230B3" w:rsidR="008D479B" w:rsidRDefault="008D479B" w:rsidP="008D479B">
      <w:pPr>
        <w:pStyle w:val="TextoNormal"/>
      </w:pPr>
      <w:r>
        <w:t xml:space="preserve">La resolución judicial recurrida respaldó, en suma, una injerencia empresarial en el ejercicio de los derechos fundamentales del recurrente que contraviene nuestra Constitución, al haber permitido que un trabajador fuera sancionado con el despido por tener unas determinadas convicciones ideológicas opuestas a las de su empresa (derecho a la libertad ideológica en su dimensión interna) y por haber actuado de conformidad a ellas (dimensión externa de </w:t>
      </w:r>
      <w:r w:rsidRPr="008D479B">
        <w:rPr>
          <w:i/>
        </w:rPr>
        <w:t>agere licere</w:t>
      </w:r>
      <w:r>
        <w:t>), expresándolas de forma pacífica, junto a otros que las compartían, en un foro público de protesta y reivindicación ajeno a la relación laboral. No hay que olvidar que nuestro sistema constitucional de relaciones laborales impone la tutela del trabajador frente a las injerencias injustificadas en el ejercicio de sus derechos fundamentales, procedan de los poderes públicos o de los particulares, dada la “posición prevalente” que ocupan aquellos dentro del ordenamiento jurídico en cuanto “proyecciones de los núcleos esenciales de la dignidad de la persona (art. 10.1 CE) y fundamento del propio Estado democrático (art. 1 CE)” [STC 18/2020, de 10 de febrero, FJ 5 d)], sin que exista un “deber genérico de lealtad con significado omnicomprensivo de sujeción del trabajador al interés empresarial” (entre muchas, STC 56/2008, de 14 de abril, FJ 5).</w:t>
      </w:r>
    </w:p>
    <w:p w14:paraId="353948B8" w14:textId="77777777" w:rsidR="008D479B" w:rsidRDefault="008D479B" w:rsidP="008D479B">
      <w:pPr>
        <w:pStyle w:val="TextoNormal"/>
      </w:pPr>
    </w:p>
    <w:p w14:paraId="58E0FE0A" w14:textId="77777777" w:rsidR="008D479B" w:rsidRDefault="008D479B" w:rsidP="008D479B">
      <w:pPr>
        <w:pStyle w:val="TextoNormal"/>
      </w:pPr>
      <w:r w:rsidRPr="008D479B">
        <w:rPr>
          <w:rStyle w:val="NumeroAFNegritaCaracter"/>
        </w:rPr>
        <w:t>5</w:t>
      </w:r>
      <w:r>
        <w:t xml:space="preserve">. </w:t>
      </w:r>
      <w:r w:rsidRPr="008D479B">
        <w:rPr>
          <w:i/>
        </w:rPr>
        <w:t>Conclusión</w:t>
      </w:r>
    </w:p>
    <w:p w14:paraId="788A61AD" w14:textId="77777777" w:rsidR="008D479B" w:rsidRDefault="008D479B" w:rsidP="008D479B">
      <w:pPr>
        <w:pStyle w:val="TextoNormal"/>
      </w:pPr>
    </w:p>
    <w:p w14:paraId="30E22E73" w14:textId="77777777" w:rsidR="008D479B" w:rsidRDefault="008D479B" w:rsidP="008D479B">
      <w:pPr>
        <w:pStyle w:val="TextoNormal"/>
      </w:pPr>
      <w:r>
        <w:t>A la vista de todo lo que antecede, la insuficiencia de la prueba aportada por la empresa para desvirtuar el panorama indiciario descrito trasciende el ámbito puramente procesal y determina, en último término, que los indicios aportados por el demandante desplieguen toda su operatividad. Por esta razón, la sentencia de la Sala de lo Social del Tribunal Superior de Justicia de Madrid impugnada en el presente recurso de amparo no cumplió con las exigencias de la doctrina constitucional sobre la distribución de la carga de la prueba en los supuestos en que se invoca y acredita la existencia de indicios de lesión de derechos fundamentales por el trabajador en la actuación empresarial y, por consiguiente, no solo no reparó sino que también lesionó el derecho del recurrente a la libertad ideológica (art. 16.1 CE), en conexión con aquellos otros derechos que también son cauce del principio democrático participativo como son los de libertad de expresión [art. 20.1 a) CE] y de reunión art. 21 CE), también afectados en el presente caso.</w:t>
      </w:r>
    </w:p>
    <w:p w14:paraId="172772D7" w14:textId="77777777" w:rsidR="008D479B" w:rsidRDefault="008D479B" w:rsidP="008D479B">
      <w:pPr>
        <w:pStyle w:val="TextoNormal"/>
      </w:pPr>
    </w:p>
    <w:p w14:paraId="40BE6043" w14:textId="748E7CEE" w:rsidR="008D479B" w:rsidRDefault="008D479B" w:rsidP="008D479B">
      <w:pPr>
        <w:pStyle w:val="TextoNormal"/>
      </w:pPr>
      <w:r>
        <w:t>Las consideraciones que anteceden conducen a la estimación del amparo. Solo resta, sin embargo, antes de pronunciar el fallo al que conduce la presente sentencia, determinar el alcance de los pronunciamientos previstos en el art. 55 LOTC. Dado que la sentencia núm. 217/2018, de 15 de junio, del Juzgado de lo Social núm. 27 de Madrid, declaró la nulidad de la conducta de la empresa por lesión del derecho fundamental, bastará para restablecer al recurrente en amparo en la integridad de su derecho con confirmarla en todos sus pronunciamientos, anulando tanto la sentencia núm. 525/2019, de 29 de mayo, de la Sala de lo Social del Tribunal Superior de Justicia de Madrid, así como el auto de 11 de junio de 2020, de la Sala de lo Social del Tribunal Supremo, que ha venido a confirmarla.</w:t>
      </w:r>
    </w:p>
    <w:p w14:paraId="6A39FA71" w14:textId="77777777" w:rsidR="008D479B" w:rsidRDefault="008D479B" w:rsidP="008D479B">
      <w:pPr>
        <w:pStyle w:val="TextoNormal"/>
      </w:pPr>
    </w:p>
    <w:p w14:paraId="538FDAD8" w14:textId="77777777" w:rsidR="008D479B" w:rsidRDefault="008D479B" w:rsidP="008D479B">
      <w:pPr>
        <w:pStyle w:val="TextoNormalCentrado"/>
        <w:keepNext/>
      </w:pPr>
      <w:r>
        <w:t>FALLO</w:t>
      </w:r>
    </w:p>
    <w:p w14:paraId="1FCFE013" w14:textId="04D3FCA4" w:rsidR="008D479B" w:rsidRDefault="008D479B" w:rsidP="008D479B">
      <w:pPr>
        <w:pStyle w:val="TextoNormalCentrado"/>
        <w:keepNext/>
      </w:pPr>
    </w:p>
    <w:p w14:paraId="7F0E14AC" w14:textId="77777777" w:rsidR="008D479B" w:rsidRDefault="008D479B" w:rsidP="008D479B">
      <w:pPr>
        <w:pStyle w:val="TextoNormal"/>
      </w:pPr>
      <w:r>
        <w:t>En atención a todo lo expuesto, el Tribunal Constitucional, por la autoridad que le confiere la Constitución de la Nación española, ha decidido estimar el recurso de amparo interpuesto por don Jaouad Ballasah y, en su virtud:</w:t>
      </w:r>
    </w:p>
    <w:p w14:paraId="4D2DAB34" w14:textId="77777777" w:rsidR="008D479B" w:rsidRDefault="008D479B" w:rsidP="008D479B">
      <w:pPr>
        <w:pStyle w:val="TextoNormal"/>
      </w:pPr>
    </w:p>
    <w:p w14:paraId="507C8772" w14:textId="77777777" w:rsidR="008D479B" w:rsidRDefault="008D479B" w:rsidP="008D479B">
      <w:pPr>
        <w:pStyle w:val="TextoNormal"/>
      </w:pPr>
      <w:r>
        <w:t>1º Declarar que ha sido vulnerado su derecho a la libertad ideológica (art. 16.1 CE), en conexión con los derechos a la libertad de expresión [art. 20.1 a) CE] y de reunión (art. 21 CE).</w:t>
      </w:r>
    </w:p>
    <w:p w14:paraId="405A475D" w14:textId="77777777" w:rsidR="008D479B" w:rsidRDefault="008D479B" w:rsidP="008D479B">
      <w:pPr>
        <w:pStyle w:val="TextoNormal"/>
      </w:pPr>
    </w:p>
    <w:p w14:paraId="75071693" w14:textId="77777777" w:rsidR="008D479B" w:rsidRDefault="008D479B" w:rsidP="008D479B">
      <w:pPr>
        <w:pStyle w:val="TextoNormal"/>
      </w:pPr>
      <w:r>
        <w:t>2º Restablecerle en su derecho y, a tal fin, declarar la nulidad de la sentencia núm. 525/2019, de 29 de mayo de 2019, de la Sala de lo Social del Tribunal Superior de Justicia de Madrid (recurso de suplicación núm. 19-2019), y en la medida en que declaró su firmeza, del auto de 11 de junio de 2020, de la Sala de lo Social del Tribunal Supremo (recurso de casación para la unificación de doctrina núm. 3594-2019).</w:t>
      </w:r>
    </w:p>
    <w:p w14:paraId="3114E44D" w14:textId="77777777" w:rsidR="008D479B" w:rsidRDefault="008D479B" w:rsidP="008D479B">
      <w:pPr>
        <w:pStyle w:val="TextoNormal"/>
      </w:pPr>
    </w:p>
    <w:p w14:paraId="20C1BD81" w14:textId="09871892" w:rsidR="008D479B" w:rsidRDefault="008D479B" w:rsidP="008D479B">
      <w:pPr>
        <w:pStyle w:val="TextoNormal"/>
      </w:pPr>
      <w:r>
        <w:t>3º Declarar la firmeza de la sentencia núm. 217/2018, de 15 de junio de 2018, del Juzgado de lo Social núm. 27 de Madrid (autos de despido núm. 1069-2017).</w:t>
      </w:r>
    </w:p>
    <w:p w14:paraId="38B172C8" w14:textId="77777777" w:rsidR="008D479B" w:rsidRDefault="008D479B" w:rsidP="008D479B">
      <w:pPr>
        <w:pStyle w:val="TextoNormal"/>
      </w:pPr>
    </w:p>
    <w:p w14:paraId="39A37B26" w14:textId="77777777" w:rsidR="008D479B" w:rsidRDefault="008D479B" w:rsidP="008D479B">
      <w:pPr>
        <w:pStyle w:val="TextoNormal"/>
      </w:pPr>
      <w:r>
        <w:t>Publíquese esta sentencia en el “Boletín Oficial del Estado”.</w:t>
      </w:r>
    </w:p>
    <w:p w14:paraId="6B2A0C8A" w14:textId="77777777" w:rsidR="008D479B" w:rsidRDefault="008D479B" w:rsidP="008D479B">
      <w:pPr>
        <w:pStyle w:val="TextoNormal"/>
      </w:pPr>
      <w:r>
        <w:t>Dada en Madrid, a tres de julio de dos mil veintitrés.</w:t>
      </w:r>
    </w:p>
    <w:p w14:paraId="17EFA3AA" w14:textId="5F667EFB" w:rsidR="008D479B" w:rsidRDefault="008D479B">
      <w:pPr>
        <w:spacing w:after="160" w:line="278" w:lineRule="auto"/>
        <w:rPr>
          <w:rFonts w:ascii="Times New Roman" w:eastAsia="Times New Roman" w:hAnsi="Times New Roman" w:cs="Times New Roman"/>
          <w:sz w:val="24"/>
          <w:szCs w:val="24"/>
          <w:lang w:eastAsia="es-ES"/>
        </w:rPr>
      </w:pPr>
      <w:r>
        <w:br w:type="page"/>
      </w:r>
    </w:p>
    <w:p w14:paraId="385BE94F" w14:textId="77777777" w:rsidR="008D479B" w:rsidRDefault="008D479B" w:rsidP="008D479B">
      <w:pPr>
        <w:pStyle w:val="TtuloResolucin"/>
      </w:pPr>
      <w:bookmarkStart w:id="5" w:name="SENTENCIA_2023_80"/>
      <w:r>
        <w:t>SENTENCIA 80/2023, de 3 de julio de 2023</w:t>
      </w:r>
    </w:p>
    <w:bookmarkEnd w:id="5"/>
    <w:p w14:paraId="3A62BE9D" w14:textId="77777777" w:rsidR="008D479B" w:rsidRDefault="008D479B" w:rsidP="008D479B">
      <w:pPr>
        <w:pStyle w:val="TtuloResolucin"/>
      </w:pPr>
      <w:r>
        <w:t>Sala Primera</w:t>
      </w:r>
    </w:p>
    <w:p w14:paraId="47E455C1" w14:textId="77777777" w:rsidR="008D479B" w:rsidRDefault="008D479B" w:rsidP="008D479B">
      <w:pPr>
        <w:pStyle w:val="TtuloBOE"/>
      </w:pPr>
      <w:r>
        <w:t>(BOE núm. 184, de 3 de agosto de 2023)</w:t>
      </w:r>
    </w:p>
    <w:p w14:paraId="6C0458B0" w14:textId="77777777" w:rsidR="008D479B" w:rsidRDefault="008D479B" w:rsidP="008D479B">
      <w:pPr>
        <w:pStyle w:val="TextoNormalCentrado"/>
      </w:pPr>
      <w:r>
        <w:t>ECLI:ES:TC:2023:80</w:t>
      </w:r>
    </w:p>
    <w:p w14:paraId="1C5333F0" w14:textId="3EFC3184" w:rsidR="008D479B" w:rsidRDefault="008D479B" w:rsidP="008D479B">
      <w:pPr>
        <w:pStyle w:val="TextoNormalCentrado"/>
      </w:pPr>
    </w:p>
    <w:p w14:paraId="3E877943" w14:textId="77777777" w:rsidR="008D479B" w:rsidRDefault="008D479B" w:rsidP="008D479B">
      <w:pPr>
        <w:pStyle w:val="SntesisDescriptiva"/>
      </w:pPr>
      <w:r>
        <w:t>Recurso de amparo 4255-2020. Promovido por doña Noemí López Madariaga en relación con las resoluciones dictadas por las salas de lo contencioso-administrativo del Tribunal Supremo y del Tribunal Superior de Justicia de Madrid y un juzgado de la capital, que desestimaron su impugnación de la resolución administrativa sancionadora que acordó su expulsión del territorio nacional.</w:t>
      </w:r>
    </w:p>
    <w:p w14:paraId="2A578B6A" w14:textId="490ACDD6" w:rsidR="008D479B" w:rsidRDefault="008D479B" w:rsidP="008D479B">
      <w:pPr>
        <w:pStyle w:val="SntesisDescriptiva"/>
      </w:pPr>
    </w:p>
    <w:p w14:paraId="7BD965A0" w14:textId="77777777" w:rsidR="008D479B" w:rsidRDefault="008D479B" w:rsidP="008D479B">
      <w:pPr>
        <w:pStyle w:val="SntesisAnaltica"/>
      </w:pPr>
      <w:r>
        <w:t>Vulneración de los derechos a la tutela judicial efectiva y a la legalidad sancionadora: aplicación irrazonable de la norma sancionadora que, anteponiendo la expulsión a la multa, infringió la garantía material del derecho (STC 47/2023).</w:t>
      </w:r>
    </w:p>
    <w:p w14:paraId="20E0710F" w14:textId="5D5E0B03" w:rsidR="008D479B" w:rsidRDefault="008D479B" w:rsidP="008D479B">
      <w:pPr>
        <w:pStyle w:val="SntesisAnaltica"/>
      </w:pPr>
    </w:p>
    <w:p w14:paraId="3ECF0776" w14:textId="275DFD74" w:rsidR="008D479B" w:rsidRDefault="008D479B" w:rsidP="008D479B">
      <w:pPr>
        <w:pStyle w:val="Extracto"/>
      </w:pPr>
      <w:r>
        <w:t>1.</w:t>
      </w:r>
      <w:r>
        <w:tab/>
        <w:t>Reiteración de doctrina sobre vulneración de los derechos fundamentales a la legalidad sancionadora -garantía material- y a la tutela judicial efectiva (STC 47/2023) [FJ 3].</w:t>
      </w:r>
    </w:p>
    <w:p w14:paraId="0098CD77" w14:textId="77777777" w:rsidR="008D479B" w:rsidRDefault="008D479B" w:rsidP="008D479B">
      <w:pPr>
        <w:pStyle w:val="Extracto"/>
      </w:pPr>
    </w:p>
    <w:p w14:paraId="36965BE1" w14:textId="7AD47DF2" w:rsidR="008D479B" w:rsidRDefault="008D479B" w:rsidP="008D479B">
      <w:pPr>
        <w:pStyle w:val="Extracto"/>
      </w:pPr>
      <w:r>
        <w:t>2.</w:t>
      </w:r>
      <w:r>
        <w:tab/>
        <w:t>En materia de situación irregular de nacionales de terceros países en el territorio de un Estado miembro, cuando la normativa nacional imponga o bien una sanción de multa, o bien la expulsión, teniendo en cuenta que esta segunda medida solo puede adoptarse si existen circunstancias agravantes, la autoridad nacional competente no podrá aplicar directamente la Directiva 2008/115/CE para adoptar y hacer cumplir una decisión de retorno aun cuando no existan circunstancias agravantes (SSTJUE de 8 de octubre de 2020, MO c. Subdelegación del Gobierno en Toledo, asunto C-568/19;  y de 3 de marzo de 2022, UN c. Subdelegación del Gobierno en Pontevedra, asunto C-409/20) [FJ 3].</w:t>
      </w:r>
    </w:p>
    <w:p w14:paraId="5CDB4FED" w14:textId="77777777" w:rsidR="008D479B" w:rsidRDefault="008D479B" w:rsidP="008D479B">
      <w:pPr>
        <w:pStyle w:val="Extracto"/>
      </w:pPr>
    </w:p>
    <w:p w14:paraId="6BE3BB0E" w14:textId="77777777" w:rsidR="008D479B" w:rsidRDefault="008D479B" w:rsidP="008D479B">
      <w:pPr>
        <w:pStyle w:val="Extracto"/>
      </w:pPr>
    </w:p>
    <w:p w14:paraId="4C8CED0F" w14:textId="77777777" w:rsidR="008D479B" w:rsidRDefault="008D479B" w:rsidP="008D479B">
      <w:pPr>
        <w:pStyle w:val="TextoNormal"/>
      </w:pPr>
      <w:r>
        <w:t>La Sala Primera del Tribunal Constitucional, compuesta por el magistrado don Cándido Conde-Pumpido Tourón, presidente, y los magistrados y magistradas don Ricardo Enríquez Sancho, doña Concepción Espejel Jorquera, doña María Luisa Segoviano Astaburuaga y don Juan Carlos Campo Moreno, ha pronunciado</w:t>
      </w:r>
    </w:p>
    <w:p w14:paraId="0815BCD8" w14:textId="550F71C8" w:rsidR="008D479B" w:rsidRDefault="008D479B" w:rsidP="008D479B">
      <w:pPr>
        <w:pStyle w:val="TextoNormal"/>
      </w:pPr>
    </w:p>
    <w:p w14:paraId="71D2E79A" w14:textId="77777777" w:rsidR="008D479B" w:rsidRDefault="008D479B" w:rsidP="008D479B">
      <w:pPr>
        <w:pStyle w:val="TextoNormalCentrado"/>
        <w:keepNext/>
      </w:pPr>
      <w:r>
        <w:t>EN NOMBRE DEL REY</w:t>
      </w:r>
    </w:p>
    <w:p w14:paraId="145B242C" w14:textId="07876FA6" w:rsidR="008D479B" w:rsidRDefault="008D479B" w:rsidP="008D479B">
      <w:pPr>
        <w:pStyle w:val="TextoNormalCentrado"/>
        <w:keepNext/>
      </w:pPr>
    </w:p>
    <w:p w14:paraId="3D0BF4C7" w14:textId="77777777" w:rsidR="008D479B" w:rsidRDefault="008D479B" w:rsidP="008D479B">
      <w:pPr>
        <w:pStyle w:val="TextoNormalCentrado"/>
        <w:keepNext/>
      </w:pPr>
    </w:p>
    <w:p w14:paraId="71014822" w14:textId="77777777" w:rsidR="008D479B" w:rsidRDefault="008D479B" w:rsidP="008D479B">
      <w:pPr>
        <w:pStyle w:val="TextoNormal"/>
      </w:pPr>
      <w:r>
        <w:t>la siguiente</w:t>
      </w:r>
    </w:p>
    <w:p w14:paraId="3B5B2AD8" w14:textId="338784E0" w:rsidR="008D479B" w:rsidRDefault="008D479B" w:rsidP="008D479B">
      <w:pPr>
        <w:pStyle w:val="TextoNormal"/>
      </w:pPr>
    </w:p>
    <w:p w14:paraId="162F83C9" w14:textId="77777777" w:rsidR="008D479B" w:rsidRDefault="008D479B" w:rsidP="008D479B">
      <w:pPr>
        <w:pStyle w:val="TextoNormalCentrado"/>
        <w:keepNext/>
      </w:pPr>
      <w:r>
        <w:t>SENTENCIA</w:t>
      </w:r>
    </w:p>
    <w:p w14:paraId="7D2BE1BA" w14:textId="177FA026" w:rsidR="008D479B" w:rsidRDefault="008D479B" w:rsidP="008D479B">
      <w:pPr>
        <w:pStyle w:val="TextoNormalCentrado"/>
        <w:keepNext/>
      </w:pPr>
    </w:p>
    <w:p w14:paraId="5DA99469" w14:textId="77777777" w:rsidR="008D479B" w:rsidRDefault="008D479B" w:rsidP="008D479B">
      <w:pPr>
        <w:pStyle w:val="TextoNormal"/>
      </w:pPr>
      <w:r>
        <w:t>En el recurso de amparo núm. 4255-2020, promovido por doña Noemí López Madariaga, contra los siguientes actos de los poderes públicos: (i) la resolución de la delegada del Gobierno en Madrid, de 24 de enero de 2018, decretando la expulsión de la recurrente del territorio nacional, con prohibición de entrada en España por un periodo de tres años; (ii) la sentencia del Juzgado de lo Contencioso-Administrativo núm. 16 de Madrid, de 5 de marzo de 2019, que desestimó el recurso contencioso-administrativo interpuesto contra la resolución administrativa citada; (iii) la sentencia de la Sección Décima de la Sala de lo Contencioso-Administrativo del Tribunal Superior de Justicia de Madrid, de 30 de septiembre de 2019, que desestimó el recurso de apelación interpuesto contra la sentencia de primera instancia; (iv) la providencia de la Sección Primera de la Sala de lo Contencioso-Administrativa del Tribunal Supremo, de 11 de mayo de 2020, por la que se inadmitió a trámite el recurso de casación promovido contra la sentencia de apelación; y (v) la providencia de la misma sala y sección del Tribunal Supremo, de 15 de julio de 2020, que inadmitió el incidente de nulidad de actuaciones interpuesto contra la anterior providencia de 11 de mayo. Han intervenido el abogado del Estado y el Ministerio Fiscal. Ha sido ponente el magistrado don Ricardo Enríquez Sancho.</w:t>
      </w:r>
    </w:p>
    <w:p w14:paraId="642F4319" w14:textId="1C61593F" w:rsidR="008D479B" w:rsidRDefault="008D479B" w:rsidP="008D479B">
      <w:pPr>
        <w:pStyle w:val="TextoNormal"/>
      </w:pPr>
    </w:p>
    <w:p w14:paraId="3D8F6A16" w14:textId="77777777" w:rsidR="008D479B" w:rsidRDefault="008D479B" w:rsidP="008D479B">
      <w:pPr>
        <w:pStyle w:val="TextoNormalNegritaCentrado"/>
        <w:keepNext/>
      </w:pPr>
      <w:r>
        <w:t>I. Antecedentes</w:t>
      </w:r>
    </w:p>
    <w:p w14:paraId="327482D5" w14:textId="3ACBF554" w:rsidR="008D479B" w:rsidRDefault="008D479B" w:rsidP="008D479B">
      <w:pPr>
        <w:pStyle w:val="TextoNormalNegritaCentrado"/>
        <w:keepNext/>
      </w:pPr>
    </w:p>
    <w:p w14:paraId="76F9DC32" w14:textId="00593B3B" w:rsidR="008D479B" w:rsidRDefault="008D479B" w:rsidP="008D479B">
      <w:pPr>
        <w:pStyle w:val="TextoNormal"/>
      </w:pPr>
      <w:r w:rsidRPr="008D479B">
        <w:rPr>
          <w:rStyle w:val="NumeroAFNegritaCaracter"/>
        </w:rPr>
        <w:t>1</w:t>
      </w:r>
      <w:r>
        <w:t>. Mediante escrito presentado en el registro general de este tribunal el 8 de septiembre de 2020, el procurador de los tribunales don José Luis Pesquera García, actuando en nombre y representación de doña Noemí López Madariaga, bajo la defensa del abogado don José Manuel Beltrán Cristóbal, interpuso demanda de amparo contra las resoluciones arriba mencionadas.</w:t>
      </w:r>
    </w:p>
    <w:p w14:paraId="4D9C2E28" w14:textId="77777777" w:rsidR="008D479B" w:rsidRDefault="008D479B" w:rsidP="008D479B">
      <w:pPr>
        <w:pStyle w:val="TextoNormal"/>
      </w:pPr>
    </w:p>
    <w:p w14:paraId="70CF5C73" w14:textId="77777777" w:rsidR="008D479B" w:rsidRDefault="008D479B" w:rsidP="008D479B">
      <w:pPr>
        <w:pStyle w:val="TextoNormal"/>
      </w:pPr>
      <w:r w:rsidRPr="008D479B">
        <w:rPr>
          <w:rStyle w:val="NumeroAFNegritaCaracter"/>
        </w:rPr>
        <w:t>2</w:t>
      </w:r>
      <w:r>
        <w:t>. Los hechos con relevancia para la resolución del presente recurso de amparo y a los que se refiere la demanda presentada, son los siguientes:</w:t>
      </w:r>
    </w:p>
    <w:p w14:paraId="3C020417" w14:textId="77777777" w:rsidR="008D479B" w:rsidRDefault="008D479B" w:rsidP="008D479B">
      <w:pPr>
        <w:pStyle w:val="TextoNormal"/>
      </w:pPr>
    </w:p>
    <w:p w14:paraId="3128DC84" w14:textId="77777777" w:rsidR="008D479B" w:rsidRDefault="008D479B" w:rsidP="008D479B">
      <w:pPr>
        <w:pStyle w:val="TextoNormal"/>
      </w:pPr>
      <w:r>
        <w:t>a) Con fecha 24 de enero de 2018 la delegada del Gobierno en Madrid dictó resolución en el expediente núm. 280020180001035, acordando decretar la expulsión de la recurrente del territorio nacional, con prohibición de retorno al mismo por un periodo de tres años, “a contar desde la fecha en que se lleve a efecto”. En el apartado de los hechos se recoge que la recurrente, natural de Nicaragua: “[a]l ser requerid[a] por fuerzas policiales, el día 13 de octubre de 2014 para proceder a su identificación y tras las actuaciones llevadas a cabo con posterioridad, se ha comprobado que no dispone de documento alguno que acredite la situación de estancia o residencia legal en España”. Y en el apartado de fundamentos de Derecho se indica que los hechos expuestos “son constitutivos de una infracción prevista en el art. 53.1 a) de la ley orgánica citada [Ley Orgánica 4/2000, de 11 de enero, sobre derechos y libertades de los extranjeros en España y su integración social (LOEx)] donde se tipifica como infracción grave el encontrarse irregularmente en territorio español por no haber obtenido la prórroga de estancia, carecer de autorización de residencia o tener caducada más de tres meses la mencionada autorización, y siempre que el interesado no hubiera solicitado la renovación de la misma en el plazo previsto reglamentariamente”.</w:t>
      </w:r>
    </w:p>
    <w:p w14:paraId="36526C13" w14:textId="77777777" w:rsidR="008D479B" w:rsidRDefault="008D479B" w:rsidP="008D479B">
      <w:pPr>
        <w:pStyle w:val="TextoNormal"/>
      </w:pPr>
    </w:p>
    <w:p w14:paraId="2F4208EB" w14:textId="77777777" w:rsidR="008D479B" w:rsidRDefault="008D479B" w:rsidP="008D479B">
      <w:pPr>
        <w:pStyle w:val="TextoNormal"/>
      </w:pPr>
      <w:r>
        <w:t>b) Se interpuso por la ahora demandante de amparo recurso contencioso-administrativo contra la resolución antedicha, en el que se alegó, en primer lugar, que la resolución impugnada carecía de motivación, lo que “ha dado lugar a una indefensión, puesto que mi representada desconoce las razones reales por las cuales se ha dictado el decreto de expulsión. Produciéndose una vulneración del art. 24 de la Constitución”. Asimismo, el escrito cuestionó la falta de proporcionalidad de la sanción impuesta, dado que la recurrente no tiene antecedentes penales y había acreditado su arraigo en España, por lo que en todo caso debía ser merecedora de una multa en su grado mínimo. “Por lo que es perfectamente posible, y así lo aconseja el principio de proporcionalidad, que se anule la sanción de expulsión y se sustituya por la sanción económica en su cuantía mínima legal a pesar de la sentencia de 23 de abril de 2015 del Tribunal de Justicia de la Unión Europea, invocada ahora con carácter frecuente por la administración y aplicada con cierto automatismo en [el] presente procedimiento”.</w:t>
      </w:r>
    </w:p>
    <w:p w14:paraId="71A8F496" w14:textId="77777777" w:rsidR="008D479B" w:rsidRDefault="008D479B" w:rsidP="008D479B">
      <w:pPr>
        <w:pStyle w:val="TextoNormal"/>
      </w:pPr>
    </w:p>
    <w:p w14:paraId="65673997" w14:textId="77777777" w:rsidR="008D479B" w:rsidRDefault="008D479B" w:rsidP="008D479B">
      <w:pPr>
        <w:pStyle w:val="TextoNormal"/>
      </w:pPr>
      <w:r>
        <w:t>El Juzgado de lo Contencioso-administrativo núm. 16 de Madrid, encargado del caso (procedimiento abreviado núm. 148-2018), dictó sentencia el 5 de marzo de 2019 desestimando el recurso. Respecto de este motivo de impugnación, la sentencia se refiere en su fundamento de Derecho segundo a la sentencia del Tribunal de Justicia de la Unión Europea (STJUE) de 23 de abril de 2015, que reproduce en algunos de sus fundamentos jurídicos. A continuación el juzgado explica (FJ 3) que a raíz de aquella sentencia la jurisprudencia del Tribunal Supremo en la materia fue objeto de revisión, entre otras, en la sentencia de 12 de junio de 2018, que a su vez también reproduce en parte y conforme a la cual el Alto Tribunal entiende que solo cabe imponer en estos casos la sanción de expulsión del territorio nacional por estancia ilegal, tipificada como infracción grave en el art. 53.1 a) LOEx, salvo que la persona se encuentre en alguno de los supuestos de excepción del art. 6, apartados 2 a 5, de la Directiva 2008/115/CE, del Parlamento Europeo y del Consejo, de 16 de diciembre de 2008, “relativa a normas y procedimientos comunes en los Estados miembros para el retorno de los nacionales de terceros países en situación irregular” también conocida como “Directiva de retorno”. Tras lo expuesto, razona el juzgado en el fundamento de Derecho cuarto:</w:t>
      </w:r>
    </w:p>
    <w:p w14:paraId="1783979A" w14:textId="77777777" w:rsidR="008D479B" w:rsidRDefault="008D479B" w:rsidP="008D479B">
      <w:pPr>
        <w:pStyle w:val="TextoNormal"/>
      </w:pPr>
    </w:p>
    <w:p w14:paraId="4C2DD72D" w14:textId="77777777" w:rsidR="008D479B" w:rsidRDefault="008D479B" w:rsidP="008D479B">
      <w:pPr>
        <w:pStyle w:val="TextoNormal"/>
      </w:pPr>
      <w:r>
        <w:t>“En definitiva, aunque a la recurrente no le consta ningún otro hecho negativo más allá de la estancia irregular, hemos de tener en cuenta las sentencias que han sido transcritas del Tribunal de Justicia de la Unión Europea y del Tribunal Supremo, que prevén la expulsión como única medida de aplicación a situaciones irregulares, salvo que concurra alguna situación de arraigo prevista en el artículo 6 de la Directiva, que enervaría la resolución de expulsión.</w:t>
      </w:r>
    </w:p>
    <w:p w14:paraId="69E87C2B" w14:textId="77777777" w:rsidR="008D479B" w:rsidRDefault="008D479B" w:rsidP="008D479B">
      <w:pPr>
        <w:pStyle w:val="TextoNormal"/>
      </w:pPr>
    </w:p>
    <w:p w14:paraId="3473F017" w14:textId="77777777" w:rsidR="008D479B" w:rsidRDefault="008D479B" w:rsidP="008D479B">
      <w:pPr>
        <w:pStyle w:val="TextoNormal"/>
      </w:pPr>
      <w:r>
        <w:t>Examinado el expediente y las actuaciones judiciales, no se acredita que aquella se encuentre en ninguna situación de arraigo de las previstas en la citada directiva, pues no se aporta ni un solo documento al respecto, ya que lo único que aporta son certificados de envío de dinero a su país, circunstancia que no incide en el arraigo invocado y menos aún, acredita ninguno de los supuestos previstos en la citada directiva”.</w:t>
      </w:r>
    </w:p>
    <w:p w14:paraId="326B3CBE" w14:textId="77777777" w:rsidR="008D479B" w:rsidRDefault="008D479B" w:rsidP="008D479B">
      <w:pPr>
        <w:pStyle w:val="TextoNormal"/>
      </w:pPr>
    </w:p>
    <w:p w14:paraId="5788C749" w14:textId="77777777" w:rsidR="008D479B" w:rsidRDefault="008D479B" w:rsidP="008D479B">
      <w:pPr>
        <w:pStyle w:val="TextoNormal"/>
      </w:pPr>
      <w:r>
        <w:t>c) Contra dicha sentencia la misma parte procesal promovió recurso de apelación, en el que alegó la “infracción del principio de proporcionalidad de la sanción. La multa prevista en el art. 55.1 a) de la Ley Orgánica 4/2000 es de aplicación general, mientras que la sanción establecida en el art. 57.1 de la misma ley tendría un carácter excepcional, pues establece que ‘podrá aplicarse, en atención al principio de proporcionalidad, en lugar de la sanción de multa, la expulsión del territorio español’. La sentencia parece invertir los términos establecidos, vulnerándose el derecho a la tutela judicial efectiva del artículo 24.l de la Constitución puesto que carece de una motivación respecto a la cuestión planteada que es la falta de proporcionalidad, infringiéndose el deber de motivación del artículo 120.3 de la Constitución, de tal manera que la sanción de expulsión sería la que tendría un carácter general mientras que la sanción de multa la considera algo más bien excepcional. […]. Además de esto la sentencia que se recurre en apelación no analiza las circunstancias concretas del caso”.</w:t>
      </w:r>
    </w:p>
    <w:p w14:paraId="2880424E" w14:textId="77777777" w:rsidR="008D479B" w:rsidRDefault="008D479B" w:rsidP="008D479B">
      <w:pPr>
        <w:pStyle w:val="TextoNormal"/>
      </w:pPr>
    </w:p>
    <w:p w14:paraId="6552E5A4" w14:textId="77777777" w:rsidR="008D479B" w:rsidRDefault="008D479B" w:rsidP="008D479B">
      <w:pPr>
        <w:pStyle w:val="TextoNormal"/>
      </w:pPr>
      <w:r>
        <w:t>La Sección Décima de la Sala de lo Contencioso-Administrativo del Tribunal Superior de Justicia de Madrid, una vez tramitado el procedimiento (recurso de apelación núm. 572-2019), dictó sentencia el 30 de septiembre de 2019 en sentido desestimatorio, confirmando la resolución de primera instancia. El Tribunal de alzada, fundamento de Derecho segundo, asume los argumentos del juzgado, invocando la STJUE de 23 de abril de 2015 y el principio de primacía del Derecho de la Unión Europea a la que se refiere la sentencia de la Sección Quinta, Sala Tercera, del Tribunal Supremo citada por el juzgado, en el sentido de declarar que la medida de expulsión es lo procedente en situaciones de estancia irregular, salvo los supuestos de excepción del art. 6, apartados 2 a 5 de la Directiva 2008/115/CE, “o, en su caso, de los supuestos del art. 5 que propicien la aplicación del principio de no devolución”. En su aplicación al asunto de autos, razona en el fundamento de Derecho tercero la sentencia de apelación:</w:t>
      </w:r>
    </w:p>
    <w:p w14:paraId="269F0BC8" w14:textId="77777777" w:rsidR="008D479B" w:rsidRDefault="008D479B" w:rsidP="008D479B">
      <w:pPr>
        <w:pStyle w:val="TextoNormal"/>
      </w:pPr>
    </w:p>
    <w:p w14:paraId="2809EF9B" w14:textId="77777777" w:rsidR="008D479B" w:rsidRDefault="008D479B" w:rsidP="008D479B">
      <w:pPr>
        <w:pStyle w:val="TextoNormal"/>
      </w:pPr>
      <w:r>
        <w:t>“En el caso presente: en primer lugar el recurrente, no ha acreditado el arraigo que alega; debe considerarse que la persona afectada puede tener arraigo en España por razón de sus intereses familiares directos, sociales o económicos, con una actividad profesional estable contando con medios lícitos de vida. Sin embargo en ningún caso ha acreditado arraigo que reúna los requisitos anteriores.</w:t>
      </w:r>
    </w:p>
    <w:p w14:paraId="6582AFB6" w14:textId="77777777" w:rsidR="008D479B" w:rsidRDefault="008D479B" w:rsidP="008D479B">
      <w:pPr>
        <w:pStyle w:val="TextoNormal"/>
      </w:pPr>
    </w:p>
    <w:p w14:paraId="1BE218E4" w14:textId="77777777" w:rsidR="008D479B" w:rsidRDefault="008D479B" w:rsidP="008D479B">
      <w:pPr>
        <w:pStyle w:val="TextoNormal"/>
      </w:pPr>
      <w:r>
        <w:t>El simple hecho de llegar a España y empadronarse no constituye arraigo alguno, de acuerdo con el artículo 18.2 de la Ley 7/1985 de bases de régimen local.</w:t>
      </w:r>
    </w:p>
    <w:p w14:paraId="2C329343" w14:textId="77777777" w:rsidR="008D479B" w:rsidRDefault="008D479B" w:rsidP="008D479B">
      <w:pPr>
        <w:pStyle w:val="TextoNormal"/>
      </w:pPr>
    </w:p>
    <w:p w14:paraId="0D1C7C0E" w14:textId="77777777" w:rsidR="008D479B" w:rsidRDefault="008D479B" w:rsidP="008D479B">
      <w:pPr>
        <w:pStyle w:val="TextoNormal"/>
      </w:pPr>
      <w:r>
        <w:t>De todo lo anterior, procede la expulsión por falta de la documentación requerida para residir en España, salvo que concurra alguna de las circunstancias expresadas en los artículos 5 y 6 de la citada directiva.</w:t>
      </w:r>
    </w:p>
    <w:p w14:paraId="778BCB4D" w14:textId="77777777" w:rsidR="008D479B" w:rsidRDefault="008D479B" w:rsidP="008D479B">
      <w:pPr>
        <w:pStyle w:val="TextoNormal"/>
      </w:pPr>
    </w:p>
    <w:p w14:paraId="76191ABB" w14:textId="77777777" w:rsidR="008D479B" w:rsidRDefault="008D479B" w:rsidP="008D479B">
      <w:pPr>
        <w:pStyle w:val="TextoNormal"/>
      </w:pPr>
      <w:r>
        <w:t>En el caso presente, ello no es así: la cuestión planteada por el recurrente no ha sido acogida por las múltiples sentencias dictadas por esta sala a la luz de la referida sentencia del Tribunal de Justicia de la Unión Europea de 23 de abril de 2015, cuando no se ha apreciado la existencia de una vida familiar, conforme la correcta aplicación que del art 5 de la Directiva 2008/115/CE […], y en este caso ni siquiera arraigo social o laboral alguno, recordándose que no consta trámite alguno solicitando regularización, a pesar de llevar varios años en España, y que a falta de este requisito procede la expulsión y no la multa, según el mencionado fallo europeo. (Consideración 22, respeto a la vida familiar).</w:t>
      </w:r>
    </w:p>
    <w:p w14:paraId="38C47CE1" w14:textId="77777777" w:rsidR="008D479B" w:rsidRDefault="008D479B" w:rsidP="008D479B">
      <w:pPr>
        <w:pStyle w:val="TextoNormal"/>
      </w:pPr>
    </w:p>
    <w:p w14:paraId="2A6A581D" w14:textId="77777777" w:rsidR="008D479B" w:rsidRDefault="008D479B" w:rsidP="008D479B">
      <w:pPr>
        <w:pStyle w:val="TextoNormal"/>
      </w:pPr>
      <w:r>
        <w:t>Todo ello ha de conducir, a la confirmación de la sentencia apelada”.</w:t>
      </w:r>
    </w:p>
    <w:p w14:paraId="754C0168" w14:textId="77777777" w:rsidR="008D479B" w:rsidRDefault="008D479B" w:rsidP="008D479B">
      <w:pPr>
        <w:pStyle w:val="TextoNormal"/>
      </w:pPr>
    </w:p>
    <w:p w14:paraId="20F2BC06" w14:textId="77777777" w:rsidR="008D479B" w:rsidRDefault="008D479B" w:rsidP="008D479B">
      <w:pPr>
        <w:pStyle w:val="TextoNormal"/>
      </w:pPr>
      <w:r>
        <w:t>d) Frente a esta última sentencia la recurrente en amparo dedujo escrito de preparación de recurso de casación, alegando entre otros motivos que la recurrida vulneró su derecho fundamental a la tutela judicial efectiva por no haber aplicado el principio de proporcionalidad de la sanción.</w:t>
      </w:r>
    </w:p>
    <w:p w14:paraId="4FF3D8BD" w14:textId="77777777" w:rsidR="008D479B" w:rsidRDefault="008D479B" w:rsidP="008D479B">
      <w:pPr>
        <w:pStyle w:val="TextoNormal"/>
      </w:pPr>
    </w:p>
    <w:p w14:paraId="4C3404C6" w14:textId="77777777" w:rsidR="008D479B" w:rsidRDefault="008D479B" w:rsidP="008D479B">
      <w:pPr>
        <w:pStyle w:val="TextoNormal"/>
      </w:pPr>
      <w:r>
        <w:t>La sección juzgadora dictó auto el 21 de noviembre de 2019 teniendo por preparado el mencionado recurso. Una vez elevadas las actuaciones a la Sala de lo Contencioso-Administrativo del Tribunal Supremo, su Sección Primera dictó providencia el 11 de mayo de 2020 (recurso de casación núm. 7788-2019) acordando su inadmisión a trámite con arreglo al art. 90.4 b), en relación con los arts. 89.2 f) y 90.4 d), todos ellos de la Ley 29/1998, de 13 de julio, reguladora de la jurisdicción contencioso-administrativa (LJCA), por las siguientes causas:</w:t>
      </w:r>
    </w:p>
    <w:p w14:paraId="00C6F083" w14:textId="77777777" w:rsidR="008D479B" w:rsidRDefault="008D479B" w:rsidP="008D479B">
      <w:pPr>
        <w:pStyle w:val="TextoNormal"/>
      </w:pPr>
    </w:p>
    <w:p w14:paraId="48AA0D63" w14:textId="77777777" w:rsidR="008D479B" w:rsidRDefault="008D479B" w:rsidP="008D479B">
      <w:pPr>
        <w:pStyle w:val="TextoNormal"/>
      </w:pPr>
      <w:r>
        <w:t>“1) Falta de fundamentación sobre la concurrencia del supuesto invocado del apartado a) y f) del art. 88.2 LJCA, y a) del art. 88.3 LJCA, de los que se infiere el interés casacional y la conveniencia de un pronunciamiento de esta Sala del Tribunal Supremo, sin que respecto del art. 88.3 a) LJCA, se haya justificado la concurrencia del presupuesto para que opere la presunción; 2) carencia de interés casacional objetivo para la formación de jurisprudencia, habiendo sido dictadas sobre la cuestión controvertida y en sentido desfavorable a su pretensión las STS 980/18, de 12 de junio, recurso núm. 2958-17; STS 1716/18, de 27 de noviembre, recurso núm. 5819-17; STS 1817/18, de 19 de diciembre de 2018, recurso núm. 5248-17; STS 1818/18, de 19 de diciembre, recurso núm. 6533-17)”.</w:t>
      </w:r>
    </w:p>
    <w:p w14:paraId="5E4E419E" w14:textId="77777777" w:rsidR="008D479B" w:rsidRDefault="008D479B" w:rsidP="008D479B">
      <w:pPr>
        <w:pStyle w:val="TextoNormal"/>
      </w:pPr>
    </w:p>
    <w:p w14:paraId="1F8337E6" w14:textId="77777777" w:rsidR="008D479B" w:rsidRDefault="008D479B" w:rsidP="008D479B">
      <w:pPr>
        <w:pStyle w:val="TextoNormal"/>
      </w:pPr>
      <w:r>
        <w:t>e) Notificada esta última resolución, contra ella la demandante de amparo interpuso escrito de incidente de nulidad de actuaciones, alegando la infracción del derecho a la tutela judicial efectiva del art. 24.1 CE, “en su vertiente de acceso a los recursos”, así como la infracción de las normas pertinentes del recurso de casación de la LJCA. Luego de discrepar de la doctrina fijada por la STJUE de 23 de abril de 2015, al adolecer de “cierto automatismo” y que sienta “claramente un error” por cuanto la sustitución de la salida del territorio nacional es posible, se defiende que el escrito de preparación del recurso de casación presentado sí cumplió con los requisitos legales para su admisión a trámite “puesto que se identifican las normas que se considera infringidas las cuales han sido determinantes de la sentencia dictada por el Tribunal Superior de Justicia de Madrid, además concurren alguno de los supuestos del artículo 88.2 y 3 de la LJCA, del artículo 88.2 ya lo hemos señalado, concurriendo en nuestra opinión interés casacional objetivo”.</w:t>
      </w:r>
    </w:p>
    <w:p w14:paraId="24D47451" w14:textId="77777777" w:rsidR="008D479B" w:rsidRDefault="008D479B" w:rsidP="008D479B">
      <w:pPr>
        <w:pStyle w:val="TextoNormal"/>
      </w:pPr>
    </w:p>
    <w:p w14:paraId="640A3297" w14:textId="77777777" w:rsidR="008D479B" w:rsidRDefault="008D479B" w:rsidP="008D479B">
      <w:pPr>
        <w:pStyle w:val="TextoNormal"/>
      </w:pPr>
      <w:r>
        <w:t xml:space="preserve">Sigue diciendo el escrito de nulidad que como consecuencia de ello, la inadmisión de su recurso implicó una “vulneración del principio </w:t>
      </w:r>
      <w:r w:rsidRPr="008D479B">
        <w:rPr>
          <w:i/>
        </w:rPr>
        <w:t>pro actione</w:t>
      </w:r>
      <w:r>
        <w:t>” y un “error material patente”, con cita de la STC 238/2002, de 9 de diciembre (la cual resolvió un caso de vulneración del derecho de acceso a la jurisdicción, no de acceso al recurso); suplicando a la sala que con estimación del incidente dictara auto de admisión a trámite de su recurso de casación, “continuando el trámite legalmente establecido”.</w:t>
      </w:r>
    </w:p>
    <w:p w14:paraId="20A11DD5" w14:textId="77777777" w:rsidR="008D479B" w:rsidRDefault="008D479B" w:rsidP="008D479B">
      <w:pPr>
        <w:pStyle w:val="TextoNormal"/>
      </w:pPr>
    </w:p>
    <w:p w14:paraId="0726F1D6" w14:textId="77777777" w:rsidR="008D479B" w:rsidRDefault="008D479B" w:rsidP="008D479B">
      <w:pPr>
        <w:pStyle w:val="TextoNormal"/>
      </w:pPr>
      <w:r>
        <w:t>f) La Sección Primera de la Sala de lo Contencioso-Administrativo del Tribunal Supremo dictó providencia el 15 de julio de 2020, inadmitiendo el incidente de nulidad:</w:t>
      </w:r>
    </w:p>
    <w:p w14:paraId="49A17C56" w14:textId="77777777" w:rsidR="008D479B" w:rsidRDefault="008D479B" w:rsidP="008D479B">
      <w:pPr>
        <w:pStyle w:val="TextoNormal"/>
      </w:pPr>
    </w:p>
    <w:p w14:paraId="1EF22280" w14:textId="77777777" w:rsidR="008D479B" w:rsidRDefault="008D479B" w:rsidP="008D479B">
      <w:pPr>
        <w:pStyle w:val="TextoNormal"/>
      </w:pPr>
      <w:r>
        <w:t xml:space="preserve">“[T]oda vez que no se ha producido en el supuesto de autos infracción alguna del derecho que se dice vulnerado por la providencia de precedente cita: el derecho a la tutela judicial efectiva del art. 24.1 y 2 CE, y principio </w:t>
      </w:r>
      <w:r w:rsidRPr="008D479B">
        <w:rPr>
          <w:i/>
        </w:rPr>
        <w:t>pro actione</w:t>
      </w:r>
      <w:r>
        <w:t>, por haber dado la providencia impugnada una respuesta coherente y compatible con los derechos fundamentales que se dicen vulnerados.</w:t>
      </w:r>
    </w:p>
    <w:p w14:paraId="1FF90542" w14:textId="77777777" w:rsidR="008D479B" w:rsidRDefault="008D479B" w:rsidP="008D479B">
      <w:pPr>
        <w:pStyle w:val="TextoNormal"/>
      </w:pPr>
    </w:p>
    <w:p w14:paraId="7F3F7AD3" w14:textId="77777777" w:rsidR="008D479B" w:rsidRDefault="008D479B" w:rsidP="008D479B">
      <w:pPr>
        <w:pStyle w:val="TextoNormal"/>
      </w:pPr>
      <w:r>
        <w:t>Tanto el Tribunal Constitucional, como este Tribunal Supremo, de forma reiterada y sin fisuras, vienen declarando que una decisión de inadmisión no afecta al derecho a la tutela judicial efectiva siempre que se funde en una causa legalmente establecida, como aquí acaece.</w:t>
      </w:r>
    </w:p>
    <w:p w14:paraId="6535D983" w14:textId="77777777" w:rsidR="008D479B" w:rsidRDefault="008D479B" w:rsidP="008D479B">
      <w:pPr>
        <w:pStyle w:val="TextoNormal"/>
      </w:pPr>
    </w:p>
    <w:p w14:paraId="5B64B920" w14:textId="77777777" w:rsidR="008D479B" w:rsidRDefault="008D479B" w:rsidP="008D479B">
      <w:pPr>
        <w:pStyle w:val="TextoNormal"/>
      </w:pPr>
      <w:r>
        <w:t>El incidente de nulidad de actuaciones, de naturaleza excepcional, tiene la finalidad de denunciar la vulneración de un derecho fundamental de los referidos en el artículo 53.2 de la Constitución, cuando no haya podido denunciarse antes de recaer resolución que ponga fin al proceso y siempre que dicha resolución no sea susceptible de recurso ordinario ni extraordinario, pero, desde luego, no es instrumento adecuado para combatir, como si de un recurso se tratara, la decisión adoptada en la providencia aquí cuestionada, y ello con independencia y al margen de la opinión —que obviamente no será favorable— le pueda merecer al recurrente y del mayor o menor acierto de la decisión.</w:t>
      </w:r>
    </w:p>
    <w:p w14:paraId="34599CC8" w14:textId="77777777" w:rsidR="008D479B" w:rsidRDefault="008D479B" w:rsidP="008D479B">
      <w:pPr>
        <w:pStyle w:val="TextoNormal"/>
      </w:pPr>
    </w:p>
    <w:p w14:paraId="0C19EC1C" w14:textId="77777777" w:rsidR="008D479B" w:rsidRDefault="008D479B" w:rsidP="008D479B">
      <w:pPr>
        <w:pStyle w:val="TextoNormal"/>
      </w:pPr>
      <w:r>
        <w:t>No justifica ni ahonda tampoco la recurrente en su escrito de incidente excepcional de nulidad de actuaciones, por qué habría de ser matizada, aclarada o completada la jurisprudencia existente sobre la cuestión planteada que se cita en la providencia de inadmisión, debiendo incidir, en este punto, en que el cambio jurisprudencial en la materia se produjo a raíz de la STJUE, de 23 de abril de 2015, dictada en el asunto C-38/17, y que el juez nacional, al que le corresponde aplicar el Derecho de la Unión Europea en España, ha de velar por la efectividad de los principios de primacía y efecto directo de las normas comunitarias, (en este caso artículos 6, apartado 1, y 8, apartado 1, de la Directiva 2008/115/CE del Parlamento Europeo y del Consejo, de 16 de diciembre de 2008, relativa a normas y procedimientos comunes en los Estados miembros para el retorno de los nacionales de terceros países en situación irregular), y que la interpretación que, en el ejercicio de la competencia que le confiere el art. 267 del Tratado de funcionamiento de la Unión Europea, hace el Tribunal de Justicia de una norma de Derecho de la Unión aclarando y precisando el significado y el alcance de dicha norma, debe ser aplicada por el juez nacional.</w:t>
      </w:r>
    </w:p>
    <w:p w14:paraId="2B10C124" w14:textId="77777777" w:rsidR="008D479B" w:rsidRDefault="008D479B" w:rsidP="008D479B">
      <w:pPr>
        <w:pStyle w:val="TextoNormal"/>
      </w:pPr>
    </w:p>
    <w:p w14:paraId="50C0998A" w14:textId="77777777" w:rsidR="008D479B" w:rsidRDefault="008D479B" w:rsidP="008D479B">
      <w:pPr>
        <w:pStyle w:val="TextoNormal"/>
      </w:pPr>
      <w:r>
        <w:t>Procede, en consecuencia, inadmitir a trámite el incidente”.</w:t>
      </w:r>
    </w:p>
    <w:p w14:paraId="2E807AAD" w14:textId="77777777" w:rsidR="008D479B" w:rsidRDefault="008D479B" w:rsidP="008D479B">
      <w:pPr>
        <w:pStyle w:val="TextoNormal"/>
      </w:pPr>
    </w:p>
    <w:p w14:paraId="4E710EF9" w14:textId="192BF0CC" w:rsidR="008D479B" w:rsidRDefault="008D479B" w:rsidP="008D479B">
      <w:pPr>
        <w:pStyle w:val="TextoNormal"/>
      </w:pPr>
      <w:r>
        <w:t>g) Notificada esta última resolución se promueve por la misma parte el presente recurso de amparo.</w:t>
      </w:r>
    </w:p>
    <w:p w14:paraId="2CDF499A" w14:textId="77777777" w:rsidR="008D479B" w:rsidRDefault="008D479B" w:rsidP="008D479B">
      <w:pPr>
        <w:pStyle w:val="TextoNormal"/>
      </w:pPr>
    </w:p>
    <w:p w14:paraId="4B9DD825" w14:textId="77777777" w:rsidR="008D479B" w:rsidRDefault="008D479B" w:rsidP="008D479B">
      <w:pPr>
        <w:pStyle w:val="TextoNormal"/>
      </w:pPr>
      <w:r w:rsidRPr="008D479B">
        <w:rPr>
          <w:rStyle w:val="NumeroAFNegritaCaracter"/>
        </w:rPr>
        <w:t>3</w:t>
      </w:r>
      <w:r>
        <w:t>. La demanda de amparo plantea los siguientes motivos:</w:t>
      </w:r>
    </w:p>
    <w:p w14:paraId="38EEDE91" w14:textId="77777777" w:rsidR="008D479B" w:rsidRDefault="008D479B" w:rsidP="008D479B">
      <w:pPr>
        <w:pStyle w:val="TextoNormal"/>
      </w:pPr>
    </w:p>
    <w:p w14:paraId="5D29D812" w14:textId="77777777" w:rsidR="008D479B" w:rsidRDefault="008D479B" w:rsidP="008D479B">
      <w:pPr>
        <w:pStyle w:val="TextoNormal"/>
      </w:pPr>
      <w:r>
        <w:t xml:space="preserve">a) El primero de ellos, la “vulneración del derecho a la tutela judicial efectiva sin indefensión en su vertiente de acceso a los recursos del artículo 24.1 de la Constitución y vulneración del principio </w:t>
      </w:r>
      <w:r w:rsidRPr="008D479B">
        <w:rPr>
          <w:i/>
        </w:rPr>
        <w:t>pro actione</w:t>
      </w:r>
      <w:r>
        <w:t>”: señala la demanda a este respecto que “la providencia de 15 de julio de 2020 adolece de una falta de motivación por cuanto que no da una explicación óptima de por qué se inadmite el incidente de nulidad de actuaciones y la admisión a trámite del recurso de casación, esto ha supuesto una vulneración del derecho a la tutela judicial en su vertiente de acceso a los recursos por incumplimiento del deber de motivación de las resoluciones judiciales consagrado en el artículo 120.3 de la Constitución. La providencia solo se limita a decir que no se cumplen con los requisitos de la Ley de la Jurisdicción de lo Contencioso-Administrativo, pero no hace un análisis ni del escrito promoviendo el incidente de nulidad de actuaciones ni del escrito de preparación del recurso de casación”.</w:t>
      </w:r>
    </w:p>
    <w:p w14:paraId="71AAC599" w14:textId="77777777" w:rsidR="008D479B" w:rsidRDefault="008D479B" w:rsidP="008D479B">
      <w:pPr>
        <w:pStyle w:val="TextoNormal"/>
      </w:pPr>
    </w:p>
    <w:p w14:paraId="5C04A11E" w14:textId="77777777" w:rsidR="008D479B" w:rsidRDefault="008D479B" w:rsidP="008D479B">
      <w:pPr>
        <w:pStyle w:val="TextoNormal"/>
      </w:pPr>
      <w:r>
        <w:t>Cita en su apoyo la STC 96/2015, de 25 de mayo, FJ 3, sobre el canon de control por posible vulneración del derecho al recurso (art. 24.1 CE), incluyendo la inadmisión de un incidente de nulidad de actuaciones que si bien no es técnicamente un recurso, la doctrina de este tribunal viene situando en esta faceta del derecho a la tutela judicial efectiva; pasando a referirse a la providencia que inadmitió su recurso de casación (providencia que data por error en el 19 de septiembre de 2019) para discrepar, como ya lo hizo en el escrito de nulidad presentado ante el Tribunal Supremo, sobre el razonamiento esgrimido para acordar esa inadmisión. Cierra este primer motivo de la demanda de amparo pidiendo a este tribunal que ordene al Tribunal Supremo dictar una resolución que sea respetuosa con el derecho vulnerado.</w:t>
      </w:r>
    </w:p>
    <w:p w14:paraId="4C7B8B8A" w14:textId="77777777" w:rsidR="008D479B" w:rsidRDefault="008D479B" w:rsidP="008D479B">
      <w:pPr>
        <w:pStyle w:val="TextoNormal"/>
      </w:pPr>
    </w:p>
    <w:p w14:paraId="2C21AC10" w14:textId="77777777" w:rsidR="008D479B" w:rsidRDefault="008D479B" w:rsidP="008D479B">
      <w:pPr>
        <w:pStyle w:val="TextoNormal"/>
      </w:pPr>
      <w:r>
        <w:t>b) El segundo motivo alega la “vulneración del derecho a la tutela judicial efectiva del artículo 24.1 de la Constitución por falta de motivación en relación con el artículo 120.3 de la Constitución y por falta de proporcionalidad de la sanción”: dice el escrito “que la providencia de la Sala Tercera del Tribunal Supremo inadmitiendo a trámite el recuro de casación, la sentencia del Tribunal Superior de Justicia y la sentencia del Juzgado de lo Contencioso-Administrativo y la resolución sancionadora de la Delegación del Gobierno en Madrid carecen de motivación infringiendo el artículo 120.3 de la Constitución que impone que las sentencias han de ser siempre motivadas, esto ha dado lugar a una vulneración del derecho a la tutela judicial efectiva del artículo 24.1 de la Constitución. Se trata, por tanto, de una falta de motivación que se ha ido arrastrando desde la resolución administrativa y que se denunció en la demanda de recurso contencioso administrativo”; además de la infracción de normas de legalidad ordinaria. Afirma que la recurrente llevaba ya cinco años en España, empadronada en Alcobendas y trabajando como empleada de hogar, a la fecha de incoación del expediente sancionador, el 13 de octubre de 2017. Tiene “hijos en Nicaragua, los cuales dependen de ella económicamente, pues les manda dinero de forma periódica, extremo también acreditado”. Añade que tanto la sentencia del Juzgado de lo Contencioso-Administrativo como la del tribunal de apelación carecen de la debida motivación, y critica a renglón seguido la interpretación efectuada por la STJUE de 23 de abril de 2015 de las reglas de la Directiva de retorno, que considera “profundamente equivocada”.</w:t>
      </w:r>
    </w:p>
    <w:p w14:paraId="07A13C6C" w14:textId="77777777" w:rsidR="008D479B" w:rsidRDefault="008D479B" w:rsidP="008D479B">
      <w:pPr>
        <w:pStyle w:val="TextoNormal"/>
      </w:pPr>
    </w:p>
    <w:p w14:paraId="546DDF4A" w14:textId="35A7B8DC" w:rsidR="008D479B" w:rsidRDefault="008D479B" w:rsidP="008D479B">
      <w:pPr>
        <w:pStyle w:val="TextoNormal"/>
      </w:pPr>
      <w:r>
        <w:t>En el suplico de la demanda se pide que este tribunal dicte resolución que otorgue el amparo solicitado, declarando la nulidad de la resolución administrativa y de las resoluciones judiciales impugnadas, con retroacción de las actuaciones “al momento procesal anterior al que se dictó la sentencia del Juzgado de lo Contencioso-Administrativo núm. 16 de Madrid para que por ese órgano judicial se dicte sentencia que sea respetuosa con el derecho vulnerado, dictándose una sentencia debidamente motivada. Alternativamente se interesa que se anule la providencia de 15 de julio de 2020 y la providencia 19 de septiembre de 2019 [11 de mayo de 2020] de la Sección Primera de la Sala Tercera del Tribunal Supremo y se ordene que el recurso de casación sea admitido a trámite o que el Tribunal Supremo dicte una resolución respetuosa con el derecho vulnerado”.</w:t>
      </w:r>
    </w:p>
    <w:p w14:paraId="04A700A5" w14:textId="77777777" w:rsidR="008D479B" w:rsidRDefault="008D479B" w:rsidP="008D479B">
      <w:pPr>
        <w:pStyle w:val="TextoNormal"/>
      </w:pPr>
    </w:p>
    <w:p w14:paraId="7D628239" w14:textId="77777777" w:rsidR="008D479B" w:rsidRDefault="008D479B" w:rsidP="008D479B">
      <w:pPr>
        <w:pStyle w:val="TextoNormal"/>
      </w:pPr>
      <w:r w:rsidRPr="008D479B">
        <w:rPr>
          <w:rStyle w:val="NumeroAFNegritaCaracter"/>
        </w:rPr>
        <w:t>4</w:t>
      </w:r>
      <w:r>
        <w:t>. La Sección Primera, Sala Primera, de este Tribunal Constitucional, dictó providencia el 21 de abril de 2021 por la que acordó admitir a trámite el recurso, “apreciando que concurre en el mismo una especial trascendencia constitucional [art. 50.1 de la Ley Orgánica del Tribunal Constitucional (LOTC)] porque el recurso puede dar ocasión al Tribunal para aclarar o cambiar su doctrina, como consecuencia de un cambio en la doctrina de los órganos de garantía encargados de la interpretación de los tratados y acuerdos internacionales a los que se refiere el art. 10.2 CE [STC 155/2009, de 25 de junio, FJ 2 b)]”.</w:t>
      </w:r>
    </w:p>
    <w:p w14:paraId="4ED6B022" w14:textId="77777777" w:rsidR="008D479B" w:rsidRDefault="008D479B" w:rsidP="008D479B">
      <w:pPr>
        <w:pStyle w:val="TextoNormal"/>
      </w:pPr>
    </w:p>
    <w:p w14:paraId="75EBCB98" w14:textId="39EA5585" w:rsidR="008D479B" w:rsidRDefault="008D479B" w:rsidP="008D479B">
      <w:pPr>
        <w:pStyle w:val="TextoNormal"/>
      </w:pPr>
      <w:r>
        <w:t>En la misma resolución se acordó también dirigir atenta comunicación a la Sección Primera de la Sala de lo Contencioso-Administrativo del Tribunal Supremo, a la Sección Décima de la Sala de lo Contencioso-Administrativo del Tribunal Superior de Justicia de Madrid, y al Juzgado de lo Contencioso-Administrativo núm. 16 de Madrid, a fin de que en un plazo no superior a diez días remitieran certificación o fotocopia adverada de las actuaciones correspondientes, respectivamente, al recurso de casación núm. 7788-2019, al recurso de apelación núm. 572-2019 y al procedimiento abreviado núm. 148-2018. Asimismo, se requirió a este último órgano judicial para que procediera a emplazar en el plazo de diez días a quienes hubieran sido parte en el procedimiento referenciado, excepto a la parte recurrente en amparo, por si querían comparecer en el presente proceso constitucional. Con notificación de dicha resolución al abogado del Estado, en representación de la administración interesada, “que le servirá de emplazamiento, para que en el plazo diez días pueda comparecer, si lo estima pertinente en este proceso constitucional, con traslado asimismo y a dichos efectos de copia de la demanda presentada”.</w:t>
      </w:r>
    </w:p>
    <w:p w14:paraId="38C25132" w14:textId="77777777" w:rsidR="008D479B" w:rsidRDefault="008D479B" w:rsidP="008D479B">
      <w:pPr>
        <w:pStyle w:val="TextoNormal"/>
      </w:pPr>
    </w:p>
    <w:p w14:paraId="69EB5F89" w14:textId="3E835957" w:rsidR="008D479B" w:rsidRDefault="008D479B" w:rsidP="008D479B">
      <w:pPr>
        <w:pStyle w:val="TextoNormal"/>
      </w:pPr>
      <w:r w:rsidRPr="008D479B">
        <w:rPr>
          <w:rStyle w:val="NumeroAFNegritaCaracter"/>
        </w:rPr>
        <w:t>5</w:t>
      </w:r>
      <w:r>
        <w:t>. Por medio de escrito presentado en el registro de este tribunal el 11 de mayo de 2021, el abogado del Estado solicitó se le tuviera como parte en el presente recurso de amparo, en la representación que ostenta, entendiéndose con él los posteriores trámites del procedimiento.</w:t>
      </w:r>
    </w:p>
    <w:p w14:paraId="3DC89936" w14:textId="77777777" w:rsidR="008D479B" w:rsidRDefault="008D479B" w:rsidP="008D479B">
      <w:pPr>
        <w:pStyle w:val="TextoNormal"/>
      </w:pPr>
    </w:p>
    <w:p w14:paraId="4E291CDE" w14:textId="704A2371" w:rsidR="008D479B" w:rsidRDefault="008D479B" w:rsidP="008D479B">
      <w:pPr>
        <w:pStyle w:val="TextoNormal"/>
      </w:pPr>
      <w:r w:rsidRPr="008D479B">
        <w:rPr>
          <w:rStyle w:val="NumeroAFNegritaCaracter"/>
        </w:rPr>
        <w:t>6</w:t>
      </w:r>
      <w:r>
        <w:t>. Con fecha 21 de mayo de 2021, la Secretaría de Justicia de la Sala Primera de este tribunal dictó diligencia de ordenación por la que, de un lado, decidió tener por personado y parte al abogado del Estado, y de otro lado acordó dar vista de las actuaciones a las partes personadas y al Ministerio Fiscal, por plazo común de veinte días, a fin de que pudieran presentar las alegaciones que estimasen pertinentes conforme con lo previsto en el art. 52 LOTC.</w:t>
      </w:r>
    </w:p>
    <w:p w14:paraId="65948A5D" w14:textId="77777777" w:rsidR="008D479B" w:rsidRDefault="008D479B" w:rsidP="008D479B">
      <w:pPr>
        <w:pStyle w:val="TextoNormal"/>
      </w:pPr>
    </w:p>
    <w:p w14:paraId="5265A632" w14:textId="22A78EA8" w:rsidR="008D479B" w:rsidRDefault="008D479B" w:rsidP="008D479B">
      <w:pPr>
        <w:pStyle w:val="TextoNormal"/>
      </w:pPr>
      <w:r w:rsidRPr="008D479B">
        <w:rPr>
          <w:rStyle w:val="NumeroAFNegritaCaracter"/>
        </w:rPr>
        <w:t>7</w:t>
      </w:r>
      <w:r>
        <w:t>. La representación procesal de la recurrente en amparo presentó su escrito de alegaciones el 21 de junio de 2021, ratificándose en su escrito de demanda y añadiendo que “el Tribunal de Justicia de la Unión Europea dictó el 8 de octubre de 2020 sentencia del asunto C-568/19 en la que declaró que las directivas no pueden por sí solas crear obligaciones a cargo de los particulares, pues los Estados miembros no pueden invocar las disposiciones de las directivas, en su calidad de tales, contra dichas personas. También añade que el Estado miembro no podrá basarse directamente en dicha directiva para adoptar una decisión de retorno respecto del extranjero en el procedimiento que se tramite”; con cita de las SSTC 133/1999, de 15 de julio; 195/2005, de 18 de julio, y 218/2005, de 12 de septiembre, sobre el principio de legalidad sancionadora.</w:t>
      </w:r>
    </w:p>
    <w:p w14:paraId="728A0AC4" w14:textId="77777777" w:rsidR="008D479B" w:rsidRDefault="008D479B" w:rsidP="008D479B">
      <w:pPr>
        <w:pStyle w:val="TextoNormal"/>
      </w:pPr>
    </w:p>
    <w:p w14:paraId="5B583A0B" w14:textId="77777777" w:rsidR="008D479B" w:rsidRDefault="008D479B" w:rsidP="008D479B">
      <w:pPr>
        <w:pStyle w:val="TextoNormal"/>
      </w:pPr>
      <w:r w:rsidRPr="008D479B">
        <w:rPr>
          <w:rStyle w:val="NumeroAFNegritaCaracter"/>
        </w:rPr>
        <w:t>8</w:t>
      </w:r>
      <w:r>
        <w:t>. En la misma fecha presentó su escrito de alegaciones el abogado del Estado, en el que interesó se inadmitiese el recurso de amparo “por haberse interpuesto fuera de plazo”, y subsidiariamente se desestimase el mismo íntegramente.</w:t>
      </w:r>
    </w:p>
    <w:p w14:paraId="38D55FBB" w14:textId="77777777" w:rsidR="008D479B" w:rsidRDefault="008D479B" w:rsidP="008D479B">
      <w:pPr>
        <w:pStyle w:val="TextoNormal"/>
      </w:pPr>
    </w:p>
    <w:p w14:paraId="24D63F28" w14:textId="77777777" w:rsidR="008D479B" w:rsidRDefault="008D479B" w:rsidP="008D479B">
      <w:pPr>
        <w:pStyle w:val="TextoNormal"/>
      </w:pPr>
      <w:r>
        <w:t xml:space="preserve">a) A fin de fundamentar su petición, y luego de realizar un resumen del proceso </w:t>
      </w:r>
      <w:r w:rsidRPr="008D479B">
        <w:rPr>
          <w:i/>
        </w:rPr>
        <w:t>a quo</w:t>
      </w:r>
      <w:r>
        <w:t xml:space="preserve"> y de la demanda de amparo, el representante de la administración plantea la inadmisión del recurso por su extemporaneidad, por cuanto frente a la providencia del Tribunal Supremo que inadmitió el recurso de casación de la recurrente, esta alegó en el incidente de nulidad de actuaciones “la supuesta vulneración del derecho a la tutela judicial efectiva por no reconocerle a la recurrente su derecho a ser no sancionada o, todo lo más, a serlo quizá de otra manera, mediante multa, o a que se le aplicara el sistema de fuentes, o la supuesta infracción del principio de proporcionalidad en la aplicación del derecho administrativo sancionador (art. 25 de la CE) —alegada ante el Juzgado de lo Contencioso-Administrativo—; y sobre todo por no motivar suficientemente las decisiones adoptadas, [lesiones que] se habrían producido ya con anterioridad a la última resolución judicial, que fue la providencia del Tribunal Supremo citada. Pretendidas infracciones de derechos fundamentales acaecidas, podría decirse, conforme a la posición de la parte demandante, incluso desde la resolución de la Delegación del Gobierno de Madrid, de 24 de enero de 2018, pues tanto esta última como las resoluciones judiciales posteriores habrían incurrido en las vulneraciones del derecho fundamental que la parte recurrente invoca, y que combatió ya en las resoluciones judiciales recaídas con posterioridad, con ocasión de la impugnación de aquella. Luego, no era precisa la formulación del incidente de nulidad de actuaciones conforme a lo previsto en el art. 241.1 de la Ley Orgánica 6/1985, de 1 de julio, del Poder Judicial (LOPJ) […]; supone un recurso o intento de remedio manifiestamente improcedente, que habría de llevar aparejada la inadmisibilidad del recurso de amparo por extemporáneo, ya que el plazo de interposición del amparo comienza a computarse desde el momento en que se agota correctamente la vía judicial previa”.</w:t>
      </w:r>
    </w:p>
    <w:p w14:paraId="53F23D63" w14:textId="77777777" w:rsidR="008D479B" w:rsidRDefault="008D479B" w:rsidP="008D479B">
      <w:pPr>
        <w:pStyle w:val="TextoNormal"/>
      </w:pPr>
    </w:p>
    <w:p w14:paraId="6FEB1C3F" w14:textId="77777777" w:rsidR="008D479B" w:rsidRDefault="008D479B" w:rsidP="008D479B">
      <w:pPr>
        <w:pStyle w:val="TextoNormal"/>
      </w:pPr>
      <w:r>
        <w:t>Con cita del ATC 198/2010, de 21 de diciembre, FJ 4 —sobre el requisito del agotamiento de la vía judicial previa—, finaliza este punto diciendo que “desde que se dictó esa providencia de inadmisión de la casación y el momento de la interposición del recurso de amparo, en fecha, al menos tomando aquella en la que el recurrente firma el recurso: 8 de septiembre de 2020, transcurre con mucho el plazo previsto en los arts. 43.1 y 44.2 de la LOTC. Por lo cual, el recurso de amparo sería extemporáneo, lo que acarrearía su inadmisión”.</w:t>
      </w:r>
    </w:p>
    <w:p w14:paraId="1E67AB59" w14:textId="77777777" w:rsidR="008D479B" w:rsidRDefault="008D479B" w:rsidP="008D479B">
      <w:pPr>
        <w:pStyle w:val="TextoNormal"/>
      </w:pPr>
    </w:p>
    <w:p w14:paraId="0875F14C" w14:textId="77777777" w:rsidR="008D479B" w:rsidRDefault="008D479B" w:rsidP="008D479B">
      <w:pPr>
        <w:pStyle w:val="TextoNormal"/>
      </w:pPr>
      <w:r>
        <w:t>b) Ya en cuanto al fondo de la demanda de amparo, y partiendo del dato de que la recurrente ha venido realizando una crítica de la STJUE de 23 de abril de 2015 (asunto C-38/14), el escrito de alegaciones del abogado del Estado niega que dicha resolución haya cometido un error de apreciación en cuanto al objeto de la cuestión prejudicial que planteaba el Tribunal Superior de Justicia del País Vasco, defendiendo la corrección de los argumentos del tribunal europeo, siendo que este caso trata de una “expulsión acordada por las autoridades españolas, administrativa y judicial, como reacción jurídica ante la constatación de una situación o conducta consistente en una estancia irregular, es decir, el supuesto de hecho configurado por el art. 53.1 a) de nuestra LOEx. Aplicándole como prevé la misma ley en su art. 57.1 y 3, como hemos dicho, e interpretando el cómo y el cuándo debe aplicarse este precepto, siempre de conformidad con el criterio sentado por la STJUE de 23 de abril de 2015”.</w:t>
      </w:r>
    </w:p>
    <w:p w14:paraId="0CA21317" w14:textId="77777777" w:rsidR="008D479B" w:rsidRDefault="008D479B" w:rsidP="008D479B">
      <w:pPr>
        <w:pStyle w:val="TextoNormal"/>
      </w:pPr>
    </w:p>
    <w:p w14:paraId="10AF6C7F" w14:textId="2A812567" w:rsidR="008D479B" w:rsidRDefault="008D479B" w:rsidP="008D479B">
      <w:pPr>
        <w:pStyle w:val="TextoNormal"/>
      </w:pPr>
      <w:r>
        <w:t>Y respecto a las circunstancias personales alegadas por la recurrente para que se sustituyera la expulsión por una multa, como su arraigo en España, precisa el escrito de alegaciones que no fueron valoradas positivamente por las resoluciones judiciales impugnadas, “en su posición de inmediación (art. 117 de la CE)”, por lo que el control de esta jurisdicción constitucional de amparo resulta en todo caso externo, comprobando solo “si se han incurrido o no en error material patente, en arbitrariedad o en manifiesta irracionalidad lógica […]. Lo que, a nuestro juicio, no es el caso”. El abogado del Estado no hizo referencia a ninguna otra sentencia del Tribunal de Justicia de la Unión Europea.</w:t>
      </w:r>
    </w:p>
    <w:p w14:paraId="77E1FF0E" w14:textId="77777777" w:rsidR="008D479B" w:rsidRDefault="008D479B" w:rsidP="008D479B">
      <w:pPr>
        <w:pStyle w:val="TextoNormal"/>
      </w:pPr>
    </w:p>
    <w:p w14:paraId="7E388FBC" w14:textId="77777777" w:rsidR="008D479B" w:rsidRDefault="008D479B" w:rsidP="008D479B">
      <w:pPr>
        <w:pStyle w:val="TextoNormal"/>
      </w:pPr>
      <w:r w:rsidRPr="008D479B">
        <w:rPr>
          <w:rStyle w:val="NumeroAFNegritaCaracter"/>
        </w:rPr>
        <w:t>9</w:t>
      </w:r>
      <w:r>
        <w:t>. Con fecha 9 de julio de 2021 presentó finalmente sus alegaciones el fiscal ante este Tribunal Constitucional, en el que interesó que se estimase el recurso de amparo planteado, declarando que se ha vulnerado “el derecho a la tutela administrativa y judicial del art. 24.1 CE” por las resoluciones administrativa y judiciales impugnadas, incluyendo las dictadas por el Tribunal Supremo, con “retroacción de las actuaciones al momento anterior a la imposición de la sanción para que por la administración se adopte una nueva resolución acorde con el derecho de la recurrente”.</w:t>
      </w:r>
    </w:p>
    <w:p w14:paraId="2272E501" w14:textId="77777777" w:rsidR="008D479B" w:rsidRDefault="008D479B" w:rsidP="008D479B">
      <w:pPr>
        <w:pStyle w:val="TextoNormal"/>
      </w:pPr>
    </w:p>
    <w:p w14:paraId="70EE6775" w14:textId="77777777" w:rsidR="008D479B" w:rsidRDefault="008D479B" w:rsidP="008D479B">
      <w:pPr>
        <w:pStyle w:val="TextoNormal"/>
      </w:pPr>
      <w:r>
        <w:t xml:space="preserve">a) Luego de hacer un resumen de los antecedentes de hecho del proceso </w:t>
      </w:r>
      <w:r w:rsidRPr="008D479B">
        <w:rPr>
          <w:i/>
        </w:rPr>
        <w:t>a quo</w:t>
      </w:r>
      <w:r>
        <w:t>, y de lo argumentado en la demanda de amparo, advierte en primer lugar el fiscal, como consideración general, que se trata de un recurso de amparo mixto que achaca a la resolución administrativa un déficit de motivación, y la falta de tutela judicial efectiva de las resoluciones judiciales “que no subsanaron la falta de motivación”. El orden de examen de esas quejas debe principiar por tanto “por aquella cuya posible estimación pueda tener un mayor alcance en el proceso de origen del que trae causa el recurso”.</w:t>
      </w:r>
    </w:p>
    <w:p w14:paraId="00A6DB2A" w14:textId="77777777" w:rsidR="008D479B" w:rsidRDefault="008D479B" w:rsidP="008D479B">
      <w:pPr>
        <w:pStyle w:val="TextoNormal"/>
      </w:pPr>
    </w:p>
    <w:p w14:paraId="7B8A54E5" w14:textId="77777777" w:rsidR="008D479B" w:rsidRDefault="008D479B" w:rsidP="008D479B">
      <w:pPr>
        <w:pStyle w:val="TextoNormal"/>
      </w:pPr>
      <w:r>
        <w:t>b) Sobre la queja de falta de motivación de los actos impugnados, luego de recordar lo que afirma la demanda y las sentencias recurridas, el fiscal cita las SSTC 131/2016, de 18 de julio, FJ 6, y 29/2017, de 27 de febrero, FJ 3, acerca del alcance de la garantía de motivación en este ámbito, y razona que la recurrente había aducido su arraigo al llevar en España cinco años, estar empadronada en Alcobendas y con un trabajo como empleada de hogar, además de haber iniciado los trámites para un permiso de residencia y trabajo, careciendo de antecedentes penales y con hijos que residen en Nicaragua y que dependen del dinero que les envía. Así las cosas, “[e]l hecho de que la administración ignorara completamente las alegaciones de la recurrente, omitiendo su valoración, determina, que deba concluirse que se ha vulnerado el derecho del recurrente a la tutela judicial efectiva (art. 24.1 CE), desde la perspectiva del derecho a la motivación de las resoluciones sancionadoras. Por ello, la sanción de la administración es el resultado del ejercicio arbitrario de la potestad sancionadora de la administración que no ha tenido en cuenta la situación de la recurrente”. Tampoco la sentencia de instancia ha tenido en cuenta que conforme al art. 55 LOEx la sanción ha de ajustarse “a criterios de proporcionalidad ‘valorando el grado de culpabilidad y, en su caso el daño producido o el riesgo derivado de la infracción y su trascendencia’”, lo que no se observa en la resolución administrativa.</w:t>
      </w:r>
    </w:p>
    <w:p w14:paraId="4A5D332F" w14:textId="77777777" w:rsidR="008D479B" w:rsidRDefault="008D479B" w:rsidP="008D479B">
      <w:pPr>
        <w:pStyle w:val="TextoNormal"/>
      </w:pPr>
    </w:p>
    <w:p w14:paraId="275E7E02" w14:textId="77777777" w:rsidR="008D479B" w:rsidRDefault="008D479B" w:rsidP="008D479B">
      <w:pPr>
        <w:pStyle w:val="TextoNormal"/>
      </w:pPr>
      <w:r>
        <w:t xml:space="preserve">En cuanto a la falta de motivación que, dice el fiscal, la demanda atribuye a las sentencias y providencias impugnadas, debe advertirse que estas últimas no resolvieron el fondo del recurso de casación sino que lo inadmitieron. Respecto de las sentencias, que sí resuelven el fondo, el escrito resume la </w:t>
      </w:r>
      <w:r w:rsidRPr="008D479B">
        <w:rPr>
          <w:i/>
        </w:rPr>
        <w:t>ratio decidendi</w:t>
      </w:r>
      <w:r>
        <w:t xml:space="preserve"> de ambas y se refiere a continuación a la STJUE de 23 de abril de 2015, aplicada por aquellas, cuya doctrina asumió a su vez la sentencia de la Sección Quinta, Sala Tercera del Tribunal Supremo de 12 de junio de 2018, consecuencia de lo cual, “los órganos judiciales de instancia y apelación dejaron de aplicar la normativa nacional sobre extranjería y aplicaron directamente la Directiva de retorno que prevé el retorno [</w:t>
      </w:r>
      <w:r w:rsidRPr="008D479B">
        <w:rPr>
          <w:i/>
        </w:rPr>
        <w:t>sic</w:t>
      </w:r>
      <w:r>
        <w:t xml:space="preserve">] de los no nacionales que se encuentren en situación de estancia irregular que conlleva la salida del territorio Schengen”. Sin embargo, prosigue diciendo el fiscal, “esta interpretación ha sido recientemente desautorizada por el propio Tribunal de Justicia de la Unión Europea en su sentencia de 8 de octubre de 2020 a consecuencia de la cuestión prejudicial promovida por la sentencia del Tribunal de Justicia de la Unión Europea de 8 de octubre de 2020, asunto C-589/2019”, de la que reproduce el fallo, y de la que añade tuvo su reflejo en la sentencia de la misma Sección Quinta, Sala Tercera, del Tribunal Supremo, de 17 de marzo de 2021, en el sentido de que la medida de expulsión solo procede si se acreditan circunstancias agravantes además de la estancia irregular, y que además no cabe efectuar una aplicación directa de la Directiva de retorno al no reconocer el efecto vertical o inverso de las directivas; cuestión esta última que ya había sido previamente fijada por el Tribunal de Justicia y que “las sentencias de instancia y apelación desconocen”, por lo que “han vulnerado el […] derecho a la tutela judicial efectiva” de la recurrente. Añade que los pronunciamientos del Tribunal de Justicia de la Unión Europeo tienen efectos </w:t>
      </w:r>
      <w:r w:rsidRPr="008D479B">
        <w:rPr>
          <w:i/>
        </w:rPr>
        <w:t>ex tunc</w:t>
      </w:r>
      <w:r>
        <w:t>, salvo que dicho tribunal haga uso de la facultad excepcional de limitar sus efectos en el tiempo, como ha sido reconocido por este Tribunal Constitucional en la STC 145/2012, de 2 de julio.</w:t>
      </w:r>
    </w:p>
    <w:p w14:paraId="0D1852A4" w14:textId="77777777" w:rsidR="008D479B" w:rsidRDefault="008D479B" w:rsidP="008D479B">
      <w:pPr>
        <w:pStyle w:val="TextoNormal"/>
      </w:pPr>
    </w:p>
    <w:p w14:paraId="4C81CA1F" w14:textId="77777777" w:rsidR="008D479B" w:rsidRDefault="008D479B" w:rsidP="008D479B">
      <w:pPr>
        <w:pStyle w:val="TextoNormal"/>
      </w:pPr>
      <w:r>
        <w:t>c) Continúa diciendo el fiscal en su escrito de alegaciones que la “vulneración del derecho a la tutela judicial efectiva en los términos mencionados se traduce, igualmente, en que la resolución administrativa y las resoluciones judiciales de instancia y apelación hayan desconocido el principio de proporcionalidad de la sanción”, precisamente porque no atienden a lo declarado por la STJUE de 8 de octubre de 2020 en cuanto a ponderar las circunstancias concurrentes en el caso, en concreto las agravantes, para poder imponer la medida de expulsión. Exigencia esta que, añade, “ya estaba presente en la doctrina de este Alto Tribunal, por todas STC 212/2009, de 26 de noviembre, respecto de la aplicación del principio de proporcionalidad respecto de la expulsión de no nacionales”, con reproducción de su fundamento jurídico 4. Sin embargo, tal ponderación “está ausente en la resolución administrativa que se limitó a señalar el hecho, calificarle jurídicamente y aplicar la sanción de expulsión”, como también sucede en las resoluciones judiciales, limitándose a decir que no concurrían los supuestos de excepción de la directiva, “y ello, a pesar de que la sentencia de instancia declara que no existe otro dato negativo de la recurrente que su estancia irregular en España”. Tras formular algunas consideraciones sobre las críticas que la recurrente realiza a la STJUE de 23 de abril de 2015, insiste en que los tribunales han aplicado directamente la Directiva 2008/115/CE, lo que no era posible conforme el mismo tribunal europeo aclaró en su sentencia de 8 de octubre de 2020.</w:t>
      </w:r>
    </w:p>
    <w:p w14:paraId="2523FF0A" w14:textId="77777777" w:rsidR="008D479B" w:rsidRDefault="008D479B" w:rsidP="008D479B">
      <w:pPr>
        <w:pStyle w:val="TextoNormal"/>
      </w:pPr>
    </w:p>
    <w:p w14:paraId="18CCB8A9" w14:textId="77777777" w:rsidR="008D479B" w:rsidRDefault="008D479B" w:rsidP="008D479B">
      <w:pPr>
        <w:pStyle w:val="TextoNormal"/>
      </w:pPr>
      <w:r>
        <w:t>d) Sobre la queja de la demanda de amparo relativa a la denuncia de vulneración del derecho al recurso (art. 24.1 CE) con relación a las providencias dictadas por la Sección Primera, Sala Tercera, del Tribunal Supremo, luego de resumir los argumentos de la recurrente y los motivos expresados en primer lugar por la providencia de 11 de mayo de 2020 para inadmitir su recurso de casación, cita el fiscal la STC 252/2004, de 20 de diciembre, con reproducción del fundamento jurídico 3, sobre esta vertiente del derecho fundamental a la tutela judicial efectiva y el canon de control constitucional limitado a la “arbitrariedad, irrazonabilidad o error patente” de la resolución. Extrae de ello que “ninguno de estos reproches se aprecia en la providencia por la que se inadmite el recurso de casación pues el Tribunal Supremo expresa las causas por lo que [</w:t>
      </w:r>
      <w:r w:rsidRPr="008D479B">
        <w:rPr>
          <w:i/>
        </w:rPr>
        <w:t>sic</w:t>
      </w:r>
      <w:r>
        <w:t>] entiende que no existe interés casacional”. Del mismo modo, en cuanto a la impugnada providencia de 15 de julio de 2020 del Tribunal Supremo (que inadmitió el incidente de nulidad contra la anterior providencia), de su lectura “se puede comprobar que contiene una motivación y no ha incurrido en error material patente, en arbitrariedad o en manifiesta irrazonabilidad lógica ya que expone una serie de razones por las que la inadmisión del recurso de casación no ha vulnerado el derecho a la tutela judicial efectiva del recurrente […]. Es cierto que dicha argumentación choca con la doctrina del Tribunal de Justicia de la Unión Europea de 8 de octubre de 2020, pero […] es anterior […] a la fecha en la que se dictó la STJUE, por lo que el Tribunal Supremo fue congruente con su propia doctrina […], pero a más a más el Tribunal Supremo, que inadmitió el recurso de casación, no se pronunció sobre el fondo del asunto. Se ha limitado a inadmitir el recurso en base a los requisitos procedimentales de admisión del recurso de casación”.</w:t>
      </w:r>
    </w:p>
    <w:p w14:paraId="014EA480" w14:textId="77777777" w:rsidR="008D479B" w:rsidRDefault="008D479B" w:rsidP="008D479B">
      <w:pPr>
        <w:pStyle w:val="TextoNormal"/>
      </w:pPr>
    </w:p>
    <w:p w14:paraId="64B9BA30" w14:textId="2B5EC980" w:rsidR="008D479B" w:rsidRDefault="008D479B" w:rsidP="008D479B">
      <w:pPr>
        <w:pStyle w:val="TextoNormal"/>
      </w:pPr>
      <w:r>
        <w:t>e) Vuelve finalmente el escrito de alegaciones del fiscal a la queja de falta de proporcionalidad de la sanción de expulsión y a la cita de la STC 212/2009, de 26 de noviembre, FJ 4, constatando que tanto la resolución administrativa como las dos sentencias impugnadas han dejado de aplicar dicho principio, reconociendo la de apelación que la recurrente estaba empadronada. De dichas resoluciones no cabe colegir circunstancias agravantes que justificasen la procedencia de la medida de expulsión, aplicándose con error directamente la Directiva de retorno, por lo que “procede estimarse el recurso de amparo planteado y declarar que se ha vulnerado el derecho a la tutela administrativa y judicial del art. 24.1 CE” por las resoluciones impugnadas, lo que conlleva la retroacción de las actuaciones “al momento anterior a la imposición de la sanción para que por la administración se adopte una nueva resolución acorde con el derecho de la recurrente en los términos que precedentemente se han expuesto”.</w:t>
      </w:r>
    </w:p>
    <w:p w14:paraId="3128C90B" w14:textId="77777777" w:rsidR="008D479B" w:rsidRDefault="008D479B" w:rsidP="008D479B">
      <w:pPr>
        <w:pStyle w:val="TextoNormal"/>
      </w:pPr>
    </w:p>
    <w:p w14:paraId="41AD6350" w14:textId="33C7C8F5" w:rsidR="008D479B" w:rsidRDefault="008D479B" w:rsidP="008D479B">
      <w:pPr>
        <w:pStyle w:val="TextoNormal"/>
      </w:pPr>
      <w:r w:rsidRPr="008D479B">
        <w:rPr>
          <w:rStyle w:val="NumeroAFNegritaCaracter"/>
        </w:rPr>
        <w:t>10</w:t>
      </w:r>
      <w:r>
        <w:t>. Mediante providencia de 29 de junio de 2023, se señaló para deliberación y votación de la presente sentencia el día 3 de julio de 2023.</w:t>
      </w:r>
    </w:p>
    <w:p w14:paraId="34EA7576" w14:textId="77777777" w:rsidR="008D479B" w:rsidRDefault="008D479B" w:rsidP="008D479B">
      <w:pPr>
        <w:pStyle w:val="TextoNormal"/>
      </w:pPr>
    </w:p>
    <w:p w14:paraId="634B499C" w14:textId="77777777" w:rsidR="008D479B" w:rsidRDefault="008D479B" w:rsidP="008D479B">
      <w:pPr>
        <w:pStyle w:val="TextoNormalNegritaCentrado"/>
        <w:keepNext/>
      </w:pPr>
      <w:r>
        <w:t>II. Fundamentos jurídicos</w:t>
      </w:r>
    </w:p>
    <w:p w14:paraId="6D33D2EE" w14:textId="782FF808" w:rsidR="008D479B" w:rsidRDefault="008D479B" w:rsidP="008D479B">
      <w:pPr>
        <w:pStyle w:val="TextoNormalNegritaCentrado"/>
        <w:keepNext/>
      </w:pPr>
    </w:p>
    <w:p w14:paraId="0B875DCD" w14:textId="77777777" w:rsidR="008D479B" w:rsidRDefault="008D479B" w:rsidP="008D479B">
      <w:pPr>
        <w:pStyle w:val="TextoNormal"/>
      </w:pPr>
      <w:r w:rsidRPr="008D479B">
        <w:rPr>
          <w:rStyle w:val="NumeroAFNegritaCaracter"/>
        </w:rPr>
        <w:t>1</w:t>
      </w:r>
      <w:r>
        <w:t xml:space="preserve">. </w:t>
      </w:r>
      <w:r w:rsidRPr="008D479B">
        <w:rPr>
          <w:i/>
        </w:rPr>
        <w:t>Objeto del proceso</w:t>
      </w:r>
    </w:p>
    <w:p w14:paraId="4C4E5A00" w14:textId="77777777" w:rsidR="008D479B" w:rsidRDefault="008D479B" w:rsidP="008D479B">
      <w:pPr>
        <w:pStyle w:val="TextoNormal"/>
      </w:pPr>
    </w:p>
    <w:p w14:paraId="0619FEDE" w14:textId="77777777" w:rsidR="008D479B" w:rsidRDefault="008D479B" w:rsidP="008D479B">
      <w:pPr>
        <w:pStyle w:val="TextoNormal"/>
      </w:pPr>
      <w:r>
        <w:t>La recurrente, con la argumentación que ha tenido a bien defender y que se resume en los antecedentes de esta sentencia, interpone recurso de amparo, en primer lugar, contra la resolución de la Delegación del Gobierno en Madrid que le impuso la sanción de expulsión del territorio nacional y consiguiente prohibición de retornar a España en un plazo de tres años; en segundo lugar contra las sentencias de primera instancia (Juzgado de lo Contencioso-Administrativo) y apelación (Tribunal Superior de Justicia) que confirmaron la decisión administrativa; y en tercer término y por último, contra dos providencias dictadas por la Sección Primera, Sala Tercera, del Tribunal Supremo, la primera de las cuales inadmitió su recurso de casación interpuesto contra la sentencia de apelación, y la segunda inadmitió el incidente de nulidad de actuaciones promovido contra la providencia anterior.</w:t>
      </w:r>
    </w:p>
    <w:p w14:paraId="4C9F8AFC" w14:textId="77777777" w:rsidR="008D479B" w:rsidRDefault="008D479B" w:rsidP="008D479B">
      <w:pPr>
        <w:pStyle w:val="TextoNormal"/>
      </w:pPr>
    </w:p>
    <w:p w14:paraId="7E4B3668" w14:textId="77777777" w:rsidR="008D479B" w:rsidRDefault="008D479B" w:rsidP="008D479B">
      <w:pPr>
        <w:pStyle w:val="TextoNormal"/>
      </w:pPr>
      <w:r>
        <w:t>A todas esas resoluciones, la administrativa en origen y las judiciales por no reparar la lesión ya causada, achaca la vulneración de su derecho fundamental a la tutela judicial efectiva (art. 24.1 CE), al carecer todas ellas de una motivación suficiente que justifique la imposición de la medida de expulsión, en vez de una multa, sin ponderar sus circunstancias personales en especial la del arraigo en España, y conculcando con ello el principio de proporcionalidad sancionadora, al aplicar expresamente las resoluciones judiciales la tesis sustentada por la STJUE de 23 de abril de 2015, la cual según la demanda interpretaba de manera errónea los preceptos de la Directiva 2008/115/CE o Directiva de retorno; modificando el propio tribunal europeo su criterio en la posterior sentencia de 8 de octubre de 2020.</w:t>
      </w:r>
    </w:p>
    <w:p w14:paraId="2A28988B" w14:textId="77777777" w:rsidR="008D479B" w:rsidRDefault="008D479B" w:rsidP="008D479B">
      <w:pPr>
        <w:pStyle w:val="TextoNormal"/>
      </w:pPr>
    </w:p>
    <w:p w14:paraId="71FFC8BC" w14:textId="77777777" w:rsidR="008D479B" w:rsidRDefault="008D479B" w:rsidP="008D479B">
      <w:pPr>
        <w:pStyle w:val="TextoNormal"/>
      </w:pPr>
      <w:r>
        <w:t>La queja expuesta aparece en el segundo lugar de las deducidas en su demanda de amparo, pues a ella le precede la que plantea la vulneración también del derecho fundamental a la tutela judicial efectiva (art. 24.1 CE), ahora en su vertiente de derecho de acceso al recurso, en concreto respecto de las providencias ya mencionadas del Tribunal Supremo que inadmitieron su recurso de casación, pese a haber acreditado, según dice, el requisito del interés casacional exigible.</w:t>
      </w:r>
    </w:p>
    <w:p w14:paraId="23980103" w14:textId="77777777" w:rsidR="008D479B" w:rsidRDefault="008D479B" w:rsidP="008D479B">
      <w:pPr>
        <w:pStyle w:val="TextoNormal"/>
      </w:pPr>
    </w:p>
    <w:p w14:paraId="4CDAB792" w14:textId="77777777" w:rsidR="008D479B" w:rsidRDefault="008D479B" w:rsidP="008D479B">
      <w:pPr>
        <w:pStyle w:val="TextoNormal"/>
      </w:pPr>
      <w:r>
        <w:t>El abogado del Estado, actuando en la representación que legalmente ostenta de la administración autora de la resolución impugnada, ha interesado en su escrito, con los argumentos de los que igualmente se ha hecho resumen en los antecedentes, la inadmisión del recurso de amparo por haberse promovido este de manera extemporánea tras la interposición de un recurso manifiestamente improcedente; y subsidiariamente solicita que se desestime la demanda, considerando que fue correcta la aplicación que hicieron las sentencias recurridas, de la doctrina de la STJUE de 23 de abril de 2015.</w:t>
      </w:r>
    </w:p>
    <w:p w14:paraId="7967BCF5" w14:textId="77777777" w:rsidR="008D479B" w:rsidRDefault="008D479B" w:rsidP="008D479B">
      <w:pPr>
        <w:pStyle w:val="TextoNormal"/>
      </w:pPr>
    </w:p>
    <w:p w14:paraId="59B5A50C" w14:textId="77777777" w:rsidR="008D479B" w:rsidRDefault="008D479B" w:rsidP="008D479B">
      <w:pPr>
        <w:pStyle w:val="TextoNormal"/>
      </w:pPr>
      <w:r>
        <w:t>Finalmente, el fiscal ante este Tribunal Constitucional ha formulado sus alegaciones interesando la estimación de la demanda de amparo por vulneración del derecho a la tutela judicial efectiva de la recurrente, “desde la perspectiva del derecho a la motivación de las resoluciones sancionadoras”, y por no haberse respetado el principio de proporcionalidad en materia sancionadora al no atender a las circunstancias personales de la recurrente, a la par que las sentencias aplicaron directamente la Directiva de retorno, contrariando con ello la jurisprudencia del propio Tribunal Europeo, tal y como este precisó en su posterior sentencia de 8 de octubre de 2020. En todo caso, rechaza que tenga razón la demanda en cuanto a la queja de lesión del derecho al recurso, porque las providencias que inadmitieron el de casación de la recurrente no son arbitrarias, irrazonables ni incurren en error patente.</w:t>
      </w:r>
    </w:p>
    <w:p w14:paraId="425D66FC" w14:textId="77777777" w:rsidR="008D479B" w:rsidRDefault="008D479B" w:rsidP="008D479B">
      <w:pPr>
        <w:pStyle w:val="TextoNormal"/>
      </w:pPr>
    </w:p>
    <w:p w14:paraId="0C406162" w14:textId="2692C79E" w:rsidR="008D479B" w:rsidRDefault="008D479B" w:rsidP="008D479B">
      <w:pPr>
        <w:pStyle w:val="TextoNormal"/>
      </w:pPr>
      <w:r>
        <w:t>Así trabado el debate constitucional, procede que nos pronunciemos primero acerca del óbice procesal opuesto por la Abogacía del Estado en su escrito de alegaciones, en cuanto su acogimiento impediría el examen de las quejas de fondo del recurso.</w:t>
      </w:r>
    </w:p>
    <w:p w14:paraId="7EFF08D3" w14:textId="77777777" w:rsidR="008D479B" w:rsidRDefault="008D479B" w:rsidP="008D479B">
      <w:pPr>
        <w:pStyle w:val="TextoNormal"/>
      </w:pPr>
    </w:p>
    <w:p w14:paraId="7C588A22" w14:textId="77777777" w:rsidR="008D479B" w:rsidRDefault="008D479B" w:rsidP="008D479B">
      <w:pPr>
        <w:pStyle w:val="TextoNormal"/>
      </w:pPr>
      <w:r w:rsidRPr="008D479B">
        <w:rPr>
          <w:rStyle w:val="NumeroAFNegritaCaracter"/>
        </w:rPr>
        <w:t>2</w:t>
      </w:r>
      <w:r>
        <w:t xml:space="preserve">. </w:t>
      </w:r>
      <w:r w:rsidRPr="008D479B">
        <w:rPr>
          <w:i/>
        </w:rPr>
        <w:t>Óbice a la admisibilidad del recurso</w:t>
      </w:r>
    </w:p>
    <w:p w14:paraId="13F91ECA" w14:textId="77777777" w:rsidR="008D479B" w:rsidRDefault="008D479B" w:rsidP="008D479B">
      <w:pPr>
        <w:pStyle w:val="TextoNormal"/>
      </w:pPr>
    </w:p>
    <w:p w14:paraId="47F69C69" w14:textId="77777777" w:rsidR="008D479B" w:rsidRDefault="008D479B" w:rsidP="008D479B">
      <w:pPr>
        <w:pStyle w:val="TextoNormal"/>
      </w:pPr>
      <w:r>
        <w:t xml:space="preserve">a) Como ya se explicó en los antecedentes, el escrito del abogado del Estado sostiene que la demanda de amparo se interpuso de manera extemporánea porque la vía judicial previa se cerraba con el dictado de la providencia de la Sala Tercera del Tribunal Supremo, de 11 de mayo de 2020, que inadmitió el recurso de casación planteado por la recurrente, cuya fecha de notificación (el 27 de mayo de 2020) marcaba por tanto el </w:t>
      </w:r>
      <w:r w:rsidRPr="008D479B">
        <w:rPr>
          <w:i/>
        </w:rPr>
        <w:t>dies a quo</w:t>
      </w:r>
      <w:r>
        <w:t xml:space="preserve"> del plazo de treinta días para presentar la demanda </w:t>
      </w:r>
      <w:r w:rsidRPr="008D479B">
        <w:rPr>
          <w:i/>
        </w:rPr>
        <w:t>ex</w:t>
      </w:r>
      <w:r>
        <w:t xml:space="preserve"> art. 44.2 LOTC. Sin embargo, continúa diciendo el abogado del Estado, en vez de venir en amparo la parte optó por presentar un incidente de nulidad contra la providencia de inadmisión, el cual resultaba manifiestamente improcedente pues se limitó a reiterar la queja de falta de motivación y de ruptura del principio de proporcionalidad de la sanción que ya venía planteando desde la primera instancia. No se cumplía por tanto con uno de los presupuestos para promover el incidente de nulidad de actuaciones, conforme al art. 241.1 LOPJ (que no se hubiera podido alegar antes la lesión), habiendo obtenido como respuesta una providencia de inadmisión de dicho incidente, el 15 de julio del mismo año, por lo que al formalizar la demanda el 8 de septiembre de 2020 se incurrió en extemporaneidad.</w:t>
      </w:r>
    </w:p>
    <w:p w14:paraId="2A2B7EF3" w14:textId="77777777" w:rsidR="008D479B" w:rsidRDefault="008D479B" w:rsidP="008D479B">
      <w:pPr>
        <w:pStyle w:val="TextoNormal"/>
      </w:pPr>
    </w:p>
    <w:p w14:paraId="3DFEEB6A" w14:textId="77777777" w:rsidR="008D479B" w:rsidRDefault="008D479B" w:rsidP="008D479B">
      <w:pPr>
        <w:pStyle w:val="TextoNormal"/>
      </w:pPr>
      <w:r>
        <w:t>b) Alegado en estos términos, el óbice debe ser desestimado. De la lectura del escrito de incidente de nulidad de actuaciones presentado por la recurrente se desprende, sin dificultad dialéctica, que su representación procesal agotó correctamente la vía judicial previa al amparo:</w:t>
      </w:r>
    </w:p>
    <w:p w14:paraId="6BD910DE" w14:textId="77777777" w:rsidR="008D479B" w:rsidRDefault="008D479B" w:rsidP="008D479B">
      <w:pPr>
        <w:pStyle w:val="TextoNormal"/>
      </w:pPr>
    </w:p>
    <w:p w14:paraId="579572E8" w14:textId="77777777" w:rsidR="008D479B" w:rsidRDefault="008D479B" w:rsidP="008D479B">
      <w:pPr>
        <w:pStyle w:val="TextoNormal"/>
      </w:pPr>
      <w:r>
        <w:t>(i) El derecho fundamental que se alegó como vulnerado en ese incidente fue el de tutela judicial efectiva, pero no en la vertiente denunciada en los grados jurisdiccionales previos (falta de motivación de la resolución sancionadora y de las posteriores sentencias), ni tampoco la lesión del principio de legalidad sancionadora del art. 25.1 CE, sino la del derecho de acceso al recurso (art. 24.1 CE) precisamente por haberse inadmitido su recurso de casación en la providencia de la Sección Primera del alto tribunal de 11 de mayo de 2020.</w:t>
      </w:r>
    </w:p>
    <w:p w14:paraId="37ED156C" w14:textId="77777777" w:rsidR="008D479B" w:rsidRDefault="008D479B" w:rsidP="008D479B">
      <w:pPr>
        <w:pStyle w:val="TextoNormal"/>
      </w:pPr>
    </w:p>
    <w:p w14:paraId="551422AC" w14:textId="77777777" w:rsidR="008D479B" w:rsidRDefault="008D479B" w:rsidP="008D479B">
      <w:pPr>
        <w:pStyle w:val="TextoNormal"/>
      </w:pPr>
      <w:r>
        <w:t>Congruentemente con esa pretensión, el suplico del escrito pedía solamente la nulidad de la providencia citada, “dictándose un auto de admisión a trámite del recurso de casación continuando el trámite legalmente establecido, dándonos traslado para formalizar el recurso de casación”. No se pidió la nulidad ni del acto administrativo, ni de las resoluciones judiciales de primera instancia y apelación.</w:t>
      </w:r>
    </w:p>
    <w:p w14:paraId="3AF83D44" w14:textId="77777777" w:rsidR="008D479B" w:rsidRDefault="008D479B" w:rsidP="008D479B">
      <w:pPr>
        <w:pStyle w:val="TextoNormal"/>
      </w:pPr>
    </w:p>
    <w:p w14:paraId="34D3EDF8" w14:textId="77777777" w:rsidR="008D479B" w:rsidRDefault="008D479B" w:rsidP="008D479B">
      <w:pPr>
        <w:pStyle w:val="TextoNormal"/>
      </w:pPr>
      <w:r>
        <w:t>(ii) Que para fundamentar su solicitud de nulidad tuviera que aludir a los argumentos que defendía en el escrito de preparación del recurso, a fin de acreditar la concurrencia del requisito del interés casacional para la formación de doctrina (art. 88 LJCA), incluyendo la cita de sentencias anteriores (a la providencia de inadmisión) de la propia Sala de lo Contencioso-Administrativo del Tribunal Supremo y la mención a la STJUE de 23 de abril de 2015, no solo no se antoja impertinente a los efectos de defender su queja de lesión del derecho al recurso (art. 24.1 CE), sino que antes bien era algo lógico, pues sin aludir al contenido del recurso que había sido inadmitido mal podía combatir la decisión adoptada en su contra y pedir así que se admitiera a trámite.</w:t>
      </w:r>
    </w:p>
    <w:p w14:paraId="2D680BC6" w14:textId="77777777" w:rsidR="008D479B" w:rsidRDefault="008D479B" w:rsidP="008D479B">
      <w:pPr>
        <w:pStyle w:val="TextoNormal"/>
      </w:pPr>
    </w:p>
    <w:p w14:paraId="6EFCFD03" w14:textId="77777777" w:rsidR="008D479B" w:rsidRDefault="008D479B" w:rsidP="008D479B">
      <w:pPr>
        <w:pStyle w:val="TextoNormal"/>
      </w:pPr>
      <w:r>
        <w:t>(iii) Conforme con el carácter específico de esta queja que solo afectaba a las providencias dictadas por el Tribunal Supremo, la recurrente dedujo un primer motivo en su demanda de amparo por la lesión del derecho de acceso a su recurso de casación, cuestionando que este hubiera sido inadmitido indebidamente. Motivo autónomo y separado a su vez del que se dedica en la demanda a la falta de motivación de todas las resoluciones impugnadas, y la quiebra por todas ellas también del principio de proporcionalidad de la sanción.</w:t>
      </w:r>
    </w:p>
    <w:p w14:paraId="1A7BB1F6" w14:textId="77777777" w:rsidR="008D479B" w:rsidRDefault="008D479B" w:rsidP="008D479B">
      <w:pPr>
        <w:pStyle w:val="TextoNormal"/>
      </w:pPr>
    </w:p>
    <w:p w14:paraId="1138AE85" w14:textId="0575E0D5" w:rsidR="008D479B" w:rsidRDefault="008D479B" w:rsidP="008D479B">
      <w:pPr>
        <w:pStyle w:val="TextoNormal"/>
      </w:pPr>
      <w:r>
        <w:t>La recurrente por tanto agotó correctamente la vía judicial previa a la interposición de la demanda de amparo [art. 44.1 a) LOTC], al instar la vía del incidente de nulidad de actuaciones que era la única posible ya que contra la providencia de 11 de mayo de 2020 no cabía recurso (art. 90.5 LJCA); dando así a la Sala del Tribunal Supremo la oportunidad de reparar la lesión denunciada, respetando con ello la subsidiariedad de esta jurisdicción constitucional.</w:t>
      </w:r>
    </w:p>
    <w:p w14:paraId="089336F1" w14:textId="77777777" w:rsidR="008D479B" w:rsidRDefault="008D479B" w:rsidP="008D479B">
      <w:pPr>
        <w:pStyle w:val="TextoNormal"/>
      </w:pPr>
    </w:p>
    <w:p w14:paraId="125905BF" w14:textId="77777777" w:rsidR="008D479B" w:rsidRDefault="008D479B" w:rsidP="008D479B">
      <w:pPr>
        <w:pStyle w:val="TextoNormal"/>
      </w:pPr>
      <w:r w:rsidRPr="008D479B">
        <w:rPr>
          <w:rStyle w:val="NumeroAFNegritaCaracter"/>
        </w:rPr>
        <w:t>3</w:t>
      </w:r>
      <w:r>
        <w:t xml:space="preserve">. </w:t>
      </w:r>
      <w:r w:rsidRPr="008D479B">
        <w:rPr>
          <w:i/>
        </w:rPr>
        <w:t>Examen de la queja de vulneración del principio de proporcionalidad de la medida de expulsión. Aplicación de la doctrina de la STC 47/2023, de 10 de mayo. Estimación de la demanda</w:t>
      </w:r>
    </w:p>
    <w:p w14:paraId="78097A69" w14:textId="77777777" w:rsidR="008D479B" w:rsidRDefault="008D479B" w:rsidP="008D479B">
      <w:pPr>
        <w:pStyle w:val="TextoNormal"/>
      </w:pPr>
    </w:p>
    <w:p w14:paraId="35A8CF20" w14:textId="77777777" w:rsidR="008D479B" w:rsidRDefault="008D479B" w:rsidP="008D479B">
      <w:pPr>
        <w:pStyle w:val="TextoNormal"/>
      </w:pPr>
      <w:r>
        <w:t>Desestimado así el óbice procesal invocado por el abogado del Estado, estamos ya en condiciones de acceder al estudio de las quejas de fondo de la demanda. Siguiendo doctrina reiterada de este tribunal en recursos de amparo mixtos como es este, y a la que se refiere el fiscal en su escrito de alegaciones, habremos de tener en cuenta el criterio de la más amplia tutela y con ello de la mayor retroacción de las actuaciones [entre otras, SSTC 56/2019, de 6 de mayo, FJ 2, y 138/2021, de 29 de junio, FJ 2 A)], lo que implica en este caso principiar por la queja de falta de motivación y la quiebra de la proporcionalidad de la medida de expulsión impuesta a la recurrente.</w:t>
      </w:r>
    </w:p>
    <w:p w14:paraId="3F7D8045" w14:textId="77777777" w:rsidR="008D479B" w:rsidRDefault="008D479B" w:rsidP="008D479B">
      <w:pPr>
        <w:pStyle w:val="TextoNormal"/>
      </w:pPr>
    </w:p>
    <w:p w14:paraId="6310999C" w14:textId="77777777" w:rsidR="008D479B" w:rsidRDefault="008D479B" w:rsidP="008D479B">
      <w:pPr>
        <w:pStyle w:val="TextoNormal"/>
      </w:pPr>
      <w:r>
        <w:t>Dicho motivo de impugnación debe ser estimado, se adelanta desde ya, conforme a las siguientes razones:</w:t>
      </w:r>
    </w:p>
    <w:p w14:paraId="09B45151" w14:textId="77777777" w:rsidR="008D479B" w:rsidRDefault="008D479B" w:rsidP="008D479B">
      <w:pPr>
        <w:pStyle w:val="TextoNormal"/>
      </w:pPr>
    </w:p>
    <w:p w14:paraId="3D79390F" w14:textId="77777777" w:rsidR="008D479B" w:rsidRDefault="008D479B" w:rsidP="008D479B">
      <w:pPr>
        <w:pStyle w:val="TextoNormal"/>
      </w:pPr>
      <w:r>
        <w:t>a) El presente recurso de amparo se integra dentro de una serie de recursos admitidos a trámite por este tribunal, en los que se plantea el mismo problema constitucional: órdenes administrativas de expulsión de España de nacionales extranjeros, con la consiguiente prohibición de retorno a nuestro país en un plazo determinado, por haber cometido la infracción tipificada en el art. 51.3 a) LOEx, encontrarse irregularmente en España por carecer de permiso de residencia o autorización expedida por la autoridad competente. La medida de expulsión resulta impugnada en estos recursos aduciendo la quiebra del principio de proporcionalidad de la medida sancionadora, al entender que el juego conjunto de los arts. 55.1 b) y 57.1 LOEx, y un correcto entendimiento de la Directiva 2008/115/CE del Parlamento Europeo y del Consejo, de 16 de diciembre de 2008, o Directiva de retorno, permiten a la administración competente decretar una medida de multa en vez de la expulsión, al no concurrir circunstancias personales de agravación de la propia situación de estancia irregular del afectado que justifiquen la expulsión.</w:t>
      </w:r>
    </w:p>
    <w:p w14:paraId="7883F36E" w14:textId="77777777" w:rsidR="008D479B" w:rsidRDefault="008D479B" w:rsidP="008D479B">
      <w:pPr>
        <w:pStyle w:val="TextoNormal"/>
      </w:pPr>
    </w:p>
    <w:p w14:paraId="7C6C11C8" w14:textId="77777777" w:rsidR="008D479B" w:rsidRDefault="008D479B" w:rsidP="008D479B">
      <w:pPr>
        <w:pStyle w:val="TextoNormal"/>
      </w:pPr>
      <w:r>
        <w:t xml:space="preserve">El recurso de amparo cabecera de dicha serie, núm. 1060-2010, ha sido resuelto por la sentencia del Pleno de este tribunal 47/2023, de 10 de mayo, declarando en su fallo el reconocimiento de haberse vulnerado el derecho fundamental de la parte recurrente a la legalidad sancionadora del art. 25.1 CE. En dicha sentencia, fundamento jurídico 3, este tribunal ha pasado revista al marco regulador interno (LOEx) habilitante de las posibles sanciones aplicables; a los principales preceptos de la Directiva 2008/115/CE, y a la doctrina que ha ido fijando paulatinamente el Tribunal de Justicia de la Unión Europea en respuesta al planteamiento de diversas cuestiones prejudiciales por parte de los tribunales españoles, acerca de la compatibilidad entre dicha directiva y su trasposición en el año 2009 a las disposiciones de la Ley Orgánica sobre derechos y libertades de los extranjeros en España. En concreto, nos referimos a las sentencias de 23 de abril de 2015, asunto </w:t>
      </w:r>
      <w:r w:rsidRPr="008D479B">
        <w:rPr>
          <w:i/>
        </w:rPr>
        <w:t>Subdelegación del Gobierno en Guipúzcoa c. Samir Zaizoune</w:t>
      </w:r>
      <w:r>
        <w:t xml:space="preserve">, C-38/14; de 8 de octubre de 2020, asunto </w:t>
      </w:r>
      <w:r w:rsidRPr="008D479B">
        <w:rPr>
          <w:i/>
        </w:rPr>
        <w:t>MO c. Subdelegación del Gobierno en Toledo</w:t>
      </w:r>
      <w:r>
        <w:t xml:space="preserve">, C-568/19, y de 3 de marzo de 2022, asunto </w:t>
      </w:r>
      <w:r w:rsidRPr="008D479B">
        <w:rPr>
          <w:i/>
        </w:rPr>
        <w:t>UN c. Subdelegación del Gobierno en Pontevedra</w:t>
      </w:r>
      <w:r>
        <w:t>, C-409/20; así como también diversos pronunciamientos de la Sala Tercera de nuestro Tribunal Supremo en estos mismos años, con el fin de adecuarse a la doctrina del Tribunal de Justicia.</w:t>
      </w:r>
    </w:p>
    <w:p w14:paraId="0028FB78" w14:textId="77777777" w:rsidR="008D479B" w:rsidRDefault="008D479B" w:rsidP="008D479B">
      <w:pPr>
        <w:pStyle w:val="TextoNormal"/>
      </w:pPr>
    </w:p>
    <w:p w14:paraId="563591BE" w14:textId="77777777" w:rsidR="008D479B" w:rsidRDefault="008D479B" w:rsidP="008D479B">
      <w:pPr>
        <w:pStyle w:val="TextoNormal"/>
      </w:pPr>
      <w:r>
        <w:t>Más adelante, en el fundamento jurídico 4, la citada STC 47/2023 ha recordado la doctrina constitucional existente sobre el derecho a la legalidad sancionadora, como vertiente material del art. 25.1 CE, y tras ello, al hacer aplicación de toda la doctrina invocada al caso concreto, constatamos que:</w:t>
      </w:r>
    </w:p>
    <w:p w14:paraId="07BA847A" w14:textId="77777777" w:rsidR="008D479B" w:rsidRDefault="008D479B" w:rsidP="008D479B">
      <w:pPr>
        <w:pStyle w:val="TextoNormal"/>
      </w:pPr>
    </w:p>
    <w:p w14:paraId="3D766620" w14:textId="77777777" w:rsidR="008D479B" w:rsidRDefault="008D479B" w:rsidP="008D479B">
      <w:pPr>
        <w:pStyle w:val="TextoNormal"/>
      </w:pPr>
      <w:r>
        <w:t>“La resolución que acuerda la expulsión no alude en su motivación a ninguna circunstancia agravante o negativa que pudiera concurrir en la recurrente; las resoluciones judiciales tampoco reflejaron ningún elemento negativo y confirmaron la resolución de expulsión basándose en la ausencia de arraigo de la ahora demandante de amparo.</w:t>
      </w:r>
    </w:p>
    <w:p w14:paraId="524A04EC" w14:textId="77777777" w:rsidR="008D479B" w:rsidRDefault="008D479B" w:rsidP="008D479B">
      <w:pPr>
        <w:pStyle w:val="TextoNormal"/>
      </w:pPr>
    </w:p>
    <w:p w14:paraId="612A55E5" w14:textId="77777777" w:rsidR="008D479B" w:rsidRDefault="008D479B" w:rsidP="008D479B">
      <w:pPr>
        <w:pStyle w:val="TextoNormal"/>
      </w:pPr>
      <w:r>
        <w:t>En efecto, las resoluciones judiciales declararon procedente la expulsión con fundamento en la aplicación directa de lo dispuesto en el art. 6.1 de la Directiva 2008/115/CE y en que la recurrente carecía de arraigo en España. Pero con tal argumentación, los órganos judiciales dejaron de aplicar las consecuencias previstas en la normativa española para las situaciones de estancia irregular, puesto que en nuestro derecho no está prevista la sanción de expulsión para los supuestos de mera estancia irregular de las personas extranjeras en quienes no se aprecie ninguna circunstancia agravante o negativa. Esta interpretación de los tribunales españoles que marginaba la normativa nacional más favorable y que otorgaba un efecto directo inverso a la Directiva de retorno es errónea y contraria a la jurisprudencia del Tribunal de Justicia de la Unión Europea sobre la eficacia de esta clase de normas en los ordenamientos internos. Como señala la STJUE de 8 de octubre de 2020, ‘es preciso recordar que, según reiterada jurisprudencia del Tribunal de Justicia, las directivas no pueden, por sí solas, crear obligaciones a cargo de los particulares, pues los Estados miembros no pueden invocar las disposiciones de las directivas, en su calidad de tales, contra dichas personas’ (apartado 35).</w:t>
      </w:r>
    </w:p>
    <w:p w14:paraId="75141819" w14:textId="77777777" w:rsidR="008D479B" w:rsidRDefault="008D479B" w:rsidP="008D479B">
      <w:pPr>
        <w:pStyle w:val="TextoNormal"/>
      </w:pPr>
    </w:p>
    <w:p w14:paraId="22D9BDBC" w14:textId="77777777" w:rsidR="008D479B" w:rsidRDefault="008D479B" w:rsidP="008D479B">
      <w:pPr>
        <w:pStyle w:val="TextoNormal"/>
      </w:pPr>
      <w:r>
        <w:t>Nuestro régimen de extranjería solo justificaba y justifica la sanción de expulsión para los casos de estancia irregular, en lugar de la sanción de multa [art. 55.1 b) LOEx], ‘en atención al principio de proporcionalidad […], previa la tramitación del correspondiente expediente administrativo y mediante la resolución motivada que valore los hechos que configuran la infracción’ (art. 57.1 LOEx). La compatibilidad de este régimen con la normativa comunitaria fue aclarada por la citada STJUE de 8 de octubre de 2020, cuyo fallo dispuso que ‘cuando la normativa nacional, en caso de situación irregular de nacionales de terceros países en el territorio de un Estado miembro, imponga, o bien una sanción de multa, o bien la expulsión, teniendo en cuenta que la segunda medida solo puede adoptarse si existen circunstancias agravantes en la persona de dichos nacionales, adicionales a su situación irregular, la autoridad nacional competente no podrá basarse directamente en lo dispuesto en la Directiva para adoptar una decisión de retorno y hacer cumplir dicha decisión aun cuando no existan circunstancias agravantes’.</w:t>
      </w:r>
    </w:p>
    <w:p w14:paraId="2C005591" w14:textId="77777777" w:rsidR="008D479B" w:rsidRDefault="008D479B" w:rsidP="008D479B">
      <w:pPr>
        <w:pStyle w:val="TextoNormal"/>
      </w:pPr>
    </w:p>
    <w:p w14:paraId="3DBC56BC" w14:textId="77777777" w:rsidR="008D479B" w:rsidRDefault="008D479B" w:rsidP="008D479B">
      <w:pPr>
        <w:pStyle w:val="TextoNormal"/>
      </w:pPr>
      <w:r>
        <w:t>Por tal motivo, con independencia de la interpretación que la jurisdicción ordinaria efectúe sobre la aplicabilidad de la sanción de multa para los supuestos de mera estancia irregular, debe concluirse que, al imponer la administración la sanción de expulsión, se infringió la garantía material del derecho a la legalidad sancionadora de la recurrente a causa de una aplicación irrazonable de la norma sancionadora. La administración impuso la sanción de expulsión del art. 57.1 LOEx, luego confirmada judicialmente con una interpretación errónea sobre la eficacia de la Directiva de retorno, a una situación de estancia irregular en la que no consta que concurriera ninguna circunstancia agravante o elemento negativo que la hubiese justificado, ‘en atención al principio de proporcionalidad’, tal y como dicho precepto exige para su aplicación.</w:t>
      </w:r>
    </w:p>
    <w:p w14:paraId="3FAAB3D5" w14:textId="77777777" w:rsidR="008D479B" w:rsidRDefault="008D479B" w:rsidP="008D479B">
      <w:pPr>
        <w:pStyle w:val="TextoNormal"/>
      </w:pPr>
    </w:p>
    <w:p w14:paraId="03A6874A" w14:textId="77777777" w:rsidR="008D479B" w:rsidRDefault="008D479B" w:rsidP="008D479B">
      <w:pPr>
        <w:pStyle w:val="TextoNormal"/>
      </w:pPr>
      <w:r>
        <w:t>La apreciación de la vulneración invocada conduce a otorgar el amparo solicitado por la demandante [art. 53 a) LOTC]”.</w:t>
      </w:r>
    </w:p>
    <w:p w14:paraId="029EE22D" w14:textId="77777777" w:rsidR="008D479B" w:rsidRDefault="008D479B" w:rsidP="008D479B">
      <w:pPr>
        <w:pStyle w:val="TextoNormal"/>
      </w:pPr>
    </w:p>
    <w:p w14:paraId="21730F78" w14:textId="77777777" w:rsidR="008D479B" w:rsidRDefault="008D479B" w:rsidP="008D479B">
      <w:pPr>
        <w:pStyle w:val="TextoNormal"/>
      </w:pPr>
      <w:r>
        <w:t>b) La doctrina de la STC 47/2023 ha sido aplicada ya en resoluciones posteriores de este tribunal, con el resultado de declarar la vulneración del derecho a la legalidad sancionadora en las SSTC 70/2023 (recurso de amparo núm. 5731-2020) y 71/2023 (recurso de amparo núm. 5744-2020) ambas de 19 de junio.</w:t>
      </w:r>
    </w:p>
    <w:p w14:paraId="6D505367" w14:textId="77777777" w:rsidR="008D479B" w:rsidRDefault="008D479B" w:rsidP="008D479B">
      <w:pPr>
        <w:pStyle w:val="TextoNormal"/>
      </w:pPr>
    </w:p>
    <w:p w14:paraId="393639B4" w14:textId="77777777" w:rsidR="008D479B" w:rsidRDefault="008D479B" w:rsidP="008D479B">
      <w:pPr>
        <w:pStyle w:val="TextoNormal"/>
      </w:pPr>
      <w:r>
        <w:t>Asimismo, en las SSTC 53/2023 y 55/2023, ambas de 22 de mayo, también con aplicación de la STC 47/2023, se ha declarado en el fallo la vulneración de los derechos a la tutela judicial efectiva (art. 24.1 CE) y a la legalidad penal (art. 25.1 CE), al apreciarse que la quiebra del principio de proporcionalidad de la medida sancionadora también derivaba de una motivación insuficiente de los actos impugnados.</w:t>
      </w:r>
    </w:p>
    <w:p w14:paraId="58C6FC4D" w14:textId="77777777" w:rsidR="008D479B" w:rsidRDefault="008D479B" w:rsidP="008D479B">
      <w:pPr>
        <w:pStyle w:val="TextoNormal"/>
      </w:pPr>
    </w:p>
    <w:p w14:paraId="313E5908" w14:textId="77777777" w:rsidR="008D479B" w:rsidRDefault="008D479B" w:rsidP="008D479B">
      <w:pPr>
        <w:pStyle w:val="TextoNormal"/>
      </w:pPr>
      <w:r>
        <w:t>En esta situación se encuentra precisamente el asunto planteado por la demandante del presente recurso de amparo, tal y como ha alegado en sus distintos escritos procesales, como de inmediato se dirá.</w:t>
      </w:r>
    </w:p>
    <w:p w14:paraId="19A41CE1" w14:textId="77777777" w:rsidR="008D479B" w:rsidRDefault="008D479B" w:rsidP="008D479B">
      <w:pPr>
        <w:pStyle w:val="TextoNormal"/>
      </w:pPr>
    </w:p>
    <w:p w14:paraId="37581AB3" w14:textId="77777777" w:rsidR="008D479B" w:rsidRDefault="008D479B" w:rsidP="008D479B">
      <w:pPr>
        <w:pStyle w:val="TextoNormal"/>
      </w:pPr>
      <w:r>
        <w:t>c) En efecto, el examen de las actuaciones revela que la resolución administrativa y las judiciales impugnadas carecen de un juicio de ponderación idóneo, tanto formal como material, para poder sostener válidamente la inexorabilidad de la medida de expulsión:</w:t>
      </w:r>
    </w:p>
    <w:p w14:paraId="3EA99CE9" w14:textId="77777777" w:rsidR="008D479B" w:rsidRDefault="008D479B" w:rsidP="008D479B">
      <w:pPr>
        <w:pStyle w:val="TextoNormal"/>
      </w:pPr>
    </w:p>
    <w:p w14:paraId="3259D2F4" w14:textId="77777777" w:rsidR="008D479B" w:rsidRDefault="008D479B" w:rsidP="008D479B">
      <w:pPr>
        <w:pStyle w:val="TextoNormal"/>
      </w:pPr>
      <w:r>
        <w:t>(i) En la resolución de la delegada del Gobierno en Madrid, en primer lugar, no se efectúa ninguna ponderación entre las sanciones de multa y expulsión, contemplándose como única posible esta segunda, que es la que impone. No se anota ninguna circunstancia agravante personal de la recurrente, distinta de la propia atribuida a la situación de estancia irregular en España.</w:t>
      </w:r>
    </w:p>
    <w:p w14:paraId="58504500" w14:textId="77777777" w:rsidR="008D479B" w:rsidRDefault="008D479B" w:rsidP="008D479B">
      <w:pPr>
        <w:pStyle w:val="TextoNormal"/>
      </w:pPr>
    </w:p>
    <w:p w14:paraId="044E107F" w14:textId="77777777" w:rsidR="008D479B" w:rsidRDefault="008D479B" w:rsidP="008D479B">
      <w:pPr>
        <w:pStyle w:val="TextoNormal"/>
      </w:pPr>
      <w:r>
        <w:t>(ii) Posteriormente, la sentencia del Juzgado de lo Contencioso-Administrativo núm. 16 de Madrid confirmó la orden de expulsión argumentando que si bien los arts. 55 y 57 LOEx permiten la posibilidad de castigar la estancia ilegal con multa y no con expulsión, debía acogerse sin embargo el criterio fijado por la sentencia del Tribunal Supremo de 12 de junio de 2018, la cual aplicaba a su vez la doctrina de la STJUE de 23 de abril de 2015, de que solo procede la expulsión, y ello a pesar de que el juzgado reconoce que “a la recurrente no le consta ningún otro hecho negativo más allá de la estancia irregular”.</w:t>
      </w:r>
    </w:p>
    <w:p w14:paraId="20484389" w14:textId="77777777" w:rsidR="008D479B" w:rsidRDefault="008D479B" w:rsidP="008D479B">
      <w:pPr>
        <w:pStyle w:val="TextoNormal"/>
      </w:pPr>
    </w:p>
    <w:p w14:paraId="20E952AD" w14:textId="77777777" w:rsidR="008D479B" w:rsidRDefault="008D479B" w:rsidP="008D479B">
      <w:pPr>
        <w:pStyle w:val="TextoNormal"/>
      </w:pPr>
      <w:r>
        <w:t>(iii) Por su lado, la sentencia de la Sección Décima de la Sala de lo Contencioso-Administrativo del Tribunal Superior de Justicia de Madrid desestimó el recurso de apelación promovido por la recurrente, aduciendo que en virtud del principio de primacía del Derecho de la Unión Europea y su aplicación respecto de la Directiva 2008/115/CE, y a lo resuelto por la STJUE de 23 de abril de 2015, únicamente podía imponerse la medida de expulsión. Es decir, el tribunal de apelación defendió la aplicación de un efecto directo inverso de la directiva en cuestión, que es algo no permitido por la propia jurisprudencia del Tribunal de Justicia europeo, como se encargó de advertir él mismo en su STJUE de 8 de octubre de 2020.</w:t>
      </w:r>
    </w:p>
    <w:p w14:paraId="7C1DF27E" w14:textId="77777777" w:rsidR="008D479B" w:rsidRDefault="008D479B" w:rsidP="008D479B">
      <w:pPr>
        <w:pStyle w:val="TextoNormal"/>
      </w:pPr>
    </w:p>
    <w:p w14:paraId="56D6DE47" w14:textId="77777777" w:rsidR="008D479B" w:rsidRDefault="008D479B" w:rsidP="008D479B">
      <w:pPr>
        <w:pStyle w:val="TextoNormal"/>
      </w:pPr>
      <w:r>
        <w:t>(iv) Finalmente, la providencia dictada por la Sección Primera, Sala Tercera, del Tribunal Supremo, de 11 de mayo de 2020 que inadmitió a trámite el recurso de casación interpuesto por la misma recurrente contra la sentencia de apelación (y confirmada por otra providencia posterior de 15 de julio del mismo año), no solamente fundó su decisión en el incumplimiento en el escrito de preparación del requisito de acreditar el requisito del interés casacional objetivo (art. 88 LJCA), sino que además razonó que (materialmente) el asunto carecía de dicho interés, “habiendo sido dictadas sobre la cuestión controvertida y en sentido desfavorable a su pretensión las STS 980/18, de 12 de junio, recurso núm. 2958-17; STS 1716/18, de 27 de noviembre, recurso núm. 5819-17; STS 1817/18, de 19 de diciembre de 2018, recurso núm. 5248-17; STS 1818/18, de 19 de diciembre, recurso núm. 6533-17)”. Tampoco aquí se desplegó juicio de ponderación concreto alguno.</w:t>
      </w:r>
    </w:p>
    <w:p w14:paraId="64A74F10" w14:textId="77777777" w:rsidR="008D479B" w:rsidRDefault="008D479B" w:rsidP="008D479B">
      <w:pPr>
        <w:pStyle w:val="TextoNormal"/>
      </w:pPr>
    </w:p>
    <w:p w14:paraId="618FC618" w14:textId="77777777" w:rsidR="008D479B" w:rsidRDefault="008D479B" w:rsidP="008D479B">
      <w:pPr>
        <w:pStyle w:val="TextoNormal"/>
      </w:pPr>
      <w:r>
        <w:t>d) Se sigue de lo expuesto que falta en todas las resoluciones impugnadas en el presente recurso de amparo el necesario juicio de ponderación entre las dos medidas teóricamente imponibles por la Ley Orgánica sobre derechos y libertades de los extranjeros en España, la multa o la expulsión, por los hechos atribuidos a la recurrente que tipifican la conducta sancionable [art. 53.1 a) LOEx], y la ausencia de circunstancias personales negativas en el expediente, distintas a la de la propia situación de estancia irregular en España. La toma en consideración de ese hecho (no constar otras circunstancias negativas) debió tener como resultado en aplicación del principio de proporcionalidad de la medida sancionadora (arts. 55 y 57 LOEx), la imposición solamente de una multa.</w:t>
      </w:r>
    </w:p>
    <w:p w14:paraId="5C9EE285" w14:textId="77777777" w:rsidR="008D479B" w:rsidRDefault="008D479B" w:rsidP="008D479B">
      <w:pPr>
        <w:pStyle w:val="TextoNormal"/>
      </w:pPr>
    </w:p>
    <w:p w14:paraId="31EF88F7" w14:textId="77777777" w:rsidR="008D479B" w:rsidRDefault="008D479B" w:rsidP="008D479B">
      <w:pPr>
        <w:pStyle w:val="TextoNormal"/>
      </w:pPr>
      <w:r>
        <w:t xml:space="preserve">Y ello al margen de que tanto la sentencia de primera instancia como la de apelación hayan entendido, por otro lado, que la recurrente no logró demostrar el tiempo de arraigo en España tal y como lo había alegado, pronunciamiento que no cabe que revisemos aquí al ser propio de un juicio de legalidad ordinaria [art. 44.1 b) </w:t>
      </w:r>
      <w:r w:rsidRPr="008D479B">
        <w:rPr>
          <w:i/>
        </w:rPr>
        <w:t>in fine</w:t>
      </w:r>
      <w:r>
        <w:t xml:space="preserve"> LOTC]. Esa situación de arraigo podría acaso erigirse en un factor añadido más para la no imposición de la expulsión; pero lo determinante, repetimos y así lo hemos declarado en la STC 47/2023, es que la ausencia de datos negativos (como puede ser la reincidencia, o la acreditada comisión de actos ilícitos, etcétera) en el expediente resulta suficiente para que no proceda la expulsión, ya que no hay circunstancias agravantes que justifiquen su imposición; eventualmente sí una multa a su vez de importe proporcionado.</w:t>
      </w:r>
    </w:p>
    <w:p w14:paraId="652C1EDE" w14:textId="77777777" w:rsidR="008D479B" w:rsidRDefault="008D479B" w:rsidP="008D479B">
      <w:pPr>
        <w:pStyle w:val="TextoNormal"/>
      </w:pPr>
    </w:p>
    <w:p w14:paraId="592AD311" w14:textId="77777777" w:rsidR="008D479B" w:rsidRDefault="008D479B" w:rsidP="008D479B">
      <w:pPr>
        <w:pStyle w:val="TextoNormal"/>
      </w:pPr>
      <w:r>
        <w:t>e) Como indicamos en el fundamento jurídico 3, último párrafo, de las SSTC 53/2023 y 55/2023, los actos aquí impugnados “parten de una interpretación de la Directiva de retorno que este tribunal ha declarado ya errónea por no ajustarse a la interpretación auténtica que de la misma han verificado las SSTJUE de 8 de octubre de 2020 y de 3 de marzo de 2022. Estamos por ello ante un caso de denegación de tutela judicial efectiva del legítimo interés de la recurrente a no sufrir una sanción desproporcionada e inmotivada, interés conectado con el principio de legalidad penal del art. 25.1 CE, cuya trascendencia material exige como remedio necesario la anulación definitiva de los actos lesivos”.</w:t>
      </w:r>
    </w:p>
    <w:p w14:paraId="479D33B3" w14:textId="77777777" w:rsidR="008D479B" w:rsidRDefault="008D479B" w:rsidP="008D479B">
      <w:pPr>
        <w:pStyle w:val="TextoNormal"/>
      </w:pPr>
    </w:p>
    <w:p w14:paraId="1E9D02B3" w14:textId="77777777" w:rsidR="008D479B" w:rsidRDefault="008D479B" w:rsidP="008D479B">
      <w:pPr>
        <w:pStyle w:val="TextoNormal"/>
      </w:pPr>
      <w:r>
        <w:t>f) Se estima por tanto la segunda queja de la demanda, otorgando el amparo que se nos solicita, declarando vulnerados los derechos fundamentales de la recurrente a la tutela judicial efectiva (art. 24.1 CE) y a la legalidad penal (art. 25.1 CE). Se acuerda como medida para la reparación de estos derechos la nulidad de todas las resoluciones impugnadas, sin necesidad de acordar la retroacción de las actuaciones a ninguna fase jurisdiccional o administrativa, como pedía el fiscal ante este tribunal.</w:t>
      </w:r>
    </w:p>
    <w:p w14:paraId="49B8942C" w14:textId="77777777" w:rsidR="008D479B" w:rsidRDefault="008D479B" w:rsidP="008D479B">
      <w:pPr>
        <w:pStyle w:val="TextoNormal"/>
      </w:pPr>
    </w:p>
    <w:p w14:paraId="716B1862" w14:textId="65ABC2E9" w:rsidR="008D479B" w:rsidRDefault="008D479B" w:rsidP="008D479B">
      <w:pPr>
        <w:pStyle w:val="TextoNormal"/>
      </w:pPr>
      <w:r>
        <w:t>La estimación de este motivo de la demanda releva a su vez de tener que acceder al estudio de la queja primera, planteada por vulneración del derecho de acceso al recurso (art. 24.1 CE) por la inadmisión del recurso de casación preparado por la parte.</w:t>
      </w:r>
    </w:p>
    <w:p w14:paraId="76168524" w14:textId="77777777" w:rsidR="008D479B" w:rsidRDefault="008D479B" w:rsidP="008D479B">
      <w:pPr>
        <w:pStyle w:val="TextoNormal"/>
      </w:pPr>
    </w:p>
    <w:p w14:paraId="63104110" w14:textId="77777777" w:rsidR="008D479B" w:rsidRDefault="008D479B" w:rsidP="008D479B">
      <w:pPr>
        <w:pStyle w:val="TextoNormalCentrado"/>
        <w:keepNext/>
      </w:pPr>
      <w:r>
        <w:t>FALLO</w:t>
      </w:r>
    </w:p>
    <w:p w14:paraId="3F503225" w14:textId="02A084B8" w:rsidR="008D479B" w:rsidRDefault="008D479B" w:rsidP="008D479B">
      <w:pPr>
        <w:pStyle w:val="TextoNormalCentrado"/>
        <w:keepNext/>
      </w:pPr>
    </w:p>
    <w:p w14:paraId="29354B7E" w14:textId="77777777" w:rsidR="008D479B" w:rsidRDefault="008D479B" w:rsidP="008D479B">
      <w:pPr>
        <w:pStyle w:val="TextoNormal"/>
      </w:pPr>
      <w:r>
        <w:t>En atención a todo lo expuesto, el Tribunal Constitucional, por la autoridad que le confiere la Constitución de la Nación española, ha decidido estimar el recurso de amparo interpuesto por doña Noemí López Madariaga y, en su virtud:</w:t>
      </w:r>
    </w:p>
    <w:p w14:paraId="4EE44169" w14:textId="77777777" w:rsidR="008D479B" w:rsidRDefault="008D479B" w:rsidP="008D479B">
      <w:pPr>
        <w:pStyle w:val="TextoNormal"/>
      </w:pPr>
    </w:p>
    <w:p w14:paraId="41C5A0AE" w14:textId="77777777" w:rsidR="008D479B" w:rsidRDefault="008D479B" w:rsidP="008D479B">
      <w:pPr>
        <w:pStyle w:val="TextoNormal"/>
      </w:pPr>
      <w:r>
        <w:t>1º Reconocer que han sido vulnerados sus derechos a la tutela judicial efectiva (art. 24.1 CE) y a la legalidad penal (art. 25.1 CE).</w:t>
      </w:r>
    </w:p>
    <w:p w14:paraId="29C8679D" w14:textId="77777777" w:rsidR="008D479B" w:rsidRDefault="008D479B" w:rsidP="008D479B">
      <w:pPr>
        <w:pStyle w:val="TextoNormal"/>
      </w:pPr>
    </w:p>
    <w:p w14:paraId="3E47A8E7" w14:textId="490EF06E" w:rsidR="008D479B" w:rsidRDefault="008D479B" w:rsidP="008D479B">
      <w:pPr>
        <w:pStyle w:val="TextoNormal"/>
      </w:pPr>
      <w:r>
        <w:t>2º Restablecerle en esos derechos y, a tal fin, declarar la nulidad de las siguientes resoluciones: (i) la dictada por la delegada del Gobierno en Madrid el 24 de enero de 2018, expediente de expulsión núm. 280020180001035; (ii) la sentencia del Juzgado de lo Contencioso-Administrativo núm. 16 de Madrid, de 5 de marzo de 2019 (proceso abreviado núm. 148-2018 Grupo E); (iii) la sentencia de la Sección Décima de la Sala de lo Contencioso-Administrativo del Tribunal Superior de Justicia de Madrid, de 30 de septiembre de 2019 (recurso de apelación núm. 572-2019); (iv) la providencia de la Sección Primera de la Sala de lo Contencioso-Administrativo del Tribunal Supremo, de 11 de mayo de 2020 (recurso de casación núm. 7788-2019); y (v) la providencia de la misma sala y sección del Tribunal Supremo, de 15 de julio de 2020, dictada en el mismo procedimiento de casación.</w:t>
      </w:r>
    </w:p>
    <w:p w14:paraId="453BE58C" w14:textId="77777777" w:rsidR="008D479B" w:rsidRDefault="008D479B" w:rsidP="008D479B">
      <w:pPr>
        <w:pStyle w:val="TextoNormal"/>
      </w:pPr>
    </w:p>
    <w:p w14:paraId="11080552" w14:textId="77777777" w:rsidR="008D479B" w:rsidRDefault="008D479B" w:rsidP="008D479B">
      <w:pPr>
        <w:pStyle w:val="TextoNormal"/>
      </w:pPr>
      <w:r>
        <w:t>Publíquese esta sentencia en el “Boletín Oficial del Estado”.</w:t>
      </w:r>
    </w:p>
    <w:p w14:paraId="2D00EC09" w14:textId="77777777" w:rsidR="008D479B" w:rsidRDefault="008D479B" w:rsidP="008D479B">
      <w:pPr>
        <w:pStyle w:val="TextoNormal"/>
      </w:pPr>
      <w:r>
        <w:t>Dada en Madrid, a tres de julio de dos mil veintitrés.</w:t>
      </w:r>
    </w:p>
    <w:p w14:paraId="1ED883DA" w14:textId="734703E8" w:rsidR="008D479B" w:rsidRDefault="008D479B">
      <w:pPr>
        <w:spacing w:after="160" w:line="278" w:lineRule="auto"/>
        <w:rPr>
          <w:rFonts w:ascii="Times New Roman" w:eastAsia="Times New Roman" w:hAnsi="Times New Roman" w:cs="Times New Roman"/>
          <w:sz w:val="24"/>
          <w:szCs w:val="24"/>
          <w:lang w:eastAsia="es-ES"/>
        </w:rPr>
      </w:pPr>
      <w:r>
        <w:br w:type="page"/>
      </w:r>
    </w:p>
    <w:p w14:paraId="05E5EE7D" w14:textId="77777777" w:rsidR="008D479B" w:rsidRDefault="008D479B" w:rsidP="008D479B">
      <w:pPr>
        <w:pStyle w:val="TtuloResolucin"/>
      </w:pPr>
      <w:bookmarkStart w:id="6" w:name="SENTENCIA_2023_81"/>
      <w:r>
        <w:t>SENTENCIA 81/2023, de 3 de julio de 2023</w:t>
      </w:r>
    </w:p>
    <w:bookmarkEnd w:id="6"/>
    <w:p w14:paraId="4C34BFE8" w14:textId="77777777" w:rsidR="008D479B" w:rsidRDefault="008D479B" w:rsidP="008D479B">
      <w:pPr>
        <w:pStyle w:val="TtuloResolucin"/>
      </w:pPr>
      <w:r>
        <w:t>Sala Segunda</w:t>
      </w:r>
    </w:p>
    <w:p w14:paraId="43A7337E" w14:textId="77777777" w:rsidR="008D479B" w:rsidRDefault="008D479B" w:rsidP="008D479B">
      <w:pPr>
        <w:pStyle w:val="TtuloBOE"/>
      </w:pPr>
      <w:r>
        <w:t>(BOE núm. 184, de 3 de agosto de 2023)</w:t>
      </w:r>
    </w:p>
    <w:p w14:paraId="19143DB8" w14:textId="77777777" w:rsidR="008D479B" w:rsidRDefault="008D479B" w:rsidP="008D479B">
      <w:pPr>
        <w:pStyle w:val="TextoNormalCentrado"/>
      </w:pPr>
      <w:r>
        <w:t>ECLI:ES:TC:2023:81</w:t>
      </w:r>
    </w:p>
    <w:p w14:paraId="45AC261B" w14:textId="783EB78B" w:rsidR="008D479B" w:rsidRDefault="008D479B" w:rsidP="008D479B">
      <w:pPr>
        <w:pStyle w:val="TextoNormalCentrado"/>
      </w:pPr>
    </w:p>
    <w:p w14:paraId="4E1596B3" w14:textId="77777777" w:rsidR="008D479B" w:rsidRDefault="008D479B" w:rsidP="008D479B">
      <w:pPr>
        <w:pStyle w:val="SntesisDescriptiva"/>
      </w:pPr>
      <w:r>
        <w:t>Recursos de amparo 8250-2021, 8360-2021 (acumulados). Promovidos por Disa Península, S.L.U., e Inmobiliaria Alozaima, S.L, respecto de las sentencias dictadas por la Audiencia Provincial de Málaga y un juzgado de lo penal de esa capital en causa penal por prevaricación administrativa.</w:t>
      </w:r>
    </w:p>
    <w:p w14:paraId="2A5CCC7B" w14:textId="10815E91" w:rsidR="008D479B" w:rsidRDefault="008D479B" w:rsidP="008D479B">
      <w:pPr>
        <w:pStyle w:val="SntesisDescriptiva"/>
      </w:pPr>
    </w:p>
    <w:p w14:paraId="3952B54E" w14:textId="77777777" w:rsidR="008D479B" w:rsidRDefault="008D479B" w:rsidP="008D479B">
      <w:pPr>
        <w:pStyle w:val="SntesisAnaltica"/>
      </w:pPr>
      <w:r>
        <w:t>Vulneración del derecho a la tutela judicial sin indefensión: entidades mercantiles que no fueron llamadas a una causa penal en la que se controvertían sendas licencias de obra de las que eran titulares.</w:t>
      </w:r>
    </w:p>
    <w:p w14:paraId="304A8E16" w14:textId="3739A3EE" w:rsidR="008D479B" w:rsidRDefault="008D479B" w:rsidP="008D479B">
      <w:pPr>
        <w:pStyle w:val="SntesisAnaltica"/>
      </w:pPr>
    </w:p>
    <w:p w14:paraId="6C17E60A" w14:textId="1C2603B1" w:rsidR="008D479B" w:rsidRDefault="008D479B" w:rsidP="008D479B">
      <w:pPr>
        <w:pStyle w:val="Extracto"/>
      </w:pPr>
      <w:r>
        <w:t>1.</w:t>
      </w:r>
      <w:r>
        <w:tab/>
        <w:t>La falta de citación o emplazamiento en un proceso, en el que se dilucidan cuestiones que afectan de modo directo y personal a los recurrentes o cuyos pronunciamientos puedan afectarles, supone una manifestación de indefensión constitucionalmente relevante. Impide, además, las facultades de alegar y, en su caso, de justificar sus derechos e intereses para que le sean reconocidos o para replicar dialécticamente las posiciones contrarias, en aplicación del indispensable principio de contradicción (STC 31/1989) [FJ 2].</w:t>
      </w:r>
    </w:p>
    <w:p w14:paraId="35F7A58A" w14:textId="77777777" w:rsidR="008D479B" w:rsidRDefault="008D479B" w:rsidP="008D479B">
      <w:pPr>
        <w:pStyle w:val="Extracto"/>
      </w:pPr>
    </w:p>
    <w:p w14:paraId="3C5EA027" w14:textId="573704D9" w:rsidR="008D479B" w:rsidRDefault="008D479B" w:rsidP="008D479B">
      <w:pPr>
        <w:pStyle w:val="Extracto"/>
      </w:pPr>
      <w:r>
        <w:t>2.</w:t>
      </w:r>
      <w:r>
        <w:tab/>
        <w:t>A quien afirme haber ignorado la existencia de un procedimiento, en el que se ventilaban pretensiones que podían afectarle, no le es exigible la prueba de tal ignorancia; por el contrario, en virtud de una prerrogativa general de probidad, ampliamente reconocida por el ordenamiento jurídico, hay que presumir la buena fe de la persona [FJ 2].</w:t>
      </w:r>
    </w:p>
    <w:p w14:paraId="4E4DF908" w14:textId="77777777" w:rsidR="008D479B" w:rsidRDefault="008D479B" w:rsidP="008D479B">
      <w:pPr>
        <w:pStyle w:val="Extracto"/>
      </w:pPr>
    </w:p>
    <w:p w14:paraId="571C5970" w14:textId="75A00875" w:rsidR="008D479B" w:rsidRDefault="008D479B" w:rsidP="008D479B">
      <w:pPr>
        <w:pStyle w:val="Extracto"/>
      </w:pPr>
      <w:r>
        <w:t>3.</w:t>
      </w:r>
      <w:r>
        <w:tab/>
        <w:t>No puede imponerse con carácter necesario la prueba de los hechos negativos, cuando es más simple la prueba del acto positivo contrario por parte del otro litigante [FJ 2].</w:t>
      </w:r>
    </w:p>
    <w:p w14:paraId="750F0C28" w14:textId="77777777" w:rsidR="008D479B" w:rsidRDefault="008D479B" w:rsidP="008D479B">
      <w:pPr>
        <w:pStyle w:val="Extracto"/>
      </w:pPr>
    </w:p>
    <w:p w14:paraId="3AE2D675" w14:textId="77777777" w:rsidR="008D479B" w:rsidRDefault="008D479B" w:rsidP="008D479B">
      <w:pPr>
        <w:pStyle w:val="Extracto"/>
      </w:pPr>
    </w:p>
    <w:p w14:paraId="281662DA" w14:textId="77777777" w:rsidR="008D479B" w:rsidRDefault="008D479B" w:rsidP="008D479B">
      <w:pPr>
        <w:pStyle w:val="TextoNormal"/>
      </w:pPr>
      <w: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14:paraId="53915B1E" w14:textId="56B2E55F" w:rsidR="008D479B" w:rsidRDefault="008D479B" w:rsidP="008D479B">
      <w:pPr>
        <w:pStyle w:val="TextoNormal"/>
      </w:pPr>
    </w:p>
    <w:p w14:paraId="6C7A98B8" w14:textId="77777777" w:rsidR="008D479B" w:rsidRDefault="008D479B" w:rsidP="008D479B">
      <w:pPr>
        <w:pStyle w:val="TextoNormalCentrado"/>
        <w:keepNext/>
      </w:pPr>
      <w:r>
        <w:t>EN NOMBRE DEL REY</w:t>
      </w:r>
    </w:p>
    <w:p w14:paraId="5A0E8598" w14:textId="7A2805FC" w:rsidR="008D479B" w:rsidRDefault="008D479B" w:rsidP="008D479B">
      <w:pPr>
        <w:pStyle w:val="TextoNormalCentrado"/>
        <w:keepNext/>
      </w:pPr>
    </w:p>
    <w:p w14:paraId="11B903E8" w14:textId="77777777" w:rsidR="008D479B" w:rsidRDefault="008D479B" w:rsidP="008D479B">
      <w:pPr>
        <w:pStyle w:val="TextoNormalCentrado"/>
        <w:keepNext/>
      </w:pPr>
    </w:p>
    <w:p w14:paraId="5025A10C" w14:textId="77777777" w:rsidR="008D479B" w:rsidRDefault="008D479B" w:rsidP="008D479B">
      <w:pPr>
        <w:pStyle w:val="TextoNormal"/>
      </w:pPr>
      <w:r>
        <w:t>la siguiente</w:t>
      </w:r>
    </w:p>
    <w:p w14:paraId="2654458E" w14:textId="09FD294A" w:rsidR="008D479B" w:rsidRDefault="008D479B" w:rsidP="008D479B">
      <w:pPr>
        <w:pStyle w:val="TextoNormal"/>
      </w:pPr>
    </w:p>
    <w:p w14:paraId="2292F49F" w14:textId="77777777" w:rsidR="008D479B" w:rsidRDefault="008D479B" w:rsidP="008D479B">
      <w:pPr>
        <w:pStyle w:val="TextoNormalCentrado"/>
        <w:keepNext/>
      </w:pPr>
      <w:r>
        <w:t>SENTENCIA</w:t>
      </w:r>
    </w:p>
    <w:p w14:paraId="0025CD68" w14:textId="4545D1EB" w:rsidR="008D479B" w:rsidRDefault="008D479B" w:rsidP="008D479B">
      <w:pPr>
        <w:pStyle w:val="TextoNormalCentrado"/>
        <w:keepNext/>
      </w:pPr>
    </w:p>
    <w:p w14:paraId="44816187" w14:textId="77777777" w:rsidR="008D479B" w:rsidRDefault="008D479B" w:rsidP="008D479B">
      <w:pPr>
        <w:pStyle w:val="TextoNormal"/>
      </w:pPr>
      <w:r>
        <w:t>En los recursos de amparo acumulados núm. 8250-2021 y 8360-2021, promovidos por las entidades Disa Península, S.L.U., e Inmobiliaria Alozaima, S.L, representados y defendidos respectivamente por los procuradores de los tribunales don Carlos Blanco Sánchez de Cueto y doña María Granizo Palomeque y por los letrados don Luis Molero Pellón y don José Antonio García-Trevijano Garnica, contra la providencia del Juzgado de lo Penal núm. 8 de Málaga de 5 de noviembre de 2021, dictada en la ejecutoria penal núm. 120-2017, por la que se acuerda no haber lugar al incidente de nulidad de actuaciones promovido contra la sentencia núm. 223/2016, de 31 de mayo, pronunciada en el juicio oral núm. 491-2014, confirmada por la sentencia de la Sección Segunda de la Audiencia Provincial de Málaga núm. 15/2017, de 20 de enero, pronunciada en el rollo de apelación núm. 252-2016. Ha comparecido el Ayuntamiento de Marbella. Ha intervenido el Ministerio Fiscal. Ha sido ponente el magistrado don César Tolosa Tribiño.</w:t>
      </w:r>
    </w:p>
    <w:p w14:paraId="1930EA5B" w14:textId="03754269" w:rsidR="008D479B" w:rsidRDefault="008D479B" w:rsidP="008D479B">
      <w:pPr>
        <w:pStyle w:val="TextoNormal"/>
      </w:pPr>
    </w:p>
    <w:p w14:paraId="29217818" w14:textId="77777777" w:rsidR="008D479B" w:rsidRDefault="008D479B" w:rsidP="008D479B">
      <w:pPr>
        <w:pStyle w:val="TextoNormalNegritaCentrado"/>
        <w:keepNext/>
      </w:pPr>
      <w:r>
        <w:t>I. Antecedentes</w:t>
      </w:r>
    </w:p>
    <w:p w14:paraId="3EFFA6A8" w14:textId="70A9474E" w:rsidR="008D479B" w:rsidRDefault="008D479B" w:rsidP="008D479B">
      <w:pPr>
        <w:pStyle w:val="TextoNormalNegritaCentrado"/>
        <w:keepNext/>
      </w:pPr>
    </w:p>
    <w:p w14:paraId="26044D98" w14:textId="489F6733" w:rsidR="008D479B" w:rsidRDefault="008D479B" w:rsidP="008D479B">
      <w:pPr>
        <w:pStyle w:val="TextoNormal"/>
      </w:pPr>
      <w:r w:rsidRPr="008D479B">
        <w:rPr>
          <w:rStyle w:val="NumeroAFNegritaCaracter"/>
        </w:rPr>
        <w:t>1</w:t>
      </w:r>
      <w:r>
        <w:t>. Mediante escritos registrados en este tribunal el 27 de diciembre y el 30 de diciembre de 2021, las entidades Disa Península, S.L.U., e Inmobiliaria Alozaima, S.L, representadas y defendidas respectivamente por los procuradores de los tribunales don Carlos Blanco Sánchez de Cueto y doña María Granizo Palomeque y por los letrados don Luis Molero Pellón y don José Antonio García-Trevijano Garnica, interpusieron dos recursos de amparo contra las resoluciones referidas en el encabezamiento. La presentación de dichos escritos dio lugar a los recursos de amparo núm. 8250-2021 y 8360-2021, cuyo conocimiento correspondió a la Sección Tercera de este tribunal.</w:t>
      </w:r>
    </w:p>
    <w:p w14:paraId="095F6DBB" w14:textId="77777777" w:rsidR="008D479B" w:rsidRDefault="008D479B" w:rsidP="008D479B">
      <w:pPr>
        <w:pStyle w:val="TextoNormal"/>
      </w:pPr>
    </w:p>
    <w:p w14:paraId="617B34AE" w14:textId="77777777" w:rsidR="008D479B" w:rsidRDefault="008D479B" w:rsidP="008D479B">
      <w:pPr>
        <w:pStyle w:val="TextoNormal"/>
      </w:pPr>
      <w:r w:rsidRPr="008D479B">
        <w:rPr>
          <w:rStyle w:val="NumeroAFNegritaCaracter"/>
        </w:rPr>
        <w:t>2</w:t>
      </w:r>
      <w:r>
        <w:t>. Los hechos relevantes para la resolución de los recursos de amparo son, sucintamente expuestos, los siguientes:</w:t>
      </w:r>
    </w:p>
    <w:p w14:paraId="0F5799A9" w14:textId="77777777" w:rsidR="008D479B" w:rsidRDefault="008D479B" w:rsidP="008D479B">
      <w:pPr>
        <w:pStyle w:val="TextoNormal"/>
      </w:pPr>
    </w:p>
    <w:p w14:paraId="45154C1C" w14:textId="77777777" w:rsidR="008D479B" w:rsidRDefault="008D479B" w:rsidP="008D479B">
      <w:pPr>
        <w:pStyle w:val="TextoNormal"/>
      </w:pPr>
      <w:r>
        <w:t>a) Por sentencia del Juzgado de lo Penal núm. 8 de Málaga núm. 223/2016, de 31 de mayo, pronunciada con la conformidad de los acusados, en el juicio oral núm. 491-2014, en el que no intervinieron Disa Península, S.L.U., e Inmobiliaria Alozaima, S.L, se condenó a diversos acusados como autores de varios delitos de prevaricación al considerar acreditado que, en su condición de concejales miembros de la Comisión del Ayuntamiento de Marbella concedieron, en contravención con la normativa urbanística entonces vigente, entre otras, las siguientes licencias de obra para la construcción de otros tantos proyectos: (i) en la reunión de 8 de noviembre de 1995, la licencia para el proyecto de construcción de una gasolinera en la carretera nacional 340, punto kilométrico 194, en el expediente núm. 238-1995; y (ii) en la reunión de 17 de enero de 1996, la licencia para el proyecto de construcción de una gasolinera en la estación de autobuses de la avenida Trapiche en el expediente núm. 7-1996.</w:t>
      </w:r>
    </w:p>
    <w:p w14:paraId="25620FAA" w14:textId="77777777" w:rsidR="008D479B" w:rsidRDefault="008D479B" w:rsidP="008D479B">
      <w:pPr>
        <w:pStyle w:val="TextoNormal"/>
      </w:pPr>
    </w:p>
    <w:p w14:paraId="72D8F82B" w14:textId="77777777" w:rsidR="008D479B" w:rsidRDefault="008D479B" w:rsidP="008D479B">
      <w:pPr>
        <w:pStyle w:val="TextoNormal"/>
      </w:pPr>
      <w:r>
        <w:t>La sentencia decretó “la nulidad de las licencias concedidas en los expedientes núm. 179-1994, núm. 238-1995, núm. 07-1996 y núm. 44-1996, así como de aquellas otras licencias que traigan causa de las autorizaciones concedidas por las mismas”.</w:t>
      </w:r>
    </w:p>
    <w:p w14:paraId="363EC35E" w14:textId="77777777" w:rsidR="008D479B" w:rsidRDefault="008D479B" w:rsidP="008D479B">
      <w:pPr>
        <w:pStyle w:val="TextoNormal"/>
      </w:pPr>
    </w:p>
    <w:p w14:paraId="6A4F2D4F" w14:textId="77777777" w:rsidR="008D479B" w:rsidRDefault="008D479B" w:rsidP="008D479B">
      <w:pPr>
        <w:pStyle w:val="TextoNormal"/>
      </w:pPr>
      <w:r>
        <w:t>La declaración de nulidad de estas licencias fue confirmada en apelación por la sentencia de la Sección Segunda de la Audiencia Provincial de Málaga núm. 15/2017, de 20 de enero, pronunciada en el rollo núm. 252-2016.</w:t>
      </w:r>
    </w:p>
    <w:p w14:paraId="1FCD2014" w14:textId="77777777" w:rsidR="008D479B" w:rsidRDefault="008D479B" w:rsidP="008D479B">
      <w:pPr>
        <w:pStyle w:val="TextoNormal"/>
      </w:pPr>
    </w:p>
    <w:p w14:paraId="0BFEFB9A" w14:textId="77777777" w:rsidR="008D479B" w:rsidRDefault="008D479B" w:rsidP="008D479B">
      <w:pPr>
        <w:pStyle w:val="TextoNormal"/>
      </w:pPr>
      <w:r>
        <w:t>b) Por auto de 26 de septiembre de 2017, dictado por el Juzgado de lo Penal núm. 8 de Málaga, se inició la ejecución de la sentencia firme. En la parte dispositiva del mismo se indica que “habiéndose decretado la nulidad de las licencias concedidas en los expedientes núm. 179-1994, núm. 238-1995, núm. 07-1996 y núm. 44-1996, así como aquellas otras licencias que traigan causa de las autorizaciones concedidas por las mismas. Líbrese oficio al Ayuntamiento de Marbella comunicando la nulidad de las licencias a los efectos oportunos”.</w:t>
      </w:r>
    </w:p>
    <w:p w14:paraId="3564E7B4" w14:textId="77777777" w:rsidR="008D479B" w:rsidRDefault="008D479B" w:rsidP="008D479B">
      <w:pPr>
        <w:pStyle w:val="TextoNormal"/>
      </w:pPr>
    </w:p>
    <w:p w14:paraId="23EFBBC8" w14:textId="77777777" w:rsidR="008D479B" w:rsidRDefault="008D479B" w:rsidP="008D479B">
      <w:pPr>
        <w:pStyle w:val="TextoNormal"/>
      </w:pPr>
      <w:r>
        <w:t>c) El Ayuntamiento de Marbella, para dar cumplimiento a la sentencia dictada por el Juzgado de lo Penal núm. 8 de Málaga, por la que se había decretado la nulidad de las licencias concedidas en los expedientes 238-1995 y 6-1996, dictó, en el marco del procedimiento administrativo 2018DIS00622, el decreto núm. 6448/2018 de fecha 6 de junio y en el procedimiento 2018DIS00621 el decreto 6447/2018.</w:t>
      </w:r>
    </w:p>
    <w:p w14:paraId="0951CE4B" w14:textId="77777777" w:rsidR="008D479B" w:rsidRDefault="008D479B" w:rsidP="008D479B">
      <w:pPr>
        <w:pStyle w:val="TextoNormal"/>
      </w:pPr>
    </w:p>
    <w:p w14:paraId="599D1B62" w14:textId="77777777" w:rsidR="008D479B" w:rsidRDefault="008D479B" w:rsidP="008D479B">
      <w:pPr>
        <w:pStyle w:val="TextoNormal"/>
      </w:pPr>
      <w:r>
        <w:t>El decreto núm. 6448/2018 resolvía, en relación con el expediente núm. 7-1996 anulado, iniciar a la mercantil Inmobiliaria Alozaima, S.A., un procedimiento de reposición de la realidad física alterada que conlleva la demolición de las obras realizadas con la licencia anulada, consistentes en la construcción de la estación de servicio Trapiche. También se daba trámite de audiencia a la mercantil Disa Peninsular, S.L., como titular de un derecho de arrendamiento, poniendo el expediente de manifiesto a los interesados durante el plazo de quince días contados desde la recepción.</w:t>
      </w:r>
    </w:p>
    <w:p w14:paraId="0D248608" w14:textId="77777777" w:rsidR="008D479B" w:rsidRDefault="008D479B" w:rsidP="008D479B">
      <w:pPr>
        <w:pStyle w:val="TextoNormal"/>
      </w:pPr>
    </w:p>
    <w:p w14:paraId="07D89662" w14:textId="77777777" w:rsidR="008D479B" w:rsidRDefault="008D479B" w:rsidP="008D479B">
      <w:pPr>
        <w:pStyle w:val="TextoNormal"/>
      </w:pPr>
      <w:r>
        <w:t>El decreto núm. 6447/2018, se dictó en términos similares en relación con el expediente núm. 238/1995 anulado, en este caso relativo a la licencia de construcción de la estación de servicio Cabopino, que era explotada por su propietaria la mercantil Disa Peninsular, S.L.</w:t>
      </w:r>
    </w:p>
    <w:p w14:paraId="7F246690" w14:textId="77777777" w:rsidR="008D479B" w:rsidRDefault="008D479B" w:rsidP="008D479B">
      <w:pPr>
        <w:pStyle w:val="TextoNormal"/>
      </w:pPr>
    </w:p>
    <w:p w14:paraId="5C47FF66" w14:textId="77777777" w:rsidR="008D479B" w:rsidRDefault="008D479B" w:rsidP="008D479B">
      <w:pPr>
        <w:pStyle w:val="TextoNormal"/>
      </w:pPr>
      <w:r>
        <w:t>d) En el marco de la ejecutoria penal núm. 120-2017, derivada de la mencionada condena firme, la entidad Disa Península, S.L.U., mediante escrito de 12 de julio de 2018, y la entidad Inmobiliaria Alozaima, S.L., mediante escrito de 1 de agosto de 2019, formularon ante el Juzgado de lo Penal núm. 8 de Málaga incidente de nulidad de actuaciones. En los incidentes alegan que se ha vulnerado su derecho a la tutela judicial efectiva (art. 24.1 CE) pues, en su condición de propietarias respectivamente de las estaciones de servicio Cabopino y Trapiche, a las que se referían las licencias de obra aprobadas en los expedientes núm. 238-1995 y 7-1996, y, en el caso de Disa Península, S.L.U., también arrendataria de esta última, tenían la condición de interesadas en el procedimiento judicial en el que mediante la sentencia núm. 223/2016, de 31 de mayo, del Juzgado de lo Penal núm. 8, se anularon dichas licencias por lo que debieron haber sido llamadas al procedimiento.</w:t>
      </w:r>
    </w:p>
    <w:p w14:paraId="027F22DA" w14:textId="77777777" w:rsidR="008D479B" w:rsidRDefault="008D479B" w:rsidP="008D479B">
      <w:pPr>
        <w:pStyle w:val="TextoNormal"/>
      </w:pPr>
    </w:p>
    <w:p w14:paraId="0AA7E296" w14:textId="77777777" w:rsidR="008D479B" w:rsidRDefault="008D479B" w:rsidP="008D479B">
      <w:pPr>
        <w:pStyle w:val="TextoNormal"/>
      </w:pPr>
      <w:r>
        <w:t>Disa Península, S.L.U., afirma, que ha tenido conocimiento de la nulidad de tales licencias en el contexto de la ejecución de la citada sentencia. Indica que el Ayuntamiento de Marbella había dictado los decretos núms. 6448/2018 y 6452/2018, de 6 de junio, en los expedientes de disciplina urbanística de reposición de la realidad física alterada núm. 2018DIS00621 y 2018DIS00622. Sostiene que se le ha vulnerado el derecho a ser oída en el procedimiento y con ello el derecho a la tutela judicial efectiva y defensa, pues en tanto que interesada y/o perjudicada, debió ser llamada al procedimiento, para que pudiera formular alegaciones, ejercer pretensiones resarcitorias o defender la legalidad de las licencias, por lo que solicita que se le tenga por personada y parte en el procedimiento, así como la nulidad del juicio oral y la retroacción de la causa hasta el comienzo de la fase de apertura de juicio oral, a fin de que se le dé traslado para formular alegaciones y proponer pruebas.</w:t>
      </w:r>
    </w:p>
    <w:p w14:paraId="1CC4ED1B" w14:textId="77777777" w:rsidR="008D479B" w:rsidRDefault="008D479B" w:rsidP="008D479B">
      <w:pPr>
        <w:pStyle w:val="TextoNormal"/>
      </w:pPr>
    </w:p>
    <w:p w14:paraId="1F8D4B4D" w14:textId="77777777" w:rsidR="008D479B" w:rsidRDefault="008D479B" w:rsidP="008D479B">
      <w:pPr>
        <w:pStyle w:val="TextoNormal"/>
      </w:pPr>
      <w:r>
        <w:t>Por su parte, la entidad Inmobiliaria Alozaima, S.L., sustenta su pretensión de nulidad en que ha tenido conocimiento de la sentencia del Juzgado de lo Penal que anula la licencia de obras para la construcción de una gasolinera en la estación de autobuses de la avenida Trapiche, concedida en el expediente núm. 7-1996, al impugnar el cese inmediato de actividad acordado por el Ayuntamiento de Marbella mediante decreto núm. 1911/2019, de 15 de febrero, en el expediente administrativo núm. 2108AG00729. Indica, que se le ha vulnerado el derecho a ser oída en el procedimiento y con ello el derecho a la tutela judicial efectiva y defensa, pues debió ser llamada al procedimiento para poder formular alegaciones, por lo que solicita la nulidad de la sentencia, refiriéndose por error a la sentencia del Juzgado de lo Penal núm. 280/2015 —que ya había sido anulada y sustituida por la sentencia núm. 223/2016, de 31 de mayo—, devolviendo la causa al juzgado de instrucción, para que se inicie la tramitación de las diligencias previas para que pueda intervenir en las mismas.</w:t>
      </w:r>
    </w:p>
    <w:p w14:paraId="1B092E42" w14:textId="77777777" w:rsidR="008D479B" w:rsidRDefault="008D479B" w:rsidP="008D479B">
      <w:pPr>
        <w:pStyle w:val="TextoNormal"/>
      </w:pPr>
    </w:p>
    <w:p w14:paraId="20892593" w14:textId="77777777" w:rsidR="008D479B" w:rsidRDefault="008D479B" w:rsidP="008D479B">
      <w:pPr>
        <w:pStyle w:val="TextoNormal"/>
      </w:pPr>
      <w:r>
        <w:t>e) El juzgado de lo penal, tuvo por interpuesto los incidentes de nulidad y dio traslado de los mismos a las demás partes personadas para que en el plazo de tres días manifestaran lo que a su derecho conviniera.</w:t>
      </w:r>
    </w:p>
    <w:p w14:paraId="053EEA39" w14:textId="77777777" w:rsidR="008D479B" w:rsidRDefault="008D479B" w:rsidP="008D479B">
      <w:pPr>
        <w:pStyle w:val="TextoNormal"/>
      </w:pPr>
    </w:p>
    <w:p w14:paraId="25450905" w14:textId="44D6E139" w:rsidR="008D479B" w:rsidRDefault="008D479B" w:rsidP="008D479B">
      <w:pPr>
        <w:pStyle w:val="TextoNormal"/>
      </w:pPr>
      <w:r>
        <w:t>f) Por providencia de 5 de noviembre de 2021 se resolvió respecto de la nulidad solicitada, en los siguientes términos: “Dada cuenta; visto la petición de nulidad realizada por Alozaima SL Y así como Disa, no ha lugar a lo solicitado y estese a lo acordado en sentencia” (</w:t>
      </w:r>
      <w:r w:rsidRPr="008D479B">
        <w:rPr>
          <w:i/>
        </w:rPr>
        <w:t>sic</w:t>
      </w:r>
      <w:r>
        <w:t>).</w:t>
      </w:r>
    </w:p>
    <w:p w14:paraId="2F7B9F0F" w14:textId="77777777" w:rsidR="008D479B" w:rsidRDefault="008D479B" w:rsidP="008D479B">
      <w:pPr>
        <w:pStyle w:val="TextoNormal"/>
      </w:pPr>
    </w:p>
    <w:p w14:paraId="64C0FB78" w14:textId="77777777" w:rsidR="008D479B" w:rsidRDefault="008D479B" w:rsidP="008D479B">
      <w:pPr>
        <w:pStyle w:val="TextoNormal"/>
      </w:pPr>
      <w:r w:rsidRPr="008D479B">
        <w:rPr>
          <w:rStyle w:val="NumeroAFNegritaCaracter"/>
        </w:rPr>
        <w:t>3</w:t>
      </w:r>
      <w:r>
        <w:t>. Los recursos de amparo interpuestos por la entidad Disa Península, S.L.U., y por Inmobiliaria Alozaima, S.L., tienen un contenido parcialmente coincidente.</w:t>
      </w:r>
    </w:p>
    <w:p w14:paraId="638C1EF1" w14:textId="77777777" w:rsidR="008D479B" w:rsidRDefault="008D479B" w:rsidP="008D479B">
      <w:pPr>
        <w:pStyle w:val="TextoNormal"/>
      </w:pPr>
    </w:p>
    <w:p w14:paraId="2EE131E6" w14:textId="77777777" w:rsidR="008D479B" w:rsidRDefault="008D479B" w:rsidP="008D479B">
      <w:pPr>
        <w:pStyle w:val="TextoNormal"/>
      </w:pPr>
      <w:r>
        <w:t>A) La entidad Disa Península, S.L.U., interpone recurso de amparo por el que solicita que se estime vulnerado el derecho a la tutela judicial efectiva (art. 24.1 CE) y se declare la nulidad de las resoluciones judiciales impugnadas exclusivamente en lo que respecta a la nulidad de las licencias concedidas en los expedientes núm. 238-1995 y 7-1996 del Ayuntamiento de Marbella y que “se retrotraigan las actuaciones al momento inmediatamente anterior al dictado de la sentencia de instancia núm. 223/2016, de 31 de mayo, a fin de que se celebre una vista, con intervención de todas las partes, que tenga por objeto, exclusivamente, la pretendida nulidad de los referidos expedientes”.</w:t>
      </w:r>
    </w:p>
    <w:p w14:paraId="1EC50C15" w14:textId="77777777" w:rsidR="008D479B" w:rsidRDefault="008D479B" w:rsidP="008D479B">
      <w:pPr>
        <w:pStyle w:val="TextoNormal"/>
      </w:pPr>
    </w:p>
    <w:p w14:paraId="69044C3A" w14:textId="77777777" w:rsidR="008D479B" w:rsidRDefault="008D479B" w:rsidP="008D479B">
      <w:pPr>
        <w:pStyle w:val="TextoNormal"/>
      </w:pPr>
      <w:r>
        <w:t>Dicha entidad efectúa un detenido análisis de la jurisprudencia constitucional que considera aplicable. Alega que las resoluciones judiciales impugnadas, al acordar la nulidad de dos licencias de obra sobre las dos estaciones de servicio de cuya explotación es titular como propietaria y arrendataria, respectivamente, sin comunicar previamente la existencia de dicho procedimiento penal a fin de que pudiera personarse en el mismo y formular alegaciones, han vulnerado el art. 24.1 CE. Indica, que ostenta un interés legítimo en relación con el objeto del proceso. Dicho interés podía ser fácilmente conocido por el órgano judicial, sin que la mercantil recurrente haya tenido un conocimiento extraprocesal. Señala que conoció el pronunciamiento del órgano judicial cuando le fue comunicada en ejecución de sentencia la incoación de un expediente administrativo de restauración de la legalidad urbanística directamente derivado de la declaración judicial de nulidad de las licencias.</w:t>
      </w:r>
    </w:p>
    <w:p w14:paraId="7B55D325" w14:textId="77777777" w:rsidR="008D479B" w:rsidRDefault="008D479B" w:rsidP="008D479B">
      <w:pPr>
        <w:pStyle w:val="TextoNormal"/>
      </w:pPr>
    </w:p>
    <w:p w14:paraId="736F1BD6" w14:textId="77777777" w:rsidR="008D479B" w:rsidRDefault="008D479B" w:rsidP="008D479B">
      <w:pPr>
        <w:pStyle w:val="TextoNormal"/>
      </w:pPr>
      <w:r>
        <w:t>Disa Península, S.L.U., afirma que la demanda de amparo tiene especial transcendencia constitucional, conforme a lo establecido en la STC 155/2009, de 25 de junio, FJ 2 b), ya que proporciona una oportunidad para que, a través de un proceso de reflexión interna, se aclare y amplíe la jurisprudencia elaborada hasta la fecha sobre el alcance del art. 24.1 CE en relación con el derecho que tiene el justiciable a ser oído en un proceso penal en el que se pueden ver afectados sus bienes o derechos. Destaca, que el caso planteado da la oportunidad de matizar la doctrina general en la materia, “para aclarar si en los casos en que se ventila una posible nulidad de una licencia administrativa como consecuencia de un delito de prevaricación, los órganos jurisdiccionales deben llevar al procedimiento a quienes ostenten derechos directamente relacionados con dicha licencia. Asimismo, la resolución del presente recurso ofrece la oportunidad de delimitar exactamente la posición procesal que dicho afectado ha de tener en dicho proceso, y sus posibilidades de defensa en el mismo. Es decir, si su posición es la de un mero perjudicado, que solo pueda plantear pretensiones indemnizatorias frente a quien le causó un daño, o también puede realizar alegaciones en defensa de la legalidad de la concesión de la licencia”.</w:t>
      </w:r>
    </w:p>
    <w:p w14:paraId="780543E2" w14:textId="77777777" w:rsidR="008D479B" w:rsidRDefault="008D479B" w:rsidP="008D479B">
      <w:pPr>
        <w:pStyle w:val="TextoNormal"/>
      </w:pPr>
    </w:p>
    <w:p w14:paraId="537817F5" w14:textId="77777777" w:rsidR="008D479B" w:rsidRDefault="008D479B" w:rsidP="008D479B">
      <w:pPr>
        <w:pStyle w:val="TextoNormal"/>
      </w:pPr>
      <w:r>
        <w:t>B) La entidad Inmobiliaria Alozaima, S.L., interpone la demanda de amparo contra las resoluciones identificadas en el encabezamiento y solicita que se declare su nulidad, en relación con el pronunciamiento por el que se anula la licencia núm. 7-1996.</w:t>
      </w:r>
    </w:p>
    <w:p w14:paraId="31BCBBB0" w14:textId="77777777" w:rsidR="008D479B" w:rsidRDefault="008D479B" w:rsidP="008D479B">
      <w:pPr>
        <w:pStyle w:val="TextoNormal"/>
      </w:pPr>
    </w:p>
    <w:p w14:paraId="7918920C" w14:textId="77777777" w:rsidR="008D479B" w:rsidRDefault="008D479B" w:rsidP="008D479B">
      <w:pPr>
        <w:pStyle w:val="TextoNormal"/>
      </w:pPr>
      <w:r>
        <w:t>Dicha entidad afirma que se le ha vulnerado el derecho a ser oído (art. 24.1 CE), al haberse anulado, en uno de los pronunciamientos de la sentencia penal dictada por el Juzgado de lo Penal núm. 8 de Málaga, la licencia 7-1996 de la que la recurrente de amparo es beneficiaria, sin haberle dado la posibilidad de ser oída en el procedimiento para que alegara sobre la declaración de nulidad de dicha licencia. Añade que, dicho pronunciamiento además es nulo, por haberse adoptado por la jurisdicción penal sin oír a los beneficiarios del acto anulado. Finalmente considera que la providencia por la que se inadmite la nulidad es nula al carecer de motivación.</w:t>
      </w:r>
    </w:p>
    <w:p w14:paraId="44B1A895" w14:textId="77777777" w:rsidR="008D479B" w:rsidRDefault="008D479B" w:rsidP="008D479B">
      <w:pPr>
        <w:pStyle w:val="TextoNormal"/>
      </w:pPr>
    </w:p>
    <w:p w14:paraId="56A3BAC3" w14:textId="3FB1FA7D" w:rsidR="008D479B" w:rsidRDefault="008D479B" w:rsidP="008D479B">
      <w:pPr>
        <w:pStyle w:val="TextoNormal"/>
      </w:pPr>
      <w:r>
        <w:t>Inmobiliaria Alozaima, S.L., justifica la especial trascendencia constitucional porque trasciende del caso concreto al plantearse un problema o una faceta del derecho fundamental sobre la que no existe doctrina, esto es, por una parte “si la jurisdicción penal puede declarar la invalidez de actos administrativos más allá de la mera declaración y condena por delito, de modo que sea la administración y la jurisdicción contencioso-administrativa la que decida sobre esa invalidez, para lo que les habilita específicamente el art. 47.1 d) de la Ley 39/2015, cuando califica de supuesto de nulidad de pleno derecho el caso de los actos administrativos que sean constitutivos de infracción penal o deriven de ella”. Y, por otra, si para que el juez penal pueda declarar la nulidad del acto administrativo, debe al menos oír al beneficiario de ese acto.</w:t>
      </w:r>
    </w:p>
    <w:p w14:paraId="12A3E372" w14:textId="77777777" w:rsidR="008D479B" w:rsidRDefault="008D479B" w:rsidP="008D479B">
      <w:pPr>
        <w:pStyle w:val="TextoNormal"/>
      </w:pPr>
    </w:p>
    <w:p w14:paraId="5E42A784" w14:textId="22462E7C" w:rsidR="008D479B" w:rsidRDefault="008D479B" w:rsidP="008D479B">
      <w:pPr>
        <w:pStyle w:val="TextoNormal"/>
      </w:pPr>
      <w:r w:rsidRPr="008D479B">
        <w:rPr>
          <w:rStyle w:val="NumeroAFNegritaCaracter"/>
        </w:rPr>
        <w:t>4</w:t>
      </w:r>
      <w:r>
        <w:t>. Mediante acuerdo del presidente de la Sala Segunda de 24 de enero de 2022, atendida la conexión objetiva de los recursos de amparo 8250-2021 y 8360-2021, en ejercicio de las facultades que atribuye el acuerdo del Pleno, de 23 de octubre de 2013 sobre normas para la designación de magistrados ponentes, se resuelve que la ponencia del segundo de dichos recursos corresponda al magistrado ponente del recurso 8250-2021.</w:t>
      </w:r>
    </w:p>
    <w:p w14:paraId="271B56E3" w14:textId="77777777" w:rsidR="008D479B" w:rsidRDefault="008D479B" w:rsidP="008D479B">
      <w:pPr>
        <w:pStyle w:val="TextoNormal"/>
      </w:pPr>
    </w:p>
    <w:p w14:paraId="782DE5E0" w14:textId="79D73CD7" w:rsidR="008D479B" w:rsidRDefault="008D479B" w:rsidP="008D479B">
      <w:pPr>
        <w:pStyle w:val="TextoNormal"/>
      </w:pPr>
      <w:r w:rsidRPr="008D479B">
        <w:rPr>
          <w:rStyle w:val="NumeroAFNegritaCaracter"/>
        </w:rPr>
        <w:t>5</w:t>
      </w:r>
      <w:r>
        <w:t>. Por escrito registrado el 22 de abril de 2022, la representación de la mercantil Inmobiliaria Alozaima, S.L., solicitó la medida cautelar de suspensión de la sentencia del Juzgado de lo Penal núm. 8 de Málaga impugnada “solo en cuanto al cierre de la gasolinera Trapiche a que se refiere esa demanda”. Indica, que el ayuntamiento ha dictado resolución el 31 de marzo de 2022, por la que en ejecución de la sentencia penal objeto de este procedimiento de amparo, ordena el cierre del establecimiento afectado por el mismo, así como la demolición de la estación de servicio situada en C/ Padre Ostos, referencia catastral núm. 0535117UF3403N0001FS”.</w:t>
      </w:r>
    </w:p>
    <w:p w14:paraId="039C396B" w14:textId="77777777" w:rsidR="008D479B" w:rsidRDefault="008D479B" w:rsidP="008D479B">
      <w:pPr>
        <w:pStyle w:val="TextoNormal"/>
      </w:pPr>
    </w:p>
    <w:p w14:paraId="6C86459D" w14:textId="3BE33A23" w:rsidR="008D479B" w:rsidRDefault="008D479B" w:rsidP="008D479B">
      <w:pPr>
        <w:pStyle w:val="TextoNormal"/>
      </w:pPr>
      <w:r w:rsidRPr="008D479B">
        <w:rPr>
          <w:rStyle w:val="NumeroAFNegritaCaracter"/>
        </w:rPr>
        <w:t>6</w:t>
      </w:r>
      <w:r>
        <w:t>. La Sección Tercera del Tribunal, por dos providencias de 13 de junio de 2022, acordó la admisión a trámite del recurso de amparo; apreció que concurre una especial trascendencia constitucional porque el recurso puede dar ocasión al Tribunal para aclarar o cambiar su doctrina como consecuencia de un proceso de reflexión interna [STC 155/2009, FJ 2 b)]; y, conforme a lo dispuesto por el art. 51 de la Ley Orgánica del Tribunal Constitucional (LOTC), requirió atentamente de los órganos judiciales la remisión de las actuaciones y el emplazamiento de quienes hubieran sido parte en el procedimiento, a excepción de las entidades recurrentes, para que pudiesen comparecer en el plazo de diez días en el citado proceso de amparo. Asimismo, se acordó formar la correspondiente pieza separada de suspensión en el recurso de amparo núm. 8360-2021 que una vez tramitada fue resuelta por ATC 116/2022, de 12 de septiembre, en el que se acordó denegar la suspensión cautelar solicitada.</w:t>
      </w:r>
    </w:p>
    <w:p w14:paraId="2CD8A2C3" w14:textId="77777777" w:rsidR="008D479B" w:rsidRDefault="008D479B" w:rsidP="008D479B">
      <w:pPr>
        <w:pStyle w:val="TextoNormal"/>
      </w:pPr>
    </w:p>
    <w:p w14:paraId="374ED49D" w14:textId="28CE79E5" w:rsidR="008D479B" w:rsidRDefault="008D479B" w:rsidP="008D479B">
      <w:pPr>
        <w:pStyle w:val="TextoNormal"/>
      </w:pPr>
      <w:r w:rsidRPr="008D479B">
        <w:rPr>
          <w:rStyle w:val="NumeroAFNegritaCaracter"/>
        </w:rPr>
        <w:t>7</w:t>
      </w:r>
      <w:r>
        <w:t>. La Secretaría de Justicia de la Sala Segunda del Tribunal Constitucional, por diligencias de ordenación de 8 y 20 de septiembre de 2022, acordó tener por personado en los dos recursos de amparo al Ayuntamiento de Marbella, representado por el procurador de los tribunales don Antonio Ortega Fuentes, y dar vista de las actuaciones al Ministerio Fiscal y a las partes personadas por un plazo común de veinte días para presentar las alegaciones que estimasen pertinentes.</w:t>
      </w:r>
    </w:p>
    <w:p w14:paraId="384A4F84" w14:textId="77777777" w:rsidR="008D479B" w:rsidRDefault="008D479B" w:rsidP="008D479B">
      <w:pPr>
        <w:pStyle w:val="TextoNormal"/>
      </w:pPr>
    </w:p>
    <w:p w14:paraId="07B9C356" w14:textId="77777777" w:rsidR="008D479B" w:rsidRDefault="008D479B" w:rsidP="008D479B">
      <w:pPr>
        <w:pStyle w:val="TextoNormal"/>
      </w:pPr>
      <w:r w:rsidRPr="008D479B">
        <w:rPr>
          <w:rStyle w:val="NumeroAFNegritaCaracter"/>
        </w:rPr>
        <w:t>8</w:t>
      </w:r>
      <w:r>
        <w:t>. El Ministerio Fiscal, por escrito registrado el 20 de octubre de 2022, formuló alegaciones interesando la estimación de los recursos de amparo por la vulneración del derecho a la tutela judicial efectiva (art. 24.1 CE) de los recurrentes y con anulación de las resoluciones impugnadas en el extremo relativo a la nulidad de las licencias derivadas de los expedientes 7-1996 y 238-1995. También solicitó que se acuerde la retroacción del procedimiento, para que el Juzgado de lo Penal número 8 de Málaga abra un incidente en el que oiga a los demandantes de amparo y demás partes personadas en el procedimiento 491-2014, y resuelva lo procedente en Derecho.</w:t>
      </w:r>
    </w:p>
    <w:p w14:paraId="74212B26" w14:textId="77777777" w:rsidR="008D479B" w:rsidRDefault="008D479B" w:rsidP="008D479B">
      <w:pPr>
        <w:pStyle w:val="TextoNormal"/>
      </w:pPr>
    </w:p>
    <w:p w14:paraId="4B971870" w14:textId="35C78BE2" w:rsidR="008D479B" w:rsidRDefault="008D479B" w:rsidP="008D479B">
      <w:pPr>
        <w:pStyle w:val="TextoNormal"/>
      </w:pPr>
      <w:r>
        <w:t>El Ministerio Fiscal, tras exponer la jurisprudencia constitucional en materia de derecho a la tutela judicial efectiva (art. 24.1 CE), desde la perspectiva del derecho de acceso a la jurisdicción, concluye que se ha vulnerado este derecho fundamental por no haber sido citadas la entidades demandantes de amparo para posibilitar su participación en el procedimiento penal desarrollado, ya que (i) eran titulares de un interés legítimo en las eventuales consecuencias jurídicas a derivar de dicho procedimiento, pues en el caso de la entidad Disa Península, S.L.U., estaba explotando las estaciones de servicio objeto de dos de las licencias cuya anulación se solicitaba y fue acordada en la sentencia impugnada y por su parte la entidad Inmobiliaria Alozaima, S.L., era la titular de una licencia de explotación de la estación de servicio que fue anulada por la sentencia; (ii) la existencia de ese interés legítimo era fácilmente identificable para el órgano judicial a partir de la necesaria diligencia para la correcta conformación de la relación procesal; y (iii) no hay indicio de conocimiento extraprocesal por las recurrentes de amparo.</w:t>
      </w:r>
    </w:p>
    <w:p w14:paraId="271AD5B4" w14:textId="77777777" w:rsidR="008D479B" w:rsidRDefault="008D479B" w:rsidP="008D479B">
      <w:pPr>
        <w:pStyle w:val="TextoNormal"/>
      </w:pPr>
    </w:p>
    <w:p w14:paraId="4DF586D7" w14:textId="5F42CDF4" w:rsidR="008D479B" w:rsidRDefault="008D479B" w:rsidP="008D479B">
      <w:pPr>
        <w:pStyle w:val="TextoNormal"/>
      </w:pPr>
      <w:r w:rsidRPr="008D479B">
        <w:rPr>
          <w:rStyle w:val="NumeroAFNegritaCaracter"/>
        </w:rPr>
        <w:t>9</w:t>
      </w:r>
      <w:r>
        <w:t>. Las entidades demandantes de amparo, por escritos registrados los días 14 y 20 de octubre de 2022, formularon alegaciones remitiéndose a la argumentación expuesta en sus recursos de amparo.</w:t>
      </w:r>
    </w:p>
    <w:p w14:paraId="65F0456F" w14:textId="77777777" w:rsidR="008D479B" w:rsidRDefault="008D479B" w:rsidP="008D479B">
      <w:pPr>
        <w:pStyle w:val="TextoNormal"/>
      </w:pPr>
    </w:p>
    <w:p w14:paraId="3FCAB345" w14:textId="1C221ABF" w:rsidR="008D479B" w:rsidRDefault="008D479B" w:rsidP="008D479B">
      <w:pPr>
        <w:pStyle w:val="TextoNormal"/>
      </w:pPr>
      <w:r w:rsidRPr="008D479B">
        <w:rPr>
          <w:rStyle w:val="NumeroAFNegritaCaracter"/>
        </w:rPr>
        <w:t>10</w:t>
      </w:r>
      <w:r>
        <w:t>. La entidad Disa Península, S.L.U., por escrito registrado el 5 de octubre de 2022, solicitó la suspensión cautelar de los efectos de las declaraciones de nulidad acordadas en la sentencia núm. 223/2016, de 31 de mayo, del Juzgado de lo Penal núm. 8 de Málaga, en relación con las licencias de construcción concedidas en los expedientes del Ayuntamiento de Marbella núm. 238-1995 y núm. 7-1996; y, más concretamente, cualquier orden de demolición o cese de actividad que pudiese acordarse al amparo del fallo de la sentencia. Por providencia de la Sección Tercera del Tribunal, de 18 de octubre de 2022, se acordó la formación de la correspondiente pieza separada de suspensión y el conceder un plazo de tres días a las partes y al Ministerio Fiscal para que alegaran lo que estimasen pertinente sobre dicha suspensión. El Ministerio Fiscal, por escrito registrado el 3 de noviembre de 2022, presentó alegaciones interesando la suspensión cautelar de la decisión administrativa o, subsidiariamente, de la parte del fallo de la sentencia impugnada por la que se anula la licencia administrativa. La pieza separada de suspensión está pendiente de resolución al pronunciarse la presente sentencia.</w:t>
      </w:r>
    </w:p>
    <w:p w14:paraId="44806D87" w14:textId="77777777" w:rsidR="008D479B" w:rsidRDefault="008D479B" w:rsidP="008D479B">
      <w:pPr>
        <w:pStyle w:val="TextoNormal"/>
      </w:pPr>
    </w:p>
    <w:p w14:paraId="4B1D8CE9" w14:textId="47B3B0D1" w:rsidR="008D479B" w:rsidRDefault="008D479B" w:rsidP="008D479B">
      <w:pPr>
        <w:pStyle w:val="TextoNormal"/>
      </w:pPr>
      <w:r w:rsidRPr="008D479B">
        <w:rPr>
          <w:rStyle w:val="NumeroAFNegritaCaracter"/>
        </w:rPr>
        <w:t>11</w:t>
      </w:r>
      <w:r>
        <w:t>. Después de que los referidos recursos de amparo quedaron conclusos para sentencia, previa audiencia al Ministerio Fiscal y a las partes, por auto de esta misma fecha, se acordó su acumulación.</w:t>
      </w:r>
    </w:p>
    <w:p w14:paraId="4FD34666" w14:textId="77777777" w:rsidR="008D479B" w:rsidRDefault="008D479B" w:rsidP="008D479B">
      <w:pPr>
        <w:pStyle w:val="TextoNormal"/>
      </w:pPr>
    </w:p>
    <w:p w14:paraId="02039E61" w14:textId="5FDF917B" w:rsidR="008D479B" w:rsidRDefault="008D479B" w:rsidP="008D479B">
      <w:pPr>
        <w:pStyle w:val="TextoNormal"/>
      </w:pPr>
      <w:r w:rsidRPr="008D479B">
        <w:rPr>
          <w:rStyle w:val="NumeroAFNegritaCaracter"/>
        </w:rPr>
        <w:t>12</w:t>
      </w:r>
      <w:r>
        <w:t>. Por providencia de 29 de junio de 2023 se señaló para deliberación y votación de la presente sentencia el día 3 de julio de 2023.</w:t>
      </w:r>
    </w:p>
    <w:p w14:paraId="1DD25DB6" w14:textId="77777777" w:rsidR="008D479B" w:rsidRDefault="008D479B" w:rsidP="008D479B">
      <w:pPr>
        <w:pStyle w:val="TextoNormal"/>
      </w:pPr>
    </w:p>
    <w:p w14:paraId="782F3EDF" w14:textId="77777777" w:rsidR="008D479B" w:rsidRDefault="008D479B" w:rsidP="008D479B">
      <w:pPr>
        <w:pStyle w:val="TextoNormalNegritaCentrado"/>
        <w:keepNext/>
      </w:pPr>
      <w:r>
        <w:t>II. Fundamentos jurídicos</w:t>
      </w:r>
    </w:p>
    <w:p w14:paraId="04AF44AB" w14:textId="52EA0E31" w:rsidR="008D479B" w:rsidRDefault="008D479B" w:rsidP="008D479B">
      <w:pPr>
        <w:pStyle w:val="TextoNormalNegritaCentrado"/>
        <w:keepNext/>
      </w:pPr>
    </w:p>
    <w:p w14:paraId="00FF4C90" w14:textId="77777777" w:rsidR="008D479B" w:rsidRDefault="008D479B" w:rsidP="008D479B">
      <w:pPr>
        <w:pStyle w:val="TextoNormal"/>
      </w:pPr>
      <w:r w:rsidRPr="008D479B">
        <w:rPr>
          <w:rStyle w:val="NumeroAFNegritaCaracter"/>
        </w:rPr>
        <w:t>1</w:t>
      </w:r>
      <w:r>
        <w:t xml:space="preserve">. </w:t>
      </w:r>
      <w:r w:rsidRPr="008D479B">
        <w:rPr>
          <w:i/>
        </w:rPr>
        <w:t>El objeto del recurso y alegaciones de las partes</w:t>
      </w:r>
    </w:p>
    <w:p w14:paraId="04DCEC61" w14:textId="77777777" w:rsidR="008D479B" w:rsidRDefault="008D479B" w:rsidP="008D479B">
      <w:pPr>
        <w:pStyle w:val="TextoNormal"/>
      </w:pPr>
    </w:p>
    <w:p w14:paraId="669883E4" w14:textId="77777777" w:rsidR="008D479B" w:rsidRDefault="008D479B" w:rsidP="008D479B">
      <w:pPr>
        <w:pStyle w:val="TextoNormal"/>
      </w:pPr>
      <w:r>
        <w:t>El presente recurso de amparo tiene por objeto decidir sobre vulneración del derecho a la tutela judicial efectiva, en su vertiente de derecho de acceso a la jurisdicción (art. 24.1 CE) causada a las entidades recurrentes en amparo por no haber sido llamadas, de modo personal y directo, al proceso penal en que se dilucidaba la nulidad de las licencias de construcción de dos estaciones de servicio de su propiedad concedidas en los expedientes núm. 238-1995 y núm. 7-1996. Dicha nulidad fue consecuencia de la acusación formulada por delitos de prevaricación administrativa cometidos con ocasión de la concesión de estas y otras dos licencias y que finalizó por sentencia de conformidad.</w:t>
      </w:r>
    </w:p>
    <w:p w14:paraId="5EC6618D" w14:textId="77777777" w:rsidR="008D479B" w:rsidRDefault="008D479B" w:rsidP="008D479B">
      <w:pPr>
        <w:pStyle w:val="TextoNormal"/>
      </w:pPr>
    </w:p>
    <w:p w14:paraId="3BE5A15E" w14:textId="77777777" w:rsidR="008D479B" w:rsidRDefault="008D479B" w:rsidP="008D479B">
      <w:pPr>
        <w:pStyle w:val="TextoNormal"/>
      </w:pPr>
      <w:r>
        <w:t>Disa Península, S.L.U., e Inmobiliaria Alozaima, S.L., solicitan la nulidad del pronunciamiento contenido en la sentencia de 31 de mayo de 2016 —dictada con la conformidad de los acusados— por el Juzgado de lo Penal núm. 8 de Málaga, por la que se anulan las licencias de construcción de las estaciones de servicio Cabopino y Trapiche, concedidas en los expedientes núm. 238-1995 y núm. 7-1996. La sentencia fue confirmada por otra dictada por la Sección Segunda de la Audiencia Provincial de Málaga de 20 de enero de 2017 y finalmente por la providencia, del mismo juzgado de lo penal que inadmitió el incidente de nulidad.</w:t>
      </w:r>
    </w:p>
    <w:p w14:paraId="1E569D59" w14:textId="77777777" w:rsidR="008D479B" w:rsidRDefault="008D479B" w:rsidP="008D479B">
      <w:pPr>
        <w:pStyle w:val="TextoNormal"/>
      </w:pPr>
    </w:p>
    <w:p w14:paraId="1EEA406F" w14:textId="77777777" w:rsidR="008D479B" w:rsidRDefault="008D479B" w:rsidP="008D479B">
      <w:pPr>
        <w:pStyle w:val="TextoNormal"/>
      </w:pPr>
      <w:r>
        <w:t>Las mercantiles recurrentes consideran que las resoluciones impugnadas han vulnerado su derecho a la tutela judicial efectiva (art. 24.1 CE) por acordar la nulidad de las referidas licencias de obra y que conlleva la obligación de demolición de las estaciones de servicio, sin haber sido llamadas al procedimiento, pese al interés legítimo que ostentaban y a ser fácilmente localizables.</w:t>
      </w:r>
    </w:p>
    <w:p w14:paraId="4B8B925F" w14:textId="77777777" w:rsidR="008D479B" w:rsidRDefault="008D479B" w:rsidP="008D479B">
      <w:pPr>
        <w:pStyle w:val="TextoNormal"/>
      </w:pPr>
    </w:p>
    <w:p w14:paraId="5204C34E" w14:textId="6C9B690C" w:rsidR="008D479B" w:rsidRDefault="008D479B" w:rsidP="008D479B">
      <w:pPr>
        <w:pStyle w:val="TextoNormal"/>
      </w:pPr>
      <w:r>
        <w:t>El Ministerio Fiscal apoya la pretensión de las recurrentes al entender que eran titulares de un interés legítimo, fácilmente identificable por el órgano judicial, por lo que debieron ser llamadas al proceso, atendidas las eventuales consecuencias que podrían derivarse de la anulación de las licencias que se solicitaba por las acusaciones, sin que exista indicio de conocimiento extraprocesal del procedimiento judicial.</w:t>
      </w:r>
    </w:p>
    <w:p w14:paraId="7A74BD25" w14:textId="77777777" w:rsidR="008D479B" w:rsidRDefault="008D479B" w:rsidP="008D479B">
      <w:pPr>
        <w:pStyle w:val="TextoNormal"/>
      </w:pPr>
    </w:p>
    <w:p w14:paraId="4721ABDB" w14:textId="77777777" w:rsidR="008D479B" w:rsidRDefault="008D479B" w:rsidP="008D479B">
      <w:pPr>
        <w:pStyle w:val="TextoNormal"/>
      </w:pPr>
      <w:r w:rsidRPr="008D479B">
        <w:rPr>
          <w:rStyle w:val="NumeroAFNegritaCaracter"/>
        </w:rPr>
        <w:t>2</w:t>
      </w:r>
      <w:r>
        <w:t xml:space="preserve">. </w:t>
      </w:r>
      <w:r w:rsidRPr="008D479B">
        <w:rPr>
          <w:i/>
        </w:rPr>
        <w:t>Doctrina constitucional y del Tribunal Europeo de Derechos Humanos sobre indefensión por ausencia de emplazamiento</w:t>
      </w:r>
    </w:p>
    <w:p w14:paraId="0A36CE94" w14:textId="77777777" w:rsidR="008D479B" w:rsidRDefault="008D479B" w:rsidP="008D479B">
      <w:pPr>
        <w:pStyle w:val="TextoNormal"/>
      </w:pPr>
    </w:p>
    <w:p w14:paraId="12F5EC17" w14:textId="77777777" w:rsidR="008D479B" w:rsidRDefault="008D479B" w:rsidP="008D479B">
      <w:pPr>
        <w:pStyle w:val="TextoNormal"/>
      </w:pPr>
      <w:r>
        <w:t>a) El derecho a la tutela efectiva que consagra el art. 24.1 CE, se refiere, según literalmente dice la regla constitucional a los derechos e intereses legítimos de la persona. De dicho precepto resulta “la distinción entre derechos subjetivos y simples intereses legítimos y exige para que el derecho de carácter constitucional entre en juego que […] sea un derecho o un interés del ciudadano que reclama el amparo”, lo que excluye, a quien pretende actuar y defender derechos o intereses de otro (STC 48/1984, de 4 de abril, FJ 6).</w:t>
      </w:r>
    </w:p>
    <w:p w14:paraId="5D2DAACA" w14:textId="77777777" w:rsidR="008D479B" w:rsidRDefault="008D479B" w:rsidP="008D479B">
      <w:pPr>
        <w:pStyle w:val="TextoNormal"/>
      </w:pPr>
    </w:p>
    <w:p w14:paraId="005DB847" w14:textId="77777777" w:rsidR="008D479B" w:rsidRDefault="008D479B" w:rsidP="008D479B">
      <w:pPr>
        <w:pStyle w:val="TextoNormal"/>
      </w:pPr>
      <w:r>
        <w:t>Una manifestación singular y precisa de la indefensión constitucionalmente relevante es la constituida por la falta de citación o emplazamiento en un proceso, en el que se dilucidan cuestiones que afectan de modo directo y personal a los recurrentes o, cuyas decisiones o pronunciamientos puedan afectarles. La ausencia de emplazamiento supone la privación de las facultades de alegar y, en su caso, de justificar sus derechos e intereses para que le sean reconocidos o para replicar dialécticamente las posiciones contrarias, en aplicación del indispensable principio de contradicción (STC 31/1989, de 13 de febrero, FJ 2).</w:t>
      </w:r>
    </w:p>
    <w:p w14:paraId="2A316F87" w14:textId="77777777" w:rsidR="008D479B" w:rsidRDefault="008D479B" w:rsidP="008D479B">
      <w:pPr>
        <w:pStyle w:val="TextoNormal"/>
      </w:pPr>
    </w:p>
    <w:p w14:paraId="778E6532" w14:textId="77777777" w:rsidR="008D479B" w:rsidRDefault="008D479B" w:rsidP="008D479B">
      <w:pPr>
        <w:pStyle w:val="TextoNormal"/>
      </w:pPr>
      <w:r>
        <w:t>De otro lado, hay que señalar que la indefensión no se produce si la situación en la que el ciudadano se ha visto colocado se debió a una actitud voluntariamente adoptada o si le fue imputable por falta de la necesaria diligencia o la incomparecencia se debió a su voluntad expresa o tácita. Tampoco se produce en aquellos supuestos en que tuvo conocimiento extraprocesal de la existencia del proceso, siempre que ese conocimiento se haya producido en un momento que le permita no solo comparecer, sino ejercer plenamente la defensa de sus derechos. Ahora bien, ese conocimiento debe constar de modo fehaciente, de forma que la no personación y defensa sea imputable a la falta de diligencia exigible en el interesado en un proceso (STC 129/1991, de 6 de junio, FJ 1).</w:t>
      </w:r>
    </w:p>
    <w:p w14:paraId="56657D7B" w14:textId="77777777" w:rsidR="008D479B" w:rsidRDefault="008D479B" w:rsidP="008D479B">
      <w:pPr>
        <w:pStyle w:val="TextoNormal"/>
      </w:pPr>
    </w:p>
    <w:p w14:paraId="74A17444" w14:textId="77777777" w:rsidR="008D479B" w:rsidRDefault="008D479B" w:rsidP="008D479B">
      <w:pPr>
        <w:pStyle w:val="TextoNormal"/>
      </w:pPr>
      <w:r>
        <w:t>En este sentido, es de destacar que no le es exigible a quien afirme haber ignorado la existencia de un procedimiento, en el que se ventilaban pretensiones que podían afectarle, la prueba de tal ignorancia. Por el contrario, en virtud de una prerrogativa general de probidad, ampliamente reconocida por el ordenamiento jurídico, hay que presumir la buena fe de la persona. Por otra parte, no puede imponerse con carácter necesario la prueba de los hechos negativos, cuando es más simple la prueba del acto positivo contrario por parte del otro litigante.</w:t>
      </w:r>
    </w:p>
    <w:p w14:paraId="333E4FF6" w14:textId="77777777" w:rsidR="008D479B" w:rsidRDefault="008D479B" w:rsidP="008D479B">
      <w:pPr>
        <w:pStyle w:val="TextoNormal"/>
      </w:pPr>
    </w:p>
    <w:p w14:paraId="08AD29C4" w14:textId="77777777" w:rsidR="008D479B" w:rsidRDefault="008D479B" w:rsidP="008D479B">
      <w:pPr>
        <w:pStyle w:val="TextoNormal"/>
      </w:pPr>
      <w:r>
        <w:t xml:space="preserve">b) Esta doctrina constitucional es coincidente con la que mantiene el Tribunal Europeo de Derechos Humanos, en multitud de pronunciamientos. El Tribunal Europeo de Derechos Humanos, indica que la efectividad del derecho de acceso que establece el art. 6.1 del Convenio europeo de derechos humanos (CEDH) requiere que un individuo tenga la posibilidad clara y concreta de impugnar un acto que constituya una injerencia en sus derechos. Además, no solo se aplica a los procedimientos ya iniciados, sino que también puede invocarla “cualquier persona que considere ilegal la injerencia en el ejercicio de sus derechos (civiles) y se queje de no haber tenido la oportunidad de presentar tal impugnación ante un órgano jurisdiccional que cumpla los requisitos del art. 6.1” (STEDH de 22 de junio de 2006, asunto </w:t>
      </w:r>
      <w:r w:rsidRPr="008D479B">
        <w:rPr>
          <w:i/>
        </w:rPr>
        <w:t>Díaz Ochoa c. España</w:t>
      </w:r>
      <w:r>
        <w:t>, § 49).</w:t>
      </w:r>
    </w:p>
    <w:p w14:paraId="7663FF3C" w14:textId="77777777" w:rsidR="008D479B" w:rsidRDefault="008D479B" w:rsidP="008D479B">
      <w:pPr>
        <w:pStyle w:val="TextoNormal"/>
      </w:pPr>
    </w:p>
    <w:p w14:paraId="071D6D7E" w14:textId="63F8EA78" w:rsidR="008D479B" w:rsidRDefault="008D479B" w:rsidP="008D479B">
      <w:pPr>
        <w:pStyle w:val="TextoNormal"/>
      </w:pPr>
      <w:r>
        <w:t xml:space="preserve">En tal sentido, debe destacarse la reciente STEDH de 14 de junio de 2022, asunto </w:t>
      </w:r>
      <w:r w:rsidRPr="008D479B">
        <w:rPr>
          <w:i/>
        </w:rPr>
        <w:t>Cruz García c. España</w:t>
      </w:r>
      <w:r>
        <w:t xml:space="preserve">, en la que se reconoció la vulneración del art. 6.1 CEDH, por privar a la demandante del derecho a la tutela judicial efectiva para impugnar un procedimiento en el que, por haberse acordado una orden de demolición parcial, generaba un impacto directo en la vivienda de su propiedad, sin que existieran indicios de que la demandante tuviera conocimiento extrajudicial del procedimiento en cuestión, aun en el caso de existir una “correcta aplicación del ordenamiento jurídico”, si “una particular combinación de hechos” ha tenido el efecto de privar a la demandante del referido derecho (§ 19, 22 y 23). De este modo, para entender que el demandante ha renunciado a su derecho a la tutela judicial efectiva, el requisito previo básico es que el interesado debe conocer la existencia del derecho en cuestión y, por lo tanto, de los procedimientos conexos (STEDH 19 de enero de 2021, asunto </w:t>
      </w:r>
      <w:r w:rsidRPr="008D479B">
        <w:rPr>
          <w:i/>
        </w:rPr>
        <w:t>Klopstra c. España</w:t>
      </w:r>
      <w:r>
        <w:t>, § 49).</w:t>
      </w:r>
    </w:p>
    <w:p w14:paraId="67959024" w14:textId="77777777" w:rsidR="008D479B" w:rsidRDefault="008D479B" w:rsidP="008D479B">
      <w:pPr>
        <w:pStyle w:val="TextoNormal"/>
      </w:pPr>
    </w:p>
    <w:p w14:paraId="63AEAF09" w14:textId="77777777" w:rsidR="008D479B" w:rsidRDefault="008D479B" w:rsidP="008D479B">
      <w:pPr>
        <w:pStyle w:val="TextoNormal"/>
      </w:pPr>
      <w:r w:rsidRPr="008D479B">
        <w:rPr>
          <w:rStyle w:val="NumeroAFNegritaCaracter"/>
        </w:rPr>
        <w:t>3</w:t>
      </w:r>
      <w:r>
        <w:t xml:space="preserve">. </w:t>
      </w:r>
      <w:r w:rsidRPr="008D479B">
        <w:rPr>
          <w:i/>
        </w:rPr>
        <w:t>Aplicación de la doctrina al caso concreto</w:t>
      </w:r>
    </w:p>
    <w:p w14:paraId="5B30C349" w14:textId="77777777" w:rsidR="008D479B" w:rsidRDefault="008D479B" w:rsidP="008D479B">
      <w:pPr>
        <w:pStyle w:val="TextoNormal"/>
      </w:pPr>
    </w:p>
    <w:p w14:paraId="151F0340" w14:textId="77777777" w:rsidR="008D479B" w:rsidRDefault="008D479B" w:rsidP="008D479B">
      <w:pPr>
        <w:pStyle w:val="TextoNormal"/>
      </w:pPr>
      <w:r>
        <w:t>De lo expuesto en los antecedentes resulta que las entidades Disa Península, S.L.U., e Inmobiliaria Alozaima, S.L., eran propietarias respectivamente de las estaciones de servicio Trapiche y Cabopino. Ambas entidades se habían beneficiado en la construcción de tales estaciones de servicio de las licencias de obras núm. 238-1995 y núm. 7-1996, otorgadas por el Ayuntamiento de Marbella contraviniendo la normativa urbanística y que dieron lugar al procedimiento penal en el que fueron condenados por delito de prevaricación los concejales responsables de la concesión.</w:t>
      </w:r>
    </w:p>
    <w:p w14:paraId="776F3E04" w14:textId="77777777" w:rsidR="008D479B" w:rsidRDefault="008D479B" w:rsidP="008D479B">
      <w:pPr>
        <w:pStyle w:val="TextoNormal"/>
      </w:pPr>
    </w:p>
    <w:p w14:paraId="0F1E2A69" w14:textId="77777777" w:rsidR="008D479B" w:rsidRDefault="008D479B" w:rsidP="008D479B">
      <w:pPr>
        <w:pStyle w:val="TextoNormal"/>
      </w:pPr>
      <w:r>
        <w:t>En el procedimiento penal las acusaciones no se limitaron a ejercer la pretensión de condena contra los acusados, sino que solicitaron también la nulidad, entre otras, de las licencias concedidas en los expedientes núm. 238-1995 y núm. 7-1996, así como de aquellas otras licencias que trajeran causa de las autorizaciones concedidas por las mismas.</w:t>
      </w:r>
    </w:p>
    <w:p w14:paraId="24ACE911" w14:textId="77777777" w:rsidR="008D479B" w:rsidRDefault="008D479B" w:rsidP="008D479B">
      <w:pPr>
        <w:pStyle w:val="TextoNormal"/>
      </w:pPr>
    </w:p>
    <w:p w14:paraId="65E46C94" w14:textId="77777777" w:rsidR="008D479B" w:rsidRDefault="008D479B" w:rsidP="008D479B">
      <w:pPr>
        <w:pStyle w:val="TextoNormal"/>
      </w:pPr>
      <w:r>
        <w:t>Pese a que dicha solicitud de nulidad de las licencias de obras afectaba a los intereses legítimos de las dos entidades recurrentes de amparo, en tanto que tal nulidad podía ocasionar la iniciación de un expediente administrativo, como así sucedió, para la demolición de las estaciones de servicio construidas al margen de la legalidad urbanística, las recurrentes no fueron llamadas al proceso para defender sus intereses, frente a la pretensión de nulidad de las licencias.</w:t>
      </w:r>
    </w:p>
    <w:p w14:paraId="635AB730" w14:textId="77777777" w:rsidR="008D479B" w:rsidRDefault="008D479B" w:rsidP="008D479B">
      <w:pPr>
        <w:pStyle w:val="TextoNormal"/>
      </w:pPr>
    </w:p>
    <w:p w14:paraId="18FB290A" w14:textId="77777777" w:rsidR="008D479B" w:rsidRDefault="008D479B" w:rsidP="008D479B">
      <w:pPr>
        <w:pStyle w:val="TextoNormal"/>
      </w:pPr>
      <w:r>
        <w:t>En el procedimiento penal, como se ha expuesto, recayó finalmente sentencia dictada con la conformidad de los acusados, que contenía el pronunciamiento de nulidad de las referidas licencias de obras. Y, comunicada dicha nulidad a la administración local, inició sendos expedientes de reposición de la realidad física alterada cuya consecuencia fue que se dictara orden de demolición de las obras realizadas.</w:t>
      </w:r>
    </w:p>
    <w:p w14:paraId="2BA882D4" w14:textId="77777777" w:rsidR="008D479B" w:rsidRDefault="008D479B" w:rsidP="008D479B">
      <w:pPr>
        <w:pStyle w:val="TextoNormal"/>
      </w:pPr>
    </w:p>
    <w:p w14:paraId="395C79B9" w14:textId="77777777" w:rsidR="008D479B" w:rsidRDefault="008D479B" w:rsidP="008D479B">
      <w:pPr>
        <w:pStyle w:val="TextoNormal"/>
      </w:pPr>
      <w:r>
        <w:t>No consta que las recurrentes de amparo hubieran tenido un conocimiento extraprocesal de la pretensión de nulidad que las acusaciones ejercitaron en el proceso penal. Dicho conocimiento se produce una vez recaída la sentencia firme penal, en el marco de los procedimientos administrativos iniciados para la reposición de la legalidad urbanística menoscabada. Fue entonces cuando solicitaron la nulidad del referido pronunciamiento contenido en la sentencia penal lesivo para sus intereses mediante el planteamiento de sendos incidentes de nulidad presentados ante el Juzgado de lo Penal núm. 8 de Marbella, que fueron rechazados.</w:t>
      </w:r>
    </w:p>
    <w:p w14:paraId="10B6F244" w14:textId="77777777" w:rsidR="008D479B" w:rsidRDefault="008D479B" w:rsidP="008D479B">
      <w:pPr>
        <w:pStyle w:val="TextoNormal"/>
      </w:pPr>
    </w:p>
    <w:p w14:paraId="2CCB561D" w14:textId="77777777" w:rsidR="008D479B" w:rsidRDefault="008D479B" w:rsidP="008D479B">
      <w:pPr>
        <w:pStyle w:val="TextoNormal"/>
      </w:pPr>
      <w:r>
        <w:t>Si bien en relación con la pretensión de condena de los acusados ninguna se ejercita, pues estas no estaban facultadas para actuar intereses y derechos que no les correspondían, sin embargo, en la pretensión acumulada por la que las acusaciones solicitaron la nulidad de las licencias de obras, sí que resultaban afectados sus intereses legítimos, de modo directo y personal. Y, al no ser llamadas al proceso para poder defender la improcedencia de adoptar dicho pronunciamiento, se les ocasionó una evidente indefensión.</w:t>
      </w:r>
    </w:p>
    <w:p w14:paraId="6EF406B0" w14:textId="77777777" w:rsidR="008D479B" w:rsidRDefault="008D479B" w:rsidP="008D479B">
      <w:pPr>
        <w:pStyle w:val="TextoNormal"/>
      </w:pPr>
    </w:p>
    <w:p w14:paraId="3312E879" w14:textId="77777777" w:rsidR="008D479B" w:rsidRDefault="008D479B" w:rsidP="008D479B">
      <w:pPr>
        <w:pStyle w:val="TextoNormal"/>
      </w:pPr>
      <w:r>
        <w:t>Como con acierto indica el Ministerio Fiscal, no cabe presumir o inducir de los hechos aportados, que las recurrentes tuvieran conocimiento del proceso, y menos aún que conocieran que en el juicio oral se solicitara la nulidad de las referidas licencias, por lo que la no personación en el mismo no puede ser imputada a las entidades recurrentes.</w:t>
      </w:r>
    </w:p>
    <w:p w14:paraId="31CC88F4" w14:textId="77777777" w:rsidR="008D479B" w:rsidRDefault="008D479B" w:rsidP="008D479B">
      <w:pPr>
        <w:pStyle w:val="TextoNormal"/>
      </w:pPr>
    </w:p>
    <w:p w14:paraId="5A406B50" w14:textId="4649CF67" w:rsidR="008D479B" w:rsidRDefault="008D479B" w:rsidP="008D479B">
      <w:pPr>
        <w:pStyle w:val="TextoNormal"/>
      </w:pPr>
      <w:r>
        <w:t>Por otra parte, el órgano judicial, que enjuició la legalidad penal de las licencias concedidas, por más que no se hubiera ejercitado pretensión penal contra las beneficiarias de las mismas, fácilmente podía haber conocido quiénes eran los propietarios y/o titulares del derecho de explotación de las estaciones de servicio construidas en virtud de las licencias de obras enjuiciadas y cuya nulidad se pretendía, a los efectos de que se hubieran podido oponer exclusivamente al pronunciamiento de nulidad que se impugna ahora en los recursos de amparo.</w:t>
      </w:r>
    </w:p>
    <w:p w14:paraId="48414765" w14:textId="77777777" w:rsidR="008D479B" w:rsidRDefault="008D479B" w:rsidP="008D479B">
      <w:pPr>
        <w:pStyle w:val="TextoNormal"/>
      </w:pPr>
    </w:p>
    <w:p w14:paraId="12B0841E" w14:textId="77777777" w:rsidR="008D479B" w:rsidRDefault="008D479B" w:rsidP="008D479B">
      <w:pPr>
        <w:pStyle w:val="TextoNormal"/>
      </w:pPr>
      <w:r w:rsidRPr="008D479B">
        <w:rPr>
          <w:rStyle w:val="NumeroAFNegritaCaracter"/>
        </w:rPr>
        <w:t>4</w:t>
      </w:r>
      <w:r>
        <w:t xml:space="preserve">. </w:t>
      </w:r>
      <w:r w:rsidRPr="008D479B">
        <w:rPr>
          <w:i/>
        </w:rPr>
        <w:t>Efectos de la sentencia</w:t>
      </w:r>
    </w:p>
    <w:p w14:paraId="7BD15481" w14:textId="77777777" w:rsidR="008D479B" w:rsidRDefault="008D479B" w:rsidP="008D479B">
      <w:pPr>
        <w:pStyle w:val="TextoNormal"/>
      </w:pPr>
    </w:p>
    <w:p w14:paraId="34AC5290" w14:textId="77777777" w:rsidR="008D479B" w:rsidRDefault="008D479B" w:rsidP="008D479B">
      <w:pPr>
        <w:pStyle w:val="TextoNormal"/>
      </w:pPr>
      <w:r>
        <w:t>Por lo expuesto procede, conforme a lo solicitado por el Ministerio Fiscal, estimar el amparo por vulneración del derecho a la tutela judicial efectiva sin indefensión (art. 24.1 CE), en su vertiente de derecho de acceso a la jurisdicción, al haber sido privadas las recurrentes de amparo del derecho a ser oídas en relación con la pretensión acusatoria por la que se solicitaba la nulidad de las licencias concedidas en los expedientes núm. 238-1995 y núm. 7-1996, así como de aquellas otras licencias que traigan causa de las autorizaciones concedidas por las misma. Asimismo, procede anular la providencia del Juzgado de lo Penal núm. 8 de Málaga de 5 de noviembre de 2021, dictada en la ejecutoria penal 120-2017, así como exclusivamente el pronunciamiento de la sentencia núm. 223/2016, de 31 de mayo, pronunciada en el juicio oral núm. 491-2014, y de la sentencia de la Sección Segunda de la Audiencia Provincial de Málaga núm. 15/2017, de 20 de enero, dictada en el rollo de apelación núm. 252-2016, en los que se acuerda y se confirma —respectivamente— la nulidad de las licencias concedidas en los expedientes núm. 238-1995 y 7-1996. Ambas sentencias son anuladas exclusivamente en lo relativo a la declaración de nulidad de las licencias urbanísticas concedidas en los expedientes núm. 238-1995 y 7-1996 del Ayuntamiento de Marbella y de aquellas que traigan causa de estas. Y, finalmente, se acuerda que por el Juzgado de lo Penal núm. 8 de Málaga, previos los trámites pertinentes, se celebre vista, con intervención exclusivamente de las entidades Disa Península, S.L.U., e Inmobiliaria Alozaima, S.L., y del Ministerio Fiscal, que tenga por exclusivo objeto decidir sobre la pretensión de declaración de nulidad de las licencias urbanísticas concedidas en los expedientes núm. 238-1995 y 7-1996 del Ayuntamiento de Marbella y de aquellas que traigan causa de estas.</w:t>
      </w:r>
    </w:p>
    <w:p w14:paraId="52241FD8" w14:textId="77777777" w:rsidR="008D479B" w:rsidRDefault="008D479B" w:rsidP="008D479B">
      <w:pPr>
        <w:pStyle w:val="TextoNormal"/>
      </w:pPr>
    </w:p>
    <w:p w14:paraId="026AD20E" w14:textId="2C1EA9EF" w:rsidR="008D479B" w:rsidRDefault="008D479B" w:rsidP="008D479B">
      <w:pPr>
        <w:pStyle w:val="TextoNormal"/>
      </w:pPr>
      <w:r>
        <w:t>En todo caso, y con observancia de los principios de conservación de los actos procesales y de mínima perturbación de los derechos e intereses de terceros, la nueva resolución que se dicte como consecuencia de la vista habrá de referirse exclusivamente a dicha pretensión de nulidad, y respetar en todo caso la eficacia de cosa juzgada de los restantes pronunciamientos contenidos en las sentencias recurridas en amparo.</w:t>
      </w:r>
    </w:p>
    <w:p w14:paraId="0E97F018" w14:textId="77777777" w:rsidR="008D479B" w:rsidRDefault="008D479B" w:rsidP="008D479B">
      <w:pPr>
        <w:pStyle w:val="TextoNormal"/>
      </w:pPr>
    </w:p>
    <w:p w14:paraId="5C34F150" w14:textId="77777777" w:rsidR="008D479B" w:rsidRDefault="008D479B" w:rsidP="008D479B">
      <w:pPr>
        <w:pStyle w:val="TextoNormalCentrado"/>
        <w:keepNext/>
      </w:pPr>
      <w:r>
        <w:t>FALLO</w:t>
      </w:r>
    </w:p>
    <w:p w14:paraId="0E220C10" w14:textId="4B3570CB" w:rsidR="008D479B" w:rsidRDefault="008D479B" w:rsidP="008D479B">
      <w:pPr>
        <w:pStyle w:val="TextoNormalCentrado"/>
        <w:keepNext/>
      </w:pPr>
    </w:p>
    <w:p w14:paraId="5A1E84FB" w14:textId="77777777" w:rsidR="008D479B" w:rsidRDefault="008D479B" w:rsidP="008D479B">
      <w:pPr>
        <w:pStyle w:val="TextoNormal"/>
      </w:pPr>
      <w:r>
        <w:t>En atención a todo lo expuesto, el Tribunal Constitucional, por la autoridad que le confiere la Constitución de la Nación española, ha decidido otorgar el amparo a las entidades Disa Península, S.L.U., e Inmobiliaria Alozaima, S.L., y en su virtud:</w:t>
      </w:r>
    </w:p>
    <w:p w14:paraId="3FA78BA8" w14:textId="77777777" w:rsidR="008D479B" w:rsidRDefault="008D479B" w:rsidP="008D479B">
      <w:pPr>
        <w:pStyle w:val="TextoNormal"/>
      </w:pPr>
    </w:p>
    <w:p w14:paraId="0A8D941F" w14:textId="77777777" w:rsidR="008D479B" w:rsidRDefault="008D479B" w:rsidP="008D479B">
      <w:pPr>
        <w:pStyle w:val="TextoNormal"/>
      </w:pPr>
      <w:r>
        <w:t>1º Declarar que ha sido vulnerado su derecho a la tutela judicial efectiva sin indefensión (art. 24.1 CE).</w:t>
      </w:r>
    </w:p>
    <w:p w14:paraId="40D63A9B" w14:textId="77777777" w:rsidR="008D479B" w:rsidRDefault="008D479B" w:rsidP="008D479B">
      <w:pPr>
        <w:pStyle w:val="TextoNormal"/>
      </w:pPr>
    </w:p>
    <w:p w14:paraId="5C850352" w14:textId="77777777" w:rsidR="008D479B" w:rsidRDefault="008D479B" w:rsidP="008D479B">
      <w:pPr>
        <w:pStyle w:val="TextoNormal"/>
      </w:pPr>
      <w:r>
        <w:t>2º Restablecer su derecho y, en consecuencia, declarar la nulidad de la providencia del Juzgado de lo Penal núm. 8 de Málaga de 5 de noviembre de 2021, dictada en la ejecutoria penal 120-2017, y exclusivamente el pronunciamiento de la sentencia núm. 223/2016, de 31 de mayo, dictada en el juicio oral núm. 491-2014, y el de la sentencia de la Sección Segunda de la Audiencia Provincial de Málaga núm. 15/2017, de 20 de enero, dictada en el rollo de apelación núm. 252-2016, en los que se acuerda y se confirma —respectivamente— la nulidad de las licencias concedidas en los expedientes núm. 238-1995 y 7-1996. En todo caso, las sentencias recurridas en amparo mantendrán la eficacia de cosa juzgada en todos sus restantes pronunciamientos, que no se verán afectados por la declaración de nulidad.</w:t>
      </w:r>
    </w:p>
    <w:p w14:paraId="437B0006" w14:textId="77777777" w:rsidR="008D479B" w:rsidRDefault="008D479B" w:rsidP="008D479B">
      <w:pPr>
        <w:pStyle w:val="TextoNormal"/>
      </w:pPr>
    </w:p>
    <w:p w14:paraId="40087578" w14:textId="77777777" w:rsidR="008D479B" w:rsidRDefault="008D479B" w:rsidP="008D479B">
      <w:pPr>
        <w:pStyle w:val="TextoNormal"/>
      </w:pPr>
      <w:r>
        <w:t>3º Acordar que por el Juzgado de lo Penal núm. 8 de Málaga previos los trámites pertinentes celebre vista, con intervención exclusivamente de las entidades Disa Península, S.L.U., e Inmobiliaria Alozaima, S.L., y el Ministerio Fiscal, que tenga por exclusivo objeto decidir sobre la pretensión de declaración de nulidad de las licencias urbanísticas concedidas en los expedientes núm. 238-1995 y 7-1996 del Ayuntamiento de Marbella y de aquellas que traigan causa de las mismas.</w:t>
      </w:r>
    </w:p>
    <w:p w14:paraId="566FCEF7" w14:textId="77777777" w:rsidR="008D479B" w:rsidRDefault="008D479B" w:rsidP="008D479B">
      <w:pPr>
        <w:pStyle w:val="TextoNormal"/>
      </w:pPr>
    </w:p>
    <w:p w14:paraId="4A503433" w14:textId="1A63B585" w:rsidR="008D479B" w:rsidRDefault="008D479B" w:rsidP="008D479B">
      <w:pPr>
        <w:pStyle w:val="TextoNormal"/>
      </w:pPr>
      <w:r>
        <w:t>4º Archivar el incidente de suspensión por pérdida de objeto.</w:t>
      </w:r>
    </w:p>
    <w:p w14:paraId="30C415AA" w14:textId="77777777" w:rsidR="008D479B" w:rsidRDefault="008D479B" w:rsidP="008D479B">
      <w:pPr>
        <w:pStyle w:val="TextoNormal"/>
      </w:pPr>
    </w:p>
    <w:p w14:paraId="67BDC576" w14:textId="77777777" w:rsidR="008D479B" w:rsidRDefault="008D479B" w:rsidP="008D479B">
      <w:pPr>
        <w:pStyle w:val="TextoNormal"/>
      </w:pPr>
      <w:r>
        <w:t>Publíquese esta sentencia en el “Boletín Oficial del Estado”.</w:t>
      </w:r>
    </w:p>
    <w:p w14:paraId="0A77DD0C" w14:textId="77777777" w:rsidR="008D479B" w:rsidRDefault="008D479B" w:rsidP="008D479B">
      <w:pPr>
        <w:pStyle w:val="TextoNormal"/>
      </w:pPr>
      <w:r>
        <w:t>Dada en Madrid, a tres de julio de dos mil veintitrés.</w:t>
      </w:r>
    </w:p>
    <w:p w14:paraId="2D5D24C3" w14:textId="69582853" w:rsidR="008D479B" w:rsidRDefault="008D479B">
      <w:pPr>
        <w:spacing w:after="160" w:line="278" w:lineRule="auto"/>
        <w:rPr>
          <w:rFonts w:ascii="Times New Roman" w:eastAsia="Times New Roman" w:hAnsi="Times New Roman" w:cs="Times New Roman"/>
          <w:sz w:val="24"/>
          <w:szCs w:val="24"/>
          <w:lang w:eastAsia="es-ES"/>
        </w:rPr>
      </w:pPr>
      <w:r>
        <w:br w:type="page"/>
      </w:r>
    </w:p>
    <w:p w14:paraId="1516D18A" w14:textId="77777777" w:rsidR="008D479B" w:rsidRDefault="008D479B" w:rsidP="008D479B">
      <w:pPr>
        <w:pStyle w:val="TtuloResolucin"/>
      </w:pPr>
      <w:bookmarkStart w:id="7" w:name="SENTENCIA_2023_82"/>
      <w:r>
        <w:t>SENTENCIA 82/2023, de 3 de julio de 2023</w:t>
      </w:r>
    </w:p>
    <w:bookmarkEnd w:id="7"/>
    <w:p w14:paraId="6114BF5B" w14:textId="77777777" w:rsidR="008D479B" w:rsidRDefault="008D479B" w:rsidP="008D479B">
      <w:pPr>
        <w:pStyle w:val="TtuloResolucin"/>
      </w:pPr>
      <w:r>
        <w:t>Sala Segunda</w:t>
      </w:r>
    </w:p>
    <w:p w14:paraId="1161E74D" w14:textId="77777777" w:rsidR="008D479B" w:rsidRDefault="008D479B" w:rsidP="008D479B">
      <w:pPr>
        <w:pStyle w:val="TtuloBOE"/>
      </w:pPr>
      <w:r>
        <w:t>(BOE núm. 184, de 3 de agosto de 2023)</w:t>
      </w:r>
    </w:p>
    <w:p w14:paraId="22DE5390" w14:textId="77777777" w:rsidR="008D479B" w:rsidRDefault="008D479B" w:rsidP="008D479B">
      <w:pPr>
        <w:pStyle w:val="TextoNormalCentrado"/>
      </w:pPr>
      <w:r>
        <w:t>ECLI:ES:TC:2023:82</w:t>
      </w:r>
    </w:p>
    <w:p w14:paraId="50F0C622" w14:textId="3FEDDA59" w:rsidR="008D479B" w:rsidRDefault="008D479B" w:rsidP="008D479B">
      <w:pPr>
        <w:pStyle w:val="TextoNormalCentrado"/>
      </w:pPr>
    </w:p>
    <w:p w14:paraId="00589068" w14:textId="77777777" w:rsidR="008D479B" w:rsidRDefault="008D479B" w:rsidP="008D479B">
      <w:pPr>
        <w:pStyle w:val="SntesisDescriptiva"/>
      </w:pPr>
      <w:r>
        <w:t>Recurso de amparo 1414-2022. Promovido por don Pau Juvillà i Ballester respecto del acuerdo de la Secretaría General del Parlamento de Cataluña por el que se dieron instrucciones a la administración parlamentaria para darle de baja como diputado de la Cámara.</w:t>
      </w:r>
    </w:p>
    <w:p w14:paraId="005E1BAC" w14:textId="1583E799" w:rsidR="008D479B" w:rsidRDefault="008D479B" w:rsidP="008D479B">
      <w:pPr>
        <w:pStyle w:val="SntesisDescriptiva"/>
      </w:pPr>
    </w:p>
    <w:p w14:paraId="39FF959A" w14:textId="77777777" w:rsidR="008D479B" w:rsidRDefault="008D479B" w:rsidP="008D479B">
      <w:pPr>
        <w:pStyle w:val="SntesisAnaltica"/>
      </w:pPr>
      <w:r>
        <w:t>Alegada vulneración de los derechos a las funciones representativas, a la libertad de expresión y a la tutela judicial efectiva: inadmisión del recurso de amparo planteado sin agotar la vía judicial previa.</w:t>
      </w:r>
    </w:p>
    <w:p w14:paraId="7CF16283" w14:textId="535D3679" w:rsidR="008D479B" w:rsidRDefault="008D479B" w:rsidP="008D479B">
      <w:pPr>
        <w:pStyle w:val="SntesisAnaltica"/>
      </w:pPr>
    </w:p>
    <w:p w14:paraId="1D32D595" w14:textId="0D30C485" w:rsidR="008D479B" w:rsidRDefault="008D479B" w:rsidP="008D479B">
      <w:pPr>
        <w:pStyle w:val="Extracto"/>
      </w:pPr>
      <w:r>
        <w:t>1.</w:t>
      </w:r>
      <w:r>
        <w:tab/>
        <w:t>La impugnación de las resoluciones gubernativas dictadas por los órganos del gobierno interior de un Parlamento debe incoarse a través del recurso de amparo disciplinado en el art. 43 LOTC, no debiendo imputarse al propio Parlamento en su calidad de institución de representación política [FJ 3].</w:t>
      </w:r>
    </w:p>
    <w:p w14:paraId="6928590A" w14:textId="77777777" w:rsidR="008D479B" w:rsidRDefault="008D479B" w:rsidP="008D479B">
      <w:pPr>
        <w:pStyle w:val="Extracto"/>
      </w:pPr>
    </w:p>
    <w:p w14:paraId="575A8B2A" w14:textId="6CD17DE6" w:rsidR="008D479B" w:rsidRDefault="008D479B" w:rsidP="008D479B">
      <w:pPr>
        <w:pStyle w:val="Extracto"/>
      </w:pPr>
      <w:r>
        <w:t>2.</w:t>
      </w:r>
      <w:r>
        <w:tab/>
        <w:t>De conformidad con el art 43 LOTC, las violaciones de derechos y libertades originadas por disposiciones, actos jurídicos, omisiones o simple vía de hecho del Gobierno o de sus autoridades o funcionarios, o de los órganos ejecutivos colegiados de las comunidades autónomas o de sus autoridades o funcionarios o agentes, podrán dar lugar al recurso de amparo una vez que se haya agotado la vía judicial procedente [FJ 3].</w:t>
      </w:r>
    </w:p>
    <w:p w14:paraId="5FC892FC" w14:textId="77777777" w:rsidR="008D479B" w:rsidRDefault="008D479B" w:rsidP="008D479B">
      <w:pPr>
        <w:pStyle w:val="Extracto"/>
      </w:pPr>
    </w:p>
    <w:p w14:paraId="36D1E9F9" w14:textId="77777777" w:rsidR="008D479B" w:rsidRDefault="008D479B" w:rsidP="008D479B">
      <w:pPr>
        <w:pStyle w:val="Extracto"/>
      </w:pPr>
    </w:p>
    <w:p w14:paraId="13041B44" w14:textId="77777777" w:rsidR="008D479B" w:rsidRDefault="008D479B" w:rsidP="008D479B">
      <w:pPr>
        <w:pStyle w:val="TextoNormal"/>
      </w:pPr>
      <w: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14:paraId="482ED61E" w14:textId="71102263" w:rsidR="008D479B" w:rsidRDefault="008D479B" w:rsidP="008D479B">
      <w:pPr>
        <w:pStyle w:val="TextoNormal"/>
      </w:pPr>
    </w:p>
    <w:p w14:paraId="035EAB3F" w14:textId="77777777" w:rsidR="008D479B" w:rsidRDefault="008D479B" w:rsidP="008D479B">
      <w:pPr>
        <w:pStyle w:val="TextoNormalCentrado"/>
        <w:keepNext/>
      </w:pPr>
      <w:r>
        <w:t>EN NOMBRE DEL REY</w:t>
      </w:r>
    </w:p>
    <w:p w14:paraId="3FB636EE" w14:textId="4C6615C9" w:rsidR="008D479B" w:rsidRDefault="008D479B" w:rsidP="008D479B">
      <w:pPr>
        <w:pStyle w:val="TextoNormalCentrado"/>
        <w:keepNext/>
      </w:pPr>
    </w:p>
    <w:p w14:paraId="59A6BD3E" w14:textId="77777777" w:rsidR="008D479B" w:rsidRDefault="008D479B" w:rsidP="008D479B">
      <w:pPr>
        <w:pStyle w:val="TextoNormalCentrado"/>
        <w:keepNext/>
      </w:pPr>
    </w:p>
    <w:p w14:paraId="1753C496" w14:textId="77777777" w:rsidR="008D479B" w:rsidRDefault="008D479B" w:rsidP="008D479B">
      <w:pPr>
        <w:pStyle w:val="TextoNormal"/>
      </w:pPr>
      <w:r>
        <w:t>la siguiente</w:t>
      </w:r>
    </w:p>
    <w:p w14:paraId="272FD270" w14:textId="70A8D080" w:rsidR="008D479B" w:rsidRDefault="008D479B" w:rsidP="008D479B">
      <w:pPr>
        <w:pStyle w:val="TextoNormal"/>
      </w:pPr>
    </w:p>
    <w:p w14:paraId="6386F566" w14:textId="77777777" w:rsidR="008D479B" w:rsidRDefault="008D479B" w:rsidP="008D479B">
      <w:pPr>
        <w:pStyle w:val="TextoNormalCentrado"/>
        <w:keepNext/>
      </w:pPr>
      <w:r>
        <w:t>SENTENCIA</w:t>
      </w:r>
    </w:p>
    <w:p w14:paraId="37E59E38" w14:textId="7EF3A17B" w:rsidR="008D479B" w:rsidRDefault="008D479B" w:rsidP="008D479B">
      <w:pPr>
        <w:pStyle w:val="TextoNormalCentrado"/>
        <w:keepNext/>
      </w:pPr>
    </w:p>
    <w:p w14:paraId="263CDD92" w14:textId="77777777" w:rsidR="008D479B" w:rsidRDefault="008D479B" w:rsidP="008D479B">
      <w:pPr>
        <w:pStyle w:val="TextoNormal"/>
      </w:pPr>
      <w:r>
        <w:t>En el recurso de amparo 1414-2022, interpuesto por don Pau Juvillà i Ballester contra el acuerdo de la Secretaría General del Parlamento de Cataluña de 3 de febrero de 2022 por el que se dieron instrucciones a la administración parlamentaria para dar de baja al demandante como diputado de la Cámara. Han presentado alegaciones el Ministerio Fiscal y el Parlamento de Cataluña. Ha sido ponente el magistrado don Enrique Arnaldo Alcubilla.</w:t>
      </w:r>
    </w:p>
    <w:p w14:paraId="30A6B04B" w14:textId="14AF5AD8" w:rsidR="008D479B" w:rsidRDefault="008D479B" w:rsidP="008D479B">
      <w:pPr>
        <w:pStyle w:val="TextoNormal"/>
      </w:pPr>
    </w:p>
    <w:p w14:paraId="35F6537C" w14:textId="77777777" w:rsidR="008D479B" w:rsidRDefault="008D479B" w:rsidP="008D479B">
      <w:pPr>
        <w:pStyle w:val="TextoNormalNegritaCentrado"/>
        <w:keepNext/>
      </w:pPr>
      <w:r>
        <w:t>I. Antecedentes</w:t>
      </w:r>
    </w:p>
    <w:p w14:paraId="4CE65D9D" w14:textId="3CA235CA" w:rsidR="008D479B" w:rsidRDefault="008D479B" w:rsidP="008D479B">
      <w:pPr>
        <w:pStyle w:val="TextoNormalNegritaCentrado"/>
        <w:keepNext/>
      </w:pPr>
    </w:p>
    <w:p w14:paraId="6400C780" w14:textId="33EED428" w:rsidR="008D479B" w:rsidRDefault="008D479B" w:rsidP="008D479B">
      <w:pPr>
        <w:pStyle w:val="TextoNormal"/>
      </w:pPr>
      <w:r w:rsidRPr="008D479B">
        <w:rPr>
          <w:rStyle w:val="NumeroAFNegritaCaracter"/>
        </w:rPr>
        <w:t>1</w:t>
      </w:r>
      <w:r>
        <w:t>. Mediante escrito que tuvo entrada en este tribunal el 3 de marzo de 2022, la procuradora de los tribunales doña María José Rodríguez Teijeiro, asistida por el abogado don Benet Salellas Vilar, presentó, en nombre de don Pau Juvillà i Ballester, recurso de amparo pidiendo la revocación y anulación del acuerdo de la Secretaría General del Parlamento de Cataluña de 3 de febrero de 2022 por el que se dieron instrucciones a la administración parlamentaria para dar de baja al demandante como diputado de la Cámara.</w:t>
      </w:r>
    </w:p>
    <w:p w14:paraId="7ECA5FAF" w14:textId="77777777" w:rsidR="008D479B" w:rsidRDefault="008D479B" w:rsidP="008D479B">
      <w:pPr>
        <w:pStyle w:val="TextoNormal"/>
      </w:pPr>
    </w:p>
    <w:p w14:paraId="21475BFB" w14:textId="77777777" w:rsidR="008D479B" w:rsidRDefault="008D479B" w:rsidP="008D479B">
      <w:pPr>
        <w:pStyle w:val="TextoNormal"/>
      </w:pPr>
      <w:r w:rsidRPr="008D479B">
        <w:rPr>
          <w:rStyle w:val="NumeroAFNegritaCaracter"/>
        </w:rPr>
        <w:t>2</w:t>
      </w:r>
      <w:r>
        <w:t>. Los hechos en que se fundamenta la demanda de amparo pueden resumirse, en lo que resulta relevante, como sigue:</w:t>
      </w:r>
    </w:p>
    <w:p w14:paraId="28B3915F" w14:textId="77777777" w:rsidR="008D479B" w:rsidRDefault="008D479B" w:rsidP="008D479B">
      <w:pPr>
        <w:pStyle w:val="TextoNormal"/>
      </w:pPr>
    </w:p>
    <w:p w14:paraId="46730003" w14:textId="77777777" w:rsidR="008D479B" w:rsidRDefault="008D479B" w:rsidP="008D479B">
      <w:pPr>
        <w:pStyle w:val="TextoNormal"/>
      </w:pPr>
      <w:r>
        <w:t>a) El demandante es activista sindical y político y ostentó el cargo de concejal (paer) en el Ayuntamiento de Lleida entre junio de 2015 y junio de 2019. En las elecciones autonómicas catalanas de 14 de febrero de 2021 encabezó la lista de la Candidatura d’Unitat Popular-Un Nou Cicle per Guanyar (CUP-UCPG) por la circunscripción de Lleida, resultando elegido diputado.</w:t>
      </w:r>
    </w:p>
    <w:p w14:paraId="2204FC33" w14:textId="77777777" w:rsidR="008D479B" w:rsidRDefault="008D479B" w:rsidP="008D479B">
      <w:pPr>
        <w:pStyle w:val="TextoNormal"/>
      </w:pPr>
    </w:p>
    <w:p w14:paraId="7797DA6F" w14:textId="77777777" w:rsidR="008D479B" w:rsidRDefault="008D479B" w:rsidP="008D479B">
      <w:pPr>
        <w:pStyle w:val="TextoNormal"/>
      </w:pPr>
      <w:r>
        <w:t>b) El Juzgado de Instrucción núm. 3 de Lleida incoó las diligencias previas núm. 857-2019 (posteriormente transformadas en el procedimiento abreviado núm. 76-2020) contra el señor Juvillà i Ballester por un delito de desobediencia a decisiones de la Junta Electoral de Zona y de la Junta Electoral Provincial mientras era concejal del Ayuntamiento de Lleida, procedimiento elevado a la Sala de lo Civil y lo Penal del Tribunal Superior de Justicia de Cataluña por haber adquirido, de forma sobrevenida, la condición de diputado del Parlamento de Cataluña (procedimiento abreviado núm. 1-2021). Celebrado juicio oral, se dictó la sentencia 2/2021, de 14 de diciembre, por la que se condenó al hoy demandante de amparo, como autor responsable de un delito de desobediencia, a las penas de multa de tres meses con una cuota diaria de doce euros, con una responsabilidad personal subsidiaria caso de impago de un día por cada dos cuotas insatisfechas, e inhabilitación especial para el ejercicio de cargos públicos electivos y de funciones de gobierno o administración, sean en el ámbito local, provincial, autonómico, estatal o supranacional, por tiempo de seis meses.</w:t>
      </w:r>
    </w:p>
    <w:p w14:paraId="7F62BBB9" w14:textId="77777777" w:rsidR="008D479B" w:rsidRDefault="008D479B" w:rsidP="008D479B">
      <w:pPr>
        <w:pStyle w:val="TextoNormal"/>
      </w:pPr>
    </w:p>
    <w:p w14:paraId="3EB1E35A" w14:textId="77777777" w:rsidR="008D479B" w:rsidRDefault="008D479B" w:rsidP="008D479B">
      <w:pPr>
        <w:pStyle w:val="TextoNormal"/>
      </w:pPr>
      <w:r>
        <w:t>c) El 4 de febrero de 2022 formalizó la representación del señor Juvillà recurso de casación contra la anterior sentencia ante la Sala de lo Penal del Tribunal Supremo, recurso que se encontraba sustanciándose en el momento de interposición de la actual demanda de amparo.</w:t>
      </w:r>
    </w:p>
    <w:p w14:paraId="45BEE934" w14:textId="77777777" w:rsidR="008D479B" w:rsidRDefault="008D479B" w:rsidP="008D479B">
      <w:pPr>
        <w:pStyle w:val="TextoNormal"/>
      </w:pPr>
    </w:p>
    <w:p w14:paraId="36E9D94E" w14:textId="77777777" w:rsidR="008D479B" w:rsidRDefault="008D479B" w:rsidP="008D479B">
      <w:pPr>
        <w:pStyle w:val="TextoNormal"/>
      </w:pPr>
      <w:r>
        <w:t>d) Paralelamente, el 16 de diciembre de 2021, y a raíz de tener conocimiento de la sentencia de condena, el Parlamento de Cataluña tramitó un expediente que finalizó con dictamen de la Comisión del Estatuto de los Diputados, en el que se concluía que no concurría causa de incompatibilidad alguna en el señor Juvillà ni otra circunstancia que afectara a esa condición.</w:t>
      </w:r>
    </w:p>
    <w:p w14:paraId="3EEE6E2E" w14:textId="77777777" w:rsidR="008D479B" w:rsidRDefault="008D479B" w:rsidP="008D479B">
      <w:pPr>
        <w:pStyle w:val="TextoNormal"/>
      </w:pPr>
    </w:p>
    <w:p w14:paraId="5F5174E6" w14:textId="77777777" w:rsidR="008D479B" w:rsidRDefault="008D479B" w:rsidP="008D479B">
      <w:pPr>
        <w:pStyle w:val="TextoNormal"/>
      </w:pPr>
      <w:r>
        <w:t>e) El 20 de enero de 2022 la Junta Electoral Central acordó declarar vacante el escaño del recurrente, por la concurrencia de causa de inelegibilidad sobrevenida, acordando la misma junta el día 27 de dicho mes retirarle la credencial de diputado.</w:t>
      </w:r>
    </w:p>
    <w:p w14:paraId="06663B51" w14:textId="77777777" w:rsidR="008D479B" w:rsidRDefault="008D479B" w:rsidP="008D479B">
      <w:pPr>
        <w:pStyle w:val="TextoNormal"/>
      </w:pPr>
    </w:p>
    <w:p w14:paraId="11B8E74E" w14:textId="77777777" w:rsidR="008D479B" w:rsidRDefault="008D479B" w:rsidP="008D479B">
      <w:pPr>
        <w:pStyle w:val="TextoNormal"/>
      </w:pPr>
      <w:r>
        <w:t>A la vista de ello, la Comisión del Estatuto de los Diputados del Parlamento de Cataluña aprobó un nuevo dictamen, el 2 de febrero de 2022, que fue elevado al Pleno y aprobado el día inmediato siguiente en los siguientes términos, según transcripción de la demanda: “a) Que no es aplicable al diputado Pau Juvillà i Ballester ninguna de las causas de pérdida de la condición de diputado recogidas por el artículo 24 del Reglamento del Parlament. b) Que no concurren los supuestos de hecho para aplicar el artículo 25.1 del Reglament del Parlament al diputado Pau Juvillà i Ballester. c) Que no es aplicable el artículo 25.1 b) del Reglamento del Parlament porque no hay una sentencia firme contra el diputado Pau Juvillà i Ballester”. Se señala en la demanda de amparo que el demandante no participó en el Pleno y que su grupo parlamentario no votó esa decisión.</w:t>
      </w:r>
    </w:p>
    <w:p w14:paraId="5AF04B03" w14:textId="77777777" w:rsidR="008D479B" w:rsidRDefault="008D479B" w:rsidP="008D479B">
      <w:pPr>
        <w:pStyle w:val="TextoNormal"/>
      </w:pPr>
    </w:p>
    <w:p w14:paraId="20E46429" w14:textId="77777777" w:rsidR="008D479B" w:rsidRDefault="008D479B" w:rsidP="008D479B">
      <w:pPr>
        <w:pStyle w:val="TextoNormal"/>
      </w:pPr>
      <w:r>
        <w:t>En la misma fecha de la resolución del Pleno, la Junta Electoral Central dirigió comunicación al Parlamento de Cataluña exhortando a la presidenta de la Cámara a que diera cumplimiento al acuerdo de 20 de enero de 2022, por el que se declaró la vacante del escaño del señor Juvillà.</w:t>
      </w:r>
    </w:p>
    <w:p w14:paraId="4DA801F6" w14:textId="77777777" w:rsidR="008D479B" w:rsidRDefault="008D479B" w:rsidP="008D479B">
      <w:pPr>
        <w:pStyle w:val="TextoNormal"/>
      </w:pPr>
    </w:p>
    <w:p w14:paraId="6A357830" w14:textId="77777777" w:rsidR="008D479B" w:rsidRDefault="008D479B" w:rsidP="008D479B">
      <w:pPr>
        <w:pStyle w:val="TextoNormal"/>
      </w:pPr>
      <w:r>
        <w:t>f) A la vista de la anterior comunicación, el 3 de febrero de 2022 la secretaria general del Parlamento de Cataluña acordó dar instrucciones a todos los servicios de la Cámara para dar de baja como diputado al señor Juvillà. Así lo comunicó en esa misma fecha a la mesa del Parlamento, en los siguientes términos (conforme a la transcripción de la demanda): “Sin perjuicio de la posición procesal definida [</w:t>
      </w:r>
      <w:r w:rsidRPr="008D479B">
        <w:rPr>
          <w:i/>
        </w:rPr>
        <w:t>sic</w:t>
      </w:r>
      <w:r>
        <w:t>] por el Parlament de Catalunya delante de la Sala Tercera del Tribunal Supremo, por imperativo legal, y para evitar que se impute a mi persona y a otros funcionarios de la Cámara cualquier tipo de responsabilidad disciplinaria, contable o penal, me veo obligada a dar a la Administración parlamentaria las instrucciones estrictamente necesarias para no desatender el [</w:t>
      </w:r>
      <w:r w:rsidRPr="008D479B">
        <w:rPr>
          <w:i/>
        </w:rPr>
        <w:t>sic</w:t>
      </w:r>
      <w:r>
        <w:t>] que exigen los acuerdos de la Junta Electoral Central expuestos”. Las órdenes dadas por la secretaria general fueron especificadas mediante comunicación al efecto a la Junta Electoral Central.</w:t>
      </w:r>
    </w:p>
    <w:p w14:paraId="54CD7BD6" w14:textId="77777777" w:rsidR="008D479B" w:rsidRDefault="008D479B" w:rsidP="008D479B">
      <w:pPr>
        <w:pStyle w:val="TextoNormal"/>
      </w:pPr>
    </w:p>
    <w:p w14:paraId="21B6E6BB" w14:textId="06B9E442" w:rsidR="008D479B" w:rsidRDefault="008D479B" w:rsidP="008D479B">
      <w:pPr>
        <w:pStyle w:val="TextoNormal"/>
      </w:pPr>
      <w:r>
        <w:t>g) El 4 de febrero de 2022 la mesa del Parlamento tomó conocimiento de la referida decisión de la secretaria general. Ese mismo día se publicó en el “Butlletí Oficial del Parlament de Catalunya” núm. 226, en el apartado 4 de información, bajo el epígrafe “4.45. Composición de los órganos del Parlamento, 4.45.02 Pleno del Parlamento. Composición del Pleno del parlamento, Baja, Pau Juvillá i Ballester, diputado del grupo parlamentario de la Candidatura de Unidad Popular-Un Nuevo Ciclo para ganar”, lo siguiente: “Conforme a la literalidad de los acuerdos de la Junta Electoral Central de 20 y 27 de enero de 2022, por imperativo legal y para evitar el riesgo de incurrir en cualquier tipo de responsabilidad disciplinaria, contable o penal, y sin perjuicio de la posición procesal definida [</w:t>
      </w:r>
      <w:r w:rsidRPr="008D479B">
        <w:rPr>
          <w:i/>
        </w:rPr>
        <w:t>sic</w:t>
      </w:r>
      <w:r>
        <w:t>] por el Parlamento de Cataluña delante de la Sala Tercera del Tribunal Supremo, la secretaria general ha dado instrucciones para no desatender el [</w:t>
      </w:r>
      <w:r w:rsidRPr="008D479B">
        <w:rPr>
          <w:i/>
        </w:rPr>
        <w:t>sic</w:t>
      </w:r>
      <w:r>
        <w:t>] que exigen los acuerdos de la Junta Electoral Central expuestos”.</w:t>
      </w:r>
    </w:p>
    <w:p w14:paraId="6FA5E00F" w14:textId="77777777" w:rsidR="008D479B" w:rsidRDefault="008D479B" w:rsidP="008D479B">
      <w:pPr>
        <w:pStyle w:val="TextoNormal"/>
      </w:pPr>
    </w:p>
    <w:p w14:paraId="713758C2" w14:textId="77777777" w:rsidR="008D479B" w:rsidRDefault="008D479B" w:rsidP="008D479B">
      <w:pPr>
        <w:pStyle w:val="TextoNormal"/>
      </w:pPr>
      <w:r w:rsidRPr="008D479B">
        <w:rPr>
          <w:rStyle w:val="NumeroAFNegritaCaracter"/>
        </w:rPr>
        <w:t>3</w:t>
      </w:r>
      <w:r>
        <w:t>. El recurso de amparo se dirige contra el referido acuerdo de la secretaria general del Parlamento de Cataluña de 3 de febrero de 2022.</w:t>
      </w:r>
    </w:p>
    <w:p w14:paraId="1E7F3E71" w14:textId="77777777" w:rsidR="008D479B" w:rsidRDefault="008D479B" w:rsidP="008D479B">
      <w:pPr>
        <w:pStyle w:val="TextoNormal"/>
      </w:pPr>
    </w:p>
    <w:p w14:paraId="41F4CD43" w14:textId="77777777" w:rsidR="008D479B" w:rsidRDefault="008D479B" w:rsidP="008D479B">
      <w:pPr>
        <w:pStyle w:val="TextoNormal"/>
      </w:pPr>
      <w:r>
        <w:t>a) Se afirma, en primer lugar, que el acuerdo impugnado infringe el derecho fundamental a la participación política garantizado por el art. 23.2 CE y el art. 3 del Protocolo primero del Convenio europeo para la protección de los derechos humanos y las libertades fundamentales (CEDH, en adelante), por las razones que siguen:</w:t>
      </w:r>
    </w:p>
    <w:p w14:paraId="4DF5F476" w14:textId="77777777" w:rsidR="008D479B" w:rsidRDefault="008D479B" w:rsidP="008D479B">
      <w:pPr>
        <w:pStyle w:val="TextoNormal"/>
      </w:pPr>
    </w:p>
    <w:p w14:paraId="22C29274" w14:textId="77777777" w:rsidR="008D479B" w:rsidRDefault="008D479B" w:rsidP="008D479B">
      <w:pPr>
        <w:pStyle w:val="TextoNormal"/>
      </w:pPr>
      <w:r>
        <w:t>(i) Uno y otros de los preceptos invocados garantizan el mantenimiento del cargo representativo sin perturbaciones ilegítimas, teniendo el acuerdo de la secretaria general que se recurre un efecto letal sobre esta faceta del derecho fundamental. El derecho del art. 23.2 CE es de configuración legal, correspondiendo a los reglamentos de las cámaras establecer los derechos, deberes y atribuciones propios de los parlamentarios, estatuto propio que permite al parlamentario titular de esos derechos solicitar protección cuando los consideren ilegítimamente constreñidos o ignorados por actos del poder público, incluidos los provenientes del propio órgano en el que se integren (se cita la STC 168/2021, de 5 de octubre).</w:t>
      </w:r>
    </w:p>
    <w:p w14:paraId="4EAFB4AD" w14:textId="77777777" w:rsidR="008D479B" w:rsidRDefault="008D479B" w:rsidP="008D479B">
      <w:pPr>
        <w:pStyle w:val="TextoNormal"/>
      </w:pPr>
    </w:p>
    <w:p w14:paraId="2D1F9F61" w14:textId="77777777" w:rsidR="008D479B" w:rsidRDefault="008D479B" w:rsidP="008D479B">
      <w:pPr>
        <w:pStyle w:val="TextoNormal"/>
      </w:pPr>
      <w:r>
        <w:t>(ii) Se ha de tener en cuenta, en cuanto a la interpretación de los derechos y deberes de los diputados por parte de la mesa del Parlamento, que la autonomía parlamentaria se encuentra garantizada por el art. 72 CE, lo que conlleva que se otorgue a los parlamentos (y significativamente a sus órganos rectores) una amplia interpretación en la aplicación de todas aquellas cuestiones que afectan tanto al funcionamiento de la Cámara como al estatuto personal de los parlamentarios (SSTC 234/2000, de 10 de octubre, y 49/2008, de 9 de abril). La autonomía del Parlamento de Cataluña no ha sido respetada en este caso por la secretaria general, con la aquiescencia de la mesa, vulnerando de manera flagrante el derecho de participación (art. 23.2 CE), al ordenar a la administración parlamentaria dar de baja al diputado en contra de los dictámenes y resoluciones de la Cámara de 16 de diciembre de 2021 y de 2 y 3 de febrero de 2022.</w:t>
      </w:r>
    </w:p>
    <w:p w14:paraId="67AFEFB1" w14:textId="77777777" w:rsidR="008D479B" w:rsidRDefault="008D479B" w:rsidP="008D479B">
      <w:pPr>
        <w:pStyle w:val="TextoNormal"/>
      </w:pPr>
    </w:p>
    <w:p w14:paraId="13BF5DF2" w14:textId="77777777" w:rsidR="008D479B" w:rsidRDefault="008D479B" w:rsidP="008D479B">
      <w:pPr>
        <w:pStyle w:val="TextoNormal"/>
      </w:pPr>
      <w:r>
        <w:t>(iii) En modo alguno esa decisión tomada por la secretaria general forma parte de las funciones que tiene encomendadas por el Reglamento del Parlamento de Cataluña (RPC), funciones siempre supeditadas a las decisiones de la Presidencia (de la que depende jerárquicamente), de la mesa y de las aprobadas por el Parlamento, tanto en Pleno como en comisión. En ningún caso tiene otorgada la secretaria general como función propia una decisión con una afectación tan grande al derecho de participación política como es la de suspender o inhabilitar del cargo a un diputado.</w:t>
      </w:r>
    </w:p>
    <w:p w14:paraId="6D44A4D1" w14:textId="77777777" w:rsidR="008D479B" w:rsidRDefault="008D479B" w:rsidP="008D479B">
      <w:pPr>
        <w:pStyle w:val="TextoNormal"/>
      </w:pPr>
    </w:p>
    <w:p w14:paraId="29569E3E" w14:textId="77777777" w:rsidR="008D479B" w:rsidRDefault="008D479B" w:rsidP="008D479B">
      <w:pPr>
        <w:pStyle w:val="TextoNormal"/>
      </w:pPr>
      <w:r>
        <w:t xml:space="preserve">(iv) La Ley Orgánica 5/1985, de 19 de junio, del régimen electoral general (LOREG), no establece un título competencial que habilite a la administración electoral para acordar el cese de un diputado, y del Reglamento del Parlamento de Cataluña se deduce que es el propio Parlamento el encargado de conocer tanto las causas de incompatibilidad como las de inhabilitación y de suspensión que afecten al desempeño del cargo representativo (arts. 18, 24 y 25). Debe concluirse, por ello, que la causa de incompatibilidad sobrevenida del art. 6.2 b), en correspondencia con el art. 6.4, ambos de la Ley Orgánica del régimen electoral general, no desplaza la competencia del cese a la administración electoral, sino que necesariamente el procedimiento de cese o inhabilitación deberá acomodarse a las disposiciones del Reglamento del Parlamento de Cataluña y supeditarse a una decisión de la Cámara. En ningún caso se produce, pues, una automaticidad entre la decisión de la administración electoral y la inhabilitación inmediata del diputado que justifique su adopción por una decisión de órgano manifiestamente incompetente, como es la secretaría general del Parlamento, sea en solitario o con la aquiescencia implícita de la mesa de la Cámara. Se trae a colación la STC 7/1992, de 13 de febrero, a partir de la cual, y </w:t>
      </w:r>
      <w:r w:rsidRPr="008D479B">
        <w:rPr>
          <w:i/>
        </w:rPr>
        <w:t>a fortiori</w:t>
      </w:r>
      <w:r>
        <w:t>, se afirma que es nula de pleno Derecho y debe ser revocada la decisión unilateral de la secretaria general del Parlamento que, sin título habilitante, imparte instrucciones para suspender al diputado como si se tratara de personal a su cargo.</w:t>
      </w:r>
    </w:p>
    <w:p w14:paraId="01183226" w14:textId="77777777" w:rsidR="008D479B" w:rsidRDefault="008D479B" w:rsidP="008D479B">
      <w:pPr>
        <w:pStyle w:val="TextoNormal"/>
      </w:pPr>
    </w:p>
    <w:p w14:paraId="44C22C03" w14:textId="77777777" w:rsidR="008D479B" w:rsidRDefault="008D479B" w:rsidP="008D479B">
      <w:pPr>
        <w:pStyle w:val="TextoNormal"/>
      </w:pPr>
      <w:r>
        <w:t xml:space="preserve">(v) Se invoca la doctrina del Tribunal Europeo de Derechos Humanos contenida en las sentencias de 2 de marzo de 1987, asunto </w:t>
      </w:r>
      <w:r w:rsidRPr="008D479B">
        <w:rPr>
          <w:i/>
        </w:rPr>
        <w:t>Mathieu-Mohin c. Bélgica</w:t>
      </w:r>
      <w:r>
        <w:t xml:space="preserve">; de 5 de abril de 2007, asunto </w:t>
      </w:r>
      <w:r w:rsidRPr="008D479B">
        <w:rPr>
          <w:i/>
        </w:rPr>
        <w:t>Silay c. Turquía</w:t>
      </w:r>
      <w:r>
        <w:t xml:space="preserve">; de 29 de noviembre de 2007, asunto </w:t>
      </w:r>
      <w:r w:rsidRPr="008D479B">
        <w:rPr>
          <w:i/>
        </w:rPr>
        <w:t>Sobaci c. Turquía</w:t>
      </w:r>
      <w:r>
        <w:t xml:space="preserve">; de 13 de octubre de 2015, asunto </w:t>
      </w:r>
      <w:r w:rsidRPr="008D479B">
        <w:rPr>
          <w:i/>
        </w:rPr>
        <w:t>Riza y otros c. Bulgaria</w:t>
      </w:r>
      <w:r>
        <w:t xml:space="preserve">; de 7 de febrero de 2008, asunto </w:t>
      </w:r>
      <w:r w:rsidRPr="008D479B">
        <w:rPr>
          <w:i/>
        </w:rPr>
        <w:t>Kovatch c. Ucrania</w:t>
      </w:r>
      <w:r>
        <w:t xml:space="preserve">, núm. 39424/02, y de 30 de septiembre de 2010, asunto </w:t>
      </w:r>
      <w:r w:rsidRPr="008D479B">
        <w:rPr>
          <w:i/>
        </w:rPr>
        <w:t>Kerimova c. Azerbaijan</w:t>
      </w:r>
      <w:r>
        <w:t>, núm. 20799/06. Aplicada esta doctrina al presente caso, se sostiene que debe concluirse que tanto el acuerdo de la secretaria general como la inacción de la mesa del Parlamento, que han provocado la pérdida del escaño al demandante, constituyen un procedimiento arbitrario y no respetan ninguna garantía, vulnerando por tanto el art. 3 del Protocolo núm. 1 al CEDH. Además, la decisión de la secretaria general se adoptó sin trámite de audiencia alguno, ni comunicación previa al afectado, ni instrucción de un expediente de inhabilitación en el Parlamento, ni propuesta de resolución (más bien instrucciones opuestas), de modo que se trata de una clara vía de hecho carente de cobertura reglamentaria o legal alguna.</w:t>
      </w:r>
    </w:p>
    <w:p w14:paraId="10C82075" w14:textId="77777777" w:rsidR="008D479B" w:rsidRDefault="008D479B" w:rsidP="008D479B">
      <w:pPr>
        <w:pStyle w:val="TextoNormal"/>
      </w:pPr>
    </w:p>
    <w:p w14:paraId="4C2A04D4" w14:textId="77777777" w:rsidR="008D479B" w:rsidRDefault="008D479B" w:rsidP="008D479B">
      <w:pPr>
        <w:pStyle w:val="TextoNormal"/>
      </w:pPr>
      <w:r>
        <w:t>En fin, tampoco cabe considerar que el procedimiento de la Junta Electoral Central, en relación con la aplicabilidad de la sentencia de condena, sustituya, a la luz de la autonomía parlamentaria, un concreto procedimiento en el Parlamento de Cataluña sobre la inhabilitación del diputado. El Parlamento no es un apéndice o un subordinado de ninguna junta electoral, pues la Constitución y los estatutos de autonomía nunca lo concibieron así.</w:t>
      </w:r>
    </w:p>
    <w:p w14:paraId="6A9C8CA3" w14:textId="77777777" w:rsidR="008D479B" w:rsidRDefault="008D479B" w:rsidP="008D479B">
      <w:pPr>
        <w:pStyle w:val="TextoNormal"/>
      </w:pPr>
    </w:p>
    <w:p w14:paraId="342849C7" w14:textId="77777777" w:rsidR="008D479B" w:rsidRDefault="008D479B" w:rsidP="008D479B">
      <w:pPr>
        <w:pStyle w:val="TextoNormal"/>
      </w:pPr>
      <w:r>
        <w:t>b) En segundo lugar, se sostiene en la demanda que el acuerdo de la secretaría general del Parlamento que ha provocado la pérdida del acta del recurrente vulnera su derecho a la presunción de inocencia (arts. 24.2 CE y 6.2 CEDH), conforme a las razones siguientes:</w:t>
      </w:r>
    </w:p>
    <w:p w14:paraId="73A724CD" w14:textId="77777777" w:rsidR="008D479B" w:rsidRDefault="008D479B" w:rsidP="008D479B">
      <w:pPr>
        <w:pStyle w:val="TextoNormal"/>
      </w:pPr>
    </w:p>
    <w:p w14:paraId="2CBCBBFD" w14:textId="77777777" w:rsidR="008D479B" w:rsidRDefault="008D479B" w:rsidP="008D479B">
      <w:pPr>
        <w:pStyle w:val="TextoNormal"/>
      </w:pPr>
      <w:r>
        <w:t>(i) El art. 24 e) RPC establece claramente que la pérdida de la condición de miembro del Parlamento se produce por la condena a una pena de inhabilitación impuesta por sentencia judicial firme, precepto cuya razón de ser no es otra que el respeto de la presunción de inocencia. La decisión impugnada de la secretaria general, así como todos los actos posteriores que han provocado la desposesión del acta de diputado, no solo son contrarios al mencionado precepto y por tanto nulos, sino que también suponen una flagrante vulneración del derecho fundamental a la presunción de inocencia, al suponer una indebida ejecución provisional de la pena que ni tan solo se contempla en el fallo de la sentencia de condena y que es acordada por un órgano administrativo (la Junta Electoral Central) y posteriormente por la secretaria general del Parlamento. Se ha de tener en cuenta que la posibilidad de ejecutar provisionalmente una pena se encuentra proscrita, como contraria a la presunción de inocencia, por el art. 2 de la Directiva 2016/343/UE del Parlamento Europeo y del Consejo, de 9 de marzo de 2016, y debe tenerse en cuenta que no ha recaído sentencia penal firme contra el señor Juvillà, ya que se encuentra aún por resolver el recurso de casación.</w:t>
      </w:r>
    </w:p>
    <w:p w14:paraId="0079C50C" w14:textId="77777777" w:rsidR="008D479B" w:rsidRDefault="008D479B" w:rsidP="008D479B">
      <w:pPr>
        <w:pStyle w:val="TextoNormal"/>
      </w:pPr>
    </w:p>
    <w:p w14:paraId="2E26CE6B" w14:textId="77777777" w:rsidR="008D479B" w:rsidRDefault="008D479B" w:rsidP="008D479B">
      <w:pPr>
        <w:pStyle w:val="TextoNormal"/>
      </w:pPr>
      <w:r>
        <w:t xml:space="preserve">(ii) Se citan, en lo que hace a la presunción de inocencia, las SSTC 138/1992, de 13 de octubre; 133/1995, de 25 de septiembre; 141/2006, de 8 de mayo, y 201/2012, de 12 de noviembre. Se invoca el art. 4.1 de la mentada Directiva, de conformidad con el cual todas las autoridades públicas deben evitar cualquier referencia pública a la culpabilidad de las personas acusadas en procesos penales hasta que adquiera firmeza la resolución final sobre si la persona ha cometido o no la infracción penal en cuestión, con las excepciones allí previstas (entre las que no está una decisión como la impugnada). La decisión recurrida se separa de la jurisprudencia del Tribunal Europeo de Derechos Humanos (sentencias de 24 de mayo de 2011, asunto </w:t>
      </w:r>
      <w:r w:rsidRPr="008D479B">
        <w:rPr>
          <w:i/>
        </w:rPr>
        <w:t>Konstas c. Grecia</w:t>
      </w:r>
      <w:r>
        <w:t xml:space="preserve">, y de 18 de febrero de 2016, asunto </w:t>
      </w:r>
      <w:r w:rsidRPr="008D479B">
        <w:rPr>
          <w:i/>
        </w:rPr>
        <w:t>Rywin c. Polonia</w:t>
      </w:r>
      <w:r>
        <w:t>), que confirma que la presunción de inocencia tiene eficacia interna en el procedimiento penal, pero también externa, creando un efecto reflejo en todos los demás procedimientos conexos, como el seguido por la Junta Electoral Central, de modo que se debe concluir que la resolución de dicha junta que ordena la retirada del acta de diputado al señor Juvillà sin que haya recaído sentencia firme también supone una flagrante vulneración de la presunción de inocencia del recurrente. Asimismo, la decisión de la secretaria general del Parlamento de ejecutar la decisión de la junta sin seguir el procedimiento establecido, contradiciendo el art. 24 e) RPC, también supone esa misma flagrante violación del citado derecho fundamental.</w:t>
      </w:r>
    </w:p>
    <w:p w14:paraId="4F1C99B1" w14:textId="77777777" w:rsidR="008D479B" w:rsidRDefault="008D479B" w:rsidP="008D479B">
      <w:pPr>
        <w:pStyle w:val="TextoNormal"/>
      </w:pPr>
    </w:p>
    <w:p w14:paraId="30D88576" w14:textId="77777777" w:rsidR="008D479B" w:rsidRDefault="008D479B" w:rsidP="008D479B">
      <w:pPr>
        <w:pStyle w:val="TextoNormal"/>
      </w:pPr>
      <w:r>
        <w:t>c) Se alega por último la vulneración subyacente de la libertad de expresión (arts. 20.1 CE y 10 CEDH), conforme a los siguientes argumentos:</w:t>
      </w:r>
    </w:p>
    <w:p w14:paraId="6908EFCF" w14:textId="77777777" w:rsidR="008D479B" w:rsidRDefault="008D479B" w:rsidP="008D479B">
      <w:pPr>
        <w:pStyle w:val="TextoNormal"/>
      </w:pPr>
    </w:p>
    <w:p w14:paraId="6909D83B" w14:textId="77777777" w:rsidR="008D479B" w:rsidRDefault="008D479B" w:rsidP="008D479B">
      <w:pPr>
        <w:pStyle w:val="TextoNormal"/>
      </w:pPr>
      <w:r>
        <w:t>(i) Se afirma que los hechos que dieron origen al procedimiento penal contra el señor Juvillà y su posterior pérdida del cargo de diputado tienen una naturaleza estrictamente política, relacionada con las libertades de pensamiento y expresión. Sostiene el recurrente que fue su posición política, favorable al derecho de autodeterminación de Cataluña y a la reclamación de libertad para los líderes catalanes que se encontraban procesados y encarcelados, así como la expresión de esa determinación ideológica (colgar un lazo amarillo en su despacho de regidor en el Ayuntamiento de Lleida), lo que motivó la denuncia del partido político Ciudadanos, que conllevó la posterior judicialización de los hechos. Unos hechos que el recurrente siempre ha considerado como totalmente atípicos, por tratarse de un legítimo ejercicio de la libertad de expresión de un cargo electo.</w:t>
      </w:r>
    </w:p>
    <w:p w14:paraId="133FA843" w14:textId="77777777" w:rsidR="008D479B" w:rsidRDefault="008D479B" w:rsidP="008D479B">
      <w:pPr>
        <w:pStyle w:val="TextoNormal"/>
      </w:pPr>
    </w:p>
    <w:p w14:paraId="789F2714" w14:textId="77777777" w:rsidR="008D479B" w:rsidRDefault="008D479B" w:rsidP="008D479B">
      <w:pPr>
        <w:pStyle w:val="TextoNormal"/>
      </w:pPr>
      <w:r>
        <w:t xml:space="preserve">(ii) En apoyo de su posición, el recurrente invoca doctrina del Tribunal Europeo de Derechos Humanos en la que se parte de la idea de que la libertad de expresión constituye uno de los fundamentos esenciales de una sociedad democrática, una de las condiciones primordiales para su progreso y una condición necesaria para el desarrollo de cada persona. Esa doctrina ha considerado que, si bien la libertad de expresión está sujeta a excepciones, estas deben interpretarse de modo restrictivo (STEDH de 10 de diciembre de 2007, asunto </w:t>
      </w:r>
      <w:r w:rsidRPr="008D479B">
        <w:rPr>
          <w:i/>
        </w:rPr>
        <w:t>Stoll c. Suiza</w:t>
      </w:r>
      <w:r>
        <w:t xml:space="preserve">,), y el concepto de restricción ha venido evolucionando de manera favorable a la efectividad de la libertad de expresión, llegándose a considerar que la única excepción que admite esa libertad en una sociedad democrática es el “discurso del odio” (STEDH de 13 de marzo de 2018, asunto </w:t>
      </w:r>
      <w:r w:rsidRPr="008D479B">
        <w:rPr>
          <w:i/>
        </w:rPr>
        <w:t>Stern Taulats y Roura Capellera c. España</w:t>
      </w:r>
      <w:r>
        <w:t xml:space="preserve">). Asimismo, en los ámbitos del discurso político y de cuestiones de interés general —como en el supuesto actual— el Convenio europeo de derechos humanos no deja apenas espacio para la restricción de la libertad de expresión (SSTEDH de 29 de marzo de 2016, asunto </w:t>
      </w:r>
      <w:r w:rsidRPr="008D479B">
        <w:rPr>
          <w:i/>
        </w:rPr>
        <w:t>Bédat c. Suiza</w:t>
      </w:r>
      <w:r>
        <w:t xml:space="preserve">, y de 15 de marzo de 2011, asunto </w:t>
      </w:r>
      <w:r w:rsidRPr="008D479B">
        <w:rPr>
          <w:i/>
        </w:rPr>
        <w:t>Otegi Mondragón c. España</w:t>
      </w:r>
      <w:r>
        <w:t>).</w:t>
      </w:r>
    </w:p>
    <w:p w14:paraId="1A9DB0F8" w14:textId="77777777" w:rsidR="008D479B" w:rsidRDefault="008D479B" w:rsidP="008D479B">
      <w:pPr>
        <w:pStyle w:val="TextoNormal"/>
      </w:pPr>
    </w:p>
    <w:p w14:paraId="11356B56" w14:textId="77777777" w:rsidR="008D479B" w:rsidRDefault="008D479B" w:rsidP="008D479B">
      <w:pPr>
        <w:pStyle w:val="TextoNormal"/>
      </w:pPr>
      <w:r>
        <w:t xml:space="preserve">A partir de estos precedentes, la injerencia de las autoridades públicas en la libertad de expresión del señor Juvillà deberá analizarse desde el canon de la necesidad social imperiosa a que hace referencia el art. 10.2 CEDH, análisis que debe ser especialmente estricto en el caso de un cargo elegido por el pueblo (también en el momento de los hechos) y que por tanto representa a sus electores, dando a conocer sus preocupaciones y defendiendo sus intereses (asunto </w:t>
      </w:r>
      <w:r w:rsidRPr="008D479B">
        <w:rPr>
          <w:i/>
        </w:rPr>
        <w:t>Otegi Mondragón</w:t>
      </w:r>
      <w:r>
        <w:t xml:space="preserve">, ya citado). Se ha de partir para ello de la invocada doctrina, de modo que, en un contexto de debate político, la expresión de un cargo electo solo deberá considerarse sancionable cuando hiera la reputación y los derechos ajenos (sentencia de 14 de octubre de 1996, asunto </w:t>
      </w:r>
      <w:r w:rsidRPr="008D479B">
        <w:rPr>
          <w:i/>
        </w:rPr>
        <w:t>Sürek c. Turquía</w:t>
      </w:r>
      <w:r>
        <w:t>). Colocar un lazo amarillo, que simboliza el desacuerdo con el procesamiento de líderes independentistas en la causa del procés, así como la adhesión ideológica y defensa del derecho de autodeterminación de Cataluña, no pueden entenderse como una expresión que hiera la reputación o los derechos ajenos, ni tampoco que exhorte a la violencia. Partiendo de ello, la condena penal del señor Juvillà por estos hechos no es necesaria en una sociedad democrática (art. 10.2 CEDH) y debe, por tanto, tener la consideración de ilegítima. Por ello, teniendo en cuenta esta injerencia ilegítima que subyace a la decisión de retirada del acta de diputado, el acuerdo de la secretaria general del Parlamento que se impugna ha vulnerado indirectamente la libertad de expresión del recurrente.</w:t>
      </w:r>
    </w:p>
    <w:p w14:paraId="069F716B" w14:textId="77777777" w:rsidR="008D479B" w:rsidRDefault="008D479B" w:rsidP="008D479B">
      <w:pPr>
        <w:pStyle w:val="TextoNormal"/>
      </w:pPr>
    </w:p>
    <w:p w14:paraId="5910F01F" w14:textId="77777777" w:rsidR="008D479B" w:rsidRDefault="008D479B" w:rsidP="008D479B">
      <w:pPr>
        <w:pStyle w:val="TextoNormal"/>
      </w:pPr>
      <w:r>
        <w:t>Por otra parte, con cita de la doctrina constitucional que se estima procedente, se justifica la especial trascendencia constitucional del recurso [art. 50.1 b) de la Ley Orgánica del Tribunal Constitucional: LOTC ] por una triple razón: (i) porque se trata de un recurso de amparo parlamentario (art. 42 LOTC); (ii) porque aborda una materia, la de la interacción entre el Parlamento y la Junta Electoral Central en período no electoral, que es novedosa y que puede superar el caso concreto y establecer pautas de actuación para los distintos órganos de la estructura constitucional que no se encuentran en posición de jerarquía entre sí; y (iii) porque plantea una cuestión jurídica relevante, con evidente repercusión social, lo que se desprende de que el recurrente alcanzó la cifra aproximada de 12 000 votos en la circunscripción de Lleida en las últimas elecciones al Parlamento de Cataluña.</w:t>
      </w:r>
    </w:p>
    <w:p w14:paraId="07BF95C3" w14:textId="77777777" w:rsidR="008D479B" w:rsidRDefault="008D479B" w:rsidP="008D479B">
      <w:pPr>
        <w:pStyle w:val="TextoNormal"/>
      </w:pPr>
    </w:p>
    <w:p w14:paraId="546301B7" w14:textId="77777777" w:rsidR="008D479B" w:rsidRDefault="008D479B" w:rsidP="008D479B">
      <w:pPr>
        <w:pStyle w:val="TextoNormal"/>
      </w:pPr>
      <w:r>
        <w:t>Por todo ello se solicitó que se dictara sentencia por la que se otorgara el amparo, declarando la nulidad de la decisión de 3 de febrero de 2022 de la secretaria general del Parlamento de Cataluña por la cual se dieron las instrucciones necesarias a los servicios de la Cámara para dar de baja como diputado al recurrente y, en consecuencia, restituyéndole, en plenitud de derechos, como diputado.</w:t>
      </w:r>
    </w:p>
    <w:p w14:paraId="0B77B3E3" w14:textId="77777777" w:rsidR="008D479B" w:rsidRDefault="008D479B" w:rsidP="008D479B">
      <w:pPr>
        <w:pStyle w:val="TextoNormal"/>
      </w:pPr>
    </w:p>
    <w:p w14:paraId="6F45626A" w14:textId="4FC6B5E2" w:rsidR="008D479B" w:rsidRDefault="008D479B" w:rsidP="008D479B">
      <w:pPr>
        <w:pStyle w:val="TextoNormal"/>
      </w:pPr>
      <w:r>
        <w:t xml:space="preserve">En otrosí se solicitó la medida cautelar de suspensión de la decisión de la secretaria general (art. 56.1 LOTC). Tras citar los arts. 23.2 y 24.1 CE y el art. 13 CEDH, se aduce que la única forma de establecer un recurso efectivo para proteger los derechos fundamentales vulnerados es la adopción de una medida cautelar </w:t>
      </w:r>
      <w:r w:rsidRPr="008D479B">
        <w:rPr>
          <w:i/>
        </w:rPr>
        <w:t>inaudita parte</w:t>
      </w:r>
      <w:r>
        <w:t xml:space="preserve"> de forma inmediata, ya que, de lo contrario, el perjuicio sería irreparable, porque la suspensión no se solicita respecto de una decisión judicial o una condena firme, sino de un acto parlamentario, lo que modifica radicalmente la ponderación de bienes jurídicos a proteger, así como los intereses generales que se pueden ver perturbados por la decisión cautelar. Además, resulta especialmente relevante que en el momento de formular la demanda de amparo el escaño del recurrente no hubiera sido todavía ocupado por la siguiente electa de su lista electoral. Existe, en fin, </w:t>
      </w:r>
      <w:r w:rsidRPr="008D479B">
        <w:rPr>
          <w:i/>
        </w:rPr>
        <w:t>periculum in mora</w:t>
      </w:r>
      <w:r>
        <w:t>, pues nos encontramos ante una legislatura ya iniciada y, por la previsible duración de los procesos de amparo, fácilmente podría dictarse sentencia habiendo la misma finalizado, por lo que el pronunciamiento estimatorio devendría irrelevante en términos de la efectividad de protección de los derechos fundamentales.</w:t>
      </w:r>
    </w:p>
    <w:p w14:paraId="4EBBA768" w14:textId="77777777" w:rsidR="008D479B" w:rsidRDefault="008D479B" w:rsidP="008D479B">
      <w:pPr>
        <w:pStyle w:val="TextoNormal"/>
      </w:pPr>
    </w:p>
    <w:p w14:paraId="24CFF231" w14:textId="732BFE41" w:rsidR="008D479B" w:rsidRDefault="008D479B" w:rsidP="008D479B">
      <w:pPr>
        <w:pStyle w:val="TextoNormal"/>
      </w:pPr>
      <w:r w:rsidRPr="008D479B">
        <w:rPr>
          <w:rStyle w:val="NumeroAFNegritaCaracter"/>
        </w:rPr>
        <w:t>4</w:t>
      </w:r>
      <w:r>
        <w:t>. Por providencia de 13 de junio de 2022, la Sección Cuarta de la Sala Segunda del Tribunal acordó admitir a trámite el recurso de amparo, al apreciar que concurre en el mismo una especial trascendencia constitucional (art. 50.1 LOTC) porque plantea un problema o afecta a una faceta de un derecho fundamental sobre el que no hay doctrina de este tribunal [STC 155/2009, FJ 2 a)] y porque el asunto trasciende del caso concreto, toda vez que plantea una cuestión jurídica de relevante y general repercusión social o económica [STC 155/2009, FJ 2 g)]. Se acordó también por ello (art. 51 LOTC) dirigir atenta comunicación al Parlamento de Cataluña a fin de que, en plazo que no excediera de diez días, remitiera fotocopia del expediente que dio lugar al acuerdo de la secretaría general del Parlamento de fecha 3 de febrero de 2022, debiendo previamente emplazarse a quienes hubieran sido parte en el procedimiento, excepto al recurrente, para que en plazo de diez días pudieran comparecer, si lo desearen, en el recurso de amparo. Se dispuso igualmente que se formara la correspondiente pieza separada de suspensión.</w:t>
      </w:r>
    </w:p>
    <w:p w14:paraId="3AB01024" w14:textId="77777777" w:rsidR="008D479B" w:rsidRDefault="008D479B" w:rsidP="008D479B">
      <w:pPr>
        <w:pStyle w:val="TextoNormal"/>
      </w:pPr>
    </w:p>
    <w:p w14:paraId="2616DEC9" w14:textId="4526BE98" w:rsidR="008D479B" w:rsidRDefault="008D479B" w:rsidP="008D479B">
      <w:pPr>
        <w:pStyle w:val="TextoNormal"/>
      </w:pPr>
      <w:r w:rsidRPr="008D479B">
        <w:rPr>
          <w:rStyle w:val="NumeroAFNegritaCaracter"/>
        </w:rPr>
        <w:t>5</w:t>
      </w:r>
      <w:r>
        <w:t>. Mediante escrito de 30 de junio de 2022, que tuvo entrada en el Tribunal el 1 de julio, la letrada del Parlamento de Cataluña, actuando en representación y defensa de la Cámara, se personó en el procedimiento. Se aportaron junto a este escrito certificaciones y fotocopias adveradas de las actuaciones parlamentarias solicitadas.</w:t>
      </w:r>
    </w:p>
    <w:p w14:paraId="6B2CDE60" w14:textId="77777777" w:rsidR="008D479B" w:rsidRDefault="008D479B" w:rsidP="008D479B">
      <w:pPr>
        <w:pStyle w:val="TextoNormal"/>
      </w:pPr>
    </w:p>
    <w:p w14:paraId="68B3459A" w14:textId="1EB57C71" w:rsidR="008D479B" w:rsidRDefault="008D479B" w:rsidP="008D479B">
      <w:pPr>
        <w:pStyle w:val="TextoNormal"/>
      </w:pPr>
      <w:r w:rsidRPr="008D479B">
        <w:rPr>
          <w:rStyle w:val="NumeroAFNegritaCaracter"/>
        </w:rPr>
        <w:t>6</w:t>
      </w:r>
      <w:r>
        <w:t>. Formada por providencia de 13 de junio de 2022 la pieza de suspensión y tramitada esta, la Sala Segunda acordó por ATC 117/2022, de 12 de septiembre, denegar la suspensión cautelar del acuerdo impugnado, al haber sido ya ejecutado este con el acceso al cargo de la diputada sustituta del recurrente, y porque el perjuicio irreparable aducido se identifica con la lesión alegada, siendo doctrina constitucional reiterada que no procede conceder la suspensión cautelar de la ejecución del acto o resolución impugnado si con ello se puede prejuzgar o anticipar el amparo que se solicita.</w:t>
      </w:r>
    </w:p>
    <w:p w14:paraId="79263543" w14:textId="77777777" w:rsidR="008D479B" w:rsidRDefault="008D479B" w:rsidP="008D479B">
      <w:pPr>
        <w:pStyle w:val="TextoNormal"/>
      </w:pPr>
    </w:p>
    <w:p w14:paraId="3C0EB166" w14:textId="32334426" w:rsidR="008D479B" w:rsidRDefault="008D479B" w:rsidP="008D479B">
      <w:pPr>
        <w:pStyle w:val="TextoNormal"/>
      </w:pPr>
      <w:r w:rsidRPr="008D479B">
        <w:rPr>
          <w:rStyle w:val="NumeroAFNegritaCaracter"/>
        </w:rPr>
        <w:t>7</w:t>
      </w:r>
      <w:r>
        <w:t>. Por diligencia de ordenación del secretario de justicia de la Sala Segunda de 15 de septiembre de 2022 se acordó tener por personada y parte a la letrada del Parlamento de Cataluña y dar vista de las actuaciones recibidas a las partes personadas y al Ministerio Fiscal por plazo común de veinte días para presentar las alegaciones que estimaren pertinentes (art. 52.1 LOTC).</w:t>
      </w:r>
    </w:p>
    <w:p w14:paraId="2CC83EDA" w14:textId="77777777" w:rsidR="008D479B" w:rsidRDefault="008D479B" w:rsidP="008D479B">
      <w:pPr>
        <w:pStyle w:val="TextoNormal"/>
      </w:pPr>
    </w:p>
    <w:p w14:paraId="7DAA660F" w14:textId="5B81096B" w:rsidR="008D479B" w:rsidRDefault="008D479B" w:rsidP="008D479B">
      <w:pPr>
        <w:pStyle w:val="TextoNormal"/>
      </w:pPr>
      <w:r w:rsidRPr="008D479B">
        <w:rPr>
          <w:rStyle w:val="NumeroAFNegritaCaracter"/>
        </w:rPr>
        <w:t>8</w:t>
      </w:r>
      <w:r>
        <w:t xml:space="preserve">. Mediante escrito que tuvo entrada en el Tribunal el 14 de octubre de 2022, presentó sus alegaciones la representación del recurrente. Reiteró en ellas lo ya aducido en la demanda y añadió unas consideraciones a raíz del dictamen del Comité de Derechos Humanos de la Organización de Naciones Unidas de 30 de agosto de 2022, con cita del art. 10.2 CE y de la STC 116/2006, de 24 de abril. Entiende el recurrente que si el comité apreció, en tal dictamen, que se violó el art. 25 del Pacto internacional de derechos civiles y políticos por la suspensión en sus funciones públicas de los entonces denunciantes en virtud de los arts. 472 del Código penal (CP) y 384 </w:t>
      </w:r>
      <w:r w:rsidRPr="008D479B">
        <w:rPr>
          <w:i/>
        </w:rPr>
        <w:t>bis</w:t>
      </w:r>
      <w:r>
        <w:t xml:space="preserve"> de la Ley de enjuiciamiento criminal (LECrim) por el Tribunal Supremo, aún más patente sería ello en el presente caso, ante la suspensión que es consecuencia del acuerdo de la secretaria general del Parlamento que se impugna.</w:t>
      </w:r>
    </w:p>
    <w:p w14:paraId="14EFF736" w14:textId="77777777" w:rsidR="008D479B" w:rsidRDefault="008D479B" w:rsidP="008D479B">
      <w:pPr>
        <w:pStyle w:val="TextoNormal"/>
      </w:pPr>
    </w:p>
    <w:p w14:paraId="5711FC78" w14:textId="77777777" w:rsidR="008D479B" w:rsidRDefault="008D479B" w:rsidP="008D479B">
      <w:pPr>
        <w:pStyle w:val="TextoNormal"/>
      </w:pPr>
      <w:r w:rsidRPr="008D479B">
        <w:rPr>
          <w:rStyle w:val="NumeroAFNegritaCaracter"/>
        </w:rPr>
        <w:t>9</w:t>
      </w:r>
      <w:r>
        <w:t>. Mediante escrito que tuvo entrada en el Tribunal Constitucional el 26 de octubre de 2022, presentó sus alegaciones el Ministerio Fiscal. Pueden, en lo sustancial, resumirse como sigue.</w:t>
      </w:r>
    </w:p>
    <w:p w14:paraId="3272A17A" w14:textId="77777777" w:rsidR="008D479B" w:rsidRDefault="008D479B" w:rsidP="008D479B">
      <w:pPr>
        <w:pStyle w:val="TextoNormal"/>
      </w:pPr>
    </w:p>
    <w:p w14:paraId="5788099D" w14:textId="77777777" w:rsidR="008D479B" w:rsidRDefault="008D479B" w:rsidP="008D479B">
      <w:pPr>
        <w:pStyle w:val="TextoNormal"/>
      </w:pPr>
      <w:r>
        <w:t>a) Considera, en primer lugar, la idoneidad del recurso de amparo parlamentario, pues es necesario examinar si en este caso estamos ante un acto o disposición de un órgano parlamentario sin valor de ley, susceptible de ser impugnado directamente por la vía del art. 42 LOTC, o si cabe apreciar, por tener una naturaleza meramente administrativa, que puede tratarse de un acto o decisión a incardinar en los arts. 2 y 10.1 c) de la Ley 29/1998, de 13 de julio, reguladora de la jurisdicción contencioso-administrativa.</w:t>
      </w:r>
    </w:p>
    <w:p w14:paraId="3E63E52D" w14:textId="77777777" w:rsidR="008D479B" w:rsidRDefault="008D479B" w:rsidP="008D479B">
      <w:pPr>
        <w:pStyle w:val="TextoNormal"/>
      </w:pPr>
    </w:p>
    <w:p w14:paraId="5FC64C99" w14:textId="77777777" w:rsidR="008D479B" w:rsidRDefault="008D479B" w:rsidP="008D479B">
      <w:pPr>
        <w:pStyle w:val="TextoNormal"/>
      </w:pPr>
      <w:r>
        <w:t>Señala que lo que aparece en las actuaciones no es un acuerdo o decisión de la secretaria general del Parlamento de 3 de febrero de 2022, con instrucciones dirigidas a los distintos servicios administrativos de la cámaras, sino un escrito, de aquella fecha, firmado por la secretaria general y dirigido a la mesa del Parlamento de Cataluña en el que se informa de que, sin perjuicio de la posición procesal defendida por esta cámara ante la Sala de lo Contencioso-Administrativo del Tribunal Supremo, por imperativo legal, y para evitar que se impute a su persona y a los demás funcionarios del Parlamento cualquier tipo de responsabilidad disciplinaria, contable o penal, se ve obligada a dar a la administración parlamentaria las instrucciones estrictamente necesarias para no desatender lo que exigen los acuerdos de la Junta Electoral Central. No obran en el expediente tales instrucciones, pero es posible conocer cuáles fueron a través de la comunicación remitida por la secretaria general a la Junta Electoral Central informando de las medidas adoptadas en correspondencia con el requerimiento hecho por la junta el 27 de enero de 2022 para el cumplimiento del acuerdo del día 20 anterior por el que se dejó sin efecto la credencial del diputado señor Juvillà, al apreciar la concurrencia de la causa de inelegibilidad sobrevenida prevista en el art. 6.4 LOREG, acuerdo en el que se dispuso expedir credencial como diputada, en su sustitución, a candidata de la misma lista electoral. En dicho documento informativo figuran las instrucciones remitidas a los distintos servicios de la administración parlamentaria y el cumplimiento de estas.</w:t>
      </w:r>
    </w:p>
    <w:p w14:paraId="16737561" w14:textId="77777777" w:rsidR="008D479B" w:rsidRDefault="008D479B" w:rsidP="008D479B">
      <w:pPr>
        <w:pStyle w:val="TextoNormal"/>
      </w:pPr>
    </w:p>
    <w:p w14:paraId="321C1803" w14:textId="77777777" w:rsidR="008D479B" w:rsidRDefault="008D479B" w:rsidP="008D479B">
      <w:pPr>
        <w:pStyle w:val="TextoNormal"/>
      </w:pPr>
      <w:r>
        <w:t>Consta también que la secretaria general informó personalmente a la mesa del Parlamento, en su sesión de 4 de febrero de 2022, de la referida decisión de dar las instrucciones dichas y que la mesa tomó conocimiento de las razones expuestas al efecto por la secretaria general. El 4 de febrero de 2022 se publicó en el “Butlletí Oficial del Parlament de Catalunya”, bajo el epígrafe “Composición del Pleno del Parlamento. Baja del diputado Pau Juvillà i Ballester”, que por la secretaria general de la Cámara se habían impartido las repetidas instrucciones.</w:t>
      </w:r>
    </w:p>
    <w:p w14:paraId="619903BB" w14:textId="77777777" w:rsidR="008D479B" w:rsidRDefault="008D479B" w:rsidP="008D479B">
      <w:pPr>
        <w:pStyle w:val="TextoNormal"/>
      </w:pPr>
    </w:p>
    <w:p w14:paraId="37463D3B" w14:textId="77777777" w:rsidR="008D479B" w:rsidRDefault="008D479B" w:rsidP="008D479B">
      <w:pPr>
        <w:pStyle w:val="TextoNormal"/>
      </w:pPr>
      <w:r>
        <w:t>Tras transcribir el art. 249 RPC, considera el Ministerio Fiscal que el acuerdo o decisión impugnado puede entenderse que excede de una decisión meramente administrativa por parte del órgano parlamentario que ostenta la jefatura de personal y de la administración parlamentaria; se trataría de un acto de un órgano del Parlamento que no tiene fuerza de ley por el que se hace efectiva la pérdida del cargo de diputado, con posible afectación del derecho fundamental al cargo representativo, por lo que, formalmente, dicha decisión debe entenderse incardinada en el art. 42 LOTC, a los efectos de poder impugnarla por la vía del recurso de amparo parlamentario.</w:t>
      </w:r>
    </w:p>
    <w:p w14:paraId="6B5144EC" w14:textId="77777777" w:rsidR="008D479B" w:rsidRDefault="008D479B" w:rsidP="008D479B">
      <w:pPr>
        <w:pStyle w:val="TextoNormal"/>
      </w:pPr>
    </w:p>
    <w:p w14:paraId="13977474" w14:textId="77777777" w:rsidR="008D479B" w:rsidRDefault="008D479B" w:rsidP="008D479B">
      <w:pPr>
        <w:pStyle w:val="TextoNormal"/>
      </w:pPr>
      <w:r>
        <w:t>b) No obstante, el Ministerio Fiscal entiende que este recurso de amparo es inadmisible, ya que concurre el óbice procesal de tener abierta el demandante la vía judicial, pues el acuerdo de la Junta Electoral Central de 20 de enero de 2022, que supuestamente produjo la lesión directa del derecho fundamental, ha sido objeto de un recurso contencioso-administrativo interpuesto por el señor Juvillà, que se tramita con el núm. 66-2022, ante la Sección Cuarta de la Sala de lo Contencioso-Administrativo del Tribunal Supremo, y que fue objeto de ampliación posterior respecto de los acuerdos de 27 de enero y 3 de febrero de 2022 de la Junta Electoral Central. Al interponer ese recurso, el demandante solicitó la medida cautelar de suspensión del acuerdo de la junta de 20 de enero de 2022, medida denegada por auto de 14 de febrero del mismo año. En el momento en que se presentan estas alegaciones no le consta al Ministerio Fiscal que el Tribunal Supremo haya dictado sentencia. Se añade al respecto que el demandante no menciona la interposición del recurso contencioso-administrativo que queda dicho contra los acuerdos de la Junta Electoral Central de los que trae causa el de la secretaria general que se impugna; por ello, dado que en dicho recurso interviene el Ministerio Fiscal, este aporta ahora copia del escrito de interposición y del de formalización de la demanda.</w:t>
      </w:r>
    </w:p>
    <w:p w14:paraId="2AACF4D9" w14:textId="77777777" w:rsidR="008D479B" w:rsidRDefault="008D479B" w:rsidP="008D479B">
      <w:pPr>
        <w:pStyle w:val="TextoNormal"/>
      </w:pPr>
    </w:p>
    <w:p w14:paraId="151C05B9" w14:textId="77777777" w:rsidR="008D479B" w:rsidRDefault="008D479B" w:rsidP="008D479B">
      <w:pPr>
        <w:pStyle w:val="TextoNormal"/>
      </w:pPr>
      <w:r>
        <w:t>El acuerdo de la secretaria general del Parlamento de Cataluña es un mero acto de ejecución de lo resuelto por los acuerdos de la Junta Electoral Central que se impugnan en el recurso contencioso-administrativo, no siendo posible un examen del acto de ejecución independiente de los actos a los que da efectividad. Examinados los fundamentos de la demanda del recurso contencioso-administrativo, se comprueba que existe una sustancial identidad con los expuestos en el amparo parlamentario, con lo que concurre la causa de inadmisibilidad de tener abierta simultáneamente el recurrente la vía judicial para obtener la reparación de la alegada vulneración del derecho fundamental (art. 23.2 CE), que invoca prematuramente, y con los mismos argumentos, ante este tribunal frente al acuerdo de la secretaria general del Parlamento de Cataluña que hace efectiva la pérdida de la condición de diputado producida por los acuerdos de la Junta Electoral Central.</w:t>
      </w:r>
    </w:p>
    <w:p w14:paraId="76A35356" w14:textId="77777777" w:rsidR="008D479B" w:rsidRDefault="008D479B" w:rsidP="008D479B">
      <w:pPr>
        <w:pStyle w:val="TextoNormal"/>
      </w:pPr>
    </w:p>
    <w:p w14:paraId="06BB40FE" w14:textId="77777777" w:rsidR="008D479B" w:rsidRDefault="008D479B" w:rsidP="008D479B">
      <w:pPr>
        <w:pStyle w:val="TextoNormal"/>
      </w:pPr>
      <w:r>
        <w:t>c) Sin perjuicio de lo dicho, y para el supuesto de que el Tribunal Constitucional no apreciare tal causa de inadmisibilidad, se entra por el Ministerio Fiscal en el examen de la cuestión de fondo planteada en el recurso de amparo.</w:t>
      </w:r>
    </w:p>
    <w:p w14:paraId="4C9DF0C0" w14:textId="77777777" w:rsidR="008D479B" w:rsidRDefault="008D479B" w:rsidP="008D479B">
      <w:pPr>
        <w:pStyle w:val="TextoNormal"/>
      </w:pPr>
    </w:p>
    <w:p w14:paraId="743DC315" w14:textId="77777777" w:rsidR="008D479B" w:rsidRDefault="008D479B" w:rsidP="008D479B">
      <w:pPr>
        <w:pStyle w:val="TextoNormal"/>
      </w:pPr>
      <w:r>
        <w:t>Por lo que se refiere a la vulneración del derecho fundamental a la participación política (art. 23 CE), alega que la decisión de la secretaria general se produce por imperativo legal, en cumplimiento de lo resuelto por la Junta Electoral Central en sus acuerdos de 20 y 27 de enero de 2022. No estamos, pues, ante una resolución autónoma y unilateral, sino que la misma viene a dar cumplimiento a lo acordado por la junta en el ámbito de sus competencias. La pérdida de la condición de diputado no se produce en virtud de lo resuelto por la secretaria general, sino por haberlo dispuesto así la junta en los acuerdos citados, a la vista del testimonio de la sentencia 2/2021, de 14 de diciembre, dictada por el Tribunal Superior de Justicia de Cataluña y de las solicitudes presentadas por determinadas formaciones políticas.</w:t>
      </w:r>
    </w:p>
    <w:p w14:paraId="30144818" w14:textId="77777777" w:rsidR="008D479B" w:rsidRDefault="008D479B" w:rsidP="008D479B">
      <w:pPr>
        <w:pStyle w:val="TextoNormal"/>
      </w:pPr>
    </w:p>
    <w:p w14:paraId="49BD4FB9" w14:textId="77777777" w:rsidR="008D479B" w:rsidRDefault="008D479B" w:rsidP="008D479B">
      <w:pPr>
        <w:pStyle w:val="TextoNormal"/>
      </w:pPr>
      <w:r>
        <w:t xml:space="preserve">La sustancial identidad de los argumentos con los que se sustenta la vulneración del derecho fundamental en el recurso contencioso-administrativo y en el recurso de amparo (por un mero acto de ejecución de los acuerdos de la Junta Electoral Central) determina que no pueda examinarse la legitimidad constitucional de ese acuerdo de ejecución con independencia de la constitucionalidad de los acuerdos de la junta. La Junta Electoral Central era competente para declarar que concurría en el demandante la causa de inelegibilidad sobrevenida establecida en los arts. 6.2 b) y 6.4 LOREG, dejando sin efecto su credencial y declarando vacante su escaño como diputado, toda vez que la pérdida de la condición de diputado se produce </w:t>
      </w:r>
      <w:r w:rsidRPr="008D479B">
        <w:rPr>
          <w:i/>
        </w:rPr>
        <w:t>ex lege</w:t>
      </w:r>
      <w:r>
        <w:t xml:space="preserve"> en virtud de los preceptos citados, limitándose la junta a declararlo así en su acuerdo de 20 de enero de 2022. El demandante no cuestiona en ningún momento que concurran en su caso los presupuestos del art. 6.2 b) LOREG, sino que lo que defienda es la prioridad que debe darse al pronunciamiento del Parlamento de Cataluña, en virtud del principio de autonomía parlamentaria, sobre la no concurrencia de causa de incompatibilidad o de pérdida de su condición de diputado.</w:t>
      </w:r>
    </w:p>
    <w:p w14:paraId="1B03CFF8" w14:textId="77777777" w:rsidR="008D479B" w:rsidRDefault="008D479B" w:rsidP="008D479B">
      <w:pPr>
        <w:pStyle w:val="TextoNormal"/>
      </w:pPr>
    </w:p>
    <w:p w14:paraId="6F2C2C15" w14:textId="77777777" w:rsidR="008D479B" w:rsidRDefault="008D479B" w:rsidP="008D479B">
      <w:pPr>
        <w:pStyle w:val="TextoNormal"/>
      </w:pPr>
      <w:r>
        <w:t>En contra de lo que alega el demandante, debe tenerse en cuenta que el art. 18.1 RPC establece que los diputados deberán observar las normas sobre incompatibilidades y por ello también las incompatibilidades establecidas en la ley electoral por mandato del art. 70.1 CE y en virtud de lo dispuesto en la disposición adicional primera, apartado segundo, de la LOREG. En virtud de la reserva de ley electoral (art. 70.1 CE), los reglamentos de las asambleas legislativas pueden contemplar los mismos supuestos de inelegibilidad e incompatibilidad que los previstos en la ley electoral, pero, caso de no contemplarlos, ello no otorga a los parlamentos la facultad de no aplicarlos cuando concurren los supuestos de inelegibilidad e incompatibilidad establecidos en la LOREG.</w:t>
      </w:r>
    </w:p>
    <w:p w14:paraId="0E3A2AFF" w14:textId="77777777" w:rsidR="008D479B" w:rsidRDefault="008D479B" w:rsidP="008D479B">
      <w:pPr>
        <w:pStyle w:val="TextoNormal"/>
      </w:pPr>
    </w:p>
    <w:p w14:paraId="74532BDD" w14:textId="77777777" w:rsidR="008D479B" w:rsidRDefault="008D479B" w:rsidP="008D479B">
      <w:pPr>
        <w:pStyle w:val="TextoNormal"/>
      </w:pPr>
      <w:r>
        <w:t xml:space="preserve">El Tribunal Constitucional se ha pronunciado ya sobre la no existencia de un estatuto constitucional que, en virtud de la autonomía parlamentaria (art. 72.1 CE), atribuya a las previsiones de los reglamentos prevalencia respecto de los supuestos contemplados en las leyes electorales o extraparlamentarias (SSTC 97/2020, 193/2020 y 194/2020). En sentido inverso, también se ha pronunciado ante la impugnación de resoluciones del Parlamento de Cataluña relativas a no suspensión en el ejercicio del cargo parlamentario en aplicación de lo previsto en el art. 384 </w:t>
      </w:r>
      <w:r w:rsidRPr="008D479B">
        <w:rPr>
          <w:i/>
        </w:rPr>
        <w:t>bis</w:t>
      </w:r>
      <w:r>
        <w:t xml:space="preserve"> LECrim (STC 96/2022). Trasladada esta doctrina al caso presente, afirma el fiscal que nos encontramos ante un supuesto en el que la pérdida de la condición de diputado se produce </w:t>
      </w:r>
      <w:r w:rsidRPr="008D479B">
        <w:rPr>
          <w:i/>
        </w:rPr>
        <w:t>ex lege</w:t>
      </w:r>
      <w:r>
        <w:t xml:space="preserve"> [art. 6.2 b) LOREG], que considera inelegibles a quienes hayan sido condenados por sentencia, incluso no firme, por delitos contra la administración pública, siendo dicha causa de inelegibilidad también de incompatibilidad (art. 6.4 LOREG). Ni el Pleno del Parlamento de Cataluña ni sus órganos están legitimados para oponerse a la efectividad de dicho supuesto de incompatibilidad sobrevenida. La declaración de incompatibilidad sobrevenida [art. 6.2 b) LOREG], que determina la pérdida del cargo parlamentario, puede hacerse directamente por los propios órganos del Parlamento o, en su caso, por la Junta Electoral (STC 155/2014, de 25 de septiembre).</w:t>
      </w:r>
    </w:p>
    <w:p w14:paraId="2243CE79" w14:textId="77777777" w:rsidR="008D479B" w:rsidRDefault="008D479B" w:rsidP="008D479B">
      <w:pPr>
        <w:pStyle w:val="TextoNormal"/>
      </w:pPr>
    </w:p>
    <w:p w14:paraId="7CFEE2AF" w14:textId="77777777" w:rsidR="008D479B" w:rsidRDefault="008D479B" w:rsidP="008D479B">
      <w:pPr>
        <w:pStyle w:val="TextoNormal"/>
      </w:pPr>
      <w:r>
        <w:t>En cuanto a la invocada vulneración del derecho a la presunción de inocencia (art. 24.2 CE), el Fiscal advierte que la supuesta vulneración primaria del derecho al cargo parlamentario no se produciría por la decisión de la secretaria general del Parlamento, sino por el acuerdo de la Junta Electoral Central, pues aquella decisión tan solo ejecuta o hace efectivo lo resuelto por este acuerdo.</w:t>
      </w:r>
    </w:p>
    <w:p w14:paraId="36C90E6C" w14:textId="77777777" w:rsidR="008D479B" w:rsidRDefault="008D479B" w:rsidP="008D479B">
      <w:pPr>
        <w:pStyle w:val="TextoNormal"/>
      </w:pPr>
    </w:p>
    <w:p w14:paraId="024E8254" w14:textId="77777777" w:rsidR="008D479B" w:rsidRDefault="008D479B" w:rsidP="008D479B">
      <w:pPr>
        <w:pStyle w:val="TextoNormal"/>
      </w:pPr>
      <w:r>
        <w:t xml:space="preserve">La pérdida del cargo por la concurrencia de la causa de inelegibilidad sobrevenida no es una ejecución provisional de la condena impuesta por la sentencia penal no firme, sino una consecuencia extrapenal ligada por la LOREG al dictado de una sentencia, aunque no sea firme, condenatoria por determinados delitos que impone penas de inhabilitación para el sufragio pasivo o de inhabilitación o suspensión para cargos o empleos públicos. Si se considerase que esa previsión legal vulnera el derecho a la presunción de inocencia, debería estarse a la necesidad de plantear cuestión de inconstitucionalidad sobre dicho precepto, lo que en ningún momento ha interesado el demandante. En todo caso, la aplicación automática del art. 384 </w:t>
      </w:r>
      <w:r w:rsidRPr="008D479B">
        <w:rPr>
          <w:i/>
        </w:rPr>
        <w:t>bis</w:t>
      </w:r>
      <w:r>
        <w:t xml:space="preserve"> LECrim no vulnera el derecho de la presunción de inocencia, como ya señaló este tribunal en la STC 97/2020.</w:t>
      </w:r>
    </w:p>
    <w:p w14:paraId="7957A79D" w14:textId="77777777" w:rsidR="008D479B" w:rsidRDefault="008D479B" w:rsidP="008D479B">
      <w:pPr>
        <w:pStyle w:val="TextoNormal"/>
      </w:pPr>
    </w:p>
    <w:p w14:paraId="074B872E" w14:textId="77777777" w:rsidR="008D479B" w:rsidRDefault="008D479B" w:rsidP="008D479B">
      <w:pPr>
        <w:pStyle w:val="TextoNormal"/>
      </w:pPr>
      <w:r>
        <w:t>Por lo que se refiere a la vulneración subyacente de la libertad de expresión [art. 20.1 a) CE], los argumentos del demandante manifiestan su desacuerdo con la condena penal por delito de desobediencia, al señalar que se dictó como respuesta sancionadora al ejercicio de aquella libertad. No constituyendo la sentencia penal de condena objeto del presente recurso (sentencia, por otra parte, recurrida por el actor en casación), no puede ser examinado el motivo referente a la libertad de expresión, sin que, por otra parte, la secretaria general del Parlamento o la Junta Electoral Central tuvieran ninguna capacidad para entrar a revisar dicha condena penal. Debe por ello descartarse que pueda atribuirse a la decisión de la secretaria general la vulneración de este derecho fundamental.</w:t>
      </w:r>
    </w:p>
    <w:p w14:paraId="101BF5B7" w14:textId="77777777" w:rsidR="008D479B" w:rsidRDefault="008D479B" w:rsidP="008D479B">
      <w:pPr>
        <w:pStyle w:val="TextoNormal"/>
      </w:pPr>
    </w:p>
    <w:p w14:paraId="694AD4DA" w14:textId="04219270" w:rsidR="008D479B" w:rsidRDefault="008D479B" w:rsidP="008D479B">
      <w:pPr>
        <w:pStyle w:val="TextoNormal"/>
      </w:pPr>
      <w:r>
        <w:t>Concluye el Ministerio Fiscal con la solicitud de que se dicte sentencia inadmitiendo el recurso de amparo o, subsidiariamente, desestimando el mismo.</w:t>
      </w:r>
    </w:p>
    <w:p w14:paraId="47882B43" w14:textId="77777777" w:rsidR="008D479B" w:rsidRDefault="008D479B" w:rsidP="008D479B">
      <w:pPr>
        <w:pStyle w:val="TextoNormal"/>
      </w:pPr>
    </w:p>
    <w:p w14:paraId="40F39BBC" w14:textId="77777777" w:rsidR="008D479B" w:rsidRDefault="008D479B" w:rsidP="008D479B">
      <w:pPr>
        <w:pStyle w:val="TextoNormal"/>
      </w:pPr>
      <w:r w:rsidRPr="008D479B">
        <w:rPr>
          <w:rStyle w:val="NumeroAFNegritaCaracter"/>
        </w:rPr>
        <w:t>10</w:t>
      </w:r>
      <w:r>
        <w:t>. Mediante escrito de 10 de noviembre de 2022, con entrada en el Tribunal Constitucional en la misma fecha, presentó alegaciones la letrada del Parlamento de Cataluña, en representación y defensa de la Cámara. Pueden resumirse en los términos que siguen.</w:t>
      </w:r>
    </w:p>
    <w:p w14:paraId="0B4F36D9" w14:textId="77777777" w:rsidR="008D479B" w:rsidRDefault="008D479B" w:rsidP="008D479B">
      <w:pPr>
        <w:pStyle w:val="TextoNormal"/>
      </w:pPr>
    </w:p>
    <w:p w14:paraId="5EA3E64D" w14:textId="77777777" w:rsidR="008D479B" w:rsidRDefault="008D479B" w:rsidP="008D479B">
      <w:pPr>
        <w:pStyle w:val="TextoNormal"/>
      </w:pPr>
      <w:r>
        <w:t>a) A título de antecedentes se expone que la decisión de la secretaria general de 3 de febrero de 2022 —cuya revocación se pide en el recurso de amparo— no tiene su fundamento sustantivo en un procedimiento parlamentario, sino en la sentencia del Tribunal Superior de Justicia de Cataluña de 14 de diciembre de 2021, no firme, y en los acuerdos de la Junta Electoral Central de 20 y 27 de enero de 2022, ambos impugnados por el Parlamento de Cataluña, por lo que la revocación de aquella decisión de 3 de febrero de 2022 no supondría la desaparición de la causa que la motivó, es decir, de los acuerdos de la Junta Electoral Central, a su vez motivados por la citada sentencia del Tribunal Superior de Justicia de Cataluña. En consecuencia, deberá analizarse cuáles son los actos, resoluciones o sentencias que hayan podido vulnerar derechos fundamentales.</w:t>
      </w:r>
    </w:p>
    <w:p w14:paraId="7E98C34E" w14:textId="77777777" w:rsidR="008D479B" w:rsidRDefault="008D479B" w:rsidP="008D479B">
      <w:pPr>
        <w:pStyle w:val="TextoNormal"/>
      </w:pPr>
    </w:p>
    <w:p w14:paraId="52C83474" w14:textId="77777777" w:rsidR="008D479B" w:rsidRDefault="008D479B" w:rsidP="008D479B">
      <w:pPr>
        <w:pStyle w:val="TextoNormal"/>
      </w:pPr>
      <w:r>
        <w:t>La letrada del Parlamento sostiene que no corresponde a la administración electoral la potestad de “cesar” a cargos elegidos, aplicando lo que en realidad son causas de incompatibilidad ajenas al proceso electoral. Declarar que concurre en el recurrente una causa de “inelegibilidad” cuando ya está ejerciendo el cargo de diputado no es apropiado en términos jurídicos, porque se trata de una causa de incompatibilidad ajena al proceso electoral (se cita al efecto la STC 155/2014, de 25 de septiembre). Por otra parte, tampoco la Junta Electoral Central había adoptado anteriormente un acuerdo de esta naturaleza, que contraviene su propia doctrina, según la cual la situación de incompatibilidad sobrevenida debe ser verificada por el órgano parlamentario.</w:t>
      </w:r>
    </w:p>
    <w:p w14:paraId="0E870F33" w14:textId="77777777" w:rsidR="008D479B" w:rsidRDefault="008D479B" w:rsidP="008D479B">
      <w:pPr>
        <w:pStyle w:val="TextoNormal"/>
      </w:pPr>
    </w:p>
    <w:p w14:paraId="3ADAEF4D" w14:textId="77777777" w:rsidR="008D479B" w:rsidRDefault="008D479B" w:rsidP="008D479B">
      <w:pPr>
        <w:pStyle w:val="TextoNormal"/>
      </w:pPr>
      <w:r>
        <w:t>En el presente supuesto, nos encontramos en el ámbito del Derecho parlamentario (art. 160.3 LOREG, aplicable al Parlamento de Cataluña). En consecuencia, correspondía al Parlamento la competencia para resolver esta incompatibilidad sobrevenida (art. 18 RPC), como así hizo el 17 de diciembre de 2021, lo que fue contradicho por el acuerdo de la Junta Electoral Central de 20 de enero de 2002. Este acuerdo produce un efecto revocatorio de un acuerdo parlamentario y resulta evidente que, al hacerlo, excede el ámbito objetivo de sus competencias (que son los procesos electorales). Por ello, ese acuerdo de la Junta Electoral Central es nulo de pleno Derecho.</w:t>
      </w:r>
    </w:p>
    <w:p w14:paraId="3C9F4963" w14:textId="77777777" w:rsidR="008D479B" w:rsidRDefault="008D479B" w:rsidP="008D479B">
      <w:pPr>
        <w:pStyle w:val="TextoNormal"/>
      </w:pPr>
    </w:p>
    <w:p w14:paraId="1C8913DC" w14:textId="77777777" w:rsidR="008D479B" w:rsidRDefault="008D479B" w:rsidP="008D479B">
      <w:pPr>
        <w:pStyle w:val="TextoNormal"/>
      </w:pPr>
      <w:r>
        <w:t>b) En cuanto a la solicitud en la demanda de nulidad y revocación de la decisión de la secretaria general del Parlamento de Cataluña de 3 de febrero de 2022, se señala que, en un acto de debido cumplimiento, la secretaria general procedió a dar las instrucciones pertinentes a los servicios de la Cámara, acto de obediencia debida sin margen de apreciación. Ahora bien, la petición de nulidad y revocación de esa decisión no supondría para el afectado la restitución de sus derechos como diputado, por cuanto los acuerdos previos de la Junta Electoral Central y la sentencia del Tribunal Superior de Justicia son las causas originarias de la vulneración de derechos fundamentales y no el mero acto de ejecución debida por la decisión de la secretaria general, como el mismo recurrente pone de manifiesto en sus alegaciones.</w:t>
      </w:r>
    </w:p>
    <w:p w14:paraId="0B659197" w14:textId="77777777" w:rsidR="008D479B" w:rsidRDefault="008D479B" w:rsidP="008D479B">
      <w:pPr>
        <w:pStyle w:val="TextoNormal"/>
      </w:pPr>
    </w:p>
    <w:p w14:paraId="58C81396" w14:textId="77777777" w:rsidR="008D479B" w:rsidRDefault="008D479B" w:rsidP="008D479B">
      <w:pPr>
        <w:pStyle w:val="TextoNormal"/>
      </w:pPr>
      <w:r>
        <w:t>c) En cuanto a la vulneración del derecho del diputado a ejercer su cargo (arts. 23 CE y 3 del Protocolo adicional al CEDH), se afirma, tras señalar que en el presente supuesto se produce el cese de un diputado por la negativa a descolgar de la fachada un lazo amarillo del ayuntamiento en el que ejercía su cargo como representante político (concejal), que en casos similares el Tribunal Europeo de Derechos Humanos ha estimado que la sanción infligida no es proporcionada, resulta incompatible con la sustancia misma del derecho a ser elegido y de ejercer el mandato del diputado y atenta contra el poder soberano del electorado que lo ha elegido.</w:t>
      </w:r>
    </w:p>
    <w:p w14:paraId="4FE0A264" w14:textId="77777777" w:rsidR="008D479B" w:rsidRDefault="008D479B" w:rsidP="008D479B">
      <w:pPr>
        <w:pStyle w:val="TextoNormal"/>
      </w:pPr>
    </w:p>
    <w:p w14:paraId="53A7F0CA" w14:textId="77777777" w:rsidR="008D479B" w:rsidRDefault="008D479B" w:rsidP="008D479B">
      <w:pPr>
        <w:pStyle w:val="TextoNormal"/>
      </w:pPr>
      <w:r>
        <w:t>d) Se alega también la vulneración del derecho a la tutela judicial efectiva y a un proceso con todas las garantías, con cita de los arts. 24 CE, 6 CEDH, 47 y 48 de la Carta de los derechos fundamentales de la Unión Europea (CDFUE) y 11 de la Declaración universal de derechos humanos, así como de la Directiva 2016/343/UE, del Parlamento y del Consejo.</w:t>
      </w:r>
    </w:p>
    <w:p w14:paraId="1CACC0A3" w14:textId="77777777" w:rsidR="008D479B" w:rsidRDefault="008D479B" w:rsidP="008D479B">
      <w:pPr>
        <w:pStyle w:val="TextoNormal"/>
      </w:pPr>
    </w:p>
    <w:p w14:paraId="6133E418" w14:textId="77777777" w:rsidR="008D479B" w:rsidRDefault="008D479B" w:rsidP="008D479B">
      <w:pPr>
        <w:pStyle w:val="TextoNormal"/>
      </w:pPr>
      <w:r>
        <w:t>En cuanto al derecho a un proceso equitativo, se invoca la jurisprudencia constitucional, del Tribunal Europeo de Derechos Humanos y del Tribunal de Justicia de la Unión Europea que se estima de relieve y se señala que, al iniciarse el juicio oral en el Tribunal Superior de Justicia de Cataluña, el Ministerio Fiscal presentó, en el trámite de cuestiones previas, un escrito anunciando la modificación de sus conclusiones por lo que respecta a la precisión del contenido y alcance de la pena de inhabilitación especial que solicitaba en su acusación, “en el sentido que debía entenderse referida a todo cargo o empleo público de naturaleza electiva, de gobierno y/o administración en la administración local, autonómica, nacional o supranacional”, modificación extemporánea y fuera de los cauces legales previstos (art. 786.2 LECrim), generándose indefensión, por infringirse el principio de contradicción y de igualdad de armas. Por otra parte, cuando se inició el procedimiento ante el Tribunal Superior de Justicia no consta que hubiera finalizado la instrucción en el juzgado de Lleida y parece ser que después de abrir un procedimiento de diligencias indeterminadas núm. 51-2021 se siguió la instrucción ante la misma Sala que posteriormente procedió al enjuiciamiento, rompiéndose con ello la necesaria separación entre instrucción y enjuiciamiento, con infracción del derecho a un juicio justo y con las debidas garantías (arts. 24 CE y 6 CEDH).</w:t>
      </w:r>
    </w:p>
    <w:p w14:paraId="2218FF95" w14:textId="77777777" w:rsidR="008D479B" w:rsidRDefault="008D479B" w:rsidP="008D479B">
      <w:pPr>
        <w:pStyle w:val="TextoNormal"/>
      </w:pPr>
    </w:p>
    <w:p w14:paraId="63F290D6" w14:textId="77777777" w:rsidR="008D479B" w:rsidRDefault="008D479B" w:rsidP="008D479B">
      <w:pPr>
        <w:pStyle w:val="TextoNormal"/>
      </w:pPr>
      <w:r>
        <w:t xml:space="preserve">Por lo que se refiere al derecho a un tribunal imparcial e independiente, se afirma que en este caso es de suponer que la misma Sala designó al magistrado instructor y que todos los miembros participaron tanto en la instrucción como en el enjuiciamiento, y se sostiene que dos de los miembros de la Sala (el presidente y otro magistrado) hubieran debido abstenerse, por cuanto habían intervenido previamente en la causa del expresidente de la Generalitat, que </w:t>
      </w:r>
      <w:r w:rsidRPr="008D479B">
        <w:rPr>
          <w:i/>
        </w:rPr>
        <w:t>mutatis mutandis</w:t>
      </w:r>
      <w:r>
        <w:t xml:space="preserve"> era sumamente parecida a esta. Además, consta en aquellos autos que el presidente de la Sala participó en una rueda de prensa el 12 de marzo de 2019 pronunciándose sobre el acuerdo de la Junta Electoral del día anterior y que en un acto público celebrado en Barcelona el 23 de febrero de 2019 hizo, al oír las palabras “presos políticos”, un gesto de rechazo, se levantó airadamente y abandonó el acto.</w:t>
      </w:r>
    </w:p>
    <w:p w14:paraId="233373A4" w14:textId="77777777" w:rsidR="008D479B" w:rsidRDefault="008D479B" w:rsidP="008D479B">
      <w:pPr>
        <w:pStyle w:val="TextoNormal"/>
      </w:pPr>
    </w:p>
    <w:p w14:paraId="3A7319AB" w14:textId="77777777" w:rsidR="008D479B" w:rsidRDefault="008D479B" w:rsidP="008D479B">
      <w:pPr>
        <w:pStyle w:val="TextoNormal"/>
      </w:pPr>
      <w:r>
        <w:t>El nombramiento de los miembros del Tribunal Superior de Justicia se hace por un procedimiento que no garantiza la independencia judicial, puesto que el presidente es designado por un órgano de acusado carácter político (Consejo General del Poder Judicial), lo que resulta contrario a los principios establecidos en la jurisprudencia europea. Además, se produce la coincidencia de magistrados en diversas de las causas instruidas por la misma causa, lo que puede comportar juicios preconcebidos y determinado magistrado fue designado por el Parlamento de Cataluña a propuesta de un partido que rivaliza con el del recurrente (PSC-PSOE), no considerado independentista y sí, por el contrario, el del afectado. Estos hechos constituyen una infracción del art. 47 CDFUE. Por otro lado, se produce la intervención de la Fiscalía del Tribunal Superior de Justicia que amplió la solicitud de inhabilitación en el trámite de cuestiones previas. Existe, por tanto, una prueba de la complicidad ideológica y de estrategia procesal entre la acusación y la mayor parte de miembros de la Sala, así como de los miembros de las Juntas Electorales. Sería dable suponer que el presidente de la Sala y otro magistrado deberían haberse abstenido de intervenir en el presente asunto (art. 219.11 de la Ley Orgánica 6/1985, de 1 de julio, del Poder Judicial).</w:t>
      </w:r>
    </w:p>
    <w:p w14:paraId="347673B6" w14:textId="77777777" w:rsidR="008D479B" w:rsidRDefault="008D479B" w:rsidP="008D479B">
      <w:pPr>
        <w:pStyle w:val="TextoNormal"/>
      </w:pPr>
    </w:p>
    <w:p w14:paraId="38D3FC36" w14:textId="77777777" w:rsidR="008D479B" w:rsidRDefault="008D479B" w:rsidP="008D479B">
      <w:pPr>
        <w:pStyle w:val="TextoNormal"/>
      </w:pPr>
      <w:r>
        <w:t>En último lugar, la sentencia del Tribunal Superior de Justicia se aparta de forma injustificada de la jurisprudencia anterior de la Sala Segunda del Tribunal Supremo, que no considera a la Junta Electoral Central una autoridad superior, lo que comporta la vulneración del derecho a la tutela judicial efectiva en su manifestación de derecho a una resolución motivada (arts. 24 CE, 47 CDFUE y 6.3 CEDH), así como una vulneración del derecho a la igualdad y a la no discriminación en la aplicación de la ley (arts. 14 CE y 20 y 21 CDFUE).</w:t>
      </w:r>
    </w:p>
    <w:p w14:paraId="2F6A5548" w14:textId="77777777" w:rsidR="008D479B" w:rsidRDefault="008D479B" w:rsidP="008D479B">
      <w:pPr>
        <w:pStyle w:val="TextoNormal"/>
      </w:pPr>
    </w:p>
    <w:p w14:paraId="411E6F6B" w14:textId="77777777" w:rsidR="008D479B" w:rsidRDefault="008D479B" w:rsidP="008D479B">
      <w:pPr>
        <w:pStyle w:val="TextoNormal"/>
      </w:pPr>
      <w:r>
        <w:t>Todos estos hechos, en conclusión, conforman una pérdida de la apariencia de imparcialidad o una percepción de falta de imparcialidad, y una infracción, por tanto, del derecho a un juez imparcial y a la independencia judicial (arts. 24 CE y 47 CDFUE, en relación con el art. 19 del Tratado de la Unión Europea y el art. 2 de la Directiva 2016/343/UE).</w:t>
      </w:r>
    </w:p>
    <w:p w14:paraId="2A0FC183" w14:textId="77777777" w:rsidR="008D479B" w:rsidRDefault="008D479B" w:rsidP="008D479B">
      <w:pPr>
        <w:pStyle w:val="TextoNormal"/>
      </w:pPr>
    </w:p>
    <w:p w14:paraId="6D07DCA6" w14:textId="77777777" w:rsidR="008D479B" w:rsidRDefault="008D479B" w:rsidP="008D479B">
      <w:pPr>
        <w:pStyle w:val="TextoNormal"/>
      </w:pPr>
      <w:r>
        <w:t>e) Vulneración de los derechos a la presunción de inocencia y a un recurso efectivo.</w:t>
      </w:r>
    </w:p>
    <w:p w14:paraId="245B61BC" w14:textId="77777777" w:rsidR="008D479B" w:rsidRDefault="008D479B" w:rsidP="008D479B">
      <w:pPr>
        <w:pStyle w:val="TextoNormal"/>
      </w:pPr>
    </w:p>
    <w:p w14:paraId="6D67A5EA" w14:textId="77777777" w:rsidR="008D479B" w:rsidRDefault="008D479B" w:rsidP="008D479B">
      <w:pPr>
        <w:pStyle w:val="TextoNormal"/>
      </w:pPr>
      <w:r>
        <w:t>En cuanto a la presunción de inocencia (art. 24.2 CE) se afirma que se configura en la doctrina constitucional como un derecho que solo cabe alegar dentro del proceso penal y sin efectos jurídicos más allá del mismo, pues su dimensión extraprocesal debe defenderse a través de la defensa del derecho al honor y la dignidad personal, lo que contraviene directamente el contenido de la Directiva 2016/343/UE del Parlamento Europeo y del Consejo, de 9 de marzo, incumplida por el Estado español. La transposición de esa directiva debía producirse, a más tardar, el 1 de abril de 2018, pero no consta que así haya sido, lo que no es óbice para su aplicación directa. Se establece en ella la prohibición de que las autoridades realicen declaraciones públicas que se refieran como culpable al sospechoso o acusado mientras no adquiera firmeza la resolución judicial y en el presente caso dichas declaraciones se han producido repetidamente e incluso se ha exigido a este Parlamento el cumplimiento de la sentencia no firme. Además, dicha ejecución se ha llevado a cabo por un órgano no judicial, sin imparcialidad ni independencia, como es la Junta Electoral Central.</w:t>
      </w:r>
    </w:p>
    <w:p w14:paraId="247F0093" w14:textId="77777777" w:rsidR="008D479B" w:rsidRDefault="008D479B" w:rsidP="008D479B">
      <w:pPr>
        <w:pStyle w:val="TextoNormal"/>
      </w:pPr>
    </w:p>
    <w:p w14:paraId="67C39223" w14:textId="77777777" w:rsidR="008D479B" w:rsidRDefault="008D479B" w:rsidP="008D479B">
      <w:pPr>
        <w:pStyle w:val="TextoNormal"/>
      </w:pPr>
      <w:r>
        <w:t>Por otra parte, se afirma que ha faltado un recurso efectivo para reparar la vulneración de la presunción de inocencia y las decisiones concernientes a la inelegibilidad. El recurso contencioso-administrativo interpuesto por el Parlamento de Cataluña pudiera haber cumplido dicho objetivo si se hubieran adoptado las medidas cautelares solicitadas, pero no fue así, con lo que se vulneró la presunción de inocencia y se permitió la ejecución de una sentencia no firme. Esta es una de las principales infracciones que se produce en el presente supuesto, puesto que ante la vulneración de sus derechos el encausado no ha dispuesto de ninguna vía de recurso eficaz que le permite examinar los hechos a fondo nuevamente y suspender la ejecución anticipada de la pena. Asimismo, y en cuanto a los acuerdos de la Junta Electoral Central declarando la incompatibilidad por inelegibilidad sobrevenida, los mismos carecen de las garantías procesales adecuadas, ya que en la designación de sus miembros intervienen cargos políticos y no se trata de un órgano judicial, sino administrativo, sin que conste acreditado que se cumplan los requisitos de neutralidad e independencia.</w:t>
      </w:r>
    </w:p>
    <w:p w14:paraId="6DE0C21D" w14:textId="77777777" w:rsidR="008D479B" w:rsidRDefault="008D479B" w:rsidP="008D479B">
      <w:pPr>
        <w:pStyle w:val="TextoNormal"/>
      </w:pPr>
    </w:p>
    <w:p w14:paraId="6CC436B7" w14:textId="77777777" w:rsidR="008D479B" w:rsidRDefault="008D479B" w:rsidP="008D479B">
      <w:pPr>
        <w:pStyle w:val="TextoNormal"/>
      </w:pPr>
      <w:r>
        <w:t>f) Se habría vulnerado asimismo la libertad de expresión (arts. 20.1 CE, 11 CDFUE y 10 CEDH, en relación con el art. 23 CE y el art. 3 del Protocolo adicional al CEDH).</w:t>
      </w:r>
    </w:p>
    <w:p w14:paraId="01835317" w14:textId="77777777" w:rsidR="008D479B" w:rsidRDefault="008D479B" w:rsidP="008D479B">
      <w:pPr>
        <w:pStyle w:val="TextoNormal"/>
      </w:pPr>
    </w:p>
    <w:p w14:paraId="56942486" w14:textId="77777777" w:rsidR="008D479B" w:rsidRDefault="008D479B" w:rsidP="008D479B">
      <w:pPr>
        <w:pStyle w:val="TextoNormal"/>
      </w:pPr>
      <w:r>
        <w:t>Ni por parte del Tribunal Superior de Justicia ni del Tribunal Supremo, ni mucho menos por las respectivas juntas electorales, se ha realizado un análisis previo o juicio de ponderación relativo a si pueden considerarse los hechos enjuiciados como un ejercicio legítimo del derecho a la libertad de expresión, ausencia que constituye, en sí misma, vulneración de esa libertad.</w:t>
      </w:r>
    </w:p>
    <w:p w14:paraId="12B3676D" w14:textId="77777777" w:rsidR="008D479B" w:rsidRDefault="008D479B" w:rsidP="008D479B">
      <w:pPr>
        <w:pStyle w:val="TextoNormal"/>
      </w:pPr>
    </w:p>
    <w:p w14:paraId="00ECD582" w14:textId="77777777" w:rsidR="008D479B" w:rsidRDefault="008D479B" w:rsidP="008D479B">
      <w:pPr>
        <w:pStyle w:val="TextoNormal"/>
      </w:pPr>
      <w:r>
        <w:t>Los lazos amarillos no pueden considerase un símbolo partidista, sino ideológico, por cuanto son utilizados por distintos partidos, por asociaciones y por simples ciudadanos, sin que la exhibición de tales lazos constituya un acto electoral por parte del concejal imputado, pues el partido al que pertenece no se presentaba a las elecciones. Sin embargo, la retirada de los lazos amarillos se ha considerado aún más grave al ostentar el recurrente el cargo de concejal y con posterioridad de diputado del Parlamento. Pero no se trata de un ciudadano corriente, sino de un representante político y la neutralidad, en período electoral, debe aplicarse a las instituciones (al ayuntamiento, en este caso) y no a un representante político que actúa, mediante este acto, en defensa de la minoría catalana y la libertad de los presos políticos. En consecuencia, los hechos que fundamentaron la imputación por un delito de desobediencia deben considerarse actos políticos amparados por la libertad de expresión y el derecho de representación política y el procedimiento abierto ante la Junta Electoral de Zona, seguido ante la Junta Electoral Central y finalizado con el proceso ante el Tribunal Superior de Justicia deben interpretarse como una restricción ilegítima de los derechos fundamentales del concejal y posteriormente diputado a ejercer su mandato en virtud de los arts. 23.2 CE y 3 del Protocolo adicional al CEDH y a su libertad de expresión (arts. 20 CE y 10 CEDH), todo ello con arreglo a la doctrina del Tribunal Europeo de Derechos Humanos que se invoca.</w:t>
      </w:r>
    </w:p>
    <w:p w14:paraId="3917B2A1" w14:textId="77777777" w:rsidR="008D479B" w:rsidRDefault="008D479B" w:rsidP="008D479B">
      <w:pPr>
        <w:pStyle w:val="TextoNormal"/>
      </w:pPr>
    </w:p>
    <w:p w14:paraId="57E35743" w14:textId="77777777" w:rsidR="008D479B" w:rsidRDefault="008D479B" w:rsidP="008D479B">
      <w:pPr>
        <w:pStyle w:val="TextoNormal"/>
      </w:pPr>
      <w:r>
        <w:t>g) Vulneración del principio de legalidad penal (arts. 25.1 y 9.3 CE).</w:t>
      </w:r>
    </w:p>
    <w:p w14:paraId="1A7DF34F" w14:textId="77777777" w:rsidR="008D479B" w:rsidRDefault="008D479B" w:rsidP="008D479B">
      <w:pPr>
        <w:pStyle w:val="TextoNormal"/>
      </w:pPr>
    </w:p>
    <w:p w14:paraId="02EF84E4" w14:textId="77777777" w:rsidR="008D479B" w:rsidRDefault="008D479B" w:rsidP="008D479B">
      <w:pPr>
        <w:pStyle w:val="TextoNormal"/>
      </w:pPr>
      <w:r>
        <w:t xml:space="preserve">Se alega falta de tipicidad de la conducta, pues los hechos por los que ha sido condenado el recurrente comportan una sanción absolutamente desproporcionada e imprevisible, lo que conculca el principio de prohibición de la interpretación extensiva o analógica del delito de desobediencia (art. 410.1 CP), por cuanto no existe jerarquía entre ambas partes ni concurre el requisito de una previa resolución judicial. La analogía </w:t>
      </w:r>
      <w:r w:rsidRPr="008D479B">
        <w:rPr>
          <w:i/>
        </w:rPr>
        <w:t>in malam partem</w:t>
      </w:r>
      <w:r>
        <w:t xml:space="preserve"> está expresamente prohibida en el ámbito penal, por contraria al principio de legalidad, y en ella incurre el Tribunal Superior de Justicia al considerar que existe una supuesta relación de jerarquía entre la Junta Electoral Central y el afectado, sin valorar su carácter de representante político ni tampoco que no entra en el ámbito de la norma que establece la neutralidad en períodos electorales, puesto que no es una institución ni tampoco participa en dicho proceso electoral.</w:t>
      </w:r>
    </w:p>
    <w:p w14:paraId="104D983A" w14:textId="77777777" w:rsidR="008D479B" w:rsidRDefault="008D479B" w:rsidP="008D479B">
      <w:pPr>
        <w:pStyle w:val="TextoNormal"/>
      </w:pPr>
    </w:p>
    <w:p w14:paraId="0C4B1A27" w14:textId="77777777" w:rsidR="008D479B" w:rsidRDefault="008D479B" w:rsidP="008D479B">
      <w:pPr>
        <w:pStyle w:val="TextoNormal"/>
      </w:pPr>
      <w:r>
        <w:t>Por eso mismo se ha vulnerado el principio de seguridad jurídica (art. 9.3 CE) en relación con el de confianza legítima, pues en el presente caso nada hacía suponer que se pudiera ser imputado por un delito de desobediencia a la junta electoral. La aplicación al caso concreto del art. 410 CP era totalmente imprevisible y el afectado se ha visto privado de la confianza legítima depositada en las instituciones y en las leyes, menoscabando la seguridad jurídica.</w:t>
      </w:r>
    </w:p>
    <w:p w14:paraId="336AD50F" w14:textId="77777777" w:rsidR="008D479B" w:rsidRDefault="008D479B" w:rsidP="008D479B">
      <w:pPr>
        <w:pStyle w:val="TextoNormal"/>
      </w:pPr>
    </w:p>
    <w:p w14:paraId="1727B7EF" w14:textId="77777777" w:rsidR="008D479B" w:rsidRDefault="008D479B" w:rsidP="008D479B">
      <w:pPr>
        <w:pStyle w:val="TextoNormal"/>
      </w:pPr>
      <w:r>
        <w:t xml:space="preserve">Se han vulnerado también los principios de última </w:t>
      </w:r>
      <w:r w:rsidRPr="008D479B">
        <w:rPr>
          <w:i/>
        </w:rPr>
        <w:t>ratio</w:t>
      </w:r>
      <w:r>
        <w:t xml:space="preserve"> y de intervención mínima en relación con el de proporcionalidad de la sanción. Las penas recaídas son absolutamente desproporcionadas y los derechos restringidos (libertad de expresión, libertad ideológica y ejercicio del cargo por el representante) han sido vulnerados por unas sanciones que, además, han sido aplicadas por la intervención de un órgano no judicial, sin seguir el procedimiento legal y sin mediar sentencia firme.</w:t>
      </w:r>
    </w:p>
    <w:p w14:paraId="392F77EC" w14:textId="77777777" w:rsidR="008D479B" w:rsidRDefault="008D479B" w:rsidP="008D479B">
      <w:pPr>
        <w:pStyle w:val="TextoNormal"/>
      </w:pPr>
    </w:p>
    <w:p w14:paraId="151F76C0" w14:textId="77777777" w:rsidR="008D479B" w:rsidRDefault="008D479B" w:rsidP="008D479B">
      <w:pPr>
        <w:pStyle w:val="TextoNormal"/>
      </w:pPr>
      <w:r>
        <w:t>h) Vulneración del derecho a la igualdad y a la no discriminación contra la minoría nacional catalana (arts. 14 CE, 14 CEDH, 1 de su Protocolo núm. 12 y 20 y 21 CDFUE).</w:t>
      </w:r>
    </w:p>
    <w:p w14:paraId="7F018ECB" w14:textId="77777777" w:rsidR="008D479B" w:rsidRDefault="008D479B" w:rsidP="008D479B">
      <w:pPr>
        <w:pStyle w:val="TextoNormal"/>
      </w:pPr>
    </w:p>
    <w:p w14:paraId="281FB671" w14:textId="77777777" w:rsidR="008D479B" w:rsidRDefault="008D479B" w:rsidP="008D479B">
      <w:pPr>
        <w:pStyle w:val="TextoNormal"/>
      </w:pPr>
      <w:r>
        <w:t>Se ha producido una vulneración del derecho fundamental invocado, por cuanto el político encausado pertenece a esa minoría y es independentista. Discriminación que puede probarse por distintos medios, entre los cuales están resoluciones judiciales, informes u otros documentos de organizaciones internacionales como el Consejo de Europa o la Organización de Naciones Unidas (STJUE de 5 de abril de 2016, C-404/15 y C-659/15). Se citan al efecto la Resolución 2381 (2021) de la Asamblea parlamentaria del Consejo de Europa y el informe de seguimiento en aplicación de esta y el Informe del relator especial sobre cuestiones de las minorías del Consejo de Derechos Humanos de la Asamblea General de Naciones Unidas, de 9 de marzo de 2019.</w:t>
      </w:r>
    </w:p>
    <w:p w14:paraId="12D542F2" w14:textId="77777777" w:rsidR="008D479B" w:rsidRDefault="008D479B" w:rsidP="008D479B">
      <w:pPr>
        <w:pStyle w:val="TextoNormal"/>
      </w:pPr>
    </w:p>
    <w:p w14:paraId="6C3D8A19" w14:textId="77777777" w:rsidR="008D479B" w:rsidRDefault="008D479B" w:rsidP="008D479B">
      <w:pPr>
        <w:pStyle w:val="TextoNormal"/>
      </w:pPr>
      <w:r>
        <w:t>La letrada del Parlamento de Cataluña concluye sus alegaciones interesando que se dicte sentencia en la que se declare haber lugar al otorgamiento del amparo, ordenando que se restablezca al demandante en las facultades y prerrogativas inherentes al cargo, con efectos retroactivos desde el día de la aplicación del acuerdo de la Junta Electoral Central por la secretaria general del Parlamento de Cataluña que le desposeyó de su escaño.</w:t>
      </w:r>
    </w:p>
    <w:p w14:paraId="48DAF765" w14:textId="77777777" w:rsidR="008D479B" w:rsidRDefault="008D479B" w:rsidP="008D479B">
      <w:pPr>
        <w:pStyle w:val="TextoNormal"/>
      </w:pPr>
    </w:p>
    <w:p w14:paraId="1DFF57BB" w14:textId="5486CC5A" w:rsidR="008D479B" w:rsidRDefault="008D479B" w:rsidP="008D479B">
      <w:pPr>
        <w:pStyle w:val="TextoNormal"/>
      </w:pPr>
      <w:r>
        <w:t>En otrosí se solicitó, con cita de los arts. 56.2 y 3 LOTC, que se adoptaran las medidas cautelares o resoluciones provisionales previstas en el ordenamiento para evitar los efectos del acuerdo impugnado, puesto que la suspensión de dichos efectos no ocasiona perturbación grave a ningún interés constitucionalmente protegido y, por el contrario, sus efectos sí están ocasionando dicha perturbación no solo al recurrente, sino también a todos los ciudadanos de Cataluña que le votaron como su representante ante el Parlamento de la comunidad autónoma.</w:t>
      </w:r>
    </w:p>
    <w:p w14:paraId="76A8D83E" w14:textId="77777777" w:rsidR="008D479B" w:rsidRDefault="008D479B" w:rsidP="008D479B">
      <w:pPr>
        <w:pStyle w:val="TextoNormal"/>
      </w:pPr>
    </w:p>
    <w:p w14:paraId="3BE82413" w14:textId="53BCCCA9" w:rsidR="008D479B" w:rsidRDefault="008D479B" w:rsidP="008D479B">
      <w:pPr>
        <w:pStyle w:val="TextoNormal"/>
      </w:pPr>
      <w:r w:rsidRPr="008D479B">
        <w:rPr>
          <w:rStyle w:val="NumeroAFNegritaCaracter"/>
        </w:rPr>
        <w:t>11</w:t>
      </w:r>
      <w:r>
        <w:t>. Por providencia de 29 de junio de 2023 se señaló para deliberación y votación de la presente sentencia el día 3 de julio del mismo año.</w:t>
      </w:r>
    </w:p>
    <w:p w14:paraId="79438B6A" w14:textId="77777777" w:rsidR="008D479B" w:rsidRDefault="008D479B" w:rsidP="008D479B">
      <w:pPr>
        <w:pStyle w:val="TextoNormal"/>
      </w:pPr>
    </w:p>
    <w:p w14:paraId="4D2086E4" w14:textId="77777777" w:rsidR="008D479B" w:rsidRDefault="008D479B" w:rsidP="008D479B">
      <w:pPr>
        <w:pStyle w:val="TextoNormalNegritaCentrado"/>
        <w:keepNext/>
      </w:pPr>
      <w:r>
        <w:t>II. Fundamentos jurídicos</w:t>
      </w:r>
    </w:p>
    <w:p w14:paraId="03CB780B" w14:textId="2FC90062" w:rsidR="008D479B" w:rsidRDefault="008D479B" w:rsidP="008D479B">
      <w:pPr>
        <w:pStyle w:val="TextoNormalNegritaCentrado"/>
        <w:keepNext/>
      </w:pPr>
    </w:p>
    <w:p w14:paraId="41EC0F3B" w14:textId="77777777" w:rsidR="008D479B" w:rsidRDefault="008D479B" w:rsidP="008D479B">
      <w:pPr>
        <w:pStyle w:val="TextoNormal"/>
      </w:pPr>
      <w:r w:rsidRPr="008D479B">
        <w:rPr>
          <w:rStyle w:val="NumeroAFNegritaCaracter"/>
        </w:rPr>
        <w:t>1</w:t>
      </w:r>
      <w:r>
        <w:t xml:space="preserve">. </w:t>
      </w:r>
      <w:r w:rsidRPr="008D479B">
        <w:rPr>
          <w:i/>
        </w:rPr>
        <w:t>Consideraciones preliminares: antecedentes e identificación inicial del acto impugnado</w:t>
      </w:r>
    </w:p>
    <w:p w14:paraId="66D14A45" w14:textId="77777777" w:rsidR="008D479B" w:rsidRDefault="008D479B" w:rsidP="008D479B">
      <w:pPr>
        <w:pStyle w:val="TextoNormal"/>
      </w:pPr>
    </w:p>
    <w:p w14:paraId="62E690BC" w14:textId="77777777" w:rsidR="008D479B" w:rsidRDefault="008D479B" w:rsidP="008D479B">
      <w:pPr>
        <w:pStyle w:val="TextoNormal"/>
      </w:pPr>
      <w:r>
        <w:t>A) La demanda de amparo se dirige, según sus propios términos, contra el acuerdo de la Secretaría General del Parlamento de Cataluña, de 3 de febrero de 2022, por el que se daban “instrucciones a la administración parlamentaria para dar de baja como diputado” de la Cámara al recurrente, acto cuya “revocación” y declaración de nulidad se pide por haber deparado, se aduce, la infracción de los derechos fundamentales del actor a la participación política que como representante le correspondía; a su presunción de inocencia, en segundo lugar, por haber dado ejecución a una condena penal aún no firme; y, en fin, a la libertad de expresión que en su día habría legítimamente ejercido y por la que, pese a ello, fue objeto de aquella resolución de condena, sentencia que en este punto sería el fundamento último, y como tal también controvertido, del acuerdo que se recurre [arts. 23.2, 24.2 y 20.1 a) CE, respectivamente].</w:t>
      </w:r>
    </w:p>
    <w:p w14:paraId="6372DD80" w14:textId="77777777" w:rsidR="008D479B" w:rsidRDefault="008D479B" w:rsidP="008D479B">
      <w:pPr>
        <w:pStyle w:val="TextoNormal"/>
      </w:pPr>
    </w:p>
    <w:p w14:paraId="3C007BFF" w14:textId="77777777" w:rsidR="008D479B" w:rsidRDefault="008D479B" w:rsidP="008D479B">
      <w:pPr>
        <w:pStyle w:val="TextoNormal"/>
      </w:pPr>
      <w:r>
        <w:t>La resolución así impugnada se inscribió en una secuencia de actuaciones públicas de distinta naturaleza (judiciales, administrativas y parlamentarias) que resulta necesario fijar ahora, en lo esencial, con claridad. De lo expuesto en la demanda y de lo alegado más tarde por las partes, así como de la documentación que obra en autos, se desprenden los siguientes datos que han de ser de relevancia —como se habrá de ver— para la necesaria depuración e identificación de la pretensión de amparo y también para la decisión a adoptar sobre ella por este tribunal.</w:t>
      </w:r>
    </w:p>
    <w:p w14:paraId="4A02821C" w14:textId="77777777" w:rsidR="008D479B" w:rsidRDefault="008D479B" w:rsidP="008D479B">
      <w:pPr>
        <w:pStyle w:val="TextoNormal"/>
      </w:pPr>
    </w:p>
    <w:p w14:paraId="15655848" w14:textId="77777777" w:rsidR="008D479B" w:rsidRDefault="008D479B" w:rsidP="008D479B">
      <w:pPr>
        <w:pStyle w:val="TextoNormal"/>
      </w:pPr>
      <w:r>
        <w:t>a) En sentencia 2/2021, de 14 de diciembre, el Tribunal Superior de Justicia de Cataluña condenó al actual demandante —diputado a la sazón del Parlamento de Cataluña— como autor responsable de un delito de desobediencia (art. 410.1 CP) a las penas de multa y de inhabilitación especial por seis meses para el ejercicio de cargos públicos electivos y de gobierno y administración en el ámbito local, provincial, autonómico, estatal o supranacional. La sentencia estimó probado, en síntesis, que el señor Juvillà, en su anterior condición de concejal del Ayuntamiento de Lleida, incumplió la orden de retirar de la ventana de su despacho, en la fachada del edificio sede de la corporación, determinados símbolos independentistas, orden emitida por la Junta Electoral de Zona y confirmada por la correspondiente Junta Electoral Provincial, en atención al período electoral entonces en curso (Real Decreto 129/2019, de 4 de marzo, por el que se convocaron elecciones al Congreso de los Diputados y al Senado). La sentencia (de la que se remitió testimonio a la administración electoral) fue recurrida en casación por el condenado, recurso aún pendiente al tiempo de la interposición de este de amparo.</w:t>
      </w:r>
    </w:p>
    <w:p w14:paraId="39CD8B19" w14:textId="77777777" w:rsidR="008D479B" w:rsidRDefault="008D479B" w:rsidP="008D479B">
      <w:pPr>
        <w:pStyle w:val="TextoNormal"/>
      </w:pPr>
    </w:p>
    <w:p w14:paraId="5A09605F" w14:textId="77777777" w:rsidR="008D479B" w:rsidRDefault="008D479B" w:rsidP="008D479B">
      <w:pPr>
        <w:pStyle w:val="TextoNormal"/>
      </w:pPr>
      <w:r>
        <w:t>b) El mismo día 14 de diciembre de 2021 el señor Juvillà, que ostentaba también la condición de secretario tercero de la mesa del Parlamento de Cataluña, y la presidenta del Grupo parlamentario en que aquel se integraba (Candidatura d’Unitat Popular-Un Nou Cicle per Guanyar, en adelante CUP-UNCG) dirigieron escrito a la propia mesa, al que adjuntaron la sentencia recaída, en solicitud de que procediera a incoar el oportuno procedimiento para resolver sobre los efectos de la misma en relación con la condición de diputado del condenado y a fin de velar por los derechos de los titulares de cargos de representación política y de sus electores, así como para garantizar la soberanía del Parlamento, expresión directa de la voluntad popular. La mesa acordó, en sesión de la misma fecha, dar traslado de este escrito a la Comisión del Estatuto de los Diputados a efectos de lo dispuesto en el art. 64 del Reglamento del Parlamento de Cataluña (RPC, en lo que sigue). Dispone este artículo (apartado 2) que la mentada Comisión “actúa como órgano preparatorio de las resoluciones del Pleno si este, de conformidad con el Reglamento, debe pronunciarse en asuntos que afectan al estatuto de los diputados, excepto en el caso de que la propuesta corresponda al presidente o a la Mesa del Parlamento”, a cuyo fin (apartado 3) “debe elevar al Pleno, debidamente articuladas, las propuestas que hayan sido formuladas en su seno”.</w:t>
      </w:r>
    </w:p>
    <w:p w14:paraId="38FB4F24" w14:textId="77777777" w:rsidR="008D479B" w:rsidRDefault="008D479B" w:rsidP="008D479B">
      <w:pPr>
        <w:pStyle w:val="TextoNormal"/>
      </w:pPr>
    </w:p>
    <w:p w14:paraId="1819D9F2" w14:textId="77777777" w:rsidR="008D479B" w:rsidRDefault="008D479B" w:rsidP="008D479B">
      <w:pPr>
        <w:pStyle w:val="TextoNormal"/>
      </w:pPr>
      <w:r>
        <w:t>c) El 16 de diciembre de 2021, la Comisión del Estatuto de los Diputados emitió dictamen sobre la “situación de compatibilidad o incompatibilidad y sobre la condición de diputado del miembro del Parlamento Pau Juvillà i Ballester” (“Butlletí Oficial del Parlament de Catalunya”, XIV legislatura, núm. 189, pp. 3-4, en adelante “BOPC”), dictamen que, tras unas “consideraciones jurídicas y políticas” con mención de los arts. 18 (incompatibilidades) y 24 (causas de pérdida de la condición de miembro del Parlamento) RPC, concluyó que no concurría causa alguna de incompatibilidad ni ninguna otra circunstancia que afectase a la condición de diputado del señor Juvillà. El Pleno del Parlamento asumió las conclusiones de este dictamen, en sus propios términos, el siguiente día 17 (“BOPC”, XIV legislatura, núm. 190, p. 71).</w:t>
      </w:r>
    </w:p>
    <w:p w14:paraId="29D08156" w14:textId="77777777" w:rsidR="008D479B" w:rsidRDefault="008D479B" w:rsidP="008D479B">
      <w:pPr>
        <w:pStyle w:val="TextoNormal"/>
      </w:pPr>
    </w:p>
    <w:p w14:paraId="6C474C27" w14:textId="77777777" w:rsidR="008D479B" w:rsidRDefault="008D479B" w:rsidP="008D479B">
      <w:pPr>
        <w:pStyle w:val="TextoNormal"/>
      </w:pPr>
      <w:r>
        <w:t>d) En sesión celebrada el 22 de diciembre de 2021, ante el testimonio de la sentencia 2/2021 del Tribunal Superior de Justicia de Cataluña y los escritos presentados por tres partidos políticos (Ciudadanos-Partido de la Ciudadanía, Vox y Partido Popular) en solicitud de que se retirara la credencial de diputado del señor Juvillà por incurrir en causa de inelegibilidad sobrevenida [art. 6.2 b) de la Ley Orgánica 5/1985, de 19 de junio, del régimen electoral general: LOREG], la Junta Electoral Central acordó dirigirse a la presidenta del Parlamento de Cataluña para que, en el plazo de diez días, comunicara a la propia junta las decisiones, resoluciones o cualesquiera otras medidas adoptadas al respecto, así como las alegaciones que, en su caso, deseare formular, todo ello en orden a adoptar una decisión sobre la cuestión. Deducidas alegaciones por la representación del Parlamento en contra de la aplicabilidad de la causa de inelegibilidad sobrevenida contemplada en aquel precepto legal, la Junta Electoral Central acordó el 20 de enero de 2022 declarar la concurrencia de la misma, dejar sin efecto la credencial de diputado electo del señor Juvillà, declarar su vacante y expedir la credencial al siguiente candidato de la lista en la que concurrió a las elecciones autonómicas (CUP-UNCG). Es de recordar que el art. 6.2 b) LOREG establece —en lo que se consideró aplicable por la junta— que son inelegibles “[l]os condenados por sentencia, aunque no sea firme, por delitos […] contra la Administración Pública […] cuando la misma haya establecido la pena de inhabilitación para el ejercicio del derecho de sufragio pasivo o la de inhabilitación absoluta o especial o de suspensión para empleo o cargo público en los términos previstos en la legislación penal”, en tanto que el apartado 4 del mismo artículo 6, igualmente citado en la resolución de la Junta Electoral Central, dispone que “[l]as causas de inelegibilidad lo son también de incompatibilidad”.</w:t>
      </w:r>
    </w:p>
    <w:p w14:paraId="151AB4B7" w14:textId="77777777" w:rsidR="008D479B" w:rsidRDefault="008D479B" w:rsidP="008D479B">
      <w:pPr>
        <w:pStyle w:val="TextoNormal"/>
      </w:pPr>
    </w:p>
    <w:p w14:paraId="417B2C48" w14:textId="77777777" w:rsidR="008D479B" w:rsidRDefault="008D479B" w:rsidP="008D479B">
      <w:pPr>
        <w:pStyle w:val="TextoNormal"/>
      </w:pPr>
      <w:r>
        <w:t>Esta resolución de la Junta Electoral Central fue, con fecha 21 de enero de 2022, objeto de recurso contencioso-administrativo ante la Sala Tercera del Tribunal Supremo por el señor Juvillà, ampliado más tarde a las resoluciones de la misma junta de 27 de enero y de 3 de febrero de 2022 que a continuación se mencionarán, recurso que estaba en tramitación (núm. 66-2022) a la fecha de interposición de la presente demanda de amparo, todo ello según lo acreditado por la Fiscalía, con la correspondiente aportación documental, en sus alegaciones ante este tribunal. Cabe añadir ahora, por lo demás, que este recurso contencioso-administrativo ha sido desestimado por sentencia 444/2023, de 30 de marzo, de la Sección Cuarta de la Sala de lo Contencioso-Administrativo del Tribunal Supremo. Contra esta sentencia ha presentado el señor Juvillá recurso de amparo (núm. 2958-2023).</w:t>
      </w:r>
    </w:p>
    <w:p w14:paraId="248E2FE5" w14:textId="77777777" w:rsidR="008D479B" w:rsidRDefault="008D479B" w:rsidP="008D479B">
      <w:pPr>
        <w:pStyle w:val="TextoNormal"/>
      </w:pPr>
    </w:p>
    <w:p w14:paraId="3CB9F8E5" w14:textId="77777777" w:rsidR="008D479B" w:rsidRDefault="008D479B" w:rsidP="008D479B">
      <w:pPr>
        <w:pStyle w:val="TextoNormal"/>
      </w:pPr>
      <w:r>
        <w:t>Asimismo, y en sesión celebrada el 25 de enero de 2022, el Pleno del Parlamento de Cataluña decidió, previo acuerdo en tal sentido de la mesa, interponer recurso contencioso-administrativo contra la misma resolución de la Junta Electoral Central (“BOPC”, XIV legislatura, núm. 221, pág. 14). Este recurso contencioso-administrativo (núm. 86-2022), interpuesto el 28 de enero siguiente, estaba también en tramitación a la fecha de presentación de la demanda de amparo y fue —cabe añadir— desestimado por sentencia 4352/2022, de 30 de noviembre, de la Sala de lo Contencioso-Administrativo del Tribunal Supremo.</w:t>
      </w:r>
    </w:p>
    <w:p w14:paraId="7B21D8EF" w14:textId="77777777" w:rsidR="008D479B" w:rsidRDefault="008D479B" w:rsidP="008D479B">
      <w:pPr>
        <w:pStyle w:val="TextoNormal"/>
      </w:pPr>
    </w:p>
    <w:p w14:paraId="3FA95E34" w14:textId="77777777" w:rsidR="008D479B" w:rsidRDefault="008D479B" w:rsidP="008D479B">
      <w:pPr>
        <w:pStyle w:val="TextoNormal"/>
      </w:pPr>
      <w:r>
        <w:t>e) La Junta Electoral Central acordó, con fecha 27 de enero de 2022: (i) Denegar la solicitud de suspensión cautelar de su anterior acuerdo del día 20 de enero presentada por el señor Juvillà; (ii) expedir credencial a la candidata que proceda de la misma lista, en sustitución del citado señor y (iii) trasladar a la presidenta del Parlamento escrito presentado por Ciudadanos-Partido de la Ciudadanía a efectos de que, en plazo de cinco días hábiles, informara a la propia junta sobre lo expresado en el mismo y, en particular, para que indicara las medidas adoptadas en orden a la aplicación del acuerdo de 20 de enero anterior por el que se declaró la concurrencia de causa de inelegibilidad sobrevenida en la condición de diputado del señor Juvillà, dejando sin efecto su credencial. Se recordó, al propio tiempo, que las resoluciones de la administración electoral eran ejecutivas desde su firmeza (sin perjuicio de las medidas cautelares que pudieran adoptar los órganos jurisdiccionales) y que su incumplimiento podría dar lugar a las consecuencias jurídicas previstas en la legislación vigente.</w:t>
      </w:r>
    </w:p>
    <w:p w14:paraId="278FBA11" w14:textId="77777777" w:rsidR="008D479B" w:rsidRDefault="008D479B" w:rsidP="008D479B">
      <w:pPr>
        <w:pStyle w:val="TextoNormal"/>
      </w:pPr>
    </w:p>
    <w:p w14:paraId="1774BCDA" w14:textId="77777777" w:rsidR="008D479B" w:rsidRDefault="008D479B" w:rsidP="008D479B">
      <w:pPr>
        <w:pStyle w:val="TextoNormal"/>
      </w:pPr>
      <w:r>
        <w:t>f) En reunión del 1 de febrero de 2022, la mesa del Parlamento acordó, entre otros extremos, pedir a la Comisión del Estatuto de los Diputados que se reuniera de forma inmediata para pronunciarse sobre el acuerdo de la Junta Electoral Central del 27 de enero anterior. La Comisión dictaminó el día siguiente: (i) que no era aplicable al señor Juvillà ninguna de las causas de pérdida de la condición de diputado del citado art. 24 RPC; (ii) que tampoco concurrían los supuestos de hecho para aplicarle lo previsto en los apartados (a) y (b) del art. 25.1 RPC (relativos a las causas de suspensión de los derechos y deberes parlamentarios, puntualizándose por la Comisión, en cuanto a la segunda de estas previsiones, que “no hay sentencia firme contra el diputado”); y (iv) que en todo caso, teniendo en cuenta que se había pedido en vía jurisdiccional la suspensión de la eficacia del acuerdo de la Junta Electoral Central, ese acuerdo no podía ser ejecutado en tanto la Sala Tercera del Tribunal Supremo no resolviera sobre dicha medida cautelar (“BOPC”, XIV legislatura, núm. 223, p. 3-4). El Pleno del Parlamento asumió o hizo suyo este dictamen el 3 de febrero de 2022 (“BOPC”, XIV legislatura, núm. 225, pp. 3-4).</w:t>
      </w:r>
    </w:p>
    <w:p w14:paraId="170317E3" w14:textId="77777777" w:rsidR="008D479B" w:rsidRDefault="008D479B" w:rsidP="008D479B">
      <w:pPr>
        <w:pStyle w:val="TextoNormal"/>
      </w:pPr>
    </w:p>
    <w:p w14:paraId="2DCBE6FF" w14:textId="77777777" w:rsidR="008D479B" w:rsidRDefault="008D479B" w:rsidP="008D479B">
      <w:pPr>
        <w:pStyle w:val="TextoNormal"/>
      </w:pPr>
      <w:r>
        <w:t>g) Con fecha 3 de febrero de 2022, la Junta Electoral Central acordó: (i) que correspondía a la Sala de lo Contencioso-Administrativo del Tribunal Supremo, en el marco de la pieza separada de medidas cautelares abierta a iniciativa del interesado y del Parlamento de Cataluña, resolver lo que estimare oportuno sobre la suspensión de su acuerdo de 20 de enero de 2022, por el que se declaró la repetida inelegibilidad sobrevenida del señor Juvillà, debiendo mientras tanto estarse a la ejecutividad de dicho acuerdo, y (ii) requerir a la presidenta del Parlamento para que procediera al inmediato cumplimiento del referido acuerdo de 20 de enero de 2022, apercibiéndole de las responsabilidades en que pudiera incurrir caso de no hacerlo.</w:t>
      </w:r>
    </w:p>
    <w:p w14:paraId="26ACDA1E" w14:textId="77777777" w:rsidR="008D479B" w:rsidRDefault="008D479B" w:rsidP="008D479B">
      <w:pPr>
        <w:pStyle w:val="TextoNormal"/>
      </w:pPr>
    </w:p>
    <w:p w14:paraId="78317548" w14:textId="77777777" w:rsidR="008D479B" w:rsidRDefault="008D479B" w:rsidP="008D479B">
      <w:pPr>
        <w:pStyle w:val="TextoNormal"/>
      </w:pPr>
      <w:r>
        <w:t>h) La secretaria general del Parlamento de Cataluña, mediante escrito del mismo día 3 de febrero, se dirigió a la mesa de la Cámara haciendo constar, luego de diversas consideraciones, que “sin perjuicio de [la] posición procesal defendida por el Parlamento de Cataluña ante la Sala Tercera del Tribunal Supremo, por imperativo legal y para evitar que se impute a mi persona y a otros funcionarios de la Cámara cualquier tipo de responsabilidad disciplinaria, contable o penal, me veo obligada a impartir a la administración parlamentaria las instrucciones estrictamente necesarias para no desatender lo que exigen los mentados acuerdos de la Junta Electoral Central”.</w:t>
      </w:r>
    </w:p>
    <w:p w14:paraId="2405A761" w14:textId="77777777" w:rsidR="008D479B" w:rsidRDefault="008D479B" w:rsidP="008D479B">
      <w:pPr>
        <w:pStyle w:val="TextoNormal"/>
      </w:pPr>
    </w:p>
    <w:p w14:paraId="2FC1C304" w14:textId="77777777" w:rsidR="008D479B" w:rsidRDefault="008D479B" w:rsidP="008D479B">
      <w:pPr>
        <w:pStyle w:val="TextoNormal"/>
      </w:pPr>
      <w:r>
        <w:t>Consta en el acta de la reunión de la mesa del día inmediato siguiente, entre otros extremos, que “[l]a secretaria general toma la palabra para dar explicaciones en relación con el escrito y las órdenes que ha transmitido a los centros gestores en el sentido de ejecutar el acuerdo de la JEC [Junta Electoral Central] del día 27 de enero de 2022”. Figura asimismo en las actuaciones del presente recurso un oficio dirigido a la Junta Electoral Central por la secretaria general del Parlamento el 4 de febrero de 2022 en el que se informa de lo siguiente: (i) Haberse dado de baja como diputado al señor Juvillà en el sistema de información de la actividad parlamentaria a todos los efectos; (ii) haberse dado órdenes ejecutivas, que “se adjuntan al presente documento”, a los departamentos de auditoría de cuentas, dirección de gobierno interior, dirección de gestión parlamentaria, departamento de informática y telecomunicaciones, departamento de comunicación, departamento de infraestructuras, equipamiento y seguridad, departamento de ediciones y departamento de relaciones institucionales (órdenes todas ellas —es de constatar ahora— consecuentes con la pérdida de la condición de diputado del señor Juvillà i Ballester); y (iii) haberse realizado los trámites necesarios relativos a la credencial expedida a favor de la nueva diputada designada (art. 23 RPC). En el “BOPC” correspondiente al 4 de febrero de 2022 (núm. 226, p. 7), y bajo la rúbrica “composición del Pleno del Parlamento”, se hizo pública, en fin, la “baja” del señor Juvillà, junto al siguiente texto: “Atendida la literalidad de los acuerdos de la Junta Electoral Central de 20 y 27 de enero de 2022, por imperativo legal y para evitar el riesgo de incurrir en cualquier tipo de responsabilidad disciplinaria, contable o penal, y sin perjuicio de la posición procesal defendida por el Parlamento de Cataluña ante la Sala Tercera del Tribunal Supremo, la secretaria general ha dado instrucciones para que no se desatienda lo exigido por los mentados acuerdos de la Junta Electoral Central”. En el acta de la reunión de la mesa del Parlamento de 15 de marzo de 2022 se hizo constar, a resultas de todo ello, el acceso al pleno ejercicio de la condición de parlamentaria, según credencial expedida por la Junta Electoral Central, de la diputada designada en sustitución del señor Juvillà.</w:t>
      </w:r>
    </w:p>
    <w:p w14:paraId="733C2DFC" w14:textId="77777777" w:rsidR="008D479B" w:rsidRDefault="008D479B" w:rsidP="008D479B">
      <w:pPr>
        <w:pStyle w:val="TextoNormal"/>
      </w:pPr>
    </w:p>
    <w:p w14:paraId="7F94A876" w14:textId="77777777" w:rsidR="008D479B" w:rsidRDefault="008D479B" w:rsidP="008D479B">
      <w:pPr>
        <w:pStyle w:val="TextoNormal"/>
      </w:pPr>
      <w:r>
        <w:t>En este contexto se adoptó, en definitiva, el acto de la secretaria general del Parlamento de Cataluña frente al que se alza el actual recurso.</w:t>
      </w:r>
    </w:p>
    <w:p w14:paraId="47F49398" w14:textId="77777777" w:rsidR="008D479B" w:rsidRDefault="008D479B" w:rsidP="008D479B">
      <w:pPr>
        <w:pStyle w:val="TextoNormal"/>
      </w:pPr>
    </w:p>
    <w:p w14:paraId="11D63161" w14:textId="77777777" w:rsidR="008D479B" w:rsidRDefault="008D479B" w:rsidP="008D479B">
      <w:pPr>
        <w:pStyle w:val="TextoNormal"/>
      </w:pPr>
      <w:r>
        <w:t>B) Sobre la identificación de lo así impugnado son aún precisas dos puntualizaciones.</w:t>
      </w:r>
    </w:p>
    <w:p w14:paraId="34A15CDF" w14:textId="77777777" w:rsidR="008D479B" w:rsidRDefault="008D479B" w:rsidP="008D479B">
      <w:pPr>
        <w:pStyle w:val="TextoNormal"/>
      </w:pPr>
    </w:p>
    <w:p w14:paraId="57DBCD8C" w14:textId="77777777" w:rsidR="008D479B" w:rsidRDefault="008D479B" w:rsidP="008D479B">
      <w:pPr>
        <w:pStyle w:val="TextoNormal"/>
      </w:pPr>
      <w:r>
        <w:t>a) Observa en sus alegaciones el Ministerio Fiscal que no consta en las actuaciones una “decisión individualizada” de la secretaria general, de fecha 3 de febrero de 2022, “con las instrucciones […] dirigidas a los distintos servicios administrativos de la Cámara”, si bien no advierte en ello defecto alguno que pudiera afectar a la viabilidad del recurso, pues de inmediato constata que es dable conocer tales instrucciones —de las que su autora dio cuenta a la mesa los días 3 y 4 del mismo mes— a la vista del oficio que la propia secretaria general dirigió, en las segunda de estas fechas, a la Junta Electoral Central, comunicación de la que la demanda aporta copia y a la que en efecto se adjuntaba, en anexo, relación de las concretas medidas adoptadas por los distintos departamentos de la Cámara en cumplimiento de las instrucciones impartidas por la secretaria general. Basta con ello, sin duda alguna, para entender cumplida la inexcusable exigencia de identificar lo recurrido y para reconocer, con ello, el contenido y alcance de la actuación que se impugna.</w:t>
      </w:r>
    </w:p>
    <w:p w14:paraId="30B6FF1F" w14:textId="77777777" w:rsidR="008D479B" w:rsidRDefault="008D479B" w:rsidP="008D479B">
      <w:pPr>
        <w:pStyle w:val="TextoNormal"/>
      </w:pPr>
    </w:p>
    <w:p w14:paraId="219E36EB" w14:textId="77777777" w:rsidR="008D479B" w:rsidRDefault="008D479B" w:rsidP="008D479B">
      <w:pPr>
        <w:pStyle w:val="TextoNormal"/>
      </w:pPr>
      <w:r>
        <w:t>b) La demanda —ya en otro orden de cosas— se dirige, siquiera formalmente, contra las instrucciones de la secretaria general que quedan dichas, aunque no deja de deslizar observaciones aparentemente críticas contra lo que llama “aquiescencia” o “inacción” ante aquel proceder por parte de la mesa del Parlamento ni de afirmar, en relación con tales alusiones, que la nulidad que predica de lo actuado por la secretaria general afectaría a “cualquier eventual acuerdo adoptado por la mesa […] respecto a la cuestión de la inhabilitación” del recurrente. Es de todo punto obvio, sin embargo, que estas tan vagas menciones y conjeturas no podrían ahora conducir a la apreciación de que el recurso de amparo se extendería, objetivamente, a la impugnación añadida del proceder de la mesa ante lo actuado por la secretaria general.</w:t>
      </w:r>
    </w:p>
    <w:p w14:paraId="1AB1A198" w14:textId="77777777" w:rsidR="008D479B" w:rsidRDefault="008D479B" w:rsidP="008D479B">
      <w:pPr>
        <w:pStyle w:val="TextoNormal"/>
      </w:pPr>
    </w:p>
    <w:p w14:paraId="4C774047" w14:textId="55DFC1F8" w:rsidR="008D479B" w:rsidRDefault="008D479B" w:rsidP="008D479B">
      <w:pPr>
        <w:pStyle w:val="TextoNormal"/>
      </w:pPr>
      <w:r>
        <w:t>No se trata solo —aunque con ello bastaría— de que lo recurrido mediante la acción de amparo se ha de identificar siempre, conforme a muy consabida jurisprudencia, a la vista del encabezamiento y súplica de la demanda, referidos aquí solo a lo que llama el recurrente, en el cuerpo del escrito rector, “decisión unilateral” de la secretaria general. Se trata, adicionalmente, de que aquella indeterminada tacha por “inacción” o “aquiescencia” solo podría ser entendida, acaso, como reproche a la mesa al no haber revocado en su momento las repetidas instrucciones de la secretaria general que dieron cumplimiento a los acuerdos de la Junta Electoral Central, eventual desautorización y revocación que, al margen de otras consideraciones, mal se hubieran avenido con la impugnación en vía contencioso-administrativa de la que fueron objeto dichos acuerdos de la junta no ya por el actual demandante, sino también —esto es lo que ahora importa— el primero de ellos (de 20 de enero de 2022) por el mismo Parlamento y a propuesta, precisamente, de la propia mesa de la Cámara. Solo desde el desconocimiento de los límites de la jurisdicción constitucional de amparo cabría pretender en este cauce un control indirecto de la decisión procesal así adoptada por el Parlamento, decisión mediante la que inequívocamente se descartaba la hipotética revocación por la mesa, legítima o no, que al parecer se echa en falta.</w:t>
      </w:r>
    </w:p>
    <w:p w14:paraId="087485EB" w14:textId="77777777" w:rsidR="008D479B" w:rsidRDefault="008D479B" w:rsidP="008D479B">
      <w:pPr>
        <w:pStyle w:val="TextoNormal"/>
      </w:pPr>
    </w:p>
    <w:p w14:paraId="15F3988A" w14:textId="77777777" w:rsidR="008D479B" w:rsidRDefault="008D479B" w:rsidP="008D479B">
      <w:pPr>
        <w:pStyle w:val="TextoNormal"/>
      </w:pPr>
      <w:r w:rsidRPr="008D479B">
        <w:rPr>
          <w:rStyle w:val="NumeroAFNegritaCaracter"/>
        </w:rPr>
        <w:t>2</w:t>
      </w:r>
      <w:r>
        <w:t xml:space="preserve">. </w:t>
      </w:r>
      <w:r w:rsidRPr="008D479B">
        <w:rPr>
          <w:i/>
        </w:rPr>
        <w:t>Sobre las posiciones de las partes. Cuestiones previas</w:t>
      </w:r>
    </w:p>
    <w:p w14:paraId="666CA41C" w14:textId="77777777" w:rsidR="008D479B" w:rsidRDefault="008D479B" w:rsidP="008D479B">
      <w:pPr>
        <w:pStyle w:val="TextoNormal"/>
      </w:pPr>
    </w:p>
    <w:p w14:paraId="0233835C" w14:textId="77777777" w:rsidR="008D479B" w:rsidRDefault="008D479B" w:rsidP="008D479B">
      <w:pPr>
        <w:pStyle w:val="TextoNormal"/>
      </w:pPr>
      <w:r>
        <w:t>En los antecedentes han quedado expuestas con el suficiente detalle las pretensiones del recurrente y de las demás partes comparecidas. Procede remitirse ahora a ellos y dejar además sentadas, sin perjuicio de lo que después se añadirá, las siguientes y primeras precisiones.</w:t>
      </w:r>
    </w:p>
    <w:p w14:paraId="63A3D61A" w14:textId="77777777" w:rsidR="008D479B" w:rsidRDefault="008D479B" w:rsidP="008D479B">
      <w:pPr>
        <w:pStyle w:val="TextoNormal"/>
      </w:pPr>
    </w:p>
    <w:p w14:paraId="2BA6E949" w14:textId="77777777" w:rsidR="008D479B" w:rsidRDefault="008D479B" w:rsidP="008D479B">
      <w:pPr>
        <w:pStyle w:val="TextoNormal"/>
      </w:pPr>
      <w:r>
        <w:t>A) La demanda, según se acaba de recordar, reprocha a la resolución recurrida la lesión de tres derechos fundamentales del señor Juvillà: (i) En primer lugar, el que ostentaría para continuar en el pleno ejercicio de la condición de diputado que perdió, pérdida que se achaca a lo acordado por la secretaria general del Parlamento en contravención de los dictámenes de la Comisión y de las resoluciones del Pleno antes referidos [apartados c) y f) del fundamento jurídico 1 A)], a lo que se añade que el Parlamento de Cataluña “no es un apéndice o un subordinado de ninguna Junta Electoral”; (ii) de otra parte, el derecho que le corresponde con arreglo a la vertiente extraprocesal de la presunción de inocencia, garantía que se considera vulnerada por haberse ejecutado una sentencia de condena que fue recurrida en casación por el actor y que no era en consecuencia firme; y (iii), por último, el derecho a la libertad de expresión, infringida, se aduce, al haber recaído aquella condena penal por la realización de unos hechos que serían “atípicos”, ya que “colocar un lazo amarillo que simboliza el desacuerdo con el procesamiento de los líderes independentistas en la causa del procés, así como la adhesión ideológica y la defensa del derecho a la autodeterminación de Catalunya, no puede [</w:t>
      </w:r>
      <w:r w:rsidRPr="008D479B">
        <w:rPr>
          <w:i/>
        </w:rPr>
        <w:t>sic</w:t>
      </w:r>
      <w:r>
        <w:t>] entenderse como una expresión que hiera la reputación o los derechos ajenos, ni tampoco que se exhorte [</w:t>
      </w:r>
      <w:r w:rsidRPr="008D479B">
        <w:rPr>
          <w:i/>
        </w:rPr>
        <w:t>sic</w:t>
      </w:r>
      <w:r>
        <w:t>] al uso de la violencia”.</w:t>
      </w:r>
    </w:p>
    <w:p w14:paraId="50ECB82E" w14:textId="77777777" w:rsidR="008D479B" w:rsidRDefault="008D479B" w:rsidP="008D479B">
      <w:pPr>
        <w:pStyle w:val="TextoNormal"/>
      </w:pPr>
    </w:p>
    <w:p w14:paraId="2D666DD8" w14:textId="77777777" w:rsidR="008D479B" w:rsidRDefault="008D479B" w:rsidP="008D479B">
      <w:pPr>
        <w:pStyle w:val="TextoNormal"/>
      </w:pPr>
      <w:r>
        <w:t>Esta tercera lesión en modo alguno podría sin embargo imputarse al acuerdo de la secretaria general que se recurre y así viene incluso a desprenderse, por lo demás, del propio tenor literal de la demanda, que se limita a afirmar en este extremo que aquel acuerdo infringió “indirectamente” o de manera “implícita” la libertad de expresión del demandante a resultas o como derivación de una llamada “vulneración subyacente”, atribuida a la condena penal. Vulneración esta última que, de haberse verificado, de ninguna manera podría ser apreciada en el presente recurso de amparo, no dirigido contra actos u omisiones de órganos judiciales (art. 44 LOTC). La invocación de la libertad de expresión queda en consecuencia —como primera delimitación de lo pretendido— enteramente al margen de este proceso constitucional.</w:t>
      </w:r>
    </w:p>
    <w:p w14:paraId="441FDEE2" w14:textId="77777777" w:rsidR="008D479B" w:rsidRDefault="008D479B" w:rsidP="008D479B">
      <w:pPr>
        <w:pStyle w:val="TextoNormal"/>
      </w:pPr>
    </w:p>
    <w:p w14:paraId="1740E593" w14:textId="77777777" w:rsidR="008D479B" w:rsidRDefault="008D479B" w:rsidP="008D479B">
      <w:pPr>
        <w:pStyle w:val="TextoNormal"/>
      </w:pPr>
      <w:r>
        <w:t>B) La representación del Parlamento de Cataluña ha pedido el otorgamiento del amparo, pero no la anulación del impugnado acuerdo de la secretaria general, que considera “acto de obediencia debida”. Estima esta representación que el demandante no solo ha sufrido las lesiones de derechos que en su recurso aduce, sino también, adicionalmente, algunas no invocadas en este (infracciones de los derechos a un proceso con todas las garantías, a la legalidad penal y a la no discriminación: arts. 24.2, 25.1 y 14 CE). Vulneraciones, unas y otras, que en todo caso la Cámara imputa siempre no al acto aquí impugnado, sino unas veces a los acuerdos de la Junta Electoral Central, otras a la sentencia de condena dictada por el Tribunal Superior de Justicia de Cataluña (o al procedimiento seguido ante el mismo) y en algún pasaje, incluso, al rechazo por la Sala Tercera del Tribunal Supremo de la suspensión cautelar de aquellos acuerdos de la administración electoral que fue instada por el Parlamento al interponer contra ellos, en su día, el ya mentado recurso contencioso-administrativo [apartado d) del fundamento jurídico 1 A) que antecede].</w:t>
      </w:r>
    </w:p>
    <w:p w14:paraId="24250BA5" w14:textId="77777777" w:rsidR="008D479B" w:rsidRDefault="008D479B" w:rsidP="008D479B">
      <w:pPr>
        <w:pStyle w:val="TextoNormal"/>
      </w:pPr>
    </w:p>
    <w:p w14:paraId="550A602A" w14:textId="77777777" w:rsidR="008D479B" w:rsidRDefault="008D479B" w:rsidP="008D479B">
      <w:pPr>
        <w:pStyle w:val="TextoNormal"/>
      </w:pPr>
      <w:r>
        <w:t>Estas alegaciones son ajenas al actual debate procesal y este tribunal, por ello, no podrá tomarlas en consideración.</w:t>
      </w:r>
    </w:p>
    <w:p w14:paraId="56EFDD19" w14:textId="77777777" w:rsidR="008D479B" w:rsidRDefault="008D479B" w:rsidP="008D479B">
      <w:pPr>
        <w:pStyle w:val="TextoNormal"/>
      </w:pPr>
    </w:p>
    <w:p w14:paraId="7E3BD063" w14:textId="77777777" w:rsidR="008D479B" w:rsidRDefault="008D479B" w:rsidP="008D479B">
      <w:pPr>
        <w:pStyle w:val="TextoNormal"/>
      </w:pPr>
      <w:r>
        <w:t>a) Desde luego que así ha de ser por lo que se refiere, específicamente, a la cita de supuestas lesiones de derechos fundamentales no denunciadas en la demanda, siendo doctrina constitucional muy reiterada (desde la STC 184/1987, de 8 de noviembre, FJ 3) que en el trámite de alegaciones de un recurso de amparo (art. 52.1 LOTC) no cabe invocar como infringidos derechos distintos a los que llevaron a la interposición del recurso.</w:t>
      </w:r>
    </w:p>
    <w:p w14:paraId="0D37DD67" w14:textId="77777777" w:rsidR="008D479B" w:rsidRDefault="008D479B" w:rsidP="008D479B">
      <w:pPr>
        <w:pStyle w:val="TextoNormal"/>
      </w:pPr>
    </w:p>
    <w:p w14:paraId="36950753" w14:textId="77777777" w:rsidR="008D479B" w:rsidRDefault="008D479B" w:rsidP="008D479B">
      <w:pPr>
        <w:pStyle w:val="TextoNormal"/>
      </w:pPr>
      <w:r>
        <w:t>b) Pero menos aún se presta este trámite procesal —esto es ahora lo determinante— a desvirtuar o alterar sustancialmente el objeto del proceso constitucional (SSTC 13/2005, de 31 de enero, FJ 3; 143/2006, de 8 de mayo, FJ 2; 218/2006, de 3 de julio, FJ 2, y 22/2021, de 15 de febrero, FJ 1, entre otras) y a ello abocaría, palmariamente, lo alegado por la representación del Parlamento al pretender que el Tribunal entre a enjuiciar aquí unos actos (del Poder Judicial y de la administración electoral) que no han sido objeto del recurso, ello sin perjuicio de las inconsistencias en que la demanda incurre al imputar las infracciones que aduce al acto recurrido. En suma, la representación de la Cámara no puede interesar el otorgamiento del amparo al recurrente frente a actos distintos del impugnado en la demanda. Admitir tal cosa sería tanto como desfigurar el proceso incoado y dar lugar a otro, del todo diferente, que nadie entabló (en similar sentido, SSTC 241/1994, de 20 de julio, FJ 3, y 126/2011, de 18 de julio, FJ 7).</w:t>
      </w:r>
    </w:p>
    <w:p w14:paraId="4CBF58F5" w14:textId="77777777" w:rsidR="008D479B" w:rsidRDefault="008D479B" w:rsidP="008D479B">
      <w:pPr>
        <w:pStyle w:val="TextoNormal"/>
      </w:pPr>
    </w:p>
    <w:p w14:paraId="7E6BD513" w14:textId="7479BC8B" w:rsidR="008D479B" w:rsidRDefault="008D479B" w:rsidP="008D479B">
      <w:pPr>
        <w:pStyle w:val="TextoNormal"/>
      </w:pPr>
      <w:r>
        <w:t>C) El Ministerio Fiscal ha instado la inadmisión del recurso o, subsidiariamente, su desestimación. Lo primero, por estar pendiente en vía contencioso-administrativa del propio demandante, con pretensiones análogas, frente a los acuerdos de la Junta Electoral Central de 20 y 27 de enero y de 3 de febrero de 2021, acuerdos de los que traería causa el de la Secretaría general que se impugna. Lo segundo, al no haber deparado en cualquier caso el acto recurrido —por las razones resumidas en los antecedentes— las lesiones de derechos que se aducen. Antes de todo ello, sin embargo, aborda la Fiscalía la cuestión, a la que termina por dar respuesta afirmativa, de si este recurso de amparo se ha encauzado correctamente por la vía establecida en el art. 42 LOTC, esto es, a través del específico recurso frente a decisiones o actos sin valor de ley emanados, en lo que ahora importa, de las asambleas legislativas de las comunidades autónomas o de sus órganos. Tales extremos preliminares (idoneidad de la vía de amparo y admisibilidad o no del recurso) se consideran sucesivamente a continuación.</w:t>
      </w:r>
    </w:p>
    <w:p w14:paraId="115EC65B" w14:textId="77777777" w:rsidR="008D479B" w:rsidRDefault="008D479B" w:rsidP="008D479B">
      <w:pPr>
        <w:pStyle w:val="TextoNormal"/>
      </w:pPr>
    </w:p>
    <w:p w14:paraId="70EDDCBE" w14:textId="77777777" w:rsidR="008D479B" w:rsidRDefault="008D479B" w:rsidP="008D479B">
      <w:pPr>
        <w:pStyle w:val="TextoNormal"/>
      </w:pPr>
      <w:r w:rsidRPr="008D479B">
        <w:rPr>
          <w:rStyle w:val="NumeroAFNegritaCaracter"/>
        </w:rPr>
        <w:t>3</w:t>
      </w:r>
      <w:r>
        <w:t xml:space="preserve">. </w:t>
      </w:r>
      <w:r w:rsidRPr="008D479B">
        <w:rPr>
          <w:i/>
        </w:rPr>
        <w:t>Sobre la idoneidad de la vía de amparo emprendida</w:t>
      </w:r>
    </w:p>
    <w:p w14:paraId="0B727203" w14:textId="77777777" w:rsidR="008D479B" w:rsidRDefault="008D479B" w:rsidP="008D479B">
      <w:pPr>
        <w:pStyle w:val="TextoNormal"/>
      </w:pPr>
    </w:p>
    <w:p w14:paraId="2F2BF360" w14:textId="77777777" w:rsidR="008D479B" w:rsidRDefault="008D479B" w:rsidP="008D479B">
      <w:pPr>
        <w:pStyle w:val="TextoNormal"/>
      </w:pPr>
      <w:r>
        <w:t>El demandante ha querido encauzar su acción de amparo por la vía del art. 42 LOTC al entender, con cita expresa de este precepto, que el suyo es “un recurso de amparo parlamentario”, por más que unas veces califique el acuerdo de la secretaria general recurrido —en coherencia con ello— de “decisión parlamentaria” o de “acto parlamentario dictado por la secretaria general” y otras, sin embargo, de “decisión administrativa”, caracterización, esta última, que aparece tanto en el escrito rector como en el de alegaciones (art. 52.1 LOTC). El Ministerio Fiscal, por su parte, ha planteado —según se acaba de señalar— si este del art. 42 LOTC habría sido aquí el cauce constitucional procedente para impugnar “directamente” el acto de la secretaria general o si, por el contrario, de tener el acuerdo recurrido una “naturaleza […] meramente administrativa o de gestión”, hubiera sido susceptible de recurso ante la jurisdicción contencioso-administrativa, cuya Ley reguladora 29/1998, de 13 de julio, le atribuye el conocimiento —en lo que pudiera haber sido a estos efectos de relieve— de los “actos […] en materia de […] administración […] sujetos al derecho público adoptados por los órganos competentes” de las asambleas legislativas de las comunidades autónomas [art. 1.3 a)]; enjuiciamiento que corresponde a las salas de este orden jurisdiccional de los tribunales superiores de justicia [art. 10.1 b) de la misma ley, en concordancia con el art. 74.1 c) de la Ley Orgánica 6/1985, de 1 de julio, del Poder Judicial].</w:t>
      </w:r>
    </w:p>
    <w:p w14:paraId="449C3AA8" w14:textId="77777777" w:rsidR="008D479B" w:rsidRDefault="008D479B" w:rsidP="008D479B">
      <w:pPr>
        <w:pStyle w:val="TextoNormal"/>
      </w:pPr>
    </w:p>
    <w:p w14:paraId="6B4E7F17" w14:textId="77777777" w:rsidR="008D479B" w:rsidRDefault="008D479B" w:rsidP="008D479B">
      <w:pPr>
        <w:pStyle w:val="TextoNormal"/>
      </w:pPr>
      <w:r>
        <w:t>Tal hipotética vía de control judicial (previa a un eventual recurso de amparo por el cauce del art. 43 LOTC) es, sin embargo, desechada de inmediato por el propio Ministerio Fiscal, al apreciar que el acuerdo impugnado, “por su proyección”, “puede entenderse que excede de una decisión de naturaleza meramente administrativa”. La vía del art. 42 LOTC habría sido, pues, correctamente emprendida en este caso, según la Fiscalía.</w:t>
      </w:r>
    </w:p>
    <w:p w14:paraId="52F9E853" w14:textId="77777777" w:rsidR="008D479B" w:rsidRDefault="008D479B" w:rsidP="008D479B">
      <w:pPr>
        <w:pStyle w:val="TextoNormal"/>
      </w:pPr>
    </w:p>
    <w:p w14:paraId="3446AB2A" w14:textId="77777777" w:rsidR="008D479B" w:rsidRDefault="008D479B" w:rsidP="008D479B">
      <w:pPr>
        <w:pStyle w:val="TextoNormal"/>
      </w:pPr>
      <w:r>
        <w:t>El Tribunal no puede compartir estas apreciaciones, por las razones que siguen.</w:t>
      </w:r>
    </w:p>
    <w:p w14:paraId="128C63CC" w14:textId="77777777" w:rsidR="008D479B" w:rsidRDefault="008D479B" w:rsidP="008D479B">
      <w:pPr>
        <w:pStyle w:val="TextoNormal"/>
      </w:pPr>
    </w:p>
    <w:p w14:paraId="0BC2C6CE" w14:textId="77777777" w:rsidR="008D479B" w:rsidRDefault="008D479B" w:rsidP="008D479B">
      <w:pPr>
        <w:pStyle w:val="TextoNormal"/>
      </w:pPr>
      <w:r>
        <w:t xml:space="preserve">a) La Ley Orgánica de este tribunal ha introducido en el art. 42 LOTC un “amparo directo” (SSTC 121/1997, de 1 de julio, FJ 3, y 130/2022, de 24 de octubre, FJ 2, por todas) contra decisiones o actos sin valor de ley de las asambleas legislativas, o de sus órganos, que violen derechos o libertades susceptibles de este recurso constitucional, resoluciones parlamentarias, por tanto, cuyo enjuiciamiento, en garantía de tales derechos y libertades, corresponde exclusivamente a la jurisdicción constitucional, sin previa intervención de la ordinaria. Esta opción del legislador orgánico [arts. 161.1 b) y 165 CE], en buena medida consecuente con muy arraigadas tradiciones del constitucionalismo (entre ellas, la reflejada en la doctrina de los </w:t>
      </w:r>
      <w:r w:rsidRPr="008D479B">
        <w:rPr>
          <w:i/>
        </w:rPr>
        <w:t>interna corporis acta</w:t>
      </w:r>
      <w:r>
        <w:t>: SSTC 46/2018, de 26 de abril, FJ 3; 24/2022, de 23 de febrero, FJ 2, y 38/2022, de 11 de marzo, FJ 2, por todas), vino a establecer así, por lo que hace a la protección primaria de los derechos fundamentales que corresponde al Poder Judicial (art. 53.2 CE), una singular excepción en el principio de subsidiariedad, vertebrador entre otros, como es sabido, de la jurisdicción de amparo (por todas, STC 23/2020, de 13 de febrero, FJ 3).</w:t>
      </w:r>
    </w:p>
    <w:p w14:paraId="362F9227" w14:textId="77777777" w:rsidR="008D479B" w:rsidRDefault="008D479B" w:rsidP="008D479B">
      <w:pPr>
        <w:pStyle w:val="TextoNormal"/>
      </w:pPr>
    </w:p>
    <w:p w14:paraId="0BB24165" w14:textId="77777777" w:rsidR="008D479B" w:rsidRDefault="008D479B" w:rsidP="008D479B">
      <w:pPr>
        <w:pStyle w:val="TextoNormal"/>
      </w:pPr>
      <w:r>
        <w:t>Como toda excepción, la incorporada en el art. 42 LOTC no puede ser objeto de un entendimiento expansivo, so pena de provocar una injustificada exclusión de los órganos del Poder Judicial en orden a las funciones que en general les corresponden para la garantía de los derechos e intereses legítimos (art. 24.1 CE), con el detrimento consiguiente de la subsidiariedad que es connatural, de principio, al recurso de amparo ante esta jurisdicción constitucional.</w:t>
      </w:r>
    </w:p>
    <w:p w14:paraId="5DC0C2F7" w14:textId="77777777" w:rsidR="008D479B" w:rsidRDefault="008D479B" w:rsidP="008D479B">
      <w:pPr>
        <w:pStyle w:val="TextoNormal"/>
      </w:pPr>
    </w:p>
    <w:p w14:paraId="186070D1" w14:textId="77777777" w:rsidR="008D479B" w:rsidRDefault="008D479B" w:rsidP="008D479B">
      <w:pPr>
        <w:pStyle w:val="TextoNormal"/>
      </w:pPr>
      <w:r>
        <w:t xml:space="preserve">Tal entendimiento riguroso de este específico y directo cauce de amparo ya está plenamente consolidado en la jurisprudencia del Tribunal, que se ha cuidado de advertir a este propósito —con rectificación de una anterior línea interpretativa— que los actos y decisiones de las asambleas a los que se refiere el art. 42 LOTC son solo los de “naturaleza típicamente parlamentaria […] por ser expresión </w:t>
      </w:r>
      <w:r w:rsidRPr="008D479B">
        <w:rPr>
          <w:i/>
        </w:rPr>
        <w:t>ad intra</w:t>
      </w:r>
      <w:r>
        <w:t xml:space="preserve"> de su autonomía” (SSTC 121/1997, recién citada, FJ 3; 226 y 227/2004, ambas de 29 de noviembre, FJ 1 de una y otra, y 35/2022, de 9 de marzo, FJ 2), con exclusión, pues, de aquellos otros que, acaso afectantes también a derechos fundamentales, se hubieran dictado por autoridades internas de las mismas Cámaras (incluso, es de añadir, por las de más alto rango: art. 72.3 CE) “en materia de personal, administración y gestión patrimonial” (ATC 7/2012, de 13 de enero, FJ 2). Actos estos últimos controlables, llegado el caso, por la jurisdicción contencioso-administrativa, así como después, si procediere, a través del cauce de amparo establecido en el art. 43 LOTC (STC 47/2011, de 12 de abril, FJ 3).</w:t>
      </w:r>
    </w:p>
    <w:p w14:paraId="6CC6997B" w14:textId="77777777" w:rsidR="008D479B" w:rsidRDefault="008D479B" w:rsidP="008D479B">
      <w:pPr>
        <w:pStyle w:val="TextoNormal"/>
      </w:pPr>
    </w:p>
    <w:p w14:paraId="08454FF0" w14:textId="77777777" w:rsidR="008D479B" w:rsidRDefault="008D479B" w:rsidP="008D479B">
      <w:pPr>
        <w:pStyle w:val="TextoNormal"/>
      </w:pPr>
      <w:r>
        <w:t>En no distinta dirección se ha de orientar, por coherencia, la identificación —en lo que ahora interesa— de cuáles puedan reputarse, a los efectos del art. 42 LOTC, “órganos” de las Cámaras legislativas cuyas decisiones y actos, tal vez lesivos de derechos susceptibles de amparo, habrían de quedar sustraídos al enjuiciamiento de la jurisdicción ordinaria. Consideradas las razones sustantivas que subyacen a esta excepcional exclusión del Poder Judicial (y a la intervención única, por lo mismo, del Tribunal Constitucional), tales órganos no pueden ser otros —además del propio pleno, que no es, en rigor, órgano de la Cámara, sino la Cámara misma— que aquellos cuyas decisiones resulten imputables a las respectivas asambleas por ser “manifestación acabada de [su] voluntad” (STC 42/2014, de 25 de marzo, FJ 2, para otro tipo de proceso constitucional) en tanto que instituciones de representación política, pues solo esta función representativa (del conjunto del pueblo español o de sus diversas articulaciones en cada comunidad autónoma) justifica, por tradición y en atención a la posición y autonomía de los parlamentos, la deferente singularidad que aquí se considera. Órganos, en otras palabras, siempre integrados o incorporados por representantes políticos (únicos para los que tiene sentido, como es obvio, la referencia excluyente del art. 42 LOTC a las decisiones o actos “sin valor de ley”) y a los que corresponderá, según los casos, ya el ejercicio inmediato de tales funciones de representación popular, ya la decisión, en nombre de la Cámara y de conformidad con su reglamento, sobre las condiciones y procedimientos para ese desempeño, cometidos de gobierno, estos últimos, que solo pueden corresponder —de manera colegiada o no— a miembros de la respectiva asamblea, cuya autonomía de organización y funcionamiento (por todas, STC 118/1995, de 17 de julio, FJ 3) quedaría, si así no fuera, obviamente cancelada.</w:t>
      </w:r>
    </w:p>
    <w:p w14:paraId="50B40A15" w14:textId="77777777" w:rsidR="008D479B" w:rsidRDefault="008D479B" w:rsidP="008D479B">
      <w:pPr>
        <w:pStyle w:val="TextoNormal"/>
      </w:pPr>
    </w:p>
    <w:p w14:paraId="081C5A35" w14:textId="77777777" w:rsidR="008D479B" w:rsidRDefault="008D479B" w:rsidP="008D479B">
      <w:pPr>
        <w:pStyle w:val="TextoNormal"/>
      </w:pPr>
      <w:r>
        <w:t>Los actos y acuerdos de estos órganos rectores de las Cámaras o de sus diversos colegios no siempre serán, ciertamente, susceptibles del recurso de amparo directo establecido en el art. 42 LOTC, pues también a algunos de ellos, ya se ha dicho, les competen de ordinario funciones meramente administrativas y sometidas al control, entonces, de la jurisdicción ordinaria [al respecto, y ante todo, el citado art. 72.3 CE, así como, por lo que se refiere al Parlamento de Cataluña, sin ánimo exhaustivo, apartados c), f), h) e i) del art. 37.3 RPC y arts. 143, 144.2, y 151.3 de los Estatutos del régimen y gobierno interiores del Parlamento de Cataluña; véase, asimismo, la STC 121/1997, FJ 3</w:t>
      </w:r>
      <w:r w:rsidRPr="008D479B">
        <w:rPr>
          <w:i/>
        </w:rPr>
        <w:t>, in fi</w:t>
      </w:r>
      <w:r>
        <w:t>ne.</w:t>
      </w:r>
    </w:p>
    <w:p w14:paraId="7586EC29" w14:textId="77777777" w:rsidR="008D479B" w:rsidRDefault="008D479B" w:rsidP="008D479B">
      <w:pPr>
        <w:pStyle w:val="TextoNormal"/>
      </w:pPr>
    </w:p>
    <w:p w14:paraId="4C7CD533" w14:textId="77777777" w:rsidR="008D479B" w:rsidRDefault="008D479B" w:rsidP="008D479B">
      <w:pPr>
        <w:pStyle w:val="TextoNormal"/>
      </w:pPr>
      <w:r>
        <w:t>Pero lo que con toda claridad se ha de dejar sentado ahora es que aquel recurso directo, carente de vía judicial previa, no será nunca el cauce adecuado para enjuiciar actos y resoluciones dictados por los cargos funcionariales de la administración parlamentaria que pudieran afectar a derechos fundamentales, ya de los parlamentarios, ya de unos u otros empleados de la asamblea, ya, en fin, de cualesquiera ciudadanos. Tales actos y resoluciones no son ni directa ni indirectamente imputables, con arreglo a lo expuesto, a la representación popular que toma cuerpo en la Cámara respectiva, sino a la administración propia y, por así decir, separada que está a su servicio (véanse para el caso, sobre todo, los arts. 246 a 250 RPC, integrados en el capítulo I, relativo a “la administración parlamentaria”, del título VIII, cuya rúbrica es “De los servicios del Parlamento”) y tampoco, por lo mismo, cabría reclamar para ellos la autonomía, constitucional o estatutaria, que corresponde, en palabras ya evocadas de este tribunal, a las decisiones de “naturaleza típicamente parlamentaria”. Naturaleza que, a efectos del art. 42 LOTC, no es posible atribuir sin más, por lo tanto, a cualesquiera actos que pudieran ser adoptados en el seno de la organización de las Cámaras, de modo que carecería de todo sentido en Derecho sustraer los de carácter administrativo al control de la jurisdicción ordinaria, con el consiguiente estrechamiento, si así se hiciera, del ámbito en el que se ha de desplegar para todos la tutela judicial efectiva (art. 24.1 CE).</w:t>
      </w:r>
    </w:p>
    <w:p w14:paraId="21310C0B" w14:textId="77777777" w:rsidR="008D479B" w:rsidRDefault="008D479B" w:rsidP="008D479B">
      <w:pPr>
        <w:pStyle w:val="TextoNormal"/>
      </w:pPr>
    </w:p>
    <w:p w14:paraId="1B5EBA81" w14:textId="77777777" w:rsidR="008D479B" w:rsidRDefault="008D479B" w:rsidP="008D479B">
      <w:pPr>
        <w:pStyle w:val="TextoNormal"/>
      </w:pPr>
      <w:r>
        <w:t xml:space="preserve">b) En el caso nos encontramos ante la singular adopción de un acuerdo materialmente parlamentario por el órgano superior de la administración parlamentaria que asume la ejecución de la resolución adoptada por la Junta Electoral Central, de declarar vacante el escaño del recurrente por la concurrencia de causa de inelegibilidad sobrevenida </w:t>
      </w:r>
      <w:r w:rsidRPr="008D479B">
        <w:rPr>
          <w:i/>
        </w:rPr>
        <w:t>ex</w:t>
      </w:r>
      <w:r>
        <w:t xml:space="preserve"> art. 6.2 b) LOREG, resolución firme en vía administrativa, y por tanto, ejecutiva.</w:t>
      </w:r>
    </w:p>
    <w:p w14:paraId="6D02E638" w14:textId="77777777" w:rsidR="008D479B" w:rsidRDefault="008D479B" w:rsidP="008D479B">
      <w:pPr>
        <w:pStyle w:val="TextoNormal"/>
      </w:pPr>
    </w:p>
    <w:p w14:paraId="31E58955" w14:textId="77777777" w:rsidR="008D479B" w:rsidRDefault="008D479B" w:rsidP="008D479B">
      <w:pPr>
        <w:pStyle w:val="TextoNormal"/>
      </w:pPr>
      <w:r>
        <w:t>Ante la inacción del órgano al que la Junta Electoral Central requirió para la ejecución de su resolución, la Presidencia del Parlamento —y teniendo en cuenta que el Reglamento del Parlamento de Cataluña no contiene una previsión sobre el procedimiento a seguir para la baja de un diputado— la secretaria general procedió a dar el debido cumplimiento a la resolución firme de la Junta Electoral Central dictando el acuerdo que es objeto del presente recurso de amparo, acuerdo transcrito en los antecedentes, y del que —tras ser informada por la secretaria general— tomó conocimiento la mesa de la Cámara siendo publicado en el “Butlletí Oficial del Parlament de Catalunya”, sin que conste el autor del acto, aunque sí la baja como diputado del recurrente en amparo.</w:t>
      </w:r>
    </w:p>
    <w:p w14:paraId="19BF3766" w14:textId="77777777" w:rsidR="008D479B" w:rsidRDefault="008D479B" w:rsidP="008D479B">
      <w:pPr>
        <w:pStyle w:val="TextoNormal"/>
      </w:pPr>
    </w:p>
    <w:p w14:paraId="778A2727" w14:textId="77777777" w:rsidR="008D479B" w:rsidRDefault="008D479B" w:rsidP="008D479B">
      <w:pPr>
        <w:pStyle w:val="TextoNormal"/>
      </w:pPr>
      <w:r>
        <w:t>c) Constatadas las expuestas singularidades del caso, hemos de concluir que la impugnación en este recurso de la resolución dictada por la secretaria general del Parlamento de Cataluña no puede objetivamente considerarse canalizada por el cauce del art. 42 LOTC, sin que frente a esta conclusión constituya argumento alguno, desde luego, lo erróneamente apreciado y manifestado en sentido opuesto por el actor, pues el acceso a aquella excepcional vía de amparo, excluyente de la previa intervención de jueces y tribunales, no ha de quedar, obvio es, a la pura y simple disposición de la parte.</w:t>
      </w:r>
    </w:p>
    <w:p w14:paraId="2EA937E2" w14:textId="77777777" w:rsidR="008D479B" w:rsidRDefault="008D479B" w:rsidP="008D479B">
      <w:pPr>
        <w:pStyle w:val="TextoNormal"/>
      </w:pPr>
    </w:p>
    <w:p w14:paraId="4CBD2BE0" w14:textId="77777777" w:rsidR="008D479B" w:rsidRDefault="008D479B" w:rsidP="008D479B">
      <w:pPr>
        <w:pStyle w:val="TextoNormal"/>
      </w:pPr>
      <w:r>
        <w:t>Basta, en suma, con constatar que la resolución impugnada proviene de un cargo o autoridad funcionarial (el secretario general es nombrado por la mesa de entre los letrados del Parlamento: art. 249.2 RPC) que, en lo que ahora resulta de relieve, “es el jefe superior […] de todos los servicios del Parlamento” (art. 249.1 RPC y, en términos análogos, art. 2.1 de los citados Estatutos del régimen y el gobierno interiores del Parlamento, que se refiere a la “dirección superior” de “los servicios y centros gestores” de la Cámara). El acto que en tal condición adoptó la secretaria general (órdenes de servicio dirigidas a unidades y departamentos administrativos para que se tomara en cuenta, a los respectivos efectos, la pérdida de la condición de diputado del demandante acordada por la Junta Electoral Central) no puede imputarse, sobre la base de lo ya dicho, al propio Parlamento de Cataluña como institución de representación política [que, por lo demás, ya se había manifestado al respecto, en muy distintos términos, por medio de los acuerdos del Pleno de 17 de diciembre de 2021 y de 3 de febrero de 2022: apartados c) y f) del fundamento jurídico 1 A) que antecede], sino, estrictamente, a la administración al servicio de la Cámara. Su eventual enjuiciamiento constitucional, por lo mismo, no habría de tener su cauce en la vía establecida en el art. 42 LOTC, sino, de cumplirse los presupuestos legales, en la configurada en el art. 43 LOTC, apta también de principio —a reserva, en este caso, de lo que se señalará— para impugnar actos de las administraciones parlamentarias en defensa de unos u otros derechos fundamentales susceptibles de amparo (STC 47/2011, FJ 3).</w:t>
      </w:r>
    </w:p>
    <w:p w14:paraId="5FCB929D" w14:textId="77777777" w:rsidR="008D479B" w:rsidRDefault="008D479B" w:rsidP="008D479B">
      <w:pPr>
        <w:pStyle w:val="TextoNormal"/>
      </w:pPr>
    </w:p>
    <w:p w14:paraId="59CF087E" w14:textId="77777777" w:rsidR="008D479B" w:rsidRDefault="008D479B" w:rsidP="008D479B">
      <w:pPr>
        <w:pStyle w:val="TextoNormal"/>
      </w:pPr>
      <w:r>
        <w:t>En nada empañan esta evidencia las observaciones mediante las que el Ministerio Fiscal viene a considerar, tras alguna duda inicial, que este recurso podría entenderse dirigido “formalmente” frente a actos parlamentarios, apreciaciones basadas en la “proyección” del acuerdo de la secretaria general, que hizo “efectiva la pérdida del cargo de diputado, con posible afectación del derecho fundamental al cargo político representativo”. Lo relevante a estos efectos no es, sin embargo, que un acto de este género pudiera, en hipótesis, lesionar cualesquiera derechos fundamentales y, entre otros, derechos de los parlamentarios, ya fuese por propia autoridad, ya fuese —como ocurrió en este caso— en cumplimiento o ejecución de resoluciones previas de otros órganos, circunstancia, esta última, sobre la que de inmediato se dirá lo procedente. Lo relevante es que, aparentes o no tales eventuales lesiones, las mismas nunca podrían imputarse, de haberse efectivamente verificado, ni al Parlamento de Cataluña como institución de representación política ni a ninguno de los órganos de gobierno de la Cámara que, integrados por miembros de esta, ejercen, conforme al Reglamento, funciones relativas a las condiciones de ejercicio, para unos procedimientos u otros, del mandato popular. Solo en tales hipótesis hubiera sido posible situar esta queja en el ámbito del art. 42 LOTC.</w:t>
      </w:r>
    </w:p>
    <w:p w14:paraId="011638E0" w14:textId="77777777" w:rsidR="008D479B" w:rsidRDefault="008D479B" w:rsidP="008D479B">
      <w:pPr>
        <w:pStyle w:val="TextoNormal"/>
      </w:pPr>
    </w:p>
    <w:p w14:paraId="33F6B775" w14:textId="0449C2D7" w:rsidR="008D479B" w:rsidRDefault="008D479B" w:rsidP="008D479B">
      <w:pPr>
        <w:pStyle w:val="TextoNormal"/>
      </w:pPr>
      <w:r>
        <w:t>El Tribunal, que no queda nunca vinculado por la designación que la demanda haya hecho de la vía de amparo emprendida, tanto menos lo ha de estar cuando la designada fuera, en contraste con las otras abiertas por la Ley Orgánica del Tribunal Constitucional, la de carácter directo, y en esa medida rigurosamente excepcional, prevista en el art. 42 LOTC. Por ello, y por cuanto queda expuesto, la impugnación que aquí se hace del acuerdo de la secretaria general del Parlamento de Cataluña debiera considerarse incoada a través del recurso de amparo disciplinado en el art. 43 LOTC, sin perjuicio, claro está, del inexcusable cumplimiento de sus presupuestos procesales. Presupuestos que, como a continuación se razona, no han sido satisfechos en este caso.</w:t>
      </w:r>
    </w:p>
    <w:p w14:paraId="35EFB180" w14:textId="77777777" w:rsidR="008D479B" w:rsidRDefault="008D479B" w:rsidP="008D479B">
      <w:pPr>
        <w:pStyle w:val="TextoNormal"/>
      </w:pPr>
    </w:p>
    <w:p w14:paraId="326E231C" w14:textId="77777777" w:rsidR="008D479B" w:rsidRDefault="008D479B" w:rsidP="008D479B">
      <w:pPr>
        <w:pStyle w:val="TextoNormal"/>
      </w:pPr>
      <w:r w:rsidRPr="008D479B">
        <w:rPr>
          <w:rStyle w:val="NumeroAFNegritaCaracter"/>
        </w:rPr>
        <w:t>4</w:t>
      </w:r>
      <w:r>
        <w:t xml:space="preserve">. </w:t>
      </w:r>
      <w:r w:rsidRPr="008D479B">
        <w:rPr>
          <w:i/>
        </w:rPr>
        <w:t>Sobre la inadmisibilidad del recurso de amparo</w:t>
      </w:r>
    </w:p>
    <w:p w14:paraId="7E682F79" w14:textId="77777777" w:rsidR="008D479B" w:rsidRDefault="008D479B" w:rsidP="008D479B">
      <w:pPr>
        <w:pStyle w:val="TextoNormal"/>
      </w:pPr>
    </w:p>
    <w:p w14:paraId="369A0F7A" w14:textId="77777777" w:rsidR="008D479B" w:rsidRDefault="008D479B" w:rsidP="008D479B">
      <w:pPr>
        <w:pStyle w:val="TextoNormal"/>
      </w:pPr>
      <w:r>
        <w:t>A) La inadmisión del recurso que, como pretensión principal, postula la Fiscalía se fundamenta en el hecho de que al tiempo de su interposición el demandante de amparo tenía abierta y pendiente de resolución la vía contencioso-administrativa frente al acuerdo de 20 de enero de 2022 de la Junta Electoral Central (recurso luego ampliado a los acuerdos de la misma junta de 27 de enero y de 3 de febrero del propio año), resoluciones respecto de las cuales la decisión de la Secretaría general que aquí se impugna sería, en palabras del Ministerio Fiscal, “un mero acto de ejecución” cuya validez, por tanto, no podría enjuiciarse con independencia de aquellos actos de la administración electoral, actos a los que sería imputable de manera directa la lesión del derecho de participación política del actor. Aporta el Ministerio Fiscal los escritos de interposición de recurso (de fecha 21 de enero de 2022) y de formalización de demanda (el 21 de junio del mismo año) en esa vía judicial (procedimiento ordinario núm. 66-2022), en tramitación ante la sección cuarta de la Sala de lo Contencioso-Administrativo del Tribunal Supremo, como ya quedó apuntado, cuando se acudió en amparo constitucional, y señala la “sustancial identidad” entre los argumentos allí expuestos y los que se hacen valer ahora ante este tribunal en un recurso de amparo que, por todo ello, se habría planteado “prematuramente”.</w:t>
      </w:r>
    </w:p>
    <w:p w14:paraId="5D49C7AD" w14:textId="77777777" w:rsidR="008D479B" w:rsidRDefault="008D479B" w:rsidP="008D479B">
      <w:pPr>
        <w:pStyle w:val="TextoNormal"/>
      </w:pPr>
    </w:p>
    <w:p w14:paraId="0EC4EEC5" w14:textId="77777777" w:rsidR="008D479B" w:rsidRDefault="008D479B" w:rsidP="008D479B">
      <w:pPr>
        <w:pStyle w:val="TextoNormal"/>
      </w:pPr>
      <w:r>
        <w:t>B) No es desde luego diáfana la compatibilidad lógica entre este alegato de inadmisibilidad por litispendencia y la previa aceptación que la propia Fiscalía hace de la pretendida canalización del recurso por la vía directa —ya descartada— del art. 42 LOTC. Más allá de ello, sin embargo, es lo cierto que la causa de inadmisión aducida por el Ministerio Fiscal concurre, efectivamente, a todas luces.</w:t>
      </w:r>
    </w:p>
    <w:p w14:paraId="4C4CC960" w14:textId="77777777" w:rsidR="008D479B" w:rsidRDefault="008D479B" w:rsidP="008D479B">
      <w:pPr>
        <w:pStyle w:val="TextoNormal"/>
      </w:pPr>
    </w:p>
    <w:p w14:paraId="526B91DD" w14:textId="77777777" w:rsidR="008D479B" w:rsidRDefault="008D479B" w:rsidP="008D479B">
      <w:pPr>
        <w:pStyle w:val="TextoNormal"/>
      </w:pPr>
      <w:r>
        <w:t>a) No es posible acudir al cauce de amparo del art. 43 LOTC (único, vale reiterar, por el que cabría entender planteado este recurso) sino “una vez que se haya agotado la vía judicial procedente” y dentro de los “veinte días siguientes a la notificación de la resolución recaída en el previo proceso judicial” (apartados 1 y 2, respectivamente, de aquel precepto), vía que el demandante tenía abierta y en tramitación —con relevancia directa para su simultánea pretensión de amparo— desde que interpuso recurso contencioso-administrativo, ante el Tribunal Supremo, contra unos acuerdos de la administración electoral que fueron fundamento inmediato y determinante de la resolución frente a la que ha promovido (con argumentos, por lo demás, en parte coincidentes) la presente queja constitucional.</w:t>
      </w:r>
    </w:p>
    <w:p w14:paraId="1EA63353" w14:textId="77777777" w:rsidR="008D479B" w:rsidRDefault="008D479B" w:rsidP="008D479B">
      <w:pPr>
        <w:pStyle w:val="TextoNormal"/>
      </w:pPr>
    </w:p>
    <w:p w14:paraId="3102BA1E" w14:textId="77777777" w:rsidR="008D479B" w:rsidRDefault="008D479B" w:rsidP="008D479B">
      <w:pPr>
        <w:pStyle w:val="TextoNormal"/>
      </w:pPr>
      <w:r>
        <w:t>b) Es en efecto de todo punto claro que son aquellos actos de la administración electoral, no el aquí impugnado de la secretaria general del Parlamento de Cataluña, los que habrían deparado, estando a lo relatado y fundamentado en la demanda y también a lo que consta en autos, las lesiones de derechos que el recurrente aduce. Fue la Junta Electoral Central la que dispuso, en su acuerdo de 20 de enero de 2022, declarar la concurrencia de la causa de inelegibilidad sobrevenida que afectaba al demandante, dejar sin efecto su credencial de diputado electo, declarar la correspondiente vacante y expedir credencial al siguiente candidato de la lista en la que concurrió a las elecciones al Parlamento de Cataluña, acuerdo aquel cuyo debido cumplimiento se requirió, con reiteración, a la presidenta del Parlamento (nuevas resoluciones de la junta, de 27 de enero y 3 de febrero de 2022).</w:t>
      </w:r>
    </w:p>
    <w:p w14:paraId="4849C2D7" w14:textId="77777777" w:rsidR="008D479B" w:rsidRDefault="008D479B" w:rsidP="008D479B">
      <w:pPr>
        <w:pStyle w:val="TextoNormal"/>
      </w:pPr>
    </w:p>
    <w:p w14:paraId="701919E7" w14:textId="77777777" w:rsidR="008D479B" w:rsidRDefault="008D479B" w:rsidP="008D479B">
      <w:pPr>
        <w:pStyle w:val="TextoNormal"/>
      </w:pPr>
      <w:r>
        <w:t>Resulta manifiestamente inexacto, en consecuencia, imputar a la secretaria general de la Cámara, como la demanda hace, el “retirar el acta de diputado” al señor Juvillà o “suspender o inhabilitar” al mismo como parlamentario. Más correcto es decir que lo que hizo la secretaria general del Parlamento de Cataluña fue ejecutar aquellas decisiones de la Junta Electoral Central y actuar (lo que se le reprocha) a “las órdenes” de la misma. Las instrucciones que cursó a los distintos servicios y departamentos de la administración de la Cámara no fueron, pues, ejercicio de una “potestad autónoma y diferenciada” [STC 104/2019, de 16 de septiembre, FJ 4 a)] respecto de lo ordenado por la administración electoral. Se limitaron a dar efectividad, para extremos administrativos de naturaleza material o instrumental, a la pérdida del escaño acordada por la Junta Electoral Central, sin que el recurso aduzca, frente a tales órdenes de servicio, lesiones de derechos fundamentales que no estuvieran ya, desde un principio, en lo resuelto por la junta.</w:t>
      </w:r>
    </w:p>
    <w:p w14:paraId="3B77C690" w14:textId="77777777" w:rsidR="008D479B" w:rsidRDefault="008D479B" w:rsidP="008D479B">
      <w:pPr>
        <w:pStyle w:val="TextoNormal"/>
      </w:pPr>
    </w:p>
    <w:p w14:paraId="126777D4" w14:textId="34A24DAC" w:rsidR="008D479B" w:rsidRDefault="008D479B" w:rsidP="008D479B">
      <w:pPr>
        <w:pStyle w:val="TextoNormal"/>
      </w:pPr>
      <w:r>
        <w:t>c) Así las cosas, toda vez que las infracciones de derechos fundamentales imputadas a las instrucciones de la secretaria general del Parlamento de Cataluña hubieran sido solo atribuibles, en hipótesis, a los acuerdos de la Junta Electoral Central recurridos en vía contencioso-administrativa, es patente que dicha impugnación habría sin duda dado lugar, de prosperar, al decaimiento o remoción de aquellas instrucciones, impartidas bajo órdenes o en línea directa de ejecución [STC 97/2020, de 21 de julio, FJ 5 C) a)] de los acuerdos de la administración electoral. Interpuesto por el señor Juvillà, en suma, un recurso contencioso-administrativo cuya eventual estimación hubiera determinado la satisfacción de la pretensión que hoy deduce, es meridiano que se ha acudido a esta vía constitucional sin haber agotado la que fue incoada ante la jurisdicción ordinaria (art. 43.1 LOTC, último inciso), lo que impone la inadmisión del recurso.</w:t>
      </w:r>
    </w:p>
    <w:p w14:paraId="4C963D6B" w14:textId="77777777" w:rsidR="008D479B" w:rsidRDefault="008D479B" w:rsidP="008D479B">
      <w:pPr>
        <w:pStyle w:val="TextoNormal"/>
      </w:pPr>
    </w:p>
    <w:p w14:paraId="004F869F" w14:textId="77777777" w:rsidR="008D479B" w:rsidRDefault="008D479B" w:rsidP="008D479B">
      <w:pPr>
        <w:pStyle w:val="TextoNormalCentrado"/>
        <w:keepNext/>
      </w:pPr>
      <w:r>
        <w:t>FALLO</w:t>
      </w:r>
    </w:p>
    <w:p w14:paraId="50E017E1" w14:textId="4000F8A4" w:rsidR="008D479B" w:rsidRDefault="008D479B" w:rsidP="008D479B">
      <w:pPr>
        <w:pStyle w:val="TextoNormalCentrado"/>
        <w:keepNext/>
      </w:pPr>
    </w:p>
    <w:p w14:paraId="37031B2F" w14:textId="06BDA864" w:rsidR="008D479B" w:rsidRDefault="008D479B" w:rsidP="008D479B">
      <w:pPr>
        <w:pStyle w:val="TextoNormal"/>
      </w:pPr>
      <w:r>
        <w:t>En atención a todo lo expuesto, el Tribunal Constitucional, por la autoridad que le confiere la Constitución de la Nación española, ha decidido inadmitir el recurso de amparo interpuesto por don Pau Juvillà i Ballester por falta de agotamiento de la vía judicial precedente (art. 43.1 LOTC).</w:t>
      </w:r>
    </w:p>
    <w:p w14:paraId="37A6B133" w14:textId="77777777" w:rsidR="008D479B" w:rsidRDefault="008D479B" w:rsidP="008D479B">
      <w:pPr>
        <w:pStyle w:val="TextoNormal"/>
      </w:pPr>
    </w:p>
    <w:p w14:paraId="2E8EE6D5" w14:textId="77777777" w:rsidR="008D479B" w:rsidRDefault="008D479B" w:rsidP="008D479B">
      <w:pPr>
        <w:pStyle w:val="TextoNormal"/>
      </w:pPr>
      <w:r>
        <w:t>Publíquese esta sentencia en el “Boletín Oficial del Estado”.</w:t>
      </w:r>
    </w:p>
    <w:p w14:paraId="47CB1AB0" w14:textId="77777777" w:rsidR="008D479B" w:rsidRDefault="008D479B" w:rsidP="008D479B">
      <w:pPr>
        <w:pStyle w:val="TextoNormal"/>
      </w:pPr>
      <w:r>
        <w:t>Dada en Madrid, a tres de julio de dos mil veintitrés.</w:t>
      </w:r>
    </w:p>
    <w:p w14:paraId="01DA3F59" w14:textId="2CBCEC0F" w:rsidR="008D479B" w:rsidRDefault="008D479B">
      <w:pPr>
        <w:spacing w:after="160" w:line="278" w:lineRule="auto"/>
        <w:rPr>
          <w:rFonts w:ascii="Times New Roman" w:eastAsia="Times New Roman" w:hAnsi="Times New Roman" w:cs="Times New Roman"/>
          <w:sz w:val="24"/>
          <w:szCs w:val="24"/>
          <w:lang w:eastAsia="es-ES"/>
        </w:rPr>
      </w:pPr>
      <w:r>
        <w:br w:type="page"/>
      </w:r>
    </w:p>
    <w:p w14:paraId="13F3E9EA" w14:textId="77777777" w:rsidR="008D479B" w:rsidRDefault="008D479B" w:rsidP="008D479B">
      <w:pPr>
        <w:pStyle w:val="TtuloResolucin"/>
      </w:pPr>
      <w:bookmarkStart w:id="8" w:name="SENTENCIA_2023_83"/>
      <w:r>
        <w:t>SENTENCIA 83/2023, de 4 de julio de 2023</w:t>
      </w:r>
    </w:p>
    <w:bookmarkEnd w:id="8"/>
    <w:p w14:paraId="4508F66F" w14:textId="77777777" w:rsidR="008D479B" w:rsidRDefault="008D479B" w:rsidP="008D479B">
      <w:pPr>
        <w:pStyle w:val="TtuloResolucin"/>
      </w:pPr>
      <w:r>
        <w:t>Pleno</w:t>
      </w:r>
    </w:p>
    <w:p w14:paraId="2F6C030C" w14:textId="77777777" w:rsidR="008D479B" w:rsidRDefault="008D479B" w:rsidP="008D479B">
      <w:pPr>
        <w:pStyle w:val="TtuloBOE"/>
      </w:pPr>
      <w:r>
        <w:t>(BOE núm. 184, de 3 de agosto de 2023)</w:t>
      </w:r>
    </w:p>
    <w:p w14:paraId="669AD83B" w14:textId="77777777" w:rsidR="008D479B" w:rsidRDefault="008D479B" w:rsidP="008D479B">
      <w:pPr>
        <w:pStyle w:val="TextoNormalCentrado"/>
      </w:pPr>
      <w:r>
        <w:t>ECLI:ES:TC:2023:83</w:t>
      </w:r>
    </w:p>
    <w:p w14:paraId="53357D84" w14:textId="461D217F" w:rsidR="008D479B" w:rsidRDefault="008D479B" w:rsidP="008D479B">
      <w:pPr>
        <w:pStyle w:val="TextoNormalCentrado"/>
      </w:pPr>
    </w:p>
    <w:p w14:paraId="32F0D2D6" w14:textId="77777777" w:rsidR="008D479B" w:rsidRDefault="008D479B" w:rsidP="008D479B">
      <w:pPr>
        <w:pStyle w:val="SntesisDescriptiva"/>
      </w:pPr>
      <w:r>
        <w:t>Recurso de amparo 4913-2020. Promovido por Menéame Comunicaciones, S.L., respecto de las sentencias dictadas por la Sala de lo Civil del Tribunal Supremo y la Audiencia Provincial de Málaga que le condenaron por intromisión ilegítima en el derecho al honor.</w:t>
      </w:r>
    </w:p>
    <w:p w14:paraId="2C2F3797" w14:textId="50B460C2" w:rsidR="008D479B" w:rsidRDefault="008D479B" w:rsidP="008D479B">
      <w:pPr>
        <w:pStyle w:val="SntesisDescriptiva"/>
      </w:pPr>
    </w:p>
    <w:p w14:paraId="7A91B35B" w14:textId="77777777" w:rsidR="008D479B" w:rsidRDefault="008D479B" w:rsidP="008D479B">
      <w:pPr>
        <w:pStyle w:val="SntesisAnaltica"/>
      </w:pPr>
      <w:r>
        <w:t>Supuesta vulneración de los derechos a la libertad de expresión y a la tutela judicial efectiva: comentario publicado en la página web de la mercantil demandante en el que, al valorar la conducta de un cargo público, se incluyen expresiones injuriosas o vejatorias, innecesarias para expresar la opinión crítica que se emite. Votos particulares.</w:t>
      </w:r>
    </w:p>
    <w:p w14:paraId="2468E4EE" w14:textId="517B1998" w:rsidR="008D479B" w:rsidRDefault="008D479B" w:rsidP="008D479B">
      <w:pPr>
        <w:pStyle w:val="SntesisAnaltica"/>
      </w:pPr>
    </w:p>
    <w:p w14:paraId="70D88470" w14:textId="501BA8E3" w:rsidR="008D479B" w:rsidRDefault="008D479B" w:rsidP="008D479B">
      <w:pPr>
        <w:pStyle w:val="Extracto"/>
      </w:pPr>
      <w:r>
        <w:t>1.</w:t>
      </w:r>
      <w:r>
        <w:tab/>
        <w:t xml:space="preserve">La utilización de frases vulgares o soeces queda fuera del ámbito de protección del art. 10 CEDH cuando supongan una vejación gratuita o cuando el único propósito de la declaración ofensiva sea insultar (STEDH de 28 de septiembre de 2000, asunto </w:t>
      </w:r>
      <w:r w:rsidRPr="008D479B">
        <w:rPr>
          <w:i/>
        </w:rPr>
        <w:t>Lopes Gomes da Silva c. Portugal</w:t>
      </w:r>
      <w:r>
        <w:t xml:space="preserve">, § 34; STEDH de 27 de mayo de 2003, asunto </w:t>
      </w:r>
      <w:r w:rsidRPr="008D479B">
        <w:rPr>
          <w:i/>
        </w:rPr>
        <w:t>Skalka c. Polonia</w:t>
      </w:r>
      <w:r>
        <w:t>, § 34) [FJ 4].</w:t>
      </w:r>
    </w:p>
    <w:p w14:paraId="1A9B1B73" w14:textId="77777777" w:rsidR="008D479B" w:rsidRDefault="008D479B" w:rsidP="008D479B">
      <w:pPr>
        <w:pStyle w:val="Extracto"/>
      </w:pPr>
    </w:p>
    <w:p w14:paraId="71A07B5C" w14:textId="64BC017D" w:rsidR="008D479B" w:rsidRDefault="008D479B" w:rsidP="008D479B">
      <w:pPr>
        <w:pStyle w:val="Extracto"/>
      </w:pPr>
      <w:r>
        <w:t>2.</w:t>
      </w:r>
      <w:r>
        <w:tab/>
        <w:t>El ejercicio del derecho de crítica no permite emplear expresiones formalmente injuriosas o innecesarias para lo que se desea expresar, que bien pueden constituir intromisiones constitucionalmente ilegítimas en el honor o en la intimidad personal o familiar ajenas (SSTC 105/1990, 85/1992, 200/1998, 192/1999 y 112/2000) [FJ 4].</w:t>
      </w:r>
    </w:p>
    <w:p w14:paraId="4AD05E5C" w14:textId="77777777" w:rsidR="008D479B" w:rsidRDefault="008D479B" w:rsidP="008D479B">
      <w:pPr>
        <w:pStyle w:val="Extracto"/>
      </w:pPr>
    </w:p>
    <w:p w14:paraId="1C6EC718" w14:textId="3F0B090E" w:rsidR="008D479B" w:rsidRDefault="008D479B" w:rsidP="008D479B">
      <w:pPr>
        <w:pStyle w:val="Extracto"/>
      </w:pPr>
      <w:r>
        <w:t>3.</w:t>
      </w:r>
      <w:r>
        <w:tab/>
        <w:t xml:space="preserve">Las específicas características del uso de internet y redes sociales así como su modo de difusión deben ser tenidas en cuenta en orden a concretar las reglas de delimitación entre derechos, para garantizar su promoción, pero también su debida protección. La difusión en línea de ataques personales, que sobrepasan el marco de un debate sobre las ideas, no está protegida por la libertad de expresión (SSTEDH de 16 de enero de 2014, asunto </w:t>
      </w:r>
      <w:r w:rsidRPr="008D479B">
        <w:rPr>
          <w:i/>
        </w:rPr>
        <w:t>Tierbefreier E.V. c. Alemania,</w:t>
      </w:r>
      <w:r>
        <w:t xml:space="preserve"> y la muy reciente, de 15 de mayo de 2023, asunto </w:t>
      </w:r>
      <w:r w:rsidRPr="008D479B">
        <w:rPr>
          <w:i/>
        </w:rPr>
        <w:t>Sánchez c. Francia</w:t>
      </w:r>
      <w:r>
        <w:t>, de la Gran Sala) [FJ 5].</w:t>
      </w:r>
    </w:p>
    <w:p w14:paraId="032CD888" w14:textId="77777777" w:rsidR="008D479B" w:rsidRDefault="008D479B" w:rsidP="008D479B">
      <w:pPr>
        <w:pStyle w:val="Extracto"/>
      </w:pPr>
    </w:p>
    <w:p w14:paraId="2356AF11" w14:textId="068D9154" w:rsidR="008D479B" w:rsidRDefault="008D479B" w:rsidP="008D479B">
      <w:pPr>
        <w:pStyle w:val="Extracto"/>
      </w:pPr>
      <w:r>
        <w:t>4.</w:t>
      </w:r>
      <w:r>
        <w:tab/>
        <w:t xml:space="preserve">La incongruencia omisiva o </w:t>
      </w:r>
      <w:r w:rsidRPr="008D479B">
        <w:rPr>
          <w:i/>
        </w:rPr>
        <w:t>ex silentio</w:t>
      </w:r>
      <w:r>
        <w:t xml:space="preserve"> se produce cuando el órgano judicial deja sin contestar alguna de las pretensiones sometidas a su consideración, siempre que no quepa interpretar razonablemente el silencio judicial como una desestimación tácita cuya motivación pueda inducirse del conjunto de los razonamientos contenidos en la resolución [FJ 7].</w:t>
      </w:r>
    </w:p>
    <w:p w14:paraId="0E018DB7" w14:textId="77777777" w:rsidR="008D479B" w:rsidRDefault="008D479B" w:rsidP="008D479B">
      <w:pPr>
        <w:pStyle w:val="Extracto"/>
      </w:pPr>
    </w:p>
    <w:p w14:paraId="43C6B8CF" w14:textId="2F5BEA4F" w:rsidR="008D479B" w:rsidRDefault="008D479B" w:rsidP="008D479B">
      <w:pPr>
        <w:pStyle w:val="Extracto"/>
      </w:pPr>
      <w:r>
        <w:t>5.</w:t>
      </w:r>
      <w:r>
        <w:tab/>
        <w:t>Para satisfacer el derecho a la tutela judicial efectiva no es precisa una contestación explícita y pormenorizada a cada alegación aducida por las partes como fundamento de su pretensión, pudiendo bastar, en atención a las circunstancias concurrentes, que el órgano judicial otorgue una respuesta global o genérica, aunque se omitan pronunciamientos respecto de alegaciones concretas no sustanciales (SSTC 40/2006 y 39/2023) [FJ 7].</w:t>
      </w:r>
    </w:p>
    <w:p w14:paraId="3DA1EFC1" w14:textId="77777777" w:rsidR="008D479B" w:rsidRDefault="008D479B" w:rsidP="008D479B">
      <w:pPr>
        <w:pStyle w:val="Extracto"/>
      </w:pPr>
    </w:p>
    <w:p w14:paraId="6ECC1EF7" w14:textId="7A629123" w:rsidR="008D479B" w:rsidRDefault="008D479B" w:rsidP="008D479B">
      <w:pPr>
        <w:pStyle w:val="Extracto"/>
      </w:pPr>
      <w:r>
        <w:t>6.</w:t>
      </w:r>
      <w:r>
        <w:tab/>
        <w:t>El órgano judicial debe realizar una interpretación no restrictiva de los motivos de inadmisión; y las decisiones de inadmisión del incidente de nulidad de actuaciones, cuando es procedente su planteamiento, implican la preterición del mecanismo de tutela ante la jurisdicción ordinaria (STC 102/2020) [FJ 7].</w:t>
      </w:r>
    </w:p>
    <w:p w14:paraId="3224C028" w14:textId="77777777" w:rsidR="008D479B" w:rsidRDefault="008D479B" w:rsidP="008D479B">
      <w:pPr>
        <w:pStyle w:val="Extracto"/>
      </w:pPr>
    </w:p>
    <w:p w14:paraId="7A5F8B8E" w14:textId="77777777" w:rsidR="008D479B" w:rsidRDefault="008D479B" w:rsidP="008D479B">
      <w:pPr>
        <w:pStyle w:val="Extracto"/>
      </w:pPr>
    </w:p>
    <w:p w14:paraId="3FA92CE3" w14:textId="77777777" w:rsidR="008D479B" w:rsidRDefault="008D479B" w:rsidP="008D479B">
      <w:pPr>
        <w:pStyle w:val="TextoNormal"/>
      </w:pPr>
      <w:r>
        <w:t>El Pleno del Tribunal Constitucional, compuesto por el magistrado don Cándido Conde-Pumpido Tourón, presidente, y las magistradas y los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 ha pronunciado</w:t>
      </w:r>
    </w:p>
    <w:p w14:paraId="60FCE2DB" w14:textId="3A6B40FE" w:rsidR="008D479B" w:rsidRDefault="008D479B" w:rsidP="008D479B">
      <w:pPr>
        <w:pStyle w:val="TextoNormal"/>
      </w:pPr>
    </w:p>
    <w:p w14:paraId="1CA07ACC" w14:textId="77777777" w:rsidR="008D479B" w:rsidRDefault="008D479B" w:rsidP="008D479B">
      <w:pPr>
        <w:pStyle w:val="TextoNormalCentrado"/>
        <w:keepNext/>
      </w:pPr>
      <w:r>
        <w:t>EN NOMBRE DEL REY</w:t>
      </w:r>
    </w:p>
    <w:p w14:paraId="28C07C07" w14:textId="7B62E963" w:rsidR="008D479B" w:rsidRDefault="008D479B" w:rsidP="008D479B">
      <w:pPr>
        <w:pStyle w:val="TextoNormalCentrado"/>
        <w:keepNext/>
      </w:pPr>
    </w:p>
    <w:p w14:paraId="5F7EAEEC" w14:textId="77777777" w:rsidR="008D479B" w:rsidRDefault="008D479B" w:rsidP="008D479B">
      <w:pPr>
        <w:pStyle w:val="TextoNormalCentrado"/>
        <w:keepNext/>
      </w:pPr>
    </w:p>
    <w:p w14:paraId="686FA915" w14:textId="77777777" w:rsidR="008D479B" w:rsidRDefault="008D479B" w:rsidP="008D479B">
      <w:pPr>
        <w:pStyle w:val="TextoNormal"/>
      </w:pPr>
      <w:r>
        <w:t>la siguiente</w:t>
      </w:r>
    </w:p>
    <w:p w14:paraId="464DC48F" w14:textId="307A8C93" w:rsidR="008D479B" w:rsidRDefault="008D479B" w:rsidP="008D479B">
      <w:pPr>
        <w:pStyle w:val="TextoNormal"/>
      </w:pPr>
    </w:p>
    <w:p w14:paraId="0CE6F9D4" w14:textId="77777777" w:rsidR="008D479B" w:rsidRDefault="008D479B" w:rsidP="008D479B">
      <w:pPr>
        <w:pStyle w:val="TextoNormalCentrado"/>
        <w:keepNext/>
      </w:pPr>
      <w:r>
        <w:t>SENTENCIA</w:t>
      </w:r>
    </w:p>
    <w:p w14:paraId="786F720D" w14:textId="66776192" w:rsidR="008D479B" w:rsidRDefault="008D479B" w:rsidP="008D479B">
      <w:pPr>
        <w:pStyle w:val="TextoNormalCentrado"/>
        <w:keepNext/>
      </w:pPr>
    </w:p>
    <w:p w14:paraId="521AD7AC" w14:textId="77777777" w:rsidR="008D479B" w:rsidRDefault="008D479B" w:rsidP="008D479B">
      <w:pPr>
        <w:pStyle w:val="TextoNormal"/>
      </w:pPr>
      <w:r>
        <w:t>En el recurso de amparo núm. 4913-2020, promovido por Menéame Comunicaciones, S.L., representado por la procuradora de los tribunales doña Mercedes Caro Bonilla, bajo la dirección letrada de doña Susana López Casas, contra la providencia de la Sala de lo Civil del Tribunal Supremo de 27 de julio de 2020, que inadmitió el incidente de nulidad de actuaciones interpuesto contra la sentencia núm. 235/2020, de 2 de junio, dictada por la misma Sala, que a su vez desestimaba el recurso de casación interpuesto frente a la sentencia dictada el 5 de febrero de 2018 por la Audiencia Provincial de Málaga (Sección Cuarta). Ha intervenido el Ministerio Fiscal. Ha sido ponente el magistrado don Juan Carlos Campo Moreno.</w:t>
      </w:r>
    </w:p>
    <w:p w14:paraId="479613FC" w14:textId="487881DD" w:rsidR="008D479B" w:rsidRDefault="008D479B" w:rsidP="008D479B">
      <w:pPr>
        <w:pStyle w:val="TextoNormal"/>
      </w:pPr>
    </w:p>
    <w:p w14:paraId="1349B954" w14:textId="77777777" w:rsidR="008D479B" w:rsidRDefault="008D479B" w:rsidP="008D479B">
      <w:pPr>
        <w:pStyle w:val="TextoNormalNegritaCentrado"/>
        <w:keepNext/>
      </w:pPr>
      <w:r>
        <w:t>I. Antecedentes</w:t>
      </w:r>
    </w:p>
    <w:p w14:paraId="095BA83E" w14:textId="1C521058" w:rsidR="008D479B" w:rsidRDefault="008D479B" w:rsidP="008D479B">
      <w:pPr>
        <w:pStyle w:val="TextoNormalNegritaCentrado"/>
        <w:keepNext/>
      </w:pPr>
    </w:p>
    <w:p w14:paraId="6644B745" w14:textId="770C4F72" w:rsidR="008D479B" w:rsidRDefault="008D479B" w:rsidP="008D479B">
      <w:pPr>
        <w:pStyle w:val="TextoNormal"/>
      </w:pPr>
      <w:r w:rsidRPr="008D479B">
        <w:rPr>
          <w:rStyle w:val="NumeroAFNegritaCaracter"/>
        </w:rPr>
        <w:t>1</w:t>
      </w:r>
      <w:r>
        <w:t>. Mediante escrito registrado en este tribunal el 19 de octubre de 2020, la representación procesal de Menéame Comunicaciones, S.L., interpuso demanda de amparo contra las resoluciones que se mencionan en el encabezamiento, alegándose vulneración del derecho a la tutela judicial efectiva (art. 24.1 CE) y vulneración del derecho a la libertad de expresión (art. 20.1 CE).</w:t>
      </w:r>
    </w:p>
    <w:p w14:paraId="6B3BB202" w14:textId="77777777" w:rsidR="008D479B" w:rsidRDefault="008D479B" w:rsidP="008D479B">
      <w:pPr>
        <w:pStyle w:val="TextoNormal"/>
      </w:pPr>
    </w:p>
    <w:p w14:paraId="2C804E3C" w14:textId="77777777" w:rsidR="008D479B" w:rsidRDefault="008D479B" w:rsidP="008D479B">
      <w:pPr>
        <w:pStyle w:val="TextoNormal"/>
      </w:pPr>
      <w:r w:rsidRPr="008D479B">
        <w:rPr>
          <w:rStyle w:val="NumeroAFNegritaCaracter"/>
        </w:rPr>
        <w:t>2</w:t>
      </w:r>
      <w:r>
        <w:t>. El recurso tiene su origen en los siguientes antecedentes:</w:t>
      </w:r>
    </w:p>
    <w:p w14:paraId="0A40AFB0" w14:textId="77777777" w:rsidR="008D479B" w:rsidRDefault="008D479B" w:rsidP="008D479B">
      <w:pPr>
        <w:pStyle w:val="TextoNormal"/>
      </w:pPr>
    </w:p>
    <w:p w14:paraId="5994EC23" w14:textId="77777777" w:rsidR="008D479B" w:rsidRDefault="008D479B" w:rsidP="008D479B">
      <w:pPr>
        <w:pStyle w:val="TextoNormal"/>
      </w:pPr>
      <w:r>
        <w:t>a) En fecha 5 de noviembre de 2015, la entidad mercantil demandante de amparo, Menéame Comunicaciones, S.L., alojó en su sitio web “www.meneame.net”, un enlace a una noticia externa que había sido publicada en un medio de comunicación digital. El texto del enlace era el siguiente: “El concejal de fiestas del Partido Popular de Marbella [en ese momento, don D.L.M.] gastó 14 600 € en teléfono en un mes”. El enlace incorporaba a continuación el siguiente subtexto: “D.L. [con indicación de nombre y apellido en el original] gastó 14 646,40 € durante el mes de febrero, su primer mes como concejal, puesto que tomó posesión el 25 de enero de 2013. Cuando era director general de Juventud, en noviembre de 2010, gastó 2 878,78 €”. Con ocasión de la incorporación de este enlace al sitio web, varios usuarios redactaron y remitieron comentarios escritos en la sección expresamente habilitada para introducir mensajes relacionados con ese concreto contenido. En el segundo de ellos, un usuario se refirió al concejal llamándole “hijo de puta”, “ladrón” y “ladrón de toda la puta vida”. Estos textos fueron incorporados al sitio web por sus responsables sin identificación de su autor y resultaban accesibles a cualquier usuario de la red.</w:t>
      </w:r>
    </w:p>
    <w:p w14:paraId="7F0EBEFE" w14:textId="77777777" w:rsidR="008D479B" w:rsidRDefault="008D479B" w:rsidP="008D479B">
      <w:pPr>
        <w:pStyle w:val="TextoNormal"/>
      </w:pPr>
    </w:p>
    <w:p w14:paraId="2EE9684C" w14:textId="77777777" w:rsidR="008D479B" w:rsidRDefault="008D479B" w:rsidP="008D479B">
      <w:pPr>
        <w:pStyle w:val="TextoNormal"/>
      </w:pPr>
      <w:r>
        <w:t>b) Diez meses después, el 2 de septiembre de 2016, don D.L.M., dirigió, a través de un despacho de abogados, un correo electrónico a la dirección de contacto facilitada por el propio sitio web “Menéame” para reportar abusos. En dicho correo exigía, con previa identificación del concreto enlace por su título, que los referidos comentarios fueran retirados o borrados del portal y que se le facilitara la identidad de sus autores, con apercibimiento de iniciar acciones legales de no ser atendida su reclamación. Al no recibir respuesta alguna y al permanecer los comentarios en la web, don D.L.M., remitió en fecha 7 de septiembre de 2016 un burofax al domicilio social de Menéame Comunicaciones, S.L., en el que exigía, nuevamente, “la retirada de dichos comentarios” y la identificación “de los autores de los mismos”, reservándose, de no ser atendida su petición, las acciones legales oportunas.</w:t>
      </w:r>
    </w:p>
    <w:p w14:paraId="47E002A9" w14:textId="77777777" w:rsidR="008D479B" w:rsidRDefault="008D479B" w:rsidP="008D479B">
      <w:pPr>
        <w:pStyle w:val="TextoNormal"/>
      </w:pPr>
    </w:p>
    <w:p w14:paraId="20124422" w14:textId="77777777" w:rsidR="008D479B" w:rsidRDefault="008D479B" w:rsidP="008D479B">
      <w:pPr>
        <w:pStyle w:val="TextoNormal"/>
      </w:pPr>
      <w:r>
        <w:t>c) El 5 de octubre de 2016 don D.L.M., presentó demanda de juicio ordinario contra la entidad Menéame Comunicaciones, S.L., por intromisión ilegítima en su derecho al honor. En la demanda se formulaban, en síntesis, las siguientes alegaciones: (i) Los comentarios vertidos por los diferentes usuarios son expresiones que constituyen insultos y locuciones injuriosas que nada tienen que ver con la libertad de expresión; (ii) estos comentarios no fueron borrados ni retirados por la demandada, pese a los requerimientos realizados al efecto desde el mes de septiembre de 2016; (iii) se ha generado un evidente perjuicio personal al demandante toda vez que dichos comentarios aparecían como “destacados” en el portal web “www.meneame.net”, teniendo por ello una amplia difusión; (iv) existe una responsabilidad de la mercantil demandada como titular del dominio en el que se publicaron los comentarios ofensivos por su falta de diligencia, al no haber retirado los comentarios pese a haber tenido conocimiento de ellos y habérselo solicitado expresamente el demandante.</w:t>
      </w:r>
    </w:p>
    <w:p w14:paraId="7F9AC848" w14:textId="77777777" w:rsidR="008D479B" w:rsidRDefault="008D479B" w:rsidP="008D479B">
      <w:pPr>
        <w:pStyle w:val="TextoNormal"/>
      </w:pPr>
    </w:p>
    <w:p w14:paraId="20871C4B" w14:textId="77777777" w:rsidR="008D479B" w:rsidRDefault="008D479B" w:rsidP="008D479B">
      <w:pPr>
        <w:pStyle w:val="TextoNormal"/>
      </w:pPr>
      <w:r>
        <w:t>Con fundamento en lo anteriormente señalado, don D.L.M., solicitaba que se declarase vulnerado su derecho al honor y se condenase a la entidad Menéame Comunicaciones, S.L., a: (i) La difusión integra de la sentencia en el portal web “www.meneame.net” o, en su defecto, del fallo de aquella “con indicación temporal de la permanencia del mismo”; (ii) a indemnizarle en la cantidad de 30 000 € por los perjuicios ocasionados.</w:t>
      </w:r>
    </w:p>
    <w:p w14:paraId="327A45FF" w14:textId="77777777" w:rsidR="008D479B" w:rsidRDefault="008D479B" w:rsidP="008D479B">
      <w:pPr>
        <w:pStyle w:val="TextoNormal"/>
      </w:pPr>
    </w:p>
    <w:p w14:paraId="537D3236" w14:textId="77777777" w:rsidR="008D479B" w:rsidRDefault="008D479B" w:rsidP="008D479B">
      <w:pPr>
        <w:pStyle w:val="TextoNormal"/>
      </w:pPr>
      <w:r>
        <w:t>d) En su contestación a la demanda, la ahora recurrente de amparo rechazó toda responsabilidad por las noticias enlazadas en su sitio web y por los comentarios introducidos por los usuarios.</w:t>
      </w:r>
    </w:p>
    <w:p w14:paraId="5A3CC091" w14:textId="77777777" w:rsidR="008D479B" w:rsidRDefault="008D479B" w:rsidP="008D479B">
      <w:pPr>
        <w:pStyle w:val="TextoNormal"/>
      </w:pPr>
    </w:p>
    <w:p w14:paraId="4ADF5CF1" w14:textId="77777777" w:rsidR="008D479B" w:rsidRDefault="008D479B" w:rsidP="008D479B">
      <w:pPr>
        <w:pStyle w:val="TextoNormal"/>
      </w:pPr>
      <w:r>
        <w:t>Alegó, en particular, que no tenía la condición de medio de comunicación sino de mero agregador de contenidos de internet que se limita a incorporar enlaces a noticias publicadas en medios ajenos. Según afirmaba: La página “Menéame no se crea en su día como un medio de comunicación sino como un mero agregador de contenidos de internet”. Su única función es “incorporar enlaces a noticias de medios ajenos, aportados por los numerosos usuarios del sitio. No publican noticias ni reportajes propios. Ello la configura como un intermediario de internet, con un régimen jurídico específico y distinto al de los medios de comunicación directa”.</w:t>
      </w:r>
    </w:p>
    <w:p w14:paraId="17D1A2DC" w14:textId="77777777" w:rsidR="008D479B" w:rsidRDefault="008D479B" w:rsidP="008D479B">
      <w:pPr>
        <w:pStyle w:val="TextoNormal"/>
      </w:pPr>
    </w:p>
    <w:p w14:paraId="5FEED486" w14:textId="77777777" w:rsidR="008D479B" w:rsidRDefault="008D479B" w:rsidP="008D479B">
      <w:pPr>
        <w:pStyle w:val="TextoNormal"/>
      </w:pPr>
      <w:r>
        <w:t>Según añadía, los “calificativos” controvertidos “constituyen mensajes procedentes de los usuarios de la página propiedad de mi representada, publicados por sus propios autores, no por Menéame Comunicaciones, S.L.”. Consiguientemente, eran de aplicación, alegaba, los arts. 16 y 17 de la Ley 34/2002, de 11 de julio, de servicios de la sociedad de la información (en adelante LSSI) que establecen la inexistencia de responsabilidad de un prestador intermediario por los datos y enlaces introducidos por los usuarios, cuando no hay conocimiento efectivo de la ilicitud de los mismos.</w:t>
      </w:r>
    </w:p>
    <w:p w14:paraId="2DFD2141" w14:textId="77777777" w:rsidR="008D479B" w:rsidRDefault="008D479B" w:rsidP="008D479B">
      <w:pPr>
        <w:pStyle w:val="TextoNormal"/>
      </w:pPr>
    </w:p>
    <w:p w14:paraId="7F7B37E2" w14:textId="77777777" w:rsidR="008D479B" w:rsidRDefault="008D479B" w:rsidP="008D479B">
      <w:pPr>
        <w:pStyle w:val="TextoNormal"/>
      </w:pPr>
      <w:r>
        <w:t>En relación con la existencia de dicho “conocimiento efectivo” consideraba la ahora recurrente de amparo que las dos comunicaciones recibidas de don D.L.M., una mediante correo electrónico y otra por burofax, no concretaban suficientemente los comentarios cuya retirada inmediata se interesaba. Solo los identificaba por el título de la “noticia enlazada”, método de identificación que, a la vista del volumen de visitas del sitio web, no era suficiente para localizar los comentarios aludidos. Solo mediante la identificación de la “URL”, esto es de “la dirección específica que conduce a la ubicación del archivo” habría podido Menéame Comunicaciones, S.L., según alegaba, localizar de forma efectiva el referido contenido. De hecho, una vez presentada la demanda, en la que se concretaba la “URL”, la mercantil procedió a retirar los comentarios denunciados por don D.L.M.</w:t>
      </w:r>
    </w:p>
    <w:p w14:paraId="0A0A4477" w14:textId="77777777" w:rsidR="008D479B" w:rsidRDefault="008D479B" w:rsidP="008D479B">
      <w:pPr>
        <w:pStyle w:val="TextoNormal"/>
      </w:pPr>
    </w:p>
    <w:p w14:paraId="0F048EB8" w14:textId="77777777" w:rsidR="008D479B" w:rsidRDefault="008D479B" w:rsidP="008D479B">
      <w:pPr>
        <w:pStyle w:val="TextoNormal"/>
      </w:pPr>
      <w:r>
        <w:t>Señalaba la ahora demandante de amparo que comprendía “el malestar del demandante ante los comentarios vertidos por terceros” pero afirmaba que “no puede asumir la responsabilidad de unos contenidos sobre los que no tiene control y que no publica como propios. Forman parte de los foros y son emitidos por terceros que ejercen su derecho a la libertad de expresión”.</w:t>
      </w:r>
    </w:p>
    <w:p w14:paraId="0DB2FA04" w14:textId="77777777" w:rsidR="008D479B" w:rsidRDefault="008D479B" w:rsidP="008D479B">
      <w:pPr>
        <w:pStyle w:val="TextoNormal"/>
      </w:pPr>
    </w:p>
    <w:p w14:paraId="101E3C52" w14:textId="77777777" w:rsidR="008D479B" w:rsidRDefault="008D479B" w:rsidP="008D479B">
      <w:pPr>
        <w:pStyle w:val="TextoNormal"/>
      </w:pPr>
      <w:r>
        <w:t>Al narrar el origen de la petición de retirada de contenidos, la mercantil afirmaba que, en todo caso, los comentarios vertidos por terceros de los que se quejaba don D.L.M., no eran contrarios al derecho al honor, puesto que se enmarcaban en un “particular contexto” de crítica política. El destinatario de los comentarios ocupaba un cargo público, en una “situación económica complicada y en una sucesión sin fin de casos de corrupción que son noticia casi a diario”. El consiguiente “malestar social” se reflejaba necesariamente mediante “manifestaciones ciertamente vehementes o incluso subidas de tono en ocasiones” pero no lesivas del derecho fundamental.</w:t>
      </w:r>
    </w:p>
    <w:p w14:paraId="677CDEF7" w14:textId="77777777" w:rsidR="008D479B" w:rsidRDefault="008D479B" w:rsidP="008D479B">
      <w:pPr>
        <w:pStyle w:val="TextoNormal"/>
      </w:pPr>
    </w:p>
    <w:p w14:paraId="167320A8" w14:textId="77777777" w:rsidR="008D479B" w:rsidRDefault="008D479B" w:rsidP="008D479B">
      <w:pPr>
        <w:pStyle w:val="TextoNormal"/>
      </w:pPr>
      <w:r>
        <w:t xml:space="preserve">e) El Juzgado de Primera Instancia núm. 3 de Marbella desestimó la demanda mediante la sentencia núm. 97/2017, de 12 de abril, recaída en el juicio ordinario núm. 948-2016. En la referida sentencia, el juzgado considera que el objeto litigioso tiene un contenido doble. Según señala la resolución (FJ 2) se trata “de determinar, en primer lugar y como presupuesto esencial de la acción entablada, si las expresiones objeto de la </w:t>
      </w:r>
      <w:r w:rsidRPr="008D479B">
        <w:rPr>
          <w:i/>
        </w:rPr>
        <w:t>litis</w:t>
      </w:r>
      <w:r>
        <w:t xml:space="preserve"> (antes reseñadas), son o no constitutivas de lesión o intromisión ilegítima en el derecho al honor”. Solo en caso de concurrir este presupuesto (la intromisión ilegítima en el derecho al honor por parte de los usuarios) habría de resolverse la cuestión relativa a “si la mercantil demandada […] tuvo o no un conocimiento efectivo de la publicación de tales expresiones en los comentarios […], si conoce a los autores de los comentarios, si actuó o no con la debida diligencia en la retirada de tales comentarios una vez fueron conocidos, y sobre la existencia de responsabilidad por su parte en relación con dicha publicación”.</w:t>
      </w:r>
    </w:p>
    <w:p w14:paraId="17C4BA47" w14:textId="77777777" w:rsidR="008D479B" w:rsidRDefault="008D479B" w:rsidP="008D479B">
      <w:pPr>
        <w:pStyle w:val="TextoNormal"/>
      </w:pPr>
    </w:p>
    <w:p w14:paraId="718C1B12" w14:textId="77777777" w:rsidR="008D479B" w:rsidRDefault="008D479B" w:rsidP="008D479B">
      <w:pPr>
        <w:pStyle w:val="TextoNormal"/>
      </w:pPr>
      <w:r>
        <w:t xml:space="preserve">Respondiendo a la primera cuestión, considera la sentencia que los comentarios efectuados se enmarcaban en un contexto social de una profunda crisis económica y de una creciente preocupación por los numerosos casos de corrupción que existían en territorio nacional. El carácter coloquial de las expresiones utilizadas, unido al ámbito más tolerable de la crítica en relación con las actuaciones de empleados públicos, justificaba “calificarlos de objetivamente injuriosos en relación con dicho contexto y han de considerarse amparados por el ejercicio de la libertad de expresión, sin que quepa apreciar […] </w:t>
      </w:r>
      <w:r w:rsidRPr="008D479B">
        <w:rPr>
          <w:i/>
        </w:rPr>
        <w:t>animus iniuriandi</w:t>
      </w:r>
      <w:r>
        <w:t xml:space="preserve"> o actitud difamatoria o injuriante de carácter directo”. En consecuencia, “declarada la inexistencia de intromisión ilegítima en el derecho al honor” del actor, la sentencia estima que no procede “entrar a resolver la cuestión relativa a la responsabilidad de la demandada como titular del dominio de la web en cuestión, cuyo objeto y finalidad es incorporar enlaces a noticias de medios ajenos aportados por los usuarios sin publicar noticias ni reportajes propios”.</w:t>
      </w:r>
    </w:p>
    <w:p w14:paraId="7C849272" w14:textId="77777777" w:rsidR="008D479B" w:rsidRDefault="008D479B" w:rsidP="008D479B">
      <w:pPr>
        <w:pStyle w:val="TextoNormal"/>
      </w:pPr>
    </w:p>
    <w:p w14:paraId="644F5D3F" w14:textId="77777777" w:rsidR="008D479B" w:rsidRDefault="008D479B" w:rsidP="008D479B">
      <w:pPr>
        <w:pStyle w:val="TextoNormal"/>
      </w:pPr>
      <w:r>
        <w:t>f) Don D.L.M., recurrió en apelación la sentencia de instancia alegando la vulneración de lo dispuesto en los artículos 7.7 de la Ley Orgánica 1/1982 y 18 y 20 CE, al considerar que el juzgado de instancia había confundido el derecho a la libertad de expresión con el derecho a la libertad de información, pues lo que había sido juzgado no era la noticia enlazada en la página propiedad de la demandada sino, al contrario, los comentarios insultantes vertidos por terceros.</w:t>
      </w:r>
    </w:p>
    <w:p w14:paraId="02CB637B" w14:textId="77777777" w:rsidR="008D479B" w:rsidRDefault="008D479B" w:rsidP="008D479B">
      <w:pPr>
        <w:pStyle w:val="TextoNormal"/>
      </w:pPr>
    </w:p>
    <w:p w14:paraId="66AFA032" w14:textId="77777777" w:rsidR="008D479B" w:rsidRDefault="008D479B" w:rsidP="008D479B">
      <w:pPr>
        <w:pStyle w:val="TextoNormal"/>
      </w:pPr>
      <w:r>
        <w:t>g) Por sentencia de la Sección Cuarta de la Audiencia Provincial de Málaga núm. 82/2018, de 5 de febrero, recaída en el recurso de apelación núm. 834-2017, se estimó el recurso presentado por don D.L.M., revocando la resolución de instancia y declarando la existencia de una intromisión ilegítima en el derecho al honor del apelante. Como fundamento de esta resolución, la Audiencia Provincial de Málaga expuso que el enfoque empleado por el juzgador de instancia era erróneo toda vez que el conflicto que se planteaba no era entre el derecho al honor y el derecho a la libertad de información, sino, al contrario, entre el derecho al honor y el derecho a la libertad de expresión. Así, recordaba la Audiencia Provincial que la demanda interpuesta tenía por objeto una serie de comentarios efectuados por terceros a la noticia subida en la página web “www.meneame.net”, comentarios que se referían al apelante con expresiones del tipo “ladrón”, “hijo de puta” y “ladrón de toda la vida”. La sentencia consignaba que, aunque algunas expresiones utilizadas por los usuarios pueden ser enmarcadas en el derecho a la libertad de expresión otras no lo eran, siendo estas últimas claramente atentatorias contra el honor del apelante.</w:t>
      </w:r>
    </w:p>
    <w:p w14:paraId="216E3A0D" w14:textId="77777777" w:rsidR="008D479B" w:rsidRDefault="008D479B" w:rsidP="008D479B">
      <w:pPr>
        <w:pStyle w:val="TextoNormal"/>
      </w:pPr>
    </w:p>
    <w:p w14:paraId="37652A9A" w14:textId="77777777" w:rsidR="008D479B" w:rsidRDefault="008D479B" w:rsidP="008D479B">
      <w:pPr>
        <w:pStyle w:val="TextoNormal"/>
      </w:pPr>
      <w:r>
        <w:t>Sentada la existencia de intromisión ilegítima en el honor, y a efectos de determinar la concurrencia de los requisitos previstos en el art. 16 LSSI, la sentencia señala que “el recurrente solicitó, hasta en dos ocasiones, la eliminación, no de la noticia en sí, sino de los comentarios ofensivos hacia su persona, remitiendo primero un e-mail, y al no recibir respuesta alguna y persistir los comentarios en la página, un burofax […], dejadez, voluntaria o involuntaria, carente de excusa alguna […]”. Considera por ello, la Audiencia que la ahora recurrente de amparo “no actuó con la diligencia exigible por la letra b) del artículo 16 de la Ley 34/2022”.</w:t>
      </w:r>
    </w:p>
    <w:p w14:paraId="4FE1AEAF" w14:textId="77777777" w:rsidR="008D479B" w:rsidRDefault="008D479B" w:rsidP="008D479B">
      <w:pPr>
        <w:pStyle w:val="TextoNormal"/>
      </w:pPr>
    </w:p>
    <w:p w14:paraId="1F0DAE6F" w14:textId="77777777" w:rsidR="008D479B" w:rsidRDefault="008D479B" w:rsidP="008D479B">
      <w:pPr>
        <w:pStyle w:val="TextoNormal"/>
      </w:pPr>
      <w:r>
        <w:t>El fallo de la sentencia estimatoria de apelación condena a la entidad Menéame Comunicaciones, S.L., a indemnizar al don D.L.M., en la cantidad de 1200 € y a publicar, a su costa, la sentencia en la página web “www.meneame.net” durante quince días.</w:t>
      </w:r>
    </w:p>
    <w:p w14:paraId="1E59F57D" w14:textId="77777777" w:rsidR="008D479B" w:rsidRDefault="008D479B" w:rsidP="008D479B">
      <w:pPr>
        <w:pStyle w:val="TextoNormal"/>
      </w:pPr>
    </w:p>
    <w:p w14:paraId="20BC288A" w14:textId="77777777" w:rsidR="008D479B" w:rsidRDefault="008D479B" w:rsidP="008D479B">
      <w:pPr>
        <w:pStyle w:val="TextoNormal"/>
      </w:pPr>
      <w:r>
        <w:t>h) La ahora demandante de amparo interpuso frente a la sentencia dictada por la Audiencia Provincial de Málaga recurso de casación alegando vulneración del derecho a la libertad de expresión (art. 20.1 CE) e infracción del art. 16 LSSI. En lo que se refiere al primer motivo, único formalmente vinculado por la recurrente a la vulneración del derecho fundamental a la libertad de expresión, se argumenta en el escrito de recurso que “las expresiones denunciadas por el demandante, comentarios vertidos por terceros, usuarios de la página web […] deben examinarse en su contexto, dentro del ámbito en que fueron proferidas”. Ese contexto es, según se reitera, el de crítica política, dentro de un clima social especialmente sensible al problema de la corrupción política, pues “[e]n la época en que se formula este comentario, la situación económica en España era muy complicada, las noticias de corrupción se sucedían, las denuncias y procesos contra cargos públicos por desvío de fondos eran casi habituales”. En ese concreto contexto, “el actor ejercía un cargo público”, era un político, y la noticia que da lugar a las expresiones que denuncia se refería a sus presuntas actividades en relación con el cargo. No existía, por ello, “una intención difamatoria directa, específica, como acredita el hecho de que no fueron más allá de la noticia que las motivó”.</w:t>
      </w:r>
    </w:p>
    <w:p w14:paraId="6385ADF5" w14:textId="77777777" w:rsidR="008D479B" w:rsidRDefault="008D479B" w:rsidP="008D479B">
      <w:pPr>
        <w:pStyle w:val="TextoNormal"/>
      </w:pPr>
    </w:p>
    <w:p w14:paraId="51890F26" w14:textId="77777777" w:rsidR="008D479B" w:rsidRDefault="008D479B" w:rsidP="008D479B">
      <w:pPr>
        <w:pStyle w:val="TextoNormal"/>
      </w:pPr>
      <w:r>
        <w:t>En el segundo motivo casacional niega la recurrente que no actuara con la diligencia exigida por el art. 16 LSSI. A juicio de la ahora demandante de amparo, la interpretación de dicho precepto efectuada por la Audiencia Provincial “va más allá de lo legalmente previsto”. Considera que los “envíos, visitas, comentarios y notas que gestiona” Menéame en un año “son elevadísimos” y que el actor no identificó “el concreto enlace donde ubicar y comunicar los comentarios”. La publicación de estos es, además, instantánea, por lo que es “materialmente imposible conocer y controlar todos y cada uno de los comentarios”. Por esa razón, la Directiva 2000/31/CE, del Parlamento Europeo y del Consejo, de 8 de junio de 2020, de la que procede la norma legal aplicada, no impone un deber de supervisión. Y por esa misma razón, el art. 16 LSSI supedita la responsabilidad del intermediario a la existencia de un conocimiento efectivo. La sentencia de la Audiencia habría infringido esa exigencia al equiparar “una petición formulada por email y burofax, incompleta” con el “conocimiento efectivo” previsto en el art. 16 LSSI “y amparándose en tal equiparación” habría condenado “por dejadez, lo que supone una evidente infracción de dicho precepto”.</w:t>
      </w:r>
    </w:p>
    <w:p w14:paraId="162E3D63" w14:textId="77777777" w:rsidR="008D479B" w:rsidRDefault="008D479B" w:rsidP="008D479B">
      <w:pPr>
        <w:pStyle w:val="TextoNormal"/>
      </w:pPr>
    </w:p>
    <w:p w14:paraId="2650A84E" w14:textId="77777777" w:rsidR="008D479B" w:rsidRDefault="008D479B" w:rsidP="008D479B">
      <w:pPr>
        <w:pStyle w:val="TextoNormal"/>
      </w:pPr>
      <w:r>
        <w:t>Entiende la recurrente que de la exigencia legal de “conocimiento efectivo” caben dos interpretaciones, una “estricta” y otra “amplia”. Según la primera, solo habría tal conocimiento cuando un órgano competente hubiese dictado una resolución declarando la ilicitud del contenido afectado, notificándola al prestador del servicio. Una interpretación “más flexible” exigiría que se diera al prestador información sobre la “exacta ubicación” de los contenidos cuya retirada se interesa. Ninguna de ellas permitiría, según razona la entidad, deducir su responsabilidad por “conocimiento efectivo” en el caso planteado. No se había declarado ilicitud alguna, bajo la interpretación más estricta, mientras que, desde la óptica de la interpretación más flexible del precepto, la petición formulada por don D.L.M., para la retirada de comentarios debía considerarse incompleta.</w:t>
      </w:r>
    </w:p>
    <w:p w14:paraId="0EB37298" w14:textId="77777777" w:rsidR="008D479B" w:rsidRDefault="008D479B" w:rsidP="008D479B">
      <w:pPr>
        <w:pStyle w:val="TextoNormal"/>
      </w:pPr>
    </w:p>
    <w:p w14:paraId="229DAC71" w14:textId="77777777" w:rsidR="008D479B" w:rsidRDefault="008D479B" w:rsidP="008D479B">
      <w:pPr>
        <w:pStyle w:val="TextoNormal"/>
      </w:pPr>
      <w:r>
        <w:t>i) El recurso de casación fue desestimado por el Tribunal Supremo (Sala Primera) en sentencia núm. 235/2020, de 2 de junio (recurso de casación núm. 1842-2018). Como fundamento de la desestimación, el Tribunal Supremo mantuvo que ni la condición de personaje público del destinatario de la crítica, ni el interés general de la materia tratada, amparan, como ejercicio de la libertad de expresión, la utilización de expresiones inequívocamente vejatorias y humillantes como son los insultos.</w:t>
      </w:r>
    </w:p>
    <w:p w14:paraId="49EEB6B5" w14:textId="77777777" w:rsidR="008D479B" w:rsidRDefault="008D479B" w:rsidP="008D479B">
      <w:pPr>
        <w:pStyle w:val="TextoNormal"/>
      </w:pPr>
    </w:p>
    <w:p w14:paraId="45F24582" w14:textId="77777777" w:rsidR="008D479B" w:rsidRDefault="008D479B" w:rsidP="008D479B">
      <w:pPr>
        <w:pStyle w:val="TextoNormal"/>
      </w:pPr>
      <w:r>
        <w:t>El Tribunal Supremo afirma que el juicio de ponderación efectuado en la sentencia de la Audiencia Provincial fue correcto “al concurrir los presupuestos que la jurisprudencia expuesta exige para revertir en el caso concreto la prevalencia de la que goza la libertad de expresión, incluso cuando se ejerce el derecho de crítica política respecto de personas que desempeñan un cargo público en relación con la gestión de los asuntos públicos. Esta conclusión se funda en que, desde la perspectiva del juicio de proporcionalidad, si acaso podría admitirse (como dijo la sentencia 551-2017, de 1l de octubre sobre el uso del término ‘mangante’) que la expresión ‘ladrón’ fue tan solo un exceso verbal, por cuanto que podría vincularse con la crítica que se pretendía manifestar por parte de los ciudadanos que accedían a la web respecto de lo que entendían un gasto injustificable de dinero público (14 600 € en teléfono en solo un mes), en el contexto de crisis y de incontables casos de corrupción política que afectaban, singularmente, al Ayuntamiento de Marbella. Pero lo que no podía tener amparo bajo ningún concepto en el ejercicio legítimo de la libertad de expresión era el uso del término ‘hijo de puta’, por más que se esfuerce la recurrente en convencer a este tribunal de lo contrario aludiendo a su empleo de forma coloquial, dado que en el sentido crítico que se usó no entrañaba otra cosa que un insulto, absolutamente desproporcionado y desvinculado de la idea crítica que se transmitía. No es óbice para apreciar la ilegitimidad de la intromisión el hecho de que el ofendido no solicitara la retirada de esos comentarios hasta casi un año después, sin perjuicio de la relevancia del dato en orden a cuantificar la indemnización por el daño moral derivado de la intromisión ilegítima para el caso de que se hubiera impugnado en casación la cuantía de la indemnización (lo que no ha sucedido)”.</w:t>
      </w:r>
    </w:p>
    <w:p w14:paraId="047E9865" w14:textId="77777777" w:rsidR="008D479B" w:rsidRDefault="008D479B" w:rsidP="008D479B">
      <w:pPr>
        <w:pStyle w:val="TextoNormal"/>
      </w:pPr>
    </w:p>
    <w:p w14:paraId="2A88C1E8" w14:textId="77777777" w:rsidR="008D479B" w:rsidRDefault="008D479B" w:rsidP="008D479B">
      <w:pPr>
        <w:pStyle w:val="TextoNormal"/>
      </w:pPr>
      <w:r>
        <w:t>El Tribunal Supremo admitió también la responsabilidad de la entidad demandante de amparo por la no retirada de los contenidos controvertidos en base a los siguientes elementos: (i) Menéame Comunicaciones, S.L., era una proveedora de servicios de la sociedad de la información a la que se le atribuía la condición de “intermediario de internet” y ello en la medida en que, según la Ley de servicios de la sociedad de la información, esa intermediación comprende “entre otros ‘el alojamiento en los propios servidores de datos, aplicaciones o servicios suministrados por otros, y a provisión de instrumentos de búsqueda, acceso y recopilación de datos o de enlaces a otros sitios de internet’, actividades en las que encajaría la que realizaba y sigue realizando Menéame, ya que en su escrito de contestación admitió que el dominio o sitio web de su propiedad era un mero agregador de contenidos de internet cuya función era incorporar enlaces a noticias de medios ajenos, y que esa actividad le atribuía la condición ‘de intermediario de internet’”; (ii) consecuentemente, la exención de responsabilidad por la información almacenada en dichos servicios (art. 16 LSSI) dependía de la ausencia de conocimiento efectivo de los datos y de una actuación diligente dirigida a retirarlos o hacer imposible el acceso a ellos; (iii) según el Tribunal Supremo, la Audiencia Provincial acertó en la sentencia recurrida en casación al seguir, conforme a la doctrina de la propia Sala Primera, “un concepto interpretativo amplio en lo referente al ‘conocimiento efectivo’ a cuya ausencia se condiciona, en uno de los supuestos, la liberación de responsabilidad de la prestadora de servicios de alojamiento por la información almacenada”, sin que sea necesario “en modo alguno” para deducir ese conocimiento una “previa resolución de la autoridad competente”; (iv) consta que don D.L.M., efectuó hasta dos requerimientos a Menéame Comunicaciones, S.L., para la retirada de dichos comentarios, no recibiéndose, por parte de aquella, respuesta alguna ni procediéndose a la retirada del material denunciado. Por todo ello, el Tribunal Supremo ratificaba que la condena a Menéame Comunicaciones, S.L., no era por no controlar la publicación de los comentarios, sino, al contrario, porque teniendo conocimiento de su existencia no hizo nada para retirarlos o para impedir el acceso a ellos, tal y como le era expresamente solicitado.</w:t>
      </w:r>
    </w:p>
    <w:p w14:paraId="651F036B" w14:textId="77777777" w:rsidR="008D479B" w:rsidRDefault="008D479B" w:rsidP="008D479B">
      <w:pPr>
        <w:pStyle w:val="TextoNormal"/>
      </w:pPr>
    </w:p>
    <w:p w14:paraId="49F63227" w14:textId="77777777" w:rsidR="008D479B" w:rsidRDefault="008D479B" w:rsidP="008D479B">
      <w:pPr>
        <w:pStyle w:val="TextoNormal"/>
      </w:pPr>
      <w:r>
        <w:t>j) La recurrente de amparo interpuso incidente de nulidad de actuaciones contra la sentencia de casación. En el escrito promoviendo el incidente la actora se queja, como primer motivo, de la incorrecta ponderación, por parte de la Sala Primera del Tribunal Supremo, de la resolución del conflicto entre derecho al honor y “el derecho a la libertad de expresión de los usuarios de la red social Menéame”. Se insiste aquí en que las expresiones vertidas en los comentarios no han sido valoradas en su debido contexto, que es el de crítica política. Como segundo motivo, la mercantil plantea la vulneración del art. 24.1 CE por “incongruencia omisiva”. Considera, en particular, que no se resuelve en la sentencia de casación de acuerdo con las pruebas que acreditaban, a juicio de la entidad, que el correo electrónico de fecha 2 de septiembre de 2016 y el burofax de fecha 7 de septiembre de 2016 carecían “de datos suficientes para ubicar la noticia y los comentarios” ya que “en ninguno de los documentos se identificaba el enlace a pesar de que la red social de mi principal trabaja con enlaces”. Insiste en este punto la mercantil recurrente en que “incorpora enlaces de noticias de medios ajenos. No publica la noticia. Así que para retirar un enlace lo primero que necesitaba era conocer de qué enlace se trataba”, dato que no le fue dado hasta la interposición de la demanda “momento en el que procede a su retirada”. La Sala Primera habría dejado sin valorar las pruebas que acreditaban este defecto de información, que, a juicio de la actora, impedía entender que tenía el “conocimiento efectivo” que exige el art. 16 LSSI.</w:t>
      </w:r>
    </w:p>
    <w:p w14:paraId="589DDFDE" w14:textId="77777777" w:rsidR="008D479B" w:rsidRDefault="008D479B" w:rsidP="008D479B">
      <w:pPr>
        <w:pStyle w:val="TextoNormal"/>
      </w:pPr>
    </w:p>
    <w:p w14:paraId="75F2AFB1" w14:textId="1E42B669" w:rsidR="008D479B" w:rsidRDefault="008D479B" w:rsidP="008D479B">
      <w:pPr>
        <w:pStyle w:val="TextoNormal"/>
      </w:pPr>
      <w:r>
        <w:t>k) El incidente de nulidad fue inadmitido por providencia de 27 de julio de 2020. En ella, la Sala Primera considera que la queja relativa a la errónea resolución del conflicto entre honor y libertad de expresión es solo la “expresión de la discrepancia de la mercantil solicitante con el criterio de enjuiciamiento de esta sala”, por lo que no se corresponde con la función que el ordenamiento procesal reserva al incidente de nulidad de actuaciones. En lo que se refiere a la congruencia de la sentencia, señala la providencia que dicho requisito procesal “nada tiene que ver con lo planteado por la solicitante” y que, en todo caso, “esta sala sí se ha pronunciado —confirmando expresamente la valoración de la sentencia recurrida— sobre la falta de respuesta de la solicitante a las comunicaciones del demandante”. Añade en este punto “que en el recurso de casación solo se puede efectuar una revisión de la valoración jurídica de los datos fácticos fijados en la sentencia recurrida por lo que, si la solicitante consideraba necesario que esta sala procediera a una comprobación de datos fácticos que no hayan sido fijados en ella, ha debido plantearlo a través del recurso extraordinario por infracción procesal, al amparo del art. 469.2 de la Ley de enjuiciamiento civil (LEC), denunciando la valoración errónea de la prueba”.</w:t>
      </w:r>
    </w:p>
    <w:p w14:paraId="7EB6C49F" w14:textId="77777777" w:rsidR="008D479B" w:rsidRDefault="008D479B" w:rsidP="008D479B">
      <w:pPr>
        <w:pStyle w:val="TextoNormal"/>
      </w:pPr>
    </w:p>
    <w:p w14:paraId="1200B8C0" w14:textId="77777777" w:rsidR="008D479B" w:rsidRDefault="008D479B" w:rsidP="008D479B">
      <w:pPr>
        <w:pStyle w:val="TextoNormal"/>
      </w:pPr>
      <w:r w:rsidRPr="008D479B">
        <w:rPr>
          <w:rStyle w:val="NumeroAFNegritaCaracter"/>
        </w:rPr>
        <w:t>3</w:t>
      </w:r>
      <w:r>
        <w:t>. La mercantil demandante de amparo solicita en su recurso la nulidad de las resoluciones dictadas por la Audiencia Provincial de Málaga (Sección Cuarta) y el Tribunal Supremo (Sala de lo Civil) por haber vulnerado el derecho a la tutela judicial efectiva (art. 24.1 CE) y el derecho a la libertad de expresión (art. 18 CE).</w:t>
      </w:r>
    </w:p>
    <w:p w14:paraId="13EC6B17" w14:textId="77777777" w:rsidR="008D479B" w:rsidRDefault="008D479B" w:rsidP="008D479B">
      <w:pPr>
        <w:pStyle w:val="TextoNormal"/>
      </w:pPr>
    </w:p>
    <w:p w14:paraId="393D1AA0" w14:textId="77777777" w:rsidR="008D479B" w:rsidRDefault="008D479B" w:rsidP="008D479B">
      <w:pPr>
        <w:pStyle w:val="TextoNormal"/>
      </w:pPr>
      <w:r>
        <w:t>En su demanda, la recurrente expone que no tiene la condición de “medio de comunicación” sino de “mero agregador de contenidos de internet, que, al igual que muchos otros, se limita a poner enlaces a noticias de medios ajenos, aportados por los numerosos usuarios del sitio. No publican noticias ni reportajes propios. Ello la configura como intermediario de internet con un régimen jurídico específico y distinto del aplicable a los medios de comunicación directa que le exime de responsabilidad respecto a los mensajes procedentes de los usuarios de la página publicados por sus propios autores, no por Menéame Comunicacions, S.L.”. De ello se deriva que “los internautas intervienen en la página web bajo su propia responsabilidad y ejercitando el derecho de libertad de expresión que les atribuye la Constitución Española”. Con ese presupuesto, entiende que en el caso planteado “[s]e han vulnerado dos derechos fundamentales: el derecho a la libertad de expresión de los internautas con motivo de una valoración contradictoria, que genera confusión e infringe el derecho a la crítica política al extraer el término utilizado […] de su contexto y también del derecho a la tutela judicial efectiva, al haberse impedido el ejercicio del derecho de defensa de esta parte en toda su extensión”.</w:t>
      </w:r>
    </w:p>
    <w:p w14:paraId="5EA32DD8" w14:textId="77777777" w:rsidR="008D479B" w:rsidRDefault="008D479B" w:rsidP="008D479B">
      <w:pPr>
        <w:pStyle w:val="TextoNormal"/>
      </w:pPr>
    </w:p>
    <w:p w14:paraId="528DB869" w14:textId="77777777" w:rsidR="008D479B" w:rsidRDefault="008D479B" w:rsidP="008D479B">
      <w:pPr>
        <w:pStyle w:val="TextoNormal"/>
      </w:pPr>
      <w:r>
        <w:t>a) En los que se refiere a la vulneración del derecho del art. 20.1 a) CE, tras consignar doctrina de este tribunal relativa al derecho a la libertad de expresión (STC 108/2008, de 22 de septiembre, entre otras), la demandante explicita que existe una prevalencia de este derecho sobre el honor de aquellas personas cuya relevancia pública incrementa su exposición al escrutinio, situando en margen alto la tolerancia a la hora de afear, critica o calificar su actuación de modo negativo. Este criterio, considera el demandante, garantiza la formación y existencia de una opinión pública libre.</w:t>
      </w:r>
    </w:p>
    <w:p w14:paraId="6DF56106" w14:textId="77777777" w:rsidR="008D479B" w:rsidRDefault="008D479B" w:rsidP="008D479B">
      <w:pPr>
        <w:pStyle w:val="TextoNormal"/>
      </w:pPr>
    </w:p>
    <w:p w14:paraId="22AE196F" w14:textId="77777777" w:rsidR="008D479B" w:rsidRDefault="008D479B" w:rsidP="008D479B">
      <w:pPr>
        <w:pStyle w:val="TextoNormal"/>
      </w:pPr>
      <w:r>
        <w:t>En el caso concreto, considera la demandante que la época en que fueron formulados los comentarios correspondía a una situación económica en España muy complicada donde las noticias de corrupción se sucedían y donde, además, las denuncias y procesos contra cargos públicos por desvío de fondos eran extraordinariamente habituales. Este era, en definitiva, el contexto donde se emitieron las expresiones denunciadas y lo que justificaba que estas se produjeran en el marco de una “crítica”. No existía, por lo tanto, una intención difamatoria directa y específica, siendo que las manifestaciones vertidas se encuadraban en una frase a todas luces acusatoria “este es un hijo de puta que disfruta de gastarse el dinero de todos” y cuya finalidad era expresar desaprobación y descontento por la noticia publicada. A ello hay que añadir que las expresiones utilizadas eran de uso habitual y coloquial y equivalían a calificativos descriptivos de la conducta imputada en la noticia publicada. Para el demandante de amparo, por lo tanto, la condena se habría producido como consecuencia en una descontextualización de las expresiones vertidas respecto al marco donde aquellas fueron proferidas.</w:t>
      </w:r>
    </w:p>
    <w:p w14:paraId="3EE4CF1A" w14:textId="77777777" w:rsidR="008D479B" w:rsidRDefault="008D479B" w:rsidP="008D479B">
      <w:pPr>
        <w:pStyle w:val="TextoNormal"/>
      </w:pPr>
    </w:p>
    <w:p w14:paraId="26CF06EE" w14:textId="77777777" w:rsidR="008D479B" w:rsidRDefault="008D479B" w:rsidP="008D479B">
      <w:pPr>
        <w:pStyle w:val="TextoNormal"/>
      </w:pPr>
      <w:r>
        <w:t>La recurrente concluye que “quien en este caso la formula lo hace con la misma intención que quien acusa [a don D.L.M.] de ‘ladrón’, sin una específica finalidad de atacar el honor […] sino como una reacción ante su actuación, ya que no constan otros elementos que acrediten otra intención. En consecuencia, no estamos defendiendo un derecho a insulto sino a una crítica que puede resultar ácida e incluso hiriente pero que debe valorarse en toda su extensión ya que mientras los derechos por su materialidad son susceptibles de prueba, los pensamientos, ideas, opiniones o juicios de valor no se prestan, por su naturaleza abstracta, a una demostración de su exactitud (STC 107/1988). No constando prueba alguna que acredite esa desvinculación entre la idea crítica que se pretendía y la frase formulada, ‘hijo de puta que disfruta de gastarse el dinero de todos’, resulta totalmente contrario a derecho y, como hemos puesto de manifiesto al derecho a la libertad de expresión, otorgarle el carácter de simple insulto”.</w:t>
      </w:r>
    </w:p>
    <w:p w14:paraId="7556332A" w14:textId="77777777" w:rsidR="008D479B" w:rsidRDefault="008D479B" w:rsidP="008D479B">
      <w:pPr>
        <w:pStyle w:val="TextoNormal"/>
      </w:pPr>
    </w:p>
    <w:p w14:paraId="1E78578D" w14:textId="77777777" w:rsidR="008D479B" w:rsidRDefault="008D479B" w:rsidP="008D479B">
      <w:pPr>
        <w:pStyle w:val="TextoNormal"/>
      </w:pPr>
      <w:r>
        <w:t>b) La vulneración del art. 24.1 CE se desdobla en la demanda en las siguientes vertientes:</w:t>
      </w:r>
    </w:p>
    <w:p w14:paraId="291F9D85" w14:textId="77777777" w:rsidR="008D479B" w:rsidRDefault="008D479B" w:rsidP="008D479B">
      <w:pPr>
        <w:pStyle w:val="TextoNormal"/>
      </w:pPr>
    </w:p>
    <w:p w14:paraId="3219A72C" w14:textId="77777777" w:rsidR="008D479B" w:rsidRDefault="008D479B" w:rsidP="008D479B">
      <w:pPr>
        <w:pStyle w:val="TextoNormal"/>
      </w:pPr>
      <w:r>
        <w:t>(i) Se considera, en primer lugar, que la interpretación extensiva del concepto de “conocimiento efectivo” —contenido en el art. 16 LSSI— vulnera el derecho a la tutela judicial efectiva (art. 24.1 CE), en su vertiente de derecho a la motivación. La interpretación realizada por el Tribunal Supremo y la Audiencia Provincial de Málaga de la existencia de tal “conocimiento” por parte de “Menéame” —en relación con los comentarios cuya retirada fue interesada por don D.L.M.— no es, según se argumenta, jurídicamente sostenible, toda vez que las comunicaciones dirigidas por don D.L.M., a la demandante de amparo fueron excesivamente imprecisas y adolecían de ciertas lagunas. Para la demandante, todo requerimiento de retirada de contenidos ha de ser suficientemente concreto. En el caso planteado, los requerimientos formulados por don D.L.M., no incluyeron la “concreta ubicación” de los comentarios denunciados, por lo que, dado el volumen de datos manejados por Menéame en su sitio web, resultaba imposible localizarlos. Nunca tuvo, por tanto, conocimiento efectivo de los comentarios controvertidos. La interpretación del requisito del “conocimiento efectivo” contenido en el art. 16 LSSI realizada por la Audiencia Provincial y el Tribunal Supremo vulneraría, por tanto, el derecho a la tutela judicial efectiva (art. 24.1 CE).</w:t>
      </w:r>
    </w:p>
    <w:p w14:paraId="325AC8DF" w14:textId="77777777" w:rsidR="008D479B" w:rsidRDefault="008D479B" w:rsidP="008D479B">
      <w:pPr>
        <w:pStyle w:val="TextoNormal"/>
      </w:pPr>
    </w:p>
    <w:p w14:paraId="479A79DE" w14:textId="77777777" w:rsidR="008D479B" w:rsidRDefault="008D479B" w:rsidP="008D479B">
      <w:pPr>
        <w:pStyle w:val="TextoNormal"/>
      </w:pPr>
      <w:r>
        <w:t>(ii) Adicionalmente, se sostiene que el Tribunal Supremo habría incurrido en un vicio de incongruencia omisiva al no haber valorado la totalidad de las pruebas presentadas por la demandante y que demostraban la inexistencia de este conocimiento efectivo. Así, considera la demandante que el Tribunal Supremo no efectuó pronunciamiento alguno sobre el hecho de que el requerimiento remitido a la entidad no identificara los comentarios cuya retirada se pretendía mediante su ubicación exacta (dirección URL), único método que, dado el volumen de tráfico del sitio web, hubiera permitido a la mercantil tener “conocimiento efectivo” de aquellos.</w:t>
      </w:r>
    </w:p>
    <w:p w14:paraId="6025DABC" w14:textId="77777777" w:rsidR="008D479B" w:rsidRDefault="008D479B" w:rsidP="008D479B">
      <w:pPr>
        <w:pStyle w:val="TextoNormal"/>
      </w:pPr>
    </w:p>
    <w:p w14:paraId="749F6E69" w14:textId="77777777" w:rsidR="008D479B" w:rsidRDefault="008D479B" w:rsidP="008D479B">
      <w:pPr>
        <w:pStyle w:val="TextoNormal"/>
      </w:pPr>
      <w:r>
        <w:t>(iii) Por último, la mercantil demandante también cuestiona la inadmisión a trámite del incidente de nulidad de actuaciones al entender que constituye una vulneración del derecho de defensa y del derecho a la tutela judicial efectiva (art. 24.1 CE). Así, en lo que se refiere a la denuncia de errónea ponderación del conflicto entre libertad de expresión y derecho al honor, considera la actora que la sentencia casacional del Tribunal Supremo simultáneamente “protegía y desprotegía” la libertad de expresión, al considerar que algunas expresiones utilizadas por los internautas (en concreto, “ladrón”) no eran injuriosas y que otras —“hijo de puta”— sí lo eran, pese a que todas ellas se producían en el mismo contexto. A su juicio “el incidente era necesario para aclarar ese doble criterio interpretativo”. En lo que se refiere al requisito de congruencia, la sentencia casacional había “pasado por alto toda la argumentación expuesta por esta parte en el procedimiento y a nivel probatorio […] respecto del carácter impreciso de los requerimientos previos a la demanda”. La inadmisión a trámite del incidente por parte del Tribunal Supremo vulneró, por ello, el derecho fundamental a la tutela judicial efectiva.</w:t>
      </w:r>
    </w:p>
    <w:p w14:paraId="0CC7F542" w14:textId="77777777" w:rsidR="008D479B" w:rsidRDefault="008D479B" w:rsidP="008D479B">
      <w:pPr>
        <w:pStyle w:val="TextoNormal"/>
      </w:pPr>
    </w:p>
    <w:p w14:paraId="258D45B9" w14:textId="77777777" w:rsidR="008D479B" w:rsidRDefault="008D479B" w:rsidP="008D479B">
      <w:pPr>
        <w:pStyle w:val="TextoNormal"/>
      </w:pPr>
      <w:r>
        <w:t>Para la demandante de amparo, la trascendencia constitucional del presente recurso estribaría en la oportunidad de aclarar o cambiar su doctrina [STC 155/2009, FJ 2 b)] en referencia a la contextualización del derecho a la libertad de expresión en el marco de los nuevos medios de comunicación y uso de redes sociales donde “a cada segundo se suceden millones de datos, mensajes, comentarios que exigen una constante adaptación de nuevos conceptos”. Según alega, las personas llegan incluso “a sustituir en un alto porcentaje sus comunicaciones verbales por las telemáticas. Esta situación debe tenerse en cuenta a la hora de interpretar las normas constitucionales”, de modo que “lo que en la calle se toleraría” no puede considerarse intolerable en las redes sociales, que deben ser equiparadas, en su tratamiento, en el contexto social actual, al lenguaje oral.</w:t>
      </w:r>
    </w:p>
    <w:p w14:paraId="401E61AE" w14:textId="77777777" w:rsidR="008D479B" w:rsidRDefault="008D479B" w:rsidP="008D479B">
      <w:pPr>
        <w:pStyle w:val="TextoNormal"/>
      </w:pPr>
    </w:p>
    <w:p w14:paraId="5F97046F" w14:textId="77777777" w:rsidR="008D479B" w:rsidRDefault="008D479B" w:rsidP="008D479B">
      <w:pPr>
        <w:pStyle w:val="TextoNormal"/>
      </w:pPr>
      <w:r>
        <w:t>Considera la recurrente, en definitiva, que en este marco debe procederse a una mayor flexibilidad en la admisibilidad de determinadas manifestaciones coloquiales que constituyen críticas tolerables respecto a quien se dedican a actividades políticas. De esta manera, la graduación debe efectuarse no a partir del calificativo aislado sino del contexto por el que se emite o en el que se formula.</w:t>
      </w:r>
    </w:p>
    <w:p w14:paraId="5E4F7A90" w14:textId="77777777" w:rsidR="008D479B" w:rsidRDefault="008D479B" w:rsidP="008D479B">
      <w:pPr>
        <w:pStyle w:val="TextoNormal"/>
      </w:pPr>
    </w:p>
    <w:p w14:paraId="16ED50BB" w14:textId="569A3936" w:rsidR="008D479B" w:rsidRDefault="008D479B" w:rsidP="008D479B">
      <w:pPr>
        <w:pStyle w:val="TextoNormal"/>
      </w:pPr>
      <w:r>
        <w:t>Por todo ello, la demandante solicita la nulidad de la sentencia dictada por la Audiencia Provincial de Málaga de 5 de febrero de 2018, de la sentencia dictada por el Tribunal Supremo de 2 de junio de 2020 que la confirma, así como de la providencia de 27 de julio de 2020 por la que se inadmitía el incidente de nulidad de actuaciones interpuesto frente a esta última.</w:t>
      </w:r>
    </w:p>
    <w:p w14:paraId="731B4099" w14:textId="77777777" w:rsidR="008D479B" w:rsidRDefault="008D479B" w:rsidP="008D479B">
      <w:pPr>
        <w:pStyle w:val="TextoNormal"/>
      </w:pPr>
    </w:p>
    <w:p w14:paraId="0BB7C203" w14:textId="2B54EA3C" w:rsidR="008D479B" w:rsidRDefault="008D479B" w:rsidP="008D479B">
      <w:pPr>
        <w:pStyle w:val="TextoNormal"/>
      </w:pPr>
      <w:r w:rsidRPr="008D479B">
        <w:rPr>
          <w:rStyle w:val="NumeroAFNegritaCaracter"/>
        </w:rPr>
        <w:t>4</w:t>
      </w:r>
      <w:r>
        <w:t>. La Sección Segunda de este tribunal, por providencia de 13 de septiembre de 2021, acordó la admisión a trámite del presente recurso de amparo, apreciando que concurre en el mismo especial trascendencia constitucional (art. 50.1 de la Ley Orgánica del Tribunal Constitucional: LOTC) porque el recurso puede dar ocasión al Tribunal para aclarar o cambiar su doctrina como consecuencia del surgimiento de nuevas realidades sociales y de cambios normativos relevantes para la configuración del contenido del derecho fundamental [STC 155/2009, FJ 2 b)]. Acordó igualmente dirigir atenta comunicación a la Sala de lo Civil del Tribunal Supremo y a la Sección Cuarta de la Audiencia Provincial de Málaga, a fin de que remitiesen certificación o fotocopia adverada de las actuaciones correspondientes al recurso de casación núm. 1842-2018 y de apelación núm. 834-2017. Dicha comunicación también se dirigió al Juzgado de Primera Instancia núm. 3 de Marbella a fin de que remitiesen certificación o fotocopia adverada de las actuaciones correspondientes al juicio ordinario núm. 948-2016. En la misma resolución se emplazó a quienes hubieran sido parte en el procedimiento, a excepción de la recurrente, para que pudiesen comparecer en el plazo de diez días en el presente proceso de amparo.</w:t>
      </w:r>
    </w:p>
    <w:p w14:paraId="78BA5E6F" w14:textId="77777777" w:rsidR="008D479B" w:rsidRDefault="008D479B" w:rsidP="008D479B">
      <w:pPr>
        <w:pStyle w:val="TextoNormal"/>
      </w:pPr>
    </w:p>
    <w:p w14:paraId="5AD3A105" w14:textId="204BE2C9" w:rsidR="008D479B" w:rsidRDefault="008D479B" w:rsidP="008D479B">
      <w:pPr>
        <w:pStyle w:val="TextoNormal"/>
      </w:pPr>
      <w:r w:rsidRPr="008D479B">
        <w:rPr>
          <w:rStyle w:val="NumeroAFNegritaCaracter"/>
        </w:rPr>
        <w:t>5</w:t>
      </w:r>
      <w:r>
        <w:t>. La Secretaría de Justicia de la Sala Primera de este tribunal, por diligencia de ordenación de 21 de enero de 2022, acordó dar vista de las actuaciones recibidas a las partes personadas y al Ministerio Fiscal, para que pudiesen presentar las alegaciones que a su derecho convenga, por un plazo de veinte días, de conformidad con el art. 52 LOTC.</w:t>
      </w:r>
    </w:p>
    <w:p w14:paraId="547F335A" w14:textId="77777777" w:rsidR="008D479B" w:rsidRDefault="008D479B" w:rsidP="008D479B">
      <w:pPr>
        <w:pStyle w:val="TextoNormal"/>
      </w:pPr>
    </w:p>
    <w:p w14:paraId="29AF05EF" w14:textId="3A837765" w:rsidR="008D479B" w:rsidRDefault="008D479B" w:rsidP="008D479B">
      <w:pPr>
        <w:pStyle w:val="TextoNormal"/>
      </w:pPr>
      <w:r w:rsidRPr="008D479B">
        <w:rPr>
          <w:rStyle w:val="NumeroAFNegritaCaracter"/>
        </w:rPr>
        <w:t>6</w:t>
      </w:r>
      <w:r>
        <w:t>. La demandante de amparo, por escrito registrado el 21 de febrero de 2022, presentó sus alegaciones ratificándose, en esencia, en los fundamentos ya invocados en la demanda.</w:t>
      </w:r>
    </w:p>
    <w:p w14:paraId="61859395" w14:textId="77777777" w:rsidR="008D479B" w:rsidRDefault="008D479B" w:rsidP="008D479B">
      <w:pPr>
        <w:pStyle w:val="TextoNormal"/>
      </w:pPr>
    </w:p>
    <w:p w14:paraId="126547BD" w14:textId="77777777" w:rsidR="008D479B" w:rsidRDefault="008D479B" w:rsidP="008D479B">
      <w:pPr>
        <w:pStyle w:val="TextoNormal"/>
      </w:pPr>
      <w:r w:rsidRPr="008D479B">
        <w:rPr>
          <w:rStyle w:val="NumeroAFNegritaCaracter"/>
        </w:rPr>
        <w:t>7</w:t>
      </w:r>
      <w:r>
        <w:t>. El Ministerio Fiscal, en escrito registrado el 10 de marzo de 2022, formuló alegaciones interesando que se desestimara el amparo por no apreciarse vulneración del derecho a la tutela judicial efectiva (art. 24.1 CE) y del derecho a la libertad de expresión [art. 20.1 a) CE].</w:t>
      </w:r>
    </w:p>
    <w:p w14:paraId="3F9C1F96" w14:textId="77777777" w:rsidR="008D479B" w:rsidRDefault="008D479B" w:rsidP="008D479B">
      <w:pPr>
        <w:pStyle w:val="TextoNormal"/>
      </w:pPr>
    </w:p>
    <w:p w14:paraId="5B6BD4FF" w14:textId="77777777" w:rsidR="008D479B" w:rsidRDefault="008D479B" w:rsidP="008D479B">
      <w:pPr>
        <w:pStyle w:val="TextoNormal"/>
      </w:pPr>
      <w:r>
        <w:t>La fiscal ante el Tribunal Constitucional estructura sus alegaciones en dos cuestiones diferenciadas. Así, en primer lugar, considera que habrá de determinarse si los comentarios realizados por los usuarios constituyen una indebida injerencia en el derecho al honor de don D.L.M., y, por lo tanto, si se ha producido una extralimitación en el ejercicio del derecho a la libertad de expresión y, en segundo lugar, habrá de dilucidarse si la entidad demandante de amparo tuvo conocimiento efectivo, o no, de la existencia de estas manifestaciones (lo que condiciona la aplicación del art. 16 LSSI y la consiguiente exención de responsabilidad derivada de aquellos).</w:t>
      </w:r>
    </w:p>
    <w:p w14:paraId="2241A696" w14:textId="77777777" w:rsidR="008D479B" w:rsidRDefault="008D479B" w:rsidP="008D479B">
      <w:pPr>
        <w:pStyle w:val="TextoNormal"/>
      </w:pPr>
    </w:p>
    <w:p w14:paraId="16BCD005" w14:textId="77777777" w:rsidR="008D479B" w:rsidRDefault="008D479B" w:rsidP="008D479B">
      <w:pPr>
        <w:pStyle w:val="TextoNormal"/>
      </w:pPr>
      <w:r>
        <w:t>Respecto a la primera cuestión, la fiscal sostiene que la tesis mantenida por las resoluciones recurridas queda ampliamente amparada por la doctrina de este tribunal, entendiendo que las expresiones utilizadas eran innecesarias y netamente vejatorias. No se habría producido, consecuentemente, una vulneración del derecho a la libertad de expresión por la condena civil dictada por la Audiencia Provincial que fue posteriormente confirmada por el Tribunal Supremo.</w:t>
      </w:r>
    </w:p>
    <w:p w14:paraId="5DFBC47E" w14:textId="77777777" w:rsidR="008D479B" w:rsidRDefault="008D479B" w:rsidP="008D479B">
      <w:pPr>
        <w:pStyle w:val="TextoNormal"/>
      </w:pPr>
    </w:p>
    <w:p w14:paraId="070A05B7" w14:textId="77777777" w:rsidR="008D479B" w:rsidRDefault="008D479B" w:rsidP="008D479B">
      <w:pPr>
        <w:pStyle w:val="TextoNormal"/>
      </w:pPr>
      <w:r>
        <w:t>Respecto a la segunda cuestión, entiende que no resulta posible admitir —como sostiene el demandante— que el Tribunal Supremo haya incurrido en una incongruencia omisiva al omitir cualquier análisis sobre la prueba de descargo dirigida a demostrar la ausencia de “conocimiento efectivo” exigido en el art. 16 LSSI. En este sentido, sostiene la fiscal que la sentencia del Tribunal Supremo contiene (FJ 4) una pormenorizada argumentación que sirve para concretar las bases que determinan la responsabilidad del prestador de servicios con arreglo al art. 16 LSSI. Esta motivación ha de ser considerada suficiente (también por remisión a la sentencia de instancia) sin que quepa en sede constitucional “entrar a valorar otras cuestiones que la existencia de motivación y si han incurrido o no en un error material patente, en arbitrariedad o manifiesta irrazonabilidad lógica, evitando toda ponderación acerca de su corrección jurídica”.</w:t>
      </w:r>
    </w:p>
    <w:p w14:paraId="16F04187" w14:textId="77777777" w:rsidR="008D479B" w:rsidRDefault="008D479B" w:rsidP="008D479B">
      <w:pPr>
        <w:pStyle w:val="TextoNormal"/>
      </w:pPr>
    </w:p>
    <w:p w14:paraId="0CDDB675" w14:textId="4A7B30C4" w:rsidR="008D479B" w:rsidRDefault="008D479B" w:rsidP="008D479B">
      <w:pPr>
        <w:pStyle w:val="TextoNormal"/>
      </w:pPr>
      <w:r>
        <w:t>Por último, rechaza también la alegación de la demandante referida a la vulneración del derecho a la tutela judicial efectiva (art. 24.1 CE) por inadmisión inmotivada del incidente de nulidad interpuesto frente a la sentencia del Tribunal Supremo considerando, sintéticamente, que la providencia contendría los razonamientos por los cuales el Tribunal Supremo entendía que el incidente de nulidad debía ser inadmitido “por lo que se permite al recurrente conocer los argumentos tenidos en cuenta, sin perjuicio de no ser compartidos por él mismo”.</w:t>
      </w:r>
    </w:p>
    <w:p w14:paraId="7DDDFBD1" w14:textId="77777777" w:rsidR="008D479B" w:rsidRDefault="008D479B" w:rsidP="008D479B">
      <w:pPr>
        <w:pStyle w:val="TextoNormal"/>
      </w:pPr>
    </w:p>
    <w:p w14:paraId="073BB465" w14:textId="26955451" w:rsidR="008D479B" w:rsidRDefault="008D479B" w:rsidP="008D479B">
      <w:pPr>
        <w:pStyle w:val="TextoNormal"/>
      </w:pPr>
      <w:r w:rsidRPr="008D479B">
        <w:rPr>
          <w:rStyle w:val="NumeroAFNegritaCaracter"/>
        </w:rPr>
        <w:t>8</w:t>
      </w:r>
      <w:r>
        <w:t>. Por diligencia de ordenación del Secretario de Justicia de la Sala Segunda, de 18 de enero de 2023, en virtud del acuerdo adoptado por el Pleno del Tribunal Constitucional el día 17 de enero de 2023, publicado en el “Boletín Oficial del Estado” de 19 de enero, se hace constar que el presente recurso de amparo ha sido turnado a la Sala Segunda de este tribunal, y que se pone en conocimiento de las partes y del Ministerio Fiscal a los efectos oportunos.</w:t>
      </w:r>
    </w:p>
    <w:p w14:paraId="5CA8DA25" w14:textId="77777777" w:rsidR="008D479B" w:rsidRDefault="008D479B" w:rsidP="008D479B">
      <w:pPr>
        <w:pStyle w:val="TextoNormal"/>
      </w:pPr>
    </w:p>
    <w:p w14:paraId="3C9407F5" w14:textId="16020DD6" w:rsidR="008D479B" w:rsidRDefault="008D479B" w:rsidP="008D479B">
      <w:pPr>
        <w:pStyle w:val="TextoNormal"/>
      </w:pPr>
      <w:r w:rsidRPr="008D479B">
        <w:rPr>
          <w:rStyle w:val="NumeroAFNegritaCaracter"/>
        </w:rPr>
        <w:t>9</w:t>
      </w:r>
      <w:r>
        <w:t>. Por providencia de 21 de febrero de 2023, el Pleno, conforme establece el art. 10.1 n) LOTC, a propuesta de la Sala Segunda, acordó recabar para sí el conocimiento del presente recurso de amparo.</w:t>
      </w:r>
    </w:p>
    <w:p w14:paraId="1CC387EB" w14:textId="77777777" w:rsidR="008D479B" w:rsidRDefault="008D479B" w:rsidP="008D479B">
      <w:pPr>
        <w:pStyle w:val="TextoNormal"/>
      </w:pPr>
    </w:p>
    <w:p w14:paraId="40C3A00A" w14:textId="37B6E375" w:rsidR="008D479B" w:rsidRDefault="008D479B" w:rsidP="008D479B">
      <w:pPr>
        <w:pStyle w:val="TextoNormal"/>
      </w:pPr>
      <w:r w:rsidRPr="008D479B">
        <w:rPr>
          <w:rStyle w:val="NumeroAFNegritaCaracter"/>
        </w:rPr>
        <w:t>10</w:t>
      </w:r>
      <w:r>
        <w:t>. Tras la deliberación habida en el Pleno de 21 de junio de 2023, la magistrada ponente, doña María Luisa Balaguer Callejón, no conforme con el voto de la mayoría, anunció su intención de formular voto particular y declinó la redacción de la resolución. El presidente, por acuerdo de la misma fecha, de conformidad con lo previsto en el art. 206 de la Ley Orgánica del Poder Judicial (LOPJ), encomendó su redacción al magistrado don Juan Carlos Campo Moreno.</w:t>
      </w:r>
    </w:p>
    <w:p w14:paraId="1718AB14" w14:textId="77777777" w:rsidR="008D479B" w:rsidRDefault="008D479B" w:rsidP="008D479B">
      <w:pPr>
        <w:pStyle w:val="TextoNormal"/>
      </w:pPr>
    </w:p>
    <w:p w14:paraId="31ACBA48" w14:textId="4A733B3D" w:rsidR="008D479B" w:rsidRDefault="008D479B" w:rsidP="008D479B">
      <w:pPr>
        <w:pStyle w:val="TextoNormal"/>
      </w:pPr>
      <w:r w:rsidRPr="008D479B">
        <w:rPr>
          <w:rStyle w:val="NumeroAFNegritaCaracter"/>
        </w:rPr>
        <w:t>11</w:t>
      </w:r>
      <w:r>
        <w:t>. Por providencia de 4 de julio de 2023, se señaló ese mismo día para la deliberación y votación de la presente sentencia.</w:t>
      </w:r>
    </w:p>
    <w:p w14:paraId="44A9296F" w14:textId="77777777" w:rsidR="008D479B" w:rsidRDefault="008D479B" w:rsidP="008D479B">
      <w:pPr>
        <w:pStyle w:val="TextoNormal"/>
      </w:pPr>
    </w:p>
    <w:p w14:paraId="761A08F5" w14:textId="77777777" w:rsidR="008D479B" w:rsidRDefault="008D479B" w:rsidP="008D479B">
      <w:pPr>
        <w:pStyle w:val="TextoNormalNegritaCentrado"/>
        <w:keepNext/>
      </w:pPr>
      <w:r>
        <w:t>II. Fundamentos jurídicos</w:t>
      </w:r>
    </w:p>
    <w:p w14:paraId="3A77E0B6" w14:textId="23F48188" w:rsidR="008D479B" w:rsidRDefault="008D479B" w:rsidP="008D479B">
      <w:pPr>
        <w:pStyle w:val="TextoNormalNegritaCentrado"/>
        <w:keepNext/>
      </w:pPr>
    </w:p>
    <w:p w14:paraId="2D8625A1" w14:textId="77777777" w:rsidR="008D479B" w:rsidRDefault="008D479B" w:rsidP="008D479B">
      <w:pPr>
        <w:pStyle w:val="TextoNormal"/>
      </w:pPr>
      <w:r w:rsidRPr="008D479B">
        <w:rPr>
          <w:rStyle w:val="NumeroAFNegritaCaracter"/>
        </w:rPr>
        <w:t>1</w:t>
      </w:r>
      <w:r>
        <w:t xml:space="preserve">. </w:t>
      </w:r>
      <w:r w:rsidRPr="008D479B">
        <w:rPr>
          <w:i/>
        </w:rPr>
        <w:t>Objeto del recurso y pretensiones de las partes</w:t>
      </w:r>
    </w:p>
    <w:p w14:paraId="53F28D99" w14:textId="77777777" w:rsidR="008D479B" w:rsidRDefault="008D479B" w:rsidP="008D479B">
      <w:pPr>
        <w:pStyle w:val="TextoNormal"/>
      </w:pPr>
    </w:p>
    <w:p w14:paraId="4A0B62B5" w14:textId="77777777" w:rsidR="008D479B" w:rsidRDefault="008D479B" w:rsidP="008D479B">
      <w:pPr>
        <w:pStyle w:val="TextoNormal"/>
      </w:pPr>
      <w:r>
        <w:t>El presente recurso de amparo se dirige contra la sentencia de la Audiencia Provincial de Málaga (Sección Cuarta) núm. 82/2018, de 5 de febrero, recaída en el recurso de apelación núm. 834-2017 y contra la sentencia núm. 235/2020, de 2 de junio, dictada por la Sala Primera del Tribunal Supremo en el recurso de casación núm. 1842-2018. También se dirige contra la providencia de 27 de julio de 2020, por la que la Sala Primera del Tribunal Supremo inadmitió el incidente de nulidad de actuaciones promovido por la demandante de amparo contra la sentencia de casación.</w:t>
      </w:r>
    </w:p>
    <w:p w14:paraId="102B1CEB" w14:textId="77777777" w:rsidR="008D479B" w:rsidRDefault="008D479B" w:rsidP="008D479B">
      <w:pPr>
        <w:pStyle w:val="TextoNormal"/>
      </w:pPr>
    </w:p>
    <w:p w14:paraId="3D584F47" w14:textId="77777777" w:rsidR="008D479B" w:rsidRDefault="008D479B" w:rsidP="008D479B">
      <w:pPr>
        <w:pStyle w:val="TextoNormal"/>
      </w:pPr>
      <w:r>
        <w:t>Para facilitar la exposición del enjuiciamiento del presente recurso resulta pertinente realizar una breve síntesis de los hechos objeto de controversia que, con mayor extensión, han sido recogidos en los antecedentes de esta resolución:</w:t>
      </w:r>
    </w:p>
    <w:p w14:paraId="3E8835A4" w14:textId="77777777" w:rsidR="008D479B" w:rsidRDefault="008D479B" w:rsidP="008D479B">
      <w:pPr>
        <w:pStyle w:val="TextoNormal"/>
      </w:pPr>
    </w:p>
    <w:p w14:paraId="3ED0FE9E" w14:textId="77777777" w:rsidR="008D479B" w:rsidRDefault="008D479B" w:rsidP="008D479B">
      <w:pPr>
        <w:pStyle w:val="TextoNormal"/>
      </w:pPr>
      <w:r>
        <w:t>a) Las resoluciones impugnadas en este proceso tienen su origen en una serie de comentarios introducidos por usuarios anónimos en la web “www.meneame.net”, propiedad de la demandante de amparo, con motivo de un enlace alojado en dicho sitio web desde el 5 de noviembre de 2015. El citado enlace remitía a una noticia publicada en otro sitio web distinto, en este caso un medio de comunicación digital, e incorporaba el texto siguiente: “El concejal de fiestas del PP de Marbella gastó 14 600 € en teléfono en un mes”. En uno de los comentarios publicados a propósito de este enlace, que había sido remitido por un usuario no identificado, figuraban las expresiones “este es un hijo de puta”, “un ladrón de toda la puta vida”, todas ellas referidas a don D.L.M.</w:t>
      </w:r>
    </w:p>
    <w:p w14:paraId="022518CB" w14:textId="77777777" w:rsidR="008D479B" w:rsidRDefault="008D479B" w:rsidP="008D479B">
      <w:pPr>
        <w:pStyle w:val="TextoNormal"/>
      </w:pPr>
    </w:p>
    <w:p w14:paraId="6F9921FA" w14:textId="77777777" w:rsidR="008D479B" w:rsidRDefault="008D479B" w:rsidP="008D479B">
      <w:pPr>
        <w:pStyle w:val="TextoNormal"/>
      </w:pPr>
      <w:r>
        <w:t>El aludido, tras dirigir dos comunicaciones infructuosas a “Menéame” para que retirase los referidos comentarios e identificase a su autor, sin llegar a recibir respuesta alguna, presentó, finalmente, una demanda de protección de su derecho al honor contra la recurrente de amparo. En dicho proceso judicial (juicio ordinario núm. 948-2016) se dictaron las resoluciones judiciales que son objeto de este proceso.</w:t>
      </w:r>
    </w:p>
    <w:p w14:paraId="4451AB30" w14:textId="77777777" w:rsidR="008D479B" w:rsidRDefault="008D479B" w:rsidP="008D479B">
      <w:pPr>
        <w:pStyle w:val="TextoNormal"/>
      </w:pPr>
    </w:p>
    <w:p w14:paraId="23D2C71F" w14:textId="77777777" w:rsidR="008D479B" w:rsidRDefault="008D479B" w:rsidP="008D479B">
      <w:pPr>
        <w:pStyle w:val="TextoNormal"/>
      </w:pPr>
      <w:r>
        <w:t>b) Tras ser desestimada la demanda por el Juzgado de Primera Instancia núm. 3 de Marbella, la recurrente de amparo fue condenada en apelación por la Audiencia Provincial de Málaga (Sección Cuarta) en sentencia núm. 82/2018, de 5 de febrero. Concretamente, dicha resolución le condenó a indemnizar a don D.L.M., en la cantidad de 1.200 € y a publicar la sentencia condenatoria, a su costa, en la página web “www.meneame.net” durante quince días.</w:t>
      </w:r>
    </w:p>
    <w:p w14:paraId="3B5C6AE9" w14:textId="77777777" w:rsidR="008D479B" w:rsidRDefault="008D479B" w:rsidP="008D479B">
      <w:pPr>
        <w:pStyle w:val="TextoNormal"/>
      </w:pPr>
    </w:p>
    <w:p w14:paraId="29D3A910" w14:textId="77777777" w:rsidR="008D479B" w:rsidRDefault="008D479B" w:rsidP="008D479B">
      <w:pPr>
        <w:pStyle w:val="TextoNormal"/>
      </w:pPr>
      <w:r>
        <w:t>La condena recaída se fundamentaba en lo dispuesto en el art. 16 LSSI, precepto según el cual los prestadores de un servicio de intermediación consistente en albergar datos proporcionados por el destinatario del servicio son responsables de la información almacenada siempre que concurran dos requisitos: (i) que tengan conocimiento efectivo de que dicha información es ilícita o lesiona bienes y derechos de un tercero susceptibles de indemnización, y (ii) que, teniendo tal conocimiento, no hayan actuado con diligencia para retirar los datos o para hacer imposible el acceso a ellos.</w:t>
      </w:r>
    </w:p>
    <w:p w14:paraId="6149D704" w14:textId="77777777" w:rsidR="008D479B" w:rsidRDefault="008D479B" w:rsidP="008D479B">
      <w:pPr>
        <w:pStyle w:val="TextoNormal"/>
      </w:pPr>
    </w:p>
    <w:p w14:paraId="3CD54F7B" w14:textId="77777777" w:rsidR="008D479B" w:rsidRDefault="008D479B" w:rsidP="008D479B">
      <w:pPr>
        <w:pStyle w:val="TextoNormal"/>
      </w:pPr>
      <w:r>
        <w:t>La Audiencia Provincial entendió que los comentarios alojados por Menéame en su sitio web, concretamente los ya citados “este es un hijo de puta”, “un ladrón de toda la puta vida”, eran lesivos del derecho al honor de don D.L.M. Entendió, asimismo, que la ahora recurrente de amparo había tenido conocimiento efectivo de que alojaba en su sitio web tales contenidos ilícitos, pues así se lo había hecho saber don D.L.M., en dos comunicaciones, una primera dirigida al correo electrónico facilitado por el propio sitio web para la denuncia de abusos, y otra posterior articulada mediante burofax recibido en el domicilio social de la recurrente de amparo. Pese a ello, según concluía la Audiencia Provincial, Menéame no había actuado diligentemente para retirar dichos contenidos, por lo que había infringido el art. 16 LSSI y había incurrido en la responsabilidad prevista en este precepto. Condenaba, por tanto, a la ahora actora por no haber cumplido con sus deberes de diligencia, en cuanto prestador de un servicio de intermediación consistente en el alojamiento de datos, a la hora de retirar contenidos ilícitos.</w:t>
      </w:r>
    </w:p>
    <w:p w14:paraId="4AB40D13" w14:textId="77777777" w:rsidR="008D479B" w:rsidRDefault="008D479B" w:rsidP="008D479B">
      <w:pPr>
        <w:pStyle w:val="TextoNormal"/>
      </w:pPr>
    </w:p>
    <w:p w14:paraId="293DF213" w14:textId="77777777" w:rsidR="008D479B" w:rsidRDefault="008D479B" w:rsidP="008D479B">
      <w:pPr>
        <w:pStyle w:val="TextoNormal"/>
      </w:pPr>
      <w:r>
        <w:t>c) La sentencia de apelación fue confirmada en casación por la Sala de lo Civil del Tribunal Supremo en la sentencia núm. 235/2020, de 2 de junio, si bien esta resolución consideró que la única expresión que había de estimarse lesiva del derecho al honor de don D.L.M., era la de “hijo de puta”, al entender que la de “ladrón” podía llegar a reputarse, tal y como alegaba la mercantil, justificada por un contexto de crítica política. En lo relativo a la aplicación del art. 16 LSSI confirmaba, en todo caso, el criterio de la Audiencia Provincial [más ampliamente, véase el antecedente 2 i) de esta resolución].</w:t>
      </w:r>
    </w:p>
    <w:p w14:paraId="6B9C6479" w14:textId="77777777" w:rsidR="008D479B" w:rsidRDefault="008D479B" w:rsidP="008D479B">
      <w:pPr>
        <w:pStyle w:val="TextoNormal"/>
      </w:pPr>
    </w:p>
    <w:p w14:paraId="487B6395" w14:textId="77777777" w:rsidR="008D479B" w:rsidRDefault="008D479B" w:rsidP="008D479B">
      <w:pPr>
        <w:pStyle w:val="TextoNormal"/>
      </w:pPr>
      <w:r>
        <w:t>d) Frente a la resolución dictada en casación, la demandante de amparo promovió incidente de nulidad de actuaciones. En este denunciaba, por una parte, que la ponderación realizada por el Tribunal Supremo incurría en una contradicción pues la expresión “ladrón” se consideraba justificada por el contexto de crítica política y no se llegaba a la misma conclusión en relación con la expresión “hijo de puta”. Se estimaba, por otro lado, que la Sala Primera había incurrido en una incongruencia omisiva al no haber valorado las pruebas articuladas por la mercantil Menéame en relación con el carácter insuficiente o incompleto de las comunicaciones efectuadas por don D.L.M., en las que denunciaba los contenidos reputados ilícitos. El incidente fue inadmitido por providencia de 20 de julio de 2020 [con la argumentación que se consigna en el antecedente 2 k) de esta resolución].</w:t>
      </w:r>
    </w:p>
    <w:p w14:paraId="0DD5AD50" w14:textId="77777777" w:rsidR="008D479B" w:rsidRDefault="008D479B" w:rsidP="008D479B">
      <w:pPr>
        <w:pStyle w:val="TextoNormal"/>
      </w:pPr>
    </w:p>
    <w:p w14:paraId="514D934A" w14:textId="77777777" w:rsidR="008D479B" w:rsidRDefault="008D479B" w:rsidP="008D479B">
      <w:pPr>
        <w:pStyle w:val="TextoNormal"/>
      </w:pPr>
      <w:r>
        <w:t>La mercantil recurrente cuestiona su condena civil desde dos perspectivas distintas: de una parte, estima que las dos sentencias impugnadas, al considerar que concurre el presupuesto exigido en el art. 16 LSSI (la ilicitud de los datos o contenidos alojados en el sitio web de su propiedad), delimitan erróneamente el derecho al honor de don D.L.M., y la libertad de expresión de los concretos usuarios de sus servicios de intermediación que introdujeron los comentarios controvertidos, con la consiguiente vulneración del derecho fundamental previsto en el art. 20.1 a) CE. Argumenta que estos comentarios, pese a ser vehementes e hirientes, tenían una finalidad de crítica política, en un contexto de grave crisis económica con aparición de numerosos casos de corrupción en los medios de comunicación. Las expresiones utilizadas por los internautas eran, por ello, reflejo de su indignación ante un mal uso de fondos públicos y se dirigían a quien, por ser cargo público, debía considerarse sujeto a un mayor grado de escrutinio.</w:t>
      </w:r>
    </w:p>
    <w:p w14:paraId="4823CECD" w14:textId="77777777" w:rsidR="008D479B" w:rsidRDefault="008D479B" w:rsidP="008D479B">
      <w:pPr>
        <w:pStyle w:val="TextoNormal"/>
      </w:pPr>
    </w:p>
    <w:p w14:paraId="6947DAE3" w14:textId="77777777" w:rsidR="008D479B" w:rsidRDefault="008D479B" w:rsidP="008D479B">
      <w:pPr>
        <w:pStyle w:val="TextoNormal"/>
      </w:pPr>
      <w:r>
        <w:t>En segundo lugar, la recurrente de amparo entiende también que ambas sentencias han incurrido en una vulneración de su derecho a la tutela judicial efectiva, en su vertiente de derecho a la motivación (art. 24.1 CE) y ello en la medida en que habrían realizado una interpretación extensiva, carente de una mínima justificación, de la exigencia del art. 16 LSSI según la cual el prestador de servicios de intermediación ha de tener, para ser reputado responsable, “conocimiento efectivo” de los datos ilícitos que aloja. A juicio de la actora, la interpretación más flexible posible del precepto solo podía dar lugar a exigir, a lo sumo, que ese conocimiento hubiera tenido lugar mediante la concreta indicación de la ubicación exacta (dirección URL) del contenido ilícito. Pese a ello, la Audiencia Provincial y el Tribunal Supremo habrían deducido ese conocimiento efectivo por parte de la mercantil de dos comunicaciones realizadas a esta por don D.L.M., en las que se ubicaban los comentarios reputados ilícitos por mera referencia al título de la “noticia enlazada”.</w:t>
      </w:r>
    </w:p>
    <w:p w14:paraId="4C8BE534" w14:textId="77777777" w:rsidR="008D479B" w:rsidRDefault="008D479B" w:rsidP="008D479B">
      <w:pPr>
        <w:pStyle w:val="TextoNormal"/>
      </w:pPr>
    </w:p>
    <w:p w14:paraId="44B534F4" w14:textId="77777777" w:rsidR="008D479B" w:rsidRDefault="008D479B" w:rsidP="008D479B">
      <w:pPr>
        <w:pStyle w:val="TextoNormal"/>
      </w:pPr>
      <w:r>
        <w:t>Se reprocha específicamente a la sentencia de casación haber incurrido en incongruencia omisiva, y en la consiguiente vulneración del derecho a la tutela judicial efectiva (art. 24.1 CE), al no haber valorado las pruebas que indicaban que las comunicaciones remitidas a Menéame por don D.L.M., eran incompletas y no permitían tomar conocimiento efectivo del contenido pretendidamente ilícito.</w:t>
      </w:r>
    </w:p>
    <w:p w14:paraId="57927531" w14:textId="77777777" w:rsidR="008D479B" w:rsidRDefault="008D479B" w:rsidP="008D479B">
      <w:pPr>
        <w:pStyle w:val="TextoNormal"/>
      </w:pPr>
    </w:p>
    <w:p w14:paraId="7A42DA53" w14:textId="77777777" w:rsidR="008D479B" w:rsidRDefault="008D479B" w:rsidP="008D479B">
      <w:pPr>
        <w:pStyle w:val="TextoNormal"/>
      </w:pPr>
      <w:r>
        <w:t>Finalmente se dirige también el presente recurso de amparo contra la providencia dictada por el Tribunal Supremo en fecha 27 de julio de 2020, en el entendimiento de que esta inadmitió indebidamente el incidente de nulidad de actuaciones e incurrió, por ello, en vulneración del derecho de la recurrente a la tutela judicial efectiva (art. 24.1 CE).</w:t>
      </w:r>
    </w:p>
    <w:p w14:paraId="38563B04" w14:textId="77777777" w:rsidR="008D479B" w:rsidRDefault="008D479B" w:rsidP="008D479B">
      <w:pPr>
        <w:pStyle w:val="TextoNormal"/>
      </w:pPr>
    </w:p>
    <w:p w14:paraId="628F5BD3" w14:textId="77777777" w:rsidR="008D479B" w:rsidRDefault="008D479B" w:rsidP="008D479B">
      <w:pPr>
        <w:pStyle w:val="TextoNormal"/>
      </w:pPr>
      <w:r>
        <w:t>El Ministerio Fiscal solicita la desestimación del recurso de amparo al no apreciar la denunciada vulneración de la libertad de expresión [art. 20.1 a) CE] ni del derecho a la tutela judicial efectiva (art. 24.1 CE). En síntesis, la fiscal ante el Tribunal Constitucional estima correcta la resolución del conflicto entre derecho al honor y libertad de expresión, pues las expresiones utilizadas por los internautas anónimos eran innecesarias y netamente vejatorias. Descarta, asimismo, cualquier vulneración del art. 24.1 CE, pues: (i) la interpretación realizada del art. 16 LSSI fue razonable; (ii) no hubo incongruencia omisiva alguna en la sentencia casacional, y (iii) la providencia que inadmitió el incidente de nulidad de actuaciones expresó las razones por las que la pretensión formulada resultaba improcedente.</w:t>
      </w:r>
    </w:p>
    <w:p w14:paraId="372A2104" w14:textId="77777777" w:rsidR="008D479B" w:rsidRDefault="008D479B" w:rsidP="008D479B">
      <w:pPr>
        <w:pStyle w:val="TextoNormal"/>
      </w:pPr>
    </w:p>
    <w:p w14:paraId="2F24A7A4" w14:textId="4856115D" w:rsidR="008D479B" w:rsidRDefault="008D479B" w:rsidP="008D479B">
      <w:pPr>
        <w:pStyle w:val="TextoNormal"/>
      </w:pPr>
      <w:r>
        <w:t>Finalmente, ha de señalarse que, de acuerdo con el art. 86.3 LOTC y el art. 1 del acuerdo del Pleno de 23 de julio de 2015, por el que se regula la exclusión de los datos de identidad personal en la publicación de las resoluciones jurisdiccionales (“Boletín Oficial del Estado” núm. 178, de 27 de julio de 2015), este tribunal debe preservar de oficio el anonimato “de las personas que no estén constituidas en parte en el proceso constitucional”. Por tal razón, la presente resolución identifica por sus iniciales a quien actuó como demandante en el proceso civil del que procede el presente recurso de amparo, don D.L.M., que no se ha constituido como parte ante este tribunal.</w:t>
      </w:r>
    </w:p>
    <w:p w14:paraId="715ABADD" w14:textId="77777777" w:rsidR="008D479B" w:rsidRDefault="008D479B" w:rsidP="008D479B">
      <w:pPr>
        <w:pStyle w:val="TextoNormal"/>
      </w:pPr>
    </w:p>
    <w:p w14:paraId="38BDB15F" w14:textId="77777777" w:rsidR="008D479B" w:rsidRDefault="008D479B" w:rsidP="008D479B">
      <w:pPr>
        <w:pStyle w:val="TextoNormal"/>
      </w:pPr>
      <w:r w:rsidRPr="008D479B">
        <w:rPr>
          <w:rStyle w:val="NumeroAFNegritaCaracter"/>
        </w:rPr>
        <w:t>2</w:t>
      </w:r>
      <w:r>
        <w:t xml:space="preserve">. </w:t>
      </w:r>
      <w:r w:rsidRPr="008D479B">
        <w:rPr>
          <w:i/>
        </w:rPr>
        <w:t>Orden de tratamiento de las quejas</w:t>
      </w:r>
    </w:p>
    <w:p w14:paraId="1F5F760D" w14:textId="77777777" w:rsidR="008D479B" w:rsidRDefault="008D479B" w:rsidP="008D479B">
      <w:pPr>
        <w:pStyle w:val="TextoNormal"/>
      </w:pPr>
    </w:p>
    <w:p w14:paraId="5C3C1A93" w14:textId="77777777" w:rsidR="008D479B" w:rsidRDefault="008D479B" w:rsidP="008D479B">
      <w:pPr>
        <w:pStyle w:val="TextoNormal"/>
      </w:pPr>
      <w:r>
        <w:t>A la hora de precisar el orden de tratamiento de las quejas planteadas en el recurso de amparo, la doctrina de este tribunal señala que han de tenerse en cuenta las concretas circunstancias concurrentes (por todas, SSTC 37/2018, de 23 de abril, FJ 2, y 78/2019, de 3 de junio, FJ 2). En el presente caso procederemos del modo siguiente:</w:t>
      </w:r>
    </w:p>
    <w:p w14:paraId="541D081C" w14:textId="77777777" w:rsidR="008D479B" w:rsidRDefault="008D479B" w:rsidP="008D479B">
      <w:pPr>
        <w:pStyle w:val="TextoNormal"/>
      </w:pPr>
    </w:p>
    <w:p w14:paraId="085018D3" w14:textId="77777777" w:rsidR="008D479B" w:rsidRDefault="008D479B" w:rsidP="008D479B">
      <w:pPr>
        <w:pStyle w:val="TextoNormal"/>
      </w:pPr>
      <w:r>
        <w:t>a) La primera queja que se examinará será la alegada vulneración del derecho fundamental a la libertad de expresión de los terceros usuarios de los servicios de intermediación facilitados por la entidad Menéame. La constatación de una vulneración de este derecho fundamental sustantivo conllevaría la anulación del pronunciamiento de condena emitido en apelación por la Audiencia Provincial de Málaga, después confirmado en casación por el Tribunal Supremo, en cuanto es presupuesto previo de la responsabilidad de la demandante que fue declarada. En este caso, la declaración de nulidad no comportaría retroacción alguna e implicaría la firmeza de la sentencia desestimatoria de la acción civil de protección del honor dictada por el Juzgado de Primera Instancia núm. 3 de Marbella. Dicha resolución vino basada, precisamente, en la consideración de que los comentarios controvertidos alojados en el sitio web de Menéame eran lícitos por encontrarse amparados en el derecho a la libertad de expresión de sus autores.</w:t>
      </w:r>
    </w:p>
    <w:p w14:paraId="1D8DF5B3" w14:textId="77777777" w:rsidR="008D479B" w:rsidRDefault="008D479B" w:rsidP="008D479B">
      <w:pPr>
        <w:pStyle w:val="TextoNormal"/>
      </w:pPr>
    </w:p>
    <w:p w14:paraId="0EEC2929" w14:textId="77777777" w:rsidR="008D479B" w:rsidRDefault="008D479B" w:rsidP="008D479B">
      <w:pPr>
        <w:pStyle w:val="TextoNormal"/>
      </w:pPr>
      <w:r>
        <w:t>El examen inicial de la posible vulneración del derecho fundamental sustantivo permite, en definitiva, otorgar una tutela subjetiva más amplia de los intereses de la ahora recurrente de amparo y hace innecesario cualquier tipo de retroacción. Las vulneraciones del art. 24.1 CE aducidas por la recurrente determinarían, en cambio, de resultar estimadas, la retroacción de las actuaciones al momento procesal oportuno.</w:t>
      </w:r>
    </w:p>
    <w:p w14:paraId="66726EA5" w14:textId="77777777" w:rsidR="008D479B" w:rsidRDefault="008D479B" w:rsidP="008D479B">
      <w:pPr>
        <w:pStyle w:val="TextoNormal"/>
      </w:pPr>
    </w:p>
    <w:p w14:paraId="455AA89C" w14:textId="77777777" w:rsidR="008D479B" w:rsidRDefault="008D479B" w:rsidP="008D479B">
      <w:pPr>
        <w:pStyle w:val="TextoNormal"/>
      </w:pPr>
      <w:r>
        <w:t>Hemos de advertir, además, que es en esta queja relativa al derecho fundamental sustantivo en la que este tribunal residencia la especial trascendencia constitucional del recurso interpuesto, según se explicará en el fundamento jurídico 5. Su examen inicial asegura, por ello, un pronunciamiento de este tribunal sobre la concreta cuestión que ha determinado la admisión a trámite.</w:t>
      </w:r>
    </w:p>
    <w:p w14:paraId="133240B8" w14:textId="77777777" w:rsidR="008D479B" w:rsidRDefault="008D479B" w:rsidP="008D479B">
      <w:pPr>
        <w:pStyle w:val="TextoNormal"/>
      </w:pPr>
    </w:p>
    <w:p w14:paraId="591AC605" w14:textId="77777777" w:rsidR="008D479B" w:rsidRDefault="008D479B" w:rsidP="008D479B">
      <w:pPr>
        <w:pStyle w:val="TextoNormal"/>
      </w:pPr>
      <w:r>
        <w:t>b) En caso de desestimación de la queja relativa a la vulneración del derecho fundamental sustantivo, nos ocuparemos de las quejas puramente procesales aducidas por la demandante de amparo. Seguiremos para ello, como es habitual en la doctrina de este tribunal, el criterio de mayor retroacción (STC 180/2015, de 7 de septiembre, FJ 3). Este implica conceder prioridad al examen de aquellas causas que, de prosperar, determinarían la retroacción a un momento procesal anterior, lo que haría innecesario un pronunciamiento sobre las restantes (SSTC 25/2012, de 27 de febrero, FJ 2, y 90/2010, de 15 de noviembre, FJ 2, y las que en ellas se citan).</w:t>
      </w:r>
    </w:p>
    <w:p w14:paraId="69F43333" w14:textId="77777777" w:rsidR="008D479B" w:rsidRDefault="008D479B" w:rsidP="008D479B">
      <w:pPr>
        <w:pStyle w:val="TextoNormal"/>
      </w:pPr>
    </w:p>
    <w:p w14:paraId="15D9B20A" w14:textId="05F96543" w:rsidR="008D479B" w:rsidRDefault="008D479B" w:rsidP="008D479B">
      <w:pPr>
        <w:pStyle w:val="TextoNormal"/>
      </w:pPr>
      <w:r>
        <w:t>Este criterio responde, nuevamente, al principio de mayor tutela subjetiva de la parte recurrente de amparo. Su aplicación al presente supuesto conducirá, en su caso, a analizar las quejas procesales por el siguiente orden escalonado: primero, la queja relativa a la defectuosa interpretación del requisito de “conocimiento efectivo” del art. 16 LSSI, que es atribuida tanto a la sentencia de la Audiencia Provincial como a la del Tribunal Supremo; subsidiariamente, la alegación de incongruencia omisiva, exclusivamente imputada a la sentencia casacional; finalmente, la posible violación del art. 24.1 CE atribuida a la providencia de inadmisión del incidente de nulidad de actuaciones dictada por la Sala Primera del Tribunal Supremo.</w:t>
      </w:r>
    </w:p>
    <w:p w14:paraId="7C06AECE" w14:textId="77777777" w:rsidR="008D479B" w:rsidRDefault="008D479B" w:rsidP="008D479B">
      <w:pPr>
        <w:pStyle w:val="TextoNormal"/>
      </w:pPr>
    </w:p>
    <w:p w14:paraId="770B95B9" w14:textId="77777777" w:rsidR="008D479B" w:rsidRDefault="008D479B" w:rsidP="008D479B">
      <w:pPr>
        <w:pStyle w:val="TextoNormal"/>
      </w:pPr>
      <w:r w:rsidRPr="008D479B">
        <w:rPr>
          <w:rStyle w:val="NumeroAFNegritaCaracter"/>
        </w:rPr>
        <w:t>3</w:t>
      </w:r>
      <w:r>
        <w:t xml:space="preserve">. </w:t>
      </w:r>
      <w:r w:rsidRPr="008D479B">
        <w:rPr>
          <w:i/>
        </w:rPr>
        <w:t>Delimitación inicial de la queja relativa a la vulneración del derecho a la libertad de expresión</w:t>
      </w:r>
    </w:p>
    <w:p w14:paraId="3587D3AE" w14:textId="77777777" w:rsidR="008D479B" w:rsidRDefault="008D479B" w:rsidP="008D479B">
      <w:pPr>
        <w:pStyle w:val="TextoNormal"/>
      </w:pPr>
    </w:p>
    <w:p w14:paraId="623A69E1" w14:textId="77777777" w:rsidR="008D479B" w:rsidRDefault="008D479B" w:rsidP="008D479B">
      <w:pPr>
        <w:pStyle w:val="TextoNormal"/>
      </w:pPr>
      <w:r>
        <w:t>Antes de iniciar el análisis de la queja relativa a la denunciada vulneración del derecho fundamental a la libertad de expresión reconocido en el art. 20.1 a) CE, han de realizarse las siguientes aclaraciones sobre su alcance:</w:t>
      </w:r>
    </w:p>
    <w:p w14:paraId="7D6D80FB" w14:textId="77777777" w:rsidR="008D479B" w:rsidRDefault="008D479B" w:rsidP="008D479B">
      <w:pPr>
        <w:pStyle w:val="TextoNormal"/>
      </w:pPr>
    </w:p>
    <w:p w14:paraId="07C1159C" w14:textId="77777777" w:rsidR="008D479B" w:rsidRDefault="008D479B" w:rsidP="008D479B">
      <w:pPr>
        <w:pStyle w:val="TextoNormal"/>
      </w:pPr>
      <w:r>
        <w:t>a) El objeto de la controversia planteada en este proceso de amparo trae causa, en lo estrictamente relativo a la libertad de expresión, de ciertos comentarios introducidos por terceros usuarios en el sitio web propiedad de la entidad recurrente. Tal vulneración solo puede ser evaluada en los términos fijados en la propia demanda y, particularmente, dentro de los límites de la controversia inequívocamente establecidos en el proceso civil en el que se dictaron las resoluciones judiciales que ahora se impugnan.</w:t>
      </w:r>
    </w:p>
    <w:p w14:paraId="1E351C04" w14:textId="77777777" w:rsidR="008D479B" w:rsidRDefault="008D479B" w:rsidP="008D479B">
      <w:pPr>
        <w:pStyle w:val="TextoNormal"/>
      </w:pPr>
    </w:p>
    <w:p w14:paraId="3873E4CA" w14:textId="77777777" w:rsidR="008D479B" w:rsidRDefault="008D479B" w:rsidP="008D479B">
      <w:pPr>
        <w:pStyle w:val="TextoNormal"/>
      </w:pPr>
      <w:r>
        <w:t xml:space="preserve">Con esta premisa, puede observarse que, desde su primera intervención en el proceso </w:t>
      </w:r>
      <w:r w:rsidRPr="008D479B">
        <w:rPr>
          <w:i/>
        </w:rPr>
        <w:t>a quo</w:t>
      </w:r>
      <w:r>
        <w:t xml:space="preserve"> —producida con el escrito de contestación a la demanda presentada por don D.L.M., ante el Juzgado de Primera Instancia [véase al respecto el antecedente 2 d) de esta resolución]— la mercantil recurrente ha venido manifestando, y así lo ha reiterado en la demanda de amparo, que la actividad que desarrolla a través del sitio web “www.meneame.net” consiste únicamente en alojar contenidos ajenos, que ni selecciona ni supervisa, concretamente: (i) enlaces a noticias externas —que, según señala, son introducidos por los propios usuarios— y (ii) comentarios que los usuarios realizan y publican ellos mismos a propósito de los enlaces elegidos. La recurrente de amparo ha venido, con particular insistencia, repitiendo, y así vuelve a hacerlo en la propia demanda de amparo, que es “un mero agregador de contenidos de internet” cuya “única función es incorporar enlaces a noticias de medios ajenos, aportados por los numerosos usuarios del sitio”, que no publica “noticias ni reportajes propios” y que los “calificativos” que aparecen en el sitio web “constituyen mensajes procedentes de los usuarios de la página propiedad de mi representada, publicados por sus propios autores, no por Menéame Comunicaciones, S.L.”.</w:t>
      </w:r>
    </w:p>
    <w:p w14:paraId="5BBD6522" w14:textId="77777777" w:rsidR="008D479B" w:rsidRDefault="008D479B" w:rsidP="008D479B">
      <w:pPr>
        <w:pStyle w:val="TextoNormal"/>
      </w:pPr>
    </w:p>
    <w:p w14:paraId="3142C632" w14:textId="77777777" w:rsidR="008D479B" w:rsidRDefault="008D479B" w:rsidP="008D479B">
      <w:pPr>
        <w:pStyle w:val="TextoNormal"/>
      </w:pPr>
      <w:r>
        <w:t>Desde esta autocomprensión de su actividad, la entidad ahora recurrente nunca planteó en el procedimiento civil, del que trae causa este proceso de amparo, que se hubiera producido una vulneración de un derecho fundamental propio a la libertad de expresión. No se presentó a sí misma, en ninguna de sus alegaciones, como realizadora de una actividad comunicativa que entendiera protegida por el art. 20.1 a) CE. Al contrario, estableció, una y otra vez, una clara cesura entre su actividad empresarial, puramente intermediadora, y las actuaciones de terceros que sí entendía que eran plasmación de la libertad de expresión.</w:t>
      </w:r>
    </w:p>
    <w:p w14:paraId="26E36B27" w14:textId="77777777" w:rsidR="008D479B" w:rsidRDefault="008D479B" w:rsidP="008D479B">
      <w:pPr>
        <w:pStyle w:val="TextoNormal"/>
      </w:pPr>
    </w:p>
    <w:p w14:paraId="765217A6" w14:textId="77777777" w:rsidR="008D479B" w:rsidRDefault="008D479B" w:rsidP="008D479B">
      <w:pPr>
        <w:pStyle w:val="TextoNormal"/>
      </w:pPr>
      <w:r>
        <w:t>La mercantil se define como un agregador o alojador de noticias y describe esa actividad de un modo estrictamente neutro. Sin embargo, más allá de lo concretamente alegado y probado en el proceso judicial, debe advertirse que la actividad de “agregación” no se limita, normalmente, a la mera incorporación de los enlaces que son remitidos por los usuarios sino que comporta, al tiempo, una selección de las que pueden alcanzar mayor repercusión —en términos de votos o de comentarios, algunos como destacados, anónimos en todo caso— o mayor captación de publicidad. Se añade incluso a la noticia unas calificaciones que se denominan etiquetas temáticas. No estamos, pues, ante sitios o plataformas neutrales, sino ante instrumentos de canalización y difusión de noticias, seleccionadas por los titulares de dicho medio, con una base algorítmica. Así pues, el alojador o agregador participa en el proceso de comunicación y le es exigible, en todo caso, la responsabilidad que se deriva del artículo 16.2 LSSI.</w:t>
      </w:r>
    </w:p>
    <w:p w14:paraId="3F0DD8F1" w14:textId="77777777" w:rsidR="008D479B" w:rsidRDefault="008D479B" w:rsidP="008D479B">
      <w:pPr>
        <w:pStyle w:val="TextoNormal"/>
      </w:pPr>
    </w:p>
    <w:p w14:paraId="748C983F" w14:textId="77777777" w:rsidR="008D479B" w:rsidRDefault="008D479B" w:rsidP="008D479B">
      <w:pPr>
        <w:pStyle w:val="TextoNormal"/>
      </w:pPr>
      <w:r>
        <w:t xml:space="preserve">Se advierte, en todo caso, que el conflicto iusfundamental ventilado en el asunto que ahora se trae a conocimiento de este tribunal fue en todo momento planteado y analizado como una colisión entre el derecho al honor de don D.L.M., y el derecho a la libertad de expresión de los internautas (anónimos) que habían introducido, por su propia decisión e iniciativa y sin control previo alguno de la recurrente, ciertos comentarios en el sitio web propiedad de Menéame. Esta cuestión debía ser dilucidada en el proceso </w:t>
      </w:r>
      <w:r w:rsidRPr="008D479B">
        <w:rPr>
          <w:i/>
        </w:rPr>
        <w:t>a quo</w:t>
      </w:r>
      <w:r>
        <w:t xml:space="preserve"> con el único fin de determinar la concurrencia de uno de los presupuestos necesarios de la responsabilidad legal prevista en el art. 16 LSSI para las prestadoras de servicios de intermediación (formalmente obligadas a retirar de su sitio web cualquier contenido ilícito).</w:t>
      </w:r>
    </w:p>
    <w:p w14:paraId="7C007B77" w14:textId="77777777" w:rsidR="008D479B" w:rsidRDefault="008D479B" w:rsidP="008D479B">
      <w:pPr>
        <w:pStyle w:val="TextoNormal"/>
      </w:pPr>
    </w:p>
    <w:p w14:paraId="5AAE72A9" w14:textId="77777777" w:rsidR="008D479B" w:rsidRDefault="008D479B" w:rsidP="008D479B">
      <w:pPr>
        <w:pStyle w:val="TextoNormal"/>
      </w:pPr>
      <w:r>
        <w:t>En este punto, ya la sentencia de primera instancia desdobló inequívocamente la cuestión debatida del modo siguiente [véase antecedente 2 c) de esta resolución]: se trataba de determinar, primero, si los comentarios realizados por los internautas estaban amparados en el ejercicio de su libertad de expresión, como presupuesto necesario para dilucidar, después, si Menéame había incurrido en responsabilidad legal, de acuerdo con el art. 16 LSSI, por no retirar esos comentarios de su sitio web. En otras palabras: si los comentarios de terceros no incurrían en ilicitud alguna, por ser manifestación del ejercicio de un derecho fundamental, la responsabilidad legal de la mercantil recurrente, prevista en la Ley de servicios de la sociedad de la información para el mero intermediador, no podía operar, por lo que dicha entidad debía ser absuelta.</w:t>
      </w:r>
    </w:p>
    <w:p w14:paraId="325E3572" w14:textId="77777777" w:rsidR="008D479B" w:rsidRDefault="008D479B" w:rsidP="008D479B">
      <w:pPr>
        <w:pStyle w:val="TextoNormal"/>
      </w:pPr>
    </w:p>
    <w:p w14:paraId="0C334C70" w14:textId="77777777" w:rsidR="008D479B" w:rsidRDefault="008D479B" w:rsidP="008D479B">
      <w:pPr>
        <w:pStyle w:val="TextoNormal"/>
      </w:pPr>
      <w:r>
        <w:t xml:space="preserve">Ha de considerarse, por ello, que la legitimación de la mercantil recurrente, en relación con este derecho fundamental sustantivo, viene determinada, en esta sede de amparo, por su condición de parte en el proceso </w:t>
      </w:r>
      <w:r w:rsidRPr="008D479B">
        <w:rPr>
          <w:i/>
        </w:rPr>
        <w:t>a quo</w:t>
      </w:r>
      <w:r>
        <w:t xml:space="preserve"> y por su interés legítimo en defender la libertad de expresión de los usuarios anónimos de sus servicios de intermediación, en cuanto ese conflicto iusfundamental actuó en el proceso </w:t>
      </w:r>
      <w:r w:rsidRPr="008D479B">
        <w:rPr>
          <w:i/>
        </w:rPr>
        <w:t>a quo</w:t>
      </w:r>
      <w:r>
        <w:t xml:space="preserve"> como presupuesto material del que dependía la condena de la demandante de amparo de acuerdo con lo previsto en el art. 16 LSSI. A ese concreto conflicto entre la libertad de expresión de los internautas y el derecho al honor de don D.L.M., debe circunscribirse, por tanto, nuestro análisis.</w:t>
      </w:r>
    </w:p>
    <w:p w14:paraId="7AB98A44" w14:textId="77777777" w:rsidR="008D479B" w:rsidRDefault="008D479B" w:rsidP="008D479B">
      <w:pPr>
        <w:pStyle w:val="TextoNormal"/>
      </w:pPr>
    </w:p>
    <w:p w14:paraId="5E3C0C53" w14:textId="77777777" w:rsidR="008D479B" w:rsidRDefault="008D479B" w:rsidP="008D479B">
      <w:pPr>
        <w:pStyle w:val="TextoNormal"/>
      </w:pPr>
      <w:r>
        <w:t>b) Ha de aclararse, en segundo lugar, que el contenido alojado por la actora que fue reputado ilícito en el proceso civil no fue el enlace a la noticia externa, sino, exclusivamente, ciertos comentarios de usuarios anónimos. De ahí que la Audiencia Provincial de Málaga considerase de aplicación el art. 16 LSSI (relativo a la actividad intermediadora consistente en el almacenamiento de datos introducidos por terceros) y no el art. 17 LSSI (específicamente relativo a la actividad intermediadora que consiste en la introducción de enlaces).</w:t>
      </w:r>
    </w:p>
    <w:p w14:paraId="7AF4AA89" w14:textId="77777777" w:rsidR="008D479B" w:rsidRDefault="008D479B" w:rsidP="008D479B">
      <w:pPr>
        <w:pStyle w:val="TextoNormal"/>
      </w:pPr>
    </w:p>
    <w:p w14:paraId="1C884C82" w14:textId="720E46E3" w:rsidR="008D479B" w:rsidRDefault="008D479B" w:rsidP="008D479B">
      <w:pPr>
        <w:pStyle w:val="TextoNormal"/>
      </w:pPr>
      <w:r>
        <w:t>Esos comentarios controvertidos eran, asimismo, puros juicios de valor, lo que permite centrar el objeto iusfundamental de este proceso en la posible vulneración de la libertad de expresión. En todo caso, en ningún momento se consideró en juego en el procedimiento judicial previo el derecho a dar y recibir información veraz, derecho fundamental que queda, por tanto, extramuros del presente proceso de amparo.</w:t>
      </w:r>
    </w:p>
    <w:p w14:paraId="46E0FA01" w14:textId="77777777" w:rsidR="008D479B" w:rsidRDefault="008D479B" w:rsidP="008D479B">
      <w:pPr>
        <w:pStyle w:val="TextoNormal"/>
      </w:pPr>
    </w:p>
    <w:p w14:paraId="0C0F4BA7" w14:textId="77777777" w:rsidR="008D479B" w:rsidRDefault="008D479B" w:rsidP="008D479B">
      <w:pPr>
        <w:pStyle w:val="TextoNormal"/>
      </w:pPr>
      <w:r w:rsidRPr="008D479B">
        <w:rPr>
          <w:rStyle w:val="NumeroAFNegritaCaracter"/>
        </w:rPr>
        <w:t>4</w:t>
      </w:r>
      <w:r>
        <w:t xml:space="preserve">. </w:t>
      </w:r>
      <w:r w:rsidRPr="008D479B">
        <w:rPr>
          <w:i/>
        </w:rPr>
        <w:t>Doctrina general sobre libertad de expresión y derecho al honor</w:t>
      </w:r>
    </w:p>
    <w:p w14:paraId="47DAFC97" w14:textId="77777777" w:rsidR="008D479B" w:rsidRDefault="008D479B" w:rsidP="008D479B">
      <w:pPr>
        <w:pStyle w:val="TextoNormal"/>
      </w:pPr>
    </w:p>
    <w:p w14:paraId="434BF725" w14:textId="77777777" w:rsidR="008D479B" w:rsidRDefault="008D479B" w:rsidP="008D479B">
      <w:pPr>
        <w:pStyle w:val="TextoNormal"/>
      </w:pPr>
      <w:r>
        <w:t>Sobre el contenido de la libertad de expresión y sus límites existe una consolidada doctrina constitucional que se remonta a las tempranas SSTC 6/1981, de 16 de marzo, FJ 4, y 12/1982, de 31 de marzo, FJ 3, y que recuerdan, entre otras, las SSTC 177/2015, de 22 de julio, FJ 2; 112/2016, de 20 de junio, FJ 2, y 89/2018, de 6 de septiembre, FJ 3. Esta doctrina subraya repetidamente la “peculiar dimensión institucional de la libertad de expresión”, en cuanto que garantía para “la formación y existencia de una opinión pública libre”, que la convierte “en uno de los pilares de una sociedad libre y democrática”. De modo congruente, se ha insistido en la necesidad de que la libertad de expresión ha de gozar “de un amplio cauce para el intercambio de ideas y opiniones”, que ha de ser “lo suficientemente generoso como para que pueda desenvolverse sin angostura; esto es, sin timidez y sin temor” (SSTC 9/2007, de 15 de enero, FJ 4; 50/2010, de 4 de octubre, FJ 7; 177/2015, de 22 de julio, FJ 2, y 112/2016, de 20 de junio, FJ 2). Tanto los límites a la libertad de expresión, como su contenido, han de ser “interpretados de tal modo que el derecho fundamental no resulte desnaturalizado” (SSTC 20/1990, de 15 de febrero, FJ 4; 177/2015, de 22 de julio, FJ 2, y 112/2016, de 28 de junio, FJ 2).</w:t>
      </w:r>
    </w:p>
    <w:p w14:paraId="60E3DA67" w14:textId="77777777" w:rsidR="008D479B" w:rsidRDefault="008D479B" w:rsidP="008D479B">
      <w:pPr>
        <w:pStyle w:val="TextoNormal"/>
      </w:pPr>
    </w:p>
    <w:p w14:paraId="6F915956" w14:textId="77777777" w:rsidR="008D479B" w:rsidRDefault="008D479B" w:rsidP="008D479B">
      <w:pPr>
        <w:pStyle w:val="TextoNormal"/>
      </w:pPr>
      <w:r>
        <w:t>Este juicio de ponderación debe ser efectuado con especial rigor cuando la libertad de expresión entra en aparente conflicto con otros derechos fundamentales, como el derecho al honor; su mutua interacción exige realizar entonces una auténtica delimitación de contenidos. Este tribunal ha reiterado que el derecho al honor constituye no solo “un límite a las libertades del art. 20.1 a) y d) CE, expresamente citado como tal en el núm. 4 del mismo artículo, sino que también es, en sí mismo considerado, un derecho fundamental protegido por el art. 18.1 CE, que, derivado de la dignidad de la persona, confiere a su titular el derecho a no ser escarnecido o humillado ante uno mismo o ante los demás” (SSTC 85/1992, de 8 de junio, FJ 4; 297/2000, de 11 de diciembre, FJ 7; y 204/2001, de 15 de octubre, FJ 7). En consecuencia, el mencionado derecho fundamental protege frente al “desmerecimiento en la consideración ajena” (STC 52/2002, de 25 de febrero, FJ 4), pues lo perseguido por el art. 18.1 CE “es la indemnidad de la imagen que de una persona puedan tener los demás” (STC 180/1999, de 11 de octubre, FJ 5).</w:t>
      </w:r>
    </w:p>
    <w:p w14:paraId="15AFFCE2" w14:textId="77777777" w:rsidR="008D479B" w:rsidRDefault="008D479B" w:rsidP="008D479B">
      <w:pPr>
        <w:pStyle w:val="TextoNormal"/>
      </w:pPr>
    </w:p>
    <w:p w14:paraId="283B7206" w14:textId="77777777" w:rsidR="008D479B" w:rsidRDefault="008D479B" w:rsidP="008D479B">
      <w:pPr>
        <w:pStyle w:val="TextoNormal"/>
      </w:pPr>
      <w:r>
        <w:t xml:space="preserve">A pesar de ello, este tribunal ha venido afirmado que la libertad de expresión puede comprender también la crítica de la conducta de otro, aun cuando la misma sea desabrida y pueda molestar, inquietar o disgustar a quien se dirige, pues “así lo requieren el pluralismo, la tolerancia y el espíritu de apertura, sin los cuales no existe sociedad democrática” (SSTEDH de 23 de abril de 1992, asunto </w:t>
      </w:r>
      <w:r w:rsidRPr="008D479B">
        <w:rPr>
          <w:i/>
        </w:rPr>
        <w:t>Castells c. España</w:t>
      </w:r>
      <w:r>
        <w:t xml:space="preserve">, § 42, y de 29 de febrero de 2000, asunto </w:t>
      </w:r>
      <w:r w:rsidRPr="008D479B">
        <w:rPr>
          <w:i/>
        </w:rPr>
        <w:t>Fuentes Bobo c. España</w:t>
      </w:r>
      <w:r>
        <w:t>, § 43). De modo que, como subraya la STC 235/2007, de 7 de noviembre, FJ 4, la libertad de expresión vale no solo para la difusión de ideas u opiniones “acogidas con favor o consideradas inofensivas o indiferentes, sino también para aquellas que contrarían, chocan o inquietan al Estado o a una parte cualquiera de la población”.</w:t>
      </w:r>
    </w:p>
    <w:p w14:paraId="7FA54788" w14:textId="77777777" w:rsidR="008D479B" w:rsidRDefault="008D479B" w:rsidP="008D479B">
      <w:pPr>
        <w:pStyle w:val="TextoNormal"/>
      </w:pPr>
    </w:p>
    <w:p w14:paraId="0439FAF9" w14:textId="77777777" w:rsidR="008D479B" w:rsidRDefault="008D479B" w:rsidP="008D479B">
      <w:pPr>
        <w:pStyle w:val="TextoNormal"/>
      </w:pPr>
      <w:r>
        <w:t>No obstante, quedan fuera de la protección del art. 20.1 a) CE aquellas expresiones que en las concretas circunstancias del caso sean absolutamente injuriosas, ultrajantes u oprobiosas, es decir, las expresiones ofensivas que no guardan relación con las ideas u opiniones que se expongan o que resulten innecesarias para la exposición de las mismas, toda vez que el referido precepto constitucional “no reconoce un pretendido derecho al insulto” (entre otras muchas, SSTC 6/2000, de 17 de enero, FJ 5; 177/2015, de 22 de julio, FJ 2; 112/2016, de 20 de junio, FJ 2, y 89/2018, de 6 de septiembre, FJ 3). En tal sentido hemos afirmado que “el ejercicio del derecho de crítica no permite emplear expresiones formalmente injuriosas o innecesarias para lo que se desea expresar, que bien pueden constituir intromisiones constitucionalmente ilegítimas en el honor o en la intimidad personal o familiar ajenas” (SSTC 105/1990, de 6 de junio, FJ 4; 85/1992, de 8 de junio, FJ 4; 200/1998, de 14 de octubre, FJ 3; 192/1999, de 25 de octubre, FJ 3, y 112/2000, de 5 de mayo, FJ 6).</w:t>
      </w:r>
    </w:p>
    <w:p w14:paraId="0C1BF810" w14:textId="77777777" w:rsidR="008D479B" w:rsidRDefault="008D479B" w:rsidP="008D479B">
      <w:pPr>
        <w:pStyle w:val="TextoNormal"/>
      </w:pPr>
    </w:p>
    <w:p w14:paraId="4116C407" w14:textId="77777777" w:rsidR="008D479B" w:rsidRDefault="008D479B" w:rsidP="008D479B">
      <w:pPr>
        <w:pStyle w:val="TextoNormal"/>
      </w:pPr>
      <w:r>
        <w:t xml:space="preserve">Idéntica posición sostiene la jurisprudencia del Tribunal Europeo de Derechos Humanos que, a través de una reiterada doctrina, ha venido afirmando que el ejercicio de la libertad de expresión (art. 10 del Convenio europeo de derechos humanos: CEDH) puede amparar la utilización de “frases vulgares o soeces” cuando estas se encuentran irremediablemente vinculadas al mensaje que se trata de transmitir. De esta manera, el empleo de este tipo de locuciones quedará fuera del ámbito de protección del art. 10 CEDH cuando aparezcan desvinculadas de la crítica que se trate de verter, cuando supongan “una vejación gratuita” (STEDH de 28 de septiembre de 2000, asunto </w:t>
      </w:r>
      <w:r w:rsidRPr="008D479B">
        <w:rPr>
          <w:i/>
        </w:rPr>
        <w:t>Lopes Gomes da Silva c. Portugal</w:t>
      </w:r>
      <w:r>
        <w:t xml:space="preserve">, § 34) o “cuando el único propósito de la declaración ofensiva sea insultar” (STEDH de 27 de mayo de 2003, asunto </w:t>
      </w:r>
      <w:r w:rsidRPr="008D479B">
        <w:rPr>
          <w:i/>
        </w:rPr>
        <w:t>Skalka c. Polonia</w:t>
      </w:r>
      <w:r>
        <w:t>, § 34).</w:t>
      </w:r>
    </w:p>
    <w:p w14:paraId="23F43DE1" w14:textId="77777777" w:rsidR="008D479B" w:rsidRDefault="008D479B" w:rsidP="008D479B">
      <w:pPr>
        <w:pStyle w:val="TextoNormal"/>
      </w:pPr>
    </w:p>
    <w:p w14:paraId="208597C4" w14:textId="318C62CE" w:rsidR="008D479B" w:rsidRDefault="008D479B" w:rsidP="008D479B">
      <w:pPr>
        <w:pStyle w:val="TextoNormal"/>
      </w:pPr>
      <w:r>
        <w:t xml:space="preserve">El nivel de tolerancia debe ser aún mayor cuando las expresiones críticas se dirigen a los representantes políticos, autoridades y cargos públicos. Respecto a estos, el Tribunal Europeo de Derechos Humanos ha señalado que “los límites a la crítica aceptable son más amplios con respecto a un político que actúa en su capacidad pública que en relación con un individuo privado. Quienes participan voluntariamente en el debate político público quedan expuestos, de forma inevitable y consciente, al escrutinio minucioso de sus acciones y manifestaciones, tanto por parte de los periodistas como del público en general, por lo que deben mostrar un mayor grado de tolerancia, especialmente, cuando hacen declaraciones públicas que son susceptibles de crítica. Ciertamente tienen derecho a que se proteja su reputación, aun cuando no actúen en condición de particular, pero los requisitos de esta protección deben sopesarse frente a los intereses de la discusión abierta de cuestiones políticas, ya que las excepciones a la libertad de expresión deben interpretarse estrictamente” (STEDH de 28 de septiembre de 2000, asunto </w:t>
      </w:r>
      <w:r w:rsidRPr="008D479B">
        <w:rPr>
          <w:i/>
        </w:rPr>
        <w:t>Lopes Gomes da Silva c. Portugal</w:t>
      </w:r>
      <w:r>
        <w:t>, § 30).</w:t>
      </w:r>
    </w:p>
    <w:p w14:paraId="1D876F94" w14:textId="77777777" w:rsidR="008D479B" w:rsidRDefault="008D479B" w:rsidP="008D479B">
      <w:pPr>
        <w:pStyle w:val="TextoNormal"/>
      </w:pPr>
    </w:p>
    <w:p w14:paraId="7AC35D28" w14:textId="77777777" w:rsidR="008D479B" w:rsidRDefault="008D479B" w:rsidP="008D479B">
      <w:pPr>
        <w:pStyle w:val="TextoNormal"/>
      </w:pPr>
      <w:r w:rsidRPr="008D479B">
        <w:rPr>
          <w:rStyle w:val="NumeroAFNegritaCaracter"/>
        </w:rPr>
        <w:t>5</w:t>
      </w:r>
      <w:r>
        <w:t xml:space="preserve">. </w:t>
      </w:r>
      <w:r w:rsidRPr="008D479B">
        <w:rPr>
          <w:i/>
        </w:rPr>
        <w:t>Doctrina específica sobre el conflicto entre el derecho al honor y la libertad de expresión en el contexto de Internet</w:t>
      </w:r>
    </w:p>
    <w:p w14:paraId="4617FA4D" w14:textId="77777777" w:rsidR="008D479B" w:rsidRDefault="008D479B" w:rsidP="008D479B">
      <w:pPr>
        <w:pStyle w:val="TextoNormal"/>
      </w:pPr>
    </w:p>
    <w:p w14:paraId="318060B8" w14:textId="77777777" w:rsidR="008D479B" w:rsidRDefault="008D479B" w:rsidP="008D479B">
      <w:pPr>
        <w:pStyle w:val="TextoNormal"/>
      </w:pPr>
      <w:r>
        <w:t>Expuestas las reglas básicas que permiten abordar el conflicto entre pretensiones que se dicen amparadas en el derecho al honor y el ejercicio de la libertad de expresión, hemos de recordar que apreciamos que la cuestión planteada en este recurso de amparo tiene especial trascendencia constitucional (art. 50.1 LOTC) porque, según se señaló en la providencia de admisión de 13 de septiembre de 2021, puede dar ocasión al tribunal para aclarar o cambiar su doctrina como consecuencia del surgimiento de nuevas realidades sociales y de cambios normativos relevantes para la configuración del contenido del derecho fundamental [STC 155/2009, FJ 2 b)]. Singularmente, en este caso, la vulneración del derecho al honor que fue reconocida en la vía judicial previa como presupuesto de una condena civil, se produjo como consecuencia de la publicación y permanencia en una página web, durante varios meses, de comentarios anónimos ofensivos de uno de sus usuarios sobre una noticia referida a la actuación que se imputaba a un concejal del municipio de Marbella.</w:t>
      </w:r>
    </w:p>
    <w:p w14:paraId="3B985D9F" w14:textId="77777777" w:rsidR="008D479B" w:rsidRDefault="008D479B" w:rsidP="008D479B">
      <w:pPr>
        <w:pStyle w:val="TextoNormal"/>
      </w:pPr>
    </w:p>
    <w:p w14:paraId="1620DA9E" w14:textId="77777777" w:rsidR="008D479B" w:rsidRDefault="008D479B" w:rsidP="008D479B">
      <w:pPr>
        <w:pStyle w:val="TextoNormal"/>
      </w:pPr>
      <w:r>
        <w:t>En el presente caso, la mercantil recurrente viene a sostener en su demanda que la rapidez e inmediatez con la que se entablan las comunicaciones en internet, unido al elevadísimo volumen de datos que se mueven constantemente en dicha red electrónica, debe conducir, en la doctrina constitucional, a una suerte de equiparación de las comunicaciones entabladas en internet con las conversaciones orales que se producen en el contexto ordinario de la vida diaria. De este modo, propone la demandante, que lo que es tolerable en una conversación oral debería ser considerado, igualmente, tolerable en el ámbito de internet.</w:t>
      </w:r>
    </w:p>
    <w:p w14:paraId="25E95B76" w14:textId="77777777" w:rsidR="008D479B" w:rsidRDefault="008D479B" w:rsidP="008D479B">
      <w:pPr>
        <w:pStyle w:val="TextoNormal"/>
      </w:pPr>
    </w:p>
    <w:p w14:paraId="5904A137" w14:textId="77777777" w:rsidR="008D479B" w:rsidRDefault="008D479B" w:rsidP="008D479B">
      <w:pPr>
        <w:pStyle w:val="TextoNormal"/>
      </w:pPr>
      <w:r>
        <w:t xml:space="preserve">El planteamiento de la recurrente ignora, sin embargo, que, aunque el desarrollo de nuevos instrumentos tecnológicos debe ser protegido en cuanto ha incrementado notablemente la capacidad para almacenar y comunicar grandes cantidades de información, su desenvolvimiento ha supuesto también un aumento de los riesgos para el ejercicio de los derechos y libertades de todos los ciudadanos. Las difamaciones e insultos, las expresiones objetivamente injuriosas, la proliferación de discursos que fomentan el odio, la violencia o la discriminación, la formulación de ideas o pensamientos que pueden constituir una injerencia en otros derechos fundamentales —como son el derecho al honor o el derecho al respeto de la vida privada y familiar— pueden ser difundidos como nunca antes se había visto, garantizando a todos su acceso y redifusión a terceros en cuestión de segundos, cualquiera que sea el lugar del mundo en el que se encuentre, con la facultad, incluso, de “permanecer accesibles en la web de forma constante” (STEDH de 16 de junio de 2015, asunto </w:t>
      </w:r>
      <w:r w:rsidRPr="008D479B">
        <w:rPr>
          <w:i/>
        </w:rPr>
        <w:t>Delfi AS c. Estonia</w:t>
      </w:r>
      <w:r>
        <w:t>, § 133). Ambas ideas: multiplicación y permanencia en el tiempo, muestran por sí mismas la necesidad de proteger de forma eficaz los derechos eventualmente afectados.</w:t>
      </w:r>
    </w:p>
    <w:p w14:paraId="01DF647E" w14:textId="77777777" w:rsidR="008D479B" w:rsidRDefault="008D479B" w:rsidP="008D479B">
      <w:pPr>
        <w:pStyle w:val="TextoNormal"/>
      </w:pPr>
    </w:p>
    <w:p w14:paraId="3318D824" w14:textId="77777777" w:rsidR="008D479B" w:rsidRDefault="008D479B" w:rsidP="008D479B">
      <w:pPr>
        <w:pStyle w:val="TextoNormal"/>
      </w:pPr>
      <w:r>
        <w:t xml:space="preserve">No puede, por tanto, aceptarse, tal y como propone la mercantil recurrente, la consideración genérica de internet como un contexto comunicativo puramente ocasional o trivial, habida cuenta de que, como recordó el Tribunal Europeo de Derechos Humanos: “Internet es una herramienta de información y comunicación particularmente distinta de los medios impresos, especialmente en lo que se refiere a la capacidad de almacenar y transmitir información […] El riesgo de perjuicio que suponen los contenidos y las comunicaciones en internet para el ejercicio y disfrute de los derechos humanos y las libertades, en particular el derecho al respeto de la vida privada, es ciertamente mayor que el que plantea la prensa [escrita]” (STEDH de 5 de mayo de 2011, asunto </w:t>
      </w:r>
      <w:r w:rsidRPr="008D479B">
        <w:rPr>
          <w:i/>
        </w:rPr>
        <w:t>Consejo</w:t>
      </w:r>
      <w:r>
        <w:t xml:space="preserve"> </w:t>
      </w:r>
      <w:r w:rsidRPr="008D479B">
        <w:rPr>
          <w:i/>
        </w:rPr>
        <w:t>Editorial de Pravoye Delo y Shtekel c. Ucrania</w:t>
      </w:r>
      <w:r>
        <w:t>, § 63). En definitiva, las específicas características del uso de internet y redes sociales, así como del modo y difusión que alcanza el mensaje objeto de controversia, deben ser tenidas en cuenta en orden a concretar las reglas de delimitación entre derechos, para garantizar su promoción, pero también su debida protección.</w:t>
      </w:r>
    </w:p>
    <w:p w14:paraId="4326A7BF" w14:textId="77777777" w:rsidR="008D479B" w:rsidRDefault="008D479B" w:rsidP="008D479B">
      <w:pPr>
        <w:pStyle w:val="TextoNormal"/>
      </w:pPr>
    </w:p>
    <w:p w14:paraId="64088CEF" w14:textId="77777777" w:rsidR="008D479B" w:rsidRDefault="008D479B" w:rsidP="008D479B">
      <w:pPr>
        <w:pStyle w:val="TextoNormal"/>
      </w:pPr>
      <w:r>
        <w:t>Por ello mismo, hemos afirmado que “la transformación derivada de las nuevas formas de comunicación y la generalización de su uso, no produce un vaciamiento de la protección constitucional de los derechos fundamentales y tampoco altera […] los criterios asentados por nuestra reiterada doctrina sobre la función de este tribunal para apreciar si ha existido una vulneración del derecho al honor” de tal manera que “si la conducta es lesiva del derecho al honor fuera de la red, también lo es en ella” (STC 93/2021, de 10 de mayo, FJ 2).</w:t>
      </w:r>
    </w:p>
    <w:p w14:paraId="07CAE3C3" w14:textId="77777777" w:rsidR="008D479B" w:rsidRDefault="008D479B" w:rsidP="008D479B">
      <w:pPr>
        <w:pStyle w:val="TextoNormal"/>
      </w:pPr>
    </w:p>
    <w:p w14:paraId="1472B401" w14:textId="77777777" w:rsidR="008D479B" w:rsidRDefault="008D479B" w:rsidP="008D479B">
      <w:pPr>
        <w:pStyle w:val="TextoNormal"/>
      </w:pPr>
      <w:r>
        <w:t>A lo expuesto se han de añadir y destacar adicionales dificultades de control y reacción, ante el contenido de los mensajes difundidos en internet, que derivan de algunas de las características estructurales de la comunicación digital (STC 8/2022, de 27 de enero). En efecto, la comunicación e interacción digital se caracteriza por venir apoyada, entre otras características, sobre la inmediatez y rapidez en la difusión de contenidos, la mayor dificultad de establecer controles previos a esa difusión, y la potencialmente amplia —y difícilmente controlable— multiplicación, reiteración y transmisión entre terceros de los contenidos alojados en la red. Tales características favorecen una capacidad para influir en la opinión pública exponencialmente superior a la de los medios de comunicación tradicionales que, por lo demás, también se sirven de las redes sociales para difundir sus contenidos, e incluso para manejar los tiempos y la capacidad de impacto de una determinada información. Las características apuntadas, como ya hemos destacado, suponen un mayor riesgo de vulneración de los derechos de la personalidad de terceros. Otro elemento característico, acentuado por la falta de regulación general, dimana de la posibilidad de difundir contenidos de forma anónima o, mecánicamente, a través de invasivas aplicaciones informáticas, por lo que la posibilidad de exigir responsabilidades a sus autores viene dificultada en extremo. Estos rasgos de la comunicación digital han de ser tomados en consideración al evaluar el impacto que las expresiones o informaciones publicadas en páginas web o redes sociales han podido tener en los derechos al honor, la intimidad, la propia imagen o la protección de datos de todos.</w:t>
      </w:r>
    </w:p>
    <w:p w14:paraId="5F8E37F3" w14:textId="77777777" w:rsidR="008D479B" w:rsidRDefault="008D479B" w:rsidP="008D479B">
      <w:pPr>
        <w:pStyle w:val="TextoNormal"/>
      </w:pPr>
    </w:p>
    <w:p w14:paraId="23E963BF" w14:textId="5BF6E0B0" w:rsidR="008D479B" w:rsidRDefault="008D479B" w:rsidP="008D479B">
      <w:pPr>
        <w:pStyle w:val="TextoNormal"/>
      </w:pPr>
      <w:r>
        <w:t xml:space="preserve">En cualquier caso, debemos cerrar esta limitada reflexión recordando que la difusión en línea de ataques personales, que sobrepasan el marco de un debate sobre las ideas, no está protegida por la libertad de expresión (en este sentido, SSTEDH de 16 de enero de 2014, asunto </w:t>
      </w:r>
      <w:r w:rsidRPr="008D479B">
        <w:rPr>
          <w:i/>
        </w:rPr>
        <w:t>Tierbefreier E.V. c. Alemania</w:t>
      </w:r>
      <w:r>
        <w:t xml:space="preserve">, y la muy reciente, de 15 de mayo de 2023, asunto </w:t>
      </w:r>
      <w:r w:rsidRPr="008D479B">
        <w:rPr>
          <w:i/>
        </w:rPr>
        <w:t>Sánchez c. Francia</w:t>
      </w:r>
      <w:r>
        <w:t>, de la Gran Sala).</w:t>
      </w:r>
    </w:p>
    <w:p w14:paraId="64D6A4CA" w14:textId="77777777" w:rsidR="008D479B" w:rsidRDefault="008D479B" w:rsidP="008D479B">
      <w:pPr>
        <w:pStyle w:val="TextoNormal"/>
      </w:pPr>
    </w:p>
    <w:p w14:paraId="2AC93BA4" w14:textId="77777777" w:rsidR="008D479B" w:rsidRDefault="008D479B" w:rsidP="008D479B">
      <w:pPr>
        <w:pStyle w:val="TextoNormal"/>
      </w:pPr>
      <w:r w:rsidRPr="008D479B">
        <w:rPr>
          <w:rStyle w:val="NumeroAFNegritaCaracter"/>
        </w:rPr>
        <w:t>6</w:t>
      </w:r>
      <w:r>
        <w:t xml:space="preserve">. </w:t>
      </w:r>
      <w:r w:rsidRPr="008D479B">
        <w:rPr>
          <w:i/>
        </w:rPr>
        <w:t>Aplicación al presente caso de la doctrina constitucional expuesta</w:t>
      </w:r>
    </w:p>
    <w:p w14:paraId="324C93BC" w14:textId="77777777" w:rsidR="008D479B" w:rsidRDefault="008D479B" w:rsidP="008D479B">
      <w:pPr>
        <w:pStyle w:val="TextoNormal"/>
      </w:pPr>
    </w:p>
    <w:p w14:paraId="43332D02" w14:textId="77777777" w:rsidR="008D479B" w:rsidRDefault="008D479B" w:rsidP="008D479B">
      <w:pPr>
        <w:pStyle w:val="TextoNormal"/>
      </w:pPr>
      <w:r>
        <w:t>La aplicación de la doctrina expuesta ha de conducir a la desestimación de la demanda de amparo en atención a las siguientes consideraciones:</w:t>
      </w:r>
    </w:p>
    <w:p w14:paraId="00EEEF9C" w14:textId="77777777" w:rsidR="008D479B" w:rsidRDefault="008D479B" w:rsidP="008D479B">
      <w:pPr>
        <w:pStyle w:val="TextoNormal"/>
      </w:pPr>
    </w:p>
    <w:p w14:paraId="54C8165E" w14:textId="77777777" w:rsidR="008D479B" w:rsidRDefault="008D479B" w:rsidP="008D479B">
      <w:pPr>
        <w:pStyle w:val="TextoNormal"/>
      </w:pPr>
      <w:r>
        <w:t>a) Tal y como ha sido delimitado el objeto del presente recurso de amparo al resumir las pretensiones de las partes y los pronunciamientos judiciales que se cuestionan, su análisis exige determinar, en primer lugar, si cabe compartir que, como han determinado los órganos judiciales, la condena civil reparatoria impuesta a la entidad demandante se apoya en el alojamiento en su sitio web, de modo permanente y con acceso ilimitado de terceros, de un contenido ilícito, pues la vulneración del derecho al honor de don D.L.M., que ha sido declarada por los órganos judiciales es uno de los presupuestos previos de la indemnización reparatoria que le ha sido impuesta.</w:t>
      </w:r>
    </w:p>
    <w:p w14:paraId="285F427A" w14:textId="77777777" w:rsidR="008D479B" w:rsidRDefault="008D479B" w:rsidP="008D479B">
      <w:pPr>
        <w:pStyle w:val="TextoNormal"/>
      </w:pPr>
    </w:p>
    <w:p w14:paraId="77D6AB20" w14:textId="77777777" w:rsidR="008D479B" w:rsidRDefault="008D479B" w:rsidP="008D479B">
      <w:pPr>
        <w:pStyle w:val="TextoNormal"/>
      </w:pPr>
      <w:r>
        <w:t>La recurrente en amparo cuestiona que nos encontremos ante un contenido ilícito. Alega que el comentario reseñado no es sino libre ejercicio de la libertad de expresión del concreto usuario de sus servicios de intermediación en internet, que fue quien lo redactó, remitió y quien decidió, en definitiva, sin sometimiento a ningún tipo de control o supervisión, la publicación de su juicio de valor.</w:t>
      </w:r>
    </w:p>
    <w:p w14:paraId="3DAD5778" w14:textId="77777777" w:rsidR="008D479B" w:rsidRDefault="008D479B" w:rsidP="008D479B">
      <w:pPr>
        <w:pStyle w:val="TextoNormal"/>
      </w:pPr>
    </w:p>
    <w:p w14:paraId="1538C8FA" w14:textId="77777777" w:rsidR="008D479B" w:rsidRDefault="008D479B" w:rsidP="008D479B">
      <w:pPr>
        <w:pStyle w:val="TextoNormal"/>
      </w:pPr>
      <w:r>
        <w:t>Para situar en contexto el contenido de dichos comentarios anónimos hemos de recordar que, a tenor de las actuaciones recibidas, son reacción a un enlace —que aparece en la web que gestiona la demandante— referido a una noticia publicada por un medio de comunicación digital que se refería a la conducta de un concejal que se rotulaba con el siguiente titular: “El concejal de Fiestas del PP de Marbella gasto 14 600 € en teléfono en un mes”. El resumen de la noticia que aparece en el enlace ofrecido añade lo siguiente: “D.L., gastó 14 640 € durante el mes de febrero, su primer mes como concejal, puesto que tomó posesión el 25 de enero de 2013. Cuando era director general de Juventud, en noviembre de 2010, gastó 2874,78 €”.</w:t>
      </w:r>
    </w:p>
    <w:p w14:paraId="3F6815A3" w14:textId="77777777" w:rsidR="008D479B" w:rsidRDefault="008D479B" w:rsidP="008D479B">
      <w:pPr>
        <w:pStyle w:val="TextoNormal"/>
      </w:pPr>
    </w:p>
    <w:p w14:paraId="1B309D3E" w14:textId="77777777" w:rsidR="008D479B" w:rsidRDefault="008D479B" w:rsidP="008D479B">
      <w:pPr>
        <w:pStyle w:val="TextoNormal"/>
      </w:pPr>
      <w:r>
        <w:t>El primer comentario a dicha noticia, anunciada en el enlace, señala: “Se ve que su vida era una fiesta”. El segundo comentario, cuyo mantenimiento en el sitio web dio lugar a la condena civil, dice: “Llamemos a las cosas por su nombre. Este es un hijo de puta que disfruta de gastarse el dinero de todos. Un ladrón de toda la puta vida”.</w:t>
      </w:r>
    </w:p>
    <w:p w14:paraId="154862E2" w14:textId="77777777" w:rsidR="008D479B" w:rsidRDefault="008D479B" w:rsidP="008D479B">
      <w:pPr>
        <w:pStyle w:val="TextoNormal"/>
      </w:pPr>
    </w:p>
    <w:p w14:paraId="4CE4AFD5" w14:textId="77777777" w:rsidR="008D479B" w:rsidRDefault="008D479B" w:rsidP="008D479B">
      <w:pPr>
        <w:pStyle w:val="TextoNormal"/>
      </w:pPr>
      <w:r>
        <w:t>b) Como señalamos antes, al exponer la doctrina constitucional aplicable al presente supuesto, este tribunal ha destacado en numerosas resoluciones previas que el libre ejercicio del derecho a la libertad de expresión garantiza un interés constitucional relevante como es la formación y existencia de una opinión pública libre, que es una condición previa y necesaria para el ejercicio de otros derechos inherentes al funcionamiento de un sistema democrático. La libertad de expresión encuentra un límite, constitucionalmente reconocido, en el derecho al honor de las personas, lo que no excluye la crítica de la conducta de otro, aun cuando la misma sea desabrida y pueda molestar, inquietar o disgustar a quien se dirige, pues así lo requieren el pluralismo, la tolerancia y el espíritu de apertura, sin los cuales no existe sociedad democrática.</w:t>
      </w:r>
    </w:p>
    <w:p w14:paraId="64B91520" w14:textId="77777777" w:rsidR="008D479B" w:rsidRDefault="008D479B" w:rsidP="008D479B">
      <w:pPr>
        <w:pStyle w:val="TextoNormal"/>
      </w:pPr>
    </w:p>
    <w:p w14:paraId="3F799476" w14:textId="77777777" w:rsidR="008D479B" w:rsidRDefault="008D479B" w:rsidP="008D479B">
      <w:pPr>
        <w:pStyle w:val="TextoNormal"/>
      </w:pPr>
      <w:r>
        <w:t>De la misma forma, hemos señalado como circunstancias a tener en cuenta a la hora de apreciar los límites de la libertad de expresión, el juicio sobre la relevancia pública del asunto, el tipo de intervención y, por encima de todo, el dato de si, en efecto, la opinión expresada contribuye o no a la formación de la opinión pública, incidiéndose en que este límite se debilita o pierde peso en la ponderación a efectuar cuando los titulares del honor ejercen funciones públicas o resultan implicados en asuntos de relevancia pública, siendo en estos casos más amplios los límites de la crítica permisible, pues estas personas están expuestas a un más riguroso control de sus actividades y manifestaciones que si se tratase de simples particulares sin proyección pública alguna.</w:t>
      </w:r>
    </w:p>
    <w:p w14:paraId="7F0F311E" w14:textId="77777777" w:rsidR="008D479B" w:rsidRDefault="008D479B" w:rsidP="008D479B">
      <w:pPr>
        <w:pStyle w:val="TextoNormal"/>
      </w:pPr>
    </w:p>
    <w:p w14:paraId="6D7CBB91" w14:textId="77777777" w:rsidR="008D479B" w:rsidRDefault="008D479B" w:rsidP="008D479B">
      <w:pPr>
        <w:pStyle w:val="TextoNormal"/>
      </w:pPr>
      <w:r>
        <w:t>No obstante, hemos de reiterar en este caso que, incluso en el ámbito ya expuesto en el que los límites de la crítica permisible son más amplios, la Constitución no reconoce un pretendido derecho al insulto, lo que significa que de la protección constitucional que otorga el art. 20.1 a) CE, están excluidas las expresiones absolutamente vejatorias, es decir, las que, en las concretas circunstancias del caso, y al margen de su veracidad, sean ofensivas o ultrajantes y resulten impertinentes para expresar las opiniones o informaciones de que se trate. Quienes participan en la vida pública no quedan privados de ser titulares del derecho al honor.</w:t>
      </w:r>
    </w:p>
    <w:p w14:paraId="2E46A701" w14:textId="77777777" w:rsidR="008D479B" w:rsidRDefault="008D479B" w:rsidP="008D479B">
      <w:pPr>
        <w:pStyle w:val="TextoNormal"/>
      </w:pPr>
    </w:p>
    <w:p w14:paraId="5726260E" w14:textId="77777777" w:rsidR="008D479B" w:rsidRDefault="008D479B" w:rsidP="008D479B">
      <w:pPr>
        <w:pStyle w:val="TextoNormal"/>
      </w:pPr>
      <w:r>
        <w:t>c) Tomando en cuenta las indicaciones citadas, no puede ser atendida la solicitud de amparo, en cuanto cuestiona el carácter constitucionalmente ilegítimo, por innecesariamente vejatorio, de los comentarios publicados en la página web.</w:t>
      </w:r>
    </w:p>
    <w:p w14:paraId="185E17D7" w14:textId="77777777" w:rsidR="008D479B" w:rsidRDefault="008D479B" w:rsidP="008D479B">
      <w:pPr>
        <w:pStyle w:val="TextoNormal"/>
      </w:pPr>
    </w:p>
    <w:p w14:paraId="401E8937" w14:textId="77777777" w:rsidR="008D479B" w:rsidRDefault="008D479B" w:rsidP="008D479B">
      <w:pPr>
        <w:pStyle w:val="TextoNormal"/>
      </w:pPr>
      <w:r>
        <w:t>Tal y como ha destacado la sentencia de apelación y ratificado la de casación, el comentario escrito remitido por un usuario de la página web Menéame, como reacción a una noticia sobre la conducta de un cargo público, incluye expresiones “formalmente injuriosas” o “absolutamente vejatorias”, es decir, innecesarias en sí mismas para expresar el juicio de valor que contienen.</w:t>
      </w:r>
    </w:p>
    <w:p w14:paraId="2B2ACF4F" w14:textId="77777777" w:rsidR="008D479B" w:rsidRDefault="008D479B" w:rsidP="008D479B">
      <w:pPr>
        <w:pStyle w:val="TextoNormal"/>
      </w:pPr>
    </w:p>
    <w:p w14:paraId="709D3984" w14:textId="77777777" w:rsidR="008D479B" w:rsidRDefault="008D479B" w:rsidP="008D479B">
      <w:pPr>
        <w:pStyle w:val="TextoNormal"/>
      </w:pPr>
      <w:r>
        <w:t>Si bien es cierto que la noticia a la que da lugar el comentario puntual analizado se refiere a la conducta de un cargo representativo que realiza un gasto elevado de los medios puestos a su servicio por el ayuntamiento para desarrollar su función, la descalificación sin matices de dicha conducta refiriéndose al concejal aludido como “un hijo de puta que disfruta de gastarse el dinero de todos” constituye una ofensa personal innecesaria para expresar el desacuerdo con la conducta a la que se refiere la noticia. Se trata de una descalificación personal y directa que carece de cualquier carácter irónico, mordaz o humorístico. Cualquiera que sea la habitualidad con que, en el lenguaje ordinario, se utilicen epítetos descalificativos como el analizado, su generalización de uso no resta carácter ofensivo al mismo, ni favorece el intercambio de ideas, ni el debate razonado; en definitiva, el calificativo utilizado no contribuye ni está al servicio de la formación de una opinión pública libre e informada, función que sí desarrollaba la noticia que se comentaba.</w:t>
      </w:r>
    </w:p>
    <w:p w14:paraId="557DA3F4" w14:textId="77777777" w:rsidR="008D479B" w:rsidRDefault="008D479B" w:rsidP="008D479B">
      <w:pPr>
        <w:pStyle w:val="TextoNormal"/>
      </w:pPr>
    </w:p>
    <w:p w14:paraId="32925117" w14:textId="77777777" w:rsidR="008D479B" w:rsidRDefault="008D479B" w:rsidP="008D479B">
      <w:pPr>
        <w:pStyle w:val="TextoNormal"/>
      </w:pPr>
      <w:r>
        <w:t>A esta apreciación inicial sobre la naturaleza inequívocamente vejatoria del comentario analizado se añaden, en el caso planteado, dos elementos particularmente relevantes: (i) de un lado, la incorporación de la expresión utilizada a un medio tecnológico con especial potencialidad lesiva del honor individual, que no agota sus efectos en el contexto pasajero de una conversación oral, sino que permanece como contenido público fácilmente accesible; (ii) de otro lado, el anonimato del autor, que intensifica el elemento de pura vejación, pues el destinatario del insulto queda particularmente indefenso. Ambos aspectos han sido ya destacados en el fundamento jurídico 5.</w:t>
      </w:r>
    </w:p>
    <w:p w14:paraId="015EAE39" w14:textId="77777777" w:rsidR="008D479B" w:rsidRDefault="008D479B" w:rsidP="008D479B">
      <w:pPr>
        <w:pStyle w:val="TextoNormal"/>
      </w:pPr>
    </w:p>
    <w:p w14:paraId="4862BA6B" w14:textId="77777777" w:rsidR="008D479B" w:rsidRDefault="008D479B" w:rsidP="008D479B">
      <w:pPr>
        <w:pStyle w:val="TextoNormal"/>
      </w:pPr>
      <w:r>
        <w:t>Dado el carácter puramente vejatorio, con publicidad y anonimato, de la expresión utilizada, consideramos que no es necesario analizar otros factores que serían útiles, únicamente, para evaluar la intensidad del daño producido, como serían el carácter puntual o reiterado del juicio de valor descalificatorio o la mayor o menor difusión o repercusión social que haya obtenido el comentario en la red, elementos estos que fueron, de hecho, tenidos en cuenta por la Audiencia Provincial para fijar la cantidad indemnizatoria en 1200 € (</w:t>
      </w:r>
      <w:r w:rsidRPr="008D479B">
        <w:rPr>
          <w:i/>
        </w:rPr>
        <w:t>quantum</w:t>
      </w:r>
      <w:r>
        <w:t xml:space="preserve"> que no ha sido discutido en casación).</w:t>
      </w:r>
    </w:p>
    <w:p w14:paraId="3DF3F12F" w14:textId="77777777" w:rsidR="008D479B" w:rsidRDefault="008D479B" w:rsidP="008D479B">
      <w:pPr>
        <w:pStyle w:val="TextoNormal"/>
      </w:pPr>
    </w:p>
    <w:p w14:paraId="16D117E7" w14:textId="77777777" w:rsidR="008D479B" w:rsidRDefault="008D479B" w:rsidP="008D479B">
      <w:pPr>
        <w:pStyle w:val="TextoNormal"/>
      </w:pPr>
      <w:r>
        <w:t>Teniendo en cuenta lo anteriormente expuesto, hemos de concluir, como ya anticipamos, que las resoluciones impugnadas no han limitado de forma contraria a la Constitución el legítimo ejercicio del derecho a la libertad de expresión del usuario autor del comentario [art. 20.1 a) CE], por lo que no cabe sino desestimar este motivo de amparo.</w:t>
      </w:r>
    </w:p>
    <w:p w14:paraId="7497B7EB" w14:textId="77777777" w:rsidR="008D479B" w:rsidRDefault="008D479B" w:rsidP="008D479B">
      <w:pPr>
        <w:pStyle w:val="TextoNormal"/>
      </w:pPr>
    </w:p>
    <w:p w14:paraId="6147941E" w14:textId="383E97D8" w:rsidR="008D479B" w:rsidRDefault="008D479B" w:rsidP="008D479B">
      <w:pPr>
        <w:pStyle w:val="TextoNormal"/>
      </w:pPr>
      <w:r>
        <w:t>En consecuencia, analizaremos a continuación las quejas que denuncian la vulneración de derechos fundamentales de carácter procesal que, en la demanda de amparo, se atribuyen a la respuesta dada por los órganos judiciales de apelación y casación a las alegaciones realizadas por la recurrente en el proceso judicial previo.</w:t>
      </w:r>
    </w:p>
    <w:p w14:paraId="34C6B9CA" w14:textId="77777777" w:rsidR="008D479B" w:rsidRDefault="008D479B" w:rsidP="008D479B">
      <w:pPr>
        <w:pStyle w:val="TextoNormal"/>
      </w:pPr>
    </w:p>
    <w:p w14:paraId="190C1FD5" w14:textId="77777777" w:rsidR="008D479B" w:rsidRDefault="008D479B" w:rsidP="008D479B">
      <w:pPr>
        <w:pStyle w:val="TextoNormal"/>
      </w:pPr>
      <w:r w:rsidRPr="008D479B">
        <w:rPr>
          <w:rStyle w:val="NumeroAFNegritaCaracter"/>
        </w:rPr>
        <w:t>7</w:t>
      </w:r>
      <w:r>
        <w:t xml:space="preserve">. </w:t>
      </w:r>
      <w:r w:rsidRPr="008D479B">
        <w:rPr>
          <w:i/>
        </w:rPr>
        <w:t>Examen de las quejas relativas al derecho a la tutela judicial efectiva (art. 24.1 CE</w:t>
      </w:r>
      <w:r>
        <w:t>)</w:t>
      </w:r>
    </w:p>
    <w:p w14:paraId="5935951B" w14:textId="77777777" w:rsidR="008D479B" w:rsidRDefault="008D479B" w:rsidP="008D479B">
      <w:pPr>
        <w:pStyle w:val="TextoNormal"/>
      </w:pPr>
    </w:p>
    <w:p w14:paraId="7948F582" w14:textId="77777777" w:rsidR="008D479B" w:rsidRDefault="008D479B" w:rsidP="008D479B">
      <w:pPr>
        <w:pStyle w:val="TextoNormal"/>
      </w:pPr>
      <w:r>
        <w:t>Desestimada la queja relativa a la vulneración del derecho fundamental sustantivo, estamos en disposición de resolver las vulneraciones puramente procesales alegadas por la parte actora siguiendo el orden de tratamiento que fue anticipado en el fundamento jurídico 2. Cabe señalar al respecto lo siguiente:</w:t>
      </w:r>
    </w:p>
    <w:p w14:paraId="2B71ECFB" w14:textId="77777777" w:rsidR="008D479B" w:rsidRDefault="008D479B" w:rsidP="008D479B">
      <w:pPr>
        <w:pStyle w:val="TextoNormal"/>
      </w:pPr>
    </w:p>
    <w:p w14:paraId="36EAF708" w14:textId="77777777" w:rsidR="008D479B" w:rsidRDefault="008D479B" w:rsidP="008D479B">
      <w:pPr>
        <w:pStyle w:val="TextoNormal"/>
      </w:pPr>
      <w:r>
        <w:t>a) En lo que se refiere a la interpretación judicial del requisito de “conocimiento efectivo” contenido en el art. 16 LSSI, nuestro enjuiciamiento debe sujetarse a los parámetros propios del derecho a la motivación del art. 24.1 CE, conforme al cual “(i) la resolución ha de estar motivada, es decir, contener los elementos y razones de juicio que permitan conocer cuáles han sido los criterios jurídicos que fundamentan la decisión, y (ii) la motivación debe contener una fundamentación en Derecho, esto es, que el fundamento de la decisión sea la aplicación no arbitraria de las normas que se consideren adecuadas al caso, pues tanto si la aplicación de la legalidad es fruto de un error patente, como si fuere arbitraria, manifiestamente irrazonada o irrazonable, no podría considerarse fundada en Derecho, dado que la aplicación de la legalidad sería tan solo una mera apariencia (así, SSTC 31/2013, de 12 de marzo, FJ 3, o 48/2014, de 7 de abril, FJ 3)” (STC 3/2019, de 14 de enero, FJ 6, entre otras muchas).</w:t>
      </w:r>
    </w:p>
    <w:p w14:paraId="65C2F1F8" w14:textId="77777777" w:rsidR="008D479B" w:rsidRDefault="008D479B" w:rsidP="008D479B">
      <w:pPr>
        <w:pStyle w:val="TextoNormal"/>
      </w:pPr>
    </w:p>
    <w:p w14:paraId="17226047" w14:textId="77777777" w:rsidR="008D479B" w:rsidRDefault="008D479B" w:rsidP="008D479B">
      <w:pPr>
        <w:pStyle w:val="TextoNormal"/>
      </w:pPr>
      <w:r>
        <w:t>En el presente caso tanto la sentencia de la Audiencia Provincial (núm. 82/2018, de 5 de febrero) como, especialmente, la dictada por el Tribunal Supremo en casación (núm. 235/2020, de 2 de junio) ponen de manifiesto que el “conocimiento efectivo” a que se refiere el art. 16 LSSI puede ser interpretado de modo amplio, de suerte que dicho conocimiento puede adquirirse a través cualquier método que pueda reputarse idóneo. Estiman, en este punto, las resoluciones impugnadas que tanto el correo electrónico dirigido por don D.L.M., a la dirección facilitada por el propio sitio web de Menéame para la denuncia de contenidos abusivos como el posterior burofax dirigido al domicilio social de dicha entidad —ambos con identificación tanto de la “noticia enlazada”, por su título, como de las concretas expresiones cuya retirada se interesaba—, eran medios idóneos para que la mercantil titular del servicio de intermediación tuviera “conocimiento efectivo” de que alojaba un contenido de carácter ilícito.</w:t>
      </w:r>
    </w:p>
    <w:p w14:paraId="13DC195E" w14:textId="77777777" w:rsidR="008D479B" w:rsidRDefault="008D479B" w:rsidP="008D479B">
      <w:pPr>
        <w:pStyle w:val="TextoNormal"/>
      </w:pPr>
    </w:p>
    <w:p w14:paraId="2EF3BD43" w14:textId="77777777" w:rsidR="008D479B" w:rsidRDefault="008D479B" w:rsidP="008D479B">
      <w:pPr>
        <w:pStyle w:val="TextoNormal"/>
      </w:pPr>
      <w:r>
        <w:t>Esta motivación de la decisión adoptada no puede considerarse arbitraria, irrazonable o incursa en error patente. La parte recurrente se limita a alegar, en realidad, la existencia de una interpretación alternativa, más favorable para sus intereses, según la cual la identificación del contenido ilícito debe realizarse, dado el volumen de datos gestionados en el sitio web, a través de la indicación de la ubicación exacta (dirección URL), cuestión esta que, manifiestamente, pertenece a un ámbito de legalidad ordinaria en el que este tribunal no debe inmiscuirse.</w:t>
      </w:r>
    </w:p>
    <w:p w14:paraId="27AF9738" w14:textId="77777777" w:rsidR="008D479B" w:rsidRDefault="008D479B" w:rsidP="008D479B">
      <w:pPr>
        <w:pStyle w:val="TextoNormal"/>
      </w:pPr>
    </w:p>
    <w:p w14:paraId="7598C6CF" w14:textId="77777777" w:rsidR="008D479B" w:rsidRDefault="008D479B" w:rsidP="008D479B">
      <w:pPr>
        <w:pStyle w:val="TextoNormal"/>
      </w:pPr>
      <w:r>
        <w:t xml:space="preserve">b) En cuanto a la alegada incongruencia omisiva de la sentencia casacional, hemos recordado en nuestra reciente STC 39/2023, de 8 de mayo, FJ 3, que la incongruencia omisiva o </w:t>
      </w:r>
      <w:r w:rsidRPr="008D479B">
        <w:rPr>
          <w:i/>
        </w:rPr>
        <w:t>ex silentio</w:t>
      </w:r>
      <w:r>
        <w:t>, se produce “cuando el órgano judicial deja sin contestar alguna de las pretensiones sometidas a su consideración por las partes, siempre que no quepa interpretar razonablemente el silencio judicial como una desestimación tácita cuya motivación pueda inducirse del conjunto de los razonamientos contenidos en la resolución, y sin que sea necesaria, para la satisfacción del derecho a la tutela judicial efectiva, una contestación explícita y pormenorizada a todas y cada una de las alegaciones que se aducen por las partes como fundamento de su pretensión, pudiendo bastar, en atención a las circunstancias particulares concurrentes, con una respuesta global o genérica, aunque se omita respecto de alegaciones concretas no sustanciales (STC 40/2006, de 13 de febrero, por todas). A tales efectos, se plantea la necesidad ‘de distinguir entre las que son meras alegaciones o argumentaciones aportadas por las partes en defensa de sus pretensiones y estas últimas en sí mismas consideradas, pues si con respecto a las primeras puede no ser necesaria una respuesta explícita y pormenorizada de todas ellas y, además, la eventual lesión del derecho fundamental deberá enfocarse desde el prisma del derecho a la motivación de toda resolución judicial, respecto de las segundas la exigencia de respuesta congruente se muestra con todo rigor siempre y cuando la pretensión omitida haya sido llevada al juicio en el momento procesal oportuno”.</w:t>
      </w:r>
    </w:p>
    <w:p w14:paraId="5B5B6F34" w14:textId="77777777" w:rsidR="008D479B" w:rsidRDefault="008D479B" w:rsidP="008D479B">
      <w:pPr>
        <w:pStyle w:val="TextoNormal"/>
      </w:pPr>
    </w:p>
    <w:p w14:paraId="4BCF23D5" w14:textId="77777777" w:rsidR="008D479B" w:rsidRDefault="008D479B" w:rsidP="008D479B">
      <w:pPr>
        <w:pStyle w:val="TextoNormal"/>
      </w:pPr>
      <w:r>
        <w:t>En el presente caso, es claro que la pretensión formulada por la demandante de amparo fue contestada. Como ya se ha dicho, el Tribunal Supremo entendió que la entidad intermediadora había tenido conocimiento efectivo del contenido ilícito alojado en su sitio web, pues las dos comunicaciones efectuadas por don D.L.M., eran idóneas a estos efectos tanto por su forma (correo electrónico a la dirección habilitada por la propia mercantil para reportar abusos, burofax al domicilio social) como por su contenido (identificación de título de la “noticia enlazada” y de las concretas expresiones consideradas ilícitas). De ese modo, quedaba implícitamente descartada la relevancia de la alegación relativa a la falta de identificación del contenido ilícito a través su ubicación exacta (proporcionando la denominada “URL”). Por tanto, esta segunda vulneración del art. 24.1 CE también debe ser descartada.</w:t>
      </w:r>
    </w:p>
    <w:p w14:paraId="2F696979" w14:textId="77777777" w:rsidR="008D479B" w:rsidRDefault="008D479B" w:rsidP="008D479B">
      <w:pPr>
        <w:pStyle w:val="TextoNormal"/>
      </w:pPr>
    </w:p>
    <w:p w14:paraId="38E8A0D0" w14:textId="77777777" w:rsidR="008D479B" w:rsidRDefault="008D479B" w:rsidP="008D479B">
      <w:pPr>
        <w:pStyle w:val="TextoNormal"/>
      </w:pPr>
      <w:r>
        <w:t>c) Finalmente, en lo que se refiere a la inadmisión del incidente de nulidad de actuaciones en la providencia de 27 de julio de 2020 de la Sala Primera del Tribunal Supremo, hemos recordado en la STC 39/2022, de 21 de marzo, FJ 2, que “sin ser un recurso en sentido estricto, el incidente de nulidad de actuaciones es un cauce procesal que, al tener por objeto la revisión de resoluciones o actuaciones procesales, debe ser enjuiciado conforme al parámetro de control propio del derecho de acceso al recurso legalmente establecido. Según reiterada jurisprudencia constitucional en la jurisdicción de amparo el análisis de la posible inconstitucionalidad vinculada a la vulneración del derecho de acceso a los recursos debe limitarse a comprobar si la resolución de inadmisión está motivada y no ha incurrido en error material patente, en arbitrariedad o en manifiesta irrazonabilidad lógica, evitando una ponderación acerca de su corrección jurídica. En el bien entendido de que el órgano judicial debe realizar una interpretación no restrictiva de los motivos de inadmisión, ya que las decisiones de inadmisión del incidente de nulidad de actuaciones cuando es procedente su planteamiento implican la preterición del mecanismo de tutela ante la jurisdicción ordinaria (STC 102/2020, de 21 de septiembre, FJ 4)”.</w:t>
      </w:r>
    </w:p>
    <w:p w14:paraId="50C8A4A4" w14:textId="77777777" w:rsidR="008D479B" w:rsidRDefault="008D479B" w:rsidP="008D479B">
      <w:pPr>
        <w:pStyle w:val="TextoNormal"/>
      </w:pPr>
    </w:p>
    <w:p w14:paraId="0F3D91A4" w14:textId="34B7DD74" w:rsidR="008D479B" w:rsidRDefault="008D479B" w:rsidP="008D479B">
      <w:pPr>
        <w:pStyle w:val="TextoNormal"/>
      </w:pPr>
      <w:r>
        <w:t xml:space="preserve">Manifiestamente, la providencia de inadmisión dictada por el Tribunal Supremo no incurre en error material patente, en arbitrariedad o en manifiesta irrazonabilidad lógica. En cuanto a la ponderación del conflicto entre la libertad de expresión de los internautas y el derecho al honor de don D.L.M., el Tribunal Supremo considera en la referida providencia que la promotora del incidente pone de manifiesto una mera discrepancia respecto del juicio de ponderación efectuado, juicio que, en todo caso, era coincidente con el que había ya realizado la Audiencia Provincial en la sentencia de apelación y que no podía constituir, por tanto, una vulneración </w:t>
      </w:r>
      <w:r w:rsidRPr="008D479B">
        <w:rPr>
          <w:i/>
        </w:rPr>
        <w:t>ex novo</w:t>
      </w:r>
      <w:r>
        <w:t xml:space="preserve"> del derecho fundamental a la libertad de expresión que pudiera denunciarse a través del incidente previsto en el art. 241 LOPJ. En lo relativo a la alegada incongruencia, el Tribunal Supremo señala que la falta de valoración de ciertas pruebas no equivale a la existencia de incongruencia omisiva proscrita en el art 24 CE; añade que se ha pronunciado expresamente sobre la pretensión formulada y recuerda que, en todo caso, cualquier modificación de los hechos probados debía haberse articulado a través del recurso extraordinario por infracción procesal. Indica, en definitiva, la Sala Primera, de modo pormenorizado las razones que conducen a acordar la inadmisión del incidente, a través de una motivación que cumple claramente con las exigencias propias del art. 24.1 CE. La vulneración alegada ha de ser, por ello, desestimada.</w:t>
      </w:r>
    </w:p>
    <w:p w14:paraId="78051C63" w14:textId="77777777" w:rsidR="008D479B" w:rsidRDefault="008D479B" w:rsidP="008D479B">
      <w:pPr>
        <w:pStyle w:val="TextoNormal"/>
      </w:pPr>
    </w:p>
    <w:p w14:paraId="18C6C089" w14:textId="77777777" w:rsidR="008D479B" w:rsidRDefault="008D479B" w:rsidP="008D479B">
      <w:pPr>
        <w:pStyle w:val="TextoNormalCentrado"/>
        <w:keepNext/>
      </w:pPr>
      <w:r>
        <w:t>FALLO</w:t>
      </w:r>
    </w:p>
    <w:p w14:paraId="796F96B6" w14:textId="48F5CD03" w:rsidR="008D479B" w:rsidRDefault="008D479B" w:rsidP="008D479B">
      <w:pPr>
        <w:pStyle w:val="TextoNormalCentrado"/>
        <w:keepNext/>
      </w:pPr>
    </w:p>
    <w:p w14:paraId="7BC2156E" w14:textId="5FBD2926" w:rsidR="008D479B" w:rsidRDefault="008D479B" w:rsidP="008D479B">
      <w:pPr>
        <w:pStyle w:val="TextoNormal"/>
      </w:pPr>
      <w:r>
        <w:t>En atención a todo lo expuesto, el Tribunal Constitucional, por la autoridad que le confiere la Constitución de la Nación española, ha decidido denegar el amparo solicitado por Menéame Comunicaciones, S.L.</w:t>
      </w:r>
    </w:p>
    <w:p w14:paraId="2033833B" w14:textId="77777777" w:rsidR="008D479B" w:rsidRDefault="008D479B" w:rsidP="008D479B">
      <w:pPr>
        <w:pStyle w:val="TextoNormal"/>
      </w:pPr>
    </w:p>
    <w:p w14:paraId="07CBBD1E" w14:textId="77777777" w:rsidR="008D479B" w:rsidRDefault="008D479B" w:rsidP="008D479B">
      <w:pPr>
        <w:pStyle w:val="TextoNormal"/>
      </w:pPr>
      <w:r>
        <w:t>Publíquese esta sentencia en el “Boletín Oficial del Estado”.</w:t>
      </w:r>
    </w:p>
    <w:p w14:paraId="0AB40A23" w14:textId="77777777" w:rsidR="008D479B" w:rsidRDefault="008D479B" w:rsidP="008D479B">
      <w:pPr>
        <w:pStyle w:val="TextoNormal"/>
      </w:pPr>
      <w:r>
        <w:t>Dada en Madrid, a cuatro de julio de dos mil veintitrés.</w:t>
      </w:r>
    </w:p>
    <w:p w14:paraId="328DAEF9" w14:textId="2E22DE39" w:rsidR="008D479B" w:rsidRDefault="008D479B" w:rsidP="008D479B">
      <w:pPr>
        <w:pStyle w:val="ParrafoNormal"/>
      </w:pPr>
    </w:p>
    <w:p w14:paraId="241D86F8" w14:textId="77777777" w:rsidR="008D479B" w:rsidRDefault="008D479B" w:rsidP="008D479B">
      <w:pPr>
        <w:pStyle w:val="TextoNormalNegritaCentrado"/>
        <w:keepNext/>
      </w:pPr>
      <w:r>
        <w:t>Voto particular que formula la magistrada doña María Luisa Balaguer Callejón a la sentencia dictada en el recurso de amparo núm. 4913-2020</w:t>
      </w:r>
    </w:p>
    <w:p w14:paraId="60992E87" w14:textId="6F9AE3AE" w:rsidR="008D479B" w:rsidRDefault="008D479B" w:rsidP="008D479B">
      <w:pPr>
        <w:pStyle w:val="TextoNormalNegritaCentrado"/>
        <w:keepNext/>
      </w:pPr>
    </w:p>
    <w:p w14:paraId="1EC96418" w14:textId="77777777" w:rsidR="008D479B" w:rsidRDefault="008D479B" w:rsidP="008D479B">
      <w:pPr>
        <w:pStyle w:val="TextoNormal"/>
      </w:pPr>
      <w:r>
        <w:t>Con el mayor respeto al criterio mayoritario reflejado en la sentencia a que se refiere el encabezamiento, creo necesario, en ejercicio de la facultad prevista en el art. 90.2 LOTC, formular este voto particular para dejar constancia de los argumentos que expuse en la deliberación del Pleno, que no fueron acogidos en el proceso de deliberación y que, de haberlo sido, hubieran conducido a un fallo estimatorio del recurso de amparo.</w:t>
      </w:r>
    </w:p>
    <w:p w14:paraId="53E1FCD3" w14:textId="77777777" w:rsidR="008D479B" w:rsidRDefault="008D479B" w:rsidP="008D479B">
      <w:pPr>
        <w:pStyle w:val="TextoNormal"/>
      </w:pPr>
    </w:p>
    <w:p w14:paraId="2404A827" w14:textId="77777777" w:rsidR="008D479B" w:rsidRDefault="008D479B" w:rsidP="008D479B">
      <w:pPr>
        <w:pStyle w:val="TextoNormal"/>
      </w:pPr>
      <w:r>
        <w:t>1. Considero que, de acuerdo con el canon constitucional relativo a los criterios de ponderación aplicables en la resolución de los conflictos del derecho a la libertad de expresión y al derecho al honor, la sentencia hubiera debido ser estimatoria de las pretensiones de la recurrente en amparo, apreciándose la vulneración de su derecho a la libertad de expresión [art. 20.1 a) CE]. En el voto particular que emití a la sentencia dictada en el recurso de amparo núm. 3223-2019 ya puse de manifiesto que si bien las nuevas formas de comunicación a través de internet requieren un ejercicio de reflexión, ello no debería llevarnos, como ocurrió en aquella ocasión y ha vuelto a suceder en la presente, a la identificación de un canon de control específico relativo a los límites que cabe imponer al ejercicio de la libertad de expresión cuando se canaliza a través de internet que acabe siendo más restrictivo en la práctica que el que se aplica en el mundo analógico. En aquella ocasión tuve oportunidad de exponer mis argumentos, a los que ahora me remito, sin perjuicio de destacar aquí lo elementos más relevantes y su aplicación al presente asunto.</w:t>
      </w:r>
    </w:p>
    <w:p w14:paraId="4419913F" w14:textId="77777777" w:rsidR="008D479B" w:rsidRDefault="008D479B" w:rsidP="008D479B">
      <w:pPr>
        <w:pStyle w:val="TextoNormal"/>
      </w:pPr>
    </w:p>
    <w:p w14:paraId="418A6F09" w14:textId="77777777" w:rsidR="008D479B" w:rsidRDefault="008D479B" w:rsidP="008D479B">
      <w:pPr>
        <w:pStyle w:val="TextoNormal"/>
      </w:pPr>
      <w:r>
        <w:t>2. En el fundamento jurídico 4 de la sentencia se recuerda cual es la doctrina de este tribunal respecto de las libertades comunicativas, y de la que ahora me interesa subrayar una serie de elementos: la “peculiar dimensión institucional de la libertad de expresión”, en cuanto que garantía para “la formación y existencia de una opinión pública libre”, que la convierte “en uno de los pilares de una sociedad libre y democrática”; la necesidad de que la libertad de expresión ha de gozar “de un amplio cauce para el intercambio de ideas y opiniones”, que ha de ser “lo suficientemente generoso como para que pueda desenvolverse sin angostura; esto es, sin timidez y sin temor”; la necesidad que los límites deben siempre interpretarse de forma que aquel derecho fundamental “no resulte desnaturalizado”. Así, la función institucional que la libertad de expresión juega en los sistemas democráticos, permite, incluso, la crítica de la conducta de otro, aun cuando la misma sea desabrida y pueda molestar, inquietar o disgustar a quien se dirige. Únicamente quedarían excluidas las expresiones que sean indudablemente ofensivas sin relación con las ideas u opiniones que se expongan y que resulten innecesarias para la exposición de las mismas, toda vez que el referido precepto constitucional “no reconoce un pretendido derecho al insulto”.</w:t>
      </w:r>
    </w:p>
    <w:p w14:paraId="03282C1A" w14:textId="77777777" w:rsidR="008D479B" w:rsidRDefault="008D479B" w:rsidP="008D479B">
      <w:pPr>
        <w:pStyle w:val="TextoNormal"/>
      </w:pPr>
    </w:p>
    <w:p w14:paraId="7B825580" w14:textId="77777777" w:rsidR="008D479B" w:rsidRDefault="008D479B" w:rsidP="008D479B">
      <w:pPr>
        <w:pStyle w:val="TextoNormal"/>
      </w:pPr>
      <w:r>
        <w:t>Así, el derecho al honor se erige como un límite a la libertad de expresión, en tanto que, expresado en términos positivos, garantiza “la buena reputación de una persona, protegiéndola frente a expresiones o mensajes que lo hagan desmerecer en la consideración ajena al ir en su descrédito o menosprecio o que sean tenidas en el concepto público por afrentosas” (STC 216/2013, de 19 de diciembre, FJ 5) y proscribe el “ser escarnecido o humillado ante sí mismo o ante los demás” (STC 127/2004, de 19 de julio, FJ 5). Debemos subrayar ahora que también hemos mantenido que el honor es “un concepto jurídico cuya precisión depende de las normas, valores e ideas sociales vigentes en cada momento” (STC 112/2000, de 5 de mayo, FJ 6, también STC 180/1999, de 11 de octubre, FFJJ 4 y 5, y las sentencias allí citadas).</w:t>
      </w:r>
    </w:p>
    <w:p w14:paraId="57E7F38D" w14:textId="77777777" w:rsidR="008D479B" w:rsidRDefault="008D479B" w:rsidP="008D479B">
      <w:pPr>
        <w:pStyle w:val="TextoNormal"/>
      </w:pPr>
    </w:p>
    <w:p w14:paraId="300CE70B" w14:textId="77777777" w:rsidR="008D479B" w:rsidRDefault="008D479B" w:rsidP="008D479B">
      <w:pPr>
        <w:pStyle w:val="TextoNormal"/>
      </w:pPr>
      <w:r>
        <w:t>3. Sentadas las bases de la doctrina constitucional y europea, también el Tribunal Constitucional, en línea con el Tribunal Europeo de Derechos Humanos, ha establecido una serie de criterios de ponderación a la hora de determinar, en una situación concreta de conflicto entre la libertad de expresión y el derecho al honor, cuál de ellos debe prevalecer. Y es en la aplicación de los criterios de ponderación donde se produce mi desacuerdo con el voto de la mayoría, porque considero que se lleva a cabo sin tener en cuenta la relevancia material de la libertad de expresión y potenciales ataques al honor en el contexto de internet, más cuando el sujeto supuestamente ofendido por las expresiones es un representante público.</w:t>
      </w:r>
    </w:p>
    <w:p w14:paraId="2E3F9934" w14:textId="77777777" w:rsidR="008D479B" w:rsidRDefault="008D479B" w:rsidP="008D479B">
      <w:pPr>
        <w:pStyle w:val="TextoNormal"/>
      </w:pPr>
    </w:p>
    <w:p w14:paraId="373E58A4" w14:textId="77777777" w:rsidR="008D479B" w:rsidRDefault="008D479B" w:rsidP="008D479B">
      <w:pPr>
        <w:pStyle w:val="TextoNormal"/>
      </w:pPr>
      <w:r>
        <w:t>Desde la asunción del impacto trascendental que la transformación digital ha tenido en el ejercicio de los derechos fundamentales de las personas, sobre todo, de aquellas que se relacionan en y a través de los diferentes instrumentos que internet, las redes sociales y diferentes plataformas les proporcionan, debe reconocerse una necesaria adaptación de los derechos fundamentales al mundo digital, lo que implica acomodarse a la nueva realidad, así como a los usos o hábitos que rigen su funcionamiento.</w:t>
      </w:r>
    </w:p>
    <w:p w14:paraId="12A6A460" w14:textId="77777777" w:rsidR="008D479B" w:rsidRDefault="008D479B" w:rsidP="008D479B">
      <w:pPr>
        <w:pStyle w:val="TextoNormal"/>
      </w:pPr>
    </w:p>
    <w:p w14:paraId="2BA37F24" w14:textId="77777777" w:rsidR="008D479B" w:rsidRDefault="008D479B" w:rsidP="008D479B">
      <w:pPr>
        <w:pStyle w:val="TextoNormal"/>
      </w:pPr>
      <w:r>
        <w:t xml:space="preserve">Como se manifiesta en la sentencia, estos nuevos instrumentos tecnológicos han incrementado notablemente la capacidad para almacenar y comunicar grandes cantidades de información, su desenvolvimiento ha supuesto también un aumento de los riesgos para el ejercicio de los derechos y libertades de todos los ciudadanos. Por todo ello, y siguiendo con la línea jurisprudencial marcada por el Tribunal de Estrasburgo, estos foros de comunicación en internet sí pueden, por su función e impacto, asumir una serie de deberes y responsabilidades, en particular en lo que respecta a los contenidos generados por terceros en los espacios habilitados para ello (por todas, STEDH de 16 de junio de 2015, asunto </w:t>
      </w:r>
      <w:r w:rsidRPr="008D479B">
        <w:rPr>
          <w:i/>
        </w:rPr>
        <w:t>Delfi AS c. Estonia</w:t>
      </w:r>
      <w:r>
        <w:t>). A este objetivo responde en nuestro ordenamiento jurídico el art. 16 LSSI, en el que se establece la responsabilidad de los prestadores de servicios de alojamiento o almacenamiento de datos. Dicho artículo parte de que estas empresas no serán responsables de la información que se vuelquen en su espacio por terceros, siempre que no tenga conocimiento efectivo de que los comentarios son o lesionan bienes o derechos de un tercero susceptibles de indemnización, y, en caso de ser conocedores de dicha situación, actúen con diligencia para retirar los comentarios. El mismo precepto entiende, como explican las sentencias recurridas, que el prestador de servicios tiene el conocimiento efectivo a que se refiere el párrafo a) cuando un órgano competente haya declarado la ilicitud de los datos, ordenado su retirada o que se imposibilite el acceso a los mismos, o se hubiera declarado la existencia de la lesión, y el prestador conociera la correspondiente resolución, sin perjuicio de los procedimientos de detección y retirada de contenidos que los prestadores apliquen en virtud de acuerdos voluntarios y de otros medios de conocimiento efectivo que pudieran establecerse.</w:t>
      </w:r>
    </w:p>
    <w:p w14:paraId="5DCA75B1" w14:textId="77777777" w:rsidR="008D479B" w:rsidRDefault="008D479B" w:rsidP="008D479B">
      <w:pPr>
        <w:pStyle w:val="TextoNormal"/>
      </w:pPr>
    </w:p>
    <w:p w14:paraId="739CB581" w14:textId="77777777" w:rsidR="008D479B" w:rsidRDefault="008D479B" w:rsidP="008D479B">
      <w:pPr>
        <w:pStyle w:val="TextoNormal"/>
      </w:pPr>
      <w:r>
        <w:t xml:space="preserve">Para ponderar el cumplimiento de la diligencia debida que se exige en el art. 16 LSSI, principio de diligencia también recogido en la </w:t>
      </w:r>
      <w:r w:rsidRPr="008D479B">
        <w:rPr>
          <w:i/>
        </w:rPr>
        <w:t>Digital Services Act</w:t>
      </w:r>
      <w:r>
        <w:t xml:space="preserve"> de 2023 de la Unión Europea, habrán de tenerse en cuenta el contexto de los comentarios, las personas implicadas, las medidas aplicadas por la sociedad demandante para impedir o eliminar los comentarios difamatorios y, en su caso, la responsabilidad de los autores reales de los comentarios (véase STEDH de 16 de junio de 2015, asunto </w:t>
      </w:r>
      <w:r w:rsidRPr="008D479B">
        <w:rPr>
          <w:i/>
        </w:rPr>
        <w:t>Delfi AS c. Estonia</w:t>
      </w:r>
      <w:r>
        <w:t>, § 42-43).</w:t>
      </w:r>
    </w:p>
    <w:p w14:paraId="41A203C1" w14:textId="77777777" w:rsidR="008D479B" w:rsidRDefault="008D479B" w:rsidP="008D479B">
      <w:pPr>
        <w:pStyle w:val="TextoNormal"/>
      </w:pPr>
    </w:p>
    <w:p w14:paraId="5A223FEA" w14:textId="77777777" w:rsidR="008D479B" w:rsidRDefault="008D479B" w:rsidP="008D479B">
      <w:pPr>
        <w:pStyle w:val="TextoNormal"/>
      </w:pPr>
      <w:r>
        <w:t>Pues bien, en contra de lo que concluyen el resto de magistrados y magistradas del Pleno, y sin perjuicio de compartir “la transformación derivada de las nuevas formas de comunicación y la generalización de su uso, no produce un vaciamiento de la protección constitucional de los derechos fundamentales” (STC 93/2021), afirmación que por cierto incorpora la Carta de Derechos Digitales aprobada por el Gobierno en julio de 2021, en la STC 8/2022, de 27 de enero, FJ 3, matizábamos que, para articular el derecho al honor como límite al ejercicio de las libertades de comunicación que se canalizan a través de internet y, en particular, a través de las redes sociales, era necesario tomar en consideración, al menos, una serie de elementos de ponderación. Si bien en aquella ocasión se trataba de unos mensajes en Twitter, dichos elementos pueden ser perfectamente traídos al caso que nos ocupa, esto es, los comentarios vertidos contra el protagonista de unas noticias aparecidas en una web de agregación de contenidos. En apretada síntesis, los elementos de ponderación son los siguientes:</w:t>
      </w:r>
    </w:p>
    <w:p w14:paraId="2A91C326" w14:textId="77777777" w:rsidR="008D479B" w:rsidRDefault="008D479B" w:rsidP="008D479B">
      <w:pPr>
        <w:pStyle w:val="TextoNormal"/>
      </w:pPr>
    </w:p>
    <w:p w14:paraId="2AFFCA7D" w14:textId="77777777" w:rsidR="008D479B" w:rsidRDefault="008D479B" w:rsidP="008D479B">
      <w:pPr>
        <w:pStyle w:val="TextoNormal"/>
      </w:pPr>
      <w:r>
        <w:t>(i) Redes sociales y demás plataformas de comunicación de internet funcionan sobre la inmediatez y rapidez en la difusión de contenidos, con una capacidad de influir en la opinión pública exponencialmente superior a la de los instrumentos de comunicación analógicos. Ahora bien, las plataformas de comunicación online, más allá de establecer una serie de filtros previos a través de algoritmos, no pueden llevar a cabo un control exhaustivo de todos y cada uno de los comentarios que se vierten en ellas, por lo que pueden difundirse contenidos potencialmente dañinos para individuos concretos o colectivos de personas. Estos riesgos varían en función de factores como la cantidad de seguidores de un determinado perfil, web o plataforma, la persona de la que trate la noticia o el comentario, esto es, que corresponda a un personaje público o privado, el hecho de que terceras personas o medios se hagan eco del comentario y generen un efecto multiplicador del mensaje y la rapidez efectiva con que se propaga el mensaje. Estos elementos han de ser tenidos en cuenta a la hora de evaluar el impacto que las expresiones o informaciones volcadas en redes sociales y plataformas de comunicación en internet han podido tener en el derecho al honor, intimidad, propia imagen o protección de datos de un tercero.</w:t>
      </w:r>
    </w:p>
    <w:p w14:paraId="7629897B" w14:textId="77777777" w:rsidR="008D479B" w:rsidRDefault="008D479B" w:rsidP="008D479B">
      <w:pPr>
        <w:pStyle w:val="TextoNormal"/>
      </w:pPr>
    </w:p>
    <w:p w14:paraId="4C1D302E" w14:textId="77777777" w:rsidR="008D479B" w:rsidRDefault="008D479B" w:rsidP="008D479B">
      <w:pPr>
        <w:pStyle w:val="TextoNormal"/>
      </w:pPr>
      <w:r>
        <w:t>(ii) La autoría de las opiniones o informaciones de quienes se manifiestan a través de las redes o en las plataformas como Menéame también es un elemento para tener en cuenta a la hora de formular el juicio de proporcionalidad de las limitaciones al ejercicio de las libertades comunicativas o de la ponderación en la resolución del conflicto. Así, son distintas las posiciones de quien crea el contenido, de quien lo reproduce haciéndolo suyo o de quien lo traslada sin más y, por supuesto, ninguna de ellas puede confundirse con la posición de la propia empresa titular de la plataforma que puede, eventualmente, establecer algún tipo de filtro preventivo o de supresión de contenidos o suspensión de perfiles, llegado el caso, y ello sin olvidar que esta actuación está limitando el ejercicio de las libertades comunicativas. A su vez, y en lo que hace al estatuto del usuario, no solamente difieren entre sí al adoptar roles o protagonismo diversos en redes, sino que difieren con carácter previo en función del anonimato del perfil, del carácter de personaje público de ese usuario, del hecho de que se trate de un profesional de la comunicación o no, de que el perfil sea institucional o personal, y de que actúe en el contexto comunicativo digital a cambio de una contraprestación económica o no lo haga.</w:t>
      </w:r>
    </w:p>
    <w:p w14:paraId="0018DAAC" w14:textId="77777777" w:rsidR="008D479B" w:rsidRDefault="008D479B" w:rsidP="008D479B">
      <w:pPr>
        <w:pStyle w:val="TextoNormal"/>
      </w:pPr>
    </w:p>
    <w:p w14:paraId="4DB4D47E" w14:textId="77777777" w:rsidR="008D479B" w:rsidRDefault="008D479B" w:rsidP="008D479B">
      <w:pPr>
        <w:pStyle w:val="TextoNormal"/>
      </w:pPr>
      <w:r>
        <w:t xml:space="preserve">Es en este apartado, por cierto, en el que hay que encuadrar el desarrollo jurisprudencial llevado a cabo por el Tribunal Europeo de Derechos Humanos en la sentencia de 15 de mayo de 2023, asunto </w:t>
      </w:r>
      <w:r w:rsidRPr="008D479B">
        <w:rPr>
          <w:i/>
        </w:rPr>
        <w:t>Sánchez c. Francia</w:t>
      </w:r>
      <w:r>
        <w:t xml:space="preserve">, de la Gran Sala, respecto del </w:t>
      </w:r>
      <w:r w:rsidRPr="008D479B">
        <w:rPr>
          <w:i/>
        </w:rPr>
        <w:t>asunto Delfi AS c. Estonia</w:t>
      </w:r>
      <w:r>
        <w:t>, también de la Gran Sala, ya que se refiere a responsabilidad exigible a los usuarios de redes sociales u otros tipos de foros de internet no comerciales por los comentarios de terceros y, concretamente, a las obligaciones que deben asumir los representantes públicos cuando deciden utilizar las redes sociales con fines políticos, en particular para una campaña electoral, abriendo foros accesibles al público en internet con el fin de recibir sus reacciones y comentarios. Además, en un asunto en que los comentarios generados eran de naturaleza racistas y xenófobos, dos categorías muy ligadas al discurso del odio.</w:t>
      </w:r>
    </w:p>
    <w:p w14:paraId="5AA99EAE" w14:textId="77777777" w:rsidR="008D479B" w:rsidRDefault="008D479B" w:rsidP="008D479B">
      <w:pPr>
        <w:pStyle w:val="TextoNormal"/>
      </w:pPr>
    </w:p>
    <w:p w14:paraId="4D510B06" w14:textId="77777777" w:rsidR="008D479B" w:rsidRDefault="008D479B" w:rsidP="008D479B">
      <w:pPr>
        <w:pStyle w:val="TextoNormal"/>
      </w:pPr>
      <w:r>
        <w:t xml:space="preserve">(iii) Los destinatarios del mensaje, tanto los potenciales como los que finalmente han resultado receptores del mismo, también conforman un elemento para tener en cuenta en el juicio relativo al ejercicio de las libertades comunicativas o, al menos, en el examen relativo a la proporcionalidad de las medidas concretas restrictivas de este tipo de libertades. Del mismo modo que se asume que la amplitud de la difusión de un reportaje en un medio de comunicación clásico incide a la hora de formular un juicio sobre la adecuación de las restricciones (en este sentido, STEDH de 7 de febrero de 2012, asunto </w:t>
      </w:r>
      <w:r w:rsidRPr="008D479B">
        <w:rPr>
          <w:i/>
        </w:rPr>
        <w:t>Axel Springer AG c. Alemania</w:t>
      </w:r>
      <w:r>
        <w:t>, de la Gran Sala), ese elemento no puede ignorarse a la hora de evaluar el impacto de una determinada opinión o información difundida a través de internet: no es lo mismo que un comentario sea leído por una persona o por un millón a la hora de determinar la afectación en la imagen pública del titular del derecho al honor.</w:t>
      </w:r>
    </w:p>
    <w:p w14:paraId="3AB418D0" w14:textId="77777777" w:rsidR="008D479B" w:rsidRDefault="008D479B" w:rsidP="008D479B">
      <w:pPr>
        <w:pStyle w:val="TextoNormal"/>
      </w:pPr>
    </w:p>
    <w:p w14:paraId="21735B41" w14:textId="77777777" w:rsidR="008D479B" w:rsidRDefault="008D479B" w:rsidP="008D479B">
      <w:pPr>
        <w:pStyle w:val="TextoNormal"/>
      </w:pPr>
      <w:r>
        <w:t xml:space="preserve">(iv) Por lo que hace al contenido de los mensajes, el margen de apreciación del Estado a la hora de restringir el derecho a la libertad de expresión varía en función de una serie de factores que la jurisprudencia del Tribunal de Estrasburgo identifica claramente. La STEDH de 13 de julio de 2012, asunto </w:t>
      </w:r>
      <w:r w:rsidRPr="008D479B">
        <w:rPr>
          <w:i/>
        </w:rPr>
        <w:t>Mouvement Raëlien Suisse c. Suiza</w:t>
      </w:r>
      <w:r>
        <w:t xml:space="preserve">, de la Gran Sala, es ilustrativa a este respecto: “Si bien el artículo 10.2 del Convenio deja poco margen para las restricciones a la libertad de expresión en asuntos políticos (véase </w:t>
      </w:r>
      <w:r w:rsidRPr="008D479B">
        <w:rPr>
          <w:i/>
        </w:rPr>
        <w:t>Ceylan c. Turquía</w:t>
      </w:r>
      <w:r>
        <w:t xml:space="preserve">, de Gran Sala) los Estados firmantes tienen generalmente un margen de apreciación más amplio a la hora de regular la libertad de expresión en ámbitos susceptibles de ofender convicciones personales íntimas de carácter moral o, más particularmente, religioso (véase </w:t>
      </w:r>
      <w:r w:rsidRPr="008D479B">
        <w:rPr>
          <w:i/>
        </w:rPr>
        <w:t>Murphy</w:t>
      </w:r>
      <w:r>
        <w:t>, citada anteriormente, § 67). Del mismo modo, los Estados disponen de un amplio margen de apreciación a la hora de regular la expresión comercial y publicitaria”.</w:t>
      </w:r>
    </w:p>
    <w:p w14:paraId="1ADE3719" w14:textId="77777777" w:rsidR="008D479B" w:rsidRDefault="008D479B" w:rsidP="008D479B">
      <w:pPr>
        <w:pStyle w:val="TextoNormal"/>
      </w:pPr>
    </w:p>
    <w:p w14:paraId="0DA1549B" w14:textId="77777777" w:rsidR="008D479B" w:rsidRDefault="008D479B" w:rsidP="008D479B">
      <w:pPr>
        <w:pStyle w:val="TextoNormal"/>
      </w:pPr>
      <w:r>
        <w:t xml:space="preserve">La jurisprudencia del Tribunal Europeo de Derechos Humanos es categórica cuando afirma que los mensajes difundidos por internet se benefician de una protección equivalente a la que merecen los otros canales de comunicación, en lo que hace al respeto del debate político, en particular si quien emite el mensaje es un representante elegido por la ciudadanía. Es decir, el art. 10 CEDH exige un alto nivel de protección del derecho a la libertad de expresión cuando se trata de la difusión de un mensaje político o activista y ese margen permite a los representantes del ciudadano en cualquier ámbito, en particular cuando actúan como opositores políticos, utilizar un lenguaje virulento y crítico sobre cualquier tema de interés general, tolerándose los excesos verbales y escritos inherentes al tema objeto de debate (en este sentido, SSTEDH de 25 de febrero de 2010, asunto </w:t>
      </w:r>
      <w:r w:rsidRPr="008D479B">
        <w:rPr>
          <w:i/>
        </w:rPr>
        <w:t>Renaud c. Francia</w:t>
      </w:r>
      <w:r>
        <w:t xml:space="preserve">, § 38, y de 13 de julio de 2012, asunto </w:t>
      </w:r>
      <w:r w:rsidRPr="008D479B">
        <w:rPr>
          <w:i/>
        </w:rPr>
        <w:t>Mouvement Raëlien Suisse c. Suiza</w:t>
      </w:r>
      <w:r>
        <w:t>, de la Gran Sala).</w:t>
      </w:r>
    </w:p>
    <w:p w14:paraId="49036772" w14:textId="77777777" w:rsidR="008D479B" w:rsidRDefault="008D479B" w:rsidP="008D479B">
      <w:pPr>
        <w:pStyle w:val="TextoNormal"/>
      </w:pPr>
    </w:p>
    <w:p w14:paraId="58C8927A" w14:textId="77777777" w:rsidR="008D479B" w:rsidRDefault="008D479B" w:rsidP="008D479B">
      <w:pPr>
        <w:pStyle w:val="TextoNormal"/>
      </w:pPr>
      <w:r>
        <w:t xml:space="preserve">(v) La difusión en línea de ataques personales, que sobrepasan el marco de un debate sobre las ideas, no está protegida por el art. 10 CEDH (en este sentido, STEDH de 16 de enero de 2014, asunto </w:t>
      </w:r>
      <w:r w:rsidRPr="008D479B">
        <w:rPr>
          <w:i/>
        </w:rPr>
        <w:t>Tierbefreier E.V. c. Alemania</w:t>
      </w:r>
      <w:r>
        <w:t xml:space="preserve">; y la muy reciente STEDH asunto </w:t>
      </w:r>
      <w:r w:rsidRPr="008D479B">
        <w:rPr>
          <w:i/>
        </w:rPr>
        <w:t>Sánchez c. Francia</w:t>
      </w:r>
      <w:r>
        <w:t>, de 15 de mayo de 2023, de la Gran Sala).</w:t>
      </w:r>
    </w:p>
    <w:p w14:paraId="4AAA7E77" w14:textId="77777777" w:rsidR="008D479B" w:rsidRDefault="008D479B" w:rsidP="008D479B">
      <w:pPr>
        <w:pStyle w:val="TextoNormal"/>
      </w:pPr>
    </w:p>
    <w:p w14:paraId="31ACC724" w14:textId="77777777" w:rsidR="008D479B" w:rsidRDefault="008D479B" w:rsidP="008D479B">
      <w:pPr>
        <w:pStyle w:val="TextoNormal"/>
      </w:pPr>
      <w:r>
        <w:t xml:space="preserve">(vi) Por último, y en relación con el efecto desaliento, o efecto disuasorio del ejercicio del derecho a la libertad de expresión en redes sociales o plataformas de internet, la valoración relativa a su concurrencia no puede ignorar la intensidad de la sanción, sea esta penal o, como es aquí el caso, civil. Esta cuestión debe ser analizada a la hora de examinar la proporcionalidad de una medida restrictiva (STEDH de 13 de julio de 2012, asunto </w:t>
      </w:r>
      <w:r w:rsidRPr="008D479B">
        <w:rPr>
          <w:i/>
        </w:rPr>
        <w:t>Mouvement Raëlien Suisse c. Suiza</w:t>
      </w:r>
      <w:r>
        <w:t xml:space="preserve">, de la Gran Sala, § 75). En este sentido, el hecho de que la limitación del ejercicio del derecho tenga como consecuencia la imposición de la obligación de pagar una indemnización, y el alcance más o menos moderado de la cuantía, no es argumento bastante para hacer desaparecer el riesgo del efecto desaliento, tal y como se deriva de la STEDH de 10 de julio de 2014, asunto </w:t>
      </w:r>
      <w:r w:rsidRPr="008D479B">
        <w:rPr>
          <w:i/>
        </w:rPr>
        <w:t>Axel Springer AG c. Alemania</w:t>
      </w:r>
      <w:r>
        <w:t xml:space="preserve"> —núm. 2—, que recoge a este respecto la cita de otros pronunciamientos previos.</w:t>
      </w:r>
    </w:p>
    <w:p w14:paraId="2E80CF14" w14:textId="77777777" w:rsidR="008D479B" w:rsidRDefault="008D479B" w:rsidP="008D479B">
      <w:pPr>
        <w:pStyle w:val="TextoNormal"/>
      </w:pPr>
    </w:p>
    <w:p w14:paraId="0FEB9AD6" w14:textId="77777777" w:rsidR="008D479B" w:rsidRDefault="008D479B" w:rsidP="008D479B">
      <w:pPr>
        <w:pStyle w:val="TextoNormal"/>
      </w:pPr>
      <w:r>
        <w:t xml:space="preserve">Circunstancias como las anteriormente expuestas fueron, de hecho, ponderadas por el Tribunal de Estrasburgo en su sentencia de 19 de septiembre de 2017, </w:t>
      </w:r>
      <w:r w:rsidRPr="008D479B">
        <w:rPr>
          <w:i/>
        </w:rPr>
        <w:t>Tamiz c. Reino Unido</w:t>
      </w:r>
      <w:r>
        <w:t>, donde, en relación con unos comentarios vejatorios proferidos en un blog contra un político británico, se acabó concluyendo que aquellos no habían producido una injerencia suficientemente grave en el derecho a la privacidad personal y familiar (art. 8 CEDH) de este último. Fundamentaba el Tribunal Europeo de Derechos Humanos esta conclusión en la circunstancia de que “millones de usuarios de internet publican comentarios en línea todos los días y muchos de estos usuarios se expresan de maneras que podrían considerarse ofensivas o difamatorias” por lo que “es probable que la mayoría de los comentarios tengan un carácter demasiado trivial, y que el alcance de su publicación sea demasiado limitado para que causen un daño significativo a la reputación de una persona” (§ 75). En definitiva, aunque los comentarios de los usuarios anónimos pueden ser considerados “abusos vulgares” estos deben ser “entendidos por los lectores como una conjetura que no debía ser tomada en serio” (§ 81).</w:t>
      </w:r>
    </w:p>
    <w:p w14:paraId="7A13252C" w14:textId="77777777" w:rsidR="008D479B" w:rsidRDefault="008D479B" w:rsidP="008D479B">
      <w:pPr>
        <w:pStyle w:val="TextoNormal"/>
      </w:pPr>
    </w:p>
    <w:p w14:paraId="35292C83" w14:textId="77777777" w:rsidR="008D479B" w:rsidRDefault="008D479B" w:rsidP="008D479B">
      <w:pPr>
        <w:pStyle w:val="TextoNormal"/>
      </w:pPr>
      <w:r>
        <w:t>4. Como se ha anunciado más arriba, la aplicación al presente caso de los criterios de ponderación expuestos, nuestra sentencia debería haber sido estimatoria. En el caso que nos ocupa nadie discute la veracidad de la información divulgada por Menéame.net ni la relevancia pública que puedan tener los hechos denunciados en el conjunto del reportaje periodístico en el que se ve involucrado un personaje público (en este caso, un concejal del Excmo. Ayuntamiento de Marbella) sobre un asunto de relevante notoriedad (el gasto de más de 14 000 € en teléfono en un mes). Al contrario, lo que se discute en este caso es que algunos usuarios, cuya identidad no ha sido esclarecida, realizaran determinados comentarios a dicha información utilizando expresiones de tipo “hijo de puta”, “ladrón” y “un ladrón de toda la puta vida” para referirse al protagonista de aquella en el apartado habilitado para que los usuarios del portal hicieran sus comentarios. En definitiva, todo el debate entre las partes versó sobre si los comentarios vertidos produjeron una intromisión ilícita en el honor del señor López Márquez y sobre si existió, o no, una posible responsabilidad de la demandante de amparo (al albur de lo dispuesto en el art. 16 LSSI) por la no retirada de los contenidos digitales controvertidos.</w:t>
      </w:r>
    </w:p>
    <w:p w14:paraId="401AFBB3" w14:textId="77777777" w:rsidR="008D479B" w:rsidRDefault="008D479B" w:rsidP="008D479B">
      <w:pPr>
        <w:pStyle w:val="TextoNormal"/>
      </w:pPr>
    </w:p>
    <w:p w14:paraId="38D577D1" w14:textId="77777777" w:rsidR="008D479B" w:rsidRDefault="008D479B" w:rsidP="008D479B">
      <w:pPr>
        <w:pStyle w:val="TextoNormal"/>
      </w:pPr>
      <w:r>
        <w:t>Contrariamente a lo mantenido por las resoluciones impugnadas y por la mayoría del Tribunal, considero que al igual que ocurre con el término “ladrón”, la utilización de aquella locución, “hijo de puta”, se enmarcaba en un mensaje común que iba dirigido directamente a censurar la información publicada y a expresar el descontento con la conducta en ella reflejada. Tal declaración, por lo tanto, guardaba relación directa con las circunstancias en las que el mensaje fue publicado y con las irregularidades que su destinatario presuntamente había cometido, siendo que en castellano el citado término —de uso coloquial— permitía numerosas acepciones en función del contexto donde era proferido. Bajo esta contextualización, no puede considerarse que la expresión “hijo de puta” fuera susceptible de añadir un descredito adicional en relación con la información ya publicada, por lo que no puede estimarse que el citado término fuera gravemente ofensivo o insultante.</w:t>
      </w:r>
    </w:p>
    <w:p w14:paraId="07473ED2" w14:textId="77777777" w:rsidR="008D479B" w:rsidRDefault="008D479B" w:rsidP="008D479B">
      <w:pPr>
        <w:pStyle w:val="TextoNormal"/>
      </w:pPr>
    </w:p>
    <w:p w14:paraId="71C6CAC4" w14:textId="77777777" w:rsidR="008D479B" w:rsidRDefault="008D479B" w:rsidP="008D479B">
      <w:pPr>
        <w:pStyle w:val="TextoNormal"/>
      </w:pPr>
      <w:r>
        <w:t>A ello hay que añadir que, en el juicio llevado a cabo, no se ponderaron el medio a través del cual fueron proferidas las referidas expresiones, así como la relevancia pública que estas mismas alcanzaron, no el anonimato de quien las profirió ni el hecho de que fueran un representante político respecto del que se habían difundido una serie de hechos poco encomiables. Y por ello, dicho desde el respeto hacia el resto de magistrados y magistradas, se ha llegado a la conclusión equivocada de que no se vulneró el derecho a la libertad de expresión del recurrente en amparo.</w:t>
      </w:r>
    </w:p>
    <w:p w14:paraId="11FF8276" w14:textId="77777777" w:rsidR="008D479B" w:rsidRDefault="008D479B" w:rsidP="008D479B">
      <w:pPr>
        <w:pStyle w:val="TextoNormal"/>
      </w:pPr>
    </w:p>
    <w:p w14:paraId="5F7A8826" w14:textId="77777777" w:rsidR="008D479B" w:rsidRDefault="008D479B" w:rsidP="008D479B">
      <w:pPr>
        <w:pStyle w:val="TextoNormal"/>
      </w:pPr>
      <w:r>
        <w:t>5. Más allá de la lesión material de los derechos afectados, esta sentencia nos ofrecía la oportunidad de dar un paso más en nuestra reflexión sobre el impacto de internet en los derechos y libertades, concretamente, en la titularidad del derecho a la libertad de expresión (o, en su caso, de la libertad de información) por empresas como la recurrente en este amparo. Dicha titularidad no ha sido puesta en cuestión por ninguna de las jurisdicciones a las que acudió la hoy recurrente, ni por las partes, ni por el Ministerio Fiscal, y la sentencia votada por la mayoría del Pleno asume que acude el Tribunal no como titular del derecho, sino como titular de un interés legítimo al ser parte del proceso judicial.</w:t>
      </w:r>
    </w:p>
    <w:p w14:paraId="174BF0AD" w14:textId="77777777" w:rsidR="008D479B" w:rsidRDefault="008D479B" w:rsidP="008D479B">
      <w:pPr>
        <w:pStyle w:val="TextoNormal"/>
      </w:pPr>
    </w:p>
    <w:p w14:paraId="25FBEC8F" w14:textId="77777777" w:rsidR="008D479B" w:rsidRDefault="008D479B" w:rsidP="008D479B">
      <w:pPr>
        <w:pStyle w:val="TextoNormal"/>
      </w:pPr>
      <w:r>
        <w:t>Sin embargo, no debe ocultarse que el tema de la titularidad de derechos fundamentales por parte de estas empresas tecnológicas es una cuestión altamente controvertida y todavía sin una respuesta clara y definitiva en Europa. Por este motivo, cabría haber hecho si quiera algunas apreciaciones de carácter constitucional al respecto, y determinar si la persona jurídica privada recurrente es titular de un derecho fundamental a la libertad de expresión, o en su caso de información, o si nos manteníamos, como se ha hecho sin mayor discusión, en que es portadora de un interés legítimo.</w:t>
      </w:r>
    </w:p>
    <w:p w14:paraId="702E79B1" w14:textId="77777777" w:rsidR="008D479B" w:rsidRDefault="008D479B" w:rsidP="008D479B">
      <w:pPr>
        <w:pStyle w:val="TextoNormal"/>
      </w:pPr>
    </w:p>
    <w:p w14:paraId="09F70905" w14:textId="77777777" w:rsidR="008D479B" w:rsidRDefault="008D479B" w:rsidP="008D479B">
      <w:pPr>
        <w:pStyle w:val="TextoNormal"/>
      </w:pPr>
      <w:r>
        <w:t xml:space="preserve">En este punto es necesario poner de manifiesto que, a diferencia de la aproximación del ordenamiento jurídico de Estados Unidos —hasta el momento— firmemente asentada sobre la sección 230 de la </w:t>
      </w:r>
      <w:r w:rsidRPr="008D479B">
        <w:rPr>
          <w:i/>
        </w:rPr>
        <w:t>Communications Decency Act</w:t>
      </w:r>
      <w:r>
        <w:t>, en Europa, hasta hace relativamente poco, a las plataformas e instrumentos digitales no se las tenía como titulares de las libertades de expresión e información, por no considerarlas como medios de comunicación al uso, esto es, diferenciando su régimen jurídico del de la prensa, la televisión y la radio. En su caso, se les reconocía el ejercicio de una actividad económica legítima, enmarcada en la libertad de empresa reconocida en el art. 38 CE y, por tanto, extramuros de la garantía jurisdiccional del recurso de amparo previsto en el art. 53.2 CE.</w:t>
      </w:r>
    </w:p>
    <w:p w14:paraId="58DEAFF8" w14:textId="77777777" w:rsidR="008D479B" w:rsidRDefault="008D479B" w:rsidP="008D479B">
      <w:pPr>
        <w:pStyle w:val="TextoNormal"/>
      </w:pPr>
    </w:p>
    <w:p w14:paraId="06ACCC7C" w14:textId="77777777" w:rsidR="008D479B" w:rsidRDefault="008D479B" w:rsidP="008D479B">
      <w:pPr>
        <w:pStyle w:val="TextoNormal"/>
      </w:pPr>
      <w:r>
        <w:t xml:space="preserve">Sin embargo, en los últimos años, en Europa se ha ido flexibilizando la aproximación respecto del régimen jurídico aplicable a este tipo de empresas, titulares de lo que comúnmente denominamos diferentes plataformas de internet; así, por una parte, la jurisprudencia del Tribunal Europeo de Derechos Humanos, especialmente desde la STEDH de 16 de junio de 2015, asunto </w:t>
      </w:r>
      <w:r w:rsidRPr="008D479B">
        <w:rPr>
          <w:i/>
        </w:rPr>
        <w:t>Delfi AS c. Estonia</w:t>
      </w:r>
      <w:r>
        <w:t xml:space="preserve">, de la Gran Sala, que tomaba como referencia la Recomendación CM/Rec(2011)7 del Comité de Ministros del Consejo de Europa a los Estados parte sobre un nuevo concepto de medios de comunicación (adoptado el 21 de septiembre de 2011); por otra, la jurisprudencia del Tribunal de Justicia de la Unión Europea, claramente en la STJUE de 22 junio de 2021 (Gran Sala), en los asuntos C‑682/18 y C‑683/18, y de forma decidida en la recientemente aprobada </w:t>
      </w:r>
      <w:r w:rsidRPr="008D479B">
        <w:rPr>
          <w:i/>
        </w:rPr>
        <w:t>Digital Services Act</w:t>
      </w:r>
      <w:r>
        <w:t xml:space="preserve"> de la Unión Europea. La razón para dicha flexibilización viene dada por el innegable papel que juegan estos nuevos instrumentos tecnológicos en el ejercicio de las libertades comunicativas de los individuos, y que han transformado tanto el contexto como el proceso comunicativo, convirtiéndose, en muchos casos, en la principal vía de interacción comunicativa de las personas.</w:t>
      </w:r>
    </w:p>
    <w:p w14:paraId="210E3C7B" w14:textId="77777777" w:rsidR="008D479B" w:rsidRDefault="008D479B" w:rsidP="008D479B">
      <w:pPr>
        <w:pStyle w:val="TextoNormal"/>
      </w:pPr>
    </w:p>
    <w:p w14:paraId="208ECC73" w14:textId="77777777" w:rsidR="008D479B" w:rsidRDefault="008D479B" w:rsidP="008D479B">
      <w:pPr>
        <w:pStyle w:val="TextoNormal"/>
      </w:pPr>
      <w:r>
        <w:t>Existe un debate doctrinal central sobre cuál debe ser la naturaleza jurídica que ha de reconocerse a estas plataformas precisamente por ser en la actualidad vehículo privilegiado para el ejercicio de los derechos de expresión e información. Tanto es así que los datos de diferentes estudios muestran que, en relación con el derecho a la libertad de recibir información veraz, las personas obtienen o acceden a las noticias mayoritariamente a través de plataformas y redes sociales, frente a los medios tradicionales de comunicación: el canal digital se impone a los medios audiovisuales, radiofónicos o impresos; así, en el “</w:t>
      </w:r>
    </w:p>
    <w:p w14:paraId="5C17D1E3" w14:textId="77777777" w:rsidR="008D479B" w:rsidRDefault="008D479B" w:rsidP="008D479B">
      <w:pPr>
        <w:pStyle w:val="TextoNormal"/>
      </w:pPr>
      <w:r w:rsidRPr="008D479B">
        <w:rPr>
          <w:i/>
        </w:rPr>
        <w:t>Digital News Report</w:t>
      </w:r>
      <w:r>
        <w:t xml:space="preserve"> de Reuters Institute de la Universidad de Oxford se muestra como en 2022, en España, el 79 por 100 de los encuestados accedieron a las noticias a través de internet.</w:t>
      </w:r>
    </w:p>
    <w:p w14:paraId="4332DF96" w14:textId="77777777" w:rsidR="008D479B" w:rsidRDefault="008D479B" w:rsidP="008D479B">
      <w:pPr>
        <w:pStyle w:val="TextoNormal"/>
      </w:pPr>
    </w:p>
    <w:p w14:paraId="16615AF6" w14:textId="77777777" w:rsidR="008D479B" w:rsidRDefault="008D479B" w:rsidP="008D479B">
      <w:pPr>
        <w:pStyle w:val="TextoNormal"/>
      </w:pPr>
      <w:r>
        <w:t>Dicho lo anterior, debe hacerse una apreciación: lo que hemos dado en llamar plataformas de internet varían en su configuración, naturaleza y función. Así, hay plataformas que, en principio, se limitan a servir de contendor y difusor de los contenidos de los usuarios, como Facebook, Twitter o Instagram, que podríamos identificar como redes sociales; otros, como Google, que se configuran como motores de búsqueda o, sin ánimo de exhaustividad, otros como Menéame.net que son agregadores de noticias y contenidos, elaborados por medios u otras plataformas, y elegidos por los usuarios a través de un sistema de voto, que son difundidas o movidas por internet; además, en este tipo de agregadores, se permite que los usuarios comenten los contenidos que aparecen en la web. Todos los ejemplos expuestos tienen en común que, de una manera u otra, coadyuvan a la difusión de contenidos, no siempre de noticias, a través de internet. Esto es, todos son, de una forma u otra, canales de comunicación entre personas en todo el mundo.</w:t>
      </w:r>
    </w:p>
    <w:p w14:paraId="7172B2FD" w14:textId="77777777" w:rsidR="008D479B" w:rsidRDefault="008D479B" w:rsidP="008D479B">
      <w:pPr>
        <w:pStyle w:val="TextoNormal"/>
      </w:pPr>
    </w:p>
    <w:p w14:paraId="69D66AFC" w14:textId="77777777" w:rsidR="008D479B" w:rsidRDefault="008D479B" w:rsidP="008D479B">
      <w:pPr>
        <w:pStyle w:val="TextoNormal"/>
      </w:pPr>
      <w:r>
        <w:t>Estas consideraciones sustentan el argumento de aquellos que defienden que estas plataformas deben ser asimiladas, en general, a los medios de comunicación basándose, sobre todo, en la función que ejercen y en la vertiente objetiva de las libertades comunicativas, al ser instrumentos de fomentos, al menos en principio, del pluralismo sobre el que se basa nuestro sistema social y democrático (art. 1.1 CE). Así, además de la libertad de empresa, serían titulares de las libertades de expresión y de comunicar información, incluida, en este último caso, el derecho a la creación de medios de comunicación [art. 20.1 d) CE]. Se les aplicaría, pues, el mismo régimen jurídico-constitucional que a los medios de comunicación audiovisuales, radiofónicos e impresos, también en lo relativo al ejercicio de las libertades de expresión e información, alcance y límites.</w:t>
      </w:r>
    </w:p>
    <w:p w14:paraId="7F72BC13" w14:textId="77777777" w:rsidR="008D479B" w:rsidRDefault="008D479B" w:rsidP="008D479B">
      <w:pPr>
        <w:pStyle w:val="TextoNormal"/>
      </w:pPr>
    </w:p>
    <w:p w14:paraId="7C217A9C" w14:textId="77777777" w:rsidR="008D479B" w:rsidRDefault="008D479B" w:rsidP="008D479B">
      <w:pPr>
        <w:pStyle w:val="TextoNormal"/>
      </w:pPr>
      <w:r>
        <w:t>Desde otra perspectiva se propone que las plataformas comunicativas se configuren como personas jurídico-privadas de interés general, dado que prestan servicios públicos o esenciales, lo que vendría a condicionar su régimen jurídico. Así, el papel privilegiado que juegan en la comunicación o, dicho de otra forma, el haberse convertido en un foro o instrumento percibido como público por sus usuarios y el haber adoptado políticas de moderación que acaban delimitando, cuando no limitando, el alcance del ejercicio de las libertades comunicativas justifica que sean tratadas jurídicamente no como meras empresas privadas, sino como personas jurídicas con trascendencia jurídico-constitucional, de forma similar a las personas jurídico públicas.</w:t>
      </w:r>
    </w:p>
    <w:p w14:paraId="0E624B55" w14:textId="77777777" w:rsidR="008D479B" w:rsidRDefault="008D479B" w:rsidP="008D479B">
      <w:pPr>
        <w:pStyle w:val="TextoNormal"/>
      </w:pPr>
    </w:p>
    <w:p w14:paraId="320B8BD6" w14:textId="77777777" w:rsidR="008D479B" w:rsidRDefault="008D479B" w:rsidP="008D479B">
      <w:pPr>
        <w:pStyle w:val="TextoNormal"/>
      </w:pPr>
      <w:r>
        <w:t>Las dos líneas sintéticamente presentadas respecto de la naturaleza de las plataformas son las que enmarcan el debate global relativo a la naturaleza jurídica de todas estas plataformas. Los ejes de la discusión condicionan la aproximación al problema de la titularidad de los derechos invocados por la parte recurrente en amparo y, si bien es innecesario resolver el debate con pretensión de generalidad, si es preciso dar respuesta a las dudas, surgidas en el debate en sede constitucional, respecto del alcance de la titularidad de derechos invocados por la plataforma que actúa como recurrente en amparo.</w:t>
      </w:r>
    </w:p>
    <w:p w14:paraId="2A844D9F" w14:textId="77777777" w:rsidR="008D479B" w:rsidRDefault="008D479B" w:rsidP="008D479B">
      <w:pPr>
        <w:pStyle w:val="TextoNormal"/>
      </w:pPr>
    </w:p>
    <w:p w14:paraId="5A135F27" w14:textId="77777777" w:rsidR="008D479B" w:rsidRDefault="008D479B" w:rsidP="008D479B">
      <w:pPr>
        <w:pStyle w:val="TextoNormal"/>
      </w:pPr>
      <w:r>
        <w:t>Seguramente no estamos todavía en disposición de afirmar que Menéame.net es un medio de comunicación, en la medida en que se trata de una plataforma de agregación de contenidos, que son seleccionados por una fórmula doble, como se ha explicado en los antecedentes de esta sentencia. Desde el momento en que la titular de la empresa utiliza un algoritmo que afecta a la selección de contenidos, cabe afirmar que está haciendo de editora, puesto que escoge las noticias que va a difundir y podría, incluso, considerarse que, al tomar partido a través del algoritmo, no es absolutamente neutro en el proceso comunicativo y, por tanto, tiene algo equivalente a una línea editorial. Pero, por otra parte, Menéame no crea contendidos propios, sino que replica lo dicho por los medios de comunicación. De hecho, el único contenido original que publica esta plataforma son los comentarios de los miembros de su comunidad.</w:t>
      </w:r>
    </w:p>
    <w:p w14:paraId="22343604" w14:textId="77777777" w:rsidR="008D479B" w:rsidRDefault="008D479B" w:rsidP="008D479B">
      <w:pPr>
        <w:pStyle w:val="TextoNormal"/>
      </w:pPr>
    </w:p>
    <w:p w14:paraId="03564BF8" w14:textId="77777777" w:rsidR="008D479B" w:rsidRDefault="008D479B" w:rsidP="008D479B">
      <w:pPr>
        <w:pStyle w:val="TextoNormal"/>
      </w:pPr>
      <w:r>
        <w:t>Aun así, dado que, como se ha reiterado, la empresa titular de Menéame sí participa en el proceso de comunicación actual, difundiendo noticias y permitiendo que los sujetos de su comunidad las comenten, parece razonable reconocerle la titularidad de la libertad de expresión y de información. Y ello, después de una reflexión en el seno del Pleno, se podría haber planteado desde dos perspectivas. Por una parte, dado que estas plataformas son vehículos privilegiados para el ejercicio de las libertades comunicativas, cabría reconocer su titularidad propia de la libertad de expresión o información desde la vertiente objetiva de dichos derechos. Por otra parte, cabría aplicar nuestra doctrina sobre la titularidad de los derechos fundamentales por las personas jurídico-privadas que adoptamos en la STC 139/1995, de 26 de septiembre, ante la falta de un precepto constitucional como el art. 19.2 de la Ley Fundamental de Bonn.</w:t>
      </w:r>
    </w:p>
    <w:p w14:paraId="2964FEC9" w14:textId="77777777" w:rsidR="008D479B" w:rsidRDefault="008D479B" w:rsidP="008D479B">
      <w:pPr>
        <w:pStyle w:val="TextoNormal"/>
      </w:pPr>
    </w:p>
    <w:p w14:paraId="77B14C32" w14:textId="77777777" w:rsidR="008D479B" w:rsidRDefault="008D479B" w:rsidP="008D479B">
      <w:pPr>
        <w:pStyle w:val="TextoNormal"/>
      </w:pPr>
      <w:r>
        <w:t>En aquella sentencia dijimos, en síntesis, que “puede sostenerse que, desde un punto de vista constitucional, existe un reconocimiento, en ocasiones expreso y en ocasiones implícito, de la titularidad de las personas jurídicas a determinados derechos fundamentales. Ahora bien, esta capacidad, reconocida en abstracto, necesita evidentemente ser delimitada y concretada a la vista de cada derecho fundamental. Es decir, no solo son los fines de una persona jurídica los que condicionan su titularidad de derechos fundamentales, sino también la naturaleza concreta del derecho fundamental considerado, en el sentido de que la misma permita su titularidad a una persona moral y su ejercicio por esta” (STC 139/1995, FJ 5).</w:t>
      </w:r>
    </w:p>
    <w:p w14:paraId="0DC84E63" w14:textId="77777777" w:rsidR="008D479B" w:rsidRDefault="008D479B" w:rsidP="008D479B">
      <w:pPr>
        <w:pStyle w:val="TextoNormal"/>
      </w:pPr>
    </w:p>
    <w:p w14:paraId="0092D7E8" w14:textId="77777777" w:rsidR="008D479B" w:rsidRDefault="008D479B" w:rsidP="008D479B">
      <w:pPr>
        <w:pStyle w:val="TextoNormal"/>
      </w:pPr>
      <w:r>
        <w:t>Este proceso de reflexión en el seno del Pleno que, de haberse dado, nos colocaría como actores protagonistas de uno de los debates europeos más relevantes del impacto constitucional de la transformación digital, no se ha producido. Por lo que, de momento, seguiremos reconociendo la legitimación activa de estas plataformas, sin desvelar, sin embargo, si son titulares o no de las libertades comunicativas en internet.</w:t>
      </w:r>
    </w:p>
    <w:p w14:paraId="4E81F258" w14:textId="77777777" w:rsidR="008D479B" w:rsidRDefault="008D479B" w:rsidP="008D479B">
      <w:pPr>
        <w:pStyle w:val="TextoNormal"/>
      </w:pPr>
    </w:p>
    <w:p w14:paraId="73C34118" w14:textId="77777777" w:rsidR="008D479B" w:rsidRDefault="008D479B" w:rsidP="008D479B">
      <w:pPr>
        <w:pStyle w:val="TextoNormal"/>
      </w:pPr>
      <w:r>
        <w:t>En este sentido, emito mi voto particular.</w:t>
      </w:r>
    </w:p>
    <w:p w14:paraId="6D245DBE" w14:textId="77777777" w:rsidR="008D479B" w:rsidRDefault="008D479B" w:rsidP="008D479B">
      <w:pPr>
        <w:pStyle w:val="TextoNormal"/>
      </w:pPr>
    </w:p>
    <w:p w14:paraId="43C89277" w14:textId="272D3950" w:rsidR="008D479B" w:rsidRDefault="008D479B" w:rsidP="008D479B">
      <w:pPr>
        <w:pStyle w:val="TextoNormal"/>
      </w:pPr>
      <w:r>
        <w:t>Madrid, a cuatro de julio de dos mil veintitrés.</w:t>
      </w:r>
    </w:p>
    <w:p w14:paraId="4ACD256C" w14:textId="77777777" w:rsidR="008D479B" w:rsidRDefault="008D479B" w:rsidP="008D479B">
      <w:pPr>
        <w:pStyle w:val="TextoNormal"/>
      </w:pPr>
    </w:p>
    <w:p w14:paraId="2E8A4D88" w14:textId="77777777" w:rsidR="008D479B" w:rsidRDefault="008D479B" w:rsidP="008D479B">
      <w:pPr>
        <w:pStyle w:val="TextoNormalNegritaCentrado"/>
        <w:keepNext/>
      </w:pPr>
      <w:r>
        <w:t>Voto particular concurrente que formulan el magistrado don Ramón Sáez Valcárcel y la magistrada doña Laura Díez Bueso respecto de la sentencia dictada en el recurso de amparo avocado núm. 4913-2020</w:t>
      </w:r>
    </w:p>
    <w:p w14:paraId="11689924" w14:textId="74C7C2D5" w:rsidR="008D479B" w:rsidRDefault="008D479B" w:rsidP="008D479B">
      <w:pPr>
        <w:pStyle w:val="TextoNormalNegritaCentrado"/>
        <w:keepNext/>
      </w:pPr>
    </w:p>
    <w:p w14:paraId="662A30F0" w14:textId="77777777" w:rsidR="008D479B" w:rsidRDefault="008D479B" w:rsidP="008D479B">
      <w:pPr>
        <w:pStyle w:val="TextoNormal"/>
      </w:pPr>
      <w:r>
        <w:t>1. Estamos de acuerdo con la denegación del amparo solicitado por la plataforma Menéame Comunicaciones, S.L., y con la delimitación de la libertad de expresión —que no ofrece cobertura al puro insulto— que sustenta la decisión. Pero, de ahí nuestro voto concurrente, consideramos que la motivación de la sentencia no debiera convalidar el marco jurídico de restricción de la responsabilidad de la demandante por la difusión de contenidos ilícitos, en el que operaron las sentencias objeto del recurso, y su sola obligación de retirarlos después del aviso del titular del derecho afectado. Pues, del incumplimiento de este deber de diligencia se deriva exclusivamente la responsabilidad por no cesar en la divulgación de la difamación que le impusieron los tribunales del orden jurisdiccional civil [por no actuar “con la diligencia exigible por la letra b) del artículo 16 de la Ley 34/2002”, concluía literalmente la sentencia de la Audiencia Provincial que condenó a la plataforma digital a indemnizar en 1200 € al perjudicado]. Exención de la responsabilidad por vulneración del derecho fundamental al honor que se hubiera producido, en los términos de las resoluciones judiciales cuestionadas, si la demandante hubiera retirado las expresiones difamatorias de usuarios anónimos que se publicaban en el foro de opinión vinculado a la noticia sobre los gastos del concejal. Además, el discurso de la sentencia omite tomar en consideración que el recurso de amparo fue admitido, precisamente, al considerar que tenía especial trascendencia constitucional porque permitía al tribunal aclarar o cambiar su doctrina como consecuencia del surgimiento de nuevas realidades sociales (los procesos comunicativos que tienen lugar en internet) y de cambios normativos relevantes para la configuración del contenido del derecho fundamental (la regulación de la responsabilidad de los prestadores de servicios de la sociedad de la información). Al proceder de esta manera, nuestra sentencia se desentiende del alcance del derecho fundamental al honor, que declara el art. 18.1 CE, para examinar el conflicto —una vez aceptado que las expresiones afectaron a la reputación del concejal— desde la perspectiva de las obligaciones de los prestadores de servicios de la sociedad de la información, confirmando en alguna medida la impunidad de dichos operadores en el ciberespacio, en grave contraste con el régimen que se asocia a los medios de comunicación tradicionales.</w:t>
      </w:r>
    </w:p>
    <w:p w14:paraId="6A0E7C4E" w14:textId="77777777" w:rsidR="008D479B" w:rsidRDefault="008D479B" w:rsidP="008D479B">
      <w:pPr>
        <w:pStyle w:val="TextoNormal"/>
      </w:pPr>
    </w:p>
    <w:p w14:paraId="7F564E36" w14:textId="77777777" w:rsidR="008D479B" w:rsidRDefault="008D479B" w:rsidP="008D479B">
      <w:pPr>
        <w:pStyle w:val="TextoNormal"/>
      </w:pPr>
      <w:r>
        <w:t>2. Fruto de la deliberación, donde ofrecimos razones para afirmar la responsabilidad de la plataforma también por la lesión del derecho fundamental al honor, la sentencia acogió una mínima reflexión sobre la naturaleza de la actividad que realiza Menéame, para matizar que participa efectivamente en el proceso de comunicación, pero de ello no extrae la conclusión debida, su responsabilidad por el régimen general y no solo, como habían establecido los tribunales, por su falta de diligencia en la retirada de los mencionados contenidos difamatorios que establece el art. 16.1 de la ley 34/2002 de servicios de la sociedad de la información y de comercio electrónico.</w:t>
      </w:r>
    </w:p>
    <w:p w14:paraId="7573DBA9" w14:textId="77777777" w:rsidR="008D479B" w:rsidRDefault="008D479B" w:rsidP="008D479B">
      <w:pPr>
        <w:pStyle w:val="TextoNormal"/>
      </w:pPr>
    </w:p>
    <w:p w14:paraId="0717D8A1" w14:textId="77777777" w:rsidR="008D479B" w:rsidRDefault="008D479B" w:rsidP="008D479B">
      <w:pPr>
        <w:pStyle w:val="TextoNormal"/>
      </w:pPr>
      <w:r>
        <w:t>3. La exención de responsabilidad de los prestadores de servicios de internet se fijó en la Directiva 2000/31/CE del Parlamento Europeo y del Consejo, de 8 de junio de 2000, que fue incorporada a nuestro ordenamiento jurídico por la ley 34/2002, normas que aplicaron las sentencias objeto del recurso de amparo. Un tratamiento que confirmó el Reglamento (UE) 2022/2065 del Parlamento Europeo y del Consejo, de 19 de octubre de 2022, que modificó la Directiva. Este régimen excepcional de irresponsabilidad por la divulgación de contenidos ilícitos —solo se les obliga a actuar con la debida diligencia una vez que se les advierte de la ilicitud, según el sistema de aviso previo— se contempla para los operadores de la red que se limitan a aportar infraestructuras tecnológicas y técnicas, en la medida en que intervienen en el proceso de comunicación de manera neutral y sin controlar los datos, la información y las opiniones en cuya transmisión participan de modo “ciego”, es decir, sin “conocimiento efectivo de que la actividad o la información almacenada es ilícita o de que lesiona bienes o derechos de un tercero” (art. 16.1 ley 34/2002). Una actividad que se define como “meramente técnica, automática y pasiva”, sin conocimiento ni control sobre la información, “cuando [el prestador del servicio] no tenga participación alguna en el contenido de los datos transmitidos”, lo que requiere que no modifique los datos, a salvo manipulaciones técnicas que no alteren su integridad (considerandos 42 y 43, Directiva 2000/31).</w:t>
      </w:r>
    </w:p>
    <w:p w14:paraId="45C1359F" w14:textId="77777777" w:rsidR="008D479B" w:rsidRDefault="008D479B" w:rsidP="008D479B">
      <w:pPr>
        <w:pStyle w:val="TextoNormal"/>
      </w:pPr>
    </w:p>
    <w:p w14:paraId="476877DC" w14:textId="77777777" w:rsidR="008D479B" w:rsidRDefault="008D479B" w:rsidP="008D479B">
      <w:pPr>
        <w:pStyle w:val="TextoNormal"/>
      </w:pPr>
      <w:r>
        <w:t xml:space="preserve">4. Creemos que la demandante no podía acogerse a la limitación de responsabilidad que le aplicaron los tribunales, y que nuestra sentencia no corrige con el rigor necesario. Porque la página de Menéame no es un simple intermediario técnico ni un operador neutral y pasivo (en los términos de la STJUE de 23 de marzo de 2010, asunto </w:t>
      </w:r>
      <w:r w:rsidRPr="008D479B">
        <w:rPr>
          <w:i/>
        </w:rPr>
        <w:t>Google France SARL y Google Inc</w:t>
      </w:r>
      <w:r>
        <w:t>., Gran Sala § 114). Tampoco un mero alojador o agregador de contenidos de sus usuarios, como se presenta y aceptaron las resoluciones judiciales objeto de impugnación. Para calificar su participación en el proceso de comunicación es preciso atender a la actividad que desarrolla, no a cómo la plataforma se define o presenta. No resulta relevante el hecho de que los contenidos que divulga no sean de producción propia. Sus contenidos proceden de periódicos y publicaciones digitales diversas, páginas, blogs, tuits, entradas de redes sociales y piezas de otros formatos, que se reproducen o a los que se enlaza. Lo importante es que la entidad realiza labores propias de edición, mucho más allá de la mera manipulación técnica que pide la norma. De actividad editorial se habla cuando se toman decisiones sobre qué se publica y qué se descarta, cuando se valoran las informaciones, se califican y ordenan con rúbricas, secciones y etiquetas (actualidad, política, cultura, ciencia, economía, series, artículos, portada, populares, más visitadas, nuevas, comunidades, fisgona, comentarios destacados, mejores hilos…), y se establecen prioridades, todo ello en función de algoritmos que responden a un código que se define en atención al interés mercantil. Toda esta actividad permite identificar a Menéame como un editor de contenidos y descartar que opere en el proceso de comunicación de manera neutra, automática y pasiva. La carencia de procedimientos para controlar y filtrar los contenidos, incluso —como se vio cuando desatendió los dos avisos de don D.L.M., para que retirara los que afectaban a su reputación— de mecanismos para atender con diligencia a las obligaciones del prestador en un sistema de aviso previo, no pueden determinar su régimen de responsabilidad por la lesión de un derecho fundamental.</w:t>
      </w:r>
    </w:p>
    <w:p w14:paraId="428CFCD0" w14:textId="77777777" w:rsidR="008D479B" w:rsidRDefault="008D479B" w:rsidP="008D479B">
      <w:pPr>
        <w:pStyle w:val="TextoNormal"/>
      </w:pPr>
    </w:p>
    <w:p w14:paraId="3EA00FA3" w14:textId="77777777" w:rsidR="008D479B" w:rsidRDefault="008D479B" w:rsidP="008D479B">
      <w:pPr>
        <w:pStyle w:val="TextoNormal"/>
      </w:pPr>
      <w:r>
        <w:t>5. La sentencia tampoco valora que las opiniones que publica la página Menéame, y en concreto la pieza cuestionada (que se componía de la noticia de un diario digital sobre el gasto telefónico de un concejal de fiestas más el foro de comentarios), son anónimas, pues se encubre a su autor bajo alias o apodos. La plataforma no solo no pide a sus usuarios que se identifiquen antes de divulgar contenidos, sino que tampoco facilita su identidad, que negó al titular del derecho al honor cuando se los reclamó. De esta manera, garantiza la total impunidad de quienes vulneran la reputación u otros derechos de terceros en su plataforma o medio de comunicación. Otro elemento que obliga a plantearse a qué medios y actividades puede aplicarse el régimen de limitación de responsabilidad por la difusión de contenidos difamatorios en la red desde la perspectiva de la protección del derecho fundamental al honor.</w:t>
      </w:r>
    </w:p>
    <w:p w14:paraId="04DD3F8D" w14:textId="77777777" w:rsidR="008D479B" w:rsidRDefault="008D479B" w:rsidP="008D479B">
      <w:pPr>
        <w:pStyle w:val="TextoNormal"/>
      </w:pPr>
    </w:p>
    <w:p w14:paraId="63DCE65D" w14:textId="77777777" w:rsidR="008D479B" w:rsidRDefault="008D479B" w:rsidP="008D479B">
      <w:pPr>
        <w:pStyle w:val="TextoNormal"/>
      </w:pPr>
      <w:r>
        <w:t xml:space="preserve">6. Las singularidades que ofrecen los procesos de comunicación en el ciberespacio y la presencia de prestadores de servicios de intermediación que carecen de control sobre los datos que sus usuarios transmiten, copian o alojan —como son los operadores de redes, los proveedores de acceso a la red, las empresas que realizan copia temporal, almacenamiento o alojamiento de datos, y los que facilitan enlaces a contenidos o instrumentos de búsqueda—, dificultan su diferenciación con los proveedores de contenidos, como son diarios digitales, plataformas de noticias o blogs, que efectivamente deciden acerca de la información y opinión que difunden. Circunstancia que constituye una razón de peso para haber aprovechado la sentencia para confirmar o apartarse de la doctrina elaborada por este tribunal a propósito de la actividad de los medios tradicionales de comunicación de masas (prensa en papel, radio y televisión), que era el motivo de la admisión del recurso. Porque existe un precedente que podría servir de marco de entendimiento y comparación del caso, como señalamos en la deliberación, y que nos permitiría comprobar la capacidad de resistencia de los criterios sentados entonces para guiar la aproximación jurídica a las nuevas realidades desde la perspectiva de los derechos fundamentales afectados. Nos referimos a la publicación de cartas al director en la prensa diaria, es decir un contenido ajeno al medio, supuesto al que atiende la STC 336/1993, de 15 de noviembre. Un diario de difusión provincial había publicado la carta de un lector que contenía opiniones y juicios de valor difamatorios contra el alcalde de la capital. La carta iba firmada, pero no se pudo identificar al autor de la misiva. La sentencia deslindaba con claridad dos acciones: “la carta en sí, ajena al medio de información; de otro, el hecho de su publicación en la sección correspondiente del citado diario”. Un criterio aplicable a nuestro caso: se distinguía entre la libertad de expresión de pensamientos, ideas y opiniones, que ejercía el autor de la misiva —aquí el anónimo usuario o trol—, del título por el que actuaba el director del diario, la libertad de comunicar libremente información, con sus correlativos deberes de veracidad y diligencia. Respecto a la primera acción, la sentencia afirmaba el carácter injurioso del escrito. Sobre la segunda, un texto redactado por persona ajena al medio, el director “se ha limitado, sin agregar ningún juicio u opinión propia, a dar difusión”. Con esta decisión, desde la perspectiva de la libertad de comunicación y de su límite en el derecho al honor, el medio —afirmaba la sentencia— ejerce su derecho a comunicar una opinión ajena. El deber de diligencia del director entraña la comprobación de la identidad de la persona que figura como autor de la carta, antes de autorizar su publicación, porque permite que asuma su responsabilidad por el contenido del texto, “con independencia de la responsabilidad que el director puede asumir si, conociendo la identidad del autor, decide no revelarla”. Porque de mantenerse el anonimato, argumentaba la sentencia, “se abriría la puerta a la creación de espacios inmunes a posibles vulneraciones del derecho al honor constitucionalmente garantizado”. Otra pauta que podemos considerar actual y valiosa, además de aplicable al caso. La conclusión de la sentencia para denegar el amparo que reivindicaba el periodista era que “no procedió a identificar, </w:t>
      </w:r>
      <w:r w:rsidRPr="008D479B">
        <w:rPr>
          <w:i/>
        </w:rPr>
        <w:t>ex ante</w:t>
      </w:r>
      <w:r>
        <w:t>, la persona que era autora de la carta” y “siendo claramente injurioso el contenido de la carta […] autorizó su publicación”.</w:t>
      </w:r>
    </w:p>
    <w:p w14:paraId="07A0B388" w14:textId="77777777" w:rsidR="008D479B" w:rsidRDefault="008D479B" w:rsidP="008D479B">
      <w:pPr>
        <w:pStyle w:val="TextoNormal"/>
      </w:pPr>
    </w:p>
    <w:p w14:paraId="6858924D" w14:textId="77777777" w:rsidR="008D479B" w:rsidRDefault="008D479B" w:rsidP="008D479B">
      <w:pPr>
        <w:pStyle w:val="TextoNormal"/>
      </w:pPr>
      <w:r>
        <w:t>En definitiva, nuestra sentencia debería haber traído esta doctrina y dialogar con ella, antes de aceptar el régimen de limitación de la responsabilidad de la demandante como marco de decisión que habían establecido las sentencias impugnadas.</w:t>
      </w:r>
    </w:p>
    <w:p w14:paraId="548F6DE2" w14:textId="77777777" w:rsidR="008D479B" w:rsidRDefault="008D479B" w:rsidP="008D479B">
      <w:pPr>
        <w:pStyle w:val="TextoNormal"/>
      </w:pPr>
    </w:p>
    <w:p w14:paraId="08209FEE" w14:textId="77777777" w:rsidR="008D479B" w:rsidRDefault="008D479B" w:rsidP="008D479B">
      <w:pPr>
        <w:pStyle w:val="TextoNormal"/>
      </w:pPr>
      <w:r>
        <w:t>Y en este sentido emitimos nuestro voto particular.</w:t>
      </w:r>
    </w:p>
    <w:p w14:paraId="4184E960" w14:textId="77777777" w:rsidR="008D479B" w:rsidRDefault="008D479B" w:rsidP="008D479B">
      <w:pPr>
        <w:pStyle w:val="TextoNormal"/>
      </w:pPr>
    </w:p>
    <w:p w14:paraId="7A3AC35F" w14:textId="22F9F1C0" w:rsidR="008D479B" w:rsidRDefault="008D479B" w:rsidP="008D479B">
      <w:pPr>
        <w:pStyle w:val="TextoNormal"/>
      </w:pPr>
      <w:r>
        <w:t>Madrid, a dieciocho de julio de dos mil veintitrés.</w:t>
      </w:r>
    </w:p>
    <w:p w14:paraId="71106528" w14:textId="1D05A792" w:rsidR="008D479B" w:rsidRDefault="008D479B">
      <w:pPr>
        <w:spacing w:after="160" w:line="278" w:lineRule="auto"/>
        <w:rPr>
          <w:rFonts w:ascii="Times New Roman" w:eastAsia="Times New Roman" w:hAnsi="Times New Roman" w:cs="Times New Roman"/>
          <w:sz w:val="24"/>
          <w:szCs w:val="24"/>
          <w:lang w:eastAsia="es-ES"/>
        </w:rPr>
      </w:pPr>
      <w:r>
        <w:br w:type="page"/>
      </w:r>
    </w:p>
    <w:p w14:paraId="75973819" w14:textId="77777777" w:rsidR="008D479B" w:rsidRDefault="008D479B" w:rsidP="008D479B">
      <w:pPr>
        <w:pStyle w:val="TtuloResolucin"/>
      </w:pPr>
      <w:bookmarkStart w:id="9" w:name="SENTENCIA_2023_84"/>
      <w:r>
        <w:t>SENTENCIA 84/2023, de 5 de julio de 2023</w:t>
      </w:r>
    </w:p>
    <w:bookmarkEnd w:id="9"/>
    <w:p w14:paraId="60EDFE09" w14:textId="77777777" w:rsidR="008D479B" w:rsidRDefault="008D479B" w:rsidP="008D479B">
      <w:pPr>
        <w:pStyle w:val="TtuloResolucin"/>
      </w:pPr>
      <w:r>
        <w:t>Pleno</w:t>
      </w:r>
    </w:p>
    <w:p w14:paraId="4953DC0F" w14:textId="77777777" w:rsidR="008D479B" w:rsidRDefault="008D479B" w:rsidP="008D479B">
      <w:pPr>
        <w:pStyle w:val="TtuloBOE"/>
      </w:pPr>
      <w:r>
        <w:t>(BOE núm. 184, de 3 de agosto de 2023)</w:t>
      </w:r>
    </w:p>
    <w:p w14:paraId="5211A953" w14:textId="77777777" w:rsidR="008D479B" w:rsidRDefault="008D479B" w:rsidP="008D479B">
      <w:pPr>
        <w:pStyle w:val="TextoNormalCentrado"/>
      </w:pPr>
      <w:r>
        <w:t>ECLI:ES:TC:2023:84</w:t>
      </w:r>
    </w:p>
    <w:p w14:paraId="4F81E30D" w14:textId="44F04EF3" w:rsidR="008D479B" w:rsidRDefault="008D479B" w:rsidP="008D479B">
      <w:pPr>
        <w:pStyle w:val="TextoNormalCentrado"/>
      </w:pPr>
    </w:p>
    <w:p w14:paraId="665F3341" w14:textId="77777777" w:rsidR="008D479B" w:rsidRDefault="008D479B" w:rsidP="008D479B">
      <w:pPr>
        <w:pStyle w:val="SntesisDescriptiva"/>
      </w:pPr>
      <w:r>
        <w:t>Recurso de amparo 2233-2020. Promovido por La Falange (F.E.), respecto de la sentencia dictada por la Sala de lo Contencioso-Administrativo del Tribunal Superior de Justicia de Madrid que desestimó su demanda frente a la resolución del delegado del Gobierno en Madrid prohibiendo la manifestación que pretendía convocar para el 2 de mayo de 2020.</w:t>
      </w:r>
    </w:p>
    <w:p w14:paraId="19FFFB19" w14:textId="0FCDD489" w:rsidR="008D479B" w:rsidRDefault="008D479B" w:rsidP="008D479B">
      <w:pPr>
        <w:pStyle w:val="SntesisDescriptiva"/>
      </w:pPr>
    </w:p>
    <w:p w14:paraId="34929CE3" w14:textId="77777777" w:rsidR="008D479B" w:rsidRDefault="008D479B" w:rsidP="008D479B">
      <w:pPr>
        <w:pStyle w:val="SntesisAnaltica"/>
      </w:pPr>
      <w:r>
        <w:t>Supuesta vulneración de los derechos de reunión y manifestación y a la tutela judicial efectiva: prohibición gubernativa de una manifestación justificada por la protección de la salud pública (STC 61/2023). Voto particular.</w:t>
      </w:r>
    </w:p>
    <w:p w14:paraId="51658EF6" w14:textId="402A5F30" w:rsidR="008D479B" w:rsidRDefault="008D479B" w:rsidP="008D479B">
      <w:pPr>
        <w:pStyle w:val="SntesisAnaltica"/>
      </w:pPr>
    </w:p>
    <w:p w14:paraId="241D149E" w14:textId="2173BB0B" w:rsidR="008D479B" w:rsidRDefault="008D479B" w:rsidP="008D479B">
      <w:pPr>
        <w:pStyle w:val="Extracto"/>
      </w:pPr>
      <w:r>
        <w:t>1.</w:t>
      </w:r>
      <w:r>
        <w:tab/>
        <w:t>Para que la restricción del derecho de reunión sea constitucionalmente legítima, se exige que exista proporcionalidad en la limitación del derecho; y que la autoridad gubernativa exteriorice razones fundadas que hagan imprescindible la prohibición de la reunión o la modificación de sus circunstancias en el caso concreto (STC 193/2011) [FJ 4].</w:t>
      </w:r>
    </w:p>
    <w:p w14:paraId="4B4CD20F" w14:textId="77777777" w:rsidR="008D479B" w:rsidRDefault="008D479B" w:rsidP="008D479B">
      <w:pPr>
        <w:pStyle w:val="Extracto"/>
      </w:pPr>
    </w:p>
    <w:p w14:paraId="31DE5CF8" w14:textId="5D644019" w:rsidR="008D479B" w:rsidRDefault="008D479B" w:rsidP="008D479B">
      <w:pPr>
        <w:pStyle w:val="Extracto"/>
      </w:pPr>
      <w:r>
        <w:t>2.</w:t>
      </w:r>
      <w:r>
        <w:tab/>
        <w:t>Cabe sustentar una restricción concreta del derecho de reunión en bienes jurídicos o derechos distintos de la alteración del orden público, mencionada en el art. 21.2 CE, y uno de ellos puede ser la protección de la salud en supuestos de grave crisis sanitaria como la desencadenada a partir de la difusión generalizada del covid-19, coyuntura que, lejos de ser una suposición o sospecha, es una realidad dotada de plena certidumbre [FJ 4].</w:t>
      </w:r>
    </w:p>
    <w:p w14:paraId="025272A5" w14:textId="77777777" w:rsidR="008D479B" w:rsidRDefault="008D479B" w:rsidP="008D479B">
      <w:pPr>
        <w:pStyle w:val="Extracto"/>
      </w:pPr>
    </w:p>
    <w:p w14:paraId="45B4AAF1" w14:textId="3F0EB0EC" w:rsidR="008D479B" w:rsidRDefault="008D479B" w:rsidP="008D479B">
      <w:pPr>
        <w:pStyle w:val="Extracto"/>
      </w:pPr>
      <w:r>
        <w:t>3.</w:t>
      </w:r>
      <w:r>
        <w:tab/>
        <w:t xml:space="preserve">La salud pública es un bien jurídico constitucionalizado </w:t>
      </w:r>
      <w:r w:rsidRPr="008D479B">
        <w:rPr>
          <w:i/>
        </w:rPr>
        <w:t>ex</w:t>
      </w:r>
      <w:r>
        <w:t xml:space="preserve"> art. 43 CE, que también el art. 11 CEDH contempla como límite de la libertad de reunión (STC 61/2023) [FJ 4].</w:t>
      </w:r>
    </w:p>
    <w:p w14:paraId="4FCA32BE" w14:textId="77777777" w:rsidR="008D479B" w:rsidRDefault="008D479B" w:rsidP="008D479B">
      <w:pPr>
        <w:pStyle w:val="Extracto"/>
      </w:pPr>
    </w:p>
    <w:p w14:paraId="5971D4A4" w14:textId="77777777" w:rsidR="008D479B" w:rsidRDefault="008D479B" w:rsidP="008D479B">
      <w:pPr>
        <w:pStyle w:val="Extracto"/>
      </w:pPr>
    </w:p>
    <w:p w14:paraId="28ABD8A8" w14:textId="77777777" w:rsidR="008D479B" w:rsidRDefault="008D479B" w:rsidP="008D479B">
      <w:pPr>
        <w:pStyle w:val="TextoNormal"/>
      </w:pPr>
      <w: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 ha pronunciado</w:t>
      </w:r>
    </w:p>
    <w:p w14:paraId="77AF918E" w14:textId="517C4D3C" w:rsidR="008D479B" w:rsidRDefault="008D479B" w:rsidP="008D479B">
      <w:pPr>
        <w:pStyle w:val="TextoNormal"/>
      </w:pPr>
    </w:p>
    <w:p w14:paraId="787A28B0" w14:textId="77777777" w:rsidR="008D479B" w:rsidRDefault="008D479B" w:rsidP="008D479B">
      <w:pPr>
        <w:pStyle w:val="TextoNormalCentrado"/>
        <w:keepNext/>
      </w:pPr>
      <w:r>
        <w:t>EN NOMBRE DEL REY</w:t>
      </w:r>
    </w:p>
    <w:p w14:paraId="68A53D41" w14:textId="262BC6E6" w:rsidR="008D479B" w:rsidRDefault="008D479B" w:rsidP="008D479B">
      <w:pPr>
        <w:pStyle w:val="TextoNormalCentrado"/>
        <w:keepNext/>
      </w:pPr>
    </w:p>
    <w:p w14:paraId="6EA18F60" w14:textId="77777777" w:rsidR="008D479B" w:rsidRDefault="008D479B" w:rsidP="008D479B">
      <w:pPr>
        <w:pStyle w:val="TextoNormalCentrado"/>
        <w:keepNext/>
      </w:pPr>
    </w:p>
    <w:p w14:paraId="3F692D2F" w14:textId="77777777" w:rsidR="008D479B" w:rsidRDefault="008D479B" w:rsidP="008D479B">
      <w:pPr>
        <w:pStyle w:val="TextoNormal"/>
      </w:pPr>
      <w:r>
        <w:t>la siguiente</w:t>
      </w:r>
    </w:p>
    <w:p w14:paraId="5E2B64D7" w14:textId="41C86220" w:rsidR="008D479B" w:rsidRDefault="008D479B" w:rsidP="008D479B">
      <w:pPr>
        <w:pStyle w:val="TextoNormal"/>
      </w:pPr>
    </w:p>
    <w:p w14:paraId="5DB6C52D" w14:textId="77777777" w:rsidR="008D479B" w:rsidRDefault="008D479B" w:rsidP="008D479B">
      <w:pPr>
        <w:pStyle w:val="TextoNormalCentrado"/>
        <w:keepNext/>
      </w:pPr>
      <w:r>
        <w:t>SENTENCIA</w:t>
      </w:r>
    </w:p>
    <w:p w14:paraId="3EDCB9D1" w14:textId="34D15501" w:rsidR="008D479B" w:rsidRDefault="008D479B" w:rsidP="008D479B">
      <w:pPr>
        <w:pStyle w:val="TextoNormalCentrado"/>
        <w:keepNext/>
      </w:pPr>
    </w:p>
    <w:p w14:paraId="3986DB28" w14:textId="77777777" w:rsidR="008D479B" w:rsidRDefault="008D479B" w:rsidP="008D479B">
      <w:pPr>
        <w:pStyle w:val="TextoNormal"/>
      </w:pPr>
      <w:r>
        <w:t>En el recurso de amparo avocado núm. 2233-2020, promovido por la organización política La Falange (F.E.), representada por la procuradora de los tribunales doña Begoña del Arco Herrero, bajo la dirección del letrado don Santiago Borja Redondo, contra la sentencia núm. 195/2020, de 30 de abril, dictada por la Sección Décima de la Sala de lo Contencioso-Administrativo del Tribunal Superior de Justicia de Madrid en los autos de derecho de reunión núm. 306-2020, que desestimó el recurso contencioso-administrativo formulado contra la resolución del delegado del Gobierno en Madrid de 27 de abril de 2020, que prohibió la manifestación pretendida por la recurrente para el día 2 de mayo de 2020 en Madrid. Ha sido parte el abogado del Estado en la representación que ostenta. Ha intervenido el Ministerio Fiscal. Ha sido ponente el magistrado don Ramón Sáez Valcárcel.</w:t>
      </w:r>
    </w:p>
    <w:p w14:paraId="28C37226" w14:textId="2B716D9D" w:rsidR="008D479B" w:rsidRDefault="008D479B" w:rsidP="008D479B">
      <w:pPr>
        <w:pStyle w:val="TextoNormal"/>
      </w:pPr>
    </w:p>
    <w:p w14:paraId="272BAFCC" w14:textId="77777777" w:rsidR="008D479B" w:rsidRDefault="008D479B" w:rsidP="008D479B">
      <w:pPr>
        <w:pStyle w:val="TextoNormalNegritaCentrado"/>
        <w:keepNext/>
      </w:pPr>
      <w:r>
        <w:t>I. Antecedentes</w:t>
      </w:r>
    </w:p>
    <w:p w14:paraId="74768148" w14:textId="014AA1BE" w:rsidR="008D479B" w:rsidRDefault="008D479B" w:rsidP="008D479B">
      <w:pPr>
        <w:pStyle w:val="TextoNormalNegritaCentrado"/>
        <w:keepNext/>
      </w:pPr>
    </w:p>
    <w:p w14:paraId="682CC958" w14:textId="193520B8" w:rsidR="008D479B" w:rsidRDefault="008D479B" w:rsidP="008D479B">
      <w:pPr>
        <w:pStyle w:val="TextoNormal"/>
      </w:pPr>
      <w:r w:rsidRPr="008D479B">
        <w:rPr>
          <w:rStyle w:val="NumeroAFNegritaCaracter"/>
        </w:rPr>
        <w:t>1</w:t>
      </w:r>
      <w:r>
        <w:t>. Mediante escrito registrado en este tribunal el 1 de junio de 2020, la organización política La Falange (F.E.) interpuso recurso de amparo contra la sentencia referida en el encabezamiento.</w:t>
      </w:r>
    </w:p>
    <w:p w14:paraId="5B0C5491" w14:textId="77777777" w:rsidR="008D479B" w:rsidRDefault="008D479B" w:rsidP="008D479B">
      <w:pPr>
        <w:pStyle w:val="TextoNormal"/>
      </w:pPr>
    </w:p>
    <w:p w14:paraId="1E9662A9" w14:textId="77777777" w:rsidR="008D479B" w:rsidRDefault="008D479B" w:rsidP="008D479B">
      <w:pPr>
        <w:pStyle w:val="TextoNormal"/>
      </w:pPr>
      <w:r w:rsidRPr="008D479B">
        <w:rPr>
          <w:rStyle w:val="NumeroAFNegritaCaracter"/>
        </w:rPr>
        <w:t>2</w:t>
      </w:r>
      <w:r>
        <w:t>. El recurso tiene su origen en los siguientes antecedentes de hecho:</w:t>
      </w:r>
    </w:p>
    <w:p w14:paraId="44D6A21E" w14:textId="77777777" w:rsidR="008D479B" w:rsidRDefault="008D479B" w:rsidP="008D479B">
      <w:pPr>
        <w:pStyle w:val="TextoNormal"/>
      </w:pPr>
    </w:p>
    <w:p w14:paraId="6CBC6D1F" w14:textId="77777777" w:rsidR="008D479B" w:rsidRDefault="008D479B" w:rsidP="008D479B">
      <w:pPr>
        <w:pStyle w:val="TextoNormal"/>
      </w:pPr>
      <w:r>
        <w:t>a) Don Manuel Andrino Lobo, en nombre y representación de La Falange (F.E.), comunicó a la Delegación del Gobierno en Madrid mediante escrito fechado el 20 de abril de 2020 la celebración de una concentración el 2 de mayo de 2020, a partir de las 12:00 horas, frente al monumento a los caídos de España, sito en la Plaza de la Lealtad, núm. 1, para dirigirse posteriormente al Ministerio de Sanidad, ubicado en el Paseo del Prado, núm. 18, y distante unos 300 metros.</w:t>
      </w:r>
    </w:p>
    <w:p w14:paraId="5DF77268" w14:textId="77777777" w:rsidR="008D479B" w:rsidRDefault="008D479B" w:rsidP="008D479B">
      <w:pPr>
        <w:pStyle w:val="TextoNormal"/>
      </w:pPr>
    </w:p>
    <w:p w14:paraId="403F777F" w14:textId="77777777" w:rsidR="008D479B" w:rsidRDefault="008D479B" w:rsidP="008D479B">
      <w:pPr>
        <w:pStyle w:val="TextoNormal"/>
      </w:pPr>
      <w:r>
        <w:t>En el escrito se manifiesta que su objeto es “recordar a los miles de españoles fallecidos durante este periodo de confinamiento, y reivindicar la libertad de expresión y el derecho de reunión durante el estado de alarma, frente a la ineficacia de los responsables del Ministerio de Sanidad y de otros organismos del Estado encargados de la crisis del covid-19, y el intento por parte de los mismos de silenciar y de impedir las opiniones contrarias a su gestión”. Se especifica que la concentración se realizaría en la zona peatonal y con una duración total aproximada de noventa minutos. Y que “se contará con servicio de orden que velará para que los asistentes se encuentren separados no menos de dos metros unos de otros, y que vayan provistos de mascarillas que se facilitarán por parte de la organización, respetando las instrucciones dadas por los miembros de las Fuerzas de Seguridad del Estado” y que “se instalará un pequeño equipo de megafonía frente al Ministerio de Sanidad, para que los oradores que intervengan se puedan hacer oír ante el público asistente”.</w:t>
      </w:r>
    </w:p>
    <w:p w14:paraId="4663B9EC" w14:textId="77777777" w:rsidR="008D479B" w:rsidRDefault="008D479B" w:rsidP="008D479B">
      <w:pPr>
        <w:pStyle w:val="TextoNormal"/>
      </w:pPr>
    </w:p>
    <w:p w14:paraId="7AA1F58C" w14:textId="77777777" w:rsidR="008D479B" w:rsidRDefault="008D479B" w:rsidP="008D479B">
      <w:pPr>
        <w:pStyle w:val="TextoNormal"/>
      </w:pPr>
      <w:r>
        <w:t>b) Por resolución de la Delegación del Gobierno en Madrid de 27 de abril de 2020 se acordó prohibir la concentración y posterior manifestación. En ella se expone primero una reseña de la comprensión constitucional del derecho de reunión en lugares de tránsito público consagrado en el art. 21 CE, a la que sigue el recordatorio de que tal derecho no es absoluto, sino que, además de los límites implícitos o mediatos que puedan derivarse de la concurrencia con otros derechos y bienes constitucionalmente protegidos, se ve sujeto al límite específico fijado en el art. 21 CE y contemplado en el art. 10 de la Ley Orgánica 9/1983, de 15 de julio, reguladora del derecho de reunión: razones fundadas de que puedan producirse alteraciones del orden público, con peligro para personas o bienes. Se subraya que, en estos supuestos, corresponde a la autoridad gubernativa adoptar las medidas necesarias para que la reunión se lleve a cabo de conformidad con los límites constitucionales, pudiendo llegar a prohibirla.</w:t>
      </w:r>
    </w:p>
    <w:p w14:paraId="24D3E4AB" w14:textId="77777777" w:rsidR="008D479B" w:rsidRDefault="008D479B" w:rsidP="008D479B">
      <w:pPr>
        <w:pStyle w:val="TextoNormal"/>
      </w:pPr>
    </w:p>
    <w:p w14:paraId="49422B10" w14:textId="77777777" w:rsidR="008D479B" w:rsidRDefault="008D479B" w:rsidP="008D479B">
      <w:pPr>
        <w:pStyle w:val="TextoNormal"/>
      </w:pPr>
      <w:r>
        <w:t xml:space="preserve">Se puntualiza en los fundamentos que, si bien España está afrontando una crisis sanitaria sin precedentes que ha determinado el dictado del Real Decreto 4463/2020, de 14 de marzo, por el que se declara el estado de alarma para su gestión y se limita el derecho de movilidad y libre circulación, el derecho de reunión no se encuentra suspendido. Lo que no obsta —se añade— a que la protección de la salud permita introducir limitaciones a su ejercicio, de acuerdo con la Constitución y su interpretación de conformidad con el Convenio europeo de derechos humanos (CEDH; con cita de la STEDH de 9 de abril de 2002, asunto </w:t>
      </w:r>
      <w:r w:rsidRPr="008D479B">
        <w:rPr>
          <w:i/>
        </w:rPr>
        <w:t>Cisse c. Francia</w:t>
      </w:r>
      <w:r>
        <w:t>). En el fundamento de Derecho sexto se razona como sigue:</w:t>
      </w:r>
    </w:p>
    <w:p w14:paraId="29268289" w14:textId="77777777" w:rsidR="008D479B" w:rsidRDefault="008D479B" w:rsidP="008D479B">
      <w:pPr>
        <w:pStyle w:val="TextoNormal"/>
      </w:pPr>
    </w:p>
    <w:p w14:paraId="25EAD7D7" w14:textId="77777777" w:rsidR="008D479B" w:rsidRDefault="008D479B" w:rsidP="008D479B">
      <w:pPr>
        <w:pStyle w:val="TextoNormal"/>
      </w:pPr>
      <w:r>
        <w:t>“En cualquier caso, es evidente que los criterios para la celebración de manifestaciones no pueden en ningún caso ignorar la situación de grave crisis sanitaria en la que se encuentra España, tal y como ha sido declarada por el Real Decreto 463/2020, en sus prórrogas y en la legislación complementaria. En ella se explica claramente la entidad de esta crisis y al restringir el derecho a la libertad de movimientos se deduce con toda claridad que esta limitación se fundamenta y justifica en la imperiosa necesidad de evitar la difusión de la pandemia con sus secuelas de contagios, fallecimientos y enfermos. Es decir, el Gobierno de la Nación, asesorado por las autoridades sanitarias, entiende con toda claridad que ante el peligro de la situación deben limitarse los movimientos de los ciudadanos.</w:t>
      </w:r>
    </w:p>
    <w:p w14:paraId="36881BE0" w14:textId="77777777" w:rsidR="008D479B" w:rsidRDefault="008D479B" w:rsidP="008D479B">
      <w:pPr>
        <w:pStyle w:val="TextoNormal"/>
      </w:pPr>
    </w:p>
    <w:p w14:paraId="7EBED2A2" w14:textId="77777777" w:rsidR="008D479B" w:rsidRDefault="008D479B" w:rsidP="008D479B">
      <w:pPr>
        <w:pStyle w:val="TextoNormal"/>
      </w:pPr>
      <w:r>
        <w:t>Son las consecuencias sanitarias que pueden afectar, con casi toda seguridad, no solo a los manifestantes, sino también a las personas que puedan tener accidentalmente contacto con ellos, las que deben llevar a la adopción de la decisión de permitir o prohibir una manifestación. Y en las circunstancias actuales, es un hecho notorio que es muy probable que se puedan producir contagios entre las personas participantes que luego puedan extenderse entre sus círculos de amistad, profesionales y familiares, incrementando de esta manera la crisis sanitaria por más que se adopten medidas de seguridad”.</w:t>
      </w:r>
    </w:p>
    <w:p w14:paraId="143FA98E" w14:textId="77777777" w:rsidR="008D479B" w:rsidRDefault="008D479B" w:rsidP="008D479B">
      <w:pPr>
        <w:pStyle w:val="TextoNormal"/>
      </w:pPr>
    </w:p>
    <w:p w14:paraId="32B88886" w14:textId="77777777" w:rsidR="008D479B" w:rsidRDefault="008D479B" w:rsidP="008D479B">
      <w:pPr>
        <w:pStyle w:val="TextoNormal"/>
      </w:pPr>
      <w:r>
        <w:t>c) La demandante interpuso recurso contencioso-administrativo al amparo del art. 122 de la Ley reguladora de la jurisdicción contencioso-administrativa (LJCA; cauce especial de protección del derecho de reunión) contra la prohibición de la Delegación del Gobierno, que fue desestimado por sentencia núm. 195/2020, de 30 de abril, dictada por la Sección Décima de la Sala de lo Contencioso-Administrativo del Tribunal Superior de Justicia de Madrid. Interesa aquí el rechazo de dos bloques de alegaciones efectuadas por la organización recurrente.</w:t>
      </w:r>
    </w:p>
    <w:p w14:paraId="5F335F62" w14:textId="77777777" w:rsidR="008D479B" w:rsidRDefault="008D479B" w:rsidP="008D479B">
      <w:pPr>
        <w:pStyle w:val="TextoNormal"/>
      </w:pPr>
    </w:p>
    <w:p w14:paraId="2203189D" w14:textId="77777777" w:rsidR="008D479B" w:rsidRDefault="008D479B" w:rsidP="008D479B">
      <w:pPr>
        <w:pStyle w:val="TextoNormal"/>
      </w:pPr>
      <w:r>
        <w:t>En el fundamento de Derecho tercero se rechazan los motivos que denuncian infracciones constitucionales y legales —arts. 55.1 y 86 CE y art. 11 de la Ley Orgánica 4/1981, en relación con los arts. 5 y 7 del Real Decreto 463/2020—, que la Sala considera que se predican tanto del Real Decreto 463/2020, de 14 de marzo, por el que se declara el estado de alarma para la gestión de la situación de crisis sanitaria ocasionada por la covid-19, como de la propia resolución recurrida. Opone que “las infracciones constitucionales o legales denunciadas respecto del Real Decreto 463/2020 resultan ajenas al objeto del presente procedimiento especial de protección del derecho fundamental de reunión y, no fundándose la resolución impugnada en las previsiones de ese real decreto, no cabe predicarlas del acto administrativo recurrido, como pretende la demandante”.</w:t>
      </w:r>
    </w:p>
    <w:p w14:paraId="40A333E1" w14:textId="77777777" w:rsidR="008D479B" w:rsidRDefault="008D479B" w:rsidP="008D479B">
      <w:pPr>
        <w:pStyle w:val="TextoNormal"/>
      </w:pPr>
    </w:p>
    <w:p w14:paraId="6E6A0A81" w14:textId="77777777" w:rsidR="008D479B" w:rsidRDefault="008D479B" w:rsidP="008D479B">
      <w:pPr>
        <w:pStyle w:val="TextoNormal"/>
      </w:pPr>
      <w:r>
        <w:t>En el fundamento de Derecho sexto, con apoyo en la amplia exposición de la doctrina de este tribunal sobre el derecho de reunión y sus límites efectuada en el fundamento quinto, se descarta que el acto recurrido vulnere el art. 21 CE, al apreciar que la resolución recurrida se encuentra suficientemente motivada y supera el juicio de proporcionalidad.</w:t>
      </w:r>
    </w:p>
    <w:p w14:paraId="31D10734" w14:textId="77777777" w:rsidR="008D479B" w:rsidRDefault="008D479B" w:rsidP="008D479B">
      <w:pPr>
        <w:pStyle w:val="TextoNormal"/>
      </w:pPr>
    </w:p>
    <w:p w14:paraId="1F939AB7" w14:textId="77777777" w:rsidR="008D479B" w:rsidRDefault="008D479B" w:rsidP="008D479B">
      <w:pPr>
        <w:pStyle w:val="TextoNormal"/>
      </w:pPr>
      <w:r>
        <w:t>Respecto de la motivación, entiende que la resolución aporta las razones por las que la autoridad gubernativa ha adoptado la decisión controvertida. En concreto, porque “el ejercicio del derecho fundamental de reunión, tal y como se había proyectado por su promotor o sus promotores, entraña un grave riesgo para la salud pública y, singularmente, para las personas, tanto para los propios manifestantes como para otras personas que pudieran tener accidentalmente contacto con ellos, sobre la base de que es muy probable que de celebrarse la reunión programada se puedan producir contagios entre las personas participantes que luego puedan extenderse entre sus círculos de amistad, profesionales y familiares, incrementando de esta manera la crisis sanitaria por más que se adopten medidas de seguridad, perturbando de manera desproporcionada otros bienes y derechos protegidos por nuestra por nuestra Constitución. Consideración que se vincula con la imperiosa necesidad de evitar la difusión de la pandemia con sus secuelas de contagios, fallecimientos y enfermos”. A juicio de la Sala, esos argumentos constituyen razones convincentes e imperativas para justificar la restricción impuesta al ejercicio de derecho de reunión, que se asienta en datos objetivos suficientes derivados de las circunstancias concretas del caso, propias de la situación de emergencia sanitaria y de grave crisis de salud.</w:t>
      </w:r>
    </w:p>
    <w:p w14:paraId="174AF1CC" w14:textId="77777777" w:rsidR="008D479B" w:rsidRDefault="008D479B" w:rsidP="008D479B">
      <w:pPr>
        <w:pStyle w:val="TextoNormal"/>
      </w:pPr>
    </w:p>
    <w:p w14:paraId="7EB58965" w14:textId="77777777" w:rsidR="008D479B" w:rsidRDefault="008D479B" w:rsidP="008D479B">
      <w:pPr>
        <w:pStyle w:val="TextoNormal"/>
      </w:pPr>
      <w:r>
        <w:t>Al examinar si se satisface el juicio de proporcionalidad, la Sala parte de la forma y las condiciones en que se ha proyectado el ejercicio del derecho fundamental de reunión por el promotor para considerar las circunstancias en que se pretende. Resalta como hecho notorio el carácter insoslayable de la situación de grave crisis de salud pública, cuyos rasgos resume, y de la necesidad de proteger la salud de los ciudadanos (art. 43 CE) con medidas preventivas dirigidas a evitar la propagación del virus, como el distanciamiento físico y las restricciones de movimiento de la población, recomendadas, entre otras instancias, por la Organización Mundial de la Salud en el documento de actualización de la estrategia frente a la covid-19 de 14 de abril. Frente a ello, considera (i) “muy probable que en las condiciones en que se ha programado el desarrollo de la concentración —ubicación en un espacio público ciertamente reducido, como es la zona peatonal situada frente al monumento a los caídos de España, en la Plaza de La Lealtad, desplazamiento de los manifestantes desde ese lugar hasta el Ministerio de Sanidad, distante tan solo unos 300 metros, y concentración frente a este ministerio para asistir a la intervención de los oradores, haciendo uso de megafonía—, no resultaría posible mantener la distancia de seguridad mínima entre los asistentes”; (ii) que se desconoce el número de personas que pueden llegar a concentrarse, su procedencia geográfica y el medio de transporte para llegar al lugar, sin que pueda descartarse una saturación del espacio interior de los vehículos de transporte público; y (iii) que no se ofrecen medidas de seguridad concretas e idóneas para garantizar que “se mantenga la distancia social mínimamente necesaria o para evitar que algunas personas lleguen a retirarse la mascarilla para apoyar en voz alta los objetivos de la manifestación”; imprecisión especialmente relevante en el escenario de gravísima pandemia, que “no permite conjurar el alto riesgo de que el desarrollo de una concentración y marcha, como la comunicada por el promotor, favorezca la propagación de coronavirus tanto entre los manifestantes como posteriormente a sus familiares y su círculo social, e incluso, a aquellas otras personas que residan en los alrededores y que se vean obligadas a mezclarse con los manifestantes para realizar sus quehaceres diarios”.</w:t>
      </w:r>
    </w:p>
    <w:p w14:paraId="5CCA7ACC" w14:textId="77777777" w:rsidR="008D479B" w:rsidRDefault="008D479B" w:rsidP="008D479B">
      <w:pPr>
        <w:pStyle w:val="TextoNormal"/>
      </w:pPr>
    </w:p>
    <w:p w14:paraId="5BA7EE22" w14:textId="2ED1C456" w:rsidR="008D479B" w:rsidRDefault="008D479B" w:rsidP="008D479B">
      <w:pPr>
        <w:pStyle w:val="TextoNormal"/>
      </w:pPr>
      <w:r>
        <w:t>La Sala aprecia por todo ello que “la prohibición de la concentración y posterior manifestación comunicada era: (i) susceptible de conseguir el objetivo propuesto —en este caso la protección de la salud pública y de los ciudadanos, en un escenario de pandemia internacional que implica un grave riesgo para la vida de las personas—; (ii) necesaria por no existir otra medida más moderada para la consecución de tal propósito con igual eficacia, atendidas las condiciones tan genéricas y amplias en que se proyectó el desarrollo de la concentración y posterior manifestación; y (iii) proporcionada, en sentido estricto, es decir, ponderada o equilibrada por derivarse de ella más beneficios o ventajas para el interés general que protege que perjuicios sobre el derecho de reunión de los manifestantes”. A lo anterior no obsta, según la sentencia, la apelación al paulatino proceso de “desescalada” que se había comenzado y a la reducción de ingresos hospitalarios, porque “olvida la fragilidad de este lento y delicado proceso […] y no repara en que para su éxito resulta primordial mantener las medidas preventivas de distanciamiento social, por ahora, para así evitar una nueva escalada, que frustre el inmenso esfuerzo del sistema sanitario realizado y el duro sacrificio soportado por todos los ciudadanos. Exigencias imprescindibles de distancia social que la concentración y manifestación pretendidas no garantizan por las razones anteriormente citadas”.</w:t>
      </w:r>
    </w:p>
    <w:p w14:paraId="2248DF85" w14:textId="77777777" w:rsidR="008D479B" w:rsidRDefault="008D479B" w:rsidP="008D479B">
      <w:pPr>
        <w:pStyle w:val="TextoNormal"/>
      </w:pPr>
    </w:p>
    <w:p w14:paraId="00D53CFD" w14:textId="77777777" w:rsidR="008D479B" w:rsidRDefault="008D479B" w:rsidP="008D479B">
      <w:pPr>
        <w:pStyle w:val="TextoNormal"/>
      </w:pPr>
      <w:r w:rsidRPr="008D479B">
        <w:rPr>
          <w:rStyle w:val="NumeroAFNegritaCaracter"/>
        </w:rPr>
        <w:t>3</w:t>
      </w:r>
      <w:r>
        <w:t>. La demanda de amparo, dirigida contra la sentencia del Tribunal Superior de Justicia de Madrid se articula en seis motivos, que cabe sintetizar como sigue:</w:t>
      </w:r>
    </w:p>
    <w:p w14:paraId="58766D49" w14:textId="77777777" w:rsidR="008D479B" w:rsidRDefault="008D479B" w:rsidP="008D479B">
      <w:pPr>
        <w:pStyle w:val="TextoNormal"/>
      </w:pPr>
    </w:p>
    <w:p w14:paraId="4B78FD2E" w14:textId="77777777" w:rsidR="008D479B" w:rsidRDefault="008D479B" w:rsidP="008D479B">
      <w:pPr>
        <w:pStyle w:val="TextoNormal"/>
      </w:pPr>
      <w:r>
        <w:t>(1) Vulneración del derecho fundamental a la tutela judicial efectiva sin causar indefensión (art. 24.1 CE) por ausencia de motivación, al no haberse dado efectiva respuesta a los motivos del recurso que denunciaban la infracción del art. 55.1 CE (motivo segundo) y del art. 11 de la Ley Orgánica 4/1981, de 4 de junio, sobre los estados de alarma, excepción y sitio (motivos tercero y cuarto). La entidad recurrente sostiene que la sentencia impugnada deja fuera del debate la cuestión de la falta de cobertura legal, jurídica y constitucional de la prohibición de la manifestación por la vía de hecho que entiende que efectúa la resolución administrativa cuestionada, que no tendría cobertura en el Real Decreto 463/2020 en tanto no suspende el derecho.</w:t>
      </w:r>
    </w:p>
    <w:p w14:paraId="38C50CD3" w14:textId="77777777" w:rsidR="008D479B" w:rsidRDefault="008D479B" w:rsidP="008D479B">
      <w:pPr>
        <w:pStyle w:val="TextoNormal"/>
      </w:pPr>
    </w:p>
    <w:p w14:paraId="38227E56" w14:textId="77777777" w:rsidR="008D479B" w:rsidRDefault="008D479B" w:rsidP="008D479B">
      <w:pPr>
        <w:pStyle w:val="TextoNormal"/>
      </w:pPr>
      <w:r>
        <w:t>(2) Infracción del art. 55.1 CE en concordancia con el art. 9.1 CE, sometimiento de los poderes públicos a la Constitución y el ordenamiento jurídico. Dado que el poder legislativo no ha restringido el derecho de reunión, ya que no ha declarado el estado de excepción, conforme exigirían el art. 55.1 CE y la Ley Orgánica 4/1981, la resolución objeto del recurso, a juicio de la demandante, no tiene cobertura legal ni constitucional para prohibir de forma generalizada, universal y permanente el derecho de reunión durante el estado de alarma, como estima que hace “</w:t>
      </w:r>
      <w:r w:rsidRPr="008D479B">
        <w:rPr>
          <w:i/>
        </w:rPr>
        <w:t>de facto</w:t>
      </w:r>
      <w:r>
        <w:t>”.</w:t>
      </w:r>
    </w:p>
    <w:p w14:paraId="52EB7EC8" w14:textId="77777777" w:rsidR="008D479B" w:rsidRDefault="008D479B" w:rsidP="008D479B">
      <w:pPr>
        <w:pStyle w:val="TextoNormal"/>
      </w:pPr>
    </w:p>
    <w:p w14:paraId="514077E6" w14:textId="77777777" w:rsidR="008D479B" w:rsidRDefault="008D479B" w:rsidP="008D479B">
      <w:pPr>
        <w:pStyle w:val="TextoNormal"/>
      </w:pPr>
      <w:r>
        <w:t xml:space="preserve">(3) Infracción del art. 11 de la Ley Orgánica 4/1981 en concordancia con el principio de seguridad jurídica del art. 9.3 CE. Considera la demandante que tanto la resolución administrativa como la sentencia toman como causa para prohibir el derecho de reunión la previsión del Real Decreto 463/2020, de 14 de marzo, por el que se declara el estado de alarma, de “una limitación del derecho de movilidad y libre circulación como regla general con excepciones para determinados supuestos”. Sin embargo —opone—, olvidan que dicha limitación, de conformidad con el art. 11 a) de la Ley Orgánica 4/1981, se circunscribe a “una limitación temporal de circulación de vehículos o permanencia de personas en horas y lugares determinados, o condicionarlas al cumplimiento de determinados requisitos”, pero no permite una prohibición </w:t>
      </w:r>
      <w:r w:rsidRPr="008D479B">
        <w:rPr>
          <w:i/>
        </w:rPr>
        <w:t>de facto</w:t>
      </w:r>
      <w:r>
        <w:t xml:space="preserve"> de derechos fundamentales </w:t>
      </w:r>
      <w:r w:rsidRPr="008D479B">
        <w:rPr>
          <w:i/>
        </w:rPr>
        <w:t>sine die</w:t>
      </w:r>
      <w:r>
        <w:t>, contraria al art. 55.1 CE y no adoptada por el citado real decreto.</w:t>
      </w:r>
    </w:p>
    <w:p w14:paraId="3162A6FB" w14:textId="77777777" w:rsidR="008D479B" w:rsidRDefault="008D479B" w:rsidP="008D479B">
      <w:pPr>
        <w:pStyle w:val="TextoNormal"/>
      </w:pPr>
    </w:p>
    <w:p w14:paraId="306B417E" w14:textId="77777777" w:rsidR="008D479B" w:rsidRDefault="008D479B" w:rsidP="008D479B">
      <w:pPr>
        <w:pStyle w:val="TextoNormal"/>
      </w:pPr>
      <w:r>
        <w:t>(4) Vulneración del derecho de reunión, art. 10 de la Ley Orgánica 9/1983, de 15 de julio, reguladora del derecho de reunión, y requisitos constitucionales. En el motivo así rubricado la entidad recurrente defiende que la sentencia realiza en su fundamento de Derecho quinto “una motivación o ponderación del juicio de proporcionalidad no ajustada a derecho”. En la argumentación que desarrolla el motivo insiste de nuevo en que la limitación de la libertad de circulación del art. 7 del Real Decreto 463/2020 no alcanza al ejercicio del derecho de reunión, a lo que añade que la sentencia no valora positivamente que la convocatoria respetara las recomendaciones, que no obligaciones, dictadas por la autoridad sanitaria, de distanciamiento (incluso ampliado a dos metros frente al uno recomendado) y uso de mascarillas. Expone a continuación la doctrina constitucional sobre el derecho de reunión y los requisitos para aplicar el límite a su ejercicio de la alteración del orden público, previsto en el art. 21.2 CE y el art. 10 de la Ley Orgánica 9/1983, poniendo el acento en que no basta la mera sospecha o posibilidad de desorden y es preciso que la medida prohibitiva satisfaga las exigencias de proporcionalidad.</w:t>
      </w:r>
    </w:p>
    <w:p w14:paraId="5DBFEF48" w14:textId="77777777" w:rsidR="008D479B" w:rsidRDefault="008D479B" w:rsidP="008D479B">
      <w:pPr>
        <w:pStyle w:val="TextoNormal"/>
      </w:pPr>
    </w:p>
    <w:p w14:paraId="4BA39A91" w14:textId="77777777" w:rsidR="008D479B" w:rsidRDefault="008D479B" w:rsidP="008D479B">
      <w:pPr>
        <w:pStyle w:val="TextoNormal"/>
      </w:pPr>
      <w:r>
        <w:t>(5) Infracción del art. 21.2 CE. Juicio de proporcionalidad exigible y respeto a los límites constitucionales. La demandante de amparo aduce de nuevo aquí que la apelación a la crisis sanitaria y a la evitación de la difusión de la pandemia resulta desproporcionada, cuando esa actividad ni siquiera ha sido suspendida por la declaración del estado de alarma y se han ofrecido medidas de seguridad que superan a las que la propia administración responsable recomienda, pues ni siquiera era obligatorio el uso de mascarillas. Tampoco tendría en cuenta la resolución judicial que, al tiempo de dictarse, se estaba produciendo ya una desescalada paulatina tras cuarenta y nueve días de confinamiento. Recuerda, en concreto, que se había permitido la vuelta al trabajo de actividades no esenciales, la salida de menores de edad acompañados de los padres e incluso anunciado que, a partir del dos de mayo, fecha que coincide con la convocatoria de la manifestación, se iba a permitir a la población salir de su confinamiento. Insiste en que nada de eso se tiene en cuenta, como tampoco los datos sobre la vuelta a la normalidad de los niveles de mortalidad desde principios del mes de abril tras el pico de marzo o el descenso de personas hospitalizadas, así como de las que requieren asistencia en UCI. Ni, en fin, que la concentración se iba a desarrollar al aire libre y con el distanciamiento social indicado. Concluye que las razones que fundaron el decreto del estado de alarma no tienen la trascendencia ni son idénticas con las que concurren cuarenta y nueve días después.</w:t>
      </w:r>
    </w:p>
    <w:p w14:paraId="296CB789" w14:textId="77777777" w:rsidR="008D479B" w:rsidRDefault="008D479B" w:rsidP="008D479B">
      <w:pPr>
        <w:pStyle w:val="TextoNormal"/>
      </w:pPr>
    </w:p>
    <w:p w14:paraId="3AE6DCB1" w14:textId="77777777" w:rsidR="008D479B" w:rsidRDefault="008D479B" w:rsidP="008D479B">
      <w:pPr>
        <w:pStyle w:val="TextoNormal"/>
      </w:pPr>
      <w:r>
        <w:t>(6) Límites constitucionales y afectación del derecho a la salud, a la vida y a la integridad física y moral. Infracción del derecho de manifestación. La recurrente sostiene en el motivo así expresado que, conforme a la jurisprudencia constitucional, no hay conexión necesaria entre la salud pública y el derecho fundamental a la integridad física, por lo que este derecho fundamental no puede fundar la limitación del derecho de manifestación (SSTC 215/1994, de 14 de julio; 220/2002, de 2 de septiembre, y 62/2007, de 27 de marzo), que no iba dirigida a lesionar el cuerpo o espíritu de las personas, por lo que no afectaba a la inviolabilidad definitoria del derecho a la integridad física (STC 118/2019, de 16 de octubre). Tampoco considera que pueda sostener la prohibición la referencia al derecho a la salud de terceros, cuando el legislador regula su protección mediante dos mecanismos, el distanciamiento social de un metro y la obligación del uso de mascarillas, que son prevenciones que se respetaban por los convocantes.</w:t>
      </w:r>
    </w:p>
    <w:p w14:paraId="258824A8" w14:textId="77777777" w:rsidR="008D479B" w:rsidRDefault="008D479B" w:rsidP="008D479B">
      <w:pPr>
        <w:pStyle w:val="TextoNormal"/>
      </w:pPr>
    </w:p>
    <w:p w14:paraId="3645069A" w14:textId="77777777" w:rsidR="008D479B" w:rsidRDefault="008D479B" w:rsidP="008D479B">
      <w:pPr>
        <w:pStyle w:val="TextoNormal"/>
      </w:pPr>
      <w:r>
        <w:t>Al hilo de lo anterior, recuerda otra vez que el Tribunal Constitucional ha destacado que, para restringir el derecho de reunión, no basta con que existan dudas o sospechas sobre la posible producción de efectos negativos, “debiendo presidir toda actuación limitativa del mismo el principio o criterio de favorecimiento del derecho de reunión”. Del mismo modo, el Tribunal Europeo de Derechos Humanos “ha defendido una interpretación estricta de los límites al derecho de reunión fijados en el art. 11.2 CEDH, de manera que solamente razones convincentes e imperativas pueden justificar las restricciones a esa libertad”. La entidad demandante reprocha a la sentencia recurrida que confunda “los miedos intrínsecos personales de los miembros del Tribunal con argumentos jurídicos inconsistentes, presuponiendo y excediéndose la sentencia recurrida en un criterio subjetivo restrictivo de derechos sin aportar prueba alguna más que ‘la crisis sanitaria existente por el virus del covid-19 que supone un riesgo extraordinario para el derecho a la vida’ (</w:t>
      </w:r>
      <w:r w:rsidRPr="008D479B">
        <w:rPr>
          <w:i/>
        </w:rPr>
        <w:t>sic</w:t>
      </w:r>
      <w:r>
        <w:t xml:space="preserve">)”. Según su parecer, la sentencia “confunde una limitación de movimientos con la suspensión total del derecho a la libre circulación o a la supresión </w:t>
      </w:r>
      <w:r w:rsidRPr="008D479B">
        <w:rPr>
          <w:i/>
        </w:rPr>
        <w:t>ad hoc</w:t>
      </w:r>
      <w:r>
        <w:t xml:space="preserve"> o </w:t>
      </w:r>
      <w:r w:rsidRPr="008D479B">
        <w:rPr>
          <w:i/>
        </w:rPr>
        <w:t>de</w:t>
      </w:r>
      <w:r>
        <w:t xml:space="preserve"> </w:t>
      </w:r>
      <w:r w:rsidRPr="008D479B">
        <w:rPr>
          <w:i/>
        </w:rPr>
        <w:t>facto</w:t>
      </w:r>
      <w:r>
        <w:t xml:space="preserve"> del derecho de reunión, no suspendido en un estado de alarma, debiendo haber activado el legislador un estado de excepción o de sitio”.</w:t>
      </w:r>
    </w:p>
    <w:p w14:paraId="55B59A55" w14:textId="77777777" w:rsidR="008D479B" w:rsidRDefault="008D479B" w:rsidP="008D479B">
      <w:pPr>
        <w:pStyle w:val="TextoNormal"/>
      </w:pPr>
    </w:p>
    <w:p w14:paraId="0F6473A1" w14:textId="77777777" w:rsidR="008D479B" w:rsidRDefault="008D479B" w:rsidP="008D479B">
      <w:pPr>
        <w:pStyle w:val="TextoNormal"/>
      </w:pPr>
      <w:r>
        <w:t xml:space="preserve">Para justificar la especial trascendencia constitucional del recurso se esgrimen cinco motivos: (i) la resolución recurrida no da respuesta ni valora las alegaciones relativas a infracciones constitucionales y legales relacionadas con la declaración del estado de alarma y su incidencia en el juicio de proporcionalidad de la limitación del derecho de reunión; (ii) los supuestos de hecho son novedosos para el ejercicio de los derechos fundamentales de reunión y manifestación del art. 21 CE durante la proclamación del estado de alarma, sin que tenga cobertura constitucional la prohibición </w:t>
      </w:r>
      <w:r w:rsidRPr="008D479B">
        <w:rPr>
          <w:i/>
        </w:rPr>
        <w:t>de facto</w:t>
      </w:r>
      <w:r>
        <w:t xml:space="preserve"> que estima contenida en el fundamento quinto de la sentencia impugnada; (iii) de forma inédita se prohíbe el derecho fundamental de reunión por dar preferencia a una sospecha o probabilidad de causar daño a un derecho no fundamental, como el del art. 43 CE; (iv) solo con ocasión de la proclamación de un estado de alarma en diciembre de 2010, se analizó por el Tribunal Constitucional de forma parcial y sesgada un hecho similar (STC 83/2016, de 28 de abril); y (v) se infringe la literalidad del art. 55.1 CE, que solo permite suspender los derechos de los arts. 19 y 21 CE con ocasión de acordarse la declaración del estado de excepción o sitito, no durante la declaración del estado de alarma.</w:t>
      </w:r>
    </w:p>
    <w:p w14:paraId="7DCEA330" w14:textId="77777777" w:rsidR="008D479B" w:rsidRDefault="008D479B" w:rsidP="008D479B">
      <w:pPr>
        <w:pStyle w:val="TextoNormal"/>
      </w:pPr>
    </w:p>
    <w:p w14:paraId="66D9F083" w14:textId="62D1F346" w:rsidR="008D479B" w:rsidRDefault="008D479B" w:rsidP="008D479B">
      <w:pPr>
        <w:pStyle w:val="TextoNormal"/>
      </w:pPr>
      <w:r>
        <w:t>La recurrente solicita una sentencia que otorgue el amparo, declare vulnerado el derecho a la tutela judicial efectiva y el derecho de reunión y anule la resolución del 27 de abril de 2020 del delegado del Gobierno en Madrid y la citada sentencia de 30 de abril de 2020, restableciéndole en la integridad de sus derechos.</w:t>
      </w:r>
    </w:p>
    <w:p w14:paraId="4E61473D" w14:textId="77777777" w:rsidR="008D479B" w:rsidRDefault="008D479B" w:rsidP="008D479B">
      <w:pPr>
        <w:pStyle w:val="TextoNormal"/>
      </w:pPr>
    </w:p>
    <w:p w14:paraId="092566B6" w14:textId="7A2F9617" w:rsidR="008D479B" w:rsidRDefault="008D479B" w:rsidP="008D479B">
      <w:pPr>
        <w:pStyle w:val="TextoNormal"/>
      </w:pPr>
      <w:r w:rsidRPr="008D479B">
        <w:rPr>
          <w:rStyle w:val="NumeroAFNegritaCaracter"/>
        </w:rPr>
        <w:t>4</w:t>
      </w:r>
      <w:r>
        <w:t>. Por providencia de fecha 20 de octubre de 2020, el Pleno del Tribunal, a propuesta de tres magistrados, acordó recabar para sí el conocimiento del recurso de amparo que se tramitaba ante la Sala Segunda y su admisión, al apreciar que concurría especial trascendencia constitucional [art. 50.1 de la Ley Orgánica del Tribunal Constitucional (LOTC)], porque el recurso plantea un problema o afecta a una faceta del derecho fundamental sobre el que no hay doctrina del Tribunal [STC 155/2009, de 25 de junio, FJ 2 a)] y porque el asunto suscitado trasciende del caso concreto porque plantea una cuestión jurídica de relevante y general repercusión social o económica [STC 155/2009, FJ 2 g)]. Además, la providencia acordaba recabar de la Sección Décima de la Sala de lo Contencioso-Administrativo del Tribunal Superior de Madrid certificación o fotocopia adverada de las actuaciones y que se emplazara a quienes hubieran sido parte en el procedimiento, excepto a la parte recurrente en amparo, para que en el plazo de diez días pudieran comparecer en este proceso.</w:t>
      </w:r>
    </w:p>
    <w:p w14:paraId="5AD7DE7E" w14:textId="77777777" w:rsidR="008D479B" w:rsidRDefault="008D479B" w:rsidP="008D479B">
      <w:pPr>
        <w:pStyle w:val="TextoNormal"/>
      </w:pPr>
    </w:p>
    <w:p w14:paraId="01C79F14" w14:textId="622E7D02" w:rsidR="008D479B" w:rsidRDefault="008D479B" w:rsidP="008D479B">
      <w:pPr>
        <w:pStyle w:val="TextoNormal"/>
      </w:pPr>
      <w:r w:rsidRPr="008D479B">
        <w:rPr>
          <w:rStyle w:val="NumeroAFNegritaCaracter"/>
        </w:rPr>
        <w:t>5</w:t>
      </w:r>
      <w:r>
        <w:t>. El abogado del Estado, mediante escrito registrado el 18 de noviembre de 2011, solicita que se le tenga por personado y parte.</w:t>
      </w:r>
    </w:p>
    <w:p w14:paraId="10AC7B74" w14:textId="77777777" w:rsidR="008D479B" w:rsidRDefault="008D479B" w:rsidP="008D479B">
      <w:pPr>
        <w:pStyle w:val="TextoNormal"/>
      </w:pPr>
    </w:p>
    <w:p w14:paraId="21C4780B" w14:textId="2B7BFD11" w:rsidR="008D479B" w:rsidRDefault="008D479B" w:rsidP="008D479B">
      <w:pPr>
        <w:pStyle w:val="TextoNormal"/>
      </w:pPr>
      <w:r w:rsidRPr="008D479B">
        <w:rPr>
          <w:rStyle w:val="NumeroAFNegritaCaracter"/>
        </w:rPr>
        <w:t>6</w:t>
      </w:r>
      <w:r>
        <w:t>. La Secretaría de Justicia del Pleno de este tribunal, por diligencia de ordenación de 19 de noviembre de 2020, recibió el testimonio de las actuaciones solicitadas, tuvo por personado y parte en el procedimiento al abogado del Estado y dio vista de las actuaciones al Ministerio Fiscal y a las partes personadas por plazo común de veinte días para que presentasen alegaciones, de conformidad con el art. 52 LOTC.</w:t>
      </w:r>
    </w:p>
    <w:p w14:paraId="26BEA2BA" w14:textId="77777777" w:rsidR="008D479B" w:rsidRDefault="008D479B" w:rsidP="008D479B">
      <w:pPr>
        <w:pStyle w:val="TextoNormal"/>
      </w:pPr>
    </w:p>
    <w:p w14:paraId="08213D4D" w14:textId="7E39579C" w:rsidR="008D479B" w:rsidRDefault="008D479B" w:rsidP="008D479B">
      <w:pPr>
        <w:pStyle w:val="TextoNormal"/>
      </w:pPr>
      <w:r w:rsidRPr="008D479B">
        <w:rPr>
          <w:rStyle w:val="NumeroAFNegritaCaracter"/>
        </w:rPr>
        <w:t>7</w:t>
      </w:r>
      <w:r>
        <w:t>. Por escrito registrado el 22 de diciembre de 2020 la recurrente se ratificó en su demanda.</w:t>
      </w:r>
    </w:p>
    <w:p w14:paraId="35DFFDD1" w14:textId="77777777" w:rsidR="008D479B" w:rsidRDefault="008D479B" w:rsidP="008D479B">
      <w:pPr>
        <w:pStyle w:val="TextoNormal"/>
      </w:pPr>
    </w:p>
    <w:p w14:paraId="51AFEAE9" w14:textId="77777777" w:rsidR="008D479B" w:rsidRDefault="008D479B" w:rsidP="008D479B">
      <w:pPr>
        <w:pStyle w:val="TextoNormal"/>
      </w:pPr>
      <w:r w:rsidRPr="008D479B">
        <w:rPr>
          <w:rStyle w:val="NumeroAFNegritaCaracter"/>
        </w:rPr>
        <w:t>8</w:t>
      </w:r>
      <w:r>
        <w:t>. La fiscal ante el Tribunal Constitucional formuló sus alegaciones mediante escrito registrado el 21 de diciembre de 2020.</w:t>
      </w:r>
    </w:p>
    <w:p w14:paraId="2EFBCBFC" w14:textId="77777777" w:rsidR="008D479B" w:rsidRDefault="008D479B" w:rsidP="008D479B">
      <w:pPr>
        <w:pStyle w:val="TextoNormal"/>
      </w:pPr>
    </w:p>
    <w:p w14:paraId="6FDC6039" w14:textId="77777777" w:rsidR="008D479B" w:rsidRDefault="008D479B" w:rsidP="008D479B">
      <w:pPr>
        <w:pStyle w:val="TextoNormal"/>
      </w:pPr>
      <w:r>
        <w:t>Aclara de inicio que se trata de un recurso mixto en el que se atribuye a la resolución administrativa de la Delegación de Gobierno de Madrid la vulneración del derecho fundamental de reunión (art. 21 CE) y a la sentencia del Tribunal Superior de Justicia de Madrid no haberlo restablecido y vulnerar autónomamente el derecho a la tutela judicial efectiva en relación con el derecho de reunión, en tanto que decisión no debidamente motivada que omite dar respuesta a algunas de las alegaciones y motivos del recurso. Desde tal premisa y con el criterio de la mayor retroacción, fija como primera queja que debe abordarse la vulneración atribuida a la resolución administrativa, si bien precisa que la queja autónoma de vulneración del derecho a la tutela judicial efectiva imputada a la resolución judicial debe inadmitirse por falta de agotamiento, ya que no se formuló el debido incidente de nulidad de actuaciones.</w:t>
      </w:r>
    </w:p>
    <w:p w14:paraId="4A74C941" w14:textId="77777777" w:rsidR="008D479B" w:rsidRDefault="008D479B" w:rsidP="008D479B">
      <w:pPr>
        <w:pStyle w:val="TextoNormal"/>
      </w:pPr>
    </w:p>
    <w:p w14:paraId="7BBF652A" w14:textId="77777777" w:rsidR="008D479B" w:rsidRDefault="008D479B" w:rsidP="008D479B">
      <w:pPr>
        <w:pStyle w:val="TextoNormal"/>
      </w:pPr>
      <w:r>
        <w:t>Sentado lo anterior, desarrolla su exposición distinguiendo entre la vulneración del derecho fundamental de reunión del art. 21 CE por la resolución administrativa de la Delegación del Gobierno y la vulneración del derecho a la tutela judicial efectiva sin indefensión del art. 24.1 CE en relación con el derecho de reunión del art. 21 CE.</w:t>
      </w:r>
    </w:p>
    <w:p w14:paraId="20538A08" w14:textId="77777777" w:rsidR="008D479B" w:rsidRDefault="008D479B" w:rsidP="008D479B">
      <w:pPr>
        <w:pStyle w:val="TextoNormal"/>
      </w:pPr>
    </w:p>
    <w:p w14:paraId="3619D29C" w14:textId="77777777" w:rsidR="008D479B" w:rsidRDefault="008D479B" w:rsidP="008D479B">
      <w:pPr>
        <w:pStyle w:val="TextoNormal"/>
      </w:pPr>
      <w:r>
        <w:t xml:space="preserve">a) Rechaza en primer lugar las censuras dirigidas a la resolución administrativa en los motivos primero y tercero en tanto habría adoptado una prohibición “por la vía de hecho o </w:t>
      </w:r>
      <w:r w:rsidRPr="008D479B">
        <w:rPr>
          <w:i/>
        </w:rPr>
        <w:t>de facto</w:t>
      </w:r>
      <w:r>
        <w:t>”. Sostiene que, frente a lo que parece entender la entidad demandante, la limitación del derecho no se sustenta en la aplicación del real decreto de declaración del estado de alarma, sino en la doctrina constitucional sobre las posibles restricciones del art. 21 CE y en atención al dato objetivo y notorio de un contexto de grave crisis sanitaria. A partir de ahí, la resolución sustentaría la prohibición en que la manifestación puede afectar, con casi toda seguridad, no solo a los manifestantes, sino también a terceros con los que accidentalmente entren en contacto, pudiendo producirse contagios entre los participantes, que luego se extiendan a los círculos de amistad, profesionales y familiares, incrementando de esta manera la crisis sanitaria.</w:t>
      </w:r>
    </w:p>
    <w:p w14:paraId="0EE23687" w14:textId="77777777" w:rsidR="008D479B" w:rsidRDefault="008D479B" w:rsidP="008D479B">
      <w:pPr>
        <w:pStyle w:val="TextoNormal"/>
      </w:pPr>
    </w:p>
    <w:p w14:paraId="36AAC43A" w14:textId="77777777" w:rsidR="008D479B" w:rsidRDefault="008D479B" w:rsidP="008D479B">
      <w:pPr>
        <w:pStyle w:val="TextoNormal"/>
      </w:pPr>
      <w:r>
        <w:t>La fiscal niega que se incurriera en un juicio subjetivo sobre la crisis sanitaria, cuya objetividad venía corroborada por la tercera prórroga del estado de alarma, el hecho de que solo se realizaban las actividades más esenciales, manteniéndose aún importantes restricciones de la movilidad y la libertad de la circulación por las vías públicas para todos los ciudadanos, y la existencia en esas fechas de datos evidentes de las consecuencias de la pandemia (Sanidad confirmó el 27 de abril 331 fallecidos). Concluye, por ello, que “existían razones fundadas para apreciar, como hace la resolución, que la celebración de la manifestación era un riesgo evidente para la propagación de la pandemia, aunque se adoptaran medidas de seguridad (la recurrente ofrecía mantener el distanciamiento personal entre los participantes y llevar mascarillas), pudiendo agravarse la crisis sanitaria y poner en peligro bienes personales constitucionalmente relevantes, como la salud pública (art. 43 CE), la vida y la integridad de las personas (art. 15 CE)”.</w:t>
      </w:r>
    </w:p>
    <w:p w14:paraId="5E0A908A" w14:textId="77777777" w:rsidR="008D479B" w:rsidRDefault="008D479B" w:rsidP="008D479B">
      <w:pPr>
        <w:pStyle w:val="TextoNormal"/>
      </w:pPr>
    </w:p>
    <w:p w14:paraId="23AB0F01" w14:textId="77777777" w:rsidR="008D479B" w:rsidRDefault="008D479B" w:rsidP="008D479B">
      <w:pPr>
        <w:pStyle w:val="TextoNormal"/>
      </w:pPr>
      <w:r>
        <w:t>Recuerda que este Tribunal avaló esa justificación de la restricción en el ATC 40/2020, de 30 de abril, cuyos argumentos trae como fundamento para rechazar la inconstitucionalidad de la medida prohibitiva, dada la similitud de los casos tanto en las fechas y la situación en que se pretendía ejercer el derecho de manifestación como en las razones ofrecidas por la autoridad para restringirlo, que constituye una motivación más completa que la ofrecida entonces.</w:t>
      </w:r>
    </w:p>
    <w:p w14:paraId="581B6FFA" w14:textId="77777777" w:rsidR="008D479B" w:rsidRDefault="008D479B" w:rsidP="008D479B">
      <w:pPr>
        <w:pStyle w:val="TextoNormal"/>
      </w:pPr>
    </w:p>
    <w:p w14:paraId="28235883" w14:textId="77777777" w:rsidR="008D479B" w:rsidRDefault="008D479B" w:rsidP="008D479B">
      <w:pPr>
        <w:pStyle w:val="TextoNormal"/>
      </w:pPr>
      <w:r>
        <w:t>b) En segundo lugar, la fiscal rechaza las quejas que imputan a la sentencia de 30 de abril de 2020 una ausencia de motivación y una falta de respuesta a varios motivos como vulneraciones del derecho a la tutela judicial efectiva del art. 24.1 CE en relación con el derecho de manifestación del art. 21 CE.</w:t>
      </w:r>
    </w:p>
    <w:p w14:paraId="0769283D" w14:textId="77777777" w:rsidR="008D479B" w:rsidRDefault="008D479B" w:rsidP="008D479B">
      <w:pPr>
        <w:pStyle w:val="TextoNormal"/>
      </w:pPr>
    </w:p>
    <w:p w14:paraId="62C8E799" w14:textId="77777777" w:rsidR="008D479B" w:rsidRDefault="008D479B" w:rsidP="008D479B">
      <w:pPr>
        <w:pStyle w:val="TextoNormal"/>
      </w:pPr>
      <w:r>
        <w:t>En relación con la alegada falta de pronunciamiento sobre las posibles infracciones de constitucionalidad y de legalidad que se atribuyen al Real Decreto 463/2020 de declaración del estado de alarma y, correlativamente, a la resolución administrativa recurrida, opone la fiscal que la sentencia impugnada no omite pronunciarse, sino que efectúa una delimitación del objeto del procedimiento especial del art. 122 LJCA, entendiendo que deben quedar fuera del debate las cuestiones relativas a la falta de cobertura legal, jurídica o constitucional del real decreto. Todo ello, añade, sin perjuicio de que ni este suspende los derechos fundamentales ni la resolución administrativa sustenta la decisión en su aplicación.</w:t>
      </w:r>
    </w:p>
    <w:p w14:paraId="03F413A2" w14:textId="77777777" w:rsidR="008D479B" w:rsidRDefault="008D479B" w:rsidP="008D479B">
      <w:pPr>
        <w:pStyle w:val="TextoNormal"/>
      </w:pPr>
    </w:p>
    <w:p w14:paraId="6F38FE28" w14:textId="77777777" w:rsidR="008D479B" w:rsidRDefault="008D479B" w:rsidP="008D479B">
      <w:pPr>
        <w:pStyle w:val="TextoNormal"/>
      </w:pPr>
      <w:r>
        <w:t xml:space="preserve">Asimismo, descarta la fiscal que la sentencia haya efectuado una ponderación inadecuada de los derechos fundamentales que desconozca la debida interpretación restrictiva de los límites del derecho de reunión y, en tal medida, sea una resolución no fundada en Derecho. Tras repasar el contenido de la sentencia, defiende que no solo es una resolución debidamente motivada, sino que “realiza un amplio examen de la medida restrictiva de la prohibición de la manifestación acordada por la resolución administrativa impugnada, a la luz de la doctrina constitucional sobre el carácter restrictivo que debe tener toda limitación del derecho fundamental de reunión, ponderando los valores o derechos concurrentes con el ejercicio del derecho de reunión, teniendo en cuenta la circunstancia de la grave pandemia en la que se encuentra el país en el momento en que se trata de ejercitar el derecho de reunión y las concretas circunstancias o condiciones en que se proyecta la manifestación comunicada, así como la proporcionalidad de la restricción del derecho de reunión en relación con el beneficio general que comporta”. En apoyo de tal conclusión aduce la coincidencia de la argumentación judicial con lo expuesto en el ya citado ATC 40/2020 para fundar la inadmisión </w:t>
      </w:r>
      <w:r w:rsidRPr="008D479B">
        <w:rPr>
          <w:i/>
        </w:rPr>
        <w:t>a limine</w:t>
      </w:r>
      <w:r>
        <w:t xml:space="preserve"> de la existencia de una vulneración del derecho fundamental de reunión en un supuesto similar.</w:t>
      </w:r>
    </w:p>
    <w:p w14:paraId="28FAD539" w14:textId="77777777" w:rsidR="008D479B" w:rsidRDefault="008D479B" w:rsidP="008D479B">
      <w:pPr>
        <w:pStyle w:val="TextoNormal"/>
      </w:pPr>
    </w:p>
    <w:p w14:paraId="74E58464" w14:textId="627085E1" w:rsidR="008D479B" w:rsidRDefault="008D479B" w:rsidP="008D479B">
      <w:pPr>
        <w:pStyle w:val="TextoNormal"/>
      </w:pPr>
      <w:r>
        <w:t>Por lo expuesto, interesa que se desestime el recurso y se declare que las resoluciones administrativa y judicial no han vulnerado el derecho de reunión (art. 21 CE) así como la inadmisión de la pretensión que atribuye a la sentencia la vulneración autónoma del derecho a la tutela judicial efectiva (art. 24.1 CE).</w:t>
      </w:r>
    </w:p>
    <w:p w14:paraId="7F02B811" w14:textId="77777777" w:rsidR="008D479B" w:rsidRDefault="008D479B" w:rsidP="008D479B">
      <w:pPr>
        <w:pStyle w:val="TextoNormal"/>
      </w:pPr>
    </w:p>
    <w:p w14:paraId="43161CE1" w14:textId="485C3FC6" w:rsidR="008D479B" w:rsidRDefault="008D479B" w:rsidP="008D479B">
      <w:pPr>
        <w:pStyle w:val="TextoNormal"/>
      </w:pPr>
      <w:r w:rsidRPr="008D479B">
        <w:rPr>
          <w:rStyle w:val="NumeroAFNegritaCaracter"/>
        </w:rPr>
        <w:t>9</w:t>
      </w:r>
      <w:r>
        <w:t>. Por diligencia de la Secretaría de Justicia del Pleno de este tribunal, de 23 de diciembre de 2020, se daba cuenta de que, dentro del plazo conferido en la diligencia de ordenación de 19 de noviembre de 2020, habían formulado escrito de alegaciones el Ministerio Fiscal y la parte recurrente, quedando el recurso de amparo pendiente para deliberación, sin perjuicio de lo dispuesto en el art. 84 LOTC.</w:t>
      </w:r>
    </w:p>
    <w:p w14:paraId="34178D14" w14:textId="77777777" w:rsidR="008D479B" w:rsidRDefault="008D479B" w:rsidP="008D479B">
      <w:pPr>
        <w:pStyle w:val="TextoNormal"/>
      </w:pPr>
    </w:p>
    <w:p w14:paraId="43A5A9C0" w14:textId="505902F5" w:rsidR="008D479B" w:rsidRDefault="008D479B" w:rsidP="008D479B">
      <w:pPr>
        <w:pStyle w:val="TextoNormal"/>
      </w:pPr>
      <w:r w:rsidRPr="008D479B">
        <w:rPr>
          <w:rStyle w:val="NumeroAFNegritaCaracter"/>
        </w:rPr>
        <w:t>10</w:t>
      </w:r>
      <w:r>
        <w:t>. El abogado del Estado presentó sus alegaciones conforme le ofrecía la diligencia de ordenación de 19 de noviembre de 2020, notificada al día siguiente, por escrito registrado en este tribunal el 8 de enero de 2021. Solicita en él la inadmisión del recurso en lo atinente a la vulneración del art. 24 CE atribuida a la sentencia, por falta de agotamiento de la vía judicial previa, y la desestimación total por inexistencia de vulneración del art. 21 CE, dada la similitud sustancial con el recurso inadmitido por el ATC 40/2020, de 30 de abril, en cuanto a los motivos en que se sustenta la petición de amparo, por lo que trae lo razonado en el auto para descartar la lesión del derecho de reunión.</w:t>
      </w:r>
    </w:p>
    <w:p w14:paraId="21C2D3F4" w14:textId="77777777" w:rsidR="008D479B" w:rsidRDefault="008D479B" w:rsidP="008D479B">
      <w:pPr>
        <w:pStyle w:val="TextoNormal"/>
      </w:pPr>
    </w:p>
    <w:p w14:paraId="13A225FC" w14:textId="4E98022C" w:rsidR="008D479B" w:rsidRDefault="008D479B" w:rsidP="008D479B">
      <w:pPr>
        <w:pStyle w:val="TextoNormal"/>
      </w:pPr>
      <w:r w:rsidRPr="008D479B">
        <w:rPr>
          <w:rStyle w:val="NumeroAFNegritaCaracter"/>
        </w:rPr>
        <w:t>11</w:t>
      </w:r>
      <w:r>
        <w:t>. Por providencia de 4 de julio de 2023 se señaló para deliberación y votación de la presente sentencia el día 5 del mismo mes y año.</w:t>
      </w:r>
    </w:p>
    <w:p w14:paraId="41DE836D" w14:textId="77777777" w:rsidR="008D479B" w:rsidRDefault="008D479B" w:rsidP="008D479B">
      <w:pPr>
        <w:pStyle w:val="TextoNormal"/>
      </w:pPr>
    </w:p>
    <w:p w14:paraId="639586BC" w14:textId="77777777" w:rsidR="008D479B" w:rsidRDefault="008D479B" w:rsidP="008D479B">
      <w:pPr>
        <w:pStyle w:val="TextoNormalNegritaCentrado"/>
        <w:keepNext/>
      </w:pPr>
      <w:r>
        <w:t>II. Fundamentos jurídicos</w:t>
      </w:r>
    </w:p>
    <w:p w14:paraId="05B8C161" w14:textId="1BDF60E9" w:rsidR="008D479B" w:rsidRDefault="008D479B" w:rsidP="008D479B">
      <w:pPr>
        <w:pStyle w:val="TextoNormalNegritaCentrado"/>
        <w:keepNext/>
      </w:pPr>
    </w:p>
    <w:p w14:paraId="60589AC6" w14:textId="77777777" w:rsidR="008D479B" w:rsidRDefault="008D479B" w:rsidP="008D479B">
      <w:pPr>
        <w:pStyle w:val="TextoNormal"/>
      </w:pPr>
      <w:r w:rsidRPr="008D479B">
        <w:rPr>
          <w:rStyle w:val="NumeroAFNegritaCaracter"/>
        </w:rPr>
        <w:t>1</w:t>
      </w:r>
      <w:r>
        <w:t xml:space="preserve">. </w:t>
      </w:r>
      <w:r w:rsidRPr="008D479B">
        <w:rPr>
          <w:i/>
        </w:rPr>
        <w:t>Objeto del proceso y pretensiones de las partes</w:t>
      </w:r>
    </w:p>
    <w:p w14:paraId="4399D8D1" w14:textId="77777777" w:rsidR="008D479B" w:rsidRDefault="008D479B" w:rsidP="008D479B">
      <w:pPr>
        <w:pStyle w:val="TextoNormal"/>
      </w:pPr>
    </w:p>
    <w:p w14:paraId="13F2F663" w14:textId="77777777" w:rsidR="008D479B" w:rsidRDefault="008D479B" w:rsidP="008D479B">
      <w:pPr>
        <w:pStyle w:val="TextoNormal"/>
      </w:pPr>
      <w:r>
        <w:t>El objeto del presente proceso constitucional radica en dilucidar si, como sostiene la recurrente, la prohibición de celebrar la reunión y manifestación que había convocado, acordada por resolución de la Delegación del Gobierno en Madrid de 27 de abril de 2020 y confirmada por la sentencia núm. 195/2020, de 30 de abril, dictada por la Sección Décima de la Sala de lo Contencioso-Administrativo del Tribunal Superior de Justicia de Madrid, ha vulnerado su derecho de reunión (art. 21 CE). A esta queja se une la denuncia de vulneración por parte de la referida sentencia del derecho a la tutela judicial efectiva, por falta de una respuesta efectiva a varios motivos del recurso contencioso-administrativo formulados (art. 24.1 CE).</w:t>
      </w:r>
    </w:p>
    <w:p w14:paraId="1CBED845" w14:textId="77777777" w:rsidR="008D479B" w:rsidRDefault="008D479B" w:rsidP="008D479B">
      <w:pPr>
        <w:pStyle w:val="TextoNormal"/>
      </w:pPr>
    </w:p>
    <w:p w14:paraId="07BE2AFA" w14:textId="77777777" w:rsidR="008D479B" w:rsidRDefault="008D479B" w:rsidP="008D479B">
      <w:pPr>
        <w:pStyle w:val="TextoNormal"/>
      </w:pPr>
      <w:r>
        <w:t>El Ministerio Fiscal interesa que se declare que las resoluciones impugnadas no han vulnerado el derecho de reunión y que se inadmita la pretensión que atribuye a la sentencia una vulneración autónoma del derecho a la tutela judicial efectiva, todo ello con base en los argumentos expuestos en los antecedentes. El abogado del Estado presentó sus alegaciones fuera del plazo de veinte días conferido por la diligencia de ordenación de 19 de noviembre de 2020 de conformidad con el art. 52 LOTC, notificada al día siguiente, por lo que procede no tenerlas por formuladas.</w:t>
      </w:r>
    </w:p>
    <w:p w14:paraId="3B352FEF" w14:textId="77777777" w:rsidR="008D479B" w:rsidRDefault="008D479B" w:rsidP="008D479B">
      <w:pPr>
        <w:pStyle w:val="TextoNormal"/>
      </w:pPr>
    </w:p>
    <w:p w14:paraId="025E935A" w14:textId="77777777" w:rsidR="008D479B" w:rsidRDefault="008D479B" w:rsidP="008D479B">
      <w:pPr>
        <w:pStyle w:val="TextoNormal"/>
      </w:pPr>
      <w:r>
        <w:t>La atribución de una lesión autónoma a la sentencia del Tribunal Superior de Justicia de Madrid, junto a la no reparación de la vulneración del derecho de reunión y manifestación originalmente causada por la resolución del delegado del Gobierno en Madrid, determina que nos encontremos ante lo que usualmente denominamos un recurso de amparo mixto. De acuerdo con el criterio sostenido por este tribunal en numerosas resoluciones sobre el orden de examen de los motivos, el análisis habrá de abordar en primer lugar la vulneración del derecho de reunión que se dice cometida por la administración, en aras de evitar una demora en la protección del derecho sustantivo realmente en juego (STC 194/2013, de 2 de diciembre, FJ 2, y las sentencias allí citadas).</w:t>
      </w:r>
    </w:p>
    <w:p w14:paraId="30405E86" w14:textId="77777777" w:rsidR="008D479B" w:rsidRDefault="008D479B" w:rsidP="008D479B">
      <w:pPr>
        <w:pStyle w:val="TextoNormal"/>
      </w:pPr>
    </w:p>
    <w:p w14:paraId="63C525B2" w14:textId="77777777" w:rsidR="008D479B" w:rsidRDefault="008D479B" w:rsidP="008D479B">
      <w:pPr>
        <w:pStyle w:val="TextoNormal"/>
      </w:pPr>
      <w:r>
        <w:t>Debemos, no obstante, hacer algunas precisiones iniciales sobre el objeto y el contenido impugnatorio del recurso.</w:t>
      </w:r>
    </w:p>
    <w:p w14:paraId="5414AAA7" w14:textId="77777777" w:rsidR="008D479B" w:rsidRDefault="008D479B" w:rsidP="008D479B">
      <w:pPr>
        <w:pStyle w:val="TextoNormal"/>
      </w:pPr>
    </w:p>
    <w:p w14:paraId="7F9D4D8E" w14:textId="77777777" w:rsidR="008D479B" w:rsidRDefault="008D479B" w:rsidP="008D479B">
      <w:pPr>
        <w:pStyle w:val="TextoNormal"/>
      </w:pPr>
      <w:r>
        <w:t>a) Como reflejan los antecedentes de hecho, el recurso enuncia seis motivos de amparo, pero, salvo el primero, en el que se reprocha a la resolución judicial la lesión del derecho a la tutela judicial efectiva, todos convergen en denunciar la vulneración del derecho de reunión y manifestación. Se esgrimen para ello diversos argumentos, alusivos a la falta de cobertura legal y constitucional de la prohibición de la concentración y manifestación y a su carácter desproporcionado, que se repiten a lo largo del desarrollo de los motivos segundo a sexto y se dirigen tanto contra la resolución administrativa como contra la sentencia que la confirma. A la luz de lo anterior, se entiende que estos cinco motivos constituyen bloques de alegaciones en apoyo de la misma queja por infracción del art. 21 CE.</w:t>
      </w:r>
    </w:p>
    <w:p w14:paraId="566C0125" w14:textId="77777777" w:rsidR="008D479B" w:rsidRDefault="008D479B" w:rsidP="008D479B">
      <w:pPr>
        <w:pStyle w:val="TextoNormal"/>
      </w:pPr>
    </w:p>
    <w:p w14:paraId="521E369A" w14:textId="77777777" w:rsidR="008D479B" w:rsidRDefault="008D479B" w:rsidP="008D479B">
      <w:pPr>
        <w:pStyle w:val="TextoNormal"/>
      </w:pPr>
      <w:r>
        <w:t>b) La vulneración del art. 24.1 CE, que la demandante imputa en el motivo primero de la demanda a la sentencia del Tribunal Superior de Justicia de Madrid, por no haber dado efectiva respuesta judicial a la infracción alegada en el recurso contencioso de los arts. 55.1 CE y 11 de la Ley Orgánica 4/1981, adolece de la debida falta de agotamiento de la vía judicial previa. Al tratarse de una violación estrictamente imputable a una resolución judicial no susceptible de recurso y, por tanto, firme, la demandante debió dar oportunidad al órgano judicial de pronunciarse al respecto planteando un incidente de nulidad de actuaciones [art. 241 de la Ley Orgánica del Poder Judicial (LOPJ)], que constituye la última vía que permite la reparación de la vulneración denunciada, para preservar el carácter subsidiario de la tutela de amparo, como indica consolidada doctrina de este tribunal [STC 147/2022, de 29 de noviembre, FJ 2 b), con ulteriores referencias]. De acuerdo con lo dispuesto en el art. 50.1 a) LOTC en relación con el art. 44.1 a) LOTC, este primer motivo de la demanda no puede ser admitido, sin que ello impida entrar al análisis de la denuncia de infracción del derecho sustantivo (por todas, STC 101/2018, de 1 de octubre, FJ 2).</w:t>
      </w:r>
    </w:p>
    <w:p w14:paraId="5CD17D24" w14:textId="77777777" w:rsidR="008D479B" w:rsidRDefault="008D479B" w:rsidP="008D479B">
      <w:pPr>
        <w:pStyle w:val="TextoNormal"/>
      </w:pPr>
    </w:p>
    <w:p w14:paraId="1B239369" w14:textId="77777777" w:rsidR="008D479B" w:rsidRDefault="008D479B" w:rsidP="008D479B">
      <w:pPr>
        <w:pStyle w:val="TextoNormal"/>
      </w:pPr>
      <w:r>
        <w:t>c) El análisis de las alegaciones relativas al sostén constitucional de la prohibición de la concentración y manifestación debe efectuarse siempre desde la perspectiva de la afectación al derecho de reunión y manifestación, aun cuando en ocasiones la demanda parezca dirigirlas formalmente solo contra lo resuelto por el Tribunal Superior de Justicia de Madrid. No cabe separar dos tipos de queja: la vulneración del art. 21 CE causada por la resolución administrativa prohibitiva y la vulneración del derecho a la tutela judicial efectiva imputable a la sentencia, por no estar correctamente fundada en Derecho al descartar la lesión del derecho de reunión. Las censuras dirigidas a los argumentos del órgano judicial que fundan la desestimación del recurso se dirigen a la sentencia en tanto no ha reparado la vulneración del derecho fundamental que habría ocasionado la resolución administrativa; y es en tal medida que la resolución judicial habría lesionado también el derecho sustantivo. En los términos de la STC 193/2011, de 12 de diciembre, FJ 2, “la violación del derecho fundamental de reunión del art. 21 CE que se denuncia tiene su origen directo e inmediato en un acto de la administración y solo mediata e indirectamente en la sentencia que desestimó el previo recurso contencioso-administrativo, toda vez que la resolución judicial se limitó a confirmar la legalidad del acuerdo impugnado”.</w:t>
      </w:r>
    </w:p>
    <w:p w14:paraId="6BA20C5B" w14:textId="77777777" w:rsidR="008D479B" w:rsidRDefault="008D479B" w:rsidP="008D479B">
      <w:pPr>
        <w:pStyle w:val="TextoNormal"/>
      </w:pPr>
    </w:p>
    <w:p w14:paraId="7F1361CE" w14:textId="77777777" w:rsidR="008D479B" w:rsidRDefault="008D479B" w:rsidP="008D479B">
      <w:pPr>
        <w:pStyle w:val="TextoNormal"/>
      </w:pPr>
      <w:r>
        <w:t>d) Circunscrito el objeto del recurso de amparo a la posible vulneración del derecho de reunión y manifestación (art. 21 CE) originada por la resolución administrativa y no reparada por el órgano judicial, es preciso sistematizar los argumentos que al respecto se desarrollan en los distintos motivos de la demanda. De esta manera trataremos de ofrecer una visión completa de las alegaciones del recurrente que facilite el análisis y la comprensión. El repaso de las alegaciones de la demanda pone de relieve dos bloques argumentativos:</w:t>
      </w:r>
    </w:p>
    <w:p w14:paraId="71F211AF" w14:textId="77777777" w:rsidR="008D479B" w:rsidRDefault="008D479B" w:rsidP="008D479B">
      <w:pPr>
        <w:pStyle w:val="TextoNormal"/>
      </w:pPr>
    </w:p>
    <w:p w14:paraId="70B54738" w14:textId="77777777" w:rsidR="008D479B" w:rsidRDefault="008D479B" w:rsidP="008D479B">
      <w:pPr>
        <w:pStyle w:val="TextoNormal"/>
      </w:pPr>
      <w:r>
        <w:t xml:space="preserve">(i) En los motivos segundo y tercero se aduce que se restringe el derecho de reunión sin base legal o constitucional, ya que la resolución administrativa implica </w:t>
      </w:r>
      <w:r w:rsidRPr="008D479B">
        <w:rPr>
          <w:i/>
        </w:rPr>
        <w:t>de facto</w:t>
      </w:r>
      <w:r>
        <w:t xml:space="preserve"> una prohibición generalizada del ejercicio de ese derecho con base en la situación de pandemia, sin que se haya declarado el estado de excepción, como exigiría el art. 55.1 CE. Advierte la demandante que la declaración del estado de alarma por el Real Decreto 463/2020, y la limitación del derecho de movilidad y libre circulación que prevé en su art. 7, no pueden servir para dar cobertura a la prohibición, que juzga general. Opone que, conforme al art. 11.a) de la Ley Orgánica 4/1981, se trata de una limitación temporal en horas y lugares determinados o de su condicionamiento a ciertos requisitos, pero no permite una prohibición </w:t>
      </w:r>
      <w:r w:rsidRPr="008D479B">
        <w:rPr>
          <w:i/>
        </w:rPr>
        <w:t>sine die</w:t>
      </w:r>
      <w:r>
        <w:t xml:space="preserve"> del ejercicio de derechos fundamentales contraria al art. 55.1 CE y, de cualquier manera, no adoptada por el citado real decreto.</w:t>
      </w:r>
    </w:p>
    <w:p w14:paraId="66F593DA" w14:textId="77777777" w:rsidR="008D479B" w:rsidRDefault="008D479B" w:rsidP="008D479B">
      <w:pPr>
        <w:pStyle w:val="TextoNormal"/>
      </w:pPr>
    </w:p>
    <w:p w14:paraId="1DF41C93" w14:textId="77777777" w:rsidR="008D479B" w:rsidRDefault="008D479B" w:rsidP="008D479B">
      <w:pPr>
        <w:pStyle w:val="TextoNormal"/>
      </w:pPr>
      <w:r>
        <w:t>(ii) En los motivos cuarto, quinto y sexto de la demanda, se discrepa del juicio de proporcionalidad efectuado por las resoluciones impugnadas, esencialmente por entender que la restricción del derecho de reunión y manifestación carece de un fundamento cierto de suficiente peso. Desde la consideración de que las limitaciones vinculadas a la declaración del estado de alarma no alcanzan al ejercicio del derecho de reunión, se rechaza que sirva para fundar la prohibición de la manifestación apelar a la crisis sanitaria y a la evitación de la difusión de la pandemia. A juicio de la demandante, las razones de salud pública invocadas desconocen que la concentración se iba a desarrollar al aire libre y que ofreció medidas preventivas que superan las indicadas por la autoridad sanitaria, además de no tener en cuenta la situación de desescalada y el descenso de los niveles de mortalidad al tiempo de la convocatoria.</w:t>
      </w:r>
    </w:p>
    <w:p w14:paraId="44784F5A" w14:textId="77777777" w:rsidR="008D479B" w:rsidRDefault="008D479B" w:rsidP="008D479B">
      <w:pPr>
        <w:pStyle w:val="TextoNormal"/>
      </w:pPr>
    </w:p>
    <w:p w14:paraId="48BF7E71" w14:textId="6C6F9347" w:rsidR="008D479B" w:rsidRDefault="008D479B" w:rsidP="008D479B">
      <w:pPr>
        <w:pStyle w:val="TextoNormal"/>
      </w:pPr>
      <w:r>
        <w:t>Considera que la salud pública no implica necesariamente una conexión entre el derecho de reunión y el derecho a la integridad física, por lo que rechaza que pueda invocarse este derecho fundamental para justificar la intensa limitación de un derecho tan importante como el derecho de reunión. Frente a la exigencia de la doctrina constitucional de certeza sobre los riesgos que pueden justificar una restricción del derecho de reunión, la recurrente considera que las resoluciones impugnadas carecen de base objetiva. En particular, la sentencia recurrida operaría con un criterio subjetivo restrictivo que, sin prueba alguna, aprecia que la crisis sanitaria supone un riesgo extraordinario para el derecho a la vida, cuando la mortalidad del coronavirus no está asociada al desplazamiento de las personas con protección adecuada.</w:t>
      </w:r>
    </w:p>
    <w:p w14:paraId="252829DE" w14:textId="77777777" w:rsidR="008D479B" w:rsidRDefault="008D479B" w:rsidP="008D479B">
      <w:pPr>
        <w:pStyle w:val="TextoNormal"/>
      </w:pPr>
    </w:p>
    <w:p w14:paraId="4A8F4A13" w14:textId="77777777" w:rsidR="008D479B" w:rsidRDefault="008D479B" w:rsidP="008D479B">
      <w:pPr>
        <w:pStyle w:val="TextoNormal"/>
      </w:pPr>
      <w:r w:rsidRPr="008D479B">
        <w:rPr>
          <w:rStyle w:val="NumeroAFNegritaCaracter"/>
        </w:rPr>
        <w:t>2</w:t>
      </w:r>
      <w:r>
        <w:t xml:space="preserve">. </w:t>
      </w:r>
      <w:r w:rsidRPr="008D479B">
        <w:rPr>
          <w:i/>
        </w:rPr>
        <w:t>Real Decreto 463/2020 y limitación del derecho de reunión</w:t>
      </w:r>
    </w:p>
    <w:p w14:paraId="4D83392C" w14:textId="77777777" w:rsidR="008D479B" w:rsidRDefault="008D479B" w:rsidP="008D479B">
      <w:pPr>
        <w:pStyle w:val="TextoNormal"/>
      </w:pPr>
    </w:p>
    <w:p w14:paraId="40F2F9CF" w14:textId="77777777" w:rsidR="008D479B" w:rsidRDefault="008D479B" w:rsidP="008D479B">
      <w:pPr>
        <w:pStyle w:val="TextoNormal"/>
      </w:pPr>
      <w:r>
        <w:t>En correspondencia con el primero de los bloques de alegaciones aludidos, debemos examinar el argumento de que la prohibición de la manifestación con base en la situación sanitaria carece de sustento legal y constitucional, ya que el Real Decreto 463/2020 por el que se declaraba el estado de alarma para la gestión de la situación de crisis sanitaria ocasionada por la covid-19 no la amparaba, ni podía hacerlo conforme al art. 55.1 CE y la Ley Orgánica 4/1981. Habría sido necesario declarar un estado de excepción o sitio para avalar la suspensión del derecho de reunión, sin que pueda constituir causa de la prohibición la general limitación de la movilidad y libre circulación prevista en el real decreto citado. Esta objeción debe rechazarse.</w:t>
      </w:r>
    </w:p>
    <w:p w14:paraId="23EF5E1A" w14:textId="77777777" w:rsidR="008D479B" w:rsidRDefault="008D479B" w:rsidP="008D479B">
      <w:pPr>
        <w:pStyle w:val="TextoNormal"/>
      </w:pPr>
    </w:p>
    <w:p w14:paraId="437154B3" w14:textId="77777777" w:rsidR="008D479B" w:rsidRDefault="008D479B" w:rsidP="008D479B">
      <w:pPr>
        <w:pStyle w:val="TextoNormal"/>
      </w:pPr>
      <w:r>
        <w:t>No cabe establecer una conexión normativa entre la prohibición de la manifestación y la regulación de la libertad deambulatoria que contenía el art. 7 del Real Decreto 463/2020. Hemos subrayado recientemente que “[r]estringir la libertad de circulación no supone, necesariamente, la restricción de acceso a espacios públicos en los que ejercer el derecho de manifestación, y en este punto debe recordarse que el citado real decreto no suspendía el derecho fundamental de reunión y manifestación reconocido en el art. 21 CE” (STC 61/2023, de 24 de mayo, FJ 2).</w:t>
      </w:r>
    </w:p>
    <w:p w14:paraId="2760A359" w14:textId="77777777" w:rsidR="008D479B" w:rsidRDefault="008D479B" w:rsidP="008D479B">
      <w:pPr>
        <w:pStyle w:val="TextoNormal"/>
      </w:pPr>
    </w:p>
    <w:p w14:paraId="76AB358B" w14:textId="77777777" w:rsidR="008D479B" w:rsidRDefault="008D479B" w:rsidP="008D479B">
      <w:pPr>
        <w:pStyle w:val="TextoNormal"/>
      </w:pPr>
      <w:r>
        <w:t>Ahora bien, como ocurría en el ATC 40/2020, de 30 de abril, o en la citada STC 61/2023, la prohibición gubernativa no descansaba en el régimen especial introducido por el art. 7 del Real Decreto 463/2020 —vigente al tiempo de la convocatoria— o en cualquiera otra de sus previsiones, sino en la aplicación del régimen ordinario de límites al derecho de reunión que, según una doctrina constitucional reiterada, derivan de la tutela de otros bienes y derechos que también tienen relevancia constitucional. Así lo señalan expresamente tanto la resolución de la Delegación del Gobierno en Madrid (fundamento de Derecho quinto) como la sentencia del Tribunal Superior de Justicia de Madrid (fundamento de Derecho tercero). Al igual que en los dos asuntos citados, la prohibición gubernativa y la sentencia que la confirmó no aluden al Real Decreto 463/2020 como fundamento normativo de su decisión limitativa, sino como elemento de contexto que acredita la realidad de una grave crisis sanitaria que debe tenerse presente en la necesaria ponderación para precisar los límites que, en cada caso, se proyectan sobre el derecho de reunión, sin que pueda entenderse, como parece hacer la demandante, que la declaración del estado de alarma obste a la aplicación del régimen ordinario del art. 21 CE.</w:t>
      </w:r>
    </w:p>
    <w:p w14:paraId="1826F4FC" w14:textId="77777777" w:rsidR="008D479B" w:rsidRDefault="008D479B" w:rsidP="008D479B">
      <w:pPr>
        <w:pStyle w:val="TextoNormal"/>
      </w:pPr>
    </w:p>
    <w:p w14:paraId="3BA35548" w14:textId="37E93D12" w:rsidR="008D479B" w:rsidRDefault="008D479B" w:rsidP="008D479B">
      <w:pPr>
        <w:pStyle w:val="TextoNormal"/>
      </w:pPr>
      <w:r>
        <w:t xml:space="preserve">Debe descartarse por ello que la prohibición impugnada resulte contraria al art. 21 CE por ausencia de base legal en el Real Decreto 463/2020. En realidad, las referencias de la demanda a que se trata de una restricción </w:t>
      </w:r>
      <w:r w:rsidRPr="008D479B">
        <w:rPr>
          <w:i/>
        </w:rPr>
        <w:t>de facto</w:t>
      </w:r>
      <w:r>
        <w:t xml:space="preserve"> abundan en la consideración de que la medida limitativa carece de fundamento y resulta desproporcionada, por lo que procede entrar al análisis de las razones que efectivamente fundaron la restricción.</w:t>
      </w:r>
    </w:p>
    <w:p w14:paraId="55A84A77" w14:textId="77777777" w:rsidR="008D479B" w:rsidRDefault="008D479B" w:rsidP="008D479B">
      <w:pPr>
        <w:pStyle w:val="TextoNormal"/>
      </w:pPr>
    </w:p>
    <w:p w14:paraId="394F057D" w14:textId="77777777" w:rsidR="008D479B" w:rsidRDefault="008D479B" w:rsidP="008D479B">
      <w:pPr>
        <w:pStyle w:val="TextoNormal"/>
      </w:pPr>
      <w:r w:rsidRPr="008D479B">
        <w:rPr>
          <w:rStyle w:val="NumeroAFNegritaCaracter"/>
        </w:rPr>
        <w:t>3</w:t>
      </w:r>
      <w:r>
        <w:t xml:space="preserve">. </w:t>
      </w:r>
      <w:r w:rsidRPr="008D479B">
        <w:rPr>
          <w:i/>
        </w:rPr>
        <w:t>La doctrina constitucional sobre el derecho de reunión y manifestación</w:t>
      </w:r>
    </w:p>
    <w:p w14:paraId="342A90CA" w14:textId="77777777" w:rsidR="008D479B" w:rsidRDefault="008D479B" w:rsidP="008D479B">
      <w:pPr>
        <w:pStyle w:val="TextoNormal"/>
      </w:pPr>
    </w:p>
    <w:p w14:paraId="329758F8" w14:textId="77777777" w:rsidR="008D479B" w:rsidRDefault="008D479B" w:rsidP="008D479B">
      <w:pPr>
        <w:pStyle w:val="TextoNormal"/>
      </w:pPr>
      <w:r>
        <w:t>A juicio de la recurrente, la prohibición de la manifestación se asienta en la sospecha o probabilidad de causar un daño a un derecho no fundamental, el del art. 43 CE, sin que la manifestación pretendida, en las condiciones con que fue convocada y en atención a la evolución de la situación sanitaria, pusiera en peligro el derecho a la salud pública recogido en ese precepto y, menos aún, el derecho a la integridad física o a la vida de otras personas. En la medida en que la limitación del derecho se basa en tales razones, considera que es una medida carente de fundamento y desproporcionada.</w:t>
      </w:r>
    </w:p>
    <w:p w14:paraId="0241380A" w14:textId="77777777" w:rsidR="008D479B" w:rsidRDefault="008D479B" w:rsidP="008D479B">
      <w:pPr>
        <w:pStyle w:val="TextoNormal"/>
      </w:pPr>
    </w:p>
    <w:p w14:paraId="7DAF4B71" w14:textId="77777777" w:rsidR="008D479B" w:rsidRDefault="008D479B" w:rsidP="008D479B">
      <w:pPr>
        <w:pStyle w:val="TextoNormal"/>
      </w:pPr>
      <w:r>
        <w:t>Para resolver la queja debemos tener presente la doctrina constitucional sobre el contenido y los límites del derecho de reunión y manifestación recogidos en el art. 21 CE, de la que hemos hecho un amplio recordatorio en la STC 61/2023, FJ 3, cuyas consideraciones sobre las finalidades que pueden justificar la restricción del ejercicio del derecho y las exigencias de motivación que ha de reunir la decisión limitativa resulta pertinente reproducir.</w:t>
      </w:r>
    </w:p>
    <w:p w14:paraId="72747C53" w14:textId="77777777" w:rsidR="008D479B" w:rsidRDefault="008D479B" w:rsidP="008D479B">
      <w:pPr>
        <w:pStyle w:val="TextoNormal"/>
      </w:pPr>
    </w:p>
    <w:p w14:paraId="10C21184" w14:textId="77777777" w:rsidR="008D479B" w:rsidRDefault="008D479B" w:rsidP="008D479B">
      <w:pPr>
        <w:pStyle w:val="TextoNormal"/>
      </w:pPr>
      <w:r>
        <w:t>“A) El art. 21.2 CE establece que la autoridad ‘solo podrá [prohibir las reuniones en lugares de tránsito público] cuando existan razones fundadas de alteración del orden público, con peligro para personas o bienes’. Además de los límites explícitos establecidos en la norma constituyente, hemos establecido una doctrina reiterada en el sentido de que el ejercicio de los derechos fundamentales ‘no solo puede ceder ante los límites que la propia Constitución expresamente imponga, sino también ante los que de manera mediata o indirecta se infieran de la misma, al resultar justificados por la necesidad de preservar otros derechos o bienes constitucionales’ (STC 14/2003, de 28 de enero, FJ 9 y las que allí se citan).</w:t>
      </w:r>
    </w:p>
    <w:p w14:paraId="68545BE5" w14:textId="77777777" w:rsidR="008D479B" w:rsidRDefault="008D479B" w:rsidP="008D479B">
      <w:pPr>
        <w:pStyle w:val="TextoNormal"/>
      </w:pPr>
    </w:p>
    <w:p w14:paraId="71E6E2F9" w14:textId="77777777" w:rsidR="008D479B" w:rsidRDefault="008D479B" w:rsidP="008D479B">
      <w:pPr>
        <w:pStyle w:val="TextoNormal"/>
      </w:pPr>
      <w:r>
        <w:t xml:space="preserve">Esta doctrina constitucional ha tenido reflejo inmediato en materia del derecho de reunión, entre otras, en la STC 195/2003, de 27 de octubre, que la vincula expresamente con el art. 10.1 CE y con la literalidad del art. 11.2 CEDH en tanto que admite la posibilidad de adoptar las medidas restrictivas que ‘sean necesarias, en una sociedad democrática, para la seguridad nacional, la seguridad pública, la defensa del orden y la prevención del delito, la protección de la salud o de la moral, o la protección de los derechos y libertades ajenos’. En interpretación y aplicación de esta norma del Convenio, el Tribunal Europeo de Derechos Humanos consideró proporcionada la orden gubernativa de evacuación de una iglesia ante una reunión pacífica y en sí misma no directamente perturbadora del orden público y del derecho de culto, en la que, sin embargo, el estado de salud de los congregados se había degradado y las circunstancias sanitarias eran muy deficientes (STEDH caso </w:t>
      </w:r>
      <w:r w:rsidRPr="008D479B">
        <w:rPr>
          <w:i/>
        </w:rPr>
        <w:t>Cisse</w:t>
      </w:r>
      <w:r>
        <w:t>, de 9 de abril de 2002, § 51).</w:t>
      </w:r>
    </w:p>
    <w:p w14:paraId="71A5F2CC" w14:textId="77777777" w:rsidR="008D479B" w:rsidRDefault="008D479B" w:rsidP="008D479B">
      <w:pPr>
        <w:pStyle w:val="TextoNormal"/>
      </w:pPr>
    </w:p>
    <w:p w14:paraId="3E163E77" w14:textId="77777777" w:rsidR="008D479B" w:rsidRDefault="008D479B" w:rsidP="008D479B">
      <w:pPr>
        <w:pStyle w:val="TextoNormal"/>
      </w:pPr>
      <w:r>
        <w:t>En atención a estas consideraciones y siguiendo el criterio del ATC 40/2020, de 30 de abril, cabe concluir que los bienes jurídicos implicados en una crisis sanitaria, como es el caso de la protección de la salud pública y del derecho a la vida, constituyen bienes de relevancia constitucional que pueden, llegado el caso, justificar que la autoridad gubernativa disponga la limitación del ejercicio del derecho de reunión en un determinado supuesto.</w:t>
      </w:r>
    </w:p>
    <w:p w14:paraId="71D5F4EA" w14:textId="77777777" w:rsidR="008D479B" w:rsidRDefault="008D479B" w:rsidP="008D479B">
      <w:pPr>
        <w:pStyle w:val="TextoNormal"/>
      </w:pPr>
    </w:p>
    <w:p w14:paraId="18E87A7D" w14:textId="77777777" w:rsidR="008D479B" w:rsidRDefault="008D479B" w:rsidP="008D479B">
      <w:pPr>
        <w:pStyle w:val="TextoNormal"/>
      </w:pPr>
      <w:r>
        <w:t>B) Para que la restricción del derecho de reunión sea constitucionalmente legítima, este Tribunal ha exigido que exista proporcionalidad en la limitación del derecho. Adicionalmente hemos exigido que la autoridad gubernativa exteriorice razones fundadas que hicieran imprescindible la prohibición de la reunión o la modificación de sus circunstancias en el caso concreto. Esta exigencia se concreta en la necesaria motivación reforzada y específica de la resolución, dirigida a explicar ‘las razones que han llevado a la autoridad gubernativa a concluir que el ejercicio del derecho fundamental de reunión, tal y como se hubo proyectado por su promotor o sus promotores, producirá una alteración del orden público proscrita en el art. 21.2 CE, o bien la desproporcionada perturbación de otros bienes o derechos protegidos por nuestra Constitución’ (STC 193/2011, de 12 de diciembre, FJ 3). El Tribunal ha tenido ocasión de precisar esta exigencia de motivación de la siguiente manera.</w:t>
      </w:r>
    </w:p>
    <w:p w14:paraId="55FD9C58" w14:textId="77777777" w:rsidR="008D479B" w:rsidRDefault="008D479B" w:rsidP="008D479B">
      <w:pPr>
        <w:pStyle w:val="TextoNormal"/>
      </w:pPr>
    </w:p>
    <w:p w14:paraId="10C326F3" w14:textId="77777777" w:rsidR="008D479B" w:rsidRDefault="008D479B" w:rsidP="008D479B">
      <w:pPr>
        <w:pStyle w:val="TextoNormal"/>
      </w:pPr>
      <w:r>
        <w:t>a) De un lado, se ha referido expresamente al ‘requerimiento de reforzada motivación que este tribunal impone a toda limitación de un derecho fundamental’ (STC 163/2006, de 22 de mayo, FJ 5). De este modo, si existieran dudas sobre si tal ejercicio en un caso determinado puede producir efectos negativos contra el orden público —con peligro para personas y bienes u otros derechos y valores dignos de protección constitucional— aquellas tendrían que resolverse con la aplicación del principio o criterio de favorecimiento del derecho de reunión (</w:t>
      </w:r>
      <w:r w:rsidRPr="008D479B">
        <w:rPr>
          <w:i/>
        </w:rPr>
        <w:t>favor libertatis</w:t>
      </w:r>
      <w:r>
        <w:t>); y no basta para justificar su modulación o prohibición la mera sospecha o la simple posibilidad de que se produzcan dichos resultados.</w:t>
      </w:r>
    </w:p>
    <w:p w14:paraId="5C653EFB" w14:textId="77777777" w:rsidR="008D479B" w:rsidRDefault="008D479B" w:rsidP="008D479B">
      <w:pPr>
        <w:pStyle w:val="TextoNormal"/>
      </w:pPr>
    </w:p>
    <w:p w14:paraId="6CE62FEC" w14:textId="77777777" w:rsidR="008D479B" w:rsidRDefault="008D479B" w:rsidP="008D479B">
      <w:pPr>
        <w:pStyle w:val="TextoNormal"/>
      </w:pPr>
      <w:r>
        <w:t>b) De otro lado, y en forma de síntesis de la praxis que había seguido en el examen de los supuestos de limitación del derecho de reunión, vino a explicitar como criterio en la citada STC 193/2011 que ‘la limitación del ejercicio del derecho de reunión requiere de una motivación específica’ y, más adelante dentro de esa misma resolución, precisó que ‘los actos que introduzcan medidas limitadoras han de fundamentarse, pues, en datos objetivos suficientes derivados de las circunstancias concretas de cada caso (STC 301/2006, 23 de octubre, FJ 2)’. En esta línea de razonamiento, justamente por apoyarse en fórmulas genéricas y faltar una referencia específica a las circunstancias concretas del caso es por lo que el Tribunal otorgó el amparo en los siguientes asuntos: (i) SSTC 163/2006, de 22 de mayo, FJ 5 (porque las modificaciones en la manifestación que se introducían para evitar el peligro para personas y bienes ‘resultan meramente formales por carecer de una aplicación específica al caso’); (ii) STC 301/2006, de 23 de octubre (por ‘no concretar qué alteración del orden público se produciría en el caso de la celebración de las manifestaciones’); (iii) STC 170/2008, de 15 de diciembre, FJ 3, y 37/2009, de 9 de febrero, FJ 3 (en ambas porque la prohibición gubernativa se limitaba a afirmar el carácter electoral de la manifestación, sin especificar los motivos por los que debía entenderse que tenían capacidad para captar sufragios).</w:t>
      </w:r>
    </w:p>
    <w:p w14:paraId="2B9F9D47" w14:textId="77777777" w:rsidR="008D479B" w:rsidRDefault="008D479B" w:rsidP="008D479B">
      <w:pPr>
        <w:pStyle w:val="TextoNormal"/>
      </w:pPr>
    </w:p>
    <w:p w14:paraId="0CE16FC6" w14:textId="77777777" w:rsidR="008D479B" w:rsidRDefault="008D479B" w:rsidP="008D479B">
      <w:pPr>
        <w:pStyle w:val="TextoNormal"/>
      </w:pPr>
      <w:r>
        <w:t>Debemos confirmar esta necesidad de motivación específica y subrayar que no cumpliría con tal requisito la prohibición de una determinada reunión o manifestación con apoyo en un razonamiento que, aun atendiendo a hechos dotados de un importante grado de objetividad y certidumbre, aludiese (sin matices propios de la manifestación concreta) a una realidad que afecta por igual a todas y cada una de las concentraciones de personas, con independencia de sus características y de las medidas preventivas que los promotores pudieran articular; pues, de facto, vendría a ser equivalente a una restricción o limitación de conjunto de todos los supuestos de ejercicio de este derecho durante el tiempo en que dicha coyuntura se mantuviese efectiva. El carácter específico de la motivación se salvaguarda cuando la argumentación de la autoridad pública desciende a precisar cómo incide esa realidad general en el caso concreto; y así se convierte en una garantía central de la configuración constitucional del derecho de reunión, en tanto que asegura que, salvo aquello que pueda disponerse por la autoridad competente en los estados de emergencia previstos en el art. 116 CE, su prohibición será objeto de decisiones individuales del poder público que entrañen una ponderación específica ligada al supuesto concreto.</w:t>
      </w:r>
    </w:p>
    <w:p w14:paraId="21B06465" w14:textId="77777777" w:rsidR="008D479B" w:rsidRDefault="008D479B" w:rsidP="008D479B">
      <w:pPr>
        <w:pStyle w:val="TextoNormal"/>
      </w:pPr>
    </w:p>
    <w:p w14:paraId="3CBEC580" w14:textId="44FBC5DF" w:rsidR="008D479B" w:rsidRDefault="008D479B" w:rsidP="008D479B">
      <w:pPr>
        <w:pStyle w:val="TextoNormal"/>
      </w:pPr>
      <w:r>
        <w:t>c) Sobre la existencia de razones fundadas que justifiquen la imposición de un límite al ejercicio del derecho de reunión, hemos perfilado, por último, que es a la autoridad ‘a quien corresponde motivar y aportar las razones que, desde criterios constitucionales de proporcionalidad, expliquen por qué el derecho de reunión ha de verse limitado’, si bien el Tribunal ha de considerar ‘los elementos que conforman el contexto y la motivación de la resolución gubernativa cuestionada’ (STC 193/2011, FJ 5)”.</w:t>
      </w:r>
    </w:p>
    <w:p w14:paraId="6071C400" w14:textId="77777777" w:rsidR="008D479B" w:rsidRDefault="008D479B" w:rsidP="008D479B">
      <w:pPr>
        <w:pStyle w:val="TextoNormal"/>
      </w:pPr>
    </w:p>
    <w:p w14:paraId="5D784D1D" w14:textId="77777777" w:rsidR="008D479B" w:rsidRDefault="008D479B" w:rsidP="008D479B">
      <w:pPr>
        <w:pStyle w:val="TextoNormal"/>
      </w:pPr>
      <w:r w:rsidRPr="008D479B">
        <w:rPr>
          <w:rStyle w:val="NumeroAFNegritaCaracter"/>
        </w:rPr>
        <w:t>4</w:t>
      </w:r>
      <w:r>
        <w:t xml:space="preserve">. </w:t>
      </w:r>
      <w:r w:rsidRPr="008D479B">
        <w:rPr>
          <w:i/>
        </w:rPr>
        <w:t>La aplicación al caso de la doctrina constitucional sobre el derecho de manifestación</w:t>
      </w:r>
    </w:p>
    <w:p w14:paraId="24C916E9" w14:textId="77777777" w:rsidR="008D479B" w:rsidRDefault="008D479B" w:rsidP="008D479B">
      <w:pPr>
        <w:pStyle w:val="TextoNormal"/>
      </w:pPr>
    </w:p>
    <w:p w14:paraId="2B38787B" w14:textId="77777777" w:rsidR="008D479B" w:rsidRDefault="008D479B" w:rsidP="008D479B">
      <w:pPr>
        <w:pStyle w:val="TextoNormal"/>
      </w:pPr>
      <w:r>
        <w:t>En aplicación del parámetro de control constitucional de la medida limitadora del derecho de reunión debemos examinar si la prohibición se apoya en razones fundadas puestas de manifiesto en las resoluciones impugnadas (A) y si, además, resulta una medida proporcionada (B).</w:t>
      </w:r>
    </w:p>
    <w:p w14:paraId="3FD4C09B" w14:textId="77777777" w:rsidR="008D479B" w:rsidRDefault="008D479B" w:rsidP="008D479B">
      <w:pPr>
        <w:pStyle w:val="TextoNormal"/>
      </w:pPr>
    </w:p>
    <w:p w14:paraId="4AA6CFBD" w14:textId="77777777" w:rsidR="008D479B" w:rsidRDefault="008D479B" w:rsidP="008D479B">
      <w:pPr>
        <w:pStyle w:val="TextoNormal"/>
      </w:pPr>
      <w:r>
        <w:t>A tales efectos resulta oportuno recordar que la organización recurrente pretendía celebrar el 2 de mayo de 2020, estando vigente el primer estado de alarma decretado por el Gobierno para dar respuesta a la crisis sanitaria ocasionada por la covid-19 (Real Decreto 463/2020, de 14 de marzo), una concentración seguida de una manifestación en el centro de Madrid. En concreto, una concentración en la zona peatonal frente al monumento a los caídos por España de la Plaza de la Lealtad seguida de un recorrido por la zona peatonal del Paseo del Prado hasta el Ministerio de Sanidad, frente al que se instalaría un equipo de megafonía para que los oradores pudieran hacerse oír ante el público. El objeto de la manifestación era recordar a los miles de españoles fallecidos durante el período de confinamiento y reivindicar la libertad de expresión y el derecho de reunión durante el estado de alarma, frente a la ineficacia de los responsables del Estado. En la comunicación a la autoridad gubernativa se calculaba una duración de noventa minutos y se recogían como medidas de seguridad que se contaría con un servicio de orden para que velara por que los asistentes estuvieran separados no menos de dos metros y portasen mascarillas, que se facilitarían por la organización. No se indicaba el número previsto de participantes.</w:t>
      </w:r>
    </w:p>
    <w:p w14:paraId="4AB8FF8D" w14:textId="77777777" w:rsidR="008D479B" w:rsidRDefault="008D479B" w:rsidP="008D479B">
      <w:pPr>
        <w:pStyle w:val="TextoNormal"/>
      </w:pPr>
    </w:p>
    <w:p w14:paraId="02159E86" w14:textId="77777777" w:rsidR="008D479B" w:rsidRDefault="008D479B" w:rsidP="008D479B">
      <w:pPr>
        <w:pStyle w:val="TextoNormal"/>
      </w:pPr>
      <w:r>
        <w:t>A) La motivación de la prohibición de la manifestación</w:t>
      </w:r>
    </w:p>
    <w:p w14:paraId="4D6A504B" w14:textId="77777777" w:rsidR="008D479B" w:rsidRDefault="008D479B" w:rsidP="008D479B">
      <w:pPr>
        <w:pStyle w:val="TextoNormal"/>
      </w:pPr>
    </w:p>
    <w:p w14:paraId="420A531C" w14:textId="77777777" w:rsidR="008D479B" w:rsidRDefault="008D479B" w:rsidP="008D479B">
      <w:pPr>
        <w:pStyle w:val="TextoNormal"/>
      </w:pPr>
      <w:r>
        <w:t xml:space="preserve">La lectura de la resolución de la Delegación del Gobierno de Madrid muestra que su decisión de prohibir la manifestación (i) se apoyaba en la doctrina constitucional sobre el derecho de reunión en lugares de tránsito público (art. 21 CE) y sus límites específicos e implícitos, así como en la previsión del art. 10 de la Ley Orgánica 9/1983, de 15 de julio, reguladora del derecho de reunión, que la habilita para adoptar las medidas precisas para que la reunión se celebre conforme a tales límites; (ii) tenía presente la situación de crisis sanitaria de gran magnitud por la expansión de la denominado covid-19, que consideraba confirmada día tras día con datos concretos relativos a contagios, número de enfermos y de fallecidos, y que había motivado al Gobierno a decretar el estado de alarma “para proteger la salud y seguridad de los ciudadanos, contener la progresión de la enfermedad y reforzar el sistema de salud pública”, y, entre otras medidas, a limitar el derecho de movilidad y libre circulación, si bien no se había suspendido el ejercicio de los derechos fundamentales, tampoco el de reunión; (iii) consideraba que, no obstante no estar suspendido, el derecho de reunión del art. 21 CE tiene límites, uno de los cuales es la protección de la salud, en consonancia con el art. 11 CEDH, como reconoció la STEDH de 9 de abril de 2002 (asunto </w:t>
      </w:r>
      <w:r w:rsidRPr="008D479B">
        <w:rPr>
          <w:i/>
        </w:rPr>
        <w:t>Cisse</w:t>
      </w:r>
      <w:r>
        <w:t>); (iv) y a partir de esas consideraciones, invoca el Real Decreto 463/2020, sus prórrogas y la legislación complementaria para sostener la existencia de una crisis sanitaria y la imperiosa necesidad de evitar la difusión de la pandemia, con sus secuelas de contagios, fallecimientos y enfermos, objetivo que había llevado al Gobierno de la Nación, siguiendo los consejos de las autoridades sanitarias, a restringir los movimientos de los ciudadanos. Concluía que las previsibles consecuencias sanitarias, no solo para los manifestantes, sino para todos los que pudieran tener contacto con ellos, eran el criterio que determinaba la prohibición, ya que “es un hecho notorio que es muy probable que se puedan producir contagios entre las personas participantes que luego puedan extenderse entre sus círculos de amistad, profesionales y familiares, incrementando de esta manera la crisis sanitaria por más que se adopten medidas de seguridad”.</w:t>
      </w:r>
    </w:p>
    <w:p w14:paraId="608DD30F" w14:textId="77777777" w:rsidR="008D479B" w:rsidRDefault="008D479B" w:rsidP="008D479B">
      <w:pPr>
        <w:pStyle w:val="TextoNormal"/>
      </w:pPr>
    </w:p>
    <w:p w14:paraId="2542E439" w14:textId="77777777" w:rsidR="008D479B" w:rsidRDefault="008D479B" w:rsidP="008D479B">
      <w:pPr>
        <w:pStyle w:val="TextoNormal"/>
      </w:pPr>
      <w:r>
        <w:t>Las razones expuestas en la resolución gubernativa impugnada constituyen una motivación específica suficiente de la prohibición cuestionada, respetuosa de la doctrina constitucional reseñada, que atiende a las circunstancias y contexto en que pretendía celebrarse la manifestación. Como explicita la sentencia del Tribunal Superior de Justicia de Madrid, la resolución de la Delegación del Gobierno señala que el ejercicio del derecho de reunión, tal y como había sido proyectado por la organización promotora, entrañaba un grave riesgo para la salud pública y para las personas, manifestantes y terceros, dado el riesgo de contagio y, con él, de incremento de la crisis sanitaria, por más que se adoptasen medidas de precaución. La prohibición atendía a una posible perturbación desproporcionada de otros bienes y derechos protegidos por la Constitución y se adoptaba para impedir la difusión de la pandemia, esto es, de contagios que conllevarían nuevos fallecimientos y enfermos y que acentuarían la situación de grave emergencia sanitaria. Se trata de razones incontestables —protección de la salud pública y de la salud y la vida individual— y asentadas en datos no solo objetivos, sino notorios y contrastados, vinculados a las circunstancias presentes al tiempo de la convocatoria, dominadas por la existencia de una pandemia; y, por ende, convincentes como motivación para justificar la restricción impuesta.</w:t>
      </w:r>
    </w:p>
    <w:p w14:paraId="5D3C542E" w14:textId="77777777" w:rsidR="008D479B" w:rsidRDefault="008D479B" w:rsidP="008D479B">
      <w:pPr>
        <w:pStyle w:val="TextoNormal"/>
      </w:pPr>
    </w:p>
    <w:p w14:paraId="557755E0" w14:textId="77777777" w:rsidR="008D479B" w:rsidRDefault="008D479B" w:rsidP="008D479B">
      <w:pPr>
        <w:pStyle w:val="TextoNormal"/>
      </w:pPr>
      <w:r>
        <w:t>Frente a lo que sostiene la recurrente, los argumentos ofrecidos no son genéricos ni subjetivos. No puede considerarse genérica la referencia a la situación de pandemia en abril de 2020, durante el primer estado de alarma. Debido a su carácter omnipresente adquiría sentido como circunstancia específica y determinante para la adopción de medidas de prevención y protección de la salud pública. Había desencadenado una crisis sanitaria muy grave e inédita, con riesgo (y resultado) de severa afectación a la integridad y la vida de las personas, así como de saturación del sistema sanitario público, cuyo control precisó condicionar en grado sumo las actividades de los ciudadanos. Esa situación crítica era una referencia específica y concreta al contexto de la decisión. El hecho de que hubiera provocado la declaración de estado de alarma no excluye que esas circunstancias deban valorarse como elementos particulares decisivos para fundar la posible limitación del derecho de reunión. Tampoco puede compartirse la apreciación de la demandante de que las razones que fundan la prohibición son miedos subjetivos o sospechas carentes de base objetiva. Como destaca la resolución gubernativa cuestionada, la posibilidad de contagios en la concentración, aun con medidas de seguridad, y el riesgo derivado de extensión a terceros ajenos a la manifestación que agravara la crisis sanitaria eran hechos notorios, esto es, de general conocimiento en aquel momento —como eran los decesos, enfermos, hospitalizaciones y colapso de los servicios de urgencia y de cuidados intensivos— y, por ello, indubitables a la hora de decidir sobre la corrección de una medida de protección de la salud pública. Todos los días el Gobierno, a través de sus portavoces, daba información sobre la evolución del impacto de la pandemia, con datos precisos sobre su incidencia. Es por ello, que la remisión al contexto y a la situación generada por la pandemia global no requería de informes o pruebas adicionales. La resolución gubernativa, además, recurría como indicador de la realidad y de las dimensiones de la crisis sanitaria a los razonamientos ofrecidos en el Real Decreto 463/2020, en sus prórrogas (Real Decreto 476/2020, de 27 de marzo; Real Decreto 487/2020, de 10 de abril, y Real Decreto 492/2020, de 24 de abril) y en la legislación complementaria, normas que citaban los informes y estudios que sustentaban las decisiones y justificaban las medidas adoptadas para contener la pandemia y mitigar sus consecuencias.</w:t>
      </w:r>
    </w:p>
    <w:p w14:paraId="7DF34F66" w14:textId="77777777" w:rsidR="008D479B" w:rsidRDefault="008D479B" w:rsidP="008D479B">
      <w:pPr>
        <w:pStyle w:val="TextoNormal"/>
      </w:pPr>
    </w:p>
    <w:p w14:paraId="51A4E017" w14:textId="77777777" w:rsidR="008D479B" w:rsidRDefault="008D479B" w:rsidP="008D479B">
      <w:pPr>
        <w:pStyle w:val="TextoNormal"/>
      </w:pPr>
      <w:r>
        <w:t>Como venimos exigiendo en nuestra doctrina sobre las medidas limitadoras del ejercicio del derecho de reunión, la autoridad administrativa puso de relieve razones convincentes, poderosas y plausibles, que asentaban en datos objetivos contrastados y relacionados con las circunstancias concretas del caso, y que le permitían concluir que la convocatoria de la manifestación, tal y como se había proyectado por sus promotores, podría producir una desproporcionada perturbación de bienes y derechos protegidos por la Constitución tan relevantes como la salud pública, la vida y la salud individual de las personas (STC 193/2011, FJ 3). La doctrina sobre los límites a la restricción del derecho fundamental de reunión y manifestación se mantiene, lo que se hace ahora es adaptarla a unas circunstancias nuevas, singulares e imposibles de prever que exigían de medidas de política pública relacionadas con la salud, pues el conflicto se planteaba entre el ejercicio del derecho y la protección del bien constitucional que condicionaba la actuación de los poderes públicos.</w:t>
      </w:r>
    </w:p>
    <w:p w14:paraId="51C7ED0E" w14:textId="77777777" w:rsidR="008D479B" w:rsidRDefault="008D479B" w:rsidP="008D479B">
      <w:pPr>
        <w:pStyle w:val="TextoNormal"/>
      </w:pPr>
    </w:p>
    <w:p w14:paraId="4CE938D6" w14:textId="77777777" w:rsidR="008D479B" w:rsidRDefault="008D479B" w:rsidP="008D479B">
      <w:pPr>
        <w:pStyle w:val="TextoNormal"/>
      </w:pPr>
      <w:r>
        <w:t>B) Análisis de la proporcionalidad de la restricción del derecho de reunión</w:t>
      </w:r>
    </w:p>
    <w:p w14:paraId="7D950AC4" w14:textId="77777777" w:rsidR="008D479B" w:rsidRDefault="008D479B" w:rsidP="008D479B">
      <w:pPr>
        <w:pStyle w:val="TextoNormal"/>
      </w:pPr>
    </w:p>
    <w:p w14:paraId="12C29775" w14:textId="77777777" w:rsidR="008D479B" w:rsidRDefault="008D479B" w:rsidP="008D479B">
      <w:pPr>
        <w:pStyle w:val="TextoNormal"/>
      </w:pPr>
      <w:r>
        <w:t>Una vez que hemos considerado satisfecha la exigencia de motivación, nos corresponde revisar si la prohibición formalmente justificada supera el juicio de proporcionalidad. Como recordamos en la STC 61/2023, FJ 4 B), sobre el principio constitucional de proporcionalidad y su proyección en el ámbito de los derechos fundamentales, reiterada doctrina constitucional exige que el examen jurisdiccional de las medidas que los restringen se articule, constatada la persecución de una finalidad constitucionalmente legítima, en tres pasos sucesivos: “si la medida enjuiciada aparece como idónea para la consecución de la finalidad legítima que pretende; si resulta, además, necesaria, por no existir otra menos incisiva en el derecho fundamental y de eficacia pareja; y si, superados estos dos escrutinios, de la afectación del derecho se derivan más beneficios para el interés general que perjuicios sobre el derecho en cada caso comprometido”.</w:t>
      </w:r>
    </w:p>
    <w:p w14:paraId="7DCC1D05" w14:textId="77777777" w:rsidR="008D479B" w:rsidRDefault="008D479B" w:rsidP="008D479B">
      <w:pPr>
        <w:pStyle w:val="TextoNormal"/>
      </w:pPr>
    </w:p>
    <w:p w14:paraId="0FDC9D29" w14:textId="77777777" w:rsidR="008D479B" w:rsidRDefault="008D479B" w:rsidP="008D479B">
      <w:pPr>
        <w:pStyle w:val="TextoNormal"/>
      </w:pPr>
      <w:r>
        <w:t>a) Finalidad legítima</w:t>
      </w:r>
    </w:p>
    <w:p w14:paraId="34C1E412" w14:textId="77777777" w:rsidR="008D479B" w:rsidRDefault="008D479B" w:rsidP="008D479B">
      <w:pPr>
        <w:pStyle w:val="TextoNormal"/>
      </w:pPr>
    </w:p>
    <w:p w14:paraId="12FAA876" w14:textId="77777777" w:rsidR="008D479B" w:rsidRDefault="008D479B" w:rsidP="008D479B">
      <w:pPr>
        <w:pStyle w:val="TextoNormal"/>
      </w:pPr>
      <w:r>
        <w:t>El fin que justificaba la medida, según se invocaba en la resolución administrativa, era la protección de la salud pública, en concreto, contener la progresión de la enfermedad covid-19 y sus secuelas de fallecimientos y enfermos en una situación de grave crisis sanitaria que había determinado la declaración del estado de alarma, varias veces prorrogado en aquel momento. En estas circunstancias, como ya se razonó en el ATC 40/2020 (manifestación convocada para el 1 de mayo de 2020) y se reitera en la STC 61/2023 (manifestación convocada para el 30 de abril de 2020), “cabe sustentar una restricción concreta del derecho de reunión en bienes jurídicos o derechos distintos de la alteración del orden público mencionada en el art. 21.2 CE, y uno de ellos puede ser la protección de la salud en supuestos de grave crisis sanitaria como la desencadenada a partir de la difusión generalizada del covid-19, coyuntura que, lejos de ser una suposición o sospecha, es una realidad dotada de plena certidumbre y vigencia”. La salud pública es un bien jurídico constitucionalizado (art. 43 CE), que también el art. 11 CEDH contempla como límite de la libertad de reunión.</w:t>
      </w:r>
    </w:p>
    <w:p w14:paraId="43B68CF4" w14:textId="77777777" w:rsidR="008D479B" w:rsidRDefault="008D479B" w:rsidP="008D479B">
      <w:pPr>
        <w:pStyle w:val="TextoNormal"/>
      </w:pPr>
    </w:p>
    <w:p w14:paraId="33E680B9" w14:textId="77777777" w:rsidR="008D479B" w:rsidRDefault="008D479B" w:rsidP="008D479B">
      <w:pPr>
        <w:pStyle w:val="TextoNormal"/>
      </w:pPr>
      <w:r>
        <w:t>b) Idoneidad</w:t>
      </w:r>
    </w:p>
    <w:p w14:paraId="66BD3735" w14:textId="77777777" w:rsidR="008D479B" w:rsidRDefault="008D479B" w:rsidP="008D479B">
      <w:pPr>
        <w:pStyle w:val="TextoNormal"/>
      </w:pPr>
    </w:p>
    <w:p w14:paraId="5622A4FD" w14:textId="77777777" w:rsidR="008D479B" w:rsidRDefault="008D479B" w:rsidP="008D479B">
      <w:pPr>
        <w:pStyle w:val="TextoNormal"/>
      </w:pPr>
      <w:r>
        <w:t>La medida de prohibición de la manifestación era adecuada para alcanzar ese fin de protección de la salud pública, porque, al impedir el contacto social que provocaría la manifestación —un acto complejo con dos concentraciones en plazas públicas, la segunda con intervención de oradores, y un desplazamiento de los manifestantes de un punto al otro— evitaba posibles contactos interpersonales, y con ello la difusión de la pandemia con sus derivadas de contagios, ingresos hospitalarios y en unidades de cuidados intensivos, fallecimientos y lesiones. Unas consecuencias que, según argumentaba la resolución administrativa, podrían afectar no solo a los manifestantes y a quienes con ellos tomaran contacto físico en el sitio de desarrollo del acto, sino también a las personas con las que interactuaran en los medios de transporte que usaran para el traslado al lugar de las concentraciones y para el regreso al lugar de origen, a convivientes, familiares, amigos y compañeros de trabajo. Por lo tanto, existía una conexión racional entre el fin perseguido y el medio empleado por la autoridad gubernativa.</w:t>
      </w:r>
    </w:p>
    <w:p w14:paraId="149700A7" w14:textId="77777777" w:rsidR="008D479B" w:rsidRDefault="008D479B" w:rsidP="008D479B">
      <w:pPr>
        <w:pStyle w:val="TextoNormal"/>
      </w:pPr>
    </w:p>
    <w:p w14:paraId="35D27C0C" w14:textId="77777777" w:rsidR="008D479B" w:rsidRDefault="008D479B" w:rsidP="008D479B">
      <w:pPr>
        <w:pStyle w:val="TextoNormal"/>
      </w:pPr>
      <w:r>
        <w:t>c) Necesidad</w:t>
      </w:r>
    </w:p>
    <w:p w14:paraId="464D7FD5" w14:textId="77777777" w:rsidR="008D479B" w:rsidRDefault="008D479B" w:rsidP="008D479B">
      <w:pPr>
        <w:pStyle w:val="TextoNormal"/>
      </w:pPr>
    </w:p>
    <w:p w14:paraId="29CE4840" w14:textId="77777777" w:rsidR="008D479B" w:rsidRDefault="008D479B" w:rsidP="008D479B">
      <w:pPr>
        <w:pStyle w:val="TextoNormal"/>
      </w:pPr>
      <w:r>
        <w:t>La prohibición de la manifestación supera también la exigencia de necesidad o imprescindibilidad, ya que en las circunstancias en que se adoptó constituía la medida de intervención administrativa más idónea o eficaz para preservar la salud pública y proteger la salud y la vida de aquellas personas, manifestantes y terceros, sin que existieran otras menos restrictivas de eficacia pareja. En términos absolutos, podían plantearse alternativas de desenvolvimiento del acto menos lesivas o intrusivas en el derecho fundamental de reunión y manifestación, pero ninguna de las opciones imaginables (sin desnaturalizar la modalidad de concentración pretendida) era igualmente idónea para lograr la finalidad de tutela de la salud. Se podía pensar, por ejemplo, en restringir el tiempo de duración del acto a menos de noventa minutos o descartar el desplazamiento de los concentrados a otro punto y que solo se reunieran en una plaza de manera estática, pero estas alternativas no eran de similar eficacia para prevenir contagios. En la deliberación no se han ofrecido hipótesis alternativas de ejercicio del derecho de manifestación que permitieran alcanzar un mismo nivel de prevención y protección de la salud pública ante los contagios.</w:t>
      </w:r>
    </w:p>
    <w:p w14:paraId="1BDCC763" w14:textId="77777777" w:rsidR="008D479B" w:rsidRDefault="008D479B" w:rsidP="008D479B">
      <w:pPr>
        <w:pStyle w:val="TextoNormal"/>
      </w:pPr>
    </w:p>
    <w:p w14:paraId="7364A7B2" w14:textId="77777777" w:rsidR="008D479B" w:rsidRDefault="008D479B" w:rsidP="008D479B">
      <w:pPr>
        <w:pStyle w:val="TextoNormal"/>
      </w:pPr>
      <w:r>
        <w:t>En el juicio de la imprescindibilidad de la medida de prohibición debe tenerse presente que, en aquel momento, finales de abril de 2020, se ignoraba la forma precisa de transmisión del virus más allá de la constancia de que sí se producía por contactos interpersonales. También hay que valorar que la reunión se había programado de forma tradicional, no mediante espacios aislados o burbujas (como, por ejemplo, en el interior de vehículos), y que las únicas medidas de seguridad propuestas eran la distancia física entre manifestantes y el uso de mascarillas, este un mero supuesto o deseo por la dificultad de obtenerlas, ya que entonces eran un bien muy escaso (no fueron obligatorias hasta la publicación de la Orden SND/422/2020, de 19 de mayo). Sin embargo, los promotores no habían facilitado una previsión sobre el número de asistentes, dato sobre el que solo ellos podrían levantar un pronóstico. Y habían comunicado un acto público complejo, con doble concentración en dos plazas, la marcha de los manifestantes de una a otra por zonas peatonales, y la intervención final de varios oradores con empleo de megafonía, circunstancias todas ellas proclives a fomentar y facilitar el contacto social.</w:t>
      </w:r>
    </w:p>
    <w:p w14:paraId="5E5212BE" w14:textId="77777777" w:rsidR="008D479B" w:rsidRDefault="008D479B" w:rsidP="008D479B">
      <w:pPr>
        <w:pStyle w:val="TextoNormal"/>
      </w:pPr>
    </w:p>
    <w:p w14:paraId="0A04929A" w14:textId="77777777" w:rsidR="008D479B" w:rsidRDefault="008D479B" w:rsidP="008D479B">
      <w:pPr>
        <w:pStyle w:val="TextoNormal"/>
      </w:pPr>
      <w:r>
        <w:t>Porque la transmisión del virus se producía en los contactos interpersonales, la prohibición permitía una máxima eficacia en la selección de medios posibles de actuación administrativa en materia de salud pública, pues garantizaba de manera rigurosa que no hubiera desplazamientos, encuentros, saludos, conversaciones ni gritos de seguimiento de consignas, en definitiva, las conductas que conlleva una concentración de personas con fines de denuncia política y que podrían generar contagios y difusión del virus. En aquel momento —de nuevo el punto exacto para evaluar los datos y las circunstancias— la distancia social era la única cautela cierta que se conocía para evitar la propagación de la enfermedad, de modo que la autoridad gubernativa no pudo adoptar una medida limitadora menos incisiva en el derecho fundamental de igual eficacia.</w:t>
      </w:r>
    </w:p>
    <w:p w14:paraId="71DEAFB7" w14:textId="77777777" w:rsidR="008D479B" w:rsidRDefault="008D479B" w:rsidP="008D479B">
      <w:pPr>
        <w:pStyle w:val="TextoNormal"/>
      </w:pPr>
    </w:p>
    <w:p w14:paraId="55FD4FF2" w14:textId="77777777" w:rsidR="008D479B" w:rsidRDefault="008D479B" w:rsidP="008D479B">
      <w:pPr>
        <w:pStyle w:val="TextoNormal"/>
      </w:pPr>
      <w:r>
        <w:t>d) Proporcionalidad en sentido estricto</w:t>
      </w:r>
    </w:p>
    <w:p w14:paraId="3F17E731" w14:textId="77777777" w:rsidR="008D479B" w:rsidRDefault="008D479B" w:rsidP="008D479B">
      <w:pPr>
        <w:pStyle w:val="TextoNormal"/>
      </w:pPr>
    </w:p>
    <w:p w14:paraId="11BADF8A" w14:textId="77777777" w:rsidR="008D479B" w:rsidRDefault="008D479B" w:rsidP="008D479B">
      <w:pPr>
        <w:pStyle w:val="TextoNormal"/>
      </w:pPr>
      <w:r>
        <w:t>Hasta ahora hemos analizado, siguiendo la estructura del juicio de proporcionalidad, la relación entre la medida y el fin, la que se puede establecer racionalmente entre el fin de protección de la salud pública —y mediatamente, de la salud y la vida individuales— y el medio adoptado por la autoridad administrativa de prohibir la manifestación que había comunicado la entidad demandante. La ponderación que corresponde realizar en este último nivel del juicio de proporcionalidad dirige la atención hacia el derecho fundamental afectado, la libertad de reunión y de manifestación. La regla de la ponderación requiere de un examen en tres pasos. Es preciso determinar el grado de afectación o interferencia del derecho fundamental que supone la intervención, para luego establecer la importancia y grado de satisfacción de la finalidad que la funda, y a la vista de estos valores concluir que solo será proporcional, y por ello justificada, la restricción del derecho si el perjuicio que este padece es inferior al beneficio que se obtiene para preservar aquellos bienes e intereses. Este esquema significa en el presente caso que, cuanto mayor es la intensidad de la injerencia en el derecho fundamental de manifestación, tanto más pide el juicio de ponderación que sea de mayor importancia la satisfacción de la salud pública y la salvaguarda anudada de intereses constitucionales tan relevantes como la vida y la integridad física. Por análogas razones, en el examen de la proporcionalidad estricta ha de valorarse que una grave afectación al derecho fundamental, como es la prohibición de la manifestación por la autoridad gubernativa, exige una alta certeza cognitiva de las premisas que justifican la intervención, es decir, una seguridad epistémica acerca del riesgo que el ejercicio del derecho supone para el bien protegido. Ello, sin perjuicio de que la certeza sobre la existencia del riesgo no empece la incertidumbre característica de todo pronóstico de peligro sobre su verificación, y que la gravedad del riesgo acreditado está en función no solo del grado de probabilidad de que efectivamente acaezca, sino de la trascendencia de los resultados lesivos que puedan producirse. Por último, resulta preciso un análisis concreto, atento a las circunstancias definitorias del supuesto. La comparación en abstracto entre el derecho de manifestación y la salud, pública e individual, la integridad física y la vida no arroja elementos de juicio relevantes sobre la proporcionalidad de la intervención administrativa.</w:t>
      </w:r>
    </w:p>
    <w:p w14:paraId="2D1DB0D2" w14:textId="77777777" w:rsidR="008D479B" w:rsidRDefault="008D479B" w:rsidP="008D479B">
      <w:pPr>
        <w:pStyle w:val="TextoNormal"/>
      </w:pPr>
    </w:p>
    <w:p w14:paraId="760E7E00" w14:textId="77777777" w:rsidR="008D479B" w:rsidRDefault="008D479B" w:rsidP="008D479B">
      <w:pPr>
        <w:pStyle w:val="TextoNormal"/>
      </w:pPr>
      <w:r>
        <w:t>De acuerdo con lo anterior, constatamos en primer lugar que el grado de injerencia en el derecho de reunión y manifestación debe calificarse como grave, porque la prohibición supone la máxima afectación para un derecho que nuestro sistema constitucional reconoce como derecho de libertad en el art. 21 CE. Esta atribución de máximo grado a la interferencia en el derecho requiere como pauta de justificación de su proporcionalidad, como hemos dicho, que la medida injerente permita una muy alta satisfacción de la finalidad pretendida por la autoridad administrativa.</w:t>
      </w:r>
    </w:p>
    <w:p w14:paraId="4487BB61" w14:textId="77777777" w:rsidR="008D479B" w:rsidRDefault="008D479B" w:rsidP="008D479B">
      <w:pPr>
        <w:pStyle w:val="TextoNormal"/>
      </w:pPr>
    </w:p>
    <w:p w14:paraId="174F7875" w14:textId="77777777" w:rsidR="008D479B" w:rsidRDefault="008D479B" w:rsidP="008D479B">
      <w:pPr>
        <w:pStyle w:val="TextoNormal"/>
      </w:pPr>
      <w:r>
        <w:t>Debe evaluarse para ello, en segundo lugar, la importancia del beneficio que la prohibición de la manifestación representa para el bien jurídico de la salud pública, sin olvidar la utilidad que la medida tenía respecto a la salud individual, la integridad física y la vida de los manifestantes y de todas aquellas personas que tuvieran con ellos contacto durante y después de las concentraciones y de la manifestación. Trascendencia que, como hemos señalado, deriva de la gravedad del riesgo que se pretende evitar y de la eficacia de la medida limitadora para lograrlo.</w:t>
      </w:r>
    </w:p>
    <w:p w14:paraId="773CE431" w14:textId="77777777" w:rsidR="008D479B" w:rsidRDefault="008D479B" w:rsidP="008D479B">
      <w:pPr>
        <w:pStyle w:val="TextoNormal"/>
      </w:pPr>
    </w:p>
    <w:p w14:paraId="63F02E35" w14:textId="77777777" w:rsidR="008D479B" w:rsidRDefault="008D479B" w:rsidP="008D479B">
      <w:pPr>
        <w:pStyle w:val="TextoNormal"/>
      </w:pPr>
      <w:r>
        <w:t>El examen concreto que demanda la regla de la ponderación ha de atender a las circunstancias concurrentes en el momento de la decisión que se cuestiona, individualización que impide aceptar que se suspendiera el derecho fundamental. Para la reconstrucción del contexto de la decisión tomamos en consideración los datos que aportan la resolución administrativa (de 27 de abril) y la sentencia del Tribunal Superior de Justicia de Madrid que examinó el recurso de los promotores contra dicha prohibición (de 30 de abril), así como los que recogía el ATC 40/2020, de esta misma fecha. Los elementos relevantes para calibrar la importancia del beneficio que la prohibición proveía a dicho fin son los siguientes:</w:t>
      </w:r>
    </w:p>
    <w:p w14:paraId="2818900A" w14:textId="77777777" w:rsidR="008D479B" w:rsidRDefault="008D479B" w:rsidP="008D479B">
      <w:pPr>
        <w:pStyle w:val="TextoNormal"/>
      </w:pPr>
    </w:p>
    <w:p w14:paraId="70ED65B2" w14:textId="77777777" w:rsidR="008D479B" w:rsidRDefault="008D479B" w:rsidP="008D479B">
      <w:pPr>
        <w:pStyle w:val="TextoNormal"/>
      </w:pPr>
      <w:r>
        <w:t>(i) La manifestación se pretendía realizar en el escenario de una pandemia global provocada por la covid-19, en su primera fase, que ya era calificada por la Organización Mundial de la Salud como inédita, imprevisible y muy grave. Una emergencia sanitaria que había provocado decisiones políticas insólitas en casi todos los Estados, que llegaban hasta el confinamiento domiciliario y la limitación de movilidad en las vías públicas como medios para contener la difusión de un virus desconocido, cuyo origen, etiología, prevención y tratamiento ignoraba la ciencia.</w:t>
      </w:r>
    </w:p>
    <w:p w14:paraId="21B965FE" w14:textId="77777777" w:rsidR="008D479B" w:rsidRDefault="008D479B" w:rsidP="008D479B">
      <w:pPr>
        <w:pStyle w:val="TextoNormal"/>
      </w:pPr>
    </w:p>
    <w:p w14:paraId="671CB79C" w14:textId="77777777" w:rsidR="008D479B" w:rsidRDefault="008D479B" w:rsidP="008D479B">
      <w:pPr>
        <w:pStyle w:val="TextoNormal"/>
      </w:pPr>
      <w:r>
        <w:t>(ii) La gravedad de la crisis sanitaria y la inseguridad en la que operaban los actores públicos a causa del estado de los conocimientos científicos habían motivado la declaración del estado de alarma en España por el Real Decreto 463/2020, de 14 de marzo, y sus prórrogas sucesivas. El estado de alarma conllevaba la limitación de la libre circulación por las vías públicas y el confinamiento domiciliario.</w:t>
      </w:r>
    </w:p>
    <w:p w14:paraId="0AE524BF" w14:textId="77777777" w:rsidR="008D479B" w:rsidRDefault="008D479B" w:rsidP="008D479B">
      <w:pPr>
        <w:pStyle w:val="TextoNormal"/>
      </w:pPr>
    </w:p>
    <w:p w14:paraId="60478CEC" w14:textId="77777777" w:rsidR="008D479B" w:rsidRDefault="008D479B" w:rsidP="008D479B">
      <w:pPr>
        <w:pStyle w:val="TextoNormal"/>
      </w:pPr>
      <w:r>
        <w:t>(iii) La sentencia del Tribunal Superior de Madrid recoge información específica sobre la gravedad de la situación sanitaria en España en el momento (30 de abril): 24 543 fallecidos desde la declaración del estado de alarma, cuarenta y ocho días antes; 241 310 contagiados registrados y decenas de miles de hospitalizados con graves patologías. El 27 de abril el Ministerio de Sanidad informó de 331 personas fallecidas (escrito del Ministerio Fiscal). Las unidades de cuidados intensivos estaban al límite y todavía no se habían descubierto vacunas ni tratamientos que pudieran garantizar la supervivencia de personas que hubieran desarrollado la enfermedad. Todos ellos, elementos que sustentan la valoración como muy grave del riesgo para la salud que se trataba de prevenir con la medida de prohibición de la manifestación, por la alta posibilidad de incremento de los contagios y de la transmisión incontrolada del virus.</w:t>
      </w:r>
    </w:p>
    <w:p w14:paraId="05F196B2" w14:textId="77777777" w:rsidR="008D479B" w:rsidRDefault="008D479B" w:rsidP="008D479B">
      <w:pPr>
        <w:pStyle w:val="TextoNormal"/>
      </w:pPr>
    </w:p>
    <w:p w14:paraId="58119307" w14:textId="77777777" w:rsidR="008D479B" w:rsidRDefault="008D479B" w:rsidP="008D479B">
      <w:pPr>
        <w:pStyle w:val="TextoNormal"/>
      </w:pPr>
      <w:r>
        <w:t>(iv) Sobre el estado de conocimiento de la situación era expresivo nuestro ATC 40/2020, dictado en el periodo de la resolución administrativa cuestionada, que manifiesta que “no es posible tener ninguna certeza sobre las formas de contagio, ni sobre el impacto real de la propagación del virus, así como no existen certezas científicas sobre las consecuencias a medio y largo plazo para la salud de las personas”. Estos elementos nos permiten afirmar la inseguridad en la que se operaba para identificar medidas preventivas idóneas con las que preservar la salud que, al tiempo, fueran respetuosas con el derecho de reunión y manifestación. Porque la concentración de personas, incluso en espacios públicos, suponía un riesgo incalculable para la difusión del virus.</w:t>
      </w:r>
    </w:p>
    <w:p w14:paraId="4B8B5B2E" w14:textId="77777777" w:rsidR="008D479B" w:rsidRDefault="008D479B" w:rsidP="008D479B">
      <w:pPr>
        <w:pStyle w:val="TextoNormal"/>
      </w:pPr>
    </w:p>
    <w:p w14:paraId="5C61BC62" w14:textId="77777777" w:rsidR="008D479B" w:rsidRDefault="008D479B" w:rsidP="008D479B">
      <w:pPr>
        <w:pStyle w:val="TextoNormal"/>
      </w:pPr>
      <w:r>
        <w:t>(v) No se sabía con precisión las vías de propagación de la enfermedad, ni se contaba con medios de diagnosis que permitieran a las personas tener conciencia de que estaban contagiadas por el virus y que podían transmitirlo a otros. Lo que significaba que no era posible que quienes decidieran manifestarse pudieran conocer con antelación que eran portadores del virus y evitar unirse a la reunión para no poner en peligro la salud de otras personas.</w:t>
      </w:r>
    </w:p>
    <w:p w14:paraId="03D409FD" w14:textId="77777777" w:rsidR="008D479B" w:rsidRDefault="008D479B" w:rsidP="008D479B">
      <w:pPr>
        <w:pStyle w:val="TextoNormal"/>
      </w:pPr>
    </w:p>
    <w:p w14:paraId="49100F2A" w14:textId="77777777" w:rsidR="008D479B" w:rsidRDefault="008D479B" w:rsidP="008D479B">
      <w:pPr>
        <w:pStyle w:val="TextoNormal"/>
      </w:pPr>
      <w:r>
        <w:t>(vi) La convocatoria y celebración de reuniones y manifestaciones cuestionaba radicalmente las decisiones de políticas de salud pública, en la medida en que comprometían las medidas adoptadas para contener la propagación del virus: distancia social y limitación de contactos interpersonales. Entonces eran las únicas que las autoridades sanitarias consideraban eficaces. En abstracto, la manifestación para protestar contra las limitaciones impuestas a la libertad de movimientos era socialmente importante como expresión de disidencia, pero en aquel contexto suponía un riesgo muy elevado de difusión del virus.</w:t>
      </w:r>
    </w:p>
    <w:p w14:paraId="32E400BD" w14:textId="77777777" w:rsidR="008D479B" w:rsidRDefault="008D479B" w:rsidP="008D479B">
      <w:pPr>
        <w:pStyle w:val="TextoNormal"/>
      </w:pPr>
    </w:p>
    <w:p w14:paraId="739AE017" w14:textId="77777777" w:rsidR="008D479B" w:rsidRDefault="008D479B" w:rsidP="008D479B">
      <w:pPr>
        <w:pStyle w:val="TextoNormal"/>
      </w:pPr>
      <w:r>
        <w:t>La promotora había comunicado un acto complejo que suponía la reunión de un grupo indeterminado de personas en dos puntos del centro de la ciudad (Plaza de la Lealtad y Paseo del Prado) y un desplazamiento de los congregados en el espacio de quinientos metros. Es decir, se trataba de una manifestación con recorrido por una parte de la vía pública. Además, preveían levantar un escenario con megafonía para que varios oradores se dirigieran a los manifestantes. Como advertía la sentencia impugnada, era muy probable que en las condiciones programadas no se respetara la distancia de seguridad, máxime cuando se desconocía el número de asistentes, su procedencia y el medio de transporte que emplearían para llegar al lugar. El riesgo que representaban estos actos se incrementaba por el contacto de los manifestantes en los transportes públicos de ida y vuelta, la posibilidad de contagio en el lugar y de transmisión a terceros, en particular, en sus grupos familiares, de amigos y laborales.</w:t>
      </w:r>
    </w:p>
    <w:p w14:paraId="1E2C7C40" w14:textId="77777777" w:rsidR="008D479B" w:rsidRDefault="008D479B" w:rsidP="008D479B">
      <w:pPr>
        <w:pStyle w:val="TextoNormal"/>
      </w:pPr>
    </w:p>
    <w:p w14:paraId="1C34ED08" w14:textId="77777777" w:rsidR="008D479B" w:rsidRDefault="008D479B" w:rsidP="008D479B">
      <w:pPr>
        <w:pStyle w:val="TextoNormal"/>
      </w:pPr>
      <w:r>
        <w:t>(vii) Como también apreció la sentencia del Tribunal Superior de Justicia de Madrid en línea con la resolución administrativa, no se ofrecieron medidas de seguridad concretas e idóneas para garantizar el mantenimiento de la distancia social. A pesar de la propuesta de la asociación convocante sobre la provisión de mascarillas a los manifestantes, en aquel momento —como dicen en sus escritos— no era obligatoria, porque su escasez impedía que la autoridad obligara a portarlas a quienes circulaban, por necesidad, en medios de transporte y vías públicas y acudían a centros de trabajo.</w:t>
      </w:r>
    </w:p>
    <w:p w14:paraId="0EFD944C" w14:textId="77777777" w:rsidR="008D479B" w:rsidRDefault="008D479B" w:rsidP="008D479B">
      <w:pPr>
        <w:pStyle w:val="TextoNormal"/>
      </w:pPr>
    </w:p>
    <w:p w14:paraId="31DF3AA5" w14:textId="77777777" w:rsidR="008D479B" w:rsidRDefault="008D479B" w:rsidP="008D479B">
      <w:pPr>
        <w:pStyle w:val="TextoNormal"/>
      </w:pPr>
      <w:r>
        <w:t>De acuerdo con lo expuesto, los datos sobre la incidencia y evolución de la enfermedad eran muy graves, tanto en número de contagios, como de enfermos, ingresados en hospitales y en unidades de cuidados intensivos, hasta el punto de que seguían comprometiendo la respuesta del sistema sanitario. Baste como indicio de la gravedad de la situación la alarmante cifra de 331 enfermos fallecidos a causa de la covid-19 en las últimas veinticuatro horas, que había ofrecido el Ministerio de Sanidad el 27 de abril de 2020. La escasez, incluso la inexistencia, de medios de prevención, diagnóstico y tratamiento era un factor relevante para incrementar el peligro. El acto programado, con la doble concentración y la manifestación, introducía en una escena tan compleja un riesgo muy elevado de contagio y de propagación del virus, de imposible neutralización con las medidas de seguridad propuestas, y con las entonces disponibles. Todo ello permite afirmar que el riesgo para el interés público que soportaba la medida era extremo y que la prohibición de la manifestación ofrecía a la autoridad gubernativa el grado máximo, dentro de los medios de que disponía para hacer frente a la pandemia, de limitar este muy serio peligro para la salud pública y la de los manifestantes y terceros, con incidencia en la integridad física y la vida de las personas.</w:t>
      </w:r>
    </w:p>
    <w:p w14:paraId="44EDFB88" w14:textId="77777777" w:rsidR="008D479B" w:rsidRDefault="008D479B" w:rsidP="008D479B">
      <w:pPr>
        <w:pStyle w:val="TextoNormal"/>
      </w:pPr>
    </w:p>
    <w:p w14:paraId="1946A42D" w14:textId="77777777" w:rsidR="008D479B" w:rsidRDefault="008D479B" w:rsidP="008D479B">
      <w:pPr>
        <w:pStyle w:val="TextoNormal"/>
      </w:pPr>
      <w:r>
        <w:t>En la grave situación de crisis sanitaria que estos datos describen, dada la inseguridad del conocimiento de la medicina sobre medios de prevención, contagio, diagnosis y tratamiento, la prohibición procuraba a la salud pública una alta satisfacción, incluso máxima. Este beneficio permite concluir que la medida restrictiva de la libertad de manifestación estaba justificada y era proporcional.</w:t>
      </w:r>
    </w:p>
    <w:p w14:paraId="32C91C14" w14:textId="77777777" w:rsidR="008D479B" w:rsidRDefault="008D479B" w:rsidP="008D479B">
      <w:pPr>
        <w:pStyle w:val="TextoNormal"/>
      </w:pPr>
    </w:p>
    <w:p w14:paraId="3C984E92" w14:textId="77777777" w:rsidR="008D479B" w:rsidRDefault="008D479B" w:rsidP="008D479B">
      <w:pPr>
        <w:pStyle w:val="TextoNormal"/>
      </w:pPr>
      <w:r>
        <w:t>No obsta a la anterior conclusión que se hubiera aprobado por las autoridades un plan de desescalada en sucesivas fases, la primera de las cuales, la fase cero, se iniciaba el 4 de mayo de 2020 en la península, es decir dos días después de la manifestación comunicada. Como sostiene la resolución del Tribunal Superior de Justicia de Madrid recurrida, era fundamental observar en dicho proceso el carácter controlado y paulatino del incremento de los contactos sociales. La celebración de reuniones y manifestaciones suponían un cuestionamiento de dicha estrategia de salud pública. El objetivo de mantener en mínimos los contactos interpersonales y sociales explica que se siguiera limitando extraordinariamente la confluencia de personas en la desescalada, hasta el punto de que en la citada fase cero los paseos diarios se podían realizar solo en determinadas franjas de horario, con la compañía de un conviviente y en un radio de un kilómetro desde el domicilio.</w:t>
      </w:r>
    </w:p>
    <w:p w14:paraId="526E7D9F" w14:textId="77777777" w:rsidR="008D479B" w:rsidRDefault="008D479B" w:rsidP="008D479B">
      <w:pPr>
        <w:pStyle w:val="TextoNormal"/>
      </w:pPr>
    </w:p>
    <w:p w14:paraId="4CFA6169" w14:textId="778F9F38" w:rsidR="008D479B" w:rsidRDefault="008D479B" w:rsidP="008D479B">
      <w:pPr>
        <w:pStyle w:val="TextoNormal"/>
      </w:pPr>
      <w:r>
        <w:t>A la luz de lo argumentado, la prohibición gubernativa cuestionada no constituye una vulneración del art. 21 CE, ya que no supone una restricción injustificada y desproporcionada del derecho de manifestación. Debe desestimarse en consecuencia el motivo que denuncia esta lesión y, con él, el recurso de amparo.</w:t>
      </w:r>
    </w:p>
    <w:p w14:paraId="2414A394" w14:textId="77777777" w:rsidR="008D479B" w:rsidRDefault="008D479B" w:rsidP="008D479B">
      <w:pPr>
        <w:pStyle w:val="TextoNormal"/>
      </w:pPr>
    </w:p>
    <w:p w14:paraId="612F5CCB" w14:textId="77777777" w:rsidR="008D479B" w:rsidRDefault="008D479B" w:rsidP="008D479B">
      <w:pPr>
        <w:pStyle w:val="TextoNormalCentrado"/>
        <w:keepNext/>
      </w:pPr>
      <w:r>
        <w:t>FALLO</w:t>
      </w:r>
    </w:p>
    <w:p w14:paraId="55AF4649" w14:textId="402832BD" w:rsidR="008D479B" w:rsidRDefault="008D479B" w:rsidP="008D479B">
      <w:pPr>
        <w:pStyle w:val="TextoNormalCentrado"/>
        <w:keepNext/>
      </w:pPr>
    </w:p>
    <w:p w14:paraId="7655D7EB" w14:textId="77777777" w:rsidR="008D479B" w:rsidRDefault="008D479B" w:rsidP="008D479B">
      <w:pPr>
        <w:pStyle w:val="TextoNormal"/>
      </w:pPr>
      <w:r>
        <w:t>En atención a todo lo expuesto, el Tribunal Constitucional, por la autoridad que le confiere la Constitución de la Nación española, ha decidido</w:t>
      </w:r>
    </w:p>
    <w:p w14:paraId="572DD4EC" w14:textId="77777777" w:rsidR="008D479B" w:rsidRDefault="008D479B" w:rsidP="008D479B">
      <w:pPr>
        <w:pStyle w:val="TextoNormal"/>
      </w:pPr>
    </w:p>
    <w:p w14:paraId="52B2B880" w14:textId="77777777" w:rsidR="008D479B" w:rsidRDefault="008D479B" w:rsidP="008D479B">
      <w:pPr>
        <w:pStyle w:val="TextoNormal"/>
      </w:pPr>
      <w:r>
        <w:t>1º Desestimar el presente recurso de amparo, interpuesto por La Falange (F.E.), en lo que respecta a la alegada vulneración del derecho de reunión (art. 21 CE).</w:t>
      </w:r>
    </w:p>
    <w:p w14:paraId="61C35C7F" w14:textId="77777777" w:rsidR="008D479B" w:rsidRDefault="008D479B" w:rsidP="008D479B">
      <w:pPr>
        <w:pStyle w:val="TextoNormal"/>
      </w:pPr>
    </w:p>
    <w:p w14:paraId="4090F810" w14:textId="1EC05E2A" w:rsidR="008D479B" w:rsidRDefault="008D479B" w:rsidP="008D479B">
      <w:pPr>
        <w:pStyle w:val="TextoNormal"/>
      </w:pPr>
      <w:r>
        <w:t>2º Inadmitir la queja relativa a la vulneración del derecho a la tutela judicial efectiva (art. 24.1 CE).</w:t>
      </w:r>
    </w:p>
    <w:p w14:paraId="0F52B08D" w14:textId="77777777" w:rsidR="008D479B" w:rsidRDefault="008D479B" w:rsidP="008D479B">
      <w:pPr>
        <w:pStyle w:val="TextoNormal"/>
      </w:pPr>
    </w:p>
    <w:p w14:paraId="005CC6E6" w14:textId="77777777" w:rsidR="008D479B" w:rsidRDefault="008D479B" w:rsidP="008D479B">
      <w:pPr>
        <w:pStyle w:val="TextoNormal"/>
      </w:pPr>
      <w:r>
        <w:t>Publíquese esta sentencia en el “Boletín Oficial del Estado”.</w:t>
      </w:r>
    </w:p>
    <w:p w14:paraId="7A5EF32F" w14:textId="77777777" w:rsidR="008D479B" w:rsidRDefault="008D479B" w:rsidP="008D479B">
      <w:pPr>
        <w:pStyle w:val="TextoNormal"/>
      </w:pPr>
      <w:r>
        <w:t>Dada en Madrid, a cinco de julio de dos mil veintitrés.</w:t>
      </w:r>
    </w:p>
    <w:p w14:paraId="5EA94580" w14:textId="02470A33" w:rsidR="008D479B" w:rsidRDefault="008D479B" w:rsidP="008D479B">
      <w:pPr>
        <w:pStyle w:val="ParrafoNormal"/>
      </w:pPr>
    </w:p>
    <w:p w14:paraId="5F466675" w14:textId="77777777" w:rsidR="008D479B" w:rsidRDefault="008D479B" w:rsidP="008D479B">
      <w:pPr>
        <w:pStyle w:val="TextoNormalNegritaCentrado"/>
        <w:keepNext/>
      </w:pPr>
      <w:r>
        <w:t>Voto particular que formula el magistrado don Enrique Arnaldo Alcubilla, al que se adhieren el magistrado don Ricardo Enríquez Sancho y la magistrada doña Concepción Espejel Jorquera, a la sentencia del Pleno que resuelve el recurso de amparo núm. 2233-2020</w:t>
      </w:r>
    </w:p>
    <w:p w14:paraId="597C4E7B" w14:textId="53EA5186" w:rsidR="008D479B" w:rsidRDefault="008D479B" w:rsidP="008D479B">
      <w:pPr>
        <w:pStyle w:val="TextoNormalNegritaCentrado"/>
        <w:keepNext/>
      </w:pPr>
    </w:p>
    <w:p w14:paraId="1E59663E" w14:textId="77777777" w:rsidR="008D479B" w:rsidRDefault="008D479B" w:rsidP="008D479B">
      <w:pPr>
        <w:pStyle w:val="TextoNormal"/>
      </w:pPr>
      <w:r>
        <w:t>Con respeto a la opinión de los magistrados y las magistradas que han conformado la mayoría del Pleno y en uso de la facultad que nos confiere el art. 90.2 LOTC, manifiesto mi discrepancia con la fundamentación y el fallo de la sentencia que resuelve el presente recurso de amparo. Por las razones defendidas en su momento durante la deliberación y que expongo a continuación, considero que la demanda de amparo hubiera debido ser estimada, declarando que la resolución del delegado del Gobierno en Madrid de 27 de abril de 2020, que prohibió la manifestación pretendida por la recurrente para el día 2 de mayo de 2020 en Madrid vulneró el derecho de reunión en su vertiente del derecho de manifestación (art. 21.2 CE). Esta vulneración no fue remediada por la Sección Décima de la Sala de lo Contencioso-Administrativo del Tribunal Superior de Justicia de Madrid al desestimar el recurso contencioso-administrativo de la aquí demandante contra la resolución anteriormente citada.</w:t>
      </w:r>
    </w:p>
    <w:p w14:paraId="272B6BEB" w14:textId="77777777" w:rsidR="008D479B" w:rsidRDefault="008D479B" w:rsidP="008D479B">
      <w:pPr>
        <w:pStyle w:val="TextoNormal"/>
      </w:pPr>
    </w:p>
    <w:p w14:paraId="35501C8F" w14:textId="77777777" w:rsidR="008D479B" w:rsidRDefault="008D479B" w:rsidP="008D479B">
      <w:pPr>
        <w:pStyle w:val="TextoNormal"/>
      </w:pPr>
      <w:r>
        <w:t>Las razones de mi discrepancia se relacionan con las en su momento expuestas en el voto particular formulado a la STC 61/2023, de 24 de mayo, y tienen que ver tanto con la necesidad de mantener la doctrina constitucional acerca de la no suspensión del derecho de manifestación durante la vigencia del estado de alarma como, más específicamente, con la necesidad de que las restricciones al ejercicio de un derecho fundamental como el de manifestación que es esencial en una sociedad democrática aparezcan debidamente fundamentadas y motivadas por la autoridad administrativa, lo que es evidente que en este caso no sucede. De ahí que mi discrepancia se centre esencialmente en lo argumentado en el fundamento jurídico cuarto de la sentencia en relación con la proporcionalidad de la prohibición.</w:t>
      </w:r>
    </w:p>
    <w:p w14:paraId="721C99A8" w14:textId="77777777" w:rsidR="008D479B" w:rsidRDefault="008D479B" w:rsidP="008D479B">
      <w:pPr>
        <w:pStyle w:val="TextoNormal"/>
      </w:pPr>
    </w:p>
    <w:p w14:paraId="798C9706" w14:textId="77777777" w:rsidR="008D479B" w:rsidRDefault="008D479B" w:rsidP="008D479B">
      <w:pPr>
        <w:pStyle w:val="TextoNormal"/>
      </w:pPr>
      <w:r>
        <w:t>Primero. El objeto del recurso es la resolución de la autoridad gubernativa y, en concreto, si los motivos que expone, son suficientes para fundamentar la prohibición de ejercicio de un derecho fundamental</w:t>
      </w:r>
    </w:p>
    <w:p w14:paraId="64BC0C3E" w14:textId="77777777" w:rsidR="008D479B" w:rsidRDefault="008D479B" w:rsidP="008D479B">
      <w:pPr>
        <w:pStyle w:val="TextoNormal"/>
      </w:pPr>
    </w:p>
    <w:p w14:paraId="50686BAD" w14:textId="77777777" w:rsidR="008D479B" w:rsidRDefault="008D479B" w:rsidP="008D479B">
      <w:pPr>
        <w:pStyle w:val="TextoNormal"/>
      </w:pPr>
      <w:r>
        <w:t>Centrada la cuestión en el examen de la proporcionalidad de la prohibición es ineludible partir de la resolución administrativa que ha dado lugar a este recurso de amparo que es el objeto del recurso de amparo. La resolución del delegado del Gobierno en Madrid que prohíbe la manifestación alude a la regulación del derecho de reunión (fundamento primero); a las competencias de esa Delegación del Gobierno en relación con el adecuado ejercicio del derecho (fundamento segundo); a la posibilidad de que el ejercicio de los derechos de reunión y manifestación puedan verse limitados, tal como establece la doctrina constitucional (fundamento tercero); a la existencia de la grave crisis sanitaria desatada por la pandemia de covid-19 y a la declaración del estado de alarma por dicha causa (fundamento cuarto); al hecho de que la no suspensión de los derechos del art. 21 CE no implica que no puedan verse limitados, tal como se desprende de la Constitución, del Convenio Europeo de Derechos Humanos y de la jurisprudencia del Tribunal Europeo de Derechos Humanos (fundamento quinto); y a la proyección de las consideraciones anteriores a la manifestación convocada (fundamento sexto).</w:t>
      </w:r>
    </w:p>
    <w:p w14:paraId="483D1B5E" w14:textId="77777777" w:rsidR="008D479B" w:rsidRDefault="008D479B" w:rsidP="008D479B">
      <w:pPr>
        <w:pStyle w:val="TextoNormal"/>
      </w:pPr>
    </w:p>
    <w:p w14:paraId="5F5B800C" w14:textId="77777777" w:rsidR="008D479B" w:rsidRDefault="008D479B" w:rsidP="008D479B">
      <w:pPr>
        <w:pStyle w:val="TextoNormal"/>
      </w:pPr>
      <w:r>
        <w:t xml:space="preserve">En particular, este último fundamento de la resolución contiene la </w:t>
      </w:r>
      <w:r w:rsidRPr="008D479B">
        <w:rPr>
          <w:i/>
        </w:rPr>
        <w:t>ratio decidendi</w:t>
      </w:r>
      <w:r>
        <w:t xml:space="preserve"> de la prohibición de la manifestación, al disponer, literalmente, lo siguiente:</w:t>
      </w:r>
    </w:p>
    <w:p w14:paraId="0B9E1EF5" w14:textId="77777777" w:rsidR="008D479B" w:rsidRDefault="008D479B" w:rsidP="008D479B">
      <w:pPr>
        <w:pStyle w:val="TextoNormal"/>
      </w:pPr>
    </w:p>
    <w:p w14:paraId="3A235FB6" w14:textId="77777777" w:rsidR="008D479B" w:rsidRDefault="008D479B" w:rsidP="008D479B">
      <w:pPr>
        <w:pStyle w:val="TextoNormal"/>
      </w:pPr>
      <w:r>
        <w:t>“En cualquier caso, es evidente que los criterios para la celebración de manifestaciones no pueden en ningún caso ignorar la situación de grave crisis sanitaria en la que se encuentra España, tal y como ha sido declarada por el Real Decreto 463/2020, en sus prórrogas y en la legislación complementaria. En ella se explica claramente la entidad de esta crisis y al restringir el derecho a la libertad de movimientos se deduce con toda claridad que esta limitación se fundamenta y justifica en la imperiosa necesidad de evitar la difusión de la pandemia con sus secuelas de contagios, fallecimientos y enfermos. Es decir, el Gobierno de la Nación, asesorado por las autoridades sanitarias, entiende con toda claridad que ante el peligro de la situación deben limitarse los movimientos de los ciudadanos.</w:t>
      </w:r>
    </w:p>
    <w:p w14:paraId="0F675847" w14:textId="77777777" w:rsidR="008D479B" w:rsidRDefault="008D479B" w:rsidP="008D479B">
      <w:pPr>
        <w:pStyle w:val="TextoNormal"/>
      </w:pPr>
    </w:p>
    <w:p w14:paraId="74BA68B8" w14:textId="77777777" w:rsidR="008D479B" w:rsidRDefault="008D479B" w:rsidP="008D479B">
      <w:pPr>
        <w:pStyle w:val="TextoNormal"/>
      </w:pPr>
      <w:r>
        <w:t>Son las consecuencias sanitarias que pueden afectar, con casi toda seguridad, no solo a los manifestantes, sino también a las personas que puedan tener accidentalmente contacto con ellos, las que deben llevar a la adopción de la decisión de permitir o prohibir una manifestación. Y en las circunstancias actuales, es un hecho notorio que es muy probable que se puedan producir contagios entre las personas participantes que luego puedan extenderse entre sus círculos de amistad, profesionales y familiares, incrementando de esta manera la crisis sanitaria por más que se adopten medidas de seguridad”.</w:t>
      </w:r>
    </w:p>
    <w:p w14:paraId="5C710524" w14:textId="77777777" w:rsidR="008D479B" w:rsidRDefault="008D479B" w:rsidP="008D479B">
      <w:pPr>
        <w:pStyle w:val="TextoNormal"/>
      </w:pPr>
    </w:p>
    <w:p w14:paraId="4AA8DDFA" w14:textId="77777777" w:rsidR="008D479B" w:rsidRDefault="008D479B" w:rsidP="008D479B">
      <w:pPr>
        <w:pStyle w:val="TextoNormal"/>
      </w:pPr>
      <w:r>
        <w:t xml:space="preserve">De lo anteriormente expuesto se puede apreciar que la resolución gubernativa impugnada, luego confirmada en vía judicial, exterioriza el fundamento de la prohibición que es, en síntesis, el peligro para la salud que entraña la pandemia provocada por covid-19. No cabe duda de que entre los valores constitucionales diferentes de la alteración del orden público que pueden justificar una limitación de los derechos de reunión y manifestación se encuentran los que se ponen en juego en una crisis sanitaria: el derecho a la vida y a la integridad física (art. 15 CE) y a la protección de la salud (art. 43 CE). Así lo ha constatado tanto el Tribunal Europeo de Derechos Humanos en su sentencia de 9 de abril de 2002 (caso </w:t>
      </w:r>
      <w:r w:rsidRPr="008D479B">
        <w:rPr>
          <w:i/>
        </w:rPr>
        <w:t>Cisse</w:t>
      </w:r>
      <w:r>
        <w:t xml:space="preserve">, § 5) y, específicamente respecto de la pandemia causada por el covid-19 en la sentencia de 15 de marzo de 2022 (caso </w:t>
      </w:r>
      <w:r w:rsidRPr="008D479B">
        <w:rPr>
          <w:i/>
        </w:rPr>
        <w:t>Communauté genevoise d’action syndicale</w:t>
      </w:r>
      <w:r>
        <w:t>, § 80); como este tribunal en la STC 183/2021, de 27 de octubre, FJ 6 B) i); en el ATC 40/2020, de 30 de abril, FJ 4 b) ii) y en la STC 61/2023, FJ 3 A).</w:t>
      </w:r>
    </w:p>
    <w:p w14:paraId="21FA4F56" w14:textId="77777777" w:rsidR="008D479B" w:rsidRDefault="008D479B" w:rsidP="008D479B">
      <w:pPr>
        <w:pStyle w:val="TextoNormal"/>
      </w:pPr>
    </w:p>
    <w:p w14:paraId="1B34FFE4" w14:textId="77777777" w:rsidR="008D479B" w:rsidRDefault="008D479B" w:rsidP="008D479B">
      <w:pPr>
        <w:pStyle w:val="TextoNormal"/>
      </w:pPr>
      <w:r>
        <w:t xml:space="preserve">Ahora bien, la existencia de un bien de relevancia constitucional invocado por la resolución administrativa es una condición necesaria pero no suficiente para justificar la restricción del derecho fundamental. La doctrina constitucional exige, además, que, en el caso concreto examinado, los datos y argumentos aportados, aplicando criterios de proporcionalidad, sean suficientes para justificar la medida que adoptó la Delegación del Gobierno, que fue la más extrema de las posibles, ya que prohibió la manifestación. Lo que se debía examinar, por tanto, es si la prohibición de la manifestación ha sido proporcionada al fin perseguido, o si, teniendo en cuenta el principio </w:t>
      </w:r>
      <w:r w:rsidRPr="008D479B">
        <w:rPr>
          <w:i/>
        </w:rPr>
        <w:t>favor libertatis</w:t>
      </w:r>
      <w:r>
        <w:t>, que rige respecto a la posible restricción de derechos fundamentales, existían vías menos gravosas para que la autoridad gubernativa conciliase el derecho en cuestión con los intereses constitucionalmente protegibles.</w:t>
      </w:r>
    </w:p>
    <w:p w14:paraId="315677F4" w14:textId="77777777" w:rsidR="008D479B" w:rsidRDefault="008D479B" w:rsidP="008D479B">
      <w:pPr>
        <w:pStyle w:val="TextoNormal"/>
      </w:pPr>
    </w:p>
    <w:p w14:paraId="2AF24F5C" w14:textId="77777777" w:rsidR="008D479B" w:rsidRDefault="008D479B" w:rsidP="008D479B">
      <w:pPr>
        <w:pStyle w:val="TextoNormal"/>
      </w:pPr>
      <w:r>
        <w:t>Segundo. El deficiente juicio de proporcionalidad de la resolución gubernativa</w:t>
      </w:r>
    </w:p>
    <w:p w14:paraId="7504DFF5" w14:textId="77777777" w:rsidR="008D479B" w:rsidRDefault="008D479B" w:rsidP="008D479B">
      <w:pPr>
        <w:pStyle w:val="TextoNormal"/>
      </w:pPr>
    </w:p>
    <w:p w14:paraId="0834693B" w14:textId="77777777" w:rsidR="008D479B" w:rsidRDefault="008D479B" w:rsidP="008D479B">
      <w:pPr>
        <w:pStyle w:val="TextoNormal"/>
      </w:pPr>
      <w:r>
        <w:t>En ese “test de proporcionalidad” cabe coincidir con la sentencia en que la prohibición es idónea para la consecución de la finalidad legítima que pretende, pues no parece objetable que, si el virus se contagia mediante el contacto personal, el riesgo siempre será menor si no se celebra la manifestación convocada, por lo que la decisión impugnada superaría el primer requisito.</w:t>
      </w:r>
    </w:p>
    <w:p w14:paraId="1DDCC077" w14:textId="77777777" w:rsidR="008D479B" w:rsidRDefault="008D479B" w:rsidP="008D479B">
      <w:pPr>
        <w:pStyle w:val="TextoNormal"/>
      </w:pPr>
    </w:p>
    <w:p w14:paraId="7A8117EC" w14:textId="77777777" w:rsidR="008D479B" w:rsidRDefault="008D479B" w:rsidP="008D479B">
      <w:pPr>
        <w:pStyle w:val="TextoNormal"/>
      </w:pPr>
      <w:r>
        <w:t>Mi desacuerdo se centra en el segundo paso de este análisis de la proporcionalidad de la prohibición, esto es, el juicio de necesidad o de alternativa menos restrictiva. Mediante el juicio de necesidad se debe valorar si, a la vista de las características concretas del acto (asistentes, espacio, duración, etc.), el riesgo era tal que justificara la prohibición o si, en cambio, hubieran podido articularse soluciones menos drásticas con una “eficacia pareja” (STC 148/2021, de 14 de julio, FJ 3). Y eso solamente era posible si, a la vista de la comunicación recibida, la autoridad gubernativa hubiera adoptado una actitud tendente a explorar las posibilidades de cohonestar el ejercicio de un derecho no sometido a autorización con los requerimientos de la situación sanitaria. Y lo cierto es que, pese a los notables esfuerzos de la sentencia de la que discrepo para suplir esa deficiencia en la actuación de la administración, esa circunstancia es, a mi juicio, determinante de que, en este caso, se hubiera debido apreciar que la prohibición, en las circunstancias en que se produjo, era contraria a la consolidada doctrina constitucional que la sentencia dice aplicar. Ello sin perjuicio de destacar que la insuficiencia de motivación de la resolución administrativa no puede ser suplida ni por el órgano judicial, ni por este tribunal, que es, precisamente, lo que hace. La sentencia aprobada, consciente del ostensible déficit argumentativo de la resolución gubernativa de prohibición de la manifestación suple a esta, completando y argumentando lo que esa autoridad gubernativa no fue capaz de hacer.</w:t>
      </w:r>
    </w:p>
    <w:p w14:paraId="4C68A914" w14:textId="77777777" w:rsidR="008D479B" w:rsidRDefault="008D479B" w:rsidP="008D479B">
      <w:pPr>
        <w:pStyle w:val="TextoNormal"/>
      </w:pPr>
    </w:p>
    <w:p w14:paraId="0A09A7A7" w14:textId="77777777" w:rsidR="008D479B" w:rsidRDefault="008D479B" w:rsidP="008D479B">
      <w:pPr>
        <w:pStyle w:val="TextoNormal"/>
      </w:pPr>
      <w:r>
        <w:t>Hasta tal punto es así que, de hecho, para la resolución administrativa son indiferentes las circunstancias concretas en las que la manifestación pretendía celebrarse. La resolución impugnada responde a un modelo estereotipado y formulario, sin el mínimo esfuerzo objetivador en relación con la concreta manifestación promovida. La resolución prohíbe la manifestación por dos razones: (i) que bajo la vigencia del estado de alarma han de limitarse los movimientos de los ciudadanos; y (ii) que es un hecho notorio la probabilidad de “contagios entre las personas participantes que luego puedan extenderse entre sus círculos de amistad, profesionales y familiares, incrementando de esta manera la crisis sanitaria por más que se adopten medidas de seguridad”.</w:t>
      </w:r>
    </w:p>
    <w:p w14:paraId="29FD683D" w14:textId="77777777" w:rsidR="008D479B" w:rsidRDefault="008D479B" w:rsidP="008D479B">
      <w:pPr>
        <w:pStyle w:val="TextoNormal"/>
      </w:pPr>
    </w:p>
    <w:p w14:paraId="0833D220" w14:textId="77777777" w:rsidR="008D479B" w:rsidRDefault="008D479B" w:rsidP="008D479B">
      <w:pPr>
        <w:pStyle w:val="TextoNormal"/>
      </w:pPr>
      <w:r>
        <w:t>La primera de las dos razones es indubitada: cabe la restricción de la movilidad durante la vigencia del estado de alarma, pero esa restricción es una limitación para el ejercicio del derecho de manifestación no fundamento para su prohibición, que es como lo entiende la resolución recurrida. La segunda de las afirmaciones es asumida acríticamente en la sentencia, sobre la base de sostener que los hechos notorios no deben justificarse, de suerte que construye una suerte de obviedad de lo notorio, que no requiere un mínimo esfuerzo argumentativo, olvidando que el art. 103 CE sujeta a las administraciones públicas a servir con objetividad los intereses generales con sometimiento pleno a la ley y al derecho y que, en su virtud, no hay ámbitos exentos o inmunes al deber de motivación específico y a la garantía del principio de interdicción de la arbitrariedad, muy especialmente cuando de derechos fundamentales hablamos.</w:t>
      </w:r>
    </w:p>
    <w:p w14:paraId="69D77DED" w14:textId="77777777" w:rsidR="008D479B" w:rsidRDefault="008D479B" w:rsidP="008D479B">
      <w:pPr>
        <w:pStyle w:val="TextoNormal"/>
      </w:pPr>
    </w:p>
    <w:p w14:paraId="4FA99162" w14:textId="77777777" w:rsidR="008D479B" w:rsidRDefault="008D479B" w:rsidP="008D479B">
      <w:pPr>
        <w:pStyle w:val="TextoNormal"/>
      </w:pPr>
      <w:r>
        <w:t>Reconozco que el complejo contexto provocado por la pandemia de covid-19 ha venido obligando a las administraciones públicas a adoptar decisiones teniendo en cuenta intereses contrapuestos y valorando riesgos y beneficios con un notable grado de incertidumbre; pero conviene recordar también que el objeto de este proceso constitucional no es enjuiciar la decisión del ahora recurrente de convocar una manifestación en las concretas circunstancias concurrentes el día 2 de mayo de 2020, sino si la respuesta que la autoridad gubernativa da a esa pretensión se ajusta a la doctrina constitucional sobre el art. 21 CE. Esta es nuestra misión, fuera de cualquier otro modo de aproximación al caso.</w:t>
      </w:r>
    </w:p>
    <w:p w14:paraId="78843D9D" w14:textId="77777777" w:rsidR="008D479B" w:rsidRDefault="008D479B" w:rsidP="008D479B">
      <w:pPr>
        <w:pStyle w:val="TextoNormal"/>
      </w:pPr>
    </w:p>
    <w:p w14:paraId="4A0D7649" w14:textId="77777777" w:rsidR="008D479B" w:rsidRDefault="008D479B" w:rsidP="008D479B">
      <w:pPr>
        <w:pStyle w:val="TextoNormal"/>
      </w:pPr>
      <w:r>
        <w:t>Tercero. La insuficiencia constitucional de las razones justificativas de la prohibición de la manifestación</w:t>
      </w:r>
    </w:p>
    <w:p w14:paraId="1998A107" w14:textId="77777777" w:rsidR="008D479B" w:rsidRDefault="008D479B" w:rsidP="008D479B">
      <w:pPr>
        <w:pStyle w:val="TextoNormal"/>
      </w:pPr>
    </w:p>
    <w:p w14:paraId="70530EEE" w14:textId="77777777" w:rsidR="008D479B" w:rsidRDefault="008D479B" w:rsidP="008D479B">
      <w:pPr>
        <w:pStyle w:val="TextoNormal"/>
      </w:pPr>
      <w:r>
        <w:t>Desde el punto de vista del examen de las razones aportadas por la autoridad gubernativa para prohibir la manifestación, que es el propio de este proceso de amparo, ninguna de las dos, la limitación de movimientos de los ciudadanos bajo la vigencia del estado de alarma han de limitarse y la notoriedad de la probabilidad de contagios, supera el canon constitucional, de suerte que la motivación ofrecida por la Delegación del Gobierno en Madrid en la resolución impugnada, confirmada judicialmente, es constitucionalmente insuficiente.</w:t>
      </w:r>
    </w:p>
    <w:p w14:paraId="29EC87E3" w14:textId="77777777" w:rsidR="008D479B" w:rsidRDefault="008D479B" w:rsidP="008D479B">
      <w:pPr>
        <w:pStyle w:val="TextoNormal"/>
      </w:pPr>
    </w:p>
    <w:p w14:paraId="05A3A9F9" w14:textId="77777777" w:rsidR="008D479B" w:rsidRDefault="008D479B" w:rsidP="008D479B">
      <w:pPr>
        <w:pStyle w:val="TextoNormal"/>
      </w:pPr>
      <w:r>
        <w:t xml:space="preserve">La primera por cuanto, bajo la vigencia del estado de alarma declarado por el Real Decreto 463/2020, el derecho de manifestación no estaba suspendido más allá de que este pudiera estar </w:t>
      </w:r>
      <w:r w:rsidRPr="008D479B">
        <w:rPr>
          <w:i/>
        </w:rPr>
        <w:t>de facto</w:t>
      </w:r>
      <w:r>
        <w:t xml:space="preserve"> dificultado por la medida general de confinamiento en domicilio. Tal derecho de manifestación permanecía incólume durante ese período (STC 148/2021, FJ 6) y se mantiene la garantía constitucional de que las reuniones en lugares de tránsito público y manifestaciones solo podrán ser prohibidas (o condicionadas a modificaciones de fecha, lugar o itinerario) cuando existan “razones fundadas de alteración del orden público, con peligro para personas o bienes”; o bien cuando su ejercicio pueda deparar “la desproporcionada perturbación de otros bienes o derechos protegidos por nuestra Constitución” (STC 193/2011, FJ 3).</w:t>
      </w:r>
    </w:p>
    <w:p w14:paraId="417705F8" w14:textId="77777777" w:rsidR="008D479B" w:rsidRDefault="008D479B" w:rsidP="008D479B">
      <w:pPr>
        <w:pStyle w:val="TextoNormal"/>
      </w:pPr>
    </w:p>
    <w:p w14:paraId="31D730F8" w14:textId="77777777" w:rsidR="008D479B" w:rsidRDefault="008D479B" w:rsidP="008D479B">
      <w:pPr>
        <w:pStyle w:val="TextoNormal"/>
      </w:pPr>
      <w:r>
        <w:t>Por tanto, la mera cita del Real Decreto 463/2020 y a la alusión a la limitación general de movimientos no puede fundar la prohibición de ejercicio de un derecho fundamental no limitado por la declaración del estado de alarma, ni exime de la necesidad de estar al caso concreto y a la debida ponderación de sus circunstancias a efectos de, antes de optar por la prohibición, valorar, al menos, la posibilidad de adoptar las medidas preventivas necesarias para facilitar el ejercicio efectivo del derecho en condiciones adecuadas a las exigencias de limitación del contacto personal por razón de la pandemia. La sentencia reconoce formalmente lo anterior, pero considera que esa declaración del estado de alarma es un “elemento de contexto que acredita la realidad de una grave crisis sanitaria que debe tenerse presente en la necesaria ponderación”, lo que, en la práctica, se traduce, como ya se señaló en el voto particular a la STC 61/2023, en un desconocimiento de la doctrina constitucional antes citada y en una suspensión de facto de los derechos de reunión y manifestación durante la vigencia del citado estado de alarma.</w:t>
      </w:r>
    </w:p>
    <w:p w14:paraId="37A5BB58" w14:textId="77777777" w:rsidR="008D479B" w:rsidRDefault="008D479B" w:rsidP="008D479B">
      <w:pPr>
        <w:pStyle w:val="TextoNormal"/>
      </w:pPr>
    </w:p>
    <w:p w14:paraId="3EE87BEB" w14:textId="77777777" w:rsidR="008D479B" w:rsidRDefault="008D479B" w:rsidP="008D479B">
      <w:pPr>
        <w:pStyle w:val="TextoNormal"/>
      </w:pPr>
      <w:r>
        <w:t>La segunda razón tampoco puede reputarse válida, porque es una valoración genérica que se basa exclusivamente en la situación generada por la crisis sanitaria. Es una decisión que no obedece a ninguna razón explicitada en la propia resolución y sí solo, en cambio, a meras consideraciones genéricas fundadas en el simple criterio de la autoridad gubernativa, luego ratificado en vía judicial, sin apoyo en informe técnico alguno.</w:t>
      </w:r>
    </w:p>
    <w:p w14:paraId="6BBBDA07" w14:textId="77777777" w:rsidR="008D479B" w:rsidRDefault="008D479B" w:rsidP="008D479B">
      <w:pPr>
        <w:pStyle w:val="TextoNormal"/>
      </w:pPr>
    </w:p>
    <w:p w14:paraId="1AF31A33" w14:textId="77777777" w:rsidR="008D479B" w:rsidRDefault="008D479B" w:rsidP="008D479B">
      <w:pPr>
        <w:pStyle w:val="TextoNormal"/>
      </w:pPr>
      <w:r>
        <w:t>Ya he advertido antes que la notoriedad de la pandemia y sus implicaciones no exime, al contrario de lo que parece sugerir la sentencia, de la necesidad de que la administración justifique sus decisiones y proyecte las consideraciones de salud pública, en las que funda la prohibición, a la concreta manifestación comunicada.</w:t>
      </w:r>
    </w:p>
    <w:p w14:paraId="00784FB1" w14:textId="77777777" w:rsidR="008D479B" w:rsidRDefault="008D479B" w:rsidP="008D479B">
      <w:pPr>
        <w:pStyle w:val="TextoNormal"/>
      </w:pPr>
    </w:p>
    <w:p w14:paraId="3AC71B76" w14:textId="77777777" w:rsidR="008D479B" w:rsidRDefault="008D479B" w:rsidP="008D479B">
      <w:pPr>
        <w:pStyle w:val="TextoNormal"/>
      </w:pPr>
      <w:r>
        <w:t>El problema al que se enfrentaba la autoridad gubernativa era el de si el riesgo de contagio que provocan las concentraciones de personas justificaba una prohibición de manifestarse. Pero eso únicamente podía valorarse si se analizan las características de la manifestación pretendida y las circunstancias que rodearían su ejercicio, para después proyectar ambos extremos a una situación sanitaria determinada, lo que es patente que no se hizo, pues ni hay tal proyección, ni se explicitan en la resolución los datos y elementos definitorios de una situación sanitaria tan grave que justifique la prohibición.</w:t>
      </w:r>
    </w:p>
    <w:p w14:paraId="472892A2" w14:textId="77777777" w:rsidR="008D479B" w:rsidRDefault="008D479B" w:rsidP="008D479B">
      <w:pPr>
        <w:pStyle w:val="TextoNormal"/>
      </w:pPr>
    </w:p>
    <w:p w14:paraId="3C408810" w14:textId="77777777" w:rsidR="008D479B" w:rsidRDefault="008D479B" w:rsidP="008D479B">
      <w:pPr>
        <w:pStyle w:val="TextoNormal"/>
      </w:pPr>
      <w:r>
        <w:t>No cabe dudar de la gravedad de la pandemia, pero lo relevante ahora es que no hay ponderación de los intereses en conflicto, ni se fundamenta la decisión en informes o criterios técnicos acerca de la situación sanitaria en el momento y lugar de la manifestación, ni, en fin, se toman en consideración las circunstancias de tiempo y lugar expuestas en la convocatoria. No se concretan, en suma, los riesgos del caso. Constato así que la necesidad de la medida no se razona con “aplicación específica al caso”, como exige nuestra doctrina para justificar la limitación de un derecho fundamental (por todas, STC 163/2006, de 22 de mayo, FJ 5).</w:t>
      </w:r>
    </w:p>
    <w:p w14:paraId="1D30CDF2" w14:textId="77777777" w:rsidR="008D479B" w:rsidRDefault="008D479B" w:rsidP="008D479B">
      <w:pPr>
        <w:pStyle w:val="TextoNormal"/>
      </w:pPr>
    </w:p>
    <w:p w14:paraId="46DC62EE" w14:textId="77777777" w:rsidR="008D479B" w:rsidRDefault="008D479B" w:rsidP="008D479B">
      <w:pPr>
        <w:pStyle w:val="TextoNormal"/>
      </w:pPr>
      <w:r>
        <w:t>Y que la pandemia fuera un hecho notorio, como dice la sentencia, no exime a la autoridad gubernativa de la ponderación que era debida. Todo lo contrario, pues tal notoriedad debería haber hecho más sencilla la proyección de la situación sanitaria a la concreta manifestación comunicada.</w:t>
      </w:r>
    </w:p>
    <w:p w14:paraId="24F55EAC" w14:textId="77777777" w:rsidR="008D479B" w:rsidRDefault="008D479B" w:rsidP="008D479B">
      <w:pPr>
        <w:pStyle w:val="TextoNormal"/>
      </w:pPr>
    </w:p>
    <w:p w14:paraId="09EC96DC" w14:textId="77777777" w:rsidR="008D479B" w:rsidRDefault="008D479B" w:rsidP="008D479B">
      <w:pPr>
        <w:pStyle w:val="TextoNormal"/>
      </w:pPr>
      <w:r>
        <w:t xml:space="preserve">De hecho, la razón de la prohibición aparece formulada en términos generales, sin particularizar para la concreta manifestación, lo que no es admisible, tal como resaltó la STC 61/2023 en su FJ 3 B b). Con esta forma de razonar se alude a una realidad que afecta por igual a todas y cada una de las concentraciones de personas a celebrar en ese momento en la Comunidad de Madrid, con independencia de sus características y de las medidas preventivas que los promotores pudieran articular, lo que, </w:t>
      </w:r>
      <w:r w:rsidRPr="008D479B">
        <w:rPr>
          <w:i/>
        </w:rPr>
        <w:t>de facto</w:t>
      </w:r>
      <w:r>
        <w:t>, vendría a ser equivalente a una restricción o limitación de conjunto de todos los supuestos de ejercicio de este derecho durante el tiempo en que dicha coyuntura se mantuviese efectiva con un razonamiento basado en un riesgo solamente afirmado y no demostrado. Con ello también se obvia la doctrina constitucional que ha resaltado que “para que los poderes públicos puedan incidir en el derecho de reunión constitucionalmente garantizado, ya sea restringiéndolo, modificando las circunstancias de su ejercicio, o prohibiéndolo incluso, es preciso, tal y como acaba de señalarse, que existan razones fundadas, lo que implica una exigencia de motivación de la resolución correspondiente en la que se aporten las razones que han llevado a la autoridad gubernativa a concluir que el ejercicio del derecho fundamental de reunión, tal y como se hubo proyectado por su promotor o sus promotores, producirá una alteración del orden público proscrita en el art. 21.2 CE, o bien la desproporcionada perturbación de otros bienes o derechos protegidos por nuestra Constitución”. Pero para ello “no basta con que existan dudas sobre si el derecho de reunión pudiera producir efectos negativos, debiendo presidir toda actuación limitativa del mismo el principio o criterio de favorecimiento del derecho de reunión […] de manera que solamente razones convincentes e imperativas pueden justificar las restricciones a esa libertad” (STC 170/2008, de 15 de diciembre, FJ 3).</w:t>
      </w:r>
    </w:p>
    <w:p w14:paraId="1FE2F342" w14:textId="77777777" w:rsidR="008D479B" w:rsidRDefault="008D479B" w:rsidP="008D479B">
      <w:pPr>
        <w:pStyle w:val="TextoNormal"/>
      </w:pPr>
    </w:p>
    <w:p w14:paraId="63A1522C" w14:textId="77777777" w:rsidR="008D479B" w:rsidRDefault="008D479B" w:rsidP="008D479B">
      <w:pPr>
        <w:pStyle w:val="TextoNormal"/>
      </w:pPr>
      <w:r>
        <w:t>Tampoco, por lo demás, se fundamenta específicamente la opción de la autoridad gubernativa por la alternativa más restrictiva de todas las posibles, la prohibición de la manifestación, sin explorar otras decisiones que, a la vista la regulación de la Ley Orgánica 9/1983, de 15 de julio, reguladora del derecho de reunión (LODR), hubieran sido teóricamente posibles y hubieran podido suponer condicionamientos o limitaciones adjetivas al ejercicio del derecho, pero no su supresión. Así, la resolución gubernativa, ratificada en vía judicial, en ningún momento justifica la imposibilidad de adoptar las medidas preventivas necesarias para conjurar los peligros que advierte y permitir el efectivo ejercicio de un derecho fundamental que no precisa de autorización previa. La autoridad gubernativa se ha limitado a prohibir, sin hacer propuesta alguna de modificación o de imposición de condiciones y sin motivar, con especial referencia al caso, las razones que le llevan a adoptar esa decisión. Se obvia con ello que, según afirmó la STC 66/1995, de 8 de mayo, FJ 3, la prohibición es “el último recurso”, debiendo la autoridad “justificar la imposibilidad de adoptar las medidas preventivas necesarias para conjurar esos peligros y permitir el efectivo ejercicio del derecho fundamental”.</w:t>
      </w:r>
    </w:p>
    <w:p w14:paraId="5A93E181" w14:textId="77777777" w:rsidR="008D479B" w:rsidRDefault="008D479B" w:rsidP="008D479B">
      <w:pPr>
        <w:pStyle w:val="TextoNormal"/>
      </w:pPr>
    </w:p>
    <w:p w14:paraId="05A8ED77" w14:textId="77777777" w:rsidR="008D479B" w:rsidRDefault="008D479B" w:rsidP="008D479B">
      <w:pPr>
        <w:pStyle w:val="TextoNormal"/>
      </w:pPr>
      <w:r>
        <w:t>Dado que, “incluso en los supuestos en los que existan razones fundadas de que una concentración puede producir alteraciones del orden público con peligro para personas y bienes, la autoridad gubernativa, aplicando criterios de proporcionalidad, antes de prohibirla deberá utilizar, si ello es posible, la facultad que le reconoce el art. 10 LODR y proponer las modificaciones de fecha, lugar o duración al objeto de que la reunión pueda celebrarse” (STC 163/2006, de 22 de mayo, FJ 3), la Delegación del Gobierno en Madrid debería haber justificado, por referencia a la manifestación aquí enjuiciada, que no existían fórmulas que hicieran compatible el ejercicio del derecho del art. 21 CE con la protección de la salud. Justificación de la que está huérfana la decisión impugnada.</w:t>
      </w:r>
    </w:p>
    <w:p w14:paraId="7BD62E38" w14:textId="77777777" w:rsidR="008D479B" w:rsidRDefault="008D479B" w:rsidP="008D479B">
      <w:pPr>
        <w:pStyle w:val="TextoNormal"/>
      </w:pPr>
    </w:p>
    <w:p w14:paraId="7C1E7D0E" w14:textId="77777777" w:rsidR="008D479B" w:rsidRDefault="008D479B" w:rsidP="008D479B">
      <w:pPr>
        <w:pStyle w:val="TextoNormal"/>
      </w:pPr>
      <w:r>
        <w:t>Por tanto, la prohibición adoptada no satisface las exigencias de proporcionalidad necesarias en las resoluciones limitadoras de derechos fundamentales, en tanto carece de la evaluación específica de las circunstancias de celebración de la manifestación, ni atiende a la posibilidad o no de adoptar medidas alternativas que permitan su celebración.</w:t>
      </w:r>
    </w:p>
    <w:p w14:paraId="62D72CD8" w14:textId="77777777" w:rsidR="008D479B" w:rsidRDefault="008D479B" w:rsidP="008D479B">
      <w:pPr>
        <w:pStyle w:val="TextoNormal"/>
      </w:pPr>
    </w:p>
    <w:p w14:paraId="7BED24BD" w14:textId="77777777" w:rsidR="008D479B" w:rsidRDefault="008D479B" w:rsidP="008D479B">
      <w:pPr>
        <w:pStyle w:val="TextoNormal"/>
      </w:pPr>
      <w:r>
        <w:t>Cuarto. La sentencia de que discrepo asume un papel que no le corresponde colmando el déficit argumentativo de la autoridad gubernativa</w:t>
      </w:r>
    </w:p>
    <w:p w14:paraId="5622550D" w14:textId="77777777" w:rsidR="008D479B" w:rsidRDefault="008D479B" w:rsidP="008D479B">
      <w:pPr>
        <w:pStyle w:val="TextoNormal"/>
      </w:pPr>
    </w:p>
    <w:p w14:paraId="2FF8C4B9" w14:textId="77777777" w:rsidR="008D479B" w:rsidRDefault="008D479B" w:rsidP="008D479B">
      <w:pPr>
        <w:pStyle w:val="TextoNormal"/>
      </w:pPr>
      <w:r>
        <w:t>La sentencia aprobada es plenamente consciente de cuanto se ha expuesto, pero trata de suplir esa carencia de ponderación por quien estaba constitucionalmente obligado a hacerlo, esto es, quien pretende prohibir el ejercicio de un derecho fundamental, de dos modos diferentes, ninguno de los cuales es convincente.</w:t>
      </w:r>
    </w:p>
    <w:p w14:paraId="09CFB523" w14:textId="77777777" w:rsidR="008D479B" w:rsidRDefault="008D479B" w:rsidP="008D479B">
      <w:pPr>
        <w:pStyle w:val="TextoNormal"/>
      </w:pPr>
    </w:p>
    <w:p w14:paraId="668CF2BE" w14:textId="77777777" w:rsidR="008D479B" w:rsidRDefault="008D479B" w:rsidP="008D479B">
      <w:pPr>
        <w:pStyle w:val="TextoNormal"/>
      </w:pPr>
      <w:r>
        <w:t>El primero es completar este apreciado déficit de motivación de la prohibición acordada por la autoridad gubernativa apoyándose en la posterior decisión judicial. Tal juicio de ponderación, y, por ende, de motivación, corresponde hacerlo a la autoridad gubernativa y queda vedado a los órganos jurisdiccionales, tal como se desprende del apartado 3 del art. 122 la Ley 29/1998, de 13 de julio, reguladora de la jurisdicción contencioso-administrativa, el cual, tras determinar el cauce procesal por el que se puede recurrir una prohibición o una propuesta de modificación de una manifestación no aceptada por los promotores, se determina con carácter imperativo que: “La decisión que se adopte únicamente podrá mantener o revocar la prohibición o las modificaciones propuestas”. Resulta así que el objeto del control judicial, tal como lo ha diseñado el legislador procesal ajustándose a lo dispuesto en el art. 21 CE, no es propiamente la forma en la que va a desarrollarse la manifestación sino, más precisamente, el modo en el que la autoridad gubernativa ha ejercido la potestad que le reconoce el art. 21.2 CE. De este modo es la administración pública la que debe motivar sus actos —de forma tanto más intensa cuanto afectan al ejercicio de un derecho fundamental esencial en una sociedad democrática— y ese déficit de motivación no puede ser suplido por los tribunales de justicia, los cuales tienen que controlar precisamente si esa motivación resulta o no suficiente para justificar la restricción de un derecho fundamental que, recordamos una vez más, ni está sometido a autorización previa, ni venía expresamente limitado por la declaración del estado de alarma.</w:t>
      </w:r>
    </w:p>
    <w:p w14:paraId="3FCA23BA" w14:textId="77777777" w:rsidR="008D479B" w:rsidRDefault="008D479B" w:rsidP="008D479B">
      <w:pPr>
        <w:pStyle w:val="TextoNormal"/>
      </w:pPr>
    </w:p>
    <w:p w14:paraId="7BC00AFD" w14:textId="77777777" w:rsidR="008D479B" w:rsidRDefault="008D479B" w:rsidP="008D479B">
      <w:pPr>
        <w:pStyle w:val="TextoNormal"/>
      </w:pPr>
      <w:r>
        <w:t>El segundo es aportando su propio razonamiento en dos puntos que entiende determinantes de la desestimación del amparo solicitado: (i) respecto a la eficacia de la prohibición en relación con la necesidad de prevenir contagios; y (ii) respecto a la notoriedad de la pandemia y su incidencia.</w:t>
      </w:r>
    </w:p>
    <w:p w14:paraId="6EBBB137" w14:textId="77777777" w:rsidR="008D479B" w:rsidRDefault="008D479B" w:rsidP="008D479B">
      <w:pPr>
        <w:pStyle w:val="TextoNormal"/>
      </w:pPr>
    </w:p>
    <w:p w14:paraId="3A91DE11" w14:textId="77777777" w:rsidR="008D479B" w:rsidRDefault="008D479B" w:rsidP="008D479B">
      <w:pPr>
        <w:pStyle w:val="TextoNormal"/>
      </w:pPr>
      <w:r>
        <w:t>Con lo primero, la sentencia mezcla en realidad dos planos, el de la idoneidad de la medida, que es indiscutible, con la carga que pesa sobre la administración de plantearse si existían alternativas menos sacrificiales a la prohibición haciendo uso de la facultad que le reconoce el art. 10 LODR. De hecho, en los tres párrafos que la sentencia dedica al examen de la necesidad de la prohibición se menciona en varias ocasiones que la prohibición era “idónea o eficaz”, y con tales consideraciones de eficacia de la medida o de inexistencia de “otras menos restrictivas de eficacia pareja”.</w:t>
      </w:r>
    </w:p>
    <w:p w14:paraId="0514CB36" w14:textId="77777777" w:rsidR="008D479B" w:rsidRDefault="008D479B" w:rsidP="008D479B">
      <w:pPr>
        <w:pStyle w:val="TextoNormal"/>
      </w:pPr>
    </w:p>
    <w:p w14:paraId="3F6C19D0" w14:textId="77777777" w:rsidR="008D479B" w:rsidRDefault="008D479B" w:rsidP="008D479B">
      <w:pPr>
        <w:pStyle w:val="TextoNormal"/>
      </w:pPr>
      <w:r>
        <w:t>Con ello parece pretenderse, por un lado, eximir a la administración de la correcta aplicación de los criterios de proporcionalidad exigibles a toda medida restrictiva de derechos, a efectos de buscar una alternativa menos gravosa, ponderando las circunstancias relativas al modo, lugar y tiempo de la manifestación. Por otro, parece darse a entender que la eficacia de la medida en relación con la situación sanitaria justifica por sí misma la prohibición.</w:t>
      </w:r>
    </w:p>
    <w:p w14:paraId="41A5F030" w14:textId="77777777" w:rsidR="008D479B" w:rsidRDefault="008D479B" w:rsidP="008D479B">
      <w:pPr>
        <w:pStyle w:val="TextoNormal"/>
      </w:pPr>
    </w:p>
    <w:p w14:paraId="13124EB1" w14:textId="77777777" w:rsidR="008D479B" w:rsidRDefault="008D479B" w:rsidP="008D479B">
      <w:pPr>
        <w:pStyle w:val="TextoNormal"/>
      </w:pPr>
      <w:r>
        <w:t>Pero en este juicio de necesidad no se trataba solamente de asegurar la consecución de la finalidad de salud pública pretendida por la autoridad administrativa, sino de algo más complejo: debió, al menos, explorar la posibilidad de cohonestar el ejercicio del derecho con las consideraciones de salud pública justificativas de su restricción. Esa es una opción que, a la vista de las circunstancias del caso, la autoridad gubernativa ni se planteó y que la sentencia da por buena, señalando que no hay ninguna medida más eficaz que la prohibición, lo que es indiscutible, pero que no es lo propio del juicio de necesidad en el que hay que, al menos, plantearse si sería posible una alternativa menos restrictiva. Como ya hemos señalado, la autoridad gubernativa en ningún momento intentó utilizar en este caso la facultad del art. 10 LODR. No propuso ninguna modificación, fuese en términos de acortamiento del tiempo de la marcha, fuese de su itinerario, del número de manifestantes o cualquier otra alternativa, sino que, optando por lo más sencillo, acordó directamente la prohibición. Y esa decisión poco o nada deferente con el ejercicio de un derecho fundamental, no puede ser suplida por la argumentación de la sentencia en la medida en que, precisamente, ha de examinar la corrección constitucional de dicha actuación.</w:t>
      </w:r>
    </w:p>
    <w:p w14:paraId="7DC3A9B3" w14:textId="77777777" w:rsidR="008D479B" w:rsidRDefault="008D479B" w:rsidP="008D479B">
      <w:pPr>
        <w:pStyle w:val="TextoNormal"/>
      </w:pPr>
    </w:p>
    <w:p w14:paraId="4A39C8F1" w14:textId="77777777" w:rsidR="008D479B" w:rsidRDefault="008D479B" w:rsidP="008D479B">
      <w:pPr>
        <w:pStyle w:val="TextoNormal"/>
      </w:pPr>
      <w:r>
        <w:t>Con lo segundo, la incidencia notoria de la pandemia, sucede algo parecido. La sentencia argumenta que la pandemia y su incidencia era un hecho notorio (o que respecto de ella se daba “una alta certeza cognitiva de las premisas que justifican la intervención, es decir, una seguridad epistémica acerca del riesgo que el ejercicio del derecho supone para el bien protegido”) y que, en todo caso, era suficiente un pronóstico de peligro sobre la verificación del riesgo “en función no solo del grado de probabilidad de que efectivamente acaezca, sino de la trascendencia de los resultados lesivos que puedan producirse”.</w:t>
      </w:r>
    </w:p>
    <w:p w14:paraId="694D88B9" w14:textId="77777777" w:rsidR="008D479B" w:rsidRDefault="008D479B" w:rsidP="008D479B">
      <w:pPr>
        <w:pStyle w:val="TextoNormal"/>
      </w:pPr>
    </w:p>
    <w:p w14:paraId="224E57B1" w14:textId="77777777" w:rsidR="008D479B" w:rsidRDefault="008D479B" w:rsidP="008D479B">
      <w:pPr>
        <w:pStyle w:val="TextoNormal"/>
      </w:pPr>
      <w:r>
        <w:t>Ya he avanzado antes que tales premisas son incontrovertibles, pero considero que no son útiles para eximir a quien prohíbe una manifestación de la necesidad de proyectarlas a la situación concreta generada con la pretensión de ejercer un derecho fundamental en un contexto de tiempo y lugar determinados. Todo lo más hubiera podido facilitar una proyección al caso que, como ya he señalado, es ahora inexistente. Los datos de la pandemia serán notorios y contrastados, pero esa notoriedad no ha hecho que la autoridad los exprese y los incluya en su argumentación para prohibir el ejercicio del derecho. Y esa proyección (o, como lo llama la sentencia, “análisis concreto, atento a las circunstancias definitorias del supuesto”) ha de hacerla la autoridad gubernativa, no la sentencia de este tribunal que revisa el ajuste de esa decisión a los criterios que derivan de la doctrina constitucional. Sentencia que, reitero, hace un evidente esfuerzo por suplir la manifiesta carencia de fundamentación de la prohibición, esfuerzo que, a todas luces, no le corresponde.</w:t>
      </w:r>
    </w:p>
    <w:p w14:paraId="79B4A6ED" w14:textId="77777777" w:rsidR="008D479B" w:rsidRDefault="008D479B" w:rsidP="008D479B">
      <w:pPr>
        <w:pStyle w:val="TextoNormal"/>
      </w:pPr>
    </w:p>
    <w:p w14:paraId="77725D2E" w14:textId="77777777" w:rsidR="008D479B" w:rsidRDefault="008D479B" w:rsidP="008D479B">
      <w:pPr>
        <w:pStyle w:val="TextoNormal"/>
      </w:pPr>
      <w:r>
        <w:t>Quinto. Conclusión</w:t>
      </w:r>
    </w:p>
    <w:p w14:paraId="002B9662" w14:textId="77777777" w:rsidR="008D479B" w:rsidRDefault="008D479B" w:rsidP="008D479B">
      <w:pPr>
        <w:pStyle w:val="TextoNormal"/>
      </w:pPr>
    </w:p>
    <w:p w14:paraId="692C2CCE" w14:textId="77777777" w:rsidR="008D479B" w:rsidRDefault="008D479B" w:rsidP="008D479B">
      <w:pPr>
        <w:pStyle w:val="TextoNormal"/>
      </w:pPr>
      <w:r>
        <w:t>En suma, por cuanto llevo expuesto entiendo que la decisión de prohibir la manifestación no supera el juicio de necesidad, con lo que ya no era necesario proseguir con el juicio de proporcionalidad en sentido estricto. Debió concluirse estimando el recurso de amparo por vulneración del derecho de reunión y manifestación del recurrente (art. 21 CE) y declarar la nulidad de la Resolución de 27 marzo de 2020 del delegado del Gobierno en la Comunidad de Madrid, así como de la sentencia198/2020, de 30 de abril, dictada por la Sección Décima de la Sala de lo Contencioso-Administrativo del Tribunal Superior de Justicia de Madrid. La resolución gubernativa por vulnerar de manera directa el derecho fundamental de reunión y la sentencia por no reparar la lesión constitucional ocasionada en vía administrativa.</w:t>
      </w:r>
    </w:p>
    <w:p w14:paraId="7DB3A94C" w14:textId="77777777" w:rsidR="008D479B" w:rsidRDefault="008D479B" w:rsidP="008D479B">
      <w:pPr>
        <w:pStyle w:val="TextoNormal"/>
      </w:pPr>
    </w:p>
    <w:p w14:paraId="4D2C77F7" w14:textId="77777777" w:rsidR="008D479B" w:rsidRDefault="008D479B" w:rsidP="008D479B">
      <w:pPr>
        <w:pStyle w:val="TextoNormal"/>
      </w:pPr>
      <w:r>
        <w:t>Y en este sentido emito mi voto particular.</w:t>
      </w:r>
    </w:p>
    <w:p w14:paraId="1850E506" w14:textId="77777777" w:rsidR="008D479B" w:rsidRDefault="008D479B" w:rsidP="008D479B">
      <w:pPr>
        <w:pStyle w:val="TextoNormal"/>
      </w:pPr>
    </w:p>
    <w:p w14:paraId="2A725D28" w14:textId="726ED4B1" w:rsidR="008D479B" w:rsidRDefault="008D479B" w:rsidP="008D479B">
      <w:pPr>
        <w:pStyle w:val="TextoNormal"/>
      </w:pPr>
      <w:r>
        <w:t>Madrid, a seis de julio de dos mil veintitrés.</w:t>
      </w:r>
    </w:p>
    <w:p w14:paraId="2EA32021" w14:textId="43146C0D" w:rsidR="008D479B" w:rsidRDefault="008D479B">
      <w:pPr>
        <w:spacing w:after="160" w:line="278" w:lineRule="auto"/>
        <w:rPr>
          <w:rFonts w:ascii="Times New Roman" w:eastAsia="Times New Roman" w:hAnsi="Times New Roman" w:cs="Times New Roman"/>
          <w:sz w:val="24"/>
          <w:szCs w:val="24"/>
          <w:lang w:eastAsia="es-ES"/>
        </w:rPr>
      </w:pPr>
      <w:r>
        <w:br w:type="page"/>
      </w:r>
    </w:p>
    <w:p w14:paraId="7371E759" w14:textId="77777777" w:rsidR="008D479B" w:rsidRDefault="008D479B" w:rsidP="008D479B">
      <w:pPr>
        <w:pStyle w:val="TtuloResolucin"/>
      </w:pPr>
      <w:bookmarkStart w:id="10" w:name="SENTENCIA_2023_85"/>
      <w:r>
        <w:t>SENTENCIA 85/2023, de 5 de julio de 2023</w:t>
      </w:r>
    </w:p>
    <w:bookmarkEnd w:id="10"/>
    <w:p w14:paraId="549051D4" w14:textId="77777777" w:rsidR="008D479B" w:rsidRDefault="008D479B" w:rsidP="008D479B">
      <w:pPr>
        <w:pStyle w:val="TtuloResolucin"/>
      </w:pPr>
      <w:r>
        <w:t>Pleno</w:t>
      </w:r>
    </w:p>
    <w:p w14:paraId="369876BC" w14:textId="77777777" w:rsidR="008D479B" w:rsidRDefault="008D479B" w:rsidP="008D479B">
      <w:pPr>
        <w:pStyle w:val="TtuloBOE"/>
      </w:pPr>
      <w:r>
        <w:t>(BOE núm. 184, de 3 de agosto de 2023)</w:t>
      </w:r>
    </w:p>
    <w:p w14:paraId="4887B185" w14:textId="77777777" w:rsidR="008D479B" w:rsidRDefault="008D479B" w:rsidP="008D479B">
      <w:pPr>
        <w:pStyle w:val="TextoNormalCentrado"/>
      </w:pPr>
      <w:r>
        <w:t>ECLI:ES:TC:2023:85</w:t>
      </w:r>
    </w:p>
    <w:p w14:paraId="02C4B187" w14:textId="4EDB2783" w:rsidR="008D479B" w:rsidRDefault="008D479B" w:rsidP="008D479B">
      <w:pPr>
        <w:pStyle w:val="TextoNormalCentrado"/>
      </w:pPr>
    </w:p>
    <w:p w14:paraId="7D5F2E77" w14:textId="77777777" w:rsidR="008D479B" w:rsidRDefault="008D479B" w:rsidP="008D479B">
      <w:pPr>
        <w:pStyle w:val="SntesisDescriptiva"/>
      </w:pPr>
      <w:r>
        <w:t>Cuestión de inconstitucionalidad 6002-2021. Planteada por la Sección Tercera de la Sala de lo Contencioso-Administrativo del Tribunal Superior de Justicia del País Vasco, en relación con el artículo 6.2 de la Ley del Parlamento Vasco 2/2016, de 7 de abril, de instituciones locales de Euskadi.</w:t>
      </w:r>
    </w:p>
    <w:p w14:paraId="094A215E" w14:textId="1212FC21" w:rsidR="008D479B" w:rsidRDefault="008D479B" w:rsidP="008D479B">
      <w:pPr>
        <w:pStyle w:val="SntesisDescriptiva"/>
      </w:pPr>
    </w:p>
    <w:p w14:paraId="1222DFF3" w14:textId="77777777" w:rsidR="008D479B" w:rsidRDefault="008D479B" w:rsidP="008D479B">
      <w:pPr>
        <w:pStyle w:val="SntesisAnaltica"/>
      </w:pPr>
      <w:r>
        <w:t>Régimen de cooficialidad lingüística, principio de seguridad jurídica y derechos a la igualdad y a la participación política: nulidad parcial del precepto legal relativo a la lengua oficial de las entidades locales en la Comunidad Autónoma de Euskadi. Voto particular.</w:t>
      </w:r>
    </w:p>
    <w:p w14:paraId="2DBDBEE0" w14:textId="1B29154D" w:rsidR="008D479B" w:rsidRDefault="008D479B" w:rsidP="008D479B">
      <w:pPr>
        <w:pStyle w:val="SntesisAnaltica"/>
      </w:pPr>
    </w:p>
    <w:p w14:paraId="4ABD02F7" w14:textId="502793AC" w:rsidR="008D479B" w:rsidRDefault="008D479B" w:rsidP="008D479B">
      <w:pPr>
        <w:pStyle w:val="Extracto"/>
      </w:pPr>
      <w:r>
        <w:t>1.</w:t>
      </w:r>
      <w:r>
        <w:tab/>
        <w:t>El art. 3.3 de la Constitución se refiere a la necesidad de proteger y respetar las distintas modalidades lingüísticas de España como parte de nuestro patrimonio cultural (STC 88/2017) [FJ 3].</w:t>
      </w:r>
    </w:p>
    <w:p w14:paraId="0971D632" w14:textId="77777777" w:rsidR="008D479B" w:rsidRDefault="008D479B" w:rsidP="008D479B">
      <w:pPr>
        <w:pStyle w:val="Extracto"/>
      </w:pPr>
    </w:p>
    <w:p w14:paraId="11370BB5" w14:textId="417D4D58" w:rsidR="008D479B" w:rsidRDefault="008D479B" w:rsidP="008D479B">
      <w:pPr>
        <w:pStyle w:val="Extracto"/>
      </w:pPr>
      <w:r>
        <w:t>2.</w:t>
      </w:r>
      <w:r>
        <w:tab/>
        <w:t>Los ciudadanos tienen derecho a usar indistintamente el castellano o la lengua oficial propia de la comunidad autónoma en sus relaciones con el conjunto de las instituciones públicas que se ubican en el territorio de esa comunidad (SSTC 134/1997, 253/2005 y 31/2010) [FJ 3].</w:t>
      </w:r>
    </w:p>
    <w:p w14:paraId="2F03E9F6" w14:textId="77777777" w:rsidR="008D479B" w:rsidRDefault="008D479B" w:rsidP="008D479B">
      <w:pPr>
        <w:pStyle w:val="Extracto"/>
      </w:pPr>
    </w:p>
    <w:p w14:paraId="00683A50" w14:textId="4A31EEE2" w:rsidR="008D479B" w:rsidRDefault="008D479B" w:rsidP="008D479B">
      <w:pPr>
        <w:pStyle w:val="Extracto"/>
      </w:pPr>
      <w:r>
        <w:t>3.</w:t>
      </w:r>
      <w:r>
        <w:tab/>
        <w:t>No cabe en la Constitución la prescripción de un uso prioritario de una de las lenguas cooficiales, sacrificando el equilibrio inexcusable entre dos lenguas igualmente oficiales que, en ningún caso, pueden tener un trato privilegiado. Sin perjuicio de la procedencia de que el legislador pueda, en su caso, adoptar las adecuadas y proporcionadas medidas de política lingüística tendentes a corregir, de existir, situaciones históricas de desequilibrio de una de las lenguas oficiales respecto de la otra (STC 31/2010) [FJ 3].</w:t>
      </w:r>
    </w:p>
    <w:p w14:paraId="18F876D7" w14:textId="77777777" w:rsidR="008D479B" w:rsidRDefault="008D479B" w:rsidP="008D479B">
      <w:pPr>
        <w:pStyle w:val="Extracto"/>
      </w:pPr>
    </w:p>
    <w:p w14:paraId="3A46E244" w14:textId="11E840E5" w:rsidR="008D479B" w:rsidRDefault="008D479B" w:rsidP="008D479B">
      <w:pPr>
        <w:pStyle w:val="Extracto"/>
      </w:pPr>
      <w:r>
        <w:t>4.</w:t>
      </w:r>
      <w:r>
        <w:tab/>
        <w:t>Desde la perspectiva constitucional, el ejercicio de la potestad legislativa en materia lingüística encuentra sus límites en la necesaria preservación de la garantía de uso normal de las lenguas cooficiales y en la prohibición de medidas excluyentes, peyorativas o desproporcionadas que impliquen un desequilibrio para alguna de las lenguas oficiales (STC 165/2013) [FJ 3].</w:t>
      </w:r>
    </w:p>
    <w:p w14:paraId="3FBA3FC5" w14:textId="77777777" w:rsidR="008D479B" w:rsidRDefault="008D479B" w:rsidP="008D479B">
      <w:pPr>
        <w:pStyle w:val="Extracto"/>
      </w:pPr>
    </w:p>
    <w:p w14:paraId="50AF468D" w14:textId="7FA9F1CE" w:rsidR="008D479B" w:rsidRDefault="008D479B" w:rsidP="008D479B">
      <w:pPr>
        <w:pStyle w:val="Extracto"/>
      </w:pPr>
      <w:r>
        <w:t>5.</w:t>
      </w:r>
      <w:r>
        <w:tab/>
        <w:t>De conformidad con el art. 3.1 CE, el castellano es la lengua española oficial del Estado; todos los españoles tienen el deber de conocerla y el derecho a usarla. Y, desde la perspectiva de este precepto, no es constitucionalmente admisible la prescripción de un uso prioritario del euskera que suponga un desequilibrio injustificado y desproporcionado del uso del castellano [FJ 5].</w:t>
      </w:r>
    </w:p>
    <w:p w14:paraId="7CCD2BE6" w14:textId="77777777" w:rsidR="008D479B" w:rsidRDefault="008D479B" w:rsidP="008D479B">
      <w:pPr>
        <w:pStyle w:val="Extracto"/>
      </w:pPr>
    </w:p>
    <w:p w14:paraId="0F27A1FD" w14:textId="77777777" w:rsidR="008D479B" w:rsidRDefault="008D479B" w:rsidP="008D479B">
      <w:pPr>
        <w:pStyle w:val="Extracto"/>
      </w:pPr>
    </w:p>
    <w:p w14:paraId="75DDEB0D" w14:textId="77777777" w:rsidR="008D479B" w:rsidRDefault="008D479B" w:rsidP="008D479B">
      <w:pPr>
        <w:pStyle w:val="TextoNormal"/>
      </w:pPr>
      <w: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 ha pronunciado</w:t>
      </w:r>
    </w:p>
    <w:p w14:paraId="44E14F7E" w14:textId="097C0524" w:rsidR="008D479B" w:rsidRDefault="008D479B" w:rsidP="008D479B">
      <w:pPr>
        <w:pStyle w:val="TextoNormal"/>
      </w:pPr>
    </w:p>
    <w:p w14:paraId="25EBC8D0" w14:textId="77777777" w:rsidR="008D479B" w:rsidRDefault="008D479B" w:rsidP="008D479B">
      <w:pPr>
        <w:pStyle w:val="TextoNormalCentrado"/>
        <w:keepNext/>
      </w:pPr>
      <w:r>
        <w:t>EN NOMBRE DEL REY</w:t>
      </w:r>
    </w:p>
    <w:p w14:paraId="4D55C4CA" w14:textId="6E6B5013" w:rsidR="008D479B" w:rsidRDefault="008D479B" w:rsidP="008D479B">
      <w:pPr>
        <w:pStyle w:val="TextoNormalCentrado"/>
        <w:keepNext/>
      </w:pPr>
    </w:p>
    <w:p w14:paraId="10C03B33" w14:textId="77777777" w:rsidR="008D479B" w:rsidRDefault="008D479B" w:rsidP="008D479B">
      <w:pPr>
        <w:pStyle w:val="TextoNormalCentrado"/>
        <w:keepNext/>
      </w:pPr>
    </w:p>
    <w:p w14:paraId="1F13439E" w14:textId="77777777" w:rsidR="008D479B" w:rsidRDefault="008D479B" w:rsidP="008D479B">
      <w:pPr>
        <w:pStyle w:val="TextoNormal"/>
      </w:pPr>
      <w:r>
        <w:t>la siguiente</w:t>
      </w:r>
    </w:p>
    <w:p w14:paraId="745A394F" w14:textId="44557FC3" w:rsidR="008D479B" w:rsidRDefault="008D479B" w:rsidP="008D479B">
      <w:pPr>
        <w:pStyle w:val="TextoNormal"/>
      </w:pPr>
    </w:p>
    <w:p w14:paraId="255716C0" w14:textId="77777777" w:rsidR="008D479B" w:rsidRDefault="008D479B" w:rsidP="008D479B">
      <w:pPr>
        <w:pStyle w:val="TextoNormalCentrado"/>
        <w:keepNext/>
      </w:pPr>
      <w:r>
        <w:t>SENTENCIA</w:t>
      </w:r>
    </w:p>
    <w:p w14:paraId="67389E89" w14:textId="0226CB6F" w:rsidR="008D479B" w:rsidRDefault="008D479B" w:rsidP="008D479B">
      <w:pPr>
        <w:pStyle w:val="TextoNormalCentrado"/>
        <w:keepNext/>
      </w:pPr>
    </w:p>
    <w:p w14:paraId="04F29784" w14:textId="77777777" w:rsidR="008D479B" w:rsidRDefault="008D479B" w:rsidP="008D479B">
      <w:pPr>
        <w:pStyle w:val="TextoNormal"/>
      </w:pPr>
      <w:r>
        <w:t>En la cuestión de inconstitucionalidad núm. 6002-2021, planteada por la Sección Tercera de la Sala de lo Contencioso-Administrativo del Tribunal Superior de Justicia del País Vasco, en relación con el art. 6.2 de la Ley del Parlamento Vasco 2/2016, de 7 de abril, de instituciones locales de Euskadi, por posible vulneración de los arts. 3, 9.3, 14 y 23 de la Constitución. Han comparecido y formulado alegaciones el Gobierno y el Parlamento de la Comunidad Autónoma del País Vasco y la fiscal general del Estado. Ha sido ponente el magistrado don César Tolosa Tribiño.</w:t>
      </w:r>
    </w:p>
    <w:p w14:paraId="48B1A117" w14:textId="7739F17F" w:rsidR="008D479B" w:rsidRDefault="008D479B" w:rsidP="008D479B">
      <w:pPr>
        <w:pStyle w:val="TextoNormal"/>
      </w:pPr>
    </w:p>
    <w:p w14:paraId="0AB05BFD" w14:textId="77777777" w:rsidR="008D479B" w:rsidRDefault="008D479B" w:rsidP="008D479B">
      <w:pPr>
        <w:pStyle w:val="TextoNormalNegritaCentrado"/>
        <w:keepNext/>
      </w:pPr>
      <w:r>
        <w:t>I. Antecedentes</w:t>
      </w:r>
    </w:p>
    <w:p w14:paraId="030EA181" w14:textId="63568EC7" w:rsidR="008D479B" w:rsidRDefault="008D479B" w:rsidP="008D479B">
      <w:pPr>
        <w:pStyle w:val="TextoNormalNegritaCentrado"/>
        <w:keepNext/>
      </w:pPr>
    </w:p>
    <w:p w14:paraId="2D5C6703" w14:textId="53811B73" w:rsidR="008D479B" w:rsidRDefault="008D479B" w:rsidP="008D479B">
      <w:pPr>
        <w:pStyle w:val="TextoNormal"/>
      </w:pPr>
      <w:r w:rsidRPr="008D479B">
        <w:rPr>
          <w:rStyle w:val="NumeroAFNegritaCaracter"/>
        </w:rPr>
        <w:t>1</w:t>
      </w:r>
      <w:r>
        <w:t>. El 23 de septiembre de 2021 tuvo entrada en el registro general de este tribunal el auto de 7 de septiembre de 2021 de la Sección Tercera de la Sala de lo Contencioso-Administrativo del Tribunal Superior de Justicia del País Vasco, que acuerda plantear cuestión de inconstitucionalidad respecto del art. 6.2 de la Ley del Parlamento Vasco 2/2016, de 7 de abril, de instituciones locales de Euskadi, por posible vulneración de los arts. 3, 9.3 14 y 23 de la Constitución. Al auto se acompaña testimonio de las actuaciones del procedimiento ordinario núm. 45-2020, tramitado a instancia del partido político Vox contra el Decreto 179/2019, de 19 de noviembre, sobre normalización del uso institucional y administrativo de las lenguas oficiales en las instituciones locales de Euskadi dictado por los Departamentos de Gobernanza Pública y Autogobierno, y de Cultura y Política de la Comunidad Autónoma del País Vasco.</w:t>
      </w:r>
    </w:p>
    <w:p w14:paraId="74ADD9D9" w14:textId="77777777" w:rsidR="008D479B" w:rsidRDefault="008D479B" w:rsidP="008D479B">
      <w:pPr>
        <w:pStyle w:val="TextoNormal"/>
      </w:pPr>
    </w:p>
    <w:p w14:paraId="19EA9A09" w14:textId="77777777" w:rsidR="008D479B" w:rsidRDefault="008D479B" w:rsidP="008D479B">
      <w:pPr>
        <w:pStyle w:val="TextoNormal"/>
      </w:pPr>
      <w:r w:rsidRPr="008D479B">
        <w:rPr>
          <w:rStyle w:val="NumeroAFNegritaCaracter"/>
        </w:rPr>
        <w:t>2</w:t>
      </w:r>
      <w:r>
        <w:t>. Los antecedentes de hecho de la presente cuestión de inconstitucionalidad son, en síntesis, los siguientes:</w:t>
      </w:r>
    </w:p>
    <w:p w14:paraId="7BFE685E" w14:textId="77777777" w:rsidR="008D479B" w:rsidRDefault="008D479B" w:rsidP="008D479B">
      <w:pPr>
        <w:pStyle w:val="TextoNormal"/>
      </w:pPr>
    </w:p>
    <w:p w14:paraId="7F563CD5" w14:textId="77777777" w:rsidR="008D479B" w:rsidRDefault="008D479B" w:rsidP="008D479B">
      <w:pPr>
        <w:pStyle w:val="TextoNormal"/>
      </w:pPr>
      <w:r>
        <w:t>a) El 21 de enero de 2020 el partido político Vox presentó ante la Sala de lo Contencioso-Administrativo del Tribunal Superior de Justicia del País Vasco un recurso contencioso-administrativo contra el Decreto 179/2019, de 19 de noviembre, sobre normalización del uso institucional y administrativo de las lenguas oficiales en las instituciones locales de Euskadi dictado por los Departamentos de Gobernanza Pública y Autogobierno, y de Cultura y Política de la Comunidad Autónoma del País Vasco (en adelante Decreto 178/2019). Dicho recurso fue tramitado como procedimiento ordinario núm. 45-2000.</w:t>
      </w:r>
    </w:p>
    <w:p w14:paraId="0D5D8C0E" w14:textId="77777777" w:rsidR="008D479B" w:rsidRDefault="008D479B" w:rsidP="008D479B">
      <w:pPr>
        <w:pStyle w:val="TextoNormal"/>
      </w:pPr>
    </w:p>
    <w:p w14:paraId="2D91B85C" w14:textId="77777777" w:rsidR="008D479B" w:rsidRDefault="008D479B" w:rsidP="008D479B">
      <w:pPr>
        <w:pStyle w:val="TextoNormal"/>
      </w:pPr>
      <w:r>
        <w:t>b) El 7 de julio de 2020 el partido político Vox formalizó la demanda contencioso-administrativa en la que solicitaba que previo planteamiento de la cuestión de inconstitucionalidad del art. 6 de la Ley de instituciones locales de Euskadi, se declarara: (i) la nulidad del término “y general” en el art. 6.1 párrafo primero de la Ley del Parlamento Vasco 2/2016, de 7 de abril y en los artículos 1.2 b), 5.1, 12, 13, 17, 24.3, 33.2 y 35 del Decreto 179/2019, por considerar que infringen los arts. 3 y 14 CE; (ii) la nulidad del término “válidamente” en el artículo 6.2 de la Ley del Parlamento Vasco 2/2016, de 7 de abril, y en el artículo 18 del Decreto 179/2019; (iii) y finalmente, la nulidad de los arts. 7.3, 9, 11, 12, 24, 27, 36, 38 y del capítulo VI del Decreto 179/2019.</w:t>
      </w:r>
    </w:p>
    <w:p w14:paraId="0B06D8B9" w14:textId="77777777" w:rsidR="008D479B" w:rsidRDefault="008D479B" w:rsidP="008D479B">
      <w:pPr>
        <w:pStyle w:val="TextoNormal"/>
      </w:pPr>
    </w:p>
    <w:p w14:paraId="69C98ADC" w14:textId="77777777" w:rsidR="008D479B" w:rsidRDefault="008D479B" w:rsidP="008D479B">
      <w:pPr>
        <w:pStyle w:val="TextoNormal"/>
      </w:pPr>
      <w:r>
        <w:t>c) Tras declararse el procedimiento ordinario concluso para sentencia, mediante providencia de 30 de junio de 2021, la Sección Tercera de la Sala de lo Contencioso-Administrativo del Tribunal Superior de Justicia del País Vasco, acordó oír a las partes y al Ministerio Fiscal sobre el planteamiento de la cuestión de inconstitucionalidad respecto del inciso del apartado 2 del artículo 6 de la Ley de instituciones locales de Euskadi, que dispone literalmente: “siempre que no se lesionen los derechos de ningún miembro de la entidad local que pueda alegar válidamente el desconocimiento del euskera”, al entender que “pudiera adolecer de inconstitucionalidad al vulnerar los arts. 3 y 14 de la Constitución en la medida en que limita la utilización del castellano a aquellos supuestos en los que el interesado desconociese el euskera impidiéndole ejercer su derecho constitucional a utilizar el castellano libremente y condicionándolo además a que sea la entidad local quien valore, sin fijar ningún criterio para ello, si es válida o no la justificación de tal desconocimiento”.</w:t>
      </w:r>
    </w:p>
    <w:p w14:paraId="1B91E7DF" w14:textId="77777777" w:rsidR="008D479B" w:rsidRDefault="008D479B" w:rsidP="008D479B">
      <w:pPr>
        <w:pStyle w:val="TextoNormal"/>
      </w:pPr>
    </w:p>
    <w:p w14:paraId="353DAAB7" w14:textId="77777777" w:rsidR="008D479B" w:rsidRDefault="008D479B" w:rsidP="008D479B">
      <w:pPr>
        <w:pStyle w:val="TextoNormal"/>
      </w:pPr>
      <w:r>
        <w:t>d) El Ministerio Fiscal mediante escrito registrado el 6 de julio de 2021 no se opuso al planteamiento de la cuestión de inconstitucionalidad, al considerar que el art. 6.2 de la Ley de instituciones locales de Euskadi era susceptible de aplicación para la resolución del recurso contencioso-administrativo, siendo necesario el planteamiento de la cuestión de inconstitucionalidad habida cuenta que el precepto cuestionado pudiera vulnerar lo prescrito en el art. 3.1 y 14 CE.</w:t>
      </w:r>
    </w:p>
    <w:p w14:paraId="1B41F807" w14:textId="77777777" w:rsidR="008D479B" w:rsidRDefault="008D479B" w:rsidP="008D479B">
      <w:pPr>
        <w:pStyle w:val="TextoNormal"/>
      </w:pPr>
    </w:p>
    <w:p w14:paraId="24C953FA" w14:textId="77777777" w:rsidR="008D479B" w:rsidRDefault="008D479B" w:rsidP="008D479B">
      <w:pPr>
        <w:pStyle w:val="TextoNormal"/>
      </w:pPr>
      <w:r>
        <w:t>e) El letrado del servicio jurídico central del Gobierno Vasco se opuso al planteamiento de la cuestión de inconstitucionalidad.</w:t>
      </w:r>
    </w:p>
    <w:p w14:paraId="60201FB1" w14:textId="77777777" w:rsidR="008D479B" w:rsidRDefault="008D479B" w:rsidP="008D479B">
      <w:pPr>
        <w:pStyle w:val="TextoNormal"/>
      </w:pPr>
    </w:p>
    <w:p w14:paraId="5F9B427E" w14:textId="77777777" w:rsidR="008D479B" w:rsidRDefault="008D479B" w:rsidP="008D479B">
      <w:pPr>
        <w:pStyle w:val="TextoNormal"/>
      </w:pPr>
      <w:r>
        <w:t>En sus alegaciones alegó que el inciso cuestionado incorpora literalmente los términos utilizados en la STC 86/1986, de 26 de junio. El letrado atiende a la interpretación del precepto cuestionado en relación a los otros apartados del art. 6 de la Ley de instituciones locales de Euskadi, al dictamen núm. 153-2019 elaborado por la Comisión Jurídica Asesora de Euskadi y a la interpretación constitucional del art. 6.2 de la Ley de instituciones locales de Euskadi acordada por la Comisión Bilateral de Cooperación entre el Estado-Comunidad Autónoma del País Vasco en fecha 11 de enero de 2017.</w:t>
      </w:r>
    </w:p>
    <w:p w14:paraId="1AF9CF1B" w14:textId="77777777" w:rsidR="008D479B" w:rsidRDefault="008D479B" w:rsidP="008D479B">
      <w:pPr>
        <w:pStyle w:val="TextoNormal"/>
      </w:pPr>
    </w:p>
    <w:p w14:paraId="1FCA9180" w14:textId="77777777" w:rsidR="008D479B" w:rsidRDefault="008D479B" w:rsidP="008D479B">
      <w:pPr>
        <w:pStyle w:val="TextoNormal"/>
      </w:pPr>
      <w:r>
        <w:t>En el marco de la Comisión Bilateral se acordó solventar las discrepancias planteadas en los siguientes términos: “En cuanto al artículo 6, apartado 2, de la Ley del Parlamento Vasco 2/2016, de 7 de abril, ambas partes entienden que la recta interpretación del citado apartado determina que ha de entenderse y aplicarse en el sentido de que no establece obligación ni carga alguna respecto al hecho de alegar desconocimiento de la lengua, al objeto de poder ejercitar el derecho de opción entre el castellano y el euskera”.</w:t>
      </w:r>
    </w:p>
    <w:p w14:paraId="6428F446" w14:textId="77777777" w:rsidR="008D479B" w:rsidRDefault="008D479B" w:rsidP="008D479B">
      <w:pPr>
        <w:pStyle w:val="TextoNormal"/>
      </w:pPr>
    </w:p>
    <w:p w14:paraId="6CDD6AD6" w14:textId="77777777" w:rsidR="008D479B" w:rsidRDefault="008D479B" w:rsidP="008D479B">
      <w:pPr>
        <w:pStyle w:val="TextoNormal"/>
      </w:pPr>
      <w:r>
        <w:t>Alega finalmente que no cabe interpretar que exista prevalencia alguna del euskera respecto del castellano. El precepto no comporta la imposición de una carga de prueba para un miembro de la corporación que desconozca el euskera, dado que el art. 6.2 de la Ley de instituciones locales de Euskadi ha de entenderse e interpretarse en el sentido de que no establece obligación ni carga alguna respecto al hecho de alegar desconocimiento de la lengua. Finalmente indica que solo cabe declarar la inconstitucionalidad de normas que no permitan una interpretación conforme al bloque de constitucionalidad, declaración de inconstitucionalidad que no ha lugar en el presente supuesto, dada la existencia de cuando menos una interpretación del art. 6.2 de la Ley de instituciones locales de Euskadi ajustada a la Constitución.</w:t>
      </w:r>
    </w:p>
    <w:p w14:paraId="30A98E40" w14:textId="77777777" w:rsidR="008D479B" w:rsidRDefault="008D479B" w:rsidP="008D479B">
      <w:pPr>
        <w:pStyle w:val="TextoNormal"/>
      </w:pPr>
    </w:p>
    <w:p w14:paraId="6DCED001" w14:textId="77777777" w:rsidR="008D479B" w:rsidRDefault="008D479B" w:rsidP="008D479B">
      <w:pPr>
        <w:pStyle w:val="TextoNormal"/>
      </w:pPr>
      <w:r>
        <w:t>f) La representación del partido político Vox considera que el uso del término “válidamente” en el art. 6.2 de la Ley de instituciones locales de Euskadi es inconstitucional y nulo al infringir los arts. 3 y 14 CE, pues en nuestro ordenamiento jurídico solo existe obligación legal y constitucional de conocer el castellano en todo el territorio nacional. Por otra parte, también señala que el empleo del término “general” en el art. 6.1 de la Ley de instituciones locales de Euskadi vulnera esos mismos preceptos por discriminar el castellano.</w:t>
      </w:r>
    </w:p>
    <w:p w14:paraId="78E93125" w14:textId="77777777" w:rsidR="008D479B" w:rsidRDefault="008D479B" w:rsidP="008D479B">
      <w:pPr>
        <w:pStyle w:val="TextoNormal"/>
      </w:pPr>
    </w:p>
    <w:p w14:paraId="19463A3A" w14:textId="576133ED" w:rsidR="008D479B" w:rsidRDefault="008D479B" w:rsidP="008D479B">
      <w:pPr>
        <w:pStyle w:val="TextoNormal"/>
      </w:pPr>
      <w:r>
        <w:t>g) Mediante auto de 7 de septiembre de 2021, la Sección Tercera de la Sala de lo Contencioso-Administrativo del Tribunal Superior de Justicia del País Vasco acordó plantear cuestión de inconstitucionalidad respecto del art. 6.2 de la Ley de instituciones locales de Euskadi por infringir los arts. 3, 9.3, 14 y 23 CE.</w:t>
      </w:r>
    </w:p>
    <w:p w14:paraId="19038943" w14:textId="77777777" w:rsidR="008D479B" w:rsidRDefault="008D479B" w:rsidP="008D479B">
      <w:pPr>
        <w:pStyle w:val="TextoNormal"/>
      </w:pPr>
    </w:p>
    <w:p w14:paraId="2F8F6EDD" w14:textId="77777777" w:rsidR="008D479B" w:rsidRDefault="008D479B" w:rsidP="008D479B">
      <w:pPr>
        <w:pStyle w:val="TextoNormal"/>
      </w:pPr>
      <w:r w:rsidRPr="008D479B">
        <w:rPr>
          <w:rStyle w:val="NumeroAFNegritaCaracter"/>
        </w:rPr>
        <w:t>3</w:t>
      </w:r>
      <w:r>
        <w:t>. El auto de 7 de septiembre de 2021, tras sintetizar la controversia que sustenta el planteamiento de la cuestión de inconstitucionalidad, razona en los términos que seguidamente se resumen.</w:t>
      </w:r>
    </w:p>
    <w:p w14:paraId="197C896A" w14:textId="77777777" w:rsidR="008D479B" w:rsidRDefault="008D479B" w:rsidP="008D479B">
      <w:pPr>
        <w:pStyle w:val="TextoNormal"/>
      </w:pPr>
    </w:p>
    <w:p w14:paraId="0863EEF6" w14:textId="77777777" w:rsidR="008D479B" w:rsidRDefault="008D479B" w:rsidP="008D479B">
      <w:pPr>
        <w:pStyle w:val="TextoNormal"/>
      </w:pPr>
      <w:r>
        <w:t xml:space="preserve">En el auto de planteamiento se pone de manifiesto que los preceptos del Decreto 179/2019 impugnados en el proceso </w:t>
      </w:r>
      <w:r w:rsidRPr="008D479B">
        <w:rPr>
          <w:i/>
        </w:rPr>
        <w:t>a quo</w:t>
      </w:r>
      <w:r>
        <w:t>, en particular el art. 18, desarrolla el art. 6.2 de la Ley de instituciones locales de Euskadi. Por ello, la Sección Tercera de la Sala de lo Contencioso-Administrativo del Tribunal Superior de Justicia del País Vasco considera imprescindible para poder resolver el recurso contencioso-administrativo interpuesto contra la referida disposición reglamentaria que el Tribunal Constitucional se pronuncie sobre la constitucionalidad del citado precepto legal, pues, según se mantiene en esta resolución, podría ser contrario a los arts. 3, 9.3 14 y 23 CE.</w:t>
      </w:r>
    </w:p>
    <w:p w14:paraId="48BA071F" w14:textId="77777777" w:rsidR="008D479B" w:rsidRDefault="008D479B" w:rsidP="008D479B">
      <w:pPr>
        <w:pStyle w:val="TextoNormal"/>
      </w:pPr>
    </w:p>
    <w:p w14:paraId="13338CBA" w14:textId="77777777" w:rsidR="008D479B" w:rsidRDefault="008D479B" w:rsidP="008D479B">
      <w:pPr>
        <w:pStyle w:val="TextoNormal"/>
      </w:pPr>
      <w:r>
        <w:t>La Sala, en contra de lo que sostiene la parte demandante, descarta plantear cuestión en relación con el apartado 1 del art. 6 de la Ley de instituciones locales de Euskadi, pues entiende que este apartado puede ser interpretado de forma acorde con la Constitución.</w:t>
      </w:r>
    </w:p>
    <w:p w14:paraId="14A3CED6" w14:textId="77777777" w:rsidR="008D479B" w:rsidRDefault="008D479B" w:rsidP="008D479B">
      <w:pPr>
        <w:pStyle w:val="TextoNormal"/>
      </w:pPr>
    </w:p>
    <w:p w14:paraId="615518D7" w14:textId="77777777" w:rsidR="008D479B" w:rsidRDefault="008D479B" w:rsidP="008D479B">
      <w:pPr>
        <w:pStyle w:val="TextoNormal"/>
      </w:pPr>
      <w:r>
        <w:t>Antes de explicar las razones por las que el órgano judicial que plantea la cuestión considera que el art. 6.2 de la Ley de instituciones locales de Euskadi puede ser inconstitucional, alude a la doctrina del Tribunal Supremo y del Tribunal Constitucional sobre la cooficialidad lingüística.</w:t>
      </w:r>
    </w:p>
    <w:p w14:paraId="5597ACCE" w14:textId="77777777" w:rsidR="008D479B" w:rsidRDefault="008D479B" w:rsidP="008D479B">
      <w:pPr>
        <w:pStyle w:val="TextoNormal"/>
      </w:pPr>
    </w:p>
    <w:p w14:paraId="6D695BE4" w14:textId="77777777" w:rsidR="008D479B" w:rsidRDefault="008D479B" w:rsidP="008D479B">
      <w:pPr>
        <w:pStyle w:val="TextoNormal"/>
      </w:pPr>
      <w:r>
        <w:t>Alega que el Tribunal Supremo, aplicando la jurisprudencia constitucional establecida en las SSTC 82/1986, 31/2010, 165/2013, 86/2017, 87/2017 y 11/2018, ha dictado varias sentencias que considera paradigmáticas.</w:t>
      </w:r>
    </w:p>
    <w:p w14:paraId="0D9FF781" w14:textId="77777777" w:rsidR="008D479B" w:rsidRDefault="008D479B" w:rsidP="008D479B">
      <w:pPr>
        <w:pStyle w:val="TextoNormal"/>
      </w:pPr>
    </w:p>
    <w:p w14:paraId="100DD8A8" w14:textId="77777777" w:rsidR="008D479B" w:rsidRDefault="008D479B" w:rsidP="008D479B">
      <w:pPr>
        <w:pStyle w:val="TextoNormal"/>
      </w:pPr>
      <w:r>
        <w:t>Se refiere, en concreto, a las sentencias de 24 de noviembre y 1 de diciembre de 2020 (recursos núm. 1965 y 1968 de 2019) y expone los principios que deduce de las mismas que son los siguientes: que la cooficialidad conlleva la igualdad entre ambas lenguas, sin que pueda haber predominio o superioridad de una sobre otra; que las lenguas cooficiales son medios normales de comunicación en y entre los poderes públicos y en la relación de estos con los sujetos privados, sin que pueda establecerse un uso preferente de ninguna de ellas; que las medidas correctoras tendentes a evitar la postergación de una lengua por otra no pueden dar a una lengua preferencia en perjuicio de la otra; que las normas han de preservar el uso normal de las lenguas cooficiales y prohibir medidas tendentes a la exclusión de cualquiera de ellas o medidas peyorativas o desproporcionadas que alteren el equilibro que debe existir entre las lenguas cooficiales.</w:t>
      </w:r>
    </w:p>
    <w:p w14:paraId="15FA1C8D" w14:textId="77777777" w:rsidR="008D479B" w:rsidRDefault="008D479B" w:rsidP="008D479B">
      <w:pPr>
        <w:pStyle w:val="TextoNormal"/>
      </w:pPr>
    </w:p>
    <w:p w14:paraId="79D02BDE" w14:textId="77777777" w:rsidR="008D479B" w:rsidRDefault="008D479B" w:rsidP="008D479B">
      <w:pPr>
        <w:pStyle w:val="TextoNormal"/>
      </w:pPr>
      <w:r>
        <w:t>Por otra parte, señala, citando la STS de 10 de junio de 2020 (recurso núm. 3798-2018, aunque por error cita el 3798-2017) que el art. 3 CE no impone el deber de conocer las lenguas cooficiales distintas del castellano y que no es jurídicamente admisible imponer el uso estatutario preferente de la lengua cooficial en detrimento del castellano. Asimismo, se afirma en el auto de planteamiento que no cabe la imposición del uso exclusivo de la lengua autonómica en el ámbito de la administración local. Según indica el auto de planteamiento esta medida no se justifica en la determinación sociolingüística del municipio ni es constitucionalmente admisible la exclusión total del castellano en el campo de la actividad administrativa de fomento mediante la imposición del uso exclusivo de la lengua autonómica.</w:t>
      </w:r>
    </w:p>
    <w:p w14:paraId="3FE0AF90" w14:textId="77777777" w:rsidR="008D479B" w:rsidRDefault="008D479B" w:rsidP="008D479B">
      <w:pPr>
        <w:pStyle w:val="TextoNormal"/>
      </w:pPr>
    </w:p>
    <w:p w14:paraId="491F787C" w14:textId="77777777" w:rsidR="008D479B" w:rsidRDefault="008D479B" w:rsidP="008D479B">
      <w:pPr>
        <w:pStyle w:val="TextoNormal"/>
      </w:pPr>
      <w:r>
        <w:t>Junto a ello, pone de manifiesto que de acuerdo con la STC 37/2021, de 18 de febrero, es necesario apurar la interpretación natural y no forzada de las normas conforme a la Constitución.</w:t>
      </w:r>
    </w:p>
    <w:p w14:paraId="4C6C0D73" w14:textId="77777777" w:rsidR="008D479B" w:rsidRDefault="008D479B" w:rsidP="008D479B">
      <w:pPr>
        <w:pStyle w:val="TextoNormal"/>
      </w:pPr>
    </w:p>
    <w:p w14:paraId="3F7ECC08" w14:textId="77777777" w:rsidR="008D479B" w:rsidRDefault="008D479B" w:rsidP="008D479B">
      <w:pPr>
        <w:pStyle w:val="TextoNormal"/>
      </w:pPr>
      <w:r>
        <w:t>A continuación, el auto de planteamiento analiza el art. 6 de la Ley del Parlamento Vasco 2/2016, de 7 de abril. En relación con su apartado 2, que es el que el órgano judicial cuestiona, se afirma que esta norma permite que la mayor parte de las actuaciones realizadas por los representantes de los ciudadanos en las entidades locales —convocatorias, órdenes del día, mociones, votos particulares, propuestas de acuerdo, dictámenes de las comisiones informativas, acuerdos y actas— puedan ser redactadas exclusivamente en euskera. El único límite que la norma impone es que “no se lesionen derechos de ningún miembro de la entidad local que pueda alegar válidamente el desconocimiento del euskera”. La Sala señala que esta norma “no da ninguna pauta interpretativa ni tampoco contiene elementos que permitan el razonable control de la actuación administrativa que específique tal concepto jurídico indeterminado. Por ello considera que la inseguridad jurídica y el riesgo de arbitrariedad incontrolada resultan patentes. Entiende el órgano judicial que la norma cuestionada quiebra la igualdad en el uso de las lenguas cooficiales, pues, según afirma, “la libertad de opción habría desaparecido ante la falta de control de la voluntad administrativa que confirme la utilización del euskera y deniegue la del castellano”.</w:t>
      </w:r>
    </w:p>
    <w:p w14:paraId="2EF6E76A" w14:textId="77777777" w:rsidR="008D479B" w:rsidRDefault="008D479B" w:rsidP="008D479B">
      <w:pPr>
        <w:pStyle w:val="TextoNormal"/>
      </w:pPr>
    </w:p>
    <w:p w14:paraId="37A33F6B" w14:textId="77777777" w:rsidR="008D479B" w:rsidRDefault="008D479B" w:rsidP="008D479B">
      <w:pPr>
        <w:pStyle w:val="TextoNormal"/>
      </w:pPr>
      <w:r>
        <w:t>Asimismo, considera que al establecer el precepto cuestionado que el castellano solo puede utilizarse cuando “válidamente se alegue el desconocimiento del euskera” se está otorgando al euskera una posición de primacía que impide la libertad de opción de los hablantes en una u otra lengua. Sostiene que esta norma al limitar la libertad de opción y crear un desequilibrio entre ambas lenguas no solo vulnera el art. 3 y 14 CE sino también los arts. 1 y 23 CE, pues considera que la actividad representativa y el pluralismo político se ven seriamente afectados al ser la lengua el instrumento esencial de su ejercicio.</w:t>
      </w:r>
    </w:p>
    <w:p w14:paraId="71FEBE83" w14:textId="77777777" w:rsidR="008D479B" w:rsidRDefault="008D479B" w:rsidP="008D479B">
      <w:pPr>
        <w:pStyle w:val="TextoNormal"/>
      </w:pPr>
    </w:p>
    <w:p w14:paraId="48EA6D46" w14:textId="77777777" w:rsidR="008D479B" w:rsidRDefault="008D479B" w:rsidP="008D479B">
      <w:pPr>
        <w:pStyle w:val="TextoNormal"/>
      </w:pPr>
      <w:r>
        <w:t>En el auto de planteamiento se rechaza que pueda efectuarse una interpretación conforme de la norma cuestionada, como sostuvo el Gobierno del País Vasco en el trámite de alegaciones, pues considera que la literalidad de la norma impide la interpretación integradora que esa parte propugna. Tampoco aprecia que la circunstancia de que hayan intervenido diversas comisiones en el proceso de elaboración de la norma sea relevante a estos efectos, pues lo definitivo es el texto que ha aprobado el Parlamento Vasco. De igual modo rechaza que la protección de las lenguas minoritarias permita quebrar el equilibrio de las lenguas cooficiales y dotar la minoritaria de una supremacía exorbitante.</w:t>
      </w:r>
    </w:p>
    <w:p w14:paraId="100B5CF2" w14:textId="77777777" w:rsidR="008D479B" w:rsidRDefault="008D479B" w:rsidP="008D479B">
      <w:pPr>
        <w:pStyle w:val="TextoNormal"/>
      </w:pPr>
    </w:p>
    <w:p w14:paraId="04D55C66" w14:textId="77777777" w:rsidR="008D479B" w:rsidRDefault="008D479B" w:rsidP="008D479B">
      <w:pPr>
        <w:pStyle w:val="TextoNormal"/>
      </w:pPr>
      <w:r>
        <w:t>Por último, se apunta que, como alguno de los preceptos reglamentarios impugnados desarrollan el art. 6.2 de la Ley del Parlamento Vasco 2/2016, de 7 de abril, para poder resolver el recurso interpuesto es necesario que el Tribunal Constitucional se pronuncie sobre su constitucionalidad.</w:t>
      </w:r>
    </w:p>
    <w:p w14:paraId="0FD75E93" w14:textId="77777777" w:rsidR="008D479B" w:rsidRDefault="008D479B" w:rsidP="008D479B">
      <w:pPr>
        <w:pStyle w:val="TextoNormal"/>
      </w:pPr>
    </w:p>
    <w:p w14:paraId="4A233531" w14:textId="17E7A6C5" w:rsidR="008D479B" w:rsidRDefault="008D479B" w:rsidP="008D479B">
      <w:pPr>
        <w:pStyle w:val="TextoNormal"/>
      </w:pPr>
      <w:r>
        <w:t>Las consideraciones anteriores llevan a la Sección Tercera de la Sala de lo Contencioso-Administrativo del Tribunal Superior de Justicia del País Vasco a plantear cuestión de inconstitucionalidad del art. 6.2 de la Ley del Parlamento Vasco 2/2016, de 7 de abril, de instituciones locales de Euskadi al considerar que este precepto puede ser contrario a la seguridad jurídica (art. 9.3 CE) y a los arts. 3, 14 y 23 CE.</w:t>
      </w:r>
    </w:p>
    <w:p w14:paraId="6319795B" w14:textId="77777777" w:rsidR="008D479B" w:rsidRDefault="008D479B" w:rsidP="008D479B">
      <w:pPr>
        <w:pStyle w:val="TextoNormal"/>
      </w:pPr>
    </w:p>
    <w:p w14:paraId="4801056A" w14:textId="3D12DF74" w:rsidR="008D479B" w:rsidRDefault="008D479B" w:rsidP="008D479B">
      <w:pPr>
        <w:pStyle w:val="TextoNormal"/>
      </w:pPr>
      <w:r w:rsidRPr="008D479B">
        <w:rPr>
          <w:rStyle w:val="NumeroAFNegritaCaracter"/>
        </w:rPr>
        <w:t>4</w:t>
      </w:r>
      <w:r>
        <w:t>. El Pleno del Tribunal Constitucional acordó admitir a trámite la cuestión por providencia de 16 de diciembre de 2021. Reservó para sí el conocimiento del asunto [art. 10.1 c) de la Ley Orgánica del Tribunal Constitucional (LOTC)], acordó los traslados pertinentes y la publicación en el “Boletín Oficial del Estado”, que tuvo lugar el siguiente 23 de diciembre.</w:t>
      </w:r>
    </w:p>
    <w:p w14:paraId="33A948C6" w14:textId="77777777" w:rsidR="008D479B" w:rsidRDefault="008D479B" w:rsidP="008D479B">
      <w:pPr>
        <w:pStyle w:val="TextoNormal"/>
      </w:pPr>
    </w:p>
    <w:p w14:paraId="08BA4F48" w14:textId="45836629" w:rsidR="008D479B" w:rsidRDefault="008D479B" w:rsidP="008D479B">
      <w:pPr>
        <w:pStyle w:val="TextoNormal"/>
      </w:pPr>
      <w:r w:rsidRPr="008D479B">
        <w:rPr>
          <w:rStyle w:val="NumeroAFNegritaCaracter"/>
        </w:rPr>
        <w:t>5</w:t>
      </w:r>
      <w:r>
        <w:t>. El abogado del Estado mediante escrito de 23 de diciembre de 2021 indicó que no iba a formular alegaciones pero que se le tuviera por personado, acompañando el certificado del acuerdo de la Comisión Bilateral de Cooperación Administración General del Estado-Comunidad Autónoma del País Vasco, firmado el 11 de enero de 2017, por la vicepresidenta del Gobierno y ministra de la Presidencia y para las administraciones públicas y el consejero de Gobernanza Pública y Autogobierno.</w:t>
      </w:r>
    </w:p>
    <w:p w14:paraId="74111065" w14:textId="77777777" w:rsidR="008D479B" w:rsidRDefault="008D479B" w:rsidP="008D479B">
      <w:pPr>
        <w:pStyle w:val="TextoNormal"/>
      </w:pPr>
    </w:p>
    <w:p w14:paraId="4BE28A5A" w14:textId="4CE2795C" w:rsidR="008D479B" w:rsidRDefault="008D479B" w:rsidP="008D479B">
      <w:pPr>
        <w:pStyle w:val="TextoNormal"/>
      </w:pPr>
      <w:r w:rsidRPr="008D479B">
        <w:rPr>
          <w:rStyle w:val="NumeroAFNegritaCaracter"/>
        </w:rPr>
        <w:t>6</w:t>
      </w:r>
      <w:r>
        <w:t>. El Congreso de los Diputados se personó mediante escrito registrado el día 13 de enero de 2022, ofreciendo su colaboración a los efectos del art. 88.1 LOTC. Lo mismo hizo el Senado por escrito registrado el 27 de enero de 2022.</w:t>
      </w:r>
    </w:p>
    <w:p w14:paraId="3EDFE23D" w14:textId="77777777" w:rsidR="008D479B" w:rsidRDefault="008D479B" w:rsidP="008D479B">
      <w:pPr>
        <w:pStyle w:val="TextoNormal"/>
      </w:pPr>
    </w:p>
    <w:p w14:paraId="57117440" w14:textId="77777777" w:rsidR="008D479B" w:rsidRDefault="008D479B" w:rsidP="008D479B">
      <w:pPr>
        <w:pStyle w:val="TextoNormal"/>
      </w:pPr>
      <w:r w:rsidRPr="008D479B">
        <w:rPr>
          <w:rStyle w:val="NumeroAFNegritaCaracter"/>
        </w:rPr>
        <w:t>7</w:t>
      </w:r>
      <w:r>
        <w:t>. Mediante escrito registrado el 19 de enero de 2022, don Luis Mari Larburu Aizpurua, letrado perteneciente a los servicios jurídicos centrales del Gobierno Vasco actuando en nombre y representación de la administración de la Comunidad Autónoma del País Vasco, compareció y formuló alegaciones solicitando que se desestimara la cuestión de inconstitucionalidad planteada, circunscrita al inciso “siempre que no se lesionen los derechos de ningún miembro de la entidad local que pueda alegar válidamente el desconocimiento del euskera” del art. 6.2 de la Ley de instituciones locales de Euskadi.</w:t>
      </w:r>
    </w:p>
    <w:p w14:paraId="14215057" w14:textId="77777777" w:rsidR="008D479B" w:rsidRDefault="008D479B" w:rsidP="008D479B">
      <w:pPr>
        <w:pStyle w:val="TextoNormal"/>
      </w:pPr>
    </w:p>
    <w:p w14:paraId="53AFB054" w14:textId="77777777" w:rsidR="008D479B" w:rsidRDefault="008D479B" w:rsidP="008D479B">
      <w:pPr>
        <w:pStyle w:val="TextoNormal"/>
      </w:pPr>
      <w:r>
        <w:t>Tras reproducir el art. 6 de la Ley de instituciones locales de Euskadi, considera que el objeto de la cuestión de inconstitucionalidad no comprende la totalidad el art. 6.2 de la Ley de instituciones locales de Euskadi, sino únicamente el inciso “siempre que no se lesionen los derechos de ningún miembro de la entidad local que pueda alegar válidamente el desconocimiento del euskera”, así resulta de la providencia de 30 de junio de 2021 dictada por la Sala de lo Contencioso-Administrativo del Tribunal Superior de Justicia.</w:t>
      </w:r>
    </w:p>
    <w:p w14:paraId="73D394FC" w14:textId="77777777" w:rsidR="008D479B" w:rsidRDefault="008D479B" w:rsidP="008D479B">
      <w:pPr>
        <w:pStyle w:val="TextoNormal"/>
      </w:pPr>
    </w:p>
    <w:p w14:paraId="4ED4C71F" w14:textId="77777777" w:rsidR="008D479B" w:rsidRDefault="008D479B" w:rsidP="008D479B">
      <w:pPr>
        <w:pStyle w:val="TextoNormal"/>
      </w:pPr>
      <w:r>
        <w:t>Enmarca normativamente la norma cuestionada en los arts. 3 y 23 CE y 6 del Estatuto de Autonomía del País Vasco (en adelante EAPV) y en el art. 10.2 de la Carta europea de las lenguas regionales o minoritarias que es considerado parámetro interpretativo, sin perjuicio del “contenido inherente al concepto de cooficialidad” o del “alcance de la cooficialidad” (ATC 166/2005, de 19 de abril, FJ 5).</w:t>
      </w:r>
    </w:p>
    <w:p w14:paraId="01BC3108" w14:textId="77777777" w:rsidR="008D479B" w:rsidRDefault="008D479B" w:rsidP="008D479B">
      <w:pPr>
        <w:pStyle w:val="TextoNormal"/>
      </w:pPr>
    </w:p>
    <w:p w14:paraId="32BE911A" w14:textId="77777777" w:rsidR="008D479B" w:rsidRDefault="008D479B" w:rsidP="008D479B">
      <w:pPr>
        <w:pStyle w:val="TextoNormal"/>
      </w:pPr>
      <w:r>
        <w:t>Considera que la interpretación del órgano judicial promovente de la cuestión es descontextualizada y aislada, pues la Ley de instituciones locales de Euskadi presta atención especial a la garantía del derecho de opción de lengua en su art. 6, configurando dicho derecho de forma particularmente garantista en su apartado tercero, en el que se reproduce en términos prácticamente literales la STC 31/2010, de 28 de junio, FJ 23. De modo que en el art. 6.1 de la Ley de instituciones locales de Euskadi se hace reconocimiento expreso de la posibilidad de utilizar tanto el euskera, como el castellano, como lengua de tramitación y como lengua de servicio a la ciudadanía por las entidades locales de la Comunidad Autónoma del País Vasco.</w:t>
      </w:r>
    </w:p>
    <w:p w14:paraId="21C15A63" w14:textId="77777777" w:rsidR="008D479B" w:rsidRDefault="008D479B" w:rsidP="008D479B">
      <w:pPr>
        <w:pStyle w:val="TextoNormal"/>
      </w:pPr>
    </w:p>
    <w:p w14:paraId="32F5BF0D" w14:textId="77777777" w:rsidR="008D479B" w:rsidRDefault="008D479B" w:rsidP="008D479B">
      <w:pPr>
        <w:pStyle w:val="TextoNormal"/>
      </w:pPr>
      <w:r>
        <w:t xml:space="preserve">Destaca el contenido del acuerdo de la Comisión Bilateral de Cooperación Administración General del Estado-Comunidad Autónoma del País Vasco, firmado el 11 de enero de 2017, en relación con el art. 6.2 de la Ley de instituciones locales de Euskadi, anteriormente reproducido, que si bien no vinculan a los órganos judiciales ni al Tribunal Constitucional (STC 106/2009, FFJJ 3 y 5), tiene valor jurídico y aporta criterios hermenéuticos al publicarse en el “Boletín Oficial del Estado” y “Boletín Oficial del País Vasco”. Dicho acuerdo incorpora la doctrina de la STC 31/2010, de 28 de junio, FJ 23 y se viene aplicando desde el año 2017, reconociendo a los concejales, en su calidad de cargos públicos representativos locales en el ejercicio del </w:t>
      </w:r>
      <w:r w:rsidRPr="008D479B">
        <w:rPr>
          <w:i/>
        </w:rPr>
        <w:t>ius in oficium</w:t>
      </w:r>
      <w:r>
        <w:t xml:space="preserve"> </w:t>
      </w:r>
      <w:r w:rsidRPr="008D479B">
        <w:rPr>
          <w:i/>
        </w:rPr>
        <w:t>ex</w:t>
      </w:r>
      <w:r>
        <w:t xml:space="preserve"> art. 23 CE, idénticos derechos que a los ciudadanos al objeto de poder ejercitar el derecho de opción entre el castellano y el euskera.</w:t>
      </w:r>
    </w:p>
    <w:p w14:paraId="1003440E" w14:textId="77777777" w:rsidR="008D479B" w:rsidRDefault="008D479B" w:rsidP="008D479B">
      <w:pPr>
        <w:pStyle w:val="TextoNormal"/>
      </w:pPr>
    </w:p>
    <w:p w14:paraId="622D13AD" w14:textId="77777777" w:rsidR="008D479B" w:rsidRDefault="008D479B" w:rsidP="008D479B">
      <w:pPr>
        <w:pStyle w:val="TextoNormal"/>
      </w:pPr>
      <w:r>
        <w:t>A continuación, examina la doctrina constitucional relativa al régimen de la cooficialidad de las lenguas y que informan la presente controversia constitucional desde uno de sus aspectos. Con cita a tal efecto de las SSTC 82/1986, de 26 de junio; 337/1994, de 23 de diciembre, o 31/2010, de 28 de junio y también la doctrina constitucional recogida en la STC 65/2020, de 18 de junio, FJ 2 B), en virtud de la cual, “siendo posibles dos interpretaciones de un precepto, una ajustada a la Constitución y la otra no conforme con ella, debe admitirse la primera”, sostiene que el apartado segundo del art. 6 de la Ley de instituciones locales de Euskadi evidencia de forma razonablemente clara en cuanto a su texto y teleología que lo que la misma regula es la posibilidad de actuación sobre ciertas y determinadas producciones documentales de las entidades locales en una u otra lengua oficial, y no otra cuestión distinta que vaya más allá de la posible redacción de dichos documentos. Indica que el órgano judicial que promueve la cuestión desconoce cuándo se refiere en su argumentación a los empleados públicos locales que conforme a la STC 82/1986, de 26 de junio, FJ 14, nada se opone a que los poderes públicos prescriban, en el ámbito de sus respectivas competencias, el conocimiento de ambas lenguas (castellano y euskera) para acceder a determinadas plazas de funcionario o que, en general, se considere como un mérito entre otros.</w:t>
      </w:r>
    </w:p>
    <w:p w14:paraId="44455C83" w14:textId="77777777" w:rsidR="008D479B" w:rsidRDefault="008D479B" w:rsidP="008D479B">
      <w:pPr>
        <w:pStyle w:val="TextoNormal"/>
      </w:pPr>
    </w:p>
    <w:p w14:paraId="2178CDF3" w14:textId="77777777" w:rsidR="008D479B" w:rsidRDefault="008D479B" w:rsidP="008D479B">
      <w:pPr>
        <w:pStyle w:val="TextoNormal"/>
      </w:pPr>
      <w:r>
        <w:t xml:space="preserve">Insiste en que el marco regulatorio de referencia del art.6.2 de la Ley de instituciones locales de Euskadi es el derecho de opción de la lengua cooficial por los cargos públicos representativos locales y entronca con el ejercicio del </w:t>
      </w:r>
      <w:r w:rsidRPr="008D479B">
        <w:rPr>
          <w:i/>
        </w:rPr>
        <w:t>ius in officium</w:t>
      </w:r>
      <w:r>
        <w:t xml:space="preserve"> (art. 23.1 CE), sin que contenga disposición alguna que regule el acceso al cargo de los miembros de las entidades locales, debiendo además ponerse dicho precepto en relación con los otros dos apartados del mismo y con su exposición de motivos, para realizar una interpretación del mismo en los términos efectuados en el acuerdo de la Comisión Bilateral de Cooperación Administración General del Estado-Comunidad Autónoma del País Vasco, firmado el 11 de enero de 2017.</w:t>
      </w:r>
    </w:p>
    <w:p w14:paraId="32E2A05F" w14:textId="77777777" w:rsidR="008D479B" w:rsidRDefault="008D479B" w:rsidP="008D479B">
      <w:pPr>
        <w:pStyle w:val="TextoNormal"/>
      </w:pPr>
    </w:p>
    <w:p w14:paraId="706BB1D6" w14:textId="77777777" w:rsidR="008D479B" w:rsidRDefault="008D479B" w:rsidP="008D479B">
      <w:pPr>
        <w:pStyle w:val="TextoNormal"/>
      </w:pPr>
      <w:r>
        <w:t>Llama la atención que el art. 86.1 del Real Decreto 2568/1986, de 28 de noviembre, por el que se aprueba el Reglamento de organización, funcionamiento y régimen jurídico de las entidades locales, admite la posibilidad de redactar únicamente en euskera prácticamente la totalidad de los documentos relacionados en el precepto autonómico, sin condicionar dicha posibilidad al ejercicio del derecho de opción de lengua, a diferencia del art. 6.2 de la Ley de instituciones locales de Euskadi, que se plasma en los mismos términos utilizados en la STC 82/1996, de 20 de mayo, FJ 10.</w:t>
      </w:r>
    </w:p>
    <w:p w14:paraId="7DC4B8F0" w14:textId="77777777" w:rsidR="008D479B" w:rsidRDefault="008D479B" w:rsidP="008D479B">
      <w:pPr>
        <w:pStyle w:val="TextoNormal"/>
      </w:pPr>
    </w:p>
    <w:p w14:paraId="7A41169A" w14:textId="0603E840" w:rsidR="008D479B" w:rsidRDefault="008D479B" w:rsidP="008D479B">
      <w:pPr>
        <w:pStyle w:val="TextoNormal"/>
      </w:pPr>
      <w:r>
        <w:t>Dicho derecho de opción se concreta en el art. 18 del Decreto 179/2019, cuando indica que “[e]n caso de que la utilización del euskera o del castellano para la redacción de dicha documentación pudiera lesionar los derechos de algún miembro de la entidad local que pudiera alegar válidamente el desconocimiento de la lengua utilizada, se le proporcionará una traducción a la otra lengua oficial”.</w:t>
      </w:r>
    </w:p>
    <w:p w14:paraId="71FBD93E" w14:textId="77777777" w:rsidR="008D479B" w:rsidRDefault="008D479B" w:rsidP="008D479B">
      <w:pPr>
        <w:pStyle w:val="TextoNormal"/>
      </w:pPr>
    </w:p>
    <w:p w14:paraId="70C72ACB" w14:textId="77777777" w:rsidR="008D479B" w:rsidRDefault="008D479B" w:rsidP="008D479B">
      <w:pPr>
        <w:pStyle w:val="TextoNormal"/>
      </w:pPr>
      <w:r w:rsidRPr="008D479B">
        <w:rPr>
          <w:rStyle w:val="NumeroAFNegritaCaracter"/>
        </w:rPr>
        <w:t>8</w:t>
      </w:r>
      <w:r>
        <w:t>. El 20 de enero de 2022, doña Montserrat Auzmendi Del Solar, letrada del Parlamento Vasco, compareció y formuló alegaciones solicitando que se desestimara la cuestión de inconstitucionalidad.</w:t>
      </w:r>
    </w:p>
    <w:p w14:paraId="57779DD1" w14:textId="77777777" w:rsidR="008D479B" w:rsidRDefault="008D479B" w:rsidP="008D479B">
      <w:pPr>
        <w:pStyle w:val="TextoNormal"/>
      </w:pPr>
    </w:p>
    <w:p w14:paraId="6D0984B3" w14:textId="77777777" w:rsidR="008D479B" w:rsidRDefault="008D479B" w:rsidP="008D479B">
      <w:pPr>
        <w:pStyle w:val="TextoNormal"/>
      </w:pPr>
      <w:r>
        <w:t>Comienza sus alegaciones relacionando los preceptos del Decreto 179/2019 que fueron impugnados por el partido político Vox. Destaca que los arts. 18 y 21 del mismo, que son los que desarrollan el contenido del cuestionado art. 6.2 de la Ley de instituciones locales de Euskadi, no han sido directamente impugnados en vía contencioso-administrativa, circunstancia que afecta al juicio de relevancia al no existir interconexión o dependencia entre la norma que se cuestiona y el fallo del proceso.</w:t>
      </w:r>
    </w:p>
    <w:p w14:paraId="7CEF20AA" w14:textId="77777777" w:rsidR="008D479B" w:rsidRDefault="008D479B" w:rsidP="008D479B">
      <w:pPr>
        <w:pStyle w:val="TextoNormal"/>
      </w:pPr>
    </w:p>
    <w:p w14:paraId="2AE48514" w14:textId="77777777" w:rsidR="008D479B" w:rsidRDefault="008D479B" w:rsidP="008D479B">
      <w:pPr>
        <w:pStyle w:val="TextoNormal"/>
      </w:pPr>
      <w:r>
        <w:t>Considera que el adverbio “válidamente” inserto en el inciso del art. 6.2 de la Ley de instituciones locales de Euskadi cuestionado, admite dos interpretaciones: una primera, en virtud de la cual solo si quien alegue desconocimiento del euskera, lo hace en modo válido y justificado, podrá operar la excepción que se plantea en el art. 6.2 de la Ley de instituciones locales de Euskadi; una segunda, que considera más natural, menos retorcida y acorde a la interpretación sistemática del precepto, sería entender que cualquier miembro del ente local puede, válidamente, alegar desconocimiento del euskera.</w:t>
      </w:r>
    </w:p>
    <w:p w14:paraId="6681182E" w14:textId="77777777" w:rsidR="008D479B" w:rsidRDefault="008D479B" w:rsidP="008D479B">
      <w:pPr>
        <w:pStyle w:val="TextoNormal"/>
      </w:pPr>
    </w:p>
    <w:p w14:paraId="7C33E09B" w14:textId="77777777" w:rsidR="008D479B" w:rsidRDefault="008D479B" w:rsidP="008D479B">
      <w:pPr>
        <w:pStyle w:val="TextoNormal"/>
      </w:pPr>
      <w:r>
        <w:t>La STC 82/1986, de 26 de junio, FJ 9, utiliza la misma expresión que el art. 6.2 de la Ley de instituciones locales de Euskadi, con total naturalidad y en un sentido totalmente exento de intención de someter o uno cargo o quien alegue el desconocimiento de lo lengua, el adverbio “válidamente”. Dicha interpretación se deduce naturalmente si se pone en relación con el art. 6.1 y 3 de la Ley de instituciones locales de Euskadi, que se refieren a la relación de los entes locales y la ciudadanía. Los concejales electos disponen de idénticos derechos que el resto de los ciudadanos en cuanto a la utilización interna del idioma oficial (STS de 24 de mayo de 1999, FJ 3), exento de cualquier carga y obligación que vaya más allá de la necesidad de exteriorizar su opción. Añade que en ese sentido se materializó el acuerdo administración del Estado y la administración de lo Comunidad Autónoma de Euskadi en la Comisión Bilateral. El precepto cuestionado lejos de establecer la preferencia del euskera establece un límite adicional al art. 86 del Reglamento de organización, funcionamiento y régimen jurídico de las entidades locales.</w:t>
      </w:r>
    </w:p>
    <w:p w14:paraId="49CC7C3B" w14:textId="77777777" w:rsidR="008D479B" w:rsidRDefault="008D479B" w:rsidP="008D479B">
      <w:pPr>
        <w:pStyle w:val="TextoNormal"/>
      </w:pPr>
    </w:p>
    <w:p w14:paraId="6CE3C194" w14:textId="77777777" w:rsidR="008D479B" w:rsidRDefault="008D479B" w:rsidP="008D479B">
      <w:pPr>
        <w:pStyle w:val="TextoNormal"/>
      </w:pPr>
      <w:r>
        <w:t>Del art. 6.2 de la Ley de instituciones locales de Euskadi resulta la posibilidad que el ente local para el elenco de documentos que enumera pueda optar por cualquiera de las dos lenguas oficiales y si indica de forma positiva que puede utilizar el euskera es para fomentar y difundir dicha lengua como lengua de trabajo, pero ello no excluye el castellano, en los términos admitido por la STC 31/2010, FJ 23. Indica que la opción por uno u otro idioma corresponde a la entidad local, siempre preservando que quien desconozca el idioma euskera lo pueda alegar, de modo que su derecho siempre se vea satisfecho.</w:t>
      </w:r>
    </w:p>
    <w:p w14:paraId="4FFFFFFB" w14:textId="77777777" w:rsidR="008D479B" w:rsidRDefault="008D479B" w:rsidP="008D479B">
      <w:pPr>
        <w:pStyle w:val="TextoNormal"/>
      </w:pPr>
    </w:p>
    <w:p w14:paraId="15ABBA45" w14:textId="44D5EBD8" w:rsidR="008D479B" w:rsidRDefault="008D479B" w:rsidP="008D479B">
      <w:pPr>
        <w:pStyle w:val="TextoNormal"/>
      </w:pPr>
      <w:r>
        <w:t>Es por ello que el art. 6.2 de la Ley de instituciones locales de Euskadi no vulnera el art. 3.1 CE, pero tampoco, por las razones indicadas, ocasiona discriminación entre los cargos de las entidades locales (art. 14 CE), conozcan estos el euskera o no. Y finalmente, no puede considerarse que ni desde la vertiente objetiva ni subjetiva menoscabe el principio de seguridad jurídica (art. 9.3 CE).</w:t>
      </w:r>
    </w:p>
    <w:p w14:paraId="0252CBF8" w14:textId="77777777" w:rsidR="008D479B" w:rsidRDefault="008D479B" w:rsidP="008D479B">
      <w:pPr>
        <w:pStyle w:val="TextoNormal"/>
      </w:pPr>
    </w:p>
    <w:p w14:paraId="3336D75A" w14:textId="77777777" w:rsidR="008D479B" w:rsidRDefault="008D479B" w:rsidP="008D479B">
      <w:pPr>
        <w:pStyle w:val="TextoNormal"/>
      </w:pPr>
      <w:r w:rsidRPr="008D479B">
        <w:rPr>
          <w:rStyle w:val="NumeroAFNegritaCaracter"/>
        </w:rPr>
        <w:t>9</w:t>
      </w:r>
      <w:r>
        <w:t>. La fiscal general del Estado presentó su informe en el registro general de este tribunal el 28 de enero de 2022. En él interesa, la estimación de la cuestión de inconstitucionalidad y que se declare que el inciso “siempre que no se lesiones los derechos de ningún miembro de la entidad local que pueda alegar válidamente el desconocimiento del euskera”, del art. 6.2 de la Ley de instituciones locales de Euskadi infringe los arts. 3.1, 3.2 y 23.1 y 2 CE.</w:t>
      </w:r>
    </w:p>
    <w:p w14:paraId="770154CB" w14:textId="77777777" w:rsidR="008D479B" w:rsidRDefault="008D479B" w:rsidP="008D479B">
      <w:pPr>
        <w:pStyle w:val="TextoNormal"/>
      </w:pPr>
    </w:p>
    <w:p w14:paraId="2153D4E4" w14:textId="77777777" w:rsidR="008D479B" w:rsidRDefault="008D479B" w:rsidP="008D479B">
      <w:pPr>
        <w:pStyle w:val="TextoNormal"/>
      </w:pPr>
      <w:r>
        <w:t>a) En primer lugar advierte de que en la providencia del art. 35.2 LOTC no se identificó el art. 23 CE como posible precepto infringido, pero ello no ha sido obstáculo para que las partes se hayan referido al mismo en sus alegaciones por lo que descarta que se haya producido el defecto procesal que impediría su examen. Por otra parte, considera que se cumple el presupuesto de aplicabilidad y relevancia de la norma cuya inconstitucionalidad se plantea por la Sección Tercera de la Sala de lo Contencioso-Administrativo del Tribunal Superior de Justicia del País Vasco.</w:t>
      </w:r>
    </w:p>
    <w:p w14:paraId="2CA4A246" w14:textId="77777777" w:rsidR="008D479B" w:rsidRDefault="008D479B" w:rsidP="008D479B">
      <w:pPr>
        <w:pStyle w:val="TextoNormal"/>
      </w:pPr>
    </w:p>
    <w:p w14:paraId="55F9E099" w14:textId="77777777" w:rsidR="008D479B" w:rsidRDefault="008D479B" w:rsidP="008D479B">
      <w:pPr>
        <w:pStyle w:val="TextoNormal"/>
      </w:pPr>
      <w:r>
        <w:t xml:space="preserve">b) Expone el contenido del auto de planteamiento de la cuestión y distingue un doble planteamiento de invalidez: por una parte el que resulta de la inseguridad jurídica que abre las puertas a la arbitrariedad, al no ser susceptible de control la actuación administrativa, de la utilización del concepto indeterminado “válidamente” con el que se califica en el art.6.2 de la Ley de instituciones locales de Euskadi la posible alegación de desconocimiento del euskera; por otra parte, porque el precepto únicamente admite la opción del castellano en el caso de desconocimiento del euskera, no admitiéndose otras razones por las que el interesado libremente quiera ejercer el derecho de opción lingüística. Al no darse entrada al castellano salvo en supuestos de desconocimiento del euskera se consagra la primacía de esta última lengua, coartando el derecho de opción lingüística de los interesados que en este caso son miembros de la entidad local, afectando por ello al desempeño del </w:t>
      </w:r>
      <w:r w:rsidRPr="008D479B">
        <w:rPr>
          <w:i/>
        </w:rPr>
        <w:t>ius in officium</w:t>
      </w:r>
      <w:r>
        <w:t>.</w:t>
      </w:r>
    </w:p>
    <w:p w14:paraId="6539893F" w14:textId="77777777" w:rsidR="008D479B" w:rsidRDefault="008D479B" w:rsidP="008D479B">
      <w:pPr>
        <w:pStyle w:val="TextoNormal"/>
      </w:pPr>
    </w:p>
    <w:p w14:paraId="01A454C5" w14:textId="77777777" w:rsidR="008D479B" w:rsidRDefault="008D479B" w:rsidP="008D479B">
      <w:pPr>
        <w:pStyle w:val="TextoNormal"/>
      </w:pPr>
      <w:r>
        <w:t>c) Refiere la doctrina constitucional sobre el régimen de cooficialidad de las lenguas y los derechos de opción lingüística de los ciudadanos. Indica que parece que el art. 6.2 de la Ley de instituciones locales de Euskadi ha incorporado en su literalidad una parte del pronunciamiento de la STC 82/1986, de 26 de junio, por la que se declaró inconstitucional la redacción del art. 8.3 de la Ley 10/1982, de normalización del uso del euskera, en cuanto que preveía que en el ámbito de la administración local y, en razón de la determinación sociolingüística del municipio se pudiera hacer un uso exclusivo del euskera. Señala que el fundamento jurídico 10 de dicha sentencia cuando indicaba que “se pueden perjudicar los derechos de los ciudadanos, que pueden alegar válidamente el desconocimiento de otra lengua cooficial” no pretendía que los ciudadanos tuvieran que justificar ese desconocimiento, sino que no existe el deber constitucional de conocer el castellano.</w:t>
      </w:r>
    </w:p>
    <w:p w14:paraId="06695AB9" w14:textId="77777777" w:rsidR="008D479B" w:rsidRDefault="008D479B" w:rsidP="008D479B">
      <w:pPr>
        <w:pStyle w:val="TextoNormal"/>
      </w:pPr>
    </w:p>
    <w:p w14:paraId="7799685E" w14:textId="77777777" w:rsidR="008D479B" w:rsidRDefault="008D479B" w:rsidP="008D479B">
      <w:pPr>
        <w:pStyle w:val="TextoNormal"/>
      </w:pPr>
      <w:r>
        <w:t>El régimen de cooficialidad lingüística y el derecho de opción lingüística fueron examinados en los fundamentos jurídicos 14 y 23 de la STC 31/2010, en que se pone de manifiesto el régimen de igualdad y equilibrio que existe entre las lenguas oficiales de una comunidad autónoma, sin que pueda existir primacía o preferencia de una sobre otra. Además, no existe un deber constitucional de carácter general de conocer la lengua cooficial propia de la comunidad, sino que dicho deber solo existe respecto del castellano, como lengua oficial en todo el Estado. El derecho de opción lingüística que corresponde a los ciudadanos es un derecho que debe poder hacerse efectivo libremente, sin que pueda estar sujeto a formalidades o condiciones que supongan una carga u obligación.</w:t>
      </w:r>
    </w:p>
    <w:p w14:paraId="3B3EEB22" w14:textId="77777777" w:rsidR="008D479B" w:rsidRDefault="008D479B" w:rsidP="008D479B">
      <w:pPr>
        <w:pStyle w:val="TextoNormal"/>
      </w:pPr>
    </w:p>
    <w:p w14:paraId="7012EF1C" w14:textId="77777777" w:rsidR="008D479B" w:rsidRDefault="008D479B" w:rsidP="008D479B">
      <w:pPr>
        <w:pStyle w:val="TextoNormal"/>
      </w:pPr>
      <w:r>
        <w:t xml:space="preserve">d) La aplicación de la doctrina del Tribunal Constitucional, antes señalada, a lo establecido en el inciso del art. 6.2 de la Ley de instituciones locales de Euskadi lleva al Ministerio Fiscal a indicar que el precepto vincula el derecho de opción lingüística al desconocimiento del euskera, lo que resulta contrario al art. 3.1 CE y a la doctrina constitucional (STC 31/2010, FJ 14), pues parte de la presunción de conocimiento del euskera, al condicionar el derecho de elección del castellano a la alegación de desconocimiento. Centrándose en los cargos públicos representativos de la entidad local que son los destinatarios de la regulación que establece el precepto cuestionado, se debe reconocer a los mismos el mismo derecho de opción lingüística que se reconoce a los ciudadanos a cuyas opciones políticas representan con fundamento en el </w:t>
      </w:r>
      <w:r w:rsidRPr="008D479B">
        <w:rPr>
          <w:i/>
        </w:rPr>
        <w:t>ius in officium</w:t>
      </w:r>
      <w:r>
        <w:t>. Por ello deben poder ejercitar la opción lingüística sin formalidades o condicionantes, esto es, libremente, sin sujeción a cargas.</w:t>
      </w:r>
    </w:p>
    <w:p w14:paraId="446C7FE2" w14:textId="77777777" w:rsidR="008D479B" w:rsidRDefault="008D479B" w:rsidP="008D479B">
      <w:pPr>
        <w:pStyle w:val="TextoNormal"/>
      </w:pPr>
    </w:p>
    <w:p w14:paraId="5D145CFB" w14:textId="77777777" w:rsidR="008D479B" w:rsidRDefault="008D479B" w:rsidP="008D479B">
      <w:pPr>
        <w:pStyle w:val="TextoNormal"/>
      </w:pPr>
      <w:r>
        <w:t>El inciso cuestionado, supedita el derecho de opción lingüística del castellano que traten de ejercer los cargos públicos representativos de la entidad local, a que se alegue válidamente el desconocimiento del euskera, lo que es contrario al art. 3 CE al colocar el euskera en una posición preferente. Al propio tiempo vulnera el derecho al ejercicio en condiciones de igualdad del cargo público representativo (art. 23.2 CE) y correlativamente el de los ciudadanos a participar en los asuntos públicos a través de los representantes libremente elegidos (art. 23.1 CE).</w:t>
      </w:r>
    </w:p>
    <w:p w14:paraId="3CBDDE47" w14:textId="77777777" w:rsidR="008D479B" w:rsidRDefault="008D479B" w:rsidP="008D479B">
      <w:pPr>
        <w:pStyle w:val="TextoNormal"/>
      </w:pPr>
    </w:p>
    <w:p w14:paraId="0BA13299" w14:textId="77777777" w:rsidR="008D479B" w:rsidRDefault="008D479B" w:rsidP="008D479B">
      <w:pPr>
        <w:pStyle w:val="TextoNormal"/>
      </w:pPr>
      <w:r>
        <w:t xml:space="preserve">Añade que no es posible realizar una interpretación </w:t>
      </w:r>
      <w:r w:rsidRPr="008D479B">
        <w:rPr>
          <w:i/>
        </w:rPr>
        <w:t>secundum constitutionem</w:t>
      </w:r>
      <w:r>
        <w:t xml:space="preserve"> pues la redacción del precepto supedita claramente la efectividad del derecho de opción lingüística a la alegación de desconocimiento del euskera y no permite una acomodación constitucional, que no sea la de forzar su literalidad y sentido, haciendo una plena reconstrucción del precepto que convertiría al interprete constitucional en legislador. Ese mismo supuesto, el desconocimiento del euskera, para el ejercicio de la opción lingüística es el que se introduce tanto en el acuerdo Estado-Comunidad Autónoma del País Vasco, alcanzado en la Comisión Bilateral, como en el art. 18 del Decreto 178/2019.</w:t>
      </w:r>
    </w:p>
    <w:p w14:paraId="350451BB" w14:textId="77777777" w:rsidR="008D479B" w:rsidRDefault="008D479B" w:rsidP="008D479B">
      <w:pPr>
        <w:pStyle w:val="TextoNormal"/>
      </w:pPr>
    </w:p>
    <w:p w14:paraId="48509CD9" w14:textId="47D58A8B" w:rsidR="008D479B" w:rsidRDefault="008D479B" w:rsidP="008D479B">
      <w:pPr>
        <w:pStyle w:val="TextoNormal"/>
      </w:pPr>
      <w:r>
        <w:t>Efectuadas tales consideraciones entiende irrelevante entrar a examinar la posible invalidez por el uso del término “válidamente”.</w:t>
      </w:r>
    </w:p>
    <w:p w14:paraId="7A0E77E8" w14:textId="77777777" w:rsidR="008D479B" w:rsidRDefault="008D479B" w:rsidP="008D479B">
      <w:pPr>
        <w:pStyle w:val="TextoNormal"/>
      </w:pPr>
    </w:p>
    <w:p w14:paraId="5B753013" w14:textId="678AC6E4" w:rsidR="008D479B" w:rsidRDefault="008D479B" w:rsidP="008D479B">
      <w:pPr>
        <w:pStyle w:val="TextoNormal"/>
      </w:pPr>
      <w:r w:rsidRPr="008D479B">
        <w:rPr>
          <w:rStyle w:val="NumeroAFNegritaCaracter"/>
        </w:rPr>
        <w:t>10</w:t>
      </w:r>
      <w:r>
        <w:t>. Mediante nuevo registrado en este tribunal el 2 de febrero de 2022 por la representación de la Comunidad Autónoma del País Vasco se puso de manifiesto la existencia de un error al referenciar la norma legal a la que pertenece el precepto cuestionado como “Ley 6/2016, de 7 de abril, de instituciones locales de Euskadi” cuando la cita debiera haber sido “Ley 2/2016, de 7 de abril, de instituciones locales de Euskadi”.</w:t>
      </w:r>
    </w:p>
    <w:p w14:paraId="74A505DC" w14:textId="77777777" w:rsidR="008D479B" w:rsidRDefault="008D479B" w:rsidP="008D479B">
      <w:pPr>
        <w:pStyle w:val="TextoNormal"/>
      </w:pPr>
    </w:p>
    <w:p w14:paraId="73F335A4" w14:textId="545DC9FD" w:rsidR="008D479B" w:rsidRDefault="008D479B" w:rsidP="008D479B">
      <w:pPr>
        <w:pStyle w:val="TextoNormal"/>
      </w:pPr>
      <w:r w:rsidRPr="008D479B">
        <w:rPr>
          <w:rStyle w:val="NumeroAFNegritaCaracter"/>
        </w:rPr>
        <w:t>11</w:t>
      </w:r>
      <w:r>
        <w:t>. Mediante providencia de 4 de julio de 2023, se señaló para deliberación y votación de la presente sentencia el siguiente día 5 de julio del mismo año.</w:t>
      </w:r>
    </w:p>
    <w:p w14:paraId="7B379584" w14:textId="77777777" w:rsidR="008D479B" w:rsidRDefault="008D479B" w:rsidP="008D479B">
      <w:pPr>
        <w:pStyle w:val="TextoNormal"/>
      </w:pPr>
    </w:p>
    <w:p w14:paraId="0CC7E656" w14:textId="77777777" w:rsidR="008D479B" w:rsidRDefault="008D479B" w:rsidP="008D479B">
      <w:pPr>
        <w:pStyle w:val="TextoNormalNegritaCentrado"/>
        <w:keepNext/>
      </w:pPr>
      <w:r>
        <w:t>II. Fundamentos jurídicos</w:t>
      </w:r>
    </w:p>
    <w:p w14:paraId="475EA91F" w14:textId="158AE6E0" w:rsidR="008D479B" w:rsidRDefault="008D479B" w:rsidP="008D479B">
      <w:pPr>
        <w:pStyle w:val="TextoNormalNegritaCentrado"/>
        <w:keepNext/>
      </w:pPr>
    </w:p>
    <w:p w14:paraId="7C8FA1C9" w14:textId="77777777" w:rsidR="008D479B" w:rsidRDefault="008D479B" w:rsidP="008D479B">
      <w:pPr>
        <w:pStyle w:val="TextoNormal"/>
      </w:pPr>
      <w:r w:rsidRPr="008D479B">
        <w:rPr>
          <w:rStyle w:val="NumeroAFNegritaCaracter"/>
        </w:rPr>
        <w:t>1</w:t>
      </w:r>
      <w:r>
        <w:t xml:space="preserve">. </w:t>
      </w:r>
      <w:r w:rsidRPr="008D479B">
        <w:rPr>
          <w:i/>
        </w:rPr>
        <w:t>Contenido del auto de planteamiento de la cuestión de inconstitucionalidad, norma cuestionada y argumentación del órgano judicial y de las partes</w:t>
      </w:r>
    </w:p>
    <w:p w14:paraId="52C8CD63" w14:textId="77777777" w:rsidR="008D479B" w:rsidRDefault="008D479B" w:rsidP="008D479B">
      <w:pPr>
        <w:pStyle w:val="TextoNormal"/>
      </w:pPr>
    </w:p>
    <w:p w14:paraId="42055AB5" w14:textId="77777777" w:rsidR="008D479B" w:rsidRDefault="008D479B" w:rsidP="008D479B">
      <w:pPr>
        <w:pStyle w:val="TextoNormal"/>
      </w:pPr>
      <w:r>
        <w:t xml:space="preserve">A) </w:t>
      </w:r>
      <w:r w:rsidRPr="008D479B">
        <w:rPr>
          <w:i/>
        </w:rPr>
        <w:t>Contenido del auto de planteamiento de la cuestión de inconstitucionalidad y de la norma cuestionada</w:t>
      </w:r>
    </w:p>
    <w:p w14:paraId="5636840C" w14:textId="77777777" w:rsidR="008D479B" w:rsidRDefault="008D479B" w:rsidP="008D479B">
      <w:pPr>
        <w:pStyle w:val="TextoNormal"/>
      </w:pPr>
    </w:p>
    <w:p w14:paraId="6A60791B" w14:textId="77777777" w:rsidR="008D479B" w:rsidRDefault="008D479B" w:rsidP="008D479B">
      <w:pPr>
        <w:pStyle w:val="TextoNormal"/>
      </w:pPr>
      <w:r>
        <w:t>La Sección Tercera de la Sala de lo Contencioso-Administrativo del Tribunal Superior de Justicia de País Vasco, plantea cuestión de inconstitucionalidad en relación con el apartado segundo del artículo 6 de la Ley del Parlamento Vasco 2/2016, de 7 de abril, de instituciones locales de Euskadi, por posible vulneración de los arts. 3, 9.3, 14 y 23 CE.</w:t>
      </w:r>
    </w:p>
    <w:p w14:paraId="7915BB91" w14:textId="77777777" w:rsidR="008D479B" w:rsidRDefault="008D479B" w:rsidP="008D479B">
      <w:pPr>
        <w:pStyle w:val="TextoNormal"/>
      </w:pPr>
    </w:p>
    <w:p w14:paraId="72BA1962" w14:textId="77777777" w:rsidR="008D479B" w:rsidRDefault="008D479B" w:rsidP="008D479B">
      <w:pPr>
        <w:pStyle w:val="TextoNormal"/>
      </w:pPr>
      <w:r>
        <w:t>Atendiendo a las alegaciones de las partes y previamente a delimitar el objeto de este proceso constitucional en relación con las normas constitucionales infringidas, procede reproducir íntegramente el art. 6 de la Ley de instituciones locales de Euskadi, destacando en cursiva el inciso de su apartado segundo “siempre que no se lesionen los derechos de ningún miembro de la entidad local que pueda alegar válidamente el desconocimiento del euskera”, al que —como veremos al delimitar el objeto de la presente cuestión en la letra b) del fundamento jurídico segundo de esta resolución— se concreta la cuestión de inconstitucionalidad:</w:t>
      </w:r>
    </w:p>
    <w:p w14:paraId="2C31EDC4" w14:textId="77777777" w:rsidR="008D479B" w:rsidRDefault="008D479B" w:rsidP="008D479B">
      <w:pPr>
        <w:pStyle w:val="TextoNormal"/>
      </w:pPr>
    </w:p>
    <w:p w14:paraId="32A37E2B" w14:textId="77777777" w:rsidR="008D479B" w:rsidRDefault="008D479B" w:rsidP="008D479B">
      <w:pPr>
        <w:pStyle w:val="TextoNormal"/>
      </w:pPr>
      <w:r>
        <w:t>“Artículo 6. Lengua oficial de las entidades locales de la Comunidad Autónoma de Euskadi</w:t>
      </w:r>
    </w:p>
    <w:p w14:paraId="46842F17" w14:textId="77777777" w:rsidR="008D479B" w:rsidRDefault="008D479B" w:rsidP="008D479B">
      <w:pPr>
        <w:pStyle w:val="TextoNormal"/>
      </w:pPr>
    </w:p>
    <w:p w14:paraId="3363A45F" w14:textId="77777777" w:rsidR="008D479B" w:rsidRDefault="008D479B" w:rsidP="008D479B">
      <w:pPr>
        <w:pStyle w:val="TextoNormal"/>
      </w:pPr>
      <w:r>
        <w:t>1. El euskera, lengua propia del País Vasco, es, como el castellano, lengua oficial de las entidades locales de la Comunidad Autónoma de Euskadi, y, como tal, será lengua de servicio y lengua de trabajo de uso normal y general en sus actividades, garantizando en todo caso el ejercicio efectivo del derecho de los ciudadanos y ciudadanas a escoger la lengua oficial en la que se relacionan con los entes locales y el correlativo deber de estos de atenderles en la lengua escogida, adoptando con tal fin las medidas necesarias.</w:t>
      </w:r>
    </w:p>
    <w:p w14:paraId="3C3AAAC0" w14:textId="77777777" w:rsidR="008D479B" w:rsidRDefault="008D479B" w:rsidP="008D479B">
      <w:pPr>
        <w:pStyle w:val="TextoNormal"/>
      </w:pPr>
    </w:p>
    <w:p w14:paraId="7F32F8E5" w14:textId="77777777" w:rsidR="008D479B" w:rsidRDefault="008D479B" w:rsidP="008D479B">
      <w:pPr>
        <w:pStyle w:val="TextoNormal"/>
      </w:pPr>
      <w:r>
        <w:t>De acuerdo con la oficialidad reconocida al euskera y al castellano, tanto el uso del euskera como el uso del castellano en las actuaciones de las entidades locales tendrán plena validez jurídica, siempre sin perjuicio del deber de las entidades locales de garantizar, en las relaciones con los particulares, el uso de la lengua oficial que hubiera sido elegida por estos.</w:t>
      </w:r>
    </w:p>
    <w:p w14:paraId="0AA2ABAE" w14:textId="77777777" w:rsidR="008D479B" w:rsidRDefault="008D479B" w:rsidP="008D479B">
      <w:pPr>
        <w:pStyle w:val="TextoNormal"/>
      </w:pPr>
    </w:p>
    <w:p w14:paraId="373C3973" w14:textId="77777777" w:rsidR="008D479B" w:rsidRDefault="008D479B" w:rsidP="008D479B">
      <w:pPr>
        <w:pStyle w:val="TextoNormal"/>
      </w:pPr>
      <w:r>
        <w:t xml:space="preserve">2. Las convocatorias, órdenes del día, mociones, votos particulares, propuestas de acuerdo, dictámenes de las comisiones informativas, acuerdos y actas de los órganos de las entidades locales podrán ser redactados en euskera. Esta facultad podrá ejercerse, en los supuestos anteriormente mencionados, </w:t>
      </w:r>
      <w:r w:rsidRPr="008D479B">
        <w:rPr>
          <w:i/>
        </w:rPr>
        <w:t>siempre que no se lesionen los derechos de ningún miembro de la entidad local que pueda alegar válidamente el desconocimiento del euskera</w:t>
      </w:r>
      <w:r>
        <w:t>, sin perjuicio de lo previsto en la Ley 10/1982, de 24 de noviembre, básica de normalización y uso del euskera. Cuando las resoluciones, actas y acuerdos se redacten en euskera, se remitirán en esta lengua las copias o extractos a la administración autonómica y a la administración estatal, en cumplimiento de lo dispuesto en la legislación básica de régimen local.</w:t>
      </w:r>
    </w:p>
    <w:p w14:paraId="46ADAB28" w14:textId="77777777" w:rsidR="008D479B" w:rsidRDefault="008D479B" w:rsidP="008D479B">
      <w:pPr>
        <w:pStyle w:val="TextoNormal"/>
      </w:pPr>
    </w:p>
    <w:p w14:paraId="039EA5A2" w14:textId="77777777" w:rsidR="008D479B" w:rsidRDefault="008D479B" w:rsidP="008D479B">
      <w:pPr>
        <w:pStyle w:val="TextoNormal"/>
      </w:pPr>
      <w:r>
        <w:t>3. Con independencia de que las entidades locales puedan emplear una de las dos lenguas oficiales dentro de la Comunidad Autónoma de Euskadi en sus relaciones internas o en sus relaciones con cualquier otra administración pública o incluso en sus comunicaciones con los particulares, deberán arbitrar los mecanismos pertinentes para que el derecho de los ciudadanos a recibir tales comunicaciones en la otra lengua oficial pueda hacerse efectivo sin formalidades ni condiciones que comporten a los ciudadanos una carga u obligación”.</w:t>
      </w:r>
    </w:p>
    <w:p w14:paraId="05137D91" w14:textId="77777777" w:rsidR="008D479B" w:rsidRDefault="008D479B" w:rsidP="008D479B">
      <w:pPr>
        <w:pStyle w:val="TextoNormal"/>
      </w:pPr>
    </w:p>
    <w:p w14:paraId="330C2109" w14:textId="77777777" w:rsidR="008D479B" w:rsidRDefault="008D479B" w:rsidP="008D479B">
      <w:pPr>
        <w:pStyle w:val="TextoNormal"/>
      </w:pPr>
      <w:r>
        <w:t xml:space="preserve">B) </w:t>
      </w:r>
      <w:r w:rsidRPr="008D479B">
        <w:rPr>
          <w:i/>
        </w:rPr>
        <w:t>Argumentación del órgano judicial y posiciones de las partes</w:t>
      </w:r>
    </w:p>
    <w:p w14:paraId="2F449B29" w14:textId="77777777" w:rsidR="008D479B" w:rsidRDefault="008D479B" w:rsidP="008D479B">
      <w:pPr>
        <w:pStyle w:val="TextoNormal"/>
      </w:pPr>
    </w:p>
    <w:p w14:paraId="393FFB84" w14:textId="77777777" w:rsidR="008D479B" w:rsidRDefault="008D479B" w:rsidP="008D479B">
      <w:pPr>
        <w:pStyle w:val="TextoNormal"/>
      </w:pPr>
      <w:r>
        <w:t>a) El órgano judicial fundamenta la inconstitucionalidad del referido inciso en que quiebra la igualdad de ambas lenguas al desaparecer la libertad de opción por la lengua castellana de los representantes de los entes locales en relación con las convocatorias, órdenes del día, mociones, votos particulares, propuestas de acuerdo, dictámenes de las comisiones informativas, acuerdos y actas de los órganos de las entidades locales, en primer lugar porque para que tales documentos se redacten en castellano se exige el desconocimiento de la lengua autonómica y en segundo lugar porque se requiere además que ese desconocimiento se alegue “válidamente”.</w:t>
      </w:r>
    </w:p>
    <w:p w14:paraId="4220914C" w14:textId="77777777" w:rsidR="008D479B" w:rsidRDefault="008D479B" w:rsidP="008D479B">
      <w:pPr>
        <w:pStyle w:val="TextoNormal"/>
      </w:pPr>
    </w:p>
    <w:p w14:paraId="08C1AB39" w14:textId="77777777" w:rsidR="008D479B" w:rsidRDefault="008D479B" w:rsidP="008D479B">
      <w:pPr>
        <w:pStyle w:val="TextoNormal"/>
      </w:pPr>
      <w:r>
        <w:t>A juicio del órgano judicial, solo el desconocimiento del euskera puede dar entrada al castellano en la redacción de tales documentos, por lo que el euskera se trata como lengua prioritaria en la administración local. Por otra parte, la exigencia de que se deba “alegar válidamente” ese desconocimiento, introduciría una indeterminación que ocasiona inseguridad y riesgo de arbitrariedad incontrolada. Ambas circunstancias impiden, a juicio del órgano promovente de la cuestión de inconstitucionalidad, la libertad de opción lingüística reduciéndola al caso del desconocimiento del euskera que es tratado como lengua preferente, por lo que se vulneran los arts. 3, 9.3, 14 y 23 CE.</w:t>
      </w:r>
    </w:p>
    <w:p w14:paraId="074DFCC5" w14:textId="77777777" w:rsidR="008D479B" w:rsidRDefault="008D479B" w:rsidP="008D479B">
      <w:pPr>
        <w:pStyle w:val="TextoNormal"/>
      </w:pPr>
    </w:p>
    <w:p w14:paraId="011A8B64" w14:textId="77777777" w:rsidR="008D479B" w:rsidRDefault="008D479B" w:rsidP="008D479B">
      <w:pPr>
        <w:pStyle w:val="TextoNormal"/>
      </w:pPr>
      <w:r>
        <w:t>b) Por su parte, la representación del Gobierno y del Parlamento Vasco solicitan que se desestime la cuestión de inconstitucionalidad.</w:t>
      </w:r>
    </w:p>
    <w:p w14:paraId="3D11B658" w14:textId="77777777" w:rsidR="008D479B" w:rsidRDefault="008D479B" w:rsidP="008D479B">
      <w:pPr>
        <w:pStyle w:val="TextoNormal"/>
      </w:pPr>
    </w:p>
    <w:p w14:paraId="153CAD0F" w14:textId="77777777" w:rsidR="008D479B" w:rsidRDefault="008D479B" w:rsidP="008D479B">
      <w:pPr>
        <w:pStyle w:val="TextoNormal"/>
      </w:pPr>
      <w:r>
        <w:t>El Parlamento Vasco afirma que los arts. 18 y 21 del Decreto 179/2019, que son los que desarrollan el contenido del cuestionado art. 6.2 de la Ley de instituciones locales de Euskadi, no han sido directamente impugnados en vía contencioso-administrativa, circunstancia que afectaría al juicio de relevancia al no existir interconexión o dependencia entre la norma que se cuestiona y el fallo del proceso.</w:t>
      </w:r>
    </w:p>
    <w:p w14:paraId="32FB33DE" w14:textId="77777777" w:rsidR="008D479B" w:rsidRDefault="008D479B" w:rsidP="008D479B">
      <w:pPr>
        <w:pStyle w:val="TextoNormal"/>
      </w:pPr>
    </w:p>
    <w:p w14:paraId="5A2FC54F" w14:textId="77777777" w:rsidR="008D479B" w:rsidRDefault="008D479B" w:rsidP="008D479B">
      <w:pPr>
        <w:pStyle w:val="TextoNormal"/>
      </w:pPr>
      <w:r>
        <w:t xml:space="preserve">Ambos —Gobierno y Parlamento—, como se ha expuesto en los antecedentes, consideran que el referido inciso debe ser interpretado de modo sistemático y conforme al acuerdo de la Comisión Bilateral de Cooperación Administración General del Estado-Comunidad Autónoma del País Vasco, en el sentido que reconoce a los concejales, en su calidad de cargos públicos representativos locales y en el ejercicio del </w:t>
      </w:r>
      <w:r w:rsidRPr="008D479B">
        <w:rPr>
          <w:i/>
        </w:rPr>
        <w:t>ius in oficium</w:t>
      </w:r>
      <w:r>
        <w:t xml:space="preserve"> </w:t>
      </w:r>
      <w:r w:rsidRPr="008D479B">
        <w:rPr>
          <w:i/>
        </w:rPr>
        <w:t>ex</w:t>
      </w:r>
      <w:r>
        <w:t xml:space="preserve"> art. 23 CE, idénticos derechos que a los ciudadanos al objeto de poder ejercitar el derecho de opción entre el castellano y el euskera (art. 3 CE). Afirman que queda mejor garantizada la libre opción lingüística en el art. 6.2 de la Ley de instituciones locales de Euskadi que en la regulación del art. 86.1 del Real Decreto 2568/1986, de 28 de noviembre, por el que se aprueba el Reglamento de organización, funcionamiento y régimen jurídico de las entidades Locales, en el que la posibilidad de redactar únicamente en euskera la totalidad de esos mismos documentos se prevé sin sujeción a condición alguna.</w:t>
      </w:r>
    </w:p>
    <w:p w14:paraId="2CB336BA" w14:textId="77777777" w:rsidR="008D479B" w:rsidRDefault="008D479B" w:rsidP="008D479B">
      <w:pPr>
        <w:pStyle w:val="TextoNormal"/>
      </w:pPr>
    </w:p>
    <w:p w14:paraId="68EAC48F" w14:textId="13774A99" w:rsidR="008D479B" w:rsidRDefault="008D479B" w:rsidP="008D479B">
      <w:pPr>
        <w:pStyle w:val="TextoNormal"/>
      </w:pPr>
      <w:r>
        <w:t xml:space="preserve">c) Finalmente el Ministerio Fiscal solicita la estimación de la cuestión de inconstitucionalidad, al entender que el inciso cuestionado del art. 6.2 de la Ley de instituciones locales de Euskadi vincula y condiciona el derecho de opción lingüística al desconocimiento del euskera, lo que resulta contrario al art. 3.1 CE y a la doctrina constitucional (STC 31/2010, FJ 14) y al tratarse de cargos públicos representativos de la entidad local la preferencia del euskera afecta al </w:t>
      </w:r>
      <w:r w:rsidRPr="008D479B">
        <w:rPr>
          <w:i/>
        </w:rPr>
        <w:t>ius in officium</w:t>
      </w:r>
      <w:r>
        <w:t xml:space="preserve"> y correlativamente al derecho a participar en los asuntos públicos (art. 23 CE).</w:t>
      </w:r>
    </w:p>
    <w:p w14:paraId="5384AD5A" w14:textId="77777777" w:rsidR="008D479B" w:rsidRDefault="008D479B" w:rsidP="008D479B">
      <w:pPr>
        <w:pStyle w:val="TextoNormal"/>
      </w:pPr>
    </w:p>
    <w:p w14:paraId="3E4767AD" w14:textId="77777777" w:rsidR="008D479B" w:rsidRDefault="008D479B" w:rsidP="008D479B">
      <w:pPr>
        <w:pStyle w:val="TextoNormal"/>
      </w:pPr>
      <w:r w:rsidRPr="008D479B">
        <w:rPr>
          <w:rStyle w:val="NumeroAFNegritaCaracter"/>
        </w:rPr>
        <w:t>2</w:t>
      </w:r>
      <w:r>
        <w:t xml:space="preserve">. </w:t>
      </w:r>
      <w:r w:rsidRPr="008D479B">
        <w:rPr>
          <w:i/>
        </w:rPr>
        <w:t>Juicio de relevancia. Precepto legal cuestionado. Normas constitucionales de contraste</w:t>
      </w:r>
    </w:p>
    <w:p w14:paraId="2DC2155F" w14:textId="77777777" w:rsidR="008D479B" w:rsidRDefault="008D479B" w:rsidP="008D479B">
      <w:pPr>
        <w:pStyle w:val="TextoNormal"/>
      </w:pPr>
    </w:p>
    <w:p w14:paraId="1E179E72" w14:textId="77777777" w:rsidR="008D479B" w:rsidRDefault="008D479B" w:rsidP="008D479B">
      <w:pPr>
        <w:pStyle w:val="TextoNormal"/>
      </w:pPr>
      <w:r>
        <w:t>Con carácter previo a entrar a examinar el fondo de la cuestión de inconstitucionalidad, se hace preciso resolver tres aspectos que han sido puestos de relieve por las partes en sus alegaciones: la corrección del juicio de relevancia, el alcance del precepto cuestionado y finalmente las normas constitucionales eventualmente infringidas sobre las que nos debemos pronunciar.</w:t>
      </w:r>
    </w:p>
    <w:p w14:paraId="53DBC73F" w14:textId="77777777" w:rsidR="008D479B" w:rsidRDefault="008D479B" w:rsidP="008D479B">
      <w:pPr>
        <w:pStyle w:val="TextoNormal"/>
      </w:pPr>
    </w:p>
    <w:p w14:paraId="576987B1" w14:textId="77777777" w:rsidR="008D479B" w:rsidRDefault="008D479B" w:rsidP="008D479B">
      <w:pPr>
        <w:pStyle w:val="TextoNormal"/>
      </w:pPr>
      <w:r>
        <w:t xml:space="preserve">a) </w:t>
      </w:r>
      <w:r w:rsidRPr="008D479B">
        <w:rPr>
          <w:i/>
        </w:rPr>
        <w:t>Sobre el juicio de relevancia</w:t>
      </w:r>
    </w:p>
    <w:p w14:paraId="17DD8AF2" w14:textId="77777777" w:rsidR="008D479B" w:rsidRDefault="008D479B" w:rsidP="008D479B">
      <w:pPr>
        <w:pStyle w:val="TextoNormal"/>
      </w:pPr>
    </w:p>
    <w:p w14:paraId="673CA525" w14:textId="77777777" w:rsidR="008D479B" w:rsidRDefault="008D479B" w:rsidP="008D479B">
      <w:pPr>
        <w:pStyle w:val="TextoNormal"/>
      </w:pPr>
      <w:r>
        <w:t>El Parlamento Vasco afirma que los arts. 18 y 21 del Decreto 179/2019, que son los que desarrollan el contenido del cuestionado art. 6.2 de la Ley de instituciones locales de Euskadi, no han sido directamente impugnados en vía contencioso-administrativa. Esa circunstancia afectaría al juicio de relevancia al no existir interconexión o dependencia entre la norma que se cuestiona y el fallo del proceso. Dicho óbice procesal, sin embargo, no puede ser estimado, pues la premisa en la que se sustenta no es correcta. En efecto, como se ha expuesto en los antecedentes, frente a lo que se afirma por el Parlamento del País Vasco, el art. 18 del Decreto 179/2019 fue objeto de expresa impugnación en la demanda, en la que se cuestionó el término “válidamente” con referencia al acuerdo alcanzado sobre el art. 6.2 de la Ley de instituciones locales de Euskadi por la Comisión Bilateral de Cooperación Estado-Comunidad Autónoma del País Vasco y poniendo de manifiesto el menoscabo que su redacción suponía para el régimen de cooficialidad lingüística (art. 3 CE).</w:t>
      </w:r>
    </w:p>
    <w:p w14:paraId="1DA57DA3" w14:textId="77777777" w:rsidR="008D479B" w:rsidRDefault="008D479B" w:rsidP="008D479B">
      <w:pPr>
        <w:pStyle w:val="TextoNormal"/>
      </w:pPr>
    </w:p>
    <w:p w14:paraId="34E37736" w14:textId="77777777" w:rsidR="008D479B" w:rsidRDefault="008D479B" w:rsidP="008D479B">
      <w:pPr>
        <w:pStyle w:val="TextoNormal"/>
      </w:pPr>
      <w:r>
        <w:t xml:space="preserve">b) </w:t>
      </w:r>
      <w:r w:rsidRPr="008D479B">
        <w:rPr>
          <w:i/>
        </w:rPr>
        <w:t>Determinación del precepto legal cuestionado</w:t>
      </w:r>
    </w:p>
    <w:p w14:paraId="49CB6F02" w14:textId="77777777" w:rsidR="008D479B" w:rsidRDefault="008D479B" w:rsidP="008D479B">
      <w:pPr>
        <w:pStyle w:val="TextoNormal"/>
      </w:pPr>
    </w:p>
    <w:p w14:paraId="3BA8522B" w14:textId="77777777" w:rsidR="008D479B" w:rsidRDefault="008D479B" w:rsidP="008D479B">
      <w:pPr>
        <w:pStyle w:val="TextoNormal"/>
      </w:pPr>
      <w:r>
        <w:t>Como se ha adelantado, pese a que en la parte dispositiva del auto de planteamiento de la cuestión de inconstitucionalidad se indica que el precepto cuestionado es el art. 6.2 de la Ley de instituciones locales de Euskadi, sin embargo, del contenido del auto de planteamiento de la cuestión de inconstitucionalidad resulta que únicamente se cuestiona su inciso: “siempre que no se lesionen los derechos de ningún miembro de la entidad local que pueda alegar válidamente el desconocimiento del euskera”, que es, por otra parte al que se concretó el trámite de audiencia y al que vamos a circunscribir nuestro enjuiciamiento, sin perjuicio, en su caso, de la eventual declaración de inconstitucionalidad por conexión o consecuencia de otros apartados o preceptos de la misma disposición legal que pudiera acordarse (STC 109/2021, de 13 de mayo, FJ 2 ).</w:t>
      </w:r>
    </w:p>
    <w:p w14:paraId="1437EC9C" w14:textId="77777777" w:rsidR="008D479B" w:rsidRDefault="008D479B" w:rsidP="008D479B">
      <w:pPr>
        <w:pStyle w:val="TextoNormal"/>
      </w:pPr>
    </w:p>
    <w:p w14:paraId="2C052829" w14:textId="77777777" w:rsidR="008D479B" w:rsidRDefault="008D479B" w:rsidP="008D479B">
      <w:pPr>
        <w:pStyle w:val="TextoNormal"/>
      </w:pPr>
      <w:r>
        <w:t xml:space="preserve">c) </w:t>
      </w:r>
      <w:r w:rsidRPr="008D479B">
        <w:rPr>
          <w:i/>
        </w:rPr>
        <w:t>Delimitación de los preceptos constitucionales infringidos objeto de la cuestión de inconstitucionalidad</w:t>
      </w:r>
    </w:p>
    <w:p w14:paraId="76720D55" w14:textId="77777777" w:rsidR="008D479B" w:rsidRDefault="008D479B" w:rsidP="008D479B">
      <w:pPr>
        <w:pStyle w:val="TextoNormal"/>
      </w:pPr>
    </w:p>
    <w:p w14:paraId="40E3C4DA" w14:textId="77777777" w:rsidR="008D479B" w:rsidRDefault="008D479B" w:rsidP="008D479B">
      <w:pPr>
        <w:pStyle w:val="TextoNormal"/>
      </w:pPr>
      <w:r>
        <w:t>Conviene ahora analizar el cumplimiento del trámite regulado en el art. 35.2 LOTC, que impone la previa audiencia de las partes y del Ministerio Fiscal acerca de la pertinencia de plantear la cuestión de inconstitucionalidad y en la que el órgano judicial debe concretar “el precepto constitucional que se supone infringido”.</w:t>
      </w:r>
    </w:p>
    <w:p w14:paraId="137998F6" w14:textId="77777777" w:rsidR="008D479B" w:rsidRDefault="008D479B" w:rsidP="008D479B">
      <w:pPr>
        <w:pStyle w:val="TextoNormal"/>
      </w:pPr>
    </w:p>
    <w:p w14:paraId="2860FB49" w14:textId="77777777" w:rsidR="008D479B" w:rsidRDefault="008D479B" w:rsidP="008D479B">
      <w:pPr>
        <w:pStyle w:val="TextoNormal"/>
      </w:pPr>
      <w:r>
        <w:t>Debe recordarse que la finalidad del trámite de audiencia a las partes y al Ministerio Fiscal previsto en el art. 35.2 LOTC es “garantizar la audiencia […] ante una posible decisión judicial de tanta entidad como es la apertura de un proceso constitucional y de poner a disposición del órgano judicial un medio que le permita conocer la opinión de los sujetos interesados con el fin de facilitar su reflexión sobre la conveniencia o no de proceder a la apertura de dicho proceso” (STC 140/2008, de 28 de octubre, por todas).</w:t>
      </w:r>
    </w:p>
    <w:p w14:paraId="0C269BFF" w14:textId="77777777" w:rsidR="008D479B" w:rsidRDefault="008D479B" w:rsidP="008D479B">
      <w:pPr>
        <w:pStyle w:val="TextoNormal"/>
      </w:pPr>
    </w:p>
    <w:p w14:paraId="19511406" w14:textId="77777777" w:rsidR="008D479B" w:rsidRDefault="008D479B" w:rsidP="008D479B">
      <w:pPr>
        <w:pStyle w:val="TextoNormal"/>
      </w:pPr>
      <w:r>
        <w:t>Del examen de la providencia de 30 de junio de 2021, por la que se acordó la apertura del trámite del art. 35.2 LOTC, resulta que se consideró que el precepto cuestionado “pudiera adolecer de inconstitucionalidad al vulnerar los arts. 3 y 14 de la Constitución en la medida en que limita la utilización del castellano a aquellos supuestos en los que el interesado desconociese el euskera impidiéndole ejercer su derecho constitucional a utilizar el castellano libremente y condicionándolo además a que sea la entidad local quien valore, sin fijar ningún criterio para ello, si es válida o no la justificación de tal desconocimiento”. Sin embargo, como se ha advertido en el fundamento anterior, los preceptos en los que en que definitivamente se sustentan las dudas de constitucionalidad en el auto de planteamiento de la cuestión son los arts. 3, 9.3, 14 y 23 CE.</w:t>
      </w:r>
    </w:p>
    <w:p w14:paraId="1CBD81C2" w14:textId="77777777" w:rsidR="008D479B" w:rsidRDefault="008D479B" w:rsidP="008D479B">
      <w:pPr>
        <w:pStyle w:val="TextoNormal"/>
      </w:pPr>
    </w:p>
    <w:p w14:paraId="47D4B4C2" w14:textId="77777777" w:rsidR="008D479B" w:rsidRDefault="008D479B" w:rsidP="008D479B">
      <w:pPr>
        <w:pStyle w:val="TextoNormal"/>
      </w:pPr>
      <w:r>
        <w:t>Debe indicarse que el Ministerio Fiscal en el trámite de audiencia se refirió exclusivamente —al igual que el partido político Vox— a la posible vulneración de los arts. 3 y 14 CE. A esos mismos preceptos se refirió el letrado del servicio jurídico central del Gobierno Vasco, si bien hizo referencia a la omisión en la providencia del art. 23.1 CE, al que consideró “título necesario y fundamental a la sazón de centrar y dotar de contenido e interpretar la cuestión que se nos plantea”, refiriéndose extensamente al contenido del derecho de opción lingüística en el ejercicio de</w:t>
      </w:r>
      <w:r w:rsidRPr="008D479B">
        <w:rPr>
          <w:i/>
        </w:rPr>
        <w:t>l ius in offici</w:t>
      </w:r>
      <w:r>
        <w:t>um.</w:t>
      </w:r>
    </w:p>
    <w:p w14:paraId="6BCE35C7" w14:textId="77777777" w:rsidR="008D479B" w:rsidRDefault="008D479B" w:rsidP="008D479B">
      <w:pPr>
        <w:pStyle w:val="TextoNormal"/>
      </w:pPr>
    </w:p>
    <w:p w14:paraId="74EE5CDD" w14:textId="378BDC3B" w:rsidR="008D479B" w:rsidRDefault="008D479B" w:rsidP="008D479B">
      <w:pPr>
        <w:pStyle w:val="TextoNormal"/>
      </w:pPr>
      <w:r>
        <w:t>De lo expuesto resulta que dos de los preceptos que el auto de planteamiento reputa vulnerados (arts. 9.3 y 23.1 CE) no coinciden con los que se pusieron de manifiesto a las partes en la providencia por la que el órgano judicial abrió el trámite de audiencia. Además, ni el fiscal ni el partido político Vox hicieron mención alguna a los mismos. De modo que el defecto en el trámite de audiencia les impidió entender correctamente el menoscabo que podían sufrir las garantías inherentes al principio de seguridad jurídica (art. 9.3 CE) o el modo en que podía verse afectado el acceso y ejercicio de la función representativa (art. 23.1 CE) por la exigencia de tener que alegar válidamente el desconocimiento del euskera para que las actuaciones a las que se refiere el art. 6.2 de la Ley de instituciones locales de Euskadi se redactaran en castellano. Dicha omisión tampoco puede considerarse salvada por el resto del contenido de la mencionada providencia, lo que determina la consiguiente exclusión del enjuiciamiento de la infracción de tales preceptos conforme a nuestra reiterada doctrina, al no haber habido oportunidad de pronunciarse sobre ellos [STC 44/2019, de 27 de marzo, FJ 2 a), y sentencias ahí citadas].</w:t>
      </w:r>
    </w:p>
    <w:p w14:paraId="2CE1D373" w14:textId="77777777" w:rsidR="008D479B" w:rsidRDefault="008D479B" w:rsidP="008D479B">
      <w:pPr>
        <w:pStyle w:val="TextoNormal"/>
      </w:pPr>
    </w:p>
    <w:p w14:paraId="2BFE5F71" w14:textId="77777777" w:rsidR="008D479B" w:rsidRDefault="008D479B" w:rsidP="008D479B">
      <w:pPr>
        <w:pStyle w:val="TextoNormal"/>
      </w:pPr>
      <w:r w:rsidRPr="008D479B">
        <w:rPr>
          <w:rStyle w:val="NumeroAFNegritaCaracter"/>
        </w:rPr>
        <w:t>3</w:t>
      </w:r>
      <w:r>
        <w:t xml:space="preserve">. </w:t>
      </w:r>
      <w:r w:rsidRPr="008D479B">
        <w:rPr>
          <w:i/>
        </w:rPr>
        <w:t>Doctrina constitucional sobre la regulación de la cooficialidad lingüística</w:t>
      </w:r>
    </w:p>
    <w:p w14:paraId="183BBF20" w14:textId="77777777" w:rsidR="008D479B" w:rsidRDefault="008D479B" w:rsidP="008D479B">
      <w:pPr>
        <w:pStyle w:val="TextoNormal"/>
      </w:pPr>
    </w:p>
    <w:p w14:paraId="3852AD30" w14:textId="77777777" w:rsidR="008D479B" w:rsidRDefault="008D479B" w:rsidP="008D479B">
      <w:pPr>
        <w:pStyle w:val="TextoNormal"/>
      </w:pPr>
      <w:r>
        <w:t>Una vez concretado el objeto de la cuestión de inconstitucionalidad es preciso examinar si el art. 6.2 de la Ley de instituciones locales de Euskadi al conceder la facultad de optar por redactar exclusivamente en euskera las convocatorias, órdenes del día, mociones, votos particulares, propuestas de acuerdo, dictámenes de las comisiones informativas, acuerdos y actas de los órganos de las entidades locales en el supuesto en que no se lesionen los derechos de ningún miembro de la entidad local que pueda alegar válidamente el desconocimiento del euskera, vulnera el régimen de cooficialidad lingüística constitucionalmente establecido (art. 3 CE), luego, en su caso, se examinará la existencias de vulneración del art. 14 CE.</w:t>
      </w:r>
    </w:p>
    <w:p w14:paraId="3EFDBC7A" w14:textId="77777777" w:rsidR="008D479B" w:rsidRDefault="008D479B" w:rsidP="008D479B">
      <w:pPr>
        <w:pStyle w:val="TextoNormal"/>
      </w:pPr>
    </w:p>
    <w:p w14:paraId="7F15AC78" w14:textId="77777777" w:rsidR="008D479B" w:rsidRDefault="008D479B" w:rsidP="008D479B">
      <w:pPr>
        <w:pStyle w:val="TextoNormal"/>
      </w:pPr>
      <w:r>
        <w:t>El punto de partida de cualquier enjuiciamiento constitucional y también por tanto de la presente cuestión de inconstitucionalidad y en ello son coincidentes las alegaciones de las partes, ha de ser necesariamente la Constitución en cuyo art. 3 se contiene sustancialmente la regulación constitucional en materia lingüística, en los siguientes términos: “1. El castellano es la lengua española oficial del Estado. Todos los españoles tienen el deber de conocerlo y el derecho de usarlo. 2. Las demás lenguas españolas serán también oficiales en las respectivas Comunidades Autónomas de acuerdo con sus Estatutos. 3. La riqueza de las distintas modalidades lingüísticas de España es un patrimonio cultural que será objeto de especial respeto y protección”.</w:t>
      </w:r>
    </w:p>
    <w:p w14:paraId="2C9748DF" w14:textId="77777777" w:rsidR="008D479B" w:rsidRDefault="008D479B" w:rsidP="008D479B">
      <w:pPr>
        <w:pStyle w:val="TextoNormal"/>
      </w:pPr>
    </w:p>
    <w:p w14:paraId="29504288" w14:textId="77777777" w:rsidR="008D479B" w:rsidRDefault="008D479B" w:rsidP="008D479B">
      <w:pPr>
        <w:pStyle w:val="TextoNormal"/>
      </w:pPr>
      <w:r>
        <w:t>En virtud de la remisión que hace el art. 3.2 CE a lo dispuesto en las normas estatutarias de las respectivas comunidades autónomas, dicha regulación esencial se completa por lo que al presente caso se refiere, en el art. 6.1 y 2 EAPV en el que se dispone que “el euskera, lengua propia del País Vasco, tendrá, como el castellano, carácter de lengua oficial en Euskadi, y todos sus habitantes tienen el derecho a conocer y usar ambas lenguas. 2. Las instituciones comunes de la comunidad autónoma, teniendo en cuenta la diversidad socio-lingüística del País Vasco, garantizarán el uso de ambas lenguas”.</w:t>
      </w:r>
    </w:p>
    <w:p w14:paraId="52D3CD21" w14:textId="77777777" w:rsidR="008D479B" w:rsidRDefault="008D479B" w:rsidP="008D479B">
      <w:pPr>
        <w:pStyle w:val="TextoNormal"/>
      </w:pPr>
    </w:p>
    <w:p w14:paraId="6C5A6A27" w14:textId="77777777" w:rsidR="008D479B" w:rsidRDefault="008D479B" w:rsidP="008D479B">
      <w:pPr>
        <w:pStyle w:val="TextoNormal"/>
      </w:pPr>
      <w:r>
        <w:t>De este modo el enjuiciamiento del presente recurso arranca del reconocimiento por la Constitución de la realidad plurilingüe de la Nación española, en la que se constata un valor cultural no solo asumible, sino también digno de ser promovido. La Constitución “no se opone a la adopción de una política enfocada hacia la defensa y promoción de la lengua cooficial. Muy al contrario, la Constitución se refiere a la necesidad de proteger y respetar las distintas modalidades lingüísticas de España como parte de nuestro patrimonio cultural (art. 3.3 CE)” (STC 88/2017, de 4 de julio, FJ 5). Ahora bien, en relación con la necesidad de protección y respeto de las distintas modalidades lingüísticas, no son pocas las ocasiones en que este tribunal ha sostenido que no es conforme con la Constitución otorgar normativamente preferencia en el uso por parte de los poderes públicos a una lengua oficial con relación a otras que también los son, esto es, establecer normativamente un trato prioritario en favor de alguna de las lenguas cooficiales.</w:t>
      </w:r>
    </w:p>
    <w:p w14:paraId="242378C7" w14:textId="77777777" w:rsidR="008D479B" w:rsidRDefault="008D479B" w:rsidP="008D479B">
      <w:pPr>
        <w:pStyle w:val="TextoNormal"/>
      </w:pPr>
    </w:p>
    <w:p w14:paraId="2AFF8C3F" w14:textId="77777777" w:rsidR="008D479B" w:rsidRDefault="008D479B" w:rsidP="008D479B">
      <w:pPr>
        <w:pStyle w:val="TextoNormal"/>
      </w:pPr>
      <w:r>
        <w:t>En tal sentido hemos afirmado que el uso preferente del poder público de una de las dos lenguas oficiales, contradice una de las características constitucionalmente definidoras de la oficialidad lingüística, cual es, en palabras de la STC 82/1986, de 26 de junio, que las lenguas oficiales constituyen “medio normal de comunicación en y entre [los poderes públicos] y en su relación con los sujetos privados, con plena validez y efectos jurídicos”.</w:t>
      </w:r>
    </w:p>
    <w:p w14:paraId="20F10E3F" w14:textId="77777777" w:rsidR="008D479B" w:rsidRDefault="008D479B" w:rsidP="008D479B">
      <w:pPr>
        <w:pStyle w:val="TextoNormal"/>
      </w:pPr>
    </w:p>
    <w:p w14:paraId="6C962553" w14:textId="77777777" w:rsidR="008D479B" w:rsidRDefault="008D479B" w:rsidP="008D479B">
      <w:pPr>
        <w:pStyle w:val="TextoNormal"/>
      </w:pPr>
      <w:r>
        <w:t>Como hemos afirmado en otras ocasiones, “toda lengua oficial es, por tanto —también allí donde comparte esa cualidad con otra lengua española—, lengua de uso normal por y ante el poder público” (STC 31/2010, de 28 de junio, FJ 23). Es por ello por lo que las entidades locales del País Vasco, como poder público, no pueden tener preferencia por ninguna de las dos lenguas oficiales, bien resulte esa primacía lingüística expresamente reconocida en la norma en detrimento de la otra lengua cooficial o se deba a la imposición de condicionamientos que supongan un trato o uso prioritario de una de las lenguas frente a la otra lengua española. Reiteradamente este tribunal ha sostenido que los ciudadanos tienen derecho a usar indistintamente el castellano o la lengua oficial propia de la comunidad autónoma en sus relaciones con el conjunto de las instituciones públicas que se ubican en el territorio de esa comunidad (SSTC 134/1997, de 17 de julio, FJ 2; 253/2005, de 11 de octubre, FJ 10, y 31/2010, FJ 21).</w:t>
      </w:r>
    </w:p>
    <w:p w14:paraId="6B91A6D4" w14:textId="77777777" w:rsidR="008D479B" w:rsidRDefault="008D479B" w:rsidP="008D479B">
      <w:pPr>
        <w:pStyle w:val="TextoNormal"/>
      </w:pPr>
    </w:p>
    <w:p w14:paraId="46CC3D74" w14:textId="77777777" w:rsidR="008D479B" w:rsidRDefault="008D479B" w:rsidP="008D479B">
      <w:pPr>
        <w:pStyle w:val="TextoNormal"/>
      </w:pPr>
      <w:r>
        <w:t>Hemos señalado que “[l]a normalidad en el uso constituye un presupuesto de la oficialidad y una propiedad de la lengua que es oficial […] Por el contrario, la determinación de la preferencia en el uso de una lengua oficial respecto de otra (u otras) no es compatible con la Constitución.” (STC 11/2018, de 8 de febrero, FJ 4). Desde otra perspectiva cabe indicar a tal efecto que es irrelevante que la atribución de un estatus inferior a cualquiera de las lenguas oficiales se realice de modo expreso declarando de uso preferente de la otra lengua española o a través de la imposición a los ciudadanos de formalidades o condiciones que comporten cargas u obligaciones para poder ejercitar el derecho a la libre opción lingüística.</w:t>
      </w:r>
    </w:p>
    <w:p w14:paraId="53A84A9D" w14:textId="77777777" w:rsidR="008D479B" w:rsidRDefault="008D479B" w:rsidP="008D479B">
      <w:pPr>
        <w:pStyle w:val="TextoNormal"/>
      </w:pPr>
    </w:p>
    <w:p w14:paraId="408A16FD" w14:textId="77777777" w:rsidR="008D479B" w:rsidRDefault="008D479B" w:rsidP="008D479B">
      <w:pPr>
        <w:pStyle w:val="TextoNormal"/>
      </w:pPr>
      <w:r>
        <w:t>No cabe en la Constitución la prescripción de un uso prioritario de una de las lenguas cooficiales, sacrificando el equilibrio inexcusable entre dos lenguas igualmente oficiales que, en ningún caso, pueden tener un trato privilegiado sin perjuicio de la procedencia de que el legislador pueda, en su caso, adoptar las adecuadas y proporcionadas medidas de política lingüística tendentes a corregir, de existir, situaciones históricas de desequilibrio de una de las lenguas oficiales respecto de la otra [STC 31/2010, FJ 14 a) por todas].</w:t>
      </w:r>
    </w:p>
    <w:p w14:paraId="0FAB639D" w14:textId="77777777" w:rsidR="008D479B" w:rsidRDefault="008D479B" w:rsidP="008D479B">
      <w:pPr>
        <w:pStyle w:val="TextoNormal"/>
      </w:pPr>
    </w:p>
    <w:p w14:paraId="4A384544" w14:textId="0AAFBEB7" w:rsidR="008D479B" w:rsidRDefault="008D479B" w:rsidP="008D479B">
      <w:pPr>
        <w:pStyle w:val="TextoNormal"/>
      </w:pPr>
      <w:r>
        <w:t>En fin, como señala la STC 165/2013, de 26 de septiembre, FJ 5, “desde la perspectiva constitucional, el ejercicio de la potestad legislativa en materia lingüística encuentra sus límites en la necesaria preservación de la garantía de uso normal de las lenguas cooficiales y en la prohibición de medidas excluyentes, peyorativas o desproporcionadas que impliquen un desequilibrio para alguna de las lenguas oficiales”.</w:t>
      </w:r>
    </w:p>
    <w:p w14:paraId="50E64D97" w14:textId="77777777" w:rsidR="008D479B" w:rsidRDefault="008D479B" w:rsidP="008D479B">
      <w:pPr>
        <w:pStyle w:val="TextoNormal"/>
      </w:pPr>
    </w:p>
    <w:p w14:paraId="6484C53A" w14:textId="77777777" w:rsidR="008D479B" w:rsidRDefault="008D479B" w:rsidP="008D479B">
      <w:pPr>
        <w:pStyle w:val="TextoNormal"/>
      </w:pPr>
      <w:r w:rsidRPr="008D479B">
        <w:rPr>
          <w:rStyle w:val="NumeroAFNegritaCaracter"/>
        </w:rPr>
        <w:t>4</w:t>
      </w:r>
      <w:r>
        <w:t xml:space="preserve">. </w:t>
      </w:r>
      <w:r w:rsidRPr="008D479B">
        <w:rPr>
          <w:i/>
        </w:rPr>
        <w:t>Aplicación de la doctrina al caso</w:t>
      </w:r>
    </w:p>
    <w:p w14:paraId="14FFDF59" w14:textId="77777777" w:rsidR="008D479B" w:rsidRDefault="008D479B" w:rsidP="008D479B">
      <w:pPr>
        <w:pStyle w:val="TextoNormal"/>
      </w:pPr>
    </w:p>
    <w:p w14:paraId="54A2E061" w14:textId="77777777" w:rsidR="008D479B" w:rsidRDefault="008D479B" w:rsidP="008D479B">
      <w:pPr>
        <w:pStyle w:val="TextoNormal"/>
      </w:pPr>
      <w:r>
        <w:t>La aplicación de la doctrina expuesta al presente proceso constitucional determina la estimación de la cuestión de inconstitucionalidad planteada por la Sección Tercera de la Sala de lo Contencioso-Administrativo del Tribunal Superior de Justicia del País Vasco, en los términos que luego se indicarán.</w:t>
      </w:r>
    </w:p>
    <w:p w14:paraId="58164684" w14:textId="77777777" w:rsidR="008D479B" w:rsidRDefault="008D479B" w:rsidP="008D479B">
      <w:pPr>
        <w:pStyle w:val="TextoNormal"/>
      </w:pPr>
    </w:p>
    <w:p w14:paraId="79C496E5" w14:textId="77777777" w:rsidR="008D479B" w:rsidRDefault="008D479B" w:rsidP="008D479B">
      <w:pPr>
        <w:pStyle w:val="TextoNormal"/>
      </w:pPr>
      <w:r>
        <w:t>Debemos comenzar por indicar que el apartado primero del art. 6 de la Ley de instituciones locales de Euskadi, cuyo cuestionamiento fue expresamente excluido por el órgano judicial, reconoce al castellano y al euskera como lengua oficial de las entidades locales y a este último como lengua de servicio y lengua de trabajo de uso normal y general en las actividades de los entes locales, y garantiza el ejercicio efectivo del derecho de los ciudadanos y ciudadanas a escoger la lengua oficial en la que se relacionan con los entes locales y el correlativo deber de estos de atenderles en la lengua escogida, así como reconociendo la plena validez jurídica de las actuaciones realizadas en cualquier de los dos idiomas.</w:t>
      </w:r>
    </w:p>
    <w:p w14:paraId="285633DB" w14:textId="77777777" w:rsidR="008D479B" w:rsidRDefault="008D479B" w:rsidP="008D479B">
      <w:pPr>
        <w:pStyle w:val="TextoNormal"/>
      </w:pPr>
    </w:p>
    <w:p w14:paraId="7CD64339" w14:textId="77777777" w:rsidR="008D479B" w:rsidRDefault="008D479B" w:rsidP="008D479B">
      <w:pPr>
        <w:pStyle w:val="TextoNormal"/>
      </w:pPr>
      <w:r>
        <w:t>Como se ha expuesto, el apartado segundo del art. 6 de la Ley de instituciones locales de Euskadi, en el que se encuentra el inciso cuestionado, específicamente se refiere a los derechos lingüísticos de los miembros de las entidades locales. Dispone que las convocatorias, órdenes del día, mociones, votos particulares, propuestas de acuerdo, dictámenes de las comisiones informativas, acuerdos y actas de los órganos de las entidades locales pueden ser redactados exclusivamente en euskera —si se opta por el uso del euskera por el referido ente local— y se condiciona su traducción o eventual redacción en forma bilingüe a que se alegue válidamente el desconocimiento del euskera por algún miembro de la entidad local. Con dicha exigencia se quiebra el equilibrio lingüístico entre las dos lenguas cooficiales al condicionarse el uso del castellano al desconocimiento del euskera, de modo que los derechos de libre opción en materia lingüística de quien representa a los ciudadanos en las entidades locales se restringen de forma injustificada.</w:t>
      </w:r>
    </w:p>
    <w:p w14:paraId="5697C926" w14:textId="77777777" w:rsidR="008D479B" w:rsidRDefault="008D479B" w:rsidP="008D479B">
      <w:pPr>
        <w:pStyle w:val="TextoNormal"/>
      </w:pPr>
    </w:p>
    <w:p w14:paraId="588FA4B0" w14:textId="77777777" w:rsidR="008D479B" w:rsidRDefault="008D479B" w:rsidP="008D479B">
      <w:pPr>
        <w:pStyle w:val="TextoNormal"/>
      </w:pPr>
      <w:r>
        <w:t>Debe añadirse a ello que la regulación del derecho de opción lingüística de los miembros de los entes locales que se contiene en el art. 6.2 de la Ley de instituciones locales de Euskadi, se desarrolla en términos similares, aunque no coincidentes, en el art. 18 del Decreto 179/2019, facultando por una parte a cada entidad local para que pueda redactar en euskera los referidos documentos y reconociendo el derecho, en caso de que la utilización del euskera o del castellano —al que se refiere de forma añadida este precepto— lesione los derechos de algún miembro de la entidad local que pudiera alegar válidamente el desconocimiento de la lengua utilizada, a la traducción a la otra lengua oficial. Se da la paradoja, en este caso, que al existir el deber de conocer el castellano por todos los españoles (art. 3.1 CE), en el supuesto de que el ente local hubiera optado porque los documentos redactaran en castellano, difícilmente podría ejercitarse el derecho a la opción lingüística del euskera por quien lo pretendiera, al no poder alegar desconocimiento del castellano (art. 3.1 CE), menoscabándose con ello además del régimen de cooficialidad lingüística (arts. 3 CE y 6 EAPV), la obligación de fomento del euskera como lengua minoritaria, salvo que se tratase de un representante municipal nacional de otro estado de la Unión Europea que haya adquirido la condición de representante en las elecciones municipales.</w:t>
      </w:r>
    </w:p>
    <w:p w14:paraId="3C7F942C" w14:textId="77777777" w:rsidR="008D479B" w:rsidRDefault="008D479B" w:rsidP="008D479B">
      <w:pPr>
        <w:pStyle w:val="TextoNormal"/>
      </w:pPr>
    </w:p>
    <w:p w14:paraId="78B3C10C" w14:textId="77777777" w:rsidR="008D479B" w:rsidRDefault="008D479B" w:rsidP="008D479B">
      <w:pPr>
        <w:pStyle w:val="TextoNormal"/>
      </w:pPr>
      <w:r>
        <w:t>En nada afecta al razonamiento anterior el acuerdo alcanzado en la Comisión Bilateral de Cooperación entre el Estado-Comunidad Autónoma del País Vasco al que con cierta insistencia han acudido las representaciones del Gobierno y del Parlamento Vasco, con la finalidad de justificar que es posible una interpretación conforme que evite la inconstitucionalidad del precepto. En primer lugar, la existencia de un acuerdo interpretativo sobre el alcance y significado de un concreto precepto de una ley no puede impedir el pronunciamiento de este tribunal acerca de la vulneración de un precepto constitucional (SSTC 106/2009, de 4 de mayo, FJ 3; 22/2015, de 16 de febrero, FJ 3; 79/2017, de 22 de junio, FJ 10, y 83/2020, de 15 de julio, FJ 6), no en vano, al Tribunal Constitucional, como intérprete supremo de la Constitución, corresponde decir la última palabra sobre la interpretación de la misma (STC 126/1997, de 3 de julio, FJ 5), sin encontrarse vinculado por lo que puedan afirmar o acordar las partes. Y, por otra parte, el referido acuerdo se concretó exclusivamente al modo o forma en que se debe alegar el desconocimiento de la lengua para que se proceda a garantizar el uso de la otra lengua. Esto es a la expresión “alegar válidamente” que es uno de los dos aspectos en los que como se indicó, se ha sustentado la cuestión de inconstitucionalidad por el órgano judicial. En tal sentido, el referido acuerdo indica que “ambas partes entienden que la recta interpretación del citado apartado determina que ha de entenderse y aplicarse en el sentido de que no establece obligación ni carga alguna respecto al hecho de alegar desconocimiento de la lengua, al objeto de poder ejercitar el derecho de opción entre el castellano y el euskera”. Por tanto, nada dice dicho acuerdo sobre la injustificada condición de alegar el desconocimiento de la lengua para el ejercicio del derecho de opción, únicamente interpreta la expresión “alegar válidamente” respecto de la cual exime de cualquier carga u obligación. En todo caso, pese a las dudas interpretativas que suscitó el art. 6.2 de la Ley de instituciones locales de Euskadi y al acuerdo interpretativo alcanzado, dos años después de la firma de este, el art. 18 del Decreto 179/2019 mantuvo en su redacción literal la indicada expresión.</w:t>
      </w:r>
    </w:p>
    <w:p w14:paraId="1A81359D" w14:textId="77777777" w:rsidR="008D479B" w:rsidRDefault="008D479B" w:rsidP="008D479B">
      <w:pPr>
        <w:pStyle w:val="TextoNormal"/>
      </w:pPr>
    </w:p>
    <w:p w14:paraId="131ACC36" w14:textId="77777777" w:rsidR="008D479B" w:rsidRDefault="008D479B" w:rsidP="008D479B">
      <w:pPr>
        <w:pStyle w:val="TextoNormal"/>
      </w:pPr>
      <w:r>
        <w:t xml:space="preserve">Ha de señalarse que esta conclusión no puede ser enervada porque el precepto cuestionado establezca esta regulación “sin perjuicio de lo previsto en la Ley 10/1982, de 24 de noviembre, básica de normalización y uso del euskera”. Esta remisión no permite, a juicio de este tribunal, interpretar de modo distinto al expuesto el precepto cuestionado. La referida ley, en concreto su art. 8, establece dos previsiones que pueden incidir en el ámbito regulado por el precepto cuestionado. El apartado 1 dispone que “[t]oda disposición normativa o resolución oficial que emane de los poderes públicos sitos en la Comunidad Autónoma del País Vasco, deberá estar redactada en forma bilingüe a efectos de publicidad oficial”, y, por tanto, las resoluciones redactadas en euskera de acuerdo con lo previsto en el art. 6.2, deberán se redactadas también en castellano “a efectos de su publicidad oficial”. Por ello, al establecer el precepto cuestionado que lo previsto en esta norma es “sin perjuicio de lo previsto en la Ley 10/1982, de 24 de noviembre, básica de normalización y uso del euskera”, lo que está asegurando es que tales resoluciones si tienen eficacia </w:t>
      </w:r>
      <w:r w:rsidRPr="008D479B">
        <w:rPr>
          <w:i/>
        </w:rPr>
        <w:t>ad extra</w:t>
      </w:r>
      <w:r>
        <w:t xml:space="preserve"> han de ser redactadas en las dos lenguas oficiales, pero no se refiere a los derechos lingüísticos de los miembros de las entidades locales.</w:t>
      </w:r>
    </w:p>
    <w:p w14:paraId="0718365B" w14:textId="77777777" w:rsidR="008D479B" w:rsidRDefault="008D479B" w:rsidP="008D479B">
      <w:pPr>
        <w:pStyle w:val="TextoNormal"/>
      </w:pPr>
    </w:p>
    <w:p w14:paraId="12F13EA9" w14:textId="77777777" w:rsidR="008D479B" w:rsidRDefault="008D479B" w:rsidP="008D479B">
      <w:pPr>
        <w:pStyle w:val="TextoNormal"/>
      </w:pPr>
      <w:r>
        <w:t>Finalmente, el Gobierno del País Vasco para apoyar la constitucionalidad del cuestionado inciso se ha referido a la Carta europea de las lenguas regionales o minoritarias, hecha en Estrasburgo el 5 de noviembre de 1992 y en vigor en nuestro ordenamiento jurídico tras su ratificación el 2 de febrero de 2001. Dicha Carta, que de acuerdo con nuestra doctrina proporciona pautas interpretativas de nuestro régimen jurídico lingüístico [STC 165/2013, FJ 14 a), con remisión al ATC 166/2005, de 19 de abril, FJ 4; también STC 56/2016, de 17 de marzo, FJ 5], tampoco apoya la constitucionalidad del precepto, pues como se ha indicado el condicionamiento impuesto para que se traduzcan los documentos a la lengua castellana o para que se pueda utilizar la redacción bilingüe de los mismos, en nada contribuye a los objetivos y principios que se mencionan en el art. 7.2 de la Carta.</w:t>
      </w:r>
    </w:p>
    <w:p w14:paraId="5D1FC9FF" w14:textId="77777777" w:rsidR="008D479B" w:rsidRDefault="008D479B" w:rsidP="008D479B">
      <w:pPr>
        <w:pStyle w:val="TextoNormal"/>
      </w:pPr>
    </w:p>
    <w:p w14:paraId="3CE02229" w14:textId="1E994D28" w:rsidR="008D479B" w:rsidRDefault="008D479B" w:rsidP="008D479B">
      <w:pPr>
        <w:pStyle w:val="TextoNormal"/>
      </w:pPr>
      <w:r>
        <w:t>En conclusión, la imposición al representante municipal de la exigencia de alegar válidamente el desconocimiento de la lengua, para que las convocatorias, órdenes del día, mociones, votos particulares, propuestas de acuerdo, dictámenes de las comisiones informativas, acuerdos y actas de los órganos de las entidades locales se redacten en lengua castellana es contraria al art. 3.1 CE.</w:t>
      </w:r>
    </w:p>
    <w:p w14:paraId="61517CAD" w14:textId="77777777" w:rsidR="008D479B" w:rsidRDefault="008D479B" w:rsidP="008D479B">
      <w:pPr>
        <w:pStyle w:val="TextoNormal"/>
      </w:pPr>
    </w:p>
    <w:p w14:paraId="44A52D63" w14:textId="77777777" w:rsidR="008D479B" w:rsidRDefault="008D479B" w:rsidP="008D479B">
      <w:pPr>
        <w:pStyle w:val="TextoNormal"/>
      </w:pPr>
      <w:r w:rsidRPr="008D479B">
        <w:rPr>
          <w:rStyle w:val="NumeroAFNegritaCaracter"/>
        </w:rPr>
        <w:t>5</w:t>
      </w:r>
      <w:r>
        <w:t xml:space="preserve">. </w:t>
      </w:r>
      <w:r w:rsidRPr="008D479B">
        <w:rPr>
          <w:i/>
        </w:rPr>
        <w:t>Efectos del pronunciamiento</w:t>
      </w:r>
    </w:p>
    <w:p w14:paraId="7DACFB05" w14:textId="77777777" w:rsidR="008D479B" w:rsidRDefault="008D479B" w:rsidP="008D479B">
      <w:pPr>
        <w:pStyle w:val="TextoNormal"/>
      </w:pPr>
    </w:p>
    <w:p w14:paraId="4A2B4425" w14:textId="77777777" w:rsidR="008D479B" w:rsidRDefault="008D479B" w:rsidP="008D479B">
      <w:pPr>
        <w:pStyle w:val="TextoNormal"/>
      </w:pPr>
      <w:r>
        <w:t>En conclusión, no es constitucionalmente admisible desde la perspectiva del art. 3.1 CE, la prescripción de un uso prioritario del euskera que suponga un desequilibrio injustificado y desproporcionado del uso del castellano. Es por ello exigible que se respete la prohibición de establecer formalidades o condiciones que comporten cargas u obligaciones para poder ejercitar el derecho a la libre opción de la redacción en castellano de los documentos mencionados en el art. 6.2 de la Ley de instituciones locales de Euskadi, sea mediante su traducción o el empleo de la forma bilingüe.</w:t>
      </w:r>
    </w:p>
    <w:p w14:paraId="1632A259" w14:textId="77777777" w:rsidR="008D479B" w:rsidRDefault="008D479B" w:rsidP="008D479B">
      <w:pPr>
        <w:pStyle w:val="TextoNormal"/>
      </w:pPr>
    </w:p>
    <w:p w14:paraId="1732A030" w14:textId="77777777" w:rsidR="008D479B" w:rsidRDefault="008D479B" w:rsidP="008D479B">
      <w:pPr>
        <w:pStyle w:val="TextoNormal"/>
      </w:pPr>
      <w:r>
        <w:t>El respeto del principio de conservación de la norma determina que se excluya aquella parte de la misma cuya incompatibilidad con la Constitución determine la imposibilidad de efectuar una interpretación conforme a la misma [SSTC 14/2015, de 5 de febrero, FJ 5; 17/2016, de 4 de febrero, FJ 4; 118/2016, de 23 de junio, FJ 3 d); 26/2017, de 16 de febrero, FJ 6; 62/2017, de 25 de mayo, FJ 4, y 116/2017, de 19 de octubre, FJ 3]. Es por ello que no procede declarar la inconstitucionalidad de la totalidad del inciso cuestionado sino únicamente del fragmento “que pueda alegar válidamente el desconocimiento del euskera” del art. 6.2 de la Ley del Parlamento Vasco 2/2016, de 7 de abril, de instituciones locales de Euskadi.</w:t>
      </w:r>
    </w:p>
    <w:p w14:paraId="5DB3C493" w14:textId="77777777" w:rsidR="008D479B" w:rsidRDefault="008D479B" w:rsidP="008D479B">
      <w:pPr>
        <w:pStyle w:val="TextoNormal"/>
      </w:pPr>
    </w:p>
    <w:p w14:paraId="53D345CF" w14:textId="29CCF08A" w:rsidR="008D479B" w:rsidRDefault="008D479B" w:rsidP="008D479B">
      <w:pPr>
        <w:pStyle w:val="TextoNormal"/>
      </w:pPr>
      <w:r>
        <w:t>De este modo, excluido dicho fragmento, la redacción del precepto tendrá el tenor literal siguiente: “2. Las convocatorias, órdenes del día, mociones, votos particulares, propuestas de acuerdo, dictámenes de las comisiones informativas, acuerdos y actas de los órganos de las entidades locales podrán ser redactados en euskera. Esta facultad podrá ejercerse, en los supuestos anteriormente mencionados, siempre que no se lesionen los derechos de ningún miembro de la entidad local, sin perjuicio de lo previsto en la Ley 10/1982, de 24 de noviembre, básica de normalización y uso del euskera. Cuando las resoluciones, actas y acuerdos se redacten en euskera, se remitirán en esta lengua las copias o extractos a la administración autonómica y a la administración estatal, en cumplimiento de lo dispuesto en la legislación básica de régimen local”.</w:t>
      </w:r>
    </w:p>
    <w:p w14:paraId="1F9F5BD7" w14:textId="77777777" w:rsidR="008D479B" w:rsidRDefault="008D479B" w:rsidP="008D479B">
      <w:pPr>
        <w:pStyle w:val="TextoNormal"/>
      </w:pPr>
    </w:p>
    <w:p w14:paraId="5B81BF96" w14:textId="77777777" w:rsidR="008D479B" w:rsidRDefault="008D479B" w:rsidP="008D479B">
      <w:pPr>
        <w:pStyle w:val="TextoNormalCentrado"/>
        <w:keepNext/>
      </w:pPr>
      <w:r>
        <w:t>FALLO</w:t>
      </w:r>
    </w:p>
    <w:p w14:paraId="04257D7F" w14:textId="2D4C19AD" w:rsidR="008D479B" w:rsidRDefault="008D479B" w:rsidP="008D479B">
      <w:pPr>
        <w:pStyle w:val="TextoNormalCentrado"/>
        <w:keepNext/>
      </w:pPr>
    </w:p>
    <w:p w14:paraId="2D20FE03" w14:textId="026C34AF" w:rsidR="008D479B" w:rsidRDefault="008D479B" w:rsidP="008D479B">
      <w:pPr>
        <w:pStyle w:val="TextoNormal"/>
      </w:pPr>
      <w:r>
        <w:t>En atención a todo lo expuesto, el Tribunal Constitucional, por la autoridad que le confiere la Constitución de la Nación española, ha decidido estimar parcialmente la cuestión de inconstitucionalidad planteada por la Sección Tercera de la Sala de lo Contencioso-Administrativo del Tribunal Superior de Justicia del País Vasco y, en consecuencia, declarar la inconstitucionalidad y nulidad del inciso “que pueda alegar válidamente el desconocimiento del euskera” del art. 6.2 de la Ley del Parlamento Vasco 2/2016, de 7 de abril, de instituciones locales de Euskadi.</w:t>
      </w:r>
    </w:p>
    <w:p w14:paraId="548E9356" w14:textId="77777777" w:rsidR="008D479B" w:rsidRDefault="008D479B" w:rsidP="008D479B">
      <w:pPr>
        <w:pStyle w:val="TextoNormal"/>
      </w:pPr>
    </w:p>
    <w:p w14:paraId="69E45AF5" w14:textId="77777777" w:rsidR="008D479B" w:rsidRDefault="008D479B" w:rsidP="008D479B">
      <w:pPr>
        <w:pStyle w:val="TextoNormal"/>
      </w:pPr>
      <w:r>
        <w:t>Publíquese esta sentencia en el “Boletín Oficial del Estado”.</w:t>
      </w:r>
    </w:p>
    <w:p w14:paraId="39E357C7" w14:textId="77777777" w:rsidR="008D479B" w:rsidRDefault="008D479B" w:rsidP="008D479B">
      <w:pPr>
        <w:pStyle w:val="TextoNormal"/>
      </w:pPr>
      <w:r>
        <w:t>Dada en Madrid, a cinco de julio de dos mil veintitrés.</w:t>
      </w:r>
    </w:p>
    <w:p w14:paraId="1A14E21A" w14:textId="78824D7B" w:rsidR="008D479B" w:rsidRDefault="008D479B" w:rsidP="008D479B">
      <w:pPr>
        <w:pStyle w:val="ParrafoNormal"/>
      </w:pPr>
    </w:p>
    <w:p w14:paraId="17AB785B" w14:textId="77777777" w:rsidR="008D479B" w:rsidRDefault="008D479B" w:rsidP="008D479B">
      <w:pPr>
        <w:pStyle w:val="TextoNormalNegritaCentrado"/>
        <w:keepNext/>
      </w:pPr>
      <w:r>
        <w:t>Voto particular que formula la magistrada doña Laura Díez Bueso respecto de la sentencia dictada en la cuestión de inconstitucionalidad núm. 6002-2021, al que se adhiere el magistrado don Ramón Sáez Valcárcel</w:t>
      </w:r>
    </w:p>
    <w:p w14:paraId="069393B1" w14:textId="6695B0C6" w:rsidR="008D479B" w:rsidRDefault="008D479B" w:rsidP="008D479B">
      <w:pPr>
        <w:pStyle w:val="TextoNormalNegritaCentrado"/>
        <w:keepNext/>
      </w:pPr>
    </w:p>
    <w:p w14:paraId="68B35C5B" w14:textId="77777777" w:rsidR="008D479B" w:rsidRDefault="008D479B" w:rsidP="008D479B">
      <w:pPr>
        <w:pStyle w:val="TextoNormal"/>
      </w:pPr>
      <w:r>
        <w:t xml:space="preserve">I. </w:t>
      </w:r>
      <w:r w:rsidRPr="008D479B">
        <w:rPr>
          <w:i/>
        </w:rPr>
        <w:t>Planteamiento y motivos de la discrepancia</w:t>
      </w:r>
    </w:p>
    <w:p w14:paraId="2BB83A59" w14:textId="77777777" w:rsidR="008D479B" w:rsidRDefault="008D479B" w:rsidP="008D479B">
      <w:pPr>
        <w:pStyle w:val="TextoNormal"/>
      </w:pPr>
    </w:p>
    <w:p w14:paraId="7E3F4477" w14:textId="77777777" w:rsidR="008D479B" w:rsidRDefault="008D479B" w:rsidP="008D479B">
      <w:pPr>
        <w:pStyle w:val="TextoNormal"/>
      </w:pPr>
      <w:r>
        <w:t>En ejercicio de la facultad que me confiere el art. 90.2 de la Ley Orgánica del Tribunal Constitucional (LOTC), y con el máximo respeto a la opinión de mis compañeros de Pleno, discrepo de la decisión mayoritaria adoptada en esta cuestión de inconstitucionalidad. Tanto desde el punto de vista de la comprensión de la doctrina constitucional, como por la aplicación que de la misma debió hacerse al caso, considero que la cuestión planteada en relación con el art. 6.2 de la Ley 2/2016, de 7 de abril, de instituciones locales de Euskadi, debió desestimarse en su integridad.</w:t>
      </w:r>
    </w:p>
    <w:p w14:paraId="1B2DE94C" w14:textId="77777777" w:rsidR="008D479B" w:rsidRDefault="008D479B" w:rsidP="008D479B">
      <w:pPr>
        <w:pStyle w:val="TextoNormal"/>
      </w:pPr>
    </w:p>
    <w:p w14:paraId="74E16EB8" w14:textId="77777777" w:rsidR="008D479B" w:rsidRDefault="008D479B" w:rsidP="008D479B">
      <w:pPr>
        <w:pStyle w:val="TextoNormal"/>
      </w:pPr>
      <w:r>
        <w:t xml:space="preserve">Este precepto establece lo siguiente: “Las convocatorias, órdenes del día, mociones, votos particulares, propuestas de acuerdo, dictámenes de las comisiones informativas, acuerdos y actas de los órganos de las entidades locales podrán ser redactados en euskera. Esta facultad podrá ejercerse, en los supuestos anteriormente mencionados, </w:t>
      </w:r>
      <w:r w:rsidRPr="008D479B">
        <w:rPr>
          <w:i/>
        </w:rPr>
        <w:t>siempre que no se lesionen los derechos de ningún miembro de la entidad local que pueda alegar válidamente el desconocimiento del euskera</w:t>
      </w:r>
      <w:r>
        <w:t>, sin perjuicio de lo previsto en la Ley 10/1982, de 24 de noviembre, básica de normalización y uso del euskera” (en cursiva la parte cuya constitucionalidad se cuestiona).</w:t>
      </w:r>
    </w:p>
    <w:p w14:paraId="418BDD49" w14:textId="77777777" w:rsidR="008D479B" w:rsidRDefault="008D479B" w:rsidP="008D479B">
      <w:pPr>
        <w:pStyle w:val="TextoNormal"/>
      </w:pPr>
    </w:p>
    <w:p w14:paraId="7ACFDFDE" w14:textId="77777777" w:rsidR="008D479B" w:rsidRDefault="008D479B" w:rsidP="008D479B">
      <w:pPr>
        <w:pStyle w:val="TextoNormal"/>
      </w:pPr>
      <w:r>
        <w:t xml:space="preserve">La opinión mayoritaria toma dos determinaciones distintas respecto del precepto impugnado. En primer lugar, declara inconstitucional y nulo el inciso “que pueda alegar válidamente el desconocimiento del euskera”. En segundo lugar, realiza una interpretación conforme a la Constitución del inciso “siempre que no se lesionen los derechos de ningún miembro de la entidad local”, que se recoge en el fundamento jurídico 5 de la sentencia en los siguientes términos: “no es constitucionalmente admisible desde la perspectiva del art. 3.1 CE la prescripción de un uso prioritario del euskera que suponga un desequilibrio injustificado y desproporcionado del uso del castellano. Es por ello exigible que se respete la </w:t>
      </w:r>
      <w:r w:rsidRPr="008D479B">
        <w:rPr>
          <w:i/>
        </w:rPr>
        <w:t>prohibición de establecer formalidades o condiciones que comporten cargas u obligaciones para poder ejercitar el derecho a la libre opción de la redacción en castellano de los documentos</w:t>
      </w:r>
      <w:r>
        <w:t xml:space="preserve"> mencionados en el art. 6.2 de la Ley de instituciones locales de Euskadi” (la cursiva es mía).</w:t>
      </w:r>
    </w:p>
    <w:p w14:paraId="1EA28B4F" w14:textId="77777777" w:rsidR="008D479B" w:rsidRDefault="008D479B" w:rsidP="008D479B">
      <w:pPr>
        <w:pStyle w:val="TextoNormal"/>
      </w:pPr>
    </w:p>
    <w:p w14:paraId="365B8871" w14:textId="77777777" w:rsidR="008D479B" w:rsidRDefault="008D479B" w:rsidP="008D479B">
      <w:pPr>
        <w:pStyle w:val="TextoNormal"/>
      </w:pPr>
      <w:r>
        <w:t>La opinión mayoritaria declara la inconstitucionalidad del inciso “que pueda alegar válidamente el desconocimiento del euskera” porque se condiciona el uso del castellano al desconocimiento de la lengua propia, es decir, se considera que desconocer el euskera no puede ser el único motivo que justifique el derecho de los miembros de la corporación local a recibir las comunicaciones en castellano. No comparto este criterio pues, tanto de forma implícita como explícita, la doctrina constitucional ha afirmado que el desconocimiento de la lengua propia es el motivo que justifica el derecho constitucional a recibir las comunicaciones en castellano. De hecho, la STC 82/1986, de 26 de junio, citada en la propia decisión mayoritaria, fue una de las sentencias que dejó clara esta doctrina y, precisamente, el art. 6 de la Ley de instituciones locales de Euskadi utiliza exacta y literalmente los mismos términos empleados en esta sentencia de 1986, que ahora se enmienda.</w:t>
      </w:r>
    </w:p>
    <w:p w14:paraId="1B6EFB90" w14:textId="77777777" w:rsidR="008D479B" w:rsidRDefault="008D479B" w:rsidP="008D479B">
      <w:pPr>
        <w:pStyle w:val="TextoNormal"/>
      </w:pPr>
    </w:p>
    <w:p w14:paraId="37A2E4B2" w14:textId="77777777" w:rsidR="008D479B" w:rsidRDefault="008D479B" w:rsidP="008D479B">
      <w:pPr>
        <w:pStyle w:val="TextoNormal"/>
      </w:pPr>
      <w:r>
        <w:t>Por otra parte, la decisión mayoritaria sostiene que el inciso “siempre que no se lesionen los derechos de ningún miembro de la entidad local” debe interpretarse en el sentido de que estos derechos se vulneran si se establecen “formalidades o condiciones que comporten cargas u obligaciones para poder ejercitar el derecho a la libre opción de la redacción en castellano de los documentos mencionados en el art. 6.2 de la Ley de instituciones locales de Euskadi”. Esta interpretación conforme al art. 3.1 CE se realiza porque se considera que este precepto establece una “preferencia” de la lengua propia sobre el castellano, pues la opinión mayoritaria defiende que “es irrelevante que la atribución de un estatus inferior a cualquiera de las lenguas oficiales se realice de modo expreso declarando de uso preferente de la otra lengua española o a través de la imposición a los ciudadanos de formalidades o condiciones que comporten cargas u obligaciones” (FJ 3). Tampoco comparto este criterio. En primer lugar, porque se aplica la doctrina de la preferencia a una norma que no la establece, a una norma que simplemente regula el “uso normal” de la lengua propia y, además, lo hace dentro de los contornos permitidos por doctrina constitucional constante. En segundo lugar, porque amplía sin mayores explicaciones la doctrina de la preferencia, más allá de las normas que la establecen expresamente, a normas que establezcan “formalidades o condiciones que comporten cargas u obligaciones”. Y, en tercer lugar, porque de nuevo este inciso del art. 6 de la Ley de instituciones locales de Euskadi reproduce exacta y literalmente los términos de la STC 82/1986, que se enmienda otra vez.</w:t>
      </w:r>
    </w:p>
    <w:p w14:paraId="5F7FA7BD" w14:textId="77777777" w:rsidR="008D479B" w:rsidRDefault="008D479B" w:rsidP="008D479B">
      <w:pPr>
        <w:pStyle w:val="TextoNormal"/>
      </w:pPr>
    </w:p>
    <w:p w14:paraId="2513DEB4" w14:textId="77777777" w:rsidR="008D479B" w:rsidRDefault="008D479B" w:rsidP="008D479B">
      <w:pPr>
        <w:pStyle w:val="TextoNormal"/>
      </w:pPr>
      <w:r>
        <w:t>Además, esta interpretación conforme a la Constitución resulta especialmente criticable por dos motivos. Por un lado, porque el fundamento jurídico 5 de la sentencia no establece ningún criterio expreso y claro que indique qué formalidades o condiciones considera contrarios al art. 3.1 CE. Por otro lado, porque el único parámetro que ofrece para dilucidarlo es el fundamento jurídico 23 de la STC 31/2010, de 28 de junio, que considera inconstitucional exigir a los particulares que reciban comunicaciones en la lengua propia que la “soliciten” en castellano si así lo desean; es decir, la simple solicitud se reputa contraria a los derechos de estos particulares. Si el parámetro para interpretar el art. 6.2 de la Ley de instituciones locales de Euskadi es este, la decisión mayoritaria está ampliando esta pauta circunscrita hasta ahora a los particulares a las comunicaciones en el seno de la administración local; y, si se considera que la mera solicitud del castellano es inconstitucional, la consecuencia ineludible es que las comunicaciones con los particulares y en el seno de los entes locales deberán ser en todo caso en formato bilingüe.</w:t>
      </w:r>
    </w:p>
    <w:p w14:paraId="4B19A135" w14:textId="77777777" w:rsidR="008D479B" w:rsidRDefault="008D479B" w:rsidP="008D479B">
      <w:pPr>
        <w:pStyle w:val="TextoNormal"/>
      </w:pPr>
    </w:p>
    <w:p w14:paraId="0E0CD403" w14:textId="77777777" w:rsidR="008D479B" w:rsidRDefault="008D479B" w:rsidP="008D479B">
      <w:pPr>
        <w:pStyle w:val="TextoNormal"/>
      </w:pPr>
      <w:r>
        <w:t>En los siguientes epígrafes expongo ampliamente estos planteamientos discrepantes.</w:t>
      </w:r>
    </w:p>
    <w:p w14:paraId="122ECB4E" w14:textId="77777777" w:rsidR="008D479B" w:rsidRDefault="008D479B" w:rsidP="008D479B">
      <w:pPr>
        <w:pStyle w:val="TextoNormal"/>
      </w:pPr>
    </w:p>
    <w:p w14:paraId="58A13F61" w14:textId="77777777" w:rsidR="008D479B" w:rsidRDefault="008D479B" w:rsidP="008D479B">
      <w:pPr>
        <w:pStyle w:val="TextoNormal"/>
      </w:pPr>
      <w:r>
        <w:t xml:space="preserve">II. </w:t>
      </w:r>
      <w:r w:rsidRPr="008D479B">
        <w:rPr>
          <w:i/>
        </w:rPr>
        <w:t>La comprensión del marco general de la doctrina constitucional sobre cooficialidad lingüística</w:t>
      </w:r>
    </w:p>
    <w:p w14:paraId="2C2AACE4" w14:textId="77777777" w:rsidR="008D479B" w:rsidRDefault="008D479B" w:rsidP="008D479B">
      <w:pPr>
        <w:pStyle w:val="TextoNormal"/>
      </w:pPr>
    </w:p>
    <w:p w14:paraId="01B6E5BD" w14:textId="77777777" w:rsidR="008D479B" w:rsidRDefault="008D479B" w:rsidP="008D479B">
      <w:pPr>
        <w:pStyle w:val="TextoNormal"/>
      </w:pPr>
      <w:r>
        <w:t>La doctrina constitucional que ha interpretado los términos del art. 3 CE ha sido extensa y llena de matices y resulta imprescindible un adecuado entendimiento de la misma en su conjunto para poder decidir sobre la constitucionalidad de las normas que regulan el régimen lingüístico a nivel estatutario, estatal y autonómico. Este régimen constitucional sobre la lengua se ha trabado en la doctrina de este tribunal a partir de una serie de sentencias que deben interpretarse de forma integral y conectada, no aisladamente. En mi opinión, la decisión mayoritaria no tiene presente esta perspectiva evolutiva y de conjunto de la doctrina constitucional sobre la cooficialidad, un enfoque que resulta imprescindible para ubicar y decidir sobre la constitucionalidad de la norma que se impugna.</w:t>
      </w:r>
    </w:p>
    <w:p w14:paraId="4B514256" w14:textId="77777777" w:rsidR="008D479B" w:rsidRDefault="008D479B" w:rsidP="008D479B">
      <w:pPr>
        <w:pStyle w:val="TextoNormal"/>
      </w:pPr>
    </w:p>
    <w:p w14:paraId="44DC052C" w14:textId="77777777" w:rsidR="008D479B" w:rsidRDefault="008D479B" w:rsidP="008D479B">
      <w:pPr>
        <w:pStyle w:val="TextoNormal"/>
      </w:pPr>
      <w:r>
        <w:t xml:space="preserve">En la década de los ochenta los pronunciamientos del Tribunal relativos a las leyes lingüísticas de las comunidades autónomas en las SSTC 82/1986, 83/1986 y 84/1986, de 26 de junio, y 123/1988, de 23 de junio, contribuyeron a fijar los rasgos generales del modelo lingüístico de doble oficialidad. Según la definición de la STC 82/1986 la oficialidad implica que la lengua “es reconocida por los poderes públicos como medio normal de comunicación en y entre ellos y en su relación con los sujetos privados” (FJ 2). En este contexto se enmarcaba el proceso de normalización lingüística, que ha dado lugar a que algunas comunidades autónomas utilicen únicamente la lengua propia en las comunicaciones </w:t>
      </w:r>
      <w:r w:rsidRPr="008D479B">
        <w:rPr>
          <w:i/>
        </w:rPr>
        <w:t>ad intra</w:t>
      </w:r>
      <w:r>
        <w:t xml:space="preserve"> de la administración y en sus relaciones </w:t>
      </w:r>
      <w:r w:rsidRPr="008D479B">
        <w:rPr>
          <w:i/>
        </w:rPr>
        <w:t>ad extra</w:t>
      </w:r>
      <w:r>
        <w:t xml:space="preserve"> con la ciudadanía, dejando siempre a salvo el derecho a exigir la comunicación en castellano si así se solicita.</w:t>
      </w:r>
    </w:p>
    <w:p w14:paraId="0ED83150" w14:textId="77777777" w:rsidR="008D479B" w:rsidRDefault="008D479B" w:rsidP="008D479B">
      <w:pPr>
        <w:pStyle w:val="TextoNormal"/>
      </w:pPr>
    </w:p>
    <w:p w14:paraId="790D5661" w14:textId="77777777" w:rsidR="008D479B" w:rsidRDefault="008D479B" w:rsidP="008D479B">
      <w:pPr>
        <w:pStyle w:val="TextoNormal"/>
      </w:pPr>
      <w:r>
        <w:t>A finales de los años ochenta y durante la década de los noventa se dictan varias sentencias sobre normas lingüísticas sectoriales, algunas estatales como en la STC 56/1990, de 29 de marzo, y 50/1999, de 6 de abril, pero principalmente autonómicas, como en las SSTC 69/1988, de 19 de abril; 74/1989, de 21 de abril; 46/1991, de 28 de febrero, y 337/1994, de 23 de diciembre. Esta normativa y la correlativa doctrina constitucional reconocen un margen de actuación significativo a las comunidades autónomas para elaborar políticas dirigidas a proteger y promover la lengua oficial propia, como explica la STC 165/2013: “en el ámbito de las competencias del legislador autonómico en materia de regulación del uso de la lengua en los procedimientos […] el legislador estatal optó por dar una amplia libertad de configuración al legislador autonómico para determinar el uso de las lenguas cooficiales en los procedimientos administrativos” (FJ 11).</w:t>
      </w:r>
    </w:p>
    <w:p w14:paraId="15C4AA52" w14:textId="77777777" w:rsidR="008D479B" w:rsidRDefault="008D479B" w:rsidP="008D479B">
      <w:pPr>
        <w:pStyle w:val="TextoNormal"/>
      </w:pPr>
    </w:p>
    <w:p w14:paraId="691FBE11" w14:textId="77777777" w:rsidR="008D479B" w:rsidRDefault="008D479B" w:rsidP="008D479B">
      <w:pPr>
        <w:pStyle w:val="TextoNormal"/>
      </w:pPr>
      <w:r>
        <w:t>Coincidiendo con los procesos de reforma estatutaria, la STC 31/2010 acotó unos límites expresos a estas políticas lingüísticas autonómicas, reconducidos genéricamente a medidas “adecuadas y proporcionadas [...] tendentes a corregir, de existir, situaciones históricas de desequilibrio de una de las lenguas oficiales respecto de la otra” (FJ 14).</w:t>
      </w:r>
    </w:p>
    <w:p w14:paraId="74B0BEF9" w14:textId="77777777" w:rsidR="008D479B" w:rsidRDefault="008D479B" w:rsidP="008D479B">
      <w:pPr>
        <w:pStyle w:val="TextoNormal"/>
      </w:pPr>
    </w:p>
    <w:p w14:paraId="30739CE5" w14:textId="77777777" w:rsidR="008D479B" w:rsidRDefault="008D479B" w:rsidP="008D479B">
      <w:pPr>
        <w:pStyle w:val="TextoNormal"/>
      </w:pPr>
      <w:r>
        <w:t>Esta doctrina constitucional ha enmarcado el entendimiento del art. 3 CE y no puede obviarse en el momento de evaluar la constitucionalidad de una norma relativa al régimen lingüístico, como hace la decisión mayoritaria. Esta doctrina, que ofrece un marco imprescindible para la correcta comprensión del régimen constitucional de cooficialidad lingüística, ha sido precisada en otros pronunciamientos de este tribunal que resultan especialmente claves para enjuiciar la constitucionalidad del art. 6.2 de la Ley de instituciones locales de Euskadi. En mi opinión, estos otros pronunciamientos también han sido mal comprendidos o descontextualizados en la decisión mayoritaria, y a ellos voy a referirme más concretamente en los epígrafes que se exponen a continuación.</w:t>
      </w:r>
    </w:p>
    <w:p w14:paraId="43AC8947" w14:textId="77777777" w:rsidR="008D479B" w:rsidRDefault="008D479B" w:rsidP="008D479B">
      <w:pPr>
        <w:pStyle w:val="TextoNormal"/>
      </w:pPr>
    </w:p>
    <w:p w14:paraId="499EFB8E" w14:textId="77777777" w:rsidR="008D479B" w:rsidRDefault="008D479B" w:rsidP="008D479B">
      <w:pPr>
        <w:pStyle w:val="TextoNormal"/>
      </w:pPr>
      <w:r>
        <w:t xml:space="preserve">III. </w:t>
      </w:r>
      <w:r w:rsidRPr="008D479B">
        <w:rPr>
          <w:i/>
        </w:rPr>
        <w:t>La declaración de inconstitucionalidad y nulidad del inciso “que pueda alegar válidamente el desconocimiento del euskera” por condicionarse el uso del castellano al desconocimiento de la lengua propia</w:t>
      </w:r>
    </w:p>
    <w:p w14:paraId="79183C70" w14:textId="77777777" w:rsidR="008D479B" w:rsidRDefault="008D479B" w:rsidP="008D479B">
      <w:pPr>
        <w:pStyle w:val="TextoNormal"/>
      </w:pPr>
    </w:p>
    <w:p w14:paraId="584EA179" w14:textId="77777777" w:rsidR="008D479B" w:rsidRDefault="008D479B" w:rsidP="008D479B">
      <w:pPr>
        <w:pStyle w:val="TextoNormal"/>
      </w:pPr>
      <w:r>
        <w:t xml:space="preserve">El fundamento jurídico 4 de la sentencia sustenta la declaración de inconstitucionalidad y la consecuente nulidad del inciso “que pueda alegar válidamente el desconocimiento del euskera” del art. 6.2 de la Ley de instituciones locales de Euskadi en el siguiente razonamiento: “[Este precepto] dispone que las convocatorias, órdenes del día, mociones, votos particulares, propuestas de acuerdo, dictámenes de las comisiones informativas, acuerdos y actas de los órganos de las entidades locales pueden ser redactados exclusivamente en euskera —si se opta por el uso del euskera por el referido ente local— y se condiciona su traducción o eventual redacción en forma bilingüe a que se alegue válidamente el desconocimiento del euskera por algún miembro de la entidad local. </w:t>
      </w:r>
      <w:r w:rsidRPr="008D479B">
        <w:rPr>
          <w:i/>
        </w:rPr>
        <w:t>Con dicha exigencia se quiebra el equilibrio lingüístico entre las dos lenguas cooficiales al condicionarse el uso del castellano al desconocimiento del euskera</w:t>
      </w:r>
      <w:r>
        <w:t>, de modo que los derechos de libre opción en materia lingüística de quien representa a los ciudadanos en las entidades locales se restringen de forma injustificada” (la cursiva es mía).</w:t>
      </w:r>
    </w:p>
    <w:p w14:paraId="14AEC917" w14:textId="77777777" w:rsidR="008D479B" w:rsidRDefault="008D479B" w:rsidP="008D479B">
      <w:pPr>
        <w:pStyle w:val="TextoNormal"/>
      </w:pPr>
    </w:p>
    <w:p w14:paraId="4EBFC9E4" w14:textId="77777777" w:rsidR="008D479B" w:rsidRDefault="008D479B" w:rsidP="008D479B">
      <w:pPr>
        <w:pStyle w:val="TextoNormal"/>
      </w:pPr>
      <w:r>
        <w:t xml:space="preserve">Esta escueta </w:t>
      </w:r>
      <w:r w:rsidRPr="008D479B">
        <w:rPr>
          <w:i/>
        </w:rPr>
        <w:t>ratio decidendi</w:t>
      </w:r>
      <w:r>
        <w:t xml:space="preserve"> descansa en que el desconocimiento del euskera no puede ser el único motivo que justifique el derecho de los miembros de la corporación local a recibir las comunicaciones en castellano. Y ello merece algunas consideraciones que la decisión mayoritaria obvia.</w:t>
      </w:r>
    </w:p>
    <w:p w14:paraId="5953D0B7" w14:textId="77777777" w:rsidR="008D479B" w:rsidRDefault="008D479B" w:rsidP="008D479B">
      <w:pPr>
        <w:pStyle w:val="TextoNormal"/>
      </w:pPr>
    </w:p>
    <w:p w14:paraId="541ECD05" w14:textId="77777777" w:rsidR="008D479B" w:rsidRDefault="008D479B" w:rsidP="008D479B">
      <w:pPr>
        <w:pStyle w:val="TextoNormal"/>
      </w:pPr>
      <w:r>
        <w:t xml:space="preserve">Para comenzar, no se encuentra en la doctrina constitucional sentencia alguna que realice una afirmación explícita en este sentido. Incluso puede sostenerse lo contrario. Como explica la STC 31/2010, recogiendo la doctrina de este tribunal, la obligación de conocer el castellano que deriva del art. 3 CE, y que no puede predicarse de las lenguas propias, es la necesidad de comprender las normas y actuaciones de los poderes públicos, que tienen validez precisamente por la presunción de conocimiento del castellano. Por ello, “el deber constitucional de conocimiento del castellano […] es en realidad el contrapunto de la facultad del poder público de utilizarla como medio de comunicación normal con los ciudadanos sin que estos puedan exigirle la utilización de otra […] para que los actos de </w:t>
      </w:r>
      <w:r w:rsidRPr="008D479B">
        <w:rPr>
          <w:i/>
        </w:rPr>
        <w:t>imperium</w:t>
      </w:r>
      <w:r>
        <w:t xml:space="preserve"> que son objeto de comunicación desplieguen de manera regular sus efectos jurídicos” (FJ 14).</w:t>
      </w:r>
    </w:p>
    <w:p w14:paraId="33A7626C" w14:textId="77777777" w:rsidR="008D479B" w:rsidRDefault="008D479B" w:rsidP="008D479B">
      <w:pPr>
        <w:pStyle w:val="TextoNormal"/>
      </w:pPr>
    </w:p>
    <w:p w14:paraId="72C9F6D7" w14:textId="77777777" w:rsidR="008D479B" w:rsidRDefault="008D479B" w:rsidP="008D479B">
      <w:pPr>
        <w:pStyle w:val="TextoNormal"/>
      </w:pPr>
      <w:r>
        <w:t xml:space="preserve">Esta jurisprudencia es perfectamente coherente con la citada STC 82/1986, que ya sostuvo que “la utilización por los poderes públicos de una sola de las lenguas cooficiales puede hacerse indistintamente, por propia iniciativa o incluso a elección de los interesados, cuando así se regule, </w:t>
      </w:r>
      <w:r w:rsidRPr="008D479B">
        <w:rPr>
          <w:i/>
        </w:rPr>
        <w:t>siempre que no se lesionen los derechos de ningún interesado</w:t>
      </w:r>
      <w:r>
        <w:t xml:space="preserve"> </w:t>
      </w:r>
      <w:r w:rsidRPr="008D479B">
        <w:rPr>
          <w:i/>
        </w:rPr>
        <w:t>que pueda alegar válidamente el desconocimiento de la lengua utilizada</w:t>
      </w:r>
      <w:r>
        <w:t>, lo que solo puede hacerse respecto de lengua distinta del castellano. El que todo el procedimiento pudiera realizarse en euskera es consecuencia natural del carácter oficial de esta lengua en la Comunidad Vasca, que conlleva la eficacia, en su ámbito, de las actuaciones realizadas en la misma” (FJ 9; la cursiva es mía).</w:t>
      </w:r>
    </w:p>
    <w:p w14:paraId="73F53E3D" w14:textId="77777777" w:rsidR="008D479B" w:rsidRDefault="008D479B" w:rsidP="008D479B">
      <w:pPr>
        <w:pStyle w:val="TextoNormal"/>
      </w:pPr>
    </w:p>
    <w:p w14:paraId="3338FC0B" w14:textId="77777777" w:rsidR="008D479B" w:rsidRDefault="008D479B" w:rsidP="008D479B">
      <w:pPr>
        <w:pStyle w:val="TextoNormal"/>
      </w:pPr>
      <w:r>
        <w:t xml:space="preserve">La alusión a la STC 82/1986 viene muy especialmente al caso por dos motivos. En primer lugar, porque es una de las concretas sentencias que se utiliza como fundamento de la opinión mayoritaria. En segundo lugar, y principal, porque el inciso legal impugnado recoge literalmente la cita de la </w:t>
      </w:r>
      <w:r w:rsidRPr="008D479B">
        <w:rPr>
          <w:i/>
        </w:rPr>
        <w:t>ratio decidendi</w:t>
      </w:r>
      <w:r>
        <w:t xml:space="preserve"> de esta sentencia de 1986, cita literal que la decisión mayoritaria hoy declara en su última parte inconstitucional y nula. En efecto, esta sentencia insiste en el razonamiento transcrito del fundamento jurídico 9, y en la misma cita textual, en su fundamento jurídico 10: “En cuanto a la inconstitucionalidad material que el abogado del Estado invoca, y que la parte vasca trata de salvar basándose en la necesidad de que existan zonas monolingües en euskera en cuanto que lengua minoritaria en situación diglósica, […] es inexcusable, desde la perspectiva jurídico-constitucional a la que este tribunal no puede sustraerse, señalar que la exclusión del castellano no es posible porque se perjudican los derechos de los ciudadanos, que pueden </w:t>
      </w:r>
      <w:r w:rsidRPr="008D479B">
        <w:rPr>
          <w:i/>
        </w:rPr>
        <w:t>alegar válidamente el desconocimiento de otra lengua cooficial</w:t>
      </w:r>
      <w:r>
        <w:t>” (la cursiva es mía).</w:t>
      </w:r>
    </w:p>
    <w:p w14:paraId="64B01B6E" w14:textId="77777777" w:rsidR="008D479B" w:rsidRDefault="008D479B" w:rsidP="008D479B">
      <w:pPr>
        <w:pStyle w:val="TextoNormal"/>
      </w:pPr>
    </w:p>
    <w:p w14:paraId="48002F12" w14:textId="77777777" w:rsidR="008D479B" w:rsidRDefault="008D479B" w:rsidP="008D479B">
      <w:pPr>
        <w:pStyle w:val="TextoNormal"/>
      </w:pPr>
      <w:r>
        <w:t>Así, puede sostenerse que el conocimiento del castellano ha estado, incluso de forma explícita, en la base de los razonamientos de este tribunal para configurar el régimen de cooficialidad y el derecho de todos los españoles a exigir el uso del castellano. La opinión mayoritaria defiende la tesis opuesta cuando afirma que se quiebra el equilibrio lingüístico al condicionarse el uso del castellano al desconocimiento del euskera, pero no aporta ningún argumento que de forma expresa y razonada justifique por qué se aparta ahora de esta doctrina.</w:t>
      </w:r>
    </w:p>
    <w:p w14:paraId="7958A9CE" w14:textId="77777777" w:rsidR="008D479B" w:rsidRDefault="008D479B" w:rsidP="008D479B">
      <w:pPr>
        <w:pStyle w:val="TextoNormal"/>
      </w:pPr>
    </w:p>
    <w:p w14:paraId="6BCCE1CE" w14:textId="77777777" w:rsidR="008D479B" w:rsidRDefault="008D479B" w:rsidP="008D479B">
      <w:pPr>
        <w:pStyle w:val="TextoNormal"/>
      </w:pPr>
      <w:r>
        <w:t>Para finalizar este epígrafe resulta de interés aludir al sentido del término “válidamente” incluido en el inciso declarado inconstitucional, pues no considero que pueda sostenerse que el mismo haga alusión a un requisito procedimental del derecho a recibir las comunicaciones en castellano. Una simple lectura de la STC 82/1986, de donde la norma impugnada copia el término “válidamente”, permite concluir que este tribunal hacía referencia a que existe un derecho válido a solicitar las comunicaciones en castellano, un derecho que valida esta posibilidad, un derecho intacto a pedirlas. Ello se deprende no solo de la literalidad del texto, sino también de forma natural y clara si se atiende al contexto en el que inscribe el término “válidamente”. En efecto, en esa sentencia de 1986 no se estaba evaluando ningún procedimiento de solicitud concreto, sino el régimen general del uso del euskera en el ámbito local, esto es, el derecho a exigir la recepción de las comunicaciones en castellano.</w:t>
      </w:r>
    </w:p>
    <w:p w14:paraId="3EC4E367" w14:textId="77777777" w:rsidR="008D479B" w:rsidRDefault="008D479B" w:rsidP="008D479B">
      <w:pPr>
        <w:pStyle w:val="TextoNormal"/>
      </w:pPr>
    </w:p>
    <w:p w14:paraId="672338FC" w14:textId="77777777" w:rsidR="008D479B" w:rsidRDefault="008D479B" w:rsidP="008D479B">
      <w:pPr>
        <w:pStyle w:val="TextoNormal"/>
      </w:pPr>
      <w:r>
        <w:t>En suma, considero que no debió declararse inconstitucional y nulo el inciso “que pueda alegar válidamente el desconocimiento del euskera” del art. 6.2 de la Ley de instituciones locales de Euskadi. En primer lugar, porque la doctrina constitucional ha fundamentado el derecho a recibir las comunicaciones en castellano en el desconocimiento de la lengua propia, tesis contraria a la que ahora defiende la opinión mayoritaria, que no justifica el cambio de criterio. En segundo lugar, porque la doctrina constitucional ha avalado el uso exclusivo de la lengua propia siempre que pueda alegarse su desconocimiento para recibir las comunicaciones en castellano, que es lo que recoge el art. 6.2 de la Ley de instituciones locales de Euskadi con cita textual de la STC 82/1986. Finalmente, creo que el término “válidamente” utilizado en la de la Ley de instituciones locales de Euskadi y en la sentencia de 1986 no se refiere, ni por la literalidad del texto ni por el contexto, a ningún requisito procedimental específico de solicitud, sino a que existe un derecho válido a reclamar la comunicación en castellano.</w:t>
      </w:r>
    </w:p>
    <w:p w14:paraId="48718796" w14:textId="77777777" w:rsidR="008D479B" w:rsidRDefault="008D479B" w:rsidP="008D479B">
      <w:pPr>
        <w:pStyle w:val="TextoNormal"/>
      </w:pPr>
    </w:p>
    <w:p w14:paraId="469BA420" w14:textId="77777777" w:rsidR="008D479B" w:rsidRDefault="008D479B" w:rsidP="008D479B">
      <w:pPr>
        <w:pStyle w:val="TextoNormal"/>
      </w:pPr>
      <w:r>
        <w:t xml:space="preserve">IV. </w:t>
      </w:r>
      <w:r w:rsidRPr="008D479B">
        <w:rPr>
          <w:i/>
        </w:rPr>
        <w:t>La interpretación conforme al art. 3.1 de la Constitución del inciso “siempre que no se lesionen los derechos de ningún miembro de la entidad local</w:t>
      </w:r>
      <w:r>
        <w:t>”</w:t>
      </w:r>
    </w:p>
    <w:p w14:paraId="4604FC9B" w14:textId="77777777" w:rsidR="008D479B" w:rsidRDefault="008D479B" w:rsidP="008D479B">
      <w:pPr>
        <w:pStyle w:val="TextoNormal"/>
      </w:pPr>
    </w:p>
    <w:p w14:paraId="7E1023FE" w14:textId="77777777" w:rsidR="008D479B" w:rsidRDefault="008D479B" w:rsidP="008D479B">
      <w:pPr>
        <w:pStyle w:val="TextoNormal"/>
      </w:pPr>
      <w:r>
        <w:t xml:space="preserve">a) </w:t>
      </w:r>
      <w:r w:rsidRPr="008D479B">
        <w:rPr>
          <w:i/>
        </w:rPr>
        <w:t>Los conceptos de preferencia y de uso normal de la lengua cooficial</w:t>
      </w:r>
    </w:p>
    <w:p w14:paraId="0F35CB9C" w14:textId="77777777" w:rsidR="008D479B" w:rsidRDefault="008D479B" w:rsidP="008D479B">
      <w:pPr>
        <w:pStyle w:val="TextoNormal"/>
      </w:pPr>
    </w:p>
    <w:p w14:paraId="6CF8F7C7" w14:textId="77777777" w:rsidR="008D479B" w:rsidRDefault="008D479B" w:rsidP="008D479B">
      <w:pPr>
        <w:pStyle w:val="TextoNormal"/>
      </w:pPr>
      <w:r>
        <w:t xml:space="preserve">El fundamento jurídico 3 de esta sentencia sostiene lo siguiente: «“Como hemos afirmado en otras ocasiones, ‘toda lengua oficial es, por tanto —también allí donde comparte esa cualidad con otra lengua española—, lengua de uso normal por y ante el poder público’ (STC 31/2010, de 28 de junio, FJ 23)”. Es por ello por lo que las entidades locales del País Vasco, como poder público, no pueden tener preferencia por ninguna de las dos lenguas oficiales, bien resulte esa primacía lingüística expresamente reconocida en la norma en detrimento de la otra lengua cooficial </w:t>
      </w:r>
      <w:r w:rsidRPr="008D479B">
        <w:rPr>
          <w:i/>
        </w:rPr>
        <w:t>o se deba a la imposición de condicionamientos que supongan un trato o uso prioritario de una de las lenguas frente a la otra lengua española</w:t>
      </w:r>
      <w:r>
        <w:t>» (la cursiva es mía).</w:t>
      </w:r>
    </w:p>
    <w:p w14:paraId="78A6F5CC" w14:textId="77777777" w:rsidR="008D479B" w:rsidRDefault="008D479B" w:rsidP="008D479B">
      <w:pPr>
        <w:pStyle w:val="TextoNormal"/>
      </w:pPr>
    </w:p>
    <w:p w14:paraId="6B2CA2D9" w14:textId="77777777" w:rsidR="008D479B" w:rsidRDefault="008D479B" w:rsidP="008D479B">
      <w:pPr>
        <w:pStyle w:val="TextoNormal"/>
      </w:pPr>
      <w:r>
        <w:t xml:space="preserve">El mismo fundamento jurídico 3 insiste en esta idea al decir: “Hemos señalado que ‘la normalidad en el uso constituye un presupuesto de la oficialidad y una propiedad de la lengua que es oficial […]. Por el contrario, la determinación de la preferencia en el uso de una lengua oficial respecto de otra (u otras) no es compatible con la Constitución.’ (STC 11/2018, de 8 de febrero, FJ 4). Desde otra perspectiva cabe indicar a tal efecto que es irrelevante que la atribución de un estatus inferior a cualquiera de las lenguas oficiales se realice de modo expreso declarando de uso preferente de la otra lengua española </w:t>
      </w:r>
      <w:r w:rsidRPr="008D479B">
        <w:rPr>
          <w:i/>
        </w:rPr>
        <w:t>o a través de la imposición a los ciudadanos de formalidades o condiciones que comporten cargas u obligaciones para poder ejercitar el derecho a la libre opción lingüística</w:t>
      </w:r>
      <w:r>
        <w:t>” (la cursiva es mía).</w:t>
      </w:r>
    </w:p>
    <w:p w14:paraId="330938E1" w14:textId="77777777" w:rsidR="008D479B" w:rsidRDefault="008D479B" w:rsidP="008D479B">
      <w:pPr>
        <w:pStyle w:val="TextoNormal"/>
      </w:pPr>
    </w:p>
    <w:p w14:paraId="51EBC2C2" w14:textId="77777777" w:rsidR="008D479B" w:rsidRDefault="008D479B" w:rsidP="008D479B">
      <w:pPr>
        <w:pStyle w:val="TextoNormal"/>
      </w:pPr>
      <w:r>
        <w:t xml:space="preserve">En mi opinión, la decisión mayoritaria realiza una interpretación inadecuada de la doctrina recogida en las SSTC 31/2010 y 11/2018, a las que alude como fundamento principal de su </w:t>
      </w:r>
      <w:r w:rsidRPr="008D479B">
        <w:rPr>
          <w:i/>
        </w:rPr>
        <w:t>ratio decidendi</w:t>
      </w:r>
      <w:r>
        <w:t>. Para empezar, ambas decisiones evaluaban el uso del término “preferente” en el Estatuto catalán y en la Ley del Parlamento de Cataluña 35/2010, de 1 de octubre, del occitano, aranés en Arán, respectivamente. Para continuar, los argumentos que condujeron a la declaración de inconstitucionalidad del término giraban en torno a la “diferencia de la noción de ‘normalidad’ (y) el concepto de ‘preferencia’” (STC 31/2010, FJ 14); de hecho, el fundamento jurídico 4 de la STC 11/2018 explica que “la doctrina elaborada por el Tribunal en relación con esta situación de cooficialidad lingüística ha formulado dos principios de particular relevancia” distinguiendo entre “la normalidad en el uso” (plenamente acorde con el art. 3 CE) y la “determinación de la preferencia” (considerada inconstitucional).</w:t>
      </w:r>
    </w:p>
    <w:p w14:paraId="50CAE1EF" w14:textId="77777777" w:rsidR="008D479B" w:rsidRDefault="008D479B" w:rsidP="008D479B">
      <w:pPr>
        <w:pStyle w:val="TextoNormal"/>
      </w:pPr>
    </w:p>
    <w:p w14:paraId="18B4A983" w14:textId="77777777" w:rsidR="008D479B" w:rsidRDefault="008D479B" w:rsidP="008D479B">
      <w:pPr>
        <w:pStyle w:val="TextoNormal"/>
      </w:pPr>
      <w:r>
        <w:t>Esta incorrecta comprensión de la doctrina recogida en las SSTC 31/2010 y 11/2018 tiene un reflejo directo en el caso ahora enjuiciado. Para empezar, la presente cuestión de inconstitucionalidad no enjuicia el uso del término “preferente”, pues es evidente que el art. 6.2 de la Ley de instituciones locales de Euskadi no lo recoge, y aun así se le aplica la doctrina de las sentencias de 2010 y 2018 relativas al mismo. Para continuar, la decisión debió centrase en valorar si el “uso normal” del euskera en el precepto impugnado se encontraba dentro del contorno que nuestra doctrina ha delimitado para el mismo; y, si lo hubiera hecho, la conclusión hubiera sido que el art. 6.2 de la Ley de instituciones locales de Euskadi se sitúa dentro de estos márgenes. Finalmente, la decisión mayoritaria no solo no distingue en ningún momento los conceptos de preferencia y de normalidad, sino que al confundirlos va más allá de lo establecido en las SSTC 31/2010 y 11/2018: estas sentencias solamente consideraron inconstitucional la previsión explícita del término “preferencia” en el nivel estatutario y autonómico; la decisión mayoritaria añade ahora que “es irrelevante que la atribución de un estatus inferior a cualquiera de las lenguas oficiales se realice de modo expreso declarando de uso preferente de la otra lengua española o a través de la imposición a los ciudadanos de formalidades o condiciones que comporten cargas u obligaciones” (FJ 3).</w:t>
      </w:r>
    </w:p>
    <w:p w14:paraId="20B0A859" w14:textId="77777777" w:rsidR="008D479B" w:rsidRDefault="008D479B" w:rsidP="008D479B">
      <w:pPr>
        <w:pStyle w:val="TextoNormal"/>
      </w:pPr>
    </w:p>
    <w:p w14:paraId="4270DB51" w14:textId="77777777" w:rsidR="008D479B" w:rsidRDefault="008D479B" w:rsidP="008D479B">
      <w:pPr>
        <w:pStyle w:val="TextoNormal"/>
      </w:pPr>
      <w:r>
        <w:t>En síntesis, este desenfocado planteamiento aplica una doctrina que no se corresponde con la norma impugnada, que no establece ninguna “preferencia”; y no aplica la doctrina tradicional sobre el “uso normal” de las lenguas cooficiales, que es lo que realmente se dirime aquí y que el art. 6.2 de la Ley de instituciones locales de Euskadi respeta. Y no solo eso, sino que amplía los límites al uso de la lengua propia inicialmente establecidos en las sentencias de 2010 y 2018.</w:t>
      </w:r>
    </w:p>
    <w:p w14:paraId="0A1ADD58" w14:textId="77777777" w:rsidR="008D479B" w:rsidRDefault="008D479B" w:rsidP="008D479B">
      <w:pPr>
        <w:pStyle w:val="TextoNormal"/>
      </w:pPr>
    </w:p>
    <w:p w14:paraId="10208ABC" w14:textId="77777777" w:rsidR="008D479B" w:rsidRDefault="008D479B" w:rsidP="008D479B">
      <w:pPr>
        <w:pStyle w:val="TextoNormal"/>
      </w:pPr>
      <w:r>
        <w:t>Este impropio planteamiento provoca, además, una consecuencia jurídica indebida. La consideración del euskera como lengua de uso normal hubiera debido conducir a la declaración de conformidad con la Constitución del inciso “siempre que no se lesionen los derechos de ningún miembro de la entidad local”, puesto que la regulación que hace la ley vasca encaja perfectamente en lo que hasta ahora se ha entendido como uso normal de la lengua. En cambio, la decisión mayoritaria añade la exigencia de no introducir formalidades o condiciones que impliquen cargas u obligaciones, y ello le conduce a sostener que este inciso solo es constitucional si se respeta este nuevo límite, es decir, le conduce a realizar una interpretación conforme al art. 3.1 CE de este inciso.</w:t>
      </w:r>
    </w:p>
    <w:p w14:paraId="2F975A16" w14:textId="77777777" w:rsidR="008D479B" w:rsidRDefault="008D479B" w:rsidP="008D479B">
      <w:pPr>
        <w:pStyle w:val="TextoNormal"/>
      </w:pPr>
    </w:p>
    <w:p w14:paraId="14463548" w14:textId="77777777" w:rsidR="008D479B" w:rsidRDefault="008D479B" w:rsidP="008D479B">
      <w:pPr>
        <w:pStyle w:val="TextoNormal"/>
      </w:pPr>
      <w:r>
        <w:t>b)</w:t>
      </w:r>
      <w:r w:rsidRPr="008D479B">
        <w:rPr>
          <w:i/>
        </w:rPr>
        <w:t xml:space="preserve"> Los términos de la interpretación conforme a la Constitució</w:t>
      </w:r>
      <w:r>
        <w:t>n</w:t>
      </w:r>
    </w:p>
    <w:p w14:paraId="3C030CF0" w14:textId="77777777" w:rsidR="008D479B" w:rsidRDefault="008D479B" w:rsidP="008D479B">
      <w:pPr>
        <w:pStyle w:val="TextoNormal"/>
      </w:pPr>
    </w:p>
    <w:p w14:paraId="3DB8F442" w14:textId="77777777" w:rsidR="008D479B" w:rsidRDefault="008D479B" w:rsidP="008D479B">
      <w:pPr>
        <w:pStyle w:val="TextoNormal"/>
      </w:pPr>
      <w:r>
        <w:t>En efecto, como se detalla en el último fundamento jurídico de la sentencia es “exigible que se respete la prohibición de establecer formalidades o condiciones que comporten cargas u obligaciones para poder ejercitar el derecho a la libre opción de la redacción en castellano de los documentos mencionados en el art. 6.2 de la Ley de instituciones locales de Euskadi” (FJ 5). Por tanto, corresponde evaluar ahora qué pueden considerarse como tales formalidades o condiciones.</w:t>
      </w:r>
    </w:p>
    <w:p w14:paraId="5FD5AC3C" w14:textId="77777777" w:rsidR="008D479B" w:rsidRDefault="008D479B" w:rsidP="008D479B">
      <w:pPr>
        <w:pStyle w:val="TextoNormal"/>
      </w:pPr>
    </w:p>
    <w:p w14:paraId="19C28A1F" w14:textId="77777777" w:rsidR="008D479B" w:rsidRDefault="008D479B" w:rsidP="008D479B">
      <w:pPr>
        <w:pStyle w:val="TextoNormal"/>
      </w:pPr>
      <w:r>
        <w:t>Hasta ahora, la normativa estatal y autonómica y la doctrina de este tribunal han considerado que no se lesionan los derechos lingüísticos reconocidos en el art. 3 CE si la lengua utilizada en la comunicación es exclusivamente la lengua propia, siempre que pueda “solicitarse” recibirla en castellano.</w:t>
      </w:r>
    </w:p>
    <w:p w14:paraId="5306D7C1" w14:textId="77777777" w:rsidR="008D479B" w:rsidRDefault="008D479B" w:rsidP="008D479B">
      <w:pPr>
        <w:pStyle w:val="TextoNormal"/>
      </w:pPr>
    </w:p>
    <w:p w14:paraId="285B23C2" w14:textId="77777777" w:rsidR="008D479B" w:rsidRDefault="008D479B" w:rsidP="008D479B">
      <w:pPr>
        <w:pStyle w:val="TextoNormal"/>
      </w:pPr>
      <w:r>
        <w:t>Desde el punto de vista normativo, baste recordar que el Real Decreto 2568/1986, de 28 de noviembre, por el que se aprueba el Reglamento de organización, funcionamiento y régimen jurídico de las entidades locales, de aplicación supletoria, dispone en sus arts. 86 y 110 que las comunicaciones en el ámbito local se redactarán en lengua castellana o en la lengua cooficial conforme a la legislación aplicable y a los acuerdos adoptados por la correspondiente corporación. Por su parte, en comunidades autónomas como Cataluña los arts. 9.1 y 10 de la Ley 1/1998, de 7 de enero, de política lingüística, establecen el catalán como lengua de las comunicaciones de las administraciones, dejando implícitamente a salvo la posibilidad de solicitar el castellano en el caso de las comunicaciones internas (</w:t>
      </w:r>
      <w:r w:rsidRPr="008D479B">
        <w:rPr>
          <w:i/>
        </w:rPr>
        <w:t>ad intra</w:t>
      </w:r>
      <w:r>
        <w:t>) y expresamente a salvo esta misma posibilidad en el caso de las relaciones con la ciudadanía</w:t>
      </w:r>
      <w:r w:rsidRPr="008D479B">
        <w:rPr>
          <w:i/>
        </w:rPr>
        <w:t xml:space="preserve"> (ad ext</w:t>
      </w:r>
      <w:r>
        <w:t>ra).</w:t>
      </w:r>
    </w:p>
    <w:p w14:paraId="447F919A" w14:textId="77777777" w:rsidR="008D479B" w:rsidRDefault="008D479B" w:rsidP="008D479B">
      <w:pPr>
        <w:pStyle w:val="TextoNormal"/>
      </w:pPr>
    </w:p>
    <w:p w14:paraId="1356D205" w14:textId="77777777" w:rsidR="008D479B" w:rsidRDefault="008D479B" w:rsidP="008D479B">
      <w:pPr>
        <w:pStyle w:val="TextoNormal"/>
      </w:pPr>
      <w:r>
        <w:t xml:space="preserve">Desde el punto de vista de la doctrina constitucional, la solicitud </w:t>
      </w:r>
      <w:r w:rsidRPr="008D479B">
        <w:rPr>
          <w:i/>
        </w:rPr>
        <w:t>ad extra</w:t>
      </w:r>
      <w:r>
        <w:t xml:space="preserve"> ha sido considerada constitucional en diversas sentencias, como la 165/2013 que sostiene lo siguiente: “De este modo, el art. 35 d) de la Ley 30/1992 garantiza el derecho del ciudadano a utilizar las lenguas oficiales en el territorio de su comunidad autónoma que se satisface con la posibilidad de dirigirse a la administración y recibir respuesta en la lengua que elija, lo cual se contempla en la reforma de los arts. 43 y 44 de la Ley del Parlamento de las Illes Balears 3/2003 cuando se establece el derecho de los interesados a dirigirse y recibir respuesta en la lengua cooficial utilizada o en la que soliciten” (FJ 12).</w:t>
      </w:r>
    </w:p>
    <w:p w14:paraId="638F7FEF" w14:textId="77777777" w:rsidR="008D479B" w:rsidRDefault="008D479B" w:rsidP="008D479B">
      <w:pPr>
        <w:pStyle w:val="TextoNormal"/>
      </w:pPr>
    </w:p>
    <w:p w14:paraId="30CB133D" w14:textId="77777777" w:rsidR="008D479B" w:rsidRDefault="008D479B" w:rsidP="008D479B">
      <w:pPr>
        <w:pStyle w:val="TextoNormal"/>
      </w:pPr>
      <w:r>
        <w:t>En consecuencia, resulta claro que no debería considerarse una formalidad o condición prohibida la necesidad de solicitar la comunicación en castellano, pues la doctrina constitucional ha admitido la regla general del uso normal de la lengua propia y la solicitud en caso de querer recibir las comunicaciones en castellano. Considerar que la mera solicitud supone una formalidad o condición que vulnera el art. 3.1 CE supondría acabar con el régimen de cooficialidad que este tribunal viene construyendo desde los años ochenta. Y a nivel práctico el resultado sería, necesariamente, el bilingüismo generalizado: si ni siquiera se puede exigir la solicitud del castellano, toda la documentación debe estar al alcance en las dos lenguas.</w:t>
      </w:r>
    </w:p>
    <w:p w14:paraId="201D03D4" w14:textId="77777777" w:rsidR="008D479B" w:rsidRDefault="008D479B" w:rsidP="008D479B">
      <w:pPr>
        <w:pStyle w:val="TextoNormal"/>
      </w:pPr>
    </w:p>
    <w:p w14:paraId="6A64793A" w14:textId="77777777" w:rsidR="008D479B" w:rsidRDefault="008D479B" w:rsidP="008D479B">
      <w:pPr>
        <w:pStyle w:val="TextoNormal"/>
      </w:pPr>
      <w:r>
        <w:t xml:space="preserve">Esta reflexión resulta relevante por el siguiente motivo. Como ha quedado expuesto, el fundamento jurídico 5 de la sentencia no concreta las formalidades o condiciones que suponen una carga u obligación. ¿Se está refiriendo, incluso, a la mera solicitud del castellano por parte del miembro de la corporación local? Esta pregunta resulta pertinente en tanto que la opinión mayoritaria utiliza para realizar esta interpretación conforme a la Constitución un pasaje literal del fundamento jurídico 23 de la STC 31/2010. Y en este fundamento jurídico se sostiene también lo siguiente: “Solo los particulares, en tanto que titulares del derecho de opción lingüística garantizado por el propio art. 33.1 EAC, pueden preferir una u otra de ambas lenguas en sus relaciones con el poder público radicado en Cataluña. Y hacerlo, además, en perfecta igualdad de condiciones por cuanto hace a las formalidades y requisitos de su ejercicio, </w:t>
      </w:r>
      <w:r w:rsidRPr="008D479B">
        <w:rPr>
          <w:i/>
        </w:rPr>
        <w:t>lo que excluye que</w:t>
      </w:r>
      <w:r>
        <w:t xml:space="preserve">, como pudiera resultar de una interpretación literal del apartado 5 del art. 50 EAC, </w:t>
      </w:r>
      <w:r w:rsidRPr="008D479B">
        <w:rPr>
          <w:i/>
        </w:rPr>
        <w:t>quienes prefieran que su lengua de comunicación con las administraciones sea el castellano hayan de pedirlo expresamente</w:t>
      </w:r>
      <w:r>
        <w:t>” (la cursiva es mía).</w:t>
      </w:r>
    </w:p>
    <w:p w14:paraId="2240D91C" w14:textId="77777777" w:rsidR="008D479B" w:rsidRDefault="008D479B" w:rsidP="008D479B">
      <w:pPr>
        <w:pStyle w:val="TextoNormal"/>
      </w:pPr>
    </w:p>
    <w:p w14:paraId="4BFB0738" w14:textId="77777777" w:rsidR="008D479B" w:rsidRDefault="008D479B" w:rsidP="008D479B">
      <w:pPr>
        <w:pStyle w:val="TextoNormal"/>
      </w:pPr>
      <w:r>
        <w:t xml:space="preserve">De ello puede desprenderse que “solicitar” las comunicaciones </w:t>
      </w:r>
      <w:r w:rsidRPr="008D479B">
        <w:rPr>
          <w:i/>
        </w:rPr>
        <w:t>ad intra</w:t>
      </w:r>
      <w:r>
        <w:t xml:space="preserve"> en castellano se considera a partir de ahora un “formalismo o condición” contrario al art. 3.1 CE. La decisión mayoritaria extrae la cita de su interpretación conforme a la Constitución del fundamento jurídico de una sentencia que recoge una clara excepción a la doctrina constante de este tribunal y a la normativa estatal y autonómica. Y no solo eso: puede considerarse que sin explicitarlo amplía esta doctrina, que el fundamento jurídico 23 de la STC 31/2010 limita a los particulares, a las comunicaciones internas de los poderes públicos locales.</w:t>
      </w:r>
    </w:p>
    <w:p w14:paraId="514AFED4" w14:textId="77777777" w:rsidR="008D479B" w:rsidRDefault="008D479B" w:rsidP="008D479B">
      <w:pPr>
        <w:pStyle w:val="TextoNormal"/>
      </w:pPr>
    </w:p>
    <w:p w14:paraId="361B2110" w14:textId="77777777" w:rsidR="008D479B" w:rsidRDefault="008D479B" w:rsidP="008D479B">
      <w:pPr>
        <w:pStyle w:val="TextoNormal"/>
      </w:pPr>
      <w:r>
        <w:t>En suma, el planteamiento y la parca argumentación de la decisión mayoritaria; la selección de las sentencias que la sostienen y de sus concretos fundamentos jurídicos; y la falta de toda respuesta a lo que se considera “formalismo o condición” inaceptable desde la óptica del art. 3.1 CE dejan como mínimo en una arriesgada ambigüedad la respuesta a la pregunta de si la simple solicitud del castellano puede ser o no considerada inconstitucional. Es por ello que no comparto tampoco en este aspecto la opinión de mis compañeros de Pleno y considero que el inciso del que se debe realizar ahora una interpretación conforme debería haberse considerado, sin más, constitucional. Y ello por no imponer formalidades ni condiciones expresas; por poder interpretarse en la forma en que hizo el Tribunal Constitucional en 1986 cuando lo redactó; por haberse entendido siempre del mismo modo desde hace décadas en la normativa municipal; y por haberse avalado esta interpretación de forma constante por este tribunal por situarse dentro de los contornos del uso normal de la lengua propia. No se entiende por qué resulta preciso ahora realizar una interpretación conforme a la Constitución, a no ser que exista un cambio de doctrina en este punto. Y, sobre todo, resulta inadecuado que los términos de la interpretación conforme al art. 3.1 CE no sean claros teniendo en cuenta que la misma se extrae del fundamento jurídico 23 de la STC 31/2010, que considera inconstitucional la mera solicitud del castellano por los particulares.</w:t>
      </w:r>
    </w:p>
    <w:p w14:paraId="522721B2" w14:textId="77777777" w:rsidR="008D479B" w:rsidRDefault="008D479B" w:rsidP="008D479B">
      <w:pPr>
        <w:pStyle w:val="TextoNormal"/>
      </w:pPr>
    </w:p>
    <w:p w14:paraId="5B7E0B46" w14:textId="77777777" w:rsidR="008D479B" w:rsidRDefault="008D479B" w:rsidP="008D479B">
      <w:pPr>
        <w:pStyle w:val="TextoNormal"/>
      </w:pPr>
      <w:r>
        <w:t>En este sentido emito mi voto particular.</w:t>
      </w:r>
    </w:p>
    <w:p w14:paraId="05CD417F" w14:textId="77777777" w:rsidR="008D479B" w:rsidRDefault="008D479B" w:rsidP="008D479B">
      <w:pPr>
        <w:pStyle w:val="TextoNormal"/>
      </w:pPr>
    </w:p>
    <w:p w14:paraId="25D895A9" w14:textId="2E565A90" w:rsidR="008D479B" w:rsidRDefault="008D479B" w:rsidP="008D479B">
      <w:pPr>
        <w:pStyle w:val="TextoNormal"/>
      </w:pPr>
      <w:r>
        <w:t>Madrid, a seis de julio de dos mil veintitrés.</w:t>
      </w:r>
    </w:p>
    <w:p w14:paraId="5855CA4D" w14:textId="6E3EC3F0" w:rsidR="008D479B" w:rsidRDefault="008D479B">
      <w:pPr>
        <w:spacing w:after="160" w:line="278" w:lineRule="auto"/>
        <w:rPr>
          <w:rFonts w:ascii="Times New Roman" w:eastAsia="Times New Roman" w:hAnsi="Times New Roman" w:cs="Times New Roman"/>
          <w:sz w:val="24"/>
          <w:szCs w:val="24"/>
          <w:lang w:eastAsia="es-ES"/>
        </w:rPr>
      </w:pPr>
      <w:r>
        <w:br w:type="page"/>
      </w:r>
    </w:p>
    <w:p w14:paraId="7FF0A389" w14:textId="77777777" w:rsidR="008D479B" w:rsidRDefault="008D479B" w:rsidP="008D479B">
      <w:pPr>
        <w:pStyle w:val="TtuloResolucin"/>
      </w:pPr>
      <w:bookmarkStart w:id="11" w:name="SENTENCIA_2023_86"/>
      <w:r>
        <w:t>SENTENCIA 86/2023, de 17 de julio de 2023</w:t>
      </w:r>
    </w:p>
    <w:bookmarkEnd w:id="11"/>
    <w:p w14:paraId="76A0CEAA" w14:textId="77777777" w:rsidR="008D479B" w:rsidRDefault="008D479B" w:rsidP="008D479B">
      <w:pPr>
        <w:pStyle w:val="TtuloResolucin"/>
      </w:pPr>
      <w:r>
        <w:t>Sala Primera</w:t>
      </w:r>
    </w:p>
    <w:p w14:paraId="31A715D9" w14:textId="77777777" w:rsidR="008D479B" w:rsidRDefault="008D479B" w:rsidP="008D479B">
      <w:pPr>
        <w:pStyle w:val="TtuloBOE"/>
      </w:pPr>
      <w:r>
        <w:t>(BOE núm. 205, de 28 de agosto de 2023)</w:t>
      </w:r>
    </w:p>
    <w:p w14:paraId="1A70369B" w14:textId="77777777" w:rsidR="008D479B" w:rsidRDefault="008D479B" w:rsidP="008D479B">
      <w:pPr>
        <w:pStyle w:val="TextoNormalCentrado"/>
      </w:pPr>
      <w:r>
        <w:t>ECLI:ES:TC:2023:86</w:t>
      </w:r>
    </w:p>
    <w:p w14:paraId="38FB5302" w14:textId="1CAC561C" w:rsidR="008D479B" w:rsidRDefault="008D479B" w:rsidP="008D479B">
      <w:pPr>
        <w:pStyle w:val="TextoNormalCentrado"/>
      </w:pPr>
    </w:p>
    <w:p w14:paraId="37A13992" w14:textId="77777777" w:rsidR="008D479B" w:rsidRDefault="008D479B" w:rsidP="008D479B">
      <w:pPr>
        <w:pStyle w:val="SntesisDescriptiva"/>
      </w:pPr>
      <w:r>
        <w:t>Recurso de amparo 4650-2021. Promovido por don Carlos Antonio Cordero Campos en relación con las resoluciones dictadas por las salas de lo contencioso-administrativo del Tribunal Supremo y del Tribunal Superior de Justicia de Madrid y un juzgado de la capital, que desestimaron su impugnación de la resolución administrativa sancionadora que acordó su expulsión del territorio nacional.</w:t>
      </w:r>
    </w:p>
    <w:p w14:paraId="38EE0B94" w14:textId="4E7D4A89" w:rsidR="008D479B" w:rsidRDefault="008D479B" w:rsidP="008D479B">
      <w:pPr>
        <w:pStyle w:val="SntesisDescriptiva"/>
      </w:pPr>
    </w:p>
    <w:p w14:paraId="24B0CDC9" w14:textId="77777777" w:rsidR="008D479B" w:rsidRDefault="008D479B" w:rsidP="008D479B">
      <w:pPr>
        <w:pStyle w:val="SntesisAnaltica"/>
      </w:pPr>
      <w:r>
        <w:t>Vulneración del derecho a la legalidad sancionadora: aplicación irrazonable de la norma sancionadora que, anteponiendo la expulsión a la multa, infringió la garantía material del derecho (STC 47/2023).</w:t>
      </w:r>
    </w:p>
    <w:p w14:paraId="567F899C" w14:textId="75CF16F6" w:rsidR="008D479B" w:rsidRDefault="008D479B" w:rsidP="008D479B">
      <w:pPr>
        <w:pStyle w:val="SntesisAnaltica"/>
      </w:pPr>
    </w:p>
    <w:p w14:paraId="6800D333" w14:textId="02B333C2" w:rsidR="008D479B" w:rsidRDefault="008D479B" w:rsidP="008D479B">
      <w:pPr>
        <w:pStyle w:val="Extracto"/>
      </w:pPr>
      <w:r>
        <w:t>1.</w:t>
      </w:r>
      <w:r>
        <w:tab/>
        <w:t>Reiteración de doctrina sobre vulneración de los derechos fundamentales a la legalidad sancionadora -garantía material- y a la tutela judicial efectiva (STC 47/2023) [FJ 3].</w:t>
      </w:r>
    </w:p>
    <w:p w14:paraId="2304B4B1" w14:textId="77777777" w:rsidR="008D479B" w:rsidRDefault="008D479B" w:rsidP="008D479B">
      <w:pPr>
        <w:pStyle w:val="Extracto"/>
      </w:pPr>
    </w:p>
    <w:p w14:paraId="0F72A196" w14:textId="56CE37A2" w:rsidR="008D479B" w:rsidRDefault="008D479B" w:rsidP="008D479B">
      <w:pPr>
        <w:pStyle w:val="Extracto"/>
      </w:pPr>
      <w:r>
        <w:t>2.</w:t>
      </w:r>
      <w:r>
        <w:tab/>
        <w:t>En materia de situación irregular de nacionales de terceros países en el territorio de un Estado miembro, cuando la normativa nacional imponga o bien una sanción de multa, o bien la expulsión, teniendo en cuenta que esta segunda medida solo puede adoptarse si existen circunstancias agravantes, la autoridad nacional competente no podrá aplicar directamente la Directiva 2008/115/CE para adoptar y hacer cumplir una decisión de retorno aun cuando no existan circunstancias agravantes (SSTJUE de 8 de octubre de 2020, MO c. Subdelegación del Gobierno en Toledo, asunto C-568/19;  y de 3 de marzo de 2022, UN c. Subdelegación del Gobierno en Pontevedra, asunto C-409/20) [FJ 3].</w:t>
      </w:r>
    </w:p>
    <w:p w14:paraId="6C0D2E45" w14:textId="77777777" w:rsidR="008D479B" w:rsidRDefault="008D479B" w:rsidP="008D479B">
      <w:pPr>
        <w:pStyle w:val="Extracto"/>
      </w:pPr>
    </w:p>
    <w:p w14:paraId="49BFE4C9" w14:textId="77777777" w:rsidR="008D479B" w:rsidRDefault="008D479B" w:rsidP="008D479B">
      <w:pPr>
        <w:pStyle w:val="Extracto"/>
      </w:pPr>
    </w:p>
    <w:p w14:paraId="3E2AFA20" w14:textId="77777777" w:rsidR="008D479B" w:rsidRDefault="008D479B" w:rsidP="008D479B">
      <w:pPr>
        <w:pStyle w:val="TextoNormal"/>
      </w:pPr>
      <w:r>
        <w:t>La Sala Primera del Tribunal Constitucional, compuesta por el magistrado don Cándido Conde-Pumpido Tourón, presidente, y los magistrados y magistradas don Ricardo Enríquez Sancho, doña Concepción Espejel Jorquera, doña María Luisa Segoviano Astaburuaga y don Juan Carlos Campo Moreno, ha pronunciado</w:t>
      </w:r>
    </w:p>
    <w:p w14:paraId="0A2A7F00" w14:textId="705D163C" w:rsidR="008D479B" w:rsidRDefault="008D479B" w:rsidP="008D479B">
      <w:pPr>
        <w:pStyle w:val="TextoNormal"/>
      </w:pPr>
    </w:p>
    <w:p w14:paraId="228B6633" w14:textId="77777777" w:rsidR="008D479B" w:rsidRDefault="008D479B" w:rsidP="008D479B">
      <w:pPr>
        <w:pStyle w:val="TextoNormalCentrado"/>
        <w:keepNext/>
      </w:pPr>
      <w:r>
        <w:t>EN NOMBRE DEL REY</w:t>
      </w:r>
    </w:p>
    <w:p w14:paraId="0DB3A2E2" w14:textId="3F7C6715" w:rsidR="008D479B" w:rsidRDefault="008D479B" w:rsidP="008D479B">
      <w:pPr>
        <w:pStyle w:val="TextoNormalCentrado"/>
        <w:keepNext/>
      </w:pPr>
    </w:p>
    <w:p w14:paraId="1CC02954" w14:textId="77777777" w:rsidR="008D479B" w:rsidRDefault="008D479B" w:rsidP="008D479B">
      <w:pPr>
        <w:pStyle w:val="TextoNormalCentrado"/>
        <w:keepNext/>
      </w:pPr>
    </w:p>
    <w:p w14:paraId="6896CF6A" w14:textId="77777777" w:rsidR="008D479B" w:rsidRDefault="008D479B" w:rsidP="008D479B">
      <w:pPr>
        <w:pStyle w:val="TextoNormal"/>
      </w:pPr>
      <w:r>
        <w:t>la siguiente</w:t>
      </w:r>
    </w:p>
    <w:p w14:paraId="5AAB2529" w14:textId="72BD70A1" w:rsidR="008D479B" w:rsidRDefault="008D479B" w:rsidP="008D479B">
      <w:pPr>
        <w:pStyle w:val="TextoNormal"/>
      </w:pPr>
    </w:p>
    <w:p w14:paraId="4F169D1F" w14:textId="77777777" w:rsidR="008D479B" w:rsidRDefault="008D479B" w:rsidP="008D479B">
      <w:pPr>
        <w:pStyle w:val="TextoNormalCentrado"/>
        <w:keepNext/>
      </w:pPr>
      <w:r>
        <w:t>SENTENCIA</w:t>
      </w:r>
    </w:p>
    <w:p w14:paraId="4DFBF913" w14:textId="568F35FA" w:rsidR="008D479B" w:rsidRDefault="008D479B" w:rsidP="008D479B">
      <w:pPr>
        <w:pStyle w:val="TextoNormalCentrado"/>
        <w:keepNext/>
      </w:pPr>
    </w:p>
    <w:p w14:paraId="12071B36" w14:textId="77777777" w:rsidR="008D479B" w:rsidRDefault="008D479B" w:rsidP="008D479B">
      <w:pPr>
        <w:pStyle w:val="TextoNormal"/>
      </w:pPr>
      <w:r>
        <w:t>En el recurso de amparo núm. 4650-2021, promovido por don Carlos Antonio Cordero Campos contra la resolución de 3 de diciembre de 2018 de la Delegación del Gobierno en Madrid, dictada en el expediente núm. 280020180018746; y contra las resoluciones judiciales siguientes: sentencia núm. 223/2019, de 31 de julio, del Juzgado de lo Contencioso-Administrativo núm. 18 de Madrid, dictada en el procedimiento abreviado núm. 83-2019; sentencia núm. 392/2020, de 18 de junio, de la Sección Décima de la Sala de lo Contencioso-Administrativo del Tribunal Superior de Justicia de Madrid, dictada en el recurso de apelación núm. 1189-2019; providencias de 4 de noviembre de 2020 y de 20 de mayo de 2021 de la Sección Primera de la Sala de lo Contencioso-Administrativo del Tribunal Supremo, dictadas en el recurso de casación núm. 4146-2020. Ha sido parte la Abogacía del Estado. Ha intervenido el Ministerio Fiscal. Ha sido ponente la magistrada doña Concepción Espejel Jorquera.</w:t>
      </w:r>
    </w:p>
    <w:p w14:paraId="1E1CF034" w14:textId="6A567659" w:rsidR="008D479B" w:rsidRDefault="008D479B" w:rsidP="008D479B">
      <w:pPr>
        <w:pStyle w:val="TextoNormal"/>
      </w:pPr>
    </w:p>
    <w:p w14:paraId="041BC21B" w14:textId="77777777" w:rsidR="008D479B" w:rsidRDefault="008D479B" w:rsidP="008D479B">
      <w:pPr>
        <w:pStyle w:val="TextoNormalNegritaCentrado"/>
        <w:keepNext/>
      </w:pPr>
      <w:r>
        <w:t>I. Antecedentes</w:t>
      </w:r>
    </w:p>
    <w:p w14:paraId="2438E5DA" w14:textId="35D694EB" w:rsidR="008D479B" w:rsidRDefault="008D479B" w:rsidP="008D479B">
      <w:pPr>
        <w:pStyle w:val="TextoNormalNegritaCentrado"/>
        <w:keepNext/>
      </w:pPr>
    </w:p>
    <w:p w14:paraId="655F92B0" w14:textId="63295321" w:rsidR="008D479B" w:rsidRDefault="008D479B" w:rsidP="008D479B">
      <w:pPr>
        <w:pStyle w:val="TextoNormal"/>
      </w:pPr>
      <w:r w:rsidRPr="008D479B">
        <w:rPr>
          <w:rStyle w:val="NumeroAFNegritaCaracter"/>
        </w:rPr>
        <w:t>1</w:t>
      </w:r>
      <w:r>
        <w:t>. Mediante escrito presentado en el registro de este tribunal el 7 de julio de 2021, don Carlos Antonio Cordero Campos, representado por la procuradora de los tribunales doña Virginia Camacho Villar y asistido por el abogado don Rafael Uña Ruano, interpuso recurso de amparo contra las resoluciones que se mencionan en el encabezamiento de esta sentencia.</w:t>
      </w:r>
    </w:p>
    <w:p w14:paraId="64AE84F0" w14:textId="77777777" w:rsidR="008D479B" w:rsidRDefault="008D479B" w:rsidP="008D479B">
      <w:pPr>
        <w:pStyle w:val="TextoNormal"/>
      </w:pPr>
    </w:p>
    <w:p w14:paraId="66A3320B" w14:textId="77777777" w:rsidR="008D479B" w:rsidRDefault="008D479B" w:rsidP="008D479B">
      <w:pPr>
        <w:pStyle w:val="TextoNormal"/>
      </w:pPr>
      <w:r w:rsidRPr="008D479B">
        <w:rPr>
          <w:rStyle w:val="NumeroAFNegritaCaracter"/>
        </w:rPr>
        <w:t>2</w:t>
      </w:r>
      <w:r>
        <w:t>. Los antecedentes relevantes para resolver el recurso son los siguientes:</w:t>
      </w:r>
    </w:p>
    <w:p w14:paraId="7A9B9744" w14:textId="77777777" w:rsidR="008D479B" w:rsidRDefault="008D479B" w:rsidP="008D479B">
      <w:pPr>
        <w:pStyle w:val="TextoNormal"/>
      </w:pPr>
    </w:p>
    <w:p w14:paraId="47BF1276" w14:textId="77777777" w:rsidR="008D479B" w:rsidRDefault="008D479B" w:rsidP="008D479B">
      <w:pPr>
        <w:pStyle w:val="TextoNormal"/>
      </w:pPr>
      <w:r>
        <w:t>a) Con fecha de 20 de agosto de 2018, se incoó procedimiento sancionador de carácter preferente contra el recurrente, tras comprobar que no disponía de documento alguno que acreditara su situación de estancia o residencia legal en España. El expediente gubernativo que siguió con el núm. 280020180018746 finalizó con la resolución de 3 de diciembre de 2018 de la Delegación del Gobierno en Madrid, que decretó la expulsión del ahora demandante en amparo “del territorio nacional, con la consiguiente prohibición de entrada en España por un período de tres años, a contar desde la fecha en que se lleve a efecto”.</w:t>
      </w:r>
    </w:p>
    <w:p w14:paraId="4F4BAC1C" w14:textId="77777777" w:rsidR="008D479B" w:rsidRDefault="008D479B" w:rsidP="008D479B">
      <w:pPr>
        <w:pStyle w:val="TextoNormal"/>
      </w:pPr>
    </w:p>
    <w:p w14:paraId="792241F4" w14:textId="77777777" w:rsidR="008D479B" w:rsidRDefault="008D479B" w:rsidP="008D479B">
      <w:pPr>
        <w:pStyle w:val="TextoNormal"/>
      </w:pPr>
      <w:r>
        <w:t>La resolución de expulsión establecía como base fáctica de la sanción que no constaba que don Carlos Antonio Cordero Campos “haya solicitado y se halle pendiente de resolver ninguna solicitud de autorización de residencia o trabajo, no acreditándose por otra parte que tenga un especial arraigo familiar o social en nuestro país”; y, como fundamento de Derecho, la comisión de una infracción prevista en el art. 53.1 a) de la Ley Orgánica 4/2000, de 11 de enero, sobre derechos y libertades de los extranjeros en España y su integración social (LOEx), consistente en “encontrarse irregularmente en territorio español, por no haber obtenido la prórroga de estancia, carecer de autorización de residencia o tener caducada más de tres meses la mencionada autorización, y siempre que el interesado no hubiere solicitado la renovación de la misma en el plazo previsto reglamentariamente”.</w:t>
      </w:r>
    </w:p>
    <w:p w14:paraId="38AD9477" w14:textId="77777777" w:rsidR="008D479B" w:rsidRDefault="008D479B" w:rsidP="008D479B">
      <w:pPr>
        <w:pStyle w:val="TextoNormal"/>
      </w:pPr>
    </w:p>
    <w:p w14:paraId="598EF87C" w14:textId="77777777" w:rsidR="008D479B" w:rsidRDefault="008D479B" w:rsidP="008D479B">
      <w:pPr>
        <w:pStyle w:val="TextoNormal"/>
      </w:pPr>
      <w:r>
        <w:t>b) El demandante interpuso recurso contencioso-administrativo contra la anterior resolución. Se alegó que la expulsión era improcedente porque tiene arraigo en el territorio español: económico, porque dispone de contrato de trabajo con una empresa; familiar, porque convive con familiares con permiso de residencia (su madre y su hermana) y social. Además, que no se ha tenido en cuenta el principio de proporcionalidad de las sanciones (art. 55.3 LOEx); y que la decisión se oponía a la jurisprudencia de la Sala Tercera del Tribunal Supremo que optaba por la multa cuando no concurría ninguna circunstancia negativa, como era el caso. Adujo que no se hallaba indocumentado en el momento de la detención, que carece de antecedentes penales y que tiene domicilio fijo. La demanda terminaba con la solicitud al juzgado de que declarase nula la resolución por la que se declaró la expulsión del territorio nacional del ahora recurrente en amparo.</w:t>
      </w:r>
    </w:p>
    <w:p w14:paraId="09E9DA3D" w14:textId="77777777" w:rsidR="008D479B" w:rsidRDefault="008D479B" w:rsidP="008D479B">
      <w:pPr>
        <w:pStyle w:val="TextoNormal"/>
      </w:pPr>
    </w:p>
    <w:p w14:paraId="1971D676" w14:textId="77777777" w:rsidR="008D479B" w:rsidRDefault="008D479B" w:rsidP="008D479B">
      <w:pPr>
        <w:pStyle w:val="TextoNormal"/>
      </w:pPr>
      <w:r>
        <w:t xml:space="preserve">El Juzgado de lo Contencioso-Administrativo núm. 18 de Madrid tras seguir los trámites del procedimiento abreviado núm. 83-2019, dictó sentencia núm. 223/2019, de 31 de julio, que estimó parcialmente el recurso contencioso-administrativo, anulando la resolución de la Delegación del Gobierno en Madrid, de 3 de diciembre de 2018, y fijando en un año el periodo de expulsión del recurrente de España con la consiguiente prohibición de entrada en el territorio nacional durante ese periodo de tiempo, sin perjuicio de otras opciones legales que los poderes públicos competentes pudieran adoptar en el caso del recurrente si lo consideran conveniente atendiendo a las circunstancias puestas de relieve en el fundamento de Derecho cuarto </w:t>
      </w:r>
      <w:r w:rsidRPr="008D479B">
        <w:rPr>
          <w:i/>
        </w:rPr>
        <w:t>in fine</w:t>
      </w:r>
      <w:r>
        <w:t xml:space="preserve"> de dicha sentencia.</w:t>
      </w:r>
    </w:p>
    <w:p w14:paraId="27EED78E" w14:textId="77777777" w:rsidR="008D479B" w:rsidRDefault="008D479B" w:rsidP="008D479B">
      <w:pPr>
        <w:pStyle w:val="TextoNormal"/>
      </w:pPr>
    </w:p>
    <w:p w14:paraId="19AC6027" w14:textId="77777777" w:rsidR="008D479B" w:rsidRDefault="008D479B" w:rsidP="008D479B">
      <w:pPr>
        <w:pStyle w:val="TextoNormal"/>
      </w:pPr>
      <w:r>
        <w:t>La sentencia analiza las alegaciones del recurrente: la vulneración del principio de proporcionalidad y el arraigo. Respecto al principio de proporcionalidad hace referencia a que la jurisprudencia conforme a la cual la estancia ilegal en España no era suficiente para ordenar la expulsión de un extranjero, debiendo concurrir otras circunstancias negativas. Indica que esta interpretación se ha modificado tras la sentencia del Tribunal de Justicia de la Unión Europea de 23 de abril de 2015, asunto C-38/14, y la sentencia del Tribunal Supremo de 12 de junio de 2018 y de acuerdo con ellas la estancia irregular es una causa de expulsión sin que necesite la concurrencia de otros datos desfavorables. Concluye que consta acreditada la estancia irregular del recurrente y que no se ha probado la existencia de arraigo familiar del recurrente en el sentido previsto por la jurisprudencia (cita la sentencia del Tribunal Superior de Justicia de Madrid de 22 de diciembre de 2015) al tratarse de una persona mayor de edad. Respecto al arraigo laboral, constata que el recurrente tiene contrato de trabajo y alta en Seguridad Social, si bien no aporta informe de vida laboral. Admite que el interesado ostenta arraigo social y que no consta la existencia de antecedentes policiales o penales.</w:t>
      </w:r>
    </w:p>
    <w:p w14:paraId="3CDB0931" w14:textId="77777777" w:rsidR="008D479B" w:rsidRDefault="008D479B" w:rsidP="008D479B">
      <w:pPr>
        <w:pStyle w:val="TextoNormal"/>
      </w:pPr>
    </w:p>
    <w:p w14:paraId="3B225B19" w14:textId="77777777" w:rsidR="008D479B" w:rsidRDefault="008D479B" w:rsidP="008D479B">
      <w:pPr>
        <w:pStyle w:val="TextoNormal"/>
      </w:pPr>
      <w:r>
        <w:t>La sentencia determina que la inexistencia de antecedentes policiales y penales, unidos a la aplicación del principio de proporcionalidad y una consideración matizada de arraigo laboral debe conducir a reducir el periodo de expulsión inicialmente acordado por la administración demandada, por lo que anula la resolución recurrida y fija en un año el periodo de expulsión del recurrente de España con la consiguiente prohibición de entrada en el territorio nacional durante ese periodo de tiempo. Especifica que “no procede la sustitución de la expulsión por una multa aplicando a estos efectos la jurisprudencia del Tribunal de Justicia de la Unión Europea (en su sentencia de 23 de abril de 2015, en el asunto C-38/14), tal y como ha sido recientemente ratificada por el Tribunal Supremo en su sentencia de 12 de junio de 2018”.</w:t>
      </w:r>
    </w:p>
    <w:p w14:paraId="1332B0F0" w14:textId="77777777" w:rsidR="008D479B" w:rsidRDefault="008D479B" w:rsidP="008D479B">
      <w:pPr>
        <w:pStyle w:val="TextoNormal"/>
      </w:pPr>
    </w:p>
    <w:p w14:paraId="6E54378B" w14:textId="77777777" w:rsidR="008D479B" w:rsidRDefault="008D479B" w:rsidP="008D479B">
      <w:pPr>
        <w:pStyle w:val="TextoNormal"/>
      </w:pPr>
      <w:r>
        <w:t>Finalmente, en relación con la enfermedad grave de su madre que alegó durante el procedimiento contencioso-administrativo, declara que estas circunstancias son posteriores en el tiempo a la orden de expulsión (…) y, atendiendo a la naturaleza revisora de la jurisdicción contencioso-administrativa, cualquier hecho o documento posterior en el tiempo a la fecha del acto administrativo impugnado en este proceso no debería ser tenido en cuenta. No obstante, aconseja que la administración lo tenga en cuenta al ejecutar el acto administrativo impugnado en este proceso y la presente sentencia, con base en un criterio de equidad, sin perjuicio de otras opciones legales que los poderes públicos competentes pudieran adoptar en este tipo de situaciones si lo consideran conveniente.</w:t>
      </w:r>
    </w:p>
    <w:p w14:paraId="4CE3EE67" w14:textId="77777777" w:rsidR="008D479B" w:rsidRDefault="008D479B" w:rsidP="008D479B">
      <w:pPr>
        <w:pStyle w:val="TextoNormal"/>
      </w:pPr>
    </w:p>
    <w:p w14:paraId="1251B9C5" w14:textId="77777777" w:rsidR="008D479B" w:rsidRDefault="008D479B" w:rsidP="008D479B">
      <w:pPr>
        <w:pStyle w:val="TextoNormal"/>
      </w:pPr>
      <w:r>
        <w:t xml:space="preserve">c) El demandante interpuso recurso de apelación contra la sentencia en el que se denuncia que no se ha apreciado correctamente la proporcionalidad de la sanción administrativa a la vista de la jurisprudencia del Tribunal Supremo de acuerdo con la que, en los supuestos en que la causa de expulsión sea la permanencia ilegal sin otros hechos negativos, debe aplicarse la sanción de multa. También alega que se ha impuesto la sanción más grave posible y que no es aplicable la STJUE de 23 de abril de 2015 (C-38/14) al presente caso. Aduce la contradicción entre la jurisprudencia del Tribunal de Justicia de la Unión Europea y la del Tribunal Europeo de Derechos Humanos (cita SSTEDH de 2 de agosto de 2001, asunto </w:t>
      </w:r>
      <w:r w:rsidRPr="008D479B">
        <w:rPr>
          <w:i/>
        </w:rPr>
        <w:t>Boultif c. Suiza</w:t>
      </w:r>
      <w:r>
        <w:t xml:space="preserve">, y de 17 de abril de 2003, asunto </w:t>
      </w:r>
      <w:r w:rsidRPr="008D479B">
        <w:rPr>
          <w:i/>
        </w:rPr>
        <w:t>Yilmaz c. Alemania</w:t>
      </w:r>
      <w:r>
        <w:t>). Asimismo, analiza la posición del Tribunal de Justicia de la Unión Europea tras la citada STJUE 23 de abril de 2015 y expone que la única interpretación posible para salvar la referida contradicción es que no procede la expulsión en los casos en los que exista un relevante arraigo familiar. Y expone su arraigo familiar, laboral y social en territorio español.</w:t>
      </w:r>
    </w:p>
    <w:p w14:paraId="7DFBFDC2" w14:textId="77777777" w:rsidR="008D479B" w:rsidRDefault="008D479B" w:rsidP="008D479B">
      <w:pPr>
        <w:pStyle w:val="TextoNormal"/>
      </w:pPr>
    </w:p>
    <w:p w14:paraId="68508542" w14:textId="77777777" w:rsidR="008D479B" w:rsidRDefault="008D479B" w:rsidP="008D479B">
      <w:pPr>
        <w:pStyle w:val="TextoNormal"/>
      </w:pPr>
      <w:r>
        <w:t>El recurso de apelación núm. 1189-2019, al que se opuso la Abogacía del Estado, fue desestimado por la sentencia núm. 392/2020, de 18 de junio, de la Sección Décima de la Sala de lo Contencioso-Administrativo del Tribunal Superior de Justicia de Madrid. La Sala, ante la alegación de la falta de proporcionalidad de la sanción de expulsión, se refiere a la STJUE de 23 de abril de 2015 y a la sentencia de la Sala de lo Contencioso-Administrativo del Tribunal Supremo de 12 de junio de 2018 (dictada en recurso de casación núm. 2958-2017), citadas en la sentencia apelada, así como a la sentencia de la Sala de lo Contencioso-Administrativo del Tribunal Supremo de 22 de octubre de 2019 (dictada en el recurso de casación núm. 1713-2018). Pone de relieve que la sentencia apelada ha tenido en consideración las circunstancias de arraigo aducidas por el interesado y valora de manera detallada y separadamente si el recurrente pudiera ostentar arraigo laboral, social y familiar. Precisa que no se ha aportado prueba acreditando la existencia de relación de dependencia económica respecto de su madre o hermana, ni documento alguno que permita al tribunal examinar el informe de vida laboral, ni tampoco se especifica el tiempo que lleva el recurrente residiendo en España. Respecto a la enfermedad de la madre, indica que el recurrente no ha intentado en su recurso de apelación aportar dato alguno relativo al tratamiento médico que le ha sido indicado ni al pronóstico del mismo.</w:t>
      </w:r>
    </w:p>
    <w:p w14:paraId="6AA92E45" w14:textId="77777777" w:rsidR="008D479B" w:rsidRDefault="008D479B" w:rsidP="008D479B">
      <w:pPr>
        <w:pStyle w:val="TextoNormal"/>
      </w:pPr>
    </w:p>
    <w:p w14:paraId="734895C4" w14:textId="77777777" w:rsidR="008D479B" w:rsidRDefault="008D479B" w:rsidP="008D479B">
      <w:pPr>
        <w:pStyle w:val="TextoNormal"/>
      </w:pPr>
      <w:r>
        <w:t>Concluye que no procede estimar desvirtuado el razonamiento decisorio contenido en la resolución apelada, y que la situación del recurrente resulta subsumible en la definición de “situación irregular” del art. 3.2 de la Directiva 2008/115/CE, que impone un mandato de dictar una resolución de retorno según la jurisprudencia del Tribunal de Justicia de la Unión Europea. Finalmente añade que lo expuesto es “sin perjuicio de que la circunstancia alegada por el recurrente pueda hacerse valer para instar la regularización de su situación administrativa en España, conforme a los procedimientos y vías establecidos legal y reglamentariamente”.</w:t>
      </w:r>
    </w:p>
    <w:p w14:paraId="0617E44C" w14:textId="77777777" w:rsidR="008D479B" w:rsidRDefault="008D479B" w:rsidP="008D479B">
      <w:pPr>
        <w:pStyle w:val="TextoNormal"/>
      </w:pPr>
    </w:p>
    <w:p w14:paraId="555EAFF5" w14:textId="77777777" w:rsidR="008D479B" w:rsidRDefault="008D479B" w:rsidP="008D479B">
      <w:pPr>
        <w:pStyle w:val="TextoNormal"/>
      </w:pPr>
      <w:r>
        <w:t>d) El recurrente presentó escrito de preparación de recurso de casación contra la sentencia desestimatoria de su recurso de apelación, en el que se aduce que se debería haber valorado, dentro del principio de proporcionalidad, el arraigo del recurrente en territorio español. Y justifica el interés casacional objetivo en la contradicción entre la jurisprudencia del Tribunal de Justicia de la Unión Europea (STJUE de 23 de marzo de 2015) y del Tribunal Europeo de Derechos Humanos. Por auto de 27 de julio de 2020 de la Sección Décima de la Sala de lo Contencioso-Administrativo del Tribunal Superior de Justicia de Madrid se tuvo por preparado el recurso de casación y se emplazó a las partes para comparecer dentro del plazo de treinta días ante la Sala de lo Contencioso-Administrativo del Tribunal Supremo.</w:t>
      </w:r>
    </w:p>
    <w:p w14:paraId="585AD8A8" w14:textId="77777777" w:rsidR="008D479B" w:rsidRDefault="008D479B" w:rsidP="008D479B">
      <w:pPr>
        <w:pStyle w:val="TextoNormal"/>
      </w:pPr>
    </w:p>
    <w:p w14:paraId="26C92D41" w14:textId="77777777" w:rsidR="008D479B" w:rsidRDefault="008D479B" w:rsidP="008D479B">
      <w:pPr>
        <w:pStyle w:val="TextoNormal"/>
      </w:pPr>
      <w:r>
        <w:t>La Sección Primera de la Sala de lo Contencioso-Administrativo del Tribunal Supremo, mediante providencia de 4 de noviembre de 2020, inadmitió el recurso de casación núm. 4146-2020, por: (1) incumplimiento de las exigencias que el artículo 89.2 de la Ley 29/1998, de 13 de julio, reguladora de la jurisdicción contencioso-administrativa (LJCA) impone al escrito de preparación del recurso al carecer de fundamentación suficiente, y singularizada al caso, de la concurrencia de los supuestos previstos e invocados de los apartados 2 c) y 2 f) del art. 88 LJCA, que permiten apreciar interés casacional objetivo y la conveniencia de un pronunciamiento de la Sala de lo Contencioso-Administrativo del Tribunal Supremo; y (2) carencia, en los términos en los que ha sido planteado el recurso, de interés casacional objetivo para la formación de la jurisprudencia por referirse a cuestiones de hecho —excluidas del recurso de casación— cuya apreciación y valoración por la sala de instancia se discute.</w:t>
      </w:r>
    </w:p>
    <w:p w14:paraId="594F2ACB" w14:textId="77777777" w:rsidR="008D479B" w:rsidRDefault="008D479B" w:rsidP="008D479B">
      <w:pPr>
        <w:pStyle w:val="TextoNormal"/>
      </w:pPr>
    </w:p>
    <w:p w14:paraId="28B8644C" w14:textId="77777777" w:rsidR="008D479B" w:rsidRDefault="008D479B" w:rsidP="008D479B">
      <w:pPr>
        <w:pStyle w:val="TextoNormal"/>
      </w:pPr>
      <w:r>
        <w:t>e) El recurrente formuló incidente de nulidad de actuaciones contra la providencia de inadmisión alegando que la misma ha vulnerado el derecho a la tutela judicial efectiva (artículo 24 CE) y los artículos 6 y 13 del Convenio europeo para la protección de los derechos humanos y de las libertades fundamentales (CEDH). En resumen, se aduce que se tiene que seguir considerando que el principal elemento a valorar, a la hora de graduar la sanción de multa o expulsión, es el arraigo del extranjero en España. Tras citar la STJUE de 23 de abril de 2015, atiende a la jurisprudencia del Tribunal Europeo de Derechos Humanos conforme a la cual, alega, el arraigo puede actuar como límite en la expulsión puesto que la ejecución de esta podría no resultar proporcionada al fin legítimo perseguido por la medida, esto es la garantía del orden público, vulnerando de ese modo el derecho a la vida privada y familiar reconocido en el art. 8.1 CEDH. Además, el arraigo familiar debe considerarse como una de las excepciones concretas a la obligación de expulsión de dicho extracomunitario que menciona la STJUE de 23 de abril de 2015 a pesar de no mencionarla expresamente. Finalmente, cuestiona la sentencia del Tribunal Superior de Justicia de Madrid núm. 392/2020, de 18 de junio, por no haber tenido en cuenta, dentro del principio de proporcionalidad, el arraigo del recurrente.</w:t>
      </w:r>
    </w:p>
    <w:p w14:paraId="3F504015" w14:textId="77777777" w:rsidR="008D479B" w:rsidRDefault="008D479B" w:rsidP="008D479B">
      <w:pPr>
        <w:pStyle w:val="TextoNormal"/>
      </w:pPr>
    </w:p>
    <w:p w14:paraId="1D5A576C" w14:textId="2A1B02B2" w:rsidR="008D479B" w:rsidRDefault="008D479B" w:rsidP="008D479B">
      <w:pPr>
        <w:pStyle w:val="TextoNormal"/>
      </w:pPr>
      <w:r>
        <w:t xml:space="preserve">La Sección Primera de la Sala de lo Contencioso-Administrativo del Tribunal Supremo, mediante providencia de 20 de mayo de 2021, inadmitió a trámite el incidente de nulidad de actuaciones, en aplicación de los arts. 90.4 b) en relación con el art. 89.2 f) y 90.4 d) en relación con el art. 87 </w:t>
      </w:r>
      <w:r w:rsidRPr="008D479B">
        <w:rPr>
          <w:i/>
        </w:rPr>
        <w:t>bis</w:t>
      </w:r>
      <w:r>
        <w:t xml:space="preserve"> 1 LJCA, dado que reiteran argumentos de fondo en relación con la procedencia de la admisión pretendida, sin desarrollar aun mínimamente la vulneración constitucional denunciada (art. 24 CE), indicándose que “el limitado ámbito del excepcional incidente no habilita a una reconsideración jurídica sobre el fondo del asunto, como si de una segunda instancia de admisión se tratare y respecto, además, a una resolución que es firme </w:t>
      </w:r>
      <w:r w:rsidRPr="008D479B">
        <w:rPr>
          <w:i/>
        </w:rPr>
        <w:t>ex</w:t>
      </w:r>
      <w:r>
        <w:t xml:space="preserve"> art. 90.5 LJCA”.</w:t>
      </w:r>
    </w:p>
    <w:p w14:paraId="53E90837" w14:textId="77777777" w:rsidR="008D479B" w:rsidRDefault="008D479B" w:rsidP="008D479B">
      <w:pPr>
        <w:pStyle w:val="TextoNormal"/>
      </w:pPr>
    </w:p>
    <w:p w14:paraId="357D2297" w14:textId="77777777" w:rsidR="008D479B" w:rsidRDefault="008D479B" w:rsidP="008D479B">
      <w:pPr>
        <w:pStyle w:val="TextoNormal"/>
      </w:pPr>
      <w:r w:rsidRPr="008D479B">
        <w:rPr>
          <w:rStyle w:val="NumeroAFNegritaCaracter"/>
        </w:rPr>
        <w:t>3</w:t>
      </w:r>
      <w:r>
        <w:t>. La demanda de amparo denuncia la vulneración del art. 24.1 CE (derecho a la tutela judicial efectiva), y del art. 9.3 CE (irretroactividad de disposiciones sancionadoras desfavorables). Se aduce la vulneración del art. 24.1 CE porque, al entender de la demanda, las resoluciones impugnadas no se han adecuado a la interpretación del Tribunal de Justicia de la Unión Europea, del Tribunal Europeo de Derechos Humanos y del Tribunal Constitucional, conforme a la que, a la hora de graduar la sanción de multa o expulsión, debe ser valorado el arraigo del extranjero en España, así como si este hubiera incurrido en otras conductas tipificadas como graves. En el presente supuesto, alega, las resoluciones judiciales impugnadas no han valorado estas circunstancias.</w:t>
      </w:r>
    </w:p>
    <w:p w14:paraId="763C337A" w14:textId="77777777" w:rsidR="008D479B" w:rsidRDefault="008D479B" w:rsidP="008D479B">
      <w:pPr>
        <w:pStyle w:val="TextoNormal"/>
      </w:pPr>
    </w:p>
    <w:p w14:paraId="7BFECCE5" w14:textId="77777777" w:rsidR="008D479B" w:rsidRDefault="008D479B" w:rsidP="008D479B">
      <w:pPr>
        <w:pStyle w:val="TextoNormal"/>
      </w:pPr>
      <w:r>
        <w:t xml:space="preserve">Invoca la STJUE de 8 de octubre de 2020, asunto C-568/19, de la que infiere que, conforme a la normativa española la sanción principal para los extranjeros en situación irregular deberá ser la multa, siempre que no hayan incurrido en las conductas tipificadas como graves en el art. 53.1 a) LOEx. Cita, asimismo, doctrina del Tribunal Europeo de Derechos Humanos sobre la necesidad de tener en consideración el arraigo familiar en las expulsiones de extranjeros que puede actuar como límite a la expulsión, pues de otro modo la ejecución de la misma podría no resultar proporcionada al fin legítimo perseguido por la doctrina (garantía del orden público), vulnerando de ese modo el derecho a la vida privada y familiar reconocido en el art. 8.1 CEDH (cita SSTEDH de 2 de agosto de 2001, asunto </w:t>
      </w:r>
      <w:r w:rsidRPr="008D479B">
        <w:rPr>
          <w:i/>
        </w:rPr>
        <w:t>Boultif c. Suiza</w:t>
      </w:r>
      <w:r>
        <w:t xml:space="preserve">, y de 17 de abril de 2003, asunto </w:t>
      </w:r>
      <w:r w:rsidRPr="008D479B">
        <w:rPr>
          <w:i/>
        </w:rPr>
        <w:t>Yilmaz c. Alemania</w:t>
      </w:r>
      <w:r>
        <w:t>).</w:t>
      </w:r>
    </w:p>
    <w:p w14:paraId="2D7B07C0" w14:textId="77777777" w:rsidR="008D479B" w:rsidRDefault="008D479B" w:rsidP="008D479B">
      <w:pPr>
        <w:pStyle w:val="TextoNormal"/>
      </w:pPr>
    </w:p>
    <w:p w14:paraId="58BFFF7C" w14:textId="77777777" w:rsidR="008D479B" w:rsidRDefault="008D479B" w:rsidP="008D479B">
      <w:pPr>
        <w:pStyle w:val="TextoNormal"/>
      </w:pPr>
      <w:r>
        <w:t>En este caso el recurrente alega que se debería haber valorado, dentro del principio de proporcionalidad su arraigo económico, familiar y social, a lo que se añade que no ha incurrido en las conductas tipificadas como graves en el art. 53.1 a) LOEx.</w:t>
      </w:r>
    </w:p>
    <w:p w14:paraId="4E7FE82E" w14:textId="77777777" w:rsidR="008D479B" w:rsidRDefault="008D479B" w:rsidP="008D479B">
      <w:pPr>
        <w:pStyle w:val="TextoNormal"/>
      </w:pPr>
    </w:p>
    <w:p w14:paraId="2D8A06CF" w14:textId="77777777" w:rsidR="008D479B" w:rsidRDefault="008D479B" w:rsidP="008D479B">
      <w:pPr>
        <w:pStyle w:val="TextoNormal"/>
      </w:pPr>
      <w:r>
        <w:t>Finalmente, la demanda afirma, en relación con la enfermedad grave de su madre que el documento más antiguo presentado al respecto es de fecha de 11 de abril de 2019, y en él ya se afirma la existencia de un tumor avanzado, resultando así evidente que ya existía en la fecha de la orden de expulsión, por lo que debería haberse considerado la situación de la madre del recurrente en las resoluciones, sustituyendo la expulsión por multa.</w:t>
      </w:r>
    </w:p>
    <w:p w14:paraId="1AC339E6" w14:textId="77777777" w:rsidR="008D479B" w:rsidRDefault="008D479B" w:rsidP="008D479B">
      <w:pPr>
        <w:pStyle w:val="TextoNormal"/>
      </w:pPr>
    </w:p>
    <w:p w14:paraId="01EB31B2" w14:textId="77777777" w:rsidR="008D479B" w:rsidRDefault="008D479B" w:rsidP="008D479B">
      <w:pPr>
        <w:pStyle w:val="TextoNormal"/>
      </w:pPr>
      <w:r>
        <w:t>Se justifica la especial trascendencia constitucional del recurso de amparo en la necesidad de determinar el alcance de la STJUE de 8 de octubre de 2020 (C-568/19), relativa a la interpretación de la Directiva 2008/115/CE, en relación a la consideración que merece la expulsión del territorio español, bien como sanción preferente a imponer a los extranjeros que hayan incurrido en las conductas tipificadas como graves en el art. 53.1 a) LOEx o sí, por el contrario, la sanción principal para dichas conductas es la multa, siempre que no concurran circunstancias agravantes añadidas a su situación irregular.</w:t>
      </w:r>
    </w:p>
    <w:p w14:paraId="05B2C188" w14:textId="77777777" w:rsidR="008D479B" w:rsidRDefault="008D479B" w:rsidP="008D479B">
      <w:pPr>
        <w:pStyle w:val="TextoNormal"/>
      </w:pPr>
    </w:p>
    <w:p w14:paraId="7A55337B" w14:textId="35B7291E" w:rsidR="008D479B" w:rsidRDefault="008D479B" w:rsidP="008D479B">
      <w:pPr>
        <w:pStyle w:val="TextoNormal"/>
      </w:pPr>
      <w:r>
        <w:t>La demanda solicita la nulidad de las resoluciones impugnadas.</w:t>
      </w:r>
    </w:p>
    <w:p w14:paraId="7DEE2C1C" w14:textId="77777777" w:rsidR="008D479B" w:rsidRDefault="008D479B" w:rsidP="008D479B">
      <w:pPr>
        <w:pStyle w:val="TextoNormal"/>
      </w:pPr>
    </w:p>
    <w:p w14:paraId="05B3881D" w14:textId="05ED58F9" w:rsidR="008D479B" w:rsidRDefault="008D479B" w:rsidP="008D479B">
      <w:pPr>
        <w:pStyle w:val="TextoNormal"/>
      </w:pPr>
      <w:r w:rsidRPr="008D479B">
        <w:rPr>
          <w:rStyle w:val="NumeroAFNegritaCaracter"/>
        </w:rPr>
        <w:t>4</w:t>
      </w:r>
      <w:r>
        <w:t>. La Sección Tercera de este tribunal, mediante providencia de 26 de septiembre de 2022, admitió a trámite la demanda al apreciar que concurre en el recurso una especial trascendencia constitucional [art. 50.1 de la Ley Orgánica del Tribunal Constitucional (LOTC)] porque puede dar ocasión al Tribunal para aclarar o cambiar su doctrina, como consecuencia de un cambio de doctrina de los órganos de garantía encargados de la interpretación de los tratados y acuerdos internacionales a los que se refiere el art. 10.2 CE [STC 155/2009, de 25 de junio, FJ 2 b)]; acordó dirigirse a la Sala de lo Contencioso-Administrativo, Sección Décima, del Tribunal Superior de Justicia de Madrid a fin de que, en plazo que no excediera de diez días, remitiese certificación o fotocopia adverada de las actuaciones correspondientes al recurso de apelación núm. 1189-2019, y al Juzgado de lo Contencioso-Administrativo núm. 18 de Madrid a fin de que, en plazo que no excediese de diez días, remitiese certificación o fotocopia adverada de las actuaciones correspondientes al procedimiento abreviado núm. 83-2019; debiendo previamente emplazarse a quienes hubieran sido parte en el procedimiento, excepto la parte recurrente en amparo, para que en el plazo de diez días pudiesen comparecer, si lo desearan, en el recurso de amparo.</w:t>
      </w:r>
    </w:p>
    <w:p w14:paraId="709EA2D3" w14:textId="77777777" w:rsidR="008D479B" w:rsidRDefault="008D479B" w:rsidP="008D479B">
      <w:pPr>
        <w:pStyle w:val="TextoNormal"/>
      </w:pPr>
    </w:p>
    <w:p w14:paraId="7E71E42B" w14:textId="724B4A3E" w:rsidR="008D479B" w:rsidRDefault="008D479B" w:rsidP="008D479B">
      <w:pPr>
        <w:pStyle w:val="TextoNormal"/>
      </w:pPr>
      <w:r w:rsidRPr="008D479B">
        <w:rPr>
          <w:rStyle w:val="NumeroAFNegritaCaracter"/>
        </w:rPr>
        <w:t>5</w:t>
      </w:r>
      <w:r>
        <w:t>. La Abogacía del Estado se personó en el procedimiento mediante escrito presentado el 13 de octubre de 2022.</w:t>
      </w:r>
    </w:p>
    <w:p w14:paraId="47284DE8" w14:textId="77777777" w:rsidR="008D479B" w:rsidRDefault="008D479B" w:rsidP="008D479B">
      <w:pPr>
        <w:pStyle w:val="TextoNormal"/>
      </w:pPr>
    </w:p>
    <w:p w14:paraId="20B0E207" w14:textId="3CDBF7D7" w:rsidR="008D479B" w:rsidRDefault="008D479B" w:rsidP="008D479B">
      <w:pPr>
        <w:pStyle w:val="TextoNormal"/>
      </w:pPr>
      <w:r w:rsidRPr="008D479B">
        <w:rPr>
          <w:rStyle w:val="NumeroAFNegritaCaracter"/>
        </w:rPr>
        <w:t>6</w:t>
      </w:r>
      <w:r>
        <w:t>. Los días 4 y 24 de noviembre de 2022 tuvieron entrada en el registro de este tribunal las actuaciones remitidas por los órganos judiciales.</w:t>
      </w:r>
    </w:p>
    <w:p w14:paraId="229C0C49" w14:textId="77777777" w:rsidR="008D479B" w:rsidRDefault="008D479B" w:rsidP="008D479B">
      <w:pPr>
        <w:pStyle w:val="TextoNormal"/>
      </w:pPr>
    </w:p>
    <w:p w14:paraId="4DB824A4" w14:textId="594B2035" w:rsidR="008D479B" w:rsidRDefault="008D479B" w:rsidP="008D479B">
      <w:pPr>
        <w:pStyle w:val="TextoNormal"/>
      </w:pPr>
      <w:r w:rsidRPr="008D479B">
        <w:rPr>
          <w:rStyle w:val="NumeroAFNegritaCaracter"/>
        </w:rPr>
        <w:t>7</w:t>
      </w:r>
      <w:r>
        <w:t>. El secretario de justicia de la Sección Tercera de la Sala Segunda del Tribunal, por diligencia de ordenación de 25 de noviembre de 2022, tuvo por personado y parte al abogado del Estado, y, conforme a lo dispuesto en el art. 52.1 LOTC, acordó dar vista de las actuaciones al Ministerio Fiscal y a las partes personadas por un plazo común de veinte días para que presentaran alegaciones si lo estimasen oportuno.</w:t>
      </w:r>
    </w:p>
    <w:p w14:paraId="7B6D5D1A" w14:textId="77777777" w:rsidR="008D479B" w:rsidRDefault="008D479B" w:rsidP="008D479B">
      <w:pPr>
        <w:pStyle w:val="TextoNormal"/>
      </w:pPr>
    </w:p>
    <w:p w14:paraId="175A8E7D" w14:textId="77777777" w:rsidR="008D479B" w:rsidRDefault="008D479B" w:rsidP="008D479B">
      <w:pPr>
        <w:pStyle w:val="TextoNormal"/>
      </w:pPr>
      <w:r w:rsidRPr="008D479B">
        <w:rPr>
          <w:rStyle w:val="NumeroAFNegritaCaracter"/>
        </w:rPr>
        <w:t>8</w:t>
      </w:r>
      <w:r>
        <w:t>. La Abogacía del Estado presentó escrito de alegaciones el día 12 de enero de 2023, en el que solicitó la inadmisión del recurso de amparo y, subsidiariamente, su desestimación.</w:t>
      </w:r>
    </w:p>
    <w:p w14:paraId="43EE5DDA" w14:textId="77777777" w:rsidR="008D479B" w:rsidRDefault="008D479B" w:rsidP="008D479B">
      <w:pPr>
        <w:pStyle w:val="TextoNormal"/>
      </w:pPr>
    </w:p>
    <w:p w14:paraId="64E500D4" w14:textId="77777777" w:rsidR="008D479B" w:rsidRDefault="008D479B" w:rsidP="008D479B">
      <w:pPr>
        <w:pStyle w:val="TextoNormal"/>
      </w:pPr>
      <w:r>
        <w:t>a) En cuanto a la solicitud de inadmisión del recurso de amparo por extemporaneidad aduce que no era precisa la formulación del incidente de nulidad de actuaciones conforme a lo previsto en el art. 241.1 de la Ley Orgánica 6/1985, de 1 de julio, del Poder Judicial (LOPJ), en tanto que las vulneraciones se habrían producido desde la resolución de la Delegación del Gobierno de Madrid de 3 de diciembre de 2018, y habrían sido denunciadas en instancias anteriores a recaer la última resolución judicial que puso fin al proceso (providencia del Tribunal Supremo de 4 de noviembre de 2020, de inadmisión del recurso de casación por falta de interés casacional objetivo).</w:t>
      </w:r>
    </w:p>
    <w:p w14:paraId="62E34662" w14:textId="77777777" w:rsidR="008D479B" w:rsidRDefault="008D479B" w:rsidP="008D479B">
      <w:pPr>
        <w:pStyle w:val="TextoNormal"/>
      </w:pPr>
    </w:p>
    <w:p w14:paraId="036CBC55" w14:textId="77777777" w:rsidR="008D479B" w:rsidRDefault="008D479B" w:rsidP="008D479B">
      <w:pPr>
        <w:pStyle w:val="TextoNormal"/>
      </w:pPr>
      <w:r>
        <w:t>El abogado del Estado alega que en el recurso de amparo reitera las mismas alegaciones que ya opuso en instancias anteriores sin aducir una vulneración adicional de un derecho fundamental más allá de la genérica alusión al art. 24 CE. Afirma el abogado del Estado que “[i]ncluso en cuanto a esta, por su generalidad e inconcusa manifestación, no se sabe si es que se formula en relación con la circunstancia de no haber admitido el Tribunal Supremo sus respectivos recursos de casación y de nulidad de actuaciones, o bien si es que lo hace —efectúa esa alusión genérica— por no haberse estimado su pretensión por parte de las resoluciones judiciales dictadas en primera instancia y en apelación. No posee su argumentación una novedad o una ulterior pretensión de vulneración de un derecho fundamental, adicional a lo ya alegado a lo largo del curso de las sucesivas instancias judiciales”. A su entender, la reproducción de las alegaciones y formulación de la misma pretensión de nulidad en sede de amparo, aludiendo, de una manera vaga y excesivamente genérica al art. 24 CE, sobre una posible vulneración del derecho a la tutela judicial efectiva, no concretada, convierte en improcedente la formulación de la nulidad de actuaciones como trámite previo al amparo en concordancia con la naturaleza autónoma y subsidiaria de este, en tanto que la parte recurrente no justifica una supuesta vulneración de un derecho fundamental de manera independiente o adicional a lo ya decidido en relación con las infracciones en que las resoluciones judiciales ordinarias previas hubieran podido incurrir a la hora de desestimar su pretensión de anulación, reproducida esta última ahora en amparo.</w:t>
      </w:r>
    </w:p>
    <w:p w14:paraId="76DB8CF1" w14:textId="77777777" w:rsidR="008D479B" w:rsidRDefault="008D479B" w:rsidP="008D479B">
      <w:pPr>
        <w:pStyle w:val="TextoNormal"/>
      </w:pPr>
    </w:p>
    <w:p w14:paraId="1A9D0941" w14:textId="77777777" w:rsidR="008D479B" w:rsidRDefault="008D479B" w:rsidP="008D479B">
      <w:pPr>
        <w:pStyle w:val="TextoNormal"/>
      </w:pPr>
      <w:r>
        <w:t>La formulación del incidente de nulidad de actuaciones supone un recurso o intento de remedio manifiestamente improcedente, que habría de llevar aparejada la inadmisibilidad del recurso de amparo por extemporáneo, ya que el plazo de interposición del amparo comienza a computarse desde el momento en que se agota correctamente la vía judicial previa. El abogado del Estado pone de relieve que la providencia de inadmisión del incidente de nulidad de actuaciones —de 20 de mayo de 2021— hace referencia explícita al hecho de que dicho incidente se presentó el 24 de noviembre de 2020. No puede dudarse que, desde entonces, el recurrente conoce la inadmisión del recurso de casación. Dado que el recurso de amparo se presentó el día 7 de julio de 2021 había transcurrido, con mucho el plazo previsto en los arts. 43.1 y 44.2 LOTC lo que determinaría la inadmisión del recurso de amparo por extemporaneidad.</w:t>
      </w:r>
    </w:p>
    <w:p w14:paraId="55444720" w14:textId="77777777" w:rsidR="008D479B" w:rsidRDefault="008D479B" w:rsidP="008D479B">
      <w:pPr>
        <w:pStyle w:val="TextoNormal"/>
      </w:pPr>
    </w:p>
    <w:p w14:paraId="7A8ED654" w14:textId="7C0008CA" w:rsidR="008D479B" w:rsidRDefault="008D479B" w:rsidP="008D479B">
      <w:pPr>
        <w:pStyle w:val="TextoNormal"/>
      </w:pPr>
      <w:r>
        <w:t>b) De manera subsidiaria solicita la desestimación del recurso de amparo. El abogado del Estado glosa la incidencia que tuvo en la jurisprudencia de la Sala de lo Contencioso-Administrativo del Tribunal Supremo (sentencia de 12 de junio de 2018) la interpretación que hizo la STJUE de 23 de abril de 2015 (asunto C-38/14), en virtud de la cual lo procedente es decretar la expulsión del extranjero cuando concurra un supuesto de estancia irregular, salvo que concurra alguno de los supuestos de excepción previstos en los apartados 2 a 5 del art. 6 de la Directiva de retorno, o de los supuestos del art. 5 de la misma, y que no era posible optar entre la sanción de multa o la de expulsión. Reconoce que este criterio ha sido matizado en la STJUE de 8 de octubre de 2020 (asunto C-568/19) que ha dado lugar, entre otras a la STS 337/2022, del Tribunal Supremo, de 16 de marzo de 2022, FJ 3, que analiza la incidencia de dicha STJUE de 8 de octubre de 2020, y llega a la conclusión de que, en este caso, no se ha vulnerado el principio de proporcionalidad dadas las circunstancias que se daban en el demandante. Alega al respecto que la falta de requisitos acreditados del recurrente en cuanto al posible arraigo personal, familiar o laboral constituye una circunstancia agravante que en el plano material ha sido ponderada por el órgano administrativo y corroborado o confirmado en cuanto al criterio de valoración, por parte de las instancias judiciales revisoras intervinientes. Concluye que la decisión de expulsión estaría justificada aún bajo la eficacia general de la jurisprudencia del Tribunal de Justicia de la Unión Europea sentada a partir de la STJUE de 8 de octubre de 2020.</w:t>
      </w:r>
    </w:p>
    <w:p w14:paraId="3E137BBE" w14:textId="77777777" w:rsidR="008D479B" w:rsidRDefault="008D479B" w:rsidP="008D479B">
      <w:pPr>
        <w:pStyle w:val="TextoNormal"/>
      </w:pPr>
    </w:p>
    <w:p w14:paraId="4919AEAB" w14:textId="77777777" w:rsidR="008D479B" w:rsidRDefault="008D479B" w:rsidP="008D479B">
      <w:pPr>
        <w:pStyle w:val="TextoNormal"/>
      </w:pPr>
      <w:r w:rsidRPr="008D479B">
        <w:rPr>
          <w:rStyle w:val="NumeroAFNegritaCaracter"/>
        </w:rPr>
        <w:t>9</w:t>
      </w:r>
      <w:r>
        <w:t>. El Ministerio Fiscal presentó escrito el 20 de enero de 2023 en el que solicitó la estimación del recurso por apreciar la vulneración del derecho a la tutela judicial efectiva del recurrente.</w:t>
      </w:r>
    </w:p>
    <w:p w14:paraId="5DB54006" w14:textId="77777777" w:rsidR="008D479B" w:rsidRDefault="008D479B" w:rsidP="008D479B">
      <w:pPr>
        <w:pStyle w:val="TextoNormal"/>
      </w:pPr>
    </w:p>
    <w:p w14:paraId="5F3A5742" w14:textId="77777777" w:rsidR="008D479B" w:rsidRDefault="008D479B" w:rsidP="008D479B">
      <w:pPr>
        <w:pStyle w:val="TextoNormal"/>
      </w:pPr>
      <w:r>
        <w:t>Tras exponer los antecedentes de los procedimientos administrativo y judicial, y los motivos del amparo impetrados, delimita el objeto del recurso de amparo que, aunque formalmente se dirige frente a las dos providencias dictadas por la Sección Primera de la Sala de lo Contencioso-Administrativo del Tribunal Supremo, la vulneración que se les imputa tiene origen en las resoluciones judiciales y administrativa anteriores por lo que han de considerarse también impugnadas (SSTC 149/2016, de 19 de septiembre, FJ 1, y 84/2018, de 16 julio, FJ 1). Entiende que es un recurso de amparo mixto teniendo en cuenta a este respecto, asimismo, que en el suplico de la demanda se solicita la nulidad de todas las resoluciones judiciales y de la resolución administrativa.</w:t>
      </w:r>
    </w:p>
    <w:p w14:paraId="1609D31F" w14:textId="77777777" w:rsidR="008D479B" w:rsidRDefault="008D479B" w:rsidP="008D479B">
      <w:pPr>
        <w:pStyle w:val="TextoNormal"/>
      </w:pPr>
    </w:p>
    <w:p w14:paraId="7E98A5EF" w14:textId="77777777" w:rsidR="008D479B" w:rsidRDefault="008D479B" w:rsidP="008D479B">
      <w:pPr>
        <w:pStyle w:val="TextoNormal"/>
      </w:pPr>
      <w:r>
        <w:t>En la consideración del Ministerio Fiscal, en cuanto a la valoración del arraigo, las resoluciones judiciales ofrecen una adecuada motivación que no puede considerarse arbitraria, irracional o incursa en error patente. Sin embargo, en cuanto a la aplicación de la sanción de expulsión, ni la resolución administrativa ni las posteriores resoluciones judiciales que la convalidan, reflejan circunstancias agravantes más allá de la propia estancia irregular, que ha constituido el soporte prácticamente único que justifica la decisión de expulsión, aludiendo principalmente a la STJUE de 23 de abril de 2015, en interpretación de la Directiva 2008/115/CEE y a la STS 12 de junio de 2018. Criterio que es validado en apelación por la posterior sentencia del Tribunal Superior de Justicia de Madrid de 31 de julio de 2019, aludiendo a las consideraciones de la sentencia apelada, en el sentido de que la estancia irregular en España es una causa de expulsión sin que sea precisa la concurrencia de otros datos desfavorables en el interesado, a lo que se añade la cita de la más reciente sentencia del Tribunal Supremo de 22 de octubre de 2019, dictada en el recurso de casación núm. 1713-2018. Entiende que, en definitiva, aplican directamente la Directiva 2008/115/CEE en la interpretación de la STJUE de 23 de abril de 2015 —de acuerdo con la doctrina del Tribunal Supremo existente en ese momento—, determinante de la sanción de expulsión como sanción única. Pero ello no tiene en cuenta la sentencia de 8 de octubre de 2020 del Tribunal de Justicia de la Unión Europea, asunto C-568/19. Criterio de proporcionalidad que también se recogía en la propia doctrina constitucional (SSTC 140/2009, de 15 de junio; 131/2016, de 18 de julio, y 151/2021, de 13 de septiembre).</w:t>
      </w:r>
    </w:p>
    <w:p w14:paraId="6E017249" w14:textId="77777777" w:rsidR="008D479B" w:rsidRDefault="008D479B" w:rsidP="008D479B">
      <w:pPr>
        <w:pStyle w:val="TextoNormal"/>
      </w:pPr>
    </w:p>
    <w:p w14:paraId="0D5D84C3" w14:textId="77777777" w:rsidR="008D479B" w:rsidRDefault="008D479B" w:rsidP="008D479B">
      <w:pPr>
        <w:pStyle w:val="TextoNormal"/>
      </w:pPr>
      <w:r>
        <w:t>Por tanto, dejando al margen la ponderación del arraigo, tanto la resolución sancionadora como las posteriores resoluciones judiciales fundamentan la decisión de expulsión en la mera estancia irregular del extranjero no comunitario ahora recurrente, sin apreciar ninguna circunstancia adicional de agravación a aquella conducta de estancia irregular y con la sola invocación, en contra del recurrente, de la Directiva 2008/115/CEE a la luz de la STJUE de 20 de abril de 2015, pero sin reflejar la completa doctrina emanada del Tribunal de Justicia de la Unión Europea.</w:t>
      </w:r>
    </w:p>
    <w:p w14:paraId="3605E311" w14:textId="77777777" w:rsidR="008D479B" w:rsidRDefault="008D479B" w:rsidP="008D479B">
      <w:pPr>
        <w:pStyle w:val="TextoNormal"/>
      </w:pPr>
    </w:p>
    <w:p w14:paraId="2E665F19" w14:textId="77777777" w:rsidR="008D479B" w:rsidRDefault="008D479B" w:rsidP="008D479B">
      <w:pPr>
        <w:pStyle w:val="TextoNormal"/>
      </w:pPr>
      <w:r>
        <w:t>En consecuencia, según sostiene el Ministerio Fiscal, la resolución administrativa y las resoluciones judiciales, validando dicha resolución administrativa, no aplican un adecuado juicio de proporcionalidad que constituya soporte suficiente de la sanción de expulsión impugnada, habrían vulnerado el derecho a la tutela judicial efectiva (art. 24 CE), desde la perspectiva de la motivación, al no haber ponderado y apreciado adecuadamente, conforme al principio de proporcionalidad, la concurrencia de aquellas circunstancias que podían justificar la aplicación de la sanción de expulsión. Y ello conlleva, a su parecer, el otorgamiento de amparo por vulneración del art. 24 CE. En definitiva, el Ministerio Fiscal interesa el otorgamiento de amparo al recurrente por vulneración del derecho a la tutela judicial efectiva (art. 24.1 CE) respecto al principio de proporcionalidad (art. 57.1 LOEx), por falta de motivación de la imposición de la sanción, de acuerdo con la doctrina del Tribunal de Justicia de la Unión Europea.</w:t>
      </w:r>
    </w:p>
    <w:p w14:paraId="48A7514A" w14:textId="77777777" w:rsidR="008D479B" w:rsidRDefault="008D479B" w:rsidP="008D479B">
      <w:pPr>
        <w:pStyle w:val="TextoNormal"/>
      </w:pPr>
    </w:p>
    <w:p w14:paraId="7EAB3623" w14:textId="06B73A80" w:rsidR="008D479B" w:rsidRDefault="008D479B" w:rsidP="008D479B">
      <w:pPr>
        <w:pStyle w:val="TextoNormal"/>
      </w:pPr>
      <w:r>
        <w:t>En cuanto al alcance del otorgamiento de amparo considera que procede la anulación de todas las resoluciones objeto de este recurso, tanto la resolución administrativa como las posteriores resoluciones judiciales, toda vez que descartada la posibilidad de imposición de la sanción de expulsión, al no reflejarse circunstancias de agravación, en aplicación del principio de proporcionalidad, no resulta posible otra sanción alternativa como es la multa.</w:t>
      </w:r>
    </w:p>
    <w:p w14:paraId="0331CB9E" w14:textId="77777777" w:rsidR="008D479B" w:rsidRDefault="008D479B" w:rsidP="008D479B">
      <w:pPr>
        <w:pStyle w:val="TextoNormal"/>
      </w:pPr>
    </w:p>
    <w:p w14:paraId="1643B592" w14:textId="1E32BAF1" w:rsidR="008D479B" w:rsidRDefault="008D479B" w:rsidP="008D479B">
      <w:pPr>
        <w:pStyle w:val="TextoNormal"/>
      </w:pPr>
      <w:r w:rsidRPr="008D479B">
        <w:rPr>
          <w:rStyle w:val="NumeroAFNegritaCaracter"/>
        </w:rPr>
        <w:t>10</w:t>
      </w:r>
      <w:r>
        <w:t>. Por diligencia de ordenación de 27 de enero de 2023 de la Secretaría de Justicia de la Sección Primera de la Sala Primera de este tribunal se puso en conocimiento de las partes y del Ministerio Fiscal que, en virtud del acuerdo del Pleno del Tribunal de 17 de enero de 2023, publicado en el “BOE” de 19 de enero de 2023, el presente recurso de amparo fue turnado a la citada sección.</w:t>
      </w:r>
    </w:p>
    <w:p w14:paraId="2DCFC8DC" w14:textId="77777777" w:rsidR="008D479B" w:rsidRDefault="008D479B" w:rsidP="008D479B">
      <w:pPr>
        <w:pStyle w:val="TextoNormal"/>
      </w:pPr>
    </w:p>
    <w:p w14:paraId="59B31849" w14:textId="4ECA269B" w:rsidR="008D479B" w:rsidRDefault="008D479B" w:rsidP="008D479B">
      <w:pPr>
        <w:pStyle w:val="TextoNormal"/>
      </w:pPr>
      <w:r w:rsidRPr="008D479B">
        <w:rPr>
          <w:rStyle w:val="NumeroAFNegritaCaracter"/>
        </w:rPr>
        <w:t>11</w:t>
      </w:r>
      <w:r>
        <w:t>. El secretario de Justicia de la Sección Primera, por diligencia de ordenación de 26 de mayo de 2023, solicitó a la procuradora doña Virginia Camacho Villar aporte copia del escrito presentado el día 24 de noviembre de 2020 promoviendo incidente de nulidad de actuaciones en el recurso de casación núm. 4146-2020 de la Sección Primera de la Sala de lo Contencioso-Administrativo del Tribunal Supremo. Dicho escrito se presentó el 6 de junio de 2023, dándose traslado a las partes por diligencia de ordenación de 8 de junio por un plazo de tres días para que pudieran alegar al respecto lo que a su derecho conviniese. El día 13 de junio el abogado del Estado presentó escrito poniendo de manifiesto que no tiene alegación complementaria que formular. El Ministerio Fiscal, con fecha 30 de julio, se remitió a lo ya expuesto en su informe de 20 de enero, sin considerar necesario formular consideraciones adicionales.</w:t>
      </w:r>
    </w:p>
    <w:p w14:paraId="4578CE29" w14:textId="77777777" w:rsidR="008D479B" w:rsidRDefault="008D479B" w:rsidP="008D479B">
      <w:pPr>
        <w:pStyle w:val="TextoNormal"/>
      </w:pPr>
    </w:p>
    <w:p w14:paraId="2FCFEC30" w14:textId="56A4B31F" w:rsidR="008D479B" w:rsidRDefault="008D479B" w:rsidP="008D479B">
      <w:pPr>
        <w:pStyle w:val="TextoNormal"/>
      </w:pPr>
      <w:r w:rsidRPr="008D479B">
        <w:rPr>
          <w:rStyle w:val="NumeroAFNegritaCaracter"/>
        </w:rPr>
        <w:t>12</w:t>
      </w:r>
      <w:r>
        <w:t>. Por providencia de 13 de julio de 2023, se señaló para deliberación y votación de la presente sentencia el día 17 del mismo mes y año.</w:t>
      </w:r>
    </w:p>
    <w:p w14:paraId="35502A08" w14:textId="77777777" w:rsidR="008D479B" w:rsidRDefault="008D479B" w:rsidP="008D479B">
      <w:pPr>
        <w:pStyle w:val="TextoNormal"/>
      </w:pPr>
    </w:p>
    <w:p w14:paraId="4AE944A1" w14:textId="77777777" w:rsidR="008D479B" w:rsidRDefault="008D479B" w:rsidP="008D479B">
      <w:pPr>
        <w:pStyle w:val="TextoNormalNegritaCentrado"/>
        <w:keepNext/>
      </w:pPr>
      <w:r>
        <w:t>II. Fundamentos jurídicos</w:t>
      </w:r>
    </w:p>
    <w:p w14:paraId="66664267" w14:textId="7C0E47E6" w:rsidR="008D479B" w:rsidRDefault="008D479B" w:rsidP="008D479B">
      <w:pPr>
        <w:pStyle w:val="TextoNormalNegritaCentrado"/>
        <w:keepNext/>
      </w:pPr>
    </w:p>
    <w:p w14:paraId="55475133" w14:textId="77777777" w:rsidR="008D479B" w:rsidRDefault="008D479B" w:rsidP="008D479B">
      <w:pPr>
        <w:pStyle w:val="TextoNormal"/>
      </w:pPr>
      <w:r w:rsidRPr="008D479B">
        <w:rPr>
          <w:rStyle w:val="NumeroAFNegritaCaracter"/>
        </w:rPr>
        <w:t>1</w:t>
      </w:r>
      <w:r>
        <w:t xml:space="preserve">. </w:t>
      </w:r>
      <w:r w:rsidRPr="008D479B">
        <w:rPr>
          <w:i/>
        </w:rPr>
        <w:t>Objeto del recurso de amparo</w:t>
      </w:r>
    </w:p>
    <w:p w14:paraId="06FB079A" w14:textId="77777777" w:rsidR="008D479B" w:rsidRDefault="008D479B" w:rsidP="008D479B">
      <w:pPr>
        <w:pStyle w:val="TextoNormal"/>
      </w:pPr>
    </w:p>
    <w:p w14:paraId="57717094" w14:textId="77777777" w:rsidR="008D479B" w:rsidRDefault="008D479B" w:rsidP="008D479B">
      <w:pPr>
        <w:pStyle w:val="TextoNormal"/>
      </w:pPr>
      <w:r>
        <w:t>Se ha interpuesto recurso de amparo contra la resolución de 3 de diciembre de 2018 de la Delegación del Gobierno en Madrid, que decretó la expulsión del ahora recurrente en amparo del territorio nacional con prohibición de entrada en España por un período de tres años, y contra las siguientes resoluciones judiciales: sentencia núm. 223/2019, de 31 de julio, del Juzgado de lo Contencioso-Administrativo núm. 18 de Madrid, dictada en el procedimiento abreviado núm. 83-2019, que estimó parcialmente el recurso contencioso-administrativo interpuesto contra la anterior resolución; sentencia núm. 392/2020, de 18 de junio, de la Sección Décima de la Sala de lo Contencioso-Administrativo del Tribunal Superior de Justicia de Madrid, dictada en el recurso de apelación núm. 1189-2019, que desestimó el recurso de apelación; y providencias de 4 de noviembre de 2020 y de 20 de mayo de 2021 de la Sección Primera de la Sala de lo Contencioso-Administrativo del Tribunal Supremo, dictadas en el recurso de casación núm. 4146-2020, de inadmisión del recurso de casación y del incidente de nulidad de actuaciones.</w:t>
      </w:r>
    </w:p>
    <w:p w14:paraId="21AE46B9" w14:textId="77777777" w:rsidR="008D479B" w:rsidRDefault="008D479B" w:rsidP="008D479B">
      <w:pPr>
        <w:pStyle w:val="TextoNormal"/>
      </w:pPr>
    </w:p>
    <w:p w14:paraId="329A4951" w14:textId="77777777" w:rsidR="008D479B" w:rsidRDefault="008D479B" w:rsidP="008D479B">
      <w:pPr>
        <w:pStyle w:val="TextoNormal"/>
      </w:pPr>
      <w:r>
        <w:t>La demanda aduce la vulneración del derecho a la tutela judicial efectiva (art. 24.1 CE). Sustenta dicha queja, con carácter principal, en la imposición de la medida de expulsión, en vez de una multa, sin ponderar sus circunstancias personales en especial la del arraigo en España, y conculcando con ello el principio de proporcionalidad sancionadora, al aplicar expresamente las resoluciones judiciales la tesis sustentada por la STJUE de 23 de abril de 2015, que habría sido modificada por la posterior STJUE de 8 de octubre de 2020.</w:t>
      </w:r>
    </w:p>
    <w:p w14:paraId="3E9F6BF8" w14:textId="77777777" w:rsidR="008D479B" w:rsidRDefault="008D479B" w:rsidP="008D479B">
      <w:pPr>
        <w:pStyle w:val="TextoNormal"/>
      </w:pPr>
    </w:p>
    <w:p w14:paraId="319AA50C" w14:textId="355D6C6D" w:rsidR="008D479B" w:rsidRDefault="008D479B" w:rsidP="008D479B">
      <w:pPr>
        <w:pStyle w:val="TextoNormal"/>
      </w:pPr>
      <w:r>
        <w:t>El abogado del Estado solicita la inadmisión del recurso de amparo por extemporaneidad al considerar que el incidente de nulidad de actuaciones interpuesto por la actora resultaba manifiestamente improcedente. Subsidiariamente interesa la desestimación del recurso de amparo en la medida en que la sanción de expulsión impuesta tiene cobertura legal y no resulta desproporcionada. El Ministerio Fiscal solicitó la estimación del recurso de amparo porque las resoluciones impugnadas han vulnerado el derecho a la tutela judicial efectiva del recurrente.</w:t>
      </w:r>
    </w:p>
    <w:p w14:paraId="38B9C80C" w14:textId="77777777" w:rsidR="008D479B" w:rsidRDefault="008D479B" w:rsidP="008D479B">
      <w:pPr>
        <w:pStyle w:val="TextoNormal"/>
      </w:pPr>
    </w:p>
    <w:p w14:paraId="36025278" w14:textId="77777777" w:rsidR="008D479B" w:rsidRDefault="008D479B" w:rsidP="008D479B">
      <w:pPr>
        <w:pStyle w:val="TextoNormal"/>
      </w:pPr>
      <w:r w:rsidRPr="008D479B">
        <w:rPr>
          <w:rStyle w:val="NumeroAFNegritaCaracter"/>
        </w:rPr>
        <w:t>2</w:t>
      </w:r>
      <w:r>
        <w:t xml:space="preserve">. </w:t>
      </w:r>
      <w:r w:rsidRPr="008D479B">
        <w:rPr>
          <w:i/>
        </w:rPr>
        <w:t>Examen del óbice procesal</w:t>
      </w:r>
    </w:p>
    <w:p w14:paraId="52BEB45A" w14:textId="77777777" w:rsidR="008D479B" w:rsidRDefault="008D479B" w:rsidP="008D479B">
      <w:pPr>
        <w:pStyle w:val="TextoNormal"/>
      </w:pPr>
    </w:p>
    <w:p w14:paraId="3ED5E03C" w14:textId="77777777" w:rsidR="008D479B" w:rsidRDefault="008D479B" w:rsidP="008D479B">
      <w:pPr>
        <w:pStyle w:val="TextoNormal"/>
      </w:pPr>
      <w:r>
        <w:t xml:space="preserve">a) Como se ha expuesto pormenorizadamente en los antecedentes de esta sentencia, la abogacía del Estado aduce la extemporaneidad del recurso de amparo al entender que el incidente de nulidad de actuaciones interpuesto por el ahora recurrente en amparo contra la providencia de inadmisión del recurso de casación era manifiestamente improcedente. Aduce que no era precisa la formulación del incidente de nulidad de actuaciones conforme a lo previsto en el art. 241.1 de la Ley Orgánica 6/1985, de 1 de julio, del Poder Judicial (LOPJ), en tanto que las vulneraciones se habrían producido desde la resolución de la Delegación del Gobierno de Madrid de 3 de diciembre de 2018, y habrían sido denunciadas en instancias anteriores a recaer la última resolución judicial que puso fin al proceso. Alega, asimismo, que el recurso de amparo reitera las mismas alegaciones que en instancias anteriores sin aducir una vulneración adicional de un derecho fundamental más allá de la genérica alusión al art. 24 CE. Todo ello, a su juicio, debería llevar aparejada la inadmisibilidad del recurso de amparo por extemporáneo, ya que la vía judicial previa se cerraba con la providencia de la Sala Tercera del Tribunal Supremo, de 4 de noviembre de 2020, que inadmitió el recurso de casación núm. 4146-2020, planteado por el recurrente, cuya fecha de notificación marcaba por tanto el </w:t>
      </w:r>
      <w:r w:rsidRPr="008D479B">
        <w:rPr>
          <w:i/>
        </w:rPr>
        <w:t>dies a quo</w:t>
      </w:r>
      <w:r>
        <w:t xml:space="preserve"> del plazo de treinta días para presentar la demanda </w:t>
      </w:r>
      <w:r w:rsidRPr="008D479B">
        <w:rPr>
          <w:i/>
        </w:rPr>
        <w:t>ex</w:t>
      </w:r>
      <w:r>
        <w:t xml:space="preserve"> art. 44.2 LOTC. Habiendo transcurrido dicho plazo, con mucho, al presentar la demanda de amparo, esta ha de ser inadmitida por extemporánea.</w:t>
      </w:r>
    </w:p>
    <w:p w14:paraId="0934BD74" w14:textId="77777777" w:rsidR="008D479B" w:rsidRDefault="008D479B" w:rsidP="008D479B">
      <w:pPr>
        <w:pStyle w:val="TextoNormal"/>
      </w:pPr>
    </w:p>
    <w:p w14:paraId="1C2C8207" w14:textId="77777777" w:rsidR="008D479B" w:rsidRDefault="008D479B" w:rsidP="008D479B">
      <w:pPr>
        <w:pStyle w:val="TextoNormal"/>
      </w:pPr>
      <w:r>
        <w:t>b) Dicho motivo de inadmisión debe ser rechazado.</w:t>
      </w:r>
    </w:p>
    <w:p w14:paraId="71C34BA2" w14:textId="77777777" w:rsidR="008D479B" w:rsidRDefault="008D479B" w:rsidP="008D479B">
      <w:pPr>
        <w:pStyle w:val="TextoNormal"/>
      </w:pPr>
    </w:p>
    <w:p w14:paraId="5F3E8107" w14:textId="77777777" w:rsidR="008D479B" w:rsidRDefault="008D479B" w:rsidP="008D479B">
      <w:pPr>
        <w:pStyle w:val="TextoNormal"/>
      </w:pPr>
      <w:r>
        <w:t>El presente recurso, tal como pone de manifiesto el Ministerio Fiscal, constituye lo que hemos denominado un “recurso de amparo mixto” (arts. 43 y 44 LOTC). Debemos apreciar que se agotó correctamente la vía judicial previa al amparo, tal y como se desprende de la lectura del escrito de incidente de nulidad de actuaciones presentado por el recurrente y de la demanda de amparo. Tras la inadmisión del recurso de casación, el recurrente interpuso incidente de nulidad de actuaciones alegando la vulneración del derecho a la tutela judicial efectiva (art. 24.1 CE). El hecho de que para fundamentar su solicitud de nulidad tuviera que aludir a los argumentos que defendía en el escrito de preparación del recurso, no solo no se antoja impertinente a los efectos de defender su queja de lesión del derecho al recurso (art. 24.1 CE), sino que antes bien era algo lógico, pues sin aludir al contenido del recurso que había sido inadmitido mal podía combatir la decisión adoptada en su contra, tal y como afirmamos, en un supuesto similar, en la STC 80/2023, de 3 de julio, FJ 2 b).</w:t>
      </w:r>
    </w:p>
    <w:p w14:paraId="2E8D7664" w14:textId="77777777" w:rsidR="008D479B" w:rsidRDefault="008D479B" w:rsidP="008D479B">
      <w:pPr>
        <w:pStyle w:val="TextoNormal"/>
      </w:pPr>
    </w:p>
    <w:p w14:paraId="4A994838" w14:textId="77777777" w:rsidR="008D479B" w:rsidRDefault="008D479B" w:rsidP="008D479B">
      <w:pPr>
        <w:pStyle w:val="TextoNormal"/>
      </w:pPr>
      <w:r>
        <w:t>Además, en la demanda de amparo se hace referencia a que la providencia de 4 de noviembre inadmitió el recurso de casación y, por ello, al entender que se había vulnerado el derecho a la tutela judicial efectiva, se formuló incidente de nulidad de actuaciones, lo que confirmaría el carácter específico de esta queja que solo afectaba a las providencias dictadas por el Tribunal Supremo. A ello ha de añadirse que el propio abogado del Estado no niega que la vulneración del derecho a la tutela judicial efectiva lo sea por la inadmisión del recurso de casación.</w:t>
      </w:r>
    </w:p>
    <w:p w14:paraId="0D5E6C4D" w14:textId="77777777" w:rsidR="008D479B" w:rsidRDefault="008D479B" w:rsidP="008D479B">
      <w:pPr>
        <w:pStyle w:val="TextoNormal"/>
      </w:pPr>
    </w:p>
    <w:p w14:paraId="19EE4FCA" w14:textId="77777777" w:rsidR="008D479B" w:rsidRDefault="008D479B" w:rsidP="008D479B">
      <w:pPr>
        <w:pStyle w:val="TextoNormal"/>
      </w:pPr>
      <w:r>
        <w:t>Podría entenderse, en consecuencia, que junto a la queja en la que formalmente se aduce la vulneración del art. 24.1 CE, en los términos que luego precisaremos, imputable a la resolución administrativa, y a las resoluciones judiciales en cuanto no repararon la misma, se atribuya, además, una vulneración autónoma del art. 24.1 CE a las providencias de inadmisión del recurso de casación y de inadmisión del incidente de nulidad de actuaciones.</w:t>
      </w:r>
    </w:p>
    <w:p w14:paraId="192E1B68" w14:textId="77777777" w:rsidR="008D479B" w:rsidRDefault="008D479B" w:rsidP="008D479B">
      <w:pPr>
        <w:pStyle w:val="TextoNormal"/>
      </w:pPr>
    </w:p>
    <w:p w14:paraId="4209109C" w14:textId="77777777" w:rsidR="008D479B" w:rsidRDefault="008D479B" w:rsidP="008D479B">
      <w:pPr>
        <w:pStyle w:val="TextoNormal"/>
      </w:pPr>
      <w:r>
        <w:t>En el presente caso, la interposición de un incidente de nulidad contra la resolución que inadmitió el recurso de casación intentado por el recurrente, alegando la vulneración de su derecho a la tutela judicial efectiva, art. 24 CE, de acuerdo con lo afirmado en STC 145/2015, de 25 de junio, FJ 2, no puede calificarse el incidente de nulidad de actuaciones promovido por el demandante contra la sentencia impugnada como “manifiestamente improcedente”, en el preciso sentido restrictivo que la doctrina de este tribunal viene dando a este concepto (por todas, SSTC 50/1990, de 26 de marzo, FJ 2; 224/1992, de 14 de diciembre, FJ 2; 10/1998, de 13 de enero, FJ 2; 78/2000, de 27 de marzo, FJ 2; 172/2009, de 9 de julio, FJ 2, y 33/2011, de 28 de marzo, FJ 2), con la consecuencia de determinar, en su caso, la extemporaneidad del recurso de amparo.</w:t>
      </w:r>
    </w:p>
    <w:p w14:paraId="519F5797" w14:textId="77777777" w:rsidR="008D479B" w:rsidRDefault="008D479B" w:rsidP="008D479B">
      <w:pPr>
        <w:pStyle w:val="TextoNormal"/>
      </w:pPr>
    </w:p>
    <w:p w14:paraId="053ABB98" w14:textId="68F012B2" w:rsidR="008D479B" w:rsidRDefault="008D479B" w:rsidP="008D479B">
      <w:pPr>
        <w:pStyle w:val="TextoNormal"/>
      </w:pPr>
      <w:r>
        <w:t>Procede pues descartar el óbice de admisibilidad aducido por el abogado del Estado.</w:t>
      </w:r>
    </w:p>
    <w:p w14:paraId="69277401" w14:textId="77777777" w:rsidR="008D479B" w:rsidRDefault="008D479B" w:rsidP="008D479B">
      <w:pPr>
        <w:pStyle w:val="TextoNormal"/>
      </w:pPr>
    </w:p>
    <w:p w14:paraId="5F21C073" w14:textId="77777777" w:rsidR="008D479B" w:rsidRDefault="008D479B" w:rsidP="008D479B">
      <w:pPr>
        <w:pStyle w:val="TextoNormal"/>
      </w:pPr>
      <w:r w:rsidRPr="008D479B">
        <w:rPr>
          <w:rStyle w:val="NumeroAFNegritaCaracter"/>
        </w:rPr>
        <w:t>3</w:t>
      </w:r>
      <w:r>
        <w:t xml:space="preserve">. </w:t>
      </w:r>
      <w:r w:rsidRPr="008D479B">
        <w:rPr>
          <w:i/>
        </w:rPr>
        <w:t>Aplicación de la doctrina de la STC 47/2023, de 10 de mayo</w:t>
      </w:r>
    </w:p>
    <w:p w14:paraId="49B79154" w14:textId="77777777" w:rsidR="008D479B" w:rsidRDefault="008D479B" w:rsidP="008D479B">
      <w:pPr>
        <w:pStyle w:val="TextoNormal"/>
      </w:pPr>
    </w:p>
    <w:p w14:paraId="134F8B9E" w14:textId="77777777" w:rsidR="008D479B" w:rsidRDefault="008D479B" w:rsidP="008D479B">
      <w:pPr>
        <w:pStyle w:val="TextoNormal"/>
      </w:pPr>
      <w:r>
        <w:t>Desestimado el óbice procesal invocado por el abogado del Estado, estamos ya en condiciones de acceder al estudio de las quejas de fondo de la demanda. Siguiendo doctrina reiterada de este tribunal en recursos de amparo mixtos como es este, y a la que se refiere el fiscal en su escrito de alegaciones, habremos de tener en cuenta el criterio de la más amplia tutela y con ello de la mayor retroacción de las actuaciones [entre otras, SSTC 56/2019, de 6 de mayo, FJ 2, y 138/2021, de 29 de junio, FJ 2 A)], lo que implica en este caso comenzar por la queja de la quiebra de la proporcionalidad de la medida de expulsión impuesta a la recurrente.</w:t>
      </w:r>
    </w:p>
    <w:p w14:paraId="744884F7" w14:textId="77777777" w:rsidR="008D479B" w:rsidRDefault="008D479B" w:rsidP="008D479B">
      <w:pPr>
        <w:pStyle w:val="TextoNormal"/>
      </w:pPr>
    </w:p>
    <w:p w14:paraId="792EE063" w14:textId="77777777" w:rsidR="008D479B" w:rsidRDefault="008D479B" w:rsidP="008D479B">
      <w:pPr>
        <w:pStyle w:val="TextoNormal"/>
      </w:pPr>
      <w:r>
        <w:t>a) La demanda denuncia la vulneración del derecho a la tutela judicial efectiva (art. 24.1 CE), y del principio de irretroactividad de las disposiciones sancionadoras desfavorables (art. 9.3 CE). Así, el recurso de amparo, bajo la cobertura formal del art. 24 CE, denuncia de forma expresa la vulneración del derecho a la tutela judicial efectiva. En la fundamentación de dicha queja que se refiere, con carácter principal, a la falta de ponderación suficiente y adecuada de sus circunstancias personales al acordarse la imposición de la sanción de expulsión, que cuestiona la adecuación a Derecho de la sanción administrativa impuesta, por lo que incide en el ámbito de protección del derecho a la legalidad administrativa sancionatoria en su fase aplicativa, garantizado en el art. 25.1 CE. El recurrente no ha encuadrado lo que considera su lesión en una posible vulneración de este derecho. En todo caso, la ausencia de invocación formal no obstaculiza enjuiciar la queja desde este marco constitucional que se estima el adecuado, dado que las razones aducidas en la demanda ponen de manifiesto y evidencian la lesión constitucional del art. 25.l CE (doctrina constante, por todas, STC 118/2003, de 16 de junio, FJ 2, con cita abundante de la jurisprudencia anterior desde la STC 167/1987, de 28 de octubre, FJ 1. También SSTC 53/2023, de 22 de mayo, FJ 1 b); 70/2023, de 19 de junio, FJ único c), y 71/2023, de 19 de junio, FJ único a).</w:t>
      </w:r>
    </w:p>
    <w:p w14:paraId="765E6A29" w14:textId="77777777" w:rsidR="008D479B" w:rsidRDefault="008D479B" w:rsidP="008D479B">
      <w:pPr>
        <w:pStyle w:val="TextoNormal"/>
      </w:pPr>
    </w:p>
    <w:p w14:paraId="3B0717B5" w14:textId="77777777" w:rsidR="008D479B" w:rsidRDefault="008D479B" w:rsidP="008D479B">
      <w:pPr>
        <w:pStyle w:val="TextoNormal"/>
      </w:pPr>
      <w:r>
        <w:t>b) Como han recordado, entre otras las SSTC 70/2023 y 71/2023, de 19 de junio, en la STC 47/2023, de 10 de mayo, el Pleno del Tribunal Constitucional, expuso la regulación y la jurisprudencia nacional y de la Unión Europea aplicable a las situaciones de estancia irregular de ciudadanos de terceros países no miembros, reflejando la compatibilidad del régimen sancionador previsto en los arts. 53.1 a), 55.1 b) y 3, y 57.1 LOEx —que establecen como regla general una sanción de multa para estas situaciones y la posibilidad de imponer motivadamente una sanción de expulsión, incompatible con la de multa (art. 57.3 LOEx), previo expediente y respetando el principio de proporcionalidad si se acreditan circunstancias agravantes— con la exigencia general del art. 6.1 de la Directiva 2008/115/CE, que obliga a los Estados miembros a dictar una decisión de retorno contra cualquier nacional de un tercer país que se encuentre en situación irregular en su territorio, sin perjuicio de las excepciones previstas en la propia Directiva.</w:t>
      </w:r>
    </w:p>
    <w:p w14:paraId="248A2423" w14:textId="77777777" w:rsidR="008D479B" w:rsidRDefault="008D479B" w:rsidP="008D479B">
      <w:pPr>
        <w:pStyle w:val="TextoNormal"/>
      </w:pPr>
    </w:p>
    <w:p w14:paraId="3CFC42F7" w14:textId="77777777" w:rsidR="008D479B" w:rsidRDefault="008D479B" w:rsidP="008D479B">
      <w:pPr>
        <w:pStyle w:val="TextoNormal"/>
      </w:pPr>
      <w:r>
        <w:t>La STC 47/2023, FJ 4 c), declaró vulnerada la garantía material del derecho a la legalidad sancionadora (art. 25.1 CE) cuando la “administración impuso la sanción de expulsión del art. 57.1 LOEx, luego confirmada judicialmente con una interpretación errónea sobre la eficacia de la Directiva de retorno, a una situación de estancia irregular en la que no consta que concurriese ninguna circunstancia agravante o elemento negativo que la hubiese justificado, ‘en atención al principio de proporcionalidad’, tal y como dicho precepto exige para su aplicación”.</w:t>
      </w:r>
    </w:p>
    <w:p w14:paraId="3CAD322E" w14:textId="77777777" w:rsidR="008D479B" w:rsidRDefault="008D479B" w:rsidP="008D479B">
      <w:pPr>
        <w:pStyle w:val="TextoNormal"/>
      </w:pPr>
    </w:p>
    <w:p w14:paraId="5F236441" w14:textId="77777777" w:rsidR="008D479B" w:rsidRDefault="008D479B" w:rsidP="008D479B">
      <w:pPr>
        <w:pStyle w:val="TextoNormal"/>
      </w:pPr>
      <w:r>
        <w:t>Como se afirma en la citada STC 47/2023, FJ 4 b), “las resoluciones judiciales declararon procedente la expulsión con fundamento en la aplicación directa de lo dispuesto en el art. 6.1 de la Directiva 2008/115/CE y en que la recurrente carecía de arraigo en España. Pero con tal argumentación, los órganos judiciales dejaron de aplicar las consecuencias previstas en la normativa española para las situaciones de estancia irregular, puesto que en nuestro derecho no está prevista la sanción de expulsión para los supuestos de mera estancia irregular de las personas extranjeras en quienes no se aprecie ninguna circunstancia agravante o negativa. Esta interpretación de los tribunales españoles que marginaba la normativa nacional más favorable y que otorgaba un efecto directo inverso a la Directiva de retorno es errónea y contraria a la jurisprudencia del Tribunal de Justicia de la Unión Europea sobre la eficacia de esta clase de normas en los ordenamientos internos. Como señala la STJUE de 8 de octubre de 2020, ‘es preciso recordar que, según reiterada jurisprudencia del Tribunal de Justicia, las directivas no pueden, por sí solas, crear obligaciones a cargo de los particulares, pues los Estados miembros no pueden invocar las disposiciones de las directivas, en su calidad de tales, contra dichas personas’ (apartado 35)”.</w:t>
      </w:r>
    </w:p>
    <w:p w14:paraId="40C43FFD" w14:textId="77777777" w:rsidR="008D479B" w:rsidRDefault="008D479B" w:rsidP="008D479B">
      <w:pPr>
        <w:pStyle w:val="TextoNormal"/>
      </w:pPr>
    </w:p>
    <w:p w14:paraId="155525D5" w14:textId="77777777" w:rsidR="008D479B" w:rsidRDefault="008D479B" w:rsidP="008D479B">
      <w:pPr>
        <w:pStyle w:val="TextoNormal"/>
      </w:pPr>
      <w:r>
        <w:t>c) Las resoluciones administrativas y judiciales objeto del presente recurso se caracterizan por haber justificado la sanción de expulsión de don Carlos Antonio Cordero Campos sin apreciar la concurrencia de circunstancias agravantes o negativas; en lugar de imponer la sanción de multa prevista en nuestro ordenamiento, como regla general, para los casos como el suyo de estancia irregular en nuestro país.</w:t>
      </w:r>
    </w:p>
    <w:p w14:paraId="52A00F1C" w14:textId="77777777" w:rsidR="008D479B" w:rsidRDefault="008D479B" w:rsidP="008D479B">
      <w:pPr>
        <w:pStyle w:val="TextoNormal"/>
      </w:pPr>
    </w:p>
    <w:p w14:paraId="1B2EFC43" w14:textId="3335AE3B" w:rsidR="008D479B" w:rsidRDefault="008D479B" w:rsidP="008D479B">
      <w:pPr>
        <w:pStyle w:val="TextoNormal"/>
      </w:pPr>
      <w:r>
        <w:t>En consecuencia, con lo anteriormente expuesto y en aplicación de la doctrina de la STC 47/2023, debe estimarse el recurso [art. 53 a) LOTC] y reconocer que se ha vulnerado el derecho fundamental de la recurrente a la legalidad sancionadora (art. 25.1 CE), restableciéndola en él mediante la anulación de las resoluciones impugnadas (art. 55.1 LOTC).</w:t>
      </w:r>
    </w:p>
    <w:p w14:paraId="4F2B6485" w14:textId="77777777" w:rsidR="008D479B" w:rsidRDefault="008D479B" w:rsidP="008D479B">
      <w:pPr>
        <w:pStyle w:val="TextoNormal"/>
      </w:pPr>
    </w:p>
    <w:p w14:paraId="62CCBF7F" w14:textId="77777777" w:rsidR="008D479B" w:rsidRDefault="008D479B" w:rsidP="008D479B">
      <w:pPr>
        <w:pStyle w:val="TextoNormalCentrado"/>
        <w:keepNext/>
      </w:pPr>
      <w:r>
        <w:t>FALLO</w:t>
      </w:r>
    </w:p>
    <w:p w14:paraId="22D8AD76" w14:textId="6D8357D0" w:rsidR="008D479B" w:rsidRDefault="008D479B" w:rsidP="008D479B">
      <w:pPr>
        <w:pStyle w:val="TextoNormalCentrado"/>
        <w:keepNext/>
      </w:pPr>
    </w:p>
    <w:p w14:paraId="035BD21D" w14:textId="77777777" w:rsidR="008D479B" w:rsidRDefault="008D479B" w:rsidP="008D479B">
      <w:pPr>
        <w:pStyle w:val="TextoNormal"/>
      </w:pPr>
      <w:r>
        <w:t>En atención a todo lo expuesto, el Tribunal Constitucional, por la autoridad que le confiere la Constitución de la Nación española, ha decidido estimar el recurso de amparo interpuesto por don Carlos Antonio Cordero Campos y, en su virtud:</w:t>
      </w:r>
    </w:p>
    <w:p w14:paraId="103A4485" w14:textId="77777777" w:rsidR="008D479B" w:rsidRDefault="008D479B" w:rsidP="008D479B">
      <w:pPr>
        <w:pStyle w:val="TextoNormal"/>
      </w:pPr>
    </w:p>
    <w:p w14:paraId="517892BB" w14:textId="77777777" w:rsidR="008D479B" w:rsidRDefault="008D479B" w:rsidP="008D479B">
      <w:pPr>
        <w:pStyle w:val="TextoNormal"/>
      </w:pPr>
      <w:r>
        <w:t>1º Reconocer que ha sido vulnerado su derecho fundamental a la legalidad sancionadora (art. 25.1 CE).</w:t>
      </w:r>
    </w:p>
    <w:p w14:paraId="729DCD97" w14:textId="77777777" w:rsidR="008D479B" w:rsidRDefault="008D479B" w:rsidP="008D479B">
      <w:pPr>
        <w:pStyle w:val="TextoNormal"/>
      </w:pPr>
    </w:p>
    <w:p w14:paraId="4BA27667" w14:textId="208E9244" w:rsidR="008D479B" w:rsidRDefault="008D479B" w:rsidP="008D479B">
      <w:pPr>
        <w:pStyle w:val="TextoNormal"/>
      </w:pPr>
      <w:r>
        <w:t>2º Restablecerle en su derecho y, a tal fin, declarar la nulidad de la resolución de 3 de diciembre de 2018 de la Delegación del Gobierno en Madrid, dictada en el expediente núm. 280020180018746; y de las resoluciones judiciales siguientes: sentencia núm. 223/2019, de 31 de julio, del Juzgado de lo Contencioso-Administrativo núm. 18 de Madrid, dictada en el procedimiento abreviado núm. 83-2019; sentencia núm. 392/2020, de 18 de junio, de la Sección Décima de la Sala de lo Contencioso-Administrativo del Tribunal Superior de Justicia de Madrid, dictada en el recurso de apelación núm. 1189-2019; providencias de 4 de noviembre de 2020 y de 20 de mayo de 2021 de la Sección Primera de la Sala de lo Contencioso-Administrativo del Tribunal Supremo, dictadas en recurso de casación núm. 4146-2020.</w:t>
      </w:r>
    </w:p>
    <w:p w14:paraId="18280A30" w14:textId="77777777" w:rsidR="008D479B" w:rsidRDefault="008D479B" w:rsidP="008D479B">
      <w:pPr>
        <w:pStyle w:val="TextoNormal"/>
      </w:pPr>
    </w:p>
    <w:p w14:paraId="33B9AF00" w14:textId="77777777" w:rsidR="008D479B" w:rsidRDefault="008D479B" w:rsidP="008D479B">
      <w:pPr>
        <w:pStyle w:val="TextoNormal"/>
      </w:pPr>
      <w:r>
        <w:t>Publíquese esta sentencia en el “Boletín Oficial del Estado”.</w:t>
      </w:r>
    </w:p>
    <w:p w14:paraId="1B1F64E0" w14:textId="77777777" w:rsidR="008D479B" w:rsidRDefault="008D479B" w:rsidP="008D479B">
      <w:pPr>
        <w:pStyle w:val="TextoNormal"/>
      </w:pPr>
      <w:r>
        <w:t>Dada en Madrid, a diecisiete de julio de dos mil veintitrés.</w:t>
      </w:r>
    </w:p>
    <w:p w14:paraId="6EEC6516" w14:textId="7DEEF8B2" w:rsidR="008D479B" w:rsidRDefault="008D479B">
      <w:pPr>
        <w:spacing w:after="160" w:line="278" w:lineRule="auto"/>
        <w:rPr>
          <w:rFonts w:ascii="Times New Roman" w:eastAsia="Times New Roman" w:hAnsi="Times New Roman" w:cs="Times New Roman"/>
          <w:sz w:val="24"/>
          <w:szCs w:val="24"/>
          <w:lang w:eastAsia="es-ES"/>
        </w:rPr>
      </w:pPr>
      <w:r>
        <w:br w:type="page"/>
      </w:r>
    </w:p>
    <w:p w14:paraId="3243BB2C" w14:textId="77777777" w:rsidR="008D479B" w:rsidRDefault="008D479B" w:rsidP="008D479B">
      <w:pPr>
        <w:pStyle w:val="TtuloResolucin"/>
      </w:pPr>
      <w:bookmarkStart w:id="12" w:name="SENTENCIA_2023_87"/>
      <w:r>
        <w:t>SENTENCIA 87/2023, de 17 de julio de 2023</w:t>
      </w:r>
    </w:p>
    <w:bookmarkEnd w:id="12"/>
    <w:p w14:paraId="357BDC2F" w14:textId="77777777" w:rsidR="008D479B" w:rsidRDefault="008D479B" w:rsidP="008D479B">
      <w:pPr>
        <w:pStyle w:val="TtuloResolucin"/>
      </w:pPr>
      <w:r>
        <w:t>Sala Primera</w:t>
      </w:r>
    </w:p>
    <w:p w14:paraId="06807840" w14:textId="77777777" w:rsidR="008D479B" w:rsidRDefault="008D479B" w:rsidP="008D479B">
      <w:pPr>
        <w:pStyle w:val="TtuloBOE"/>
      </w:pPr>
      <w:r>
        <w:t>(BOE núm. 205, de 28 de agosto de 2023)</w:t>
      </w:r>
    </w:p>
    <w:p w14:paraId="65287EDA" w14:textId="77777777" w:rsidR="008D479B" w:rsidRDefault="008D479B" w:rsidP="008D479B">
      <w:pPr>
        <w:pStyle w:val="TextoNormalCentrado"/>
      </w:pPr>
      <w:r>
        <w:t>ECLI:ES:TC:2023:87</w:t>
      </w:r>
    </w:p>
    <w:p w14:paraId="3A5B0646" w14:textId="510C6FC3" w:rsidR="008D479B" w:rsidRDefault="008D479B" w:rsidP="008D479B">
      <w:pPr>
        <w:pStyle w:val="TextoNormalCentrado"/>
      </w:pPr>
    </w:p>
    <w:p w14:paraId="57342CEA" w14:textId="77777777" w:rsidR="008D479B" w:rsidRDefault="008D479B" w:rsidP="008D479B">
      <w:pPr>
        <w:pStyle w:val="SntesisDescriptiva"/>
      </w:pPr>
      <w:r>
        <w:t>Recurso de amparo 2353-2022. Promovido por doña Marelyn Franllely Familia Lugo en relación con las resoluciones dictadas por las salas de lo contencioso-administrativo del Tribunal Supremo y del Tribunal Superior de Justicia de Madrid y un juzgado de la capital, que desestimaron su impugnación de la resolución administrativa sancionadora que acordó su expulsión del territorio nacional.</w:t>
      </w:r>
    </w:p>
    <w:p w14:paraId="0712FFBD" w14:textId="66048A22" w:rsidR="008D479B" w:rsidRDefault="008D479B" w:rsidP="008D479B">
      <w:pPr>
        <w:pStyle w:val="SntesisDescriptiva"/>
      </w:pPr>
    </w:p>
    <w:p w14:paraId="0F1257C9" w14:textId="77777777" w:rsidR="008D479B" w:rsidRDefault="008D479B" w:rsidP="008D479B">
      <w:pPr>
        <w:pStyle w:val="SntesisAnaltica"/>
      </w:pPr>
      <w:r>
        <w:t>Vulneración de los derechos a la tutela judicial efectiva y a la legalidad sancionadora: aplicación irrazonable de la norma sancionadora que, anteponiendo la expulsión a la multa, infringió la garantía material del derecho (STC 47/2023).</w:t>
      </w:r>
    </w:p>
    <w:p w14:paraId="07EE21A0" w14:textId="558CA13C" w:rsidR="008D479B" w:rsidRDefault="008D479B" w:rsidP="008D479B">
      <w:pPr>
        <w:pStyle w:val="SntesisAnaltica"/>
      </w:pPr>
    </w:p>
    <w:p w14:paraId="129C5246" w14:textId="120CFDFB" w:rsidR="008D479B" w:rsidRDefault="008D479B" w:rsidP="008D479B">
      <w:pPr>
        <w:pStyle w:val="Extracto"/>
      </w:pPr>
      <w:r>
        <w:t>1.</w:t>
      </w:r>
      <w:r>
        <w:tab/>
        <w:t>Reiteración de doctrina sobre vulneración de los derechos fundamentales a la legalidad sancionadora -garantía material- y a la tutela judicial efectiva (STC 47/2023) [FJ 3].</w:t>
      </w:r>
    </w:p>
    <w:p w14:paraId="7BA1CA8B" w14:textId="77777777" w:rsidR="008D479B" w:rsidRDefault="008D479B" w:rsidP="008D479B">
      <w:pPr>
        <w:pStyle w:val="Extracto"/>
      </w:pPr>
    </w:p>
    <w:p w14:paraId="36A2FC4F" w14:textId="7B3D5C7C" w:rsidR="008D479B" w:rsidRDefault="008D479B" w:rsidP="008D479B">
      <w:pPr>
        <w:pStyle w:val="Extracto"/>
      </w:pPr>
      <w:r>
        <w:t>2.</w:t>
      </w:r>
      <w:r>
        <w:tab/>
        <w:t>En materia de situación irregular de nacionales de terceros países en el territorio de un Estado miembro, cuando la normativa nacional imponga o bien una sanción de multa, o bien la expulsión, teniendo en cuenta que esta segunda medida solo puede adoptarse si existen circunstancias agravantes, la autoridad nacional competente no podrá aplicar directamente la Directiva 2008/115/CE para adoptar y hacer cumplir una decisión de retorno aun cuando no existan circunstancias agravantes (SSTJUE de 8 de octubre de 2020, MO c. Subdelegación del Gobierno en Toledo, asunto C-568/19;  y de 3 de marzo de 2022, UN c. Subdelegación del Gobierno en Pontevedra, asunto C-409/20) [FJ 3].</w:t>
      </w:r>
    </w:p>
    <w:p w14:paraId="58009A6E" w14:textId="77777777" w:rsidR="008D479B" w:rsidRDefault="008D479B" w:rsidP="008D479B">
      <w:pPr>
        <w:pStyle w:val="Extracto"/>
      </w:pPr>
    </w:p>
    <w:p w14:paraId="40710B93" w14:textId="77777777" w:rsidR="008D479B" w:rsidRDefault="008D479B" w:rsidP="008D479B">
      <w:pPr>
        <w:pStyle w:val="Extracto"/>
      </w:pPr>
    </w:p>
    <w:p w14:paraId="127A26B3" w14:textId="77777777" w:rsidR="008D479B" w:rsidRDefault="008D479B" w:rsidP="008D479B">
      <w:pPr>
        <w:pStyle w:val="TextoNormal"/>
      </w:pPr>
      <w:r>
        <w:t>La Sala Primera del Tribunal Constitucional, compuesta por el magistrado don Cándido Conde-Pumpido Tourón, presidente, y los magistrados y magistradas don Ricardo Enríquez Sancho, doña Concepción Espejel Jorquera, doña María Luisa Segoviano Astaburuaga y don Juan Carlos Campo Moreno, ha pronunciado</w:t>
      </w:r>
    </w:p>
    <w:p w14:paraId="6741F99B" w14:textId="659B50DD" w:rsidR="008D479B" w:rsidRDefault="008D479B" w:rsidP="008D479B">
      <w:pPr>
        <w:pStyle w:val="TextoNormal"/>
      </w:pPr>
    </w:p>
    <w:p w14:paraId="055662AC" w14:textId="77777777" w:rsidR="008D479B" w:rsidRDefault="008D479B" w:rsidP="008D479B">
      <w:pPr>
        <w:pStyle w:val="TextoNormalCentrado"/>
        <w:keepNext/>
      </w:pPr>
      <w:r>
        <w:t>EN NOMBRE DEL REY</w:t>
      </w:r>
    </w:p>
    <w:p w14:paraId="7393EF3E" w14:textId="0D4E065A" w:rsidR="008D479B" w:rsidRDefault="008D479B" w:rsidP="008D479B">
      <w:pPr>
        <w:pStyle w:val="TextoNormalCentrado"/>
        <w:keepNext/>
      </w:pPr>
    </w:p>
    <w:p w14:paraId="417FCADC" w14:textId="77777777" w:rsidR="008D479B" w:rsidRDefault="008D479B" w:rsidP="008D479B">
      <w:pPr>
        <w:pStyle w:val="TextoNormalCentrado"/>
        <w:keepNext/>
      </w:pPr>
    </w:p>
    <w:p w14:paraId="6FE2F9F7" w14:textId="77777777" w:rsidR="008D479B" w:rsidRDefault="008D479B" w:rsidP="008D479B">
      <w:pPr>
        <w:pStyle w:val="TextoNormal"/>
      </w:pPr>
      <w:r>
        <w:t>la siguiente</w:t>
      </w:r>
    </w:p>
    <w:p w14:paraId="337F03D0" w14:textId="2AC20267" w:rsidR="008D479B" w:rsidRDefault="008D479B" w:rsidP="008D479B">
      <w:pPr>
        <w:pStyle w:val="TextoNormal"/>
      </w:pPr>
    </w:p>
    <w:p w14:paraId="476EE57B" w14:textId="77777777" w:rsidR="008D479B" w:rsidRDefault="008D479B" w:rsidP="008D479B">
      <w:pPr>
        <w:pStyle w:val="TextoNormalCentrado"/>
        <w:keepNext/>
      </w:pPr>
      <w:r>
        <w:t>SENTENCIA</w:t>
      </w:r>
    </w:p>
    <w:p w14:paraId="2EE0E77B" w14:textId="051D1302" w:rsidR="008D479B" w:rsidRDefault="008D479B" w:rsidP="008D479B">
      <w:pPr>
        <w:pStyle w:val="TextoNormalCentrado"/>
        <w:keepNext/>
      </w:pPr>
    </w:p>
    <w:p w14:paraId="5BD97C06" w14:textId="77777777" w:rsidR="008D479B" w:rsidRDefault="008D479B" w:rsidP="008D479B">
      <w:pPr>
        <w:pStyle w:val="TextoNormal"/>
      </w:pPr>
      <w:r>
        <w:t>En el recurso de amparo núm. 2353-2022, promovido por doña Marelyn Franllely Familia Lugo, contra los siguientes actos de los poderes públicos: (i) la resolución de la Delegada del Gobierno en Madrid, de 21 de agosto de 2019, acordando la expulsión de España de la recurrente y la prohibición de retorno al territorio nacional en el plazo de tres años; (ii) la sentencia del Juzgado de lo Contencioso-Administrativo núm. 4 de Madrid, de 13 de julio de 2020, que desestimó el recurso contencioso-administrativo interpuesto contra aquella resolución; (iii) la sentencia de la Sección Décima de la Sala de lo Contencioso-Administrativo del Tribunal Superior de Justicia de Madrid, de 13 de mayo de 2021, que desestimó el recurso de apelación promovido contra la sentencia anterior; y (iv) la providencia de la Sección Primera de la Sala de lo Contencioso-Administrativo del Tribunal Supremo, de 23 de febrero de 2022, que inadmitió el recurso de casación preparado contra la sentencia de apelación. Han intervenido el abogado del Estado y el Ministerio Fiscal. Ha sido ponente el magistrado don Ricardo Enríquez Sancho.</w:t>
      </w:r>
    </w:p>
    <w:p w14:paraId="58F1A2AA" w14:textId="1A08BA22" w:rsidR="008D479B" w:rsidRDefault="008D479B" w:rsidP="008D479B">
      <w:pPr>
        <w:pStyle w:val="TextoNormal"/>
      </w:pPr>
    </w:p>
    <w:p w14:paraId="3117F032" w14:textId="77777777" w:rsidR="008D479B" w:rsidRDefault="008D479B" w:rsidP="008D479B">
      <w:pPr>
        <w:pStyle w:val="TextoNormalNegritaCentrado"/>
        <w:keepNext/>
      </w:pPr>
      <w:r>
        <w:t>I. Antecedentes</w:t>
      </w:r>
    </w:p>
    <w:p w14:paraId="053D3E7C" w14:textId="1992D592" w:rsidR="008D479B" w:rsidRDefault="008D479B" w:rsidP="008D479B">
      <w:pPr>
        <w:pStyle w:val="TextoNormalNegritaCentrado"/>
        <w:keepNext/>
      </w:pPr>
    </w:p>
    <w:p w14:paraId="5495E001" w14:textId="10109794" w:rsidR="008D479B" w:rsidRDefault="008D479B" w:rsidP="008D479B">
      <w:pPr>
        <w:pStyle w:val="TextoNormal"/>
      </w:pPr>
      <w:r w:rsidRPr="008D479B">
        <w:rPr>
          <w:rStyle w:val="NumeroAFNegritaCaracter"/>
        </w:rPr>
        <w:t>1</w:t>
      </w:r>
      <w:r>
        <w:t>. Mediante escrito presentado en el registro general de este tribunal el 4 de abril de 2022, el procurador de los tribunales don Abelardo Miguel Rodríguez González, actuando en nombre y representación de doña Marelyn Franllely Familia Lugo, bajo la defensa del letrado don Jaime Fabricio Cros Cecilia, interpuso demanda de amparo contra las resoluciones arriba mencionadas.</w:t>
      </w:r>
    </w:p>
    <w:p w14:paraId="2B30569C" w14:textId="77777777" w:rsidR="008D479B" w:rsidRDefault="008D479B" w:rsidP="008D479B">
      <w:pPr>
        <w:pStyle w:val="TextoNormal"/>
      </w:pPr>
    </w:p>
    <w:p w14:paraId="65D64DAD" w14:textId="77777777" w:rsidR="008D479B" w:rsidRDefault="008D479B" w:rsidP="008D479B">
      <w:pPr>
        <w:pStyle w:val="TextoNormal"/>
      </w:pPr>
      <w:r w:rsidRPr="008D479B">
        <w:rPr>
          <w:rStyle w:val="NumeroAFNegritaCaracter"/>
        </w:rPr>
        <w:t>2</w:t>
      </w:r>
      <w:r>
        <w:t>. Los hechos con relevancia para la resolución del presente recurso de amparo y a los que se refiere la demanda presentada, son los siguientes:</w:t>
      </w:r>
    </w:p>
    <w:p w14:paraId="5D799E08" w14:textId="77777777" w:rsidR="008D479B" w:rsidRDefault="008D479B" w:rsidP="008D479B">
      <w:pPr>
        <w:pStyle w:val="TextoNormal"/>
      </w:pPr>
    </w:p>
    <w:p w14:paraId="71044464" w14:textId="77777777" w:rsidR="008D479B" w:rsidRDefault="008D479B" w:rsidP="008D479B">
      <w:pPr>
        <w:pStyle w:val="TextoNormal"/>
      </w:pPr>
      <w:r>
        <w:t>a) Con fecha 21 de agosto de 2019, la delegada del Gobierno en Madrid (expediente núm. 280020190012635) decretó la expulsión de España de la recurrente, nacional de República Dominicana, con la prohibición de poder retornar al territorio nacional en un plazo de tres años “a contar desde la fecha en que se lleve a efecto”. Se le atribuye la comisión de una infracción grave prevista en el art. 53.1 a) de la Ley Orgánica 4/2000, de 11 de enero, sobre derechos y libertades de los extranjeros en España y su integración social (LOEx), esto es: “encontrarse irregularmente en territorio español, por no haber obtenido la prórroga de estancia, carecer de autorización de residencia o tener caducada más de tres meses la mencionada autorización, y siempre que el interesado no hubiere solicitado la renovación de la misma en el plazo previsto reglamentariamente”. Conforme a los hechos que describe la resolución:</w:t>
      </w:r>
    </w:p>
    <w:p w14:paraId="37E57E50" w14:textId="77777777" w:rsidR="008D479B" w:rsidRDefault="008D479B" w:rsidP="008D479B">
      <w:pPr>
        <w:pStyle w:val="TextoNormal"/>
      </w:pPr>
    </w:p>
    <w:p w14:paraId="2806CA85" w14:textId="77777777" w:rsidR="008D479B" w:rsidRDefault="008D479B" w:rsidP="008D479B">
      <w:pPr>
        <w:pStyle w:val="TextoNormal"/>
      </w:pPr>
      <w:r>
        <w:t>“Al ser requerido por fuerzas policiales, el día 30/04/2019 para proceder a su identificación y tras las actuaciones llevadas a cabo con posterioridad, se ha comprobado que no dispone de documento alguno que acredite la situación de estancia o residencia legal en España.</w:t>
      </w:r>
    </w:p>
    <w:p w14:paraId="7764B1C1" w14:textId="77777777" w:rsidR="008D479B" w:rsidRDefault="008D479B" w:rsidP="008D479B">
      <w:pPr>
        <w:pStyle w:val="TextoNormal"/>
      </w:pPr>
    </w:p>
    <w:p w14:paraId="54F66B44" w14:textId="77777777" w:rsidR="008D479B" w:rsidRDefault="008D479B" w:rsidP="008D479B">
      <w:pPr>
        <w:pStyle w:val="TextoNormal"/>
      </w:pPr>
      <w:r>
        <w:t>[…] comprobadas las bases de datos de extranjeros de este Centro así como de la Dirección General de la Policía no consta que haya solicitado y se halle pendiente de resolver ninguna solicitud de autorización de residencia o trabajo, no acreditándose por otra parte que tenga un especial arraigo familiar o social en nuestro país”.</w:t>
      </w:r>
    </w:p>
    <w:p w14:paraId="541F3A8F" w14:textId="77777777" w:rsidR="008D479B" w:rsidRDefault="008D479B" w:rsidP="008D479B">
      <w:pPr>
        <w:pStyle w:val="TextoNormal"/>
      </w:pPr>
    </w:p>
    <w:p w14:paraId="6C2F1B2F" w14:textId="77777777" w:rsidR="008D479B" w:rsidRDefault="008D479B" w:rsidP="008D479B">
      <w:pPr>
        <w:pStyle w:val="TextoNormal"/>
      </w:pPr>
      <w:r>
        <w:t>b) Contra la resolución de expulsión formalizó recurso contencioso-administrativo.</w:t>
      </w:r>
    </w:p>
    <w:p w14:paraId="456024D2" w14:textId="77777777" w:rsidR="008D479B" w:rsidRDefault="008D479B" w:rsidP="008D479B">
      <w:pPr>
        <w:pStyle w:val="TextoNormal"/>
      </w:pPr>
    </w:p>
    <w:p w14:paraId="7D8145F8" w14:textId="77777777" w:rsidR="008D479B" w:rsidRDefault="008D479B" w:rsidP="008D479B">
      <w:pPr>
        <w:pStyle w:val="TextoNormal"/>
      </w:pPr>
      <w:r>
        <w:t>(i) Se alega en la demanda en primer lugar la falta de motivación del acto impugnado, toda vez que de los arts. 53.1 a), 57.1 y 55.3 LOEx se deriva que la sanción aplicable por estancia ilegal en España es en principio la de multa, y que para poder imponer la de expulsión resulta necesario que la administración motive de forma individualizada el porqué de su procedencia, cosa que no se ha hecho aquí. Se refiere luego a la sentencia dictada por el Tribunal de Justicia de la Unión Europea el 23 de abril de 2015, asunto C-38/14, en interpretación de la Directiva 2008/115/CE, del Parlamento Europeo y del Consejo, de 16 de diciembre de 2008, “relativa a normas y procedimientos comunes en los Estados miembros para el retorno de los nacionales de terceros países en situación irregular", también conocida como Directiva de retorno. Argumenta la demanda que esta sentencia no modifica el criterio que había sustentado el propio Tribunal Europeo en resoluciones anteriores, aceptando la posibilidad de que la estancia ilegal se pueda castigar con una multa (cita la STJUE de 6 de diciembre de 2012, asunto C-430/11, relativo al régimen sancionador en Italia), y advierte que no hay respecto de la recurrente ningún dato negativo que justifique su expulsión.</w:t>
      </w:r>
    </w:p>
    <w:p w14:paraId="63C14725" w14:textId="77777777" w:rsidR="008D479B" w:rsidRDefault="008D479B" w:rsidP="008D479B">
      <w:pPr>
        <w:pStyle w:val="TextoNormal"/>
      </w:pPr>
    </w:p>
    <w:p w14:paraId="4791553D" w14:textId="77777777" w:rsidR="008D479B" w:rsidRDefault="008D479B" w:rsidP="008D479B">
      <w:pPr>
        <w:pStyle w:val="TextoNormal"/>
      </w:pPr>
      <w:r>
        <w:t>(ii) En segundo lugar se alega en la demanda la vulneración del “criterio o principio de proporcionalidad”, en el sentido de que si se estimase que la recurrente había cometido el ilícito que se le atribuye, la sanción que debe aplicársele ha de ser la más favorable, conforme al mencionado criterio de proporcionalidad al que se refiere el art. 55.3 LOEx. Señala también que la medida de expulsión no aparece como “objetivamente imprescindible para garantizar unos hipotéticos bienes o intereses generales o constitucionales”, con cita de las SSTC 207/1996, de 16 de diciembre, y 161/1997, de 2 de octubre, sobre aplicación del principio de proporcionalidad.</w:t>
      </w:r>
    </w:p>
    <w:p w14:paraId="1B4AAF51" w14:textId="77777777" w:rsidR="008D479B" w:rsidRDefault="008D479B" w:rsidP="008D479B">
      <w:pPr>
        <w:pStyle w:val="TextoNormal"/>
      </w:pPr>
    </w:p>
    <w:p w14:paraId="34379147" w14:textId="77777777" w:rsidR="008D479B" w:rsidRDefault="008D479B" w:rsidP="008D479B">
      <w:pPr>
        <w:pStyle w:val="TextoNormal"/>
      </w:pPr>
      <w:r>
        <w:t>En todo caso, sostiene la recurrente que concurre el supuesto del art. 5 b) de la Directiva de retorno en cuanto a la consideración del factor “vida familiar” para ponderar si procede o no la devolución (expulsión), defendiendo que tiene arraigo en España, “social, laboral y familiar (más de cuatro años en España, contando con trabajo y familia”). En el bloque de los hechos de la demanda se dice que se presentó un informe de arraigo para solicitar autorización de residencia temporal; además, remacha, en esos cuatro años no ha cometido ningún delito ni ilícito.</w:t>
      </w:r>
    </w:p>
    <w:p w14:paraId="24A15240" w14:textId="77777777" w:rsidR="008D479B" w:rsidRDefault="008D479B" w:rsidP="008D479B">
      <w:pPr>
        <w:pStyle w:val="TextoNormal"/>
      </w:pPr>
    </w:p>
    <w:p w14:paraId="43712292" w14:textId="77777777" w:rsidR="008D479B" w:rsidRDefault="008D479B" w:rsidP="008D479B">
      <w:pPr>
        <w:pStyle w:val="TextoNormal"/>
      </w:pPr>
      <w:r>
        <w:t>En el suplico se solicita que se dicte sentencia que declare no ser conforme a Derecho la resolución impugnada, revocándola, “no imponiendo ninguna sanción”; y “se conceda al ciudadano extranjero una autorización de residencia por circunstancias excepcionales de arraigo social”.</w:t>
      </w:r>
    </w:p>
    <w:p w14:paraId="77D9DBF3" w14:textId="77777777" w:rsidR="008D479B" w:rsidRDefault="008D479B" w:rsidP="008D479B">
      <w:pPr>
        <w:pStyle w:val="TextoNormal"/>
      </w:pPr>
    </w:p>
    <w:p w14:paraId="7D4AAD8B" w14:textId="77777777" w:rsidR="008D479B" w:rsidRDefault="008D479B" w:rsidP="008D479B">
      <w:pPr>
        <w:pStyle w:val="TextoNormal"/>
      </w:pPr>
      <w:r>
        <w:t>c) El Juzgado de lo Contencioso-Administrativo núm. 4 de Madrid, encargado del caso (procedimiento abreviado núm. 496-2019 —IX—), dictó sentencia el 13 de julio de 2020 desestimando el recurso contencioso-administrativo interpuesto, “al considerar ajustada a Derecho la resolución administrativa impugnada”. Basa su decisión, ante todo, en el fundamento de Derecho segundo, sentando como principio que:</w:t>
      </w:r>
    </w:p>
    <w:p w14:paraId="0E5BD3C3" w14:textId="77777777" w:rsidR="008D479B" w:rsidRDefault="008D479B" w:rsidP="008D479B">
      <w:pPr>
        <w:pStyle w:val="TextoNormal"/>
      </w:pPr>
    </w:p>
    <w:p w14:paraId="152180DE" w14:textId="77777777" w:rsidR="008D479B" w:rsidRDefault="008D479B" w:rsidP="008D479B">
      <w:pPr>
        <w:pStyle w:val="TextoNormal"/>
      </w:pPr>
      <w:r>
        <w:t>“De conformidad con lo establecido en el artículo 57.1 de la citada ley orgánica, la infracción grave prevista en el artículo 53.1 a) de esa misma Ley puede ser sancionada, ‘en atención al principio de proporcionalidad’, bien con multa de 501 hasta 10 000 € (art. 55.1 b de la propia LO 4/2000) o bien con la expulsión, sanción esta que llevará consigo la prohibición de entrada en territorio español por un período que no excederá de cinco años (art. 58.1) o de diez, en los supuestos excepcionales contemplados en el artículo 58.2 de la misma ley”.</w:t>
      </w:r>
    </w:p>
    <w:p w14:paraId="21C0E585" w14:textId="77777777" w:rsidR="008D479B" w:rsidRDefault="008D479B" w:rsidP="008D479B">
      <w:pPr>
        <w:pStyle w:val="TextoNormal"/>
      </w:pPr>
    </w:p>
    <w:p w14:paraId="365AE3D8" w14:textId="77777777" w:rsidR="008D479B" w:rsidRDefault="008D479B" w:rsidP="008D479B">
      <w:pPr>
        <w:pStyle w:val="TextoNormal"/>
      </w:pPr>
      <w:r>
        <w:t>Sin embargo, razona en el fundamento de Derecho tercero, que a resultas de lo resuelto por la STJUE de 23 de abril de 2015, asunto C-38/14, ha de entenderse que:</w:t>
      </w:r>
    </w:p>
    <w:p w14:paraId="51D4856F" w14:textId="77777777" w:rsidR="008D479B" w:rsidRDefault="008D479B" w:rsidP="008D479B">
      <w:pPr>
        <w:pStyle w:val="TextoNormal"/>
      </w:pPr>
    </w:p>
    <w:p w14:paraId="52384B66" w14:textId="77777777" w:rsidR="008D479B" w:rsidRDefault="008D479B" w:rsidP="008D479B">
      <w:pPr>
        <w:pStyle w:val="TextoNormal"/>
      </w:pPr>
      <w:r>
        <w:t>“Declarada así la oposición de la normativa comunitaria —Directiva 2008/115— a la posibilidad de sancionar, únicamente, con multa la conducta tipificada como infracción grave por el artículo 53.1 a) de la LO 4/2000 y dado el carácter vinculante y preferente de las disposiciones comunitarias, que obliga a los jueces nacionales a su aplicación prevalente (sentencia del Tribunal de Justicia de las Comunidades Europeas de 11 de julio de 1991), la pretensión de la parte recurrente ha de ser desestimada, ya que, como se ha dicho antes, esa pretensión persigue, precisamente, la sustitución de la sanción de expulsión por la de multa, en atención al principio de proporcionalidad, teniendo en cuenta que: (i) desaparecida la posibilidad de sustituir la sanción de expulsión por una multa, queda desprovista de toda eficacia la alegación referida a una supuesta falta de motivación; (ii) que las circunstancias contempladas en el artículo 5 de la citada Directiva (interés superior del niño, vida familiar o estado de salud del extranjero), que en este caso ni siquiera se intentan acreditar porque prácticamente tampoco se alegan, han de ponerse en relación con el principio de no devolución (como así lo pone de manifiesto el propio título de dicho precepto), principio del derecho internacional que no resulta de aplicación a este supuesto, por referirse a la prohibición impuesta a los países que reciben refugiados de devolverlos a otro país en el que corran el riesgo de ser perseguidos (por motivos de raza, religión, nacionalidad, etc.), lo que no es el caso porque nada de eso se ha acreditado; (iii) que una vez dictada la decisión de retorno, la Directiva 2008/115 solamente permite prorrogar el plazo de salida ‘durante un tiempo prudencial’ atendidas las circunstancias concretas del caso, tales como la duración de la estancia, la existencia de niños escolarizados o la existencia de vínculos familiares y sociales (art. 7.2), en ningún caso la permanencia indefinida en situación irregular con fundamento en alguna de esas circunstancias, siendo así que en este supuesto no se está solicitando esa prórroga, sino directamente la anulación de la orden de expulsión, lo que no puede ser acogido por vulnerar lo dispuesto en la mencionada Directiva y representar una merma considerable del efecto útil que con ella se persigue; y (iv) que en virtud del principio de ‘eficacia directa vertical’, la falta de trasposición de una directiva comunitaria no puede servir de excusa para su inaplicación, cuando, como es el caso de la Directiva 2008/115, su contenido sea claro, preciso e incondicional, en el sentido de establecer una obligación concreta y desprovista de ambigüedad (artículos 10 y 249 del Tratado de la Unión Europea y sentencias del Tribunal de Justicia de las Comunidades Europeas 152/1984 y 190/87, entre otras), principio que resulta aplicable, no solo para el supuesto de falta de trasposición, sino también para cuando, efectuada la trasposición, se haya realizado de forma incompleta o deficiente en la legislación interna, como sería el caso”.</w:t>
      </w:r>
    </w:p>
    <w:p w14:paraId="331C8A57" w14:textId="77777777" w:rsidR="008D479B" w:rsidRDefault="008D479B" w:rsidP="008D479B">
      <w:pPr>
        <w:pStyle w:val="TextoNormal"/>
      </w:pPr>
    </w:p>
    <w:p w14:paraId="31C438C4" w14:textId="77777777" w:rsidR="008D479B" w:rsidRDefault="008D479B" w:rsidP="008D479B">
      <w:pPr>
        <w:pStyle w:val="TextoNormal"/>
      </w:pPr>
      <w:r>
        <w:t>Criterio de la STJUE de 23 de abril de 2015 que, añade, ha sido acogido por la Sala Tercera del Tribunal en una sentencia de 28 de enero de 2019. Volviendo a las actuaciones relativas a la aquí recurrente, afirma que:</w:t>
      </w:r>
    </w:p>
    <w:p w14:paraId="771D9AD6" w14:textId="77777777" w:rsidR="008D479B" w:rsidRDefault="008D479B" w:rsidP="008D479B">
      <w:pPr>
        <w:pStyle w:val="TextoNormal"/>
      </w:pPr>
    </w:p>
    <w:p w14:paraId="641C96F7" w14:textId="77777777" w:rsidR="008D479B" w:rsidRDefault="008D479B" w:rsidP="008D479B">
      <w:pPr>
        <w:pStyle w:val="TextoNormal"/>
      </w:pPr>
      <w:r>
        <w:t>“Por último, ni consta en el expediente administrativo, ni se ha acreditado por la parte recurrente, que la demandante estuviera ‘al tiempo de la incoación pendiente de resolverse una solicitud de residencia o trabajo’, como se dice en la demanda (por el contrario, lo que figura en el expediente es que fue detenida por agredirse ella y su pareja mutuamente y, en el acuerdo de iniciación del procedimiento de expulsión, que consultados los servicios policiales, le constaba una detención anterior por atentado a agentes de la autoridad y un procedimiento de expulsión archivado, ‘careciendo por lo tanto de cualquier tipo de permiso de residencia legal en España’)”.</w:t>
      </w:r>
    </w:p>
    <w:p w14:paraId="0770A5D6" w14:textId="77777777" w:rsidR="008D479B" w:rsidRDefault="008D479B" w:rsidP="008D479B">
      <w:pPr>
        <w:pStyle w:val="TextoNormal"/>
      </w:pPr>
    </w:p>
    <w:p w14:paraId="6FBC2104" w14:textId="77777777" w:rsidR="008D479B" w:rsidRDefault="008D479B" w:rsidP="008D479B">
      <w:pPr>
        <w:pStyle w:val="TextoNormal"/>
      </w:pPr>
      <w:r>
        <w:t>d) Contra la sentencia de primera instancia la aquí demandante de amparo interpuso recurso de apelación. En dicho escrito alegó que “la sentencia no ha justificado en sus fundamentos de Derecho que la resolución administrativa haya sido debidamente motivada en cuanto a la imposición de una medida tan gravosa y excepcional como la expulsión de territorio nacional, vulneración del principio de proporcionalidad que en este caso es más que flagrante. La falta de justificación de la necesidad objetiva de la medida para asegurar un bien o interés constitucional y la concurrencia de unas circunstancias que conforman que la sanción de expulsión acordada sea totalmente injustificada y desproporcionada”.</w:t>
      </w:r>
    </w:p>
    <w:p w14:paraId="2E2527B7" w14:textId="77777777" w:rsidR="008D479B" w:rsidRDefault="008D479B" w:rsidP="008D479B">
      <w:pPr>
        <w:pStyle w:val="TextoNormal"/>
      </w:pPr>
    </w:p>
    <w:p w14:paraId="73624E47" w14:textId="77777777" w:rsidR="008D479B" w:rsidRDefault="008D479B" w:rsidP="008D479B">
      <w:pPr>
        <w:pStyle w:val="TextoNormal"/>
      </w:pPr>
      <w:r>
        <w:t>A continuación recuerda que como ya adujo dicha parte en la demanda de primera instancia, la resolución administrativa no motivó la medida de expulsión impuesta a la recurrente, cuando lo procedente en su caso era una multa ya que “[e]n el presente caso, ninguna mención se ha hecho a ninguna otra circunstancia que no sea la mera permanencia irregular del interesado, sin que conste en el expediente administrativo ningún otro hecho o circunstancia agravante”. E insiste en que “no habiéndose motivado ni por la resolución administrativa ni por la sentencia cuál es la causa que llevó a imponer la sanción de expulsión, se ha incurrido en una causa de nulidad de la resolución recurrida”.</w:t>
      </w:r>
    </w:p>
    <w:p w14:paraId="4EAFEC33" w14:textId="77777777" w:rsidR="008D479B" w:rsidRDefault="008D479B" w:rsidP="008D479B">
      <w:pPr>
        <w:pStyle w:val="TextoNormal"/>
      </w:pPr>
    </w:p>
    <w:p w14:paraId="35F1DFFB" w14:textId="77777777" w:rsidR="008D479B" w:rsidRDefault="008D479B" w:rsidP="008D479B">
      <w:pPr>
        <w:pStyle w:val="TextoNormal"/>
      </w:pPr>
      <w:r>
        <w:t>Sobre la STJUE de 23 de abril de 2015 trae a colación lo afirmado en la demanda de primera instancia, respecto a que no modificó el criterio precedente del propio Tribunal de Justicia que permitía sancionar con multa (de nuevo con cita de la STJUE de 6 de diciembre de 2012, asunto C-430/11). Reconociendo que hay incompatibilidad entre la Directiva 2008/115/CE y su transposición en 2009 en la LOEx, reitera la recurrente la necesidad de una interpretación favorable a la aplicación de la sanción menos severa, la de multa, que es en nuestro ordenamiento la sanción principal, sin que resulte posible esgrimir una eventual eficacia directa de la Directiva de retorno pues “no puede generar obligaciones para el particular frente al Estado que no la ejecutó en plazo o de forma adecuada”. Añade que la imposición de una multa permite al afectado regularizar su situación, lo que no sería posible si, como impone la Directiva pero no la LOEx, el procedimiento tuviera que acabar en expulsión; y “volviendo a la Directiva de retorno, creemos que interpretar, como ha hecho aquí la sentencia apelada, la normativa española en el sentido de que siempre que un extranjero es encontrado en situación irregular procede la sanción de expulsión, es algo que excede del margen de discrecionalidad que conceden las herramientas hermenéuticas contempladas en nuestro Derecho a los operadores jurídicos”.</w:t>
      </w:r>
    </w:p>
    <w:p w14:paraId="460E3B92" w14:textId="77777777" w:rsidR="008D479B" w:rsidRDefault="008D479B" w:rsidP="008D479B">
      <w:pPr>
        <w:pStyle w:val="TextoNormal"/>
      </w:pPr>
    </w:p>
    <w:p w14:paraId="2520FDAC" w14:textId="77777777" w:rsidR="008D479B" w:rsidRDefault="008D479B" w:rsidP="008D479B">
      <w:pPr>
        <w:pStyle w:val="TextoNormal"/>
      </w:pPr>
      <w:r>
        <w:t>Afirma también la recurrente que “dejar inaplicable el Derecho interno, ya sea mediante la aplicación directa de la Directiva, ya sea mediante una interpretación conforme […] propugnando la imposibilidad de no sancionar nunca con multa supuestos de estancia irregular, supondría una violación de los principios de seguridad jurídica y legalidad sancionadora, recogido este último en los artículos 49 de la Carta de los derechos fundamentales de la Unión Europea y 25 de la Constitución Española, en la medida en que supone la imposición de la sanción o medida de expulsión del territorio nacional, siempre y en todo caso, más gravosa que la sanción de multa inicialmente prevista por la ley española, que solo puede ser sustituida por la expulsión cuando así venga impuesto por la aplicación del principio de proporcionalidad”.</w:t>
      </w:r>
    </w:p>
    <w:p w14:paraId="771597E4" w14:textId="77777777" w:rsidR="008D479B" w:rsidRDefault="008D479B" w:rsidP="008D479B">
      <w:pPr>
        <w:pStyle w:val="TextoNormal"/>
      </w:pPr>
    </w:p>
    <w:p w14:paraId="779DCBE6" w14:textId="77777777" w:rsidR="008D479B" w:rsidRDefault="008D479B" w:rsidP="008D479B">
      <w:pPr>
        <w:pStyle w:val="TextoNormal"/>
      </w:pPr>
      <w:r>
        <w:t>Centrado en este último principio —en la eventualidad de que se considere a la recurrente autora de la infracción que le imputa la administración—, se reitera la cita del art. 55.3 LOEx; que la medida de expulsión era desproporcionada; con su imposición no se satisfizo un bien o interés constitucional; y que la sentencia apelada incurre en incongruencia omisiva al no pronunciarse sobre esto, de nuevo —como en la demanda de instancia— con cita de las SSTC 207/1996 y 161/1997. Y reitera igualmente que procedía la aplicación del art. 5 b) de la Directiva de retorno, al haber acreditado su arraigo familiar, laboral y social.</w:t>
      </w:r>
    </w:p>
    <w:p w14:paraId="67736F99" w14:textId="77777777" w:rsidR="008D479B" w:rsidRDefault="008D479B" w:rsidP="008D479B">
      <w:pPr>
        <w:pStyle w:val="TextoNormal"/>
      </w:pPr>
    </w:p>
    <w:p w14:paraId="38B8F04F" w14:textId="77777777" w:rsidR="008D479B" w:rsidRDefault="008D479B" w:rsidP="008D479B">
      <w:pPr>
        <w:pStyle w:val="TextoNormal"/>
      </w:pPr>
      <w:r>
        <w:t>El suplico del escrito de apelación solicita una sentencia estimatoria que acuerde la nulidad de la resolución de la Delegada del Gobierno en Madrid que decretó la expulsión de la recurrente, con prohibición de retorno en el plazo de tres años; y subsidiariamente se acuerde la imposición de una multa en su cuantía mínima.</w:t>
      </w:r>
    </w:p>
    <w:p w14:paraId="40D731B5" w14:textId="77777777" w:rsidR="008D479B" w:rsidRDefault="008D479B" w:rsidP="008D479B">
      <w:pPr>
        <w:pStyle w:val="TextoNormal"/>
      </w:pPr>
    </w:p>
    <w:p w14:paraId="6D42A990" w14:textId="77777777" w:rsidR="008D479B" w:rsidRDefault="008D479B" w:rsidP="008D479B">
      <w:pPr>
        <w:pStyle w:val="TextoNormal"/>
      </w:pPr>
      <w:r>
        <w:t>e) La Sección Décima de la Sala de lo Contencioso-Administrativo del Tribunal Superior de Justicia de Madrid, en la que recayó el conocimiento del asunto (recurso de apelación núm. 875-2020), tras la sustanciación de sus trámites dictó sentencia el 13 de mayo de 2021 en sentido desestimatorio, confirmando las resoluciones impugnadas “por ser plenamente ajustadas a derecho”.</w:t>
      </w:r>
    </w:p>
    <w:p w14:paraId="2CECCF7F" w14:textId="77777777" w:rsidR="008D479B" w:rsidRDefault="008D479B" w:rsidP="008D479B">
      <w:pPr>
        <w:pStyle w:val="TextoNormal"/>
      </w:pPr>
    </w:p>
    <w:p w14:paraId="395C44DF" w14:textId="77777777" w:rsidR="008D479B" w:rsidRDefault="008D479B" w:rsidP="008D479B">
      <w:pPr>
        <w:pStyle w:val="TextoNormal"/>
      </w:pPr>
      <w:r>
        <w:t>Después de pasar revista en su fundamento de Derecho cuarto a diversas resoluciones del Tribunal Supremo dictadas entre los años 2006 a 2008, las cuales postulaban que la imposición de la expulsión por estancia irregular en España, “como sanción más grave y secundaria”, precisaba de una motivación expresa que justificase su aplicación en el caso concreto, advierte sin embargo la sentencia de apelación en el fundamento de Derecho quinto, que como resultado a su vez de la STJUE de 23 de abril de 2015, recaída en un procedimiento prejudicial instado por el Tribunal Superior de Justicia del País Vasco en relación con la aplicación de la Directiva de retorno, el criterio derivado de dicha sentencia es que solo cabía la expulsión en los supuestos del art. 53.1 a) LOEx, salvo que concurra alguna de las excepciones de los apartados 2 a 5 del art. 6 de dicha Directiva, o las de su art. 5; criterio asumido por la sentencia del Tribunal Supremo 980/2018, de 12 de junio.</w:t>
      </w:r>
    </w:p>
    <w:p w14:paraId="3D380F2D" w14:textId="77777777" w:rsidR="008D479B" w:rsidRDefault="008D479B" w:rsidP="008D479B">
      <w:pPr>
        <w:pStyle w:val="TextoNormal"/>
      </w:pPr>
    </w:p>
    <w:p w14:paraId="2C3B7D27" w14:textId="77777777" w:rsidR="008D479B" w:rsidRDefault="008D479B" w:rsidP="008D479B">
      <w:pPr>
        <w:pStyle w:val="TextoNormal"/>
      </w:pPr>
      <w:r>
        <w:t>Se refiere a continuación la sentencia de apelación (fundamento sexto) a la STJUE de 8 de octubre de 2020, dictada en respuesta a una cuestión prejudicial planteada por la Sala de lo Contencioso-Administrativo del Tribunal Superior de Justicia de Castilla-La Mancha, fijando doctrina sobre la que a su vez se ha pronunciado la sentencia del Tribunal Supremo de 17 de marzo de 2021 —la cual reproduce en varios pasajes—. Sostiene que el criterio ahora imperante es que si bien no cabe sustituir la expulsión por una multa en casos de estancia irregular, para poder imponer la expulsión se exige en todo caso acreditar la concurrencia de circunstancias agravantes que justifiquen la proporcionalidad de la medida. Señala la misma sentencia de apelación algunos supuestos ejemplificativos de lo que pueden ser esas circunstancias agravantes, y tras ello afirma:</w:t>
      </w:r>
    </w:p>
    <w:p w14:paraId="1C22FCDD" w14:textId="77777777" w:rsidR="008D479B" w:rsidRDefault="008D479B" w:rsidP="008D479B">
      <w:pPr>
        <w:pStyle w:val="TextoNormal"/>
      </w:pPr>
    </w:p>
    <w:p w14:paraId="584779F1" w14:textId="77777777" w:rsidR="008D479B" w:rsidRDefault="008D479B" w:rsidP="008D479B">
      <w:pPr>
        <w:pStyle w:val="TextoNormal"/>
      </w:pPr>
      <w:r>
        <w:t>“La interpretación del artículo 57.1 de la Ley Orgánica de extranjería conforme a la Directiva 2008/115/CE del Parlamento Europeo y del Consejo, de 16 de diciembre de 2008, relativa a normas y procedimientos comunes en los Estados miembros para el retorno de los nacionales de terceros países en situación irregular, y a las sentencias del Tribunal de Justicia de la Unión Europea de 23 de abril de 2015 y de 8 de octubre de 2020, determina que esta Sección abandone el criterio interpretativo adoptado en sus sentencias 732/2020 y 777/2019, ambas de 23 de octubre, y en las dictadas con posterioridad, en virtud de los principios de unidad de doctrina, seguridad jurídica e igualdad en la aplicación judicial de la ley (artículos 9.3 y 14 de la Constitución Española)”.</w:t>
      </w:r>
    </w:p>
    <w:p w14:paraId="2071F6EB" w14:textId="77777777" w:rsidR="008D479B" w:rsidRDefault="008D479B" w:rsidP="008D479B">
      <w:pPr>
        <w:pStyle w:val="TextoNormal"/>
      </w:pPr>
    </w:p>
    <w:p w14:paraId="419CB9A5" w14:textId="77777777" w:rsidR="008D479B" w:rsidRDefault="008D479B" w:rsidP="008D479B">
      <w:pPr>
        <w:pStyle w:val="TextoNormal"/>
      </w:pPr>
      <w:r>
        <w:t>A continuación en el fundamento de derecho séptimo, la sentencia desestima la apelación razonando lo que sigue:</w:t>
      </w:r>
    </w:p>
    <w:p w14:paraId="4D6A79A0" w14:textId="77777777" w:rsidR="008D479B" w:rsidRDefault="008D479B" w:rsidP="008D479B">
      <w:pPr>
        <w:pStyle w:val="TextoNormal"/>
      </w:pPr>
    </w:p>
    <w:p w14:paraId="3186A14B" w14:textId="77777777" w:rsidR="008D479B" w:rsidRDefault="008D479B" w:rsidP="008D479B">
      <w:pPr>
        <w:pStyle w:val="TextoNormal"/>
      </w:pPr>
      <w:r>
        <w:t>“Siendo la proporcionalidad de la expulsión el núcleo esencial de la cuestión a debatir , y puesto que, de acuerdo con la sentencia del Tribunal Supremo de 17 de marzo de 2021, la orden de expulsión requiere una motivación específica, y distinta o complementaria de la pura permanencia ilegal, que valore de manera individualizada las circunstancias de cada caso, en la medida en que aparezcan claramente constatadas, y los derechos afectados por la decisión, es preciso tener en consideración que del expediente y de los autos resultan los siguientes hechos:</w:t>
      </w:r>
    </w:p>
    <w:p w14:paraId="69FA621F" w14:textId="77777777" w:rsidR="008D479B" w:rsidRDefault="008D479B" w:rsidP="008D479B">
      <w:pPr>
        <w:pStyle w:val="TextoNormal"/>
      </w:pPr>
    </w:p>
    <w:p w14:paraId="16F0563C" w14:textId="77777777" w:rsidR="008D479B" w:rsidRDefault="008D479B" w:rsidP="008D479B">
      <w:pPr>
        <w:pStyle w:val="TextoNormal"/>
      </w:pPr>
      <w:r>
        <w:t>La recurrente y ahora apelante, doña Merelyn Franllely Familia Lugo, fue detenida el 30 de abril de 2019, por una agresión entre ella y quien fuera su pareja sentimental, por lo que se siguieron diligencias núm. 3020-19 de la comisaría del Cuerpo Nacional de Policía de Ciudad Lineal, como quiera que se encontraba en situación irregular se le incoó un procedimiento de expulsión. A la misma le constaba, al margen de la anterior, otra detención en fecha 9 de junio de 2018, por la misma Comisaría del Cuerpo Nacional de Policía de Ciudad Lineal por atentado y/o resistencia y desobediencia en fecha 9 de junio de 2018, momento en el que se le incoó un primer procedimiento de expulsión que consta archivado, no habiendo intentado con anterioridad a la segunda detención ningún procedimiento de regularización. En las alegaciones que formuló en el expediente únicamente aludió al arraigo que tenía con la persona que había participado en la disputa del 30 de abril de 2019. Si bien afirma que ha realizado trabajos en España, no nos acredita mínimamente la realidad de los mismos; considera la Sala que a estos efectos bastaba con demostrarnos la existencia de unos ingresos con periodicidad, que podían ser demostrados con los extractos bancarios o con la demostración de envíos de remesas a su país de origen, no habiéndose hecho ni una cosa ni otra. Se afirma que convive con familiares pero tampoco podemos dar por acreditado dicho dato, pues el certificado de empadronamiento que se aportó (folio quince de los autos) es un certificado individual que únicamente permite constatar el domicilio de la apelante, pero en modo alguno los vínculos familiares con otras personas que es, en definitiva, el grueso del alegato impugnatorio de la apelante. Se aporta también un contrato de trabajo y el recibo de presentación de la solicitud de un informe de arraigo social (no el informe) pero ambos documentos son de fecha posterior, no ya a la incoación del expediente de expulsión, sino a la propia resolución recurrida, con lo que carecen de virtualidad a los efectos pretendidos por la parte apelante.</w:t>
      </w:r>
    </w:p>
    <w:p w14:paraId="4A0DB875" w14:textId="77777777" w:rsidR="008D479B" w:rsidRDefault="008D479B" w:rsidP="008D479B">
      <w:pPr>
        <w:pStyle w:val="TextoNormal"/>
      </w:pPr>
    </w:p>
    <w:p w14:paraId="2EB2F7D1" w14:textId="77777777" w:rsidR="008D479B" w:rsidRDefault="008D479B" w:rsidP="008D479B">
      <w:pPr>
        <w:pStyle w:val="TextoNormal"/>
      </w:pPr>
      <w:r>
        <w:t>Ante esta ausencia de acreditación, cuya carga correspondía a la apelante, no nos cabe más que considerar acertada tanto la decisión administrativa como la del magistrado de instancia, que ponderó minuciosa y adecuadamente las circunstancias concurrentes, sin que quepa, como ya se ha razonado más arriba, sustituir la expulsión por la sanción de multa, tal y como pretende la representación del apelante, pues como decimos, no se ha acreditado, si quiera sea de un modo mínimo, la existencia de un principio de ‘vida familiar’ que pueda ser amparado, al amparo de lo previsto en el art. 5 de la Directiva 2008/115/CE. Empero, si nos consta que en el momento de su detención el recurrente se encontraba indocumentado, desconociéndose cómo y cuándo entró en territorio nacional, lo cual, como hemos analizado arriba, es elemento suficiente por sí solo, ante la carencia de otros, para poder decretar la expulsión del apelante.</w:t>
      </w:r>
    </w:p>
    <w:p w14:paraId="1CDB5A5A" w14:textId="77777777" w:rsidR="008D479B" w:rsidRDefault="008D479B" w:rsidP="008D479B">
      <w:pPr>
        <w:pStyle w:val="TextoNormal"/>
      </w:pPr>
    </w:p>
    <w:p w14:paraId="429002A1" w14:textId="77777777" w:rsidR="008D479B" w:rsidRDefault="008D479B" w:rsidP="008D479B">
      <w:pPr>
        <w:pStyle w:val="TextoNormal"/>
      </w:pPr>
      <w:r>
        <w:t>Por todo lo expuesto, procede la desestimación del presente recurso interpuesto […]”.</w:t>
      </w:r>
    </w:p>
    <w:p w14:paraId="064416CC" w14:textId="77777777" w:rsidR="008D479B" w:rsidRDefault="008D479B" w:rsidP="008D479B">
      <w:pPr>
        <w:pStyle w:val="TextoNormal"/>
      </w:pPr>
    </w:p>
    <w:p w14:paraId="31D00B70" w14:textId="77777777" w:rsidR="008D479B" w:rsidRDefault="008D479B" w:rsidP="008D479B">
      <w:pPr>
        <w:pStyle w:val="TextoNormal"/>
      </w:pPr>
      <w:r>
        <w:t>f) Contra la sentencia del Tribunal Superior de Justicia la misma parte procesal preparó escrito de recurso de casación, en el que entre otros motivos alegó que la resolución judicial recurrida “no explica como la mera existencia de unos antecedentes penales integran de por sí una situación en la recurrente que permite calificar como de ‘circunstancias agravantes’ para entender proporcionada la expulsión cuando a nuestro juicio es del todo desproporcionado por la concurrencia de unos antecedentes policiales de los que no se derivado ninguna condena, ni por tanto un antecedente penal, revelando una inexistencia de una circunstancias agravantes que supongan ni causen riesgo para el orden público, seguridad pública, ni para la seguridad nacional”, lo que supone la vulneración, dice, de los derechos fundamentales a la tutela judicial efectiva (art. 24.1 CE) y a un proceso con todas las garantías (art. 24.2 CE).</w:t>
      </w:r>
    </w:p>
    <w:p w14:paraId="410A3083" w14:textId="77777777" w:rsidR="008D479B" w:rsidRDefault="008D479B" w:rsidP="008D479B">
      <w:pPr>
        <w:pStyle w:val="TextoNormal"/>
      </w:pPr>
    </w:p>
    <w:p w14:paraId="077C1C38" w14:textId="77777777" w:rsidR="008D479B" w:rsidRDefault="008D479B" w:rsidP="008D479B">
      <w:pPr>
        <w:pStyle w:val="TextoNormal"/>
      </w:pPr>
      <w:r>
        <w:t>g) La Sección Primera de la Sala de lo Contencioso-Administrativo del Tribunal Supremo, dictó providencia el 23 de febrero de 2022 (recurso de casación núm. 5464-2021) acordando inadmitir a trámite el recurso de casación interpuesto por los motivos siguientes:</w:t>
      </w:r>
    </w:p>
    <w:p w14:paraId="770D5017" w14:textId="77777777" w:rsidR="008D479B" w:rsidRDefault="008D479B" w:rsidP="008D479B">
      <w:pPr>
        <w:pStyle w:val="TextoNormal"/>
      </w:pPr>
    </w:p>
    <w:p w14:paraId="11F54881" w14:textId="77777777" w:rsidR="008D479B" w:rsidRDefault="008D479B" w:rsidP="008D479B">
      <w:pPr>
        <w:pStyle w:val="TextoNormal"/>
      </w:pPr>
      <w:r>
        <w:t>“1) incumplimiento de las exigencias que el artículo 89.2 de la LJCA impone al escrito de preparación: el apartado d), por contener un insuficiente juicio de relevancia; y el apartado f), por falta de fundamentación suficiente, con singular referencia al caso, de la concurrencia de los supuestos previstos en el art. 88.2 c) y en el art. 88.3 a) LJCA —invocados—, que permiten apreciar el interés casacional objetivo para la formación de jurisprudencia y la conveniencia de un pronunciamiento de la Sala de lo Contencioso-Administrativo del Tribunal Supremo; sin que, en particular, se haya justificado, respecto del alegado art. 88.3 a), el presupuesto para que opere la presunción que dicho precepto establece, toda vez que no se acompaña el necesario desarrollo argumental que sustente su concurrencia, existiendo además jurisprudencia en relación con la cuestión litigiosa [SSTS de 17 de marzo y 27 de mayo de 2021 (recurso de casación 2870-20 y 1739-20)], que ha sido expresamente recogida por la sentencia recurrida y aplicada al caso examinado; y, 2) carencia, en los términos en los que ha sido preparado el recurso, de interés casacional objetivo para la formación de jurisprudencia, pues, existiendo ya —como se ha dicho— jurisprudencia en relación con la cuestión litigiosa, que ha sido expresamente recogida por la sentencia recurrida y aplicada al caso examinado, lo que realmente se pretende es obtener un pronunciamiento ‘</w:t>
      </w:r>
      <w:r w:rsidRPr="008D479B">
        <w:rPr>
          <w:i/>
        </w:rPr>
        <w:t>ad casum</w:t>
      </w:r>
      <w:r>
        <w:t xml:space="preserve">’, teniendo en cuenta que lo que verdaderamente subyace en el recurso preparado es la discrepancia de la parte recurrente con la apreciación por la sala de apelación de la concurrencia de una circunstancia agravante (que no fue la existencia de antecedentes policiales, como se insiste en la preparación, sino la referida a la indocumentación de la recurrente, desconociéndose cómo y cuándo entró en territorio nacional) añadida a la estancia irregular justificadora de la proporcionalidad de la expulsión acordada, así como respecto de su apreciación de no haberse acreditado ‘vida familiar’, siendo así que el artículo 87 </w:t>
      </w:r>
      <w:r w:rsidRPr="008D479B">
        <w:rPr>
          <w:i/>
        </w:rPr>
        <w:t>bis</w:t>
      </w:r>
      <w:r>
        <w:t>.1 de la LJCA excluye de este recurso extraordinario las cuestiones de hecho”.</w:t>
      </w:r>
    </w:p>
    <w:p w14:paraId="1F064724" w14:textId="77777777" w:rsidR="008D479B" w:rsidRDefault="008D479B" w:rsidP="008D479B">
      <w:pPr>
        <w:pStyle w:val="TextoNormal"/>
      </w:pPr>
    </w:p>
    <w:p w14:paraId="16C4F464" w14:textId="4EE3F8AF" w:rsidR="008D479B" w:rsidRDefault="008D479B" w:rsidP="008D479B">
      <w:pPr>
        <w:pStyle w:val="TextoNormal"/>
      </w:pPr>
      <w:r>
        <w:t>h) Notificada esta última resolución, se promueve el presente recurso de amparo.</w:t>
      </w:r>
    </w:p>
    <w:p w14:paraId="0C44B289" w14:textId="77777777" w:rsidR="008D479B" w:rsidRDefault="008D479B" w:rsidP="008D479B">
      <w:pPr>
        <w:pStyle w:val="TextoNormal"/>
      </w:pPr>
    </w:p>
    <w:p w14:paraId="7E994CAB" w14:textId="77777777" w:rsidR="008D479B" w:rsidRDefault="008D479B" w:rsidP="008D479B">
      <w:pPr>
        <w:pStyle w:val="TextoNormal"/>
      </w:pPr>
      <w:r w:rsidRPr="008D479B">
        <w:rPr>
          <w:rStyle w:val="NumeroAFNegritaCaracter"/>
        </w:rPr>
        <w:t>3</w:t>
      </w:r>
      <w:r>
        <w:t>. La demanda de amparo plantea los siguientes motivos:</w:t>
      </w:r>
    </w:p>
    <w:p w14:paraId="780FD3DD" w14:textId="77777777" w:rsidR="008D479B" w:rsidRDefault="008D479B" w:rsidP="008D479B">
      <w:pPr>
        <w:pStyle w:val="TextoNormal"/>
      </w:pPr>
    </w:p>
    <w:p w14:paraId="328849BE" w14:textId="77777777" w:rsidR="008D479B" w:rsidRDefault="008D479B" w:rsidP="008D479B">
      <w:pPr>
        <w:pStyle w:val="TextoNormal"/>
      </w:pPr>
      <w:r>
        <w:t>a) Vulneración del derecho a la tutela judicial efectiva, en su vertiente de acceso al recurso, por haberse inadmitido el recurso de casación interpuesto:</w:t>
      </w:r>
    </w:p>
    <w:p w14:paraId="5CC1B0C6" w14:textId="77777777" w:rsidR="008D479B" w:rsidRDefault="008D479B" w:rsidP="008D479B">
      <w:pPr>
        <w:pStyle w:val="TextoNormal"/>
      </w:pPr>
    </w:p>
    <w:p w14:paraId="797F83C6" w14:textId="77777777" w:rsidR="008D479B" w:rsidRDefault="008D479B" w:rsidP="008D479B">
      <w:pPr>
        <w:pStyle w:val="TextoNormal"/>
      </w:pPr>
      <w:r>
        <w:t>Se alega en cuanto a los requisitos establecidos en los arts. 88.2, 88.3 y 89.2 de la Ley reguladora de la jurisdicción contencioso-administrativa (LJCA), que es evidente “que en el recurso de casación se han cumplido de forma precisa y adecuada dichas exigencias existiendo un interés casacional objetivo y es conveniente el pronunciamiento del Tribunal Constitucional ya que se han incumplido los arts. 90.4 b) de la LJCA en relación con el artículo 89.2 f) del mismo cuerpo legal y del derecho a un proceso público con todas las garantías al no ser satisfecho el derecho cuya vulneración se ha invocado, incurriendo por ello en indefensión, protegidos dichos derechos fundamentales por el artículo 24, apartado primero y segundo, de la Constitución Española, dicho sea con los debidos respetos y en términos de defensa”, por haberse inadmitido un recurso de casación, así como los anteriores recursos con evidente infracción de dichos derechos fundamentales.</w:t>
      </w:r>
    </w:p>
    <w:p w14:paraId="138DB0EF" w14:textId="77777777" w:rsidR="008D479B" w:rsidRDefault="008D479B" w:rsidP="008D479B">
      <w:pPr>
        <w:pStyle w:val="TextoNormal"/>
      </w:pPr>
    </w:p>
    <w:p w14:paraId="3923EDFD" w14:textId="77777777" w:rsidR="008D479B" w:rsidRDefault="008D479B" w:rsidP="008D479B">
      <w:pPr>
        <w:pStyle w:val="TextoNormal"/>
      </w:pPr>
      <w:r>
        <w:t>Ya en las páginas finales del escrito de demanda se retoma la alegación de esta queja, defendiendo por qué entiende que sí concurría el interés casacional objetivo para la formación de jurisprudencia, lo cual sin embargo no ha apreciado la Sala de lo Contencioso-Administrativo del Tribunal Supremo al dictar la providencia que inadmitió el recurso de casación “que es ahora objeto de recurso de amparo”.</w:t>
      </w:r>
    </w:p>
    <w:p w14:paraId="3CC017A7" w14:textId="77777777" w:rsidR="008D479B" w:rsidRDefault="008D479B" w:rsidP="008D479B">
      <w:pPr>
        <w:pStyle w:val="TextoNormal"/>
      </w:pPr>
    </w:p>
    <w:p w14:paraId="45290DCD" w14:textId="77777777" w:rsidR="008D479B" w:rsidRDefault="008D479B" w:rsidP="008D479B">
      <w:pPr>
        <w:pStyle w:val="TextoNormal"/>
      </w:pPr>
      <w:r>
        <w:t>b) Vulneración del derecho a la tutela judicial efectiva por falta de motivación de las resoluciones impugnadas:</w:t>
      </w:r>
    </w:p>
    <w:p w14:paraId="42081B3E" w14:textId="77777777" w:rsidR="008D479B" w:rsidRDefault="008D479B" w:rsidP="008D479B">
      <w:pPr>
        <w:pStyle w:val="TextoNormal"/>
      </w:pPr>
    </w:p>
    <w:p w14:paraId="53A368B7" w14:textId="77777777" w:rsidR="008D479B" w:rsidRDefault="008D479B" w:rsidP="008D479B">
      <w:pPr>
        <w:pStyle w:val="TextoNormal"/>
      </w:pPr>
      <w:r>
        <w:t>En línea con lo ya alegado en los escritos procesales presentados en la vía judicial previa, se recuerda el tenor literal de los arts. 53.1 a) y 57.1 LOEx, de los que se desprende que en caso de estancia irregular en España de un ciudadano extranjero la sanción principal es la de multa, de modo que para optar por la medida más grave de la expulsión la autoridad administrativa debe motivar de forma específica e individualizada el porqué de esta última, atendidas las circunstancias del caso concreto. Respecto de la recurrente “ninguna mención se ha hecho a ninguna otra circunstancia que no sea la mera permanencia irregular de la interesada, sin que conste en el expediente administrativo ningún otro hecho o circunstancia agravante (no es motivo suficiente encontrarse indocumentada y sin autorización para residir en España y desconocer como entró en territorio español)”. Entiende que se ha acreditado su situación de arraigo “social, laboral y familiar en España”, por lo que procedía la sanción de multa. Al imponer en cambio la expulsión sin motivación, ha incurrido en causa de nulidad de la resolución.</w:t>
      </w:r>
    </w:p>
    <w:p w14:paraId="5D49ADE5" w14:textId="77777777" w:rsidR="008D479B" w:rsidRDefault="008D479B" w:rsidP="008D479B">
      <w:pPr>
        <w:pStyle w:val="TextoNormal"/>
      </w:pPr>
    </w:p>
    <w:p w14:paraId="5B8EE29E" w14:textId="77777777" w:rsidR="008D479B" w:rsidRDefault="008D479B" w:rsidP="008D479B">
      <w:pPr>
        <w:pStyle w:val="TextoNormal"/>
      </w:pPr>
      <w:r>
        <w:t>Se refiere luego a la STJUE de 23 de abril de 2015, asunto C-38/14, de la que cree no contradice lo que ya había establecido el mismo Tribunal Europeo en el año 2012, en el sentido de permitir el castigo por una multa por la estancia irregular de nacionales de terceros países de la Unión Europea, con cita de la STJUE de 6 de diciembre de 2012, asunto C-430/11, en relación con el régimen sancionador en Italia. La normativa española es más favorable que la Directiva 2008/115/CE por lo que ha de imponerse una multa y no la expulsión y no cabe la aplicación directa de esa Directiva. En todo caso el art. 5 de la Directiva prevé como circunstancias a ponderar por la autoridad competente, entre otras la vida familiar. Siendo ello así, resulta que la sentencia del Tribunal Superior de Justicia “no tiene en consideración la vida familiar y el arraigo social y laboral de mi representada vulnerando así la sentencia de forma sorprendente la misma Directiva”.</w:t>
      </w:r>
    </w:p>
    <w:p w14:paraId="652E87A3" w14:textId="77777777" w:rsidR="008D479B" w:rsidRDefault="008D479B" w:rsidP="008D479B">
      <w:pPr>
        <w:pStyle w:val="TextoNormal"/>
      </w:pPr>
    </w:p>
    <w:p w14:paraId="18850E40" w14:textId="77777777" w:rsidR="008D479B" w:rsidRDefault="008D479B" w:rsidP="008D479B">
      <w:pPr>
        <w:pStyle w:val="TextoNormal"/>
      </w:pPr>
      <w:r>
        <w:t xml:space="preserve">Continúa diciendo que la reforma por Ley Orgánica 2/2009 de la Ley Orgánica sobre derechos y libertades de los extranjeros en España, al introducir el art. 57.1 ha venido a contemplar con carácter general y primario la multa, mientras que la expulsión “se hace depender de la aplicación del principio de proporcionalidad”. Reconoce que esto no es lo que establece la Directiva de retorno y por ello habría cierta incompatibilidad con la mencionada Ley Orgánica, pero insiste en que no cabe la eficacia directa de aquella Directiva pues “no puede generar obligaciones para el particular frente al Estado que no la ejecutó en plazo o de forma adecuada, ni frente a otros particulares”. Añade que otra ventaja del sistema de multa es que “el inmigrante irregular, concluido el procedimiento sancionador, pueda regularizar su situación”, lo que no es posible si se le impone la expulsión. Volviendo a la Directiva de retorno, dice que las resoluciones judiciales aquí impugnadas, al hacer prevalecer la medida de expulsión, han interpretado la normativa española de un modo “que excede del margen de discrecionalidad que conceden las herramientas hermenéuticas”; supone una “lectura </w:t>
      </w:r>
      <w:r w:rsidRPr="008D479B">
        <w:rPr>
          <w:i/>
        </w:rPr>
        <w:t>contra legem</w:t>
      </w:r>
      <w:r>
        <w:t xml:space="preserve"> del Derecho nacional, que de llevarse a cabo supone un agravamiento de la responsabilidad administrativa del nacional de Estados terceros por su situación irregular”; así como también trae consigo “una violación de los principios de seguridad jurídica y legalidad sancionadora”.</w:t>
      </w:r>
    </w:p>
    <w:p w14:paraId="31EB7023" w14:textId="77777777" w:rsidR="008D479B" w:rsidRDefault="008D479B" w:rsidP="008D479B">
      <w:pPr>
        <w:pStyle w:val="TextoNormal"/>
      </w:pPr>
    </w:p>
    <w:p w14:paraId="30DEA324" w14:textId="77777777" w:rsidR="008D479B" w:rsidRDefault="008D479B" w:rsidP="008D479B">
      <w:pPr>
        <w:pStyle w:val="TextoNormal"/>
      </w:pPr>
      <w:r>
        <w:t>c) Vulneración del “criterio o principio de proporcionalidad”:</w:t>
      </w:r>
    </w:p>
    <w:p w14:paraId="00ED0141" w14:textId="77777777" w:rsidR="008D479B" w:rsidRDefault="008D479B" w:rsidP="008D479B">
      <w:pPr>
        <w:pStyle w:val="TextoNormal"/>
      </w:pPr>
    </w:p>
    <w:p w14:paraId="36F46126" w14:textId="77777777" w:rsidR="008D479B" w:rsidRDefault="008D479B" w:rsidP="008D479B">
      <w:pPr>
        <w:pStyle w:val="TextoNormal"/>
      </w:pPr>
      <w:r>
        <w:t>Cita la demanda el art. 55.3 LOEx respecto a la graduación de las sanciones conforme a “los criterios de proporcionalidad, valorando el grado de culpabilidad y, en su caso, el daño producido o el riesgo derivado de la infracción y su trascendencia”.</w:t>
      </w:r>
    </w:p>
    <w:p w14:paraId="1F1E74DA" w14:textId="77777777" w:rsidR="008D479B" w:rsidRDefault="008D479B" w:rsidP="008D479B">
      <w:pPr>
        <w:pStyle w:val="TextoNormal"/>
      </w:pPr>
    </w:p>
    <w:p w14:paraId="7E4196AC" w14:textId="77777777" w:rsidR="008D479B" w:rsidRDefault="008D479B" w:rsidP="008D479B">
      <w:pPr>
        <w:pStyle w:val="TextoNormal"/>
      </w:pPr>
      <w:r>
        <w:t>Complementa esta queja señalando que las resoluciones impugnadas incurren en incongruencia porque no se pronuncian sobre la falta de justificación de una necesidad objetiva de la medida de expulsión; con cita de la STC 207/1996, de 16 de diciembre, el art. 5 b) de la Directiva 2008/115/CE, sobre la ponderación de la vida familiar en orden a imponer la sanción, reiterando que en la recurrente concurren circunstancias de arraigo familiar, además de laboral y social.</w:t>
      </w:r>
    </w:p>
    <w:p w14:paraId="2E2644FC" w14:textId="77777777" w:rsidR="008D479B" w:rsidRDefault="008D479B" w:rsidP="008D479B">
      <w:pPr>
        <w:pStyle w:val="TextoNormal"/>
      </w:pPr>
    </w:p>
    <w:p w14:paraId="0EDC75B0" w14:textId="3340ABDC" w:rsidR="008D479B" w:rsidRDefault="008D479B" w:rsidP="008D479B">
      <w:pPr>
        <w:pStyle w:val="TextoNormal"/>
      </w:pPr>
      <w:r>
        <w:t>El suplico de la demanda solicita que se dicte sentencia otorgando el amparo, revocando y declarando la nulidad de las resoluciones impugnadas, no imponiendo a la recurrente sanción alguna “o, subsidiariamente, únicamente una sanción de multa”.</w:t>
      </w:r>
    </w:p>
    <w:p w14:paraId="580863F4" w14:textId="77777777" w:rsidR="008D479B" w:rsidRDefault="008D479B" w:rsidP="008D479B">
      <w:pPr>
        <w:pStyle w:val="TextoNormal"/>
      </w:pPr>
    </w:p>
    <w:p w14:paraId="7D81689A" w14:textId="7C37EFC0" w:rsidR="008D479B" w:rsidRDefault="008D479B" w:rsidP="008D479B">
      <w:pPr>
        <w:pStyle w:val="TextoNormal"/>
      </w:pPr>
      <w:r w:rsidRPr="008D479B">
        <w:rPr>
          <w:rStyle w:val="NumeroAFNegritaCaracter"/>
        </w:rPr>
        <w:t>4</w:t>
      </w:r>
      <w:r>
        <w:t>. Con fecha 23 de enero de 2023, la Secretaría de Justicia de la Sección Segunda, Sala Primera, de este tribunal, dictó diligencia de ordenación del siguiente tenor: “En virtud del acuerdo adoptado por el Pleno del Tribunal Constitucional el día 17 de enero de 2023, publicado en el ‘Boletín Oficial del Estado’ de 19 de enero, el presente recurso de amparo ha sido turnado a la Sección Segunda de la Sala Primera del Tribunal Constitucional, lo que se pone en conocimiento de las partes y del Ministerio Fiscal a los efectos oportunos”.</w:t>
      </w:r>
    </w:p>
    <w:p w14:paraId="51D9DBD7" w14:textId="77777777" w:rsidR="008D479B" w:rsidRDefault="008D479B" w:rsidP="008D479B">
      <w:pPr>
        <w:pStyle w:val="TextoNormal"/>
      </w:pPr>
    </w:p>
    <w:p w14:paraId="52A00D5D" w14:textId="77777777" w:rsidR="008D479B" w:rsidRDefault="008D479B" w:rsidP="008D479B">
      <w:pPr>
        <w:pStyle w:val="TextoNormal"/>
      </w:pPr>
      <w:r w:rsidRPr="008D479B">
        <w:rPr>
          <w:rStyle w:val="NumeroAFNegritaCaracter"/>
        </w:rPr>
        <w:t>5</w:t>
      </w:r>
      <w:r>
        <w:t>. La Sección Segunda de este tribunal dictó providencia el 6 de marzo de 2023 disponiendo: “La Sección ha examinado el recurso de amparo y ha acordado admitirlo a trámite, apreciando que concurre en el mismo una especial trascendencia constitucional (art. 50.1 LOTC) porque el recurso puede dar ocasión al Tribunal para aclarar o cambiar su doctrina, como consecuencia de un cambio en la doctrina de los órganos de garantía encargados de la interpretación de los tratados y acuerdos internacionales a los que se refiere el art. 10.2 CE [STC 155/2009, FJ 2 b)].</w:t>
      </w:r>
    </w:p>
    <w:p w14:paraId="2D461FC7" w14:textId="77777777" w:rsidR="008D479B" w:rsidRDefault="008D479B" w:rsidP="008D479B">
      <w:pPr>
        <w:pStyle w:val="TextoNormal"/>
      </w:pPr>
    </w:p>
    <w:p w14:paraId="4EA1F95D" w14:textId="77777777" w:rsidR="008D479B" w:rsidRDefault="008D479B" w:rsidP="008D479B">
      <w:pPr>
        <w:pStyle w:val="TextoNormal"/>
      </w:pPr>
      <w:r>
        <w:t>Por ello, en aplicación de lo dispuesto en el art. 51 LOTC, diríjase atenta comunicación a la Sección Primera de la Sala de lo Contencioso-Administrativo del Tribunal Supremo, a la Sección Décima de la Sala de igual orden del Tribunal Superior de Justicia de Madrid y al Juzgado de lo Contencioso-Administrativo núm. 4 de Madrid fin de que, en el plazo que no exceda de diez días, remitan certificación o fotocopia adverada de las actuaciones correspondientes al recurso de casación núm. 5464-2021, a la apelación núm. 875-2020 y al procedimiento abreviado 496-2019, respectivamente.</w:t>
      </w:r>
    </w:p>
    <w:p w14:paraId="08947C55" w14:textId="77777777" w:rsidR="008D479B" w:rsidRDefault="008D479B" w:rsidP="008D479B">
      <w:pPr>
        <w:pStyle w:val="TextoNormal"/>
      </w:pPr>
    </w:p>
    <w:p w14:paraId="2976653C" w14:textId="1AFF7663" w:rsidR="008D479B" w:rsidRDefault="008D479B" w:rsidP="008D479B">
      <w:pPr>
        <w:pStyle w:val="TextoNormal"/>
      </w:pPr>
      <w:r>
        <w:t>Y al ser parte el abogado del Estado, en representación de la administración, notifíquesele la presente resolución, que le servirá de emplazamiento, para que el plazo de diez días pueda comparecer, si lo estima pertinente en el presente proceso constitucional, con traslado asimismo y a dichos efectos de copia de la demanda presentada”.</w:t>
      </w:r>
    </w:p>
    <w:p w14:paraId="636AD199" w14:textId="77777777" w:rsidR="008D479B" w:rsidRDefault="008D479B" w:rsidP="008D479B">
      <w:pPr>
        <w:pStyle w:val="TextoNormal"/>
      </w:pPr>
    </w:p>
    <w:p w14:paraId="227AD1C5" w14:textId="6C1A7FB7" w:rsidR="008D479B" w:rsidRDefault="008D479B" w:rsidP="008D479B">
      <w:pPr>
        <w:pStyle w:val="TextoNormal"/>
      </w:pPr>
      <w:r w:rsidRPr="008D479B">
        <w:rPr>
          <w:rStyle w:val="NumeroAFNegritaCaracter"/>
        </w:rPr>
        <w:t>6</w:t>
      </w:r>
      <w:r>
        <w:t>. Con fecha 22 de marzo de 2023 el abogado del Estado, en la representación que ostenta de la administración autora de la resolución impugnada, presentó en el registro de este tribunal escrito de personación por el que solicitó se le tuviera por personado y parte en este recurso de amparo, entendiéndose con él todos los posteriores trámites del procedimiento.</w:t>
      </w:r>
    </w:p>
    <w:p w14:paraId="2AB3FB38" w14:textId="77777777" w:rsidR="008D479B" w:rsidRDefault="008D479B" w:rsidP="008D479B">
      <w:pPr>
        <w:pStyle w:val="TextoNormal"/>
      </w:pPr>
    </w:p>
    <w:p w14:paraId="4345B0C6" w14:textId="60889B23" w:rsidR="008D479B" w:rsidRDefault="008D479B" w:rsidP="008D479B">
      <w:pPr>
        <w:pStyle w:val="TextoNormal"/>
      </w:pPr>
      <w:r w:rsidRPr="008D479B">
        <w:rPr>
          <w:rStyle w:val="NumeroAFNegritaCaracter"/>
        </w:rPr>
        <w:t>7</w:t>
      </w:r>
      <w:r>
        <w:t>. La Secretaría de Justicia de la Sala Primera de este tribunal dictó diligencia de ordenación el 20 de abril de 2023, por la que acordó dar vista de las actuaciones a las partes personadas y al Ministerio Fiscal por plazo común de veinte días, a fin de que pudieran presentar las alegaciones que estimasen pertinentes conforme con lo previsto en el art. 52 de la Ley Orgánica del Tribunal Constitucional (LOTC).</w:t>
      </w:r>
    </w:p>
    <w:p w14:paraId="6FA9EE11" w14:textId="77777777" w:rsidR="008D479B" w:rsidRDefault="008D479B" w:rsidP="008D479B">
      <w:pPr>
        <w:pStyle w:val="TextoNormal"/>
      </w:pPr>
    </w:p>
    <w:p w14:paraId="718E5647" w14:textId="58E2575B" w:rsidR="008D479B" w:rsidRDefault="008D479B" w:rsidP="008D479B">
      <w:pPr>
        <w:pStyle w:val="TextoNormal"/>
      </w:pPr>
      <w:r w:rsidRPr="008D479B">
        <w:rPr>
          <w:rStyle w:val="NumeroAFNegritaCaracter"/>
        </w:rPr>
        <w:t>8</w:t>
      </w:r>
      <w:r>
        <w:t xml:space="preserve">. Con fecha 23 de mayo de 2023 se registró en este tribunal el escrito de alegaciones del representante procesal de la recurrente en amparo, por el que se ratificó en los fundamentos y el </w:t>
      </w:r>
      <w:r w:rsidRPr="008D479B">
        <w:rPr>
          <w:i/>
        </w:rPr>
        <w:t>petitum</w:t>
      </w:r>
      <w:r>
        <w:t xml:space="preserve"> planteado en la demanda. Añadió la cita de la STJUE de 8 de octubre de 2020, en la que se declara que la Directiva de retorno no resulta directamente aplicable y que la expulsión solo procede si existen circunstancias agravantes en la persona, adicionales a la de su situación irregular.</w:t>
      </w:r>
    </w:p>
    <w:p w14:paraId="32637EFB" w14:textId="77777777" w:rsidR="008D479B" w:rsidRDefault="008D479B" w:rsidP="008D479B">
      <w:pPr>
        <w:pStyle w:val="TextoNormal"/>
      </w:pPr>
    </w:p>
    <w:p w14:paraId="745CE265" w14:textId="77777777" w:rsidR="008D479B" w:rsidRDefault="008D479B" w:rsidP="008D479B">
      <w:pPr>
        <w:pStyle w:val="TextoNormal"/>
      </w:pPr>
      <w:r w:rsidRPr="008D479B">
        <w:rPr>
          <w:rStyle w:val="NumeroAFNegritaCaracter"/>
        </w:rPr>
        <w:t>9</w:t>
      </w:r>
      <w:r>
        <w:t>. El abogado del Estado registró su escrito de alegaciones el 24 de mayo de 2023, por el que interesó la inadmisión del recurso presentado, y subsidiariamente su desestimación.</w:t>
      </w:r>
    </w:p>
    <w:p w14:paraId="2B91D91A" w14:textId="77777777" w:rsidR="008D479B" w:rsidRDefault="008D479B" w:rsidP="008D479B">
      <w:pPr>
        <w:pStyle w:val="TextoNormal"/>
      </w:pPr>
    </w:p>
    <w:p w14:paraId="755EBD2A" w14:textId="77777777" w:rsidR="008D479B" w:rsidRDefault="008D479B" w:rsidP="008D479B">
      <w:pPr>
        <w:pStyle w:val="TextoNormal"/>
      </w:pPr>
      <w:r>
        <w:t xml:space="preserve">a) Tras un resumen de los antecedentes del proceso </w:t>
      </w:r>
      <w:r w:rsidRPr="008D479B">
        <w:rPr>
          <w:i/>
        </w:rPr>
        <w:t>a quo</w:t>
      </w:r>
      <w:r>
        <w:t xml:space="preserve"> que considera relevantes y la identificación de las quejas de la demanda de amparo, antes de entrar al fondo del recurso el abogado del Estado alega dos causas de inadmisión. La primera de ellas es que la demanda se habría presentado fuera de plazo, al tratarse de un amparo administrativo del art. 43 LOTC en el que se impugna una resolución administrativa que es confirmada en sede judicial, “sin que las resoluciones judiciales habidas resulten asimismo vulneradoras adicionalmente de otros derechos fundamentales añadidos, aunque para instrumentar artificiosamente un hipotético recurso de amparo judicial la recurrente invoque el art. 24.1 y 2 de la CE”. Por tanto el plazo para presentar la demanda sería el de veinte días conforme con el art. 43.2 LOTC; en este caso la notificación de la providencia del Tribunal Supremo de 23 de febrero de 2022 —que cierra la vía judicial previa— se produjo el 1 de marzo de 2022, mientras que la demanda de amparo se presentó “según consta en la fecha de la firma electrónica, el 3 de abril de 2022”. Por tanto, fuera de plazo.</w:t>
      </w:r>
    </w:p>
    <w:p w14:paraId="6670EFC1" w14:textId="77777777" w:rsidR="008D479B" w:rsidRDefault="008D479B" w:rsidP="008D479B">
      <w:pPr>
        <w:pStyle w:val="TextoNormal"/>
      </w:pPr>
    </w:p>
    <w:p w14:paraId="4CFD9394" w14:textId="77777777" w:rsidR="008D479B" w:rsidRDefault="008D479B" w:rsidP="008D479B">
      <w:pPr>
        <w:pStyle w:val="TextoNormal"/>
      </w:pPr>
      <w:r>
        <w:t>b) Como segundo óbice a la admisibilidad del recurso, opone el abogado del Estado el de “[f]alta de [especial] trascendencia constitucional del amparo formulado”. Se sostiene que la demanda no justifica este requisito con base en alguno de los criterios de la STC 155/2009, de 25 de junio, sino que lo hace sin disociar su argumentación de las vulneraciones de los arts. 14 CE y 24 CE, lo que contradice la doctrina de este tribunal (con cita de la STC 17/2011, de 28 de febrero, FJ 2). Se trata —prosigue diciendo— de una “carga procesal del demandante (art. 49 de la LOTC) que no puede ser suplida por el propio Tribunal”. Con todo, en la eventualidad —especula el escrito de alegaciones— de que se haya querido invocar el supuesto “d” del listado de causas de especial trascendencia constitucional de la STC 155/2009, FJ 2 “si la vulneración del derecho fundamental traiga causa de una reiterada interpretación jurisprudencial de la ley que el Tribunal Constitucional considere lesiva del derecho fundamental y crea necesario proclamar otra interpretación conforme a la Constitución”, niega que tal motivo concurra pues “no estamos ante una ‘jurisprudencia reiterada’ lesiva de los derechos fundamentales que la interesada invoca como vulnerados”; la sentencia del Tribunal Superior de Justicia “adopta su decisión sobre la base de criterios hermenéuticos razonados respecto de la normativa aplicable […] y efectivamente, cómo cabrá interpretar la norma [LOEx] sobre la base de sentencias del Tribunal de Justicia de la Unión Europea y del Tribunal Supremo”.</w:t>
      </w:r>
    </w:p>
    <w:p w14:paraId="7DCF35C4" w14:textId="77777777" w:rsidR="008D479B" w:rsidRDefault="008D479B" w:rsidP="008D479B">
      <w:pPr>
        <w:pStyle w:val="TextoNormal"/>
      </w:pPr>
    </w:p>
    <w:p w14:paraId="65D3299F" w14:textId="77777777" w:rsidR="008D479B" w:rsidRDefault="008D479B" w:rsidP="008D479B">
      <w:pPr>
        <w:pStyle w:val="TextoNormal"/>
      </w:pPr>
      <w:r>
        <w:t>Otro tanto cabe decir, sigue argumentando el abogado del Estado, si lo planteado fuera el motivo “e)” del mismo listado de la STC 155/2009, FJ 2 “cuando la doctrina del Tribunal Constitucional sobre el derecho fundamental que se alega en el recurso esté siendo incumplida de modo general y reiterado por la jurisdicción ordinaria, o existan resoluciones judiciales contradictorias sobre el derecho fundamental, ya sea interpretando de manera distinta la doctrina constitucional, ya sea aplicándola en unos casos y desconociéndola en otros”, pues la demanda no acredita que la hermenéutica empleada por las resoluciones judiciales impugnadas sea contraria a alguna doctrina de este tribunal. Como tampoco concurre, remacha el escrito de alegaciones, el supuesto “f” del referido listado “en el caso de que un órgano judicial incurra en una negativa manifiesta del deber de acatamiento de la doctrina del Tribunal Constitucional (art. 5 de la Ley Orgánica del Poder Judicial: LOPJ)” pues no se acredita la existencia de una voluntad manifiesta de no aplicar doctrina de este Tribunal y “no hay tampoco una doctrina del Tribunal Constitucional sobre la supuesta inviabilidad de la tesis sustentada en este caso por el Tribunal Superior de Justicia de Madrid (en relación con los arts. 14 y 24 de la CE aplicados a la materia específica) en su sentencia referida, de 13 de mayo de 2021”. Defecto de falta de especial trascendencia constitucional del recurso que, añade, es insubsanable.</w:t>
      </w:r>
    </w:p>
    <w:p w14:paraId="58EFC736" w14:textId="77777777" w:rsidR="008D479B" w:rsidRDefault="008D479B" w:rsidP="008D479B">
      <w:pPr>
        <w:pStyle w:val="TextoNormal"/>
      </w:pPr>
    </w:p>
    <w:p w14:paraId="0AF0557A" w14:textId="77777777" w:rsidR="008D479B" w:rsidRDefault="008D479B" w:rsidP="008D479B">
      <w:pPr>
        <w:pStyle w:val="TextoNormal"/>
      </w:pPr>
      <w:r>
        <w:t>c) Ya en cuanto al fondo de las quejas de la demanda de amparo, hace una declaración de principio el escrito del abogado del Estado en el sentido de que la recurrente no acredita ningún supuesto de discriminación cometido en su perjuicio, sino que simplemente la norma prevé la medida de expulsión y esta debe aplicarse al caso, con independencia de que a otra persona en un momento anterior no se le hubiera aplicado. “Tampoco expone adecuadamente, ni siquiera lo intenta así razonar, cuál ha sido la violación del art. 24 de la CE que le habría causado la resolución administrativa y las resoluciones judiciales ulteriores. Solo argumenta la a su juicio improcedente fundamentación de la sanción de expulsión, la supuesta mala elección de la norma por la administración y por los órganos jurisdiccionales que conocieron del asunto […]. Pero ello solo no constituye vulneración del art. 24 de la CE, en materia de tutela judicial efectiva sin indefensión” (cita la STC 26/2009, de 26 de enero, sobre el derecho a una resolución judicial motivada y fundada en Derecho). Añade que las resoluciones impugnadas no han cometido error patente ni incurrido en “irrazonabilidad evidente o arbitrariedad”, que el control de este Tribunal Constitucional es externo; y que el derecho a la estancia o la permanencia en España no es un derecho fundamental de los extranjeros en atención al art. 19 CE, únicamente si cumplen con las exigencias previstas en los tratados y las leyes para poder residir en España (cita la STC 94/1993, de 22 de marzo, FJ 3). Por todo ello —y sin perjuicio de las concreciones que a continuación añade el escrito— se entiende que la demanda de amparo no se ha fundado “en la violación de un derecho fundamental, sino solo en la interpretación de preceptos de ley ordinaria”.</w:t>
      </w:r>
    </w:p>
    <w:p w14:paraId="027AE93F" w14:textId="77777777" w:rsidR="008D479B" w:rsidRDefault="008D479B" w:rsidP="008D479B">
      <w:pPr>
        <w:pStyle w:val="TextoNormal"/>
      </w:pPr>
    </w:p>
    <w:p w14:paraId="42E14803" w14:textId="77777777" w:rsidR="008D479B" w:rsidRDefault="008D479B" w:rsidP="008D479B">
      <w:pPr>
        <w:pStyle w:val="TextoNormal"/>
      </w:pPr>
      <w:r>
        <w:t>d) En un plano más específico, el abogado del Estado se refiere a algunas de las afirmaciones de fondo de la demanda:</w:t>
      </w:r>
    </w:p>
    <w:p w14:paraId="74A18847" w14:textId="77777777" w:rsidR="008D479B" w:rsidRDefault="008D479B" w:rsidP="008D479B">
      <w:pPr>
        <w:pStyle w:val="TextoNormal"/>
      </w:pPr>
    </w:p>
    <w:p w14:paraId="6ABD940D" w14:textId="77777777" w:rsidR="008D479B" w:rsidRDefault="008D479B" w:rsidP="008D479B">
      <w:pPr>
        <w:pStyle w:val="TextoNormal"/>
      </w:pPr>
      <w:r>
        <w:t>(i) “No se produce aplicación vertical de la Directiva europea frente a una supuesta legislación interna más ‘benévola’”: frente a los argumentos de la demanda de que no cabe dicha aplicación directa, trae a colación el abogado del Estado la STJUE de 23 de abril de 2015 y lo que esta falló en su parte dispositiva, recordando que esa sentencia resolvía una cuestión prejudicial planteada por un tribunal español; pero que además no existe incompatibilidad entre la Directiva de retorno y la LOEx, como alega la recurrente, pues fue la Ley Orgánica 2/2009, de 11 de diciembre, la que entre otras Directivas que se indican, traspuso aquella 2008/115/CE.</w:t>
      </w:r>
    </w:p>
    <w:p w14:paraId="5662CDE4" w14:textId="77777777" w:rsidR="008D479B" w:rsidRDefault="008D479B" w:rsidP="008D479B">
      <w:pPr>
        <w:pStyle w:val="TextoNormal"/>
      </w:pPr>
    </w:p>
    <w:p w14:paraId="2AA3D631" w14:textId="77777777" w:rsidR="008D479B" w:rsidRDefault="008D479B" w:rsidP="008D479B">
      <w:pPr>
        <w:pStyle w:val="TextoNormal"/>
      </w:pPr>
      <w:r>
        <w:t>(ii) En el presente caso no se da ninguna de las excepciones previstas en el art. 6 de la Directiva de retorno; y además el art. 4 de la misma señala que los Estados miembros podrán regular normativas más favorables siempre que no resulten incompatibles con la Directiva, que sería lo que sucedería, reflexiona el abogado del Estado, si a los nacionales extranjeros en situación irregular en España se les aplica una sanción de multa en lugar de la expulsión, tal y como ha dejado dicho la citada STJUE de 23 de abril de 2015. “En definitiva, en modo alguno acontece ‘aplicación vertical’ de una Directiva en sentido menos favorable en comparación con la normativa interna en tanto que la Directiva no remite a una disposición estatal más favorable en cualquier caso”.</w:t>
      </w:r>
    </w:p>
    <w:p w14:paraId="07F27451" w14:textId="77777777" w:rsidR="008D479B" w:rsidRDefault="008D479B" w:rsidP="008D479B">
      <w:pPr>
        <w:pStyle w:val="TextoNormal"/>
      </w:pPr>
    </w:p>
    <w:p w14:paraId="62C86097" w14:textId="77777777" w:rsidR="008D479B" w:rsidRDefault="008D479B" w:rsidP="008D479B">
      <w:pPr>
        <w:pStyle w:val="TextoNormal"/>
      </w:pPr>
      <w:r>
        <w:t>(iii) La expulsión acordada por la autoridad administrativa, y confirmada en vía judicial, aplica los preceptos de la LOEx [arts. 53.1 a), 57.1 y 57.3], la Directiva de retorno y la STJUE de 23 de abril de 2015 “que la interpreta de modo auténtico; no aplicándose, por tanto, esa Directiva sola, de una manera directa o vertical, como argumenta erróneamente en este aspecto la demanda de recurso”.</w:t>
      </w:r>
    </w:p>
    <w:p w14:paraId="5B821781" w14:textId="77777777" w:rsidR="008D479B" w:rsidRDefault="008D479B" w:rsidP="008D479B">
      <w:pPr>
        <w:pStyle w:val="TextoNormal"/>
      </w:pPr>
    </w:p>
    <w:p w14:paraId="3F46578E" w14:textId="77777777" w:rsidR="008D479B" w:rsidRDefault="008D479B" w:rsidP="008D479B">
      <w:pPr>
        <w:pStyle w:val="TextoNormal"/>
      </w:pPr>
      <w:r>
        <w:t>(iv) De nuevo acudiendo a la STJUE de 23 de abril de 2015 y su recepción por la sentencia del Tribunal Supremo núm. 980/2018, de 12 de junio, sostiene que se “zanjó definitivamente la cuestión sobre la interpretación de la sanción aplicable” a quienes se encuentren en la situación de la aquí recurrente. Cita la posterior STJUE de 8 de octubre de 2020, también en respuesta a una cuestión prejudicial planteada por un tribunal español, de la que recoge su parte dispositiva, la cual a su vez —prosigue diciendo— fue doctrina asumida por la sentencia del Tribunal Supremo del 17 de marzo de 2021, de la que igualmente recoge algunos de sus pasajes respecto a que la existencia de circunstancias agravantes sí permite aplicar la medida de expulsión. Y estas circunstancias concurren en este caso, según algunos hechos que recoge el fundamento de Derecho séptimo de la sentencia de apelación, dice el abogado del Estado; en concreto consta en los registros policiales dos detenciones de la recurrente, una por atentado y/o resistencia y desobediencia el 9 de junio de 2018, y otra por agresiones entre ella y su pareja sentimental, el 30 de abril de 2019.</w:t>
      </w:r>
    </w:p>
    <w:p w14:paraId="09F03507" w14:textId="77777777" w:rsidR="008D479B" w:rsidRDefault="008D479B" w:rsidP="008D479B">
      <w:pPr>
        <w:pStyle w:val="TextoNormal"/>
      </w:pPr>
    </w:p>
    <w:p w14:paraId="30681694" w14:textId="77777777" w:rsidR="008D479B" w:rsidRDefault="008D479B" w:rsidP="008D479B">
      <w:pPr>
        <w:pStyle w:val="TextoNormal"/>
      </w:pPr>
      <w:r>
        <w:t>Añade que la recurrente tampoco ha acreditado el arraigo que esgrime, ni la percepción de unos ingresos económicos con periodicidad, ni tampoco si es cierto que vive con familiares. El contrato de trabajo y un recibo de presentación de solicitud de informe de arraigo social —sin aportar el informe como tal— no son suficientes porque son de fecha posterior a la propia resolución recurrida. Todas estas circunstancias, continúa el escrito de alegaciones, fueron ponderadas por el magistrado de instancia, siendo la prueba y su valoración de estos extremos, algo “ajeno a las funciones de enjuiciamiento del Tribunal Constitucional en su propio ámbito, por lo que no se deduce que se haya producido por las resoluciones judiciales la vulneración de un derecho fundamental.</w:t>
      </w:r>
    </w:p>
    <w:p w14:paraId="6BE4F3BD" w14:textId="77777777" w:rsidR="008D479B" w:rsidRDefault="008D479B" w:rsidP="008D479B">
      <w:pPr>
        <w:pStyle w:val="TextoNormal"/>
      </w:pPr>
    </w:p>
    <w:p w14:paraId="00815D3C" w14:textId="4ED00E2B" w:rsidR="008D479B" w:rsidRDefault="008D479B" w:rsidP="008D479B">
      <w:pPr>
        <w:pStyle w:val="TextoNormal"/>
      </w:pPr>
      <w:r>
        <w:t>Respecto a una posible discriminación de trato, por último, alega el abogado del Estado que la demanda no ha aducido un término de comparación válido. Las resoluciones judiciales “no han carecido de fundamento ni de la necesaria argumentación para exponer el criterio desestimatorio sostenido, conforme a un proceso justo tramitado con todas las garantías”. No se aprecia vulneración de derechos fundamentales que permita por tanto la eventual estimación de este recurso.</w:t>
      </w:r>
    </w:p>
    <w:p w14:paraId="3C4FB967" w14:textId="77777777" w:rsidR="008D479B" w:rsidRDefault="008D479B" w:rsidP="008D479B">
      <w:pPr>
        <w:pStyle w:val="TextoNormal"/>
      </w:pPr>
    </w:p>
    <w:p w14:paraId="6C62592A" w14:textId="77777777" w:rsidR="008D479B" w:rsidRDefault="008D479B" w:rsidP="008D479B">
      <w:pPr>
        <w:pStyle w:val="TextoNormal"/>
      </w:pPr>
      <w:r w:rsidRPr="008D479B">
        <w:rPr>
          <w:rStyle w:val="NumeroAFNegritaCaracter"/>
        </w:rPr>
        <w:t>10</w:t>
      </w:r>
      <w:r>
        <w:t>. El teniente fiscal ante este Tribunal Constitucional registró su escrito de alegaciones el 5 de junio de 2023, por el que interesó que dictásemos sentencia estimatoria del amparo solicitado, declarando vulnerados los derechos de la recurrente a la tutela judicial efectiva (art. 24.1 CE) y a la legalidad penal (art. 25.1 CE), con nulidad de la resolución administrativa y de las resoluciones judiciales de primera instancia y apelación que confirmaron aquella. Así como también, que acordásemos la inadmisión por falta de agotamiento de la vía judicial previa, de la queja de lesión del derecho a la tutela judicial efectiva respecto de la providencia de la Sección Primera de la Sala de lo Contencioso-Administrativo del Tribunal Supremo, que inadmitió el recurso de casación de la recurrente.</w:t>
      </w:r>
    </w:p>
    <w:p w14:paraId="66E56694" w14:textId="77777777" w:rsidR="008D479B" w:rsidRDefault="008D479B" w:rsidP="008D479B">
      <w:pPr>
        <w:pStyle w:val="TextoNormal"/>
      </w:pPr>
    </w:p>
    <w:p w14:paraId="371BEA53" w14:textId="77777777" w:rsidR="008D479B" w:rsidRDefault="008D479B" w:rsidP="008D479B">
      <w:pPr>
        <w:pStyle w:val="TextoNormal"/>
      </w:pPr>
      <w:r>
        <w:t xml:space="preserve">a) Luego de hacer un amplio resumen de las incidencias del proceso </w:t>
      </w:r>
      <w:r w:rsidRPr="008D479B">
        <w:rPr>
          <w:i/>
        </w:rPr>
        <w:t>a quo</w:t>
      </w:r>
      <w:r>
        <w:t xml:space="preserve"> que consideró relevantes, así como del escrito de demanda de la recurrente, el Ministerio Fiscal formula unas consideraciones previas al examen de fondo del recurso:</w:t>
      </w:r>
    </w:p>
    <w:p w14:paraId="29E82C54" w14:textId="77777777" w:rsidR="008D479B" w:rsidRDefault="008D479B" w:rsidP="008D479B">
      <w:pPr>
        <w:pStyle w:val="TextoNormal"/>
      </w:pPr>
    </w:p>
    <w:p w14:paraId="09BDC676" w14:textId="77777777" w:rsidR="008D479B" w:rsidRDefault="008D479B" w:rsidP="008D479B">
      <w:pPr>
        <w:pStyle w:val="TextoNormal"/>
      </w:pPr>
      <w:r>
        <w:t>(i) Señala ante todo que estamos ante un amparo de naturaleza mixta, pues se imputa un déficit de motivación y de falta de proporcionalidad de la medida de expulsión impuesta por la resolución administrativa, mientras que a las sentencias se les achaca, por un lado, haber incurrido en incongruencia omisiva al no responder al argumento de impugnación invocado en la demanda contencioso-administrativa y en el recurso de apelación, de que no se había acreditado la necesidad objetiva de la medida de expulsión para asegurar un bien o interés constitucional. Y por otro lado, no haber reparado las sentencias aquellas dos vulneraciones que se imputan en origen al acto administrativo (falta de motivación y falta de proporcionalidad de la expulsión). Además, la demanda ataca la providencia de inadmisión del recurso de casación por vulnerar su derecho a la tutela judicial efectiva.</w:t>
      </w:r>
    </w:p>
    <w:p w14:paraId="7450E0F4" w14:textId="77777777" w:rsidR="008D479B" w:rsidRDefault="008D479B" w:rsidP="008D479B">
      <w:pPr>
        <w:pStyle w:val="TextoNormal"/>
      </w:pPr>
    </w:p>
    <w:p w14:paraId="53028130" w14:textId="77777777" w:rsidR="008D479B" w:rsidRDefault="008D479B" w:rsidP="008D479B">
      <w:pPr>
        <w:pStyle w:val="TextoNormal"/>
      </w:pPr>
      <w:r>
        <w:t>(ii) La queja que trae la demanda relativa a una lesión del derecho a un proceso con todas las garantías del art. 24.2 CE, no se acompaña de una argumentación que la respalde, por lo que no procede entrar en su examen. Tampoco cabe hacerlo en cuanto a la queja de conculcación del principio de seguridad jurídica del art. 9.3 CE, porque este no es protegible en el proceso constitucional de amparo.</w:t>
      </w:r>
    </w:p>
    <w:p w14:paraId="2F11E3A1" w14:textId="77777777" w:rsidR="008D479B" w:rsidRDefault="008D479B" w:rsidP="008D479B">
      <w:pPr>
        <w:pStyle w:val="TextoNormal"/>
      </w:pPr>
    </w:p>
    <w:p w14:paraId="5D65C135" w14:textId="77777777" w:rsidR="008D479B" w:rsidRDefault="008D479B" w:rsidP="008D479B">
      <w:pPr>
        <w:pStyle w:val="TextoNormal"/>
      </w:pPr>
      <w:r>
        <w:t>(iii) La queja de la demanda de que ambas sentencias han omitido dar una respuesta sobre la necesidad objetiva de la medida para asegurar un interés o bien constitucional, incurriendo así en incongruencia omisiva, ha de rechazarse porque dicha cuestión ha de considerarse respondida implícitamente mediante el análisis que realizan las dos resoluciones de la Directiva 2008/115/CE. Y en todo caso, “la exigencia a la que se refiere la recurrente, no se recoge expresamente en la normativa europea aplicada por los órganos judiciales lo que se traduce en que la denuncia de la incongruencia omisiva carezca de cualquier soporte normativo que imponga a los órganos judiciales un pronunciamiento expreso sobre ella”.</w:t>
      </w:r>
    </w:p>
    <w:p w14:paraId="7E326F15" w14:textId="77777777" w:rsidR="008D479B" w:rsidRDefault="008D479B" w:rsidP="008D479B">
      <w:pPr>
        <w:pStyle w:val="TextoNormal"/>
      </w:pPr>
    </w:p>
    <w:p w14:paraId="2AEA7774" w14:textId="77777777" w:rsidR="008D479B" w:rsidRDefault="008D479B" w:rsidP="008D479B">
      <w:pPr>
        <w:pStyle w:val="TextoNormal"/>
      </w:pPr>
      <w:r>
        <w:t>(iv) Expone además en el fundamento de Derecho sexto del escrito de alegaciones, que la queja de la demanda relativa a la falta de motivación de la providencia de 23 de febrero de 2022 de la Sala de lo Contencioso-Administrativo del Tribunal Supremo, por no haber explicado por qué el recurso de casación presentado incumplía el requisito de acreditar el interés casacional objetivo para la formación de jurisprudencia, debe inadmitirse conforme con el art. 50.1 a) LOTC, al no haberse agotado la vía judicial previa a la interposición de la demanda de amparo [art. 44.1 a) LOTC], “dado que le era preceptivo a la recurrente, a tal efecto, la interposición del incidente de nulidad previsto en el art. 241.1 LOPJ”. Se hace cita con este fin de la STC 21/2007, de 16 de abril, FJ 2, que contiene doctrina sobre el mencionado requisito procesal y se indica que en el presente caso la demanda imputa una vulneración autónoma del derecho a la tutela judicial efectiva a la providencia de inadmisión, sin haber dado la oportunidad al órgano judicial para que reparara la posible vulneración del derecho.</w:t>
      </w:r>
    </w:p>
    <w:p w14:paraId="041F2CAC" w14:textId="77777777" w:rsidR="008D479B" w:rsidRDefault="008D479B" w:rsidP="008D479B">
      <w:pPr>
        <w:pStyle w:val="TextoNormal"/>
      </w:pPr>
    </w:p>
    <w:p w14:paraId="29EDF0C3" w14:textId="77777777" w:rsidR="008D479B" w:rsidRDefault="008D479B" w:rsidP="008D479B">
      <w:pPr>
        <w:pStyle w:val="TextoNormal"/>
      </w:pPr>
      <w:r>
        <w:t>b) Sentado lo que antecede, y a partir del fundamento de Derecho séptimo de su escrito, accede el Ministerio Fiscal al examen de las quejas de fondo del recurso. Para situar estas en su contexto, se recuerda cuáles son las normas de la Ley Orgánica sobre derechos y libertades de los extranjeros en España que resultaban aplicables [arts. 53.1 a), 55 y 57.1], así como los supuestos de excepción a la medida de devolución (expulsión) previstos en el art. 6, en relación con los arts. 1, 3, 4 y 5, de la Directiva de retorno. A continuación reproduce pasajes de las SSTC 203/1994, y 108/2022, de 26 de septiembre, sobre la necesidad de que los jueces al tutelar los derechos de los justiciables no incurran en la alteración del sistema de fuentes, y dicten resoluciones fundadas en Derecho, y pasa a referirse a las resoluciones impugnadas:</w:t>
      </w:r>
    </w:p>
    <w:p w14:paraId="5CCC8E03" w14:textId="77777777" w:rsidR="008D479B" w:rsidRDefault="008D479B" w:rsidP="008D479B">
      <w:pPr>
        <w:pStyle w:val="TextoNormal"/>
      </w:pPr>
    </w:p>
    <w:p w14:paraId="41B37215" w14:textId="77777777" w:rsidR="008D479B" w:rsidRDefault="008D479B" w:rsidP="008D479B">
      <w:pPr>
        <w:pStyle w:val="TextoNormal"/>
      </w:pPr>
      <w:r>
        <w:t xml:space="preserve">(i) Considera el teniente fiscal que mientras la resolución administrativa se ha limitado a aplicar la legislación española sobre extranjería, “los órganos judiciales han procedido a seleccionar la normativa aplicable a la controversia planteada en el litigio, el derecho europeo en los términos que había sido interpretado por el Tribunal de Justicia de la Unión Europea, respetando los hechos, la calificación jurídica de los mismos y no acordando una medida diferente de la impuesta por la administración a la vez que son respetuosos con la causa de pedir y el </w:t>
      </w:r>
      <w:r w:rsidRPr="008D479B">
        <w:rPr>
          <w:i/>
        </w:rPr>
        <w:t>petitum</w:t>
      </w:r>
      <w:r>
        <w:t xml:space="preserve"> de la demanda contencioso-administrativa y el recurso de apelación”. Colige de ello que ambas sentencias han aplicado el sistema de fuentes a la controversia, esto es, “han resuelto el litigio en aplicación de la normativa europea en relación con la normativa estatal, cuestión distinta es si dicha aplicación e interpretación es errónea”. Prosigue diciendo que la sentencia del juzgado ha tenido en cuenta el pronunciamiento de la STJUE de 23 de abril de 2015 sobre la compatibilidad de la normativa española con la Directiva de retorno, mientras que la de apelación ha aplicado dicha sentencia y también la del mismo Tribunal Europeo de 8 de octubre de 2020. Se refiere a partir de este punto el escrito de alegaciones a los dos pronunciamientos del Tribunal de Justicia de la Unión Europea que acaban de identificarse, y a su asunción por la jurisprudencia de la Sala Tercera del Tribunal Supremo en cada momento; haciéndose “eco” también de la STJUE de 3 de marzo de 2022, asunto C-409/20, que reproduce en su parte dispositiva, tenida a su vez en cuenta por la sentencia de la Sección Quinta, Sala Tercera, del Tribunal Supremo, de 14 de septiembre de 2022, con el criterio de que la medida de expulsión exige la aplicación del principio de proporcionalidad y por tanto la concurrencia de circunstancias agravantes o negativas que la justifiquen.</w:t>
      </w:r>
    </w:p>
    <w:p w14:paraId="7039F254" w14:textId="77777777" w:rsidR="008D479B" w:rsidRDefault="008D479B" w:rsidP="008D479B">
      <w:pPr>
        <w:pStyle w:val="TextoNormal"/>
      </w:pPr>
    </w:p>
    <w:p w14:paraId="04C7AEF2" w14:textId="77777777" w:rsidR="008D479B" w:rsidRDefault="008D479B" w:rsidP="008D479B">
      <w:pPr>
        <w:pStyle w:val="TextoNormal"/>
      </w:pPr>
      <w:r>
        <w:t>(ii) El siguiente aspecto a considerar por el teniente fiscal ante este tribunal, es determinar si las sentencias impugnadas desconocieron la prohibición del efecto vertical inverso de las directivas de la Unión Europea, teniendo en cuenta, de partida, que “el legislador español, no ha adecuado correctamente la legislación interna a la Directiva de retorno”, al prever la Ley Orgánica 2/2009, de 11 de marzo (de transposición de dicha Directiva al ordenamiento español), al reformar la Ley Orgánica sobre derechos y libertades de los extranjeros en España, la posibilidad de imponer una multa por estancia ilegal, lo que no contempla aquella Directiva. Señala que la citada STJUE de 8 de octubre de 2020 prohibió el llamado efecto vertical inverso o descendente de las directivas, por lo que al haber efectuado una aplicación directa de la Directiva de retorno las sentencias impugnadas, y fundar en esa aplicación directa la confirmación de la resolución administrativa, las sentencias de primera instancia y apelación infringieron la doctrina del Tribunal de Justicia de la Unión Europea. Y en ese entendimiento, cita el teniente fiscal la STC 47/2023, de 10 de mayo, que reprochó a las resoluciones judiciales ahí enjuiciadas haber incurrido en el mismo defecto. Sigue haciendo cita de esta sentencia del Pleno diciendo que en el caso la Administración, al sancionar la estancia ilegal de la recurrente con la expulsión, evidenció un déficit de motivación desde la perspectiva del principio de legalidad del art. 25.1 CE en su aspecto material y en el plano aplicativo; déficit de motivación conectado con el principio de proporcionalidad.</w:t>
      </w:r>
    </w:p>
    <w:p w14:paraId="407C539A" w14:textId="77777777" w:rsidR="008D479B" w:rsidRDefault="008D479B" w:rsidP="008D479B">
      <w:pPr>
        <w:pStyle w:val="TextoNormal"/>
      </w:pPr>
    </w:p>
    <w:p w14:paraId="28D704BB" w14:textId="77777777" w:rsidR="008D479B" w:rsidRDefault="008D479B" w:rsidP="008D479B">
      <w:pPr>
        <w:pStyle w:val="TextoNormal"/>
      </w:pPr>
      <w:r>
        <w:t>(iii) Con atención a las circunstancias alegadas por la recurrente y de la lectura de la resolución dictada por la Delegación del Gobierno en Madrid, se desprende que “la medida de expulsión se ha adoptado teniendo en cuenta la situación de estancia irregular de la recurrente, aunque en la resolución administrativa se añada que carece de arraigo social y familiar, lo que no puede entenderse como una circunstancia agravante, mientras que las sentencias para justificar la medida de expulsión proceden a valorar hechos que se recogen en la propuesta de resolución administrativa de expulsión y que no contempla o han sido tenidos en cuenta por la resolución definitiva de expulsión” ni “consta si las mismas determinaron un proceso penal y su desenlace, de manera que, en principio, debe dárselas un valor de meras denuncias y, por tanto, necesitadas de una prueba que acredite los hechos para poder valorarlos como circunstancias negativas”; en concreto el haber sido detenida por delito de atentado a los agentes de la autoridad, resistencia/desobediencia, y otra detención por agresión mutua con su pareja; el resto son solo hechos que “no es sino la constatación de la situación de estancia irregular en España”.</w:t>
      </w:r>
    </w:p>
    <w:p w14:paraId="50127C15" w14:textId="77777777" w:rsidR="008D479B" w:rsidRDefault="008D479B" w:rsidP="008D479B">
      <w:pPr>
        <w:pStyle w:val="TextoNormal"/>
      </w:pPr>
    </w:p>
    <w:p w14:paraId="61CB5964" w14:textId="72DF7E5B" w:rsidR="008D479B" w:rsidRDefault="008D479B" w:rsidP="008D479B">
      <w:pPr>
        <w:pStyle w:val="TextoNormal"/>
      </w:pPr>
      <w:r>
        <w:t>Afirma a continuación el escrito de alegaciones que la STC 47/2023 declaró la compatibilidad del régimen sancionador de la Ley Orgánica sobre derechos y libertades de los extranjeros en España con la Directiva de retorno, de modo que las dos sentencias aquí impugnadas incurrieron en la misma vulneración apreciada por dicha sentencia del Pleno de este tribunal, la infracción de la garantía material del derecho a la legalidad sancionadora, vulnerando el derecho fundamental del art. 25.1 CE. Al no recoger por otro lado ni la resolución administrativa ni las dos sentencias dictadas, alguna circunstancia agravante que pueda ser valorada, y no ajustarse tampoco a la interpretación auténtica de la Directiva de retorno efectuada por el Tribunal de Justicia de la Unión Europea, “procede estimar el presente recurso de amparo y reconocer que se han vulnerado los derechos a la tutela judicial efectiva (art. 24.1 CE) y a la legalidad penal (art. 25.1 CE) de la demandante de amparo”; con la consiguiente nulidad de todas las resoluciones impugnadas, e inadmisión de la queja referente a la inadmisión del recurso de casación.</w:t>
      </w:r>
    </w:p>
    <w:p w14:paraId="1C4217FB" w14:textId="77777777" w:rsidR="008D479B" w:rsidRDefault="008D479B" w:rsidP="008D479B">
      <w:pPr>
        <w:pStyle w:val="TextoNormal"/>
      </w:pPr>
    </w:p>
    <w:p w14:paraId="1C56CB18" w14:textId="23B6D590" w:rsidR="008D479B" w:rsidRDefault="008D479B" w:rsidP="008D479B">
      <w:pPr>
        <w:pStyle w:val="TextoNormal"/>
      </w:pPr>
      <w:r w:rsidRPr="008D479B">
        <w:rPr>
          <w:rStyle w:val="NumeroAFNegritaCaracter"/>
        </w:rPr>
        <w:t>11</w:t>
      </w:r>
      <w:r>
        <w:t>. Por diligencia de la Secretaría de Justicia de 6 de junio de 2023 se hizo constar el haberse recibido los escritos de alegaciones del Ministerio Fiscal, el abogado del Estado y el representante procesal de la demandante, quedando el presente recurso de amparo pendiente de deliberación cuando por turno le correspondiera.</w:t>
      </w:r>
    </w:p>
    <w:p w14:paraId="01443909" w14:textId="77777777" w:rsidR="008D479B" w:rsidRDefault="008D479B" w:rsidP="008D479B">
      <w:pPr>
        <w:pStyle w:val="TextoNormal"/>
      </w:pPr>
    </w:p>
    <w:p w14:paraId="6B077328" w14:textId="17D9C39A" w:rsidR="008D479B" w:rsidRDefault="008D479B" w:rsidP="008D479B">
      <w:pPr>
        <w:pStyle w:val="TextoNormal"/>
      </w:pPr>
      <w:r w:rsidRPr="008D479B">
        <w:rPr>
          <w:rStyle w:val="NumeroAFNegritaCaracter"/>
        </w:rPr>
        <w:t>12</w:t>
      </w:r>
      <w:r>
        <w:t>. Mediante providencia de 13 de julio de 2023, se señaló para deliberación y votación de la presente sentencia el día 17 del mismo mes y año.</w:t>
      </w:r>
    </w:p>
    <w:p w14:paraId="433E1F68" w14:textId="77777777" w:rsidR="008D479B" w:rsidRDefault="008D479B" w:rsidP="008D479B">
      <w:pPr>
        <w:pStyle w:val="TextoNormal"/>
      </w:pPr>
    </w:p>
    <w:p w14:paraId="343617A3" w14:textId="77777777" w:rsidR="008D479B" w:rsidRDefault="008D479B" w:rsidP="008D479B">
      <w:pPr>
        <w:pStyle w:val="TextoNormalNegritaCentrado"/>
        <w:keepNext/>
      </w:pPr>
      <w:r>
        <w:t>II. Fundamentos jurídicos</w:t>
      </w:r>
    </w:p>
    <w:p w14:paraId="7537DF78" w14:textId="7B84E445" w:rsidR="008D479B" w:rsidRDefault="008D479B" w:rsidP="008D479B">
      <w:pPr>
        <w:pStyle w:val="TextoNormalNegritaCentrado"/>
        <w:keepNext/>
      </w:pPr>
    </w:p>
    <w:p w14:paraId="1047EC6D" w14:textId="77777777" w:rsidR="008D479B" w:rsidRDefault="008D479B" w:rsidP="008D479B">
      <w:pPr>
        <w:pStyle w:val="TextoNormal"/>
      </w:pPr>
      <w:r w:rsidRPr="008D479B">
        <w:rPr>
          <w:rStyle w:val="NumeroAFNegritaCaracter"/>
        </w:rPr>
        <w:t>1</w:t>
      </w:r>
      <w:r>
        <w:t xml:space="preserve">. </w:t>
      </w:r>
      <w:r w:rsidRPr="008D479B">
        <w:rPr>
          <w:i/>
        </w:rPr>
        <w:t>Objeto del recurso</w:t>
      </w:r>
    </w:p>
    <w:p w14:paraId="3A97B0B6" w14:textId="77777777" w:rsidR="008D479B" w:rsidRDefault="008D479B" w:rsidP="008D479B">
      <w:pPr>
        <w:pStyle w:val="TextoNormal"/>
      </w:pPr>
    </w:p>
    <w:p w14:paraId="394A2464" w14:textId="77777777" w:rsidR="008D479B" w:rsidRDefault="008D479B" w:rsidP="008D479B">
      <w:pPr>
        <w:pStyle w:val="TextoNormal"/>
      </w:pPr>
      <w:r>
        <w:t>a) Se interpone el presente recurso de amparo, en primer lugar, contra la resolución de la Delegación del Gobierno en Madrid que decretó la expulsión de España de la recurrente, de nacionalidad dominicana, con la prohibición de retornar al país en un plazo de tres años, al haber incurrido en la infracción grave del art. 53.1 a) LOEx, la estancia en España careciendo de permiso o autorización de la autoridad competente. Se impugnan también las sentencias de primera instancia (juzgado de lo contencioso-administrativo) y apelación (Sala de lo contencioso-administrativo del Tribunal Superior de Justicia de Madrid) que confirmaron aquella resolución administrativa, bien que con una motivación en parte distinta a la contenida en esta última, e incluso divergente parcialmente entre sí las dos sentencias, como luego se dirá. Contra esas tres resoluciones la demanda denuncia la vulneración de los derechos a la tutela judicial efectiva (art. 24.1 CE), por no motivar suficientemente la procedencia de la medida impuesta, y la del principio de proporcionalidad conectado con el art. 25.1 CE. Por último, la demanda impugna también la providencia de la Sección Primera, Sala Tercera, del Tribunal Supremo, que inadmitió indebidamente a su parecer el recurso de casación que había promovido contra la sentencia de segunda instancia, incurriendo con ello la providencia en la lesión, a su vez, del derecho a la tutela judicial efectiva.</w:t>
      </w:r>
    </w:p>
    <w:p w14:paraId="2A735D26" w14:textId="77777777" w:rsidR="008D479B" w:rsidRDefault="008D479B" w:rsidP="008D479B">
      <w:pPr>
        <w:pStyle w:val="TextoNormal"/>
      </w:pPr>
    </w:p>
    <w:p w14:paraId="41971A1F" w14:textId="77777777" w:rsidR="008D479B" w:rsidRDefault="008D479B" w:rsidP="008D479B">
      <w:pPr>
        <w:pStyle w:val="TextoNormal"/>
      </w:pPr>
      <w:r>
        <w:t>El abogado del Estado, personado en representación de la administración pública autora de la resolución sancionadora impugnada, ha formulado alegaciones que han sido resumidas en los antecedentes, interesando la inadmisión de la demanda por extemporaneidad simple y por no haber acreditado materialmente el requisito de la especial trascendencia constitucional del recurso; así como de modo subsidiario su desestimación.</w:t>
      </w:r>
    </w:p>
    <w:p w14:paraId="7E1278FE" w14:textId="77777777" w:rsidR="008D479B" w:rsidRDefault="008D479B" w:rsidP="008D479B">
      <w:pPr>
        <w:pStyle w:val="TextoNormal"/>
      </w:pPr>
    </w:p>
    <w:p w14:paraId="6126CB4B" w14:textId="77777777" w:rsidR="008D479B" w:rsidRDefault="008D479B" w:rsidP="008D479B">
      <w:pPr>
        <w:pStyle w:val="TextoNormal"/>
      </w:pPr>
      <w:r>
        <w:t>Finalmente, el teniente fiscal ante este tribunal también ha presentado sus alegaciones en las que defiende, con los argumentos que igualmente han sido resumidos en los antecedentes de esta sentencia, que en primer lugar han de rechazarse de plano las quejas de lesión del derecho fundamental a un proceso con todas las garantías (art. 24.2 CE) y del principio de seguridad jurídica (art. 9.3 CE), por ser inatendibles; en segundo lugar que debe declararse la inadmisión de la queja de vulneración del derecho a la tutela judicial efectiva causada por la providencia de inadmisión del recurso de casación, al no cumplir con el requisito de agotamiento de la vía judicial previa a la demanda; y en tercer y último lugar y ya en cuanto al fondo, que debe otorgarse el amparo por la doble vulneración de los derechos fundamentales a la tutela judicial efectiva (art. 24.1 CE) y a la legalidad sancionadora (art. 25.1 CE), al no haber motivado debidamente las resoluciones impugnadas la justificación de la expulsión, ni hecha aplicación del principio de proporcionalidad, tal y como exigen los pronunciamientos del Tribunal de Justicia de la Unión Europea, así como la STC 47/2023, de 10 de mayo, que estimó la demanda de amparo en un supuesto similar.</w:t>
      </w:r>
    </w:p>
    <w:p w14:paraId="6A5A6FF3" w14:textId="77777777" w:rsidR="008D479B" w:rsidRDefault="008D479B" w:rsidP="008D479B">
      <w:pPr>
        <w:pStyle w:val="TextoNormal"/>
      </w:pPr>
    </w:p>
    <w:p w14:paraId="49C64A8E" w14:textId="5C968499" w:rsidR="008D479B" w:rsidRDefault="008D479B" w:rsidP="008D479B">
      <w:pPr>
        <w:pStyle w:val="TextoNormal"/>
      </w:pPr>
      <w:r>
        <w:t xml:space="preserve">b) Así formalizadas las correspondientes pretensiones, y antes de analizar los posibles óbices a la admisibilidad del recurso como paso previo al examen de las quejas de fondo, procede dar la razón al teniente fiscal respecto al rechazo de plano de varias de las quejas de la demanda: (i) La de lesión del art. 24.1 CE por supuesta incongruencia de las dos sentencias recurridas en cuanto a responder cuál es el bien o interés constitucional que se asegura con la expulsión, ya que tal motivo queda subsumido en los dos principales que enuncia la demanda (la falta de motivación, administrativa y judicial, de la medida de expulsión; y su falta de proporcionalidad); (ii) la lesión del derecho a un proceso con todas las garantías (art. 24.2 CE), que carece de autonomía argumental y aparece como mero refuerzo de la queja central de vulneración del derecho a la tutela judicial efectiva por insuficiente motivación de la expulsión, y (iii) la supuesta infracción del principio de seguridad jurídica (art. 9.3 CE), principio que no resulta por sí mismo protegible a través del recurso de amparo, </w:t>
      </w:r>
      <w:r w:rsidRPr="008D479B">
        <w:rPr>
          <w:i/>
        </w:rPr>
        <w:t>ex</w:t>
      </w:r>
      <w:r>
        <w:t xml:space="preserve"> art. 53.2 CE y arts. 41 y ss. LOTC.</w:t>
      </w:r>
    </w:p>
    <w:p w14:paraId="18753FCD" w14:textId="77777777" w:rsidR="008D479B" w:rsidRDefault="008D479B" w:rsidP="008D479B">
      <w:pPr>
        <w:pStyle w:val="TextoNormal"/>
      </w:pPr>
    </w:p>
    <w:p w14:paraId="59E3012F" w14:textId="77777777" w:rsidR="008D479B" w:rsidRDefault="008D479B" w:rsidP="008D479B">
      <w:pPr>
        <w:pStyle w:val="TextoNormal"/>
      </w:pPr>
      <w:r w:rsidRPr="008D479B">
        <w:rPr>
          <w:rStyle w:val="NumeroAFNegritaCaracter"/>
        </w:rPr>
        <w:t>2</w:t>
      </w:r>
      <w:r>
        <w:t xml:space="preserve">. </w:t>
      </w:r>
      <w:r w:rsidRPr="008D479B">
        <w:rPr>
          <w:i/>
        </w:rPr>
        <w:t>Óbices a la admisibilidad del recurso</w:t>
      </w:r>
    </w:p>
    <w:p w14:paraId="513A28A9" w14:textId="77777777" w:rsidR="008D479B" w:rsidRDefault="008D479B" w:rsidP="008D479B">
      <w:pPr>
        <w:pStyle w:val="TextoNormal"/>
      </w:pPr>
    </w:p>
    <w:p w14:paraId="200457FC" w14:textId="77777777" w:rsidR="008D479B" w:rsidRDefault="008D479B" w:rsidP="008D479B">
      <w:pPr>
        <w:pStyle w:val="TextoNormal"/>
      </w:pPr>
      <w:r>
        <w:t>a) El abogado del Estado ha opuesto dos excepciones procesales, afectantes ambas a la totalidad del recurso. La primera de ellas señala que la demanda se formalizó de manera extemporánea porque, al tratarse de un recurso de amparo del art. 43 LOTC, el plazo legal para interponerlo era de veinte días (art. 43.2) contados desde la notificación de la resolución que cerraba la vía judicial, a la sazón la providencia de inadmisión del recurso de casación dictada por el Tribunal Supremo; notificación efectuada el 1 de marzo de 2022, mientras que la demanda se interpuso el 3 de abril de 2022, según dice, por eso fuera de plazo (ya que este finalizaba el 30 de marzo de 2022, a las 15:00 horas).</w:t>
      </w:r>
    </w:p>
    <w:p w14:paraId="3FB807EA" w14:textId="77777777" w:rsidR="008D479B" w:rsidRDefault="008D479B" w:rsidP="008D479B">
      <w:pPr>
        <w:pStyle w:val="TextoNormal"/>
      </w:pPr>
    </w:p>
    <w:p w14:paraId="07601F74" w14:textId="77777777" w:rsidR="008D479B" w:rsidRDefault="008D479B" w:rsidP="008D479B">
      <w:pPr>
        <w:pStyle w:val="TextoNormal"/>
      </w:pPr>
      <w:r>
        <w:t>Defendido en estos términos el óbice debe ser desestimado. De entrada no cabe compartir la apreciación del abogado del Estado de que estemos ante un recurso de amparo del art. 43 LOTC. Se trata antes bien de un recurso de amparo mixto. En primer lugar, porque a la doble queja de lesión del derecho a una motivación suficiente de la sanción (art. 24.1 CE) y a la quiebra del principio de proporcionalidad (art. 25.1 CE), que se achacan por la demanda a la resolución administrativa que acordó la expulsión de la recurrente únicamente aplicando la Ley Orgánica sobre derechos y libertades de los extranjeros en España y su Reglamento, añade la demanda otra queja de ambos derechos fundamentales contra la específica motivación que dan la sentencia de primera instancia y la de apelación para confirmar la legalidad de aquella primera resolución.</w:t>
      </w:r>
    </w:p>
    <w:p w14:paraId="4D328697" w14:textId="77777777" w:rsidR="008D479B" w:rsidRDefault="008D479B" w:rsidP="008D479B">
      <w:pPr>
        <w:pStyle w:val="TextoNormal"/>
      </w:pPr>
    </w:p>
    <w:p w14:paraId="7922FD23" w14:textId="77777777" w:rsidR="008D479B" w:rsidRDefault="008D479B" w:rsidP="008D479B">
      <w:pPr>
        <w:pStyle w:val="TextoNormal"/>
      </w:pPr>
      <w:r>
        <w:t>En efecto, las dos sentencias no se fundan en una aplicación estricta del régimen sancionador de la Ley Orgánica sobre derechos y libertades de los extranjeros en España, sino en la aplicación de esta ley a la luz de lo dispuesto en la Directiva 2008/115/CE, del Parlamento y del Consejo, de 16 de diciembre de 2008 (o Directiva de retorno), así como en una exégesis de los pronunciamientos del Tribunal Superior de Justicia de la Unión Europea, y de todo este acervo dichos tribunales deducen la validez de la medida de expulsión impuesta. Normativa y jurisprudencia europea que no aparecen en modo alguno citadas en el decreto de expulsión de 21 de agosto de 2019, y que incorporan al debate las resoluciones judiciales —y en su contestación, los escritos procesales de la recurrente—.</w:t>
      </w:r>
    </w:p>
    <w:p w14:paraId="59ED180D" w14:textId="77777777" w:rsidR="008D479B" w:rsidRDefault="008D479B" w:rsidP="008D479B">
      <w:pPr>
        <w:pStyle w:val="TextoNormal"/>
      </w:pPr>
    </w:p>
    <w:p w14:paraId="0104DA98" w14:textId="77777777" w:rsidR="008D479B" w:rsidRDefault="008D479B" w:rsidP="008D479B">
      <w:pPr>
        <w:pStyle w:val="TextoNormal"/>
      </w:pPr>
      <w:r>
        <w:t xml:space="preserve">Pero es más: ni siquiera el juzgado de lo contencioso-administrativo y el Tribunal Superior de Justicia llegan al mismo entendimiento respecto de la significación de la Directiva retorno y la jurisprudencia del Tribunal Europeo, dado que solo el tribunal de apelación llega a manejar la STJUE de 8 de octubre de 2020, la cual formuló importantes matizaciones a los criterios fijados por el mismo Alto Tribunal el 23 de abril de 2015. Como se ha evidenciado en los antecedentes con la transcripción de los párrafos de ambas sentencias aquí impugnadas, mientras el juzgado concluye que solo cabía la medida de expulsión porque esa es la consecuencia de la sentencia del Tribunal de Justicia de la Unión Europea de 2015, el Tribunal Superior de Justicia admite que dicha sanción solo puede imponerse si se acreditan circunstancias agravantes, las cuales a renglón seguido afirma que concurren: las dos detenciones de la recurrente, que ya había mencionado el juzgado </w:t>
      </w:r>
      <w:r w:rsidRPr="008D479B">
        <w:rPr>
          <w:i/>
        </w:rPr>
        <w:t>a quo</w:t>
      </w:r>
      <w:r>
        <w:t xml:space="preserve"> a mayor abundamiento. De lo expuesto resulta, pues, que la motivación judicial dimanante de las dos sentencias recurridas aparece objetivamente cuestionada por la recurrente, como queja autónoma y separada de la que dedica a la resolución administrativa. Algo de lo que ofrece evidencia palpable las páginas de los escritos de apelación, casación y la propia demanda de amparo presentados por la representación procesal de la recurrente, donde se emplean argumentos en detalle para criticar toda esa interpretación judicial.</w:t>
      </w:r>
    </w:p>
    <w:p w14:paraId="44076D68" w14:textId="77777777" w:rsidR="008D479B" w:rsidRDefault="008D479B" w:rsidP="008D479B">
      <w:pPr>
        <w:pStyle w:val="TextoNormal"/>
      </w:pPr>
    </w:p>
    <w:p w14:paraId="283BFC82" w14:textId="77777777" w:rsidR="008D479B" w:rsidRDefault="008D479B" w:rsidP="008D479B">
      <w:pPr>
        <w:pStyle w:val="TextoNormal"/>
      </w:pPr>
      <w:r>
        <w:t>Por si no fuera bastante, resulta que la demanda trae otra queja también autónoma de vulneración del derecho a la tutela judicial efectiva (art. 24.1 CE), ahora por la indebida inadmisión del recurso de casación acordada por la providencia de 23 de febrero de 2022 de la Sección Primera, Sala Tercera, del Tribunal Supremo. Que esa queja específica pueda a su vez adolecer de un vicio de procedibilidad, como más adelante se dilucidará, en nada impide a la consideración en su conjunto del presente recurso de amparo como mixto.</w:t>
      </w:r>
    </w:p>
    <w:p w14:paraId="26745C25" w14:textId="77777777" w:rsidR="008D479B" w:rsidRDefault="008D479B" w:rsidP="008D479B">
      <w:pPr>
        <w:pStyle w:val="TextoNormal"/>
      </w:pPr>
    </w:p>
    <w:p w14:paraId="55CE515C" w14:textId="77777777" w:rsidR="008D479B" w:rsidRDefault="008D479B" w:rsidP="008D479B">
      <w:pPr>
        <w:pStyle w:val="TextoNormal"/>
      </w:pPr>
      <w:r>
        <w:t>Así las cosas, a falta de previsión expresa en la Ley Orgánica del Tribunal Constitucional para los amparos mixtos el plazo de presentación de la demanda es el más favorable de treinta días, conforme a doctrina reiterada del Tribunal [por todas, SSTC 21/2018, de 5 de marzo, FJ 2 a), y 73/2021, de 18 de marzo, FJ 2 C) b)]. En este caso, la notificación de la providencia de casación tuvo lugar el 1 de marzo de 2022 —según consta en el aviso de Lexnet obrante en las actuaciones—; el plazo de treinta días expiraba por tanto el 13 de abril de 2022 a las 15:00 horas, y la demanda de amparo quedó registrada en este tribunal el 4 de abril de 2022, a las 11:16 horas. La demanda se presentó dentro de plazo.</w:t>
      </w:r>
    </w:p>
    <w:p w14:paraId="0A58AE24" w14:textId="77777777" w:rsidR="008D479B" w:rsidRDefault="008D479B" w:rsidP="008D479B">
      <w:pPr>
        <w:pStyle w:val="TextoNormal"/>
      </w:pPr>
    </w:p>
    <w:p w14:paraId="6BB0966B" w14:textId="77777777" w:rsidR="008D479B" w:rsidRDefault="008D479B" w:rsidP="008D479B">
      <w:pPr>
        <w:pStyle w:val="TextoNormal"/>
      </w:pPr>
      <w:r>
        <w:t>b) En segundo lugar, el abogado del Estado sostiene que la demanda no ha cumplido con acreditar materialmente el requisito de la especial trascendencia constitucional del recurso, exigido en los arts. 49.1 y 50.1 b) LOTC. Considera que aquel escrito no ha disociado el referido requisito objetivo respecto de las propias quejas de fondo denunciadas, y aprovecha para descartar la concurrencia de las causas de especial trascendencia constitucional por la STC 155/2009, de 25 de junio, FJ 2, supuestos d), e) y f).</w:t>
      </w:r>
    </w:p>
    <w:p w14:paraId="173F3924" w14:textId="77777777" w:rsidR="008D479B" w:rsidRDefault="008D479B" w:rsidP="008D479B">
      <w:pPr>
        <w:pStyle w:val="TextoNormal"/>
      </w:pPr>
    </w:p>
    <w:p w14:paraId="71682644" w14:textId="77777777" w:rsidR="008D479B" w:rsidRDefault="008D479B" w:rsidP="008D479B">
      <w:pPr>
        <w:pStyle w:val="TextoNormal"/>
      </w:pPr>
      <w:r>
        <w:t>Pues bien, este óbice también ha de ser desestimado de acuerdo con la reiterada doctrina constitucional a tenor de la cual “[c]orresponde únicamente al Tribunal apreciar en cada caso en el momento de admitir a trámite el recurso de amparo si este tiene especial trascendencia constitucional” [últimamente, entre otras, SSTC 27/2018, de 5 de marzo, FJ 2; 190/2021, de 17 de diciembre, FJ 3; 43/2022, de 21 de marzo, FJ 2; 13/2023, de 6 de marzo, FJ 2 B), y 73/2023, de 19 de junio, FJ 2, así como las anteriores que en ellas se citan].</w:t>
      </w:r>
    </w:p>
    <w:p w14:paraId="29654080" w14:textId="77777777" w:rsidR="008D479B" w:rsidRDefault="008D479B" w:rsidP="008D479B">
      <w:pPr>
        <w:pStyle w:val="TextoNormal"/>
      </w:pPr>
    </w:p>
    <w:p w14:paraId="0B4EF248" w14:textId="77777777" w:rsidR="008D479B" w:rsidRDefault="008D479B" w:rsidP="008D479B">
      <w:pPr>
        <w:pStyle w:val="TextoNormal"/>
      </w:pPr>
      <w:r>
        <w:t>Además, no tiene en cuenta el abogado del Estado cuál ha sido la causa de especial trascendencia constitucional apreciada en la providencia de admisión del presente recurso, dictada el 6 de marzo de este año. No lo ha sido por cierto ninguna de las que reseña en su escrito de alegaciones a modo hipotético, sino la prevista como causa “b” del listado de la STC 155/2009, FJ 2 (la posibilidad para este tribunal “de aclarar o cambiar su doctrina, como consecuencia de un cambio en la doctrina de los órganos de garantía encargados de la interpretación de los tratados y acuerdos internacionales a los que se refiere el art. 10.2 CE”). Causa a la que con sus palabras se refiere la demanda de amparo al aludir al problema general “de reincidente frecuencia” de imposición a nacionales extranjeros de una sanción de expulsión por su situación de estancia irregular en España, en vez de una multa, siendo aquella desproporcionada, al margen de que al final de ese apartado aluda también a circunstancias personales de la recurrente. En todo caso, la demanda ha cumplido con objetivar el problema constitucional que aquí se abordará.</w:t>
      </w:r>
    </w:p>
    <w:p w14:paraId="257A33B1" w14:textId="77777777" w:rsidR="008D479B" w:rsidRDefault="008D479B" w:rsidP="008D479B">
      <w:pPr>
        <w:pStyle w:val="TextoNormal"/>
      </w:pPr>
    </w:p>
    <w:p w14:paraId="5B2D82F4" w14:textId="77777777" w:rsidR="008D479B" w:rsidRDefault="008D479B" w:rsidP="008D479B">
      <w:pPr>
        <w:pStyle w:val="TextoNormal"/>
      </w:pPr>
      <w:r>
        <w:t>c) Finalmente, es el teniente fiscal ante este tribunal quien introduce el tercer óbice de la demanda, circunscrito a la queja de lesión del derecho a la tutela judicial efectiva por la inadmisión del recurso de casación en virtud de la providencia de 23 de febrero de 2022 del Tribunal Supremo; queja para la que no se habría agotado la vía judicial previa al amparo, como exige el art. 44.1 a) LOTC.</w:t>
      </w:r>
    </w:p>
    <w:p w14:paraId="007DE91C" w14:textId="77777777" w:rsidR="008D479B" w:rsidRDefault="008D479B" w:rsidP="008D479B">
      <w:pPr>
        <w:pStyle w:val="TextoNormal"/>
      </w:pPr>
    </w:p>
    <w:p w14:paraId="06F4E03B" w14:textId="77777777" w:rsidR="008D479B" w:rsidRDefault="008D479B" w:rsidP="008D479B">
      <w:pPr>
        <w:pStyle w:val="TextoNormal"/>
      </w:pPr>
      <w:r>
        <w:t>El óbice invocado debe ser estimado. En efecto, tiene razón el ministerio público cuando pone de relieve que contra la providencia de inadmisión del recurso de casación y a falta de un recurso disponible por ley, debió interponer la recurrente un incidente de nulidad de actuaciones del art. 241 LOPJ que sí cabía, por ser aquella providencia la resolución que ponía fin al procedimiento y no haberse podido denunciarse antes la lesión, dando así a la Sala del Alto Tribunal la oportunidad de conocer y repararla en su caso, preservando de paso con ello la subsidiariedad de esta jurisdicción constitucional. Al no haberlo hecho así, la queja no puede ser examinada, por ser inadmisible [últimamente, SSTC 45/2020, de 9 de marzo, FJ único; 107/2021, de 13 de mayo, FJ 2 b), y 147/2022, de 29 de noviembre, FJ 2 b)].</w:t>
      </w:r>
    </w:p>
    <w:p w14:paraId="038D450C" w14:textId="77777777" w:rsidR="008D479B" w:rsidRDefault="008D479B" w:rsidP="008D479B">
      <w:pPr>
        <w:pStyle w:val="TextoNormal"/>
      </w:pPr>
    </w:p>
    <w:p w14:paraId="2B6B93FC" w14:textId="77777777" w:rsidR="008D479B" w:rsidRDefault="008D479B" w:rsidP="008D479B">
      <w:pPr>
        <w:pStyle w:val="TextoNormal"/>
      </w:pPr>
      <w:r>
        <w:t>La apreciación de este óbice, en todo caso, no alcanza a las demás quejas deducidas en la demanda, resultando al efecto de aplicación nuestra doctrina relativa al no “efecto de arrastre” cuando se formalizan dos o más vulneraciones constitucionales en una demanda y una o varias de ellas, pero no todas, están afectadas de algún óbice procesal (STC 101/2018, de 1 de octubre, FJ 2; en el mismo sentido SSTC 166/2019, de 16 de diciembre, FJ único; 160/2020, de 16 de noviembre, FJ 2, y 78/2021, de 19 de abril, FJ 3).</w:t>
      </w:r>
    </w:p>
    <w:p w14:paraId="2CB0BF55" w14:textId="77777777" w:rsidR="008D479B" w:rsidRDefault="008D479B" w:rsidP="008D479B">
      <w:pPr>
        <w:pStyle w:val="TextoNormal"/>
      </w:pPr>
    </w:p>
    <w:p w14:paraId="3092D024" w14:textId="13A8EBC9" w:rsidR="008D479B" w:rsidRDefault="008D479B" w:rsidP="008D479B">
      <w:pPr>
        <w:pStyle w:val="TextoNormal"/>
      </w:pPr>
      <w:r>
        <w:t>Procede pasar a continuación a resolver justamente las quejas de fondo que quedan en pie.</w:t>
      </w:r>
    </w:p>
    <w:p w14:paraId="4EFC86AE" w14:textId="77777777" w:rsidR="008D479B" w:rsidRDefault="008D479B" w:rsidP="008D479B">
      <w:pPr>
        <w:pStyle w:val="TextoNormal"/>
      </w:pPr>
    </w:p>
    <w:p w14:paraId="51BD4E7C" w14:textId="77777777" w:rsidR="008D479B" w:rsidRDefault="008D479B" w:rsidP="008D479B">
      <w:pPr>
        <w:pStyle w:val="TextoNormal"/>
      </w:pPr>
      <w:r w:rsidRPr="008D479B">
        <w:rPr>
          <w:rStyle w:val="NumeroAFNegritaCaracter"/>
        </w:rPr>
        <w:t>3</w:t>
      </w:r>
      <w:r>
        <w:t xml:space="preserve">. </w:t>
      </w:r>
      <w:r w:rsidRPr="008D479B">
        <w:rPr>
          <w:i/>
        </w:rPr>
        <w:t>Examen de la queja de vulneración del principio de proporcionalidad de la medida de expulsión. Aplicación de la doctrina de la STC 47/2023, de 10 de mayo. Estimación de la demanda</w:t>
      </w:r>
    </w:p>
    <w:p w14:paraId="437C2636" w14:textId="77777777" w:rsidR="008D479B" w:rsidRDefault="008D479B" w:rsidP="008D479B">
      <w:pPr>
        <w:pStyle w:val="TextoNormal"/>
      </w:pPr>
    </w:p>
    <w:p w14:paraId="43646CF5" w14:textId="77777777" w:rsidR="008D479B" w:rsidRDefault="008D479B" w:rsidP="008D479B">
      <w:pPr>
        <w:pStyle w:val="TextoNormal"/>
      </w:pPr>
      <w:r>
        <w:t>a) En la reciente sentencia de este tribunal 80/2023, de 3 de julio (recurso de amparo núm. 4255-2020), al enjuiciar una demanda de amparo de contenido similar a la que aquí nos ocupa, tuvimos ocasión de declarar lo siguiente en el fundamento jurídico 3, apartados a) y b):</w:t>
      </w:r>
    </w:p>
    <w:p w14:paraId="7749017A" w14:textId="77777777" w:rsidR="008D479B" w:rsidRDefault="008D479B" w:rsidP="008D479B">
      <w:pPr>
        <w:pStyle w:val="TextoNormal"/>
      </w:pPr>
    </w:p>
    <w:p w14:paraId="1948BEB1" w14:textId="77777777" w:rsidR="008D479B" w:rsidRDefault="008D479B" w:rsidP="008D479B">
      <w:pPr>
        <w:pStyle w:val="TextoNormal"/>
      </w:pPr>
      <w:r>
        <w:t>«a) El presente recurso de amparo se integra dentro de una serie de recursos admitidos a trámite por este tribunal, en los que se plantea el mismo problema constitucional: órdenes administrativas de expulsión de España de nacionales extranjeros, con la consiguiente prohibición de retorno a nuestro país en un plazo determinado, por haber cometido la infracción tipificada en el art. 51.3 a) LOEx, encontrarse irregularmente en España por carecer de permiso de residencia o autorización expedida por la autoridad competente. La medida de expulsión resulta impugnada en estos recursos aduciendo la quiebra del principio de proporcionalidad de la medida sancionadora, al entender que el juego conjunto de los arts. 55.1 b) y 57.1 de la misma LOEx, y un correcto entendimiento de la Directiva 2008/115/CE del Parlamento Europeo y del Consejo, de 16 de diciembre de 2008, o Directiva de retorno, permiten a la administración competente decretar una medida de multa en vez de la expulsión, al no concurrir circunstancias personales de agravación de la propia situación de estancia irregular del afectado que justifiquen la expulsión.</w:t>
      </w:r>
    </w:p>
    <w:p w14:paraId="1AD08C24" w14:textId="77777777" w:rsidR="008D479B" w:rsidRDefault="008D479B" w:rsidP="008D479B">
      <w:pPr>
        <w:pStyle w:val="TextoNormal"/>
      </w:pPr>
    </w:p>
    <w:p w14:paraId="2E75E0AA" w14:textId="77777777" w:rsidR="008D479B" w:rsidRDefault="008D479B" w:rsidP="008D479B">
      <w:pPr>
        <w:pStyle w:val="TextoNormal"/>
      </w:pPr>
      <w:r>
        <w:t>El recurso de amparo cabecera de dicha serie, núm. 1060-2010, ha sido resuelto por la sentencia del Pleno de este tribunal 47/2023, de 10 de mayo, declarando en su fallo el reconocimiento de haberse vulnerado el derecho fundamental de la parte recurrente a la legalidad sancionadora del art. 25.1 CE. En dicha sentencia, fundamento jurídico 3, este Tribunal ha pasado revista al marco regulador interno (LOEx) habilitante de las posibles sanciones aplicables; a los principales preceptos de la Directiva 2008/115/CE, y a la doctrina que ha ido fijando paulatinamente el Tribunal de Justicia de la Unión Europea en respuesta al planteamiento de diversas cuestiones prejudiciales por parte de los tribunales españoles, acerca de la compatibilidad entre dicha directiva y su trasposición en el año 2009 a las disposiciones de la Ley Orgánica sobre derechos y libertades de los extranjeros en España</w:t>
      </w:r>
      <w:r>
        <w:tab/>
        <w:t xml:space="preserve">. En concreto, nos referimos a las sentencias de 23 de abril de 2015, asunto </w:t>
      </w:r>
      <w:r w:rsidRPr="008D479B">
        <w:rPr>
          <w:i/>
        </w:rPr>
        <w:t>Subdelegación del Gobierno en Guipúzcoa c. Samir Zaizoune</w:t>
      </w:r>
      <w:r>
        <w:t xml:space="preserve">, C-38/14; de 8 de octubre de 2020, asunto </w:t>
      </w:r>
      <w:r w:rsidRPr="008D479B">
        <w:rPr>
          <w:i/>
        </w:rPr>
        <w:t>MO c. Subdelegación del Gobierno en Toledo</w:t>
      </w:r>
      <w:r>
        <w:t xml:space="preserve">, C-568/19, y de 3 de marzo de 2022 asunto </w:t>
      </w:r>
      <w:r w:rsidRPr="008D479B">
        <w:rPr>
          <w:i/>
        </w:rPr>
        <w:t>UN c. Subdelegación del Gobierno en Pontevedra</w:t>
      </w:r>
      <w:r>
        <w:t>, C-409/20; así como también diversos pronunciamientos de la Sala Tercera de nuestro Tribunal Supremo en estos mismos años, con el fin de adecuarse a la doctrina del Tribunal de Justicia.</w:t>
      </w:r>
    </w:p>
    <w:p w14:paraId="48717036" w14:textId="77777777" w:rsidR="008D479B" w:rsidRDefault="008D479B" w:rsidP="008D479B">
      <w:pPr>
        <w:pStyle w:val="TextoNormal"/>
      </w:pPr>
    </w:p>
    <w:p w14:paraId="11672017" w14:textId="77777777" w:rsidR="008D479B" w:rsidRDefault="008D479B" w:rsidP="008D479B">
      <w:pPr>
        <w:pStyle w:val="TextoNormal"/>
      </w:pPr>
      <w:r>
        <w:t>Más adelante, en el fundamento jurídico 4, la citada STC 47/2023 ha recordado la doctrina constitucional existente sobre el derecho a la legalidad sancionadora, como vertiente material del art. 25.1 CE, y tras ello, al hacer aplicación de toda la doctrina invocada al caso concreto, constatamos que:</w:t>
      </w:r>
    </w:p>
    <w:p w14:paraId="0228EDAB" w14:textId="77777777" w:rsidR="008D479B" w:rsidRDefault="008D479B" w:rsidP="008D479B">
      <w:pPr>
        <w:pStyle w:val="TextoNormal"/>
      </w:pPr>
    </w:p>
    <w:p w14:paraId="0C94C837" w14:textId="77777777" w:rsidR="008D479B" w:rsidRDefault="008D479B" w:rsidP="008D479B">
      <w:pPr>
        <w:pStyle w:val="TextoNormal"/>
      </w:pPr>
      <w:r>
        <w:t>“La resolución que acuerda la expulsión no alude en su motivación a ninguna circunstancia agravante o negativa que pudiera concurrir en la recurrente; las resoluciones judiciales tampoco reflejaron ningún elemento negativo y confirmaron la resolución de expulsión basándose en la ausencia de arraigo de la ahora demandante de amparo.</w:t>
      </w:r>
    </w:p>
    <w:p w14:paraId="7FFE6365" w14:textId="77777777" w:rsidR="008D479B" w:rsidRDefault="008D479B" w:rsidP="008D479B">
      <w:pPr>
        <w:pStyle w:val="TextoNormal"/>
      </w:pPr>
    </w:p>
    <w:p w14:paraId="77B1623B" w14:textId="77777777" w:rsidR="008D479B" w:rsidRDefault="008D479B" w:rsidP="008D479B">
      <w:pPr>
        <w:pStyle w:val="TextoNormal"/>
      </w:pPr>
      <w:r>
        <w:t>En efecto, las resoluciones judiciales declararon procedente la expulsión con fundamento en la aplicación directa de lo dispuesto en el art. 6.1 de la Directiva 2008/115/CE y en que la recurrente carecía de arraigo en España. Pero con tal argumentación, los órganos judiciales dejaron de aplicar las consecuencias previstas en la normativa española para las situaciones de estancia irregular, puesto que en nuestro derecho no está prevista la sanción de expulsión para los supuestos de mera estancia irregular de las personas extranjeras en quienes no se aprecie ninguna circunstancia agravante o negativa. Esta interpretación de los tribunales españoles que marginaba la normativa nacional más favorable y que otorgaba un efecto directo inverso a la Directiva de retorno es errónea y contraria a la jurisprudencia del Tribunal de Justicia de la Unión Europea sobre la eficacia de esta clase de normas en los ordenamientos internos. Como señala la STJUE de 8 de octubre de 2020, ‘es preciso recordar que, según reiterada jurisprudencia del Tribunal de Justicia, las directivas no pueden, por sí solas, crear obligaciones a cargo de los particulares, pues los Estados miembros no pueden invocar las disposiciones de las directivas, en su calidad de tales, contra dichas personas’ (apartado 35).</w:t>
      </w:r>
    </w:p>
    <w:p w14:paraId="3DF48815" w14:textId="77777777" w:rsidR="008D479B" w:rsidRDefault="008D479B" w:rsidP="008D479B">
      <w:pPr>
        <w:pStyle w:val="TextoNormal"/>
      </w:pPr>
    </w:p>
    <w:p w14:paraId="3D9F5D4B" w14:textId="77777777" w:rsidR="008D479B" w:rsidRDefault="008D479B" w:rsidP="008D479B">
      <w:pPr>
        <w:pStyle w:val="TextoNormal"/>
      </w:pPr>
      <w:r>
        <w:t>Nuestro régimen de extranjería solo justificaba y justifica la sanción de expulsión para los casos de estancia irregular, en lugar de la sanción de multa [art. 55.1 b) LOEx], ‘en atención al principio de proporcionalidad […], previa la tramitación del correspondiente expediente administrativo y mediante la resolución motivada que valore los hechos que configuran la infracción’ (art. 57.1 LOEx). La compatibilidad de este régimen con la normativa comunitaria fue aclarada por la citada STJUE de 8 de octubre de 2020, cuyo fallo dispuso que ‘cuando la normativa nacional, en caso de situación irregular de nacionales de terceros países en el territorio de un Estado miembro, imponga, o bien una sanción de multa, o bien la expulsión, teniendo en cuenta que la segunda medida solo puede adoptarse si existen circunstancias agravantes en la persona de dichos nacionales, adicionales a su situación irregular, la autoridad nacional competente no podrá basarse directamente en lo dispuesto en la Directiva para adoptar una decisión de retorno y hacer cumplir dicha decisión aun cuando no existan circunstancias agravantes’.</w:t>
      </w:r>
    </w:p>
    <w:p w14:paraId="71F549D1" w14:textId="77777777" w:rsidR="008D479B" w:rsidRDefault="008D479B" w:rsidP="008D479B">
      <w:pPr>
        <w:pStyle w:val="TextoNormal"/>
      </w:pPr>
    </w:p>
    <w:p w14:paraId="77D08C13" w14:textId="77777777" w:rsidR="008D479B" w:rsidRDefault="008D479B" w:rsidP="008D479B">
      <w:pPr>
        <w:pStyle w:val="TextoNormal"/>
      </w:pPr>
      <w:r>
        <w:t>Por tal motivo, con independencia de la interpretación que la jurisdicción ordinaria efectúe sobre la aplicabilidad de la sanción de multa para los supuestos de mera estancia irregular, debe concluirse que, al imponer la administración la sanción de expulsión, se infringió la garantía material del derecho a la legalidad sancionadora de la recurrente a causa de una aplicación irrazonable de la norma sancionadora. La administración impuso la sanción de expulsión del art. 57.1 LOEx, luego confirmada judicialmente con una interpretación errónea sobre la eficacia de la Directiva de retorno, a una situación de estancia irregular en la que no consta que concurriera ninguna circunstancia agravante o elemento negativo que la hubiese justificado, ‘en atención al principio de proporcionalidad’, tal y como dicho precepto exige para su aplicación.</w:t>
      </w:r>
    </w:p>
    <w:p w14:paraId="47A4243F" w14:textId="77777777" w:rsidR="008D479B" w:rsidRDefault="008D479B" w:rsidP="008D479B">
      <w:pPr>
        <w:pStyle w:val="TextoNormal"/>
      </w:pPr>
    </w:p>
    <w:p w14:paraId="6C0752C8" w14:textId="77777777" w:rsidR="008D479B" w:rsidRDefault="008D479B" w:rsidP="008D479B">
      <w:pPr>
        <w:pStyle w:val="TextoNormal"/>
      </w:pPr>
      <w:r>
        <w:t>La apreciación de la vulneración invocada conduce a otorgar el amparo solicitado por la demandante [art. 53 a) LOTC]”.</w:t>
      </w:r>
    </w:p>
    <w:p w14:paraId="3E374DE2" w14:textId="77777777" w:rsidR="008D479B" w:rsidRDefault="008D479B" w:rsidP="008D479B">
      <w:pPr>
        <w:pStyle w:val="TextoNormal"/>
      </w:pPr>
    </w:p>
    <w:p w14:paraId="57DC3889" w14:textId="77777777" w:rsidR="008D479B" w:rsidRDefault="008D479B" w:rsidP="008D479B">
      <w:pPr>
        <w:pStyle w:val="TextoNormal"/>
      </w:pPr>
      <w:r>
        <w:t>b) La doctrina de la STC 47/2023 ha sido aplicada ya en resoluciones posteriores de este tribunal, con el resultado de declarar la vulneración del derecho a la legalidad sancionadora en las SSTC 70/2023 (recurso de amparo núm. 5731-2020), y 71/2023 (recurso de amparo núm. 5744-2020), ambas de 19 de junio.</w:t>
      </w:r>
    </w:p>
    <w:p w14:paraId="458B3497" w14:textId="77777777" w:rsidR="008D479B" w:rsidRDefault="008D479B" w:rsidP="008D479B">
      <w:pPr>
        <w:pStyle w:val="TextoNormal"/>
      </w:pPr>
    </w:p>
    <w:p w14:paraId="0EE73FDD" w14:textId="77777777" w:rsidR="008D479B" w:rsidRDefault="008D479B" w:rsidP="008D479B">
      <w:pPr>
        <w:pStyle w:val="TextoNormal"/>
      </w:pPr>
      <w:r>
        <w:t>Asimismo, en las SSTC 53/2023 y 55/2023, ambas de 22 de mayo, también con aplicación de la STC 47/2023, se ha declarado en el fallo la vulneración de los derechos a la tutela judicial efectiva (art. 24.1 CE) y a la legalidad penal (art. 25.1 CE), al apreciarse que la quiebra del principio de proporcionalidad de la medida sancionadora también derivaba de una motivación insuficiente de los actos impugnados.</w:t>
      </w:r>
    </w:p>
    <w:p w14:paraId="376C7D0E" w14:textId="77777777" w:rsidR="008D479B" w:rsidRDefault="008D479B" w:rsidP="008D479B">
      <w:pPr>
        <w:pStyle w:val="TextoNormal"/>
      </w:pPr>
    </w:p>
    <w:p w14:paraId="112CE9B7" w14:textId="77777777" w:rsidR="008D479B" w:rsidRDefault="008D479B" w:rsidP="008D479B">
      <w:pPr>
        <w:pStyle w:val="TextoNormal"/>
      </w:pPr>
      <w:r>
        <w:t>En esta situación se encuentra precisamente el asunto planteado por la demandante del presente recurso de amparo, tal y como ha alegado en sus distintos escritos procesales, como de inmediato se dirá».</w:t>
      </w:r>
    </w:p>
    <w:p w14:paraId="69647423" w14:textId="77777777" w:rsidR="008D479B" w:rsidRDefault="008D479B" w:rsidP="008D479B">
      <w:pPr>
        <w:pStyle w:val="TextoNormal"/>
      </w:pPr>
    </w:p>
    <w:p w14:paraId="5AABAC5E" w14:textId="77777777" w:rsidR="008D479B" w:rsidRDefault="008D479B" w:rsidP="008D479B">
      <w:pPr>
        <w:pStyle w:val="TextoNormal"/>
      </w:pPr>
      <w:r>
        <w:t>b) El examen de las actuaciones del presente caso determina la realidad de la vulneración del principio de legalidad penal (art. 25.1 CE), en concreto por no haberse ponderado la proporcionalidad de la medida de expulsión impuesta a la recurrente:</w:t>
      </w:r>
    </w:p>
    <w:p w14:paraId="37720C9E" w14:textId="77777777" w:rsidR="008D479B" w:rsidRDefault="008D479B" w:rsidP="008D479B">
      <w:pPr>
        <w:pStyle w:val="TextoNormal"/>
      </w:pPr>
    </w:p>
    <w:p w14:paraId="3C690FDB" w14:textId="77777777" w:rsidR="008D479B" w:rsidRDefault="008D479B" w:rsidP="008D479B">
      <w:pPr>
        <w:pStyle w:val="TextoNormal"/>
      </w:pPr>
      <w:r>
        <w:t>(i) No lo hizo, en primer lugar, la resolución de la Delegación del Gobierno que acordó la medida, que en virtud de su naturaleza de acto sancionador era la única que podía esgrimir los motivos para castigar. Dicha resolución se limita a achacar a la recurrente el no disponer de documento alguno que acredite su situación de estancia o residencial legal en España, y que en las bases de datos a las que ha tenido acceso la administración no consta pendiente de resolver ninguna solicitud de autorización de residencia o trabajo, negando que haya acreditado un especial arraigo familiar o social. No expresa el decreto en cuestión, sin embargo, que se hubieren probado en el expediente circunstancias personales negativas distintas de la que conforma la situación de estancia irregular, susceptibles así de justificar con arreglo al principio de proporcionalidad (art. 57.1 LOEx), la medida de expulsión del país y no la sanción prevista con carácter general para dicha infracción grave del art. 53.1 a) LOEx, de multa.</w:t>
      </w:r>
    </w:p>
    <w:p w14:paraId="70CA8A8D" w14:textId="77777777" w:rsidR="008D479B" w:rsidRDefault="008D479B" w:rsidP="008D479B">
      <w:pPr>
        <w:pStyle w:val="TextoNormal"/>
      </w:pPr>
    </w:p>
    <w:p w14:paraId="73338E6F" w14:textId="77777777" w:rsidR="008D479B" w:rsidRDefault="008D479B" w:rsidP="008D479B">
      <w:pPr>
        <w:pStyle w:val="TextoNormal"/>
      </w:pPr>
      <w:r>
        <w:t>(ii) Por lo que respecta a las resoluciones judiciales tampoco el juicio de ponderación puede reputarse adecuado. En primer lugar en cuanto a los hechos, porque tanto el juzgado de lo contencioso-administrativo (en el fundamento de Derecho tercero), como la sección competente del Tribunal Superior de Justicia en apelación (en el fundamento de Derecho séptimo), confirman la resolución administrativa impugnada aduciendo, además de la prueba de la situación de estancia ilegal y la falta de arraigo, el hecho de que la recurrente había sido detenida en dos ocasiones, una en 2018 por un presunto delito de atentado y/o resistencia y desobediencia a la autoridad, y otra en 2019 por una agresión entre ella y su entonces pareja sentimental.</w:t>
      </w:r>
    </w:p>
    <w:p w14:paraId="4D47A723" w14:textId="77777777" w:rsidR="008D479B" w:rsidRDefault="008D479B" w:rsidP="008D479B">
      <w:pPr>
        <w:pStyle w:val="TextoNormal"/>
      </w:pPr>
    </w:p>
    <w:p w14:paraId="7EB7DA83" w14:textId="77777777" w:rsidR="008D479B" w:rsidRDefault="008D479B" w:rsidP="008D479B">
      <w:pPr>
        <w:pStyle w:val="TextoNormal"/>
      </w:pPr>
      <w:r>
        <w:t xml:space="preserve">Sucede, sin embargo, que el dato de las dos detenciones no figura en el acto sancionador, y por tanto no pueden integrarse </w:t>
      </w:r>
      <w:r w:rsidRPr="008D479B">
        <w:rPr>
          <w:i/>
        </w:rPr>
        <w:t>ex novo</w:t>
      </w:r>
      <w:r>
        <w:t xml:space="preserve"> en vía judicial como fundamento de la decisión, sustituyendo así el juez a la administración que es la autoridad competente para la selección de los hechos que merecen ser castigados con una u otra sanción.</w:t>
      </w:r>
    </w:p>
    <w:p w14:paraId="2F31F951" w14:textId="77777777" w:rsidR="008D479B" w:rsidRDefault="008D479B" w:rsidP="008D479B">
      <w:pPr>
        <w:pStyle w:val="TextoNormal"/>
      </w:pPr>
    </w:p>
    <w:p w14:paraId="22BFD7BE" w14:textId="77777777" w:rsidR="008D479B" w:rsidRDefault="008D479B" w:rsidP="008D479B">
      <w:pPr>
        <w:pStyle w:val="TextoNormal"/>
      </w:pPr>
      <w:r>
        <w:t>Además, y como bien argumenta el teniente fiscal en su escrito de alegaciones, se ignora cuál ha podido ser el recorrido judicial de los hechos por los que la recurrente habría sido detenida dos veces, ni desde luego consta que haya sido condenada penalmente por los mismos, por lo que mal puede la simple noticia de esas detenciones (con valor equivalente a una denuncia, dice el fiscal) erigirse en causa proporcional de su expulsión de España, por la única comisión del ilícito del art. 53.1 a) LOEx.</w:t>
      </w:r>
    </w:p>
    <w:p w14:paraId="6A7EB995" w14:textId="77777777" w:rsidR="008D479B" w:rsidRDefault="008D479B" w:rsidP="008D479B">
      <w:pPr>
        <w:pStyle w:val="TextoNormal"/>
      </w:pPr>
    </w:p>
    <w:p w14:paraId="6AE7B1C7" w14:textId="77777777" w:rsidR="008D479B" w:rsidRDefault="008D479B" w:rsidP="008D479B">
      <w:pPr>
        <w:pStyle w:val="TextoNormal"/>
      </w:pPr>
      <w:r>
        <w:t>(iii) En el plano normativo, el juzgado de lo contencioso-administrativo colige que la posibilidad de imposición de una multa, claramente fijada en los arts. 55.1 y 57.1 LOEx, queda no obstante preterida en favor de una exégesis de la Directiva de retorno y de la STJUE de 23 de abril de 2015 —asumida por el Tribunal Supremo—, que en virtud de una aplicación directa de tal directiva alcanza el resultado inexorable de la expulsión; interpretación esta que posteriormente ha matizado el propio Tribunal Europeo a partir de su sentencia de 8 de octubre de 2020.</w:t>
      </w:r>
    </w:p>
    <w:p w14:paraId="606E6885" w14:textId="77777777" w:rsidR="008D479B" w:rsidRDefault="008D479B" w:rsidP="008D479B">
      <w:pPr>
        <w:pStyle w:val="TextoNormal"/>
      </w:pPr>
    </w:p>
    <w:p w14:paraId="3B88E8E7" w14:textId="77777777" w:rsidR="008D479B" w:rsidRDefault="008D479B" w:rsidP="008D479B">
      <w:pPr>
        <w:pStyle w:val="TextoNormal"/>
      </w:pPr>
      <w:r>
        <w:t>Ciertamente la argumentación normativa del juzgado no es compartida por el tribunal de apelación, que tras hacer cita y comentar el dictado de la referida STJUE de 8 de octubre de 2020 y lo que esta resuelve, “determina que esta Sección abandone el criterio interpretativo adoptado en sus sentencias […]. Siendo la proporcionalidad de la expulsión el núcleo esencial de la cuestión a debatir, y puesto que, de acuerdo con la sentencia del Tribunal Supremo de 17 de marzo de 2021”; y reconoce que procede la expulsión pero condicionado a que se acrediten circunstancias agravantes distintas a la mera situación de estancia irregular. Sin embargo, esa decisión aplicativa de la proporcionalidad yerra, al anclarla en el dato de las dos detenciones sufridas por la recurrente, hecho que ya hemos dicho no puede ser valorado a efectos de la expulsión. Y obvia la necesidad de aplicación del principio de proporcionalidad en favor de la multa, en los términos expuestos por la STC 47/2023.</w:t>
      </w:r>
    </w:p>
    <w:p w14:paraId="6DECE8C5" w14:textId="77777777" w:rsidR="008D479B" w:rsidRDefault="008D479B" w:rsidP="008D479B">
      <w:pPr>
        <w:pStyle w:val="TextoNormal"/>
      </w:pPr>
    </w:p>
    <w:p w14:paraId="114B0E04" w14:textId="77777777" w:rsidR="008D479B" w:rsidRDefault="008D479B" w:rsidP="008D479B">
      <w:pPr>
        <w:pStyle w:val="TextoNormal"/>
      </w:pPr>
      <w:r>
        <w:t>c) Finalmente, procede traer de nuevo a colación nuestra STC 80/2023, de 3 de julio, FJ 3 e) cuando, tras exponer lo conducente respecto a la concurrencia de la lesión del principio de legalidad sancionadora (art. 25.1 CE), declaramos también:</w:t>
      </w:r>
    </w:p>
    <w:p w14:paraId="58998A3C" w14:textId="77777777" w:rsidR="008D479B" w:rsidRDefault="008D479B" w:rsidP="008D479B">
      <w:pPr>
        <w:pStyle w:val="TextoNormal"/>
      </w:pPr>
    </w:p>
    <w:p w14:paraId="0E361FDA" w14:textId="77777777" w:rsidR="008D479B" w:rsidRDefault="008D479B" w:rsidP="008D479B">
      <w:pPr>
        <w:pStyle w:val="TextoNormal"/>
      </w:pPr>
      <w:r>
        <w:t>“Como indicamos en el fundamento jurídico 3, último párrafo, de las SSTC 53/2023 y 55/2023, los actos aquí impugnados ‘parten de una interpretación de la Directiva de retorno que este tribunal ha declarado ya errónea por no ajustarse a la interpretación auténtica que de la misma han verificado las SSTJUE de 8 de octubre de 2020 y de 3 de marzo de 2022. Estamos por ello ante un caso de denegación de tutela judicial efectiva del legítimo interés de la recurrente a no sufrir una sanción desproporcionada e inmotivada, interés conectado con el principio de legalidad penal del art. 25.1 CE, cuya trascendencia material exige como remedio necesario la anulación definitiva de los actos lesivos’”.</w:t>
      </w:r>
    </w:p>
    <w:p w14:paraId="74F43548" w14:textId="77777777" w:rsidR="008D479B" w:rsidRDefault="008D479B" w:rsidP="008D479B">
      <w:pPr>
        <w:pStyle w:val="TextoNormal"/>
      </w:pPr>
    </w:p>
    <w:p w14:paraId="2BE4BB49" w14:textId="4F33A8C0" w:rsidR="008D479B" w:rsidRDefault="008D479B" w:rsidP="008D479B">
      <w:pPr>
        <w:pStyle w:val="TextoNormal"/>
      </w:pPr>
      <w:r>
        <w:t>d) Se estima por tanto la segunda queja de la demanda, otorgando el amparo que se nos solicita, declarando vulnerados los derechos fundamentales de la recurrente a la tutela judicial efectiva (art. 24.1 CE) y a la legalidad penal (art. 25.1 CE). Se acuerda como medida para la reparación de estos derechos la nulidad de todas las resoluciones impugnadas —incluyendo la dictada por el Tribunal Supremo, al confirmar las anteriores—, sin necesidad de acordar la retroacción de las actuaciones a ninguna fase jurisdiccional o administrativa, como pedía el fiscal ante este tribunal.</w:t>
      </w:r>
    </w:p>
    <w:p w14:paraId="5275D1E3" w14:textId="77777777" w:rsidR="008D479B" w:rsidRDefault="008D479B" w:rsidP="008D479B">
      <w:pPr>
        <w:pStyle w:val="TextoNormal"/>
      </w:pPr>
    </w:p>
    <w:p w14:paraId="54388560" w14:textId="77777777" w:rsidR="008D479B" w:rsidRDefault="008D479B" w:rsidP="008D479B">
      <w:pPr>
        <w:pStyle w:val="TextoNormalCentrado"/>
        <w:keepNext/>
      </w:pPr>
      <w:r>
        <w:t>FALLO</w:t>
      </w:r>
    </w:p>
    <w:p w14:paraId="1AB8ABCD" w14:textId="39A3992F" w:rsidR="008D479B" w:rsidRDefault="008D479B" w:rsidP="008D479B">
      <w:pPr>
        <w:pStyle w:val="TextoNormalCentrado"/>
        <w:keepNext/>
      </w:pPr>
    </w:p>
    <w:p w14:paraId="265DE7BB" w14:textId="77777777" w:rsidR="008D479B" w:rsidRDefault="008D479B" w:rsidP="008D479B">
      <w:pPr>
        <w:pStyle w:val="TextoNormal"/>
      </w:pPr>
      <w:r>
        <w:t>En atención a todo lo expuesto, el Tribunal Constitucional, por la autoridad que le confiere la Constitución de la Nación española, ha decidido en relación con el recurso de amparo interpuesto por doña Marelyn Franllely Familia Lugo:</w:t>
      </w:r>
    </w:p>
    <w:p w14:paraId="544C37A8" w14:textId="77777777" w:rsidR="008D479B" w:rsidRDefault="008D479B" w:rsidP="008D479B">
      <w:pPr>
        <w:pStyle w:val="TextoNormal"/>
      </w:pPr>
    </w:p>
    <w:p w14:paraId="563209B6" w14:textId="77777777" w:rsidR="008D479B" w:rsidRDefault="008D479B" w:rsidP="008D479B">
      <w:pPr>
        <w:pStyle w:val="TextoNormal"/>
      </w:pPr>
      <w:r>
        <w:t>1º Inadmitir la queja de vulneración del derecho al recurso (art. 24.1 CE) por la inadmisión de su recurso de casación.</w:t>
      </w:r>
    </w:p>
    <w:p w14:paraId="456918DA" w14:textId="77777777" w:rsidR="008D479B" w:rsidRDefault="008D479B" w:rsidP="008D479B">
      <w:pPr>
        <w:pStyle w:val="TextoNormal"/>
      </w:pPr>
    </w:p>
    <w:p w14:paraId="37095701" w14:textId="77777777" w:rsidR="008D479B" w:rsidRDefault="008D479B" w:rsidP="008D479B">
      <w:pPr>
        <w:pStyle w:val="TextoNormal"/>
      </w:pPr>
      <w:r>
        <w:t>2º Estimar las quejas de falta de motivación y de proporcionalidad de la medida de expulsión, reconociendo que han sido vulnerados sus derechos a la tutela judicial efectiva (art. 24.1 CE) y a la legalidad penal (art. 25.1 CE).</w:t>
      </w:r>
    </w:p>
    <w:p w14:paraId="619A48D8" w14:textId="77777777" w:rsidR="008D479B" w:rsidRDefault="008D479B" w:rsidP="008D479B">
      <w:pPr>
        <w:pStyle w:val="TextoNormal"/>
      </w:pPr>
    </w:p>
    <w:p w14:paraId="33DDB432" w14:textId="69326133" w:rsidR="008D479B" w:rsidRDefault="008D479B" w:rsidP="008D479B">
      <w:pPr>
        <w:pStyle w:val="TextoNormal"/>
      </w:pPr>
      <w:r>
        <w:t>3º Restablecerle en esos derechos y, a tal fin, declarar la nulidad de las siguientes resoluciones: (i) la dictada por la delegada del Gobierno en Madrid el 21 de agosto de 2019, expediente de expulsión núm. 280020190012635; (ii) la sentencia del Juzgado de lo Contencioso-Administrativo núm. 4 de Madrid, de 13 de julio de 2020 (procedimiento abreviado núm. 496-2019—IX); (iii) la sentencia de la Sección Décima de la Sala de lo Contencioso-Administrativo del Tribunal Superior de Justicia de Madrid, de 13 de mayo de 2021(recurso de apelación núm. 875-2020); y (iv) la providencia de la Sección Primera de la Sala de lo Contencioso-Administrativo del Tribunal Supremo, de 23 de febrero de 2022 (recurso de casación núm. 5464-2021).</w:t>
      </w:r>
    </w:p>
    <w:p w14:paraId="25E77143" w14:textId="77777777" w:rsidR="008D479B" w:rsidRDefault="008D479B" w:rsidP="008D479B">
      <w:pPr>
        <w:pStyle w:val="TextoNormal"/>
      </w:pPr>
    </w:p>
    <w:p w14:paraId="00EEB002" w14:textId="77777777" w:rsidR="008D479B" w:rsidRDefault="008D479B" w:rsidP="008D479B">
      <w:pPr>
        <w:pStyle w:val="TextoNormal"/>
      </w:pPr>
      <w:r>
        <w:t>Publíquese esta sentencia en el “Boletín Oficial del Estado”.</w:t>
      </w:r>
    </w:p>
    <w:p w14:paraId="21C699D0" w14:textId="77777777" w:rsidR="008D479B" w:rsidRDefault="008D479B" w:rsidP="008D479B">
      <w:pPr>
        <w:pStyle w:val="TextoNormal"/>
      </w:pPr>
      <w:r>
        <w:t>Dada en Madrid, a diecisiete de julio de dos mil veintitrés.</w:t>
      </w:r>
    </w:p>
    <w:p w14:paraId="4C11C63B" w14:textId="60EE9AED" w:rsidR="008D479B" w:rsidRDefault="008D479B">
      <w:pPr>
        <w:spacing w:after="160" w:line="278" w:lineRule="auto"/>
        <w:rPr>
          <w:rFonts w:ascii="Times New Roman" w:eastAsia="Times New Roman" w:hAnsi="Times New Roman" w:cs="Times New Roman"/>
          <w:sz w:val="24"/>
          <w:szCs w:val="24"/>
          <w:lang w:eastAsia="es-ES"/>
        </w:rPr>
      </w:pPr>
      <w:r>
        <w:br w:type="page"/>
      </w:r>
    </w:p>
    <w:p w14:paraId="76ACDC34" w14:textId="77777777" w:rsidR="008D479B" w:rsidRDefault="008D479B" w:rsidP="008D479B">
      <w:pPr>
        <w:pStyle w:val="TtuloResolucin"/>
      </w:pPr>
      <w:bookmarkStart w:id="13" w:name="SENTENCIA_2023_88"/>
      <w:r>
        <w:t>SENTENCIA 88/2023, de 18 de julio de 2023</w:t>
      </w:r>
    </w:p>
    <w:bookmarkEnd w:id="13"/>
    <w:p w14:paraId="36631480" w14:textId="77777777" w:rsidR="008D479B" w:rsidRDefault="008D479B" w:rsidP="008D479B">
      <w:pPr>
        <w:pStyle w:val="TtuloResolucin"/>
      </w:pPr>
      <w:r>
        <w:t>Pleno</w:t>
      </w:r>
    </w:p>
    <w:p w14:paraId="61637E38" w14:textId="77777777" w:rsidR="008D479B" w:rsidRDefault="008D479B" w:rsidP="008D479B">
      <w:pPr>
        <w:pStyle w:val="TtuloBOE"/>
      </w:pPr>
      <w:r>
        <w:t>(BOE núm. 205, de 28 de agosto de 2023)</w:t>
      </w:r>
    </w:p>
    <w:p w14:paraId="183B6DD9" w14:textId="77777777" w:rsidR="008D479B" w:rsidRDefault="008D479B" w:rsidP="008D479B">
      <w:pPr>
        <w:pStyle w:val="TextoNormalCentrado"/>
      </w:pPr>
      <w:r>
        <w:t>ECLI:ES:TC:2023:88</w:t>
      </w:r>
    </w:p>
    <w:p w14:paraId="09174EBD" w14:textId="5E345205" w:rsidR="008D479B" w:rsidRDefault="008D479B" w:rsidP="008D479B">
      <w:pPr>
        <w:pStyle w:val="TextoNormalCentrado"/>
      </w:pPr>
    </w:p>
    <w:p w14:paraId="352A799F" w14:textId="77777777" w:rsidR="008D479B" w:rsidRDefault="008D479B" w:rsidP="008D479B">
      <w:pPr>
        <w:pStyle w:val="SntesisDescriptiva"/>
      </w:pPr>
      <w:r>
        <w:t>Recurso de amparo 2192-2020. Promovido por Alternativa Sindical de Trabajadores respecto de la sentencia dictada por la Sala de lo Contencioso-Administrativo del Tribunal Superior de Justicia de Madrid que desestimó su demanda frente a la resolución del delegado del Gobierno en Madrid prohibiendo la manifestación que pretendía celebrar el 1 de mayo de 2020.</w:t>
      </w:r>
    </w:p>
    <w:p w14:paraId="5C5BAD09" w14:textId="53E93887" w:rsidR="008D479B" w:rsidRDefault="008D479B" w:rsidP="008D479B">
      <w:pPr>
        <w:pStyle w:val="SntesisDescriptiva"/>
      </w:pPr>
    </w:p>
    <w:p w14:paraId="3AA0E493" w14:textId="77777777" w:rsidR="008D479B" w:rsidRDefault="008D479B" w:rsidP="008D479B">
      <w:pPr>
        <w:pStyle w:val="SntesisAnaltica"/>
      </w:pPr>
      <w:r>
        <w:t>Supuesta vulneración de los derechos de reunión y manifestación y a la tutela judicial efectiva: prohibición gubernativa de una manifestación justificada por la protección de la salud pública (STC 61/2023). Voto particular.</w:t>
      </w:r>
    </w:p>
    <w:p w14:paraId="3DD525EF" w14:textId="351D2854" w:rsidR="008D479B" w:rsidRDefault="008D479B" w:rsidP="008D479B">
      <w:pPr>
        <w:pStyle w:val="SntesisAnaltica"/>
      </w:pPr>
    </w:p>
    <w:p w14:paraId="2CAD9494" w14:textId="4D36105B" w:rsidR="008D479B" w:rsidRDefault="008D479B" w:rsidP="008D479B">
      <w:pPr>
        <w:pStyle w:val="Extracto"/>
      </w:pPr>
      <w:r>
        <w:t>1.</w:t>
      </w:r>
      <w:r>
        <w:tab/>
        <w:t xml:space="preserve">Para que la restricción del derecho de reunión sea constitucionalmente legítima, se exige que exista proporcionalidad en la limitación del derecho; y que la autoridad gubernativa exteriorice razones fundadas que hagan imprescindible la prohibición de la reunión o la modificación de sus circunstancias en el caso concreto (STC 193/2011) </w:t>
      </w:r>
    </w:p>
    <w:p w14:paraId="5BA9C307" w14:textId="77777777" w:rsidR="008D479B" w:rsidRDefault="008D479B" w:rsidP="008D479B">
      <w:pPr>
        <w:pStyle w:val="Extracto"/>
      </w:pPr>
    </w:p>
    <w:p w14:paraId="4A7BBF8A" w14:textId="49007F58" w:rsidR="008D479B" w:rsidRDefault="008D479B" w:rsidP="008D479B">
      <w:pPr>
        <w:pStyle w:val="Extracto"/>
      </w:pPr>
      <w:r>
        <w:t>2.</w:t>
      </w:r>
      <w:r>
        <w:tab/>
        <w:t>Cabe sustentar una restricción concreta del derecho de reunión en bienes jurídicos o derechos distintos de la alteración del orden público, mencionada en el art. 21.2 CE, y uno de ellos puede ser la protección de la salud en supuestos de grave crisis sanitaria como la desencadenada a partir de la difusión generalizada del covid-19, coyuntura que, lejos de ser una suposición o sospecha, es una realidad dotada de plena certidumbre [FJ 4].</w:t>
      </w:r>
    </w:p>
    <w:p w14:paraId="4131F1F7" w14:textId="77777777" w:rsidR="008D479B" w:rsidRDefault="008D479B" w:rsidP="008D479B">
      <w:pPr>
        <w:pStyle w:val="Extracto"/>
      </w:pPr>
    </w:p>
    <w:p w14:paraId="428D0510" w14:textId="37081047" w:rsidR="008D479B" w:rsidRDefault="008D479B" w:rsidP="008D479B">
      <w:pPr>
        <w:pStyle w:val="Extracto"/>
      </w:pPr>
      <w:r>
        <w:t>3.</w:t>
      </w:r>
      <w:r>
        <w:tab/>
        <w:t>La salud pública es un bien jurídico constitucionalizado (art. 43 CE), que también el art. 11 CEDH contempla como límite de la libertad de reunión (STC 61/2023) [FJ 4].</w:t>
      </w:r>
    </w:p>
    <w:p w14:paraId="07ADD98C" w14:textId="77777777" w:rsidR="008D479B" w:rsidRDefault="008D479B" w:rsidP="008D479B">
      <w:pPr>
        <w:pStyle w:val="Extracto"/>
      </w:pPr>
    </w:p>
    <w:p w14:paraId="3BD8E331" w14:textId="77777777" w:rsidR="008D479B" w:rsidRDefault="008D479B" w:rsidP="008D479B">
      <w:pPr>
        <w:pStyle w:val="Extracto"/>
      </w:pPr>
    </w:p>
    <w:p w14:paraId="07167FCB" w14:textId="77777777" w:rsidR="008D479B" w:rsidRDefault="008D479B" w:rsidP="008D479B">
      <w:pPr>
        <w:pStyle w:val="TextoNormal"/>
      </w:pPr>
      <w: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 ha pronunciado</w:t>
      </w:r>
    </w:p>
    <w:p w14:paraId="6C7F97C8" w14:textId="6168A889" w:rsidR="008D479B" w:rsidRDefault="008D479B" w:rsidP="008D479B">
      <w:pPr>
        <w:pStyle w:val="TextoNormal"/>
      </w:pPr>
    </w:p>
    <w:p w14:paraId="10DC4634" w14:textId="77777777" w:rsidR="008D479B" w:rsidRDefault="008D479B" w:rsidP="008D479B">
      <w:pPr>
        <w:pStyle w:val="TextoNormalCentrado"/>
        <w:keepNext/>
      </w:pPr>
      <w:r>
        <w:t>EN NOMBRE DEL REY</w:t>
      </w:r>
    </w:p>
    <w:p w14:paraId="39975048" w14:textId="7CEFA6BB" w:rsidR="008D479B" w:rsidRDefault="008D479B" w:rsidP="008D479B">
      <w:pPr>
        <w:pStyle w:val="TextoNormalCentrado"/>
        <w:keepNext/>
      </w:pPr>
    </w:p>
    <w:p w14:paraId="12E76391" w14:textId="77777777" w:rsidR="008D479B" w:rsidRDefault="008D479B" w:rsidP="008D479B">
      <w:pPr>
        <w:pStyle w:val="TextoNormalCentrado"/>
        <w:keepNext/>
      </w:pPr>
    </w:p>
    <w:p w14:paraId="0454ECF8" w14:textId="77777777" w:rsidR="008D479B" w:rsidRDefault="008D479B" w:rsidP="008D479B">
      <w:pPr>
        <w:pStyle w:val="TextoNormal"/>
      </w:pPr>
      <w:r>
        <w:t>la siguiente</w:t>
      </w:r>
    </w:p>
    <w:p w14:paraId="4B3555D7" w14:textId="582AFDBC" w:rsidR="008D479B" w:rsidRDefault="008D479B" w:rsidP="008D479B">
      <w:pPr>
        <w:pStyle w:val="TextoNormal"/>
      </w:pPr>
    </w:p>
    <w:p w14:paraId="4A400E2F" w14:textId="77777777" w:rsidR="008D479B" w:rsidRDefault="008D479B" w:rsidP="008D479B">
      <w:pPr>
        <w:pStyle w:val="TextoNormalCentrado"/>
        <w:keepNext/>
      </w:pPr>
      <w:r>
        <w:t>SENTENCIA</w:t>
      </w:r>
    </w:p>
    <w:p w14:paraId="538A3992" w14:textId="78CF781E" w:rsidR="008D479B" w:rsidRDefault="008D479B" w:rsidP="008D479B">
      <w:pPr>
        <w:pStyle w:val="TextoNormalCentrado"/>
        <w:keepNext/>
      </w:pPr>
    </w:p>
    <w:p w14:paraId="1553415B" w14:textId="77777777" w:rsidR="008D479B" w:rsidRDefault="008D479B" w:rsidP="008D479B">
      <w:pPr>
        <w:pStyle w:val="TextoNormal"/>
      </w:pPr>
      <w:r>
        <w:t>En el recurso de amparo núm. 2192-2020, promovido por el sindicato Alternativa Sindical de Trabajadores contra la sentencia 198/2020, de 30 de abril, dictada por la Sección Décima de la Sala de lo Contencioso-Administrativo del Tribunal Superior de Justicia de Madrid en los autos de derecho de reunión núm. 309-2020, que desestimó el recurso interpuesto por el precitado sindicato contra la resolución de 27 de abril de 2020 del delegado del Gobierno en la Comunidad de Madrid que, a su vez, había acordado la prohibición de la manifestación convocada por el sindicato recurrente que iba a celebrarse el 1 de mayo de 2020. Ha comparecido el abogado del Estado. Ha intervenido el Ministerio Fiscal. Ha sido ponente el magistrado don Enrique Arnaldo Alcubilla.</w:t>
      </w:r>
    </w:p>
    <w:p w14:paraId="536E8417" w14:textId="0E5606E5" w:rsidR="008D479B" w:rsidRDefault="008D479B" w:rsidP="008D479B">
      <w:pPr>
        <w:pStyle w:val="TextoNormal"/>
      </w:pPr>
    </w:p>
    <w:p w14:paraId="2CD80938" w14:textId="77777777" w:rsidR="008D479B" w:rsidRDefault="008D479B" w:rsidP="008D479B">
      <w:pPr>
        <w:pStyle w:val="TextoNormalNegritaCentrado"/>
        <w:keepNext/>
      </w:pPr>
      <w:r>
        <w:t>I. Antecedentes</w:t>
      </w:r>
    </w:p>
    <w:p w14:paraId="48A85DA0" w14:textId="7E1CAAF9" w:rsidR="008D479B" w:rsidRDefault="008D479B" w:rsidP="008D479B">
      <w:pPr>
        <w:pStyle w:val="TextoNormalNegritaCentrado"/>
        <w:keepNext/>
      </w:pPr>
    </w:p>
    <w:p w14:paraId="6DFFD961" w14:textId="2E12DA45" w:rsidR="008D479B" w:rsidRDefault="008D479B" w:rsidP="008D479B">
      <w:pPr>
        <w:pStyle w:val="TextoNormal"/>
      </w:pPr>
      <w:r w:rsidRPr="008D479B">
        <w:rPr>
          <w:rStyle w:val="NumeroAFNegritaCaracter"/>
        </w:rPr>
        <w:t>1</w:t>
      </w:r>
      <w:r>
        <w:t>. Mediante escrito presentado en el registro general de este tribunal el 26 de mayo de 2020, la procuradora de los tribunales doña Miriam Rodríguez Crespo, en nombre y representación del sindicato Alternativa Sindical de Trabajadores, asistida por el abogado don Álvaro Barreiro Álvarez, formuló demanda de amparo contra las resoluciones a las que se ha hecho mención en el encabezamiento de esta sentencia.</w:t>
      </w:r>
    </w:p>
    <w:p w14:paraId="210B1500" w14:textId="77777777" w:rsidR="008D479B" w:rsidRDefault="008D479B" w:rsidP="008D479B">
      <w:pPr>
        <w:pStyle w:val="TextoNormal"/>
      </w:pPr>
    </w:p>
    <w:p w14:paraId="2AD1B470" w14:textId="77777777" w:rsidR="008D479B" w:rsidRDefault="008D479B" w:rsidP="008D479B">
      <w:pPr>
        <w:pStyle w:val="TextoNormal"/>
      </w:pPr>
      <w:r w:rsidRPr="008D479B">
        <w:rPr>
          <w:rStyle w:val="NumeroAFNegritaCaracter"/>
        </w:rPr>
        <w:t>2</w:t>
      </w:r>
      <w:r>
        <w:t>. Los hechos en que se fundamenta la demanda de amparo son, en síntesis, los que seguidamente se relacionan.</w:t>
      </w:r>
    </w:p>
    <w:p w14:paraId="13568A70" w14:textId="77777777" w:rsidR="008D479B" w:rsidRDefault="008D479B" w:rsidP="008D479B">
      <w:pPr>
        <w:pStyle w:val="TextoNormal"/>
      </w:pPr>
    </w:p>
    <w:p w14:paraId="2905CC54" w14:textId="77777777" w:rsidR="008D479B" w:rsidRDefault="008D479B" w:rsidP="008D479B">
      <w:pPr>
        <w:pStyle w:val="TextoNormal"/>
      </w:pPr>
      <w:r>
        <w:t>a) El 20 de abril de 2020 Alternativa Sindical de Trabajadores, junto con otros tres sindicatos, comunicó a la Delegación del Gobierno en Madrid la intención de celebrar una manifestación en Madrid, entre la Plaza Jacinto Benavente y la Puerta del Sol, el 1 de mayo de 2020. En la comunicación se indicaba que, teniendo en cuenta el estado de alarma para la gestión de la situación de crisis sanitaria ocasionada por el covid-19, la manifestación se realizaría “cumpliendo con la distancia de seguridad entre las personas”. Asimismo, se indicaba que se estimaba una participación de entre cincuenta y setenta personas. Y que los organizadores dispondrían “en todo momento de un servicio de orden que se compromete a mantener el mismo durante el tiempo que dure la manifestación, así mismo solicitan que la autoridad gubernativa tome las medidas de seguridad oportunas”.</w:t>
      </w:r>
    </w:p>
    <w:p w14:paraId="66BD634B" w14:textId="77777777" w:rsidR="008D479B" w:rsidRDefault="008D479B" w:rsidP="008D479B">
      <w:pPr>
        <w:pStyle w:val="TextoNormal"/>
      </w:pPr>
    </w:p>
    <w:p w14:paraId="01B290B8" w14:textId="77777777" w:rsidR="008D479B" w:rsidRDefault="008D479B" w:rsidP="008D479B">
      <w:pPr>
        <w:pStyle w:val="TextoNormal"/>
      </w:pPr>
      <w:r>
        <w:t>Al efecto indicaba la comunicación lo siguiente:</w:t>
      </w:r>
    </w:p>
    <w:p w14:paraId="0A9C30BF" w14:textId="77777777" w:rsidR="008D479B" w:rsidRDefault="008D479B" w:rsidP="008D479B">
      <w:pPr>
        <w:pStyle w:val="TextoNormal"/>
      </w:pPr>
    </w:p>
    <w:p w14:paraId="0EFE4F01" w14:textId="77777777" w:rsidR="008D479B" w:rsidRDefault="008D479B" w:rsidP="008D479B">
      <w:pPr>
        <w:pStyle w:val="TextoNormal"/>
      </w:pPr>
      <w:r>
        <w:t>“Datos de la manifestación:</w:t>
      </w:r>
    </w:p>
    <w:p w14:paraId="4F127A02" w14:textId="77777777" w:rsidR="008D479B" w:rsidRDefault="008D479B" w:rsidP="008D479B">
      <w:pPr>
        <w:pStyle w:val="TextoNormal"/>
      </w:pPr>
    </w:p>
    <w:p w14:paraId="235A7641" w14:textId="77777777" w:rsidR="008D479B" w:rsidRDefault="008D479B" w:rsidP="008D479B">
      <w:pPr>
        <w:pStyle w:val="TextoNormal"/>
      </w:pPr>
      <w:r>
        <w:t>Día: viernes 1 de mayo de 2020 de 12:00h a 13:00h</w:t>
      </w:r>
    </w:p>
    <w:p w14:paraId="5DBD0488" w14:textId="77777777" w:rsidR="008D479B" w:rsidRDefault="008D479B" w:rsidP="008D479B">
      <w:pPr>
        <w:pStyle w:val="TextoNormal"/>
      </w:pPr>
    </w:p>
    <w:p w14:paraId="2CC66F3E" w14:textId="77777777" w:rsidR="008D479B" w:rsidRDefault="008D479B" w:rsidP="008D479B">
      <w:pPr>
        <w:pStyle w:val="TextoNormal"/>
      </w:pPr>
      <w:r>
        <w:t>Recorrido: La manifestación se desarrollará en Madrid, desde la plaza Jacinto Benavente bajando por calle Carretas hasta la Puerta del Sol, donde las organizaciones sindicales y sociales participantes, se dirigirán a los asistentes. Durante el recorrido se utilizarán banderas y altavoces.</w:t>
      </w:r>
    </w:p>
    <w:p w14:paraId="3346C795" w14:textId="77777777" w:rsidR="008D479B" w:rsidRDefault="008D479B" w:rsidP="008D479B">
      <w:pPr>
        <w:pStyle w:val="TextoNormal"/>
      </w:pPr>
    </w:p>
    <w:p w14:paraId="27B246FB" w14:textId="77777777" w:rsidR="008D479B" w:rsidRDefault="008D479B" w:rsidP="008D479B">
      <w:pPr>
        <w:pStyle w:val="TextoNormal"/>
      </w:pPr>
      <w:r>
        <w:t>Motivos:</w:t>
      </w:r>
    </w:p>
    <w:p w14:paraId="79FC4825" w14:textId="77777777" w:rsidR="008D479B" w:rsidRDefault="008D479B" w:rsidP="008D479B">
      <w:pPr>
        <w:pStyle w:val="TextoNormal"/>
      </w:pPr>
    </w:p>
    <w:p w14:paraId="71A993B8" w14:textId="77777777" w:rsidR="008D479B" w:rsidRDefault="008D479B" w:rsidP="008D479B">
      <w:pPr>
        <w:pStyle w:val="TextoNormal"/>
      </w:pPr>
      <w:r>
        <w:t>La celebración del 1 de Mayo, día internacional de la clase obrera.</w:t>
      </w:r>
    </w:p>
    <w:p w14:paraId="1B748E3E" w14:textId="77777777" w:rsidR="008D479B" w:rsidRDefault="008D479B" w:rsidP="008D479B">
      <w:pPr>
        <w:pStyle w:val="TextoNormal"/>
      </w:pPr>
    </w:p>
    <w:p w14:paraId="475904A8" w14:textId="77777777" w:rsidR="008D479B" w:rsidRDefault="008D479B" w:rsidP="008D479B">
      <w:pPr>
        <w:pStyle w:val="TextoNormal"/>
      </w:pPr>
      <w:r>
        <w:t>Datos de la convocatoria</w:t>
      </w:r>
    </w:p>
    <w:p w14:paraId="574FDC73" w14:textId="77777777" w:rsidR="008D479B" w:rsidRDefault="008D479B" w:rsidP="008D479B">
      <w:pPr>
        <w:pStyle w:val="TextoNormal"/>
      </w:pPr>
    </w:p>
    <w:p w14:paraId="76725342" w14:textId="77777777" w:rsidR="008D479B" w:rsidRDefault="008D479B" w:rsidP="008D479B">
      <w:pPr>
        <w:pStyle w:val="TextoNormal"/>
      </w:pPr>
      <w:r>
        <w:t>Teniendo en cuenta el estado de alarma para la gestión de la situación de crisis sanitaria ocasionada por el covid-19 en que nos encontramos hasta las 00:00 horas del 26 de abril de 2020 (Real Decreto 463/2020, de 14 de marzo, modificado por el Real Decreto 464/2020, de 17 de marzo y prorrogado por los Reales Decretos 467/2020, de 27 de marzo y 487/2020, de 10 de abril) la manifestación se celebrará como se explícita a continuación:</w:t>
      </w:r>
    </w:p>
    <w:p w14:paraId="2CAB5102" w14:textId="77777777" w:rsidR="008D479B" w:rsidRDefault="008D479B" w:rsidP="008D479B">
      <w:pPr>
        <w:pStyle w:val="TextoNormal"/>
      </w:pPr>
    </w:p>
    <w:p w14:paraId="5C842E60" w14:textId="77777777" w:rsidR="008D479B" w:rsidRDefault="008D479B" w:rsidP="008D479B">
      <w:pPr>
        <w:pStyle w:val="TextoNormal"/>
      </w:pPr>
      <w:r>
        <w:t>1) La manifestación se realizará cumpliendo con la distancia de seguridad entre personas.</w:t>
      </w:r>
    </w:p>
    <w:p w14:paraId="0D39EB0F" w14:textId="77777777" w:rsidR="008D479B" w:rsidRDefault="008D479B" w:rsidP="008D479B">
      <w:pPr>
        <w:pStyle w:val="TextoNormal"/>
      </w:pPr>
    </w:p>
    <w:p w14:paraId="20E26121" w14:textId="77777777" w:rsidR="008D479B" w:rsidRDefault="008D479B" w:rsidP="008D479B">
      <w:pPr>
        <w:pStyle w:val="TextoNormal"/>
      </w:pPr>
      <w:r>
        <w:t>2) El recorrido irá desde la plaza de Jacinto Benavente hasta la Puerta del Sol.</w:t>
      </w:r>
    </w:p>
    <w:p w14:paraId="639CC72A" w14:textId="77777777" w:rsidR="008D479B" w:rsidRDefault="008D479B" w:rsidP="008D479B">
      <w:pPr>
        <w:pStyle w:val="TextoNormal"/>
      </w:pPr>
    </w:p>
    <w:p w14:paraId="3A09F847" w14:textId="77777777" w:rsidR="008D479B" w:rsidRDefault="008D479B" w:rsidP="008D479B">
      <w:pPr>
        <w:pStyle w:val="TextoNormal"/>
      </w:pPr>
      <w:r>
        <w:t>3) Que en dicha concentración se estima una participación estimada de entre cincuenta/setenta personas. Se utilizarán banderas y equipos de altavoces.</w:t>
      </w:r>
    </w:p>
    <w:p w14:paraId="6181038D" w14:textId="77777777" w:rsidR="008D479B" w:rsidRDefault="008D479B" w:rsidP="008D479B">
      <w:pPr>
        <w:pStyle w:val="TextoNormal"/>
      </w:pPr>
    </w:p>
    <w:p w14:paraId="1A773B09" w14:textId="77777777" w:rsidR="008D479B" w:rsidRDefault="008D479B" w:rsidP="008D479B">
      <w:pPr>
        <w:pStyle w:val="TextoNormal"/>
      </w:pPr>
      <w:r>
        <w:t>4) Los organizadores dispondrán en todo momento de un servicio de orden que se compromete a mantener el mismo durante el tiempo que dure la manifestación, así mismo solicitan que la autoridad gubernativa tome las medidas de seguridad oportunas.</w:t>
      </w:r>
    </w:p>
    <w:p w14:paraId="595D52DE" w14:textId="77777777" w:rsidR="008D479B" w:rsidRDefault="008D479B" w:rsidP="008D479B">
      <w:pPr>
        <w:pStyle w:val="TextoNormal"/>
      </w:pPr>
    </w:p>
    <w:p w14:paraId="1151D304" w14:textId="77777777" w:rsidR="008D479B" w:rsidRDefault="008D479B" w:rsidP="008D479B">
      <w:pPr>
        <w:pStyle w:val="TextoNormal"/>
      </w:pPr>
      <w:r>
        <w:t>Fundamentos de Derecho:</w:t>
      </w:r>
    </w:p>
    <w:p w14:paraId="58E53107" w14:textId="77777777" w:rsidR="008D479B" w:rsidRDefault="008D479B" w:rsidP="008D479B">
      <w:pPr>
        <w:pStyle w:val="TextoNormal"/>
      </w:pPr>
    </w:p>
    <w:p w14:paraId="1E8DFDAA" w14:textId="77777777" w:rsidR="008D479B" w:rsidRDefault="008D479B" w:rsidP="008D479B">
      <w:pPr>
        <w:pStyle w:val="TextoNormal"/>
      </w:pPr>
      <w:r>
        <w:t>Primero.- El art. 21 de la Constitución, desarrollado por la Ley Orgánica 9/1983, de 15 de julio, reconoce el derecho de reunión y manifestación como derecho fundamental.</w:t>
      </w:r>
    </w:p>
    <w:p w14:paraId="3973501D" w14:textId="77777777" w:rsidR="008D479B" w:rsidRDefault="008D479B" w:rsidP="008D479B">
      <w:pPr>
        <w:pStyle w:val="TextoNormal"/>
      </w:pPr>
    </w:p>
    <w:p w14:paraId="00CEEE51" w14:textId="77777777" w:rsidR="008D479B" w:rsidRDefault="008D479B" w:rsidP="008D479B">
      <w:pPr>
        <w:pStyle w:val="TextoNormal"/>
      </w:pPr>
      <w:r>
        <w:t xml:space="preserve">Segundo.- Real Decreto 463/2020, de 14 de marzo, modificado por el Real Decreto 464/2020, de 17 de marzo y prorrogado por los Reales Decretos 467/2020, de 27 de marzo y 487/2020, de 10 de </w:t>
      </w:r>
      <w:r>
        <w:tab/>
        <w:t>abril, que concreta el estado de alarma para la gestión de la situación de crisis sanitaria ocasionada por el covid-19 en que nos encontramos hasta las 00:00 horas del 26 de abril de 2020.</w:t>
      </w:r>
    </w:p>
    <w:p w14:paraId="1EB4B9BF" w14:textId="77777777" w:rsidR="008D479B" w:rsidRDefault="008D479B" w:rsidP="008D479B">
      <w:pPr>
        <w:pStyle w:val="TextoNormal"/>
      </w:pPr>
    </w:p>
    <w:p w14:paraId="0625F314" w14:textId="77777777" w:rsidR="008D479B" w:rsidRDefault="008D479B" w:rsidP="008D479B">
      <w:pPr>
        <w:pStyle w:val="TextoNormal"/>
      </w:pPr>
      <w:r>
        <w:t xml:space="preserve">En dicho Real Decreto 463/2020, se establece que ‘las medidas que se contienen en el presente real decreto son las imprescindibles para hacer frente a la situación, resultan proporcionadas a la extrema gravedad de la misma y no suponen la suspensión de </w:t>
      </w:r>
      <w:r>
        <w:tab/>
        <w:t>ningún derecho fundamental, tal y como prevé el artículo 55 de la Constitución’. Por ello, según el propio real decreto, el estado de alarma no implica la limitación de un derecho fundamental como es el caso del derecho de manifestación”.</w:t>
      </w:r>
    </w:p>
    <w:p w14:paraId="6881AAF2" w14:textId="77777777" w:rsidR="008D479B" w:rsidRDefault="008D479B" w:rsidP="008D479B">
      <w:pPr>
        <w:pStyle w:val="TextoNormal"/>
      </w:pPr>
    </w:p>
    <w:p w14:paraId="451ACCA9" w14:textId="77777777" w:rsidR="008D479B" w:rsidRDefault="008D479B" w:rsidP="008D479B">
      <w:pPr>
        <w:pStyle w:val="TextoNormal"/>
      </w:pPr>
      <w:r>
        <w:t>b) La Delegación del Gobierno, mediante resolución de 27 de abril de 2020, prohibió la citada manifestación. La resolución contenía una fundamentación extensa sobre las razones de la prohibición, que se desarrollaban especialmente en los fundamentos tercero, cuarto y quinto. El fundamento tercero parte de los límites implícitos o mediatos que para el ejercicio del derecho de manifestación pueden derivarse de la concurrencia de otros bienes y derechos constitucionalmente protegidos; el fundamento jurídico cuarto expone el momento de crisis sanitaria que está afrontando España, “de gran magnitud y sin precedentes ocasionado por la expansión del ‘covid-19’”, y explicando que la consecuencia ha sido la adopción del Real Decreto 463/2020, de 14 de marzo, por el que se declara el estado de alarma para la gestión de la situación de crisis sanitaria ocasionada por el covid-19, y que este “no suspende derechos fundamentales (artículo 55 CE), aunque según el precedente de la STC 86/2020 puede limitar su ejercicio introduciendo restricciones, además de haber declarado que el real decreto tiene fuerza o valor de ley. Por tanto, en lo que aquí respecta, el derecho contenido en el artículo 21 CE no se encuentra suspendido por la declaración del estado de alarma”.</w:t>
      </w:r>
    </w:p>
    <w:p w14:paraId="60CCBA07" w14:textId="77777777" w:rsidR="008D479B" w:rsidRDefault="008D479B" w:rsidP="008D479B">
      <w:pPr>
        <w:pStyle w:val="TextoNormal"/>
      </w:pPr>
    </w:p>
    <w:p w14:paraId="785FA7A2" w14:textId="77777777" w:rsidR="008D479B" w:rsidRDefault="008D479B" w:rsidP="008D479B">
      <w:pPr>
        <w:pStyle w:val="TextoNormal"/>
      </w:pPr>
      <w:r>
        <w:t xml:space="preserve">En el fundamento quinto se refleja que la protección de la salud puede ser un posible límite al ejercicio del derecho de reunión (con cita del art. 11 del Convenio europeo para la protección de los derechos humanos y las libertades fundamentales, y la sentencia </w:t>
      </w:r>
      <w:r w:rsidRPr="008D479B">
        <w:rPr>
          <w:i/>
        </w:rPr>
        <w:t>Cisse</w:t>
      </w:r>
      <w:r>
        <w:t xml:space="preserve"> del Tribunal Europeo de Derechos Humanos de 9 de abril de 2002). Concluyendo en el fundamento jurídico sexto que “[e]n cualquier caso, es evidente que los criterios para la celebración de manifestaciones no pueden en ningún caso ignorar la situación de grave crisis sanitaria en la que se encuentra España, tal y como ha sido declarada por el Real Decreto 463/2020, en sus prórrogas y en la legislación complementaria. En ella se explica claramente la entidad de esta crisis y al restringir el derecho a la libertad de movimientos se deduce con toda claridad que esta limitación se fundamenta y justifica en la imperiosa necesidad de evitar la difusión de la pandemia con sus secuelas de contagios, fallecimientos y enfermos. Es decir, el Gobierno de la Nación, asesorado por las autoridades sanitarias, entiende con toda claridad que ante el peligro de la situación deben limitarse los movimientos de los ciudadanos.</w:t>
      </w:r>
    </w:p>
    <w:p w14:paraId="36EB3E7A" w14:textId="77777777" w:rsidR="008D479B" w:rsidRDefault="008D479B" w:rsidP="008D479B">
      <w:pPr>
        <w:pStyle w:val="TextoNormal"/>
      </w:pPr>
    </w:p>
    <w:p w14:paraId="796D06AC" w14:textId="77777777" w:rsidR="008D479B" w:rsidRDefault="008D479B" w:rsidP="008D479B">
      <w:pPr>
        <w:pStyle w:val="TextoNormal"/>
      </w:pPr>
      <w:r>
        <w:t>Son las consecuencias sanitarias que pueden afectar, con casi toda seguridad, no solo a los manifestantes, sino también a las personas que puedan tener accidentalmente contacto con ellos, las que deben llevar a la adopción de la decisión de permitir o prohibir una manifestación. Y en las circunstancias actuales, es un hecho notorio que es muy probable que se puedan producir contagios entre las personas participantes que luego puedan extenderse entre sus círculos de amistad, profesionales y familiares, incrementando de esta manera la crisis sanitaria por más que se adopten medidas de seguridad”.</w:t>
      </w:r>
    </w:p>
    <w:p w14:paraId="060248A0" w14:textId="77777777" w:rsidR="008D479B" w:rsidRDefault="008D479B" w:rsidP="008D479B">
      <w:pPr>
        <w:pStyle w:val="TextoNormal"/>
      </w:pPr>
    </w:p>
    <w:p w14:paraId="6A0F4425" w14:textId="77777777" w:rsidR="008D479B" w:rsidRDefault="008D479B" w:rsidP="008D479B">
      <w:pPr>
        <w:pStyle w:val="TextoNormal"/>
      </w:pPr>
      <w:r>
        <w:t>c) Contra la citada prohibición, Alternativa Sindical de Trabajadores interpuso recurso contencioso-administrativo ante el Tribunal Superior de Justicia de Madrid por la vía del procedimiento especial para la protección de derechos fundamentales por vulneración del derecho de reunión amparado por el art. 21 CE. Según refleja la sentencia, dictada en dicho proceso, en la vista pública el letrado de la parte recurrente precisó que: “se pretendía que únicamente acudieran a la manifestación los representantes de las organizaciones firmantes de la comunicación; que los integrantes convocados que acudirían a la manifestación no solamente iban a adoptar las medidas de distancia personal recomendadas para el estado de alarma, sino que además también irían provistos con mascarillas y como otros medios de protección (no especificados); y, finalmente, la alusión al número estimado de personas que acudirían a la manifestación que fija en unas cincuenta personas, mientras que en su escrito de comunicación fija en una estimación de cincuenta/setenta personas”.</w:t>
      </w:r>
    </w:p>
    <w:p w14:paraId="76C8E4BA" w14:textId="77777777" w:rsidR="008D479B" w:rsidRDefault="008D479B" w:rsidP="008D479B">
      <w:pPr>
        <w:pStyle w:val="TextoNormal"/>
      </w:pPr>
    </w:p>
    <w:p w14:paraId="28CF2EFB" w14:textId="77777777" w:rsidR="008D479B" w:rsidRDefault="008D479B" w:rsidP="008D479B">
      <w:pPr>
        <w:pStyle w:val="TextoNormal"/>
      </w:pPr>
      <w:r>
        <w:t>La sentencia 198/2020, de 30 de abril, dictada por la Sección décima de la Sala de lo Contencioso-Administrativo del Tribunal Superior de Justicia de Madrid, desestimó el recurso, al considerar que el acto administrativo estaba debidamente motivado al vincularse la denegación a la protección de la salud pública para evitar la difusión de la pandemia, ante la probabilidad de que pudieran producirse contagios entre los participantes que pudieran luego extenderse a sus círculos de amistad, profesionales y familiares. Y también considera que la prohibición de la manifestación es proporcional atendiendo a la “situación de grave crisis sanitaria en la que se encuentra España”. Indica así la sentencia que: “En el presente caso es, precisamente, la protección de la salud el elemento básico y fundamental sobre el que descansa la prohibición acordada por la Delegación del Gobierno al ponderar que los criterios para la celebración de manifestaciones no pueden ignorar la grave situación de crisis sanitaria en que se encuentra España, así como la entidad de la crisis, que ha exigido determinar criterios de restricción del ejercicio del derecho a la libertad de movimientos de los ciudadanos para evitar las secuelas graves de la pandemia tales como contagios, fallecimientos, y enfermedad. La protección que de dichos bienes se deriva de la prohibición decretada no solamente afectaría a los propios participantes de la manifestación sino que también se extiende a las personas que accidentalmente puedan tener contactos con los manifestantes, vecinos del lugar de su celebración, ancianos y niños, y familiares con los que en un momento posterior pudieran tener contacto los participantes en aquella. La posibilidad de que personas ajenas a la convocatoria puedan verse comprometidas por el mero tránsito de la manifestación por la calle y ambas plazas por las que discurriría, así como la posibilidad de que pudieran considerarse convocadas a la misma, incrementando el número máximo estimado por el sindicato convocante, otras personas que pudieran acudir voluntariamente, supone una circunstancia que incrementaría las oportunidades de contacto personal y, consecuentemente, los riesgos de contagio interpersonal, con las consecuencias negativas que tendría para la sociedad en su conjunto”.</w:t>
      </w:r>
    </w:p>
    <w:p w14:paraId="4792002F" w14:textId="77777777" w:rsidR="008D479B" w:rsidRDefault="008D479B" w:rsidP="008D479B">
      <w:pPr>
        <w:pStyle w:val="TextoNormal"/>
      </w:pPr>
    </w:p>
    <w:p w14:paraId="1D88323A" w14:textId="15958A9C" w:rsidR="008D479B" w:rsidRDefault="008D479B" w:rsidP="008D479B">
      <w:pPr>
        <w:pStyle w:val="TextoNormal"/>
      </w:pPr>
      <w:r>
        <w:t>La sentencia pone en relación el fundamento de la resolución administrativa con el contenido de la comunicación realizada por el sindicato recurrente y señala que la participación estimada de entre cincuenta y setenta personas “resulta un grupo importante de personas, ubicadas en el mismo tiempo en determinado espacio de la ciudad, incrementando claramente el número de personas que pudieran deambular por la zona para el ejercicio de las actividades ya permitidas”. También indica que la negativa afección que para la salud de las personas podría conllevar la manifestación convocada “se deriva la imprecisión en la que incurre la comunicación acerca del compromiso que ofrecen los organizadores para mantener el ‘servicio de orden’ durante el tiempo que dure la manifestación”. Y, finalmente aprecia que la resolución impugnada aporta las razones que han llevado a la autoridad gubernativa a prohibir la manifestación que : “el ejercicio del derecho fundamental de reunión, tal y como se hubo proyectado por sus promotores, entraña un grave riesgo para la salud pública y, singularmente, para las personas, tanto para los propios manifestantes como para otras personas que pudieran tener accidentalmente contacto con ellos, sobre la base de que es muy probable que de celebrarse la reunión programada se puedan producir contagios entre las personas participantes que luego puedan extenderse entre sus círculos de amistad, profesionales y familiares, incrementando de esta manera la crisis sanitaria por más que se adopten medidas de seguridad, perturbando de manera desproporcionada otros bienes y derechos protegidos por nuestra por nuestra Constitución. Consideración que se vincula con la imperiosa necesidad de evitar la difusión de la pandemia con sus secuelas de contagios, fallecimientos y enfermos”.</w:t>
      </w:r>
    </w:p>
    <w:p w14:paraId="2120A51A" w14:textId="77777777" w:rsidR="008D479B" w:rsidRDefault="008D479B" w:rsidP="008D479B">
      <w:pPr>
        <w:pStyle w:val="TextoNormal"/>
      </w:pPr>
    </w:p>
    <w:p w14:paraId="62E26EAD" w14:textId="77777777" w:rsidR="008D479B" w:rsidRDefault="008D479B" w:rsidP="008D479B">
      <w:pPr>
        <w:pStyle w:val="TextoNormal"/>
      </w:pPr>
      <w:r w:rsidRPr="008D479B">
        <w:rPr>
          <w:rStyle w:val="NumeroAFNegritaCaracter"/>
        </w:rPr>
        <w:t>3</w:t>
      </w:r>
      <w:r>
        <w:t>. La demanda de amparo se interpone contra la resolución de 27 marzo de 2020 del delegado del Gobierno en la Comunidad de Madrid que prohibió la manifestación convocada para el día 1 de mayo de 2020 y contra la sentencia 198/2020, de 30 de abril, dictada por la Sección Décima de la Sala de lo Contencioso-administrativo del Tribunal Superior de Justicia de Madrid, recaída en los autos del derecho de reunión núm. 309-2020, que desestimó el recurso interpuesto por el precitado sindicato contra la anterior resolución.</w:t>
      </w:r>
    </w:p>
    <w:p w14:paraId="1B1DF7EC" w14:textId="77777777" w:rsidR="008D479B" w:rsidRDefault="008D479B" w:rsidP="008D479B">
      <w:pPr>
        <w:pStyle w:val="TextoNormal"/>
      </w:pPr>
    </w:p>
    <w:p w14:paraId="4EFA2E9F" w14:textId="77777777" w:rsidR="008D479B" w:rsidRDefault="008D479B" w:rsidP="008D479B">
      <w:pPr>
        <w:pStyle w:val="TextoNormal"/>
      </w:pPr>
      <w:r>
        <w:t>El sindicato recurrente denuncia la vulneración del derecho fundamental de reunión (art. 21 CE), así como del derecho a la libertad sindical (art. 28 CE), en la vertiente colectiva de la acción sindical fuera de la empresa en la defensa de los intereses económicos y sociales que le son propios. Considera que la sentencia suple con su criterio jurisdiccional los juicios de ponderación constitucional y de motivación suficiente que la entidad administrativa en ningún caso realizó.</w:t>
      </w:r>
    </w:p>
    <w:p w14:paraId="71917C3A" w14:textId="77777777" w:rsidR="008D479B" w:rsidRDefault="008D479B" w:rsidP="008D479B">
      <w:pPr>
        <w:pStyle w:val="TextoNormal"/>
      </w:pPr>
    </w:p>
    <w:p w14:paraId="21B5B0E6" w14:textId="77777777" w:rsidR="008D479B" w:rsidRDefault="008D479B" w:rsidP="008D479B">
      <w:pPr>
        <w:pStyle w:val="TextoNormal"/>
      </w:pPr>
      <w:r>
        <w:t>Recuerda que conforme a la STC 83/2016, el estado de alarma no permite la suspensión de ningún derecho fundamental, tal y como refleja el Real Decreto 463/2020, de 14 de marzo, por el que se declara el estado de alarma para la gestión de la situación de crisis sanitaria ocasionada por el covid-19. Y considera que la resolución administrativa recurrida no aportó las razones para concluir que la manifestación convocada entrañaba un grave riesgo para la salud pública. La demanda expone que las “circunstancias específicas de la manifestación convocada, tienen en cuenta la gravedad de la pandemia y consiguiente emergencia sanitaria, lo que exige extremar la protección de la salud pública y alejar cualquier posibilidad de que los contagios puedan tener lugar...; sin embargo, se requiere una operación de análisis de los factores concurrentes, los que deben tener tal peso específico en la decisión, y no abstracciones generalistas. Y esto en cuanto a que no se compromete más con la salud pública quien se dispone a sacrificar derechos, sino quien los defiende en condiciones de proporcionalidad, compatibilidad y se compromete a su ejercicio con responsabilidad”. Señala el sindicato recurrente que ha aportado en la convocatoria de la manifestación una batería de medidas (restricción del número de participantes dirigida a los miembros listados por el sindicato, con ocupación y separación de la distancia individual del mismo y portando dispositivos anticontagio, tales como mascarillas o guantes), de mucha mayor entidad preventiva que las dispuestas actualmente en la legislación.</w:t>
      </w:r>
    </w:p>
    <w:p w14:paraId="65F8F5C6" w14:textId="77777777" w:rsidR="008D479B" w:rsidRDefault="008D479B" w:rsidP="008D479B">
      <w:pPr>
        <w:pStyle w:val="TextoNormal"/>
      </w:pPr>
    </w:p>
    <w:p w14:paraId="7E046A26" w14:textId="77777777" w:rsidR="008D479B" w:rsidRDefault="008D479B" w:rsidP="008D479B">
      <w:pPr>
        <w:pStyle w:val="TextoNormal"/>
      </w:pPr>
      <w:r>
        <w:t>Indica que hay una serie de hechos notorios que han de ser tenidos en cuenta, como que en el estado de alarma se permitía desplazamiento al centro de trabajo, que la reactivación de la actividad laboral no esencial se produjo el 13 de abril de 2020 y que estábamos en situación de “desescalada”, habiéndose permitido desplazamientos de la población infantil, que desde el día 2 de mayo de 2020 se permitía el deporte y, asimismo, que, desde el 11 de mayo de 2020, los locales de hostelería empezaron a abrir sus puertas. Adicionalmente explica que a diario se realizaban caravanas de vehículos para apoyar a los sanitarios.</w:t>
      </w:r>
    </w:p>
    <w:p w14:paraId="7F5C354C" w14:textId="77777777" w:rsidR="008D479B" w:rsidRDefault="008D479B" w:rsidP="008D479B">
      <w:pPr>
        <w:pStyle w:val="TextoNormal"/>
      </w:pPr>
    </w:p>
    <w:p w14:paraId="7E2B2CA2" w14:textId="77777777" w:rsidR="008D479B" w:rsidRDefault="008D479B" w:rsidP="008D479B">
      <w:pPr>
        <w:pStyle w:val="TextoNormal"/>
      </w:pPr>
      <w:r>
        <w:t>Considera que en la sentencia se da una permanente confusión entre los derechos de libre circulación (art. 19 CE) y el de manifestación (art. 21 CE) al configurar el primero como presupuesto habilitador del segundo. Señala que, en el razonamiento del órgano judicial, el ejercicio de los derechos fundamentales decae ante una visión expansiva del principio de seguridad. Sin embargo, al no existir título alguno para la suspensión del derecho de manifestación y del derecho a la libertad sindical en la vertiente colectiva de la acción sindical fuera de la empresa en la defensa de los intereses económicos y sociales que le son propios, solo cabría el sometimiento del ejercicio de los derechos fundamentales a la manifestación y a la libertad sindical a limitaciones ordinarias, para lo que se debe atender de manera relevante a las concretas condiciones en que estos derechos se ejercen y al contexto de dicho ejercicio.</w:t>
      </w:r>
    </w:p>
    <w:p w14:paraId="44A4B4E6" w14:textId="77777777" w:rsidR="008D479B" w:rsidRDefault="008D479B" w:rsidP="008D479B">
      <w:pPr>
        <w:pStyle w:val="TextoNormal"/>
      </w:pPr>
    </w:p>
    <w:p w14:paraId="44B46AC2" w14:textId="77777777" w:rsidR="008D479B" w:rsidRDefault="008D479B" w:rsidP="008D479B">
      <w:pPr>
        <w:pStyle w:val="TextoNormal"/>
      </w:pPr>
      <w:r>
        <w:t>Añade que se ignora por el Tribunal Superior de Justicia de Madrid que la Delegación del Gobierno en Madrid no contestó en el plazo de setenta y dos horas “con el fin de limitar el derecho de la parte a ejercer su derecho de defensa ante los tribunales” y no se dirigió a los comunicantes solicitando medidas preventivas en el orden sanitario, medidas que, sin duda, hubieran sido adoptadas por los convocantes, ya que el objetivo no era otro que la celebración del 1 de mayo, eliminando cualquier riesgo sanitario que se pudiera producir. Además, el acto administrativo sería nulo por carecer de motivación, al limitarse a mencionar la norma y un contexto de emergencia sanitaria, lo que no satisface las exigencias del art. 10 de la Ley Orgánica 9/1983, de 15 de julio, reguladora del derecho de reunión. Cita al efecto la STC 193/2011, de 12 de diciembre, y la STC 24/2015, de 16 de febrero, explicando que la limitación del ejercicio de derecho de reunión requiere una motivación específica a partir de datos objetivos suficientes derivados de las circunstancias concretas de cada caso. Se trata, por tanto, no solo de la falta de título jurídico para la suspensión del derecho, sino también de la inexistencia de una limitación ordinaria pero proporcionada al ejercicio pretendido de los derechos de reunión y de libertad sindical. Estamos ante la convalidación judicial de un acto administrativo nulo de pleno derecho cuya declaración de nulidad radical conllevaría el legítimo ejercicio del derecho de reunión y a la libertad sindical, debiendo prevalecer necesariamente ambos.</w:t>
      </w:r>
    </w:p>
    <w:p w14:paraId="6B257807" w14:textId="77777777" w:rsidR="008D479B" w:rsidRDefault="008D479B" w:rsidP="008D479B">
      <w:pPr>
        <w:pStyle w:val="TextoNormal"/>
      </w:pPr>
    </w:p>
    <w:p w14:paraId="1E3434AB" w14:textId="73B5DEE9" w:rsidR="008D479B" w:rsidRDefault="008D479B" w:rsidP="008D479B">
      <w:pPr>
        <w:pStyle w:val="TextoNormal"/>
      </w:pPr>
      <w:r>
        <w:t>En cuanto a la especial trascendencia constitucional del recurso, se alega que se trata de un supuesto de hecho que no ha sido examinado en ninguna ocasión por este tribunal, lo que objetiva el recurso. Se indican también las diferencias del caso con el resuelto en el ATC 40/2020, de 30 de abril, en dos aspectos: el tráfico rodado y la falta de previsión de medidas de seguridad colectivas; ambos aspectos fundamentaban el fallo del auto que atendía a que según el itinerario proyectado se iba a ocupar durante varias horas la vía principal de circulación automovilística en Vigo y limitando el acceso a los hospitales. Se considera que en tanto que el Tribunal no ha tenido oportunidad de pronunciarse respecto de la limitación de los derechos de reunión y a la libertad sindical, en un supuesto de manifestación no rodada, de corta duración, con aforo limitado de personas y con adopción de medidas de seguridad.</w:t>
      </w:r>
    </w:p>
    <w:p w14:paraId="571A081A" w14:textId="77777777" w:rsidR="008D479B" w:rsidRDefault="008D479B" w:rsidP="008D479B">
      <w:pPr>
        <w:pStyle w:val="TextoNormal"/>
      </w:pPr>
    </w:p>
    <w:p w14:paraId="23220185" w14:textId="77777777" w:rsidR="008D479B" w:rsidRDefault="008D479B" w:rsidP="008D479B">
      <w:pPr>
        <w:pStyle w:val="TextoNormal"/>
      </w:pPr>
      <w:r w:rsidRPr="008D479B">
        <w:rPr>
          <w:rStyle w:val="NumeroAFNegritaCaracter"/>
        </w:rPr>
        <w:t>4</w:t>
      </w:r>
      <w:r>
        <w:t>. Por providencia de 20 de octubre de 2020, el Pleno, conforme establece el art. 10.1 n) de la Ley Orgánica del Tribunal Constitucional (LOTC), a propuesta de tres magistrados, acordó recabar para sí el conocimiento del presente recurso de amparo, así como admitirlo a trámite, apreciando que concurre en el mismo una especial trascendencia constitucional (art. 50.1 LOTC), porque el recurso plantea un problema o afecta a una faceta de un derecho fundamental sobre el que no hay doctrina de este tribunal [STC 155/2009, FJ 2 a)] y porque el asunto suscitado trasciende del caso concreto porque pudiera tener unas consecuencias políticas generales [STC 155/2009, FJ 2 g)].</w:t>
      </w:r>
    </w:p>
    <w:p w14:paraId="3F276EBA" w14:textId="77777777" w:rsidR="008D479B" w:rsidRDefault="008D479B" w:rsidP="008D479B">
      <w:pPr>
        <w:pStyle w:val="TextoNormal"/>
      </w:pPr>
    </w:p>
    <w:p w14:paraId="0232726D" w14:textId="4868BBF8" w:rsidR="008D479B" w:rsidRDefault="008D479B" w:rsidP="008D479B">
      <w:pPr>
        <w:pStyle w:val="TextoNormal"/>
      </w:pPr>
      <w:r>
        <w:t>Por ello, en aplicación de lo dispuesto en el art. 51 LOTC, se ordenó dirigir atenta comunicación a la Sección Décima de la Sala de lo Contencioso-Administrativo del Tribunal Superior de Justicia de Madrid, a fin de que, en plazo que no excediera de diez días, remitiera certificación o fotocopia adverada de las actuaciones correspondientes a la sentencia dictada en el procedimiento derechos de reunión 309-2020; debiendo previamente emplazarse a quienes hubieran sido parte en el procedimiento, excepto la parte recurrente en amparo, a fin de que pudieran comparecer en el presente proceso constitucional.</w:t>
      </w:r>
    </w:p>
    <w:p w14:paraId="1A11CCC2" w14:textId="77777777" w:rsidR="008D479B" w:rsidRDefault="008D479B" w:rsidP="008D479B">
      <w:pPr>
        <w:pStyle w:val="TextoNormal"/>
      </w:pPr>
    </w:p>
    <w:p w14:paraId="7D5C11DC" w14:textId="50261E15" w:rsidR="008D479B" w:rsidRDefault="008D479B" w:rsidP="008D479B">
      <w:pPr>
        <w:pStyle w:val="TextoNormal"/>
      </w:pPr>
      <w:r w:rsidRPr="008D479B">
        <w:rPr>
          <w:rStyle w:val="NumeroAFNegritaCaracter"/>
        </w:rPr>
        <w:t>5</w:t>
      </w:r>
      <w:r>
        <w:t>. El abogado del Estado, mediante escrito registrado en el Tribunal Constitucional el 16 de noviembre de 2020, solicita que se le tenga por personado y parte en el presente recurso de amparo.</w:t>
      </w:r>
    </w:p>
    <w:p w14:paraId="42385126" w14:textId="77777777" w:rsidR="008D479B" w:rsidRDefault="008D479B" w:rsidP="008D479B">
      <w:pPr>
        <w:pStyle w:val="TextoNormal"/>
      </w:pPr>
    </w:p>
    <w:p w14:paraId="30A5B957" w14:textId="5E1E5CC2" w:rsidR="008D479B" w:rsidRDefault="008D479B" w:rsidP="008D479B">
      <w:pPr>
        <w:pStyle w:val="TextoNormal"/>
      </w:pPr>
      <w:r w:rsidRPr="008D479B">
        <w:rPr>
          <w:rStyle w:val="NumeroAFNegritaCaracter"/>
        </w:rPr>
        <w:t>6</w:t>
      </w:r>
      <w:r>
        <w:t>. La Secretaría de Justicia del Pleno, por diligencia de ordenación de 10 de diciembre de 2020, acordó tener por personado y parte en el presente proceso constitucional al abogado del Estado y dar vista de las actuaciones recibidas de los órganos judiciales a las partes personadas y al Ministerio Fiscal, por plazo común de veinte días, para presentar las alegaciones que estimasen pertinentes, de conformidad con el art. 52.1 LOTC.</w:t>
      </w:r>
    </w:p>
    <w:p w14:paraId="266E697A" w14:textId="77777777" w:rsidR="008D479B" w:rsidRDefault="008D479B" w:rsidP="008D479B">
      <w:pPr>
        <w:pStyle w:val="TextoNormal"/>
      </w:pPr>
    </w:p>
    <w:p w14:paraId="0FAB8560" w14:textId="77777777" w:rsidR="008D479B" w:rsidRDefault="008D479B" w:rsidP="008D479B">
      <w:pPr>
        <w:pStyle w:val="TextoNormal"/>
      </w:pPr>
      <w:r w:rsidRPr="008D479B">
        <w:rPr>
          <w:rStyle w:val="NumeroAFNegritaCaracter"/>
        </w:rPr>
        <w:t>7</w:t>
      </w:r>
      <w:r>
        <w:t>. El abogado del Estado presentó su escrito de alegaciones el 18 de enero de 2021 en el que solicita la desestimación de este recurso de amparo.</w:t>
      </w:r>
    </w:p>
    <w:p w14:paraId="263C54E6" w14:textId="77777777" w:rsidR="008D479B" w:rsidRDefault="008D479B" w:rsidP="008D479B">
      <w:pPr>
        <w:pStyle w:val="TextoNormal"/>
      </w:pPr>
    </w:p>
    <w:p w14:paraId="22812EAF" w14:textId="77777777" w:rsidR="008D479B" w:rsidRDefault="008D479B" w:rsidP="008D479B">
      <w:pPr>
        <w:pStyle w:val="TextoNormal"/>
      </w:pPr>
      <w:r>
        <w:t>Argumenta principalmente que este recurso guarda similitud sustancial con el inadmitido por el ATC 40/2020, de 30 de abril, en cuanto a los motivos en que se sustenta la petición de amparo, por lo que cabe extender a este caso las razones utilizadas en aquel. Señala que, al igual que en aquel caso, no se ha alegado la vulneración del art. 28 CE en la vía judicial previa, por lo que debe inadmitirse el recurso de amparo en relación con dicha vulneración del art. 28 CE.</w:t>
      </w:r>
    </w:p>
    <w:p w14:paraId="0C028A83" w14:textId="77777777" w:rsidR="008D479B" w:rsidRDefault="008D479B" w:rsidP="008D479B">
      <w:pPr>
        <w:pStyle w:val="TextoNormal"/>
      </w:pPr>
    </w:p>
    <w:p w14:paraId="234D3EAD" w14:textId="77777777" w:rsidR="008D479B" w:rsidRDefault="008D479B" w:rsidP="008D479B">
      <w:pPr>
        <w:pStyle w:val="TextoNormal"/>
      </w:pPr>
      <w:r>
        <w:t xml:space="preserve">Respecto del alcance de la limitación del derecho de reunión por la declaración del estado de alarma, recuerda que el ATC 40/2020 resolvió que “la discusión sobre si el decreto de declaración del estado de alarma supone o no, </w:t>
      </w:r>
      <w:r w:rsidRPr="008D479B">
        <w:rPr>
          <w:i/>
        </w:rPr>
        <w:t>de facto</w:t>
      </w:r>
      <w:r>
        <w:t>, y por derivación de la limitación de la libertad deambulatoria del art. 19 CE, una limitación excesiva o incluso una suspensión del derecho de manifestación no puede ser abordada, ni siquiera a efectos dialécticos en este momento procesal, ni siquiera en este recurso de amparo”.</w:t>
      </w:r>
    </w:p>
    <w:p w14:paraId="37FBE568" w14:textId="77777777" w:rsidR="008D479B" w:rsidRDefault="008D479B" w:rsidP="008D479B">
      <w:pPr>
        <w:pStyle w:val="TextoNormal"/>
      </w:pPr>
    </w:p>
    <w:p w14:paraId="120C48E3" w14:textId="77777777" w:rsidR="008D479B" w:rsidRDefault="008D479B" w:rsidP="008D479B">
      <w:pPr>
        <w:pStyle w:val="TextoNormal"/>
      </w:pPr>
      <w:r>
        <w:t>Respecto de la incidencia del covid-19 como causa de limitación del derecho de reunión, el abogado del Estado destaca que el ATC 40/2020 dispuso que “no se trata aquí de garantizar el orden público o de asegurar la no alteración del orden público. Tampoco la declaración del estado de alarma se ha basado en la preservación del orden público, sino en la garantía del derecho a la integridad física y la salud de las personas. Por eso nos encontramos en un escenario en que los límites al ejercicio de los derechos, que indudablemente se dan, se imponen por la necesidad de evitar que un ejercicio extralimitado del derecho pueda entrar en colisión con otros valores constitucionales (STC 42/2000, de 14 de febrero, FJ 2). En este caso los valores de la vida, la salud y la defensa de un sistema de asistencia sanitaria cuyos limitados recursos es necesario garantizar adecuadamente”.</w:t>
      </w:r>
    </w:p>
    <w:p w14:paraId="6050A483" w14:textId="77777777" w:rsidR="008D479B" w:rsidRDefault="008D479B" w:rsidP="008D479B">
      <w:pPr>
        <w:pStyle w:val="TextoNormal"/>
      </w:pPr>
    </w:p>
    <w:p w14:paraId="20DD4728" w14:textId="77777777" w:rsidR="008D479B" w:rsidRDefault="008D479B" w:rsidP="008D479B">
      <w:pPr>
        <w:pStyle w:val="TextoNormal"/>
      </w:pPr>
      <w:r>
        <w:t>Por último, en relación con el juicio de proporcionalidad, indica que el referido ATC 40/2020 consideró que en aquel caso no se habían aportado “indicios notables de concurrencia de la lesión denunciada”, indicios que, a juicio del abogado del Estado, tampoco se han acreditado en este caso. Se remite a las consideraciones de la sentencia impugnada acerca de la necesidad de mantener una distancia social suficiente, atendiendo a la situación de grave crisis de salud pública en relación con el número de personas que pretendían participar en la manifestación y la imperiosa necesidad de evitar contagios tanto para los propios manifestantes como para otras personas que pudieran tener accidentalmente contacto con ellos.</w:t>
      </w:r>
    </w:p>
    <w:p w14:paraId="5C9F198F" w14:textId="77777777" w:rsidR="008D479B" w:rsidRDefault="008D479B" w:rsidP="008D479B">
      <w:pPr>
        <w:pStyle w:val="TextoNormal"/>
      </w:pPr>
    </w:p>
    <w:p w14:paraId="1B8702DD" w14:textId="25AF2FD1" w:rsidR="008D479B" w:rsidRDefault="008D479B" w:rsidP="008D479B">
      <w:pPr>
        <w:pStyle w:val="TextoNormal"/>
      </w:pPr>
      <w:r>
        <w:t xml:space="preserve">El abogado del Estado concluye su escrito afirmando que la prohibición de la manifestación fue correcta, conforme al estado de la ciencia sobre la evolución de la pandemia del covid-19 en el mes de abril de 2020 y cita para ratificar su tesis la sentencia del Tribunal Europeo de Derechos Humanos, de 9 de abril de 2002, asunto </w:t>
      </w:r>
      <w:r w:rsidRPr="008D479B">
        <w:rPr>
          <w:i/>
        </w:rPr>
        <w:t>Cisse</w:t>
      </w:r>
      <w:r>
        <w:t>, en la que dicho tribunal no apreció vulneración de derecho alguno.</w:t>
      </w:r>
    </w:p>
    <w:p w14:paraId="010E2DF9" w14:textId="77777777" w:rsidR="008D479B" w:rsidRDefault="008D479B" w:rsidP="008D479B">
      <w:pPr>
        <w:pStyle w:val="TextoNormal"/>
      </w:pPr>
    </w:p>
    <w:p w14:paraId="45B81F0D" w14:textId="438C1106" w:rsidR="008D479B" w:rsidRDefault="008D479B" w:rsidP="008D479B">
      <w:pPr>
        <w:pStyle w:val="TextoNormal"/>
      </w:pPr>
      <w:r w:rsidRPr="008D479B">
        <w:rPr>
          <w:rStyle w:val="NumeroAFNegritaCaracter"/>
        </w:rPr>
        <w:t>8</w:t>
      </w:r>
      <w:r>
        <w:t>. La representación procesal de Alternativa Sindical de Trabajadores presentó su escrito de alegaciones el 19 de enero de 2021, en el que se ratifica en el contenido de la demanda de amparo.</w:t>
      </w:r>
    </w:p>
    <w:p w14:paraId="191895BE" w14:textId="77777777" w:rsidR="008D479B" w:rsidRDefault="008D479B" w:rsidP="008D479B">
      <w:pPr>
        <w:pStyle w:val="TextoNormal"/>
      </w:pPr>
    </w:p>
    <w:p w14:paraId="6E89A1F9" w14:textId="77777777" w:rsidR="008D479B" w:rsidRDefault="008D479B" w:rsidP="008D479B">
      <w:pPr>
        <w:pStyle w:val="TextoNormal"/>
      </w:pPr>
      <w:r w:rsidRPr="008D479B">
        <w:rPr>
          <w:rStyle w:val="NumeroAFNegritaCaracter"/>
        </w:rPr>
        <w:t>9</w:t>
      </w:r>
      <w:r>
        <w:t>. El Ministerio Fiscal presentó su escrito de alegaciones el 4 de febrero de 2021.</w:t>
      </w:r>
    </w:p>
    <w:p w14:paraId="7853A87C" w14:textId="77777777" w:rsidR="008D479B" w:rsidRDefault="008D479B" w:rsidP="008D479B">
      <w:pPr>
        <w:pStyle w:val="TextoNormal"/>
      </w:pPr>
    </w:p>
    <w:p w14:paraId="324B9851" w14:textId="77777777" w:rsidR="008D479B" w:rsidRDefault="008D479B" w:rsidP="008D479B">
      <w:pPr>
        <w:pStyle w:val="TextoNormal"/>
      </w:pPr>
      <w:r>
        <w:t>Tras exponer los antecedentes que consideró convenientes, señala que se trata de un recurso de amparo del art. 43 LOTC, puesto que la vulneración de los derechos fundamentales que se alegan por la entidad recurrente se atribuye, directamente, a la resolución administrativa de la Delegación de Gobierno de 27 de abril de 2020, no imputando a la sentencia una vulneración autónoma de derechos fundamentales, distinta a la desestimación del recurso contencioso-administrativo. Indica también que la vulneración del derecho de libertad sindical del art. 28 CE, en la vertiente colectiva de acción exterior del sindicato para la defensa de sus intereses propios, se alega por primera vez en el recurso de amparo, por lo que la pretensión de amparo deducida debe quedar limitada al examen de la lesión del derecho de reunión, puesto que la vulneración del derecho de libertad sindical no fue denunciada en la vía judicial (cita el ATC 40/2020, FJ 1).</w:t>
      </w:r>
    </w:p>
    <w:p w14:paraId="58B39845" w14:textId="77777777" w:rsidR="008D479B" w:rsidRDefault="008D479B" w:rsidP="008D479B">
      <w:pPr>
        <w:pStyle w:val="TextoNormal"/>
      </w:pPr>
    </w:p>
    <w:p w14:paraId="1A99E08E" w14:textId="77777777" w:rsidR="008D479B" w:rsidRDefault="008D479B" w:rsidP="008D479B">
      <w:pPr>
        <w:pStyle w:val="TextoNormal"/>
      </w:pPr>
      <w:r>
        <w:t>Alega, en primer término, que la resolución administrativa contiene una motivación suficiente que expresa las razones que justifican la decisión de prohibición de la manifestación comunicada. De acuerdo con los fundamentos cuarto a sexto de la resolución, la decisión de prohibición adoptada no se sustenta, como indica el sindicato demandante de amparo, en las medidas limitativas de movimientos o de libre circulación que preveía el Real Decreto 436/2020, de 14 de marzo. La referencia al Real Decreto 436/2020 aparece directamente conectada con la grave situación de crisis sanitaria por la que atravesaba el país, a causa de la pandemia de covid-19, pero la resolución no sustenta la limitación del ejercicio del derecho de manifestación que supone la prohibición en la aplicación del Real Decreto 436/2020, ni, en concreto, en las medidas restrictivas de libertad de movimientos o circulación que en él se establecían. En ese contexto de riesgo sanitario grave y, teniendo en cuenta que por el Gobierno se ha acudido al mecanismo constitucional de declaración del estado de alarma, adoptando diversas medidas entre las que se encuentran las restrictivas de movimientos, para evitar la mayor propagación de la pandemia y sus consecuencias en las personas (enfermedad, fallecimientos), la resolución administrativa impugnada justifica de manera específica la prohibición de la manifestación comunicada por el sindicato recurrente, en las consecuencias sanitarias que, en el contexto de la pandemia existente, pueden producirse no solo para los manifestantes, sino también para las personas que, accidentalmente, tengan contacto con ellos. Se resalta en la resolución que, en las concurrentes circunstancias, es un hecho notorio que se pueden producir contagios entre las personas participantes en la manifestación, que luego pueden extenderse a los círculos de amistad, profesionales y familiares, incrementándose de esta manera la crisis sanitaria, por más que se adopten medidas de seguridad. No cabe estimar que la prohibición de la manifestación convocada por la entidad recurrente se funde en meras sospechas o conjeturas. La realidad de la pandemia y de sus consecuencias sanitarias (elevadas cifras de contagios, enfermos y fallecimientos), era un hecho notorio y objetivo en el momento en que se dictó la resolución administrativa impugnada corroborada en aquel momento por la tercera prórroga del estado de alarma que había autorizado el Congreso.</w:t>
      </w:r>
    </w:p>
    <w:p w14:paraId="1F4A6171" w14:textId="77777777" w:rsidR="008D479B" w:rsidRDefault="008D479B" w:rsidP="008D479B">
      <w:pPr>
        <w:pStyle w:val="TextoNormal"/>
      </w:pPr>
    </w:p>
    <w:p w14:paraId="2BAC342B" w14:textId="77777777" w:rsidR="008D479B" w:rsidRDefault="008D479B" w:rsidP="008D479B">
      <w:pPr>
        <w:pStyle w:val="TextoNormal"/>
      </w:pPr>
      <w:r>
        <w:t>Por eso, según la fiscal, cabe considerar que existían razones fundadas para apreciar, como hace la resolución administrativa, que la celebración de la manifestación era un riesgo evidente para la propagación de la pandemia, aunque se adoptaran medidas de seguridad, pudiendo agravarse la crisis sanitaria y poner en peligro bienes personales constitucionalmente relevantes, como la salud pública (art 43 CE) y la vida y la integridad de las personas (art 15 CE).</w:t>
      </w:r>
    </w:p>
    <w:p w14:paraId="075CEDB9" w14:textId="77777777" w:rsidR="008D479B" w:rsidRDefault="008D479B" w:rsidP="008D479B">
      <w:pPr>
        <w:pStyle w:val="TextoNormal"/>
      </w:pPr>
    </w:p>
    <w:p w14:paraId="162551B9" w14:textId="77777777" w:rsidR="008D479B" w:rsidRDefault="008D479B" w:rsidP="008D479B">
      <w:pPr>
        <w:pStyle w:val="TextoNormal"/>
      </w:pPr>
      <w:r>
        <w:t>En cuanto a la alegación de que no se ha atendido a las circunstancias en las que se desarrollaría la manifestación, en concreto, a la batería de medidas de seguridad que se ofrecían en la comunicación de la convocatoria, señala la fiscal que no se indican en la comunicación cuáles eran los criterios por los que se había llegado a una participación estimada de entre cincuenta y setenta personas y que solo se precisa que la manifestación se realizaría cumpliendo la distancia de seguridad y que los organizadores dispondrían de un servicio de orden, comprometiéndose a mantener el mismo durante el tiempo que durase la manifestación y solicitando, asimismo, que la autoridad gubernativa tomase las medidas de seguridad oportunas.</w:t>
      </w:r>
    </w:p>
    <w:p w14:paraId="59289289" w14:textId="77777777" w:rsidR="008D479B" w:rsidRDefault="008D479B" w:rsidP="008D479B">
      <w:pPr>
        <w:pStyle w:val="TextoNormal"/>
      </w:pPr>
    </w:p>
    <w:p w14:paraId="61A50AB5" w14:textId="77777777" w:rsidR="008D479B" w:rsidRDefault="008D479B" w:rsidP="008D479B">
      <w:pPr>
        <w:pStyle w:val="TextoNormal"/>
      </w:pPr>
      <w:r>
        <w:t xml:space="preserve">La fiscal hace también referencia al ATC 40/2020, FJ 4. Considera que cabe observar gran similitud entre ambos casos, por lo que es trasladable al presente recurso el razonamiento del citado auto, en el que se descarta </w:t>
      </w:r>
      <w:r w:rsidRPr="008D479B">
        <w:rPr>
          <w:i/>
        </w:rPr>
        <w:t>prima facie</w:t>
      </w:r>
      <w:r>
        <w:t xml:space="preserve"> que pueda apreciarse la inconstitucionalidad de la restricción del derecho de manifestación que se alegaba, debiendo tener en cuenta además que, en el presente caso, no obstante lo alegado en el recurso de amparo, la resolución administrativa de la Delegación de Gobierno en Madrid, no presenta las evidentes carencias de motivación que sí presentaba la resolución administrativa enjuiciada en el supuesto analizado por el ATC 40/2020.</w:t>
      </w:r>
    </w:p>
    <w:p w14:paraId="61C97A0D" w14:textId="77777777" w:rsidR="008D479B" w:rsidRDefault="008D479B" w:rsidP="008D479B">
      <w:pPr>
        <w:pStyle w:val="TextoNormal"/>
      </w:pPr>
    </w:p>
    <w:p w14:paraId="2FF597B7" w14:textId="77777777" w:rsidR="008D479B" w:rsidRDefault="008D479B" w:rsidP="008D479B">
      <w:pPr>
        <w:pStyle w:val="TextoNormal"/>
      </w:pPr>
      <w:r>
        <w:t>La fiscal se refiere a continuación a la sentencia 198/2020, de 30 de abril, dictada por la Sección Décima de la Sala de lo Contencioso-Administrativo del Tribunal Superior de Justicia de Madrid. Parte de que no se le achaca una lesión autónoma del art. 24.1 CE, sino únicamente el haber asumido los argumentos de la resolución administrativa. Para el Ministerio Fiscal la sentencia está suficientemente motivada porque, tras exponer las razones por las que la resolución gubernativa prohibió la concentración, aprecia que no se basan en meras conjeturas o sospechas, sino en datos objetivos derivados de las circunstancias concretas en las que se pretendía ejercer el derecho de reunión.</w:t>
      </w:r>
    </w:p>
    <w:p w14:paraId="11061FA6" w14:textId="77777777" w:rsidR="008D479B" w:rsidRDefault="008D479B" w:rsidP="008D479B">
      <w:pPr>
        <w:pStyle w:val="TextoNormal"/>
      </w:pPr>
    </w:p>
    <w:p w14:paraId="1DA5CE57" w14:textId="77777777" w:rsidR="008D479B" w:rsidRDefault="008D479B" w:rsidP="008D479B">
      <w:pPr>
        <w:pStyle w:val="TextoNormal"/>
      </w:pPr>
      <w:r>
        <w:t xml:space="preserve">Hecho lo anterior, la sentencia examina si, de acuerdo con la doctrina constitucional sobre los límites del derecho fundamental de reunión, se ha respetado el principio </w:t>
      </w:r>
      <w:r w:rsidRPr="008D479B">
        <w:rPr>
          <w:i/>
        </w:rPr>
        <w:t>favor libertatis</w:t>
      </w:r>
      <w:r>
        <w:t xml:space="preserve"> y si se puede considerar cumplido el juicio de proporcionalidad por la medida restrictiva acordada. En este sentido, la sentencia examina si se cumple el test de los tres niveles: (i) si la medida era idónea para para conseguir el objetivo de evitar la propagación de la pandemia, (ii) necesaria en cuanto no existe una medida menos gravosa para alcanzarlo, porque existen razones objetivas para considerar que la celebración de la manifestación programada, puede dar lugar a contagios entre los participantes que se extenderán entre sus círculos de relaciones, incrementando la crisis sanitaria y (iii) proporcionada, en sentido estricto, porque la prohibición conlleva un beneficio general mayor, con respecto a la grave perturbación que su ejercicio supone en otros bienes protegidos como la vida o la salud.</w:t>
      </w:r>
    </w:p>
    <w:p w14:paraId="2B8DB255" w14:textId="77777777" w:rsidR="008D479B" w:rsidRDefault="008D479B" w:rsidP="008D479B">
      <w:pPr>
        <w:pStyle w:val="TextoNormal"/>
      </w:pPr>
    </w:p>
    <w:p w14:paraId="5D338933" w14:textId="77777777" w:rsidR="008D479B" w:rsidRDefault="008D479B" w:rsidP="008D479B">
      <w:pPr>
        <w:pStyle w:val="TextoNormal"/>
      </w:pPr>
      <w:r>
        <w:t>La fiscal considera que la sentencia es una resolución debidamente fundada en derecho desde la perspectiva de control de constitucionalidad y que realiza un amplio examen de la medida de prohibición de la concentración, acordada por la resolución administrativa impugnada, a la luz de la doctrina constitucional sobre el carácter restrictivo que debe tener toda limitación del derecho fundamental de reunión, ponderando los valores o derechos concurrentes con aquel. Tiene en cuenta el contexto en el que se trata de ejercer el derecho de reunión, que se corresponde con la grave situación de pandemia en la que se encontraba el país en el momento en que se trataba de ejercitar ese derecho y las concretas circunstancias o condiciones en las que se proyectó la manifestación, de acuerdo con la comunicación realizada por, entre otros, el sindicato promotor, así como la proporcionalidad de la restricción del derecho de reunión, en relación con el beneficio general que comporta.</w:t>
      </w:r>
    </w:p>
    <w:p w14:paraId="70FE0F3A" w14:textId="77777777" w:rsidR="008D479B" w:rsidRDefault="008D479B" w:rsidP="008D479B">
      <w:pPr>
        <w:pStyle w:val="TextoNormal"/>
      </w:pPr>
    </w:p>
    <w:p w14:paraId="1CD962EE" w14:textId="20AC4722" w:rsidR="008D479B" w:rsidRDefault="008D479B" w:rsidP="008D479B">
      <w:pPr>
        <w:pStyle w:val="TextoNormal"/>
      </w:pPr>
      <w:r>
        <w:t>La fiscal concluye solicitando la inadmisión del recurso de amparo en cuanto a la pretensión de vulneración del derecho de libertad sindical del art. 28 CE y la desestimación del recurso respecto de la pretensión de vulneración del derecho de reunión y manifestación del art. 21 CE.</w:t>
      </w:r>
    </w:p>
    <w:p w14:paraId="65A4F27D" w14:textId="77777777" w:rsidR="008D479B" w:rsidRDefault="008D479B" w:rsidP="008D479B">
      <w:pPr>
        <w:pStyle w:val="TextoNormal"/>
      </w:pPr>
    </w:p>
    <w:p w14:paraId="49C82130" w14:textId="1DAE0B0D" w:rsidR="008D479B" w:rsidRDefault="008D479B" w:rsidP="008D479B">
      <w:pPr>
        <w:pStyle w:val="TextoNormal"/>
      </w:pPr>
      <w:r w:rsidRPr="008D479B">
        <w:rPr>
          <w:rStyle w:val="NumeroAFNegritaCaracter"/>
        </w:rPr>
        <w:t>10</w:t>
      </w:r>
      <w:r>
        <w:t>. Por providencia de 18 de julio de 2023 se señaló ese mismo día para la deliberación y votación de la presente sentencia.</w:t>
      </w:r>
    </w:p>
    <w:p w14:paraId="1FBBC594" w14:textId="77777777" w:rsidR="008D479B" w:rsidRDefault="008D479B" w:rsidP="008D479B">
      <w:pPr>
        <w:pStyle w:val="TextoNormal"/>
      </w:pPr>
    </w:p>
    <w:p w14:paraId="236E5866" w14:textId="77777777" w:rsidR="008D479B" w:rsidRDefault="008D479B" w:rsidP="008D479B">
      <w:pPr>
        <w:pStyle w:val="TextoNormalNegritaCentrado"/>
        <w:keepNext/>
      </w:pPr>
      <w:r>
        <w:t>II. Fundamentos jurídicos</w:t>
      </w:r>
    </w:p>
    <w:p w14:paraId="2A5CC251" w14:textId="43976E46" w:rsidR="008D479B" w:rsidRDefault="008D479B" w:rsidP="008D479B">
      <w:pPr>
        <w:pStyle w:val="TextoNormalNegritaCentrado"/>
        <w:keepNext/>
      </w:pPr>
    </w:p>
    <w:p w14:paraId="228FF978" w14:textId="77777777" w:rsidR="008D479B" w:rsidRDefault="008D479B" w:rsidP="008D479B">
      <w:pPr>
        <w:pStyle w:val="TextoNormal"/>
      </w:pPr>
      <w:r w:rsidRPr="008D479B">
        <w:rPr>
          <w:rStyle w:val="NumeroAFNegritaCaracter"/>
        </w:rPr>
        <w:t>1</w:t>
      </w:r>
      <w:r>
        <w:t xml:space="preserve">. </w:t>
      </w:r>
      <w:r w:rsidRPr="008D479B">
        <w:rPr>
          <w:i/>
        </w:rPr>
        <w:t>Objeto del recurso y posiciones de las partes</w:t>
      </w:r>
    </w:p>
    <w:p w14:paraId="3BF40B56" w14:textId="77777777" w:rsidR="008D479B" w:rsidRDefault="008D479B" w:rsidP="008D479B">
      <w:pPr>
        <w:pStyle w:val="TextoNormal"/>
      </w:pPr>
    </w:p>
    <w:p w14:paraId="2531A39A" w14:textId="77777777" w:rsidR="008D479B" w:rsidRDefault="008D479B" w:rsidP="008D479B">
      <w:pPr>
        <w:pStyle w:val="TextoNormal"/>
      </w:pPr>
      <w:r>
        <w:t>El objeto del presente proceso es determinar si la resolución del delegado del Gobierno en Madrid de 27 de abril de 2020, que prohibió una manifestación convocada, entre otros, por el sindicato recurrente con motivo de la celebración del 1 de mayo, y la posterior sentencia 198/2020, de 30 de abril, dictada por la Sección Décima de la Sala de lo Contencioso-Administrativo del Tribunal Superior de Justicia de Madrid, que desestimó el recurso contencioso-administrativo interpuesto contra aquella resolución han vulnerado el derecho fundamental de reunión, en su vertiente del derecho de manifestación (art. 21 CE), así como el derecho fundamental a la libertad sindical (art. 28 CE), en la vertiente colectiva de la acción sindical fuera de la empresa en la defensa de los intereses económicos y sociales que le son propios.</w:t>
      </w:r>
    </w:p>
    <w:p w14:paraId="40601F97" w14:textId="77777777" w:rsidR="008D479B" w:rsidRDefault="008D479B" w:rsidP="008D479B">
      <w:pPr>
        <w:pStyle w:val="TextoNormal"/>
      </w:pPr>
    </w:p>
    <w:p w14:paraId="23BA7E7D" w14:textId="77777777" w:rsidR="008D479B" w:rsidRDefault="008D479B" w:rsidP="008D479B">
      <w:pPr>
        <w:pStyle w:val="TextoNormal"/>
      </w:pPr>
      <w:r>
        <w:t>Según se ha expuesto detalladamente en los antecedentes, el sindicato recurrente considera que la resolución de la Delegación del Gobierno en Madrid, que prohibió la manifestación comunicada, carece de la adecuada y suficiente motivación para la restricción del derecho fundamental de reunión y manifestación, carencia de motivación en la restricción del derecho que la sentencia posterior no reparó. Además, se incumplió lo previsto en el art. 10 de la Ley Orgánica 9/1983, de 15 de julio, reguladora del derecho de reunión (LODR), en punto a la necesaria contestación en el plazo de setenta y dos horas desde la recepción de la preceptiva comunicación de la manifestación proyectada.</w:t>
      </w:r>
    </w:p>
    <w:p w14:paraId="5FD94932" w14:textId="77777777" w:rsidR="008D479B" w:rsidRDefault="008D479B" w:rsidP="008D479B">
      <w:pPr>
        <w:pStyle w:val="TextoNormal"/>
      </w:pPr>
    </w:p>
    <w:p w14:paraId="483EED39" w14:textId="10F8065D" w:rsidR="008D479B" w:rsidRDefault="008D479B" w:rsidP="008D479B">
      <w:pPr>
        <w:pStyle w:val="TextoNormal"/>
      </w:pPr>
      <w:r>
        <w:t>El Ministerio Fiscal interesa la inadmisión de la queja de vulneración del art. 28 CE, por falta de invocación en la vía judicial previa, y la desestimación del recurso de amparo en cuanto a la denunciada vulneración del art. 21 CE, al entender que la prohibición gubernativa se basa en razones concretas de peligro para la salud pública, fundadas en la situación generada por la pandemia de covid-19, y supera el exigible test de proporcionalidad. El abogado del Estado solicita igualmente la inadmisión del recurso en lo relativo a la infracción del art. 28 CE, así como su desestimación en lo restante.</w:t>
      </w:r>
    </w:p>
    <w:p w14:paraId="52B8F6A6" w14:textId="77777777" w:rsidR="008D479B" w:rsidRDefault="008D479B" w:rsidP="008D479B">
      <w:pPr>
        <w:pStyle w:val="TextoNormal"/>
      </w:pPr>
    </w:p>
    <w:p w14:paraId="734600BE" w14:textId="77777777" w:rsidR="008D479B" w:rsidRDefault="008D479B" w:rsidP="008D479B">
      <w:pPr>
        <w:pStyle w:val="TextoNormal"/>
      </w:pPr>
      <w:r w:rsidRPr="008D479B">
        <w:rPr>
          <w:rStyle w:val="NumeroAFNegritaCaracter"/>
        </w:rPr>
        <w:t>2</w:t>
      </w:r>
      <w:r>
        <w:t xml:space="preserve">. </w:t>
      </w:r>
      <w:r w:rsidRPr="008D479B">
        <w:rPr>
          <w:i/>
        </w:rPr>
        <w:t>Precisiones previas</w:t>
      </w:r>
    </w:p>
    <w:p w14:paraId="51BEF00F" w14:textId="77777777" w:rsidR="008D479B" w:rsidRDefault="008D479B" w:rsidP="008D479B">
      <w:pPr>
        <w:pStyle w:val="TextoNormal"/>
      </w:pPr>
    </w:p>
    <w:p w14:paraId="61CF1FCA" w14:textId="77777777" w:rsidR="008D479B" w:rsidRDefault="008D479B" w:rsidP="008D479B">
      <w:pPr>
        <w:pStyle w:val="TextoNormal"/>
      </w:pPr>
      <w:r>
        <w:t>Con carácter previo al examen del fondo de la controversia conviene efectuar dos precisiones preliminares:</w:t>
      </w:r>
    </w:p>
    <w:p w14:paraId="37A24D75" w14:textId="77777777" w:rsidR="008D479B" w:rsidRDefault="008D479B" w:rsidP="008D479B">
      <w:pPr>
        <w:pStyle w:val="TextoNormal"/>
      </w:pPr>
    </w:p>
    <w:p w14:paraId="55EDC851" w14:textId="77777777" w:rsidR="008D479B" w:rsidRDefault="008D479B" w:rsidP="008D479B">
      <w:pPr>
        <w:pStyle w:val="TextoNormal"/>
      </w:pPr>
      <w:r>
        <w:t>a) Nos hallamos ante un recurso de amparo de los previstos en el art. 43 LOTC, ya que el acto de los poderes públicos al que se imputa la lesión del derecho de manifestación es la resolución del delegado del Gobierno en Madrid de 27 de abril de 2020, que es la resolución de la “autoridad” (art. 21.2 CE) que prohibió la manifestación convocada, junto con otros, por el sindicato ahora recurrente, de conformidad con los arts. 8 y ss. LODR.</w:t>
      </w:r>
    </w:p>
    <w:p w14:paraId="68406EC6" w14:textId="77777777" w:rsidR="008D479B" w:rsidRDefault="008D479B" w:rsidP="008D479B">
      <w:pPr>
        <w:pStyle w:val="TextoNormal"/>
      </w:pPr>
    </w:p>
    <w:p w14:paraId="6088D799" w14:textId="77777777" w:rsidR="008D479B" w:rsidRDefault="008D479B" w:rsidP="008D479B">
      <w:pPr>
        <w:pStyle w:val="TextoNormal"/>
      </w:pPr>
      <w:r>
        <w:t>La posterior sentencia del Tribunal Superior de Justicia de Madrid, de 30 de abril de 2020, que confirmó la resolución administrativa, solo se impugna porque el órgano judicial no ha reparado la lesión alegada. Es decir, la resolución judicial únicamente lesionaría el derecho de reunión de forma indirecta, por no haber remediado la vulneración ocasionada por la autoridad gubernativa y no, por tanto, de manera propia y autónoma (así, entre otras, SSTC 301/2006, de 23 de octubre, FJ 1, y 24/2015, de 16 de febrero, FJ 1). En consecuencia, aunque la demanda cita ambas resoluciones, la administrativa y la judicial como actos de los poderes públicos impugnados, debemos atender prioritariamente al contenido de la primera de ellas, la gubernativa, para confrontar su contenido con el art. 21 CE.</w:t>
      </w:r>
    </w:p>
    <w:p w14:paraId="01A41CFB" w14:textId="77777777" w:rsidR="008D479B" w:rsidRDefault="008D479B" w:rsidP="008D479B">
      <w:pPr>
        <w:pStyle w:val="TextoNormal"/>
      </w:pPr>
    </w:p>
    <w:p w14:paraId="30377F36" w14:textId="77777777" w:rsidR="008D479B" w:rsidRDefault="008D479B" w:rsidP="008D479B">
      <w:pPr>
        <w:pStyle w:val="TextoNormal"/>
      </w:pPr>
      <w:r>
        <w:t>b) La resolución administrativa controvertida alude en su fundamento cuarto a la crisis sanitaria provocada por el covid-19 y al Real Decreto 463/2020, de 14 de marzo, por el que se declara el estado de alarma para la gestión de la situación de crisis sanitaria ocasionada por el covid-19. En concreto, tras citar partes de su preámbulo, señala que la citada norma contiene una limitación del derecho de movilidad y libre circulación como regla general con excepciones para determinados supuestos, pero, a renglón seguido, señala que el estado de alarma, efectivamente, no suspende derechos fundamentales, aunque puede limitar su ejercicio introduciendo restricciones. Y concluye que el derecho contenido en el art. 21 CE no se encuentra suspendido por la declaración del estado de alarma.</w:t>
      </w:r>
    </w:p>
    <w:p w14:paraId="2345B922" w14:textId="77777777" w:rsidR="008D479B" w:rsidRDefault="008D479B" w:rsidP="008D479B">
      <w:pPr>
        <w:pStyle w:val="TextoNormal"/>
      </w:pPr>
    </w:p>
    <w:p w14:paraId="57BE5DB2" w14:textId="77777777" w:rsidR="008D479B" w:rsidRDefault="008D479B" w:rsidP="008D479B">
      <w:pPr>
        <w:pStyle w:val="TextoNormal"/>
      </w:pPr>
      <w:r>
        <w:t>Por tanto, conforme a su tenor, la prohibición gubernativa descansa en la aplicación del régimen ordinario de límites al derecho de reunión y manifestación, que derivan de la tutela de otros bienes y derechos que también tienen relevancia constitucional, tal como también sucedía en los asuntos resueltos por el ATC 40/2020, de 30 de abril, y por las SSTC 61/2023, de 24 de mayo, y 84/2023, de 5 de julio. Al igual que en esos casos, la norma que declara el estado de alarma no se invoca como fundamento de la prohibición gubernativa, sino como elemento de contexto que acredita la realidad de una crisis sanitaria que debe tenerse presente para ponderar si la prohibición del ejercicio del derecho de reunión vulneró el art. 21 CE.</w:t>
      </w:r>
    </w:p>
    <w:p w14:paraId="28465C20" w14:textId="77777777" w:rsidR="008D479B" w:rsidRDefault="008D479B" w:rsidP="008D479B">
      <w:pPr>
        <w:pStyle w:val="TextoNormal"/>
      </w:pPr>
    </w:p>
    <w:p w14:paraId="63C1C53B" w14:textId="77777777" w:rsidR="008D479B" w:rsidRDefault="008D479B" w:rsidP="008D479B">
      <w:pPr>
        <w:pStyle w:val="TextoNormal"/>
      </w:pPr>
      <w:r>
        <w:t>A este respecto, la STC 148/2021, de 14 de julio, FJ 7, concluyó que la vigencia del estado de alarma declarado por el Real Decreto 463/2020, y las restricciones a la libertad de circulación de él derivadas no deparaban también la vulneración de los derechos previstos en el art. 21 CE. En concreto, se afirmó sobre el derecho de manifestación que “habrá de regirse por lo previsto en el art. 21 CE y, en su desarrollo, por la Ley Orgánica 9/1983, reguladora del derecho de reunión. Lo anterior se entiende sin perjuicio de que, en la concreta aplicación gubernativa de sus previsiones, se hayan de tener presentes las circunstancias que llevaron a la declaración de un estado de alarma, y en particular el objetivo de reducción de contactos sociales que subyace a varias de las reglas del Real Decreto 463/2020”, pero “incluso bajo estas condiciones, el derecho de manifestación permanece incólume”. Y se concluía que “Ello no excluye, obviamente, que las circunstancias que provocaron la declaración de este estado de alarma (que, ha de reiterarse, no ha sido impugnada), y la consiguiente necesidad de guardar un prudencial distanciamiento físico entre personas (que tampoco ponen en cuestión los recurrentes), hayan dificultado en alto grado el ejercicio de este derecho, justificando la prohibición o condicionamiento de reuniones o manifestaciones concretas con fundamento, precisamente, en la protección de la vida, la integridad física y la salud (arts. 15 y 43 CE y ATC 40/2020, FJ 4)”.</w:t>
      </w:r>
    </w:p>
    <w:p w14:paraId="0751C36A" w14:textId="77777777" w:rsidR="008D479B" w:rsidRDefault="008D479B" w:rsidP="008D479B">
      <w:pPr>
        <w:pStyle w:val="TextoNormal"/>
      </w:pPr>
    </w:p>
    <w:p w14:paraId="1AB326B4" w14:textId="03D19816" w:rsidR="008D479B" w:rsidRDefault="008D479B" w:rsidP="008D479B">
      <w:pPr>
        <w:pStyle w:val="TextoNormal"/>
      </w:pPr>
      <w:r>
        <w:t>Por consiguiente, para la resolución del presente recurso de amparo debemos partir del art. 21 CE que reconoce “el derecho de reunión pacífica y sin armas” cuyo ejercicio “no necesitará autorización previa” (apartado 1) si bien prevé que “[e]n los casos de reuniones en lugares de tránsito público y manifestaciones se dará comunicación previa a la autoridad, que solo podrá prohibirlas cuando existan razones fundadas de alteración del orden público, con peligro para personas o bienes” (apartado 2); derecho que desarrolla la citada Ley reguladora del derecho de reunión.</w:t>
      </w:r>
    </w:p>
    <w:p w14:paraId="749967E0" w14:textId="77777777" w:rsidR="008D479B" w:rsidRDefault="008D479B" w:rsidP="008D479B">
      <w:pPr>
        <w:pStyle w:val="TextoNormal"/>
      </w:pPr>
    </w:p>
    <w:p w14:paraId="428237D1" w14:textId="77777777" w:rsidR="008D479B" w:rsidRDefault="008D479B" w:rsidP="008D479B">
      <w:pPr>
        <w:pStyle w:val="TextoNormal"/>
      </w:pPr>
      <w:r w:rsidRPr="008D479B">
        <w:rPr>
          <w:rStyle w:val="NumeroAFNegritaCaracter"/>
        </w:rPr>
        <w:t>3</w:t>
      </w:r>
      <w:r>
        <w:t xml:space="preserve">. </w:t>
      </w:r>
      <w:r w:rsidRPr="008D479B">
        <w:rPr>
          <w:i/>
        </w:rPr>
        <w:t>Óbice procesal</w:t>
      </w:r>
    </w:p>
    <w:p w14:paraId="6E58A8E3" w14:textId="77777777" w:rsidR="008D479B" w:rsidRDefault="008D479B" w:rsidP="008D479B">
      <w:pPr>
        <w:pStyle w:val="TextoNormal"/>
      </w:pPr>
    </w:p>
    <w:p w14:paraId="0641FBDA" w14:textId="77777777" w:rsidR="008D479B" w:rsidRDefault="008D479B" w:rsidP="008D479B">
      <w:pPr>
        <w:pStyle w:val="TextoNormal"/>
      </w:pPr>
      <w:r>
        <w:t>Procede también resolver previamente sobre el óbice procesal en el que, a juicio del abogado del Estado y de la fiscal, habría incurrido la demanda de amparo por la ausencia de invocación formal en el previo procedimiento judicial de la lesión del derecho a la libertad sindical (art. 28 CE), en la vertiente colectiva de la acción sindical fuera de la empresa en la defensa de los intereses económicos y sociales que le son propios. Y también, aunque sobre ello nada digan ni el Ministerio Fiscal ni el abogado del Estado, en relación a una de las quejas que se plantean específicamente respecto a la vulneración del art. 21 CE, el incumplimiento del plazo para notificar la resolución denegatoria en el plazo de setenta y dos horas que prescribe el art. 10 LODR.</w:t>
      </w:r>
    </w:p>
    <w:p w14:paraId="1A37623B" w14:textId="77777777" w:rsidR="008D479B" w:rsidRDefault="008D479B" w:rsidP="008D479B">
      <w:pPr>
        <w:pStyle w:val="TextoNormal"/>
      </w:pPr>
    </w:p>
    <w:p w14:paraId="2111B6AB" w14:textId="77777777" w:rsidR="008D479B" w:rsidRDefault="008D479B" w:rsidP="008D479B">
      <w:pPr>
        <w:pStyle w:val="TextoNormal"/>
      </w:pPr>
      <w:r>
        <w:t>Este tribunal ha sentado una consolidada doctrina acerca de la necesidad de la invocación tempestiva de la lesión constitucional en la vía judicial precedente, tal como exige el art. 44.1 c) LOTC, a fin de procurar la eventual reparación de la vulneración por los jueces y tribunales ordinarios, garantizándose así la subsidiariedad del recurso de amparo. Dicho requisito no resulta un mero formalismo retórico o inútil, ni una fórmula inocua, pues tiene por finalidad, de una parte, que los órganos judiciales tengan la oportunidad de pronunciarse sobre la violación constitucional, haciendo posible el respeto y el restablecimiento del derecho constitucional en sede jurisdiccional ordinaria y, de otra, preservar el carácter subsidiario de la jurisdicción constitucional de amparo, que resultaría desvirtuado si ante ella se plantearan cuestiones sobre las que previamente, a través de las vías procesales oportunas, no se ha dado ocasión de pronunciarse a los órganos de la jurisdicción correspondiente.</w:t>
      </w:r>
    </w:p>
    <w:p w14:paraId="7EDB32E7" w14:textId="77777777" w:rsidR="008D479B" w:rsidRDefault="008D479B" w:rsidP="008D479B">
      <w:pPr>
        <w:pStyle w:val="TextoNormal"/>
      </w:pPr>
    </w:p>
    <w:p w14:paraId="3DC7DEAA" w14:textId="77777777" w:rsidR="008D479B" w:rsidRDefault="008D479B" w:rsidP="008D479B">
      <w:pPr>
        <w:pStyle w:val="TextoNormal"/>
      </w:pPr>
      <w:r>
        <w:t>Es también doctrina reiterada de este tribunal que el principio de subsidiariedad del recurso de amparo se debe dar por satisfecho cuando, aun no habiendo cita expresa del precepto constitucional que se considera vulnerado, el contexto de los antecedentes y alegaciones realizadas permitan razonablemente concluir que se ha dado al órgano decisor la posibilidad de pronunciarse y, en su caso, proceder a un temprano restablecimiento del derecho fundamental invocado en el amparo (así, SSTC 22/2020, de 13 de febrero, FJ 6, o 38/2020, de 25 de febrero, FJ 4). Lo importante, entonces, es que el tema quedara adecuadamente perfilado de modo tal que el juez haya podido abordarlo antes de que lo haga el Tribunal Constitucional (entre otras muchas, SSTC 310/2000, de 28 de diciembre, FJ 2; 14/2001, de 29 de enero, FJ 11; 88/2005, de 18 de abril, FJ 3, y 189/2012, de 29 de octubre, FJ 2).</w:t>
      </w:r>
    </w:p>
    <w:p w14:paraId="5A1B80ED" w14:textId="77777777" w:rsidR="008D479B" w:rsidRDefault="008D479B" w:rsidP="008D479B">
      <w:pPr>
        <w:pStyle w:val="TextoNormal"/>
      </w:pPr>
    </w:p>
    <w:p w14:paraId="4E7CFCD5" w14:textId="77777777" w:rsidR="008D479B" w:rsidRDefault="008D479B" w:rsidP="008D479B">
      <w:pPr>
        <w:pStyle w:val="TextoNormal"/>
      </w:pPr>
      <w:r>
        <w:t>Aplicando dicha doctrina al presente caso resulta que, en relación con la alegada falta de invocación, en el procedimiento del que trae causa la demanda de amparo, de la vulneración del derecho a la libertad sindical (art. 28 CE), debe indicarse que si bien dicho derecho no ha sido formalmente invocado en el procedimiento judicial previo, siendo la primera vez que se cita en el recurso de amparo, sin embargo es posible considerar que su invocación carece de autonomía y sustantividad propia y se debe entender como un apéndice, accesorio o complementario, de la vulneración del derecho de reunión en su vertiente del derecho de manifestación (art. 21 CE) que se denuncia con carácter principal en la demanda. Por tanto, la alegada infracción del derecho a la libertad sindical ha de entenderse subsumida en la queja referida en la lesión del derecho de reunión.</w:t>
      </w:r>
    </w:p>
    <w:p w14:paraId="08F88C34" w14:textId="77777777" w:rsidR="008D479B" w:rsidRDefault="008D479B" w:rsidP="008D479B">
      <w:pPr>
        <w:pStyle w:val="TextoNormal"/>
      </w:pPr>
    </w:p>
    <w:p w14:paraId="0925018E" w14:textId="3EF55CFF" w:rsidR="008D479B" w:rsidRDefault="008D479B" w:rsidP="008D479B">
      <w:pPr>
        <w:pStyle w:val="TextoNormal"/>
      </w:pPr>
      <w:r>
        <w:t xml:space="preserve">No sucede lo mismo, sin embargo, con la denuncia de vulneración del art. 21 CE por la falta de contestación a los promotores de la manifestación en el plazo legalmente establecido en el art. 10 LODR, cuestión sustantiva que se plantea también por primera vez en la demanda de amparo, por lo que esta queja adolece de falta de invocación tempestiva al no haberse denunciado, tan pronto como, una vez conocida, hubiera lugar a ello dentro del proceso </w:t>
      </w:r>
      <w:r w:rsidRPr="008D479B">
        <w:rPr>
          <w:i/>
        </w:rPr>
        <w:t>ex</w:t>
      </w:r>
      <w:r>
        <w:t xml:space="preserve"> art. 44.1 c) LOTC. Es claro que, atribuida esta lesión a la resolución de 27 marzo de 2020 del delegado del Gobierno en Madrid, que había acordado la prohibición de la manifestación convocada, entre otros, por el sindicato ahora recurrente, este debía haberla invocado en el recurso contencioso-administrativo interpuesto frente a dicha resolución. Sin embargo, el examen de las actuaciones del proceso contencioso-administrativo muestra que en ningún momento el sindicato ahora recurrente hace alegación alguna al respecto, lo que ha impedido al órgano judicial identificar esa supuesta lesión y posibilitar la reparación de tal eventual vulneración. Por ello, el demandante de amparo ha incumplido, en relación con esta queja, su obligación de preservar la subsidiariedad del recurso de amparo (STC 86/2022, de 27 de junio, FJ 2 y las que cita), lo que supone el incumplimiento de un requisito de admisibilidad que impide al Tribunal entrar a valorar si existió la vulneración denunciada en el punto referido (contestación a la comunicación en el plazo de setenta y dos horas legalmente previsto).</w:t>
      </w:r>
    </w:p>
    <w:p w14:paraId="4A3B135E" w14:textId="77777777" w:rsidR="008D479B" w:rsidRDefault="008D479B" w:rsidP="008D479B">
      <w:pPr>
        <w:pStyle w:val="TextoNormal"/>
      </w:pPr>
    </w:p>
    <w:p w14:paraId="3EE36C7A" w14:textId="77777777" w:rsidR="008D479B" w:rsidRDefault="008D479B" w:rsidP="008D479B">
      <w:pPr>
        <w:pStyle w:val="TextoNormal"/>
      </w:pPr>
      <w:r w:rsidRPr="008D479B">
        <w:rPr>
          <w:rStyle w:val="NumeroAFNegritaCaracter"/>
        </w:rPr>
        <w:t>4</w:t>
      </w:r>
      <w:r>
        <w:t xml:space="preserve">. </w:t>
      </w:r>
      <w:r w:rsidRPr="008D479B">
        <w:rPr>
          <w:i/>
        </w:rPr>
        <w:t>Doctrina constitucional sobre el derecho de reunión</w:t>
      </w:r>
    </w:p>
    <w:p w14:paraId="70F64E56" w14:textId="77777777" w:rsidR="008D479B" w:rsidRDefault="008D479B" w:rsidP="008D479B">
      <w:pPr>
        <w:pStyle w:val="TextoNormal"/>
      </w:pPr>
    </w:p>
    <w:p w14:paraId="7A1817A1" w14:textId="77777777" w:rsidR="008D479B" w:rsidRDefault="008D479B" w:rsidP="008D479B">
      <w:pPr>
        <w:pStyle w:val="TextoNormal"/>
      </w:pPr>
      <w:r>
        <w:t>Sobre el derecho de reunión y manifestación reconocido en el art. 21 CE este tribunal ha desarrollado una profusa doctrina que se ha sintetizado recientemente en el fundamento jurídico 3 de la ya mencionada STC 61/2023, a la que ahora procede remitirse.</w:t>
      </w:r>
    </w:p>
    <w:p w14:paraId="461E6B84" w14:textId="77777777" w:rsidR="008D479B" w:rsidRDefault="008D479B" w:rsidP="008D479B">
      <w:pPr>
        <w:pStyle w:val="TextoNormal"/>
      </w:pPr>
    </w:p>
    <w:p w14:paraId="2B9583E2" w14:textId="77777777" w:rsidR="008D479B" w:rsidRDefault="008D479B" w:rsidP="008D479B">
      <w:pPr>
        <w:pStyle w:val="TextoNormal"/>
      </w:pPr>
      <w:r>
        <w:t>Tal como recuerda la STC 61/2023, FJ 3 A), “el art. 21.2 CE establece que la autoridad ‘solo podrá [prohibir las reuniones en lugares de tránsito público] cuando existan razones fundadas de alteración del orden público, con peligro para personas o bienes’. Además de los límites explícitos establecidos en la norma constituyente, hemos establecido una doctrina reiterada en el sentido de que el ejercicio de los derechos fundamentales ‘no solo puede ceder ante los límites que la propia Constitución expresamente imponga, sino también ante los que de manera mediata o indirecta se infieran de la misma, al resultar justificados por la necesidad de preservar otros derechos o bienes constitucionales’ (STC 14/2003, de 28 de enero, FJ 9 y las que allí se citan)”.</w:t>
      </w:r>
    </w:p>
    <w:p w14:paraId="3DA870AD" w14:textId="77777777" w:rsidR="008D479B" w:rsidRDefault="008D479B" w:rsidP="008D479B">
      <w:pPr>
        <w:pStyle w:val="TextoNormal"/>
      </w:pPr>
    </w:p>
    <w:p w14:paraId="13F2D22F" w14:textId="77777777" w:rsidR="008D479B" w:rsidRDefault="008D479B" w:rsidP="008D479B">
      <w:pPr>
        <w:pStyle w:val="TextoNormal"/>
      </w:pPr>
      <w:r>
        <w:t xml:space="preserve">En lo atinente al presente recurso de amparo, no cabe duda de que entre los valores constitucionales diferentes de la alteración del orden público que pueden justificar una limitación de los derechos de reunión y manifestación se encuentran los que se ponen en juego en una crisis sanitaria: el derecho a la vida y a la integridad física (art. 15 CE) y a la protección de la salud (art. 43 CE). Así lo ha constatado tanto el Tribunal Europeo de Derechos Humanos en su sentencia de 9 de abril de 2002, asunto </w:t>
      </w:r>
      <w:r w:rsidRPr="008D479B">
        <w:rPr>
          <w:i/>
        </w:rPr>
        <w:t>Cisse</w:t>
      </w:r>
      <w:r>
        <w:t xml:space="preserve">, § 5, y, específicamente respecto de la pandemia causada por el covid-19 en la sentencia de 15 de marzo de 2022, asunto </w:t>
      </w:r>
      <w:r w:rsidRPr="008D479B">
        <w:rPr>
          <w:i/>
        </w:rPr>
        <w:t>Communauté genevoise d’action syndicale</w:t>
      </w:r>
      <w:r>
        <w:t>, § 80; como este tribunal en la STC 183/2021, de 27 de octubre, FJ 6 B) i); en el ATC 40/2020, FJ 4 b) ii); en la STC 61/2023, FJ 3 A) y en la STC 84/2023, FJ 4.</w:t>
      </w:r>
    </w:p>
    <w:p w14:paraId="7CC8542B" w14:textId="77777777" w:rsidR="008D479B" w:rsidRDefault="008D479B" w:rsidP="008D479B">
      <w:pPr>
        <w:pStyle w:val="TextoNormal"/>
      </w:pPr>
    </w:p>
    <w:p w14:paraId="5BE0D8F9" w14:textId="77777777" w:rsidR="008D479B" w:rsidRDefault="008D479B" w:rsidP="008D479B">
      <w:pPr>
        <w:pStyle w:val="TextoNormal"/>
      </w:pPr>
      <w:r>
        <w:t>En lo que ahora interesa esa misma STC 61/2023, FJ 3 B) b), ha destacado que:</w:t>
      </w:r>
    </w:p>
    <w:p w14:paraId="39CB6C91" w14:textId="77777777" w:rsidR="008D479B" w:rsidRDefault="008D479B" w:rsidP="008D479B">
      <w:pPr>
        <w:pStyle w:val="TextoNormal"/>
      </w:pPr>
    </w:p>
    <w:p w14:paraId="210C2107" w14:textId="77777777" w:rsidR="008D479B" w:rsidRDefault="008D479B" w:rsidP="008D479B">
      <w:pPr>
        <w:pStyle w:val="TextoNormal"/>
      </w:pPr>
      <w:r>
        <w:t>“Para que la restricción del derecho de reunión sea constitucionalmente legítima, este tribunal ha exigido que exista proporcionalidad en la limitación del derecho. Adicionalmente hemos exigido que la autoridad gubernativa exteriorice razones fundadas que hicieran imprescindible la prohibición de la reunión o la modificación de sus circunstancias en el caso concreto. Esta exigencia se concreta en la necesaria motivación reforzada y específica de la resolución, dirigida a explicar ‘las razones que han llevado a la autoridad gubernativa a concluir que el ejercicio del derecho fundamental de reunión, tal y como se hubo proyectado por su promotor o sus promotores, producirá una alteración del orden público proscrita en el art. 21.2 CE, o bien la desproporcionada perturbación de otros bienes o derechos protegidos por nuestra Constitución’ (STC 193/2011, de 12 de diciembre, FJ 3). El Tribunal ha tenido ocasión de precisar esta exigencia de motivación de la siguiente manera.</w:t>
      </w:r>
    </w:p>
    <w:p w14:paraId="024679C6" w14:textId="77777777" w:rsidR="008D479B" w:rsidRDefault="008D479B" w:rsidP="008D479B">
      <w:pPr>
        <w:pStyle w:val="TextoNormal"/>
      </w:pPr>
    </w:p>
    <w:p w14:paraId="10E87140" w14:textId="77777777" w:rsidR="008D479B" w:rsidRDefault="008D479B" w:rsidP="008D479B">
      <w:pPr>
        <w:pStyle w:val="TextoNormal"/>
      </w:pPr>
      <w:r>
        <w:t>a) De un lado, se ha referido expresamente al ‘requerimiento de reforzada motivación que este tribunal impone a toda limitación de un derecho fundamental’ (STC 163/2006, de 22 de mayo, FJ 5). De este modo, si existieran dudas sobre si tal ejercicio en un caso determinado puede producir efectos negativos contra el orden público —con peligro para personas y bienes u otros derechos y valores dignos de protección constitucional— aquellas tendrían que resolverse con la aplicación del principio o criterio de favorecimiento del derecho de reunión (</w:t>
      </w:r>
      <w:r w:rsidRPr="008D479B">
        <w:rPr>
          <w:i/>
        </w:rPr>
        <w:t>favor libertatis</w:t>
      </w:r>
      <w:r>
        <w:t>); y no basta para justificar su modulación o prohibición la mera sospecha o la simple posibilidad de que se produzcan dichos resultados.</w:t>
      </w:r>
    </w:p>
    <w:p w14:paraId="70A73DB3" w14:textId="77777777" w:rsidR="008D479B" w:rsidRDefault="008D479B" w:rsidP="008D479B">
      <w:pPr>
        <w:pStyle w:val="TextoNormal"/>
      </w:pPr>
    </w:p>
    <w:p w14:paraId="4628430F" w14:textId="77777777" w:rsidR="008D479B" w:rsidRDefault="008D479B" w:rsidP="008D479B">
      <w:pPr>
        <w:pStyle w:val="TextoNormal"/>
      </w:pPr>
      <w:r>
        <w:t>b) De otro lado, y en forma de síntesis de la praxis que había seguido en el examen de los supuestos de limitación del derecho de reunión, vino a explicitar como criterio en la citada STC 193/2011 que ‘la limitación del ejercicio del derecho de reunión requiere de una motivación específica’ y, más adelante dentro de esa misma resolución, precisó que ‘los actos que introduzcan medidas limitadoras han de fundamentarse, pues, en datos objetivos suficientes derivados de las circunstancias concretas de cada caso (STC 301/2006, 23 de octubre, FJ 2)’. En esta línea de razonamiento, justamente por apoyarse en fórmulas genéricas y faltar una referencia específica a las circunstancias concretas del caso es por lo que el Tribunal otorgó el amparo en los siguientes asuntos: (i) STC 163/2006, de 22 de mayo, FJ 5 (porque las modificaciones en la manifestación que se introducían para evitar el peligro para personas y bienes ‘resultan meramente formales por carecer de una aplicación específica al caso’); (ii) STC 301/2006, de 23 de octubre (por ‘no concretar qué alteración del orden público se produciría en el caso de la celebración de las manifestaciones’); y (iii) SSTC 170/2008, de 15 de diciembre, FJ 3, y 37/2009, de 9 de febrero, FJ 3 (en ambas porque la prohibición gubernativa se limitaba a afirmar el carácter electoral de la manifestación, sin especificar los motivos por los que debía entenderse que tenían capacidad para captar sufragios).</w:t>
      </w:r>
    </w:p>
    <w:p w14:paraId="78C81F47" w14:textId="77777777" w:rsidR="008D479B" w:rsidRDefault="008D479B" w:rsidP="008D479B">
      <w:pPr>
        <w:pStyle w:val="TextoNormal"/>
      </w:pPr>
    </w:p>
    <w:p w14:paraId="10926863" w14:textId="77777777" w:rsidR="008D479B" w:rsidRDefault="008D479B" w:rsidP="008D479B">
      <w:pPr>
        <w:pStyle w:val="TextoNormal"/>
      </w:pPr>
      <w:r>
        <w:t xml:space="preserve">Debemos confirmar esta necesidad de motivación específica y subrayar que no cumpliría con tal requisito la prohibición de una determinada reunión o manifestación con apoyo en un razonamiento que, aun atendiendo a hechos dotados de un importante grado de objetividad y certidumbre, aludiese (sin matices propios de la manifestación concreta) a una realidad que afecta por igual a todas y cada una de las concentraciones de personas, con independencia de sus características y de las medidas preventivas que los promotores pudieran articular; pues, </w:t>
      </w:r>
      <w:r w:rsidRPr="008D479B">
        <w:rPr>
          <w:i/>
        </w:rPr>
        <w:t>de facto</w:t>
      </w:r>
      <w:r>
        <w:t>, vendría a ser equivalente a una restricción o limitación de conjunto de todos los supuestos de ejercicio de este derecho durante el tiempo en que dicha coyuntura se mantuviese efectiva. El carácter específico de la motivación se salvaguarda cuando la argumentación de la autoridad pública desciende a precisar cómo incide esa realidad general en el caso concreto; y así se convierte en una garantía central de la configuración constitucional del derecho de reunión, en tanto que asegura que, salvo aquello que pueda disponerse por la autoridad competente en los estados de emergencia previstos en el art. 116 CE, su prohibición será objeto de decisiones individuales del poder público que entrañen una ponderación específica ligada al supuesto concreto.</w:t>
      </w:r>
    </w:p>
    <w:p w14:paraId="3C022FCB" w14:textId="77777777" w:rsidR="008D479B" w:rsidRDefault="008D479B" w:rsidP="008D479B">
      <w:pPr>
        <w:pStyle w:val="TextoNormal"/>
      </w:pPr>
    </w:p>
    <w:p w14:paraId="08DB172F" w14:textId="7698CD0B" w:rsidR="008D479B" w:rsidRDefault="008D479B" w:rsidP="008D479B">
      <w:pPr>
        <w:pStyle w:val="TextoNormal"/>
      </w:pPr>
      <w:r>
        <w:t>c) Sobre la existencia de razones fundadas que justifiquen la imposición de un límite al ejercicio del derecho de reunión, hemos perfilado, por último, que es a la autoridad ‘a quien corresponde motivar y aportar las razones que, desde criterios constitucionales de proporcionalidad, expliquen por qué el derecho de reunión ha de verse limitado’, si bien el Tribunal ha de considerar ‘los elementos que conforman el contexto y la motivación de la resolución gubernativa cuestionada’ (STC 193/2011, FJ 5)”.</w:t>
      </w:r>
    </w:p>
    <w:p w14:paraId="7DB2C9F5" w14:textId="77777777" w:rsidR="008D479B" w:rsidRDefault="008D479B" w:rsidP="008D479B">
      <w:pPr>
        <w:pStyle w:val="TextoNormal"/>
      </w:pPr>
    </w:p>
    <w:p w14:paraId="6376E79B" w14:textId="77777777" w:rsidR="008D479B" w:rsidRDefault="008D479B" w:rsidP="008D479B">
      <w:pPr>
        <w:pStyle w:val="TextoNormal"/>
      </w:pPr>
      <w:r w:rsidRPr="008D479B">
        <w:rPr>
          <w:rStyle w:val="NumeroAFNegritaCaracter"/>
        </w:rPr>
        <w:t>5</w:t>
      </w:r>
      <w:r>
        <w:t xml:space="preserve">. </w:t>
      </w:r>
      <w:r w:rsidRPr="008D479B">
        <w:rPr>
          <w:i/>
        </w:rPr>
        <w:t>Aplicación al caso de la doctrina constitucional expuesta</w:t>
      </w:r>
    </w:p>
    <w:p w14:paraId="0D6AD6B4" w14:textId="77777777" w:rsidR="008D479B" w:rsidRDefault="008D479B" w:rsidP="008D479B">
      <w:pPr>
        <w:pStyle w:val="TextoNormal"/>
      </w:pPr>
    </w:p>
    <w:p w14:paraId="060289BE" w14:textId="77777777" w:rsidR="008D479B" w:rsidRDefault="008D479B" w:rsidP="008D479B">
      <w:pPr>
        <w:pStyle w:val="TextoNormal"/>
      </w:pPr>
      <w:r>
        <w:t xml:space="preserve">Una vez expuesto el </w:t>
      </w:r>
      <w:r w:rsidRPr="008D479B">
        <w:rPr>
          <w:i/>
        </w:rPr>
        <w:t>canon</w:t>
      </w:r>
      <w:r>
        <w:t xml:space="preserve"> aplicable, debemos examinar ya si la resolución administrativa impugnada responde a las exigencias constitucionales, para lo que debemos examinar si la prohibición se apoya en razones fundadas puestas de manifiesto en las resoluciones impugnadas (A) y si, además, resulta una medida proporcionada (B).</w:t>
      </w:r>
    </w:p>
    <w:p w14:paraId="646645AB" w14:textId="77777777" w:rsidR="008D479B" w:rsidRDefault="008D479B" w:rsidP="008D479B">
      <w:pPr>
        <w:pStyle w:val="TextoNormal"/>
      </w:pPr>
    </w:p>
    <w:p w14:paraId="393EC39A" w14:textId="77777777" w:rsidR="008D479B" w:rsidRDefault="008D479B" w:rsidP="008D479B">
      <w:pPr>
        <w:pStyle w:val="TextoNormal"/>
      </w:pPr>
      <w:r>
        <w:t>Procede, en primer lugar, traer a colación las circunstancias concretas de la manifestación convocada, ya que a ellas debe atenerse la motivación exigible a la decisión gubernativa.</w:t>
      </w:r>
    </w:p>
    <w:p w14:paraId="0EB03DB6" w14:textId="77777777" w:rsidR="008D479B" w:rsidRDefault="008D479B" w:rsidP="008D479B">
      <w:pPr>
        <w:pStyle w:val="TextoNormal"/>
      </w:pPr>
    </w:p>
    <w:p w14:paraId="7E4148F9" w14:textId="77777777" w:rsidR="008D479B" w:rsidRDefault="008D479B" w:rsidP="008D479B">
      <w:pPr>
        <w:pStyle w:val="TextoNormal"/>
      </w:pPr>
      <w:r>
        <w:t>La manifestación, prevista para el 1 de mayo de 2020, de 12:00 a 13:00 horas, iba a desarrollarse en Madrid “desde la plaza Jacinto Benavente, bajando por calle Carretas hasta la Puerta del Sol”. En dicha manifestación, que se afirmaba iba a realizarse cumpliendo con la distancia de seguridad entre personas, se estimaba una participación de entre cincuenta y setenta asistentes, comprometiéndose los organizadores a mantener un servicio de orden durante el tiempo que durase la manifestación, a la par que solicitaba que la autoridad gubernativa tomase las medidas de seguridad oportunas.</w:t>
      </w:r>
    </w:p>
    <w:p w14:paraId="7C91E159" w14:textId="77777777" w:rsidR="008D479B" w:rsidRDefault="008D479B" w:rsidP="008D479B">
      <w:pPr>
        <w:pStyle w:val="TextoNormal"/>
      </w:pPr>
    </w:p>
    <w:p w14:paraId="3E8A502B" w14:textId="77777777" w:rsidR="008D479B" w:rsidRDefault="008D479B" w:rsidP="008D479B">
      <w:pPr>
        <w:pStyle w:val="TextoNormal"/>
      </w:pPr>
      <w:r>
        <w:t>A) La motivación de la prohibición de la manifestación</w:t>
      </w:r>
    </w:p>
    <w:p w14:paraId="343F42CF" w14:textId="77777777" w:rsidR="008D479B" w:rsidRDefault="008D479B" w:rsidP="008D479B">
      <w:pPr>
        <w:pStyle w:val="TextoNormal"/>
      </w:pPr>
    </w:p>
    <w:p w14:paraId="35601A21" w14:textId="77777777" w:rsidR="008D479B" w:rsidRDefault="008D479B" w:rsidP="008D479B">
      <w:pPr>
        <w:pStyle w:val="TextoNormal"/>
      </w:pPr>
      <w:r>
        <w:t>El contenido de la resolución del delegado del Gobierno en Madrid que prohíbe la manifestación es idéntica a la ya examinada en la STC 84/ 2023, FJ 4 A), cuyas conclusiones procede ahora reproducir en su exacta literalidad:</w:t>
      </w:r>
    </w:p>
    <w:p w14:paraId="55914984" w14:textId="77777777" w:rsidR="008D479B" w:rsidRDefault="008D479B" w:rsidP="008D479B">
      <w:pPr>
        <w:pStyle w:val="TextoNormal"/>
      </w:pPr>
    </w:p>
    <w:p w14:paraId="33C8B110" w14:textId="77777777" w:rsidR="008D479B" w:rsidRDefault="008D479B" w:rsidP="008D479B">
      <w:pPr>
        <w:pStyle w:val="TextoNormal"/>
      </w:pPr>
      <w:r>
        <w:t>“Las razones expuestas en la resolución gubernativa impugnada constituyen una motivación específica suficiente de la prohibición cuestionada, respetuosa de la doctrina constitucional reseñada, que atiende a las circunstancias y contexto en que pretendía celebrarse la manifestación. Como explicita la sentencia del Tribunal Superior de Justicia de Madrid, la resolución de la Delegación del Gobierno señala que el ejercicio del derecho de reunión, tal y como había sido proyectado por la organización promotora, entrañaba un grave riesgo para la salud pública y para las personas, manifestantes y terceros, dado el riesgo de contagio y, con él, de incremento de la crisis sanitaria, por más que se adoptasen medidas de precaución. La prohibición atendía a una posible perturbación desproporcionada de otros bienes y derechos protegidos por la Constitución y se adoptaba para impedir la difusión de la pandemia, esto es, de contagios que conllevarían nuevos fallecimientos y enfermos y que acentuarían la situación de grave emergencia sanitaria. Se trata de razones incontestables —protección de la salud pública y de la salud y la vida individual— y asentadas en datos no solo objetivos, sino notorios y contrastados, vinculados a las circunstancias presentes al tiempo de la convocatoria, dominadas por la existencia de una pandemia; y, por ende, convincentes como motivación para justificar la restricción impuesta.</w:t>
      </w:r>
    </w:p>
    <w:p w14:paraId="11F131E3" w14:textId="77777777" w:rsidR="008D479B" w:rsidRDefault="008D479B" w:rsidP="008D479B">
      <w:pPr>
        <w:pStyle w:val="TextoNormal"/>
      </w:pPr>
    </w:p>
    <w:p w14:paraId="15063FB9" w14:textId="77777777" w:rsidR="008D479B" w:rsidRDefault="008D479B" w:rsidP="008D479B">
      <w:pPr>
        <w:pStyle w:val="TextoNormal"/>
      </w:pPr>
      <w:r>
        <w:t>Frente a lo que sostiene la recurrente, los argumentos ofrecidos no son genéricos ni subjetivos. No puede considerarse genérica la referencia a la situación de pandemia en abril de 2020, durante el primer estado de alarma. Debido a su carácter omnipresente adquiría sentido como circunstancia específica y determinante para la adopción de medidas de prevención y protección de la salud pública. Había desencadenado una crisis sanitaria muy grave e inédita, con riesgo (y resultado) de severa afectación a la integridad y la vida de las personas, así como de saturación del sistema sanitario público, cuyo control precisó condicionar en grado sumo las actividades de los ciudadanos. Esa situación crítica era una referencia específica y concreta al contexto de la decisión. El hecho de que hubiera provocado la declaración de estado de alarma no excluye que esas circunstancias deban valorarse como elementos particulares decisivos para fundar la posible limitación del derecho de reunión. Tampoco puede compartirse la apreciación de la demandante de que las razones que fundan la prohibición son miedos subjetivos o sospechas carentes de base objetiva. Como destaca la resolución gubernativa cuestionada, la posibilidad de contagios en la concentración, aun con medidas de seguridad, y el riesgo derivado de extensión a terceros ajenos a la manifestación que agravara la crisis sanitaria eran hechos notorios, esto es, de general conocimiento en aquel momento —como eran los decesos, enfermos, hospitalizaciones y colapso de los servicios de urgencia y de cuidados intensivos— y, por ello, indubitables a la hora de decidir sobre la corrección de una medida de protección de la salud pública. Todos los días el Gobierno, a través de sus portavoces, daba información sobre la evolución del impacto de la pandemia, con datos precisos sobre su incidencia. Es por ello, que la remisión al contexto y a la situación generada por la pandemia global no requería de informes o pruebas adicionales. La resolución gubernativa, además, recurría como indicador de la realidad y de las dimensiones de la crisis sanitaria a los razonamientos ofrecidos en el Real Decreto 463/2020, en sus prórrogas (Real Decreto 476/2020, de 27 de marzo; Real Decreto 487/2020, de 10 de abril, y Real Decreto 492/2020, de 24 de abril) y en la legislación complementaria, normas que citaban los informes y estudios que sustentaban las decisiones y justificaban las medidas adoptadas para contener la pandemia y mitigar sus consecuencias.</w:t>
      </w:r>
    </w:p>
    <w:p w14:paraId="18F2569E" w14:textId="77777777" w:rsidR="008D479B" w:rsidRDefault="008D479B" w:rsidP="008D479B">
      <w:pPr>
        <w:pStyle w:val="TextoNormal"/>
      </w:pPr>
    </w:p>
    <w:p w14:paraId="1DFD923A" w14:textId="77777777" w:rsidR="008D479B" w:rsidRDefault="008D479B" w:rsidP="008D479B">
      <w:pPr>
        <w:pStyle w:val="TextoNormal"/>
      </w:pPr>
      <w:r>
        <w:t>Como venimos exigiendo en nuestra doctrina sobre las medidas limitadoras del ejercicio del derecho de reunión, la autoridad administrativa puso de relieve razones convincentes, poderosas y plausibles, que asentaban en datos objetivos contrastados y relacionados con las circunstancias concretas del caso, y que le permitían concluir que la convocatoria de la manifestación, tal y como se había proyectado por sus promotores, podría producir una desproporcionada perturbación de bienes y derechos protegidos por la Constitución tan relevantes como la salud pública, la vida y la salud individual de las personas (STC 193/2011, FJ 3). La doctrina sobre los límites a la restricción del derecho fundamental de reunión y manifestación se mantiene, lo que se hace ahora es adaptarla a unas circunstancias nuevas, singulares e imposibles de prever que exigían de medidas de política pública relacionadas con la salud, pues el conflicto se planteaba entre el ejercicio del derecho y la protección del bien constitucional que condicionaba la actuación de los poderes públicos”.</w:t>
      </w:r>
    </w:p>
    <w:p w14:paraId="502D452C" w14:textId="77777777" w:rsidR="008D479B" w:rsidRDefault="008D479B" w:rsidP="008D479B">
      <w:pPr>
        <w:pStyle w:val="TextoNormal"/>
      </w:pPr>
    </w:p>
    <w:p w14:paraId="31F6E25D" w14:textId="77777777" w:rsidR="008D479B" w:rsidRDefault="008D479B" w:rsidP="008D479B">
      <w:pPr>
        <w:pStyle w:val="TextoNormal"/>
      </w:pPr>
      <w:r>
        <w:t>B) Análisis de la proporcionalidad de la restricción del derecho de reunión</w:t>
      </w:r>
    </w:p>
    <w:p w14:paraId="0A3C5040" w14:textId="77777777" w:rsidR="008D479B" w:rsidRDefault="008D479B" w:rsidP="008D479B">
      <w:pPr>
        <w:pStyle w:val="TextoNormal"/>
      </w:pPr>
    </w:p>
    <w:p w14:paraId="068205F3" w14:textId="77777777" w:rsidR="008D479B" w:rsidRDefault="008D479B" w:rsidP="008D479B">
      <w:pPr>
        <w:pStyle w:val="TextoNormal"/>
      </w:pPr>
      <w:r>
        <w:t>Constatada, por tanto, la existencia de un bien de relevancia constitucional invocado por la resolución administrativa nuestra doctrina exige, además, que, en el caso concreto examinado, los datos y argumentos aportados, aplicando criterios de proporcionalidad, sean suficientes para justificar la medida que adoptó la Delegación del Gobierno.</w:t>
      </w:r>
    </w:p>
    <w:p w14:paraId="1DF349CE" w14:textId="77777777" w:rsidR="008D479B" w:rsidRDefault="008D479B" w:rsidP="008D479B">
      <w:pPr>
        <w:pStyle w:val="TextoNormal"/>
      </w:pPr>
    </w:p>
    <w:p w14:paraId="239A1004" w14:textId="77777777" w:rsidR="008D479B" w:rsidRDefault="008D479B" w:rsidP="008D479B">
      <w:pPr>
        <w:pStyle w:val="TextoNormal"/>
      </w:pPr>
      <w:r>
        <w:t>Una reiterada doctrina constitucional exige que el llamado “test de proporcionalidad” de las medidas que restringen derechos fundamentales se articule, constatada la persecución de una finalidad constitucionalmente legítima, en tres pasos sucesivos que son los siguientes: si la medida enjuiciada aparece como idónea para la consecución de la finalidad legítima que pretende; si resulta, además, necesaria, por no existir otra menos incisiva en el derecho fundamental y de eficacia pareja; y si, superados estos dos escrutinios, la afectación del derecho se muestra, en fin, como razonable, por derivarse de ella más beneficios para el interés general que perjuicios sobre el derecho en cada caso comprometido [por todas, SSTC 8/2015, de 22 de enero, FJ 4; 49/2018, de 10 de mayo, FJ 7 d); 64/2019, de 9 de mayo, FJ 5, y 99/2019, de 18 de julio, FFJJ 6, 8 y 9].</w:t>
      </w:r>
    </w:p>
    <w:p w14:paraId="0C4FAE67" w14:textId="77777777" w:rsidR="008D479B" w:rsidRDefault="008D479B" w:rsidP="008D479B">
      <w:pPr>
        <w:pStyle w:val="TextoNormal"/>
      </w:pPr>
    </w:p>
    <w:p w14:paraId="620159F7" w14:textId="77777777" w:rsidR="008D479B" w:rsidRDefault="008D479B" w:rsidP="008D479B">
      <w:pPr>
        <w:pStyle w:val="TextoNormal"/>
      </w:pPr>
      <w:r>
        <w:t>a) En lo que a la finalidad legitima de la prohibición se refiere la STC 84/2023, FJ 4 B) a), señala que: “El fin que justificaba la medida, según se invocaba en la resolución administrativa, era la protección de la salud pública, en concreto, contener la progresión de la enfermedad covid-19 y sus secuelas de fallecimientos y enfermos en una situación de grave crisis sanitaria que había determinado la declaración del estado de alarma, varias veces prorrogado en aquel momento”. Se trata de unas circunstancias en las que, como ya se razonó en el ATC 40/2020 (manifestación convocada para el 1 de mayo de 2020) y se reitera en la STC 61/2023 (manifestación convocada para el 30 de abril de 2020), la protección de la salud en supuestos de grave crisis sanitaria como la desencadenada a partir de la difusión generalizada del covid-19 proporciona sustento a una restricción concreta del derecho de reunión.</w:t>
      </w:r>
    </w:p>
    <w:p w14:paraId="3D980847" w14:textId="77777777" w:rsidR="008D479B" w:rsidRDefault="008D479B" w:rsidP="008D479B">
      <w:pPr>
        <w:pStyle w:val="TextoNormal"/>
      </w:pPr>
    </w:p>
    <w:p w14:paraId="7D07DF92" w14:textId="77777777" w:rsidR="008D479B" w:rsidRDefault="008D479B" w:rsidP="008D479B">
      <w:pPr>
        <w:pStyle w:val="TextoNormal"/>
      </w:pPr>
      <w:r>
        <w:t>b) En relación con el juicio de idoneidad es forzoso compartir la conclusión de la STC 84/2023, FJ 4 B) b), cuando indica que “La medida de prohibición de la manifestación era adecuada para alcanzar ese fin de protección de la salud pública, porque, al impedir el contacto social que provocaría la manifestación —un acto complejo con dos concentraciones en plazas públicas, la segunda con intervención de oradores, y un desplazamiento de los manifestantes de un punto al otro— evitaba posibles contactos interpersonales, y con ello la difusión de la pandemia con sus derivadas de contagios, ingresos hospitalarios y en unidades de cuidados intensivos, fallecimientos y lesiones. Unas consecuencias que, según argumentaba la resolución administrativa, podrían afectar no solo a los manifestantes y a quienes con ellos tomaran contacto físico en el sitio de desarrollo del acto, sino también a las personas con las que interactuaran en los medios de transporte que usaran para el traslado al lugar de las concentraciones y para el regreso al lugar de origen, a convivientes, familiares, amigos y compañeros de trabajo. Por lo tanto, existía una conexión racional entre el fin perseguido y el medio empleado por la autoridad gubernativa”.</w:t>
      </w:r>
    </w:p>
    <w:p w14:paraId="7E274538" w14:textId="77777777" w:rsidR="008D479B" w:rsidRDefault="008D479B" w:rsidP="008D479B">
      <w:pPr>
        <w:pStyle w:val="TextoNormal"/>
      </w:pPr>
    </w:p>
    <w:p w14:paraId="2C1AE118" w14:textId="77777777" w:rsidR="008D479B" w:rsidRDefault="008D479B" w:rsidP="008D479B">
      <w:pPr>
        <w:pStyle w:val="TextoNormal"/>
      </w:pPr>
      <w:r>
        <w:t>c) En cuanto a las razones por las que la prohibición de la manifestación supera el juicio de necesidad, basta con remitirse al fundamento jurídico 4 B) c) de la STC 84/2023, que aprecia que “en las circunstancias en que se adoptó constituía la medida de intervención administrativa más idónea o eficaz para preservar la salud pública y proteger la salud y la vida de aquellas personas, manifestantes y terceros, sin que existieran otras menos restrictivas de eficacia pareja. En términos absolutos, podían plantearse alternativas de desenvolvimiento del acto menos lesivas o intrusivas en el derecho fundamental de reunión y manifestación, pero ninguna de las opciones imaginables (sin desnaturalizar la modalidad de concentración pretendida) era igualmente idónea para lograr la finalidad de tutela de la salud. Se podía pensar, por ejemplo, en restringir el tiempo de duración del acto a menos de noventa minutos o descartar el desplazamiento de los concentrados a otro punto y que solo se reunieran en una plaza de manera estática, pero estas alternativas no eran de similar eficacia para prevenir contagios”.</w:t>
      </w:r>
    </w:p>
    <w:p w14:paraId="35AD3BBF" w14:textId="77777777" w:rsidR="008D479B" w:rsidRDefault="008D479B" w:rsidP="008D479B">
      <w:pPr>
        <w:pStyle w:val="TextoNormal"/>
      </w:pPr>
    </w:p>
    <w:p w14:paraId="2BAA2C18" w14:textId="77777777" w:rsidR="008D479B" w:rsidRDefault="008D479B" w:rsidP="008D479B">
      <w:pPr>
        <w:pStyle w:val="TextoNormal"/>
      </w:pPr>
      <w:r>
        <w:t>Igualmente se resalta en la repetida STC 84/2023 que “[e]n el juicio de la imprescindibilidad de la medida de prohibición debe tenerse presente que, en aquel momento, finales de abril de 2020, se ignoraba la forma precisa de transmisión del virus más allá de la constancia de que sí se producía por contactos interpersonales. También hay que valorar que la reunión se había programado de forma tradicional, no mediante espacios aislados o burbujas (como, por ejemplo, en el interior de vehículos), y que las únicas medidas de seguridad propuestas eran la distancia física entre manifestantes y el uso de mascarillas, este un mero supuesto o deseo por la dificultad de obtenerlas, ya que entonces eran un bien muy escaso (no fueron obligatorias hasta la publicación de la Orden SND/422/2020, de 19 de mayo)”.</w:t>
      </w:r>
    </w:p>
    <w:p w14:paraId="1F14E1A7" w14:textId="77777777" w:rsidR="008D479B" w:rsidRDefault="008D479B" w:rsidP="008D479B">
      <w:pPr>
        <w:pStyle w:val="TextoNormal"/>
      </w:pPr>
    </w:p>
    <w:p w14:paraId="76139FBC" w14:textId="77777777" w:rsidR="008D479B" w:rsidRDefault="008D479B" w:rsidP="008D479B">
      <w:pPr>
        <w:pStyle w:val="TextoNormal"/>
      </w:pPr>
      <w:r>
        <w:t>Y se concluye afirmando que “[p]orque la transmisión del virus se producía en los contactos interpersonales, la prohibición permitía una máxima eficacia en la selección de medios posibles de actuación administrativa en materia de salud pública, pues garantizaba de manera rigurosa que no hubiera desplazamientos, encuentros, saludos, conversaciones ni gritos de seguimiento de consignas, en definitiva, las conductas que conlleva una concentración de personas con fines de denuncia política y que podrían generar contagios y difusión del virus. En aquel momento —de nuevo el punto exacto para evaluar los datos y las circunstancias— la distancia social era la única cautela cierta que se conocía para evitar la propagación de la enfermedad, de modo que la autoridad gubernativa no pudo adoptar una medida limitadora menos incisiva en el derecho fundamental de igual eficacia”.</w:t>
      </w:r>
    </w:p>
    <w:p w14:paraId="65DB5087" w14:textId="77777777" w:rsidR="008D479B" w:rsidRDefault="008D479B" w:rsidP="008D479B">
      <w:pPr>
        <w:pStyle w:val="TextoNormal"/>
      </w:pPr>
    </w:p>
    <w:p w14:paraId="18285D70" w14:textId="77777777" w:rsidR="008D479B" w:rsidRDefault="008D479B" w:rsidP="008D479B">
      <w:pPr>
        <w:pStyle w:val="TextoNormal"/>
      </w:pPr>
      <w:r>
        <w:t>d) Por último, la prohibición de la manifestación supera el juicio de proporcionalidad en sentido estricto por las mismas razones que expresa la STC 84/2023, FJ 4 B) d).</w:t>
      </w:r>
    </w:p>
    <w:p w14:paraId="7FC708AE" w14:textId="77777777" w:rsidR="008D479B" w:rsidRDefault="008D479B" w:rsidP="008D479B">
      <w:pPr>
        <w:pStyle w:val="TextoNormal"/>
      </w:pPr>
    </w:p>
    <w:p w14:paraId="0A81FD4A" w14:textId="77777777" w:rsidR="008D479B" w:rsidRDefault="008D479B" w:rsidP="008D479B">
      <w:pPr>
        <w:pStyle w:val="TextoNormal"/>
      </w:pPr>
      <w:r>
        <w:t>Como en aquel caso se trata de una “injerencia en el derecho de reunión y manifestación debe calificarse como grave, porque la prohibición supone la máxima afectación para un derecho que nuestro sistema constitucional reconoce como derecho de libertad en el art. 21 CE. Esta atribución de máximo grado a la interferencia en el derecho requiere como pauta de justificación de su proporcionalidad, como hemos dicho, que la medida injerente permita una muy alta satisfacción de la finalidad pretendida por la autoridad administrativa”. En segundo lugar, hay que concluir en “la importancia del beneficio que la prohibición de la manifestación representa para el bien jurídico de la salud pública, sin olvidar la utilidad que la medida tenía respecto a la salud individual, la integridad física y la vida de los manifestantes y de todas aquellas personas que tuvieran con ellos contacto” durante y después de la manifestación.</w:t>
      </w:r>
    </w:p>
    <w:p w14:paraId="7856C247" w14:textId="77777777" w:rsidR="008D479B" w:rsidRDefault="008D479B" w:rsidP="008D479B">
      <w:pPr>
        <w:pStyle w:val="TextoNormal"/>
      </w:pPr>
    </w:p>
    <w:p w14:paraId="6F609573" w14:textId="77777777" w:rsidR="008D479B" w:rsidRDefault="008D479B" w:rsidP="008D479B">
      <w:pPr>
        <w:pStyle w:val="TextoNormal"/>
      </w:pPr>
      <w:r>
        <w:t>Y la decisión también resulta proporcionada atendiendo al contexto en el que se adopta. Siguiendo en este punto el ya citado fundamento jurídico 4 B) d) de la STC 84/2023, los elementos relevantes para calibrar la importancia del beneficio que la prohibición proveía al fin de protección de la salud, tanto pública como la de los manifestantes y de todas aquellas personas que tuvieran con ellos contacto durante y después de la manifestación son:</w:t>
      </w:r>
    </w:p>
    <w:p w14:paraId="5A564281" w14:textId="77777777" w:rsidR="008D479B" w:rsidRDefault="008D479B" w:rsidP="008D479B">
      <w:pPr>
        <w:pStyle w:val="TextoNormal"/>
      </w:pPr>
    </w:p>
    <w:p w14:paraId="6AE33B5F" w14:textId="77777777" w:rsidR="008D479B" w:rsidRDefault="008D479B" w:rsidP="008D479B">
      <w:pPr>
        <w:pStyle w:val="TextoNormal"/>
      </w:pPr>
      <w:r>
        <w:t>(i) La manifestación se pretendía realizar en el escenario de una pandemia global provocada por la covid-19, en su primera fase, que ya era calificada por la Organización Mundial de la Salud como inédita, imprevisible y muy grave. Una emergencia sanitaria que había provocado decisiones políticas insólitas en casi todos los Estados, que llegaban hasta el confinamiento domiciliario y la limitación de movilidad en las vías públicas como medios para contener la difusión de un virus desconocido, cuyo origen, etiología, prevención y tratamiento ignoraba la ciencia.</w:t>
      </w:r>
    </w:p>
    <w:p w14:paraId="313B50AF" w14:textId="77777777" w:rsidR="008D479B" w:rsidRDefault="008D479B" w:rsidP="008D479B">
      <w:pPr>
        <w:pStyle w:val="TextoNormal"/>
      </w:pPr>
    </w:p>
    <w:p w14:paraId="345ADA8D" w14:textId="77777777" w:rsidR="008D479B" w:rsidRDefault="008D479B" w:rsidP="008D479B">
      <w:pPr>
        <w:pStyle w:val="TextoNormal"/>
      </w:pPr>
      <w:r>
        <w:t>(ii) La gravedad de la crisis sanitaria y la inseguridad en la que operaban los actores públicos a causa del estado de los conocimientos científicos habían motivado la declaración del estado de alarma en España por el Real Decreto 463/2020, de 14 de marzo, y sus prórrogas sucesivas. El estado de alarma comportaba la limitación de la libre circulación por las vías públicas y el confinamiento domiciliario.</w:t>
      </w:r>
    </w:p>
    <w:p w14:paraId="54D9BD07" w14:textId="77777777" w:rsidR="008D479B" w:rsidRDefault="008D479B" w:rsidP="008D479B">
      <w:pPr>
        <w:pStyle w:val="TextoNormal"/>
      </w:pPr>
    </w:p>
    <w:p w14:paraId="665112E4" w14:textId="77777777" w:rsidR="008D479B" w:rsidRDefault="008D479B" w:rsidP="008D479B">
      <w:pPr>
        <w:pStyle w:val="TextoNormal"/>
      </w:pPr>
      <w:r>
        <w:t>(iii) El deficiente estado de conocimiento sobre las formas de contagio, sobre el impacto real de la propagación del virus, así como la inexistencia de certezas científicas sobre las consecuencias a medio y largo plazo para la salud de las personas, de lo que se deriva la inseguridad en la que se operaba para identificar medidas preventivas idóneas con las que preservar la salud que, al tiempo, fueran respetuosas con el derecho de reunión y manifestación.</w:t>
      </w:r>
    </w:p>
    <w:p w14:paraId="16564A2E" w14:textId="77777777" w:rsidR="008D479B" w:rsidRDefault="008D479B" w:rsidP="008D479B">
      <w:pPr>
        <w:pStyle w:val="TextoNormal"/>
      </w:pPr>
    </w:p>
    <w:p w14:paraId="208F76E4" w14:textId="77777777" w:rsidR="008D479B" w:rsidRDefault="008D479B" w:rsidP="008D479B">
      <w:pPr>
        <w:pStyle w:val="TextoNormal"/>
      </w:pPr>
      <w:r>
        <w:t>(iv) No se sabía con precisión las vías de propagación de la enfermedad, ni se contaba con medios de diagnosis que permitieran a las personas tener conciencia de que estaban contagiadas por el virus y que podían transmitirlo a otros. Lo que significaba que no era posible que quienes decidieran manifestarse pudieran conocer con antelación que eran portadores del virus y evitar unirse a la reunión para no poner en peligro la salud de otras personas.</w:t>
      </w:r>
    </w:p>
    <w:p w14:paraId="76EE55D2" w14:textId="77777777" w:rsidR="008D479B" w:rsidRDefault="008D479B" w:rsidP="008D479B">
      <w:pPr>
        <w:pStyle w:val="TextoNormal"/>
      </w:pPr>
    </w:p>
    <w:p w14:paraId="10A1E24C" w14:textId="77777777" w:rsidR="008D479B" w:rsidRDefault="008D479B" w:rsidP="008D479B">
      <w:pPr>
        <w:pStyle w:val="TextoNormal"/>
      </w:pPr>
      <w:r>
        <w:t>(v) La convocatoria y celebración de reuniones y manifestaciones cuestionaba radicalmente las decisiones de políticas de salud pública, en la medida en que comprometían las medidas adoptadas para contener la propagación del virus: distancia social y limitación de contactos interpersonales. Entonces eran las únicas que las autoridades sanitarias consideraban eficaces y la manifestación en aquel contexto suponía un riesgo muy elevado de difusión del virus. La manifestación estaba prevista en Madrid para el 1 de mayo de 2020, con una duración de una hora y un recorrido previsto “desde la plaza Jacinto Benavente bajando por calle Carretas hasta la Puerta del Sol”, con una asistencia estimada de entre cincuenta y setenta asistentes. El riesgo que representaba este acto se incrementaba por el contacto de los manifestantes en los transportes públicos de ida y vuelta, la posibilidad de contagio en el lugar y de transmisión a terceros, en particular, en sus grupos familiares, de amigos y compañeros de trabajo.</w:t>
      </w:r>
    </w:p>
    <w:p w14:paraId="3A8D43DE" w14:textId="77777777" w:rsidR="008D479B" w:rsidRDefault="008D479B" w:rsidP="008D479B">
      <w:pPr>
        <w:pStyle w:val="TextoNormal"/>
      </w:pPr>
    </w:p>
    <w:p w14:paraId="165B9E5C" w14:textId="77777777" w:rsidR="008D479B" w:rsidRDefault="008D479B" w:rsidP="008D479B">
      <w:pPr>
        <w:pStyle w:val="TextoNormal"/>
      </w:pPr>
      <w:r>
        <w:t>(vi) No se ofrecieron medidas de seguridad concretas e idóneas para garantizar el mantenimiento de la distancia social y evitar contagios, como también apreció la sentencia del Tribunal Superior de Justicia de Madrid.</w:t>
      </w:r>
    </w:p>
    <w:p w14:paraId="78B3E1BA" w14:textId="77777777" w:rsidR="008D479B" w:rsidRDefault="008D479B" w:rsidP="008D479B">
      <w:pPr>
        <w:pStyle w:val="TextoNormal"/>
      </w:pPr>
    </w:p>
    <w:p w14:paraId="1C87FB0B" w14:textId="77777777" w:rsidR="008D479B" w:rsidRDefault="008D479B" w:rsidP="008D479B">
      <w:pPr>
        <w:pStyle w:val="TextoNormal"/>
      </w:pPr>
      <w:r>
        <w:t>En conclusión: “Todo ello permite afirmar que el riesgo para el interés público que soportaba la medida era extremo y que la prohibición de la manifestación ofrecía a la autoridad gubernativa el grado máximo, dentro de los medios de que disponía para hacer frente a la pandemia, de limitar este muy serio peligro para la salud pública y la de los manifestantes y terceros, con incidencia en la integridad física y la vida de las personas.</w:t>
      </w:r>
    </w:p>
    <w:p w14:paraId="23AC3874" w14:textId="77777777" w:rsidR="008D479B" w:rsidRDefault="008D479B" w:rsidP="008D479B">
      <w:pPr>
        <w:pStyle w:val="TextoNormal"/>
      </w:pPr>
    </w:p>
    <w:p w14:paraId="0197CBA9" w14:textId="2BC73CDA" w:rsidR="008D479B" w:rsidRDefault="008D479B" w:rsidP="008D479B">
      <w:pPr>
        <w:pStyle w:val="TextoNormal"/>
      </w:pPr>
      <w:r>
        <w:t>En la grave situación de crisis sanitaria que estos datos describen, dada la inseguridad del conocimiento de la medicina sobre medios de prevención, contagio, diagnosis y tratamiento, la prohibición procuraba a la salud pública una alta satisfacción, incluso máxima. Este beneficio permite concluir que la medida restrictiva de la libertad de manifestación estaba justificada y era proporcional” [STC 84/2023, FJ 4 B) d)].</w:t>
      </w:r>
    </w:p>
    <w:p w14:paraId="7471D612" w14:textId="77777777" w:rsidR="008D479B" w:rsidRDefault="008D479B" w:rsidP="008D479B">
      <w:pPr>
        <w:pStyle w:val="TextoNormal"/>
      </w:pPr>
    </w:p>
    <w:p w14:paraId="1772B124" w14:textId="77777777" w:rsidR="008D479B" w:rsidRDefault="008D479B" w:rsidP="008D479B">
      <w:pPr>
        <w:pStyle w:val="TextoNormalCentrado"/>
        <w:keepNext/>
      </w:pPr>
      <w:r>
        <w:t>FALLO</w:t>
      </w:r>
    </w:p>
    <w:p w14:paraId="66C1D988" w14:textId="35C31112" w:rsidR="008D479B" w:rsidRDefault="008D479B" w:rsidP="008D479B">
      <w:pPr>
        <w:pStyle w:val="TextoNormalCentrado"/>
        <w:keepNext/>
      </w:pPr>
    </w:p>
    <w:p w14:paraId="0917234E" w14:textId="57B21019" w:rsidR="008D479B" w:rsidRDefault="008D479B" w:rsidP="008D479B">
      <w:pPr>
        <w:pStyle w:val="TextoNormal"/>
      </w:pPr>
      <w:r>
        <w:t>En atención a todo lo expuesto, el Tribunal Constitucional, por la autoridad que le confiere la Constitución de la Nación española, ha decidido desestimar el recurso de amparo interpuesto por el sindicato Alternativa Sindical de Trabajadores.</w:t>
      </w:r>
    </w:p>
    <w:p w14:paraId="265203D3" w14:textId="77777777" w:rsidR="008D479B" w:rsidRDefault="008D479B" w:rsidP="008D479B">
      <w:pPr>
        <w:pStyle w:val="TextoNormal"/>
      </w:pPr>
    </w:p>
    <w:p w14:paraId="5F79508B" w14:textId="77777777" w:rsidR="008D479B" w:rsidRDefault="008D479B" w:rsidP="008D479B">
      <w:pPr>
        <w:pStyle w:val="TextoNormal"/>
      </w:pPr>
      <w:r>
        <w:t>Publíquese esta sentencia en el “Boletín Oficial del Estado”.</w:t>
      </w:r>
    </w:p>
    <w:p w14:paraId="30620DE9" w14:textId="77777777" w:rsidR="008D479B" w:rsidRDefault="008D479B" w:rsidP="008D479B">
      <w:pPr>
        <w:pStyle w:val="TextoNormal"/>
      </w:pPr>
      <w:r>
        <w:t>Dada en Madrid, a dieciocho de julio de dos mil veintitrés.</w:t>
      </w:r>
    </w:p>
    <w:p w14:paraId="6FAD94BE" w14:textId="4C13D869" w:rsidR="008D479B" w:rsidRDefault="008D479B" w:rsidP="008D479B">
      <w:pPr>
        <w:pStyle w:val="ParrafoNormal"/>
      </w:pPr>
    </w:p>
    <w:p w14:paraId="233F4A07" w14:textId="77777777" w:rsidR="008D479B" w:rsidRDefault="008D479B" w:rsidP="008D479B">
      <w:pPr>
        <w:pStyle w:val="TextoNormalNegritaCentrado"/>
        <w:keepNext/>
      </w:pPr>
      <w:r>
        <w:t>Voto particular que formula el magistrado don Enrique Arnaldo Alcubilla, al que se adhieren el magistrado don Ricardo Enríquez Sancho y la magistrada doña Concepción Espejel Jorquera, a la sentencia del Pleno que resuelve el recurso de amparo núm. 2192-2020</w:t>
      </w:r>
    </w:p>
    <w:p w14:paraId="6AE14610" w14:textId="299A65C7" w:rsidR="008D479B" w:rsidRDefault="008D479B" w:rsidP="008D479B">
      <w:pPr>
        <w:pStyle w:val="TextoNormalNegritaCentrado"/>
        <w:keepNext/>
      </w:pPr>
    </w:p>
    <w:p w14:paraId="0A430FCF" w14:textId="77777777" w:rsidR="008D479B" w:rsidRDefault="008D479B" w:rsidP="008D479B">
      <w:pPr>
        <w:pStyle w:val="TextoNormal"/>
      </w:pPr>
      <w:r>
        <w:t>En el ejercicio de la facultad que me confiere el artículo 90.2 de la Ley Orgánica del Tribunal Constitucional, y con respeto a la opinión de mis compañeros que han conformado la mayoría del Pleno, de acuerdo con la cual he redactado como ponente esa sentencia, formuló el presente voto particular para expresar mi discrepancia con la fundamentación y con el fallo de la sentencia recaída en el presente recurso de amparo, el cual a mi juicio debió ser estimado.</w:t>
      </w:r>
    </w:p>
    <w:p w14:paraId="376330EB" w14:textId="77777777" w:rsidR="008D479B" w:rsidRDefault="008D479B" w:rsidP="008D479B">
      <w:pPr>
        <w:pStyle w:val="TextoNormal"/>
      </w:pPr>
    </w:p>
    <w:p w14:paraId="6E8B18C0" w14:textId="77777777" w:rsidR="008D479B" w:rsidRDefault="008D479B" w:rsidP="008D479B">
      <w:pPr>
        <w:pStyle w:val="TextoNormal"/>
      </w:pPr>
      <w:r>
        <w:t>Las razones de mi discrepancia son las expuestas en el voto particular formulado a la Sentencia 84/2023, de 5 de julio, a la que la presente sentencia se remite cuando procede. En consecuencia, para evitar repeticiones innecesarias en la medida en que la razón de mi discrepancia es la misma que la expuesta en dicho voto particular, no considero necesario reiterar los argumentos que en el mismo se contienen, siendo suficiente con la remisión a aquel, por cuanto la prohibición de la manifestación se adopta mediante una resolución estereotipada basada en consideraciones genéricas sobre la vigencia del estado de alarma y sobre la incidencia de la pandemia de covid-19, sin proyección de tales consideraciones al caso concreto, tal como exige la consolidada doctrina constitucional.</w:t>
      </w:r>
    </w:p>
    <w:p w14:paraId="0EFD1D3D" w14:textId="77777777" w:rsidR="008D479B" w:rsidRDefault="008D479B" w:rsidP="008D479B">
      <w:pPr>
        <w:pStyle w:val="TextoNormal"/>
      </w:pPr>
    </w:p>
    <w:p w14:paraId="7191862E" w14:textId="77777777" w:rsidR="008D479B" w:rsidRDefault="008D479B" w:rsidP="008D479B">
      <w:pPr>
        <w:pStyle w:val="TextoNormal"/>
      </w:pPr>
      <w:r>
        <w:t>Y en tal sentido emito este voto particular.</w:t>
      </w:r>
    </w:p>
    <w:p w14:paraId="788F027A" w14:textId="77777777" w:rsidR="008D479B" w:rsidRDefault="008D479B" w:rsidP="008D479B">
      <w:pPr>
        <w:pStyle w:val="TextoNormal"/>
      </w:pPr>
    </w:p>
    <w:p w14:paraId="30917E5D" w14:textId="215F0AEB" w:rsidR="008D479B" w:rsidRDefault="008D479B" w:rsidP="008D479B">
      <w:pPr>
        <w:pStyle w:val="TextoNormal"/>
      </w:pPr>
      <w:r>
        <w:t>Madrid, a diecinueve de julio de dos mil veintitrés.</w:t>
      </w:r>
    </w:p>
    <w:p w14:paraId="6D15A9B5" w14:textId="731C78D1" w:rsidR="008D479B" w:rsidRDefault="008D479B">
      <w:pPr>
        <w:spacing w:after="160" w:line="278" w:lineRule="auto"/>
        <w:rPr>
          <w:rFonts w:ascii="Times New Roman" w:eastAsia="Times New Roman" w:hAnsi="Times New Roman" w:cs="Times New Roman"/>
          <w:sz w:val="24"/>
          <w:szCs w:val="24"/>
          <w:lang w:eastAsia="es-ES"/>
        </w:rPr>
      </w:pPr>
      <w:r>
        <w:br w:type="page"/>
      </w:r>
    </w:p>
    <w:p w14:paraId="4788C54C" w14:textId="77777777" w:rsidR="008D479B" w:rsidRDefault="008D479B" w:rsidP="008D479B">
      <w:pPr>
        <w:pStyle w:val="TtuloResolucin"/>
      </w:pPr>
      <w:bookmarkStart w:id="14" w:name="SENTENCIA_2023_89"/>
      <w:r>
        <w:t>SENTENCIA 89/2023, de 18 de julio de 2023</w:t>
      </w:r>
    </w:p>
    <w:bookmarkEnd w:id="14"/>
    <w:p w14:paraId="135E4606" w14:textId="77777777" w:rsidR="008D479B" w:rsidRDefault="008D479B" w:rsidP="008D479B">
      <w:pPr>
        <w:pStyle w:val="TtuloResolucin"/>
      </w:pPr>
      <w:r>
        <w:t>Pleno</w:t>
      </w:r>
    </w:p>
    <w:p w14:paraId="0F5C19EC" w14:textId="77777777" w:rsidR="008D479B" w:rsidRDefault="008D479B" w:rsidP="008D479B">
      <w:pPr>
        <w:pStyle w:val="TtuloBOE"/>
      </w:pPr>
      <w:r>
        <w:t>(BOE núm. 205, de 28 de agosto de 2023)</w:t>
      </w:r>
    </w:p>
    <w:p w14:paraId="0359EC56" w14:textId="77777777" w:rsidR="008D479B" w:rsidRDefault="008D479B" w:rsidP="008D479B">
      <w:pPr>
        <w:pStyle w:val="TextoNormalCentrado"/>
      </w:pPr>
      <w:r>
        <w:t>ECLI:ES:TC:2023:89</w:t>
      </w:r>
    </w:p>
    <w:p w14:paraId="5595F79A" w14:textId="7548C27B" w:rsidR="008D479B" w:rsidRDefault="008D479B" w:rsidP="008D479B">
      <w:pPr>
        <w:pStyle w:val="TextoNormalCentrado"/>
      </w:pPr>
    </w:p>
    <w:p w14:paraId="239427A5" w14:textId="77777777" w:rsidR="008D479B" w:rsidRDefault="008D479B" w:rsidP="008D479B">
      <w:pPr>
        <w:pStyle w:val="SntesisDescriptiva"/>
      </w:pPr>
      <w:r>
        <w:t>Recurso de amparo 140-2021. Promovido por la mercantil Soninorte Producciones, S.L., respecto de las resoluciones de la Consejería de Administración Pública y Hacienda de La Rioja que rechazaron su solicitud de convocatoria de concurso público para la adjudicación de licencias disponibles de comunicación audiovisual de radiodifusión sonora digital terrestre de ámbito local.</w:t>
      </w:r>
    </w:p>
    <w:p w14:paraId="1381C834" w14:textId="54E3006D" w:rsidR="008D479B" w:rsidRDefault="008D479B" w:rsidP="008D479B">
      <w:pPr>
        <w:pStyle w:val="SntesisDescriptiva"/>
      </w:pPr>
    </w:p>
    <w:p w14:paraId="295D6198" w14:textId="77777777" w:rsidR="008D479B" w:rsidRDefault="008D479B" w:rsidP="008D479B">
      <w:pPr>
        <w:pStyle w:val="SntesisAnaltica"/>
      </w:pPr>
      <w:r>
        <w:t>Supuesta vulneración del derecho a la igualdad y de las libertades de expresión e información: resolución administrativa que no resulta desproporcionada y que viene impuesta por la inexistencia de reserva de dominio público radioeléctrico. Votos particulares.</w:t>
      </w:r>
    </w:p>
    <w:p w14:paraId="400D9AC3" w14:textId="70989A1E" w:rsidR="008D479B" w:rsidRDefault="008D479B" w:rsidP="008D479B">
      <w:pPr>
        <w:pStyle w:val="SntesisAnaltica"/>
      </w:pPr>
    </w:p>
    <w:p w14:paraId="4256B549" w14:textId="1D3133F6" w:rsidR="008D479B" w:rsidRDefault="008D479B" w:rsidP="008D479B">
      <w:pPr>
        <w:pStyle w:val="Extracto"/>
      </w:pPr>
      <w:r>
        <w:t>1.</w:t>
      </w:r>
      <w:r>
        <w:tab/>
        <w:t>El principio de igualdad en la aplicación de la Ley sirve únicamente para vincular a los propios precedentes de cada tribunal u órgano jurisdiccional. No sirve, en cambio, para conseguir una interpretación y aplicación homogénea de la Ley por todos los tribunales; esta última es la función propia de la jurisprudencia, como doctrina reiterada del Tribunal Supremo, que viene a complementar el ordenamiento jurídico (STC 49/1982) [FJ 2].</w:t>
      </w:r>
    </w:p>
    <w:p w14:paraId="258E2BD8" w14:textId="77777777" w:rsidR="008D479B" w:rsidRDefault="008D479B" w:rsidP="008D479B">
      <w:pPr>
        <w:pStyle w:val="Extracto"/>
      </w:pPr>
    </w:p>
    <w:p w14:paraId="382943E4" w14:textId="7E56E754" w:rsidR="008D479B" w:rsidRDefault="008D479B" w:rsidP="008D479B">
      <w:pPr>
        <w:pStyle w:val="Extracto"/>
      </w:pPr>
      <w:r>
        <w:t>2.</w:t>
      </w:r>
      <w:r>
        <w:tab/>
        <w:t>La licencia audiovisual se erige en el título habilitante previo y necesario para poder prestar el servicio de comunicación audiovisual, pese a que suponga una limitación o restricción al ejercicio de los derechos y libertades a la libre expresión de ideas, al derecho a comunicar y recibir información (art. 22.1 LGCA) [FJ 3].</w:t>
      </w:r>
    </w:p>
    <w:p w14:paraId="737E4196" w14:textId="77777777" w:rsidR="008D479B" w:rsidRDefault="008D479B" w:rsidP="008D479B">
      <w:pPr>
        <w:pStyle w:val="Extracto"/>
      </w:pPr>
    </w:p>
    <w:p w14:paraId="1F3EEE3D" w14:textId="4025D780" w:rsidR="008D479B" w:rsidRDefault="008D479B" w:rsidP="008D479B">
      <w:pPr>
        <w:pStyle w:val="Extracto"/>
      </w:pPr>
      <w:r>
        <w:t>3.</w:t>
      </w:r>
      <w:r>
        <w:tab/>
        <w:t>La titularidad y administración del espectro radioeléctrico le corresponde al Estado, quien tiene competencia exclusiva a fin de garantizar la ordenación unitaria del dominio público radioeléctrico y así cohonestar y hacer posibles los distintos usos del mismo (STC 78/2017); esto es, establecer el marco jurídico que asegure unas condiciones armonizadas para su uso y que permita su disponibilidad y uso eficiente [FJ 3].</w:t>
      </w:r>
    </w:p>
    <w:p w14:paraId="6B720864" w14:textId="77777777" w:rsidR="008D479B" w:rsidRDefault="008D479B" w:rsidP="008D479B">
      <w:pPr>
        <w:pStyle w:val="Extracto"/>
      </w:pPr>
    </w:p>
    <w:p w14:paraId="1C7251C7" w14:textId="421D71BC" w:rsidR="008D479B" w:rsidRDefault="008D479B" w:rsidP="008D479B">
      <w:pPr>
        <w:pStyle w:val="Extracto"/>
      </w:pPr>
      <w:r>
        <w:t>4.</w:t>
      </w:r>
      <w:r>
        <w:tab/>
        <w:t>El denominado ‘derecho de antena’ puede verse sometido a limitaciones o modulaciones establecidas por el legislador y justificadas por la necesidad de proteger valores constitucionales como el pluralismo (externo o interno) como un valor fundamental del Estado, la formación de una opinión pública libre o los principios de libertad e igualdad (SSTC 6/1981, 12/1982, 206/1990 o 73/2014); siempre que tales limitaciones no cercenen el contenido primario o material que garantizan las libertades reconocidas en el artículo 20.1 a) y d) CE (STC 86/2017) [FJ 3].</w:t>
      </w:r>
    </w:p>
    <w:p w14:paraId="05596C87" w14:textId="77777777" w:rsidR="008D479B" w:rsidRDefault="008D479B" w:rsidP="008D479B">
      <w:pPr>
        <w:pStyle w:val="Extracto"/>
      </w:pPr>
    </w:p>
    <w:p w14:paraId="252F040F" w14:textId="2E5A1261" w:rsidR="008D479B" w:rsidRDefault="008D479B" w:rsidP="008D479B">
      <w:pPr>
        <w:pStyle w:val="Extracto"/>
      </w:pPr>
      <w:r>
        <w:t>5.</w:t>
      </w:r>
      <w:r>
        <w:tab/>
        <w:t>Para determinar si una normativa nacional respeta el principio de proporcionalidad, el órgano jurisdiccional debe tener en cuenta que un régimen de autorización administrativa previa no puede legitimar un comportamiento discrecional de las autoridades nacionales que prive de eficacia a las disposiciones comunitarias y, en particular, a las relativas a las libertades fundamentales objeto del procedimiento principal (STJUE de 22 de enero de 2002, asunto C-390/99, Canal Satélite Digital, S.L., § 34 y 35) [FJ 3].</w:t>
      </w:r>
    </w:p>
    <w:p w14:paraId="524D3CC3" w14:textId="77777777" w:rsidR="008D479B" w:rsidRDefault="008D479B" w:rsidP="008D479B">
      <w:pPr>
        <w:pStyle w:val="Extracto"/>
      </w:pPr>
    </w:p>
    <w:p w14:paraId="21395D4E" w14:textId="68834A28" w:rsidR="008D479B" w:rsidRDefault="008D479B" w:rsidP="008D479B">
      <w:pPr>
        <w:pStyle w:val="Extracto"/>
      </w:pPr>
      <w:r>
        <w:t>6.</w:t>
      </w:r>
      <w:r>
        <w:tab/>
        <w:t>Del art. 20 CE no nace un derecho a exigir, sin más, el otorgamiento de frecuencias para emitir, aunque solo sea a nivel local; y no es constitucionalmente exigible que su regulación legal o la actuación administrativa en la materia tenga como único límite el número máximo de frecuencias que las posibilidades técnicas permitan otorgar (STC 206/1990) [FJ 4].</w:t>
      </w:r>
    </w:p>
    <w:p w14:paraId="74D3A577" w14:textId="77777777" w:rsidR="008D479B" w:rsidRDefault="008D479B" w:rsidP="008D479B">
      <w:pPr>
        <w:pStyle w:val="Extracto"/>
      </w:pPr>
    </w:p>
    <w:p w14:paraId="202E5397" w14:textId="77777777" w:rsidR="008D479B" w:rsidRDefault="008D479B" w:rsidP="008D479B">
      <w:pPr>
        <w:pStyle w:val="Extracto"/>
      </w:pPr>
    </w:p>
    <w:p w14:paraId="434DC4A9" w14:textId="77777777" w:rsidR="008D479B" w:rsidRDefault="008D479B" w:rsidP="008D479B">
      <w:pPr>
        <w:pStyle w:val="TextoNormal"/>
      </w:pPr>
      <w: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 ha pronunciado</w:t>
      </w:r>
    </w:p>
    <w:p w14:paraId="1ADC343E" w14:textId="2C7C9ADC" w:rsidR="008D479B" w:rsidRDefault="008D479B" w:rsidP="008D479B">
      <w:pPr>
        <w:pStyle w:val="TextoNormal"/>
      </w:pPr>
    </w:p>
    <w:p w14:paraId="4AC19824" w14:textId="77777777" w:rsidR="008D479B" w:rsidRDefault="008D479B" w:rsidP="008D479B">
      <w:pPr>
        <w:pStyle w:val="TextoNormalCentrado"/>
        <w:keepNext/>
      </w:pPr>
      <w:r>
        <w:t>EN NOMBRE DEL REY</w:t>
      </w:r>
    </w:p>
    <w:p w14:paraId="4DFEAE53" w14:textId="3E728769" w:rsidR="008D479B" w:rsidRDefault="008D479B" w:rsidP="008D479B">
      <w:pPr>
        <w:pStyle w:val="TextoNormalCentrado"/>
        <w:keepNext/>
      </w:pPr>
    </w:p>
    <w:p w14:paraId="2F452FA3" w14:textId="77777777" w:rsidR="008D479B" w:rsidRDefault="008D479B" w:rsidP="008D479B">
      <w:pPr>
        <w:pStyle w:val="TextoNormalCentrado"/>
        <w:keepNext/>
      </w:pPr>
    </w:p>
    <w:p w14:paraId="5AD5F9AC" w14:textId="77777777" w:rsidR="008D479B" w:rsidRDefault="008D479B" w:rsidP="008D479B">
      <w:pPr>
        <w:pStyle w:val="TextoNormal"/>
      </w:pPr>
      <w:r>
        <w:t>la siguiente</w:t>
      </w:r>
    </w:p>
    <w:p w14:paraId="06303ED6" w14:textId="03E74886" w:rsidR="008D479B" w:rsidRDefault="008D479B" w:rsidP="008D479B">
      <w:pPr>
        <w:pStyle w:val="TextoNormal"/>
      </w:pPr>
    </w:p>
    <w:p w14:paraId="11EB4FD9" w14:textId="77777777" w:rsidR="008D479B" w:rsidRDefault="008D479B" w:rsidP="008D479B">
      <w:pPr>
        <w:pStyle w:val="TextoNormalCentrado"/>
        <w:keepNext/>
      </w:pPr>
      <w:r>
        <w:t>SENTENCIA</w:t>
      </w:r>
    </w:p>
    <w:p w14:paraId="7F684F37" w14:textId="5FB3DB27" w:rsidR="008D479B" w:rsidRDefault="008D479B" w:rsidP="008D479B">
      <w:pPr>
        <w:pStyle w:val="TextoNormalCentrado"/>
        <w:keepNext/>
      </w:pPr>
    </w:p>
    <w:p w14:paraId="67F8EE98" w14:textId="77777777" w:rsidR="008D479B" w:rsidRDefault="008D479B" w:rsidP="008D479B">
      <w:pPr>
        <w:pStyle w:val="TextoNormal"/>
      </w:pPr>
      <w:r>
        <w:t>En el recurso de amparo número 140-2021, promovido por la mercantil Soninorte Producciones, S.L., representada por la procuradora de los tribunales doña Isabel Covadonga Juliá Corujo y asistida por el abogado don Jaime Rodríguez Díez, contra la resolución núm. 962, de 24 de julio de 2018, de la Consejería de Administración Pública y Hacienda de La Rioja, por la que se desestima el recurso de alzada interpuesto contra la desestimación presunta de la solicitud de convocatoria de concurso público para la adjudicación de licencias disponibles de comunicación audiovisual de radiodifusión sonora digital terrestre de ámbito local en la Comunidad Autónoma de La Rioja. Ha comparecido la Comunidad Autónoma de La Rioja y ha intervenido el Ministerio Fiscal. Ha sido ponente el magistrado don César Tolosa Tribiño.</w:t>
      </w:r>
    </w:p>
    <w:p w14:paraId="5A32C28A" w14:textId="6EA5C163" w:rsidR="008D479B" w:rsidRDefault="008D479B" w:rsidP="008D479B">
      <w:pPr>
        <w:pStyle w:val="TextoNormal"/>
      </w:pPr>
    </w:p>
    <w:p w14:paraId="6EE773D5" w14:textId="77777777" w:rsidR="008D479B" w:rsidRDefault="008D479B" w:rsidP="008D479B">
      <w:pPr>
        <w:pStyle w:val="TextoNormalNegritaCentrado"/>
        <w:keepNext/>
      </w:pPr>
      <w:r>
        <w:t>I. Antecedentes</w:t>
      </w:r>
    </w:p>
    <w:p w14:paraId="218E70B4" w14:textId="70866541" w:rsidR="008D479B" w:rsidRDefault="008D479B" w:rsidP="008D479B">
      <w:pPr>
        <w:pStyle w:val="TextoNormalNegritaCentrado"/>
        <w:keepNext/>
      </w:pPr>
    </w:p>
    <w:p w14:paraId="54734658" w14:textId="76E7522F" w:rsidR="008D479B" w:rsidRDefault="008D479B" w:rsidP="008D479B">
      <w:pPr>
        <w:pStyle w:val="TextoNormal"/>
      </w:pPr>
      <w:r w:rsidRPr="008D479B">
        <w:rPr>
          <w:rStyle w:val="NumeroAFNegritaCaracter"/>
        </w:rPr>
        <w:t>1</w:t>
      </w:r>
      <w:r>
        <w:t>. El 11 de enero de 2021 tuvo entrada en el registro general de este tribunal un escrito presentado por la procuradora de los tribunales doña Isabel Covadonga Juliá Corujo, actuando en nombre y representación de la mercantil Soninorte Producciones, S.L., y bajo la dirección letrada del abogado don Jaime Rodríguez Díez, mediante el que interpuso recurso de amparo contra las resoluciones administrativas que se mencionan en el encabezamiento.</w:t>
      </w:r>
    </w:p>
    <w:p w14:paraId="3A450C79" w14:textId="77777777" w:rsidR="008D479B" w:rsidRDefault="008D479B" w:rsidP="008D479B">
      <w:pPr>
        <w:pStyle w:val="TextoNormal"/>
      </w:pPr>
    </w:p>
    <w:p w14:paraId="436B0F49" w14:textId="77777777" w:rsidR="008D479B" w:rsidRDefault="008D479B" w:rsidP="008D479B">
      <w:pPr>
        <w:pStyle w:val="TextoNormal"/>
      </w:pPr>
      <w:r w:rsidRPr="008D479B">
        <w:rPr>
          <w:rStyle w:val="NumeroAFNegritaCaracter"/>
        </w:rPr>
        <w:t>2</w:t>
      </w:r>
      <w:r>
        <w:t>. Los hechos en que se funda la demanda de amparo son los siguientes:</w:t>
      </w:r>
    </w:p>
    <w:p w14:paraId="240AED89" w14:textId="77777777" w:rsidR="008D479B" w:rsidRDefault="008D479B" w:rsidP="008D479B">
      <w:pPr>
        <w:pStyle w:val="TextoNormal"/>
      </w:pPr>
    </w:p>
    <w:p w14:paraId="0C4D8F36" w14:textId="77777777" w:rsidR="008D479B" w:rsidRDefault="008D479B" w:rsidP="008D479B">
      <w:pPr>
        <w:pStyle w:val="TextoNormal"/>
      </w:pPr>
      <w:r>
        <w:t>a) La mercantil demandante de amparo, constituida por tiempo indefinido en escritura otorgada el día 20 de febrero de 2007, solicitó el 16 de febrero de 2018 la convocatoria del correspondiente concurso de licencias audiovisuales de radiodifusión sonora digital terrenal “disponibles conforme al artículo 27 de la Ley 7/2010, de 31 de marzo”, general de la comunicación audiovisual (LGCA), integradas en los tres bloques de frecuencias de la Comunidad Autónoma de La Rioja, con denominación Logroño, Calahorra y Haro y con diferentes ámbitos de cobertura.</w:t>
      </w:r>
    </w:p>
    <w:p w14:paraId="27408D79" w14:textId="77777777" w:rsidR="008D479B" w:rsidRDefault="008D479B" w:rsidP="008D479B">
      <w:pPr>
        <w:pStyle w:val="TextoNormal"/>
      </w:pPr>
    </w:p>
    <w:p w14:paraId="77439612" w14:textId="77777777" w:rsidR="008D479B" w:rsidRDefault="008D479B" w:rsidP="008D479B">
      <w:pPr>
        <w:pStyle w:val="TextoNormal"/>
      </w:pPr>
      <w:r>
        <w:t>Señala que mediante orden del Ministerio de Ciencia y Tecnología de 15 de octubre de 2001 se aprobó la planificación del bloque de frecuencias destinados a la radio digital de ámbito local, en régimen de gestión indirecta, correspondiente al plan técnico nacional de la radiodifusión sonora digital terrenal (en adelante, plan técnico nacional). En el anexo de la orden, se establecieron tres bloques de frecuencias para ser objeto de adjudicación por la Comunidad Autónoma de La Rioja, con arreglo a la relación de localidades prioritarias presentadas por dicha Comunidad Autónoma en cumplimiento de la previsión de la disposición adicional primera, apartado 6, del Real Decreto 1287/1999, de 23 de julio, que aprobó el plan técnico nacional.</w:t>
      </w:r>
    </w:p>
    <w:p w14:paraId="37D59DAC" w14:textId="77777777" w:rsidR="008D479B" w:rsidRDefault="008D479B" w:rsidP="008D479B">
      <w:pPr>
        <w:pStyle w:val="TextoNormal"/>
      </w:pPr>
    </w:p>
    <w:p w14:paraId="6F7188AA" w14:textId="77777777" w:rsidR="008D479B" w:rsidRDefault="008D479B" w:rsidP="008D479B">
      <w:pPr>
        <w:pStyle w:val="TextoNormal"/>
      </w:pPr>
      <w:r>
        <w:t>Con la aprobación de la LGCA, la prestación de servicios de comunicación requiere, cuando se preste mediante ondas hertzianas terrestres, la obtención de licencia otorgada a través de concurso público conforme al art. 27 LGCA. Pero la Comunidad Autónoma de La Rioja no ha convocado el concurso público de licencias audiovisuales de radiodifusión sonora digital terrenal. Y afirma que “como consecuencia de la falta de convocatoria de concurso público, las licencias audiovisuales de radiodifusión sonora digital terrenal (DAB)” correspondientes a los bloques de frecuencia asignados a La Rioja “se encuentran disponibles para ser objeto de otorgamiento por medio de la convocatoria del preceptivo concurso público”. Entiende que resulta aplicable el art. 7.1 del Decreto del Gobierno de La Rioja 64/2012, de 9 de noviembre, y por ello es la Consejería, con competencia en materia de telecomunicaciones, la que otorga mediante concurso público, convocado de oficio o a instancia de los interesados. Se trata de una potestad reglada justificada por la limitación natural del espacio radioeléctrico público.</w:t>
      </w:r>
    </w:p>
    <w:p w14:paraId="7603FF40" w14:textId="77777777" w:rsidR="008D479B" w:rsidRDefault="008D479B" w:rsidP="008D479B">
      <w:pPr>
        <w:pStyle w:val="TextoNormal"/>
      </w:pPr>
    </w:p>
    <w:p w14:paraId="52174CE3" w14:textId="77777777" w:rsidR="008D479B" w:rsidRDefault="008D479B" w:rsidP="008D479B">
      <w:pPr>
        <w:pStyle w:val="TextoNormal"/>
      </w:pPr>
      <w:r>
        <w:t>Termina afirmado que “ante este marco normativo y de la realidad expuesta, en ejercicio de las competencias atribuidas; en defensa del derecho fundamental de los ciudadanos a la libertad de comunicación, que garantizan los apartados a) y d) del artículo 20.1 de la Constitución Española, de acuerdo con lo recogido en numerosas sentencias del Tribunal Constitucional (31/1994, 98/1994, 240/1994, 281/1994 y 307/1994); en defensa de lo que es el propio interés público y con el propósito claro de dar una mayor seguridad jurídica y amparo legal a los operadores de este sector, se debe atender las pretensiones esgrimidas en la presente solicitud”.</w:t>
      </w:r>
    </w:p>
    <w:p w14:paraId="4CB05D0B" w14:textId="77777777" w:rsidR="008D479B" w:rsidRDefault="008D479B" w:rsidP="008D479B">
      <w:pPr>
        <w:pStyle w:val="TextoNormal"/>
      </w:pPr>
    </w:p>
    <w:p w14:paraId="654A6174" w14:textId="77777777" w:rsidR="008D479B" w:rsidRDefault="008D479B" w:rsidP="008D479B">
      <w:pPr>
        <w:pStyle w:val="TextoNormal"/>
      </w:pPr>
      <w:r>
        <w:t>b) Mediante escrito registrado el 29 de junio de 2018, la mercantil recurrente en amparo interpuso recurso de alzada frente a la desestimación presunta de la anterior solicitud.</w:t>
      </w:r>
    </w:p>
    <w:p w14:paraId="4611F765" w14:textId="77777777" w:rsidR="008D479B" w:rsidRDefault="008D479B" w:rsidP="008D479B">
      <w:pPr>
        <w:pStyle w:val="TextoNormal"/>
      </w:pPr>
    </w:p>
    <w:p w14:paraId="4C5318D0" w14:textId="77777777" w:rsidR="008D479B" w:rsidRDefault="008D479B" w:rsidP="008D479B">
      <w:pPr>
        <w:pStyle w:val="TextoNormal"/>
      </w:pPr>
      <w:r>
        <w:t>En su recurso reiteró la normativa aplicable, que ya citaba en su solicitud inicial: (i) el Real Decreto 1287/1999, de 23 de julio, que aprobó el plan técnico nacional de la radiodifusión sonora digital terrenal; (ii) la Orden del Ministerio de Ciencia y Tecnología de 15 de octubre de 2001, que aprobó la planificación de bloques de frecuencias destinados a la radio digital de ámbito local, en régimen de gestión indirecta, correspondiente al plan técnico nacional y (iii) la Ley 7/2010, de 31 de marzo, general de la comunicación audiovisual.</w:t>
      </w:r>
    </w:p>
    <w:p w14:paraId="3018D23D" w14:textId="77777777" w:rsidR="008D479B" w:rsidRDefault="008D479B" w:rsidP="008D479B">
      <w:pPr>
        <w:pStyle w:val="TextoNormal"/>
      </w:pPr>
    </w:p>
    <w:p w14:paraId="1723EDA7" w14:textId="77777777" w:rsidR="008D479B" w:rsidRDefault="008D479B" w:rsidP="008D479B">
      <w:pPr>
        <w:pStyle w:val="TextoNormal"/>
      </w:pPr>
      <w:r>
        <w:t>Añade que por Acuerdo del Consejo de ministros de 10 de junio de 2011 se aprobó el plan técnico de digitalización integral del servicio de radiodifusión sonora terrestre (en adelante, plan técnico de digitalización integral), a que hace referencia la disposición transitoria decimoquinta LGCA. Considera que, con la aprobación de dicho plan técnico de digitalización integral, la administración no puede denegar la convocatoria de concursos de licencias, pues “al margen de infringir la LGCA, está contribuyendo a bloquear el desarrollo de la radio digital en La Rioja”. Entiende que el plan técnico de digitalización integral no choca con el plan técnico nacional, que no ha sido derogado, por lo que no se puede esgrimir la disposición transitoria decimoquinta LGCA para rechazar la solicitud de la convocatoria.</w:t>
      </w:r>
    </w:p>
    <w:p w14:paraId="1554A6D5" w14:textId="77777777" w:rsidR="008D479B" w:rsidRDefault="008D479B" w:rsidP="008D479B">
      <w:pPr>
        <w:pStyle w:val="TextoNormal"/>
      </w:pPr>
    </w:p>
    <w:p w14:paraId="41D3FD18" w14:textId="77777777" w:rsidR="008D479B" w:rsidRDefault="008D479B" w:rsidP="008D479B">
      <w:pPr>
        <w:pStyle w:val="TextoNormal"/>
      </w:pPr>
      <w:r>
        <w:t>Con cita de los apartados 2 y 5 del art. 27 LGCA, indica que en este último apartado “se fija el deber de convocar el concurso público de las licencias audiovisuales que hayan quedado vacantes”. Y a nadie se le escapa que “la administración tiene el deber de sacar a concurso las licencias vacantes por no haber sido convocado el concurso público, tras la petición, en el plazo concreto de tres meses. Y ha decidido incumplirlo. A pesar de ello, el Gobierno de La Rioja tuvo la oportunidad de cumplir el deber de convocar las licencias disponibles atendiendo a la solicitud formulada por mi representada”.</w:t>
      </w:r>
    </w:p>
    <w:p w14:paraId="558D0B42" w14:textId="77777777" w:rsidR="008D479B" w:rsidRDefault="008D479B" w:rsidP="008D479B">
      <w:pPr>
        <w:pStyle w:val="TextoNormal"/>
      </w:pPr>
    </w:p>
    <w:p w14:paraId="228F87F6" w14:textId="77777777" w:rsidR="008D479B" w:rsidRDefault="008D479B" w:rsidP="008D479B">
      <w:pPr>
        <w:pStyle w:val="TextoNormal"/>
      </w:pPr>
      <w:r>
        <w:t>Añade que el art. 19.4 LGCA, junto con el art. 27 LGCA, prevé la figura jurídica de la convocatoria de concurso público para la adjudicación de las “licencias que han quedado sin otorgar, disponibles y/o vacantes, que regula la necesidad de otorgar nuevamente […] aquellas licencias audiovisuales disponibles, como es el caso de las señaladas anteriormente”.</w:t>
      </w:r>
    </w:p>
    <w:p w14:paraId="2C856123" w14:textId="77777777" w:rsidR="008D479B" w:rsidRDefault="008D479B" w:rsidP="008D479B">
      <w:pPr>
        <w:pStyle w:val="TextoNormal"/>
      </w:pPr>
    </w:p>
    <w:p w14:paraId="7F671EBF" w14:textId="77777777" w:rsidR="008D479B" w:rsidRDefault="008D479B" w:rsidP="008D479B">
      <w:pPr>
        <w:pStyle w:val="TextoNormal"/>
      </w:pPr>
      <w:r>
        <w:t>Considera que la no convocatoria, además de infringir la LGCA y bloquear el desarrollo de la radio digital en la Comunidad Autónoma de La Rioja, infringe el derecho a la libertad de las comunicaciones del artículo 20.1 a) y d) CE, bloquearía la entrada de nuevos competidores para crear medios de comunicación social, e impediría el ejercicio del derecho a la libertad de empresa del art. 38 CE, puesto que se condenaría a una entidad a no poder desarrollar la finalidad para la que fue creada.</w:t>
      </w:r>
    </w:p>
    <w:p w14:paraId="2F2743FD" w14:textId="77777777" w:rsidR="008D479B" w:rsidRDefault="008D479B" w:rsidP="008D479B">
      <w:pPr>
        <w:pStyle w:val="TextoNormal"/>
      </w:pPr>
    </w:p>
    <w:p w14:paraId="048F2CA9" w14:textId="77777777" w:rsidR="008D479B" w:rsidRDefault="008D479B" w:rsidP="008D479B">
      <w:pPr>
        <w:pStyle w:val="TextoNormal"/>
      </w:pPr>
      <w:r>
        <w:t>c) Mediante resolución núm. 962, de 24 de julio de 2018, firmada por el consejero de Administración Pública y Hacienda del Gobierno de La Rioja, se desestimó el recurso de alzada interpuesto.</w:t>
      </w:r>
    </w:p>
    <w:p w14:paraId="36E7EC48" w14:textId="77777777" w:rsidR="008D479B" w:rsidRDefault="008D479B" w:rsidP="008D479B">
      <w:pPr>
        <w:pStyle w:val="TextoNormal"/>
      </w:pPr>
    </w:p>
    <w:p w14:paraId="3D57A9CD" w14:textId="77777777" w:rsidR="008D479B" w:rsidRDefault="008D479B" w:rsidP="008D479B">
      <w:pPr>
        <w:pStyle w:val="TextoNormal"/>
      </w:pPr>
      <w:r>
        <w:t>Expone, tras afirmar la competencia para resolver la solicitud de convocatoria de licencias de comunicación audiovisual, que el plan técnico nacional fue aprobado por Real Decreto 1287/1999, de 23 de julio, modificado por Real Decreto 776/2006, de 23 de junio, y desarrollado por la Orden del Ministerio de Fomento de 23 de julio de 1999, por la que se aprueba el reglamento técnico y de prestación del servicio de radiodifusión sonora digital terrenal, y por la Orden del mismo ministerio de 24 de agosto de 1999, por la que se establecen las localidades a cubrir en las fases de introducción de la radiodifusión sonora digital terrenal y se aprueban las fases para la implantación del servicio y porcentajes de cobertura de la población de cada ámbito territorial, todo ello de conformidad con las competencias atribuidas por el art. 149.1.21 CE y el art. 62 de la Ley 11/1998, de 24 de abril, general de telecomunicaciones, desarrollada por Orden del Ministerio de Fomento de 9 de marzo de 2000, por la que se aprueba el Reglamento de desarrollo en lo relativo al uso del dominio público radioeléctrico, por las que la elaboración y aprobación de los planes de utilización del espectro radioeléctrico corresponden al Estado.</w:t>
      </w:r>
    </w:p>
    <w:p w14:paraId="6BF7B54C" w14:textId="77777777" w:rsidR="008D479B" w:rsidRDefault="008D479B" w:rsidP="008D479B">
      <w:pPr>
        <w:pStyle w:val="TextoNormal"/>
      </w:pPr>
    </w:p>
    <w:p w14:paraId="0CF817AB" w14:textId="77777777" w:rsidR="008D479B" w:rsidRDefault="008D479B" w:rsidP="008D479B">
      <w:pPr>
        <w:pStyle w:val="TextoNormal"/>
      </w:pPr>
      <w:r>
        <w:t>Indica que el art. 3.2 del Real Decreto 1287/1999, de 23 de julio, establece que, con el objetivo de satisfacer las necesidades de cobertura de ámbito local presentadas por las comunidades autónomas, se determinarán por orden del Ministerio de Fomento los bloques de frecuencias destinados a esta modalidad de cobertura. A tal efecto, mediante Orden de 15 de octubre de 2001, del secretario de Estado de Telecomunicaciones y para la Sociedad de la Información, se establecieron los bloques de frecuencias destinadas a la radio digital de ámbito local, en régimen de gestión indirecta, correspondientes al plan técnico nacional.</w:t>
      </w:r>
    </w:p>
    <w:p w14:paraId="2A96E4B4" w14:textId="77777777" w:rsidR="008D479B" w:rsidRDefault="008D479B" w:rsidP="008D479B">
      <w:pPr>
        <w:pStyle w:val="TextoNormal"/>
      </w:pPr>
    </w:p>
    <w:p w14:paraId="72DE17D6" w14:textId="77777777" w:rsidR="008D479B" w:rsidRDefault="008D479B" w:rsidP="008D479B">
      <w:pPr>
        <w:pStyle w:val="TextoNormal"/>
      </w:pPr>
      <w:r>
        <w:t>Con ocasión de la entrada en vigor de la Ley 7/2010, de 31 de marzo, y en cumplimiento de lo establecido en su disposición transitoria decimoquinta, se aprobó el plan técnico de digitalización integral mediante Real Decreto 802/2011, de 10 de junio, por el que se modifica el plan técnico nacional, aprobado por el Real Decreto 1287/1999, de 23 de julio.</w:t>
      </w:r>
    </w:p>
    <w:p w14:paraId="7ACD791B" w14:textId="77777777" w:rsidR="008D479B" w:rsidRDefault="008D479B" w:rsidP="008D479B">
      <w:pPr>
        <w:pStyle w:val="TextoNormal"/>
      </w:pPr>
    </w:p>
    <w:p w14:paraId="2C2925E6" w14:textId="77777777" w:rsidR="008D479B" w:rsidRDefault="008D479B" w:rsidP="008D479B">
      <w:pPr>
        <w:pStyle w:val="TextoNormal"/>
      </w:pPr>
      <w:r>
        <w:t>En la resolución se argumenta que no es de aplicación el apartado quinto del art. 27 LGCA, pues las licencias que pretende el recurrente que se incluyan en la convocatoria del concurso público solicitado, no pueden entenderse que se trate de vencimiento de licencias que hayan sido previamente otorgadas, pues la administración hasta la fecha no ha convocado ningún concurso público para el otorgamiento de las licencias de comunicación audiovisual de radiodifusión sonora digital terrestre.</w:t>
      </w:r>
    </w:p>
    <w:p w14:paraId="2531598F" w14:textId="77777777" w:rsidR="008D479B" w:rsidRDefault="008D479B" w:rsidP="008D479B">
      <w:pPr>
        <w:pStyle w:val="TextoNormal"/>
      </w:pPr>
    </w:p>
    <w:p w14:paraId="2452344E" w14:textId="77777777" w:rsidR="008D479B" w:rsidRDefault="008D479B" w:rsidP="008D479B">
      <w:pPr>
        <w:pStyle w:val="TextoNormal"/>
      </w:pPr>
      <w:r>
        <w:t>Afirma que el art. 7.1 del Decreto del Gobierno de La Rioja 64/2012, de 9 de noviembre, que alega el recurrente y del que resulta que se convocará el concurso para el otorgamiento de las licencias correspondientes a todas las frecuencias o múltiples digitales asignados en el plan técnico nacional a la comunidad autónoma que se encuentren disponibles, debe ser interpretado de manera que no entre en contradicción con lo establecido en la normativa básica estatal. Y en tal sentido, el art. 27.4 LGCA, establece que, transcurridos como máximo seis meses desde que se haya planificado una reserva de dominio público radioeléctrico sin que la administración competente haya solicitado su afectación al servicio público de difusión de radio y televisión, o determinado su destinación al servicio de comunicación de interés general, cualquier interesado podrá proponer convocar el correspondiente concurso.</w:t>
      </w:r>
    </w:p>
    <w:p w14:paraId="13B41C36" w14:textId="77777777" w:rsidR="008D479B" w:rsidRDefault="008D479B" w:rsidP="008D479B">
      <w:pPr>
        <w:pStyle w:val="TextoNormal"/>
      </w:pPr>
    </w:p>
    <w:p w14:paraId="2C5D8FE2" w14:textId="77777777" w:rsidR="008D479B" w:rsidRDefault="008D479B" w:rsidP="008D479B">
      <w:pPr>
        <w:pStyle w:val="TextoNormal"/>
      </w:pPr>
      <w:r>
        <w:t>Certifica que hasta la fecha de presentación de la inicial solicitud de convocatoria de concurso no ha sido presentada ante la administración ninguna solicitud de convocatoria de concurso público para el otorgamiento de licencias de comunicación audiovisual de radiodifusión sonora digital terrestre. Conforme a lo dispuesto en el art. 27.4 LGCA, transcurridos doce meses desde que se haya planificado una reserva de dominio público radioeléctrico sin que la administración competente haya solicitado su afectación al servicio público de difusión de radio y televisión o convocado el correspondiente concurso, y sin que ningún interesado haya instado dicha convocatoria, dicha reserva decaerá y se excluirá automáticamente de la planificación radioeléctrica.</w:t>
      </w:r>
    </w:p>
    <w:p w14:paraId="03EE4AA2" w14:textId="77777777" w:rsidR="008D479B" w:rsidRDefault="008D479B" w:rsidP="008D479B">
      <w:pPr>
        <w:pStyle w:val="TextoNormal"/>
      </w:pPr>
    </w:p>
    <w:p w14:paraId="77C7CF91" w14:textId="77777777" w:rsidR="008D479B" w:rsidRDefault="008D479B" w:rsidP="008D479B">
      <w:pPr>
        <w:pStyle w:val="TextoNormal"/>
      </w:pPr>
      <w:r>
        <w:t>Por tanto, debido a que no ha sido instada en plazo por los posibles interesados ninguna convocatoria del correspondiente concurso público y que “esta administración, resultando competente para ello, tampoco ha procedido a convocarlo, la reserva de dominio público radioeléctrico correspondiente a los bloques de frecuencias destinados a radio digital de ámbito local en régimen de gestión indirecta, ha decaído y quedado excluida automáticamente de la planificación radioeléctrica, sin que sea necesaria por lo tanto ninguna declaración adicional de tal extremo por parte de la autoridad estatal competente. Efectivamente tal y como dispone el art. 60.1 de la Ley 9/2014, de 9 de mayo, general de telecomunicaciones, el espectro radioeléctrico es un bien de dominio público cuya titularidad y administración corresponden al Estado y la inexistencia de la necesaria reserva de dominio público radioeléctrico inhabilita legalmente a esta administración para poder convocar dentro de su ámbito competencial concursos de otorgamiento de licencias audiovisuales de radiodifusión sonora digital terrestre”.</w:t>
      </w:r>
    </w:p>
    <w:p w14:paraId="1F8CBD85" w14:textId="77777777" w:rsidR="008D479B" w:rsidRDefault="008D479B" w:rsidP="008D479B">
      <w:pPr>
        <w:pStyle w:val="TextoNormal"/>
      </w:pPr>
    </w:p>
    <w:p w14:paraId="7EE3B4AE" w14:textId="77777777" w:rsidR="008D479B" w:rsidRDefault="008D479B" w:rsidP="008D479B">
      <w:pPr>
        <w:pStyle w:val="TextoNormal"/>
      </w:pPr>
      <w:r>
        <w:t>d) El 3 de octubre de 2018, la mercantil recurrente en amparo formalizó la demanda contencioso-administrativa contra la anterior resolución.</w:t>
      </w:r>
    </w:p>
    <w:p w14:paraId="4E3A2A57" w14:textId="77777777" w:rsidR="008D479B" w:rsidRDefault="008D479B" w:rsidP="008D479B">
      <w:pPr>
        <w:pStyle w:val="TextoNormal"/>
      </w:pPr>
    </w:p>
    <w:p w14:paraId="6737694C" w14:textId="77777777" w:rsidR="008D479B" w:rsidRDefault="008D479B" w:rsidP="008D479B">
      <w:pPr>
        <w:pStyle w:val="TextoNormal"/>
      </w:pPr>
      <w:r>
        <w:t>El recurrente recoge nuevamente el marco normativo ya expuesto en su solicitud y recurso administrativo que es completado con la cita de preceptos del Decreto autonómico 64/2012, de 9 de noviembre, que regula los servicios de comunicación audiovisual y el registro de prestadores en el ámbito de la Comunidad Autónoma de La Rioja, a través del cual se adaptó el ordenamiento a la LGCA promoviendo el clima de liberalización del sector audiovisual.</w:t>
      </w:r>
    </w:p>
    <w:p w14:paraId="57063BAE" w14:textId="77777777" w:rsidR="008D479B" w:rsidRDefault="008D479B" w:rsidP="008D479B">
      <w:pPr>
        <w:pStyle w:val="TextoNormal"/>
      </w:pPr>
    </w:p>
    <w:p w14:paraId="1A2A55F5" w14:textId="77777777" w:rsidR="008D479B" w:rsidRDefault="008D479B" w:rsidP="008D479B">
      <w:pPr>
        <w:pStyle w:val="TextoNormal"/>
      </w:pPr>
      <w:r>
        <w:t>Examina la dualidad del actual escenario mediante el sistema de comunicación previa-licencia, donde la potestad de la administración tiene carácter reglado, dado que la autoridad se limita a la comprobación jurídico-objetiva del cumplimiento de las exigencias de la convocatoria, razón por la que “la convocatoria del concurso público de licencias audiovisuales deba de iniciarse en el momento en que se verifica el cumplimiento de los requisitos para ello, algo que ha acontecido como se demuestra en la presente demanda”.</w:t>
      </w:r>
    </w:p>
    <w:p w14:paraId="0C6735D8" w14:textId="77777777" w:rsidR="008D479B" w:rsidRDefault="008D479B" w:rsidP="008D479B">
      <w:pPr>
        <w:pStyle w:val="TextoNormal"/>
      </w:pPr>
    </w:p>
    <w:p w14:paraId="4910B2BA" w14:textId="77777777" w:rsidR="008D479B" w:rsidRDefault="008D479B" w:rsidP="008D479B">
      <w:pPr>
        <w:pStyle w:val="TextoNormal"/>
      </w:pPr>
      <w:r>
        <w:t>Afirma —con sustento en el art. 27.2 LGCA y cita de la sentencia de la Sala de lo Contencioso-Administrativo del Tribunal Superior de Justicia de Asturias de 11 de diciembre de 2017 y de la sentencia del Juzgado de lo Contencioso-Administrativo núm. 14 de Barcelona de 19 de marzo de 2018— que el “deber de convocar los concursos de licencias audiovisuales se impone a la administración en virtud de la obligación de sacar a convocatoria todas las licencias audiovisuales disponibles y vacantes de la misma naturaleza y ámbito de cobertura”. De modo que “bajo el régimen jurídico actual, no resulta sostenible la desestimación de la convocatoria de concurso de las licencias vacantes/disponibles, basada en elementos discrecionales propios del régimen anterior”.</w:t>
      </w:r>
    </w:p>
    <w:p w14:paraId="06FA0141" w14:textId="77777777" w:rsidR="008D479B" w:rsidRDefault="008D479B" w:rsidP="008D479B">
      <w:pPr>
        <w:pStyle w:val="TextoNormal"/>
      </w:pPr>
    </w:p>
    <w:p w14:paraId="38857DE0" w14:textId="77777777" w:rsidR="008D479B" w:rsidRDefault="008D479B" w:rsidP="008D479B">
      <w:pPr>
        <w:pStyle w:val="TextoNormal"/>
      </w:pPr>
      <w:r>
        <w:t>Justifica con carácter general mediante la cita de normativa estatal y autonómica que los concursos se pueden convocar a instancia de los interesados y, específicamente en los concursos para el otorgamiento de licencias para la prestación de servicios de comunicación audiovisual, indica que la resolución convocando el concurso o denegando la convocatoria, —con cita de las sentencias de la Sala de lo Contencioso-Administrativo del Tribunal Superior de Justicia de La Rioja núm. 114/2018 y 115/2018, de 4 de abril, y 127/2018, de 12 de abril— “dependerá del cumplimiento de los presupuestos exigidos en los casos previstos en el artículo 27 de la LGCA, lo que ya constituye una cuestión de fondo. El artículo 7 del Decreto 64/2012, de 9 de noviembre, dice: No obstante, en los casos previstos en el artículo 27 de la Ley general de la comunicación audiovisual, y en los plazos que esta dispone, los interesados podrán instar la convocatoria del concurso”.</w:t>
      </w:r>
    </w:p>
    <w:p w14:paraId="0C45DDB0" w14:textId="77777777" w:rsidR="008D479B" w:rsidRDefault="008D479B" w:rsidP="008D479B">
      <w:pPr>
        <w:pStyle w:val="TextoNormal"/>
      </w:pPr>
    </w:p>
    <w:p w14:paraId="79862F87" w14:textId="77777777" w:rsidR="008D479B" w:rsidRDefault="008D479B" w:rsidP="008D479B">
      <w:pPr>
        <w:pStyle w:val="TextoNormal"/>
      </w:pPr>
      <w:r>
        <w:t>Sustenta la invalidez de la resolución administrativa impugnada en que la misma contradice el nuevo régimen jurídico audiovisual instaurado con la LGCA y los postulados del Decreto 64/2012, de 9 de noviembre, que regula los servicios de comunicación audiovisual y el registro de prestadores en el ámbito de la Comunidad Autónoma de La Rioja. En concreto se infringen los arts. 4, 22, 27 y 30.1 LGCA, el art. 7.1 del Decreto 64/2012 y los arts. 20.1 a) y d), 23 y 38 de la Constitución.</w:t>
      </w:r>
    </w:p>
    <w:p w14:paraId="724609A1" w14:textId="77777777" w:rsidR="008D479B" w:rsidRDefault="008D479B" w:rsidP="008D479B">
      <w:pPr>
        <w:pStyle w:val="TextoNormal"/>
      </w:pPr>
    </w:p>
    <w:p w14:paraId="6F367554" w14:textId="77777777" w:rsidR="008D479B" w:rsidRDefault="008D479B" w:rsidP="008D479B">
      <w:pPr>
        <w:pStyle w:val="TextoNormal"/>
      </w:pPr>
      <w:r>
        <w:t>Insiste, como ya hiciera en la solicitud y en el recurso administrativo, en el deber de convocar el concurso con sustento en dos de los apartados del art. 27 LGCA, los apartados segundo y quinto, y también en la sentencia núm. 1011/2017, de 11 de diciembre, de la Sala de lo Contencioso-Administrativo del Tribunal Superior de Justicia de Asturias, que se refiere a la obligación de convocar el concurso para la “adjudicación de vacantes” y de diversas sentencias de los juzgados de lo contencioso-administrativo de Barcelona, así como de los tribunales superiores de justicia de Madrid (sentencias núm. 223/2018, de 24 de abril, y 280/2018, de 31 de mayo), Castilla y León (sentencia núm. 518/2018, de 29 de mayo) y Extremadura (sentencias núm. 257/2018, de 19 de junio; 264/2018, de 21 de junio; 296/2018, de 10 de julio, y 300/2018 y 301/2018, de 12 de julio), reproduciendo en este caso, parte de su fundamento jurídico segundo por el que se proyectaría el deber de convocar “siempre que existan licencias disponibles sin matización alguna en cuanto a los motivos respecto de la licencia que así se encuentre”. Relaciona también en favor de la existencia de ese deber las sentencias de la Sala de lo Contencioso-Administrativo del Tribunal Superior de Justicia de Canarias (núm. 453/2017, de 1 de diciembre, y 445/2017, de 24 de noviembre) y de Galicia (núm. 453/2017, de 2 de noviembre).</w:t>
      </w:r>
    </w:p>
    <w:p w14:paraId="0D1AAACA" w14:textId="77777777" w:rsidR="008D479B" w:rsidRDefault="008D479B" w:rsidP="008D479B">
      <w:pPr>
        <w:pStyle w:val="TextoNormal"/>
      </w:pPr>
    </w:p>
    <w:p w14:paraId="2A466889" w14:textId="77777777" w:rsidR="008D479B" w:rsidRDefault="008D479B" w:rsidP="008D479B">
      <w:pPr>
        <w:pStyle w:val="TextoNormal"/>
      </w:pPr>
      <w:r>
        <w:t>Reitera el contenido del art. 27.2 y 5 LGCA, e insiste en que no adjudicar licencias disponibles infringe el art. 4 LGCA y perjudica el interés general, bloquea la entrada de nuevos competidores y vulnera, además del art. 20.1 a) y d) CE, el derecho a participar en la vida pública y social (art. 23 CE) y el derecho a la libertad de empresa (art. 38 CE), pues se bloquea el derecho al acceso de las licencias para crear medios de comunicación social y se condena a una entidad a no poder desarrollar la finalidad para la que fue creada: ser un medio de comunicación para garantizar el pluralismo informativo.</w:t>
      </w:r>
    </w:p>
    <w:p w14:paraId="2A30CB98" w14:textId="77777777" w:rsidR="008D479B" w:rsidRDefault="008D479B" w:rsidP="008D479B">
      <w:pPr>
        <w:pStyle w:val="TextoNormal"/>
      </w:pPr>
    </w:p>
    <w:p w14:paraId="681529FB" w14:textId="77777777" w:rsidR="008D479B" w:rsidRDefault="008D479B" w:rsidP="008D479B">
      <w:pPr>
        <w:pStyle w:val="TextoNormal"/>
      </w:pPr>
      <w:r>
        <w:t>Indica que en supuestos idénticos todas las comunidades autónomas han convocado los concursos públicos de licencias audiovisuales disponibles (Galicia, Cantabria, Navarra, Aragón, Extremadura), sin que la falta de convocatoria de concurso público haya sido un inconveniente para ello.</w:t>
      </w:r>
    </w:p>
    <w:p w14:paraId="6C8F9A14" w14:textId="77777777" w:rsidR="008D479B" w:rsidRDefault="008D479B" w:rsidP="008D479B">
      <w:pPr>
        <w:pStyle w:val="TextoNormal"/>
      </w:pPr>
    </w:p>
    <w:p w14:paraId="36CD95C8" w14:textId="77777777" w:rsidR="008D479B" w:rsidRDefault="008D479B" w:rsidP="008D479B">
      <w:pPr>
        <w:pStyle w:val="TextoNormal"/>
      </w:pPr>
      <w:r>
        <w:t>e) Por sentencia de la Sala de lo Contencioso-Administrativo del Tribunal Superior de La Rioja, de 16 de mayo de 2019, se estimó el recurso interpuesto frente a la resolución núm. 962, de 24 de julio de 2018, del consejero de Administración Pública y Hacienda.</w:t>
      </w:r>
    </w:p>
    <w:p w14:paraId="4F2B1676" w14:textId="77777777" w:rsidR="008D479B" w:rsidRDefault="008D479B" w:rsidP="008D479B">
      <w:pPr>
        <w:pStyle w:val="TextoNormal"/>
      </w:pPr>
    </w:p>
    <w:p w14:paraId="14580C02" w14:textId="77777777" w:rsidR="008D479B" w:rsidRDefault="008D479B" w:rsidP="008D479B">
      <w:pPr>
        <w:pStyle w:val="TextoNormal"/>
      </w:pPr>
      <w:r>
        <w:t>La sentencia esencialmente considera que la previsión del apartado 4 del artículo 27 LGCA, en cuanto al efecto del decaimiento de la reserva de dominio público radioeléctrico afecta a las planificaciones de reserva que se hayan efectuado a partir de la entrada en vigor de la LGCA, pero no a planificaciones anteriores, como es el caso de la reserva de dominio público radioeléctrico para la Comunidad Autónoma de La Rioja que fue realizada antes en el año 2001, esto es, antes del 1 de mayo de 2010 en que entró en vigor la LGCA. De modo que la falta de convocatoria de procedimientos para el otorgamiento de títulos habilitantes para la gestión de televisiones locales da lugar a la existencia de licencias disponibles que deben ofrecerse de forma simultánea. Argumenta que la pasividad de la administración demandada no puede motivar la desestimación de la solicitud deducida por la recurrente.</w:t>
      </w:r>
    </w:p>
    <w:p w14:paraId="4B9CDF1F" w14:textId="77777777" w:rsidR="008D479B" w:rsidRDefault="008D479B" w:rsidP="008D479B">
      <w:pPr>
        <w:pStyle w:val="TextoNormal"/>
      </w:pPr>
    </w:p>
    <w:p w14:paraId="2C0BF8EE" w14:textId="77777777" w:rsidR="008D479B" w:rsidRDefault="008D479B" w:rsidP="008D479B">
      <w:pPr>
        <w:pStyle w:val="TextoNormal"/>
      </w:pPr>
      <w:r>
        <w:t>f) Frente a dicha sentencia la letrada de la Comunidad Autónoma de La Rioja, en la representación que ostenta, preparó el recurso de casación, que fue admitido a trámite por auto de 6 de marzo de 2020 declarando que la cuestión presenta interés casacional objetivo para la formación de la jurisprudencia, consistente en interpretar el artículo 27.2 y 4 LGCA en relación con el resto de preceptos denunciados como infringidos en el escrito de preparación a fin de determinar si, con arreglo a tales normas, cabe exigir a la administración la convocatoria de concursos para la adjudicación de licencias para la prestación del servicio audiovisual de radio local digital terrestre cuando la administración no haya solicitado la afectación de reserva de dominio público radioeléctrico ni se haya solicitado su convocatoria por algún interesado dentro de los plazos establecidos por el citado artículo 27.4 LGCA.</w:t>
      </w:r>
    </w:p>
    <w:p w14:paraId="214CD8FA" w14:textId="77777777" w:rsidR="008D479B" w:rsidRDefault="008D479B" w:rsidP="008D479B">
      <w:pPr>
        <w:pStyle w:val="TextoNormal"/>
      </w:pPr>
    </w:p>
    <w:p w14:paraId="38B926F0" w14:textId="77777777" w:rsidR="008D479B" w:rsidRDefault="008D479B" w:rsidP="008D479B">
      <w:pPr>
        <w:pStyle w:val="TextoNormal"/>
      </w:pPr>
      <w:r>
        <w:t>g) La representación de Soninorte Producciones, S.L., presentó el 20 de julio de 2020 su escrito de oposición al recurso de casación. En él afirma que la LGCA, y en concreto la previsión del art. 27.4 LGCA, no puede aplicarse a los planes anteriores a su entrada en vigor (Real Decreto 1287/1999 y orden del Ministerio de Ciencia y Tecnología de 15 de octubre de 2001), en virtud del principio de irretroactividad de las leyes. Añade que la interpretación de la sentencia del Tribunal Superior de Justicia de La Rioja es compatible con la normativa europea y en concreto con la Directiva 2018/1972, de 11 de diciembre. Insiste en el carácter reglado de la facultad de convocatoria y otorgamiento de licencias y que la subsistencia del deber de convocatoria ha sido aceptada por diversas comunidades autónomas.</w:t>
      </w:r>
    </w:p>
    <w:p w14:paraId="50B81025" w14:textId="77777777" w:rsidR="008D479B" w:rsidRDefault="008D479B" w:rsidP="008D479B">
      <w:pPr>
        <w:pStyle w:val="TextoNormal"/>
      </w:pPr>
    </w:p>
    <w:p w14:paraId="7DE8011E" w14:textId="77777777" w:rsidR="008D479B" w:rsidRDefault="008D479B" w:rsidP="008D479B">
      <w:pPr>
        <w:pStyle w:val="TextoNormal"/>
      </w:pPr>
      <w:r>
        <w:t>h) Por sentencia de la Sección Tercera de la Sala de lo Contencioso-Administrativo del Tribunal Supremo de 26 de noviembre de 2020, se estimó el recurso de casación.</w:t>
      </w:r>
    </w:p>
    <w:p w14:paraId="6AAD5477" w14:textId="77777777" w:rsidR="008D479B" w:rsidRDefault="008D479B" w:rsidP="008D479B">
      <w:pPr>
        <w:pStyle w:val="TextoNormal"/>
      </w:pPr>
    </w:p>
    <w:p w14:paraId="052ABD43" w14:textId="77777777" w:rsidR="008D479B" w:rsidRDefault="008D479B" w:rsidP="008D479B">
      <w:pPr>
        <w:pStyle w:val="TextoNormal"/>
      </w:pPr>
      <w:r>
        <w:t>La sentencia, atendiendo al interés casacional advertido en el auto de admisión a trámite del recurso de casación, expone la existencia de dos criterios jurisdiccionales distintos entre los diferentes tribunales superiores de justicia y distingue el caso que se le plantea, relativo a las circunstancias de aplicación y a los efectos de los plazos prevenidos en el artículo 27.4 LGCA puedan tener sobre los planes técnicos y sobre la cobertura de las licencias vacantes, de otros examinados por el propio tribunal.</w:t>
      </w:r>
    </w:p>
    <w:p w14:paraId="6F5DEB12" w14:textId="77777777" w:rsidR="008D479B" w:rsidRDefault="008D479B" w:rsidP="008D479B">
      <w:pPr>
        <w:pStyle w:val="TextoNormal"/>
      </w:pPr>
    </w:p>
    <w:p w14:paraId="223F530C" w14:textId="77777777" w:rsidR="008D479B" w:rsidRDefault="008D479B" w:rsidP="008D479B">
      <w:pPr>
        <w:pStyle w:val="TextoNormal"/>
      </w:pPr>
      <w:r>
        <w:t>Razona que la disponibilidad para las administraciones públicas, los ciudadanos y medios de comunicación del espectro radioeléctrico libre, es consecuencia, en principio, de las libertades constitucionales de expresión e información, pero tal disponibilidad no es absoluta al estar condicionada por razones técnicas, compromisos internacionales y la regulación nacional, entre la que destaca, por su relevancia para el presente caso, la planificación técnica del espacio radioeléctrico. Por lo que, salvo que la regulación vigente incurra en inconstitucionalidad, por su carácter injustificadamente restrictivo o arbitrario, hay que estar a lo establecido por ella. Nada hay en el art. 27 LGCA que pueda considerarse irrazonable o indebidamente restrictivo. Es una regulación que trata de que no quede congelada la planificación del espacio radioeléctrico, de tal forma que una vez aprobada una planificación el no aprovechamiento de espacios reservados al dominio público radioeléctrico para servicios de radiodifusión hace decaer dicha reserva, tal como se prevé en el apartado 4 del artículo 27 de la Ley.</w:t>
      </w:r>
    </w:p>
    <w:p w14:paraId="2AD9686B" w14:textId="77777777" w:rsidR="008D479B" w:rsidRDefault="008D479B" w:rsidP="008D479B">
      <w:pPr>
        <w:pStyle w:val="TextoNormal"/>
      </w:pPr>
    </w:p>
    <w:p w14:paraId="3F1D54CA" w14:textId="77777777" w:rsidR="008D479B" w:rsidRDefault="008D479B" w:rsidP="008D479B">
      <w:pPr>
        <w:pStyle w:val="TextoNormal"/>
      </w:pPr>
      <w:r>
        <w:t>Advierte que su regulación “es clara y taxativa y cuenta con una fundamentación razonable: si la reserva planificada para el servicio público de radio y televisión no se ha afectado o empleado en dicha actividad en los plazos antedichos, debe quedar libre para cualquier otra necesidad o dedicación del espacio radioeléctrico. Debe rechazarse la idea de que la interpretación del artículo 27 LGCA en los términos vistos supondría dejar el ejercicio de una potestad estatal (la planificación del espacio radioeléctrico) al arbitrio de comunidades autónomas o particulares. En efecto, el argumento es insostenible por cuanto es la propia Ley la que establece tales plazos para el aprovechamiento de la reserva prevista en la planificación. La planificación estatal pierde eficacia en la parte que examinamos por imperativo legal, no por la desidia o voluntad de las administraciones públicas o de los particulares. Y, en último término, el Estado siempre puede volver a reservar el espacio radioeléctrico para la misma actividad con una nueva planificación o una modificación de la existente”.</w:t>
      </w:r>
    </w:p>
    <w:p w14:paraId="3E3717FB" w14:textId="77777777" w:rsidR="008D479B" w:rsidRDefault="008D479B" w:rsidP="008D479B">
      <w:pPr>
        <w:pStyle w:val="TextoNormal"/>
      </w:pPr>
    </w:p>
    <w:p w14:paraId="7A04F640" w14:textId="77777777" w:rsidR="008D479B" w:rsidRDefault="008D479B" w:rsidP="008D479B">
      <w:pPr>
        <w:pStyle w:val="TextoNormal"/>
      </w:pPr>
      <w:r>
        <w:t>Tampoco puede considerarse que la aplicación del art. 27.4 LGCA incurre en prohibición de irretroactividad porque se proyecte sobre una planificación técnica aprobada con anterioridad a la entrada en vigor de la LGCA, en cuanto que no puede hablarse de que la aplicación de la LGCA suponga la afección de derechos adquiridos o situaciones consolidadas. Y, porque tras la entrada en vigor de la Ley han transcurrido sobradamente los plazos estipulados en el artículo 27.4 de la misma.</w:t>
      </w:r>
    </w:p>
    <w:p w14:paraId="4A99FEFE" w14:textId="77777777" w:rsidR="008D479B" w:rsidRDefault="008D479B" w:rsidP="008D479B">
      <w:pPr>
        <w:pStyle w:val="TextoNormal"/>
      </w:pPr>
    </w:p>
    <w:p w14:paraId="39E9BF80" w14:textId="2520D431" w:rsidR="008D479B" w:rsidRDefault="008D479B" w:rsidP="008D479B">
      <w:pPr>
        <w:pStyle w:val="TextoNormal"/>
      </w:pPr>
      <w:r>
        <w:t>Finalmente indica que “de conformidad con lo dispuesto en el artículo 27.4 de la Ley general de comunicación audiovisual, el transcurso de los plazos estipulados en dicho precepto tras la aprobación de un plan técnico nacional de un servicio de radio o televisión, sin que la administración haya solicitado la afectación al servicio público de radio o televisión de que se trate de la reserva de dominio prevista en el citado plan o se haya convocado concurso para el otorgamiento de licencias, y sin que ningún interesado haya solicitado dicha convocatoria, la reserva de dominio decaerá y será excluida de la planificación. En consecuencia y dados tales presupuestos, la administración no estaría ya obligada a la convocatoria de concurso a solicitud de cualquier interesado hasta que se efectúe una nueva reserva de dominio y se produzca la correspondiente afectación al servicio público de radio o televisión”.</w:t>
      </w:r>
    </w:p>
    <w:p w14:paraId="7B099FED" w14:textId="77777777" w:rsidR="008D479B" w:rsidRDefault="008D479B" w:rsidP="008D479B">
      <w:pPr>
        <w:pStyle w:val="TextoNormal"/>
      </w:pPr>
    </w:p>
    <w:p w14:paraId="65C0C386" w14:textId="77777777" w:rsidR="008D479B" w:rsidRDefault="008D479B" w:rsidP="008D479B">
      <w:pPr>
        <w:pStyle w:val="TextoNormal"/>
      </w:pPr>
      <w:r w:rsidRPr="008D479B">
        <w:rPr>
          <w:rStyle w:val="NumeroAFNegritaCaracter"/>
        </w:rPr>
        <w:t>3</w:t>
      </w:r>
      <w:r>
        <w:t>. La mercantil recurrente invoca en su demanda de amparo la vulneración de los derechos fundamentales a la libertad de información, comunicación y expresión [art. 20.1 a) y d)], en relación con el art. 14 CE, y el derecho a la igualdad (art. 14 CE) y solicita que se declaren vulnerados tales derechos, se le restablezca en la integridad de estos y se declare la nulidad de la resolución núm. 962, de 24 de julio de 2018, de la Consejería de Administración Pública y Hacienda, a fin de que dicte otra respetuosa con los derechos invocados.</w:t>
      </w:r>
    </w:p>
    <w:p w14:paraId="0B5C49C0" w14:textId="77777777" w:rsidR="008D479B" w:rsidRDefault="008D479B" w:rsidP="008D479B">
      <w:pPr>
        <w:pStyle w:val="TextoNormal"/>
      </w:pPr>
    </w:p>
    <w:p w14:paraId="254E8A8E" w14:textId="77777777" w:rsidR="008D479B" w:rsidRDefault="008D479B" w:rsidP="008D479B">
      <w:pPr>
        <w:pStyle w:val="TextoNormal"/>
      </w:pPr>
      <w:r>
        <w:t>Desarrolla su argumentación mediante las alegaciones que se resumen a continuación:</w:t>
      </w:r>
    </w:p>
    <w:p w14:paraId="410A1FE5" w14:textId="77777777" w:rsidR="008D479B" w:rsidRDefault="008D479B" w:rsidP="008D479B">
      <w:pPr>
        <w:pStyle w:val="TextoNormal"/>
      </w:pPr>
    </w:p>
    <w:p w14:paraId="57094D4A" w14:textId="77777777" w:rsidR="008D479B" w:rsidRDefault="008D479B" w:rsidP="008D479B">
      <w:pPr>
        <w:pStyle w:val="TextoNormal"/>
      </w:pPr>
      <w:r>
        <w:t>a) Afirma que la ausencia de convocatoria de concurso público por parte del Gobierno de La Rioja ha impedido la obtención de licencias “a pesar de su disponibilidad”, lo que ha imposibilitado el ejercicio de los derechos fundamentales [art. 20.1 a) y d) CE] con evidente desigualdad con referencia a las demás comunidades autónomas. Entiende que ha sido la inacción de la administración pública la causante de que no se haya aprovechado el espectro que el Estado ha otorgado a la comunidad autónoma, lo que invalida el acto recurrido por ser contrario a los derechos invocados. Considera que “la interpretación prevalente” de los derechos invocados impide el incumplimiento del deber de convocatoria que se le impone a la administración, al tratarse de una potestad reglada, que no se puede “eclipsar por meros formalismos como es el transcurso de un plazo” del que únicamente es responsable la propia administración y que afecta al pluralismo de medios y a las libertades de comunicación. Afirma que otras comunidades autónomas han procedido a efectuar los concursos de licencias más allá del plazo establecido. Afirma que con dicha resolución se infringe la prevalencia de la libertad de información en la proyección que dada por la Directiva 2018/1972, de 11 de diciembre, donde se recoge el Código europeo de las comunicaciones electrónicas que proyecta la necesidad de usar el espectro radioeléctrico para evitar su pérdida o la imposición de sanciones.</w:t>
      </w:r>
    </w:p>
    <w:p w14:paraId="2B8F429E" w14:textId="77777777" w:rsidR="008D479B" w:rsidRDefault="008D479B" w:rsidP="008D479B">
      <w:pPr>
        <w:pStyle w:val="TextoNormal"/>
      </w:pPr>
    </w:p>
    <w:p w14:paraId="7A6900E1" w14:textId="77777777" w:rsidR="008D479B" w:rsidRDefault="008D479B" w:rsidP="008D479B">
      <w:pPr>
        <w:pStyle w:val="TextoNormal"/>
      </w:pPr>
      <w:r>
        <w:t>Sostiene que existe una patente contradicción entre las sentencias del Tribunal Supremo al diferenciar incorrectamente entre licencias de televisión digital y licencias de radiodifusión digital para la protección de los derechos fundamentales.</w:t>
      </w:r>
    </w:p>
    <w:p w14:paraId="09C1E160" w14:textId="77777777" w:rsidR="008D479B" w:rsidRDefault="008D479B" w:rsidP="008D479B">
      <w:pPr>
        <w:pStyle w:val="TextoNormal"/>
      </w:pPr>
    </w:p>
    <w:p w14:paraId="324252BD" w14:textId="77777777" w:rsidR="008D479B" w:rsidRDefault="008D479B" w:rsidP="008D479B">
      <w:pPr>
        <w:pStyle w:val="TextoNormal"/>
      </w:pPr>
      <w:r>
        <w:t xml:space="preserve">Añade que la negativa a conceder una licencia de radiodifusión infringe el artículo 10, apartado 1, del Convenio europeo de derechos humanos (CEDH) y cita las SSTEDH de 20 de octubre de 1997, asunto </w:t>
      </w:r>
      <w:r w:rsidRPr="008D479B">
        <w:rPr>
          <w:i/>
        </w:rPr>
        <w:t>Radio ABC c. Austria</w:t>
      </w:r>
      <w:r>
        <w:t xml:space="preserve">; de 23 de noviembre de 1999, asunto </w:t>
      </w:r>
      <w:r w:rsidRPr="008D479B">
        <w:rPr>
          <w:i/>
        </w:rPr>
        <w:t>Leveque c. Francia</w:t>
      </w:r>
      <w:r>
        <w:t xml:space="preserve">; de 7 de noviembre de 2000, asunto </w:t>
      </w:r>
      <w:r w:rsidRPr="008D479B">
        <w:rPr>
          <w:i/>
        </w:rPr>
        <w:t>United Christian Broadcasters Ltd. c. Reino Unido</w:t>
      </w:r>
      <w:r>
        <w:t xml:space="preserve">; de 11 de octubre de 2007, asunto </w:t>
      </w:r>
      <w:r w:rsidRPr="008D479B">
        <w:rPr>
          <w:i/>
        </w:rPr>
        <w:t>Glas Nadejda EOOD y Elenkov c. Bulgaria</w:t>
      </w:r>
      <w:r>
        <w:t xml:space="preserve">; de 17 de junio de 2008, asunto </w:t>
      </w:r>
      <w:r w:rsidRPr="008D479B">
        <w:rPr>
          <w:i/>
        </w:rPr>
        <w:t>Meltex Ltd. y Movsessian c. Armenia</w:t>
      </w:r>
      <w:r>
        <w:t xml:space="preserve">, así como el dictamen del Comité de Derechos Humanos de Naciones Unidas, de 27 de octubre de 2016, en el caso </w:t>
      </w:r>
      <w:r w:rsidRPr="008D479B">
        <w:rPr>
          <w:i/>
        </w:rPr>
        <w:t>Azagade c. Azerbaiyán</w:t>
      </w:r>
      <w:r>
        <w:t>.</w:t>
      </w:r>
    </w:p>
    <w:p w14:paraId="2C680A25" w14:textId="77777777" w:rsidR="008D479B" w:rsidRDefault="008D479B" w:rsidP="008D479B">
      <w:pPr>
        <w:pStyle w:val="TextoNormal"/>
      </w:pPr>
    </w:p>
    <w:p w14:paraId="57D903BD" w14:textId="77777777" w:rsidR="008D479B" w:rsidRDefault="008D479B" w:rsidP="008D479B">
      <w:pPr>
        <w:pStyle w:val="TextoNormal"/>
      </w:pPr>
      <w:r>
        <w:t>Refiere que el art. 27.4 LGCA es una disposición restrictiva de derechos individuales, en el sentido del referido artículo 9.3 CE al tratarse de una retroactividad auténtica prohibida por la Constitución, atendida la importancia cuantitativa y cualitativa de la modificación.</w:t>
      </w:r>
    </w:p>
    <w:p w14:paraId="04AFE63C" w14:textId="77777777" w:rsidR="008D479B" w:rsidRDefault="008D479B" w:rsidP="008D479B">
      <w:pPr>
        <w:pStyle w:val="TextoNormal"/>
      </w:pPr>
    </w:p>
    <w:p w14:paraId="00208F20" w14:textId="77777777" w:rsidR="008D479B" w:rsidRDefault="008D479B" w:rsidP="008D479B">
      <w:pPr>
        <w:pStyle w:val="TextoNormal"/>
      </w:pPr>
      <w:r>
        <w:t>Finalmente indica que la interpretación que efectúa el Tribunal Supremo supondría que las bases de todas aquellas convocatorias en las distintas comunidades autónomas que estuvieran en una situación como la descrita, serían impugnables, habida cuenta de que el espectro concedido a los interesados había decaído y se encontraba excluido de manera automática.</w:t>
      </w:r>
    </w:p>
    <w:p w14:paraId="5A610409" w14:textId="77777777" w:rsidR="008D479B" w:rsidRDefault="008D479B" w:rsidP="008D479B">
      <w:pPr>
        <w:pStyle w:val="TextoNormal"/>
      </w:pPr>
    </w:p>
    <w:p w14:paraId="04ABAD73" w14:textId="1F081688" w:rsidR="008D479B" w:rsidRDefault="008D479B" w:rsidP="008D479B">
      <w:pPr>
        <w:pStyle w:val="TextoNormal"/>
      </w:pPr>
      <w:r>
        <w:t>b) En segundo lugar, considera vulnerado el derecho a la igualdad (art. 14 CE), al haberse convocado en otras comunidades autónomas concursos públicos de licencias de comunicación audiovisual. Afirma que el artículo 27.4 LGCA, al tener la consideración de normativa básica, debe aplicarse de forma similar en todo el territorio estatal y la dispar interpretación efectuada por las distintas comunidades autónomas, a juicio de la entidad recurrente, lesiona el art. 14 CE.</w:t>
      </w:r>
    </w:p>
    <w:p w14:paraId="23514545" w14:textId="77777777" w:rsidR="008D479B" w:rsidRDefault="008D479B" w:rsidP="008D479B">
      <w:pPr>
        <w:pStyle w:val="TextoNormal"/>
      </w:pPr>
    </w:p>
    <w:p w14:paraId="15E45C57" w14:textId="7A3916DE" w:rsidR="008D479B" w:rsidRDefault="008D479B" w:rsidP="008D479B">
      <w:pPr>
        <w:pStyle w:val="TextoNormal"/>
      </w:pPr>
      <w:r w:rsidRPr="008D479B">
        <w:rPr>
          <w:rStyle w:val="NumeroAFNegritaCaracter"/>
        </w:rPr>
        <w:t>4</w:t>
      </w:r>
      <w:r>
        <w:t>. Por providencia de 24 de octubre de 2022, la Sección Tercera del Tribunal Constitucional acordó admitir a trámite la demanda de amparo, al apreciar que concurría en la misma una especial trascendencia constitucional [art. 50.1 de la Ley Orgánica del Tribunal Constitucional (LOTC)] porque el recurso podía dar ocasión al Tribunal para aclarar o cambiar su doctrina, como consecuencia de un proceso de reflexión interna [STC 155/2009, FJ 2 b)] y el asunto suscitado trascendía del caso concreto porque plantea una cuestión jurídica de relevante y general repercusión social o económica [STC 155/2009, FJ 2 g)]. Asimismo, acordó dar cumplimiento a lo dispuesto en el artículo 51 LOTC y formar la correspondiente pieza separada de suspensión, que fue concluida por ATC 158/2022, de 28 de noviembre, en el que se acordó denegar la suspensión cautelar solicitada.</w:t>
      </w:r>
    </w:p>
    <w:p w14:paraId="60102C56" w14:textId="77777777" w:rsidR="008D479B" w:rsidRDefault="008D479B" w:rsidP="008D479B">
      <w:pPr>
        <w:pStyle w:val="TextoNormal"/>
      </w:pPr>
    </w:p>
    <w:p w14:paraId="78BCD43E" w14:textId="48B3366C" w:rsidR="008D479B" w:rsidRDefault="008D479B" w:rsidP="008D479B">
      <w:pPr>
        <w:pStyle w:val="TextoNormal"/>
      </w:pPr>
      <w:r w:rsidRPr="008D479B">
        <w:rPr>
          <w:rStyle w:val="NumeroAFNegritaCaracter"/>
        </w:rPr>
        <w:t>5</w:t>
      </w:r>
      <w:r>
        <w:t>. Por diligencia de ordenación de la Secretaría de Justicia de la Sección Tercera de este tribunal de 7 de diciembre de 2022 se tuvo por personado y parte en representación de la Comunidad Autónoma de La Rioja al procurador de los tribunales don Jorge Miguel Deleito García. Y, a tenor de lo dispuesto en el artículo 52 LOTC, se dio vista de las actuaciones, por un plazo común de veinte días, al Ministerio Fiscal y a las partes personadas para que dentro de dicho término pudieran presentar las alegaciones que a su derecho conviniera.</w:t>
      </w:r>
    </w:p>
    <w:p w14:paraId="706E821E" w14:textId="77777777" w:rsidR="008D479B" w:rsidRDefault="008D479B" w:rsidP="008D479B">
      <w:pPr>
        <w:pStyle w:val="TextoNormal"/>
      </w:pPr>
    </w:p>
    <w:p w14:paraId="6567FA1E" w14:textId="77777777" w:rsidR="008D479B" w:rsidRDefault="008D479B" w:rsidP="008D479B">
      <w:pPr>
        <w:pStyle w:val="TextoNormal"/>
      </w:pPr>
      <w:r w:rsidRPr="008D479B">
        <w:rPr>
          <w:rStyle w:val="NumeroAFNegritaCaracter"/>
        </w:rPr>
        <w:t>6</w:t>
      </w:r>
      <w:r>
        <w:t>. La Comunidad Autónoma de La Rioja, con la referida representación y asistida de la letrada doña María Esther Martínez Aguirre, presentó sus alegaciones mediante escrito registrado el 9 de enero de 2023, en el que no aprecia que se hayan vulnerado los derechos invocados en la demanda de amparo.</w:t>
      </w:r>
    </w:p>
    <w:p w14:paraId="7016B427" w14:textId="77777777" w:rsidR="008D479B" w:rsidRDefault="008D479B" w:rsidP="008D479B">
      <w:pPr>
        <w:pStyle w:val="TextoNormal"/>
      </w:pPr>
    </w:p>
    <w:p w14:paraId="16F5890B" w14:textId="77777777" w:rsidR="008D479B" w:rsidRDefault="008D479B" w:rsidP="008D479B">
      <w:pPr>
        <w:pStyle w:val="TextoNormal"/>
      </w:pPr>
      <w:r>
        <w:t>Inicia sus alegaciones poniendo de manifiesto que la entidad recurrente desde su inicial solicitud hasta el recurso de amparo parte de un mismo presupuesto de hecho: la existencia de licencias disponibles en la Comunidad Autónoma de La Rioja, respecto de las que exige la convocatoria de concurso. Pero dicha premisa es errónea, pues no existen licencias disponibles, motivo por el cual no es factible convocar un concurso sobre las mismas.</w:t>
      </w:r>
    </w:p>
    <w:p w14:paraId="153C50D6" w14:textId="77777777" w:rsidR="008D479B" w:rsidRDefault="008D479B" w:rsidP="008D479B">
      <w:pPr>
        <w:pStyle w:val="TextoNormal"/>
      </w:pPr>
    </w:p>
    <w:p w14:paraId="6A8910C6" w14:textId="77777777" w:rsidR="008D479B" w:rsidRDefault="008D479B" w:rsidP="008D479B">
      <w:pPr>
        <w:pStyle w:val="TextoNormal"/>
      </w:pPr>
      <w:r>
        <w:t>Define el marco normativo en el que se encuadra la controversia y a tal fin trae a colación el art. 27 LGCA y la disposición final sexta de la misma Ley, así como el art. 7 del Decreto del Gobierno de La Rioja 64/2012, de 9 de noviembre, el Real Decreto 1287/1999, de 23 de julio, que aprueba el plan técnico nacional de la radiodifusión sonora digital terrenal, y posteriormente la orden del Ministerio de Ciencia y Tecnología de 15 de octubre de 2001 aprobó la planificación de bloques de frecuencias de radio digital de ámbito local, en régimen de gestión indirecta, por la que se asignan a La Rioja tres bloques de frecuencias, así como finalmente, la resolución de 13 de julio de 2011 de la Secretaría de Estado de Telecomunicaciones y para la Sociedad de la Información, por la que se publica el acuerdo de Consejo de ministros de 10 de junio de 2011 por el que se aprueba el plan de digitalización del servicio de radiodifusión sonora terrestre y el Real Decreto 802/2011, de 10 de junio, que modifica el artículo 7 del plan técnico nacional de radiodifusión sonora digital terrestre y establece una reducción de las obligaciones de cobertura que se habían definido en el plan técnico inicial.</w:t>
      </w:r>
    </w:p>
    <w:p w14:paraId="110749E3" w14:textId="77777777" w:rsidR="008D479B" w:rsidRDefault="008D479B" w:rsidP="008D479B">
      <w:pPr>
        <w:pStyle w:val="TextoNormal"/>
      </w:pPr>
    </w:p>
    <w:p w14:paraId="4230C9A1" w14:textId="77777777" w:rsidR="008D479B" w:rsidRDefault="008D479B" w:rsidP="008D479B">
      <w:pPr>
        <w:pStyle w:val="TextoNormal"/>
      </w:pPr>
      <w:r>
        <w:t xml:space="preserve">Conforme al art. 27.4 LGCA, al no convocarse concurso alguno, </w:t>
      </w:r>
      <w:r w:rsidRPr="008D479B">
        <w:rPr>
          <w:i/>
        </w:rPr>
        <w:t>ex lege</w:t>
      </w:r>
      <w:r>
        <w:t>, la reserva de dominio público radioeléctrico ha decaído, recuperándola el Estado, quedando excluida automáticamente de la planificación radioeléctrica, no existiendo espacio físico en el que proyectar la licencia cuyo concurso se reclama. La actora y otras empresas audiovisuales no promovieron en plazo la convocatoria del concurso, haciéndolo una vez finalizada la reserva. Tampoco al no convocarse concurso alguno han podido existir licencias vacantes. No existe por tanto ni licencia disponible, ni vacante, ni vencida, ni espacio de radiodifusión disponible.</w:t>
      </w:r>
    </w:p>
    <w:p w14:paraId="67D890E0" w14:textId="77777777" w:rsidR="008D479B" w:rsidRDefault="008D479B" w:rsidP="008D479B">
      <w:pPr>
        <w:pStyle w:val="TextoNormal"/>
      </w:pPr>
    </w:p>
    <w:p w14:paraId="350585E3" w14:textId="77777777" w:rsidR="008D479B" w:rsidRDefault="008D479B" w:rsidP="008D479B">
      <w:pPr>
        <w:pStyle w:val="TextoNormal"/>
      </w:pPr>
      <w:r>
        <w:t xml:space="preserve">Con apoyo en la cita de las SSTC 8/2016, de 21 de enero, y 78/2017, de 22 de junio, afirma la competencia exclusiva del Estado, </w:t>
      </w:r>
      <w:r w:rsidRPr="008D479B">
        <w:rPr>
          <w:i/>
        </w:rPr>
        <w:t>ex</w:t>
      </w:r>
      <w:r>
        <w:t xml:space="preserve"> artículo 149.1.21 CE, que incluye la planificación y control del espectro radioeléctrico a través de sus instrumentos de planificación (incluyendo cuadro nacional de atribución de frecuencias o planes técnicos nacionales de radiodifusión sonora y de televisión) sobre cuya base el Gobierno estatal delimita y establece las bandas, canales o frecuencias que se reservan a las administraciones públicas (o entes públicos de ellas dependientes) o a los particulares, garantizando así una concepción unitaria de la utilización y planificación del espectro radioeléctrico.</w:t>
      </w:r>
    </w:p>
    <w:p w14:paraId="5FCD52AE" w14:textId="77777777" w:rsidR="008D479B" w:rsidRDefault="008D479B" w:rsidP="008D479B">
      <w:pPr>
        <w:pStyle w:val="TextoNormal"/>
      </w:pPr>
    </w:p>
    <w:p w14:paraId="352D496C" w14:textId="77777777" w:rsidR="008D479B" w:rsidRDefault="008D479B" w:rsidP="008D479B">
      <w:pPr>
        <w:pStyle w:val="TextoNormal"/>
      </w:pPr>
      <w:r>
        <w:t xml:space="preserve">El considerando 122 de la Directiva 2018/1972, de 11 de diciembre, por la que se establece el Código europeo de las comunicaciones electrónicas, acoge la cláusula en relación con los derechos del espacio radioeléctrico de que “se usan o se pierden”, por lo que la actuación de la administración, avalada por la sentencia del Tribunal Supremo, es conforme con la Directiva citada. Pues dicho espacio no puede estar reservado </w:t>
      </w:r>
      <w:r w:rsidRPr="008D479B">
        <w:rPr>
          <w:i/>
        </w:rPr>
        <w:t>sine die</w:t>
      </w:r>
      <w:r>
        <w:t xml:space="preserve"> sin ocupación y destino efectivo, evitándose de este modo la creación de barreras de entrada en el mercado mediante el acaparamiento anticompetitivo —considerando núm. 122 de la Directiva—. Pues habida cuenta que “el espectro radioeléctrico es un bien público que tiene un valor social, cultural y económico importante, los Estados miembros velarán por la gestión eficaz del espectro radioeléctrico para las redes y servicios de comunicaciones electrónicas en su territorio de conformidad con lo dispuesto en los artículos 3 y 4” (art. 45 de la Directiva 2018/1972, de 11 de diciembre).</w:t>
      </w:r>
    </w:p>
    <w:p w14:paraId="67D01E51" w14:textId="77777777" w:rsidR="008D479B" w:rsidRDefault="008D479B" w:rsidP="008D479B">
      <w:pPr>
        <w:pStyle w:val="TextoNormal"/>
      </w:pPr>
    </w:p>
    <w:p w14:paraId="0B967258" w14:textId="77777777" w:rsidR="008D479B" w:rsidRDefault="008D479B" w:rsidP="008D479B">
      <w:pPr>
        <w:pStyle w:val="TextoNormal"/>
      </w:pPr>
      <w:r>
        <w:t>No existe contradicción en la jurisprudencia del Tribunal Supremo, pues las SSTS 1/2020, de 9 de enero, y 10/2020, de 14 de enero, parten de la premisa de la existencia de licencias vacantes, presupuesto que no concurre en la sentencia cuestionada.</w:t>
      </w:r>
    </w:p>
    <w:p w14:paraId="0580B494" w14:textId="77777777" w:rsidR="008D479B" w:rsidRDefault="008D479B" w:rsidP="008D479B">
      <w:pPr>
        <w:pStyle w:val="TextoNormal"/>
      </w:pPr>
    </w:p>
    <w:p w14:paraId="44B5A238" w14:textId="77777777" w:rsidR="008D479B" w:rsidRDefault="008D479B" w:rsidP="008D479B">
      <w:pPr>
        <w:pStyle w:val="TextoNormal"/>
      </w:pPr>
      <w:r>
        <w:t>Tampoco puede apreciarse la quiebra del principio de irretroactividad al no afectarse a derechos adquiridos y consolidados (SSTC 51/2018, de 10 de mayo, y 9/2019, de 17 de enero), pues no existen licencias integradas en el acervo del recurrente. Este solicita el concurso, transcurridos más de ocho años desde que entró en vigor la LGCA. Se trata, por tanto, de una retroactividad impropia, constitucionalmente admitida (SSTC 30/2016, de 18 de febrero, y 29/2018, de 8 de marzo).</w:t>
      </w:r>
    </w:p>
    <w:p w14:paraId="7F80EAEA" w14:textId="77777777" w:rsidR="008D479B" w:rsidRDefault="008D479B" w:rsidP="008D479B">
      <w:pPr>
        <w:pStyle w:val="TextoNormal"/>
      </w:pPr>
    </w:p>
    <w:p w14:paraId="68E39062" w14:textId="77777777" w:rsidR="008D479B" w:rsidRDefault="008D479B" w:rsidP="008D479B">
      <w:pPr>
        <w:pStyle w:val="TextoNormal"/>
      </w:pPr>
      <w:r>
        <w:t>Considera que el principio de igualdad (art. 14 CE) tampoco ha sufrido menoscabo, pues no existe término válido de comparación con otras comunidades autónomas (Extremadura, Navarra, Madrid, Galicia, Castilla la Mancha, Castilla y León, Aragón) que han sacado a concurso licencias disponibles correspondientes al servicio de comunicación audiovisual de radiodifusión sonora digital terrenal, pues en la Comunidad Autónoma de La Rioja no existían licencias disponibles, constatándose esa indisponibilidad también en la Comunidad Autónoma de Asturias.</w:t>
      </w:r>
    </w:p>
    <w:p w14:paraId="5B97FA5C" w14:textId="77777777" w:rsidR="008D479B" w:rsidRDefault="008D479B" w:rsidP="008D479B">
      <w:pPr>
        <w:pStyle w:val="TextoNormal"/>
      </w:pPr>
    </w:p>
    <w:p w14:paraId="609CF34D" w14:textId="06F3E3FE" w:rsidR="008D479B" w:rsidRDefault="008D479B" w:rsidP="008D479B">
      <w:pPr>
        <w:pStyle w:val="TextoNormal"/>
      </w:pPr>
      <w:r>
        <w:t>Finalmente descarta que la actuación del consejero de Administración Pública y Hacienda del Gobierno de La Rioja haya vulnerado el art. 20 CE, pues se ha ajustado en el ejercicio de una potestad reglada a los parámetros normativos existentes, debiendo ajustarse el ejercicio de tales derechos, no obstante su importancia, a determinados límites técnicos que quedan dentro de la competencia del Estado quien habrá de regular el soporte o instrumento del cual la radio y la televisión se sirven —las ondas radioeléctricas, hertzianas o electromagnéticas—. Dicho dominio es susceptible de distintos usos para otros tipos de comunicaciones que se efectúan también mediante ondas radioeléctricas y distintas de la radiodifusión. Esa es la razón por la cual es menester una ordenación unitaria del problema mediante la asignación de frecuencias y potencias para cada uno de los usos, en cumplimiento de la disciplina internacional del tema, así como la previsión de otros problemas como puede ser la evitación de interferencias (SSTC 5/2012, de 17 de enero, y 244/1993, de 15 de julio). Siendo conceptualmente distintos los derechos de los ciudadanos a expresarse libremente y a transmitir y recibir información veraz en radiodifusión —sustancialmente unos derechos de libertad— y los instrumentos técnicos o ámbito de la realidad social en el cual tales derechos a través de la radiodifusión se proyectan y en los cuales dichos derechos se ejercen, que reclaman —por su misma naturaleza— una detallada regulación estatal, entre otras razones para posibilitar su ejercicio en condiciones de igualdad y no interferir otros usos del dominio público radioeléctrico (STC 127/1994, de 5 de mayo).</w:t>
      </w:r>
    </w:p>
    <w:p w14:paraId="6655ECC8" w14:textId="77777777" w:rsidR="008D479B" w:rsidRDefault="008D479B" w:rsidP="008D479B">
      <w:pPr>
        <w:pStyle w:val="TextoNormal"/>
      </w:pPr>
    </w:p>
    <w:p w14:paraId="360A3C14" w14:textId="41AFA5DB" w:rsidR="008D479B" w:rsidRDefault="008D479B" w:rsidP="008D479B">
      <w:pPr>
        <w:pStyle w:val="TextoNormal"/>
      </w:pPr>
      <w:r w:rsidRPr="008D479B">
        <w:rPr>
          <w:rStyle w:val="NumeroAFNegritaCaracter"/>
        </w:rPr>
        <w:t>7</w:t>
      </w:r>
      <w:r>
        <w:t>. La demandante de amparo presentó sus alegaciones mediante escrito registrado en este tribunal el 24 de enero de 2021 en el que reiteraba los argumentos expuestos en el recurso.</w:t>
      </w:r>
    </w:p>
    <w:p w14:paraId="1A8740FB" w14:textId="77777777" w:rsidR="008D479B" w:rsidRDefault="008D479B" w:rsidP="008D479B">
      <w:pPr>
        <w:pStyle w:val="TextoNormal"/>
      </w:pPr>
    </w:p>
    <w:p w14:paraId="65F6996D" w14:textId="77777777" w:rsidR="008D479B" w:rsidRDefault="008D479B" w:rsidP="008D479B">
      <w:pPr>
        <w:pStyle w:val="TextoNormal"/>
      </w:pPr>
      <w:r w:rsidRPr="008D479B">
        <w:rPr>
          <w:rStyle w:val="NumeroAFNegritaCaracter"/>
        </w:rPr>
        <w:t>8</w:t>
      </w:r>
      <w:r>
        <w:t>. El Ministerio Fiscal presentó sus alegaciones mediante escrito registrado el 3 de febrero de 2023 en el que solicita la desestimación del recurso de amparo.</w:t>
      </w:r>
    </w:p>
    <w:p w14:paraId="0FD45C63" w14:textId="77777777" w:rsidR="008D479B" w:rsidRDefault="008D479B" w:rsidP="008D479B">
      <w:pPr>
        <w:pStyle w:val="TextoNormal"/>
      </w:pPr>
    </w:p>
    <w:p w14:paraId="3C3AAE6D" w14:textId="77777777" w:rsidR="008D479B" w:rsidRDefault="008D479B" w:rsidP="008D479B">
      <w:pPr>
        <w:pStyle w:val="TextoNormal"/>
      </w:pPr>
      <w:r>
        <w:t>En primer lugar, descarta que se haya producido una vulneración del art. 14 CE, al no existir el término válido de comparación exigido para que se produzca la vulneración, pues no se han dictado las resoluciones por los mismos órganos, ni en el caso del reproche dirigido al Tribunal Supremo concurre la identidad de supuestos exigida.</w:t>
      </w:r>
    </w:p>
    <w:p w14:paraId="381D8CA7" w14:textId="77777777" w:rsidR="008D479B" w:rsidRDefault="008D479B" w:rsidP="008D479B">
      <w:pPr>
        <w:pStyle w:val="TextoNormal"/>
      </w:pPr>
    </w:p>
    <w:p w14:paraId="1E59CF42" w14:textId="77777777" w:rsidR="008D479B" w:rsidRDefault="008D479B" w:rsidP="008D479B">
      <w:pPr>
        <w:pStyle w:val="TextoNormal"/>
      </w:pPr>
      <w:r>
        <w:t>Por otra parte, con cita de las SSTC 12/1982, de 31 de marzo, y 31/1994, de 31 de enero, descarta la vulneración del art. 20.1 a) y d) CE al existir una regulación normativa que establece el marco temporal de reserva del espacio radioeléctrico a los efectos de convocar los correspondientes concursos. Corresponde al legislador una mayor libertad de configuración normativa para disciplinar los soportes técnicos e instrumentos de comunicación, que la que posee al ordenar directamente los derechos fundamentales del art. 20.1 CE (SSTC 127/1994, de 5 de mayo, FFJJ 4 y 5; 329/2005, de 15 de diciembre, FFJJ 4 y 9, y 112/2006, de 5 de abril, FJ 3). De este modo las resoluciones administrativas y las sentencias que aplican la regulación establecida en este ámbito difícilmente pueden lesionar los derechos invocados.</w:t>
      </w:r>
    </w:p>
    <w:p w14:paraId="63103369" w14:textId="77777777" w:rsidR="008D479B" w:rsidRDefault="008D479B" w:rsidP="008D479B">
      <w:pPr>
        <w:pStyle w:val="TextoNormal"/>
      </w:pPr>
    </w:p>
    <w:p w14:paraId="6750606E" w14:textId="7F7325CC" w:rsidR="008D479B" w:rsidRDefault="008D479B" w:rsidP="008D479B">
      <w:pPr>
        <w:pStyle w:val="TextoNormal"/>
      </w:pPr>
      <w:r>
        <w:t xml:space="preserve">Finalmente, considera que las resoluciones del Tribunal Europeo de Derechos Humanos citadas no son aplicables por tratarse de decisiones de inadmisión o, en el caso de la STEDH de 20 de octubre de 1997, asunto </w:t>
      </w:r>
      <w:r w:rsidRPr="008D479B">
        <w:rPr>
          <w:i/>
        </w:rPr>
        <w:t>ABC c. Austria</w:t>
      </w:r>
      <w:r>
        <w:t>, toda la actividad se subordinaba a una concesión del legislador federal que no se produjo, situación que se mantuvo durante tres periodos de tiempo, supuesto distinto al contemplado en la regulación española.</w:t>
      </w:r>
    </w:p>
    <w:p w14:paraId="2193D754" w14:textId="77777777" w:rsidR="008D479B" w:rsidRDefault="008D479B" w:rsidP="008D479B">
      <w:pPr>
        <w:pStyle w:val="TextoNormal"/>
      </w:pPr>
    </w:p>
    <w:p w14:paraId="20D62CA3" w14:textId="537B266E" w:rsidR="008D479B" w:rsidRDefault="008D479B" w:rsidP="008D479B">
      <w:pPr>
        <w:pStyle w:val="TextoNormal"/>
      </w:pPr>
      <w:r w:rsidRPr="008D479B">
        <w:rPr>
          <w:rStyle w:val="NumeroAFNegritaCaracter"/>
        </w:rPr>
        <w:t>9</w:t>
      </w:r>
      <w:r>
        <w:t>. Por providencia de 18 de julio de 2023 se señaló ese mismo día para la deliberación y votación de la presente sentencia.</w:t>
      </w:r>
    </w:p>
    <w:p w14:paraId="227D86A3" w14:textId="77777777" w:rsidR="008D479B" w:rsidRDefault="008D479B" w:rsidP="008D479B">
      <w:pPr>
        <w:pStyle w:val="TextoNormal"/>
      </w:pPr>
    </w:p>
    <w:p w14:paraId="4EA7399C" w14:textId="77777777" w:rsidR="008D479B" w:rsidRDefault="008D479B" w:rsidP="008D479B">
      <w:pPr>
        <w:pStyle w:val="TextoNormalNegritaCentrado"/>
        <w:keepNext/>
      </w:pPr>
      <w:r>
        <w:t>II. Fundamentos jurídicos</w:t>
      </w:r>
    </w:p>
    <w:p w14:paraId="34AF502C" w14:textId="44A37AB5" w:rsidR="008D479B" w:rsidRDefault="008D479B" w:rsidP="008D479B">
      <w:pPr>
        <w:pStyle w:val="TextoNormalNegritaCentrado"/>
        <w:keepNext/>
      </w:pPr>
    </w:p>
    <w:p w14:paraId="63574D98" w14:textId="77777777" w:rsidR="008D479B" w:rsidRDefault="008D479B" w:rsidP="008D479B">
      <w:pPr>
        <w:pStyle w:val="TextoNormal"/>
      </w:pPr>
      <w:r w:rsidRPr="008D479B">
        <w:rPr>
          <w:rStyle w:val="NumeroAFNegritaCaracter"/>
        </w:rPr>
        <w:t>1</w:t>
      </w:r>
      <w:r>
        <w:t xml:space="preserve">. </w:t>
      </w:r>
      <w:r w:rsidRPr="008D479B">
        <w:rPr>
          <w:i/>
        </w:rPr>
        <w:t>Objeto de la demanda y posiciones de las partes</w:t>
      </w:r>
    </w:p>
    <w:p w14:paraId="2BDCEE7D" w14:textId="77777777" w:rsidR="008D479B" w:rsidRDefault="008D479B" w:rsidP="008D479B">
      <w:pPr>
        <w:pStyle w:val="TextoNormal"/>
      </w:pPr>
    </w:p>
    <w:p w14:paraId="2C7BF7D0" w14:textId="77777777" w:rsidR="008D479B" w:rsidRDefault="008D479B" w:rsidP="008D479B">
      <w:pPr>
        <w:pStyle w:val="TextoNormal"/>
      </w:pPr>
      <w:r>
        <w:t>La entidad recurrente dirige su pretensión de amparo contra las resoluciones de la Consejería de Administración Pública y Hacienda del Gobierno de La Rioja que denegaron la solicitud de convocatoria del correspondiente concurso de licencias de comunicación audiovisual, que a juicio de la recurrente se encontraban disponibles y vacantes —conforme al art. 27 de la Ley 7/2010, de 31 de marzo, general de la comunicación audiovisual (LGCA)—, correspondientes al servicio de comunicación audiovisual de radiodifusión sonora digital terrenal, con cobertura local, integradas en los tres bloques de frecuencias asignadas a la Comunidad Autónoma de La Rioja.</w:t>
      </w:r>
    </w:p>
    <w:p w14:paraId="3EDB5D57" w14:textId="77777777" w:rsidR="008D479B" w:rsidRDefault="008D479B" w:rsidP="008D479B">
      <w:pPr>
        <w:pStyle w:val="TextoNormal"/>
      </w:pPr>
    </w:p>
    <w:p w14:paraId="71B5F490" w14:textId="77777777" w:rsidR="008D479B" w:rsidRDefault="008D479B" w:rsidP="008D479B">
      <w:pPr>
        <w:pStyle w:val="TextoNormal"/>
      </w:pPr>
      <w:r>
        <w:t>La recurrente, según se expresa con más detalle en los antecedentes de hecho de esta resolución, imputa a las resoluciones administrativas recurridas: (i) la vulneración de los derechos de libertad de expresión e información [art. 20.1 a) y d) CE] en relación con el derecho a la igualdad (art. 14 CE), por haber incumplido el deber de convocar el concurso de licencias referido. Afirma que otras comunidades autónomas han procedido a efectuar los concursos de licencias más allá del plazo establecido en el art. 27.4 LGCA y considera que esta es una norma restrictiva de derechos individuales, en el sentido del referido artículo 9.3 CE, al establecer una retroactividad auténtica prohibida por la Constitución. Finalmente, atribuye esta vulneración también al Tribunal Supremo al que reprocha que ha contradicho sus propios pronunciamientos; y (ii) la vulneración de su derecho a la igualdad en la aplicación judicial de la ley (art. 14 CE), pues la dispar interpretación efectuada por las distintas comunidades autónomas del art. 27.4 LGCA lesiona —a juicio de la entidad recurrente— el art. 14 CE.</w:t>
      </w:r>
    </w:p>
    <w:p w14:paraId="3F1F4EEE" w14:textId="77777777" w:rsidR="008D479B" w:rsidRDefault="008D479B" w:rsidP="008D479B">
      <w:pPr>
        <w:pStyle w:val="TextoNormal"/>
      </w:pPr>
    </w:p>
    <w:p w14:paraId="6E895399" w14:textId="2BD34DED" w:rsidR="008D479B" w:rsidRDefault="008D479B" w:rsidP="008D479B">
      <w:pPr>
        <w:pStyle w:val="TextoNormal"/>
      </w:pPr>
      <w:r>
        <w:t>Por su parte, la Comunidad Autónoma de La Rioja y el Ministerio Fiscal solicitan la desestimación de la demanda de amparo al entender que no se han vulnerado los derechos invocados por la recurrente. Razonan sustancialmente que la premisa de la que parte la demandante de amparo es errónea, pues la reserva del dominio público radioeléctrico ha decaído y no existen licencias disponibles o vacantes conforme al art. 27.4 LGCA. Niegan que exista contradicción en los pronunciamientos del Tribunal Supremo y que pueda apreciarse la quiebra del principio de irretroactividad al no afectarse a derechos adquiridos y consolidados. Finalmente consideran que el principio de igualdad tampoco ha sufrido menoscabo pues no existe término válido de comparación con otras comunidades autónomas.</w:t>
      </w:r>
    </w:p>
    <w:p w14:paraId="028DE6AD" w14:textId="77777777" w:rsidR="008D479B" w:rsidRDefault="008D479B" w:rsidP="008D479B">
      <w:pPr>
        <w:pStyle w:val="TextoNormal"/>
      </w:pPr>
    </w:p>
    <w:p w14:paraId="3F9FDE81" w14:textId="77777777" w:rsidR="008D479B" w:rsidRDefault="008D479B" w:rsidP="008D479B">
      <w:pPr>
        <w:pStyle w:val="TextoNormal"/>
      </w:pPr>
      <w:r w:rsidRPr="008D479B">
        <w:rPr>
          <w:rStyle w:val="NumeroAFNegritaCaracter"/>
        </w:rPr>
        <w:t>2</w:t>
      </w:r>
      <w:r>
        <w:t xml:space="preserve">. </w:t>
      </w:r>
      <w:r w:rsidRPr="008D479B">
        <w:rPr>
          <w:i/>
        </w:rPr>
        <w:t>Ámbito del recurso de amparo y vulneración del principio de igualdad</w:t>
      </w:r>
    </w:p>
    <w:p w14:paraId="5B346242" w14:textId="77777777" w:rsidR="008D479B" w:rsidRDefault="008D479B" w:rsidP="008D479B">
      <w:pPr>
        <w:pStyle w:val="TextoNormal"/>
      </w:pPr>
    </w:p>
    <w:p w14:paraId="3B02E710" w14:textId="77777777" w:rsidR="008D479B" w:rsidRDefault="008D479B" w:rsidP="008D479B">
      <w:pPr>
        <w:pStyle w:val="TextoNormal"/>
      </w:pPr>
      <w:r>
        <w:t xml:space="preserve">a) </w:t>
      </w:r>
      <w:r w:rsidRPr="008D479B">
        <w:rPr>
          <w:i/>
        </w:rPr>
        <w:t>Ámbito del recurso de amparo</w:t>
      </w:r>
    </w:p>
    <w:p w14:paraId="02A03F97" w14:textId="77777777" w:rsidR="008D479B" w:rsidRDefault="008D479B" w:rsidP="008D479B">
      <w:pPr>
        <w:pStyle w:val="TextoNormal"/>
      </w:pPr>
    </w:p>
    <w:p w14:paraId="77B1F28C" w14:textId="77777777" w:rsidR="008D479B" w:rsidRDefault="008D479B" w:rsidP="008D479B">
      <w:pPr>
        <w:pStyle w:val="TextoNormal"/>
      </w:pPr>
      <w:r>
        <w:t>La mercantil recurrente en amparo, con sustento en la invocación de los arts. 20.1 a) y d) y 14 CE, introduce dos alegaciones nuevas, no contenidas en el recurso de alzada ni aducidas en el procedimiento contencioso-administrativo, que desbordan la naturaleza y el objeto del recurso de amparo.</w:t>
      </w:r>
    </w:p>
    <w:p w14:paraId="6AAB6151" w14:textId="77777777" w:rsidR="008D479B" w:rsidRDefault="008D479B" w:rsidP="008D479B">
      <w:pPr>
        <w:pStyle w:val="TextoNormal"/>
      </w:pPr>
    </w:p>
    <w:p w14:paraId="46E241C6" w14:textId="77777777" w:rsidR="008D479B" w:rsidRDefault="008D479B" w:rsidP="008D479B">
      <w:pPr>
        <w:pStyle w:val="TextoNormal"/>
      </w:pPr>
      <w:r>
        <w:t xml:space="preserve">En primer lugar, cuestiona la constitucionalidad del art. 27.4 LGCA al considerarlo una norma restrictiva de derechos individuales, en el sentido del referido art. 9.3 CE por establecer una retroactividad auténtica prohibida por la Constitución. Sin embargo, ante la administración y la jurisdicción ordinaria fundamentó su solicitud y sus recursos en que la LGCA amparaba su pretensión de convocatoria de concurso y planteó, únicamente y por vez primera en la oposición al recurso de casación, la imposibilidad de aplicación del art. 27.4 LGCA —que ni tan siquiera entonces fue cuestionado— a los planes aprobados con anterioridad a su entrada en vigor, pretensión que fue rechazada en la sentencia del Tribunal Supremo. Dicha infracción constitucional no puede ser abordada en el marco del recurso de amparo. Debe indicarse, por una parte, que la vía del recurso de amparo no es la adecuada para la impugnación directa de las leyes (STC 31/1994, de 31 de enero, FJ 4) y, por otra, que el art. 9.3 CE no consagra un derecho fundamental susceptible de recurso de amparo </w:t>
      </w:r>
      <w:r w:rsidRPr="008D479B">
        <w:rPr>
          <w:i/>
        </w:rPr>
        <w:t>ex</w:t>
      </w:r>
      <w:r>
        <w:t xml:space="preserve"> art. 53.2 CE (por todas, STC 261/2015, de 14 de diciembre, FJ 4).</w:t>
      </w:r>
    </w:p>
    <w:p w14:paraId="7A670C73" w14:textId="77777777" w:rsidR="008D479B" w:rsidRDefault="008D479B" w:rsidP="008D479B">
      <w:pPr>
        <w:pStyle w:val="TextoNormal"/>
      </w:pPr>
    </w:p>
    <w:p w14:paraId="1D1F3705" w14:textId="77777777" w:rsidR="008D479B" w:rsidRDefault="008D479B" w:rsidP="008D479B">
      <w:pPr>
        <w:pStyle w:val="TextoNormal"/>
      </w:pPr>
      <w:r>
        <w:t>En segundo lugar, cuestiona el proceder del Tribunal Supremo, a quien le reprocha que ha contradicho sus propios pronunciamientos. Pero plantea dicho reproche en la demanda de amparo sin haber interpuesto el incidente de nulidad de actuaciones, por lo que no se ha dado la oportunidad al órgano judicial de repararla. Tal omisión vulnera el carácter subsidiario del recurso de amparo, impidiendo también que nos pronunciemos sobre este aspecto de la referida vulneración, al no haberse agotado por la parte recurrente el remedio procesal legalmente previsto para tratar de obtener ante la jurisdicción ordinaria la reparación de las lesiones presuntamente sufridas [art. 44.1 a) LOTC y, por todas, STC 104/2011, de 20 de junio, FJ 4].</w:t>
      </w:r>
    </w:p>
    <w:p w14:paraId="5FA2EAFF" w14:textId="77777777" w:rsidR="008D479B" w:rsidRDefault="008D479B" w:rsidP="008D479B">
      <w:pPr>
        <w:pStyle w:val="TextoNormal"/>
      </w:pPr>
    </w:p>
    <w:p w14:paraId="4354FC96" w14:textId="77777777" w:rsidR="008D479B" w:rsidRDefault="008D479B" w:rsidP="008D479B">
      <w:pPr>
        <w:pStyle w:val="TextoNormal"/>
      </w:pPr>
      <w:r>
        <w:t xml:space="preserve">b) </w:t>
      </w:r>
      <w:r w:rsidRPr="008D479B">
        <w:rPr>
          <w:i/>
        </w:rPr>
        <w:t>Vulneración del principio de igualdad</w:t>
      </w:r>
    </w:p>
    <w:p w14:paraId="5480764F" w14:textId="77777777" w:rsidR="008D479B" w:rsidRDefault="008D479B" w:rsidP="008D479B">
      <w:pPr>
        <w:pStyle w:val="TextoNormal"/>
      </w:pPr>
    </w:p>
    <w:p w14:paraId="5F50B603" w14:textId="77777777" w:rsidR="008D479B" w:rsidRDefault="008D479B" w:rsidP="008D479B">
      <w:pPr>
        <w:pStyle w:val="TextoNormal"/>
      </w:pPr>
      <w:r>
        <w:t>La mercantil demandante de amparo considera vulnerado el principio de igualdad bien en relación con la libertad de expresión e información, bien como motivo autónomo, con base en un mismo fundamento: la disparidad de criterios de interpretación y aplicación del art. 27.4 LGCA por las diferentes comunidades autónomas. Dicha queja no puede prosperar al no existir término válido de comparación. El distinto entendimiento de la norma aplicada no procede de la misma administración autonómica, sino de distintas comunidades autónomas en función de una diferente apreciación jurídica de la norma estatal aplicada que, en su caso, podrá ser corregida o confirmada en virtud de los correspondientes recursos contencioso-administrativos legalmente establecidos. En última instancia se atribuye —como es sabido— al Tribunal Supremo, la formación de jurisprudencia. Así ha sucedido en el presente caso, pues ante cuestiones que eventualmente podían ser sustancialmente iguales, existía una interpretación contradictoria de las normas de Derecho estatal en las que se fundamentaba el fallo de las distintas sentencias de los tribunales superiores de justicia (art. 86.3 de la Ley 29/1998, de 13 de julio, reguladora de la jurisdicción contencioso-administrativa).</w:t>
      </w:r>
    </w:p>
    <w:p w14:paraId="1ED92055" w14:textId="77777777" w:rsidR="008D479B" w:rsidRDefault="008D479B" w:rsidP="008D479B">
      <w:pPr>
        <w:pStyle w:val="TextoNormal"/>
      </w:pPr>
    </w:p>
    <w:p w14:paraId="06E649EF" w14:textId="77777777" w:rsidR="008D479B" w:rsidRDefault="008D479B" w:rsidP="008D479B">
      <w:pPr>
        <w:pStyle w:val="TextoNormal"/>
      </w:pPr>
      <w:r>
        <w:t>En tal sentido, debe recordarse que la STC 49/1982, de 14 de julio, determinó la extensión del principio de igualdad en la aplicación de la Ley, concretando su ámbito de aplicación con respecto a los tribunales, señalando que sirve únicamente para vincular a los propios precedentes de cada tribunal u órgano jurisdiccional. No sirve, en cambio, para conseguir una interpretación y aplicación homogénea de la Ley por todos los tribunales. Esta última es la función propia de la jurisprudencia, como doctrina reiterada del Tribunal Supremo, que viene a complementar el ordenamiento jurídico.</w:t>
      </w:r>
    </w:p>
    <w:p w14:paraId="170CE93D" w14:textId="77777777" w:rsidR="008D479B" w:rsidRDefault="008D479B" w:rsidP="008D479B">
      <w:pPr>
        <w:pStyle w:val="TextoNormal"/>
      </w:pPr>
    </w:p>
    <w:p w14:paraId="147A5C6A" w14:textId="20BFF6CE" w:rsidR="008D479B" w:rsidRDefault="008D479B" w:rsidP="008D479B">
      <w:pPr>
        <w:pStyle w:val="TextoNormal"/>
      </w:pPr>
      <w:r>
        <w:t>Así resulta del párrafo tercero del fundamento jurídico segundo de la mencionada sentencia de este tribunal: “La regla general de la igualdad ante la Ley contenida en el art. 14 de la Constitución contempla, en primer lugar, la igualdad en el trato dado por la Ley o igualdad en la Ley y constituye desde este punto de vista un límite puesto al ejercicio del poder legislativo, pero es asimismo igualdad en la aplicación de la Ley, lo que impone que un mismo órgano no puede modificar arbitrariamente el sentido de sus decisiones en casos sustancialmente iguales y que cuando el órgano en cuestión considere que debe apartarse de sus precedentes tiene que ofrecer para ello una fundamentación suficiente y razonable. Distinto es el problema de la igualdad en la aplicación de la Ley cuando esta no se refiere a un único órgano, sino a órganos plurales. Para tales casos, la institución que realiza el principio de igualdad y a través de la que se busca la uniformidad, es la jurisprudencia, encomendada a órganos jurisdiccionales de superior rango, porque el principio de igualdad en la aplicación de la Ley tiene necesariamente que cohonestarse con el principio de independencia de los órganos encargados de la aplicación de la Ley cuando estos son órganos jurisdiccionales” (STC 49/1982, FJ 2).</w:t>
      </w:r>
    </w:p>
    <w:p w14:paraId="6F950931" w14:textId="77777777" w:rsidR="008D479B" w:rsidRDefault="008D479B" w:rsidP="008D479B">
      <w:pPr>
        <w:pStyle w:val="TextoNormal"/>
      </w:pPr>
    </w:p>
    <w:p w14:paraId="42CACC39" w14:textId="77777777" w:rsidR="008D479B" w:rsidRDefault="008D479B" w:rsidP="008D479B">
      <w:pPr>
        <w:pStyle w:val="TextoNormal"/>
      </w:pPr>
      <w:r w:rsidRPr="008D479B">
        <w:rPr>
          <w:rStyle w:val="NumeroAFNegritaCaracter"/>
        </w:rPr>
        <w:t>3</w:t>
      </w:r>
      <w:r>
        <w:t xml:space="preserve">. </w:t>
      </w:r>
      <w:r w:rsidRPr="008D479B">
        <w:rPr>
          <w:i/>
        </w:rPr>
        <w:t>La legislación sobre comunicación audiovisual y los derechos contenidos en el art. 20.1 a) y d) CE</w:t>
      </w:r>
    </w:p>
    <w:p w14:paraId="7EF0F15F" w14:textId="77777777" w:rsidR="008D479B" w:rsidRDefault="008D479B" w:rsidP="008D479B">
      <w:pPr>
        <w:pStyle w:val="TextoNormal"/>
      </w:pPr>
    </w:p>
    <w:p w14:paraId="7786B072" w14:textId="77777777" w:rsidR="008D479B" w:rsidRDefault="008D479B" w:rsidP="008D479B">
      <w:pPr>
        <w:pStyle w:val="TextoNormal"/>
      </w:pPr>
      <w:r>
        <w:t>Una vez aclarado el objeto del recurso de amparo y descartada la vulneración del principio de igualdad, procede abordar el núcleo de la problemática constitucional que se nos plantea, esto es, si la denegación de la convocatoria de concurso por la administración autonómica con fundamento en el art. 27 LGCA es contraria a los derechos invocados. Antes de entrar a resolverla, es preciso que nos detengamos en efectuar algunas consideraciones respecto del contenido de la LGCA, para posteriormente examinar de qué modo la planificación o concesión de licencias puede alcanzar el ejercicio de los derechos previstos en el art. 20.1 a) y d) CE y así finalmente estaremos en condiciones de abordar si las resoluciones administrativas han vulnerado el derecho invocado.</w:t>
      </w:r>
    </w:p>
    <w:p w14:paraId="0162584B" w14:textId="77777777" w:rsidR="008D479B" w:rsidRDefault="008D479B" w:rsidP="008D479B">
      <w:pPr>
        <w:pStyle w:val="TextoNormal"/>
      </w:pPr>
    </w:p>
    <w:p w14:paraId="5BF158A0" w14:textId="77777777" w:rsidR="008D479B" w:rsidRDefault="008D479B" w:rsidP="008D479B">
      <w:pPr>
        <w:pStyle w:val="TextoNormal"/>
      </w:pPr>
      <w:r>
        <w:t xml:space="preserve">A) </w:t>
      </w:r>
      <w:r w:rsidRPr="008D479B">
        <w:rPr>
          <w:i/>
        </w:rPr>
        <w:t>Objetivo de la LGCA y condiciones para realizar el servicio de comunicación audiovisual</w:t>
      </w:r>
    </w:p>
    <w:p w14:paraId="781F247C" w14:textId="77777777" w:rsidR="008D479B" w:rsidRDefault="008D479B" w:rsidP="008D479B">
      <w:pPr>
        <w:pStyle w:val="TextoNormal"/>
      </w:pPr>
    </w:p>
    <w:p w14:paraId="197FD831" w14:textId="77777777" w:rsidR="008D479B" w:rsidRDefault="008D479B" w:rsidP="008D479B">
      <w:pPr>
        <w:pStyle w:val="TextoNormal"/>
      </w:pPr>
      <w:r>
        <w:t>Uno de los objetivos declarados de la Ley —que ha sido derogada por la disposición derogatoria única, apartado 1 b), de la Ley 13/2022, de 7 de julio, general de comunicación audiovisual (en adelante LGCA 2022)— es el de superar una “normativa vigente, alejada de la realidad”, “una legislación audiovisual dispersa, incompleta, a veces desfasada y obsoleta, con grandes carencias para adaptarse a los tiempos”. Y ello con la misión de “dar seguridad jurídica a la industria” “garantizando también, el pluralismo y la protección de los derechos ciudadanos; al mismo tiempo que se fijan unas reglas de transparencia y competencia claras en un contexto de convivencia del sector público con el privado y de liberalización de la actividad audiovisual”.</w:t>
      </w:r>
    </w:p>
    <w:p w14:paraId="7E55245F" w14:textId="77777777" w:rsidR="008D479B" w:rsidRDefault="008D479B" w:rsidP="008D479B">
      <w:pPr>
        <w:pStyle w:val="TextoNormal"/>
      </w:pPr>
    </w:p>
    <w:p w14:paraId="078C10A0" w14:textId="77777777" w:rsidR="008D479B" w:rsidRDefault="008D479B" w:rsidP="008D479B">
      <w:pPr>
        <w:pStyle w:val="TextoNormal"/>
      </w:pPr>
      <w:r>
        <w:t>La LGCA supone por tanto una importante transformación del panorama audiovisual en un sentido liberalizador, pasando de un sistema concesional a un sistema de libertad, solo limitado por razones técnicas en el caso de la utilización del espectro radioeléctrico por ondas hertzianas, o en términos más actuales por ondas electromagnéticas (art. 3 del Real Decreto 123/2017, de 24 de febrero, por el que se aprueba el Reglamento sobre el uso del dominio público radioeléctrico).</w:t>
      </w:r>
    </w:p>
    <w:p w14:paraId="2FD318C3" w14:textId="77777777" w:rsidR="008D479B" w:rsidRDefault="008D479B" w:rsidP="008D479B">
      <w:pPr>
        <w:pStyle w:val="TextoNormal"/>
      </w:pPr>
    </w:p>
    <w:p w14:paraId="1157661D" w14:textId="77777777" w:rsidR="008D479B" w:rsidRDefault="008D479B" w:rsidP="008D479B">
      <w:pPr>
        <w:pStyle w:val="TextoNormal"/>
      </w:pPr>
      <w:r>
        <w:t>La ley reconoce que los servicios de comunicación audiovisual radiofónicos, televisivos y conexos e interactivos son servicios de interés general que se prestan en el ejercicio de los derechos fundamentales y dentro del fomento de la igualdad, la pluralidad y los valores democráticos (art. 22.1 LGCA y art. 4.1 del Decreto 64/2012, de 9 de noviembre, por el que se regulan los servicios de comunicación audiovisual y el registro de prestadores en el ámbito de la Comunidad Autónoma de La Rioja). La LGCA distingue los servicios de comunicación que no están condicionados por insuficiencia o escasez alguna y solo exigen una previa comunicación fehaciente (art. 22.2 LGCA) de aquellos servicios de comunicación que utilizan el espectro radioeléctrico. Este se caracteriza —aunque luego se abundará en ello— por su escasez técnica al ser limitadas —en el estado actual de la ciencia— las posibilidades de uso simultáneo de ondas electromagnéticas sin interferencias. Precisamente por ello necesitan una previa planificación establecida por el Estado y una licencia otorgada mediante concurso, que por dicha razón no podrá ser obtenida por todos aquellos que la soliciten (art. 22.3 LGCA).</w:t>
      </w:r>
    </w:p>
    <w:p w14:paraId="353BBF0A" w14:textId="77777777" w:rsidR="008D479B" w:rsidRDefault="008D479B" w:rsidP="008D479B">
      <w:pPr>
        <w:pStyle w:val="TextoNormal"/>
      </w:pPr>
    </w:p>
    <w:p w14:paraId="76D883D7" w14:textId="77777777" w:rsidR="008D479B" w:rsidRDefault="008D479B" w:rsidP="008D479B">
      <w:pPr>
        <w:pStyle w:val="TextoNormal"/>
      </w:pPr>
      <w:r>
        <w:t>La LGCA regula los concursos para la concesión de licencias de prestación de servicios audiovisuales conforme a determinados principios que la inspiran. En el art. 27 LGCA se establecen un conjunto de reglas. Nos detendremos en los apartados 2 y 5 de este precepto, que son aquellos sobre los cuales la mercantil recurrente apoyó en vía administrativa y contencioso-administrativa su pretensión. A ellos añadiremos el examen de su apartado 4, que es el que motiva la denegación de la solicitud de convocatoria del correspondiente concurso de licencias de comunicación audiovisual.</w:t>
      </w:r>
    </w:p>
    <w:p w14:paraId="17ED6B9E" w14:textId="77777777" w:rsidR="008D479B" w:rsidRDefault="008D479B" w:rsidP="008D479B">
      <w:pPr>
        <w:pStyle w:val="TextoNormal"/>
      </w:pPr>
    </w:p>
    <w:p w14:paraId="1E5068B8" w14:textId="77777777" w:rsidR="008D479B" w:rsidRDefault="008D479B" w:rsidP="008D479B">
      <w:pPr>
        <w:pStyle w:val="TextoNormal"/>
      </w:pPr>
      <w:r>
        <w:t>Dispone el art. 27.2 LGCA —de constante y parcial cita por la recurrente— que las licencias disponibles de la misma naturaleza e idéntico ámbito de cobertura deberán ofrecerse de forma simultánea “y previa confirmación de existencia de espacio radioeléctrico suficiente”. Por una parte, el legislador no ve razones para impedir el acceso al mercado si existe espacio radioeléctrico disponible e introduce al referirse a todas las licencias disponibles un mandato de optimización de la administración de recursos técnicamente escasos, agotando las capacidades de utilización del recurso y correlativamente facilitando la adjudicación de la mayor cantidad de autorizaciones posibles. El único límite para el acceso es la existencia de espacio radioeléctrico suficiente, esto es, el único escollo es el estado actual de la técnica en la optimización de la utilización del espectro radioeléctrico, estado que progresivamente es superado por constantes avances tecnológicos en el campo de las telecomunicaciones.</w:t>
      </w:r>
    </w:p>
    <w:p w14:paraId="3A189723" w14:textId="77777777" w:rsidR="008D479B" w:rsidRDefault="008D479B" w:rsidP="008D479B">
      <w:pPr>
        <w:pStyle w:val="TextoNormal"/>
      </w:pPr>
    </w:p>
    <w:p w14:paraId="19E04C74" w14:textId="77777777" w:rsidR="008D479B" w:rsidRDefault="008D479B" w:rsidP="008D479B">
      <w:pPr>
        <w:pStyle w:val="TextoNormal"/>
      </w:pPr>
      <w:r>
        <w:t>Por tanto, se parte de la exigencia de una planificación radioeléctrica esencialmente técnica condicionada por los avances tecnológicos e inspirada en principios que son de general reconocimiento, entre los que destacan, a los efectos del presente amparo, los relativos a la utilización racional, equitativa, eficaz y económica del espectro de frecuencias radioeléctricas (art. 12.1 de la Constitución y Convenio de la Unión Internacional de Telecomunicaciones, hechos en Ginebra el 22 de diciembre de 1992) o en los términos utilizados por la Directiva (UE) 2018/1972 del Parlamento Europeo y del Consejo, de 11 de diciembre de 2018, por la que se establece el Código europeo de las comunicaciones electrónicas, el uso eficiente del espectro (art. 46 de la Directiva), de modo que “para evitar la creación de barreras de entrada en el mercado […] es preciso que los Estados miembros hagan cumplir de forma efectiva las condiciones asociadas a los derechos del espectro radioeléctrico […]. Entre las condiciones de aplicación debe figurar el empleo de la cláusula ‘se usan o se pierden’” (considerando núm. 122 de la Directiva).</w:t>
      </w:r>
    </w:p>
    <w:p w14:paraId="0D7B3D21" w14:textId="77777777" w:rsidR="008D479B" w:rsidRDefault="008D479B" w:rsidP="008D479B">
      <w:pPr>
        <w:pStyle w:val="TextoNormal"/>
      </w:pPr>
    </w:p>
    <w:p w14:paraId="49224B51" w14:textId="77777777" w:rsidR="008D479B" w:rsidRDefault="008D479B" w:rsidP="008D479B">
      <w:pPr>
        <w:pStyle w:val="TextoNormal"/>
      </w:pPr>
      <w:r>
        <w:t>Y, por otra parte, el art. 27.2 LGCA excluye el racionamiento de las licencias al obligar a la administración al ofrecimiento simultáneo de todas las licencias reforzando con ello los criterios objetivos, transparentes y no discriminatorios de atribución y asignación de radiofrecuencias.</w:t>
      </w:r>
    </w:p>
    <w:p w14:paraId="5A809453" w14:textId="77777777" w:rsidR="008D479B" w:rsidRDefault="008D479B" w:rsidP="008D479B">
      <w:pPr>
        <w:pStyle w:val="TextoNormal"/>
      </w:pPr>
    </w:p>
    <w:p w14:paraId="250E2B3E" w14:textId="77777777" w:rsidR="008D479B" w:rsidRDefault="008D479B" w:rsidP="008D479B">
      <w:pPr>
        <w:pStyle w:val="TextoNormal"/>
      </w:pPr>
      <w:r>
        <w:t>Solo ante la falta de interés de los operadores y transcurridos doce meses desde que se haya planificado una reserva de dominio público radioeléctrico sin que la administración competente haya solicitado su afectación al servicio público de difusión de radio y televisión, o convocado el correspondiente concurso, y sin que ningún interesado haya instado la convocatoria, dicha reserva decaerá y se excluirá automáticamente de la planificación radioeléctrica (art. 27.4 LGCA).</w:t>
      </w:r>
    </w:p>
    <w:p w14:paraId="5A99A3C8" w14:textId="77777777" w:rsidR="008D479B" w:rsidRDefault="008D479B" w:rsidP="008D479B">
      <w:pPr>
        <w:pStyle w:val="TextoNormal"/>
      </w:pPr>
    </w:p>
    <w:p w14:paraId="42469072" w14:textId="77777777" w:rsidR="008D479B" w:rsidRDefault="008D479B" w:rsidP="008D479B">
      <w:pPr>
        <w:pStyle w:val="TextoNormal"/>
      </w:pPr>
      <w:r>
        <w:t>Finalmente, el art. 27.5 LGCA se refiere al deber de convocar concurso para la adjudicación de las licencias que hubieran vencido y quedado vacantes, que podrá instarse por cualquier interesado, precepto este en el que basaba inicialmente su pretensión la entidad recurrente.</w:t>
      </w:r>
    </w:p>
    <w:p w14:paraId="7A9A1617" w14:textId="77777777" w:rsidR="008D479B" w:rsidRDefault="008D479B" w:rsidP="008D479B">
      <w:pPr>
        <w:pStyle w:val="TextoNormal"/>
      </w:pPr>
    </w:p>
    <w:p w14:paraId="461AF778" w14:textId="77777777" w:rsidR="008D479B" w:rsidRDefault="008D479B" w:rsidP="008D479B">
      <w:pPr>
        <w:pStyle w:val="TextoNormal"/>
      </w:pPr>
      <w:r>
        <w:t>Se advierte que la LGCA pretende asegurar el acceso al mercado de la comunicación audiovisual, pero también garantizar la permanente apertura a ese mercado. De tal modo que las licencias se conceden por un plazo de duración de quince años (art. 28.1 LGCA), con ello se garantiza la permanencia en el mercado de las empresas adjudicatarias y la viabilidad económica de su proyecto. Pero al propio tiempo, la LGCA pretende también evitar la congelación del mercado, al impedir la renovación automática en el caso de que exista un tercero que esté interesado en la concesión de la licencia para incorporarse al mercado [art. 28.3 b) LGCA] y al establecer que la vigencia de las nuevas licencias que resulten de la transformación de las concesiones anteriores también será de quince años (disposición transitoria segunda LGCA).</w:t>
      </w:r>
    </w:p>
    <w:p w14:paraId="43CC5723" w14:textId="77777777" w:rsidR="008D479B" w:rsidRDefault="008D479B" w:rsidP="008D479B">
      <w:pPr>
        <w:pStyle w:val="TextoNormal"/>
      </w:pPr>
    </w:p>
    <w:p w14:paraId="775D8C83" w14:textId="77777777" w:rsidR="008D479B" w:rsidRDefault="008D479B" w:rsidP="008D479B">
      <w:pPr>
        <w:pStyle w:val="TextoNormal"/>
      </w:pPr>
      <w:r>
        <w:t>La licencia audiovisual se erige en el título habilitante previo y necesario para poder prestar el servicio de comunicación audiovisual, pese a que suponga una limitación o restricción al ejercicio de los derechos y libertades a la libre expresión de ideas, al derecho a comunicar y recibir información (art. 22.1 LGCA). La exigencia de título habilitante se justifica porque la actividad precisa hacer uso del espectro radioeléctrico que como hemos indicado se caracteriza por su limitación técnica, aun cuando la misma venga condicionada por los avances tecnológicos que cada vez permiten una mayor optimización de la utilización del espectro. Tal título solo podrá otorgarse —atendida esa situación de relativa limitación técnica— de acuerdo con una planificación previa de la utilización del espectro radioeléctrico (arts. 24.2 LGCA y 5.1 del Reglamento sobre el uso del dominio público radioeléctrico) y de la “confirmación de existencia de espacio radioeléctrico suficiente”. La titularidad y administración del espectro radioeléctrico le corresponde al Estado (arts. 60 de la derogada Ley 9/2014, de 9 de mayo, general de telecomunicaciones, y 85.1 de la vigente Ley 11/2022, de 28 de junio, general de telecomunicaciones), quien tiene competencia exclusiva a fin de garantizar la ordenación unitaria del dominio público radioeléctrico y así cohonestar y hacer posibles los distintos usos del mismo [STC 78/2017, de 22 de junio, FJ 4 a)], esto es, establecer el marco jurídico que asegure unas condiciones armonizadas para su uso y que permita su disponibilidad y uso eficiente (art. 4.1 del Reglamento sobre el uso del dominio público radioeléctrico).</w:t>
      </w:r>
    </w:p>
    <w:p w14:paraId="08BAFD84" w14:textId="77777777" w:rsidR="008D479B" w:rsidRDefault="008D479B" w:rsidP="008D479B">
      <w:pPr>
        <w:pStyle w:val="TextoNormal"/>
      </w:pPr>
    </w:p>
    <w:p w14:paraId="60BB7BAE" w14:textId="77777777" w:rsidR="008D479B" w:rsidRDefault="008D479B" w:rsidP="008D479B">
      <w:pPr>
        <w:pStyle w:val="TextoNormal"/>
      </w:pPr>
      <w:r>
        <w:t>La prestación de servicios de radiodifusión sonora y de televisión por ondas terrestres necesita dos títulos habilitantes: en primer lugar, para la prestación del servicio al público precisa de un título habilitante audiovisual otorgado por el órgano del Estado o las comunidades autónomas competentes en función del ámbito de cobertura (art. 39.2 del Reglamento sobre el uso del dominio público radioeléctrico); y, en segundo lugar, se otorgará —de conformidad con lo previsto en los planes técnicos nacionales— por la Secretaría de Estado para la Sociedad de la Información y la Agenda Digital la concesión administrativa aneja al título habilitante audiovisual, una vez recibida la comunicación del otorgamiento de este último (art. 39.2 del Reglamento). Entonces, el beneficiario podrá presentar el proyecto técnico y en su caso el estudio de emisiones radioeléctricas ante la Secretaría de Estado, quien tiene unos plazos para su aprobación, salvo que sea necesaria la coordinación internacional de frecuencias (art. 39.7 del Reglamento).</w:t>
      </w:r>
    </w:p>
    <w:p w14:paraId="6423B0B5" w14:textId="77777777" w:rsidR="008D479B" w:rsidRDefault="008D479B" w:rsidP="008D479B">
      <w:pPr>
        <w:pStyle w:val="TextoNormal"/>
      </w:pPr>
    </w:p>
    <w:p w14:paraId="3FFE253C" w14:textId="77777777" w:rsidR="008D479B" w:rsidRDefault="008D479B" w:rsidP="008D479B">
      <w:pPr>
        <w:pStyle w:val="TextoNormal"/>
      </w:pPr>
      <w:r>
        <w:t>Conviene precisar en este punto que, en el caso del espectro radioeléctrico, la tarea de planificar su uso se produce de forma escalonada atendiendo a la normativa internacional, a la aplicable de la Unión Europea, a las resoluciones y recomendaciones de la Unión Internacional de Telecomunicaciones y otros organismos internacionales, en la coordinación y armonización del espectro radioeléctrico, hasta el plano puramente nacional (art. 85 de la Ley general de telecomunicaciones). En tal sentido dispone el art. 4 de la Directiva que “[l]os Estados miembros cooperarán entre sí y con la Comisión en la planificación estratégica, la coordinación y la armonización del uso del espectro radioeléctrico en la Unión conforme a las políticas de la Unión en materia de establecimiento y funcionamiento del mercado interior de comunicaciones electrónicas. Para ello, tendrán en cuenta, entre otros, los aspectos económicos, de seguridad, de salud, de interés público, de libertad de expresión, culturales, científicos, sociales y técnicos de las políticas de la Unión, así como los diversos intereses de las comunidades de usuarios del espectro radioeléctrico, con objeto de optimizar el uso del espectro radioeléctrico y evitar interferencias perjudiciales”.</w:t>
      </w:r>
    </w:p>
    <w:p w14:paraId="2CD45020" w14:textId="77777777" w:rsidR="008D479B" w:rsidRDefault="008D479B" w:rsidP="008D479B">
      <w:pPr>
        <w:pStyle w:val="TextoNormal"/>
      </w:pPr>
    </w:p>
    <w:p w14:paraId="2AD441B8" w14:textId="77777777" w:rsidR="008D479B" w:rsidRDefault="008D479B" w:rsidP="008D479B">
      <w:pPr>
        <w:pStyle w:val="TextoNormal"/>
      </w:pPr>
      <w:r>
        <w:t xml:space="preserve">B) </w:t>
      </w:r>
      <w:r w:rsidRPr="008D479B">
        <w:rPr>
          <w:i/>
        </w:rPr>
        <w:t>La nueva regulación de los concursos de licencias en la LGCA</w:t>
      </w:r>
      <w:r>
        <w:t xml:space="preserve"> 2022</w:t>
      </w:r>
    </w:p>
    <w:p w14:paraId="4760AB59" w14:textId="77777777" w:rsidR="008D479B" w:rsidRDefault="008D479B" w:rsidP="008D479B">
      <w:pPr>
        <w:pStyle w:val="TextoNormal"/>
      </w:pPr>
    </w:p>
    <w:p w14:paraId="448B27F0" w14:textId="77777777" w:rsidR="008D479B" w:rsidRDefault="008D479B" w:rsidP="008D479B">
      <w:pPr>
        <w:pStyle w:val="TextoNormal"/>
      </w:pPr>
      <w:r>
        <w:t>Como hemos indicado, la LGCA ha sido derogada por la disposición derogatoria única, apartado 1 b), de la Ley 13/2022, de 7 de julio, general de comunicación audiovisual, publicada el día 8 de julio siguiente, que entró en vigor al día siguiente de su publicación oficial (disposición final novena), salvo en algunos de sus preceptos, secciones y de su disposición final cuarta, cuya entrada en vigor se retrasó.</w:t>
      </w:r>
    </w:p>
    <w:p w14:paraId="616C23BF" w14:textId="77777777" w:rsidR="008D479B" w:rsidRDefault="008D479B" w:rsidP="008D479B">
      <w:pPr>
        <w:pStyle w:val="TextoNormal"/>
      </w:pPr>
    </w:p>
    <w:p w14:paraId="46D3B104" w14:textId="77777777" w:rsidR="008D479B" w:rsidRDefault="008D479B" w:rsidP="008D479B">
      <w:pPr>
        <w:pStyle w:val="TextoNormal"/>
      </w:pPr>
      <w:r>
        <w:t>La LGCA 2022 modifica y precisa la terminología utilizada en la regulación de los concursos para la concesión de licencias. En lo que ahora interesa, por su vinculación con las pretensiones de la entidad recurrente, debe indicarse que la nueva regulación suprime la exigencia de previa confirmación de espacio radioeléctrico suficiente para que puedan ofrecerse las licencias disponibles que se contenía en el art. 27.2 LGCA por la expresión “deberán ser otorgadas mediante concurso […] en el marco de la planificación de espectro radioeléctrico realizada por el Estado” (art. 26.1 LGCA 2022). Por otra parte, sustituye el automatismo en la desaparición de la reserva de dominio público radioeléctrico —previamente planificada— por su no uso, al que hemos aludido al referirnos al art. 27.4 LGCA, por una regulación más flexible que se recoge en el art. 26.5 LGCA 2022. En la nueva regulación la exclusión de la reserva no se produce automáticamente y se amplían los plazos para que pueda operar la misma. En efecto, además de aumentar el plazo de doce a dieciocho meses desde que se haya planificado una reserva de dominio público radioeléctrico “sin que la autoridad audiovisual competente haya solicitado su afectación al servicio público de comunicación audiovisual, o convocado el correspondiente concurso, y sin que ningún interesado haya instado dicha convocatoria”, hace depender la exclusión de la reserva de que la autoridad estatal, a través de la modificación del plan técnico nacional correspondiente, dé un uso más eficaz o eficiente a ese dominio público radioeléctrico, previa audiencia, en su caso, de la comunidad autónoma afectada.</w:t>
      </w:r>
    </w:p>
    <w:p w14:paraId="650676DD" w14:textId="77777777" w:rsidR="008D479B" w:rsidRDefault="008D479B" w:rsidP="008D479B">
      <w:pPr>
        <w:pStyle w:val="TextoNormal"/>
      </w:pPr>
    </w:p>
    <w:p w14:paraId="5D65F38F" w14:textId="77777777" w:rsidR="008D479B" w:rsidRDefault="008D479B" w:rsidP="008D479B">
      <w:pPr>
        <w:pStyle w:val="TextoNormal"/>
      </w:pPr>
      <w:r>
        <w:t>Ahora bien, dicha regulación, por razones temporales, no ha sido aplicada en la resolución de la Comunidad Autónoma de La Rioja impugnada, ni por los órganos judiciales que la han revisado y tampoco puede servir de fundamento para efectuar el enjuiciamiento del presente proceso constitucional.</w:t>
      </w:r>
    </w:p>
    <w:p w14:paraId="77DA3C2B" w14:textId="77777777" w:rsidR="008D479B" w:rsidRDefault="008D479B" w:rsidP="008D479B">
      <w:pPr>
        <w:pStyle w:val="TextoNormal"/>
      </w:pPr>
    </w:p>
    <w:p w14:paraId="4D1B4244" w14:textId="77777777" w:rsidR="008D479B" w:rsidRDefault="008D479B" w:rsidP="008D479B">
      <w:pPr>
        <w:pStyle w:val="TextoNormal"/>
      </w:pPr>
      <w:r>
        <w:t xml:space="preserve">C) </w:t>
      </w:r>
      <w:r w:rsidRPr="008D479B">
        <w:rPr>
          <w:i/>
        </w:rPr>
        <w:t>El ejercicio de los derechos de comunicación e información reconocidos en el art. 20 CE y la adjudicación de uso del espectro radioeléctrico</w:t>
      </w:r>
    </w:p>
    <w:p w14:paraId="46C6B28A" w14:textId="77777777" w:rsidR="008D479B" w:rsidRDefault="008D479B" w:rsidP="008D479B">
      <w:pPr>
        <w:pStyle w:val="TextoNormal"/>
      </w:pPr>
    </w:p>
    <w:p w14:paraId="6C0793F2" w14:textId="77777777" w:rsidR="008D479B" w:rsidRDefault="008D479B" w:rsidP="008D479B">
      <w:pPr>
        <w:pStyle w:val="TextoNormal"/>
      </w:pPr>
      <w:r>
        <w:t>a) Doctrina constitucional sobre las libertades de expresión e información en el ámbito de la comunicación audiovisual</w:t>
      </w:r>
    </w:p>
    <w:p w14:paraId="624372BF" w14:textId="77777777" w:rsidR="008D479B" w:rsidRDefault="008D479B" w:rsidP="008D479B">
      <w:pPr>
        <w:pStyle w:val="TextoNormal"/>
      </w:pPr>
    </w:p>
    <w:p w14:paraId="582A9D6D" w14:textId="77777777" w:rsidR="008D479B" w:rsidRDefault="008D479B" w:rsidP="008D479B">
      <w:pPr>
        <w:pStyle w:val="TextoNormal"/>
      </w:pPr>
      <w:r>
        <w:t>Recientemente, este tribunal ha tenido ocasión de recordar la directa relación de la radiodifusión, en cuanto medio de comunicación social, con las libertades y derechos fundamentales recogidos en el artículo 20 CE y referidos al derecho a comunicar y recibir información y a la libertad de expresión (STC 7/2023, de 21 de febrero, FJ 3).</w:t>
      </w:r>
    </w:p>
    <w:p w14:paraId="1EA234BF" w14:textId="77777777" w:rsidR="008D479B" w:rsidRDefault="008D479B" w:rsidP="008D479B">
      <w:pPr>
        <w:pStyle w:val="TextoNormal"/>
      </w:pPr>
    </w:p>
    <w:p w14:paraId="56F1B613" w14:textId="77777777" w:rsidR="008D479B" w:rsidRDefault="008D479B" w:rsidP="008D479B">
      <w:pPr>
        <w:pStyle w:val="TextoNormal"/>
      </w:pPr>
      <w:r>
        <w:t>El derecho a comunicar o recibir libremente información veraz por cualquier medio de difusión, “es un derecho de libertad frente al poder, común a todos los ciudadanos (por todas, STC 6/1981, de 16 de marzo, FJ 4). Es necesario precisar que no nos encontramos solamente ante un derecho fundamental, sino ante el reconocimiento y garantía de una institución política fundamental, que es la opinión pública libre, indisolublemente ligada al pluralismo político que es un valor fundamental en un Estado democrático que los poderes públicos tienen especial obligación de proteger (por todas, SSTC 20/1990, de 15 de febrero, FJ 4, y 85/1992, de 8 de junio, FJ 4). La libertad de información es un medio de formación de la opinión pública en asuntos de interés general, cuyo valor de libertad preferente sobre otros derechos fundamentales alcanza su máximo nivel cuando es ejercitada por los profesionales de la información a través del vehículo institucionalizado de formación de la opinión pública, que es la prensa, entendida en su más amplia acepción (STC 165/1987, de 27 de octubre, FJ 10). Cabe recordar también que, de acuerdo con nuestra jurisprudencia (por todas, SSTC 168/1986, de 22 de diciembre, FJ 2, y 112/2006, de 5 de abril, FJ 11), la Constitución tiene en cuenta ciertamente la posición jurídica subjetiva de quienes comunican la información, pero protege, con la garantía reforzada que otorga a los derechos fundamentales y libertades públicas, la facultad de cada persona y de la entera colectividad de acceso libre al conocimiento de los hechos de relevancia, transmitido por los medios de comunicación, de modo que el derecho a recibir una información veraz es un instrumento esencial de conocimiento de los asuntos que cobran importancia en la vida colectiva y que condiciona la participación de todos en el buen funcionamiento del sistema de relaciones democráticas auspiciado por la Constitución, así como el ejercicio efectivo de otros derechos y libertades” (STC 7/2023, FJ 5).</w:t>
      </w:r>
    </w:p>
    <w:p w14:paraId="463531C6" w14:textId="77777777" w:rsidR="008D479B" w:rsidRDefault="008D479B" w:rsidP="008D479B">
      <w:pPr>
        <w:pStyle w:val="TextoNormal"/>
      </w:pPr>
    </w:p>
    <w:p w14:paraId="3F540DC1" w14:textId="77777777" w:rsidR="008D479B" w:rsidRDefault="008D479B" w:rsidP="008D479B">
      <w:pPr>
        <w:pStyle w:val="TextoNormal"/>
      </w:pPr>
      <w:r>
        <w:t>Como se ha adelantado, la LGCA parte de la declaración de los servicios de comunicación audiovisual radiofónicos, televisivos, y conexos e interactivos como “servicios de interés general que se prestan en el ejercicio del derecho a la libre expresión de ideas, del derecho a comunicar y recibir información, del derecho a la participación en la vida política y social y del derecho a la libertad de empresa y dentro del fomento de la igualdad, la pluralidad y los valores democráticos” (art. 22.1 LGCA); articulándose un régimen de licencia cuando se utilice el espectro radioeléctrico (arts. 22.3 y 24 a 30 LGCA) y un régimen de comunicación previa en el resto de los casos (arts. 22.2 y 23 LGCA).</w:t>
      </w:r>
    </w:p>
    <w:p w14:paraId="276C7A38" w14:textId="77777777" w:rsidR="008D479B" w:rsidRDefault="008D479B" w:rsidP="008D479B">
      <w:pPr>
        <w:pStyle w:val="TextoNormal"/>
      </w:pPr>
    </w:p>
    <w:p w14:paraId="25187C78" w14:textId="77777777" w:rsidR="008D479B" w:rsidRDefault="008D479B" w:rsidP="008D479B">
      <w:pPr>
        <w:pStyle w:val="TextoNormal"/>
      </w:pPr>
      <w:r>
        <w:t>b) Adjudicación de uso del espectro radioeléctrico</w:t>
      </w:r>
    </w:p>
    <w:p w14:paraId="3E8F29B3" w14:textId="77777777" w:rsidR="008D479B" w:rsidRDefault="008D479B" w:rsidP="008D479B">
      <w:pPr>
        <w:pStyle w:val="TextoNormal"/>
      </w:pPr>
    </w:p>
    <w:p w14:paraId="2E28E833" w14:textId="77777777" w:rsidR="008D479B" w:rsidRDefault="008D479B" w:rsidP="008D479B">
      <w:pPr>
        <w:pStyle w:val="TextoNormal"/>
      </w:pPr>
      <w:r>
        <w:t>En relación con el espectro radioeléctrico, la actividad de las administraciones públicas de adjudicación de recursos escasos o cuyo uso es tecnológicamente limitado, puede afectar sin duda al ejercicio de derechos y libertades constitucionalmente reconocidos. Este sería el caso de la libertad de empresa (art. 38 CE) que el recurrente invocó en el recurso de alzada y en la demanda contencioso-administrativa pero que no invoca, ni puede incorporar, en el recurso de amparo (arts. 53.2 CE y 41.1 LOTC) y también de las libertades reconocidas en el art. 20.1 a) y d) CE que sí invoca en la demanda, en tanto que la exigencias de otorgamiento de licencias habilitantes previa aprobación de los planes de utilización del dominio público radioeléctrico (art. 5 del Reglamento sobre el uso del dominio público radioeléctrico) limitan consecuentemente el número de títulos habilitantes (art. 24.2 LGCA) y el ejercicio de las referidas libertades.</w:t>
      </w:r>
    </w:p>
    <w:p w14:paraId="04AFA0F2" w14:textId="77777777" w:rsidR="008D479B" w:rsidRDefault="008D479B" w:rsidP="008D479B">
      <w:pPr>
        <w:pStyle w:val="TextoNormal"/>
      </w:pPr>
    </w:p>
    <w:p w14:paraId="322A2826" w14:textId="77777777" w:rsidR="008D479B" w:rsidRDefault="008D479B" w:rsidP="008D479B">
      <w:pPr>
        <w:pStyle w:val="TextoNormal"/>
      </w:pPr>
      <w:r>
        <w:t>El control de constitucionalidad de los límites al ejercicio de tales derechos y libertades que resulta de la planificación —limitación de licencias posibles— y exigencia de concesión de títulos habilitantes para su ejercicio sobre el espectro radioeléctrico, se articula mediante el concepto de prohibición de exceso, que comprende verificar que se persiga una finalidad constitucionalmente legítima, que se respeten determinadas exigencias derivadas del principio de proporcionalidad (por todas, STC 148/2021, de 14 de julio, FJ 3) y que no se afecte al contenido esencial del derecho o libertad.</w:t>
      </w:r>
    </w:p>
    <w:p w14:paraId="0D19DEA1" w14:textId="77777777" w:rsidR="008D479B" w:rsidRDefault="008D479B" w:rsidP="008D479B">
      <w:pPr>
        <w:pStyle w:val="TextoNormal"/>
      </w:pPr>
    </w:p>
    <w:p w14:paraId="4A5CFEF7" w14:textId="77777777" w:rsidR="008D479B" w:rsidRDefault="008D479B" w:rsidP="008D479B">
      <w:pPr>
        <w:pStyle w:val="TextoNormal"/>
      </w:pPr>
      <w:r>
        <w:t>Supuesto bien distinto, como hemos indicado, es el del régimen jurídico de los servicios de comunicación que no se prestan utilizando el espectro radioeléctrico, a los que la LGCA no somete a la previa planificación y concesión de títulos habilitantes, sino que basta la comunicación fehaciente y previa al inicio de la actividad (art. 22.1 LGCA). En efecto, al no prestarse el servicio utilizando recursos escasos o recursos de uso tecnológicamente limitado, la LGCA prescinde de la previa concesión de licencia. A esta modalidad de comunicación, distinta de la que se somete a nuestro enjuiciamiento, tuvimos ocasión de referirnos en la STC 31/1994, de 31 de enero, citada por la recurrente y que no es proyectable al caso. En efecto, en la STC 31/1994 enjuiciamos la constitucionalidad de la suspensión de las emisiones en la modalidad de televisión local por cable por carecer de licencia tales emisiones “en razón del soporte tecnológico empleado, no requiere[n] la atribución directa de frecuencias y potencias a efectos de emitir” (FJ 6) pues “dichas emisiones, dado el soporte tecnológico empleado, no suponen el agotamiento de un medio escaso de comunicación, ya que difícilmente puede ser estimable la vía pública en este supuesto como un bien escaso, ni implican, por sí y ordinariamente, restricciones al derecho de expresión de los demás, toda vez que la existencia de una red local de distribución no impide el establecimiento de otras” (FJ 7). Es por ello, que, ante la inexistencia de legislación ordenadora de dicho medio, afirmamos que “sujetar a concesión o autorización administrativa —de imposible consecución, por demás— el ejercicio de la actividad de emisión de televisión local por cable, […] implica el desconocimiento total o supresión del derecho fundamental a la libertad de expresión y de comunicación que garantiza el art. 20.1 a) y d) CE” (FJ 7).</w:t>
      </w:r>
    </w:p>
    <w:p w14:paraId="725D69C4" w14:textId="77777777" w:rsidR="008D479B" w:rsidRDefault="008D479B" w:rsidP="008D479B">
      <w:pPr>
        <w:pStyle w:val="TextoNormal"/>
      </w:pPr>
    </w:p>
    <w:p w14:paraId="29882CCC" w14:textId="77777777" w:rsidR="008D479B" w:rsidRDefault="008D479B" w:rsidP="008D479B">
      <w:pPr>
        <w:pStyle w:val="TextoNormal"/>
      </w:pPr>
      <w:r>
        <w:t>c) Jurisprudencia del Tribunal Europeo de Derechos Humanos</w:t>
      </w:r>
    </w:p>
    <w:p w14:paraId="6387AF39" w14:textId="77777777" w:rsidR="008D479B" w:rsidRDefault="008D479B" w:rsidP="008D479B">
      <w:pPr>
        <w:pStyle w:val="TextoNormal"/>
      </w:pPr>
    </w:p>
    <w:p w14:paraId="6E7AEAF4" w14:textId="77777777" w:rsidR="008D479B" w:rsidRDefault="008D479B" w:rsidP="008D479B">
      <w:pPr>
        <w:pStyle w:val="TextoNormal"/>
      </w:pPr>
      <w:r>
        <w:t>Debemos afirmar que la exigencia de la concesión de títulos habilitantes —previa planificación— para el ejercicio de la libertad de expresión es compatible —pese a lo que afirma la recurrente— con el Convenio europeo para la protección de los derechos humanos y de las libertades fundamentales. En efecto, el establecimiento de un régimen de autorización previa se entendió plenamente acorde con el art. 10.1, tercer inciso, CEDH, sin bien el Tribunal Europeo de Derechos Humanos consideró que era preciso determinar el alcance de su aplicación conforme al aludido criterio de proporcionalidad.</w:t>
      </w:r>
    </w:p>
    <w:p w14:paraId="6B287655" w14:textId="77777777" w:rsidR="008D479B" w:rsidRDefault="008D479B" w:rsidP="008D479B">
      <w:pPr>
        <w:pStyle w:val="TextoNormal"/>
      </w:pPr>
    </w:p>
    <w:p w14:paraId="5C23F013" w14:textId="77777777" w:rsidR="008D479B" w:rsidRDefault="008D479B" w:rsidP="008D479B">
      <w:pPr>
        <w:pStyle w:val="TextoNormal"/>
      </w:pPr>
      <w:r>
        <w:t>Es preciso que nos detengamos en el examen de ese alcance pues la mercantil recurrente ha aludido a la jurisprudencia del Tribunal Europeo de Derechos Humanos para sostener que la negativa a conceder una licencia de radiodifusión infringe el artículo 10, apartado 1, CEDH.</w:t>
      </w:r>
    </w:p>
    <w:p w14:paraId="369ECE74" w14:textId="77777777" w:rsidR="008D479B" w:rsidRDefault="008D479B" w:rsidP="008D479B">
      <w:pPr>
        <w:pStyle w:val="TextoNormal"/>
      </w:pPr>
    </w:p>
    <w:p w14:paraId="34835AD0" w14:textId="77777777" w:rsidR="008D479B" w:rsidRDefault="008D479B" w:rsidP="008D479B">
      <w:pPr>
        <w:pStyle w:val="TextoNormal"/>
      </w:pPr>
      <w:r>
        <w:t>El art. 10.1 CEDH, prescribe que “[t]oda persona tiene derecho a la libertad de expresión” que comprende “la de […] recibir o de comunicar informaciones o ideas” sin “injerencia de autoridades públicas”. Y permite someter, como hemos anticipado, en su tercer inciso a “las empresas de radiodifusión, de cinematografía o de televisión a un régimen de autorización previa”.</w:t>
      </w:r>
    </w:p>
    <w:p w14:paraId="5B0497C4" w14:textId="77777777" w:rsidR="008D479B" w:rsidRDefault="008D479B" w:rsidP="008D479B">
      <w:pPr>
        <w:pStyle w:val="TextoNormal"/>
      </w:pPr>
    </w:p>
    <w:p w14:paraId="2502EB9E" w14:textId="77777777" w:rsidR="008D479B" w:rsidRDefault="008D479B" w:rsidP="008D479B">
      <w:pPr>
        <w:pStyle w:val="TextoNormal"/>
      </w:pPr>
      <w:r>
        <w:t>El Tribunal Europeo de Derechos Humanos ha destacado que la inserción del tercer inciso del art. 10.1 CEDH “se debió evidentemente a consideraciones técnicas o prácticas, como el reducido número de frecuencias disponibles y las importantes inversiones que exigía la construcción de los transmisores. Reflejaba también una preocupación política de varios Estados: reservar a la administración pública estatal la actividad de la radio” o para “evitar un uso anárquico de las frecuencias. […] Esto apoya la conclusión de que el tercer párrafo del artículo 10.1 del Convenio pretende aclarar que los Estados pueden regular, por medio de un régimen de licencias, la organización de la radiodifusión en su territorio, en particular en sus aspectos técnicos. Sin embargo, las autorizaciones quedan sujetas a los requisitos del apartado 2, pues en otro caso se llegaría a un resultado opuesto al objeto y a la finalidad del artículo 10 considerado en su conjunto”. En definitiva, “la injerencia concordaba con el tercer párrafo del apartado 1 del artículo 10; y falta resolver si cumplía también las condiciones del apartado 2; es decir, si estaba ‘prevista por la ley’, si perseguía una o varias de las finalidades legítimas y si era ‘necesaria, en una sociedad democrática’, para conseguirlas” (STEDH de 28 de marzo de 1990, asunt</w:t>
      </w:r>
      <w:r w:rsidRPr="008D479B">
        <w:rPr>
          <w:i/>
        </w:rPr>
        <w:t>o Groppera Radio AG y otros c. Sui</w:t>
      </w:r>
      <w:r>
        <w:t>za, § 60, 61 y 64).</w:t>
      </w:r>
    </w:p>
    <w:p w14:paraId="6DA4B58C" w14:textId="77777777" w:rsidR="008D479B" w:rsidRDefault="008D479B" w:rsidP="008D479B">
      <w:pPr>
        <w:pStyle w:val="TextoNormal"/>
      </w:pPr>
    </w:p>
    <w:p w14:paraId="0005D364" w14:textId="77777777" w:rsidR="008D479B" w:rsidRDefault="008D479B" w:rsidP="008D479B">
      <w:pPr>
        <w:pStyle w:val="TextoNormal"/>
      </w:pPr>
      <w:r>
        <w:t>Por tanto, el sometimiento a autorización previa de la actividad es compatible con el CEDH, pero no permite entender que se atribuya al Estado un poder omnímodo sobre los concesionarios, en tanto que la actuación de la administración debe estar al servicio del pluralismo y de las libertades. El régimen de autorización previa solamente se podrá entender justificado por concurrir restricciones técnicas o de otro tipo que lo hicieran necesario.</w:t>
      </w:r>
    </w:p>
    <w:p w14:paraId="50EC7339" w14:textId="77777777" w:rsidR="008D479B" w:rsidRDefault="008D479B" w:rsidP="008D479B">
      <w:pPr>
        <w:pStyle w:val="TextoNormal"/>
      </w:pPr>
    </w:p>
    <w:p w14:paraId="047AC07C" w14:textId="77777777" w:rsidR="008D479B" w:rsidRDefault="008D479B" w:rsidP="008D479B">
      <w:pPr>
        <w:pStyle w:val="TextoNormal"/>
      </w:pPr>
      <w:r>
        <w:t>d) Derecho a la creación de medios de comunicación y su carácter instrumental y limitaciones</w:t>
      </w:r>
    </w:p>
    <w:p w14:paraId="008DB47E" w14:textId="77777777" w:rsidR="008D479B" w:rsidRDefault="008D479B" w:rsidP="008D479B">
      <w:pPr>
        <w:pStyle w:val="TextoNormal"/>
      </w:pPr>
    </w:p>
    <w:p w14:paraId="1E85D276" w14:textId="77777777" w:rsidR="008D479B" w:rsidRDefault="008D479B" w:rsidP="008D479B">
      <w:pPr>
        <w:pStyle w:val="TextoNormal"/>
      </w:pPr>
      <w:r>
        <w:t>Tempranamente, en relación con el contenido y las limitaciones de las libertades de expresión e información reconocidas en el art. 20.1 a) y d) CE, especialmente en la vertiente de lo que ha venido en llamarse “derecho de antena”, como libertad de creación de medios de comunicación, tuvimos ocasión de declarar que “el derecho de difundir las ideas y opiniones comprende en principio el derecho de crear los medios materiales a través de los cuales la difusión se hace posible” (STC 12/1982, de 31 de marzo, FJ 3). Si bien precisamos que la protección de este último, al tratarse de un derecho meramente instrumental, no es la misma que la que se atribuye al contenido primario directamente garantizado por el art. 20 CE y, consecuentemente, en relación con el derecho de creación de los medios de comunicación “el legislador dispone, en efecto, de mucha mayor capacidad de configuración” (STC 86/2017, de 4 de julio, FJ 5). Y, en particular, puede condicionarlo normativamente a la obtención de un título habilitante, limitar su número o establecer los criterios que determinan el régimen de adjudicación. Esa restricción, que pudiera tener su origen en las limitadas posibilidades de uso simultáneo de las ondas electromagnéticas sin interferencias, debe estar al servicio de un principió o interés constitucional, satisfacer las exigencias que se derivan del principio de proporcionalidad —que se proyectaran sobre el caso concreto—, así como respetar el contenido esencial de la libertad.</w:t>
      </w:r>
    </w:p>
    <w:p w14:paraId="690D9AAA" w14:textId="77777777" w:rsidR="008D479B" w:rsidRDefault="008D479B" w:rsidP="008D479B">
      <w:pPr>
        <w:pStyle w:val="TextoNormal"/>
      </w:pPr>
    </w:p>
    <w:p w14:paraId="150FA065" w14:textId="77777777" w:rsidR="008D479B" w:rsidRDefault="008D479B" w:rsidP="008D479B">
      <w:pPr>
        <w:pStyle w:val="TextoNormal"/>
      </w:pPr>
      <w:r>
        <w:t>En tal sentido “[c]omo recordamos en la STC 73/2014, de 8 de mayo, el llamado ‘derecho de antena’ puede verse sometido a limitaciones o modulaciones establecidas por el legislador y justificadas por la necesidad de proteger valores constitucionales como el pluralismo (externo o interno) como un valor fundamental del Estado, la formación de una opinión pública libre o los principios de libertad e igualdad (SSTC 6/1981, de 16 de marzo, FJ 4; 12/1982, de 31 de marzo, FJ 6, y 206/1990, de 17 de diciembre, FJ 6), siempre que tales limitaciones no cercenen el contenido primario o material que garantizan las libertades reconocidas en el artículo 20.1 a) y d) CE” (STC 86/2017, FJ 5).</w:t>
      </w:r>
    </w:p>
    <w:p w14:paraId="0A190D1F" w14:textId="77777777" w:rsidR="008D479B" w:rsidRDefault="008D479B" w:rsidP="008D479B">
      <w:pPr>
        <w:pStyle w:val="TextoNormal"/>
      </w:pPr>
    </w:p>
    <w:p w14:paraId="627A3437" w14:textId="77777777" w:rsidR="008D479B" w:rsidRDefault="008D479B" w:rsidP="008D479B">
      <w:pPr>
        <w:pStyle w:val="TextoNormal"/>
      </w:pPr>
      <w:r>
        <w:t>Profundizando más en la legitimidad constitucional de los límites atinentes al derecho a crear medios de comunicación a través de los cuales se pueda realizar la difusión de ideas y opiniones y en línea con la STEDH de 28 de marzo de 1990, debemos señalar que estos deben perseguir una o varias de las finalidades legítimas y ser necesarios en una sociedad democrática para conseguirlas (§ 64), pues la inexistencia de razones que justifiquen la prohibición de emisión “constituye un sacrificio del derecho fundamental desproporcionado respecto a los posibles derechos, bienes o intereses a tener en cuenta” (STC 31/1994, FJ 7).</w:t>
      </w:r>
    </w:p>
    <w:p w14:paraId="6E3103EF" w14:textId="77777777" w:rsidR="008D479B" w:rsidRDefault="008D479B" w:rsidP="008D479B">
      <w:pPr>
        <w:pStyle w:val="TextoNormal"/>
      </w:pPr>
    </w:p>
    <w:p w14:paraId="4E61212F" w14:textId="18F14F49" w:rsidR="008D479B" w:rsidRDefault="008D479B" w:rsidP="008D479B">
      <w:pPr>
        <w:pStyle w:val="TextoNormal"/>
      </w:pPr>
      <w:r>
        <w:t xml:space="preserve">También la jurisprudencia del Tribunal de Justicia de la Unión Europea se ha pronunciado en parecidos términos, aunque en el marco que le es propio, esto es, la libre circulación en el mercado interior, al afirmar que “para determinar si una normativa nacional como la controvertida en el procedimiento principal respeta el principio de proporcionalidad, el órgano jurisdiccional remitente debe tener en cuenta, en particular, las consideraciones que se exponen a continuación. En primer lugar, es jurisprudencia reiterada que un régimen de autorización administrativa previa no puede legitimar un comportamiento discrecional de las autoridades nacionales que prive de eficacia a las disposiciones comunitarias y, en particular, a las relativas a las libertades fundamentales objeto del procedimiento principal […]” (STJUE de 22 de enero de 2002, asunto C-390/99, </w:t>
      </w:r>
      <w:r w:rsidRPr="008D479B">
        <w:rPr>
          <w:i/>
        </w:rPr>
        <w:t>Canal Satélite Digital, S.L</w:t>
      </w:r>
      <w:r>
        <w:t>., § 34 y 35).</w:t>
      </w:r>
    </w:p>
    <w:p w14:paraId="26239F83" w14:textId="77777777" w:rsidR="008D479B" w:rsidRDefault="008D479B" w:rsidP="008D479B">
      <w:pPr>
        <w:pStyle w:val="TextoNormal"/>
      </w:pPr>
    </w:p>
    <w:p w14:paraId="6E2FCB6A" w14:textId="77777777" w:rsidR="008D479B" w:rsidRDefault="008D479B" w:rsidP="008D479B">
      <w:pPr>
        <w:pStyle w:val="TextoNormal"/>
      </w:pPr>
      <w:r w:rsidRPr="008D479B">
        <w:rPr>
          <w:rStyle w:val="NumeroAFNegritaCaracter"/>
        </w:rPr>
        <w:t>4</w:t>
      </w:r>
      <w:r>
        <w:t xml:space="preserve">. </w:t>
      </w:r>
      <w:r w:rsidRPr="008D479B">
        <w:rPr>
          <w:i/>
        </w:rPr>
        <w:t>Aplicación de la doctrina constitucional al caso planteado. Inexistencia de la vulneración aludida</w:t>
      </w:r>
    </w:p>
    <w:p w14:paraId="7D922C24" w14:textId="77777777" w:rsidR="008D479B" w:rsidRDefault="008D479B" w:rsidP="008D479B">
      <w:pPr>
        <w:pStyle w:val="TextoNormal"/>
      </w:pPr>
    </w:p>
    <w:p w14:paraId="7F2D99B2" w14:textId="77777777" w:rsidR="008D479B" w:rsidRDefault="008D479B" w:rsidP="008D479B">
      <w:pPr>
        <w:pStyle w:val="TextoNormal"/>
      </w:pPr>
      <w:r>
        <w:t xml:space="preserve">a) </w:t>
      </w:r>
      <w:r w:rsidRPr="008D479B">
        <w:rPr>
          <w:i/>
        </w:rPr>
        <w:t>Alegaciones de la recurrente y de las partes</w:t>
      </w:r>
    </w:p>
    <w:p w14:paraId="052FD270" w14:textId="77777777" w:rsidR="008D479B" w:rsidRDefault="008D479B" w:rsidP="008D479B">
      <w:pPr>
        <w:pStyle w:val="TextoNormal"/>
      </w:pPr>
    </w:p>
    <w:p w14:paraId="1C74155B" w14:textId="77777777" w:rsidR="008D479B" w:rsidRDefault="008D479B" w:rsidP="008D479B">
      <w:pPr>
        <w:pStyle w:val="TextoNormal"/>
      </w:pPr>
      <w:r>
        <w:t>La mercantil Soninorte Producciones, S.L., cuestiona desde el inicio del procedimiento administrativo las resoluciones de la Consejería de Administración Pública y Hacienda del Gobierno de La Rioja por incumplir lo que considera como su deber de convocar el correspondiente concurso de licencias de comunicación audiovisual, que a juicio de la recurrente se encontraban disponibles y vacantes —conforme al art. 27.2 y 5 LGCA—; posteriormente, ya en la demanda de amparo, considera que estaban vacantes atendida la imposibilidad de aplicación del art. 27.4 LGCA a los planes anteriores a su entrada en vigor.</w:t>
      </w:r>
    </w:p>
    <w:p w14:paraId="11B1B93B" w14:textId="77777777" w:rsidR="008D479B" w:rsidRDefault="008D479B" w:rsidP="008D479B">
      <w:pPr>
        <w:pStyle w:val="TextoNormal"/>
      </w:pPr>
    </w:p>
    <w:p w14:paraId="51F8D310" w14:textId="77777777" w:rsidR="008D479B" w:rsidRDefault="008D479B" w:rsidP="008D479B">
      <w:pPr>
        <w:pStyle w:val="TextoNormal"/>
      </w:pPr>
      <w:r>
        <w:t>Por su parte, el Ministerio Fiscal y la Comunidad Autónoma de La Rioja se oponen a la demanda con argumentos coincidentes con la fundamentación contenida en la impugnada resolución núm. 962, de 24 de julio de 2018 aprobada por el consejero de Administración Pública y Hacienda del Gobierno de La Rioja. Afirman que no procedía convocar concurso con base en el art. 27 LGCA —norma estatal aprobada por el Estado en ejercicio de competencias exclusivas (art. 149.1.21 CE y STC 8/2016, de 21 de enero, FJ 3)— al no haber vencido licencias de comunicación audiovisual de radiodifusión sonora digital terrestre previamente otorgadas (art. 27.5 LGCA) y no existir licencias disponibles al haberse excluido automáticamente de la planificación radioeléctrica las frecuencias asignadas por el transcurso de los plazos sin que la administración competente haya solicitado su afectación al servicio público de difusión de radio y televisión, o convocado el correspondiente concurso, y sin que ningún interesado haya instado dicha convocatoria (art. 27.4 LGCA).</w:t>
      </w:r>
    </w:p>
    <w:p w14:paraId="3386FFCD" w14:textId="77777777" w:rsidR="008D479B" w:rsidRDefault="008D479B" w:rsidP="008D479B">
      <w:pPr>
        <w:pStyle w:val="TextoNormal"/>
      </w:pPr>
    </w:p>
    <w:p w14:paraId="51B79149" w14:textId="77777777" w:rsidR="008D479B" w:rsidRDefault="008D479B" w:rsidP="008D479B">
      <w:pPr>
        <w:pStyle w:val="TextoNormal"/>
      </w:pPr>
      <w:r>
        <w:t xml:space="preserve">b) </w:t>
      </w:r>
      <w:r w:rsidRPr="008D479B">
        <w:rPr>
          <w:i/>
        </w:rPr>
        <w:t>Desestimación de la demanda</w:t>
      </w:r>
    </w:p>
    <w:p w14:paraId="5A8103BA" w14:textId="77777777" w:rsidR="008D479B" w:rsidRDefault="008D479B" w:rsidP="008D479B">
      <w:pPr>
        <w:pStyle w:val="TextoNormal"/>
      </w:pPr>
    </w:p>
    <w:p w14:paraId="36AD062A" w14:textId="77777777" w:rsidR="008D479B" w:rsidRDefault="008D479B" w:rsidP="008D479B">
      <w:pPr>
        <w:pStyle w:val="TextoNormal"/>
      </w:pPr>
      <w:r>
        <w:t>Tal y como disponía el art. 60.1 de la Ley general de telecomunicaciones, y dispone el art. 85.1 de la vigente Ley general de telecomunicaciones de 2022, el espectro radioeléctrico es un bien de dominio público cuya titularidad y administración corresponden al Estado. De modo que “corresponde al Estado en exclusiva la ordenación de los aspectos técnicos del espectro radioeléctrico, como: a) la asignación de frecuencias y potencias para cada uno de sus diversos usos (en cumplimiento de la disciplina internacional al respecto, para evitar, en definitiva, la producción de interferencias perjudiciales para la comunicación); […] d) la aprobación de la planificación técnica de delimitación del espectro, así como su administración, gestión y control (inspección y comprobación técnica, incluyendo la evaluación de conformidad de aparatos), entre otros aspectos” (STC 8/2016, FJ 3).</w:t>
      </w:r>
    </w:p>
    <w:p w14:paraId="6BFECC72" w14:textId="77777777" w:rsidR="008D479B" w:rsidRDefault="008D479B" w:rsidP="008D479B">
      <w:pPr>
        <w:pStyle w:val="TextoNormal"/>
      </w:pPr>
    </w:p>
    <w:p w14:paraId="0832C42F" w14:textId="77777777" w:rsidR="008D479B" w:rsidRDefault="008D479B" w:rsidP="008D479B">
      <w:pPr>
        <w:pStyle w:val="TextoNormal"/>
      </w:pPr>
      <w:r>
        <w:t>Conviene indicar, a los efectos del presente recurso de amparo, que en el ejercicio de dicha competencia el Estado aprobó mediante el Real Decreto 1287/1999, de 23 de julio, el plan técnico nacional de la radiodifusión sonora digital terrenal, y en desarrollo del mismo la Orden del Ministerio de Ciencia y Tecnología de 15 de octubre de 2001, de planificación del bloque de frecuencias destinados a la radio digital de ámbito local, en régimen de gestión indirecta, en cuyo anexo se establecieron tres bloques de frecuencias para ser objeto de adjudicación por la Comunidad Autónoma de La Rioja, con arreglo a la relación de localidades prioritarias presentadas por dicha Comunidad Autónoma.</w:t>
      </w:r>
    </w:p>
    <w:p w14:paraId="05E6BED7" w14:textId="77777777" w:rsidR="008D479B" w:rsidRDefault="008D479B" w:rsidP="008D479B">
      <w:pPr>
        <w:pStyle w:val="TextoNormal"/>
      </w:pPr>
    </w:p>
    <w:p w14:paraId="760DDF21" w14:textId="77777777" w:rsidR="008D479B" w:rsidRDefault="008D479B" w:rsidP="008D479B">
      <w:pPr>
        <w:pStyle w:val="TextoNormal"/>
      </w:pPr>
      <w:r>
        <w:t>Dicha reserva de frecuencias ha permanecido sin ser utilizada para el servicio de radiodifusión sonora desde que se planificó —año 2001—. Debe indicarse que el espectro radioeléctrico, como soporte de las radiocomunicaciones, tanto para aplicaciones fijas como, y especialmente, de banda ancha en movilidad, “constituye un recurso cada día más estratégico, valioso y demandado, que precisa de una regulación que compatibilice un acceso más flexible al mismo por parte de operadores y usuarios en general, con un aprovechamiento efectivo y con máxima eficiencia” (exposición de motivos del Reglamento sobre el uso del dominio público radioeléctrico). Esto es, como se ha indicado anteriormente, la planificación radioeléctrica debe estar inspirada en principios de utilización racional, equitativa, eficaz, económica y eficiente del espectro de frecuencias radioeléctricas (arts. 12.1 de la Constitución y Convenio de la Unión Internacional de Telecomunicaciones y 46 de la Directiva).</w:t>
      </w:r>
    </w:p>
    <w:p w14:paraId="6A54073D" w14:textId="77777777" w:rsidR="008D479B" w:rsidRDefault="008D479B" w:rsidP="008D479B">
      <w:pPr>
        <w:pStyle w:val="TextoNormal"/>
      </w:pPr>
    </w:p>
    <w:p w14:paraId="5C0F4C80" w14:textId="77777777" w:rsidR="008D479B" w:rsidRDefault="008D479B" w:rsidP="008D479B">
      <w:pPr>
        <w:pStyle w:val="TextoNormal"/>
      </w:pPr>
      <w:r>
        <w:t>Con la aprobación, casi diez años después, de la LGCA, en armonía con dichos principios, se dispuso —como hemos expuesto— que únicamente es posible otorgar licencias “previa confirmación de existencia de espacio radioeléctrico suficiente” (art. 27.2 LGCA) y que la reserva de dominio público radioeléctrico desaparece y se excluye automáticamente de la planificación si transcurridos doce meses la administración competente no ha solicitado su afectación al servicio público de difusión de radio y televisión o convocado el correspondiente concurso y ningún interesado haya instado la convocatoria (art. 27.4 LGCA). Dicho precepto, que se justifica por la pretensión de lograr un aprovechamiento efectivo y con máxima eficiencia del espectro de frecuencias radioeléctricas, es acorde con la máxima que condiciona el uso de los derechos del espectro radioeléctrico: “se usan o se pierden” (considerando núm. 122 de la Directiva 2018/1972), pues se trata de recursos cuyo uso es tecnológicamente limitado.</w:t>
      </w:r>
    </w:p>
    <w:p w14:paraId="025E1D7E" w14:textId="77777777" w:rsidR="008D479B" w:rsidRDefault="008D479B" w:rsidP="008D479B">
      <w:pPr>
        <w:pStyle w:val="TextoNormal"/>
      </w:pPr>
    </w:p>
    <w:p w14:paraId="2048BCA5" w14:textId="77777777" w:rsidR="008D479B" w:rsidRDefault="008D479B" w:rsidP="008D479B">
      <w:pPr>
        <w:pStyle w:val="TextoNormal"/>
      </w:pPr>
      <w:r>
        <w:t xml:space="preserve">En este caso, no existían licencias disponibles, vacantes o extinguidas (art. 27.2 y 5 y disposición transitoria segunda LGCA), pues nunca se llegaron a ofertar mediante la convocatoria de un concurso. La inexistencia de espacio radioeléctrico planificado resultaba confirmada </w:t>
      </w:r>
      <w:r w:rsidRPr="008D479B">
        <w:rPr>
          <w:i/>
        </w:rPr>
        <w:t>ex lege</w:t>
      </w:r>
      <w:r>
        <w:t xml:space="preserve"> de la regulación contenida en el art. 27.4 LGCA. La posibilidad de planificación estatal no quedaba al arbitrio de la Comunidad Autónoma de La Rioja, de modo que, sin una nueva y previa planificación que únicamente le correspondía hacer al Estado, no existía la posibilidad de convocar el concurso u otorgar licencias por la comunidad autónoma. Esto es, sin reserva planificada del espacio radioeléctrico no cabía el otorgamiento de licencias por la Comunidad Autónoma de La Rioja.</w:t>
      </w:r>
    </w:p>
    <w:p w14:paraId="56A86595" w14:textId="77777777" w:rsidR="008D479B" w:rsidRDefault="008D479B" w:rsidP="008D479B">
      <w:pPr>
        <w:pStyle w:val="TextoNormal"/>
      </w:pPr>
    </w:p>
    <w:p w14:paraId="6F2EC739" w14:textId="77777777" w:rsidR="008D479B" w:rsidRDefault="008D479B" w:rsidP="008D479B">
      <w:pPr>
        <w:pStyle w:val="TextoNormal"/>
      </w:pPr>
      <w:r>
        <w:t>Debe indicarse que aun en el caso de que se hubiera comprobado a través de una eventual solicitud de información efectuada a la administración estatal, sea por la comunidad autónoma o por el interesado, que estaba disponible y no se encontraba afecta al cumplimiento de obligaciones internacionales, sean de coordinación o de otro tipo, la desaparecida reserva planificada de espacio radioeléctrico (art. 27.4 LGCA), efectuada a los tres bloques de frecuencias asignados a La Rioja en el plan técnico nacional y desarrollada por la Orden de 15 de octubre de 2001, la resolución administrativa impugnada no podría ser merecedora de reproche constitucional. En efecto, en tal supuesto, solamente el Estado —como competente exclusivo en la planificación y administración del dominio público radioeléctrico y no la comunidad autónoma—, tenía la posibilidad de modificar el plan técnico nacional y de efectuar una nueva planificación que pudiera servir de soporte a la convocatoria de concurso de adjudicación de licencias por la Comunidad Autónoma de La Rioja. En tal caso, cualquier interesado hubiera podido exigir de la administración del Estado que se efectuara una nueva reserva del dominio radioeléctrico y ante una eventual negativa injustificada impetrar la tutela judicial para compelir al Gobierno a su planificación.</w:t>
      </w:r>
    </w:p>
    <w:p w14:paraId="6FD11816" w14:textId="77777777" w:rsidR="008D479B" w:rsidRDefault="008D479B" w:rsidP="008D479B">
      <w:pPr>
        <w:pStyle w:val="TextoNormal"/>
      </w:pPr>
    </w:p>
    <w:p w14:paraId="3B3D0399" w14:textId="77777777" w:rsidR="008D479B" w:rsidRDefault="008D479B" w:rsidP="008D479B">
      <w:pPr>
        <w:pStyle w:val="TextoNormal"/>
      </w:pPr>
      <w:r>
        <w:t>No ha sido hasta transcurridos ocho años desde la entrada en vigor de la LGCA y dieciocho desde su planificación cuando se ha suscitado interés por las frecuencias que en su día se reservaron para la comunicación audiovisual de radiodifusión sonora digital terrestre en la Comunidad Autónoma de La Rioja, pero que por el transcurso de los plazos legalmente establecidos (art. 27.4 LGCA) —y en aras a una ordenación eficiente del espectro radioeléctrico— dejaron de estar reservadas por disposición legal a dicho uso en la planificación del dominio radioeléctrico. En efecto, la comunidad autónoma no tuvo interés en afectar al servicio público de difusión de radio y televisión la reserva, ni tampoco en convocar el correspondiente concurso, ni finalmente existieron interesados que instaran su convocatoria durante el plazo de un año.</w:t>
      </w:r>
    </w:p>
    <w:p w14:paraId="132916DF" w14:textId="77777777" w:rsidR="008D479B" w:rsidRDefault="008D479B" w:rsidP="008D479B">
      <w:pPr>
        <w:pStyle w:val="TextoNormal"/>
      </w:pPr>
    </w:p>
    <w:p w14:paraId="5D7093F2" w14:textId="77777777" w:rsidR="008D479B" w:rsidRDefault="008D479B" w:rsidP="008D479B">
      <w:pPr>
        <w:pStyle w:val="TextoNormal"/>
      </w:pPr>
      <w:r>
        <w:t>En tales circunstancias debe descartarse que se haya producido una vulneración del derecho a la libertad de expresión e información [art. 20.1 a) y d) CE]. El derecho invocado no atribuye la facultad de congelación o reserva del uso de un recurso tecnológicamente escaso durante años a determinada finalidad. Por tanto, ni la decisión administrativa impugnada carece de previsión legal, al contrario, viene impuesta por la inexistencia de dominio público radioeléctrico (art. 27.4 LGCA), ni es desproporcionada, pues el derecho invocado no es absoluto y presenta indudables límites, debiendo compaginarse con la protección de otros bienes jurídicos constitucionalmente relevantes (STC 12/1982, FJ 3).</w:t>
      </w:r>
    </w:p>
    <w:p w14:paraId="6CEC1546" w14:textId="77777777" w:rsidR="008D479B" w:rsidRDefault="008D479B" w:rsidP="008D479B">
      <w:pPr>
        <w:pStyle w:val="TextoNormal"/>
      </w:pPr>
    </w:p>
    <w:p w14:paraId="70122B53" w14:textId="77777777" w:rsidR="008D479B" w:rsidRDefault="008D479B" w:rsidP="008D479B">
      <w:pPr>
        <w:pStyle w:val="TextoNormal"/>
      </w:pPr>
      <w:r>
        <w:t>No debe olvidarse que, en relación con el derecho “meramente instrumental” (STC 329/2005, de 15 de diciembre, FJ 9) de creación de medios de comunicación, comprendido en el derecho de difundir las ideas y opiniones, el legislador tiene “mucha mayor capacidad de configuración, debiendo contemplar al regular dicha materia otros derechos y valores concurrentes, siempre que no restrinja su contenido esencial” (STC 31/1994, FJ 9) y que “del art. 20 CE no nace directamente un derecho a exigir sin más el otorgamiento de frecuencias para emitir, aunque solo sea a nivel local. Ni tampoco es constitucionalmente exigible que la regulación legal o la actuación administrativa en la materia solo tenga como único límite el número máximo de frecuencias que las posibilidades técnicas permitan otorgar” (STC 206/1990, FJ 6).</w:t>
      </w:r>
    </w:p>
    <w:p w14:paraId="37626327" w14:textId="77777777" w:rsidR="008D479B" w:rsidRDefault="008D479B" w:rsidP="008D479B">
      <w:pPr>
        <w:pStyle w:val="TextoNormal"/>
      </w:pPr>
    </w:p>
    <w:p w14:paraId="43F3C09A" w14:textId="77777777" w:rsidR="008D479B" w:rsidRDefault="008D479B" w:rsidP="008D479B">
      <w:pPr>
        <w:pStyle w:val="TextoNormal"/>
      </w:pPr>
      <w:r>
        <w:t>Finalmente, debe indicarse que la inexistencia actual de licencias disponibles, vacantes o vencidas y de espacio de radiodifusión disponible no tiene carácter temporalmente indefinido, de ser así, podría injustificadamente obstaculizarse el ejercicio de los derechos a la libertad de comunicación e información de potenciales prestadores del servicio de radio digital. Esto es, tanto el otorgamiento de concesiones ilimitadas en el tiempo como la eliminación de cualquier posibilidad de prestación del servicio de comunicación audiovisual de radiodifusión sonora digital terrestre de ámbito local temporalmente ilimitadas, podrían restringir injustificadamente los derechos invocados.</w:t>
      </w:r>
    </w:p>
    <w:p w14:paraId="59B8FE83" w14:textId="77777777" w:rsidR="008D479B" w:rsidRDefault="008D479B" w:rsidP="008D479B">
      <w:pPr>
        <w:pStyle w:val="TextoNormal"/>
      </w:pPr>
    </w:p>
    <w:p w14:paraId="7999F841" w14:textId="77777777" w:rsidR="008D479B" w:rsidRDefault="008D479B" w:rsidP="008D479B">
      <w:pPr>
        <w:pStyle w:val="TextoNormal"/>
      </w:pPr>
      <w:r>
        <w:t>Sin embargo, tales circunstancias tampoco concurren. Por una parte, como hemos indicado, la LGCA pretende evitar la congelación del mercado, e impide la renovación automática en el caso de que exista un tercero que esté interesado en la concesión de la licencia para incorporarse al mercado [art. 28.3 b) LGCA], limitando la duración de las nuevas y antiguas licencias a quince años (disposición transitoria segunda LGCA). Y, por otra parte, los constantes avances tecnológicos en la optimización del espectro radioeléctrico obligan a nuevas planificaciones de frecuencias para lograr un uso más eficiente del espectro. Así ha sucedido con posterioridad a la solicitud planteada por la entidad recurrente con la aprobación del Real Decreto 391/2019, de 21 de junio, por el que se aprueba el plan técnico nacional de la televisión digital terrestre, y que modificó el plan técnico nacional aprobado por el Real Decreto 1287/1999, de 23 de julio.</w:t>
      </w:r>
    </w:p>
    <w:p w14:paraId="7D900617" w14:textId="77777777" w:rsidR="008D479B" w:rsidRDefault="008D479B" w:rsidP="008D479B">
      <w:pPr>
        <w:pStyle w:val="TextoNormal"/>
      </w:pPr>
    </w:p>
    <w:p w14:paraId="262DE327" w14:textId="1946994B" w:rsidR="008D479B" w:rsidRDefault="008D479B" w:rsidP="008D479B">
      <w:pPr>
        <w:pStyle w:val="TextoNormal"/>
      </w:pPr>
      <w:r>
        <w:t>En consideración a lo argumentado en los anteriores fundamentos jurídicos, es procedente la desestimación del recurso de amparo interpuesto.</w:t>
      </w:r>
    </w:p>
    <w:p w14:paraId="1FDAD080" w14:textId="77777777" w:rsidR="008D479B" w:rsidRDefault="008D479B" w:rsidP="008D479B">
      <w:pPr>
        <w:pStyle w:val="TextoNormal"/>
      </w:pPr>
    </w:p>
    <w:p w14:paraId="52679D1D" w14:textId="77777777" w:rsidR="008D479B" w:rsidRDefault="008D479B" w:rsidP="008D479B">
      <w:pPr>
        <w:pStyle w:val="TextoNormalCentrado"/>
        <w:keepNext/>
      </w:pPr>
      <w:r>
        <w:t>FALLO</w:t>
      </w:r>
    </w:p>
    <w:p w14:paraId="729DF20E" w14:textId="305BF235" w:rsidR="008D479B" w:rsidRDefault="008D479B" w:rsidP="008D479B">
      <w:pPr>
        <w:pStyle w:val="TextoNormalCentrado"/>
        <w:keepNext/>
      </w:pPr>
    </w:p>
    <w:p w14:paraId="46D17915" w14:textId="6D1F040D" w:rsidR="008D479B" w:rsidRDefault="008D479B" w:rsidP="008D479B">
      <w:pPr>
        <w:pStyle w:val="TextoNormal"/>
      </w:pPr>
      <w:r>
        <w:t>En atención a todo lo expuesto, el Tribunal Constitucional, por la autoridad que le confiere la Constitución de la Nación española, ha decidido desestimar el recurso de amparo interpuesto por Soninorte Producciones, S.L.</w:t>
      </w:r>
    </w:p>
    <w:p w14:paraId="345D2080" w14:textId="77777777" w:rsidR="008D479B" w:rsidRDefault="008D479B" w:rsidP="008D479B">
      <w:pPr>
        <w:pStyle w:val="TextoNormal"/>
      </w:pPr>
    </w:p>
    <w:p w14:paraId="2AF316C7" w14:textId="77777777" w:rsidR="008D479B" w:rsidRDefault="008D479B" w:rsidP="008D479B">
      <w:pPr>
        <w:pStyle w:val="TextoNormal"/>
      </w:pPr>
      <w:r>
        <w:t>Publíquese esta sentencia en el “Boletín Oficial del Estado”.</w:t>
      </w:r>
    </w:p>
    <w:p w14:paraId="65B6B43E" w14:textId="77777777" w:rsidR="008D479B" w:rsidRDefault="008D479B" w:rsidP="008D479B">
      <w:pPr>
        <w:pStyle w:val="TextoNormal"/>
      </w:pPr>
      <w:r>
        <w:t>Dada en Madrid, a dieciocho de julio de dos mil veintitrés.</w:t>
      </w:r>
    </w:p>
    <w:p w14:paraId="7531FD32" w14:textId="4ABD92D4" w:rsidR="008D479B" w:rsidRDefault="008D479B" w:rsidP="008D479B">
      <w:pPr>
        <w:pStyle w:val="ParrafoNormal"/>
      </w:pPr>
    </w:p>
    <w:p w14:paraId="55F76CFB" w14:textId="77777777" w:rsidR="008D479B" w:rsidRDefault="008D479B" w:rsidP="008D479B">
      <w:pPr>
        <w:pStyle w:val="TextoNormalNegritaCentrado"/>
        <w:keepNext/>
      </w:pPr>
      <w:r>
        <w:t>Voto particular que formula la magistrada doña María Luisa Balaguer Callejón a la sentencia dictada en el recurso de amparo núm. 140-2021</w:t>
      </w:r>
    </w:p>
    <w:p w14:paraId="28C42694" w14:textId="0808D59C" w:rsidR="008D479B" w:rsidRDefault="008D479B" w:rsidP="008D479B">
      <w:pPr>
        <w:pStyle w:val="TextoNormalNegritaCentrado"/>
        <w:keepNext/>
      </w:pPr>
    </w:p>
    <w:p w14:paraId="77B6E2E7" w14:textId="77777777" w:rsidR="008D479B" w:rsidRDefault="008D479B" w:rsidP="008D479B">
      <w:pPr>
        <w:pStyle w:val="TextoNormal"/>
      </w:pPr>
      <w:r>
        <w:t>Con el mayor respeto al criterio mayoritario reflejado en la sentencia a que se refiere el encabezamiento, formulo el presente voto particular en ejercicio de la facultad prevista en el art. 90.2 LOTC, para dejar constancia de los argumentos que defendí en la deliberación y que sustentan mi posición respecto de la estimación del recurso de amparo planteado.</w:t>
      </w:r>
    </w:p>
    <w:p w14:paraId="2C0D0890" w14:textId="77777777" w:rsidR="008D479B" w:rsidRDefault="008D479B" w:rsidP="008D479B">
      <w:pPr>
        <w:pStyle w:val="TextoNormal"/>
      </w:pPr>
    </w:p>
    <w:p w14:paraId="3D40280B" w14:textId="77777777" w:rsidR="008D479B" w:rsidRDefault="008D479B" w:rsidP="008D479B">
      <w:pPr>
        <w:pStyle w:val="TextoNormal"/>
      </w:pPr>
      <w:r>
        <w:t>1. La interpretación de la legislación en materia de derecho de antena y la privación de la eficacia del derecho</w:t>
      </w:r>
    </w:p>
    <w:p w14:paraId="61AE5FDF" w14:textId="77777777" w:rsidR="008D479B" w:rsidRDefault="008D479B" w:rsidP="008D479B">
      <w:pPr>
        <w:pStyle w:val="TextoNormal"/>
      </w:pPr>
    </w:p>
    <w:p w14:paraId="6339C12E" w14:textId="77777777" w:rsidR="008D479B" w:rsidRDefault="008D479B" w:rsidP="008D479B">
      <w:pPr>
        <w:pStyle w:val="TextoNormal"/>
      </w:pPr>
      <w:r>
        <w:t>La sentencia de la que discrepo desarrolla un planteamiento del “derecho de antena” (así denominado desde la STC 73/2014, de 8 de mayo, FJ 4) que se traduce en una total privación de su eficacia respecto de la mercantil recurrente en amparo. La razón principal es que el pronunciamiento del Tribunal obvia la dimensión prestacional que se inscribe en el derecho a la creación de medios de comunicación audiovisual, es decir, ignora que a la libertad de antena se vinculan una serie de obligaciones exigibles a las administraciones públicas, quienes han de garantizar el adecuado ejercicio del derecho dentro del marco normativo del Derecho nacional y del Derecho de la Unión Europea.</w:t>
      </w:r>
    </w:p>
    <w:p w14:paraId="6F25CA8A" w14:textId="77777777" w:rsidR="008D479B" w:rsidRDefault="008D479B" w:rsidP="008D479B">
      <w:pPr>
        <w:pStyle w:val="TextoNormal"/>
      </w:pPr>
    </w:p>
    <w:p w14:paraId="5708C436" w14:textId="77777777" w:rsidR="008D479B" w:rsidRDefault="008D479B" w:rsidP="008D479B">
      <w:pPr>
        <w:pStyle w:val="TextoNormal"/>
      </w:pPr>
      <w:r>
        <w:t>1.1. El planteamiento interpretativo de la sentencia</w:t>
      </w:r>
    </w:p>
    <w:p w14:paraId="1B1B0864" w14:textId="77777777" w:rsidR="008D479B" w:rsidRDefault="008D479B" w:rsidP="008D479B">
      <w:pPr>
        <w:pStyle w:val="TextoNormal"/>
      </w:pPr>
    </w:p>
    <w:p w14:paraId="1E1F141D" w14:textId="77777777" w:rsidR="008D479B" w:rsidRDefault="008D479B" w:rsidP="008D479B">
      <w:pPr>
        <w:pStyle w:val="TextoNormal"/>
      </w:pPr>
      <w:r>
        <w:t>El pronunciamiento de la mayoría detalla la legislación sobre comunicación audiovisual, su evolución, su carácter multinivel por la influencia en la normativa nacional del desarrollo legal del Derecho de la Unión, para terminar concluyendo que el derecho de antena, al ser instrumental de las libertades informativas [art. 20.1 a) y d) CE], puede verse sometido a mayores limitaciones o modulaciones que tales libertades, ya que su efectividad no supone el reconocimiento de un derecho a emitir, ni el reconocimiento de un derecho a exigir de la administración que proporcione una frecuencia para emitir (en este sentido, SSTC 206/1990, 31/1994, 127/1994 y 88/1995, todas ellas dictadas hace ya dos décadas).</w:t>
      </w:r>
    </w:p>
    <w:p w14:paraId="7E8459FD" w14:textId="77777777" w:rsidR="008D479B" w:rsidRDefault="008D479B" w:rsidP="008D479B">
      <w:pPr>
        <w:pStyle w:val="TextoNormal"/>
      </w:pPr>
    </w:p>
    <w:p w14:paraId="61546840" w14:textId="77777777" w:rsidR="008D479B" w:rsidRDefault="008D479B" w:rsidP="008D479B">
      <w:pPr>
        <w:pStyle w:val="TextoNormal"/>
      </w:pPr>
      <w:r>
        <w:t>Desde esta visión subordinada del derecho de antena, la sentencia identifica como condición a su ejercicio la posibilidad de exigir la adjudicación de una licencia de comunicación audiovisual de radiodifusión sonora digital (DAB), para prestar el servicio de radio digital. Así se había establecido ya en la STC 73/2014, que asumió la necesidad de la actuación del legislador (</w:t>
      </w:r>
      <w:r w:rsidRPr="008D479B">
        <w:rPr>
          <w:i/>
        </w:rPr>
        <w:t>interpositio legislatoris</w:t>
      </w:r>
      <w:r>
        <w:t>) para establecer mecanismos de ordenación del sector, al ser necesario compatibilizar el ejercicio del derecho a crear medios de comunicación con el ejercicio de otros derechos y la protección de otros valores constitucionales.</w:t>
      </w:r>
    </w:p>
    <w:p w14:paraId="1EB9CE9C" w14:textId="77777777" w:rsidR="008D479B" w:rsidRDefault="008D479B" w:rsidP="008D479B">
      <w:pPr>
        <w:pStyle w:val="TextoNormal"/>
      </w:pPr>
    </w:p>
    <w:p w14:paraId="082E0D05" w14:textId="77777777" w:rsidR="008D479B" w:rsidRDefault="008D479B" w:rsidP="008D479B">
      <w:pPr>
        <w:pStyle w:val="TextoNormal"/>
      </w:pPr>
      <w:r>
        <w:t>La intermediación legislativa, en el caso que nos ocupa, se circunscribe a los apartados 2 y 4 del art. 27 de la Ley 7/2010, de 31 de marzo, general de la comunicación audiovisual (LGCA), que establecen el régimen de concursos para la concesión de licencias de prestación de servicios audiovisuales, y cuya interpretación es abiertamente controvertida en sede jurisdiccional ordinaria. El principal punto de discusión se centra en determinar cuáles son los efectos, para las empresas del sector y para los usuarios, derivados del hecho de que la administración no haya convocado concursos de adjudicación de concesión de licencias en los distintos plazos marcados por el art. 27 LGCA.</w:t>
      </w:r>
    </w:p>
    <w:p w14:paraId="0CE509E3" w14:textId="77777777" w:rsidR="008D479B" w:rsidRDefault="008D479B" w:rsidP="008D479B">
      <w:pPr>
        <w:pStyle w:val="TextoNormal"/>
      </w:pPr>
    </w:p>
    <w:p w14:paraId="5CF8F5D8" w14:textId="77777777" w:rsidR="008D479B" w:rsidRDefault="008D479B" w:rsidP="008D479B">
      <w:pPr>
        <w:pStyle w:val="TextoNormal"/>
      </w:pPr>
      <w:r>
        <w:t>De un lado, la tesis del decaimiento de la reserva radioeléctrica sostiene que el art. 27.2 LGCA establece la obligación de la administración de establecer la reserva de dominio público radioeléctrico (para uso público) y de convocar el concurso para la adjudicación de las licencias disponibles, sin otros límites que los derivados de las condiciones técnicas y el control de legalidad y, transcurrido el plazo de doce meses previsto en el art. 27.4 LGCA, sin que la administración competente hubiese solicitado la afección al servicio público, o en su caso, ningún interesado haya instado dicha convocatoria, la reserva de dominio público radioeléctrico decaería, excluyéndose automáticamente de la planificación, de lo que resultaría la inexistencia de licencias vacantes susceptibles de ser convocadas ni susceptible de exigir su convocatoria [en este sentido, SSTS 1621/2020, de 26 de noviembre (recurso de casación núm. 4759-2019), y 143/2021, de 4 de febrero (recurso de casación núm. 7628-2019); y sentencias núm. 1051/2018, de 27 de diciembre, y núm. 272/2019, de 8 de abril, de la Sección Primera de la Sala de lo Contencioso-Administrativo del Tribunal Superior de Justicia de Asturias).</w:t>
      </w:r>
    </w:p>
    <w:p w14:paraId="4AD5BEDA" w14:textId="77777777" w:rsidR="008D479B" w:rsidRDefault="008D479B" w:rsidP="008D479B">
      <w:pPr>
        <w:pStyle w:val="TextoNormal"/>
      </w:pPr>
    </w:p>
    <w:p w14:paraId="71D92256" w14:textId="77777777" w:rsidR="008D479B" w:rsidRDefault="008D479B" w:rsidP="008D479B">
      <w:pPr>
        <w:pStyle w:val="TextoNormal"/>
      </w:pPr>
      <w:r>
        <w:t>Del otro lado, la tesis de la prevalencia del derecho a recibir una comunicación audiovisual plural, a través de la convocatoria de concursos, establece que, si se dan las condiciones para que decaiga la reserva de dominio público radioeléctrico, la consecuencia no puede ser la desaparición de las licencias vacantes, sino la liberalización de todo el espacio para la concesión de licencias, en la medida en que la convocatoria del concurso para el otorgamiento de las licencias disponibles deviene en un acto reglado para la administración [en este sentido, por ejemplo, sentencias núm. 518/2018, de 29 de mayo, Sección Primera de la Sala de lo Contencioso-Administrativo de Valladolid del Tribunal Superior de Justicia de Castilla y León; núm. 62/2019, de 31 de enero, Sección Primera de la Sala de lo Contencioso-Administrativo del Tribunal Superior de Justicia de Asturias; núm. 107/2019, de 30 de abril, y núm. 110/2019, de 6 de mayo, de la Sección Primera de la Sala de lo Contencioso-Administrativo del Tribunal Superior de Justicia de Navarra; núm. 450/2020 y núm. 451/2020, ambas de 27 de julio, de la Sección Segunda de la Sala de lo Contencioso-Administrativo del Tribunal Superior de Justicia de Galicia; y, respecto de las licencias de canales de televisión digital terrestre (TDT) local las SSTS 1/2020, de 9 de enero (recurso de casación núm. 5255-2018), y núm. 10/2020, de 14 de enero, (recurso de casación núm. 5256-2018)].</w:t>
      </w:r>
    </w:p>
    <w:p w14:paraId="576BD729" w14:textId="77777777" w:rsidR="008D479B" w:rsidRDefault="008D479B" w:rsidP="008D479B">
      <w:pPr>
        <w:pStyle w:val="TextoNormal"/>
      </w:pPr>
    </w:p>
    <w:p w14:paraId="21B09372" w14:textId="77777777" w:rsidR="008D479B" w:rsidRDefault="008D479B" w:rsidP="008D479B">
      <w:pPr>
        <w:pStyle w:val="TextoNormal"/>
      </w:pPr>
      <w:r>
        <w:t>La sentencia a la que se opone el presente voto particular se alinea con la tesis de que el decaimiento de la reserva radioeléctrica supone la desaparición de la obligación de convocar concursos de licencias, descartando que vulnere las libertades informativas de la recurrente, en su vertiente del derecho de antena, la decisión de la Consejería de Administración Pública y Hacienda del Gobierno de La Rioja de denegar su solicitud de convocatoria de concurso público para la adjudicación de las licencias disponibles de ámbito local en la citada Comunidad Autónoma.</w:t>
      </w:r>
    </w:p>
    <w:p w14:paraId="60399436" w14:textId="77777777" w:rsidR="008D479B" w:rsidRDefault="008D479B" w:rsidP="008D479B">
      <w:pPr>
        <w:pStyle w:val="TextoNormal"/>
      </w:pPr>
    </w:p>
    <w:p w14:paraId="5F62DDC1" w14:textId="77777777" w:rsidR="008D479B" w:rsidRDefault="008D479B" w:rsidP="008D479B">
      <w:pPr>
        <w:pStyle w:val="TextoNormal"/>
      </w:pPr>
      <w:r>
        <w:t>La sentencia no argumenta que exista una saturación del espacio radioeléctrico que haga imposible, por razones técnicas, su ocupación por la recurrente para prestar el servicio de radiodifusión digital. Tampoco alega que la limitación de la creación de medios de comunicación, en este caso, esté justificada en la necesidad de proteger valores constitucionales como el pluralismo (externo o interno) como un valor fundamental del Estado, la formación de una opinión pública libre o los principios de libertad e igualdad (límites estos previstos en las SSTC 6/1981, de 16 de marzo, FJ 4; 12/1982, de 31 de marzo, FJ 6, o 206/1990, de 17 de diciembre, FJ 6). Sencillamente sostiene que las administraciones públicas —y no entraré en el debate de si la estatal o la autonómica porque no resulta pertinente en el marco de un proceso de amparo—, no procedieron a formular la reserva planificada del espacio radioeléctrico, por lo que el otorgamiento de licencias era imposible.</w:t>
      </w:r>
    </w:p>
    <w:p w14:paraId="7227EF84" w14:textId="77777777" w:rsidR="008D479B" w:rsidRDefault="008D479B" w:rsidP="008D479B">
      <w:pPr>
        <w:pStyle w:val="TextoNormal"/>
      </w:pPr>
    </w:p>
    <w:p w14:paraId="3FAD33F8" w14:textId="77777777" w:rsidR="008D479B" w:rsidRDefault="008D479B" w:rsidP="008D479B">
      <w:pPr>
        <w:pStyle w:val="TextoNormal"/>
      </w:pPr>
      <w:r>
        <w:t>1.2. Una interpretación que no prive al titular del ejercicio del derecho de antena ni menoscabe el principio de pluralismo político</w:t>
      </w:r>
    </w:p>
    <w:p w14:paraId="557FD84B" w14:textId="77777777" w:rsidR="008D479B" w:rsidRDefault="008D479B" w:rsidP="008D479B">
      <w:pPr>
        <w:pStyle w:val="TextoNormal"/>
      </w:pPr>
    </w:p>
    <w:p w14:paraId="4F2C4402" w14:textId="77777777" w:rsidR="008D479B" w:rsidRDefault="008D479B" w:rsidP="008D479B">
      <w:pPr>
        <w:pStyle w:val="TextoNormal"/>
      </w:pPr>
      <w:r>
        <w:t>El Tribunal acepta, al asumir la interpretación expuesta, que aunque la inactividad de la administración haga imposible el ejercicio de un derecho, insistentemente catalogado como instrumental, ello no supone una lesión del derecho de antena, porque el legislador, de acuerdo con la legislación vigente y en sintonía con la jurisprudencia constitucional sobre el derecho de creación de medios de comunicación, exige la existencia de una licencia para poder ejercerlo, es decir establece una condición que se acepta como constitucionalmente admisible.</w:t>
      </w:r>
    </w:p>
    <w:p w14:paraId="751E4E62" w14:textId="77777777" w:rsidR="008D479B" w:rsidRDefault="008D479B" w:rsidP="008D479B">
      <w:pPr>
        <w:pStyle w:val="TextoNormal"/>
      </w:pPr>
    </w:p>
    <w:p w14:paraId="2EE51C32" w14:textId="77777777" w:rsidR="008D479B" w:rsidRDefault="008D479B" w:rsidP="008D479B">
      <w:pPr>
        <w:pStyle w:val="TextoNormal"/>
      </w:pPr>
      <w:r>
        <w:t>A mi juicio, este paradójico y circular argumento resulta insostenible, porque conduce a negar que un límite absoluto al ejercicio del derecho, derivado de la inactividad de la administración, sea lesivo del derecho sencillamente porque el legislador prevé como condición de ejercicio del derecho el desarrollo de una determinada actuación administrativa. El planteamiento descrito deja en manos de la voluntad de la administración pública el ejercicio del derecho fundamental y ello no resulta acorde con la observancia del mismo, incluso aunque admitamos la calificación del derecho de antena como puramente instrumental de las libertades informativas.</w:t>
      </w:r>
    </w:p>
    <w:p w14:paraId="4FD11CE7" w14:textId="77777777" w:rsidR="008D479B" w:rsidRDefault="008D479B" w:rsidP="008D479B">
      <w:pPr>
        <w:pStyle w:val="TextoNormal"/>
      </w:pPr>
    </w:p>
    <w:p w14:paraId="5F2D5AF0" w14:textId="77777777" w:rsidR="008D479B" w:rsidRDefault="008D479B" w:rsidP="008D479B">
      <w:pPr>
        <w:pStyle w:val="TextoNormal"/>
      </w:pPr>
      <w:r>
        <w:t>El derecho a crear los soportes, instrumentos o medios de comunicación necesarios para ejercer las libertades informativas, quizá no pueda equipararse a estas, ni en la intensidad de su protección (entre otras, STC 206/1990, de 17 de diciembre, FJ 6), ni en la evaluación de sus límites, pero, tal y como se define en la actualidad el escenario de las comunicaciones, tal y como se han desarrollado los medios técnicos que habilitan el ejercicio de las libertades informativas, y teniendo en cuenta la necesidad de la intervención del poder público en la organización del mercado de las telecomunicaciones, el vínculo entre el medio y el mensaje es cada vez mayor y resulta progresivamente más complejo distinguir entre los instrumentos técnicos de la comunicación y el contenido de la comunicación que conforma las libertades informativas, de modo que no es posible asumir un planteamiento como el que sostiene la sentencia de la mayoría, porque el mismo supone una subordinación del medio al mensaje que justificaría la intervención en el medio, imposibilitando la transmisión del mensaje.</w:t>
      </w:r>
    </w:p>
    <w:p w14:paraId="16E334F6" w14:textId="77777777" w:rsidR="008D479B" w:rsidRDefault="008D479B" w:rsidP="008D479B">
      <w:pPr>
        <w:pStyle w:val="TextoNormal"/>
      </w:pPr>
    </w:p>
    <w:p w14:paraId="342AEC4D" w14:textId="77777777" w:rsidR="008D479B" w:rsidRDefault="008D479B" w:rsidP="008D479B">
      <w:pPr>
        <w:pStyle w:val="TextoNormal"/>
      </w:pPr>
      <w:r>
        <w:t xml:space="preserve">La sentencia de la que discrepo no solo ha perdido la ocasión de revisar la distinción doctrinal clásica entre derechos primarios (libertades informativas) y derechos instrumentales (derecho de antena) del art. 20.1 CE, para eliminar las diferencias establecidas hace más de treinta años entre ambas, cuando el escenario no podía ser más alejado del actual. Además, el pronunciamiento del Tribunal ha venido a profundizar en la separación entre ambas vertientes de las libertades informativas lo que ha supuesto, </w:t>
      </w:r>
      <w:r w:rsidRPr="008D479B">
        <w:rPr>
          <w:i/>
        </w:rPr>
        <w:t>de facto</w:t>
      </w:r>
      <w:r>
        <w:t>, la anulación de una de ellas, concretamente del derecho de antena.</w:t>
      </w:r>
    </w:p>
    <w:p w14:paraId="47876FD3" w14:textId="77777777" w:rsidR="008D479B" w:rsidRDefault="008D479B" w:rsidP="008D479B">
      <w:pPr>
        <w:pStyle w:val="TextoNormal"/>
      </w:pPr>
    </w:p>
    <w:p w14:paraId="2802C823" w14:textId="77777777" w:rsidR="008D479B" w:rsidRDefault="008D479B" w:rsidP="008D479B">
      <w:pPr>
        <w:pStyle w:val="TextoNormal"/>
      </w:pPr>
      <w:r>
        <w:t>No cabe olvidar que el derecho de antena es mucho más complejo que la mera creación de un soporte técnico para permitir las comunicaciones. Se conecta con el art. 20.1 CE, esto es, con el derecho a expresarse libremente mediante la palabra, el escrito o “cualquier otro medio de reproducción” [letra a)], y el derecho a comunicar o recibir libremente información veraz “por cualquier medio de difusión” [letra d)], y por tanto con un genuino derecho de libertad que, además, tiene una proyección política clara, por cuanto las libertades informativas son garantía de la conformación de una opinión pública libre, indisolublemente ligada con el pluralismo político, que es un valor fundamental y un requisito del funcionamiento del Estado democrático, tal y como dispone el art. 1.1 CE. Por estas razones, el derecho de antena no puede quedar subordinado a la voluntad política (o a la desidia administrativa), porque las conexiones con el ejercicio del pluralismo político son tan estrechas que podría darse un condicionamiento indeseable en el marco de un Estado de Derecho. Si el art. 20 CE defiende la libertad en la formación y el desarrollo de la opinión pública, pues la libertad en la expresión de las ideas y los pensamientos y en la difusión de noticias es necesaria premisa de la opinión pública libre, la creación de los medios de comunicación a través de los cuales se puedan transmitir y difundir esas ideas, pensamientos y noticias, por más que sea instrumental, no deja de ser imprescindible.</w:t>
      </w:r>
    </w:p>
    <w:p w14:paraId="4B4D909C" w14:textId="77777777" w:rsidR="008D479B" w:rsidRDefault="008D479B" w:rsidP="008D479B">
      <w:pPr>
        <w:pStyle w:val="TextoNormal"/>
      </w:pPr>
    </w:p>
    <w:p w14:paraId="061A40F5" w14:textId="77777777" w:rsidR="008D479B" w:rsidRDefault="008D479B" w:rsidP="008D479B">
      <w:pPr>
        <w:pStyle w:val="TextoNormal"/>
      </w:pPr>
      <w:r>
        <w:t xml:space="preserve">La jurisprudencia constitucional lo dejó claro en la STC 31/1994, referida a la televisión digital terrestre y al desarrollo del modelo de difusión en aquel momento. Y, aunque la sentencia niegue la proyección de aquella doctrina al caso que ahora nos ocupa, lo cierto es que la proyección es directa y clara. En aquel supuesto era la inactividad del Estado-legislador la que había impedido la creación de los medios de TDT, y el pronunciamiento constitucional sostuvo que el legislador no puede “diferir </w:t>
      </w:r>
      <w:r w:rsidRPr="008D479B">
        <w:rPr>
          <w:i/>
        </w:rPr>
        <w:t>sine die</w:t>
      </w:r>
      <w:r>
        <w:t xml:space="preserve">, más allá de todo tiempo razonable y sin que existan razones que justifiquen la demora, la regulación de una actividad, como es en este caso la gestión indirecta de la televisión local por cable, que afecta directamente al ejercicio de un derecho fundamental como son los reconocidos en el art. 20.1 a) y d) CE, pues la ausencia de regulación legal comporta, de hecho […] no una regulación limitativa del derecho fundamental, sino la prohibición lisa y llana de aquella actividad que es ejercicio de la libertad de comunicación que garantizan los apartados a) y d) del art. 20.1 CE, en su manifestación de emisiones televisivas de carácter local y por cable. Ni la </w:t>
      </w:r>
      <w:r w:rsidRPr="008D479B">
        <w:rPr>
          <w:i/>
        </w:rPr>
        <w:t>publicatio</w:t>
      </w:r>
      <w:r>
        <w:t xml:space="preserve"> de la actividad de difusión televisiva permite en modo alguno eliminar los derechos de comunicar libremente el pensamiento y la información (SSTC 206/1990, fundamento jurídico 6; 189/1991, fundamento jurídico 3) ni, en lo que atañe a derechos fundamentales de libertad, puede el legislador negarlos por la vía de no regular el ejercicio de la actividad en que consisten, pues no es de su disponibilidad la existencia misma de los derechos garantizados </w:t>
      </w:r>
      <w:r w:rsidRPr="008D479B">
        <w:rPr>
          <w:i/>
        </w:rPr>
        <w:t>ex Constitutione</w:t>
      </w:r>
      <w:r>
        <w:t>, aunque pueda modular de distinta manera las condiciones de su ejercicio, respetando en todo caso el límite que señala el art. 53.1 CE” (STC 31/1994, de 31 de enero, FJ 7).</w:t>
      </w:r>
    </w:p>
    <w:p w14:paraId="3B1FEFA6" w14:textId="77777777" w:rsidR="008D479B" w:rsidRDefault="008D479B" w:rsidP="008D479B">
      <w:pPr>
        <w:pStyle w:val="TextoNormal"/>
      </w:pPr>
    </w:p>
    <w:p w14:paraId="28CF127F" w14:textId="77777777" w:rsidR="008D479B" w:rsidRDefault="008D479B" w:rsidP="008D479B">
      <w:pPr>
        <w:pStyle w:val="TextoNormal"/>
      </w:pPr>
      <w:r>
        <w:t>En el caso que resuelve la sentencia, si bien el legislador cumplió con su función y estableció la regulación pertinente, ni la administración central, ni la administración autonómica desarrollaron y ejecutaron las previsiones legales adecuadamente, impidiendo el ejercicio del derecho fundamental que se invoca ante este tribunal. Ha sido la inactividad de la administración la que ha bloqueado el ejercicio del derecho de antena, al no convocar los concursos de adjudicación de licencias para radiodifusión digital terrestre local, inacción de la que deriva la jurisprudencia aplicada por el Tribunal Supremo en este caso, el decaimiento de la reserva del espectro radioeléctrico y la desactivación de las licencias técnicamente disponibles. Y si en 1994 descartamos que el legislador pudiera negar el ejercicio del derecho por la vía de no regular la actividad, no se entiende por qué en el año 2023 debiera aceptarse que la administración pueda negar el ejercicio del derecho, tanto a los operadores que prestan servicios de comunicación audiovisual como a los usuarios, por la vía de no convocar, sin justificación y sin previsión de convocatoria futura, los oportunos concursos para la atribución de las licencias vacantes de explotación del espacio radioeléctrico para las radios digitales terrestres.</w:t>
      </w:r>
    </w:p>
    <w:p w14:paraId="092A81A6" w14:textId="77777777" w:rsidR="008D479B" w:rsidRDefault="008D479B" w:rsidP="008D479B">
      <w:pPr>
        <w:pStyle w:val="TextoNormal"/>
      </w:pPr>
    </w:p>
    <w:p w14:paraId="5221014C" w14:textId="77777777" w:rsidR="008D479B" w:rsidRDefault="008D479B" w:rsidP="008D479B">
      <w:pPr>
        <w:pStyle w:val="TextoNormal"/>
      </w:pPr>
      <w:r>
        <w:t>Por tanto, a mi juicio, y según los argumentos expuestos, la sentencia debió contestar la interpretación formulada por el Tribunal Supremo de la legislación vigente, porque dicha interpretación resulta lesiva del derecho de antena y, correlativamente, menoscaba el ejercicio de las libertades informativas que recoge el art. 20 CE.</w:t>
      </w:r>
    </w:p>
    <w:p w14:paraId="22F79297" w14:textId="77777777" w:rsidR="008D479B" w:rsidRDefault="008D479B" w:rsidP="008D479B">
      <w:pPr>
        <w:pStyle w:val="TextoNormal"/>
      </w:pPr>
    </w:p>
    <w:p w14:paraId="4E0528F9" w14:textId="77777777" w:rsidR="008D479B" w:rsidRDefault="008D479B" w:rsidP="008D479B">
      <w:pPr>
        <w:pStyle w:val="TextoNormal"/>
      </w:pPr>
      <w:r>
        <w:t>2. La necesidad de observar el derecho de antena como un derecho prestacional del que derivan obligaciones de los poderes públicos</w:t>
      </w:r>
    </w:p>
    <w:p w14:paraId="57E2769E" w14:textId="77777777" w:rsidR="008D479B" w:rsidRDefault="008D479B" w:rsidP="008D479B">
      <w:pPr>
        <w:pStyle w:val="TextoNormal"/>
      </w:pPr>
    </w:p>
    <w:p w14:paraId="77495818" w14:textId="77777777" w:rsidR="008D479B" w:rsidRDefault="008D479B" w:rsidP="008D479B">
      <w:pPr>
        <w:pStyle w:val="TextoNormal"/>
      </w:pPr>
      <w:r>
        <w:t>Sin perjuicio de que los argumentos expuestos hasta aquí serían suficientes para justificar mi posición favorable a un fallo estimatorio de la sentencia, entiendo que la misma también podría haber sido el pronunciamiento adecuado para formular un concepto actualizado del derecho de antena, que hubiera tenido en cuenta la evolución del mercado de las telecomunicaciones y la posición de los poderes públicos en la regulación y gestión de ese mercado, que resulta ser un contexto inseparable del ejercicio de las libertades informativas del art. 20 CE.</w:t>
      </w:r>
    </w:p>
    <w:p w14:paraId="5A339A91" w14:textId="77777777" w:rsidR="008D479B" w:rsidRDefault="008D479B" w:rsidP="008D479B">
      <w:pPr>
        <w:pStyle w:val="TextoNormal"/>
      </w:pPr>
    </w:p>
    <w:p w14:paraId="39C27EAA" w14:textId="77777777" w:rsidR="008D479B" w:rsidRDefault="008D479B" w:rsidP="008D479B">
      <w:pPr>
        <w:pStyle w:val="TextoNormal"/>
      </w:pPr>
      <w:r>
        <w:t>Tal y como se deriva del art. 22 LGCA, los servicios de comunicación audiovisual son servicios de interés general que se prestan en el ejercicio del derecho a la libre expresión de ideas, del derecho a comunicar y recibir información, del derecho a participar en la vida pública y social, y del derecho a la libertad de empresa y dentro del fomento de la igualdad, de la pluralidad y de los valores democráticos. Derecho cuyo ejercicio está sometido, en este caso, a la previa licencia otorgada mediante concurso por la autoridad audiovisual competente. Por su parte, en la regulación actualmente vigente, el art. 76.1 de la Ley 13/2022, de 7 de julio, general de comunicación audiovisual, establece que el “servicio de comunicación audiovisual radiofónico y el servicio de comunicación audiovisual sonoro a petición son servicios de interés general que se prestan en ejercicio de la responsabilidad editorial de conformidad con los principios del título I y al amparo de los derechos constitucionales a la libertad de expresión, a comunicar y recibir información, a participar en la vida política y social y a la libertad de empresa”.</w:t>
      </w:r>
    </w:p>
    <w:p w14:paraId="1B731060" w14:textId="77777777" w:rsidR="008D479B" w:rsidRDefault="008D479B" w:rsidP="008D479B">
      <w:pPr>
        <w:pStyle w:val="TextoNormal"/>
      </w:pPr>
    </w:p>
    <w:p w14:paraId="6DD52092" w14:textId="77777777" w:rsidR="008D479B" w:rsidRDefault="008D479B" w:rsidP="008D479B">
      <w:pPr>
        <w:pStyle w:val="TextoNormal"/>
      </w:pPr>
      <w:r>
        <w:t>Esta idea se refuerza en la Directiva (UE) 2018/1972 del Parlamento Europeo y del Consejo, de 11 de diciembre de 2018, por la que se establece el Código europeo de las comunicaciones electrónicas, cuando reconoce establecer un “marco jurídico que garantice la libertad de suministrar redes y servicios de comunicaciones electrónicas, con sujeción únicamente a las condiciones establecidas en la presente Directiva y a toda limitación contemplada en el artículo 52, apartado 1, del Tratado de funcionamiento de la Unión Europea (TFUE), en particular medidas en materia de orden público y seguridad y salud públicas, y coherentes con el artículo 52, apartado 1, de la Carta de los derechos fundamentales de la Unión Europea”. Por tanto, la regulación europea presupone que el derecho de antena o la libertad de antena debe quedar sometido solo a límites muy determinados y aplicados de forma restrictiva. Y, además, la Directiva también contempla que “[l]a regulación de la política audiovisual y de los contenidos tiene como finalidad alcanzar objetivos de interés general, como la libertad de expresión, el pluralismo de los medios de comunicación, la imparcialidad, la diversidad cultural y lingüística, la inclusión social, la protección de los consumidores y la protección de los menores. La separación entre la regulación de las comunicaciones electrónicas y la regulación de los contenidos no es óbice para tener en cuenta los vínculos que existen entre ambas, en particular, con el fin de garantizar el pluralismo de los medios de comunicación, la diversidad cultural y la protección de los consumidores. Dentro de los límites de sus competencias, las autoridades competentes deben contribuir a que se apliquen políticas destinadas a promover dichos objetivos”.</w:t>
      </w:r>
    </w:p>
    <w:p w14:paraId="15890274" w14:textId="77777777" w:rsidR="008D479B" w:rsidRDefault="008D479B" w:rsidP="008D479B">
      <w:pPr>
        <w:pStyle w:val="TextoNormal"/>
      </w:pPr>
    </w:p>
    <w:p w14:paraId="1690659C" w14:textId="77777777" w:rsidR="008D479B" w:rsidRDefault="008D479B" w:rsidP="008D479B">
      <w:pPr>
        <w:pStyle w:val="TextoNormal"/>
      </w:pPr>
      <w:r>
        <w:t>Por tanto, el vínculo entre servicios de comunicaciones, proclamación del interés general, y ejercicio de libertades informativas está claramente establecido en la regulación vigente.</w:t>
      </w:r>
    </w:p>
    <w:p w14:paraId="7EF39606" w14:textId="77777777" w:rsidR="008D479B" w:rsidRDefault="008D479B" w:rsidP="008D479B">
      <w:pPr>
        <w:pStyle w:val="TextoNormal"/>
      </w:pPr>
    </w:p>
    <w:p w14:paraId="0409CFD2" w14:textId="77777777" w:rsidR="008D479B" w:rsidRDefault="008D479B" w:rsidP="008D479B">
      <w:pPr>
        <w:pStyle w:val="TextoNormal"/>
      </w:pPr>
      <w:r>
        <w:t>De este vínculo se deriva, sin mayor dificultad, que la dimensión prestacional de las libertades informativas, ínsita en el mismo reconocimiento constitucional del derecho en el art. 20 CE, y la definición de los servicios audiovisuales como servicios de interés general, supone que la administración asume una serie de obligaciones para mantener un mercado audiovisual competitivo, transparente y plural, del mismo modo que las asume para limitar el ejercicio del derecho de antena por razones de orden público audiovisual. Esta caracterización supone que los poderes públicos asumen una serie de obligaciones positivas, asociadas a la regulación y desarrollo del derecho, que también es servicio. Estas obligaciones compelen a requerimientos de desarrollo normativo, así como de ejecución administrativa, y todo ello para asegurar el acceso al mercado y el uso del dominio público radioeléctrico, y sustentar de este modo la garantía del derecho de la ciudadanía a recibir una información plural y acorde a los valores democráticos.</w:t>
      </w:r>
    </w:p>
    <w:p w14:paraId="60B452AE" w14:textId="77777777" w:rsidR="008D479B" w:rsidRDefault="008D479B" w:rsidP="008D479B">
      <w:pPr>
        <w:pStyle w:val="TextoNormal"/>
      </w:pPr>
    </w:p>
    <w:p w14:paraId="2282D444" w14:textId="77777777" w:rsidR="008D479B" w:rsidRDefault="008D479B" w:rsidP="008D479B">
      <w:pPr>
        <w:pStyle w:val="TextoNormal"/>
      </w:pPr>
      <w:r>
        <w:t>La reserva del espectro radioeléctrico y su eventual caducidad al amparo del artículo 27.4 LGCA tiene como justificación constitucional la obligación de planificar el dominio público radioeléctrico y asignar recursos que pueden ser escasos, convocando los concursos públicos de adjudicación de las respectivas licencias de acuerdo con las necesidades y obligaciones que derivan de la prestación de la radiodifusión digital terrestre local, en el caso que nos ocupa, como servicio de interés general. Todo ello para garantizar la prestación del servicio público y, a través de ello, para dar cumplimiento a la obligación de asegurar la posibilidad de ejercicio del derecho de creación de medios de comunicación, que presupone la ordenación del espacio en que se crean dichos medios para evitar la saturación y asegurar que la comunicación, el mensaje, se transmite adecuadamente.</w:t>
      </w:r>
    </w:p>
    <w:p w14:paraId="3378FE62" w14:textId="77777777" w:rsidR="008D479B" w:rsidRDefault="008D479B" w:rsidP="008D479B">
      <w:pPr>
        <w:pStyle w:val="TextoNormal"/>
      </w:pPr>
    </w:p>
    <w:p w14:paraId="63682AEB" w14:textId="77777777" w:rsidR="008D479B" w:rsidRDefault="008D479B" w:rsidP="008D479B">
      <w:pPr>
        <w:pStyle w:val="TextoNormal"/>
      </w:pPr>
      <w:r>
        <w:t>El contexto fáctico en que se desenvuelve la situación que da lugar al presente proceso de amparo muestra cómo las administraciones no han respondido a su obligación de planificar. La inactividad pública durante más de dos décadas, pese al espectacular desarrollo tecnológico que ha devenido, incluso, en la aparición de nuevas tecnologías aún más eficientes a partir del estándar DAB de común empleo en la Unión Europea, conduce, en realidad, al bloqueo del espectro y a su utilización ineficiente por cuanto la congelación tecnológica operada impide optimizar su uso y obstruye las ventajas que la cláusula de progreso en la materia comportarían para el interés general y, en particular, para el ejercicio de las libertades y los derechos constitucionales en juego, perjudicando de manera muy notable el pluralismo informativo y la libertad de comunicación de los interesados en acceder al espectro y emitir por radiodifusión digital terrestre.</w:t>
      </w:r>
    </w:p>
    <w:p w14:paraId="6BBEA38A" w14:textId="77777777" w:rsidR="008D479B" w:rsidRDefault="008D479B" w:rsidP="008D479B">
      <w:pPr>
        <w:pStyle w:val="TextoNormal"/>
      </w:pPr>
    </w:p>
    <w:p w14:paraId="05C4FAA4" w14:textId="77777777" w:rsidR="008D479B" w:rsidRDefault="008D479B" w:rsidP="008D479B">
      <w:pPr>
        <w:pStyle w:val="TextoNormal"/>
      </w:pPr>
      <w:r>
        <w:t>La naturaleza de la radiodifusión digital terrestre como servicio de interés general prestado sobre el dominio público radioeléctrico genera obligaciones, tanto para quien desea acceder al demanio y prestar el servicio de comunicación —en este caso la recurrente en amparo—, como para quien tiene encomendada la planificación, gestión y control de la utilización del espectro radioeléctrico —en este caso, las administraciones públicas estatal y autonómica—. Esta obligación viene claramente determinada en el art. 45 del Código europeo de las comunicaciones electrónicas que establece en su apartado 1 que, “habida cuenta de que el espectro radioeléctrico es un bien público que tiene un valor social, cultural y económico importante, los Estados miembros velarán por la gestión eficaz del espectro radioeléctrico para las redes y servicios de comunicaciones electrónicas en su territorio de conformidad con lo dispuesto en los artículos 3 y 4. Velarán asimismo por que la atribución de derechos individuales de uso del espectro radioeléctrico para las redes y servicios de comunicaciones electrónicas, la concesión de autorizaciones generales en la materia y la concesión de esos derechos por las autoridades competentes se basen en criterios objetivos, transparentes, favorables para la competencia, no discriminatorios y proporcionados”.</w:t>
      </w:r>
    </w:p>
    <w:p w14:paraId="7B46D547" w14:textId="77777777" w:rsidR="008D479B" w:rsidRDefault="008D479B" w:rsidP="008D479B">
      <w:pPr>
        <w:pStyle w:val="TextoNormal"/>
      </w:pPr>
    </w:p>
    <w:p w14:paraId="034A1242" w14:textId="77777777" w:rsidR="008D479B" w:rsidRDefault="008D479B" w:rsidP="008D479B">
      <w:pPr>
        <w:pStyle w:val="TextoNormal"/>
      </w:pPr>
      <w:r>
        <w:t>Y la limitación del acceso al espectro radioeléctrico, en cuanto bien de dominio público, solo cabe, tal y como se deriva del Código europeo de las comunicaciones electrónicas: (i) por razones técnicas, que no parecen concurrir en este caso, o al menos las administraciones interesadas no han alegado que concurran; (ii) por la necesidad de ajuste al cumplimiento de las condiciones enumeradas en el anexo I del Código europeo; (iii) por la necesidad de evitar interferencias perjudiciales; proteger la salud pública frente a los campos electromagnéticos, teniendo en cuenta en la mayor medida posible la Recomendación 1999/519/CE; asegurar la calidad técnica del servicio; garantizar un uso compartido máximo del espectro radioeléctrico; garantizar un uso eficiente del espectro radioeléctrico o garantizar el logro de un objetivo de interés general.</w:t>
      </w:r>
    </w:p>
    <w:p w14:paraId="7DF8BEC7" w14:textId="77777777" w:rsidR="008D479B" w:rsidRDefault="008D479B" w:rsidP="008D479B">
      <w:pPr>
        <w:pStyle w:val="TextoNormal"/>
      </w:pPr>
    </w:p>
    <w:p w14:paraId="53D3FE0E" w14:textId="77777777" w:rsidR="008D479B" w:rsidRDefault="008D479B" w:rsidP="008D479B">
      <w:pPr>
        <w:pStyle w:val="TextoNormal"/>
      </w:pPr>
      <w:r>
        <w:t xml:space="preserve">En definitiva, la interpretación realizada por la sentencia de la que discrepo se opone a la comprensión del derecho de antena que se promueve desde las instituciones europeas y niega las obligaciones de las administraciones públicas derivadas del Derecho de la Unión y de la aceptación de la dimensión prestacional de las libertades informativas. Las obligaciones adquiridas al amparo del Derecho de la Unión Europea obligan al Estado español a un uso eficiente del espectro radioeléctrico, así como a garantizar la competencia y la innovación en su utilización. Si el artículo 55 del Código europeo de las comunicaciones electrónicas obliga a los Estados a “manifestar claramente los motivos” por los que se limita el número de derechos de uso del espectro radioeléctrico otorgados, “en particular teniendo debidamente en cuenta la necesidad de conseguir los máximos beneficios para los usuarios y facilitar el desarrollo de la competencia, y revisar la limitación, cuando proceda, a intervalos regulares o por una petición razonable de empresas afectadas”, </w:t>
      </w:r>
      <w:r w:rsidRPr="008D479B">
        <w:rPr>
          <w:i/>
        </w:rPr>
        <w:t>a contrario sensu</w:t>
      </w:r>
      <w:r>
        <w:t xml:space="preserve"> debe descartarse cualquier limitación que suponga a efectos prácticos la supresión </w:t>
      </w:r>
      <w:r w:rsidRPr="008D479B">
        <w:rPr>
          <w:i/>
        </w:rPr>
        <w:t>ex lege</w:t>
      </w:r>
      <w:r>
        <w:t xml:space="preserve"> de los derechos de uso del espectro sin la debida motivación o expectativa de revisión en un plazo temporal predeterminado, condenando a emisores y receptores de la libertad de comunicación a la incertidumbre jurídica y a la prestación prolongada en el tiempo de servicios de menor calidad a partir del uso actual del espectro que, en cuanto recurso escaso, se está gestionando, desde la perspectiva cuanto menos tecnológica, de forma ineficiente, al obstaculizar la innovación y la implementación del desarrollo tecnológico que habría de llevar a su mejor aprovechamiento.</w:t>
      </w:r>
    </w:p>
    <w:p w14:paraId="7C23FD8B" w14:textId="77777777" w:rsidR="008D479B" w:rsidRDefault="008D479B" w:rsidP="008D479B">
      <w:pPr>
        <w:pStyle w:val="TextoNormal"/>
      </w:pPr>
    </w:p>
    <w:p w14:paraId="497E4791" w14:textId="77777777" w:rsidR="008D479B" w:rsidRDefault="008D479B" w:rsidP="008D479B">
      <w:pPr>
        <w:pStyle w:val="TextoNormal"/>
      </w:pPr>
      <w:r>
        <w:t>3. Conclusión</w:t>
      </w:r>
    </w:p>
    <w:p w14:paraId="004D3BB9" w14:textId="77777777" w:rsidR="008D479B" w:rsidRDefault="008D479B" w:rsidP="008D479B">
      <w:pPr>
        <w:pStyle w:val="TextoNormal"/>
      </w:pPr>
    </w:p>
    <w:p w14:paraId="55184839" w14:textId="77777777" w:rsidR="008D479B" w:rsidRDefault="008D479B" w:rsidP="008D479B">
      <w:pPr>
        <w:pStyle w:val="TextoNormal"/>
      </w:pPr>
      <w:r>
        <w:t>Este tribunal ha sancionado siempre el principio de interpretación más favorable a la libertad y a una mayor efectividad del derecho constitucional afectado en cada caso, destacando al efecto los principios de razonabilidad, ponderación y proporcionalidad. Combinando esta doctrina con la obligación impuesta por el art. 3.1 del Código civil de interpretar las normas en relación con el contexto y la realidad social del tiempo en que han de ser aplicadas, se pone de relieve la ausencia de seguridad jurídica a que aboca el art. 27 LGCA y la incertidumbre que ha planteado en relación con la evolución tecnológica en el ámbito de la radiodifusión digital, en tanto se ha erigido en límite a su progreso lógico y adecuado a medio y largo plazo.</w:t>
      </w:r>
    </w:p>
    <w:p w14:paraId="16FA05E0" w14:textId="77777777" w:rsidR="008D479B" w:rsidRDefault="008D479B" w:rsidP="008D479B">
      <w:pPr>
        <w:pStyle w:val="TextoNormal"/>
      </w:pPr>
    </w:p>
    <w:p w14:paraId="4C7BD7E3" w14:textId="77777777" w:rsidR="008D479B" w:rsidRDefault="008D479B" w:rsidP="008D479B">
      <w:pPr>
        <w:pStyle w:val="TextoNormal"/>
      </w:pPr>
      <w:r>
        <w:t>La sentencia de la que discrepo realiza una interpretación del derecho de antena que deviene ineficaz en el marco analizado, por cuanto no asume que existen una serie de obligaciones positivas, derivadas del reconocimiento constitucional del derecho de antena, que las administraciones públicas no han atendido en este caso.</w:t>
      </w:r>
    </w:p>
    <w:p w14:paraId="5246AB50" w14:textId="77777777" w:rsidR="008D479B" w:rsidRDefault="008D479B" w:rsidP="008D479B">
      <w:pPr>
        <w:pStyle w:val="TextoNormal"/>
      </w:pPr>
    </w:p>
    <w:p w14:paraId="3D18E1DA" w14:textId="77777777" w:rsidR="008D479B" w:rsidRDefault="008D479B" w:rsidP="008D479B">
      <w:pPr>
        <w:pStyle w:val="TextoNormal"/>
      </w:pPr>
      <w:r>
        <w:t>El derecho de antena, explicado a la luz del Derecho de la Unión, y particularmente del Código europeo de las comunicaciones electrónicas, no es un mero derecho instrumental de las libertades informativas, sino que se integra de manera inseparable en el ejercicio de dichas libertades y particularmente en su vertiente prestacional, de modo que las condiciones de ejercicio del derecho legalmente previstas, no pueden traducirse en una suspensión de su derecho provocada por la inactividad de la administración que no saca a concurso la adjudicación de licencias para radiodifusión digital terrestre local.</w:t>
      </w:r>
    </w:p>
    <w:p w14:paraId="6FA25FF8" w14:textId="77777777" w:rsidR="008D479B" w:rsidRDefault="008D479B" w:rsidP="008D479B">
      <w:pPr>
        <w:pStyle w:val="TextoNormal"/>
      </w:pPr>
    </w:p>
    <w:p w14:paraId="52F6F358" w14:textId="77777777" w:rsidR="008D479B" w:rsidRDefault="008D479B" w:rsidP="008D479B">
      <w:pPr>
        <w:pStyle w:val="TextoNormal"/>
      </w:pPr>
      <w:r>
        <w:t>En este sentido, emito mi voto particular.</w:t>
      </w:r>
    </w:p>
    <w:p w14:paraId="12A4CDFD" w14:textId="77777777" w:rsidR="008D479B" w:rsidRDefault="008D479B" w:rsidP="008D479B">
      <w:pPr>
        <w:pStyle w:val="TextoNormal"/>
      </w:pPr>
    </w:p>
    <w:p w14:paraId="54C18980" w14:textId="40F24C7E" w:rsidR="008D479B" w:rsidRDefault="008D479B" w:rsidP="008D479B">
      <w:pPr>
        <w:pStyle w:val="TextoNormal"/>
      </w:pPr>
      <w:r>
        <w:t>Madrid, a dieciocho de julio de dos mil veintitrés.</w:t>
      </w:r>
    </w:p>
    <w:p w14:paraId="3DF268CA" w14:textId="77777777" w:rsidR="008D479B" w:rsidRDefault="008D479B" w:rsidP="008D479B">
      <w:pPr>
        <w:pStyle w:val="TextoNormal"/>
      </w:pPr>
    </w:p>
    <w:p w14:paraId="4186C39A" w14:textId="77777777" w:rsidR="008D479B" w:rsidRDefault="008D479B" w:rsidP="008D479B">
      <w:pPr>
        <w:pStyle w:val="TextoNormalNegritaCentrado"/>
        <w:keepNext/>
      </w:pPr>
      <w:r>
        <w:t>Voto particular que formula el magistrado don Ramón Sáez Valcárcel a la sentencia dictada en el recurso de amparo avocado núm. 140‑2021</w:t>
      </w:r>
    </w:p>
    <w:p w14:paraId="0F92889E" w14:textId="038FDFBB" w:rsidR="008D479B" w:rsidRDefault="008D479B" w:rsidP="008D479B">
      <w:pPr>
        <w:pStyle w:val="TextoNormalNegritaCentrado"/>
        <w:keepNext/>
      </w:pPr>
    </w:p>
    <w:p w14:paraId="7988A160" w14:textId="77777777" w:rsidR="008D479B" w:rsidRDefault="008D479B" w:rsidP="008D479B">
      <w:pPr>
        <w:pStyle w:val="TextoNormal"/>
      </w:pPr>
      <w:r>
        <w:t>Mi discrepancia con la sentencia se centra en dos puntos. Uno, porque ofrece un entendimiento devaluado del llamado “derecho de antena”. Y, dos, porque ubica el problema jurídico-constitucional planteado en el plano de la actividad del legislador y no en la de la administración. En lo que sigue dejo constancia de las razones de mi disconformidad con el fallo y con los razonamientos que sustentan la posición de la mayoría, sintetizando los argumentos que expuse en la deliberación en el Pleno.</w:t>
      </w:r>
    </w:p>
    <w:p w14:paraId="6E0EFA10" w14:textId="77777777" w:rsidR="008D479B" w:rsidRDefault="008D479B" w:rsidP="008D479B">
      <w:pPr>
        <w:pStyle w:val="TextoNormal"/>
      </w:pPr>
    </w:p>
    <w:p w14:paraId="0E17B767" w14:textId="77777777" w:rsidR="008D479B" w:rsidRDefault="008D479B" w:rsidP="008D479B">
      <w:pPr>
        <w:pStyle w:val="TextoNormal"/>
      </w:pPr>
      <w:r>
        <w:t xml:space="preserve">1. </w:t>
      </w:r>
      <w:r w:rsidRPr="008D479B">
        <w:rPr>
          <w:i/>
        </w:rPr>
        <w:t>La doctrina constitucional sobre el derecho a la creación de medios de comunicación</w:t>
      </w:r>
    </w:p>
    <w:p w14:paraId="3E01E24B" w14:textId="77777777" w:rsidR="008D479B" w:rsidRDefault="008D479B" w:rsidP="008D479B">
      <w:pPr>
        <w:pStyle w:val="TextoNormal"/>
      </w:pPr>
    </w:p>
    <w:p w14:paraId="223EA516" w14:textId="77777777" w:rsidR="008D479B" w:rsidRDefault="008D479B" w:rsidP="008D479B">
      <w:pPr>
        <w:pStyle w:val="TextoNormal"/>
      </w:pPr>
      <w:r>
        <w:t>El recurso de amparo fue admitido a trámite al apreciarse, según recuerda el antecedente cuarto de la sentencia, que “podía dar ocasión al Tribunal para aclarar o cambiar su doctrina, como consecuencia de un proceso de reflexión interna [STC 155/2009, FJ 2 b)]”. Resulta, sin embargo, que la sentencia no solo no desarrolla ni aclara la doctrina constitucional sobre el derecho fundamental en juego —a saber, el derecho a la creación de medios de comunicación—, sino que viene a devaluar la dimensión constitucional de tal derecho al recoger la doctrina preexistente de manera incompleta y parcialmente distorsionada.</w:t>
      </w:r>
    </w:p>
    <w:p w14:paraId="125DC881" w14:textId="77777777" w:rsidR="008D479B" w:rsidRDefault="008D479B" w:rsidP="008D479B">
      <w:pPr>
        <w:pStyle w:val="TextoNormal"/>
      </w:pPr>
    </w:p>
    <w:p w14:paraId="58024162" w14:textId="77777777" w:rsidR="008D479B" w:rsidRDefault="008D479B" w:rsidP="008D479B">
      <w:pPr>
        <w:pStyle w:val="TextoNormal"/>
      </w:pPr>
      <w:r>
        <w:t>Así, por una parte, la sentencia omite indebidamente nuestra doctrina acerca de la profunda imbricación entre el llamado derecho de antena y los derechos sustantivos a los que sirve. Ciertamente, este tribunal ha distinguido entre los “derechos primarios” a la libertad de expresión y comunicación y “los derechos instrumentales” a crear los soportes necesarios para ejercer esas libertades, no pudiendo equipararse la intensidad de protección de los derechos primarios, directamente garantizados por el art. 20 CE, y los que son en realidad meramente instrumentales de aquellos (entre otras, STC 206/1990, de 17 de diciembre, FJ 6). Sin embargo, no puede olvidarse que “los mencionados derechos fundamentales y dichos instrumentos técnicos de comunicación no pueden distinguirse radicalmente; en nuestros días, la libertad de información es, casi sin excepción, un derecho a servirse de determinados medios, de manera que, de algún modo, la posibilidad de crear medios de comunicación social conecta y se integra con estos derechos fundamentales. Y así lo hemos venido reconociendo —como se ha expuesto— desde las iniciales SSTC 12 y 74/1982” [STC 127/1994, de 5 de mayo, FJ 4 B)]. Es decir, en el campo de la radio digital terrestre que nos ocupa, la posibilidad de creación de medios es condición necesaria para el ejercicio del derecho fundamental a comunicar información en un régimen de pluralidad de fuentes como cauce de formación de la opinión pública.</w:t>
      </w:r>
    </w:p>
    <w:p w14:paraId="4ECEBC5C" w14:textId="77777777" w:rsidR="008D479B" w:rsidRDefault="008D479B" w:rsidP="008D479B">
      <w:pPr>
        <w:pStyle w:val="TextoNormal"/>
      </w:pPr>
    </w:p>
    <w:p w14:paraId="19176F86" w14:textId="77777777" w:rsidR="008D479B" w:rsidRDefault="008D479B" w:rsidP="008D479B">
      <w:pPr>
        <w:pStyle w:val="TextoNormal"/>
      </w:pPr>
      <w:r>
        <w:t>De otro lado, la sentencia insiste sobre el carácter instrumental o accesorio del derecho a la creación de medios de comunicación y sobre su consiguiente apertura a la configuración legislativa, sin tener en cuenta el dato fundamental de que tales rasgos han sido afirmados por la jurisprudencia constitucional en relación con medidas legislativas que condicionaban la creación de medios de comunicación o sus características técnicas, no a actuaciones administrativas que impiden de modo total su ejercicio, como ahora sucede. “[L]a libertad de configuración normativa del legislador para disciplinar los soportes técnicos e instrumentos de comunicación […] es mayor que la que posee a la hora de ordenar directamente los derechos fundamentales del art. 20.1 de la Constitución”; su naturaleza “aconseja no entender como una decisión esencial respecto de esos derechos la ordenación de las condiciones técnicas del medio televisivo”; “[u]nos extremos como son los sistemas de transporte y difusión de señales [...] no son ni desarrollo directo de los derechos fundamentales del art. 20.1 de la Constitución ni tampoco realmente, una verdadera regulación de las condiciones para su ejercicio” (STC 127/1994, de 5 de mayo, FFJJ 4 y 5).</w:t>
      </w:r>
    </w:p>
    <w:p w14:paraId="2638315E" w14:textId="77777777" w:rsidR="008D479B" w:rsidRDefault="008D479B" w:rsidP="008D479B">
      <w:pPr>
        <w:pStyle w:val="TextoNormal"/>
      </w:pPr>
    </w:p>
    <w:p w14:paraId="7DD88913" w14:textId="77777777" w:rsidR="008D479B" w:rsidRDefault="008D479B" w:rsidP="008D479B">
      <w:pPr>
        <w:pStyle w:val="TextoNormal"/>
      </w:pPr>
      <w:r>
        <w:t xml:space="preserve">2. </w:t>
      </w:r>
      <w:r w:rsidRPr="008D479B">
        <w:rPr>
          <w:i/>
        </w:rPr>
        <w:t>La interpretación y aplicación formalistas de la ley como problema iusfundamental</w:t>
      </w:r>
    </w:p>
    <w:p w14:paraId="2C1A702D" w14:textId="77777777" w:rsidR="008D479B" w:rsidRDefault="008D479B" w:rsidP="008D479B">
      <w:pPr>
        <w:pStyle w:val="TextoNormal"/>
      </w:pPr>
    </w:p>
    <w:p w14:paraId="61FB068F" w14:textId="77777777" w:rsidR="008D479B" w:rsidRDefault="008D479B" w:rsidP="008D479B">
      <w:pPr>
        <w:pStyle w:val="TextoNormal"/>
      </w:pPr>
      <w:r>
        <w:t xml:space="preserve">La sentencia no identifica correctamente el problema constitucional planteado que, por lo tanto, queda huérfano de todo tratamiento. En efecto, la posición de la mayoría razona como si lo controvertido fuese la previsión legal de un sistema de sometimiento a licencia de la actividad de radiodifusión digital terrestre en el que, además, el número de licencias a adjudicar está sometido a una limitación cuantitativa y esta, a su vez, a la exigencia de una planificación administrativa sometida a plazo de caducidad. Es cierto que la exigencia de título habilitante, como la limitación del número de tales títulos y la exigencia y caducidad de planificación, constituyen restricciones distintas y sucesivas a las libertades de expresión e información (art. 20 CE) y —al margen ya del ámbito del recurso de amparo— de la libertad de empresa (art. 38 CE). Y, como señala la sentencia, se trata de restricciones que, tal y como se configuraban en la ya derogada Ley 7/2010, de 31 de marzo, general de comunicación audiovisual, no cabía reputar </w:t>
      </w:r>
      <w:r w:rsidRPr="008D479B">
        <w:rPr>
          <w:i/>
        </w:rPr>
        <w:t>per se</w:t>
      </w:r>
      <w:r>
        <w:t xml:space="preserve"> inconstitucionales al encontrarse justificadas en la escasez del espectro radioeléctrico, entendido como bien de dominio público de titularidad y gestión estatal cuyo uso privativo es necesario para la prestación de ciertos servicios de comunicación audiovisual, entre ellos el de radiodifusión digital terrestre, y que ha de ser usado de manera eficiente.</w:t>
      </w:r>
    </w:p>
    <w:p w14:paraId="4B2F9B37" w14:textId="77777777" w:rsidR="008D479B" w:rsidRDefault="008D479B" w:rsidP="008D479B">
      <w:pPr>
        <w:pStyle w:val="TextoNormal"/>
      </w:pPr>
    </w:p>
    <w:p w14:paraId="2E97E2C9" w14:textId="77777777" w:rsidR="008D479B" w:rsidRDefault="008D479B" w:rsidP="008D479B">
      <w:pPr>
        <w:pStyle w:val="TextoNormal"/>
      </w:pPr>
      <w:r>
        <w:t>Ahora bien, sucede que nada de esto, propio de la configuración normativa del sistema, formaba parte de la controversia planteada en el presente recurso de amparo. Lo que se discutía era algo atinente al momento ulterior de la aplicación del sistema por parte de las administraciones públicas, a saber, si resulta o no conforme con el art. 20.1 CE la total ausencia de convocatoria de licencias en un contexto de pasividad administrativa prolongada a lo largo de cerca de veinte años, a pesar de que existían interpretaciones de la legislación entonces vigente más proclives a la efectividad de los derechos fundamentales afectados y de la que no existe alegación ni prueba de que pueda conllevar merma para los intereses públicos ni de terceros.</w:t>
      </w:r>
    </w:p>
    <w:p w14:paraId="2F8C1568" w14:textId="77777777" w:rsidR="008D479B" w:rsidRDefault="008D479B" w:rsidP="008D479B">
      <w:pPr>
        <w:pStyle w:val="TextoNormal"/>
      </w:pPr>
    </w:p>
    <w:p w14:paraId="7D4B51FC" w14:textId="77777777" w:rsidR="008D479B" w:rsidRDefault="008D479B" w:rsidP="008D479B">
      <w:pPr>
        <w:pStyle w:val="TextoNormal"/>
      </w:pPr>
      <w:r>
        <w:t>En definitiva, la cuestión constitucional que estábamos llamados a abordar, pero que la sentencia soslaya, es si ante un derecho fundamental cuyo ejercicio presupone una determinada conducta activa de los poderes públicos (en este caso, la convocatoria de concurso para la adjudicación de derechos de uso del espectro radioeléctrico), la administración puede conformarse con una interpretación formalista de la ley o si el art. 20.1 CE le obliga a realizar una interpretación que dote de la máxima efectividad posible a los derechos fundamentales implicados, especialmente en un contexto en que las dificultades para el ejercicio del derecho se deben precisamente a la inactividad de la administración.</w:t>
      </w:r>
    </w:p>
    <w:p w14:paraId="6C9C289A" w14:textId="77777777" w:rsidR="008D479B" w:rsidRDefault="008D479B" w:rsidP="008D479B">
      <w:pPr>
        <w:pStyle w:val="TextoNormal"/>
      </w:pPr>
    </w:p>
    <w:p w14:paraId="5578F27B" w14:textId="77777777" w:rsidR="008D479B" w:rsidRDefault="008D479B" w:rsidP="008D479B">
      <w:pPr>
        <w:pStyle w:val="TextoNormal"/>
      </w:pPr>
      <w:r>
        <w:t xml:space="preserve">La médula del problema es la misma que abordaba la STC 31/1994, de 31 de enero, por más que en aquel caso afectase a la desidia del legislador a la hora de establecer un determinado marco regulatorio y, en este, a la pasividad de la administración a la hora de aplicarlo. En nada cambia esta circunstancia el hecho de que el caso resuelto por aquella sentencia de hace casi treinta años no se refiriese específicamente a una vertiente de la actividad audiovisual que requiriese el uso privativo del espectro radioeléctrico. Aun con estas diferencias sigue siendo relevante, y por lo tanto debería haber sido tenido en cuenta al resolver el presente recurso de amparo, lo afirmado entonces por este tribunal (fundamento jurídico 7): el legislador no puede “diferir </w:t>
      </w:r>
      <w:r w:rsidRPr="008D479B">
        <w:rPr>
          <w:i/>
        </w:rPr>
        <w:t>sine die</w:t>
      </w:r>
      <w:r>
        <w:t xml:space="preserve">, más allá de todo tiempo razonable y sin que existan razones que justifiquen la demora, la regulación de una actividad, como es en este caso la gestión indirecta de la televisión local por cable, que afecta directamente al ejercicio de un derecho fundamental como son los reconocidos en el art. 20.1 a) y d) CE, pues la ausencia de regulación legal comporta, de hecho […] no una regulación limitativa del derecho fundamental, sino la prohibición lisa y llana de aquella actividad que es ejercicio de la libertad de comunicación que garantizan los apartados a) y d) del art. 20.1 CE, en su manifestación de emisiones televisivas de carácter local y por cable. Ni la </w:t>
      </w:r>
      <w:r w:rsidRPr="008D479B">
        <w:rPr>
          <w:i/>
        </w:rPr>
        <w:t>publicatio</w:t>
      </w:r>
      <w:r>
        <w:t xml:space="preserve"> de la actividad de difusión televisiva permite en modo alguno eliminar los derechos de comunicar libremente el pensamiento y la información (STC 206/1990, fundamento jurídico 6; 189/1991, fundamento jurídico 3) ni, en lo que atañe a derechos fundamentales de libertad, puede el legislador negarlos por la vía de no regular el ejercicio de la actividad en que consisten, pues no es de su disponibilidad la existencia misma de los derechos garantizados </w:t>
      </w:r>
      <w:r w:rsidRPr="008D479B">
        <w:rPr>
          <w:i/>
        </w:rPr>
        <w:t>ex Constitutione</w:t>
      </w:r>
      <w:r>
        <w:t>, aunque pueda modular de distinta manera las condiciones de su ejercicio, respetando en todo caso el límite que señala el art. 53.1 CE”.</w:t>
      </w:r>
    </w:p>
    <w:p w14:paraId="10B99A3D" w14:textId="77777777" w:rsidR="008D479B" w:rsidRDefault="008D479B" w:rsidP="008D479B">
      <w:pPr>
        <w:pStyle w:val="TextoNormal"/>
      </w:pPr>
    </w:p>
    <w:p w14:paraId="069B2E41" w14:textId="77777777" w:rsidR="008D479B" w:rsidRDefault="008D479B" w:rsidP="008D479B">
      <w:pPr>
        <w:pStyle w:val="TextoNormal"/>
      </w:pPr>
      <w:r>
        <w:t>La sentencia de la que discrepo pasa por alto esta cuestión y se conforma con una lectura formalista de la controversia, análoga a la que antes habían adoptado la administración autonómica y la sentencia de casación. Examinado el art. 27 LGCA 2010 y concluido que no existen razones para dudar de su constitucionalidad en abstracto, se afirma que la administración autonómica nada debía ni podía hacer para satisfacer las libertades de expresión e información de la entidad solicitante, pues se entiende que, decaída la eficacia de la reserva de espectro de la planificación estatal por el paso del tiempo (art. 27.4 LGCA 2010), no existe espacio radioeléctrico suficiente sobre el cual puedan otorgarse títulos habilitantes (art. 27.2 LGCA 2010), lo que inhabilita legalmente a la administración autonómica para convocar concursos de licencias.</w:t>
      </w:r>
    </w:p>
    <w:p w14:paraId="57D92566" w14:textId="77777777" w:rsidR="008D479B" w:rsidRDefault="008D479B" w:rsidP="008D479B">
      <w:pPr>
        <w:pStyle w:val="TextoNormal"/>
      </w:pPr>
    </w:p>
    <w:p w14:paraId="7846EEA3" w14:textId="77777777" w:rsidR="008D479B" w:rsidRDefault="008D479B" w:rsidP="008D479B">
      <w:pPr>
        <w:pStyle w:val="TextoNormal"/>
      </w:pPr>
      <w:r>
        <w:t xml:space="preserve">Se entiende, por lo tanto, que el decaimiento de la reserva </w:t>
      </w:r>
      <w:r w:rsidRPr="008D479B">
        <w:rPr>
          <w:i/>
        </w:rPr>
        <w:t>ex</w:t>
      </w:r>
      <w:r>
        <w:t xml:space="preserve"> art. 27.4 conlleva automática y necesariamente la inexistencia de espectro a que alude el art. 27.2, conclusión que no se deriva del tenor literal de la LGCA 2010 y que, además, en las circunstancias del caso, supone privar de toda efectividad a los derechos fundamentales de la entidad demandante.</w:t>
      </w:r>
    </w:p>
    <w:p w14:paraId="62C0AED8" w14:textId="77777777" w:rsidR="008D479B" w:rsidRDefault="008D479B" w:rsidP="008D479B">
      <w:pPr>
        <w:pStyle w:val="TextoNormal"/>
      </w:pPr>
    </w:p>
    <w:p w14:paraId="6F18E154" w14:textId="77777777" w:rsidR="008D479B" w:rsidRDefault="008D479B" w:rsidP="008D479B">
      <w:pPr>
        <w:pStyle w:val="TextoNormal"/>
      </w:pPr>
      <w:r>
        <w:t>Ha de tenerse en cuenta que en el concreto supuesto de que trae causa el recurso de amparo concurrían varios tipos de pasividad o inactividad administrativa: una primera, consistente en la falta de convocatoria de concurso público, en su momento, por parte de la administración autonómica; una segunda, consistente en la falta de realización de nuevas planificaciones por parte de la administración estatal, a pesar de datar la última del año 2001; y una tercera, que es la verdaderamente relevante en este caso, pero que adquiere trascendencia por su conexión con las ya citadas, consistente en la falta de proactividad de la administración autonómica a la hora de dotar de efectividad, dentro del marco legal vigente, a los derechos fundamentales del art. 20.1 CE invocados por la recurrente en amparo. Entiendo, por lo tanto, que ese contexto de previa y prolongada pasividad de las administraciones estatal y autonómica exigía de esta última, y de los órganos judiciales después, una interpretación y aplicación de la ley que, sin desconocer su literalidad ni atentar contra los intereses protegidos por ella, facilitase en la medida de lo posible el ejercicio de los derechos a comunicar y recibir información veraz en un marco de pluralismo.</w:t>
      </w:r>
    </w:p>
    <w:p w14:paraId="35F91BA1" w14:textId="77777777" w:rsidR="008D479B" w:rsidRDefault="008D479B" w:rsidP="008D479B">
      <w:pPr>
        <w:pStyle w:val="TextoNormal"/>
      </w:pPr>
    </w:p>
    <w:p w14:paraId="2C140936" w14:textId="77777777" w:rsidR="008D479B" w:rsidRDefault="008D479B" w:rsidP="008D479B">
      <w:pPr>
        <w:pStyle w:val="TextoNormal"/>
      </w:pPr>
      <w:r>
        <w:t>Esa interpretación alternativa de la legislación aplicable resultaba posible, pues el art. 27.2 LGCA condiciona la convocatoria de concursos de licencias por parte de la administración competente a la “previa confirmación de existencia de espacio radioeléctrico suficiente”. No alude la norma a la reserva del espectro ni a su planificación, sino al dato material de su existencia, de su disponibilidad. Ordinariamente, esto último se plasma a través de decisiones administrativas de planificación. En el caso que ahora examinamos, sin embargo, la ausencia de actividad planificadora durante cerca de dos décadas y la alegación por el recurrente —no controvertida— de que la misma no había impedido que determinadas comunidades autónomas procediesen a la convocatoria y adjudicación de licencias, obligaban al aplicador de la norma a indagar si efectivamente existía espectro disponible para la adjudicación, cosa que podía suceder si, a pesar de haberse producido el decaimiento formal de la reserva, las correspondientes bandas de frecuencias no habían sido destinadas a otro uso ni habían sido o estaban en vías de ser planificadas para otro uso. Mediante una mera consulta al Estado, titular del demanio y competente para planificar su uso, cabía comprobar si existía o no algún obstáculo real que justificase la restricción de las libertades del recurrente en amparo.</w:t>
      </w:r>
    </w:p>
    <w:p w14:paraId="29F16E6A" w14:textId="77777777" w:rsidR="008D479B" w:rsidRDefault="008D479B" w:rsidP="008D479B">
      <w:pPr>
        <w:pStyle w:val="TextoNormal"/>
      </w:pPr>
    </w:p>
    <w:p w14:paraId="6FDC1C0A" w14:textId="77777777" w:rsidR="008D479B" w:rsidRDefault="008D479B" w:rsidP="008D479B">
      <w:pPr>
        <w:pStyle w:val="TextoNormal"/>
      </w:pPr>
      <w:r>
        <w:t>Entender la exigencia del art. 27.2 LGCA en este sentido material y no formal resulta coherente, además, con las previsiones normativas europeas e internas que priorizan el uso eficiente del espectro radioeléctrico y la competencia en el mercado, así como con la ulterior evolución legislativa del sector, pues en la actualidad el art. 26.5 de la Ley 13/2022, de 7 de julio, general de comunicación audiovisual (LGCA 2022), impide expresamente que el mero paso del tiempo produzca el decaimiento de la reserva, debiéndose atender a si la porción afectada del dominio público radioeléctrico ha sido o no efectivamente destinada a otro fin. Y es que en defecto de justificación real (no meramente formal) ha de entenderse, en fin, que la prohibición de emisión “constituye un sacrificio del derecho fundamental desproporcionado respecto a los posibles derechos, bienes o intereses a tener en cuenta” (STC 31/1994, FJ 7).</w:t>
      </w:r>
    </w:p>
    <w:p w14:paraId="4B004E25" w14:textId="77777777" w:rsidR="008D479B" w:rsidRDefault="008D479B" w:rsidP="008D479B">
      <w:pPr>
        <w:pStyle w:val="TextoNormal"/>
      </w:pPr>
    </w:p>
    <w:p w14:paraId="105A3DFE" w14:textId="77777777" w:rsidR="008D479B" w:rsidRDefault="008D479B" w:rsidP="008D479B">
      <w:pPr>
        <w:pStyle w:val="TextoNormal"/>
      </w:pPr>
      <w:r>
        <w:t>Sin embargo, en ningún momento la autoridad administrativa se planteó si existía o no espectro disponible para las eventuales licencias a convocar, ni consultó sobre este dato al titular del demanio (el Estado), sino que se conformó, sin más, con realizar una interpretación formalista de la ley para equiparar la caducidad de la reserva con la falta de espectro, a pesar de que se le había puesto de manifiesto la posibilidad de interpretaciones alternativas, que se habían ofrecido en otras comunidades autónomas y en parte de los Tribunales Superiores de Justicia. Esta aproximación al problema, que la sentencia de la que discrepo viene a respaldar, no tiene suficientemente en cuenta que “los derechos y libertades fundamentales vinculan a todos los poderes públicos (art. 9.1 y 53.1 CE) y son origen inmediato de derechos y obligaciones y no meros principios programáticos, no sufriendo este principio general de aplicabilidad inmediata más excepciones que las que imponga la propia Constitución expresamente o que la naturaleza misma de la norma impida considerarla inmediatamente aplicable (SSTC 15/1982, FJ 9; y 254/1993, FJ 6)” y que las libertades del art. 20.1 a) y c) cuentan con un contenido mínimo “que debe ser protegido por todos los poderes públicos y, en última instancia, por este Tribunal Constitucional a través del recurso de amparo” (STC 31/1994, FJ 7).</w:t>
      </w:r>
    </w:p>
    <w:p w14:paraId="7E41557D" w14:textId="77777777" w:rsidR="008D479B" w:rsidRDefault="008D479B" w:rsidP="008D479B">
      <w:pPr>
        <w:pStyle w:val="TextoNormal"/>
      </w:pPr>
    </w:p>
    <w:p w14:paraId="6A611532" w14:textId="77777777" w:rsidR="008D479B" w:rsidRDefault="008D479B" w:rsidP="008D479B">
      <w:pPr>
        <w:pStyle w:val="TextoNormal"/>
      </w:pPr>
      <w:r>
        <w:t>Y en este sentido emito mi voto particular.</w:t>
      </w:r>
    </w:p>
    <w:p w14:paraId="5515E335" w14:textId="77777777" w:rsidR="008D479B" w:rsidRDefault="008D479B" w:rsidP="008D479B">
      <w:pPr>
        <w:pStyle w:val="TextoNormal"/>
      </w:pPr>
    </w:p>
    <w:p w14:paraId="6B1322D7" w14:textId="43BA3B59" w:rsidR="008D479B" w:rsidRDefault="008D479B" w:rsidP="008D479B">
      <w:pPr>
        <w:pStyle w:val="TextoNormal"/>
      </w:pPr>
      <w:r>
        <w:t>Madrid, a dieciocho de julio de dos mil veintitrés.</w:t>
      </w:r>
    </w:p>
    <w:p w14:paraId="0904EF90" w14:textId="77777777" w:rsidR="008D479B" w:rsidRDefault="008D479B" w:rsidP="008D479B">
      <w:pPr>
        <w:pStyle w:val="TextoNormal"/>
      </w:pPr>
    </w:p>
    <w:p w14:paraId="4FE36EB0" w14:textId="77777777" w:rsidR="008D479B" w:rsidRDefault="008D479B" w:rsidP="008D479B">
      <w:pPr>
        <w:pStyle w:val="TextoNormalNegritaCentrado"/>
        <w:keepNext/>
      </w:pPr>
      <w:r>
        <w:t>Voto particular concurrente que formulan los magistrados don Enrique Arnaldo Alcubilla y doña Concepción Espejel Jorquera a la sentencia dictada en el recurso de amparo número 140-2021</w:t>
      </w:r>
    </w:p>
    <w:p w14:paraId="16703516" w14:textId="69B13FA4" w:rsidR="008D479B" w:rsidRDefault="008D479B" w:rsidP="008D479B">
      <w:pPr>
        <w:pStyle w:val="TextoNormalNegritaCentrado"/>
        <w:keepNext/>
      </w:pPr>
    </w:p>
    <w:p w14:paraId="48EA1A02" w14:textId="77777777" w:rsidR="008D479B" w:rsidRDefault="008D479B" w:rsidP="008D479B">
      <w:pPr>
        <w:pStyle w:val="TextoNormal"/>
      </w:pPr>
      <w:r>
        <w:t>En el ejercicio de la facultad que nos confiere el artículo 90.2 de la Ley Orgánica del Tribunal Constitucional, y con respeto a la opinión de nuestros compañeros, formulamos el presente voto particular para expresar nuestra discrepancia con parte de la fundamentación de la sentencia recaída en el presente recurso de amparo, conforme a los argumentos que ya tuvimos ocasión de exponer durante su deliberación en el Pleno, aunque compartamos el fallo de esta.</w:t>
      </w:r>
    </w:p>
    <w:p w14:paraId="5D37883A" w14:textId="77777777" w:rsidR="008D479B" w:rsidRDefault="008D479B" w:rsidP="008D479B">
      <w:pPr>
        <w:pStyle w:val="TextoNormal"/>
      </w:pPr>
    </w:p>
    <w:p w14:paraId="4DB71859" w14:textId="77777777" w:rsidR="008D479B" w:rsidRDefault="008D479B" w:rsidP="008D479B">
      <w:pPr>
        <w:pStyle w:val="TextoNormal"/>
      </w:pPr>
      <w:r>
        <w:t xml:space="preserve">1. </w:t>
      </w:r>
      <w:r w:rsidRPr="008D479B">
        <w:rPr>
          <w:i/>
        </w:rPr>
        <w:t>Queja planteada y respuesta de la sentencia</w:t>
      </w:r>
    </w:p>
    <w:p w14:paraId="7269D80C" w14:textId="77777777" w:rsidR="008D479B" w:rsidRDefault="008D479B" w:rsidP="008D479B">
      <w:pPr>
        <w:pStyle w:val="TextoNormal"/>
      </w:pPr>
    </w:p>
    <w:p w14:paraId="45276354" w14:textId="77777777" w:rsidR="008D479B" w:rsidRDefault="008D479B" w:rsidP="008D479B">
      <w:pPr>
        <w:pStyle w:val="TextoNormal"/>
      </w:pPr>
      <w:r>
        <w:t>La queja de la entidad recurrente en amparo se centraba en la infracción del derecho a crear los medios de comunicación indispensables para el ejercicio del derecho a expresar y difundir libremente los pensamientos, ideas y opiniones mediante la palabra, el escrito o cualquier otro medio de reproducción [art. 20.1 a) CE] y a comunicar o recibir libremente información veraz por cualquier medio de difusión [art. 20.1 d) CE]. Esta infracción se deriva de la negativa de la administración de la Comunidad Autónoma de La Rioja a convocar un concurso público de licencias de radiodifusión sonora digital de ámbito local amparándose en una cuestión meramente formal: el transcurso de un plazo imputable a su propia inactividad y al consiguiente decaimiento de la planificación del espacio radioeléctrico de competencia estatal.</w:t>
      </w:r>
    </w:p>
    <w:p w14:paraId="765AE6F8" w14:textId="77777777" w:rsidR="008D479B" w:rsidRDefault="008D479B" w:rsidP="008D479B">
      <w:pPr>
        <w:pStyle w:val="TextoNormal"/>
      </w:pPr>
    </w:p>
    <w:p w14:paraId="6CB2C08B" w14:textId="77777777" w:rsidR="008D479B" w:rsidRDefault="008D479B" w:rsidP="008D479B">
      <w:pPr>
        <w:pStyle w:val="TextoNormal"/>
      </w:pPr>
      <w:r>
        <w:t xml:space="preserve">La sentencia viene a descartar esa vulneración con un argumento de mera legalidad: que el uso de un recurso escaso, como es el espectro radioeléctrico, exige la previa planificación por su titular, el Estado, y que la legislación vigente en el momento de solicitar la convocatoria del concurso, la Ley 7/2010, de 31 de marzo, general de la comunicación audiovisual (LGCA), señalaba expresamente la exclusión de la planificación de aquellas frecuencias inicialmente asignadas si la administración competente no convoca en un plazo determinado o ningún interesado instó la convocatoria en ese plazo. En suma, para la sentencia, el hecho de que la reserva de dominio hubiera desaparecido por tales circunstancias imposibilitaba </w:t>
      </w:r>
      <w:r w:rsidRPr="008D479B">
        <w:rPr>
          <w:i/>
        </w:rPr>
        <w:t>ex lege</w:t>
      </w:r>
      <w:r>
        <w:t xml:space="preserve"> la convocatoria del concurso solicitado. A lo anterior añade un cierto reproche que se hace a la actuación de la demandante de amparo al indicar que nadie se había interesado por el espectro —ni la comunidad autónoma ni tampoco ningún sujeto privado— hasta dieciocho años después de la planificación, cuando ya había decaído la reserva.</w:t>
      </w:r>
    </w:p>
    <w:p w14:paraId="0A89D9A5" w14:textId="77777777" w:rsidR="008D479B" w:rsidRDefault="008D479B" w:rsidP="008D479B">
      <w:pPr>
        <w:pStyle w:val="TextoNormal"/>
      </w:pPr>
    </w:p>
    <w:p w14:paraId="78ACF088" w14:textId="77777777" w:rsidR="008D479B" w:rsidRDefault="008D479B" w:rsidP="008D479B">
      <w:pPr>
        <w:pStyle w:val="TextoNormal"/>
      </w:pPr>
      <w:r>
        <w:t xml:space="preserve">2. </w:t>
      </w:r>
      <w:r w:rsidRPr="008D479B">
        <w:rPr>
          <w:i/>
        </w:rPr>
        <w:t>Insuficiente identificación del problema constitucional planteado a partir del contexto en el que se adopta la decisión impugnada en amparo</w:t>
      </w:r>
    </w:p>
    <w:p w14:paraId="65ABD5F9" w14:textId="77777777" w:rsidR="008D479B" w:rsidRDefault="008D479B" w:rsidP="008D479B">
      <w:pPr>
        <w:pStyle w:val="TextoNormal"/>
      </w:pPr>
    </w:p>
    <w:p w14:paraId="26C1B97C" w14:textId="77777777" w:rsidR="008D479B" w:rsidRDefault="008D479B" w:rsidP="008D479B">
      <w:pPr>
        <w:pStyle w:val="TextoNormal"/>
      </w:pPr>
      <w:r>
        <w:t>Esa respuesta nos parece insuficiente en tanto que meramente centrada en la legalidad ordinaria y elusiva del problema constitucional que en realidad se planteaba aquí: la incidencia en el denominado derecho de antena de la inactividad encadenada de dos administraciones públicas que se ha traducido en la imposibilidad fáctica de ejercicio de un derecho fundamental.</w:t>
      </w:r>
    </w:p>
    <w:p w14:paraId="1880A574" w14:textId="77777777" w:rsidR="008D479B" w:rsidRDefault="008D479B" w:rsidP="008D479B">
      <w:pPr>
        <w:pStyle w:val="TextoNormal"/>
      </w:pPr>
    </w:p>
    <w:p w14:paraId="37E8E027" w14:textId="77777777" w:rsidR="008D479B" w:rsidRDefault="008D479B" w:rsidP="008D479B">
      <w:pPr>
        <w:pStyle w:val="TextoNormal"/>
      </w:pPr>
      <w:r>
        <w:t>La cuestión constitucional a abordar, en definitiva, era si ante un derecho fundamental cuyo ejercicio presupone una determinada conducta de los poderes públicos (por lo que ahora interesa, la adjudicación de derechos de uso del espectro radioeléctrico), la administración puede conformarse con una interpretación formalista de la ley o si el art. 20.1 CE le obliga a realizar una interpretación que dote de la máxima efectividad posible a los derechos fundamentales implicados, especialmente en un contexto en que las dificultades para el ejercicio del derecho se deben precisamente a la inactividad de la administración.</w:t>
      </w:r>
    </w:p>
    <w:p w14:paraId="2973344C" w14:textId="77777777" w:rsidR="008D479B" w:rsidRDefault="008D479B" w:rsidP="008D479B">
      <w:pPr>
        <w:pStyle w:val="TextoNormal"/>
      </w:pPr>
    </w:p>
    <w:p w14:paraId="595BEAD7" w14:textId="77777777" w:rsidR="008D479B" w:rsidRDefault="008D479B" w:rsidP="008D479B">
      <w:pPr>
        <w:pStyle w:val="TextoNormal"/>
      </w:pPr>
      <w:r>
        <w:t>La sentencia no destaca como merece, a los efectos de identificar la cuestión constitucional que se plantea, que la decisión de la administración responde a una circunstancia muy concreta, con la consecuencia de que se difumina el hecho de que estamos ante un caso en el que la inactividad administrativa ha perjudicado de forma directa el ejercicio de un derecho fundamental. La decisión impugnada en este proceso de amparo se adopta en un contexto caracterizado por la pasividad administrativa prolongada a lo largo del tiempo, tanto de la administración autonómica como de la estatal.</w:t>
      </w:r>
    </w:p>
    <w:p w14:paraId="457902CB" w14:textId="77777777" w:rsidR="008D479B" w:rsidRDefault="008D479B" w:rsidP="008D479B">
      <w:pPr>
        <w:pStyle w:val="TextoNormal"/>
      </w:pPr>
    </w:p>
    <w:p w14:paraId="615F938E" w14:textId="77777777" w:rsidR="008D479B" w:rsidRDefault="008D479B" w:rsidP="008D479B">
      <w:pPr>
        <w:pStyle w:val="TextoNormal"/>
      </w:pPr>
      <w:r>
        <w:t>La autonómica, porque, una vez planificado el espectro radioeléctrico por el Estado, en el caso de la Comunidad Autónoma de La Rioja, se reservaban tres bloques de frecuencia cuyos concursos debían convocarse en un plazo máximo de dieciocho meses, ya que, caso de no hacerlo, la reserva decaía y se excluía automáticamente de la planificación radioeléctrica. La administración autonómica no convocó concurso alguno.</w:t>
      </w:r>
    </w:p>
    <w:p w14:paraId="3A649377" w14:textId="77777777" w:rsidR="008D479B" w:rsidRDefault="008D479B" w:rsidP="008D479B">
      <w:pPr>
        <w:pStyle w:val="TextoNormal"/>
      </w:pPr>
    </w:p>
    <w:p w14:paraId="483E7ECD" w14:textId="77777777" w:rsidR="008D479B" w:rsidRDefault="008D479B" w:rsidP="008D479B">
      <w:pPr>
        <w:pStyle w:val="TextoNormal"/>
      </w:pPr>
      <w:r>
        <w:t>La estatal, porque no hizo nada para subsanar el problema generado por la conjunción de la inactividad autonómica y la propia regulación estatal que, en la práctica, determinaba la caducidad de las frecuencias asignadas transcurrido un determinado plazo. La administración estatal no acometió la tarea de realizar nuevas planificaciones que hubieran permitido, al menos en teoría, nuevas convocatorias de concursos.</w:t>
      </w:r>
    </w:p>
    <w:p w14:paraId="4DDE1BAF" w14:textId="77777777" w:rsidR="008D479B" w:rsidRDefault="008D479B" w:rsidP="008D479B">
      <w:pPr>
        <w:pStyle w:val="TextoNormal"/>
      </w:pPr>
    </w:p>
    <w:p w14:paraId="50660F09" w14:textId="77777777" w:rsidR="008D479B" w:rsidRDefault="008D479B" w:rsidP="008D479B">
      <w:pPr>
        <w:pStyle w:val="TextoNormal"/>
      </w:pPr>
      <w:r>
        <w:t>En suma, el problema constitucional que se suscita es si la inactividad, tanto del Estado (en materia de planificación) como de las comunidades autónomas (al no convocar concursos alegando el decaimiento de la reserva radioeléctrica por el transcurso del plazo de doce meses establecido en la LGCA), vulnera o no el derecho de antena como derecho de libertad de creación de medios de comunicación [art. 20.1 a) y d) CE], sin que exista una clara evidencia sobre la concurrencia de condiciones de carácter técnico obstaculizadoras del mismo. Así, lo que se plantea es si la falta de convocatoria de concursos impide la entrada de nuevos operadores, limitando el derecho de antena que forma parte del derecho a la libertad de información.</w:t>
      </w:r>
    </w:p>
    <w:p w14:paraId="37F72FB4" w14:textId="77777777" w:rsidR="008D479B" w:rsidRDefault="008D479B" w:rsidP="008D479B">
      <w:pPr>
        <w:pStyle w:val="TextoNormal"/>
      </w:pPr>
    </w:p>
    <w:p w14:paraId="5F89CF6B" w14:textId="77777777" w:rsidR="008D479B" w:rsidRDefault="008D479B" w:rsidP="008D479B">
      <w:pPr>
        <w:pStyle w:val="TextoNormal"/>
      </w:pPr>
      <w:r>
        <w:t xml:space="preserve">3. </w:t>
      </w:r>
      <w:r w:rsidRPr="008D479B">
        <w:rPr>
          <w:i/>
        </w:rPr>
        <w:t>Omisión de determinados elementos en el análisis que lleva a cabo la sentencia</w:t>
      </w:r>
    </w:p>
    <w:p w14:paraId="7146ECA1" w14:textId="77777777" w:rsidR="008D479B" w:rsidRDefault="008D479B" w:rsidP="008D479B">
      <w:pPr>
        <w:pStyle w:val="TextoNormal"/>
      </w:pPr>
    </w:p>
    <w:p w14:paraId="6B8B36D6" w14:textId="77777777" w:rsidR="008D479B" w:rsidRDefault="008D479B" w:rsidP="008D479B">
      <w:pPr>
        <w:pStyle w:val="TextoNormal"/>
      </w:pPr>
      <w:r>
        <w:t>En nuestra opinión, con el marco de análisis que se acaba de exponer, devenían relevantes varios elementos a los que la sentencia, muy centrada en la razonabilidad de la regulación de la LGCA, no otorga la consideración que merecen.</w:t>
      </w:r>
    </w:p>
    <w:p w14:paraId="2C80E5D1" w14:textId="77777777" w:rsidR="008D479B" w:rsidRDefault="008D479B" w:rsidP="008D479B">
      <w:pPr>
        <w:pStyle w:val="TextoNormal"/>
      </w:pPr>
    </w:p>
    <w:p w14:paraId="6E402396" w14:textId="77777777" w:rsidR="008D479B" w:rsidRDefault="008D479B" w:rsidP="008D479B">
      <w:pPr>
        <w:pStyle w:val="TextoNormal"/>
      </w:pPr>
      <w:r>
        <w:t xml:space="preserve">Hay que partir del hecho de que, </w:t>
      </w:r>
      <w:r w:rsidRPr="008D479B">
        <w:rPr>
          <w:i/>
        </w:rPr>
        <w:t>de facto</w:t>
      </w:r>
      <w:r>
        <w:t>, ha existido una imposibilidad absoluta de ejercicio de un derecho fundamental durante un tiempo potencialmente ilimitado, derivado de la inactividad administrativa antes descrita.</w:t>
      </w:r>
    </w:p>
    <w:p w14:paraId="40D25D00" w14:textId="77777777" w:rsidR="008D479B" w:rsidRDefault="008D479B" w:rsidP="008D479B">
      <w:pPr>
        <w:pStyle w:val="TextoNormal"/>
      </w:pPr>
    </w:p>
    <w:p w14:paraId="1B55119F" w14:textId="77777777" w:rsidR="008D479B" w:rsidRDefault="008D479B" w:rsidP="008D479B">
      <w:pPr>
        <w:pStyle w:val="TextoNormal"/>
      </w:pPr>
      <w:r>
        <w:t>Esa inactividad se basa en interpretaciones formalistas fundadas en el decaimiento de la reserva radioeléctrica que no se plantean la existencia de alternativas más favorables para el ejercicio del derecho. De hecho, la caducidad de la planificación transcurrido el plazo fijado por las normas estatales no significa que no haya espacio disponible en el espectro radioeléctrico sino, solamente, que ya no está previsto destinarlo a esa finalidad. Es posible que, a pesar de no haber sido planificado o haber caducado la planificación, el espectro esté disponible porque no se esté usando para otro destino y porque no se haya planificado para otro uso; aproximación esta que sería, además, la coherente con todas las previsiones legislativas nacionales y europeas que priorizan en este sector el uso eficiente del espectro y la competencia en el mercado. El art. 27.2 LGCA no habla de reserva, sino de existencia de espacio radioeléctrico suficiente.</w:t>
      </w:r>
    </w:p>
    <w:p w14:paraId="59936D9A" w14:textId="77777777" w:rsidR="008D479B" w:rsidRDefault="008D479B" w:rsidP="008D479B">
      <w:pPr>
        <w:pStyle w:val="TextoNormal"/>
      </w:pPr>
    </w:p>
    <w:p w14:paraId="4AE8E707" w14:textId="77777777" w:rsidR="008D479B" w:rsidRDefault="008D479B" w:rsidP="008D479B">
      <w:pPr>
        <w:pStyle w:val="TextoNormal"/>
      </w:pPr>
      <w:r>
        <w:t>Es indudable que la LGCA no permite a la comunidad autónoma convocar concursos si no hay espectro disponible, pero no le impide convocar previa comprobación de si lo hay a pesar de que la planificación haya caducado. En este caso, con un planteamiento que la sentencia no cuestiona, en ningún momento se planteó la administración autonómica la posibilidad de que existiera efectivamente espectro disponible para las eventuales licencias que quisiera convocar, ni consultó sobre este dato al titular del demanio (el Estado), sino que se conformó, sin más, con equiparar caducidad de la reserva a falta de espectro, a pesar de que se le puso de manifiesto que en otras comunidades autónomas dicha caducidad no ha impedido la convocatoria y adjudicación de licencias.</w:t>
      </w:r>
    </w:p>
    <w:p w14:paraId="1B1095A6" w14:textId="77777777" w:rsidR="008D479B" w:rsidRDefault="008D479B" w:rsidP="008D479B">
      <w:pPr>
        <w:pStyle w:val="TextoNormal"/>
      </w:pPr>
    </w:p>
    <w:p w14:paraId="3F6EF895" w14:textId="77777777" w:rsidR="008D479B" w:rsidRDefault="008D479B" w:rsidP="008D479B">
      <w:pPr>
        <w:pStyle w:val="TextoNormal"/>
      </w:pPr>
      <w:r>
        <w:t>En suma, en esas circunstancias, consideramos que era necesario, al menos, reflexionar acerca de si la demora injustificada de los poderes públicos en el cumplimiento de sus obligaciones que, si bien no repercute en la ausencia de regulación de la actividad de radiodifusión digital, cierra en la práctica el acceso a nuevos operadores, cercena el derecho de antena y perjudica la libertad de comunicación e información. También hay que tener presente la naturaleza de la radio digital terrestre como servicio de interés general prestado sobre el dominio público radioeléctrico que genera obligaciones tanto para quien desea acceder al demanio y prestar el servicio de comunicación como para quien tiene encomendada la planificación, gestión y control de la utilización del espectro radioeléctrico. No se cuestiona que el motivo que puede justificar la restricción de los derechos a la libertad de expresión e información es la escasez del espectro radioeléctrico necesario para su ejercicio y que esa restricción se materializa en la exigencia de licencia. El problema no es ese sino la imposibilidad material de conseguir esa licencia, y, por ende, ni siquiera poder optar a la posibilidad de ejercicio efectivo del derecho, por la inactividad de dos administraciones públicas.</w:t>
      </w:r>
    </w:p>
    <w:p w14:paraId="72E00CC3" w14:textId="77777777" w:rsidR="008D479B" w:rsidRDefault="008D479B" w:rsidP="008D479B">
      <w:pPr>
        <w:pStyle w:val="TextoNormal"/>
      </w:pPr>
    </w:p>
    <w:p w14:paraId="5F62ADAA" w14:textId="77777777" w:rsidR="008D479B" w:rsidRDefault="008D479B" w:rsidP="008D479B">
      <w:pPr>
        <w:pStyle w:val="TextoNormal"/>
      </w:pPr>
      <w:r>
        <w:t xml:space="preserve">En otros términos, el presente recurso de amparo daba ocasión para analizar la trascendencia que cabe otorgar a la pasividad administrativa en casos como este en los que está en juego el ejercicio efectivo de un derecho fundamental, que queda impedido de modo absoluto. Nótese que el recurrente en ningún momento plantea que se derive de la Constitución un derecho a obtener de la administración la atribución de frecuencia, sino solamente que se lleven a cabo las actuaciones administrativas necesarias para poder, en su caso, optar a una atribución de frecuencia. Es decir, no cuestiona la </w:t>
      </w:r>
      <w:r w:rsidRPr="008D479B">
        <w:rPr>
          <w:i/>
        </w:rPr>
        <w:t>publicatio</w:t>
      </w:r>
      <w:r>
        <w:t xml:space="preserve">, sino que lo que viene a pedir es que esa </w:t>
      </w:r>
      <w:r w:rsidRPr="008D479B">
        <w:rPr>
          <w:i/>
        </w:rPr>
        <w:t>publicatio</w:t>
      </w:r>
      <w:r>
        <w:t xml:space="preserve"> se haga efectiva, satisfaciendo así suficientemente las exigencias derivadas de las libertades fundamentales de expresión y de información que comprenden el derecho a crear los medios materiales a través de los cuales la difusión se hace posible.</w:t>
      </w:r>
    </w:p>
    <w:p w14:paraId="7E01484C" w14:textId="77777777" w:rsidR="008D479B" w:rsidRDefault="008D479B" w:rsidP="008D479B">
      <w:pPr>
        <w:pStyle w:val="TextoNormal"/>
      </w:pPr>
    </w:p>
    <w:p w14:paraId="08B1C040" w14:textId="77777777" w:rsidR="008D479B" w:rsidRDefault="008D479B" w:rsidP="008D479B">
      <w:pPr>
        <w:pStyle w:val="TextoNormal"/>
      </w:pPr>
      <w:r>
        <w:t>La Constitución, al consagrar el derecho a exponer y difundir libremente los pensamientos, ideas y opiniones mediante la palabra, el escrito o cualquier otro medio de reproducción [art. 20.1 a)] y a comunicar o recibir libremente información veraz por cualquier medio de difusión [art. 20.1 d)], consagra también el derecho a crear los medios de comunicación indispensables para el ejercicio de estas libertades. La doctrina constitucional permite al legislador la regulación de este último derecho en atención a la existencia de otros bienes o valores constitucionales, pero le ha negado la posibilidad de que su inactividad produzca un perjuicio a un derecho que no depende de su reconocimiento por el legislador en cuanto que está consagrado en el texto constitucional.</w:t>
      </w:r>
    </w:p>
    <w:p w14:paraId="0F25D7E7" w14:textId="77777777" w:rsidR="008D479B" w:rsidRDefault="008D479B" w:rsidP="008D479B">
      <w:pPr>
        <w:pStyle w:val="TextoNormal"/>
      </w:pPr>
    </w:p>
    <w:p w14:paraId="3A432EDA" w14:textId="77777777" w:rsidR="008D479B" w:rsidRDefault="008D479B" w:rsidP="008D479B">
      <w:pPr>
        <w:pStyle w:val="TextoNormal"/>
      </w:pPr>
      <w:r>
        <w:t>El Tribunal hubiera debido reiterar que los que reconoce el art. 20.1 a) y d) CE son, ante todo, de derechos de libertad, lo que implica que deben ejercerse con ausencia de interferencias o de intromisiones injustificadas de las autoridades públicas en el proceso de comunicación. En este caso la intervención pública está indudablemente fundamentada en razones vinculadas a la gestión del espectro radioeléctrico como recurso escaso, pero esta sentencia hubiera debido dejar sentado con mayor rotundidad que esa gestión no justifica por sí misma una conducta de la administración que ponga en peligro el ejercicio de los derechos fundamentales antes mencionados.</w:t>
      </w:r>
    </w:p>
    <w:p w14:paraId="643A5ECA" w14:textId="77777777" w:rsidR="008D479B" w:rsidRDefault="008D479B" w:rsidP="008D479B">
      <w:pPr>
        <w:pStyle w:val="TextoNormal"/>
      </w:pPr>
    </w:p>
    <w:p w14:paraId="51F3C1BA" w14:textId="77777777" w:rsidR="008D479B" w:rsidRDefault="008D479B" w:rsidP="008D479B">
      <w:pPr>
        <w:pStyle w:val="TextoNormal"/>
      </w:pPr>
      <w:r>
        <w:t>Esa idea no es, en todo caso, nueva, pues ya subyace en el razonamiento de la STC 31/1994, de 31 de enero, FJ 7, en relación con la pasividad del legislador en la regulación de la televisión por cable. Pese a lo que sostiene la sentencia, para negar importancia a la doctrina citada, lo relevante no es tanto la modalidad de comunicación o de intervención. Lo relevante es que, requiriendo cualquier modalidad de comunicación de algún tipo de intervención (en ese caso del legislador, en este de la administración), la inactividad determina la afectación a un derecho fundamental. Estos argumentos no encuentran desarrollo suficiente en la fundamentación jurídica que conduce a la desestimación del recurso de amparo.</w:t>
      </w:r>
    </w:p>
    <w:p w14:paraId="5106AE46" w14:textId="77777777" w:rsidR="008D479B" w:rsidRDefault="008D479B" w:rsidP="008D479B">
      <w:pPr>
        <w:pStyle w:val="TextoNormal"/>
      </w:pPr>
    </w:p>
    <w:p w14:paraId="485B7FCC" w14:textId="77777777" w:rsidR="008D479B" w:rsidRDefault="008D479B" w:rsidP="008D479B">
      <w:pPr>
        <w:pStyle w:val="TextoNormal"/>
      </w:pPr>
      <w:r>
        <w:t>4</w:t>
      </w:r>
      <w:r w:rsidRPr="008D479B">
        <w:rPr>
          <w:i/>
        </w:rPr>
        <w:t>. Conclusi</w:t>
      </w:r>
      <w:r>
        <w:t>ón</w:t>
      </w:r>
    </w:p>
    <w:p w14:paraId="0B9D98FE" w14:textId="77777777" w:rsidR="008D479B" w:rsidRDefault="008D479B" w:rsidP="008D479B">
      <w:pPr>
        <w:pStyle w:val="TextoNormal"/>
      </w:pPr>
    </w:p>
    <w:p w14:paraId="50FD2328" w14:textId="77777777" w:rsidR="008D479B" w:rsidRDefault="008D479B" w:rsidP="008D479B">
      <w:pPr>
        <w:pStyle w:val="TextoNormal"/>
      </w:pPr>
      <w:r>
        <w:t>Así pues, la relación entre inactividad administrativa y condición de ejercicio del derecho de antena debería haber sido destacada expresamente por la sentencia. Y eso con independencia del carácter desestimatorio del amparo, pues es evidente que no estaba exclusivamente en manos de la administración autonómica acceder a lo solicitado. En todo caso, es de destacar que la nueva regulación de la Ley 13/2022, de 7 de julio, general de comunicación audiovisual, remite en la regulación de esta cuestión a la de los servicios de comunicación audiovisual televisivos en régimen de licencia (art. 76.4), a la que la sentencia alude y que contiene una regulación más matizada que permite al ahora recurrente en amparo volver a formular su solicitud.</w:t>
      </w:r>
    </w:p>
    <w:p w14:paraId="521F9241" w14:textId="77777777" w:rsidR="008D479B" w:rsidRDefault="008D479B" w:rsidP="008D479B">
      <w:pPr>
        <w:pStyle w:val="TextoNormal"/>
      </w:pPr>
    </w:p>
    <w:p w14:paraId="63B3F44D" w14:textId="77777777" w:rsidR="008D479B" w:rsidRDefault="008D479B" w:rsidP="008D479B">
      <w:pPr>
        <w:pStyle w:val="TextoNormal"/>
      </w:pPr>
      <w:r>
        <w:t>En suma, no discrepamos de la desestimación del recurso de amparo, pues no se encontraba exclusivamente en manos de la comunidad autónoma que adoptó la decisión administrativa objeto del proceso la posibilidad de acceder a lo solicitado por la entidad recurrente, sin perjuicio de hacer notar que, dado el cambio normativo que se acaba de mencionar, un eventual otorgamiento del amparo hubiera devenido meramente declarativo y sin efectos para el caso.</w:t>
      </w:r>
    </w:p>
    <w:p w14:paraId="45671759" w14:textId="77777777" w:rsidR="008D479B" w:rsidRDefault="008D479B" w:rsidP="008D479B">
      <w:pPr>
        <w:pStyle w:val="TextoNormal"/>
      </w:pPr>
    </w:p>
    <w:p w14:paraId="301085F2" w14:textId="77777777" w:rsidR="008D479B" w:rsidRDefault="008D479B" w:rsidP="008D479B">
      <w:pPr>
        <w:pStyle w:val="TextoNormal"/>
      </w:pPr>
      <w:r>
        <w:t>Pero no podemos dejar de advertir que este tribunal ha desaprovechado la ocasión de resaltar la necesidad de que la intervención de los poderes públicos, cuando lo que está en juego es la efectividad de derechos fundamentales como los que se protegen en los arts. 20.1 a) y 20.1 d) CE, no puede limitarse a la inactividad o a una pura respuesta formal, sino que es precisa una actitud más diligente y, por tanto, favorable a la efectividad de los derechos en juego. La pasividad e inactividad de las administraciones públicas no se conforma con las exigencias que derivan del art. 20 CE para hacer real y efectiva la libertad de información y de expresión y el derecho a crear los medios de comunicación indispensables para el ejercicio de estas libertades.</w:t>
      </w:r>
    </w:p>
    <w:p w14:paraId="6CD27DD0" w14:textId="77777777" w:rsidR="008D479B" w:rsidRDefault="008D479B" w:rsidP="008D479B">
      <w:pPr>
        <w:pStyle w:val="TextoNormal"/>
      </w:pPr>
    </w:p>
    <w:p w14:paraId="22925B79" w14:textId="77777777" w:rsidR="008D479B" w:rsidRDefault="008D479B" w:rsidP="008D479B">
      <w:pPr>
        <w:pStyle w:val="TextoNormal"/>
      </w:pPr>
      <w:r>
        <w:t>Y este sentido emitimos nuestro voto particular.</w:t>
      </w:r>
    </w:p>
    <w:p w14:paraId="22B64917" w14:textId="77777777" w:rsidR="008D479B" w:rsidRDefault="008D479B" w:rsidP="008D479B">
      <w:pPr>
        <w:pStyle w:val="TextoNormal"/>
      </w:pPr>
    </w:p>
    <w:p w14:paraId="0EF7E422" w14:textId="461EB6E5" w:rsidR="008D479B" w:rsidRDefault="008D479B" w:rsidP="008D479B">
      <w:pPr>
        <w:pStyle w:val="TextoNormal"/>
      </w:pPr>
      <w:r>
        <w:t>Madrid, a veintiuno de julio de dos mil veintitrés.</w:t>
      </w:r>
    </w:p>
    <w:p w14:paraId="003B8783" w14:textId="06CA6A69" w:rsidR="008D479B" w:rsidRDefault="008D479B">
      <w:pPr>
        <w:spacing w:after="160" w:line="278" w:lineRule="auto"/>
        <w:rPr>
          <w:rFonts w:ascii="Times New Roman" w:eastAsia="Times New Roman" w:hAnsi="Times New Roman" w:cs="Times New Roman"/>
          <w:sz w:val="24"/>
          <w:szCs w:val="24"/>
          <w:lang w:eastAsia="es-ES"/>
        </w:rPr>
      </w:pPr>
      <w:r>
        <w:br w:type="page"/>
      </w:r>
    </w:p>
    <w:p w14:paraId="567C2B1C" w14:textId="77777777" w:rsidR="008D479B" w:rsidRDefault="008D479B" w:rsidP="008D479B">
      <w:pPr>
        <w:pStyle w:val="TtuloResolucin"/>
      </w:pPr>
      <w:bookmarkStart w:id="15" w:name="SENTENCIA_2023_90"/>
      <w:r>
        <w:t>SENTENCIA 90/2023, de 11 de septiembre de 2023</w:t>
      </w:r>
    </w:p>
    <w:bookmarkEnd w:id="15"/>
    <w:p w14:paraId="6178D0D6" w14:textId="77777777" w:rsidR="008D479B" w:rsidRDefault="008D479B" w:rsidP="008D479B">
      <w:pPr>
        <w:pStyle w:val="TtuloResolucin"/>
      </w:pPr>
      <w:r>
        <w:t>Sala Primera</w:t>
      </w:r>
    </w:p>
    <w:p w14:paraId="579ABD1A" w14:textId="77777777" w:rsidR="008D479B" w:rsidRDefault="008D479B" w:rsidP="008D479B">
      <w:pPr>
        <w:pStyle w:val="TtuloBOE"/>
      </w:pPr>
      <w:r>
        <w:t>(BOE núm. 244, de 12 de octubre de 2023)</w:t>
      </w:r>
    </w:p>
    <w:p w14:paraId="688D3B5E" w14:textId="77777777" w:rsidR="008D479B" w:rsidRDefault="008D479B" w:rsidP="008D479B">
      <w:pPr>
        <w:pStyle w:val="TextoNormalCentrado"/>
      </w:pPr>
      <w:r>
        <w:t>ECLI:ES:TC:2023:90</w:t>
      </w:r>
    </w:p>
    <w:p w14:paraId="79E41845" w14:textId="3E83FCFD" w:rsidR="008D479B" w:rsidRDefault="008D479B" w:rsidP="008D479B">
      <w:pPr>
        <w:pStyle w:val="TextoNormalCentrado"/>
      </w:pPr>
    </w:p>
    <w:p w14:paraId="6A357955" w14:textId="77777777" w:rsidR="008D479B" w:rsidRDefault="008D479B" w:rsidP="008D479B">
      <w:pPr>
        <w:pStyle w:val="SntesisDescriptiva"/>
      </w:pPr>
      <w:r>
        <w:t>Recurso de amparo 3212-2020. Promovido por la asociación Automovilistas Europeos Asociados en relación con las resoluciones dictadas por las salas de lo contencioso-administrativo del Tribunal Supremo y del Tribunal Superior de Justicia de Madrid que desestimaron su impugnación de la ordenanza de movilidad del Ayuntamiento de Madrid.</w:t>
      </w:r>
    </w:p>
    <w:p w14:paraId="23E3D615" w14:textId="5B1FB37C" w:rsidR="008D479B" w:rsidRDefault="008D479B" w:rsidP="008D479B">
      <w:pPr>
        <w:pStyle w:val="SntesisDescriptiva"/>
      </w:pPr>
    </w:p>
    <w:p w14:paraId="5904F87D" w14:textId="77777777" w:rsidR="008D479B" w:rsidRDefault="008D479B" w:rsidP="008D479B">
      <w:pPr>
        <w:pStyle w:val="SntesisAnaltica"/>
      </w:pPr>
      <w:r>
        <w:t>Supuesta vulneración de los derechos a la igualdad y a la tutela judicial efectiva; alegada vulneración del derecho a la libre circulación: resoluciones judiciales que dan respuesta motivada y fundada en Derecho a las pretensiones oportunamente deducidas por la actora; falta de agotamiento de la vía judicial previa.</w:t>
      </w:r>
    </w:p>
    <w:p w14:paraId="7F2E94FE" w14:textId="3B7D8285" w:rsidR="008D479B" w:rsidRDefault="008D479B" w:rsidP="008D479B">
      <w:pPr>
        <w:pStyle w:val="SntesisAnaltica"/>
      </w:pPr>
    </w:p>
    <w:p w14:paraId="133CA2C2" w14:textId="38AA6364" w:rsidR="008D479B" w:rsidRDefault="008D479B" w:rsidP="008D479B">
      <w:pPr>
        <w:pStyle w:val="Extracto"/>
      </w:pPr>
      <w:r>
        <w:t>1.</w:t>
      </w:r>
      <w:r>
        <w:tab/>
        <w:t>De conformidad con el art. 44.1 LOTC, las violaciones de los derechos y libertades susceptibles de amparo constitucional, que tuvieran su origen inmediato y directo en un acto u omisión de un órgano judicial, podrán dar lugar a este recurso siempre que se hayan agotado todos los medios de impugnación previstos por las normas procesales para el caso concreto dentro de la vía judicial; y siempre que se haya denunciado formalmente en el proceso judicial previo, si hubo oportunidad, la vulneración del derecho constitucional tan pronto como, una vez conocida, hubiera lugar para ello; la ausencia de estos requisitos origina la inadmisión del recurso de amparo (STC 71/2022) [FFJJ 2 y 3].</w:t>
      </w:r>
    </w:p>
    <w:p w14:paraId="380FC79E" w14:textId="77777777" w:rsidR="008D479B" w:rsidRDefault="008D479B" w:rsidP="008D479B">
      <w:pPr>
        <w:pStyle w:val="Extracto"/>
      </w:pPr>
    </w:p>
    <w:p w14:paraId="0690C163" w14:textId="11313C5D" w:rsidR="008D479B" w:rsidRDefault="008D479B" w:rsidP="008D479B">
      <w:pPr>
        <w:pStyle w:val="Extracto"/>
      </w:pPr>
      <w:r>
        <w:t>2.</w:t>
      </w:r>
      <w:r>
        <w:tab/>
        <w:t>No toda infracción de la legalidad procesal conlleva la lesión del derecho a la tutela judicial efectiva en el artículo 24.1 CE. Sólo ocasiona esta vulneración constitucional aquella que conlleve un efectivo y real menoscabo del derecho de defensa, con el consiguiente perjuicio real y efectivo para los interesados afectados (STC 184/2001) [FJ 4].</w:t>
      </w:r>
    </w:p>
    <w:p w14:paraId="0363409B" w14:textId="77777777" w:rsidR="008D479B" w:rsidRDefault="008D479B" w:rsidP="008D479B">
      <w:pPr>
        <w:pStyle w:val="Extracto"/>
      </w:pPr>
    </w:p>
    <w:p w14:paraId="79432454" w14:textId="636D20A7" w:rsidR="008D479B" w:rsidRDefault="008D479B" w:rsidP="008D479B">
      <w:pPr>
        <w:pStyle w:val="Extracto"/>
      </w:pPr>
      <w:r>
        <w:t>3.</w:t>
      </w:r>
      <w:r>
        <w:tab/>
        <w:t>La falta de notificación del voto de una sentencia, al ser una ilegalidad que se produce una vez dictada ésta, no afecta al principio de contradicción o de bilateralidad. Tampoco afecta al principio de al de igualdad de armas procesales que sólo podría estar concernido si la sentencia sin el voto se hubiera notificado a la parte recurrente y, en cambio, la recurrida hubiera podido conocer la resolución judicial íntegra, esto es, la sentencia y el voto, y como consecuencia de ello hubiera obtenido una ventaja procesal [FJ 4].</w:t>
      </w:r>
    </w:p>
    <w:p w14:paraId="19738143" w14:textId="77777777" w:rsidR="008D479B" w:rsidRDefault="008D479B" w:rsidP="008D479B">
      <w:pPr>
        <w:pStyle w:val="Extracto"/>
      </w:pPr>
    </w:p>
    <w:p w14:paraId="55418063" w14:textId="5E49AAAD" w:rsidR="008D479B" w:rsidRDefault="008D479B" w:rsidP="008D479B">
      <w:pPr>
        <w:pStyle w:val="Extracto"/>
      </w:pPr>
      <w:r>
        <w:t>4.</w:t>
      </w:r>
      <w:r>
        <w:tab/>
        <w:t>Para acreditar la vulneración del derecho fundamental que garantiza el art. 24.1 CE, cuando no se notifica junto con la sentencia el voto particular, es preciso que el recurrente argumente de modo convincente que si hubiese conocido el voto particular habría podido plantear el recurso de otro modo y este diferente planteamiento quizás hubiera podido cambiar el sentido del fallo [FJ 4].</w:t>
      </w:r>
    </w:p>
    <w:p w14:paraId="7C10418D" w14:textId="77777777" w:rsidR="008D479B" w:rsidRDefault="008D479B" w:rsidP="008D479B">
      <w:pPr>
        <w:pStyle w:val="Extracto"/>
      </w:pPr>
    </w:p>
    <w:p w14:paraId="6F34ACD3" w14:textId="1FAFC695" w:rsidR="008D479B" w:rsidRDefault="008D479B" w:rsidP="008D479B">
      <w:pPr>
        <w:pStyle w:val="Extracto"/>
      </w:pPr>
      <w:r>
        <w:t>5.</w:t>
      </w:r>
      <w:r>
        <w:tab/>
        <w:t>Una resolución judicial vulnera el derecho a la tutela judicial efectiva cuando el razonamiento que la funda incurra en tal grado de arbitrariedad, irrazonabilidad o error que, por su evidencia y contenido, sean tan manifiestos y graves que para cualquier observador resulte patente que la resolución de hecho carece de toda motivación o razonamiento (STC 214/1999) [FJ 5].</w:t>
      </w:r>
    </w:p>
    <w:p w14:paraId="0DC402B2" w14:textId="77777777" w:rsidR="008D479B" w:rsidRDefault="008D479B" w:rsidP="008D479B">
      <w:pPr>
        <w:pStyle w:val="Extracto"/>
      </w:pPr>
    </w:p>
    <w:p w14:paraId="523391EE" w14:textId="4EFA66E4" w:rsidR="008D479B" w:rsidRDefault="008D479B" w:rsidP="008D479B">
      <w:pPr>
        <w:pStyle w:val="Extracto"/>
      </w:pPr>
      <w:r>
        <w:t>6.</w:t>
      </w:r>
      <w:r>
        <w:tab/>
        <w:t xml:space="preserve">Para poder apreciar la vulneración del principio de igualdad en la aplicación judicial del Derecho es necesario que concurra: (i) la acreditación de un </w:t>
      </w:r>
      <w:r w:rsidRPr="008D479B">
        <w:rPr>
          <w:i/>
        </w:rPr>
        <w:t>tertium comparationis</w:t>
      </w:r>
      <w:r>
        <w:t>; (ii) la existencia de alteridad en los supuestos contrastados; (iii) la identidad de órgano judicial, entendiendo por tal no solo la identidad de sala, sino también la de sección; y (iv) la ausencia de toda motivación que justifique en términos generalizables el cambio de criterio, a fin de excluir la arbitrariedad (SSTC 111/2002 o 10/2022) [FJ 6].</w:t>
      </w:r>
    </w:p>
    <w:p w14:paraId="6E6D8ACB" w14:textId="77777777" w:rsidR="008D479B" w:rsidRDefault="008D479B" w:rsidP="008D479B">
      <w:pPr>
        <w:pStyle w:val="Extracto"/>
      </w:pPr>
    </w:p>
    <w:p w14:paraId="7197993C" w14:textId="746A6A68" w:rsidR="008D479B" w:rsidRDefault="008D479B" w:rsidP="008D479B">
      <w:pPr>
        <w:pStyle w:val="Extracto"/>
      </w:pPr>
      <w:r>
        <w:t>7.</w:t>
      </w:r>
      <w:r>
        <w:tab/>
        <w:t xml:space="preserve">En particular, respecto a la acreditación de un </w:t>
      </w:r>
      <w:r w:rsidRPr="008D479B">
        <w:rPr>
          <w:i/>
        </w:rPr>
        <w:t>tertium comparationis</w:t>
      </w:r>
      <w:r>
        <w:t xml:space="preserve"> -la calidad que las resoluciones tienen en común-, para considerar idóneos los términos de comparación y fundamentar la vulneración del derecho a la igualdad que consagra el art. 14 CE, el juicio de igualdad sólo puede realizarse entre una sentencia impugnada y las precedentes resoluciones del mismo órgano judicial que en casos sustancialmente iguales hayan sido resueltos de forma contradictoria [FJ 6].</w:t>
      </w:r>
    </w:p>
    <w:p w14:paraId="3D2C36C7" w14:textId="77777777" w:rsidR="008D479B" w:rsidRDefault="008D479B" w:rsidP="008D479B">
      <w:pPr>
        <w:pStyle w:val="Extracto"/>
      </w:pPr>
    </w:p>
    <w:p w14:paraId="46275B15" w14:textId="77777777" w:rsidR="008D479B" w:rsidRDefault="008D479B" w:rsidP="008D479B">
      <w:pPr>
        <w:pStyle w:val="Extracto"/>
      </w:pPr>
    </w:p>
    <w:p w14:paraId="17B2A3D8" w14:textId="77777777" w:rsidR="008D479B" w:rsidRDefault="008D479B" w:rsidP="008D479B">
      <w:pPr>
        <w:pStyle w:val="TextoNormal"/>
      </w:pPr>
      <w:r>
        <w:t>La Sala Primera del Tribunal Constitucional, compuesta por el magistrado don Cándido Conde-Pumpido Tourón, presidente, y los magistrados y magistradas don Ricardo Enríquez Sancho, doña Concepción Espejel Jorquera, doña María Luisa Segoviano Astaburuaga y don Juan Carlos Campo Moreno, ha pronunciado</w:t>
      </w:r>
    </w:p>
    <w:p w14:paraId="576248D3" w14:textId="7AEAAB18" w:rsidR="008D479B" w:rsidRDefault="008D479B" w:rsidP="008D479B">
      <w:pPr>
        <w:pStyle w:val="TextoNormal"/>
      </w:pPr>
    </w:p>
    <w:p w14:paraId="3DFFD7CE" w14:textId="77777777" w:rsidR="008D479B" w:rsidRDefault="008D479B" w:rsidP="008D479B">
      <w:pPr>
        <w:pStyle w:val="TextoNormalCentrado"/>
        <w:keepNext/>
      </w:pPr>
      <w:r>
        <w:t>EN NOMBRE DEL REY</w:t>
      </w:r>
    </w:p>
    <w:p w14:paraId="07A743AF" w14:textId="36DC56EF" w:rsidR="008D479B" w:rsidRDefault="008D479B" w:rsidP="008D479B">
      <w:pPr>
        <w:pStyle w:val="TextoNormalCentrado"/>
        <w:keepNext/>
      </w:pPr>
    </w:p>
    <w:p w14:paraId="6F7AAAF3" w14:textId="77777777" w:rsidR="008D479B" w:rsidRDefault="008D479B" w:rsidP="008D479B">
      <w:pPr>
        <w:pStyle w:val="TextoNormalCentrado"/>
        <w:keepNext/>
      </w:pPr>
    </w:p>
    <w:p w14:paraId="6E606632" w14:textId="77777777" w:rsidR="008D479B" w:rsidRDefault="008D479B" w:rsidP="008D479B">
      <w:pPr>
        <w:pStyle w:val="TextoNormal"/>
      </w:pPr>
      <w:r>
        <w:t>la siguiente</w:t>
      </w:r>
    </w:p>
    <w:p w14:paraId="403667FC" w14:textId="02400DDC" w:rsidR="008D479B" w:rsidRDefault="008D479B" w:rsidP="008D479B">
      <w:pPr>
        <w:pStyle w:val="TextoNormal"/>
      </w:pPr>
    </w:p>
    <w:p w14:paraId="77B3D3FF" w14:textId="77777777" w:rsidR="008D479B" w:rsidRDefault="008D479B" w:rsidP="008D479B">
      <w:pPr>
        <w:pStyle w:val="TextoNormalCentrado"/>
        <w:keepNext/>
      </w:pPr>
      <w:r>
        <w:t>SENTENCIA</w:t>
      </w:r>
    </w:p>
    <w:p w14:paraId="20F6FE28" w14:textId="3E810BF0" w:rsidR="008D479B" w:rsidRDefault="008D479B" w:rsidP="008D479B">
      <w:pPr>
        <w:pStyle w:val="TextoNormalCentrado"/>
        <w:keepNext/>
      </w:pPr>
    </w:p>
    <w:p w14:paraId="208D1237" w14:textId="77777777" w:rsidR="008D479B" w:rsidRDefault="008D479B" w:rsidP="008D479B">
      <w:pPr>
        <w:pStyle w:val="TextoNormal"/>
      </w:pPr>
      <w:r>
        <w:t>En el recurso de amparo núm. 3212-2020, promovido por la asociación Automovilistas Europeos Asociados, procesalmente representada por el procurador de los tribunales don Álvaro Arana Moro, con la asistencia de la letrada doña Olga Fernández del Castillo, contra la sentencia de la Sala de lo Contencioso-Administrativo, Sección Quinta, del Tribunal Supremo, de 13 de diciembre de 2019, por la que se desestimó el recurso de casación interpuesto contra la sentencia de 27 de abril de 2016 de la Sala de lo Contencioso-Administrativo del Tribunal Superior de Justicia de Madrid y contra el auto de 12 de mayo de 2020 de la Sala de lo Contencioso-Administrativo, Sección Quinta, del Tribunal Supremo por el que se desestimó el incidente de nulidad actuaciones interpuesto contra la sentencia recaída en recurso de casación. Han intervenido el Ayuntamiento de Madrid y el Ministerio Fiscal. Ha sido ponente el presidente don Cándido Conde-Pumpido Tourón.</w:t>
      </w:r>
    </w:p>
    <w:p w14:paraId="2CC6F5DD" w14:textId="1F65D445" w:rsidR="008D479B" w:rsidRDefault="008D479B" w:rsidP="008D479B">
      <w:pPr>
        <w:pStyle w:val="TextoNormal"/>
      </w:pPr>
    </w:p>
    <w:p w14:paraId="569A2B63" w14:textId="77777777" w:rsidR="008D479B" w:rsidRDefault="008D479B" w:rsidP="008D479B">
      <w:pPr>
        <w:pStyle w:val="TextoNormalNegritaCentrado"/>
        <w:keepNext/>
      </w:pPr>
      <w:r>
        <w:t>I. Antecedentes</w:t>
      </w:r>
    </w:p>
    <w:p w14:paraId="58005442" w14:textId="1FAD4E1B" w:rsidR="008D479B" w:rsidRDefault="008D479B" w:rsidP="008D479B">
      <w:pPr>
        <w:pStyle w:val="TextoNormalNegritaCentrado"/>
        <w:keepNext/>
      </w:pPr>
    </w:p>
    <w:p w14:paraId="1BA83C3A" w14:textId="3DF66510" w:rsidR="008D479B" w:rsidRDefault="008D479B" w:rsidP="008D479B">
      <w:pPr>
        <w:pStyle w:val="TextoNormal"/>
      </w:pPr>
      <w:r w:rsidRPr="008D479B">
        <w:rPr>
          <w:rStyle w:val="NumeroAFNegritaCaracter"/>
        </w:rPr>
        <w:t>1</w:t>
      </w:r>
      <w:r>
        <w:t>. Por escrito registrado en el Tribunal el 15 de julio de 2020 el procurador de los tribunales, don Álvaro Arana Moro, en nombre y representación de la asociación Automovilistas Europeos Asociados, interpuso recurso de amparo contra la sentencia de la Sala de lo Contencioso-Administrativo, Sección Quinta, del Tribunal Supremo, de 13 de diciembre de 2019, por la que se desestimó el recurso de casación interpuesto contra la sentencia de 27 de abril de 2016 de la Sala de lo Contencioso-Administrativo del Tribunal Superior de Justicia de Madrid y contra el auto de 12 de mayo de 2020 de la Sala de lo Contencioso-Administrativo, Sección Quinta, del Tribunal Supremo por el que se desestimó el incidente de nulidad actuaciones interpuesto contra la sentencia recaída en recurso de casación.</w:t>
      </w:r>
    </w:p>
    <w:p w14:paraId="1DA2A1BF" w14:textId="77777777" w:rsidR="008D479B" w:rsidRDefault="008D479B" w:rsidP="008D479B">
      <w:pPr>
        <w:pStyle w:val="TextoNormal"/>
      </w:pPr>
    </w:p>
    <w:p w14:paraId="6C39CED7" w14:textId="77777777" w:rsidR="008D479B" w:rsidRDefault="008D479B" w:rsidP="008D479B">
      <w:pPr>
        <w:pStyle w:val="TextoNormal"/>
      </w:pPr>
      <w:r w:rsidRPr="008D479B">
        <w:rPr>
          <w:rStyle w:val="NumeroAFNegritaCaracter"/>
        </w:rPr>
        <w:t>2</w:t>
      </w:r>
      <w:r>
        <w:t>. Los hechos de los que trae causa la demanda son, en síntesis, los siguientes:</w:t>
      </w:r>
    </w:p>
    <w:p w14:paraId="0612E3B2" w14:textId="77777777" w:rsidR="008D479B" w:rsidRDefault="008D479B" w:rsidP="008D479B">
      <w:pPr>
        <w:pStyle w:val="TextoNormal"/>
      </w:pPr>
    </w:p>
    <w:p w14:paraId="7A71FCBA" w14:textId="77777777" w:rsidR="008D479B" w:rsidRDefault="008D479B" w:rsidP="008D479B">
      <w:pPr>
        <w:pStyle w:val="TextoNormal"/>
      </w:pPr>
      <w:r>
        <w:t xml:space="preserve">a) El 18 de septiembre de 2014 la asociación ahora recurrente en amparo interpuso recurso contencioso-administrativo contra el acuerdo del Pleno del Ayuntamiento de Madrid de 28 de mayo de 2014, por el que se aprobó una modificación de la ordenanza de movilidad para la ciudad de Madrid. En este recurso se solicitó la nulidad de los arts. 68, 69, 70, 70 </w:t>
      </w:r>
      <w:r w:rsidRPr="008D479B">
        <w:rPr>
          <w:i/>
        </w:rPr>
        <w:t>bis</w:t>
      </w:r>
      <w:r>
        <w:t xml:space="preserve"> y 70 </w:t>
      </w:r>
      <w:r w:rsidRPr="008D479B">
        <w:rPr>
          <w:i/>
        </w:rPr>
        <w:t>ter</w:t>
      </w:r>
      <w:r>
        <w:t xml:space="preserve"> de la referida ordenanza al considerar que los preceptos citados delimitaban los distintos tipos de plazas de aparcamiento limitado “en una señalización ilegal, inventada e inexistente”, que no se correspondía con la establecida en el art. 7 del Real Decreto Legislativo 339/1990, de 2 de marzo, por el que se aprueba el texto articulado de la Ley sobre tráfico, circulación de vehículos a motor y seguridad vial, ni con el apartado f) del art. 171 del Reglamento general de circulación, aprobado por el Real Decreto 1428/2003, de 21 de noviembre. Se alegó, además, que las señales y marcas viales se encuentran comprendidas dentro del concepto de tráfico y circulación de vehículos a motor, que es una competencia exclusiva del Estado (art. 149.1.21 CE), por lo que se sostuvo que el ayuntamiento carece de competencias para su regulación.</w:t>
      </w:r>
    </w:p>
    <w:p w14:paraId="58550080" w14:textId="77777777" w:rsidR="008D479B" w:rsidRDefault="008D479B" w:rsidP="008D479B">
      <w:pPr>
        <w:pStyle w:val="TextoNormal"/>
      </w:pPr>
    </w:p>
    <w:p w14:paraId="7B1B3A31" w14:textId="77777777" w:rsidR="008D479B" w:rsidRDefault="008D479B" w:rsidP="008D479B">
      <w:pPr>
        <w:pStyle w:val="TextoNormal"/>
      </w:pPr>
      <w:r>
        <w:t>b) El recurso contencioso-administrativo fue desestimado por la sentencia de la Sección Segunda de la Sala de lo Contencioso-Administrativo del Tribunal Superior de Justicia de Madrid de 27 de abril de 2016. Contra esta sentencia se interpuso recurso de casación. En el recurso se aducen cinco motivos, todos ellos al amparo de lo previsto en el art. 88.1 d) de la Ley reguladora de la jurisdicción contencioso-administrativa (LJCA) en redacción anterior a la actualmente vigente: “Infracción de las normas del ordenamiento jurídico o de la jurisprudencia que fueran aplicables para resolver las cuestiones objeto de debate”.</w:t>
      </w:r>
    </w:p>
    <w:p w14:paraId="7CED4E8A" w14:textId="77777777" w:rsidR="008D479B" w:rsidRDefault="008D479B" w:rsidP="008D479B">
      <w:pPr>
        <w:pStyle w:val="TextoNormal"/>
      </w:pPr>
    </w:p>
    <w:p w14:paraId="52CCA46A" w14:textId="77777777" w:rsidR="008D479B" w:rsidRDefault="008D479B" w:rsidP="008D479B">
      <w:pPr>
        <w:pStyle w:val="TextoNormal"/>
      </w:pPr>
      <w:r>
        <w:t>c) La Sección Quinta de la Sala de lo Contencioso-Administrativo del Tribunal Supremo desestimó el recurso de casación por sentencia de 13 de diciembre de 2019.</w:t>
      </w:r>
    </w:p>
    <w:p w14:paraId="2E949C97" w14:textId="77777777" w:rsidR="008D479B" w:rsidRDefault="008D479B" w:rsidP="008D479B">
      <w:pPr>
        <w:pStyle w:val="TextoNormal"/>
      </w:pPr>
    </w:p>
    <w:p w14:paraId="32B11B91" w14:textId="77777777" w:rsidR="008D479B" w:rsidRDefault="008D479B" w:rsidP="008D479B">
      <w:pPr>
        <w:pStyle w:val="TextoNormal"/>
      </w:pPr>
      <w:r>
        <w:t>d) Con posterioridad a la notificación de la sentencia recaída en el recurso de casación, cuando la asociación demandante estaba preparando el recurso de amparo, tuvo conocimiento de que la sentencia recurrida en casación, esto es, la sentencia de 27 de abril de 2016, dictada por la Sección Segunda de la Sala de lo Contencioso-Administrativo del Tribunal Superior de Justicia de Madrid, contenía un voto particular discrepante formulado por dos magistrados. Al notificarle la citada sentencia no se incluyó el voto particular ni tuvo conocimiento de su existencia hasta el momento que se acaba de indicar.</w:t>
      </w:r>
    </w:p>
    <w:p w14:paraId="48F96F68" w14:textId="77777777" w:rsidR="008D479B" w:rsidRDefault="008D479B" w:rsidP="008D479B">
      <w:pPr>
        <w:pStyle w:val="TextoNormal"/>
      </w:pPr>
    </w:p>
    <w:p w14:paraId="7E78B96C" w14:textId="77777777" w:rsidR="008D479B" w:rsidRDefault="008D479B" w:rsidP="008D479B">
      <w:pPr>
        <w:pStyle w:val="TextoNormal"/>
      </w:pPr>
      <w:r>
        <w:t>e) La asociación recurrente interpuso incidente de nulidad de actuaciones por el que solicitaba al Tribunal Supremo que declarase la nulidad de todas las actuaciones practicadas en el recurso de casación y que retrotrajera las actuaciones al momento de notificar en su integridad la sentencia de 27 de abril de 2016 del Tribunal Superior de Justicia de Madrid, incluido su voto particular. En este incidente se adujo que, al no haber notificado el voto particular a la parte actora, se había vulnerado su derecho fundamental a la tutela judicial efectiva sin indefensión (art. 24.1 CE), pues si hubiera conocido el voto particular cuando formuló el recurso de casación hubiera podido cambiar su planteamiento y su defensa, lo que hubiera podido cambiar el fallo de la sentencia de casación, y, en todo caso, hubiera podido evitar la condena en costas dadas las dudas que el asunto planteaba.</w:t>
      </w:r>
    </w:p>
    <w:p w14:paraId="3E690A80" w14:textId="77777777" w:rsidR="008D479B" w:rsidRDefault="008D479B" w:rsidP="008D479B">
      <w:pPr>
        <w:pStyle w:val="TextoNormal"/>
      </w:pPr>
    </w:p>
    <w:p w14:paraId="12D86135" w14:textId="5EC4AB3D" w:rsidR="008D479B" w:rsidRDefault="008D479B" w:rsidP="008D479B">
      <w:pPr>
        <w:pStyle w:val="TextoNormal"/>
      </w:pPr>
      <w:r>
        <w:t>f) Por auto de 12 de mayo de 2020 la Sección Quinta de la Sala de lo Contencioso-Administrativo del Tribunal Supremo acordó desestimar el incidente e imponer las costas al recurrente.</w:t>
      </w:r>
    </w:p>
    <w:p w14:paraId="65367CDE" w14:textId="77777777" w:rsidR="008D479B" w:rsidRDefault="008D479B" w:rsidP="008D479B">
      <w:pPr>
        <w:pStyle w:val="TextoNormal"/>
      </w:pPr>
    </w:p>
    <w:p w14:paraId="2E0B4077" w14:textId="77777777" w:rsidR="008D479B" w:rsidRDefault="008D479B" w:rsidP="008D479B">
      <w:pPr>
        <w:pStyle w:val="TextoNormal"/>
      </w:pPr>
      <w:r w:rsidRPr="008D479B">
        <w:rPr>
          <w:rStyle w:val="NumeroAFNegritaCaracter"/>
        </w:rPr>
        <w:t>3</w:t>
      </w:r>
      <w:r>
        <w:t>. En la demanda de amparo se afirma que el presente recurso se interpone contra la sentencia de la Sección Quinta de la Sala de lo Contencioso-Administrativo del Tribunal Supremo, de 13 de diciembre de 2019, y el auto de 12 de mayo de 2020, del mismo órgano judicial, por el que se inadmitió el incidente de nulidad de actuaciones interpuesto contra la referida sentencia. Se alega que estas resoluciones vulneran el derecho a la tutela judicial efectiva (art. 24.1 CE) por varios motivos. En primer lugar, se aduce que, al haberle notificado la sentencia de 27 de abril de 2016 del Tribunal Superior de Justicia de Madrid sin incluir el voto particular que formularon los dos magistrados discrepantes se ha vulnerado su derecho de acceso al proceso y a los recursos legamente establecidos en condiciones de poder ser oído y ejercer su derecho a la tutela judicial efectiva sin indefensión (art. 24.1 CE). Se alega que este hecho constituye una clara infracción de los requisitos que las leyes procesales imponen imperativamente a los órganos judiciales, en concreto de los arts. 205.2 de la Ley 1/2000, de 7 de enero, de enjuiciamiento civil (LEC), y del art. 260.2 de la Ley Orgánica 6/1985, de 1 de julio, del Poder Judicial (LOPJ). La asociación demandante de amparo considera, además, que esta grave infracción procesal no solo conlleva la lesión del derecho a la tutela judicial efectiva, sino que también supone la quiebra del principio de confianza legítima en que las oficinas judiciales cumplen debidamente sus obligaciones legales. Por ello, en relación con esta queja, solicita que se declare la nulidad de las resoluciones impugnadas y que se retrotraigan las actuaciones al momento de notificarle en su integridad la sentencia de 27 de abril de 2016 dictada por la Sala de lo Contencioso-Administrativo del Tribunal Superior de Justicia de Madrid.</w:t>
      </w:r>
    </w:p>
    <w:p w14:paraId="386F7546" w14:textId="77777777" w:rsidR="008D479B" w:rsidRDefault="008D479B" w:rsidP="008D479B">
      <w:pPr>
        <w:pStyle w:val="TextoNormal"/>
      </w:pPr>
    </w:p>
    <w:p w14:paraId="5A8ABD05" w14:textId="77777777" w:rsidR="008D479B" w:rsidRDefault="008D479B" w:rsidP="008D479B">
      <w:pPr>
        <w:pStyle w:val="TextoNormal"/>
      </w:pPr>
      <w:r>
        <w:t>En segundo lugar, la asociación demandante alega la vulneración de su derecho a la tutela judicial efectiva (art. 24.1 CE) en relación con el principio de seguridad jurídica (art. 9.3 CE). Entiende que estos preceptos constitucionales impiden a los jueces y tribunales apartarse de pronunciamientos judiciales previos que tengan como objeto enjuiciar hechos idénticos. Afirma que “unos hechos idénticos no abordados desde perspectivas jurídicas diversas no pueden existir y dejar de existir para los órganos del Estado”. Invoca la STC 30/1996. Según se sostiene en la demanda de amparo, la sentencia del Tribunal Supremo de 13 de diciembre de 2019, recaída en el recurso de casación, se aparta de pronunciamientos judiciales previos sobre idéntica materia de tráfico y seguridad vial y, además, es contradictoria con sus propios razonamientos y con la jurisprudencia que cita en relación con la autonomía local, el ámbito de sus competencias y el principio de vinculación negativa. Se invoca la sentencia de la Sección Cuarta de la Sala de lo Contencioso-Administrativo del Tribunal Supremo de 24 de junio de 2014 por la que se resuelve recurso de casación núm. 2500-2012 interpuesto por el Ayuntamiento de Madrid contra la sentencia de la Sección Segunda de la Sala de lo Contencioso-Administrativo del Tribunal Superior de Justicia de Madrid de 8 de marzo de 2012 (se adjunta copia de esta sentencia). También se cita la sentencia de la Sección Cuarta de la Sala de lo Contencioso-Administrativo del Tribunal Supremo de 22 de mayo de 2015 (núm. de recurso 2433-2013). Se alega, además, que la sentencia del Tribunal Supremo impugnada no razona por qué no resulta de aplicación la STC 132/1998 ni por qué es distinta la situación planteada en la sentencia del Tribunal Superior de Justicia de Madrid de 13 de enero de 2005 (aporta copia de esta resolución). Por todo ello, entiende que el Tribunal Supremo, al apartarse sin motivación de pronunciamientos judiciales previos recaídos en asuntos que inciden sobre la misma materia, ha vulnerado el art. 24.1 CE en relación con el art. 9.3 CE.</w:t>
      </w:r>
    </w:p>
    <w:p w14:paraId="7DD35B37" w14:textId="77777777" w:rsidR="008D479B" w:rsidRDefault="008D479B" w:rsidP="008D479B">
      <w:pPr>
        <w:pStyle w:val="TextoNormal"/>
      </w:pPr>
    </w:p>
    <w:p w14:paraId="70C37E11" w14:textId="77777777" w:rsidR="008D479B" w:rsidRDefault="008D479B" w:rsidP="008D479B">
      <w:pPr>
        <w:pStyle w:val="TextoNormal"/>
      </w:pPr>
      <w:r>
        <w:t>En tercer lugar, se aduce la vulneración del principio de igualdad en la aplicación judicial de la ley (art. 14 CE) en relación con el derecho a la tutela judicial efectiva (art. 24.1 CE). La asociación demandante de amparo entiende que la sentencia de la Sección Segunda de la Sala de lo Contencioso-Administrativo del Tribunal Superior de Justicia de Madrid de 27 de abril de 2016 ha vulnerado los referidos derechos porque la misma Sala y Sección dictó dos sentencias en sentidos totalmente opuestos (sentencias 21/2005 y 329/2012), sin exponer las razones por las que ha cambiado de criterio. Imputa esta infracción a la sentencia dictada por el Tribunal Supremo al resolver el recurso de casación contra aquella sentencia por no haber reparado esta infracción constitucional.</w:t>
      </w:r>
    </w:p>
    <w:p w14:paraId="1EBF5CF8" w14:textId="77777777" w:rsidR="008D479B" w:rsidRDefault="008D479B" w:rsidP="008D479B">
      <w:pPr>
        <w:pStyle w:val="TextoNormal"/>
      </w:pPr>
    </w:p>
    <w:p w14:paraId="4EAF084A" w14:textId="77777777" w:rsidR="008D479B" w:rsidRDefault="008D479B" w:rsidP="008D479B">
      <w:pPr>
        <w:pStyle w:val="TextoNormal"/>
      </w:pPr>
      <w:r>
        <w:t xml:space="preserve">Por último, se alega la vulneración del derecho a la libre circulación por el territorio nacional con la garantía de igualdad (se invoca el art. 19 CE). Según se afirma en la demanda de amparo, la declaración contenida en la sentencia del Tribunal Supremo impugnada convertiría a España, en lo que respecta a la seguridad vial, en un “reino de taifas” y obligaría a millones de conductores, tanto españoles como extranjeros, a conocer las señales que puedan establecer en sus ordenanzas cada uno de los ocho mil municipios españoles con competencias en materia de tráfico, con el grave riesgo que ello supone para la seguridad vial. También se sostiene que, en contra de la competencia exclusiva del Estado recogida en el art. 149.1.1 CE, que, según se afirma, es la garantía de la igualdad en el derecho a la libre circulación de los españoles (art. 19 CE), la citada sentencia está habilitando a los ayuntamientos para que puedan establecer las señales en materia de tráfico y seguridad vial como consideren oportuno (considera que les habilita para que puedan pintar del color que les plazca los pasos de cebra o sustituir las señales de </w:t>
      </w:r>
      <w:r w:rsidRPr="008D479B">
        <w:rPr>
          <w:i/>
        </w:rPr>
        <w:t>stop</w:t>
      </w:r>
      <w:r>
        <w:t xml:space="preserve"> por otras, entre otras cosas). La asociación recurrente alega, además, que si bien el Ayuntamiento de Madrid tiene competencia para colocar las señales que estime conveniente en las vías de su titularidad no puede, sin embargo, crear y utilizar señales no contempladas en el catálogo oficial de señales, al ser esta una competencia exclusiva del Estado. La asociación recurrente considera que la materia regulada por los preceptos impugnados concierne a normas técnicas de señalización, balizamiento e identificación de las carreteras que son competencia exclusiva del Estado en virtud de lo dispuesto en el art. 149.1.21 CE (régimen general de comunicaciones, tráfico y circulación de vehículos a motor).</w:t>
      </w:r>
    </w:p>
    <w:p w14:paraId="7B53E5E8" w14:textId="77777777" w:rsidR="008D479B" w:rsidRDefault="008D479B" w:rsidP="008D479B">
      <w:pPr>
        <w:pStyle w:val="TextoNormal"/>
      </w:pPr>
    </w:p>
    <w:p w14:paraId="0D567928" w14:textId="1ADC31E1" w:rsidR="008D479B" w:rsidRDefault="008D479B" w:rsidP="008D479B">
      <w:pPr>
        <w:pStyle w:val="TextoNormal"/>
      </w:pPr>
      <w:r>
        <w:t>La asociación demandante de amparo termina su escrito de demanda solicitando: (i) que se declare que ha sido vulnerado su derecho fundamental a la tutela judicial efectiva sin indefensión (art. 24.1 CE); su derecho a la tutela judicial efectiva en relación con el principio de seguridad jurídica (art. 24.1 en relación con el art. 9.3 CE); su derecho a la igualdad en la aplicación judicial de la ley (art. 14 en relación con el art. 24.1 CE) y su derecho a la libre circulación por el territorio nacional con la garantía de la igualdad (art. 19 CE); (ii) que se restablezca su derecho y que a tal fin declare la nulidad del auto de 12 de mayo de 2020 de la Sala de lo Contencioso-Administrativo, Sección Quinta, del Tribunal Supremo y de la sentencia de 13 de diciembre de 2019, dictada por el mismo órgano judicial, por la que se resuelve el recurso de casación; y (iii) que se retrotraigan las actuaciones al momento de notificar a esta parte en su integridad, incluidos los votos particulares, la sentencia de 27 de abril de 2016 de la Sala de lo Contencioso-Administrativo del Tribunal Superior de Justicia de Madrid recaída en el recurso núm. 510-2014.</w:t>
      </w:r>
    </w:p>
    <w:p w14:paraId="15C95D4F" w14:textId="77777777" w:rsidR="008D479B" w:rsidRDefault="008D479B" w:rsidP="008D479B">
      <w:pPr>
        <w:pStyle w:val="TextoNormal"/>
      </w:pPr>
    </w:p>
    <w:p w14:paraId="41815CE5" w14:textId="727556D6" w:rsidR="008D479B" w:rsidRDefault="008D479B" w:rsidP="008D479B">
      <w:pPr>
        <w:pStyle w:val="TextoNormal"/>
      </w:pPr>
      <w:r w:rsidRPr="008D479B">
        <w:rPr>
          <w:rStyle w:val="NumeroAFNegritaCaracter"/>
        </w:rPr>
        <w:t>4</w:t>
      </w:r>
      <w:r>
        <w:t>. La Sección Tercera de este tribunal, por providencia de 19 de abril de 2021, acordó admitir a trámite el recurso al apreciar que tenía especial trascendencia constitucional “porque el recurso plantea un problema o afecta a una faceta de un derecho fundamental sobre el que no hay doctrina de este tribunal [STC 155/2009, FJ 2 a)]”. En aplicación de lo dispuesto en el art. 51 de la Ley Orgánica del Tribunal Constitucional (LOTC) acordó también dirigir atenta comunicación a la Sección Quinta de la Sala de lo Contencioso-Administrativo del Tribunal Supremo a fin de que en un plazo que no excediera de diez días remitiera copia adverada de las actuaciones correspondientes al recurso de casación núm. 2234-2016. Asimismo, acordó dirigir atenta comunicación a la Sección Segunda de la Sala de lo Contencioso-Administrativo del Tribunal Superior de Justicia de Madrid para que, también en un plazo que no excediera de diez días, remitiera copia adverada de las actuaciones correspondientes al recurso núm. 510-2014, debiendo previamente emplazar a quienes hubieran sido parte en ese procedimiento, excepto a la recurrente en amparo, para que si lo deseaban pudieran comparecer previamente en este recurso de amparo.</w:t>
      </w:r>
    </w:p>
    <w:p w14:paraId="548F3ED5" w14:textId="77777777" w:rsidR="008D479B" w:rsidRDefault="008D479B" w:rsidP="008D479B">
      <w:pPr>
        <w:pStyle w:val="TextoNormal"/>
      </w:pPr>
    </w:p>
    <w:p w14:paraId="06DD14A2" w14:textId="6A6D3183" w:rsidR="008D479B" w:rsidRDefault="008D479B" w:rsidP="008D479B">
      <w:pPr>
        <w:pStyle w:val="TextoNormal"/>
      </w:pPr>
      <w:r w:rsidRPr="008D479B">
        <w:rPr>
          <w:rStyle w:val="NumeroAFNegritaCaracter"/>
        </w:rPr>
        <w:t>5</w:t>
      </w:r>
      <w:r>
        <w:t>. Por escrito registrado en el Tribunal el 21 de julio de 2021 la letrada de la administración de justicia de la Sección Quinta de la Sala de lo Contencioso-Administrativo del Tribunal Supremo remitió testimonio del recurso de casación.</w:t>
      </w:r>
    </w:p>
    <w:p w14:paraId="0841C587" w14:textId="77777777" w:rsidR="008D479B" w:rsidRDefault="008D479B" w:rsidP="008D479B">
      <w:pPr>
        <w:pStyle w:val="TextoNormal"/>
      </w:pPr>
    </w:p>
    <w:p w14:paraId="5EADE0EB" w14:textId="4F9A7B8D" w:rsidR="008D479B" w:rsidRDefault="008D479B" w:rsidP="008D479B">
      <w:pPr>
        <w:pStyle w:val="TextoNormal"/>
      </w:pPr>
      <w:r w:rsidRPr="008D479B">
        <w:rPr>
          <w:rStyle w:val="NumeroAFNegritaCaracter"/>
        </w:rPr>
        <w:t>6</w:t>
      </w:r>
      <w:r>
        <w:t>. El 6 de septiembre de 2021, la letrada del Ayuntamiento de Madrid compareció en este procedimiento con el fin de que se la tuviera como personada en nombre del Ayuntamiento de Madrid.</w:t>
      </w:r>
    </w:p>
    <w:p w14:paraId="52EB632F" w14:textId="77777777" w:rsidR="008D479B" w:rsidRDefault="008D479B" w:rsidP="008D479B">
      <w:pPr>
        <w:pStyle w:val="TextoNormal"/>
      </w:pPr>
    </w:p>
    <w:p w14:paraId="256E6E94" w14:textId="489F2F98" w:rsidR="008D479B" w:rsidRDefault="008D479B" w:rsidP="008D479B">
      <w:pPr>
        <w:pStyle w:val="TextoNormal"/>
      </w:pPr>
      <w:r w:rsidRPr="008D479B">
        <w:rPr>
          <w:rStyle w:val="NumeroAFNegritaCaracter"/>
        </w:rPr>
        <w:t>7</w:t>
      </w:r>
      <w:r>
        <w:t>. Por diligencia de ordenación de 7 de septiembre de 2021, el secretario de justicia de la Sección Tercera del Tribunal acordó tener por personado y parte en el procedimiento a la letrada de los servicios jurídicos del Ayuntamiento de Madrid en nombre y representación de esta administración pública. Asimismo, se acordó dar vista de las actuaciones a las partes personadas y al Ministerio Fiscal por plazo común de veinte días, para que dentro de dicho plazo pudieran presentar las alegaciones que estimaran convenientes.</w:t>
      </w:r>
    </w:p>
    <w:p w14:paraId="5B22A5CE" w14:textId="77777777" w:rsidR="008D479B" w:rsidRDefault="008D479B" w:rsidP="008D479B">
      <w:pPr>
        <w:pStyle w:val="TextoNormal"/>
      </w:pPr>
    </w:p>
    <w:p w14:paraId="44A747D4" w14:textId="77777777" w:rsidR="008D479B" w:rsidRDefault="008D479B" w:rsidP="008D479B">
      <w:pPr>
        <w:pStyle w:val="TextoNormal"/>
      </w:pPr>
      <w:r w:rsidRPr="008D479B">
        <w:rPr>
          <w:rStyle w:val="NumeroAFNegritaCaracter"/>
        </w:rPr>
        <w:t>8</w:t>
      </w:r>
      <w:r>
        <w:t>. Por escrito registrado en el Tribunal el 14 de octubre de 2021, la letrada del Ayuntamiento de Madrid formuló alegaciones. Esta parte procesal aduce que, aunque el art. 260.2 LOPJ dispone que ha de notificarse el voto particular junto con las sentencias, en el presente caso la notificación de la sentencia sin el voto no ha ocasionado a la asociación recurrente indefensión, pues el voto particular hace alusión a una de las cuestiones a las que la referida asociación se refería tanto en su escrito de demanda en el recurso contencioso-administrativo como en el recurso de casación. Por ello, la representación procesal del Ayuntamiento de Madrid considera que la notificación de la sentencia de instancia sin el voto particular no ha vulnerado el derecho a la tutela judicial de la asociación recurrente en amparo.</w:t>
      </w:r>
    </w:p>
    <w:p w14:paraId="7A596B07" w14:textId="77777777" w:rsidR="008D479B" w:rsidRDefault="008D479B" w:rsidP="008D479B">
      <w:pPr>
        <w:pStyle w:val="TextoNormal"/>
      </w:pPr>
    </w:p>
    <w:p w14:paraId="7244041B" w14:textId="77777777" w:rsidR="008D479B" w:rsidRDefault="008D479B" w:rsidP="008D479B">
      <w:pPr>
        <w:pStyle w:val="TextoNormal"/>
      </w:pPr>
      <w:r>
        <w:t>Tampoco aprecia que las resoluciones impugnadas hayan vulnerado el art. 24.1 CE en relación con el art. 9.3 CE por separarse de otras resoluciones sobre hechos idénticos sin motivar el cambio de criterio. La letrada del Ayuntamiento de Madrid entiende que los precedentes que invoca la recurrente no tienen por objeto casos iguales.</w:t>
      </w:r>
    </w:p>
    <w:p w14:paraId="5F81E5F1" w14:textId="77777777" w:rsidR="008D479B" w:rsidRDefault="008D479B" w:rsidP="008D479B">
      <w:pPr>
        <w:pStyle w:val="TextoNormal"/>
      </w:pPr>
    </w:p>
    <w:p w14:paraId="337A0DBD" w14:textId="3550F7E3" w:rsidR="008D479B" w:rsidRDefault="008D479B" w:rsidP="008D479B">
      <w:pPr>
        <w:pStyle w:val="TextoNormal"/>
      </w:pPr>
      <w:r>
        <w:t>De igual modo, esta parte procesal rechaza que se haya producido la vulneración del principio de igualdad en la aplicación del Derecho (art. 14 CE). Considera que el presente caso no es igual al resuelto por la sentencia del Tribunal Superior de Justicia de Madrid de 13 de enero de 2005 y por ello considera que no existe la vulneración del principio de igualdad denunciada.</w:t>
      </w:r>
    </w:p>
    <w:p w14:paraId="5C452AE8" w14:textId="77777777" w:rsidR="008D479B" w:rsidRDefault="008D479B" w:rsidP="008D479B">
      <w:pPr>
        <w:pStyle w:val="TextoNormal"/>
      </w:pPr>
    </w:p>
    <w:p w14:paraId="5376BB48" w14:textId="77777777" w:rsidR="008D479B" w:rsidRDefault="008D479B" w:rsidP="008D479B">
      <w:pPr>
        <w:pStyle w:val="TextoNormal"/>
      </w:pPr>
      <w:r w:rsidRPr="008D479B">
        <w:rPr>
          <w:rStyle w:val="NumeroAFNegritaCaracter"/>
        </w:rPr>
        <w:t>9</w:t>
      </w:r>
      <w:r>
        <w:t>. El Ministerio Fiscal presentó sus alegaciones por escrito registrado en el Tribunal el 26 de octubre de 2021. Tras exponer los antecedentes de hecho de los que trae causa el presente recurso, su objeto y las alegaciones de la asociación demandante de amparo, aduce, en primer lugar, que la queja por la que se denuncia la vulneración del derecho a la libre circulación de los españoles con la garantía de igualdad (art. 19 CE) no se ha invocado en la vía judicial previa y, por este motivo, no cumplió con la obligación que le impone el art. 44.1 c) LOTC e incurre en la causa de inadmisión prevista en el art. 50.1 a) LOTC.</w:t>
      </w:r>
    </w:p>
    <w:p w14:paraId="2D95EC08" w14:textId="77777777" w:rsidR="008D479B" w:rsidRDefault="008D479B" w:rsidP="008D479B">
      <w:pPr>
        <w:pStyle w:val="TextoNormal"/>
      </w:pPr>
    </w:p>
    <w:p w14:paraId="035A1E6C" w14:textId="77777777" w:rsidR="008D479B" w:rsidRDefault="008D479B" w:rsidP="008D479B">
      <w:pPr>
        <w:pStyle w:val="TextoNormal"/>
      </w:pPr>
      <w:r>
        <w:t>Respecto del primer motivo del recurso, por el que se aduce que al haber notificado la sentencia de instancia sin el voto particular que formularon dos magistrados se ha vulnerado el derecho que consagra el art. 24.1 CE, el fiscal considera que aunque tal forma de proceder supone una grave infracción de las normas procesales, en concreto, de los arts. 205.2 LEC y 260.2 LOPJ, entiende, sin embargo, que esta infracción procesal no conlleva la lesión de su derecho fundamental a la tutela judicial efectiva dado que la sentencia fue notificada en su integridad. Según sostiene el fiscal, el voto particular carece de eficacia alguna, pues no altera el contenido de la sentencia. Por ello, considera que notificada la sentencia y, por tanto, conocido su contenido nada ha impedido al recurrente adoptar la conducta procesal que ha considerado más correcta para la defensa de sus intereses, que en el presente caso se ha materializado en la interposición del recurso de casación. Junto a ello se alega también que, como sostiene el Tribunal Supremo en el auto por el que se resolvió el incidente de nulidad de actuaciones, el voto particular refleja los argumentos utilizados por el recurrente en su recurso. Por ello, sostiene que este motivo del recurso debe ser rechazado.</w:t>
      </w:r>
    </w:p>
    <w:p w14:paraId="4836D584" w14:textId="77777777" w:rsidR="008D479B" w:rsidRDefault="008D479B" w:rsidP="008D479B">
      <w:pPr>
        <w:pStyle w:val="TextoNormal"/>
      </w:pPr>
    </w:p>
    <w:p w14:paraId="042B94A3" w14:textId="77777777" w:rsidR="008D479B" w:rsidRDefault="008D479B" w:rsidP="008D479B">
      <w:pPr>
        <w:pStyle w:val="TextoNormal"/>
      </w:pPr>
      <w:r>
        <w:t>Descarta también que puedan prosperar los motivos segundo y tercero del recurso. A través de ellos se aduce, respectivamente, la lesión del art. 24.1 CE por haberse apartado sin motivación de otras resoluciones dictadas por otros órganos judiciales que enjuiciaron hechos idénticos y la vulneración del principio de igualdad en la aplicación del Derecho (art. 14 CE en relación con el art. 24.1 CE), al considerar que el mismo órgano judicial —la Sección Segunda de la Sala de lo Contencioso-Administrativo del Tribunal Superior de Justicia de Madrid— se apartó de uno de sus precedentes sin motivación. En relación con esta última queja, el Ministerio Fiscal sostiene, por una parte, que no reúne el requisito de la alteridad —la sentencia que aporta como término de comparación recayó en un recurso que interpuso la asociación demandante de amparo— y, por otra, que en el precedente invocado no existe la identidad necesaria para que pueda apreciarse la vulneración del principio de igualdad. Rechaza, asimismo, que concurra la vulneración del art. 24 invocada, pues considera que el Tribunal Supremo ha dado una respuesta debidamente motivada a los motivos de casación planteados.</w:t>
      </w:r>
    </w:p>
    <w:p w14:paraId="56AEA531" w14:textId="77777777" w:rsidR="008D479B" w:rsidRDefault="008D479B" w:rsidP="008D479B">
      <w:pPr>
        <w:pStyle w:val="TextoNormal"/>
      </w:pPr>
    </w:p>
    <w:p w14:paraId="56ECA4E8" w14:textId="77777777" w:rsidR="008D479B" w:rsidRDefault="008D479B" w:rsidP="008D479B">
      <w:pPr>
        <w:pStyle w:val="TextoNormal"/>
      </w:pPr>
      <w:r>
        <w:t>Por último, el fiscal examina si, respecto de estos últimos motivos, se ha producido una pérdida sobrevenida del objeto del recurso de amparo como consecuencia de la derogación de la Ordenanza de movilidad para la ciudad de Madrid de 26 de septiembre de 2005 por la Ordenanza de movilidad sostenible de la ciudad de Madrid de 5 de octubre 2018. Esta última norma ha derogado expresamente aquella. La conclusión a la que llega es que como los preceptos impugnados en el recurso contencioso-administrativo por la asociación recurrente se integraban en la Ordenanza de 2005, en la redacción que les dio el acuerdo del Pleno del Ayuntamiento de Madrid de 28 de mayo de 2014, la derogación de estos preceptos supone la pérdida de objeto del recurso, ya que este recurso, al ser un recurso directo contra reglamentos, no tenía otro objeto que el de expulsar tales preceptos del ordenamiento jurídico y este efecto ya se ha producido con la derogación. Alega también que la norma impugnada no tiene ultraactividad. Por ello, sostiene que los motivos segundo y tercero del recurso de amparo han perdido objeto, pues, según se afirma, carece de sentido un pronunciamiento que en el caso de ser estimatorio obligara al órgano judicial a pronunciarse sobre la conformidad a derecho de una norma que ha sido derogada.</w:t>
      </w:r>
    </w:p>
    <w:p w14:paraId="5C81EEA4" w14:textId="77777777" w:rsidR="008D479B" w:rsidRDefault="008D479B" w:rsidP="008D479B">
      <w:pPr>
        <w:pStyle w:val="TextoNormal"/>
      </w:pPr>
    </w:p>
    <w:p w14:paraId="66248B4B" w14:textId="28C538B7" w:rsidR="008D479B" w:rsidRDefault="008D479B" w:rsidP="008D479B">
      <w:pPr>
        <w:pStyle w:val="TextoNormal"/>
      </w:pPr>
      <w:r>
        <w:t>En conclusión, el fiscal solicita la desestimación del primer motivo del recurso, declarar la pérdida sobrevenida de objeto de los motivos segundo y tercero o, subsidiariamente, su desestimación y la inadmisión del cuarto motivo.</w:t>
      </w:r>
    </w:p>
    <w:p w14:paraId="54AC2B5D" w14:textId="77777777" w:rsidR="008D479B" w:rsidRDefault="008D479B" w:rsidP="008D479B">
      <w:pPr>
        <w:pStyle w:val="TextoNormal"/>
      </w:pPr>
    </w:p>
    <w:p w14:paraId="1871E182" w14:textId="63E4FA16" w:rsidR="008D479B" w:rsidRDefault="008D479B" w:rsidP="008D479B">
      <w:pPr>
        <w:pStyle w:val="TextoNormal"/>
      </w:pPr>
      <w:r w:rsidRPr="008D479B">
        <w:rPr>
          <w:rStyle w:val="NumeroAFNegritaCaracter"/>
        </w:rPr>
        <w:t>10</w:t>
      </w:r>
      <w:r>
        <w:t>. Por providencia de 7 de septiembre de 2023 se señaló para votación y fallo del presente recurso el día 11 del mismo mes y año.</w:t>
      </w:r>
    </w:p>
    <w:p w14:paraId="5AB0EC35" w14:textId="77777777" w:rsidR="008D479B" w:rsidRDefault="008D479B" w:rsidP="008D479B">
      <w:pPr>
        <w:pStyle w:val="TextoNormal"/>
      </w:pPr>
    </w:p>
    <w:p w14:paraId="20C46AA2" w14:textId="77777777" w:rsidR="008D479B" w:rsidRDefault="008D479B" w:rsidP="008D479B">
      <w:pPr>
        <w:pStyle w:val="TextoNormalNegritaCentrado"/>
        <w:keepNext/>
      </w:pPr>
      <w:r>
        <w:t>II. Fundamentos jurídicos</w:t>
      </w:r>
    </w:p>
    <w:p w14:paraId="722FAF7F" w14:textId="2A6C88AF" w:rsidR="008D479B" w:rsidRDefault="008D479B" w:rsidP="008D479B">
      <w:pPr>
        <w:pStyle w:val="TextoNormalNegritaCentrado"/>
        <w:keepNext/>
      </w:pPr>
    </w:p>
    <w:p w14:paraId="673312FF" w14:textId="77777777" w:rsidR="008D479B" w:rsidRDefault="008D479B" w:rsidP="008D479B">
      <w:pPr>
        <w:pStyle w:val="TextoNormal"/>
      </w:pPr>
      <w:r w:rsidRPr="008D479B">
        <w:rPr>
          <w:rStyle w:val="NumeroAFNegritaCaracter"/>
        </w:rPr>
        <w:t>1</w:t>
      </w:r>
      <w:r>
        <w:t xml:space="preserve">. </w:t>
      </w:r>
      <w:r w:rsidRPr="008D479B">
        <w:rPr>
          <w:i/>
        </w:rPr>
        <w:t>Objeto del recurso y pretensiones de las partes</w:t>
      </w:r>
    </w:p>
    <w:p w14:paraId="3E519F3F" w14:textId="77777777" w:rsidR="008D479B" w:rsidRDefault="008D479B" w:rsidP="008D479B">
      <w:pPr>
        <w:pStyle w:val="TextoNormal"/>
      </w:pPr>
    </w:p>
    <w:p w14:paraId="7F7AFD93" w14:textId="77777777" w:rsidR="008D479B" w:rsidRDefault="008D479B" w:rsidP="008D479B">
      <w:pPr>
        <w:pStyle w:val="TextoNormal"/>
      </w:pPr>
      <w:r>
        <w:t>En el presente recurso de amparo se impugnan formalmente la sentencia de 13 de diciembre de 2019 de la Sala de lo Contencioso-Administrativo, Sección Quinta, del Tribunal Supremo, por la que se desestima el recurso de casación formulado contra la sentencia de 27 de abril de 2016, de la Sala de lo Contencioso-Administrativo, Sección Segunda, del Tribunal Superior de Justicia de Madrid, y el auto de 12 de mayo de 2020, también de la Sala de lo Contencioso-Administrativo, Sección Quinta, del Tribunal Supremo por el que se desestima el incidente de nulidad de actuaciones interpuesto contra la sentencia recaída en el recurso de casación.</w:t>
      </w:r>
    </w:p>
    <w:p w14:paraId="51B436E2" w14:textId="77777777" w:rsidR="008D479B" w:rsidRDefault="008D479B" w:rsidP="008D479B">
      <w:pPr>
        <w:pStyle w:val="TextoNormal"/>
      </w:pPr>
    </w:p>
    <w:p w14:paraId="20019B34" w14:textId="77777777" w:rsidR="008D479B" w:rsidRDefault="008D479B" w:rsidP="008D479B">
      <w:pPr>
        <w:pStyle w:val="TextoNormal"/>
      </w:pPr>
      <w:r>
        <w:t>Ahora bien, dado que, como a continuación se expondrá, algunos de los motivos del recurso de amparo se fundamentan en que el Tribunal Supremo no reparó la vulneración de los derechos fundamentales que le ocasionó la citada sentencia de 27 de abril de 2016 de la Sección Segunda de la Sala de lo Contencioso-Administrativo del Tribunal Superior de Justicia de Madrid a la asociación recurrente, el presente recurso de amparo debe entenderse formulado también contra esta resolución. Como ha establecido, entre otras muchas, la STC 140/2021, de 12 de julio, FJ 2, “conforme a una consolidada doctrina de este tribunal, ‘cuando se impugna en amparo una resolución judicial confirmatoria de otras, que han sido lógica y cronológicamente presupuesto de aquella, han de entenderse también recurridas las precedentes resoluciones confirmadas’ (SSTC 97/1999, de 31 de mayo, FJ 2; 14/2000, de 17 de enero, FJ 2, y 95/2018, de 17 de septiembre, FJ 1, entre otras)”.</w:t>
      </w:r>
    </w:p>
    <w:p w14:paraId="7664AD9B" w14:textId="77777777" w:rsidR="008D479B" w:rsidRDefault="008D479B" w:rsidP="008D479B">
      <w:pPr>
        <w:pStyle w:val="TextoNormal"/>
      </w:pPr>
    </w:p>
    <w:p w14:paraId="0B616116" w14:textId="77777777" w:rsidR="008D479B" w:rsidRDefault="008D479B" w:rsidP="008D479B">
      <w:pPr>
        <w:pStyle w:val="TextoNormal"/>
      </w:pPr>
      <w:r>
        <w:t>La asociación demandante de amparo considera que las resoluciones judiciales impugnadas vulneran sus derechos fundamentales por diversos motivos. Aduce, en primer lugar, que han lesionado su derecho fundamental a la tutela judicial efectiva (art. 24.1 CE) porque no se le notificó íntegramente la sentencia de 27 de abril de 2016, de la Sección Segunda de la Sala de lo Contencioso-Administrativo del Tribunal Superior de Justicia de Madrid, al no haberle notificado el voto particular que formularon dos de los magistrados que integraban la Sala. En segundo lugar, alega que la sentencia del Tribunal Supremo que resuelve el recurso de casación vulnera el derecho a la tutela judicial efectiva (art. 24.1 CE) en relación con el principio de seguridad jurídica (art. 9.3 CE) por haberse apartado inmotivadamente de pronunciamientos judiciales previos sobre idéntica materia y por ser contradictoria con sus propios razonamientos y con la jurisprudencia que cita en relación con la autonomía local, el ámbito de sus competencias y el principio de vinculación negativa. En el tercero de los motivos en los que se fundamenta el recurso se denuncia la vulneración del principio de igualdad en la aplicación del Derecho (art. 14 CE) en relación con el derecho a la tutela judicial efectiva (art. 24.1 CE) porque, según se sostiene, la Sección Segunda de la Sala de lo Contencioso-Administrativo del Tribunal Superior de Justicia de Madrid, al dictar la sentencia impugnada, se ha apartado del criterio establecido en dos sentencias anteriores en las que se habían enjuiciado casos similares, sin haber justificado el cambio de criterio. Se aduce que el Tribunal Supremo hubiera debido reparar esa lesión. Por último, la asociación recurrente se queja también de la vulneración del derecho a la libre circulación de los españoles por el territorio nacional (art. 19 CE) con la garantía de igualdad. Según se sostiene en la demanda de amparo, la sentencia del Tribunal Supremo está habilitando a los ayuntamientos, en contra del régimen constitucional de competencias, a crear y a utilizar señales no contempladas en el catálogo oficial de señales, lo que determina, según se afirma, no solo una vulneración de las competencias del Estado en esta materia, sino también la lesión del derecho que garantiza el art. 19 CE.</w:t>
      </w:r>
    </w:p>
    <w:p w14:paraId="05DCF69C" w14:textId="77777777" w:rsidR="008D479B" w:rsidRDefault="008D479B" w:rsidP="008D479B">
      <w:pPr>
        <w:pStyle w:val="TextoNormal"/>
      </w:pPr>
    </w:p>
    <w:p w14:paraId="7DF16B8E" w14:textId="77777777" w:rsidR="008D479B" w:rsidRDefault="008D479B" w:rsidP="008D479B">
      <w:pPr>
        <w:pStyle w:val="TextoNormal"/>
      </w:pPr>
      <w:r>
        <w:t>La representación procesal del Ayuntamiento de Madrid solicita la desestimación del recurso, al considerar que no concurren las vulneraciones de los derechos fundamentales alegadas.</w:t>
      </w:r>
    </w:p>
    <w:p w14:paraId="7EF19981" w14:textId="77777777" w:rsidR="008D479B" w:rsidRDefault="008D479B" w:rsidP="008D479B">
      <w:pPr>
        <w:pStyle w:val="TextoNormal"/>
      </w:pPr>
    </w:p>
    <w:p w14:paraId="33E84395" w14:textId="4BB7B05F" w:rsidR="008D479B" w:rsidRDefault="008D479B" w:rsidP="008D479B">
      <w:pPr>
        <w:pStyle w:val="TextoNormal"/>
      </w:pPr>
      <w:r>
        <w:t>El Ministerio Fiscal interesa la desestimación de la queja por la que se aduce que la notificación de la sentencia sin el voto particular es lesiva del derecho que consagra el art. 24.1 CE. Respecto de los motivos por los que se alega la vulneración del art. 24.1 CE en relación con el art. 9.3 CE y la del art. 14 CE en relación con el art. 24.1 CE, entiende que, como la disposición reglamentaria impugnada en el recurso contencioso-administrativo ha sido derogada, han perdido objeto. Subsidiariamente, solicita la desestimación de estas quejas. Por último, solicita la inadmisión del motivo por el que se aduce la vulneración del art. 19 CE por no haber sido invocado en la vía judicial [art. 44.1 c) LOTC].</w:t>
      </w:r>
    </w:p>
    <w:p w14:paraId="586187BF" w14:textId="77777777" w:rsidR="008D479B" w:rsidRDefault="008D479B" w:rsidP="008D479B">
      <w:pPr>
        <w:pStyle w:val="TextoNormal"/>
      </w:pPr>
    </w:p>
    <w:p w14:paraId="15CEEE90" w14:textId="77777777" w:rsidR="008D479B" w:rsidRDefault="008D479B" w:rsidP="008D479B">
      <w:pPr>
        <w:pStyle w:val="TextoNormal"/>
      </w:pPr>
      <w:r w:rsidRPr="008D479B">
        <w:rPr>
          <w:rStyle w:val="NumeroAFNegritaCaracter"/>
        </w:rPr>
        <w:t>2</w:t>
      </w:r>
      <w:r>
        <w:t xml:space="preserve">. </w:t>
      </w:r>
      <w:r w:rsidRPr="008D479B">
        <w:rPr>
          <w:i/>
        </w:rPr>
        <w:t>Examen de la causa de inadmisibilidad parcial del recurso alegada por el Ministerio Fiscal</w:t>
      </w:r>
    </w:p>
    <w:p w14:paraId="03B1078F" w14:textId="77777777" w:rsidR="008D479B" w:rsidRDefault="008D479B" w:rsidP="008D479B">
      <w:pPr>
        <w:pStyle w:val="TextoNormal"/>
      </w:pPr>
    </w:p>
    <w:p w14:paraId="4B5CBB36" w14:textId="77777777" w:rsidR="008D479B" w:rsidRDefault="008D479B" w:rsidP="008D479B">
      <w:pPr>
        <w:pStyle w:val="TextoNormal"/>
      </w:pPr>
      <w:r>
        <w:t>Como se acaba de exponer, el fiscal solicita la inadmisión de la queja por la que se aduce la vulneración del derecho a la libre circulación de los españoles por el territorio nacional (art. 19 CE) con la garantía de igualdad, al apreciar que esta vulneración no ha sido invocada en la vía judicial.</w:t>
      </w:r>
    </w:p>
    <w:p w14:paraId="332A2804" w14:textId="77777777" w:rsidR="008D479B" w:rsidRDefault="008D479B" w:rsidP="008D479B">
      <w:pPr>
        <w:pStyle w:val="TextoNormal"/>
      </w:pPr>
    </w:p>
    <w:p w14:paraId="1D8E31D8" w14:textId="77777777" w:rsidR="008D479B" w:rsidRDefault="008D479B" w:rsidP="008D479B">
      <w:pPr>
        <w:pStyle w:val="TextoNormal"/>
      </w:pPr>
      <w:r>
        <w:t>Ha de señalarse, en primer lugar, que esta vulneración, de existir, no sería imputable al Tribunal Supremo, como sostiene la asociación demandante de amparo, sino, en su caso, al reglamento impugnado en el recurso contencioso-administrativo, pues, de acuerdo con la argumentación que se expone en la demanda de amparo, es la regulación contenida en esta norma lo que los recurrentes consideran que vulnera el referido derecho fundamental. Como ha señalado el Tribunal en la STC 33/2023, de 18 de abril, FJ 2, “[d]e acuerdo con jurisprudencia constitucional constante, cuando se imputan infracciones a un acto de la administración la circunstancia de que en la vía judicial no se hayan estimado las vulneraciones aducidas no conlleva que las resoluciones judiciales recaídas hayan incurrido en dichas infracciones. Como tempranamente dijo el Tribunal, ‘las decisiones producidas en esta vía judicial no han de ser objeto de impugnación por la sola razón de no haber estimado la pretensión deducida por el recurrente. Estas decisiones desestimatorias no alteran la situación jurídica creada por el acto de la administración presuntamente lesivo de un derecho fundamental y no son, por tanto, en sí mismas causas de lesión. Otra interpretación llevaría a entender, en definitiva, que no hay más actos u omisiones atacables en vía de amparo constitucional que los actos u omisiones de los órganos judiciales’ [STC 6/1981, de 16 de marzo, FJ 2, doctrina reiterada en muchas resoluciones, recientemente en la STC 11/2023, de 23 de febrero, FJ 2 B) b)]”.</w:t>
      </w:r>
    </w:p>
    <w:p w14:paraId="6C68933C" w14:textId="77777777" w:rsidR="008D479B" w:rsidRDefault="008D479B" w:rsidP="008D479B">
      <w:pPr>
        <w:pStyle w:val="TextoNormal"/>
      </w:pPr>
    </w:p>
    <w:p w14:paraId="11D68BE4" w14:textId="77777777" w:rsidR="008D479B" w:rsidRDefault="008D479B" w:rsidP="008D479B">
      <w:pPr>
        <w:pStyle w:val="TextoNormal"/>
      </w:pPr>
      <w:r>
        <w:t>Efectuada la anterior precisión, ha de analizarse si, como sostiene el fiscal, la queja por la que se aduce la vulneración del derecho que consagra el art. 19 CE incurre en la causa de inadmisibilidad prevista en el art. 44.1 c) LOTC. Es doctrina constitucional reiterada que este precepto, al exigir “[q]ue se haya denunciado formalmente en el proceso, si hubo oportunidad, la vulneración del derecho constitucional tan pronto como, una vez conocida, hubiera lugar para ello”, establece un requisito que “no resulta un mero formalismo retórico o inútil, ni una fórmula inocua, pues tiene por finalidad, de una parte, que los órganos judiciales tengan la oportunidad de pronunciarse sobre la violación constitucional, haciendo posible el respeto y el restablecimiento del derecho constitucional en sede jurisdiccional ordinaria y, de otra, preservar el carácter subsidiario de la jurisdicción constitucional de amparo, que resultaría desvirtuado si ante ella se plantearan cuestiones sobre las que previamente, a través de las vías procesales oportunas, no se ha dado ocasión de pronunciarse a los órganos de la jurisdicción correspondiente” (STC 71/2022, de 13 de junio, FJ 2, entre otras muchas). El Tribunal ha insistido también, como pone de relieve la citada STC 71/2022, FJ 2, en que este requisito “ha de ser interpretado de manera flexible y con criterio finalista, atendiendo, más que al puro formalismo de la invocación del precepto constitucional que se estime infringido, a la exposición de un marco de alegaciones que permita al órgano judicial cumplir con su función de tutelar los derechos fundamentales y libertades públicas y, en su caso, remediar la vulneración constitucional” denunciada. Por ello, para cumplir esta exigencia es suficiente “con que de las alegaciones del recurrente pueda inferirse la lesión del derecho fundamental que luego se intente invocar en el recurso de amparo”.</w:t>
      </w:r>
    </w:p>
    <w:p w14:paraId="0C44BE14" w14:textId="77777777" w:rsidR="008D479B" w:rsidRDefault="008D479B" w:rsidP="008D479B">
      <w:pPr>
        <w:pStyle w:val="TextoNormal"/>
      </w:pPr>
    </w:p>
    <w:p w14:paraId="41E41984" w14:textId="6E736143" w:rsidR="008D479B" w:rsidRDefault="008D479B" w:rsidP="008D479B">
      <w:pPr>
        <w:pStyle w:val="TextoNormal"/>
      </w:pPr>
      <w:r>
        <w:t>El examen de las actuaciones pone de manifiesto que en la vía judicial la asociación recurrente no invocó la lesión del derecho fundamental que consagra el art. 19 CE, ya que ni adujo que el reglamento impugnado pudiera ser lesivo de este derecho fundamental, ni de sus alegaciones puede deducirse que la norma recurrida incida en los bienes y valores jurídicos que el referido derecho fundamental tutela. Las cuestiones que se aducen en la demanda de amparo en relación con el derecho a la libre circulación de los españoles por el territorio nacional se han alegado por vez primera ante este tribunal, por lo que los órganos judiciales no han podido pronunciarse sobre ellas. En consecuencia, respecto de este motivo del recurso de amparo no puede considerarse cumplido el requisito que establece el art. 44.1 c) LOTC, lo que determina que esta queja deba ser inadmitida.</w:t>
      </w:r>
    </w:p>
    <w:p w14:paraId="2383F901" w14:textId="77777777" w:rsidR="008D479B" w:rsidRDefault="008D479B" w:rsidP="008D479B">
      <w:pPr>
        <w:pStyle w:val="TextoNormal"/>
      </w:pPr>
    </w:p>
    <w:p w14:paraId="4EA66DAC" w14:textId="77777777" w:rsidR="008D479B" w:rsidRDefault="008D479B" w:rsidP="008D479B">
      <w:pPr>
        <w:pStyle w:val="TextoNormal"/>
      </w:pPr>
      <w:r w:rsidRPr="008D479B">
        <w:rPr>
          <w:rStyle w:val="NumeroAFNegritaCaracter"/>
        </w:rPr>
        <w:t>3</w:t>
      </w:r>
      <w:r>
        <w:t xml:space="preserve">. </w:t>
      </w:r>
      <w:r w:rsidRPr="008D479B">
        <w:rPr>
          <w:i/>
        </w:rPr>
        <w:t>Sobre la incidencia de la derogación de la norma impugnada en el proceso</w:t>
      </w:r>
      <w:r>
        <w:t xml:space="preserve"> a quo </w:t>
      </w:r>
      <w:r w:rsidRPr="008D479B">
        <w:rPr>
          <w:i/>
        </w:rPr>
        <w:t>en el presente recurso de amparo</w:t>
      </w:r>
    </w:p>
    <w:p w14:paraId="24654095" w14:textId="77777777" w:rsidR="008D479B" w:rsidRDefault="008D479B" w:rsidP="008D479B">
      <w:pPr>
        <w:pStyle w:val="TextoNormal"/>
      </w:pPr>
    </w:p>
    <w:p w14:paraId="17C762F1" w14:textId="77777777" w:rsidR="008D479B" w:rsidRDefault="008D479B" w:rsidP="008D479B">
      <w:pPr>
        <w:pStyle w:val="TextoNormal"/>
      </w:pPr>
      <w:r>
        <w:t xml:space="preserve">Como se ha indicado, el fiscal considera que, como la norma objeto del recurso contencioso-administrativo del que traen causa las resoluciones judiciales impugnadas ha sido derogada, dos de los motivos en los que se fundamenta el recurso de amparo han perdido objeto. En concreto, entiende que la derogación del reglamento recurrido en el proceso </w:t>
      </w:r>
      <w:r w:rsidRPr="008D479B">
        <w:rPr>
          <w:i/>
        </w:rPr>
        <w:t>a quo</w:t>
      </w:r>
      <w:r>
        <w:t xml:space="preserve"> conlleva la pérdida sobrevenida de objeto tanto de la queja por la que se alega que el Tribunal Supremo, al apartarse sin motivación de pronunciamientos judiciales previos, ha vulnerado el art. 24.1 CE, en relación con el art. 9.3 CE (motivo segundo del recurso de amparo), como de la que aduce que este órgano judicial ha vulnerado el art. 14 CE al no reparar la vulneración del principio de igualdad que, según se sostiene en la demanda, ocasionó a la entidad recurrente la sentencia impugnada en casación al haberse apartado de sus propios precedentes sin motivación (motivo tercero). A juicio del Ministerio Fiscal, la derogación de la normativa impugnada ha privado a la controversia suscitada en el litigio judicial de cualquier interés o utilidad real, pues lo que a través de este recurso se pretendía era expulsar del ordenamiento jurídico un reglamento que se consideraba ilegal y este efecto se ha conseguido con la derogación de la norma. Por ello, solicita que el Tribunal declare que los motivos segundo y tercero en los que se fundamenta el recurso de amparo han perdido objeto. No ocurre lo mismo, a su juicio, con el primero de los motivos alegados en el recurso de amparo. Considera que, como la infracción denunciada ha surgido en el </w:t>
      </w:r>
      <w:r w:rsidRPr="008D479B">
        <w:rPr>
          <w:i/>
        </w:rPr>
        <w:t>iter</w:t>
      </w:r>
      <w:r>
        <w:t xml:space="preserve"> procesal —la notificación defectuosa del voto particular de la sentencia de instancia— es “totalmente ajena a la pretensión deducida en el litigio judicial”.</w:t>
      </w:r>
    </w:p>
    <w:p w14:paraId="3B563371" w14:textId="77777777" w:rsidR="008D479B" w:rsidRDefault="008D479B" w:rsidP="008D479B">
      <w:pPr>
        <w:pStyle w:val="TextoNormal"/>
      </w:pPr>
    </w:p>
    <w:p w14:paraId="730AD709" w14:textId="5E1E07B5" w:rsidR="008D479B" w:rsidRDefault="008D479B" w:rsidP="008D479B">
      <w:pPr>
        <w:pStyle w:val="TextoNormal"/>
      </w:pPr>
      <w:r>
        <w:t xml:space="preserve">Esta solicitud no puede prosperar. Una vez que el Tribunal ha apreciado que la queja por la que se denunciaba la vulneración del art. 19 CE debe ser inadmitida por no haber agotado la vía judicial [art. 44.1 c) LOTC] —único motivo, como se ha expuesto, que tenía por objeto la disposición administrativa—, el resto de las quejas denuncian vulneraciones que se atribuyen a los órganos judiciales. Por ello, la derogación de la norma impugnada en el proceso </w:t>
      </w:r>
      <w:r w:rsidRPr="008D479B">
        <w:rPr>
          <w:i/>
        </w:rPr>
        <w:t>a quo</w:t>
      </w:r>
      <w:r>
        <w:t xml:space="preserve"> no incide en el objeto de este recurso de amparo cuyo objeto lo constituyen las resoluciones judiciales recurridas, no la disposición administrativa impugnada en el proceso en que las referidas resoluciones recayeron. Los efectos que podría tener la derogación de la norma en esos procesos en el supuesto de que el Tribunal estimara el amparo sería, en su caso, una cuestión de legalidad ordinaria que no corresponde resolver a la jurisdicción constitucional.</w:t>
      </w:r>
    </w:p>
    <w:p w14:paraId="34ECC3E5" w14:textId="77777777" w:rsidR="008D479B" w:rsidRDefault="008D479B" w:rsidP="008D479B">
      <w:pPr>
        <w:pStyle w:val="TextoNormal"/>
      </w:pPr>
    </w:p>
    <w:p w14:paraId="7A3C0EEF" w14:textId="77777777" w:rsidR="008D479B" w:rsidRDefault="008D479B" w:rsidP="008D479B">
      <w:pPr>
        <w:pStyle w:val="TextoNormal"/>
      </w:pPr>
      <w:r w:rsidRPr="008D479B">
        <w:rPr>
          <w:rStyle w:val="NumeroAFNegritaCaracter"/>
        </w:rPr>
        <w:t>4</w:t>
      </w:r>
      <w:r>
        <w:t xml:space="preserve">. </w:t>
      </w:r>
      <w:r w:rsidRPr="008D479B">
        <w:rPr>
          <w:i/>
        </w:rPr>
        <w:t>Sobre la falta de notificación del voto particular y su afectación al derecho fundamental a la tutela judicial efectiva de la asociación recurrente</w:t>
      </w:r>
    </w:p>
    <w:p w14:paraId="79BD66C6" w14:textId="77777777" w:rsidR="008D479B" w:rsidRDefault="008D479B" w:rsidP="008D479B">
      <w:pPr>
        <w:pStyle w:val="TextoNormal"/>
      </w:pPr>
    </w:p>
    <w:p w14:paraId="109CD547" w14:textId="77777777" w:rsidR="008D479B" w:rsidRDefault="008D479B" w:rsidP="008D479B">
      <w:pPr>
        <w:pStyle w:val="TextoNormal"/>
      </w:pPr>
      <w:r>
        <w:t>Como se ha puesto de manifiesto, la asociación recurrente considera que se ha vulnerado su derecho a la tutela judicial efectiva (art. 24.1 CE) al habérsele notificado la sentencia que desestimó el recurso contencioso-administrativo que interpuso contra el acuerdo del Pleno del Ayuntamiento de Madrid de 28 de mayo de 2014 por el que se modificó la ordenanza de movilidad para la ciudad de Madrid (sentencia de 27 de abril de 2016, de la Sección Segunda de la Sala de lo Contencioso-Administrativo del Tribunal Superior de Justicia de Madrid) sin incluir el voto particular que formularon dos de los magistrados que componían la Sala. Como se ha indicado en los antecedentes, la asociación demandante de amparo tuvo conocimiento de la existencia de este voto cuando se le notificó la sentencia recaída en el recurso de casación interpuesto contra aquella sentencia. En la demanda de amparo se alega que este hecho afecta a su derecho a acceder al proceso y a los recursos legalmente establecidos en condiciones de poder ser oído y ejercer la defensa de sus intereses legítimos en un procedimiento en el que se respeten los principios de bilateralidad, contradicción e igualdad de armas procesales.</w:t>
      </w:r>
    </w:p>
    <w:p w14:paraId="2AB48BA9" w14:textId="77777777" w:rsidR="008D479B" w:rsidRDefault="008D479B" w:rsidP="008D479B">
      <w:pPr>
        <w:pStyle w:val="TextoNormal"/>
      </w:pPr>
    </w:p>
    <w:p w14:paraId="2705ADDF" w14:textId="77777777" w:rsidR="008D479B" w:rsidRDefault="008D479B" w:rsidP="008D479B">
      <w:pPr>
        <w:pStyle w:val="TextoNormal"/>
      </w:pPr>
      <w:r>
        <w:t>Tanto el art. 205.2 LEC como el art. 260.2 LOPJ, que tienen idéntico contenido, establecen:</w:t>
      </w:r>
    </w:p>
    <w:p w14:paraId="3DBE22D6" w14:textId="77777777" w:rsidR="008D479B" w:rsidRDefault="008D479B" w:rsidP="008D479B">
      <w:pPr>
        <w:pStyle w:val="TextoNormal"/>
      </w:pPr>
    </w:p>
    <w:p w14:paraId="7B9EF104" w14:textId="77777777" w:rsidR="008D479B" w:rsidRDefault="008D479B" w:rsidP="008D479B">
      <w:pPr>
        <w:pStyle w:val="TextoNormal"/>
      </w:pPr>
      <w:r>
        <w:t>“El voto particular, con la firma del autor, se incorporará al libro de sentencias y se notificará a las partes junto con la sentencia aprobada por mayoría. Cuando, de acuerdo con la ley, sea preceptiva la publicación de la sentencia, el voto particular, si lo hubiere, habrá de publicarse junto a ella”.</w:t>
      </w:r>
    </w:p>
    <w:p w14:paraId="2A3CF016" w14:textId="77777777" w:rsidR="008D479B" w:rsidRDefault="008D479B" w:rsidP="008D479B">
      <w:pPr>
        <w:pStyle w:val="TextoNormal"/>
      </w:pPr>
    </w:p>
    <w:p w14:paraId="48B41E9F" w14:textId="77777777" w:rsidR="008D479B" w:rsidRDefault="008D479B" w:rsidP="008D479B">
      <w:pPr>
        <w:pStyle w:val="TextoNormal"/>
      </w:pPr>
      <w:r>
        <w:t>El tenor de estas normas evidencia que la Sala de lo Contencioso-Administrativo del Tribunal Superior de Justicia de Madrid, al notificar la sentencia sin el voto particular, incurrió en una infracción procesal. Ahora bien, como ha señalado reiteradamente el Tribunal no toda infracción de la legalidad procesal conlleva la lesión del derecho a la tutela judicial efectiva. La jurisprudencia constitucional ha rechazado reiteradamente la identificación entre defecto o irregularidad procesal e indefensión, pues no toda infracción procesal es causante de la lesión del derecho recogido en el artículo 24.1 CE. Solo ocasiona esta vulneración constitucional aquella que conlleve un “efectivo y real menoscabo del derecho de defensa, con el consiguiente perjuicio real y efectivo para los interesados afectados” (entre otras muchas, STC 184/2001, de 17 de septiembre, FJ 3).</w:t>
      </w:r>
    </w:p>
    <w:p w14:paraId="5AD30B53" w14:textId="77777777" w:rsidR="008D479B" w:rsidRDefault="008D479B" w:rsidP="008D479B">
      <w:pPr>
        <w:pStyle w:val="TextoNormal"/>
      </w:pPr>
    </w:p>
    <w:p w14:paraId="725130AC" w14:textId="77777777" w:rsidR="008D479B" w:rsidRDefault="008D479B" w:rsidP="008D479B">
      <w:pPr>
        <w:pStyle w:val="TextoNormal"/>
      </w:pPr>
      <w:r>
        <w:t>Esta exigencia tiene especial relevancia en el presente caso en el que la ilegalidad en la que se fundamenta la vulneración del derecho a la tutela judicial efectiva —la falta de notificación del voto particular formulado por dos magistrados a la sentencia— puede no conllevar “un efectivo y real menoscabo de las posibilidades de defensa” (STC 159/2004, de 4 de octubre, FJ 5). Ha de tenerse en cuenta que la falta de notificación del voto, al ser una ilegalidad que se produce una vez dictada la sentencia, no afecta al principio de contradicción o de bilateralidad (principios que, aunque la asociación recurrente aduce como diferentes, constituyen la expresión del mismo valor jurídico) ni al de igualdad de armas procesales invocados en la demanda de amparo. Este último principio solo podría estar concernido si la sentencia sin el voto solo se hubiera notificado a la parte recurrente y, en cambio, la recurrida hubiera podido conocer la resolución judicial íntegra, esto es, la sentencia y el voto, y como consecuencia de ello hubiera obtenido una ventaja procesal. Esta circunstancia no solo no ha quedado acreditada en el presente caso, sino que ni siquiera se ha alegado.</w:t>
      </w:r>
    </w:p>
    <w:p w14:paraId="3AF55983" w14:textId="77777777" w:rsidR="008D479B" w:rsidRDefault="008D479B" w:rsidP="008D479B">
      <w:pPr>
        <w:pStyle w:val="TextoNormal"/>
      </w:pPr>
    </w:p>
    <w:p w14:paraId="6878007D" w14:textId="77777777" w:rsidR="008D479B" w:rsidRDefault="008D479B" w:rsidP="008D479B">
      <w:pPr>
        <w:pStyle w:val="TextoNormal"/>
      </w:pPr>
      <w:r>
        <w:t>Por otra parte, en el caso que ahora se examina, la sentencia fue notificada en su integridad y es la argumentación de esta decisión la que ha de tenerse en cuenta a efectos de enjuiciar su conformidad a derecho, no la que pueda contenerse en los votos particulares emitidos por una parte de los miembros del tribunal para manifestar su disconformidad, sea con los concretos argumentos jurídicos utilizados en la sentencia, sea con el sentido del fallo adoptado (en este sentido, ATC 155/2016, de 20 de septiembre, FJ 6, y STC 38/2018, de 23 de abril, FJ 3), pues estos votos no tienen más alcance que el de expresar la opinión disidente de los magistrados discrepantes.</w:t>
      </w:r>
    </w:p>
    <w:p w14:paraId="4882F4C5" w14:textId="77777777" w:rsidR="008D479B" w:rsidRDefault="008D479B" w:rsidP="008D479B">
      <w:pPr>
        <w:pStyle w:val="TextoNormal"/>
      </w:pPr>
    </w:p>
    <w:p w14:paraId="27432B0F" w14:textId="77777777" w:rsidR="008D479B" w:rsidRDefault="008D479B" w:rsidP="008D479B">
      <w:pPr>
        <w:pStyle w:val="TextoNormal"/>
      </w:pPr>
      <w:r>
        <w:t>De estas consideraciones no cabe deducir, sin embargo, que la falta de notificación de los votos particulares que contenga una resolución judicial carezca siempre y en todo caso de relevancia constitucional. Tampoco permite llegar a esta conclusión el hecho de que la ley no exija a los magistrados que votan en contra de la posición mayoritaria expresada en la resolución judicial que formulen voto particular. Al prever la ley esta posibilidad y establecer que los votos han de notificarse junto con la sentencia está atribuyendo a estas opiniones un valor pues, aunque en nada afecten a lo decidido por la mayoría, los argumentos que en ellas se expresan pueden ser relevantes para poner de manifiesto que la decisión adoptada podría haber tenido otro sentido. De ahí que, en principio, no pueda descartarse que esta infracción procesal pueda afectar al derecho de defensa. Los argumentos en los que los magistrados discrepantes con la decisión mayoritaria fundamentan su opinión pueden incidir en este derecho si esa decisión judicial es susceptible de recurso. Estos argumentos pueden contribuir a una mejor defensa de la pretensión procesal, bien, en el caso de la parte recurrente, porque se apoyen en ellos para fundamentar el recurso que interpongan contra esa resolución judicial, bien, en el caso de la parte recurrida, para poner de manifiesto que tales argumentos no tienen entidad suficiente para desvirtuar la decisión mayoritaria.</w:t>
      </w:r>
    </w:p>
    <w:p w14:paraId="2B24F34F" w14:textId="77777777" w:rsidR="008D479B" w:rsidRDefault="008D479B" w:rsidP="008D479B">
      <w:pPr>
        <w:pStyle w:val="TextoNormal"/>
      </w:pPr>
    </w:p>
    <w:p w14:paraId="4A4FF25A" w14:textId="77777777" w:rsidR="008D479B" w:rsidRDefault="008D479B" w:rsidP="008D479B">
      <w:pPr>
        <w:pStyle w:val="TextoNormal"/>
      </w:pPr>
      <w:r>
        <w:t>Ahora bien, para poder apreciar que la falta de notificación del voto particular ha menoscabado de forma real y efectiva las posibilidades de defensa de la entidad recurrente no basta con afirmar de modo apodíctico, como se hace en el escrito de demanda, que esta infracción tiene “una gravedad extrema” y que como consecuencia de ella no se ha podido acceder a los recursos en condiciones de poder ser oído y de ejercer su derecho a la defensa en un procedimiento en el que se respeten los principios de bilateralidad, contradicción e igualdad de armas procesales. Como se ha señalado, solo la indefensión material es constitucionalmente relevante, por lo que para poder apreciar que, al no notificar junto con la sentencia el voto particular, se ha vulnerado el derecho fundamental que garantiza el art. 24.1 CE, es necesario acreditar este extremo y para ello hubiera sido preciso que la asociación recurrente argumentara de modo convincente que si hubiese conocido el voto particular habría podido plantear el recurso de otro modo y este diferente planteamiento quizás hubiera podido cambiar el sentido del fallo. Esta argumentación no se contiene en el escrito de demanda de amparo, por lo que, al ser carga del recurrente alegar y fundamentar adecuadamente la existencia de indefensión material, esta queja podría ser desestimada por este motivo.</w:t>
      </w:r>
    </w:p>
    <w:p w14:paraId="4B2D1F30" w14:textId="77777777" w:rsidR="008D479B" w:rsidRDefault="008D479B" w:rsidP="008D479B">
      <w:pPr>
        <w:pStyle w:val="TextoNormal"/>
      </w:pPr>
    </w:p>
    <w:p w14:paraId="3B3499C9" w14:textId="77777777" w:rsidR="008D479B" w:rsidRDefault="008D479B" w:rsidP="008D479B">
      <w:pPr>
        <w:pStyle w:val="TextoNormal"/>
      </w:pPr>
      <w:r>
        <w:t>En todo caso, en el supuesto que ahora se examina, si la falta de notificación del voto particular hubiera menoscabado el derecho de defensa de la asociación recurrente en amparo —que, como se indicará a continuación, no es el caso—, la vulneración de este derecho fundamental habría sido tutelada por el Tribunal Supremo al resolver sobre el fondo de la cuestión planteada en el incidente de nulidad de actuaciones de forma debidamente motivada. A través de este cauce procesal la entidad ahora demandante de amparo denunció en la vía judicial esta vulneración constitucional y pudo exponer, a la vista ya del voto particular, las razones que hubiera aducido en el escrito de interposición del recurso de casación si en ese momento hubiera conocido la opinión de los magistrados discrepantes. Resulta, por tanto, que el Tribunal Supremo, al resolver el incidente de nulidad y pronunciarse sobre si la infracción denunciada había o no causado indefensión a la parte recurrente estaba, al mismo tiempo, examinando si las alegaciones efectuadas en este cauce podían determinar que el fallo del recurso de casación hubiera debido ser otro. En efecto, el auto desestimó este incidente en virtud de distintos argumentos. En primer lugar, sostiene que, aunque en el escrito de interposición del incidente se fundamentó la nulidad solicitada en que si se hubiera conocido el contenido del voto particular el planteamiento del recurso de casación hubiera sido distinto y ello hubiera podido determinar un fallo diferente (se pidió la nulidad de todas las actuaciones hasta el momento en que se dictó la sentencia recaída en el recurso contencioso para que se le notificara esta resolución incluyendo el voto particular y poder formular de nuevo el recurso de casación), no se explicitó, sin embargo, en qué podía haber cambiado el planteamiento del recurso el conocimiento del voto. Por este motivo la Sala consideró que, al no concretar la indefensión padecida, la queja era muy genérica. En segundo lugar, en relación con el pronunciamiento relativo a las costas, aunque en el incidente se adujo que el voto particular evidenciaba las “dudas de hecho y de derecho” que el asunto planteaba y que por este motivo la condena en costas no era procedente, el Tribunal Supremo rechazó esta queja al estimar que la “Sala sí tuvo a la vista la sentencia en toda su extensión, incluido el voto particular” y pudo tomarlo en consideración cuando dictó el pronunciamiento sobre costas. Por último, el auto rechaza el incidente por entender que el voto particular “refleja en lo sustancial un planteamiento semejante al sostenido por la asociación recurrente en casación y, por lo tanto, ha sido objeto del correspondiente pronunciamiento al resolver el recurso de casación, de manera que tampoco en este sentido se aprecia indefensión para la recurrente”.</w:t>
      </w:r>
    </w:p>
    <w:p w14:paraId="5009830E" w14:textId="77777777" w:rsidR="008D479B" w:rsidRDefault="008D479B" w:rsidP="008D479B">
      <w:pPr>
        <w:pStyle w:val="TextoNormal"/>
      </w:pPr>
    </w:p>
    <w:p w14:paraId="520FE2D8" w14:textId="7F766BA8" w:rsidR="008D479B" w:rsidRDefault="008D479B" w:rsidP="008D479B">
      <w:pPr>
        <w:pStyle w:val="TextoNormal"/>
      </w:pPr>
      <w:r>
        <w:t>Resulta, por tanto, que el auto por el que se resuelve el incidente de nulidad de actuaciones no solo no incurrió en la infracción del derecho a la tutela judicial efectiva que se le imputa, sino que cumplió su función constitucional, al haber examinado si la ilegalidad denunciada había lesionado los derechos fundamentales invocados por la recurrente y rechazar la existencia de estas vulneraciones con pleno respeto de las exigencias que se derivan del art. 24.1 CE. Es doctrina reiterada constitucional que el derecho a la tutela judicial efectiva no garantiza una decisión conforme a las pretensiones del recurrente, sino una decisión fundada en derecho y debidamente motivada (entre otras muchas SSTC 10/2000, de 17 de enero, FJ 2; 292/2006, de 10 de octubre, FJ 2, y 163/2008, de 15 de diciembre, FJ 6) y en este caso, como acaba de indicarse, estos requisitos se cumplen sobradamente, tanto porque el Tribunal Supremo fundamentó su decisión en la inexistencia de indefensión material, como por el hecho de que el auto ha confirmado su decisión tras valorar las alegaciones de la recurrente efectuadas después de conocer el voto particular, por lo que la indefensión alegada, de existir, hubiera sido reparada.</w:t>
      </w:r>
    </w:p>
    <w:p w14:paraId="78AC6AC4" w14:textId="77777777" w:rsidR="008D479B" w:rsidRDefault="008D479B" w:rsidP="008D479B">
      <w:pPr>
        <w:pStyle w:val="TextoNormal"/>
      </w:pPr>
    </w:p>
    <w:p w14:paraId="6ECD7B73" w14:textId="77777777" w:rsidR="008D479B" w:rsidRDefault="008D479B" w:rsidP="008D479B">
      <w:pPr>
        <w:pStyle w:val="TextoNormal"/>
      </w:pPr>
      <w:r w:rsidRPr="008D479B">
        <w:rPr>
          <w:rStyle w:val="NumeroAFNegritaCaracter"/>
        </w:rPr>
        <w:t>5</w:t>
      </w:r>
      <w:r>
        <w:t xml:space="preserve">. </w:t>
      </w:r>
      <w:r w:rsidRPr="008D479B">
        <w:rPr>
          <w:i/>
        </w:rPr>
        <w:t>Sobre la vulneración del derecho a la tutela judicial</w:t>
      </w:r>
    </w:p>
    <w:p w14:paraId="69429A72" w14:textId="77777777" w:rsidR="008D479B" w:rsidRDefault="008D479B" w:rsidP="008D479B">
      <w:pPr>
        <w:pStyle w:val="TextoNormal"/>
      </w:pPr>
    </w:p>
    <w:p w14:paraId="792119EA" w14:textId="77777777" w:rsidR="008D479B" w:rsidRDefault="008D479B" w:rsidP="008D479B">
      <w:pPr>
        <w:pStyle w:val="TextoNormal"/>
      </w:pPr>
      <w:r>
        <w:t>En la demanda de amparo se aduce como segundo motivo del recurso que tanto la sentencia por la que se desestimó el recurso contencioso-administrativo como la recaída en el recurso de casación vulneran el derecho a la tutela judicial efectiva (art. 24.1 CE) en relación con el principio de seguridad jurídica (art. 9.3 CE), por haberse apartado inmotivadamente de pronunciamientos judiciales previos recaídos en asuntos que versan sobre la misma materia. También se alega que la sentencia del Tribunal Supremo es contradictoria con sus propios razonamientos y con la jurisprudencia que cita en relación con la autonomía local, el ámbito de sus competencias y el principio de vinculación negativa. Conviene señalar que, de acuerdo con la argumentación expuesta en la demanda de amparo, las vulneraciones que se imputan a la sentencia del Tribunal Supremo se le atribuyen de forma mediata, esto es, por no haber reparado las vulneraciones en las que, según la asociación demandante de amparo, incurre la sentencia dictada por el Tribunal Superior de Justicia de Madrid.</w:t>
      </w:r>
    </w:p>
    <w:p w14:paraId="4F9C9620" w14:textId="77777777" w:rsidR="008D479B" w:rsidRDefault="008D479B" w:rsidP="008D479B">
      <w:pPr>
        <w:pStyle w:val="TextoNormal"/>
      </w:pPr>
    </w:p>
    <w:p w14:paraId="7F575727" w14:textId="77777777" w:rsidR="008D479B" w:rsidRDefault="008D479B" w:rsidP="008D479B">
      <w:pPr>
        <w:pStyle w:val="TextoNormal"/>
      </w:pPr>
      <w:r>
        <w:t>a) La asociación recurrente invoca la STC 30/1996, de 27 de febrero, FJ 4, pues considera que, de acuerdo con la doctrina que establece la citada sentencia, si existe un pronunciamiento judicial sobre unos hechos los órganos judiciales solo pueden apartarse de ese procedente si exponen las razones por las que los aprecian de modo diferente, ya que unos hechos idénticos, no abordados desde perspectivas jurídicas diversas, no pueden existir y dejar de existir para los órganos del Estado.</w:t>
      </w:r>
    </w:p>
    <w:p w14:paraId="1AA70E4C" w14:textId="77777777" w:rsidR="008D479B" w:rsidRDefault="008D479B" w:rsidP="008D479B">
      <w:pPr>
        <w:pStyle w:val="TextoNormal"/>
      </w:pPr>
    </w:p>
    <w:p w14:paraId="05A6C5C1" w14:textId="77777777" w:rsidR="008D479B" w:rsidRDefault="008D479B" w:rsidP="008D479B">
      <w:pPr>
        <w:pStyle w:val="TextoNormal"/>
      </w:pPr>
      <w:r>
        <w:t>La doctrina constitucional establecida en la STC 30/1996, de 27 de febrero, FJ 4, en la que el recurrente fundamenta este motivo del recurso de amparo, no resulta de aplicación en el presente supuesto. Esta doctrina es aplicable, según dispone la sentencia citada en su FJ 5, “cuando el ordenamiento jurídico impone la necesidad de deferir al conocimiento de otro orden jurisdiccional una cuestión prejudicial” y en este caso no estamos ante un supuesto de prejudicialidad devolutiva que imponga a los órganos judiciales resolver una determinada cuestión conforme a lo resuelto por el órgano judicial a quien le corresponde conocer de la cuestión prejudicial.</w:t>
      </w:r>
    </w:p>
    <w:p w14:paraId="2F6F175A" w14:textId="77777777" w:rsidR="008D479B" w:rsidRDefault="008D479B" w:rsidP="008D479B">
      <w:pPr>
        <w:pStyle w:val="TextoNormal"/>
      </w:pPr>
    </w:p>
    <w:p w14:paraId="41C2C0DC" w14:textId="77777777" w:rsidR="008D479B" w:rsidRDefault="008D479B" w:rsidP="008D479B">
      <w:pPr>
        <w:pStyle w:val="TextoNormal"/>
      </w:pPr>
      <w:r>
        <w:t>b) No puede apreciarse tampoco que las resoluciones judiciales impugnadas hayan vulnerado el derecho que consagra el art. 24.1 CE por haberse apartado de forma inmotivada de lo decidido por otros órganos judiciales en casos similares ni por haber incurrido en contradicción con sus propios argumentos y con la jurisprudencia que cita en relación con la autonomía local, el ámbito de sus competencias y el principio de vinculación negativa.</w:t>
      </w:r>
    </w:p>
    <w:p w14:paraId="7358022C" w14:textId="77777777" w:rsidR="008D479B" w:rsidRDefault="008D479B" w:rsidP="008D479B">
      <w:pPr>
        <w:pStyle w:val="TextoNormal"/>
      </w:pPr>
    </w:p>
    <w:p w14:paraId="509F93A4" w14:textId="77777777" w:rsidR="008D479B" w:rsidRDefault="008D479B" w:rsidP="008D479B">
      <w:pPr>
        <w:pStyle w:val="TextoNormal"/>
      </w:pPr>
      <w:r>
        <w:t>Como se ha indicado anteriormente, el derecho a la tutela judicial efectiva garantiza el derecho a obtener una resolución fundada en derecho debidamente motivada, esto es, que no esté incursa en arbitrariedad, irrazonabilidad ni en error patente. Asimismo, es doctrina constitucional reiterada que el recurso de amparo no es un cauce para dirimir discrepancias relativas a la selección, interpretación y aplicación de la legalidad infraconstitucional a los casos concretos. Por ello, como estableció el Tribunal en la STC 214/1999, de 29 de noviembre, FJ 4, y en otras muchas resoluciones posteriores, en tales supuestos “solo podrá considerarse que la resolución judicial impugnada vulnera el derecho a la tutela judicial efectiva cuando el razonamiento que la funda incurra en tal grado de arbitrariedad, irrazonabilidad o error que, por su evidencia y contenido, sean tan manifiestos y graves que para cualquier observador resulte patente que la resolución de hecho carece de toda motivación o razonamiento”. Tales circunstancias, como precisa la sentencia citada, concurren cuando, “a primera vista y sin necesidad de mayor esfuerzo intelectual y argumental, se comprueba que parten de premisas inexistentes o patentemente erróneas o siguen un desarrollo argumental que incurre en quiebras lógicas de tal magnitud que las conclusiones alcanzadas no pueden considerarse basadas en ninguna de las razones aducidas”.</w:t>
      </w:r>
    </w:p>
    <w:p w14:paraId="52278259" w14:textId="77777777" w:rsidR="008D479B" w:rsidRDefault="008D479B" w:rsidP="008D479B">
      <w:pPr>
        <w:pStyle w:val="TextoNormal"/>
      </w:pPr>
    </w:p>
    <w:p w14:paraId="0318585F" w14:textId="77777777" w:rsidR="008D479B" w:rsidRDefault="008D479B" w:rsidP="008D479B">
      <w:pPr>
        <w:pStyle w:val="TextoNormal"/>
      </w:pPr>
      <w:r>
        <w:t>En el caso que ahora se enjuicia tanto la sentencia por la que se desestima el recurso contencioso-administrativo que interpuso la asociación recurrente como la que desestimó su recurso de casación cumplen sobradamente las exigencias constitucionales de motivación. Estas resoluciones judiciales exponen de forma debidamente razonada los fundamentos jurídicos en los que se basa su decisión. A través de esta queja, la entidad recurrente, en realidad, lo que manifiesta es su discrepancia con las resoluciones impugnadas, al efectuar un entendimiento distinto de las normas y jurisprudencia aplicada. Como se ha señalado en la STC 95/2000, de 10 de abril, FJ 2, y en los AATC 202/2004, de 1 de junio, FJ 5; 335/2004, de 13 de septiembre, FJ 3, y 193/2006, de 19 de junio, FJ 2, “las discrepancias que las partes mantengan con los razonamientos empleados para resolver el litigio no integran el contenido del art. 24.1 CE”.</w:t>
      </w:r>
    </w:p>
    <w:p w14:paraId="016853A7" w14:textId="77777777" w:rsidR="008D479B" w:rsidRDefault="008D479B" w:rsidP="008D479B">
      <w:pPr>
        <w:pStyle w:val="TextoNormal"/>
      </w:pPr>
    </w:p>
    <w:p w14:paraId="608483D3" w14:textId="1B573F5D" w:rsidR="008D479B" w:rsidRDefault="008D479B" w:rsidP="008D479B">
      <w:pPr>
        <w:pStyle w:val="TextoNormal"/>
      </w:pPr>
      <w:r>
        <w:t>En consecuencia, este motivo del recurso debe ser desestimado.</w:t>
      </w:r>
    </w:p>
    <w:p w14:paraId="4B458B13" w14:textId="77777777" w:rsidR="008D479B" w:rsidRDefault="008D479B" w:rsidP="008D479B">
      <w:pPr>
        <w:pStyle w:val="TextoNormal"/>
      </w:pPr>
    </w:p>
    <w:p w14:paraId="34F2CCE7" w14:textId="77777777" w:rsidR="008D479B" w:rsidRDefault="008D479B" w:rsidP="008D479B">
      <w:pPr>
        <w:pStyle w:val="TextoNormal"/>
      </w:pPr>
      <w:r w:rsidRPr="008D479B">
        <w:rPr>
          <w:rStyle w:val="NumeroAFNegritaCaracter"/>
        </w:rPr>
        <w:t>6</w:t>
      </w:r>
      <w:r>
        <w:t xml:space="preserve">. </w:t>
      </w:r>
      <w:r w:rsidRPr="008D479B">
        <w:rPr>
          <w:i/>
        </w:rPr>
        <w:t>Sobre la vulneración del principio de igualdad en la aplicación judicial del Derecho (art. 14 CE</w:t>
      </w:r>
      <w:r>
        <w:t>)</w:t>
      </w:r>
    </w:p>
    <w:p w14:paraId="0E13EDDE" w14:textId="77777777" w:rsidR="008D479B" w:rsidRDefault="008D479B" w:rsidP="008D479B">
      <w:pPr>
        <w:pStyle w:val="TextoNormal"/>
      </w:pPr>
    </w:p>
    <w:p w14:paraId="60B852F2" w14:textId="77777777" w:rsidR="008D479B" w:rsidRDefault="008D479B" w:rsidP="008D479B">
      <w:pPr>
        <w:pStyle w:val="TextoNormal"/>
      </w:pPr>
      <w:r>
        <w:t>Como se ha expuesto, la asociación recurrente alega la vulneración del principio de igualdad en la aplicación del Derecho (art. 14 CE) en relación con el derecho a la tutela judicial efectiva (art. 24.1 CE). Afirma que la Sección Segunda de la Sala de lo Contencioso-Administrativo del Tribunal Superior de Justicia de Madrid había dictado previamente dos sentencias —las sentencias núm. 21/2005, de 13 de enero, y 329/2012, de 8 de marzo— en un sentido opuesto al mantenido en la sentencia impugnada, sin que en esta sentencia se haya justificado el cambio de criterio. Se aduce que el Tribunal Supremo, al no reparar esta infracción constitucional, ha incurrido también en esta lesión.</w:t>
      </w:r>
    </w:p>
    <w:p w14:paraId="7C7187AD" w14:textId="77777777" w:rsidR="008D479B" w:rsidRDefault="008D479B" w:rsidP="008D479B">
      <w:pPr>
        <w:pStyle w:val="TextoNormal"/>
      </w:pPr>
    </w:p>
    <w:p w14:paraId="34AD23B5" w14:textId="77777777" w:rsidR="008D479B" w:rsidRDefault="008D479B" w:rsidP="008D479B">
      <w:pPr>
        <w:pStyle w:val="TextoNormal"/>
      </w:pPr>
      <w:r>
        <w:t>a) El derecho a la igualdad en la aplicación judicial del Derecho, en contra de lo que su propia denominación puede sugerir, no garantiza el derecho a un trato igual en la aplicación del ordenamiento jurídico, sino el derecho a que los órganos judiciales no cambien de criterio arbitrariamente. Como ha afirmado el Tribunal, la STC 104/1996, de 11 de junio, FJ 2, el “valor constitucional de la igualdad en su versión de igualdad en la aplicación de la ley protege fundamentalmente frente a divergencias arbitrarias de trato en resoluciones judiciales, evitando el capricho, el favoritismo o la arbitrariedad del órgano judicial”. Este principio no consagra, por tanto, el derecho a que dos supuestos iguales deban ser resueltos por todos los órganos judiciales del mismo modo, lo que sería incompatible con el principio de independencia judicial (entre otras muchas, SSTC 104/1996, FJ 2; 188/1998, de 28 de septiembre, FJ 4; 240/1998, de 15 de diciembre, FJ 6, y 37/2012, de 19 de marzo, FJ 7); ni tampoco conlleva que un mismo órgano judicial deba resolver en todo caso como lo ha hecho en supuestos anteriores iguales, pues, como también ha señalado el Tribunal, ello iría en contra del carácter dinámico del ordenamiento jurídico (por todas, STC 63/1984, de 21 de mayo, FJ 4). El principio de la igualdad en la aplicación judicial del Derecho únicamente garantiza que los órganos judiciales resuelvan conforme a sus propios precedentes salvo que de forma reflexiva y como consecuencia de un diferente entendimiento del ordenamiento jurídico decidan cambiar de criterio.</w:t>
      </w:r>
    </w:p>
    <w:p w14:paraId="301C4EC9" w14:textId="77777777" w:rsidR="008D479B" w:rsidRDefault="008D479B" w:rsidP="008D479B">
      <w:pPr>
        <w:pStyle w:val="TextoNormal"/>
      </w:pPr>
    </w:p>
    <w:p w14:paraId="6C187FFC" w14:textId="77777777" w:rsidR="008D479B" w:rsidRDefault="008D479B" w:rsidP="008D479B">
      <w:pPr>
        <w:pStyle w:val="TextoNormal"/>
      </w:pPr>
      <w:r>
        <w:t xml:space="preserve">Es doctrina constitucional reiterada que para poder apreciar la vulneración del principio de igualdad en la aplicación judicial del Derecho es necesario que concurran los siguientes requisitos: (i) la acreditación de un </w:t>
      </w:r>
      <w:r w:rsidRPr="008D479B">
        <w:rPr>
          <w:i/>
        </w:rPr>
        <w:t>tertium comparationis</w:t>
      </w:r>
      <w:r>
        <w:t>, ya que el juicio de la igualdad solo puede realizarse sobre la comparación entre la sentencia impugnada y las precedentes resoluciones del mismo órgano judicial que en casos sustancialmente iguales hayan sido resueltos de forma contradictoria; (ii) la existencia de alteridad en los supuestos contrastados, es decir de “la referencia a otro”, exigible en todo alegato por el que se aduzca la vulneración del principio de igualdad en la aplicación de la Ley, excluyente de la comparación consigo mismo; (iii) la identidad de órgano judicial, entendiendo por tal, no solo la identidad de sala, sino también la de sección, al entenderse estas como órganos jurisdiccionales con entidad diferenciada, suficiente para desvirtuar una supuesta desigualdad en la aplicación judicial de la ley; y (iv) la ausencia de toda motivación que justifique en términos generalizables el cambio de criterio, a fin de excluir la arbitrariedad o la inadvertencia de otros elementos de juicio externo que así lo indiquen, como podrían ser posteriores pronunciamientos coincidentes con la línea abierta por la sentencia impugnada (en este sentido, entre otras muchas, SSTC 111/2002, de 6 de mayo, FJ 3; 34/2003, de 25 de febrero, FJ 3; 318/2006, de 15 de noviembre, FJ 4; 120/2019, de 28 de octubre, FJ 3, y 10/2022, de 7 de febrero).</w:t>
      </w:r>
    </w:p>
    <w:p w14:paraId="38CAE542" w14:textId="77777777" w:rsidR="008D479B" w:rsidRDefault="008D479B" w:rsidP="008D479B">
      <w:pPr>
        <w:pStyle w:val="TextoNormal"/>
      </w:pPr>
    </w:p>
    <w:p w14:paraId="4C198CD4" w14:textId="77777777" w:rsidR="008D479B" w:rsidRDefault="008D479B" w:rsidP="008D479B">
      <w:pPr>
        <w:pStyle w:val="TextoNormal"/>
      </w:pPr>
      <w:r>
        <w:t>b) En el presente caso, las sentencias con las que pretende compararse la sentencia recurrida no pueden considerarse términos idóneos de comparación. El caso enjuiciado por la sentencia de la Sección Segunda de la Sala de lo Contencioso-Administrativo del Tribunal Superior de Justicia de Madrid de 13 de enero de 2005, (sentencia núm. 21/2005), no era sustancialmente igual al supuesto examinado en la sentencia ahora recurrida en amparo. En lo que ahora interesa, en aquella sentencia se impugnaba el segundo párrafo del art. 8 de la Ordenanza de circulación para la Villa de Madrid, aprobada por el Pleno del Ayuntamiento el 30 de julio de 1998. Esta norma establecía que “[c]uando se trate de señales no incluidas en el Reglamento general de circulación, la autoridad municipal aprobará el modelo de señal que para cada caso considere más adecuado, procurando darle la máxima difusión posible para conocimiento de los usuarios de la vía”. La sentencia 21/2005 consideró que el párrafo transcrito de la norma citada no se ajustaba a Derecho al entender que el Ayuntamiento de Madrid se estaba atribuyendo competencias “que no le vienen encomendadas ni en el art. 25 de la Ley 7/1985, ni en el art. 7 de la Ley de circulación, y que además infringe el art. 149 de la CE”, y por este motivo fue anulado.</w:t>
      </w:r>
    </w:p>
    <w:p w14:paraId="2CABF96D" w14:textId="77777777" w:rsidR="008D479B" w:rsidRDefault="008D479B" w:rsidP="008D479B">
      <w:pPr>
        <w:pStyle w:val="TextoNormal"/>
      </w:pPr>
    </w:p>
    <w:p w14:paraId="5D9104FF" w14:textId="77777777" w:rsidR="008D479B" w:rsidRDefault="008D479B" w:rsidP="008D479B">
      <w:pPr>
        <w:pStyle w:val="TextoNormal"/>
      </w:pPr>
      <w:r>
        <w:t>En el caso que se examina en la sentencia recurrida en amparo la cuestión que se enjuicia es si el Ayuntamiento de Madrid se excedió de sus competencias al establecer plazas de estacionamiento regulado mediante marcas viales de colores (las de color verde y las discontinuas azules y naranjas) que no existen en el catálogo oficial de señales del Reglamento de circulación. En este caso, a diferencia de aquel, la Sala de lo Contencioso-Administrativo del Tribunal Superior de Justicia de Madrid, invocando la doctrina establecida en la sentencia de la Sala de lo Contencioso-Administrativo del Tribunal Supremo de 24 de junio de 2014, recaída en el recurso de casación núm. 2500-2012, llega a la conclusión “de que el Ayuntamiento de Madrid está habilitado para que, por medio de la Ordenanza, regule la forma de señalización viaria de determinadas plazas de estacionamiento regulado mediante otros colores distintos del azul”. Esta conclusión se fundamenta en una detallada exégesis de las normas que considera aplicables [los arts. 7 b) y 55 de la Ley sobre tráfico, circulación de vehículos a motor y seguridad vial; los arts. 166 y 177 del Reglamento general de circulación, aprobado por el Real Decreto 1428/2003, de 21 de noviembre; y el art. 40 de la Ley 22/2006, de 4 de julio, de capitalidad y de régimen especial de Madrid] que lleva a la Sala a entender que “a diferencia de otras normas de circulación que tienen carácter general, el régimen de estacionamiento puede ser muy diverso y no sería posible cumplir los fines a los que está llamado ese régimen diverso de los estacionamientos si se limitara la señalización de las marcas viales al color azul, aparte de que supondría desconocer la habilitación legal expresa contenida en el art. 7 LSV y 40 de la Ley de capitalidad. Por ello, la remisión que el art. 155 [se refiere al 55] LSV hace al desarrollo reglamentario, hay que entenderla que es, para el supuesto específico del estacionamiento regulado, a las ordenanzas municipales”.</w:t>
      </w:r>
    </w:p>
    <w:p w14:paraId="15435DD4" w14:textId="77777777" w:rsidR="008D479B" w:rsidRDefault="008D479B" w:rsidP="008D479B">
      <w:pPr>
        <w:pStyle w:val="TextoNormal"/>
      </w:pPr>
    </w:p>
    <w:p w14:paraId="1ED7EB78" w14:textId="77777777" w:rsidR="008D479B" w:rsidRDefault="008D479B" w:rsidP="008D479B">
      <w:pPr>
        <w:pStyle w:val="TextoNormal"/>
      </w:pPr>
      <w:r>
        <w:t>Resulta, por tanto, que la sentencia 21/2005 no resuelve un asunto sustancialmente igual al enjuiciado por la sentencia que se recurre en amparo. Ciertamente, en ambos casos la Sala tiene que enjuiciar si la ordenanza municipal puede establecer señales que no estén previstas en el Reglamento general de circulación. Ahora bien, en aquella sentencia la ordenanza establecía esta posibilidad con carácter general. En cambio, en el supuesto planteado en la sentencia recurrida en amparo se plantea esta cuestión es un supuesto muy específico, la regulación del estacionamiento regulado, y la Sala llega a una conclusión distinta al entender que la normativa aplicable permite en este concreto supuesto utilizar una señalización no prevista en el Reglamento general de circulación.</w:t>
      </w:r>
    </w:p>
    <w:p w14:paraId="7B0439E0" w14:textId="77777777" w:rsidR="008D479B" w:rsidRDefault="008D479B" w:rsidP="008D479B">
      <w:pPr>
        <w:pStyle w:val="TextoNormal"/>
      </w:pPr>
    </w:p>
    <w:p w14:paraId="2105517B" w14:textId="77777777" w:rsidR="008D479B" w:rsidRDefault="008D479B" w:rsidP="008D479B">
      <w:pPr>
        <w:pStyle w:val="TextoNormal"/>
      </w:pPr>
      <w:r>
        <w:t>Por lo que se refiere a la otra sentencia que se alega como término de comparación, la sentencia de la Sección Segunda de la Sala de lo Contencioso-Administrativo del Tribunal Superior de Justicia de Madrid de 8 de marzo de 2012 (sentencia núm. 329/2012), tampoco puede considerarse un término idóneo de comparación, no solo porque recayó en un recurso contencioso-administrativo interpuesto también por la asociación recurrente, por lo que no cumple el requisito de la alteridad, sino también porque el caso resuelto por esta sentencia era muy diferente al que se suscita en la sentencia recurrida en el presente recurso de amparo. En ese recurso se impugnó el acuerdo del Pleno del Ayuntamiento de Madrid de 30 de noviembre de 2010 por el que se modificó la Ordenanza de movilidad para la ciudad de Madrid. Estas modificaciones, sin embargo, tenían como objeto preceptos con un contenido muy distintos a los impugnados en el recurso contencioso-administrativo en el que recayó la sentencia que se considera lesiva del principio de igualdad, por lo que no puede considerarse un término idóneo de comparación en el que pueda fundamentarse la vulneración del derecho que consagra el art. 14 CE.</w:t>
      </w:r>
    </w:p>
    <w:p w14:paraId="5E567ED5" w14:textId="77777777" w:rsidR="008D479B" w:rsidRDefault="008D479B" w:rsidP="008D479B">
      <w:pPr>
        <w:pStyle w:val="TextoNormal"/>
      </w:pPr>
    </w:p>
    <w:p w14:paraId="6AFAD243" w14:textId="109F4B33" w:rsidR="008D479B" w:rsidRDefault="008D479B" w:rsidP="008D479B">
      <w:pPr>
        <w:pStyle w:val="TextoNormal"/>
      </w:pPr>
      <w:r>
        <w:t>En consecuencia, aunque en las sentencias aportadas como término de comparación se analizan las competencias que tienen los municipios en materia de tráfico y de seguridad vial, entre los supuestos por ellas enjuiciados y el examinado en la sentencia recurrida en amparo no existe la igualdad sustancial que es necesaria, entre otros requisitos, para poder apreciar la vulneración del principio de igualdad en la aplicación judicial del Derecho. En todo caso, la sentencia impugnada expone de forma razonada los motivos por los que considera que en ese supuesto la ordenanza impugnada puede regular el régimen de estacionamiento y establecer marcas de señalización que pueden tener un color distinto del color azul. No puede apreciarse, por tanto, ningún atisbo de arbitrariedad en esta resolución judicial, lo que impide apreciar la vulneración del art. 14 CE en relación con el art. 24.1 CE alegada.</w:t>
      </w:r>
    </w:p>
    <w:p w14:paraId="144DA364" w14:textId="77777777" w:rsidR="008D479B" w:rsidRDefault="008D479B" w:rsidP="008D479B">
      <w:pPr>
        <w:pStyle w:val="TextoNormal"/>
      </w:pPr>
    </w:p>
    <w:p w14:paraId="2D542826" w14:textId="77777777" w:rsidR="008D479B" w:rsidRDefault="008D479B" w:rsidP="008D479B">
      <w:pPr>
        <w:pStyle w:val="TextoNormalCentrado"/>
        <w:keepNext/>
      </w:pPr>
      <w:r>
        <w:t>FALLO</w:t>
      </w:r>
    </w:p>
    <w:p w14:paraId="6F71DF27" w14:textId="7E8AC929" w:rsidR="008D479B" w:rsidRDefault="008D479B" w:rsidP="008D479B">
      <w:pPr>
        <w:pStyle w:val="TextoNormalCentrado"/>
        <w:keepNext/>
      </w:pPr>
    </w:p>
    <w:p w14:paraId="0E8CF366" w14:textId="77777777" w:rsidR="008D479B" w:rsidRDefault="008D479B" w:rsidP="008D479B">
      <w:pPr>
        <w:pStyle w:val="TextoNormal"/>
      </w:pPr>
      <w:r>
        <w:t>En atención a todo lo expuesto, el Tribunal Constitucional, por la autoridad que le confiere la Constitución de la Nación española, en relación con el recurso de amparo interpuesto por Automovilistas Europeos Asociados, ha decidido:</w:t>
      </w:r>
    </w:p>
    <w:p w14:paraId="63AEB69F" w14:textId="77777777" w:rsidR="008D479B" w:rsidRDefault="008D479B" w:rsidP="008D479B">
      <w:pPr>
        <w:pStyle w:val="TextoNormal"/>
      </w:pPr>
    </w:p>
    <w:p w14:paraId="3BC78DF0" w14:textId="77777777" w:rsidR="008D479B" w:rsidRDefault="008D479B" w:rsidP="008D479B">
      <w:pPr>
        <w:pStyle w:val="TextoNormal"/>
      </w:pPr>
      <w:r>
        <w:t>1º Inadmitir la queja por la que se aduce la vulneración del derecho a la libre circulación de los españoles por el territorio nacional (art. 19 CE) en condiciones de igualdad.</w:t>
      </w:r>
    </w:p>
    <w:p w14:paraId="2F1B114A" w14:textId="77777777" w:rsidR="008D479B" w:rsidRDefault="008D479B" w:rsidP="008D479B">
      <w:pPr>
        <w:pStyle w:val="TextoNormal"/>
      </w:pPr>
    </w:p>
    <w:p w14:paraId="7D912CB7" w14:textId="3C72FDF4" w:rsidR="008D479B" w:rsidRDefault="008D479B" w:rsidP="008D479B">
      <w:pPr>
        <w:pStyle w:val="TextoNormal"/>
      </w:pPr>
      <w:r>
        <w:t>2º Desestimar el recurso de amparo en todo lo demás.</w:t>
      </w:r>
    </w:p>
    <w:p w14:paraId="6E90167C" w14:textId="77777777" w:rsidR="008D479B" w:rsidRDefault="008D479B" w:rsidP="008D479B">
      <w:pPr>
        <w:pStyle w:val="TextoNormal"/>
      </w:pPr>
    </w:p>
    <w:p w14:paraId="1DF5FDD3" w14:textId="77777777" w:rsidR="008D479B" w:rsidRDefault="008D479B" w:rsidP="008D479B">
      <w:pPr>
        <w:pStyle w:val="TextoNormal"/>
      </w:pPr>
      <w:r>
        <w:t>Publíquese esta sentencia en el “Boletín Oficial del Estado”.</w:t>
      </w:r>
    </w:p>
    <w:p w14:paraId="75F8F37D" w14:textId="77777777" w:rsidR="008D479B" w:rsidRDefault="008D479B" w:rsidP="008D479B">
      <w:pPr>
        <w:pStyle w:val="TextoNormal"/>
      </w:pPr>
      <w:r>
        <w:t>Dada en Madrid, a once de septiembre de dos mil veintitrés.</w:t>
      </w:r>
    </w:p>
    <w:p w14:paraId="64DDB7A6" w14:textId="28DB47A7" w:rsidR="008D479B" w:rsidRDefault="008D479B">
      <w:pPr>
        <w:spacing w:after="160" w:line="278" w:lineRule="auto"/>
        <w:rPr>
          <w:rFonts w:ascii="Times New Roman" w:eastAsia="Times New Roman" w:hAnsi="Times New Roman" w:cs="Times New Roman"/>
          <w:sz w:val="24"/>
          <w:szCs w:val="24"/>
          <w:lang w:eastAsia="es-ES"/>
        </w:rPr>
      </w:pPr>
      <w:r>
        <w:br w:type="page"/>
      </w:r>
    </w:p>
    <w:p w14:paraId="1C1A8F69" w14:textId="77777777" w:rsidR="008D479B" w:rsidRDefault="008D479B" w:rsidP="008D479B">
      <w:pPr>
        <w:pStyle w:val="TtuloResolucin"/>
      </w:pPr>
      <w:bookmarkStart w:id="16" w:name="SENTENCIA_2023_91"/>
      <w:r>
        <w:t>SENTENCIA 91/2023, de 11 de septiembre de 2023</w:t>
      </w:r>
    </w:p>
    <w:bookmarkEnd w:id="16"/>
    <w:p w14:paraId="44F1CC73" w14:textId="77777777" w:rsidR="008D479B" w:rsidRDefault="008D479B" w:rsidP="008D479B">
      <w:pPr>
        <w:pStyle w:val="TtuloResolucin"/>
      </w:pPr>
      <w:r>
        <w:t>Sala Primera</w:t>
      </w:r>
    </w:p>
    <w:p w14:paraId="444A2610" w14:textId="77777777" w:rsidR="008D479B" w:rsidRDefault="008D479B" w:rsidP="008D479B">
      <w:pPr>
        <w:pStyle w:val="TtuloBOE"/>
      </w:pPr>
      <w:r>
        <w:t>(BOE núm. 244, de 12 de octubre de 2023)</w:t>
      </w:r>
    </w:p>
    <w:p w14:paraId="4C80E59D" w14:textId="77777777" w:rsidR="008D479B" w:rsidRDefault="008D479B" w:rsidP="008D479B">
      <w:pPr>
        <w:pStyle w:val="TextoNormalCentrado"/>
      </w:pPr>
      <w:r>
        <w:t>ECLI:ES:TC:2023:91</w:t>
      </w:r>
    </w:p>
    <w:p w14:paraId="6AF61E54" w14:textId="7EF65DFE" w:rsidR="008D479B" w:rsidRDefault="008D479B" w:rsidP="008D479B">
      <w:pPr>
        <w:pStyle w:val="TextoNormalCentrado"/>
      </w:pPr>
    </w:p>
    <w:p w14:paraId="17347227" w14:textId="77777777" w:rsidR="008D479B" w:rsidRDefault="008D479B" w:rsidP="008D479B">
      <w:pPr>
        <w:pStyle w:val="SntesisDescriptiva"/>
      </w:pPr>
      <w:r>
        <w:t>Recurso de amparo 5905-2020. Promovido por doña Tatiana Castillo Medina, en representación de su hijo menor de edad, respecto de los autos dictados por la Audiencia Provincial de Madrid y un juzgado de primera instancia de esta capital en proceso de ejecución hipotecaria.</w:t>
      </w:r>
    </w:p>
    <w:p w14:paraId="7E5A8B5A" w14:textId="234E8AED" w:rsidR="008D479B" w:rsidRDefault="008D479B" w:rsidP="008D479B">
      <w:pPr>
        <w:pStyle w:val="SntesisDescriptiva"/>
      </w:pPr>
    </w:p>
    <w:p w14:paraId="6975723D" w14:textId="77777777" w:rsidR="008D479B" w:rsidRDefault="008D479B" w:rsidP="008D479B">
      <w:pPr>
        <w:pStyle w:val="SntesisAnaltica"/>
      </w:pPr>
      <w:r>
        <w:t>Vulneración del derecho a la tutela judicial efectiva (resolución fundada en Derecho): autos que, ignorando el principio de efectividad del Derecho de la Unión Europea, deniegan la imposición de costas en un proceso en el que se ha declarado el carácter abusivo de cláusulas contractuales.</w:t>
      </w:r>
    </w:p>
    <w:p w14:paraId="640F85BD" w14:textId="58AC6A43" w:rsidR="008D479B" w:rsidRDefault="008D479B" w:rsidP="008D479B">
      <w:pPr>
        <w:pStyle w:val="SntesisAnaltica"/>
      </w:pPr>
    </w:p>
    <w:p w14:paraId="4D30AEA9" w14:textId="64F581CC" w:rsidR="008D479B" w:rsidRDefault="008D479B" w:rsidP="008D479B">
      <w:pPr>
        <w:pStyle w:val="Extracto"/>
      </w:pPr>
      <w:r>
        <w:t>1.</w:t>
      </w:r>
      <w:r>
        <w:tab/>
        <w:t>A este tribunal corresponde velar por el respeto del principio de primacía del Derecho de la Unión cuando exista una interpretación auténtica efectuada por el propio Tribunal de Justicia de la Unión Europea (TJUE). Y prescindir, por propia, autónoma y exclusiva decisión del órgano judicial, de la interpretación de un precepto de una norma europea impuesta y señalada por el órgano competente para hacerlo con carácter vinculante, es decir el Tribunal de Justicia de la Unión Europea, vulnera el citado principio (STC 232/2015) [FJ 3].</w:t>
      </w:r>
    </w:p>
    <w:p w14:paraId="32D22D25" w14:textId="77777777" w:rsidR="008D479B" w:rsidRDefault="008D479B" w:rsidP="008D479B">
      <w:pPr>
        <w:pStyle w:val="Extracto"/>
      </w:pPr>
    </w:p>
    <w:p w14:paraId="4D0ECF5A" w14:textId="0C907D99" w:rsidR="008D479B" w:rsidRDefault="008D479B" w:rsidP="008D479B">
      <w:pPr>
        <w:pStyle w:val="Extracto"/>
      </w:pPr>
      <w:r>
        <w:t>2.</w:t>
      </w:r>
      <w:r>
        <w:tab/>
        <w:t>El desconocimiento y preterición de una norma de Derecho de la Unión, tal y como ha sido interpretada por el TJUE, puede suponer una selección irrazonable y arbitraria de una norma aplicable al proceso, lo cual puede dar lugar a una vulneración del derecho a la tutela judicial efectiva (STC 31/2019). Para evaluar esta supuesta vulneración resulta relevante tomar en consideración si, con carácter previo a la deliberación y fallo de la resolución impugnada, existía un pronunciamiento del TJUE en el que se fija o estima incumplida una interpretación auténtica de una norma del Derecho de la Unión, así como su eventual recepción en la jurisprudencia nacional [FJ 3].</w:t>
      </w:r>
    </w:p>
    <w:p w14:paraId="0BE9E6E9" w14:textId="77777777" w:rsidR="008D479B" w:rsidRDefault="008D479B" w:rsidP="008D479B">
      <w:pPr>
        <w:pStyle w:val="Extracto"/>
      </w:pPr>
    </w:p>
    <w:p w14:paraId="32B536DF" w14:textId="74FB5C27" w:rsidR="008D479B" w:rsidRDefault="008D479B" w:rsidP="008D479B">
      <w:pPr>
        <w:pStyle w:val="Extracto"/>
      </w:pPr>
      <w:r>
        <w:t>3.</w:t>
      </w:r>
      <w:r>
        <w:tab/>
        <w:t>El Tribunal de Justicia de la Unión Europea ha analizado el efecto disuasor que sobre los consumidores pueden tener los costes de un proceso judicial en el que se puede hacer valer el carácter abusivo de cláusulas contractuales no negociadas concertadas con profesionales, en relación con las normas procesales españolas sobre la condena en costas y su tasación (SSTJUE de 16 de julio de 2020, asuntos acumulados C-224/19 y C-259/19, CY c. Caixabank, S.A., y LG y PK c. Banco Bilbao Vizcaya Argentaria, S.A.; así como en la posterior STJUE de 7 de abril de 2022, asunto EL y TP c. Caixabank, S.A.) [FJ 4].</w:t>
      </w:r>
    </w:p>
    <w:p w14:paraId="4914D2AE" w14:textId="77777777" w:rsidR="008D479B" w:rsidRDefault="008D479B" w:rsidP="008D479B">
      <w:pPr>
        <w:pStyle w:val="Extracto"/>
      </w:pPr>
    </w:p>
    <w:p w14:paraId="2F534D6B" w14:textId="1C6F6B9B" w:rsidR="008D479B" w:rsidRDefault="008D479B" w:rsidP="008D479B">
      <w:pPr>
        <w:pStyle w:val="Extracto"/>
      </w:pPr>
      <w:r>
        <w:t>4.</w:t>
      </w:r>
      <w:r>
        <w:tab/>
        <w:t>En materia de cláusulas contractuales, dado el conocimiento que cabe esperar de las entidades de crédito, conjugado con la posición de inferioridad de los consumidores respecto de tales entidades, las conductas consistentes en esperar a que sea el consumidor quien inicie la vía judicial, para allanarse y así evitar la condena en costas, pueden constituir indicios serios de mala fe de dichas entidades; por lo que es preciso que el juez competente pueda efectuar las comprobaciones necesarias al efecto y extraer las consecuencias que de ellas se deriven (STJUE de 13 de julio de 2023, asunto C-35/22, apartado 37) [FJ 4].</w:t>
      </w:r>
    </w:p>
    <w:p w14:paraId="36C34DFC" w14:textId="77777777" w:rsidR="008D479B" w:rsidRDefault="008D479B" w:rsidP="008D479B">
      <w:pPr>
        <w:pStyle w:val="Extracto"/>
      </w:pPr>
    </w:p>
    <w:p w14:paraId="22592180" w14:textId="77777777" w:rsidR="008D479B" w:rsidRDefault="008D479B" w:rsidP="008D479B">
      <w:pPr>
        <w:pStyle w:val="Extracto"/>
      </w:pPr>
    </w:p>
    <w:p w14:paraId="4EB5DB98" w14:textId="77777777" w:rsidR="008D479B" w:rsidRDefault="008D479B" w:rsidP="008D479B">
      <w:pPr>
        <w:pStyle w:val="TextoNormal"/>
      </w:pPr>
      <w:r>
        <w:t>La Sala Primera del Tribunal Constitucional, compuesta por el magistrado don Cándido Conde-Pumpido Tourón, presidente, y los magistrados y magistradas don Ricardo Enríquez Sancho, doña Concepción Espejel Jorquera, doña María Luisa Segoviano Astaburuaga y don Juan Carlos Campo Moreno, ha pronunciado</w:t>
      </w:r>
    </w:p>
    <w:p w14:paraId="18B549C4" w14:textId="6F19E011" w:rsidR="008D479B" w:rsidRDefault="008D479B" w:rsidP="008D479B">
      <w:pPr>
        <w:pStyle w:val="TextoNormal"/>
      </w:pPr>
    </w:p>
    <w:p w14:paraId="5C490E06" w14:textId="77777777" w:rsidR="008D479B" w:rsidRDefault="008D479B" w:rsidP="008D479B">
      <w:pPr>
        <w:pStyle w:val="TextoNormalCentrado"/>
        <w:keepNext/>
      </w:pPr>
      <w:r>
        <w:t>EN NOMBRE DEL REY</w:t>
      </w:r>
    </w:p>
    <w:p w14:paraId="20252E70" w14:textId="4D735322" w:rsidR="008D479B" w:rsidRDefault="008D479B" w:rsidP="008D479B">
      <w:pPr>
        <w:pStyle w:val="TextoNormalCentrado"/>
        <w:keepNext/>
      </w:pPr>
    </w:p>
    <w:p w14:paraId="5465DFA3" w14:textId="77777777" w:rsidR="008D479B" w:rsidRDefault="008D479B" w:rsidP="008D479B">
      <w:pPr>
        <w:pStyle w:val="TextoNormalCentrado"/>
        <w:keepNext/>
      </w:pPr>
    </w:p>
    <w:p w14:paraId="283C345E" w14:textId="77777777" w:rsidR="008D479B" w:rsidRDefault="008D479B" w:rsidP="008D479B">
      <w:pPr>
        <w:pStyle w:val="TextoNormal"/>
      </w:pPr>
      <w:r>
        <w:t>la siguiente</w:t>
      </w:r>
    </w:p>
    <w:p w14:paraId="12CF7705" w14:textId="3C15B7E2" w:rsidR="008D479B" w:rsidRDefault="008D479B" w:rsidP="008D479B">
      <w:pPr>
        <w:pStyle w:val="TextoNormal"/>
      </w:pPr>
    </w:p>
    <w:p w14:paraId="28D714B8" w14:textId="77777777" w:rsidR="008D479B" w:rsidRDefault="008D479B" w:rsidP="008D479B">
      <w:pPr>
        <w:pStyle w:val="TextoNormalCentrado"/>
        <w:keepNext/>
      </w:pPr>
      <w:r>
        <w:t>SENTENCIA</w:t>
      </w:r>
    </w:p>
    <w:p w14:paraId="1E88D877" w14:textId="02E51158" w:rsidR="008D479B" w:rsidRDefault="008D479B" w:rsidP="008D479B">
      <w:pPr>
        <w:pStyle w:val="TextoNormalCentrado"/>
        <w:keepNext/>
      </w:pPr>
    </w:p>
    <w:p w14:paraId="3D07F2D5" w14:textId="77777777" w:rsidR="008D479B" w:rsidRDefault="008D479B" w:rsidP="008D479B">
      <w:pPr>
        <w:pStyle w:val="TextoNormal"/>
      </w:pPr>
      <w:r>
        <w:t>En el recurso de amparo núm. 5905-2020, promovido por doña Tatiana Castillo Medina, en representación de su hijo menor de edad, procesalmente representada por la procuradora de los tribunales doña Marta Granda Porta, con la asistencia de los letrados don Pablo Espinosa-Arroquia Sánchez, don Miguel Antón Bravo y don Gonzalo Carrasco Moraleda, contra el auto núm. 310/2020, de 7 de octubre, de la Audiencia Provincial de Madrid (Sección Novena), dictado en el rollo de apelación núm. 425-2020, que ratificó el auto núm. 1/2020, de 9 de enero dictado en el proceso de ejecución hipotecaria núm. 356-2013, seguido ante el Juzgado de Primera Instancia núm. 100 de Madrid. Han intervenido la entidad bancaria Banco Bilbao Vizcaya Argentaria, S.A., representada por la procuradora de los tribunales doña María Jesús Gutiérrez Aceves, con la asistencia del letrado don Rafael Castellano Lasa; y el Ministerio Fiscal. Ha sido ponente el presidente don Cándido Conde-Pumpido Tourón.</w:t>
      </w:r>
    </w:p>
    <w:p w14:paraId="2F078A3C" w14:textId="1F5FE604" w:rsidR="008D479B" w:rsidRDefault="008D479B" w:rsidP="008D479B">
      <w:pPr>
        <w:pStyle w:val="TextoNormal"/>
      </w:pPr>
    </w:p>
    <w:p w14:paraId="3640A4A7" w14:textId="77777777" w:rsidR="008D479B" w:rsidRDefault="008D479B" w:rsidP="008D479B">
      <w:pPr>
        <w:pStyle w:val="TextoNormalNegritaCentrado"/>
        <w:keepNext/>
      </w:pPr>
      <w:r>
        <w:t>I. Antecedentes</w:t>
      </w:r>
    </w:p>
    <w:p w14:paraId="04002BCB" w14:textId="159CAA5E" w:rsidR="008D479B" w:rsidRDefault="008D479B" w:rsidP="008D479B">
      <w:pPr>
        <w:pStyle w:val="TextoNormalNegritaCentrado"/>
        <w:keepNext/>
      </w:pPr>
    </w:p>
    <w:p w14:paraId="4D0CA991" w14:textId="36484465" w:rsidR="008D479B" w:rsidRDefault="008D479B" w:rsidP="008D479B">
      <w:pPr>
        <w:pStyle w:val="TextoNormal"/>
      </w:pPr>
      <w:r w:rsidRPr="008D479B">
        <w:rPr>
          <w:rStyle w:val="NumeroAFNegritaCaracter"/>
        </w:rPr>
        <w:t>1</w:t>
      </w:r>
      <w:r>
        <w:t>. Por medio de escrito registrado en este tribunal el día 1 de diciembre de 2020, doña Tatiana Castillo Medina, en la representación que ha sido expresada, interpuso recurso de amparo a través de abogado y procurador contra el auto núm. 310/2020, de 7 de octubre dictado por la Sección Novena de la Audiencia Provincial de Madrid, al que se ha hecho referencia en el encabezamiento. Invoca su derecho a la tutela judicial efectiva (art. 24.1 CE) en cuanto comprende el de obtener una resolución fundada en Derecho sobre las pretensiones en litigio que, en este caso, considera relacionado con el principio de primacía del Derecho de la Unión Europea. La impugnación se refiere, exclusivamente, al pronunciamiento sobre condena en costas en el proceso civil ejecutivo hipotecario precedente en el que fue apreciado el carácter abusivo de dos de las cláusulas contractuales pactadas por un consumidor con una entidad bancaria.</w:t>
      </w:r>
    </w:p>
    <w:p w14:paraId="50EFDFB7" w14:textId="77777777" w:rsidR="008D479B" w:rsidRDefault="008D479B" w:rsidP="008D479B">
      <w:pPr>
        <w:pStyle w:val="TextoNormal"/>
      </w:pPr>
    </w:p>
    <w:p w14:paraId="62DA0E8D" w14:textId="77777777" w:rsidR="008D479B" w:rsidRDefault="008D479B" w:rsidP="008D479B">
      <w:pPr>
        <w:pStyle w:val="TextoNormal"/>
      </w:pPr>
      <w:r w:rsidRPr="008D479B">
        <w:rPr>
          <w:rStyle w:val="NumeroAFNegritaCaracter"/>
        </w:rPr>
        <w:t>2</w:t>
      </w:r>
      <w:r>
        <w:t>. Según consta en las actuaciones aportadas, son antecedentes procesales relevantes para resolver la pretensión de amparo planteada los siguientes:</w:t>
      </w:r>
    </w:p>
    <w:p w14:paraId="10DA9A75" w14:textId="77777777" w:rsidR="008D479B" w:rsidRDefault="008D479B" w:rsidP="008D479B">
      <w:pPr>
        <w:pStyle w:val="TextoNormal"/>
      </w:pPr>
    </w:p>
    <w:p w14:paraId="44FEA515" w14:textId="77777777" w:rsidR="008D479B" w:rsidRDefault="008D479B" w:rsidP="008D479B">
      <w:pPr>
        <w:pStyle w:val="TextoNormal"/>
      </w:pPr>
      <w:r>
        <w:t>a) Ante el Juzgado de Primera Instancia núm. 100 de Madrid se ha seguido el procedimiento de ejecución hipotecaria núm. 356-2013, a instancias de Banco Bilbao Vizcaya Argentaria, S.A. (en adelante, BBVA), contra la herencia yacente del prestatario (fallecido el 14 de marzo de 2012) y sus hijos menores de edad, en tanto que herederos, por el importe total del crédito pendiente de pago. El contrato de préstamo había sido resuelto por la entidad bancaria el 7 de febrero de 2013, de forma unilateral y anticipada, como consecuencia del impago de cinco cuotas correspondientes a los meses de septiembre de 2012 a enero de 2013.</w:t>
      </w:r>
    </w:p>
    <w:p w14:paraId="15CE25AD" w14:textId="77777777" w:rsidR="008D479B" w:rsidRDefault="008D479B" w:rsidP="008D479B">
      <w:pPr>
        <w:pStyle w:val="TextoNormal"/>
      </w:pPr>
    </w:p>
    <w:p w14:paraId="5987A392" w14:textId="77777777" w:rsidR="008D479B" w:rsidRDefault="008D479B" w:rsidP="008D479B">
      <w:pPr>
        <w:pStyle w:val="TextoNormal"/>
      </w:pPr>
      <w:r>
        <w:t>Una vez le fue notificado el auto que acordó la orden general de ejecución y el despacho de esta, la demandante de amparo formuló oposición a la ejecución alegando, entre otros motivos, el carácter abusivo de tres de sus cláusulas: la denominada cláusula suelo, la que establecía el interés de demora, y la que preveía la posibilidad de resolución unilateral anticipada del contrato por impago de las cuotas del préstamo.</w:t>
      </w:r>
    </w:p>
    <w:p w14:paraId="2D77114C" w14:textId="77777777" w:rsidR="008D479B" w:rsidRDefault="008D479B" w:rsidP="008D479B">
      <w:pPr>
        <w:pStyle w:val="TextoNormal"/>
      </w:pPr>
    </w:p>
    <w:p w14:paraId="1CA3E38D" w14:textId="77777777" w:rsidR="008D479B" w:rsidRDefault="008D479B" w:rsidP="008D479B">
      <w:pPr>
        <w:pStyle w:val="TextoNormal"/>
      </w:pPr>
      <w:r>
        <w:t>Mediante auto núm. 437/2014, de 14 mayo —pese a apreciar que la oposición a la ejecución había sido formulada extemporáneamente— la juez de primera instancia, tras examinar de oficio el alegado carácter abusivo de aquellas cláusulas contractuales que consideró relevantes para continuar la ejecución: (i) declaró abusiva y nula la cláusula suelo del contrato de préstamo, y (ii) fijó la nueva cuantía de los intereses de demora atendiendo a la moderación propuesta por la entidad ejecutante, fijándolos en 1102,73 €. No examinó la reclamada abusividad de la cláusula de vencimiento anticipado por apreciar que no había sido invocada para solicitar la ejecución.</w:t>
      </w:r>
    </w:p>
    <w:p w14:paraId="54F15AE7" w14:textId="77777777" w:rsidR="008D479B" w:rsidRDefault="008D479B" w:rsidP="008D479B">
      <w:pPr>
        <w:pStyle w:val="TextoNormal"/>
      </w:pPr>
    </w:p>
    <w:p w14:paraId="068D55EE" w14:textId="77777777" w:rsidR="008D479B" w:rsidRDefault="008D479B" w:rsidP="008D479B">
      <w:pPr>
        <w:pStyle w:val="TextoNormal"/>
      </w:pPr>
      <w:r>
        <w:t>En aplicación de lo establecido en el art. 394 de la Ley de enjuiciamiento civil (LEC), por haber sido parcial la estimación de la oposición a la ejecución, la juzgadora no hizo especial pronunciamiento sobre las costas del incidente de oposición, por lo que cada parte debía satisfacer las generadas a su instancia.</w:t>
      </w:r>
    </w:p>
    <w:p w14:paraId="11F2E73B" w14:textId="77777777" w:rsidR="008D479B" w:rsidRDefault="008D479B" w:rsidP="008D479B">
      <w:pPr>
        <w:pStyle w:val="TextoNormal"/>
      </w:pPr>
    </w:p>
    <w:p w14:paraId="2BFA34F4" w14:textId="77777777" w:rsidR="008D479B" w:rsidRDefault="008D479B" w:rsidP="008D479B">
      <w:pPr>
        <w:pStyle w:val="TextoNormal"/>
      </w:pPr>
      <w:r>
        <w:t>b) El 21 de diciembre de 2016 la parte ejecutada solicitó la suspensión del proceso de ejecución por entender que existía prejudicialidad civil como consecuencia de la existencia concurrente de un proceso declarativo en el que había reclamado el cumplimiento de la obligación de pago del préstamo que, para el caso de fallecimiento, el prestatario fallecido había concertado con una compañía aseguradora vinculada a la entidad bancaria ejecutante (procedimiento ordinario núm. 223-2015, seguido ante el Juzgado de Primera Instancia núm. 6 de Madrid).</w:t>
      </w:r>
    </w:p>
    <w:p w14:paraId="58C8EE5A" w14:textId="77777777" w:rsidR="008D479B" w:rsidRDefault="008D479B" w:rsidP="008D479B">
      <w:pPr>
        <w:pStyle w:val="TextoNormal"/>
      </w:pPr>
    </w:p>
    <w:p w14:paraId="61299757" w14:textId="77777777" w:rsidR="008D479B" w:rsidRDefault="008D479B" w:rsidP="008D479B">
      <w:pPr>
        <w:pStyle w:val="TextoNormal"/>
      </w:pPr>
      <w:r>
        <w:t>Pocos días después, el 11 de enero de 2017, la parte ejecutada recurrió en apelación el auto de 14 de mayo de 2014 que había estimado parcialmente la oposición a la ejecución.</w:t>
      </w:r>
    </w:p>
    <w:p w14:paraId="73905F1E" w14:textId="77777777" w:rsidR="008D479B" w:rsidRDefault="008D479B" w:rsidP="008D479B">
      <w:pPr>
        <w:pStyle w:val="TextoNormal"/>
      </w:pPr>
    </w:p>
    <w:p w14:paraId="6E7C637D" w14:textId="77777777" w:rsidR="008D479B" w:rsidRDefault="008D479B" w:rsidP="008D479B">
      <w:pPr>
        <w:pStyle w:val="TextoNormal"/>
      </w:pPr>
      <w:r>
        <w:t>Más de un año después, el 26 de julio de 2018, la ejecutada solicitó el sobreseimiento y archivo del proceso de ejecución alegando que el procedimiento civil núm. 223-2015, en el que vino apoyada su petición de suspensión del proceso de ejecución, había concluido mediante sentencia firme favorable a sus intereses.</w:t>
      </w:r>
    </w:p>
    <w:p w14:paraId="1A70A257" w14:textId="77777777" w:rsidR="008D479B" w:rsidRDefault="008D479B" w:rsidP="008D479B">
      <w:pPr>
        <w:pStyle w:val="TextoNormal"/>
      </w:pPr>
    </w:p>
    <w:p w14:paraId="21B3561E" w14:textId="77777777" w:rsidR="008D479B" w:rsidRDefault="008D479B" w:rsidP="008D479B">
      <w:pPr>
        <w:pStyle w:val="TextoNormal"/>
      </w:pPr>
      <w:r>
        <w:t>c) Mediante auto de 31 de julio de 2018, tras apreciar la conexidad y prejudicialidad que había sido alegada, fue acordada la suspensión del proceso de ejecución.</w:t>
      </w:r>
    </w:p>
    <w:p w14:paraId="089390B1" w14:textId="77777777" w:rsidR="008D479B" w:rsidRDefault="008D479B" w:rsidP="008D479B">
      <w:pPr>
        <w:pStyle w:val="TextoNormal"/>
      </w:pPr>
    </w:p>
    <w:p w14:paraId="4B0971EE" w14:textId="77777777" w:rsidR="008D479B" w:rsidRDefault="008D479B" w:rsidP="008D479B">
      <w:pPr>
        <w:pStyle w:val="TextoNormal"/>
      </w:pPr>
      <w:r>
        <w:t>La suspensión fue alzada por una nueva juzgadora mediante auto núm. 1/2020, de 9 de enero, como consecuencia de haber concluido el proceso civil conexo que justificó la prejudicialidad apreciada.</w:t>
      </w:r>
    </w:p>
    <w:p w14:paraId="62B0D6ED" w14:textId="77777777" w:rsidR="008D479B" w:rsidRDefault="008D479B" w:rsidP="008D479B">
      <w:pPr>
        <w:pStyle w:val="TextoNormal"/>
      </w:pPr>
    </w:p>
    <w:p w14:paraId="46CF9DED" w14:textId="77777777" w:rsidR="008D479B" w:rsidRDefault="008D479B" w:rsidP="008D479B">
      <w:pPr>
        <w:pStyle w:val="TextoNormal"/>
      </w:pPr>
      <w:r>
        <w:t>La juez, en la misma resolución, sin llegar a pronunciarse sobre el recurso de apelación pendiente de admisión a trámite: (i) apreció de oficio el carácter abusivo y nulo de la cláusula que preveía la posibilidad de vencimiento anticipado del préstamo por impago de una sola cuota de capital o de los intereses pactados y, con el fin de evitar que la nulidad declarada expusiera al consumidor prestatario a consecuencias perjudiciales, (ii) acordó el sobreseimiento y archivo del proceso de ejecución “con el alzamiento de los embargos y las medidas de garantía que se hubieren adoptado, sin perjuicio de que la entidad prestamista pueda interponer nueva demanda de ejecución hipotecaria fundada en el impago de cuotas en aplicación del art. 693.2 LEC en relación con el art. 24 de la Ley 5/2019, de crédito inmobiliario, siempre y cuando la parte deudora no cancele el préstamo hipotecario con la indemnización recibida por el seguro de vida o de protección de pagos”.</w:t>
      </w:r>
    </w:p>
    <w:p w14:paraId="2E185457" w14:textId="77777777" w:rsidR="008D479B" w:rsidRDefault="008D479B" w:rsidP="008D479B">
      <w:pPr>
        <w:pStyle w:val="TextoNormal"/>
      </w:pPr>
    </w:p>
    <w:p w14:paraId="1ABE2DB2" w14:textId="77777777" w:rsidR="008D479B" w:rsidRDefault="008D479B" w:rsidP="008D479B">
      <w:pPr>
        <w:pStyle w:val="TextoNormal"/>
      </w:pPr>
      <w:r>
        <w:t>Tampoco en esta resolución hizo especial imposición de las costas del proceso de ejecución, tras apreciar que la decisión de sobreseimiento y archivo se apoyaba en el carácter abusivo de la cláusula de vencimiento anticipado, una cuestión que, según apreció, presentaba serias dudas de derecho como consecuencia de una jurisprudencia aplicativa en constante evolución.</w:t>
      </w:r>
    </w:p>
    <w:p w14:paraId="4B5B1E0B" w14:textId="77777777" w:rsidR="008D479B" w:rsidRDefault="008D479B" w:rsidP="008D479B">
      <w:pPr>
        <w:pStyle w:val="TextoNormal"/>
      </w:pPr>
    </w:p>
    <w:p w14:paraId="645C8AE1" w14:textId="77777777" w:rsidR="008D479B" w:rsidRDefault="008D479B" w:rsidP="008D479B">
      <w:pPr>
        <w:pStyle w:val="TextoNormal"/>
      </w:pPr>
      <w:r>
        <w:t>d) Este último pronunciamiento —relativo a las costas del proceso de ejecución— fundamentó que el 19 de febrero de 2020 la consumidora ejecutada presentase un nuevo recurso de apelación. En su impugnación reclamó exclusivamente que las costas del proceso de ejecución se impusieran a la entidad bancaria ejecutante, por cuanto había sido acordado el sobreseimiento y archivo del proceso como consecuencia de apreciar sucesivamente el carácter abusivo de dos de las cláusulas contractuales del préstamo: la cláusula suelo, y la de vencimiento anticipado.</w:t>
      </w:r>
    </w:p>
    <w:p w14:paraId="79FB5C7A" w14:textId="77777777" w:rsidR="008D479B" w:rsidRDefault="008D479B" w:rsidP="008D479B">
      <w:pPr>
        <w:pStyle w:val="TextoNormal"/>
      </w:pPr>
    </w:p>
    <w:p w14:paraId="1F7A38C0" w14:textId="77777777" w:rsidR="008D479B" w:rsidRDefault="008D479B" w:rsidP="008D479B">
      <w:pPr>
        <w:pStyle w:val="TextoNormal"/>
      </w:pPr>
      <w:r>
        <w:t>El conocimiento del recurso de apelación correspondió a la Sección Novena de la Audiencia Provincial de Madrid que, mediante auto núm. 310/2020, de 7 de octubre, lo desestimó sin hacer expresa imposición de las costas del recurso. Al fundamentar su decisión, destacó que no existe en la ley procesal española ninguna regla específica que regule la condena en costas de un proceso de ejecución en el que se aprecie la existencia de cláusulas contractuales abusivas y se decrete su sobreseimiento (art. 695 LEC); ni tampoco, con carácter general, una norma expresa que regule la imposición de las costas derivadas de un recurso de apelación presentado en el proceso de ejecución. Por ello, consideró aplicable en tal caso la regla general sobre costas prevista en el artículo 398 LEC, según la cual, cuando son desestimadas todas las pretensiones de un recurso de apelación, extraordinario por infracción procesal o de casación, se aplicará, en cuanto a las costas del recurso, lo dispuesto en el art. 394 LEC (criterio general de vencimiento con salvedades específicas por existencia de serias dudas de hecho o derecho sobre la cuestión sometida a litigio).</w:t>
      </w:r>
    </w:p>
    <w:p w14:paraId="5E5B8DDB" w14:textId="77777777" w:rsidR="008D479B" w:rsidRDefault="008D479B" w:rsidP="008D479B">
      <w:pPr>
        <w:pStyle w:val="TextoNormal"/>
      </w:pPr>
    </w:p>
    <w:p w14:paraId="79371386" w14:textId="6F18DFE0" w:rsidR="008D479B" w:rsidRDefault="008D479B" w:rsidP="008D479B">
      <w:pPr>
        <w:pStyle w:val="TextoNormal"/>
      </w:pPr>
      <w:r>
        <w:t>En consecuencia, valorando que en este caso el carácter abusivo de la cláusula de vencimiento anticipado había sido apreciado de oficio por la juzgadora de instancia en aplicación de una jurisprudencia posterior a la interposición de la demanda ejecutiva, mientras estaba pendiente la tramitación de un recurso de apelación sobre el auto que estimó parcialmente la oposición a la ejecución, la sala ratificó que existían serias dudas de derecho sobre la cuestión debatida (carácter abusivo de las cláusulas contractuales impugnadas) por lo que no se debía hacer especial pronunciamiento en costas sobre el proceso de ejecución, ni tampoco sobre las causadas por la tramitación del recurso de apelación que se resolvía.</w:t>
      </w:r>
    </w:p>
    <w:p w14:paraId="5899134F" w14:textId="77777777" w:rsidR="008D479B" w:rsidRDefault="008D479B" w:rsidP="008D479B">
      <w:pPr>
        <w:pStyle w:val="TextoNormal"/>
      </w:pPr>
    </w:p>
    <w:p w14:paraId="180C493C" w14:textId="77777777" w:rsidR="008D479B" w:rsidRDefault="008D479B" w:rsidP="008D479B">
      <w:pPr>
        <w:pStyle w:val="TextoNormal"/>
      </w:pPr>
      <w:r w:rsidRPr="008D479B">
        <w:rPr>
          <w:rStyle w:val="NumeroAFNegritaCaracter"/>
        </w:rPr>
        <w:t>3</w:t>
      </w:r>
      <w:r>
        <w:t>. En la demanda de amparo, la recurrente imputa a las resoluciones judiciales la vulneración de su derecho a la tutela judicial efectiva, en cuanto comprende el de recibir una respuesta fundada en Derecho en relación con las pretensiones sometidas a litigio. La queja se refiere, única y exclusivamente, a la decisión de no condenar en costas a la entidad bancaria ejecutante pese a haberse apreciado el carácter abusivo de dos cláusulas contractuales, lo que conllevó el sobreseimiento del proceso de ejecución.</w:t>
      </w:r>
    </w:p>
    <w:p w14:paraId="146FD11D" w14:textId="77777777" w:rsidR="008D479B" w:rsidRDefault="008D479B" w:rsidP="008D479B">
      <w:pPr>
        <w:pStyle w:val="TextoNormal"/>
      </w:pPr>
    </w:p>
    <w:p w14:paraId="6C9EB368" w14:textId="77777777" w:rsidR="008D479B" w:rsidRDefault="008D479B" w:rsidP="008D479B">
      <w:pPr>
        <w:pStyle w:val="TextoNormal"/>
      </w:pPr>
      <w:r>
        <w:t>Al fundamentar su queja alega la infracción del art. 561.2 LEC, sosteniendo que la ejecutante debiera haber sido condenada en costas por cuanto la juzgadora estimó parcialmente su oposición a la ejecución y, después, decretó el sobreseimiento y archivo del proceso ejecutivo tras apreciar, inicialmente, el carácter abusivo de la cláusula suelo y, después, de la cláusula de vencimiento anticipado del contrato de préstamo cuyo impago dio lugar al proceso de ejecución.</w:t>
      </w:r>
    </w:p>
    <w:p w14:paraId="2E5E074C" w14:textId="77777777" w:rsidR="008D479B" w:rsidRDefault="008D479B" w:rsidP="008D479B">
      <w:pPr>
        <w:pStyle w:val="TextoNormal"/>
      </w:pPr>
    </w:p>
    <w:p w14:paraId="7AC920FB" w14:textId="77777777" w:rsidR="008D479B" w:rsidRDefault="008D479B" w:rsidP="008D479B">
      <w:pPr>
        <w:pStyle w:val="TextoNormal"/>
      </w:pPr>
      <w:r>
        <w:t xml:space="preserve">Considera que las costas procesales inciden sobre el derecho de acceso a la jurisdicción en tanto pueden desincentivar a los consumidores a defender sus derechos en la vía judicial. Añade que no son fundadas las dudas de Derecho que fundamentan el pronunciamiento en costas, calificando como irrazonable el criterio judicial aplicado en este caso por el auto de 7 de octubre de 2020, porque era contrario a la jurisprudencia del Tribunal Supremo y del Tribunal de Justicia de la Unión Europea (cita las SSTS núm. 419/2017, de 4 de julio, y 472/2020, de 17 de septiembre; así como la STJUE de 16 de julio de 2020, asuntos acumulados C-224/19 y C-259/19, </w:t>
      </w:r>
      <w:r w:rsidRPr="008D479B">
        <w:rPr>
          <w:i/>
        </w:rPr>
        <w:t>CY c. Caixabank, S.A., y LG y PK c. Banco Bilbao Vizcaya Argentaria, S.A</w:t>
      </w:r>
      <w:r>
        <w:t>.).</w:t>
      </w:r>
    </w:p>
    <w:p w14:paraId="44F209BA" w14:textId="77777777" w:rsidR="008D479B" w:rsidRDefault="008D479B" w:rsidP="008D479B">
      <w:pPr>
        <w:pStyle w:val="TextoNormal"/>
      </w:pPr>
    </w:p>
    <w:p w14:paraId="5D61FB73" w14:textId="102B1B61" w:rsidR="008D479B" w:rsidRDefault="008D479B" w:rsidP="008D479B">
      <w:pPr>
        <w:pStyle w:val="TextoNormal"/>
      </w:pPr>
      <w:r>
        <w:t>La demandante solicita que se le otorgue el amparo reclamado, se reconozca la existencia de la vulneración aducida y se le restablezca en la integridad de su derecho a la tutela judicial efectiva, con la adopción de las medidas apropiadas para su conservación.</w:t>
      </w:r>
    </w:p>
    <w:p w14:paraId="26ED71FA" w14:textId="77777777" w:rsidR="008D479B" w:rsidRDefault="008D479B" w:rsidP="008D479B">
      <w:pPr>
        <w:pStyle w:val="TextoNormal"/>
      </w:pPr>
    </w:p>
    <w:p w14:paraId="78FB6E23" w14:textId="77777777" w:rsidR="008D479B" w:rsidRDefault="008D479B" w:rsidP="008D479B">
      <w:pPr>
        <w:pStyle w:val="TextoNormal"/>
      </w:pPr>
      <w:r w:rsidRPr="008D479B">
        <w:rPr>
          <w:rStyle w:val="NumeroAFNegritaCaracter"/>
        </w:rPr>
        <w:t>4</w:t>
      </w:r>
      <w:r>
        <w:t>. Mediante providencia de 4 de octubre de 2021, la Sección Tercera de este tribunal acordó admitir a trámite el recurso de amparo apreciando que concurre en el mismo especial trascendencia constitucional (art. 50.1 de la Ley Orgánica del Tribunal Constitucional: LOTC) porque el asunto suscitado trasciende del caso concreto al plantear una cuestión jurídica de relevante y general repercusión social o económica [STC 155/2009, de 25 de junio, FJ 2 g)].</w:t>
      </w:r>
    </w:p>
    <w:p w14:paraId="544DDC6F" w14:textId="77777777" w:rsidR="008D479B" w:rsidRDefault="008D479B" w:rsidP="008D479B">
      <w:pPr>
        <w:pStyle w:val="TextoNormal"/>
      </w:pPr>
    </w:p>
    <w:p w14:paraId="1C08FD88" w14:textId="5A936CB2" w:rsidR="008D479B" w:rsidRDefault="008D479B" w:rsidP="008D479B">
      <w:pPr>
        <w:pStyle w:val="TextoNormal"/>
      </w:pPr>
      <w:r>
        <w:t>En la misma resolución se decidió dirigir atenta comunicación a la Sección Novena de la Audiencia Provincial de Madrid a fin de que remitiera certificación o fotocopia adverada de las actuaciones correspondiente al recurso de apelación núm. 425-2020, y en el mismo sentido, al Juzgado de Primera Instancia núm. 100 de Madrid, en relación con las actuaciones correspondientes al procedimiento de ejecución hipotecaria núm. 356-2013; debiendo previamente emplazar a quienes hubieran sido parte en el procedimiento civil para que comparecieran en estas actuaciones, si así lo deseaban, excepto a la parte recurrente en amparo.</w:t>
      </w:r>
    </w:p>
    <w:p w14:paraId="6100A7D5" w14:textId="77777777" w:rsidR="008D479B" w:rsidRDefault="008D479B" w:rsidP="008D479B">
      <w:pPr>
        <w:pStyle w:val="TextoNormal"/>
      </w:pPr>
    </w:p>
    <w:p w14:paraId="6019A6D9" w14:textId="5322B091" w:rsidR="008D479B" w:rsidRDefault="008D479B" w:rsidP="008D479B">
      <w:pPr>
        <w:pStyle w:val="TextoNormal"/>
      </w:pPr>
      <w:r w:rsidRPr="008D479B">
        <w:rPr>
          <w:rStyle w:val="NumeroAFNegritaCaracter"/>
        </w:rPr>
        <w:t>5</w:t>
      </w:r>
      <w:r>
        <w:t>. Con fecha 10 de noviembre de 2021 compareció en las actuaciones la entidad BBVA, S.A., representada por la procuradora de los tribunales doña María Jesús Gutiérrez Aceves, con la asistencia letrada de don Rafael Castellano Lasa.</w:t>
      </w:r>
    </w:p>
    <w:p w14:paraId="4C2A9E3C" w14:textId="77777777" w:rsidR="008D479B" w:rsidRDefault="008D479B" w:rsidP="008D479B">
      <w:pPr>
        <w:pStyle w:val="TextoNormal"/>
      </w:pPr>
    </w:p>
    <w:p w14:paraId="574B1A2D" w14:textId="3F60FD47" w:rsidR="008D479B" w:rsidRDefault="008D479B" w:rsidP="008D479B">
      <w:pPr>
        <w:pStyle w:val="TextoNormal"/>
      </w:pPr>
      <w:r w:rsidRPr="008D479B">
        <w:rPr>
          <w:rStyle w:val="NumeroAFNegritaCaracter"/>
        </w:rPr>
        <w:t>6</w:t>
      </w:r>
      <w:r>
        <w:t>. Por diligencia de ordenación de 23 de diciembre de 2021 se tuvo por personada en el procedimiento a la entidad BBVA, S.A., acordándose dar vista del procedimiento a las partes personadas y al Ministerio Fiscal, y otorgándoles un plazo común para que formularan las alegaciones que consideraran pertinentes (art. 52.1 LOTC).</w:t>
      </w:r>
    </w:p>
    <w:p w14:paraId="0FA12CBC" w14:textId="77777777" w:rsidR="008D479B" w:rsidRDefault="008D479B" w:rsidP="008D479B">
      <w:pPr>
        <w:pStyle w:val="TextoNormal"/>
      </w:pPr>
    </w:p>
    <w:p w14:paraId="517FA6A7" w14:textId="77777777" w:rsidR="008D479B" w:rsidRDefault="008D479B" w:rsidP="008D479B">
      <w:pPr>
        <w:pStyle w:val="TextoNormal"/>
      </w:pPr>
      <w:r w:rsidRPr="008D479B">
        <w:rPr>
          <w:rStyle w:val="NumeroAFNegritaCaracter"/>
        </w:rPr>
        <w:t>7</w:t>
      </w:r>
      <w:r>
        <w:t>. La representación procesal de BBVA, S.A., presentó sus alegaciones el día 26 de enero de 2022. Solicita la desestimación del recurso por entender que la vulneración denunciada no se ha producido. Sintéticamente expuesta, su oposición se apoya en los siguientes argumentos:</w:t>
      </w:r>
    </w:p>
    <w:p w14:paraId="2B4BEA03" w14:textId="77777777" w:rsidR="008D479B" w:rsidRDefault="008D479B" w:rsidP="008D479B">
      <w:pPr>
        <w:pStyle w:val="TextoNormal"/>
      </w:pPr>
    </w:p>
    <w:p w14:paraId="215B4F8A" w14:textId="77777777" w:rsidR="008D479B" w:rsidRDefault="008D479B" w:rsidP="008D479B">
      <w:pPr>
        <w:pStyle w:val="TextoNormal"/>
      </w:pPr>
      <w:r>
        <w:t>a) Tras discrepar de la exposición fáctica que se hace en la demanda sobre las pretensiones planteadas y el fundamento de las resoluciones dictadas a lo largo del proceso, aduce, como objeción previa, que la recurrente carece de interés legítimo en este proceso de amparo por tener reconocido el beneficio de justicia gratuita, por lo que no obtendrá beneficio material alguno de ver estimada su pretensión de amparo.</w:t>
      </w:r>
    </w:p>
    <w:p w14:paraId="76B6EA71" w14:textId="77777777" w:rsidR="008D479B" w:rsidRDefault="008D479B" w:rsidP="008D479B">
      <w:pPr>
        <w:pStyle w:val="TextoNormal"/>
      </w:pPr>
    </w:p>
    <w:p w14:paraId="631B0EB5" w14:textId="77777777" w:rsidR="008D479B" w:rsidRDefault="008D479B" w:rsidP="008D479B">
      <w:pPr>
        <w:pStyle w:val="TextoNormal"/>
      </w:pPr>
      <w:r>
        <w:t>b) Considera que ni se ha producido la vulneración de derecho fundamental alegada ni, en sí misma, presenta especial trascendencia constitucional a la vista de las circunstancias procesales que han caracterizado el proceso civil previo, y la evolución jurisprudencial y normativa habida, durante su desarrollo, sobre el carácter abusivo de las cláusulas contractuales cuestionadas por la ejecutada.</w:t>
      </w:r>
    </w:p>
    <w:p w14:paraId="2723FE80" w14:textId="77777777" w:rsidR="008D479B" w:rsidRDefault="008D479B" w:rsidP="008D479B">
      <w:pPr>
        <w:pStyle w:val="TextoNormal"/>
      </w:pPr>
    </w:p>
    <w:p w14:paraId="557B9B4E" w14:textId="77777777" w:rsidR="008D479B" w:rsidRDefault="008D479B" w:rsidP="008D479B">
      <w:pPr>
        <w:pStyle w:val="TextoNormal"/>
      </w:pPr>
      <w:r>
        <w:t>c) Sostiene que, en materia de costas del proceso, es relevante que la declaración de nulidad se refiera a la cláusula de vencimiento anticipado, pues es esa singularidad lo que ha justificado, como efecto procesal, la decisión de sobreseimiento y archivo del proceso de ejecución al considerar inviable la subsistencia del negocio jurídico unitario de préstamo con garantía hipotecaria (STC 436/2019, de 11 de junio). Por ello, no puede considerarse irrazonable la decisión de no imponer las costas del proceso de ejecución a la entidad bancaria ejecutante, dado que la jurisprudencia que se cita para fundamentar la vulneración alegada se refiere a cláusulas contractuales distintas de la de vencimiento anticipado.</w:t>
      </w:r>
    </w:p>
    <w:p w14:paraId="1EF4E27E" w14:textId="77777777" w:rsidR="008D479B" w:rsidRDefault="008D479B" w:rsidP="008D479B">
      <w:pPr>
        <w:pStyle w:val="TextoNormal"/>
      </w:pPr>
    </w:p>
    <w:p w14:paraId="21F9C309" w14:textId="638ACF41" w:rsidR="008D479B" w:rsidRDefault="008D479B" w:rsidP="008D479B">
      <w:pPr>
        <w:pStyle w:val="TextoNormal"/>
      </w:pPr>
      <w:r>
        <w:t>d) Por último, señala que el pronunciamiento sobre costas no es parte del contenido del derecho a la tutela judicial efectiva. Reseña, en tal sentido, parte de la doctrina expresada en la STC 156/2021, de 16 de septiembre, del Pleno. Concluye sus alegaciones señalando que el auto de 7 de octubre de 2020, por el que la apelación fue desestimada, está correcta y debidamente motivado dado que la apreciación de serias dudas de derecho que fundamenta su pronunciamiento atiende a los criterios jurisprudenciales aplicados con generalidad en aquella fecha.</w:t>
      </w:r>
    </w:p>
    <w:p w14:paraId="61FF6521" w14:textId="77777777" w:rsidR="008D479B" w:rsidRDefault="008D479B" w:rsidP="008D479B">
      <w:pPr>
        <w:pStyle w:val="TextoNormal"/>
      </w:pPr>
    </w:p>
    <w:p w14:paraId="749D4953" w14:textId="77777777" w:rsidR="008D479B" w:rsidRDefault="008D479B" w:rsidP="008D479B">
      <w:pPr>
        <w:pStyle w:val="TextoNormal"/>
      </w:pPr>
      <w:r w:rsidRPr="008D479B">
        <w:rPr>
          <w:rStyle w:val="NumeroAFNegritaCaracter"/>
        </w:rPr>
        <w:t>8</w:t>
      </w:r>
      <w:r>
        <w:t>. El Ministerio Fiscal presentó sus alegaciones el 10 de febrero de 2022. En ellas solicita la estimación del recurso de amparo con declaración de nulidad de la resolución judicial a que se refiere.</w:t>
      </w:r>
    </w:p>
    <w:p w14:paraId="5C6497F2" w14:textId="77777777" w:rsidR="008D479B" w:rsidRDefault="008D479B" w:rsidP="008D479B">
      <w:pPr>
        <w:pStyle w:val="TextoNormal"/>
      </w:pPr>
    </w:p>
    <w:p w14:paraId="141DC653" w14:textId="77777777" w:rsidR="008D479B" w:rsidRDefault="008D479B" w:rsidP="008D479B">
      <w:pPr>
        <w:pStyle w:val="TextoNormal"/>
      </w:pPr>
      <w:r>
        <w:t>Tras resumir los antecedentes procesales del caso que considera de interés y concretar los aspectos más relevantes de la pretensión de la demandante de amparo, el fiscal entiende que la demanda cumple con los presupuestos procesales exigidos por la Ley Orgánica del Tribunal Constitucional, incluida la legitimación para formular la pretensión de amparo.</w:t>
      </w:r>
    </w:p>
    <w:p w14:paraId="2DA2AF33" w14:textId="77777777" w:rsidR="008D479B" w:rsidRDefault="008D479B" w:rsidP="008D479B">
      <w:pPr>
        <w:pStyle w:val="TextoNormal"/>
      </w:pPr>
    </w:p>
    <w:p w14:paraId="6F9D3A05" w14:textId="494F73B1" w:rsidR="008D479B" w:rsidRDefault="008D479B" w:rsidP="008D479B">
      <w:pPr>
        <w:pStyle w:val="TextoNormal"/>
      </w:pPr>
      <w:r>
        <w:t>En relación con el fondo, solicita la estimación del recurso de amparo. Una vez sintetizado su objeto, expone la jurisprudencia constitucional y del Tribunal Supremo en materia de costas procesales que considera aplicable al caso y, específicamente, cuando su pronunciamiento se realiza en procesos que versan sobre el carácter abusivo de cláusulas contractuales establecidas en contratos con consumidores (STC 156/2021, de 16 de septiembre, FJ 11, y STS 470/2020, de 17 de septiembre). Su aplicación a la cuestión planteada en el recurso de amparo le lleva a concluir que las resoluciones judiciales que han omitido realizar un pronunciamiento en costas vulneran el derecho a la tutela judicial efectiva de la demandante, en su vertiente de acceso a la jurisdicción. Afirma que provocan un efecto disuasorio inverso y colisionan con el principio de efectividad del Derecho de la Unión Europea dado que, finalmente, pese a haber visto estimadas sus reclamaciones, la parte ejecutada ha tenido que hacer frente a los gastos ocasionados para ejercitar su defensa frente a la reclamación judicial de la entidad bancaria prestamista y no queda indemne frente a las cláusulas abusivas que se declaran nulas. Califica este efecto disuasorio como obstaculizador del ejercicio del derecho consagrado en el art. 24.1 CE, en cuanto se aparta de la doctrina constitucional sobre la relevancia del pronunciamiento sobre costas en procesos en los que se declara la abusividad de las cláusulas contractuales.</w:t>
      </w:r>
    </w:p>
    <w:p w14:paraId="551C1F6C" w14:textId="77777777" w:rsidR="008D479B" w:rsidRDefault="008D479B" w:rsidP="008D479B">
      <w:pPr>
        <w:pStyle w:val="TextoNormal"/>
      </w:pPr>
    </w:p>
    <w:p w14:paraId="744555B9" w14:textId="77777777" w:rsidR="008D479B" w:rsidRDefault="008D479B" w:rsidP="008D479B">
      <w:pPr>
        <w:pStyle w:val="TextoNormal"/>
      </w:pPr>
      <w:r w:rsidRPr="008D479B">
        <w:rPr>
          <w:rStyle w:val="NumeroAFNegritaCaracter"/>
        </w:rPr>
        <w:t>9</w:t>
      </w:r>
      <w:r>
        <w:t>. Mediante diligencia de ordenación de 11 de febrero de 2022 se hizo constar que el recurso de amparo quedaba concluso y pendiente de para deliberación cuanto correspondiera por su turno.</w:t>
      </w:r>
    </w:p>
    <w:p w14:paraId="6538F1CF" w14:textId="77777777" w:rsidR="008D479B" w:rsidRDefault="008D479B" w:rsidP="008D479B">
      <w:pPr>
        <w:pStyle w:val="TextoNormal"/>
      </w:pPr>
    </w:p>
    <w:p w14:paraId="7B39C2F3" w14:textId="42303131" w:rsidR="008D479B" w:rsidRDefault="008D479B" w:rsidP="008D479B">
      <w:pPr>
        <w:pStyle w:val="TextoNormal"/>
      </w:pPr>
      <w:r>
        <w:t>Mediante nueva diligencia de ordenación de 23 de febrero de 2023 se hizo constar que, en cumplimiento de lo previsto en el acuerdo de 17 de enero de 2023 (publicado en el “Boletín Oficial del Estado” núm. 16, de 19 de enero de 2023) adoptado por el Pleno del Tribunal Constitucional tras su renovación parcial, el presente recurso de amparo había sido turnado a la Sala Primera del Tribunal Constitucional, lo que se puso en conocimiento de las partes y del Ministerio Fiscal.</w:t>
      </w:r>
    </w:p>
    <w:p w14:paraId="0B06F3CA" w14:textId="77777777" w:rsidR="008D479B" w:rsidRDefault="008D479B" w:rsidP="008D479B">
      <w:pPr>
        <w:pStyle w:val="TextoNormal"/>
      </w:pPr>
    </w:p>
    <w:p w14:paraId="71E8A76B" w14:textId="056BA83D" w:rsidR="008D479B" w:rsidRDefault="008D479B" w:rsidP="008D479B">
      <w:pPr>
        <w:pStyle w:val="TextoNormal"/>
      </w:pPr>
      <w:r w:rsidRPr="008D479B">
        <w:rPr>
          <w:rStyle w:val="NumeroAFNegritaCaracter"/>
        </w:rPr>
        <w:t>10</w:t>
      </w:r>
      <w:r>
        <w:t>. En providencia de fecha 7 de septiembre de 2023, se señaló para votación y fallo del presente recurso el día 11 del mismo mes y año.</w:t>
      </w:r>
    </w:p>
    <w:p w14:paraId="45117BF0" w14:textId="77777777" w:rsidR="008D479B" w:rsidRDefault="008D479B" w:rsidP="008D479B">
      <w:pPr>
        <w:pStyle w:val="TextoNormal"/>
      </w:pPr>
    </w:p>
    <w:p w14:paraId="391DB89B" w14:textId="77777777" w:rsidR="008D479B" w:rsidRDefault="008D479B" w:rsidP="008D479B">
      <w:pPr>
        <w:pStyle w:val="TextoNormalNegritaCentrado"/>
        <w:keepNext/>
      </w:pPr>
      <w:r>
        <w:t>II. Fundamentos jurídicos</w:t>
      </w:r>
    </w:p>
    <w:p w14:paraId="229D5B1D" w14:textId="09BD2AC0" w:rsidR="008D479B" w:rsidRDefault="008D479B" w:rsidP="008D479B">
      <w:pPr>
        <w:pStyle w:val="TextoNormalNegritaCentrado"/>
        <w:keepNext/>
      </w:pPr>
    </w:p>
    <w:p w14:paraId="11252B82" w14:textId="77777777" w:rsidR="008D479B" w:rsidRDefault="008D479B" w:rsidP="008D479B">
      <w:pPr>
        <w:pStyle w:val="TextoNormal"/>
      </w:pPr>
      <w:r w:rsidRPr="008D479B">
        <w:rPr>
          <w:rStyle w:val="NumeroAFNegritaCaracter"/>
        </w:rPr>
        <w:t>1</w:t>
      </w:r>
      <w:r>
        <w:t xml:space="preserve">. . </w:t>
      </w:r>
      <w:r w:rsidRPr="008D479B">
        <w:rPr>
          <w:i/>
        </w:rPr>
        <w:t>Objeto del recurso de amparo y pretensiones de las partes</w:t>
      </w:r>
    </w:p>
    <w:p w14:paraId="382D08FA" w14:textId="77777777" w:rsidR="008D479B" w:rsidRDefault="008D479B" w:rsidP="008D479B">
      <w:pPr>
        <w:pStyle w:val="TextoNormal"/>
      </w:pPr>
    </w:p>
    <w:p w14:paraId="062EA634" w14:textId="77777777" w:rsidR="008D479B" w:rsidRDefault="008D479B" w:rsidP="008D479B">
      <w:pPr>
        <w:pStyle w:val="TextoNormal"/>
      </w:pPr>
      <w:r>
        <w:t>La recurrente en amparo dirige expresamente su queja contra el auto núm. 310/2020, de 7 de octubre, dictado en apelación por la Sección Novena de la Audiencia Provincial de Madrid, en su calidad de parte demandada en el proceso de ejecución hipotecaria seguido en la vía judicial previa, en el que, en distintos momentos procesales, solicitó y obtuvo la declaración como abusivas de dos de las cláusulas del contrato de préstamo concertado con una entidad bancaria cuyo incumplimiento justificó la ejecución.</w:t>
      </w:r>
    </w:p>
    <w:p w14:paraId="2351EE18" w14:textId="77777777" w:rsidR="008D479B" w:rsidRDefault="008D479B" w:rsidP="008D479B">
      <w:pPr>
        <w:pStyle w:val="TextoNormal"/>
      </w:pPr>
    </w:p>
    <w:p w14:paraId="5A532DF0" w14:textId="77777777" w:rsidR="008D479B" w:rsidRDefault="008D479B" w:rsidP="008D479B">
      <w:pPr>
        <w:pStyle w:val="TextoNormal"/>
      </w:pPr>
      <w:r>
        <w:t>La resolución impugnada confirmó otra anterior del Juzgado de Primera Instancia núm. 100 de Madrid (auto de 9 de enero de 2020) que, sin hacer especial imposición a ninguna de las partes de las costas del proceso, apreció de oficio el carácter abusivo y nulo de la cláusula que preveía la posibilidad de vencimiento anticipado del préstamo por impago de una sola cuota de capital o de los intereses pactados y, como consecuencia, acordó también el sobreseimiento y archivo del proceso de ejecución. Previamente, mediante auto núm. 437/2014, de 14 de mayo, el órgano judicial había ya declarado el carácter abusivo de otra cláusula contractual del contrato de préstamo, en cuanto preveía un límite mínimo al interés que se había de aplicar para calcular la cuota a cargo del prestatario, aunque el tipo de interés de referencia se redujera (cláusula suelo). El recurso de apelación de la ejecutada se dirigió únicamente a impugnar el pronunciamiento sobre costas de instancia, por considerar que debían imponerse a la entidad bancaria ejecutante. Su pretensión fue desestimada sin hacer tampoco especial imposición de las costas del recurso a ninguna de las partes.</w:t>
      </w:r>
    </w:p>
    <w:p w14:paraId="25F5FB09" w14:textId="77777777" w:rsidR="008D479B" w:rsidRDefault="008D479B" w:rsidP="008D479B">
      <w:pPr>
        <w:pStyle w:val="TextoNormal"/>
      </w:pPr>
    </w:p>
    <w:p w14:paraId="77BB5317" w14:textId="77777777" w:rsidR="008D479B" w:rsidRDefault="008D479B" w:rsidP="008D479B">
      <w:pPr>
        <w:pStyle w:val="TextoNormal"/>
      </w:pPr>
      <w:r>
        <w:t xml:space="preserve">La demanda atribuye al auto de apelación la vulneración de su derecho a la tutela judicial efectiva (art. 24.1 CE) únicamente en relación con la decisión de ratificar la no imposición de las costas del proceso a la entidad bancaria ejecutante. Considera que tal decisión no es fundada en Derecho porque solicitó y obtuvo en su favor la declaración de nulidad, por abusivas, de dos cláusulas contractuales del préstamo hipotecario y, como consecuencia, el sobreseimiento y archivo del proceso de ejecución. Entiende que dicho criterio judicial, fundado en apreciar que existían “serias dudas de derecho” sobre la cuestión litigiosa, es, en términos jurídicos, manifiestamente irrazonable, disuasorio y contrario a los pronunciamientos interpretativos del Tribunal Supremo (Sala Primera) y del Tribunal de Justicia de la Unión Europea (SSTS núm. 419/2017, de 4 de julio, y 472/2020, de 17 de septiembre; y STJUE de 16 de julio de 2020, asuntos acumulados C-224/19 y C-259/19, </w:t>
      </w:r>
      <w:r w:rsidRPr="008D479B">
        <w:rPr>
          <w:i/>
        </w:rPr>
        <w:t>CY c. Caixabank, S.A., y LG y PK c. Banco Bilbao Vizcaya Argentaria, S.A</w:t>
      </w:r>
      <w:r>
        <w:t>.), que son anteriores a la decisión de apelación y se refieren a la aplicación de la Directiva 93/13/CEE del Consejo, de 5 de abril, sobre las cláusulas abusivas en los contratos celebrados con consumidores.</w:t>
      </w:r>
    </w:p>
    <w:p w14:paraId="1DBEA4FA" w14:textId="77777777" w:rsidR="008D479B" w:rsidRDefault="008D479B" w:rsidP="008D479B">
      <w:pPr>
        <w:pStyle w:val="TextoNormal"/>
      </w:pPr>
    </w:p>
    <w:p w14:paraId="67F9C212" w14:textId="77777777" w:rsidR="008D479B" w:rsidRDefault="008D479B" w:rsidP="008D479B">
      <w:pPr>
        <w:pStyle w:val="TextoNormal"/>
      </w:pPr>
      <w:r>
        <w:t>La representación de la entidad bancaria BBVA, parte actora en el proceso de ejecución, se ha opuesto a todas las pretensiones formuladas en la demanda. Como ha quedado expuesto en los antecedentes, considera que el recurso de amparo no presenta la especial trascendencia constitucional que ha sido apreciada, que la recurrente carece de interés legítimo en este proceso por tener reconocido el beneficio de justicia gratuita, y que no se ha producido la vulneración del derecho a la tutela judicial que ha sido aducida.</w:t>
      </w:r>
    </w:p>
    <w:p w14:paraId="0463A2D6" w14:textId="77777777" w:rsidR="008D479B" w:rsidRDefault="008D479B" w:rsidP="008D479B">
      <w:pPr>
        <w:pStyle w:val="TextoNormal"/>
      </w:pPr>
    </w:p>
    <w:p w14:paraId="44310D22" w14:textId="0DDCB1B0" w:rsidR="008D479B" w:rsidRDefault="008D479B" w:rsidP="008D479B">
      <w:pPr>
        <w:pStyle w:val="TextoNormal"/>
      </w:pPr>
      <w:r>
        <w:t>El Ministerio Fiscal, por el contrario, ha alegado en favor de la estimación del recurso de amparo. Considera que la resolución judicial impugnada vulnera el derecho a la tutela judicial efectiva de la demandante en cuanto ha omitido realizar un pronunciamiento en costas, imponiendo a cada uno las costas causadas en su instancia y las comunes por mitad. Afirma que tal criterio interpretativo provoca un efecto disuasorio inverso que obstaculiza del ejercicio del derecho consagrado en el art. 24.1 CE y colisiona con el principio de efectividad del Derecho de la Unión Europea, ya que la recurrente no queda indemne frente a las cláusulas abusivas que, por esta razón, han sido declaradas nulas.</w:t>
      </w:r>
    </w:p>
    <w:p w14:paraId="285BEE6B" w14:textId="77777777" w:rsidR="008D479B" w:rsidRDefault="008D479B" w:rsidP="008D479B">
      <w:pPr>
        <w:pStyle w:val="TextoNormal"/>
      </w:pPr>
    </w:p>
    <w:p w14:paraId="02D85FD2" w14:textId="77777777" w:rsidR="008D479B" w:rsidRDefault="008D479B" w:rsidP="008D479B">
      <w:pPr>
        <w:pStyle w:val="TextoNormal"/>
      </w:pPr>
      <w:r w:rsidRPr="008D479B">
        <w:rPr>
          <w:rStyle w:val="NumeroAFNegritaCaracter"/>
        </w:rPr>
        <w:t>2</w:t>
      </w:r>
      <w:r>
        <w:t xml:space="preserve">. </w:t>
      </w:r>
      <w:r w:rsidRPr="008D479B">
        <w:rPr>
          <w:i/>
        </w:rPr>
        <w:t>Objeciones procesales planteadas por la entidad bancaria personada en el proceso de amparo</w:t>
      </w:r>
    </w:p>
    <w:p w14:paraId="662709A6" w14:textId="77777777" w:rsidR="008D479B" w:rsidRDefault="008D479B" w:rsidP="008D479B">
      <w:pPr>
        <w:pStyle w:val="TextoNormal"/>
      </w:pPr>
    </w:p>
    <w:p w14:paraId="46B90691" w14:textId="77777777" w:rsidR="008D479B" w:rsidRDefault="008D479B" w:rsidP="008D479B">
      <w:pPr>
        <w:pStyle w:val="TextoNormal"/>
      </w:pPr>
      <w:r>
        <w:t>La representación de la entidad crediticia BBVA cuestiona la especial trascendencia constitucional del recurso de amparo y alega que la demandante carece de interés legítimo en este proceso, debido a que su discrepancia se limita al pronunciamiento en costas en el proceso judicial, pretensión que, de ser estimada, no le permitiría obtener provecho material alguno por tener reconocido el beneficio de justicia gratuita.</w:t>
      </w:r>
    </w:p>
    <w:p w14:paraId="3236F7D2" w14:textId="77777777" w:rsidR="008D479B" w:rsidRDefault="008D479B" w:rsidP="008D479B">
      <w:pPr>
        <w:pStyle w:val="TextoNormal"/>
      </w:pPr>
    </w:p>
    <w:p w14:paraId="572E2FEE" w14:textId="77777777" w:rsidR="008D479B" w:rsidRDefault="008D479B" w:rsidP="008D479B">
      <w:pPr>
        <w:pStyle w:val="TextoNormal"/>
      </w:pPr>
      <w:r>
        <w:t>Los argumentos que sustentan ambas pretensiones no pueden ser compartidos, por lo que cabe anticipar que han de ser desestimadas:</w:t>
      </w:r>
    </w:p>
    <w:p w14:paraId="4C3DAE09" w14:textId="77777777" w:rsidR="008D479B" w:rsidRDefault="008D479B" w:rsidP="008D479B">
      <w:pPr>
        <w:pStyle w:val="TextoNormal"/>
      </w:pPr>
    </w:p>
    <w:p w14:paraId="1DCE1BC8" w14:textId="77777777" w:rsidR="008D479B" w:rsidRDefault="008D479B" w:rsidP="008D479B">
      <w:pPr>
        <w:pStyle w:val="TextoNormal"/>
      </w:pPr>
      <w:r>
        <w:t>(i) En el presente caso, este tribunal ha apreciado en la providencia de admisión a trámite, (al igual que lo hizo en el recurso resuelto por la STC 31/2019, de 28 de febrero, FJ 2) que la cuestión planteada en el recurso de amparo presenta especial trascendencia constitucional porque trasciende del caso concreto al plantear una cuestión jurídica de relevante y general repercusión social o económica [STC 155/2009, FJ 2 g)]. Como se ha anticipado ya, versa sobre la incidencia que, en la interpretación de las normas nacionales sobre el pronunciamiento en costas en el proceso civil, ha de tener la Directiva 93/13/CEE y la jurisprudencia del Tribunal de Justicia de la Unión Europea que la ha interpretado en ese aspecto específico. No se trata únicamente de hacer efectivo el principio de primacía del Derecho de la Unión Europea en su ámbito de aplicación (STC 31/2019, de 28 de febrero, FJ 2), sino que dicha incidencia se proyecta sobre todos aquellos consumidores que, como es notorio, vienen planteando en numerosos procesos civiles la supuesta abusividad de ciertas cláusulas recogidas en los contratos celebrados entre consumidores y entidades bancarias, cuestión esta que ha dado lugar a diversas intervenciones legislativas expresas dirigidas a la protección de los primeros, algunas de las cuales han sido ya analizadas en recientes pronunciamientos del Pleno de este tribunal (STC 156/2021, de 16 de septiembre). Dicha constatación justifica que debamos reiterar la apreciación hecha en la providencia de admisión, rechazando el cuestionamiento de la especial trascendencia constitucional del presente recurso de amparo.</w:t>
      </w:r>
    </w:p>
    <w:p w14:paraId="09B0A16B" w14:textId="77777777" w:rsidR="008D479B" w:rsidRDefault="008D479B" w:rsidP="008D479B">
      <w:pPr>
        <w:pStyle w:val="TextoNormal"/>
      </w:pPr>
    </w:p>
    <w:p w14:paraId="5CE868E0" w14:textId="2E794420" w:rsidR="008D479B" w:rsidRDefault="008D479B" w:rsidP="008D479B">
      <w:pPr>
        <w:pStyle w:val="TextoNormal"/>
      </w:pPr>
      <w:r>
        <w:t xml:space="preserve">(ii) La legitimación de la demandante en relación con el derecho fundamental a la tutela judicial efectiva alegado viene determinada, en esta sede de amparo, por su previa condición de parte en el proceso </w:t>
      </w:r>
      <w:r w:rsidRPr="008D479B">
        <w:rPr>
          <w:i/>
        </w:rPr>
        <w:t>a quo</w:t>
      </w:r>
      <w:r>
        <w:t xml:space="preserve"> [art. 46.1 b) LOTC], por lo que no puede ser fundadamente cuestionada.</w:t>
      </w:r>
    </w:p>
    <w:p w14:paraId="4D9B70FB" w14:textId="77777777" w:rsidR="008D479B" w:rsidRDefault="008D479B" w:rsidP="008D479B">
      <w:pPr>
        <w:pStyle w:val="TextoNormal"/>
      </w:pPr>
    </w:p>
    <w:p w14:paraId="5F5EE2A0" w14:textId="77777777" w:rsidR="008D479B" w:rsidRDefault="008D479B" w:rsidP="008D479B">
      <w:pPr>
        <w:pStyle w:val="TextoNormal"/>
      </w:pPr>
      <w:r w:rsidRPr="008D479B">
        <w:rPr>
          <w:rStyle w:val="NumeroAFNegritaCaracter"/>
        </w:rPr>
        <w:t>3</w:t>
      </w:r>
      <w:r>
        <w:t xml:space="preserve">. </w:t>
      </w:r>
      <w:r w:rsidRPr="008D479B">
        <w:rPr>
          <w:i/>
        </w:rPr>
        <w:t>Alegada vulneración del derecho a la tutela judicial efectiva. Doctrina aplicable</w:t>
      </w:r>
    </w:p>
    <w:p w14:paraId="7C01659B" w14:textId="77777777" w:rsidR="008D479B" w:rsidRDefault="008D479B" w:rsidP="008D479B">
      <w:pPr>
        <w:pStyle w:val="TextoNormal"/>
      </w:pPr>
    </w:p>
    <w:p w14:paraId="1F62E7A3" w14:textId="77777777" w:rsidR="008D479B" w:rsidRDefault="008D479B" w:rsidP="008D479B">
      <w:pPr>
        <w:pStyle w:val="TextoNormal"/>
      </w:pPr>
      <w:r>
        <w:t>a) De acuerdo con la reiterada y constante doctrina de este tribunal, el derecho a la tutela judicial efectiva integra, como una de sus manifestaciones, la de obtener de los jueces y tribunales una resolución fundada en Derecho sobre el fondo de las pretensiones oportunamente deducidas por las partes en el proceso (SSTC 206/1999, de 8 de noviembre, FJ 4; 198/2000, de 24 de julio, FJ 2, y 116/2001, de 21 de mayo, FJ 4, entre otras). También hemos señalado que es garantía frente a la arbitrariedad e irrazonabilidad de los poderes públicos, si bien no incluye el derecho al acierto judicial en la selección, interpretación y aplicación de las disposiciones legales, salvo que con ellas se afecte al contenido de otros derechos fundamentales distintos al de tutela judicial efectiva (SSTC 256/2000, de 30 de octubre, FJ 2, y 82/2001, de 26 de marzo, FJ 2). El recurso de amparo no es cauce idóneo para corregir posibles errores en la selección, interpretación y aplicación del ordenamiento jurídico al caso, so pena de desvirtuar su naturaleza (STC 226/2000, de 2 de octubre, FJ 3); sin embargo, el derecho alegado en el caso presente sí conlleva la garantía de que el fundamento de la decisión sea la interpretación y aplicación no arbitraria de las normas que se consideren adecuadas al caso, pues tanto si la aplicación de la legalidad es fruto de un error patente, como si fuera arbitraria, manifiestamente irrazonada o irrazonable no podría considerarse fundada en Derecho, dado que la aplicación de la legalidad sería tan solo una mera apariencia (SSTC 147/1999, de 4 de agosto, FJ 3; 25/2000, de 31 de enero, FJ 2; 87/2000, de 27 de marzo, FJ 3; 82/2001, de 26 de marzo, FJ 2; 221/2001, de 31 de octubre, FJ 6, y 40/2022, de 21 de marzo, FJ 7).</w:t>
      </w:r>
    </w:p>
    <w:p w14:paraId="7ED25D3C" w14:textId="77777777" w:rsidR="008D479B" w:rsidRDefault="008D479B" w:rsidP="008D479B">
      <w:pPr>
        <w:pStyle w:val="TextoNormal"/>
      </w:pPr>
    </w:p>
    <w:p w14:paraId="6F6A0167" w14:textId="77777777" w:rsidR="008D479B" w:rsidRDefault="008D479B" w:rsidP="008D479B">
      <w:pPr>
        <w:pStyle w:val="TextoNormal"/>
      </w:pPr>
      <w:r>
        <w:t>b) De forma más específica, en la STC 31/2019 antes citada (FJ 4), destacamos que a este tribunal “corresponde […] velar por el respeto del principio de primacía del Derecho de la Unión cuando […] exista una interpretación auténtica efectuada por el propio Tribunal de Justicia de la Unión Europea” [STC 232/2015, de 5 de noviembre, FJ 5 c)]. En consecuencia, añadimos que prescindir por “propia, autónoma y exclusiva decisión” del órgano judicial, de la interpretación de un precepto de una norma europea impuesta y señalada por el órgano competente para hacerlo con carácter vinculante, es decir el Tribunal de Justicia de la Unión Europea, vulnera el citado principio. Y, en tal medida, el desconocimiento y preterición de una norma de Derecho de la Unión, tal y como ha sido interpretada por el Tribunal de Justicia, “puede suponer una ‘selección irrazonable y arbitraria de una norma aplicable al proceso’, lo cual puede dar lugar a una vulneración del derecho a la tutela judicial efectiva”.</w:t>
      </w:r>
    </w:p>
    <w:p w14:paraId="25F6C373" w14:textId="77777777" w:rsidR="008D479B" w:rsidRDefault="008D479B" w:rsidP="008D479B">
      <w:pPr>
        <w:pStyle w:val="TextoNormal"/>
      </w:pPr>
    </w:p>
    <w:p w14:paraId="3DA7C1BF" w14:textId="61880D60" w:rsidR="008D479B" w:rsidRDefault="008D479B" w:rsidP="008D479B">
      <w:pPr>
        <w:pStyle w:val="TextoNormal"/>
      </w:pPr>
      <w:r>
        <w:t>Para evaluar esta supuesta vulneración, que ha sido alegada, resulta relevante tomar en consideración si, con carácter previo a la deliberación y fallo de la resolución impugnada, existía un pronunciamiento del Tribunal de Justicia de la Unión Europea en el que se fija o estima incumplida una interpretación auténtica de una norma del Derecho de la Unión efectuada por el citado Tribunal, así como su eventual recepción en la jurisprudencia nacional.</w:t>
      </w:r>
    </w:p>
    <w:p w14:paraId="3BD56BCF" w14:textId="77777777" w:rsidR="008D479B" w:rsidRDefault="008D479B" w:rsidP="008D479B">
      <w:pPr>
        <w:pStyle w:val="TextoNormal"/>
      </w:pPr>
    </w:p>
    <w:p w14:paraId="49FA9547" w14:textId="77777777" w:rsidR="008D479B" w:rsidRDefault="008D479B" w:rsidP="008D479B">
      <w:pPr>
        <w:pStyle w:val="TextoNormal"/>
      </w:pPr>
      <w:r w:rsidRPr="008D479B">
        <w:rPr>
          <w:rStyle w:val="NumeroAFNegritaCaracter"/>
        </w:rPr>
        <w:t>4</w:t>
      </w:r>
      <w:r>
        <w:t xml:space="preserve">. </w:t>
      </w:r>
      <w:r w:rsidRPr="008D479B">
        <w:rPr>
          <w:i/>
        </w:rPr>
        <w:t>Vulneración del derecho a la tutela judicial efectiva</w:t>
      </w:r>
    </w:p>
    <w:p w14:paraId="333FF8E4" w14:textId="77777777" w:rsidR="008D479B" w:rsidRDefault="008D479B" w:rsidP="008D479B">
      <w:pPr>
        <w:pStyle w:val="TextoNormal"/>
      </w:pPr>
    </w:p>
    <w:p w14:paraId="388ACF56" w14:textId="77777777" w:rsidR="008D479B" w:rsidRDefault="008D479B" w:rsidP="008D479B">
      <w:pPr>
        <w:pStyle w:val="TextoNormal"/>
      </w:pPr>
      <w:r>
        <w:t>El análisis de las actuaciones permite anticipar la estimación de la pretensión de amparo dado que la respuesta judicial recibida en materia de costas procesales puede ser calificada, en términos jurídicos, como manifiestamente irrazonada e irrazonable, habida cuenta de las siguientes previsiones normativas y pronunciamientos interpretativos previos:</w:t>
      </w:r>
    </w:p>
    <w:p w14:paraId="128152C2" w14:textId="77777777" w:rsidR="008D479B" w:rsidRDefault="008D479B" w:rsidP="008D479B">
      <w:pPr>
        <w:pStyle w:val="TextoNormal"/>
      </w:pPr>
    </w:p>
    <w:p w14:paraId="29D2DD90" w14:textId="77777777" w:rsidR="008D479B" w:rsidRDefault="008D479B" w:rsidP="008D479B">
      <w:pPr>
        <w:pStyle w:val="TextoNormal"/>
      </w:pPr>
      <w:r>
        <w:t>a) La cuestión que es objeto de este recurso de amparo se vincula en la demanda con la toma en consideración como norma aplicable de la Directiva 93/13/CEE del Consejo, de 5 de abril de 1993, sobre las cláusulas abusivas en los contratos celebrados con consumidores. Conforme a la misma (art. 6.1) “los Estados miembros establecerán que no vincularán al consumidor, en las condiciones estipuladas por sus derechos nacionales, las cláusulas abusivas que figuren en un contrato celebrado entre este y un profesional y dispondrán que el contrato siga siendo obligatorio para las partes en los mismos términos, si este puede subsistir sin las cláusulas abusivas”. En la propia Directiva se estipula que: “Los Estados miembros velarán por que, en interés de los consumidores y de los competidores profesionales, existan medios adecuados y eficaces para que cese el uso de cláusulas abusivas en los contratos celebrados entre profesionales y consumidores” (art. 7, apartado 1). De esta forma, el Derecho de la Unión Europea, aplicable al objeto del litigio seguido en la vía judicial precedente, reconoce a los consumidores el derecho a acudir a un juez para que declare el carácter abusivo de una cláusula contractual concertada con un profesional, y para que deje de serle aplicada.</w:t>
      </w:r>
    </w:p>
    <w:p w14:paraId="773CE062" w14:textId="77777777" w:rsidR="008D479B" w:rsidRDefault="008D479B" w:rsidP="008D479B">
      <w:pPr>
        <w:pStyle w:val="TextoNormal"/>
      </w:pPr>
    </w:p>
    <w:p w14:paraId="2297AC30" w14:textId="77777777" w:rsidR="008D479B" w:rsidRDefault="008D479B" w:rsidP="008D479B">
      <w:pPr>
        <w:pStyle w:val="TextoNormal"/>
      </w:pPr>
      <w:r>
        <w:t xml:space="preserve">En virtud del principio de autonomía procesal, a falta de una normativa específica de la Unión Europea en la materia, corresponde al ordenamiento jurídico interno de los Estados miembros establecer la forma y condiciones en la que se preste dicha protección a los consumidores. No obstante, como en el resto de materias, la regulación nacional establecida debe respetar los principios de tutela judicial, equivalencia y efectividad, de forma que sus previsiones no sean menos favorables que las aplicables a situaciones similares sometidas al Derecho interno —principio de equivalencia— y no hagan imposible en la práctica o excesivamente difícil el ejercicio de los derechos conferidos por el ordenamiento jurídico comunitario —principio de efectividad— (SSTJUE de 26 de octubre de 2006, asunto C-168/05, </w:t>
      </w:r>
      <w:r w:rsidRPr="008D479B">
        <w:rPr>
          <w:i/>
        </w:rPr>
        <w:t>Mostaza Claro</w:t>
      </w:r>
      <w:r>
        <w:t xml:space="preserve">, apartado 24, y de 31 de mayo de 2018, asunto C-483/16, </w:t>
      </w:r>
      <w:r w:rsidRPr="008D479B">
        <w:rPr>
          <w:i/>
        </w:rPr>
        <w:t>Sziber</w:t>
      </w:r>
      <w:r>
        <w:t>, apartado 35 y jurisprudencia citada).</w:t>
      </w:r>
    </w:p>
    <w:p w14:paraId="610B0C5C" w14:textId="77777777" w:rsidR="008D479B" w:rsidRDefault="008D479B" w:rsidP="008D479B">
      <w:pPr>
        <w:pStyle w:val="TextoNormal"/>
      </w:pPr>
    </w:p>
    <w:p w14:paraId="5531FE9B" w14:textId="77777777" w:rsidR="008D479B" w:rsidRDefault="008D479B" w:rsidP="008D479B">
      <w:pPr>
        <w:pStyle w:val="TextoNormal"/>
      </w:pPr>
      <w:r>
        <w:t xml:space="preserve">b) La toma en consideración de dichos criterios ha llevado al Tribunal de Justicia de la Unión Europea a analizar específicamente el efecto disuasor que sobre los consumidores pueden tener los costes de un proceso judicial en el que se puede hacer valer el carácter abusivo de cláusulas contractuales no negociadas concertadas con profesionales. Al margen de un primer pronunciamiento realizado en la STJUE de 13 de septiembre de 2018, asunto C-176/17, </w:t>
      </w:r>
      <w:r w:rsidRPr="008D479B">
        <w:rPr>
          <w:i/>
        </w:rPr>
        <w:t>Profi Credit Polska</w:t>
      </w:r>
      <w:r>
        <w:t xml:space="preserve">, en el que, interpretando la Directiva, el tribunal ya advirtió de que los requisitos procesales relacionados con los gastos de oposición a un requerimiento de pago por incumplimiento de obligaciones contractuales pueden menoscabar el ejercicio de los derechos garantizados en ella, resultan relevantes para la resolución de este recurso los pronunciamientos recogidos en la STJUE de 16 de julio de 2020, asuntos acumulados C-224/19 y C-259/19, </w:t>
      </w:r>
      <w:r w:rsidRPr="008D479B">
        <w:rPr>
          <w:i/>
        </w:rPr>
        <w:t>CY c. Caixabank, S.A., y LG y PK c. Banco Bilbao Vizcaya Argentaria, S.A</w:t>
      </w:r>
      <w:r>
        <w:t xml:space="preserve">.; así como en la posterior STJUE de 7 de abril de 2022, asunto </w:t>
      </w:r>
      <w:r w:rsidRPr="008D479B">
        <w:rPr>
          <w:i/>
        </w:rPr>
        <w:t>EL y TP c. Caixabank, S.A</w:t>
      </w:r>
      <w:r>
        <w:t>., pues ambas resoluciones vienen referidas específicamente a las normas procesales españolas sobre la condena en costas y su tasación.</w:t>
      </w:r>
    </w:p>
    <w:p w14:paraId="2402B1EA" w14:textId="77777777" w:rsidR="008D479B" w:rsidRDefault="008D479B" w:rsidP="008D479B">
      <w:pPr>
        <w:pStyle w:val="TextoNormal"/>
      </w:pPr>
    </w:p>
    <w:p w14:paraId="509C3CE4" w14:textId="77777777" w:rsidR="008D479B" w:rsidRDefault="008D479B" w:rsidP="008D479B">
      <w:pPr>
        <w:pStyle w:val="TextoNormal"/>
      </w:pPr>
      <w:r>
        <w:t>Específicamente en la primera de ellas (STJUE de 16 de julio de 2020), se valoró la incidencia que sobre los objetivos de la Directiva 93/13/CEE podían tener la regla del vencimiento objetivo en costas, y sus excepciones, establecidas en el art. 394 LEC. El Tribunal de Justicia de la Unión Europea constató que la aplicación de dicha previsión normativa podría tener el efecto de que no se condenara al profesional al pago íntegro de las costas cuando se estime plenamente la acción de nulidad de una cláusula contractual abusiva ejercitada por un consumidor, pero solo se estime parcialmente la acción de restitución de las cantidades pagadas en virtud de esta cláusula. Se declaró en aquel supuesto que tal solución no es compatible con el principio de efectividad, pues posibilita hacer que recaigan sobre el consumidor las costas de un procedimiento en el que se haya estimado la pretensión principal sobre el carácter abusivo de una cláusula contractual (§ 98). Para el tribunal (§ 99) “el artículo 6, apartado 1, y el artículo 7, apartado 1, de la Directiva 93/13/CEE, así como el principio de efectividad, deben interpretarse en el sentido de que se oponen a un régimen que permite que el consumidor cargue con una parte de las costas procesales en función del importe de las cantidades indebidamente pagadas que le son restituidas a raíz de la declaración de la nulidad de una cláusula contractual por tener carácter abusivo, dado que tal régimen crea un obstáculo significativo que puede disuadir a los consumidores de ejercer el derecho, conferido por la Directiva 93/13/CEE, a un control judicial efectivo del carácter potencialmente abusivo de cláusulas contractuales”.</w:t>
      </w:r>
    </w:p>
    <w:p w14:paraId="5E063391" w14:textId="77777777" w:rsidR="008D479B" w:rsidRDefault="008D479B" w:rsidP="008D479B">
      <w:pPr>
        <w:pStyle w:val="TextoNormal"/>
      </w:pPr>
    </w:p>
    <w:p w14:paraId="6E4BE9EF" w14:textId="77777777" w:rsidR="008D479B" w:rsidRDefault="008D479B" w:rsidP="008D479B">
      <w:pPr>
        <w:pStyle w:val="TextoNormal"/>
      </w:pPr>
      <w:r>
        <w:t>c) La citada perspectiva ha sido tomada en consideración también por el Pleno de este tribunal en la STC 156/2021, de 16 de septiembre, FJ 11, para declarar inconstitucional y contraria al derecho a la tutela judicial efectiva la previsión excepcional sobre condena en costas en caso de allanamiento total o parcial de las entidades de crédito (art. 4.2), en los supuestos a que se refiere el Real Decreto-ley 1/2017, de 20 de enero, de medidas urgentes de protección de consumidores en materia de cláusulas suelo. Dicha norma sería aplicable cuando el consumidor no haya acudido al procedimiento extrajudicial de reclamación previa ante la entidad financiera regulado en la norma.</w:t>
      </w:r>
    </w:p>
    <w:p w14:paraId="32D405E1" w14:textId="77777777" w:rsidR="008D479B" w:rsidRDefault="008D479B" w:rsidP="008D479B">
      <w:pPr>
        <w:pStyle w:val="TextoNormal"/>
      </w:pPr>
    </w:p>
    <w:p w14:paraId="532FF3E1" w14:textId="77777777" w:rsidR="008D479B" w:rsidRDefault="008D479B" w:rsidP="008D479B">
      <w:pPr>
        <w:pStyle w:val="TextoNormal"/>
      </w:pPr>
      <w:r>
        <w:t>Tras recordar que el Derecho de la Unión Europea no puede considerarse como canon de constitucionalidad de las normas de nuestro ordenamiento interno, pero sí puede servir para confirmar la irrazonabilidad de las consecuencias que supone una previsión normativa, y tras apreciar que la norma cuestionada introducía una irrazonable diferencia de trato en relación con los supuestos en que sí se haya acudido a dicho procedimiento extrajudicial (art. 14 CE), declaramos entonces, con apoyo en los pronunciamientos de la ya citada STJUE de 16 de julio de 2020, que “si, mediando el allanamiento de la entidad financiera, el consumidor tiene que hacer frente a los gastos ocasionados por la reclamación en vía judicial, esa reposición de su situación resultará meramente ilusoria, en cuanto no quedará indemne frente a la cláusula abusiva que le fue impuesta al concertar el crédito con garantía hipotecaria”, lo que produce un efecto disuasorio del ejercicio de la reclamación judicial.</w:t>
      </w:r>
    </w:p>
    <w:p w14:paraId="69193201" w14:textId="77777777" w:rsidR="008D479B" w:rsidRDefault="008D479B" w:rsidP="008D479B">
      <w:pPr>
        <w:pStyle w:val="TextoNormal"/>
      </w:pPr>
    </w:p>
    <w:p w14:paraId="3950EACD" w14:textId="77777777" w:rsidR="008D479B" w:rsidRDefault="008D479B" w:rsidP="008D479B">
      <w:pPr>
        <w:pStyle w:val="TextoNormal"/>
      </w:pPr>
      <w:r>
        <w:t>d) También destacamos que no sería conciliable con la debida tutela del interés de los consumidores (art. 24.1 CE en relación con el art. 51.1 CE) privar al órgano judicial de la función de valorar la conducta de la entidad financiera demandada, a efectos de reparto de costas, por el mero hecho de que el consumidor no hubiera intentado la vía de la reclamación previa, pues la entidad financiera que se vale de una cláusula cuya naturaleza abusiva ha sido ya declarada por la jurisprudencia es la genuina responsable de la situación litigiosa generada por su uso. Dijimos por ello que no se puede entender, desde una perspectiva constitucional, que se relativicen los derechos del consumidor en el caso de que acuda a la vía judicial para reclamar lo indebidamente abonado, sin haber intentado antes la reclamación previa, “ya que se va a encontrar en la más que probable tesitura de tener que hacer frente a los gastos de su representación y defensa, puesto que a la entidad bancaria le bastará con allanarse a la demanda, sin que en tal caso pueda el órgano judicial apreciar la existencia de mala fe e imponerle las costas”, lo que “favorece de manera notoria a quien impuso unilateralmente la cláusula abusiva y perjudica a quien sufrió tal imposición y debe reclamar lo indebidamente abonado para obtener su restitución, consecuencia que no solo se manifiesta carente de toda razonabilidad, sino que, además, supone una traba excesiva y desproporcionada para los consumidores” [STC 156/2021, FJ 11 b) (ii)].</w:t>
      </w:r>
    </w:p>
    <w:p w14:paraId="42BD8B70" w14:textId="77777777" w:rsidR="008D479B" w:rsidRDefault="008D479B" w:rsidP="008D479B">
      <w:pPr>
        <w:pStyle w:val="TextoNormal"/>
      </w:pPr>
    </w:p>
    <w:p w14:paraId="7849E6F7" w14:textId="77777777" w:rsidR="008D479B" w:rsidRDefault="008D479B" w:rsidP="008D479B">
      <w:pPr>
        <w:pStyle w:val="TextoNormal"/>
      </w:pPr>
      <w:r>
        <w:t>La reciente STJUE de 13 de julio de 2023, asunto C-35/22, parte de la misma perspectiva al declarar que el art. 6.1 de la Directiva 93/13/CEE no se opone a una normativa de reparto de costas en caso de allanamiento como la española, “a condición de que el juez nacional competente pueda tener en cuenta la existencia de una jurisprudencia nacional reiterada que declara abusivas cláusulas análogas a aquella y la actitud del referido profesional para concluir que este ha actuado de mala fe y, en su caso, condenarlo consiguientemente a cargar con esas costas”. Y afirma a este respecto que “dado el conocimiento que sobre esta materia cabe esperar de las entidades de crédito, conjugado con la posición de inferioridad de los consumidores respecto de tales entidades”, conductas consistentes en esperar a que sea el consumidor quien inicie la vía judicial, para allanarse y así evitar la condena en costas “pueden constituir indicios serios de mala fe de dichas entidades” por lo que “es preciso que el juez competente pueda efectuar las comprobaciones necesarias al efecto y, en su caso, extraer las consecuencias que de ellas se deriven” (apartado 37).</w:t>
      </w:r>
    </w:p>
    <w:p w14:paraId="01E0E3C0" w14:textId="77777777" w:rsidR="008D479B" w:rsidRDefault="008D479B" w:rsidP="008D479B">
      <w:pPr>
        <w:pStyle w:val="TextoNormal"/>
      </w:pPr>
    </w:p>
    <w:p w14:paraId="28517FB4" w14:textId="77777777" w:rsidR="008D479B" w:rsidRDefault="008D479B" w:rsidP="008D479B">
      <w:pPr>
        <w:pStyle w:val="TextoNormal"/>
      </w:pPr>
      <w:r>
        <w:t>e) Por último, de forma específica, la Sala de lo Civil del Tribunal Supremo ha excluido en las SSTS 419/2017, de 4 de julio, y 472/2020, de 17 de septiembre, que, en los litigios sobre cláusulas abusivas en los que la demanda del consumidor resulte estimada, pueda aplicarse la excepción al principio de vencimiento objetivo en materia de costas basada en la existencia de serias dudas de derecho. Como puede observarse, dichas resoluciones —como lo fue la STJUE de 16 de julio de 2020— son anteriores en el tiempo a la resolución judicial de apelación que es impugnada en el presente recurso de amparo.</w:t>
      </w:r>
    </w:p>
    <w:p w14:paraId="722F6EAD" w14:textId="77777777" w:rsidR="008D479B" w:rsidRDefault="008D479B" w:rsidP="008D479B">
      <w:pPr>
        <w:pStyle w:val="TextoNormal"/>
      </w:pPr>
    </w:p>
    <w:p w14:paraId="34A6ED1B" w14:textId="77777777" w:rsidR="008D479B" w:rsidRDefault="008D479B" w:rsidP="008D479B">
      <w:pPr>
        <w:pStyle w:val="TextoNormal"/>
      </w:pPr>
      <w:r>
        <w:t>Para el Tribunal Supremo, el criterio decisivo aplicable en esta materia es el respeto al principio de efectividad del Derecho de la Unión Europea que, a su vez, exige dar cumplimiento a otros dos principios: el de no vinculación de los consumidores a las cláusulas abusivas (art. 6.1 de la Directiva) y el del efecto disuasorio del uso de cláusulas abusivas en los contratos no negociados celebrados con los consumidores (art. 7.1 de la Directiva). Aprecia el tribunal que “si en virtud de la excepción a la regla general del vencimiento por la existencia de serias dudas de hecho o de derecho, el consumidor, pese a vencer en el litigio, tuviera que pagar íntegramente los gastos derivados de su defensa y representación, no se restablecería la situación de hecho y de derecho que se habría dado si no hubiera existido la cláusula abusiva y, por tanto, el consumidor no quedaría indemne pese a contar a su favor con una norma procesal nacional cuya regla general le eximiría de esos gastos. En suma, se produciría un efecto disuasorio inverso, pues no se disuadiría a los bancos de incluir las cláusulas abusivas en los préstamos hipotecarios, sino que se disuadiría a los consumidores de promover litigios por cantidades moderadas”. Y concluye destacando que la aplicación de la excepción al principio de vencimiento objetivo por la concurrencia de serias dudas de derecho (art. 394.1 LEC), hace imposible o dificulta en exceso la efectividad del Derecho de la Unión Europea, pues “trae como consecuencia que el consumidor, pese a obtener la declaración de que la cláusula es abusiva y que no queda vinculado a la misma, deba cargar con parte de las costas procesales, concretamente, las causadas a su instancia y las comunes por mitad”.</w:t>
      </w:r>
    </w:p>
    <w:p w14:paraId="572810CE" w14:textId="77777777" w:rsidR="008D479B" w:rsidRDefault="008D479B" w:rsidP="008D479B">
      <w:pPr>
        <w:pStyle w:val="TextoNormal"/>
      </w:pPr>
    </w:p>
    <w:p w14:paraId="0413FE9D" w14:textId="77777777" w:rsidR="008D479B" w:rsidRDefault="008D479B" w:rsidP="008D479B">
      <w:pPr>
        <w:pStyle w:val="TextoNormal"/>
      </w:pPr>
      <w:r>
        <w:t>En conclusión, las anteriores apreciaciones siguen una jurisprudencia reiterada del Tribunal de Justicia de la Unión Europea, y han sido ya tomadas en consideración por este tribunal para declarar la inconstitucionalidad de algunas normas excepcionales sobre imposición de costas en procesos en los que se dilucida o reclama el carácter abusivo de las cláusulas contractuales. Además, han dado lugar a pronunciamientos contestes del Tribunal Supremo sobre la necesidad de respetar el principio de efectividad del Derecho de la Unión al aplicar en este ámbito las normas nacionales sobre costas procesales; lo que permite apreciar el carácter manifiestamente irrazonable de la resolución impugnada en tanto que, pese a haber sido declarado de oficio el carácter abusivo de dos cláusulas del contrato de préstamo cuyo incumplimiento parcial dio lugar a la ejecución, mantuvo la aplicación de la excepción prevista en el art. 394.1 LEC al criterio del vencimiento objetivo, consistente en la existencia de serias dudas de derecho. Resulta relevante en esta apreciación que tanto la jurisprudencia del Tribunal de Justicia de la Unión Europea como la del Tribunal Supremo que ha sido reseñada sea anterior al dictado del auto 310/2020 de 7 de octubre de 2020, que resolvió el recurso de apelación, por lo que aquellos razonamientos y conclusiones pudieron entonces ser tenidos en cuenta al dictar la resolución cuestionada.</w:t>
      </w:r>
    </w:p>
    <w:p w14:paraId="4E188A8A" w14:textId="77777777" w:rsidR="008D479B" w:rsidRDefault="008D479B" w:rsidP="008D479B">
      <w:pPr>
        <w:pStyle w:val="TextoNormal"/>
      </w:pPr>
    </w:p>
    <w:p w14:paraId="5E9F60AC" w14:textId="576DB1A9" w:rsidR="008D479B" w:rsidRDefault="008D479B" w:rsidP="008D479B">
      <w:pPr>
        <w:pStyle w:val="TextoNormal"/>
      </w:pPr>
      <w:r>
        <w:t>En consecuencia, procede la estimación del recurso de amparo, que conlleva en este caso la nulidad del auto núm. 310/2020, de 7 de octubre, dictado en apelación por la Sección Novena de la Audiencia Provincial de Madrid, con retroacción al momento anterior a su pronunciamiento para que el órgano judicial dicte una nueva respetuosa con el derecho fundamental vulnerado.</w:t>
      </w:r>
    </w:p>
    <w:p w14:paraId="5355171F" w14:textId="77777777" w:rsidR="008D479B" w:rsidRDefault="008D479B" w:rsidP="008D479B">
      <w:pPr>
        <w:pStyle w:val="TextoNormal"/>
      </w:pPr>
    </w:p>
    <w:p w14:paraId="422F2E12" w14:textId="77777777" w:rsidR="008D479B" w:rsidRDefault="008D479B" w:rsidP="008D479B">
      <w:pPr>
        <w:pStyle w:val="TextoNormalCentrado"/>
        <w:keepNext/>
      </w:pPr>
      <w:r>
        <w:t>FALLO</w:t>
      </w:r>
    </w:p>
    <w:p w14:paraId="74548EFE" w14:textId="6AFE8B34" w:rsidR="008D479B" w:rsidRDefault="008D479B" w:rsidP="008D479B">
      <w:pPr>
        <w:pStyle w:val="TextoNormalCentrado"/>
        <w:keepNext/>
      </w:pPr>
    </w:p>
    <w:p w14:paraId="15DCC84B" w14:textId="77777777" w:rsidR="008D479B" w:rsidRDefault="008D479B" w:rsidP="008D479B">
      <w:pPr>
        <w:pStyle w:val="TextoNormal"/>
      </w:pPr>
      <w:r>
        <w:t>En atención a todo lo expuesto, el Tribunal Constitucional, por la autoridad que le confiere la Constitución de la Nación española, ha decidido estimar el recurso de amparo interpuesto por doña Tatiana Castillo Medina, en la representación que ostenta, y, en su virtud:</w:t>
      </w:r>
    </w:p>
    <w:p w14:paraId="617BEE63" w14:textId="77777777" w:rsidR="008D479B" w:rsidRDefault="008D479B" w:rsidP="008D479B">
      <w:pPr>
        <w:pStyle w:val="TextoNormal"/>
      </w:pPr>
    </w:p>
    <w:p w14:paraId="2E5FDD2B" w14:textId="77777777" w:rsidR="008D479B" w:rsidRDefault="008D479B" w:rsidP="008D479B">
      <w:pPr>
        <w:pStyle w:val="TextoNormal"/>
      </w:pPr>
      <w:r>
        <w:t>1º Declarar que ha sido vulnerado el derecho fundamental de la demandante de amparo a la tutela judicial efectiva sin indefensión (art. 24.1 CE).</w:t>
      </w:r>
    </w:p>
    <w:p w14:paraId="5F8DF199" w14:textId="77777777" w:rsidR="008D479B" w:rsidRDefault="008D479B" w:rsidP="008D479B">
      <w:pPr>
        <w:pStyle w:val="TextoNormal"/>
      </w:pPr>
    </w:p>
    <w:p w14:paraId="25C804C4" w14:textId="77777777" w:rsidR="008D479B" w:rsidRDefault="008D479B" w:rsidP="008D479B">
      <w:pPr>
        <w:pStyle w:val="TextoNormal"/>
      </w:pPr>
      <w:r>
        <w:t>2º Restablecerla en su derecho y, en consecuencia, declarar la nulidad del auto núm. 310/2020, de 7 de octubre, de la Audiencia Provincial de Madrid (Sección Novena), dictado en el rollo de apelación núm. 425-2020.</w:t>
      </w:r>
    </w:p>
    <w:p w14:paraId="0E3957EA" w14:textId="77777777" w:rsidR="008D479B" w:rsidRDefault="008D479B" w:rsidP="008D479B">
      <w:pPr>
        <w:pStyle w:val="TextoNormal"/>
      </w:pPr>
    </w:p>
    <w:p w14:paraId="1311207E" w14:textId="7BD7A975" w:rsidR="008D479B" w:rsidRDefault="008D479B" w:rsidP="008D479B">
      <w:pPr>
        <w:pStyle w:val="TextoNormal"/>
      </w:pPr>
      <w:r>
        <w:t>3º Retrotraer las actuaciones al momento inmediatamente anterior al pronunciamiento de la citada resolución para que el órgano judicial dicte una nueva respetuosa con el derecho fundamental vulnerado.</w:t>
      </w:r>
    </w:p>
    <w:p w14:paraId="073A9982" w14:textId="77777777" w:rsidR="008D479B" w:rsidRDefault="008D479B" w:rsidP="008D479B">
      <w:pPr>
        <w:pStyle w:val="TextoNormal"/>
      </w:pPr>
    </w:p>
    <w:p w14:paraId="1BB857AB" w14:textId="77777777" w:rsidR="008D479B" w:rsidRDefault="008D479B" w:rsidP="008D479B">
      <w:pPr>
        <w:pStyle w:val="TextoNormal"/>
      </w:pPr>
      <w:r>
        <w:t>Publíquese esta sentencia en el “Boletín Oficial del Estado”.</w:t>
      </w:r>
    </w:p>
    <w:p w14:paraId="6CA13D87" w14:textId="77777777" w:rsidR="008D479B" w:rsidRDefault="008D479B" w:rsidP="008D479B">
      <w:pPr>
        <w:pStyle w:val="TextoNormal"/>
      </w:pPr>
      <w:r>
        <w:t>Dada en Madrid, a once de septiembre de dos mil veintitrés.</w:t>
      </w:r>
    </w:p>
    <w:p w14:paraId="3BC35FB0" w14:textId="513AB0DD" w:rsidR="008D479B" w:rsidRDefault="008D479B">
      <w:pPr>
        <w:spacing w:after="160" w:line="278" w:lineRule="auto"/>
        <w:rPr>
          <w:rFonts w:ascii="Times New Roman" w:eastAsia="Times New Roman" w:hAnsi="Times New Roman" w:cs="Times New Roman"/>
          <w:sz w:val="24"/>
          <w:szCs w:val="24"/>
          <w:lang w:eastAsia="es-ES"/>
        </w:rPr>
      </w:pPr>
      <w:r>
        <w:br w:type="page"/>
      </w:r>
    </w:p>
    <w:p w14:paraId="1782DC85" w14:textId="77777777" w:rsidR="008D479B" w:rsidRDefault="008D479B" w:rsidP="008D479B">
      <w:pPr>
        <w:pStyle w:val="TtuloResolucin"/>
      </w:pPr>
      <w:bookmarkStart w:id="17" w:name="SENTENCIA_2023_92"/>
      <w:r>
        <w:t>SENTENCIA 92/2023, de 11 de septiembre de 2023</w:t>
      </w:r>
    </w:p>
    <w:bookmarkEnd w:id="17"/>
    <w:p w14:paraId="572D8396" w14:textId="77777777" w:rsidR="008D479B" w:rsidRDefault="008D479B" w:rsidP="008D479B">
      <w:pPr>
        <w:pStyle w:val="TtuloResolucin"/>
      </w:pPr>
      <w:r>
        <w:t>Sala Segunda</w:t>
      </w:r>
    </w:p>
    <w:p w14:paraId="399F619C" w14:textId="77777777" w:rsidR="008D479B" w:rsidRDefault="008D479B" w:rsidP="008D479B">
      <w:pPr>
        <w:pStyle w:val="TtuloBOE"/>
      </w:pPr>
      <w:r>
        <w:t>(BOE núm. 244, de 12 de octubre de 2023)</w:t>
      </w:r>
    </w:p>
    <w:p w14:paraId="42F8E854" w14:textId="77777777" w:rsidR="008D479B" w:rsidRDefault="008D479B" w:rsidP="008D479B">
      <w:pPr>
        <w:pStyle w:val="TextoNormalCentrado"/>
      </w:pPr>
      <w:r>
        <w:t>ECLI:ES:TC:2023:92</w:t>
      </w:r>
    </w:p>
    <w:p w14:paraId="1EB71900" w14:textId="7146C4CD" w:rsidR="008D479B" w:rsidRDefault="008D479B" w:rsidP="008D479B">
      <w:pPr>
        <w:pStyle w:val="TextoNormalCentrado"/>
      </w:pPr>
    </w:p>
    <w:p w14:paraId="0AF960FF" w14:textId="77777777" w:rsidR="008D479B" w:rsidRDefault="008D479B" w:rsidP="008D479B">
      <w:pPr>
        <w:pStyle w:val="SntesisDescriptiva"/>
      </w:pPr>
      <w:r>
        <w:t>Recurso de amparo 3456-2021. Promovido por don Abderrahman El Younoussi respecto de las resoluciones de la Sala de lo Penal del Tribunal Supremo, la Audiencia Provincial de Barcelona y un juzgado de lo penal de esta capital que le condenaron por un delito de tráfico de drogas.</w:t>
      </w:r>
    </w:p>
    <w:p w14:paraId="1BC2A7BD" w14:textId="2E082ED5" w:rsidR="008D479B" w:rsidRDefault="008D479B" w:rsidP="008D479B">
      <w:pPr>
        <w:pStyle w:val="SntesisDescriptiva"/>
      </w:pPr>
    </w:p>
    <w:p w14:paraId="31FF25EA" w14:textId="77777777" w:rsidR="008D479B" w:rsidRDefault="008D479B" w:rsidP="008D479B">
      <w:pPr>
        <w:pStyle w:val="SntesisAnaltica"/>
      </w:pPr>
      <w:r>
        <w:t>Vulneración del derecho a la intimidad personal; alegada vulneración del derecho a la tutela judicial efectiva (acceso al recurso): captación de imágenes en el interior de un garaje privado llevada a cabo sin autorización judicial; falta de agotamiento de la vía judicial previa al no haberse promovido el incidente de nulidad de actuaciones. Voto particular.</w:t>
      </w:r>
    </w:p>
    <w:p w14:paraId="29AEFC45" w14:textId="5006DAA7" w:rsidR="008D479B" w:rsidRDefault="008D479B" w:rsidP="008D479B">
      <w:pPr>
        <w:pStyle w:val="SntesisAnaltica"/>
      </w:pPr>
    </w:p>
    <w:p w14:paraId="07FE9D67" w14:textId="084DDEF3" w:rsidR="008D479B" w:rsidRDefault="008D479B" w:rsidP="008D479B">
      <w:pPr>
        <w:pStyle w:val="Extracto"/>
      </w:pPr>
      <w:r>
        <w:t>1.</w:t>
      </w:r>
      <w:r>
        <w:tab/>
        <w:t>Resulta relevante, como criterio que debe tenerse en cuenta para determinar cuándo nos encontramos ante manifestaciones de la vida privada protegible frente a intromisiones ilegítimas, el de las expectativas razonables que la propia persona, o cualquier otra en su lugar en esa circunstancia, pueda tener de encontrarse al resguardo de la observación o del escrutinio ajeno (STC 12/2012) [FJ 6].</w:t>
      </w:r>
    </w:p>
    <w:p w14:paraId="6A4195D1" w14:textId="77777777" w:rsidR="008D479B" w:rsidRDefault="008D479B" w:rsidP="008D479B">
      <w:pPr>
        <w:pStyle w:val="Extracto"/>
      </w:pPr>
    </w:p>
    <w:p w14:paraId="10F654C0" w14:textId="7CA4D36D" w:rsidR="008D479B" w:rsidRDefault="008D479B" w:rsidP="008D479B">
      <w:pPr>
        <w:pStyle w:val="Extracto"/>
      </w:pPr>
      <w:r>
        <w:t>2.</w:t>
      </w:r>
      <w:r>
        <w:tab/>
        <w:t>Conforme al criterio de expectativa razonable de privacidad, el garaje pertenece al ámbito de la intimidad protegida por el art. 18.1 CE, pues se trata de un lugar cerrado que es, además, una propiedad privada de acceso restringido (a los titulares de las plazas de aparcamiento y a terceros a los que aquellos permitan la entrada); y por tanto es patente que se trata de un lugar en el que se tiene una expectativa razonable de no ser escuchado u observado subrepticiamente por terceras personas [FJ 6].</w:t>
      </w:r>
    </w:p>
    <w:p w14:paraId="487163EE" w14:textId="77777777" w:rsidR="008D479B" w:rsidRDefault="008D479B" w:rsidP="008D479B">
      <w:pPr>
        <w:pStyle w:val="Extracto"/>
      </w:pPr>
    </w:p>
    <w:p w14:paraId="20E18801" w14:textId="7F58FACC" w:rsidR="008D479B" w:rsidRDefault="008D479B" w:rsidP="008D479B">
      <w:pPr>
        <w:pStyle w:val="Extracto"/>
      </w:pPr>
      <w:r>
        <w:t>3.</w:t>
      </w:r>
      <w:r>
        <w:tab/>
        <w:t>Ha de existir expresa habilitación legal para que la policía judicial pueda practicar la injerencia en los derechos a la intimidad o a la propia imagen de una persona, en el marco de una investigación dirigida al esclarecimiento de la autoría, causas y circunstancias de un delito. Pues toda injerencia en el ámbito de los derechos fundamentales y libertades públicas, que incida directamente en su desarrollo (art. 81.1 CE), o limite o condicione su ejercicio (art. 53.1 CE), precisa una habilitación legal [FJ 7].</w:t>
      </w:r>
    </w:p>
    <w:p w14:paraId="22833FC8" w14:textId="77777777" w:rsidR="008D479B" w:rsidRDefault="008D479B" w:rsidP="008D479B">
      <w:pPr>
        <w:pStyle w:val="Extracto"/>
      </w:pPr>
    </w:p>
    <w:p w14:paraId="4FFFEDA2" w14:textId="107BDF66" w:rsidR="008D479B" w:rsidRDefault="008D479B" w:rsidP="008D479B">
      <w:pPr>
        <w:pStyle w:val="Extracto"/>
      </w:pPr>
      <w:r>
        <w:t>4.</w:t>
      </w:r>
      <w:r>
        <w:tab/>
        <w:t>El apartado primero del art. 588 quinquies a) LECrim se refiere de manera incontrovertible a la captación de imágenes en lugares o espacios públicos, no en lugares o espacios de otra naturaleza, como puedan serlo los garajes privados, aunque estos sean utilizados por una pluralidad de personas [FJ 8].</w:t>
      </w:r>
    </w:p>
    <w:p w14:paraId="5FEC8959" w14:textId="77777777" w:rsidR="008D479B" w:rsidRDefault="008D479B" w:rsidP="008D479B">
      <w:pPr>
        <w:pStyle w:val="Extracto"/>
      </w:pPr>
    </w:p>
    <w:p w14:paraId="7F8DAAE9" w14:textId="78E2B4A3" w:rsidR="008D479B" w:rsidRDefault="008D479B" w:rsidP="008D479B">
      <w:pPr>
        <w:pStyle w:val="Extracto"/>
      </w:pPr>
      <w:r>
        <w:t>5.</w:t>
      </w:r>
      <w:r>
        <w:tab/>
        <w:t>La eficacia en la persecución del delito, cuya legitimidad es incuestionable, no puede imponerse, sin embargo, a costa de los derechos y libertades fundamentales (STC 341/1993) [FJ 8].</w:t>
      </w:r>
    </w:p>
    <w:p w14:paraId="18EF5CD4" w14:textId="77777777" w:rsidR="008D479B" w:rsidRDefault="008D479B" w:rsidP="008D479B">
      <w:pPr>
        <w:pStyle w:val="Extracto"/>
      </w:pPr>
    </w:p>
    <w:p w14:paraId="0778F355" w14:textId="2E9863C7" w:rsidR="008D479B" w:rsidRDefault="008D479B" w:rsidP="008D479B">
      <w:pPr>
        <w:pStyle w:val="Extracto"/>
      </w:pPr>
      <w:r>
        <w:t>6.</w:t>
      </w:r>
      <w:r>
        <w:tab/>
        <w:t>En ausencia completa de habilitación legal para la injerencia de la policía judicial en el derecho a la propia imagen, como consecuencia de la grabación de imágenes sin autorización judicial en el interior del garaje de una comunidad de vecinos, vulnera el derecho a la intimidad personal (art. 18.1 CE), deviniendo nula la prueba de cargo obtenida por ese medio [FJ 8].</w:t>
      </w:r>
    </w:p>
    <w:p w14:paraId="40C358F3" w14:textId="77777777" w:rsidR="008D479B" w:rsidRDefault="008D479B" w:rsidP="008D479B">
      <w:pPr>
        <w:pStyle w:val="Extracto"/>
      </w:pPr>
    </w:p>
    <w:p w14:paraId="049B05C2" w14:textId="6B91B9FD" w:rsidR="008D479B" w:rsidRDefault="008D479B" w:rsidP="008D479B">
      <w:pPr>
        <w:pStyle w:val="Extracto"/>
      </w:pPr>
      <w:r>
        <w:t>7.</w:t>
      </w:r>
      <w:r>
        <w:tab/>
        <w:t>No corresponde a este Tribunal examinar si existe o no conexión de antijuridicidad con la totalidad de las pruebas de cargo practicadas, así como determinar si, excluida la prueba relativa al derecho fundamental vulnerado, restan otras constitucionalmente legítimas capaces de sustentar la declaración de culpabilidad y la condena del recurrente; pues son los jueces y tribunales del orden penal los únicos que tienen un conocimiento preciso y completo, adquirido con suficientes garantías, del contenido de la actividad probatoria practicada en el juicio oral (SSTC 189/1998 o 262/2006) [FJ 9].</w:t>
      </w:r>
    </w:p>
    <w:p w14:paraId="1BFDFC49" w14:textId="77777777" w:rsidR="008D479B" w:rsidRDefault="008D479B" w:rsidP="008D479B">
      <w:pPr>
        <w:pStyle w:val="Extracto"/>
      </w:pPr>
    </w:p>
    <w:p w14:paraId="7A129188" w14:textId="77777777" w:rsidR="008D479B" w:rsidRDefault="008D479B" w:rsidP="008D479B">
      <w:pPr>
        <w:pStyle w:val="Extracto"/>
      </w:pPr>
    </w:p>
    <w:p w14:paraId="6F91819B" w14:textId="77777777" w:rsidR="008D479B" w:rsidRDefault="008D479B" w:rsidP="008D479B">
      <w:pPr>
        <w:pStyle w:val="TextoNormal"/>
      </w:pPr>
      <w: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14:paraId="28FA7506" w14:textId="5426CCF4" w:rsidR="008D479B" w:rsidRDefault="008D479B" w:rsidP="008D479B">
      <w:pPr>
        <w:pStyle w:val="TextoNormal"/>
      </w:pPr>
    </w:p>
    <w:p w14:paraId="76930774" w14:textId="77777777" w:rsidR="008D479B" w:rsidRDefault="008D479B" w:rsidP="008D479B">
      <w:pPr>
        <w:pStyle w:val="TextoNormalCentrado"/>
        <w:keepNext/>
      </w:pPr>
      <w:r>
        <w:t>EN NOMBRE DEL REY</w:t>
      </w:r>
    </w:p>
    <w:p w14:paraId="178E5106" w14:textId="49C71C3C" w:rsidR="008D479B" w:rsidRDefault="008D479B" w:rsidP="008D479B">
      <w:pPr>
        <w:pStyle w:val="TextoNormalCentrado"/>
        <w:keepNext/>
      </w:pPr>
    </w:p>
    <w:p w14:paraId="5695D75A" w14:textId="77777777" w:rsidR="008D479B" w:rsidRDefault="008D479B" w:rsidP="008D479B">
      <w:pPr>
        <w:pStyle w:val="TextoNormalCentrado"/>
        <w:keepNext/>
      </w:pPr>
    </w:p>
    <w:p w14:paraId="57F3D54F" w14:textId="77777777" w:rsidR="008D479B" w:rsidRDefault="008D479B" w:rsidP="008D479B">
      <w:pPr>
        <w:pStyle w:val="TextoNormal"/>
      </w:pPr>
      <w:r>
        <w:t>la siguiente</w:t>
      </w:r>
    </w:p>
    <w:p w14:paraId="6EAA3BAE" w14:textId="13C06BCA" w:rsidR="008D479B" w:rsidRDefault="008D479B" w:rsidP="008D479B">
      <w:pPr>
        <w:pStyle w:val="TextoNormal"/>
      </w:pPr>
    </w:p>
    <w:p w14:paraId="7E90577A" w14:textId="77777777" w:rsidR="008D479B" w:rsidRDefault="008D479B" w:rsidP="008D479B">
      <w:pPr>
        <w:pStyle w:val="TextoNormalCentrado"/>
        <w:keepNext/>
      </w:pPr>
      <w:r>
        <w:t>SENTENCIA</w:t>
      </w:r>
    </w:p>
    <w:p w14:paraId="326472C3" w14:textId="529378DB" w:rsidR="008D479B" w:rsidRDefault="008D479B" w:rsidP="008D479B">
      <w:pPr>
        <w:pStyle w:val="TextoNormalCentrado"/>
        <w:keepNext/>
      </w:pPr>
    </w:p>
    <w:p w14:paraId="79066759" w14:textId="77777777" w:rsidR="008D479B" w:rsidRDefault="008D479B" w:rsidP="008D479B">
      <w:pPr>
        <w:pStyle w:val="TextoNormal"/>
      </w:pPr>
      <w:r>
        <w:t>En el recurso de amparo núm. 3456-2021, promovido por don Abderrahman El Younoussi contra la sentencia de 22 de mayo de 2020 dictada por el Juzgado de lo Penal núm. 4 de Barcelona en el procedimiento abreviado núm. 129-2020; contra la sentencia de 26 de agosto de 2020 de la Sección Décima de la Audiencia Provincial de Barcelona, que desestima el recurso de apelación núm. 131-2020, interpuesto contra la anterior; y contra la providencia de la Sala de lo Penal del Tribunal Supremo de 8 de abril de 2021, que deniega la admisión del recurso de casación núm. 4479-2020. Ha intervenido el Ministerio Fiscal. Ha sido ponente el magistrado don Enrique Arnaldo Alcubilla.</w:t>
      </w:r>
    </w:p>
    <w:p w14:paraId="7BE7C0B8" w14:textId="66983A6D" w:rsidR="008D479B" w:rsidRDefault="008D479B" w:rsidP="008D479B">
      <w:pPr>
        <w:pStyle w:val="TextoNormal"/>
      </w:pPr>
    </w:p>
    <w:p w14:paraId="755B0E44" w14:textId="77777777" w:rsidR="008D479B" w:rsidRDefault="008D479B" w:rsidP="008D479B">
      <w:pPr>
        <w:pStyle w:val="TextoNormalNegritaCentrado"/>
        <w:keepNext/>
      </w:pPr>
      <w:r>
        <w:t>I. Antecedentes</w:t>
      </w:r>
    </w:p>
    <w:p w14:paraId="72AD7BFF" w14:textId="047AC819" w:rsidR="008D479B" w:rsidRDefault="008D479B" w:rsidP="008D479B">
      <w:pPr>
        <w:pStyle w:val="TextoNormalNegritaCentrado"/>
        <w:keepNext/>
      </w:pPr>
    </w:p>
    <w:p w14:paraId="364761B6" w14:textId="1B8E659F" w:rsidR="008D479B" w:rsidRDefault="008D479B" w:rsidP="008D479B">
      <w:pPr>
        <w:pStyle w:val="TextoNormal"/>
      </w:pPr>
      <w:r w:rsidRPr="008D479B">
        <w:rPr>
          <w:rStyle w:val="NumeroAFNegritaCaracter"/>
        </w:rPr>
        <w:t>1</w:t>
      </w:r>
      <w:r>
        <w:t>. Mediante escrito registrado en este tribunal el 26 de mayo de 2021, don Abderrahman El Younoussi, representado por la procuradora de los tribunales doña Olga Catalina Rodríguez Herranz y asistido por el abogado don Jordi Rojo Rodes, interpuso recurso de amparo contra las resoluciones judiciales referidas en el encabezamiento.</w:t>
      </w:r>
    </w:p>
    <w:p w14:paraId="021F49B3" w14:textId="77777777" w:rsidR="008D479B" w:rsidRDefault="008D479B" w:rsidP="008D479B">
      <w:pPr>
        <w:pStyle w:val="TextoNormal"/>
      </w:pPr>
    </w:p>
    <w:p w14:paraId="26264ACF" w14:textId="77777777" w:rsidR="008D479B" w:rsidRDefault="008D479B" w:rsidP="008D479B">
      <w:pPr>
        <w:pStyle w:val="TextoNormal"/>
      </w:pPr>
      <w:r w:rsidRPr="008D479B">
        <w:rPr>
          <w:rStyle w:val="NumeroAFNegritaCaracter"/>
        </w:rPr>
        <w:t>2</w:t>
      </w:r>
      <w:r>
        <w:t>. Son hechos relevantes para resolver el presente recurso de amparo los que siguen:</w:t>
      </w:r>
    </w:p>
    <w:p w14:paraId="67C83C79" w14:textId="77777777" w:rsidR="008D479B" w:rsidRDefault="008D479B" w:rsidP="008D479B">
      <w:pPr>
        <w:pStyle w:val="TextoNormal"/>
      </w:pPr>
    </w:p>
    <w:p w14:paraId="30D2B5AA" w14:textId="77777777" w:rsidR="008D479B" w:rsidRDefault="008D479B" w:rsidP="008D479B">
      <w:pPr>
        <w:pStyle w:val="TextoNormal"/>
      </w:pPr>
      <w:r>
        <w:t>a) El demandante fue condenado, junto a su hermano K., por sentencia del Juzgado de lo Penal núm. 4 de Barcelona de 22 de mayo de 2020 (procedimiento abreviado núm. 129-2020), como autor de un delito de tráfico de drogas en su modalidad de sustancias que no causan un grave daño a la salud, a las penas de tres años y un día de prisión y multa de seiscientos mil euros (con responsabilidad subsidiaria de un año, en caso de impago), así como al pago de las costas procesales, acordando asimismo su expulsión del territorio español una vez que acceda al tercer grado penitenciario o cumpla las dos terceras partes de la condena.</w:t>
      </w:r>
    </w:p>
    <w:p w14:paraId="1705F3AE" w14:textId="77777777" w:rsidR="008D479B" w:rsidRDefault="008D479B" w:rsidP="008D479B">
      <w:pPr>
        <w:pStyle w:val="TextoNormal"/>
      </w:pPr>
    </w:p>
    <w:p w14:paraId="23A4BD73" w14:textId="77777777" w:rsidR="008D479B" w:rsidRDefault="008D479B" w:rsidP="008D479B">
      <w:pPr>
        <w:pStyle w:val="TextoNormal"/>
      </w:pPr>
      <w:r>
        <w:t>La sentencia del Juzgado de lo Penal declara probado que los dos acusados, actuando de común y previo acuerdo en obtener y compartir provecho económico de la venta de hachís, almacenaban dicha sustancia en los siguientes lugares: un piso de Barcelona, frecuentado por el hermano del recurrente; el piso que constituía el domicilio particular de ambos acusados, sito en Tarrasa; un automóvil propiedad de F.D., que al momento de dictarse la sentencia se encontraba en situación de rebeldía procesal. Se precisa que, como consecuencia de una investigación impulsada por la Guardia Urbana de Barcelona, se dictó auto de 19 de abril de 2019 por el Juzgado de Instrucción núm. 3 de Barcelona mediante el que se autorizó la entrada y registro de los inmuebles y del vehículo referidos, así como de un automóvil del recurrente. En el piso de Barcelona se encontraron un envoltorio de plástico con 0,237 g. de cocaína, con riqueza del 76 por 100 y diecinueve piezas de hachís, con un peso bruto en total de 1590 g.; también se hallaron 4270 € en moneda fraccionada, una máquina verificadora de billetes y otra máquina para contar dinero, así como un cuaderno con anotaciones manuscritas. En el interior del vehículo de don F.D., estacionado en un garaje sito en la calle Besalú, próximo al piso de Barcelona frecuentado por el hermano del recurrente y coacusado K., y utilizado para la actividad ilícita, se encontraron varias piezas de hachís con peso bruto de 44 kg. En fin, en el domicilio de ambos acusados en Tarrasa se encontraron 6600 € en moneda fraccionada. Además, en el momento de su detención, a K. se le intervinieron 690 € en moneda fraccionada. Se declara probado que las piezas de hachís intervenidas eran poseídas por los acusados con intención de obtener un beneficio ilícito mediante su venta en el mercado ilegal y que el dinero incautado procedía de dicha actividad delictiva. No consta, en cambio, que la cocaína intervenida estuviera dispuesta para el tráfico y que su destino no fuera otro que el consumo por parte de alguno de los acusados.</w:t>
      </w:r>
    </w:p>
    <w:p w14:paraId="098A96AA" w14:textId="77777777" w:rsidR="008D479B" w:rsidRDefault="008D479B" w:rsidP="008D479B">
      <w:pPr>
        <w:pStyle w:val="TextoNormal"/>
      </w:pPr>
    </w:p>
    <w:p w14:paraId="3B05625B" w14:textId="77777777" w:rsidR="008D479B" w:rsidRDefault="008D479B" w:rsidP="008D479B">
      <w:pPr>
        <w:pStyle w:val="TextoNormal"/>
      </w:pPr>
      <w:r>
        <w:t>A las anteriores conclusiones se llega, según se razona en la sentencia, a partir de la prueba practicada en el juicio oral, en particular las declaraciones de los propios acusados y la testifical de dos agentes de la Guardia Urbana de Barcelona que intervinieron en la investigación policial que condujo a la aprehensión de la droga y el dinero y a la detención del coacusado K., así como las periciales toxicológicas. La sentencia señala, entre otros extremos y en particular en lo que afecta a la incriminación del recurrente, que los agentes vieron a ambos acusados entrar en el garaje referido, donde descargaron varios bultos de un vehículo para luego introducirlos en el automóvil propiedad de F.D. (en situación de rebeldía procesal), que allí se hallaba estacionado en estado de semiabandono y en el que fue finalmente hallado un importante alijo de hachís cuando se procedió a su registro. Asimismo, que en el registro del domicilio que compartían ambos acusados fueron hallados 6600 € escondidos debajo de la cama del recurrente. Por otro lado, la sentencia no otorga credibilidad a la versión exculpatoria que ofrecieron ambos acusados sobre el contenido de los bultos descargados en el interior del garaje (que no se trataba de paquetes de hachís, sino de aceite de argán). Tampoco a la versión del recurrente sobre la procedencia del dinero hallado en el registro de su domicilio (que el dinero provenía de sus ahorros y lo escondía en su casa para eludir un embargo de la Agencia Tributaria).</w:t>
      </w:r>
    </w:p>
    <w:p w14:paraId="5273B416" w14:textId="77777777" w:rsidR="008D479B" w:rsidRDefault="008D479B" w:rsidP="008D479B">
      <w:pPr>
        <w:pStyle w:val="TextoNormal"/>
      </w:pPr>
    </w:p>
    <w:p w14:paraId="2B103B91" w14:textId="77777777" w:rsidR="008D479B" w:rsidRDefault="008D479B" w:rsidP="008D479B">
      <w:pPr>
        <w:pStyle w:val="TextoNormal"/>
      </w:pPr>
      <w:r>
        <w:t>En su fundamentación la sentencia descarta también que se haya producido la alegada vulneración del derecho a la intimidad personal de los acusados por el hecho de que la Guardia Urbana de Barcelona instalase dispositivos de grabación de imágenes en el garaje comunitario en el que se hallaba estacionado el vehículo a nombre de F.D., en el que se encontraron cuarenta y cuatro kilos de hachís cuando se procedió a su registro. Con cita de jurisprudencia del Tribunal Constitucional y del Tribunal Supremo, se afirma que los garajes no tienen la consideración de domicilio constitucionalmente protegido, por lo que las grabaciones videográficas obtenidas en dichos espacios no requieren de autorización judicial y tienen validez como prueba de cargo para desvirtuar la presunción de inocencia.</w:t>
      </w:r>
    </w:p>
    <w:p w14:paraId="68911526" w14:textId="77777777" w:rsidR="008D479B" w:rsidRDefault="008D479B" w:rsidP="008D479B">
      <w:pPr>
        <w:pStyle w:val="TextoNormal"/>
      </w:pPr>
    </w:p>
    <w:p w14:paraId="6844AF54" w14:textId="77777777" w:rsidR="008D479B" w:rsidRDefault="008D479B" w:rsidP="008D479B">
      <w:pPr>
        <w:pStyle w:val="TextoNormal"/>
      </w:pPr>
      <w:r>
        <w:t>b) Contra la anterior sentencia interpuso recurso de apelación el demandante de amparo, en el que, entre otros motivos, y en lo que ahora importa, adujo la vulneración del derecho a la intimidad y a la propia imagen (art. 18.1 CE), debido a la instalación de dispositivos de captación de imágenes por parte de la Guardia Urbana de Barcelona en el garaje antes referido sin autorización judicial; del derecho a la presunción de inocencia (art. 24.2 CE), porque el posterior registro de inmuebles y del vehículo donde fue hallada la droga traería causa de esa previa grabación de imágenes ilícita, e inválida por tanto como prueba de cargo; y del derecho a un juez imparcial (art. 24.2 CE), por falta de imparcialidad de la juzgadora durante la celebración del juicio oral, en cuanto se habría posicionado a favor de las tesis de la acusación, a lo que se añade que no dio inicialmente la palabra para el trámite de cuestiones previas y no facilitó la traducción al árabe de las declaraciones que se estaban prestando hasta que el abogado de la defensa se lo advirtió.</w:t>
      </w:r>
    </w:p>
    <w:p w14:paraId="640EE70E" w14:textId="77777777" w:rsidR="008D479B" w:rsidRDefault="008D479B" w:rsidP="008D479B">
      <w:pPr>
        <w:pStyle w:val="TextoNormal"/>
      </w:pPr>
    </w:p>
    <w:p w14:paraId="3C90370A" w14:textId="77777777" w:rsidR="008D479B" w:rsidRDefault="008D479B" w:rsidP="008D479B">
      <w:pPr>
        <w:pStyle w:val="TextoNormal"/>
      </w:pPr>
      <w:r>
        <w:t xml:space="preserve">Por sentencia de 26 de agosto de 2020, la Sección Décima de la Audiencia Provincial de Barcelona estimó parcialmente el recurso de apelación (núm. 131-2020) y revocó la sentencia recurrida en el único particular del fallo condenatorio relativo a la expulsión del recurrente del territorio español en el momento de acceder al tercer grado penitenciario, o cuando hubiera cumplido las dos terceras partes de la condena, manteniendo incólumes el resto de los pronunciamientos. La Audiencia Provincial descarta expresamente la vulneración de derechos fundamentales alegada por el recurrente. En particular, considera que la captación policial de imágenes en el garaje sin autorización judicial resulta amparada por lo dispuesto en el art. 588 </w:t>
      </w:r>
      <w:r w:rsidRPr="008D479B">
        <w:rPr>
          <w:i/>
        </w:rPr>
        <w:t>quinquies</w:t>
      </w:r>
      <w:r>
        <w:t xml:space="preserve"> a) de la Ley de enjuiciamiento criminal (LECrim), al carecer el garaje de la protección que el art. 18.2 CE dispensa a los domicilios, por tratarse de un espacio cerrado de titularidad privada pero público en cuanto a su uso, aunque de acceso restringido. También descartó la audiencia provincial que la actuación de la juzgadora hubiera conculcado el derecho a la imparcialidad judicial.</w:t>
      </w:r>
    </w:p>
    <w:p w14:paraId="1E9E006D" w14:textId="77777777" w:rsidR="008D479B" w:rsidRDefault="008D479B" w:rsidP="008D479B">
      <w:pPr>
        <w:pStyle w:val="TextoNormal"/>
      </w:pPr>
    </w:p>
    <w:p w14:paraId="0E400349" w14:textId="75AF1C2C" w:rsidR="008D479B" w:rsidRDefault="008D479B" w:rsidP="008D479B">
      <w:pPr>
        <w:pStyle w:val="TextoNormal"/>
      </w:pPr>
      <w:r>
        <w:t>c) No conforme con la anterior sentencia, el demandante de amparo interpuso recurso de casación, que fue inadmitido mediante providencia dictada el 8 de abril de 2021 por la Sala de Penal del Tribunal Supremo (recurso de casación núm. 4479-2020), por carencia de interés casacional [arts. 847.1 b) y 889 LECrim].</w:t>
      </w:r>
    </w:p>
    <w:p w14:paraId="6B333F75" w14:textId="77777777" w:rsidR="008D479B" w:rsidRDefault="008D479B" w:rsidP="008D479B">
      <w:pPr>
        <w:pStyle w:val="TextoNormal"/>
      </w:pPr>
    </w:p>
    <w:p w14:paraId="24D206B2" w14:textId="77777777" w:rsidR="008D479B" w:rsidRDefault="008D479B" w:rsidP="008D479B">
      <w:pPr>
        <w:pStyle w:val="TextoNormal"/>
      </w:pPr>
      <w:r w:rsidRPr="008D479B">
        <w:rPr>
          <w:rStyle w:val="NumeroAFNegritaCaracter"/>
        </w:rPr>
        <w:t>3</w:t>
      </w:r>
      <w:r>
        <w:t>. La demanda de amparo plantea varias quejas. En primer lugar, se alega la vulneración del derecho a la intimidad y a la propia imagen (art. 18.1 CE), en relación con el principio de legalidad penal (art. 25.1 CE), porque la investigación que ha conducido a la condena del demandante tiene su origen en instalación de cámaras de grabación de imágenes por la Guardia Urbana de Barcelona en el garaje de una comunidad de vecinos, sin autorización judicial ni permiso de la comunidad o comunicación a la autoridad competente. Fue la captación de esas imágenes la que llevó a que se solicitaran al órgano judicial las correspondientes diligencias de entrada y registro, así como a la detención del coacusado K. De conformidad con lo previsto en el art. 11 de la Ley Orgánica del Poder Judicial (LOPJ), al haber sido obtenidas dichas imágenes con vulneración de derechos fundamentales, debe declararse la nulidad de todo lo actuado, según el recurrente.</w:t>
      </w:r>
    </w:p>
    <w:p w14:paraId="4336BE44" w14:textId="77777777" w:rsidR="008D479B" w:rsidRDefault="008D479B" w:rsidP="008D479B">
      <w:pPr>
        <w:pStyle w:val="TextoNormal"/>
      </w:pPr>
    </w:p>
    <w:p w14:paraId="66DE0F6A" w14:textId="77777777" w:rsidR="008D479B" w:rsidRDefault="008D479B" w:rsidP="008D479B">
      <w:pPr>
        <w:pStyle w:val="TextoNormal"/>
      </w:pPr>
      <w:r>
        <w:t>Se afirma en segundo lugar que la providencia de la Sala de lo Penal del Tribunal Supremo que inadmite el recurso de casación vulnera el derecho a la tutela judicial efectiva sin indefensión (art. 24.1 CE), porque adolece de insuficiente motivación.</w:t>
      </w:r>
    </w:p>
    <w:p w14:paraId="21A53B10" w14:textId="77777777" w:rsidR="008D479B" w:rsidRDefault="008D479B" w:rsidP="008D479B">
      <w:pPr>
        <w:pStyle w:val="TextoNormal"/>
      </w:pPr>
    </w:p>
    <w:p w14:paraId="4F9C047E" w14:textId="77777777" w:rsidR="008D479B" w:rsidRDefault="008D479B" w:rsidP="008D479B">
      <w:pPr>
        <w:pStyle w:val="TextoNormal"/>
      </w:pPr>
      <w:r>
        <w:t>Asimismo, se alega la lesión del derecho a la presunción de inocencia (art. 24.2 CE), por entender el recurrente que no existen pruebas de cargo suficientes para fundar la condena impuesta. Sostiene que, además de la nulidad de las pruebas derivadas de las grabaciones de imágenes por infringir el art. 18.1 CE, lo cierto es que no se ha acreditado que hubiese cargado o descargado droga del automóvil en el que fue hallado el alijo de hachís, ni que ese alijo le perteneciera; tampoco que el dinero encontrado en su domicilio procediese de una actividad ilícita.</w:t>
      </w:r>
    </w:p>
    <w:p w14:paraId="58C0A19E" w14:textId="77777777" w:rsidR="008D479B" w:rsidRDefault="008D479B" w:rsidP="008D479B">
      <w:pPr>
        <w:pStyle w:val="TextoNormal"/>
      </w:pPr>
    </w:p>
    <w:p w14:paraId="09C2BAEE" w14:textId="77777777" w:rsidR="008D479B" w:rsidRDefault="008D479B" w:rsidP="008D479B">
      <w:pPr>
        <w:pStyle w:val="TextoNormal"/>
      </w:pPr>
      <w:r>
        <w:t>Por último, se alega la vulneración del derecho a la imparcialidad judicial (art. 24.2 CE), por cuanto las intervenciones de la titular del Juzgado de lo Penal en el juicio oral evidenciarían que se posicionó a favor de las tesis de la acusación, según el recurrente. Se afirma en la demanda en este sentido que, durante la celebración de la vista, la juzgadora interrumpió en varias ocasiones al letrado defensor de ambos acusados, indicándole cómo debía hacer las preguntas, con el argumento de que pretendía encauzar las respuestas y, sin embargo, no hizo lo mismo en el caso del Ministerio Fiscal, que nunca fue interrumpido ni corregido, a pesar de haber realizado el mismo método de interrogatorio. En fin, donde más claramente se percibiría la pérdida de imparcialidad de la juzgadora, según el recurrente, sería en relación con una pregunta que el letrado defensor formuló a uno de los agentes de la Guardia Urbana que declararon en el juicio como testigos de la acusación, con la que se pretendía aclarar por qué no se procedió a la detención del hermano del recurrente en el mes de febrero de 2019, cuando ya por entonces se tenían sospechas de su posible implicación en un delito de tráfico de drogas, esperándose en cambio al mes de abril de ese año. Pregunta ante la cual la juzgadora reaccionó afirmando que el testigo “ya ha contestado”, y precisando que había manifestado que no se produjo antes la detención para no comprometer la investigación. A juicio del recurrente, esto evidenciaría que la juzgadora proporcionó al testigo la contestación que entendía para hacerla coincidir con la de su compañero, contestando luego el agente interrogado con arreglo a tal indicación.</w:t>
      </w:r>
    </w:p>
    <w:p w14:paraId="5C4DE14A" w14:textId="77777777" w:rsidR="008D479B" w:rsidRDefault="008D479B" w:rsidP="008D479B">
      <w:pPr>
        <w:pStyle w:val="TextoNormal"/>
      </w:pPr>
    </w:p>
    <w:p w14:paraId="439C5C1F" w14:textId="77777777" w:rsidR="008D479B" w:rsidRDefault="008D479B" w:rsidP="008D479B">
      <w:pPr>
        <w:pStyle w:val="TextoNormal"/>
      </w:pPr>
      <w:r>
        <w:t>A lo anterior se añade que la juzgadora se olvidó al inicio del juicio dar la palabra a las partes para el trámite de cuestiones previas y de facilitar la traducción al árabe de las declaraciones que se estaban prestando en el acto de la vista, omisiones ambas que solo fueron subsanadas al advertírselo el abogado defensor de ambos acusados y que vendrían a corroborar que la juzgadora no actuó con la imparcialidad que es exigible.</w:t>
      </w:r>
    </w:p>
    <w:p w14:paraId="33B98D53" w14:textId="77777777" w:rsidR="008D479B" w:rsidRDefault="008D479B" w:rsidP="008D479B">
      <w:pPr>
        <w:pStyle w:val="TextoNormal"/>
      </w:pPr>
    </w:p>
    <w:p w14:paraId="7F70ED99" w14:textId="5A0AEA04" w:rsidR="008D479B" w:rsidRDefault="008D479B" w:rsidP="008D479B">
      <w:pPr>
        <w:pStyle w:val="TextoNormal"/>
      </w:pPr>
      <w:r>
        <w:t>La demanda de amparo contiene un apartado específico dedicado a justificar la especial trascendencia constitucional del asunto y concluye solicitando que se declare la nulidad de las resoluciones judiciales impugnadas, por vulneración de los derechos fundamentales invocados, y que se ordene retrotraer las actuaciones al momento anterior a producirse la lesión de esos derechos. Mediante otrosí se solicita la suspensión de la sentencia condenatoria del Juzgado de lo Penal núm. 4 de Barcelona.</w:t>
      </w:r>
    </w:p>
    <w:p w14:paraId="460D0829" w14:textId="77777777" w:rsidR="008D479B" w:rsidRDefault="008D479B" w:rsidP="008D479B">
      <w:pPr>
        <w:pStyle w:val="TextoNormal"/>
      </w:pPr>
    </w:p>
    <w:p w14:paraId="6B8DF85B" w14:textId="77777777" w:rsidR="008D479B" w:rsidRDefault="008D479B" w:rsidP="008D479B">
      <w:pPr>
        <w:pStyle w:val="TextoNormal"/>
      </w:pPr>
      <w:r w:rsidRPr="008D479B">
        <w:rPr>
          <w:rStyle w:val="NumeroAFNegritaCaracter"/>
        </w:rPr>
        <w:t>4</w:t>
      </w:r>
      <w:r>
        <w:t>. Mediante providencia de 23 de marzo de 2022 la Sección Cuarta de este tribunal acordó la admisión a trámite del recurso de amparo, apreciando en el mismo una especial trascendencia constitucional (art. 50.1 LOTC) porque el recurso plantea un problema o afecta a una faceta de un derecho fundamental sobre el que no hay doctrina de este tribunal [STC 155/2009, FJ 2 a)].</w:t>
      </w:r>
    </w:p>
    <w:p w14:paraId="2E52BB75" w14:textId="77777777" w:rsidR="008D479B" w:rsidRDefault="008D479B" w:rsidP="008D479B">
      <w:pPr>
        <w:pStyle w:val="TextoNormal"/>
      </w:pPr>
    </w:p>
    <w:p w14:paraId="730C9E8A" w14:textId="77777777" w:rsidR="008D479B" w:rsidRDefault="008D479B" w:rsidP="008D479B">
      <w:pPr>
        <w:pStyle w:val="TextoNormal"/>
      </w:pPr>
      <w:r>
        <w:t>Por ello, en virtud del art. 51 LOTC, acordó dirigir atenta comunicación a la Sala de lo Penal del Tribunal Supremo, a la Sección Décima de la Audiencia Provincial de Barcelona, y al Juzgado de lo Penal núm. 4 de la misma capital, con el fin de que, en plazo no superior a diez días, remitieran certificación o copia adverada de sus respectivas actuaciones. Acordó también el emplazamiento, por término de diez días, de quienes hubieran sido parte en el procedimiento, con excepción del recurrente, a los efectos de poder comparecer en el presente proceso de amparo.</w:t>
      </w:r>
    </w:p>
    <w:p w14:paraId="7C4529BE" w14:textId="77777777" w:rsidR="008D479B" w:rsidRDefault="008D479B" w:rsidP="008D479B">
      <w:pPr>
        <w:pStyle w:val="TextoNormal"/>
      </w:pPr>
    </w:p>
    <w:p w14:paraId="574BA9F9" w14:textId="5AE23B0E" w:rsidR="008D479B" w:rsidRDefault="008D479B" w:rsidP="008D479B">
      <w:pPr>
        <w:pStyle w:val="TextoNormal"/>
      </w:pPr>
      <w:r>
        <w:t>Habiéndose solicitado por el recurrente la suspensión de la ejecución de la sentencia condenatoria, se ordenó la formación de la correspondiente pieza separada de suspensión.</w:t>
      </w:r>
    </w:p>
    <w:p w14:paraId="0CE7BC37" w14:textId="77777777" w:rsidR="008D479B" w:rsidRDefault="008D479B" w:rsidP="008D479B">
      <w:pPr>
        <w:pStyle w:val="TextoNormal"/>
      </w:pPr>
    </w:p>
    <w:p w14:paraId="08446E6E" w14:textId="444D3240" w:rsidR="008D479B" w:rsidRDefault="008D479B" w:rsidP="008D479B">
      <w:pPr>
        <w:pStyle w:val="TextoNormal"/>
      </w:pPr>
      <w:r w:rsidRPr="008D479B">
        <w:rPr>
          <w:rStyle w:val="NumeroAFNegritaCaracter"/>
        </w:rPr>
        <w:t>5</w:t>
      </w:r>
      <w:r>
        <w:t>. Tras sustanciar la pieza separada de suspensión, la Sala Segunda, por ATC 79/2022, de 9 de mayo, acordó suspender la ejecución de la pena de prisión impuesta al recurrente y denegar la suspensión de los restantes pronunciamientos condenatorios.</w:t>
      </w:r>
    </w:p>
    <w:p w14:paraId="32A35D1E" w14:textId="77777777" w:rsidR="008D479B" w:rsidRDefault="008D479B" w:rsidP="008D479B">
      <w:pPr>
        <w:pStyle w:val="TextoNormal"/>
      </w:pPr>
    </w:p>
    <w:p w14:paraId="40CFCB3C" w14:textId="6FD30A98" w:rsidR="008D479B" w:rsidRDefault="008D479B" w:rsidP="008D479B">
      <w:pPr>
        <w:pStyle w:val="TextoNormal"/>
      </w:pPr>
      <w:r w:rsidRPr="008D479B">
        <w:rPr>
          <w:rStyle w:val="NumeroAFNegritaCaracter"/>
        </w:rPr>
        <w:t>6</w:t>
      </w:r>
      <w:r>
        <w:t>. Mediante diligencia de ordenación de 26 de mayo de 2022 se acordó dar vista de las actuaciones al recurrente y al Ministerio Fiscal por un plazo común de veinte días, para formular las alegaciones que estimaren pertinentes, conforme determina el art. 52.1 LOTC.</w:t>
      </w:r>
    </w:p>
    <w:p w14:paraId="54234F5D" w14:textId="77777777" w:rsidR="008D479B" w:rsidRDefault="008D479B" w:rsidP="008D479B">
      <w:pPr>
        <w:pStyle w:val="TextoNormal"/>
      </w:pPr>
    </w:p>
    <w:p w14:paraId="02E3D3B8" w14:textId="793DEDFE" w:rsidR="008D479B" w:rsidRDefault="008D479B" w:rsidP="008D479B">
      <w:pPr>
        <w:pStyle w:val="TextoNormal"/>
      </w:pPr>
      <w:r w:rsidRPr="008D479B">
        <w:rPr>
          <w:rStyle w:val="NumeroAFNegritaCaracter"/>
        </w:rPr>
        <w:t>7</w:t>
      </w:r>
      <w:r>
        <w:t>. La representación procesal del recurrente, mediante escrito registrado en este tribunal el 31 de mayo de 2022, manifestó que daba por reproducidas las alegaciones formuladas en la demanda de amparo.</w:t>
      </w:r>
    </w:p>
    <w:p w14:paraId="4A513C46" w14:textId="77777777" w:rsidR="008D479B" w:rsidRDefault="008D479B" w:rsidP="008D479B">
      <w:pPr>
        <w:pStyle w:val="TextoNormal"/>
      </w:pPr>
    </w:p>
    <w:p w14:paraId="3DE8DCED" w14:textId="77777777" w:rsidR="008D479B" w:rsidRDefault="008D479B" w:rsidP="008D479B">
      <w:pPr>
        <w:pStyle w:val="TextoNormal"/>
      </w:pPr>
      <w:r w:rsidRPr="008D479B">
        <w:rPr>
          <w:rStyle w:val="NumeroAFNegritaCaracter"/>
        </w:rPr>
        <w:t>8</w:t>
      </w:r>
      <w:r>
        <w:t>. El 13 de julio de 2022 fue presentado en este tribunal el escrito de alegaciones del Ministerio Fiscal.</w:t>
      </w:r>
    </w:p>
    <w:p w14:paraId="52E2B898" w14:textId="77777777" w:rsidR="008D479B" w:rsidRDefault="008D479B" w:rsidP="008D479B">
      <w:pPr>
        <w:pStyle w:val="TextoNormal"/>
      </w:pPr>
    </w:p>
    <w:p w14:paraId="6894F6F5" w14:textId="77777777" w:rsidR="008D479B" w:rsidRDefault="008D479B" w:rsidP="008D479B">
      <w:pPr>
        <w:pStyle w:val="TextoNormal"/>
      </w:pPr>
      <w:r>
        <w:t>Sostiene en primer lugar que la queja referida a la vulneración del derecho a la tutela judicial efectiva sin indefensión (art. 24.1 CE), que se imputa a la providencia de la Sala de lo Penal del Tribunal Supremo que inadmite el recurso de casación, debe ser inadmitida por incumplir el requisito de agotar la vía judicial [art. 44.1 a) LOTC, en relación con el art. 50.1 a) LOTC], toda vez que, antes de acudir al amparo constitucional, debió promoverse el incidente de nulidad de actuaciones, con arreglo a lo dispuesto en el art. 241.1 LOPJ.</w:t>
      </w:r>
    </w:p>
    <w:p w14:paraId="78E23D79" w14:textId="77777777" w:rsidR="008D479B" w:rsidRDefault="008D479B" w:rsidP="008D479B">
      <w:pPr>
        <w:pStyle w:val="TextoNormal"/>
      </w:pPr>
    </w:p>
    <w:p w14:paraId="3A9D35B5" w14:textId="77777777" w:rsidR="008D479B" w:rsidRDefault="008D479B" w:rsidP="008D479B">
      <w:pPr>
        <w:pStyle w:val="TextoNormal"/>
      </w:pPr>
      <w:r>
        <w:t>Conforme al criterio de la mayor retroacción ante un eventual otorgamiento del amparo, el Ministerio Fiscal señala que, de las restantes quejas del demandante, debe examinarse en primer término la referida a la vulneración del derecho a un juez imparcial (art. 24.2 CE), por la conducta observada por la juzgadora en el acto del juicio oral a la que se hace referencia en la demanda de amparo.</w:t>
      </w:r>
    </w:p>
    <w:p w14:paraId="050CAEFA" w14:textId="77777777" w:rsidR="008D479B" w:rsidRDefault="008D479B" w:rsidP="008D479B">
      <w:pPr>
        <w:pStyle w:val="TextoNormal"/>
      </w:pPr>
    </w:p>
    <w:p w14:paraId="2EBE6E55" w14:textId="77777777" w:rsidR="008D479B" w:rsidRDefault="008D479B" w:rsidP="008D479B">
      <w:pPr>
        <w:pStyle w:val="TextoNormal"/>
      </w:pPr>
      <w:r>
        <w:t xml:space="preserve">Tras recordar la jurisprudencia del Tribunal Constitucional, así como la del Tribunal Europeo de Derechos Humanos (en particular, STEDH de 6 de noviembre de 2018, asunto </w:t>
      </w:r>
      <w:r w:rsidRPr="008D479B">
        <w:rPr>
          <w:i/>
        </w:rPr>
        <w:t>Otegi y otros c. España</w:t>
      </w:r>
      <w:r>
        <w:t>) sobre la imparcialidad judicial, el Ministerio Fiscal concluye que debe descartarse que en el presente caso se haya producido una vulneración del derecho a un juez imparcial, que encuentra su protección en el derecho fundamental a un proceso con todas las garantías (art. 24.2 CE). Considera que la omisión del trámite de cuestiones previas y de proporcionar un traductor de árabe no revela más que meros olvidos de la juzgadora, que fueron subsanados por esta tras la oportuna advertencia del abogado del demandante de amparo. Por tanto, se trató de simples irregularidades procesales, subsanadas inmediatamente, sin consecuencias para la defensa del justiciable. En cuanto a las restantes circunstancias de intervención de la juzgadora en el plenario a las que se refiere el demandante, considera el fiscal que carecen de consistencia suficiente para desvirtuar la presunción de imparcialidad judicial. En consecuencia, la alegada vulneración del derecho a un juez imparcial debe ser desestimada.</w:t>
      </w:r>
    </w:p>
    <w:p w14:paraId="179B5842" w14:textId="77777777" w:rsidR="008D479B" w:rsidRDefault="008D479B" w:rsidP="008D479B">
      <w:pPr>
        <w:pStyle w:val="TextoNormal"/>
      </w:pPr>
    </w:p>
    <w:p w14:paraId="58306118" w14:textId="77777777" w:rsidR="008D479B" w:rsidRDefault="008D479B" w:rsidP="008D479B">
      <w:pPr>
        <w:pStyle w:val="TextoNormal"/>
      </w:pPr>
      <w:r>
        <w:t xml:space="preserve">Examina seguidamente el fiscal la alegada vulneración del derecho a la intimidad y a la propia imagen (art. 18.1 CE), en relación con el principio de legalidad penal (art. 25.1 CE), que se habría ocasionado, según el recurrente, como consecuencia de la instalación de cámaras de grabación de imágenes por la Guardia Urbana de Barcelona en el garaje privado, sin autorización judicial ni permiso de la comunidad de vecinos o comunicación a la autoridad competente, siendo así que fue la captación de las imágenes grabadas por esas cámaras la que condujo a la detención y posterior prisión provisional del demandante, así como a las correspondientes autorizaciones de entrada y registro acordadas por el juzgado de instrucción. Según el demandante, de conformidad con lo previsto en el art. 588 </w:t>
      </w:r>
      <w:r w:rsidRPr="008D479B">
        <w:rPr>
          <w:i/>
        </w:rPr>
        <w:t>quater</w:t>
      </w:r>
      <w:r>
        <w:t xml:space="preserve"> a) LECrim, era imprescindible la autorización judicial o administrativa para la captación de imágenes en el estacionamiento de propiedad privada, sin que la policía pudiera obrar por iniciativa propia. Por tanto, al haber sido obtenidas dichas imágenes con vulneración de los derechos fundamentales a la intimidad y a la propia imagen, debe declararse la nulidad de todo lo actuado.</w:t>
      </w:r>
    </w:p>
    <w:p w14:paraId="37AEDAF5" w14:textId="77777777" w:rsidR="008D479B" w:rsidRDefault="008D479B" w:rsidP="008D479B">
      <w:pPr>
        <w:pStyle w:val="TextoNormal"/>
      </w:pPr>
    </w:p>
    <w:p w14:paraId="17621A5D" w14:textId="77777777" w:rsidR="008D479B" w:rsidRDefault="008D479B" w:rsidP="008D479B">
      <w:pPr>
        <w:pStyle w:val="TextoNormal"/>
      </w:pPr>
      <w:r>
        <w:t xml:space="preserve">El Ministerio Fiscal advierte que, tal como señala la sentencia recaída en apelación, es el art. 588 </w:t>
      </w:r>
      <w:r w:rsidRPr="008D479B">
        <w:rPr>
          <w:i/>
        </w:rPr>
        <w:t>quinquies</w:t>
      </w:r>
      <w:r>
        <w:t xml:space="preserve"> a) LECrim el que otorga cobertura a la instalación de cámaras de grabación de imágenes que llevó a cabo en el presente supuesto la Guardia Urbana de Barcelona. Conforme al apartado primero de este precepto, “la policía judicial podrá obtener y grabar por cualquier medio técnico imágenes de la persona investigada cuando se encuentre en un lugar o espacio público, si ello fuera necesario para facilitar su identificación, para localizar los instrumentos o efectos del delito u obtener datos relevantes para el esclarecimiento de los hechos”. Su alcance se limita a las actuaciones investigadoras de la policía judicial que se desarrollan con el fin de preparar el juicio, averiguar y hacer constar la perpetración de los delitos y la culpabilidad de los delincuentes (art. 299 LECrim). El precepto no exige autorización judicial para la captación de imágenes por parte de la policía judicial a los indicados fines porque, como precisa la circular 4/2019, de 6 de marzo, de la Fiscalía General del Estado, tal exigencia no se deriva del texto constitucional, reservándose para modalidades de intervención más invasivas.</w:t>
      </w:r>
    </w:p>
    <w:p w14:paraId="18E3695B" w14:textId="77777777" w:rsidR="008D479B" w:rsidRDefault="008D479B" w:rsidP="008D479B">
      <w:pPr>
        <w:pStyle w:val="TextoNormal"/>
      </w:pPr>
    </w:p>
    <w:p w14:paraId="7AE63069" w14:textId="77777777" w:rsidR="008D479B" w:rsidRDefault="008D479B" w:rsidP="008D479B">
      <w:pPr>
        <w:pStyle w:val="TextoNormal"/>
      </w:pPr>
      <w:r>
        <w:t xml:space="preserve">Para que la policía judicial pueda obtener y grabar imágenes de la persona investigada es preciso que esta se encuentre en un lugar o espacio público. Por tal ha de entenderse aquel que, con independencia de la titularidad dominical, puede ser usado o disfrutado por toda clase de personas. En tal sentido, la referida circular 4/2019, con cita de la doctrina constitucional (SSTC 134/1999, de 15 de julio; 144/1999, de 22 de julio, y 236/2007, de 7 de noviembre) señala que cuando el apartado primero del art. 588 </w:t>
      </w:r>
      <w:r w:rsidRPr="008D479B">
        <w:rPr>
          <w:i/>
        </w:rPr>
        <w:t>quinquies</w:t>
      </w:r>
      <w:r>
        <w:t xml:space="preserve"> a) LECrim alude a los lugares o espacios públicos ha de entenderse que se refiere a aquellos en los que el investigado no puede ejercer su derecho a la intimidad, donde no puede reservar al conocimiento de los demás lo que está sucediendo, al no disponer de ningún derecho de exclusión sobre ese lugar. Se contrapone así ese concepto al de lugares privados, que serán aquellos en los que el individuo puede limitar el acceso de terceros, ejerciendo de ese modo ámbitos de privacidad excluidos del conocimiento ajeno. La captación de imágenes del investigado por la policía judicial en esos lugares o espacios públicos no requiere de previa autorización judicial, sino que corresponderá posteriormente al juez instructor, en el momento de decidir la incorporación de las imágenes captadas al proceso (normalmente después de ponerse fin a la medida), controlar que se cumplen los principios de especialidad, idoneidad, excepcionalidad, necesidad e idoneidad de la medida.</w:t>
      </w:r>
    </w:p>
    <w:p w14:paraId="79111EE7" w14:textId="77777777" w:rsidR="008D479B" w:rsidRDefault="008D479B" w:rsidP="008D479B">
      <w:pPr>
        <w:pStyle w:val="TextoNormal"/>
      </w:pPr>
    </w:p>
    <w:p w14:paraId="17ED584C" w14:textId="77777777" w:rsidR="008D479B" w:rsidRDefault="008D479B" w:rsidP="008D479B">
      <w:pPr>
        <w:pStyle w:val="TextoNormal"/>
      </w:pPr>
      <w:r>
        <w:t xml:space="preserve">A partir del relato de hechos probados de la sentencia condenatoria del juzgado de lo penal, confirmada en apelación (salvo en el extremo referido a la expulsión del territorio español), completado con lo razonado en la fundamentación jurídica, lo único que resulta claro —señala el fiscal— es que los agentes de la Guardia Urbana de Barcelona procedieron a instalar al menos un dispositivo de grabación de imágenes en un garaje con el fin de captar y registrar la actividad de tráfico de drogas que se pudiera estar desarrollando mediante un automóvil que se sospechaba que pudiera estar destinado por los investigados al almacenamiento de sustancias estupefacientes. Ello resulta insuficiente a la hora de pronunciarse con seguridad sobre el cumplimiento, en su caso, de las garantías establecidas en el art. 588 </w:t>
      </w:r>
      <w:r w:rsidRPr="008D479B">
        <w:rPr>
          <w:i/>
        </w:rPr>
        <w:t>quinquies</w:t>
      </w:r>
      <w:r>
        <w:t xml:space="preserve"> a) LECrim para la utilización de dispositivos de grabación de imágenes en la investigación que acabaría conduciendo a la posterior condena del ahora demandante de amparo como autor de un delito de tráfico de drogas. Ahora bien, la defensa del demandante no planteó, como debía, en su recurso de apelación, la supuesta infracción de las garantías establecidas en el citado precepto legal, lo que determina que el motivo de queja relativo a la pretendida lesión de los derechos fundamentales reconocidos por el art. 18.1 CE deba ser desestimado.</w:t>
      </w:r>
    </w:p>
    <w:p w14:paraId="33303DC9" w14:textId="77777777" w:rsidR="008D479B" w:rsidRDefault="008D479B" w:rsidP="008D479B">
      <w:pPr>
        <w:pStyle w:val="TextoNormal"/>
      </w:pPr>
    </w:p>
    <w:p w14:paraId="50D2F7F2" w14:textId="77777777" w:rsidR="008D479B" w:rsidRDefault="008D479B" w:rsidP="008D479B">
      <w:pPr>
        <w:pStyle w:val="TextoNormal"/>
      </w:pPr>
      <w:r>
        <w:t>Finalmente, el fiscal examina la queja referida a la lesión del derecho a la presunción de inocencia (art. 24.2 CE). Recuerda que, a tenor de reiterada jurisprudencia constitucional (entre otras, SSTC 31/1981, de 28 de julio; 189/1998, de 28 de septiembre, y 137/2005, de 23 de mayo), la prueba de cargo válida para desvirtuar la presunción de inocencia es aquella de la que se deduzca objetivamente la culpabilidad del acusado, que haya sido practicada en el juicio oral con respeto a los principios de inmediación, contradicción y publicidad, y cuya valoración haya sido realizada por el tribunal sentenciador de manera razonada, sin apartarse de las reglas de la lógica.</w:t>
      </w:r>
    </w:p>
    <w:p w14:paraId="4470DFBE" w14:textId="77777777" w:rsidR="008D479B" w:rsidRDefault="008D479B" w:rsidP="008D479B">
      <w:pPr>
        <w:pStyle w:val="TextoNormal"/>
      </w:pPr>
    </w:p>
    <w:p w14:paraId="27076108" w14:textId="77777777" w:rsidR="008D479B" w:rsidRDefault="008D479B" w:rsidP="008D479B">
      <w:pPr>
        <w:pStyle w:val="TextoNormal"/>
      </w:pPr>
      <w:r>
        <w:t>El fiscal señala que en el presente caso la condena del demandante de amparo se fundamenta, según se razona en la sentencia condenatoria, confirmada en apelación, en pruebas de cargo válidamente practicadas en el juicio oral, singularmente las declaraciones prestadas por los dos agentes de la Guardia Urbana que depusieron como testigos, que fueron quienes instalaron una cámara de video en el garaje donde se hallaba estacionado el vehículo en el que fue encontrado el alijo de hachís, así como las periciales toxicológicas efectuadas, que no han sido impugnadas —como tampoco la cadena de custodia— ni en cuanto a la identificación de la sustancia aprehendida (hachís) ni en cuanto a su peso y pureza. Además, en el domicilio que compartían ambos acusados se encontró una importante cantidad de dinero en efectivo escondida, cuya posesión no fue debidamente justificada por el demandante. Hubo, en suma, prueba de cargo directa, practicada en el juicio oral con plenas garantías, de la que los órganos judiciales de instancia y apelación han deducido racional y lógicamente la culpabilidad del demandante de amparo. En consecuencia, debe descartarse la pretendida lesión del derecho a la presunción de inocencia (art. 24.2 CE).</w:t>
      </w:r>
    </w:p>
    <w:p w14:paraId="78FB9282" w14:textId="77777777" w:rsidR="008D479B" w:rsidRDefault="008D479B" w:rsidP="008D479B">
      <w:pPr>
        <w:pStyle w:val="TextoNormal"/>
      </w:pPr>
    </w:p>
    <w:p w14:paraId="03B79B67" w14:textId="6C4DF7CB" w:rsidR="008D479B" w:rsidRDefault="008D479B" w:rsidP="008D479B">
      <w:pPr>
        <w:pStyle w:val="TextoNormal"/>
      </w:pPr>
      <w:r>
        <w:t>Por todo ello, el Ministerio Fiscal interesa que se inadmita la queja que la demanda de amparo dirige frente a la providencia de la Sala de lo Penal del Tribunal Supremo, por falta de agotamiento de la vía judicial y que se desestimen las quejas restantes.</w:t>
      </w:r>
    </w:p>
    <w:p w14:paraId="4D79694D" w14:textId="77777777" w:rsidR="008D479B" w:rsidRDefault="008D479B" w:rsidP="008D479B">
      <w:pPr>
        <w:pStyle w:val="TextoNormal"/>
      </w:pPr>
    </w:p>
    <w:p w14:paraId="622A675C" w14:textId="0FCC14EF" w:rsidR="008D479B" w:rsidRDefault="008D479B" w:rsidP="008D479B">
      <w:pPr>
        <w:pStyle w:val="TextoNormal"/>
      </w:pPr>
      <w:r w:rsidRPr="008D479B">
        <w:rPr>
          <w:rStyle w:val="NumeroAFNegritaCaracter"/>
        </w:rPr>
        <w:t>9</w:t>
      </w:r>
      <w:r>
        <w:t>. Por providencia de 7 de septiembre de 2023 se señaló para deliberación y votación de la presente sentencia el día 11 del mismo mes y año.</w:t>
      </w:r>
    </w:p>
    <w:p w14:paraId="2D0B06C0" w14:textId="77777777" w:rsidR="008D479B" w:rsidRDefault="008D479B" w:rsidP="008D479B">
      <w:pPr>
        <w:pStyle w:val="TextoNormal"/>
      </w:pPr>
    </w:p>
    <w:p w14:paraId="195CAA8A" w14:textId="77777777" w:rsidR="008D479B" w:rsidRDefault="008D479B" w:rsidP="008D479B">
      <w:pPr>
        <w:pStyle w:val="TextoNormalNegritaCentrado"/>
        <w:keepNext/>
      </w:pPr>
      <w:r>
        <w:t>II. Fundamentos jurídicos</w:t>
      </w:r>
    </w:p>
    <w:p w14:paraId="1F73C83D" w14:textId="37D59FB5" w:rsidR="008D479B" w:rsidRDefault="008D479B" w:rsidP="008D479B">
      <w:pPr>
        <w:pStyle w:val="TextoNormalNegritaCentrado"/>
        <w:keepNext/>
      </w:pPr>
    </w:p>
    <w:p w14:paraId="3B8C0DDE" w14:textId="77777777" w:rsidR="008D479B" w:rsidRDefault="008D479B" w:rsidP="008D479B">
      <w:pPr>
        <w:pStyle w:val="TextoNormal"/>
      </w:pPr>
      <w:r w:rsidRPr="008D479B">
        <w:rPr>
          <w:rStyle w:val="NumeroAFNegritaCaracter"/>
        </w:rPr>
        <w:t>1</w:t>
      </w:r>
      <w:r>
        <w:t xml:space="preserve">. </w:t>
      </w:r>
      <w:r w:rsidRPr="008D479B">
        <w:rPr>
          <w:i/>
        </w:rPr>
        <w:t>Objeto del recurso de amparo</w:t>
      </w:r>
    </w:p>
    <w:p w14:paraId="29E14ABE" w14:textId="77777777" w:rsidR="008D479B" w:rsidRDefault="008D479B" w:rsidP="008D479B">
      <w:pPr>
        <w:pStyle w:val="TextoNormal"/>
      </w:pPr>
    </w:p>
    <w:p w14:paraId="6C9734CC" w14:textId="77777777" w:rsidR="008D479B" w:rsidRDefault="008D479B" w:rsidP="008D479B">
      <w:pPr>
        <w:pStyle w:val="TextoNormal"/>
      </w:pPr>
      <w:r>
        <w:t>El recurrente impugna la sentencia del Juzgado de lo Penal núm. 4 de Barcelona que le condenó como autor de un delito de tráfico de drogas en su modalidad de sustancias que no causan un grave daño a la salud, así como la sentencia dictada en apelación por la audiencia provincial de dicha capital, que vino a confirmar esa condena (salvo en lo atinente al pronunciamiento relativo a la expulsión del territorio español en el momento de acceder al tercer grado penitenciario, o cuando hubiera cumplido las dos terceras partes de la condena); también impugna la providencia de la Sala de lo Penal del Tribunal Supremo que inadmitió el recurso de casación interpuesto contra la anterior sentencia, por carencia de interés casacional.</w:t>
      </w:r>
    </w:p>
    <w:p w14:paraId="22446658" w14:textId="77777777" w:rsidR="008D479B" w:rsidRDefault="008D479B" w:rsidP="008D479B">
      <w:pPr>
        <w:pStyle w:val="TextoNormal"/>
      </w:pPr>
    </w:p>
    <w:p w14:paraId="6D6F75F5" w14:textId="77777777" w:rsidR="008D479B" w:rsidRDefault="008D479B" w:rsidP="008D479B">
      <w:pPr>
        <w:pStyle w:val="TextoNormal"/>
      </w:pPr>
      <w:r>
        <w:t>El recurrente formula varias quejas en su demanda de amparo. En primer lugar, alega la vulneración del derecho a la intimidad y a la propia imagen (art. 18.1 CE), en relación con el principio de legalidad penal (art. 25.1 CE), porque la investigación que ha conducido a su condena tendría su origen en la instalación de cámaras de grabación de imágenes por la Guardia Urbana de Barcelona en el garaje de una comunidad de vecinos, sin autorización judicial ni permiso de la comunidad o comunicación a la autoridad competente.</w:t>
      </w:r>
    </w:p>
    <w:p w14:paraId="5E321B00" w14:textId="77777777" w:rsidR="008D479B" w:rsidRDefault="008D479B" w:rsidP="008D479B">
      <w:pPr>
        <w:pStyle w:val="TextoNormal"/>
      </w:pPr>
    </w:p>
    <w:p w14:paraId="704E2686" w14:textId="77777777" w:rsidR="008D479B" w:rsidRDefault="008D479B" w:rsidP="008D479B">
      <w:pPr>
        <w:pStyle w:val="TextoNormal"/>
      </w:pPr>
      <w:r>
        <w:t>Sostiene, asimismo, que la providencia que inadmitió su recurso de casación vulnera el derecho a la tutela judicial efectiva sin indefensión (art. 24.1 CE), porque carece de motivación suficiente.</w:t>
      </w:r>
    </w:p>
    <w:p w14:paraId="1686C171" w14:textId="77777777" w:rsidR="008D479B" w:rsidRDefault="008D479B" w:rsidP="008D479B">
      <w:pPr>
        <w:pStyle w:val="TextoNormal"/>
      </w:pPr>
    </w:p>
    <w:p w14:paraId="6C901281" w14:textId="77777777" w:rsidR="008D479B" w:rsidRDefault="008D479B" w:rsidP="008D479B">
      <w:pPr>
        <w:pStyle w:val="TextoNormal"/>
      </w:pPr>
      <w:r>
        <w:t>Alega también la lesión del derecho a la presunción de inocencia (art. 24.2 CE), por entender que, además de que las imágenes grabadas en el garaje no tienen validez por haber sido captadas vulnerando el art. 18.1 CE, no existen pruebas de cargo que acrediten su participación en el delito de tráfico de drogas por el que ha sido condenado.</w:t>
      </w:r>
    </w:p>
    <w:p w14:paraId="46313669" w14:textId="77777777" w:rsidR="008D479B" w:rsidRDefault="008D479B" w:rsidP="008D479B">
      <w:pPr>
        <w:pStyle w:val="TextoNormal"/>
      </w:pPr>
    </w:p>
    <w:p w14:paraId="21970267" w14:textId="77777777" w:rsidR="008D479B" w:rsidRDefault="008D479B" w:rsidP="008D479B">
      <w:pPr>
        <w:pStyle w:val="TextoNormal"/>
      </w:pPr>
      <w:r>
        <w:t>Por último, considera lesionado el derecho a un proceso con todas las garantías (art. 24.2 CE), en la vertiente del derecho a un juez imparcial, por entender que la juzgadora se extralimitó en su función de dirección de los debates durante el juicio oral, por cuanto sus intervenciones evidenciarían su alineamiento con la tesis acusatoria, a lo que se añade que olvidó al inicio del juicio dar la palabra a las partes para el trámite de cuestiones previas, así como de facilitar la traducción al árabe de las declaraciones que se estaban prestando en la vista, omisiones ambas que no fueron subsanadas hasta que así le fue solicitado por el abogado defensor.</w:t>
      </w:r>
    </w:p>
    <w:p w14:paraId="7BAEECA9" w14:textId="77777777" w:rsidR="008D479B" w:rsidRDefault="008D479B" w:rsidP="008D479B">
      <w:pPr>
        <w:pStyle w:val="TextoNormal"/>
      </w:pPr>
    </w:p>
    <w:p w14:paraId="0680AEDE" w14:textId="266FD5AC" w:rsidR="008D479B" w:rsidRDefault="008D479B" w:rsidP="008D479B">
      <w:pPr>
        <w:pStyle w:val="TextoNormal"/>
      </w:pPr>
      <w:r>
        <w:t>El Ministerio Fiscal, conforme a las alegaciones que han quedado resumidas en el relato de antecedentes de la presente sentencia, interesa que se inadmita la queja que la demanda de amparo dirige frente a la providencia de la Sala de lo Penal del Tribunal Supremo, por falta de agotamiento de la vía judicial, ya que el recurrente no acudió al incidente de nulidad de actuaciones (art. 241.1 LOPJ) y que se desestimen las quejas restantes, por entender que no se han producido las vulneraciones de derechos que alega el recurrente.</w:t>
      </w:r>
    </w:p>
    <w:p w14:paraId="5A9AB9B9" w14:textId="77777777" w:rsidR="008D479B" w:rsidRDefault="008D479B" w:rsidP="008D479B">
      <w:pPr>
        <w:pStyle w:val="TextoNormal"/>
      </w:pPr>
    </w:p>
    <w:p w14:paraId="5D2AC64E" w14:textId="77777777" w:rsidR="008D479B" w:rsidRDefault="008D479B" w:rsidP="008D479B">
      <w:pPr>
        <w:pStyle w:val="TextoNormal"/>
      </w:pPr>
      <w:r w:rsidRPr="008D479B">
        <w:rPr>
          <w:rStyle w:val="NumeroAFNegritaCaracter"/>
        </w:rPr>
        <w:t>2</w:t>
      </w:r>
      <w:r>
        <w:t xml:space="preserve">. </w:t>
      </w:r>
      <w:r w:rsidRPr="008D479B">
        <w:rPr>
          <w:i/>
        </w:rPr>
        <w:t>Especial trascendencia constitucional del recurso</w:t>
      </w:r>
    </w:p>
    <w:p w14:paraId="0C656636" w14:textId="77777777" w:rsidR="008D479B" w:rsidRDefault="008D479B" w:rsidP="008D479B">
      <w:pPr>
        <w:pStyle w:val="TextoNormal"/>
      </w:pPr>
    </w:p>
    <w:p w14:paraId="799CD6CD" w14:textId="77777777" w:rsidR="008D479B" w:rsidRDefault="008D479B" w:rsidP="008D479B">
      <w:pPr>
        <w:pStyle w:val="TextoNormal"/>
      </w:pPr>
      <w:r>
        <w:t xml:space="preserve">Exigencias de certeza y buena administración de justicia (STEDH de 20 de enero de 2015, asunto </w:t>
      </w:r>
      <w:r w:rsidRPr="008D479B">
        <w:rPr>
          <w:i/>
        </w:rPr>
        <w:t>Arribas Antón c. España</w:t>
      </w:r>
      <w:r>
        <w:t>, § 46) obligan a explicitar el cumplimiento del requisito sustantivo de la especial trascendencia constitucional (art. 50.1 LOTC) en el presente recurso de amparo, a fin de hacer así reconocibles los criterios empleados al efecto por este tribunal para su admisión a trámite. Debe recordarse en este sentido que decidimos admitir este recurso (providencia de 23 de marzo de 2022) al apreciar que concurre en el mismo una especial trascendencia constitucional, porque plantea un problema o afecta a una faceta de un derecho fundamental sobre el que no hay doctrina de este tribunal [STC 155/2009, de 25 de junio, FJ 2 a)].</w:t>
      </w:r>
    </w:p>
    <w:p w14:paraId="643EC1D7" w14:textId="77777777" w:rsidR="008D479B" w:rsidRDefault="008D479B" w:rsidP="008D479B">
      <w:pPr>
        <w:pStyle w:val="TextoNormal"/>
      </w:pPr>
    </w:p>
    <w:p w14:paraId="6596F00B" w14:textId="57FB4590" w:rsidR="008D479B" w:rsidRDefault="008D479B" w:rsidP="008D479B">
      <w:pPr>
        <w:pStyle w:val="TextoNormal"/>
      </w:pPr>
      <w:r>
        <w:t>En efecto, la cuestión planteada en este recurso de amparo da ocasión al Tribunal Constitucional para sentar doctrina sobre un problema o faceta del derecho fundamental a la intimidad, o bien del derecho a la propia imagen (art. 18.1 CE), como consecuencia de la utilización de dispositivos de captación y grabación de las imágenes de personas en el curso de una investigación penal, cuestión sobre la que incide la reforma introducida por la Ley Orgánica 13/2015, de 5 de octubre, de modificación de la Ley de enjuiciamiento criminal para el fortalecimiento de las garantías procesales y la regulación de las medidas de investigación tecnológica, y en la que se introdujeron medidas limitadoras del derecho a la intimidad y de otros derechos fundamentales antes aludidos. En concreto, este tribunal no se ha pronunciado acerca de los lugares en los que la policía judicial, sin previa autorización del juez instructor, puede instalar válidamente dispositivos de captación y grabación de imágenes en el marco de la investigación de un delito.</w:t>
      </w:r>
    </w:p>
    <w:p w14:paraId="24B28660" w14:textId="77777777" w:rsidR="008D479B" w:rsidRDefault="008D479B" w:rsidP="008D479B">
      <w:pPr>
        <w:pStyle w:val="TextoNormal"/>
      </w:pPr>
    </w:p>
    <w:p w14:paraId="473B212C" w14:textId="77777777" w:rsidR="008D479B" w:rsidRDefault="008D479B" w:rsidP="008D479B">
      <w:pPr>
        <w:pStyle w:val="TextoNormal"/>
      </w:pPr>
      <w:r w:rsidRPr="008D479B">
        <w:rPr>
          <w:rStyle w:val="NumeroAFNegritaCaracter"/>
        </w:rPr>
        <w:t>3</w:t>
      </w:r>
      <w:r>
        <w:t xml:space="preserve">. </w:t>
      </w:r>
      <w:r w:rsidRPr="008D479B">
        <w:rPr>
          <w:i/>
        </w:rPr>
        <w:t>Orden de enjuiciamiento de las vulneraciones invocadas: doctrina de la mayor retroacción. Óbice de falta de agotamiento de la vía judicial</w:t>
      </w:r>
    </w:p>
    <w:p w14:paraId="0A280B2B" w14:textId="77777777" w:rsidR="008D479B" w:rsidRDefault="008D479B" w:rsidP="008D479B">
      <w:pPr>
        <w:pStyle w:val="TextoNormal"/>
      </w:pPr>
    </w:p>
    <w:p w14:paraId="2ED664B3" w14:textId="77777777" w:rsidR="008D479B" w:rsidRDefault="008D479B" w:rsidP="008D479B">
      <w:pPr>
        <w:pStyle w:val="TextoNormal"/>
      </w:pPr>
      <w:r>
        <w:t>Antes de examinar las quejas planteadas en la demanda de amparo, hemos de determinar el orden apropiado para su enjuiciamiento constitucional, que, como apunta el Ministerio Fiscal en sus alegaciones, debe ajustarse al criterio de la mayor retroacción. Así, en las SSTC 90/2010, de 15 de noviembre, FJ 2; 25/2012, de 27 de febrero, FJ 2, y 41/2020, de 9 de marzo, FJ 2, entre otras muchas, este tribunal ha subrayado la prioridad que debe concederse al examen de aquellas quejas que, de prosperar, determinen la retroacción a un momento procesal anterior, haciendo innecesario un pronunciamiento sobre las restantes.</w:t>
      </w:r>
    </w:p>
    <w:p w14:paraId="030C3B92" w14:textId="77777777" w:rsidR="008D479B" w:rsidRDefault="008D479B" w:rsidP="008D479B">
      <w:pPr>
        <w:pStyle w:val="TextoNormal"/>
      </w:pPr>
    </w:p>
    <w:p w14:paraId="0D812F64" w14:textId="77777777" w:rsidR="008D479B" w:rsidRDefault="008D479B" w:rsidP="008D479B">
      <w:pPr>
        <w:pStyle w:val="TextoNormal"/>
      </w:pPr>
      <w:r>
        <w:t>La aplicación de esta doctrina al caso nos lleva a examinar, en primer término, la pretendida lesión del derecho a la tutela judicial efectiva sin indefensión que se imputa a la providencia de la Sala de lo Penal del Tribunal Supremo que inadmitió el recurso de casación por carencia de interés casacional; queja esta que, como se ha indicado, el Ministerio Fiscal considera que incurre en el óbice de admisibilidad de la falta de agotamiento de todos los medios de impugnación previstos por las normas procesales dentro de la vía judicial [art. 44.1 a) LOTC, en relación con el art. 50.1 a) LOTC].</w:t>
      </w:r>
    </w:p>
    <w:p w14:paraId="1A94932D" w14:textId="77777777" w:rsidR="008D479B" w:rsidRDefault="008D479B" w:rsidP="008D479B">
      <w:pPr>
        <w:pStyle w:val="TextoNormal"/>
      </w:pPr>
    </w:p>
    <w:p w14:paraId="572712FC" w14:textId="77777777" w:rsidR="008D479B" w:rsidRDefault="008D479B" w:rsidP="008D479B">
      <w:pPr>
        <w:pStyle w:val="TextoNormal"/>
      </w:pPr>
      <w:r>
        <w:t>Seguidamente habría de entrarse a examinar la alegada vulneración del derecho al juez imparcial, que forma parte del derecho a un proceso con todas las garantías (art. 24.2 CE), dado que la eventual estimación de este motivo del recurso de amparo comportaría retrotraer las actuaciones a un momento previo a la celebración del juicio oral, para que, ante un magistrado distinto, se celebrase un nuevo juicio, lo que haría innecesario el enjuiciamiento del resto de motivos del recurso de amparo. Y en el caso de que no proceda la estimación de esta queja, correspondería enjuiciar la referida a la infracción del art. 18.1 CE.</w:t>
      </w:r>
    </w:p>
    <w:p w14:paraId="33427875" w14:textId="77777777" w:rsidR="008D479B" w:rsidRDefault="008D479B" w:rsidP="008D479B">
      <w:pPr>
        <w:pStyle w:val="TextoNormal"/>
      </w:pPr>
    </w:p>
    <w:p w14:paraId="2E3089F7" w14:textId="77777777" w:rsidR="008D479B" w:rsidRDefault="008D479B" w:rsidP="008D479B">
      <w:pPr>
        <w:pStyle w:val="TextoNormal"/>
      </w:pPr>
      <w:r>
        <w:t>Pues bien, por lo que atañe a la pretendida vulneración del derecho a la tutela judicial efectiva sin indefensión (art. 24.1 CE) en que habría incurrido la providencia de la Sala de lo Penal del Tribunal Supremo que inadmitió el recurso de casación, por falta de motivación de las razones de esa decisión, procede estimar el óbice de inadmisibilidad alegado por el Ministerio Fiscal. En efecto, esta queja del recurrente debe ser inadmitida por incumplir el requisito de agotar la vía judicial [art. 44.1 a) LOTC, en relación con el art. 50.1 a) LOTC], toda vez que, antes de acudir al recurso de amparo, debió promover el incidente de nulidad de actuaciones del art. 241.1 LOPJ.</w:t>
      </w:r>
    </w:p>
    <w:p w14:paraId="3085ACC9" w14:textId="77777777" w:rsidR="008D479B" w:rsidRDefault="008D479B" w:rsidP="008D479B">
      <w:pPr>
        <w:pStyle w:val="TextoNormal"/>
      </w:pPr>
    </w:p>
    <w:p w14:paraId="54BD4211" w14:textId="77777777" w:rsidR="008D479B" w:rsidRDefault="008D479B" w:rsidP="008D479B">
      <w:pPr>
        <w:pStyle w:val="TextoNormal"/>
      </w:pPr>
      <w:r>
        <w:t>Conforme al art. 44.1 a) LOTC las violaciones de derechos fundamentales por actos u omisiones de órganos judiciales podrán dar lugar al recurso de amparo si, entre otros requisitos, se cumple el de haber agotado todos los medios de impugnación previstos por las normas procesales. Tal exigencia responde, como viene poniendo de relieve este tribunal reiteradamente, al carácter subsidiario con el que está configurado aquel recurso en la Constitución, como vía especial y extraordinaria (por todas, STC 185/1990, de 15 de noviembre, FJ 4), posterior a la defensa de los derechos y libertades ante los jueces y tribunales ordinarios, a los que el art. 53.2 CE encomienda su tutela como primeros garantes (SSTC 107/2011, de 20 de junio, FJ 5, y 180/2015, de 7 de septiembre, FJ 2, entre otras).</w:t>
      </w:r>
    </w:p>
    <w:p w14:paraId="3C74E496" w14:textId="77777777" w:rsidR="008D479B" w:rsidRDefault="008D479B" w:rsidP="008D479B">
      <w:pPr>
        <w:pStyle w:val="TextoNormal"/>
      </w:pPr>
    </w:p>
    <w:p w14:paraId="632FB56E" w14:textId="77777777" w:rsidR="008D479B" w:rsidRDefault="008D479B" w:rsidP="008D479B">
      <w:pPr>
        <w:pStyle w:val="TextoNormal"/>
      </w:pPr>
      <w:r>
        <w:t xml:space="preserve">Entre los remedios procesales que los demandantes de amparo han de intentar se encuentra el incidente de nulidad de actuaciones regulado en el art. 241.1 LOPJ, cuando resulte procedente y adecuado para tutelar la libertad o derecho que se entiende vulnerado (por todas, STC 107/2021, de 13 de mayo, FJ 2). Es lo que sucede en el presente caso. En efecto, en términos del art. 44.1 LOTC, la violación del derecho a la tutela judicial efectiva tendría su origen inmediato y directo en la providencia de inadmisión del recurso de casación, y no en ninguna otra resolución anterior, por lo que es patente que la supuesta lesión no pudo ser denunciada antes de recaer dicha providencia. Esta resolución, en fin, no era susceptible de recurso alguno, en virtud del art. 892 LECrim. El incidente de nulidad de actuaciones era, por tanto, un remedio procesal procedente y claramente ejercitable </w:t>
      </w:r>
      <w:r w:rsidRPr="008D479B">
        <w:rPr>
          <w:i/>
        </w:rPr>
        <w:t>ex</w:t>
      </w:r>
      <w:r>
        <w:t xml:space="preserve"> art. 241.1 LOPJ “sin necesidad de superar unas dificultades interpretativas mayores de lo exigible razonablemente” (SSTC 131/2016, de 18 de julio, FJ 2, y 189/2016, de 14 de noviembre, FJ 3, por todas), que habría permitido al Tribunal Supremo reparar, en su caso, la pretendida vulneración del derecho a la tutela judicial efectiva que se denuncia </w:t>
      </w:r>
      <w:r w:rsidRPr="008D479B">
        <w:rPr>
          <w:i/>
        </w:rPr>
        <w:t>per saltum</w:t>
      </w:r>
      <w:r>
        <w:t xml:space="preserve"> en el presente recurso de amparo, preservando su naturaleza subsidiaria.</w:t>
      </w:r>
    </w:p>
    <w:p w14:paraId="76F160D4" w14:textId="77777777" w:rsidR="008D479B" w:rsidRDefault="008D479B" w:rsidP="008D479B">
      <w:pPr>
        <w:pStyle w:val="TextoNormal"/>
      </w:pPr>
    </w:p>
    <w:p w14:paraId="13DAD981" w14:textId="444B7A3D" w:rsidR="008D479B" w:rsidRDefault="008D479B" w:rsidP="008D479B">
      <w:pPr>
        <w:pStyle w:val="TextoNormal"/>
      </w:pPr>
      <w:r>
        <w:t>La alegada lesión del derecho a la tutela judicial efectiva sin indefensión (art. 24.1 CE) ha de ser, por tanto, inadmitida, lo que no impide entrar a examinar el resto de las quejas formuladas en la demanda de amparo, en las que no concurre el óbice de falta de agotamiento de la vía judicial (por todas, STC 101/2018, de 1 de octubre, FJ 2). Habremos de ocuparnos seguidamente, por tanto, conforme a lo antes señalado, de la queja relativa a la vulneración del derecho a un proceso con todas las garantías (art. 24.2 CE), en la vertiente del derecho al juez imparcial.</w:t>
      </w:r>
    </w:p>
    <w:p w14:paraId="14497F38" w14:textId="77777777" w:rsidR="008D479B" w:rsidRDefault="008D479B" w:rsidP="008D479B">
      <w:pPr>
        <w:pStyle w:val="TextoNormal"/>
      </w:pPr>
    </w:p>
    <w:p w14:paraId="7B55FC39" w14:textId="77777777" w:rsidR="008D479B" w:rsidRDefault="008D479B" w:rsidP="008D479B">
      <w:pPr>
        <w:pStyle w:val="TextoNormal"/>
      </w:pPr>
      <w:r w:rsidRPr="008D479B">
        <w:rPr>
          <w:rStyle w:val="NumeroAFNegritaCaracter"/>
        </w:rPr>
        <w:t>4</w:t>
      </w:r>
      <w:r>
        <w:t xml:space="preserve">. </w:t>
      </w:r>
      <w:r w:rsidRPr="008D479B">
        <w:rPr>
          <w:i/>
        </w:rPr>
        <w:t>El derecho a un juez imparcial. Doctrina constitucional</w:t>
      </w:r>
    </w:p>
    <w:p w14:paraId="7AB192F1" w14:textId="77777777" w:rsidR="008D479B" w:rsidRDefault="008D479B" w:rsidP="008D479B">
      <w:pPr>
        <w:pStyle w:val="TextoNormal"/>
      </w:pPr>
    </w:p>
    <w:p w14:paraId="25260029" w14:textId="77777777" w:rsidR="008D479B" w:rsidRDefault="008D479B" w:rsidP="008D479B">
      <w:pPr>
        <w:pStyle w:val="TextoNormal"/>
      </w:pPr>
      <w:r>
        <w:t>Como se ha indicado, el recurrente aduce que se ha vulnerado el derecho a un juez imparcial, que forma parte del derecho a un proceso con todas las garantías (art. 24.2 CE), como consecuencia de la pérdida de la necesaria imparcialidad judicial, en su vertiente objetiva, de la magistrada del Juzgado de lo Penal núm. 4 de Barcelona, que conoció del procedimiento abreviado en el que aquel resultó finalmente condenado como autor de un delito de tráfico de drogas, en su modalidad de sustancias que no causan un grave daño a la salud.</w:t>
      </w:r>
    </w:p>
    <w:p w14:paraId="7B8524DF" w14:textId="77777777" w:rsidR="008D479B" w:rsidRDefault="008D479B" w:rsidP="008D479B">
      <w:pPr>
        <w:pStyle w:val="TextoNormal"/>
      </w:pPr>
    </w:p>
    <w:p w14:paraId="578CD751" w14:textId="77777777" w:rsidR="008D479B" w:rsidRDefault="008D479B" w:rsidP="008D479B">
      <w:pPr>
        <w:pStyle w:val="TextoNormal"/>
      </w:pPr>
      <w:r>
        <w:t>La queja trae causa de las intervenciones de la juzgadora durante el juicio oral, mediante las cuales esta habría traspasado las facultades de dirección del debate oral (art. 683 LECrim) y revelado una toma de posición favorable a las tesis de la acusación, pues interrumpió en varias ocasiones al letrado defensor, indicándole cómo debía hacer las preguntas, con el argumento de que pretendía encauzar las respuestas y, sin embargo, no hizo lo mismo en el caso del Ministerio Fiscal, que nunca fue interrumpido ni corregido, a pesar de haber realizado el mismo método de interrogatorio. A lo que se añade que, con ocasión de una pregunta que el letrado defensor formuló a uno de los agentes de la Guardia Urbana que declararon en el juicio como testigos de la acusación, mediante la que se pretendía aclarar por qué no se procedió a la detención del recurrente en el mes de febrero de 2019 si ya se tenían sospechas entonces de su implicación en un delito de tráfico de drogas, la juzgadora intervino para proporcionar al agente la contestación que entendía correcta para hacerla coincidir con la del otro testigo.</w:t>
      </w:r>
    </w:p>
    <w:p w14:paraId="4B112E7A" w14:textId="77777777" w:rsidR="008D479B" w:rsidRDefault="008D479B" w:rsidP="008D479B">
      <w:pPr>
        <w:pStyle w:val="TextoNormal"/>
      </w:pPr>
    </w:p>
    <w:p w14:paraId="68E56759" w14:textId="77777777" w:rsidR="008D479B" w:rsidRDefault="008D479B" w:rsidP="008D479B">
      <w:pPr>
        <w:pStyle w:val="TextoNormal"/>
      </w:pPr>
      <w:r>
        <w:t>Otros extremos que, según el recurrente, evidenciarían la pérdida de imparcialidad de la juzgadora serían que se olvidó al inicio del juicio oral de dar la palabra a las partes para el trámite de cuestiones previas y de facilitar la traducción al árabe de las declaraciones que se estaban prestando en la vista, omisiones que solo subsanó cuando se lo advirtió el abogado defensor.</w:t>
      </w:r>
    </w:p>
    <w:p w14:paraId="6CC80BA6" w14:textId="77777777" w:rsidR="008D479B" w:rsidRDefault="008D479B" w:rsidP="008D479B">
      <w:pPr>
        <w:pStyle w:val="TextoNormal"/>
      </w:pPr>
    </w:p>
    <w:p w14:paraId="687D757E" w14:textId="77777777" w:rsidR="008D479B" w:rsidRDefault="008D479B" w:rsidP="008D479B">
      <w:pPr>
        <w:pStyle w:val="TextoNormal"/>
      </w:pPr>
      <w:r>
        <w:t>La pretendida falta de imparcialidad de la juzgadora por el modo en que dirigió los debates en el juicio oral, el olvido de dar trámite para la formulación de las cuestiones previas y la circunstancia de que la intérprete de árabe no empezara a traducir hasta que lo pidió el letrado de la defensa, fue planteada en el recurso de apelación. Esta alegación fue desestimada por la Audiencia Provincial de Barcelona, que señala en su sentencia que la imparcialidad solo puede quedar comprometida cuando exista un abuso notorio en las funciones de dirección de los debates del juicio “en el sentido que, excediéndose de la función que el juzgador tiene legalmente encomendada (y con ello, también de las aclaraciones que puede solicitar sobre las preguntas efectuadas), supla la función de alguna de las partes”, lo que entiende que no acontece en este caso, “pese a las incidencias puestas de manifiesto”.</w:t>
      </w:r>
    </w:p>
    <w:p w14:paraId="264E1FA6" w14:textId="77777777" w:rsidR="008D479B" w:rsidRDefault="008D479B" w:rsidP="008D479B">
      <w:pPr>
        <w:pStyle w:val="TextoNormal"/>
      </w:pPr>
    </w:p>
    <w:p w14:paraId="3B228293" w14:textId="77777777" w:rsidR="008D479B" w:rsidRDefault="008D479B" w:rsidP="008D479B">
      <w:pPr>
        <w:pStyle w:val="TextoNormal"/>
      </w:pPr>
      <w:r>
        <w:t xml:space="preserve">Para dar respuesta a la queja del recurrente en amparo procede recordar que este tribunal ha afirmado reiteradamente (SSTC 162/1999, de 27 de septiembre, FJ 5; 5/2004, de 16 de enero, FJ 2; 140/2004, de 13 de septiembre, FJ 5; 60/2008, de 26 de mayo, FJ 3; 47/2011, de 12 de abril, FJ 9; 205/2013, de 5 de diciembre, FJ 2; 133/2014, de 22 de julio, FJ 2, y 25/2022, de 23 de febrero, FJ 2.1, entre otras muchas), en coincidencia con la doctrina del Tribunal Europeo de Derechos Humanos (por todas, STEDH de 15 de octubre de 2009, caso </w:t>
      </w:r>
      <w:r w:rsidRPr="008D479B">
        <w:rPr>
          <w:i/>
        </w:rPr>
        <w:t>Micallef c. Malta</w:t>
      </w:r>
      <w:r>
        <w:t xml:space="preserve">, y STEDH de 6 de noviembre de 2018, asunto </w:t>
      </w:r>
      <w:r w:rsidRPr="008D479B">
        <w:rPr>
          <w:i/>
        </w:rPr>
        <w:t>Otegi y otros c. España</w:t>
      </w:r>
      <w:r>
        <w:t>) que el derecho a un juez imparcial constituye una garantía fundamental de la administración de justicia en un Estado de Derecho que condiciona su existencia misma, ya que sin juez imparcial no hay, propiamente, proceso jurisdiccional. Por ello, la imparcialidad judicial, además de reconocida explícitamente en el art. 6.1 del Convenio europeo para la protección de los derechos humanos y las libertades fundamentales, está implícita en el derecho a un proceso con todas las garantías (art. 24.2 CE), con una especial trascendencia en el ámbito penal. El reconocimiento de este derecho exige, por estar en juego la confianza que los tribunales deben inspirar en una sociedad democrática, que se garantice al acusado que no concurre ninguna duda razonable sobre la existencia de prejuicios o prevenciones en el órgano judicial.</w:t>
      </w:r>
    </w:p>
    <w:p w14:paraId="0A1A4C9F" w14:textId="77777777" w:rsidR="008D479B" w:rsidRDefault="008D479B" w:rsidP="008D479B">
      <w:pPr>
        <w:pStyle w:val="TextoNormal"/>
      </w:pPr>
    </w:p>
    <w:p w14:paraId="4C81CF9A" w14:textId="77777777" w:rsidR="008D479B" w:rsidRDefault="008D479B" w:rsidP="008D479B">
      <w:pPr>
        <w:pStyle w:val="TextoNormal"/>
      </w:pPr>
      <w:r>
        <w:t xml:space="preserve">En tal sentido, se viene distinguiendo entre una imparcialidad subjetiva, que garantiza que el juez no ha mantenido relaciones indebidas con las partes, en la que se integran todas las dudas que deriven de las relaciones del juez con aquellas, y una imparcialidad objetiva, es decir, referida al objeto del proceso, por la que se asegura que el juez se acerca al </w:t>
      </w:r>
      <w:r w:rsidRPr="008D479B">
        <w:rPr>
          <w:i/>
        </w:rPr>
        <w:t>thema decidendi</w:t>
      </w:r>
      <w:r>
        <w:t xml:space="preserve"> sin haber tomado postura en relación con este, y que debe ser ponderada en cada supuesto concreto. En todo caso, según la misma doctrina, la imparcialidad del juez se presume y las sospechas sobre su idoneidad han de ser probadas y han de fundarse en causas tasadas e interpretadas restrictivamente, sin posibilidad de aplicaciones extensivas o analógicas.</w:t>
      </w:r>
    </w:p>
    <w:p w14:paraId="24A056A4" w14:textId="77777777" w:rsidR="008D479B" w:rsidRDefault="008D479B" w:rsidP="008D479B">
      <w:pPr>
        <w:pStyle w:val="TextoNormal"/>
      </w:pPr>
    </w:p>
    <w:p w14:paraId="24329D0A" w14:textId="77777777" w:rsidR="008D479B" w:rsidRDefault="008D479B" w:rsidP="008D479B">
      <w:pPr>
        <w:pStyle w:val="TextoNormal"/>
      </w:pPr>
      <w:r>
        <w:t>Más concretamente, la jurisprudencia constitucional ha señalado que el derecho a un proceso con todas las garantías, del que forma parte el derecho a un juez imparcial, otorga al acusado en un proceso penal el derecho a exigir del juez la observancia inexcusable de una actitud neutra respecto de las posiciones de las partes en el proceso, siendo un tercero ajeno a los intereses en litigio y, por tanto, a sus titulares y a las funciones que desempeñan. Alejamiento que le permite decidir justamente la controversia, situándose por encima de las partes acusadoras e imputadas (STC 130/2002, de 3 de junio, FJ 3). Por esta razón le está vedado constitucionalmente asumir en el proceso funciones de parte (SSTC 53/1987, de 7 de mayo, FFJJ 1 y 2, y 18/1989, de 30 de enero, FJ 1), o realizar actos en relación con el proceso y sus partes que puedan poner de manifiesto que ha adoptado una previa posición a favor o en contra de una de ellas (STC 162/1999, de 27 de septiembre, FJ 5). También ha señalado la doctrina constitucional que el juez puede traspasar el límite que le impone el principio acusatorio cuando, perdiendo su apariencia de juez objetivamente imparcial, ha llevado a cabo una actividad inquisitiva encubierta al desequilibrar la inicial igualdad procesal de las partes en litigio, al respaldar una petición de una de ellas formulada en clara conculcación de lo dispuesto en la legalidad sustantiva o procesal y que puede deparar un perjuicio a la otra (STC 188/2000, de 10 de julio, FJ 2).</w:t>
      </w:r>
    </w:p>
    <w:p w14:paraId="779A0E08" w14:textId="77777777" w:rsidR="008D479B" w:rsidRDefault="008D479B" w:rsidP="008D479B">
      <w:pPr>
        <w:pStyle w:val="TextoNormal"/>
      </w:pPr>
    </w:p>
    <w:p w14:paraId="72DEDD7A" w14:textId="77777777" w:rsidR="008D479B" w:rsidRDefault="008D479B" w:rsidP="008D479B">
      <w:pPr>
        <w:pStyle w:val="TextoNormal"/>
      </w:pPr>
      <w:r>
        <w:t>En suma, el juez debe mantener una actitud de neutralidad respecto de las posiciones de las partes en el proceso penal, si bien ello no significa que haya de exigirse al órgano judicial una actitud pasiva durante el acto del juicio (STC 229/2003, de 18 de diciembre, FJ 14). En efecto, la observancia de una actitud neutral del órgano judicial respecto de las posiciones de las partes, como contenido del principio acusatorio, si bien exige que el juzgador no emprenda con iniciativas probatorias de oficio una actividad inquisitiva encubierta, no significa que el juez tenga constitucionalmente vedada toda actividad procesal de impulso probatorio respecto de los hechos objeto de los escritos de calificación o como complemento para contrastar o verificar la fiabilidad de las pruebas de los hechos propuestos por las partes, siempre que sirva al designio de comprobar la certeza de elementos de hecho que permitan al juzgador llegar a formar, con las debidas garantías, el criterio preciso para dictar sentencia en el ejercicio de la función jurisdiccional que le es propia (STC 334/2005, de 20 de diciembre, FJ 3). En todo caso, para determinar si en el ejercicio de esa facultad el juez ha comprometido su posición de neutralidad es preciso analizar las circunstancias particulares de cada caso concreto [SSTC 130/2002, FJ 8; 229/2003, FJ 14; 334/2005, FJ 3, y 143/2006, de 8 de mayo, FJ 4 b), por todas].</w:t>
      </w:r>
    </w:p>
    <w:p w14:paraId="34B4D1A3" w14:textId="77777777" w:rsidR="008D479B" w:rsidRDefault="008D479B" w:rsidP="008D479B">
      <w:pPr>
        <w:pStyle w:val="TextoNormal"/>
      </w:pPr>
    </w:p>
    <w:p w14:paraId="0469BF75" w14:textId="76719786" w:rsidR="008D479B" w:rsidRDefault="008D479B" w:rsidP="008D479B">
      <w:pPr>
        <w:pStyle w:val="TextoNormal"/>
      </w:pPr>
      <w:r>
        <w:t>En tal sentido, y por lo que se refiere al supuesto de que por parte del juez (o el presidente del tribunal) se proceda en la vista oral a formular una serie de preguntas al acusado, a la presunta víctima del delito o a los testigos, al amparo de diversas habilitaciones de la Ley de enjuiciamiento criminal, este tribunal ha destacado que no cabe apreciar vulneración del derecho al juez imparcial cuando las preguntas versen sobre los hechos objeto de acusación y pueda entenderse razonablemente que han sido llevadas a cabo para alcanzar un grado preciso de convicción del juzgador para la adopción de su decisión, en busca de la verdad material, sin ser manifestación de una actividad inquisitiva en la que se sustituya a la acusación, ni una toma de partido a favor de las tesis de esta y de ellas no se derive ninguna indefensión para el acusado [SSTC 229/2003, FJ 14; 334/2005, FJ 3; 143/2006, FJ 4 b), y 59/2023, de 23 de mayo, FJ 2].</w:t>
      </w:r>
    </w:p>
    <w:p w14:paraId="602F4CF4" w14:textId="77777777" w:rsidR="008D479B" w:rsidRDefault="008D479B" w:rsidP="008D479B">
      <w:pPr>
        <w:pStyle w:val="TextoNormal"/>
      </w:pPr>
    </w:p>
    <w:p w14:paraId="4F710FA7" w14:textId="77777777" w:rsidR="008D479B" w:rsidRDefault="008D479B" w:rsidP="008D479B">
      <w:pPr>
        <w:pStyle w:val="TextoNormal"/>
      </w:pPr>
      <w:r w:rsidRPr="008D479B">
        <w:rPr>
          <w:rStyle w:val="NumeroAFNegritaCaracter"/>
        </w:rPr>
        <w:t>5</w:t>
      </w:r>
      <w:r>
        <w:t xml:space="preserve">. </w:t>
      </w:r>
      <w:r w:rsidRPr="008D479B">
        <w:rPr>
          <w:i/>
        </w:rPr>
        <w:t>Aplicación al caso de la doctrina constitucional sobre el derecho al juez imparcial. Desestimación de la queja del recurrente</w:t>
      </w:r>
    </w:p>
    <w:p w14:paraId="21E03E0B" w14:textId="77777777" w:rsidR="008D479B" w:rsidRDefault="008D479B" w:rsidP="008D479B">
      <w:pPr>
        <w:pStyle w:val="TextoNormal"/>
      </w:pPr>
    </w:p>
    <w:p w14:paraId="1F64E78C" w14:textId="77777777" w:rsidR="008D479B" w:rsidRDefault="008D479B" w:rsidP="008D479B">
      <w:pPr>
        <w:pStyle w:val="TextoNormal"/>
      </w:pPr>
      <w:r>
        <w:t>Procede determinar si, en atención a la doctrina constitucional expuesta, cabe apreciar en este caso que la intervención de la juzgadora en el plenario, con ocasión del interrogatorio de los testigos de la acusación, supuso anticipar su convicción sobre la prueba practicada y vino a exteriorizar un prejuicio contrario al acusado respecto del fondo de la cuestión debatida o si, por el contrario, puede entenderse razonablemente que no excedió de las facultades que legalmente asisten al juzgador en busca de la verdad material, sin quebranto de la garantía de imparcialidad judicial.</w:t>
      </w:r>
    </w:p>
    <w:p w14:paraId="766F4D12" w14:textId="77777777" w:rsidR="008D479B" w:rsidRDefault="008D479B" w:rsidP="008D479B">
      <w:pPr>
        <w:pStyle w:val="TextoNormal"/>
      </w:pPr>
    </w:p>
    <w:p w14:paraId="1E3713DB" w14:textId="77777777" w:rsidR="008D479B" w:rsidRDefault="008D479B" w:rsidP="008D479B">
      <w:pPr>
        <w:pStyle w:val="TextoNormal"/>
      </w:pPr>
      <w:r>
        <w:t>El examen de las actuaciones conduce a rechazar la queja del recurrente. De entrada, no se aprecia, en contra de lo que se afirma en la demanda de amparo, que la juzgadora interrumpiera reiteradamente al letrado defensor para condicionar su interrogatorio. Por lo demás, no consta que el letrado formulara protesta por el hecho de que se le solicitara por la juzgadora reformular alguna pregunta.</w:t>
      </w:r>
    </w:p>
    <w:p w14:paraId="4B8C0796" w14:textId="77777777" w:rsidR="008D479B" w:rsidRDefault="008D479B" w:rsidP="008D479B">
      <w:pPr>
        <w:pStyle w:val="TextoNormal"/>
      </w:pPr>
    </w:p>
    <w:p w14:paraId="39CD6EB2" w14:textId="77777777" w:rsidR="008D479B" w:rsidRDefault="008D479B" w:rsidP="008D479B">
      <w:pPr>
        <w:pStyle w:val="TextoNormal"/>
      </w:pPr>
      <w:r>
        <w:t>Por lo que se refiere al concreto episodio del interrogatorio del segundo agente de la Guardia Urbana de Barcelona que depuso como testigo, en relación con la pregunta del letrado defensor que inquiría las razones por las que no se procedió a la detención del coacusado K. (hermano del recurrente) hasta el mes de abril de 2019, pese a que ya desde el mes de febrero de ese año la policía tenía sospechas de que pudiera estar implicado en un delito de tráfico de drogas, no se advierte que la juzgadora rebasara las funciones de dirección del debate en el juicio oral que legítimamente le corresponden. Dejando al margen que la cuestión planteada no se refiere directamente al recurrente en amparo, sino a su hermano, lo cierto que, si bien la juzgadora intervino para objetar que el testigo ya había contestado a esa cuestión, pese a ello, ante la discrepancia del letrado defensor, permitió que el testigo contestase a la pregunta, manifestando este que no se produjo antes la detención para no comprometer la investigación. Del examen de lo actuado no es posible concluir, como pretende el recurrente, que la juzgadora interviniese para proporcionar al testigo la contestación que entendía correcta a fin de hacerla coincidir con la declaración del anterior testigo, ni menos aún que esa intervención suponga que la juzgadora hubiera adoptado una previa posición a favor de las tesis de la acusación, comprometiendo su imparcialidad.</w:t>
      </w:r>
    </w:p>
    <w:p w14:paraId="71E1B510" w14:textId="77777777" w:rsidR="008D479B" w:rsidRDefault="008D479B" w:rsidP="008D479B">
      <w:pPr>
        <w:pStyle w:val="TextoNormal"/>
      </w:pPr>
    </w:p>
    <w:p w14:paraId="1592FB50" w14:textId="77777777" w:rsidR="008D479B" w:rsidRDefault="008D479B" w:rsidP="008D479B">
      <w:pPr>
        <w:pStyle w:val="TextoNormal"/>
      </w:pPr>
      <w:r>
        <w:t>Por lo que toca a las incidencias a las que alude el recurrente, referidas a que la juzgadora olvidó al inicio del juicio oral dar la palabra a las partes para el trámite de cuestiones previas y a que no facilitó la traducción de las actuaciones al árabe hasta que le fue solicitado por el abogado defensor, cumple señalar que, al margen de que resultan ajenas al contenido del derecho a un juez imparcial, tampoco han supuesto una vulneración efectiva de las garantías del proceso.</w:t>
      </w:r>
    </w:p>
    <w:p w14:paraId="5603A1E6" w14:textId="77777777" w:rsidR="008D479B" w:rsidRDefault="008D479B" w:rsidP="008D479B">
      <w:pPr>
        <w:pStyle w:val="TextoNormal"/>
      </w:pPr>
    </w:p>
    <w:p w14:paraId="64D712CC" w14:textId="77777777" w:rsidR="008D479B" w:rsidRDefault="008D479B" w:rsidP="008D479B">
      <w:pPr>
        <w:pStyle w:val="TextoNormal"/>
      </w:pPr>
      <w:r>
        <w:t>En efecto, como señala el Ministerio Fiscal, la inicial omisión del trámite de cuestiones previas fue inmediatamente reparada por la juzgadora tras la oportuna advertencia del letrado defensor; este formuló las cuestiones previas que consideró pertinentes, entre ellas la solicitud de nulidad de actuaciones por vulneración del art. 18.1 CE, debido a la grabación de imágenes en el garaje, cuestión que fue desestimada, como consta en la sentencia. Por tanto, se trató de una simple irregularidad procesal, subsanada inmediatamente, sin consecuencias perjudiciales para la defensa del recurrente. En cuanto al retraso en proporcionar una traducción al árabe durante el juicio oral, conviene advertir que no era el recurrente quien precisaba de intérprete, sino su hermano y coacusado K. (el examen de lo actuado evidencia que el recurrente comprende bien y se expresa con fluidez en castellano), a quien por otra parte se le facilitó por la juzgadora esa traducción simultánea tras solicitarlo su letrado defensor; es decir, se subsanó igualmente esa inicial omisión.</w:t>
      </w:r>
    </w:p>
    <w:p w14:paraId="50E32739" w14:textId="77777777" w:rsidR="008D479B" w:rsidRDefault="008D479B" w:rsidP="008D479B">
      <w:pPr>
        <w:pStyle w:val="TextoNormal"/>
      </w:pPr>
    </w:p>
    <w:p w14:paraId="77945CC4" w14:textId="6D8D8369" w:rsidR="008D479B" w:rsidRDefault="008D479B" w:rsidP="008D479B">
      <w:pPr>
        <w:pStyle w:val="TextoNormal"/>
      </w:pPr>
      <w:r>
        <w:t>En conclusión, a la vista de las circunstancias del presente caso, la actuación de la juzgadora no comprometió en modo alguno la posición de neutralidad constitucionalmente exigible a todo juez o tribunal, lo que lleva a descartar la pretendida vulneración del derecho a un proceso con todas las garantías (art. 24.2 CE), en la vertiente del derecho al juez imparcial.</w:t>
      </w:r>
    </w:p>
    <w:p w14:paraId="6EBC0353" w14:textId="77777777" w:rsidR="008D479B" w:rsidRDefault="008D479B" w:rsidP="008D479B">
      <w:pPr>
        <w:pStyle w:val="TextoNormal"/>
      </w:pPr>
    </w:p>
    <w:p w14:paraId="0CD38F5A" w14:textId="77777777" w:rsidR="008D479B" w:rsidRDefault="008D479B" w:rsidP="008D479B">
      <w:pPr>
        <w:pStyle w:val="TextoNormal"/>
      </w:pPr>
      <w:r w:rsidRPr="008D479B">
        <w:rPr>
          <w:rStyle w:val="NumeroAFNegritaCaracter"/>
        </w:rPr>
        <w:t>6</w:t>
      </w:r>
      <w:r>
        <w:t xml:space="preserve">. </w:t>
      </w:r>
      <w:r w:rsidRPr="008D479B">
        <w:rPr>
          <w:i/>
        </w:rPr>
        <w:t>Los derechos fundamentales a la intimidad y a la propia imagen. Delimitación de la queja del recurrente</w:t>
      </w:r>
    </w:p>
    <w:p w14:paraId="4A0C04AA" w14:textId="77777777" w:rsidR="008D479B" w:rsidRDefault="008D479B" w:rsidP="008D479B">
      <w:pPr>
        <w:pStyle w:val="TextoNormal"/>
      </w:pPr>
    </w:p>
    <w:p w14:paraId="4559BAA4" w14:textId="77777777" w:rsidR="008D479B" w:rsidRDefault="008D479B" w:rsidP="008D479B">
      <w:pPr>
        <w:pStyle w:val="TextoNormal"/>
      </w:pPr>
      <w:r>
        <w:t>Como se ha indicado, el recurrente alega la vulneración del derecho a la intimidad y a la propia imagen, como si del mismo derecho se tratase, en relación con el principio de legalidad penal, porque entiende que en la investigación policial que ha conducido a la postre a su condena por un delito de tráfico de drogas ha sido determinante la instalación de cámaras de grabación de imágenes por la Guardia Urbana de Barcelona en el garaje de una comunidad de vecinos, sin autorización judicial ni permiso de la comunidad o comunicación a la autoridad competente.</w:t>
      </w:r>
    </w:p>
    <w:p w14:paraId="7BC2B365" w14:textId="77777777" w:rsidR="008D479B" w:rsidRDefault="008D479B" w:rsidP="008D479B">
      <w:pPr>
        <w:pStyle w:val="TextoNormal"/>
      </w:pPr>
    </w:p>
    <w:p w14:paraId="26A6D241" w14:textId="77777777" w:rsidR="008D479B" w:rsidRDefault="008D479B" w:rsidP="008D479B">
      <w:pPr>
        <w:pStyle w:val="TextoNormal"/>
      </w:pPr>
      <w:r>
        <w:t>El planteamiento del recurrente hace preciso delimitar previamente cuál de esos derechos fundamentales garantizados por el art. 18.1 CE (a la intimidad y a la propia imagen) es el afectado en el presente caso por la actuación de los agentes de la Guardia Urbana de Barcelona en el ejercicio de sus funciones investigadoras como policía judicial (art. 126 CE). Porque es necesario recordar que, conforme a consolidada doctrina constitucional, los derechos al honor, a la intimidad personal y a la propia imagen, reconocidos en el art. 18.1 CE, a pesar de su estrecha relación entre sí, en tanto que derechos de la personalidad, derivados de la dignidad humana (art. 10.1 CE) y dirigidos a la protección del patrimonio moral de las personas, tienen, no obstante, un contenido propio y específico cada uno de ellos. Se trata, dicho de otro modo, de derechos autónomos, de modo que, al tener cada uno de ellos su propia sustantividad, la apreciación de la vulneración de uno no conlleva necesariamente la vulneración de los demás (entre otras, SSTC 81/2001, de 26 de marzo, FJ 2; 156/2001, de 2 de julio, FJ 3, y 14/2003, de 28 de enero, FJ 4).</w:t>
      </w:r>
    </w:p>
    <w:p w14:paraId="7BB97CB5" w14:textId="77777777" w:rsidR="008D479B" w:rsidRDefault="008D479B" w:rsidP="008D479B">
      <w:pPr>
        <w:pStyle w:val="TextoNormal"/>
      </w:pPr>
    </w:p>
    <w:p w14:paraId="02138454" w14:textId="77777777" w:rsidR="008D479B" w:rsidRDefault="008D479B" w:rsidP="008D479B">
      <w:pPr>
        <w:pStyle w:val="TextoNormal"/>
      </w:pPr>
      <w:r>
        <w:t>Atendiendo, como es obligado, al relato de hechos declarados probados en las sentencias que se impugnan en amparo (SSTC 25/2011, de 14 de marzo, FJ 5, y 142/2012, de 2 de julio, FJ 2, por todas), hay que entender que en el presente caso el derecho fundamental afectado por la actuación controvertida de los agentes de la Guardia Urbana de Barcelona (instalación de un sistema de captación de imágenes en un garaje de una comunidad de vecinos) es el derecho a la intimidad personal.</w:t>
      </w:r>
    </w:p>
    <w:p w14:paraId="39AE8E92" w14:textId="77777777" w:rsidR="008D479B" w:rsidRDefault="008D479B" w:rsidP="008D479B">
      <w:pPr>
        <w:pStyle w:val="TextoNormal"/>
      </w:pPr>
    </w:p>
    <w:p w14:paraId="3D24B8FC" w14:textId="77777777" w:rsidR="008D479B" w:rsidRDefault="008D479B" w:rsidP="008D479B">
      <w:pPr>
        <w:pStyle w:val="TextoNormal"/>
      </w:pPr>
      <w:r>
        <w:t>Según tiene reiteradamente declarado este tribunal, el derecho a la intimidad personal implica la existencia de un ámbito propio y reservado frente a la acción y el conocimiento de los demás, necesario, según las pautas de nuestra cultura, para mantener una calidad mínima de la vida humana (SSTC 207/1996, de 16 de diciembre, FJ 3; 186/2000, de 10 de julio, FJ 5; 196/2004, de 15 de noviembre, FJ 2; 206/2007, de 24 de septiembre, FJ 4, y 159/2009, de 29 de junio, FJ 3, por todas). Con unos u otros términos, la doctrina constitucional insiste en que el derecho a la intimidad atribuye a su titular el poder de reservarse un espacio resguardado de la curiosidad ajena, de una publicidad no querida (entre otras, SSTC 231/1988, de 2 de diciembre, FJ 3; 127/2003, de 30 de junio, FJ 7; 89/2006, de 27 de marzo, FJ 5; 236/2007, de 7 de noviembre, FJ 11; 60/2010, de 7 de octubre, FJ 8, y 93/2013, de 23 de abril, FJ 8), y, en consecuencia, el poder jurídico de imponer a terceros, sean particulares o poderes públicos, el deber de abstenerse de toda intromisión en la esfera íntima y la prohibición de hacer uso de lo así conocido (SSTC 14/2003, de 28 de enero, FJ 4; 196/2004, de 15 de noviembre, FJ 2; 206/2007, de 24 de septiembre, FJ 5; 70/2009, de 23 de marzo, FJ 2, y 173/2011, de 7 de noviembre, FJ 2, entre otras). Por otra parte, “la intimidad protegida por el art. 18.1 CE no se reduce necesariamente a la que se desarrolla en un ámbito doméstico o privado” (por todas, SSTC 12/2012, de 30 de enero, FJ 5, 18/2015, de 16 de febrero, FJ 5, y 25/2019, de 25 de febrero, FJ 5).</w:t>
      </w:r>
    </w:p>
    <w:p w14:paraId="63991E3B" w14:textId="77777777" w:rsidR="008D479B" w:rsidRDefault="008D479B" w:rsidP="008D479B">
      <w:pPr>
        <w:pStyle w:val="TextoNormal"/>
      </w:pPr>
    </w:p>
    <w:p w14:paraId="1DAFF731" w14:textId="77777777" w:rsidR="008D479B" w:rsidRDefault="008D479B" w:rsidP="008D479B">
      <w:pPr>
        <w:pStyle w:val="TextoNormal"/>
      </w:pPr>
      <w:r>
        <w:t xml:space="preserve">Esta doctrina sobre el derecho a la intimidad personal que el art. 18.1 CE reconoce se halla en consonancia con la jurisprudencia del Tribunal Europeo de Derechos Humanos sentada en relación con la noción de vida privada protegida por el art. 8.1 del Convenio europeo para la protección de los derechos humanos y de las libertades fundamentales. En particular, como hemos destacado en la STC 12/2012, de 30 de enero, FJ 5, resulta relevante, como criterio que debe tenerse en cuenta para determinar cuándo nos encontramos ante manifestaciones de la vida privada protegible frente a intromisiones ilegítimas es el de las expectativas razonables que la propia persona, o cualquier otra en su lugar en esa circunstancia, pueda tener de encontrarse al resguardo de la observación o del escrutinio ajeno. Así, por ejemplo, cuando se encuentra en un paraje inaccesible o en un lugar solitario debido a la hora del día, puede conducirse con plena espontaneidad en la confianza fundada de la ausencia de observadores. Por el contrario, no pueden abrigarse expectativas razonables al respecto cuando de forma intencional, o al menos de forma consciente, se participa en actividades que por las circunstancias que las rodean, claramente pueden ser objeto de registro o de información pública (SSTEDH de 25 de septiembre de 2001, </w:t>
      </w:r>
      <w:r w:rsidRPr="008D479B">
        <w:rPr>
          <w:i/>
        </w:rPr>
        <w:t>P.G. y J.H. c. Reino Unido</w:t>
      </w:r>
      <w:r>
        <w:t xml:space="preserve">, § 57, y de 28 de enero de 2003, </w:t>
      </w:r>
      <w:r w:rsidRPr="008D479B">
        <w:rPr>
          <w:i/>
        </w:rPr>
        <w:t>Peck c. Reino Unido</w:t>
      </w:r>
      <w:r>
        <w:t>, § 58).</w:t>
      </w:r>
    </w:p>
    <w:p w14:paraId="7022F9D2" w14:textId="77777777" w:rsidR="008D479B" w:rsidRDefault="008D479B" w:rsidP="008D479B">
      <w:pPr>
        <w:pStyle w:val="TextoNormal"/>
      </w:pPr>
    </w:p>
    <w:p w14:paraId="0B1AF53E" w14:textId="77777777" w:rsidR="008D479B" w:rsidRDefault="008D479B" w:rsidP="008D479B">
      <w:pPr>
        <w:pStyle w:val="TextoNormal"/>
      </w:pPr>
      <w:r>
        <w:t>Por su parte, el derecho a la propia imagen es, conforme a nuestra doctrina, el “derecho a determinar la información gráfica generada por los rasgos físicos personales de su titular que puede tener difusión pública. Su ámbito de protección comprende, en esencia, la facultad de poder impedir la obtención, reproducción o publicación de la propia imagen por parte de un tercero no autorizado, sea cual sea la finalidad perseguida por quien la capta o difunde”, y, por lo tanto, abarca “la defensa frente a los usos no consentidos de la representación pública de la persona que no encuentren amparo en ningún otro derecho fundamental, muy destacadamente frente a la utilización de la imagen con fines puramente lucrativos” (STC 23/2010, de 27 de abril, FJ 4, y STC 12/2012, FJ 5, por todas).</w:t>
      </w:r>
    </w:p>
    <w:p w14:paraId="202E1026" w14:textId="77777777" w:rsidR="008D479B" w:rsidRDefault="008D479B" w:rsidP="008D479B">
      <w:pPr>
        <w:pStyle w:val="TextoNormal"/>
      </w:pPr>
    </w:p>
    <w:p w14:paraId="5C848E59" w14:textId="77777777" w:rsidR="008D479B" w:rsidRDefault="008D479B" w:rsidP="008D479B">
      <w:pPr>
        <w:pStyle w:val="TextoNormal"/>
      </w:pPr>
      <w:r>
        <w:t>De acuerdo con la doctrina constitucional ha de entenderse, como ya se ha adelantado, que el derecho fundamental concernido en este caso es el derecho fundamental a la intimidad personal, pues la Guardia Urbana de Barcelona se sirvió en su investigación de unas imágenes obtenidas sin el conocimiento del recurrente mediante una cámara instalada en un lugar en el que aquel mantenía una legítima expectativa de privacidad, como es el garaje de una comunidad de vecinos. Sin necesidad de entrar a dilucidar si ese garaje tiene la condición de domicilio a los efectos del art. 18.2 CE, pues el derecho a la inviolabilidad del domicilio no se invoca en el presente recurso de amparo, es notorio que, conforme al referido criterio de expectativa razonable de privacidad, ese espacio pertenece al ámbito de la intimidad protegida por el art. 18.1 CE, pues se trata de un lugar cerrado que es, además, una propiedad privada de acceso restringido (a los titulares de las plazas de aparcamiento y a terceros a los que aquellos permitan la entrada) y por tanto es patente que se trata de un lugar en el que el recurrente tenía una expectativa razonable de no ser escuchado u observado subrepticiamente por terceras personas.</w:t>
      </w:r>
    </w:p>
    <w:p w14:paraId="4A8C0D0D" w14:textId="77777777" w:rsidR="008D479B" w:rsidRDefault="008D479B" w:rsidP="008D479B">
      <w:pPr>
        <w:pStyle w:val="TextoNormal"/>
      </w:pPr>
    </w:p>
    <w:p w14:paraId="774582FC" w14:textId="77777777" w:rsidR="008D479B" w:rsidRDefault="008D479B" w:rsidP="008D479B">
      <w:pPr>
        <w:pStyle w:val="TextoNormal"/>
      </w:pPr>
      <w:r>
        <w:t>En definitiva, ha de concluirse que es el derecho a la intimidad personal el que resulta afectado en el presente caso por el hecho de haber instalado los agentes de la Guardia Urbana de Barcelona, en el curso de una investigación sobre un delito de tráfico de estupefacientes, un sistema de captación de imágenes dentro de un garaje de una comunidad de vecinos. Lugar cerrado de propiedad privada al que el propio recurrente reconoció en el juicio oral haber accedido acompañando a su hermano y coacusado para ayudarle a cargar y descargar bultos de un vehículo allí estacionado (si bien negó que esos paquetes contuvieran hachís).</w:t>
      </w:r>
    </w:p>
    <w:p w14:paraId="7B80D041" w14:textId="77777777" w:rsidR="008D479B" w:rsidRDefault="008D479B" w:rsidP="008D479B">
      <w:pPr>
        <w:pStyle w:val="TextoNormal"/>
      </w:pPr>
    </w:p>
    <w:p w14:paraId="34523C76" w14:textId="11A959D9" w:rsidR="008D479B" w:rsidRDefault="008D479B" w:rsidP="008D479B">
      <w:pPr>
        <w:pStyle w:val="TextoNormal"/>
      </w:pPr>
      <w:r>
        <w:t>Habrá, por tanto, que examinar si la actuación policial controvertida en el presente caso lesionó el derecho del recurrente a la intimidad personal (art. 18.1 CE), sin que sea necesario analizar la vulneración del principio de legalidad penal (art. 25.1 CE), que también invoca el recurrente sin mayor desarrollo argumental, por cuanto esta supuesta vulneración carece de sustantividad propia.</w:t>
      </w:r>
    </w:p>
    <w:p w14:paraId="7F815ED6" w14:textId="77777777" w:rsidR="008D479B" w:rsidRDefault="008D479B" w:rsidP="008D479B">
      <w:pPr>
        <w:pStyle w:val="TextoNormal"/>
      </w:pPr>
    </w:p>
    <w:p w14:paraId="21C69350" w14:textId="77777777" w:rsidR="008D479B" w:rsidRDefault="008D479B" w:rsidP="008D479B">
      <w:pPr>
        <w:pStyle w:val="TextoNormal"/>
      </w:pPr>
      <w:r w:rsidRPr="008D479B">
        <w:rPr>
          <w:rStyle w:val="NumeroAFNegritaCaracter"/>
        </w:rPr>
        <w:t>7</w:t>
      </w:r>
      <w:r>
        <w:t xml:space="preserve">. </w:t>
      </w:r>
      <w:r w:rsidRPr="008D479B">
        <w:rPr>
          <w:i/>
        </w:rPr>
        <w:t>Doctrina constitucional sobre el derecho fundamental a la intimidad personal y sus límites</w:t>
      </w:r>
    </w:p>
    <w:p w14:paraId="6D055422" w14:textId="77777777" w:rsidR="008D479B" w:rsidRDefault="008D479B" w:rsidP="008D479B">
      <w:pPr>
        <w:pStyle w:val="TextoNormal"/>
      </w:pPr>
    </w:p>
    <w:p w14:paraId="08BFF302" w14:textId="77777777" w:rsidR="008D479B" w:rsidRDefault="008D479B" w:rsidP="008D479B">
      <w:pPr>
        <w:pStyle w:val="TextoNormal"/>
      </w:pPr>
      <w:r>
        <w:t>El derecho a la intimidad personal reconocido en el art.18.1 CE se configura como un derecho de la personalidad, derivado de la dignidad humana (art. 10.1 CE), que atribuye a su titular, como ya se ha señalado en el fundamento jurídico precedente, la facultad de reservarse un espacio resguardado de la curiosidad ajena, de una publicidad no querida, y, en consecuencia, el poder jurídico de imponer a terceros, sean particulares o poderes públicos, el deber de abstenerse de toda intromisión en la esfera íntima y la prohibición de hacer uso de lo así conocido, a fin de asegurar un ámbito privativo para el desarrollo de la propia personalidad ajeno a las injerencias externas. De forma que lo que el art. 18.1 CE garantiza es un derecho al secreto, a ser desconocido, a que los demás no sepan qué somos o lo que hacemos, vedando que terceros, sean particulares o poderes públicos, decidan cuales sean los lindes de nuestra vida privada, pudiendo cada persona reservarse un espacio resguardado de la curiosidad ajena, sea cual sea lo contenido en ese espacio (por todas, STC 173/2011, de 7 de noviembre, FJ 2).</w:t>
      </w:r>
    </w:p>
    <w:p w14:paraId="41404CAA" w14:textId="77777777" w:rsidR="008D479B" w:rsidRDefault="008D479B" w:rsidP="008D479B">
      <w:pPr>
        <w:pStyle w:val="TextoNormal"/>
      </w:pPr>
    </w:p>
    <w:p w14:paraId="01F42214" w14:textId="77777777" w:rsidR="008D479B" w:rsidRDefault="008D479B" w:rsidP="008D479B">
      <w:pPr>
        <w:pStyle w:val="TextoNormal"/>
      </w:pPr>
      <w:r>
        <w:t>Ahora bien, el derecho a la intimidad personal no es un derecho absoluto y por tanto no confiere a su titular una facultad omnímoda de exclusión, pues, como cualquier derecho fundamental, puede ceder ante otros derechos y bienes constitucionalmente relevantes, siempre que la limitación que haya de experimentar esté fundada en una previsión legal que tenga justificación constitucional, se revele necesaria para lograr un fin legítimo, sea proporcionada para alcanzarlo y, además, sea respetuosa con el contenido esencial del derecho (SSTC 57/1994, de 28 de febrero, FJ 6; 98/2000, de 10 de abril, FJ 5; 115/2000, de 5 de mayo, FJ 4; 156/2001, de 2 de julio, FJ 4; 196/2004, de 15 de noviembre, FJ 2; 25/2005, de 14 de febrero, FJ 6, y 18/2015, de 16 de febrero, FJ 5, entre otras). Por ello, “[n]o cabe negar la posibilidad de que en determinadas circunstancias, ciertamente excepcionales, existan derechos o bienes constitucionales que legitimen la captación e incluso la difusión de imágenes que supongan una intromisión en la intimidad personal o familiar de una persona” (STC 156/2001, FJ 4).</w:t>
      </w:r>
    </w:p>
    <w:p w14:paraId="6A5C0C50" w14:textId="77777777" w:rsidR="008D479B" w:rsidRDefault="008D479B" w:rsidP="008D479B">
      <w:pPr>
        <w:pStyle w:val="TextoNormal"/>
      </w:pPr>
    </w:p>
    <w:p w14:paraId="3A16A618" w14:textId="77777777" w:rsidR="008D479B" w:rsidRDefault="008D479B" w:rsidP="008D479B">
      <w:pPr>
        <w:pStyle w:val="TextoNormal"/>
      </w:pPr>
      <w:r>
        <w:t>En tal sentido, conviene recordar que la jurisprudencia constitucional ha reconocido que reviste la naturaleza de fin constitucionalmente legítimo que puede permitir la injerencia en el derecho a la intimidad, “el interés público propio de la investigación de un delito, y, más en concreto, la determinación de hechos relevantes para el proceso penal” (SSTC 25/2005, de 14 de febrero, FJ 6; 206/2007, de 24 de septiembre, FJ 6, y 173/2011, de 7 de noviembre, FJ 2). Pues, en efecto, “la persecución y castigo del delito constituye un bien digno de protección constitucional, a través del cual se defienden otros como la paz social y la seguridad ciudadana, bienes igualmente reconocidos en los arts. 10.1 y 104.1 CE” [SSTC 127/2000, de 16 de mayo, FJ 3 a); 292/2000, de 30 de noviembre, FJ 9, y 14/2003, de 28 de enero, FJ 3]. Por eso mismo también ha precisado este tribunal que “reviste relevancia e interés público la información sobre los resultados positivos o negativos que alcanzan en sus investigaciones las fuerzas y cuerpos de seguridad, especialmente si los delitos cometidos entrañan una cierta gravedad o han causado un impacto considerable en la opinión pública, extendiéndose aquella relevancia o interés a cuantos datos o hechos novedosos puedan ir descubriéndose por las más diversas vías, en el curso de las investigaciones dirigidas al esclarecimiento de su autoría, causas y circunstancias del hecho delictivo” (SSTC 14/2003, FJ 11, y 173/2011, FJ 2).</w:t>
      </w:r>
    </w:p>
    <w:p w14:paraId="0C8F5FF5" w14:textId="77777777" w:rsidR="008D479B" w:rsidRDefault="008D479B" w:rsidP="008D479B">
      <w:pPr>
        <w:pStyle w:val="TextoNormal"/>
      </w:pPr>
    </w:p>
    <w:p w14:paraId="6DD25C47" w14:textId="2CEACBA4" w:rsidR="008D479B" w:rsidRDefault="008D479B" w:rsidP="008D479B">
      <w:pPr>
        <w:pStyle w:val="TextoNormal"/>
      </w:pPr>
      <w:r>
        <w:t>De lo anterior se desprende que el legislador ha de habilitar las potestades o instrumentos jurídicos que sean adecuados para que, dentro del respeto debido a los derechos, principios y valores constitucionales, las fuerzas y cuerpos de seguridad del Estado cumplan con la función de averiguación del delito que legítimamente les corresponde. Esto es, ha de existir expresa habilitación legal para que la policía judicial pueda practicar la injerencia en los derechos a la intimidad o a la propia imagen de una persona, en el marco de una investigación dirigida al esclarecimiento de la autoría, causas y circunstancias de un delito. Pues toda injerencia en el ámbito de los derechos fundamentales y libertades públicas, que incida directamente en su desarrollo (art. 81.1 CE), o limite o condicione su ejercicio (art. 53.1 CE), precisa una habilitación legal. Esa reserva de ley constituye el único modo efectivo de garantizar las exigencias de seguridad jurídica en el ámbito de los derechos fundamentales y las libertades públicas. Por eso, la ley que autorice injerencias en los derechos fundamentales debe indicar con claridad el alcance de la discrecionalidad conferida a las autoridades competentes, así como la manera de su ejercicio, no admitiéndose interpretaciones analógicas (SSTC 49/1999, de 5 de abril, FJ 3; 169/2001, de 16 de julio, FJ 6; 233/2005, de 26 de septiembre, FJ 6; 145/2014, de 22 de septiembre, FJ 7, y 99/2021, de 10 de mayo, FJ 3, entre otras).</w:t>
      </w:r>
    </w:p>
    <w:p w14:paraId="14449744" w14:textId="77777777" w:rsidR="008D479B" w:rsidRDefault="008D479B" w:rsidP="008D479B">
      <w:pPr>
        <w:pStyle w:val="TextoNormal"/>
      </w:pPr>
    </w:p>
    <w:p w14:paraId="16E488BD" w14:textId="77777777" w:rsidR="008D479B" w:rsidRDefault="008D479B" w:rsidP="008D479B">
      <w:pPr>
        <w:pStyle w:val="TextoNormal"/>
      </w:pPr>
      <w:r w:rsidRPr="008D479B">
        <w:rPr>
          <w:rStyle w:val="NumeroAFNegritaCaracter"/>
        </w:rPr>
        <w:t>8</w:t>
      </w:r>
      <w:r>
        <w:t xml:space="preserve">. </w:t>
      </w:r>
      <w:r w:rsidRPr="008D479B">
        <w:rPr>
          <w:i/>
        </w:rPr>
        <w:t>Ausencia de habilitación legal para la concreta actuación policial controvertida sin autorización judicial; vulneración del derecho a la intimidad personal</w:t>
      </w:r>
    </w:p>
    <w:p w14:paraId="38B9F1A4" w14:textId="77777777" w:rsidR="008D479B" w:rsidRDefault="008D479B" w:rsidP="008D479B">
      <w:pPr>
        <w:pStyle w:val="TextoNormal"/>
      </w:pPr>
    </w:p>
    <w:p w14:paraId="4EA9EC3A" w14:textId="77777777" w:rsidR="008D479B" w:rsidRDefault="008D479B" w:rsidP="008D479B">
      <w:pPr>
        <w:pStyle w:val="TextoNormal"/>
      </w:pPr>
      <w:r>
        <w:t xml:space="preserve">De acuerdo con lo razonado en la demanda de amparo, el derecho del recurrente a la intimidad personal (art. 18.1 CE) habría sido vulnerado por la instalación de cámaras de grabación de imágenes por la Guardia Urbana de Barcelona en el garaje de una comunidad de vecinos, sin autorización judicial ni permiso de la comunidad o comunicación a la autoridad competente, y contraviniendo la normativa legal aplicable (el recurrente cita el art. 588 </w:t>
      </w:r>
      <w:r w:rsidRPr="008D479B">
        <w:rPr>
          <w:i/>
        </w:rPr>
        <w:t>quater</w:t>
      </w:r>
      <w:r>
        <w:t xml:space="preserve"> a) LECrim, los arts. 3 y 5.2 de la Ley Orgánica 4/1997, de 4 de agosto, por la que se regula la utilización de videocámaras por las fuerzas y cuerpos de seguridad en lugares públicos, y el art. 22.3 de la Ley Orgánica 15/1999, de 13 de diciembre, de protección de datos de carácter personal).</w:t>
      </w:r>
    </w:p>
    <w:p w14:paraId="6DF47806" w14:textId="77777777" w:rsidR="008D479B" w:rsidRDefault="008D479B" w:rsidP="008D479B">
      <w:pPr>
        <w:pStyle w:val="TextoNormal"/>
      </w:pPr>
    </w:p>
    <w:p w14:paraId="23F56C86" w14:textId="77777777" w:rsidR="008D479B" w:rsidRDefault="008D479B" w:rsidP="008D479B">
      <w:pPr>
        <w:pStyle w:val="TextoNormal"/>
      </w:pPr>
      <w:r>
        <w:t xml:space="preserve">La sentencia del Juzgado de lo Penal núm. 4 de Barcelona no indica que las grabaciones de imágenes realizadas por la Guardia Urbana de Barcelona en el garaje referido encuentren cobertura en una determinada norma legal. Es la sentencia de la Audiencia Provincial de Barcelona la que identifica el art. 588 </w:t>
      </w:r>
      <w:r w:rsidRPr="008D479B">
        <w:rPr>
          <w:i/>
        </w:rPr>
        <w:t>quinquies</w:t>
      </w:r>
      <w:r>
        <w:t xml:space="preserve"> a) LECrim, introducido por la Ley Orgánica 13/2015, de 5 de octubre, como el precepto en que esa actuación policial encontraría habilitación legal. Dispone lo siguiente:</w:t>
      </w:r>
    </w:p>
    <w:p w14:paraId="5433230A" w14:textId="77777777" w:rsidR="008D479B" w:rsidRDefault="008D479B" w:rsidP="008D479B">
      <w:pPr>
        <w:pStyle w:val="TextoNormal"/>
      </w:pPr>
    </w:p>
    <w:p w14:paraId="78CC5DAC" w14:textId="77777777" w:rsidR="008D479B" w:rsidRDefault="008D479B" w:rsidP="008D479B">
      <w:pPr>
        <w:pStyle w:val="TextoNormal"/>
      </w:pPr>
      <w:r>
        <w:t>“1. La policía judicial podrá obtener y grabar por cualquier medio técnico imágenes de la persona investigada cuando se encuentre en un lugar o espacio público, si ello fuera necesario para facilitar su identificación, para localizar los instrumentos o efectos del delito u obtener datos relevantes para el esclarecimiento de los hechos.</w:t>
      </w:r>
    </w:p>
    <w:p w14:paraId="549FB19E" w14:textId="77777777" w:rsidR="008D479B" w:rsidRDefault="008D479B" w:rsidP="008D479B">
      <w:pPr>
        <w:pStyle w:val="TextoNormal"/>
      </w:pPr>
    </w:p>
    <w:p w14:paraId="1EE39CB1" w14:textId="77777777" w:rsidR="008D479B" w:rsidRDefault="008D479B" w:rsidP="008D479B">
      <w:pPr>
        <w:pStyle w:val="TextoNormal"/>
      </w:pPr>
      <w:r>
        <w:t>2. La medida podrá ser llevada a cabo cuando afecte a personas diferentes del investigado, siempre que de otro modo se reduzca de forma relevante la utilidad de la vigilancia o existan indicios fundados de la relación de dichas personas con el investigado y los hechos objeto de investigación”.</w:t>
      </w:r>
    </w:p>
    <w:p w14:paraId="7B3D43E4" w14:textId="77777777" w:rsidR="008D479B" w:rsidRDefault="008D479B" w:rsidP="008D479B">
      <w:pPr>
        <w:pStyle w:val="TextoNormal"/>
      </w:pPr>
    </w:p>
    <w:p w14:paraId="7814D707" w14:textId="77777777" w:rsidR="008D479B" w:rsidRDefault="008D479B" w:rsidP="008D479B">
      <w:pPr>
        <w:pStyle w:val="TextoNormal"/>
      </w:pPr>
      <w:r>
        <w:t xml:space="preserve">Una de las medidas que puede adoptar la policía judicial en el marco de una concreta investigación criminal (art. 126 CE) sin necesidad de solicitar autorización judicial es, precisamente, la que se acaba de transcribir, consistente en la utilización de dispositivos técnicos de captación de imágenes en lugares o espacios públicos. Es, por tanto, el art. 588 </w:t>
      </w:r>
      <w:r w:rsidRPr="008D479B">
        <w:rPr>
          <w:i/>
        </w:rPr>
        <w:t>quinquies</w:t>
      </w:r>
      <w:r>
        <w:t xml:space="preserve"> a) LECrim la norma en la que, en su caso, podría encontrar cobertura legal la injerencia policial en el derecho a la intimidad personal (art. 18.1 CE) que en el presente recurso de amparo se discute, debiendo descartarse las normas citadas por el recurrente, que se refieren a otros supuestos.</w:t>
      </w:r>
    </w:p>
    <w:p w14:paraId="19A21672" w14:textId="77777777" w:rsidR="008D479B" w:rsidRDefault="008D479B" w:rsidP="008D479B">
      <w:pPr>
        <w:pStyle w:val="TextoNormal"/>
      </w:pPr>
    </w:p>
    <w:p w14:paraId="1D1C2A0D" w14:textId="77777777" w:rsidR="008D479B" w:rsidRDefault="008D479B" w:rsidP="008D479B">
      <w:pPr>
        <w:pStyle w:val="TextoNormal"/>
      </w:pPr>
      <w:r>
        <w:t xml:space="preserve">La Audiencia Provincial de Barcelona ha realizado en la sentencia impugnada una interpretación extensiva de la cláusula “lugar o espacio público” contenida en el apartado primero del art. 588 </w:t>
      </w:r>
      <w:r w:rsidRPr="008D479B">
        <w:rPr>
          <w:i/>
        </w:rPr>
        <w:t>quinquies</w:t>
      </w:r>
      <w:r>
        <w:t xml:space="preserve"> a) LECrim, en el sentido de considerar que también incluye todos aquellos lugares o espacios que, aun no siendo en puridad espacios públicos, no constituyen domicilio de conformidad con lo previsto en el art. 18.2 CE. Por tanto, entiende que el art. 588 </w:t>
      </w:r>
      <w:r w:rsidRPr="008D479B">
        <w:rPr>
          <w:i/>
        </w:rPr>
        <w:t>quinquies</w:t>
      </w:r>
      <w:r>
        <w:t xml:space="preserve"> a) LECrim habilita a la policía judicial en el marco de una investigación criminal, sin necesidad de autorización judicial, para instalar videocámaras y grabar imágenes en cualquier espacio, aunque sea cerrado y de titularidad privada, siempre que no merezca la calificación de domicilio a efectos constitucionales. Así sucedería, como en el caso que nos ocupa, cuando la policía capta las imágenes en el interior de un garaje de una comunidad de vecinos, espacio que dicho órgano judicial considera como un lugar o espacio cerrado de titularidad privada, pero público en cuanto a su uso, aunque de acceso restringido.</w:t>
      </w:r>
    </w:p>
    <w:p w14:paraId="192C7290" w14:textId="77777777" w:rsidR="008D479B" w:rsidRDefault="008D479B" w:rsidP="008D479B">
      <w:pPr>
        <w:pStyle w:val="TextoNormal"/>
      </w:pPr>
    </w:p>
    <w:p w14:paraId="467F1C8B" w14:textId="77777777" w:rsidR="008D479B" w:rsidRDefault="008D479B" w:rsidP="008D479B">
      <w:pPr>
        <w:pStyle w:val="TextoNormal"/>
      </w:pPr>
      <w:r>
        <w:t>Tal razonamiento no puede ser compartido, porque supone una interpretación extensiva del precepto legal que no se cohonesta con las exigencias de seguridad jurídica en el ámbito de los derechos fundamentales y las libertades públicas a las que se refiere la citada jurisprudencia constitucional.</w:t>
      </w:r>
    </w:p>
    <w:p w14:paraId="0D5AB321" w14:textId="77777777" w:rsidR="008D479B" w:rsidRDefault="008D479B" w:rsidP="008D479B">
      <w:pPr>
        <w:pStyle w:val="TextoNormal"/>
      </w:pPr>
    </w:p>
    <w:p w14:paraId="1E0ED2F3" w14:textId="77777777" w:rsidR="008D479B" w:rsidRDefault="008D479B" w:rsidP="008D479B">
      <w:pPr>
        <w:pStyle w:val="TextoNormal"/>
      </w:pPr>
      <w:r>
        <w:t xml:space="preserve">En efecto, aunque existe una previsión legislativa que permite a la policía judicial la grabación de imágenes en el marco de una investigación criminal sin autorización judicial, esa habilitación legal se circunscribe a los lugares y espacios públicos, noción esta que tiene un sentido inequívoco, referido a ámbitos espaciales de uso por todo el público, sin restricciones. Así lo considera, como señala el Ministerio Fiscal en sus alegaciones, la circular 4/2019, de 6 de marzo, de la Fiscalía General del Estado, que con cita de doctrina constitucional (SSTC 134/1999, de 15 de julio; 144/1999, de 22 de julio, y 236/2007, de 7 de noviembre), señala cuando el art. 588 </w:t>
      </w:r>
      <w:r w:rsidRPr="008D479B">
        <w:rPr>
          <w:i/>
        </w:rPr>
        <w:t>quinquies</w:t>
      </w:r>
      <w:r>
        <w:t xml:space="preserve"> a) LECrim alude a “lugares o espacios públicos” ha de entenderse que se refiere a “aquellos en los que el investigado no pueda ejercer su derecho a la intimidad, donde no pueda reservar al conocimiento de los demás lo que está sucediendo, al no disponer de ningún derecho de exclusión sobre ese lugar. Se contrapone este concepto al de lugares privados, que serán aquellos […] donde el individuo puede limitar el acceso de terceros, ejerciendo de ese modo ámbitos de privacidad excluidos del conocimiento ajeno”.</w:t>
      </w:r>
    </w:p>
    <w:p w14:paraId="01776C35" w14:textId="77777777" w:rsidR="008D479B" w:rsidRDefault="008D479B" w:rsidP="008D479B">
      <w:pPr>
        <w:pStyle w:val="TextoNormal"/>
      </w:pPr>
    </w:p>
    <w:p w14:paraId="30152580" w14:textId="77777777" w:rsidR="008D479B" w:rsidRDefault="008D479B" w:rsidP="008D479B">
      <w:pPr>
        <w:pStyle w:val="TextoNormal"/>
      </w:pPr>
      <w:r>
        <w:t xml:space="preserve">La interpretación que la sentencia de la Audiencia Provincial de Barcelona realiza del art. 588 </w:t>
      </w:r>
      <w:r w:rsidRPr="008D479B">
        <w:rPr>
          <w:i/>
        </w:rPr>
        <w:t>quinquies</w:t>
      </w:r>
      <w:r>
        <w:t xml:space="preserve"> a) LECrim, al entender que un garaje de una comunidad de propietarios es un espacio público a esos efectos, se aparta de los presupuestos establecidos por el legislador que autorizan la intromisión de la policía judicial en el derecho fundamental a la intimidad personal. Se quiebra mediante esa interpretación la expectativa razonablemente fundada del ciudadano en cuál ha de ser la actuación del poder en aplicación del Derecho, y con ello se incumplen las exigencias de seguridad jurídica y certeza del Derecho que demanda el principio de legalidad en el ámbito de las injerencias en los derechos fundamentales y libertades públicas.</w:t>
      </w:r>
    </w:p>
    <w:p w14:paraId="2E64D574" w14:textId="77777777" w:rsidR="008D479B" w:rsidRDefault="008D479B" w:rsidP="008D479B">
      <w:pPr>
        <w:pStyle w:val="TextoNormal"/>
      </w:pPr>
    </w:p>
    <w:p w14:paraId="043F943B" w14:textId="77777777" w:rsidR="008D479B" w:rsidRDefault="008D479B" w:rsidP="008D479B">
      <w:pPr>
        <w:pStyle w:val="TextoNormal"/>
      </w:pPr>
      <w:r>
        <w:t xml:space="preserve">No estamos, por lo tanto, ante un defecto por insuficiencia de la ley, ante un juicio sobre la calidad de la ley, sino que lo que se plantea en este caso es el efecto asociado a una ausencia completa de habilitación legal para la injerencia de la policía judicial en el derecho a la propia imagen, como consecuencia de la grabación de imágenes sin autorización judicial en el interior del garaje de una comunidad de vecinos. El apartado primero del art. 588 </w:t>
      </w:r>
      <w:r w:rsidRPr="008D479B">
        <w:rPr>
          <w:i/>
        </w:rPr>
        <w:t>quinquies</w:t>
      </w:r>
      <w:r>
        <w:t xml:space="preserve"> a) LECrim se refiere de manera incontrovertible a la captación de imágenes en lugares o espacios públicos, no en lugares o espacios de otra naturaleza, como puedan serlo los garajes privados, aunque estos sean utilizados por una pluralidad de personas. La exégesis del precepto llevada a cabo por la Audiencia Provincial de Barcelona supone una interpretación reductora del art. 18.1 CE, quebrando la doctrina constitucional al respecto. No estorba recordar que “la eficacia en la persecución del delito, cuya legitimidad es incuestionable, no puede imponerse, sin embargo, a costa de los derechos y libertades fundamentales” (STC 341/1993, de 18 de noviembre, FJ 8).</w:t>
      </w:r>
    </w:p>
    <w:p w14:paraId="55D0BC46" w14:textId="77777777" w:rsidR="008D479B" w:rsidRDefault="008D479B" w:rsidP="008D479B">
      <w:pPr>
        <w:pStyle w:val="TextoNormal"/>
      </w:pPr>
    </w:p>
    <w:p w14:paraId="0F866E65" w14:textId="2AA9AE8A" w:rsidR="008D479B" w:rsidRDefault="008D479B" w:rsidP="008D479B">
      <w:pPr>
        <w:pStyle w:val="TextoNormal"/>
      </w:pPr>
      <w:r>
        <w:t>En suma, ha de concluirse que la captación policial de imágenes del recurrente en amparo en el interior del garaje privado en el que se hallaba estacionado el automóvil en el que finalmente fue incautado un alijo de 44 kilos de hachís carecía de habilitación legal, por lo que vulneró el derecho del recurrente a la intimidad personal (art. 18.1 CE), deviniendo nula la prueba de cargo obtenida por ese medio.</w:t>
      </w:r>
    </w:p>
    <w:p w14:paraId="0561FEEB" w14:textId="77777777" w:rsidR="008D479B" w:rsidRDefault="008D479B" w:rsidP="008D479B">
      <w:pPr>
        <w:pStyle w:val="TextoNormal"/>
      </w:pPr>
    </w:p>
    <w:p w14:paraId="6853B3D6" w14:textId="77777777" w:rsidR="008D479B" w:rsidRDefault="008D479B" w:rsidP="008D479B">
      <w:pPr>
        <w:pStyle w:val="TextoNormal"/>
      </w:pPr>
      <w:r w:rsidRPr="008D479B">
        <w:rPr>
          <w:rStyle w:val="NumeroAFNegritaCaracter"/>
        </w:rPr>
        <w:t>9</w:t>
      </w:r>
      <w:r>
        <w:t xml:space="preserve">. </w:t>
      </w:r>
      <w:r w:rsidRPr="008D479B">
        <w:rPr>
          <w:i/>
        </w:rPr>
        <w:t>Acerca de la alegada vulneración de la presunción de inocencia. Alcance de la declaración de nulidad de la prueba de cargo fundada en la ilícita captación de imágenes</w:t>
      </w:r>
    </w:p>
    <w:p w14:paraId="6B4E4C0F" w14:textId="77777777" w:rsidR="008D479B" w:rsidRDefault="008D479B" w:rsidP="008D479B">
      <w:pPr>
        <w:pStyle w:val="TextoNormal"/>
      </w:pPr>
    </w:p>
    <w:p w14:paraId="1B28CDCE" w14:textId="77777777" w:rsidR="008D479B" w:rsidRDefault="008D479B" w:rsidP="008D479B">
      <w:pPr>
        <w:pStyle w:val="TextoNormal"/>
      </w:pPr>
      <w:r>
        <w:t>Declarada la lesión del art. 18.1 CE por la captación policial de imágenes del recurrente en el garaje de la comunidad de vecinos en el que se hallaba estacionado el automóvil en el que finalmente fue incautado un alijo de cuarenta y cuatro kilos de hachís, y constatado además que no se formula queja de vulneración autónoma respecto de otras diligencias probatorias practicadas durante la instrucción, incluidas las entradas y registros domiciliarios que mencionan las sentencias recurridas, debemos pronunciarnos finalmente sobre el efecto que todo lo razonado tiene en la condena impuesta al recurrente desde la perspectiva del derecho a la presunción de inocencia.</w:t>
      </w:r>
    </w:p>
    <w:p w14:paraId="59D4ECE2" w14:textId="77777777" w:rsidR="008D479B" w:rsidRDefault="008D479B" w:rsidP="008D479B">
      <w:pPr>
        <w:pStyle w:val="TextoNormal"/>
      </w:pPr>
    </w:p>
    <w:p w14:paraId="6A87904D" w14:textId="77777777" w:rsidR="008D479B" w:rsidRDefault="008D479B" w:rsidP="008D479B">
      <w:pPr>
        <w:pStyle w:val="TextoNormal"/>
      </w:pPr>
      <w:r>
        <w:t xml:space="preserve">Además de sostener el recurrente que la vulneración del art. 18.1 CE determina que todas las actuaciones están contaminadas </w:t>
      </w:r>
      <w:r w:rsidRPr="008D479B">
        <w:rPr>
          <w:i/>
        </w:rPr>
        <w:t>ab initio</w:t>
      </w:r>
      <w:r>
        <w:t xml:space="preserve"> y deben por ello ser anuladas, aduce que las sentencias impugnadas vulneraron su derecho a la presunción de inocencia (art. 24.2 CE), porque, a su entender, no existen pruebas de cargo directas que acrediten su supuesta participación en el delito de tráfico de drogas por el que ha sido condenado junto a su hermano, sino meros indicios inconsistentes, carentes de valor probatorio.</w:t>
      </w:r>
    </w:p>
    <w:p w14:paraId="3ED85D70" w14:textId="77777777" w:rsidR="008D479B" w:rsidRDefault="008D479B" w:rsidP="008D479B">
      <w:pPr>
        <w:pStyle w:val="TextoNormal"/>
      </w:pPr>
    </w:p>
    <w:p w14:paraId="24A125E5" w14:textId="77777777" w:rsidR="008D479B" w:rsidRDefault="008D479B" w:rsidP="008D479B">
      <w:pPr>
        <w:pStyle w:val="TextoNormal"/>
      </w:pPr>
      <w:r>
        <w:t xml:space="preserve">Conforme a la consolidada doctrina de este tribunal, el derecho a la presunción de inocencia se configura como el derecho a no ser condenado sin prueba de cargo válida. Por tanto, “solo cabrá constatar la vulneración del derecho a la presunción de inocencia cuando no haya pruebas de cargo válidas, es decir, cuando los órganos judiciales hayan valorado una actividad probatoria lesiva de otros derechos fundamentales o carente de garantías, o cuando no se motive el resultado de dicha valoración, o, finalmente, cuando por ilógico o insuficiente no sea razonable el </w:t>
      </w:r>
      <w:r w:rsidRPr="008D479B">
        <w:rPr>
          <w:i/>
        </w:rPr>
        <w:t>iter</w:t>
      </w:r>
      <w:r>
        <w:t xml:space="preserve"> discursivo que conduce de la prueba al hecho probado” (SSTC 189/1998, de 28 de septiembre, FJ 2; 135/2003, de 30 de junio, FJ 2; 137/2005, de 23 de mayo, FJ 2, y 26/2010, de 27 de abril, FJ 6, entre otras muchas). Hemos afirmado también reiteradamente “la radical falta de competencia de esta jurisdicción de amparo para la valoración de la actividad probatoria practicada en el proceso penal y para la evaluación de dicha valoración conforme a criterios de calidad o de oportunidad, limitándose nuestra misión a supervisar externamente la razonabilidad del discurso que une la actividad probatoria y el relato fáctico resultante” (por todas, SSTC 137/2005, de 23 de mayo, FJ 2; 117/2007, de 21 de mayo, FJ 3; 111/2008, de 22 de septiembre, FJ 3; 109/2009, de 11 de mayo, FJ 3, y 52/2010, de 4 de octubre, FJ 5).</w:t>
      </w:r>
    </w:p>
    <w:p w14:paraId="51109496" w14:textId="77777777" w:rsidR="008D479B" w:rsidRDefault="008D479B" w:rsidP="008D479B">
      <w:pPr>
        <w:pStyle w:val="TextoNormal"/>
      </w:pPr>
    </w:p>
    <w:p w14:paraId="3532D1B9" w14:textId="77777777" w:rsidR="008D479B" w:rsidRDefault="008D479B" w:rsidP="008D479B">
      <w:pPr>
        <w:pStyle w:val="TextoNormal"/>
      </w:pPr>
      <w:r>
        <w:t>Por otra parte, en relación con la cuestión de la prueba declarada ilícita, la doctrina constitucional también ha señalado reiteradamente que se produce la vulneración del derecho a la presunción de inocencia siempre que la eliminación de la prueba irregularmente valorada deje sin sustento el relato de hechos probados que soporta la declaración de culpabilidad del acusado. Esto sucederá, por supuesto, cuando la prueba eliminada sea la única tomada en cuenta por la sentencia impugnada, pero asimismo cuando, a partir de su propia motivación, se constate que dicha prueba era esencial para llegar a la conclusión fáctica incriminatoria, de modo que con su exclusión la inferencia de dicha conclusión devenga ilógica o no concluyente. Por el contrario, de existir otras pruebas de cargo válidas e independientes, la presunción de inocencia no resultará infringida (entre otras muchas, SSTC 81/1998, de 2 de abril, FJ 3; 49/1999, de 5, de abril, FJ 14; 167/2002, de 18 de septiembre, FJ 6; 207/2007, de 24 de septiembre, FJ 2; 144/2012, de 2 de julio, FJ 6; 53/2013, de 28 de febrero, FJ 5; 145/2014, FJ 8, y 99/2021, FJ 9).</w:t>
      </w:r>
    </w:p>
    <w:p w14:paraId="37161AEE" w14:textId="77777777" w:rsidR="008D479B" w:rsidRDefault="008D479B" w:rsidP="008D479B">
      <w:pPr>
        <w:pStyle w:val="TextoNormal"/>
      </w:pPr>
    </w:p>
    <w:p w14:paraId="24371E5C" w14:textId="77777777" w:rsidR="008D479B" w:rsidRDefault="008D479B" w:rsidP="008D479B">
      <w:pPr>
        <w:pStyle w:val="TextoNormal"/>
      </w:pPr>
      <w:r>
        <w:t>De acuerdo con la doctrina expuesta, nuestras posibilidades de control en el presente caso se agotan con la declaración de nulidad de la prueba de cargo obtenida mediante la captación policial de imágenes en el interior del garaje privado, por la vulneración del derecho del recurrente a la intimidad personal, sin que podamos dilucidar ahora si se ha vulnerado también su derecho a la presunción de inocencia. Corresponde a la jurisdicción ordinaria examinar si existe o no conexión de antijuridicidad con el resto de pruebas de cargo practicadas, así como determinar si, excluida aquella prueba, restan otras constitucionalmente legítimas capaces de sustentar la declaración de culpabilidad y la condena del recurrente, pues son los jueces y tribunales del orden penal los únicos que tienen un conocimiento preciso y completo, adquirido con suficientes garantías, del contenido de la actividad probatoria practicada en el juicio oral (por todas, SSTC 189/1998, FJ 2; 145/2005, de 6 de junio, FJ 5, y 262/2006, de 11 de septiembre, FJ 2).</w:t>
      </w:r>
    </w:p>
    <w:p w14:paraId="67B67FCA" w14:textId="77777777" w:rsidR="008D479B" w:rsidRDefault="008D479B" w:rsidP="008D479B">
      <w:pPr>
        <w:pStyle w:val="TextoNormal"/>
      </w:pPr>
    </w:p>
    <w:p w14:paraId="2F378A71" w14:textId="062A1994" w:rsidR="008D479B" w:rsidRDefault="008D479B" w:rsidP="008D479B">
      <w:pPr>
        <w:pStyle w:val="TextoNormal"/>
      </w:pPr>
      <w:r>
        <w:t>En consecuencia, se han de retrotraer las actuaciones al momento anterior al fallo en la instancia, para que el juzgado de lo penal pueda fundamentar el juicio de conexión o desconexión entre la prueba declarada nula por vulneración del art. 18.1 CE y la de ella derivada, en su caso, y valorar las restantes pruebas de cargo contra el recurrente constitucionalmente lícitas, si las hubiere, en el sentido que estime procedente (SSTC STC 49/1999, FJ 14; 149/2001, de 27 de junio, FJ 7; 202/2001, de 15 de octubre, FJ 8, y 197/2009, de 28 de septiembre, FJ 11, por todas).</w:t>
      </w:r>
    </w:p>
    <w:p w14:paraId="395F3B07" w14:textId="77777777" w:rsidR="008D479B" w:rsidRDefault="008D479B" w:rsidP="008D479B">
      <w:pPr>
        <w:pStyle w:val="TextoNormal"/>
      </w:pPr>
    </w:p>
    <w:p w14:paraId="63E570DA" w14:textId="77777777" w:rsidR="008D479B" w:rsidRDefault="008D479B" w:rsidP="008D479B">
      <w:pPr>
        <w:pStyle w:val="TextoNormalCentrado"/>
        <w:keepNext/>
      </w:pPr>
      <w:r>
        <w:t>FALLO</w:t>
      </w:r>
    </w:p>
    <w:p w14:paraId="5F32FBAD" w14:textId="41EE093E" w:rsidR="008D479B" w:rsidRDefault="008D479B" w:rsidP="008D479B">
      <w:pPr>
        <w:pStyle w:val="TextoNormalCentrado"/>
        <w:keepNext/>
      </w:pPr>
    </w:p>
    <w:p w14:paraId="438E4D7A" w14:textId="77777777" w:rsidR="008D479B" w:rsidRDefault="008D479B" w:rsidP="008D479B">
      <w:pPr>
        <w:pStyle w:val="TextoNormal"/>
      </w:pPr>
      <w:r>
        <w:t>En atención a todo lo expuesto, el Tribunal Constitucional, por la autoridad que le confiere la Constitución de la Nación española, ha decidido estimar parcialmente el recurso de amparo interpuesto por don Abderrahman El Younoussi y, en su virtud:</w:t>
      </w:r>
    </w:p>
    <w:p w14:paraId="227494E3" w14:textId="77777777" w:rsidR="008D479B" w:rsidRDefault="008D479B" w:rsidP="008D479B">
      <w:pPr>
        <w:pStyle w:val="TextoNormal"/>
      </w:pPr>
    </w:p>
    <w:p w14:paraId="357380D9" w14:textId="77777777" w:rsidR="008D479B" w:rsidRDefault="008D479B" w:rsidP="008D479B">
      <w:pPr>
        <w:pStyle w:val="TextoNormal"/>
      </w:pPr>
      <w:r>
        <w:t>1º Inadmitir la queja relativa a la vulneración del derecho a la tutela judicial efectiva, en su vertiente de acceso al recurso legal (art. 24.1 CE), por falta de agotamiento de los medios de impugnación previstos dentro de la vía judicial.</w:t>
      </w:r>
    </w:p>
    <w:p w14:paraId="71191CEF" w14:textId="77777777" w:rsidR="008D479B" w:rsidRDefault="008D479B" w:rsidP="008D479B">
      <w:pPr>
        <w:pStyle w:val="TextoNormal"/>
      </w:pPr>
    </w:p>
    <w:p w14:paraId="015DF340" w14:textId="77777777" w:rsidR="008D479B" w:rsidRDefault="008D479B" w:rsidP="008D479B">
      <w:pPr>
        <w:pStyle w:val="TextoNormal"/>
      </w:pPr>
      <w:r>
        <w:t>2º Declarar que ha sido vulnerado el derecho fundamental del recurrente a la intimidad personal (art. 18.1 CE).</w:t>
      </w:r>
    </w:p>
    <w:p w14:paraId="7ACD7C3E" w14:textId="77777777" w:rsidR="008D479B" w:rsidRDefault="008D479B" w:rsidP="008D479B">
      <w:pPr>
        <w:pStyle w:val="TextoNormal"/>
      </w:pPr>
    </w:p>
    <w:p w14:paraId="4DE789DE" w14:textId="77777777" w:rsidR="008D479B" w:rsidRDefault="008D479B" w:rsidP="008D479B">
      <w:pPr>
        <w:pStyle w:val="TextoNormal"/>
      </w:pPr>
      <w:r>
        <w:t>3º Restablecerle en su derecho y, a tal fin, anular la sentencia de 22 de mayo de 2020 dictada por el Juzgado de lo Penal núm. 4 de Barcelona en el procedimiento abreviado núm. 129-2020, y la sentencia de 26 de agosto de 2020 de la Sección Décima de la Audiencia Provincial de Barcelona, que desestima el recurso de apelación núm. 131-2020, interpuesto contra la anterior, en lo que se refiere a la condena del recurrente como autor de un delito contra la salud pública.</w:t>
      </w:r>
    </w:p>
    <w:p w14:paraId="23FF32B3" w14:textId="77777777" w:rsidR="008D479B" w:rsidRDefault="008D479B" w:rsidP="008D479B">
      <w:pPr>
        <w:pStyle w:val="TextoNormal"/>
      </w:pPr>
    </w:p>
    <w:p w14:paraId="24FABF65" w14:textId="5062EE21" w:rsidR="008D479B" w:rsidRDefault="008D479B" w:rsidP="008D479B">
      <w:pPr>
        <w:pStyle w:val="TextoNormal"/>
      </w:pPr>
      <w:r>
        <w:t>4º Retrotraer las actuaciones al momento anterior al fallo en la instancia, para que el Juzgado de lo Penal núm. 4 de Barcelona dicte nueva sentencia con respeto al derecho fundamental vulnerado, de acuerdo con lo señalado en el fundamento jurídico 9.</w:t>
      </w:r>
    </w:p>
    <w:p w14:paraId="4E30D34D" w14:textId="77777777" w:rsidR="008D479B" w:rsidRDefault="008D479B" w:rsidP="008D479B">
      <w:pPr>
        <w:pStyle w:val="TextoNormal"/>
      </w:pPr>
    </w:p>
    <w:p w14:paraId="1A25AF45" w14:textId="77777777" w:rsidR="008D479B" w:rsidRDefault="008D479B" w:rsidP="008D479B">
      <w:pPr>
        <w:pStyle w:val="TextoNormal"/>
      </w:pPr>
      <w:r>
        <w:t>Publíquese esta sentencia en el “Boletín Oficial del Estado”.</w:t>
      </w:r>
    </w:p>
    <w:p w14:paraId="4B32933C" w14:textId="77777777" w:rsidR="008D479B" w:rsidRDefault="008D479B" w:rsidP="008D479B">
      <w:pPr>
        <w:pStyle w:val="TextoNormal"/>
      </w:pPr>
      <w:r>
        <w:t>Dada en Madrid, a once de septiembre de dos mil veintitrés.</w:t>
      </w:r>
    </w:p>
    <w:p w14:paraId="6CEDF538" w14:textId="32C1ADBA" w:rsidR="008D479B" w:rsidRDefault="008D479B" w:rsidP="008D479B">
      <w:pPr>
        <w:pStyle w:val="ParrafoNormal"/>
      </w:pPr>
    </w:p>
    <w:p w14:paraId="2129E634" w14:textId="77777777" w:rsidR="008D479B" w:rsidRDefault="008D479B" w:rsidP="008D479B">
      <w:pPr>
        <w:pStyle w:val="TextoNormalNegritaCentrado"/>
        <w:keepNext/>
      </w:pPr>
      <w:r>
        <w:t>Voto particular que formula el magistrado don César Tolosa Tribiño a la sentencia dictada en el recurso de amparo núm. 3456-2021</w:t>
      </w:r>
    </w:p>
    <w:p w14:paraId="000F567C" w14:textId="67757C2E" w:rsidR="008D479B" w:rsidRDefault="008D479B" w:rsidP="008D479B">
      <w:pPr>
        <w:pStyle w:val="TextoNormalNegritaCentrado"/>
        <w:keepNext/>
      </w:pPr>
    </w:p>
    <w:p w14:paraId="05B82AB6" w14:textId="77777777" w:rsidR="008D479B" w:rsidRDefault="008D479B" w:rsidP="008D479B">
      <w:pPr>
        <w:pStyle w:val="TextoNormal"/>
      </w:pPr>
      <w:r>
        <w:t>En el ejercicio de la facultad que me confiere el artículo 90.2 de la Ley Orgánica del Tribunal Constitucional, y con el máximo respeto a la opinión de la mayoría, formulo el presente voto particular por discrepar de la fundamentación y del fallo de la sentencia recaída en el recurso de amparo núm. 3456-2021, el cual a mi juicio debió ser desestimado.</w:t>
      </w:r>
    </w:p>
    <w:p w14:paraId="34760E28" w14:textId="77777777" w:rsidR="008D479B" w:rsidRDefault="008D479B" w:rsidP="008D479B">
      <w:pPr>
        <w:pStyle w:val="TextoNormal"/>
      </w:pPr>
    </w:p>
    <w:p w14:paraId="05CE7DEC" w14:textId="77777777" w:rsidR="008D479B" w:rsidRDefault="008D479B" w:rsidP="008D479B">
      <w:pPr>
        <w:pStyle w:val="TextoNormal"/>
      </w:pPr>
      <w:r>
        <w:t xml:space="preserve">A) </w:t>
      </w:r>
      <w:r w:rsidRPr="008D479B">
        <w:rPr>
          <w:i/>
        </w:rPr>
        <w:t>Inexistencia de vulneración del derecho a la intimidad</w:t>
      </w:r>
    </w:p>
    <w:p w14:paraId="6493C31A" w14:textId="77777777" w:rsidR="008D479B" w:rsidRDefault="008D479B" w:rsidP="008D479B">
      <w:pPr>
        <w:pStyle w:val="TextoNormal"/>
      </w:pPr>
    </w:p>
    <w:p w14:paraId="68A0A0A6" w14:textId="77777777" w:rsidR="008D479B" w:rsidRDefault="008D479B" w:rsidP="008D479B">
      <w:pPr>
        <w:pStyle w:val="TextoNormal"/>
      </w:pPr>
      <w:r>
        <w:t>La sentencia de la que discrepo ha entendido que la utilización de dispositivos móviles de videograbación en el interior de un garaje de uso comunitario por agentes de la Guardia Urbana de Barcelona, en el curso de una investigación iniciada en virtud de denuncias vecinales por tráfico de drogas, ha vulnerado el derecho a la intimidad del recurrente.</w:t>
      </w:r>
    </w:p>
    <w:p w14:paraId="3186023D" w14:textId="77777777" w:rsidR="008D479B" w:rsidRDefault="008D479B" w:rsidP="008D479B">
      <w:pPr>
        <w:pStyle w:val="TextoNormal"/>
      </w:pPr>
    </w:p>
    <w:p w14:paraId="03CBFC8F" w14:textId="77777777" w:rsidR="008D479B" w:rsidRDefault="008D479B" w:rsidP="008D479B">
      <w:pPr>
        <w:pStyle w:val="TextoNormal"/>
      </w:pPr>
      <w:r>
        <w:t xml:space="preserve">a) </w:t>
      </w:r>
      <w:r w:rsidRPr="008D479B">
        <w:rPr>
          <w:i/>
        </w:rPr>
        <w:t>Contexto en el que se produce la utilización de dispositivos móviles de grabación</w:t>
      </w:r>
    </w:p>
    <w:p w14:paraId="1DBB1600" w14:textId="77777777" w:rsidR="008D479B" w:rsidRDefault="008D479B" w:rsidP="008D479B">
      <w:pPr>
        <w:pStyle w:val="TextoNormal"/>
      </w:pPr>
    </w:p>
    <w:p w14:paraId="5E1F69B1" w14:textId="77777777" w:rsidR="008D479B" w:rsidRDefault="008D479B" w:rsidP="008D479B">
      <w:pPr>
        <w:pStyle w:val="TextoNormal"/>
      </w:pPr>
      <w:r>
        <w:t>Antes de argumentar por qué la utilización de tales dispositivos móviles de grabación en el interior del garaje comunitario no vulneró el derecho a la intimidad del recurrente, debo contextualizar los motivos y el ámbito en el cual los agentes de la Guardia Urbana de Barcelona decidieron hacer uso de tales dispositivos.</w:t>
      </w:r>
    </w:p>
    <w:p w14:paraId="43D36DF1" w14:textId="77777777" w:rsidR="008D479B" w:rsidRDefault="008D479B" w:rsidP="008D479B">
      <w:pPr>
        <w:pStyle w:val="TextoNormal"/>
      </w:pPr>
    </w:p>
    <w:p w14:paraId="6AB5300D" w14:textId="77777777" w:rsidR="008D479B" w:rsidRDefault="008D479B" w:rsidP="008D479B">
      <w:pPr>
        <w:pStyle w:val="TextoNormal"/>
      </w:pPr>
      <w:r>
        <w:t>En este sentido la decisión de utilizar dispositivos móviles de grabación por la policía urbana de Barcelona vino precedida de vigilancias y seguimientos a los investigados, que duraron varios meses, tanto en la vía pública como en el interior del garaje comunitario, documentados en video y fotográficamente, en los que se pudo corroborar la inicial verosimilitud de las denuncias vecinales recibidas, al observar que: (i) diversas personas entraban y salían del domicilio usado por el recurrente; (ii) el recurrente salía del domicilio para entregar sustancias a quien llamaba a la puerta del piso; (iii) el recurrente entraba con bolsas vacías al parking donde se localizaba un vehículo abandonado propiedad de otra de las personas vinculada con el recurrente y salía del mismo con bolsas cargadas; (iv) la percepción por los agentes que, en ocasiones, se advertía que el interior de las bolsas contenía rectángulos similares a los utilizados en la disposición del hachís; (v) confirmación de que dentro del vehículo se localizaron sustancias estupefacientes a través de la comprobación con la unidad canina; (vi) adopción de medidas de contra vigilancia por parte del recurrente para detectar seguimientos.</w:t>
      </w:r>
    </w:p>
    <w:p w14:paraId="7F9CA50C" w14:textId="77777777" w:rsidR="008D479B" w:rsidRDefault="008D479B" w:rsidP="008D479B">
      <w:pPr>
        <w:pStyle w:val="TextoNormal"/>
      </w:pPr>
    </w:p>
    <w:p w14:paraId="2B1352DA" w14:textId="77777777" w:rsidR="008D479B" w:rsidRDefault="008D479B" w:rsidP="008D479B">
      <w:pPr>
        <w:pStyle w:val="TextoNormal"/>
      </w:pPr>
      <w:r>
        <w:t>El resultado de tales vigilancias, seguimientos y videovigilancias, en la vía pública y alguna de ellas en el interior del garaje comunitario, junto con la detección de sustancias estupefacientes en el interior del vehículo estacionado en el parking por la unidad canina de la policía, fundaron la solicitud de entradas y registros cuyo resultado se expresa en los hechos probados de la sentencia del juzgado de lo penal y que con las otras pruebas practicadas, sustentó la condena del recurrente.</w:t>
      </w:r>
    </w:p>
    <w:p w14:paraId="007AF8E7" w14:textId="77777777" w:rsidR="008D479B" w:rsidRDefault="008D479B" w:rsidP="008D479B">
      <w:pPr>
        <w:pStyle w:val="TextoNormal"/>
      </w:pPr>
    </w:p>
    <w:p w14:paraId="31CF06B0" w14:textId="77777777" w:rsidR="008D479B" w:rsidRDefault="008D479B" w:rsidP="008D479B">
      <w:pPr>
        <w:pStyle w:val="TextoNormal"/>
      </w:pPr>
      <w:r>
        <w:t xml:space="preserve">b) </w:t>
      </w:r>
      <w:r w:rsidRPr="008D479B">
        <w:rPr>
          <w:i/>
        </w:rPr>
        <w:t>Contenido y alcance del derecho a la intimidad personal y familiar (art. 18.1 CE) y su proyección sobre un garaje de uso comunitario</w:t>
      </w:r>
    </w:p>
    <w:p w14:paraId="342129D6" w14:textId="77777777" w:rsidR="008D479B" w:rsidRDefault="008D479B" w:rsidP="008D479B">
      <w:pPr>
        <w:pStyle w:val="TextoNormal"/>
      </w:pPr>
    </w:p>
    <w:p w14:paraId="212CD554" w14:textId="77777777" w:rsidR="008D479B" w:rsidRDefault="008D479B" w:rsidP="008D479B">
      <w:pPr>
        <w:pStyle w:val="TextoNormal"/>
      </w:pPr>
      <w:r>
        <w:t>Expuesto lo anterior, procede examinar el contenido y alcance del derecho a la intimidad, para poder valorar si la colocación de dispositivos móviles de grabación en un garaje comunitario afecta al referido derecho.</w:t>
      </w:r>
    </w:p>
    <w:p w14:paraId="47F11E50" w14:textId="77777777" w:rsidR="008D479B" w:rsidRDefault="008D479B" w:rsidP="008D479B">
      <w:pPr>
        <w:pStyle w:val="TextoNormal"/>
      </w:pPr>
    </w:p>
    <w:p w14:paraId="6D954A5C" w14:textId="77777777" w:rsidR="008D479B" w:rsidRDefault="008D479B" w:rsidP="008D479B">
      <w:pPr>
        <w:pStyle w:val="TextoNormal"/>
      </w:pPr>
      <w:r>
        <w:t>Como bien afirma la sentencia de la que discrepo, en su fundamento sexto, este tribunal ha declarado de modo reiterado que “el derecho a la intimidad personal implica la existencia de un ámbito propio y reservado frente a la acción y el conocimiento de los demás, necesario, según las pautas de nuestra cultura, para mantener una calidad mínima de la vida humana” (SSTC 207/1996, de 16 de diciembre, FJ 3; 186/2000, de 10 de julio, FJ 6; 196/2004, de 15 de noviembre, FJ 2; 206/2007, de 24 de septiembre, FJ 4, y 159/2009, de 29 de junio, FJ 3, por todas). Con unos u otros términos, la doctrina constitucional insiste en que el derecho a la intimidad atribuye a su titular el poder de reservarse un espacio resguardado de la curiosidad ajena, de una publicidad no querida (entre otras, SSTC 231/1988, de 2 de diciembre, FJ 3; 127/2003, de 30 de junio, FJ 7; 89/2006, de 27 de marzo, FJ 5; 236/2007, de 7 de noviembre, FJ 11; 60/2010, de 7 de octubre, FJ 8, y 93/2013, de 23 de abril, FJ 8), y, en consecuencia, el poder jurídico de imponer a terceros, sean particulares o poderes públicos, el deber de abstenerse de toda intromisión en la esfera íntima y la prohibición de hacer uso de lo así conocido (SSTC 196/2004, de 15 de noviembre, FJ 2; 206/2007, de 24 de septiembre, FJ 5; 70/2009, de 23 de marzo, FJ 2; 173/2011, de 7 de noviembre, FJ 2, y 14/2003, de 28 de enero, FJ 4, entre otras). Por otra parte, “la intimidad protegida por el art. 18.1 CE no se reduce necesariamente a la que se desarrolla en un ámbito doméstico o privado” (por todas, SSTC 12/2012, de 30 de enero, FJ 5; 18/2015, de 16 de febrero, FJ 5, y 25/2019, de 25 de febrero, FJ 5).</w:t>
      </w:r>
    </w:p>
    <w:p w14:paraId="64DCB2E3" w14:textId="77777777" w:rsidR="008D479B" w:rsidRDefault="008D479B" w:rsidP="008D479B">
      <w:pPr>
        <w:pStyle w:val="TextoNormal"/>
      </w:pPr>
    </w:p>
    <w:p w14:paraId="398BE7C2" w14:textId="77777777" w:rsidR="008D479B" w:rsidRDefault="008D479B" w:rsidP="008D479B">
      <w:pPr>
        <w:pStyle w:val="TextoNormal"/>
      </w:pPr>
      <w:r>
        <w:t xml:space="preserve">Esta doctrina sobre el derecho a la intimidad personal que el art. 18.1 CE reconoce se halla en consonancia con la jurisprudencia del Tribunal Europeo de Derechos Humanos sentada en relación con la noción de vida privada protegida por el art. 8.1 del Convenio europeo para la protección de los derechos humanos y de las libertades fundamentales. En particular, como hemos destacado en la STC 12/2012, de 30 de enero, FJ 5, resulta relevante, como criterio que debe tenerse en cuenta “para determinar cuándo nos encontramos ante manifestaciones de la vida privada protegible frente a intromisiones ilegítimas, [es] el de las expectativas razonables que la propia persona, o cualquier otra en su lugar en esa circunstancia, pueda tener de encontrarse al resguardo de la observación o del escrutinio ajeno. Así, por ejemplo, cuando se encuentra en un paraje inaccesible o en un lugar solitario debido a la hora del día, puede conducirse con plena espontaneidad en la confianza fundada de la ausencia de observadores. Por el contrario, no pueden abrigarse expectativas razonables al respecto cuando de forma intencional, o al menos de forma consciente, se participa en actividades que por las circunstancias que las rodean, claramente pueden ser objeto de registro o de información pública (SSTEDH de 25 de septiembre de 2001, asunto </w:t>
      </w:r>
      <w:r w:rsidRPr="008D479B">
        <w:rPr>
          <w:i/>
        </w:rPr>
        <w:t>P.G. y J.H. c. Reino Unido</w:t>
      </w:r>
      <w:r>
        <w:t xml:space="preserve">, § 57, y de 28 de enero de 2003, asunto </w:t>
      </w:r>
      <w:r w:rsidRPr="008D479B">
        <w:rPr>
          <w:i/>
        </w:rPr>
        <w:t>Peck c. Reino Unido</w:t>
      </w:r>
      <w:r>
        <w:t>, § 58)”.</w:t>
      </w:r>
    </w:p>
    <w:p w14:paraId="0185E9B5" w14:textId="77777777" w:rsidR="008D479B" w:rsidRDefault="008D479B" w:rsidP="008D479B">
      <w:pPr>
        <w:pStyle w:val="TextoNormal"/>
      </w:pPr>
    </w:p>
    <w:p w14:paraId="4CC043B4" w14:textId="77777777" w:rsidR="008D479B" w:rsidRDefault="008D479B" w:rsidP="008D479B">
      <w:pPr>
        <w:pStyle w:val="TextoNormal"/>
      </w:pPr>
      <w:r>
        <w:t>Conforme al criterio de la expectativa razonable de encontrarse al resguardo de la curiosidad ajena —y a diferencia de lo que sostiene la sentencia de la que discrepo— no es posible albergar semejante confianza cuando la actividad se desarrolla en el interior de un garaje de una comunidad de vecinos y por tanto se encuentra expuesta a la mirada de cualquier persona con acceso al referido garaje.</w:t>
      </w:r>
    </w:p>
    <w:p w14:paraId="13F76359" w14:textId="77777777" w:rsidR="008D479B" w:rsidRDefault="008D479B" w:rsidP="008D479B">
      <w:pPr>
        <w:pStyle w:val="TextoNormal"/>
      </w:pPr>
    </w:p>
    <w:p w14:paraId="49A21004" w14:textId="77777777" w:rsidR="008D479B" w:rsidRDefault="008D479B" w:rsidP="008D479B">
      <w:pPr>
        <w:pStyle w:val="TextoNormal"/>
      </w:pPr>
      <w:r>
        <w:t xml:space="preserve">En efecto, no puede afirmarse que un garaje comunitario se encuentre amparado por el derecho a la intimidad, salvo que se desnaturalice el contenido de este derecho y se transforme el derecho a la intimidad “personal y familiar” de la que trata el art. 18.1 CE en una suerte de inexistente derecho a la </w:t>
      </w:r>
      <w:r w:rsidRPr="008D479B">
        <w:rPr>
          <w:i/>
        </w:rPr>
        <w:t>intimidad vecinal o comunitaria</w:t>
      </w:r>
      <w:r>
        <w:t xml:space="preserve"> ontológicamente contraria a la propia esencia del concepto de intimidad, por encontrarse desvinculada de la esfera de la personalidad y de la dignidad del individuo con la que entroncan los derechos del art. 18.1 CE.</w:t>
      </w:r>
    </w:p>
    <w:p w14:paraId="5274D8EE" w14:textId="77777777" w:rsidR="008D479B" w:rsidRDefault="008D479B" w:rsidP="008D479B">
      <w:pPr>
        <w:pStyle w:val="TextoNormal"/>
      </w:pPr>
    </w:p>
    <w:p w14:paraId="481833F0" w14:textId="77777777" w:rsidR="008D479B" w:rsidRDefault="008D479B" w:rsidP="008D479B">
      <w:pPr>
        <w:pStyle w:val="TextoNormal"/>
      </w:pPr>
      <w:r>
        <w:t>Es pues notorio —so riesgo de diluir el concepto de intimidad— que en ese espacio, accesible en todo momento a terceros (no solo los titulares de las plazas de aparcamiento, sea en régimen de propiedad o de alquiler, sino también a sus acompañantes y a otras personas por aquellas habilitadas para acceder, como pueden ser los operarios de servicios de limpieza, o de reparaciones, entre otros), nadie puede esperar hallarse a resguardado de un posible escrutinio ajeno. Dicho de otro modo, no cabe una expectativa de privacidad en un garaje comunitario al que puede acceder una pluralidad de personas. La titularidad pública o privada del garaje —a la que alude la sentencia—, o su uso público general o restringido —al que también se refiere la sentencia—, son irrelevantes en orden a determinar la afectación del derecho a la intimidad.</w:t>
      </w:r>
    </w:p>
    <w:p w14:paraId="436AD434" w14:textId="77777777" w:rsidR="008D479B" w:rsidRDefault="008D479B" w:rsidP="008D479B">
      <w:pPr>
        <w:pStyle w:val="TextoNormal"/>
      </w:pPr>
    </w:p>
    <w:p w14:paraId="50AF33D3" w14:textId="77777777" w:rsidR="008D479B" w:rsidRDefault="008D479B" w:rsidP="008D479B">
      <w:pPr>
        <w:pStyle w:val="TextoNormal"/>
      </w:pPr>
      <w:r>
        <w:t xml:space="preserve">Por ello debe descartarse que el derecho a la intimidad </w:t>
      </w:r>
      <w:r w:rsidRPr="008D479B">
        <w:rPr>
          <w:i/>
        </w:rPr>
        <w:t>personal y familiar</w:t>
      </w:r>
      <w:r>
        <w:t xml:space="preserve"> hubiera resultado afectado por el hecho de que los agentes hubieran accedido al garaje comunitario, con independencia de que el acceso hubiera sido facilitado por un vecino —como se afirma en las sentencias recurridas— o no hubiese venido acompañado de dicha autorización.</w:t>
      </w:r>
    </w:p>
    <w:p w14:paraId="53DFEFD9" w14:textId="77777777" w:rsidR="008D479B" w:rsidRDefault="008D479B" w:rsidP="008D479B">
      <w:pPr>
        <w:pStyle w:val="TextoNormal"/>
      </w:pPr>
    </w:p>
    <w:p w14:paraId="18D4E847" w14:textId="77777777" w:rsidR="008D479B" w:rsidRDefault="008D479B" w:rsidP="008D479B">
      <w:pPr>
        <w:pStyle w:val="TextoNormal"/>
      </w:pPr>
      <w:r>
        <w:t>El garaje comunitario no puede ser considerado un espacio ajeno al escrutinio o a la mirada ajena, ni un espacio donde los recurrentes —en el desarrollo de su actividad delictiva— pudieran albergar una expectativa razonable de privacidad, por más que confiaran en no ser sorprendidos por ningún vecino —o por la policía— mientras realizaban las operaciones de carga y descarga de los bultos en el vehículo aparcado en una de sus plazas.</w:t>
      </w:r>
    </w:p>
    <w:p w14:paraId="31667ACC" w14:textId="77777777" w:rsidR="008D479B" w:rsidRDefault="008D479B" w:rsidP="008D479B">
      <w:pPr>
        <w:pStyle w:val="TextoNormal"/>
      </w:pPr>
    </w:p>
    <w:p w14:paraId="5496BE55" w14:textId="77777777" w:rsidR="008D479B" w:rsidRDefault="008D479B" w:rsidP="008D479B">
      <w:pPr>
        <w:pStyle w:val="TextoNormal"/>
      </w:pPr>
      <w:r>
        <w:t>No debe confundirse la expectativa a no ser sorprendidos en la actividad delictiva realizada, con el ámbito tuitivo que proyecta el derecho a la intimidad. Para que este ámbito de protección opere hubiera sido preciso que la actividad delictiva se desplegara en un espacio propio y reservado frente a la acción y el conocimiento de los demás. Desde luego un garaje de uso comunitario no puede merecer dicha consideración. Tampoco la actividad delictiva desarrollada, al margen del criterio exclusivamente espacial o locativo, podía llevar a que el recurrente albergara expectativas de su carácter reservado o ajeno a las miradas de terceros. Esa ausencia de expectativas razonables, no solo resulta de la función constitucionalmente encomendada a la policía en relación con la averiguación y descubrimiento de los delitos (art. 126 CE), sino porque la conducta realizada, por su propia naturaleza delictiva, se encontraba desprovista de la protección que se deriva del derecho a la intimidad al no poderse justificar la reserva en la necesidad de mantener “una calidad mínima de la vida humana”.</w:t>
      </w:r>
    </w:p>
    <w:p w14:paraId="39C8A8F1" w14:textId="77777777" w:rsidR="008D479B" w:rsidRDefault="008D479B" w:rsidP="008D479B">
      <w:pPr>
        <w:pStyle w:val="TextoNormal"/>
      </w:pPr>
    </w:p>
    <w:p w14:paraId="1D2D857B" w14:textId="77777777" w:rsidR="008D479B" w:rsidRDefault="008D479B" w:rsidP="008D479B">
      <w:pPr>
        <w:pStyle w:val="TextoNormal"/>
      </w:pPr>
      <w:r>
        <w:t xml:space="preserve">Sentada esa conclusión, esto es, no encontrándose afectada la intimidad </w:t>
      </w:r>
      <w:r w:rsidRPr="008D479B">
        <w:rPr>
          <w:i/>
        </w:rPr>
        <w:t>personal y familiar</w:t>
      </w:r>
      <w:r>
        <w:t>, debe considerarse irrelevante —desde el prisma del derecho fundamental invocado— que los agentes de policía, a fin de constatar la realidad sospechada, hubieran utilizado medios aptos para avalar el resultado de su investigación, como son los sistemas mecánicos de grabación de imágenes. Esto es, no encontrándose concernido el derecho a la intimidad no existe impedimento constitucional alguno para que la labor de investigación y seguimiento policial (art. 126 CE) se materializara mediante aparatos de captación de la imagen de las personas sospechosas de modo velado y subrepticio en los momentos en los que estaban cometiendo el delito y se dotara, de este modo, de mayor infalibilidad y certeza a las conclusiones de la investigación realizada.</w:t>
      </w:r>
    </w:p>
    <w:p w14:paraId="55BB4247" w14:textId="77777777" w:rsidR="008D479B" w:rsidRDefault="008D479B" w:rsidP="008D479B">
      <w:pPr>
        <w:pStyle w:val="TextoNormal"/>
      </w:pPr>
    </w:p>
    <w:p w14:paraId="726DCF35" w14:textId="77777777" w:rsidR="008D479B" w:rsidRDefault="008D479B" w:rsidP="008D479B">
      <w:pPr>
        <w:pStyle w:val="TextoNormal"/>
      </w:pPr>
      <w:r>
        <w:t>Lo contrario —una vez excluida la afectación del derecho a la intimidad por el acceso de los policías al garaje—, sería tanto como afirmar la existencia de un injustificado y desproporcionado derecho del investigado a dificultar la investigación policial —evitando el uso de medios tecnológicos— o a limitar la fiabilidad y solidez probatoria de las diligencias de investigación policiales excluyendo del acervo probatorio el resultado de la grabación de los implicados cometiendo el delito. Y es que, como indicamos en la STC 151/2013, de 9 de septiembre “no puede pues considerarse admisible en términos constitucionales la exclusión de cualquier medio de prueba si no existe una finalidad constitucionalmente legítima que lo justifique”.</w:t>
      </w:r>
    </w:p>
    <w:p w14:paraId="658AF0B4" w14:textId="77777777" w:rsidR="008D479B" w:rsidRDefault="008D479B" w:rsidP="008D479B">
      <w:pPr>
        <w:pStyle w:val="TextoNormal"/>
      </w:pPr>
    </w:p>
    <w:p w14:paraId="4302939E" w14:textId="77777777" w:rsidR="008D479B" w:rsidRDefault="008D479B" w:rsidP="008D479B">
      <w:pPr>
        <w:pStyle w:val="TextoNormal"/>
      </w:pPr>
      <w:r>
        <w:t xml:space="preserve">B) </w:t>
      </w:r>
      <w:r w:rsidRPr="008D479B">
        <w:rPr>
          <w:i/>
        </w:rPr>
        <w:t>Consecuencias de la inexistencia de vulneración de derechos fundamentales</w:t>
      </w:r>
    </w:p>
    <w:p w14:paraId="14252982" w14:textId="77777777" w:rsidR="008D479B" w:rsidRDefault="008D479B" w:rsidP="008D479B">
      <w:pPr>
        <w:pStyle w:val="TextoNormal"/>
      </w:pPr>
    </w:p>
    <w:p w14:paraId="08557E4B" w14:textId="77777777" w:rsidR="008D479B" w:rsidRDefault="008D479B" w:rsidP="008D479B">
      <w:pPr>
        <w:pStyle w:val="TextoNormal"/>
      </w:pPr>
      <w:r>
        <w:t xml:space="preserve">a) </w:t>
      </w:r>
      <w:r w:rsidRPr="008D479B">
        <w:rPr>
          <w:i/>
        </w:rPr>
        <w:t>Infracciones infraconstitucionales y exclusión de la prueba</w:t>
      </w:r>
    </w:p>
    <w:p w14:paraId="2D8C32C4" w14:textId="77777777" w:rsidR="008D479B" w:rsidRDefault="008D479B" w:rsidP="008D479B">
      <w:pPr>
        <w:pStyle w:val="TextoNormal"/>
      </w:pPr>
    </w:p>
    <w:p w14:paraId="3D77C6E8" w14:textId="77777777" w:rsidR="008D479B" w:rsidRDefault="008D479B" w:rsidP="008D479B">
      <w:pPr>
        <w:pStyle w:val="TextoNormal"/>
      </w:pPr>
      <w:r>
        <w:t>Descartada la vulneración del derecho fundamental a la intimidad (art. 18.1 CE), la eventual ilicitud en el acto de obtención de los elementos probatorios mediante la colocación de dispositivos de grabación cuyo resultado se incorporó al acervo probatorio, tendría —en su caso— una base estrictamente infraconstitucional irrelevante desde la óptica del art. 24.2 CE.</w:t>
      </w:r>
    </w:p>
    <w:p w14:paraId="76E4F49D" w14:textId="77777777" w:rsidR="008D479B" w:rsidRDefault="008D479B" w:rsidP="008D479B">
      <w:pPr>
        <w:pStyle w:val="TextoNormal"/>
      </w:pPr>
    </w:p>
    <w:p w14:paraId="1EED2544" w14:textId="77777777" w:rsidR="008D479B" w:rsidRDefault="008D479B" w:rsidP="008D479B">
      <w:pPr>
        <w:pStyle w:val="TextoNormal"/>
      </w:pPr>
      <w:r>
        <w:t>Esto es, este tribunal ha afirmado que la regla constitucional de exclusión de las pruebas obtenidas vulnerando derechos fundamentales se refiere siempre a la “vulneración de derechos fundamentales que se comet[e] al obtener tales pruebas”, y no a las violaciones de procedimiento que, también en relación con la prueba, se producen “en el momento de su admisión en el proceso o de su práctica en él”, que quedan reconducidas, en cuanto a su posible dimensión constitucional, a la existencia de una garantía específica que resulte concretamente vulnerada o al juego general de “la regla de la interdicción de la indefensión” (SSTC 64/1986, de 21 de mayo, FJ 2, y 121/1998, de 15 de junio, FJ 6).</w:t>
      </w:r>
    </w:p>
    <w:p w14:paraId="5482608C" w14:textId="77777777" w:rsidR="008D479B" w:rsidRDefault="008D479B" w:rsidP="008D479B">
      <w:pPr>
        <w:pStyle w:val="TextoNormal"/>
      </w:pPr>
    </w:p>
    <w:p w14:paraId="49AF0FB5" w14:textId="77777777" w:rsidR="008D479B" w:rsidRDefault="008D479B" w:rsidP="008D479B">
      <w:pPr>
        <w:pStyle w:val="TextoNormal"/>
      </w:pPr>
      <w:r>
        <w:t>La prohibición constitucional de valoración de prueba ilícita no entra, por tanto, en juego cuando —como sostengo sucede en este caso— el acto de obtención de los elementos de prueba ha sido conforme con la Constitución (SSTC 114/1984, de 29 de noviembre; 107/1985, de 7 de octubre, y 123/1997, de 1 de julio).</w:t>
      </w:r>
    </w:p>
    <w:p w14:paraId="3097FB3B" w14:textId="77777777" w:rsidR="008D479B" w:rsidRDefault="008D479B" w:rsidP="008D479B">
      <w:pPr>
        <w:pStyle w:val="TextoNormal"/>
      </w:pPr>
    </w:p>
    <w:p w14:paraId="4694C0A2" w14:textId="77777777" w:rsidR="008D479B" w:rsidRDefault="008D479B" w:rsidP="008D479B">
      <w:pPr>
        <w:pStyle w:val="TextoNormal"/>
      </w:pPr>
      <w:r>
        <w:t xml:space="preserve">b) </w:t>
      </w:r>
      <w:r w:rsidRPr="008D479B">
        <w:rPr>
          <w:i/>
        </w:rPr>
        <w:t>Ausencia de ponderación en la sentencia de la decisión de nulidad probatoria</w:t>
      </w:r>
    </w:p>
    <w:p w14:paraId="77AF4F4E" w14:textId="77777777" w:rsidR="008D479B" w:rsidRDefault="008D479B" w:rsidP="008D479B">
      <w:pPr>
        <w:pStyle w:val="TextoNormal"/>
      </w:pPr>
    </w:p>
    <w:p w14:paraId="5F5577BF" w14:textId="77777777" w:rsidR="008D479B" w:rsidRDefault="008D479B" w:rsidP="008D479B">
      <w:pPr>
        <w:pStyle w:val="TextoNormal"/>
      </w:pPr>
      <w:r>
        <w:t>Aun en el caso, que se rechaza en este voto particular, de que el acto de obtención de los elementos probatorios mediante la colocación de dispositivos de grabación hubiera vulnerado el derecho fundamental a la intimidad, la sentencia declara la nulidad de dicha prueba con evidente automatismo, sin tomar en consideración elementos de ponderación utilizados por este tribunal en casos en que concurrían circunstancias similares.</w:t>
      </w:r>
    </w:p>
    <w:p w14:paraId="61C6508E" w14:textId="77777777" w:rsidR="008D479B" w:rsidRDefault="008D479B" w:rsidP="008D479B">
      <w:pPr>
        <w:pStyle w:val="TextoNormal"/>
      </w:pPr>
    </w:p>
    <w:p w14:paraId="63D419FF" w14:textId="77777777" w:rsidR="008D479B" w:rsidRDefault="008D479B" w:rsidP="008D479B">
      <w:pPr>
        <w:pStyle w:val="TextoNormal"/>
      </w:pPr>
      <w:r>
        <w:t>Debe en tal sentido recordarse —como ya hicimos en la STC 97/2019, de 16 de julio, FJ 3— que este tribunal, consideró compatible con el derecho a un proceso con todas las garantías (art. 24.2 CE) la recepción probatoria de elementos de convicción directamente obtenidos en vulneración de un derecho fundamental sustantivo, en concreto, a través del registro domiciliario realizado sin autorización judicial, sin presencia del acusado y sin que se tratase de delito flagrante, ya que las autoridades habían actuado de ese modo en la confianza, amparada entonces por el estado evolutivo de la jurisprudencia, de que el consentimiento prestado por los comoradores de la vivienda era suficiente a pesar de existir una situación de contraposición de intereses entre estos y el demandante de amparo (STC 22/2003, de 10 de febrero).</w:t>
      </w:r>
    </w:p>
    <w:p w14:paraId="3016EA59" w14:textId="77777777" w:rsidR="008D479B" w:rsidRDefault="008D479B" w:rsidP="008D479B">
      <w:pPr>
        <w:pStyle w:val="TextoNormal"/>
      </w:pPr>
    </w:p>
    <w:p w14:paraId="33B06D5B" w14:textId="77777777" w:rsidR="008D479B" w:rsidRDefault="008D479B" w:rsidP="008D479B">
      <w:pPr>
        <w:pStyle w:val="TextoNormal"/>
      </w:pPr>
      <w:r>
        <w:t>El Tribunal declaró entonces que había existido, en efecto, una vulneración originaria del derecho a la inviolabilidad domiciliaria del art. 18.2 CE (FJ 9) y reiteró, como línea de principio para afrontar la posible violación del art. 24.2 CE en relación con la admisión como pruebas de los materiales obtenidos, que “la necesidad de tutela es mayor cuando el medio probatorio utilizado vulnera directamente el derecho fundamental” (FJ 10).</w:t>
      </w:r>
    </w:p>
    <w:p w14:paraId="074C973C" w14:textId="77777777" w:rsidR="008D479B" w:rsidRDefault="008D479B" w:rsidP="008D479B">
      <w:pPr>
        <w:pStyle w:val="TextoNormal"/>
      </w:pPr>
    </w:p>
    <w:p w14:paraId="67A0386D" w14:textId="77777777" w:rsidR="008D479B" w:rsidRDefault="008D479B" w:rsidP="008D479B">
      <w:pPr>
        <w:pStyle w:val="TextoNormal"/>
      </w:pPr>
      <w:r>
        <w:t>No obstante, descartó que, en el caso planteado, existiera una necesidad específica de tutela de la violación consumada en el derecho sustantivo que debiera proyectarse sobre la admisibilidad procesal de las pruebas, pues la entrada y registro se había efectuado de ese modo a causa de un “déficit en el estado de interpretación del ordenamiento que no cabe proyectar sobre la actuación de los órganos encargados de la investigación, imponiendo, a modo de sanción, la invalidez de una prueba, como el hallazgo de una pistola que, por si misma, no materializa en este caso lesión alguna del derecho fundamental”. La integridad del proceso penal como proceso justo, en el que no cabe que se violen los derechos fundamentales como método instrumental de obtener ventajas probatorias, no había sido comprometida en el caso planteado, pues “el origen de la vulneración se halla[ba] en la insuficiente definición de la interpretación del ordenamiento, en que se actúa por los órganos investigadores en la creencia sólidamente fundada de estar respetando la Constitución y en que, además, la actuación respetuosa del derecho fundamental hubiera conducido sin lugar a dudas al mismo resultado”, por lo que “la exclusión de la prueba se revela como un remedio impertinente y excesivo que, por lo tanto, es preciso, rechazar” (FJ 10).</w:t>
      </w:r>
    </w:p>
    <w:p w14:paraId="3B989A09" w14:textId="77777777" w:rsidR="008D479B" w:rsidRDefault="008D479B" w:rsidP="008D479B">
      <w:pPr>
        <w:pStyle w:val="TextoNormal"/>
      </w:pPr>
    </w:p>
    <w:p w14:paraId="498202B4" w14:textId="77777777" w:rsidR="008D479B" w:rsidRDefault="008D479B" w:rsidP="008D479B">
      <w:pPr>
        <w:pStyle w:val="TextoNormal"/>
      </w:pPr>
      <w:r>
        <w:t>Pues bien, entiendo que la proyección de los parámetros de ponderación empleados en dicha sentencia y omitidos en la presente, aún en el supuesto no compartido de considerar que quedó afectada la intimidad del recurrente, hubieran debido llevar a que la sentencia de la que discrepo considerase también ahora que ante la inexistencia de pronunciamientos de este tribunal, el “déficit en el estado de interpretación del ordenamiento que no cabe proyectar sobre la actuación de los órganos encargados de la investigación”, la “creencia sólidamente fundada de estar respetando la Constitución”, el hecho de que “la actuación respetuosa con el derecho fundamental”, solicitando la autorización judicial, hubiera “conducido sin lugar a dudas al mismo resultado”, y consiguientemente determinara que la exclusión de la prueba supondría en este caso —como el contemplado en la STC 22/2003— como un remedio impertinente y excesivo y que, por lo tanto, era preciso, rechazar.</w:t>
      </w:r>
    </w:p>
    <w:p w14:paraId="1324D9D5" w14:textId="77777777" w:rsidR="008D479B" w:rsidRDefault="008D479B" w:rsidP="008D479B">
      <w:pPr>
        <w:pStyle w:val="TextoNormal"/>
      </w:pPr>
    </w:p>
    <w:p w14:paraId="5B75CCE4" w14:textId="77777777" w:rsidR="008D479B" w:rsidRDefault="008D479B" w:rsidP="008D479B">
      <w:pPr>
        <w:pStyle w:val="TextoNormal"/>
      </w:pPr>
      <w:r>
        <w:t>En atención a lo expuesto y con el máximo respeto a la decisión adoptada de la que disiento, debó concluir que la demanda de amparo interpuesta por don Abderrahman El Younoussi contra la sentencia de 22 de mayo de 2020 dictada por el Juzgado de lo Penal núm. 4 de Barcelona en el procedimiento abreviado núm. 129-2020 y contra la sentencia de 26 de agosto de 2020 de la Sección Décima de la Audiencia Provincial de Barcelona, debió ser íntegramente desestimada al no vulnerar el derecho a la intimidad del recurrente y en cualquier caso la sentencia debió limitar sus efectos al mero reconocimiento de la vulneración declarada sin excluir la prueba del acervo probatorio.</w:t>
      </w:r>
    </w:p>
    <w:p w14:paraId="73B7D197" w14:textId="77777777" w:rsidR="008D479B" w:rsidRDefault="008D479B" w:rsidP="008D479B">
      <w:pPr>
        <w:pStyle w:val="TextoNormal"/>
      </w:pPr>
    </w:p>
    <w:p w14:paraId="3A28DAE0" w14:textId="6DF070E9" w:rsidR="008D479B" w:rsidRDefault="008D479B" w:rsidP="008D479B">
      <w:pPr>
        <w:pStyle w:val="TextoNormal"/>
      </w:pPr>
      <w:r>
        <w:t>Madrid, a once de septiembre de dos mil veintitrés.</w:t>
      </w:r>
    </w:p>
    <w:p w14:paraId="77CD01FF" w14:textId="0ED28EAC" w:rsidR="008D479B" w:rsidRDefault="008D479B">
      <w:pPr>
        <w:spacing w:after="160" w:line="278" w:lineRule="auto"/>
        <w:rPr>
          <w:rFonts w:ascii="Times New Roman" w:eastAsia="Times New Roman" w:hAnsi="Times New Roman" w:cs="Times New Roman"/>
          <w:sz w:val="24"/>
          <w:szCs w:val="24"/>
          <w:lang w:eastAsia="es-ES"/>
        </w:rPr>
      </w:pPr>
      <w:r>
        <w:br w:type="page"/>
      </w:r>
    </w:p>
    <w:p w14:paraId="0AFA4C98" w14:textId="77777777" w:rsidR="008D479B" w:rsidRDefault="008D479B" w:rsidP="008D479B">
      <w:pPr>
        <w:pStyle w:val="TtuloResolucin"/>
      </w:pPr>
      <w:bookmarkStart w:id="18" w:name="SENTENCIA_2023_93"/>
      <w:r>
        <w:t>SENTENCIA 93/2023, de 12 de septiembre de 2023</w:t>
      </w:r>
    </w:p>
    <w:bookmarkEnd w:id="18"/>
    <w:p w14:paraId="22458BA9" w14:textId="77777777" w:rsidR="008D479B" w:rsidRDefault="008D479B" w:rsidP="008D479B">
      <w:pPr>
        <w:pStyle w:val="TtuloResolucin"/>
      </w:pPr>
      <w:r>
        <w:t>Pleno</w:t>
      </w:r>
    </w:p>
    <w:p w14:paraId="57D23D8B" w14:textId="77777777" w:rsidR="008D479B" w:rsidRDefault="008D479B" w:rsidP="008D479B">
      <w:pPr>
        <w:pStyle w:val="TtuloBOE"/>
      </w:pPr>
      <w:r>
        <w:t>(BOE núm. 244, de 12 de octubre de 2023)</w:t>
      </w:r>
    </w:p>
    <w:p w14:paraId="1AC5344B" w14:textId="77777777" w:rsidR="008D479B" w:rsidRDefault="008D479B" w:rsidP="008D479B">
      <w:pPr>
        <w:pStyle w:val="TextoNormalCentrado"/>
      </w:pPr>
      <w:r>
        <w:t>ECLI:ES:TC:2023:93</w:t>
      </w:r>
    </w:p>
    <w:p w14:paraId="283B9944" w14:textId="1173991A" w:rsidR="008D479B" w:rsidRDefault="008D479B" w:rsidP="008D479B">
      <w:pPr>
        <w:pStyle w:val="TextoNormalCentrado"/>
      </w:pPr>
    </w:p>
    <w:p w14:paraId="47E4116C" w14:textId="77777777" w:rsidR="008D479B" w:rsidRDefault="008D479B" w:rsidP="008D479B">
      <w:pPr>
        <w:pStyle w:val="SntesisDescriptiva"/>
      </w:pPr>
      <w:r>
        <w:t>Recurso de amparo 6513-2020. Promovido por doña María Teresa Rodríguez-Rubio Vázquez y otros ocho diputados del Parlamento de Andalucía en relación con los acuerdos de la mesa de la Cámara que les asignaron la condición de diputados no adscritos.</w:t>
      </w:r>
    </w:p>
    <w:p w14:paraId="57B042BC" w14:textId="1FFCFF8A" w:rsidR="008D479B" w:rsidRDefault="008D479B" w:rsidP="008D479B">
      <w:pPr>
        <w:pStyle w:val="SntesisDescriptiva"/>
      </w:pPr>
    </w:p>
    <w:p w14:paraId="0A8C1401" w14:textId="77777777" w:rsidR="008D479B" w:rsidRDefault="008D479B" w:rsidP="008D479B">
      <w:pPr>
        <w:pStyle w:val="SntesisAnaltica"/>
      </w:pPr>
      <w:r>
        <w:t>Vulneración del derecho al ejercicio de las funciones representativas, en relación con el derecho de los ciudadanos a participar en los asuntos públicos a través de sus representantes: resoluciones parlamentarias que, contraviniendo la normativa vigente al momento de dictarse, afectan al núcleo esencial de la función representativa.</w:t>
      </w:r>
    </w:p>
    <w:p w14:paraId="7E46B227" w14:textId="60BE95F7" w:rsidR="008D479B" w:rsidRDefault="008D479B" w:rsidP="008D479B">
      <w:pPr>
        <w:pStyle w:val="SntesisAnaltica"/>
      </w:pPr>
    </w:p>
    <w:p w14:paraId="42FC7D93" w14:textId="69EB0475" w:rsidR="008D479B" w:rsidRDefault="008D479B" w:rsidP="008D479B">
      <w:pPr>
        <w:pStyle w:val="Extracto"/>
      </w:pPr>
      <w:r>
        <w:t>1.</w:t>
      </w:r>
      <w:r>
        <w:tab/>
        <w:t>El cumplimiento del procedimiento reglamentariamente previsto para la constitución de un grupo parlamentario está asociado con la cobertura que ofrece el art. 23.2 CE, debiendo garantizarse en su integridad el derecho de los grupos parlamentarios a ejercer las facultades que integren el estatuto constitucionalmente relevante de los representantes políticos (SSTC 158/2014  o 107/2016) [FJ 3].</w:t>
      </w:r>
    </w:p>
    <w:p w14:paraId="22B05709" w14:textId="77777777" w:rsidR="008D479B" w:rsidRDefault="008D479B" w:rsidP="008D479B">
      <w:pPr>
        <w:pStyle w:val="Extracto"/>
      </w:pPr>
    </w:p>
    <w:p w14:paraId="5C368AFC" w14:textId="25271519" w:rsidR="008D479B" w:rsidRDefault="008D479B" w:rsidP="008D479B">
      <w:pPr>
        <w:pStyle w:val="Extracto"/>
      </w:pPr>
      <w:r>
        <w:t>2.</w:t>
      </w:r>
      <w:r>
        <w:tab/>
        <w:t>La facultad de constituir grupos parlamentarios como integrantes del núcleo de la función representativa parlamentaria se predica, no solo en relación con las decisiones de los órganos de las cámaras denegatorias de la constitución de grupos parlamentarios (SSTC 64/2002 y 76/2017), sino también en el caso de su disolución (SSTC 141/2007 o 10/2013), y cuando a los diputados se les prive de intervenir mediante su grupo parlamentario en los órganos de la cámara (SSTC 107/2016, 108/2016 y 109/2016) [FJ 3].</w:t>
      </w:r>
    </w:p>
    <w:p w14:paraId="152F047B" w14:textId="77777777" w:rsidR="008D479B" w:rsidRDefault="008D479B" w:rsidP="008D479B">
      <w:pPr>
        <w:pStyle w:val="Extracto"/>
      </w:pPr>
    </w:p>
    <w:p w14:paraId="6BEA0AEC" w14:textId="0CB1E8DD" w:rsidR="008D479B" w:rsidRDefault="008D479B" w:rsidP="008D479B">
      <w:pPr>
        <w:pStyle w:val="Extracto"/>
      </w:pPr>
      <w:r>
        <w:t>3.</w:t>
      </w:r>
      <w:r>
        <w:tab/>
        <w:t>Por lo que se refiere a la naturaleza jurídica de los grupos parlamentarios, existen diferencias sustanciales, desde la óptica del art. 23 CE, entre el partido político y el grupo parlamentario (STC 10/2013) [FJ 3].</w:t>
      </w:r>
    </w:p>
    <w:p w14:paraId="2EE629DC" w14:textId="77777777" w:rsidR="008D479B" w:rsidRDefault="008D479B" w:rsidP="008D479B">
      <w:pPr>
        <w:pStyle w:val="Extracto"/>
      </w:pPr>
    </w:p>
    <w:p w14:paraId="1B690431" w14:textId="66BDEFEE" w:rsidR="008D479B" w:rsidRDefault="008D479B" w:rsidP="008D479B">
      <w:pPr>
        <w:pStyle w:val="Extracto"/>
      </w:pPr>
      <w:r>
        <w:t>4.</w:t>
      </w:r>
      <w:r>
        <w:tab/>
        <w:t>La figura del representante político no adscrito no puede reputarse como inconstitucional (SSTC 9/2012, o 159/2019); y es preciso garantizar que los miembros no adscritos no resulten privados de los derechos de ejercicio individual que les correspondan en virtud de su condición de representantes políticos, bien por las concretas previsiones legales o reglamentarias reguladoras de esta figura (SSTC 246/2012, o ATC 126/2020), bien por las decisiones adoptadas por los órganos competentes respecto del concreto régimen al que quedan sometidos (SSTC 169/2009 o 159/2019) [FJ 3].</w:t>
      </w:r>
    </w:p>
    <w:p w14:paraId="683C901A" w14:textId="77777777" w:rsidR="008D479B" w:rsidRDefault="008D479B" w:rsidP="008D479B">
      <w:pPr>
        <w:pStyle w:val="Extracto"/>
      </w:pPr>
    </w:p>
    <w:p w14:paraId="70017487" w14:textId="041C8074" w:rsidR="008D479B" w:rsidRDefault="008D479B" w:rsidP="008D479B">
      <w:pPr>
        <w:pStyle w:val="Extracto"/>
      </w:pPr>
      <w:r>
        <w:t>5.</w:t>
      </w:r>
      <w:r>
        <w:tab/>
        <w:t>El art. 24.1 RPA establece que el presupuesto normativo para que la mesa pueda adoptar la decisión de que un diputado adquiera la condición de diputado no adscrito es que haya causado baja del grupo parlamentario en el que estaba integrado; en este sentido, cualquier razonamiento de la mesa que suponga una innovación de la normativa parlamentaria, contraria al carácter subordinado de la labor de su intérprete y aplicador, y en términos distintos a los que la jurisprudencia constitucional ha establecido, supone un límite al art. 23.2 CE a la autonomía normativa de los órganos de las cámaras [FJ 4].</w:t>
      </w:r>
    </w:p>
    <w:p w14:paraId="2EC07AB6" w14:textId="77777777" w:rsidR="008D479B" w:rsidRDefault="008D479B" w:rsidP="008D479B">
      <w:pPr>
        <w:pStyle w:val="Extracto"/>
      </w:pPr>
    </w:p>
    <w:p w14:paraId="433D0DEB" w14:textId="2BF8A98E" w:rsidR="008D479B" w:rsidRDefault="008D479B" w:rsidP="008D479B">
      <w:pPr>
        <w:pStyle w:val="Extracto"/>
      </w:pPr>
      <w:r>
        <w:t>6.</w:t>
      </w:r>
      <w:r>
        <w:tab/>
        <w:t>La traslación de la acreditación de la baja de un partido político a la baja del grupo parlamentario en que se integran los diputados que han sido elegidos en sus listas  implica una confusión de dos sujetos políticos perfectamente diferenciados como son el partido político y el grupo parlamentario (SSTC 36/1990 y 10/2013) [FJ 4].</w:t>
      </w:r>
    </w:p>
    <w:p w14:paraId="34630F35" w14:textId="77777777" w:rsidR="008D479B" w:rsidRDefault="008D479B" w:rsidP="008D479B">
      <w:pPr>
        <w:pStyle w:val="Extracto"/>
      </w:pPr>
    </w:p>
    <w:p w14:paraId="7D4668A1" w14:textId="4773024D" w:rsidR="008D479B" w:rsidRDefault="008D479B" w:rsidP="008D479B">
      <w:pPr>
        <w:pStyle w:val="Extracto"/>
      </w:pPr>
      <w:r>
        <w:t>7.</w:t>
      </w:r>
      <w:r>
        <w:tab/>
        <w:t>Producen vulneración del derecho a ejercer la funciones representativas con los requisitos que señalan las leyes (art. 23.2 CE), en relación con el derecho de los ciudadanos a participar en los asuntos públicos a través de sus representantes (art. 23.1 CE), los acuerdos parlamentarios que deciden sobre la adquisición de la consideración de diputados no adscritos, cuando inciden de manera relevante en el núcleo esencial de su función representativa a partir de una interpretación y aplicación de la normativa parlamentaria que contraviene la vigente en el momento de la adopción de los acuerdos [FJ 4].</w:t>
      </w:r>
    </w:p>
    <w:p w14:paraId="1340F210" w14:textId="77777777" w:rsidR="008D479B" w:rsidRDefault="008D479B" w:rsidP="008D479B">
      <w:pPr>
        <w:pStyle w:val="Extracto"/>
      </w:pPr>
    </w:p>
    <w:p w14:paraId="4D45304B" w14:textId="77777777" w:rsidR="008D479B" w:rsidRDefault="008D479B" w:rsidP="008D479B">
      <w:pPr>
        <w:pStyle w:val="Extracto"/>
      </w:pPr>
    </w:p>
    <w:p w14:paraId="6769E07A" w14:textId="77777777" w:rsidR="008D479B" w:rsidRDefault="008D479B" w:rsidP="008D479B">
      <w:pPr>
        <w:pStyle w:val="TextoNormal"/>
      </w:pPr>
      <w: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y don Juan Carlos Campo Moreno, ha pronunciado</w:t>
      </w:r>
    </w:p>
    <w:p w14:paraId="17C913FA" w14:textId="3A54EF37" w:rsidR="008D479B" w:rsidRDefault="008D479B" w:rsidP="008D479B">
      <w:pPr>
        <w:pStyle w:val="TextoNormal"/>
      </w:pPr>
    </w:p>
    <w:p w14:paraId="51E00170" w14:textId="77777777" w:rsidR="008D479B" w:rsidRDefault="008D479B" w:rsidP="008D479B">
      <w:pPr>
        <w:pStyle w:val="TextoNormalCentrado"/>
        <w:keepNext/>
      </w:pPr>
      <w:r>
        <w:t>EN NOMBRE DEL REY</w:t>
      </w:r>
    </w:p>
    <w:p w14:paraId="0BD3693A" w14:textId="48788054" w:rsidR="008D479B" w:rsidRDefault="008D479B" w:rsidP="008D479B">
      <w:pPr>
        <w:pStyle w:val="TextoNormalCentrado"/>
        <w:keepNext/>
      </w:pPr>
    </w:p>
    <w:p w14:paraId="44B6C265" w14:textId="77777777" w:rsidR="008D479B" w:rsidRDefault="008D479B" w:rsidP="008D479B">
      <w:pPr>
        <w:pStyle w:val="TextoNormalCentrado"/>
        <w:keepNext/>
      </w:pPr>
    </w:p>
    <w:p w14:paraId="260D5F90" w14:textId="77777777" w:rsidR="008D479B" w:rsidRDefault="008D479B" w:rsidP="008D479B">
      <w:pPr>
        <w:pStyle w:val="TextoNormal"/>
      </w:pPr>
      <w:r>
        <w:t>la siguiente</w:t>
      </w:r>
    </w:p>
    <w:p w14:paraId="1FBD945A" w14:textId="46F0FC57" w:rsidR="008D479B" w:rsidRDefault="008D479B" w:rsidP="008D479B">
      <w:pPr>
        <w:pStyle w:val="TextoNormal"/>
      </w:pPr>
    </w:p>
    <w:p w14:paraId="1EBA69C9" w14:textId="77777777" w:rsidR="008D479B" w:rsidRDefault="008D479B" w:rsidP="008D479B">
      <w:pPr>
        <w:pStyle w:val="TextoNormalCentrado"/>
        <w:keepNext/>
      </w:pPr>
      <w:r>
        <w:t>SENTENCIA</w:t>
      </w:r>
    </w:p>
    <w:p w14:paraId="7330CE8A" w14:textId="32707161" w:rsidR="008D479B" w:rsidRDefault="008D479B" w:rsidP="008D479B">
      <w:pPr>
        <w:pStyle w:val="TextoNormalCentrado"/>
        <w:keepNext/>
      </w:pPr>
    </w:p>
    <w:p w14:paraId="34EAD992" w14:textId="77777777" w:rsidR="008D479B" w:rsidRDefault="008D479B" w:rsidP="008D479B">
      <w:pPr>
        <w:pStyle w:val="TextoNormal"/>
      </w:pPr>
      <w:r>
        <w:t>En el recurso de amparo núm. 6513-2020, promovido por doña María Teresa Rodríguez-Rubio Vázquez, doña Ángela Aguilera Clavijo, don José Ignacio García Sánchez, doña Luzmarina Dorado Balmón, doña María Vanessa García Casaucau, doña María Gracia González Fernández, don José Ignacio Molina Arroyo, doña Ana Villaverde Valenciano y don Diego Crespo García, contra los acuerdos de la mesa del Parlamento de Andalucía de 25 de noviembre de 2020, referidos a los números de registro de entrada 112021996 y 112021997, por los que se desestiman las peticiones de reconsideración planteadas contra los acuerdos de 18 de noviembre de 2020, referidos a los números de registro de entrada 112020730 y 112021117, sobre la adquisición de la condición de diputados no adscritos. Ha comparecido el Parlamento de Andalucía y el grupo parlamentario Adelante Andalucía. Ha intervenido el Ministerio Fiscal. Ha sido ponente la magistrada doña María Luisa Segoviano Astaburuaga.</w:t>
      </w:r>
    </w:p>
    <w:p w14:paraId="795E0FF9" w14:textId="435BD443" w:rsidR="008D479B" w:rsidRDefault="008D479B" w:rsidP="008D479B">
      <w:pPr>
        <w:pStyle w:val="TextoNormal"/>
      </w:pPr>
    </w:p>
    <w:p w14:paraId="28C72083" w14:textId="77777777" w:rsidR="008D479B" w:rsidRDefault="008D479B" w:rsidP="008D479B">
      <w:pPr>
        <w:pStyle w:val="TextoNormalNegritaCentrado"/>
        <w:keepNext/>
      </w:pPr>
      <w:r>
        <w:t>I. Antecedentes</w:t>
      </w:r>
    </w:p>
    <w:p w14:paraId="37C25160" w14:textId="34B898B5" w:rsidR="008D479B" w:rsidRDefault="008D479B" w:rsidP="008D479B">
      <w:pPr>
        <w:pStyle w:val="TextoNormalNegritaCentrado"/>
        <w:keepNext/>
      </w:pPr>
    </w:p>
    <w:p w14:paraId="67AB0387" w14:textId="7B3FFBC6" w:rsidR="008D479B" w:rsidRDefault="008D479B" w:rsidP="008D479B">
      <w:pPr>
        <w:pStyle w:val="TextoNormal"/>
      </w:pPr>
      <w:r w:rsidRPr="008D479B">
        <w:rPr>
          <w:rStyle w:val="NumeroAFNegritaCaracter"/>
        </w:rPr>
        <w:t>1</w:t>
      </w:r>
      <w:r>
        <w:t>. Doña María Teresa Rodríguez-Rubio Vázquez, doña Ángela Aguilera Clavijo, don José Ignacio García Sánchez, doña Luzmarina Dorado Balmón, doña María Vanessa García Casaucau, doña María Gracia González Fernández, don José Ignacio Molina Arroyo, doña Ana Villaverde Valenciano y don Diego Crespo García, representados por la procuradora de los tribunales doña Virginia Sánchez de León Herencia, bajo la dirección del letrado don Luis María de los Santos Castillo, interpusieron recurso de amparo contra los acuerdos mencionados en el encabezamiento de esta sentencia mediante escrito registrado en este tribunal el 29 de diciembre de 2020.</w:t>
      </w:r>
    </w:p>
    <w:p w14:paraId="13AE6FA9" w14:textId="77777777" w:rsidR="008D479B" w:rsidRDefault="008D479B" w:rsidP="008D479B">
      <w:pPr>
        <w:pStyle w:val="TextoNormal"/>
      </w:pPr>
    </w:p>
    <w:p w14:paraId="69AA0EDA" w14:textId="77777777" w:rsidR="008D479B" w:rsidRDefault="008D479B" w:rsidP="008D479B">
      <w:pPr>
        <w:pStyle w:val="TextoNormal"/>
      </w:pPr>
      <w:r w:rsidRPr="008D479B">
        <w:rPr>
          <w:rStyle w:val="NumeroAFNegritaCaracter"/>
        </w:rPr>
        <w:t>2</w:t>
      </w:r>
      <w:r>
        <w:t>. El recurso tiene su origen en los siguientes antecedentes:</w:t>
      </w:r>
    </w:p>
    <w:p w14:paraId="34DC6FA7" w14:textId="77777777" w:rsidR="008D479B" w:rsidRDefault="008D479B" w:rsidP="008D479B">
      <w:pPr>
        <w:pStyle w:val="TextoNormal"/>
      </w:pPr>
    </w:p>
    <w:p w14:paraId="0E0E650D" w14:textId="77777777" w:rsidR="008D479B" w:rsidRDefault="008D479B" w:rsidP="008D479B">
      <w:pPr>
        <w:pStyle w:val="TextoNormal"/>
      </w:pPr>
      <w:r>
        <w:t>a) El secretario de organización del partido político Podemos Andalucía remitió el 27 de octubre de 2020 un escrito a la portavoz del grupo parlamentario Adelante Andalucía del Parlamento de Andalucía en el que le comunica, entre otras cuestiones, que (i) el 16 de octubre de 2018 se constituyó la coalición “Adelante Andalucía-Podemos-Izquierda Unida-Primavera Andaluza-Izquierda Andalucista” para presentar su candidatura a las elecciones al Parlamento de Andalucía de 3 de diciembre de 2018; (ii) se conformó el grupo parlamentario Adelante Andalucía, tras la celebración de esas elecciones, compuesto por once diputados, que eran personas afiliadas y propuestas para la candidatura de la citada coalición por el partido político Podemos Andalucía, y otros seis más, que lo eran por Izquierda Unida de Andalucía; y (iii) ocho de los diputados han causado baja voluntaria en el partido político Podemos Andalucía (todos los recurrentes a excepción de doña Ana Villaverde Valenciano), sin que hayan renunciado a su escaño, lo que les coloca en situación de transfuguismo, por lo que solicita que causen baja en el grupo parlamentario y se dé traslado a la mesa del Parlamento de Andalucía para que adquieran la condición de diputados no adscritos.</w:t>
      </w:r>
    </w:p>
    <w:p w14:paraId="2489876E" w14:textId="77777777" w:rsidR="008D479B" w:rsidRDefault="008D479B" w:rsidP="008D479B">
      <w:pPr>
        <w:pStyle w:val="TextoNormal"/>
      </w:pPr>
    </w:p>
    <w:p w14:paraId="79218DFF" w14:textId="77777777" w:rsidR="008D479B" w:rsidRDefault="008D479B" w:rsidP="008D479B">
      <w:pPr>
        <w:pStyle w:val="TextoNormal"/>
      </w:pPr>
      <w:r>
        <w:t>La portavoz del grupo parlamentario dio ejecución a lo solicitado mediante comunicación dirigida el 27 de octubre de 2020 a la presidenta del Parlamento de Andalucía, registrada con el núm. 112020730, en la que ponía de manifiesto que había procedido a dar la baja del grupo parlamentario a los citados diputados por haber causado baja en su formación política y no pertenecer al partido político/coalición electoral en cuya candidatura concurrieron a las elecciones, por lo que se instaba a que se diera traslado a la mesa del Parlamento de Andalucía para que adquirieran la condición de diputados no adscritos.</w:t>
      </w:r>
    </w:p>
    <w:p w14:paraId="29FA3FC1" w14:textId="77777777" w:rsidR="008D479B" w:rsidRDefault="008D479B" w:rsidP="008D479B">
      <w:pPr>
        <w:pStyle w:val="TextoNormal"/>
      </w:pPr>
    </w:p>
    <w:p w14:paraId="7F332CE6" w14:textId="77777777" w:rsidR="008D479B" w:rsidRDefault="008D479B" w:rsidP="008D479B">
      <w:pPr>
        <w:pStyle w:val="TextoNormal"/>
      </w:pPr>
      <w:r>
        <w:t>b) La mesa del Parlamento de Andalucía, por cinco votos a favor y dos abstenciones, acordó en su sesión de 28 de octubre de 2020 que los diputados a los que se refiere dicho escrito adquirieran la condición de diputados no adscritos. Antes de comenzar esa sesión habían recibido un escrito, registrado por la representante del grupo parlamentario Adelante Andalucía en la mesa, en el que manifestaba que el escrito de la portavoz de dicho grupo no respondía a ninguna decisión del mismo, sino a una maniobra partidista que iba a conculcar los derechos de ocho diputados y diputadas, por lo que pedía la inadmisión de dicho escrito o subsidiariamente que se requiriera a la portavoz del grupo parlamentario que acreditara la legitimidad y legalidad del acuerdo de baja de los diputados.</w:t>
      </w:r>
    </w:p>
    <w:p w14:paraId="01A1CC77" w14:textId="77777777" w:rsidR="008D479B" w:rsidRDefault="008D479B" w:rsidP="008D479B">
      <w:pPr>
        <w:pStyle w:val="TextoNormal"/>
      </w:pPr>
    </w:p>
    <w:p w14:paraId="3785A56A" w14:textId="77777777" w:rsidR="008D479B" w:rsidRDefault="008D479B" w:rsidP="008D479B">
      <w:pPr>
        <w:pStyle w:val="TextoNormal"/>
      </w:pPr>
      <w:r>
        <w:t>En el acta de la sesión de la mesa se reflejó, entre otros extremos, que (i) cinco de los siete miembros de la mesa consideraban que la mesa debía limitarse a admitir a trámite el escrito, tomar conocimiento de lo afirmado por la portavoz del grupo parlamentario respecto de la expulsión del grupo de los diputados afectados y, como consecuencia de ello, de conformidad con el art. 24.1 del Reglamento del Parlamento de Andalucía (RPA), acordar que habían adquirido la condición de diputados no adscritos, insistiendo en que la mesa no puede poner en cuestión las afirmaciones de la portavoz del grupo parlamentario sobre este particular con el argumento de que si los arts. 23 y 24.2 RPA atribuyen a los portavoces de los grupos la decisión sobre la incorporación o retorno de un diputado lo mismo debía ocurrir respecto de la expulsión o baja, como ya había sucedió con la expulsión de una diputada de otro grupo parlamentario; y (ii) el letrado mayor del Parlamento informó que lo procedente era requerir a la portavoz que acreditara que los diputados habían causado baja del grupo parlamentario, ya que no existe ninguna previsión legal o reglamentaria que permita considerar que el portavoz de un grupo parlamentario puede acordar la perdida de la condición de miembro de un grupo, ni que la mesa deba aceptar su mera afirmación en ese sentido; destacando que no resulta posible una aplicación analógica de lo establecido en el art. 23 y 24.2 RPA, ya que en el caso de la expulsión la consecuencia es una medida que resulta restrictiva de los derechos del art. 23.2 CE por afectar la adquisición de la condición de diputado no adscrito al núcleo esencial de las funciones representativas de los diputados.</w:t>
      </w:r>
    </w:p>
    <w:p w14:paraId="13ED5B21" w14:textId="77777777" w:rsidR="008D479B" w:rsidRDefault="008D479B" w:rsidP="008D479B">
      <w:pPr>
        <w:pStyle w:val="TextoNormal"/>
      </w:pPr>
    </w:p>
    <w:p w14:paraId="2FD16A3E" w14:textId="77777777" w:rsidR="008D479B" w:rsidRDefault="008D479B" w:rsidP="008D479B">
      <w:pPr>
        <w:pStyle w:val="TextoNormal"/>
      </w:pPr>
      <w:r>
        <w:t>c) Los diputados afectados por el acuerdo formularon el 29 de octubre de 2020 solicitud de reconsideración con fundamento, entre otras razones, en que el art. 21 RPA, al no establecer ninguna regulación en relación con la expulsión de diputados de su grupo parlamentario, debía interpretarse, en sentido inverso a las reglas para su constitución, que solo puede ser acordada en el seno de ese grupo por mayoría de los diputados que la conforman, lo que no consta que haya sucedido en este caso. Por otra parte, once diputados del grupo parlamentario presentaron el 5 de noviembre de 2020 un escrito ante la mesa, declarando que no existía un reglamento interno de funcionamiento del grupo parlamentario Adelante Andalucía, que los acuerdos se adoptaban por consenso o, en defecto de este, por mayoría del grupo, y que no hubo nunca una reunión del mencionado grupo parlamentario que respaldara la decisión del escrito presentado por la portavoz del mismo.</w:t>
      </w:r>
    </w:p>
    <w:p w14:paraId="748E7919" w14:textId="77777777" w:rsidR="008D479B" w:rsidRDefault="008D479B" w:rsidP="008D479B">
      <w:pPr>
        <w:pStyle w:val="TextoNormal"/>
      </w:pPr>
    </w:p>
    <w:p w14:paraId="00F7F34E" w14:textId="77777777" w:rsidR="008D479B" w:rsidRDefault="008D479B" w:rsidP="008D479B">
      <w:pPr>
        <w:pStyle w:val="TextoNormal"/>
      </w:pPr>
      <w:r>
        <w:t>La solicitud de reconsideración, con cuatro votos a favor y tres en contra, fue estimada parcialmente por acuerdo de la mesa de 5 de noviembre de 2020. A esos efectos, se afirmaba que el acuerdo objeto de reconsideración “se limitaba a admitir a trámite el escrito presentado por la portavoz del Grupo Parlamentario Adelante Andalucía y proceder conforme a lo ello solicitado, habida cuenta de que se afirmaba que los ocho diputados considerados habían causado baja en el Grupo Parlamentario Adelante Andalucía como motivo de su baja como afiliados de su formación política”. A ello añadía que “sin embargo, la circunstancia de que ahora, en su solicitud de reconsideración, los ocho diputados discutan la realidad de la afirmación de la portavoz determina que esta mesa ya no pueda tener por cierto, sin más, lo por ello afirmado, habida cuenta de que esa afirmación es cuestionada abiertamente por aquellos cuyos derechos podrían verse sustancialmente afectados como consecuencia de la baja cuya realidad se discute” (apartado segundo del acuerdo). Como consecuencia de ello, el acuerdo afirmó que “procede ahora que esta mesa, recobrada la plena competencia para resolver la solicitud formulada por la portavoz del Grupo Parlamentario Adelante Andalucía mediante su escrito de 27 de octubre de 2020, requiera a esta para que acredite que los ocho diputados a los que se refiere en el considerado escrito han causado, efectivamente, baja en el Grupo Parlamentario Adelante Andalucía como motivo de su baja como afiliados de su formación política” (apartado cuarto del acuerdo). Por tanto, se acordó estimar parcialmente la solicitud de reconsideración que se deja sin efecto y requerir a la portavoz del grupo parlamentario Adelante Andalucía para que acreditase, en el plazo de dos días naturales, que los diputados afectados habían causado baja del grupo parlamentario como consecuencia de su baja como afiliados en su formación política, tras lo que se emitiría un informe por los servicios jurídicos de la cámara para resolver sobre el particular.</w:t>
      </w:r>
    </w:p>
    <w:p w14:paraId="2EE8C995" w14:textId="77777777" w:rsidR="008D479B" w:rsidRDefault="008D479B" w:rsidP="008D479B">
      <w:pPr>
        <w:pStyle w:val="TextoNormal"/>
      </w:pPr>
    </w:p>
    <w:p w14:paraId="28EADE14" w14:textId="77777777" w:rsidR="008D479B" w:rsidRDefault="008D479B" w:rsidP="008D479B">
      <w:pPr>
        <w:pStyle w:val="TextoNormal"/>
      </w:pPr>
      <w:r>
        <w:t>d) Once de los diputados del grupo parlamentario Adelante Andalucía, entre los que se encuentran los demandantes de amparo, mediante escrito de 6 de noviembre de 2020 dirigido a la mesa del Parlamento, alegaron en relación con el acuerdo de 5 de noviembre de 2023, entre otros extremos, que la participación de Adelante Andalucía en las elecciones autonómicas lo fue como sujeto independiente de los partidos que conformaban la coalición, por lo que la expulsión de un partido no podría conllevar la perdida de la condición de diputado del grupo parlamentario y que, en cualquier caso, el partido Podemos Andalucía no había seguido el procedimiento estatutario para acordar la expulsión de sus militantes.</w:t>
      </w:r>
    </w:p>
    <w:p w14:paraId="6DF0332C" w14:textId="77777777" w:rsidR="008D479B" w:rsidRDefault="008D479B" w:rsidP="008D479B">
      <w:pPr>
        <w:pStyle w:val="TextoNormal"/>
      </w:pPr>
    </w:p>
    <w:p w14:paraId="07DC5EE1" w14:textId="77777777" w:rsidR="008D479B" w:rsidRDefault="008D479B" w:rsidP="008D479B">
      <w:pPr>
        <w:pStyle w:val="TextoNormal"/>
      </w:pPr>
      <w:r>
        <w:t>La portavoz del grupo parlamentario Adelante Andalucía, mediante escrito de 8 de noviembre de 2020 dirigido a la mesa del Parlamento de Andalucía, alegó en relación con el requerimiento contenido en el acuerdo de 5 de noviembre de 2020, (i) que había procedido a cursar la baja del grupo parlamentario de los diputados afectados una vez recibida la comunicación de su partido político de su baja voluntaria, ya que “al no existir previsión en el reglamento al respecto de cómo realizar las bajas de un grupo parlamentario, entendí que se debe seguir una fórmula similar a la establecida en el reglamento tanto para la entrada de diputados al grupo parlamentario, como al regreso al grupo parlamentario desde la condición de diputado o diputada no adscrito”, añadiendo que “para estos supuestos, tanto el art. 23 del Reglamento, como el 24.2, exigen, simplemente, la aceptación de la portavoz, sin necesidad de otros requisitos ni de acuerdo del grupo, ni de acreditar documentalmente aspecto alguno, salvo el consentimiento de la portavoz”; (ii) que la expulsión de dicho grupo parlamentario de los diputados afectados no está motivada por el incumplimiento de acuerdos internos de grupo, en cuyo caso “habría que estar a lo autoreglamentado por el grupo, y en su caso a lo acordado mayoritariamente en el mismo”, sino por un supuesto de transfuguismo político, a cuyos efectos adjuntaba diversa documentación sobre el proceso de primarias de Adelante Andalucía, la expulsión de los diputados afectados del partido político Podemos Andalucía y el certificado de la baja como afiliados de ese partido de dichos diputados.</w:t>
      </w:r>
    </w:p>
    <w:p w14:paraId="5BA1FAC9" w14:textId="77777777" w:rsidR="008D479B" w:rsidRDefault="008D479B" w:rsidP="008D479B">
      <w:pPr>
        <w:pStyle w:val="TextoNormal"/>
      </w:pPr>
    </w:p>
    <w:p w14:paraId="2063F8B4" w14:textId="77777777" w:rsidR="008D479B" w:rsidRDefault="008D479B" w:rsidP="008D479B">
      <w:pPr>
        <w:pStyle w:val="TextoNormal"/>
      </w:pPr>
      <w:r>
        <w:t>El partido político Podemos Andalucía, mediante escrito de 9 de noviembre de 2020 dirigido a la mesa del Parlamento de Andalucía, alegó en relación con el acuerdo de 5 de noviembre de 2020, que los diputados afectados se habían dado de baja de Podemos Andalucía para pasar a formar parte de una nueva formación política como era Anticapitalistas Andalucía, lo que implica un supuesto de transfuguismo.</w:t>
      </w:r>
    </w:p>
    <w:p w14:paraId="20846C85" w14:textId="77777777" w:rsidR="008D479B" w:rsidRDefault="008D479B" w:rsidP="008D479B">
      <w:pPr>
        <w:pStyle w:val="TextoNormal"/>
      </w:pPr>
    </w:p>
    <w:p w14:paraId="6D66CD1E" w14:textId="77777777" w:rsidR="008D479B" w:rsidRDefault="008D479B" w:rsidP="008D479B">
      <w:pPr>
        <w:pStyle w:val="TextoNormal"/>
      </w:pPr>
      <w:r>
        <w:t>e) La letrada adjunta al letrado mayor del Parlamento de Andalucía, mediante informe de 10 de noviembre de 2020 solicitado en relación con las cuestiones relativas a las alegaciones efectuadas respecto del acuerdo de 5 de noviembre de 2020, expuso, como consideraciones jurídicas referidas al proceso de baja forzosa de un diputado del grupo parlamentaria al que estaba incorporado, lo siguiente:</w:t>
      </w:r>
    </w:p>
    <w:p w14:paraId="439E59ED" w14:textId="77777777" w:rsidR="008D479B" w:rsidRDefault="008D479B" w:rsidP="008D479B">
      <w:pPr>
        <w:pStyle w:val="TextoNormal"/>
      </w:pPr>
    </w:p>
    <w:p w14:paraId="2B4E8803" w14:textId="77777777" w:rsidR="008D479B" w:rsidRDefault="008D479B" w:rsidP="008D479B">
      <w:pPr>
        <w:pStyle w:val="TextoNormal"/>
      </w:pPr>
      <w:r>
        <w:t>(i) El art. 24.1 RPA no establece ninguna formalidad ni requerimiento de tipo procedimental que deba cumplirse para que un diputado adquiera la condición de no adscrito sino solo la exigencia material consistente en haber causado baja del grupo parlamentario. En ese contexto de silencio normativo, algún sector doctrinal, partiendo de la potestad de autoorganización de los grupos, ha considerado que la mesa de la cámara debe limitarse a tomar razón de la comunicación del portavoz correspondiente dando por bueno su contenido; sin embargo, el requerimiento de acreditación verificado en este caso encuentra su fundamento en la facultad de la mesa de organización interna de la cámara y de calificación de escritos (art. 28.1 RPA), lo que posibilita a la mesa verificar el cumplimiento del requisito material de que el diputado realmente ha causado baja en el grupo parlamentario en atención, además, a la transcendencia jurídica externa para la organización de la cámara que tiene el paso a la condición de no adscrito de un diputado. Se destaca también que esta es la posición defendida por los servicios jurídicos de otras cámaras y por la jurisprudencia del Tribunal Supremo en relación con los grupos políticos municipales. De ello concluye que “se puede afirmar que la mesa del Parlamento de Andalucía está facultada y debe verificar antes de declarar la condición de diputado no adscrito que el mismo realmente ha causado baja en el grupo parlamentario”.</w:t>
      </w:r>
    </w:p>
    <w:p w14:paraId="59331917" w14:textId="77777777" w:rsidR="008D479B" w:rsidRDefault="008D479B" w:rsidP="008D479B">
      <w:pPr>
        <w:pStyle w:val="TextoNormal"/>
      </w:pPr>
    </w:p>
    <w:p w14:paraId="625AC1BB" w14:textId="77777777" w:rsidR="008D479B" w:rsidRDefault="008D479B" w:rsidP="008D479B">
      <w:pPr>
        <w:pStyle w:val="TextoNormal"/>
      </w:pPr>
      <w:r>
        <w:t>(ii) El Reglamento guarda silencio sobre a quién corresponde la competencia para acordar la baja, qué procedimiento ha de seguirse para ello, cómo se debe comunicar a la mesa o a quién corresponde esa comunicación; pero tampoco atribuye al portavoz del grupo parlamentario la competencia para dar de baja a los miembros del mismo en tanto que las funciones que se le otorgan reglamentariamente son las de representación, relacionadas con el ejercicio de las funciones parlamentarias y con la exteriorización de la posición de aquellas ante los órganos de la cámara. A ello añade, que las funciones otorgadas al portavoz de un grupo en los arts. 23 y 24.2 RPA para aceptar la incorporación al grupo no permite una aplicación analógica a los supuestos de baja al faltar la identidad de razón, ya que este supuesto se produce en una situación de conflicto dentro del grupo parlamentario, por lo que su resolución no resulta posible a través de la función representativa de portavoz. Expone que en este contexto normativo las causas y procedimientos de baja deben ser las que dispongan los estatutos o normas internas de funcionamiento de cada grupo en respeto a su potestad autoorganizativa. De ello deriva que el control de la mesa a desarrollar sobre el acto que declara la baja de un diputado del grupo parlamentario “debe quedar limitado a comprobar que la baja ha sido acordada por el órgano competente con arreglo a los estatutos o normas de régimen interno y por las causas y con respeto al procedimiento establecidos, pero sin entrar a cuestionar la regularidad de los estatutos o normas del correspondiente acto”, lo que no significa que la baja pueda acreditarse sin más a través de la mera comunicación del portavoz, que es un mero representante del colectivo de diputados, por lo que resulta plenamente justificado que la mesa del Parlamento pida a la portavoz del grupo parlamentario que comunica la baja que acredite la realidad de la misma conforme a las normas internas de dicho grupo parlamentario.</w:t>
      </w:r>
    </w:p>
    <w:p w14:paraId="46B31D5F" w14:textId="77777777" w:rsidR="008D479B" w:rsidRDefault="008D479B" w:rsidP="008D479B">
      <w:pPr>
        <w:pStyle w:val="TextoNormal"/>
      </w:pPr>
    </w:p>
    <w:p w14:paraId="3A66C250" w14:textId="77777777" w:rsidR="008D479B" w:rsidRDefault="008D479B" w:rsidP="008D479B">
      <w:pPr>
        <w:pStyle w:val="TextoNormal"/>
      </w:pPr>
      <w:r>
        <w:t>(iii) La mera baja en un partido político no puede determinar, sin más, la baja en el grupo parlamentario, ya que son realidades distintas (STC 36/1990, de 1 de marzo, FJ 1) y no existe ninguna previsión reglamentaria al respecto, sin que resulte aplicable el art. 73.3 de la Ley 7/1985, de 2 de abril, reguladora de las bases del régimen local (LBRL). Esto no significa que en el Parlamento de Andalucía los diputados no puedan causar baja en su grupo parlamentario por razones de transfuguismo político, pero ello solo será posible si así resulta de las normas internas por las que este se rija o a las que aquellos se hayan sometido libremente.</w:t>
      </w:r>
    </w:p>
    <w:p w14:paraId="1835075A" w14:textId="77777777" w:rsidR="008D479B" w:rsidRDefault="008D479B" w:rsidP="008D479B">
      <w:pPr>
        <w:pStyle w:val="TextoNormal"/>
      </w:pPr>
    </w:p>
    <w:p w14:paraId="614D9589" w14:textId="77777777" w:rsidR="008D479B" w:rsidRDefault="008D479B" w:rsidP="008D479B">
      <w:pPr>
        <w:pStyle w:val="TextoNormal"/>
      </w:pPr>
      <w:r>
        <w:t>f) La portavoz del grupo parlamentario Adelante Andalucía, tras recibir nuevo escrito del secretario de organización del partido político Podemos Andalucía comunicando la baja voluntaria de la diputada doña Ana Villaverde Valenciano de ese partido y que no había renunciado a su acta, mediante escrito de 6 de noviembre de 2020 dirigido a la mesa del Parlamento, registrado con el núm. 112021117, comunicó que ha decido cursar la baja en el grupo parlamentario de dicha diputada, solicitando que adquiera la condición de diputada no adscrita. Del mismo modo, por escrito de 11 de noviembre de 2020, puso de manifiesto que estaba prevista para ese mismo día la reunión de la comisión de seguimiento del pacto antitransfuguismo para el debate y, en su caso, aprobación de la III adenda al citado pacto.</w:t>
      </w:r>
    </w:p>
    <w:p w14:paraId="44E591B4" w14:textId="77777777" w:rsidR="008D479B" w:rsidRDefault="008D479B" w:rsidP="008D479B">
      <w:pPr>
        <w:pStyle w:val="TextoNormal"/>
      </w:pPr>
    </w:p>
    <w:p w14:paraId="05EC3C01" w14:textId="77777777" w:rsidR="008D479B" w:rsidRDefault="008D479B" w:rsidP="008D479B">
      <w:pPr>
        <w:pStyle w:val="TextoNormal"/>
      </w:pPr>
      <w:r>
        <w:t>Esta portavoz, requerida por acuerdo de la mesa de 11 de noviembre de 2020 para que acreditara la baja del grupo parlamentario de la citada diputada, presentó escrito de 13 de noviembre de 2020 en el que se remite a lo ya manifestado en relación con la expulsión de los otros diputados e incide en que se trata de una situación de transfuguismo, habiéndose ya aprobado la III adenda del pacto antitransfuguismo, que expresa la voluntad de las fuerzas políticas de extender las medidas del acuerdo al ámbito autonómico y estatal, comprometiéndose a impulsar la urgente modificación de los reglamentos de las cámaras legislativas para adaptarlos a los acuerdos del pacto y que hasta que se verifiquen esas reformas se comprometen a que las respectivas mesas utilicen como criterio interpretativo la aplicación analógica de la normativa contenida en la Ley reguladora de las bases de régimen local o cualquier otra que adecúe el sentido originario de que las personas tránsfugas adquieran la condición de no adscritas aun siendo mayoría en el grupo.</w:t>
      </w:r>
    </w:p>
    <w:p w14:paraId="28428CE2" w14:textId="77777777" w:rsidR="008D479B" w:rsidRDefault="008D479B" w:rsidP="008D479B">
      <w:pPr>
        <w:pStyle w:val="TextoNormal"/>
      </w:pPr>
    </w:p>
    <w:p w14:paraId="5551D49E" w14:textId="77777777" w:rsidR="008D479B" w:rsidRDefault="008D479B" w:rsidP="008D479B">
      <w:pPr>
        <w:pStyle w:val="TextoNormal"/>
      </w:pPr>
      <w:r>
        <w:t>g) La mesa del Parlamento adoptó sendos acuerdos en su sesión de 18 de noviembre de 2020, con cinco votos a favor y dos abstenciones, de que tanto los diputados a los que se refería el escrito con núm. de registro 112020730, como la diputada a la que se refería el escrito con núm. de registro y 112021117, adquieren la condición de diputados no adscritos, de conformidad con lo previsto en el art. 24.1 RPA, habida cuenta de que ha quedado acreditado, con las consideraciones realizadas y la documentación aportada por la portavoz del grupo parlamentario, que los diputados afectados “han causado baja en el grupo parlamentario Adelante Andalucía como consecuencia de su baja como afiliados de su formación política”.</w:t>
      </w:r>
    </w:p>
    <w:p w14:paraId="76D7CCF1" w14:textId="77777777" w:rsidR="008D479B" w:rsidRDefault="008D479B" w:rsidP="008D479B">
      <w:pPr>
        <w:pStyle w:val="TextoNormal"/>
      </w:pPr>
    </w:p>
    <w:p w14:paraId="79A39B1A" w14:textId="77777777" w:rsidR="008D479B" w:rsidRDefault="008D479B" w:rsidP="008D479B">
      <w:pPr>
        <w:pStyle w:val="TextoNormal"/>
      </w:pPr>
      <w:r>
        <w:t>En el acta de la sesión de la mesa se reflejó, entre otros extremos, que (i) la presidenta del Parlamento consideró que el objeto de lo debatido se enmarca en el pacto antitransfuguismo, que es el que “debe inspirar las decisiones a adoptar ante supuestos como el presente, en el que existen vacíos o lagunas en la normativa parlamentaria de aplicación” y por lo que va a promover la modificación del reglamento “por el procedimiento de lectura única para mayor celeridad, con objeto de recoger los elementos esenciales del ‘pacto antitransfuguismo’”; y (ii) otros tres miembros de la mesa, de los cinco que votaron a favor del acuerdo, declararon que su decisión no han tenido que ver con el transfuguismo sino con lo previsto reglamentariamente.</w:t>
      </w:r>
    </w:p>
    <w:p w14:paraId="615E7F28" w14:textId="77777777" w:rsidR="008D479B" w:rsidRDefault="008D479B" w:rsidP="008D479B">
      <w:pPr>
        <w:pStyle w:val="TextoNormal"/>
      </w:pPr>
    </w:p>
    <w:p w14:paraId="530817CA" w14:textId="77777777" w:rsidR="008D479B" w:rsidRDefault="008D479B" w:rsidP="008D479B">
      <w:pPr>
        <w:pStyle w:val="TextoNormal"/>
      </w:pPr>
      <w:r>
        <w:t>h) Los diputados demandantes de amparo formularon solicitudes de reconsideración, por sendos escritos de 20 de noviembre de 2020 con número de registro de entrada 112021996 —todos los demandantes excepto doña Ana Villaverde Valenciano— y 112021997 —la demandante doña Ana Villaverde Valenciano—, con invocación del art. 23 CE alegando, entre otros extremos, que, de acuerdo con reiterada jurisprudencia constitucional, los partidos políticos no pueden revocar cargos electos.</w:t>
      </w:r>
    </w:p>
    <w:p w14:paraId="369A0CC1" w14:textId="77777777" w:rsidR="008D479B" w:rsidRDefault="008D479B" w:rsidP="008D479B">
      <w:pPr>
        <w:pStyle w:val="TextoNormal"/>
      </w:pPr>
    </w:p>
    <w:p w14:paraId="28913FC8" w14:textId="72709E03" w:rsidR="008D479B" w:rsidRDefault="008D479B" w:rsidP="008D479B">
      <w:pPr>
        <w:pStyle w:val="TextoNormal"/>
      </w:pPr>
      <w:r>
        <w:t>La mesa del Parlamento adoptó sendos acuerdos en su sesión de 25 de noviembre de 2020, con cinco votos a favor y dos abstenciones, de desestimar las solicitudes de reconsideración, argumentando que “en efecto, esta mesa estimó que las consideraciones realizadas y la documentación aportada por la portavoz del grupo parlamentario Adelante Andalucía acreditaban que los diputados que formulan la solicitud de reconsideración habían causado baja en su formación política y que, como consecuencia de ello, causaban baja en el grupo parlamentario Adelante Andalucía”; añadiendo que “los diputados considerados no niegan que hayan causado baja en su formación política, aspecto que, como se ha expuesto, es el determinante de la decisión de la mesa, una vez que la portavoz del grupo parlamentario Adelante Andalucía ha acreditado que dicha baja en la formación política provocó que se acordara su baja en el grupo parlamentario Adelante Andalucía”. A partir de ello se señala que “a lo sumo los diputados muestran su disconformidad con la competencia y el procedimiento para acordar su baja en el grupo parlamentario o con la constitucionalidad de ese acuerdo de baja, cuestiones que no pueden ser objeto de conocimiento por la mesa, al ser ajenas a su competencia, so pena de incidir en la autonomía de organización y funcionamiento de los grupos parlamentarios, y sin perjuicio de su posible control jurisdiccional” y que resulta irrelevante la referencia que se realiza a un supuesto acuerdo político sobre el transfuguismo, “que en absoluto ha sido determinante de la decisión de esta mesa”.</w:t>
      </w:r>
    </w:p>
    <w:p w14:paraId="5021985A" w14:textId="77777777" w:rsidR="008D479B" w:rsidRDefault="008D479B" w:rsidP="008D479B">
      <w:pPr>
        <w:pStyle w:val="TextoNormal"/>
      </w:pPr>
    </w:p>
    <w:p w14:paraId="086684BA" w14:textId="77777777" w:rsidR="008D479B" w:rsidRDefault="008D479B" w:rsidP="008D479B">
      <w:pPr>
        <w:pStyle w:val="TextoNormal"/>
      </w:pPr>
      <w:r w:rsidRPr="008D479B">
        <w:rPr>
          <w:rStyle w:val="NumeroAFNegritaCaracter"/>
        </w:rPr>
        <w:t>3</w:t>
      </w:r>
      <w:r>
        <w:t>. Los diputados demandantes de amparo solicitan que se estime el recurso por vulneración de su derecho a ejercer sus funciones representativas (art. 23.2 CE), en relación con el derecho de participación ciudadana en los asuntos públicos (art. 23.1 CE) para cuyo restablecimiento consideran necesaria la declaración de nulidad de los acuerdos parlamentarios impugnados y que se les reconozca su derecho a volver a formar parte del grupo parlamentario Adelante Andalucía. Al amparo del art. 56.6 de la Ley Orgánica del Tribunal Constitucional (LOTC), también solicitan la suspensión urgente de los efectos de los acuerdos impugnados.</w:t>
      </w:r>
    </w:p>
    <w:p w14:paraId="43394167" w14:textId="77777777" w:rsidR="008D479B" w:rsidRDefault="008D479B" w:rsidP="008D479B">
      <w:pPr>
        <w:pStyle w:val="TextoNormal"/>
      </w:pPr>
    </w:p>
    <w:p w14:paraId="041DAFBA" w14:textId="77777777" w:rsidR="008D479B" w:rsidRDefault="008D479B" w:rsidP="008D479B">
      <w:pPr>
        <w:pStyle w:val="TextoNormal"/>
      </w:pPr>
      <w:r>
        <w:t xml:space="preserve">Los demandantes de amparo afirman que los acuerdos impugnados vulneran el art. 23.2 CE, ya que inciden sobre aspectos que forman parte del núcleo esencial de la función representativa y se han adoptado sin respaldo normativo y sin la debida motivación. Exponen, por lo que se refiere a la afectación de su </w:t>
      </w:r>
      <w:r w:rsidRPr="008D479B">
        <w:rPr>
          <w:i/>
        </w:rPr>
        <w:t>ius in officium</w:t>
      </w:r>
      <w:r>
        <w:t xml:space="preserve">, que el Reglamento del Parlamento de Andalucía prima su organización a través de los grupos parlamentarios, a los que se reserva el cumplimiento de las más importantes funciones de la representación política, de tal modo que, cuando los recurrentes pasan a la condición de diputados no adscritos, se les restringe hasta la irrelevancia sus posibilidades de actuación parlamentaria; destacando que el </w:t>
      </w:r>
      <w:r w:rsidRPr="008D479B">
        <w:rPr>
          <w:i/>
        </w:rPr>
        <w:t>ius in officium</w:t>
      </w:r>
      <w:r>
        <w:t xml:space="preserve"> de los diputados comprende no solo su incorporación a un grupo parlamentario, sino también el derecho a no ser removidos si no es por causas y de acuerdo con procedimientos legalmente establecidos, y que tales causas tienen que ser compatibles con la Constitución (STC 28/1984, de 28 de febrero, FJ 2).</w:t>
      </w:r>
    </w:p>
    <w:p w14:paraId="370DD5CA" w14:textId="77777777" w:rsidR="008D479B" w:rsidRDefault="008D479B" w:rsidP="008D479B">
      <w:pPr>
        <w:pStyle w:val="TextoNormal"/>
      </w:pPr>
    </w:p>
    <w:p w14:paraId="6086AD96" w14:textId="77777777" w:rsidR="008D479B" w:rsidRDefault="008D479B" w:rsidP="008D479B">
      <w:pPr>
        <w:pStyle w:val="TextoNormal"/>
      </w:pPr>
      <w:r>
        <w:t>Los demandantes de amparo fundamentan su alegación de que los acuerdos impugnados carecen de respaldo legal o jurisprudencial en que, de conformidad con los arts. 20 y ss. RPA, los grupos parlamentarios nacen de una suma de voluntades individuales con naturaleza asociativa lo que les dota de una autonomía organizativa regida por un funcionamiento democrático y determina la necesidad de la previa definición de un procedimiento de expulsión como consecuencia del principio de predeterminación normativa que debe regir la configuración legal de las sanciones. Sostienen que la posibilidad de expulsión de un grupo parlamentario sin un procedimiento previamente acordado, o al menos aceptado, por los miembros del grupo parlamentario, vulneraría también la prohibición de mandato imperativo del art. 67.2 CE, así como el art. 71.1 CE y que, como la figura del diputado no adscrito tiene naturaleza punitiva al ser una categoría que surge con el objetivo de penalizar el transfuguismo político, su adopción también ha de regirse por el principio de legalidad del art. 25 CE. A partir de esas consideraciones, afirman que, ante el silencio reglamentario respecto de la posibilidad de expulsión de diputados de los grupos parlamentarios, es insuficiente la mera comunicación del portavoz del grupo parlamentario a la mesa de una expulsión sin acreditar la adopción de dicho acuerdo; incidiendo en que la mesa tiene, entre sus funciones reglamentarias, ordenar la cámara y velar para que las alteraciones en la vida de los grupos que produzcan efectos externos se lleven a cabo con todas las garantías para los diputados afectados por ser una responsabilidad de los órganos parlamentarios la salvaguarda del derecho fundamental a la participación política (STC 109/2016, de 7 de junio), que es lo que no habría sucedido en este caso en que la mesa no verificó la expulsión del grupo parlamentario de los diputados recurrentes a pesar del criterio en ese sentido de los servicios jurídicos del Parlamento de Andalucía.</w:t>
      </w:r>
    </w:p>
    <w:p w14:paraId="03CEDA29" w14:textId="77777777" w:rsidR="008D479B" w:rsidRDefault="008D479B" w:rsidP="008D479B">
      <w:pPr>
        <w:pStyle w:val="TextoNormal"/>
      </w:pPr>
    </w:p>
    <w:p w14:paraId="54B214DB" w14:textId="77777777" w:rsidR="008D479B" w:rsidRDefault="008D479B" w:rsidP="008D479B">
      <w:pPr>
        <w:pStyle w:val="TextoNormal"/>
      </w:pPr>
      <w:r>
        <w:t xml:space="preserve">Los demandantes también destacan que los acuerdos impugnados carecen de una motivación adecuada, ya que el fundamentar la baja en el grupo parlamentario como consecuencia de su baja como afiliados de su formación política implica desconocer que, si bien es innegable la relación existente entre grupos parlamentarios y partidos políticos (art. 20.2 RPA y STC 361/2006, de 18 de diciembre), las diferencias entre los mismos impedirían que los partidos políticos afectaran al </w:t>
      </w:r>
      <w:r w:rsidRPr="008D479B">
        <w:rPr>
          <w:i/>
        </w:rPr>
        <w:t>ius in officium</w:t>
      </w:r>
      <w:r>
        <w:t xml:space="preserve"> de los parlamentarios (STC 36/1990, de 1 de marzo), que solo están sometidos al mandato representativo.</w:t>
      </w:r>
    </w:p>
    <w:p w14:paraId="28853864" w14:textId="77777777" w:rsidR="008D479B" w:rsidRDefault="008D479B" w:rsidP="008D479B">
      <w:pPr>
        <w:pStyle w:val="TextoNormal"/>
      </w:pPr>
    </w:p>
    <w:p w14:paraId="7EF1AE33" w14:textId="79639DFE" w:rsidR="008D479B" w:rsidRDefault="008D479B" w:rsidP="008D479B">
      <w:pPr>
        <w:pStyle w:val="TextoNormal"/>
      </w:pPr>
      <w:r>
        <w:t>Los demandantes afirman que el recurso tiene especial trascendencia constitucional porque plantea una cuestión jurídica que pudiera tener unas consecuencias políticas generales [STC 155/2009, de 25 de junio, FJ 2 g)], ya que se trata de un recurso de amparo parlamentario respecto de actos que carecen de una vía jurisdiccional previa de tutela (STC 90/2019, de 2 de julio, FJ 2); y una cuestión novedosa sobre la que no hay jurisprudencia constitucional [STC 155/2009, FJ 2 a)] como es la eventual incidencia que sobre el derecho de representación política tiene el que, sin una previsión reglamentaria el efecto, la mera baja en un partido político determine la baja en un grupo parlamentario sin un acuerdo de este.</w:t>
      </w:r>
    </w:p>
    <w:p w14:paraId="0F8F9F09" w14:textId="77777777" w:rsidR="008D479B" w:rsidRDefault="008D479B" w:rsidP="008D479B">
      <w:pPr>
        <w:pStyle w:val="TextoNormal"/>
      </w:pPr>
    </w:p>
    <w:p w14:paraId="65582DE3" w14:textId="1FEAEE75" w:rsidR="008D479B" w:rsidRDefault="008D479B" w:rsidP="008D479B">
      <w:pPr>
        <w:pStyle w:val="TextoNormal"/>
      </w:pPr>
      <w:r w:rsidRPr="008D479B">
        <w:rPr>
          <w:rStyle w:val="NumeroAFNegritaCaracter"/>
        </w:rPr>
        <w:t>4</w:t>
      </w:r>
      <w:r>
        <w:t>. La Sección Primera del Tribunal, por providencia de 10 de mayo de 2021, acordó admitir a trámite el recurso de amparo apreciando que concurre una especial trascendencia constitucional (art. 50.1 LOTC) porque el recurso plantea un problema o afecta a una faceta de un derecho fundamental sobre el que no hay doctrina de este tribunal [STC 155/2009, FJ 2 a)] y el asunto suscitado trasciende del caso concreto porque pudiera tener unas consecuencias políticas generales [STC 155/2009, FJ 2 g)], dirigir atenta comunicación al Parlamento de Andalucía para la remisión de testimonio del expediente y que se tuviera por emplazado en el recurso de amparo y, en relación con la solicitud de suspensión, no apreciar la urgencia excepcional a la que se refiere el art. 56.6 LOTC y proceder a formar la oportuna pieza separada. Por providencia de igual fecha de 10 de mayo de 2021, se acordó formar la correspondiente pieza separada de suspensión, que, tras el trámite de audiencia dado al Ministerio Fiscal, los demandantes de amparo y las partes personadas, fue resuelta en sentido denegatorio por la Sala Primera del Tribunal mediante ATC 67/2021, de 21 de junio.</w:t>
      </w:r>
    </w:p>
    <w:p w14:paraId="0981892A" w14:textId="77777777" w:rsidR="008D479B" w:rsidRDefault="008D479B" w:rsidP="008D479B">
      <w:pPr>
        <w:pStyle w:val="TextoNormal"/>
      </w:pPr>
    </w:p>
    <w:p w14:paraId="11EA9CFD" w14:textId="25679675" w:rsidR="008D479B" w:rsidRDefault="008D479B" w:rsidP="008D479B">
      <w:pPr>
        <w:pStyle w:val="TextoNormal"/>
      </w:pPr>
      <w:r w:rsidRPr="008D479B">
        <w:rPr>
          <w:rStyle w:val="NumeroAFNegritaCaracter"/>
        </w:rPr>
        <w:t>5</w:t>
      </w:r>
      <w:r>
        <w:t>. La Secretaría de Justicia de la Sala Primera del Tribunal, por diligencia de ordenación de 7 de junio de 2021, tuvo por recibido el testimonio del expediente, por personado al Parlamento de Andalucía y al grupo parlamentario Adelante Andalucía, representado por el procurador de los tribunales don José Miguel Martínez Fresneda, y acordó dar vista de las actuaciones a las partes personadas y al Ministerio Fiscal, por plazo común de veinte días, a fin de que, conforme con lo previsto en el art. 52 LOTC, pudieran presentar alegaciones.</w:t>
      </w:r>
    </w:p>
    <w:p w14:paraId="35C02FD0" w14:textId="77777777" w:rsidR="008D479B" w:rsidRDefault="008D479B" w:rsidP="008D479B">
      <w:pPr>
        <w:pStyle w:val="TextoNormal"/>
      </w:pPr>
    </w:p>
    <w:p w14:paraId="1E4379B3" w14:textId="77777777" w:rsidR="008D479B" w:rsidRDefault="008D479B" w:rsidP="008D479B">
      <w:pPr>
        <w:pStyle w:val="TextoNormal"/>
      </w:pPr>
      <w:r w:rsidRPr="008D479B">
        <w:rPr>
          <w:rStyle w:val="NumeroAFNegritaCaracter"/>
        </w:rPr>
        <w:t>6</w:t>
      </w:r>
      <w:r>
        <w:t>. El Ministerio Fiscal, por escrito registrado el 30 de julio de 2021, interesa que se dicte sentencia estimando el recurso de amparo con declaración de que ha sido vulnerado el derecho fundamental de los demandantes de amparo reconocido en el art. 23.2, en relación con el art. 23.1 CE, y anulación de los acuerdos impugnados.</w:t>
      </w:r>
    </w:p>
    <w:p w14:paraId="34D0A5F2" w14:textId="77777777" w:rsidR="008D479B" w:rsidRDefault="008D479B" w:rsidP="008D479B">
      <w:pPr>
        <w:pStyle w:val="TextoNormal"/>
      </w:pPr>
    </w:p>
    <w:p w14:paraId="31DFA1CE" w14:textId="77777777" w:rsidR="008D479B" w:rsidRDefault="008D479B" w:rsidP="008D479B">
      <w:pPr>
        <w:pStyle w:val="TextoNormal"/>
      </w:pPr>
      <w:r>
        <w:t xml:space="preserve">El Ministerio Fiscal, tras exponer la jurisprudencia constitucional que considera aplicable al objeto del recurso, afirma que los acuerdos impugnados suponen una relevante afectación del </w:t>
      </w:r>
      <w:r w:rsidRPr="008D479B">
        <w:rPr>
          <w:i/>
        </w:rPr>
        <w:t>ius in officium</w:t>
      </w:r>
      <w:r>
        <w:t xml:space="preserve"> de los diputados, ya que al atribuirles la condición de no adscritos se ven privados de los derechos relativos a su integración en un grupo parlamentario y de las facultades reglamentarias otorgadas a quienes pertenecen a un grupo.</w:t>
      </w:r>
    </w:p>
    <w:p w14:paraId="58B120AF" w14:textId="77777777" w:rsidR="008D479B" w:rsidRDefault="008D479B" w:rsidP="008D479B">
      <w:pPr>
        <w:pStyle w:val="TextoNormal"/>
      </w:pPr>
    </w:p>
    <w:p w14:paraId="392EBECB" w14:textId="77777777" w:rsidR="008D479B" w:rsidRDefault="008D479B" w:rsidP="008D479B">
      <w:pPr>
        <w:pStyle w:val="TextoNormal"/>
      </w:pPr>
      <w:r>
        <w:t xml:space="preserve">El Ministerio Fiscal expone, en relación con el cumplimiento del deber de motivación de este tipo de actos limitativos del </w:t>
      </w:r>
      <w:r w:rsidRPr="008D479B">
        <w:rPr>
          <w:i/>
        </w:rPr>
        <w:t>ius in officium</w:t>
      </w:r>
      <w:r>
        <w:t>, que los acuerdos de 18 de noviembre de 2020 incorporan una fundamentación muy escueta limitada a considerar acreditado que los diputados afectados habían causado baja como afiliados de su formación política, pero sin hacer ninguna referencia sobre si, ante el silencio reglamentario respecto de la competencia y el procedimiento para la baja en el grupo, se debía de acreditar que dichas bajas se habían producido de acuerdo con las normas internas de dicho grupo, según parece desprenderse de los informes de los letrados del Parlamento. A esos efectos, el Ministerio Fiscal señala que cabría entender que la mesa había entendido implícitamente que la portavoz tenía la facultad para cursar la baja de los diputados por haber causado baja en su partido, pero concluye que la ausencia de toda consideración que permita conocer las razones de la mesa para entenderlo así, apartándose del criterio reflejado por los letrados, no cumple con las exigencias constitucionales. Añade que esa conclusión no se modifica aun teniendo en cuenta los debates que refleja el acta de la sesión de la mesa, de los que resulta la existencia de importantes dudas al respecto, ante las cuales la mesa opta por la interpretación menos favorable a la efectividad del derecho al cargo parlamentario de los diputados, otorgando notable relevancia como criterio interpretativo al nuevo contenido del pacto antitransfuguismo, que la presidenta de la cámara se compromete a incorporar a su reglamento para dotar de seguridad jurídica a estas cuestiones.</w:t>
      </w:r>
    </w:p>
    <w:p w14:paraId="0FF00CB8" w14:textId="77777777" w:rsidR="008D479B" w:rsidRDefault="008D479B" w:rsidP="008D479B">
      <w:pPr>
        <w:pStyle w:val="TextoNormal"/>
      </w:pPr>
    </w:p>
    <w:p w14:paraId="26A184EF" w14:textId="2FEF8FA2" w:rsidR="008D479B" w:rsidRDefault="008D479B" w:rsidP="008D479B">
      <w:pPr>
        <w:pStyle w:val="TextoNormal"/>
      </w:pPr>
      <w:r>
        <w:t>El Ministerio Fiscal, por lo que respecta a la motivación de los acuerdos de 25 de noviembre de 2020, afirma que tampoco resulta suficiente y razonablemente desde la perspectiva del art. 23 CE, ya que la afirmación de que las alegaciones sobre la competencia o el procedimiento para acordar su baja en el grupo “son cuestiones ajenas a la competencia de la mesa, so pena de incidir en la autonomía de organización y funcionamiento del grupo parlamentario” no toma en consideración que no se trataba de que entrara a cuestionar o valorar la legalidad de las normas internas del grupo, sino de comprobar, precisamente, que la baja en el grupo se había producido conforme a las normas internas, validando con ello la decisión de la portavoz, sin que su competencia para cursar la baja estuviera prevista en acuerdos o normas internas del grupo. Discute además, la irrelevancia que según el acuerdo tienen las referencias de los demandantes al pacto antitransfuguismo, en tanto no habría sido determinante para la decisión, destacando que los debates de la mesa en su sesión del 18 de noviembre de 2020 sí le otorgaron una relevancia importante como criterio interpretativo para solventar las dudas suscitadas por el vacío reglamentario, lo que parece responder a una anticipación del contenido del nuevo pacto antitransfuguismo, sin motivarse la necesidad de dicha anticipación.</w:t>
      </w:r>
    </w:p>
    <w:p w14:paraId="2BBACE38" w14:textId="77777777" w:rsidR="008D479B" w:rsidRDefault="008D479B" w:rsidP="008D479B">
      <w:pPr>
        <w:pStyle w:val="TextoNormal"/>
      </w:pPr>
    </w:p>
    <w:p w14:paraId="64ED8A8F" w14:textId="77777777" w:rsidR="008D479B" w:rsidRDefault="008D479B" w:rsidP="008D479B">
      <w:pPr>
        <w:pStyle w:val="TextoNormal"/>
      </w:pPr>
      <w:r w:rsidRPr="008D479B">
        <w:rPr>
          <w:rStyle w:val="NumeroAFNegritaCaracter"/>
        </w:rPr>
        <w:t>7</w:t>
      </w:r>
      <w:r>
        <w:t>. El Parlamento de Andalucía, por escrito registrado el 20 de julio de 2021, solicita la desestimación del recurso de amparo argumentando que el objeto de control de constitucionalidad debe ser la decisión de la mesa sobre atribución de la condición de no adscrito, pero no el acto mismo de la baja de los demandantes de su grupo parlamentario comunicado por su portavoz, que es un acto interno cuya fiscalización corresponde a la jurisdicción ordinaria. A partir de ello, sostiene que la mesa se limitó a dar trámite a la solicitud presentada por la portavoz del grupo parlamentario en cuanto a la declaración como no adscritos de los demandantes de amparo a los efectos reglamentariamente previstos en el 24.1 RPA que, en la redacción vigente en el momento de los hechos, establecía que “[u]na vez producida la adscripción a un grupo parlamentario […] quien causara baja en el mismo adquirirá necesariamente la condición de diputado o diputada no adscrito”, sin que quepa ningún margen de discrecionalidad en la intervención de la mesa, cuyo carácter rigurosamente reglado en materia de constitución de los grupos ha confirmado la STC 64/2002, de 11 de marzo, FJ 3.</w:t>
      </w:r>
    </w:p>
    <w:p w14:paraId="220A8ADB" w14:textId="77777777" w:rsidR="008D479B" w:rsidRDefault="008D479B" w:rsidP="008D479B">
      <w:pPr>
        <w:pStyle w:val="TextoNormal"/>
      </w:pPr>
    </w:p>
    <w:p w14:paraId="774C5196" w14:textId="77777777" w:rsidR="008D479B" w:rsidRDefault="008D479B" w:rsidP="008D479B">
      <w:pPr>
        <w:pStyle w:val="TextoNormal"/>
      </w:pPr>
      <w:r>
        <w:t>El Parlamento de Andalucía añade, con exposición de la jurisprudencia constitucional sobre el alcance de las funciones calificadoras de la mesa, que los acuerdos impugnados superan el test de razonabilidad, ya que de los mismos se colige sin dificultad interpretativa que su justificación es la acreditación por parte de la portavoz del grupo parlamentario de que los diputados recurrentes habían causado baja en ese grupo como consecuencia, a su vez, de su baja en la formación política por la que concurrieron a las elecciones mediante la comunicación formal de las bajas en el grupo acompañada de las certificaciones extendidas por el secretario de organización de su partido político, lo que no ha sido desvirtuado por los demandantes.</w:t>
      </w:r>
    </w:p>
    <w:p w14:paraId="2CDC899E" w14:textId="77777777" w:rsidR="008D479B" w:rsidRDefault="008D479B" w:rsidP="008D479B">
      <w:pPr>
        <w:pStyle w:val="TextoNormal"/>
      </w:pPr>
    </w:p>
    <w:p w14:paraId="5F776028" w14:textId="77777777" w:rsidR="008D479B" w:rsidRDefault="008D479B" w:rsidP="008D479B">
      <w:pPr>
        <w:pStyle w:val="TextoNormal"/>
      </w:pPr>
      <w:r>
        <w:t xml:space="preserve">También incide en que, si bien el reglamento no determinaba en ese momento las causas de baja en el grupo y quién debía presentar dicho escrito, ello no ha impedido la existencia de diputados no adscritos tanto en la legislatura anterior (acuerdo de la mesa de 29 de marzo de 2017) como en la presente (acuerdo de la mesa de la Diputación Permanente de 24 de enero de 2020 y acuerdo de la mesa del Parlamento de Andalucía de 3 de julio de 2020), por lo que este silencio reglamentario es una opción normativa entre varias posibles, compartida por otras asambleas autonómicas, y cuyo propósito es que sean los propios grupos quienes decidan acerca de los motivos de la salida de algunos de sus miembros. Expone que es perfectamente posible considerar, en cuanto a la legitimación para presentar el escrito, que en el caso de expulsión del grupo recaiga en quien ejerza el cargo de portavoz, “en tanto que el mismo debe firmar el escrito de retorno del diputado no adscrito que quiera volver a su grupo de origen (art. 24.2 RPA), expresando de esta manera su voluntad favorable a tales efectos. De esta forma, según el principio </w:t>
      </w:r>
      <w:r w:rsidRPr="008D479B">
        <w:rPr>
          <w:i/>
        </w:rPr>
        <w:t>contrarius actus</w:t>
      </w:r>
      <w:r>
        <w:t>, quien debe prestar su consentimiento para el retorno del no adscrito al grupo también está autorizado para comunicar su baja involuntaria. A mayor abundamiento, debemos tener en cuenta que, en el supuesto de incorporación de un parlamentario con posterioridad al inicio de la legislatura, su adscripción al grupo parlamentario también exige la aceptación del portavoz (art. 23 RPA)”. A ello añade que el portavoz es a quien el reglamento atribuye, y la jurisprudencia constitucional reconoce (SSTC 316/2006, de 18 de diciembre, FJ 5, y 24/2020, de 3 de febrero, FJ 3) la representación del grupo a múltiples efectos, respetándose con ello el principio de autonomía de los grupos parlamentarios.</w:t>
      </w:r>
    </w:p>
    <w:p w14:paraId="7638C82D" w14:textId="77777777" w:rsidR="008D479B" w:rsidRDefault="008D479B" w:rsidP="008D479B">
      <w:pPr>
        <w:pStyle w:val="TextoNormal"/>
      </w:pPr>
    </w:p>
    <w:p w14:paraId="6937EAD8" w14:textId="77777777" w:rsidR="008D479B" w:rsidRDefault="008D479B" w:rsidP="008D479B">
      <w:pPr>
        <w:pStyle w:val="TextoNormal"/>
      </w:pPr>
      <w:r>
        <w:t>Por otra parte, el Parlamento de Andalucía argumenta que el abandono de la formación política por la que se concurrió a las elecciones constituye una causa constitucionalmente razonable para la expulsión del grupo parlamentario, ya que la jurisprudencia constitucional ha reiterado que la adscripción política de los parlamentarios posee relevancia jurídica y “poner freno al transfuguismo político es una finalidad constitucionalmente legítima” (STC 159/2019, de 12 de diciembre, FJ 8); siendo esa finalidad la que expresamente justificó la incorporación de la figura del diputado no adscrito en la reforma del Reglamento del Parlamento de Andalucía adoptada en 2003. Concluye que, si combatir el transfuguismo político es constitucionalmente legítimo y una de sus expresiones es la baja en la formación con la que se concurrió a las elecciones sin renunciar al escaño, no puede decirse que los acuerdos impugnados basados en la acreditación de dicha baja sean constitucionalmente irracionales o arbitrarios.</w:t>
      </w:r>
    </w:p>
    <w:p w14:paraId="2CBAEC26" w14:textId="77777777" w:rsidR="008D479B" w:rsidRDefault="008D479B" w:rsidP="008D479B">
      <w:pPr>
        <w:pStyle w:val="TextoNormal"/>
      </w:pPr>
    </w:p>
    <w:p w14:paraId="72CBB3D9" w14:textId="77777777" w:rsidR="008D479B" w:rsidRDefault="008D479B" w:rsidP="008D479B">
      <w:pPr>
        <w:pStyle w:val="TextoNormal"/>
      </w:pPr>
      <w:r>
        <w:t xml:space="preserve">El Parlamento de Andalucía también niega que los acuerdos impugnados hayan vulnerado el </w:t>
      </w:r>
      <w:r w:rsidRPr="008D479B">
        <w:rPr>
          <w:i/>
        </w:rPr>
        <w:t>ius in officium</w:t>
      </w:r>
      <w:r>
        <w:t xml:space="preserve"> de los recurrentes, ya que no solo se han adoptado respetando el marco reglamentario vigente, sino que, además, en su condición de diputados no adscritos conservan los derechos que les corresponden como diputados individualmente considerados, según dispone el art. 24.5 RPA.</w:t>
      </w:r>
    </w:p>
    <w:p w14:paraId="4BDCA481" w14:textId="77777777" w:rsidR="008D479B" w:rsidRDefault="008D479B" w:rsidP="008D479B">
      <w:pPr>
        <w:pStyle w:val="TextoNormal"/>
      </w:pPr>
    </w:p>
    <w:p w14:paraId="06C4AEA9" w14:textId="42B9C11E" w:rsidR="008D479B" w:rsidRDefault="008D479B" w:rsidP="008D479B">
      <w:pPr>
        <w:pStyle w:val="TextoNormal"/>
      </w:pPr>
      <w:r>
        <w:t>El Parlamento de Andalucía manifiesta, en cuanto a la invocación de la prohibición del mandato imperativo y al carácter sancionador de los acuerdos impugnados, que no se aprecia su vulneración en la actuación de la mesa que se ha limitado a examinar la solicitud de baja y a determinar sus consecuencias reglamentarias sin entrar a valorar, por exceder sus tasadas funciones, los compromisos políticos asumidos por los recurrentes con su grupo o partido ni entrar en el fondo de esta.</w:t>
      </w:r>
    </w:p>
    <w:p w14:paraId="09E724D1" w14:textId="77777777" w:rsidR="008D479B" w:rsidRDefault="008D479B" w:rsidP="008D479B">
      <w:pPr>
        <w:pStyle w:val="TextoNormal"/>
      </w:pPr>
    </w:p>
    <w:p w14:paraId="17F4626B" w14:textId="77777777" w:rsidR="008D479B" w:rsidRDefault="008D479B" w:rsidP="008D479B">
      <w:pPr>
        <w:pStyle w:val="TextoNormal"/>
      </w:pPr>
      <w:r w:rsidRPr="008D479B">
        <w:rPr>
          <w:rStyle w:val="NumeroAFNegritaCaracter"/>
        </w:rPr>
        <w:t>8</w:t>
      </w:r>
      <w:r>
        <w:t>. El grupo parlamentario Adelante Andalucía, mediante escrito de 8 de julio de 2021, presentó su escrito de alegaciones solicitando la desestimación del recurso con fundamento, en primer lugar, en que carece de la debida justificación de la especial trascendencia constitucional, ya que se ha limitado a reiterar la lesión invocada, ignorando la declarada constitucionalidad de la figura del diputado no adscrito, que es puesta en duda al alegar que tal condición vulnera los derechos de los recurrentes a la participación política.</w:t>
      </w:r>
    </w:p>
    <w:p w14:paraId="131795B6" w14:textId="77777777" w:rsidR="008D479B" w:rsidRDefault="008D479B" w:rsidP="008D479B">
      <w:pPr>
        <w:pStyle w:val="TextoNormal"/>
      </w:pPr>
    </w:p>
    <w:p w14:paraId="666A3A44" w14:textId="77777777" w:rsidR="008D479B" w:rsidRDefault="008D479B" w:rsidP="008D479B">
      <w:pPr>
        <w:pStyle w:val="TextoNormal"/>
      </w:pPr>
      <w:r>
        <w:t xml:space="preserve">Esta parte afirma que la figura de los diputados no adscritos, incorporada al art. 24.1 RPA, no afecta a los derechos fundamentales de los recurrentes, ya que el derecho fundamental del art. 23.2 CE es de configuración legal y su núcleo esencial no incluye la participación o pertenencia a un grupo parlamentario. Además, en este caso, “el pase de los diputados recurrentes a la condición no adscritos opera </w:t>
      </w:r>
      <w:r w:rsidRPr="008D479B">
        <w:rPr>
          <w:i/>
        </w:rPr>
        <w:t>ex lege</w:t>
      </w:r>
      <w:r>
        <w:t xml:space="preserve"> en virtud del artículo 24.1 RPA como consecuencia de la baja de los citados diputados del grupo parlamentario del que formaban parte, sin que pueda ser tenida en cuenta la consideración de las consecuencias que reglamentariamente se prevén para dicha baja en la adopción del acuerdo de baja propiamente dicho, que no podemos olvidar viene motivado por un acto libre y voluntario de los recurrentes de abandonar la formación política por la que concurrieron a las elecciones”.</w:t>
      </w:r>
    </w:p>
    <w:p w14:paraId="7F82951F" w14:textId="77777777" w:rsidR="008D479B" w:rsidRDefault="008D479B" w:rsidP="008D479B">
      <w:pPr>
        <w:pStyle w:val="TextoNormal"/>
      </w:pPr>
    </w:p>
    <w:p w14:paraId="44CF8D18" w14:textId="77777777" w:rsidR="008D479B" w:rsidRDefault="008D479B" w:rsidP="008D479B">
      <w:pPr>
        <w:pStyle w:val="TextoNormal"/>
      </w:pPr>
      <w:r>
        <w:t>Esta parte destaca la conexión existente entre las formaciones políticas, como instrumentos fundamentales para la participación política (art. 6 CE), y los grupos parlamentarios, argumentando que estos no son solamente cauces de participación en la vida política para los representantes populares, sino también para los partidos políticos, de los que traen causa directa. De ahí que la STC 10/2013, de 28 de enero, destacara la diferencia entre partido político y grupo parlamentario y al mismo tiempo la estrecha vinculación entre ambos, siendo el segundo una de las herramientas que tienen los primeros para ejercer su actividad, de tal forma que la ilegalización del partido ha de conllevar la disolución del grupo institucional del que trae causa. En relación con ello, expone que el grupo parlamentario Adelante Andalucía trae causa de la coalición electoral conformada por cuatro formaciones políticas, entre las que está el partido político Podemos Andalucía, que propuso la candidatura de los demandantes, del que estos voluntariamente han causado baja conociendo que ello propiciaba su salida del grupo parlamentario, ya que su adscripción a dicho grupo parlamentario surge de su concurrencia al proceso electoral en representación de una de las formaciones de la coalición, siendo la identidad de posiciones ideológicas y de actuación política lo que da sentido a su pertenencia a dicho grupo. Por tanto, la condición de tránsfugas de los demandantes debe trasladarse al marco organizativo de la vida parlamentaria mediante el mecanismo previsto reglamentariamente que es su consideración de diputados no adscritos.</w:t>
      </w:r>
    </w:p>
    <w:p w14:paraId="580D67FD" w14:textId="77777777" w:rsidR="008D479B" w:rsidRDefault="008D479B" w:rsidP="008D479B">
      <w:pPr>
        <w:pStyle w:val="TextoNormal"/>
      </w:pPr>
    </w:p>
    <w:p w14:paraId="4E2330D8" w14:textId="4ECBA891" w:rsidR="008D479B" w:rsidRDefault="008D479B" w:rsidP="008D479B">
      <w:pPr>
        <w:pStyle w:val="TextoNormal"/>
      </w:pPr>
      <w:r>
        <w:t xml:space="preserve">Esta parte, en relación con la función calificadora de la mesa y el procedimiento seguido, argumenta que el Reglamento del Parlamento de Andalucía limita las facultades de calificación y admisión a trámite de la mesa al exclusivo examen de los requisitos formales, sin que sea admisible que lleve a cabo un control discrecional de oportunidad política de los escritos parlamentarios. Por tanto, si la mesa desoyera lo planteado por la portavoz del grupo parlamentario a instancia del partido político que abandonaron los diputados recurrentes, existiendo la previsión reglamentaria del pase a no adscritos de los diputados incursos en situación de transfuguismo, supondría una vulneración reglamentaria por parte de la mesa, a la vez que una vulneración del </w:t>
      </w:r>
      <w:r w:rsidRPr="008D479B">
        <w:rPr>
          <w:i/>
        </w:rPr>
        <w:t>ius in officium</w:t>
      </w:r>
      <w:r>
        <w:t xml:space="preserve"> del propio grupo parlamentario, que se vería secuestrado por una mayoría tránsfuga. Por su parte, en relación con el procedimiento seguido, afirma que, existiendo una previsión material reguladora de la situación de transfuguismo, también supone un mandato a los órganos parlamentarios de que los diputados no adscritos es un remedio para preservar la correspondencia entre lista electoral y grupo parlamentario y evitar distorsiones. De ese modo, la alegación de los demandantes de que la decisión de baja en el grupo debería haberse acordado mediante acuerdo mayoritario en el seno de este solo tiene sentido si la ruptura se produce por causas internas al propio grupo, pero no en un supuesto de transfuguismo, que es la solución adoptada en el art. 73.3 LBRL en el ámbito local y la que ha inspirado la reforma del art. 24 RPA por el acuerdo de 28 de abril de 2021.</w:t>
      </w:r>
    </w:p>
    <w:p w14:paraId="2B3AF2BF" w14:textId="77777777" w:rsidR="008D479B" w:rsidRDefault="008D479B" w:rsidP="008D479B">
      <w:pPr>
        <w:pStyle w:val="TextoNormal"/>
      </w:pPr>
    </w:p>
    <w:p w14:paraId="210F27C9" w14:textId="5D760656" w:rsidR="008D479B" w:rsidRDefault="008D479B" w:rsidP="008D479B">
      <w:pPr>
        <w:pStyle w:val="TextoNormal"/>
      </w:pPr>
      <w:r w:rsidRPr="008D479B">
        <w:rPr>
          <w:rStyle w:val="NumeroAFNegritaCaracter"/>
        </w:rPr>
        <w:t>9</w:t>
      </w:r>
      <w:r>
        <w:t>. La parte demandante de amparo presentó sus alegaciones el 7 de julio de 2021 ratificándose en lo expuesto en su escrito de demanda.</w:t>
      </w:r>
    </w:p>
    <w:p w14:paraId="44D527B0" w14:textId="77777777" w:rsidR="008D479B" w:rsidRDefault="008D479B" w:rsidP="008D479B">
      <w:pPr>
        <w:pStyle w:val="TextoNormal"/>
      </w:pPr>
    </w:p>
    <w:p w14:paraId="4C29A1EC" w14:textId="7435BE89" w:rsidR="008D479B" w:rsidRDefault="008D479B" w:rsidP="008D479B">
      <w:pPr>
        <w:pStyle w:val="TextoNormal"/>
      </w:pPr>
      <w:r w:rsidRPr="008D479B">
        <w:rPr>
          <w:rStyle w:val="NumeroAFNegritaCaracter"/>
        </w:rPr>
        <w:t>10</w:t>
      </w:r>
      <w:r>
        <w:t>. El Pleno, por providencia de 29 de septiembre de 2022, acordó a propuesta de la Sala Primera recabar para sí el conocimiento del presente recurso de amparo.</w:t>
      </w:r>
    </w:p>
    <w:p w14:paraId="1D91DED4" w14:textId="77777777" w:rsidR="008D479B" w:rsidRDefault="008D479B" w:rsidP="008D479B">
      <w:pPr>
        <w:pStyle w:val="TextoNormal"/>
      </w:pPr>
    </w:p>
    <w:p w14:paraId="1F8A2DAE" w14:textId="130727DC" w:rsidR="008D479B" w:rsidRDefault="008D479B" w:rsidP="008D479B">
      <w:pPr>
        <w:pStyle w:val="TextoNormal"/>
      </w:pPr>
      <w:r w:rsidRPr="008D479B">
        <w:rPr>
          <w:rStyle w:val="NumeroAFNegritaCaracter"/>
        </w:rPr>
        <w:t>11</w:t>
      </w:r>
      <w:r>
        <w:t>. Por providencia de 12 de septiembre de 2023 se señaló ese mismo día para la deliberación y votación de la presente sentencia.</w:t>
      </w:r>
    </w:p>
    <w:p w14:paraId="13445B51" w14:textId="77777777" w:rsidR="008D479B" w:rsidRDefault="008D479B" w:rsidP="008D479B">
      <w:pPr>
        <w:pStyle w:val="TextoNormal"/>
      </w:pPr>
    </w:p>
    <w:p w14:paraId="3C3C1F4E" w14:textId="77777777" w:rsidR="008D479B" w:rsidRDefault="008D479B" w:rsidP="008D479B">
      <w:pPr>
        <w:pStyle w:val="TextoNormalNegritaCentrado"/>
        <w:keepNext/>
      </w:pPr>
      <w:r>
        <w:t>II. Fundamentos jurídicos</w:t>
      </w:r>
    </w:p>
    <w:p w14:paraId="209CD78A" w14:textId="3C058E98" w:rsidR="008D479B" w:rsidRDefault="008D479B" w:rsidP="008D479B">
      <w:pPr>
        <w:pStyle w:val="TextoNormalNegritaCentrado"/>
        <w:keepNext/>
      </w:pPr>
    </w:p>
    <w:p w14:paraId="2089A7C0" w14:textId="77777777" w:rsidR="008D479B" w:rsidRDefault="008D479B" w:rsidP="008D479B">
      <w:pPr>
        <w:pStyle w:val="TextoNormal"/>
      </w:pPr>
      <w:r w:rsidRPr="008D479B">
        <w:rPr>
          <w:rStyle w:val="NumeroAFNegritaCaracter"/>
        </w:rPr>
        <w:t>1</w:t>
      </w:r>
      <w:r>
        <w:t xml:space="preserve">. </w:t>
      </w:r>
      <w:r w:rsidRPr="008D479B">
        <w:rPr>
          <w:i/>
        </w:rPr>
        <w:t>Objeto del recurso</w:t>
      </w:r>
    </w:p>
    <w:p w14:paraId="688C7EF2" w14:textId="77777777" w:rsidR="008D479B" w:rsidRDefault="008D479B" w:rsidP="008D479B">
      <w:pPr>
        <w:pStyle w:val="TextoNormal"/>
      </w:pPr>
    </w:p>
    <w:p w14:paraId="553ECE54" w14:textId="77777777" w:rsidR="008D479B" w:rsidRDefault="008D479B" w:rsidP="008D479B">
      <w:pPr>
        <w:pStyle w:val="TextoNormal"/>
      </w:pPr>
      <w:r>
        <w:t>El objeto del presente recurso queda limitado a determinar si ha vulnerado el derecho de representación política (art. 23.2 CE) de los diputados demandantes de amparo la decisión de la mesa del Parlamento de Andalucía de acordar que adquirieran la condición de diputados no adscritos, en aplicación del art. 24.1 RPA, al considerar, tal como fue la concreta motivación utilizada en los acuerdos impugnados de 18 y 25 de noviembre de 2020, que la acreditación formal de la voluntad de su grupo parlamentario de cursar sus bajas en dicho grupo, quedaba satisfecha con el hecho que los demandantes no niegan que se haya producido la baja en su formación política y que la disconformidad con la competencia y el procedimiento para acordar la baja en el grupo parlamentario son ajenas a la competencia de la mesa.</w:t>
      </w:r>
    </w:p>
    <w:p w14:paraId="3AB6A7B4" w14:textId="77777777" w:rsidR="008D479B" w:rsidRDefault="008D479B" w:rsidP="008D479B">
      <w:pPr>
        <w:pStyle w:val="TextoNormal"/>
      </w:pPr>
    </w:p>
    <w:p w14:paraId="6AEA2DC1" w14:textId="77777777" w:rsidR="008D479B" w:rsidRDefault="008D479B" w:rsidP="008D479B">
      <w:pPr>
        <w:pStyle w:val="TextoNormal"/>
      </w:pPr>
      <w:r>
        <w:t>El Tribunal, a los efectos de establecer la delimitación expuesta del objeto del presente recurso de amparo, considera necesario hacer incidencia en los siguientes extremos:</w:t>
      </w:r>
    </w:p>
    <w:p w14:paraId="17448AB3" w14:textId="77777777" w:rsidR="008D479B" w:rsidRDefault="008D479B" w:rsidP="008D479B">
      <w:pPr>
        <w:pStyle w:val="TextoNormal"/>
      </w:pPr>
    </w:p>
    <w:p w14:paraId="5953AB94" w14:textId="77777777" w:rsidR="008D479B" w:rsidRDefault="008D479B" w:rsidP="008D479B">
      <w:pPr>
        <w:pStyle w:val="TextoNormal"/>
      </w:pPr>
      <w:r>
        <w:t>(i) Las decisiones impugnadas en amparo, aunque de idéntico contenido material, que es lo que permite su análisis conjunto por esta jurisdicción de amparo, formalmente se han concretado en cuatro acuerdos distintos. Los acuerdos de la mesa del Parlamento de Andalucía de 18 de noviembre de 2020, en los que se decide la adquisición de la condición de diputados no adscritos de los demandantes de amparo, son en realidad dos acuerdos en los que se da respuesta, por un lado, a la petición en ese sentido de la portavoz de su grupo parlamentario en relación con todos los demandantes excepto doña Ana Villaverde Valenciano, que fue cursada con núm. de registro de entrada 112020730; y, por otro, en relación con esta última, por la petición que fue cursada con núm. de registro de entrada 112021117. Del mismo modo, los acuerdos de la mesa del Parlamento de Andalucía de 25 de noviembre de 2020, en los que se decide rechazar las reconsideraciones formuladas, también son dos referidos, respectivamente, a la solicitud formulada por todos los diputados demandantes de amparo, menos doña Ana Villaverde Valenciano con el núm. de registro de entrada 112021996, y a la formulada por esta última diputada con el núm. de registro de entrada 112021997.</w:t>
      </w:r>
    </w:p>
    <w:p w14:paraId="29DA3753" w14:textId="77777777" w:rsidR="008D479B" w:rsidRDefault="008D479B" w:rsidP="008D479B">
      <w:pPr>
        <w:pStyle w:val="TextoNormal"/>
      </w:pPr>
    </w:p>
    <w:p w14:paraId="4C909584" w14:textId="77777777" w:rsidR="008D479B" w:rsidRDefault="008D479B" w:rsidP="008D479B">
      <w:pPr>
        <w:pStyle w:val="TextoNormal"/>
      </w:pPr>
      <w:r>
        <w:t>(ii) No puede ser objeto de pronunciamiento, en atención a la vía de recurso de amparo utilizada por los demandantes de amparo, las razones de fondo que habrían llevado al partido político o a la portavoz del grupo parlamentario de los demandantes de amparo a cursar sus respectivas bajas de los mismos, incluyendo la alegada situación de trasfuguismo político. Tampoco lo puede ser la eventual regularidad de los procedimientos seguidos para adoptar dichas decisiones. Todas ellas son cuestiones en las que lo controvertido no son decisiones emanadas de una cámara legislativa o de sus órganos, por lo que esta jurisdicción de amparo no puede hacerlas objeto de pronunciamiento por la vía seleccionada del art. 42 LOTC.</w:t>
      </w:r>
    </w:p>
    <w:p w14:paraId="532CE608" w14:textId="77777777" w:rsidR="008D479B" w:rsidRDefault="008D479B" w:rsidP="008D479B">
      <w:pPr>
        <w:pStyle w:val="TextoNormal"/>
      </w:pPr>
    </w:p>
    <w:p w14:paraId="611788B1" w14:textId="77777777" w:rsidR="008D479B" w:rsidRDefault="008D479B" w:rsidP="008D479B">
      <w:pPr>
        <w:pStyle w:val="TextoNormal"/>
      </w:pPr>
      <w:r>
        <w:t>(iii) El objeto del presente recurso, en atención al contenido de los concretos acuerdos impugnados y a lo solicitado en la demanda de amparo —que, como instrumento rector, es donde se fija definitivamente el objeto del amparo y, por tanto, los límites del deber de congruencia de este tribunal (así, SSTC 104/2019, de 16 de septiembre, FJ 2, y 58/2023, de 23 de mayo, FJ 1)— tampoco puede extenderse a controvertir la interpretación de la mesa del Parlamento de Andalucía de que, en las circunstancias del caso, la realidad del cumplimiento del requisito establecido en el art. 24.1 RPA de que se había producido la baja del grupo parlamentario no podría quedar satisfecha con la mera declaración de la portavoz de dicho grupo en ese sentido y que era necesaria la acreditación de la existencia de la voluntad del grupo parlamentario al que estaban incorporados.</w:t>
      </w:r>
    </w:p>
    <w:p w14:paraId="63CC9B63" w14:textId="77777777" w:rsidR="008D479B" w:rsidRDefault="008D479B" w:rsidP="008D479B">
      <w:pPr>
        <w:pStyle w:val="TextoNormal"/>
      </w:pPr>
    </w:p>
    <w:p w14:paraId="0BA197C4" w14:textId="77777777" w:rsidR="008D479B" w:rsidRDefault="008D479B" w:rsidP="008D479B">
      <w:pPr>
        <w:pStyle w:val="TextoNormal"/>
      </w:pPr>
      <w:r>
        <w:t>El Tribunal constata, en los términos en que ha sido desarrollado más ampliamente en los antecedentes, que la insuficiencia de la mera declaración de la portavoz del grupo parlamentario al que estaban incorporados los demandantes de amparo a los efectos de dejar acreditada su baja en dicho grupo fue una cuestión resuelta por la mesa del Parlamento de Andalucía mediante los acuerdos de 5 y 11 de noviembre de 2020, que no fueron controvertidos por el grupo parlamentario Adelante Andalucía y tampoco son objeto del presente recurso de amparo. En efecto, el acuerdo de 5 de noviembre de 2020, en lo que se refiere a todos los demandantes de amparo menos a doña Ana Villaverde Valenciano, tras estimar en parte la reconsideración formulada por estos contra el acuerdo de 28 de octubre de 2020, por el que inicialmente se había acordado que adquirieran la condición de diputados no adscritos, estableció como justificación de su decisión que en las concretas circunstancias del caso, al haber sido cuestionada abiertamente por los diputados afectados la realidad de la afirmación de la portavoz de su grupo parlamentario de que habían cursado baja en ese grupo, no podía ser tenida por cierta, sin más, esa afirmación, por lo que procedía requerir a la portavoz para que acreditara que habían causado, efectivamente, baja en el grupo. Por su parte, en lo que se refiere a la solicitud de la portavoz de su grupo parlamentario de que la demandante doña Ana Villaverde Valenciano adquiriera la condición de diputada no adscrita, la mesa también acordó en su sesión de 11 de noviembre de 2020 requerir a la peticionaria que acreditara que dicha diputada había causado baja en el grupo parlamentario, en los mismos términos expuestos en su previo acuerdo de 5 de noviembre de 2020 respecto del resto de los demandantes de amparo.</w:t>
      </w:r>
    </w:p>
    <w:p w14:paraId="4FA11BF1" w14:textId="77777777" w:rsidR="008D479B" w:rsidRDefault="008D479B" w:rsidP="008D479B">
      <w:pPr>
        <w:pStyle w:val="TextoNormal"/>
      </w:pPr>
    </w:p>
    <w:p w14:paraId="23D99AF9" w14:textId="67C3928E" w:rsidR="008D479B" w:rsidRDefault="008D479B" w:rsidP="008D479B">
      <w:pPr>
        <w:pStyle w:val="TextoNormal"/>
      </w:pPr>
      <w:r>
        <w:t>Por tanto, el Tribunal insiste en que la labor de control que va a desarrollar en esta caso queda limitada a analizar si los acuerdos impugnados han vulnerado el art. 23.2 CE por haber considerado debidamente cumplimentado el requerimiento hecho por la propia mesa del Parlamento de Andalucía de que, ante la insuficiencia de la afirmación de la portavoz de su grupo parlamentario en ese sentido, la acreditación formal de la realidad de que el grupo parlamentario había decidido cursar las bajas de los diputados demandantes se entiende satisfecha con la mera circunstancia de que los demandantes no niegan que hayan causado baja en su formación política y la afirmación de que la disconformidad con la competencia y el procedimiento para acordar la baja en el grupo parlamentario son ajenas a la competencia de la mesa.</w:t>
      </w:r>
    </w:p>
    <w:p w14:paraId="5566D0BA" w14:textId="77777777" w:rsidR="008D479B" w:rsidRDefault="008D479B" w:rsidP="008D479B">
      <w:pPr>
        <w:pStyle w:val="TextoNormal"/>
      </w:pPr>
    </w:p>
    <w:p w14:paraId="69B0682E" w14:textId="77777777" w:rsidR="008D479B" w:rsidRDefault="008D479B" w:rsidP="008D479B">
      <w:pPr>
        <w:pStyle w:val="TextoNormal"/>
      </w:pPr>
      <w:r w:rsidRPr="008D479B">
        <w:rPr>
          <w:rStyle w:val="NumeroAFNegritaCaracter"/>
        </w:rPr>
        <w:t>2</w:t>
      </w:r>
      <w:r>
        <w:t xml:space="preserve">. </w:t>
      </w:r>
      <w:r w:rsidRPr="008D479B">
        <w:rPr>
          <w:i/>
        </w:rPr>
        <w:t>La especial trascendencia constitucional del recurso y su justificación</w:t>
      </w:r>
    </w:p>
    <w:p w14:paraId="32160683" w14:textId="77777777" w:rsidR="008D479B" w:rsidRDefault="008D479B" w:rsidP="008D479B">
      <w:pPr>
        <w:pStyle w:val="TextoNormal"/>
      </w:pPr>
    </w:p>
    <w:p w14:paraId="2B2B79DC" w14:textId="77777777" w:rsidR="008D479B" w:rsidRDefault="008D479B" w:rsidP="008D479B">
      <w:pPr>
        <w:pStyle w:val="TextoNormal"/>
      </w:pPr>
      <w:r>
        <w:t>El Tribunal, en relación con la alegación del grupo parlamentario Adelante Andalucía de que la demanda no habría dado debido cumplimiento a la justificación de su especial transcendencia constitucional, en la medida en que se habría limitado a reiterar la lesión subjetiva de los derechos invocados, constata que en la demanda de amparo, tal como se ha expuesto en los antecedentes, se alegaron con cita expresa de la jurisprudencia constitucional en la materia, tanto la causa de que pudiera tener unas consecuencias políticas generales [STC 155/2009, FJ 2 g)], vinculado a la circunstancia de que se trata de un recurso de amparo parlamentario que carece de una vía jurisdiccional previa al amparo constitucional en la que postular la reparación de los derechos invocados con fundamento en lo expuesto en la STC 90/2019, de 2 de julio, FJ 2; como la referida a que el recurso plantea un problema o afecta a una faceta de un derecho fundamental sobre el que no hay doctrina de este tribunal [STC 155/2009, FJ 2 a)], vinculado a que no existe jurisprudencia constitucional sobre la eventual incidencia que en el derecho de representación política tiene el que, sin una previsión reglamentaria al efecto, la mera baja en un partido político determine la baja en un grupo parlamentario sin un acuerdo de este.</w:t>
      </w:r>
    </w:p>
    <w:p w14:paraId="08F63EED" w14:textId="77777777" w:rsidR="008D479B" w:rsidRDefault="008D479B" w:rsidP="008D479B">
      <w:pPr>
        <w:pStyle w:val="TextoNormal"/>
      </w:pPr>
    </w:p>
    <w:p w14:paraId="2C9DF0AD" w14:textId="2A478C52" w:rsidR="008D479B" w:rsidRDefault="008D479B" w:rsidP="008D479B">
      <w:pPr>
        <w:pStyle w:val="TextoNormal"/>
      </w:pPr>
      <w:r>
        <w:t>En estas circunstancias el Tribunal descarta que se haya producido la falta de justificación alegada y, además, se reafirma en lo apreciado en la providencia de admisión de que en el presente recurso concurren, en los términos justificados por los demandantes de amparo, ambas causas de especial trascendencia constitucional, que, conforme a una jurisprudencia constitucional reiterada, se trata de una exigencia de admisibilidad, que no es de carácter procesal sino referida al fondo del asunto, que es apreciada por el Tribunal en cada caso en el momento de admitir a trámite el recurso de amparo, de acuerdo con lo exigido por el art. 50.1 LOTC, sin que sea susceptible de reconsideración en el momento de la sentencia (SSTC 80/2020, de 15 de julio, FJ 2; 155/2020, de 4 de noviembre, FJ 2, o 2/2022, de 24 de enero, FJ 2).</w:t>
      </w:r>
    </w:p>
    <w:p w14:paraId="252D0A3E" w14:textId="77777777" w:rsidR="008D479B" w:rsidRDefault="008D479B" w:rsidP="008D479B">
      <w:pPr>
        <w:pStyle w:val="TextoNormal"/>
      </w:pPr>
    </w:p>
    <w:p w14:paraId="3ABB75CB" w14:textId="77777777" w:rsidR="008D479B" w:rsidRDefault="008D479B" w:rsidP="008D479B">
      <w:pPr>
        <w:pStyle w:val="TextoNormal"/>
      </w:pPr>
      <w:r w:rsidRPr="008D479B">
        <w:rPr>
          <w:rStyle w:val="NumeroAFNegritaCaracter"/>
        </w:rPr>
        <w:t>3</w:t>
      </w:r>
      <w:r>
        <w:t xml:space="preserve">. </w:t>
      </w:r>
      <w:r w:rsidRPr="008D479B">
        <w:rPr>
          <w:i/>
        </w:rPr>
        <w:t>Jurisprudencia constitucional sobre el art. 23.2 CE y su proyección a los supuestos en los que las mesas parlamentarias deben valorar la acreditación de la voluntad de los grupos parlamentarios para declarar que se ha causado baja en el mismo como presupuesto normativo para la adquisición de la condición de diputado no adscrito</w:t>
      </w:r>
    </w:p>
    <w:p w14:paraId="31CC0FA2" w14:textId="77777777" w:rsidR="008D479B" w:rsidRDefault="008D479B" w:rsidP="008D479B">
      <w:pPr>
        <w:pStyle w:val="TextoNormal"/>
      </w:pPr>
    </w:p>
    <w:p w14:paraId="0F8E5326" w14:textId="77777777" w:rsidR="008D479B" w:rsidRDefault="008D479B" w:rsidP="008D479B">
      <w:pPr>
        <w:pStyle w:val="TextoNormal"/>
      </w:pPr>
      <w:r>
        <w:t>a) La jurisprudencia constitucional ha establecido de manera reiterada una serie de pronunciamientos generales sobre el derecho de representación política que, habiendo sido resumidos recientemente, por ejemplo, en las SSTC 68/2020, de 29 de junio, FJ 2; 53/2021, de 15 de marzo, FJ 3; 38/2022, de 11 de marzo, FFJJ 4 y 5; 25/2023, de 17 de abril, FJ 3; 58/2023, de 23 de mayo, FJ 3, o 65/2023, de 6 de junio, FJ 3, pueden concretarse en los siguientes extremos:</w:t>
      </w:r>
    </w:p>
    <w:p w14:paraId="620140E1" w14:textId="77777777" w:rsidR="008D479B" w:rsidRDefault="008D479B" w:rsidP="008D479B">
      <w:pPr>
        <w:pStyle w:val="TextoNormal"/>
      </w:pPr>
    </w:p>
    <w:p w14:paraId="1EF49EB2" w14:textId="77777777" w:rsidR="008D479B" w:rsidRDefault="008D479B" w:rsidP="008D479B">
      <w:pPr>
        <w:pStyle w:val="TextoNormal"/>
      </w:pPr>
      <w:r>
        <w:t>(i) El art. 23.2 CE, que reconoce el derecho de los ciudadanos “a acceder en condiciones de igualdad a las funciones y cargos públicos, con los requisitos que señalen las leyes”, no solo garantiza el acceso igualitario a las funciones y cargos públicos, sino también a que los que hayan accedido a los mismos se mantengan en ellos y los desempeñen de conformidad con lo que la ley disponga. De ese modo, existe una conexión directa entre el derecho de los representantes políticos (art. 23.2 CE) y el que la Constitución atribuye a los ciudadanos a participar en los asuntos públicos (art. 23.1 CE), ya que, con carácter general, en una democracia representativa son aquellos quienes dan efectividad al derecho de los ciudadanos a participar en los asuntos públicos, por lo que ambos preceptos, de manera directa el art. 23.2 CE y de manera indirecta el art. 23.1 CE, quedarían vacíos de contenido, o serían ineficaces, si el representante político se viese privado de su cargo o perturbado en su ejercicio.</w:t>
      </w:r>
    </w:p>
    <w:p w14:paraId="1E63AA8E" w14:textId="77777777" w:rsidR="008D479B" w:rsidRDefault="008D479B" w:rsidP="008D479B">
      <w:pPr>
        <w:pStyle w:val="TextoNormal"/>
      </w:pPr>
    </w:p>
    <w:p w14:paraId="5429E1E7" w14:textId="77777777" w:rsidR="008D479B" w:rsidRDefault="008D479B" w:rsidP="008D479B">
      <w:pPr>
        <w:pStyle w:val="TextoNormal"/>
      </w:pPr>
      <w:r>
        <w:t xml:space="preserve">(ii) El derecho a la representación política del art. 23.2 CE es de configuración legal, en el sentido de que compete a los reglamentos parlamentarios fijar y ordenar los derechos y atribuciones que a los representantes políticos corresponden, que una vez creados quedan integrados en el estatus propio del cargo. No obstante, el art. 23.2 CE no consagra un derecho al respeto de todas y cada una de las prescripciones de aquellos reglamentos, con la consecuencia de que el derecho de los representantes, y en particular su </w:t>
      </w:r>
      <w:r w:rsidRPr="008D479B">
        <w:rPr>
          <w:i/>
        </w:rPr>
        <w:t>ius in officium</w:t>
      </w:r>
      <w:r>
        <w:t>, solo podrá considerarse vulnerado si las aducidas contravenciones de las normas internas de las asambleas afectan a la igualdad entre representantes o contrarían la naturaleza de la representación por afectar al núcleo de sus derechos y facultades o, en otros términos, a su estatuto constitucionalmente relevante, como son, principalmente, los que tienen relación directa con el ejercicio de las potestades legislativas y de control de la acción del Gobierno.</w:t>
      </w:r>
    </w:p>
    <w:p w14:paraId="660B0868" w14:textId="77777777" w:rsidR="008D479B" w:rsidRDefault="008D479B" w:rsidP="008D479B">
      <w:pPr>
        <w:pStyle w:val="TextoNormal"/>
      </w:pPr>
    </w:p>
    <w:p w14:paraId="017E2CAC" w14:textId="77777777" w:rsidR="008D479B" w:rsidRDefault="008D479B" w:rsidP="008D479B">
      <w:pPr>
        <w:pStyle w:val="TextoNormal"/>
      </w:pPr>
      <w:r>
        <w:t xml:space="preserve">(iii) Su carácter de derecho de configuración legal debe ser puesto en relación con el principio de autonomía parlamentaria reconocido por el art. 72.1 CE, que incluye como una de sus manifestaciones la autonomía normativa, que comporta, no solo una esfera de decisión propia de las asambleas legislativas en relación con la elaboración de su reglamentación interna, sino también el reconocimiento de que sus órganos están dotados de un margen de interpretación suficiente de dicha reglamentación. Esa autonomía interpretativa cuenta con ciertos límites como son: (a) la subordinación del órgano interpretador a la labor de creación normativa del Pleno de la asamblea, lo que impide innovaciones que contradigan los contenidos de las disposiciones legales o reglamentarias en la materia; (b) la eventual afectación que pueda tener en el ámbito del derecho de representación política determina que debe hacerse una exégesis restrictiva de las normas limitativas de los derechos o atribuciones que integran el estatuto constitucionalmente relevante del representante público y motivar las razones de su aplicación; y (c) la necesidad de que aquellos acuerdos que sean restrictivos del </w:t>
      </w:r>
      <w:r w:rsidRPr="008D479B">
        <w:rPr>
          <w:i/>
        </w:rPr>
        <w:t>ius in officium</w:t>
      </w:r>
      <w:r>
        <w:t xml:space="preserve"> de los parlamentarios no resulten decisiones arbitrarias o manifiestamente irrazonables para lo que deben incorporar una motivación expresa, suficiente y adecuada, que permita determinar si la decisión adoptada entraña en sí misma el desconocimiento de la facultad que se ha querido ejercitar y que no se manifiesta desprovista de razonabilidad en atención al fin institucional propio de la función que quiso ejercerse y los motivos aducidos para impedir su ejercicio.</w:t>
      </w:r>
    </w:p>
    <w:p w14:paraId="553549F6" w14:textId="77777777" w:rsidR="008D479B" w:rsidRDefault="008D479B" w:rsidP="008D479B">
      <w:pPr>
        <w:pStyle w:val="TextoNormal"/>
      </w:pPr>
    </w:p>
    <w:p w14:paraId="214B6A26" w14:textId="77777777" w:rsidR="008D479B" w:rsidRDefault="008D479B" w:rsidP="008D479B">
      <w:pPr>
        <w:pStyle w:val="TextoNormal"/>
      </w:pPr>
      <w:r>
        <w:t>b) La jurisprudencia constitucional, de manera más específica, también ha tenido la oportunidad de pronunciarse en relación con la eventual afectación que sobre el núcleo de la función representativa y la igualdad entre representantes tiene la facultad de los diputados de crear y mantenerse en los grupos parlamentarios.</w:t>
      </w:r>
    </w:p>
    <w:p w14:paraId="18586BFD" w14:textId="77777777" w:rsidR="008D479B" w:rsidRDefault="008D479B" w:rsidP="008D479B">
      <w:pPr>
        <w:pStyle w:val="TextoNormal"/>
      </w:pPr>
    </w:p>
    <w:p w14:paraId="13896F26" w14:textId="77777777" w:rsidR="008D479B" w:rsidRDefault="008D479B" w:rsidP="008D479B">
      <w:pPr>
        <w:pStyle w:val="TextoNormal"/>
      </w:pPr>
      <w:r>
        <w:t xml:space="preserve">El Tribunal ha establecido que la facultad de constituir grupo parlamentario, en la forma y con los requisitos establecidos reglamentariamente, corresponde a los diputados, perteneciendo esa facultad al núcleo de su función representativa parlamentaria. Esa afirmación se sustenta en que, dada la configuración de los grupos parlamentarios en las actuales asambleas legislativas como entes imprescindibles y principales en la organización y funcionamiento de la cámara, así como en el desempeño de las funciones parlamentarias y los beneficios que conlleva la adquisición de tal estatus, esta facultad constituye una manifestación constitucionalmente relevante del </w:t>
      </w:r>
      <w:r w:rsidRPr="008D479B">
        <w:rPr>
          <w:i/>
        </w:rPr>
        <w:t>ius in officium</w:t>
      </w:r>
      <w:r>
        <w:t xml:space="preserve"> del representante. Esta jurisprudencia constitucional, desde que fue formulada por la STC 64/2002, de 11 de marzo, FJ 3, se ha establecido y reiterado en relación con los grupos parlamentarios tanto en el Congreso de los Diputados (STC 64/2002, de 11 de marzo, FJ 3) como en el Senado (STC 76/2017, de 19 de junio, FJ 4), las asambleas legislativas autonómicas (SSTC 141/2007, de 18 de junio, FJ 4; 107/2016 y 108/2016, de 7 de junio, FJ 4, y 109/2016, de 7 de junio, FJ 5), e incluso en relación con los grupos municipales (STC 10/2013, de 28 de enero, FJ 3) y los grupos políticos de las diputaciones provinciales (STC 169/2009, de 9 de julio, FJ 3).</w:t>
      </w:r>
    </w:p>
    <w:p w14:paraId="498E601D" w14:textId="77777777" w:rsidR="008D479B" w:rsidRDefault="008D479B" w:rsidP="008D479B">
      <w:pPr>
        <w:pStyle w:val="TextoNormal"/>
      </w:pPr>
    </w:p>
    <w:p w14:paraId="5CA933D8" w14:textId="77777777" w:rsidR="008D479B" w:rsidRDefault="008D479B" w:rsidP="008D479B">
      <w:pPr>
        <w:pStyle w:val="TextoNormal"/>
      </w:pPr>
      <w:r>
        <w:t xml:space="preserve">El Tribunal ha sido especialmente categórico al afirmar que “los actos de las Cámaras que, del modo que sea, impidan, menoscaben o perturben el ejercicio, conforme a reglamento, de tal facultad de los parlamentarios de constituirse en grupo conllevarán la consiguiente infracción del derecho de aquellos enunciado en el art. 23.2 CE y, de manera refleja, el derecho de todos los ciudadanos, al que los primeros dan efectividad, a participar en los asuntos públicos por medio de representantes (número 1 del mismo artículo)”; incidiendo en que “el derecho de los diputados a constituir grupo parlamentario, así integrado en el derecho fundamental </w:t>
      </w:r>
      <w:r w:rsidRPr="008D479B">
        <w:rPr>
          <w:i/>
        </w:rPr>
        <w:t>ex</w:t>
      </w:r>
      <w:r>
        <w:t xml:space="preserve"> artículo 23.2 CE, aunque solo lo sea en los términos que el reglamento de cada Cámara disponga, no puede ser desconocido por la asamblea sin menoscabar, al tiempo, aquel derecho fundamental, al formar parte del </w:t>
      </w:r>
      <w:r w:rsidRPr="008D479B">
        <w:rPr>
          <w:i/>
        </w:rPr>
        <w:t>ius in officium</w:t>
      </w:r>
      <w:r>
        <w:t xml:space="preserve"> de los representantes. En lógica consecuencia, el cumplimiento del procedimiento reglamentariamente previsto para dicha constitución está asociado con la cobertura que ofrece el art. 23.2 CE, en los mismos términos expuestos, tanto en aquello que materialmente procura la efectividad de ese derecho principal a la formación de grupos por parte de los representantes electos, en expresión de la pluralidad de la cámara, como en los efectos aparejados con la integridad de su ejercicio y con el ejercicio de funciones y facultades derivadas que sean concreción de su núcleo esencial, garantizando en su integridad el derecho de los grupos parlamentarios a ejercer las facultades que integren el estatuto constitucionalmente relevante de los representantes políticos (por referencia, STC 158/2014, de 6 de octubre, FJ 4)” (SSTC 107/2016 y 108/2016, de 7 de junio, FJ 4, y 109/2016, de 7 de junio, FJ 5).</w:t>
      </w:r>
    </w:p>
    <w:p w14:paraId="6B7DF28A" w14:textId="77777777" w:rsidR="008D479B" w:rsidRDefault="008D479B" w:rsidP="008D479B">
      <w:pPr>
        <w:pStyle w:val="TextoNormal"/>
      </w:pPr>
    </w:p>
    <w:p w14:paraId="5033AD11" w14:textId="77777777" w:rsidR="008D479B" w:rsidRDefault="008D479B" w:rsidP="008D479B">
      <w:pPr>
        <w:pStyle w:val="TextoNormal"/>
      </w:pPr>
      <w:r>
        <w:t>Por otra parte, también hay que poner de relieve que esta facultad de constituir grupos parlamentarios como integrantes del núcleo de la función representativa parlamentaria ha sido predicada por la jurisprudencia constitucional, no solo en relación con las decisiones de los órganos de las cámaras denegatorias de la constitución de grupos parlamentarios (SSTC 64/2002, de 11 de marzo, y 76/2017, de 19 de junio), sino también en el caso de su disolución (SSTC 141/2007, de 18 de junio; 169/2009, de 9 de julio, y 10/2013, de 28 de enero) y cuando a los diputados se les ha privado de intervenir mediante su grupo parlamentario en los órganos de la cámara (SSTC 107/2016, 108/2016 y 109/2016, de 7 de junio).</w:t>
      </w:r>
    </w:p>
    <w:p w14:paraId="6E59C87D" w14:textId="77777777" w:rsidR="008D479B" w:rsidRDefault="008D479B" w:rsidP="008D479B">
      <w:pPr>
        <w:pStyle w:val="TextoNormal"/>
      </w:pPr>
    </w:p>
    <w:p w14:paraId="7C506606" w14:textId="77777777" w:rsidR="008D479B" w:rsidRDefault="008D479B" w:rsidP="008D479B">
      <w:pPr>
        <w:pStyle w:val="TextoNormal"/>
      </w:pPr>
      <w:r>
        <w:t>La jurisprudencia constitucional, por lo que se refiere a la naturaleza jurídica de los grupos parlamentarios, ha reiterado “las diferencias sustanciales que, desde la óptica del art. 23 CE, existen entre el partido político y el grupo parlamentario” (STC 10/2013, de 28 de enero, FJ 3). Así, desde la temprana STC 36/1990, de 1 de marzo, se ha afirmado que “resulta indudable la relativa disociación conceptual y de la personalidad jurídica e independencia de voluntades presente entre ambos, de forma que no tienen por qué coincidir sus voluntades (como sucedería en los supuestos en que los grupos parlamentarios estén integrados por parlamentarios procedentes de distintas formaciones políticas, integrantes de coaliciones electorales y que hayan concurrido conjuntamente a las elecciones), aunque los segundos sean frecuentemente una lógica emanación de los primeros” (FJ 1). Como consecuencia de ello, el Tribunal ha establecido que “los titulares del derecho al acceso en condiciones de igualdad a los cargos representativos y con los requisitos que señalen las leyes (art. 23.2 de la Constitución) son los ciudadanos, por mandato de dicho precepto, y no los partidos políticos; y otro tanto ocurre con el subsiguiente derecho a permanecer en los cargos públicos a los que se accedió (SSTC 5/1983, 10/1983, etc.). Por consiguiente, y a los efectos que ahora nos atañen, ostentan la titularidad del derecho fundamental comprendido en el art. 23.2 de la Constitución los propios ciudadanos, primero como candidatos a un cargo representativo y luego como parlamentarios, y, en su caso, incluso los Grupos Parlamentarios en que estos se integran y que ellos mismos constituyen, en la medida en que resulten menoscabados sus derechos (STC 108/1986, fundamento jurídico 4)” (STC 10/2013, de 28 de enero, FJ 4).</w:t>
      </w:r>
    </w:p>
    <w:p w14:paraId="0D530107" w14:textId="77777777" w:rsidR="008D479B" w:rsidRDefault="008D479B" w:rsidP="008D479B">
      <w:pPr>
        <w:pStyle w:val="TextoNormal"/>
      </w:pPr>
    </w:p>
    <w:p w14:paraId="52537DD6" w14:textId="77777777" w:rsidR="008D479B" w:rsidRDefault="008D479B" w:rsidP="008D479B">
      <w:pPr>
        <w:pStyle w:val="TextoNormal"/>
      </w:pPr>
      <w:r>
        <w:t>Asimismo, el Tribunal ha puesto de manifiesto que las facultades que corresponden a las mesas de las cámaras, en orden a la constitución de los grupos parlamentarios, son de carácter reglado, debiendo circunscribirse a constatar si la constitución del grupo parlamentario reúne los requisitos reglamentariamente establecidos, debiendo rechazar, en caso de incumplimiento de aquellos requisitos, salvo que resulten subsanables, la pretensión de constituir grupo parlamentario (STC 64/2002, de 11 de marzo, FJ 3, y 76/2017, de 19 de junio, FJ 4). Ese mismo carácter reglado debe proyectarse respecto de otras decisiones de la mesa que puedan afectar a elementos esenciales o estructurales de su constitución en el posterior devenir del grupo parlamentario, como pueden ser cambios de composición —altas y bajas—, denominación o cargos a ejercer en los mismos, para las que también será preciso constatar por la mesa que la petición reúne los requisitos reglamentarios.</w:t>
      </w:r>
    </w:p>
    <w:p w14:paraId="30157F54" w14:textId="77777777" w:rsidR="008D479B" w:rsidRDefault="008D479B" w:rsidP="008D479B">
      <w:pPr>
        <w:pStyle w:val="TextoNormal"/>
      </w:pPr>
    </w:p>
    <w:p w14:paraId="05C1CF67" w14:textId="77777777" w:rsidR="008D479B" w:rsidRDefault="008D479B" w:rsidP="008D479B">
      <w:pPr>
        <w:pStyle w:val="TextoNormal"/>
      </w:pPr>
      <w:r>
        <w:t>Ahora bien, a ello ha de añadirse, que, en todo caso, los órganos de la Cámara han de realizar una interpretación restrictiva de todas aquellas normas que puedan suponer una limitación al ejercicio de aquellos derechos o atribuciones que integran el estatuto constitucionalmente relevante del representante público y a motivar las razones de su aplicación (STC 115/2019, de 16 de octubre, FJ 7, entre otras), y han de ejercer su función de velar por los derechos de los diputados. En este sentido, ha de tenerse en cuenta la jurisprudencia constitucional sobre la obligación de la mesa de velar por los derechos de los diputados (SSTC 94/2018, de 20 de septiembre, FJ 5; 139/2018, de 17 de diciembre, FJ 5, y 17/2019, de 11 de febrero, FJ 3, en relación con el ejercicio del veto presupuestario por parte del Gobierno), que también se considera que ha de estar presente entre otros supuestos, y, especialmente, en aquellos en que como el presente, el asunto sometido a la consideración de la mesa de la Cámara comporta una restricción de los derechos de los diputados.</w:t>
      </w:r>
    </w:p>
    <w:p w14:paraId="2F85CBF0" w14:textId="77777777" w:rsidR="008D479B" w:rsidRDefault="008D479B" w:rsidP="008D479B">
      <w:pPr>
        <w:pStyle w:val="TextoNormal"/>
      </w:pPr>
    </w:p>
    <w:p w14:paraId="1F59F0B2" w14:textId="04C91DE0" w:rsidR="008D479B" w:rsidRDefault="008D479B" w:rsidP="008D479B">
      <w:pPr>
        <w:pStyle w:val="TextoNormal"/>
      </w:pPr>
      <w:r>
        <w:t>c) La figura del representante político no adscrito ha sido analizada en diversas ocasiones por la jurisprudencia constitucional, que ha establecido que en sí misma considerada no puede reputarse como inconstitucional (SSTC 9/2012, de 18 de enero, FJ 4; 30/2012, de 1 de marzo, FJ 4, y 159/2019, de 12 de diciembre, FJ 8); pero que resulta preciso, en atención a la desventaja que implica, analizar que los miembros no adscritos no resulten privados de los derechos de ejercicio individual que les correspondan en virtud de su condición de representantes políticos, bien por las concretas previsiones legales o reglamentarias reguladoras de esta figura (SSTC 246/2012, de 20 de diciembre, FFJJ 9 y 10; 151/2017, de 21 de diciembre, FJ 7; 159/2019, de 12 de diciembre, FJ 10, o ATC 126/2020, de 21 de octubre, FFJJ 5 y 6), bien por las decisiones adoptadas por los órganos competentes respecto del concreto régimen al que quedan sometidos (SSTC 169/2009, de 9 de julio, FFJJ 4 y 5; 20/2011, de 14 de marzo, FFJJ 5 a 7, y 159/2019, de 12 de diciembre, FFJJ 11 y 12).</w:t>
      </w:r>
    </w:p>
    <w:p w14:paraId="390BAE5E" w14:textId="77777777" w:rsidR="008D479B" w:rsidRDefault="008D479B" w:rsidP="008D479B">
      <w:pPr>
        <w:pStyle w:val="TextoNormal"/>
      </w:pPr>
    </w:p>
    <w:p w14:paraId="7F4CC865" w14:textId="77777777" w:rsidR="008D479B" w:rsidRDefault="008D479B" w:rsidP="008D479B">
      <w:pPr>
        <w:pStyle w:val="TextoNormal"/>
      </w:pPr>
      <w:r w:rsidRPr="008D479B">
        <w:rPr>
          <w:rStyle w:val="NumeroAFNegritaCaracter"/>
        </w:rPr>
        <w:t>4</w:t>
      </w:r>
      <w:r>
        <w:t xml:space="preserve">. </w:t>
      </w:r>
      <w:r w:rsidRPr="008D479B">
        <w:rPr>
          <w:i/>
        </w:rPr>
        <w:t>Aplicación de la doctrina constitucional al presente recurso de amparo</w:t>
      </w:r>
    </w:p>
    <w:p w14:paraId="7C7B83E6" w14:textId="77777777" w:rsidR="008D479B" w:rsidRDefault="008D479B" w:rsidP="008D479B">
      <w:pPr>
        <w:pStyle w:val="TextoNormal"/>
      </w:pPr>
    </w:p>
    <w:p w14:paraId="158ECD29" w14:textId="77777777" w:rsidR="008D479B" w:rsidRDefault="008D479B" w:rsidP="008D479B">
      <w:pPr>
        <w:pStyle w:val="TextoNormal"/>
      </w:pPr>
      <w:r>
        <w:t>El Tribunal, por la necesidad de respetar la propia configuración de esta jurisdicción de amparo y de minimizar cualquier intromisión en el principio de autonomía parlamentaria reconocido por el art. 72.1 CE, tal como ha hecho en ocasiones precedentes de recursos de amparo parlamentarios (así, por ejemplo, en las SSTC 66/2021, de 15 de marzo, FJ 4; 137/2021, de 29 de junio, FJ 4; 38/2022, de 11 de marzo, FJ 7; 96/2022, de 12 de julio, FJ 2, o 65/2023, de 6 de junio, FJ 3), va a desarrollar el análisis de la constitucionalidad de los acuerdos impugnados comenzando por verificar si por su contenido han incidido en el núcleo esencial del derecho de representación política de los demandantes de amparo. Solo en el caso de que haya sido así, podrá avanzarse en el análisis de si la decisión parlamentaria controvertida en el presente recurso de amparo se ha producido en contravención de la normativa parlamentaria aplicable al caso.</w:t>
      </w:r>
    </w:p>
    <w:p w14:paraId="0ACBF791" w14:textId="77777777" w:rsidR="008D479B" w:rsidRDefault="008D479B" w:rsidP="008D479B">
      <w:pPr>
        <w:pStyle w:val="TextoNormal"/>
      </w:pPr>
    </w:p>
    <w:p w14:paraId="01F75F6A" w14:textId="77777777" w:rsidR="008D479B" w:rsidRDefault="008D479B" w:rsidP="008D479B">
      <w:pPr>
        <w:pStyle w:val="TextoNormal"/>
      </w:pPr>
      <w:r>
        <w:t>a) El Tribunal considera que los acuerdos parlamentarios impugnados, al tener por acreditado el presupuesto normativo de la baja de los diputados demandantes de amparo de su grupo parlamentario para, en aplicación del entonces vigente art. 24.1 RPA, atribuirles la condición de diputados no adscritos, han incidido de manera relevante en el núcleo de su función representativa.</w:t>
      </w:r>
    </w:p>
    <w:p w14:paraId="3E857EF0" w14:textId="77777777" w:rsidR="008D479B" w:rsidRDefault="008D479B" w:rsidP="008D479B">
      <w:pPr>
        <w:pStyle w:val="TextoNormal"/>
      </w:pPr>
    </w:p>
    <w:p w14:paraId="33019EEB" w14:textId="77777777" w:rsidR="008D479B" w:rsidRDefault="008D479B" w:rsidP="008D479B">
      <w:pPr>
        <w:pStyle w:val="TextoNormal"/>
      </w:pPr>
      <w:r>
        <w:t>En primer lugar, el Tribunal, asumiendo la jurisprudencia constitucional expuesta anteriormente sobre que la facultad de constituir grupo parlamentario, en la forma y con los requisitos establecidos reglamentariamente, forma parte del núcleo de la función representativa parlamentaria de los diputados, aprecia que esa facultad —en paralelo a lo que se predica del derecho al cargo público representativo, que incluye no solo el acceso sino su mantenimiento— se concreta tanto en las posibilidades de creación e integración en grupos parlamentarios como de mantenerse dentro de ellos, siempre, obviamente, dentro de la normativa parlamentaria de aplicación por tratarse el art. 23.2 CE de un derecho de configuración legal. En el presente caso, insistiendo en que los acuerdos parlamentarios han tenido como resultado la adquisición de la condición de no adscrito por apreciarse la concurrencia del presupuesto normativo para ello, establecido en el art. 24.1 RPA, de que los demandantes habían cursado baja de su grupo parlamentario, el Tribunal concluye que estaba en controversia esa facultad de mantenerse integrado en un grupo parlamentario y, por tanto, un aspecto relevante de su estatus como representante político que forma parte integrante del art. 23.2 CE.</w:t>
      </w:r>
    </w:p>
    <w:p w14:paraId="39F432B8" w14:textId="77777777" w:rsidR="008D479B" w:rsidRDefault="008D479B" w:rsidP="008D479B">
      <w:pPr>
        <w:pStyle w:val="TextoNormal"/>
      </w:pPr>
    </w:p>
    <w:p w14:paraId="3B5DDCBA" w14:textId="77777777" w:rsidR="008D479B" w:rsidRDefault="008D479B" w:rsidP="008D479B">
      <w:pPr>
        <w:pStyle w:val="TextoNormal"/>
      </w:pPr>
      <w:r>
        <w:t>En segundo lugar, el Tribunal también aprecia que en estos supuestos la incidencia en el derecho de los afectados, reconocido en el art. 23.2 CE, se concreta en el reflejo que en el desarrollo de las funciones propias de los representantes políticos tienen el diferente nivel de posibilidades de actuación cuando se actúa desde los grupos parlamentarios a cuando se hace de manera individual desde la consideración de diputado no adscrito. Ciertamente la jurisprudencia constitucional, en los términos expuestos anteriormente, ha reconocido que la adquisición de la condición de miembro no adscrito no implica, en sí mismo considerada, una vulneración del art. 23.2 CE, sin perjuicio de que la eventual vulneración de este derecho proviniera, en su caso, de alguna o algunas limitaciones concretas que se impongan a esta determinada situación jurídica. Ahora bien, lo que en este momento es objeto de análisis por este tribunal no es un control abstracto sobre la constitucionalidad de la institución del diputado no adscrito desde la perspectiva del art. 23.2 CE, sino si constituye una situación objetiva en que comparativamente se ven afectadas las posibilidades del ejercicio de la función representativa en relación con las situaciones de integración en un grupo parlamentario. A esos efectos, el Tribunal entiende, en línea con lo ya expuesto anteriormente por la jurisprudencia constitucional sobre el carácter vertebrador de los grupos parlamentarios en el moderno parlamentarismo, tanto en la organización y funcionamiento de las cámaras, como en el desempeño de las funciones parlamentarias, que no cabe ignorar la indudable incidencia que el pase involuntario a la condición de diputado no adscrito desde una posición de integración en un grupo parlamentario tiene en el núcleo de la función representativa de cada diputado por la rebaja que ello comporta de las posibilidades de actuación, tanto en lo relativo a las iniciativas legislativas y de control de gobierno, como a la integración en los órganos de la cámara. Ciertamente, no cabe aceptar la alegación de los demandantes de amparo de que la adquisición de la condición de representante político no adscrito tenga un carácter sancionatorio; sin embargo, como ha reconocido el Tribunal, y es lo relevante a los efectos ahora analizados de su incidencia en el núcleo de la función representativa, esta figura supone una limitación de los derechos del representante político en cuanto se deja de ser miembro del grupo político en el que se integraba (STC 9/2012, de 18 de enero, FJ 4).</w:t>
      </w:r>
    </w:p>
    <w:p w14:paraId="0E761619" w14:textId="77777777" w:rsidR="008D479B" w:rsidRDefault="008D479B" w:rsidP="008D479B">
      <w:pPr>
        <w:pStyle w:val="TextoNormal"/>
      </w:pPr>
    </w:p>
    <w:p w14:paraId="0B9A280E" w14:textId="77777777" w:rsidR="008D479B" w:rsidRDefault="008D479B" w:rsidP="008D479B">
      <w:pPr>
        <w:pStyle w:val="TextoNormal"/>
      </w:pPr>
      <w:r>
        <w:t>Por tanto, el Tribunal concluye que en las circunstancias del caso la decisión parlamentaria impugnada, por incidir en el núcleo de la función representativa de los demandantes de amparo, es susceptible de comprometer sus derechos de representación política del art. 23.2 CE, lo que determina que resulte necesario avanzar en el análisis sobre si los acuerdos impugnados se han adoptado contraviniendo la normativa parlamentaria de aplicación.</w:t>
      </w:r>
    </w:p>
    <w:p w14:paraId="67A08FDC" w14:textId="77777777" w:rsidR="008D479B" w:rsidRDefault="008D479B" w:rsidP="008D479B">
      <w:pPr>
        <w:pStyle w:val="TextoNormal"/>
      </w:pPr>
    </w:p>
    <w:p w14:paraId="63B838CC" w14:textId="77777777" w:rsidR="008D479B" w:rsidRDefault="008D479B" w:rsidP="008D479B">
      <w:pPr>
        <w:pStyle w:val="TextoNormal"/>
      </w:pPr>
      <w:r>
        <w:t>b) El Tribunal, al analizar la regularidad constitucional de la interpretación y aplicación al caso de la reglamentación parlamentaria efectuada en los acuerdos impugnados en el presente recurso de amparo, constata como presupuestos fácticos relevantes los siguientes:</w:t>
      </w:r>
    </w:p>
    <w:p w14:paraId="01A6E983" w14:textId="77777777" w:rsidR="008D479B" w:rsidRDefault="008D479B" w:rsidP="008D479B">
      <w:pPr>
        <w:pStyle w:val="TextoNormal"/>
      </w:pPr>
    </w:p>
    <w:p w14:paraId="64181C27" w14:textId="77777777" w:rsidR="008D479B" w:rsidRDefault="008D479B" w:rsidP="008D479B">
      <w:pPr>
        <w:pStyle w:val="TextoNormal"/>
      </w:pPr>
      <w:r>
        <w:t>(i) La redacción del art. 24.1 RPA vigente en el momento en que se adoptaron los acuerdos controvertidos era que “una vez producida la adscripción a un grupo parlamentario en el tiempo y forma que se regulan en los artículos anteriores, el diputado que causara baja adquirirá necesariamente la condición de diputado no adscrito”. Este reglamento no establecía entonces ninguna previsión expresa respecto de la obligación de los grupos parlamentarios de dotarse de una normativa interna reguladora, entre otros aspectos, del procedimiento de baja de dichos grupos; tampoco en relación con los motivos para cursar baja en un grupo parlamentario y sus modos de acreditación a los efectos de la adquisición de la condición de diputado no adscrito ni en relación con el procedimiento aplicable en casos de transfuguismo. Todas esas cuestiones fueron objeto de regulación en el Reglamento del Parlamento de Andalucía, mediante la reforma operada por el Pleno de Parlamento de Andalucía de 28 de abril de 2021, que no resulta aplicable a la presente controversia constitucional.</w:t>
      </w:r>
    </w:p>
    <w:p w14:paraId="026A1B89" w14:textId="77777777" w:rsidR="008D479B" w:rsidRDefault="008D479B" w:rsidP="008D479B">
      <w:pPr>
        <w:pStyle w:val="TextoNormal"/>
      </w:pPr>
    </w:p>
    <w:p w14:paraId="66FE83AE" w14:textId="77777777" w:rsidR="008D479B" w:rsidRDefault="008D479B" w:rsidP="008D479B">
      <w:pPr>
        <w:pStyle w:val="TextoNormal"/>
      </w:pPr>
      <w:r>
        <w:t>(ii) La mesa del Parlamento de Andalucía, dentro del ámbito de su autonomía interpretativa de la entonces reglamentación parlamentaria vigente, durante todo el proceso de adquisición de la condición de diputados no adscritos de los demandantes de amparo sostuvo que, en casos como el presente en que se controvertía la realidad de que se hubiera adoptado una decisión por parte del grupo parlamentario sobre que los diputados afectados habían cursado baja en el mismo, no bastaba con la afirmación en ese sentido de la portavoz del grupo parlamentario sino que resultaba necesario acreditar la efectividad de dicha decisión, a cuyos efectos se requirió a la portavoz para que procediera a dicha acreditación (acuerdos de 5 y 11 de noviembre de 2020, no controvertidos en este recurso).</w:t>
      </w:r>
    </w:p>
    <w:p w14:paraId="45A40214" w14:textId="77777777" w:rsidR="008D479B" w:rsidRDefault="008D479B" w:rsidP="008D479B">
      <w:pPr>
        <w:pStyle w:val="TextoNormal"/>
      </w:pPr>
    </w:p>
    <w:p w14:paraId="19ACB2DC" w14:textId="77777777" w:rsidR="008D479B" w:rsidRDefault="008D479B" w:rsidP="008D479B">
      <w:pPr>
        <w:pStyle w:val="TextoNormal"/>
      </w:pPr>
      <w:r>
        <w:t>(iii) La citada portavoz dio respuesta a ese requerimiento reconociendo que había procedido por su propia autoridad a causar la baja de los demandantes de amparo tras recibir la comunicación de su partido político de sus bajas voluntarias en el mismo, con el argumento de que ante el silencio normativo “entendí que se debe seguir una fórmula similar a la establecida en el reglamento tanto para la entrada de diputados al grupo parlamentario, como al regreso al grupo parlamentario desde la condición de diputado o diputada no adscrito”, añadiendo que “para estos supuestos, tanto el art. 23 del Reglamento, como el 24.2, exigen, simplemente, la aceptación de la portavoz, sin necesidad de otros requisitos ni de acuerdo del grupo, ni de acreditar documentalmente aspecto alguno, salvo el consentimiento de la portavoz”. Igualmente declaró que la baja no había estado motivada por el incumplimiento de acuerdos internos de grupo, en cuyo caso “habría que estar a lo autoreglamentado por el grupo, y en su caso a lo acordado mayoritariamente en el mismo”, sino por un supuesto de transfuguismo político, a cuyos efectos adjuntaba diversa documentación sobre el proceso de primarias de Adelante Andalucía, la expulsión de los diputados afectados del partido político Podemos Andalucía y el certificado de la baja como afiliados de ese partido de dichos diputados.</w:t>
      </w:r>
    </w:p>
    <w:p w14:paraId="3B21F8AE" w14:textId="77777777" w:rsidR="008D479B" w:rsidRDefault="008D479B" w:rsidP="008D479B">
      <w:pPr>
        <w:pStyle w:val="TextoNormal"/>
      </w:pPr>
    </w:p>
    <w:p w14:paraId="68FA96CD" w14:textId="77777777" w:rsidR="008D479B" w:rsidRDefault="008D479B" w:rsidP="008D479B">
      <w:pPr>
        <w:pStyle w:val="TextoNormal"/>
      </w:pPr>
      <w:r>
        <w:t>(iv) La mesa del Parlamento de Andalucía en los acuerdos impugnados de 18 de noviembre de 2020 acordó que los demandantes adquirieran la condición de diputados no adscritos, de conformidad con lo previsto en el art. 24.1 RPA, al entender que, con las consideraciones realizadas y la documentación aportada por la portavoz del grupo parlamentario, había quedado acreditado que los diputados afectados “han causado baja en el grupo parlamentario Adelante Andalucía como consecuencia de su baja como afiliados de su formación política”. El acta de la sesión refleja que, si bien un miembro de la mesa consideró que el objeto de lo debatido quedaba enmarcado en el pacto antitransfuguismo, que es el que debe inspirar las decisiones a adoptar ante supuestos como el presente, en el que existen vacíos o lagunas en la normativa parlamentaria de aplicación; otros tres, de los cinco que votaron a favor del acuerdo, declararon que su decisión no había tenido que ver con el transfuguismo sino con lo previsto reglamentariamente.</w:t>
      </w:r>
    </w:p>
    <w:p w14:paraId="4ED65C85" w14:textId="77777777" w:rsidR="008D479B" w:rsidRDefault="008D479B" w:rsidP="008D479B">
      <w:pPr>
        <w:pStyle w:val="TextoNormal"/>
      </w:pPr>
    </w:p>
    <w:p w14:paraId="251F9DE1" w14:textId="77777777" w:rsidR="008D479B" w:rsidRDefault="008D479B" w:rsidP="008D479B">
      <w:pPr>
        <w:pStyle w:val="TextoNormal"/>
      </w:pPr>
      <w:r>
        <w:t>Por su parte, en los acuerdos de 25 de noviembre de 2020, al desestimar las solicitudes de reconsideración, ya se incluyó una motivación más detallada, argumentando que (i) los demandantes de amparo no negaban que habían causado baja en su formación política, aspecto que “es el determinante de la decisión de la mesa”, una vez que la portavoz había afirmado que esa había sido la causa de su baja en el grupo parlamentario; y (ii) la disconformidad con la competencia y el procedimiento para acordar la baja en el grupo parlamentario son cuestiones ajenas al conocimiento de la mesa.</w:t>
      </w:r>
    </w:p>
    <w:p w14:paraId="03159F8A" w14:textId="77777777" w:rsidR="008D479B" w:rsidRDefault="008D479B" w:rsidP="008D479B">
      <w:pPr>
        <w:pStyle w:val="TextoNormal"/>
      </w:pPr>
    </w:p>
    <w:p w14:paraId="6380714E" w14:textId="77777777" w:rsidR="008D479B" w:rsidRDefault="008D479B" w:rsidP="008D479B">
      <w:pPr>
        <w:pStyle w:val="TextoNormal"/>
      </w:pPr>
      <w:r>
        <w:t>c) El Tribunal, tomando en consideración la jurisprudencia constitucional y los antecedentes expuestos anteriormente, considera que la aplicación de la reglamentación parlamentaria efectuada en los acuerdos impugnados ha vulnerado el art. 23.2 CE de los recurrentes. Las razones para llegar a esta conclusión estimatoria son las siguientes:</w:t>
      </w:r>
    </w:p>
    <w:p w14:paraId="5F346C2A" w14:textId="77777777" w:rsidR="008D479B" w:rsidRDefault="008D479B" w:rsidP="008D479B">
      <w:pPr>
        <w:pStyle w:val="TextoNormal"/>
      </w:pPr>
    </w:p>
    <w:p w14:paraId="3937FA7D" w14:textId="77777777" w:rsidR="008D479B" w:rsidRDefault="008D479B" w:rsidP="008D479B">
      <w:pPr>
        <w:pStyle w:val="TextoNormal"/>
      </w:pPr>
      <w:r>
        <w:t>(i) El art. 24.1 RPA establece que el presupuesto normativo para que la mesa pueda adoptar la decisión de que un diputado adquiera la condición de diputado no adscrito es que haya causado baja del grupo parlamentario en el que estaba integrado. En este caso, el primer motivo aportado por la mesa para considerar acreditado este extremo, en defecto de la suficiencia de la propia declaración de la portavoz del grupo en ese sentido, es que se constata que (a) no ha sido negado por los demandantes de amparo que habían causado baja voluntaria de su partido político y (b) que esa era la única razón para que la portavoz del grupo parlamentario hubiera afirmado que se había producido la baja de los demandantes del grupo parlamentario.</w:t>
      </w:r>
    </w:p>
    <w:p w14:paraId="6B21C035" w14:textId="77777777" w:rsidR="008D479B" w:rsidRDefault="008D479B" w:rsidP="008D479B">
      <w:pPr>
        <w:pStyle w:val="TextoNormal"/>
      </w:pPr>
    </w:p>
    <w:p w14:paraId="4CEA2DA2" w14:textId="77777777" w:rsidR="008D479B" w:rsidRDefault="008D479B" w:rsidP="008D479B">
      <w:pPr>
        <w:pStyle w:val="TextoNormal"/>
      </w:pPr>
      <w:r>
        <w:t>El Tribunal aprecia que este concreto razonamiento de la mesa supone una innovación de la normativa parlamentaria contraria al carácter subordinado de la labor de su intérprete y aplicador, que la jurisprudencia constitucional ha establecido, en los términos ya expuestos anteriormente, como uno de los límites del art. 23.2 CE a la autonomía normativa de los órganos de las cámaras.</w:t>
      </w:r>
    </w:p>
    <w:p w14:paraId="570F6F3A" w14:textId="77777777" w:rsidR="008D479B" w:rsidRDefault="008D479B" w:rsidP="008D479B">
      <w:pPr>
        <w:pStyle w:val="TextoNormal"/>
      </w:pPr>
    </w:p>
    <w:p w14:paraId="14408D73" w14:textId="77777777" w:rsidR="008D479B" w:rsidRDefault="008D479B" w:rsidP="008D479B">
      <w:pPr>
        <w:pStyle w:val="TextoNormal"/>
      </w:pPr>
      <w:r>
        <w:t>En efecto, la normativa vigente en el momento en que se adoptaron los acuerdos anudaba la condición de diputado no adscrito exclusivamente a la baja en el grupo parlamentario. En ese sentido, la traslación realizada por los acuerdos impugnados de que la acreditación de la baja en el partido político implica, por el efecto de su automatismo, la acreditación de la baja en el grupo parlamentario va más allá del tenor literal del art. 24.1 RPA. A esos efectos, como un elemento confirmatorio de esta apreciación, el Tribunal constata que no ha sido hasta la reforma operada en el art. 24.2 c) RPA por el acuerdo del Pleno de 28 de abril de 2021 cuando ha sido incluida en la normativa del Parlamento de Andalucía la posibilidad de esa traslación, al establecerse que “el diputado o diputada podrá causar baja en el grupo parlamentario, y la Mesa del Parlamento reconocerá su condición de diputado o diputada no adscrito, por los siguientes motivos y modos de acreditación: […] c) En el supuesto de transfuguismo, la comunicación a la mesa del abandono, expulsión o separación del criterio político fijado por sus órganos competentes del diputado o diputada que concurrió por la candidatura de la que trae causa el grupo parlamentario corresponderá al representante legal del sujeto político que presentó la candidatura o al del partido político que propuso su inclusión en esta en caso de coalición electoral”.</w:t>
      </w:r>
    </w:p>
    <w:p w14:paraId="29350BE8" w14:textId="77777777" w:rsidR="008D479B" w:rsidRDefault="008D479B" w:rsidP="008D479B">
      <w:pPr>
        <w:pStyle w:val="TextoNormal"/>
      </w:pPr>
    </w:p>
    <w:p w14:paraId="5FADFAF8" w14:textId="77777777" w:rsidR="008D479B" w:rsidRDefault="008D479B" w:rsidP="008D479B">
      <w:pPr>
        <w:pStyle w:val="TextoNormal"/>
      </w:pPr>
      <w:r>
        <w:t>Por otro lado, esta traslación de la acreditación de la baja de un partido político a la baja del grupo parlamentario en que se integran los diputados que han sido elegidos en sus listas también implica una confusión de dos sujetos políticos perfectamente diferenciados como son el partido político y el grupo parlamentario. Esta confusión es más acusada en los casos, como el presente, en que si bien todos los diputados habían concurrido en las listas electorales de una misma coalición de partidos, el grupo parlamentario resultante responde a una conformación multipartidista. Este razonamiento no puede ser aceptado desde la perspectiva del derecho de representación política ahora analizada, ya que implica desconocer la jurisprudencia constitucional establecida en las SSTC 36/1990, de 1 de marzo, FJ 1, y 10/2013, de 28 de enero, FJ 3, anteriormente expuesta, sobre las diferencias sustanciales que, desde la óptica del art. 23 CE, existen entre el partido político y el grupo parlamentario.</w:t>
      </w:r>
    </w:p>
    <w:p w14:paraId="0334DE41" w14:textId="77777777" w:rsidR="008D479B" w:rsidRDefault="008D479B" w:rsidP="008D479B">
      <w:pPr>
        <w:pStyle w:val="TextoNormal"/>
      </w:pPr>
    </w:p>
    <w:p w14:paraId="354D053F" w14:textId="77777777" w:rsidR="008D479B" w:rsidRDefault="008D479B" w:rsidP="008D479B">
      <w:pPr>
        <w:pStyle w:val="TextoNormal"/>
      </w:pPr>
      <w:r>
        <w:t>Por último, también es preciso establecer que, en supuestos como el de la normativa vigente cuando se adoptaron los acuerdos impugnados, en que el art. 24.1 RPA no preveía las causas por las que un diputado podría causar baja en un grupo parlamentario, sino únicamente la consecuencia de su adquisición de la condición de diputado no adscrito, el silencio reglamentario no impide apreciar la posibilidad de una eventual baja involuntaria por expulsión del grupo; ahora bien, en tales casos es siempre preciso, lo que tampoco se habría verificado en este caso, que en dicha decisión se respete el principio democrático de la decisión mayoritaria, tal como se deriva del art. 1.1 CE.</w:t>
      </w:r>
    </w:p>
    <w:p w14:paraId="2F486432" w14:textId="77777777" w:rsidR="008D479B" w:rsidRDefault="008D479B" w:rsidP="008D479B">
      <w:pPr>
        <w:pStyle w:val="TextoNormal"/>
      </w:pPr>
    </w:p>
    <w:p w14:paraId="5676110A" w14:textId="77777777" w:rsidR="008D479B" w:rsidRDefault="008D479B" w:rsidP="008D479B">
      <w:pPr>
        <w:pStyle w:val="TextoNormal"/>
      </w:pPr>
      <w:r>
        <w:t>(ii) El segundo motivo alegado por la mesa, en justificación de su decisión, ha sido establecer que son cuestiones ajenas al conocimiento de la mesa la eventual disconformidad con la competencia y el procedimiento para acordar la baja en el grupo parlamentario. Respecto de ese particular, el Tribunal debe reiterar, tal como ha expuesto al concretar el objeto de este recurso que, en efecto, el fondo de estas cuestiones implica una controversia ajena a las posibilidades de fiscalización de los órganos parlamentarios y de este tribunal por la vía del art. 42 LOTC. Sin embargo, el Tribunal debe discrepar de esta apreciación contenida en los acuerdos impugnados al constatar que este control a desarrollar por la mesa no versa sobre discrepancias de fondo respecto de la decisión de baja del grupo parlamentario, sino sobre un mero control formal de que se cumplía el presupuesto normativo establecido en el art. 24.1 RPA de que, efectivamente, se ha producido esa baja del grupo parlamentario al que los diputados estaban incorporados.</w:t>
      </w:r>
    </w:p>
    <w:p w14:paraId="4F890213" w14:textId="77777777" w:rsidR="008D479B" w:rsidRDefault="008D479B" w:rsidP="008D479B">
      <w:pPr>
        <w:pStyle w:val="TextoNormal"/>
      </w:pPr>
    </w:p>
    <w:p w14:paraId="377E9FC0" w14:textId="77777777" w:rsidR="008D479B" w:rsidRDefault="008D479B" w:rsidP="008D479B">
      <w:pPr>
        <w:pStyle w:val="TextoNormal"/>
      </w:pPr>
      <w:r>
        <w:t>Por tanto, en el presente caso, el Tribunal aprecia que, tal como lo asumió desde un principio la mesa en los acuerdos de 5 y 11 de noviembre de 2020, en que se requirió a la portavoz del grupo parlamentario para que acreditara la efectividad de la decisión del grupo parlamentario de cursar la baja en ese grupo de los diputados afectados, la acreditación de ese extremo se configura como una mera cuestión formal de verificación del cumplimiento del requisito reglamentario de que se había producido esa baja, pero en ningún caso un control de legalidad o de fondo sobre la decisión de la baja, lo que determina que tampoco este segundo razonamiento de los acuerdos impugnados resulte asumible desde la perspectiva del art. 23.2 CE.</w:t>
      </w:r>
    </w:p>
    <w:p w14:paraId="54E97531" w14:textId="77777777" w:rsidR="008D479B" w:rsidRDefault="008D479B" w:rsidP="008D479B">
      <w:pPr>
        <w:pStyle w:val="TextoNormal"/>
      </w:pPr>
    </w:p>
    <w:p w14:paraId="45C99AF2" w14:textId="77777777" w:rsidR="008D479B" w:rsidRDefault="008D479B" w:rsidP="008D479B">
      <w:pPr>
        <w:pStyle w:val="TextoNormal"/>
      </w:pPr>
      <w:r>
        <w:t xml:space="preserve">(iii) La alegación formulada por el Parlamento de Andalucía en este procedimiento de amparo en relación con que tanto en la legislatura en que se ha suscitado la controversia como en la anterior, varios diputados del Parlamento han adquirido la condición de no adscritos al abandonar su grupo parlamentario, lo que evidencia un uso parlamentario sobre la interpretación y aplicación realizada en un contexto de silencio normativo sobre el particular, debe ser rechazada. Las consideraciones ya realizadas deberían ser bastante para ello toda vez que, como ha reiterado la jurisprudencia constitucional, “los usos parlamentarios en cuanto pauta reiterada de comportamiento, fijada mediante la repetición de actos realizados por un mismo órgano parlamentario respecto de una misma cuestión, tienen la capacidad de contribuir a la configuración del contenido del </w:t>
      </w:r>
      <w:r w:rsidRPr="008D479B">
        <w:rPr>
          <w:i/>
        </w:rPr>
        <w:t>ius in officium</w:t>
      </w:r>
      <w:r>
        <w:t xml:space="preserve"> de los representantes parlamentarios, en supuestos de ambigüedad o de insuficiencia de la norma reglamentaria escrita, pero siempre que aquellas prácticas no contravengan lo dispuesto en el reglamento de la Cámara correspondiente” (STC 38/2022, de 11 de marzo, FJ 5).</w:t>
      </w:r>
    </w:p>
    <w:p w14:paraId="4D459C8E" w14:textId="77777777" w:rsidR="008D479B" w:rsidRDefault="008D479B" w:rsidP="008D479B">
      <w:pPr>
        <w:pStyle w:val="TextoNormal"/>
      </w:pPr>
    </w:p>
    <w:p w14:paraId="30356C35" w14:textId="77777777" w:rsidR="008D479B" w:rsidRDefault="008D479B" w:rsidP="008D479B">
      <w:pPr>
        <w:pStyle w:val="TextoNormal"/>
      </w:pPr>
      <w:r>
        <w:t>En todo caso, el Tribunal considera que los precedentes aportados no pueden resultar determinantes para apreciar que constituyen una pauta reiterada en supuestos semejantes al presente, ya que de los tres citados, dos se corresponden con sendas peticiones de baja voluntaria del grupo parlamentario firmadas por el propio diputado afectado (acuerdos de la mesa de 29 de marzo de 2017 y de 3 de julio de 2020) y el tercero, que sí se trata de una expulsión, aparece firmado por el portavoz y la totalidad de los diez diputados integrantes del grupo, por lo que la voluntad del grupo parlamentario queda acreditada con la incorporación de dichas firmas (acuerdo de la mesa de la Diputación Permanente de 24 de enero de 2020).</w:t>
      </w:r>
    </w:p>
    <w:p w14:paraId="63CD53A7" w14:textId="77777777" w:rsidR="008D479B" w:rsidRDefault="008D479B" w:rsidP="008D479B">
      <w:pPr>
        <w:pStyle w:val="TextoNormal"/>
      </w:pPr>
    </w:p>
    <w:p w14:paraId="628FFE30" w14:textId="77777777" w:rsidR="008D479B" w:rsidRDefault="008D479B" w:rsidP="008D479B">
      <w:pPr>
        <w:pStyle w:val="TextoNormal"/>
      </w:pPr>
      <w:r>
        <w:t>En definitiva, el Tribunal concluye que se ha producido una vulneración del derecho de los demandantes de amparo a ejercer las funciones representativas con los requisitos que señalan las leyes (art. 23.2 CE), en relación con el derecho de los ciudadanos a participar en los asuntos públicos a través de sus representantes (art. 23.1 CE), ya que los acuerdos impugnados, al decidir que adquirían la consideración de diputados no adscritos, han incidido de manera relevante en el núcleo esencial de su función representativa y lo han hecho a partir de una interpretación y aplicación de la normativa parlamentaria que contravenía la vigente en aquel momento.</w:t>
      </w:r>
    </w:p>
    <w:p w14:paraId="23FF6422" w14:textId="77777777" w:rsidR="008D479B" w:rsidRDefault="008D479B" w:rsidP="008D479B">
      <w:pPr>
        <w:pStyle w:val="TextoNormal"/>
      </w:pPr>
    </w:p>
    <w:p w14:paraId="2DB2BC9F" w14:textId="1D46BA85" w:rsidR="008D479B" w:rsidRDefault="008D479B" w:rsidP="008D479B">
      <w:pPr>
        <w:pStyle w:val="TextoNormal"/>
      </w:pPr>
      <w:r>
        <w:t>La estimación del recurso de amparo debe quedar limitada en este caso a la declaración de la vulneración de los derechos de los demandantes de amparo y la anulación de los acuerdos impugnados sin que pueda extenderse a ninguna otra medida de restablecimiento habida cuenta de que la legislatura autonómica en que se adoptaron los acuerdos ya ha concluido (en el mismo sentido, por ejemplo, SSTC 212/2016, de 15 de diciembre, FJ 7, o 35/2022, de 9 de marzo, FJ 6).</w:t>
      </w:r>
    </w:p>
    <w:p w14:paraId="4C1889A1" w14:textId="77777777" w:rsidR="008D479B" w:rsidRDefault="008D479B" w:rsidP="008D479B">
      <w:pPr>
        <w:pStyle w:val="TextoNormal"/>
      </w:pPr>
    </w:p>
    <w:p w14:paraId="3E11E133" w14:textId="77777777" w:rsidR="008D479B" w:rsidRDefault="008D479B" w:rsidP="008D479B">
      <w:pPr>
        <w:pStyle w:val="TextoNormalCentrado"/>
        <w:keepNext/>
      </w:pPr>
      <w:r>
        <w:t>FALLO</w:t>
      </w:r>
    </w:p>
    <w:p w14:paraId="0A517111" w14:textId="716B57BD" w:rsidR="008D479B" w:rsidRDefault="008D479B" w:rsidP="008D479B">
      <w:pPr>
        <w:pStyle w:val="TextoNormalCentrado"/>
        <w:keepNext/>
      </w:pPr>
    </w:p>
    <w:p w14:paraId="36203BD7" w14:textId="77777777" w:rsidR="008D479B" w:rsidRDefault="008D479B" w:rsidP="008D479B">
      <w:pPr>
        <w:pStyle w:val="TextoNormal"/>
      </w:pPr>
      <w:r>
        <w:t>En atención a todo lo expuesto, el Tribunal Constitucional, por la autoridad que le confiere la Constitución de la Nación española, ha decidido estimar el recurso de amparo interpuesto por doña María Teresa Rodríguez-Rubio Vázquez, doña Ángela Aguilera Clavijo, don José Ignacio García Sánchez, doña Luzmarina Dorado Balmón, doña María Vanessa García Casaucau, doña María Gracia González Fernández, don José Ignacio Molina Arroyo, doña Ana Villaverde Valenciano y don Diego Crespo García y, en su virtud:</w:t>
      </w:r>
    </w:p>
    <w:p w14:paraId="79F980D6" w14:textId="77777777" w:rsidR="008D479B" w:rsidRDefault="008D479B" w:rsidP="008D479B">
      <w:pPr>
        <w:pStyle w:val="TextoNormal"/>
      </w:pPr>
    </w:p>
    <w:p w14:paraId="25A403D6" w14:textId="77777777" w:rsidR="008D479B" w:rsidRDefault="008D479B" w:rsidP="008D479B">
      <w:pPr>
        <w:pStyle w:val="TextoNormal"/>
      </w:pPr>
      <w:r>
        <w:t>1º Declarar que ha sido vulnerado su derecho fundamental a ejercer las funciones representativas con los requisitos que señalan las leyes (art. 23.2 CE), en relación con el derecho de los ciudadanos a participar en los asuntos públicos a través de sus representantes (art. 23.1 CE).</w:t>
      </w:r>
    </w:p>
    <w:p w14:paraId="057969A2" w14:textId="77777777" w:rsidR="008D479B" w:rsidRDefault="008D479B" w:rsidP="008D479B">
      <w:pPr>
        <w:pStyle w:val="TextoNormal"/>
      </w:pPr>
    </w:p>
    <w:p w14:paraId="0C35DE2C" w14:textId="3B5CE11A" w:rsidR="008D479B" w:rsidRDefault="008D479B" w:rsidP="008D479B">
      <w:pPr>
        <w:pStyle w:val="TextoNormal"/>
      </w:pPr>
      <w:r>
        <w:t>2º Restablecer a los demandantes en su derecho y, a tal fin, declarar la nulidad de los acuerdos de la mesa del Parlamento de Andalucía de 18 de noviembre de 2020 referidos a los núm. de registro de entrada 112020730 y 112021117, y de 25 de noviembre de 2020, referidos a los núm. de registro de entrada 112021996 y 112021997.</w:t>
      </w:r>
    </w:p>
    <w:p w14:paraId="7751E80E" w14:textId="77777777" w:rsidR="008D479B" w:rsidRDefault="008D479B" w:rsidP="008D479B">
      <w:pPr>
        <w:pStyle w:val="TextoNormal"/>
      </w:pPr>
    </w:p>
    <w:p w14:paraId="51D16598" w14:textId="77777777" w:rsidR="008D479B" w:rsidRDefault="008D479B" w:rsidP="008D479B">
      <w:pPr>
        <w:pStyle w:val="TextoNormal"/>
      </w:pPr>
      <w:r>
        <w:t>Publíquese esta sentencia en el “Boletín Oficial del Estado”.</w:t>
      </w:r>
    </w:p>
    <w:p w14:paraId="72472AF4" w14:textId="77777777" w:rsidR="008D479B" w:rsidRDefault="008D479B" w:rsidP="008D479B">
      <w:pPr>
        <w:pStyle w:val="TextoNormal"/>
      </w:pPr>
      <w:r>
        <w:t>Dada en Madrid, a doce de septiembre de dos mil veintitrés.</w:t>
      </w:r>
    </w:p>
    <w:p w14:paraId="6EE9B763" w14:textId="172D3ED0" w:rsidR="008D479B" w:rsidRDefault="008D479B">
      <w:pPr>
        <w:spacing w:after="160" w:line="278" w:lineRule="auto"/>
        <w:rPr>
          <w:rFonts w:ascii="Times New Roman" w:eastAsia="Times New Roman" w:hAnsi="Times New Roman" w:cs="Times New Roman"/>
          <w:sz w:val="24"/>
          <w:szCs w:val="24"/>
          <w:lang w:eastAsia="es-ES"/>
        </w:rPr>
      </w:pPr>
      <w:r>
        <w:br w:type="page"/>
      </w:r>
    </w:p>
    <w:p w14:paraId="506E7B8B" w14:textId="77777777" w:rsidR="008D479B" w:rsidRDefault="008D479B" w:rsidP="008D479B">
      <w:pPr>
        <w:pStyle w:val="TtuloResolucin"/>
      </w:pPr>
      <w:bookmarkStart w:id="19" w:name="SENTENCIA_2023_94"/>
      <w:r>
        <w:t>SENTENCIA 94/2023, de 12 de septiembre de 2023</w:t>
      </w:r>
    </w:p>
    <w:bookmarkEnd w:id="19"/>
    <w:p w14:paraId="555D1D3B" w14:textId="77777777" w:rsidR="008D479B" w:rsidRDefault="008D479B" w:rsidP="008D479B">
      <w:pPr>
        <w:pStyle w:val="TtuloResolucin"/>
      </w:pPr>
      <w:r>
        <w:t>Pleno</w:t>
      </w:r>
    </w:p>
    <w:p w14:paraId="71CF6D87" w14:textId="77777777" w:rsidR="008D479B" w:rsidRDefault="008D479B" w:rsidP="008D479B">
      <w:pPr>
        <w:pStyle w:val="TtuloBOE"/>
      </w:pPr>
      <w:r>
        <w:t>(BOE núm. 244, de 12 de octubre de 2023)</w:t>
      </w:r>
    </w:p>
    <w:p w14:paraId="02D52B2B" w14:textId="77777777" w:rsidR="008D479B" w:rsidRDefault="008D479B" w:rsidP="008D479B">
      <w:pPr>
        <w:pStyle w:val="TextoNormalCentrado"/>
      </w:pPr>
      <w:r>
        <w:t>ECLI:ES:TC:2023:94</w:t>
      </w:r>
    </w:p>
    <w:p w14:paraId="342CAA12" w14:textId="30853F2B" w:rsidR="008D479B" w:rsidRDefault="008D479B" w:rsidP="008D479B">
      <w:pPr>
        <w:pStyle w:val="TextoNormalCentrado"/>
      </w:pPr>
    </w:p>
    <w:p w14:paraId="0EEC031E" w14:textId="77777777" w:rsidR="008D479B" w:rsidRDefault="008D479B" w:rsidP="008D479B">
      <w:pPr>
        <w:pStyle w:val="SntesisDescriptiva"/>
      </w:pPr>
      <w:r>
        <w:t>Recurso de inconstitucionalidad 4313-2021. Interpuesto por más de cincuenta diputados del Grupo Parlamentario Popular en el Congreso en relación con la Ley Orgánica 3/2021, de 24 de marzo, de regulación de la eutanasia.</w:t>
      </w:r>
    </w:p>
    <w:p w14:paraId="2F9E2B2C" w14:textId="61EAFCAA" w:rsidR="008D479B" w:rsidRDefault="008D479B" w:rsidP="008D479B">
      <w:pPr>
        <w:pStyle w:val="SntesisDescriptiva"/>
      </w:pPr>
    </w:p>
    <w:p w14:paraId="4173D745" w14:textId="77777777" w:rsidR="008D479B" w:rsidRDefault="008D479B" w:rsidP="008D479B">
      <w:pPr>
        <w:pStyle w:val="SntesisAnaltica"/>
      </w:pPr>
      <w:r>
        <w:t>Derecho a la vida y a la integridad física y moral: constitucionalidad de la regulación legal del derecho a la autodeterminación respecto de la propia muerte en contextos eutanásicos (STC 19/2023). Votos particulares.</w:t>
      </w:r>
    </w:p>
    <w:p w14:paraId="134B2E84" w14:textId="46443360" w:rsidR="008D479B" w:rsidRDefault="008D479B" w:rsidP="008D479B">
      <w:pPr>
        <w:pStyle w:val="SntesisAnaltica"/>
      </w:pPr>
    </w:p>
    <w:p w14:paraId="5FF14B68" w14:textId="1D60BD6F" w:rsidR="008D479B" w:rsidRDefault="008D479B" w:rsidP="008D479B">
      <w:pPr>
        <w:pStyle w:val="Extracto"/>
      </w:pPr>
      <w:r>
        <w:t>1.</w:t>
      </w:r>
      <w:r>
        <w:tab/>
        <w:t>Reiteración de doctrina relativa al procedimiento de tramitación legislativa de la Ley Orgánica 3/2021, de 24 de marzo, de regulación de la eutanasia (LORE), sustancialmente coincidentes a los expresados en la STC 19/2023 que resolvió otro recurso de inconstitucionalidad contra esta misma ley [FJ 2].</w:t>
      </w:r>
    </w:p>
    <w:p w14:paraId="4F508BBF" w14:textId="77777777" w:rsidR="008D479B" w:rsidRDefault="008D479B" w:rsidP="008D479B">
      <w:pPr>
        <w:pStyle w:val="Extracto"/>
      </w:pPr>
    </w:p>
    <w:p w14:paraId="14E70480" w14:textId="2774479C" w:rsidR="008D479B" w:rsidRDefault="008D479B" w:rsidP="008D479B">
      <w:pPr>
        <w:pStyle w:val="Extracto"/>
      </w:pPr>
      <w:r>
        <w:t>2.</w:t>
      </w:r>
      <w:r>
        <w:tab/>
        <w:t>Al delimitar el alcance del derecho fundamental a la vida, la Constitución no acoge una concepción del derecho a la vida y de la protección del bien vida desconectada de la voluntad de su titular y, por ende, indiferente a sus decisiones sobre cómo y cuándo morir. La protección del derecho a la vida ha de alcanzarse sin interferir desproporcionadamente en el derecho a la autodeterminación del paciente ni afectar a su contenido esencial (STC 19/2023) [FJ 3].</w:t>
      </w:r>
    </w:p>
    <w:p w14:paraId="22B64E9C" w14:textId="77777777" w:rsidR="008D479B" w:rsidRDefault="008D479B" w:rsidP="008D479B">
      <w:pPr>
        <w:pStyle w:val="Extracto"/>
      </w:pPr>
    </w:p>
    <w:p w14:paraId="60379EF0" w14:textId="33ECF5AF" w:rsidR="008D479B" w:rsidRDefault="008D479B" w:rsidP="008D479B">
      <w:pPr>
        <w:pStyle w:val="Extracto"/>
      </w:pPr>
      <w:r>
        <w:t>3.</w:t>
      </w:r>
      <w:r>
        <w:tab/>
        <w:t>Remisión a los argumentos esgrimidos por la STC 19/2023, que confirmó la constitucionalidad de la configuración legislativa de la eutanasia como un derecho subjetivo de naturaleza prestacional, siempre y cuando se produzca (i) en un “contexto eutanásico” médicamente contrastado, esto es, un contexto de sufrimiento debido a una enfermedad o padecimiento incurable que la persona experimenta como inaceptable y que no ha podido ser mitigado por otros medios, y (ii) a petición informada, expresa y reiterada en el tiempo por la persona que solicita ayuda para acabar con su propia vida [FJ 3].</w:t>
      </w:r>
    </w:p>
    <w:p w14:paraId="43A3F3FC" w14:textId="77777777" w:rsidR="008D479B" w:rsidRDefault="008D479B" w:rsidP="008D479B">
      <w:pPr>
        <w:pStyle w:val="Extracto"/>
      </w:pPr>
    </w:p>
    <w:p w14:paraId="73691613" w14:textId="2419C564" w:rsidR="008D479B" w:rsidRDefault="008D479B" w:rsidP="008D479B">
      <w:pPr>
        <w:pStyle w:val="Extracto"/>
      </w:pPr>
      <w:r>
        <w:t>4.</w:t>
      </w:r>
      <w:r>
        <w:tab/>
        <w:t>La libertad individual para la adopción y puesta en práctica autónoma de decisiones personales privadas e íntimas de profunda relevancia vital goza prima facie de protección a través del reconocimiento de la libertad como valor superior del ordenamiento jurídico (art. 1.1 CE), de los principios de dignidad y libre desarrollo de la personalidad, configurados expresamente en la Constitución como fundamentos del orden político y de la paz social (art. 10.1 CE), y de los derechos fundamentales íntimamente vinculados a dichos principios, como es el derecho a la integridad física y moral (art. 15 CE) [FJ 3].</w:t>
      </w:r>
    </w:p>
    <w:p w14:paraId="6D000C8E" w14:textId="77777777" w:rsidR="008D479B" w:rsidRDefault="008D479B" w:rsidP="008D479B">
      <w:pPr>
        <w:pStyle w:val="Extracto"/>
      </w:pPr>
    </w:p>
    <w:p w14:paraId="1A068812" w14:textId="74044D98" w:rsidR="008D479B" w:rsidRDefault="008D479B" w:rsidP="008D479B">
      <w:pPr>
        <w:pStyle w:val="Extracto"/>
      </w:pPr>
      <w:r>
        <w:t>5.</w:t>
      </w:r>
      <w:r>
        <w:tab/>
        <w:t>Se rechaza una interpretación que atribuya carácter absoluto a la vida e imponga a los poderes públicos un deber de protección incondicional que implique un paradójico deber de vivir y, en tal medida, impida el reconocimiento constitucional de decisiones autónomas sobre la propia muerte en situaciones de sufrimiento debido a una enfermedad o padecimiento incurable médicamente constatable y que la persona experimenta como inaceptable (STC 19/2023) [FJ 3].</w:t>
      </w:r>
    </w:p>
    <w:p w14:paraId="7C89B04B" w14:textId="77777777" w:rsidR="008D479B" w:rsidRDefault="008D479B" w:rsidP="008D479B">
      <w:pPr>
        <w:pStyle w:val="Extracto"/>
      </w:pPr>
    </w:p>
    <w:p w14:paraId="49B515BB" w14:textId="3785E0D2" w:rsidR="008D479B" w:rsidRDefault="008D479B" w:rsidP="008D479B">
      <w:pPr>
        <w:pStyle w:val="Extracto"/>
      </w:pPr>
      <w:r>
        <w:t>6.</w:t>
      </w:r>
      <w:r>
        <w:tab/>
        <w:t>Remisión a la STC 19/2023 en materia de: A) respecto al “documento de instrucciones previas, testamento vital, voluntades anticipadas o documentos equivalentes”: en particular, su regulación, la eficacia en el procedimiento, el control y garantía judicial respecto de las decisiones que reconozcan el derecho a la prestación de la ayuda para morir y la regulación uniforme en el conjunto del Estado. B) Solicitud de prestación de ayuda para morir para una persona con incapacidad de hecho C) Supuestos en los cuales se permite suplir el consentimiento del paciente afectado. D) Deber de proteger la vida frente al insuficiente estándar de cuidados paliativos [FFJJ 3 a 5].</w:t>
      </w:r>
    </w:p>
    <w:p w14:paraId="18C99C38" w14:textId="77777777" w:rsidR="008D479B" w:rsidRDefault="008D479B" w:rsidP="008D479B">
      <w:pPr>
        <w:pStyle w:val="Extracto"/>
      </w:pPr>
    </w:p>
    <w:p w14:paraId="4982B540" w14:textId="15F405DE" w:rsidR="008D479B" w:rsidRDefault="008D479B" w:rsidP="008D479B">
      <w:pPr>
        <w:pStyle w:val="Extracto"/>
      </w:pPr>
      <w:r>
        <w:t>7.</w:t>
      </w:r>
      <w:r>
        <w:tab/>
        <w:t>El procedimiento administrativo establecido por la LORE es constitucional por cuanto prevé: reiteradas solicitudes del paciente, en garantía de la voluntariedad y la firmeza de su decisión; plazos de espera, en protección del necesario carácter reflexionado de la decisión; deberes de motivación y justificación documental; la intervención de varios profesionales médicos desvinculados entre sí; la prohibición de intervención de quienes incurran en conflicto de intereses y de quienes resulten beneficiados de la práctica de la eutanasia; y que la prestación se realice en centros sanitarios públicos, privados o concertados y en el domicilio, sin que ello afecte a la calidad asistencial (STSC 19/2023) [FJ 3].</w:t>
      </w:r>
    </w:p>
    <w:p w14:paraId="6D6A7BF5" w14:textId="77777777" w:rsidR="008D479B" w:rsidRDefault="008D479B" w:rsidP="008D479B">
      <w:pPr>
        <w:pStyle w:val="Extracto"/>
      </w:pPr>
    </w:p>
    <w:p w14:paraId="26228350" w14:textId="48E649D4" w:rsidR="008D479B" w:rsidRDefault="008D479B" w:rsidP="008D479B">
      <w:pPr>
        <w:pStyle w:val="Extracto"/>
      </w:pPr>
      <w:r>
        <w:t>8.</w:t>
      </w:r>
      <w:r>
        <w:tab/>
        <w:t>El control que lleva a cabo el Tribunal Constitucional en los recursos de amparo debe quedar al margen de cualquier posible o hipotético acto de aplicación de dicho precepto, debiendo limitarnos a contrastar de manera abstracta el precepto recurrido y las normas y principios constitucionales que se estiman infringidos (SSTC 49/2008, 128/2016 y 185/2016) [FJ 3].</w:t>
      </w:r>
    </w:p>
    <w:p w14:paraId="4F385500" w14:textId="77777777" w:rsidR="008D479B" w:rsidRDefault="008D479B" w:rsidP="008D479B">
      <w:pPr>
        <w:pStyle w:val="Extracto"/>
      </w:pPr>
    </w:p>
    <w:p w14:paraId="0D542CE9" w14:textId="7A4AE11D" w:rsidR="008D479B" w:rsidRDefault="008D479B" w:rsidP="008D479B">
      <w:pPr>
        <w:pStyle w:val="Extracto"/>
      </w:pPr>
      <w:r>
        <w:t>9.</w:t>
      </w:r>
      <w:r>
        <w:tab/>
        <w:t>La referencia a una situación de “enfermedad grave e incurable” es compatible con la seguridad jurídica pues, aunque contiene un margen de apreciación, esa “gravedad” expresa su importancia, profundidad y permanencia en el tiempo; el que sea “incurable” indica su irreversibilidad. Y al legislador no le es exigible mayor precisión cuando existen instrumentos interpretativos suficientes para evitar la generación de inseguridad jurídica en la aplicación de la norma (SSTC 19/2023 y 44/2023) [FJ 3].</w:t>
      </w:r>
    </w:p>
    <w:p w14:paraId="2FE0C03C" w14:textId="77777777" w:rsidR="008D479B" w:rsidRDefault="008D479B" w:rsidP="008D479B">
      <w:pPr>
        <w:pStyle w:val="Extracto"/>
      </w:pPr>
    </w:p>
    <w:p w14:paraId="747A424A" w14:textId="460700CA" w:rsidR="008D479B" w:rsidRDefault="008D479B" w:rsidP="008D479B">
      <w:pPr>
        <w:pStyle w:val="Extracto"/>
      </w:pPr>
      <w:r>
        <w:t>10.</w:t>
      </w:r>
      <w:r>
        <w:tab/>
        <w:t xml:space="preserve">El fundamento constitucional de la prestación de ayuda para morir, cifrado en la autodeterminación respecto de la propia muerte en contextos eutanásicos, remite a la libertad y a la dignidad de la persona; por lo que circunscribir a los supuestos de enfermos terminales las posibilidades de obtener la prestación de ayuda para morir no resulta compatible con el respeto a la dignidad humana y al libre desarrollo de la personalidad (art. 10.1 CE), ni con el derecho a la integridad personal </w:t>
      </w:r>
      <w:r w:rsidRPr="008D479B">
        <w:rPr>
          <w:i/>
        </w:rPr>
        <w:t>ex</w:t>
      </w:r>
      <w:r>
        <w:t xml:space="preserve"> art. 15 CE (STC 19/2023) [FJ 3].</w:t>
      </w:r>
    </w:p>
    <w:p w14:paraId="04493CDE" w14:textId="77777777" w:rsidR="008D479B" w:rsidRDefault="008D479B" w:rsidP="008D479B">
      <w:pPr>
        <w:pStyle w:val="Extracto"/>
      </w:pPr>
    </w:p>
    <w:p w14:paraId="0323F17D" w14:textId="6C8F221B" w:rsidR="008D479B" w:rsidRDefault="008D479B" w:rsidP="008D479B">
      <w:pPr>
        <w:pStyle w:val="Extracto"/>
      </w:pPr>
      <w:r>
        <w:t>11.</w:t>
      </w:r>
      <w:r>
        <w:tab/>
        <w:t>La creación, en cada comunidad autónoma, de un registro de profesionales sanitarios objetores de conciencia a realizar la prestación de ayuda para morir con el objetivo, común para todo el territorio nacional, de garantizar una adecuada gestión de dicha prestación, se constituye un elemento normativo básico que en nada impide u obstaculiza a las comunidades autónomas el ejercicio de sus competencias en relación con la creación, organización y funcionamiento de dicho registro [FJ 4].</w:t>
      </w:r>
    </w:p>
    <w:p w14:paraId="3C7FC9E9" w14:textId="77777777" w:rsidR="008D479B" w:rsidRDefault="008D479B" w:rsidP="008D479B">
      <w:pPr>
        <w:pStyle w:val="Extracto"/>
      </w:pPr>
    </w:p>
    <w:p w14:paraId="628A7D5D" w14:textId="4E19D187" w:rsidR="008D479B" w:rsidRDefault="008D479B" w:rsidP="008D479B">
      <w:pPr>
        <w:pStyle w:val="Extracto"/>
      </w:pPr>
      <w:r>
        <w:t>12.</w:t>
      </w:r>
      <w:r>
        <w:tab/>
        <w:t>La inexistencia de un derecho general o indeterminado a la objeción de conciencia no impide que el legislador pueda o, incluso en algunos casos deba, reconocer el carácter moralmente controvertido de ciertas decisiones normativas sobre asuntos vitales; y permitir, con las debidas garantías para el interés general, que el individuo inicialmente obligado llegue a quedar exento de cumplir con un mandato no conciliable con sus más arraigadas convicciones (STC 19/2023) [FJ 4].</w:t>
      </w:r>
    </w:p>
    <w:p w14:paraId="324C6F4A" w14:textId="77777777" w:rsidR="008D479B" w:rsidRDefault="008D479B" w:rsidP="008D479B">
      <w:pPr>
        <w:pStyle w:val="Extracto"/>
      </w:pPr>
    </w:p>
    <w:p w14:paraId="3A8B433F" w14:textId="045741E7" w:rsidR="008D479B" w:rsidRDefault="008D479B" w:rsidP="008D479B">
      <w:pPr>
        <w:pStyle w:val="Extracto"/>
      </w:pPr>
      <w:r>
        <w:t>13.</w:t>
      </w:r>
      <w:r>
        <w:tab/>
        <w:t>El derecho a la objeción de conciencia se perfila como un derecho constitucional autónomo de configuración legal, ejercitable, con las debidas garantías para el interés general, frente al cumplimiento de ciertos deberes u obligaciones que colisionen con convicciones o cuestiones morales propias de las personas físicas, de los ciudadanos [FJ 4].</w:t>
      </w:r>
    </w:p>
    <w:p w14:paraId="55A31569" w14:textId="77777777" w:rsidR="008D479B" w:rsidRDefault="008D479B" w:rsidP="008D479B">
      <w:pPr>
        <w:pStyle w:val="Extracto"/>
      </w:pPr>
    </w:p>
    <w:p w14:paraId="049D8C6D" w14:textId="12F2CCEA" w:rsidR="008D479B" w:rsidRDefault="008D479B" w:rsidP="008D479B">
      <w:pPr>
        <w:pStyle w:val="Extracto"/>
      </w:pPr>
      <w:r>
        <w:t>14.</w:t>
      </w:r>
      <w:r>
        <w:tab/>
        <w:t xml:space="preserve">Las únicas actuaciones susceptibles de ser exoneradas del deber legal de garantizar el derecho de prestación de ayuda para morir, por estar amparadas en la objeción de conciencia, son las intervenciones de los profesionales sanitarios, cualquiera que sea su categoría profesional, en la ejecución efectiva de dicha prestación que culmina en la acción dirigida a proporcionar los medios necesarios —suministro o prescripción de la sustancia—; sólo respecto de tales intervenciones debe constatarse que pueden darse situaciones de conflicto por convicciones íntimas, ideológicas o morales, que justifican el apartamiento del profesional sanitario ante una intervención que constituye, con carácter general, un imperativo legal [FJ 4]. </w:t>
      </w:r>
    </w:p>
    <w:p w14:paraId="6AD503EE" w14:textId="77777777" w:rsidR="008D479B" w:rsidRDefault="008D479B" w:rsidP="008D479B">
      <w:pPr>
        <w:pStyle w:val="Extracto"/>
      </w:pPr>
    </w:p>
    <w:p w14:paraId="114DC4B8" w14:textId="309EF96B" w:rsidR="008D479B" w:rsidRDefault="008D479B" w:rsidP="008D479B">
      <w:pPr>
        <w:pStyle w:val="Extracto"/>
      </w:pPr>
      <w:r>
        <w:t>15.</w:t>
      </w:r>
      <w:r>
        <w:tab/>
        <w:t>Extender la objeción de conciencia a un ámbito institucional, no solo pondría en riesgo la efectividad de la propia prestación sanitaria, sino que carecería de fundamento constitucional, pues se trata de un derecho que excepcionalmente permite, con las debidas garantías para el interés general, eludir el cumplimiento de obligaciones de carácter general que por su naturaleza colisionan o no son conciliables con las más arraigadas convicciones que son propias de las personas físicas [FJ 4].</w:t>
      </w:r>
    </w:p>
    <w:p w14:paraId="0C0D1E81" w14:textId="77777777" w:rsidR="008D479B" w:rsidRDefault="008D479B" w:rsidP="008D479B">
      <w:pPr>
        <w:pStyle w:val="Extracto"/>
      </w:pPr>
    </w:p>
    <w:p w14:paraId="40143D9F" w14:textId="2B2339DD" w:rsidR="008D479B" w:rsidRDefault="008D479B" w:rsidP="008D479B">
      <w:pPr>
        <w:pStyle w:val="Extracto"/>
      </w:pPr>
      <w:r>
        <w:t>16.</w:t>
      </w:r>
      <w:r>
        <w:tab/>
        <w:t>El art. 53.2 CE no impide al legislador dar un tratamiento preferente y rápido a la tutela de otros derechos distintos de los estrictamente contemplados en el art. 14 y la sección primera del capítulo segundo de la Constitución. Y, por ende, se  rechaza que el establecimiento de este cauce de tutela jurisdiccional implique promover una modificación constitucional vulneradora de los arts. 168 y 169 CE – a modo de eventual reforma constitucional encubierta- [FJ 6].</w:t>
      </w:r>
    </w:p>
    <w:p w14:paraId="313DD9BC" w14:textId="77777777" w:rsidR="008D479B" w:rsidRDefault="008D479B" w:rsidP="008D479B">
      <w:pPr>
        <w:pStyle w:val="Extracto"/>
      </w:pPr>
    </w:p>
    <w:p w14:paraId="464ED12B" w14:textId="77777777" w:rsidR="008D479B" w:rsidRDefault="008D479B" w:rsidP="008D479B">
      <w:pPr>
        <w:pStyle w:val="Extracto"/>
      </w:pPr>
    </w:p>
    <w:p w14:paraId="3702F72F" w14:textId="77777777" w:rsidR="008D479B" w:rsidRDefault="008D479B" w:rsidP="008D479B">
      <w:pPr>
        <w:pStyle w:val="TextoNormal"/>
      </w:pPr>
      <w: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 ha pronunciado</w:t>
      </w:r>
    </w:p>
    <w:p w14:paraId="22679D85" w14:textId="7853842F" w:rsidR="008D479B" w:rsidRDefault="008D479B" w:rsidP="008D479B">
      <w:pPr>
        <w:pStyle w:val="TextoNormal"/>
      </w:pPr>
    </w:p>
    <w:p w14:paraId="0A0FD868" w14:textId="77777777" w:rsidR="008D479B" w:rsidRDefault="008D479B" w:rsidP="008D479B">
      <w:pPr>
        <w:pStyle w:val="TextoNormalCentrado"/>
        <w:keepNext/>
      </w:pPr>
      <w:r>
        <w:t>EN NOMBRE DEL REY</w:t>
      </w:r>
    </w:p>
    <w:p w14:paraId="2A4DBD04" w14:textId="03590B36" w:rsidR="008D479B" w:rsidRDefault="008D479B" w:rsidP="008D479B">
      <w:pPr>
        <w:pStyle w:val="TextoNormalCentrado"/>
        <w:keepNext/>
      </w:pPr>
    </w:p>
    <w:p w14:paraId="6ADEF2D5" w14:textId="77777777" w:rsidR="008D479B" w:rsidRDefault="008D479B" w:rsidP="008D479B">
      <w:pPr>
        <w:pStyle w:val="TextoNormalCentrado"/>
        <w:keepNext/>
      </w:pPr>
    </w:p>
    <w:p w14:paraId="72C56845" w14:textId="77777777" w:rsidR="008D479B" w:rsidRDefault="008D479B" w:rsidP="008D479B">
      <w:pPr>
        <w:pStyle w:val="TextoNormal"/>
      </w:pPr>
      <w:r>
        <w:t>la siguiente</w:t>
      </w:r>
    </w:p>
    <w:p w14:paraId="5CCB0BFB" w14:textId="74977DE3" w:rsidR="008D479B" w:rsidRDefault="008D479B" w:rsidP="008D479B">
      <w:pPr>
        <w:pStyle w:val="TextoNormal"/>
      </w:pPr>
    </w:p>
    <w:p w14:paraId="393DBD1A" w14:textId="77777777" w:rsidR="008D479B" w:rsidRDefault="008D479B" w:rsidP="008D479B">
      <w:pPr>
        <w:pStyle w:val="TextoNormalCentrado"/>
        <w:keepNext/>
      </w:pPr>
      <w:r>
        <w:t>SENTENCIA</w:t>
      </w:r>
    </w:p>
    <w:p w14:paraId="69D8CBD4" w14:textId="3D10669F" w:rsidR="008D479B" w:rsidRDefault="008D479B" w:rsidP="008D479B">
      <w:pPr>
        <w:pStyle w:val="TextoNormalCentrado"/>
        <w:keepNext/>
      </w:pPr>
    </w:p>
    <w:p w14:paraId="49F6841A" w14:textId="77777777" w:rsidR="008D479B" w:rsidRDefault="008D479B" w:rsidP="008D479B">
      <w:pPr>
        <w:pStyle w:val="TextoNormal"/>
      </w:pPr>
      <w:r>
        <w:t>En el recurso de inconstitucionalidad 4313-2021, interpuesto por más de cincuenta diputados y diputadas del Grupo Parlamentario Popular en el Congreso de los Diputados contra la Ley Orgánica 3/2021, de 24 de marzo, de regulación de la eutanasia, en su integridad, por los vicios de inconstitucionalidad de carácter formal inherentes a su tramitación y, subsidiariamente, por los vicios materiales o de fondo que presenta el régimen jurídico configurado por la Ley Orgánica recurrida. Han comparecido el Senado, el Congreso de los Diputados y el Gobierno de la Nación, y han formulado alegaciones los dos últimos. Ha sido ponente el magistrado don Cándido Conde-Pumpido Tourón.</w:t>
      </w:r>
    </w:p>
    <w:p w14:paraId="670640CD" w14:textId="6D1E9993" w:rsidR="008D479B" w:rsidRDefault="008D479B" w:rsidP="008D479B">
      <w:pPr>
        <w:pStyle w:val="TextoNormal"/>
      </w:pPr>
    </w:p>
    <w:p w14:paraId="5B723AC4" w14:textId="77777777" w:rsidR="008D479B" w:rsidRDefault="008D479B" w:rsidP="008D479B">
      <w:pPr>
        <w:pStyle w:val="TextoNormalNegritaCentrado"/>
        <w:keepNext/>
      </w:pPr>
      <w:r>
        <w:t>I. Antecedentes</w:t>
      </w:r>
    </w:p>
    <w:p w14:paraId="2D196CA8" w14:textId="436A2DF7" w:rsidR="008D479B" w:rsidRDefault="008D479B" w:rsidP="008D479B">
      <w:pPr>
        <w:pStyle w:val="TextoNormalNegritaCentrado"/>
        <w:keepNext/>
      </w:pPr>
    </w:p>
    <w:p w14:paraId="268B5EB5" w14:textId="77777777" w:rsidR="008D479B" w:rsidRDefault="008D479B" w:rsidP="008D479B">
      <w:pPr>
        <w:pStyle w:val="TextoNormal"/>
      </w:pPr>
      <w:r w:rsidRPr="008D479B">
        <w:rPr>
          <w:rStyle w:val="NumeroAFNegritaCaracter"/>
        </w:rPr>
        <w:t>1</w:t>
      </w:r>
      <w:r>
        <w:t>. Mediante escrito registrado en este tribunal el 24 de junio de 2021, el procurador de los tribunales don Manuel Sánchez-Puelles y González-Carvajal, actuando en nombre y representación de don Pablo Casado Blanco y de otros ochenta y siete diputados y diputadas del Grupo Parlamentario Popular en el Congreso, interpuso recurso de inconstitucionalidad contra la Ley Orgánica 3/2021, de 24 de marzo, de regulación de la eutanasia, en su integridad, por los motivos mencionados en el encabezamiento de esta resolución.</w:t>
      </w:r>
    </w:p>
    <w:p w14:paraId="2D7569CD" w14:textId="77777777" w:rsidR="008D479B" w:rsidRDefault="008D479B" w:rsidP="008D479B">
      <w:pPr>
        <w:pStyle w:val="TextoNormal"/>
      </w:pPr>
    </w:p>
    <w:p w14:paraId="5B6699CC" w14:textId="77777777" w:rsidR="008D479B" w:rsidRDefault="008D479B" w:rsidP="008D479B">
      <w:pPr>
        <w:pStyle w:val="TextoNormal"/>
      </w:pPr>
      <w:r>
        <w:t>Tras dar cuenta brevemente de los hechos que presidieron el planteamiento y tramitación de la iniciativa parlamentaria de la Ley Orgánica 3/2021, de 24 de marzo, de regulación de la eutanasia (en adelante, LORE), la demanda expone los motivos de impugnación con base en la siguiente fundamentación jurídica:</w:t>
      </w:r>
    </w:p>
    <w:p w14:paraId="17282743" w14:textId="77777777" w:rsidR="008D479B" w:rsidRDefault="008D479B" w:rsidP="008D479B">
      <w:pPr>
        <w:pStyle w:val="TextoNormal"/>
      </w:pPr>
    </w:p>
    <w:p w14:paraId="1FF47520" w14:textId="77777777" w:rsidR="008D479B" w:rsidRDefault="008D479B" w:rsidP="008D479B">
      <w:pPr>
        <w:pStyle w:val="TextoNormal"/>
      </w:pPr>
      <w:r>
        <w:t xml:space="preserve">A) </w:t>
      </w:r>
      <w:r w:rsidRPr="008D479B">
        <w:rPr>
          <w:i/>
        </w:rPr>
        <w:t>Inconstitucionalidad de la Ley Orgánica 3/2021 en su conjunto por vicios en su procedimiento de aprobación: vulneración de los arts. 23 y 93 CE, en relación con el art. 93 del Reglamento del Congreso de los Diputados</w:t>
      </w:r>
    </w:p>
    <w:p w14:paraId="699EA8B0" w14:textId="77777777" w:rsidR="008D479B" w:rsidRDefault="008D479B" w:rsidP="008D479B">
      <w:pPr>
        <w:pStyle w:val="TextoNormal"/>
      </w:pPr>
    </w:p>
    <w:p w14:paraId="06B86380" w14:textId="77777777" w:rsidR="008D479B" w:rsidRDefault="008D479B" w:rsidP="008D479B">
      <w:pPr>
        <w:pStyle w:val="TextoNormal"/>
      </w:pPr>
      <w:r>
        <w:t>Con cita de la doctrina constitucional (entre otras, SSTC 35/1984, de 13 de marzo; 108/1986, de 29 de julio, y 68/2013, de 14 de marzo), la demanda examina si la tramitación de la proposición de ley orgánica se llevó a cabo con vulneración del art. 93 del Reglamento del Congreso de los Diputados (en adelante, RCD). Constatada dicha vulneración, analiza si la misma resultó relevante desde la perspectiva del art. 93 CE y de los derechos fundamentales del art. 23 CE, produciendo, con ello, una alteración sustancial del proceso de formación de la voluntad en el seno de las cámaras.</w:t>
      </w:r>
    </w:p>
    <w:p w14:paraId="73AB3BC7" w14:textId="77777777" w:rsidR="008D479B" w:rsidRDefault="008D479B" w:rsidP="008D479B">
      <w:pPr>
        <w:pStyle w:val="TextoNormal"/>
      </w:pPr>
    </w:p>
    <w:p w14:paraId="227B0149" w14:textId="77777777" w:rsidR="008D479B" w:rsidRDefault="008D479B" w:rsidP="008D479B">
      <w:pPr>
        <w:pStyle w:val="TextoNormal"/>
      </w:pPr>
      <w:r>
        <w:t xml:space="preserve">a) La demanda comienza su análisis por el carácter urgente dado a la tramitación de la proposición de ley orgánica, sin audiencia a las partes implicadas y con omisión de informes relevantes, desde la perspectiva de la obligación que el art. 93 CE, </w:t>
      </w:r>
      <w:r w:rsidRPr="008D479B">
        <w:rPr>
          <w:i/>
        </w:rPr>
        <w:t>inciso final</w:t>
      </w:r>
      <w:r>
        <w:t>, impone a las Cortes Generales de garantizar el cumplimiento de los tratados y de las resoluciones emanadas de los organismos internacionales o supranacionales titulares de la cesión del ejercicio de competencias derivadas de la Constitución. En síntesis, el razonamiento se desarrolla en los siguientes términos:</w:t>
      </w:r>
    </w:p>
    <w:p w14:paraId="1AE3B36B" w14:textId="77777777" w:rsidR="008D479B" w:rsidRDefault="008D479B" w:rsidP="008D479B">
      <w:pPr>
        <w:pStyle w:val="TextoNormal"/>
      </w:pPr>
    </w:p>
    <w:p w14:paraId="0CCDE7A2" w14:textId="77777777" w:rsidR="008D479B" w:rsidRDefault="008D479B" w:rsidP="008D479B">
      <w:pPr>
        <w:pStyle w:val="TextoNormal"/>
      </w:pPr>
      <w:r>
        <w:t xml:space="preserve">(i) Los recurrentes subrayan que lo relevante a los efectos de valorar el procedimiento seguido para la tramitación de una ley, de acuerdo con uno de los estándares identificados por el Consejo de Europa y la Unión Europea (con cita del considerando tercero del Reglamento UE 2020/2092, de 16 de diciembre, sobre un régimen general de condicionalidad para la protección del presupuesto de la Unión), es que toda tramitación no debe llevarse a cabo de manera “acelerada” y debe realizarse teniendo en consideración (y oyendo) a los sectores implicados, pues de lo contrario se estaría menoscabando la confianza en el sistema legislativo y traicionando el espíritu de cooperación leal entre las instituciones del Estado que debe caracterizar a un Estado democrático regido por el Derecho. La demanda recuerda la jurisprudencia del Tribunal Europeo de Derechos Humanos que determina que todo proceso democrático tiene una doble dimensión: la formal y la material o sustancial, que inciden en la calidad del proceso legislativo [SSTEDH de 6 de octubre de 2005, asunto </w:t>
      </w:r>
      <w:r w:rsidRPr="008D479B">
        <w:rPr>
          <w:i/>
        </w:rPr>
        <w:t>Hirst c. Reino Unido</w:t>
      </w:r>
      <w:r>
        <w:t xml:space="preserve">; de 6 de octubre de 2005, asunto </w:t>
      </w:r>
      <w:r w:rsidRPr="008D479B">
        <w:rPr>
          <w:i/>
        </w:rPr>
        <w:t>Maurice c. Francia</w:t>
      </w:r>
      <w:r>
        <w:t xml:space="preserve"> (GS), demanda núm. 11810/03, y de 10 de abril de 2007, asunto </w:t>
      </w:r>
      <w:r w:rsidRPr="008D479B">
        <w:rPr>
          <w:i/>
        </w:rPr>
        <w:t>Evans c. Reino Unido</w:t>
      </w:r>
      <w:r>
        <w:t xml:space="preserve"> (GS), demanda núm. 6339/05). Concluye que la aplicación del trámite de urgencia, así como la tramitación sin audiencia de los afectados, no responde a los estándares mínimos de calidad exigidos por parte del Tribunal Europeo de Derechos Humanos. De ser sometida dicha tramitación a un control de convencionalidad, no lo superaría.</w:t>
      </w:r>
    </w:p>
    <w:p w14:paraId="610A1FF8" w14:textId="77777777" w:rsidR="008D479B" w:rsidRDefault="008D479B" w:rsidP="008D479B">
      <w:pPr>
        <w:pStyle w:val="TextoNormal"/>
      </w:pPr>
    </w:p>
    <w:p w14:paraId="242BE8D5" w14:textId="77777777" w:rsidR="008D479B" w:rsidRDefault="008D479B" w:rsidP="008D479B">
      <w:pPr>
        <w:pStyle w:val="TextoNormal"/>
      </w:pPr>
      <w:r>
        <w:t xml:space="preserve">(ii) Atendiendo a las consideraciones expuestas, los recurrentes sostienen que la tramitación acelerada —previa declaración de la urgencia </w:t>
      </w:r>
      <w:r w:rsidRPr="008D479B">
        <w:rPr>
          <w:i/>
        </w:rPr>
        <w:t>ex</w:t>
      </w:r>
      <w:r>
        <w:t xml:space="preserve"> art. 93 RCD— y con absoluta marginación de los interesados y afectados, comportó prescindir de las exigencias de “un proceso legislativo transparente, responsable, democrático y pluralista” en una materia tan profundamente sensible y delicada como es la “buena muerte” o el acto deliberado de dar fin a la vida de una persona, producido por voluntad expresa de esta y con el objetivo de evitar un sufrimiento. Se ha optado, como señala la demanda, por la tramitación urgente de una proposición de ley en lugar de un anteproyecto de ley, lo que habría implicado, </w:t>
      </w:r>
      <w:r w:rsidRPr="008D479B">
        <w:rPr>
          <w:i/>
        </w:rPr>
        <w:t>ex</w:t>
      </w:r>
      <w:r>
        <w:t xml:space="preserve"> art. 88 CE, que su redacción hubiera estado precedida de estudio y de una audiencia pública que posibilitara la participación ciudadana, así como la consulta de expertos de los sectores médicos y sanitarios afectados, tales como el Comité de Derechos Humanos de las Personas con Discapacidad de Naciones Unidas. En definitiva, si bien no se vulneró formalmente el art. 88 CE sobre la tramitación del procedimiento de elaboración de ley, al tratarse de una proposición y no de un anteproyecto, materialmente se ha evitado el relevante trámite de audiencia a los ciudadanos.</w:t>
      </w:r>
    </w:p>
    <w:p w14:paraId="03DFE27E" w14:textId="77777777" w:rsidR="008D479B" w:rsidRDefault="008D479B" w:rsidP="008D479B">
      <w:pPr>
        <w:pStyle w:val="TextoNormal"/>
      </w:pPr>
    </w:p>
    <w:p w14:paraId="7331CC8E" w14:textId="77777777" w:rsidR="008D479B" w:rsidRDefault="008D479B" w:rsidP="008D479B">
      <w:pPr>
        <w:pStyle w:val="TextoNormal"/>
      </w:pPr>
      <w:r>
        <w:t>(iii) La demanda reprocha también a la tramitación la falta de informes de algunos órganos constitucionales (Consejo de Estado o Consejo General del Poder Judicial) o relevantes por razón de la materia, como el Consejo Fiscal o el Comité de Bioética de España.</w:t>
      </w:r>
    </w:p>
    <w:p w14:paraId="7377153D" w14:textId="77777777" w:rsidR="008D479B" w:rsidRDefault="008D479B" w:rsidP="008D479B">
      <w:pPr>
        <w:pStyle w:val="TextoNormal"/>
      </w:pPr>
    </w:p>
    <w:p w14:paraId="5B9989CB" w14:textId="77777777" w:rsidR="008D479B" w:rsidRDefault="008D479B" w:rsidP="008D479B">
      <w:pPr>
        <w:pStyle w:val="TextoNormal"/>
      </w:pPr>
      <w:r>
        <w:t>En relación con el dictamen del Consejo de Estado (art. 2 de su Ley Orgánica 3/1980, de 22 de abril, y art. 3 del Real Decreto 1674/1980, de 18 de julio, por el que se aprueba su reglamento orgánico), la demanda entiende que se trata de un elemento esencial de la plenitud del ejercicio de la potestad decisoria de los miembros del Congreso de los Diputados y del Senado como órganos constitucionales que representan al pueblo español (art. 66.1 CE), y cauce fundamental de ejercicio por dichos miembros del derecho de todos a participar en los asuntos públicos directamente o por medio de representantes libremente elegidos consagrado en el art. 23 CE. Su omisión constituye, a juicio de los recurrentes, una anomalía constitucional e institucional, pues se elude la intervención de un órgano constitucional en el procedimiento de elaboración de una norma jurídica de gran relevancia y trascendencia.</w:t>
      </w:r>
    </w:p>
    <w:p w14:paraId="65FE294E" w14:textId="77777777" w:rsidR="008D479B" w:rsidRDefault="008D479B" w:rsidP="008D479B">
      <w:pPr>
        <w:pStyle w:val="TextoNormal"/>
      </w:pPr>
    </w:p>
    <w:p w14:paraId="25A06636" w14:textId="77777777" w:rsidR="008D479B" w:rsidRDefault="008D479B" w:rsidP="008D479B">
      <w:pPr>
        <w:pStyle w:val="TextoNormal"/>
      </w:pPr>
      <w:r>
        <w:t xml:space="preserve">Igualmente, se elude el informe del Consejo General del Poder Judicial en aplicación del art. 561.1, materias 6 y 8 de la Ley Orgánica del Poder Judicial (en adelante, LOPJ), y del Consejo Fiscal, </w:t>
      </w:r>
      <w:r w:rsidRPr="008D479B">
        <w:rPr>
          <w:i/>
        </w:rPr>
        <w:t>ex</w:t>
      </w:r>
      <w:r>
        <w:t xml:space="preserve"> art. 14.4 j) de la Ley 50/1981, de 30 de diciembre, por la que se regula el estatuto orgánico del Ministerio Fiscal. Señala la demanda que la tramitación como proposición de ley obvia la necesidad de recabar estos informes, hurtando un elemento sustancial para el ejercicio de su función parlamentaria a los diputados y diputadas.</w:t>
      </w:r>
    </w:p>
    <w:p w14:paraId="1890D8CC" w14:textId="77777777" w:rsidR="008D479B" w:rsidRDefault="008D479B" w:rsidP="008D479B">
      <w:pPr>
        <w:pStyle w:val="TextoNormal"/>
      </w:pPr>
    </w:p>
    <w:p w14:paraId="40FAE474" w14:textId="77777777" w:rsidR="008D479B" w:rsidRDefault="008D479B" w:rsidP="008D479B">
      <w:pPr>
        <w:pStyle w:val="TextoNormal"/>
      </w:pPr>
      <w:r>
        <w:t>Merece también reproche la falta de intervención del Comité de Bioética de España, regulado en la Ley 14/2007, de 3 de julio, de investigación biomédica, cuyo art. 78.1 a) y b) le atribuye la función de emitir informes, propuestas y recomendaciones para los poderes públicos en asuntos con implicaciones bioéticas relevantes. Si existe un caso en el que dicho comité debería haber sido escuchado es, sin duda, el relativo a la regulación de la eutanasia. No obstante, el Comité de Bioética elaboró e hizo público un informe que fue absolutamente ignorado en la tramitación parlamentaria.</w:t>
      </w:r>
    </w:p>
    <w:p w14:paraId="4B60D774" w14:textId="77777777" w:rsidR="008D479B" w:rsidRDefault="008D479B" w:rsidP="008D479B">
      <w:pPr>
        <w:pStyle w:val="TextoNormal"/>
      </w:pPr>
    </w:p>
    <w:p w14:paraId="0CF20556" w14:textId="77777777" w:rsidR="008D479B" w:rsidRDefault="008D479B" w:rsidP="008D479B">
      <w:pPr>
        <w:pStyle w:val="TextoNormal"/>
      </w:pPr>
      <w:r>
        <w:t xml:space="preserve">(iv) Concluye la demanda recordando que el Grupo Parlamentario Popular solicitó la apertura de un plazo para la comparecencia de expertos; solicitud que reiteró a la Comisión de Justicia del Congreso, siendo ambas solicitudes rechazadas. La adopción del acuerdo de tramitación urgente, sin audiencia a las partes interesadas, sin que concurrieran razones imperiosas para ello y desconociendo deliberadamente los estándares de protección del Estado de Derecho de la Unión Europea, supone un claro incumplimiento de la obligación impuesta por el art. 93 CE, </w:t>
      </w:r>
      <w:r w:rsidRPr="008D479B">
        <w:rPr>
          <w:i/>
        </w:rPr>
        <w:t>inciso final</w:t>
      </w:r>
      <w:r>
        <w:t>, a las Cortes Generales, que vicia la LORE en su conjunto.</w:t>
      </w:r>
    </w:p>
    <w:p w14:paraId="52497132" w14:textId="77777777" w:rsidR="008D479B" w:rsidRDefault="008D479B" w:rsidP="008D479B">
      <w:pPr>
        <w:pStyle w:val="TextoNormal"/>
      </w:pPr>
    </w:p>
    <w:p w14:paraId="466C141F" w14:textId="77777777" w:rsidR="008D479B" w:rsidRDefault="008D479B" w:rsidP="008D479B">
      <w:pPr>
        <w:pStyle w:val="TextoNormal"/>
      </w:pPr>
      <w:r>
        <w:t xml:space="preserve">b) A continuación, la demanda examina sucintamente los derechos fundamentales que se entienden vulnerados como consecuencia de la tramitación de la LORE: el derecho al ejercicio del cargo representativo </w:t>
      </w:r>
      <w:r w:rsidRPr="008D479B">
        <w:rPr>
          <w:i/>
        </w:rPr>
        <w:t>ex</w:t>
      </w:r>
      <w:r>
        <w:t xml:space="preserve"> art. 23.2 CE (</w:t>
      </w:r>
      <w:r w:rsidRPr="008D479B">
        <w:rPr>
          <w:i/>
        </w:rPr>
        <w:t>ius in officium</w:t>
      </w:r>
      <w:r>
        <w:t>) y el derecho de representación política de la ciudadanía en su conjunt</w:t>
      </w:r>
      <w:r w:rsidRPr="008D479B">
        <w:rPr>
          <w:i/>
        </w:rPr>
        <w:t xml:space="preserve">o </w:t>
      </w:r>
      <w:r>
        <w:t>ex art. 23.1 CE.</w:t>
      </w:r>
    </w:p>
    <w:p w14:paraId="08B7E736" w14:textId="77777777" w:rsidR="008D479B" w:rsidRDefault="008D479B" w:rsidP="008D479B">
      <w:pPr>
        <w:pStyle w:val="TextoNormal"/>
      </w:pPr>
    </w:p>
    <w:p w14:paraId="04DF9334" w14:textId="77777777" w:rsidR="008D479B" w:rsidRDefault="008D479B" w:rsidP="008D479B">
      <w:pPr>
        <w:pStyle w:val="TextoNormal"/>
      </w:pPr>
      <w:r>
        <w:t xml:space="preserve">(i) Con cita de la doctrina establecida en la STC 208/2003, de 1 de diciembre, los recurrentes alegan la vulneración del derecho fundamental al ejercicio del cargo representativo conforme a la ley, </w:t>
      </w:r>
      <w:r w:rsidRPr="008D479B">
        <w:rPr>
          <w:i/>
        </w:rPr>
        <w:t>ex</w:t>
      </w:r>
      <w:r>
        <w:t xml:space="preserve"> art. 23.2 CE, en una doble vertiente. En primer lugar, la tramitación vía proposición de ley permitió eludir, mediante un claro fraude de ley parlamentaria, la obligación jurídica, conforme al Derecho de la Unión Europea y al art. 561.1 LOPJ, de otorgar audiencia tanto al Consejo General del Poder Judicial, como a todos aquellos comités de expertos y sujetos afectados; elusión que infringe el derecho a ejercer el cargo representativo de conformidad con lo que la ley disponga. En segundo lugar, esta actuación determina una limitación del ejercicio pleno de la función representativa por no dar amparo a la solicitud de apertura de un trámite de comparecencia de expertos para informar a la comisión de justicia, y tramitar la norma, sin causa alguna, por el procedimiento de urgencia; incurriendo, además, en un evidente defecto de motivación suficiente, adecuada y no arbitraria. Conforme a lo anterior, se afirma la relevancia constitucional de la vulneración del </w:t>
      </w:r>
      <w:r w:rsidRPr="008D479B">
        <w:rPr>
          <w:i/>
        </w:rPr>
        <w:t>ius in officium</w:t>
      </w:r>
      <w:r>
        <w:t>, pues las restricciones en la función parlamentaria provocadas por la tramitación de la LORE afectaron, indudablemente, al núcleo de la función parlamentaria: esto es, a la función legislativa.</w:t>
      </w:r>
    </w:p>
    <w:p w14:paraId="0D3DCE38" w14:textId="77777777" w:rsidR="008D479B" w:rsidRDefault="008D479B" w:rsidP="008D479B">
      <w:pPr>
        <w:pStyle w:val="TextoNormal"/>
      </w:pPr>
    </w:p>
    <w:p w14:paraId="6F0CC35B" w14:textId="77777777" w:rsidR="008D479B" w:rsidRDefault="008D479B" w:rsidP="008D479B">
      <w:pPr>
        <w:pStyle w:val="TextoNormal"/>
      </w:pPr>
      <w:r>
        <w:t xml:space="preserve">(ii) En el curso de la referida vulneración del </w:t>
      </w:r>
      <w:r w:rsidRPr="008D479B">
        <w:rPr>
          <w:i/>
        </w:rPr>
        <w:t>ius in officium</w:t>
      </w:r>
      <w:r>
        <w:t xml:space="preserve"> se infringe también, a juicio de los recurrentes, el derecho fundamental a la representación política de los ciudadanos, </w:t>
      </w:r>
      <w:r w:rsidRPr="008D479B">
        <w:rPr>
          <w:i/>
        </w:rPr>
        <w:t>ex</w:t>
      </w:r>
      <w:r>
        <w:t xml:space="preserve"> art. 23.1 CE; esto es, el derecho a participar en los asuntos públicos a través de sus representantes (con cita de las SSTC 161/1988, de 20 de septiembre, FJ 6; 181/1989, de 3 de noviembre, FJ 4; 205/1990, de 13 de diciembre, FJ 4, y 177/2002, de 14 de octubre, FJ 3).</w:t>
      </w:r>
    </w:p>
    <w:p w14:paraId="7D467AD0" w14:textId="77777777" w:rsidR="008D479B" w:rsidRDefault="008D479B" w:rsidP="008D479B">
      <w:pPr>
        <w:pStyle w:val="TextoNormal"/>
      </w:pPr>
    </w:p>
    <w:p w14:paraId="3449C477" w14:textId="77777777" w:rsidR="008D479B" w:rsidRDefault="008D479B" w:rsidP="008D479B">
      <w:pPr>
        <w:pStyle w:val="TextoNormal"/>
      </w:pPr>
      <w:r>
        <w:t xml:space="preserve">(iii) La demanda concluye afirmando la vulneración de los citados derechos fundamentales amparados en el art. 23 CE, por las siguientes razones: (a) tratarse de una proposición de ley de contenido absolutamente sensible —modifica el Código penal—, cuya tramitación debería haberse adoptado por la vía del proyecto de ley, recabando el preceptivo informe del Consejo General del Poder Judicial en cumplimiento de lo estipulado en el art 561 LOPJ; (b) tramitarse durante la vigencia de uno de los estados excepcionales del art. 116 CE, contraviniendo el art. 169 CE, así como el art. 168 CE por la creación de un </w:t>
      </w:r>
      <w:r w:rsidRPr="008D479B">
        <w:rPr>
          <w:i/>
        </w:rPr>
        <w:t>pseudo</w:t>
      </w:r>
      <w:r>
        <w:t xml:space="preserve"> derecho fundamental dotado de la protección otorgada por el procedimiento especial de protección de los derechos fundamentales; (c) tramitarse de forma súbita e irreflexiva en un contexto de grave pandemia, negándose al público un debate sosegado y suficiente, y cercenándose asimismo la audiencia o comparecencia de los comités de expertos en la materia, especialmente el Comité de Bioética de España, así como el Consejo de Estado y el Consejo General del Poder Judicial, contraviniéndose por tanto los principios de buena regulación y las exigencias del Derecho de la Unión Europea; y (d) escudarse en un caso claro de fraude de ley para rechazar la audiencia imperativa de determinados órganos.</w:t>
      </w:r>
    </w:p>
    <w:p w14:paraId="3F642287" w14:textId="77777777" w:rsidR="008D479B" w:rsidRDefault="008D479B" w:rsidP="008D479B">
      <w:pPr>
        <w:pStyle w:val="TextoNormal"/>
      </w:pPr>
    </w:p>
    <w:p w14:paraId="254C2E38" w14:textId="77777777" w:rsidR="008D479B" w:rsidRDefault="008D479B" w:rsidP="008D479B">
      <w:pPr>
        <w:pStyle w:val="TextoNormal"/>
      </w:pPr>
      <w:r>
        <w:t xml:space="preserve">B) </w:t>
      </w:r>
      <w:r w:rsidRPr="008D479B">
        <w:rPr>
          <w:i/>
        </w:rPr>
        <w:t>Inconstitucionalidad de la Ley Orgánica 3/2021 por vulneración del derecho a la vida consagrado en el art. 15 CE y en el art. 2 del Convenio europeo de derechos humanos (CEDH)</w:t>
      </w:r>
    </w:p>
    <w:p w14:paraId="715285EB" w14:textId="77777777" w:rsidR="008D479B" w:rsidRDefault="008D479B" w:rsidP="008D479B">
      <w:pPr>
        <w:pStyle w:val="TextoNormal"/>
      </w:pPr>
    </w:p>
    <w:p w14:paraId="51581E8E" w14:textId="77777777" w:rsidR="008D479B" w:rsidRDefault="008D479B" w:rsidP="008D479B">
      <w:pPr>
        <w:pStyle w:val="TextoNormal"/>
      </w:pPr>
      <w:r>
        <w:t>a) La demanda comienza con una exposición preliminar sobre el derecho a la vida en la jurisprudencia del Tribunal Constitucional y del Tribunal Europeo de Derechos Humanos; exposición que se complementa con una referencia al “Informe sobre el final de la vida y la atención en el proceso de morir, en el marco del debate sobre la regulación de la eutanasia: propuestas para la reflexión y la deliberación”, de 6 de octubre de 2020, elaborado por el Comité de Bioética de España.</w:t>
      </w:r>
    </w:p>
    <w:p w14:paraId="56120E85" w14:textId="77777777" w:rsidR="008D479B" w:rsidRDefault="008D479B" w:rsidP="008D479B">
      <w:pPr>
        <w:pStyle w:val="TextoNormal"/>
      </w:pPr>
    </w:p>
    <w:p w14:paraId="380F031E" w14:textId="77777777" w:rsidR="008D479B" w:rsidRDefault="008D479B" w:rsidP="008D479B">
      <w:pPr>
        <w:pStyle w:val="TextoNormal"/>
      </w:pPr>
      <w:r>
        <w:t xml:space="preserve">(i) Con cita de las SSTC 53/1985, de 11 de abril, FJ 7; 120/1990, de 27 de junio, FJ 7, y 37/2011, de 28 de marzo, FJ 4, la demanda subraya que el art. 15 CE garantiza, además de la dimensión subjetiva del derecho a la vida, la dimensión objetiva que se traduce en la obligación del Estado de proteger la vida. El reconocimiento constitucional del derecho a la vida en el art. 15 CE constituye la proclamación de la vida misma no solo como un derecho, sino como un valor o principio; la vida como presupuesto elemental e indispensable para el ejercicio de los demás derechos (STC 53/1985, FJ 3); un </w:t>
      </w:r>
      <w:r w:rsidRPr="008D479B">
        <w:rPr>
          <w:i/>
        </w:rPr>
        <w:t>prius</w:t>
      </w:r>
      <w:r>
        <w:t xml:space="preserve"> lógico que debe ser tenido en cuenta de un modo preeminente a la hora de regular las situaciones en las que este valor entra en conflicto con otros. Es, por ello, que el Estado tiene la obligación de intervenir para proteger todas aquellas acciones de libertad que puedan dañar a terceros o a intereses de terceros.</w:t>
      </w:r>
    </w:p>
    <w:p w14:paraId="5994D6AF" w14:textId="77777777" w:rsidR="008D479B" w:rsidRDefault="008D479B" w:rsidP="008D479B">
      <w:pPr>
        <w:pStyle w:val="TextoNormal"/>
      </w:pPr>
    </w:p>
    <w:p w14:paraId="7E88EB64" w14:textId="77777777" w:rsidR="008D479B" w:rsidRDefault="008D479B" w:rsidP="008D479B">
      <w:pPr>
        <w:pStyle w:val="TextoNormal"/>
      </w:pPr>
      <w:r>
        <w:t xml:space="preserve">(ii) En la misma línea se sitúa la consolidada jurisprudencia del Tribunal Europeo de Derechos Humanos en relación con el art. 2 CEDH (se citan, entre otras, las SSTEDH de 20 de enero de 2011, asunto </w:t>
      </w:r>
      <w:r w:rsidRPr="008D479B">
        <w:rPr>
          <w:i/>
        </w:rPr>
        <w:t>Haas c. Suiza</w:t>
      </w:r>
      <w:r>
        <w:t xml:space="preserve">, § 54 y 56-58; de 19 de julio de 2012, asunto </w:t>
      </w:r>
      <w:r w:rsidRPr="008D479B">
        <w:rPr>
          <w:i/>
        </w:rPr>
        <w:t>Koch c. Alemania</w:t>
      </w:r>
      <w:r>
        <w:t xml:space="preserve">, § 70, y de 5 de junio de 2015, asunto </w:t>
      </w:r>
      <w:r w:rsidRPr="008D479B">
        <w:rPr>
          <w:i/>
        </w:rPr>
        <w:t>Lambert y otros c. Francia</w:t>
      </w:r>
      <w:r>
        <w:t>, § 117, 124, 141 y 238), y según la cual el Convenio obliga al Estado no solo a abstenerse de quitar la vida “intencionalmente” (obligaciones negativas), sino también a tomar las medidas adecuadas para salvaguardar la vida de quienes se encuentran dentro de su jurisdicción (obligaciones positivas). Subraya la demanda que, para el Tribunal Europeo de Derechos Humanos, el Convenio no solo no obliga positivamente a los Estados a facilitar cualquier tipo de suicidio sino, al contrario, obliga a aquellos Estados que hayan decidido permitir el suicidio, en ejercicio de su margen de apreciación, a restringirlo mediante procedimientos que aseguren la libre voluntad de las personas implicadas.</w:t>
      </w:r>
    </w:p>
    <w:p w14:paraId="61BE6A9D" w14:textId="77777777" w:rsidR="008D479B" w:rsidRDefault="008D479B" w:rsidP="008D479B">
      <w:pPr>
        <w:pStyle w:val="TextoNormal"/>
      </w:pPr>
    </w:p>
    <w:p w14:paraId="0C4C578C" w14:textId="77777777" w:rsidR="008D479B" w:rsidRDefault="008D479B" w:rsidP="008D479B">
      <w:pPr>
        <w:pStyle w:val="TextoNormal"/>
      </w:pPr>
      <w:r>
        <w:t>(iii) Por último, la demanda se hace eco del informe elaborado por el Comité de Bioética de España para destacar que el reconocimiento constitucional del derecho a la vida (art. 15 CE) no supone una atribución de la facultad que permite el ejercicio positivo y negativo del derecho, sino que constituye una garantía que prohíbe la violación del mismo, es decir, un instrumento de protección de la vida. En otros términos, no se reconoce la vida para que el sujeto pueda vivir, sino que se reconoce para que el sujeto pueda seguir viviendo frente a posibles ataques de terceros. Por lo tanto, hay una exigencia para el Estado de establecer un régimen penal de protección del derecho a la vida, lo que no excluye otros mecanismos de protección o, al menos, reparación como son los civiles de indemnización.</w:t>
      </w:r>
    </w:p>
    <w:p w14:paraId="657D2115" w14:textId="77777777" w:rsidR="008D479B" w:rsidRDefault="008D479B" w:rsidP="008D479B">
      <w:pPr>
        <w:pStyle w:val="TextoNormal"/>
      </w:pPr>
    </w:p>
    <w:p w14:paraId="45DC2FA9" w14:textId="77777777" w:rsidR="008D479B" w:rsidRDefault="008D479B" w:rsidP="008D479B">
      <w:pPr>
        <w:pStyle w:val="TextoNormal"/>
      </w:pPr>
      <w:r>
        <w:t>b) Continúa la demanda, con carácter previo al examen de los motivos de fondo que permiten afirmar que la LORE establece un régimen con escasas garantías para el derecho a la vida del art. 15 CE y del art. 2 CEDH, cuestionando dos aspectos de la Ley que, a su juicio, resultan total y absolutamente desconectados de la realidad: (i) el entorno regulatorio que, en el ámbito del Derecho comparado europeo, rodea a la eutanasia; y (ii) la configuración de la eutanasia como auténtico derecho fundamental, derivado de la Constitución y del CEDH.</w:t>
      </w:r>
    </w:p>
    <w:p w14:paraId="1B6438E9" w14:textId="77777777" w:rsidR="008D479B" w:rsidRDefault="008D479B" w:rsidP="008D479B">
      <w:pPr>
        <w:pStyle w:val="TextoNormal"/>
      </w:pPr>
    </w:p>
    <w:p w14:paraId="2A66ACDF" w14:textId="77777777" w:rsidR="008D479B" w:rsidRDefault="008D479B" w:rsidP="008D479B">
      <w:pPr>
        <w:pStyle w:val="TextoNormal"/>
      </w:pPr>
      <w:r>
        <w:t>(i) En contraposición con lo afirmado en preámbulo de la LORE, la demanda sostiene que la situación general en los países de nuestro entorno es diametralmente opuesta. Frente a los dos modelos de regulación contemplados en el preámbulo [(a) despenalización en casos de conducta altruista y (b) legalización de supuestos de eutanasia en determinadas condiciones], la inmensa mayoría de los países europeos (más del 90 por 100 en el caso del Consejo de Europa, o el 85 por 100 en el caso de la Unión Europea) han optado por una tercera vía: su prohibición y consiguiente sanción penal, sin perjuicio de atenuar las penas cuando las conductas se realizan a petición de la víctima y en situaciones particulares.</w:t>
      </w:r>
    </w:p>
    <w:p w14:paraId="432F0512" w14:textId="77777777" w:rsidR="008D479B" w:rsidRDefault="008D479B" w:rsidP="008D479B">
      <w:pPr>
        <w:pStyle w:val="TextoNormal"/>
      </w:pPr>
    </w:p>
    <w:p w14:paraId="697BDA5D" w14:textId="77777777" w:rsidR="008D479B" w:rsidRDefault="008D479B" w:rsidP="008D479B">
      <w:pPr>
        <w:pStyle w:val="TextoNormal"/>
      </w:pPr>
      <w:r>
        <w:t>(ii) De conformidad con el texto constitucional y con la interpretación que del mismo ha realizado el Tribunal Constitucional, se ha de desechar una configuración de la eutanasia en los términos planteados por la LORE: esto es, un presunto derecho fundamental derivado de la Constitución y del Convenio de Roma de 1950, que “obliga” al Estado a establecer un régimen jurídico de prestación de ayuda a morir. El referido derecho no solo no deriva del derecho a la vida, sino que tampoco encuentra acomodo en otras cláusulas constitucionales.</w:t>
      </w:r>
    </w:p>
    <w:p w14:paraId="5A4CC81A" w14:textId="77777777" w:rsidR="008D479B" w:rsidRDefault="008D479B" w:rsidP="008D479B">
      <w:pPr>
        <w:pStyle w:val="TextoNormal"/>
      </w:pPr>
    </w:p>
    <w:p w14:paraId="5835BB21" w14:textId="77777777" w:rsidR="008D479B" w:rsidRDefault="008D479B" w:rsidP="008D479B">
      <w:pPr>
        <w:pStyle w:val="TextoNormal"/>
      </w:pPr>
      <w:r>
        <w:t xml:space="preserve">Según la doctrina del Tribunal Constitucional, el derecho a la vida protegido por el art. 15 CE tiene un contenido de protección positiva que impide configurarlo como un derecho de voluntad o libertad que incluya o garantice el derecho a la propia muerte (SSTC 120/1990, de 27 de junio, FJ 7; 137/1990, de 19 de julio, FJ 5, y 11/1991, de 17 de enero, FJ 2). De dicha doctrina se deduce, a juicio de los recurrentes, que el individuo puede desplegar aquellas conductas que impliquen, en virtud de su derecho a decidir sobre su propio destino (de su </w:t>
      </w:r>
      <w:r w:rsidRPr="008D479B">
        <w:rPr>
          <w:i/>
        </w:rPr>
        <w:t>agere licere</w:t>
      </w:r>
      <w:r>
        <w:t>), dejar discurrir a la naturaleza y, por ejemplo, no adoptar las medidas necesarias en orden a poner remedido a una enfermedad o situación física que le encamine hacia la muerte. Por ello, el tratamiento médico es voluntario con excepciones vinculadas generalmente a la salud pública. Por tanto, del art. 15 CE no se desprende el pretendido derecho a la propia muerte, ni mucho menos un derecho prestacional en virtud del cual una persona pueda exigir del Estado o de un tercero una acción positiva que ponga fin a su vida.</w:t>
      </w:r>
    </w:p>
    <w:p w14:paraId="06ADEC92" w14:textId="77777777" w:rsidR="008D479B" w:rsidRDefault="008D479B" w:rsidP="008D479B">
      <w:pPr>
        <w:pStyle w:val="TextoNormal"/>
      </w:pPr>
    </w:p>
    <w:p w14:paraId="684C35F7" w14:textId="77777777" w:rsidR="008D479B" w:rsidRDefault="008D479B" w:rsidP="008D479B">
      <w:pPr>
        <w:pStyle w:val="TextoNormal"/>
      </w:pPr>
      <w:r>
        <w:t xml:space="preserve">La demanda alega que la interpretación realizada por el legislador español no puede asumirse a la luz del Convenio europeo y de la jurisprudencia del Tribunal Europeo de Derechos Humanos. Sostienen los recurrentes que en el preámbulo se hace una lectura errónea de la STEDH de 14 de mayo de 2013, asunto </w:t>
      </w:r>
      <w:r w:rsidRPr="008D479B">
        <w:rPr>
          <w:i/>
        </w:rPr>
        <w:t>Gross c. Suiza</w:t>
      </w:r>
      <w:r>
        <w:t xml:space="preserve">, y se obvia, además, que la misma fue dejada sin efecto por la Gran Sala. El Tribunal Europeo de Derechos Humanos ha sido contundente y constante al afirmar que el reconocimiento del derecho a la vida no incluye el derecho a disponer de ella; ni la eutanasia ni el suicidio asistido se encuentran amparados en el Convenio europeo; como afirma la STEDH de 29 de abril de 2002, asunto </w:t>
      </w:r>
      <w:r w:rsidRPr="008D479B">
        <w:rPr>
          <w:i/>
        </w:rPr>
        <w:t>Pretty c. Reino Unido</w:t>
      </w:r>
      <w:r>
        <w:t xml:space="preserve">, § 40, “no cabe derivar del artículo 2 del Convenio un derecho a morir ya sea a manos de una tercera persona o con la ayuda de los poderes públicos”. No obstante, en relación con el suicidio asistido, el Tribunal Europeo de Derechos Humanos ha confirmado que, pese a no existir conforme al Convenio obligación alguna de permitir el mismo, tal decisión podría ser posible en virtud del llamado “margen de apreciación” interno, si bien se trata de una opción minoritaria (STEDH de 19 de julio de 2012, asunto </w:t>
      </w:r>
      <w:r w:rsidRPr="008D479B">
        <w:rPr>
          <w:i/>
        </w:rPr>
        <w:t>Koch c. Alemania</w:t>
      </w:r>
      <w:r>
        <w:t>, § 70), y el margen de actuación no es ilimitado (STEDH de 5 de junio de 2015, asunt</w:t>
      </w:r>
      <w:r w:rsidRPr="008D479B">
        <w:rPr>
          <w:i/>
        </w:rPr>
        <w:t>o Lambert y otros c. Franc</w:t>
      </w:r>
      <w:r>
        <w:t>ia).</w:t>
      </w:r>
    </w:p>
    <w:p w14:paraId="18CA6D43" w14:textId="77777777" w:rsidR="008D479B" w:rsidRDefault="008D479B" w:rsidP="008D479B">
      <w:pPr>
        <w:pStyle w:val="TextoNormal"/>
      </w:pPr>
    </w:p>
    <w:p w14:paraId="6A69D866" w14:textId="77777777" w:rsidR="008D479B" w:rsidRDefault="008D479B" w:rsidP="008D479B">
      <w:pPr>
        <w:pStyle w:val="TextoNormal"/>
      </w:pPr>
      <w:r>
        <w:t>Concluye la demanda que, a la luz de la jurisprudencia del Tribunal Constitucional y del Tribunal Europeo de Derechos Humanos, las disposiciones que en la Constitución española (art. 15) y en el Convenio de Roma (art. 2) aluden a la protección jurídica de la vida no amparan derecho alguno a disponer de ella, ni mucho menos configuran un derecho fundamental en esta línea. Por otra parte, tampoco es un contenido propio del art. 15 CE la llamada “calidad de vida”; lo que protege dicho precepto es la vida en sí misma y no “determinados tipos de vida” o “determinadas calidades de existencia” o, en su caso, la implantación de cuidados paliativos que eviten sufrimientos innecesarios.</w:t>
      </w:r>
    </w:p>
    <w:p w14:paraId="7EBAAA2F" w14:textId="77777777" w:rsidR="008D479B" w:rsidRDefault="008D479B" w:rsidP="008D479B">
      <w:pPr>
        <w:pStyle w:val="TextoNormal"/>
      </w:pPr>
    </w:p>
    <w:p w14:paraId="5B483BDB" w14:textId="77777777" w:rsidR="008D479B" w:rsidRDefault="008D479B" w:rsidP="008D479B">
      <w:pPr>
        <w:pStyle w:val="TextoNormal"/>
      </w:pPr>
      <w:r>
        <w:t xml:space="preserve">c) La demanda examina, a continuación, los motivos de fondo por los que considera que el régimen jurídico configurado por la LORE es incompatible con las exigencias que demanda la protección del derecho a la vida, </w:t>
      </w:r>
      <w:r w:rsidRPr="008D479B">
        <w:rPr>
          <w:i/>
        </w:rPr>
        <w:t>ex</w:t>
      </w:r>
      <w:r>
        <w:t xml:space="preserve"> arts. 15 CE y 2 CEDH. Los motivos alegados son dos: (i) creación de un sistema incapaz de salvaguardar el derecho a la vida desde la perspectiva de los deberes positivos del Estado; y (ii) incompatibilidad del sistema diseñado con el principio de seguridad jurídica (art. 9.3 CE) y el derecho a la vida, por encontrarse plagado de conceptos jurídicos indeterminados. Cada uno de los motivos comprende, a su vez, una serie de submotivos que son objeto de desarrollo en el recurso.</w:t>
      </w:r>
    </w:p>
    <w:p w14:paraId="49264C86" w14:textId="77777777" w:rsidR="008D479B" w:rsidRDefault="008D479B" w:rsidP="008D479B">
      <w:pPr>
        <w:pStyle w:val="TextoNormal"/>
      </w:pPr>
    </w:p>
    <w:p w14:paraId="5D6E4688" w14:textId="77777777" w:rsidR="008D479B" w:rsidRDefault="008D479B" w:rsidP="008D479B">
      <w:pPr>
        <w:pStyle w:val="TextoNormal"/>
      </w:pPr>
      <w:r>
        <w:t xml:space="preserve">d) Sostienen los recurrentes que el margen de apreciación que el Tribunal Europeo de Derechos Humanos permite en relación con la regulación de la eutanasia no es ilimitado, al contrario, para poder entender que dicha regulación es compatible con las exigencias inherentes al derecho a la vida </w:t>
      </w:r>
      <w:r w:rsidRPr="008D479B">
        <w:rPr>
          <w:i/>
        </w:rPr>
        <w:t>ex</w:t>
      </w:r>
      <w:r>
        <w:t xml:space="preserve"> arts. 2 CEDH y 15 CE, por vía del art. 10.2 CE, se deben garantizar: la protección de las personas vulnerables, incluso contra actos que pongan en peligro su propia vida; las prevenciones dirigidas a evitar que una persona se quite la vida sin la garantía de que la decisión se produce “libremente y con pleno conocimiento de causa”, o que pacientes sin “capacidad de discernimiento” puedan válidamente tomar la decisión de quitarse la vida; la protección frente a “decisiones precipitadas” en este ámbito; y la implementación de medidas apropiadas para la evitación de abusos en un contexto liberalizado. El análisis de este motivo se desarrolla por la demanda mediante los siguientes submotivos:</w:t>
      </w:r>
    </w:p>
    <w:p w14:paraId="658C57C7" w14:textId="77777777" w:rsidR="008D479B" w:rsidRDefault="008D479B" w:rsidP="008D479B">
      <w:pPr>
        <w:pStyle w:val="TextoNormal"/>
      </w:pPr>
    </w:p>
    <w:p w14:paraId="1498FA92" w14:textId="77777777" w:rsidR="008D479B" w:rsidRDefault="008D479B" w:rsidP="008D479B">
      <w:pPr>
        <w:pStyle w:val="TextoNormal"/>
      </w:pPr>
      <w:r>
        <w:t>(i) Nula intervención de profesional psiquiátrico o psicológico.</w:t>
      </w:r>
    </w:p>
    <w:p w14:paraId="3DD4CAEA" w14:textId="77777777" w:rsidR="008D479B" w:rsidRDefault="008D479B" w:rsidP="008D479B">
      <w:pPr>
        <w:pStyle w:val="TextoNormal"/>
      </w:pPr>
    </w:p>
    <w:p w14:paraId="6526CD5F" w14:textId="77777777" w:rsidR="008D479B" w:rsidRDefault="008D479B" w:rsidP="008D479B">
      <w:pPr>
        <w:pStyle w:val="TextoNormal"/>
      </w:pPr>
      <w:r>
        <w:t>La LORE no exige la intervención de especialista en psiquiatría o psicología con el objeto de determinar que concurre en efecto una decisión adoptada “libremente y con pleno conocimiento de causa”. De acuerdo con el Tribunal Europeo de Derechos Humanos, el medio para satisfacer adecuadamente este requisito es la existencia de un “informe psiquiátrico completo”, que permitiría evitar “los riesgos de abuso inherentes a un sistema que facilita el acceso al suicidio asistido” configurándose, junto a otros elementos, como “un procedimiento que garanti[za] que la decisión de morir corresponde a la libre voluntad del interesado” (STED</w:t>
      </w:r>
      <w:r w:rsidRPr="008D479B">
        <w:rPr>
          <w:i/>
        </w:rPr>
        <w:t>H Haas c. Sui</w:t>
      </w:r>
      <w:r>
        <w:t>za, § 56).</w:t>
      </w:r>
    </w:p>
    <w:p w14:paraId="7D419EA6" w14:textId="77777777" w:rsidR="008D479B" w:rsidRDefault="008D479B" w:rsidP="008D479B">
      <w:pPr>
        <w:pStyle w:val="TextoNormal"/>
      </w:pPr>
    </w:p>
    <w:p w14:paraId="41C3ECC4" w14:textId="77777777" w:rsidR="008D479B" w:rsidRDefault="008D479B" w:rsidP="008D479B">
      <w:pPr>
        <w:pStyle w:val="TextoNormal"/>
      </w:pPr>
      <w:r>
        <w:t>(ii) Inexistente intervención de autoridad que permita contrastar la identidad y voluntad del paciente.</w:t>
      </w:r>
    </w:p>
    <w:p w14:paraId="1A501425" w14:textId="77777777" w:rsidR="008D479B" w:rsidRDefault="008D479B" w:rsidP="008D479B">
      <w:pPr>
        <w:pStyle w:val="TextoNormal"/>
      </w:pPr>
    </w:p>
    <w:p w14:paraId="5EFD509D" w14:textId="77777777" w:rsidR="008D479B" w:rsidRDefault="008D479B" w:rsidP="008D479B">
      <w:pPr>
        <w:pStyle w:val="TextoNormal"/>
      </w:pPr>
      <w:r>
        <w:t>Otro motivo que permite apreciar la inconstitucionalidad material del sistema diseñado es la inexistente intervención de algún tipo de autoridad pública para certificar o salvaguardar tanto la identidad como el consentimiento libre del afectado o incluso la eventual existencia o inexistencia de conflicto de intereses, de tal forma que se permita conjugar el eventual riesgo de “comisión de abusos”, muy especialmente en circunstancias en que el consentimiento ha sido prestado de forma previa o por persona que no se encuentra en condición de capacidad. La demanda señala dos posibles fórmulas para articular esta garantía: bien la del examen del paciente por un juez, en su tradicional rol (</w:t>
      </w:r>
      <w:r w:rsidRPr="008D479B">
        <w:rPr>
          <w:i/>
        </w:rPr>
        <w:t>ex</w:t>
      </w:r>
      <w:r>
        <w:t xml:space="preserve"> art. 53.2 CE) de garante de los derechos fundamentales; bien la intervención de notario, fedatario público de otra índole o incluso de un fiscal, coherentemente también con su rol en relación con la protección de los derechos fundamentales en procesos relativos a los incapaces.</w:t>
      </w:r>
    </w:p>
    <w:p w14:paraId="2BC077B0" w14:textId="77777777" w:rsidR="008D479B" w:rsidRDefault="008D479B" w:rsidP="008D479B">
      <w:pPr>
        <w:pStyle w:val="TextoNormal"/>
      </w:pPr>
    </w:p>
    <w:p w14:paraId="04043D0D" w14:textId="77777777" w:rsidR="008D479B" w:rsidRDefault="008D479B" w:rsidP="008D479B">
      <w:pPr>
        <w:pStyle w:val="TextoNormal"/>
      </w:pPr>
      <w:r>
        <w:t>(iii) Deficiente regulación del “documento de instrucciones”, “testamento vital” o documento equivalente.</w:t>
      </w:r>
    </w:p>
    <w:p w14:paraId="6484EA6F" w14:textId="77777777" w:rsidR="008D479B" w:rsidRDefault="008D479B" w:rsidP="008D479B">
      <w:pPr>
        <w:pStyle w:val="TextoNormal"/>
      </w:pPr>
    </w:p>
    <w:p w14:paraId="6DF41069" w14:textId="77777777" w:rsidR="008D479B" w:rsidRDefault="008D479B" w:rsidP="008D479B">
      <w:pPr>
        <w:pStyle w:val="TextoNormal"/>
      </w:pPr>
      <w:r>
        <w:t>La LORE también fracasa, a juicio de los recurrentes, a la hora de garantizar que la decisión se produce “libremente y con pleno conocimiento de causa”, por la deficiente regulación que el art. 5.2 hace del “consentimiento previo” y las fórmulas admitidas para el mismo; en concreto, del documento destinado a regir cuando la persona afectada no se encuentra capacitada para tomar la decisión una vez situada en el “contexto eutanásico”.</w:t>
      </w:r>
    </w:p>
    <w:p w14:paraId="2CE02449" w14:textId="77777777" w:rsidR="008D479B" w:rsidRDefault="008D479B" w:rsidP="008D479B">
      <w:pPr>
        <w:pStyle w:val="TextoNormal"/>
      </w:pPr>
    </w:p>
    <w:p w14:paraId="5C93D298" w14:textId="77777777" w:rsidR="008D479B" w:rsidRDefault="008D479B" w:rsidP="008D479B">
      <w:pPr>
        <w:pStyle w:val="TextoNormal"/>
      </w:pPr>
      <w:r>
        <w:t>La demanda alega la indefinición de los medios escritos potencialmente admisibles para cumplir tan trascendental función, que no solo pueden adoptar cualquier género de formas sino que, aparentemente, pueden emitirse y desplegar efectos, presentándose la solicitud por cualquier persona mayor de edad, o incluso del propio médico, sin mayor garantía de autenticidad del documento en cuestión, o de la existencia o no de un conflicto de intereses entre el incapaz y quien presente el documento en cuestión. Y todo ello sin entrar en los problemas interpretativos respecto del contenido de los referidos documentos, del que derivarán indudables elementos de incertidumbre. Por las razones expuestas, la demanda considera inconstitucional el art. 5.2 LORE y todos los relacionados (incluyendo el art. 6.4) por su vulneración del art. 15 CE.</w:t>
      </w:r>
    </w:p>
    <w:p w14:paraId="43679472" w14:textId="77777777" w:rsidR="008D479B" w:rsidRDefault="008D479B" w:rsidP="008D479B">
      <w:pPr>
        <w:pStyle w:val="TextoNormal"/>
      </w:pPr>
    </w:p>
    <w:p w14:paraId="391D480F" w14:textId="77777777" w:rsidR="008D479B" w:rsidRDefault="008D479B" w:rsidP="008D479B">
      <w:pPr>
        <w:pStyle w:val="TextoNormal"/>
      </w:pPr>
      <w:r>
        <w:t>(iv) Problemática respecto de la intervención de terceros en la renuncia del derecho a la vida formulada en nombre de otra persona.</w:t>
      </w:r>
    </w:p>
    <w:p w14:paraId="5BC8A18B" w14:textId="77777777" w:rsidR="008D479B" w:rsidRDefault="008D479B" w:rsidP="008D479B">
      <w:pPr>
        <w:pStyle w:val="TextoNormal"/>
      </w:pPr>
    </w:p>
    <w:p w14:paraId="278A768D" w14:textId="77777777" w:rsidR="008D479B" w:rsidRDefault="008D479B" w:rsidP="008D479B">
      <w:pPr>
        <w:pStyle w:val="TextoNormal"/>
      </w:pPr>
      <w:r>
        <w:t>De la conexión entre el art. 5.2 y el art. 6.4 LORE, la demanda deriva que un tercero tenga la facultad de provocar o activar el proceso que determinará si la vida del paciente deba llegar o no a término; supuesto que, entienden, será de importante aplicación.</w:t>
      </w:r>
    </w:p>
    <w:p w14:paraId="506CCD42" w14:textId="77777777" w:rsidR="008D479B" w:rsidRDefault="008D479B" w:rsidP="008D479B">
      <w:pPr>
        <w:pStyle w:val="TextoNormal"/>
      </w:pPr>
    </w:p>
    <w:p w14:paraId="1D16D71F" w14:textId="77777777" w:rsidR="008D479B" w:rsidRDefault="008D479B" w:rsidP="008D479B">
      <w:pPr>
        <w:pStyle w:val="TextoNormal"/>
      </w:pPr>
      <w:r>
        <w:t>En tales circunstancias, pueden concurrir intereses ajenos al mejor para la vida y situación del propio paciente (intereses sucesorios, evitar costes derivados de una larga hospitalización…), sin que ello pueda evitar que el tercero “indefinido” en cuestión decida en uno u otro sentido. Si bien ese consentimiento de tercero debe ser respaldado por una manifestación previa (en testamento vital o documento análogo), los recurrentes cuestionan que el documento puede reputarse vinculante a estos efectos, por cuanto no existe regulación uniforme en España del contenido y efectos jurídicos del referido documento.</w:t>
      </w:r>
    </w:p>
    <w:p w14:paraId="24127E96" w14:textId="77777777" w:rsidR="008D479B" w:rsidRDefault="008D479B" w:rsidP="008D479B">
      <w:pPr>
        <w:pStyle w:val="TextoNormal"/>
      </w:pPr>
    </w:p>
    <w:p w14:paraId="6A331458" w14:textId="77777777" w:rsidR="008D479B" w:rsidRDefault="008D479B" w:rsidP="008D479B">
      <w:pPr>
        <w:pStyle w:val="TextoNormal"/>
      </w:pPr>
      <w:r>
        <w:t>Además, se reprocha al párrafo segundo del art. 5.2 LORE, el permitir una completa deslegalización de los supuestos en los cuales se pueda suplir el consentimiento del paciente afectado, al remitir la valoración de su incapacidad a los protocolos de actuación que se determinen por el Consejo Interterritorial del Sistema Nacional de Salud (disposición de rango reglamentario), lo que colisiona con el art. 81.1 CE.</w:t>
      </w:r>
    </w:p>
    <w:p w14:paraId="59CC56B5" w14:textId="77777777" w:rsidR="008D479B" w:rsidRDefault="008D479B" w:rsidP="008D479B">
      <w:pPr>
        <w:pStyle w:val="TextoNormal"/>
      </w:pPr>
    </w:p>
    <w:p w14:paraId="2195F6CB" w14:textId="77777777" w:rsidR="008D479B" w:rsidRDefault="008D479B" w:rsidP="008D479B">
      <w:pPr>
        <w:pStyle w:val="TextoNormal"/>
      </w:pPr>
      <w:r>
        <w:t>Por todo ello, la demanda reputa radicalmente contrarios a las necesarias garantías del derecho a la vida (art. 15 CE) todos los preceptos de la LORE que permiten a un tercero decidir en nombre del paciente sobre su derecho a la vida, especialmente los arts. 5.2 y 6.4 analizados.</w:t>
      </w:r>
    </w:p>
    <w:p w14:paraId="0114759B" w14:textId="77777777" w:rsidR="008D479B" w:rsidRDefault="008D479B" w:rsidP="008D479B">
      <w:pPr>
        <w:pStyle w:val="TextoNormal"/>
      </w:pPr>
    </w:p>
    <w:p w14:paraId="0A2A6E75" w14:textId="77777777" w:rsidR="008D479B" w:rsidRDefault="008D479B" w:rsidP="008D479B">
      <w:pPr>
        <w:pStyle w:val="TextoNormal"/>
      </w:pPr>
      <w:r>
        <w:t>(v) No exigencia de entrevista o examen personal del paciente por la comisión de garantía y evaluación.</w:t>
      </w:r>
    </w:p>
    <w:p w14:paraId="50EDDD82" w14:textId="77777777" w:rsidR="008D479B" w:rsidRDefault="008D479B" w:rsidP="008D479B">
      <w:pPr>
        <w:pStyle w:val="TextoNormal"/>
      </w:pPr>
    </w:p>
    <w:p w14:paraId="66211697" w14:textId="77777777" w:rsidR="008D479B" w:rsidRDefault="008D479B" w:rsidP="008D479B">
      <w:pPr>
        <w:pStyle w:val="TextoNormal"/>
      </w:pPr>
      <w:r>
        <w:t>La demanda reprocha al art. 10.2 LORE configurar con carácter potestativo la entrevista o examen del solicitante por la comisión de garantía y evaluación. Sostiene que la referida entrevista habría de configurarse como imperativa si ha de otorgarse a la susodicha comisión una función de verdadera garantía de las exigencias derivadas del deber de protección del derecho a la vida en términos de la doctrina del Tribunal Europeo de Derechos Humanos.</w:t>
      </w:r>
    </w:p>
    <w:p w14:paraId="456173AD" w14:textId="77777777" w:rsidR="008D479B" w:rsidRDefault="008D479B" w:rsidP="008D479B">
      <w:pPr>
        <w:pStyle w:val="TextoNormal"/>
      </w:pPr>
    </w:p>
    <w:p w14:paraId="2B13ECE9" w14:textId="77777777" w:rsidR="008D479B" w:rsidRDefault="008D479B" w:rsidP="008D479B">
      <w:pPr>
        <w:pStyle w:val="TextoNormal"/>
      </w:pPr>
      <w:r>
        <w:t>(vi) Inexistencia de un recurso jurisdiccional frente a la autorización de la eutanasia; en particular, en relación con la eutanasia en el caso de expresión de la voluntad mediante “documento de instrucciones”, “testamento vital” o documento equivalente.</w:t>
      </w:r>
    </w:p>
    <w:p w14:paraId="2CB17AE5" w14:textId="77777777" w:rsidR="008D479B" w:rsidRDefault="008D479B" w:rsidP="008D479B">
      <w:pPr>
        <w:pStyle w:val="TextoNormal"/>
      </w:pPr>
    </w:p>
    <w:p w14:paraId="07893267" w14:textId="77777777" w:rsidR="008D479B" w:rsidRDefault="008D479B" w:rsidP="008D479B">
      <w:pPr>
        <w:pStyle w:val="TextoNormal"/>
      </w:pPr>
      <w:r>
        <w:t>La demanda cuestiona, en concreto, la constitucionalidad del art. 10.5 y la disposición adicional quinta LORE y, con carácter general, la inexistencia de un recurso general frente a la jurisdicción contencioso-administrativa, en relación con todas las decisiones —esto es, en el sentido que sean— emanadas de las llamadas comisiones de garantías y evaluación.</w:t>
      </w:r>
    </w:p>
    <w:p w14:paraId="21979B93" w14:textId="77777777" w:rsidR="008D479B" w:rsidRDefault="008D479B" w:rsidP="008D479B">
      <w:pPr>
        <w:pStyle w:val="TextoNormal"/>
      </w:pPr>
    </w:p>
    <w:p w14:paraId="63064BC7" w14:textId="77777777" w:rsidR="008D479B" w:rsidRDefault="008D479B" w:rsidP="008D479B">
      <w:pPr>
        <w:pStyle w:val="TextoNormal"/>
      </w:pPr>
      <w:r>
        <w:t>Procedimentalmente, se afirma que resulta sin duda inconstitucional el establecimiento de actos administrativos no recurribles ante la jurisdicción, por contradecir lo dispuesto en los arts. 9.1, 53.2 y 106 CE y 114 de la Ley reguladora de la jurisdicción contencioso-administrativa. En cuanto al fondo, entienden que es particularmente importante la existencia de un posible recurso contra la “autorización” de la eutanasia en aquellos casos de solicitudes no iniciadas por el solicitante sino por un tercero o por el médico responsable.</w:t>
      </w:r>
    </w:p>
    <w:p w14:paraId="2B643243" w14:textId="77777777" w:rsidR="008D479B" w:rsidRDefault="008D479B" w:rsidP="008D479B">
      <w:pPr>
        <w:pStyle w:val="TextoNormal"/>
      </w:pPr>
    </w:p>
    <w:p w14:paraId="314A86F4" w14:textId="77777777" w:rsidR="008D479B" w:rsidRDefault="008D479B" w:rsidP="008D479B">
      <w:pPr>
        <w:pStyle w:val="TextoNormal"/>
      </w:pPr>
      <w:r>
        <w:t>(vii) Insuficiente estándar de cuidados paliativos que permita despejar las presiones externas al afectado por el “contexto eutanásico”.</w:t>
      </w:r>
    </w:p>
    <w:p w14:paraId="013D9B05" w14:textId="77777777" w:rsidR="008D479B" w:rsidRDefault="008D479B" w:rsidP="008D479B">
      <w:pPr>
        <w:pStyle w:val="TextoNormal"/>
      </w:pPr>
    </w:p>
    <w:p w14:paraId="4A685CBA" w14:textId="77777777" w:rsidR="008D479B" w:rsidRDefault="008D479B" w:rsidP="008D479B">
      <w:pPr>
        <w:pStyle w:val="TextoNormal"/>
      </w:pPr>
      <w:r>
        <w:t>La demanda sostiene que la objetiva y contrastable insuficiencia de los cuidados paliativos en España puede condicionar la libertad de la decisión del paciente solicitante de la eutanasia.</w:t>
      </w:r>
    </w:p>
    <w:p w14:paraId="2007B10B" w14:textId="77777777" w:rsidR="008D479B" w:rsidRDefault="008D479B" w:rsidP="008D479B">
      <w:pPr>
        <w:pStyle w:val="TextoNormal"/>
      </w:pPr>
    </w:p>
    <w:p w14:paraId="4155375D" w14:textId="77777777" w:rsidR="008D479B" w:rsidRDefault="008D479B" w:rsidP="008D479B">
      <w:pPr>
        <w:pStyle w:val="TextoNormal"/>
      </w:pPr>
      <w:r>
        <w:t>(viii) Insuficientes garantías relativas al conflicto de intereses en relación con los centros privados y concertados.</w:t>
      </w:r>
    </w:p>
    <w:p w14:paraId="29D79B37" w14:textId="77777777" w:rsidR="008D479B" w:rsidRDefault="008D479B" w:rsidP="008D479B">
      <w:pPr>
        <w:pStyle w:val="TextoNormal"/>
      </w:pPr>
    </w:p>
    <w:p w14:paraId="5DF4AEE0" w14:textId="77777777" w:rsidR="008D479B" w:rsidRDefault="008D479B" w:rsidP="008D479B">
      <w:pPr>
        <w:pStyle w:val="TextoNormal"/>
      </w:pPr>
      <w:r>
        <w:t>A pesar de que el art. 14 LORE prevé que no podrán participar en la eutanasia “quienes resulten beneficiados” por su práctica, la demanda considera que ello no ofrece garantías suficientes. El propio precepto reconoce la posibilidad de que la misma pueda tener lugar en centros sanitarios privados o concertados, donde, como es lógico, existirá un beneficio económico en el tratamiento que puede generar indudables tensiones con el propio principio expuesto.</w:t>
      </w:r>
    </w:p>
    <w:p w14:paraId="1D6BC9DE" w14:textId="77777777" w:rsidR="008D479B" w:rsidRDefault="008D479B" w:rsidP="008D479B">
      <w:pPr>
        <w:pStyle w:val="TextoNormal"/>
      </w:pPr>
    </w:p>
    <w:p w14:paraId="0F0C5BDD" w14:textId="77777777" w:rsidR="008D479B" w:rsidRDefault="008D479B" w:rsidP="008D479B">
      <w:pPr>
        <w:pStyle w:val="TextoNormal"/>
      </w:pPr>
      <w:r>
        <w:t>(ix) Insuficiencia general de garantías respecto del consentimiento y en relación con la potencial presión externa.</w:t>
      </w:r>
    </w:p>
    <w:p w14:paraId="1D9D602B" w14:textId="77777777" w:rsidR="008D479B" w:rsidRDefault="008D479B" w:rsidP="008D479B">
      <w:pPr>
        <w:pStyle w:val="TextoNormal"/>
      </w:pPr>
    </w:p>
    <w:p w14:paraId="0F89906C" w14:textId="77777777" w:rsidR="008D479B" w:rsidRDefault="008D479B" w:rsidP="008D479B">
      <w:pPr>
        <w:pStyle w:val="TextoNormal"/>
      </w:pPr>
      <w:r>
        <w:t>La demanda subraya que la solicitud ha de ser voluntaria y, por tanto, nunca resultado de presión externa alguna y, si bien así lo prevé el art. 5.2 c), la LORE no articula las garantías suficientes para que tal cosa suceda.</w:t>
      </w:r>
    </w:p>
    <w:p w14:paraId="6E9E77A5" w14:textId="77777777" w:rsidR="008D479B" w:rsidRDefault="008D479B" w:rsidP="008D479B">
      <w:pPr>
        <w:pStyle w:val="TextoNormal"/>
      </w:pPr>
    </w:p>
    <w:p w14:paraId="4938644F" w14:textId="77777777" w:rsidR="008D479B" w:rsidRDefault="008D479B" w:rsidP="008D479B">
      <w:pPr>
        <w:pStyle w:val="TextoNormal"/>
      </w:pPr>
      <w:r>
        <w:t>Sostienen los recurrentes que no se define qué debe entenderse por “presión externa”, lo que genera un margen de discrecionalidad muy amplio. Pero más grave si cabe es la indeterminación respecto del procedimiento que deberá llevarse a cabo para efectuar la evaluación por parte de la comisión de garantía y evaluación, de acuerdo con lo previsto en los arts. 10.1 y 2 y 12 b) 6 LORE. Argumentan, en este sentido, que puede darse perfectamente el caso de que se evalúe la libertad de la solicitud y la ausencia de presiones solo con la documentación obrante en la historia clínica y sin entrevistarse ni con el solicitante ni con quienes le han asistido hasta ese momento.</w:t>
      </w:r>
    </w:p>
    <w:p w14:paraId="57EF5854" w14:textId="77777777" w:rsidR="008D479B" w:rsidRDefault="008D479B" w:rsidP="008D479B">
      <w:pPr>
        <w:pStyle w:val="TextoNormal"/>
      </w:pPr>
    </w:p>
    <w:p w14:paraId="376B1773" w14:textId="77777777" w:rsidR="008D479B" w:rsidRDefault="008D479B" w:rsidP="008D479B">
      <w:pPr>
        <w:pStyle w:val="TextoNormal"/>
      </w:pPr>
      <w:r>
        <w:t>Se contraponen en la demanda las garantías establecidas para proteger un derecho, como es la integridad física, por la legislación en materia de extracción y trasplante de órganos, con las menos rigurosas adoptadas para proteger otro más trascendente, como es el derecho a la vida.</w:t>
      </w:r>
    </w:p>
    <w:p w14:paraId="25045451" w14:textId="77777777" w:rsidR="008D479B" w:rsidRDefault="008D479B" w:rsidP="008D479B">
      <w:pPr>
        <w:pStyle w:val="TextoNormal"/>
      </w:pPr>
    </w:p>
    <w:p w14:paraId="06F33B32" w14:textId="77777777" w:rsidR="008D479B" w:rsidRDefault="008D479B" w:rsidP="008D479B">
      <w:pPr>
        <w:pStyle w:val="TextoNormal"/>
      </w:pPr>
      <w:r>
        <w:t>En definitiva, los conocimientos clínicos propios del profesional médico y los legales del jurista son necesarios, pero son igualmente insuficientes para hacer la evaluación de la libertad de la solicitud y la ausencia de presión externa. La LORE no concreta el peso que deba darse al riesgo de presión externa; es más, prácticamente consagra el principio de que la decisión es voluntaria salvo que se tenga constancia de una presión externa como causante de la solicitud. La LORE no obliga a hacer una evaluación sobre la voluntariedad de la petición, ni determina quién da fe de la voluntariedad de esa decisión.</w:t>
      </w:r>
    </w:p>
    <w:p w14:paraId="7D916203" w14:textId="77777777" w:rsidR="008D479B" w:rsidRDefault="008D479B" w:rsidP="008D479B">
      <w:pPr>
        <w:pStyle w:val="TextoNormal"/>
      </w:pPr>
    </w:p>
    <w:p w14:paraId="0834796E" w14:textId="77777777" w:rsidR="008D479B" w:rsidRDefault="008D479B" w:rsidP="008D479B">
      <w:pPr>
        <w:pStyle w:val="TextoNormal"/>
      </w:pPr>
      <w:r>
        <w:t>Se concluye que esta omisión de garantías deriva en la inconstitucionalidad de la Ley, no solo porque afecta al derecho fundamental a la vida (art. 15 CE), sino porque afecta también a otros derechos: (a) el libre desarrollo de la personalidad (art. 10.1 CE); (b) el derecho a la integridad física y moral (art. 15 CE); y (c) el derecho a la tutela judicial efectiva, sin indefensión (art. 24.1 CE). Omisión de garantías que es más lacerante en el caso de personas con discapacidad.</w:t>
      </w:r>
    </w:p>
    <w:p w14:paraId="3E005C75" w14:textId="77777777" w:rsidR="008D479B" w:rsidRDefault="008D479B" w:rsidP="008D479B">
      <w:pPr>
        <w:pStyle w:val="TextoNormal"/>
      </w:pPr>
    </w:p>
    <w:p w14:paraId="0C264BB1" w14:textId="77777777" w:rsidR="008D479B" w:rsidRDefault="008D479B" w:rsidP="008D479B">
      <w:pPr>
        <w:pStyle w:val="TextoNormal"/>
      </w:pPr>
      <w:r>
        <w:t>(x) Imposibilidad de unificación de criterios, como consecuencia del entramado competencial generado por la Ley.</w:t>
      </w:r>
    </w:p>
    <w:p w14:paraId="0D3C73E5" w14:textId="77777777" w:rsidR="008D479B" w:rsidRDefault="008D479B" w:rsidP="008D479B">
      <w:pPr>
        <w:pStyle w:val="TextoNormal"/>
      </w:pPr>
    </w:p>
    <w:p w14:paraId="2846A71B" w14:textId="77777777" w:rsidR="008D479B" w:rsidRDefault="008D479B" w:rsidP="008D479B">
      <w:pPr>
        <w:pStyle w:val="TextoNormal"/>
      </w:pPr>
      <w:r>
        <w:t>Por último, se alega la dificultad de conciliar la necesaria seguridad jurídica con el sistema competencial establecido en relación con los organismos competentes para la aplicación de la LORE: las comisiones de garantía y evaluación que creará cada comunidad autónoma, de acuerdo con los arts. 17 y 18, algunas de cuyas decisiones serán recurribles ante la jurisdicción contencioso-administrativa. En este sentido, pese a que el art. 17.5 LORE prevé un mecanismo anual de homogenización de criterios, la demanda considera que dicha homogenización no implica potestad alguna para que un órgano con competencia en todo el Estado pueda revisar en vía administrativa las decisiones individuales adoptadas por cada una de las comisiones.</w:t>
      </w:r>
    </w:p>
    <w:p w14:paraId="52BD90FA" w14:textId="77777777" w:rsidR="008D479B" w:rsidRDefault="008D479B" w:rsidP="008D479B">
      <w:pPr>
        <w:pStyle w:val="TextoNormal"/>
      </w:pPr>
    </w:p>
    <w:p w14:paraId="5CBA7589" w14:textId="77777777" w:rsidR="008D479B" w:rsidRDefault="008D479B" w:rsidP="008D479B">
      <w:pPr>
        <w:pStyle w:val="TextoNormal"/>
      </w:pPr>
      <w:r>
        <w:t>e) La demanda sostiene, con base en la doctrina del Tribunal Constitucional sobre el principio de seguridad jurídica consagrado en el art. 9.3 CE (SSTC 46/1990, de 15 de marzo, FJ 4; 150/1990, de 4 de octubre, FJ 8, y 273/2000, de 15 de noviembre, FJ 9), la infracción del mismo por la LORE en, al menos, dos ámbitos: (i) el uso de una terminología ambigua y confusa en la determinación de los sujetos y de las situaciones en las que se puede solicitar la eutanasia; y (ii) la ausencia de un contro</w:t>
      </w:r>
      <w:r w:rsidRPr="008D479B">
        <w:rPr>
          <w:i/>
        </w:rPr>
        <w:t>l ex po</w:t>
      </w:r>
      <w:r>
        <w:t>st de la norma. Cada uno de los ámbitos es objeto de desarrollo y análisis de forma detallada en el recurso.</w:t>
      </w:r>
    </w:p>
    <w:p w14:paraId="2F6DE9F2" w14:textId="77777777" w:rsidR="008D479B" w:rsidRDefault="008D479B" w:rsidP="008D479B">
      <w:pPr>
        <w:pStyle w:val="TextoNormal"/>
      </w:pPr>
    </w:p>
    <w:p w14:paraId="00697271" w14:textId="77777777" w:rsidR="008D479B" w:rsidRDefault="008D479B" w:rsidP="008D479B">
      <w:pPr>
        <w:pStyle w:val="TextoNormal"/>
      </w:pPr>
      <w:r>
        <w:t>f) En primer lugar, los recurrentes argumentan que en el sistema diseñado por la LORE existe una enorme ambigüedad (i) tanto en la determinación del denominado contexto eutanásico, de los sujetos que pueden solicitar la eutanasia y de las situaciones en las que se debe encontrar, (ii) como en la autenticación de la voluntad del paciente o (iii) del propio profesional que debe practicarla. Por otra parte, la ambigüedad puede implicar que este derecho que surge ahora sea extendido a personas, e incluso a colectivos sociales que, en principio, deberían estar excluidos de esta posibilidad. La demanda examina este problema con referencia a estos tres concretos submotivos.</w:t>
      </w:r>
    </w:p>
    <w:p w14:paraId="12F6FEF7" w14:textId="77777777" w:rsidR="008D479B" w:rsidRDefault="008D479B" w:rsidP="008D479B">
      <w:pPr>
        <w:pStyle w:val="TextoNormal"/>
      </w:pPr>
    </w:p>
    <w:p w14:paraId="7A5F9173" w14:textId="77777777" w:rsidR="008D479B" w:rsidRDefault="008D479B" w:rsidP="008D479B">
      <w:pPr>
        <w:pStyle w:val="TextoNormal"/>
      </w:pPr>
      <w:r>
        <w:t>(i) Indeterminación del significado de “contexto eutanásico”, de los sujetos y de las situaciones en las que se puede solicitar la eutanasia.</w:t>
      </w:r>
    </w:p>
    <w:p w14:paraId="436D5DDC" w14:textId="77777777" w:rsidR="008D479B" w:rsidRDefault="008D479B" w:rsidP="008D479B">
      <w:pPr>
        <w:pStyle w:val="TextoNormal"/>
      </w:pPr>
    </w:p>
    <w:p w14:paraId="2D007663" w14:textId="77777777" w:rsidR="008D479B" w:rsidRDefault="008D479B" w:rsidP="008D479B">
      <w:pPr>
        <w:pStyle w:val="TextoNormal"/>
      </w:pPr>
      <w:r>
        <w:t>La definición de lo que se entiende por “contexto eutanásico” se deriva del art. 5.1 d), en conexión con el art. 3 b) —“padecimiento grave, crónico e imposibilitante”— y c) —“enfermedad grave e incurable”— LORE. Reprocha la demanda que la configuración que hace el art. 3 b) de padecimiento “grave” e “imposibilitante” debiera implicar la imposibilidad del sujeto de valerse por sí mismo, algo que es objetivable, pero que a falta de regulación legal más precisa crea una zona gris que dará cabida a la práctica totalidad de solicitudes. Igualmente considera que la objetivación de las limitaciones que afectan a la “capacidad de expresión y relación” es muy relativa. Aun reconociendo los recurrentes que no es la voluntad de la Ley, lo cierto es que cualquier limitación de los sentidos del oído o la vista, muy frecuentes en edades avanzadas, podrían servir de causa suficiente. En la misma línea, señalan la total subjetividad del carácter intolerable del sufrimiento.</w:t>
      </w:r>
    </w:p>
    <w:p w14:paraId="4292D8D7" w14:textId="77777777" w:rsidR="008D479B" w:rsidRDefault="008D479B" w:rsidP="008D479B">
      <w:pPr>
        <w:pStyle w:val="TextoNormal"/>
      </w:pPr>
    </w:p>
    <w:p w14:paraId="2C2D88D5" w14:textId="77777777" w:rsidR="008D479B" w:rsidRDefault="008D479B" w:rsidP="008D479B">
      <w:pPr>
        <w:pStyle w:val="TextoNormal"/>
      </w:pPr>
      <w:r>
        <w:t>En relación con el art. 3 c), sostienen que es necesario definir el concepto de “gravedad” referida a una enfermedad, sin perjuicio de que su determinación quede sujeta al criterio médico. Insisten nuevamente en el carácter subjetivo de la calificación de un sufrimiento como “constante e insoportable”. Se subraya especialmente la ambigüedad e indeterminación del caso del “sufrimiento psíquico”, pues no siempre está claro qué enfermedades producen por su naturaleza sufrimientos psíquicos insoportables y porque este tipo de padecimientos tiene su origen, a menudo, en enfermedades de tipo psiquiátrico que por regla general sí son susceptibles de tratamiento. Esta situación se agrava por la ausencia en todo el proceso del dictamen de un psiquiatra o de un psicólogo clínico, sin que ello se subsane con la ambigua referencia al “médico consultor” del art. 3 d), o a un especialista en cuidados paliativos que determine con objetividad aquellos casos en los que no cabe alivio razonable.</w:t>
      </w:r>
    </w:p>
    <w:p w14:paraId="63E138F9" w14:textId="77777777" w:rsidR="008D479B" w:rsidRDefault="008D479B" w:rsidP="008D479B">
      <w:pPr>
        <w:pStyle w:val="TextoNormal"/>
      </w:pPr>
    </w:p>
    <w:p w14:paraId="612427EB" w14:textId="77777777" w:rsidR="008D479B" w:rsidRDefault="008D479B" w:rsidP="008D479B">
      <w:pPr>
        <w:pStyle w:val="TextoNormal"/>
      </w:pPr>
      <w:r>
        <w:t xml:space="preserve">Concluye la demanda que el gran error de la LORE es no haber ceñido su ámbito de aplicación a los supuestos de enfermos terminales; tanto el límite del tiempo (fase final de la vida), como el del diagnóstico (irreversibilidad de la situación) deberían confluir para garantizar una aplicación que respondiera al principio de seguridad jurídica </w:t>
      </w:r>
      <w:r w:rsidRPr="008D479B">
        <w:rPr>
          <w:i/>
        </w:rPr>
        <w:t>ex</w:t>
      </w:r>
      <w:r>
        <w:t xml:space="preserve"> art. 9.3 CE. Esta vía, entienden los recurrentes, es el modo de evitar la pendiente resbaladiza por la que pueden terminar incluyéndose situaciones no deseables (personas con discapacidad, enfermos crónicos, con demencia asociada a la edad, con trastornos psiquiátricos…) o incumpliendo la obligación del Estado de prevenir las conductas suicidas. Es por ello que la regulación de la LORE se tacha de inconstitucional al vulnerar tanto el principio de seguridad jurídica (art. 9.3 CE), como las garantías exigibles derivadas de derecho a la vida (art. 15 CE y art. 2 CEDH).</w:t>
      </w:r>
    </w:p>
    <w:p w14:paraId="31270849" w14:textId="77777777" w:rsidR="008D479B" w:rsidRDefault="008D479B" w:rsidP="008D479B">
      <w:pPr>
        <w:pStyle w:val="TextoNormal"/>
      </w:pPr>
    </w:p>
    <w:p w14:paraId="59039F37" w14:textId="77777777" w:rsidR="008D479B" w:rsidRDefault="008D479B" w:rsidP="008D479B">
      <w:pPr>
        <w:pStyle w:val="TextoNormal"/>
      </w:pPr>
      <w:r>
        <w:t>(ii) Autenticación de la voluntad del paciente.</w:t>
      </w:r>
    </w:p>
    <w:p w14:paraId="486E4E70" w14:textId="77777777" w:rsidR="008D479B" w:rsidRDefault="008D479B" w:rsidP="008D479B">
      <w:pPr>
        <w:pStyle w:val="TextoNormal"/>
      </w:pPr>
    </w:p>
    <w:p w14:paraId="617DEBDC" w14:textId="77777777" w:rsidR="008D479B" w:rsidRDefault="008D479B" w:rsidP="008D479B">
      <w:pPr>
        <w:pStyle w:val="TextoNormal"/>
      </w:pPr>
      <w:r>
        <w:t>Con carácter general, la demanda reprocha al sistema configurado por la LORE la ausencia en el procedimiento de un momento dedicado explícitamente a evaluar la falta de presiones externas sobre el enfermo: ¿cómo se puede acreditar la ausencia de presión externa?, ¿quién lo acredita? De modo más específico, la demanda concreta sus quejas respecto de varios preceptos. Así, considera tremendamente ambiguo el término “deliberación” del art. 8.1 LORE; y lo conecta con el deber de informar adecuadamente al enfermo sobre alternativas y cuidados paliativos [art. 4.2 y 5.1 b) LORE], pues entiende que es insuficiente y que no queda claro si estamos ante un proceso solamente de información o también de deliberación.</w:t>
      </w:r>
    </w:p>
    <w:p w14:paraId="207C0BA4" w14:textId="77777777" w:rsidR="008D479B" w:rsidRDefault="008D479B" w:rsidP="008D479B">
      <w:pPr>
        <w:pStyle w:val="TextoNormal"/>
      </w:pPr>
    </w:p>
    <w:p w14:paraId="11358D0E" w14:textId="77777777" w:rsidR="008D479B" w:rsidRDefault="008D479B" w:rsidP="008D479B">
      <w:pPr>
        <w:pStyle w:val="TextoNormal"/>
      </w:pPr>
      <w:r>
        <w:t xml:space="preserve">Igualmente se considera que hay un déficit de garantías derivado de la posibilidad prevista en el art. 5.1 c) </w:t>
      </w:r>
      <w:r w:rsidRPr="008D479B">
        <w:rPr>
          <w:i/>
        </w:rPr>
        <w:t>in fine</w:t>
      </w:r>
      <w:r>
        <w:t xml:space="preserve"> LORE de reducir el plazo de quince días entre las dos solicitudes “en función de las circunstancias clínicas concurrentes”. A ello se añade que la voluntad del paciente puede ser sustituida por lo que haya suscrito con anterioridad en el documento de instrucciones previas o equivalente (art. 5.2 LORE), llegando el propio médico a poder incoar de oficio el procedimiento de eutanasia, si no hubiera ninguna persona que lo hiciera (art. 6.4 LORE), lo que rompe la posición de neutralidad que este debe observar a lo largo de todo el proceso.</w:t>
      </w:r>
    </w:p>
    <w:p w14:paraId="616231CF" w14:textId="77777777" w:rsidR="008D479B" w:rsidRDefault="008D479B" w:rsidP="008D479B">
      <w:pPr>
        <w:pStyle w:val="TextoNormal"/>
      </w:pPr>
    </w:p>
    <w:p w14:paraId="086F997D" w14:textId="77777777" w:rsidR="008D479B" w:rsidRDefault="008D479B" w:rsidP="008D479B">
      <w:pPr>
        <w:pStyle w:val="TextoNormal"/>
      </w:pPr>
      <w:r>
        <w:t>También se reprocha la completa deslegalización que el párrafo segundo del art. 5.2 LORE hace de los supuestos en los cuales se permite suplir el consentimiento del paciente afectado por la valoración de su incapacidad conforme con los protocolos de actuación que se determinen por el Consejo Interterritorial del Sistema Nacional de Salud. En la misma línea, se critica la rebaja de los requisitos exigidos por el art. 6 LORE, hasta llegar a permitir la autenticación de la voluntad del paciente en ausencia de la presencia del médico responsable (art. 6.2 LORE). Especialmente grave es, a juicio de los recurrentes, que se excluye directamente a los jueces y al Ministerio Fiscal en la valoración de la capacidad de las personas, lo que contrasta con la articulación de una declaración extrajudicial de la incapacidad que deja indefenso al paciente.</w:t>
      </w:r>
    </w:p>
    <w:p w14:paraId="4D64ABE6" w14:textId="77777777" w:rsidR="008D479B" w:rsidRDefault="008D479B" w:rsidP="008D479B">
      <w:pPr>
        <w:pStyle w:val="TextoNormal"/>
      </w:pPr>
    </w:p>
    <w:p w14:paraId="69A005DA" w14:textId="77777777" w:rsidR="008D479B" w:rsidRDefault="008D479B" w:rsidP="008D479B">
      <w:pPr>
        <w:pStyle w:val="TextoNormal"/>
      </w:pPr>
      <w:r>
        <w:t>Se sostiene que deben reputarse radicalmente contrarios a la Constitución todos los preceptos de la LORE que permiten a un tercero decidir en nombre del paciente sobre su derecho a la vida, y especialmente los arts. 5.2 y 6.4.</w:t>
      </w:r>
    </w:p>
    <w:p w14:paraId="0D1FC11D" w14:textId="77777777" w:rsidR="008D479B" w:rsidRDefault="008D479B" w:rsidP="008D479B">
      <w:pPr>
        <w:pStyle w:val="TextoNormal"/>
      </w:pPr>
    </w:p>
    <w:p w14:paraId="35E2703B" w14:textId="77777777" w:rsidR="008D479B" w:rsidRDefault="008D479B" w:rsidP="008D479B">
      <w:pPr>
        <w:pStyle w:val="TextoNormal"/>
      </w:pPr>
      <w:r>
        <w:t>(iii) Indeterminación del profesional sanitario que practicará la eutanasia.</w:t>
      </w:r>
    </w:p>
    <w:p w14:paraId="3209B686" w14:textId="77777777" w:rsidR="008D479B" w:rsidRDefault="008D479B" w:rsidP="008D479B">
      <w:pPr>
        <w:pStyle w:val="TextoNormal"/>
      </w:pPr>
    </w:p>
    <w:p w14:paraId="21EAF1D1" w14:textId="77777777" w:rsidR="008D479B" w:rsidRDefault="008D479B" w:rsidP="008D479B">
      <w:pPr>
        <w:pStyle w:val="TextoNormal"/>
      </w:pPr>
      <w:r>
        <w:t>El art. 11.2 LORE se limita a aludir al médico responsable y al resto de profesionales sanitarios, sin establecer responsabilidades de los que actúen y de aquellos que pudieran objetar.</w:t>
      </w:r>
    </w:p>
    <w:p w14:paraId="6BE5356B" w14:textId="77777777" w:rsidR="008D479B" w:rsidRDefault="008D479B" w:rsidP="008D479B">
      <w:pPr>
        <w:pStyle w:val="TextoNormal"/>
      </w:pPr>
    </w:p>
    <w:p w14:paraId="2B80454D" w14:textId="77777777" w:rsidR="008D479B" w:rsidRDefault="008D479B" w:rsidP="008D479B">
      <w:pPr>
        <w:pStyle w:val="TextoNormal"/>
      </w:pPr>
      <w:r>
        <w:t xml:space="preserve">g) Con carácter adicional, la demanda analiza la ausencia de un control </w:t>
      </w:r>
      <w:r w:rsidRPr="008D479B">
        <w:rPr>
          <w:i/>
        </w:rPr>
        <w:t>ex post</w:t>
      </w:r>
      <w:r>
        <w:t xml:space="preserve"> de la norma. A juicio de los recurrentes la evaluación </w:t>
      </w:r>
      <w:r w:rsidRPr="008D479B">
        <w:rPr>
          <w:i/>
        </w:rPr>
        <w:t>ex post</w:t>
      </w:r>
      <w:r>
        <w:t xml:space="preserve"> cobraría una relevancia constitucional que tiene, por mandato del principio de seguridad jurídica (art. 9.3 CE) —además de por exigencia de las Leyes 39/2015 y 40/2015—, una ley de las características y objeto de la LORE. Evaluación que cobra más importancia si cabe dado que la LORE no está sujeta a evaluación </w:t>
      </w:r>
      <w:r w:rsidRPr="008D479B">
        <w:rPr>
          <w:i/>
        </w:rPr>
        <w:t>ex ante</w:t>
      </w:r>
      <w:r>
        <w:t xml:space="preserve"> alguna. Y se recuerda la doctrina del Tribunal Constitucional cuando declara que la exigencia del art. 9.3 CE implica que el legislador debe perseguir la claridad y no la confusión normativa, y debe huir de provocar situaciones objetivamente confusas, lo que no puede cumplirse por el legislador si al menos no evalúa la eficacia y aplicación de las leyes una vez publicadas en el “Boletín Oficial del Estado” e iniciada su vigencia (SSTC 46/1990, de 15 de marzo, FJ 4, y 273/2000, de 15 de noviembre, FJ 9). Se concluye que la LORE, al no incorporar ningún mecanismo de evaluación </w:t>
      </w:r>
      <w:r w:rsidRPr="008D479B">
        <w:rPr>
          <w:i/>
        </w:rPr>
        <w:t>ex post</w:t>
      </w:r>
      <w:r>
        <w:t>, vulnera el principio de seguridad jurídica consagrado en el art. 9.3 CE, poniendo asimismo en riesgo el derecho a la vida consagrado en el art. 15 CE y el art. 2 CEDH.</w:t>
      </w:r>
    </w:p>
    <w:p w14:paraId="66FF65A1" w14:textId="77777777" w:rsidR="008D479B" w:rsidRDefault="008D479B" w:rsidP="008D479B">
      <w:pPr>
        <w:pStyle w:val="TextoNormal"/>
      </w:pPr>
    </w:p>
    <w:p w14:paraId="6E75C21D" w14:textId="77777777" w:rsidR="008D479B" w:rsidRDefault="008D479B" w:rsidP="008D479B">
      <w:pPr>
        <w:pStyle w:val="TextoNormal"/>
      </w:pPr>
      <w:r>
        <w:t xml:space="preserve">C) </w:t>
      </w:r>
      <w:r w:rsidRPr="008D479B">
        <w:rPr>
          <w:i/>
        </w:rPr>
        <w:t>Inconstitucionalidad de la Ley Orgánica 3/2021 por vulneración de la libertad ideológica y religiosa consagrada en el art. 16 CE al restringir el derecho a la objeción de conciencia de forma desproporcionada</w:t>
      </w:r>
    </w:p>
    <w:p w14:paraId="67F9BF3C" w14:textId="77777777" w:rsidR="008D479B" w:rsidRDefault="008D479B" w:rsidP="008D479B">
      <w:pPr>
        <w:pStyle w:val="TextoNormal"/>
      </w:pPr>
    </w:p>
    <w:p w14:paraId="3AFAB8A1" w14:textId="77777777" w:rsidR="008D479B" w:rsidRDefault="008D479B" w:rsidP="008D479B">
      <w:pPr>
        <w:pStyle w:val="TextoNormal"/>
      </w:pPr>
      <w:r>
        <w:t>a) La demanda sostiene, en primer lugar, la inconstitucionalidad del art. 16.2 LORE, en el que se prevé la creación de un registro de profesionales sanitarios objetores de conciencia. Dos son los argumentos desarrollados por los recurrentes:</w:t>
      </w:r>
    </w:p>
    <w:p w14:paraId="26D7E0DC" w14:textId="77777777" w:rsidR="008D479B" w:rsidRDefault="008D479B" w:rsidP="008D479B">
      <w:pPr>
        <w:pStyle w:val="TextoNormal"/>
      </w:pPr>
    </w:p>
    <w:p w14:paraId="1508623C" w14:textId="77777777" w:rsidR="008D479B" w:rsidRDefault="008D479B" w:rsidP="008D479B">
      <w:pPr>
        <w:pStyle w:val="TextoNormal"/>
      </w:pPr>
      <w:r>
        <w:t>(i) Entienden que la creación de un registro no es la medida menos lesiva para la libertad de conciencia, ideológica y religiosa (art. 16 CE). Al contrario, su creación supone una injerencia absolutamente desproporcionada sobre la referida libertad que ampara tanto el derecho a sostener las propias ideas como a no verse obligado a comunicar públicamente las mismas.</w:t>
      </w:r>
    </w:p>
    <w:p w14:paraId="005ADDFF" w14:textId="77777777" w:rsidR="008D479B" w:rsidRDefault="008D479B" w:rsidP="008D479B">
      <w:pPr>
        <w:pStyle w:val="TextoNormal"/>
      </w:pPr>
    </w:p>
    <w:p w14:paraId="1931E84A" w14:textId="77777777" w:rsidR="008D479B" w:rsidRDefault="008D479B" w:rsidP="008D479B">
      <w:pPr>
        <w:pStyle w:val="TextoNormal"/>
      </w:pPr>
      <w:r>
        <w:t>(ii) Con base en la doctrina establecida en la STC 151/2014, de 25 de septiembre, en la que se enjuiciaba la creación en Navarra del registro de profesionales en relación con la interrupción voluntaria del embarazo al amparo de la Ley Orgánica 2/2010, de 3 de marzo, la demanda cuestiona la constitucionalidad del precepto por razones competenciales. La previsión estatal no quedaría amparada ni en el concepto de bases de sanidad constitucionalmente reconocido ni tampoco en la competencia de coordinación. El legislador estatal, al exceder el marco competencial establecido en el art. 149.1.16 CE, vulnera la competencia autonómica de desarrollo legislativo en materia de sanidad y su potestad de autoorganización. Y a mayor abundamiento, se coarta a la administración autonómica su capacidad al impedir que articule otros instrumentos, diferentes a la creación del registro, que permitan satisfacer igualmente los fines impuestos por la LORE.</w:t>
      </w:r>
    </w:p>
    <w:p w14:paraId="35264E98" w14:textId="77777777" w:rsidR="008D479B" w:rsidRDefault="008D479B" w:rsidP="008D479B">
      <w:pPr>
        <w:pStyle w:val="TextoNormal"/>
      </w:pPr>
    </w:p>
    <w:p w14:paraId="1591B204" w14:textId="77777777" w:rsidR="008D479B" w:rsidRDefault="008D479B" w:rsidP="008D479B">
      <w:pPr>
        <w:pStyle w:val="TextoNormal"/>
      </w:pPr>
      <w:r>
        <w:t>b) En segundo lugar, se reprocha al art. 16.1 LORE el establecer una restricción desproporcionada de la objeción de conciencia, en la medida en que rechaza directa y tajantemente que las personas jurídicas puedan ser titulares de dicho derecho. La argumentación se desarrolla en la demanda en los siguientes términos:</w:t>
      </w:r>
    </w:p>
    <w:p w14:paraId="372A0DFA" w14:textId="77777777" w:rsidR="008D479B" w:rsidRDefault="008D479B" w:rsidP="008D479B">
      <w:pPr>
        <w:pStyle w:val="TextoNormal"/>
      </w:pPr>
    </w:p>
    <w:p w14:paraId="35C9D826" w14:textId="77777777" w:rsidR="008D479B" w:rsidRDefault="008D479B" w:rsidP="008D479B">
      <w:pPr>
        <w:pStyle w:val="TextoNormal"/>
      </w:pPr>
      <w:r>
        <w:t xml:space="preserve">(i) La objeción de conciencia no requiere de una regulación jurídica específica para poder ser reconocida, al ser una manifestación de la libertad ideológica y religiosa </w:t>
      </w:r>
      <w:r w:rsidRPr="008D479B">
        <w:rPr>
          <w:i/>
        </w:rPr>
        <w:t>ex</w:t>
      </w:r>
      <w:r>
        <w:t xml:space="preserve"> art. 16 CE. Tal derecho existe y puede ser ejercido con independencia de que se haya dictado o no tal regulación; regulación encaminada a cubrir eventuales lagunas legales o permitir una más correcta aplicación del derecho (SSTC 89/1987, de 3 de junio, y 198/2012, de 6 de noviembre). En conclusión, la objeción de conciencia que derive de un imperativo moral del individuo, en relación, como ocurre en este caso, con el final de la vida, constituye un derecho directamente ejercitable por el objetor (STC 145/2015, de 25 de junio), sin que los límites a dicho derecho puedan ser otros que los que vengan derivados de una estricta ponderación entre derechos, debiéndose, en todo caso, respetar el contenido esencial del derecho, conforme prescribe el art. 53.1 CE.</w:t>
      </w:r>
    </w:p>
    <w:p w14:paraId="18824D9C" w14:textId="77777777" w:rsidR="008D479B" w:rsidRDefault="008D479B" w:rsidP="008D479B">
      <w:pPr>
        <w:pStyle w:val="TextoNormal"/>
      </w:pPr>
    </w:p>
    <w:p w14:paraId="4024A63B" w14:textId="77777777" w:rsidR="008D479B" w:rsidRDefault="008D479B" w:rsidP="008D479B">
      <w:pPr>
        <w:pStyle w:val="TextoNormal"/>
      </w:pPr>
      <w:r>
        <w:t>(ii) La titularidad del derecho a la objeción de conciencia de las personas jurídicas guarda, a juicio de los recurrentes, una estrecha conexión con la propia dimensión individual y colectiva de las libertades ideológica y religiosa. Dos son los argumentos que avalan el reconocimiento de la objeción de conciencia a las personas jurídicas: por una parte, de conformidad con la doctrina del Tribunal Constitucional, se trataría de un derecho que se incardina directamente en la libertad ideológica y religiosa, las cuales se reconocen expresamente tanto a favor de las personas físicas como jurídicas. Por otra parte, en nuestro ordenamiento constitucional rige, según doctrina del Tribunal Constitucional, un principio de presunción del reconocimiento de los derechos fundamentales y libertades públicas a favor de las personas jurídicas, salvo que las características y fines del derecho lo impidan (STC 139/1995, de 26 de septiembre), lo que no sucede en este caso.</w:t>
      </w:r>
    </w:p>
    <w:p w14:paraId="6EDAFA60" w14:textId="77777777" w:rsidR="008D479B" w:rsidRDefault="008D479B" w:rsidP="008D479B">
      <w:pPr>
        <w:pStyle w:val="TextoNormal"/>
      </w:pPr>
    </w:p>
    <w:p w14:paraId="22B01C67" w14:textId="77777777" w:rsidR="008D479B" w:rsidRDefault="008D479B" w:rsidP="008D479B">
      <w:pPr>
        <w:pStyle w:val="TextoNormal"/>
      </w:pPr>
      <w:r>
        <w:t>(iii) La demanda recoge, a continuación, la doctrina constitucional establecida en las SSTC 106/1996, de 12 de junio, y 145/2015, de 25 de junio, —relativas a conflictos de trabajadores sanitarios y de la enseñanza en centros religiosos por razón del ideario—, como base para sostener la dimensión colectiva, y no solo individual, de la “conciencia”. Sostienen los recurrentes que los centros sanitarios de las órdenes religiosas son titulares de la objeción de conciencia en su condición de titulares de un ideario y que dicho ideario puede imponerse a sus trabajadores, limitando la libertad de estos, cuando las actuaciones de dichos trabajadores atenten directamente contra dicho ideario, lo que tendría lugar, sin duda alguna, en el caso de la práctica de un acto eutanásico.</w:t>
      </w:r>
    </w:p>
    <w:p w14:paraId="473A2F4B" w14:textId="77777777" w:rsidR="008D479B" w:rsidRDefault="008D479B" w:rsidP="008D479B">
      <w:pPr>
        <w:pStyle w:val="TextoNormal"/>
      </w:pPr>
    </w:p>
    <w:p w14:paraId="70308228" w14:textId="77777777" w:rsidR="008D479B" w:rsidRDefault="008D479B" w:rsidP="008D479B">
      <w:pPr>
        <w:pStyle w:val="TextoNormal"/>
      </w:pPr>
      <w:r>
        <w:t xml:space="preserve">c) Por último, se aborda en la demanda la incidencia que la norma produce en la libertad profesional de organización corporativa </w:t>
      </w:r>
      <w:r w:rsidRPr="008D479B">
        <w:rPr>
          <w:i/>
        </w:rPr>
        <w:t>ex</w:t>
      </w:r>
      <w:r>
        <w:t xml:space="preserve"> arts. 35 y 36 CE, a cuyos efectos se recogen los preceptos que determinan los deberes y el papel del personal sanitario en relación con la prestación de la ayuda a morir [párrafo segundo del art. 1, art. 3 d) y g), art. 4.2 y arts. 6, 8 y 11 LORE], alterando con ello, de forma sustancial, la actividad profesional del médico; esto es, incide en la libertad de actuación médica.</w:t>
      </w:r>
    </w:p>
    <w:p w14:paraId="26B3B765" w14:textId="77777777" w:rsidR="008D479B" w:rsidRDefault="008D479B" w:rsidP="008D479B">
      <w:pPr>
        <w:pStyle w:val="TextoNormal"/>
      </w:pPr>
    </w:p>
    <w:p w14:paraId="5DA06AAC" w14:textId="77777777" w:rsidR="008D479B" w:rsidRDefault="008D479B" w:rsidP="008D479B">
      <w:pPr>
        <w:pStyle w:val="TextoNormal"/>
      </w:pPr>
      <w:r>
        <w:t>Entienden los recurrentes que la LORE confunde la libertad de conciencia con la libertad profesional del sanitario, en cuanto garantía institucional reconocida expresamente en el art. 35 CE, la cual queda modificada en su contenido esencial, al alterarse los fines propios de la medicina desde sus orígenes. Junto a la configuración de la objeción de conciencia frente al acto eutanásico como derecho fundamental, la implantación de la eutanasia, como procedimiento médico dispensable por el sistema sanitario, es un acto médico que incide directamente en el núcleo esencial de la profesión médica. No obstante, la demanda subraya que la libertad de actuación médica se encuentra delimitada por el derecho a la integridad física y moral del paciente (art. 15 CE) y del que es expresión el derecho a autorizar o rechazar el tratamiento; esto es, la libertad de actuación médica debe cohonestarse con la autonomía del paciente.</w:t>
      </w:r>
    </w:p>
    <w:p w14:paraId="3D91DF3E" w14:textId="77777777" w:rsidR="008D479B" w:rsidRDefault="008D479B" w:rsidP="008D479B">
      <w:pPr>
        <w:pStyle w:val="TextoNormal"/>
      </w:pPr>
    </w:p>
    <w:p w14:paraId="1E562634" w14:textId="77777777" w:rsidR="008D479B" w:rsidRDefault="008D479B" w:rsidP="008D479B">
      <w:pPr>
        <w:pStyle w:val="TextoNormal"/>
      </w:pPr>
      <w:r>
        <w:t>La libertad médica ostenta, en definitiva, una doble dimensión que conecta tanto con la dignidad y libre desarrollo de la personalidad del individuo (en este caso, el médico) como con los valores superiores que fundamentan nuestro orden constitucional (la libertad médica es en esencia expresión del principio de libertad) y además tiene una naturaleza instrumental que la convierte en garantía de la mejor asistencia que ha de recibir el paciente. Siendo esto así, es obvio que el sistema público de salud podrá limitar dicha libertad en función de las necesidades del interés general pero, en modo alguno, suprimir la misma o afectar a su núcleo esencial de manera que los rasgos que la caracterizan sean ya inidentificables a través de un proceso de reforma súbito, irreflexivo y en el que no se ha escuchado siquiera a los propios médicos destinatarios de la norma, como tampoco a las instituciones corporativas de la profesión adoptadas de conformidad con el art. 36 CE.</w:t>
      </w:r>
    </w:p>
    <w:p w14:paraId="457BFB15" w14:textId="77777777" w:rsidR="008D479B" w:rsidRDefault="008D479B" w:rsidP="008D479B">
      <w:pPr>
        <w:pStyle w:val="TextoNormal"/>
      </w:pPr>
    </w:p>
    <w:p w14:paraId="1B397AAD" w14:textId="77777777" w:rsidR="008D479B" w:rsidRDefault="008D479B" w:rsidP="008D479B">
      <w:pPr>
        <w:pStyle w:val="TextoNormal"/>
      </w:pPr>
      <w:r>
        <w:t xml:space="preserve">D) </w:t>
      </w:r>
      <w:r w:rsidRPr="008D479B">
        <w:rPr>
          <w:i/>
        </w:rPr>
        <w:t>Infracción por los arts. 5.1 d), 3 b), 5.2 y 9 de la Ley Orgánica 3/2021 de los arts. 10.2 y 96.1 CE, así como de los arts. 14, 15, 10.1 y 49 CE en relación con las personas con discapacidad, al promover la llamada “pendiente resbaladiza” y configurar un régimen de consentimiento anticipado incapaz de salvaguardar la protección de las personas vulnerables</w:t>
      </w:r>
    </w:p>
    <w:p w14:paraId="0BA94E15" w14:textId="77777777" w:rsidR="008D479B" w:rsidRDefault="008D479B" w:rsidP="008D479B">
      <w:pPr>
        <w:pStyle w:val="TextoNormal"/>
      </w:pPr>
    </w:p>
    <w:p w14:paraId="32E81C11" w14:textId="77777777" w:rsidR="008D479B" w:rsidRDefault="008D479B" w:rsidP="008D479B">
      <w:pPr>
        <w:pStyle w:val="TextoNormal"/>
      </w:pPr>
      <w:r>
        <w:t>Entienden los recurrentes que la discriminación respecto de las personas con discapacidad se manifiesta en dos planos: (a) supuestos habilitantes para acceder a la “prestación de ayuda a morir” [art. 5.1 d) en relación con el art. 3 b) LORE]; y (b) regulación de la eutanasia cuando existan voluntades anticipadas (art. 5.2 en relación con el art. 9 LORE).</w:t>
      </w:r>
    </w:p>
    <w:p w14:paraId="72D8A7EE" w14:textId="77777777" w:rsidR="008D479B" w:rsidRDefault="008D479B" w:rsidP="008D479B">
      <w:pPr>
        <w:pStyle w:val="TextoNormal"/>
      </w:pPr>
    </w:p>
    <w:p w14:paraId="4B83B28A" w14:textId="77777777" w:rsidR="008D479B" w:rsidRDefault="008D479B" w:rsidP="008D479B">
      <w:pPr>
        <w:pStyle w:val="TextoNormal"/>
      </w:pPr>
      <w:r>
        <w:t xml:space="preserve">a) De la conexión entre los requisitos para acceder a la prestación de la ayuda a morir [art. 5.1 d)] y la definición que de “padecimiento grave, crónico e imposibilitante” se hace en el art. 3 b) LORE, la demanda concluye que se habla con toda claridad de los elementos propios de la discapacidad: limitaciones en la autonomía física y en la capacidad de expresión y relación, y limitaciones para las actividades de la vida diaria, de forma que el sujeto no pueda “valerse por sí mismo”. Con ello, se ignora totalmente la existencia de los apoyos para la autonomía personal, exigibles </w:t>
      </w:r>
      <w:r w:rsidRPr="008D479B">
        <w:rPr>
          <w:i/>
        </w:rPr>
        <w:t>ex</w:t>
      </w:r>
      <w:r>
        <w:t xml:space="preserve"> art. 12 de la Convención sobre los derechos de las personas con discapacidad, de 13 de diciembre de 2006. Entienden los recurrentes que los preceptos cuestionados impulsan a las personas con discapacidades graves a que se planteen la opción de la terminación anticipada de su vida y siembran un peligroso germen en la sociedad en general. Es, por ello, que la regulación de la LORE resulta, en este extremo, contraria a los arts. 10.2 y 96.1 CE, al otorgar la ayuda a morir de las personas con discapacidad sin haber garantizado previamente de forma integral, en España, que cuentan con todos los apoyos necesarios para configurar y ejercer su capacidad jurídica.</w:t>
      </w:r>
    </w:p>
    <w:p w14:paraId="41A8813C" w14:textId="77777777" w:rsidR="008D479B" w:rsidRDefault="008D479B" w:rsidP="008D479B">
      <w:pPr>
        <w:pStyle w:val="TextoNormal"/>
      </w:pPr>
    </w:p>
    <w:p w14:paraId="3B968C9A" w14:textId="77777777" w:rsidR="008D479B" w:rsidRDefault="008D479B" w:rsidP="008D479B">
      <w:pPr>
        <w:pStyle w:val="TextoNormal"/>
      </w:pPr>
      <w:r>
        <w:t>Además, se reprocha de forma específica al art. 5.1 d) LORE la introducción de una discriminación por razón de discapacidad. Arguye la demanda que el cuestionado precepto estipula que las personas con discapacidad no tienen derecho a la misma protección del derecho a la vida con que cuentan el resto de las personas, implementando un estereotipo según el cual su vida tiene menos valor o calidad que la del resto. No se garantiza el acceso a los apoyos necesarios para desarrollar su vida, pero, en cambio, se garantiza la opción de terminar con ella, lo que constituye un palmario incumplimiento de lo estipulado en el art. 10 de la Convención sobre los derechos de las personas con discapacidad. Por consiguiente, se está dando forma a un modelo de discapacidad que es el que precisamente se pretende erradicar por parte de la Convención, y el cual es radicalmente opuesto al principio de igualdad del art. 14 CE, así como a la dignidad humana consagrada en el art. 10.1 CE, e inconciliable con el deber de los poderes públicos consagrado en el art. 49 CE.</w:t>
      </w:r>
    </w:p>
    <w:p w14:paraId="2BE53900" w14:textId="77777777" w:rsidR="008D479B" w:rsidRDefault="008D479B" w:rsidP="008D479B">
      <w:pPr>
        <w:pStyle w:val="TextoNormal"/>
      </w:pPr>
    </w:p>
    <w:p w14:paraId="029F3F10" w14:textId="77777777" w:rsidR="008D479B" w:rsidRDefault="008D479B" w:rsidP="008D479B">
      <w:pPr>
        <w:pStyle w:val="TextoNormal"/>
      </w:pPr>
      <w:r>
        <w:t>b) En segundo lugar, se reprocha a la exención de petición de ayuda a morir por el propio paciente, prevista en el art. 5.2 LORE (y por conexión, en el art. 9), la ausencia de las más elementales garantías que demanda la protección del derecho a la vida (art. 15 CE), en los términos configurados por la jurisprudencia del Tribunal Constitucional y el Tribunal Europeo de Derechos Humanos.</w:t>
      </w:r>
    </w:p>
    <w:p w14:paraId="506222B6" w14:textId="77777777" w:rsidR="008D479B" w:rsidRDefault="008D479B" w:rsidP="008D479B">
      <w:pPr>
        <w:pStyle w:val="TextoNormal"/>
      </w:pPr>
    </w:p>
    <w:p w14:paraId="57DDA711" w14:textId="77777777" w:rsidR="008D479B" w:rsidRDefault="008D479B" w:rsidP="008D479B">
      <w:pPr>
        <w:pStyle w:val="TextoNormal"/>
      </w:pPr>
      <w:r>
        <w:t>Razona la demanda que el hecho de que el “médico responsable”, no especialista en psiquiatría ni psicología clínica, sin intervención del juez, fiscal o fedatario público, tenga la capacidad de determinar el fin de la vida de un paciente por una manifestación anterior —que, además de no haberse regulado adecuadamente, con la inseguridad jurídica que conlleva, puede ser perfectamente interpretable—, sin que quepa recurso frente a esa trascendental y definitiva decisión, atenta claramente contra el deber del Estado de adoptar las medidas necesarias para evitar los abusos y proteger la vida de las personas vulnerables de acuerdo con el art. 15 CE.</w:t>
      </w:r>
    </w:p>
    <w:p w14:paraId="76BA2E7B" w14:textId="77777777" w:rsidR="008D479B" w:rsidRDefault="008D479B" w:rsidP="008D479B">
      <w:pPr>
        <w:pStyle w:val="TextoNormal"/>
      </w:pPr>
    </w:p>
    <w:p w14:paraId="027C377A" w14:textId="77777777" w:rsidR="008D479B" w:rsidRDefault="008D479B" w:rsidP="008D479B">
      <w:pPr>
        <w:pStyle w:val="TextoNormal"/>
      </w:pPr>
      <w:r>
        <w:t>En conclusión, el art. 5.2 LORE, en conexión con el art. 9 de la misma ley, incumple el art. 12 de la Convención sobre los derechos de las personas con discapacidad, al omitir la referencia a los apoyos necesarios que se deberían procurar para que pueda configurar su voluntad, recurriendo a las voluntades anticipadas cuando lo primero no fuera posible. E igualmente vulnera el art. 15 CE al prescindir de la voluntad, las preferencias y la decisión de la persona concernida, permitiendo que sea sustituida en la toma de decisiones en una materia tan grave como el fin irreversible de la propia vida.</w:t>
      </w:r>
    </w:p>
    <w:p w14:paraId="3F552758" w14:textId="77777777" w:rsidR="008D479B" w:rsidRDefault="008D479B" w:rsidP="008D479B">
      <w:pPr>
        <w:pStyle w:val="TextoNormal"/>
      </w:pPr>
    </w:p>
    <w:p w14:paraId="443EAED0" w14:textId="77777777" w:rsidR="008D479B" w:rsidRDefault="008D479B" w:rsidP="008D479B">
      <w:pPr>
        <w:pStyle w:val="TextoNormal"/>
      </w:pPr>
      <w:r>
        <w:t xml:space="preserve">E) </w:t>
      </w:r>
      <w:r w:rsidRPr="008D479B">
        <w:rPr>
          <w:i/>
        </w:rPr>
        <w:t>Vulneración por la disposición adicional quinta de la Ley Orgánica 3/2021 de los arts. 53.2, 168 y 169 CE, por configurar un proceso preferente y sumario para la tutela del</w:t>
      </w:r>
      <w:r>
        <w:t xml:space="preserve"> pseud</w:t>
      </w:r>
      <w:r w:rsidRPr="008D479B">
        <w:rPr>
          <w:i/>
        </w:rPr>
        <w:t>o derecho fundamental a la eutanas</w:t>
      </w:r>
      <w:r>
        <w:t>ia</w:t>
      </w:r>
    </w:p>
    <w:p w14:paraId="2EFAF8D0" w14:textId="77777777" w:rsidR="008D479B" w:rsidRDefault="008D479B" w:rsidP="008D479B">
      <w:pPr>
        <w:pStyle w:val="TextoNormal"/>
      </w:pPr>
    </w:p>
    <w:p w14:paraId="3BF0C05A" w14:textId="77777777" w:rsidR="008D479B" w:rsidRDefault="008D479B" w:rsidP="008D479B">
      <w:pPr>
        <w:pStyle w:val="TextoNormal"/>
      </w:pPr>
      <w:r>
        <w:t>Con base en la doctrina del Tribunal Constitucional (STC 154/2002, de 18 de julio), la demanda sostiene que del art. 15 CE no se desprende el pretendido derecho a la propia muerte y, mucho menos, como un derecho prestacional. En otras palabras, la privación de la propia vida o aceptación de la propia muerte no es un derecho que implique la posibilidad de exigir al Estado o a un tercero una acción positiva de apoyo. En la misma línea, el Tribunal Europeo de Derechos Humanos ha sostenido que el reconocimiento del derecho a la vida no incluye el derecho a disponer de ella; motivo por el que ni la eutanasia ni el suicidio se encuentran amparados por el CEDH (STEDH de 29 de abril de 2002, asunt</w:t>
      </w:r>
      <w:r w:rsidRPr="008D479B">
        <w:rPr>
          <w:i/>
        </w:rPr>
        <w:t>o Pretty c. Reino Uni</w:t>
      </w:r>
      <w:r>
        <w:t>do).</w:t>
      </w:r>
    </w:p>
    <w:p w14:paraId="6AE6EFCF" w14:textId="77777777" w:rsidR="008D479B" w:rsidRDefault="008D479B" w:rsidP="008D479B">
      <w:pPr>
        <w:pStyle w:val="TextoNormal"/>
      </w:pPr>
    </w:p>
    <w:p w14:paraId="7AF6B68E" w14:textId="4C7CD951" w:rsidR="008D479B" w:rsidRDefault="008D479B" w:rsidP="008D479B">
      <w:pPr>
        <w:pStyle w:val="TextoNormal"/>
      </w:pPr>
      <w:r>
        <w:t>Teniendo en cuenta que el derecho a la eutanasia no es un derecho fundamental, sino un derecho de configuración legal, la previsión de la disposición adicional quinta de la LORE, al prever el procedimiento preferente y sumario para los recursos frente a la denegación de la práctica de la eutanasia, introduce, a juicio de los recurrentes, un nuevo “</w:t>
      </w:r>
      <w:r w:rsidRPr="008D479B">
        <w:rPr>
          <w:i/>
        </w:rPr>
        <w:t>pseudo</w:t>
      </w:r>
      <w:r>
        <w:t xml:space="preserve"> derecho” dentro de la categoría de los derechos fundamentales, lo que constituye una infracción de los arts. 53.2 y 168 CE, regulador este último de los procedimientos agravados de reforma constitucional. A ello se añade la vulneración del art. 169 CE por encontrarse vigentes durante la tramitación y final aprobación de la proposición de ley orgánica sendos estados de alarma decretados con objeto de hacer frente a la Covid-19, impeditivos a todas luces de la adopción de una reforma constitucional.</w:t>
      </w:r>
    </w:p>
    <w:p w14:paraId="4A53281B" w14:textId="77777777" w:rsidR="008D479B" w:rsidRDefault="008D479B" w:rsidP="008D479B">
      <w:pPr>
        <w:pStyle w:val="TextoNormal"/>
      </w:pPr>
    </w:p>
    <w:p w14:paraId="0CA8AD7E" w14:textId="716E4122" w:rsidR="008D479B" w:rsidRDefault="008D479B" w:rsidP="008D479B">
      <w:pPr>
        <w:pStyle w:val="TextoNormal"/>
      </w:pPr>
      <w:r w:rsidRPr="008D479B">
        <w:rPr>
          <w:rStyle w:val="NumeroAFNegritaCaracter"/>
        </w:rPr>
        <w:t>2</w:t>
      </w:r>
      <w:r>
        <w:t>. Por providencia de 16 de septiembre de 2021 el Pleno acordó, a propuesta de la Sección Primera: (i) admitir a trámite el recurso de constitucionalidad; (ii) dar traslado de la demanda y documentos presentados [art. 34 de la Ley Orgánica del Tribunal Constitucional (en adelante, LOTC)] al Congreso de los Diputados y al Senado, por conducto de sus presidentes, y al Gobierno, a través de la ministra de Justicia, al objeto de que, en plazo de quince días, pudieran personarse en el proceso y formular las alegaciones que estimaren convenientes; y (iii) publicar la incoación del recurso en el “Boletín Oficial del Estado”.</w:t>
      </w:r>
    </w:p>
    <w:p w14:paraId="10356F6A" w14:textId="77777777" w:rsidR="008D479B" w:rsidRDefault="008D479B" w:rsidP="008D479B">
      <w:pPr>
        <w:pStyle w:val="TextoNormal"/>
      </w:pPr>
    </w:p>
    <w:p w14:paraId="3165F40A" w14:textId="245094DD" w:rsidR="008D479B" w:rsidRDefault="008D479B" w:rsidP="008D479B">
      <w:pPr>
        <w:pStyle w:val="TextoNormal"/>
      </w:pPr>
      <w:r w:rsidRPr="008D479B">
        <w:rPr>
          <w:rStyle w:val="NumeroAFNegritaCaracter"/>
        </w:rPr>
        <w:t>3</w:t>
      </w:r>
      <w:r>
        <w:t>. Mediante escrito de 28 de septiembre de 2021, que tuvo entrada en el registro del Tribunal el inmediato día 30, la presidenta del Congreso de los Diputados comunicó el acuerdo de la mesa en orden a: (i) personarse en el procedimiento a los solos efectos de formular alegaciones en relación con los vicios de procedimiento legislativo que se denuncian en la demanda, en lo que afecta al Congreso de los Diputados; (ii) encomendar la representación y defensa de la Cámara a la letrada de las Cortes Generales, doña Paloma Martínez Santa María, directora de la asesoría jurídica de la Secretaría General de la Cámara, con quien se entenderán las sucesivas diligencias y trámites; (iii) comunicar el acuerdo al Tribunal Constitucional y al Senado; y (iv) remitir el recurso a la dirección de estudios, análisis y publicaciones de la Secretaría General.</w:t>
      </w:r>
    </w:p>
    <w:p w14:paraId="37934686" w14:textId="77777777" w:rsidR="008D479B" w:rsidRDefault="008D479B" w:rsidP="008D479B">
      <w:pPr>
        <w:pStyle w:val="TextoNormal"/>
      </w:pPr>
    </w:p>
    <w:p w14:paraId="72421A66" w14:textId="0CB98DDA" w:rsidR="008D479B" w:rsidRDefault="008D479B" w:rsidP="008D479B">
      <w:pPr>
        <w:pStyle w:val="TextoNormal"/>
      </w:pPr>
      <w:r w:rsidRPr="008D479B">
        <w:rPr>
          <w:rStyle w:val="NumeroAFNegritaCaracter"/>
        </w:rPr>
        <w:t>4</w:t>
      </w:r>
      <w:r>
        <w:t>. Mediante escrito de 28 de septiembre de 2021, que tuvo entrada en el Tribunal el inmediato día 30, el presidente del Senado comunicó el acuerdo de la mesa en orden a que se diera por personada a la Cámara en el procedimiento y por ofrecida su colaboración a efectos del art. 88.1 LOTC.</w:t>
      </w:r>
    </w:p>
    <w:p w14:paraId="66471D2B" w14:textId="77777777" w:rsidR="008D479B" w:rsidRDefault="008D479B" w:rsidP="008D479B">
      <w:pPr>
        <w:pStyle w:val="TextoNormal"/>
      </w:pPr>
    </w:p>
    <w:p w14:paraId="43AED46E" w14:textId="32621D56" w:rsidR="008D479B" w:rsidRDefault="008D479B" w:rsidP="008D479B">
      <w:pPr>
        <w:pStyle w:val="TextoNormal"/>
      </w:pPr>
      <w:r w:rsidRPr="008D479B">
        <w:rPr>
          <w:rStyle w:val="NumeroAFNegritaCaracter"/>
        </w:rPr>
        <w:t>5</w:t>
      </w:r>
      <w:r>
        <w:t>. Mediante escrito de 4 de octubre de 2021, que tuvo entrada en el Tribunal el inmediato día 5, el abogado del Estado se personó en el procedimiento, en nombre del Gobierno, y solicitó se le concediera prórroga de ocho días más para la formulación de alegaciones. Por diligencia de ordenación del día 6 del mismo mes se tuvo por personado al abogado del Estado y se le prorrogó en ocho días más el plazo concedido para alegaciones a contar desde el siguiente al de expiración del ordinario.</w:t>
      </w:r>
    </w:p>
    <w:p w14:paraId="63F28771" w14:textId="77777777" w:rsidR="008D479B" w:rsidRDefault="008D479B" w:rsidP="008D479B">
      <w:pPr>
        <w:pStyle w:val="TextoNormal"/>
      </w:pPr>
    </w:p>
    <w:p w14:paraId="4599E38D" w14:textId="77777777" w:rsidR="008D479B" w:rsidRDefault="008D479B" w:rsidP="008D479B">
      <w:pPr>
        <w:pStyle w:val="TextoNormal"/>
      </w:pPr>
      <w:r w:rsidRPr="008D479B">
        <w:rPr>
          <w:rStyle w:val="NumeroAFNegritaCaracter"/>
        </w:rPr>
        <w:t>6</w:t>
      </w:r>
      <w:r>
        <w:t>. Por escrito de 8 de octubre de 2021, con entrada en el registro del Tribunal en la misma fecha, presentó sus alegaciones la letrada del Congreso de los Diputados. Pueden resumirse como sigue:</w:t>
      </w:r>
    </w:p>
    <w:p w14:paraId="21B49A3F" w14:textId="77777777" w:rsidR="008D479B" w:rsidRDefault="008D479B" w:rsidP="008D479B">
      <w:pPr>
        <w:pStyle w:val="TextoNormal"/>
      </w:pPr>
    </w:p>
    <w:p w14:paraId="0C6FFA6D" w14:textId="77777777" w:rsidR="008D479B" w:rsidRDefault="008D479B" w:rsidP="008D479B">
      <w:pPr>
        <w:pStyle w:val="TextoNormal"/>
      </w:pPr>
      <w:r>
        <w:t xml:space="preserve">A) </w:t>
      </w:r>
      <w:r w:rsidRPr="008D479B">
        <w:rPr>
          <w:i/>
        </w:rPr>
        <w:t>La supuesta utilización fraudulenta de la fórmula de las proposiciones de ley</w:t>
      </w:r>
    </w:p>
    <w:p w14:paraId="3CAB1454" w14:textId="77777777" w:rsidR="008D479B" w:rsidRDefault="008D479B" w:rsidP="008D479B">
      <w:pPr>
        <w:pStyle w:val="TextoNormal"/>
      </w:pPr>
    </w:p>
    <w:p w14:paraId="05C4187C" w14:textId="77777777" w:rsidR="008D479B" w:rsidRDefault="008D479B" w:rsidP="008D479B">
      <w:pPr>
        <w:pStyle w:val="TextoNormal"/>
      </w:pPr>
      <w:r>
        <w:t>En primer término, el escrito expone con detalle la tramitación parlamentaria de la proposición de ley orgánica, para a continuación señalar que el argumento principal de la demanda para sostener la existencia de un vicio de procedimiento y la vulneración del art. 23 CE se basa en la existencia de un fraude de ley respecto del tipo de procedimiento legislativo que se ha utilizado para la tramitación de la Ley impugnada.</w:t>
      </w:r>
    </w:p>
    <w:p w14:paraId="4E950996" w14:textId="77777777" w:rsidR="008D479B" w:rsidRDefault="008D479B" w:rsidP="008D479B">
      <w:pPr>
        <w:pStyle w:val="TextoNormal"/>
      </w:pPr>
    </w:p>
    <w:p w14:paraId="17752E39" w14:textId="77777777" w:rsidR="008D479B" w:rsidRDefault="008D479B" w:rsidP="008D479B">
      <w:pPr>
        <w:pStyle w:val="TextoNormal"/>
      </w:pPr>
      <w:r>
        <w:t>a) El escrito de alegaciones del Congreso de los Diputados, de forma minuciosa, pone de manifiesto las diferencias de regulación relativas a la tramitación de los proyectos y proposiciones de ley, para negar el “claro fraude de ley” al que se hace referencia en la demanda; fraude que tendría como fin evitar el pronunciamiento de determinados órganos constitucionales y comités de expertos, así como acelerar su tramitación. El escrito de alegaciones destaca que la regulación sobre las proposiciones de ley no contiene precisión alguna sobre los documentos que deben incorporarse como antecedentes, reduciéndose en la práctica a una breve relación de las normas vigentes que la proposición de ley pretende modificar, sin que, en ningún caso, se exijan dictámenes o informes con carácter preceptivo. Esta parte afirma que la demanda realiza una mutación del autor de la iniciativa, atribuyéndola sin más al Gobierno y ello sobre la única base, según los recurrentes, de determinadas “declaraciones y actos de los miembros del Gobierno” que, por otra parte, no han sido incorporadas al escrito de demanda. Por mucho que, a ojos de los demandantes, la iniciativa pueda parecer del Gobierno, el titular de esta, a efectos jurídicos, es solo el grupo que aparece como firmante en el escrito presentado en el registro general de la Cámara; esto es, el Grupo Parlamentario Socialista.</w:t>
      </w:r>
    </w:p>
    <w:p w14:paraId="5B2147C9" w14:textId="77777777" w:rsidR="008D479B" w:rsidRDefault="008D479B" w:rsidP="008D479B">
      <w:pPr>
        <w:pStyle w:val="TextoNormal"/>
      </w:pPr>
    </w:p>
    <w:p w14:paraId="7D1D9F60" w14:textId="77777777" w:rsidR="008D479B" w:rsidRDefault="008D479B" w:rsidP="008D479B">
      <w:pPr>
        <w:pStyle w:val="TextoNormal"/>
      </w:pPr>
      <w:r>
        <w:t>b) La Cámara afirma también que la figura del fraude de ley, tal y como viene definida en el Código civil, no resulta de aplicación en el ámbito del ejercicio de la iniciativa legislativa. En primer lugar, para que exista fraude, la denominada ley de cobertura (en este caso, las normas que regulan la tramitación de las proposiciones de ley parlamentarias), deberían responder a una finalidad distinta a la de la norma que se pretende evitar (en este caso, las normas que regulan la tramitación de los proyectos de ley). Sin embargo, en este caso ambas normas tienen una finalidad coincidente: el ejercicio de la iniciativa legislativa. Las normas reguladoras de la iniciativa legislativa permiten que su ejercicio provenga de distintos sujetos (el Gobierno o los grupos parlamentarios o diputados), de modo que el hecho de que la iniciativa sea ejercida por uno de estos autores no puede suponer un fraude respecto a la posibilidad de que la iniciativa pueda ser ejercida por otros autores. En consecuencia, si uno de estos autores ejerce la iniciativa legislativa ajustándose a los requisitos que marcan las normas en función de la autoría, no se puede decir que exista un fraude respecto a la aplicación de las normas previstas para el otro supuesto de autoría, porque estamos ante dos formas distintas de celebrar el mismo “negocio jurídico”. Si los diputados o los grupos parlamentarios presentan una proposición de ley no están vulnerando ninguna norma relativa a la tramitación de los proyectos de ley, simplemente estas no les resultan aplicables.</w:t>
      </w:r>
    </w:p>
    <w:p w14:paraId="40D53987" w14:textId="77777777" w:rsidR="008D479B" w:rsidRDefault="008D479B" w:rsidP="008D479B">
      <w:pPr>
        <w:pStyle w:val="TextoNormal"/>
      </w:pPr>
    </w:p>
    <w:p w14:paraId="26CCA406" w14:textId="77777777" w:rsidR="008D479B" w:rsidRDefault="008D479B" w:rsidP="008D479B">
      <w:pPr>
        <w:pStyle w:val="TextoNormal"/>
      </w:pPr>
      <w:r>
        <w:t>Tampoco se da el segundo elemento configurador del fraude, que es la obtención de un resultado prohibido o ilícito. Para los demandantes, mediante la presentación de la proposición de ley, el resultado ilícito que se persigue es la evitación de los informes preceptivos que se exigen para los proyectos de ley. Sin embargo, los dos tipos de iniciativa legislativa, gubernamental y parlamentaria, tienen sus propios requisitos de tramitación. No hay resultado ilícito desde el momento en que se permiten dos formas distintas de ejercer la iniciativa legislativa. Es más, al ejercer la iniciativa legislativa parlamentaria conforme a sus propios requisitos, los diputados o grupos no solo no están vulnerando ninguna norma, sino que están ejerciendo un derecho fundamental que ha sido reconocido como parte integrante del derecho establecido en el art. 23 CE (con cita de la STC 53/2021, de 15 de marzo, FJ 3).</w:t>
      </w:r>
    </w:p>
    <w:p w14:paraId="5F7E4A4F" w14:textId="77777777" w:rsidR="008D479B" w:rsidRDefault="008D479B" w:rsidP="008D479B">
      <w:pPr>
        <w:pStyle w:val="TextoNormal"/>
      </w:pPr>
    </w:p>
    <w:p w14:paraId="6B2EBA93" w14:textId="77777777" w:rsidR="008D479B" w:rsidRDefault="008D479B" w:rsidP="008D479B">
      <w:pPr>
        <w:pStyle w:val="TextoNormal"/>
      </w:pPr>
      <w:r>
        <w:t xml:space="preserve">Tampoco parece correcto decir, como plantea la demanda, que la única vía adecuada para regular una determinada materia, en este caso la eutanasia, deba ser siempre la iniciativa legislativa gubernamental, porque esta afirmación colisionaría con la protección otorgada por el art. 23 CE. Plantear que la regulación de la eutanasia se tiene que hacer necesariamente mediante un proyecto de ley, cuando por la materia no hay ninguna reserva </w:t>
      </w:r>
      <w:r w:rsidRPr="008D479B">
        <w:rPr>
          <w:i/>
        </w:rPr>
        <w:t>in toto</w:t>
      </w:r>
      <w:r>
        <w:t xml:space="preserve"> al Gobierno, supondría una restricción ilegítima al uso de la iniciativa legislativa parlamentaria. El uso de una u otra vía, salvo en caso de materias excepcionadas, se basa en un principio de libertad de elección de diputados o grupos parlamentarios y no modifica estas conclusiones el hecho de que la proposición de ley haya sido presentada por uno de los grupos parlamentarios que apoya al Gobierno. Si se niega dicha posibilidad a estos grupos se estaría incurriendo en una distinción o discriminación, por razón de la afiliación política del grupo, no permitida por nuestro ordenamiento, vulnerando el derecho de participación en condiciones de igualdad que reconoce el art. 23 CE. Según parece, los recurrentes consideran que los grupos mayoritarios o que apoyen al Gobierno ven anulado, por este hecho, su derecho de presentar proposiciones de ley, lo que afectaría al núcleo de la función parlamentaria, evitando su participación en la fase inicial de la función legislativa [con cita de la STC 153/2016, de 22 de septiembre, FJ 3 a)].</w:t>
      </w:r>
    </w:p>
    <w:p w14:paraId="1601837C" w14:textId="77777777" w:rsidR="008D479B" w:rsidRDefault="008D479B" w:rsidP="008D479B">
      <w:pPr>
        <w:pStyle w:val="TextoNormal"/>
      </w:pPr>
    </w:p>
    <w:p w14:paraId="3AEFB68B" w14:textId="77777777" w:rsidR="008D479B" w:rsidRDefault="008D479B" w:rsidP="008D479B">
      <w:pPr>
        <w:pStyle w:val="TextoNormal"/>
      </w:pPr>
      <w:r>
        <w:t xml:space="preserve">B) </w:t>
      </w:r>
      <w:r w:rsidRPr="008D479B">
        <w:rPr>
          <w:i/>
        </w:rPr>
        <w:t>La trascendencia de la iniciativa legislativa</w:t>
      </w:r>
    </w:p>
    <w:p w14:paraId="7F6D5488" w14:textId="77777777" w:rsidR="008D479B" w:rsidRDefault="008D479B" w:rsidP="008D479B">
      <w:pPr>
        <w:pStyle w:val="TextoNormal"/>
      </w:pPr>
    </w:p>
    <w:p w14:paraId="52BE47DA" w14:textId="77777777" w:rsidR="008D479B" w:rsidRDefault="008D479B" w:rsidP="008D479B">
      <w:pPr>
        <w:pStyle w:val="TextoNormal"/>
      </w:pPr>
      <w:r>
        <w:t>En contra de lo afirmado en la demanda, el escrito de alegaciones de la Cámara sostiene que la sensibilidad o trascendencia política, jurídica, social o de cualquier tipo de una iniciativa no determina el tipo de iniciativa legislativa ni el procedimiento de tramitación. La supuesta “sensibilidad” o “trascendencia” del contenido de una norma, son apreciaciones subjetivas, que no sirven como criterios jurídicos para determinar la mesa el procedimiento de tramitación a aplicar (cita las SSTC 96/2019, de 15 de julio, FJ 5, y 153/2016, de 22 de septiembre). Los supuestos de hecho de aplicación de cada iniciativa legislativa y de cada tipo de procedimiento legislativo están tasados en el Reglamento de la Cámara conforme a criterios objetivos de aplicación, y solo a ellos la mesa conforma su actuación en esta materia.</w:t>
      </w:r>
    </w:p>
    <w:p w14:paraId="29AFDDB7" w14:textId="77777777" w:rsidR="008D479B" w:rsidRDefault="008D479B" w:rsidP="008D479B">
      <w:pPr>
        <w:pStyle w:val="TextoNormal"/>
      </w:pPr>
    </w:p>
    <w:p w14:paraId="24DCBA32" w14:textId="77777777" w:rsidR="008D479B" w:rsidRDefault="008D479B" w:rsidP="008D479B">
      <w:pPr>
        <w:pStyle w:val="TextoNormal"/>
      </w:pPr>
      <w:r>
        <w:t>Frente al argumento de la demanda de que la mayor gravedad de la iniciativa se desprende de una reforma constitucional encubierta, la Cámara niega que con la misma se estuviera pretendiendo una reforma constitucional que requeriría su tramitación conforme a los arts. 146 y 147 RCD. Y niega igualmente, con base en otros precedentes relativos al derecho de sufragio de los extranjeros o al derecho de autodeterminación de los pueblos, que se haya producido una reforma constitucional durante la vigencia de uno de los estados contemplados en el art. 116 CE, ignorando el límite del art. 169 CE.</w:t>
      </w:r>
    </w:p>
    <w:p w14:paraId="1EA32DC5" w14:textId="77777777" w:rsidR="008D479B" w:rsidRDefault="008D479B" w:rsidP="008D479B">
      <w:pPr>
        <w:pStyle w:val="TextoNormal"/>
      </w:pPr>
    </w:p>
    <w:p w14:paraId="56F34483" w14:textId="77777777" w:rsidR="008D479B" w:rsidRDefault="008D479B" w:rsidP="008D479B">
      <w:pPr>
        <w:pStyle w:val="TextoNormal"/>
      </w:pPr>
      <w:r>
        <w:t xml:space="preserve">C) </w:t>
      </w:r>
      <w:r w:rsidRPr="008D479B">
        <w:rPr>
          <w:i/>
        </w:rPr>
        <w:t>El resultado ilícito del fraude: la evitación de los informes previos preceptivos</w:t>
      </w:r>
    </w:p>
    <w:p w14:paraId="6465C95A" w14:textId="77777777" w:rsidR="008D479B" w:rsidRDefault="008D479B" w:rsidP="008D479B">
      <w:pPr>
        <w:pStyle w:val="TextoNormal"/>
      </w:pPr>
    </w:p>
    <w:p w14:paraId="527FB7EC" w14:textId="77777777" w:rsidR="008D479B" w:rsidRDefault="008D479B" w:rsidP="008D479B">
      <w:pPr>
        <w:pStyle w:val="TextoNormal"/>
      </w:pPr>
      <w:r>
        <w:t>Descartada la existencia de un proyecto de ley encubierto, las alegaciones de la Cámara sostienen la inexigibilidad de determinados informes que serían, a juicio de los recurrentes, preceptivos.</w:t>
      </w:r>
    </w:p>
    <w:p w14:paraId="3CF625CA" w14:textId="77777777" w:rsidR="008D479B" w:rsidRDefault="008D479B" w:rsidP="008D479B">
      <w:pPr>
        <w:pStyle w:val="TextoNormal"/>
      </w:pPr>
    </w:p>
    <w:p w14:paraId="3E5C92F6" w14:textId="77777777" w:rsidR="008D479B" w:rsidRDefault="008D479B" w:rsidP="008D479B">
      <w:pPr>
        <w:pStyle w:val="TextoNormal"/>
      </w:pPr>
      <w:r>
        <w:t>a) En relación con el carácter imperativo del dictamen del Consejo de Estado, los arts. 21 y 22 de su Ley Orgánica 3/1980, de 22 de abril, no contemplan que ninguna materia de las reguladas por la impugnada Ley Orgánica deban ser informadas por este órgano consultivo.</w:t>
      </w:r>
    </w:p>
    <w:p w14:paraId="194E255C" w14:textId="77777777" w:rsidR="008D479B" w:rsidRDefault="008D479B" w:rsidP="008D479B">
      <w:pPr>
        <w:pStyle w:val="TextoNormal"/>
      </w:pPr>
    </w:p>
    <w:p w14:paraId="6E0DD348" w14:textId="77777777" w:rsidR="008D479B" w:rsidRDefault="008D479B" w:rsidP="008D479B">
      <w:pPr>
        <w:pStyle w:val="TextoNormal"/>
      </w:pPr>
      <w:r>
        <w:t>b) La Cámara destaca que los informes preceptivos del Consejo General del Poder Judicial se exigen solo en la tramitación de los proyectos de ley (art. 561.1 LOPJ), no debiendo exigirse a las proposiciones de ley los requisitos de los proyectos. No obstante, se afirma que incluso en el caso de que la iniciativa hubiera provenido de un proyecto de ley, no hubiera sido preceptivo el informe al no darse los supuestos previstos en los números 6 y 8 del art. 561.1 LOPJ.</w:t>
      </w:r>
    </w:p>
    <w:p w14:paraId="00ADFE2D" w14:textId="77777777" w:rsidR="008D479B" w:rsidRDefault="008D479B" w:rsidP="008D479B">
      <w:pPr>
        <w:pStyle w:val="TextoNormal"/>
      </w:pPr>
    </w:p>
    <w:p w14:paraId="0BB7660B" w14:textId="77777777" w:rsidR="008D479B" w:rsidRDefault="008D479B" w:rsidP="008D479B">
      <w:pPr>
        <w:pStyle w:val="TextoNormal"/>
      </w:pPr>
      <w:r>
        <w:t>Por una parte, la LORE no es una norma procesal por la que se regulen los trámites y aspectos que deben llevarse a cabo y respetarse para el ejercicio de la potestad jurisdiccional. Solamente se hacen tres referencias procesales [arts. 10.5 y 18 a) y disposición adicional quinta], que se limitan a establecer vías de impugnación, pero no incide en ningún aspecto jurídico-constitucional de la tutela de derechos fundamentales ante los tribunales ordinarios.</w:t>
      </w:r>
    </w:p>
    <w:p w14:paraId="44CF9382" w14:textId="77777777" w:rsidR="008D479B" w:rsidRDefault="008D479B" w:rsidP="008D479B">
      <w:pPr>
        <w:pStyle w:val="TextoNormal"/>
      </w:pPr>
    </w:p>
    <w:p w14:paraId="5664D137" w14:textId="77777777" w:rsidR="008D479B" w:rsidRDefault="008D479B" w:rsidP="008D479B">
      <w:pPr>
        <w:pStyle w:val="TextoNormal"/>
      </w:pPr>
      <w:r>
        <w:t>Por otra parte, la LORE tampoco es una norma penal que regule de forma general, frontal y directa los aspectos delictivos de una acción y sus consecuencias jurídicas. Sin negar la importancia de la disposición final primera, argumenta la Cámara que su objeto es una simple despenalización y que esta se produce como consecuencia de la nueva regulación que la norma supone.</w:t>
      </w:r>
    </w:p>
    <w:p w14:paraId="48470058" w14:textId="77777777" w:rsidR="008D479B" w:rsidRDefault="008D479B" w:rsidP="008D479B">
      <w:pPr>
        <w:pStyle w:val="TextoNormal"/>
      </w:pPr>
    </w:p>
    <w:p w14:paraId="3B5ACD89" w14:textId="77777777" w:rsidR="008D479B" w:rsidRDefault="008D479B" w:rsidP="008D479B">
      <w:pPr>
        <w:pStyle w:val="TextoNormal"/>
      </w:pPr>
      <w:r>
        <w:t>c) En relación con el informe del Ministerio Fiscal, las alegaciones de la Cámara subrayan, además del error en el precepto citado por la demanda, que dicho informe no es necesario porque la LORE no contiene ninguna referencia relativa a la estructura, organización y funciones del Ministerio Fiscal.</w:t>
      </w:r>
    </w:p>
    <w:p w14:paraId="7F4EBB5C" w14:textId="77777777" w:rsidR="008D479B" w:rsidRDefault="008D479B" w:rsidP="008D479B">
      <w:pPr>
        <w:pStyle w:val="TextoNormal"/>
      </w:pPr>
    </w:p>
    <w:p w14:paraId="1D93CBF9" w14:textId="77777777" w:rsidR="008D479B" w:rsidRDefault="008D479B" w:rsidP="008D479B">
      <w:pPr>
        <w:pStyle w:val="TextoNormal"/>
      </w:pPr>
      <w:r>
        <w:t>d) Por último la demanda alude al informe del Comité de Bioética de España, cuya regulación se encuentra en la Ley 14/2007, de 3 de julio, de investigación biomédica. La Cámara recuerda que al haberse iniciado la tramitación de la LORE por medio de una proposición de ley y no a través de un anteproyecto, estos informes no resultan preceptivos en sentido estrictamente jurídico. No hay pues obligación alguna de recabar este informe del Comité, sin que, por ello, se incurra en fraude de ley.</w:t>
      </w:r>
    </w:p>
    <w:p w14:paraId="3699DB43" w14:textId="77777777" w:rsidR="008D479B" w:rsidRDefault="008D479B" w:rsidP="008D479B">
      <w:pPr>
        <w:pStyle w:val="TextoNormal"/>
      </w:pPr>
    </w:p>
    <w:p w14:paraId="2F294661" w14:textId="77777777" w:rsidR="008D479B" w:rsidRDefault="008D479B" w:rsidP="008D479B">
      <w:pPr>
        <w:pStyle w:val="TextoNormal"/>
      </w:pPr>
      <w:r>
        <w:t>D</w:t>
      </w:r>
      <w:r w:rsidRPr="008D479B">
        <w:rPr>
          <w:i/>
        </w:rPr>
        <w:t>) La tramitación urgen</w:t>
      </w:r>
      <w:r>
        <w:t>te</w:t>
      </w:r>
    </w:p>
    <w:p w14:paraId="3F071B39" w14:textId="77777777" w:rsidR="008D479B" w:rsidRDefault="008D479B" w:rsidP="008D479B">
      <w:pPr>
        <w:pStyle w:val="TextoNormal"/>
      </w:pPr>
    </w:p>
    <w:p w14:paraId="705CB18E" w14:textId="77777777" w:rsidR="008D479B" w:rsidRDefault="008D479B" w:rsidP="008D479B">
      <w:pPr>
        <w:pStyle w:val="TextoNormal"/>
      </w:pPr>
      <w:r>
        <w:t>Se reprocha por parte de la demanda que la tramitación de la Ley ha venido marcada por una urgencia —</w:t>
      </w:r>
      <w:r w:rsidRPr="008D479B">
        <w:rPr>
          <w:i/>
        </w:rPr>
        <w:t>ex</w:t>
      </w:r>
      <w:r>
        <w:t xml:space="preserve"> art. 93 RCD— injustificada que comportó prescindir de las exigencias de un proceso legislativo trasparente, responsable, democrático y pluralista. Sin embargo, la Cámara sostiene que la proposición de ley se tramitó mediante procedimiento ordinario, sin recurrir al art. 93 RCD, lo cual hubiera requerido un acuerdo específico de la mesa de la Cámara.</w:t>
      </w:r>
    </w:p>
    <w:p w14:paraId="3F10AF95" w14:textId="77777777" w:rsidR="008D479B" w:rsidRDefault="008D479B" w:rsidP="008D479B">
      <w:pPr>
        <w:pStyle w:val="TextoNormal"/>
      </w:pPr>
    </w:p>
    <w:p w14:paraId="298C4C6E" w14:textId="77777777" w:rsidR="008D479B" w:rsidRDefault="008D479B" w:rsidP="008D479B">
      <w:pPr>
        <w:pStyle w:val="TextoNormal"/>
      </w:pPr>
      <w:r>
        <w:t>Sobre la base de la práctica parlamentaria, el escrito de alegaciones de la Cámara señala que no hay una regulación tasada en su Reglamento de los tiempos de tramitación de las proposiciones de ley; tampoco hay un tiempo prefijado de meses que tenga que durar la tramitación, de forma que se pudiera concluir que las tramitadas en tiempo inferior han infringido el Reglamento. Salvo algunos plazos fijados por el Reglamento, la mayoría de los trámites quedan abiertos y no tienen plazo, lo cual responde a la lógica de funcionamiento de los órganos parlamentarios. Que un asunto se someta al pleno o que la ponencia o la comisión se reúnan, no lo puede fijar el Reglamento, sino que depende de la discrecionalidad política que tienen los órganos parlamentarios para decidir cuándo se reúnen y los asuntos a incluir en los órdenes del día. A ello se une que lo característico del Congreso, a diferencia del Senado, es que no existe un tiempo máximo de tramitación. De todo ello se deduce que es muy difícil llegar a algún tipo de conclusión sobre qué se puede considerar como una tramitación apresurada o acelerada en el Congreso (siete meses, en este caso), ya que no hay un parámetro de referencia.</w:t>
      </w:r>
    </w:p>
    <w:p w14:paraId="351CE982" w14:textId="77777777" w:rsidR="008D479B" w:rsidRDefault="008D479B" w:rsidP="008D479B">
      <w:pPr>
        <w:pStyle w:val="TextoNormal"/>
      </w:pPr>
    </w:p>
    <w:p w14:paraId="40973F13" w14:textId="77777777" w:rsidR="008D479B" w:rsidRDefault="008D479B" w:rsidP="008D479B">
      <w:pPr>
        <w:pStyle w:val="TextoNormal"/>
      </w:pPr>
      <w:r>
        <w:t>Por otra parte, la afirmación de la demanda de que el uso de la fórmula de la proposición de ley tenía como fin “acelerar su tramitación evitando un debate profundo sobre la propuesta en cuestión”, no parece correcta. La supuesta aceleración nada tiene que ver con la no celebración de comparecencias. Estas no se celebraron, no por una cuestión de falta de tiempo, sino porque no se acordaron por la mesa de la comisión de Justicia.</w:t>
      </w:r>
    </w:p>
    <w:p w14:paraId="26FC5B25" w14:textId="77777777" w:rsidR="008D479B" w:rsidRDefault="008D479B" w:rsidP="008D479B">
      <w:pPr>
        <w:pStyle w:val="TextoNormal"/>
      </w:pPr>
    </w:p>
    <w:p w14:paraId="77B5B243" w14:textId="77777777" w:rsidR="008D479B" w:rsidRDefault="008D479B" w:rsidP="008D479B">
      <w:pPr>
        <w:pStyle w:val="TextoNormal"/>
      </w:pPr>
      <w:r>
        <w:t xml:space="preserve">E) </w:t>
      </w:r>
      <w:r w:rsidRPr="008D479B">
        <w:rPr>
          <w:i/>
        </w:rPr>
        <w:t>La denegación de audiencia de los interesados: los acuerdos de la mesa del Congreso de 20 de octubre de 2020 y de la comisión de Justicia de 18 de noviembre de</w:t>
      </w:r>
      <w:r>
        <w:t xml:space="preserve"> 2020</w:t>
      </w:r>
    </w:p>
    <w:p w14:paraId="4D629200" w14:textId="77777777" w:rsidR="008D479B" w:rsidRDefault="008D479B" w:rsidP="008D479B">
      <w:pPr>
        <w:pStyle w:val="TextoNormal"/>
      </w:pPr>
    </w:p>
    <w:p w14:paraId="55C9773E" w14:textId="77777777" w:rsidR="008D479B" w:rsidRDefault="008D479B" w:rsidP="008D479B">
      <w:pPr>
        <w:pStyle w:val="TextoNormal"/>
      </w:pPr>
      <w:r>
        <w:t>La demanda argumenta que los citados acuerdos de la mesa de la Cámara y de la comisión de Justicia están contraviniendo los principios de buena regulación y las exigencias del Derecho comunitario, privando a los representantes de la soberanía nacional del juicio de expertos en la materia.</w:t>
      </w:r>
    </w:p>
    <w:p w14:paraId="1B39D376" w14:textId="77777777" w:rsidR="008D479B" w:rsidRDefault="008D479B" w:rsidP="008D479B">
      <w:pPr>
        <w:pStyle w:val="TextoNormal"/>
      </w:pPr>
    </w:p>
    <w:p w14:paraId="35C1C1D9" w14:textId="77777777" w:rsidR="008D479B" w:rsidRDefault="008D479B" w:rsidP="008D479B">
      <w:pPr>
        <w:pStyle w:val="TextoNormal"/>
      </w:pPr>
      <w:r>
        <w:t>En relación con el acuerdo de la mesa de la Cámara, este no rechaza la solicitud, sino que la traslada a la comisión competente. Respecto del acuerdo de la mesa de la Comisión, este se adoptó en estricto cumplimiento del art. 44.2, 3 y 4 RCD. Se afirma en el escrito de alegaciones que, en el ámbito de la comisión de Justicia, el acuerdo de celebrar comparecencias es una decisión que solo corresponde a su mesa, frente a la cual no cabe recurso interno alguno, ni ante el pleno de la comisión, ni ante la mesa de la Cámara. La mesa de la Comisión, conforme a un criterio de oportunidad política, es la que decide la celebración o no de comparecencias, y dicho acuerdo no requiere de motivación, del mismo modo que no se motivan otros actos políticos del parlamento.</w:t>
      </w:r>
    </w:p>
    <w:p w14:paraId="72E34D4E" w14:textId="77777777" w:rsidR="008D479B" w:rsidRDefault="008D479B" w:rsidP="008D479B">
      <w:pPr>
        <w:pStyle w:val="TextoNormal"/>
      </w:pPr>
    </w:p>
    <w:p w14:paraId="67C6B0CE" w14:textId="77777777" w:rsidR="008D479B" w:rsidRDefault="008D479B" w:rsidP="008D479B">
      <w:pPr>
        <w:pStyle w:val="TextoNormal"/>
      </w:pPr>
      <w:r>
        <w:t>Por otra parte, la funcionalidad de las comparecencias es la aportación de información que pueda ser aprovechada por los miembros de la comisión a efectos de la presentación de enmiendas, por lo que lo lógico es que las comparecencias tengan lugar antes de la conclusión del plazo de presentación de enmiendas. En este caso, el Grupo Parlamentario Popular no se ajustó a este criterio, pues presentó la solicitud de comparecencias tardíamente, el 14 de octubre de 2020, justo el mismo día en que concluía el plazo de presentación de enmiendas. Es cierto que reglamentariamente nada se regula sobre el momento en que se deben celebrar las comparecencias. Aunque no sería desde luego lo más funcional, nada impediría la celebración de comparecencias, por ejemplo, entre la fase de ponencia y comisión, o incluso entre la fase de comisión y pleno. Sin embargo, esta decisión debe tomarla en todo caso la propia comisión o su mesa. Y en este caso, fue la mesa de la Comisión de Justicia, mediante una decisión a la que nada cabe reprochar y que se ampara en el artículo 44.2, 3 y 4 RCD, la que decidió no celebrar esas comparecencias; decisión que, además, en nada colisiona con el Derecho de la Unión Europea ni con el Convenio de Roma.</w:t>
      </w:r>
    </w:p>
    <w:p w14:paraId="77B807EC" w14:textId="77777777" w:rsidR="008D479B" w:rsidRDefault="008D479B" w:rsidP="008D479B">
      <w:pPr>
        <w:pStyle w:val="TextoNormal"/>
      </w:pPr>
    </w:p>
    <w:p w14:paraId="3F335131" w14:textId="77777777" w:rsidR="008D479B" w:rsidRDefault="008D479B" w:rsidP="008D479B">
      <w:pPr>
        <w:pStyle w:val="TextoNormal"/>
      </w:pPr>
      <w:r>
        <w:t>F</w:t>
      </w:r>
      <w:r w:rsidRPr="008D479B">
        <w:rPr>
          <w:i/>
        </w:rPr>
        <w:t xml:space="preserve">) Vulneración del art. 23 </w:t>
      </w:r>
      <w:r>
        <w:t>CE</w:t>
      </w:r>
    </w:p>
    <w:p w14:paraId="640F11C5" w14:textId="77777777" w:rsidR="008D479B" w:rsidRDefault="008D479B" w:rsidP="008D479B">
      <w:pPr>
        <w:pStyle w:val="TextoNormal"/>
      </w:pPr>
    </w:p>
    <w:p w14:paraId="1C0D8A48" w14:textId="77777777" w:rsidR="008D479B" w:rsidRDefault="008D479B" w:rsidP="008D479B">
      <w:pPr>
        <w:pStyle w:val="TextoNormal"/>
      </w:pPr>
      <w:r>
        <w:t>Tras recordar la doctrina del Tribunal Constitucional (STC 96/2019, de 15 de julio, FJ 3) sobre el derecho fundamental del art. 23 CE, el escrito de alegaciones de la Cámara analiza si se ha producido o no la vulneración del mismo.</w:t>
      </w:r>
    </w:p>
    <w:p w14:paraId="6F81A4B0" w14:textId="77777777" w:rsidR="008D479B" w:rsidRDefault="008D479B" w:rsidP="008D479B">
      <w:pPr>
        <w:pStyle w:val="TextoNormal"/>
      </w:pPr>
    </w:p>
    <w:p w14:paraId="1CB8D0C3" w14:textId="77777777" w:rsidR="008D479B" w:rsidRDefault="008D479B" w:rsidP="008D479B">
      <w:pPr>
        <w:pStyle w:val="TextoNormal"/>
      </w:pPr>
      <w:r>
        <w:t>a) En primer lugar, examina si la vulneración se produce por la falta de presentación de los antecedentes necesarios (informes) para pronunciarse sobre la proposición de ley presentada. A tales efectos, el escrito de alegaciones afirma, con base en la doctrina constitucional [SSTC 136/2011, de 13 de septiembre, FJ 10; 176/2011, de 8 de noviembre, FJ 2 f), y 156/2016, de 22 de septiembre, FJ 3 b)], que el art. 26 de la Ley del Gobierno no constituye parámetro de control de las proposiciones de ley, pues se refiere exclusivamente a los requisitos que se exigen para los anteproyectos de ley del Gobierno.</w:t>
      </w:r>
    </w:p>
    <w:p w14:paraId="61F8763C" w14:textId="77777777" w:rsidR="008D479B" w:rsidRDefault="008D479B" w:rsidP="008D479B">
      <w:pPr>
        <w:pStyle w:val="TextoNormal"/>
      </w:pPr>
    </w:p>
    <w:p w14:paraId="086BB7DF" w14:textId="77777777" w:rsidR="008D479B" w:rsidRDefault="008D479B" w:rsidP="008D479B">
      <w:pPr>
        <w:pStyle w:val="TextoNormal"/>
      </w:pPr>
      <w:r>
        <w:t xml:space="preserve">En cuanto a la vulneración del art. 124 RCD por no ir una proposición de ley acompañada de los estudios e informes que justifiquen su oportunidad, las alegaciones de la Cámara recuerdan que nada cabe objetar al acuerdo de admisión que adoptó la mesa de la Cámara —en ejercicio de sus competencias </w:t>
      </w:r>
      <w:r w:rsidRPr="008D479B">
        <w:rPr>
          <w:i/>
        </w:rPr>
        <w:t>ex</w:t>
      </w:r>
      <w:r>
        <w:t xml:space="preserve"> art. 31.1.4 RCD—, pues su actuación se limitó a la verificación que se le permite, cumpliendo la iniciativa los requisitos reglamentarios. En este sentido, el art. 124 y ss. RCD no exigen que preceptivamente las proposiciones de ley hayan de contar con determinados informes; no obstante, las cámaras siempre tienen la posibilidad de solicitar los informes que consideren, pero no la obligación de hacerlo.</w:t>
      </w:r>
    </w:p>
    <w:p w14:paraId="005832B2" w14:textId="77777777" w:rsidR="008D479B" w:rsidRDefault="008D479B" w:rsidP="008D479B">
      <w:pPr>
        <w:pStyle w:val="TextoNormal"/>
      </w:pPr>
    </w:p>
    <w:p w14:paraId="10865899" w14:textId="77777777" w:rsidR="008D479B" w:rsidRDefault="008D479B" w:rsidP="008D479B">
      <w:pPr>
        <w:pStyle w:val="TextoNormal"/>
      </w:pPr>
      <w:r>
        <w:t>Por último, de acuerdo con la doctrina constitucional sobre los informes en relación con los proyectos de ley (STC 108/1986, de 29 de julio, FFJJ 3 y 5), la Cámara señala, respecto al criterio de que no se haya privado a los diputados de elementos de juicio necesarios, que si se atiende a los debates producidos durante la tramitación de esta proposición, los diputados intervinieron manifestando un conocimiento del tema, con cita de estudios de Derecho constitucional e informes médicos y científicos, datos estadísticos y ejemplos del Derecho comparado, por lo que se debe rechazar que, en este caso, la falta de cualquier informe haya afectado a la formación correcta de su juicio y de la voluntad de la Cámara. Además, en la demanda tampoco se concretan ni se explican cuáles han sido esos elementos de juicio que los diputados no han podido tener y cuya falta les ha impedido formar adecuadamente su voluntad. Por otra parte, ninguno de los grupos parlamentarios, y tampoco el grupo al que pertenecen los recurrentes, presentó escrito alguno solicitando los informes de los órganos, por lo que la mesa no tuvo ni siquiera oportunidad de pronunciarse al respecto. Finalmente, el escrito de alegaciones llama la atención sobre el hecho de que el mismo grupo parlamentario de los recurrentes presentara a la vez una proposición de ley alternativa a la eutanasia sobre cuidados paliativos (</w:t>
      </w:r>
      <w:r w:rsidRPr="008D479B">
        <w:rPr>
          <w:i/>
        </w:rPr>
        <w:t>Boletín Oficial de las Cortes Generales. Congreso de los Diputados</w:t>
      </w:r>
      <w:r>
        <w:t xml:space="preserve"> Núm. B-46-4 de 04/11/2020, págs. 1 a 14), no acompañada de ninguno de los informes o estudios que reclama para la proposición que impugna.</w:t>
      </w:r>
    </w:p>
    <w:p w14:paraId="12033E7E" w14:textId="77777777" w:rsidR="008D479B" w:rsidRDefault="008D479B" w:rsidP="008D479B">
      <w:pPr>
        <w:pStyle w:val="TextoNormal"/>
      </w:pPr>
    </w:p>
    <w:p w14:paraId="04E217FF" w14:textId="77777777" w:rsidR="008D479B" w:rsidRDefault="008D479B" w:rsidP="008D479B">
      <w:pPr>
        <w:pStyle w:val="TextoNormal"/>
      </w:pPr>
      <w:r>
        <w:t xml:space="preserve">b) En segundo lugar, se examina por la Cámara si la vulneración se deriva de una tramitación urgente. Recuerda que ya se ha aclarado que no existió una tramitación declarada urgente respecto de esta proposición de ley. No obstante, frente a la argumentación de los recurrentes, se pone de manifiesto que con solo atender al tiempo real de tramitación que tuvo la iniciativa (cerca de ocho meses) y al modo en que se desarrolló la tramitación, cumpliéndose, una a una, todas las fases previstas en el art. 126 RCD para las proposiciones de ley del Congreso de los Diputados, sin eliminación de ninguna de ellas, podemos concluir que los parlamentarios contaron con tiempo suficiente para conocer de la misma, sin que la supuesta aceleración haya mermado su función representativa. Los diputados recurrentes pudieron ejercer de forma adecuada su </w:t>
      </w:r>
      <w:r w:rsidRPr="008D479B">
        <w:rPr>
          <w:i/>
        </w:rPr>
        <w:t>ius in officium</w:t>
      </w:r>
      <w:r>
        <w:t xml:space="preserve">: (i) se celebraron hasta tres debates plenarios y (ii) los diputados y grupos pudieron presentar las enmiendas que consideraron convenientes (dos enmiendas a la totalidad de texto alternativo y hasta 260 enmiendas al articulado), las cuales fueron defendidas y votadas tanto en la sesión plenaria como en ponencia y comisión. Es muy significativo que el plazo de presentación de enmiendas a la totalidad y al articulado fuera objeto de sucesivas ampliaciones. En conclusión, una cosa es que </w:t>
      </w:r>
      <w:r w:rsidRPr="008D479B">
        <w:rPr>
          <w:i/>
        </w:rPr>
        <w:t>a priori</w:t>
      </w:r>
      <w:r>
        <w:t xml:space="preserve"> la tramitación más deseable pueda ser la más pausada y otra que la urgencia o una tramitación acelerada, </w:t>
      </w:r>
      <w:r w:rsidRPr="008D479B">
        <w:rPr>
          <w:i/>
        </w:rPr>
        <w:t>per se</w:t>
      </w:r>
      <w:r>
        <w:t xml:space="preserve"> dé lugar a una vulneración de los derechos de los parlamentarios.</w:t>
      </w:r>
    </w:p>
    <w:p w14:paraId="73489C99" w14:textId="77777777" w:rsidR="008D479B" w:rsidRDefault="008D479B" w:rsidP="008D479B">
      <w:pPr>
        <w:pStyle w:val="TextoNormal"/>
      </w:pPr>
    </w:p>
    <w:p w14:paraId="592FD461" w14:textId="77777777" w:rsidR="008D479B" w:rsidRDefault="008D479B" w:rsidP="008D479B">
      <w:pPr>
        <w:pStyle w:val="TextoNormal"/>
      </w:pPr>
      <w:r>
        <w:t>c) En tercer lugar, se analiza si la vulneración se origina por la falta de un debate profundo, ya que durante la tramitación de la iniciativa no se dio la participación de la ciudadanía a través de las audiencias o comparecencias solicitadas por el grupo parlamentario al que pertenecen los recurrentes. Se reitera la Cámara en sus argumentos expuestos con anterioridad, y recuerda que en el Reglamento no existe un derecho absoluto a que todas las comparecencias que se solicitan se tengan que celebrar. De nuevo, estamos ante un derecho cuyo ejercicio es de configuración legal y, en este caso, la regulación parlamentaria exige que las comisiones o sus mesas, si tienen esta función delegada, sean las que aprueben o rechacen tales solicitudes, debiendo los autores de las mismas aceptar las decisiones que se toman por mayoría por aplicación de la regla del sistema democrático de mayorías del art. 79.1 CE. Tampoco existe en el Reglamento previsión alguna de que se tenga que insertar siempre y necesariamente una fase de celebración de comparecencias de expertos. Todo ello dependerá de la decisión de cada comisión. Y, por otra parte, la participación ciudadana en el procedimiento legislativo no está articulada ni se configura como un requisito en el procedimiento legislativo tal como es regulado por el Reglamento; por ello, el “carácter participativo” de la tramitación al que alude la demanda no puede constituir un parámetro para medir la constitucionalidad del procedimiento legislativo.</w:t>
      </w:r>
    </w:p>
    <w:p w14:paraId="084D2A5A" w14:textId="77777777" w:rsidR="008D479B" w:rsidRDefault="008D479B" w:rsidP="008D479B">
      <w:pPr>
        <w:pStyle w:val="TextoNormal"/>
      </w:pPr>
    </w:p>
    <w:p w14:paraId="6176EC35" w14:textId="77777777" w:rsidR="008D479B" w:rsidRDefault="008D479B" w:rsidP="008D479B">
      <w:pPr>
        <w:pStyle w:val="TextoNormal"/>
      </w:pPr>
      <w:r>
        <w:t>d) En cuarto y último lugar, se aborda la supuesta falta de calidad democrática como causa de la vulneración, todo ello de acuerdo con estándares propios del Derecho de la Unión Europea interpretados por la jurisprudencia de su Tribunal de Justicia. Señala la Cámara que, siendo innegable su importancia, no se pueden considerar parámetro para medir en nuestro ordenamiento la constitucionalidad de las normas aprobadas por el parlamento.</w:t>
      </w:r>
    </w:p>
    <w:p w14:paraId="71C26E34" w14:textId="77777777" w:rsidR="008D479B" w:rsidRDefault="008D479B" w:rsidP="008D479B">
      <w:pPr>
        <w:pStyle w:val="TextoNormal"/>
      </w:pPr>
    </w:p>
    <w:p w14:paraId="19CC2A1A" w14:textId="77777777" w:rsidR="008D479B" w:rsidRDefault="008D479B" w:rsidP="008D479B">
      <w:pPr>
        <w:pStyle w:val="TextoNormal"/>
      </w:pPr>
      <w:r>
        <w:t xml:space="preserve">G) </w:t>
      </w:r>
      <w:r w:rsidRPr="008D479B">
        <w:rPr>
          <w:i/>
        </w:rPr>
        <w:t>Relación entre el Derecho de la Unión Europea y la Constitución: la vulneración del art. 93 CE</w:t>
      </w:r>
    </w:p>
    <w:p w14:paraId="3880E822" w14:textId="77777777" w:rsidR="008D479B" w:rsidRDefault="008D479B" w:rsidP="008D479B">
      <w:pPr>
        <w:pStyle w:val="TextoNormal"/>
      </w:pPr>
    </w:p>
    <w:p w14:paraId="6DCC2142" w14:textId="77777777" w:rsidR="008D479B" w:rsidRDefault="008D479B" w:rsidP="008D479B">
      <w:pPr>
        <w:pStyle w:val="TextoNormal"/>
      </w:pPr>
      <w:r>
        <w:t>A tales efectos, el escrito de alegaciones de la Cámara analiza, en primer lugar, la relación entre el ordenamiento europeo y el nacional, concluyendo, en lo que aquí interesa, que el marco de validez de las normas europeas está establecido en el ordenamiento de la Unión Europea y el marco de validez de las normas del ordenamiento español está establecido en la Constitución española. A continuación, se examina el art. 93 CE para ponerlo en relación con la posible declaración de inconstitucionalidad de una ley a partir de su contenido. Entiende la Cámara que la demanda confunde dos cuestiones: una es la sujeción de los Poderes del Estado a todas las normas que formen parte de nuestro ordenamiento, incluidas las internacionales y supranacionales, y otra es que esas normas puedan determinar la inconstitucionalidad de una ley.</w:t>
      </w:r>
    </w:p>
    <w:p w14:paraId="5F52C54E" w14:textId="77777777" w:rsidR="008D479B" w:rsidRDefault="008D479B" w:rsidP="008D479B">
      <w:pPr>
        <w:pStyle w:val="TextoNormal"/>
      </w:pPr>
    </w:p>
    <w:p w14:paraId="5234FF2D" w14:textId="77777777" w:rsidR="008D479B" w:rsidRDefault="008D479B" w:rsidP="008D479B">
      <w:pPr>
        <w:pStyle w:val="TextoNormal"/>
      </w:pPr>
      <w:r>
        <w:t>Los recurrentes consideran que se ha producido la infracción del art. 93 CE por haberse llevado a cabo una tramitación de urgencia, así como una tramitación sin audiencia de los afectados, sin responder, en consecuencia, a los “estándares mínimos de calidad exigidos por parte del Tribunal Europeo de Derechos Humanos”. La regulación del procedimiento legislativo es competencia de los Estados miembros, por lo que la Unión Europea no puede condicionar, por medio de acto jurídico vinculante alguno, la actuación de la Cámara, que cuenta con plena autonomía. Al no ser posible que exista acto jurídico vinculante alguno que determine la forma de tramitar y regular el procedimiento legislativo, no puede tener lugar, en este ámbito concreto, el principio de interpretación conforme. Tampoco cabe la vía interpretativa del art. 10.2 CE ya que el Derecho de la Unión Europea no contiene regulación alguna sobre la materia afectada. A las mismas conclusiones tenemos que llegar a la hora de examinar las, así consideradas por los recurrentes, exigencias que se imponen por el Convenio de Roma, a partir de la interpretación del Tribunal Europeo de Derechos Humanos. Todo lo dicho anteriormente lleva a la Cámara a negar la infracción del art. 93 CE alegada por los recurrentes.</w:t>
      </w:r>
    </w:p>
    <w:p w14:paraId="48002255" w14:textId="77777777" w:rsidR="008D479B" w:rsidRDefault="008D479B" w:rsidP="008D479B">
      <w:pPr>
        <w:pStyle w:val="TextoNormal"/>
      </w:pPr>
    </w:p>
    <w:p w14:paraId="22CD0C39" w14:textId="3E401C47" w:rsidR="008D479B" w:rsidRDefault="008D479B" w:rsidP="008D479B">
      <w:pPr>
        <w:pStyle w:val="TextoNormal"/>
      </w:pPr>
      <w:r>
        <w:t>El escrito de alegaciones del Congreso de los Diputados concluye con la súplica de que se dicte sentencia desestimando el recurso de inconstitucionalidad contra la Ley Orgánica 3/2021 en todo lo que se refiere a los vicios de procedimiento legislativo que se denuncian en la demanda.</w:t>
      </w:r>
    </w:p>
    <w:p w14:paraId="04FBE308" w14:textId="77777777" w:rsidR="008D479B" w:rsidRDefault="008D479B" w:rsidP="008D479B">
      <w:pPr>
        <w:pStyle w:val="TextoNormal"/>
      </w:pPr>
    </w:p>
    <w:p w14:paraId="6BA52D1C" w14:textId="77777777" w:rsidR="008D479B" w:rsidRDefault="008D479B" w:rsidP="008D479B">
      <w:pPr>
        <w:pStyle w:val="TextoNormal"/>
      </w:pPr>
      <w:r w:rsidRPr="008D479B">
        <w:rPr>
          <w:rStyle w:val="NumeroAFNegritaCaracter"/>
        </w:rPr>
        <w:t>7</w:t>
      </w:r>
      <w:r>
        <w:t>. Mediante escrito de 21 de octubre de 2021, que tuvo entrada en el Tribunal en la misma fecha, el abogado del Estado presentó sus alegaciones que se pueden sintetizar en los siguientes términos:</w:t>
      </w:r>
    </w:p>
    <w:p w14:paraId="07D23213" w14:textId="77777777" w:rsidR="008D479B" w:rsidRDefault="008D479B" w:rsidP="008D479B">
      <w:pPr>
        <w:pStyle w:val="TextoNormal"/>
      </w:pPr>
    </w:p>
    <w:p w14:paraId="7E7020B3" w14:textId="77777777" w:rsidR="008D479B" w:rsidRDefault="008D479B" w:rsidP="008D479B">
      <w:pPr>
        <w:pStyle w:val="TextoNormal"/>
      </w:pPr>
      <w:r>
        <w:t xml:space="preserve">A) </w:t>
      </w:r>
      <w:r w:rsidRPr="008D479B">
        <w:rPr>
          <w:i/>
        </w:rPr>
        <w:t>Vulneración formal, por la tramitación de la Ley, del art. 93 CE y el art. 23.1 y 23.2 CE</w:t>
      </w:r>
    </w:p>
    <w:p w14:paraId="501DE974" w14:textId="77777777" w:rsidR="008D479B" w:rsidRDefault="008D479B" w:rsidP="008D479B">
      <w:pPr>
        <w:pStyle w:val="TextoNormal"/>
      </w:pPr>
    </w:p>
    <w:p w14:paraId="5FFA2E41" w14:textId="77777777" w:rsidR="008D479B" w:rsidRDefault="008D479B" w:rsidP="008D479B">
      <w:pPr>
        <w:pStyle w:val="TextoNormal"/>
      </w:pPr>
      <w:r>
        <w:t>Tras examinar el objeto y contenido de la LORE, así como lo relativo a su tramitación y aprobación, el escrito de la abogacía del Estado descarta, en primer lugar, los vicios formales derivados de la tramitación de la proposición de ley orgánica.</w:t>
      </w:r>
    </w:p>
    <w:p w14:paraId="31AD83F2" w14:textId="77777777" w:rsidR="008D479B" w:rsidRDefault="008D479B" w:rsidP="008D479B">
      <w:pPr>
        <w:pStyle w:val="TextoNormal"/>
      </w:pPr>
    </w:p>
    <w:p w14:paraId="64240F00" w14:textId="77777777" w:rsidR="008D479B" w:rsidRDefault="008D479B" w:rsidP="008D479B">
      <w:pPr>
        <w:pStyle w:val="TextoNormal"/>
      </w:pPr>
      <w:r>
        <w:t>a) La primera línea discursiva de los recurrentes alude a un fraudulento uso de la “fórmula” de la proposición de ley para burlar unas supuestas exigencias de audiencia de los interesados, del Consejo General del Poder Judicial y del Consejo de Estado que habría vulnerado también el art. 93 CE, en cuanto se habrían desconocido exigencias derivadas del Derecho europeo.</w:t>
      </w:r>
    </w:p>
    <w:p w14:paraId="4CAF0962" w14:textId="77777777" w:rsidR="008D479B" w:rsidRDefault="008D479B" w:rsidP="008D479B">
      <w:pPr>
        <w:pStyle w:val="TextoNormal"/>
      </w:pPr>
    </w:p>
    <w:p w14:paraId="394A6A77" w14:textId="77777777" w:rsidR="008D479B" w:rsidRDefault="008D479B" w:rsidP="008D479B">
      <w:pPr>
        <w:pStyle w:val="TextoNormal"/>
      </w:pPr>
      <w:r>
        <w:t>Los recurrentes parecen partir de la idea de que solo los textos procedentes del Gobierno cumplen unos supuestos requisitos de calidad exigibles en determinadas materias de especial importancia. Dicha presunción no solo carece de justificación normativa alguna, sino que se compadece mal con un sistema parlamentario como el nuestro, donde las Cortes Generales tienen atribuido el ejercicio de la función legislativa en el art. 66.2 CE. Ni la Constitución, ni el Derecho europeo, ni ningún precepto de los reglamentos parlamentarios exigen que las leyes de desarrollo de los derechos fundamentales o de “reformas de tal importancia” provengan del Gobierno. El art. 87.1 CE configura, con carácter general, la iniciativa legislativa sin atribuir una especial calidad ni condición a ninguna de ellas, por lo que no cabe establecer una prelación allí donde la Constitución no lo hace. Además, este planteamiento de los recurrentes lejos de defender los derechos de los parlamentarios, los sitúan en una condición inferior, a la par que restringen inconstitucionalmente su ámbito material, al no permitirles ejercer su derecho a iniciar el procedimiento legislativo en determinados supuestos.</w:t>
      </w:r>
    </w:p>
    <w:p w14:paraId="04C75240" w14:textId="77777777" w:rsidR="008D479B" w:rsidRDefault="008D479B" w:rsidP="008D479B">
      <w:pPr>
        <w:pStyle w:val="TextoNormal"/>
      </w:pPr>
    </w:p>
    <w:p w14:paraId="7561E390" w14:textId="77777777" w:rsidR="008D479B" w:rsidRDefault="008D479B" w:rsidP="008D479B">
      <w:pPr>
        <w:pStyle w:val="TextoNormal"/>
      </w:pPr>
      <w:r>
        <w:t>En cuanto a la iniciativa parlamentaria, siguiendo el mandato constitucional, son los reglamentos de las cámaras los que regulan su ejercicio. En este sentido, no cabe entender que los requisitos formales exigidos a los textos procedentes del Gobierno sean extensivos también a las proposiciones de ley procedentes de las iniciativas de los parlamentarios. Los únicos requisitos que cabría exigir a la proposición de ley son los previstos en el art. 124 RCD; pero es que incluso aunque se hubiera tramitado como proyecto de ley, resulta cuestionable la lista de trámites considerados esenciales por los recurrentes.</w:t>
      </w:r>
    </w:p>
    <w:p w14:paraId="609F80CA" w14:textId="77777777" w:rsidR="008D479B" w:rsidRDefault="008D479B" w:rsidP="008D479B">
      <w:pPr>
        <w:pStyle w:val="TextoNormal"/>
      </w:pPr>
    </w:p>
    <w:p w14:paraId="56CD122A" w14:textId="77777777" w:rsidR="008D479B" w:rsidRDefault="008D479B" w:rsidP="008D479B">
      <w:pPr>
        <w:pStyle w:val="TextoNormal"/>
      </w:pPr>
      <w:r>
        <w:t>Por último, se ha de rechazar, a juicio del abogado del Estado, la vulneración del art. 93 CE por una supuesta infracción de los estándares de protección del Derecho de la Unión Europea, con base en el considerando tercero del Reglamento UE 2020/2092, de 16 de diciembre de 2020. Dichas exigencias no prejuzgan en ningún caso que el origen de la iniciativa parta del Ejecutivo o del Parlamento, sino que simplemente haría referencia a la necesidad de respetar determinados principios que son inherentes a la tramitación legislativa en un sistema parlamentario democrático. Igualmente, con apoyo en la doctrina del Tribunal Constitucional (STC 28/1991, de 14 de febrero, FFJJ 4 y 5), ha de rechazarse de raíz que ninguna eventual infracción del Derecho europeo conlleve una vulneración del art. 93 CE.</w:t>
      </w:r>
    </w:p>
    <w:p w14:paraId="4393C678" w14:textId="77777777" w:rsidR="008D479B" w:rsidRDefault="008D479B" w:rsidP="008D479B">
      <w:pPr>
        <w:pStyle w:val="TextoNormal"/>
      </w:pPr>
    </w:p>
    <w:p w14:paraId="1C62A65D" w14:textId="77777777" w:rsidR="008D479B" w:rsidRDefault="008D479B" w:rsidP="008D479B">
      <w:pPr>
        <w:pStyle w:val="TextoNormal"/>
      </w:pPr>
      <w:r>
        <w:t xml:space="preserve">b) La segunda línea argumental de los recurrentes se dirige a denunciar que tanto el uso de la “vía” de la proposición de ley como su posterior tramitación por el procedimiento de urgencia habría vulnerado los derechos de los parlamentarios </w:t>
      </w:r>
      <w:r w:rsidRPr="008D479B">
        <w:rPr>
          <w:i/>
        </w:rPr>
        <w:t>ex</w:t>
      </w:r>
      <w:r>
        <w:t xml:space="preserve"> art. 23 CE.</w:t>
      </w:r>
    </w:p>
    <w:p w14:paraId="5F856E2F" w14:textId="77777777" w:rsidR="008D479B" w:rsidRDefault="008D479B" w:rsidP="008D479B">
      <w:pPr>
        <w:pStyle w:val="TextoNormal"/>
      </w:pPr>
    </w:p>
    <w:p w14:paraId="185A6FDA" w14:textId="77777777" w:rsidR="008D479B" w:rsidRDefault="008D479B" w:rsidP="008D479B">
      <w:pPr>
        <w:pStyle w:val="TextoNormal"/>
      </w:pPr>
      <w:r>
        <w:t xml:space="preserve">El escrito de la Abogacía del Estado trae a colación la doctrina constitucional sobre el contenido del llamado </w:t>
      </w:r>
      <w:r w:rsidRPr="008D479B">
        <w:rPr>
          <w:i/>
        </w:rPr>
        <w:t>ius in officium</w:t>
      </w:r>
      <w:r>
        <w:t xml:space="preserve"> (SSTC 37/1985, de 8 de marzo; 161/1988, de 20 de septiembre; 36/1990, de 1 de marzo; 39/2008, de 10 de marzo; 74/2009, de 23 de marzo; 11/2017, de 30 de enero, y 10/2018, de 5 de febrero), para concluir que el derecho recogido en el art. 23 CE es un derecho de configuración legal, lo que en el ámbito del procedimiento legislativo implica indefectiblemente remitirse a lo establecido en el reglamento parlamentario. En este caso, el art. 93.1 RCD atribuye a la mesa de la Cámara acordar que un asunto se tramite por el procedimiento de urgencia, sin que el reglamento exija acreditar una causa concreta, siendo suficiente la motivación del acuerdo, como concurre en este caso. Además, una interpretación como la propuesta por los recurrentes implicaría que allí donde el artículo 93.1 RCD establece una decisión de la mesa, esta sea sustituida por la de un grupo parlamentario, atribuyendo así una especie de derecho de veto a las minorías a la hora de decir el procedimiento mediante el cual se van a adoptar las decisiones parlamentarias.</w:t>
      </w:r>
    </w:p>
    <w:p w14:paraId="6EE532FA" w14:textId="77777777" w:rsidR="008D479B" w:rsidRDefault="008D479B" w:rsidP="008D479B">
      <w:pPr>
        <w:pStyle w:val="TextoNormal"/>
      </w:pPr>
    </w:p>
    <w:p w14:paraId="65F4AE2C" w14:textId="77777777" w:rsidR="008D479B" w:rsidRDefault="008D479B" w:rsidP="008D479B">
      <w:pPr>
        <w:pStyle w:val="TextoNormal"/>
      </w:pPr>
      <w:r>
        <w:t>También con base en la doctrina del Tribunal Constitucional (SSTC 143/2016, de 19 de septiembre, FJ 3, y 10/2018, de 5 de febrero, FJ 3), debe rechazarse también que se haya producido una vulneración de los derechos de los parlamentarios por el hecho de no haberse admitido las comparecencias por ellos solicitadas. En el presente caso, al no haberse producido ninguna infracción del reglamento parlamentario, ni haberse visto afectado el derecho de enmienda de los diputados, no puede tampoco apreciarse vulneración alguna de los derechos de participación política de los parlamentarios (SSTC 204/2011, de 15 de diciembre, FJ 5, y 238/2012, de 13 de diciembre, FJ 4).</w:t>
      </w:r>
    </w:p>
    <w:p w14:paraId="5B832E0F" w14:textId="77777777" w:rsidR="008D479B" w:rsidRDefault="008D479B" w:rsidP="008D479B">
      <w:pPr>
        <w:pStyle w:val="TextoNormal"/>
      </w:pPr>
    </w:p>
    <w:p w14:paraId="347E01B1" w14:textId="77777777" w:rsidR="008D479B" w:rsidRDefault="008D479B" w:rsidP="008D479B">
      <w:pPr>
        <w:pStyle w:val="TextoNormal"/>
      </w:pPr>
      <w:r>
        <w:t xml:space="preserve">B) </w:t>
      </w:r>
      <w:r w:rsidRPr="008D479B">
        <w:rPr>
          <w:i/>
        </w:rPr>
        <w:t>Infracción por el sistema establecido en la Ley Orgánica 3/2021, en su integridad, del derecho a la vida recogido en el art. 15 CE y en el art. 2 CEDH</w:t>
      </w:r>
    </w:p>
    <w:p w14:paraId="4A71C099" w14:textId="77777777" w:rsidR="008D479B" w:rsidRDefault="008D479B" w:rsidP="008D479B">
      <w:pPr>
        <w:pStyle w:val="TextoNormal"/>
      </w:pPr>
    </w:p>
    <w:p w14:paraId="188A1D2D" w14:textId="77777777" w:rsidR="008D479B" w:rsidRDefault="008D479B" w:rsidP="008D479B">
      <w:pPr>
        <w:pStyle w:val="TextoNormal"/>
      </w:pPr>
      <w:r>
        <w:t>Dada la amplitud de este motivo de impugnación y de acuerdo con la sistemática de la propia demanda, la Abogacía del Estado estructura su respuesta en tres apartados: (a) consideraciones generales; (b) incapacidad del sistema de salvaguardar las ineludibles garantías de los deberes positivos del Estado para con el derecho a la vida; y (c) incompatibilidad del sistema con el principio de seguridad jurídica (art. 9.3 CE) y con el derecho a la vida (art. 15 CE y art. 2 CEDH).</w:t>
      </w:r>
    </w:p>
    <w:p w14:paraId="32A5A4C8" w14:textId="77777777" w:rsidR="008D479B" w:rsidRDefault="008D479B" w:rsidP="008D479B">
      <w:pPr>
        <w:pStyle w:val="TextoNormal"/>
      </w:pPr>
    </w:p>
    <w:p w14:paraId="6390B3EA" w14:textId="77777777" w:rsidR="008D479B" w:rsidRDefault="008D479B" w:rsidP="008D479B">
      <w:pPr>
        <w:pStyle w:val="TextoNormal"/>
      </w:pPr>
      <w:r>
        <w:t xml:space="preserve">a) En relación con las consideraciones generales, la Abogacía del Estado pone de manifiesto una diferencia sustancial entre el presente recurso de amparo y el recurso núm. 4057-2021, interpuesto por el Grupo Parlamentario Vox en el Congreso de los Diputados: no niega que una regulación de la situación de la eutanasia sea </w:t>
      </w:r>
      <w:r w:rsidRPr="008D479B">
        <w:rPr>
          <w:i/>
        </w:rPr>
        <w:t>per se</w:t>
      </w:r>
      <w:r>
        <w:t xml:space="preserve"> contrario a la Constitución o al Convenio europeo de derechos humanos, hecho que hace inconsistente en gran medida la pretensión anulatoria de la totalidad de la Ley, toda vez que los motivos que se esgrimen en concreto por el recurso, en puridad, solo serían motivos de inconstitucionalidad por omisión, y que se fundamenta en una lectura incorrecta o incompleta de la jurisprudencia del Tribunal Constitucional y del Tribunal Europeo de Derechos Humanos. La argumentación del abogado del Estado se desarrolla en los siguientes términos:</w:t>
      </w:r>
    </w:p>
    <w:p w14:paraId="29733CB5" w14:textId="77777777" w:rsidR="008D479B" w:rsidRDefault="008D479B" w:rsidP="008D479B">
      <w:pPr>
        <w:pStyle w:val="TextoNormal"/>
      </w:pPr>
    </w:p>
    <w:p w14:paraId="723EA023" w14:textId="77777777" w:rsidR="008D479B" w:rsidRDefault="008D479B" w:rsidP="008D479B">
      <w:pPr>
        <w:pStyle w:val="TextoNormal"/>
      </w:pPr>
      <w:r>
        <w:t>(i) La demanda insiste, como base para cuestionar la opción del legislador, en que el derecho a la vida implica para el Estado obligaciones positivas de protección. Consideración que, a juicio de la Abogacía, resulta incompleta si no se delimita con precisión el alcance del derecho a la vida protegido por los arts. 15 CE y 2 CEDH. Debe hacerse una distinción no baladí: el hecho biológico de la vida humana, de un lado, y el derecho fundamental a la vida establecido por el constituyente en el art. 15 CE, de otro (STC 53/1985, FJ 3). Es por ello que puede haber decisiones o actuaciones que, aunque afecten a la vida de una persona, sin embargo, queden fuera del ámbito de aplicación material del derecho fundamental a la vida; situaciones a las que lógicamente tampoco alcanzan las obligaciones positivas que eventualmente puedan recaer sobre el Estado para proteger el citado derecho fundamental.</w:t>
      </w:r>
    </w:p>
    <w:p w14:paraId="70DDE254" w14:textId="77777777" w:rsidR="008D479B" w:rsidRDefault="008D479B" w:rsidP="008D479B">
      <w:pPr>
        <w:pStyle w:val="TextoNormal"/>
      </w:pPr>
    </w:p>
    <w:p w14:paraId="3539E358" w14:textId="77777777" w:rsidR="008D479B" w:rsidRDefault="008D479B" w:rsidP="008D479B">
      <w:pPr>
        <w:pStyle w:val="TextoNormal"/>
      </w:pPr>
      <w:r>
        <w:t xml:space="preserve">(ii) La delimitación del ámbito objetivo del derecho a la vida exige partir, según el abogado del Estado, de la idea de que el derecho a la vida protege a su titular de ataques de terceros (ya sean del Estado, ya sean de particulares) [STC 120/1990, FJ 7, y STEDH (GS), de 28 de octubre de 1998, asunto </w:t>
      </w:r>
      <w:r w:rsidRPr="008D479B">
        <w:rPr>
          <w:i/>
        </w:rPr>
        <w:t>Osman c. Reino Unido</w:t>
      </w:r>
      <w:r>
        <w:t xml:space="preserve">, § 115]. La decisión libre y consciente de una persona de no seguir viviendo queda extramuros del ámbito materialmente protegido por el derecho fundamental a la vida del art. 15 CE [SSTC 120/1990, FJ 7; 137/1990, FJ 5, y 11/1991, FJ 2; y STEDH (GS), asunto </w:t>
      </w:r>
      <w:r w:rsidRPr="008D479B">
        <w:rPr>
          <w:i/>
        </w:rPr>
        <w:t>Pretty c. Reino Unido</w:t>
      </w:r>
      <w:r>
        <w:t xml:space="preserve">, § 40]. Y lo es en el sentido de que el art. 15 CE </w:t>
      </w:r>
      <w:r w:rsidRPr="008D479B">
        <w:rPr>
          <w:i/>
        </w:rPr>
        <w:t>per se</w:t>
      </w:r>
      <w:r>
        <w:t xml:space="preserve"> no impone al Estado el deber de asistir a quien voluntariamente desea poner fin a su vida, ni en el sentido de entender que dicha libre decisión de poner fin a la vida está prohibida por el ordenamiento jurídico.</w:t>
      </w:r>
    </w:p>
    <w:p w14:paraId="320A7904" w14:textId="77777777" w:rsidR="008D479B" w:rsidRDefault="008D479B" w:rsidP="008D479B">
      <w:pPr>
        <w:pStyle w:val="TextoNormal"/>
      </w:pPr>
    </w:p>
    <w:p w14:paraId="4DFF3957" w14:textId="77777777" w:rsidR="008D479B" w:rsidRDefault="008D479B" w:rsidP="008D479B">
      <w:pPr>
        <w:pStyle w:val="TextoNormal"/>
      </w:pPr>
      <w:r>
        <w:t>(iii) Se infiere de la demanda que el hecho de que el art. 15 CE o el art. 2 CEDH no contengan un derecho a exigir la propia muerte implica, como consecuencia, una suerte de obstáculo o prohibición del legislador para que pueda regular una eventual asistencia del Estado a favor de quien, libre y conscientemente, en determinados contextos, no desea seguir viviendo.</w:t>
      </w:r>
    </w:p>
    <w:p w14:paraId="7E5F5726" w14:textId="77777777" w:rsidR="008D479B" w:rsidRDefault="008D479B" w:rsidP="008D479B">
      <w:pPr>
        <w:pStyle w:val="TextoNormal"/>
      </w:pPr>
    </w:p>
    <w:p w14:paraId="682E1F3B" w14:textId="77777777" w:rsidR="008D479B" w:rsidRDefault="008D479B" w:rsidP="008D479B">
      <w:pPr>
        <w:pStyle w:val="TextoNormal"/>
      </w:pPr>
      <w:r>
        <w:t xml:space="preserve">En primer lugar, el hecho de que la decisión, libre y consciente, de una persona de no continuar viviendo es una manifestación de libertad no prohibida por el ordenamiento jurídico, si bien no amparada por el art. 15 CE, no impide que el legislador pueda regular aspectos relacionados con ese </w:t>
      </w:r>
      <w:r w:rsidRPr="008D479B">
        <w:rPr>
          <w:i/>
        </w:rPr>
        <w:t>agere licere</w:t>
      </w:r>
      <w:r>
        <w:t xml:space="preserve"> (con cita de la STC 198/2012, FJ 9, relativa a la regulación del matrimonio entre personas del mismo sexo). Es más, el margen de apreciación del legislador para regular este aspecto no contemplado ni prohibido por el art. 15 CE es especialmente amplio, máxime cuando en este caso, además, el legislador atiende a una realidad social ya regulada por algunos de los países de nuestro entorno y examinada en varias ocasiones por el Tribunal Europeo de Derechos Humanos.</w:t>
      </w:r>
    </w:p>
    <w:p w14:paraId="2720D308" w14:textId="77777777" w:rsidR="008D479B" w:rsidRDefault="008D479B" w:rsidP="008D479B">
      <w:pPr>
        <w:pStyle w:val="TextoNormal"/>
      </w:pPr>
    </w:p>
    <w:p w14:paraId="4F84124F" w14:textId="77777777" w:rsidR="008D479B" w:rsidRDefault="008D479B" w:rsidP="008D479B">
      <w:pPr>
        <w:pStyle w:val="TextoNormal"/>
      </w:pPr>
      <w:r>
        <w:t xml:space="preserve">En segundo lugar, existen otros derechos y principios de relevancia constitucional y convencional en juego cuando hablamos de la decisión de una persona de poner fin voluntariamente a su vida. Esa decisión forma parte evidente de su capacidad de autodeterminación y, por tanto, cualquier actuación que la desconozca supondría desconocer la dignidad de la persona y el libre desarrollo de su personalidad </w:t>
      </w:r>
      <w:r w:rsidRPr="008D479B">
        <w:rPr>
          <w:i/>
        </w:rPr>
        <w:t>ex</w:t>
      </w:r>
      <w:r>
        <w:t xml:space="preserve"> art. 10.2 CE [SSTC 53/1985, FJ 8, y 192/2003, de 27 de octubre, FJ 7; y SSTEDH (GS), asunto </w:t>
      </w:r>
      <w:r w:rsidRPr="008D479B">
        <w:rPr>
          <w:i/>
        </w:rPr>
        <w:t>Pretty c. Reino Unido</w:t>
      </w:r>
      <w:r>
        <w:t xml:space="preserve">, § 62 y 65; asunto </w:t>
      </w:r>
      <w:r w:rsidRPr="008D479B">
        <w:rPr>
          <w:i/>
        </w:rPr>
        <w:t>Haas c Suiza</w:t>
      </w:r>
      <w:r>
        <w:t xml:space="preserve">, § 51; asunto </w:t>
      </w:r>
      <w:r w:rsidRPr="008D479B">
        <w:rPr>
          <w:i/>
        </w:rPr>
        <w:t>Koch c. Alemania</w:t>
      </w:r>
      <w:r>
        <w:t xml:space="preserve">, § 51 y 52 y asunto </w:t>
      </w:r>
      <w:r w:rsidRPr="008D479B">
        <w:rPr>
          <w:i/>
        </w:rPr>
        <w:t>Lambert y otros c. Francia</w:t>
      </w:r>
      <w:r>
        <w:t>, (GS), § 142]. Además, el derecho a elegir someterse o no a cualquier tratamiento, incluso aunque de la negativa al mismo pueda comprometerse la vida del paciente, está ínsito en el derecho a la integridad corporal contemplado en el art. 15 CE (SSTC 37/2011, FJ 5, y 154/2002, FJ 9). E indudablemente quien ya no quiere seguir viviendo, y se ve forzado a mantener su vida en un contexto de enfermedad con sufrimientos insoportables o padecimiento grave que no le permite valerse por sí mismo, se encuentra en una situación que incide en el derecho a la integridad moral y a no sufrir tratos inhumanos o degradantes del art. 15 CE (STC 181/2004, de 2 de noviembre, FJ 13).</w:t>
      </w:r>
    </w:p>
    <w:p w14:paraId="7C242711" w14:textId="77777777" w:rsidR="008D479B" w:rsidRDefault="008D479B" w:rsidP="008D479B">
      <w:pPr>
        <w:pStyle w:val="TextoNormal"/>
      </w:pPr>
    </w:p>
    <w:p w14:paraId="02563001" w14:textId="77777777" w:rsidR="008D479B" w:rsidRDefault="008D479B" w:rsidP="008D479B">
      <w:pPr>
        <w:pStyle w:val="TextoNormal"/>
      </w:pPr>
      <w:r>
        <w:t>(iv) Sostiene la Abogacía del Estado que la demanda realiza una lectura errónea de la doctrina establecida en las SSTC 120/1990 y 137/1990, al deducir, de la invocación del deber de los Estados de proteger la vida, una suerte de regla general de prevención del suicidio a la que todo Estado está obligado. Se desconoce, por los recurrentes, que la doctrina se dictó en atención a las específicas circunstancias concurrentes en el caso: la relación de sujeción especial que liga al Estado con los presos en los casos de huelgas de hambre.</w:t>
      </w:r>
    </w:p>
    <w:p w14:paraId="1B832D4E" w14:textId="77777777" w:rsidR="008D479B" w:rsidRDefault="008D479B" w:rsidP="008D479B">
      <w:pPr>
        <w:pStyle w:val="TextoNormal"/>
      </w:pPr>
    </w:p>
    <w:p w14:paraId="649A6777" w14:textId="77777777" w:rsidR="008D479B" w:rsidRDefault="008D479B" w:rsidP="008D479B">
      <w:pPr>
        <w:pStyle w:val="TextoNormal"/>
      </w:pPr>
      <w:r>
        <w:t>Incluso en estas situaciones de sujeción especial, el Tribunal Constitucional ha formulado precisiones sobre el alcance del deber del Estado de velar por la vida de los presos, relevantes a los efectos de este recurso, como subraya el abogado del Estado. Solamente si existe un fundamento constitucional legítimo, y con las debidas cautelas respecto del principio de proporcionalidad, el Estado puede imponerse sobre la voluntad de quien desea morir, si dicho fundamento constitucional le impone preservar la vida de dicho sujeto (STC 11/1991, FFJJ 2 y 4). Fuera de aquellas excepciones en que concurre un fin constitucional legítimo que otra cosa permita hacer, el Estado debe respetar la voluntad libre y consciente de quien decide poner fin a su vida, supuesto que efectivamente se dé esa voluntad libre, en tanto que consciente y voluntaria (STC 37/2011, FFJJ 3 y 5).</w:t>
      </w:r>
    </w:p>
    <w:p w14:paraId="5B4EE9DA" w14:textId="77777777" w:rsidR="008D479B" w:rsidRDefault="008D479B" w:rsidP="008D479B">
      <w:pPr>
        <w:pStyle w:val="TextoNormal"/>
      </w:pPr>
    </w:p>
    <w:p w14:paraId="5C5BD472" w14:textId="77777777" w:rsidR="008D479B" w:rsidRDefault="008D479B" w:rsidP="008D479B">
      <w:pPr>
        <w:pStyle w:val="TextoNormal"/>
      </w:pPr>
      <w:r>
        <w:t xml:space="preserve">En la misma dirección se orienta la jurisprudencia del Tribunal Europeo de Derechos Humanos al establecer la obligación del Estado de adoptar medidas en lo que respecta a personas bajo su custodia y que se encuentran en una situación vulnerable (SSTEDH de 3 de abril de 2001, asunto </w:t>
      </w:r>
      <w:r w:rsidRPr="008D479B">
        <w:rPr>
          <w:i/>
        </w:rPr>
        <w:t>Keenan c Reino Unido</w:t>
      </w:r>
      <w:r>
        <w:t xml:space="preserve">, § 91 y 92, y de 31 de enero de 2019 (GS), asunto </w:t>
      </w:r>
      <w:r w:rsidRPr="008D479B">
        <w:rPr>
          <w:i/>
        </w:rPr>
        <w:t>Fernandes de Oliveira c. Portugal</w:t>
      </w:r>
      <w:r>
        <w:t>, § 115). Fuera de estos casos, el derecho a la vida no impone un deber del Estado de proteger al individuo contra sus actos en los que voluntariamente pueda arriesgar o poner fin a su vida; antes bien, la regla general es la de respetar dicha decisión siempre que sea adoptada libre y conscientemente (STEDH asunt</w:t>
      </w:r>
      <w:r w:rsidRPr="008D479B">
        <w:rPr>
          <w:i/>
        </w:rPr>
        <w:t>o Haas c Sui</w:t>
      </w:r>
      <w:r>
        <w:t>za, § 54).</w:t>
      </w:r>
    </w:p>
    <w:p w14:paraId="66CADFB5" w14:textId="77777777" w:rsidR="008D479B" w:rsidRDefault="008D479B" w:rsidP="008D479B">
      <w:pPr>
        <w:pStyle w:val="TextoNormal"/>
      </w:pPr>
    </w:p>
    <w:p w14:paraId="30BE2EB3" w14:textId="77777777" w:rsidR="008D479B" w:rsidRDefault="008D479B" w:rsidP="008D479B">
      <w:pPr>
        <w:pStyle w:val="TextoNormal"/>
      </w:pPr>
      <w:r>
        <w:t>En el contexto eutanásico y respecto de la posibilidad de que el Estado preste asistencia a quien en dicho contexto desee morir con dignidad, subraya la Abogacía del Estado que no hay ningún pronunciamiento del Tribunal Constitucional o del Tribunal Europeo de Derechos Humanos que permita afirmar que esa asistencia del Estado pueda ser contraria a la Constitución o al Convenio europeo de derechos humanos, antes al contrario, los Estados gozan de un amplio margen de apreciación, como muestran las experiencias del derecho comparado.</w:t>
      </w:r>
    </w:p>
    <w:p w14:paraId="5A313E49" w14:textId="77777777" w:rsidR="008D479B" w:rsidRDefault="008D479B" w:rsidP="008D479B">
      <w:pPr>
        <w:pStyle w:val="TextoNormal"/>
      </w:pPr>
    </w:p>
    <w:p w14:paraId="2F9E41D0" w14:textId="77777777" w:rsidR="008D479B" w:rsidRDefault="008D479B" w:rsidP="008D479B">
      <w:pPr>
        <w:pStyle w:val="TextoNormal"/>
      </w:pPr>
      <w:r>
        <w:t>b) El abogado del Estado examina, a continuación, los distintos motivos que en la demanda integran la queja por la que se atribuye a la LORE, en su conjunto, el establecer un sistema incapaz de salvaguardar las ineludibles garantías de los deberes positivos del Estado para con el derecho a la vida (art. 15 CE y art. 2 CEDH). Como cuestión preliminar, antes del examen de cada uno de los motivos, se afirma que la Ley solo habilita la prestación de asistencia para morir sobre la base de la libre voluntad, debidamente informada, del paciente, lo cual hace que estemos extramuros del contenido del derecho a la vida del art. 15 CE. Además, regula toda una serie de garantías —expuestas en el escrito de la Abogacía— para asegurarse que se da dicha voluntad libre y consciente, evitando así cualquier conflicto con las exigencias constitucionales del derecho a la vida.</w:t>
      </w:r>
    </w:p>
    <w:p w14:paraId="3ABCFF19" w14:textId="77777777" w:rsidR="008D479B" w:rsidRDefault="008D479B" w:rsidP="008D479B">
      <w:pPr>
        <w:pStyle w:val="TextoNormal"/>
      </w:pPr>
    </w:p>
    <w:p w14:paraId="67FBB821" w14:textId="77777777" w:rsidR="008D479B" w:rsidRDefault="008D479B" w:rsidP="008D479B">
      <w:pPr>
        <w:pStyle w:val="TextoNormal"/>
      </w:pPr>
      <w:r>
        <w:t>(i) En relación con la alegada falta de intervención de profesional psiquiátrico o psicológico, entiende el abogado del Estado que la demanda parte de un presupuesto erróneo: el hecho de que la Ley no mencione ninguna especialidad médica o asistencial no implica que la excluya o la imponga. Es tal la variedad de condiciones que pueden darse dentro de las, por otro lado, bien definidas circunstancias del contexto eutanásico [art. 5.1 d) y art. 3 b) y c) LORE] que la intervención de diversos profesionales y sus especialidades vendrá determinada por las circunstancias concretas de cada paciente.</w:t>
      </w:r>
    </w:p>
    <w:p w14:paraId="5B7CA871" w14:textId="77777777" w:rsidR="008D479B" w:rsidRDefault="008D479B" w:rsidP="008D479B">
      <w:pPr>
        <w:pStyle w:val="TextoNormal"/>
      </w:pPr>
    </w:p>
    <w:p w14:paraId="14BD9554" w14:textId="77777777" w:rsidR="008D479B" w:rsidRDefault="008D479B" w:rsidP="008D479B">
      <w:pPr>
        <w:pStyle w:val="TextoNormal"/>
      </w:pPr>
      <w:r>
        <w:t>La Abogacía del Estado expone de forma detallada: (a) las funciones atribuidas al médico responsable, incidiendo en su deber de constatar expresamente la mínima sospecha sobre la existencia de una incapacidad de hecho y su actuación conforme a los protocolos de actuación que se determinen por el Consejo Interterritorial del Sistema Nacional de Salud; (b) la intervención del médico consultor, que debe tener formación en el ámbito de las patologías del paciente; y (c) el papel de verificación que corresponde a la comisión de garantía y evaluación.</w:t>
      </w:r>
    </w:p>
    <w:p w14:paraId="207D93A7" w14:textId="77777777" w:rsidR="008D479B" w:rsidRDefault="008D479B" w:rsidP="008D479B">
      <w:pPr>
        <w:pStyle w:val="TextoNormal"/>
      </w:pPr>
    </w:p>
    <w:p w14:paraId="7F214E74" w14:textId="77777777" w:rsidR="008D479B" w:rsidRDefault="008D479B" w:rsidP="008D479B">
      <w:pPr>
        <w:pStyle w:val="TextoNormal"/>
      </w:pPr>
      <w:r>
        <w:t>La intervención de un profesional de la psicología o la psiquiatría es recomendable cuando existan dudas sobre la capacidad del paciente, a criterio del profesional sanitario, ya sea el médico responsable o el médico consultor, o de la comisión de garantía y evaluación, o de otros profesionales médicos que puedan intervenir, tales como médicos internistas, neurólogos, oncólogos, etc. En conclusión, es el examen del sistema en su conjunto y el suficiente nivel de garantías para comprobar que la voluntad del paciente se emite libre y consciente el que ha de determinar el cumplimiento de la Ley con las exigencias de los arts. 15 CE y 2 CEDH, y no una concreta actuación o exigencia procedimental.</w:t>
      </w:r>
    </w:p>
    <w:p w14:paraId="120432CA" w14:textId="77777777" w:rsidR="008D479B" w:rsidRDefault="008D479B" w:rsidP="008D479B">
      <w:pPr>
        <w:pStyle w:val="TextoNormal"/>
      </w:pPr>
    </w:p>
    <w:p w14:paraId="75521883" w14:textId="77777777" w:rsidR="008D479B" w:rsidRDefault="008D479B" w:rsidP="008D479B">
      <w:pPr>
        <w:pStyle w:val="TextoNormal"/>
      </w:pPr>
      <w:r>
        <w:t>(ii) Sobre la inexistente intervención de autoridad que permita contrastar la identidad y voluntad del afectado, sostiene la Abogacía del Estado en su escrito de alegaciones que a lo largo de la demanda no queda claro si esta exigencia de intervención judicial o de otra autoridad administrativa es a los efectos de verificar la constatación de los requisitos de la Ley o, en todo caso, de autorizar o no el ejercicio del derecho del paciente.</w:t>
      </w:r>
    </w:p>
    <w:p w14:paraId="6DC841B2" w14:textId="77777777" w:rsidR="008D479B" w:rsidRDefault="008D479B" w:rsidP="008D479B">
      <w:pPr>
        <w:pStyle w:val="TextoNormal"/>
      </w:pPr>
    </w:p>
    <w:p w14:paraId="6E735E7A" w14:textId="77777777" w:rsidR="008D479B" w:rsidRDefault="008D479B" w:rsidP="008D479B">
      <w:pPr>
        <w:pStyle w:val="TextoNormal"/>
      </w:pPr>
      <w:r>
        <w:t xml:space="preserve">Someter el ejercicio de ese derecho personalísimo a la necesaria autorización de un juez podría pues suponer tanto como negar precisamente la esencia de la libre autodeterminación, al quedar supeditada a una voluntad externa. Estamos, en el caso de la decisión de no seguir viviendo, ante un acto personalísimo, estrictamente ligado a la autodeterminación de la persona y a su dignidad, por lo que no resulta proporcionado que necesariamente su ejercicio se condicione en todo caso, como requisito </w:t>
      </w:r>
      <w:r w:rsidRPr="008D479B">
        <w:rPr>
          <w:i/>
        </w:rPr>
        <w:t>sine qua non</w:t>
      </w:r>
      <w:r>
        <w:t>, a la autorización judicial o del Ministerio Fiscal, si es esto lo que está proponiendo el recurso. Si por el contrario lo que se reclama es la intervención del poder público, a través de un órgano independiente, que asegure el cumplimiento de los requisitos legales, el recurso olvida que ese órgano ya existe, es la comisión de garantía y evaluación. Por lo tanto, lo que hace el recurso es simplemente proponer una alternativa que no es exigida por la jurisprudencia constitucional, ni evidencia que la opción del legislador, reflejada en el sistema de garantías establecido, implique una verdadera falta de las garantías indispensables para verificar que no se esté, en un caso concreto, poniendo en riesgo los derechos del paciente.</w:t>
      </w:r>
    </w:p>
    <w:p w14:paraId="20EC7F38" w14:textId="77777777" w:rsidR="008D479B" w:rsidRDefault="008D479B" w:rsidP="008D479B">
      <w:pPr>
        <w:pStyle w:val="TextoNormal"/>
      </w:pPr>
    </w:p>
    <w:p w14:paraId="180969C1" w14:textId="77777777" w:rsidR="008D479B" w:rsidRDefault="008D479B" w:rsidP="008D479B">
      <w:pPr>
        <w:pStyle w:val="TextoNormal"/>
      </w:pPr>
      <w:r>
        <w:t>(iii) Respecto de la deficiente regulación del “documento de instrucciones”, “testamento vital” o equivalente, así como la intervención de terceros en la renuncia del derecho a la vida formulada en nombre de otra persona, entiende el abogado del Estado que se cuestionan determinados aspectos del art. 5.2 LORE previsto para las incapacidades de hecho, partiendo, una vez más, de una interpretación errónea.</w:t>
      </w:r>
    </w:p>
    <w:p w14:paraId="53FD75E6" w14:textId="77777777" w:rsidR="008D479B" w:rsidRDefault="008D479B" w:rsidP="008D479B">
      <w:pPr>
        <w:pStyle w:val="TextoNormal"/>
      </w:pPr>
    </w:p>
    <w:p w14:paraId="44C0535F" w14:textId="77777777" w:rsidR="008D479B" w:rsidRDefault="008D479B" w:rsidP="008D479B">
      <w:pPr>
        <w:pStyle w:val="TextoNormal"/>
      </w:pPr>
      <w:r>
        <w:t>Sostiene la Abogacía del Estado, en primer lugar, que de darse la situación de incapacidad de hecho que regula el art. 5.2, los requisitos para poder acceder a la prestación no se “relajan” a criterio del médico responsable, sino todo lo contrario: se restringen notablemente. Solamente procederá si el paciente ha suscrito con anterioridad el documento de instrucciones o equivalente, y solo procederá si los estrictos términos de dichos documentos de instrucciones previas así lo admiten y en los términos en que lo admitan. En definitiva, aunque en un caso de incapacidad de hecho la solicitud se presente por otro sujeto distinto del paciente (cuestión obvia, dada la imposibilidad de hacerlo por sí mismo precisamente por incapacidad de hecho), dicha solicitud lo que hace es trasladar la verdadera voluntad del propio paciente (y no la del que presenta la solicitud) plasmada en las instrucciones previas. No se está supliendo el consentimiento del paciente como alega el recurso. Incluso en el caso de la incapacidad de hecho, la prestación de ayuda para morir se asienta exclusivamente en la voluntad del paciente, si bien con la restricción de que necesariamente deba haberse plasmado por escrito dicha voluntad en un documento de instrucciones previas o legalmente equivalente.</w:t>
      </w:r>
    </w:p>
    <w:p w14:paraId="60DBFC14" w14:textId="77777777" w:rsidR="008D479B" w:rsidRDefault="008D479B" w:rsidP="008D479B">
      <w:pPr>
        <w:pStyle w:val="TextoNormal"/>
      </w:pPr>
    </w:p>
    <w:p w14:paraId="53421E1B" w14:textId="77777777" w:rsidR="008D479B" w:rsidRDefault="008D479B" w:rsidP="008D479B">
      <w:pPr>
        <w:pStyle w:val="TextoNormal"/>
      </w:pPr>
      <w:r>
        <w:t>En segundo lugar, desarrolla el abogado del Estado los argumentos por los que entiende que la LORE, en contra de lo que sostienen los recurrentes, no “deslegaliza” esta cuestión.</w:t>
      </w:r>
    </w:p>
    <w:p w14:paraId="0627F085" w14:textId="77777777" w:rsidR="008D479B" w:rsidRDefault="008D479B" w:rsidP="008D479B">
      <w:pPr>
        <w:pStyle w:val="TextoNormal"/>
      </w:pPr>
    </w:p>
    <w:p w14:paraId="3C533714" w14:textId="77777777" w:rsidR="008D479B" w:rsidRDefault="008D479B" w:rsidP="008D479B">
      <w:pPr>
        <w:pStyle w:val="TextoNormal"/>
      </w:pPr>
      <w:r>
        <w:t xml:space="preserve">Por una parte, en relación con el “presupuesto de la incapacidad de hecho”, este se define en el art. 3 h) LORE y se hace en términos equivalentes a otras normas, pues la falta de entendimiento y voluntad suficiente para autodeterminarse es una cuestión fáctica que requiere un examen caso por caso, por lo que no cabe, desde el punto de vista de la técnica legislativa, mayor precisión. Sobre la eventual ausencia de “control judicial”, lo que verdaderamente está haciendo el legislador es establecer una garantía adicional para evitar que pueda aplicarse la prestación de ayuda para morir a quien no tenga plenas capacidades para autodeterminarse, aun cuando un tribunal no se haya pronunciado aún sobre sus capacidades en general para regir su persona. Tampoco se da la vulneración de la reserva de ley orgánica, </w:t>
      </w:r>
      <w:r w:rsidRPr="008D479B">
        <w:rPr>
          <w:i/>
        </w:rPr>
        <w:t>ex</w:t>
      </w:r>
      <w:r>
        <w:t xml:space="preserve"> art. 81 CE, por facultar al Consejo Interterritorial de Salud para la elaboración de buenas prácticas y de criterios de aplicación del art. 5.2 LORE. Como ponen de manifiesto otras previsiones de la LORE [disposición adicional sexta y art. 18 c)], se trata de guías prácticas o recomendaciones, sin valor normativo, cuya finalidad no es otra que el establecimiento de unas pautas que aseguren la debida coordinación y correcta aplicación de la Ley.</w:t>
      </w:r>
    </w:p>
    <w:p w14:paraId="1F5EA877" w14:textId="77777777" w:rsidR="008D479B" w:rsidRDefault="008D479B" w:rsidP="008D479B">
      <w:pPr>
        <w:pStyle w:val="TextoNormal"/>
      </w:pPr>
    </w:p>
    <w:p w14:paraId="4C25CC30" w14:textId="77777777" w:rsidR="008D479B" w:rsidRDefault="008D479B" w:rsidP="008D479B">
      <w:pPr>
        <w:pStyle w:val="TextoNormal"/>
      </w:pPr>
      <w:r>
        <w:t xml:space="preserve">Por otra parte, en relación con los “documentos de instrucciones previas”, la demanda realiza una interpretación de la regulación del art. 5.2 LORE que, en último extremo, supone cercenar la posibilidad de autodeterminación de las personas en los términos consagrados por la jurisprudencia del Tribunal Constitucional y del Tribunal Europeo de Derechos Humanos. No es cierto que la Ley equipare el documento de instrucciones previas con cualquier instrumento documental. Sobre la base de lo recogido en el art. 11 de la Ley 41/2002, de 14 de noviembre, básica reguladora de la autonomía del paciente y de derechos y obligaciones en materia de información y documentación clínica, cada uno de los servicios de salud ha implantado los procedimientos y modelos de documentos análogos con distintas denominaciones (instrucciones previas, voluntades anticipadas, documento de expresión anticipada de voluntades, etc.; de aquí que la Ley Orgánica no establezca un </w:t>
      </w:r>
      <w:r w:rsidRPr="008D479B">
        <w:rPr>
          <w:i/>
        </w:rPr>
        <w:t>nomen iuris</w:t>
      </w:r>
      <w:r>
        <w:t xml:space="preserve"> determinado, siempre que tengan los mismos efectos previstos por la Ley). El proceso de elaboración y suscripción del documento de instrucciones previas varía en cada comunidad autónoma si bien todas ellas han incorporado garantías y controles para asegurar la seguridad jurídica y la libre manifestación de la voluntad del paciente, como la firma del documento ante notario o ante varios testigos.</w:t>
      </w:r>
    </w:p>
    <w:p w14:paraId="4FE3251F" w14:textId="77777777" w:rsidR="008D479B" w:rsidRDefault="008D479B" w:rsidP="008D479B">
      <w:pPr>
        <w:pStyle w:val="TextoNormal"/>
      </w:pPr>
    </w:p>
    <w:p w14:paraId="7ACAA760" w14:textId="77777777" w:rsidR="008D479B" w:rsidRDefault="008D479B" w:rsidP="008D479B">
      <w:pPr>
        <w:pStyle w:val="TextoNormal"/>
      </w:pPr>
      <w:r>
        <w:t>Por último, se descarta que no se cumplan garantías en relación con la verificación de los requisitos exigidos por el art. 5.2 LORE. La verificación del cumplimiento se realiza por el médico responsable y por el médico consultor (art. 5.3 LORE) y, finalmente, por la comisión de garantía y evaluación de conformidad con el art. 10 LORE.</w:t>
      </w:r>
    </w:p>
    <w:p w14:paraId="23F788C5" w14:textId="77777777" w:rsidR="008D479B" w:rsidRDefault="008D479B" w:rsidP="008D479B">
      <w:pPr>
        <w:pStyle w:val="TextoNormal"/>
      </w:pPr>
    </w:p>
    <w:p w14:paraId="307B395B" w14:textId="77777777" w:rsidR="008D479B" w:rsidRDefault="008D479B" w:rsidP="008D479B">
      <w:pPr>
        <w:pStyle w:val="TextoNormal"/>
      </w:pPr>
      <w:r>
        <w:t>(iv) En relación con la ausencia del carácter imperativo de la entrevista personal del solicitante ante la comisión de garantía y evaluación (art. 10.2 LORE), el abogado del Estado afirma que la entrevista personal está prevista a través del “proceso deliberativo” del art. 8.1 LORE, lo que hace innecesaria su reiteración. El proceso deliberativo clínico sirve, por tanto, para verificar si el paciente cuenta con capacidad de comprensión y de apreciación, un razonamiento coherente; y, además, a fin de posibilitar su control por el médico consultor y posteriormente por la comisión de garantías, se impone su debida documentación [arts. 4.2 y 12 b) 6 LORE]. De este modo, el carácter potestativo de la entrevista personal ante la comisión se justifica, primero, por reservar un margen de actuación suficiente a la comisión y, segundo, por el hecho de que una entrevista obligatoria podría afectar a la dignidad personal del solicitante y generar una excesiva intromisión.</w:t>
      </w:r>
    </w:p>
    <w:p w14:paraId="72617DDB" w14:textId="77777777" w:rsidR="008D479B" w:rsidRDefault="008D479B" w:rsidP="008D479B">
      <w:pPr>
        <w:pStyle w:val="TextoNormal"/>
      </w:pPr>
    </w:p>
    <w:p w14:paraId="7C248275" w14:textId="77777777" w:rsidR="008D479B" w:rsidRDefault="008D479B" w:rsidP="008D479B">
      <w:pPr>
        <w:pStyle w:val="TextoNormal"/>
      </w:pPr>
      <w:r>
        <w:t xml:space="preserve">(v) Sobre la ausencia de un recurso jurisdiccional frente a las decisiones que autorizan la eutanasia, el abogado del Estado argumenta que el hecho de que la LORE, en garantía del paciente cuyos derechos personalísimos están en juego, únicamente prevea en el art. 10.5 que podrá ser recurrida por aquel ante la jurisdicción contencioso-administrativa la resolución de las comisiones desfavorable a su petición, no supone </w:t>
      </w:r>
      <w:r w:rsidRPr="008D479B">
        <w:rPr>
          <w:i/>
        </w:rPr>
        <w:t>sensu contrario</w:t>
      </w:r>
      <w:r>
        <w:t xml:space="preserve"> que sea irrecurrible la resolución favorable. Las resoluciones favorables que habilitan a la prestación de la asistencia a morir (incluidas las que se dictan en los supuestos del art. 5.2 LORE) son un acto de la comisión de garantía y evaluación en el ejercicio de la verificación previa que le atribuye el art. 10 LORE. Dichas comisiones, por expresa disposición del art. 17.2 LORE, tienen la “naturaleza de órgano administrativo”. Por consiguiente, sus decisiones, como tales actos de sujetos administrativos, son susceptibles siempre, por principio, de control jurisdiccional a instancia de quien alegue y acredite un interés legítimo </w:t>
      </w:r>
      <w:r w:rsidRPr="008D479B">
        <w:rPr>
          <w:i/>
        </w:rPr>
        <w:t>ex</w:t>
      </w:r>
      <w:r>
        <w:t xml:space="preserve"> art. 106 CE y art. 1 de la Ley 29/1998, de 13 de julio, reguladora de la jurisdicción contencioso-administrativa.</w:t>
      </w:r>
    </w:p>
    <w:p w14:paraId="678C5181" w14:textId="77777777" w:rsidR="008D479B" w:rsidRDefault="008D479B" w:rsidP="008D479B">
      <w:pPr>
        <w:pStyle w:val="TextoNormal"/>
      </w:pPr>
    </w:p>
    <w:p w14:paraId="3D37D4AA" w14:textId="77777777" w:rsidR="008D479B" w:rsidRDefault="008D479B" w:rsidP="008D479B">
      <w:pPr>
        <w:pStyle w:val="TextoNormal"/>
      </w:pPr>
      <w:r>
        <w:t>(vi) La demanda reprocha a la LORE establecer un insuficiente estándar de cuidados que permita despejar las presiones externas al afectado por el “contexto eutanásico”, sin fundamentación alguna a juicio de la Abogacía del Estado. El recurso está planteando una suerte de inconstitucionalidad por omisión (SSTC 24/1982, de 13 de mayo, FJ 3, y 273/2005, de 27 de octubre, FJ 9), porque a juicio de los recurrentes el legislador, antes de haber regulado la prestación de asistencia para morir, debería haber optado por otra alternativa legislativa cual es la universalización de los cuidados paliativos.</w:t>
      </w:r>
    </w:p>
    <w:p w14:paraId="1979BFC3" w14:textId="77777777" w:rsidR="008D479B" w:rsidRDefault="008D479B" w:rsidP="008D479B">
      <w:pPr>
        <w:pStyle w:val="TextoNormal"/>
      </w:pPr>
    </w:p>
    <w:p w14:paraId="00060D2E" w14:textId="77777777" w:rsidR="008D479B" w:rsidRDefault="008D479B" w:rsidP="008D479B">
      <w:pPr>
        <w:pStyle w:val="TextoNormal"/>
      </w:pPr>
      <w:r>
        <w:t>La introducción de una prestación adicional, la prestación de ayuda para morir, en la cartera común de servicios del Sistema Nacional de Salud no supone una eliminación de las ya existentes: la prestación de ayuda para morir reconocida en la Ley Orgánica recurrida tiene por tanto un carácter autónomo y no excluye la atención paliativa. Es más, la atención paliativa al paciente en situación terminal queda garantizada como una de las prestaciones básicas para todos los españoles y residentes, de acuerdo con lo previsto en los arts. 12.2 g) (atención primaria) y 13.2 f) (atención especializada) de la Ley 16/2003, de 28 de mayo, de cohesión y calidad del Sistema Nacional de Salud, y la estrategia en cuidados paliativos del Sistema Nacional de Salud, aprobada el 17 de marzo de 2007 por unanimidad en el seno del Consejo Interterritorial del Sistema Nacional de Salud.</w:t>
      </w:r>
    </w:p>
    <w:p w14:paraId="09075105" w14:textId="77777777" w:rsidR="008D479B" w:rsidRDefault="008D479B" w:rsidP="008D479B">
      <w:pPr>
        <w:pStyle w:val="TextoNormal"/>
      </w:pPr>
    </w:p>
    <w:p w14:paraId="1D54CAF5" w14:textId="77777777" w:rsidR="008D479B" w:rsidRDefault="008D479B" w:rsidP="008D479B">
      <w:pPr>
        <w:pStyle w:val="TextoNormal"/>
      </w:pPr>
      <w:r>
        <w:t>Además, el paciente, aun en un contexto eutanásico, puede siempre optar entre la prestación de asistencia para morir o continuar viviendo con cuidados paliativos. La propia LORE configura la obligación de informar al paciente sobre la posibilidad de acceder a cuidados paliativos no como un puro trámite formal, sino como un requisito indispensable para poder acceder a la prestación de la ayuda para morir.</w:t>
      </w:r>
    </w:p>
    <w:p w14:paraId="2A2149BC" w14:textId="77777777" w:rsidR="008D479B" w:rsidRDefault="008D479B" w:rsidP="008D479B">
      <w:pPr>
        <w:pStyle w:val="TextoNormal"/>
      </w:pPr>
    </w:p>
    <w:p w14:paraId="5BD53967" w14:textId="77777777" w:rsidR="008D479B" w:rsidRDefault="008D479B" w:rsidP="008D479B">
      <w:pPr>
        <w:pStyle w:val="TextoNormal"/>
      </w:pPr>
      <w:r>
        <w:t>(vii) En relación con las insuficientes garantías relativas a un eventual conflicto de intereses en los centros privados y concertados, afirma el abogado del Estado que la simple sospecha generalizada de un posible conflicto de intereses en cualesquiera centros privados donde se preste la asistencia para morir (que por lo mismo podría extenderse a cualquier tratamiento o asistencia dado en dichos centros privados) supone un prejuicio sin fundamento que seriamente no debería ser admitido para analizar la posible inconstitucionalidad de la LORE.</w:t>
      </w:r>
    </w:p>
    <w:p w14:paraId="34EE2D6C" w14:textId="77777777" w:rsidR="008D479B" w:rsidRDefault="008D479B" w:rsidP="008D479B">
      <w:pPr>
        <w:pStyle w:val="TextoNormal"/>
      </w:pPr>
    </w:p>
    <w:p w14:paraId="38478FD1" w14:textId="77777777" w:rsidR="008D479B" w:rsidRDefault="008D479B" w:rsidP="008D479B">
      <w:pPr>
        <w:pStyle w:val="TextoNormal"/>
      </w:pPr>
      <w:r>
        <w:t xml:space="preserve">El art. 14 </w:t>
      </w:r>
      <w:r w:rsidRPr="008D479B">
        <w:rPr>
          <w:i/>
        </w:rPr>
        <w:t>in fine</w:t>
      </w:r>
      <w:r>
        <w:t xml:space="preserve"> LORE diferencia entre dos causas de prohibición de intervenir en los equipos profesionales: (a) el conflicto de intereses, cuya regulación se encuentra ampliamente recogida en la legislación vigente y se encuentra integrada profundamente en la deontología profesional y la praxis clínica, y (b) el hecho de resultar beneficiado de la práctica de la eutanasia con independencia de que el profesional desempeñe sus funciones en un centro o establecimiento de titularidad pública o privada.</w:t>
      </w:r>
    </w:p>
    <w:p w14:paraId="3BCAB45D" w14:textId="77777777" w:rsidR="008D479B" w:rsidRDefault="008D479B" w:rsidP="008D479B">
      <w:pPr>
        <w:pStyle w:val="TextoNormal"/>
      </w:pPr>
    </w:p>
    <w:p w14:paraId="380B262C" w14:textId="77777777" w:rsidR="008D479B" w:rsidRDefault="008D479B" w:rsidP="008D479B">
      <w:pPr>
        <w:pStyle w:val="TextoNormal"/>
      </w:pPr>
      <w:r>
        <w:t>(viii) Frente a la crítica de que la LORE no ofrece suficientes garantías en relación con la potencial presión externa, el abogado del Estado subraya su carácter injustificado. La Ley Orgánica establece no solo de manera taxativa que la prestación de ayuda para morir solo podrá aplicarse con el consentimiento libre y debidamente informado del paciente, sino que establece todo un elenco de garantías para que así sea. El hecho de que el legislador adicionalmente añada la cautela de que por consentimiento libre se entienda en todo caso que “no sea el resultado de ninguna presión externa”, cualquiera que esta sea, no le obliga a hacer un elenco de circunstancias que se entiendan por presiones externas, ni mucho menos hacer una suerte de “definición de pesos” como parece que propone el recurso.</w:t>
      </w:r>
    </w:p>
    <w:p w14:paraId="6702B3A7" w14:textId="77777777" w:rsidR="008D479B" w:rsidRDefault="008D479B" w:rsidP="008D479B">
      <w:pPr>
        <w:pStyle w:val="TextoNormal"/>
      </w:pPr>
    </w:p>
    <w:p w14:paraId="17C0E105" w14:textId="77777777" w:rsidR="008D479B" w:rsidRDefault="008D479B" w:rsidP="008D479B">
      <w:pPr>
        <w:pStyle w:val="TextoNormal"/>
      </w:pPr>
      <w:r>
        <w:t xml:space="preserve">La comparativa con la normativa de trasplantes es improcedente pues se trata de una materia con su propia singularidad. La intervención del juez en el procedimiento de trasplante de órganos lo es en un expediente de jurisdicción voluntaria (arts. 78 a 80 de la Ley 15/2015, de 2 de julio, de la jurisdicción voluntaria). Si comparamos ambos procedimientos, el de trasplantes es más simple, y lo que en modo alguno puede sostenerse es que el detallado </w:t>
      </w:r>
      <w:r w:rsidRPr="008D479B">
        <w:rPr>
          <w:i/>
        </w:rPr>
        <w:t>iter</w:t>
      </w:r>
      <w:r>
        <w:t xml:space="preserve"> procedimental que marca la LORE ofrezca un nivel de garantías menor en su conjunto para asegurarse de que la misma se aplica solo con el consentimiento debidamente informado del paciente y de acuerdo con su voluntad libremente expresada.</w:t>
      </w:r>
    </w:p>
    <w:p w14:paraId="5D353567" w14:textId="77777777" w:rsidR="008D479B" w:rsidRDefault="008D479B" w:rsidP="008D479B">
      <w:pPr>
        <w:pStyle w:val="TextoNormal"/>
      </w:pPr>
    </w:p>
    <w:p w14:paraId="6754A367" w14:textId="77777777" w:rsidR="008D479B" w:rsidRDefault="008D479B" w:rsidP="008D479B">
      <w:pPr>
        <w:pStyle w:val="TextoNormal"/>
      </w:pPr>
      <w:r>
        <w:t>Argumenta la abogacía del Estado que la inconstitucionalidad de la LORE no puede verificarse mediante la comparación de las diferentes alternativas adoptadas por el legislador en otros supuestos. No se puede ignorar que la LORE determina un procedimiento garantista sobre el consentimiento informado con sucesivas fases y mecanismos de control y verificación; todo ello debidamente documentado y sujeto a las eventuales responsabilidades civiles, administrativas e incluso penales de quienes intervienen en el proceso en caso de infracción de lo dispuesto en la Ley.</w:t>
      </w:r>
    </w:p>
    <w:p w14:paraId="66EC1CDF" w14:textId="77777777" w:rsidR="008D479B" w:rsidRDefault="008D479B" w:rsidP="008D479B">
      <w:pPr>
        <w:pStyle w:val="TextoNormal"/>
      </w:pPr>
    </w:p>
    <w:p w14:paraId="7B44E608" w14:textId="77777777" w:rsidR="008D479B" w:rsidRDefault="008D479B" w:rsidP="008D479B">
      <w:pPr>
        <w:pStyle w:val="TextoNormal"/>
      </w:pPr>
      <w:r>
        <w:t>(ix) En cuanto a la alegación de falta expresa de previsión de un posible control que venga a eliminar en un futuro posibles divergencias de criterios en la aplicación de la Ley Orgánica, el abogado del Estado alega que nuevamente se trata de un problema hipotético apoyado en una sospecha subjetiva de los recurrentes que queda extramuros del juicio de constitucionalidad (STC 185/2016, de 3 de noviembre).</w:t>
      </w:r>
    </w:p>
    <w:p w14:paraId="49819A10" w14:textId="77777777" w:rsidR="008D479B" w:rsidRDefault="008D479B" w:rsidP="008D479B">
      <w:pPr>
        <w:pStyle w:val="TextoNormal"/>
      </w:pPr>
    </w:p>
    <w:p w14:paraId="7E292D99" w14:textId="77777777" w:rsidR="008D479B" w:rsidRDefault="008D479B" w:rsidP="008D479B">
      <w:pPr>
        <w:pStyle w:val="TextoNormal"/>
      </w:pPr>
      <w:r>
        <w:t xml:space="preserve">c) La Abogacía del Estado analiza, seguidamente, los motivos que consideran el sistema establecido por la LORE incompatible con el principio de seguridad jurídica (art. 9.3 CE) y el derecho fundamental a la vida </w:t>
      </w:r>
      <w:r w:rsidRPr="008D479B">
        <w:rPr>
          <w:i/>
        </w:rPr>
        <w:t>ex</w:t>
      </w:r>
      <w:r>
        <w:t xml:space="preserve"> arts. 15 CE y 2 CEDH, por las ambigüedades terminológicas y la ausencia de un contro</w:t>
      </w:r>
      <w:r w:rsidRPr="008D479B">
        <w:rPr>
          <w:i/>
        </w:rPr>
        <w:t>l ex po</w:t>
      </w:r>
      <w:r>
        <w:t>st de la norma.</w:t>
      </w:r>
    </w:p>
    <w:p w14:paraId="561B45EF" w14:textId="77777777" w:rsidR="008D479B" w:rsidRDefault="008D479B" w:rsidP="008D479B">
      <w:pPr>
        <w:pStyle w:val="TextoNormal"/>
      </w:pPr>
    </w:p>
    <w:p w14:paraId="02C7FE71" w14:textId="77777777" w:rsidR="008D479B" w:rsidRDefault="008D479B" w:rsidP="008D479B">
      <w:pPr>
        <w:pStyle w:val="TextoNormal"/>
      </w:pPr>
      <w:r>
        <w:t>(i) Las críticas a la ambigüedad terminológica se centran en tres aspectos. En primer lugar, en la indeterminación del significado de “contexto eutanásico”, determinación de los sujetos y situaciones en los que se puede solicitar la eutanasia. Afirma el abogado del Estado que el Estado dispone un amplio margen para regular la prestación de la ayuda para morir, sin que ni el CEDH (y la jurisprudencia del Tribunal Europeo de Derechos Humanos) ni la Constitución exijan reducir su aplicación únicamente al caso de los enfermos terminales.</w:t>
      </w:r>
    </w:p>
    <w:p w14:paraId="330A2E62" w14:textId="77777777" w:rsidR="008D479B" w:rsidRDefault="008D479B" w:rsidP="008D479B">
      <w:pPr>
        <w:pStyle w:val="TextoNormal"/>
      </w:pPr>
    </w:p>
    <w:p w14:paraId="0605A8E2" w14:textId="77777777" w:rsidR="008D479B" w:rsidRDefault="008D479B" w:rsidP="008D479B">
      <w:pPr>
        <w:pStyle w:val="TextoNormal"/>
      </w:pPr>
      <w:r>
        <w:t>Señala el abogado del Estado que la Ley no es ambigua, ni cabe aplicarse a la totalidad de las solicitudes, ni tampoco engloba cualquier situación de discapacidad, pues se acota jurídicamente lo que se ha de entender por “padecimiento grave, crónico e imposibilitante” y por “enfermedad grave e incurable” [art. 5.1 d) en conexión con el art. 3 b) y c) LORE]. La LORE precisa suficientemente ambos conceptos, pero dejando el margen de apreciación necesario para que los distintos profesionales involucrados en el proceso de solicitud de la prestación de ayuda para morir (médico responsable, médico consultor y comisión de garantía y evaluación) puedan evaluar la concurrencia de tales requisitos de acuerdo con la normativa sanitaria, además de praxis clínica en cada momento seguida, y teniendo como guía los protocolos aprobados por el Consejo Interterritorial del Sistema Nacional de Salud. Y a ello se añaden las garantías procedimentales previstas en los arts. 8 y siguientes del texto legal.</w:t>
      </w:r>
    </w:p>
    <w:p w14:paraId="25C460A7" w14:textId="77777777" w:rsidR="008D479B" w:rsidRDefault="008D479B" w:rsidP="008D479B">
      <w:pPr>
        <w:pStyle w:val="TextoNormal"/>
      </w:pPr>
    </w:p>
    <w:p w14:paraId="76878938" w14:textId="77777777" w:rsidR="008D479B" w:rsidRDefault="008D479B" w:rsidP="008D479B">
      <w:pPr>
        <w:pStyle w:val="TextoNormal"/>
      </w:pPr>
      <w:r>
        <w:t>En segundo lugar, respecto de las quejas vertidas sobre la autenticación de la voluntad del paciente, contrapone el abogado del Estado que el extenso elenco de garantías que necesariamente deben observarse asegura que la asistencia para morir solo se preste a favor de personas que así lo desean libre y conscientemente, y previo el debido consentimiento informado. Es, por ello, que rechaza las críticas que se formulan a la brevedad de los plazos, ya sean los del proceso deliberativo entre el médico y el paciente (art. 8.1 LORE), ya los que median entre la primera y la segunda solicitud en los supuestos de pérdida de capacidad [art. 5.1 c) LORE]; y lo hace añadiendo que cualquier restricción, incluidas las procedimentales, ha de estar presidida por el principio de proporcionalidad, pues la persona que solicita la eutanasia está ejerciendo su propia autodeterminación, amparada por el art. 8 CEDH.</w:t>
      </w:r>
    </w:p>
    <w:p w14:paraId="744948E2" w14:textId="77777777" w:rsidR="008D479B" w:rsidRDefault="008D479B" w:rsidP="008D479B">
      <w:pPr>
        <w:pStyle w:val="TextoNormal"/>
      </w:pPr>
    </w:p>
    <w:p w14:paraId="63FBDB9A" w14:textId="77777777" w:rsidR="008D479B" w:rsidRDefault="008D479B" w:rsidP="008D479B">
      <w:pPr>
        <w:pStyle w:val="TextoNormal"/>
      </w:pPr>
      <w:r>
        <w:t>En tercer lugar, se rechaza, por incompresible, la queja relativa a la indeterminación del profesional sanitario que practicará la eutanasia, pues los médicos y demás personal que participen en la realización de la prestación serán quienes en cada momento hayan de prestar tal asistencia de acuerdo con la organización interna de cada centro sanitario. Lo que sí es objeto de atención del legislador es tanto el modo de proceder o régimen de actuación (art. 11 LORE), como las garantías en favor del paciente para asegurar la corrección de la actuación del personal (art. 12 LORE).</w:t>
      </w:r>
    </w:p>
    <w:p w14:paraId="27DEA2A0" w14:textId="77777777" w:rsidR="008D479B" w:rsidRDefault="008D479B" w:rsidP="008D479B">
      <w:pPr>
        <w:pStyle w:val="TextoNormal"/>
      </w:pPr>
    </w:p>
    <w:p w14:paraId="04988D3B" w14:textId="77777777" w:rsidR="008D479B" w:rsidRDefault="008D479B" w:rsidP="008D479B">
      <w:pPr>
        <w:pStyle w:val="TextoNormal"/>
      </w:pPr>
      <w:r>
        <w:t xml:space="preserve">(ii) El abogado del Estado rechaza, igualmente, la queja relativa a la vulneración del principio de seguridad jurídica (art. 9.3 CE) por falta de un control </w:t>
      </w:r>
      <w:r w:rsidRPr="008D479B">
        <w:rPr>
          <w:i/>
        </w:rPr>
        <w:t>ex post</w:t>
      </w:r>
      <w:r>
        <w:t xml:space="preserve"> de la norma, al entender que se cuestiona la constitucionalidad sobre la base de una exigencia de técnica legislativa. Entre los límites establecidos por la Constitución al legislador no se encuentra en modo alguno la necesidad de que en toda ley se incluyan mecanismos que </w:t>
      </w:r>
      <w:r w:rsidRPr="008D479B">
        <w:rPr>
          <w:i/>
        </w:rPr>
        <w:t>ex post</w:t>
      </w:r>
      <w:r>
        <w:t xml:space="preserve"> revisen el modo en que se esté aplicando y verifique si en la evolución de las circunstancias puede ser conveniente modificar la Ley. Esta revisión </w:t>
      </w:r>
      <w:r w:rsidRPr="008D479B">
        <w:rPr>
          <w:i/>
        </w:rPr>
        <w:t>ex post</w:t>
      </w:r>
      <w:r>
        <w:t xml:space="preserve"> de las normas es algo que claramente va más allá del principio de seguridad jurídica y no deja de ser una opción de buena técnica legislativa que como tal no puede ser objeto del presente recurso (STC 136/2011, FJ 3).</w:t>
      </w:r>
    </w:p>
    <w:p w14:paraId="1216E210" w14:textId="77777777" w:rsidR="008D479B" w:rsidRDefault="008D479B" w:rsidP="008D479B">
      <w:pPr>
        <w:pStyle w:val="TextoNormal"/>
      </w:pPr>
    </w:p>
    <w:p w14:paraId="3C9516DB" w14:textId="77777777" w:rsidR="008D479B" w:rsidRDefault="008D479B" w:rsidP="008D479B">
      <w:pPr>
        <w:pStyle w:val="TextoNormal"/>
      </w:pPr>
      <w:r>
        <w:t xml:space="preserve">C) </w:t>
      </w:r>
      <w:r w:rsidRPr="008D479B">
        <w:rPr>
          <w:i/>
        </w:rPr>
        <w:t>Infracción de la libertad ideológica y religiosa del art. 16 CE por restringir de forma desproporcionada el derecho a la objeción de conciencia, negando su titularidad a las personas jurídicas</w:t>
      </w:r>
    </w:p>
    <w:p w14:paraId="4DA0E864" w14:textId="77777777" w:rsidR="008D479B" w:rsidRDefault="008D479B" w:rsidP="008D479B">
      <w:pPr>
        <w:pStyle w:val="TextoNormal"/>
      </w:pPr>
    </w:p>
    <w:p w14:paraId="7D822DB3" w14:textId="77777777" w:rsidR="008D479B" w:rsidRDefault="008D479B" w:rsidP="008D479B">
      <w:pPr>
        <w:pStyle w:val="TextoNormal"/>
      </w:pPr>
      <w:r>
        <w:t>a) El recurso plantea, en primer lugar, que el art. 16.2 LORE supone una injerencia absolutamente desproporcionada en la libertad de conciencia de los profesionales sanitarios, cuando mandata a las administraciones sanitarias la creación de un registro de profesionales sanitarios objetores de conciencia. Sostiene la Abogacía del Estado que la finalidad última de la creación de este registro es asegurar la prestación efectiva de la ayuda para morir, sin que la legítima objeción de conciencia de los profesionales involucrados pueda afectar al normal desarrollo del proceso o a la dignidad del paciente (cita la STC 151/2014, FJ 5).</w:t>
      </w:r>
    </w:p>
    <w:p w14:paraId="1ACC4B14" w14:textId="77777777" w:rsidR="008D479B" w:rsidRDefault="008D479B" w:rsidP="008D479B">
      <w:pPr>
        <w:pStyle w:val="TextoNormal"/>
      </w:pPr>
    </w:p>
    <w:p w14:paraId="1D221E04" w14:textId="77777777" w:rsidR="008D479B" w:rsidRDefault="008D479B" w:rsidP="008D479B">
      <w:pPr>
        <w:pStyle w:val="TextoNormal"/>
      </w:pPr>
      <w:r>
        <w:t>b) En segundo lugar, la demanda alega una injerencia en las competencias autonómicas que, a juicio del abogado del Estado, carece de fundamentación. El art. 16.2 LORE está claramente amparado en la competencia exclusiva del Estado sobre bases y coordinación general de la sanidad (y que en todo caso igualmente tendría su acomodo en la competencia para la regulación de las condiciones básicas que garanticen la igualdad de todos los españoles en el ejercicio de los derechos y en el cumplimiento de los deberes constitucionales). Con base en la doctrina fijada en las SSTC 32/1983, de 28 de abril, FJ 2, y 98/2004, de 25 de mayo, FJ 7, afirma el abogado del Estado que el citado art. 16.2 LORE establece el mínimo común denominador de un instrumento que se aprecia necesario para garantizar la efectiva prestación de la asistencia para morir en todo el territorio nacional, pero sin regularlo a tal nivel de detalle que invada las competencias en materia de sanidad de las comunidades autónomas.</w:t>
      </w:r>
    </w:p>
    <w:p w14:paraId="5EF6CFAF" w14:textId="77777777" w:rsidR="008D479B" w:rsidRDefault="008D479B" w:rsidP="008D479B">
      <w:pPr>
        <w:pStyle w:val="TextoNormal"/>
      </w:pPr>
    </w:p>
    <w:p w14:paraId="7962CE42" w14:textId="77777777" w:rsidR="008D479B" w:rsidRDefault="008D479B" w:rsidP="008D479B">
      <w:pPr>
        <w:pStyle w:val="TextoNormal"/>
      </w:pPr>
      <w:r>
        <w:t>c) En tercer lugar, la Abogacía del Estado considera también carente de fundamentación la supuesta restricción de la objeción de conciencia de las personas jurídicas. Una cuestión es que la objeción de conciencia derive, como una manifestación concreta, del derecho a la libertad ideológica y religiosa, y otra bien distinta es que pueda alegarse la objeción de conciencia para evitar la aplicación de cualesquiera normas jurídicas por el mero hecho de ostentar una idea o creencia amparada por las libertades del art. 16 CE. De acuerdo con la doctrina constitucional, no resulta procedente ni una generalización del derecho a la objeción de conciencia, ni extenderlo a cualquier ámbito en que se invoque la libertad ideológica (SSTC 53/1985; 161/1987, de 27 de octubre, FJ 3; 55/1996, de 28 de marzo, y 145/2015, FJ 6). Ninguna sentencia ha reconocido la titularidad del derecho a la objeción de conciencia a personas jurídicas; estando íntimamente vinculado a las convicciones más íntimas de un sujeto, no parece que por su naturaleza pueda este derecho extenderse a entidades cuya voluntad se forma a través de órganos en las que intervienen personas físicas de convicciones no necesariamente coincidentes.</w:t>
      </w:r>
    </w:p>
    <w:p w14:paraId="4A482F7F" w14:textId="77777777" w:rsidR="008D479B" w:rsidRDefault="008D479B" w:rsidP="008D479B">
      <w:pPr>
        <w:pStyle w:val="TextoNormal"/>
      </w:pPr>
    </w:p>
    <w:p w14:paraId="4AD07E69" w14:textId="77777777" w:rsidR="008D479B" w:rsidRDefault="008D479B" w:rsidP="008D479B">
      <w:pPr>
        <w:pStyle w:val="TextoNormal"/>
      </w:pPr>
      <w:r>
        <w:t>Argumenta el abogado del Estado que ni siquiera su operatividad en el ámbito de las personas jurídicas es necesario, puesto que las entidades privadas gozan del derecho, sujeto en todo caso a las prescripciones legales, de decidir si desean prestar determinadas prestaciones sanitarias (e incluir entre ellas o no la prestación de ayuda para morir) y también voluntariamente suscribir en su caso los conciertos para colaborar con el Sistema Nacional de Salud. Estamos por tanto ante un ámbito en el que juega la libertad de empresa del art. 38 CE, pero no tiene sentido siquiera que pueda invocarse una libertad de conciencia frente a un deber público, que el ordenamiento constitucional solo prevé restrictivamente para determinados casos. Y añade que aun cuando hipotéticamente se entendiese que sí puede invocarse por las personas jurídicas una suerte de objeción de conciencia, el hecho de que la LORE no lo prevea expresamente no la vicia de inconstitucionalidad, pues el derecho a la objeción de conciencia existe y puede ser ejercido con independencia de que se haya dictado o no regulación (STC 53/1985, FJ 14).</w:t>
      </w:r>
    </w:p>
    <w:p w14:paraId="5D189EFD" w14:textId="77777777" w:rsidR="008D479B" w:rsidRDefault="008D479B" w:rsidP="008D479B">
      <w:pPr>
        <w:pStyle w:val="TextoNormal"/>
      </w:pPr>
    </w:p>
    <w:p w14:paraId="4BAD84C3" w14:textId="77777777" w:rsidR="008D479B" w:rsidRDefault="008D479B" w:rsidP="008D479B">
      <w:pPr>
        <w:pStyle w:val="TextoNormal"/>
      </w:pPr>
      <w:r>
        <w:t>d) En cuarto y último lugar, el abogado del Estado examina la eventual vulneración de los derechos reconocidos en el art. 35.1 CE, tomando como punto de partida el contenido de los mismos fijados en la STC 22/1981, de 2 de julio, FJ 8. Nada hay en la LORE que impida el ejercicio de estos derechos, máxime cuando lo que hace la Ley no afecta a la libertad de elegir un trabajo, ni a los derechos de acceso o mantenimiento en un puesto de trabajo, sino que lo que hace es regular un derecho de los individuos, concretamente a recibir una determinada prestación de ayuda para morir, en la cartera común de servicios del Sistema Nacional de Salud, sin eliminación alguna de las prestaciones sanitarias ya existentes. No forma parte de los contenidos de la libertad profesional, reconocidos por el Tribunal Constitucional, una supuesta facultad de imponer una determinada concepción de lo que debería ser una actividad que, además, en el caso que nos ocupa, supondría un menoscabo evidente en las prerrogativas de las administraciones públicas sanitarias para organizar el funcionamiento de los servicios sanitarios.</w:t>
      </w:r>
    </w:p>
    <w:p w14:paraId="38E33D5C" w14:textId="77777777" w:rsidR="008D479B" w:rsidRDefault="008D479B" w:rsidP="008D479B">
      <w:pPr>
        <w:pStyle w:val="TextoNormal"/>
      </w:pPr>
    </w:p>
    <w:p w14:paraId="5421CC22" w14:textId="77777777" w:rsidR="008D479B" w:rsidRDefault="008D479B" w:rsidP="008D479B">
      <w:pPr>
        <w:pStyle w:val="TextoNormal"/>
      </w:pPr>
      <w:r>
        <w:t>En conclusión, la LORE no afecta ni menoscaba la libertad del profesional sanitario ni la presunta libertad profesional de las organizaciones, instituciones, centros o unidades sanitarias. Y en última instancia debe recordarse que la Ley Orgánica no impone una obligación de participar en dicha prestación sanitaria; y es vía el ejercicio del derecho a la objeción de conciencia que regula cuando se posibilita que el profesional sanitario que así lo desee se autoexcluya.</w:t>
      </w:r>
    </w:p>
    <w:p w14:paraId="50C6FE2E" w14:textId="77777777" w:rsidR="008D479B" w:rsidRDefault="008D479B" w:rsidP="008D479B">
      <w:pPr>
        <w:pStyle w:val="TextoNormal"/>
      </w:pPr>
    </w:p>
    <w:p w14:paraId="086F058C" w14:textId="77777777" w:rsidR="008D479B" w:rsidRDefault="008D479B" w:rsidP="008D479B">
      <w:pPr>
        <w:pStyle w:val="TextoNormal"/>
      </w:pPr>
      <w:r>
        <w:t xml:space="preserve">D) </w:t>
      </w:r>
      <w:r w:rsidRPr="008D479B">
        <w:rPr>
          <w:i/>
        </w:rPr>
        <w:t>Infracción por los arts. 5.1 d), 3 b), 5.2 y 9 de la Ley Orgánica 3/2021 de los arts. 10.2 y 96.1 CE, así como de los arts. 14, 15, 10.1 y 49 CE, en relación con las personas con discapacidad, al promover la llamada “pendiente resbaladiza” y configurar un régimen de consentimiento anticipado incapaz de salvaguardar la protección de las personas vulnerables</w:t>
      </w:r>
    </w:p>
    <w:p w14:paraId="44E6905B" w14:textId="77777777" w:rsidR="008D479B" w:rsidRDefault="008D479B" w:rsidP="008D479B">
      <w:pPr>
        <w:pStyle w:val="TextoNormal"/>
      </w:pPr>
    </w:p>
    <w:p w14:paraId="5FC57A73" w14:textId="77777777" w:rsidR="008D479B" w:rsidRDefault="008D479B" w:rsidP="008D479B">
      <w:pPr>
        <w:pStyle w:val="TextoNormal"/>
      </w:pPr>
      <w:r>
        <w:t>a) El escrito del abogado del Estado niega la premisa mayor de la que parte el recurso: los términos del art. 3 LORE no están redactados de manera tan amplia que quepa cualquier situación de discapacidad o por la que cualquier persona con discapacidad pueda sentirse concernida por tal definición. Además, el “contexto eutanásico” se concreta en el art. 5.1 d) LORE y lo hace de tal manera que no es cierto que cualquier persona con discapacidad pueda entrar dentro de dicho presupuesto de hecho legal, pues las situaciones de discapacidad no llevan consigo necesariamente, por sí mismas, lo que cualquier tercer observador entendería por enfermedad grave e incurable, o padecimiento grave, crónico e imposibilitante.</w:t>
      </w:r>
    </w:p>
    <w:p w14:paraId="72CFC1B8" w14:textId="77777777" w:rsidR="008D479B" w:rsidRDefault="008D479B" w:rsidP="008D479B">
      <w:pPr>
        <w:pStyle w:val="TextoNormal"/>
      </w:pPr>
    </w:p>
    <w:p w14:paraId="27B1DBE5" w14:textId="77777777" w:rsidR="008D479B" w:rsidRDefault="008D479B" w:rsidP="008D479B">
      <w:pPr>
        <w:pStyle w:val="TextoNormal"/>
      </w:pPr>
      <w:r>
        <w:t>Igualmente, considera que los argumentos esgrimidos en la demanda sobre la apertura por la Ley de una “pendiente resbaladiza” son infundados y especulativos, careciendo de todo soporte probatorio. El cuidado que tiene la Ley al definir los presupuestos para poder solicitar la prestación de ayuda para morir y las garantías formales y procedimentales para asegurar que la decisión se toma debidamente informada, libre y conscientemente, huérfana de toda injerencia externa, permiten eliminar cualquier sospecha de “silenciosa coacción”. Ni todas las personas con discapacidad debe presuponerse que están en un posible contexto eutanásico tal y como lo define el art. 3 LORE, ni cualquier persona que solicite la prestación de ayuda para morir en los contextos previstos en el art. 3 ha de ser necesariamente una persona con discapacidad. En este caso, la LORE pone el foco en la capacidad de la persona para poder expresar libremente su voluntad, siempre que sufra una enfermedad grave e incurable o un padecimiento grave, crónico e imposibilitante, en coherencia con lo previsto en la Ley 41/2002, de autonomía del paciente y el Instrumento de ratificación del Convenio para la protección de los derechos humanos y la dignidad del ser humano con respecto a las aplicaciones de la biología y la medicina de 1997.</w:t>
      </w:r>
    </w:p>
    <w:p w14:paraId="560CA2F0" w14:textId="77777777" w:rsidR="008D479B" w:rsidRDefault="008D479B" w:rsidP="008D479B">
      <w:pPr>
        <w:pStyle w:val="TextoNormal"/>
      </w:pPr>
    </w:p>
    <w:p w14:paraId="238EF54A" w14:textId="77777777" w:rsidR="008D479B" w:rsidRDefault="008D479B" w:rsidP="008D479B">
      <w:pPr>
        <w:pStyle w:val="TextoNormal"/>
      </w:pPr>
      <w:r>
        <w:t>b) En relación con las alegaciones del recurso sobre la inconstitucionalidad de la regulación de la eutanasia cuando existan voluntades anticipadas, por ausencia de garantías para proteger la autonomía del sujeto, el abogado del Estado se reitera en los argumentos ya esgrimidos en relación con las situaciones de incapacidad de hecho que prevé el art. 5.2 LORE. Y recuerda que, en la eventual situación de que un paciente en contexto eutanásico con discapacidad, carezca de capacidad para tomar decisiones de manera plena y consciente, tampoco nos encontramos con ningún riesgo de “pendiente resbaladiza”, pues según el citado art. 5.2 LORE la prestación solo será posible, exclusivamente, si se da la existencia de un documento de instrucciones previas o documento análogo legalmente reconocido en el que quede clara la voluntad del paciente que así lo prevea.</w:t>
      </w:r>
    </w:p>
    <w:p w14:paraId="3F94AF28" w14:textId="77777777" w:rsidR="008D479B" w:rsidRDefault="008D479B" w:rsidP="008D479B">
      <w:pPr>
        <w:pStyle w:val="TextoNormal"/>
      </w:pPr>
    </w:p>
    <w:p w14:paraId="7087A750" w14:textId="77777777" w:rsidR="008D479B" w:rsidRDefault="008D479B" w:rsidP="008D479B">
      <w:pPr>
        <w:pStyle w:val="TextoNormal"/>
      </w:pPr>
      <w:r>
        <w:t xml:space="preserve">E) </w:t>
      </w:r>
      <w:r w:rsidRPr="008D479B">
        <w:rPr>
          <w:i/>
        </w:rPr>
        <w:t>Vulneración, por parte de la disposición adicional quinta de la Ley Orgánica, de los arts. 53.2, 168 y 169 CE, al configurar un inconstitucional proceso preferente y sumario para la tutela del derecho a la eutanasia</w:t>
      </w:r>
    </w:p>
    <w:p w14:paraId="3E9AE30D" w14:textId="77777777" w:rsidR="008D479B" w:rsidRDefault="008D479B" w:rsidP="008D479B">
      <w:pPr>
        <w:pStyle w:val="TextoNormal"/>
      </w:pPr>
    </w:p>
    <w:p w14:paraId="4E79D0C2" w14:textId="77777777" w:rsidR="008D479B" w:rsidRDefault="008D479B" w:rsidP="008D479B">
      <w:pPr>
        <w:pStyle w:val="TextoNormal"/>
      </w:pPr>
      <w:r>
        <w:t>a) Sostiene el abogado del Estado que los recurrentes realizan una errónea lectura del art. 53.2 CE. Dicho precepto contiene, por un lado, un mandato al legislador para que prevea en las normas procesales procedimientos para la protección de los derechos fundamentales que cumplan los requisitos de preferencia y celeridad (STC 113/1995, de 6 de julio, FJ 6). Y, por otro lado, un mandato a los órganos jurisdiccionales para interpretar las normas procesales que lo regulen de manera no excesivamente restrictiva que impida el efectivo derecho a la tutela de los mismos (STC 34/1989, de 14 de febrero, FJ 3). Pero lo que no tiene dicho precepto es una suerte de prohibición, dirigida al legislador, de que no pueda dar un tratamiento preferente y rápido a la tutela de otros derechos distintos de los estrictamente contemplados en el art. 14 y la sección primera del capítulo segundo y solo a esos.</w:t>
      </w:r>
    </w:p>
    <w:p w14:paraId="6D902C9B" w14:textId="77777777" w:rsidR="008D479B" w:rsidRDefault="008D479B" w:rsidP="008D479B">
      <w:pPr>
        <w:pStyle w:val="TextoNormal"/>
      </w:pPr>
    </w:p>
    <w:p w14:paraId="7F7640E4" w14:textId="77777777" w:rsidR="008D479B" w:rsidRDefault="008D479B" w:rsidP="008D479B">
      <w:pPr>
        <w:pStyle w:val="TextoNormal"/>
      </w:pPr>
      <w:r>
        <w:t>Las Cortes Generales pueden, en el ejercicio de la potestad legislativa prevista en el art. 66 CE, decidir que las normas procesales contengan especialidades que, en atención a los particulares derechos implicados, puedan beneficiarse igualmente de la preferencia y/o la celeridad. En este sentido, la naturaleza de los derechos y bienes constitucional e internacionalmente protegidos que están en juego, como la dignidad y la libre autodeterminación, o no verse sometido a un estado degradante de padecimientos intolerables, hace especialmente aconsejable que ante una decisión administrativa denegatoria de la prestación de asistencia para morir, el interesado pueda recurrir a los tribunales con una garantía de pronta respuesta que resuelva su caso (y en su caso le evite innecesarios padecimientos intolerables). Con lo que, en atención a la tutela de los arts. 10 y 15 CE, y 8 CEDH, la solución dada por la disposición adicional quinta de la LORE está plenamente justificada.</w:t>
      </w:r>
    </w:p>
    <w:p w14:paraId="1C20E9DD" w14:textId="77777777" w:rsidR="008D479B" w:rsidRDefault="008D479B" w:rsidP="008D479B">
      <w:pPr>
        <w:pStyle w:val="TextoNormal"/>
      </w:pPr>
    </w:p>
    <w:p w14:paraId="305D877A" w14:textId="77777777" w:rsidR="008D479B" w:rsidRDefault="008D479B" w:rsidP="008D479B">
      <w:pPr>
        <w:pStyle w:val="TextoNormal"/>
      </w:pPr>
      <w:r>
        <w:t xml:space="preserve">b) Por otra parte, en modo alguno pude entenderse que por establecer una tutela de un nuevo derecho a solicitar una prestación de ayuda para morir, se esté produciendo una reforma constitucional encubierta como parece que pretenden argumentar los recurrentes, al aludir a una vulneración de los arts. 168 y 169 CE relativos a la reforma constitucional. Si la regulación de la eutanasia </w:t>
      </w:r>
      <w:r w:rsidRPr="008D479B">
        <w:rPr>
          <w:i/>
        </w:rPr>
        <w:t>per se</w:t>
      </w:r>
      <w:r>
        <w:t xml:space="preserve"> no está en conflicto con nuestro sistema constitucional, dicha regulación no ha de suponer una modificación constitucional ni expresa ni encubierta.</w:t>
      </w:r>
    </w:p>
    <w:p w14:paraId="52745BFB" w14:textId="77777777" w:rsidR="008D479B" w:rsidRDefault="008D479B" w:rsidP="008D479B">
      <w:pPr>
        <w:pStyle w:val="TextoNormal"/>
      </w:pPr>
    </w:p>
    <w:p w14:paraId="3D7740F6" w14:textId="54F99190" w:rsidR="008D479B" w:rsidRDefault="008D479B" w:rsidP="008D479B">
      <w:pPr>
        <w:pStyle w:val="TextoNormal"/>
      </w:pPr>
      <w:r>
        <w:t>El escrito de la Abogacía del Estado concluye con la súplica de que se dicte sentencia por la que se desestime en su integridad el recurso de inconstitucionalidad.</w:t>
      </w:r>
    </w:p>
    <w:p w14:paraId="3886E8BF" w14:textId="77777777" w:rsidR="008D479B" w:rsidRDefault="008D479B" w:rsidP="008D479B">
      <w:pPr>
        <w:pStyle w:val="TextoNormal"/>
      </w:pPr>
    </w:p>
    <w:p w14:paraId="3578B26C" w14:textId="7261B026" w:rsidR="008D479B" w:rsidRDefault="008D479B" w:rsidP="008D479B">
      <w:pPr>
        <w:pStyle w:val="TextoNormal"/>
      </w:pPr>
      <w:r w:rsidRPr="008D479B">
        <w:rPr>
          <w:rStyle w:val="NumeroAFNegritaCaracter"/>
        </w:rPr>
        <w:t>8</w:t>
      </w:r>
      <w:r>
        <w:t>. Por providencia de 12 de septiembre de 2023 se señaló ese mismo día para la deliberación y votación de la presente sentencia.</w:t>
      </w:r>
    </w:p>
    <w:p w14:paraId="73320C21" w14:textId="77777777" w:rsidR="008D479B" w:rsidRDefault="008D479B" w:rsidP="008D479B">
      <w:pPr>
        <w:pStyle w:val="TextoNormal"/>
      </w:pPr>
    </w:p>
    <w:p w14:paraId="08C05A62" w14:textId="77777777" w:rsidR="008D479B" w:rsidRDefault="008D479B" w:rsidP="008D479B">
      <w:pPr>
        <w:pStyle w:val="TextoNormalNegritaCentrado"/>
        <w:keepNext/>
      </w:pPr>
      <w:r>
        <w:t>II. Fundamentos jurídicos</w:t>
      </w:r>
    </w:p>
    <w:p w14:paraId="70C9C0DB" w14:textId="06F89031" w:rsidR="008D479B" w:rsidRDefault="008D479B" w:rsidP="008D479B">
      <w:pPr>
        <w:pStyle w:val="TextoNormalNegritaCentrado"/>
        <w:keepNext/>
      </w:pPr>
    </w:p>
    <w:p w14:paraId="0BAFA054" w14:textId="77777777" w:rsidR="008D479B" w:rsidRDefault="008D479B" w:rsidP="008D479B">
      <w:pPr>
        <w:pStyle w:val="TextoNormal"/>
      </w:pPr>
      <w:r w:rsidRPr="008D479B">
        <w:rPr>
          <w:rStyle w:val="NumeroAFNegritaCaracter"/>
        </w:rPr>
        <w:t>1</w:t>
      </w:r>
      <w:r>
        <w:t xml:space="preserve">. </w:t>
      </w:r>
      <w:r w:rsidRPr="008D479B">
        <w:rPr>
          <w:i/>
        </w:rPr>
        <w:t>Objeto del recurso de inconstitucionalidad</w:t>
      </w:r>
    </w:p>
    <w:p w14:paraId="6C5C4E80" w14:textId="77777777" w:rsidR="008D479B" w:rsidRDefault="008D479B" w:rsidP="008D479B">
      <w:pPr>
        <w:pStyle w:val="TextoNormal"/>
      </w:pPr>
    </w:p>
    <w:p w14:paraId="599E5391" w14:textId="77777777" w:rsidR="008D479B" w:rsidRDefault="008D479B" w:rsidP="008D479B">
      <w:pPr>
        <w:pStyle w:val="TextoNormal"/>
      </w:pPr>
      <w:r>
        <w:t>Los ochenta y ocho diputados y diputadas del Grupo Parlamentario Popular en el Congreso que han interpuesto este recurso impugnan en su totalidad la Ley Orgánica 3/2021, de 24 de marzo, de regulación de la eutanasia (LORE), por los vicios de inconstitucionalidad de carácter formal inherentes a su tramitación y, subsidiariamente, por los vicios materiales o de fondo que presenta el régimen jurídico configurado por la Ley recurrida.</w:t>
      </w:r>
    </w:p>
    <w:p w14:paraId="4666C6D0" w14:textId="77777777" w:rsidR="008D479B" w:rsidRDefault="008D479B" w:rsidP="008D479B">
      <w:pPr>
        <w:pStyle w:val="TextoNormal"/>
      </w:pPr>
    </w:p>
    <w:p w14:paraId="4FABE6A3" w14:textId="77777777" w:rsidR="008D479B" w:rsidRDefault="008D479B" w:rsidP="008D479B">
      <w:pPr>
        <w:pStyle w:val="TextoNormal"/>
      </w:pPr>
      <w:r>
        <w:t>En los antecedentes de la presente sentencia han sido expuestas con detalle las censuras de inconstitucionalidad formuladas por los recurrentes, así como las alegaciones que el Congreso de los Diputados y la Abogacía del Estado, en representación del Gobierno de la Nación, oponen en defensa de la validez de la LORE ante tales reproches. Al hilo de cada impugnación se hará nueva referencia a ellos.</w:t>
      </w:r>
    </w:p>
    <w:p w14:paraId="14A96091" w14:textId="77777777" w:rsidR="008D479B" w:rsidRDefault="008D479B" w:rsidP="008D479B">
      <w:pPr>
        <w:pStyle w:val="TextoNormal"/>
      </w:pPr>
    </w:p>
    <w:p w14:paraId="1EA5C5CB" w14:textId="77777777" w:rsidR="008D479B" w:rsidRDefault="008D479B" w:rsidP="008D479B">
      <w:pPr>
        <w:pStyle w:val="TextoNormal"/>
      </w:pPr>
      <w:r>
        <w:t>Recientemente, este tribunal ha dictado la STC 19/2023, de 22 de marzo, por la que se ha desestimado el recurso de inconstitucionalidad núm. 4057-2021 interpuesto por cincuenta diputados y diputadas del Grupo Parlamentario Vox en el Congreso contra la integridad de la LORE y, subsidiariamente, contra diversos preceptos. En el presente recurso las impugnaciones coincidentes con las de aquel se resolverán por remisión a la citada sentencia.</w:t>
      </w:r>
    </w:p>
    <w:p w14:paraId="51D4DFA2" w14:textId="77777777" w:rsidR="008D479B" w:rsidRDefault="008D479B" w:rsidP="008D479B">
      <w:pPr>
        <w:pStyle w:val="TextoNormal"/>
      </w:pPr>
    </w:p>
    <w:p w14:paraId="43219ADF" w14:textId="77777777" w:rsidR="008D479B" w:rsidRDefault="008D479B" w:rsidP="008D479B">
      <w:pPr>
        <w:pStyle w:val="TextoNormal"/>
      </w:pPr>
      <w:r>
        <w:t>La exposición de las impugnaciones se realizará en el mismo orden en que las plantea la demanda.</w:t>
      </w:r>
    </w:p>
    <w:p w14:paraId="42702325" w14:textId="77777777" w:rsidR="008D479B" w:rsidRDefault="008D479B" w:rsidP="008D479B">
      <w:pPr>
        <w:pStyle w:val="TextoNormal"/>
      </w:pPr>
    </w:p>
    <w:p w14:paraId="0EEE4C3D" w14:textId="725DBB37" w:rsidR="008D479B" w:rsidRDefault="008D479B" w:rsidP="008D479B">
      <w:pPr>
        <w:pStyle w:val="TextoNormal"/>
      </w:pPr>
      <w:r>
        <w:t>Señalar, por último, que al igual que hicimos en la STC 19/2023, el Tribunal se atendrá a la sinonimia sentada por el legislador entre la expresión “eutanasia” y la locución “prestación de ayuda para morir”, y no hará tampoco cuestión de la identificación normativa, bajo la genérica denominación de eutanasia, de las dos modalidades previstas en el art. 3 g) LORE: administración directa al paciente de una sustancia letal por el profesional sanitario competente, por un lado, y prescripción o suministro de tal sustancia por dicho profesional de manera que el paciente se la pueda auto administrar, por otro lado. Sea o no discutible tal equiparación conceptual desde unos u otros enfoques dogmáticos o académicos, este extremo no ha suscitado controversia entre las partes.</w:t>
      </w:r>
    </w:p>
    <w:p w14:paraId="1BEE3E1A" w14:textId="77777777" w:rsidR="008D479B" w:rsidRDefault="008D479B" w:rsidP="008D479B">
      <w:pPr>
        <w:pStyle w:val="TextoNormal"/>
      </w:pPr>
    </w:p>
    <w:p w14:paraId="23CA6AE0" w14:textId="77777777" w:rsidR="008D479B" w:rsidRDefault="008D479B" w:rsidP="008D479B">
      <w:pPr>
        <w:pStyle w:val="TextoNormal"/>
      </w:pPr>
      <w:r w:rsidRPr="008D479B">
        <w:rPr>
          <w:rStyle w:val="NumeroAFNegritaCaracter"/>
        </w:rPr>
        <w:t>2</w:t>
      </w:r>
      <w:r>
        <w:t xml:space="preserve">. </w:t>
      </w:r>
      <w:r w:rsidRPr="008D479B">
        <w:rPr>
          <w:i/>
        </w:rPr>
        <w:t>Impugnación del conjunto de la Ley Orgánica 3/2021 por motivos procedimentales</w:t>
      </w:r>
    </w:p>
    <w:p w14:paraId="7C42E855" w14:textId="77777777" w:rsidR="008D479B" w:rsidRDefault="008D479B" w:rsidP="008D479B">
      <w:pPr>
        <w:pStyle w:val="TextoNormal"/>
      </w:pPr>
    </w:p>
    <w:p w14:paraId="550B13FF" w14:textId="77777777" w:rsidR="008D479B" w:rsidRDefault="008D479B" w:rsidP="008D479B">
      <w:pPr>
        <w:pStyle w:val="TextoNormal"/>
      </w:pPr>
      <w:r>
        <w:t>A) Posiciones de las partes</w:t>
      </w:r>
    </w:p>
    <w:p w14:paraId="3179ECD9" w14:textId="77777777" w:rsidR="008D479B" w:rsidRDefault="008D479B" w:rsidP="008D479B">
      <w:pPr>
        <w:pStyle w:val="TextoNormal"/>
      </w:pPr>
    </w:p>
    <w:p w14:paraId="05AF6F8D" w14:textId="77777777" w:rsidR="008D479B" w:rsidRDefault="008D479B" w:rsidP="008D479B">
      <w:pPr>
        <w:pStyle w:val="TextoNormal"/>
      </w:pPr>
      <w:r>
        <w:t>a) La demanda censura por inconstitucional el conjunto de la LORE debido a los vicios de su tramitación parlamentaria, que determinarían a su vez una infracción de los derechos fundamentales previstos en el art. 23 CE.</w:t>
      </w:r>
    </w:p>
    <w:p w14:paraId="47759CE4" w14:textId="77777777" w:rsidR="008D479B" w:rsidRDefault="008D479B" w:rsidP="008D479B">
      <w:pPr>
        <w:pStyle w:val="TextoNormal"/>
      </w:pPr>
    </w:p>
    <w:p w14:paraId="431E8143" w14:textId="77777777" w:rsidR="008D479B" w:rsidRDefault="008D479B" w:rsidP="008D479B">
      <w:pPr>
        <w:pStyle w:val="TextoNormal"/>
      </w:pPr>
      <w:r>
        <w:t>Se sostiene, por una parte, que la tramitación de la LORE como proposición de ley de manera acelerada y por el trámite de urgencia —</w:t>
      </w:r>
      <w:r w:rsidRPr="008D479B">
        <w:rPr>
          <w:i/>
        </w:rPr>
        <w:t>ex</w:t>
      </w:r>
      <w:r>
        <w:t xml:space="preserve"> art. 93 del Reglamento del Congreso de los Diputados (RCD)—, en un contexto de grave pandemia y con absoluta marginación de la ciudadanía y de los sectores sanitarios afectados, comportó prescindir de las exigencias de un proceso legislativo trasparente, responsable, democrático y pluralista en una materia tan profundamente sensible y delicada como es la eutanasia, de lo que se deriva la vulneración del art. 93 CE, por desconocer exigencias derivadas del Derecho europeo.</w:t>
      </w:r>
    </w:p>
    <w:p w14:paraId="5097DCEF" w14:textId="77777777" w:rsidR="008D479B" w:rsidRDefault="008D479B" w:rsidP="008D479B">
      <w:pPr>
        <w:pStyle w:val="TextoNormal"/>
      </w:pPr>
    </w:p>
    <w:p w14:paraId="7FCF37CD" w14:textId="77777777" w:rsidR="008D479B" w:rsidRDefault="008D479B" w:rsidP="008D479B">
      <w:pPr>
        <w:pStyle w:val="TextoNormal"/>
      </w:pPr>
      <w:r>
        <w:t xml:space="preserve">De otro lado, se reprocha la indebida omisión de la solicitud de determinados informes durante el procedimiento legislativo: en concreto, los informes del Consejo de Estado, el Consejo General del Poder Judicial, el Consejo Fiscal y el Comité de Bioética de España. E igualmente, se censura la omisión de la apertura de un plazo para comparecencia de expertos, solicitada por los recurrentes. De estas omisiones, la demanda deriva la vulneración del derecho fundamental al ejercicio del cargo representativo conforme a la ley, </w:t>
      </w:r>
      <w:r w:rsidRPr="008D479B">
        <w:rPr>
          <w:i/>
        </w:rPr>
        <w:t>ex</w:t>
      </w:r>
      <w:r>
        <w:t xml:space="preserve"> art. 23.2 CE, por cuanto la tramitación como proposición de ley permitió eludir, mediante un claro fraude de ley parlamentaria, la obligación jurídica de solicitar dichos informes y, además, se limitó el ejercicio pleno de la función representativa al no dar amparo a la solicitud de comparecencia de expertos. Del mismo modo y, por extensión, se vulnera el derecho fundamental de los ciudadanos a participar en los asuntos públicos a través de sus representantes, </w:t>
      </w:r>
      <w:r w:rsidRPr="008D479B">
        <w:rPr>
          <w:i/>
        </w:rPr>
        <w:t>ex</w:t>
      </w:r>
      <w:r>
        <w:t xml:space="preserve"> art. 23.1 CE.</w:t>
      </w:r>
    </w:p>
    <w:p w14:paraId="534FE07E" w14:textId="77777777" w:rsidR="008D479B" w:rsidRDefault="008D479B" w:rsidP="008D479B">
      <w:pPr>
        <w:pStyle w:val="TextoNormal"/>
      </w:pPr>
    </w:p>
    <w:p w14:paraId="5C8846EB" w14:textId="77777777" w:rsidR="008D479B" w:rsidRDefault="008D479B" w:rsidP="008D479B">
      <w:pPr>
        <w:pStyle w:val="TextoNormal"/>
      </w:pPr>
      <w:r>
        <w:t>b) El Congreso de los Diputados niega que concurran los elementos que definen la figura del fraude ley pues, en este caso, se trata de una iniciativa legislativa parlamentaria —en concreto del Grupo Parlamentario Socialista—, que ha sido tramitada conforme a sus propios requisitos, diferentes de los exigidos para la iniciativa legislativa gubernamental (proyecto de ley). Se rechaza también el argumento de que la única vía adecuada para regular la eutanasia, por su trascendencia, deba ser siempre la iniciativa legislativa gubernamental, porque ello implicaría una vulneración del art. 23 CE, afectando al núcleo de la función parlamentaria, en este caso, de los grupos de la mayoría o que den su apoyo al Gobierno.</w:t>
      </w:r>
    </w:p>
    <w:p w14:paraId="1CEBB334" w14:textId="77777777" w:rsidR="008D479B" w:rsidRDefault="008D479B" w:rsidP="008D479B">
      <w:pPr>
        <w:pStyle w:val="TextoNormal"/>
      </w:pPr>
    </w:p>
    <w:p w14:paraId="0FD651EC" w14:textId="77777777" w:rsidR="008D479B" w:rsidRDefault="008D479B" w:rsidP="008D479B">
      <w:pPr>
        <w:pStyle w:val="TextoNormal"/>
      </w:pPr>
      <w:r>
        <w:t xml:space="preserve">El escrito de la Cámara descarta tanto la tramitación urgente de la proposición de ley —pues no existe acuerdo específico de la mesa en tal sentido— y la eventual infracción del art. 93 CE, como el carácter preceptivo de los informes omitidos a juicio de los recurrentes, pues la tramitación se ajustó a lo previsto en los arts. 124 y ss. RCD. Asimismo, recuerda que es la mesa de la Comisión de Justicia, conforme a un criterio de oportunidad política, la que decide, sin necesidad de motivación, la celebración de comparecencias o no. Por otra parte, el debate parlamentario permitió a los diputados y diputadas recurrentes ejercer de forma adecuada su </w:t>
      </w:r>
      <w:r w:rsidRPr="008D479B">
        <w:rPr>
          <w:i/>
        </w:rPr>
        <w:t>ius in officium</w:t>
      </w:r>
      <w:r>
        <w:t>: se celebraron tres debates plenarios, y se pudieron presentar las enmiendas que se consideraron oportunas (dos enmiendas a la totalidad y hasta 260 enmiendas al articulado), que fueron defendidas y votadas tanto en la sesión plenaria, como en ponencia y comisión. Por todo ello, la Cámara descarta la vulneración de los derechos fundamentales previstos en el art. 23 CE.</w:t>
      </w:r>
    </w:p>
    <w:p w14:paraId="35887646" w14:textId="77777777" w:rsidR="008D479B" w:rsidRDefault="008D479B" w:rsidP="008D479B">
      <w:pPr>
        <w:pStyle w:val="TextoNormal"/>
      </w:pPr>
    </w:p>
    <w:p w14:paraId="3B5F580D" w14:textId="77777777" w:rsidR="008D479B" w:rsidRDefault="008D479B" w:rsidP="008D479B">
      <w:pPr>
        <w:pStyle w:val="TextoNormal"/>
      </w:pPr>
      <w:r>
        <w:t>c) La Abogacía del Estado se opone a este motivo de impugnación alegando, en primer lugar, que ni la Constitución, ni el Derecho europeo, ni ningún precepto de los reglamentos parlamentarios exigen que las leyes de desarrollo de derechos fundamentales o sobre materias trascendentes provengan necesariamente del Gobierno. Este planteamiento de los recurrentes, lejos de defender los derechos de los parlamentarios, los sitúa en una condición inferior.</w:t>
      </w:r>
    </w:p>
    <w:p w14:paraId="4903B7FD" w14:textId="77777777" w:rsidR="008D479B" w:rsidRDefault="008D479B" w:rsidP="008D479B">
      <w:pPr>
        <w:pStyle w:val="TextoNormal"/>
      </w:pPr>
    </w:p>
    <w:p w14:paraId="4FD88AA7" w14:textId="77777777" w:rsidR="008D479B" w:rsidRDefault="008D479B" w:rsidP="008D479B">
      <w:pPr>
        <w:pStyle w:val="TextoNormal"/>
      </w:pPr>
      <w:r>
        <w:t>En segundo lugar, la LORE se tramitó como una proposición de ley sujeta, únicamente, a los requisitos previstos en los arts. 124 y ss. RCD; razón por la que se ha de descartar una vulneración del art. 93 CE por una supuesta infracción de los estándares de protección del Derecho de la Unión Europea, que en ningún caso prejuzgan el origen de la iniciativa legislativa.</w:t>
      </w:r>
    </w:p>
    <w:p w14:paraId="1D76167A" w14:textId="77777777" w:rsidR="008D479B" w:rsidRDefault="008D479B" w:rsidP="008D479B">
      <w:pPr>
        <w:pStyle w:val="TextoNormal"/>
      </w:pPr>
    </w:p>
    <w:p w14:paraId="43A8F079" w14:textId="77777777" w:rsidR="008D479B" w:rsidRDefault="008D479B" w:rsidP="008D479B">
      <w:pPr>
        <w:pStyle w:val="TextoNormal"/>
      </w:pPr>
      <w:r>
        <w:t>En tercer y último lugar, entiende el abogado del Estado que en la medida en que no se ha producido ninguna infracción del reglamento parlamentario, ni se ha visto afectado el derecho de enmienda de los diputados, ni el propio debate parlamentario, se ha de descartar cualquier vulneración del art. 23 CE.</w:t>
      </w:r>
    </w:p>
    <w:p w14:paraId="79B9494D" w14:textId="77777777" w:rsidR="008D479B" w:rsidRDefault="008D479B" w:rsidP="008D479B">
      <w:pPr>
        <w:pStyle w:val="TextoNormal"/>
      </w:pPr>
    </w:p>
    <w:p w14:paraId="6AD92EAD" w14:textId="77777777" w:rsidR="008D479B" w:rsidRDefault="008D479B" w:rsidP="008D479B">
      <w:pPr>
        <w:pStyle w:val="TextoNormal"/>
      </w:pPr>
      <w:r>
        <w:t>B) Enjuiciamiento</w:t>
      </w:r>
    </w:p>
    <w:p w14:paraId="4C5AA15D" w14:textId="77777777" w:rsidR="008D479B" w:rsidRDefault="008D479B" w:rsidP="008D479B">
      <w:pPr>
        <w:pStyle w:val="TextoNormal"/>
      </w:pPr>
    </w:p>
    <w:p w14:paraId="202E5FFD" w14:textId="77777777" w:rsidR="008D479B" w:rsidRDefault="008D479B" w:rsidP="008D479B">
      <w:pPr>
        <w:pStyle w:val="TextoNormal"/>
      </w:pPr>
      <w:r>
        <w:t>En la STC 19/2023 hemos desestimado por inconsistentes las quejas formuladas en relación con los vicios procedimentales que se le reprochan a la tramitación de la LORE. Los motivos aducidos en el recurso resuelto por la citada sentencia y los alegados en el que ahora enjuiciamos son sustancialmente coincidentes, por lo que los argumentos expuestos en aquella sentencia determinan, asimismo, la desestimación de los motivos del presente recurso. Es, por ello, que con los matices que a continuación se exponen, se han de desestimar por remisión las siguientes quejas:</w:t>
      </w:r>
    </w:p>
    <w:p w14:paraId="6696AB3D" w14:textId="77777777" w:rsidR="008D479B" w:rsidRDefault="008D479B" w:rsidP="008D479B">
      <w:pPr>
        <w:pStyle w:val="TextoNormal"/>
      </w:pPr>
    </w:p>
    <w:p w14:paraId="160D2A0C" w14:textId="77777777" w:rsidR="008D479B" w:rsidRDefault="008D479B" w:rsidP="008D479B">
      <w:pPr>
        <w:pStyle w:val="TextoNormal"/>
      </w:pPr>
      <w:r>
        <w:t>a) En la STC 19/2023, FJ 3 B) a), hemos considerado inconsistentes las quejas relativas a la tramitación “acelerada” de la LORE durante la vigencia de un estado de alarma. En el recurso que ahora enjuiciamos se formula una queja en términos muy similares, por cuanto se reprocha a la LORE una tramitación acelerada, previa declaración de urgencia —</w:t>
      </w:r>
      <w:r w:rsidRPr="008D479B">
        <w:rPr>
          <w:i/>
        </w:rPr>
        <w:t>ex</w:t>
      </w:r>
      <w:r>
        <w:t xml:space="preserve"> art. 93 RCD–, durante la vigencia de un estado de alarma y en un contexto de grave pandemia. Por ello, debe desestimarse esta concreta impugnación en los mismos términos que los establecidos en el fundamento jurídico 3 B) a) de la STC 19/2023. El recurso plantea, además, que se ha producido una reforma encubierta de la Constitución, por la creación de un </w:t>
      </w:r>
      <w:r w:rsidRPr="008D479B">
        <w:rPr>
          <w:i/>
        </w:rPr>
        <w:t>pseudo</w:t>
      </w:r>
      <w:r>
        <w:t xml:space="preserve"> derecho fundamental, tramitada bajo un estado de alarma, con vulneración de los arts. 168 y 169 CE, cuestión a la que daremos respuesta más adelante.</w:t>
      </w:r>
    </w:p>
    <w:p w14:paraId="7799DE45" w14:textId="77777777" w:rsidR="008D479B" w:rsidRDefault="008D479B" w:rsidP="008D479B">
      <w:pPr>
        <w:pStyle w:val="TextoNormal"/>
      </w:pPr>
    </w:p>
    <w:p w14:paraId="5A064F32" w14:textId="77777777" w:rsidR="008D479B" w:rsidRDefault="008D479B" w:rsidP="008D479B">
      <w:pPr>
        <w:pStyle w:val="TextoNormal"/>
      </w:pPr>
      <w:r>
        <w:t xml:space="preserve">Asimismo, en el presente recurso se deriva de la tramitación de la LORE por la vía de urgencia —junto a falta de audiencia a los afectados, a la que aludiremos a continuación— sin que concurrieran razones imperiosas para ello, una infracción del art. 93 CE, sin responder, en consecuencia, a los estándares mínimos de calidad exigidos por parte del Tribunal Europeo de Derechos Humanos. Esta queja ha de ser igualmente desestimada toda vez que parte de una premisa errónea. Como ya afirmamos en el fundamento jurídico 3 B) a) de la STC 19/2023, y se puede comprobar en el </w:t>
      </w:r>
      <w:r w:rsidRPr="008D479B">
        <w:rPr>
          <w:i/>
        </w:rPr>
        <w:t>Boletín Oficial de las Cortes Generales, Congreso de los Diputados</w:t>
      </w:r>
      <w:r>
        <w:t>, Serie B, núm. 46-1, de 31 de enero de 2020, la proposición de ley que está en el origen de la LORE no fue tramitada por el procedimiento de urgencia (art. 93 RCD).</w:t>
      </w:r>
    </w:p>
    <w:p w14:paraId="4342E36F" w14:textId="77777777" w:rsidR="008D479B" w:rsidRDefault="008D479B" w:rsidP="008D479B">
      <w:pPr>
        <w:pStyle w:val="TextoNormal"/>
      </w:pPr>
    </w:p>
    <w:p w14:paraId="7558D2DC" w14:textId="77777777" w:rsidR="008D479B" w:rsidRDefault="008D479B" w:rsidP="008D479B">
      <w:pPr>
        <w:pStyle w:val="TextoNormal"/>
      </w:pPr>
      <w:r>
        <w:t>b) En términos similares a los del recurso objeto de la STC 19/2023, se reprocha no haber recabado durante la tramitación parlamentaria el informe del Consejo de Estado, del Consejo General del Poder Judicial, del Consejo Fiscal y del Comité de Bioética de España. Las razones por las que se desestimaron en la STC 19/2023 las quejas relativas a la ausencia del informe del Comité de Bioética de España [FJ 3 B) b)] y del informe del Consejo General del Poder Judicial contemplado en el art. 561.1, materias 6 y 8, LOPJ [FJ 3 B) c)], nos llevan a concluir la desestimación de este motivo de impugnación, por más que ahora se alegue la falta de un mayor número de informes.</w:t>
      </w:r>
    </w:p>
    <w:p w14:paraId="2FD788C2" w14:textId="77777777" w:rsidR="008D479B" w:rsidRDefault="008D479B" w:rsidP="008D479B">
      <w:pPr>
        <w:pStyle w:val="TextoNormal"/>
      </w:pPr>
    </w:p>
    <w:p w14:paraId="1E937435" w14:textId="77777777" w:rsidR="008D479B" w:rsidRDefault="008D479B" w:rsidP="008D479B">
      <w:pPr>
        <w:pStyle w:val="TextoNormal"/>
      </w:pPr>
      <w:r>
        <w:t>En lo que aquí interesa, baste señalar que el informe del Consejo de Estado no es requerido en ninguna de las materias reguladas por la LORE, de acuerdo con los arts. 21 y 22 de la Ley Orgánica 3/1980, de 22 de abril, del Consejo de Estado. Otro tanto cabe afirmar respecto del informe del Consejo Fiscal, pues la LORE en nada afecta a la estructura, organización y funciones del Ministerio Fiscal, tal como exige el art. 14.4 j) de la Ley 50/1981, de 30 de diciembre, por la que se regula su estatuto orgánico.</w:t>
      </w:r>
    </w:p>
    <w:p w14:paraId="6E13EC76" w14:textId="77777777" w:rsidR="008D479B" w:rsidRDefault="008D479B" w:rsidP="008D479B">
      <w:pPr>
        <w:pStyle w:val="TextoNormal"/>
      </w:pPr>
    </w:p>
    <w:p w14:paraId="2001E704" w14:textId="77777777" w:rsidR="008D479B" w:rsidRDefault="008D479B" w:rsidP="008D479B">
      <w:pPr>
        <w:pStyle w:val="TextoNormal"/>
      </w:pPr>
      <w:r>
        <w:t>Igualmente, las razones esgrimidas en el fundamento jurídico 3 B) b) de la STC 19/2023 nos sirven para desestimar la queja de los recurrentes por no ser atendida por la mesa de la comisión de justicia la solicitud de apertura de plazo para la comparecencia de expertos. Como dijimos en la citada STC 19/2023, “[e]l legislador, que obviamente no queda ‘sujeto a las determinaciones o valoraciones técnicas que puedan ofrecer expertos o peritos en la materia sobre la que pretende legislar’ (STC 112/2021, de 13 de mayo, FJ 5), ni siquiera viene obligado, en lo que ahora importa, a recabar tales valoraciones, por más que pueda llegar a hacerlo. Imponer lo contrario supondría dar lugar a una participación preceptiva de otros órganos o instancias, a título consultivo, en el ejercicio de la potestad legislativa del Estado, que corresponde en exclusiva a las Cortes Generales (art. 66.2 CE)”. En este caso, la mesa de la comisión de justicia, a partir de lo establecido en el art. 44 RCD, es la que decide, conforme a un criterio de oportunidad política, la celebración o no de comparecencias. No lo apreció así la mesa de la comisión de justicia en este caso y nada hay que objetar a ello en términos jurídico-constitucionales.</w:t>
      </w:r>
    </w:p>
    <w:p w14:paraId="4EEB425E" w14:textId="77777777" w:rsidR="008D479B" w:rsidRDefault="008D479B" w:rsidP="008D479B">
      <w:pPr>
        <w:pStyle w:val="TextoNormal"/>
      </w:pPr>
    </w:p>
    <w:p w14:paraId="0EA1F88E" w14:textId="77777777" w:rsidR="008D479B" w:rsidRDefault="008D479B" w:rsidP="008D479B">
      <w:pPr>
        <w:pStyle w:val="TextoNormal"/>
      </w:pPr>
      <w:r>
        <w:t>c) Por último, los recurrentes alegan que la tramitación de la iniciativa legislativa vía proposición de ley permitió, mediante un fraude de ley, eludir dar audiencia tanto al Consejo General del Poder Judicial como a los comités de expertos y a los sujetos afectados. Esta queja ha de ser, igualmente, desestimada por remisión a las razones esgrimidas en el fundamento jurídico 3 B) c</w:t>
      </w:r>
      <w:r w:rsidRPr="008D479B">
        <w:rPr>
          <w:i/>
        </w:rPr>
        <w:t>) in fi</w:t>
      </w:r>
      <w:r>
        <w:t>ne de la STC 19/2023.</w:t>
      </w:r>
    </w:p>
    <w:p w14:paraId="1DCA1D82" w14:textId="77777777" w:rsidR="008D479B" w:rsidRDefault="008D479B" w:rsidP="008D479B">
      <w:pPr>
        <w:pStyle w:val="TextoNormal"/>
      </w:pPr>
    </w:p>
    <w:p w14:paraId="7ADE326E" w14:textId="7E35DE7C" w:rsidR="008D479B" w:rsidRDefault="008D479B" w:rsidP="008D479B">
      <w:pPr>
        <w:pStyle w:val="TextoNormal"/>
      </w:pPr>
      <w:r>
        <w:t>d) En atención a cuanto queda expuesto, la tramitación parlamentaria de la LORE no ha conculcado el art. 23 CE ni ningún otro precepto de los invocados por los demandantes al formular este motivo de impugnación que, por lo tanto, ha de ser desestimado.</w:t>
      </w:r>
    </w:p>
    <w:p w14:paraId="258B503D" w14:textId="77777777" w:rsidR="008D479B" w:rsidRDefault="008D479B" w:rsidP="008D479B">
      <w:pPr>
        <w:pStyle w:val="TextoNormal"/>
      </w:pPr>
    </w:p>
    <w:p w14:paraId="4C4164F4" w14:textId="77777777" w:rsidR="008D479B" w:rsidRDefault="008D479B" w:rsidP="008D479B">
      <w:pPr>
        <w:pStyle w:val="TextoNormal"/>
      </w:pPr>
      <w:r w:rsidRPr="008D479B">
        <w:rPr>
          <w:rStyle w:val="NumeroAFNegritaCaracter"/>
        </w:rPr>
        <w:t>3</w:t>
      </w:r>
      <w:r>
        <w:t xml:space="preserve">. </w:t>
      </w:r>
      <w:r w:rsidRPr="008D479B">
        <w:rPr>
          <w:i/>
        </w:rPr>
        <w:t>Impugnación de la Ley Orgánica 3/2021 por vulneración del derecho a la vida (art. 15 CE y art. 2 CEDH)</w:t>
      </w:r>
    </w:p>
    <w:p w14:paraId="1586F483" w14:textId="77777777" w:rsidR="008D479B" w:rsidRDefault="008D479B" w:rsidP="008D479B">
      <w:pPr>
        <w:pStyle w:val="TextoNormal"/>
      </w:pPr>
    </w:p>
    <w:p w14:paraId="587747FC" w14:textId="77777777" w:rsidR="008D479B" w:rsidRDefault="008D479B" w:rsidP="008D479B">
      <w:pPr>
        <w:pStyle w:val="TextoNormal"/>
      </w:pPr>
      <w:r>
        <w:t>A) Orden de examen de las quejas relativas a este motivo de impugnación</w:t>
      </w:r>
    </w:p>
    <w:p w14:paraId="7DB071B4" w14:textId="77777777" w:rsidR="008D479B" w:rsidRDefault="008D479B" w:rsidP="008D479B">
      <w:pPr>
        <w:pStyle w:val="TextoNormal"/>
      </w:pPr>
    </w:p>
    <w:p w14:paraId="1FD32925" w14:textId="77777777" w:rsidR="008D479B" w:rsidRDefault="008D479B" w:rsidP="008D479B">
      <w:pPr>
        <w:pStyle w:val="TextoNormal"/>
      </w:pPr>
      <w:r>
        <w:t xml:space="preserve">La demanda plantea como segundo motivo de inconstitucionalidad la incompatibilidad del sistema establecido por la LORE con una debida garantía del derecho fundamental a la vida consagrado en los arts. 15 CE y 2 CEDH, en los términos en que el mismo ha sido concebido por la jurisprudencia del Tribunal Constitucional y del Tribunal Europeo de Derechos Humanos. La complejidad y diversidad de las quejas que se integran en este motivo obligan a ordenar su examen de acuerdo con la siguiente estructura que, por otra parte, se deduce de la propia demanda: (i) consideraciones generales sobre el derecho a la vida </w:t>
      </w:r>
      <w:r w:rsidRPr="008D479B">
        <w:rPr>
          <w:i/>
        </w:rPr>
        <w:t>ex</w:t>
      </w:r>
      <w:r>
        <w:t xml:space="preserve"> art. 15 CE y art. 2 CEDH; (ii) insuficiencia del sistema diseñado por la LORE para garantizar el derecho a la vida; y (iii) incompatibilidad del régimen jurídico establecido en la LORE con el principio de seguridad jurídica y el derecho fundamental a la vida.</w:t>
      </w:r>
    </w:p>
    <w:p w14:paraId="20F7AA52" w14:textId="77777777" w:rsidR="008D479B" w:rsidRDefault="008D479B" w:rsidP="008D479B">
      <w:pPr>
        <w:pStyle w:val="TextoNormal"/>
      </w:pPr>
    </w:p>
    <w:p w14:paraId="3002FCD8" w14:textId="77777777" w:rsidR="008D479B" w:rsidRDefault="008D479B" w:rsidP="008D479B">
      <w:pPr>
        <w:pStyle w:val="TextoNormal"/>
      </w:pPr>
      <w:r>
        <w:t>A los efectos de lograr una mayor claridad expositiva, se contestará cada uno de estos tres grupos de alegaciones por el mismo orden en que se plantean en la demanda, en algunos casos por remisión a la STC 19/2023, dada su identidad sustancial con los motivos allí aducidos.</w:t>
      </w:r>
    </w:p>
    <w:p w14:paraId="17ECC265" w14:textId="77777777" w:rsidR="008D479B" w:rsidRDefault="008D479B" w:rsidP="008D479B">
      <w:pPr>
        <w:pStyle w:val="TextoNormal"/>
      </w:pPr>
    </w:p>
    <w:p w14:paraId="6B59AD87" w14:textId="77777777" w:rsidR="008D479B" w:rsidRDefault="008D479B" w:rsidP="008D479B">
      <w:pPr>
        <w:pStyle w:val="TextoNormal"/>
      </w:pPr>
      <w:r>
        <w:t>B) Consideraciones generales sobre el derecho a la vida consagrado en el art. 15 CE y el art. 2 CEDH</w:t>
      </w:r>
    </w:p>
    <w:p w14:paraId="73E49F76" w14:textId="77777777" w:rsidR="008D479B" w:rsidRDefault="008D479B" w:rsidP="008D479B">
      <w:pPr>
        <w:pStyle w:val="TextoNormal"/>
      </w:pPr>
    </w:p>
    <w:p w14:paraId="6AE51BF0" w14:textId="77777777" w:rsidR="008D479B" w:rsidRDefault="008D479B" w:rsidP="008D479B">
      <w:pPr>
        <w:pStyle w:val="TextoNormal"/>
      </w:pPr>
      <w:r>
        <w:t>a) Posiciones de las partes</w:t>
      </w:r>
    </w:p>
    <w:p w14:paraId="76417497" w14:textId="77777777" w:rsidR="008D479B" w:rsidRDefault="008D479B" w:rsidP="008D479B">
      <w:pPr>
        <w:pStyle w:val="TextoNormal"/>
      </w:pPr>
    </w:p>
    <w:p w14:paraId="31FB133F" w14:textId="77777777" w:rsidR="008D479B" w:rsidRDefault="008D479B" w:rsidP="008D479B">
      <w:pPr>
        <w:pStyle w:val="TextoNormal"/>
      </w:pPr>
      <w:r>
        <w:t>(i) La demanda sostiene, con base en la jurisprudencia del Tribunal Constitucional y del Tribunal Europeo de Derechos Humanos, que el derecho a la vida, que se garantiza en los arts. 15 CE y 2 CEDH, constituye no solamente un derecho fundamental, sino también un valor que es un presupuesto para el ejercicio de los demás derechos. Junto a la dimensión subjetiva del derecho a la vida, se subraya la dimensión objetiva de la que se deriva la obligación del Estado de proteger la vida frente a los ataques de terceros.</w:t>
      </w:r>
    </w:p>
    <w:p w14:paraId="0A551383" w14:textId="77777777" w:rsidR="008D479B" w:rsidRDefault="008D479B" w:rsidP="008D479B">
      <w:pPr>
        <w:pStyle w:val="TextoNormal"/>
      </w:pPr>
    </w:p>
    <w:p w14:paraId="0D6B274F" w14:textId="77777777" w:rsidR="008D479B" w:rsidRDefault="008D479B" w:rsidP="008D479B">
      <w:pPr>
        <w:pStyle w:val="TextoNormal"/>
      </w:pPr>
      <w:r>
        <w:t>Se afirma en la demanda que, frente a lo expresado en el preámbulo, el modelo regulatorio propuesto por la LORE es diametralmente opuesto al que rige en los países de nuestro entorno: la regla general es la prohibición y sanción penal de las conductas eutanásicas, sin perjuicio de su atenuación en determinadas circunstancias.</w:t>
      </w:r>
    </w:p>
    <w:p w14:paraId="5624087C" w14:textId="77777777" w:rsidR="008D479B" w:rsidRDefault="008D479B" w:rsidP="008D479B">
      <w:pPr>
        <w:pStyle w:val="TextoNormal"/>
      </w:pPr>
    </w:p>
    <w:p w14:paraId="0763D9CB" w14:textId="77777777" w:rsidR="008D479B" w:rsidRDefault="008D479B" w:rsidP="008D479B">
      <w:pPr>
        <w:pStyle w:val="TextoNormal"/>
      </w:pPr>
      <w:r>
        <w:t>Descarta, por último, la existencia de un presunto derecho fundamental a exigir la propia muerte, ni mucho menos de un derecho prestacional que permita la intervención de terceros a tales efectos. El derecho a la vida protegido por el art. 15 CE tiene, en definitiva, un contenido de protección positiva que impide configurarlo como un derecho de voluntad o libertad que incluya o garantice el derecho a la propia muerte.</w:t>
      </w:r>
    </w:p>
    <w:p w14:paraId="4D0AD3D5" w14:textId="77777777" w:rsidR="008D479B" w:rsidRDefault="008D479B" w:rsidP="008D479B">
      <w:pPr>
        <w:pStyle w:val="TextoNormal"/>
      </w:pPr>
    </w:p>
    <w:p w14:paraId="6770529F" w14:textId="77777777" w:rsidR="008D479B" w:rsidRDefault="008D479B" w:rsidP="008D479B">
      <w:pPr>
        <w:pStyle w:val="TextoNormal"/>
      </w:pPr>
      <w:r>
        <w:t xml:space="preserve">(ii) El abogado del Estado afirma que la decisión libre y consciente de una persona de no seguir viviendo queda extramuros del ámbito materialmente protegido por el derecho fundamental a la vida del art. 15 CE. El art. 15 CE </w:t>
      </w:r>
      <w:r w:rsidRPr="008D479B">
        <w:rPr>
          <w:i/>
        </w:rPr>
        <w:t>per se</w:t>
      </w:r>
      <w:r>
        <w:t xml:space="preserve"> no impone al Estado el deber de asistir a quien de forma voluntaria desea poner fin a su vida, pero tampoco prohíbe la decisión de poner fin a la vida, lo que otorga un amplio margen al legislador para regular este aspecto. La decisión de una persona de poner fin a su vida forma parte de su capacidad de autodeterminación y, por tanto, de la dignidad de la persona y el libre desarrollo de su personalidad </w:t>
      </w:r>
      <w:r w:rsidRPr="008D479B">
        <w:rPr>
          <w:i/>
        </w:rPr>
        <w:t>ex</w:t>
      </w:r>
      <w:r>
        <w:t xml:space="preserve"> art. 10.2 CE. Además, el forzar a mantener la vida en un contexto de enfermedad con sufrimientos insoportables o padecimientos graves incide en el derecho a la integridad moral y a no sufrir tratos inhumanos o degradantes del art. 15 CE. En definitiva, nada permite afirmar que la asistencia del Estado a un ciudadano, en un contexto eutanásico, pueda ser contraria a la Constitución o al Convenio europeo de derechos humanos.</w:t>
      </w:r>
    </w:p>
    <w:p w14:paraId="3D20E6A0" w14:textId="77777777" w:rsidR="008D479B" w:rsidRDefault="008D479B" w:rsidP="008D479B">
      <w:pPr>
        <w:pStyle w:val="TextoNormal"/>
      </w:pPr>
    </w:p>
    <w:p w14:paraId="4E0EDA5D" w14:textId="77777777" w:rsidR="008D479B" w:rsidRDefault="008D479B" w:rsidP="008D479B">
      <w:pPr>
        <w:pStyle w:val="TextoNormal"/>
      </w:pPr>
      <w:r>
        <w:t>b) Enjuiciamiento</w:t>
      </w:r>
    </w:p>
    <w:p w14:paraId="555C4EC5" w14:textId="77777777" w:rsidR="008D479B" w:rsidRDefault="008D479B" w:rsidP="008D479B">
      <w:pPr>
        <w:pStyle w:val="TextoNormal"/>
      </w:pPr>
    </w:p>
    <w:p w14:paraId="086A693D" w14:textId="77777777" w:rsidR="008D479B" w:rsidRDefault="008D479B" w:rsidP="008D479B">
      <w:pPr>
        <w:pStyle w:val="TextoNormal"/>
      </w:pPr>
      <w:r>
        <w:t>La respuesta a los motivos aducidos por los recurrentes ha de ser de desestimación por remisión a los argumentos esgrimidos por la STC 19/2023, que ha confirmado la constitucionalidad de la configuración legislativa de la eutanasia como un derecho subjetivo de naturaleza prestacional, siempre y cuando se produzca (i) en un “contexto eutanásico” médicamente contrastado, esto es, un “contexto de sufrimiento debido a una enfermedad o padecimiento incurable que la persona experimenta como inaceptable y que no ha podido ser mitigado por otros medios”, y (ii) “a petición informada, expresa y reiterada en el tiempo” por la persona que solicita ayuda para acabar con su propia vida [FJ 6 B) y C)].</w:t>
      </w:r>
    </w:p>
    <w:p w14:paraId="33127F40" w14:textId="77777777" w:rsidR="008D479B" w:rsidRDefault="008D479B" w:rsidP="008D479B">
      <w:pPr>
        <w:pStyle w:val="TextoNormal"/>
      </w:pPr>
    </w:p>
    <w:p w14:paraId="3762117D" w14:textId="77777777" w:rsidR="008D479B" w:rsidRDefault="008D479B" w:rsidP="008D479B">
      <w:pPr>
        <w:pStyle w:val="TextoNormal"/>
      </w:pPr>
      <w:r>
        <w:t>No obstante, conviene realizar algunas consideraciones respecto de la afirmación de los recurrentes sobre (i) la inexistencia de un presunto derecho fundamental a la eutanasia derivado de la Constitución y del Convenio de Roma, y (ii) la imposibilidad de configurar el derecho a la vida como un derecho de voluntad o libertad que incluya o garantice el derecho a la propia muerte; si bien puede entenderse que ambas cuestiones ya han sido contestadas en la STC 19/2023.</w:t>
      </w:r>
    </w:p>
    <w:p w14:paraId="34CCFEDB" w14:textId="77777777" w:rsidR="008D479B" w:rsidRDefault="008D479B" w:rsidP="008D479B">
      <w:pPr>
        <w:pStyle w:val="TextoNormal"/>
      </w:pPr>
    </w:p>
    <w:p w14:paraId="02B9ED40" w14:textId="77777777" w:rsidR="008D479B" w:rsidRDefault="008D479B" w:rsidP="008D479B">
      <w:pPr>
        <w:pStyle w:val="TextoNormal"/>
      </w:pPr>
      <w:r>
        <w:t>Ninguna consideración se ha de hacer, desde la perspectiva del juicio de constitucionalidad, de las observaciones realizadas por los recurrentes sobre el modelo regulatorio de la LORE en clave de Derecho comparado, al ser expresión de una apreciación subjetiva y no estrictamente jurídica.</w:t>
      </w:r>
    </w:p>
    <w:p w14:paraId="7A34DF22" w14:textId="77777777" w:rsidR="008D479B" w:rsidRDefault="008D479B" w:rsidP="008D479B">
      <w:pPr>
        <w:pStyle w:val="TextoNormal"/>
      </w:pPr>
    </w:p>
    <w:p w14:paraId="1E1A360D" w14:textId="77777777" w:rsidR="008D479B" w:rsidRDefault="008D479B" w:rsidP="008D479B">
      <w:pPr>
        <w:pStyle w:val="TextoNormal"/>
      </w:pPr>
      <w:r>
        <w:t>(i) Respecto de la inexistencia de reconocimiento en la Constitución y en el Convenio europeo de derechos humanos de un presunto derecho fundamental autónomo a la eutanasia o a la prestación de ayuda para morir, este tribunal ha señalado que la facultad de autodeterminación en que consiste la muerte asistida, en contextos de sufrimiento extremo, encuentra su base en ciertos valores, principios y derechos fundamentales.</w:t>
      </w:r>
    </w:p>
    <w:p w14:paraId="66B319B3" w14:textId="77777777" w:rsidR="008D479B" w:rsidRDefault="008D479B" w:rsidP="008D479B">
      <w:pPr>
        <w:pStyle w:val="TextoNormal"/>
      </w:pPr>
    </w:p>
    <w:p w14:paraId="0C722052" w14:textId="77777777" w:rsidR="008D479B" w:rsidRDefault="008D479B" w:rsidP="008D479B">
      <w:pPr>
        <w:pStyle w:val="TextoNormal"/>
      </w:pPr>
      <w:r>
        <w:t xml:space="preserve">Al delimitar el alcance del derecho fundamental a la vida, afirmamos en el fundamento jurídico 6 C) b) (iv) de la STC 19/2023 que “la Constitución no acoge una concepción del derecho a la vida y de la protección del bien vida desconectada de la voluntad de su titular y, por ende, indiferente a sus decisiones sobre cómo y cuándo morir. La consagración de la libertad como valor superior del ordenamiento jurídico (art. 1.1 CE) ‘implica, evidentemente, el reconocimiento, como principio general inspirador del mismo, de la autonomía del individuo para elegir entre las diversas opciones vitales que se le presenten, de acuerdo con sus propios intereses y preferencias’ (SSTC 132/1989, de 18 de julio, FJ 6, por todas)”. Asimismo, esta facultad de autodeterminación respecto de la configuración de la propia existencia “se deriva de la dignidad de la persona y el libre desarrollo de la personalidad, cláusulas que son ‘la base de nuestro sistema de derechos fundamentales’ (por todas, STC 212/2005, de 21 de julio, FJ 4)”. Y finalmente, “la facultad de autodeterminación consciente y responsable de la propia vida cristaliza principalmente en el derecho fundamental a la integridad física y moral (art. 15 CE). Este derecho protege la esencia de la persona como sujeto con capacidad de decisión libre y voluntaria, resultando vulnerado cuando se mediatiza o instrumentaliza al individuo, olvidando que toda persona es un fin en sí mismo (SSTC 181/2004, de 2 de noviembre, FJ 13, y 34/2008, de 25 de febrero, FJ 5)”. En definitiva, frente a la tesis de los recurrentes sobre un presunto derecho fundamental que no tiene cabida en nuestro ordenamiento constitucional, se ha de afirmar que “la libertad individual para la adopción y puesta en práctica autónoma de decisiones personales privadas e íntimas de profunda relevancia vital goza </w:t>
      </w:r>
      <w:r w:rsidRPr="008D479B">
        <w:rPr>
          <w:i/>
        </w:rPr>
        <w:t>prima facie</w:t>
      </w:r>
      <w:r>
        <w:t xml:space="preserve"> de protección a través del reconocimiento de la libertad como valor superior del ordenamiento jurídico (art. 1.1 CE), de los principios de dignidad y libre desarrollo de la personalidad, configurados expresamente en la Constitución como ‘fundamentos del orden político y de la paz social’ (art. 10.1 CE), y de los derechos fundamentales íntimamente vinculados a dichos principios, de entre los que cobra particular relevancia el derecho a la integridad física y moral (art. 15 CE)”.</w:t>
      </w:r>
    </w:p>
    <w:p w14:paraId="12249229" w14:textId="77777777" w:rsidR="008D479B" w:rsidRDefault="008D479B" w:rsidP="008D479B">
      <w:pPr>
        <w:pStyle w:val="TextoNormal"/>
      </w:pPr>
    </w:p>
    <w:p w14:paraId="783A3F95" w14:textId="77777777" w:rsidR="008D479B" w:rsidRDefault="008D479B" w:rsidP="008D479B">
      <w:pPr>
        <w:pStyle w:val="TextoNormal"/>
      </w:pPr>
      <w:r>
        <w:t>(ii) En cuanto a la imposibilidad de configurar el derecho a la vida del art. 15 CE como un derecho de voluntad o libertad que incluya o garantice el derecho a la propia muerte, la STC 19/2023, aun sin encuadrar en este derecho fundamental la protección constitucional de la eutanasia, sí aclaró que la misma se encuentra protegida por otros preceptos constitucionales —según se acaba de reseñar— sin que a ello se oponga, frente a lo que afirman los recurrentes, el derecho fundamental a la vida. En efecto, en la STC 19/2023 este tribunal rechazó una interpretación que “atribuya carácter absoluto a la vida e imponga a los poderes públicos un deber de protección incondicional que implique un paradójico deber de vivir y, en tal medida, impida el reconocimiento constitucional de decisiones autónomas sobre la propia muerte en situaciones de sufrimiento debido a una enfermedad o padecimiento incurable médicamente constatable y que la persona experimenta como inaceptable” [FJ 6 C) b) (i)]. La afirmación del carácter absoluto del derecho a la vida conllevaría “una suerte de obligación constitucional de mantenerse con vida o, dicho de otro modo, que los deberes públicos de protección que derivan de la proclamación del derecho habrían de prevalecer en todo caso sobre la voluntad de quien decidiera poner fin a la propia vida o asumir, en hipótesis ya diferente, riesgos letales para sí mismo. Expuesta en tales términos generales y sin matiz alguno, la tesis no es constitucionalmente aceptable” [FJ 6 C) b) (ii)].</w:t>
      </w:r>
    </w:p>
    <w:p w14:paraId="19BD0B0C" w14:textId="77777777" w:rsidR="008D479B" w:rsidRDefault="008D479B" w:rsidP="008D479B">
      <w:pPr>
        <w:pStyle w:val="TextoNormal"/>
      </w:pPr>
    </w:p>
    <w:p w14:paraId="4BF7336A" w14:textId="77777777" w:rsidR="008D479B" w:rsidRDefault="008D479B" w:rsidP="008D479B">
      <w:pPr>
        <w:pStyle w:val="TextoNormal"/>
      </w:pPr>
      <w:r>
        <w:t>C) Insuficiencia del sistema diseñado por la LORE para garantizar el derecho a la vida desde la perspectiva de los deberes positivos del Estado</w:t>
      </w:r>
    </w:p>
    <w:p w14:paraId="69CEEEE9" w14:textId="77777777" w:rsidR="008D479B" w:rsidRDefault="008D479B" w:rsidP="008D479B">
      <w:pPr>
        <w:pStyle w:val="TextoNormal"/>
      </w:pPr>
    </w:p>
    <w:p w14:paraId="7EE88B65" w14:textId="77777777" w:rsidR="008D479B" w:rsidRDefault="008D479B" w:rsidP="008D479B">
      <w:pPr>
        <w:pStyle w:val="TextoNormal"/>
      </w:pPr>
      <w:r>
        <w:t>a) Posiciones de las partes</w:t>
      </w:r>
    </w:p>
    <w:p w14:paraId="293784E9" w14:textId="77777777" w:rsidR="008D479B" w:rsidRDefault="008D479B" w:rsidP="008D479B">
      <w:pPr>
        <w:pStyle w:val="TextoNormal"/>
      </w:pPr>
    </w:p>
    <w:p w14:paraId="36B4A196" w14:textId="77777777" w:rsidR="008D479B" w:rsidRDefault="008D479B" w:rsidP="008D479B">
      <w:pPr>
        <w:pStyle w:val="TextoNormal"/>
      </w:pPr>
      <w:r>
        <w:t xml:space="preserve">Con carácter general, la demanda reprocha al sistema diseñado por la LORE que no resulta compatible con las exigencias inherentes al derecho a la vida </w:t>
      </w:r>
      <w:r w:rsidRPr="008D479B">
        <w:rPr>
          <w:i/>
        </w:rPr>
        <w:t>ex</w:t>
      </w:r>
      <w:r>
        <w:t xml:space="preserve"> art. 15 CE y, por vía del art. 10.2 CE, también </w:t>
      </w:r>
      <w:r w:rsidRPr="008D479B">
        <w:rPr>
          <w:i/>
        </w:rPr>
        <w:t>ex</w:t>
      </w:r>
      <w:r>
        <w:t xml:space="preserve"> art. 2 CEDH. Entienden los recurrentes que la LORE no satisface plenamente las siguientes garantías: (i) la protección de las personas vulnerables contra actos que pongan en peligro su propia vida; (ii) asegurar que la decisión de poner fin a la vida se produce libremente y con pleno conocimiento de causa; (iii) evitar la toma decisiones por pacientes sin capacidad de discernimiento; (iv) protección frente a decisiones precipitadas; y (v) implementación de medidas para evitar abusos en un contexto liberalizado. En particular, la demanda señala hasta diez submotivos que avalan, a su juicio, las carencias del sistema y determinan su inconstitucionalidad. Submotivos que serán objeto de enjuiciamiento singularizado a continuación.</w:t>
      </w:r>
    </w:p>
    <w:p w14:paraId="21B7E255" w14:textId="77777777" w:rsidR="008D479B" w:rsidRDefault="008D479B" w:rsidP="008D479B">
      <w:pPr>
        <w:pStyle w:val="TextoNormal"/>
      </w:pPr>
    </w:p>
    <w:p w14:paraId="783332FA" w14:textId="77777777" w:rsidR="008D479B" w:rsidRDefault="008D479B" w:rsidP="008D479B">
      <w:pPr>
        <w:pStyle w:val="TextoNormal"/>
      </w:pPr>
      <w:r>
        <w:t>El abogado del Estado niega, además de cada uno de los submotivos, las críticas genéricas formuladas por los recurrentes sobre el sistema diseñado por la LORE. Por una parte, afirma que esta solamente habilita la prestación de la asistencia para morir sobre la base de una voluntad libre e informada del paciente, lo que nos sitúa extramuros del contenido del derecho a la vida. Por otra parte, la LORE prevé toda una serie de garantías para asegurar que la decisión se adopta libre y consciente, evitando cualquier conflicto con las exigencias constitucionales del derecho a la vida.</w:t>
      </w:r>
    </w:p>
    <w:p w14:paraId="7348FF03" w14:textId="77777777" w:rsidR="008D479B" w:rsidRDefault="008D479B" w:rsidP="008D479B">
      <w:pPr>
        <w:pStyle w:val="TextoNormal"/>
      </w:pPr>
    </w:p>
    <w:p w14:paraId="15080ACC" w14:textId="77777777" w:rsidR="008D479B" w:rsidRDefault="008D479B" w:rsidP="008D479B">
      <w:pPr>
        <w:pStyle w:val="TextoNormal"/>
      </w:pPr>
      <w:r>
        <w:t>b) Enjuiciamiento</w:t>
      </w:r>
    </w:p>
    <w:p w14:paraId="4DA8E43A" w14:textId="77777777" w:rsidR="008D479B" w:rsidRDefault="008D479B" w:rsidP="008D479B">
      <w:pPr>
        <w:pStyle w:val="TextoNormal"/>
      </w:pPr>
    </w:p>
    <w:p w14:paraId="68566D86" w14:textId="77777777" w:rsidR="008D479B" w:rsidRDefault="008D479B" w:rsidP="008D479B">
      <w:pPr>
        <w:pStyle w:val="TextoNormal"/>
      </w:pPr>
      <w:r>
        <w:t>El reproche formulado por los recurrentes, con carácter general, al sistema de garantías diseñado por la LORE, en el entendimiento de que son insuficientes para que el Estado cumpla con los deberes positivos de protección que el derecho a la vida demanda en virtud del art. 15 CE y del art. 2 CEDH, ha de ser desestimado por remisión a la STC 19/2023. El Tribunal ha considerado que el entramado de garantías sustantivas y procedimentales previsto en la LORE satisface los deberes estatales de protección frente a terceros de los derechos fundamentales en juego, la vida entre ellos [FJ 6 D) c) (i)].</w:t>
      </w:r>
    </w:p>
    <w:p w14:paraId="67AB8062" w14:textId="77777777" w:rsidR="008D479B" w:rsidRDefault="008D479B" w:rsidP="008D479B">
      <w:pPr>
        <w:pStyle w:val="TextoNormal"/>
      </w:pPr>
    </w:p>
    <w:p w14:paraId="482A8576" w14:textId="77777777" w:rsidR="008D479B" w:rsidRDefault="008D479B" w:rsidP="008D479B">
      <w:pPr>
        <w:pStyle w:val="TextoNormal"/>
      </w:pPr>
      <w:r>
        <w:t>En relación con las concretas censuras planteadas por los recurrentes es preciso distinguir entre (i) aquellas que ya han sido objeto de respuesta y desestimación en la STC 19/2023 y (ii) aquellas otras que, si bien son novedosas en la medida en que no fueron abordadas directamente por la citada sentencia, pueden ser también desestimadas, en su mayoría, conforme a la doctrina fijada en la misma.</w:t>
      </w:r>
    </w:p>
    <w:p w14:paraId="4716BA03" w14:textId="77777777" w:rsidR="008D479B" w:rsidRDefault="008D479B" w:rsidP="008D479B">
      <w:pPr>
        <w:pStyle w:val="TextoNormal"/>
      </w:pPr>
    </w:p>
    <w:p w14:paraId="153A69C1" w14:textId="77777777" w:rsidR="008D479B" w:rsidRDefault="008D479B" w:rsidP="008D479B">
      <w:pPr>
        <w:pStyle w:val="TextoNormal"/>
      </w:pPr>
      <w:r>
        <w:t>(i) Abordaremos, a continuación, el examen de las quejas formuladas por los recurrentes que han de entenderse desestimadas por remisión a la STC 19/2023. En primer lugar, las censuras de inconstitucionalidad dirigidas a la deficiente regulación por la LORE del “documento de instrucciones previas, testamento vital, voluntades anticipadas o documentos equivalentes legalmente reconocidos” y a su eficacia en el procedimiento [arts. 5.2 y 9 LORE], se han de desestimar por las razones esgrimidas en el fundamento jurídico 8 C) c) de la STC 19/2023. Y con base en las mismas razones, se ha de desestimar la queja relativa a la inexistencia de una regulación uniforme en el conjunto del Estado del contenido y efectos jurídicos de los referidos documentos.</w:t>
      </w:r>
    </w:p>
    <w:p w14:paraId="471593D9" w14:textId="77777777" w:rsidR="008D479B" w:rsidRDefault="008D479B" w:rsidP="008D479B">
      <w:pPr>
        <w:pStyle w:val="TextoNormal"/>
      </w:pPr>
    </w:p>
    <w:p w14:paraId="5AE53DA3" w14:textId="77777777" w:rsidR="008D479B" w:rsidRDefault="008D479B" w:rsidP="008D479B">
      <w:pPr>
        <w:pStyle w:val="TextoNormal"/>
      </w:pPr>
      <w:r>
        <w:t>En segundo lugar, la censura de inconstitucionalidad que la demanda hace a la posibilidad de que la solicitud de prestación de ayuda para morir para una persona con incapacidad de hecho sea presentada por un tercero, se ha de descartar por remisión a los argumentos expuestos en el fundamento jurídico 8 C) a) y e) de la STC 19/2023. Del mismo modo, la queja que atribuye al párrafo segundo del art. 5.2 LORE una completa deslegalización de los supuestos en los cuales se permite suplir el consentimiento del paciente afectado se desestima de acuerdo con lo manifestado en los fundamentos jurídicos 8 C) d) y 9 C) b) de la STC 19/2023.</w:t>
      </w:r>
    </w:p>
    <w:p w14:paraId="1F85969F" w14:textId="77777777" w:rsidR="008D479B" w:rsidRDefault="008D479B" w:rsidP="008D479B">
      <w:pPr>
        <w:pStyle w:val="TextoNormal"/>
      </w:pPr>
    </w:p>
    <w:p w14:paraId="43B15E8E" w14:textId="77777777" w:rsidR="008D479B" w:rsidRDefault="008D479B" w:rsidP="008D479B">
      <w:pPr>
        <w:pStyle w:val="TextoNormal"/>
      </w:pPr>
      <w:r>
        <w:t>En tercer lugar, en el caso de eutanasia cuya solicitud se ha formulado mediante “documento de instrucciones previas, testamento vital, voluntades anticipadas o documentos equivalentes legalmente reconocidos”, la censura de inconstitucionalidad se formula por la exclusión del necesario control y garantía judicial respecto de las decisiones que reconozcan el derecho a la prestación de la ayuda para morir. En concreto, la exclusión se derivaría del hecho de que el control judicial se ha previsto expresamente solo para las resoluciones denegatorias de la solicitud (art. 10.5 LORE) y a través del procedimiento especial para la protección de derechos fundamentales (disposición adicional quinta). Esta queja se ha de descartar conforme a los argumentos recogidos en el fundamento jurídico 7 C) b) de la STC 19/2023.</w:t>
      </w:r>
    </w:p>
    <w:p w14:paraId="4311C6C2" w14:textId="77777777" w:rsidR="008D479B" w:rsidRDefault="008D479B" w:rsidP="008D479B">
      <w:pPr>
        <w:pStyle w:val="TextoNormal"/>
      </w:pPr>
    </w:p>
    <w:p w14:paraId="2BD66397" w14:textId="77777777" w:rsidR="008D479B" w:rsidRDefault="008D479B" w:rsidP="008D479B">
      <w:pPr>
        <w:pStyle w:val="TextoNormal"/>
      </w:pPr>
      <w:r>
        <w:t>En cuarto y último lugar, la queja que atribuye al legislador haber vulnerado su deber de proteger la vida debido al insuficiente estándar de cuidados paliativos, lo que puede condicionar la libertad de decisión del paciente, se ha de descartar conforme a los razonamientos expresados en el fundamento jurídico 6 D) c) (iii) de la STC 19/2023.</w:t>
      </w:r>
    </w:p>
    <w:p w14:paraId="47DCCA81" w14:textId="77777777" w:rsidR="008D479B" w:rsidRDefault="008D479B" w:rsidP="008D479B">
      <w:pPr>
        <w:pStyle w:val="TextoNormal"/>
      </w:pPr>
    </w:p>
    <w:p w14:paraId="711DC3AC" w14:textId="77777777" w:rsidR="008D479B" w:rsidRDefault="008D479B" w:rsidP="008D479B">
      <w:pPr>
        <w:pStyle w:val="TextoNormal"/>
      </w:pPr>
      <w:r>
        <w:t>(ii) En cuanto a las censuras de inconstitucionalidad que tienen un carácter novedoso frente a las alegadas en el recurso de inconstitucionalidad núm. 4057-2021 resuelto por la STC 19/2023, hemos de hacer, con carácter previo a su singular enjuiciamiento, unas consideraciones de alcance general. Por una parte, hay que recordar que las garantías procedimentales y organizativas establecidas en la LORE satisfacen, a juicio de este tribunal, los deberes estatales de protección frente a terceros de los derechos fundamentales en juego, incluido el derecho a la vida [STC 19/2023, FJ 6 D) c) (i)]. Por otra parte, atendiendo al razonamiento desarrollado en la STC 19/2023, una eventual elevación de los estándares de protección del derecho a la vida puede interferir con mayor intensidad en el derecho a la autodeterminación respecto de la propia muerte en contextos eutanásicos, incidencia que habría de medirse a la luz del principio de proporcionalidad entendido como prohibición del exceso; en otras palabras, el resultado tuitivo exigido por la Constitución ha de alcanzarse “sin interferir desproporcionadamente en el derecho a la autodeterminación del paciente ni afectar a su contenido esencial” [STC 19/2023, FJ 6 D) a)].</w:t>
      </w:r>
    </w:p>
    <w:p w14:paraId="7ED6C79D" w14:textId="77777777" w:rsidR="008D479B" w:rsidRDefault="008D479B" w:rsidP="008D479B">
      <w:pPr>
        <w:pStyle w:val="TextoNormal"/>
      </w:pPr>
    </w:p>
    <w:p w14:paraId="1D2CCA6F" w14:textId="77777777" w:rsidR="008D479B" w:rsidRDefault="008D479B" w:rsidP="008D479B">
      <w:pPr>
        <w:pStyle w:val="TextoNormal"/>
      </w:pPr>
      <w:r>
        <w:t>La demanda plantea una serie de censuras de inconstitucionalidad que pueden ser objeto de un examen conjunto en la medida en que son expresión de una crítica a las garantías de naturaleza procedimental y organizativas previstas en la LORE. Como veremos, las citadas censuras esgrimen la existencia de otros sistemas o de otras medidas que, a juicio de los recurrentes, son más eficaces para la protección de la vida.</w:t>
      </w:r>
    </w:p>
    <w:p w14:paraId="7EFD424C" w14:textId="77777777" w:rsidR="008D479B" w:rsidRDefault="008D479B" w:rsidP="008D479B">
      <w:pPr>
        <w:pStyle w:val="TextoNormal"/>
      </w:pPr>
    </w:p>
    <w:p w14:paraId="10740BAF" w14:textId="77777777" w:rsidR="008D479B" w:rsidRDefault="008D479B" w:rsidP="008D479B">
      <w:pPr>
        <w:pStyle w:val="TextoNormal"/>
      </w:pPr>
      <w:r>
        <w:t>Una parte de las quejas incide en la no intervención, a lo largo del desarrollo del procedimiento administrativo previo y obligatorio para comprobar la concurrencia de los requisitos de acceso a la prestación de la ayuda para morir, de determinados profesionales —psiquiatras o psicólogos— o autoridades —juez, fiscal, notario o fedatario público de otra índole— que contribuirían, en el entendimiento de los recurrentes, a salvaguardar y certificar el consentimiento libre, consciente e informado del solicitante de la prestación o validar, en el caso de las autoridades, la regularidad del procedimiento. Igualmente, se entiende necesaria e imperativa, a los efectos de reforzar las garantías del sistema, la realización de una entrevista personal al solicitante por parte de la comisión de garantía y evaluación, además del examen individual por los profesionales de salud mental. Finalmente, también se reprocha al sistema no ofrecer suficientes garantías relativas al conflicto de intereses en relación con los centros privados y concertados.</w:t>
      </w:r>
    </w:p>
    <w:p w14:paraId="0D48CD21" w14:textId="77777777" w:rsidR="008D479B" w:rsidRDefault="008D479B" w:rsidP="008D479B">
      <w:pPr>
        <w:pStyle w:val="TextoNormal"/>
      </w:pPr>
    </w:p>
    <w:p w14:paraId="311F4116" w14:textId="77777777" w:rsidR="008D479B" w:rsidRDefault="008D479B" w:rsidP="008D479B">
      <w:pPr>
        <w:pStyle w:val="TextoNormal"/>
      </w:pPr>
      <w:r>
        <w:t>En atención a lo expuesto con carácter previo, hemos de descartar todas estas quejas sobre la base argumental de que el sistema diseñado por la LORE ofrece garantías suficientes para la protección de los derechos fundamentales concernidos. El procedimiento administrativo establecido por la Ley Orgánica exige “reiteradas solicitudes del paciente realizadas con determinadas formalidades, en garantía de la voluntariedad y la firmeza de su decisión [arts. 5.1 c), 8.1, 8.2 y 8.3]; varios plazos mínimos de espera, en protección del necesario carácter reflexionado de una decisión tan trascendente [arts. 5.1 c), 8.1 y 8.2]; deberes de motivación y justificación documental específicos [arts. 4.2, 5.1 c) y e), 6.2, 6.3, 7.2, 8.3 y 10.3]; y la intervención en dicho procedimiento de varios profesionales médicos desvinculados entre sí [el ‘médico responsable’ y el ‘médico consultor’: arts. 3 d) y e) y 8] y de un órgano colegiado independiente formado por personal médico, de enfermería y juristas (la comisión de garantía y evaluación: arts. 10, 12, 17 y 18), prohibiéndose expresamente que intervengan ‘quienes incurran en conflicto de intereses’ y ‘quienes resulten beneficiados de la práctica de la eutanasia’, cautela que conecta con la previsión de que la prestación podrá realizarse en centros sanitarios públicos, privados o concertados y en el domicilio, sin que ello pueda afectar a la calidad asistencial (art. 14)” [STC 19/2023, FJ 6 D) c) (i)]. Además, algunas de las medidas demandadas por los recurrentes podrían interferir con mayor intensidad y de forma no proporcional en el derecho a la autodeterminación respecto de la propia muerte en contextos eutanásicos [STC 19/2023, FJ 6 D) a)].</w:t>
      </w:r>
    </w:p>
    <w:p w14:paraId="75B69D96" w14:textId="77777777" w:rsidR="008D479B" w:rsidRDefault="008D479B" w:rsidP="008D479B">
      <w:pPr>
        <w:pStyle w:val="TextoNormal"/>
      </w:pPr>
    </w:p>
    <w:p w14:paraId="2FFA27D7" w14:textId="77777777" w:rsidR="008D479B" w:rsidRDefault="008D479B" w:rsidP="008D479B">
      <w:pPr>
        <w:pStyle w:val="TextoNormal"/>
      </w:pPr>
      <w:r>
        <w:t>Por otra parte, estas quejas no dejan de ser la expresión de un determinado modo de entender cómo debiera ser el sistema de protección previsto en la LORE por parte de los recurrentes. Conviene recordar que no corresponde a este tribunal analizar si pueden existir sistemas o medidas de protección más eficaces, sino solamente dilucidar si el sistema previsto en la LORE cumple con unos mínimos de protección razonables [STC 19/2023, FJ 6 D) a)], y la respuesta ha de ser, en este sentido, necesariamente afirmativa.</w:t>
      </w:r>
    </w:p>
    <w:p w14:paraId="1B9DC05E" w14:textId="77777777" w:rsidR="008D479B" w:rsidRDefault="008D479B" w:rsidP="008D479B">
      <w:pPr>
        <w:pStyle w:val="TextoNormal"/>
      </w:pPr>
    </w:p>
    <w:p w14:paraId="514A3472" w14:textId="77777777" w:rsidR="008D479B" w:rsidRDefault="008D479B" w:rsidP="008D479B">
      <w:pPr>
        <w:pStyle w:val="TextoNormal"/>
      </w:pPr>
      <w:r>
        <w:t>El mismo razonamiento nos conduce a desestimar la censura de inconstitucionalidad relativa a la ausencia de definición en el art. 5.1 c) LORE de lo que ha de entenderse por “presión externa” y a la indeterminación del procedimiento que deberá llevarse a cabo para efectuar su evaluación, de lo que se deriva, nuevamente, una insuficiencia de garantías del sistema.</w:t>
      </w:r>
    </w:p>
    <w:p w14:paraId="50CBF71E" w14:textId="77777777" w:rsidR="008D479B" w:rsidRDefault="008D479B" w:rsidP="008D479B">
      <w:pPr>
        <w:pStyle w:val="TextoNormal"/>
      </w:pPr>
    </w:p>
    <w:p w14:paraId="2C945ED2" w14:textId="77777777" w:rsidR="008D479B" w:rsidRDefault="008D479B" w:rsidP="008D479B">
      <w:pPr>
        <w:pStyle w:val="TextoNormal"/>
      </w:pPr>
      <w:r>
        <w:t>Consideración aparte merece la queja relativa a la ausencia de una previsión que permita superar las eventuales divergencias de criterios en la aplicación de la LORE. Si bien el art. 17.5 contempla una reunión anual entre el Ministerio de Sanidad y los presidentes de las comisiones de garantía y evaluación de las comunidades autónomas “para homogeneizar criterios e intercambiar buenas prácticas en el desarrollo de la prestación de eutanasia en el Sistema Nacional de Salud”, los recurrentes entienden que dicha previsión es insuficiente. No se prevé un órgano estatal que pueda revisar en vía administrativa las decisiones adoptadas por cada una de las comisiones autonómicas.</w:t>
      </w:r>
    </w:p>
    <w:p w14:paraId="35EB8D52" w14:textId="77777777" w:rsidR="008D479B" w:rsidRDefault="008D479B" w:rsidP="008D479B">
      <w:pPr>
        <w:pStyle w:val="TextoNormal"/>
      </w:pPr>
    </w:p>
    <w:p w14:paraId="1F145829" w14:textId="77777777" w:rsidR="008D479B" w:rsidRDefault="008D479B" w:rsidP="008D479B">
      <w:pPr>
        <w:pStyle w:val="TextoNormal"/>
      </w:pPr>
      <w:r>
        <w:t>Esta queja plantea, en primer lugar, un hipotético problema de coordinación, con base en una mera conjetura, lo que manifiestamente queda extramuros del objeto de este proceso, pues el control que lleva a cabo el Tribunal Constitucional en este tipo de procedimiento “debe estar al margen de cualquier posible o hipotético acto de aplicación de dicho precepto, debiendo limitarnos a contrastar de manera abstracta el precepto recurrido y las normas y principios constitucionales que se estiman infringidos [SSTC 49/2008, FFJJ 3 y 4, y 128/2016, de 7 de julio, FJ 5 A) a)]” [STC 185/2016, de 3 de noviembre, FJ 7 b)]. Y, en segundo lugar, la demanda insiste nuevamente en proponer lo que, a juicio de los recurrentes, sería una medida más eficaz para el funcionamiento del sistema. Por todo ello, ha de ser desestimada esta tacha de inconstitucionalidad.</w:t>
      </w:r>
    </w:p>
    <w:p w14:paraId="519876D0" w14:textId="77777777" w:rsidR="008D479B" w:rsidRDefault="008D479B" w:rsidP="008D479B">
      <w:pPr>
        <w:pStyle w:val="TextoNormal"/>
      </w:pPr>
    </w:p>
    <w:p w14:paraId="736A9949" w14:textId="77777777" w:rsidR="008D479B" w:rsidRDefault="008D479B" w:rsidP="008D479B">
      <w:pPr>
        <w:pStyle w:val="TextoNormal"/>
      </w:pPr>
      <w:r>
        <w:t>D) Incompatibilidad del sistema diseñado por la LORE con el principio de seguridad jurídica (art. 9.3 CE)</w:t>
      </w:r>
    </w:p>
    <w:p w14:paraId="79445A66" w14:textId="77777777" w:rsidR="008D479B" w:rsidRDefault="008D479B" w:rsidP="008D479B">
      <w:pPr>
        <w:pStyle w:val="TextoNormal"/>
      </w:pPr>
    </w:p>
    <w:p w14:paraId="79A08CAF" w14:textId="77777777" w:rsidR="008D479B" w:rsidRDefault="008D479B" w:rsidP="008D479B">
      <w:pPr>
        <w:pStyle w:val="TextoNormal"/>
      </w:pPr>
      <w:r>
        <w:t>a) Posiciones de las partes</w:t>
      </w:r>
    </w:p>
    <w:p w14:paraId="44BD6B74" w14:textId="77777777" w:rsidR="008D479B" w:rsidRDefault="008D479B" w:rsidP="008D479B">
      <w:pPr>
        <w:pStyle w:val="TextoNormal"/>
      </w:pPr>
    </w:p>
    <w:p w14:paraId="5B79228E" w14:textId="77777777" w:rsidR="008D479B" w:rsidRDefault="008D479B" w:rsidP="008D479B">
      <w:pPr>
        <w:pStyle w:val="TextoNormal"/>
      </w:pPr>
      <w:r>
        <w:t>La demanda denuncia la infracción del principio de seguridad jurídica (art. 9.3 CE), en los términos en que ha sido configurado por este tribunal, en dos ámbitos: (i) el uso de una terminología ambigua y confusa en la determinación de los sujetos y situaciones en las que se puede solicitar la eutanasia, lo que resulta especialmente grave por comprometer valores constitucionales esenciales tales como la vida (art. 15 CE) y la dignidad de la persona (art. 10 CE); y (ii) la no configuración o previsión de un contro</w:t>
      </w:r>
      <w:r w:rsidRPr="008D479B">
        <w:rPr>
          <w:i/>
        </w:rPr>
        <w:t>l ex po</w:t>
      </w:r>
      <w:r>
        <w:t>st de los efectos de la norma.</w:t>
      </w:r>
    </w:p>
    <w:p w14:paraId="29BDC6CF" w14:textId="77777777" w:rsidR="008D479B" w:rsidRDefault="008D479B" w:rsidP="008D479B">
      <w:pPr>
        <w:pStyle w:val="TextoNormal"/>
      </w:pPr>
    </w:p>
    <w:p w14:paraId="40A80F73" w14:textId="77777777" w:rsidR="008D479B" w:rsidRDefault="008D479B" w:rsidP="008D479B">
      <w:pPr>
        <w:pStyle w:val="TextoNormal"/>
      </w:pPr>
      <w:r>
        <w:t>La Abogacía del Estado defiende la correcta delimitación por la LORE del “contexto eutanásico” como presupuesto necesario para justificar la solicitud de ayuda para morir, así como el extenso elenco de garantías que han de observarse para asegurar que la prestación responda a un previo consentimiento libre, consciente e informado. Por otra parte, cuestiona que se pueda dudar de la constitucionalidad de la LORE sobre la base de una exigencia de técnica legislativa como es la ausencia de un contro</w:t>
      </w:r>
      <w:r w:rsidRPr="008D479B">
        <w:rPr>
          <w:i/>
        </w:rPr>
        <w:t>l ex po</w:t>
      </w:r>
      <w:r>
        <w:t>st.</w:t>
      </w:r>
    </w:p>
    <w:p w14:paraId="74312753" w14:textId="77777777" w:rsidR="008D479B" w:rsidRDefault="008D479B" w:rsidP="008D479B">
      <w:pPr>
        <w:pStyle w:val="TextoNormal"/>
      </w:pPr>
    </w:p>
    <w:p w14:paraId="1CB19AD3" w14:textId="77777777" w:rsidR="008D479B" w:rsidRDefault="008D479B" w:rsidP="008D479B">
      <w:pPr>
        <w:pStyle w:val="TextoNormal"/>
      </w:pPr>
      <w:r>
        <w:t>b) El alegado uso de terminología ambigua y confusa en la determinación de los sujetos y situaciones en las que se puede solicitar la eutanasia</w:t>
      </w:r>
    </w:p>
    <w:p w14:paraId="1DF68F92" w14:textId="77777777" w:rsidR="008D479B" w:rsidRDefault="008D479B" w:rsidP="008D479B">
      <w:pPr>
        <w:pStyle w:val="TextoNormal"/>
      </w:pPr>
    </w:p>
    <w:p w14:paraId="013F2F5B" w14:textId="77777777" w:rsidR="008D479B" w:rsidRDefault="008D479B" w:rsidP="008D479B">
      <w:pPr>
        <w:pStyle w:val="TextoNormal"/>
      </w:pPr>
      <w:r>
        <w:t>(i) La demanda cuestiona el modo en que la LORE define el “contexto eutanásico” [art. 5.1 d) en conexión con el art. 3 b) y c)] que, no olvidemos, constituye el presupuesto fáctico necesario para justificar la solicitud de ayuda para morir. Contexto eutanásico que se define por referencia a dos situaciones como son sufrir “una enfermedad grave e incurable” o “un padecimiento grave, crónico e imposibilitante”. Procede en este punto enjuiciar si esa delimitación es lo suficientemente precisa para que la garantía que supone su existencia se entienda eficaz o si, por el contrario, introduce un excesivo ámbito de incertidumbre en las condiciones fácticas del reconocimiento de la prestación, con el consiguiente incremento del riesgo para la vida y para la autodeterminación de la persona.</w:t>
      </w:r>
    </w:p>
    <w:p w14:paraId="0B55BA83" w14:textId="77777777" w:rsidR="008D479B" w:rsidRDefault="008D479B" w:rsidP="008D479B">
      <w:pPr>
        <w:pStyle w:val="TextoNormal"/>
      </w:pPr>
    </w:p>
    <w:p w14:paraId="674FDD4F" w14:textId="77777777" w:rsidR="008D479B" w:rsidRDefault="008D479B" w:rsidP="008D479B">
      <w:pPr>
        <w:pStyle w:val="TextoNormal"/>
      </w:pPr>
      <w:r>
        <w:t>Los específicos reproches que los recurrentes formulan a la regulación legal de la situación de “padecimiento grave, crónico e imposibilitante” [art. 3 b) LORE], en el sentido de que crearía una zona gris que daría cabida a la práctica totalidad de las solicitudes, especialmente en el caso de personas de edad avanzada —pues el precepto habla de limitaciones que inciden “sobre la capacidad de expresión y relación”—, han de entenderse rechazados por las razones esgrimidas en el fundamento jurídico 6 D) c) (ii) de la STC 19/2023.</w:t>
      </w:r>
    </w:p>
    <w:p w14:paraId="14F16AFB" w14:textId="77777777" w:rsidR="008D479B" w:rsidRDefault="008D479B" w:rsidP="008D479B">
      <w:pPr>
        <w:pStyle w:val="TextoNormal"/>
      </w:pPr>
    </w:p>
    <w:p w14:paraId="16C30D04" w14:textId="77777777" w:rsidR="008D479B" w:rsidRDefault="008D479B" w:rsidP="008D479B">
      <w:pPr>
        <w:pStyle w:val="TextoNormal"/>
      </w:pPr>
      <w:r>
        <w:t>La demanda plantea reproches de similar naturaleza a la situación de “enfermedad grave e incurable” [art. 3 c) LORE]. Sostienen los recurrentes que es necesario definir el concepto de “gravedad” referida a una enfermedad, e insisten en la ambigüedad de lo que se deba entender por “sufrimiento psíquico”, situación que se agrava, en este último caso, por la ausencia en todo el proceso del dictamen de un psiquiatra o psicólogo —cuestión sobre la que ya nos hemos pronunciado en el fundamento 3 C) b) (ii) de esta sentencia—. El Tribunal no puede compartir tampoco esta alegación de los recurrentes. La referencia del art. 3 c) LORE a una situación de “enfermedad grave e incurable” es compatible con la seguridad jurídica, pues “aunque contiene un margen de apreciación, es susceptible de ser definida de forma acorde ‘con el sentido idiomático general’ (STC 53/1985, FJ 10), lo que elimina el riesgo de una absoluta indeterminación en cuanto a su interpretación o a que se generen en los destinatarios dudas insuperables acerca de la conducta exigible” [STC 19/2023, FJ 6 D) c) (ii)]. Como dijimos en la STC 44/2023, de 9 de mayo, FJ 7 A) b), al enjuiciar los supuesto de “aborto embriopático”, la exigencia de que la enfermedad sea “grave” expresa, de un lado, su importancia y profundidad y, de otro, su permanencia en el tiempo; y el que sea “incurable” expresa su irreversibilidad. Además, la definición de la Ley exige la concurrencia de diversas circunstancias susceptibles de apreciación médica: por una parte, que se originen “sufrimientos físicos o psíquicos constantes e insoportables sin posibilidad de alivio” y, por otra parte, “un pronóstico de vida limitado”. Al legislador “no le es exigible mayor precisión, pues existen instrumentos interpretativos suficientes para evitar la generación de inseguridad jurídica en la aplicación de la norma”, teniendo en cuenta que la propia LORE ha previsto que la concurrencia de la situación contemplada en su art. 3 c) “deba ser constatada, en todo caso, por al menos dos facultativos distintos e independientes entre sí, además de por un órgano administrativo colegiado compuesto por profesionales de la medicina y del Derecho (la comisión de garantía y evaluación), cautelas procedimentales que permiten compensar los márgenes de indefinición que pudiera presentar la norma en su aplicación a supuestos concretos” [STC 19/2023, FJ 6 D) c) (ii)]. Por las razones expuestas, esta tacha de inconstitucionalidad ha de ser desestimada.</w:t>
      </w:r>
    </w:p>
    <w:p w14:paraId="7A6D343E" w14:textId="77777777" w:rsidR="008D479B" w:rsidRDefault="008D479B" w:rsidP="008D479B">
      <w:pPr>
        <w:pStyle w:val="TextoNormal"/>
      </w:pPr>
    </w:p>
    <w:p w14:paraId="174BA3E6" w14:textId="77777777" w:rsidR="008D479B" w:rsidRDefault="008D479B" w:rsidP="008D479B">
      <w:pPr>
        <w:pStyle w:val="TextoNormal"/>
      </w:pPr>
      <w:r>
        <w:t>Por último, no cabe acoger el planteamiento de la demanda conforme al cual la prestación de ayuda para morir que configura la LORE solamente hubiera evitado los problemas de seguridad jurídica limitándose a los supuestos de enfermos terminales: esto es, a la confluencia de un límite temporal (fase final de la vida) y de diagnóstico (irreversibilidad de la situación). El fundamento constitucional de la prestación de ayuda para morir que configura la LORE, cifrado en la autodeterminación respecto de la propia muerte en contextos eutanásicos, remite no solo a la libertad, sino también a la dignidad de la persona; es por ello que circunscribir a los supuestos de enfermos terminales las posibilidades de obtener la prestación de ayuda para morir no resulta compatible con el respeto a la dignidad humana y al libre desarrollo de la personalidad (art. 10.1 CE) ni con el derecho a la integridad personal (art. 15 CE) [en este sentido y en relación con los cuidados paliativos, STC 19/2023, FJ 6 D) c) (iii)].</w:t>
      </w:r>
    </w:p>
    <w:p w14:paraId="3D4C1C0C" w14:textId="77777777" w:rsidR="008D479B" w:rsidRDefault="008D479B" w:rsidP="008D479B">
      <w:pPr>
        <w:pStyle w:val="TextoNormal"/>
      </w:pPr>
    </w:p>
    <w:p w14:paraId="00B28445" w14:textId="77777777" w:rsidR="008D479B" w:rsidRDefault="008D479B" w:rsidP="008D479B">
      <w:pPr>
        <w:pStyle w:val="TextoNormal"/>
      </w:pPr>
      <w:r>
        <w:t>(ii) A continuación, la demanda alude a los escollos que obstaculizan la autenticación o verificación de la voluntad libre, consciente e informada del solicitante de la prestación de ayuda para morir. En este sentido, es necesario, en primer lugar, poner de manifiesto que en el recurso se reiteran algunas quejas como la relativa a la ausencia o indeterminación en el procedimiento de un momento para evaluar la “presión externa”; o la que atribuye al párrafo segundo del art. 5.2 LORE una completa deslegalización de los supuestos en los cuales se permite suplir el consentimiento del paciente afectado. Estas quejas han sido ya objeto de examen y desestimación en el fundamento jurídico 3 C) b) (i) y (ii) de esta sentencia, al que nos remitimos.</w:t>
      </w:r>
    </w:p>
    <w:p w14:paraId="3365D77A" w14:textId="77777777" w:rsidR="008D479B" w:rsidRDefault="008D479B" w:rsidP="008D479B">
      <w:pPr>
        <w:pStyle w:val="TextoNormal"/>
      </w:pPr>
    </w:p>
    <w:p w14:paraId="3C1D6FBE" w14:textId="77777777" w:rsidR="008D479B" w:rsidRDefault="008D479B" w:rsidP="008D479B">
      <w:pPr>
        <w:pStyle w:val="TextoNormal"/>
      </w:pPr>
      <w:r>
        <w:t>Consideran los recurrentes que el proceso deliberativo entre el médico responsable y el solicitante, al que alude el art. 8.1 LORE, en conexión con el deber de informar sobre las alternativas y los cuidados paliativos [arts. 4.2 y 5.1 b) LORE], resulta insuficiente desde el punto de vista de las garantías que demanda el derecho a la vida. Esta censura de inconstitucionalidad ha de ser desestimada, una vez más, por remisión al fundamento jurídico 6 D) c) (i) de la STC 19/2023, reiterando que las garantías procedimentales previstas en la LORE han sido consideradas suficientes por este tribunal.</w:t>
      </w:r>
    </w:p>
    <w:p w14:paraId="5A240430" w14:textId="77777777" w:rsidR="008D479B" w:rsidRDefault="008D479B" w:rsidP="008D479B">
      <w:pPr>
        <w:pStyle w:val="TextoNormal"/>
      </w:pPr>
    </w:p>
    <w:p w14:paraId="0DA506F9" w14:textId="77777777" w:rsidR="008D479B" w:rsidRDefault="008D479B" w:rsidP="008D479B">
      <w:pPr>
        <w:pStyle w:val="TextoNormal"/>
      </w:pPr>
      <w:r>
        <w:t xml:space="preserve">Igualmente, entienden los recurrentes que la previsión del art. 5.1 c) </w:t>
      </w:r>
      <w:r w:rsidRPr="008D479B">
        <w:rPr>
          <w:i/>
        </w:rPr>
        <w:t>in fine</w:t>
      </w:r>
      <w:r>
        <w:t xml:space="preserve"> LORE que permite, en los casos de pérdida inminente de capacidad del solicitante, reducir el plazo de quince días naturales entre las dos solicitudes a un plazo menor “en función de las circunstancias clínicas concurrentes”, implica un déficit de garantías. Esta queja ha de ser desestimada por remisión a los argumentos esgrimidos en el fundamento jurídico 8 C) d) de la STC 19/2023, que confirmó la constitucionalidad de los preceptos relativos a la valoración de la “situación de incapacidad de hecho” [arts. 5.2 y 3 h)] y a la valoración y efectos de la situación de “pérdida de la capacidad de la persona solicitante para otorgar el consentimiento informado es inminente” [art. 5.1 c), párrafo segundo].</w:t>
      </w:r>
    </w:p>
    <w:p w14:paraId="6CB5579D" w14:textId="77777777" w:rsidR="008D479B" w:rsidRDefault="008D479B" w:rsidP="008D479B">
      <w:pPr>
        <w:pStyle w:val="TextoNormal"/>
      </w:pPr>
    </w:p>
    <w:p w14:paraId="0FE6940E" w14:textId="77777777" w:rsidR="008D479B" w:rsidRDefault="008D479B" w:rsidP="008D479B">
      <w:pPr>
        <w:pStyle w:val="TextoNormal"/>
      </w:pPr>
      <w:r>
        <w:t>Finalmente, la demanda sostiene que estamos ante una rebaja de requisitos y, por tanto, de garantías, al permitir el art. 6.4 LORE la autenticación de la voluntad del solicitante por un tercero o por el propio médico que lo trata, e incluso, en ausencia del médico responsable, según el art. 6.2, y todo ello excluyendo directamente a jueces y fiscales de la valoración de la capacidad. Estas censuras de inconstitucionalidad se han de desestimar por remisión al fundamento jurídico 8 C) d) y e) de la STC 19/2023, así como a su fundamento jurídico 6 D) a).</w:t>
      </w:r>
    </w:p>
    <w:p w14:paraId="459FCFE8" w14:textId="77777777" w:rsidR="008D479B" w:rsidRDefault="008D479B" w:rsidP="008D479B">
      <w:pPr>
        <w:pStyle w:val="TextoNormal"/>
      </w:pPr>
    </w:p>
    <w:p w14:paraId="440B389B" w14:textId="77777777" w:rsidR="008D479B" w:rsidRDefault="008D479B" w:rsidP="008D479B">
      <w:pPr>
        <w:pStyle w:val="TextoNormal"/>
      </w:pPr>
      <w:r>
        <w:t>(iii) Sostienen los recurrentes que el art. 11.2 LORE no determina ni el “médico responsable”, ni el “resto de profesionales sanitarios”, que asistirán al paciente hasta el momento de su muerte, y tampoco establece las responsabilidades que se derivan de los profesionales que actúen y también de aquellos que puedan objetar. Este tribunal no aprecia en qué medida una cuestión, como es la concreción del personal médico y sanitario interviniente en la ejecución de la prestación de ayuda para morir, que responde a una decisión propia de la organización interna de cada centro sanitario, puede suponer una tacha de inconstitucionalidad. En todo caso, en lo que atañe a las eventuales responsabilidades de los intervinientes, hay que reiterar que las garantías de naturaleza procedimental y organizativa previstas en la LORE han sido consideradas suficientes [STC 19/2023, FJ 6 D) c) (i)], sin que las alegaciones de los recurrentes desvirtúen esta conclusión. Por estas razones la queja ha de entenderse desestimada.</w:t>
      </w:r>
    </w:p>
    <w:p w14:paraId="4D69D534" w14:textId="77777777" w:rsidR="008D479B" w:rsidRDefault="008D479B" w:rsidP="008D479B">
      <w:pPr>
        <w:pStyle w:val="TextoNormal"/>
      </w:pPr>
    </w:p>
    <w:p w14:paraId="432661A9" w14:textId="77777777" w:rsidR="008D479B" w:rsidRDefault="008D479B" w:rsidP="008D479B">
      <w:pPr>
        <w:pStyle w:val="TextoNormal"/>
      </w:pPr>
      <w:r>
        <w:t>c) Ausencia de un contro</w:t>
      </w:r>
      <w:r w:rsidRPr="008D479B">
        <w:rPr>
          <w:i/>
        </w:rPr>
        <w:t>l ex po</w:t>
      </w:r>
      <w:r>
        <w:t>st de los efectos de la norma</w:t>
      </w:r>
    </w:p>
    <w:p w14:paraId="11D9E088" w14:textId="77777777" w:rsidR="008D479B" w:rsidRDefault="008D479B" w:rsidP="008D479B">
      <w:pPr>
        <w:pStyle w:val="TextoNormal"/>
      </w:pPr>
    </w:p>
    <w:p w14:paraId="38446319" w14:textId="77777777" w:rsidR="008D479B" w:rsidRDefault="008D479B" w:rsidP="008D479B">
      <w:pPr>
        <w:pStyle w:val="TextoNormal"/>
      </w:pPr>
      <w:r>
        <w:t xml:space="preserve">La demanda infiere del contenido de la LORE, en cuanto despenaliza las conductas dirigidas a causar o cooperar activamente a la muerte de otra persona en un contexto eutanásico, la vulneración del principio de seguridad jurídica (art. 9.3 CE) por no incorporar un mecanismo de control o evaluación </w:t>
      </w:r>
      <w:r w:rsidRPr="008D479B">
        <w:rPr>
          <w:i/>
        </w:rPr>
        <w:t>ex post</w:t>
      </w:r>
      <w:r>
        <w:t xml:space="preserve"> de la norma. Evaluación que cobra más importancia si cabe, a juicio de los recurrentes, porque la LORE no ha estado sujeta a evaluació</w:t>
      </w:r>
      <w:r w:rsidRPr="008D479B">
        <w:rPr>
          <w:i/>
        </w:rPr>
        <w:t xml:space="preserve">n </w:t>
      </w:r>
      <w:r>
        <w:t>e</w:t>
      </w:r>
      <w:r w:rsidRPr="008D479B">
        <w:rPr>
          <w:i/>
        </w:rPr>
        <w:t>x an</w:t>
      </w:r>
      <w:r>
        <w:t>te alguna.</w:t>
      </w:r>
    </w:p>
    <w:p w14:paraId="6B73E63A" w14:textId="77777777" w:rsidR="008D479B" w:rsidRDefault="008D479B" w:rsidP="008D479B">
      <w:pPr>
        <w:pStyle w:val="TextoNormal"/>
      </w:pPr>
    </w:p>
    <w:p w14:paraId="389D79C7" w14:textId="3D11B411" w:rsidR="008D479B" w:rsidRDefault="008D479B" w:rsidP="008D479B">
      <w:pPr>
        <w:pStyle w:val="TextoNormal"/>
      </w:pPr>
      <w:r>
        <w:t xml:space="preserve">Aun aceptando, a efectos meramente retóricos, que una ley como la impugnada pudiera ser expresión de una deficiente técnica legislativa por omitir la previsión de un control </w:t>
      </w:r>
      <w:r w:rsidRPr="008D479B">
        <w:rPr>
          <w:i/>
        </w:rPr>
        <w:t>ex post</w:t>
      </w:r>
      <w:r>
        <w:t xml:space="preserve"> de su aplicación, no por ello cabe inferir de modo necesario una infracción del principio de seguridad jurídica del art. 9.3 CE, habida cuenta que el juicio de constitucionalidad que corresponde a este tribunal “‘no lo es de técnica legislativa’ [SSTC 109/1987, de 29 de junio, FJ 3 c), y 195/1996, de 28 de noviembre, FJ 4], ni de ‘perfección técnica de las leyes’ (SSTC 226/1993, de 8 de julio, FJ 4), pues nuestro control ‘nada tiene que ver con su depuración técnica’ (SSTC 226/1993, de 8 de julio, FJ 5, y 195/1996, de 28 de noviembre, FJ 4)” (por todas, STC 136/2011, de 13 de septiembre, FJ 3, y 126/2021, de 3 de junio, FJ 6). Por otra parte, como ya expresamos en el fundamento jurídico 2 de esta sentencia, ninguna objeción cabe hacer a la tramitación parlamentaria de la proposición de ley orgánica que culminó con la aprobación de la LORE. Por todo lo expuesto, la tacha de inconstitucionalidad ha de ser desestimada.</w:t>
      </w:r>
    </w:p>
    <w:p w14:paraId="085A7B3A" w14:textId="77777777" w:rsidR="008D479B" w:rsidRDefault="008D479B" w:rsidP="008D479B">
      <w:pPr>
        <w:pStyle w:val="TextoNormal"/>
      </w:pPr>
    </w:p>
    <w:p w14:paraId="20FCBE1C" w14:textId="77777777" w:rsidR="008D479B" w:rsidRDefault="008D479B" w:rsidP="008D479B">
      <w:pPr>
        <w:pStyle w:val="TextoNormal"/>
      </w:pPr>
      <w:r w:rsidRPr="008D479B">
        <w:rPr>
          <w:rStyle w:val="NumeroAFNegritaCaracter"/>
        </w:rPr>
        <w:t>4</w:t>
      </w:r>
      <w:r>
        <w:t xml:space="preserve">. </w:t>
      </w:r>
      <w:r w:rsidRPr="008D479B">
        <w:rPr>
          <w:i/>
        </w:rPr>
        <w:t>Impugnación de la Ley Orgánica 3/2021 por vulneración de la libertad ideológica y religiosa consagrado en el art. 16 CE al restringir desproporcionadamente el derecho a la objeción de conciencia</w:t>
      </w:r>
    </w:p>
    <w:p w14:paraId="376A9E06" w14:textId="77777777" w:rsidR="008D479B" w:rsidRDefault="008D479B" w:rsidP="008D479B">
      <w:pPr>
        <w:pStyle w:val="TextoNormal"/>
      </w:pPr>
    </w:p>
    <w:p w14:paraId="12F9F5BC" w14:textId="77777777" w:rsidR="008D479B" w:rsidRDefault="008D479B" w:rsidP="008D479B">
      <w:pPr>
        <w:pStyle w:val="TextoNormal"/>
      </w:pPr>
      <w:r>
        <w:t>A) Posiciones de las partes</w:t>
      </w:r>
    </w:p>
    <w:p w14:paraId="47EBFED2" w14:textId="77777777" w:rsidR="008D479B" w:rsidRDefault="008D479B" w:rsidP="008D479B">
      <w:pPr>
        <w:pStyle w:val="TextoNormal"/>
      </w:pPr>
    </w:p>
    <w:p w14:paraId="15D67B6D" w14:textId="77777777" w:rsidR="008D479B" w:rsidRDefault="008D479B" w:rsidP="008D479B">
      <w:pPr>
        <w:pStyle w:val="TextoNormal"/>
      </w:pPr>
      <w:r>
        <w:t>a) Entiende la demanda que la LORE vulnera la libertad ideológica y religiosa consagrada en el art. 16.1 CE al incidir de forma desproporcionada en el derecho de objeción de conciencia. Incidencia que opera en una doble vertiente: por exceso, al prever la creación, en el art. 16.2 LORE, de un registro de profesionales sanitarios objetores, lo que además supone una invasión de las competencias autonómicas en materia sanitaria; y por defecto, al excluir a las personas jurídicas, vía art. 16.1 LORE, de la titularidad del derecho de objeción de conciencia, obviando que se trata de un derecho incardinado de forma directa en la libertad ideológica y religiosa de la que gozan también aquellas. Además, la configuración que hace la LORE de la actuación de los profesionales sanitarios en relación con la prestación de ayuda para morir [arts. 1, párrafo segundo, 3 d) y g), 6, 8 y 11] altera, de forma sustancial, la actividad profesional que les es propia, vulnerando por ello los arts. 35 y 36 CE.</w:t>
      </w:r>
    </w:p>
    <w:p w14:paraId="06A62866" w14:textId="77777777" w:rsidR="008D479B" w:rsidRDefault="008D479B" w:rsidP="008D479B">
      <w:pPr>
        <w:pStyle w:val="TextoNormal"/>
      </w:pPr>
    </w:p>
    <w:p w14:paraId="6288BE6C" w14:textId="77777777" w:rsidR="008D479B" w:rsidRDefault="008D479B" w:rsidP="008D479B">
      <w:pPr>
        <w:pStyle w:val="TextoNormal"/>
      </w:pPr>
      <w:r>
        <w:t>b) La Abogacía del Estado se opone a las quejas aducidas por los recurrentes al entender que en modo alguno se produce una injerencia desproporcionada en el ejercicio del derecho de objeción de conciencia de los profesionales sanitarios. Recuerda que el registro tiene como fin asegurar la prestación efectiva de la ayuda para morir; previsión que está amparada en la competencia estatal sobre bases y coordinación general de la sanidad. Asimismo, la objeción de conciencia está estrechamente ligada a las convicciones íntimas de un sujeto, por lo que por su naturaleza no parece que este derecho pueda, ni deba, extenderse a entidades cuya voluntad se forma a través de órganos en los que intervienen personas físicas con convicciones no necesariamente coincidentes. Por último, rechaza que la LORE afecte o menoscabe en grado alguno la libertad de las organizaciones y profesionales sanitarios; lo único que se impone es una obligación de prestación sanitaria, frente a la que cabe oponer el ejercicio del derecho de objeción de conciencia.</w:t>
      </w:r>
    </w:p>
    <w:p w14:paraId="5BD68C8F" w14:textId="77777777" w:rsidR="008D479B" w:rsidRDefault="008D479B" w:rsidP="008D479B">
      <w:pPr>
        <w:pStyle w:val="TextoNormal"/>
      </w:pPr>
    </w:p>
    <w:p w14:paraId="7DCE1B0E" w14:textId="77777777" w:rsidR="008D479B" w:rsidRDefault="008D479B" w:rsidP="008D479B">
      <w:pPr>
        <w:pStyle w:val="TextoNormal"/>
      </w:pPr>
      <w:r>
        <w:t>B) La vulneración de la libertad ideológica y religiosa del art. 16.1 CE por incidir la regulación de la LORE de forma desproporcionada en el derecho de objeción de conciencia</w:t>
      </w:r>
    </w:p>
    <w:p w14:paraId="43796BB7" w14:textId="77777777" w:rsidR="008D479B" w:rsidRDefault="008D479B" w:rsidP="008D479B">
      <w:pPr>
        <w:pStyle w:val="TextoNormal"/>
      </w:pPr>
    </w:p>
    <w:p w14:paraId="2A02A040" w14:textId="77777777" w:rsidR="008D479B" w:rsidRDefault="008D479B" w:rsidP="008D479B">
      <w:pPr>
        <w:pStyle w:val="TextoNormal"/>
      </w:pPr>
      <w:r>
        <w:t>En relación con la regulación sustantiva del derecho de objeción de conciencia en el art. 16 LORE, los recurrentes formulan dos quejas: una ligada a la creación del registro de objetores, que a su vez incluye una tacha competencial; y otra vinculada al tratamiento del derecho de objeción en el caso de las personas jurídicas. Por razones sistemáticas, abordaremos primero (a) el examen de la queja competencial, para a continuación enjuiciar si (b) la regulación de la objeción de conciencia vulnera o no el art. 16.1 CE, bien con carácter general para los profesionales sanitarios por la creación de un registro, bien con carácter específico para el caso de las personas jurídicas por su exclusión del ejercicio de dicho derecho.</w:t>
      </w:r>
    </w:p>
    <w:p w14:paraId="101F1435" w14:textId="77777777" w:rsidR="008D479B" w:rsidRDefault="008D479B" w:rsidP="008D479B">
      <w:pPr>
        <w:pStyle w:val="TextoNormal"/>
      </w:pPr>
    </w:p>
    <w:p w14:paraId="22902F1C" w14:textId="77777777" w:rsidR="008D479B" w:rsidRDefault="008D479B" w:rsidP="008D479B">
      <w:pPr>
        <w:pStyle w:val="TextoNormal"/>
      </w:pPr>
      <w:r>
        <w:t>a) El Tribunal no comparte la censura de inconstitucionalidad formulada por razones competenciales a la LORE, al prever el art. 16.2 la creación de un registro de objetores por parte de las administraciones sanitarias.</w:t>
      </w:r>
    </w:p>
    <w:p w14:paraId="1D64B97B" w14:textId="77777777" w:rsidR="008D479B" w:rsidRDefault="008D479B" w:rsidP="008D479B">
      <w:pPr>
        <w:pStyle w:val="TextoNormal"/>
      </w:pPr>
    </w:p>
    <w:p w14:paraId="1BDCD2D0" w14:textId="77777777" w:rsidR="008D479B" w:rsidRDefault="008D479B" w:rsidP="008D479B">
      <w:pPr>
        <w:pStyle w:val="TextoNormal"/>
      </w:pPr>
      <w:r>
        <w:t>En relación con el marco competencial en materia de sanidad, encuadre que no es objeto de cuestionamiento por las partes, es preciso recordar que el art. 149.1.16 CE establece que el Estado tiene competencia exclusiva en materia de “[b]ases y coordinación general de la sanidad”, y que “en relación con el concepto de ‘bases’ nuestra doctrina constitucional ha venido sosteniendo que por tales han de entenderse los principios normativos generales que informan u ordenan una determinada materia, constituyendo, en definitiva, el marco o denominador común de necesaria vigencia en el territorio nacional. Lo básico es, de esta forma, lo esencial, lo nuclear, o lo imprescindible de una materia, en aras de una unidad mínima de posiciones jurídicas que delimita lo que es competencia estatal y determina, al tiempo, el punto de partida y el límite a partir del cual puede ejercer la comunidad autónoma, en defensa del interés general, la competencia asumida en su estatuto” (STC 151/2014, de 25 de septiembre, FJ 3). Por tanto, ni la fijación de las bases ni la coordinación general a la que también se refiere el art. 149.1.16 CE, deben llegar a tal grado de desarrollo que dejen vacías de contenido las correspondientes competencias que las comunidades autónomas hayan asumido en materia de sanidad (SSTC 98/2004, de 25 de mayo, FJ 6, y 22/2012, de 16 de febrero, FJ 3). Pues bien, este tribunal “ya se ha pronunciado en sus SSTC 32/1983, de 28 de abril, y 80/1984, de 20 de julio, acerca de la materia en que debe encuadrarse competencialmente el régimen jurídico de los establecimientos sanitarios, al señalar que ‘la determinación con carácter general de los requisitos técnicos y condiciones mínimas para la aprobación, homologación, autorización, revisión o evaluación de instalaciones, equipos, estructuras, organización y funcionamiento de centros, servicios, actividades o establecimientos sanitarios [...] debe entenderse como una competencia de fijación de bases, que es, por tanto, en virtud del mandato del art. 149.1.16 de la Constitución, de titularidad estatal en cuanto trata de establecer características comunes en los centros, servicios y actividades de dichos centros. En la citada sentencia [STC 32/1983] se decía también que tales requisitos y competencias debían considerarse siempre como mínimos y que, por consiguiente, por encima de ellos, cada comunidad autónoma que posea competencia en materia sanitaria [...] puede establecer medidas de desarrollo legislativo y puede añadir a los requisitos mínimos determinados con carácter general por el Estado, otros que entienda oportunos o especialmente adecuados’ (STC 80/1984, FJ 1)” (STC 22/2012, FJ 6, y también STC 98/2004, FJ 7).</w:t>
      </w:r>
    </w:p>
    <w:p w14:paraId="15185890" w14:textId="77777777" w:rsidR="008D479B" w:rsidRDefault="008D479B" w:rsidP="008D479B">
      <w:pPr>
        <w:pStyle w:val="TextoNormal"/>
      </w:pPr>
    </w:p>
    <w:p w14:paraId="1EC73C57" w14:textId="77777777" w:rsidR="008D479B" w:rsidRDefault="008D479B" w:rsidP="008D479B">
      <w:pPr>
        <w:pStyle w:val="TextoNormal"/>
      </w:pPr>
      <w:r>
        <w:t>El cuestionado art. 16.2 LORE ni por su finalidad ni por su contenido puede entenderse que se extralimite de las competencias estatales para fijar las bases en materia sanitaria. La previsión de estos registros de objetores sanitarios responde a una finalidad objetiva en absoluto reprobable en Derecho, como es la de “facilitar la necesaria información a la administración sanitaria para que esta pueda garantizar una adecuada gestión de la prestación de ayuda para morir” (art. 16.2), garantía que se encomienda a los servicios públicos de salud (art. 13.2). Por otro lado, la LORE se limita a prever la creación de los registros, correspondiendo a las administraciones autonómicas sanitarias competentes el establecimiento y regulación de su organización, estructura y funcionamiento, con solamente dos limitaciones en cuanto al objeto —se inscribirán las declaraciones de objeción de conciencia en relación con la prestación de ayuda para morir— y funcionamiento —confidencialidad y normativa de protección de datos—. El fijar la creación en cada comunidad autónoma de un registro de profesionales sanitarios objetores de conciencia a realizar la prestación de ayuda para morir con el objetivo, común para todo el territorio nacional, de garantizar una adecuada gestión de dicha prestación, constituye un elemento normativo básico que en nada impide u obstaculiza a las comunidades autónomas el ejercicio de sus competencias en relación con la creación, organización y funcionamiento de dicho registro. Por ello, hemos de desestimar la tacha de inconstitucionalidad alegada.</w:t>
      </w:r>
    </w:p>
    <w:p w14:paraId="4F67ABCE" w14:textId="77777777" w:rsidR="008D479B" w:rsidRDefault="008D479B" w:rsidP="008D479B">
      <w:pPr>
        <w:pStyle w:val="TextoNormal"/>
      </w:pPr>
    </w:p>
    <w:p w14:paraId="0CA92738" w14:textId="77777777" w:rsidR="008D479B" w:rsidRDefault="008D479B" w:rsidP="008D479B">
      <w:pPr>
        <w:pStyle w:val="TextoNormal"/>
      </w:pPr>
      <w:r>
        <w:t xml:space="preserve">b) A continuación hemos de examinar las quejas que alegan una vulneración de la libertad ideológica y religiosa </w:t>
      </w:r>
      <w:r w:rsidRPr="008D479B">
        <w:rPr>
          <w:i/>
        </w:rPr>
        <w:t>ex</w:t>
      </w:r>
      <w:r>
        <w:t xml:space="preserve"> art. 16.1 CE, en el entendimiento de que la regulación del art. 16.1 LORE produce una injerencia, tanto por exceso como por defecto, en el ejercicio del derecho de objeción de conciencia.</w:t>
      </w:r>
    </w:p>
    <w:p w14:paraId="0027B4F7" w14:textId="77777777" w:rsidR="008D479B" w:rsidRDefault="008D479B" w:rsidP="008D479B">
      <w:pPr>
        <w:pStyle w:val="TextoNormal"/>
      </w:pPr>
    </w:p>
    <w:p w14:paraId="4080FF50" w14:textId="77777777" w:rsidR="008D479B" w:rsidRDefault="008D479B" w:rsidP="008D479B">
      <w:pPr>
        <w:pStyle w:val="TextoNormal"/>
      </w:pPr>
      <w:r>
        <w:t>La primera de las quejas atribuye a la creación por las administraciones sanitarias de un registro de objetores una injerencia absolutamente desproporcionada en la libertad ideológica y religiosa de los profesionales sanitarios. Esta tacha de inconstitucionalidad se ha de desestimar por las razones esgrimidas en el fundamento jurídico 10 C) c) de la STC 19/2023, en relación con un motivo sustancialmente idéntico.</w:t>
      </w:r>
    </w:p>
    <w:p w14:paraId="47E51139" w14:textId="77777777" w:rsidR="008D479B" w:rsidRDefault="008D479B" w:rsidP="008D479B">
      <w:pPr>
        <w:pStyle w:val="TextoNormal"/>
      </w:pPr>
    </w:p>
    <w:p w14:paraId="64358124" w14:textId="77777777" w:rsidR="008D479B" w:rsidRDefault="008D479B" w:rsidP="008D479B">
      <w:pPr>
        <w:pStyle w:val="TextoNormal"/>
      </w:pPr>
      <w:r>
        <w:t>Carácter novedoso tiene, por el contrario, el reproche de inconstitucionalidad formulado al art. 16.1 LORE por excluir de forma directa y tajante que las personas jurídicas puedan ser titulares del derecho de objeción de conciencia. Esta queja exige partir de la configuración constitucional de la objeción de conciencia, para seguidamente dar una respuesta razonada a la misma.</w:t>
      </w:r>
    </w:p>
    <w:p w14:paraId="140FEEDD" w14:textId="77777777" w:rsidR="008D479B" w:rsidRDefault="008D479B" w:rsidP="008D479B">
      <w:pPr>
        <w:pStyle w:val="TextoNormal"/>
      </w:pPr>
    </w:p>
    <w:p w14:paraId="20E14020" w14:textId="77777777" w:rsidR="008D479B" w:rsidRDefault="008D479B" w:rsidP="008D479B">
      <w:pPr>
        <w:pStyle w:val="TextoNormal"/>
      </w:pPr>
      <w:r>
        <w:t>(i) Sobre la configuración constitucional de la objeción de conciencia, procede ahora remitirnos al fundamento jurídico 10 C) a) de la STC 19/2023. No obstante, teniendo en cuenta que la queja formulada versa sobre la exclusión de las personas jurídicas del ejercicio del derecho de objeción de conciencia en relación con la prestación de la ayuda para morir, estimamos necesario hacer, en este momento, las siguientes consideraciones.</w:t>
      </w:r>
    </w:p>
    <w:p w14:paraId="699CF4DE" w14:textId="77777777" w:rsidR="008D479B" w:rsidRDefault="008D479B" w:rsidP="008D479B">
      <w:pPr>
        <w:pStyle w:val="TextoNormal"/>
      </w:pPr>
    </w:p>
    <w:p w14:paraId="77FBE9DC" w14:textId="77777777" w:rsidR="008D479B" w:rsidRDefault="008D479B" w:rsidP="008D479B">
      <w:pPr>
        <w:pStyle w:val="TextoNormal"/>
      </w:pPr>
      <w:r>
        <w:t>Por una parte, el Tribunal ha señalado que el art. 16.1 CE «“por sí mismo, no sería suficiente para liberar a los ciudadanos de deberes constitucionales o ‘subconstitucionales’ por motivos de conciencia, con el riesgo anejo de relativizar los mandatos jurídicos” (SSTC 160/1987, de 27 de octubre, FJ 3; 321/1994, de 28 de noviembre, FJ 4, y 55/1996, de 28 de marzo, FJ 5, así como el ATC 135/2000, de 8 de junio, FJ 2)». Asimismo, hemos dicho que “en modo alguno existe en nuestro ordenamiento, sobre la base del art. 16.1 CE, un genérico derecho fundamental a sustraerse, alegando imperativos de conciencia, a cualesquiera deberes jurídicos, lo que constituiría un inconcebible, por absurdo, poder de veto individual frente a la legislación y ‘la negación misma de la idea del Estado’ (STC 161/1987, de 27 de octubre, FJ 3)” [STC 19/2023, FJ 10 C) a)]. Ahora bien, la inexistencia de un derecho general o indeterminado a la objeción de conciencia no impide que el legislador “pueda o, incluso en algunos casos deba, reconocer el carácter moralmente controvertido de ciertas decisiones normativas sobre asuntos vitales y permitir entonces, con las debidas garantías para el interés general, que el individuo inicialmente obligado llegue a quedar exento de cumplir con un mandato no conciliable con sus más arraigadas convicciones” [STC 19/2023, FJ 10 C) a)].</w:t>
      </w:r>
    </w:p>
    <w:p w14:paraId="5224C03C" w14:textId="77777777" w:rsidR="008D479B" w:rsidRDefault="008D479B" w:rsidP="008D479B">
      <w:pPr>
        <w:pStyle w:val="TextoNormal"/>
      </w:pPr>
    </w:p>
    <w:p w14:paraId="2AA7843A" w14:textId="77777777" w:rsidR="008D479B" w:rsidRDefault="008D479B" w:rsidP="008D479B">
      <w:pPr>
        <w:pStyle w:val="TextoNormal"/>
      </w:pPr>
      <w:r>
        <w:t>De lo anterior se sigue que el derecho a la objeción de conciencia se perfila como un derecho constitucional autónomo de configuración legal, ejercitable, con las debidas garantías para el interés general, frente al cumplimiento de ciertos deberes u obligaciones que colisionen con convicciones o cuestiones morales propias de las personas físicas, de los ciudadanos.</w:t>
      </w:r>
    </w:p>
    <w:p w14:paraId="4A4B8463" w14:textId="77777777" w:rsidR="008D479B" w:rsidRDefault="008D479B" w:rsidP="008D479B">
      <w:pPr>
        <w:pStyle w:val="TextoNormal"/>
      </w:pPr>
    </w:p>
    <w:p w14:paraId="6C9E348F" w14:textId="77777777" w:rsidR="008D479B" w:rsidRDefault="008D479B" w:rsidP="008D479B">
      <w:pPr>
        <w:pStyle w:val="TextoNormal"/>
      </w:pPr>
      <w:r>
        <w:t>Junto a la doctrina general sobre la objeción de conciencia, hay que recordar también nuestra posición respecto de la posibilidad de que las personas jurídicas o los sujetos colectivos sin personalidad jurídica sean con carácter general titulares de derechos fundamentales. A este respecto, hemos venido manteniendo “que en nuestro ordenamiento constitucional, aun cuando no se explicite en los términos con que se proclama en los textos constitucionales de otros Estados, los derechos fundamentales rigen también para las personas jurídicas nacionales en la medida en que, por su naturaleza, resulten aplicables a ellas” (STC 23/1989, de 2 de febrero, FJ 2). Desde un punto de vista constitucional, existe pues un reconocimiento, en ocasiones expreso y en ocasiones implícito, de la titularidad de determinados derechos fundamentales por parte de las personas jurídicas.</w:t>
      </w:r>
    </w:p>
    <w:p w14:paraId="734436C2" w14:textId="77777777" w:rsidR="008D479B" w:rsidRDefault="008D479B" w:rsidP="008D479B">
      <w:pPr>
        <w:pStyle w:val="TextoNormal"/>
      </w:pPr>
    </w:p>
    <w:p w14:paraId="066D096C" w14:textId="77777777" w:rsidR="008D479B" w:rsidRDefault="008D479B" w:rsidP="008D479B">
      <w:pPr>
        <w:pStyle w:val="TextoNormal"/>
      </w:pPr>
      <w:r>
        <w:t>Ahora bien, el reconocimiento a las personas jurídicas de esta capacidad en abstracto de ser titulares de derechos fundamentales “necesita evidentemente ser delimitada y concretada a la vista de cada derecho fundamental. Es decir, no solo son los fines de una persona jurídica los que condicionan su titularidad de derechos fundamentales, sino también la naturaleza concreta del derecho fundamental considerado, en el sentido de que la misma permita su titularidad a una persona moral y su ejercicio por esta” (STC 139/1995, de 26 de septiembre, FJ 5). La peculiar naturaleza de estos sujetos, creaciones del ordenamiento circunscritas a una concreta forma jurídica y a un determinado fin, explica que no puedan disfrutar ni de la titularidad de la totalidad de los derechos fundamentales, ni del contenido de ellos con la misma extensión que si se tratase de personas físicas. No tanto porque las limitaciones puedan ser potencialmente mayores, sino porque el objeto y, sobre todo, el contenido del derecho fundamental puede variar en atención a su peculiar naturaleza. Así lo apreciamos, por ejemplo, en el caso del alcance de la inviolabilidad del domicilio de una persona jurídica, el cual goza de una intensidad de menor protección “por faltar esa estrecha vinculación con un ámbito de intimidad en su sentido originario; esto es, el referido a la vida personal y familiar, solo predicable de las personas físicas” (STC 69/1999, de 26 de abril, FJ 2).</w:t>
      </w:r>
    </w:p>
    <w:p w14:paraId="7FCC8A49" w14:textId="77777777" w:rsidR="008D479B" w:rsidRDefault="008D479B" w:rsidP="008D479B">
      <w:pPr>
        <w:pStyle w:val="TextoNormal"/>
      </w:pPr>
    </w:p>
    <w:p w14:paraId="470008C1" w14:textId="77777777" w:rsidR="008D479B" w:rsidRDefault="008D479B" w:rsidP="008D479B">
      <w:pPr>
        <w:pStyle w:val="TextoNormal"/>
      </w:pPr>
      <w:r>
        <w:t>Expuestos los rasgos esenciales de nuestra doctrina sobre la objeción de conciencia y la capacidad de las personas jurídicas para ser titulares de derechos fundamentales, ya estamos en condiciones de dar respuesta a la concreta queja formulada por los recurrentes.</w:t>
      </w:r>
    </w:p>
    <w:p w14:paraId="67B89043" w14:textId="77777777" w:rsidR="008D479B" w:rsidRDefault="008D479B" w:rsidP="008D479B">
      <w:pPr>
        <w:pStyle w:val="TextoNormal"/>
      </w:pPr>
    </w:p>
    <w:p w14:paraId="33B33520" w14:textId="77777777" w:rsidR="008D479B" w:rsidRDefault="008D479B" w:rsidP="008D479B">
      <w:pPr>
        <w:pStyle w:val="TextoNormal"/>
      </w:pPr>
      <w:r>
        <w:t>(ii) El Tribunal no comparte la censura de inconstitucionalidad formulada en la demanda a propósito del carácter restrictivo de la regulación de la objeción de conciencia en el art. 16.1 LORE por reconocer únicamente el ejercicio del derecho a los “profesionales sanitarios” y no a las personas jurídicas.</w:t>
      </w:r>
    </w:p>
    <w:p w14:paraId="7DDB8BEB" w14:textId="77777777" w:rsidR="008D479B" w:rsidRDefault="008D479B" w:rsidP="008D479B">
      <w:pPr>
        <w:pStyle w:val="TextoNormal"/>
      </w:pPr>
    </w:p>
    <w:p w14:paraId="4A196939" w14:textId="77777777" w:rsidR="008D479B" w:rsidRDefault="008D479B" w:rsidP="008D479B">
      <w:pPr>
        <w:pStyle w:val="TextoNormal"/>
      </w:pPr>
      <w:r>
        <w:t>Las únicas actuaciones susceptibles de ser exoneradas del deber legal de garantizar el derecho de prestación de ayuda para morir, en los términos en que ha sido configurada por la LORE (art. 13.2), por estar amparadas en la objeción de conciencia, son las intervenciones de los profesionales sanitarios, cualquiera que sea su categoría profesional, en la ejecución efectiva de dicha prestación. Dicho de otro modo, solo podrá ser objeto de exoneración la intervención del profesional sanitario a lo largo de todo el proceso y que culmina en la acción dirigida a proporcionar los medios necesarios —suministro o prescripción de la sustancia [art. 3 g) LORE]— para hacer efectiva la decisión de morir. Es solo respecto de tales intervenciones cuando debe constatarse que pueden darse situaciones de conflicto por convicciones íntimas, ideológicas o morales, que justifican el apartamiento del profesional sanitario ante una intervención que constituye, con carácter general, un imperativo legal.</w:t>
      </w:r>
    </w:p>
    <w:p w14:paraId="686AF82E" w14:textId="77777777" w:rsidR="008D479B" w:rsidRDefault="008D479B" w:rsidP="008D479B">
      <w:pPr>
        <w:pStyle w:val="TextoNormal"/>
      </w:pPr>
    </w:p>
    <w:p w14:paraId="663F5546" w14:textId="77777777" w:rsidR="008D479B" w:rsidRDefault="008D479B" w:rsidP="008D479B">
      <w:pPr>
        <w:pStyle w:val="TextoNormal"/>
      </w:pPr>
      <w:r>
        <w:t>Más allá de estos casos, extender la objeción de conciencia a un ámbito institucional, no solo pondría en riesgo la efectividad de la propia prestación sanitaria, sino que carecería de fundamento constitucional, pues se trata de un derecho que excepcionalmente permite, con las debidas garantías para el interés general, eludir el cumplimiento de obligaciones de carácter general que por su naturaleza colisionan o no son conciliables con las más arraigadas convicciones que son propias de las personas físicas.</w:t>
      </w:r>
    </w:p>
    <w:p w14:paraId="624C0ED1" w14:textId="77777777" w:rsidR="008D479B" w:rsidRDefault="008D479B" w:rsidP="008D479B">
      <w:pPr>
        <w:pStyle w:val="TextoNormal"/>
      </w:pPr>
    </w:p>
    <w:p w14:paraId="51A72B37" w14:textId="77777777" w:rsidR="008D479B" w:rsidRDefault="008D479B" w:rsidP="008D479B">
      <w:pPr>
        <w:pStyle w:val="TextoNormal"/>
      </w:pPr>
      <w:r>
        <w:t>En atención a lo expuesto, esta pretensión de inconstitucionalidad se ha de desestimar.</w:t>
      </w:r>
    </w:p>
    <w:p w14:paraId="30649AC5" w14:textId="77777777" w:rsidR="008D479B" w:rsidRDefault="008D479B" w:rsidP="008D479B">
      <w:pPr>
        <w:pStyle w:val="TextoNormal"/>
      </w:pPr>
    </w:p>
    <w:p w14:paraId="6E77D262" w14:textId="77777777" w:rsidR="008D479B" w:rsidRDefault="008D479B" w:rsidP="008D479B">
      <w:pPr>
        <w:pStyle w:val="TextoNormal"/>
      </w:pPr>
      <w:r>
        <w:t>C) Vulneración de la libertad profesional del personal sanitari</w:t>
      </w:r>
      <w:r w:rsidRPr="008D479B">
        <w:rPr>
          <w:i/>
        </w:rPr>
        <w:t xml:space="preserve">o </w:t>
      </w:r>
      <w:r>
        <w:t>ex arts. 35 y 36 CE</w:t>
      </w:r>
    </w:p>
    <w:p w14:paraId="6C1F15F3" w14:textId="77777777" w:rsidR="008D479B" w:rsidRDefault="008D479B" w:rsidP="008D479B">
      <w:pPr>
        <w:pStyle w:val="TextoNormal"/>
      </w:pPr>
    </w:p>
    <w:p w14:paraId="3E62C065" w14:textId="77777777" w:rsidR="008D479B" w:rsidRDefault="008D479B" w:rsidP="008D479B">
      <w:pPr>
        <w:pStyle w:val="TextoNormal"/>
      </w:pPr>
      <w:r>
        <w:t>La queja articulada por los recurrentes reprocha a la LORE que la implantación de la eutanasia como una prestación incluida en la cartera común de servicios del Sistema Nacional de Salud, con financiación pública (art. 13.1 LORE), incide de forma directa en el núcleo esencial de la libertad de actuación médica, en cuanto garantía institucional reconocida expresamente en el art. 35.1 CE. Ello es así, a juicio de los recurrentes, porque la prestación de la ayuda para morir afecta a la propia configuración de la labor sanitaria [arts. 1, párrafo segundo, 3 d) y g), 6, 8 y 11]; lo que se ha hecho sin oír a los propios interesados, ni tampoco a las instituciones corporativas de conformidad con el art. 36 CE.</w:t>
      </w:r>
    </w:p>
    <w:p w14:paraId="3C927AE2" w14:textId="77777777" w:rsidR="008D479B" w:rsidRDefault="008D479B" w:rsidP="008D479B">
      <w:pPr>
        <w:pStyle w:val="TextoNormal"/>
      </w:pPr>
    </w:p>
    <w:p w14:paraId="60F267B0" w14:textId="77777777" w:rsidR="008D479B" w:rsidRDefault="008D479B" w:rsidP="008D479B">
      <w:pPr>
        <w:pStyle w:val="TextoNormal"/>
      </w:pPr>
      <w:r>
        <w:t>Este tribunal aprecia, sin embargo, que la tacha de inconstitucionalidad se fundamenta en una determinada concepción de lo que constituyen los fines o contenidos propios de la actividad médica; concepción que, con independencia de la valoración que nos pueda merecer, no puede servir de base a una declaración de inconstitucionalidad. La demanda sostiene que la implantación de la eutanasia como una prestación integrada en los servicios del Sistema Nacional de Salud afecta a la propia actividad médica, planteamiento este que no puede ser compartido pues haría inviable, en la práctica, el derecho a dicha prestación y, en general, a cualquier prestación de naturaleza sanitaria.</w:t>
      </w:r>
    </w:p>
    <w:p w14:paraId="3849B773" w14:textId="77777777" w:rsidR="008D479B" w:rsidRDefault="008D479B" w:rsidP="008D479B">
      <w:pPr>
        <w:pStyle w:val="TextoNormal"/>
      </w:pPr>
    </w:p>
    <w:p w14:paraId="77FAD04B" w14:textId="77777777" w:rsidR="008D479B" w:rsidRDefault="008D479B" w:rsidP="008D479B">
      <w:pPr>
        <w:pStyle w:val="TextoNormal"/>
      </w:pPr>
      <w:r>
        <w:t>Ninguno de los argumentos esgrimidos por la demanda permite concluir que la LORE infringe el art. 35.1 CE; antes al contrario, no se afecta a ninguna de las vertientes del derecho al trabajo en los términos en que ha sido definido por este tribunal. Así, no se ve concernido el derecho a elegir libremente profesión u oficio (STC 83/1984, de 24 de julio, FJ 3); tampoco se incide en la fase de ingreso o acceso a un puesto de trabajo (STC 22/1981, de 2 de julio, FJ 8); y otro tanto cabe decir respecto del desarrollo, continuidad o estabilidad en el desempeño profesional (SSTC 22/1981, FJ 8; 125/1994, de 25 de abril, FJ 3, y 192/2003, de 27 de octubre, FJ 4).</w:t>
      </w:r>
    </w:p>
    <w:p w14:paraId="1B9CE4C5" w14:textId="77777777" w:rsidR="008D479B" w:rsidRDefault="008D479B" w:rsidP="008D479B">
      <w:pPr>
        <w:pStyle w:val="TextoNormal"/>
      </w:pPr>
    </w:p>
    <w:p w14:paraId="74DBF5A2" w14:textId="77777777" w:rsidR="008D479B" w:rsidRDefault="008D479B" w:rsidP="008D479B">
      <w:pPr>
        <w:pStyle w:val="TextoNormal"/>
      </w:pPr>
      <w:r>
        <w:t>Por otro lado, hemos mantenido que el legislador puede disciplinar, regular y limitar el ejercicio de profesiones y oficios, imponiendo para ello multitud de requisitos diversos; es, por ello, que la ordenación “de las distintas profesiones, oficios o actividades empresariales en concreto, no es por tanto una regulación del ejercicio de los derechos constitucionalmente garantizados en los arts. 35.1 o 38” (STC 83/1984, FJ 3). En este sentido, la LORE se limita a regular los supuestos y los requisitos para que se pueda ejercer el derecho de prestación de ayuda para morir, y solo a tales efectos determina los deberes y las actuaciones que han de ser llevadas a cabo por los profesionales sanitarios concernidos. La propia norma prevé, como hemos visto, el mecanismo para solventar los eventuales conflictos ideológicos o morales que la intervención en esta prestación pudiera generar en los profesionales sanitarios, que no es otro que el derecho de objeción de conciencia del art. 16.1 LORE.</w:t>
      </w:r>
    </w:p>
    <w:p w14:paraId="6C25FBF5" w14:textId="77777777" w:rsidR="008D479B" w:rsidRDefault="008D479B" w:rsidP="008D479B">
      <w:pPr>
        <w:pStyle w:val="TextoNormal"/>
      </w:pPr>
    </w:p>
    <w:p w14:paraId="3DDE0773" w14:textId="12955D4A" w:rsidR="008D479B" w:rsidRDefault="008D479B" w:rsidP="008D479B">
      <w:pPr>
        <w:pStyle w:val="TextoNormal"/>
      </w:pPr>
      <w:r>
        <w:t>Por todo lo antedicho, hay que desestimar también estas tachas de inconstitucionalidad.</w:t>
      </w:r>
    </w:p>
    <w:p w14:paraId="39B5AD16" w14:textId="77777777" w:rsidR="008D479B" w:rsidRDefault="008D479B" w:rsidP="008D479B">
      <w:pPr>
        <w:pStyle w:val="TextoNormal"/>
      </w:pPr>
    </w:p>
    <w:p w14:paraId="44B7BA21" w14:textId="77777777" w:rsidR="008D479B" w:rsidRDefault="008D479B" w:rsidP="008D479B">
      <w:pPr>
        <w:pStyle w:val="TextoNormal"/>
      </w:pPr>
      <w:r w:rsidRPr="008D479B">
        <w:rPr>
          <w:rStyle w:val="NumeroAFNegritaCaracter"/>
        </w:rPr>
        <w:t>5</w:t>
      </w:r>
      <w:r>
        <w:t xml:space="preserve">. </w:t>
      </w:r>
      <w:r w:rsidRPr="008D479B">
        <w:rPr>
          <w:i/>
        </w:rPr>
        <w:t>Infracción por los arts. 5.1 d), 3 b), 5.2 y 9 de la Ley Orgánica 3/2021 de los arts. 10.2 y 96.1 CE, así como de los arts. 14, 15, 10.1 y 49 CE en relación con las personas con discapacidad</w:t>
      </w:r>
    </w:p>
    <w:p w14:paraId="73893D7C" w14:textId="77777777" w:rsidR="008D479B" w:rsidRDefault="008D479B" w:rsidP="008D479B">
      <w:pPr>
        <w:pStyle w:val="TextoNormal"/>
      </w:pPr>
    </w:p>
    <w:p w14:paraId="32660457" w14:textId="77777777" w:rsidR="008D479B" w:rsidRDefault="008D479B" w:rsidP="008D479B">
      <w:pPr>
        <w:pStyle w:val="TextoNormal"/>
      </w:pPr>
      <w:r>
        <w:t>A) Posiciones de las partes</w:t>
      </w:r>
    </w:p>
    <w:p w14:paraId="2708A755" w14:textId="77777777" w:rsidR="008D479B" w:rsidRDefault="008D479B" w:rsidP="008D479B">
      <w:pPr>
        <w:pStyle w:val="TextoNormal"/>
      </w:pPr>
    </w:p>
    <w:p w14:paraId="02A305E6" w14:textId="77777777" w:rsidR="008D479B" w:rsidRDefault="008D479B" w:rsidP="008D479B">
      <w:pPr>
        <w:pStyle w:val="TextoNormal"/>
      </w:pPr>
      <w:r>
        <w:t>a) La demanda incluye en este apartado una serie de reproches cuyo rasgo común es atribuir a la regulación de la LORE una ausencia de garantías suficientes en la regulación de los presupuestos para el reconocimiento de la prestación de ayuda para morir a determinadas personas con discapacidad —las personas en situación de “incapacidad de hecho” en expresión de la propia Ley Orgánica—; ausencia de garantías que, a juicio de los recurrentes, promueve la llamada “pendiente resbaladiza”, al ser incapaz de salvaguardar la protección de las personas vulnerables.</w:t>
      </w:r>
    </w:p>
    <w:p w14:paraId="238D4D38" w14:textId="77777777" w:rsidR="008D479B" w:rsidRDefault="008D479B" w:rsidP="008D479B">
      <w:pPr>
        <w:pStyle w:val="TextoNormal"/>
      </w:pPr>
    </w:p>
    <w:p w14:paraId="6A852554" w14:textId="77777777" w:rsidR="008D479B" w:rsidRDefault="008D479B" w:rsidP="008D479B">
      <w:pPr>
        <w:pStyle w:val="TextoNormal"/>
      </w:pPr>
      <w:r>
        <w:t>Esta insuficiente regulación deriva, según la demanda, en una discriminación de las personas con discapacidad que opera en dos planos: a) los requisitos para acceder a la prestación de ayuda para morir en los supuestos de incapacidad de hecho; y b) la intervención de un médico responsable que no es especialista en psiquiatría o psicología clínica, así como la ausencia de intervención judicial, fiscal o de fedatario público.</w:t>
      </w:r>
    </w:p>
    <w:p w14:paraId="48BB5937" w14:textId="77777777" w:rsidR="008D479B" w:rsidRDefault="008D479B" w:rsidP="008D479B">
      <w:pPr>
        <w:pStyle w:val="TextoNormal"/>
      </w:pPr>
    </w:p>
    <w:p w14:paraId="4DA2FDA1" w14:textId="77777777" w:rsidR="008D479B" w:rsidRDefault="008D479B" w:rsidP="008D479B">
      <w:pPr>
        <w:pStyle w:val="TextoNormal"/>
      </w:pPr>
      <w:r>
        <w:t>b) La Abogacía del Estado niega la premisa de la que parte el recurso, pues entiende que los términos en los que la LORE regula las situaciones de incapacidad de hecho impiden que quepa cualquier situación de discapacidad o que cualquier persona con discapacidad se vea concernida. Los argumentos esgrimidos en la demanda son infundados y especulativos, a juicio del abogado del Estado. No existe riesgo alguno de “pendiente resbaladiza”, pues conforme al art. 5.2 LORE la prestación de ayuda para morir a personas con incapacidad de hecho en un contexto eutanásico, solamente será posible si existe un documento de instrucciones previas o análogo legalmente reconocido en el que conste claramente la voluntad del paciente que así lo prevea.</w:t>
      </w:r>
    </w:p>
    <w:p w14:paraId="030F4C0D" w14:textId="77777777" w:rsidR="008D479B" w:rsidRDefault="008D479B" w:rsidP="008D479B">
      <w:pPr>
        <w:pStyle w:val="TextoNormal"/>
      </w:pPr>
    </w:p>
    <w:p w14:paraId="02ADB5C1" w14:textId="77777777" w:rsidR="008D479B" w:rsidRDefault="008D479B" w:rsidP="008D479B">
      <w:pPr>
        <w:pStyle w:val="TextoNormal"/>
      </w:pPr>
      <w:r>
        <w:t>B) Enjuiciamiento</w:t>
      </w:r>
    </w:p>
    <w:p w14:paraId="09E91DA8" w14:textId="77777777" w:rsidR="008D479B" w:rsidRDefault="008D479B" w:rsidP="008D479B">
      <w:pPr>
        <w:pStyle w:val="TextoNormal"/>
      </w:pPr>
    </w:p>
    <w:p w14:paraId="090A8DAE" w14:textId="77777777" w:rsidR="008D479B" w:rsidRDefault="008D479B" w:rsidP="008D479B">
      <w:pPr>
        <w:pStyle w:val="TextoNormal"/>
      </w:pPr>
      <w:r>
        <w:t>Entiende este tribunal que las tachas de inconstitucionalidad formuladas en la demanda respecto del sentido y el régimen que la LORE ha diseñado para las “personas con incapacidad de hecho” en términos de la propia Ley Orgánica, parte de una lectura errónea de las previsiones impugnadas.</w:t>
      </w:r>
    </w:p>
    <w:p w14:paraId="4F05DFFD" w14:textId="77777777" w:rsidR="008D479B" w:rsidRDefault="008D479B" w:rsidP="008D479B">
      <w:pPr>
        <w:pStyle w:val="TextoNormal"/>
      </w:pPr>
    </w:p>
    <w:p w14:paraId="72728B6C" w14:textId="77777777" w:rsidR="008D479B" w:rsidRDefault="008D479B" w:rsidP="008D479B">
      <w:pPr>
        <w:pStyle w:val="TextoNormal"/>
      </w:pPr>
      <w:r>
        <w:t>Con carácter preliminar, en relación con el riesgo de promover la regulación de la LORE la llamada “pendiente resbaladiza”, se ha de recordar que el juicio que aquí procede tiene por objeto disposiciones de ley, cuya validez no puede ser puesta en entredicho mediante la mera advertencia de su eventual aplicación irregular, hipotéticas transgresiones de las que ninguna norma jurídica queda libre y que, de verificarse, contarían con las vías de remedio y sanción correspondientes. No caben en este proceso constitucional, en otras palabras, ni “ponderaciones cautelares o preventivas sobre hipotéticas inconstitucionalidades futuras” ni “pronósticos o anticipos de los resultados contrarios a la Constitución a que llevaría la aplicación de algunas de las reglas impugnadas” [STC 191/2016, de 15 de noviembre, FJ 3 a)].</w:t>
      </w:r>
    </w:p>
    <w:p w14:paraId="6751BDB2" w14:textId="77777777" w:rsidR="008D479B" w:rsidRDefault="008D479B" w:rsidP="008D479B">
      <w:pPr>
        <w:pStyle w:val="TextoNormal"/>
      </w:pPr>
    </w:p>
    <w:p w14:paraId="26C2A531" w14:textId="77777777" w:rsidR="008D479B" w:rsidRDefault="008D479B" w:rsidP="008D479B">
      <w:pPr>
        <w:pStyle w:val="TextoNormal"/>
      </w:pPr>
      <w:r>
        <w:t>Entrando ya en el concreto examen de las censuras de inconstitucionalidad, hay que señalar, en primer lugar, que una queja planteada en términos equivalentes ya ha sido desestimada en el fundamento jurídico 8 C) de la STC 19/2023, a cuyos razonamientos nos hemos de remitir. En segundo lugar, algunas quejas son reiteraciones de otras que ya han recibido respuesta en esta sentencia y a ellas también nos hemos de remitir:</w:t>
      </w:r>
    </w:p>
    <w:p w14:paraId="2BB99E08" w14:textId="77777777" w:rsidR="008D479B" w:rsidRDefault="008D479B" w:rsidP="008D479B">
      <w:pPr>
        <w:pStyle w:val="TextoNormal"/>
      </w:pPr>
    </w:p>
    <w:p w14:paraId="7DFA4319" w14:textId="77777777" w:rsidR="008D479B" w:rsidRDefault="008D479B" w:rsidP="008D479B">
      <w:pPr>
        <w:pStyle w:val="TextoNormal"/>
      </w:pPr>
      <w:r>
        <w:t>a) Las censuras formuladas a los requisitos de acceso a la prestación de ayuda para morir, vinculadas a la definición de la situación de “padecimiento grave, crónico e imposibilitante” [arts. 5.1 d) y 3 b) LORE], de las que los recurrentes derivan una supuesta discriminación para las personas con discapacidad, se han de entender desestimadas de conformidad con los argumentos esgrimidos en el fundamento jurídico 3 D) b) (i) de esta sentencia.</w:t>
      </w:r>
    </w:p>
    <w:p w14:paraId="13F8DD3D" w14:textId="77777777" w:rsidR="008D479B" w:rsidRDefault="008D479B" w:rsidP="008D479B">
      <w:pPr>
        <w:pStyle w:val="TextoNormal"/>
      </w:pPr>
    </w:p>
    <w:p w14:paraId="64FB7EE9" w14:textId="77777777" w:rsidR="008D479B" w:rsidRDefault="008D479B" w:rsidP="008D479B">
      <w:pPr>
        <w:pStyle w:val="TextoNormal"/>
      </w:pPr>
      <w:r>
        <w:t>b) Los reproches expresados respecto de la ausencia de las más elementales garantías que demanda la protección del derecho a la vida (art. 15 CE), por no tener el médico responsable una especialidad en psiquiatría o psicología clínica, o por la no intervención en el proceso de juez, fiscal o fedatario público, igualmente han de ser rechazados de acuerdo con lo razonado en el fundamento jurídico 3 C) b) (ii) de esta sentencia.</w:t>
      </w:r>
    </w:p>
    <w:p w14:paraId="0E20F9C7" w14:textId="77777777" w:rsidR="008D479B" w:rsidRDefault="008D479B" w:rsidP="008D479B">
      <w:pPr>
        <w:pStyle w:val="TextoNormal"/>
      </w:pPr>
    </w:p>
    <w:p w14:paraId="59955B29" w14:textId="221AFA8C" w:rsidR="008D479B" w:rsidRDefault="008D479B" w:rsidP="008D479B">
      <w:pPr>
        <w:pStyle w:val="TextoNormal"/>
      </w:pPr>
      <w:r>
        <w:t>Por todo lo expuesto, las pretensiones de inconstitucionalidad expresadas respecto del sentido y el régimen que la LORE ha diseñado para las personas con incapacidad de hecho se desestiman.</w:t>
      </w:r>
    </w:p>
    <w:p w14:paraId="2F4EA4E1" w14:textId="77777777" w:rsidR="008D479B" w:rsidRDefault="008D479B" w:rsidP="008D479B">
      <w:pPr>
        <w:pStyle w:val="TextoNormal"/>
      </w:pPr>
    </w:p>
    <w:p w14:paraId="25655CF0" w14:textId="77777777" w:rsidR="008D479B" w:rsidRDefault="008D479B" w:rsidP="008D479B">
      <w:pPr>
        <w:pStyle w:val="TextoNormal"/>
      </w:pPr>
      <w:r w:rsidRPr="008D479B">
        <w:rPr>
          <w:rStyle w:val="NumeroAFNegritaCaracter"/>
        </w:rPr>
        <w:t>6</w:t>
      </w:r>
      <w:r>
        <w:t xml:space="preserve">. </w:t>
      </w:r>
      <w:r w:rsidRPr="008D479B">
        <w:rPr>
          <w:i/>
        </w:rPr>
        <w:t>Vulneración por la disposición adicional quinta de la Ley Orgánica 3/2021 de los arts. 53.2, 168 y 169 CE, por configurar un proceso preferente y sumario para la tutela del</w:t>
      </w:r>
      <w:r>
        <w:t xml:space="preserve"> pseudo </w:t>
      </w:r>
      <w:r w:rsidRPr="008D479B">
        <w:rPr>
          <w:i/>
        </w:rPr>
        <w:t>derecho fundamental a la eutanasia</w:t>
      </w:r>
    </w:p>
    <w:p w14:paraId="10372862" w14:textId="77777777" w:rsidR="008D479B" w:rsidRDefault="008D479B" w:rsidP="008D479B">
      <w:pPr>
        <w:pStyle w:val="TextoNormal"/>
      </w:pPr>
    </w:p>
    <w:p w14:paraId="504912E9" w14:textId="77777777" w:rsidR="008D479B" w:rsidRDefault="008D479B" w:rsidP="008D479B">
      <w:pPr>
        <w:pStyle w:val="TextoNormal"/>
      </w:pPr>
      <w:r>
        <w:t>A) Posiciones de las partes</w:t>
      </w:r>
    </w:p>
    <w:p w14:paraId="7EDE3E53" w14:textId="77777777" w:rsidR="008D479B" w:rsidRDefault="008D479B" w:rsidP="008D479B">
      <w:pPr>
        <w:pStyle w:val="TextoNormal"/>
      </w:pPr>
    </w:p>
    <w:p w14:paraId="2626D6A7" w14:textId="77777777" w:rsidR="008D479B" w:rsidRDefault="008D479B" w:rsidP="008D479B">
      <w:pPr>
        <w:pStyle w:val="TextoNormal"/>
      </w:pPr>
      <w:r>
        <w:t xml:space="preserve">a) La demanda parte de la premisa de que el derecho a la eutanasia no puede ser considerado un derecho fundamental, sino que estamos ante un derecho de configuración legal. Es por ello por lo que la disposición adicional quinta de la LORE al prever un procedimiento sumario y preferente frente a las resoluciones denegatorias de la eutanasia [arts. 10.5 y 18 a) LORE], introduce un nuevo </w:t>
      </w:r>
      <w:r w:rsidRPr="008D479B">
        <w:rPr>
          <w:i/>
        </w:rPr>
        <w:t>pseudo</w:t>
      </w:r>
      <w:r>
        <w:t xml:space="preserve"> derecho fundamental con infracción del art. 53.2 CE y del art. 168 CE, al promover una reforma constitucional encubierta. Además, al producirse dicha reforma constitucional durante la vigencia de un estado de alarma, se vulneran los límites del art. 169 CE.</w:t>
      </w:r>
    </w:p>
    <w:p w14:paraId="619EB2E6" w14:textId="77777777" w:rsidR="008D479B" w:rsidRDefault="008D479B" w:rsidP="008D479B">
      <w:pPr>
        <w:pStyle w:val="TextoNormal"/>
      </w:pPr>
    </w:p>
    <w:p w14:paraId="71B322F0" w14:textId="77777777" w:rsidR="008D479B" w:rsidRDefault="008D479B" w:rsidP="008D479B">
      <w:pPr>
        <w:pStyle w:val="TextoNormal"/>
      </w:pPr>
      <w:r>
        <w:t>b) El abogado del Estado sostiene que los recurrentes realizan una errónea lectura del art. 53.2 CE pues, por un lado, dicho precepto dirige un mandato al legislador para que prevea normas procesales para la protección de los derechos fundamentales sobre la base de los principios de preferencia y celeridad. Y, por otro lado, el precepto no impide al legislador dar un tratamiento preferente y rápido a la tutela de otros derechos distintos de los estrictamente contemplados en el art. 14 y la sección primera del capítulo segundo de la Constitución. Así mismo, rechaza que el establecimiento de este cauce de tutela jurisdiccional implique promover una modificación constitucional vulneradora de los arts. 168 y 169 CE.</w:t>
      </w:r>
    </w:p>
    <w:p w14:paraId="2383242F" w14:textId="77777777" w:rsidR="008D479B" w:rsidRDefault="008D479B" w:rsidP="008D479B">
      <w:pPr>
        <w:pStyle w:val="TextoNormal"/>
      </w:pPr>
    </w:p>
    <w:p w14:paraId="7296C28A" w14:textId="77777777" w:rsidR="008D479B" w:rsidRDefault="008D479B" w:rsidP="008D479B">
      <w:pPr>
        <w:pStyle w:val="TextoNormal"/>
      </w:pPr>
      <w:r>
        <w:t>B) Enjuiciamiento</w:t>
      </w:r>
    </w:p>
    <w:p w14:paraId="79EA7B2D" w14:textId="77777777" w:rsidR="008D479B" w:rsidRDefault="008D479B" w:rsidP="008D479B">
      <w:pPr>
        <w:pStyle w:val="TextoNormal"/>
      </w:pPr>
    </w:p>
    <w:p w14:paraId="0096F4D6" w14:textId="77777777" w:rsidR="008D479B" w:rsidRDefault="008D479B" w:rsidP="008D479B">
      <w:pPr>
        <w:pStyle w:val="TextoNormal"/>
      </w:pPr>
      <w:r>
        <w:t>El examen de estas últimas pretensiones de inconstitucionalidad exige que, en primer lugar, examinemos el alcance que tiene el mandato dirigido al legislador por el art. 53.2 CE; en segundo lugar, precisemos la configuración del derecho a la prestación de ayuda para morir a los efectos de su encaje en un proceso marcado por los principios de preferencia y celeridad; y, en tercer lugar, responder a la queja relativa a una supuesta reforma constitucional encubierta.</w:t>
      </w:r>
    </w:p>
    <w:p w14:paraId="127D0F53" w14:textId="77777777" w:rsidR="008D479B" w:rsidRDefault="008D479B" w:rsidP="008D479B">
      <w:pPr>
        <w:pStyle w:val="TextoNormal"/>
      </w:pPr>
    </w:p>
    <w:p w14:paraId="35966490" w14:textId="77777777" w:rsidR="008D479B" w:rsidRDefault="008D479B" w:rsidP="008D479B">
      <w:pPr>
        <w:pStyle w:val="TextoNormal"/>
      </w:pPr>
      <w:r>
        <w:t>a) Como este tribunal ya ha declarado, el art. 53.2 CE es la garantía de la existencia de un procedimiento “basado en la celeridad de la tutela, pues dada la especial posición que los derechos y libertades fundamentales ocupan en nuestro ordenamiento, en cuanto traducción normativa de la dignidad humana y elemento legitimador de todo poder político, el tiempo de prestación de la tutela judicial, siempre fundamental como lo demuestra la constitucionalización del derecho a un proceso sin dilaciones indebidas, se revela como factor capital del efectivo goce y disfrute de dichos derechos fundamentales” (STC 113/1995, de 6 de julio, FJ 6).</w:t>
      </w:r>
    </w:p>
    <w:p w14:paraId="46CEC680" w14:textId="77777777" w:rsidR="008D479B" w:rsidRDefault="008D479B" w:rsidP="008D479B">
      <w:pPr>
        <w:pStyle w:val="TextoNormal"/>
      </w:pPr>
    </w:p>
    <w:p w14:paraId="0E6B84AA" w14:textId="77777777" w:rsidR="008D479B" w:rsidRDefault="008D479B" w:rsidP="008D479B">
      <w:pPr>
        <w:pStyle w:val="TextoNormal"/>
      </w:pPr>
      <w:r>
        <w:t xml:space="preserve">La especialidad de este procedimiento se traduce, por una parte, en el carácter limitado de las pretensiones que pueden deducirse a través del mismo y, por otra parte, en la inadecuación para tramitar pretensiones que no tengan relación con las libertades y derechos reconocidos en el artículo 14 y la sección primera del capítulo segundo </w:t>
      </w:r>
      <w:r w:rsidRPr="008D479B">
        <w:rPr>
          <w:i/>
        </w:rPr>
        <w:t>ex</w:t>
      </w:r>
      <w:r>
        <w:t xml:space="preserve"> art. 53.2 CE (en este sentido, SSTC 37/1982, de 16 de junio, FFJJ 1 y 2, y 31/1984, de 7 de marzo, FFJJ 2 y 3). Es, por ello, que no cabría arbitrar o utilizar este procedimiento “cuando, </w:t>
      </w:r>
      <w:r w:rsidRPr="008D479B">
        <w:rPr>
          <w:i/>
        </w:rPr>
        <w:t>prima facie</w:t>
      </w:r>
      <w:r>
        <w:t>, pueda afirmarse, sin duda alguna, que el acto impugnado no ha repercutido en el ámbito de los derechos fundamentales alegados” (STC 37/1982, FJ 2).</w:t>
      </w:r>
    </w:p>
    <w:p w14:paraId="50C03522" w14:textId="77777777" w:rsidR="008D479B" w:rsidRDefault="008D479B" w:rsidP="008D479B">
      <w:pPr>
        <w:pStyle w:val="TextoNormal"/>
      </w:pPr>
    </w:p>
    <w:p w14:paraId="68B326C3" w14:textId="77777777" w:rsidR="008D479B" w:rsidRDefault="008D479B" w:rsidP="008D479B">
      <w:pPr>
        <w:pStyle w:val="TextoNormal"/>
      </w:pPr>
      <w:r>
        <w:t>No obstante, también hemos señalado que las garantías procesales del art. 53.2 CE “constituyen un plus de protección judicial en materia de libertades públicas y derechos fundamentales”, por lo que “las reglas legales sobre su admisión y tramitación deben interpretarse siempre conforme a aquella finalidad de garantía suplementaria o reforzada, de donde se deduce que una interpretación restrictiva o rigorista de las mismas que dificulte más allá de lo razonable el ejercicio de la acción en tales casos carece de justificación y no puede considerarse conforme a la Constitución” (STC 34/1989, de 14 de febrero, FJ 3).</w:t>
      </w:r>
    </w:p>
    <w:p w14:paraId="0F7DE394" w14:textId="77777777" w:rsidR="008D479B" w:rsidRDefault="008D479B" w:rsidP="008D479B">
      <w:pPr>
        <w:pStyle w:val="TextoNormal"/>
      </w:pPr>
    </w:p>
    <w:p w14:paraId="216699B7" w14:textId="77777777" w:rsidR="008D479B" w:rsidRDefault="008D479B" w:rsidP="008D479B">
      <w:pPr>
        <w:pStyle w:val="TextoNormal"/>
      </w:pPr>
      <w:r>
        <w:t xml:space="preserve">b) Expuesta la configuración constitucional del procedimiento preferente y sumario previsto para la tutela de los derechos fundamentales, procede ahora enjuiciar si, como sostienen los recurrentes, las resoluciones denegatorias de la prestación de ayuda para morir quedan extramuros del mismo, al tener su base en lo que la demanda define como un </w:t>
      </w:r>
      <w:r w:rsidRPr="008D479B">
        <w:rPr>
          <w:i/>
        </w:rPr>
        <w:t>pseudo</w:t>
      </w:r>
      <w:r>
        <w:t xml:space="preserve"> derecho fundamental a la eutanasia.</w:t>
      </w:r>
    </w:p>
    <w:p w14:paraId="111ABC0D" w14:textId="77777777" w:rsidR="008D479B" w:rsidRDefault="008D479B" w:rsidP="008D479B">
      <w:pPr>
        <w:pStyle w:val="TextoNormal"/>
      </w:pPr>
    </w:p>
    <w:p w14:paraId="5F9F4D0C" w14:textId="77777777" w:rsidR="008D479B" w:rsidRDefault="008D479B" w:rsidP="008D479B">
      <w:pPr>
        <w:pStyle w:val="TextoNormal"/>
      </w:pPr>
      <w:r>
        <w:t>A tales efectos, hemos de recordar, como afirmamos en el fundamento jurídico 3 B) b) (i) de esta sentencia, con remisión a lo declarado en la STC 19/2023, FJ 6 C) b) (iv), que la facultad de autodeterminación en que consiste la muerte asistida, en contexto de sufrimiento extremo, encuentra su base en la libertad como valor superior del ordenamiento jurídico (art. 1.1 CE), en la dignidad de la persona y el libre desarrollo de la personalidad (art. 10.1 CE) y en el derecho fundamental a la integridad física y moral (art. 15 CE).</w:t>
      </w:r>
    </w:p>
    <w:p w14:paraId="41082167" w14:textId="77777777" w:rsidR="008D479B" w:rsidRDefault="008D479B" w:rsidP="008D479B">
      <w:pPr>
        <w:pStyle w:val="TextoNormal"/>
      </w:pPr>
    </w:p>
    <w:p w14:paraId="37BE69BC" w14:textId="77777777" w:rsidR="008D479B" w:rsidRDefault="008D479B" w:rsidP="008D479B">
      <w:pPr>
        <w:pStyle w:val="TextoNormal"/>
      </w:pPr>
      <w:r>
        <w:t>Las resoluciones que deniegan la prestación de ayuda para morir inciden en la facultad de autodeterminación de la persona, y lo hacen en la medida en que afectan, además de a valores y principios constitucionales vinculados a la libertad y dignidad personal, a un derecho fundamental como es el de la integridad física y moral consagrado en el art. 15 CE. Estamos, pues, ante un derecho constitucional de configuración legal que encuentra su anclaje, en última instancia, en el derecho fundamental a la integridad física y moral (art. 15 CE), por lo que no puede entenderse que se quiebre la tutela preferente y sumaria dispensada en el art. 53.2 CE. En todo caso, el art. 53.2 CE no impide al legislador procesal utilizar por conexión este cauce especial de protección, preferente y sumario, para tutelar derechos subjetivos, aunque estos carezcan de naturaleza iusfundamental, siempre y cuando dicho cauce esté disponible para los derechos fundamentales en sentido estricto.</w:t>
      </w:r>
    </w:p>
    <w:p w14:paraId="3DFF999B" w14:textId="77777777" w:rsidR="008D479B" w:rsidRDefault="008D479B" w:rsidP="008D479B">
      <w:pPr>
        <w:pStyle w:val="TextoNormal"/>
      </w:pPr>
    </w:p>
    <w:p w14:paraId="2EEB251F" w14:textId="77777777" w:rsidR="008D479B" w:rsidRDefault="008D479B" w:rsidP="008D479B">
      <w:pPr>
        <w:pStyle w:val="TextoNormal"/>
      </w:pPr>
      <w:r>
        <w:t>c) La desestimación de la queja relativa al art. 53.2 CE ha de conducir, necesariamente, a rechazar, por infundadas, las presuntas vulneraciones de los arts. 168 y 169 CE, por cuanto es evidente que la LORE, al regular el derecho a la prestación de ayuda para morir, no ha pretendido llevar a cabo reforma constitucional alguna.</w:t>
      </w:r>
    </w:p>
    <w:p w14:paraId="159E6277" w14:textId="77777777" w:rsidR="008D479B" w:rsidRDefault="008D479B" w:rsidP="008D479B">
      <w:pPr>
        <w:pStyle w:val="TextoNormal"/>
      </w:pPr>
    </w:p>
    <w:p w14:paraId="727DD40F" w14:textId="03D68369" w:rsidR="008D479B" w:rsidRDefault="008D479B" w:rsidP="008D479B">
      <w:pPr>
        <w:pStyle w:val="TextoNormal"/>
      </w:pPr>
      <w:r>
        <w:t>En atención a lo expuesto, se desestiman estas últimas pretensiones de inconstitucionalidad.</w:t>
      </w:r>
    </w:p>
    <w:p w14:paraId="4DF9BDB5" w14:textId="77777777" w:rsidR="008D479B" w:rsidRDefault="008D479B" w:rsidP="008D479B">
      <w:pPr>
        <w:pStyle w:val="TextoNormal"/>
      </w:pPr>
    </w:p>
    <w:p w14:paraId="5238CDFB" w14:textId="77777777" w:rsidR="008D479B" w:rsidRDefault="008D479B" w:rsidP="008D479B">
      <w:pPr>
        <w:pStyle w:val="TextoNormalCentrado"/>
        <w:keepNext/>
      </w:pPr>
      <w:r>
        <w:t>FALLO</w:t>
      </w:r>
    </w:p>
    <w:p w14:paraId="03E736C6" w14:textId="582D057F" w:rsidR="008D479B" w:rsidRDefault="008D479B" w:rsidP="008D479B">
      <w:pPr>
        <w:pStyle w:val="TextoNormalCentrado"/>
        <w:keepNext/>
      </w:pPr>
    </w:p>
    <w:p w14:paraId="0AFE1701" w14:textId="38974D22" w:rsidR="008D479B" w:rsidRDefault="008D479B" w:rsidP="008D479B">
      <w:pPr>
        <w:pStyle w:val="TextoNormal"/>
      </w:pPr>
      <w:r>
        <w:t>En atención a todo lo expuesto, el Tribunal Constitucional, por la autoridad que le confiere la Constitución de la Nación española, ha decidido desestimar el recurso de inconstitucionalidad formulado contra la Ley Orgánica 3/2021, de 24 de marzo, de regulación de la eutanasia.</w:t>
      </w:r>
    </w:p>
    <w:p w14:paraId="2D01CCD1" w14:textId="77777777" w:rsidR="008D479B" w:rsidRDefault="008D479B" w:rsidP="008D479B">
      <w:pPr>
        <w:pStyle w:val="TextoNormal"/>
      </w:pPr>
    </w:p>
    <w:p w14:paraId="273A3CA9" w14:textId="77777777" w:rsidR="008D479B" w:rsidRDefault="008D479B" w:rsidP="008D479B">
      <w:pPr>
        <w:pStyle w:val="TextoNormal"/>
      </w:pPr>
      <w:r>
        <w:t>Publíquese esta sentencia en el “Boletín Oficial del Estado”.</w:t>
      </w:r>
    </w:p>
    <w:p w14:paraId="2E93A7E8" w14:textId="77777777" w:rsidR="008D479B" w:rsidRDefault="008D479B" w:rsidP="008D479B">
      <w:pPr>
        <w:pStyle w:val="TextoNormal"/>
      </w:pPr>
      <w:r>
        <w:t>Dada en Madrid, a doce de septiembre de dos mil veintitrés.</w:t>
      </w:r>
    </w:p>
    <w:p w14:paraId="61DD1294" w14:textId="0035E4B5" w:rsidR="008D479B" w:rsidRDefault="008D479B" w:rsidP="008D479B">
      <w:pPr>
        <w:pStyle w:val="ParrafoNormal"/>
      </w:pPr>
    </w:p>
    <w:p w14:paraId="68BA35A6" w14:textId="77777777" w:rsidR="008D479B" w:rsidRDefault="008D479B" w:rsidP="008D479B">
      <w:pPr>
        <w:pStyle w:val="TextoNormalNegritaCentrado"/>
        <w:keepNext/>
      </w:pPr>
      <w:r>
        <w:t>Voto particular concurrente que formula la magistrada doña María Luisa Balaguer Callejón a la sentencia dictada en el recurso de inconstitucionalidad núm. 4313-2021</w:t>
      </w:r>
    </w:p>
    <w:p w14:paraId="0C854FF0" w14:textId="71586F7E" w:rsidR="008D479B" w:rsidRDefault="008D479B" w:rsidP="008D479B">
      <w:pPr>
        <w:pStyle w:val="TextoNormalNegritaCentrado"/>
        <w:keepNext/>
      </w:pPr>
    </w:p>
    <w:p w14:paraId="740719D4" w14:textId="77777777" w:rsidR="008D479B" w:rsidRDefault="008D479B" w:rsidP="008D479B">
      <w:pPr>
        <w:pStyle w:val="TextoNormal"/>
      </w:pPr>
      <w:r>
        <w:t>Con el mayor respeto al criterio reflejado en la sentencia a que se refiere el encabezamiento y en ejercicio de la facultad que me confiere el art. 90.2 de la Ley Orgánica del Tribunal Constitucional, manifiesto mi discrepancia con la argumentación de la sentencia aprobada por el Pleno, aunque comparta el fallo de la misma. La argumentación de la resolución a la que se opone este voto, en lo que resulta de relevancia para el mismo, es coincidente con la de la STC 19/2023, de 22 de marzo, y habiendo manifestado mi discrepancia respecto de aquella, en el voto concurrente que formulé a dicha sentencia, me remito ahora al mismo en su totalidad.</w:t>
      </w:r>
    </w:p>
    <w:p w14:paraId="1C8A7482" w14:textId="77777777" w:rsidR="008D479B" w:rsidRDefault="008D479B" w:rsidP="008D479B">
      <w:pPr>
        <w:pStyle w:val="TextoNormal"/>
      </w:pPr>
    </w:p>
    <w:p w14:paraId="5391B71F" w14:textId="06A46537" w:rsidR="008D479B" w:rsidRDefault="008D479B" w:rsidP="008D479B">
      <w:pPr>
        <w:pStyle w:val="TextoNormal"/>
      </w:pPr>
      <w:r>
        <w:t>Madrid, a doce de septiembre de dos mil veintitrés.</w:t>
      </w:r>
    </w:p>
    <w:p w14:paraId="7C248B31" w14:textId="77777777" w:rsidR="008D479B" w:rsidRDefault="008D479B" w:rsidP="008D479B">
      <w:pPr>
        <w:pStyle w:val="TextoNormal"/>
      </w:pPr>
    </w:p>
    <w:p w14:paraId="6BE12BDD" w14:textId="77777777" w:rsidR="008D479B" w:rsidRDefault="008D479B" w:rsidP="008D479B">
      <w:pPr>
        <w:pStyle w:val="TextoNormalNegritaCentrado"/>
        <w:keepNext/>
      </w:pPr>
      <w:r>
        <w:t>Voto particular que formula el magistrado don Enrique Arnaldo Alcubilla a la sentencia del Pleno que resuelve el recurso de inconstitucionalidad núm. 4313-2021</w:t>
      </w:r>
    </w:p>
    <w:p w14:paraId="1F720BDF" w14:textId="753E2367" w:rsidR="008D479B" w:rsidRDefault="008D479B" w:rsidP="008D479B">
      <w:pPr>
        <w:pStyle w:val="TextoNormalNegritaCentrado"/>
        <w:keepNext/>
      </w:pPr>
    </w:p>
    <w:p w14:paraId="2CDE1F05" w14:textId="77777777" w:rsidR="008D479B" w:rsidRDefault="008D479B" w:rsidP="008D479B">
      <w:pPr>
        <w:pStyle w:val="TextoNormal"/>
      </w:pPr>
      <w:r>
        <w:t>En el ejercicio de la facultad que me confiere el artículo 90.2 de la Ley Orgánica del Tribunal Constitucional, y con respeto a la opinión de mis compañeros que han conformado la mayoría del Pleno, formulo el presente voto particular para expresar mi discrepancia con la fundamentación y con el fallo de la sentencia recaída en el presente recurso de inconstitucionalidad.</w:t>
      </w:r>
    </w:p>
    <w:p w14:paraId="4938EBAE" w14:textId="77777777" w:rsidR="008D479B" w:rsidRDefault="008D479B" w:rsidP="008D479B">
      <w:pPr>
        <w:pStyle w:val="TextoNormal"/>
      </w:pPr>
    </w:p>
    <w:p w14:paraId="3165AD44" w14:textId="77777777" w:rsidR="008D479B" w:rsidRDefault="008D479B" w:rsidP="008D479B">
      <w:pPr>
        <w:pStyle w:val="TextoNormal"/>
      </w:pPr>
      <w:r>
        <w:t>Las razones fundamentales de mi discrepancia son las expuestas en el voto particular que formulé a la STC 19/2023, de 22 de marzo, que desestima el recurso de inconstitucionalidad 4057-2021, y a la que la presente sentencia se remite cuando procede, si bien de forma harto prolija. En consecuencia, para evitar repeticiones innecesarias, no considero necesario reiterar los argumentos que en dicho voto particular se contienen, siendo suficiente con la remisión a aquel, dada la sustancial coincidencia de las impugnaciones de los preceptos de la Ley Orgánica 3/2021, de regulación de la eutanasia, a la que la STC 19/2023 dio respuesta, con las quejas formuladas en el recurso de inconstitucionalidad núm. 4313-2021 contra la misma ley.</w:t>
      </w:r>
    </w:p>
    <w:p w14:paraId="49FA63A2" w14:textId="77777777" w:rsidR="008D479B" w:rsidRDefault="008D479B" w:rsidP="008D479B">
      <w:pPr>
        <w:pStyle w:val="TextoNormal"/>
      </w:pPr>
    </w:p>
    <w:p w14:paraId="7F6D9F5D" w14:textId="77777777" w:rsidR="008D479B" w:rsidRDefault="008D479B" w:rsidP="008D479B">
      <w:pPr>
        <w:pStyle w:val="TextoNormal"/>
      </w:pPr>
      <w:r>
        <w:t>No obstante, en este recurso se plantean algunas cuestiones no resueltas por la STC 19/2023 que la presente sentencia aborda para desestimarlas también. En relación con estas cuestiones —la queja referida a la objeción de conciencia de las personas jurídicas y asimismo a la configuración de un procedimiento preferente y sumario para la tutela del derecho a la eutanasia— manifesté mi discrepancia durante la deliberación y entiendo necesario dar a conocer las razones que expuse y que no fueron acogidas por el Pleno.</w:t>
      </w:r>
    </w:p>
    <w:p w14:paraId="0E6EF6BB" w14:textId="77777777" w:rsidR="008D479B" w:rsidRDefault="008D479B" w:rsidP="008D479B">
      <w:pPr>
        <w:pStyle w:val="TextoNormal"/>
      </w:pPr>
    </w:p>
    <w:p w14:paraId="307556F4" w14:textId="77777777" w:rsidR="008D479B" w:rsidRDefault="008D479B" w:rsidP="008D479B">
      <w:pPr>
        <w:pStyle w:val="TextoNormal"/>
      </w:pPr>
      <w:r>
        <w:t>Por lo que se refiere a la primera cuestión, no pongo en tela de juicio que el derecho constitucional a la objeción de conciencia se configura como un derecho personalísimo, ejercitable, con las debidas garantías para el interés general, frente al cumplimiento de ciertos deberes u obligaciones que colisionen con las convicciones o cuestiones morales íntimas de las personas físicas, en este caso de los profesionales sanitarios. Sin embargo, no cabe desconocer que la eutanasia se configura como un derecho de naturaleza prestacional, incluido en la cartera común de servicios del Sistema Nacional de Salud, pudiendo llevarse a cabo la prestación de la ayuda para morir tanto en los centros sanitarios públicos como en los privados o concertados. Es indiscutible que existen centros sanitarios privados de los que son titulares entidades religiosas, cuyo ideario excluye la práctica de la eutanasia. Imponer coactivamente a estas personas jurídicas el deber de practicar en sus instalaciones la prestación de ayuda para morir supone atentar contra el derecho a la libertad ideológica y religiosa (art. 16.1 CE) en su dimensión colectiva. La sentencia de la que discrepo elude esta cuestión mediante una respuesta formal, evasiva e insuficiente a la queja de los recurrentes. Respuesta que tampoco se adecúa al propio texto de la ley impugnada, ya que una lectura atenta de los arts. 13.2 y 14 de la Ley Orgánica 3/2021 pone de manifiesto que si bien se establece un deber legal de garantizar el derecho a la prestación de ayuda para morir para los servicios públicos de salud, esa garantía no opera en los mismos términos respecto de los centros sanitarios privados o concertados, en cuanto que la ley únicamente se limita a exigir que ni “el acceso y la calidad asistencial de la prestación puedan resultar menoscabados” por el lugar donde se realiza, pero no les impone directamente a estos centros sanitarios la obligación de garantizar la prestación de ayuda para morir.</w:t>
      </w:r>
    </w:p>
    <w:p w14:paraId="242EB93E" w14:textId="77777777" w:rsidR="008D479B" w:rsidRDefault="008D479B" w:rsidP="008D479B">
      <w:pPr>
        <w:pStyle w:val="TextoNormal"/>
      </w:pPr>
    </w:p>
    <w:p w14:paraId="473E783E" w14:textId="77777777" w:rsidR="008D479B" w:rsidRDefault="008D479B" w:rsidP="008D479B">
      <w:pPr>
        <w:pStyle w:val="TextoNormal"/>
      </w:pPr>
      <w:r>
        <w:t>Mi discrepancia se extiende asimismo, como ya se ha adelantado, a la respuesta desestimatoria que la sentencia da a la tacha de inconstitucionalidad que los recurrentes dirigen contra la disposición adicional quinta de la Ley Orgánica 3/2021, que determina que los recursos a los que se refieren los arts. 10.5 y 18 a) de dicha Ley se tramitarán conforme al procedimiento preferente y sumario para la tutela de los derechos fundamentales de la persona que se contiene en la Ley reguladora de la jurisdicción contencioso-administrativa.</w:t>
      </w:r>
    </w:p>
    <w:p w14:paraId="508F9F90" w14:textId="77777777" w:rsidR="008D479B" w:rsidRDefault="008D479B" w:rsidP="008D479B">
      <w:pPr>
        <w:pStyle w:val="TextoNormal"/>
      </w:pPr>
    </w:p>
    <w:p w14:paraId="23C55EAE" w14:textId="77777777" w:rsidR="008D479B" w:rsidRDefault="008D479B" w:rsidP="008D479B">
      <w:pPr>
        <w:pStyle w:val="TextoNormal"/>
      </w:pPr>
      <w:r>
        <w:t>A mi entender, la queja de los recurrentes debió ser estimada, declarando la inconstitucionalidad y consiguiente nulidad de la disposición adicional quinta de la Ley Orgánica 3/2021, por cuanto el procedimiento preferente y sumario, basado en la celeridad de la tutela jurisdiccional, está reservado por el art. 53.2 CE para la protección de los derechos y libertades fundamentales reconocidos en los arts. 14 a 29 CE (por todas, SSTC 37/1982, de 16 de junio, y 31/1984, de 7 de marzo), dada la especial posición que los derechos fundamentales ocupan en nuestro ordenamiento, en cuanto traducción normativa de la dignidad humana (art. 10.1 CE) y elemento legitimador de todo poder político (STC 113/1995, de 6 de julio, por todas). Se trata, por tanto, de un ámbito indisponible para el legislador que, del mismo modo que tiene vedada la creación de nuevos derechos fundamentales, por estar ello reservado al constituyente, tampoco puede extender, por la misma razón, el proceso preferente y sumario previsto en el art. 53.2 CE para la tutela de los derechos fundamentales reconocidos en los arts. 14 a 29 CE a otros derechos distintos. No siendo el derecho a la eutanasia que reconoce y regula la Ley Orgánica 3/2021 un derecho fundamental, no es constitucionalmente lícito que las pretensiones relativas a la denegación de la prestación en que ese derecho se materializa se sustancien a través de esa privilegiada garantía procesal que el art. 53.2 CE ha configurado.</w:t>
      </w:r>
    </w:p>
    <w:p w14:paraId="2C731A45" w14:textId="77777777" w:rsidR="008D479B" w:rsidRDefault="008D479B" w:rsidP="008D479B">
      <w:pPr>
        <w:pStyle w:val="TextoNormal"/>
      </w:pPr>
    </w:p>
    <w:p w14:paraId="169C6D6F" w14:textId="56C389A7" w:rsidR="008D479B" w:rsidRDefault="008D479B" w:rsidP="008D479B">
      <w:pPr>
        <w:pStyle w:val="TextoNormal"/>
      </w:pPr>
      <w:r>
        <w:t>Madrid, a dieciocho de septiembre de dos mil veintitrés.</w:t>
      </w:r>
    </w:p>
    <w:p w14:paraId="4D1B57E0" w14:textId="77777777" w:rsidR="008D479B" w:rsidRDefault="008D479B" w:rsidP="008D479B">
      <w:pPr>
        <w:pStyle w:val="TextoNormal"/>
      </w:pPr>
    </w:p>
    <w:p w14:paraId="15817CDA" w14:textId="77777777" w:rsidR="008D479B" w:rsidRDefault="008D479B" w:rsidP="008D479B">
      <w:pPr>
        <w:pStyle w:val="TextoNormalNegritaCentrado"/>
        <w:keepNext/>
      </w:pPr>
      <w:r>
        <w:t>Voto particular que formula la magistrada doña Concepción Espejel Jorquera a la sentencia de 12 de septiembre de 2023 dictada en el recurso de inconstitucionalidad 4313-2021</w:t>
      </w:r>
    </w:p>
    <w:p w14:paraId="03DC22C2" w14:textId="2F2E1251" w:rsidR="008D479B" w:rsidRDefault="008D479B" w:rsidP="008D479B">
      <w:pPr>
        <w:pStyle w:val="TextoNormalNegritaCentrado"/>
        <w:keepNext/>
      </w:pPr>
    </w:p>
    <w:p w14:paraId="5ACB5DAC" w14:textId="77777777" w:rsidR="008D479B" w:rsidRDefault="008D479B" w:rsidP="008D479B">
      <w:pPr>
        <w:pStyle w:val="TextoNormal"/>
      </w:pPr>
      <w:r>
        <w:t>Con el máximo respeto a la opinión de mis compañeros magistrados formulo voto particular a la sentencia dictada en el recurso de inconstitucionalidad 4313-2021, sobre la base de las consideraciones que expuse en la deliberación de la misma y que reitero a continuación.</w:t>
      </w:r>
    </w:p>
    <w:p w14:paraId="0541BACD" w14:textId="77777777" w:rsidR="008D479B" w:rsidRDefault="008D479B" w:rsidP="008D479B">
      <w:pPr>
        <w:pStyle w:val="TextoNormal"/>
      </w:pPr>
    </w:p>
    <w:p w14:paraId="563DEDC6" w14:textId="77777777" w:rsidR="008D479B" w:rsidRDefault="008D479B" w:rsidP="008D479B">
      <w:pPr>
        <w:pStyle w:val="TextoNormal"/>
      </w:pPr>
      <w:r>
        <w:t>La sentencia resuelve la mayor parte de las alegaciones de la parte recurrente por remisión a lo resuelto en la STC 19/2023, de 22 de marzo, a la que formulé voto particular, por lo que igualmente me remito a las consideraciones a partir de las cuales formulé mi discrepancia respecto de dicha resolución.</w:t>
      </w:r>
    </w:p>
    <w:p w14:paraId="0EE68FB8" w14:textId="77777777" w:rsidR="008D479B" w:rsidRDefault="008D479B" w:rsidP="008D479B">
      <w:pPr>
        <w:pStyle w:val="TextoNormal"/>
      </w:pPr>
    </w:p>
    <w:p w14:paraId="46C2CFDB" w14:textId="77777777" w:rsidR="008D479B" w:rsidRDefault="008D479B" w:rsidP="008D479B">
      <w:pPr>
        <w:pStyle w:val="TextoNormal"/>
      </w:pPr>
      <w:r>
        <w:t xml:space="preserve">1. En primer término, considero necesario puntualizar que, aunque en alguno de sus fundamentos la sentencia que resuelve el recurso de inconstitucionalidad 4313-2021 parece querer matizar determinadas afirmaciones contenidas en la precedente que resolvió el recurso de inconstitucionalidad 4057-2021, de las que claramente se infería que la misma vino a crear </w:t>
      </w:r>
      <w:r w:rsidRPr="008D479B">
        <w:rPr>
          <w:i/>
        </w:rPr>
        <w:t>ex novo</w:t>
      </w:r>
      <w:r>
        <w:t xml:space="preserve"> un </w:t>
      </w:r>
      <w:r w:rsidRPr="008D479B">
        <w:rPr>
          <w:i/>
        </w:rPr>
        <w:t>seudo</w:t>
      </w:r>
      <w:r>
        <w:t xml:space="preserve"> derecho fundamental derivado de los arts. 1.1, 10.1 y 15, que en aquella se denominó “derecho de autodeterminación respecto de la propia muerte en contextos eutanásicos”, lo cierto es que la remisión a lo en aquella resuelto y la glosa reiterada de sus fundamentos jurídicos, evidencian que la nueva sentencia incide, en mi opinión, en el mismo desbordamiento de la función de control de constitucionalidad que a este tribunal compete.</w:t>
      </w:r>
    </w:p>
    <w:p w14:paraId="128E0B45" w14:textId="77777777" w:rsidR="008D479B" w:rsidRDefault="008D479B" w:rsidP="008D479B">
      <w:pPr>
        <w:pStyle w:val="TextoNormal"/>
      </w:pPr>
    </w:p>
    <w:p w14:paraId="3D0A5604" w14:textId="77777777" w:rsidR="008D479B" w:rsidRDefault="008D479B" w:rsidP="008D479B">
      <w:pPr>
        <w:pStyle w:val="TextoNormal"/>
      </w:pPr>
      <w:r>
        <w:t>En el fundamento 3 B) b) se inicia el enjuiciamiento de la queja de la parte recurrente que impugna la existencia de un presunto derecho fundamental a exigir la propia muerte, señalando que la STC 19/2023 ha “confirmado la constitucionalidad de la configuración legislativa de la eutanasia como un derecho subjetivo de naturaleza prestacional, siempre y cuando se produzca (i) en un ‘contexto eutanásico’ médicamente contrastado, esto es, un ‘contexto de sufrimiento debido a una enfermedad o padecimiento incurable que la persona experimenta como inaceptable y que no ha podido ser mitigado por otros medios’, y (ii) ‘a petición informada, expresa y reiterada en el tiempo’ por la persona que solicita ayuda para acabar con su propia vida”. Sin embargo, seguidamente se efectúa una remisión al fundamento jurídico 6 B) y C) de la sentencia citada.</w:t>
      </w:r>
    </w:p>
    <w:p w14:paraId="26356118" w14:textId="77777777" w:rsidR="008D479B" w:rsidRDefault="008D479B" w:rsidP="008D479B">
      <w:pPr>
        <w:pStyle w:val="TextoNormal"/>
      </w:pPr>
    </w:p>
    <w:p w14:paraId="3B2A932B" w14:textId="77777777" w:rsidR="008D479B" w:rsidRDefault="008D479B" w:rsidP="008D479B">
      <w:pPr>
        <w:pStyle w:val="TextoNormal"/>
      </w:pPr>
      <w:r>
        <w:t>Del contenido de dicho fundamento resulta que, lejos de limitarse a declarar la constitucionalidad de la opción legislativa, se vino a consagrar un derecho fundamental no previsto en la Constitución.</w:t>
      </w:r>
    </w:p>
    <w:p w14:paraId="5EEC4264" w14:textId="77777777" w:rsidR="008D479B" w:rsidRDefault="008D479B" w:rsidP="008D479B">
      <w:pPr>
        <w:pStyle w:val="TextoNormal"/>
      </w:pPr>
    </w:p>
    <w:p w14:paraId="08EA76DF" w14:textId="77777777" w:rsidR="008D479B" w:rsidRDefault="008D479B" w:rsidP="008D479B">
      <w:pPr>
        <w:pStyle w:val="TextoNormal"/>
      </w:pPr>
      <w:r>
        <w:t>Procede recordar que en el citado fundamento jurídico 6, en su apartado C) b) “Alcance del derecho fundamental a la vida”, en el inciso (vi), después de aludir a la admisibilidad constitucional de la facultad de autodeterminación de un paciente que rechaza tratamientos salvadores, solicita la retirada del soporte vital o requiere cuidados paliativos terminales, con el consiguiente adelantamiento de la muerte que estas decisiones implican, ya en el ámbito de los supuestos de eutanasia ahora examinados, se señaló que “[t]ambién en este ámbito la decisión libre y consciente de morir de quien se halla en situaciones de sufrimiento personal extremo, provocadas por enfermedades graves incurables o profundamente incapacitantes, presenta una dimensión iusfundamental y de apertura a la disponibilidad de la vida”.</w:t>
      </w:r>
    </w:p>
    <w:p w14:paraId="78E4BDEC" w14:textId="77777777" w:rsidR="008D479B" w:rsidRDefault="008D479B" w:rsidP="008D479B">
      <w:pPr>
        <w:pStyle w:val="TextoNormal"/>
      </w:pPr>
    </w:p>
    <w:p w14:paraId="3D4B7ADA" w14:textId="77777777" w:rsidR="008D479B" w:rsidRDefault="008D479B" w:rsidP="008D479B">
      <w:pPr>
        <w:pStyle w:val="TextoNormal"/>
      </w:pPr>
      <w:r>
        <w:t>De modo especifico, en el referido fundamento jurídico 6 C), apartado d), la STC 19/2023, bajo la rúbrica “El derecho a la autodeterminación respecto de la propia muerte en contextos eutanásicos”, señaló que el fundamento constitucional de la eutanasia activa directa, cuya carencia invocan los recurrentes, se encuentra “en los derechos fundamentales a la integridad física y moral —integridad personal, en definitiva— del art. 15 CE que, en conexión con los principios de dignidad y libre desarrollo de la personalidad del art. 10.1 CE, amparan el derecho de la persona a la autodeterminación respecto de su propia muerte en contextos eutanásicos, derecho que delimita externamente el ámbito de aplicación del derecho fundamental a la vida y que resulta amparado en la Constitución”.</w:t>
      </w:r>
    </w:p>
    <w:p w14:paraId="1D4DF310" w14:textId="77777777" w:rsidR="008D479B" w:rsidRDefault="008D479B" w:rsidP="008D479B">
      <w:pPr>
        <w:pStyle w:val="TextoNormal"/>
      </w:pPr>
    </w:p>
    <w:p w14:paraId="2651A792" w14:textId="77777777" w:rsidR="008D479B" w:rsidRDefault="008D479B" w:rsidP="008D479B">
      <w:pPr>
        <w:pStyle w:val="TextoNormal"/>
      </w:pPr>
      <w:r>
        <w:t>Se reiteró en diversos incisos de dicho fundamento jurídico 6 que “ya no cabe afirmar que estemos ante una conducta genérica de disposición de la propia vida realizada en ejercicio de una mera libertad fáctica, esto es, en una suerte de ámbito libre de Derecho (SSTC 120/1990, FJ 7; 137/1990, FJ 5, y 11/1991, FJ 2), sino ante una de las decisiones vitales —por más que extrema y fatal— de autodeterminación de la persona protegida por los derechos a la integridad física y moral (art. 15 CE) en conexión con los principios de dignidad y libre desarrollo de la personalidad (art. 10.1 CE). Este derecho de autodeterminación garantiza a la persona inmersa en un contexto de sufrimiento extremo como el aquí considerado un espacio de autonomía individual para trazar y llevar a término un proyecto de fin de vida acorde con su dignidad, de acuerdo con sus propias concepciones y valoraciones acerca del sentido de su existencia. Se trata de un ámbito de autonomía que el Estado debe respetar y a cuya efectividad debe contribuir, dentro de los límites impuestos por la existencia de otros derechos y bienes asimismo reconocidos por la Constitución”.</w:t>
      </w:r>
    </w:p>
    <w:p w14:paraId="118DCB6E" w14:textId="77777777" w:rsidR="008D479B" w:rsidRDefault="008D479B" w:rsidP="008D479B">
      <w:pPr>
        <w:pStyle w:val="TextoNormal"/>
      </w:pPr>
    </w:p>
    <w:p w14:paraId="479C298A" w14:textId="77777777" w:rsidR="008D479B" w:rsidRDefault="008D479B" w:rsidP="008D479B">
      <w:pPr>
        <w:pStyle w:val="TextoNormal"/>
      </w:pPr>
      <w:r>
        <w:t>Seguidamente, en el inciso (iii) del mismo apartado, se añadió: “Este derecho de autodeterminación respecto de la propia muerte en contextos eutanásicos incluye también el derecho de la persona a recabar y usar la asistencia de terceros que sea necesaria para llevar a la práctica la decisión de manera compatible con su dignidad y con su integridad personal”.</w:t>
      </w:r>
    </w:p>
    <w:p w14:paraId="0C7650AF" w14:textId="77777777" w:rsidR="008D479B" w:rsidRDefault="008D479B" w:rsidP="008D479B">
      <w:pPr>
        <w:pStyle w:val="TextoNormal"/>
      </w:pPr>
    </w:p>
    <w:p w14:paraId="559AE1CB" w14:textId="77777777" w:rsidR="008D479B" w:rsidRDefault="008D479B" w:rsidP="008D479B">
      <w:pPr>
        <w:pStyle w:val="TextoNormal"/>
      </w:pPr>
      <w:r>
        <w:t>Se añadió igualmente que “[d]e ello se sigue que la Constitución demanda a los poderes públicos —en primer término, al legislador— permitir la ayuda por parte de terceros a la muerte de la persona capaz que así lo decide, libre y conscientemente, en el tipo de situaciones extremas a las que se refiere nuestro enjuiciamiento y de habilitar las vías necesarias para ello”.</w:t>
      </w:r>
    </w:p>
    <w:p w14:paraId="555234D5" w14:textId="77777777" w:rsidR="008D479B" w:rsidRDefault="008D479B" w:rsidP="008D479B">
      <w:pPr>
        <w:pStyle w:val="TextoNormal"/>
      </w:pPr>
    </w:p>
    <w:p w14:paraId="476A3168" w14:textId="77777777" w:rsidR="008D479B" w:rsidRDefault="008D479B" w:rsidP="008D479B">
      <w:pPr>
        <w:pStyle w:val="TextoNormal"/>
      </w:pPr>
      <w:r>
        <w:t>Además, pese a reconocer aparentemente la STC 19/2023 que de ello no se deriva necesariamente un deber prestacional del Estado, inmediatamente después indicó que “lo que este [el Estado] no puede hacer es eludir su responsabilidad en esta materia, como sucedería si pretendiese permanecer ajeno —mediante la prohibición o la ausencia de regulación— a la específica problemática de quien precisa la ayuda de terceros para ejercer de modo efectivo su derecho en este tipo de situaciones, pues ello podría abocar a la persona a una muerte degradante, y en todo caso haría depender a cada sujeto, a la hora de decidir sobre su propia muerte y llevarla a cabo, de sus específicos y personales condicionantes físicos, sociales, económicos y familiares, resultados ambos incompatibles con los arts. 10.1 y 15 CE. Como a continuación se indicará, este deber público de dotar de eficacia al derecho de autodeterminación no conlleva, sin embargo, una exigencia constitucional de permisión total e indiscriminada de la ayuda de terceros a la muerte, libre y conscientemente decidida por persona capaz inmersa en un contexto eutanásico”.</w:t>
      </w:r>
    </w:p>
    <w:p w14:paraId="34A8AFA0" w14:textId="77777777" w:rsidR="008D479B" w:rsidRDefault="008D479B" w:rsidP="008D479B">
      <w:pPr>
        <w:pStyle w:val="TextoNormal"/>
      </w:pPr>
    </w:p>
    <w:p w14:paraId="22EB8CAD" w14:textId="77777777" w:rsidR="008D479B" w:rsidRDefault="008D479B" w:rsidP="008D479B">
      <w:pPr>
        <w:pStyle w:val="TextoNormal"/>
      </w:pPr>
      <w:r>
        <w:t>Se apreciaba en la sentencia una cierta resistencia a reconocer que la norma establece un deber prestacional del Estado, pero es eso lo que efectúa la Ley y lo que también resulta de la declaración en la STC 19/2023 de un “deber público de dotar de eficacia al derecho de autodeterminación”.</w:t>
      </w:r>
    </w:p>
    <w:p w14:paraId="79DDA5EF" w14:textId="77777777" w:rsidR="008D479B" w:rsidRDefault="008D479B" w:rsidP="008D479B">
      <w:pPr>
        <w:pStyle w:val="TextoNormal"/>
      </w:pPr>
    </w:p>
    <w:p w14:paraId="4455E043" w14:textId="77777777" w:rsidR="008D479B" w:rsidRDefault="008D479B" w:rsidP="008D479B">
      <w:pPr>
        <w:pStyle w:val="TextoNormal"/>
      </w:pPr>
      <w:r>
        <w:t>En esa línea, al final del apartado C) del fundamento jurídico 6, tras reiterar que “la decisión de poner fin a la propia vida, adoptada libre y conscientemente por quien, estando en pleno uso de sus facultades mentales, se encuentra inmerso en una situación de sufrimiento extremo por causas médicas especialmente graves, irreversibles y objetivamente contrastables, es una de las decisiones vitales amparadas por el derecho de autodeterminación de la persona que deriva de los derechos fundamentales a la integridad física y moral (art. 15 CE) en conexión con el reconocimiento de los principios de dignidad y libre desarrollo de la personalidad (art. 10.1 CE)”, se añade: “Este derecho de autodeterminación conlleva la obligación del Estado de habilitar las vías legales necesarias para permitir la ayuda de terceros que sea precisa para que la persona inmersa en una de las situaciones trágicas a las que se refiere nuestro enjuiciamiento pueda ejercer su derecho a decidir sobre su propia muerte en condiciones de libertad y dignidad”.</w:t>
      </w:r>
    </w:p>
    <w:p w14:paraId="06068A84" w14:textId="77777777" w:rsidR="008D479B" w:rsidRDefault="008D479B" w:rsidP="008D479B">
      <w:pPr>
        <w:pStyle w:val="TextoNormal"/>
      </w:pPr>
    </w:p>
    <w:p w14:paraId="3E7150A9" w14:textId="77777777" w:rsidR="008D479B" w:rsidRDefault="008D479B" w:rsidP="008D479B">
      <w:pPr>
        <w:pStyle w:val="TextoNormal"/>
      </w:pPr>
      <w:r>
        <w:t>Por otro lado, en el epígrafe a) del fundamento jurídico 6 D) de la STC 19/2023 “Sobre la alegada inconstitucionalidad del modelo regulatorio plasmado en la Ley Orgánica impugnada”, aunque se reconoce el alcance del control constitucional en los mismos términos en que se recogió en el fundamento jurídico 2, indicando que “[n]o nos corresponde, por lo tanto, analizar si pudieran existir otros sistemas más eficaces de protección de la vida”, inmediatamente después se añade, entre paréntesis, lo siguiente: “que, por lo demás, incidirían de forma mayor en el derecho fundamental a la autodeterminación respecto de la propia muerte en contextos eutanásicos, incidencia que sí habría de medirse a la luz del principio de proporcionalidad entendido como prohibición del exceso”.</w:t>
      </w:r>
    </w:p>
    <w:p w14:paraId="7ECCF971" w14:textId="77777777" w:rsidR="008D479B" w:rsidRDefault="008D479B" w:rsidP="008D479B">
      <w:pPr>
        <w:pStyle w:val="TextoNormal"/>
      </w:pPr>
    </w:p>
    <w:p w14:paraId="7C74E430" w14:textId="77777777" w:rsidR="008D479B" w:rsidRDefault="008D479B" w:rsidP="008D479B">
      <w:pPr>
        <w:pStyle w:val="TextoNormal"/>
      </w:pPr>
      <w:r>
        <w:t>El referido añadido corrobora que la sentencia no solo analizó si la opción legislativa impugnada es conforme a la Constitución, sino que se decantó por la misma, como la única posible para garantizar lo que reiteradamente califica como “derecho fundamental a la autodeterminación respecto de la propia muerte en contextos eutanásicos”, tesis que no comparto.</w:t>
      </w:r>
    </w:p>
    <w:p w14:paraId="0F6F26AD" w14:textId="77777777" w:rsidR="008D479B" w:rsidRDefault="008D479B" w:rsidP="008D479B">
      <w:pPr>
        <w:pStyle w:val="TextoNormal"/>
      </w:pPr>
    </w:p>
    <w:p w14:paraId="4EE96CB7" w14:textId="77777777" w:rsidR="008D479B" w:rsidRDefault="008D479B" w:rsidP="008D479B">
      <w:pPr>
        <w:pStyle w:val="TextoNormal"/>
      </w:pPr>
      <w:r>
        <w:t>En la misma línea continuó el epígrafe b) del apartado D), “Deberes de protección del Estado en este contexto”, iniciando el inciso (i) con el siguiente tenor: “Ante todo es preciso aclarar que, en este contexto, la Constitución impone exigencias de protección frente a terceros no solo respecto de la vida como derecho fundamental y como bien constitucional objetivo —única perspectiva a la que alude la demanda—, sino también respecto del derecho fundamental a la autodeterminación de la propia muerte en situaciones eutanásicas”.</w:t>
      </w:r>
    </w:p>
    <w:p w14:paraId="51068503" w14:textId="77777777" w:rsidR="008D479B" w:rsidRDefault="008D479B" w:rsidP="008D479B">
      <w:pPr>
        <w:pStyle w:val="TextoNormal"/>
      </w:pPr>
    </w:p>
    <w:p w14:paraId="1BE666D1" w14:textId="77777777" w:rsidR="008D479B" w:rsidRDefault="008D479B" w:rsidP="008D479B">
      <w:pPr>
        <w:pStyle w:val="TextoNormal"/>
      </w:pPr>
      <w:r>
        <w:t>Después, en el mismo apartado b), relativo a los deberes de protección del Estado en este ámbito, la sentencia estableció en el inciso (i): “Igualmente, conviene destacar que la existencia de una voluntad auténticamente propia, libre y consciente de una persona capaz es el elemento que marca la frontera entre el ámbito de protección del derecho fundamental a la vida y el derecho fundamental a la autodeterminación respecto de la propia muerte en situaciones eutanásicas”.</w:t>
      </w:r>
    </w:p>
    <w:p w14:paraId="1FB874D3" w14:textId="77777777" w:rsidR="008D479B" w:rsidRDefault="008D479B" w:rsidP="008D479B">
      <w:pPr>
        <w:pStyle w:val="TextoNormal"/>
      </w:pPr>
    </w:p>
    <w:p w14:paraId="0A8DC3FD" w14:textId="77777777" w:rsidR="008D479B" w:rsidRDefault="008D479B" w:rsidP="008D479B">
      <w:pPr>
        <w:pStyle w:val="TextoNormal"/>
      </w:pPr>
      <w:r>
        <w:t xml:space="preserve">Como apunté en el apartado 1 del voto particular que formulé a la STC 19/2023, de la mencionada expresión, de las anteriormente reseñadas y de otras muchas contenidas a lo largo de los distintos fundamentos de la sentencia a la que se remite la actual, resulta, sin lugar a dudas, la creación de un derecho fundamental a la autodeterminación respecto de la propia muerte, derecho no contemplado en la Constitución y que en la sentencia se pondera al mismo nivel que el derecho troncal a la vida, minusvalorando la doctrina de este tribunal, que la propia sentencia citó en el apartado C) epígrafe b) del fundamento jurídico 6, que declaró que la vida humana no solo es el objeto del derecho fundamental enunciado en el artículo 15 CE, sino condición necesaria para el ejercicio del resto de los derechos, lo que la sitúa como </w:t>
      </w:r>
      <w:r w:rsidRPr="008D479B">
        <w:rPr>
          <w:i/>
        </w:rPr>
        <w:t>prius</w:t>
      </w:r>
      <w:r>
        <w:t xml:space="preserve"> de la persona y de todas sus manifestaciones.</w:t>
      </w:r>
    </w:p>
    <w:p w14:paraId="6ED28E7B" w14:textId="77777777" w:rsidR="008D479B" w:rsidRDefault="008D479B" w:rsidP="008D479B">
      <w:pPr>
        <w:pStyle w:val="TextoNormal"/>
      </w:pPr>
    </w:p>
    <w:p w14:paraId="0DDB129C" w14:textId="77777777" w:rsidR="008D479B" w:rsidRDefault="008D479B" w:rsidP="008D479B">
      <w:pPr>
        <w:pStyle w:val="TextoNormal"/>
      </w:pPr>
      <w:r>
        <w:t>Señalé en el citado voto particular y ahora reitero que el Tribunal, en lugar de limitarse a analizar si la regulación impugnada se adecua a la Constitución, construyó un discurso que reiteradamente declaró la existencia de un derecho de la persona a la autodeterminación respecto de su propia muerte en contextos eutanásicos que, en mi opinión, no encuentra fundamento, a diferencia de lo afirmado en la STC 19/2023, en la Constitución.</w:t>
      </w:r>
    </w:p>
    <w:p w14:paraId="5E204196" w14:textId="77777777" w:rsidR="008D479B" w:rsidRDefault="008D479B" w:rsidP="008D479B">
      <w:pPr>
        <w:pStyle w:val="TextoNormal"/>
      </w:pPr>
    </w:p>
    <w:p w14:paraId="79FF073A" w14:textId="77777777" w:rsidR="008D479B" w:rsidRDefault="008D479B" w:rsidP="008D479B">
      <w:pPr>
        <w:pStyle w:val="TextoNormal"/>
      </w:pPr>
      <w:r>
        <w:t>Al resolver la sentencia dictada en el presente recurso de inconstitucionalidad 4313-2021, por remisión a la STC 19/2023, incide en el mismo exceso que la anterior.</w:t>
      </w:r>
    </w:p>
    <w:p w14:paraId="73EE2373" w14:textId="77777777" w:rsidR="008D479B" w:rsidRDefault="008D479B" w:rsidP="008D479B">
      <w:pPr>
        <w:pStyle w:val="TextoNormal"/>
      </w:pPr>
    </w:p>
    <w:p w14:paraId="113BA483" w14:textId="77777777" w:rsidR="008D479B" w:rsidRDefault="008D479B" w:rsidP="008D479B">
      <w:pPr>
        <w:pStyle w:val="TextoNormal"/>
      </w:pPr>
      <w:r>
        <w:t xml:space="preserve">Así, la sentencia dictada ahora, al igual que hizo la sentencia 19/2023, desborda el control de constitucionalidad que debería efectuar en los términos recogidos en las SSTC 191/2016, de 15 de noviembre, FJ 3, y 215/2016, de 15 de diciembre, FJ 3, entre otras, citadas en la STC 112/2021, de 13 de mayo, y vuelve a imponer una rigidez normativa que excluye otras opciones legítimas del legislador, constriñéndolo al excluir la reversibilidad de las decisiones normativas, inherente a la idea de democracia, proclamada, entre otras, en las SSTC 31/2010, de 28 de junio, FJ 6, y 224/2012, de 29 de noviembre, FJ 11, y soslaya nuevamente que la vía para la creación de derechos fundamentales </w:t>
      </w:r>
      <w:r w:rsidRPr="008D479B">
        <w:rPr>
          <w:i/>
        </w:rPr>
        <w:t>ex novo</w:t>
      </w:r>
      <w:r>
        <w:t xml:space="preserve"> es exclusivamente la reforma constitucional, por lo que reitero la discrepancia que formulé en el anterior voto particular.</w:t>
      </w:r>
    </w:p>
    <w:p w14:paraId="2EE97C20" w14:textId="77777777" w:rsidR="008D479B" w:rsidRDefault="008D479B" w:rsidP="008D479B">
      <w:pPr>
        <w:pStyle w:val="TextoNormal"/>
      </w:pPr>
    </w:p>
    <w:p w14:paraId="6829CCE0" w14:textId="77777777" w:rsidR="008D479B" w:rsidRDefault="008D479B" w:rsidP="008D479B">
      <w:pPr>
        <w:pStyle w:val="TextoNormal"/>
      </w:pPr>
      <w:r>
        <w:t>2. Disiento igualmente del modo en que la sentencia a la que formulo el presente voto particular, en su fundamento 3 B) b), concluye que “[n]inguna consideración se ha de hacer, desde la perspectiva del juicio de constitucionalidad, de las observaciones realizadas por los recurrentes sobre el modelo regulatorio de la LORE en clave de Derecho comparado, al ser expresión de una apreciación subjetiva y no estrictamente jurídica”.</w:t>
      </w:r>
    </w:p>
    <w:p w14:paraId="3B68AACD" w14:textId="77777777" w:rsidR="008D479B" w:rsidRDefault="008D479B" w:rsidP="008D479B">
      <w:pPr>
        <w:pStyle w:val="TextoNormal"/>
      </w:pPr>
    </w:p>
    <w:p w14:paraId="05B61A22" w14:textId="77777777" w:rsidR="008D479B" w:rsidRDefault="008D479B" w:rsidP="008D479B">
      <w:pPr>
        <w:pStyle w:val="TextoNormal"/>
      </w:pPr>
      <w:r>
        <w:t>Me remito a lo expuesto en el apartado 2 del voto particular que formulé a la STC 19/2023, en el que disentí de las consideraciones contenidas en el fundamento jurídico 4 de la mencionada sentencia, “Contexto normativo y jurisprudencial de la Ley Orgánica 3/2021”, para llegar a la conclusión de la existencia de un derecho fundamental a la autodeterminación en relación con la propia muerte en contextos eutanásicos.</w:t>
      </w:r>
    </w:p>
    <w:p w14:paraId="676AA5C4" w14:textId="77777777" w:rsidR="008D479B" w:rsidRDefault="008D479B" w:rsidP="008D479B">
      <w:pPr>
        <w:pStyle w:val="TextoNormal"/>
      </w:pPr>
    </w:p>
    <w:p w14:paraId="07D34548" w14:textId="77777777" w:rsidR="008D479B" w:rsidRDefault="008D479B" w:rsidP="008D479B">
      <w:pPr>
        <w:pStyle w:val="TextoNormal"/>
      </w:pPr>
      <w:r>
        <w:t>Como expuse en el mismo, la sentencia reconoció el derecho a la autodeterminación de la propia muerte en contextos eutanásicos, partiendo de la consideración de “la evolución cultural, moral y jurídica que se ha producido en las últimas décadas en nuestra sociedad y en las de nuestro entorno”, pero omitió cualquier referencia a los instrumentos internacionales en materia de derechos humanos y al Derecho comparado que pudieran sustentar dicha pretendida evolución en los países de nuestro entorno; silenciando una realidad evidente, a saber, que la opción normativa mayoritaria es la prohibición del suicidio asistido y de la eutanasia. Olvidó igualmente la sentencia que el CEDH otorga a los países firmantes un amplio margen de decisión en la materia, precisamente porque no hay consenso al respecto entre los Estados parte del Convenio; siendo claramente minoritarios los que han optado por una regulación permisiva de la eutanasia. Tampoco se recogió en la sentencia cita jurisprudencial alguna de los tribunales constitucionales de nuestro entorno, los cuales, en su mayor parte no se han pronunciado o lo han hecho en favor de la constitucionalidad de preceptos penales sancionadores de conductas de ayuda al suicidio de paciente terminales o declarando la inconstitucionalidad de leyes reguladoras de la eutanasia.</w:t>
      </w:r>
    </w:p>
    <w:p w14:paraId="099A8831" w14:textId="77777777" w:rsidR="008D479B" w:rsidRDefault="008D479B" w:rsidP="008D479B">
      <w:pPr>
        <w:pStyle w:val="TextoNormal"/>
      </w:pPr>
    </w:p>
    <w:p w14:paraId="58BEC766" w14:textId="77777777" w:rsidR="008D479B" w:rsidRDefault="008D479B" w:rsidP="008D479B">
      <w:pPr>
        <w:pStyle w:val="TextoNormal"/>
      </w:pPr>
      <w:r>
        <w:t>Reitero igualmente mi discrepancia respecto del tratamiento que se efectuó en la STC 19/2023, a la que se remite la actual, respecto de los precedentes jurisprudenciales de este propio tribunal, sobre cuya base se acabó descartando la doctrina recogida en los mismos, sustituyéndola por otra totalmente distinta, carente de refrendo jurisprudencial, para llegar a la creación de un nuevo derecho fundamental no contemplado en la Constitución.</w:t>
      </w:r>
    </w:p>
    <w:p w14:paraId="222B703A" w14:textId="77777777" w:rsidR="008D479B" w:rsidRDefault="008D479B" w:rsidP="008D479B">
      <w:pPr>
        <w:pStyle w:val="TextoNormal"/>
      </w:pPr>
    </w:p>
    <w:p w14:paraId="34C4E104" w14:textId="77777777" w:rsidR="008D479B" w:rsidRDefault="008D479B" w:rsidP="008D479B">
      <w:pPr>
        <w:pStyle w:val="TextoNormal"/>
      </w:pPr>
      <w:r>
        <w:t>Me remito igualmente a lo expuesto en el mencionado voto particular a la STC 19/2023 en relación con las consideraciones contenidas en dicha sentencia respecto de la doctrina del Tribunal Europeo de Derechos Humanos, la cual, desde mi punto de vista, lleva a unas conclusiones distintas de las alcanzadas en la STC 19/2023.</w:t>
      </w:r>
    </w:p>
    <w:p w14:paraId="13CD354B" w14:textId="77777777" w:rsidR="008D479B" w:rsidRDefault="008D479B" w:rsidP="008D479B">
      <w:pPr>
        <w:pStyle w:val="TextoNormal"/>
      </w:pPr>
    </w:p>
    <w:p w14:paraId="0DE1E0BA" w14:textId="77777777" w:rsidR="008D479B" w:rsidRDefault="008D479B" w:rsidP="008D479B">
      <w:pPr>
        <w:pStyle w:val="TextoNormal"/>
      </w:pPr>
      <w:r>
        <w:t>Por todo ello, no comparto el modo en el que se descartan, sin mayor examen, los argumentos de la parte recurrente respecto del modelo regulatorio de la LORE en clave de Derecho comparado y, menos aún, la afirmación de que se trate de apreciaciones subjetivas y no estrictamente jurídicas, máxime cuando la STC 19/2023, a la que se remite la dictada en el presente recurso de inconstitucionalidad 4313-2021, se apoyó en una pretendida evolución cultural, moral y jurídica producida en las últimas décadas en nuestra sociedad y en la de los países de nuestro entorno, evolución que no se refleja ni en el Derecho comparado, ni en la doctrina del Tribunal Europeo de Derechos Humanos, ni en la de los tribunales constitucionales de países europeos, ni en la de este Tribunal Constitucional, las cuales, a mi juicio, llevan a conclusiones contrarias a las alcanzadas en la STC 19/2023 en apoyo del seudo derecho fundamental a la autodeterminación en relación con la propia muerte, yendo más allá de lo que el Tribunal Europeo de Derechos Humanos ha declarado hasta ahora, precisamente porque lo que ha afirmado es que los Estados disponen de un amplio margen de apreciación.</w:t>
      </w:r>
    </w:p>
    <w:p w14:paraId="46E3EA34" w14:textId="77777777" w:rsidR="008D479B" w:rsidRDefault="008D479B" w:rsidP="008D479B">
      <w:pPr>
        <w:pStyle w:val="TextoNormal"/>
      </w:pPr>
    </w:p>
    <w:p w14:paraId="1898E8BD" w14:textId="77777777" w:rsidR="008D479B" w:rsidRDefault="008D479B" w:rsidP="008D479B">
      <w:pPr>
        <w:pStyle w:val="TextoNormal"/>
      </w:pPr>
      <w:r>
        <w:t>Además, como expuse en el voto particular al que me remito, la doctrina del Tribunal Europeo de Derechos Humanos citada en la STC 19/2023, rectamente interpretada, llevaría a declarar la inconstitucionalidad de la regulación de la eutanasia en el supuesto de personas que no tienen capacidad para prestar un consentimiento actualizado.</w:t>
      </w:r>
    </w:p>
    <w:p w14:paraId="5BE87E3D" w14:textId="77777777" w:rsidR="008D479B" w:rsidRDefault="008D479B" w:rsidP="008D479B">
      <w:pPr>
        <w:pStyle w:val="TextoNormal"/>
      </w:pPr>
    </w:p>
    <w:p w14:paraId="2E3B8204" w14:textId="77777777" w:rsidR="008D479B" w:rsidRDefault="008D479B" w:rsidP="008D479B">
      <w:pPr>
        <w:pStyle w:val="TextoNormal"/>
      </w:pPr>
      <w:r>
        <w:t>3. Me remito a lo expuesto en apartado 3 del voto particular a la STC 19/2023 en el que expuse mi discrepancia respecto del encuadre constitucional que se efectuó en la misma en el derecho fundamental a la integridad física y moral del denominado derecho fundamental a la autodeterminación en relación con la propia muerte en contextos eutanásicos, que se reitera en la resolución del recurso que ahora nos ocupa.</w:t>
      </w:r>
    </w:p>
    <w:p w14:paraId="25B1DF96" w14:textId="77777777" w:rsidR="008D479B" w:rsidRDefault="008D479B" w:rsidP="008D479B">
      <w:pPr>
        <w:pStyle w:val="TextoNormal"/>
      </w:pPr>
    </w:p>
    <w:p w14:paraId="13F1884F" w14:textId="77777777" w:rsidR="008D479B" w:rsidRDefault="008D479B" w:rsidP="008D479B">
      <w:pPr>
        <w:pStyle w:val="TextoNormal"/>
      </w:pPr>
      <w:r>
        <w:t>En dicha resolución se partió de la doctrina relativa al consentimiento informado, citando, entre otras, la STC 37/2011, FJ 5: “el consentimiento del paciente a cualquier intervención sobre su persona es algo inherente, entre otros, a su derecho fundamental a la integridad física, a la facultad que este supone de impedir toda intervención no consentida sobre el propio cuerpo, que no puede verse limitada de manera injustificada como consecuencia de una situación de enfermedad. Se trata de una facultad de autodeterminación que legitima al paciente, en uso de su autonomía de la voluntad, para decidir libremente sobre las medidas terapéuticas y tratamientos que puedan afectar a su integridad, escogiendo entre las distintas posibilidades, consintiendo su práctica o rechazándolas”.</w:t>
      </w:r>
    </w:p>
    <w:p w14:paraId="08B0C398" w14:textId="77777777" w:rsidR="008D479B" w:rsidRDefault="008D479B" w:rsidP="008D479B">
      <w:pPr>
        <w:pStyle w:val="TextoNormal"/>
      </w:pPr>
    </w:p>
    <w:p w14:paraId="0F11DF23" w14:textId="77777777" w:rsidR="008D479B" w:rsidRDefault="008D479B" w:rsidP="008D479B">
      <w:pPr>
        <w:pStyle w:val="TextoNormal"/>
      </w:pPr>
      <w:r>
        <w:t>Reitero que el artículo 15 CE requiere el consentimiento informado en los tratamientos médicos, por lo que el mismo es necesario para la prestación de la eutanasia, pero dicho precepto no engloba, en mi opinión, un derecho a la autodeterminación autónomo respecto de la propia muerte en contextos eutanásicos, como sostiene la sentencia.</w:t>
      </w:r>
    </w:p>
    <w:p w14:paraId="00CE3E69" w14:textId="77777777" w:rsidR="008D479B" w:rsidRDefault="008D479B" w:rsidP="008D479B">
      <w:pPr>
        <w:pStyle w:val="TextoNormal"/>
      </w:pPr>
    </w:p>
    <w:p w14:paraId="3294FCEA" w14:textId="77777777" w:rsidR="008D479B" w:rsidRDefault="008D479B" w:rsidP="008D479B">
      <w:pPr>
        <w:pStyle w:val="TextoNormal"/>
      </w:pPr>
      <w:r>
        <w:t>Como he expuesto, la STC 19/2023, a la que se remite la actual, debería haberse limitado a analizar si la opción legislativa por la que se decanta la Ley Orgánica 3/2021 se ajusta a la Constitución al regular en contextos eutanásicos una excepción al deber de protección del derecho a la vida por parte del Estado; comprobando si las garantías que en la norma se contemplan se ajustan a la doctrina del Tribunal Europeo de Derechos Humanos que en la misma se cita, y al canon de proporcionalidad por defecto al que la propia sentencia hace referencia, en vez de construir un pretendido derecho fundamental a la autodeterminación en relación con la propia muerte en contextos eutanásicos, con base en la regulación y la doctrina relativas al consentimiento informado y a la autonomía del paciente, cuya normativa y jurisprudencia se refieren a un contexto claramente diverso, a saber, la necesidad de consentimiento para tratamientos médicos, aunque de los mismos pudiera depender la propia vida, la negativa al mantenimiento del esfuerzo terapéutico o, incluso, la solicitud de sedación paliativa (supuestos distintos de los de acciones directas para poner de inmediato fin a la vida mediante intervención de terceros, en las modalidades contempladas en la Ley de regulación de la eutanasia).</w:t>
      </w:r>
    </w:p>
    <w:p w14:paraId="516E3378" w14:textId="77777777" w:rsidR="008D479B" w:rsidRDefault="008D479B" w:rsidP="008D479B">
      <w:pPr>
        <w:pStyle w:val="TextoNormal"/>
      </w:pPr>
    </w:p>
    <w:p w14:paraId="1E2C6F27" w14:textId="77777777" w:rsidR="008D479B" w:rsidRDefault="008D479B" w:rsidP="008D479B">
      <w:pPr>
        <w:pStyle w:val="TextoNormal"/>
      </w:pPr>
      <w:r>
        <w:t>Por otro lado, como indiqué en aquel voto particular, el art. 10.1 CE contiene criterios de interpretación de las normas constitucionales y legales, y puede erigirse en límite para el legislador, pero no estimo que sea fuente de nuevos derechos fundamentales no contemplados en la Constitución, como es el caso del denominado derecho de autodeterminación de la propia muerte en contextos eutanásicos.</w:t>
      </w:r>
    </w:p>
    <w:p w14:paraId="04AD0B56" w14:textId="77777777" w:rsidR="008D479B" w:rsidRDefault="008D479B" w:rsidP="008D479B">
      <w:pPr>
        <w:pStyle w:val="TextoNormal"/>
      </w:pPr>
    </w:p>
    <w:p w14:paraId="1C677BA1" w14:textId="77777777" w:rsidR="008D479B" w:rsidRDefault="008D479B" w:rsidP="008D479B">
      <w:pPr>
        <w:pStyle w:val="TextoNormal"/>
      </w:pPr>
      <w:r>
        <w:t>4. Respecto de la desestimación de la alegación de insuficiencia del sistema diseñado en la LORE para garantizar el derecho a la vida desde la perspectiva de los deberes positivos del Estado, me remito a lo expuesto en los apartados 4, 5 y 6 del voto particular formulado a la STC 19/2023.</w:t>
      </w:r>
    </w:p>
    <w:p w14:paraId="6AB60413" w14:textId="77777777" w:rsidR="008D479B" w:rsidRDefault="008D479B" w:rsidP="008D479B">
      <w:pPr>
        <w:pStyle w:val="TextoNormal"/>
      </w:pPr>
    </w:p>
    <w:p w14:paraId="51DC257B" w14:textId="77777777" w:rsidR="008D479B" w:rsidRDefault="008D479B" w:rsidP="008D479B">
      <w:pPr>
        <w:pStyle w:val="TextoNormal"/>
      </w:pPr>
      <w:r>
        <w:t>Reitero mi discrepancia de las consideraciones que llevaron a desestimar las alegaciones relativas a inconcreciones e imprecisiones terminológicas en puntos relevantes, que afectan a los deberes de protección de la vida por parte del Estado, e insuficiencia de garantías, las cuales, apunté, deberían haber dado lugar, al menos, a interpretaciones conformes llevadas al fallo o incluso a declarar que la norma no respeta el canon de proporcionalidad por defecto que la propia sentencia contempló, por inexistencia o insuficiente protección del derecho a la vida.</w:t>
      </w:r>
    </w:p>
    <w:p w14:paraId="01CB41B1" w14:textId="77777777" w:rsidR="008D479B" w:rsidRDefault="008D479B" w:rsidP="008D479B">
      <w:pPr>
        <w:pStyle w:val="TextoNormal"/>
      </w:pPr>
    </w:p>
    <w:p w14:paraId="2211D46B" w14:textId="77777777" w:rsidR="008D479B" w:rsidRDefault="008D479B" w:rsidP="008D479B">
      <w:pPr>
        <w:pStyle w:val="TextoNormal"/>
      </w:pPr>
      <w:r>
        <w:t>Al examinar las situaciones que en la norma se contemplan para definir el contexto eutanásico, la sentencia descarta el riesgo de absoluta indeterminación y concluye que las definiciones contenidas en el art. 3 b) LORE son compatibles con la seguridad jurídica, razonando que al legislador “no le es exigible mayor precisión, pues existen instrumentos interpretativos suficientes para evitar la generación de inseguridad jurídica en la aplicación de la norma” y, seguidamente, añade: “teniendo en cuenta que la propia LORE ha previsto que la concurrencia de la situación prevista en su art. 3 b) deba ser constatada, en todo caso, por al menos dos facultativos distintos e independientes entre sí, además de por un órgano administrativo colegiado compuesto por profesionales de la medicina y del Derecho (la comisión de garantía y evaluación), cautelas procedimentales que permiten compensar los márgenes de indefinición que pudiera presentar la norma en su aplicación a supuestos concretos”.</w:t>
      </w:r>
    </w:p>
    <w:p w14:paraId="5169D03C" w14:textId="77777777" w:rsidR="008D479B" w:rsidRDefault="008D479B" w:rsidP="008D479B">
      <w:pPr>
        <w:pStyle w:val="TextoNormal"/>
      </w:pPr>
    </w:p>
    <w:p w14:paraId="50BBF626" w14:textId="77777777" w:rsidR="008D479B" w:rsidRDefault="008D479B" w:rsidP="008D479B">
      <w:pPr>
        <w:pStyle w:val="TextoNormal"/>
      </w:pPr>
      <w:r>
        <w:t>De ello se infiere que la propia sentencia está reconociendo la existencia de “márgenes de indefinición”, los cuales afectan nada menos que a las condiciones esenciales exigidas para solicitar y recibir la ayuda necesaria para morir, y afirma contundentemente que tales márgenes de indefinición pueden ser compensados mediante las cautelas procedimentales a las que alude, que son las contenidas en los arts. 8 y 10 de la Ley.</w:t>
      </w:r>
    </w:p>
    <w:p w14:paraId="65EC7722" w14:textId="77777777" w:rsidR="008D479B" w:rsidRDefault="008D479B" w:rsidP="008D479B">
      <w:pPr>
        <w:pStyle w:val="TextoNormal"/>
      </w:pPr>
    </w:p>
    <w:p w14:paraId="7A26EB54" w14:textId="77777777" w:rsidR="008D479B" w:rsidRDefault="008D479B" w:rsidP="008D479B">
      <w:pPr>
        <w:pStyle w:val="TextoNormal"/>
      </w:pPr>
      <w:r>
        <w:t>El referido argumento, desde mi punto de vista, llevaría a una conclusión distinta de las sostenida en la sentencia dado que, frente a lo argumentado en la misma, el sistema de garantías previsto en los referenciados preceptos contiene indefiniciones y carencias que hacen, al menos, discutible que el mismo sirva para compensar lo que la propia sentencia denomina “márgenes de indefinición que pudiera presentar la norma en su aplicación a supuestos concretos”.</w:t>
      </w:r>
    </w:p>
    <w:p w14:paraId="35557127" w14:textId="77777777" w:rsidR="008D479B" w:rsidRDefault="008D479B" w:rsidP="008D479B">
      <w:pPr>
        <w:pStyle w:val="TextoNormal"/>
      </w:pPr>
    </w:p>
    <w:p w14:paraId="7AB2624D" w14:textId="77777777" w:rsidR="008D479B" w:rsidRDefault="008D479B" w:rsidP="008D479B">
      <w:pPr>
        <w:pStyle w:val="TextoNormal"/>
      </w:pPr>
      <w:r>
        <w:t>La regulación legal contiene múltiples omisiones e imprecisiones.</w:t>
      </w:r>
    </w:p>
    <w:p w14:paraId="3C64555F" w14:textId="77777777" w:rsidR="008D479B" w:rsidRDefault="008D479B" w:rsidP="008D479B">
      <w:pPr>
        <w:pStyle w:val="TextoNormal"/>
      </w:pPr>
    </w:p>
    <w:p w14:paraId="7B3AAED6" w14:textId="77777777" w:rsidR="008D479B" w:rsidRDefault="008D479B" w:rsidP="008D479B">
      <w:pPr>
        <w:pStyle w:val="TextoNormal"/>
      </w:pPr>
      <w:r>
        <w:t>En concreto, sobre el procedimiento de designación del médico responsable y del médico consultor, en relación con el cual solo se exige que no pertenezca al equipo del médico responsable, lo que, a mi juicio, no garantiza suficientemente su independencia e imparcialidad.</w:t>
      </w:r>
    </w:p>
    <w:p w14:paraId="11093BCE" w14:textId="77777777" w:rsidR="008D479B" w:rsidRDefault="008D479B" w:rsidP="008D479B">
      <w:pPr>
        <w:pStyle w:val="TextoNormal"/>
      </w:pPr>
    </w:p>
    <w:p w14:paraId="56A1F395" w14:textId="77777777" w:rsidR="008D479B" w:rsidRDefault="008D479B" w:rsidP="008D479B">
      <w:pPr>
        <w:pStyle w:val="TextoNormal"/>
      </w:pPr>
      <w:r>
        <w:t>No se especifica la cualificación profesional de los facultativos; siendo especialmente significativo que no se contemple la exigencia de un especialista en psiquiatría, máxime cuando en la descripción de los supuestos que permiten el acceso a la prestación se incluyen sufrimientos físicos y psíquicos. Tampoco se prevé la intervención de estos especialistas en supuestos en que el paciente no esté en pleno uso de sus facultades ni pueda prestar su conformidad libre, voluntaria y consciente.</w:t>
      </w:r>
    </w:p>
    <w:p w14:paraId="1227C06A" w14:textId="77777777" w:rsidR="008D479B" w:rsidRDefault="008D479B" w:rsidP="008D479B">
      <w:pPr>
        <w:pStyle w:val="TextoNormal"/>
      </w:pPr>
    </w:p>
    <w:p w14:paraId="69811010" w14:textId="77777777" w:rsidR="008D479B" w:rsidRDefault="008D479B" w:rsidP="008D479B">
      <w:pPr>
        <w:pStyle w:val="TextoNormal"/>
      </w:pPr>
      <w:r>
        <w:t>Igualmente, adolece de imprecisión la regulación de la comisión de garantía y evaluación. No se establece la forma de elección de sus miembros; la proporción entre personal sanitario, en sus dos categorías (médico y de enfermería), y jurídico; la cualificación del personal sanitario y de los juristas; y no se concreta si han de prestar servicio en el sector público, en el privado o en cualquiera de ellos.</w:t>
      </w:r>
    </w:p>
    <w:p w14:paraId="4795ED22" w14:textId="77777777" w:rsidR="008D479B" w:rsidRDefault="008D479B" w:rsidP="008D479B">
      <w:pPr>
        <w:pStyle w:val="TextoNormal"/>
      </w:pPr>
    </w:p>
    <w:p w14:paraId="174E49DA" w14:textId="77777777" w:rsidR="008D479B" w:rsidRDefault="008D479B" w:rsidP="008D479B">
      <w:pPr>
        <w:pStyle w:val="TextoNormal"/>
      </w:pPr>
      <w:r>
        <w:t>La intervención de la comisión de garantía y evaluación, que tiene asignada una función de control, se ve devaluada atendido que la misma, como regla general, no actúa colegiadamente, sino que, en principio, basta con que la verificación la efectúen solo dos de sus miembros, cuyo informe, de ser favorable, “servirá de resolución a los efectos de la realización de la prestación”. Solo si es desfavorable y hay reclamación intervendría la comisión, con un quórum que no se explicita. Ello supone una merma de las garantías inherentes a la colegialidad. Además, de los dos miembros citados, uno ha de ser médico y el otro jurista, lo que significa que, en sus respectivas áreas de conocimiento, realmente solo intervenga como técnico uno de ellos; en esta situación, no se produce contraste de pareceres entre expertos en la misma materia.</w:t>
      </w:r>
    </w:p>
    <w:p w14:paraId="46764935" w14:textId="77777777" w:rsidR="008D479B" w:rsidRDefault="008D479B" w:rsidP="008D479B">
      <w:pPr>
        <w:pStyle w:val="TextoNormal"/>
      </w:pPr>
    </w:p>
    <w:p w14:paraId="25C9774A" w14:textId="77777777" w:rsidR="008D479B" w:rsidRDefault="008D479B" w:rsidP="008D479B">
      <w:pPr>
        <w:pStyle w:val="TextoNormal"/>
      </w:pPr>
      <w:r>
        <w:t>De otro lado, la entrevista de los miembros de la comisión con el paciente se contempla exclusivamente como facultativa.</w:t>
      </w:r>
    </w:p>
    <w:p w14:paraId="2E2010F0" w14:textId="77777777" w:rsidR="008D479B" w:rsidRDefault="008D479B" w:rsidP="008D479B">
      <w:pPr>
        <w:pStyle w:val="TextoNormal"/>
      </w:pPr>
    </w:p>
    <w:p w14:paraId="53A1EEAA" w14:textId="77777777" w:rsidR="008D479B" w:rsidRDefault="008D479B" w:rsidP="008D479B">
      <w:pPr>
        <w:pStyle w:val="TextoNormal"/>
      </w:pPr>
      <w:r>
        <w:t>Finalmente, la norma omite la regulación de diversas actuaciones, remitiéndose a los criterios que se fijen en los protocolos correspondientes. Ello ocurre incluso respecto de la realización de la prestación de ayuda para morir, en relación con la cual solo se establece que deberá hacerse con el máximo cuidado y profesionalidad por parte de los profesionales sanitarios, con aplicación de los protocolos correspondientes, que contendrán, además, criterios en cuanto a la forma y tiempo de realización de la prestación.</w:t>
      </w:r>
    </w:p>
    <w:p w14:paraId="73F644D3" w14:textId="77777777" w:rsidR="008D479B" w:rsidRDefault="008D479B" w:rsidP="008D479B">
      <w:pPr>
        <w:pStyle w:val="TextoNormal"/>
      </w:pPr>
    </w:p>
    <w:p w14:paraId="31BCD4DD" w14:textId="77777777" w:rsidR="008D479B" w:rsidRDefault="008D479B" w:rsidP="008D479B">
      <w:pPr>
        <w:pStyle w:val="TextoNormal"/>
      </w:pPr>
      <w:r>
        <w:t>La importancia de la materia exigía una mayor precisión.</w:t>
      </w:r>
    </w:p>
    <w:p w14:paraId="6B7B75E9" w14:textId="77777777" w:rsidR="008D479B" w:rsidRDefault="008D479B" w:rsidP="008D479B">
      <w:pPr>
        <w:pStyle w:val="TextoNormal"/>
      </w:pPr>
    </w:p>
    <w:p w14:paraId="446EC698" w14:textId="77777777" w:rsidR="008D479B" w:rsidRDefault="008D479B" w:rsidP="008D479B">
      <w:pPr>
        <w:pStyle w:val="TextoNormal"/>
      </w:pPr>
      <w:r>
        <w:t>Los márgenes de inconcreción que la propia STC 19/2023 reconoció, unidos a las deficiencias de las garantías expuestas, a mi juicio, van más allá de un mero problema de corrección técnica de la norma, ajeno al enjuiciamiento del Tribunal, y se sitúan en los aspectos mencionados en una insuficiencia de garantías que afecta al juicio de proporcionalidad.</w:t>
      </w:r>
    </w:p>
    <w:p w14:paraId="7EC5FBD7" w14:textId="77777777" w:rsidR="008D479B" w:rsidRDefault="008D479B" w:rsidP="008D479B">
      <w:pPr>
        <w:pStyle w:val="TextoNormal"/>
      </w:pPr>
    </w:p>
    <w:p w14:paraId="7AA18ACC" w14:textId="77777777" w:rsidR="008D479B" w:rsidRDefault="008D479B" w:rsidP="008D479B">
      <w:pPr>
        <w:pStyle w:val="TextoNormal"/>
      </w:pPr>
      <w:r>
        <w:t>5. Discrepo igualmente de las consideraciones sobre las cuales se rechaza la vulneración del deber de protección de la vida atendido el insuficiente estándar de cuidados paliativos, por remisión al fundamento jurídico 6 D) c) (iii) de la STC 19/2023, en los términos en que expuse en el apartado 5 del voto particular a la mencionada sentencia, en el que señalé que no cabe ignorar que, al menos en muchos casos, el paciente en situación de padecimiento extremo únicamente aspira a superar el trance en que se encuentra y a no sentir que es una carga insoportable para los demás y para él mismo y que, en el supuesto de que existiera la posibilidad real de librarse del sufrimiento por otros medios, desaparecería la muerte como única opción, lo que excluiría el principio de necesidad en el juicio de proporcionalidad.</w:t>
      </w:r>
    </w:p>
    <w:p w14:paraId="6FD51AE6" w14:textId="77777777" w:rsidR="008D479B" w:rsidRDefault="008D479B" w:rsidP="008D479B">
      <w:pPr>
        <w:pStyle w:val="TextoNormal"/>
      </w:pPr>
    </w:p>
    <w:p w14:paraId="0D377571" w14:textId="77777777" w:rsidR="008D479B" w:rsidRDefault="008D479B" w:rsidP="008D479B">
      <w:pPr>
        <w:pStyle w:val="TextoNormal"/>
      </w:pPr>
      <w:r>
        <w:t>Si no se asegura al enfermo una asistencia socio-sanitaria integral efectiva, con unos cuidados que le permitan seguir viviendo sin dolor y, por el contrario, se ofrece la eutanasia como una opción que puede ser percibida como más eficaz o incluso única salida a la situación en que se encuentra el paciente, la sensación de inutilidad, de ser una carga familiar y social, en definitiva, de carecer de “valor vital”, puede determinar que se opte sin genuina libertad por la eutanasia.</w:t>
      </w:r>
    </w:p>
    <w:p w14:paraId="7ACB01F5" w14:textId="77777777" w:rsidR="008D479B" w:rsidRDefault="008D479B" w:rsidP="008D479B">
      <w:pPr>
        <w:pStyle w:val="TextoNormal"/>
      </w:pPr>
    </w:p>
    <w:p w14:paraId="2A8EF3F7" w14:textId="77777777" w:rsidR="008D479B" w:rsidRDefault="008D479B" w:rsidP="008D479B">
      <w:pPr>
        <w:pStyle w:val="TextoNormal"/>
      </w:pPr>
      <w:r>
        <w:t>Como se ha afirmado respecto a otros derechos fundamentales, la presión sobre el paciente terminal puede producir un “efecto desaliento” en el ejercicio de su derecho a la vida.</w:t>
      </w:r>
    </w:p>
    <w:p w14:paraId="1F50B926" w14:textId="77777777" w:rsidR="008D479B" w:rsidRDefault="008D479B" w:rsidP="008D479B">
      <w:pPr>
        <w:pStyle w:val="TextoNormal"/>
      </w:pPr>
    </w:p>
    <w:p w14:paraId="151ADA67" w14:textId="77777777" w:rsidR="008D479B" w:rsidRDefault="008D479B" w:rsidP="008D479B">
      <w:pPr>
        <w:pStyle w:val="TextoNormal"/>
      </w:pPr>
      <w:r>
        <w:t>Llama la atención que la norma, que se limita a declarar la disponibilidad de cuidados paliativos integrales, en su disposición adicional séptima, bajo la rúbrica “Formación”, tras señalar que “[l]as administraciones sanitarias competentes habilitarán los mecanismos oportunos para dar la máxima difusión a la presente ley entre los profesionales sanitarios y la ciudadanía en general”, añada: “así como para promover entre la misma la realización del documento de instrucciones previas”.</w:t>
      </w:r>
    </w:p>
    <w:p w14:paraId="2C0D7748" w14:textId="77777777" w:rsidR="008D479B" w:rsidRDefault="008D479B" w:rsidP="008D479B">
      <w:pPr>
        <w:pStyle w:val="TextoNormal"/>
      </w:pPr>
    </w:p>
    <w:p w14:paraId="704B8F31" w14:textId="77777777" w:rsidR="008D479B" w:rsidRDefault="008D479B" w:rsidP="008D479B">
      <w:pPr>
        <w:pStyle w:val="TextoNormal"/>
      </w:pPr>
      <w:r>
        <w:t>No cabe olvidar que, ante la limitación de recursos públicos, acudir a la eutanasia en vez de a tratamientos paliativos, más costosos, puede erigirse con el tiempo en factor de presión a favor de la primera, tanto por la falta de recursos para sufragar tratamientos a enfermos terminales, como por la influencia que ese sobrecoste pueda tener sobre la decisión del paciente a la hora de decidir en condiciones extremadamente duras sobre uno u otro tratamiento. Como efecto reflejo de la escasez de recursos públicos, se añade un elemento más de discriminación en perjuicio de aquellos que no dispongan de recursos propios, materiales y personales, para transitar en mejores condiciones en esa fase terminal de la vida.</w:t>
      </w:r>
    </w:p>
    <w:p w14:paraId="18E913D3" w14:textId="77777777" w:rsidR="008D479B" w:rsidRDefault="008D479B" w:rsidP="008D479B">
      <w:pPr>
        <w:pStyle w:val="TextoNormal"/>
      </w:pPr>
    </w:p>
    <w:p w14:paraId="5D78577F" w14:textId="77777777" w:rsidR="008D479B" w:rsidRDefault="008D479B" w:rsidP="008D479B">
      <w:pPr>
        <w:pStyle w:val="TextoNormal"/>
      </w:pPr>
      <w:r>
        <w:t>Por ello, reitero, no se dio en la STC 19/2023 ni en la actual sentencia la relevancia necesaria a la falta de garantía de la efectiva disponibilidad de cuidados paliativos integrales.</w:t>
      </w:r>
    </w:p>
    <w:p w14:paraId="5603F312" w14:textId="77777777" w:rsidR="008D479B" w:rsidRDefault="008D479B" w:rsidP="008D479B">
      <w:pPr>
        <w:pStyle w:val="TextoNormal"/>
      </w:pPr>
    </w:p>
    <w:p w14:paraId="2FE170B3" w14:textId="77777777" w:rsidR="008D479B" w:rsidRDefault="008D479B" w:rsidP="008D479B">
      <w:pPr>
        <w:pStyle w:val="TextoNormal"/>
      </w:pPr>
      <w:r>
        <w:t>Ambas sentencias consideran como derecho fundamental lo que se denomina “derecho de autodeterminación en relación con la propia muerte en contextos eutanásicos”, pero no contemplan al mismo nivel de derecho fundamental a los cuidados paliativos directamente conectado al derecho a la vida, ni exigen una garantía suficiente de la efectiva disponibilidad de los mismos.</w:t>
      </w:r>
    </w:p>
    <w:p w14:paraId="72B9AEDD" w14:textId="77777777" w:rsidR="008D479B" w:rsidRDefault="008D479B" w:rsidP="008D479B">
      <w:pPr>
        <w:pStyle w:val="TextoNormal"/>
      </w:pPr>
    </w:p>
    <w:p w14:paraId="0A5220EA" w14:textId="77777777" w:rsidR="008D479B" w:rsidRDefault="008D479B" w:rsidP="008D479B">
      <w:pPr>
        <w:pStyle w:val="TextoNormal"/>
      </w:pPr>
      <w:r>
        <w:t>Se reconoce en la propia STC 19/2023 que “[c]uidados paliativos integrales y eutanasia activa directa son, en definitiva, mecanismos que desde una perspectiva constitucional y en contextos eutanásicos presentan entre sí una relación no de subsidiariedad, sino de complementariedad o alternatividad”.</w:t>
      </w:r>
    </w:p>
    <w:p w14:paraId="2C9BD284" w14:textId="77777777" w:rsidR="008D479B" w:rsidRDefault="008D479B" w:rsidP="008D479B">
      <w:pPr>
        <w:pStyle w:val="TextoNormal"/>
      </w:pPr>
    </w:p>
    <w:p w14:paraId="51CE7009" w14:textId="77777777" w:rsidR="008D479B" w:rsidRDefault="008D479B" w:rsidP="008D479B">
      <w:pPr>
        <w:pStyle w:val="TextoNormal"/>
      </w:pPr>
      <w:r>
        <w:t>Se admite, de otro lado, que “la libre decisión del paciente pudiera cuestionarse si la persona afectada no contase con la opción, real y efectiva, de acceder a cuidados paliativos, pues ello podría afectar a la formación de su voluntad”.</w:t>
      </w:r>
    </w:p>
    <w:p w14:paraId="41407BEF" w14:textId="77777777" w:rsidR="008D479B" w:rsidRDefault="008D479B" w:rsidP="008D479B">
      <w:pPr>
        <w:pStyle w:val="TextoNormal"/>
      </w:pPr>
    </w:p>
    <w:p w14:paraId="32FF8CC5" w14:textId="77777777" w:rsidR="008D479B" w:rsidRDefault="008D479B" w:rsidP="008D479B">
      <w:pPr>
        <w:pStyle w:val="TextoNormal"/>
      </w:pPr>
      <w:r>
        <w:t>Incluso se reconoció en la sentencia a la que nos remitimos que cabe “la eventualidad de que el sujeto pueda verse incentivado a solicitar una ayuda para morir que acaso no habría recabado si su sufrimiento hubiese sido mitigado mediante la ayuda paliativa”; afirmando incluso que, para verificar el carácter libre de la decisión del paciente, los aplicadores de la norma deban tener en cuenta, entre otros elementos, la efectiva puesta a disposición de los cuidados paliativos que fueran precisos en el caso concreto de acuerdo con el estado de conocimiento de la medicina.</w:t>
      </w:r>
    </w:p>
    <w:p w14:paraId="6B3D263B" w14:textId="77777777" w:rsidR="008D479B" w:rsidRDefault="008D479B" w:rsidP="008D479B">
      <w:pPr>
        <w:pStyle w:val="TextoNormal"/>
      </w:pPr>
    </w:p>
    <w:p w14:paraId="2895DB98" w14:textId="77777777" w:rsidR="008D479B" w:rsidRDefault="008D479B" w:rsidP="008D479B">
      <w:pPr>
        <w:pStyle w:val="TextoNormal"/>
      </w:pPr>
      <w:r>
        <w:t>Sin embargo, la sentencia desestimó la queja, limitándose a declarar que la ley prevé la disponibilidad de cuidados paliativos “integrales” [arts. 5.1 b) y 8.1] y una prestación de necesaria disponibilidad en este contexto (art. 43.2 CE) y razona después que la ordenación concreta de la materia no es objeto de la Ley y que se contempla en la normativa del Sistema Nacional de Salud a la que el art. 5.1 b) LORE se remite, además de en la legislación complementaria de varias comunidades autónomas.</w:t>
      </w:r>
    </w:p>
    <w:p w14:paraId="21DA93B1" w14:textId="77777777" w:rsidR="008D479B" w:rsidRDefault="008D479B" w:rsidP="008D479B">
      <w:pPr>
        <w:pStyle w:val="TextoNormal"/>
      </w:pPr>
    </w:p>
    <w:p w14:paraId="5A334679" w14:textId="77777777" w:rsidR="008D479B" w:rsidRDefault="008D479B" w:rsidP="008D479B">
      <w:pPr>
        <w:pStyle w:val="TextoNormal"/>
      </w:pPr>
      <w:r>
        <w:t>Es de destacar que la información sobre los cuidados paliativos integrales y sobre las prestaciones a las que el paciente pueda tener derecho es una de las garantías que la propia Ley contempla, al igual que la formulación de dos solicitudes de manera voluntaria y que las mismas no sean resultado de presiones externas.</w:t>
      </w:r>
    </w:p>
    <w:p w14:paraId="7625A2B3" w14:textId="77777777" w:rsidR="008D479B" w:rsidRDefault="008D479B" w:rsidP="008D479B">
      <w:pPr>
        <w:pStyle w:val="TextoNormal"/>
      </w:pPr>
    </w:p>
    <w:p w14:paraId="3CD7B990" w14:textId="77777777" w:rsidR="008D479B" w:rsidRDefault="008D479B" w:rsidP="008D479B">
      <w:pPr>
        <w:pStyle w:val="TextoNormal"/>
      </w:pPr>
      <w:r>
        <w:t>Como apunté en el voto particular anterior, si se declara que los cuidados paliativos integrales y la eutanasia activa directa son mecanismos que, desde una perspectiva constitucional y en contextos eutanásicos, presentan entre sí una relación no de subsidiariedad, sino de complementariedad o alternatividad, y se reconoce que el consentimiento se puede ver mediatizado si no existe la opción real y efectiva de contar con cuidados paliativos, no basta afirmar que la Ley declara la disponibilidad de tales cuidados paliativos integrales y cerrar el razonamiento con la mención de que su regulación no es objeto de la norma que nos ocupa.</w:t>
      </w:r>
    </w:p>
    <w:p w14:paraId="1F65A8CE" w14:textId="77777777" w:rsidR="008D479B" w:rsidRDefault="008D479B" w:rsidP="008D479B">
      <w:pPr>
        <w:pStyle w:val="TextoNormal"/>
      </w:pPr>
    </w:p>
    <w:p w14:paraId="1F903D85" w14:textId="77777777" w:rsidR="008D479B" w:rsidRDefault="008D479B" w:rsidP="008D479B">
      <w:pPr>
        <w:pStyle w:val="TextoNormal"/>
      </w:pPr>
      <w:r>
        <w:t>En dicha situación, no puedo compartir la conclusión de que la Ley garantiza suficientemente la protección del derecho a la vida.</w:t>
      </w:r>
    </w:p>
    <w:p w14:paraId="19B57712" w14:textId="77777777" w:rsidR="008D479B" w:rsidRDefault="008D479B" w:rsidP="008D479B">
      <w:pPr>
        <w:pStyle w:val="TextoNormal"/>
      </w:pPr>
    </w:p>
    <w:p w14:paraId="2CDC4892" w14:textId="77777777" w:rsidR="008D479B" w:rsidRDefault="008D479B" w:rsidP="008D479B">
      <w:pPr>
        <w:pStyle w:val="TextoNormal"/>
      </w:pPr>
      <w:r>
        <w:t>6. Respecto de la impugnación del régimen previsto para personas en situación de incapacidad, seguiré el orden establecido en el fundamento jurídico 3 C) b) de la sentencia dictada en el recurso de inconstitucionalidad 4313-2021.</w:t>
      </w:r>
    </w:p>
    <w:p w14:paraId="2F3CF228" w14:textId="77777777" w:rsidR="008D479B" w:rsidRDefault="008D479B" w:rsidP="008D479B">
      <w:pPr>
        <w:pStyle w:val="TextoNormal"/>
      </w:pPr>
    </w:p>
    <w:p w14:paraId="45FF6E9C" w14:textId="77777777" w:rsidR="008D479B" w:rsidRDefault="008D479B" w:rsidP="008D479B">
      <w:pPr>
        <w:pStyle w:val="TextoNormal"/>
      </w:pPr>
      <w:r>
        <w:t>(i) En relación con las impugnaciones relativas al documento de instrucciones previas, testamento vital, voluntades anticipadas o documentos equivalentes legalmente reconocidos, que se desestiman por remisión al fundamento jurídico 8 C) c) de la STC 19/2023, reitero lo expuesto en el apartado 6 del voto particular a dicha sentencia, en el que discrepé de las consideraciones expuestas en dicho fundamento jurídico poniendo de relieve que la Ley únicamente establece como requisito que el paciente “haya suscrito con anterioridad un documento de instrucciones previas, testamento vital, voluntades anticipadas o documentos equivalentes legalmente reconocidos”.</w:t>
      </w:r>
    </w:p>
    <w:p w14:paraId="74B9F6F9" w14:textId="77777777" w:rsidR="008D479B" w:rsidRDefault="008D479B" w:rsidP="008D479B">
      <w:pPr>
        <w:pStyle w:val="TextoNormal"/>
      </w:pPr>
    </w:p>
    <w:p w14:paraId="537CAB48" w14:textId="77777777" w:rsidR="008D479B" w:rsidRDefault="008D479B" w:rsidP="008D479B">
      <w:pPr>
        <w:pStyle w:val="TextoNormal"/>
      </w:pPr>
      <w:r>
        <w:t>Señalé que, al margen de que los documentos que se enumeran tenían un contenido y finalidad distintos de la solicitud de una prestación de eutanasia, ya que se limitaban a la opción entre diversos tratamientos médicos o rechazo de los mismos, donación de órganos o destino del cadáver después del fallecimiento, en la LORE se contempla un catálogo de documentos dispares susceptibles de producir el mismo efecto, denominados en las diversas regulaciones autonómicas de modo distinto, siendo también diversas las posibles formas de otorgamiento, las cuales no ofrecen las mismas garantías de autenticidad, ni sirven del mismo modo para acreditar la capacidad del otorgante en el momento de la suscripción y, menos aún, la información previa necesaria ni la libertad de la prestación del consentimiento.</w:t>
      </w:r>
    </w:p>
    <w:p w14:paraId="24BFD869" w14:textId="77777777" w:rsidR="008D479B" w:rsidRDefault="008D479B" w:rsidP="008D479B">
      <w:pPr>
        <w:pStyle w:val="TextoNormal"/>
      </w:pPr>
    </w:p>
    <w:p w14:paraId="6FECF7DC" w14:textId="77777777" w:rsidR="008D479B" w:rsidRDefault="008D479B" w:rsidP="008D479B">
      <w:pPr>
        <w:pStyle w:val="TextoNormal"/>
      </w:pPr>
      <w:r>
        <w:t>(ii) En relación con la censura de inconstitucionalidad del régimen aplicable a las personas con incapacidad de hecho, me remito también a lo expuesto en el apartado 6 del voto particular, en el que discrepé de la desestimación de la impugnación de los preceptos atinentes al régimen aplicable a las personas con “incapacidad de hecho” efectuada en el fundamento jurídico 8 de la STC 19/2023, específicamente en lo que se refiere al art. 9 LORE, precepto que establece el procedimiento a seguir cuando se aprecie que existe una situación de incapacidad de hecho, señalando que en los casos previstos en el artículo 5.2 el médico responsable está obligado a aplicar lo previsto en las instrucciones previas o documento equivalente.</w:t>
      </w:r>
    </w:p>
    <w:p w14:paraId="66E44810" w14:textId="77777777" w:rsidR="008D479B" w:rsidRDefault="008D479B" w:rsidP="008D479B">
      <w:pPr>
        <w:pStyle w:val="TextoNormal"/>
      </w:pPr>
    </w:p>
    <w:p w14:paraId="359FF413" w14:textId="77777777" w:rsidR="008D479B" w:rsidRDefault="008D479B" w:rsidP="008D479B">
      <w:pPr>
        <w:pStyle w:val="TextoNormal"/>
      </w:pPr>
      <w:r>
        <w:t>Reitero que en este supuesto se excluyen todas las garantías en las que, con carácter general, se basó la STC 19/2023, a las que se remite la actual para concluir que existe una suficiente protección del derecho a la vida.</w:t>
      </w:r>
    </w:p>
    <w:p w14:paraId="00DB7605" w14:textId="77777777" w:rsidR="008D479B" w:rsidRDefault="008D479B" w:rsidP="008D479B">
      <w:pPr>
        <w:pStyle w:val="TextoNormal"/>
      </w:pPr>
    </w:p>
    <w:p w14:paraId="595DF66C" w14:textId="77777777" w:rsidR="008D479B" w:rsidRDefault="008D479B" w:rsidP="008D479B">
      <w:pPr>
        <w:pStyle w:val="TextoNormal"/>
      </w:pPr>
      <w:r>
        <w:t>En el caso de la incapacidad de hecho se contempla que el médico ha de atender a lo dispuesto en el documento en el que se recoge el testamento vital.</w:t>
      </w:r>
    </w:p>
    <w:p w14:paraId="57FFADF1" w14:textId="77777777" w:rsidR="008D479B" w:rsidRDefault="008D479B" w:rsidP="008D479B">
      <w:pPr>
        <w:pStyle w:val="TextoNormal"/>
      </w:pPr>
    </w:p>
    <w:p w14:paraId="31C492F0" w14:textId="77777777" w:rsidR="008D479B" w:rsidRDefault="008D479B" w:rsidP="008D479B">
      <w:pPr>
        <w:pStyle w:val="TextoNormal"/>
      </w:pPr>
      <w:r>
        <w:t>Ni siquiera se efectuó en la sentencia una interpretación conforme de dicho precepto que expresamente determinara que el régimen de las personas en situación de incapacidad es el de la Ley y no el de las instrucciones previas.</w:t>
      </w:r>
    </w:p>
    <w:p w14:paraId="576FC113" w14:textId="77777777" w:rsidR="008D479B" w:rsidRDefault="008D479B" w:rsidP="008D479B">
      <w:pPr>
        <w:pStyle w:val="TextoNormal"/>
      </w:pPr>
    </w:p>
    <w:p w14:paraId="0BEA9586" w14:textId="77777777" w:rsidR="008D479B" w:rsidRDefault="008D479B" w:rsidP="008D479B">
      <w:pPr>
        <w:pStyle w:val="TextoNormal"/>
      </w:pPr>
      <w:r>
        <w:t>Como expuse en dicho apartado, existen reiteradas afirmaciones en la propia STC 19/2023 que deberían haber llevado a la declaración de inconstitucionalidad de la regulación de esta modalidad de eutanasia.</w:t>
      </w:r>
    </w:p>
    <w:p w14:paraId="0B0667C2" w14:textId="77777777" w:rsidR="008D479B" w:rsidRDefault="008D479B" w:rsidP="008D479B">
      <w:pPr>
        <w:pStyle w:val="TextoNormal"/>
      </w:pPr>
    </w:p>
    <w:p w14:paraId="6502E5B0" w14:textId="77777777" w:rsidR="008D479B" w:rsidRDefault="008D479B" w:rsidP="008D479B">
      <w:pPr>
        <w:pStyle w:val="TextoNormal"/>
      </w:pPr>
      <w:r>
        <w:t xml:space="preserve">Así, al final del fundamento jurídico 4 b), la mencionada sentencia señaló lo que consideró los cuatro ejes de la doctrina del Tribunal Europeo de Derechos Humanos en esta materia y, tras reconocer, en el inciso (i), que la doctrina europea señala que el derecho a la vida no incluye el derecho a morir, en el inciso (ii), en relación con la afirmación de que el derecho al respeto de la vida privada comprende el derecho a decidir cómo y cuándo poner fin a la propia vida, puntualiza, como no podría ser de otro modo, “siempre que la persona sea capaz de decidir libremente sobre esta cuestión y actuar en consecuencia”. Efectivamente, en el caso </w:t>
      </w:r>
      <w:r w:rsidRPr="008D479B">
        <w:rPr>
          <w:i/>
        </w:rPr>
        <w:t>Hass c. Suiza</w:t>
      </w:r>
      <w:r>
        <w:t>, el Tribunal Europeo de Derechos Humanos hizo especial hincapié en que el individuo esté en condiciones de pronunciarse libremente sobre el final de su vida y de actuar en consecuencia.</w:t>
      </w:r>
    </w:p>
    <w:p w14:paraId="1BA0FEA7" w14:textId="77777777" w:rsidR="008D479B" w:rsidRDefault="008D479B" w:rsidP="008D479B">
      <w:pPr>
        <w:pStyle w:val="TextoNormal"/>
      </w:pPr>
    </w:p>
    <w:p w14:paraId="00D34C57" w14:textId="77777777" w:rsidR="008D479B" w:rsidRDefault="008D479B" w:rsidP="008D479B">
      <w:pPr>
        <w:pStyle w:val="TextoNormal"/>
      </w:pPr>
      <w:r>
        <w:t>Seguidamente, la sentencia reconoció, en el inciso (iii), que el derecho al que se refiere en el precedente inciso (ii) “no es absoluto y debe sopesarse con los intereses concurrentes, en especial con las obligaciones positivas de protección del Estado derivadas del derecho a la vida, que exigen la tutela de las personas vulnerables frente a acciones que puedan poner en peligro su vida”.</w:t>
      </w:r>
    </w:p>
    <w:p w14:paraId="208854A3" w14:textId="77777777" w:rsidR="008D479B" w:rsidRDefault="008D479B" w:rsidP="008D479B">
      <w:pPr>
        <w:pStyle w:val="TextoNormal"/>
      </w:pPr>
    </w:p>
    <w:p w14:paraId="7D07B9A3" w14:textId="77777777" w:rsidR="008D479B" w:rsidRDefault="008D479B" w:rsidP="008D479B">
      <w:pPr>
        <w:pStyle w:val="TextoNormal"/>
      </w:pPr>
      <w:r>
        <w:t>Toda la argumentación de la resolución tendente a justificar el denominado derecho de autodeterminación de la propia muerte partió en la sentencia, a la que se remite la actual, del presupuesto inexcusable de que tal decisión se adopte de manera libre y consciente por un ser humano capaz.</w:t>
      </w:r>
    </w:p>
    <w:p w14:paraId="6A9FDF2A" w14:textId="77777777" w:rsidR="008D479B" w:rsidRDefault="008D479B" w:rsidP="008D479B">
      <w:pPr>
        <w:pStyle w:val="TextoNormal"/>
      </w:pPr>
    </w:p>
    <w:p w14:paraId="5B7F7092" w14:textId="77777777" w:rsidR="008D479B" w:rsidRDefault="008D479B" w:rsidP="008D479B">
      <w:pPr>
        <w:pStyle w:val="TextoNormal"/>
      </w:pPr>
      <w:r>
        <w:t>También, al hablar del correlativo deber de los poderes públicos de permitir la ayuda por parte de terceros a la muerte y de habilitar las vías necesarias para ello, se reiteró la exigencia de que la persona capaz así lo decida, libre y conscientemente.</w:t>
      </w:r>
    </w:p>
    <w:p w14:paraId="1AED8E00" w14:textId="77777777" w:rsidR="008D479B" w:rsidRDefault="008D479B" w:rsidP="008D479B">
      <w:pPr>
        <w:pStyle w:val="TextoNormal"/>
      </w:pPr>
    </w:p>
    <w:p w14:paraId="4440DFF9" w14:textId="77777777" w:rsidR="008D479B" w:rsidRDefault="008D479B" w:rsidP="008D479B">
      <w:pPr>
        <w:pStyle w:val="TextoNormal"/>
      </w:pPr>
      <w:r>
        <w:t>En la doctrina relativa al derecho a la autonomía del paciente citada en la propia sentencia, se partió de la exigencia de que la decisión de someterse a unos u otros tratamientos médicos o sanitarios ha de ser tomada de manera libre, informada y responsable [SSTC 120/1990, FJ 8; 137/1990, FJ 6; 154/2002, FJ 9 b), y 37/2011, FFJJ 3 a 7] y a que “para que esa facultad de consentir, de decidir sobre los actos médicos que afectan al sujeto pueda ejercerse con plena libertad, es imprescindible que el paciente cuente con la información médica adecuada sobre las medidas terapéuticas, pues solo si dispone de dicha información podrá prestar libremente su consentimiento, eligiendo entre las opciones que se le presenten, o decidir, también con plena libertad, no autorizar los tratamientos o las intervenciones que se le propongan por los facultativos. De esta manera, el consentimiento y la información se manifiestan como dos derechos tan estrechamente imbricados que el ejercicio de uno depende de la previa correcta atención del otro […]. La información previa, que ha dado lugar a lo que se ha venido en llamar consentimiento informado, puede ser considerada, pues, como un procedimiento o mecanismo de garantía para la efectividad del principio de autonomía de la voluntad del paciente”.</w:t>
      </w:r>
    </w:p>
    <w:p w14:paraId="4995C000" w14:textId="77777777" w:rsidR="008D479B" w:rsidRDefault="008D479B" w:rsidP="008D479B">
      <w:pPr>
        <w:pStyle w:val="TextoNormal"/>
      </w:pPr>
    </w:p>
    <w:p w14:paraId="5F9B5F95" w14:textId="77777777" w:rsidR="008D479B" w:rsidRDefault="008D479B" w:rsidP="008D479B">
      <w:pPr>
        <w:pStyle w:val="TextoNormal"/>
      </w:pPr>
      <w:r>
        <w:t>Asimismo, en el apartado relativo a los deberes de protección del Estado en este contexto, señaló la sentencia que “[e]l deber constitucional de protección del derecho fundamental a la vida frente a agresiones de terceros se concreta en la obligación del Estado de garantizar que la decisión de poner fin a la propia vida en contextos de sufrimiento extremo se adopta y se lleva a término de conformidad con la voluntad libre y consciente de una persona capaz, lo que exige la articulación de mecanismos suficientes para garantizar el carácter informado, reflexivo, estable y ajeno a coacciones de una decisión tan trascendental”.</w:t>
      </w:r>
    </w:p>
    <w:p w14:paraId="5657D0CF" w14:textId="77777777" w:rsidR="008D479B" w:rsidRDefault="008D479B" w:rsidP="008D479B">
      <w:pPr>
        <w:pStyle w:val="TextoNormal"/>
      </w:pPr>
    </w:p>
    <w:p w14:paraId="16A5C1C8" w14:textId="77777777" w:rsidR="008D479B" w:rsidRDefault="008D479B" w:rsidP="008D479B">
      <w:pPr>
        <w:pStyle w:val="TextoNormal"/>
      </w:pPr>
      <w:r>
        <w:t>Seguidamente se afirmó que “[i]gualmente, conviene destacar que la existencia de una voluntad auténticamente propia, libre y consciente de una persona capaz es el elemento que marca la frontera entre el ámbito de protección del derecho fundamental a la vida y el derecho fundamental a la autodeterminación respecto de la propia muerte en situaciones eutanásicas”.</w:t>
      </w:r>
    </w:p>
    <w:p w14:paraId="76CD02BC" w14:textId="77777777" w:rsidR="008D479B" w:rsidRDefault="008D479B" w:rsidP="008D479B">
      <w:pPr>
        <w:pStyle w:val="TextoNormal"/>
      </w:pPr>
    </w:p>
    <w:p w14:paraId="1E7D883F" w14:textId="77777777" w:rsidR="008D479B" w:rsidRDefault="008D479B" w:rsidP="008D479B">
      <w:pPr>
        <w:pStyle w:val="TextoNormal"/>
      </w:pPr>
      <w:r>
        <w:t>También se reconoció que “encontrándonos ante una regulación relativa a contextos eutanásicos, tal derecho corresponde a personas en una especial posición de vulnerabilidad debido a la situación de sufrimiento extremo en la que se hallan, lo que puede hacer que encuentren especiales dificultades para protegerse a sí mismas” y que “[e]stas circunstancias determinan la exigibilidad constitucional de un alto nivel de protección de la vida. Al legislador le es exigible, para prevenir daños de otro modo irreversibles, un estricto rigor tanto en la determinación de los supuestos fácticos y los procedimientos para instar la ayuda para morir como en el aseguramiento de las correspondientes y obligadas garantías y controles, de modo que se proteja suficientemente al individuo del riesgo de influencias indebidas, manipulaciones y abusos por parte de terceros”.</w:t>
      </w:r>
    </w:p>
    <w:p w14:paraId="52BA6ED8" w14:textId="77777777" w:rsidR="008D479B" w:rsidRDefault="008D479B" w:rsidP="008D479B">
      <w:pPr>
        <w:pStyle w:val="TextoNormal"/>
      </w:pPr>
    </w:p>
    <w:p w14:paraId="60461EC8" w14:textId="77777777" w:rsidR="008D479B" w:rsidRDefault="008D479B" w:rsidP="008D479B">
      <w:pPr>
        <w:pStyle w:val="TextoNormal"/>
      </w:pPr>
      <w:r>
        <w:t>Por otro lado, la propia Ley, al regular el procedimiento general para el acceso a la prestación, exige que el solicitante disponga por escrito de la información que exista sobre su proceso médico, las diferentes alternativas y posibilidades de actuación, incluida la de acceder a cuidados paliativos integrales comprendidos en la cartera común de servicios y a las prestaciones que tuviera derecho de conformidad con la normativa de atención a la dependencia. Exige también la reiteración de las solicitudes, con un lapso temporal de al menos quince días naturales entre ellas y que estas se formulen de manera voluntaria sin ninguna presión externa y que, después de darse cumplimiento a dichos requisitos, se preste consentimiento informado previamente a recibir la prestación.</w:t>
      </w:r>
    </w:p>
    <w:p w14:paraId="1207F212" w14:textId="77777777" w:rsidR="008D479B" w:rsidRDefault="008D479B" w:rsidP="008D479B">
      <w:pPr>
        <w:pStyle w:val="TextoNormal"/>
      </w:pPr>
    </w:p>
    <w:p w14:paraId="4DDB6DAD" w14:textId="77777777" w:rsidR="008D479B" w:rsidRDefault="008D479B" w:rsidP="008D479B">
      <w:pPr>
        <w:pStyle w:val="TextoNormal"/>
      </w:pPr>
      <w:r>
        <w:t>La sentencia examinó dichas exigencias y concluye que las garantías procedimentales son suficientes para descartar la vulneración del canon de proporcionalidad por defecto que considera aplicable.</w:t>
      </w:r>
    </w:p>
    <w:p w14:paraId="2C5480C4" w14:textId="77777777" w:rsidR="008D479B" w:rsidRDefault="008D479B" w:rsidP="008D479B">
      <w:pPr>
        <w:pStyle w:val="TextoNormal"/>
      </w:pPr>
    </w:p>
    <w:p w14:paraId="71EE21D5" w14:textId="77777777" w:rsidR="008D479B" w:rsidRDefault="008D479B" w:rsidP="008D479B">
      <w:pPr>
        <w:pStyle w:val="TextoNormal"/>
      </w:pPr>
      <w:r>
        <w:t>Partiendo de todo ello, reitero la conclusión de que la regulación de la eutanasia administrada a personas que no se encuentran en el pleno uso de sus facultades, ni pueden prestar su conformidad libre, voluntaria y consciente para realizar las solicitudes, ni prestar el consentimiento informado, sin más requisito que el médico responsable certifique la referida incapacidad de hecho (remitiéndose, además, para evaluarla a lo establecido en los protocolos) y haber suscrito con anterioridad un documento de instrucciones previas, testamento vital, voluntades anticipadas o documentos equivalentes legalmente reconocidos (sin concretar tampoco cuáles son esos documentos equivalentes legalmente reconocidos), no cumple las mínimas garantías para asegurar que no se produzcan abusos por parte de terceros de personas especialmente vulnerables y, en consecuencia, no cabe entender cumplido el deber de protección de la vida humana que el Estado debe salvaguardar.</w:t>
      </w:r>
    </w:p>
    <w:p w14:paraId="0244A093" w14:textId="77777777" w:rsidR="008D479B" w:rsidRDefault="008D479B" w:rsidP="008D479B">
      <w:pPr>
        <w:pStyle w:val="TextoNormal"/>
      </w:pPr>
    </w:p>
    <w:p w14:paraId="56D3B175" w14:textId="77777777" w:rsidR="008D479B" w:rsidRDefault="008D479B" w:rsidP="008D479B">
      <w:pPr>
        <w:pStyle w:val="TextoNormal"/>
      </w:pPr>
      <w:r>
        <w:t>Como expuse en el citado voto particular, ni siquiera se exige que la incapacidad de hecho para presentar las solicitudes y prestar el consentimiento informado sea irreversible. Tal como se declara en la LORE, bastaría con un estado de incapacidad temporal para prestar el consentimiento, sin la certeza de que sea permanente. Tal omisión en la Ley sobre la irreversibilidad del estado de inconsciencia no queda salvada por la remisión a futuros protocolos de actuación, dado que, con independencia de que no constituyen fuente de normas jurídicas, pueden limitarse a la imposibilidad de prestar consentimiento, pero no a la irreversibilidad en tal estado.</w:t>
      </w:r>
    </w:p>
    <w:p w14:paraId="00BA24CB" w14:textId="77777777" w:rsidR="008D479B" w:rsidRDefault="008D479B" w:rsidP="008D479B">
      <w:pPr>
        <w:pStyle w:val="TextoNormal"/>
      </w:pPr>
    </w:p>
    <w:p w14:paraId="0D87C4E4" w14:textId="77777777" w:rsidR="008D479B" w:rsidRDefault="008D479B" w:rsidP="008D479B">
      <w:pPr>
        <w:pStyle w:val="TextoNormal"/>
      </w:pPr>
      <w:r>
        <w:t>Por otro lado, es obvio que el documento de instrucciones previas, testamento vital, voluntades anticipadas o documentos equivalentes legalmente reconocidos a los que se refiere la norma, en el supuesto regulado en el apartado 2 del artículo 5, no pueden recoger la voluntad libre y actual de la persona en el momento crucial de la solicitud de la eutanasia, solicitud que será formulada por un tercero. Solo reflejarán, en su caso, la voluntad formulada en un momento precedente, en circunstancias que no constan y que pueden haber variado.</w:t>
      </w:r>
    </w:p>
    <w:p w14:paraId="07548C87" w14:textId="77777777" w:rsidR="008D479B" w:rsidRDefault="008D479B" w:rsidP="008D479B">
      <w:pPr>
        <w:pStyle w:val="TextoNormal"/>
      </w:pPr>
    </w:p>
    <w:p w14:paraId="45E644E7" w14:textId="77777777" w:rsidR="008D479B" w:rsidRDefault="008D479B" w:rsidP="008D479B">
      <w:pPr>
        <w:pStyle w:val="TextoNormal"/>
      </w:pPr>
      <w:r>
        <w:t>Cabe la posibilidad de que haya transcurrido un lapso temporal importante desde que se otorgó el documento de instrucciones previas o similar y el momento en el que se solicita la eutanasia.</w:t>
      </w:r>
    </w:p>
    <w:p w14:paraId="23DB111E" w14:textId="77777777" w:rsidR="008D479B" w:rsidRDefault="008D479B" w:rsidP="008D479B">
      <w:pPr>
        <w:pStyle w:val="TextoNormal"/>
      </w:pPr>
    </w:p>
    <w:p w14:paraId="3FB4B5B6" w14:textId="77777777" w:rsidR="008D479B" w:rsidRDefault="008D479B" w:rsidP="008D479B">
      <w:pPr>
        <w:pStyle w:val="TextoNormal"/>
      </w:pPr>
      <w:r>
        <w:t>Ni siquiera se excluye que el documento fuera otorgado cuando la persona aún no sufriera ninguno de los padecimientos que un momento posterior pudieran justificar la solicitud de la ayuda para morir, de modo que cuando lo otorgó carecería de información sobre su proceso médico, sus posibles alternativas en el momento en el que pudiera plantearse la eutanasia y, desde luego, desconocería sus posibilidades de acceso a cuidados paliativos y prestaciones a las que pudiera tener derecho, alternativas y disponibilidades que, por los avances de la ciencia médica o por el transcurso del tiempo, podrían haber variado.</w:t>
      </w:r>
    </w:p>
    <w:p w14:paraId="665DAE9F" w14:textId="77777777" w:rsidR="008D479B" w:rsidRDefault="008D479B" w:rsidP="008D479B">
      <w:pPr>
        <w:pStyle w:val="TextoNormal"/>
      </w:pPr>
    </w:p>
    <w:p w14:paraId="78D51E1F" w14:textId="77777777" w:rsidR="008D479B" w:rsidRDefault="008D479B" w:rsidP="008D479B">
      <w:pPr>
        <w:pStyle w:val="TextoNormal"/>
      </w:pPr>
      <w:r>
        <w:t>La Ley establece una presunción de mantenimiento de la voluntad de optar por la eutanasia por el mero hecho de no haber revocado el documentos de instrucciones previas, sin atender a la situación personal, anímica, afectiva y familiar del otorgante y de cualquier otra índole que pudieran ser relevantes y a la posibilidad de que pudieran haber variado desde la suscripción del documento; estableciendo una presunción, a favor de la eutanasia y contraria al derecho a la vida, de que si no han sido revocadas, por el motivo que sea, se mantienen en el momento presente.</w:t>
      </w:r>
    </w:p>
    <w:p w14:paraId="27242A1E" w14:textId="77777777" w:rsidR="008D479B" w:rsidRDefault="008D479B" w:rsidP="008D479B">
      <w:pPr>
        <w:pStyle w:val="TextoNormal"/>
      </w:pPr>
    </w:p>
    <w:p w14:paraId="151FF08A" w14:textId="77777777" w:rsidR="008D479B" w:rsidRDefault="008D479B" w:rsidP="008D479B">
      <w:pPr>
        <w:pStyle w:val="TextoNormal"/>
      </w:pPr>
      <w:r>
        <w:t>Además de excluir que el paciente disponga de toda la información necesaria referida al momento en que se formula la solicitud, también desaparece la exigencia de reiteración de la petición, requisito que se establece para excluir que puedan presentarse solicitudes poco meditadas e incluso mediatizadas por presiones externas.</w:t>
      </w:r>
    </w:p>
    <w:p w14:paraId="256979C9" w14:textId="77777777" w:rsidR="008D479B" w:rsidRDefault="008D479B" w:rsidP="008D479B">
      <w:pPr>
        <w:pStyle w:val="TextoNormal"/>
      </w:pPr>
    </w:p>
    <w:p w14:paraId="16301FED" w14:textId="77777777" w:rsidR="008D479B" w:rsidRDefault="008D479B" w:rsidP="008D479B">
      <w:pPr>
        <w:pStyle w:val="TextoNormal"/>
      </w:pPr>
      <w:r>
        <w:t>Como también indiqué en aquel voto particular, ni siquiera se garantiza que el médico responsable, el consultor, los miembros de la comisión o cualquier facultativo pudieran haber contado con la posibilidad de entrevistarse con el paciente para corroborar que, cuando otorgó el documento, el otorgante contaba con la debida información y se encontraba en un estado de plena capacidad y no sujeto a presiones externas.</w:t>
      </w:r>
    </w:p>
    <w:p w14:paraId="3A9B471F" w14:textId="77777777" w:rsidR="008D479B" w:rsidRDefault="008D479B" w:rsidP="008D479B">
      <w:pPr>
        <w:pStyle w:val="TextoNormal"/>
      </w:pPr>
    </w:p>
    <w:p w14:paraId="08AECAD4" w14:textId="77777777" w:rsidR="008D479B" w:rsidRDefault="008D479B" w:rsidP="008D479B">
      <w:pPr>
        <w:pStyle w:val="TextoNormal"/>
      </w:pPr>
      <w:r>
        <w:t>Por otro lado, en los casos previstos en el artículo 5.2, la solicitud de prestación de ayuda para morir podrá ser presentada al médico responsable por otra persona mayor de edad y plenamente capaz, acompañándolo del documento de instrucciones previas, testamento vital, voluntades anticipadas o documentos equivalentes legalmente reconocidos, suscritos previamente por el paciente.</w:t>
      </w:r>
    </w:p>
    <w:p w14:paraId="2995017F" w14:textId="77777777" w:rsidR="008D479B" w:rsidRDefault="008D479B" w:rsidP="008D479B">
      <w:pPr>
        <w:pStyle w:val="TextoNormal"/>
      </w:pPr>
    </w:p>
    <w:p w14:paraId="7FE66BA4" w14:textId="77777777" w:rsidR="008D479B" w:rsidRDefault="008D479B" w:rsidP="008D479B">
      <w:pPr>
        <w:pStyle w:val="TextoNormal"/>
      </w:pPr>
      <w:r>
        <w:t>No se exige que la persona que presente la solicitud tenga parentesco o vinculación alguna con el paciente, siendo estas personas las que mejor podrían tener conocimiento de circunstancias relevantes, como la evolución del paciente desde que se otorgó el testamento vital hasta que se produjo la pérdida de capacidad de hecho y hasta el momento en que se formula la solicitud. Solo se exige que la persona capaz presente el documento de instrucciones previas, sin manifestar ni acreditar la forma en que tuvo acceso a dicho documento. Tampoco se contempla que el mismo debiera estar incorporado a algún registro público u otorgado de forma que garantice su autenticidad.</w:t>
      </w:r>
    </w:p>
    <w:p w14:paraId="6827C470" w14:textId="77777777" w:rsidR="008D479B" w:rsidRDefault="008D479B" w:rsidP="008D479B">
      <w:pPr>
        <w:pStyle w:val="TextoNormal"/>
      </w:pPr>
    </w:p>
    <w:p w14:paraId="44BDED88" w14:textId="77777777" w:rsidR="008D479B" w:rsidRDefault="008D479B" w:rsidP="008D479B">
      <w:pPr>
        <w:pStyle w:val="TextoNormal"/>
      </w:pPr>
      <w:r>
        <w:t>Puse de relieve en el citado voto particular que resulta paradójico que para el otorgamiento del consentimiento informado previsto en la Ley 41/2002, de 14 de noviembre, básica reguladora de la autonomía del paciente y de derechos y obligaciones en materia de información y documentación clínica, se prevea el consentimiento por representación (art. 9.3) y en el supuesto de que el paciente no sea capaz de tomar decisiones, a criterio del médico responsable de la asistencia, o su estado físico o psíquico no le permita hacerse cargo de su situación, si el paciente carece de representante legal, el consentimiento lo prestarán las personas vinculadas a él por razones familiares o de hecho.</w:t>
      </w:r>
    </w:p>
    <w:p w14:paraId="68001232" w14:textId="77777777" w:rsidR="008D479B" w:rsidRDefault="008D479B" w:rsidP="008D479B">
      <w:pPr>
        <w:pStyle w:val="TextoNormal"/>
      </w:pPr>
    </w:p>
    <w:p w14:paraId="7400B7EB" w14:textId="77777777" w:rsidR="008D479B" w:rsidRDefault="008D479B" w:rsidP="008D479B">
      <w:pPr>
        <w:pStyle w:val="TextoNormal"/>
      </w:pPr>
      <w:r>
        <w:t>Sin embargo, para la ejecución de una actuación de extrema gravedad, como es la eutanasia, no se exige ningún vínculo con el paciente, lo que sí se requiere con carácter general en materia de consentimiento informado.</w:t>
      </w:r>
    </w:p>
    <w:p w14:paraId="485BE47F" w14:textId="77777777" w:rsidR="008D479B" w:rsidRDefault="008D479B" w:rsidP="008D479B">
      <w:pPr>
        <w:pStyle w:val="TextoNormal"/>
      </w:pPr>
    </w:p>
    <w:p w14:paraId="4111FCA7" w14:textId="77777777" w:rsidR="008D479B" w:rsidRDefault="008D479B" w:rsidP="008D479B">
      <w:pPr>
        <w:pStyle w:val="TextoNormal"/>
      </w:pPr>
      <w:r>
        <w:t>En caso de que no exista ninguna persona que pueda presentar la solicitud en nombre del paciente, el médico que lo trata podrá presentar la solicitud de eutanasia y se faculta al mismo para el acceso a los documentos que consten en los registros de últimas voluntades.</w:t>
      </w:r>
    </w:p>
    <w:p w14:paraId="76B2A6E6" w14:textId="77777777" w:rsidR="008D479B" w:rsidRDefault="008D479B" w:rsidP="008D479B">
      <w:pPr>
        <w:pStyle w:val="TextoNormal"/>
      </w:pPr>
    </w:p>
    <w:p w14:paraId="1FC3A8F4" w14:textId="77777777" w:rsidR="008D479B" w:rsidRDefault="008D479B" w:rsidP="008D479B">
      <w:pPr>
        <w:pStyle w:val="TextoNormal"/>
      </w:pPr>
      <w:r>
        <w:t>(iii) Respecto de la ausencia de control judicial, igualmente señalé en el voto particular a la STC 19/2023 que, en relación con el juicio de proporcionalidad desde la perspectiva de la prohibición de la inexistencia o insuficiencia de protección, resulta esencial la inexistencia de control judicial, control que sí se contempla en otros supuestos de mucha menor gravedad que la eutanasia.</w:t>
      </w:r>
    </w:p>
    <w:p w14:paraId="0CAF5348" w14:textId="77777777" w:rsidR="008D479B" w:rsidRDefault="008D479B" w:rsidP="008D479B">
      <w:pPr>
        <w:pStyle w:val="TextoNormal"/>
      </w:pPr>
    </w:p>
    <w:p w14:paraId="1F5E5B9A" w14:textId="77777777" w:rsidR="008D479B" w:rsidRDefault="008D479B" w:rsidP="008D479B">
      <w:pPr>
        <w:pStyle w:val="TextoNormal"/>
      </w:pPr>
      <w:r>
        <w:t>Así, en la Ley 41/2002, de autonomía del paciente, en los casos en los que el consentimiento haya de otorgarlo el representante legal o las personas vinculadas por razones familiares o de hecho en cualquiera de los supuestos descritos en los apartados 3 a 5, se señala que la decisión deberá adoptarse atendiendo siempre al mayor beneficio para la vida o salud del paciente y se establece que aquellas decisiones que sean contrarias a dichos intereses deberán ponerse en conocimiento de la autoridad judicial, directamente o a través del Ministerio Fiscal, para que adopte la resolución correspondiente, salvo que, por razones de urgencia, no fuera posible recabar la autorización judicial, en cuyo caso los profesionales sanitarios adoptarán las medidas necesarias en salvaguarda de la vida o salud del paciente, amparados por las causas de justificación de cumplimiento de un deber y de estado de necesidad.</w:t>
      </w:r>
    </w:p>
    <w:p w14:paraId="78F89BBA" w14:textId="77777777" w:rsidR="008D479B" w:rsidRDefault="008D479B" w:rsidP="008D479B">
      <w:pPr>
        <w:pStyle w:val="TextoNormal"/>
      </w:pPr>
    </w:p>
    <w:p w14:paraId="691E7AF1" w14:textId="77777777" w:rsidR="008D479B" w:rsidRDefault="008D479B" w:rsidP="008D479B">
      <w:pPr>
        <w:pStyle w:val="TextoNormal"/>
      </w:pPr>
      <w:r>
        <w:t>También la Ley 15/2015, de 2 de julio, de la jurisdicción voluntaria, para la extracción de órganos de donantes vivos, establece en su artículo 78 (“Ámbito de aplicación y competencia”), apartado 1, que se aplicarán las normas del capítulo en que se inserta a los expedientes que tengan por objeto la constatación de la concurrencia del consentimiento libre, consciente y desinteresado del donante y demás requisitos exigidos para la extracción y trasplante de órganos de un donante vivo por la Ley 30/1979, de 27 de octubre, sobre extracción y trasplante de órganos, y las demás normas que la desarrollen.</w:t>
      </w:r>
    </w:p>
    <w:p w14:paraId="546BFB00" w14:textId="77777777" w:rsidR="008D479B" w:rsidRDefault="008D479B" w:rsidP="008D479B">
      <w:pPr>
        <w:pStyle w:val="TextoNormal"/>
      </w:pPr>
    </w:p>
    <w:p w14:paraId="1FDF725A" w14:textId="77777777" w:rsidR="008D479B" w:rsidRDefault="008D479B" w:rsidP="008D479B">
      <w:pPr>
        <w:pStyle w:val="TextoNormal"/>
      </w:pPr>
      <w:r>
        <w:t>En su apartado 2 establece que será competente para conocer de estos expedientes el juez de primera instancia de la localidad donde haya de realizarse la extracción o el trasplante, a elección del solicitante.</w:t>
      </w:r>
    </w:p>
    <w:p w14:paraId="67678112" w14:textId="77777777" w:rsidR="008D479B" w:rsidRDefault="008D479B" w:rsidP="008D479B">
      <w:pPr>
        <w:pStyle w:val="TextoNormal"/>
      </w:pPr>
    </w:p>
    <w:p w14:paraId="55C8FAC6" w14:textId="77777777" w:rsidR="008D479B" w:rsidRDefault="008D479B" w:rsidP="008D479B">
      <w:pPr>
        <w:pStyle w:val="TextoNormal"/>
      </w:pPr>
      <w:r>
        <w:t>Por su parte, el art. 79 (“Solicitud y tramitación del expediente”) apartado 1, exige, entre otros requisitos, que se acompañe certificado médico sobre la salud mental y física del donante, emitido de conformidad con lo dispuesto en la normativa correspondiente.</w:t>
      </w:r>
    </w:p>
    <w:p w14:paraId="0C9BDC84" w14:textId="77777777" w:rsidR="008D479B" w:rsidRDefault="008D479B" w:rsidP="008D479B">
      <w:pPr>
        <w:pStyle w:val="TextoNormal"/>
      </w:pPr>
    </w:p>
    <w:p w14:paraId="3FB8CAAA" w14:textId="77777777" w:rsidR="008D479B" w:rsidRDefault="008D479B" w:rsidP="008D479B">
      <w:pPr>
        <w:pStyle w:val="TextoNormal"/>
      </w:pPr>
      <w:r>
        <w:t>El apartado 2 contempla una comparecencia a la que se citará al médico que ha de efectuar la extracción, al médico firmante del certificado a que se refiere el apartado anterior, al médico responsable del trasplante o en quien delegue y a la persona a quien corresponda dar la autorización para la intervención, conforme al documento de autorización para la extracción de órganos concedida al centro sanitario de que se trate o en quien este delegue.</w:t>
      </w:r>
    </w:p>
    <w:p w14:paraId="55D3A6A5" w14:textId="77777777" w:rsidR="008D479B" w:rsidRDefault="008D479B" w:rsidP="008D479B">
      <w:pPr>
        <w:pStyle w:val="TextoNormal"/>
      </w:pPr>
    </w:p>
    <w:p w14:paraId="1E7D2F20" w14:textId="77777777" w:rsidR="008D479B" w:rsidRDefault="008D479B" w:rsidP="008D479B">
      <w:pPr>
        <w:pStyle w:val="TextoNormal"/>
      </w:pPr>
      <w:r>
        <w:t>El apartado 3 señala que el donante deberá otorgar su consentimiento expreso ante el juez durante la comparecencia, tras oír las explicaciones del médico que ha de efectuar la extracción y las de los demás asistentes al acto. Seguidamente dispone que el juez podrá asimismo requerir de estos las explicaciones que estime oportunas sobre la concurrencia de los requisitos exigidos en la ley para el otorgamiento del consentimiento.</w:t>
      </w:r>
    </w:p>
    <w:p w14:paraId="7B2808BA" w14:textId="77777777" w:rsidR="008D479B" w:rsidRDefault="008D479B" w:rsidP="008D479B">
      <w:pPr>
        <w:pStyle w:val="TextoNormal"/>
      </w:pPr>
    </w:p>
    <w:p w14:paraId="085AB8AE" w14:textId="77777777" w:rsidR="008D479B" w:rsidRDefault="008D479B" w:rsidP="008D479B">
      <w:pPr>
        <w:pStyle w:val="TextoNormal"/>
      </w:pPr>
      <w:r>
        <w:t>Seguidamente, el art. 80.1 dispone que, si el juez considerara que el consentimiento prestado expresamente por el donante no lo ha sido de forma libre, consciente y desinteresada, o no se cumplieran los otros requisitos establecidos legalmente, no extenderá el documento de cesión del órgano.</w:t>
      </w:r>
    </w:p>
    <w:p w14:paraId="0CB90056" w14:textId="77777777" w:rsidR="008D479B" w:rsidRDefault="008D479B" w:rsidP="008D479B">
      <w:pPr>
        <w:pStyle w:val="TextoNormal"/>
      </w:pPr>
    </w:p>
    <w:p w14:paraId="3C0E291A" w14:textId="77777777" w:rsidR="008D479B" w:rsidRDefault="008D479B" w:rsidP="008D479B">
      <w:pPr>
        <w:pStyle w:val="TextoNormal"/>
      </w:pPr>
      <w:r>
        <w:t>El apartado 2 del precepto concluye que, en caso contrario y si estimara que se han cumplido los requisitos legales, extenderá por escrito el documento de cesión del órgano que será firmado por el interesado, el médico que ha de efectuar la extracción y los demás asistentes. Si alguno de ellos dudara de que el consentimiento prestado haya sido de forma expresa, libre, consciente y desinteresada, podrá oponerse a la donación.</w:t>
      </w:r>
    </w:p>
    <w:p w14:paraId="1EC21801" w14:textId="77777777" w:rsidR="008D479B" w:rsidRDefault="008D479B" w:rsidP="008D479B">
      <w:pPr>
        <w:pStyle w:val="TextoNormal"/>
      </w:pPr>
    </w:p>
    <w:p w14:paraId="5C030621" w14:textId="77777777" w:rsidR="008D479B" w:rsidRDefault="008D479B" w:rsidP="008D479B">
      <w:pPr>
        <w:pStyle w:val="TextoNormal"/>
      </w:pPr>
      <w:r>
        <w:t>El apartado 3 contempla, finalmente, que del documento de cesión, en el que se hará constar la posibilidad que tiene el donante de revocar el consentimiento en cualquier momento previo a la intervención, se facilitará copia al donante.</w:t>
      </w:r>
    </w:p>
    <w:p w14:paraId="097BE137" w14:textId="77777777" w:rsidR="008D479B" w:rsidRDefault="008D479B" w:rsidP="008D479B">
      <w:pPr>
        <w:pStyle w:val="TextoNormal"/>
      </w:pPr>
    </w:p>
    <w:p w14:paraId="5589FD09" w14:textId="77777777" w:rsidR="008D479B" w:rsidRDefault="008D479B" w:rsidP="008D479B">
      <w:pPr>
        <w:pStyle w:val="TextoNormal"/>
      </w:pPr>
      <w:r>
        <w:t>Ninguna de esas garantías se establece en un supuesto mucho más grave como es la eutanasia.</w:t>
      </w:r>
    </w:p>
    <w:p w14:paraId="577629A3" w14:textId="77777777" w:rsidR="008D479B" w:rsidRDefault="008D479B" w:rsidP="008D479B">
      <w:pPr>
        <w:pStyle w:val="TextoNormal"/>
      </w:pPr>
    </w:p>
    <w:p w14:paraId="64946E43" w14:textId="77777777" w:rsidR="008D479B" w:rsidRDefault="008D479B" w:rsidP="008D479B">
      <w:pPr>
        <w:pStyle w:val="TextoNormal"/>
      </w:pPr>
      <w:r>
        <w:t>En este supuesto, dada la pérdida de capacidad sobrevenida, se imposibilita la retractación en la “prestación” a partir del momento en que el proceso eutanásico ha llegado a un punto irreversible. El proceso se realiza sin control judicial y no se establecen otras garantías alternativas, como la intervención del Ministerio Fiscal, que en su estatuto orgánico tiene atribuida la defensa de las personas incapaces, ni siquiera se prevé el otorgamiento notarial del documento, que permitiría la dación de fe sobre la capacidad del otorgante y el control por el fedatario de que se prestó el consentimiento con información suficiente y de forma consciente y libre.</w:t>
      </w:r>
    </w:p>
    <w:p w14:paraId="7C247887" w14:textId="77777777" w:rsidR="008D479B" w:rsidRDefault="008D479B" w:rsidP="008D479B">
      <w:pPr>
        <w:pStyle w:val="TextoNormal"/>
      </w:pPr>
    </w:p>
    <w:p w14:paraId="2A54D6DE" w14:textId="77777777" w:rsidR="008D479B" w:rsidRDefault="008D479B" w:rsidP="008D479B">
      <w:pPr>
        <w:pStyle w:val="TextoNormal"/>
      </w:pPr>
      <w:r>
        <w:t>Esa merma de garantías se produce también en el supuesto de acortamiento de plazos que contempla la ley para el caso de que el médico responsable considere que es inminente la pérdida de la capacidad de la persona solicitante para otorgar el consentimiento informado. En este caso, además de limitarse los periodos de reflexión y diálogo con el facultativo, cabe cuestionar si el paciente conservaba la capacidad suficiente para comprender y decidir libremente cuando presentó la solicitud inicial y recibió la información previa preceptiva.</w:t>
      </w:r>
    </w:p>
    <w:p w14:paraId="57AD0A18" w14:textId="77777777" w:rsidR="008D479B" w:rsidRDefault="008D479B" w:rsidP="008D479B">
      <w:pPr>
        <w:pStyle w:val="TextoNormal"/>
      </w:pPr>
    </w:p>
    <w:p w14:paraId="724E7531" w14:textId="77777777" w:rsidR="008D479B" w:rsidRDefault="008D479B" w:rsidP="008D479B">
      <w:pPr>
        <w:pStyle w:val="TextoNormal"/>
      </w:pPr>
      <w:r>
        <w:t>Por todo ello discrepo de la desestimación de esta impugnación que se efectúa por remisión al fundamento jurídico 7 C) b) de la referida STC 19/2023.</w:t>
      </w:r>
    </w:p>
    <w:p w14:paraId="6A2BD32F" w14:textId="77777777" w:rsidR="008D479B" w:rsidRDefault="008D479B" w:rsidP="008D479B">
      <w:pPr>
        <w:pStyle w:val="TextoNormal"/>
      </w:pPr>
    </w:p>
    <w:p w14:paraId="7E0D41EA" w14:textId="77777777" w:rsidR="008D479B" w:rsidRDefault="008D479B" w:rsidP="008D479B">
      <w:pPr>
        <w:pStyle w:val="TextoNormal"/>
      </w:pPr>
      <w:r>
        <w:t>7. En relación con la impugnación relativa a la creación del registro de objetores de conciencia, me remito a lo expuesto en el apartado 7 del voto particular a la STC 19/2023, donde señalé que en la sentencia se razonó que la justificación del registro es que las administraciones sanitarias puedan conocer con qué profesionales no se cuenta, en principio, para intervenir en la realización de la prestación. Sin embargo, como también reconoció la sentencia, la falta de inscripción no condiciona la posibilidad de la objeción, atendido que la Ley únicamente exige que los objetores de conciencia manifiesten dicha circunstancia con antelación y que lo hagan por escrito. Por otro lado, la objeción puede depender del caso concreto, no siendo descartable que existan profesionales que, en términos generales, no objeten a la aplicación de la Ley y que, en supuestos específicos, tengan reservas, bien exclusivamente de conciencia, bien atendidas consideraciones de carácter clínico. Pueden plantearse también otros casos en que una inscripción general inicial dificulte la posibilidad de que el profesional pueda participar en la atención cuando entienda que debe seguir ocupándose del paciente durante la tramitación de la solicitud de eutanasia, pero sin finalmente verse obligado a prestar la ayuda a morir.</w:t>
      </w:r>
    </w:p>
    <w:p w14:paraId="5E819ED8" w14:textId="77777777" w:rsidR="008D479B" w:rsidRDefault="008D479B" w:rsidP="008D479B">
      <w:pPr>
        <w:pStyle w:val="TextoNormal"/>
      </w:pPr>
    </w:p>
    <w:p w14:paraId="7C827D5A" w14:textId="77777777" w:rsidR="008D479B" w:rsidRDefault="008D479B" w:rsidP="008D479B">
      <w:pPr>
        <w:pStyle w:val="TextoNormal"/>
      </w:pPr>
      <w:r>
        <w:t>Esas circunstancias pueden obstar a que el registro sirva realmente a la finalidad que propugna.</w:t>
      </w:r>
    </w:p>
    <w:p w14:paraId="3F88C7FE" w14:textId="77777777" w:rsidR="008D479B" w:rsidRDefault="008D479B" w:rsidP="008D479B">
      <w:pPr>
        <w:pStyle w:val="TextoNormal"/>
      </w:pPr>
    </w:p>
    <w:p w14:paraId="3E252893" w14:textId="77777777" w:rsidR="008D479B" w:rsidRDefault="008D479B" w:rsidP="008D479B">
      <w:pPr>
        <w:pStyle w:val="TextoNormal"/>
      </w:pPr>
      <w:r>
        <w:t>A ello se añade la disparidad que puede producirse en la regulación de las diversas comunidades autónomas, con el consiguiente diverso nivel de garantía de la libertad ideológica en unas y otras.</w:t>
      </w:r>
    </w:p>
    <w:p w14:paraId="365D9B60" w14:textId="77777777" w:rsidR="008D479B" w:rsidRDefault="008D479B" w:rsidP="008D479B">
      <w:pPr>
        <w:pStyle w:val="TextoNormal"/>
      </w:pPr>
    </w:p>
    <w:p w14:paraId="344EAE32" w14:textId="77777777" w:rsidR="008D479B" w:rsidRDefault="008D479B" w:rsidP="008D479B">
      <w:pPr>
        <w:pStyle w:val="TextoNormal"/>
      </w:pPr>
      <w:r>
        <w:t>Si a ello se suma que, pese a la previsión de confidencialidad, no cabe descartar que la inscripción pueda originar perjuicios a los objetores, máxime atendida la precariedad en el empleo que muchos profesionales padecen, y que esa situación puede condicionar su decisión para acogerse a la objeción, cabe concluir que, atendidos los eventuales perjuicios, la posible incidencia en la libertad ideológica y el alcance limitado de los beneficios que el sistema puede garantizar, la medida podría estimarse desproporcionada a la finalidad a la que dice servir.</w:t>
      </w:r>
    </w:p>
    <w:p w14:paraId="6D2E5707" w14:textId="77777777" w:rsidR="008D479B" w:rsidRDefault="008D479B" w:rsidP="008D479B">
      <w:pPr>
        <w:pStyle w:val="TextoNormal"/>
      </w:pPr>
    </w:p>
    <w:p w14:paraId="476CF48B" w14:textId="77777777" w:rsidR="008D479B" w:rsidRDefault="008D479B" w:rsidP="008D479B">
      <w:pPr>
        <w:pStyle w:val="TextoNormal"/>
      </w:pPr>
      <w:r>
        <w:t>8. Respecto de la impugnación relativa a la denegación de la objeción de conciencia a las personas jurídicas, discrepo de las consideraciones que llevan a la desestimación del referido motivo de recurso.</w:t>
      </w:r>
    </w:p>
    <w:p w14:paraId="0649C562" w14:textId="77777777" w:rsidR="008D479B" w:rsidRDefault="008D479B" w:rsidP="008D479B">
      <w:pPr>
        <w:pStyle w:val="TextoNormal"/>
      </w:pPr>
    </w:p>
    <w:p w14:paraId="095C1076" w14:textId="77777777" w:rsidR="008D479B" w:rsidRDefault="008D479B" w:rsidP="008D479B">
      <w:pPr>
        <w:pStyle w:val="TextoNormal"/>
      </w:pPr>
      <w:r>
        <w:t>Considero que la sentencia debería haber analizado, en primer término, si los centros sanitarios privados o concertados tienen el deber legal de garantizar el derecho a la prestación de ayuda para morir establecido para los servicios públicos de salud.</w:t>
      </w:r>
    </w:p>
    <w:p w14:paraId="3B9F6AEC" w14:textId="77777777" w:rsidR="008D479B" w:rsidRDefault="008D479B" w:rsidP="008D479B">
      <w:pPr>
        <w:pStyle w:val="TextoNormal"/>
      </w:pPr>
    </w:p>
    <w:p w14:paraId="67A3A8F8" w14:textId="77777777" w:rsidR="008D479B" w:rsidRDefault="008D479B" w:rsidP="008D479B">
      <w:pPr>
        <w:pStyle w:val="TextoNormal"/>
      </w:pPr>
      <w:r>
        <w:t>Aunque los arts. 13.2 y 14 LORE establecen un deber legal de garantizar el derecho a la prestación de ayuda para morir para los servicios públicos de salud, dichos preceptos, interpretados conforme a su tenor, no llevan a la conclusión de que dicho deber se extienda a los centros sanitarios privados o concertados.</w:t>
      </w:r>
    </w:p>
    <w:p w14:paraId="78AFC3CE" w14:textId="77777777" w:rsidR="008D479B" w:rsidRDefault="008D479B" w:rsidP="008D479B">
      <w:pPr>
        <w:pStyle w:val="TextoNormal"/>
      </w:pPr>
    </w:p>
    <w:p w14:paraId="7CB84091" w14:textId="77777777" w:rsidR="008D479B" w:rsidRDefault="008D479B" w:rsidP="008D479B">
      <w:pPr>
        <w:pStyle w:val="TextoNormal"/>
      </w:pPr>
      <w:r>
        <w:t>Si concluimos que la prestación no es exigible a los centros privados o concertados, devendría innecesario el reconocimiento expreso de la objeción de conciencia a las personas jurídicas titulares de aquellos.</w:t>
      </w:r>
    </w:p>
    <w:p w14:paraId="539FCC7B" w14:textId="77777777" w:rsidR="008D479B" w:rsidRDefault="008D479B" w:rsidP="008D479B">
      <w:pPr>
        <w:pStyle w:val="TextoNormal"/>
      </w:pPr>
    </w:p>
    <w:p w14:paraId="6F408E65" w14:textId="77777777" w:rsidR="008D479B" w:rsidRDefault="008D479B" w:rsidP="008D479B">
      <w:pPr>
        <w:pStyle w:val="TextoNormal"/>
      </w:pPr>
      <w:r>
        <w:t>Sin embargo, atendido que el art. 90 de la Ley 14/1986, permitiría interpretar que la prestación pudiera ser exigida a los centros concertados a los efectos de conceder o mantener el concierto, sería necesario el análisis de la objeción de conciencia institucional; reconociendo dicho derecho a las personas jurídicas.</w:t>
      </w:r>
    </w:p>
    <w:p w14:paraId="119DAD1F" w14:textId="77777777" w:rsidR="008D479B" w:rsidRDefault="008D479B" w:rsidP="008D479B">
      <w:pPr>
        <w:pStyle w:val="TextoNormal"/>
      </w:pPr>
    </w:p>
    <w:p w14:paraId="663FAD2E" w14:textId="77777777" w:rsidR="008D479B" w:rsidRDefault="008D479B" w:rsidP="008D479B">
      <w:pPr>
        <w:pStyle w:val="TextoNormal"/>
      </w:pPr>
      <w:r>
        <w:t>Discrepo del contenido del fundamento jurídico 4 B) b) (i), en el que la sentencia declara que “[l]as únicas actuaciones susceptibles de ser exoneradas del deber legal de garantizar el derecho de prestación de ayuda para morir, en los términos en que ha sido configurada por la LORE (art. 13.2), por estar amparadas en la objeción de conciencia, son las intervenciones de los profesionales sanitarios, cualquiera que sea su categoría profesional, en la ejecución efectiva de dicha prestación. […] [m]ás allá de estos casos, extender la objeción de conciencia a un ámbito institucional, no solo pondría en riesgo la efectividad de la propia prestación sanitaria, sino que carecería de fundamento constitucional, pues se trata de un derecho que excepcionalmente permite, con las debidas garantías para el interés general, eludir el cumplimiento de obligaciones de carácter general que por su naturaleza colisionan o no son conciliables con las más arraigadas convicciones que son propias de las personas físicas”.</w:t>
      </w:r>
    </w:p>
    <w:p w14:paraId="3FA991D5" w14:textId="77777777" w:rsidR="008D479B" w:rsidRDefault="008D479B" w:rsidP="008D479B">
      <w:pPr>
        <w:pStyle w:val="TextoNormal"/>
      </w:pPr>
    </w:p>
    <w:p w14:paraId="1D9352E3" w14:textId="77777777" w:rsidR="008D479B" w:rsidRDefault="008D479B" w:rsidP="008D479B">
      <w:pPr>
        <w:pStyle w:val="TextoNormal"/>
      </w:pPr>
      <w:r>
        <w:t>La resolución se limita a afirmar, pero no explica debidamente, los motivos que llevan a concluir que de la eventual extensión de la objeción de conciencia a un ámbito institucional se derive un riesgo para la efectividad de la propia prestación sanitaria, prestación que podría y debería ser garantizada por la sanidad pública.</w:t>
      </w:r>
    </w:p>
    <w:p w14:paraId="15074689" w14:textId="77777777" w:rsidR="008D479B" w:rsidRDefault="008D479B" w:rsidP="008D479B">
      <w:pPr>
        <w:pStyle w:val="TextoNormal"/>
      </w:pPr>
    </w:p>
    <w:p w14:paraId="2F15BD01" w14:textId="77777777" w:rsidR="008D479B" w:rsidRDefault="008D479B" w:rsidP="008D479B">
      <w:pPr>
        <w:pStyle w:val="TextoNormal"/>
      </w:pPr>
      <w:r>
        <w:t>Seguidamente la sentencia afirma que la extensión de la objeción de conciencia al ámbito institucional carece de fundamento constitucional, apuntando que la posibilidad excepcional de eludir el cumplimiento de obligaciones de carácter general solo resulta amparada cuando por su naturaleza colisionan o no son conciliables con las arraigadas convicciones que son propias de las personas físicas.</w:t>
      </w:r>
    </w:p>
    <w:p w14:paraId="64036616" w14:textId="77777777" w:rsidR="008D479B" w:rsidRDefault="008D479B" w:rsidP="008D479B">
      <w:pPr>
        <w:pStyle w:val="TextoNormal"/>
      </w:pPr>
    </w:p>
    <w:p w14:paraId="0CBC1404" w14:textId="77777777" w:rsidR="008D479B" w:rsidRDefault="008D479B" w:rsidP="008D479B">
      <w:pPr>
        <w:pStyle w:val="TextoNormal"/>
      </w:pPr>
      <w:r>
        <w:t>Discrepo de dicha concepción formalista de la naturaleza de las personas jurídicas, que prescinde del hecho de que las personas físicas forman el sustrato material de las personas jurídicas y de que, cuando estas profesan un determinado ideario fundado en convicciones morales, religiosas o de otro tipo con reconocimiento constitucional, incompatible con la desprotección del derecho a la vida por la falta de garantías de que adolece la regulación legal, tal como he señalado, imponer a los centros sanitarios privados o concertados (art. 14 LORE) la obligación de prestación eutanásica por facultativos que no objeten a su práctica violentaría gravemente las íntimas convicciones de las personas físicas que asumen como propio el ideario sobre el derecho a la vida que inspira a la persona jurídica.</w:t>
      </w:r>
    </w:p>
    <w:p w14:paraId="3182CC31" w14:textId="77777777" w:rsidR="008D479B" w:rsidRDefault="008D479B" w:rsidP="008D479B">
      <w:pPr>
        <w:pStyle w:val="TextoNormal"/>
      </w:pPr>
    </w:p>
    <w:p w14:paraId="32378E3C" w14:textId="77777777" w:rsidR="008D479B" w:rsidRDefault="008D479B" w:rsidP="008D479B">
      <w:pPr>
        <w:pStyle w:val="TextoNormal"/>
      </w:pPr>
      <w:r>
        <w:t>Pese a reconocer que este tribunal ha venido declarando que las personas jurídicas pueden ser titulares de derechos fundamentales, atendiendo a los fines de las mismas y a la naturaleza concreta del derecho fundamental invocado, la sentencia no analiza la dimensión colectiva del art. 16.1 CE a la que hace referencia la demanda, con sustento en las SSTC 106/1996 y 145/2015. Tampoco contempla el derecho de los centros sanitarios a su propia identidad, que deriva del art. 22 CE, ni considera el art. 6.1 de la Ley Orgánica 7/1980, de 5 de julio, de libertad religiosa.</w:t>
      </w:r>
    </w:p>
    <w:p w14:paraId="137E575F" w14:textId="77777777" w:rsidR="008D479B" w:rsidRDefault="008D479B" w:rsidP="008D479B">
      <w:pPr>
        <w:pStyle w:val="TextoNormal"/>
      </w:pPr>
    </w:p>
    <w:p w14:paraId="7D05C33F" w14:textId="77777777" w:rsidR="008D479B" w:rsidRDefault="008D479B" w:rsidP="008D479B">
      <w:pPr>
        <w:pStyle w:val="TextoNormal"/>
      </w:pPr>
      <w:r>
        <w:t>Considero que dichas impugnaciones deberían haber sido acogidas y que la negación del derecho a la objeción de conciencia de las personas jurídicas constituye una restricción desproporcionada de su derecho a la libertad ideológica y religiosa (art. 16.1 CE).</w:t>
      </w:r>
    </w:p>
    <w:p w14:paraId="2B8F0DBB" w14:textId="77777777" w:rsidR="008D479B" w:rsidRDefault="008D479B" w:rsidP="008D479B">
      <w:pPr>
        <w:pStyle w:val="TextoNormal"/>
      </w:pPr>
    </w:p>
    <w:p w14:paraId="6701FEBD" w14:textId="77777777" w:rsidR="008D479B" w:rsidRDefault="008D479B" w:rsidP="008D479B">
      <w:pPr>
        <w:pStyle w:val="TextoNormal"/>
      </w:pPr>
      <w:r>
        <w:t>9. Discrepo, asimismo, de la desestimación del recurso de inconstitucionalidad planteado contra la disposición adicional quinta de la LORE al prever un procedimiento sumario y preferente frente a las resoluciones denegatorias de la eutanasia [arts. 10.5 y 18 a) LORE].</w:t>
      </w:r>
    </w:p>
    <w:p w14:paraId="71D2DD3D" w14:textId="77777777" w:rsidR="008D479B" w:rsidRDefault="008D479B" w:rsidP="008D479B">
      <w:pPr>
        <w:pStyle w:val="TextoNormal"/>
      </w:pPr>
    </w:p>
    <w:p w14:paraId="57F2820A" w14:textId="77777777" w:rsidR="008D479B" w:rsidRDefault="008D479B" w:rsidP="008D479B">
      <w:pPr>
        <w:pStyle w:val="TextoNormal"/>
      </w:pPr>
      <w:r>
        <w:t>Considero que el art. 53.2 CE establece una reserva constitucional para que el procedimiento preferente y sumario al que alude se aplique únicamente en el caso de los derechos fundamentales y libertades públicas regulados en el art. 14 y en la sección primera del capítulo segundo del título I de la Constitución.</w:t>
      </w:r>
    </w:p>
    <w:p w14:paraId="265D7596" w14:textId="77777777" w:rsidR="008D479B" w:rsidRDefault="008D479B" w:rsidP="008D479B">
      <w:pPr>
        <w:pStyle w:val="TextoNormal"/>
      </w:pPr>
    </w:p>
    <w:p w14:paraId="1E00DCE0" w14:textId="77777777" w:rsidR="008D479B" w:rsidRDefault="008D479B" w:rsidP="008D479B">
      <w:pPr>
        <w:pStyle w:val="TextoNormal"/>
      </w:pPr>
      <w:r>
        <w:t>La propia sentencia reconoce el carácter limitado de las pretensiones que pueden deducirse a través del mismo y la inadecuación de dicho cauce procesal para tramitar pretensiones ajenas a los mencionados derechos fundamentales.</w:t>
      </w:r>
    </w:p>
    <w:p w14:paraId="2E7A8960" w14:textId="77777777" w:rsidR="008D479B" w:rsidRDefault="008D479B" w:rsidP="008D479B">
      <w:pPr>
        <w:pStyle w:val="TextoNormal"/>
      </w:pPr>
    </w:p>
    <w:p w14:paraId="14DDAA12" w14:textId="77777777" w:rsidR="008D479B" w:rsidRDefault="008D479B" w:rsidP="008D479B">
      <w:pPr>
        <w:pStyle w:val="TextoNormal"/>
      </w:pPr>
      <w:r>
        <w:t>Al resolver la queja relativa a la tutela preferente y sumaria del art. 53.2 CE la sentencia de la que ahora disiento concluye que “[e]n todo caso, el art. 53.2 CE no impide al legislador procesal utilizar por conexión este cauce especial de protección, preferente y sumario, para tutelar derechos subjetivos, aunque estos carezcan de naturaleza iusfundamental, siempre y cuando dicho cauce esté disponible para los derechos fundamentales en sentido estricto”. Pero previamente afirma: “las resoluciones que deniegan la prestación de ayuda para morir inciden en la facultad de autodeterminación de la persona, y lo hacen en la medida en que afectan, además de a valores y principios constitucionales vinculados a la libertad y dignidad personal, a un derecho fundamental como es el de la integridad física y moral consagrado en el art. 15 CE. Estamos, pues, ante un derecho constitucional de configuración legal que encuentra su anclaje, en última instancia, en el derecho fundamental a la integridad física y moral (art. 15 CE), por lo que no puede entenderse que se quiebre la tutela preferente y sumaria dispensada en el art. 53.2 CE”.</w:t>
      </w:r>
    </w:p>
    <w:p w14:paraId="1886A56B" w14:textId="77777777" w:rsidR="008D479B" w:rsidRDefault="008D479B" w:rsidP="008D479B">
      <w:pPr>
        <w:pStyle w:val="TextoNormal"/>
      </w:pPr>
    </w:p>
    <w:p w14:paraId="7119C313" w14:textId="77777777" w:rsidR="008D479B" w:rsidRDefault="008D479B" w:rsidP="008D479B">
      <w:pPr>
        <w:pStyle w:val="TextoNormal"/>
      </w:pPr>
      <w:r>
        <w:t>La atribución del tipo de procedimiento “por conexión”, como afirma la sentencia, además de introducir un elemento perturbador para los justiciables y los tribunales del orden contencioso-administrativo a la hora de determinar el cauce procesal adecuado, fuerza el tenor de la impugnada disposición adicional quinta para hacerle decir lo que no dice.</w:t>
      </w:r>
    </w:p>
    <w:p w14:paraId="1940E645" w14:textId="77777777" w:rsidR="008D479B" w:rsidRDefault="008D479B" w:rsidP="008D479B">
      <w:pPr>
        <w:pStyle w:val="TextoNormal"/>
      </w:pPr>
    </w:p>
    <w:p w14:paraId="0ED4760B" w14:textId="77777777" w:rsidR="008D479B" w:rsidRDefault="008D479B" w:rsidP="008D479B">
      <w:pPr>
        <w:pStyle w:val="TextoNormal"/>
      </w:pPr>
      <w:r>
        <w:t>Aun cuando no cuestiono que los derechos de los pacientes en estos supuestos clínicos pudieran ser tutelados a través de un proceso preferente y sumario, considero que el cauce elegido no podría ser el contemplado en el art. 53.2 CE, cuyo objeto exclusivo es la protección de derechos fundamentales, y muestro mi discrepancia con que, además, en la sentencia se extraiga de ello la consecuencia lógica en términos jurídicos de elevar el derecho legal a la eutanasia al rango de derecho fundamental.</w:t>
      </w:r>
    </w:p>
    <w:p w14:paraId="19DBD5BF" w14:textId="77777777" w:rsidR="008D479B" w:rsidRDefault="008D479B" w:rsidP="008D479B">
      <w:pPr>
        <w:pStyle w:val="TextoNormal"/>
      </w:pPr>
    </w:p>
    <w:p w14:paraId="49760230" w14:textId="77777777" w:rsidR="008D479B" w:rsidRDefault="008D479B" w:rsidP="008D479B">
      <w:pPr>
        <w:pStyle w:val="TextoNormal"/>
      </w:pPr>
      <w:r>
        <w:t>Como he apuntado precedentemente, no comparto la extensión que la sentencia efectúa del procedimiento del art. 53.2 CE ni la consideración de que el mismo sea aplicable por conexión a la tutela de derechos subjetivos que no tengan naturaleza de fundamentales, lo que desborda la antedicha reserva.</w:t>
      </w:r>
    </w:p>
    <w:p w14:paraId="372B7A91" w14:textId="77777777" w:rsidR="008D479B" w:rsidRDefault="008D479B" w:rsidP="008D479B">
      <w:pPr>
        <w:pStyle w:val="TextoNormal"/>
      </w:pPr>
    </w:p>
    <w:p w14:paraId="755AC720" w14:textId="77777777" w:rsidR="008D479B" w:rsidRDefault="008D479B" w:rsidP="008D479B">
      <w:pPr>
        <w:pStyle w:val="TextoNormal"/>
      </w:pPr>
      <w:r>
        <w:t xml:space="preserve">Ya observé en el voto particular a la STC 19/2023 que lo que realmente ha efectuado la Ley otorgando dicha garantía al derecho a la eutanasia es crear </w:t>
      </w:r>
      <w:r w:rsidRPr="008D479B">
        <w:rPr>
          <w:i/>
        </w:rPr>
        <w:t>ex novo</w:t>
      </w:r>
      <w:r>
        <w:t xml:space="preserve"> un derecho fundamental inexistente, creación que ha sido ratificada por este tribunal; soslayando que la única vía para ello es la reforma constitucional, no una ampliación subrepticia del catálogo de derechos y de su protección, por lo que considero que el precepto impugnado debió ser declarado inconstitucional.</w:t>
      </w:r>
    </w:p>
    <w:p w14:paraId="35196A3B" w14:textId="77777777" w:rsidR="008D479B" w:rsidRDefault="008D479B" w:rsidP="008D479B">
      <w:pPr>
        <w:pStyle w:val="TextoNormal"/>
      </w:pPr>
    </w:p>
    <w:p w14:paraId="6F8CE6B9" w14:textId="77777777" w:rsidR="008D479B" w:rsidRDefault="008D479B" w:rsidP="008D479B">
      <w:pPr>
        <w:pStyle w:val="TextoNormal"/>
      </w:pPr>
      <w:r>
        <w:t>En el sentido expuesto formulo respetuosamente mi voto particular a la sentencia dictada en el recurso de inconstitucionalidad 4313-2021.</w:t>
      </w:r>
    </w:p>
    <w:p w14:paraId="381D2C4A" w14:textId="77777777" w:rsidR="008D479B" w:rsidRDefault="008D479B" w:rsidP="008D479B">
      <w:pPr>
        <w:pStyle w:val="TextoNormal"/>
      </w:pPr>
    </w:p>
    <w:p w14:paraId="1DAB28ED" w14:textId="5238F796" w:rsidR="008D479B" w:rsidRDefault="008D479B" w:rsidP="008D479B">
      <w:pPr>
        <w:pStyle w:val="TextoNormal"/>
      </w:pPr>
      <w:r>
        <w:t>Madrid, a dieciocho de septiembre de dos mil veintitrés.</w:t>
      </w:r>
    </w:p>
    <w:p w14:paraId="1C33F947" w14:textId="10EED0C5" w:rsidR="008D479B" w:rsidRDefault="008D479B">
      <w:pPr>
        <w:spacing w:after="160" w:line="278" w:lineRule="auto"/>
        <w:rPr>
          <w:rFonts w:ascii="Times New Roman" w:eastAsia="Times New Roman" w:hAnsi="Times New Roman" w:cs="Times New Roman"/>
          <w:sz w:val="24"/>
          <w:szCs w:val="24"/>
          <w:lang w:eastAsia="es-ES"/>
        </w:rPr>
      </w:pPr>
      <w:r>
        <w:br w:type="page"/>
      </w:r>
    </w:p>
    <w:p w14:paraId="192EED1E" w14:textId="77777777" w:rsidR="008D479B" w:rsidRDefault="008D479B" w:rsidP="008D479B">
      <w:pPr>
        <w:pStyle w:val="TtuloResolucin"/>
      </w:pPr>
      <w:bookmarkStart w:id="20" w:name="SENTENCIA_2023_95"/>
      <w:r>
        <w:t>SENTENCIA 95/2023, de 12 de septiembre de 2023</w:t>
      </w:r>
    </w:p>
    <w:bookmarkEnd w:id="20"/>
    <w:p w14:paraId="35BCC174" w14:textId="77777777" w:rsidR="008D479B" w:rsidRDefault="008D479B" w:rsidP="008D479B">
      <w:pPr>
        <w:pStyle w:val="TtuloResolucin"/>
      </w:pPr>
      <w:r>
        <w:t>Sala Segunda</w:t>
      </w:r>
    </w:p>
    <w:p w14:paraId="084B3770" w14:textId="77777777" w:rsidR="008D479B" w:rsidRDefault="008D479B" w:rsidP="008D479B">
      <w:pPr>
        <w:pStyle w:val="TtuloBOE"/>
      </w:pPr>
      <w:r>
        <w:t>(BOE núm. 244, de 12 de octubre de 2023)</w:t>
      </w:r>
    </w:p>
    <w:p w14:paraId="6B0403E6" w14:textId="77777777" w:rsidR="008D479B" w:rsidRDefault="008D479B" w:rsidP="008D479B">
      <w:pPr>
        <w:pStyle w:val="TextoNormalCentrado"/>
      </w:pPr>
      <w:r>
        <w:t>ECLI:ES:TC:2023:95</w:t>
      </w:r>
    </w:p>
    <w:p w14:paraId="69FCAADE" w14:textId="1D33E5CF" w:rsidR="008D479B" w:rsidRDefault="008D479B" w:rsidP="008D479B">
      <w:pPr>
        <w:pStyle w:val="TextoNormalCentrado"/>
      </w:pPr>
    </w:p>
    <w:p w14:paraId="014D26B0" w14:textId="77777777" w:rsidR="008D479B" w:rsidRDefault="008D479B" w:rsidP="008D479B">
      <w:pPr>
        <w:pStyle w:val="SntesisDescriptiva"/>
      </w:pPr>
      <w:r>
        <w:t>Recurso de amparo electoral 5529-2023. Promovido por el Partido Socialista Obrero Español de Madrid y otros en relación con la sentencia de la Sala de lo Contencioso-Administrativo del Tribunal Supremo que desestimó su impugnación contencioso electoral respecto de la proclamación de diputados electos en la provincia de Madrid.</w:t>
      </w:r>
    </w:p>
    <w:p w14:paraId="65912315" w14:textId="56512033" w:rsidR="008D479B" w:rsidRDefault="008D479B" w:rsidP="008D479B">
      <w:pPr>
        <w:pStyle w:val="SntesisDescriptiva"/>
      </w:pPr>
    </w:p>
    <w:p w14:paraId="3C2037A1" w14:textId="77777777" w:rsidR="008D479B" w:rsidRDefault="008D479B" w:rsidP="008D479B">
      <w:pPr>
        <w:pStyle w:val="SntesisAnaltica"/>
      </w:pPr>
      <w:r>
        <w:t>Supuesta vulneración del derecho de acceso a los cargos públicos en condiciones de igualdad: denegación de la solicitud de revisión de la totalidad del voto nulo no protestado por parte de la Junta Electoral Provincial de Madrid. Voto particular.</w:t>
      </w:r>
    </w:p>
    <w:p w14:paraId="63B8898C" w14:textId="39819AE6" w:rsidR="008D479B" w:rsidRDefault="008D479B" w:rsidP="008D479B">
      <w:pPr>
        <w:pStyle w:val="SntesisAnaltica"/>
      </w:pPr>
    </w:p>
    <w:p w14:paraId="3844E24C" w14:textId="33C41E9F" w:rsidR="008D479B" w:rsidRDefault="008D479B" w:rsidP="008D479B">
      <w:pPr>
        <w:pStyle w:val="Extracto"/>
      </w:pPr>
      <w:r>
        <w:t>1.</w:t>
      </w:r>
      <w:r>
        <w:tab/>
        <w:t>La anulación o no cómputo de votos válidamente emitidos supone decretar indebidamente la nulidad de una votación, privar de voto a los electores afectados y, en su caso, impedir a un candidato el acceso a un escaño al que pudiera tener derecho (STC 131/1990) [FJ 4].</w:t>
      </w:r>
    </w:p>
    <w:p w14:paraId="39439842" w14:textId="77777777" w:rsidR="008D479B" w:rsidRDefault="008D479B" w:rsidP="008D479B">
      <w:pPr>
        <w:pStyle w:val="Extracto"/>
      </w:pPr>
    </w:p>
    <w:p w14:paraId="15CD3B5D" w14:textId="0F12ECBD" w:rsidR="008D479B" w:rsidRDefault="008D479B" w:rsidP="008D479B">
      <w:pPr>
        <w:pStyle w:val="Extracto"/>
      </w:pPr>
      <w:r>
        <w:t>2.</w:t>
      </w:r>
      <w:r>
        <w:tab/>
        <w:t>Reiteración de doctrina relativa a la configuración legal de los derechos contenidos en el art. 23 CE, así como a los principios que resultan de concreta aplicación en los procesos electorales -principios de interpretación más favorable a la efectividad de los derechos fundamentales; de conservación de los actos válidamente celebrados; y de presunción de validez de los actos administrativos- [FJ 4].</w:t>
      </w:r>
    </w:p>
    <w:p w14:paraId="7547641A" w14:textId="77777777" w:rsidR="008D479B" w:rsidRDefault="008D479B" w:rsidP="008D479B">
      <w:pPr>
        <w:pStyle w:val="Extracto"/>
      </w:pPr>
    </w:p>
    <w:p w14:paraId="59421A60" w14:textId="22ABEB96" w:rsidR="008D479B" w:rsidRDefault="008D479B" w:rsidP="008D479B">
      <w:pPr>
        <w:pStyle w:val="Extracto"/>
      </w:pPr>
      <w:r>
        <w:t>3.</w:t>
      </w:r>
      <w:r>
        <w:tab/>
        <w:t>Existe el derecho de las candidaturas a revisar y examinar los votos nulos que se incluyen en el primer sobre de los tres que componen la documentación electoral, en el acto de escrutinio general ante la junta electoral competente, con la finalidad de comprobar si alguno de los votos había sido anulado de manera irregular existiendo indicios de ello; lo que deriva del contenido esencial de los derechos reconocidos en el artículo 23 CE, pese a no encontrarse explícitamente recogido en la LOREG (STC 159/2015) [FJ 5].</w:t>
      </w:r>
    </w:p>
    <w:p w14:paraId="2F5D5B80" w14:textId="77777777" w:rsidR="008D479B" w:rsidRDefault="008D479B" w:rsidP="008D479B">
      <w:pPr>
        <w:pStyle w:val="Extracto"/>
      </w:pPr>
    </w:p>
    <w:p w14:paraId="3800BAEF" w14:textId="0F10371F" w:rsidR="008D479B" w:rsidRDefault="008D479B" w:rsidP="008D479B">
      <w:pPr>
        <w:pStyle w:val="Extracto"/>
      </w:pPr>
      <w:r>
        <w:t>4.</w:t>
      </w:r>
      <w:r>
        <w:tab/>
        <w:t>La existencia del derecho de reclamación aparece diáfana en la medida en que no hay en la LOREG ningún precepto que prohíba expresamente reclamar la revisión de los votos nulos (STC 159/2015) [FJ 5].</w:t>
      </w:r>
    </w:p>
    <w:p w14:paraId="5AD91471" w14:textId="77777777" w:rsidR="008D479B" w:rsidRDefault="008D479B" w:rsidP="008D479B">
      <w:pPr>
        <w:pStyle w:val="Extracto"/>
      </w:pPr>
    </w:p>
    <w:p w14:paraId="64C2DA0D" w14:textId="7C167868" w:rsidR="008D479B" w:rsidRDefault="008D479B" w:rsidP="008D479B">
      <w:pPr>
        <w:pStyle w:val="Extracto"/>
      </w:pPr>
      <w:r>
        <w:t>5.</w:t>
      </w:r>
      <w:r>
        <w:tab/>
        <w:t>Ha de guardarse la necesaria proporcionalidad entre unos actos y sus consecuencias cuando estas afectan a derechos fundamentales (SSTC 24/1990). Y la revisión de la totalidad de los votos nulos del conjunto de las mesas electorales de una circunscripción por parte de una junta electoral provincial, sin que existan al menos indicios de irregularidades en el procedimiento electoral, supone una desproporción entre la finalidad perseguida -la indagación de la verdadera voluntad de los electores manifestada en las urnas-, y el medio empleado para su consecución -reiterar toda la labor escrutadora de los votos nulos- [FJ 6].</w:t>
      </w:r>
    </w:p>
    <w:p w14:paraId="3F6A88CF" w14:textId="77777777" w:rsidR="008D479B" w:rsidRDefault="008D479B" w:rsidP="008D479B">
      <w:pPr>
        <w:pStyle w:val="Extracto"/>
      </w:pPr>
    </w:p>
    <w:p w14:paraId="649B4E05" w14:textId="506362E3" w:rsidR="008D479B" w:rsidRDefault="008D479B" w:rsidP="008D479B">
      <w:pPr>
        <w:pStyle w:val="Extracto"/>
      </w:pPr>
      <w:r>
        <w:t>6.</w:t>
      </w:r>
      <w:r>
        <w:tab/>
        <w:t>Desde la óptica de la proporcionalidad, no puede desconocerse que la celeridad en el conocimiento de los resultados electorales definitivos, imprescindible para poder constituir en plazo las instituciones públicas, constituye un bien jurídico a proteger que igualmente debe ser tomado en consideración; máxime cuando la alternativa de permitir el derecho a reclamar sin más condiciones podría conducir a la presentación de reclamaciones generalizadas [FJ 6].</w:t>
      </w:r>
    </w:p>
    <w:p w14:paraId="0C0A9349" w14:textId="77777777" w:rsidR="008D479B" w:rsidRDefault="008D479B" w:rsidP="008D479B">
      <w:pPr>
        <w:pStyle w:val="Extracto"/>
      </w:pPr>
    </w:p>
    <w:p w14:paraId="671FCFAA" w14:textId="77777777" w:rsidR="008D479B" w:rsidRDefault="008D479B" w:rsidP="008D479B">
      <w:pPr>
        <w:pStyle w:val="Extracto"/>
      </w:pPr>
    </w:p>
    <w:p w14:paraId="38C9EAF8" w14:textId="77777777" w:rsidR="008D479B" w:rsidRDefault="008D479B" w:rsidP="008D479B">
      <w:pPr>
        <w:pStyle w:val="TextoNormal"/>
      </w:pPr>
      <w: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14:paraId="121F345B" w14:textId="6AC23DCE" w:rsidR="008D479B" w:rsidRDefault="008D479B" w:rsidP="008D479B">
      <w:pPr>
        <w:pStyle w:val="TextoNormal"/>
      </w:pPr>
    </w:p>
    <w:p w14:paraId="77D4B54A" w14:textId="77777777" w:rsidR="008D479B" w:rsidRDefault="008D479B" w:rsidP="008D479B">
      <w:pPr>
        <w:pStyle w:val="TextoNormalCentrado"/>
        <w:keepNext/>
      </w:pPr>
      <w:r>
        <w:t>EN NOMBRE DEL REY</w:t>
      </w:r>
    </w:p>
    <w:p w14:paraId="30FA79B1" w14:textId="141B5691" w:rsidR="008D479B" w:rsidRDefault="008D479B" w:rsidP="008D479B">
      <w:pPr>
        <w:pStyle w:val="TextoNormalCentrado"/>
        <w:keepNext/>
      </w:pPr>
    </w:p>
    <w:p w14:paraId="308FF928" w14:textId="77777777" w:rsidR="008D479B" w:rsidRDefault="008D479B" w:rsidP="008D479B">
      <w:pPr>
        <w:pStyle w:val="TextoNormalCentrado"/>
        <w:keepNext/>
      </w:pPr>
    </w:p>
    <w:p w14:paraId="6AE07449" w14:textId="77777777" w:rsidR="008D479B" w:rsidRDefault="008D479B" w:rsidP="008D479B">
      <w:pPr>
        <w:pStyle w:val="TextoNormal"/>
      </w:pPr>
      <w:r>
        <w:t>la siguiente</w:t>
      </w:r>
    </w:p>
    <w:p w14:paraId="579E1AE6" w14:textId="677ABE39" w:rsidR="008D479B" w:rsidRDefault="008D479B" w:rsidP="008D479B">
      <w:pPr>
        <w:pStyle w:val="TextoNormal"/>
      </w:pPr>
    </w:p>
    <w:p w14:paraId="5D94C3FF" w14:textId="77777777" w:rsidR="008D479B" w:rsidRDefault="008D479B" w:rsidP="008D479B">
      <w:pPr>
        <w:pStyle w:val="TextoNormalCentrado"/>
        <w:keepNext/>
      </w:pPr>
      <w:r>
        <w:t>SENTENCIA</w:t>
      </w:r>
    </w:p>
    <w:p w14:paraId="4196FCF7" w14:textId="58736273" w:rsidR="008D479B" w:rsidRDefault="008D479B" w:rsidP="008D479B">
      <w:pPr>
        <w:pStyle w:val="TextoNormalCentrado"/>
        <w:keepNext/>
      </w:pPr>
    </w:p>
    <w:p w14:paraId="0EB7F897" w14:textId="77777777" w:rsidR="008D479B" w:rsidRDefault="008D479B" w:rsidP="008D479B">
      <w:pPr>
        <w:pStyle w:val="TextoNormal"/>
      </w:pPr>
      <w:r>
        <w:t>En el recurso de amparo electoral núm. 5529-2023, promovido por doña Cristina Pavón López, representante provincial del Partido Socialista Obrero Español de Madrid, el Partido Socialista Obrero Español y por don Javier Rodríguez Palacios, representados por la procuradora de los tribunales doña Virginia Aragón Segura y bajo la dirección del letrado don Alberto Cachinero Capitán y la letrada doña Verónica Gutiérrez López, interpuesto contra la sentencia núm. 1105/2023 de la Sala de lo Contencioso-Administrativo del Tribunal Supremo, dictada el 25 de agosto de 2023 que desestimó el recurso contencioso-administrativo electoral núm. 779-2023 interpuesto contra el acuerdo de 8 de agosto de 2023 de la Junta Electoral Provincial de Madrid en el proceso electoral de elecciones a las Cortes Generales del año 2023, por el que se procedió a la proclamación de los diputados electos en la provincia de Madrid para el Congreso de los Diputados, confirmando dicha resolución. Han sido parte el Partido Popular, don Carlos García Adanero, el partido político Vox y la coalición electoral Sumar, y ha intervenido el Ministerio Fiscal. Ha sido ponente la magistrada doña Laura Díez Bueso.</w:t>
      </w:r>
    </w:p>
    <w:p w14:paraId="7705150E" w14:textId="3BBE4DB5" w:rsidR="008D479B" w:rsidRDefault="008D479B" w:rsidP="008D479B">
      <w:pPr>
        <w:pStyle w:val="TextoNormal"/>
      </w:pPr>
    </w:p>
    <w:p w14:paraId="305C2551" w14:textId="77777777" w:rsidR="008D479B" w:rsidRDefault="008D479B" w:rsidP="008D479B">
      <w:pPr>
        <w:pStyle w:val="TextoNormalNegritaCentrado"/>
        <w:keepNext/>
      </w:pPr>
      <w:r>
        <w:t>I. Antecedentes</w:t>
      </w:r>
    </w:p>
    <w:p w14:paraId="185FD250" w14:textId="2F141451" w:rsidR="008D479B" w:rsidRDefault="008D479B" w:rsidP="008D479B">
      <w:pPr>
        <w:pStyle w:val="TextoNormalNegritaCentrado"/>
        <w:keepNext/>
      </w:pPr>
    </w:p>
    <w:p w14:paraId="3C0E2694" w14:textId="71CE8FAA" w:rsidR="008D479B" w:rsidRDefault="008D479B" w:rsidP="008D479B">
      <w:pPr>
        <w:pStyle w:val="TextoNormal"/>
      </w:pPr>
      <w:r w:rsidRPr="008D479B">
        <w:rPr>
          <w:rStyle w:val="NumeroAFNegritaCaracter"/>
        </w:rPr>
        <w:t>1</w:t>
      </w:r>
      <w:r>
        <w:t>. Por escrito registrado en este tribunal el 28 de agosto de 2023, el Partido Socialista Obrero Español y don Javier Rodríguez Palacios, representados por la procuradora de los tribunales doña Virginia Aragón Segura y bajo la dirección del letrado don Alberto Cachinero Capitán y la letrada doña Verónica Gutiérrez López, interpusieron recurso de amparo contra la sentencia núm. 1105/2023 de la Sala de lo Contencioso-Administrativo del Tribunal Supremo, dictada el 25 de agosto de 2023 en el recurso contencioso-administrativo electoral núm. 779-2023.</w:t>
      </w:r>
    </w:p>
    <w:p w14:paraId="3795A5B4" w14:textId="77777777" w:rsidR="008D479B" w:rsidRDefault="008D479B" w:rsidP="008D479B">
      <w:pPr>
        <w:pStyle w:val="TextoNormal"/>
      </w:pPr>
    </w:p>
    <w:p w14:paraId="6C79AEAA" w14:textId="77777777" w:rsidR="008D479B" w:rsidRDefault="008D479B" w:rsidP="008D479B">
      <w:pPr>
        <w:pStyle w:val="TextoNormal"/>
      </w:pPr>
      <w:r w:rsidRPr="008D479B">
        <w:rPr>
          <w:rStyle w:val="NumeroAFNegritaCaracter"/>
        </w:rPr>
        <w:t>2</w:t>
      </w:r>
      <w:r>
        <w:t>. El recurso tiene su origen en los siguientes antecedentes:</w:t>
      </w:r>
    </w:p>
    <w:p w14:paraId="00580B2C" w14:textId="77777777" w:rsidR="008D479B" w:rsidRDefault="008D479B" w:rsidP="008D479B">
      <w:pPr>
        <w:pStyle w:val="TextoNormal"/>
      </w:pPr>
    </w:p>
    <w:p w14:paraId="34D3F6D6" w14:textId="77777777" w:rsidR="008D479B" w:rsidRDefault="008D479B" w:rsidP="008D479B">
      <w:pPr>
        <w:pStyle w:val="TextoNormal"/>
      </w:pPr>
      <w:r>
        <w:t>a) El pasado 23 de julio de 2023 se celebraron elecciones a las Cortes Generales, convocadas mediante el Real Decreto 400/2023, de 29 de mayo, de disolución del Congreso de los Diputados y del Senado y de convocatoria de elecciones. En las candidaturas proclamadas para la circunscripción de Madrid para el Congreso de los Diputados por el Partido Socialista Obrero Español (PSOE) consta don Javier Rodríguez Palacios, con el núm. 11, y por el Partido Popular (PP) consta don Carlos García Adanero, con el núm. 16.</w:t>
      </w:r>
    </w:p>
    <w:p w14:paraId="2419250E" w14:textId="77777777" w:rsidR="008D479B" w:rsidRDefault="008D479B" w:rsidP="008D479B">
      <w:pPr>
        <w:pStyle w:val="TextoNormal"/>
      </w:pPr>
    </w:p>
    <w:p w14:paraId="3CB851CF" w14:textId="77777777" w:rsidR="008D479B" w:rsidRDefault="008D479B" w:rsidP="008D479B">
      <w:pPr>
        <w:pStyle w:val="TextoNormal"/>
      </w:pPr>
      <w:r>
        <w:t>b) El 28 de julio de 2023 tuvo lugar el escrutinio de la circunscripción de Madrid del voto CERA (censo de electores residentes ausentes que viven en el extranjero) y el escrutinio general de la circunscripción de Madrid por la Junta Electoral Provincial de Madrid. Así, los datos provisionales de la circunscripción de Madrid para el Congreso de los Diputados arrojaban un resultado de un 40,51 por 100 de voto al PP (1 443 881 votos, con quince escaños) y del 27,88 por 100 al PSOE (993 870 votos, con once escaños), quedando el PP a 1749 votos de obtener un decimosexto diputado.</w:t>
      </w:r>
    </w:p>
    <w:p w14:paraId="2D8E6271" w14:textId="77777777" w:rsidR="008D479B" w:rsidRDefault="008D479B" w:rsidP="008D479B">
      <w:pPr>
        <w:pStyle w:val="TextoNormal"/>
      </w:pPr>
    </w:p>
    <w:p w14:paraId="0F72A233" w14:textId="77777777" w:rsidR="008D479B" w:rsidRDefault="008D479B" w:rsidP="008D479B">
      <w:pPr>
        <w:pStyle w:val="TextoNormal"/>
      </w:pPr>
      <w:r>
        <w:t>c) El escrutinio del voto CERA, concluyó, según el acta de escrutinio, a las 14:00 horas del día 29 de julio, procediendo la Junta Electoral Provincial de Madrid ese mismo día a realizar públicamente y en presencia de los representantes de las candidaturas la comparación de las actas de sesión de los sobres núm. 1 de las mesas electorales con los datos provisionales de la administración pública. Finalizada la operación, y una vez integrado el escrutinio del voto CERA, se trasladó por correo electrónico a las formaciones políticas el resultado obtenido, que resultó ser el siguiente: 41,09 por 100 de voto al PP (1 463 112 votos, con dieciséis escaños) y del 28,21 por 100 al PSOE (1 004 567 votos, con diez escaños). El PSOE había quedado a 1323 votos de obtener su decimoprimer diputado.</w:t>
      </w:r>
    </w:p>
    <w:p w14:paraId="18DF6DBC" w14:textId="77777777" w:rsidR="008D479B" w:rsidRDefault="008D479B" w:rsidP="008D479B">
      <w:pPr>
        <w:pStyle w:val="TextoNormal"/>
      </w:pPr>
    </w:p>
    <w:p w14:paraId="7CF49297" w14:textId="77777777" w:rsidR="008D479B" w:rsidRDefault="008D479B" w:rsidP="008D479B">
      <w:pPr>
        <w:pStyle w:val="TextoNormal"/>
      </w:pPr>
      <w:r>
        <w:t>d) El 30 de julio, antes de la finalización del escrutinio general por la junta electoral provincial, el PSOE solicitó por escrito la conservación de todo el voto declarado nulo protestado, del declarado válido y protestado por su candidatura, así como del voto declarado inválido por falta de requisitos de validez del voto CERA, ante la ausencia del conocimiento del dato previo del voto recibido y su no revisión pormenorizada. Igualmente requería los datos del voto recibido de los consulados emitidos en urna, voto por correo exterior y voto por correo CERA-CER y del voto declarado inválido del voto emitido en urna en los consulados, voto por correo exterior, y voto por correo CERA-CER.</w:t>
      </w:r>
    </w:p>
    <w:p w14:paraId="5991FD63" w14:textId="77777777" w:rsidR="008D479B" w:rsidRDefault="008D479B" w:rsidP="008D479B">
      <w:pPr>
        <w:pStyle w:val="TextoNormal"/>
      </w:pPr>
    </w:p>
    <w:p w14:paraId="5D3A5F9A" w14:textId="77777777" w:rsidR="008D479B" w:rsidRDefault="008D479B" w:rsidP="008D479B">
      <w:pPr>
        <w:pStyle w:val="TextoNormal"/>
      </w:pPr>
      <w:r>
        <w:t>Posteriormente, ese mismo día, presentó escrito solicitando: (i) Continuar el escrutinio general en un acto público, con la participación de los representantes de todas las candidaturas que considerasen asistir, permitiendo examinar las papeletas y votos nulos en todas y cada una de las secciones, que correspondieran a todas las actas de las secciones/mesas de la Comunidad de Madrid; (ii) Efectuar en ese acto público, la apertura de todos los votos nulos que constaran en los sobres núm. 1, de forma que la junta electoral provincial validara aquellos que cumplieran los requisitos necesarios y que pudieran impugnarse que las candidaturas considerasen oportunos, en su caso, a los efectos de posibles recursos frente al escrutinio general.</w:t>
      </w:r>
    </w:p>
    <w:p w14:paraId="7B4EBECE" w14:textId="77777777" w:rsidR="008D479B" w:rsidRDefault="008D479B" w:rsidP="008D479B">
      <w:pPr>
        <w:pStyle w:val="TextoNormal"/>
      </w:pPr>
    </w:p>
    <w:p w14:paraId="3A628C58" w14:textId="77777777" w:rsidR="008D479B" w:rsidRDefault="008D479B" w:rsidP="008D479B">
      <w:pPr>
        <w:pStyle w:val="TextoNormal"/>
      </w:pPr>
      <w:r>
        <w:t>e) Tras dar audiencia al resto de candidaturas, la junta electoral provincial dictó los acuerdos 29 y 30, desestimando la petición de revisión de la totalidad del voto nulo de la Comunidad de Madrid.</w:t>
      </w:r>
    </w:p>
    <w:p w14:paraId="5C99548B" w14:textId="77777777" w:rsidR="008D479B" w:rsidRDefault="008D479B" w:rsidP="008D479B">
      <w:pPr>
        <w:pStyle w:val="TextoNormal"/>
      </w:pPr>
    </w:p>
    <w:p w14:paraId="4E61C388" w14:textId="77777777" w:rsidR="008D479B" w:rsidRDefault="008D479B" w:rsidP="008D479B">
      <w:pPr>
        <w:pStyle w:val="TextoNormal"/>
      </w:pPr>
      <w:r>
        <w:t>Seguidamente se procedió por la junta electoral provincial a la revisión de las actas del Congreso, a la de los sobres núm. 1 que contenía los votos nulos que fueron protestados en las mesas y a la de las actas del Senado. Después de esta operación se declararon válidos un total de 140 votos que habían sido considerados nulos (PP: 74; PSOE: 32; Sumar: 12; Vox: 21 y Por un Mundo Justo PUM+J: 1).</w:t>
      </w:r>
    </w:p>
    <w:p w14:paraId="1CF25670" w14:textId="77777777" w:rsidR="008D479B" w:rsidRDefault="008D479B" w:rsidP="008D479B">
      <w:pPr>
        <w:pStyle w:val="TextoNormal"/>
      </w:pPr>
    </w:p>
    <w:p w14:paraId="51C3A997" w14:textId="77777777" w:rsidR="008D479B" w:rsidRDefault="008D479B" w:rsidP="008D479B">
      <w:pPr>
        <w:pStyle w:val="TextoNormal"/>
      </w:pPr>
      <w:r>
        <w:t>f) Realizado el escrutinio del Congreso de los Diputados por la circunscripción de Madrid, tal como se recoge en el acta, se arrojan los siguientes resultados: un 40,55 por 100 de voto al PP (1 463 186 votos, con dieciséis escaños) y un 27,84 por 100 al PSOE (1 004 599 votos, con diez escaños); y un número de votos nulos totales de 30 824. Es decir, que el PSOE había quedado a 1341 votos de obtener su decimoprimer diputado.</w:t>
      </w:r>
    </w:p>
    <w:p w14:paraId="7A742B59" w14:textId="77777777" w:rsidR="008D479B" w:rsidRDefault="008D479B" w:rsidP="008D479B">
      <w:pPr>
        <w:pStyle w:val="TextoNormal"/>
      </w:pPr>
    </w:p>
    <w:p w14:paraId="66E59CC7" w14:textId="77777777" w:rsidR="008D479B" w:rsidRDefault="008D479B" w:rsidP="008D479B">
      <w:pPr>
        <w:pStyle w:val="TextoNormal"/>
      </w:pPr>
      <w:r>
        <w:t>g) El 31 de julio de 2023, conforme a lo previsto en el artículo 108.2 de la Ley Orgánica del régimen electoral general (LOREG), el PSOE presentó reclamación frente al escrutinio general de Madrid realizado por la Junta Electoral Provincial de Madrid, que fue desestimada por acuerdo núm. 31, de 1 de agosto, al entender que lo que se solicitaba era una revisión total del voto declarado nulo en la circunscripción electoral de Madrid, no habiéndose alegado circunstancia especial que justificara tal revisión.</w:t>
      </w:r>
    </w:p>
    <w:p w14:paraId="0465214F" w14:textId="77777777" w:rsidR="008D479B" w:rsidRDefault="008D479B" w:rsidP="008D479B">
      <w:pPr>
        <w:pStyle w:val="TextoNormal"/>
      </w:pPr>
    </w:p>
    <w:p w14:paraId="34C2C8D0" w14:textId="77777777" w:rsidR="008D479B" w:rsidRDefault="008D479B" w:rsidP="008D479B">
      <w:pPr>
        <w:pStyle w:val="TextoNormal"/>
      </w:pPr>
      <w:r>
        <w:t>h) Interpuesto recurso contra el acuerdo núm. 30 de la Junta Electoral Provincial de Madrid ante la Junta Electoral Central, el mismo fue desestimado por acuerdo núm. 555-2023, de 7 de agosto. En esta resolución se razona:</w:t>
      </w:r>
    </w:p>
    <w:p w14:paraId="73FF2AA4" w14:textId="77777777" w:rsidR="008D479B" w:rsidRDefault="008D479B" w:rsidP="008D479B">
      <w:pPr>
        <w:pStyle w:val="TextoNormal"/>
      </w:pPr>
    </w:p>
    <w:p w14:paraId="1EE716FD" w14:textId="77777777" w:rsidR="008D479B" w:rsidRDefault="008D479B" w:rsidP="008D479B">
      <w:pPr>
        <w:pStyle w:val="TextoNormal"/>
      </w:pPr>
      <w:r>
        <w:t>“En el caso que ahora se le plantea a esta Junta no se aduce ningún motivo o indicio de irregularidad, pero se le pide que acuerde repetir el escrutinio general hecho por la Junta Electoral Provincial de Madrid de los votos emitidos en las 7118 mesas electorales de la circunscripción de Madrid, para poder revisar los votos considerados nulos, todo ello a pesar de que ni siquiera el partido recurrente cuestiona la regularidad del procedimiento seguido. Se persigue, en suma, convertir a la Junta Electoral Provincial en una mesa de revisión universal de todos los votos declarados nulos por todas las mesas de la circunscripción sin aducir una irregularidad concreta que justifique ese examen. Una medida de esa naturaleza en opinión de esta Junta, carece de anclaje constitucional y legal puesto que desfiguraría radicalmente el procedimiento previsto en la LOREG, impediría cumplir con los plazos legales establecidos y podría incluso afectar a la constitución de las Cámaras (puesto que esa revisión tendría que dar lugar a un nuevo plazo de reclamación por los representantes de las candidaturas, conforme al artículo 108.2 de la LOREG, nueva resolución de la Junta Electoral Provincial y eventual recurso posterior ante la Junta Electoral Central conforme a lo establecido en el artículo 108.3 de la LOREG)”.</w:t>
      </w:r>
    </w:p>
    <w:p w14:paraId="4ADC5B38" w14:textId="77777777" w:rsidR="008D479B" w:rsidRDefault="008D479B" w:rsidP="008D479B">
      <w:pPr>
        <w:pStyle w:val="TextoNormal"/>
      </w:pPr>
    </w:p>
    <w:p w14:paraId="7C3702D2" w14:textId="77777777" w:rsidR="008D479B" w:rsidRDefault="008D479B" w:rsidP="008D479B">
      <w:pPr>
        <w:pStyle w:val="TextoNormal"/>
      </w:pPr>
      <w:r>
        <w:t xml:space="preserve">i) Con fecha 8 de agosto de 2023 la Junta Electoral Provincial de Madrid procedió, </w:t>
      </w:r>
      <w:r w:rsidRPr="008D479B">
        <w:rPr>
          <w:i/>
        </w:rPr>
        <w:t>ex</w:t>
      </w:r>
      <w:r>
        <w:t xml:space="preserve"> art. 108. 4 y 6 LOREG, a la proclamación oficial de los diputados electos para el Congreso de los Diputados en las elecciones generales por la circunscripción de Madrid, levantando acta que fue comunicada al PSOE por correo electrónico ese mismo día, y en la que se atribuyen dieciséis diputados al PP, con 1 463 183 votos (40,54 por 100) y diez al PSOE (27,84 por 100), con 1 004 599 votos, considerando un total de 30 827 votos nulos.</w:t>
      </w:r>
    </w:p>
    <w:p w14:paraId="3779A9A9" w14:textId="77777777" w:rsidR="008D479B" w:rsidRDefault="008D479B" w:rsidP="008D479B">
      <w:pPr>
        <w:pStyle w:val="TextoNormal"/>
      </w:pPr>
    </w:p>
    <w:p w14:paraId="0962F106" w14:textId="77777777" w:rsidR="008D479B" w:rsidRDefault="008D479B" w:rsidP="008D479B">
      <w:pPr>
        <w:pStyle w:val="TextoNormal"/>
      </w:pPr>
      <w:r>
        <w:t>j) Interpuesto recurso contencioso-administrativo electoral contra el acuerdo de proclamación de diputados electos para el Congreso de los Diputados, el mismo fue desestimado por sentencia de 25 de agosto de 2023 de la Sala de lo Contencioso-Administrativo del Tribunal Supremo, notificada ese mismo día.</w:t>
      </w:r>
    </w:p>
    <w:p w14:paraId="300F2E2F" w14:textId="77777777" w:rsidR="008D479B" w:rsidRDefault="008D479B" w:rsidP="008D479B">
      <w:pPr>
        <w:pStyle w:val="TextoNormal"/>
      </w:pPr>
    </w:p>
    <w:p w14:paraId="222E74E8" w14:textId="77777777" w:rsidR="008D479B" w:rsidRDefault="008D479B" w:rsidP="008D479B">
      <w:pPr>
        <w:pStyle w:val="TextoNormal"/>
      </w:pPr>
      <w:r>
        <w:t>La sentencia descarta que el recurso incurriera en los motivos de inadmisión alegados por el Partido Popular. Afirma, en primer lugar, que la petición formulada por el PSOE durante el acto del escrutinio general y antes de que finalizara el mismo fue tempestiva, se formuló en una fase del procedimiento electoral oportuna, al igual que la impugnación de los acuerdos de la Junta Electoral Provincial de Madrid y Junta Electoral Central se hizo por el cauce oportuno. Tampoco se observan óbices procesales, ni ejercicio abusivo del derecho, pues —a decir de la Sala— “lo que se suscita no es algo que haya sido expresa y claramente abordado por el legislador ni por la jurisprudencia ordinaria o constitucional. Por tanto, ante lo evidente de la repercusión que posee adoptar una u otra decisión interpretativa, admitimos como legítimo, no abusivo, el acudimiento a los recursos administrativos y contenciosos que la propia LOREG ha establecido”. Y fija la cuestión debatida en determinar la legalidad de la actuación de la Junta Electoral Provincial de Madrid, ratificada por la Junta Electoral Central, de denegar la solicitud del PSOE de revisar la totalidad de los votos nulos de la circunscripción electoral de Madrid incluidos en los sobres núm. 1 remitidos por cada una de las 7104 mesas, con único fundamento en el ajustado resultado final en relación con el último escaño disputado que tras el recuento del voto CERA se atribuyó al PP.</w:t>
      </w:r>
    </w:p>
    <w:p w14:paraId="377F5882" w14:textId="77777777" w:rsidR="008D479B" w:rsidRDefault="008D479B" w:rsidP="008D479B">
      <w:pPr>
        <w:pStyle w:val="TextoNormal"/>
      </w:pPr>
    </w:p>
    <w:p w14:paraId="272F7656" w14:textId="77777777" w:rsidR="008D479B" w:rsidRDefault="008D479B" w:rsidP="008D479B">
      <w:pPr>
        <w:pStyle w:val="TextoNormal"/>
      </w:pPr>
      <w:r>
        <w:t>Tras repasar la doctrina constitucional sobre el derecho fundamental a acceder a los cargos públicos representativos garantizado en el art. 23.2 CE, analizando especialmente aquellas sentencias en las que se habían planteado discrepancias en el cómputo de votos (SSTC 24/1990, de 15 de febrero, FJ 8; 26/1990, de 19 de febrero, FJ 9; 131/1990, de 16 de julio, FJ 6; 166/1991, de 19 de julio, FFJJ 2 y 3, y 105/2012, de 11 de mayo) subraya que en todos aquellos supuestos se partía de la concurrencia de un vicio o irregularidad previa en el proceso electoral.</w:t>
      </w:r>
    </w:p>
    <w:p w14:paraId="1B35C4B2" w14:textId="77777777" w:rsidR="008D479B" w:rsidRDefault="008D479B" w:rsidP="008D479B">
      <w:pPr>
        <w:pStyle w:val="TextoNormal"/>
      </w:pPr>
    </w:p>
    <w:p w14:paraId="016942E5" w14:textId="77777777" w:rsidR="008D479B" w:rsidRDefault="008D479B" w:rsidP="008D479B">
      <w:pPr>
        <w:pStyle w:val="TextoNormal"/>
      </w:pPr>
      <w:r>
        <w:t>Acto seguido, tras analizar la STC 159/2015, de 14 de julio, relativa también a un supuesto en el que se solicitó por un partido político la revisión de todo el voto nulo no protestado, señala que dicha sentencia indica “los sucesivos peldaños que el razonamiento jurídico ha de subir hasta desembocar, en su caso, en el otorgamiento del amparo en favor de quien postula el examen de todos los votos nulos habidos en las elecciones: (1) Debe haber observado un comportamiento diligente a lo largo del procedimiento. (2) La reclamación formulada jurisdiccionalmente no debe ser abusiva. (3) Ha de existir un conjunto de circunstancias que justifiquen una solicitud de revisión escrutadora tan amplia. (4) Es imprescindible superar el juicio de relevancia”.</w:t>
      </w:r>
    </w:p>
    <w:p w14:paraId="05657578" w14:textId="77777777" w:rsidR="008D479B" w:rsidRDefault="008D479B" w:rsidP="008D479B">
      <w:pPr>
        <w:pStyle w:val="TextoNormal"/>
      </w:pPr>
    </w:p>
    <w:p w14:paraId="293EF0CE" w14:textId="77777777" w:rsidR="008D479B" w:rsidRDefault="008D479B" w:rsidP="008D479B">
      <w:pPr>
        <w:pStyle w:val="TextoNormal"/>
      </w:pPr>
      <w:r>
        <w:t>Señala la sentencia que, en el presente caso, se han superado los dos primeros pasos, pero no así los siguientes. En tal sentido afirma que el partido recurrente no solo no ha identificado irregularidad o anomalía alguna, sino que reconoce abiertamente que no las hubo ni en las mesas electorales, ni en el procedimiento de escrutinio. Y, por ello, insiste en aclarar que no existe un derecho general a la revisión de las papeletas nulas no protestadas, sino que tal derecho se puede ejercitar cuando existe una razón para su revisión.</w:t>
      </w:r>
    </w:p>
    <w:p w14:paraId="5D63CF84" w14:textId="77777777" w:rsidR="008D479B" w:rsidRDefault="008D479B" w:rsidP="008D479B">
      <w:pPr>
        <w:pStyle w:val="TextoNormal"/>
      </w:pPr>
    </w:p>
    <w:p w14:paraId="1894269F" w14:textId="4B1398DB" w:rsidR="008D479B" w:rsidRDefault="008D479B" w:rsidP="008D479B">
      <w:pPr>
        <w:pStyle w:val="TextoNormal"/>
      </w:pPr>
      <w:r>
        <w:t>Por último, la sentencia analiza el juicio de relevancia, esto es, la necesidad de que resulte probable que la revisión solicitada pueda determinar cambios en la atribución final del escaño controvertido. La sentencia desestima el argumento ofrecido por el partido recurrente, considerando que la muestra ofrecida no es significativa ni representativa y motivando con detalle las razones por las que considera que no existen datos objetivos que permitan concluir sobre la probabilidad de que la revisión de todo el voto nulo no protestado pudiera incidir en el resultado total del escrutinio.</w:t>
      </w:r>
    </w:p>
    <w:p w14:paraId="132E378D" w14:textId="77777777" w:rsidR="008D479B" w:rsidRDefault="008D479B" w:rsidP="008D479B">
      <w:pPr>
        <w:pStyle w:val="TextoNormal"/>
      </w:pPr>
    </w:p>
    <w:p w14:paraId="74497F83" w14:textId="77777777" w:rsidR="008D479B" w:rsidRDefault="008D479B" w:rsidP="008D479B">
      <w:pPr>
        <w:pStyle w:val="TextoNormal"/>
      </w:pPr>
      <w:r w:rsidRPr="008D479B">
        <w:rPr>
          <w:rStyle w:val="NumeroAFNegritaCaracter"/>
        </w:rPr>
        <w:t>3</w:t>
      </w:r>
      <w:r>
        <w:t>. La demanda de amparo denuncia la vulneración del derecho fundamental de sufragio pasivo (art. 23.1 CE) y del derecho fundamental a acceder en condiciones de igualdad a las funciones y cargos públicos (art. 23.2 CE).</w:t>
      </w:r>
    </w:p>
    <w:p w14:paraId="1EB6F941" w14:textId="77777777" w:rsidR="008D479B" w:rsidRDefault="008D479B" w:rsidP="008D479B">
      <w:pPr>
        <w:pStyle w:val="TextoNormal"/>
      </w:pPr>
    </w:p>
    <w:p w14:paraId="3DF6D39A" w14:textId="77777777" w:rsidR="008D479B" w:rsidRDefault="008D479B" w:rsidP="008D479B">
      <w:pPr>
        <w:pStyle w:val="TextoNormal"/>
      </w:pPr>
      <w:r>
        <w:t>Señala la demanda de amparo que la STC 159/2015, de 14 de julio, ha reconocido el derecho a la revisión de la totalidad de los votos nulos como parte del contenido esencial del derecho fundamental al sufragio pasivo (art. 23.1 CE). Igualmente sostiene la demanda que tanto los acuerdos de la Junta Electoral Provincial de Madrid y de la Junta Electoral Central hacen una interpretación errónea de dicha STC 159/2015, sometiendo el ejercicio del derecho a solicitar la revisión de la totalidad del voto nulo no protestado a requisitos que la LOREG no contempla, efectuando una interpretación restrictiva de las normas legales y limitando el contenido esencial del derecho fundamental sin habilitación legal expresa.</w:t>
      </w:r>
    </w:p>
    <w:p w14:paraId="16DC7884" w14:textId="77777777" w:rsidR="008D479B" w:rsidRDefault="008D479B" w:rsidP="008D479B">
      <w:pPr>
        <w:pStyle w:val="TextoNormal"/>
      </w:pPr>
    </w:p>
    <w:p w14:paraId="11619C96" w14:textId="77777777" w:rsidR="008D479B" w:rsidRDefault="008D479B" w:rsidP="008D479B">
      <w:pPr>
        <w:pStyle w:val="TextoNormal"/>
      </w:pPr>
      <w:r>
        <w:t>Por un lado, la demanda aborda en diversos pasajes las razones por las que considera que su comportamiento durante el procedimiento electoral debe considerarse como diligente y que la solicitud de revisión de totalidad del voto nulo no debe ser calificada como abusiva.</w:t>
      </w:r>
    </w:p>
    <w:p w14:paraId="4BDDF517" w14:textId="77777777" w:rsidR="008D479B" w:rsidRDefault="008D479B" w:rsidP="008D479B">
      <w:pPr>
        <w:pStyle w:val="TextoNormal"/>
      </w:pPr>
    </w:p>
    <w:p w14:paraId="1C03CD94" w14:textId="77777777" w:rsidR="008D479B" w:rsidRDefault="008D479B" w:rsidP="008D479B">
      <w:pPr>
        <w:pStyle w:val="TextoNormal"/>
      </w:pPr>
      <w:r>
        <w:t>Por otro lado, en relación con la exigencia para la revisión del voto nulo de invocar una causa o un indicio de irregularidades concretas, los recurrentes en amparo sostienen que tanto los acuerdos de la Junta Electoral Central como la sentencia del Tribunal Supremo hacen doctrina general del análisis del caso particular resuelto por la STC 159/2015. A juicio de los recurrentes la mencionada STC 159/2015 no exige necesariamente la concurrencia de alguna irregularidad concreta.</w:t>
      </w:r>
    </w:p>
    <w:p w14:paraId="6820244B" w14:textId="77777777" w:rsidR="008D479B" w:rsidRDefault="008D479B" w:rsidP="008D479B">
      <w:pPr>
        <w:pStyle w:val="TextoNormal"/>
      </w:pPr>
    </w:p>
    <w:p w14:paraId="658FB617" w14:textId="77777777" w:rsidR="008D479B" w:rsidRDefault="008D479B" w:rsidP="008D479B">
      <w:pPr>
        <w:pStyle w:val="TextoNormal"/>
      </w:pPr>
      <w:r>
        <w:t>Por lo que se refiere al juicio de relevancia, la demanda de amparo sostiene, frente a las resoluciones recurridas, en primer lugar, que la doctrina constitucional “no considera necesaria la aplicación de criterios de proporcionalidad o juicios de relevancia”. Tras esto, procede a defender el juicio de probabilidad que ha venido sosteniendo tanto en el procedimiento electoral como en sede de recurso contencioso-electoral, concluyendo que “no es posible afirmar con un margen de seguridad que en ningún caso se alcanzará el número necesario para poder alterar el resultado”.</w:t>
      </w:r>
    </w:p>
    <w:p w14:paraId="7C819193" w14:textId="77777777" w:rsidR="008D479B" w:rsidRDefault="008D479B" w:rsidP="008D479B">
      <w:pPr>
        <w:pStyle w:val="TextoNormal"/>
      </w:pPr>
    </w:p>
    <w:p w14:paraId="31C84378" w14:textId="1B5EED00" w:rsidR="008D479B" w:rsidRDefault="008D479B" w:rsidP="008D479B">
      <w:pPr>
        <w:pStyle w:val="TextoNormal"/>
      </w:pPr>
      <w:r>
        <w:t>Por último, afirma la demanda de amparo que la sentencia recurrida vulnera el derecho fundamental de los ciudadanos a acceder en condiciones de igualdad a las funciones y cargos públicos (art. 23.2 CE), al impedir conocer la verdadera voluntad de los electores manifestada en el proceso electoral, pues, según afirma, el criterio de las juntas electorales en relación con la revisión de votos nulos es distinto en las elecciones locales, en las que afirma que se viene admitiendo, frente a la práctica seguida en las elecciones cuyo ámbito es provincial o mayor.</w:t>
      </w:r>
    </w:p>
    <w:p w14:paraId="387B82B9" w14:textId="77777777" w:rsidR="008D479B" w:rsidRDefault="008D479B" w:rsidP="008D479B">
      <w:pPr>
        <w:pStyle w:val="TextoNormal"/>
      </w:pPr>
    </w:p>
    <w:p w14:paraId="04773833" w14:textId="1DDAE1FE" w:rsidR="008D479B" w:rsidRDefault="008D479B" w:rsidP="008D479B">
      <w:pPr>
        <w:pStyle w:val="TextoNormal"/>
      </w:pPr>
      <w:r w:rsidRPr="008D479B">
        <w:rPr>
          <w:rStyle w:val="NumeroAFNegritaCaracter"/>
        </w:rPr>
        <w:t>4</w:t>
      </w:r>
      <w:r>
        <w:t>. Mediante auto de 5 de septiembre de 2023 la Sala Segunda de este tribunal acordó admitir a trámite el recurso presentado, señalando como causas de especial trascendencia constitucional (art. 50.1 de la Ley Orgánica del Tribunal Constitucional) que el recurso puede dar ocasión al Tribunal para perfilar y aclarar la doctrina que, sobre la revisión de la totalidad de los votos nulos no protestados, quedó establecida en la STC 159/2015, de 14 de julio, [STC 155/2009, FJ 2 b)]; y que el asunto trasciende el caso concreto porque pudiera tener consecuencias políticas generales [STC 155/2009, FJ 2 g)]. Del mismo modo, de conformidad con el art. 3 del acuerdo de 20 de enero de 2000 del Pleno del Tribunal Constitucional, por el que se aprueban normas sobre tramitación de los recursos de amparo a que se refiere la Ley Orgánica 5/1985, de 19 de junio, del régimen electoral general, acordó recabar de la Sala de lo Contencioso-Administrativo del Tribunal Supremo el envío urgente de las actuaciones correspondientes, incluidos el expediente electoral y el informe emitido por la Junta Electoral, previo emplazamiento de las partes, excepto a los recurrentes en amparo, para que en el plazo de tres días pudieran comparecer ante este tribunal y formular alegaciones, así como dar vista al Ministerio Fiscal de la demanda presentada para que en el plazo de cinco días pudiera formular alegaciones.</w:t>
      </w:r>
    </w:p>
    <w:p w14:paraId="6E25102D" w14:textId="77777777" w:rsidR="008D479B" w:rsidRDefault="008D479B" w:rsidP="008D479B">
      <w:pPr>
        <w:pStyle w:val="TextoNormal"/>
      </w:pPr>
    </w:p>
    <w:p w14:paraId="27490A86" w14:textId="1109D3D1" w:rsidR="008D479B" w:rsidRDefault="008D479B" w:rsidP="008D479B">
      <w:pPr>
        <w:pStyle w:val="TextoNormal"/>
      </w:pPr>
      <w:r w:rsidRPr="008D479B">
        <w:rPr>
          <w:rStyle w:val="NumeroAFNegritaCaracter"/>
        </w:rPr>
        <w:t>5</w:t>
      </w:r>
      <w:r>
        <w:t>. Por escrito presentado en este tribunal el 7 de septiembre de 2023, la representación procesal del Partido Popular formuló incidente de recusación respecto de la magistrada doña Laura Díez Bueso. Por auto de 11 de septiembre de 2023, la Sala Segunda del Tribunal Constitucional acordó por unanimidad no admitir a trámite la recusación.</w:t>
      </w:r>
    </w:p>
    <w:p w14:paraId="0FDD2E09" w14:textId="77777777" w:rsidR="008D479B" w:rsidRDefault="008D479B" w:rsidP="008D479B">
      <w:pPr>
        <w:pStyle w:val="TextoNormal"/>
      </w:pPr>
    </w:p>
    <w:p w14:paraId="7D4CE6E0" w14:textId="77777777" w:rsidR="008D479B" w:rsidRDefault="008D479B" w:rsidP="008D479B">
      <w:pPr>
        <w:pStyle w:val="TextoNormal"/>
      </w:pPr>
      <w:r w:rsidRPr="008D479B">
        <w:rPr>
          <w:rStyle w:val="NumeroAFNegritaCaracter"/>
        </w:rPr>
        <w:t>6</w:t>
      </w:r>
      <w:r>
        <w:t>. Mediante escrito registrado el 9 de septiembre de 2023, la representación procesal del Partido Popular y de don Carlos García Adanero se personó en el recurso de amparo y formuló alegaciones al mismo, postulando su desestimación. Tras alegar las razones por las que considera que el recurso debió ser inadmitido por carecer del requisito de la especial trascendencia constitucional, argumenta que no se ha producido el agotamiento de la vía judicial previa en relación con los acuerdos 30 y 31 de la Junta Electoral Provincial de Madrid y los acuerdos 555-2023 y 556-2023 de la Junta Electoral Central, que no fueron objeto de impugnación jurisdiccional, así como que el argumento relativo a la diferencia de trato entre la práctica de las juntas electorales en las elecciones locales y las elecciones generales no fue invocado formalmente en la previa vía jurisdiccional. En cuanto al fondo del asunto, sostiene que la jurisprudencia constitucional no admite la revisión de todos los votos nulos si no existe un vicio o irregularidad previa en el proceso electoral y niega que un resultado ajustado sea motivo válido para ello. Se ratifica en la valoración del juicio de relevancia o probabilidad efectuado por la Junta Electoral Provincial, la Junta Electoral Central y el Tribunal Supremo. Enuncia los principios de conservación de los actos electorales y de presunción de validez de la actuación administrativa y, con base en ellos, afirma que no hay motivo en este momento para anular la proclamación del señor García Adanero. Concluye su escrito suplicando la íntegra desestimación del recurso de amparo.</w:t>
      </w:r>
    </w:p>
    <w:p w14:paraId="246F11C6" w14:textId="77777777" w:rsidR="008D479B" w:rsidRDefault="008D479B" w:rsidP="008D479B">
      <w:pPr>
        <w:pStyle w:val="TextoNormal"/>
      </w:pPr>
    </w:p>
    <w:p w14:paraId="2CADAD30" w14:textId="77777777" w:rsidR="008D479B" w:rsidRDefault="008D479B" w:rsidP="008D479B">
      <w:pPr>
        <w:pStyle w:val="TextoNormal"/>
      </w:pPr>
      <w:r>
        <w:t>En la misma fecha, a través de su representación procesal, el partido político Vox se personó en el procedimiento solicitando la desestimación del recurso de amparo. Tras la trascripción de los fragmentos de la STC 159/2015, de 14 de julio, que tiene por convenientes, afirma que la pretensión deducida por los recurrentes en amparo no tiene encaje en el sistema electoral vigente.</w:t>
      </w:r>
    </w:p>
    <w:p w14:paraId="4AAA0E61" w14:textId="77777777" w:rsidR="008D479B" w:rsidRDefault="008D479B" w:rsidP="008D479B">
      <w:pPr>
        <w:pStyle w:val="TextoNormal"/>
      </w:pPr>
    </w:p>
    <w:p w14:paraId="1704070D" w14:textId="029045CB" w:rsidR="008D479B" w:rsidRDefault="008D479B" w:rsidP="008D479B">
      <w:pPr>
        <w:pStyle w:val="TextoNormal"/>
      </w:pPr>
      <w:r>
        <w:t>Por su parte, también mediante escrito registrado en este tribunal el 9 de septiembre de 2023, se ha personado la coalición electoral Sumar, solicitando la estimación del recurso de amparo. Afirman que al no existir ningún precepto legal o jurisprudencia del Tribunal Constitucional que prevea esa necesidad de irregularidades para proceder a la revisión de los votos nulos, la denegación de tal revisión sí vulnera los derechos fundamentales invocados.</w:t>
      </w:r>
    </w:p>
    <w:p w14:paraId="63EF5117" w14:textId="77777777" w:rsidR="008D479B" w:rsidRDefault="008D479B" w:rsidP="008D479B">
      <w:pPr>
        <w:pStyle w:val="TextoNormal"/>
      </w:pPr>
    </w:p>
    <w:p w14:paraId="754847CB" w14:textId="23388C96" w:rsidR="008D479B" w:rsidRDefault="008D479B" w:rsidP="008D479B">
      <w:pPr>
        <w:pStyle w:val="TextoNormal"/>
      </w:pPr>
      <w:r w:rsidRPr="008D479B">
        <w:rPr>
          <w:rStyle w:val="NumeroAFNegritaCaracter"/>
        </w:rPr>
        <w:t>7</w:t>
      </w:r>
      <w:r>
        <w:t xml:space="preserve">. El Ministerio Fiscal presentó sus alegaciones por escrito registrado en este tribunal el 11 de septiembre de 2023. Comienza indicando que no aprecia ningún óbice procesal y que comparte en su integridad los razonamientos del auto de admisión en cuanto a la especial trascendencia constitucional del recurso, en relación con la necesidad de aclarar la cuestión planteada. Procede a resumir los argumentos de la demanda de amparo. Se opone a la alegación final relativa a la vulneración del derecho de acceso a los cargos públicos representativos en condiciones de igualdad, en relación con el supuesto trato diferente dispensado a las distintas candidaturas electorales según el ámbito de la circunscripción electoral, por carecer del más mínimo desarrollo argumental, así como de sustento fáctico y probatorio. Tras razonar sobre el carácter no absoluto de los derechos fundamentales, examina la doctrina constitucional en materia electoral, con especial consideración a la STC 159/2015, de 14 de julio. Verificado lo anterior, rechaza que exista un derecho incondicionado a la revisión de los votos nulos. En este sentido, explica que del principio de conservación de los actos electorales válidamente celebrados se sigue que no existe base para recabar la tutela del derecho fundamental </w:t>
      </w:r>
      <w:r w:rsidRPr="008D479B">
        <w:rPr>
          <w:i/>
        </w:rPr>
        <w:t>ex</w:t>
      </w:r>
      <w:r>
        <w:t xml:space="preserve"> art. 23 CE si no se acredita un mínimo motivo para presumir, o al menos sospechar, que la declaración de la nulidad de los votos puede afectar efectivamente al derecho del demandante a acceder a un cargo público representativo. E igualmente razona acerca de la falta de proporcionalidad que entraña la revisión de la totalidad de los votos nulos, basada en la exclusiva voluntad de los contendientes electorales. Por todo ello, concluye que la sentencia de la Sala de Vacaciones del Tribunal Supremo se ajusta a la doctrina constitucional sobre la interpretación de la extensión y límites de los derechos fundamentales, que ni dicha sentencia ni las resoluciones de administración electoral vulneraron los derechos fundamentales de los recurrentes en amparo y, en consecuencia, solicita la desestimación del recurso de amparo.</w:t>
      </w:r>
    </w:p>
    <w:p w14:paraId="0FA7A460" w14:textId="77777777" w:rsidR="008D479B" w:rsidRDefault="008D479B" w:rsidP="008D479B">
      <w:pPr>
        <w:pStyle w:val="TextoNormal"/>
      </w:pPr>
    </w:p>
    <w:p w14:paraId="3A115CE8" w14:textId="77777777" w:rsidR="008D479B" w:rsidRDefault="008D479B" w:rsidP="008D479B">
      <w:pPr>
        <w:pStyle w:val="TextoNormalNegritaCentrado"/>
        <w:keepNext/>
      </w:pPr>
      <w:r>
        <w:t>II. Fundamentos jurídicos</w:t>
      </w:r>
    </w:p>
    <w:p w14:paraId="62E37C22" w14:textId="4C1E1B7D" w:rsidR="008D479B" w:rsidRDefault="008D479B" w:rsidP="008D479B">
      <w:pPr>
        <w:pStyle w:val="TextoNormalNegritaCentrado"/>
        <w:keepNext/>
      </w:pPr>
    </w:p>
    <w:p w14:paraId="698D28C3" w14:textId="77777777" w:rsidR="008D479B" w:rsidRDefault="008D479B" w:rsidP="008D479B">
      <w:pPr>
        <w:pStyle w:val="TextoNormal"/>
      </w:pPr>
      <w:r w:rsidRPr="008D479B">
        <w:rPr>
          <w:rStyle w:val="NumeroAFNegritaCaracter"/>
        </w:rPr>
        <w:t>1</w:t>
      </w:r>
      <w:r>
        <w:t>. La presente demanda de amparo se dirige formalmente contra la sentencia núm. 1105/2023 de la Sala de lo Contencioso-Administrativo del Tribunal Supremo, dictada el 25 de agosto de 2023, que desestimó el recurso contencioso-administrativo electoral núm. 779-2023 interpuesto contra el acuerdo de 8 de agosto de 2023 de la Junta Electoral Provincial de Madrid en el proceso electoral de elecciones a las Cortes Generales del año 2023, por el que se procedió a la proclamación de los diputados electos en la provincia de Madrid para el Congreso de los Diputados, confirmando dicha resolución.</w:t>
      </w:r>
    </w:p>
    <w:p w14:paraId="2AF2C349" w14:textId="77777777" w:rsidR="008D479B" w:rsidRDefault="008D479B" w:rsidP="008D479B">
      <w:pPr>
        <w:pStyle w:val="TextoNormal"/>
      </w:pPr>
    </w:p>
    <w:p w14:paraId="264A74CA" w14:textId="1DAF44FC" w:rsidR="008D479B" w:rsidRDefault="008D479B" w:rsidP="008D479B">
      <w:pPr>
        <w:pStyle w:val="TextoNormal"/>
      </w:pPr>
      <w:r>
        <w:t>Dicho acuerdo de la Junta Electoral Provincial de 8 de agosto de 2023 viene precedido de los acuerdos 30 y 31, de 30 de julio y 1 de agosto de 2023, de la propia Junta Electoral Provincial, desestimatorios de la pretensión del recurrente de que se revisara la totalidad de los votos nulos de la circunscripción de Madrid, decisión desestimatoria que fue confirmada por la Junta Electoral Central por acuerdos 555-2023 y 556-2023, de 7 agosto ambos.</w:t>
      </w:r>
    </w:p>
    <w:p w14:paraId="6BC600DD" w14:textId="77777777" w:rsidR="008D479B" w:rsidRDefault="008D479B" w:rsidP="008D479B">
      <w:pPr>
        <w:pStyle w:val="TextoNormal"/>
      </w:pPr>
    </w:p>
    <w:p w14:paraId="3704064B" w14:textId="77777777" w:rsidR="008D479B" w:rsidRDefault="008D479B" w:rsidP="008D479B">
      <w:pPr>
        <w:pStyle w:val="TextoNormal"/>
      </w:pPr>
      <w:r w:rsidRPr="008D479B">
        <w:rPr>
          <w:rStyle w:val="NumeroAFNegritaCaracter"/>
        </w:rPr>
        <w:t>2</w:t>
      </w:r>
      <w:r>
        <w:t>. Aunque la representación procesal del Partido Popular y de don Carlos García Adanero no postula formalmente la inadmisión del recurso de amparo, su escrito de alegaciones hace alusión a determinados óbices procesales cuyo examen ha de abordarse en primer lugar pues, de concurrir, podrían comportar la inadmisión del recurso de amparo.</w:t>
      </w:r>
    </w:p>
    <w:p w14:paraId="2955BFBD" w14:textId="77777777" w:rsidR="008D479B" w:rsidRDefault="008D479B" w:rsidP="008D479B">
      <w:pPr>
        <w:pStyle w:val="TextoNormal"/>
      </w:pPr>
    </w:p>
    <w:p w14:paraId="581B92B8" w14:textId="77777777" w:rsidR="008D479B" w:rsidRDefault="008D479B" w:rsidP="008D479B">
      <w:pPr>
        <w:pStyle w:val="TextoNormal"/>
      </w:pPr>
      <w:r>
        <w:t>a) En primer lugar, se afirma que no se ha agotado la vía judicial previa contra los acuerdos 30 y 31 de la Junta Electoral Provincial de Madrid y los acuerdos 555-2023 y 556-2023 de la Junta Electoral Central. El motivo de inadmisión debe ser desestimado, pues estos acuerdos no han sido objeto de impugnación en vía de recurso contencioso electoral, que se ha circunscrito, exclusivamente, al acuerdo de 8 de agosto de 2023 de la Junta Electoral Provincial de Madrid, por el que se procedió a la proclamación de los diputados electos, que es el impugnado en el presente recurso de amparo, y respecto del cual se ha agotado la vía judicial previa.</w:t>
      </w:r>
    </w:p>
    <w:p w14:paraId="73923819" w14:textId="77777777" w:rsidR="008D479B" w:rsidRDefault="008D479B" w:rsidP="008D479B">
      <w:pPr>
        <w:pStyle w:val="TextoNormal"/>
      </w:pPr>
    </w:p>
    <w:p w14:paraId="4CB770E9" w14:textId="77777777" w:rsidR="008D479B" w:rsidRDefault="008D479B" w:rsidP="008D479B">
      <w:pPr>
        <w:pStyle w:val="TextoNormal"/>
      </w:pPr>
      <w:r>
        <w:t>b) En segundo lugar, se sostiene que los recurrentes en amparo no invocaron formalmente la vulneración del art. 23.2 CE, en relación con el acceso en condiciones de igualdad a los cargos públicos, por no haberse planteado en la previa vía jurisdiccional la cuestión relativa a la desigualdad de trato en las elecciones locales y las de ámbito superior. Examinadas las actuaciones se constata que, en el recurso contencioso-electoral, la problemática relativa a la diferencia de trato derivada del distinto criterio seguido por las diversas juntas electorales se trata en las páginas 61 y siguientes, dentro del fundamento de derecho tercero en el que se contiene el conjunto de alegaciones referidas a la vulneración del derecho fundamental del art. 23.2 CE como derecho a acceder a los cargos públicos en condiciones de igualdad. Del mismo modo, esta concreta alegación fue analizada y desestimada en el fundamento jurídico 12 de la sentencia del Tribunal Supremo. Todo ello conduce a la desestimación de la alegada causa de inadmisión.</w:t>
      </w:r>
    </w:p>
    <w:p w14:paraId="4B6574EF" w14:textId="77777777" w:rsidR="008D479B" w:rsidRDefault="008D479B" w:rsidP="008D479B">
      <w:pPr>
        <w:pStyle w:val="TextoNormal"/>
      </w:pPr>
    </w:p>
    <w:p w14:paraId="72C2DC26" w14:textId="77777777" w:rsidR="008D479B" w:rsidRDefault="008D479B" w:rsidP="008D479B">
      <w:pPr>
        <w:pStyle w:val="TextoNormal"/>
      </w:pPr>
      <w:r>
        <w:t>c) En tercer y último lugar, se niega que en el presente recurso de amparo concurra el requisito relativo a la especial trascendencia constitucional. Se afirma que la STC 159/2015, de 14 de julio, en ningún caso reconoció un derecho abstracto absoluto e indiscriminado a la revisión de los votos nulos, sino que se permitió de forma excepcional y limitada a un supuesto concreto y que no existe un debate constitucional sobre la cuestión. Concluyen que no hay razones que justifiquen modificar la doctrina constitucional, como fruto de un período de reflexión interna.</w:t>
      </w:r>
    </w:p>
    <w:p w14:paraId="5360BC74" w14:textId="77777777" w:rsidR="008D479B" w:rsidRDefault="008D479B" w:rsidP="008D479B">
      <w:pPr>
        <w:pStyle w:val="TextoNormal"/>
      </w:pPr>
    </w:p>
    <w:p w14:paraId="379EE2ED" w14:textId="77777777" w:rsidR="008D479B" w:rsidRDefault="008D479B" w:rsidP="008D479B">
      <w:pPr>
        <w:pStyle w:val="TextoNormal"/>
      </w:pPr>
      <w:r>
        <w:t>Frente a tales alegaciones, este tribunal estima que concurre especial trascendencia constitucional pues no se trata de cambiar la doctrina relativa a la revisión de los votos nulos, sino que el presente amparo constituye la ocasión para que el Tribunal aclare la doctrina sentada en su STC 159/2015, en orden a delimitar los contornos constitucionales de este mecanismo de revisión electoral. Así, tal y como se afirmó en el auto de admisión, este recurso permite al Tribunal aclarar su doctrina [STC 155/2009, FJ 2 b)], estableciendo de forma clara y con vocación de generalidad si el derecho de las candidaturas a solicitar la revisión del voto nulo, reconocido en la STC 159/2015, es un derecho incondicionado que debe ser atendido en todo caso por las juntas electorales o si, por el contrario, debe invocarse, al menos, el indicio de la existencia de alguna irregularidad en el procedimiento electoral.</w:t>
      </w:r>
    </w:p>
    <w:p w14:paraId="3D052812" w14:textId="77777777" w:rsidR="008D479B" w:rsidRDefault="008D479B" w:rsidP="008D479B">
      <w:pPr>
        <w:pStyle w:val="TextoNormal"/>
      </w:pPr>
    </w:p>
    <w:p w14:paraId="1E380544" w14:textId="06C03A52" w:rsidR="008D479B" w:rsidRDefault="008D479B" w:rsidP="008D479B">
      <w:pPr>
        <w:pStyle w:val="TextoNormal"/>
      </w:pPr>
      <w:r>
        <w:t>Constatado, pues, que no concurren óbices procesales para la interposición de este amparo electoral, queda expedito el examen del fondo del recurso, que plantea dos cuestiones distintas ligadas al derecho fundamental de participación de los ciudadanos en los asuntos públicos por medio de representantes libremente elegidos en elecciones periódicas por sufragio universal (art. 23.1 CE) y al derecho de acceso en condiciones de igualdad a los cargos públicos (art. 23.2 CE).</w:t>
      </w:r>
    </w:p>
    <w:p w14:paraId="26A39370" w14:textId="77777777" w:rsidR="008D479B" w:rsidRDefault="008D479B" w:rsidP="008D479B">
      <w:pPr>
        <w:pStyle w:val="TextoNormal"/>
      </w:pPr>
    </w:p>
    <w:p w14:paraId="5230DC1B" w14:textId="77777777" w:rsidR="008D479B" w:rsidRDefault="008D479B" w:rsidP="008D479B">
      <w:pPr>
        <w:pStyle w:val="TextoNormal"/>
      </w:pPr>
      <w:r w:rsidRPr="008D479B">
        <w:rPr>
          <w:rStyle w:val="NumeroAFNegritaCaracter"/>
        </w:rPr>
        <w:t>3</w:t>
      </w:r>
      <w:r>
        <w:t>. La primera cuestión que interesa analizar concierne al principio de igualdad que ha de presidir el acceso a los cargos públicos, recogido en el apartado segundo del art. 23 de la Constitución. A juicio de los recurrentes, la revisión de la totalidad de los votos nulos no protestados, denegada por la Junta Electoral Provincial de Madrid, viene siendo admitida con carácter general por las juntas electorales de zona en las elecciones locales, generándose un trato diferenciado entre las distintas candidaturas que quiebra el principio de igualdad.</w:t>
      </w:r>
    </w:p>
    <w:p w14:paraId="3511D0CF" w14:textId="77777777" w:rsidR="008D479B" w:rsidRDefault="008D479B" w:rsidP="008D479B">
      <w:pPr>
        <w:pStyle w:val="TextoNormal"/>
      </w:pPr>
    </w:p>
    <w:p w14:paraId="1E515AF9" w14:textId="5C5D97F4" w:rsidR="008D479B" w:rsidRDefault="008D479B" w:rsidP="008D479B">
      <w:pPr>
        <w:pStyle w:val="TextoNormal"/>
      </w:pPr>
      <w:r>
        <w:t xml:space="preserve">Este tribunal constata que en la demanda de amparo esta cuestión solo aparece referida de manera escueta y en términos genéricos, sin aludirse tampoco a precedentes de las juntas electorales de zona sobre los que pretende argumentarse la vulneración del principio de igualdad. No habiéndose ofrecido a este tribunal un término válido de comparación (SSTC 26/2004, de 26 de febrero, y 158/2015, de 14 de julio, FJ 5 </w:t>
      </w:r>
      <w:r w:rsidRPr="008D479B">
        <w:rPr>
          <w:i/>
        </w:rPr>
        <w:t>in fine</w:t>
      </w:r>
      <w:r>
        <w:t>), el motivo debe ser desestimado por no cumplirse la carga alegatoria que incumbe a la parte demandante.</w:t>
      </w:r>
    </w:p>
    <w:p w14:paraId="1824589A" w14:textId="77777777" w:rsidR="008D479B" w:rsidRDefault="008D479B" w:rsidP="008D479B">
      <w:pPr>
        <w:pStyle w:val="TextoNormal"/>
      </w:pPr>
    </w:p>
    <w:p w14:paraId="673001CD" w14:textId="77777777" w:rsidR="008D479B" w:rsidRDefault="008D479B" w:rsidP="008D479B">
      <w:pPr>
        <w:pStyle w:val="TextoNormal"/>
      </w:pPr>
      <w:r w:rsidRPr="008D479B">
        <w:rPr>
          <w:rStyle w:val="NumeroAFNegritaCaracter"/>
        </w:rPr>
        <w:t>4</w:t>
      </w:r>
      <w:r>
        <w:t>. La segunda de las cuestiones planteadas en el presente recurso de amparo electoral se refiere a que, a juicio de los demandantes, el acuerdo de proclamación de diputados electos de la Junta Electoral Provincial de Madrid y la sentencia del Tribunal Supremo que lo confirmó vulneraron los derechos consagrados en el art. 23 CE al denegar la revisión de todos los votos nulos, impidiendo acceder a la verdad material expresada realmente en las urnas. Afirman los demandantes de amparo que la interpretación normativa realizada en ambas resoluciones sometió el derecho a reclamar la revisión de los votos nulos a un requisito no establecido legalmente, concretamente, el de alegar o acreditar una irregularidad en el proceso electoral.</w:t>
      </w:r>
    </w:p>
    <w:p w14:paraId="27A48F1D" w14:textId="77777777" w:rsidR="008D479B" w:rsidRDefault="008D479B" w:rsidP="008D479B">
      <w:pPr>
        <w:pStyle w:val="TextoNormal"/>
      </w:pPr>
    </w:p>
    <w:p w14:paraId="198AE499" w14:textId="77777777" w:rsidR="008D479B" w:rsidRDefault="008D479B" w:rsidP="008D479B">
      <w:pPr>
        <w:pStyle w:val="TextoNormal"/>
      </w:pPr>
      <w:r>
        <w:t>Para resolver si hubo efectivamente vulneración de los derechos de participación política y de acceso a los cargos públicos representativos reconocidos en el art. 23 CE ha de partirse de la configuración constitucional de estos derechos recogida en una prolija doctrina de este tribunal.</w:t>
      </w:r>
    </w:p>
    <w:p w14:paraId="768983A2" w14:textId="77777777" w:rsidR="008D479B" w:rsidRDefault="008D479B" w:rsidP="008D479B">
      <w:pPr>
        <w:pStyle w:val="TextoNormal"/>
      </w:pPr>
    </w:p>
    <w:p w14:paraId="0A273231" w14:textId="77777777" w:rsidR="008D479B" w:rsidRDefault="008D479B" w:rsidP="008D479B">
      <w:pPr>
        <w:pStyle w:val="TextoNormal"/>
      </w:pPr>
      <w:r>
        <w:t>a) Como ya señalamos en la STC 105/2012, de 11 de mayo, en el caso de los cargos representativos existe una íntima conexión entre los derechos garantizados en los dos apartados del art. 23 CE, esto es, entre el derecho de sufragio activo y pasivo, conexión que no puede desconocerse a la hora de interpretarlos pues ambos derechos “son aspectos indisociables de una misma institución, nervio y sustento de la democracia: el sufragio universal, libre, igual, directo y secreto” (STC 24/1990, de 15 de febrero, FJ 2). Así se viene entendiendo en constante y uniforme doctrina constitucional que, al realizar una interpretación conjunta del derecho de los ciudadanos a participar en los asuntos públicos por medio de representantes y del derecho a acceder en condiciones de igualdad a los cargos públicos representativos con los requisitos que señalen las leyes, ha afirmado que se trata de “dos derechos que encarnan la participación política de los ciudadanos en el sistema democrático, en conexión con los principios de soberanía del pueblo y del pluralismo político consagrados en el art. 1 CE”, que se presuponen mutuamente y aparecen “como modalidades o variantes del mismo principio de representación política” (SSTC 71/1989, de 20 de abril, FJ 3, y 119/1995, de 17 de julio, FJ 2), lo que “permite concluir que tales derechos se circunscriben al ámbito de la legitimación democrática directa del Estado y de las distintas entidades territoriales que lo integran” (SSTC 119/1995, de 17 de julio, FJ 3, y 153/2003, de 17 de julio, FJ 8).</w:t>
      </w:r>
    </w:p>
    <w:p w14:paraId="20B7A1B8" w14:textId="77777777" w:rsidR="008D479B" w:rsidRDefault="008D479B" w:rsidP="008D479B">
      <w:pPr>
        <w:pStyle w:val="TextoNormal"/>
      </w:pPr>
    </w:p>
    <w:p w14:paraId="6B607F8E" w14:textId="77777777" w:rsidR="008D479B" w:rsidRDefault="008D479B" w:rsidP="008D479B">
      <w:pPr>
        <w:pStyle w:val="TextoNormal"/>
      </w:pPr>
      <w:r>
        <w:t>b) También hemos afirmado que el derecho de sufragio pasivo que consagra el art. 23.2 CE, en relación con el apartado primero del mismo precepto, tiene como contenido esencial asegurar que accedan al cargo público aquellos candidatos que los electores hayan elegido como sus representantes, satisfaciéndose por tanto dicho derecho siempre que se mantenga la debida correlación entre la voluntad del cuerpo electoral y la proclamación de candidatos (STC 71/1989, de 20 de abril, FJ 4; doctrina que se reitera en las SSTC 153/2003, de 17 de julio, FJ 10, y 124/2011, de 14 de julio, FJ 2). De ello se sigue, como se declaró en la STC 26/1990, de 19 de febrero, que “la anulación o no cómputo de votos válidamente emitidos supone, sin duda, la negación del ejercicio y efectividad de ese derecho, no solo a los votantes cuya voluntad queda suprimida e invalidada, sino también a los destinatarios o receptores de esos votos y, por ende, de la voluntad y preferencia de los electores”, de modo que el mantenimiento “de esa voluntad expresada en votos válidos debe constituir criterio preferente a la hora de interpretar y aplicar las normas electorales” (FJ 6). En el mismo sentido, este tribunal ha tenido ocasión de señalar que “decretar indebidamente la nulidad de una votación supone privar de voto a los electores afectados y, en su caso, privar a un candidato de acceder a un escaño al que pudiera tener derecho” (STC 131/1990, de 16 de julio, FJ 2).</w:t>
      </w:r>
    </w:p>
    <w:p w14:paraId="572621CB" w14:textId="77777777" w:rsidR="008D479B" w:rsidRDefault="008D479B" w:rsidP="008D479B">
      <w:pPr>
        <w:pStyle w:val="TextoNormal"/>
      </w:pPr>
    </w:p>
    <w:p w14:paraId="7732D077" w14:textId="77777777" w:rsidR="008D479B" w:rsidRDefault="008D479B" w:rsidP="008D479B">
      <w:pPr>
        <w:pStyle w:val="TextoNormal"/>
      </w:pPr>
      <w:r>
        <w:t>c) Igualmente, es doctrina constitucional reiterada que los derechos que integran el art. 23 CE son de configuración legal, lo que supone que han de ejercerse en el marco establecido por la LOREG, que los desarrolla y concreta. Las previsiones de esta Ley Orgánica deben ser cumplidas en cuanto constituyen garantía del correcto desarrollo de la elección, de modo que culmine con la proclamación de los candidatos que hayan sido preferidos por el cuerpo electoral (SSTC 74/1995, de 12 de mayo, FJ único; 26/2004, de 26 de febrero, FJ 6, y 125/2011, de 14 de julio, FJ 3).</w:t>
      </w:r>
    </w:p>
    <w:p w14:paraId="52F40A0A" w14:textId="77777777" w:rsidR="008D479B" w:rsidRDefault="008D479B" w:rsidP="008D479B">
      <w:pPr>
        <w:pStyle w:val="TextoNormal"/>
      </w:pPr>
    </w:p>
    <w:p w14:paraId="4E4A855C" w14:textId="77777777" w:rsidR="008D479B" w:rsidRDefault="008D479B" w:rsidP="008D479B">
      <w:pPr>
        <w:pStyle w:val="TextoNormal"/>
      </w:pPr>
      <w:r>
        <w:t xml:space="preserve">En este contexto hemos sostenido que “[t]ratándose, como se trata, de un derecho de configuración legal, el derecho del art. 23.2 CE debe ser ejercicio con arreglo a los requisitos legales que lo integran y la interpretación de esa legalidad hecha por los tribunales no debe ser revisada </w:t>
      </w:r>
      <w:r w:rsidRPr="008D479B">
        <w:rPr>
          <w:i/>
        </w:rPr>
        <w:t>in toto</w:t>
      </w:r>
      <w:r>
        <w:t xml:space="preserve"> por este tribunal”, sino que lo que corresponde al Tribunal Constitucional es “revisar, si a ello es instado en vía de amparo, si la interpretación de la legalidad configuradora de los derechos fundamentales se ha llevado a cabo </w:t>
      </w:r>
      <w:r w:rsidRPr="008D479B">
        <w:rPr>
          <w:i/>
        </w:rPr>
        <w:t>secundum Constitutionem</w:t>
      </w:r>
      <w:r>
        <w:t xml:space="preserve"> y, en particular, si dados los hechos apreciados por el órgano judicial, la aplicación de la legalidad ha podido afectar a la integridad del derecho fundamental aquí comprometido” (STC 24/1990, 15 de febrero, FJ 2).</w:t>
      </w:r>
    </w:p>
    <w:p w14:paraId="232777CB" w14:textId="77777777" w:rsidR="008D479B" w:rsidRDefault="008D479B" w:rsidP="008D479B">
      <w:pPr>
        <w:pStyle w:val="TextoNormal"/>
      </w:pPr>
    </w:p>
    <w:p w14:paraId="3E0692EF" w14:textId="77777777" w:rsidR="008D479B" w:rsidRDefault="008D479B" w:rsidP="008D479B">
      <w:pPr>
        <w:pStyle w:val="TextoNormal"/>
      </w:pPr>
      <w:r>
        <w:t>Conviene precisar, no obstante, que esta doctrina debe entenderse sin olvidar que este mismo tribunal ha puntualizado que “la interpretación de determinados preceptos de la Ley Electoral […] sobrepasa el plano de la legalidad ordinaria y adquiere relevancia constitucional, puesto que afecta, en la mayor parte de los supuestos, a los derechos fundamentales que la Constitución garantiza en su art. 23. De esta forma, podría hablarse del carácter constitucionalmente exigido de los requisitos del procedimiento electoral, cuyo cumplimiento o incumplimiento y la interpretación que de los mismos se haga trasciende la legalidad ordinaria y supone el respeto o la eventual infracción del art. 23 de la Constitución” (STC 131/1990, de 16 de julio, FJ 2).</w:t>
      </w:r>
    </w:p>
    <w:p w14:paraId="3224D6DC" w14:textId="77777777" w:rsidR="008D479B" w:rsidRDefault="008D479B" w:rsidP="008D479B">
      <w:pPr>
        <w:pStyle w:val="TextoNormal"/>
      </w:pPr>
    </w:p>
    <w:p w14:paraId="6B74B69C" w14:textId="77777777" w:rsidR="008D479B" w:rsidRDefault="008D479B" w:rsidP="008D479B">
      <w:pPr>
        <w:pStyle w:val="TextoNormal"/>
      </w:pPr>
      <w:r>
        <w:t>d) En el marco de estas consideraciones relativas a la configuración legal de los derechos contenidos en el art. 23 CE, la doctrina de este tribunal ha ido precisando una serie de principios que resultan de concreta aplicación en los procesos electorales, a saber, los principios de interpretación más favorable a la efectividad de los derechos fundamentales; de conservación de los actos válidamente celebrados; y de presunción de validez de los actos administrativos.</w:t>
      </w:r>
    </w:p>
    <w:p w14:paraId="2FB4B3FD" w14:textId="77777777" w:rsidR="008D479B" w:rsidRDefault="008D479B" w:rsidP="008D479B">
      <w:pPr>
        <w:pStyle w:val="TextoNormal"/>
      </w:pPr>
    </w:p>
    <w:p w14:paraId="4B987A14" w14:textId="77777777" w:rsidR="008D479B" w:rsidRDefault="008D479B" w:rsidP="008D479B">
      <w:pPr>
        <w:pStyle w:val="TextoNormal"/>
      </w:pPr>
      <w:r>
        <w:t>Como ya señaló la STC 105/2012, de 11 de mayo, el principio de interpretación de la legalidad en el sentido más favorable a los derechos fundamentales ha sido reconocido reiteradamente por este tribunal, tanto en términos generales como a propósito de los derechos de sufragio activo y pasivo (SSTC 24/1990, de 15 de febrero, FFJJ 2 y 6, y 153/2003, de 17 de julio, FJ 7). Respecto a estos últimos, hemos declarado que “la Constitución ha introducido un principio de interpretación del ordenamiento jurídico en el sentido más favorable al ejercicio y disfrute de los derechos fundamentales que ha de ser tenido en cuenta por todos los poderes públicos y muy especialmente por los órganos jurisdiccionales en su función de aplicación de las leyes. Esta consideración general es de especial relevancia en el proceso electoral, en donde se ejercen de manera efectiva los derechos de sufragio activo y pasivo que, por estar en la base de la legitimación democrática del ordenamiento político, han de recibir un trato especialmente respetuoso y favorable, sin perjuicio del necesario respeto a la legislación electoral y de la diligencia que los partícipes activos en las elecciones han de tener en su actuación para posibilitar un ordenado y fluido proceso electoral” (STC 76/1987, de 25 de mayo, FJ 2; doctrina que reitera la STC 24/1990, de 15 de febrero, FJ 2).</w:t>
      </w:r>
    </w:p>
    <w:p w14:paraId="3E7EC936" w14:textId="77777777" w:rsidR="008D479B" w:rsidRDefault="008D479B" w:rsidP="008D479B">
      <w:pPr>
        <w:pStyle w:val="TextoNormal"/>
      </w:pPr>
    </w:p>
    <w:p w14:paraId="445AA20F" w14:textId="77777777" w:rsidR="008D479B" w:rsidRDefault="008D479B" w:rsidP="008D479B">
      <w:pPr>
        <w:pStyle w:val="TextoNormal"/>
      </w:pPr>
      <w:r>
        <w:t>Igualmente, en el Derecho electoral rige el principio de conservación de los actos válidamente celebrados. Ello conduce a conservar el resultado del ejercicio de los derechos fundamentales de los electores en todos aquellos casos en que no se vea afectado por las supuestas o efectivas irregularidades apreciadas, es decir, conservando todos aquellos actos jurídicos válidos que derivan del ejercicio del derecho de sufragio activo de los electores [SSTC 169/1987, de 29 de octubre, FJ 4; 24/1990, de 15 de febrero, FJ 6; 25/1990, de 19 de febrero, FJ 6, y 26/1990, de 19 de febrero, FJ 11 a)].</w:t>
      </w:r>
    </w:p>
    <w:p w14:paraId="22B0B12A" w14:textId="77777777" w:rsidR="008D479B" w:rsidRDefault="008D479B" w:rsidP="008D479B">
      <w:pPr>
        <w:pStyle w:val="TextoNormal"/>
      </w:pPr>
    </w:p>
    <w:p w14:paraId="382D23A6" w14:textId="119A67E7" w:rsidR="008D479B" w:rsidRDefault="008D479B" w:rsidP="008D479B">
      <w:pPr>
        <w:pStyle w:val="TextoNormal"/>
      </w:pPr>
      <w:r>
        <w:t>Finalmente, la doctrina constitucional ha venido afirmando la presunción de validez de los actos electorales. En virtud de este principio, en la labor de enjuiciamiento de los actos de la administración electoral se ha de partir de su legitimidad, validez y ejecutividad, lo que correlativamente implica desplazar sobre quien pretende cuestionarlos o impugnarlos la carga de justificar cumplidamente la pretendida ilegalidad que alega (STC 25/2022, de 23 de febrero, FJ 7.3.3.1 B) b)].</w:t>
      </w:r>
    </w:p>
    <w:p w14:paraId="2E0AB8A9" w14:textId="77777777" w:rsidR="008D479B" w:rsidRDefault="008D479B" w:rsidP="008D479B">
      <w:pPr>
        <w:pStyle w:val="TextoNormal"/>
      </w:pPr>
    </w:p>
    <w:p w14:paraId="22EC1C3D" w14:textId="77777777" w:rsidR="008D479B" w:rsidRDefault="008D479B" w:rsidP="008D479B">
      <w:pPr>
        <w:pStyle w:val="TextoNormal"/>
      </w:pPr>
      <w:r w:rsidRPr="008D479B">
        <w:rPr>
          <w:rStyle w:val="NumeroAFNegritaCaracter"/>
        </w:rPr>
        <w:t>5</w:t>
      </w:r>
      <w:r>
        <w:t>. La STC 159/2015, de 14 de julio, partió de todas estas premisas contenidas en la doctrina de este tribunal cuando sostuvo que existe el derecho de las candidaturas a revisar y examinar los votos nulos que se incluyen en el primer sobre de los tres que componen la documentación electoral, en el acto de escrutinio general ante la junta electoral competente, con la finalidad de comprobar si alguno de los votos había sido anulado de manera irregular existiendo indicios de ello. Esta sentencia, de constante cita tanto por los demandantes de amparo como por los acuerdos de la administración electoral y la sentencia del Tribunal Supremo recurrida, deriva este derecho del contenido esencial de los derechos reconocidos en el artículo 23 CE, pese a no encontrarse explícitamente recogido en la LOREG.</w:t>
      </w:r>
    </w:p>
    <w:p w14:paraId="502354DA" w14:textId="77777777" w:rsidR="008D479B" w:rsidRDefault="008D479B" w:rsidP="008D479B">
      <w:pPr>
        <w:pStyle w:val="TextoNormal"/>
      </w:pPr>
    </w:p>
    <w:p w14:paraId="0E80D467" w14:textId="77777777" w:rsidR="008D479B" w:rsidRDefault="008D479B" w:rsidP="008D479B">
      <w:pPr>
        <w:pStyle w:val="TextoNormal"/>
      </w:pPr>
      <w:r>
        <w:t xml:space="preserve">Una vez la STC 159/2015 concluye en su fundamento jurídico 5 que “la existencia del derecho [de reclamación] aparece diáfana en la medida en que no hay en la LOREG ningún precepto que prohíba expresamente reclamar la revisión de los votos nulos”, el FJ 6 analiza si en el supuesto concreto ha existido un comportamiento diligente por parte del recurrente en amparo, por lo que desciende a los detalles del caso examinando las actuaciones de las partes y concluyendo, a la vista de las mismas, que no concurre “la tesis del posible abuso o ejercicio fraudulento del derecho a efectuar esa clase de reclamaciones”. En otras palabras, como expresamente se dice en el FJ 4 de la propia STC 159/2015, primero se dilucida si existe un derecho a reclamar la revisión de los votos nulos pese a no estar este derecho previsto expresamente en la LOREG y, tras derivar su existencia </w:t>
      </w:r>
      <w:r w:rsidRPr="008D479B">
        <w:rPr>
          <w:i/>
        </w:rPr>
        <w:t>ex</w:t>
      </w:r>
      <w:r>
        <w:t xml:space="preserve"> art. 23 CE, se analiza la diligencia del recurrente en el supuesto específico que se planteaba.</w:t>
      </w:r>
    </w:p>
    <w:p w14:paraId="4E37A430" w14:textId="77777777" w:rsidR="008D479B" w:rsidRDefault="008D479B" w:rsidP="008D479B">
      <w:pPr>
        <w:pStyle w:val="TextoNormal"/>
      </w:pPr>
    </w:p>
    <w:p w14:paraId="05FDA4D2" w14:textId="77777777" w:rsidR="008D479B" w:rsidRDefault="008D479B" w:rsidP="008D479B">
      <w:pPr>
        <w:pStyle w:val="TextoNormal"/>
      </w:pPr>
      <w:r>
        <w:t>Si se aplica esta doctrina al presente recurso electoral, por un lado, resulta claro que concurre un derecho a reclamar la revisión de los votos nulos en la fase de escrutinio general ante la Junta Electoral Provincial de Madrid, pese a no preverse en la LOREG.</w:t>
      </w:r>
    </w:p>
    <w:p w14:paraId="5AD473BF" w14:textId="77777777" w:rsidR="008D479B" w:rsidRDefault="008D479B" w:rsidP="008D479B">
      <w:pPr>
        <w:pStyle w:val="TextoNormal"/>
      </w:pPr>
    </w:p>
    <w:p w14:paraId="7AF5DFB1" w14:textId="23540092" w:rsidR="008D479B" w:rsidRDefault="008D479B" w:rsidP="008D479B">
      <w:pPr>
        <w:pStyle w:val="TextoNormal"/>
      </w:pPr>
      <w:r>
        <w:t>Por otro lado, también resulta manifiesto que en el presente recurso de amparo no es menester examinar si existió comportamiento diligente del recurrente a lo largo del proceso electoral o el posible uso abusivo o fraudulento del derecho a solicitar la revisión, pues en este punto ha de partirse de la valoración de los hechos efectuada por el Tribunal Supremo. En efecto, este tribunal analizó ambas cuestiones en los fundamentos de derecho sexto y séptimo de la sentencia objeto de impugnación, y lo hizo de manera motivada y razonada. Su conclusión fue taxativa al considerar que no concurría falta de diligencia en el partido recurrente, toda vez que su petición fue tempestiva y se formuló en la fase oportuna del procedimiento electoral (FJ 6), y que cabía excluir el carácter abusivo de la pretensión (FJ 7).</w:t>
      </w:r>
    </w:p>
    <w:p w14:paraId="5A6B5450" w14:textId="77777777" w:rsidR="008D479B" w:rsidRDefault="008D479B" w:rsidP="008D479B">
      <w:pPr>
        <w:pStyle w:val="TextoNormal"/>
      </w:pPr>
    </w:p>
    <w:p w14:paraId="332CD442" w14:textId="77777777" w:rsidR="008D479B" w:rsidRDefault="008D479B" w:rsidP="008D479B">
      <w:pPr>
        <w:pStyle w:val="TextoNormal"/>
      </w:pPr>
      <w:r w:rsidRPr="008D479B">
        <w:rPr>
          <w:rStyle w:val="NumeroAFNegritaCaracter"/>
        </w:rPr>
        <w:t>6</w:t>
      </w:r>
      <w:r>
        <w:t>. Así pues, tal como apuntamos en el auto de admisión, y como expone el propio Tribunal Supremo en el fundamento jurídico 7 de la sentencia recurrida, la cuestión a aclarar en este amparo es si el derecho a la revisión de los votos nulos es un derecho incondicionado cuyo ejercicio no viene sujeto a límite alguno o si, por el contrario, su ejercicio exige alegar o acreditar irregularidades en el procedimiento electoral, aunque sea de manera meramente indiciaria.</w:t>
      </w:r>
    </w:p>
    <w:p w14:paraId="44222CE2" w14:textId="77777777" w:rsidR="008D479B" w:rsidRDefault="008D479B" w:rsidP="008D479B">
      <w:pPr>
        <w:pStyle w:val="TextoNormal"/>
      </w:pPr>
    </w:p>
    <w:p w14:paraId="6B8DEB53" w14:textId="77777777" w:rsidR="008D479B" w:rsidRDefault="008D479B" w:rsidP="008D479B">
      <w:pPr>
        <w:pStyle w:val="TextoNormal"/>
      </w:pPr>
      <w:r>
        <w:t>En relación con esta cuestión, la demanda de amparo afirma que el derecho de sufragio pasivo se ha visto vulnerado por haber supeditado la solicitud de revisión de la totalidad del voto nulo a un requisito no contemplado en la ley de modo expreso, concretamente, el requisito de invocar irregularidades en el procedimiento electoral.</w:t>
      </w:r>
    </w:p>
    <w:p w14:paraId="45B420F3" w14:textId="77777777" w:rsidR="008D479B" w:rsidRDefault="008D479B" w:rsidP="008D479B">
      <w:pPr>
        <w:pStyle w:val="TextoNormal"/>
      </w:pPr>
    </w:p>
    <w:p w14:paraId="3D3ADA03" w14:textId="77777777" w:rsidR="008D479B" w:rsidRDefault="008D479B" w:rsidP="008D479B">
      <w:pPr>
        <w:pStyle w:val="TextoNormal"/>
      </w:pPr>
      <w:r>
        <w:t xml:space="preserve">A este respecto, debe decirse que es cierto que la reserva de ley contenida en el art. 53 CE exige que sea esta la que regule el ejercicio de los derechos contenidos en el capítulo II del título I de la Constitución y, por tanto, es la ley la que debe explicitar las condiciones de ejercicio de los derechos reconocidos en el art. 23 CE. No obstante, no puede desconocerse que en el presente caso estamos ante un derecho que no se encuentra formalmente reconocido en la LOREG, sino que la doctrina constitucional recogida en la STC 159/2015 lo deriva del contenido esencial de los derechos previstos en el art. 23 CE. Por ello, la cuestión se centra en aclarar si este derecho a reclamar reconocido en la STC 159/2015 </w:t>
      </w:r>
      <w:r w:rsidRPr="008D479B">
        <w:rPr>
          <w:i/>
        </w:rPr>
        <w:t>ex Constitutione</w:t>
      </w:r>
      <w:r>
        <w:t xml:space="preserve"> puede someterse a límites o condiciones.</w:t>
      </w:r>
    </w:p>
    <w:p w14:paraId="168AEA15" w14:textId="77777777" w:rsidR="008D479B" w:rsidRDefault="008D479B" w:rsidP="008D479B">
      <w:pPr>
        <w:pStyle w:val="TextoNormal"/>
      </w:pPr>
    </w:p>
    <w:p w14:paraId="21E7EBF7" w14:textId="77777777" w:rsidR="008D479B" w:rsidRDefault="008D479B" w:rsidP="008D479B">
      <w:pPr>
        <w:pStyle w:val="TextoNormal"/>
      </w:pPr>
      <w:r>
        <w:t>Y para aclarar este extremo debe partirse de los principios anunciados en el fundamento jurídico 3 de esta sentencia y aplicarlos al caso que nos ocupa. En este sentido, cabe sostener lo siguiente.</w:t>
      </w:r>
    </w:p>
    <w:p w14:paraId="0D1ADBF1" w14:textId="77777777" w:rsidR="008D479B" w:rsidRDefault="008D479B" w:rsidP="008D479B">
      <w:pPr>
        <w:pStyle w:val="TextoNormal"/>
      </w:pPr>
    </w:p>
    <w:p w14:paraId="13B38AC4" w14:textId="77777777" w:rsidR="008D479B" w:rsidRDefault="008D479B" w:rsidP="008D479B">
      <w:pPr>
        <w:pStyle w:val="TextoNormal"/>
      </w:pPr>
      <w:r>
        <w:t>La aplicación del principio de interpretación más favorable a la efectividad de los derechos fundamentales no puede conducir, por sí sola, a la estimación de las pretensiones del recurso. En efecto, como tuvo oportunidad de señalarse en la STC 26/2004, de 26 de febrero, los derechos de participación reconocidos en el art. 23 CE han de ejercerse en el marco establecido por la LOREG, de modo que “los límites establecidos en ella no pueden enervarse ni alterarse por la vía de la interpretación más favorable al derecho fundamental pues, si así fuera, quedaría en manos del intérprete y no en las del legislador (a quien la Constitución, en sus arts. 53.1, 23.2 y 81.1, atribuye tal potestad, la fijación de los contornos del derecho (STC 74/1995, de 12 de mayo, FJ único)”.</w:t>
      </w:r>
    </w:p>
    <w:p w14:paraId="31F7D444" w14:textId="77777777" w:rsidR="008D479B" w:rsidRDefault="008D479B" w:rsidP="008D479B">
      <w:pPr>
        <w:pStyle w:val="TextoNormal"/>
      </w:pPr>
    </w:p>
    <w:p w14:paraId="64CC8252" w14:textId="77777777" w:rsidR="008D479B" w:rsidRDefault="008D479B" w:rsidP="008D479B">
      <w:pPr>
        <w:pStyle w:val="TextoNormal"/>
      </w:pPr>
      <w:r>
        <w:t>Respecto del principio de conservación de los actos electorales válidamente celebrados y de la presunción de validez de los actos de las juntas electorales debe recordarse lo que ya se ha expuesto. Por una parte, como ha precisado este tribunal, el principio de conservación tiende a restringir la sanción anulatoria de los actos no extendiéndola más allá de sus confines estrictos en cada caso, evitando que una indebida ampliación de sus efectos dañe derechos de terceros (STC 24/1990, de 15 de febrero, FJ 6). Por otra parte, este tribunal ha tenido recientemente ocasión de recordar la aplicabilidad del principio de presunción de validez en relación con los actos de las juntas electorales [STC 25/2022, de 23 de febrero, FJ 7.3.3.1 B) b)].</w:t>
      </w:r>
    </w:p>
    <w:p w14:paraId="521DC072" w14:textId="77777777" w:rsidR="008D479B" w:rsidRDefault="008D479B" w:rsidP="008D479B">
      <w:pPr>
        <w:pStyle w:val="TextoNormal"/>
      </w:pPr>
    </w:p>
    <w:p w14:paraId="309935C7" w14:textId="77777777" w:rsidR="008D479B" w:rsidRDefault="008D479B" w:rsidP="008D479B">
      <w:pPr>
        <w:pStyle w:val="TextoNormal"/>
      </w:pPr>
      <w:r>
        <w:t xml:space="preserve">A la consideración conjunta del principio de conservación de los actos válidamente celebrados y de presunción de validez de los actos de la administración electoral debe añadirse otro elemento a tomar en consideración. Como se ha reiterado, la LOREG no prevé dentro del sistema ordinario de recuento de votos un derecho específico de las candidaturas a reclamar la revisión de los votos nulos ante las juntas electorales provinciales, en el momento del escrutinio general. Teniendo en cuenta que la alternativa de considerar que el derecho de reclamación es incondicionado podría conducir a una reclamación generalizada de todos los votos nulos en cada convocatoria electoral, se convertiría </w:t>
      </w:r>
      <w:r w:rsidRPr="008D479B">
        <w:rPr>
          <w:i/>
        </w:rPr>
        <w:t>de facto</w:t>
      </w:r>
      <w:r>
        <w:t xml:space="preserve"> en ordinario un nuevo recuento de votos que la LOREG no prevé como parte del sistema ordinario de recuento de los sufragios.</w:t>
      </w:r>
    </w:p>
    <w:p w14:paraId="1D91AE05" w14:textId="77777777" w:rsidR="008D479B" w:rsidRDefault="008D479B" w:rsidP="008D479B">
      <w:pPr>
        <w:pStyle w:val="TextoNormal"/>
      </w:pPr>
    </w:p>
    <w:p w14:paraId="56D0502D" w14:textId="77777777" w:rsidR="008D479B" w:rsidRDefault="008D479B" w:rsidP="008D479B">
      <w:pPr>
        <w:pStyle w:val="TextoNormal"/>
      </w:pPr>
      <w:r>
        <w:t>Por ello, aun reconociendo la indudable importancia del principio de efectividad de los derechos alegado por el recurrente, la aplicación conjunta de los principios de conservación de los actos válidamente celebrados y de presunción de validez de los actos de la administración electoral, y tomando en consideración que podría tornarse en ordinario un nuevo recuento de votos no previsto en el sistema de la LOREG, debe llegarse a la conclusión de que quien insta la revisión de los votos nulos contenidos en los “sobres núm. 1” viene obligado a fundar su solicitud en la denuncia de irregularidades durante el proceso electoral. Y, si bien no cabe razonablemente exigir en estos casos prueba plena de las irregularidades alegadas, puesto que el pleno conocimiento de si las mismas se produjeron o no, en algunos casos, solo puede obtenerse como resultado precisamente de esta revisión, sí que al menos deben invocarse indicios de estas. Así, la utilización de los mecanismos de revisión o control de los actos del procedimiento electoral queda, en este caso, condicionada a que el sujeto legitimado que pretende instarlos cumpla con esta mínima carga alegatoria.</w:t>
      </w:r>
    </w:p>
    <w:p w14:paraId="7ED405EF" w14:textId="77777777" w:rsidR="008D479B" w:rsidRDefault="008D479B" w:rsidP="008D479B">
      <w:pPr>
        <w:pStyle w:val="TextoNormal"/>
      </w:pPr>
    </w:p>
    <w:p w14:paraId="3EE07F31" w14:textId="77777777" w:rsidR="008D479B" w:rsidRDefault="008D479B" w:rsidP="008D479B">
      <w:pPr>
        <w:pStyle w:val="TextoNormal"/>
      </w:pPr>
      <w:r>
        <w:t>En definitiva, se trata de aducir elementos objetivos que pueden basarse, aunque no necesariamente, en razones de tipo aritmético o estadístico como las que menciona de manera no exhaustiva la sentencia del Tribunal Supremo recurrida, como son un número de mesas con una proporción de votos nulos excesiva o un porcentaje de votos nulos desproporcionado en relación con procesos electorales precedentes. En cualquier caso, es preciso que tales elementos sean susceptibles de generar incertidumbre razonable sobre la concordancia entre el resultado del escrutinio con la verdadera voluntad de los electores, de manera que se ponga de manifiesto la necesidad de poner en funcionamiento los mecanismos legales previstos para la indagación y el conocimiento de la verdad material manifestada en las urnas. Por ello, el hecho aislado de que el escrutinio arroje una diferencia ajustada entre las dos candidaturas en liza por el último escaño en una circunscripción no puede reputarse, sin más consideraciones, como un motivo válido para instar la revisión de los votos nulos, si no se alegan indicios de irregularidad que pongan en cuestión la pulcra observancia de las garantías previas inherentes al proceso electoral.</w:t>
      </w:r>
    </w:p>
    <w:p w14:paraId="4FB09344" w14:textId="77777777" w:rsidR="008D479B" w:rsidRDefault="008D479B" w:rsidP="008D479B">
      <w:pPr>
        <w:pStyle w:val="TextoNormal"/>
      </w:pPr>
    </w:p>
    <w:p w14:paraId="47F0F9AD" w14:textId="77777777" w:rsidR="008D479B" w:rsidRDefault="008D479B" w:rsidP="008D479B">
      <w:pPr>
        <w:pStyle w:val="TextoNormal"/>
      </w:pPr>
      <w:r>
        <w:t>Desde otra perspectiva, las consideraciones precedentes son congruentes con las exigencias que derivan del principio de proporcionalidad, principio que este Tribunal ha aplicado en relación con los derechos fundamentales, en general, y con el derecho de acceso a los cargos públicos, en particular, recordando que ha de guardarse la necesaria proporcionalidad entre unos actos y sus consecuencias cuando estas afectan a derechos fundamentales (SSTC 24/1990, de 15 de febrero, FJ 6, y 26/1990, de 19 de febrero, FJ 11). En este caso, la revisión de la totalidad de los votos nulos del conjunto de las mesas electorales de una circunscripción por parte de una junta electoral provincial, sin que existan al menos indicios de irregularidades en el procedimiento electoral, supone una desproporción entre la finalidad perseguida, la indagación de la verdadera voluntad de los electores manifestada en las urnas, y el medio empleado para su consecución, que consiste en reiterar toda la labor escrutadora de los votos nulos.</w:t>
      </w:r>
    </w:p>
    <w:p w14:paraId="66B7A8F1" w14:textId="77777777" w:rsidR="008D479B" w:rsidRDefault="008D479B" w:rsidP="008D479B">
      <w:pPr>
        <w:pStyle w:val="TextoNormal"/>
      </w:pPr>
    </w:p>
    <w:p w14:paraId="0BB7D0C8" w14:textId="224C4636" w:rsidR="008D479B" w:rsidRDefault="008D479B" w:rsidP="008D479B">
      <w:pPr>
        <w:pStyle w:val="TextoNormal"/>
      </w:pPr>
      <w:r>
        <w:t>También desde la óptica de la proporcionalidad, no puede desconocerse que la celeridad en el conocimiento de los resultados electorales definitivos, imprescindible para poder constituir en plazo las instituciones públicas, constituye un bien jurídico a proteger que igualmente debe ser tomado en consideración, máxime cuando la alternativa de permitir el derecho a reclamar sin más condiciones podría conducir a la presentación de reclamaciones generalizadas.</w:t>
      </w:r>
    </w:p>
    <w:p w14:paraId="017066F4" w14:textId="77777777" w:rsidR="008D479B" w:rsidRDefault="008D479B" w:rsidP="008D479B">
      <w:pPr>
        <w:pStyle w:val="TextoNormal"/>
      </w:pPr>
    </w:p>
    <w:p w14:paraId="00CE4F66" w14:textId="7C9BA1C0" w:rsidR="008D479B" w:rsidRDefault="008D479B" w:rsidP="008D479B">
      <w:pPr>
        <w:pStyle w:val="TextoNormal"/>
      </w:pPr>
      <w:r w:rsidRPr="008D479B">
        <w:rPr>
          <w:rStyle w:val="NumeroAFNegritaCaracter"/>
        </w:rPr>
        <w:t>7</w:t>
      </w:r>
      <w:r>
        <w:t>. Como corolario de cuanto antecede, este tribunal concluye que en el supuesto objeto del presente recurso de amparo la denegación de la solicitud de revisión de la totalidad del voto nulo no protestado por parte de la Junta Electoral Provincial de Madrid, confirmada posteriormente por la sentencia del Tribunal Supremo impugnada, no supone una vulneración de los derechos fundamentales reconocidos en el art. 23 CE.</w:t>
      </w:r>
    </w:p>
    <w:p w14:paraId="0940EC1F" w14:textId="77777777" w:rsidR="008D479B" w:rsidRDefault="008D479B" w:rsidP="008D479B">
      <w:pPr>
        <w:pStyle w:val="TextoNormal"/>
      </w:pPr>
    </w:p>
    <w:p w14:paraId="1F4122DA" w14:textId="77777777" w:rsidR="008D479B" w:rsidRDefault="008D479B" w:rsidP="008D479B">
      <w:pPr>
        <w:pStyle w:val="TextoNormalCentrado"/>
        <w:keepNext/>
      </w:pPr>
      <w:r>
        <w:t>FALLO</w:t>
      </w:r>
    </w:p>
    <w:p w14:paraId="4CCF04E5" w14:textId="3CFBB450" w:rsidR="008D479B" w:rsidRDefault="008D479B" w:rsidP="008D479B">
      <w:pPr>
        <w:pStyle w:val="TextoNormalCentrado"/>
        <w:keepNext/>
      </w:pPr>
    </w:p>
    <w:p w14:paraId="0BFA48D8" w14:textId="120B873A" w:rsidR="008D479B" w:rsidRDefault="008D479B" w:rsidP="008D479B">
      <w:pPr>
        <w:pStyle w:val="TextoNormal"/>
      </w:pPr>
      <w:r>
        <w:t>En atención a todo lo expuesto, el Tribunal Constitucional, por la autoridad que le confiere la Constitución de la Nación española, ha decidido desestimar el recurso de amparo interpuesto por el Partido Socialista Obrero Español, doña Cristina Pavón López, en calidad de representante provincial del PSOE de Madrid, y por don Javier Rodríguez Palacios.</w:t>
      </w:r>
    </w:p>
    <w:p w14:paraId="0696929A" w14:textId="77777777" w:rsidR="008D479B" w:rsidRDefault="008D479B" w:rsidP="008D479B">
      <w:pPr>
        <w:pStyle w:val="TextoNormal"/>
      </w:pPr>
    </w:p>
    <w:p w14:paraId="14EB2C43" w14:textId="77777777" w:rsidR="008D479B" w:rsidRDefault="008D479B" w:rsidP="008D479B">
      <w:pPr>
        <w:pStyle w:val="TextoNormal"/>
      </w:pPr>
      <w:r>
        <w:t>Publíquese esta sentencia en el “Boletín Oficial del Estado”.</w:t>
      </w:r>
    </w:p>
    <w:p w14:paraId="33001434" w14:textId="77777777" w:rsidR="008D479B" w:rsidRDefault="008D479B" w:rsidP="008D479B">
      <w:pPr>
        <w:pStyle w:val="TextoNormal"/>
      </w:pPr>
      <w:r>
        <w:t>Dada en Madrid, a doce de septiembre de dos mil veintitrés.</w:t>
      </w:r>
    </w:p>
    <w:p w14:paraId="0C131D9D" w14:textId="1D0DBC5E" w:rsidR="008D479B" w:rsidRDefault="008D479B" w:rsidP="008D479B">
      <w:pPr>
        <w:pStyle w:val="ParrafoNormal"/>
      </w:pPr>
    </w:p>
    <w:p w14:paraId="51FCE1EF" w14:textId="77777777" w:rsidR="008D479B" w:rsidRDefault="008D479B" w:rsidP="008D479B">
      <w:pPr>
        <w:pStyle w:val="TextoNormalNegritaCentrado"/>
        <w:keepNext/>
      </w:pPr>
      <w:r>
        <w:t>Voto particular concurrente que formula la magistrada doña María Luisa Balaguer Callejón a la sentencia dictada en el recurso de amparo núm. 5529-2023</w:t>
      </w:r>
    </w:p>
    <w:p w14:paraId="52295A50" w14:textId="177A82E9" w:rsidR="008D479B" w:rsidRDefault="008D479B" w:rsidP="008D479B">
      <w:pPr>
        <w:pStyle w:val="TextoNormalNegritaCentrado"/>
        <w:keepNext/>
      </w:pPr>
    </w:p>
    <w:p w14:paraId="2FB96F70" w14:textId="77777777" w:rsidR="008D479B" w:rsidRDefault="008D479B" w:rsidP="008D479B">
      <w:pPr>
        <w:pStyle w:val="TextoNormal"/>
      </w:pPr>
      <w:r>
        <w:t>Con el mayor respeto al criterio mayoritario reflejado en la sentencia a que se refiere el encabezamiento, creo necesario, en ejercicio de la facultad prevista en el art. 90.2 de la Ley Orgánica del Tribunal Constitucional (LOTC), formular este voto particular concurrente para dejar constancia y hacer públicos los argumentos que expuse en las deliberaciones de la Sala Segunda que concluyeron con la desestimación total del recurso de amparo núm. 5529-2023. Si bien comparto plenamente el fallo desestimatorio aprobado por unanimidad de la Sala, mi discrepancia radica en la sistemática algo confusa y reiterativa que se ha seguido para elaborar los argumentos desarrollados en la fundamentación jurídica de la sentencia.</w:t>
      </w:r>
    </w:p>
    <w:p w14:paraId="092BE85C" w14:textId="77777777" w:rsidR="008D479B" w:rsidRDefault="008D479B" w:rsidP="008D479B">
      <w:pPr>
        <w:pStyle w:val="TextoNormal"/>
      </w:pPr>
    </w:p>
    <w:p w14:paraId="492B0540" w14:textId="77777777" w:rsidR="008D479B" w:rsidRDefault="008D479B" w:rsidP="008D479B">
      <w:pPr>
        <w:pStyle w:val="TextoNormal"/>
      </w:pPr>
      <w:r>
        <w:t>El eje central de análisis de esta sentencia ha sido la capacidad del Partido Socialista Obrero Español (PSOE) de solicitar el recuento del voto nulo. Mi primera consideración se refiere a la calificación jurídica que se ha dado en la sentencia, que recoge lo expresado por los recurrentes y los sucesivos órganos de tutela: el derecho a la revisión de los votos nulos. Considero que hubiera sido más acertado por parte de la Sala rechazar esta calificación jurídica y reconducirla a lo que en verdad es: una facultad que se reconoce a los partidos políticos que hayan concurrido a unas elecciones y que deriva del art. 23.2 CE. No es, pues, una manifestación de un derecho de creación legal, sino que se trata del resultado de aplicar el principio de interpretación sistemática que nos lleva a concluir que estamos ante una capacidad de actuar, que debe reconocerse como parte del haz de facultades que recoge el derecho de acceso en condiciones de igualdad a los cargos públicos. El principio democrático, con el alcance reconocido por la Constitución española, no puede dejar fuera el principio de legalidad, que, en este caso, pasa por reconocer la aplicabilidad de la tutela judicial efectiva a la defensa de los derechos e intereses de la ciudadanía previstos en el art. 24 CE. Por tanto, sería contraria toda interpretación del art. 23 CE que, en un estado de Derecho democrático como el nuestro, no reconociera a los partidos políticos la posibilidad de reaccionar frente a una potencial irregularidad en el proceso electoral. Se trataría de dejar desprotegidos a los partidos, y a la postre, a la ciudadanía, ante los abusos de ese sistema.</w:t>
      </w:r>
    </w:p>
    <w:p w14:paraId="39720723" w14:textId="77777777" w:rsidR="008D479B" w:rsidRDefault="008D479B" w:rsidP="008D479B">
      <w:pPr>
        <w:pStyle w:val="TextoNormal"/>
      </w:pPr>
    </w:p>
    <w:p w14:paraId="2D4D218E" w14:textId="77777777" w:rsidR="008D479B" w:rsidRDefault="008D479B" w:rsidP="008D479B">
      <w:pPr>
        <w:pStyle w:val="TextoNormal"/>
      </w:pPr>
      <w:r>
        <w:t>A mi modo de ver, esta interpretación de la revisión del voto nulo encaja mejor en el tipo de escenario jurídico planteado en el supuesto de hecho que ha dado lugar a la presente sentencia: un partido político que ha concurrido a las elecciones entiende que se ha producido una irregularidad que le permite acceder a la revisión de los votos nulos en una determinada circunscripción. No hacía falta, por tanto, entrar en si existe o no un derecho a la revisión del voto nulo porque es evidente que, como decía, una interpretación sistemática de la Constitución, incluyendo el contenido de la LOREG, solo pueden llevar a aceptar la facultad de hacerlo. Esta afirmación no contraría la doctrina del Tribunal citada en la sentencia, en particular la STC 159/2015, tan profusamente citada, respecto de la configuración legal del derecho del art. 23.2 CE. Más bien, resitúa la facultad de revisión y la coloca en una posición anterior a la exigencia del cumplimiento de los requisitos legalmente previstos para garantizar la indemnidad del proceso electoral.</w:t>
      </w:r>
    </w:p>
    <w:p w14:paraId="261F0943" w14:textId="77777777" w:rsidR="008D479B" w:rsidRDefault="008D479B" w:rsidP="008D479B">
      <w:pPr>
        <w:pStyle w:val="TextoNormal"/>
      </w:pPr>
    </w:p>
    <w:p w14:paraId="5084A056" w14:textId="77777777" w:rsidR="008D479B" w:rsidRDefault="008D479B" w:rsidP="008D479B">
      <w:pPr>
        <w:pStyle w:val="TextoNormal"/>
      </w:pPr>
      <w:r>
        <w:t>Lo que se acaba de señalar es relevante porque impide, además, colocar el principio de conservación de los actos propios por encima de los derechos fundamentales en potencial conflicto o en el mismo nivel que la facultad de revisión. De hecho, es este el alcance que le reconoce este tribunal cuando afirma que “en el Derecho electoral rige el principio de conservación de los actos válidamente celebrados”, como es lógico porque, si no la seguridad jurídica y la confianza en el sistema electoral serían meras entelequias. Continuando con la cita de nuestra jurisprudencia, hemos dicho que “ello conduce a conservar el resultado del ejercicio de los derechos fundamentales de los electores en todos aquellos casos en que no se vea afectado por las supuestas o efectivas irregularidades apreciadas, es decir, conservando todos aquellos actos jurídicos válidos que derivan del ejercicio del derecho de sufragio activo de los electores [SSTC 169/1987, de 29 de octubre, FJ 4; 24/1990, de 15 de febrero, FJ 6; 25/1990, de 19 de febrero, FJ 6, y 26/1990, de 19 de febrero, FJ 11 a)]” (fundamento jurídico 3 de la sentencia) . Así, se mantendrá la conservación de los actos jurídicos si son válidos, por lo que, ante presuntas irregularidades, debe prevalecer la facultad de revisar lo solicitado por los sujetos legitimados.</w:t>
      </w:r>
    </w:p>
    <w:p w14:paraId="48EFC956" w14:textId="77777777" w:rsidR="008D479B" w:rsidRDefault="008D479B" w:rsidP="008D479B">
      <w:pPr>
        <w:pStyle w:val="TextoNormal"/>
      </w:pPr>
    </w:p>
    <w:p w14:paraId="5ACE2E3E" w14:textId="77777777" w:rsidR="008D479B" w:rsidRDefault="008D479B" w:rsidP="008D479B">
      <w:pPr>
        <w:pStyle w:val="TextoNormal"/>
      </w:pPr>
      <w:r>
        <w:t>Si reconocemos que existe la posibilidad de revisar el voto nulo, los órganos de garantía electoral, en este caso, la Junta Electoral Provincial y la Junta Electoral Central, no pueden exigir a su ejercicio más requisitos que los explícitamente reconocidos en la LOREG. Es en este momento en el que entra en juego la aplicación del principio de mayor efectividad de los derechos. Este principio deberá impedir, así, que se impongan a la revisión de los votos nulos otros requisitos que no estén previstos en la ley o que hayan sido desarrollados por este tribunal. Así, aquel principio impide llevar a cabo una interpretación rigorista que empañe el ejercicio de la capacidad de revisión de los diferentes actos que conforman el proceso electoral. En esta línea se pronunciaba el Tribunal en la STC 159/2015, al referirse a la necesidad de superar el juicio de relevancia de la solicitud de revisión planteada, en relación con el perjuicio que se hubiera producido en el recuento final de votos.</w:t>
      </w:r>
    </w:p>
    <w:p w14:paraId="11057715" w14:textId="77777777" w:rsidR="008D479B" w:rsidRDefault="008D479B" w:rsidP="008D479B">
      <w:pPr>
        <w:pStyle w:val="TextoNormal"/>
      </w:pPr>
    </w:p>
    <w:p w14:paraId="221ABEDA" w14:textId="77777777" w:rsidR="008D479B" w:rsidRDefault="008D479B" w:rsidP="008D479B">
      <w:pPr>
        <w:pStyle w:val="TextoNormal"/>
      </w:pPr>
      <w:r>
        <w:t xml:space="preserve">En el caso concreto, como quedaba explicitado en la sentencia del Tribunal Supremo, los órganos de garantía electoral debían verificar si existía el indicio de irregularidad aportado por la parte y si este era motivo suficiente para repetir el recuento, en este caso, de los votos nulos. Por tanto, la excepcionalidad alegada por la parte no puede ser motivo suficiente si no viene precedida de la alegación de un indicio objetivo u objetivable de irregularidad en el proceso. Coincido con la opinión del resto de magistrados y magistradas de la Sala en que, en este supuesto, no había motivo suficiente para entender probado el indicio razonable de irregularidad en el proceso de recuento de los votos nulos en las más de 7000 mesas electorales afectadas por la solicitud de revisión. El hecho de estar más o menos cerca de ganar un escaño no puede considerarse motivo suficiente para entender que estamos ante un indicio de irregularidad. La diferencia de votos entre dos candidaturas podrá motivar un escrutinio </w:t>
      </w:r>
      <w:r w:rsidRPr="008D479B">
        <w:rPr>
          <w:i/>
        </w:rPr>
        <w:t>in situ</w:t>
      </w:r>
      <w:r>
        <w:t xml:space="preserve"> más estricto de lo normal por parte de los partidos políticos, pero no es indicio de irregularidad. Lo contrario nos llevaría a la quiebra del principio de confianza en los órganos de garantía que velan por la corrección de cada uno de los procesos electorales.</w:t>
      </w:r>
    </w:p>
    <w:p w14:paraId="02DA129C" w14:textId="77777777" w:rsidR="008D479B" w:rsidRDefault="008D479B" w:rsidP="008D479B">
      <w:pPr>
        <w:pStyle w:val="TextoNormal"/>
      </w:pPr>
    </w:p>
    <w:p w14:paraId="1ED6665F" w14:textId="77777777" w:rsidR="008D479B" w:rsidRDefault="008D479B" w:rsidP="008D479B">
      <w:pPr>
        <w:pStyle w:val="TextoNormal"/>
      </w:pPr>
      <w:r>
        <w:t>Por último, en el caso de que los órganos de garantía electoral, incluidos el Tribunal Supremo y este tribunal, entiendan que se ha producido la irregularidad señalada, será cuando pueda aplicarse, en su caso, el principio de proporcionalidad para valorar si el fallo en el proceso electoral es suficientemente grave para provocar un recuento, porque se haya visto alterada la verdad material expresada en las urnas. Si se produjera esta situación, de poco valdría alegar, por cierto, las restricciones temporales que el funcionamiento adecuado del proceso electoral impone que aparecen referidas en las sucesivas instancias de tutela. Si se concluye que se ha producido una irregularidad que conlleva una potencial afectación del resultado electoral, deberán proveerse todos los medios necesarios para que el órgano de garantía electoral competente proceda al recuento en los tiempos previstos en la LOREG. El tiempo escaso, pues, no es un principio constitucional que quepa aponerse al ejercicio de un derecho nuclear de nuestro ordenamiento como es el de participación política.</w:t>
      </w:r>
    </w:p>
    <w:p w14:paraId="0EE58FE5" w14:textId="77777777" w:rsidR="008D479B" w:rsidRDefault="008D479B" w:rsidP="008D479B">
      <w:pPr>
        <w:pStyle w:val="TextoNormal"/>
      </w:pPr>
    </w:p>
    <w:p w14:paraId="2A636E59" w14:textId="527DF9FC" w:rsidR="008D479B" w:rsidRDefault="008D479B" w:rsidP="008D479B">
      <w:pPr>
        <w:pStyle w:val="TextoNormal"/>
      </w:pPr>
      <w:r>
        <w:t>Madrid, a doce de septiembre de dos mil veintitrés.</w:t>
      </w:r>
    </w:p>
    <w:p w14:paraId="0C39B543" w14:textId="1CEB7EAB" w:rsidR="008D479B" w:rsidRDefault="008D479B">
      <w:pPr>
        <w:spacing w:after="160" w:line="278" w:lineRule="auto"/>
        <w:rPr>
          <w:rFonts w:ascii="Times New Roman" w:eastAsia="Times New Roman" w:hAnsi="Times New Roman" w:cs="Times New Roman"/>
          <w:sz w:val="24"/>
          <w:szCs w:val="24"/>
          <w:lang w:eastAsia="es-ES"/>
        </w:rPr>
      </w:pPr>
      <w:r>
        <w:br w:type="page"/>
      </w:r>
    </w:p>
    <w:p w14:paraId="2D845D47" w14:textId="77777777" w:rsidR="008D479B" w:rsidRDefault="008D479B" w:rsidP="008D479B">
      <w:pPr>
        <w:pStyle w:val="TtuloResolucin"/>
      </w:pPr>
      <w:bookmarkStart w:id="21" w:name="SENTENCIA_2023_96"/>
      <w:r>
        <w:t>SENTENCIA 96/2023, de 25 de septiembre de 2023</w:t>
      </w:r>
    </w:p>
    <w:bookmarkEnd w:id="21"/>
    <w:p w14:paraId="30C4B9B5" w14:textId="77777777" w:rsidR="008D479B" w:rsidRDefault="008D479B" w:rsidP="008D479B">
      <w:pPr>
        <w:pStyle w:val="TtuloResolucin"/>
      </w:pPr>
      <w:r>
        <w:t>Sala Primera</w:t>
      </w:r>
    </w:p>
    <w:p w14:paraId="29977800" w14:textId="77777777" w:rsidR="008D479B" w:rsidRDefault="008D479B" w:rsidP="008D479B">
      <w:pPr>
        <w:pStyle w:val="TtuloBOE"/>
      </w:pPr>
      <w:r>
        <w:t>(BOE núm. 261, de 1 de noviembre de 2023)</w:t>
      </w:r>
    </w:p>
    <w:p w14:paraId="38896A50" w14:textId="77777777" w:rsidR="008D479B" w:rsidRDefault="008D479B" w:rsidP="008D479B">
      <w:pPr>
        <w:pStyle w:val="TextoNormalCentrado"/>
      </w:pPr>
      <w:r>
        <w:t>ECLI:ES:TC:2023:96</w:t>
      </w:r>
    </w:p>
    <w:p w14:paraId="57C756FA" w14:textId="1560AAE9" w:rsidR="008D479B" w:rsidRDefault="008D479B" w:rsidP="008D479B">
      <w:pPr>
        <w:pStyle w:val="TextoNormalCentrado"/>
      </w:pPr>
    </w:p>
    <w:p w14:paraId="48B27E7E" w14:textId="77777777" w:rsidR="008D479B" w:rsidRDefault="008D479B" w:rsidP="008D479B">
      <w:pPr>
        <w:pStyle w:val="SntesisDescriptiva"/>
      </w:pPr>
      <w:r>
        <w:t>Recurso de amparo 5553-2020. Promovido por don Antonio Jesús Osuna Luque y doña Concepción Barrera Cuña respecto de las resoluciones de la Audiencia Provincial de Barcelona y un juzgado de primera instancia e instrucción de Martorell en procedimiento de ejecución hipotecaria.</w:t>
      </w:r>
    </w:p>
    <w:p w14:paraId="0EFAAB31" w14:textId="5677B047" w:rsidR="008D479B" w:rsidRDefault="008D479B" w:rsidP="008D479B">
      <w:pPr>
        <w:pStyle w:val="SntesisDescriptiva"/>
      </w:pPr>
    </w:p>
    <w:p w14:paraId="43BC9DF9" w14:textId="77777777" w:rsidR="008D479B" w:rsidRDefault="008D479B" w:rsidP="008D479B">
      <w:pPr>
        <w:pStyle w:val="SntesisAnaltica"/>
      </w:pPr>
      <w:r>
        <w:t>Vulneración del derecho a la tutela judicial efectiva (resolución fundada en Derecho): STC 91/2023 (autos que, ignorando el principio de efectividad del Derecho de la Unión Europea, deniegan la imposición de costas en un proceso en el que se ha declarado el carácter abusivo de cláusulas contractuales).</w:t>
      </w:r>
    </w:p>
    <w:p w14:paraId="4CB95EF9" w14:textId="29628608" w:rsidR="008D479B" w:rsidRDefault="008D479B" w:rsidP="008D479B">
      <w:pPr>
        <w:pStyle w:val="SntesisAnaltica"/>
      </w:pPr>
    </w:p>
    <w:p w14:paraId="0AA88FF1" w14:textId="24418BEF" w:rsidR="008D479B" w:rsidRDefault="008D479B" w:rsidP="008D479B">
      <w:pPr>
        <w:pStyle w:val="Extracto"/>
      </w:pPr>
      <w:r>
        <w:t>1.</w:t>
      </w:r>
      <w:r>
        <w:tab/>
        <w:t>Imponer al consumidor la carga de asumir el pago de una parte de las costas procesales en un procedimiento de ejecución hipotecaria, tras la declaración de nulidad de una cláusula contractual por tener carácter abusivo, infringe el principio de efectividad del Derecho comunitario en materia de protección de consumidores (art. 6.1 de la Directiva 93/13/CEE); al tiempo que tergiversa el principio de disuasión de los profesionales en cuanto al uso de dichas cláusulas (art. 7.1 de la Directiva 93/13/CEE), al generar un efecto disuasorio inverso que perjudica al consumidor (STC 91/2023) [FJ 3].</w:t>
      </w:r>
    </w:p>
    <w:p w14:paraId="41C3F75B" w14:textId="77777777" w:rsidR="008D479B" w:rsidRDefault="008D479B" w:rsidP="008D479B">
      <w:pPr>
        <w:pStyle w:val="Extracto"/>
      </w:pPr>
    </w:p>
    <w:p w14:paraId="7D489A59" w14:textId="77777777" w:rsidR="008D479B" w:rsidRDefault="008D479B" w:rsidP="008D479B">
      <w:pPr>
        <w:pStyle w:val="Extracto"/>
      </w:pPr>
    </w:p>
    <w:p w14:paraId="7D788427" w14:textId="77777777" w:rsidR="008D479B" w:rsidRDefault="008D479B" w:rsidP="008D479B">
      <w:pPr>
        <w:pStyle w:val="TextoNormal"/>
      </w:pPr>
      <w:r>
        <w:t>La Sala Primera del Tribunal Constitucional, compuesta por el magistrado don Cándido Conde-Pumpido Tourón, presidente, y los magistrados y magistradas don Ricardo Enríquez Sancho, doña Concepción Espejel Jorquera, doña María Luisa Segoviano Astaburuaga y don Juan Carlos Campo Moreno, ha pronunciado</w:t>
      </w:r>
    </w:p>
    <w:p w14:paraId="3A79FDE5" w14:textId="3911DDD8" w:rsidR="008D479B" w:rsidRDefault="008D479B" w:rsidP="008D479B">
      <w:pPr>
        <w:pStyle w:val="TextoNormal"/>
      </w:pPr>
    </w:p>
    <w:p w14:paraId="3CC75ED5" w14:textId="77777777" w:rsidR="008D479B" w:rsidRDefault="008D479B" w:rsidP="008D479B">
      <w:pPr>
        <w:pStyle w:val="TextoNormalCentrado"/>
        <w:keepNext/>
      </w:pPr>
      <w:r>
        <w:t>EN NOMBRE DEL REY</w:t>
      </w:r>
    </w:p>
    <w:p w14:paraId="40FCA137" w14:textId="36C19D96" w:rsidR="008D479B" w:rsidRDefault="008D479B" w:rsidP="008D479B">
      <w:pPr>
        <w:pStyle w:val="TextoNormalCentrado"/>
        <w:keepNext/>
      </w:pPr>
    </w:p>
    <w:p w14:paraId="272FDB6D" w14:textId="77777777" w:rsidR="008D479B" w:rsidRDefault="008D479B" w:rsidP="008D479B">
      <w:pPr>
        <w:pStyle w:val="TextoNormalCentrado"/>
        <w:keepNext/>
      </w:pPr>
    </w:p>
    <w:p w14:paraId="0647731F" w14:textId="77777777" w:rsidR="008D479B" w:rsidRDefault="008D479B" w:rsidP="008D479B">
      <w:pPr>
        <w:pStyle w:val="TextoNormal"/>
      </w:pPr>
      <w:r>
        <w:t>la siguiente</w:t>
      </w:r>
    </w:p>
    <w:p w14:paraId="6DEB1881" w14:textId="6F17FCBB" w:rsidR="008D479B" w:rsidRDefault="008D479B" w:rsidP="008D479B">
      <w:pPr>
        <w:pStyle w:val="TextoNormal"/>
      </w:pPr>
    </w:p>
    <w:p w14:paraId="6AD9AAAA" w14:textId="77777777" w:rsidR="008D479B" w:rsidRDefault="008D479B" w:rsidP="008D479B">
      <w:pPr>
        <w:pStyle w:val="TextoNormalCentrado"/>
        <w:keepNext/>
      </w:pPr>
      <w:r>
        <w:t>SENTENCIA</w:t>
      </w:r>
    </w:p>
    <w:p w14:paraId="759EB7C8" w14:textId="64FD7761" w:rsidR="008D479B" w:rsidRDefault="008D479B" w:rsidP="008D479B">
      <w:pPr>
        <w:pStyle w:val="TextoNormalCentrado"/>
        <w:keepNext/>
      </w:pPr>
    </w:p>
    <w:p w14:paraId="7C75EE27" w14:textId="77777777" w:rsidR="008D479B" w:rsidRDefault="008D479B" w:rsidP="008D479B">
      <w:pPr>
        <w:pStyle w:val="TextoNormal"/>
      </w:pPr>
      <w:r>
        <w:t>En el recurso de amparo núm. 5553-2020, interpuesto por el procurador de los tribunales don José Ramón Cervigón Rückauer, en nombre y representación de don Antonio Jesús Osuna Luque y doña Concepción Barrera Cuña, bajo la dirección técnica del letrado don Dionisio Moreno Trigo, contra el auto núm. 349/2020, de 20 de mayo, dictado por la Sección Decimoprimera de la Audiencia Provincial de Barcelona, en el recurso de apelación núm. 421-2018, dimanante del procedimiento de ejecución hipotecaria núm. 826-2012 del Juzgado de Primera Instancia e Instrucción núm. 5 de Martorell; contra la providencia de 28 de julio de 2020 que inadmitió el incidente de nulidad de actuaciones promovido contra el anterior auto, y contra la diligencia de ordenación de 28 de septiembre de 2020 que inadmitió la petición de subsanación y complemento del mismo auto. Ha intervenido el Ministerio Fiscal. Ha sido ponente el presidente del Tribunal Constitucional don Cándido Conde-Pumpido Tourón.</w:t>
      </w:r>
    </w:p>
    <w:p w14:paraId="4D3292CC" w14:textId="125C5D5A" w:rsidR="008D479B" w:rsidRDefault="008D479B" w:rsidP="008D479B">
      <w:pPr>
        <w:pStyle w:val="TextoNormal"/>
      </w:pPr>
    </w:p>
    <w:p w14:paraId="0B617E15" w14:textId="77777777" w:rsidR="008D479B" w:rsidRDefault="008D479B" w:rsidP="008D479B">
      <w:pPr>
        <w:pStyle w:val="TextoNormalNegritaCentrado"/>
        <w:keepNext/>
      </w:pPr>
      <w:r>
        <w:t>I. Antecedentes</w:t>
      </w:r>
    </w:p>
    <w:p w14:paraId="2F502E45" w14:textId="320BD7C5" w:rsidR="008D479B" w:rsidRDefault="008D479B" w:rsidP="008D479B">
      <w:pPr>
        <w:pStyle w:val="TextoNormalNegritaCentrado"/>
        <w:keepNext/>
      </w:pPr>
    </w:p>
    <w:p w14:paraId="28F24EB0" w14:textId="02CD43F9" w:rsidR="008D479B" w:rsidRDefault="008D479B" w:rsidP="008D479B">
      <w:pPr>
        <w:pStyle w:val="TextoNormal"/>
      </w:pPr>
      <w:r w:rsidRPr="008D479B">
        <w:rPr>
          <w:rStyle w:val="NumeroAFNegritaCaracter"/>
        </w:rPr>
        <w:t>1</w:t>
      </w:r>
      <w:r>
        <w:t>. Don Antonio Jesús Osuna Luque y doña Concepción Barrera Cuña, representados por el procurador de los tribunales don José Ramón Cervigón Rückauer, por escrito que tuvo entrada en el registro de este tribunal el día 17 de noviembre de 2020, han interpuesto recurso de amparo contra las resoluciones reseñadas en el encabezamiento de la presente resolución.</w:t>
      </w:r>
    </w:p>
    <w:p w14:paraId="25963BAB" w14:textId="77777777" w:rsidR="008D479B" w:rsidRDefault="008D479B" w:rsidP="008D479B">
      <w:pPr>
        <w:pStyle w:val="TextoNormal"/>
      </w:pPr>
    </w:p>
    <w:p w14:paraId="3DB1048D" w14:textId="77777777" w:rsidR="008D479B" w:rsidRDefault="008D479B" w:rsidP="008D479B">
      <w:pPr>
        <w:pStyle w:val="TextoNormal"/>
      </w:pPr>
      <w:r w:rsidRPr="008D479B">
        <w:rPr>
          <w:rStyle w:val="NumeroAFNegritaCaracter"/>
        </w:rPr>
        <w:t>2</w:t>
      </w:r>
      <w:r>
        <w:t>. Los hechos de los que trae causa la demanda de amparo son, en síntesis, los siguientes:</w:t>
      </w:r>
    </w:p>
    <w:p w14:paraId="1FC45187" w14:textId="77777777" w:rsidR="008D479B" w:rsidRDefault="008D479B" w:rsidP="008D479B">
      <w:pPr>
        <w:pStyle w:val="TextoNormal"/>
      </w:pPr>
    </w:p>
    <w:p w14:paraId="27B2F7C3" w14:textId="77777777" w:rsidR="008D479B" w:rsidRDefault="008D479B" w:rsidP="008D479B">
      <w:pPr>
        <w:pStyle w:val="TextoNormal"/>
      </w:pPr>
      <w:r>
        <w:t>a) Los demandantes suscribieron con Bancopopular-e, S.A., en escritura pública fechada el 18 de abril de 2008 un contrato de préstamo por un principal de 220 000 €, garantizado con hipoteca constituida sobre una vivienda unifamiliar radicada en el término municipal de Esparreguera (Barcelona). La cláusula séptima preveía el vencimiento anticipado del préstamo por falta de pago de cualquier cuota de amortización de capital y/o intereses a sus respectivos vencimientos.</w:t>
      </w:r>
    </w:p>
    <w:p w14:paraId="4AB897E0" w14:textId="77777777" w:rsidR="008D479B" w:rsidRDefault="008D479B" w:rsidP="008D479B">
      <w:pPr>
        <w:pStyle w:val="TextoNormal"/>
      </w:pPr>
    </w:p>
    <w:p w14:paraId="095ACCEC" w14:textId="77777777" w:rsidR="008D479B" w:rsidRDefault="008D479B" w:rsidP="008D479B">
      <w:pPr>
        <w:pStyle w:val="TextoNormal"/>
      </w:pPr>
      <w:r>
        <w:t>b) El 18 de junio de 2012 la entidad financiera, al amparo de la cláusula citada, declaró resuelto el contrato y exigible la deuda, y tras levantarse el 2 de octubre de 2012 a su instancia acta notarial de liquidación del saldo deudor, presentó el 22 de noviembre de 2012 en el servicio común de reparto de los juzgados de Martorell demanda de ejecución de título no judicial contra los ahora recurrentes en amparo en la que solicitó que se les requiriera de pago y en su caso se despachara ejecución por el importe del saldo pendiente y de la cantidad estimada en concepto de intereses, costas y gastos de ejecución. La demanda fue turnada al Juzgado de Primera Instancia e Instrucción núm. 5 de Martorell, que incoó el procedimiento de ejecución hipotecaria núm. 826-2012, y dictó auto de 9 de enero de 2013 por el que la admitió a trámite, ordenando el requerimiento de pago a los ejecutados. El requerimiento fue notificado personalmente a don Antonio Jesús Osuna Luque el 30 de enero de 2013, actuando en su nombre y como mandatario verbal de su esposa doña Concepción Barrera Cuña.</w:t>
      </w:r>
    </w:p>
    <w:p w14:paraId="314535D2" w14:textId="77777777" w:rsidR="008D479B" w:rsidRDefault="008D479B" w:rsidP="008D479B">
      <w:pPr>
        <w:pStyle w:val="TextoNormal"/>
      </w:pPr>
    </w:p>
    <w:p w14:paraId="7F8552F4" w14:textId="77777777" w:rsidR="008D479B" w:rsidRDefault="008D479B" w:rsidP="008D479B">
      <w:pPr>
        <w:pStyle w:val="TextoNormal"/>
      </w:pPr>
      <w:r>
        <w:t>c) En el curso del procedimiento el bien hipotecado fue sacado a pública subasta, que resultó desierta, y adjudicado a la parte ejecutante, aunque no llegó a consumarse el desplazamiento posesorio, dado que los ejecutados presentaron en el juzgado varios escritos que surtieron el efecto de paralizar los señalamientos para lanzamiento que efectuó el órgano judicial.</w:t>
      </w:r>
    </w:p>
    <w:p w14:paraId="1158D291" w14:textId="77777777" w:rsidR="008D479B" w:rsidRDefault="008D479B" w:rsidP="008D479B">
      <w:pPr>
        <w:pStyle w:val="TextoNormal"/>
      </w:pPr>
    </w:p>
    <w:p w14:paraId="1A60CFF9" w14:textId="77777777" w:rsidR="008D479B" w:rsidRDefault="008D479B" w:rsidP="008D479B">
      <w:pPr>
        <w:pStyle w:val="TextoNormal"/>
      </w:pPr>
      <w:r>
        <w:t>En el primer escrito, presentado el 19 de marzo de 2013, y que se califica de “contestación a la demanda” con “allanamiento parcial”, la representación procesal de los ejecutados solicitó la suspensión del procedimiento, o su nulidad, tras alegar la existencia de una situación de emergencia social debida a la multitud de ejecuciones hipotecarias que se estaban produciendo, la violación sistemática del derecho a una vivienda digna que se derivaba de esta situación, y la pendencia de la cuestión prejudicial C-415/11 elevada al Tribunal de Justicia de la Unión Europea por el Juzgado de lo Mercantil núm. 3 de Barcelona, en la que cuestionaba la adecuación al derecho comunitario de varios aspectos de la regulación española de la ejecución hipotecaria (esta cuestión prejudicial había sido resuelta en la STJUE de 14 de marzo de 2013); el escrito fue diligenciado como de oposición a la ejecución, y se dio traslado del mismo a la parte ejecutante, que lo impugnó por no versar sobre ninguna de las causas de oposición previstas en el art. 695.1 de la Ley de enjuiciamiento civil (LEC), no concurrir causa legal alguna de suspensión de la ejecución (tercería de dominio y prejudicialidad penal) y no plantear de manera concreta el carácter abusivo de ninguna cláusula, aunque la parte desarrolla a continuación en su escrito una argumentación específica en defensa de la licitud y el carácter no abusivo de la cláusula de vencimiento anticipado.</w:t>
      </w:r>
    </w:p>
    <w:p w14:paraId="0ABFA830" w14:textId="77777777" w:rsidR="008D479B" w:rsidRDefault="008D479B" w:rsidP="008D479B">
      <w:pPr>
        <w:pStyle w:val="TextoNormal"/>
      </w:pPr>
    </w:p>
    <w:p w14:paraId="12BC76AE" w14:textId="77777777" w:rsidR="008D479B" w:rsidRDefault="008D479B" w:rsidP="008D479B">
      <w:pPr>
        <w:pStyle w:val="TextoNormal"/>
      </w:pPr>
      <w:r>
        <w:t>El escrito no recibió respuesta del juzgado, que dictó diligencia de ordenación el 4 de junio de 2013 en la que acordó estar a la espera de que transcurra el término de la oposición de conformidad con lo previsto en la disposición transitoria cuarta de la Ley 1/2013, de 14 de mayo, de medidas para reforzar la protección a los deudores hipotecarios, reestructuración de deuda y alquiler social.</w:t>
      </w:r>
    </w:p>
    <w:p w14:paraId="1ECE6D8F" w14:textId="77777777" w:rsidR="008D479B" w:rsidRDefault="008D479B" w:rsidP="008D479B">
      <w:pPr>
        <w:pStyle w:val="TextoNormal"/>
      </w:pPr>
    </w:p>
    <w:p w14:paraId="1265085C" w14:textId="77777777" w:rsidR="008D479B" w:rsidRDefault="008D479B" w:rsidP="008D479B">
      <w:pPr>
        <w:pStyle w:val="TextoNormal"/>
      </w:pPr>
      <w:r>
        <w:t>El 28 de junio de 2013 los ejecutados presentaron escrito y documentación anexa en justificación de que se hallaban en una situación de especial vulnerabilidad de acuerdo con el art. 2 de la meritada Ley 1/2013; por diligencia de ordenación de 23 de septiembre de 2013 se declaró que la parte ejecutada no había promovido en plazo el incidente extraordinario de oposición de la ejecución de la Ley 1/2013, y ordenó sacar a pública subasta la finca hipotecada, como había solicitado la parte ejecutante.</w:t>
      </w:r>
    </w:p>
    <w:p w14:paraId="63C7ADD6" w14:textId="77777777" w:rsidR="008D479B" w:rsidRDefault="008D479B" w:rsidP="008D479B">
      <w:pPr>
        <w:pStyle w:val="TextoNormal"/>
      </w:pPr>
    </w:p>
    <w:p w14:paraId="47215575" w14:textId="77777777" w:rsidR="008D479B" w:rsidRDefault="008D479B" w:rsidP="008D479B">
      <w:pPr>
        <w:pStyle w:val="TextoNormal"/>
      </w:pPr>
      <w:r>
        <w:t>Tras una primera subasta a la que no compareció postor alguno, la vivienda fue adjudicada a la entidad ejecutante por un 70 por 100 de su valor de tasación en virtud de decreto de 20 de febrero de 2014, y por diligencia de ordenación de 6 de mayo de 2015 se señaló el día 13 de julio de 2015 para la puesta del inmueble a disposición de la ejecutante.</w:t>
      </w:r>
    </w:p>
    <w:p w14:paraId="57125ED9" w14:textId="77777777" w:rsidR="008D479B" w:rsidRDefault="008D479B" w:rsidP="008D479B">
      <w:pPr>
        <w:pStyle w:val="TextoNormal"/>
      </w:pPr>
    </w:p>
    <w:p w14:paraId="19451FD4" w14:textId="77777777" w:rsidR="008D479B" w:rsidRDefault="008D479B" w:rsidP="008D479B">
      <w:pPr>
        <w:pStyle w:val="TextoNormal"/>
      </w:pPr>
      <w:r>
        <w:t>El 8 de julio de 2015 los ejecutados presentaron escrito en el juzgado en el que solicitaron la suspensión del lanzamiento y en el que aducían, entre otras muchas consideraciones, que era lo procedente en tanto no se resolviera la cuestión prejudicial C-8/14 que había sido elevada por el Juzgado de Primera Instancia núm. 4 de Martorell al Tribunal de Justicia de la Unión Europea, en la que se planteaba la adecuación al derecho comunitario de la comunicación por medio del “Boletín Oficial del Estado” del plazo para promover el incidente extraordinario de oposición a la ejecución hipotecaria establecido en la ya citada disposición transitoria cuarta de la Ley 1/2013; aducían asimismo la existencia de irregularidades formales del título determinantes de la nulidad de actuaciones procesales desde el despacho de la ejecución, la vulneración de su derecho a la tutela judicial efectiva (art. 24.1 CE) porque no recibieron respuesta a su escrito de oposición de 19 de marzo de 2013, y que la diligencia de ordenación de 4 de junio de 2013, por la que se acordaba estar a la espera de que transcurriera el término de oposición previsto en la disposición transitoria cuarta de la Ley 1/2013, les indujo a error, pues el juzgado no les informó de la necesidad de presentar un nuevo escrito de oposición acomodado a dicha disposición; también plantearon el carácter abusivo de las cláusulas suelo, de intereses de demora y de liquidez que figuraban en el contrato.</w:t>
      </w:r>
    </w:p>
    <w:p w14:paraId="152B57D8" w14:textId="77777777" w:rsidR="008D479B" w:rsidRDefault="008D479B" w:rsidP="008D479B">
      <w:pPr>
        <w:pStyle w:val="TextoNormal"/>
      </w:pPr>
    </w:p>
    <w:p w14:paraId="4A694437" w14:textId="77777777" w:rsidR="008D479B" w:rsidRDefault="008D479B" w:rsidP="008D479B">
      <w:pPr>
        <w:pStyle w:val="TextoNormal"/>
      </w:pPr>
      <w:r>
        <w:t>El juzgado dictó auto el 9 de julio de 2015 en el que, dando contestación al escrito de 28 de junio de 2013, denegó la suspensión del lanzamiento por no cumplirse los requisitos exigidos en el art. 3 del Real Decreto-ley 1/2015, de 27 de febrero, de mecanismo de segunda oportunidad, reducción de carga financiera y otras medidas de orden social; por auto de 31 de julio de 2015, en contestación a un escrito de aclaración presentado por los ejecutados, complementó la anterior resolución añadiendo el siguiente pronunciamiento: “No se aprecia nulidad alguna en la tramitación del procedimiento, una vez revisadas las actuaciones”, y por diligencia de ordenación de 3 de noviembre de 2015 señaló el día 22 de diciembre de 2015 para la entrega de la posesión del inmueble a la ejecutante.</w:t>
      </w:r>
    </w:p>
    <w:p w14:paraId="746779F5" w14:textId="77777777" w:rsidR="008D479B" w:rsidRDefault="008D479B" w:rsidP="008D479B">
      <w:pPr>
        <w:pStyle w:val="TextoNormal"/>
      </w:pPr>
    </w:p>
    <w:p w14:paraId="6B53E614" w14:textId="77777777" w:rsidR="008D479B" w:rsidRDefault="008D479B" w:rsidP="008D479B">
      <w:pPr>
        <w:pStyle w:val="TextoNormal"/>
      </w:pPr>
      <w:r>
        <w:t>La parte ejecutada por escrito presentado el 10 de noviembre de 2015 interpuso recurso de reposición con petición de nulidad de actuaciones contra la anterior diligencia en el que solicitó: (i) con cita del ATJUE de 11 de junio de 2015, dictado en el asunto C-602/13, que se declarase abusiva y, por tanto, nula la cláusula de vencimiento anticipado al referirse a un solo incumplimiento de cualquier cuota de amortización de capital y/o intereses, y, (ii) con cita de la STJUE de 29 de octubre de 2015, asunto C-8/2014, y teniendo en cuenta que no les fue notificada personalmente la posibilidad de oponerse a la ejecución que les otorgaba la disposición transitoria cuarta de la Ley 1/2013, que se declarase la nulidad de las actuaciones al menos desde el momento de la aprobación de dicha ley, a los efectos de que los recurrentes pudieran hacer uso de dicha vía de oposición extraordinaria. En el escrito se solicitaba asimismo la suspensión del lanzamiento.</w:t>
      </w:r>
    </w:p>
    <w:p w14:paraId="1E7BF185" w14:textId="77777777" w:rsidR="008D479B" w:rsidRDefault="008D479B" w:rsidP="008D479B">
      <w:pPr>
        <w:pStyle w:val="TextoNormal"/>
      </w:pPr>
    </w:p>
    <w:p w14:paraId="071B0B88" w14:textId="77777777" w:rsidR="008D479B" w:rsidRDefault="008D479B" w:rsidP="008D479B">
      <w:pPr>
        <w:pStyle w:val="TextoNormal"/>
      </w:pPr>
      <w:r>
        <w:t>El juzgado inadmitió el recurso en providencia de 21 de diciembre de 2015 argumentando que de su contenido se desprendía que la intención de la parte recurrente era plantear un incidente de nulidad, lo que debía hacer de forma separada; no obstante, en una segunda providencia de la misma fecha acordaba, de conformidad con el punto segundo de la disposición transitoria segunda de la Ley 24/2015, de 29 de julio, de medidas urgentes para afrontar la emergencia en el ámbito de la vivienda y la pobreza energética, así como en los arts. 5.6 y 7 de la misma ley, suspender el lanzamiento señalado para el día 22 de diciembre de 2015 y dirigir atento oficio al Ayuntamiento de Esparreguera a fin de que dieran cumplimiento a las citadas disposiciones, quedando suspendida la causa hasta que se recibiera informe de la administración pública.</w:t>
      </w:r>
    </w:p>
    <w:p w14:paraId="1E54E47C" w14:textId="77777777" w:rsidR="008D479B" w:rsidRDefault="008D479B" w:rsidP="008D479B">
      <w:pPr>
        <w:pStyle w:val="TextoNormal"/>
      </w:pPr>
    </w:p>
    <w:p w14:paraId="37678FB6" w14:textId="77777777" w:rsidR="008D479B" w:rsidRDefault="008D479B" w:rsidP="008D479B">
      <w:pPr>
        <w:pStyle w:val="TextoNormal"/>
      </w:pPr>
      <w:r>
        <w:t>Por escrito presentado el 5 de enero de 2016 la parte ejecutada puso de manifiesto que se había malinterpretado por el juzgado el sentido de su escrito, que no era de interposición de un recurso de reposición, sino de planteamiento directo de una nulidad de actuaciones, por lo que suplicaba se tuviera por instada dicha nulidad por las causas expresadas en el mismo. El juzgado dictó entonces providencia de 16 de junio de 2016 por la que conforme al art. 227.2 LEC concedió a la parte ejecutante un plazo de diez días para que formulase alegaciones; esta parte manifestó que la nulidad de actuaciones solicitada ya había sido resuelta en el auto de 31 de julio de 2015. El juzgado dictó providencia el 29 de junio de 2016 por la que dejó sin efecto la providencia de 16 de junio de 2016 por cuanto había ordenado dar traslado de una petición que ya había sido resuelta por auto de 31 de julio de 2015; esta providencia fue recurrida en reforma por la parte ejecutada y confirmada por auto de 28 de septiembre de 2016; el mismo día el juzgado dictó otra providencia por la que declaraba no haber lugar a la admisión del incidente de nulidad de actuaciones por no concurrir los presupuestos establecidos en la Ley de enjuiciamiento civil, en concreto, porque no se había causado indefensión a la parte que lo promovió y porque no se había producido infracción procesal alguna, poniendo de manifiesto igualmente que en su día la parte había instado incidente de nulidad de actuaciones por los mismos motivos y el mismo fue resuelto; esta última providencia también fue recurrida en reposición por la parte ejecutada y confirmada por auto de 7 de noviembre de 2016.</w:t>
      </w:r>
    </w:p>
    <w:p w14:paraId="10139747" w14:textId="77777777" w:rsidR="008D479B" w:rsidRDefault="008D479B" w:rsidP="008D479B">
      <w:pPr>
        <w:pStyle w:val="TextoNormal"/>
      </w:pPr>
    </w:p>
    <w:p w14:paraId="230C2D44" w14:textId="77777777" w:rsidR="008D479B" w:rsidRDefault="008D479B" w:rsidP="008D479B">
      <w:pPr>
        <w:pStyle w:val="TextoNormal"/>
      </w:pPr>
      <w:r>
        <w:t>d) Posteriormente, en virtud de una providencia que no lleva fecha, el juzgado concedió de oficio un trámite de audiencia a las partes por término de quince días para que se pronunciaran sobre la posible existencia de cláusulas abusivas, haciendo referencia a las de vencimiento anticipado, intereses y comisiones. Los ejecutados presentaron alegaciones en las que apuntaron el carácter abusivo de varias cláusulas contractuales, entre ellas la cláusula de vencimiento anticipado, fundándose para ello en varios pronunciamientos del Tribunal de Justicia de la Unión Europea, con especial énfasis en el ATJUE de 11 de junio de 2015, asunto C-602/13, por lo que interesaron el sobreseimiento del procedimiento de ejecución, aunque también solicitaron la suspensión del mismo en tanto se resolvían determinadas cuestiones prejudiciales pendientes ante el Tribunal de Justicia de la Unión Europea.</w:t>
      </w:r>
    </w:p>
    <w:p w14:paraId="723203C3" w14:textId="77777777" w:rsidR="008D479B" w:rsidRDefault="008D479B" w:rsidP="008D479B">
      <w:pPr>
        <w:pStyle w:val="TextoNormal"/>
      </w:pPr>
    </w:p>
    <w:p w14:paraId="6B340958" w14:textId="77777777" w:rsidR="008D479B" w:rsidRDefault="008D479B" w:rsidP="008D479B">
      <w:pPr>
        <w:pStyle w:val="TextoNormal"/>
      </w:pPr>
      <w:r>
        <w:t>El juzgado dictó el auto núm. 93/2017, de 29 de marzo, en el que manifiesta que verifica el control de oficio de las cláusulas que no se llevó a cabo en el momento previsto en el art. 552.1 LEC, esto es, en el momento de resolver sobre el despacho de la ejecución, y declara, tras una sintética exposición de pronunciamientos del Tribunal de Justicia de la Unión Europea, audiencias provinciales y la Sala de lo Civil del Tribunal Supremo, que la cláusula de vencimiento anticipado que contenía el título ejecutivo en este caso era abusiva y nula, y que ello determinaba como consecuencia el sobreseimiento y archivo del procedimiento de ejecución, lo que hacía innecesario analizar el resto de las cláusulas contractuales. En esta resolución no se efectuaba pronunciamiento alguno sobre costas.</w:t>
      </w:r>
    </w:p>
    <w:p w14:paraId="24B5650B" w14:textId="77777777" w:rsidR="008D479B" w:rsidRDefault="008D479B" w:rsidP="008D479B">
      <w:pPr>
        <w:pStyle w:val="TextoNormal"/>
      </w:pPr>
    </w:p>
    <w:p w14:paraId="7E7C15FD" w14:textId="77777777" w:rsidR="008D479B" w:rsidRDefault="008D479B" w:rsidP="008D479B">
      <w:pPr>
        <w:pStyle w:val="TextoNormal"/>
      </w:pPr>
      <w:r>
        <w:t>e) Los recurrentes en amparo presentaron escrito el 7 de abril de 2017 en el que solicitaron la subsanación y complemento del auto para que el juzgado se pronunciara sobre las costas, interesando que las mismas le fueran impuestas a la parte ejecutante; por auto de 5 de mayo de 2017 el juzgado se negó a hacer un pronunciamiento sobre costas “dado que el auto dictado lo ha sido a causa del examen de oficio de la juzgadora y no como consecuencia de la estimación de una oposición a la ejecución”.</w:t>
      </w:r>
    </w:p>
    <w:p w14:paraId="200BD6F0" w14:textId="77777777" w:rsidR="008D479B" w:rsidRDefault="008D479B" w:rsidP="008D479B">
      <w:pPr>
        <w:pStyle w:val="TextoNormal"/>
      </w:pPr>
    </w:p>
    <w:p w14:paraId="5EECA414" w14:textId="77777777" w:rsidR="008D479B" w:rsidRDefault="008D479B" w:rsidP="008D479B">
      <w:pPr>
        <w:pStyle w:val="TextoNormal"/>
      </w:pPr>
      <w:r>
        <w:t>f) El auto de sobreseimiento fue recurrido en apelación por ambas partes: la ejecutante para que fuera revocado, la ejecutada para que se impusieran las costas a la ejecutante en aplicación del art. 561.2 LEC; ambos recursos fueron desestimados por auto núm. 349/2020, de 20 de mayo, de la Sección Undécima de la Audiencia Provincial de Barcelona (recurso de apelación núm. 421-2018).</w:t>
      </w:r>
    </w:p>
    <w:p w14:paraId="66D4A958" w14:textId="77777777" w:rsidR="008D479B" w:rsidRDefault="008D479B" w:rsidP="008D479B">
      <w:pPr>
        <w:pStyle w:val="TextoNormal"/>
      </w:pPr>
    </w:p>
    <w:p w14:paraId="6B970159" w14:textId="77777777" w:rsidR="008D479B" w:rsidRDefault="008D479B" w:rsidP="008D479B">
      <w:pPr>
        <w:pStyle w:val="TextoNormal"/>
      </w:pPr>
      <w:r>
        <w:t>La sección dirime el recurso interpuesto por la ejecutante aplicando el criterio fijado en la STS (Sala Primera) de 11 de septiembre de 2019 (recurso de casación núm. 1752-2014) para la resolución de recursos de apelación interpuestos en procedimientos de ejecución hipotecaria en los que el deudor tiene la condición de consumidor y en los que se ha declarado la nulidad de la cláusula de vencimiento anticipado por abusiva, criterio en virtud del cual si el préstamo se ha dado por vencido antes de la entrada en vigor de la Ley 1/2013, como era el caso, la única solución posible es el sobreseimiento del procedimiento ejecutivo.</w:t>
      </w:r>
    </w:p>
    <w:p w14:paraId="0C5113BC" w14:textId="77777777" w:rsidR="008D479B" w:rsidRDefault="008D479B" w:rsidP="008D479B">
      <w:pPr>
        <w:pStyle w:val="TextoNormal"/>
      </w:pPr>
    </w:p>
    <w:p w14:paraId="29E0E65E" w14:textId="77777777" w:rsidR="008D479B" w:rsidRDefault="008D479B" w:rsidP="008D479B">
      <w:pPr>
        <w:pStyle w:val="TextoNormal"/>
      </w:pPr>
      <w:r>
        <w:t>Al recurso interpuesto por la parte ejecutada, la sección responde denegando la aplicación del precepto invocado por esta, el art. 561.2 LEC, que regula las costas en incidente de oposición a la ejecución, por entender que en el recurso no se estaba pidiendo la nulidad de actuaciones por no haberse dado trámite a la oposición presentada en marzo de 2013, oposición en la que por otra parte tampoco se planteó que las cláusulas contractuales fueran abusivas, ni se dirigía contra una verdadera decisión final de incidente de oposición; tampoco impone las costas de los recursos de apelación, en virtud del art. 398 LEC, por entender que en el momento de su interposición existían serias dudas de derecho sobre la cuestión de fondo.</w:t>
      </w:r>
    </w:p>
    <w:p w14:paraId="76EF7A90" w14:textId="77777777" w:rsidR="008D479B" w:rsidRDefault="008D479B" w:rsidP="008D479B">
      <w:pPr>
        <w:pStyle w:val="TextoNormal"/>
      </w:pPr>
    </w:p>
    <w:p w14:paraId="6E12088B" w14:textId="77777777" w:rsidR="008D479B" w:rsidRDefault="008D479B" w:rsidP="008D479B">
      <w:pPr>
        <w:pStyle w:val="TextoNormal"/>
      </w:pPr>
      <w:r>
        <w:t>g) Los demandantes promovieron incidente de nulidad de actuaciones contra el auto de apelación en el que alegaron que la negativa a condenar en costas a la ejecutante con el argumento de que la misma solo cabía en el seno de un incidente de oposición, constituía una interpretación restrictiva del art. 561.2 LEC, que no tenía respaldo en la jurisprudencia nacional, a cuyo efecto citaba la autoridad de la STS (Pleno de la Sala Primera) núm. 705/2015, de 23 de diciembre, FJ 5, y que vulneraba su derecho a la tutela judicial efectiva del art. 24.1 CE por incurrir en arbitrariedad, falta de motivación e incumplimiento del derecho comunitario tuitivo de los derechos de los consumidores (arts. 6 y 7 de la Directiva 93/13/CEE y arts. 38 y 47 de la Carta de derechos fundamentales de la Unión Europea), en la interpretación fijada por doctrina del Tribunal de Justicia de la Unión Europea de la que hacía expresa cita; también denunciaba, invocando los arts. 24.2 y 14 CE, que se había producido la infracción del principio de igualdad de armas procesales, porque el consumidor litigante que se veía forzado a promover un incidente de nulidad de actuaciones para hacer valer sus derechos, se veía abocado a pagar las costas aunque su pretensión fuera estimada. Terminaba su escrito instando del tribunal que elevase cuestión prejudicial al Tribunal de Justicia de la Unión Europea, proponiendo al efecto varias preguntas en las que se suscitaban estas cuestiones.</w:t>
      </w:r>
    </w:p>
    <w:p w14:paraId="2E2565C8" w14:textId="77777777" w:rsidR="008D479B" w:rsidRDefault="008D479B" w:rsidP="008D479B">
      <w:pPr>
        <w:pStyle w:val="TextoNormal"/>
      </w:pPr>
    </w:p>
    <w:p w14:paraId="778F40C3" w14:textId="77777777" w:rsidR="008D479B" w:rsidRDefault="008D479B" w:rsidP="008D479B">
      <w:pPr>
        <w:pStyle w:val="TextoNormal"/>
      </w:pPr>
      <w:r>
        <w:t>El incidente fue inadmitido por providencia de 28 de julio de 2020 que decía: “conforme al art. 228.1 de la Ley de enjuiciamiento civil (LEC), solo excepcionalmente se podrá pedir la nulidad de actuaciones fundada en defectos de forma que hayan causado indefensión” y añadía: “[s]in perjuicio de que por la parte, si es de su interés, se solicite subsanación o complemento de sentencias y autos que establece el artículo 215 de la LECivil”.</w:t>
      </w:r>
    </w:p>
    <w:p w14:paraId="1BF3F671" w14:textId="77777777" w:rsidR="008D479B" w:rsidRDefault="008D479B" w:rsidP="008D479B">
      <w:pPr>
        <w:pStyle w:val="TextoNormal"/>
      </w:pPr>
    </w:p>
    <w:p w14:paraId="1F6E5980" w14:textId="7F4ED190" w:rsidR="008D479B" w:rsidRDefault="008D479B" w:rsidP="008D479B">
      <w:pPr>
        <w:pStyle w:val="TextoNormal"/>
      </w:pPr>
      <w:r>
        <w:t>h) Siguiendo la indicación recibida del tribunal, los demandantes presentaron escrito de subsanación y complemento que les fue inadmitido por diligencia de ordenación de 28 de septiembre de 2020 “al hallarse fuera de los plazos establecidos en los arts. 214 y 215 LEC”.</w:t>
      </w:r>
    </w:p>
    <w:p w14:paraId="2E9DA245" w14:textId="77777777" w:rsidR="008D479B" w:rsidRDefault="008D479B" w:rsidP="008D479B">
      <w:pPr>
        <w:pStyle w:val="TextoNormal"/>
      </w:pPr>
    </w:p>
    <w:p w14:paraId="1A6BCEAB" w14:textId="77777777" w:rsidR="008D479B" w:rsidRDefault="008D479B" w:rsidP="008D479B">
      <w:pPr>
        <w:pStyle w:val="TextoNormal"/>
      </w:pPr>
      <w:r w:rsidRPr="008D479B">
        <w:rPr>
          <w:rStyle w:val="NumeroAFNegritaCaracter"/>
        </w:rPr>
        <w:t>3</w:t>
      </w:r>
      <w:r>
        <w:t>. En la demanda de amparo se aduce:</w:t>
      </w:r>
    </w:p>
    <w:p w14:paraId="31925371" w14:textId="77777777" w:rsidR="008D479B" w:rsidRDefault="008D479B" w:rsidP="008D479B">
      <w:pPr>
        <w:pStyle w:val="TextoNormal"/>
      </w:pPr>
    </w:p>
    <w:p w14:paraId="50A43194" w14:textId="77777777" w:rsidR="008D479B" w:rsidRDefault="008D479B" w:rsidP="008D479B">
      <w:pPr>
        <w:pStyle w:val="TextoNormal"/>
      </w:pPr>
      <w:r>
        <w:t>a) La vulneración del derecho a la tutela judicial efectiva por falta de motivación fundada en Derecho (art. 24.1 CE) de las siguientes resoluciones judiciales que fueron dictadas en la segunda instancia del procedimiento de ejecución hipotecaria:</w:t>
      </w:r>
    </w:p>
    <w:p w14:paraId="40EDFC44" w14:textId="77777777" w:rsidR="008D479B" w:rsidRDefault="008D479B" w:rsidP="008D479B">
      <w:pPr>
        <w:pStyle w:val="TextoNormal"/>
      </w:pPr>
    </w:p>
    <w:p w14:paraId="252AFB1D" w14:textId="77777777" w:rsidR="008D479B" w:rsidRDefault="008D479B" w:rsidP="008D479B">
      <w:pPr>
        <w:pStyle w:val="TextoNormal"/>
      </w:pPr>
      <w:r>
        <w:t>(i) Del auto de la Sección Decimoprimera de la Audiencia Provincial de Barcelona de 20 de mayo de 2020, porque al no imponer a la parte ejecutante las costas tanto de la primera como de la segunda instancia, como era procedente una vez que el juzgado de primera instancia había sobreseído el procedimiento tras declarar que la cláusula de vencimiento anticipado era abusiva, se apartó injustificadamente de los criterios en defensa de los consumidores establecidos en los artículos 6 y 7 de la Directiva 93/13/CEE y en la jurisprudencia del Tribunal de Justicia de la Unión Europea que los interpreta (cita, por todas, la STJUE de 21 de febrero de 2013, asunto C-472/11) que establecen que no vincularán al consumidor las cláusulas abusivas, y que el juzgador deberá deducir todas las consecuencias de la declaración de abusividad de dichas cláusulas. La demanda alude asimismo a la STC 140/2020, de 6 de octubre, FJ 3, que reconoce la idoneidad y tempestividad del incidente de nulidad de actuaciones como cauce procesal para denunciar el carácter abusivo de una cláusula contractual declarado en resolución del Tribunal de Justicia de la Unión Europea con posterioridad al plazo para poder formular oposición, y aduce que al igual que en el trámite de oposición hay costas procesales, en el trámite de nulidad de actuaciones también las debe haber cuando el resultado es el mismo, el sobreseimiento del procedimiento por nulidad de una cláusula fundada en su carácter abusivo.</w:t>
      </w:r>
    </w:p>
    <w:p w14:paraId="298197D4" w14:textId="77777777" w:rsidR="008D479B" w:rsidRDefault="008D479B" w:rsidP="008D479B">
      <w:pPr>
        <w:pStyle w:val="TextoNormal"/>
      </w:pPr>
    </w:p>
    <w:p w14:paraId="5F1ADF6B" w14:textId="77777777" w:rsidR="008D479B" w:rsidRDefault="008D479B" w:rsidP="008D479B">
      <w:pPr>
        <w:pStyle w:val="TextoNormal"/>
      </w:pPr>
      <w:r>
        <w:t>(ii) De la providencia de 28 de julio de 2020 de inadmisión del incidente de nulidad de actuaciones porque al limitarse a citar determinados preceptos de la Ley de enjuiciamiento civil, aparece desprovista de motivación y no respeta la función constitucional como instrumento de protección de los derechos fundamentales que la doctrina constitucional reconoce a este incidente tras la reforma de la Ley Orgánica del Poder Judicial verificada por la Ley Orgánica 6/2007, a cuyo efecto verifica una extensa cita de la STC 102/2020, de 21 de septiembre, que reitera doctrina anterior sobre la necesidad de que la inadmisión sea siempre debidamente motivada y fundada en Derecho.</w:t>
      </w:r>
    </w:p>
    <w:p w14:paraId="25C55C90" w14:textId="77777777" w:rsidR="008D479B" w:rsidRDefault="008D479B" w:rsidP="008D479B">
      <w:pPr>
        <w:pStyle w:val="TextoNormal"/>
      </w:pPr>
    </w:p>
    <w:p w14:paraId="5864CA7B" w14:textId="77777777" w:rsidR="008D479B" w:rsidRDefault="008D479B" w:rsidP="008D479B">
      <w:pPr>
        <w:pStyle w:val="TextoNormal"/>
      </w:pPr>
      <w:r>
        <w:t>(iii) De la diligencia de ordenación de 28 de septiembre de 2020, que inadmitió la subsanación y complemento del auto aduciendo extemporaneidad, negando de este modo la posibilidad de subsanación que había anunciado la anterior providencia.</w:t>
      </w:r>
    </w:p>
    <w:p w14:paraId="20250BD8" w14:textId="77777777" w:rsidR="008D479B" w:rsidRDefault="008D479B" w:rsidP="008D479B">
      <w:pPr>
        <w:pStyle w:val="TextoNormal"/>
      </w:pPr>
    </w:p>
    <w:p w14:paraId="6FD8D627" w14:textId="77777777" w:rsidR="008D479B" w:rsidRDefault="008D479B" w:rsidP="008D479B">
      <w:pPr>
        <w:pStyle w:val="TextoNormal"/>
      </w:pPr>
      <w:r>
        <w:t>b) La vulneración del derecho a un proceso con todas las garantías (art. 24.2 CE). Alega que la audiencia provincial al negar la imposición de las costas a la parte prestamista ejecutante amparándose en que el incidente de nulidad de actuaciones no tiene prevista condena en costas, ha primado la norma nacional sobre la norma comunitaria, desconociendo los principios de efectividad y disuasorio que conforme a la jurisprudencia del Tribunal de Justicia de la Unión Europea, con cita de las SSTJUE de 4 de junio de 2009, asunto C-243/08, § 30, y de 16 de julio de 2020, asuntos acumulados C-224/19 y C-259/19, § 99, debe tener en cuenta el órgano judicial nacional al pronunciarse sobre los gastos del procedimiento; antes al contrario, lo que genera la resolución judicial impugnada es un efecto disuasorio sobre la parte débil del contrato de defenderse de la cláusula abusiva. Por otra parte, al no imponerse a la parte ejecutante las costas de la segunda instancia por existencia de dudas de derecho se penaliza al ciudadano consumidor por una cuestión de la que es ajeno, las dudas del órgano judicial, concepto muy indeterminado y subjetivo; tales dudas no pueden trasladar los efectos económicos del proceso a los actores, ciudadanos consumidores.</w:t>
      </w:r>
    </w:p>
    <w:p w14:paraId="4E640AB5" w14:textId="77777777" w:rsidR="008D479B" w:rsidRDefault="008D479B" w:rsidP="008D479B">
      <w:pPr>
        <w:pStyle w:val="TextoNormal"/>
      </w:pPr>
    </w:p>
    <w:p w14:paraId="71281DED" w14:textId="77777777" w:rsidR="008D479B" w:rsidRDefault="008D479B" w:rsidP="008D479B">
      <w:pPr>
        <w:pStyle w:val="TextoNormal"/>
      </w:pPr>
      <w:r>
        <w:t>c) Vulneración del derecho al juez ordinario predeterminado por la ley (art. 24.2 CE). Se achaca a la negativa de la audiencia provincial a elevar cuestión prejudicial al Tribunal de Justicia de la Unión Europea en los términos del art. 267 del Tratado de funcionamiento de la Unión Europea (TFUE), tal y como se solicitó en el incidente extraordinario de nulidad.</w:t>
      </w:r>
    </w:p>
    <w:p w14:paraId="4532D795" w14:textId="77777777" w:rsidR="008D479B" w:rsidRDefault="008D479B" w:rsidP="008D479B">
      <w:pPr>
        <w:pStyle w:val="TextoNormal"/>
      </w:pPr>
    </w:p>
    <w:p w14:paraId="3C4B8108" w14:textId="77777777" w:rsidR="008D479B" w:rsidRDefault="008D479B" w:rsidP="008D479B">
      <w:pPr>
        <w:pStyle w:val="TextoNormal"/>
      </w:pPr>
      <w:r>
        <w:t>d) Vulneración del derecho a la igualdad en la aplicación de la norma y a la igualdad de armas procesales. Dado que la Directiva 93/13/CEE parte de la situación de inferioridad en que se encuentra el consumidor en relación con el profesional en lo referido a la capacidad de negociación y nivel de información, tratar a ambas partes de la misma forma genera una desigualdad contraria a dicha directiva, a la Carta de derechos fundamentales de la Unión Europea, arts. 20, 38 y 47, y al art. 14 CE, especialmente cuando la jurisprudencia del Tribunal de Justicia de la Unión Europea exige que el juez que conoce el asunto garantice el efecto útil de la protección que persigue la directiva.</w:t>
      </w:r>
    </w:p>
    <w:p w14:paraId="5643FC14" w14:textId="77777777" w:rsidR="008D479B" w:rsidRDefault="008D479B" w:rsidP="008D479B">
      <w:pPr>
        <w:pStyle w:val="TextoNormal"/>
      </w:pPr>
    </w:p>
    <w:p w14:paraId="377CCD1B" w14:textId="092A7AFD" w:rsidR="008D479B" w:rsidRDefault="008D479B" w:rsidP="008D479B">
      <w:pPr>
        <w:pStyle w:val="TextoNormal"/>
      </w:pPr>
      <w:r>
        <w:t>En el suplico de la demanda se solicita la nulidad de las resoluciones judiciales impugnadas.</w:t>
      </w:r>
    </w:p>
    <w:p w14:paraId="1338A626" w14:textId="77777777" w:rsidR="008D479B" w:rsidRDefault="008D479B" w:rsidP="008D479B">
      <w:pPr>
        <w:pStyle w:val="TextoNormal"/>
      </w:pPr>
    </w:p>
    <w:p w14:paraId="1C4854EE" w14:textId="77777777" w:rsidR="008D479B" w:rsidRDefault="008D479B" w:rsidP="008D479B">
      <w:pPr>
        <w:pStyle w:val="TextoNormal"/>
      </w:pPr>
      <w:r w:rsidRPr="008D479B">
        <w:rPr>
          <w:rStyle w:val="NumeroAFNegritaCaracter"/>
        </w:rPr>
        <w:t>4</w:t>
      </w:r>
      <w:r>
        <w:t>. La Sección Tercera del Tribunal Constitucional, por providencia de 7 de febrero de 2022, acordó admitir a trámite el recurso de amparo apreciando que concurre en el mismo una especial trascendencia constitucional [art. 50.1 de la Ley Orgánica del Tribunal Constitucional (LOTC)] porque el asunto suscitado trasciende del caso concreto porque plantea una cuestión jurídica de relevante y general repercusión social o económica [STC 155/2009, de 25 de junio, FJ 2 g)].</w:t>
      </w:r>
    </w:p>
    <w:p w14:paraId="73EADCFD" w14:textId="77777777" w:rsidR="008D479B" w:rsidRDefault="008D479B" w:rsidP="008D479B">
      <w:pPr>
        <w:pStyle w:val="TextoNormal"/>
      </w:pPr>
    </w:p>
    <w:p w14:paraId="72F45E7C" w14:textId="425399B2" w:rsidR="008D479B" w:rsidRDefault="008D479B" w:rsidP="008D479B">
      <w:pPr>
        <w:pStyle w:val="TextoNormal"/>
      </w:pPr>
      <w:r>
        <w:t>Acordó asimismo, en aplicación de lo dispuesto en el art. 51 LOTC, dirigir atenta comunicación a la Sección Decimoprimera de la Audiencia Provincial de Barcelona a fin de que en un plazo que no excediera de diez días remitiera certificación o fotocopia adverada de las actuaciones correspondientes al recurso de apelación núm. 421-2018, e igualmente al Juzgado de Primera Instancia e Instrucción núm. 5 de Martorell, a fin de que en un plazo que no excediera de diez días remitiera certificación o fotocopia adverada de las actuaciones correspondientes a la ejecución hipotecaria núm. 826-2012, debiendo previamente emplazarse, para que en el plazo de diez días pudieran comparecer, si lo desearan, en el recurso de amparo a quienes hubieran sido parte en el procedimiento, excepto la parte recurrente en amparo.</w:t>
      </w:r>
    </w:p>
    <w:p w14:paraId="476B4762" w14:textId="77777777" w:rsidR="008D479B" w:rsidRDefault="008D479B" w:rsidP="008D479B">
      <w:pPr>
        <w:pStyle w:val="TextoNormal"/>
      </w:pPr>
    </w:p>
    <w:p w14:paraId="49065123" w14:textId="10C7D616" w:rsidR="008D479B" w:rsidRDefault="008D479B" w:rsidP="008D479B">
      <w:pPr>
        <w:pStyle w:val="TextoNormal"/>
      </w:pPr>
      <w:r w:rsidRPr="008D479B">
        <w:rPr>
          <w:rStyle w:val="NumeroAFNegritaCaracter"/>
        </w:rPr>
        <w:t>5</w:t>
      </w:r>
      <w:r>
        <w:t>. Recibidas las actuaciones, por diligencia de ordenación de 11 de abril de 2022 se dio vista de las mismas a la parte recurrente y al Ministerio Fiscal por plazo común de veinte días, a los efectos de que presentasen las alegaciones que estimasen pertinentes conforme al art. 52.1 LOTC.</w:t>
      </w:r>
    </w:p>
    <w:p w14:paraId="3100A702" w14:textId="77777777" w:rsidR="008D479B" w:rsidRDefault="008D479B" w:rsidP="008D479B">
      <w:pPr>
        <w:pStyle w:val="TextoNormal"/>
      </w:pPr>
    </w:p>
    <w:p w14:paraId="642F923A" w14:textId="77777777" w:rsidR="008D479B" w:rsidRDefault="008D479B" w:rsidP="008D479B">
      <w:pPr>
        <w:pStyle w:val="TextoNormal"/>
      </w:pPr>
      <w:r w:rsidRPr="008D479B">
        <w:rPr>
          <w:rStyle w:val="NumeroAFNegritaCaracter"/>
        </w:rPr>
        <w:t>6</w:t>
      </w:r>
      <w:r>
        <w:t>. Por escrito registrado el 19 de mayo de 2022 el fiscal ante el Tribunal Constitucional presentó escrito de alegaciones en el que interesó la estimación del recurso de amparo, que se declare la vulneración del derecho a la tutela judicial efectiva del art. 24.1 CE, y que para restablecer a los demandantes en el mismo, se declare la nulidad del auto del Juzgado de Primera Instancia núm. 5 de Martorell de 29 de marzo de 2017, así como del sucesivo auto de la Sección Decimoprimera de la Audiencia Provincial de Barcelona de 20 de mayo de 2020, y su providencia de 28 de julio de 2020, con retroacción de actuaciones al primero de ellos para que resuelva la cuestión planteada con pleno respeto al derecho fundamental vulnerado.</w:t>
      </w:r>
    </w:p>
    <w:p w14:paraId="5D939E6E" w14:textId="77777777" w:rsidR="008D479B" w:rsidRDefault="008D479B" w:rsidP="008D479B">
      <w:pPr>
        <w:pStyle w:val="TextoNormal"/>
      </w:pPr>
    </w:p>
    <w:p w14:paraId="097C03C5" w14:textId="77777777" w:rsidR="008D479B" w:rsidRDefault="008D479B" w:rsidP="008D479B">
      <w:pPr>
        <w:pStyle w:val="TextoNormal"/>
      </w:pPr>
      <w:r>
        <w:t>El fiscal, tras hacer una síntesis de las vicisitudes del procedimiento antecedente y del contenido del recurso de amparo, aduce que la vulneración del derecho al juez ordinario predeterminado por la ley no fue planteada en el incidente de nulidad de actuaciones, y por ello no puede ser objeto de análisis por falta de invocación tempestiva, y que los restantes motivos del recurso de amparo presentan un desarrollo argumental que permite reconducirlos a la vulneración del derecho a la tutela judicial efectiva del art. 24.1 CE, en su doble vertiente de motivación de la resolución judicial y de acceso a la jurisdicción.</w:t>
      </w:r>
    </w:p>
    <w:p w14:paraId="794E603D" w14:textId="77777777" w:rsidR="008D479B" w:rsidRDefault="008D479B" w:rsidP="008D479B">
      <w:pPr>
        <w:pStyle w:val="TextoNormal"/>
      </w:pPr>
    </w:p>
    <w:p w14:paraId="369556F1" w14:textId="77777777" w:rsidR="008D479B" w:rsidRDefault="008D479B" w:rsidP="008D479B">
      <w:pPr>
        <w:pStyle w:val="TextoNormal"/>
      </w:pPr>
      <w:r>
        <w:t>Tras aludir a las reglas sobre imposición de costas del art. 394 LEC, para los procesos declarativos, y en el art. 561.2 LEC, para los procesos de ejecución, recuerda que la jurisprudencia de la Sala Primera del Tribunal Supremo, recogida en las SSTS núm. 472/2020, de 17 de septiembre, y 419/2017, de 4 de julio, ha establecido, de conformidad con la doctrina del Tribunal de Justicia de la Unión Europea, que la excepción de serias dudas de hecho o de derecho a la regla general del vencimiento imperante en materia de costas, aplicada para no restituir al consumidor demandante los gastos procesales que realizó para obtener en vía judicial la declaración del carácter abusivo de una cláusula contractual y su anulación, vulnera las exigencias de la Directiva 93/13/CEE, desde la perspectiva del principio de efectividad del Derecho de la Unión Europea, que exige dar cumplimiento de otros dos principios: el de no vinculación de los consumidores a las cláusulas abusivas incorporadas a contratos no negociados (art. 6.1 de la Directiva) y el del efecto disuasorio del uso de tales cláusulas (art. 7.2 de la Directiva).</w:t>
      </w:r>
    </w:p>
    <w:p w14:paraId="038AEED1" w14:textId="77777777" w:rsidR="008D479B" w:rsidRDefault="008D479B" w:rsidP="008D479B">
      <w:pPr>
        <w:pStyle w:val="TextoNormal"/>
      </w:pPr>
    </w:p>
    <w:p w14:paraId="14593641" w14:textId="77777777" w:rsidR="008D479B" w:rsidRDefault="008D479B" w:rsidP="008D479B">
      <w:pPr>
        <w:pStyle w:val="TextoNormal"/>
      </w:pPr>
      <w:r>
        <w:t>El fiscal sintetiza a continuación la doctrina constitucional en materia de costas que, si bien parte de que constituye materia de legalidad ordinaria, también ha reconocido que conculca el derecho fundamental reconocido en el art. 24.1 CE cuando se imponen requisitos impeditivos u obstaculizadores del acceso a la jurisdicción, por ser innecesarios o desproporcionados para alcanzar el fin perseguido, a cuyo fin cita, entre otras, la STC 156/2021, de 16 de septiembre, FJ 11, que declaró inconstitucional el art. 4.2 del Real Decreto-ley 1/2017, de 20 de enero, de medidas urgentes de protección de consumidores en materia de cláusulas suelo, por considerar que la reposición del consumidor en su situación anterior en el contrato tras la eliminación de la cláusula abusiva y nula, será meramente ilusoria si ha mediado el allanamiento de la entidad financiera, y como consecuencia de ello el consumidor tiene que hacer frente a los gastos ocasionados por su reclamación en vía judicial, pues en tal caso el consumidor no quedará indemne y sufrirá un efecto disuasorio inverso, que debe ser calificado de obstáculo al ejercicio del derecho consagrado en el art. 24.1 CE.</w:t>
      </w:r>
    </w:p>
    <w:p w14:paraId="6A9897FD" w14:textId="77777777" w:rsidR="008D479B" w:rsidRDefault="008D479B" w:rsidP="008D479B">
      <w:pPr>
        <w:pStyle w:val="TextoNormal"/>
      </w:pPr>
    </w:p>
    <w:p w14:paraId="6C67A6DE" w14:textId="1149195F" w:rsidR="008D479B" w:rsidRDefault="008D479B" w:rsidP="008D479B">
      <w:pPr>
        <w:pStyle w:val="TextoNormal"/>
      </w:pPr>
      <w:r>
        <w:t>El fiscal concluye que los autos del juzgado y de la audiencia provincial dictados en el procedimiento antecedente, en cuanto eludieron la condena en costas de la parte ejecutante, son contrarios a la doctrina constitucional y europea citada, pues al no aplicar el principio de vencimiento objetivo y estimar la excepción por la concurrencia de dudas de hecho o de derecho, han provocado que la parte ejecutada —el consumidor— tenga que soportar los gastos judiciales. Vulneran por ello el derecho a la tutela judicial efectiva de los demandantes en su vertiente de acceso a la jurisdicción porque producen un efecto disuasorio inverso que debe ser calificado como obstáculo al ejercicio de dicho derecho fundamental. Aprecia asimismo un déficit de motivación en dichas resoluciones, pues el auto del juzgado no hace consideración alguna sobre las costas y el de la audiencia se atiene como criterio a dudas de derecho sobre imposición de costas que no se precisan, contradiciendo la doctrina constitucional. Por último, los autos impugnados no aplican el principio de efectividad del Derecho europeo, tal y como ha sido interpretado por la doctrina constitucional (por todas, STC 102/2021, de 2 de mayo) y la jurisprudencia del Tribunal Supremo, STS 419/2017, de 4 de julio, de la que extrae la cita que dice “que el criterio más ajustado al principio de no vinculación del consumidor a las cláusulas abusivas y al principio de efectividad del Derecho de la Unión es que las costas de las instancias en casos similares al presente se impongan al banco demandado”.</w:t>
      </w:r>
    </w:p>
    <w:p w14:paraId="2585A19E" w14:textId="77777777" w:rsidR="008D479B" w:rsidRDefault="008D479B" w:rsidP="008D479B">
      <w:pPr>
        <w:pStyle w:val="TextoNormal"/>
      </w:pPr>
    </w:p>
    <w:p w14:paraId="1CA6D271" w14:textId="46E4081A" w:rsidR="008D479B" w:rsidRDefault="008D479B" w:rsidP="008D479B">
      <w:pPr>
        <w:pStyle w:val="TextoNormal"/>
      </w:pPr>
      <w:r w:rsidRPr="008D479B">
        <w:rPr>
          <w:rStyle w:val="NumeroAFNegritaCaracter"/>
        </w:rPr>
        <w:t>7</w:t>
      </w:r>
      <w:r>
        <w:t>. Por escrito registrado el mismo día, los recurrentes presentaron escrito de alegaciones en el que reiteran en esencia los motivos de queja y fundamentos jurídicos que fueron desarrollados en su demanda de amparo.</w:t>
      </w:r>
    </w:p>
    <w:p w14:paraId="655A25A2" w14:textId="77777777" w:rsidR="008D479B" w:rsidRDefault="008D479B" w:rsidP="008D479B">
      <w:pPr>
        <w:pStyle w:val="TextoNormal"/>
      </w:pPr>
    </w:p>
    <w:p w14:paraId="382851B4" w14:textId="2C3A0A45" w:rsidR="008D479B" w:rsidRDefault="008D479B" w:rsidP="008D479B">
      <w:pPr>
        <w:pStyle w:val="TextoNormal"/>
      </w:pPr>
      <w:r w:rsidRPr="008D479B">
        <w:rPr>
          <w:rStyle w:val="NumeroAFNegritaCaracter"/>
        </w:rPr>
        <w:t>8</w:t>
      </w:r>
      <w:r>
        <w:t>. Por diligencia de ordenación de 25 de enero de 2023 se puso en conocimiento del Ministerio Fiscal y de las partes que en virtud del acuerdo adoptado por el Pleno del Tribunal Constitucional el día 17 de enero de 2023, publicado en el “Boletín Oficial del Estado” de 19 de enero de 2023, el presente recurso de amparo fue turnado a la Sala Primera del Tribunal Constitucional.</w:t>
      </w:r>
    </w:p>
    <w:p w14:paraId="6C70A2CC" w14:textId="77777777" w:rsidR="008D479B" w:rsidRDefault="008D479B" w:rsidP="008D479B">
      <w:pPr>
        <w:pStyle w:val="TextoNormal"/>
      </w:pPr>
    </w:p>
    <w:p w14:paraId="17E7B5C0" w14:textId="2F3433DC" w:rsidR="008D479B" w:rsidRDefault="008D479B" w:rsidP="008D479B">
      <w:pPr>
        <w:pStyle w:val="TextoNormal"/>
      </w:pPr>
      <w:r w:rsidRPr="008D479B">
        <w:rPr>
          <w:rStyle w:val="NumeroAFNegritaCaracter"/>
        </w:rPr>
        <w:t>9</w:t>
      </w:r>
      <w:r>
        <w:t>. Por providencia de 21 de septiembre de 2023, se señaló para deliberación y votación de la presente sentencia el día 25 del mismo mes y año.</w:t>
      </w:r>
    </w:p>
    <w:p w14:paraId="6AB7EDB4" w14:textId="77777777" w:rsidR="008D479B" w:rsidRDefault="008D479B" w:rsidP="008D479B">
      <w:pPr>
        <w:pStyle w:val="TextoNormal"/>
      </w:pPr>
    </w:p>
    <w:p w14:paraId="398F540E" w14:textId="77777777" w:rsidR="008D479B" w:rsidRDefault="008D479B" w:rsidP="008D479B">
      <w:pPr>
        <w:pStyle w:val="TextoNormalNegritaCentrado"/>
        <w:keepNext/>
      </w:pPr>
      <w:r>
        <w:t>II. Fundamentos jurídicos</w:t>
      </w:r>
    </w:p>
    <w:p w14:paraId="4E3DB726" w14:textId="30A809DE" w:rsidR="008D479B" w:rsidRDefault="008D479B" w:rsidP="008D479B">
      <w:pPr>
        <w:pStyle w:val="TextoNormalNegritaCentrado"/>
        <w:keepNext/>
      </w:pPr>
    </w:p>
    <w:p w14:paraId="0CE7AFA3" w14:textId="77777777" w:rsidR="008D479B" w:rsidRDefault="008D479B" w:rsidP="008D479B">
      <w:pPr>
        <w:pStyle w:val="TextoNormal"/>
      </w:pPr>
      <w:r w:rsidRPr="008D479B">
        <w:rPr>
          <w:rStyle w:val="NumeroAFNegritaCaracter"/>
        </w:rPr>
        <w:t>1</w:t>
      </w:r>
      <w:r>
        <w:t xml:space="preserve">. </w:t>
      </w:r>
      <w:r w:rsidRPr="008D479B">
        <w:rPr>
          <w:i/>
        </w:rPr>
        <w:t>Objeto del proceso y posición de las partes</w:t>
      </w:r>
    </w:p>
    <w:p w14:paraId="3BDDE3AF" w14:textId="77777777" w:rsidR="008D479B" w:rsidRDefault="008D479B" w:rsidP="008D479B">
      <w:pPr>
        <w:pStyle w:val="TextoNormal"/>
      </w:pPr>
    </w:p>
    <w:p w14:paraId="6567E47B" w14:textId="77777777" w:rsidR="008D479B" w:rsidRDefault="008D479B" w:rsidP="008D479B">
      <w:pPr>
        <w:pStyle w:val="TextoNormal"/>
      </w:pPr>
      <w:r>
        <w:t>La demanda de amparo interesa la nulidad del auto de la Sección Decimoprimera de la Audiencia Provincial de Barcelona de 20 de mayo de 2020, que confirmó en apelación el auto de 29 de marzo de 2017 del Juzgado de Primera Instancia e Instrucción núm. 5 de Martorell, de sobreseimiento y archivo del procedimiento de ejecución hipotecaria núm. 826-2012, completado en virtud de solicitud de aclaración de los actores por auto de 5 de mayo de 2017, en el que se les negó expresamente la solicitud de imposición de las costas del procedimiento a la entidad financiera que lo había promovido, fundando dicha decisión en que la nulidad de la cláusula contractual de vencimiento anticipado, que había sido determinante del sobreseimiento y archivo del procedimiento, fue declarada de oficio por el juzgado, y no en virtud de la estimación de una causa de oposición formulada por los ejecutados. La audiencia provincial vino a confirmar el criterio del juzgado al tiempo que declaró de oficio las costas del recurso de apelación por la existencia de dudas de derecho.</w:t>
      </w:r>
    </w:p>
    <w:p w14:paraId="09926128" w14:textId="77777777" w:rsidR="008D479B" w:rsidRDefault="008D479B" w:rsidP="008D479B">
      <w:pPr>
        <w:pStyle w:val="TextoNormal"/>
      </w:pPr>
    </w:p>
    <w:p w14:paraId="0DF00D57" w14:textId="77777777" w:rsidR="008D479B" w:rsidRDefault="008D479B" w:rsidP="008D479B">
      <w:pPr>
        <w:pStyle w:val="TextoNormal"/>
      </w:pPr>
      <w:r>
        <w:t>Los recurrentes consideran que el auto de la audiencia provincial vulneró los siguientes derechos fundamentales: (i) el derecho a la tutela judicial efectiva (art. 24.1 CE) por falta de motivación; (ii) el derecho a un proceso con todas las garantías (art. 24.2 CE) por no respetar el principio de primacía del Derecho de la Unión Europea, y los principios de efectividad y disuasorio, que conforme a la jurisprudencia del Tribunal de Justicia de la Unión Europea, con cita de las SSTJUE de 4 de junio de 2009, asunto C-243/08, § 30, y de 16 de julio de 2020, asuntos acumulados C-224/19 y C-259/19, § 99, debe tener en cuenta el órgano judicial nacional al pronunciarse sobre los gastos del procedimiento. Consideran que, por el contrario, la resolución judicial impugnada ha generado un efecto disuasorio inverso, esto es, una disuasión que recae sobre la parte débil del contrato de defenderse ante los tribunales de la cláusula abusiva; (iii) el derecho al juez ordinario predeterminado por la ley (art. 24.2 CE) al no elevar cuestión prejudicial al Tribunal de Justicia de la Unión Europea conforme al art. 267 TFUE; y (iv) el derecho a la igualdad en la aplicación de la norma (art. 14 CE) y a la igualdad de armas procesales al tratar de la misma forma a ambas partes contratantes, sin tener en cuenta que la Directiva 93/13/CEE parte de la situación de inferioridad en que se encuentra el consumidor en relación con el profesional en lo referido a la capacidad de negociación y nivel de información.</w:t>
      </w:r>
    </w:p>
    <w:p w14:paraId="2248E3CA" w14:textId="77777777" w:rsidR="008D479B" w:rsidRDefault="008D479B" w:rsidP="008D479B">
      <w:pPr>
        <w:pStyle w:val="TextoNormal"/>
      </w:pPr>
    </w:p>
    <w:p w14:paraId="60F4EF83" w14:textId="77777777" w:rsidR="008D479B" w:rsidRDefault="008D479B" w:rsidP="008D479B">
      <w:pPr>
        <w:pStyle w:val="TextoNormal"/>
      </w:pPr>
      <w:r>
        <w:t>Los demandantes instan la nulidad de aquel auto, así como de las resoluciones judiciales que la audiencia provincial dictó a continuación, esto es, la providencia de 28 de julio de 2020 que inadmitió el incidente de nulidad de actuaciones, y la diligencia de ordenación de 28 de septiembre de 2020, que inadmitió su solicitud de subsanación y complemento del auto por considerarla extemporánea.</w:t>
      </w:r>
    </w:p>
    <w:p w14:paraId="12836EDF" w14:textId="77777777" w:rsidR="008D479B" w:rsidRDefault="008D479B" w:rsidP="008D479B">
      <w:pPr>
        <w:pStyle w:val="TextoNormal"/>
      </w:pPr>
    </w:p>
    <w:p w14:paraId="2FECFABF" w14:textId="77777777" w:rsidR="008D479B" w:rsidRDefault="008D479B" w:rsidP="008D479B">
      <w:pPr>
        <w:pStyle w:val="TextoNormal"/>
      </w:pPr>
      <w:r>
        <w:t>El fiscal ante el Tribunal Constitucional, tras alegar que la vulneración del derecho al juez ordinario predeterminado por la ley no puede ser analizada en vía de amparo porque no se hizo valer en el incidente de nulidad de actuaciones, considera que los restantes motivos de amparo reconducen a una sola vulneración, la del derecho a la tutela judicial efectiva del art. 24.1 CE, motivo al que presta su apoyo.</w:t>
      </w:r>
    </w:p>
    <w:p w14:paraId="38A870D1" w14:textId="77777777" w:rsidR="008D479B" w:rsidRDefault="008D479B" w:rsidP="008D479B">
      <w:pPr>
        <w:pStyle w:val="TextoNormal"/>
      </w:pPr>
    </w:p>
    <w:p w14:paraId="4699288F" w14:textId="77777777" w:rsidR="008D479B" w:rsidRDefault="008D479B" w:rsidP="008D479B">
      <w:pPr>
        <w:pStyle w:val="TextoNormal"/>
      </w:pPr>
      <w:r>
        <w:t>El fiscal aduce que los autos del juzgado y de la audiencia provincial, al eludir la condena en costas de la parte ejecutante y no aplicar el principio de vencimiento objetivo, haciendo valer la excepción de concurrencia de dudas de hecho o de derecho, provocaron que los demandantes hayan tenido que soportar los gastos judiciales, con infracción de las exigencias de la doctrina constitucional y europea, al generar un efecto disuasorio inverso que se proyecta sobre el consumidor, en lugar de sobre el profesional, lo que debe ser calificado como obstáculo al ejercicio del derecho fundamental a la tutela judicial efectiva en su vertiente de acceso a la jurisdicción.</w:t>
      </w:r>
    </w:p>
    <w:p w14:paraId="64EE95B1" w14:textId="77777777" w:rsidR="008D479B" w:rsidRDefault="008D479B" w:rsidP="008D479B">
      <w:pPr>
        <w:pStyle w:val="TextoNormal"/>
      </w:pPr>
    </w:p>
    <w:p w14:paraId="390EE512" w14:textId="77777777" w:rsidR="008D479B" w:rsidRDefault="008D479B" w:rsidP="008D479B">
      <w:pPr>
        <w:pStyle w:val="TextoNormal"/>
      </w:pPr>
      <w:r>
        <w:t>Recuerda que la jurisprudencia de la Sala Primera del Tribunal Supremo, recogida en las SSTS núm. 472/2020, de 17 de septiembre, y 419/2017, de 4 de julio, ha establecido, de conformidad con la doctrina del Tribunal de Justicia de la Unión Europea, que la excepción de serias dudas de hecho o de derecho a la regla general del vencimiento imperante en materia de costas, aplicada para no restituir al consumidor demandante los gastos procesales que realizó para obtener en vía judicial la declaración del carácter abusivo de una cláusula contractual y su anulación, vulnera las exigencias de la Directiva 93/13/CEE, desde la perspectiva del principio de efectividad del Derecho de la Unión Europea, que exige dar cumplimiento de otros dos principios: el de no vinculación de los consumidores a las cláusulas abusivas incorporadas a contratos no negociados (art. 6.1 de la Directiva) y el del efecto disuasorio del uso de tales cláusulas (art. 7.2 de la Directiva).</w:t>
      </w:r>
    </w:p>
    <w:p w14:paraId="664618A8" w14:textId="77777777" w:rsidR="008D479B" w:rsidRDefault="008D479B" w:rsidP="008D479B">
      <w:pPr>
        <w:pStyle w:val="TextoNormal"/>
      </w:pPr>
    </w:p>
    <w:p w14:paraId="601E84BC" w14:textId="1554F823" w:rsidR="008D479B" w:rsidRDefault="008D479B" w:rsidP="008D479B">
      <w:pPr>
        <w:pStyle w:val="TextoNormal"/>
      </w:pPr>
      <w:r>
        <w:t>Aprecia asimismo un déficit de motivación en dichas resoluciones, pues el auto del juzgado no hace consideración alguna sobre las costas y el de la audiencia se atiene como criterio a unas dudas de derecho sobre imposición de costas que no se precisan.</w:t>
      </w:r>
    </w:p>
    <w:p w14:paraId="210B40AB" w14:textId="77777777" w:rsidR="008D479B" w:rsidRDefault="008D479B" w:rsidP="008D479B">
      <w:pPr>
        <w:pStyle w:val="TextoNormal"/>
      </w:pPr>
    </w:p>
    <w:p w14:paraId="3F74329A" w14:textId="77777777" w:rsidR="008D479B" w:rsidRDefault="008D479B" w:rsidP="008D479B">
      <w:pPr>
        <w:pStyle w:val="TextoNormal"/>
      </w:pPr>
      <w:r w:rsidRPr="008D479B">
        <w:rPr>
          <w:rStyle w:val="NumeroAFNegritaCaracter"/>
        </w:rPr>
        <w:t>2</w:t>
      </w:r>
      <w:r>
        <w:t xml:space="preserve">. </w:t>
      </w:r>
      <w:r w:rsidRPr="008D479B">
        <w:rPr>
          <w:i/>
        </w:rPr>
        <w:t>Tutela judicial efectiva de los derechos de los consumidores en materia de costas</w:t>
      </w:r>
    </w:p>
    <w:p w14:paraId="3700FAE1" w14:textId="77777777" w:rsidR="008D479B" w:rsidRDefault="008D479B" w:rsidP="008D479B">
      <w:pPr>
        <w:pStyle w:val="TextoNormal"/>
      </w:pPr>
    </w:p>
    <w:p w14:paraId="31FCF7E6" w14:textId="77777777" w:rsidR="008D479B" w:rsidRDefault="008D479B" w:rsidP="008D479B">
      <w:pPr>
        <w:pStyle w:val="TextoNormal"/>
      </w:pPr>
      <w:r>
        <w:t>Como acertadamente expone el fiscal en su escrito de alegaciones, la cuestión suscitada en la presente demanda de amparo es si se ha vulnerado el derecho fundamental a la tutela judicial efectiva (art. 24.1 CE) de los actores como consecuencia de unos pronunciamientos judiciales que les obligan a asumir una parte de las costas procesales —las ocasionadas a su instancia y las comunes por mitad— en un proceso especial de ejecución hipotecaria que ha concluido en sobreseimiento y archivo tras la apreciación de oficio por el órgano judicial de primera instancia del carácter abusivo de la cláusula del contrato de préstamo que autorizaba su vencimiento anticipado por el impago de una sola cuota de capital o intereses. El motivo tercero de amparo, que denuncia la vulneración del derecho al juez ordinario predeterminado por la ley, introduce, como manifiesta el fiscal en su escrito de alegación, una cuestión que no fue tempestivamente denunciada en el procedimiento antecedente, por lo que no procede entrar en su fondo.</w:t>
      </w:r>
    </w:p>
    <w:p w14:paraId="4AF81FA0" w14:textId="77777777" w:rsidR="008D479B" w:rsidRDefault="008D479B" w:rsidP="008D479B">
      <w:pPr>
        <w:pStyle w:val="TextoNormal"/>
      </w:pPr>
    </w:p>
    <w:p w14:paraId="7975BBE1" w14:textId="77777777" w:rsidR="008D479B" w:rsidRDefault="008D479B" w:rsidP="008D479B">
      <w:pPr>
        <w:pStyle w:val="TextoNormal"/>
      </w:pPr>
      <w:r>
        <w:t>Centrado el debate procesal en la eficacia jurídica de una cláusula contractual no negociada, incorporada a un préstamo con garantía hipotecaria concertado entre una parte profesional, la entidad financiera, y los actores, personas físicas no profesionales, la cuestión queda comprendida en la esfera de aplicación de la Directiva 93/13/CEE, del Consejo, de 5 de abril de 1993, sobre las cláusulas abusivas en los contratos celebrados con consumidores, en particular, de sus artículos 6.1 y 7.1, cuyos mandatos encierran relevantes consecuencias jurídicas, no solo materiales sino también procesales, sobre las que ya ha tenido ocasión de pronunciarse tanto la doctrina del Tribunal de Justicia de la Unión Europea como la propia de este tribunal.</w:t>
      </w:r>
    </w:p>
    <w:p w14:paraId="37F1DBF3" w14:textId="77777777" w:rsidR="008D479B" w:rsidRDefault="008D479B" w:rsidP="008D479B">
      <w:pPr>
        <w:pStyle w:val="TextoNormal"/>
      </w:pPr>
    </w:p>
    <w:p w14:paraId="7CEE71EA" w14:textId="77777777" w:rsidR="008D479B" w:rsidRDefault="008D479B" w:rsidP="008D479B">
      <w:pPr>
        <w:pStyle w:val="TextoNormal"/>
      </w:pPr>
      <w:r>
        <w:t>Recordemos que el art. 6.1 dice: “Los Estados miembros establecerán que no vincularán al consumidor, en las condiciones estipuladas por sus derechos nacionales, las cláusulas abusivas que figuren en un contrato celebrado entre este y un profesional y dispondrán que el contrato siga siendo obligatorio para las partes en los mismos términos, si este puede subsistir sin las cláusulas abusivas”.</w:t>
      </w:r>
    </w:p>
    <w:p w14:paraId="0B19ED5F" w14:textId="77777777" w:rsidR="008D479B" w:rsidRDefault="008D479B" w:rsidP="008D479B">
      <w:pPr>
        <w:pStyle w:val="TextoNormal"/>
      </w:pPr>
    </w:p>
    <w:p w14:paraId="0E82D575" w14:textId="77777777" w:rsidR="008D479B" w:rsidRDefault="008D479B" w:rsidP="008D479B">
      <w:pPr>
        <w:pStyle w:val="TextoNormal"/>
      </w:pPr>
      <w:r>
        <w:t>El art. 7.1, por su parte, dice: “Los Estados miembros velarán por que, en interés de los consumidores y de los competidores profesionales, existan medios adecuados y eficaces para que cese el uso de cláusulas abusivas en los contratos celebrados entre profesionales y consumidores”.</w:t>
      </w:r>
    </w:p>
    <w:p w14:paraId="5ADB647B" w14:textId="77777777" w:rsidR="008D479B" w:rsidRDefault="008D479B" w:rsidP="008D479B">
      <w:pPr>
        <w:pStyle w:val="TextoNormal"/>
      </w:pPr>
    </w:p>
    <w:p w14:paraId="4D66277A" w14:textId="77777777" w:rsidR="008D479B" w:rsidRDefault="008D479B" w:rsidP="008D479B">
      <w:pPr>
        <w:pStyle w:val="TextoNormal"/>
      </w:pPr>
      <w:r>
        <w:t>Estos preceptos tienen relevancia a la hora de enjuiciar la consistencia de las resoluciones judiciales que se pronuncian sobre el reparto de los gastos procesales, como hemos puesto de manifiesto en la reciente STC 91/2023, de 11 de septiembre, FJ 4. En dicho pronunciamiento hemos declarado que incurre en manifiesta falta de razonabilidad, y consecuentemente en incumplimiento de las exigencias de motivación que impone el art. 24.1 CE, la resolución judicial que sobresee un procedimiento de ejecución hipotecaria tras declarar nulas por abusivas determinadas cláusulas del contrato subyacente, sin imponer las costas del procedimiento a la parte ejecutante por la existencia de dudas de derecho sobre la licitud de las cláusulas controvertidas.</w:t>
      </w:r>
    </w:p>
    <w:p w14:paraId="6014510B" w14:textId="77777777" w:rsidR="008D479B" w:rsidRDefault="008D479B" w:rsidP="008D479B">
      <w:pPr>
        <w:pStyle w:val="TextoNormal"/>
      </w:pPr>
    </w:p>
    <w:p w14:paraId="479A5741" w14:textId="77777777" w:rsidR="008D479B" w:rsidRDefault="008D479B" w:rsidP="008D479B">
      <w:pPr>
        <w:pStyle w:val="TextoNormal"/>
      </w:pPr>
      <w:r>
        <w:t>Es importante recordar los fundamentos en los que apoyamos tal conclusión:</w:t>
      </w:r>
    </w:p>
    <w:p w14:paraId="5F79E592" w14:textId="77777777" w:rsidR="008D479B" w:rsidRDefault="008D479B" w:rsidP="008D479B">
      <w:pPr>
        <w:pStyle w:val="TextoNormal"/>
      </w:pPr>
    </w:p>
    <w:p w14:paraId="73020C2D" w14:textId="77777777" w:rsidR="008D479B" w:rsidRDefault="008D479B" w:rsidP="008D479B">
      <w:pPr>
        <w:pStyle w:val="TextoNormal"/>
      </w:pPr>
      <w:r>
        <w:t>(i) Corresponde al ordenamiento interno de los Estados miembros establecer la forma y condiciones en la que se preste la protección a los consumidores en los arts. 6.1 y 7.1 de la Directiva 93/13/CEE, preceptos que reconocen a los consumidores el derecho a acudir a un juez para que declare el carácter abusivo de una cláusula contractual concertada con un profesional para que deje de serle aplicada. En cualquier caso, “la regulación nacional establecida debe respetar los principios de tutela judicial, equivalencia y efectividad, de forma que sus previsiones no sean menos favorables que las aplicables a situaciones similares sometidas al Derecho interno —principio de equivalencia— y no hagan imposible en la práctica o excesivamente difícil el ejercicio de los derechos conferidos por el ordenamiento jurídico comunitario —principio de efectividad—” [FJ 4 a)].</w:t>
      </w:r>
    </w:p>
    <w:p w14:paraId="1EE8D3CA" w14:textId="77777777" w:rsidR="008D479B" w:rsidRDefault="008D479B" w:rsidP="008D479B">
      <w:pPr>
        <w:pStyle w:val="TextoNormal"/>
      </w:pPr>
    </w:p>
    <w:p w14:paraId="73BCEBBE" w14:textId="77777777" w:rsidR="008D479B" w:rsidRDefault="008D479B" w:rsidP="008D479B">
      <w:pPr>
        <w:pStyle w:val="TextoNormal"/>
      </w:pPr>
      <w:r>
        <w:t xml:space="preserve">(ii) El Tribunal de Justicia de la Unión Europea ha considerado el efecto disuasor que pueden tener sobre los consumidores los costes del proceso judicial en el que hagan valer su derecho a no verse vinculados a cláusulas abusivas: “Al margen de un primer pronunciamiento realizado en la STJUE de 13 de septiembre de 2018, asunto </w:t>
      </w:r>
      <w:r w:rsidRPr="008D479B">
        <w:rPr>
          <w:i/>
        </w:rPr>
        <w:t>Profi Credit Polska</w:t>
      </w:r>
      <w:r>
        <w:t xml:space="preserve">, C-176/17, en el que, interpretando la Directiva, el tribunal ya advirtió de que los requisitos procesales relacionados con los gastos de oposición a un requerimiento de pago por incumplimiento de obligaciones contractuales pueden menoscabar el ejercicio de los derechos garantizados en ella, resultan relevantes para la resolución de este recurso los pronunciamientos recogidos en la STJUE de 16 de julio de 2020, asuntos acumulados </w:t>
      </w:r>
      <w:r w:rsidRPr="008D479B">
        <w:rPr>
          <w:i/>
        </w:rPr>
        <w:t>CY y Caixabank, S.A.; y LG, PK y Banco Bilbao Vizcaya Argentaria, S.A</w:t>
      </w:r>
      <w:r>
        <w:t xml:space="preserve">.; C 224/19 y C 259/19; así como en la posterior STJUE de 7 de abril de 2022, asunto </w:t>
      </w:r>
      <w:r w:rsidRPr="008D479B">
        <w:rPr>
          <w:i/>
        </w:rPr>
        <w:t>EL, TP y Caixabank, S.A</w:t>
      </w:r>
      <w:r>
        <w:t>., pues ambas resoluciones vienen referidas específicamente a las normas procesales españolas sobre la condena en costas y su tasación”.</w:t>
      </w:r>
    </w:p>
    <w:p w14:paraId="4CBF73F6" w14:textId="77777777" w:rsidR="008D479B" w:rsidRDefault="008D479B" w:rsidP="008D479B">
      <w:pPr>
        <w:pStyle w:val="TextoNormal"/>
      </w:pPr>
    </w:p>
    <w:p w14:paraId="2596A654" w14:textId="77777777" w:rsidR="008D479B" w:rsidRDefault="008D479B" w:rsidP="008D479B">
      <w:pPr>
        <w:pStyle w:val="TextoNormal"/>
      </w:pPr>
      <w:r>
        <w:t>En la STJUE de 16 de julio de 2020 se constató que no imponer a la parte profesional del contrato el pago íntegro de las costas, en virtud de la excepción de la existencia de serias dudas de derecho a la regla del vencimiento objetivo, prevista en el art. 394 LEC, cuando se ha estimado plenamente la acción de nulidad de una cláusula contractual abusiva ejercitada por el consumidor, es una solución incompatible con el principio de efectividad, pues “[p]ara el tribunal (§ 99) ‘el artículo 6, apartado 1, y el artículo 7, apartado 1, de la Directiva 93/13, así como el principio de efectividad, deben interpretarse en el sentido de que se oponen a un régimen que permite que el consumidor cargue con una parte de las costas procesales en función del importe de las cantidades indebidamente pagadas que le son restituidas a raíz de la declaración de la nulidad de una cláusula contractual por tener carácter abusivo, dado que tal régimen crea un obstáculo significativo que puede disuadir a los consumidores de ejercer el derecho, conferido por la Directiva 93/13, a un control judicial efectivo del carácter potencialmente abusivo de cláusulas contractuales’” [FJ 4 b)].</w:t>
      </w:r>
    </w:p>
    <w:p w14:paraId="4A1A3C6D" w14:textId="77777777" w:rsidR="008D479B" w:rsidRDefault="008D479B" w:rsidP="008D479B">
      <w:pPr>
        <w:pStyle w:val="TextoNormal"/>
      </w:pPr>
    </w:p>
    <w:p w14:paraId="40EF3EC7" w14:textId="77777777" w:rsidR="008D479B" w:rsidRDefault="008D479B" w:rsidP="008D479B">
      <w:pPr>
        <w:pStyle w:val="TextoNormal"/>
      </w:pPr>
      <w:r>
        <w:t>(iii) Esta perspectiva ha sido reproducida nuevamente por este tribunal en la STC 156/2021, de 16 de septiembre, FJ 11, como motivo para declarar inconstitucional y contraria al derecho fundamental a la tutela judicial efectiva reconocido en el art. 24.1 CE la previsión excepcional sobre condena en costas en caso de allanamiento total o parcial de las entidades de crédito que se verificaba en el art. 4.2 del Real Decreto-ley 1/2017, de 20 de enero, de medidas urgentes de protección de consumidores en materia de cláusulas suelo [FJ 4 c)].</w:t>
      </w:r>
    </w:p>
    <w:p w14:paraId="2FE5BAEF" w14:textId="77777777" w:rsidR="008D479B" w:rsidRDefault="008D479B" w:rsidP="008D479B">
      <w:pPr>
        <w:pStyle w:val="TextoNormal"/>
      </w:pPr>
    </w:p>
    <w:p w14:paraId="489E0A55" w14:textId="77777777" w:rsidR="008D479B" w:rsidRDefault="008D479B" w:rsidP="008D479B">
      <w:pPr>
        <w:pStyle w:val="TextoNormal"/>
      </w:pPr>
      <w:r>
        <w:t>(iv) La Sala de lo Civil del Tribunal Supremo también “ha excluido en las SSTS 419/2017, de 4 de julio, y 472/2020, de 17 de septiembre, que, en los litigios sobre cláusulas abusivas en los que la demanda del consumidor resulte estimada, pueda aplicarse la excepción al principio de vencimiento objetivo en materia de costas basada en la existencia de serias dudas de derecho”.</w:t>
      </w:r>
    </w:p>
    <w:p w14:paraId="6535D346" w14:textId="77777777" w:rsidR="008D479B" w:rsidRDefault="008D479B" w:rsidP="008D479B">
      <w:pPr>
        <w:pStyle w:val="TextoNormal"/>
      </w:pPr>
    </w:p>
    <w:p w14:paraId="53D4D0D2" w14:textId="77777777" w:rsidR="008D479B" w:rsidRDefault="008D479B" w:rsidP="008D479B">
      <w:pPr>
        <w:pStyle w:val="TextoNormal"/>
      </w:pPr>
      <w:r>
        <w:t>Constatamos que “[p]ara el Tribunal Supremo, el criterio decisivo aplicable en esta materia es el respeto al principio de efectividad del Derecho de la Unión Europea que, a su vez, exige dar cumplimiento a otros dos principios: el de no vinculación de los consumidores a las cláusulas abusivas (art. 6.1 de la directiva) y el del efecto disuasorio del uso de cláusulas abusivas en los contratos no negociados celebrados con los consumidores (art. 7.1 de la directiva). Aprecia el tribunal que ‘si en virtud de la excepción a la regla general del vencimiento por la existencia de serias dudas de hecho o de derecho, el consumidor, pese a vencer en el litigio, tuviera que pagar íntegramente los gastos derivados de su defensa y representación, no se restablecería la situación de hecho y de derecho que se habría dado si no hubiera existido la cláusula abusiva y, por tanto, el consumidor no quedaría indemne pese a contar a su favor con una norma procesal nacional cuya regla general le eximiría de esos gastos. En suma, se produciría un efecto disuasorio inverso, pues no se disuadiría a los bancos de incluir las cláusulas abusivas en los préstamos hipotecarios, sino que se disuadiría a los consumidores de promover litigios por cantidades moderadas’. Y concluye destacando que la aplicación de la excepción al principio de vencimiento objetivo por la concurrencia de serias dudas de derecho (art. 394.1 LEC), hace imposible o dificulta en exceso la efectividad del Derecho de la UE, pues ‘trae como consecuencia que el consumidor, pese a obtener la declaración de que la cláusula es abusiva y que no queda vinculado a la misma, deba cargar con parte de las costas procesales, concretamente, las causadas a su instancia y las comunes por mitad’” [FJ 4 e)].</w:t>
      </w:r>
    </w:p>
    <w:p w14:paraId="2D8902F7" w14:textId="77777777" w:rsidR="008D479B" w:rsidRDefault="008D479B" w:rsidP="008D479B">
      <w:pPr>
        <w:pStyle w:val="TextoNormal"/>
      </w:pPr>
    </w:p>
    <w:p w14:paraId="558CB243" w14:textId="77777777" w:rsidR="008D479B" w:rsidRDefault="008D479B" w:rsidP="008D479B">
      <w:pPr>
        <w:pStyle w:val="TextoNormal"/>
      </w:pPr>
      <w:r>
        <w:t>En refuerzo de estos fundamentos jurisprudenciales, que exigen despejar de obstáculos económicos el acceso a la jurisdicción de los consumidores que impetran la restitución de la situación de hecho y de derecho que gozaban antes de la imposición de la cláusula abusiva, acuden, asimismo, aquellos pronunciamientos del Tribunal de Justicia de la Unión Europea, incorporados a la jurisprudencia nacional, de fecha anterior a las resoluciones judiciales que son impugnadas en la presente demanda de amparo.</w:t>
      </w:r>
    </w:p>
    <w:p w14:paraId="318B8778" w14:textId="77777777" w:rsidR="008D479B" w:rsidRDefault="008D479B" w:rsidP="008D479B">
      <w:pPr>
        <w:pStyle w:val="TextoNormal"/>
      </w:pPr>
    </w:p>
    <w:p w14:paraId="2D45CC24" w14:textId="77777777" w:rsidR="008D479B" w:rsidRDefault="008D479B" w:rsidP="008D479B">
      <w:pPr>
        <w:pStyle w:val="TextoNormal"/>
      </w:pPr>
      <w:r>
        <w:t xml:space="preserve">Resulta reseñable la STJUE (Gran Sala) de 21 de diciembre de 2016, asuntos acumulados </w:t>
      </w:r>
      <w:r w:rsidRPr="008D479B">
        <w:rPr>
          <w:i/>
        </w:rPr>
        <w:t>Gutiérrez Naranjo c. Cajasur Banco, S.A.U., y otros</w:t>
      </w:r>
      <w:r>
        <w:t>, C-154/15, C-307/15 y C-308/15, que interpretó los arts. 6 y 7 de la Directiva 93/13/CEE para delimitar el alcance de la restitución de las cantidades económicas satisfechas por personas que suscribieron préstamos hipotecarios que incluyeron cláusulas suelo que habían sido declaradas abusivas por el Tribunal Supremo. Se trata de un precedente que fue invocado por los actores en el escrito de interposición del recurso de apelación que presentaron el 6 de junio de 2017 en el procedimiento antecedente, como argumento para exigir la imposición de las costas a la parte ejecutante como elemento disuasorio del uso de la cláusula abusiva, y que ha sido incorporado a la jurisprudencia nacional en virtud de la STS 419/2017, de 4 de julio, fundamento de derecho quinto. A la luz de dicho precedente el Tribunal Supremo concluyó que si el consumidor “tuviera que pagar íntegramente los gastos derivados de su defensa y representación en las instancias, o en su caso de informes periciales o pago de la tasa, no se restablecería la situación de hecho y de derecho a la que se habría dado si no hubiera existido la cláusula suelo abusiva, y por lo tanto el consumidor no quedaría indemne pese a contar a su favor con una norma procesal nacional [el principio de vencimiento: art. 394.1 LEC] cuya regla general le eximiría de esos gastos. En suma, se produciría un efecto disuasorio inverso, no para que los bancos dejaran de incluir las cláusulas suelo en los préstamos hipotecarios sino para que los consumidores no promovieran litigios por cantidades moderadas. […] La regla general del vencimiento en materia de costas procesales favorece la aplicación del principio de efectividad del Derecho de la Unión y, en cambio, la salvedad a dicha regla general supone un obstáculo para la aplicación de ese mismo principio”.</w:t>
      </w:r>
    </w:p>
    <w:p w14:paraId="6C4E47F9" w14:textId="77777777" w:rsidR="008D479B" w:rsidRDefault="008D479B" w:rsidP="008D479B">
      <w:pPr>
        <w:pStyle w:val="TextoNormal"/>
      </w:pPr>
    </w:p>
    <w:p w14:paraId="2AF5498C" w14:textId="47B019F4" w:rsidR="008D479B" w:rsidRDefault="008D479B" w:rsidP="008D479B">
      <w:pPr>
        <w:pStyle w:val="TextoNormal"/>
      </w:pPr>
      <w:r>
        <w:t xml:space="preserve">Debemos considerar asimismo la STJUE de 13 de septiembre de 2018, asunto </w:t>
      </w:r>
      <w:r w:rsidRPr="008D479B">
        <w:rPr>
          <w:i/>
        </w:rPr>
        <w:t>Profi Credit Polska S.A. y otros</w:t>
      </w:r>
      <w:r>
        <w:t>, C-176/17, estableció que “[e]ntre estos medios adecuados y eficaces que deben garantizar a los consumidores un derecho a la tutela judicial efectiva ha de figurar la posibilidad de presentar un recurso o de formular oposición, y ello con unos requisitos procesales razonables, de manera que no existan requisitos —especialmente de plazo o relacionados con los gastos— que menoscaben el ejercicio de los derechos garantizados por la Directiva 93/13” (§ 63) destacando, en relación con la obligación del consumidor que se daba en el caso de sufragar las tres cuartas partes de las tasas judiciales al formular oposición al requerimiento de pago en un procedimiento monitorio, que “dichas tasas pueden disuadir por sí mismas a un consumidor a formular oposición” (§ 68).</w:t>
      </w:r>
    </w:p>
    <w:p w14:paraId="429EB957" w14:textId="77777777" w:rsidR="008D479B" w:rsidRDefault="008D479B" w:rsidP="008D479B">
      <w:pPr>
        <w:pStyle w:val="TextoNormal"/>
      </w:pPr>
    </w:p>
    <w:p w14:paraId="6C81DFC7" w14:textId="77777777" w:rsidR="008D479B" w:rsidRDefault="008D479B" w:rsidP="008D479B">
      <w:pPr>
        <w:pStyle w:val="TextoNormal"/>
      </w:pPr>
      <w:r w:rsidRPr="008D479B">
        <w:rPr>
          <w:rStyle w:val="NumeroAFNegritaCaracter"/>
        </w:rPr>
        <w:t>3</w:t>
      </w:r>
      <w:r>
        <w:t xml:space="preserve">. </w:t>
      </w:r>
      <w:r w:rsidRPr="008D479B">
        <w:rPr>
          <w:i/>
        </w:rPr>
        <w:t>Aplicación de la doctrina al caso</w:t>
      </w:r>
    </w:p>
    <w:p w14:paraId="48C8C2A5" w14:textId="77777777" w:rsidR="008D479B" w:rsidRDefault="008D479B" w:rsidP="008D479B">
      <w:pPr>
        <w:pStyle w:val="TextoNormal"/>
      </w:pPr>
    </w:p>
    <w:p w14:paraId="1E261A98" w14:textId="77777777" w:rsidR="008D479B" w:rsidRDefault="008D479B" w:rsidP="008D479B">
      <w:pPr>
        <w:pStyle w:val="TextoNormal"/>
      </w:pPr>
      <w:r>
        <w:t>Como ya hemos indicado es objeto de impugnación en la presente demanda de amparo el auto de la Sección Decimoprimera de la Audiencia Provincial de Barcelona de 20 de mayo de 2020, que confirmó en apelación el auto de 29 de marzo de 2017 del Juzgado de Primera Instancia e Instrucción núm. 5 de Martorell, que acordó el sobreseimiento y archivo del procedimiento de ejecución hipotecaria núm. 826-2012, que se vio completado a instancia de los actores por auto de 5 de mayo de 2017, en el que se desestimó su solicitud de condena en costas a la entidad financiera ejecutante, porque el carácter abusivo y la consiguiente nulidad de la cláusula contractual de vencimiento anticipado, que había sido incorporada por la entidad financiera al contrato de préstamo, que condujo al sobreseimiento y archivo del procedimiento, fue declarada de oficio por el juzgado, y no en virtud de la estimación de una causa de oposición formulada por los ejecutados. La audiencia provincial vino a confirmar el criterio del juzgado, al tiempo que declaró de oficio las costas del recurso de apelación por la existencia de dudas de derecho.</w:t>
      </w:r>
    </w:p>
    <w:p w14:paraId="7181F4F5" w14:textId="77777777" w:rsidR="008D479B" w:rsidRDefault="008D479B" w:rsidP="008D479B">
      <w:pPr>
        <w:pStyle w:val="TextoNormal"/>
      </w:pPr>
    </w:p>
    <w:p w14:paraId="70A6127C" w14:textId="77777777" w:rsidR="008D479B" w:rsidRDefault="008D479B" w:rsidP="008D479B">
      <w:pPr>
        <w:pStyle w:val="TextoNormal"/>
      </w:pPr>
      <w:r>
        <w:t>A la luz de la doctrina constitucional y europea antes citada, hemos de concluir que el auto de la audiencia provincial vulneró el derecho a la tutela judicial efectiva sin indefensión de los demandantes de amparo (art. 24.1 CE), tanto en su vertiente de derecho a obtener una resolución motivada en Derecho, dada su deficiente configuración argumental, como en su vertiente de derecho de acceso a la jurisdicción, por sustentar una interpretación de la ley que redunda en entorpecimiento injustificado del derecho de los consumidores a obtener un pronunciamiento judicial que les desvincule de la cláusula abusiva y les restituya a su prístina situación fáctica y jurídica.</w:t>
      </w:r>
    </w:p>
    <w:p w14:paraId="2158CC34" w14:textId="77777777" w:rsidR="008D479B" w:rsidRDefault="008D479B" w:rsidP="008D479B">
      <w:pPr>
        <w:pStyle w:val="TextoNormal"/>
      </w:pPr>
    </w:p>
    <w:p w14:paraId="6A674F15" w14:textId="77777777" w:rsidR="008D479B" w:rsidRDefault="008D479B" w:rsidP="008D479B">
      <w:pPr>
        <w:pStyle w:val="TextoNormal"/>
      </w:pPr>
      <w:r>
        <w:t>La resolución impugnada, con una argumentación bastante escueta y no del todo clara, parece fundar su decisión de no imponer las costas a la parte ejecutante en que la resolución final no se adoptó en un incidente de oposición a la ejecución, por lo que no sería aplicable el art. 561.2 LEC, y en que la nulidad declarada de oficio no tiene prevista norma específica sobre costas —criterio seguido en el auto del juzgado—. En definitiva, en la inexistencia de normas procesales internas que regulen la condena en costas en un caso como el presente.</w:t>
      </w:r>
    </w:p>
    <w:p w14:paraId="1751510B" w14:textId="77777777" w:rsidR="008D479B" w:rsidRDefault="008D479B" w:rsidP="008D479B">
      <w:pPr>
        <w:pStyle w:val="TextoNormal"/>
      </w:pPr>
    </w:p>
    <w:p w14:paraId="3686384C" w14:textId="77777777" w:rsidR="008D479B" w:rsidRDefault="008D479B" w:rsidP="008D479B">
      <w:pPr>
        <w:pStyle w:val="TextoNormal"/>
      </w:pPr>
      <w:r>
        <w:t>Ninguna consideración se hace a las exigencias de naturaleza procesal que derivan de la vigencia de los arts. 6.1 y 7.1 de la Directiva 93/13/CEE, traída a colación por los actores en el recurso de apelación en el que, entre otras razones, adujeron la necesidad de preservar el efecto disuasorio que debe ejercer la condena en costas al profesional que ha utilizado una cláusula abusiva para fundamentar un procedimiento de ejecución hipotecaria conforme a la STJUE de 21 de diciembre de 2016.</w:t>
      </w:r>
    </w:p>
    <w:p w14:paraId="38F6A27F" w14:textId="77777777" w:rsidR="008D479B" w:rsidRDefault="008D479B" w:rsidP="008D479B">
      <w:pPr>
        <w:pStyle w:val="TextoNormal"/>
      </w:pPr>
    </w:p>
    <w:p w14:paraId="50DB8E88" w14:textId="7297B888" w:rsidR="008D479B" w:rsidRDefault="008D479B" w:rsidP="008D479B">
      <w:pPr>
        <w:pStyle w:val="TextoNormal"/>
      </w:pPr>
      <w:r>
        <w:t>Nos encontramos, en definitiva, ante una selección e interpretación de las normas aplicables en materia de costas que no satisface las exigencias de motivación judicial fijadas en la STC 91/2023, de 11 de septiembre, pronunciamiento en el que concluimos, por las razones expresadas en el fundamento anterior, que imponer al consumidor la carga de asumir el pago de una parte de las costas procesales en un procedimiento de ejecución hipotecaria tras la declaración de nulidad de una cláusula contractual por tener carácter abusivo, infringe el principio de efectividad del Derecho comunitario en materia de protección de consumidores (art. 6.1 de la Directiva 93/13/CEE), al tiempo que tergiversa el principio de disuasión de los profesionales en cuanto al uso de dichas cláusulas (art. 7.1 de la Directiva 93/13/CEE), al generar un efecto disuasorio inverso que perjudica al consumidor. Se trata de criterios que ya habían sido incorporados a la jurisprudencia de la Sala Primera del Tribunal Supremo en fecha anterior al pronunciamiento de las resoluciones impugnadas, y de los que el órgano judicial se aparta sin aportar justificación alguna.</w:t>
      </w:r>
    </w:p>
    <w:p w14:paraId="2EA7A729" w14:textId="77777777" w:rsidR="008D479B" w:rsidRDefault="008D479B" w:rsidP="008D479B">
      <w:pPr>
        <w:pStyle w:val="TextoNormal"/>
      </w:pPr>
    </w:p>
    <w:p w14:paraId="18BB177B" w14:textId="77777777" w:rsidR="008D479B" w:rsidRDefault="008D479B" w:rsidP="008D479B">
      <w:pPr>
        <w:pStyle w:val="TextoNormalCentrado"/>
        <w:keepNext/>
      </w:pPr>
      <w:r>
        <w:t>FALLO</w:t>
      </w:r>
    </w:p>
    <w:p w14:paraId="436E45F1" w14:textId="787E1A12" w:rsidR="008D479B" w:rsidRDefault="008D479B" w:rsidP="008D479B">
      <w:pPr>
        <w:pStyle w:val="TextoNormalCentrado"/>
        <w:keepNext/>
      </w:pPr>
    </w:p>
    <w:p w14:paraId="7EF3C3E8" w14:textId="77777777" w:rsidR="008D479B" w:rsidRDefault="008D479B" w:rsidP="008D479B">
      <w:pPr>
        <w:pStyle w:val="TextoNormal"/>
      </w:pPr>
      <w:r>
        <w:t>En atención a todo lo expuesto, el Tribunal Constitucional, por la autoridad que le confiere la Constitución de la Nación española, ha decidido estimar el recurso de amparo interpuesto por don Antonio Jesús Osuna Luque y doña Concepción Barrera Cuña, y en su virtud:</w:t>
      </w:r>
    </w:p>
    <w:p w14:paraId="35BB80E6" w14:textId="77777777" w:rsidR="008D479B" w:rsidRDefault="008D479B" w:rsidP="008D479B">
      <w:pPr>
        <w:pStyle w:val="TextoNormal"/>
      </w:pPr>
    </w:p>
    <w:p w14:paraId="1D4695AB" w14:textId="77777777" w:rsidR="008D479B" w:rsidRDefault="008D479B" w:rsidP="008D479B">
      <w:pPr>
        <w:pStyle w:val="TextoNormal"/>
      </w:pPr>
      <w:r>
        <w:t>1º Declarar que ha sido vulnerado el derecho fundamental de los demandantes de amparo a la tutela judicial efectiva sin indefensión (art. 24.1 CE).</w:t>
      </w:r>
    </w:p>
    <w:p w14:paraId="70B8EA9B" w14:textId="77777777" w:rsidR="008D479B" w:rsidRDefault="008D479B" w:rsidP="008D479B">
      <w:pPr>
        <w:pStyle w:val="TextoNormal"/>
      </w:pPr>
    </w:p>
    <w:p w14:paraId="3B6B311A" w14:textId="77777777" w:rsidR="008D479B" w:rsidRDefault="008D479B" w:rsidP="008D479B">
      <w:pPr>
        <w:pStyle w:val="TextoNormal"/>
      </w:pPr>
      <w:r>
        <w:t>2º Restablecerles en su derecho y, en consecuencia, declarar la nulidad del auto núm. 349/2020, de 20 de mayo, dictado por la Sección Decimoprimera de la Audiencia Provincial de Barcelona, en el recurso de apelación núm. 421-2018; de la providencia de 28 de julio de 2020 que inadmitió el incidente de nulidad de actuaciones promovido contra el anterior auto; y de la diligencia de ordenación de 28 de septiembre de 2020 que inadmitió la petición de subsanación y complemento del mismo.</w:t>
      </w:r>
    </w:p>
    <w:p w14:paraId="434B5BCF" w14:textId="77777777" w:rsidR="008D479B" w:rsidRDefault="008D479B" w:rsidP="008D479B">
      <w:pPr>
        <w:pStyle w:val="TextoNormal"/>
      </w:pPr>
    </w:p>
    <w:p w14:paraId="550977E8" w14:textId="58134297" w:rsidR="008D479B" w:rsidRDefault="008D479B" w:rsidP="008D479B">
      <w:pPr>
        <w:pStyle w:val="TextoNormal"/>
      </w:pPr>
      <w:r>
        <w:t>3º Retrotraer las actuaciones al momento inmediatamente anterior al pronunciamiento de la primera de las citadas resoluciones para que el órgano judicial dicte una nueva resolución respetuosa con el derecho fundamental vulnerado.</w:t>
      </w:r>
    </w:p>
    <w:p w14:paraId="5BC29703" w14:textId="77777777" w:rsidR="008D479B" w:rsidRDefault="008D479B" w:rsidP="008D479B">
      <w:pPr>
        <w:pStyle w:val="TextoNormal"/>
      </w:pPr>
    </w:p>
    <w:p w14:paraId="6CEA93A7" w14:textId="77777777" w:rsidR="008D479B" w:rsidRDefault="008D479B" w:rsidP="008D479B">
      <w:pPr>
        <w:pStyle w:val="TextoNormal"/>
      </w:pPr>
      <w:r>
        <w:t>Publíquese esta sentencia en el “Boletín Oficial del Estado”.</w:t>
      </w:r>
    </w:p>
    <w:p w14:paraId="796C3A3A" w14:textId="77777777" w:rsidR="008D479B" w:rsidRDefault="008D479B" w:rsidP="008D479B">
      <w:pPr>
        <w:pStyle w:val="TextoNormal"/>
      </w:pPr>
      <w:r>
        <w:t>Dada en Madrid, a veinticinco de septiembre de dos mil veintitrés.</w:t>
      </w:r>
    </w:p>
    <w:p w14:paraId="29F6899D" w14:textId="720A16A9" w:rsidR="008D479B" w:rsidRDefault="008D479B">
      <w:pPr>
        <w:spacing w:after="160" w:line="278" w:lineRule="auto"/>
        <w:rPr>
          <w:rFonts w:ascii="Times New Roman" w:eastAsia="Times New Roman" w:hAnsi="Times New Roman" w:cs="Times New Roman"/>
          <w:sz w:val="24"/>
          <w:szCs w:val="24"/>
          <w:lang w:eastAsia="es-ES"/>
        </w:rPr>
      </w:pPr>
      <w:r>
        <w:br w:type="page"/>
      </w:r>
    </w:p>
    <w:p w14:paraId="18163FB0" w14:textId="77777777" w:rsidR="008D479B" w:rsidRDefault="008D479B" w:rsidP="008D479B">
      <w:pPr>
        <w:pStyle w:val="TtuloResolucin"/>
      </w:pPr>
      <w:bookmarkStart w:id="22" w:name="SENTENCIA_2023_97"/>
      <w:r>
        <w:t>SENTENCIA 97/2023, de 25 de septiembre de 2023</w:t>
      </w:r>
    </w:p>
    <w:bookmarkEnd w:id="22"/>
    <w:p w14:paraId="696D8C4C" w14:textId="77777777" w:rsidR="008D479B" w:rsidRDefault="008D479B" w:rsidP="008D479B">
      <w:pPr>
        <w:pStyle w:val="TtuloResolucin"/>
      </w:pPr>
      <w:r>
        <w:t>Sala Primera</w:t>
      </w:r>
    </w:p>
    <w:p w14:paraId="2F4D7DCC" w14:textId="77777777" w:rsidR="008D479B" w:rsidRDefault="008D479B" w:rsidP="008D479B">
      <w:pPr>
        <w:pStyle w:val="TtuloBOE"/>
      </w:pPr>
      <w:r>
        <w:t>(BOE núm. 261, de 1 de noviembre de 2023)</w:t>
      </w:r>
    </w:p>
    <w:p w14:paraId="6FB73AAF" w14:textId="77777777" w:rsidR="008D479B" w:rsidRDefault="008D479B" w:rsidP="008D479B">
      <w:pPr>
        <w:pStyle w:val="TextoNormalCentrado"/>
      </w:pPr>
      <w:r>
        <w:t>ECLI:ES:TC:2023:97</w:t>
      </w:r>
    </w:p>
    <w:p w14:paraId="061C156C" w14:textId="7E6E7CD0" w:rsidR="008D479B" w:rsidRDefault="008D479B" w:rsidP="008D479B">
      <w:pPr>
        <w:pStyle w:val="TextoNormalCentrado"/>
      </w:pPr>
    </w:p>
    <w:p w14:paraId="022057B4" w14:textId="77777777" w:rsidR="008D479B" w:rsidRDefault="008D479B" w:rsidP="008D479B">
      <w:pPr>
        <w:pStyle w:val="SntesisDescriptiva"/>
      </w:pPr>
      <w:r>
        <w:t>Recurso de amparo 141-2021. Promovido por Topanga de Comunicaciones, S.L., respecto de las resoluciones de la Consejería de Empleo, Industria y Turismo del Gobierno del Principado de Asturias que rechazaron su solicitud de convocatoria de concurso público para la adjudicación de licencias disponibles de comunicación audiovisual de radiodifusión sonora digital terrestre de ámbito local.</w:t>
      </w:r>
    </w:p>
    <w:p w14:paraId="3E388B67" w14:textId="72715D97" w:rsidR="008D479B" w:rsidRDefault="008D479B" w:rsidP="008D479B">
      <w:pPr>
        <w:pStyle w:val="SntesisDescriptiva"/>
      </w:pPr>
    </w:p>
    <w:p w14:paraId="08DECA12" w14:textId="77777777" w:rsidR="008D479B" w:rsidRDefault="008D479B" w:rsidP="008D479B">
      <w:pPr>
        <w:pStyle w:val="SntesisAnaltica"/>
      </w:pPr>
      <w:r>
        <w:t>Supuesta vulneración del derecho a la igualdad y a las libertades de expresión e información: STC 89/2023 (resolución administrativa que no resulta desproporcionada y que viene impuesta por la inexistencia de reserva de dominio público radioeléctrico).Voto particular.</w:t>
      </w:r>
    </w:p>
    <w:p w14:paraId="4AF3E93E" w14:textId="7F6961ED" w:rsidR="008D479B" w:rsidRDefault="008D479B" w:rsidP="008D479B">
      <w:pPr>
        <w:pStyle w:val="SntesisAnaltica"/>
      </w:pPr>
    </w:p>
    <w:p w14:paraId="0D9887BD" w14:textId="101F4AD7" w:rsidR="008D479B" w:rsidRDefault="008D479B" w:rsidP="008D479B">
      <w:pPr>
        <w:pStyle w:val="Extracto"/>
      </w:pPr>
      <w:r>
        <w:t>1.</w:t>
      </w:r>
      <w:r>
        <w:tab/>
        <w:t xml:space="preserve">Remisión a la STC 89/2023 que declaró respetados los derechos a expresar y difundir libremente los pensamientos, ideas y opiniones, así como a comunicar o recibir libremente información veraz por cualquier medio de difusión, consagrados en el art. 20.1 a) y d) CE, en relación con el principio de igualdad reconocido en el art. 14 CE, por parte de la actuación administrativa denegatoria de convocatoria de concurso para la concesión de licencias de prestación de servicios audiovisuales </w:t>
      </w:r>
    </w:p>
    <w:p w14:paraId="1E755433" w14:textId="77777777" w:rsidR="008D479B" w:rsidRDefault="008D479B" w:rsidP="008D479B">
      <w:pPr>
        <w:pStyle w:val="Extracto"/>
      </w:pPr>
    </w:p>
    <w:p w14:paraId="2CAC5823" w14:textId="77777777" w:rsidR="008D479B" w:rsidRDefault="008D479B" w:rsidP="008D479B">
      <w:pPr>
        <w:pStyle w:val="Extracto"/>
      </w:pPr>
    </w:p>
    <w:p w14:paraId="4CD6628E" w14:textId="77777777" w:rsidR="008D479B" w:rsidRDefault="008D479B" w:rsidP="008D479B">
      <w:pPr>
        <w:pStyle w:val="TextoNormal"/>
      </w:pPr>
      <w:r>
        <w:t>La Sala Primera del Tribunal Constitucional, compuesta por el magistrado don Cándido Conde-Pumpido Tourón, presidente, y los magistrados y magistradas don Ricardo Enríquez Sancho, doña Concepción Espejel Jorquera, doña María Luisa Segoviano Astaburuaga y don Juan Carlos Campo Moreno, ha pronunciado</w:t>
      </w:r>
    </w:p>
    <w:p w14:paraId="19292247" w14:textId="67F56952" w:rsidR="008D479B" w:rsidRDefault="008D479B" w:rsidP="008D479B">
      <w:pPr>
        <w:pStyle w:val="TextoNormal"/>
      </w:pPr>
    </w:p>
    <w:p w14:paraId="2973A569" w14:textId="77777777" w:rsidR="008D479B" w:rsidRDefault="008D479B" w:rsidP="008D479B">
      <w:pPr>
        <w:pStyle w:val="TextoNormalCentrado"/>
        <w:keepNext/>
      </w:pPr>
      <w:r>
        <w:t>EN NOMBRE DEL REY</w:t>
      </w:r>
    </w:p>
    <w:p w14:paraId="048176D1" w14:textId="75B7DBAE" w:rsidR="008D479B" w:rsidRDefault="008D479B" w:rsidP="008D479B">
      <w:pPr>
        <w:pStyle w:val="TextoNormalCentrado"/>
        <w:keepNext/>
      </w:pPr>
    </w:p>
    <w:p w14:paraId="3AA0BF99" w14:textId="77777777" w:rsidR="008D479B" w:rsidRDefault="008D479B" w:rsidP="008D479B">
      <w:pPr>
        <w:pStyle w:val="TextoNormalCentrado"/>
        <w:keepNext/>
      </w:pPr>
    </w:p>
    <w:p w14:paraId="658157D0" w14:textId="77777777" w:rsidR="008D479B" w:rsidRDefault="008D479B" w:rsidP="008D479B">
      <w:pPr>
        <w:pStyle w:val="TextoNormal"/>
      </w:pPr>
      <w:r>
        <w:t>la siguiente</w:t>
      </w:r>
    </w:p>
    <w:p w14:paraId="08CA4DC3" w14:textId="5415DB0D" w:rsidR="008D479B" w:rsidRDefault="008D479B" w:rsidP="008D479B">
      <w:pPr>
        <w:pStyle w:val="TextoNormal"/>
      </w:pPr>
    </w:p>
    <w:p w14:paraId="779F5187" w14:textId="77777777" w:rsidR="008D479B" w:rsidRDefault="008D479B" w:rsidP="008D479B">
      <w:pPr>
        <w:pStyle w:val="TextoNormalCentrado"/>
        <w:keepNext/>
      </w:pPr>
      <w:r>
        <w:t>SENTENCIA</w:t>
      </w:r>
    </w:p>
    <w:p w14:paraId="795CEECF" w14:textId="7D426811" w:rsidR="008D479B" w:rsidRDefault="008D479B" w:rsidP="008D479B">
      <w:pPr>
        <w:pStyle w:val="TextoNormalCentrado"/>
        <w:keepNext/>
      </w:pPr>
    </w:p>
    <w:p w14:paraId="43BB58B2" w14:textId="77777777" w:rsidR="008D479B" w:rsidRDefault="008D479B" w:rsidP="008D479B">
      <w:pPr>
        <w:pStyle w:val="TextoNormal"/>
      </w:pPr>
      <w:r>
        <w:t>En el recurso de amparo número 141-2021, promovido por la mercantil Topanga de Comunicaciones, S.L., representada por el procurador de los tribunales don José Carlos García Rodríguez y asistida por el abogado don Jaime Rodríguez Díez, contra la desestimación presunta, por parte de la Consejería de Empleo, Industria y Turismo del Gobierno del Principado de Asturias, de la solicitud de 10 de marzo de 2018 de convocatoria de concurso público para el otorgamiento de licencias para el servicio de comunicación audiovisual de radiodifusión sonora digital terrenal integradas en los bloques de frecuencias asignados a esa comunidad autónoma. Ha comparecido la referida comunidad autónoma y ha intervenido el Ministerio Fiscal. Ha sido ponente el magistrado don Juan Carlos Campo Moreno.</w:t>
      </w:r>
    </w:p>
    <w:p w14:paraId="2EADFAF6" w14:textId="5583FE30" w:rsidR="008D479B" w:rsidRDefault="008D479B" w:rsidP="008D479B">
      <w:pPr>
        <w:pStyle w:val="TextoNormal"/>
      </w:pPr>
    </w:p>
    <w:p w14:paraId="5057615C" w14:textId="77777777" w:rsidR="008D479B" w:rsidRDefault="008D479B" w:rsidP="008D479B">
      <w:pPr>
        <w:pStyle w:val="TextoNormalNegritaCentrado"/>
        <w:keepNext/>
      </w:pPr>
      <w:r>
        <w:t>I. Antecedentes</w:t>
      </w:r>
    </w:p>
    <w:p w14:paraId="4E888445" w14:textId="66471757" w:rsidR="008D479B" w:rsidRDefault="008D479B" w:rsidP="008D479B">
      <w:pPr>
        <w:pStyle w:val="TextoNormalNegritaCentrado"/>
        <w:keepNext/>
      </w:pPr>
    </w:p>
    <w:p w14:paraId="19B631B9" w14:textId="3C14895B" w:rsidR="008D479B" w:rsidRDefault="008D479B" w:rsidP="008D479B">
      <w:pPr>
        <w:pStyle w:val="TextoNormal"/>
      </w:pPr>
      <w:r w:rsidRPr="008D479B">
        <w:rPr>
          <w:rStyle w:val="NumeroAFNegritaCaracter"/>
        </w:rPr>
        <w:t>1</w:t>
      </w:r>
      <w:r>
        <w:t>. Mediante escrito presentado en el registro general de este tribunal el 11 de enero de 2021, el procurador de los tribunales don José Carlos García Rodríguez, actuando en nombre y representación de Topanga de Comunicaciones, S.L., bajo la defensa del letrado don Jaime Rodríguez Díez, interpuso demanda de amparo contra la desestimación presunta arriba mencionada.</w:t>
      </w:r>
    </w:p>
    <w:p w14:paraId="6E5867C7" w14:textId="77777777" w:rsidR="008D479B" w:rsidRDefault="008D479B" w:rsidP="008D479B">
      <w:pPr>
        <w:pStyle w:val="TextoNormal"/>
      </w:pPr>
    </w:p>
    <w:p w14:paraId="7D53C65A" w14:textId="77777777" w:rsidR="008D479B" w:rsidRDefault="008D479B" w:rsidP="008D479B">
      <w:pPr>
        <w:pStyle w:val="TextoNormal"/>
      </w:pPr>
      <w:r w:rsidRPr="008D479B">
        <w:rPr>
          <w:rStyle w:val="NumeroAFNegritaCaracter"/>
        </w:rPr>
        <w:t>2</w:t>
      </w:r>
      <w:r>
        <w:t>. Los hechos con relevancia para la resolución del presente recurso de amparo y a los que se refiere la demanda presentada son los siguientes:</w:t>
      </w:r>
    </w:p>
    <w:p w14:paraId="58DAD160" w14:textId="77777777" w:rsidR="008D479B" w:rsidRDefault="008D479B" w:rsidP="008D479B">
      <w:pPr>
        <w:pStyle w:val="TextoNormal"/>
      </w:pPr>
    </w:p>
    <w:p w14:paraId="7125BA88" w14:textId="77777777" w:rsidR="008D479B" w:rsidRDefault="008D479B" w:rsidP="008D479B">
      <w:pPr>
        <w:pStyle w:val="TextoNormal"/>
      </w:pPr>
      <w:r>
        <w:t>a) La entidad Topanga de Comunicaciones, S.L., interpuso recurso contencioso-administrativo contra la desestimación presunta, por parte de la Consejería de Empleo, Industria y Turismo del Gobierno del Principado de Asturias, de su solicitud de 10 de marzo de 2018 de convocatoria de concurso público para el otorgamiento de licencias para el servicio de comunicación audiovisual de radiodifusión sonora digital terrenal integradas en los bloques de frecuencias asignados a esa comunidad autónoma.</w:t>
      </w:r>
    </w:p>
    <w:p w14:paraId="6056A81B" w14:textId="77777777" w:rsidR="008D479B" w:rsidRDefault="008D479B" w:rsidP="008D479B">
      <w:pPr>
        <w:pStyle w:val="TextoNormal"/>
      </w:pPr>
    </w:p>
    <w:p w14:paraId="60EA12AE" w14:textId="77777777" w:rsidR="008D479B" w:rsidRDefault="008D479B" w:rsidP="008D479B">
      <w:pPr>
        <w:pStyle w:val="TextoNormal"/>
      </w:pPr>
      <w:r>
        <w:t>b) La Sala de lo Contencioso-Administrativo del Tribunal Superior de Justicia del Principado de Asturias desestimó el recurso interpuesto por sentencia de 8 de abril de 2019 al concluir que declarada extinguida la planificación radioeléctrica no cabe exigir la convocatoria de las reservas de dominio público incluidas en la misma, sin que ello vulnere el carácter reglado que se confiere a la norma, el deber de convocar todas las licencias disponibles vacantes, el interés general o los derechos constitucionales a la libertad de expresión e información o a la libertad de empresa.</w:t>
      </w:r>
    </w:p>
    <w:p w14:paraId="1847334C" w14:textId="77777777" w:rsidR="008D479B" w:rsidRDefault="008D479B" w:rsidP="008D479B">
      <w:pPr>
        <w:pStyle w:val="TextoNormal"/>
      </w:pPr>
    </w:p>
    <w:p w14:paraId="02C59C38" w14:textId="77777777" w:rsidR="008D479B" w:rsidRDefault="008D479B" w:rsidP="008D479B">
      <w:pPr>
        <w:pStyle w:val="TextoNormal"/>
      </w:pPr>
      <w:r>
        <w:t>c) Frente a dicha sentencia la representación procesal de la mercantil ahora recurrente en amparo interpuso recurso de casación, que fue desestimado por sentencia de la Sección Tercera de la Sala de lo Contencioso-Administrativo del Tribunal Supremo de 25 de noviembre de 2020.</w:t>
      </w:r>
    </w:p>
    <w:p w14:paraId="06A79715" w14:textId="77777777" w:rsidR="008D479B" w:rsidRDefault="008D479B" w:rsidP="008D479B">
      <w:pPr>
        <w:pStyle w:val="TextoNormal"/>
      </w:pPr>
    </w:p>
    <w:p w14:paraId="1DB6B3A0" w14:textId="77777777" w:rsidR="008D479B" w:rsidRDefault="008D479B" w:rsidP="008D479B">
      <w:pPr>
        <w:pStyle w:val="TextoNormal"/>
      </w:pPr>
      <w:r>
        <w:t>Atendiendo al interés casacional advertido en el auto de admisión a trámite, la sentencia de casación expone la existencia de dos criterios jurisdiccionales distintos entre los diferentes tribunales superiores de justicia y distingue el caso que se le plantea, relativo a las circunstancias de aplicación y a los efectos que los plazos prevenidos en el art. 27.4 de la Ley general de la comunicación audiovisual (LGCA) puedan tener sobre los planes técnicos y sobre la cobertura de las licencias vacantes, de otros examinados por el propio tribunal.</w:t>
      </w:r>
    </w:p>
    <w:p w14:paraId="2F5C0B7C" w14:textId="77777777" w:rsidR="008D479B" w:rsidRDefault="008D479B" w:rsidP="008D479B">
      <w:pPr>
        <w:pStyle w:val="TextoNormal"/>
      </w:pPr>
    </w:p>
    <w:p w14:paraId="112C327B" w14:textId="314AA137" w:rsidR="008D479B" w:rsidRDefault="008D479B" w:rsidP="008D479B">
      <w:pPr>
        <w:pStyle w:val="TextoNormal"/>
      </w:pPr>
      <w:r>
        <w:t>Colige que nada hay en el art. 27 LGCA que pueda considerarse irrazonable o indebidamente restrictivo, en particular, al prever que el no aprovechamiento de espacios reservados al dominio público radioeléctrico para servicios de radiodifusión en un plazo concreto de tiempo tras la aprobación de la planificación correspondiente hace decaer dicha reserva. Tampoco considera que la aplicación del art. 27.4 LGCA incurra en prohibición de irretroactividad porque se proyecte sobre una planificación técnica aprobada con anterioridad a la entrada en vigor de la LGCA, concluyendo que “de conformidad con lo dispuesto en el artículo 27.4 de la Ley general de comunicación audiovisual, el transcurso de los plazos estipulados en dicho precepto tras la aprobación de un plan técnico nacional de un servicio de radio o televisión, sin que la administración haya solicitado la afectación al servicio público de radio o televisión de que se trate de la reserva de dominio prevista en el citado plan o se haya convocado concurso para el otorgamiento de licencias, y sin que ningún interesado haya solicitado dicha convocatoria, la reserva de dominio decaerá y será excluida de la planificación. En consecuencia y dados tales presupuestos, la administración no estaría ya obligada a la convocatoria de concurso a solicitud de cualquier interesado hasta que se efectúe una nueva reserva de dominio y se produzca la correspondiente afectación al servicio público de radio o televisión”.</w:t>
      </w:r>
    </w:p>
    <w:p w14:paraId="7F2528EA" w14:textId="77777777" w:rsidR="008D479B" w:rsidRDefault="008D479B" w:rsidP="008D479B">
      <w:pPr>
        <w:pStyle w:val="TextoNormal"/>
      </w:pPr>
    </w:p>
    <w:p w14:paraId="0FCB24C6" w14:textId="77777777" w:rsidR="008D479B" w:rsidRDefault="008D479B" w:rsidP="008D479B">
      <w:pPr>
        <w:pStyle w:val="TextoNormal"/>
      </w:pPr>
      <w:r w:rsidRPr="008D479B">
        <w:rPr>
          <w:rStyle w:val="NumeroAFNegritaCaracter"/>
        </w:rPr>
        <w:t>3</w:t>
      </w:r>
      <w:r>
        <w:t>. En la demanda de amparo se alegan las siguientes vulneraciones constitucionales:</w:t>
      </w:r>
    </w:p>
    <w:p w14:paraId="002F88A3" w14:textId="77777777" w:rsidR="008D479B" w:rsidRDefault="008D479B" w:rsidP="008D479B">
      <w:pPr>
        <w:pStyle w:val="TextoNormal"/>
      </w:pPr>
    </w:p>
    <w:p w14:paraId="6B15A4B3" w14:textId="77777777" w:rsidR="008D479B" w:rsidRDefault="008D479B" w:rsidP="008D479B">
      <w:pPr>
        <w:pStyle w:val="TextoNormal"/>
      </w:pPr>
      <w:r>
        <w:t>a) Afirma que la negativa a convocar un concurso público por parte del Gobierno del Principado de Asturias amparándose en el transcurso de un plazo imputable a su propia inactividad y el consiguiente decaimiento de la planificación del espacio radioeléctrico ha imposibilitado el ejercicio de los derechos fundamentales a la libertad de información, comunicación y expresión, en relación con el art. 14 CE, en concreto, de su derecho a crear los medios de comunicación indispensables para el ejercicio del derecho a expresar y difundir libremente los pensamientos, ideas y opiniones mediante la palabra, el escrito o cualquier otro medio de reproducción [art. 20.1 a) CE] y a comunicar o recibir libremente información veraz por cualquier medio de difusión [art. 20.1 d) CE]. Entiende que prevalece el deber de convocar el concurso de adjudicación (art. 27.2 LGCA) sobre el eventual decaimiento de la reserva del espectro radioeléctrico (art. 27.4 LGCA) por lo que ha sido la inacción de la administración pública la causante de que no se haya aprovechado el espectro que el Estado ha otorgado a la comunidad autónoma, lo que invalida el acto recurrido por ser contrario a los derechos invocados. Alega que otras comunidades autónomas han convocado los concursos de licencias más allá del plazo establecido y que la negativa a convocar los concursos de adjudicación de licencias vacantes es incompatible con la Directiva 2018/1972, de 11 de diciembre, por la que se establece el Código europeo de las comunicaciones electrónicas, por crear barreras de acceso al mercado e inutilizar el espectro radioeléctrico.</w:t>
      </w:r>
    </w:p>
    <w:p w14:paraId="48AC99BD" w14:textId="77777777" w:rsidR="008D479B" w:rsidRDefault="008D479B" w:rsidP="008D479B">
      <w:pPr>
        <w:pStyle w:val="TextoNormal"/>
      </w:pPr>
    </w:p>
    <w:p w14:paraId="5558827D" w14:textId="77777777" w:rsidR="008D479B" w:rsidRDefault="008D479B" w:rsidP="008D479B">
      <w:pPr>
        <w:pStyle w:val="TextoNormal"/>
      </w:pPr>
      <w:r>
        <w:t>Sostiene también que existe una patente contradicción entre las sentencias del Tribunal Supremo al diferenciar incorrectamente entre licencias de televisión digital y licencias de radiodifusión digital para la protección de los derechos fundamentales.</w:t>
      </w:r>
    </w:p>
    <w:p w14:paraId="7DC9A00F" w14:textId="77777777" w:rsidR="008D479B" w:rsidRDefault="008D479B" w:rsidP="008D479B">
      <w:pPr>
        <w:pStyle w:val="TextoNormal"/>
      </w:pPr>
    </w:p>
    <w:p w14:paraId="768190C1" w14:textId="77777777" w:rsidR="008D479B" w:rsidRDefault="008D479B" w:rsidP="008D479B">
      <w:pPr>
        <w:pStyle w:val="TextoNormal"/>
      </w:pPr>
      <w:r>
        <w:t xml:space="preserve">Añade, en fin, que la negativa a conceder una licencia de radiodifusión infringe el art. 10, apartado 1, del Convenio europeo de derechos humanos (CEDH) y cita las resoluciones del Tribunal Europeo de Derechos Humanos de 20 de octubre de 1997, asunto </w:t>
      </w:r>
      <w:r w:rsidRPr="008D479B">
        <w:rPr>
          <w:i/>
        </w:rPr>
        <w:t>Radio ABC c. Austria</w:t>
      </w:r>
      <w:r>
        <w:t xml:space="preserve">; de 23 de noviembre de 1999, asunto </w:t>
      </w:r>
      <w:r w:rsidRPr="008D479B">
        <w:rPr>
          <w:i/>
        </w:rPr>
        <w:t>Leveque c. Francia</w:t>
      </w:r>
      <w:r>
        <w:t xml:space="preserve">; de 7 de noviembre de 2000, asunto </w:t>
      </w:r>
      <w:r w:rsidRPr="008D479B">
        <w:rPr>
          <w:i/>
        </w:rPr>
        <w:t>United Christian Broadcasters Ltd. c. Reino Unido</w:t>
      </w:r>
      <w:r>
        <w:t xml:space="preserve">; de 11 de octubre de 2007, asunto </w:t>
      </w:r>
      <w:r w:rsidRPr="008D479B">
        <w:rPr>
          <w:i/>
        </w:rPr>
        <w:t>Glas Nadejda EOOD y Elenkov c. Bulgaria</w:t>
      </w:r>
      <w:r>
        <w:t xml:space="preserve">; de 17 de junio de 2008, asunto </w:t>
      </w:r>
      <w:r w:rsidRPr="008D479B">
        <w:rPr>
          <w:i/>
        </w:rPr>
        <w:t>Meltex Ltd. y Movsessian c. Armenia</w:t>
      </w:r>
      <w:r>
        <w:t xml:space="preserve">, así como el dictamen del Comité de Derechos Humanos de Naciones Unidas, de 27 de octubre de 2016, en el caso </w:t>
      </w:r>
      <w:r w:rsidRPr="008D479B">
        <w:rPr>
          <w:i/>
        </w:rPr>
        <w:t>Azagade c. Azerbaiyán</w:t>
      </w:r>
      <w:r>
        <w:t>.</w:t>
      </w:r>
    </w:p>
    <w:p w14:paraId="5246A520" w14:textId="77777777" w:rsidR="008D479B" w:rsidRDefault="008D479B" w:rsidP="008D479B">
      <w:pPr>
        <w:pStyle w:val="TextoNormal"/>
      </w:pPr>
    </w:p>
    <w:p w14:paraId="379D6B9C" w14:textId="02979387" w:rsidR="008D479B" w:rsidRDefault="008D479B" w:rsidP="008D479B">
      <w:pPr>
        <w:pStyle w:val="TextoNormal"/>
      </w:pPr>
      <w:r>
        <w:t>b) En segundo lugar, considera vulnerado el derecho a la igualdad (art. 14 CE), al haberse convocado en otras comunidades autónomas concursos públicos de licencias de comunicación audiovisual. Mantiene que el art. 27.4 LGCA, al tener la consideración de normativa básica, debe aplicarse de forma similar en todo el territorio estatal y la dispar interpretación efectuada por las distintas comunidades autónomas, a juicio de la entidad recurrente, lesiona el art. 14 CE.</w:t>
      </w:r>
    </w:p>
    <w:p w14:paraId="77399DE2" w14:textId="77777777" w:rsidR="008D479B" w:rsidRDefault="008D479B" w:rsidP="008D479B">
      <w:pPr>
        <w:pStyle w:val="TextoNormal"/>
      </w:pPr>
    </w:p>
    <w:p w14:paraId="0E39A02E" w14:textId="77777777" w:rsidR="008D479B" w:rsidRDefault="008D479B" w:rsidP="008D479B">
      <w:pPr>
        <w:pStyle w:val="TextoNormal"/>
      </w:pPr>
      <w:r w:rsidRPr="008D479B">
        <w:rPr>
          <w:rStyle w:val="NumeroAFNegritaCaracter"/>
        </w:rPr>
        <w:t>4</w:t>
      </w:r>
      <w:r>
        <w:t>. Por providencia de 10 de octubre de 2022, la Sección Primera del Tribunal Constitucional acordó admitir a trámite la demanda de amparo, al apreciar que concurría en la misma una especial trascendencia constitucional [art. 50.1 de la Ley Orgánica del Tribunal Constitucional (LOTC)] porque el recurso podía dar ocasión al Tribunal para aclarar o cambiar su doctrina, como consecuencia de un proceso de reflexión interna [STC 155/2009, de 25 de junio, FJ 2 b)] y el asunto suscitado trascendía del caso concreto porque plantea una cuestión jurídica de relevante y general repercusión social o económica [STC 155/2009, FJ 2 g)].</w:t>
      </w:r>
    </w:p>
    <w:p w14:paraId="700CBC03" w14:textId="77777777" w:rsidR="008D479B" w:rsidRDefault="008D479B" w:rsidP="008D479B">
      <w:pPr>
        <w:pStyle w:val="TextoNormal"/>
      </w:pPr>
    </w:p>
    <w:p w14:paraId="38467080" w14:textId="115A2345" w:rsidR="008D479B" w:rsidRDefault="008D479B" w:rsidP="008D479B">
      <w:pPr>
        <w:pStyle w:val="TextoNormal"/>
      </w:pPr>
      <w:r>
        <w:t>Asimismo, acordó dar cumplimiento a lo dispuesto en el art. 51 LOTC y formar la correspondiente pieza separada de suspensión, que fue concluida por ATC 12/2023, de 6 de febrero, en el que se acordó denegar la suspensión cautelar solicitada.</w:t>
      </w:r>
    </w:p>
    <w:p w14:paraId="2A44B8E1" w14:textId="77777777" w:rsidR="008D479B" w:rsidRDefault="008D479B" w:rsidP="008D479B">
      <w:pPr>
        <w:pStyle w:val="TextoNormal"/>
      </w:pPr>
    </w:p>
    <w:p w14:paraId="17940D9F" w14:textId="6AC5AD18" w:rsidR="008D479B" w:rsidRDefault="008D479B" w:rsidP="008D479B">
      <w:pPr>
        <w:pStyle w:val="TextoNormal"/>
      </w:pPr>
      <w:r w:rsidRPr="008D479B">
        <w:rPr>
          <w:rStyle w:val="NumeroAFNegritaCaracter"/>
        </w:rPr>
        <w:t>5</w:t>
      </w:r>
      <w:r>
        <w:t>. Por diligencia de ordenación de la Secretaría de Justicia de la Sección se tuvo por personado al Principado de Asturias. Y, a tenor de lo dispuesto en el art. 52 LOTC, se dio vista de las actuaciones, por un plazo común de veinte días, al Ministerio Fiscal y a las partes personadas para que dentro de dicho término pudieran presentar las alegaciones que a su derecho conviniera.</w:t>
      </w:r>
    </w:p>
    <w:p w14:paraId="3AD2D4AA" w14:textId="77777777" w:rsidR="008D479B" w:rsidRDefault="008D479B" w:rsidP="008D479B">
      <w:pPr>
        <w:pStyle w:val="TextoNormal"/>
      </w:pPr>
    </w:p>
    <w:p w14:paraId="28CD8D02" w14:textId="70A74EDB" w:rsidR="008D479B" w:rsidRDefault="008D479B" w:rsidP="008D479B">
      <w:pPr>
        <w:pStyle w:val="TextoNormal"/>
      </w:pPr>
      <w:r w:rsidRPr="008D479B">
        <w:rPr>
          <w:rStyle w:val="NumeroAFNegritaCaracter"/>
        </w:rPr>
        <w:t>6</w:t>
      </w:r>
      <w:r>
        <w:t>. La demandante de amparo presentó sus alegaciones mediante escrito registrado el 16 de diciembre de 2022 en el que reiteraba los argumentos expuestos en la demanda.</w:t>
      </w:r>
    </w:p>
    <w:p w14:paraId="6DA5652D" w14:textId="77777777" w:rsidR="008D479B" w:rsidRDefault="008D479B" w:rsidP="008D479B">
      <w:pPr>
        <w:pStyle w:val="TextoNormal"/>
      </w:pPr>
    </w:p>
    <w:p w14:paraId="08435610" w14:textId="77777777" w:rsidR="008D479B" w:rsidRDefault="008D479B" w:rsidP="008D479B">
      <w:pPr>
        <w:pStyle w:val="TextoNormal"/>
      </w:pPr>
      <w:r w:rsidRPr="008D479B">
        <w:rPr>
          <w:rStyle w:val="NumeroAFNegritaCaracter"/>
        </w:rPr>
        <w:t>7</w:t>
      </w:r>
      <w:r>
        <w:t>. El Ministerio Fiscal presentó sus alegaciones mediante escrito registrado el 22 de diciembre de 2022 en el que solicita la desestimación del recurso de amparo.</w:t>
      </w:r>
    </w:p>
    <w:p w14:paraId="095632B0" w14:textId="77777777" w:rsidR="008D479B" w:rsidRDefault="008D479B" w:rsidP="008D479B">
      <w:pPr>
        <w:pStyle w:val="TextoNormal"/>
      </w:pPr>
    </w:p>
    <w:p w14:paraId="0F10E9F1" w14:textId="77777777" w:rsidR="008D479B" w:rsidRDefault="008D479B" w:rsidP="008D479B">
      <w:pPr>
        <w:pStyle w:val="TextoNormal"/>
      </w:pPr>
      <w:r>
        <w:t>Descarta, en primer lugar, que se haya producido una vulneración del art. 14 CE, al no existir el término válido de comparación exigido para que se produzca la vulneración, pues no se han dictado las resoluciones por los mismos órganos, ni en el caso del reproche dirigido al Tribunal Supremo concurre la identidad de supuestos exigida.</w:t>
      </w:r>
    </w:p>
    <w:p w14:paraId="64DEDC66" w14:textId="77777777" w:rsidR="008D479B" w:rsidRDefault="008D479B" w:rsidP="008D479B">
      <w:pPr>
        <w:pStyle w:val="TextoNormal"/>
      </w:pPr>
    </w:p>
    <w:p w14:paraId="644AE4EC" w14:textId="77777777" w:rsidR="008D479B" w:rsidRDefault="008D479B" w:rsidP="008D479B">
      <w:pPr>
        <w:pStyle w:val="TextoNormal"/>
      </w:pPr>
      <w:r>
        <w:t>Rechaza, asimismo, la vulneración del art. 20.1 a) y d) CE al existir una regulación normativa que establece el marco temporal de reserva del espacio radioeléctrico a los efectos de convocar los correspondientes concursos. Entiende que corresponde al legislador una mayor libertad de configuración normativa para disciplinar los soportes técnicos e instrumentos de comunicación, que la que posee al ordenar directamente los derechos fundamentales del art. 20.1 CE. De este modo las resoluciones administrativas y las sentencias que aplican la regulación establecida en este ámbito difícilmente pueden lesionar los derechos invocados.</w:t>
      </w:r>
    </w:p>
    <w:p w14:paraId="4E69B918" w14:textId="77777777" w:rsidR="008D479B" w:rsidRDefault="008D479B" w:rsidP="008D479B">
      <w:pPr>
        <w:pStyle w:val="TextoNormal"/>
      </w:pPr>
    </w:p>
    <w:p w14:paraId="6B3779D4" w14:textId="29AC9B6A" w:rsidR="008D479B" w:rsidRDefault="008D479B" w:rsidP="008D479B">
      <w:pPr>
        <w:pStyle w:val="TextoNormal"/>
      </w:pPr>
      <w:r>
        <w:t xml:space="preserve">Finalmente, considera que las resoluciones del Tribunal Europeo de Derechos Humanos citadas no son aplicables por tratarse de decisiones de inadmisión o, en el caso de la STEDH de 20 de octubre de 1997, asunto </w:t>
      </w:r>
      <w:r w:rsidRPr="008D479B">
        <w:rPr>
          <w:i/>
        </w:rPr>
        <w:t>Radio</w:t>
      </w:r>
      <w:r>
        <w:t xml:space="preserve"> </w:t>
      </w:r>
      <w:r w:rsidRPr="008D479B">
        <w:rPr>
          <w:i/>
        </w:rPr>
        <w:t>ABC c. Austria</w:t>
      </w:r>
      <w:r>
        <w:t>, porque toda la actividad se subordinaba a una concesión del legislador federal que no se produjo, situación que se mantuvo durante tres periodos de tiempo, supuesto distinto al contemplado en la regulación española.</w:t>
      </w:r>
    </w:p>
    <w:p w14:paraId="7F0924D1" w14:textId="77777777" w:rsidR="008D479B" w:rsidRDefault="008D479B" w:rsidP="008D479B">
      <w:pPr>
        <w:pStyle w:val="TextoNormal"/>
      </w:pPr>
    </w:p>
    <w:p w14:paraId="6A073B7D" w14:textId="44E64F03" w:rsidR="008D479B" w:rsidRDefault="008D479B" w:rsidP="008D479B">
      <w:pPr>
        <w:pStyle w:val="TextoNormal"/>
      </w:pPr>
      <w:r w:rsidRPr="008D479B">
        <w:rPr>
          <w:rStyle w:val="NumeroAFNegritaCaracter"/>
        </w:rPr>
        <w:t>8</w:t>
      </w:r>
      <w:r>
        <w:t>. El Principado de Asturias, con la representación y asistencia de letrada de su servicio jurídico, presentó sus alegaciones mediante escrito registrado el 23 de diciembre de 2022, interesando la inadmisión del recurso de amparo por pérdida sobrevenida de su objeto a causa de la derogación de la Ley general de la comunicación audiovisual y, subsidiariamente, su desestimación al rechazar que se hayan vulnerado los derechos invocados en la demanda de amparo.</w:t>
      </w:r>
    </w:p>
    <w:p w14:paraId="799C88D4" w14:textId="77777777" w:rsidR="008D479B" w:rsidRDefault="008D479B" w:rsidP="008D479B">
      <w:pPr>
        <w:pStyle w:val="TextoNormal"/>
      </w:pPr>
    </w:p>
    <w:p w14:paraId="2427AC31" w14:textId="2105A912" w:rsidR="008D479B" w:rsidRDefault="008D479B" w:rsidP="008D479B">
      <w:pPr>
        <w:pStyle w:val="TextoNormal"/>
      </w:pPr>
      <w:r w:rsidRPr="008D479B">
        <w:rPr>
          <w:rStyle w:val="NumeroAFNegritaCaracter"/>
        </w:rPr>
        <w:t>9</w:t>
      </w:r>
      <w:r>
        <w:t>. Por providencia de 21 de septiembre de 2023 se señaló para la deliberación y votación de la presente sentencia el día 25 del mismo mes y año.</w:t>
      </w:r>
    </w:p>
    <w:p w14:paraId="6F10BB4E" w14:textId="77777777" w:rsidR="008D479B" w:rsidRDefault="008D479B" w:rsidP="008D479B">
      <w:pPr>
        <w:pStyle w:val="TextoNormal"/>
      </w:pPr>
    </w:p>
    <w:p w14:paraId="0301BD9B" w14:textId="77777777" w:rsidR="008D479B" w:rsidRDefault="008D479B" w:rsidP="008D479B">
      <w:pPr>
        <w:pStyle w:val="TextoNormalNegritaCentrado"/>
        <w:keepNext/>
      </w:pPr>
      <w:r>
        <w:t>II. Fundamentos jurídicos</w:t>
      </w:r>
    </w:p>
    <w:p w14:paraId="3100BC28" w14:textId="043F147D" w:rsidR="008D479B" w:rsidRDefault="008D479B" w:rsidP="008D479B">
      <w:pPr>
        <w:pStyle w:val="TextoNormalNegritaCentrado"/>
        <w:keepNext/>
      </w:pPr>
    </w:p>
    <w:p w14:paraId="52F32ED8" w14:textId="77777777" w:rsidR="008D479B" w:rsidRDefault="008D479B" w:rsidP="008D479B">
      <w:pPr>
        <w:pStyle w:val="TextoNormal"/>
      </w:pPr>
      <w:r w:rsidRPr="008D479B">
        <w:rPr>
          <w:rStyle w:val="NumeroAFNegritaCaracter"/>
        </w:rPr>
        <w:t>1</w:t>
      </w:r>
      <w:r>
        <w:t xml:space="preserve">. </w:t>
      </w:r>
      <w:r w:rsidRPr="008D479B">
        <w:rPr>
          <w:i/>
        </w:rPr>
        <w:t>Objeto del recurso</w:t>
      </w:r>
    </w:p>
    <w:p w14:paraId="2C8480D4" w14:textId="77777777" w:rsidR="008D479B" w:rsidRDefault="008D479B" w:rsidP="008D479B">
      <w:pPr>
        <w:pStyle w:val="TextoNormal"/>
      </w:pPr>
    </w:p>
    <w:p w14:paraId="10DE5509" w14:textId="4240AA42" w:rsidR="008D479B" w:rsidRDefault="008D479B" w:rsidP="008D479B">
      <w:pPr>
        <w:pStyle w:val="TextoNormal"/>
      </w:pPr>
      <w:r>
        <w:t>El objeto de este recurso es determinar si la desestimación presunta, por parte de la Consejería de Empleo, Industria y Turismo del Gobierno del Principado de Asturias, de la solicitud de 10 de marzo de 2018 de convocatoria de concurso público para el otorgamiento de licencias para el servicio de comunicación audiovisual de radiodifusión sonora digital terrenal integradas en los bloques de frecuencias asignados a esa comunidad autónoma, vulnera los derechos fundamentales a la libertad de información, comunicación y expresión [art. 20.1 a) y d) CE], en relación con el art. 14 CE.</w:t>
      </w:r>
    </w:p>
    <w:p w14:paraId="6AE9A4EA" w14:textId="77777777" w:rsidR="008D479B" w:rsidRDefault="008D479B" w:rsidP="008D479B">
      <w:pPr>
        <w:pStyle w:val="TextoNormal"/>
      </w:pPr>
    </w:p>
    <w:p w14:paraId="180BFF10" w14:textId="77777777" w:rsidR="008D479B" w:rsidRDefault="008D479B" w:rsidP="008D479B">
      <w:pPr>
        <w:pStyle w:val="TextoNormal"/>
      </w:pPr>
      <w:r w:rsidRPr="008D479B">
        <w:rPr>
          <w:rStyle w:val="NumeroAFNegritaCaracter"/>
        </w:rPr>
        <w:t>2</w:t>
      </w:r>
      <w:r>
        <w:t xml:space="preserve">. </w:t>
      </w:r>
      <w:r w:rsidRPr="008D479B">
        <w:rPr>
          <w:i/>
        </w:rPr>
        <w:t>Cuestión previa: carencia sobrevenida de objeto</w:t>
      </w:r>
    </w:p>
    <w:p w14:paraId="2A099F4A" w14:textId="77777777" w:rsidR="008D479B" w:rsidRDefault="008D479B" w:rsidP="008D479B">
      <w:pPr>
        <w:pStyle w:val="TextoNormal"/>
      </w:pPr>
    </w:p>
    <w:p w14:paraId="673E1577" w14:textId="474DF97C" w:rsidR="008D479B" w:rsidRDefault="008D479B" w:rsidP="008D479B">
      <w:pPr>
        <w:pStyle w:val="TextoNormal"/>
      </w:pPr>
      <w:r>
        <w:t>No puede tener acogida la pérdida de objeto del recurso de amparo que la representación de la comunidad autónoma atribuye a la derogación de la Ley 7/2010, de 31 de marzo, general de la comunicación audiovisual, por la nueva Ley 13/2022, de 7 de julio, general de comunicación audiovisual. Lo que se discute en este proceso constitucional es si la actuación administrativa en aplicación de la LGCA 2010 ha incurrido en la lesión de los derechos de comunicación e información reconocidos en el art. 20 CE, en relación con el art. 14 CE, que denuncia la demandante. Desde esa perspectiva, la modificación legal operada no priva de objeto al presente recurso.</w:t>
      </w:r>
    </w:p>
    <w:p w14:paraId="753D3EA6" w14:textId="77777777" w:rsidR="008D479B" w:rsidRDefault="008D479B" w:rsidP="008D479B">
      <w:pPr>
        <w:pStyle w:val="TextoNormal"/>
      </w:pPr>
    </w:p>
    <w:p w14:paraId="591F5191" w14:textId="77777777" w:rsidR="008D479B" w:rsidRDefault="008D479B" w:rsidP="008D479B">
      <w:pPr>
        <w:pStyle w:val="TextoNormal"/>
      </w:pPr>
      <w:r w:rsidRPr="008D479B">
        <w:rPr>
          <w:rStyle w:val="NumeroAFNegritaCaracter"/>
        </w:rPr>
        <w:t>3</w:t>
      </w:r>
      <w:r>
        <w:t xml:space="preserve">. </w:t>
      </w:r>
      <w:r w:rsidRPr="008D479B">
        <w:rPr>
          <w:i/>
        </w:rPr>
        <w:t>Remisión a lo resuelto en la STC 89/2023, de 18 de julio</w:t>
      </w:r>
    </w:p>
    <w:p w14:paraId="23DD4AA8" w14:textId="77777777" w:rsidR="008D479B" w:rsidRDefault="008D479B" w:rsidP="008D479B">
      <w:pPr>
        <w:pStyle w:val="TextoNormal"/>
      </w:pPr>
    </w:p>
    <w:p w14:paraId="1CBF1DD2" w14:textId="39D82866" w:rsidR="008D479B" w:rsidRDefault="008D479B" w:rsidP="008D479B">
      <w:pPr>
        <w:pStyle w:val="TextoNormal"/>
      </w:pPr>
      <w:r>
        <w:t>El problema constitucional que se plantea en este proceso de amparo es coincidente con el resuelto en la STC 89/2023, de 18 de julio, que excluyó que la actuación administrativa impugnada, en cuanto denegó la convocatoria del concurso solicitado para la concesión de licencias de prestación de servicios audiovisuales, vulnerara los derechos a expresar y difundir libremente los pensamientos, ideas y opiniones mediante la palabra, el escrito o cualquier otro medio de reproducción [art. 20.1 a) CE] y a comunicar o recibir libremente información veraz por cualquier medio de difusión [art. 20.1 d) CE], en relación con el principio de igualdad (art. 14 CE), lo que determina que, por idénticas razones, proceda desestimar el presente recurso de amparo.</w:t>
      </w:r>
    </w:p>
    <w:p w14:paraId="7876B316" w14:textId="77777777" w:rsidR="008D479B" w:rsidRDefault="008D479B" w:rsidP="008D479B">
      <w:pPr>
        <w:pStyle w:val="TextoNormal"/>
      </w:pPr>
    </w:p>
    <w:p w14:paraId="5DA2E10F" w14:textId="77777777" w:rsidR="008D479B" w:rsidRDefault="008D479B" w:rsidP="008D479B">
      <w:pPr>
        <w:pStyle w:val="TextoNormalCentrado"/>
        <w:keepNext/>
      </w:pPr>
      <w:r>
        <w:t>FALLO</w:t>
      </w:r>
    </w:p>
    <w:p w14:paraId="1E8203D9" w14:textId="7CDA4C02" w:rsidR="008D479B" w:rsidRDefault="008D479B" w:rsidP="008D479B">
      <w:pPr>
        <w:pStyle w:val="TextoNormalCentrado"/>
        <w:keepNext/>
      </w:pPr>
    </w:p>
    <w:p w14:paraId="516C85AA" w14:textId="4B509EE7" w:rsidR="008D479B" w:rsidRDefault="008D479B" w:rsidP="008D479B">
      <w:pPr>
        <w:pStyle w:val="TextoNormal"/>
      </w:pPr>
      <w:r>
        <w:t>En atención a todo lo expuesto, el Tribunal Constitucional, por la autoridad que le confiere la Constitución de la Nación española, ha decidido desestimar el recurso de amparo interpuesto por Topanga de Comunicaciones, S.L.</w:t>
      </w:r>
    </w:p>
    <w:p w14:paraId="0FEA4E51" w14:textId="77777777" w:rsidR="008D479B" w:rsidRDefault="008D479B" w:rsidP="008D479B">
      <w:pPr>
        <w:pStyle w:val="TextoNormal"/>
      </w:pPr>
    </w:p>
    <w:p w14:paraId="750FAFA6" w14:textId="77777777" w:rsidR="008D479B" w:rsidRDefault="008D479B" w:rsidP="008D479B">
      <w:pPr>
        <w:pStyle w:val="TextoNormal"/>
      </w:pPr>
      <w:r>
        <w:t>Publíquese esta sentencia en el “Boletín Oficial del Estado”.</w:t>
      </w:r>
    </w:p>
    <w:p w14:paraId="23AC2ABD" w14:textId="77777777" w:rsidR="008D479B" w:rsidRDefault="008D479B" w:rsidP="008D479B">
      <w:pPr>
        <w:pStyle w:val="TextoNormal"/>
      </w:pPr>
      <w:r>
        <w:t>Dada en Madrid, a veinticinco de septiembre de dos mil veintitrés.</w:t>
      </w:r>
    </w:p>
    <w:p w14:paraId="4F472E6F" w14:textId="75D26651" w:rsidR="008D479B" w:rsidRDefault="008D479B" w:rsidP="008D479B">
      <w:pPr>
        <w:pStyle w:val="ParrafoNormal"/>
      </w:pPr>
    </w:p>
    <w:p w14:paraId="318CE5AA" w14:textId="77777777" w:rsidR="008D479B" w:rsidRDefault="008D479B" w:rsidP="008D479B">
      <w:pPr>
        <w:pStyle w:val="TextoNormalNegritaCentrado"/>
        <w:keepNext/>
      </w:pPr>
      <w:r>
        <w:t>Voto particular concurrente que formula la magistrada doña Concepción Espejel Jorquera a la sentencia dictada en el recurso de amparo número 141-2021</w:t>
      </w:r>
    </w:p>
    <w:p w14:paraId="45FF8465" w14:textId="7686EF07" w:rsidR="008D479B" w:rsidRDefault="008D479B" w:rsidP="008D479B">
      <w:pPr>
        <w:pStyle w:val="TextoNormalNegritaCentrado"/>
        <w:keepNext/>
      </w:pPr>
    </w:p>
    <w:p w14:paraId="7D56A682" w14:textId="77777777" w:rsidR="008D479B" w:rsidRDefault="008D479B" w:rsidP="008D479B">
      <w:pPr>
        <w:pStyle w:val="TextoNormal"/>
      </w:pPr>
      <w:r>
        <w:t>En el ejercicio de la facultad que me confiere el artículo 90.2 de la Ley Orgánica del Tribunal Constitucional, y con respeto a la opinión de mis compañeros, formulo voto particular concurrente respecto de la sentencia recaída en el presente recurso de amparo, conforme a los argumentos que ya tuve ocasión de exponer durante su deliberación en la Sala remitiéndome al voto particular que formulé a la STC 89/2023, de 18 de julio, a la que se remite la presente resolución.</w:t>
      </w:r>
    </w:p>
    <w:p w14:paraId="022A2513" w14:textId="77777777" w:rsidR="008D479B" w:rsidRDefault="008D479B" w:rsidP="008D479B">
      <w:pPr>
        <w:pStyle w:val="TextoNormal"/>
      </w:pPr>
    </w:p>
    <w:p w14:paraId="13F7E944" w14:textId="2C611639" w:rsidR="008D479B" w:rsidRDefault="008D479B" w:rsidP="008D479B">
      <w:pPr>
        <w:pStyle w:val="TextoNormal"/>
      </w:pPr>
      <w:r>
        <w:t>Madrid, a veinticinco de septiembre de dos mil veintitrés.</w:t>
      </w:r>
    </w:p>
    <w:p w14:paraId="0BA973F5" w14:textId="7ED22EAB" w:rsidR="008D479B" w:rsidRDefault="008D479B">
      <w:pPr>
        <w:spacing w:after="160" w:line="278" w:lineRule="auto"/>
        <w:rPr>
          <w:rFonts w:ascii="Times New Roman" w:eastAsia="Times New Roman" w:hAnsi="Times New Roman" w:cs="Times New Roman"/>
          <w:sz w:val="24"/>
          <w:szCs w:val="24"/>
          <w:lang w:eastAsia="es-ES"/>
        </w:rPr>
      </w:pPr>
      <w:r>
        <w:br w:type="page"/>
      </w:r>
    </w:p>
    <w:p w14:paraId="57A7DB34" w14:textId="77777777" w:rsidR="008D479B" w:rsidRDefault="008D479B" w:rsidP="008D479B">
      <w:pPr>
        <w:pStyle w:val="TtuloResolucin"/>
      </w:pPr>
      <w:bookmarkStart w:id="23" w:name="SENTENCIA_2023_98"/>
      <w:r>
        <w:t>SENTENCIA 98/2023, de 25 de septiembre de 2023</w:t>
      </w:r>
    </w:p>
    <w:bookmarkEnd w:id="23"/>
    <w:p w14:paraId="3CC0C13D" w14:textId="77777777" w:rsidR="008D479B" w:rsidRDefault="008D479B" w:rsidP="008D479B">
      <w:pPr>
        <w:pStyle w:val="TtuloResolucin"/>
      </w:pPr>
      <w:r>
        <w:t>Sala Segunda</w:t>
      </w:r>
    </w:p>
    <w:p w14:paraId="4F4B5471" w14:textId="77777777" w:rsidR="008D479B" w:rsidRDefault="008D479B" w:rsidP="008D479B">
      <w:pPr>
        <w:pStyle w:val="TtuloBOE"/>
      </w:pPr>
      <w:r>
        <w:t>(BOE núm. 261, de 1 de noviembre de 2023)</w:t>
      </w:r>
    </w:p>
    <w:p w14:paraId="1A94D5B7" w14:textId="77777777" w:rsidR="008D479B" w:rsidRDefault="008D479B" w:rsidP="008D479B">
      <w:pPr>
        <w:pStyle w:val="TextoNormalCentrado"/>
      </w:pPr>
      <w:r>
        <w:t>ECLI:ES:TC:2023:98</w:t>
      </w:r>
    </w:p>
    <w:p w14:paraId="6F09F3C5" w14:textId="6BD9B8D6" w:rsidR="008D479B" w:rsidRDefault="008D479B" w:rsidP="008D479B">
      <w:pPr>
        <w:pStyle w:val="TextoNormalCentrado"/>
      </w:pPr>
    </w:p>
    <w:p w14:paraId="07E56B2D" w14:textId="77777777" w:rsidR="008D479B" w:rsidRDefault="008D479B" w:rsidP="008D479B">
      <w:pPr>
        <w:pStyle w:val="SntesisDescriptiva"/>
      </w:pPr>
      <w:r>
        <w:t>Recurso de amparo 164-2021. Promovido por Veranda y Arnela Desarrollos, S.L., respecto de las resoluciones de la Consejería de Administración Pública y Hacienda de La Rioja que rechazaron su solicitud de convocatoria de concurso público para la adjudicación de licencias disponibles de comunicación audiovisual de radiodifusión sonora digital terrestre de ámbito local.</w:t>
      </w:r>
    </w:p>
    <w:p w14:paraId="2AF0D5D8" w14:textId="1DB01A15" w:rsidR="008D479B" w:rsidRDefault="008D479B" w:rsidP="008D479B">
      <w:pPr>
        <w:pStyle w:val="SntesisDescriptiva"/>
      </w:pPr>
    </w:p>
    <w:p w14:paraId="20A1C6B7" w14:textId="77777777" w:rsidR="008D479B" w:rsidRDefault="008D479B" w:rsidP="008D479B">
      <w:pPr>
        <w:pStyle w:val="SntesisAnaltica"/>
      </w:pPr>
      <w:r>
        <w:t>Supuesta vulneración del derecho a la igualdad y a las libertades de expresión e información: STC 89/2023 (resolución administrativa que no resulta desproporcionada y que viene impuesta por la inexistencia de reserva de dominio público radioeléctrico). Voto particular.</w:t>
      </w:r>
    </w:p>
    <w:p w14:paraId="61868EAB" w14:textId="0DF58FFE" w:rsidR="008D479B" w:rsidRDefault="008D479B" w:rsidP="008D479B">
      <w:pPr>
        <w:pStyle w:val="SntesisAnaltica"/>
      </w:pPr>
    </w:p>
    <w:p w14:paraId="053C012B" w14:textId="700C4E5F" w:rsidR="008D479B" w:rsidRDefault="008D479B" w:rsidP="008D479B">
      <w:pPr>
        <w:pStyle w:val="Extracto"/>
      </w:pPr>
      <w:r>
        <w:t>1.</w:t>
      </w:r>
      <w:r>
        <w:tab/>
        <w:t xml:space="preserve">Remisión a la STC 89/2023 que declaró respetados los derechos a expresar y difundir libremente los pensamientos, ideas y opiniones, así como a comunicar o recibir libremente información veraz por cualquier medio de difusión, consagrados en el art. 20.1 a) y d) CE, en relación con el principio de igualdad reconocido en el art. 14 CE, por parte de la actuación administrativa denegatoria de convocatoria de concurso para la concesión de licencias de prestación de servicios audiovisuales </w:t>
      </w:r>
    </w:p>
    <w:p w14:paraId="402E887C" w14:textId="77777777" w:rsidR="008D479B" w:rsidRDefault="008D479B" w:rsidP="008D479B">
      <w:pPr>
        <w:pStyle w:val="Extracto"/>
      </w:pPr>
    </w:p>
    <w:p w14:paraId="5914DAA9" w14:textId="77777777" w:rsidR="008D479B" w:rsidRDefault="008D479B" w:rsidP="008D479B">
      <w:pPr>
        <w:pStyle w:val="Extracto"/>
      </w:pPr>
    </w:p>
    <w:p w14:paraId="32AD52D8" w14:textId="77777777" w:rsidR="008D479B" w:rsidRDefault="008D479B" w:rsidP="008D479B">
      <w:pPr>
        <w:pStyle w:val="TextoNormal"/>
      </w:pPr>
      <w: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14:paraId="1DF37DFB" w14:textId="01EB15BB" w:rsidR="008D479B" w:rsidRDefault="008D479B" w:rsidP="008D479B">
      <w:pPr>
        <w:pStyle w:val="TextoNormal"/>
      </w:pPr>
    </w:p>
    <w:p w14:paraId="0075A32F" w14:textId="77777777" w:rsidR="008D479B" w:rsidRDefault="008D479B" w:rsidP="008D479B">
      <w:pPr>
        <w:pStyle w:val="TextoNormalCentrado"/>
        <w:keepNext/>
      </w:pPr>
      <w:r>
        <w:t>EN NOMBRE DEL REY</w:t>
      </w:r>
    </w:p>
    <w:p w14:paraId="39D76196" w14:textId="16C78CEA" w:rsidR="008D479B" w:rsidRDefault="008D479B" w:rsidP="008D479B">
      <w:pPr>
        <w:pStyle w:val="TextoNormalCentrado"/>
        <w:keepNext/>
      </w:pPr>
    </w:p>
    <w:p w14:paraId="3415FE4D" w14:textId="77777777" w:rsidR="008D479B" w:rsidRDefault="008D479B" w:rsidP="008D479B">
      <w:pPr>
        <w:pStyle w:val="TextoNormalCentrado"/>
        <w:keepNext/>
      </w:pPr>
    </w:p>
    <w:p w14:paraId="78B79FD0" w14:textId="77777777" w:rsidR="008D479B" w:rsidRDefault="008D479B" w:rsidP="008D479B">
      <w:pPr>
        <w:pStyle w:val="TextoNormal"/>
      </w:pPr>
      <w:r>
        <w:t>la siguiente</w:t>
      </w:r>
    </w:p>
    <w:p w14:paraId="41A768F0" w14:textId="4E71A444" w:rsidR="008D479B" w:rsidRDefault="008D479B" w:rsidP="008D479B">
      <w:pPr>
        <w:pStyle w:val="TextoNormal"/>
      </w:pPr>
    </w:p>
    <w:p w14:paraId="7D8449F6" w14:textId="77777777" w:rsidR="008D479B" w:rsidRDefault="008D479B" w:rsidP="008D479B">
      <w:pPr>
        <w:pStyle w:val="TextoNormalCentrado"/>
        <w:keepNext/>
      </w:pPr>
      <w:r>
        <w:t>SENTENCIA</w:t>
      </w:r>
    </w:p>
    <w:p w14:paraId="0CDB6259" w14:textId="57589CCD" w:rsidR="008D479B" w:rsidRDefault="008D479B" w:rsidP="008D479B">
      <w:pPr>
        <w:pStyle w:val="TextoNormalCentrado"/>
        <w:keepNext/>
      </w:pPr>
    </w:p>
    <w:p w14:paraId="4A516891" w14:textId="77777777" w:rsidR="008D479B" w:rsidRDefault="008D479B" w:rsidP="008D479B">
      <w:pPr>
        <w:pStyle w:val="TextoNormal"/>
      </w:pPr>
      <w:r>
        <w:t>En el recurso de amparo número 164-2021, promovido por la mercantil Veranda y Arnela Desarrollos, S.L., representada por la procuradora de los tribunales doña Isabel Covadonga Juliá Corujo y asistida por el abogado don Jaime Rodríguez Díez, contra la resolución de 18 de octubre de 2018, de la Consejería de Administración Pública y Hacienda de la Comunidad Autónoma de La Rioja, por la que se desestima el recurso de alzada interpuesto contra la resolución de 3 de octubre de 2018, desestimatoria de la solicitud de convocatoria de concurso para la adjudicación de las licencias disponibles de comunicación audiovisual de radiodifusión sonora digital de ámbito local en la citada comunidad autónoma. Ha comparecido la referida comunidad autónoma y ha intervenido el Ministerio Fiscal. Ha sido ponente la magistrada doña Laura Díez Bueso.</w:t>
      </w:r>
    </w:p>
    <w:p w14:paraId="08B657FF" w14:textId="7E8EE0C2" w:rsidR="008D479B" w:rsidRDefault="008D479B" w:rsidP="008D479B">
      <w:pPr>
        <w:pStyle w:val="TextoNormal"/>
      </w:pPr>
    </w:p>
    <w:p w14:paraId="0A71C593" w14:textId="77777777" w:rsidR="008D479B" w:rsidRDefault="008D479B" w:rsidP="008D479B">
      <w:pPr>
        <w:pStyle w:val="TextoNormalNegritaCentrado"/>
        <w:keepNext/>
      </w:pPr>
      <w:r>
        <w:t>I. Antecedentes</w:t>
      </w:r>
    </w:p>
    <w:p w14:paraId="07B5DC65" w14:textId="66D4BD5F" w:rsidR="008D479B" w:rsidRDefault="008D479B" w:rsidP="008D479B">
      <w:pPr>
        <w:pStyle w:val="TextoNormalNegritaCentrado"/>
        <w:keepNext/>
      </w:pPr>
    </w:p>
    <w:p w14:paraId="199490CE" w14:textId="25E424DB" w:rsidR="008D479B" w:rsidRDefault="008D479B" w:rsidP="008D479B">
      <w:pPr>
        <w:pStyle w:val="TextoNormal"/>
      </w:pPr>
      <w:r w:rsidRPr="008D479B">
        <w:rPr>
          <w:rStyle w:val="NumeroAFNegritaCaracter"/>
        </w:rPr>
        <w:t>1</w:t>
      </w:r>
      <w:r>
        <w:t>. Mediante escrito presentado en el registro general de este tribunal el 12 de enero de 2021, la procuradora de los tribunales doña Isabel Covadonga Juliá Corujo, actuando en nombre y representación de Veranda y Arnela Desarrollos, S.L., bajo la defensa del letrado don Jaime Rodríguez Díez, interpuso demanda de amparo contra la resolución arriba mencionada.</w:t>
      </w:r>
    </w:p>
    <w:p w14:paraId="4B708D3F" w14:textId="77777777" w:rsidR="008D479B" w:rsidRDefault="008D479B" w:rsidP="008D479B">
      <w:pPr>
        <w:pStyle w:val="TextoNormal"/>
      </w:pPr>
    </w:p>
    <w:p w14:paraId="4A6EB1A9" w14:textId="77777777" w:rsidR="008D479B" w:rsidRDefault="008D479B" w:rsidP="008D479B">
      <w:pPr>
        <w:pStyle w:val="TextoNormal"/>
      </w:pPr>
      <w:r w:rsidRPr="008D479B">
        <w:rPr>
          <w:rStyle w:val="NumeroAFNegritaCaracter"/>
        </w:rPr>
        <w:t>2</w:t>
      </w:r>
      <w:r>
        <w:t>. Los hechos con relevancia para la resolución del presente recurso de amparo y a los que se refiere la demanda presentada son los siguientes:</w:t>
      </w:r>
    </w:p>
    <w:p w14:paraId="5D154C00" w14:textId="77777777" w:rsidR="008D479B" w:rsidRDefault="008D479B" w:rsidP="008D479B">
      <w:pPr>
        <w:pStyle w:val="TextoNormal"/>
      </w:pPr>
    </w:p>
    <w:p w14:paraId="1FA29106" w14:textId="77777777" w:rsidR="008D479B" w:rsidRDefault="008D479B" w:rsidP="008D479B">
      <w:pPr>
        <w:pStyle w:val="TextoNormal"/>
      </w:pPr>
      <w:r>
        <w:t>a) La entidad Veranda y Arnela Desarrollos, S.L., interpuso recurso contencioso administrativo contra la resolución núm. 1392 de 18 de octubre de 2018, del consejero de Administración Pública y Hacienda, desestimatoria del recurso de alzada interpuesto contra resolución anterior de 3 de octubre de 2018, desestimatoria de su solicitud de convocatoria de concurso para la adjudicación de las licencias disponibles de comunicación audiovisual de radiodifusión sonora digital de ámbito local en la Comunidad Autónoma de La Rioja.</w:t>
      </w:r>
    </w:p>
    <w:p w14:paraId="0026D991" w14:textId="77777777" w:rsidR="008D479B" w:rsidRDefault="008D479B" w:rsidP="008D479B">
      <w:pPr>
        <w:pStyle w:val="TextoNormal"/>
      </w:pPr>
    </w:p>
    <w:p w14:paraId="312AF085" w14:textId="77777777" w:rsidR="008D479B" w:rsidRDefault="008D479B" w:rsidP="008D479B">
      <w:pPr>
        <w:pStyle w:val="TextoNormal"/>
      </w:pPr>
      <w:r>
        <w:t>b) La Sala de lo Contencioso-Administrativo del Tribunal Superior de Justicia de La Rioja estimó el recurso interpuesto por sentencia de 27 de junio de 2019 al concluir que la pasividad de la administración demandada no puede motivar la desestimación de la solicitud deducida por la recurrente y que concurren los presupuestos que contempla el art. 27.2 de la Ley general de la comunicación audiovisual (LGCA) para que deba procederse a la convocatoria del concurso público de las licencias disponibles correspondientes al servicio de comunicación audiovisual de radiodifusión sonora digital terrenal (DAB), con cobertura local, integradas en los tres bloques de frecuencias de La Rioja.</w:t>
      </w:r>
    </w:p>
    <w:p w14:paraId="30755502" w14:textId="77777777" w:rsidR="008D479B" w:rsidRDefault="008D479B" w:rsidP="008D479B">
      <w:pPr>
        <w:pStyle w:val="TextoNormal"/>
      </w:pPr>
    </w:p>
    <w:p w14:paraId="6C6CB5D2" w14:textId="77777777" w:rsidR="008D479B" w:rsidRDefault="008D479B" w:rsidP="008D479B">
      <w:pPr>
        <w:pStyle w:val="TextoNormal"/>
      </w:pPr>
      <w:r>
        <w:t>c) Frente a dicha sentencia la letrada de los servicios jurídicos de la Comunidad Autónoma de La Rioja interpuso recurso de casación, que fue estimado por sentencia de la Sección Tercera de la Sala de lo Contencioso-Administrativo del Tribunal Supremo de 14 de diciembre de 2020.</w:t>
      </w:r>
    </w:p>
    <w:p w14:paraId="00FE74F1" w14:textId="77777777" w:rsidR="008D479B" w:rsidRDefault="008D479B" w:rsidP="008D479B">
      <w:pPr>
        <w:pStyle w:val="TextoNormal"/>
      </w:pPr>
    </w:p>
    <w:p w14:paraId="66554337" w14:textId="77777777" w:rsidR="008D479B" w:rsidRDefault="008D479B" w:rsidP="008D479B">
      <w:pPr>
        <w:pStyle w:val="TextoNormal"/>
      </w:pPr>
      <w:r>
        <w:t>Atendiendo al interés casacional advertido en el auto de admisión a trámite, la sentencia de casación cita los precedentes jurisprudenciales sobre la cuestión de aplicación al presente caso y expone la existencia de dos criterios jurisdiccionales distintos entre los diferentes tribunales superiores de justicia para distinguir a continuación el caso que se le plantea, relativo a las circunstancias de aplicación y a los efectos que los plazos prevenidos en el art. 27.4 LGCA puedan tener sobre los planes técnicos y sobre la cobertura de las licencias vacantes, de otros examinados por el propio tribunal.</w:t>
      </w:r>
    </w:p>
    <w:p w14:paraId="5EAA9D4D" w14:textId="77777777" w:rsidR="008D479B" w:rsidRDefault="008D479B" w:rsidP="008D479B">
      <w:pPr>
        <w:pStyle w:val="TextoNormal"/>
      </w:pPr>
    </w:p>
    <w:p w14:paraId="47031043" w14:textId="19D072B8" w:rsidR="008D479B" w:rsidRDefault="008D479B" w:rsidP="008D479B">
      <w:pPr>
        <w:pStyle w:val="TextoNormal"/>
      </w:pPr>
      <w:r>
        <w:t>Colige que nada hay en el art. 27 LGCA que pueda considerarse irrazonable o indebidamente restrictivo, en particular, al prever que el no aprovechamiento de espacios reservados al dominio público radioeléctrico para servicios de radiodifusión en un plazo concreto de tiempo tras la aprobación de la planificación correspondiente hace decaer dicha reserva. Tampoco considera que la aplicación del art. 27.4 LGCA incurra en prohibición de irretroactividad porque se proyecte sobre una planificación técnica aprobada con anterioridad a la entrada en vigor de la Ley general de la comunicación audiovisual, concluyendo que “de conformidad con lo dispuesto en el artículo 27 —apartados 2 y 4— de la Ley general de comunicación audiovisual, el transcurso de los plazos estipulados en dicho precepto tras la aprobación de un plan técnico nacional de un servicio de radio o televisión, sin que la administración haya solicitado la afectación al servicio público de radio o televisión de que se trate de la reserva de dominio prevista en el citado plan o se haya convocado concurso para el otorgamiento de licencias, y sin que ningún interesado haya solicitado dicha convocatoria, la reserva de dominio decaerá y será excluida de la planificación. En consecuencia y dados tales presupuestos, la administración no estaría ya obligada a la convocatoria de concurso a solicitud de cualquier interesado hasta que se efectúe una nueva reserva de dominio y se produzca la correspondiente afectación al servicio público de radio o televisión”.</w:t>
      </w:r>
    </w:p>
    <w:p w14:paraId="2A34287D" w14:textId="77777777" w:rsidR="008D479B" w:rsidRDefault="008D479B" w:rsidP="008D479B">
      <w:pPr>
        <w:pStyle w:val="TextoNormal"/>
      </w:pPr>
    </w:p>
    <w:p w14:paraId="537CBBF8" w14:textId="77777777" w:rsidR="008D479B" w:rsidRDefault="008D479B" w:rsidP="008D479B">
      <w:pPr>
        <w:pStyle w:val="TextoNormal"/>
      </w:pPr>
      <w:r w:rsidRPr="008D479B">
        <w:rPr>
          <w:rStyle w:val="NumeroAFNegritaCaracter"/>
        </w:rPr>
        <w:t>3</w:t>
      </w:r>
      <w:r>
        <w:t>. En la demanda de amparo se alegan las siguientes vulneraciones constitucionales:</w:t>
      </w:r>
    </w:p>
    <w:p w14:paraId="1207BE46" w14:textId="77777777" w:rsidR="008D479B" w:rsidRDefault="008D479B" w:rsidP="008D479B">
      <w:pPr>
        <w:pStyle w:val="TextoNormal"/>
      </w:pPr>
    </w:p>
    <w:p w14:paraId="1180B7AC" w14:textId="77777777" w:rsidR="008D479B" w:rsidRDefault="008D479B" w:rsidP="008D479B">
      <w:pPr>
        <w:pStyle w:val="TextoNormal"/>
      </w:pPr>
      <w:r>
        <w:t>a) Afirma que la negativa a convocar un concurso público por parte del Gobierno de la Comunidad Autónoma de La Rioja amparándose en el transcurso de un plazo imputable a su propia inactividad y el consiguiente decaimiento de la planificación del espacio radioeléctrico ha imposibilitado el ejercicio de los derechos fundamentales a la libertad de información, comunicación y expresión, en relación con el art. 14 CE, en concreto, de su derecho a crear los medios de comunicación indispensables para el ejercicio del derecho a expresar y difundir libremente los pensamientos, ideas y opiniones mediante la palabra, el escrito o cualquier otro medio de reproducción [art. 20.1 a) CE] y a comunicar o recibir libremente información veraz por cualquier medio de difusión [art. 20.1 d) CE]. Entiende que prevalece el deber de convocar el concurso de adjudicación (art. 27.2 LGCA) sobre el eventual decaimiento de la reserva del espectro radioeléctrico (art. 27.4 LGCA) por lo que ha sido la inacción de la administración pública la causante de que no se haya aprovechado el espectro que el Estado ha otorgado a la comunidad autónoma, lo que invalida el acto recurrido por ser contrario a los derechos invocados. Alega que otras comunidades autónomas han convocado los concursos de licencias más allá del plazo establecido y que la negativa a convocar los concursos de adjudicación de licencias vacantes es incompatible con la Directiva 2018/1972, de 11 de diciembre, por la que se establece el Código europeo de las comunicaciones electrónicas, por crear barreras de acceso al mercado e inutilizar el espectro radioeléctrico.</w:t>
      </w:r>
    </w:p>
    <w:p w14:paraId="7F882DCA" w14:textId="77777777" w:rsidR="008D479B" w:rsidRDefault="008D479B" w:rsidP="008D479B">
      <w:pPr>
        <w:pStyle w:val="TextoNormal"/>
      </w:pPr>
    </w:p>
    <w:p w14:paraId="21126FAD" w14:textId="77777777" w:rsidR="008D479B" w:rsidRDefault="008D479B" w:rsidP="008D479B">
      <w:pPr>
        <w:pStyle w:val="TextoNormal"/>
      </w:pPr>
      <w:r>
        <w:t>Sostiene también que existe una patente contradicción entre las sentencias del Tribunal Supremo al diferenciar incorrectamente entre licencias de televisión digital y licencias de radiodifusión digital para la protección de los derechos fundamentales.</w:t>
      </w:r>
    </w:p>
    <w:p w14:paraId="1D2750F5" w14:textId="77777777" w:rsidR="008D479B" w:rsidRDefault="008D479B" w:rsidP="008D479B">
      <w:pPr>
        <w:pStyle w:val="TextoNormal"/>
      </w:pPr>
    </w:p>
    <w:p w14:paraId="3DC65DF3" w14:textId="77777777" w:rsidR="008D479B" w:rsidRDefault="008D479B" w:rsidP="008D479B">
      <w:pPr>
        <w:pStyle w:val="TextoNormal"/>
      </w:pPr>
      <w:r>
        <w:t xml:space="preserve">Añade, en fin, que la negativa a conceder una licencia de radiodifusión infringe el art. 10, apartado 1, del Convenio europeo de derechos humanos (CEDH) y cita las resoluciones del Tribunal Europeo de Derechos Humanos de 20 de octubre de 1997, asunto </w:t>
      </w:r>
      <w:r w:rsidRPr="008D479B">
        <w:rPr>
          <w:i/>
        </w:rPr>
        <w:t>Radio ABC c. Austria</w:t>
      </w:r>
      <w:r>
        <w:t xml:space="preserve">; de 23 de noviembre de 1999, asunto </w:t>
      </w:r>
      <w:r w:rsidRPr="008D479B">
        <w:rPr>
          <w:i/>
        </w:rPr>
        <w:t>Leveque c. Francia</w:t>
      </w:r>
      <w:r>
        <w:t xml:space="preserve">; de 7 de noviembre de 2000, asunto </w:t>
      </w:r>
      <w:r w:rsidRPr="008D479B">
        <w:rPr>
          <w:i/>
        </w:rPr>
        <w:t>United Christian Broadcasters Ltd. c. Reino Unido</w:t>
      </w:r>
      <w:r>
        <w:t xml:space="preserve">; de 11 de octubre de 2007, asunto </w:t>
      </w:r>
      <w:r w:rsidRPr="008D479B">
        <w:rPr>
          <w:i/>
        </w:rPr>
        <w:t>Glas Nadejda EOOD y Elenkov c. Bulgaria</w:t>
      </w:r>
      <w:r>
        <w:t xml:space="preserve">; de 17 de junio de 2008, asunto </w:t>
      </w:r>
      <w:r w:rsidRPr="008D479B">
        <w:rPr>
          <w:i/>
        </w:rPr>
        <w:t>Meltex Ltd. y Movsessian c. Armenia</w:t>
      </w:r>
      <w:r>
        <w:t xml:space="preserve">, así como el dictamen del Comité de Derechos Humanos de Naciones Unidas, de 27 de octubre de 2016, en el caso </w:t>
      </w:r>
      <w:r w:rsidRPr="008D479B">
        <w:rPr>
          <w:i/>
        </w:rPr>
        <w:t>Azagade c. Azerbaiyán</w:t>
      </w:r>
      <w:r>
        <w:t>.</w:t>
      </w:r>
    </w:p>
    <w:p w14:paraId="1F74AC3B" w14:textId="77777777" w:rsidR="008D479B" w:rsidRDefault="008D479B" w:rsidP="008D479B">
      <w:pPr>
        <w:pStyle w:val="TextoNormal"/>
      </w:pPr>
    </w:p>
    <w:p w14:paraId="1F65D1BD" w14:textId="07D07316" w:rsidR="008D479B" w:rsidRDefault="008D479B" w:rsidP="008D479B">
      <w:pPr>
        <w:pStyle w:val="TextoNormal"/>
      </w:pPr>
      <w:r>
        <w:t>b) En segundo lugar, considera vulnerado el derecho a la igualdad (art. 14 CE), al haberse convocado en otras comunidades autónomas concursos públicos de licencias de comunicación audiovisual. Mantiene que el art. 27.4 LGCA, al tener la consideración de normativa básica, debe aplicarse de forma similar en todo el territorio estatal y la dispar interpretación efectuada por las distintas comunidades autónomas, a juicio de la entidad recurrente, lesiona el art. 14 CE.</w:t>
      </w:r>
    </w:p>
    <w:p w14:paraId="22123585" w14:textId="77777777" w:rsidR="008D479B" w:rsidRDefault="008D479B" w:rsidP="008D479B">
      <w:pPr>
        <w:pStyle w:val="TextoNormal"/>
      </w:pPr>
    </w:p>
    <w:p w14:paraId="36C85DDC" w14:textId="77777777" w:rsidR="008D479B" w:rsidRDefault="008D479B" w:rsidP="008D479B">
      <w:pPr>
        <w:pStyle w:val="TextoNormal"/>
      </w:pPr>
      <w:r w:rsidRPr="008D479B">
        <w:rPr>
          <w:rStyle w:val="NumeroAFNegritaCaracter"/>
        </w:rPr>
        <w:t>4</w:t>
      </w:r>
      <w:r>
        <w:t>. Por providencia de 26 de septiembre de 2022, la Sección Cuarta del Tribunal Constitucional acordó admitir a trámite la demanda de amparo, al apreciar que concurría en la misma una especial trascendencia constitucional [art. 50.1 de la Ley Orgánica del Tribunal Constitucional (LOTC)] porque el recurso podía dar ocasión al Tribunal para aclarar o cambiar su doctrina, como consecuencia de un proceso de reflexión interna [STC 155/2009, de 25 de junio, FJ 2 b)] y el asunto suscitado trascendía del caso concreto porque plantea una cuestión jurídica de relevante y general repercusión social o económica [STC 155/2009, FJ 2 g)].</w:t>
      </w:r>
    </w:p>
    <w:p w14:paraId="1B2258C4" w14:textId="77777777" w:rsidR="008D479B" w:rsidRDefault="008D479B" w:rsidP="008D479B">
      <w:pPr>
        <w:pStyle w:val="TextoNormal"/>
      </w:pPr>
    </w:p>
    <w:p w14:paraId="0EEA42C9" w14:textId="084FAF4B" w:rsidR="008D479B" w:rsidRDefault="008D479B" w:rsidP="008D479B">
      <w:pPr>
        <w:pStyle w:val="TextoNormal"/>
      </w:pPr>
      <w:r>
        <w:t>Asimismo, acordó dar cumplimiento a lo dispuesto en el art. 51 LOTC y formar la correspondiente pieza separada de suspensión, que fue concluida por ATC 142/2022, de 14 de noviembre, en el que se acordó denegar la suspensión cautelar solicitada.</w:t>
      </w:r>
    </w:p>
    <w:p w14:paraId="6C1303D1" w14:textId="77777777" w:rsidR="008D479B" w:rsidRDefault="008D479B" w:rsidP="008D479B">
      <w:pPr>
        <w:pStyle w:val="TextoNormal"/>
      </w:pPr>
    </w:p>
    <w:p w14:paraId="2D31831E" w14:textId="4A9891C5" w:rsidR="008D479B" w:rsidRDefault="008D479B" w:rsidP="008D479B">
      <w:pPr>
        <w:pStyle w:val="TextoNormal"/>
      </w:pPr>
      <w:r w:rsidRPr="008D479B">
        <w:rPr>
          <w:rStyle w:val="NumeroAFNegritaCaracter"/>
        </w:rPr>
        <w:t>5</w:t>
      </w:r>
      <w:r>
        <w:t>. Por diligencia de ordenación de la Secretaría de Justicia de la Sección se tuvo por personada a la Comunidad Autónoma de La Rioja. Y, a tenor de lo dispuesto en el art. 52 LOTC, se dio vista de las actuaciones, por un plazo común de veinte días, al Ministerio Fiscal y a las partes personadas para que dentro de dicho término pudieran presentar las alegaciones que a su derecho conviniera.</w:t>
      </w:r>
    </w:p>
    <w:p w14:paraId="29910B03" w14:textId="77777777" w:rsidR="008D479B" w:rsidRDefault="008D479B" w:rsidP="008D479B">
      <w:pPr>
        <w:pStyle w:val="TextoNormal"/>
      </w:pPr>
    </w:p>
    <w:p w14:paraId="537EEFF4" w14:textId="698C369A" w:rsidR="008D479B" w:rsidRDefault="008D479B" w:rsidP="008D479B">
      <w:pPr>
        <w:pStyle w:val="TextoNormal"/>
      </w:pPr>
      <w:r w:rsidRPr="008D479B">
        <w:rPr>
          <w:rStyle w:val="NumeroAFNegritaCaracter"/>
        </w:rPr>
        <w:t>6</w:t>
      </w:r>
      <w:r>
        <w:t>. La Comunidad Autónoma de La Rioja, con la representación y asistencia de letrada de su servicio jurídico, presentó sus alegaciones mediante escrito registrado el 21 de diciembre de 2022, en el que rechaza que se hayan vulnerado los derechos invocados en la demanda de amparo.</w:t>
      </w:r>
    </w:p>
    <w:p w14:paraId="7BB8F466" w14:textId="77777777" w:rsidR="008D479B" w:rsidRDefault="008D479B" w:rsidP="008D479B">
      <w:pPr>
        <w:pStyle w:val="TextoNormal"/>
      </w:pPr>
    </w:p>
    <w:p w14:paraId="6569194F" w14:textId="0BFCCFA9" w:rsidR="008D479B" w:rsidRDefault="008D479B" w:rsidP="008D479B">
      <w:pPr>
        <w:pStyle w:val="TextoNormal"/>
      </w:pPr>
      <w:r w:rsidRPr="008D479B">
        <w:rPr>
          <w:rStyle w:val="NumeroAFNegritaCaracter"/>
        </w:rPr>
        <w:t>7</w:t>
      </w:r>
      <w:r>
        <w:t>. La demandante de amparo presentó sus alegaciones mediante escrito registrado el 10 de enero de 2023 en el que reiteraba los argumentos expuestos en la demanda.</w:t>
      </w:r>
    </w:p>
    <w:p w14:paraId="19F22BAE" w14:textId="77777777" w:rsidR="008D479B" w:rsidRDefault="008D479B" w:rsidP="008D479B">
      <w:pPr>
        <w:pStyle w:val="TextoNormal"/>
      </w:pPr>
    </w:p>
    <w:p w14:paraId="7ADC7C11" w14:textId="0110148B" w:rsidR="008D479B" w:rsidRDefault="008D479B" w:rsidP="008D479B">
      <w:pPr>
        <w:pStyle w:val="TextoNormal"/>
      </w:pPr>
      <w:r w:rsidRPr="008D479B">
        <w:rPr>
          <w:rStyle w:val="NumeroAFNegritaCaracter"/>
        </w:rPr>
        <w:t>8</w:t>
      </w:r>
      <w:r>
        <w:t>. Por diligencia de ordenación de 19 de enero de 2023, el secretario de justicia de la Sección Tercera de la Sala Segunda de este tribunal puso en conocimiento de las partes que, en virtud del acuerdo del Pleno del Tribunal Constitucional de 17 de enero de 2023, publicado en el “Boletín Oficial del Estado” de 19 de enero de 2023, el presente recurso de amparo fue turnado a la citada sección.</w:t>
      </w:r>
    </w:p>
    <w:p w14:paraId="0DB484D4" w14:textId="77777777" w:rsidR="008D479B" w:rsidRDefault="008D479B" w:rsidP="008D479B">
      <w:pPr>
        <w:pStyle w:val="TextoNormal"/>
      </w:pPr>
    </w:p>
    <w:p w14:paraId="38AD735F" w14:textId="77777777" w:rsidR="008D479B" w:rsidRDefault="008D479B" w:rsidP="008D479B">
      <w:pPr>
        <w:pStyle w:val="TextoNormal"/>
      </w:pPr>
      <w:r w:rsidRPr="008D479B">
        <w:rPr>
          <w:rStyle w:val="NumeroAFNegritaCaracter"/>
        </w:rPr>
        <w:t>9</w:t>
      </w:r>
      <w:r>
        <w:t>. El Ministerio Fiscal presentó sus alegaciones mediante escrito registrado el 20 de enero de 2023 en el que solicita la desestimación del recurso de amparo.</w:t>
      </w:r>
    </w:p>
    <w:p w14:paraId="525A4DBD" w14:textId="77777777" w:rsidR="008D479B" w:rsidRDefault="008D479B" w:rsidP="008D479B">
      <w:pPr>
        <w:pStyle w:val="TextoNormal"/>
      </w:pPr>
    </w:p>
    <w:p w14:paraId="064C1A3C" w14:textId="77777777" w:rsidR="008D479B" w:rsidRDefault="008D479B" w:rsidP="008D479B">
      <w:pPr>
        <w:pStyle w:val="TextoNormal"/>
      </w:pPr>
      <w:r>
        <w:t>Descarta, en primer lugar, que se haya producido una vulneración del art. 14 CE, al no existir el término válido de comparación exigido para que se produzca la vulneración, pues no se han dictado las resoluciones por los mismos órganos, ni en el caso del reproche dirigido al Tribunal Supremo concurre la identidad de supuestos exigida.</w:t>
      </w:r>
    </w:p>
    <w:p w14:paraId="2EB5C2AF" w14:textId="77777777" w:rsidR="008D479B" w:rsidRDefault="008D479B" w:rsidP="008D479B">
      <w:pPr>
        <w:pStyle w:val="TextoNormal"/>
      </w:pPr>
    </w:p>
    <w:p w14:paraId="11B27806" w14:textId="77777777" w:rsidR="008D479B" w:rsidRDefault="008D479B" w:rsidP="008D479B">
      <w:pPr>
        <w:pStyle w:val="TextoNormal"/>
      </w:pPr>
      <w:r>
        <w:t>Rechaza, asimismo, la vulneración del art. 20.1 a) y d) CE al existir una regulación normativa que establece el marco temporal de reserva del espacio radioeléctrico a los efectos de convocar los correspondientes concursos. Entiende que corresponde al legislador una mayor libertad de configuración normativa para disciplinar los soportes técnicos e instrumentos de comunicación que la que posee al ordenar directamente los derechos fundamentales del art. 20.1 CE. De este modo las resoluciones administrativas y las sentencias que aplican la regulación establecida en este ámbito difícilmente pueden lesionar los derechos invocados.</w:t>
      </w:r>
    </w:p>
    <w:p w14:paraId="26450C05" w14:textId="77777777" w:rsidR="008D479B" w:rsidRDefault="008D479B" w:rsidP="008D479B">
      <w:pPr>
        <w:pStyle w:val="TextoNormal"/>
      </w:pPr>
    </w:p>
    <w:p w14:paraId="17E813B7" w14:textId="52888E42" w:rsidR="008D479B" w:rsidRDefault="008D479B" w:rsidP="008D479B">
      <w:pPr>
        <w:pStyle w:val="TextoNormal"/>
      </w:pPr>
      <w:r>
        <w:t xml:space="preserve">Finalmente, considera que las resoluciones del Tribunal Europeo de Derechos Humanos citadas no son aplicables por tratarse de decisiones de inadmisión o, en el caso de la STEDH de 20 de octubre de 1997, asunto </w:t>
      </w:r>
      <w:r w:rsidRPr="008D479B">
        <w:rPr>
          <w:i/>
        </w:rPr>
        <w:t>Radio ABC c. Austria</w:t>
      </w:r>
      <w:r>
        <w:t>, porque toda la actividad se subordinaba a una concesión del legislador federal que no se produjo, situación que se mantuvo durante tres periodos de tiempo, supuesto distinto al contemplado en la regulación española.</w:t>
      </w:r>
    </w:p>
    <w:p w14:paraId="62CF477E" w14:textId="77777777" w:rsidR="008D479B" w:rsidRDefault="008D479B" w:rsidP="008D479B">
      <w:pPr>
        <w:pStyle w:val="TextoNormal"/>
      </w:pPr>
    </w:p>
    <w:p w14:paraId="42F2AB8C" w14:textId="72AC042E" w:rsidR="008D479B" w:rsidRDefault="008D479B" w:rsidP="008D479B">
      <w:pPr>
        <w:pStyle w:val="TextoNormal"/>
      </w:pPr>
      <w:r w:rsidRPr="008D479B">
        <w:rPr>
          <w:rStyle w:val="NumeroAFNegritaCaracter"/>
        </w:rPr>
        <w:t>10</w:t>
      </w:r>
      <w:r>
        <w:t>. Por providencia de 21 de septiembre de 2023 se señaló para deliberación y votación de la presente sentencia el día 25 del mismo mes y año.</w:t>
      </w:r>
    </w:p>
    <w:p w14:paraId="67D20B83" w14:textId="77777777" w:rsidR="008D479B" w:rsidRDefault="008D479B" w:rsidP="008D479B">
      <w:pPr>
        <w:pStyle w:val="TextoNormal"/>
      </w:pPr>
    </w:p>
    <w:p w14:paraId="27B5231A" w14:textId="77777777" w:rsidR="008D479B" w:rsidRDefault="008D479B" w:rsidP="008D479B">
      <w:pPr>
        <w:pStyle w:val="TextoNormalNegritaCentrado"/>
        <w:keepNext/>
      </w:pPr>
      <w:r>
        <w:t>II. Fundamentos jurídicos</w:t>
      </w:r>
    </w:p>
    <w:p w14:paraId="146931CC" w14:textId="22A8258C" w:rsidR="008D479B" w:rsidRDefault="008D479B" w:rsidP="008D479B">
      <w:pPr>
        <w:pStyle w:val="TextoNormalNegritaCentrado"/>
        <w:keepNext/>
      </w:pPr>
    </w:p>
    <w:p w14:paraId="513F2920" w14:textId="77777777" w:rsidR="008D479B" w:rsidRDefault="008D479B" w:rsidP="008D479B">
      <w:pPr>
        <w:pStyle w:val="TextoNormal"/>
      </w:pPr>
      <w:r w:rsidRPr="008D479B">
        <w:rPr>
          <w:rStyle w:val="NumeroAFNegritaCaracter"/>
        </w:rPr>
        <w:t>1</w:t>
      </w:r>
      <w:r>
        <w:t xml:space="preserve">. </w:t>
      </w:r>
      <w:r w:rsidRPr="008D479B">
        <w:rPr>
          <w:i/>
        </w:rPr>
        <w:t>Objeto del recurso</w:t>
      </w:r>
    </w:p>
    <w:p w14:paraId="11BC6A96" w14:textId="77777777" w:rsidR="008D479B" w:rsidRDefault="008D479B" w:rsidP="008D479B">
      <w:pPr>
        <w:pStyle w:val="TextoNormal"/>
      </w:pPr>
    </w:p>
    <w:p w14:paraId="7CD36FF7" w14:textId="755FB4F1" w:rsidR="008D479B" w:rsidRDefault="008D479B" w:rsidP="008D479B">
      <w:pPr>
        <w:pStyle w:val="TextoNormal"/>
      </w:pPr>
      <w:r>
        <w:t>El objeto de este recurso es determinar si la resolución de 18 de octubre de 2018, de la Consejería de Administración Pública y Hacienda de la Comunidad Autónoma de La Rioja, por la que se desestima el recurso de alzada interpuesto contra resolución anterior de 3 de octubre de 2018, desestimatoria de la solicitud de convocatoria de concurso para la adjudicación de las licencias disponibles de comunicación audiovisual de radiodifusión sonora digital de ámbito local, en la citada comunidad autónoma, vulnera los derechos fundamentales a la libertad de información, comunicación y expresión [art. 20.1 a) y d) CE], en relación con el art. 14 CE.</w:t>
      </w:r>
    </w:p>
    <w:p w14:paraId="60385360" w14:textId="77777777" w:rsidR="008D479B" w:rsidRDefault="008D479B" w:rsidP="008D479B">
      <w:pPr>
        <w:pStyle w:val="TextoNormal"/>
      </w:pPr>
    </w:p>
    <w:p w14:paraId="2F892A0C" w14:textId="77777777" w:rsidR="008D479B" w:rsidRDefault="008D479B" w:rsidP="008D479B">
      <w:pPr>
        <w:pStyle w:val="TextoNormal"/>
      </w:pPr>
      <w:r w:rsidRPr="008D479B">
        <w:rPr>
          <w:rStyle w:val="NumeroAFNegritaCaracter"/>
        </w:rPr>
        <w:t>2</w:t>
      </w:r>
      <w:r>
        <w:t xml:space="preserve">. </w:t>
      </w:r>
      <w:r w:rsidRPr="008D479B">
        <w:rPr>
          <w:i/>
        </w:rPr>
        <w:t>Remisión a lo resuelto en la STC 89/2023, de 18 de julio</w:t>
      </w:r>
    </w:p>
    <w:p w14:paraId="064C1A65" w14:textId="77777777" w:rsidR="008D479B" w:rsidRDefault="008D479B" w:rsidP="008D479B">
      <w:pPr>
        <w:pStyle w:val="TextoNormal"/>
      </w:pPr>
    </w:p>
    <w:p w14:paraId="113B09B4" w14:textId="5713669D" w:rsidR="008D479B" w:rsidRDefault="008D479B" w:rsidP="008D479B">
      <w:pPr>
        <w:pStyle w:val="TextoNormal"/>
      </w:pPr>
      <w:r>
        <w:t>El problema constitucional que se plantea en este proceso de amparo es coincidente con el resuelto en la STC 89/2023, de 18 de julio, que excluyó que la actuación administrativa impugnada, en cuanto denegó la convocatoria del concurso solicitado para la concesión de licencias de prestación de servicios audiovisuales, vulnerara los derechos a expresar y difundir libremente los pensamientos, ideas y opiniones mediante la palabra, el escrito o cualquier otro medio de reproducción [art. 20.1 a) CE] y a comunicar o recibir libremente información veraz por cualquier medio de difusión [art. 20.1 d) CE], en relación con el principio de igualdad (art. 14 CE), lo que determina que, por idénticas razones, proceda desestimar el presente recurso de amparo.</w:t>
      </w:r>
    </w:p>
    <w:p w14:paraId="2B47B55B" w14:textId="77777777" w:rsidR="008D479B" w:rsidRDefault="008D479B" w:rsidP="008D479B">
      <w:pPr>
        <w:pStyle w:val="TextoNormal"/>
      </w:pPr>
    </w:p>
    <w:p w14:paraId="3D733C8F" w14:textId="77777777" w:rsidR="008D479B" w:rsidRDefault="008D479B" w:rsidP="008D479B">
      <w:pPr>
        <w:pStyle w:val="TextoNormalCentrado"/>
        <w:keepNext/>
      </w:pPr>
      <w:r>
        <w:t>FALLO</w:t>
      </w:r>
    </w:p>
    <w:p w14:paraId="5558DDF0" w14:textId="4D47256A" w:rsidR="008D479B" w:rsidRDefault="008D479B" w:rsidP="008D479B">
      <w:pPr>
        <w:pStyle w:val="TextoNormalCentrado"/>
        <w:keepNext/>
      </w:pPr>
    </w:p>
    <w:p w14:paraId="13C5EB44" w14:textId="2ADF5A69" w:rsidR="008D479B" w:rsidRDefault="008D479B" w:rsidP="008D479B">
      <w:pPr>
        <w:pStyle w:val="TextoNormal"/>
      </w:pPr>
      <w:r>
        <w:t>En atención a todo lo expuesto, el Tribunal Constitucional, por la autoridad que le confiere la Constitución de la Nación española, ha decidido desestimar el recurso de amparo interpuesto por Veranda y Arnela Desarrollos, S.L.</w:t>
      </w:r>
    </w:p>
    <w:p w14:paraId="624F7C18" w14:textId="77777777" w:rsidR="008D479B" w:rsidRDefault="008D479B" w:rsidP="008D479B">
      <w:pPr>
        <w:pStyle w:val="TextoNormal"/>
      </w:pPr>
    </w:p>
    <w:p w14:paraId="5C3CA79E" w14:textId="77777777" w:rsidR="008D479B" w:rsidRDefault="008D479B" w:rsidP="008D479B">
      <w:pPr>
        <w:pStyle w:val="TextoNormal"/>
      </w:pPr>
      <w:r>
        <w:t>Publíquese esta sentencia en el “Boletín Oficial del Estado”.</w:t>
      </w:r>
    </w:p>
    <w:p w14:paraId="329F19AF" w14:textId="77777777" w:rsidR="008D479B" w:rsidRDefault="008D479B" w:rsidP="008D479B">
      <w:pPr>
        <w:pStyle w:val="TextoNormal"/>
      </w:pPr>
      <w:r>
        <w:t>Dada en Madrid, a veinticinco de septiembre de dos mil veintitrés.</w:t>
      </w:r>
    </w:p>
    <w:p w14:paraId="482675A4" w14:textId="1DF74858" w:rsidR="008D479B" w:rsidRDefault="008D479B" w:rsidP="008D479B">
      <w:pPr>
        <w:pStyle w:val="ParrafoNormal"/>
      </w:pPr>
    </w:p>
    <w:p w14:paraId="7A4863B9" w14:textId="77777777" w:rsidR="008D479B" w:rsidRDefault="008D479B" w:rsidP="008D479B">
      <w:pPr>
        <w:pStyle w:val="TextoNormalNegritaCentrado"/>
        <w:keepNext/>
      </w:pPr>
      <w:r>
        <w:t>Voto particular que formula la magistrada doña María Luisa Balaguer Callejón a la sentencia dictada en el recurso de amparo núm. 164-2021</w:t>
      </w:r>
    </w:p>
    <w:p w14:paraId="34675CE1" w14:textId="7C62EDC4" w:rsidR="008D479B" w:rsidRDefault="008D479B" w:rsidP="008D479B">
      <w:pPr>
        <w:pStyle w:val="TextoNormalNegritaCentrado"/>
        <w:keepNext/>
      </w:pPr>
    </w:p>
    <w:p w14:paraId="719EBA38" w14:textId="77777777" w:rsidR="008D479B" w:rsidRDefault="008D479B" w:rsidP="008D479B">
      <w:pPr>
        <w:pStyle w:val="TextoNormal"/>
      </w:pPr>
      <w:r>
        <w:t>Con el mayor respeto al criterio reflejado en la sentencia a que se refiere el encabezamiento y, en ejercicio de la facultad que me confiere el art. 90.2 de la Ley Orgánica del Tribunal Constitucional, manifiesto mi discrepancia con la argumentación y fallo de la sentencia aprobada por la Sala. Por ello, me remito, en su totalidad, al voto particular que realicé a la STC 89/2023, de 18 de julio.</w:t>
      </w:r>
    </w:p>
    <w:p w14:paraId="47EAFF0A" w14:textId="77777777" w:rsidR="008D479B" w:rsidRDefault="008D479B" w:rsidP="008D479B">
      <w:pPr>
        <w:pStyle w:val="TextoNormal"/>
      </w:pPr>
    </w:p>
    <w:p w14:paraId="6B1AFBDA" w14:textId="1D470205" w:rsidR="008D479B" w:rsidRDefault="008D479B" w:rsidP="008D479B">
      <w:pPr>
        <w:pStyle w:val="TextoNormal"/>
      </w:pPr>
      <w:r>
        <w:t>Madrid, a veinticinco de septiembre de dos mil veintitrés.</w:t>
      </w:r>
    </w:p>
    <w:p w14:paraId="5697B8C9" w14:textId="1598E0F9" w:rsidR="008D479B" w:rsidRDefault="008D479B">
      <w:pPr>
        <w:spacing w:after="160" w:line="278" w:lineRule="auto"/>
        <w:rPr>
          <w:rFonts w:ascii="Times New Roman" w:eastAsia="Times New Roman" w:hAnsi="Times New Roman" w:cs="Times New Roman"/>
          <w:sz w:val="24"/>
          <w:szCs w:val="24"/>
          <w:lang w:eastAsia="es-ES"/>
        </w:rPr>
      </w:pPr>
      <w:r>
        <w:br w:type="page"/>
      </w:r>
    </w:p>
    <w:p w14:paraId="5FC08B7D" w14:textId="77777777" w:rsidR="008D479B" w:rsidRDefault="008D479B" w:rsidP="008D479B">
      <w:pPr>
        <w:pStyle w:val="TtuloResolucin"/>
      </w:pPr>
      <w:bookmarkStart w:id="24" w:name="SENTENCIA_2023_99"/>
      <w:r>
        <w:t>SENTENCIA 99/2023, de 25 de septiembre de 2023</w:t>
      </w:r>
    </w:p>
    <w:bookmarkEnd w:id="24"/>
    <w:p w14:paraId="7C1A4DCA" w14:textId="77777777" w:rsidR="008D479B" w:rsidRDefault="008D479B" w:rsidP="008D479B">
      <w:pPr>
        <w:pStyle w:val="TtuloResolucin"/>
      </w:pPr>
      <w:r>
        <w:t>Sala Primera</w:t>
      </w:r>
    </w:p>
    <w:p w14:paraId="7EBD4F27" w14:textId="77777777" w:rsidR="008D479B" w:rsidRDefault="008D479B" w:rsidP="008D479B">
      <w:pPr>
        <w:pStyle w:val="TtuloBOE"/>
      </w:pPr>
      <w:r>
        <w:t>(BOE núm. 261, de 1 de noviembre de 2023)</w:t>
      </w:r>
    </w:p>
    <w:p w14:paraId="340553F4" w14:textId="77777777" w:rsidR="008D479B" w:rsidRDefault="008D479B" w:rsidP="008D479B">
      <w:pPr>
        <w:pStyle w:val="TextoNormalCentrado"/>
      </w:pPr>
      <w:r>
        <w:t>ECLI:ES:TC:2023:99</w:t>
      </w:r>
    </w:p>
    <w:p w14:paraId="759D3A60" w14:textId="2BD5615F" w:rsidR="008D479B" w:rsidRDefault="008D479B" w:rsidP="008D479B">
      <w:pPr>
        <w:pStyle w:val="TextoNormalCentrado"/>
      </w:pPr>
    </w:p>
    <w:p w14:paraId="51D01F53" w14:textId="77777777" w:rsidR="008D479B" w:rsidRDefault="008D479B" w:rsidP="008D479B">
      <w:pPr>
        <w:pStyle w:val="SntesisDescriptiva"/>
      </w:pPr>
      <w:r>
        <w:t>Recurso de amparo 165-2021. Promovido por Topanga de Comunicaciones, S.L., respecto de las resoluciones de la Consejería de Administración Pública y Hacienda de La Rioja que rechazaron su solicitud de convocatoria de concurso público para la adjudicación de licencias disponibles de comunicación audiovisual de radiodifusión sonora digital terrestre de ámbito local.</w:t>
      </w:r>
    </w:p>
    <w:p w14:paraId="7A7D4C20" w14:textId="74328974" w:rsidR="008D479B" w:rsidRDefault="008D479B" w:rsidP="008D479B">
      <w:pPr>
        <w:pStyle w:val="SntesisDescriptiva"/>
      </w:pPr>
    </w:p>
    <w:p w14:paraId="309A48DB" w14:textId="77777777" w:rsidR="008D479B" w:rsidRDefault="008D479B" w:rsidP="008D479B">
      <w:pPr>
        <w:pStyle w:val="SntesisAnaltica"/>
      </w:pPr>
      <w:r>
        <w:t>Supuesta vulneración del derecho a la igualdad y a las libertades de expresión e información: STC 89/2023 (resolución administrativa que no resulta desproporcionada y que viene impuesta por la inexistencia de reserva de dominio público radioeléctrico). Voto particular.</w:t>
      </w:r>
    </w:p>
    <w:p w14:paraId="3CDED10F" w14:textId="682A0F4F" w:rsidR="008D479B" w:rsidRDefault="008D479B" w:rsidP="008D479B">
      <w:pPr>
        <w:pStyle w:val="SntesisAnaltica"/>
      </w:pPr>
    </w:p>
    <w:p w14:paraId="5D9ACE1F" w14:textId="04D06DA5" w:rsidR="008D479B" w:rsidRDefault="008D479B" w:rsidP="008D479B">
      <w:pPr>
        <w:pStyle w:val="Extracto"/>
      </w:pPr>
      <w:r>
        <w:t>1.</w:t>
      </w:r>
      <w:r>
        <w:tab/>
        <w:t xml:space="preserve">Remisión a la STC 89/2023 que declaró respetados los derechos a expresar y difundir libremente los pensamientos, ideas y opiniones, así como a comunicar o recibir libremente información veraz por cualquier medio de difusión, consagrados en el art. 20.1 a) y d) CE, en relación con el principio de igualdad reconocido en el art. 14 CE, por parte de la actuación administrativa denegatoria de convocatoria de concurso para la concesión de licencias de prestación de servicios audiovisuales </w:t>
      </w:r>
    </w:p>
    <w:p w14:paraId="02A89589" w14:textId="77777777" w:rsidR="008D479B" w:rsidRDefault="008D479B" w:rsidP="008D479B">
      <w:pPr>
        <w:pStyle w:val="Extracto"/>
      </w:pPr>
    </w:p>
    <w:p w14:paraId="1D6B0180" w14:textId="77777777" w:rsidR="008D479B" w:rsidRDefault="008D479B" w:rsidP="008D479B">
      <w:pPr>
        <w:pStyle w:val="Extracto"/>
      </w:pPr>
    </w:p>
    <w:p w14:paraId="0DD1506F" w14:textId="77777777" w:rsidR="008D479B" w:rsidRDefault="008D479B" w:rsidP="008D479B">
      <w:pPr>
        <w:pStyle w:val="TextoNormal"/>
      </w:pPr>
      <w:r>
        <w:t>La Sala Primera del Tribunal Constitucional, compuesta por el magistrado don Cándido Conde-Pumpido Tourón, presidente, y los magistrados y magistradas don Ricardo Enríquez Sancho, doña Concepción Espejel Jorquera, doña María Luisa Segoviano Astaburuaga y don Juan Carlos Campo Moreno, ha pronunciado</w:t>
      </w:r>
    </w:p>
    <w:p w14:paraId="0D2C5D9C" w14:textId="4FD73321" w:rsidR="008D479B" w:rsidRDefault="008D479B" w:rsidP="008D479B">
      <w:pPr>
        <w:pStyle w:val="TextoNormal"/>
      </w:pPr>
    </w:p>
    <w:p w14:paraId="2E1F39F4" w14:textId="77777777" w:rsidR="008D479B" w:rsidRDefault="008D479B" w:rsidP="008D479B">
      <w:pPr>
        <w:pStyle w:val="TextoNormalCentrado"/>
        <w:keepNext/>
      </w:pPr>
      <w:r>
        <w:t>EN NOMBRE DEL REY</w:t>
      </w:r>
    </w:p>
    <w:p w14:paraId="70F14DF7" w14:textId="7448F656" w:rsidR="008D479B" w:rsidRDefault="008D479B" w:rsidP="008D479B">
      <w:pPr>
        <w:pStyle w:val="TextoNormalCentrado"/>
        <w:keepNext/>
      </w:pPr>
    </w:p>
    <w:p w14:paraId="1A3F9C30" w14:textId="77777777" w:rsidR="008D479B" w:rsidRDefault="008D479B" w:rsidP="008D479B">
      <w:pPr>
        <w:pStyle w:val="TextoNormalCentrado"/>
        <w:keepNext/>
      </w:pPr>
    </w:p>
    <w:p w14:paraId="351F8C13" w14:textId="77777777" w:rsidR="008D479B" w:rsidRDefault="008D479B" w:rsidP="008D479B">
      <w:pPr>
        <w:pStyle w:val="TextoNormal"/>
      </w:pPr>
      <w:r>
        <w:t>la siguiente</w:t>
      </w:r>
    </w:p>
    <w:p w14:paraId="252AE03F" w14:textId="78E99C56" w:rsidR="008D479B" w:rsidRDefault="008D479B" w:rsidP="008D479B">
      <w:pPr>
        <w:pStyle w:val="TextoNormal"/>
      </w:pPr>
    </w:p>
    <w:p w14:paraId="4CD5693E" w14:textId="77777777" w:rsidR="008D479B" w:rsidRDefault="008D479B" w:rsidP="008D479B">
      <w:pPr>
        <w:pStyle w:val="TextoNormalCentrado"/>
        <w:keepNext/>
      </w:pPr>
      <w:r>
        <w:t>SENTENCIA</w:t>
      </w:r>
    </w:p>
    <w:p w14:paraId="65620D91" w14:textId="7DAF657D" w:rsidR="008D479B" w:rsidRDefault="008D479B" w:rsidP="008D479B">
      <w:pPr>
        <w:pStyle w:val="TextoNormalCentrado"/>
        <w:keepNext/>
      </w:pPr>
    </w:p>
    <w:p w14:paraId="2BD37230" w14:textId="77777777" w:rsidR="008D479B" w:rsidRDefault="008D479B" w:rsidP="008D479B">
      <w:pPr>
        <w:pStyle w:val="TextoNormal"/>
      </w:pPr>
      <w:r>
        <w:t>En el recurso de amparo número 165-2021, promovido por la mercantil Topanga de Comunicaciones, S.L., representada por la procuradora de los tribunales doña Isabel Covadonga Juliá Corujo y asistida por el abogado don Jaime Rodríguez Díez, contra la resolución de 24 de julio de 2018 de la Consejería de Administración Pública y Hacienda de la Comunidad Autónoma de La Rioja, por la que se desestima el recurso de alzada interpuesto contra la desestimación presunta de la solicitud de 5 de julio de 2018 de convocatoria de concurso público para la adjudicación de las licencias disponibles de comunicación audiovisual de radiodifusión sonora digital terrestre de ámbito local en la citada comunidad autónoma. Ha comparecido la referida comunidad autónoma y ha intervenido el Ministerio Fiscal. Ha sido ponente el magistrado don Juan Carlos Campo Moreno.</w:t>
      </w:r>
    </w:p>
    <w:p w14:paraId="2FB7EAC0" w14:textId="6DE9579F" w:rsidR="008D479B" w:rsidRDefault="008D479B" w:rsidP="008D479B">
      <w:pPr>
        <w:pStyle w:val="TextoNormal"/>
      </w:pPr>
    </w:p>
    <w:p w14:paraId="6383C4B6" w14:textId="77777777" w:rsidR="008D479B" w:rsidRDefault="008D479B" w:rsidP="008D479B">
      <w:pPr>
        <w:pStyle w:val="TextoNormalNegritaCentrado"/>
        <w:keepNext/>
      </w:pPr>
      <w:r>
        <w:t>I. Antecedentes</w:t>
      </w:r>
    </w:p>
    <w:p w14:paraId="1F9414B3" w14:textId="0EEADF43" w:rsidR="008D479B" w:rsidRDefault="008D479B" w:rsidP="008D479B">
      <w:pPr>
        <w:pStyle w:val="TextoNormalNegritaCentrado"/>
        <w:keepNext/>
      </w:pPr>
    </w:p>
    <w:p w14:paraId="54C48F83" w14:textId="2926B4B0" w:rsidR="008D479B" w:rsidRDefault="008D479B" w:rsidP="008D479B">
      <w:pPr>
        <w:pStyle w:val="TextoNormal"/>
      </w:pPr>
      <w:r w:rsidRPr="008D479B">
        <w:rPr>
          <w:rStyle w:val="NumeroAFNegritaCaracter"/>
        </w:rPr>
        <w:t>1</w:t>
      </w:r>
      <w:r>
        <w:t>. Mediante escrito presentado en el registro general de este tribunal el 12 de enero de 2021, la procuradora de los tribunales doña Isabel Covadonga Juliá Corujo, actuando en nombre y representación de Topanga de Comunicaciones, S.L., bajo la defensa del letrado don Jaime Rodríguez Díez, interpuso demanda de amparo contra la resolución arriba mencionada.</w:t>
      </w:r>
    </w:p>
    <w:p w14:paraId="791F0D5A" w14:textId="77777777" w:rsidR="008D479B" w:rsidRDefault="008D479B" w:rsidP="008D479B">
      <w:pPr>
        <w:pStyle w:val="TextoNormal"/>
      </w:pPr>
    </w:p>
    <w:p w14:paraId="19BE354D" w14:textId="77777777" w:rsidR="008D479B" w:rsidRDefault="008D479B" w:rsidP="008D479B">
      <w:pPr>
        <w:pStyle w:val="TextoNormal"/>
      </w:pPr>
      <w:r w:rsidRPr="008D479B">
        <w:rPr>
          <w:rStyle w:val="NumeroAFNegritaCaracter"/>
        </w:rPr>
        <w:t>2</w:t>
      </w:r>
      <w:r>
        <w:t>. Los hechos con relevancia para la resolución del presente recurso de amparo y a los que se refiere la demanda presentada son los siguientes:</w:t>
      </w:r>
    </w:p>
    <w:p w14:paraId="3AC62FB3" w14:textId="77777777" w:rsidR="008D479B" w:rsidRDefault="008D479B" w:rsidP="008D479B">
      <w:pPr>
        <w:pStyle w:val="TextoNormal"/>
      </w:pPr>
    </w:p>
    <w:p w14:paraId="02500DC3" w14:textId="77777777" w:rsidR="008D479B" w:rsidRDefault="008D479B" w:rsidP="008D479B">
      <w:pPr>
        <w:pStyle w:val="TextoNormal"/>
      </w:pPr>
      <w:r>
        <w:t>a) La entidad Topanga de Comunicaciones, S.L., interpuso recurso contencioso-administrativo contra la resolución de 24 de julio de 2018, del consejero de Administración Pública y Hacienda, desestimatoria del recurso de alzada interpuesto contra la desestimación por silencio administrativo de su solicitud de convocatoria de concurso para el otorgamiento de las licencias disponibles para la prestación de servicios de comunicación audiovisual de radiodifusión sonora digital terrestre de ámbito local en la Comunidad Autónoma de La Rioja.</w:t>
      </w:r>
    </w:p>
    <w:p w14:paraId="4D84807B" w14:textId="77777777" w:rsidR="008D479B" w:rsidRDefault="008D479B" w:rsidP="008D479B">
      <w:pPr>
        <w:pStyle w:val="TextoNormal"/>
      </w:pPr>
    </w:p>
    <w:p w14:paraId="66358DD1" w14:textId="77777777" w:rsidR="008D479B" w:rsidRDefault="008D479B" w:rsidP="008D479B">
      <w:pPr>
        <w:pStyle w:val="TextoNormal"/>
      </w:pPr>
      <w:r>
        <w:t>b) La Sala de lo Contencioso-Administrativo del Tribunal Superior de Justicia de La Rioja estimó el recurso interpuesto por sentencia de 23 de mayo de 2019 al concluir que la pasividad de la administración demandada no puede motivar la desestimación de la solicitud deducida por la recurrente y que concurren los presupuestos que contempla el art. 27.2 de la Ley general de la comunicación audiovisual (LGCA) para que deba procederse a la convocatoria del concurso público de las licencias disponibles correspondientes al servicio de comunicación audiovisual de radiodifusión sonora digital terrenal (DAB) con cobertura local integradas en los tres bloques de frecuencias de La Rioja.</w:t>
      </w:r>
    </w:p>
    <w:p w14:paraId="08403C66" w14:textId="77777777" w:rsidR="008D479B" w:rsidRDefault="008D479B" w:rsidP="008D479B">
      <w:pPr>
        <w:pStyle w:val="TextoNormal"/>
      </w:pPr>
    </w:p>
    <w:p w14:paraId="3346C136" w14:textId="77777777" w:rsidR="008D479B" w:rsidRDefault="008D479B" w:rsidP="008D479B">
      <w:pPr>
        <w:pStyle w:val="TextoNormal"/>
      </w:pPr>
      <w:r>
        <w:t>c) Frente a dicha sentencia la letrada de los servicios jurídicos de la Comunidad Autónoma de La Rioja interpuso recurso de casación, que fue estimado por sentencia de la Sección Tercera de la Sala de lo Contencioso-Administrativo del Tribunal Supremo de 26 de noviembre de 2020.</w:t>
      </w:r>
    </w:p>
    <w:p w14:paraId="08CD0FBC" w14:textId="77777777" w:rsidR="008D479B" w:rsidRDefault="008D479B" w:rsidP="008D479B">
      <w:pPr>
        <w:pStyle w:val="TextoNormal"/>
      </w:pPr>
    </w:p>
    <w:p w14:paraId="65D87E26" w14:textId="77777777" w:rsidR="008D479B" w:rsidRDefault="008D479B" w:rsidP="008D479B">
      <w:pPr>
        <w:pStyle w:val="TextoNormal"/>
      </w:pPr>
      <w:r>
        <w:t>Atendiendo al interés casacional advertido en el auto de admisión a trámite, la sentencia de casación cita los precedentes jurisprudenciales sobre la cuestión de aplicación al presente caso y expone la existencia de dos criterios jurisdiccionales distintos entre los diferentes tribunales superiores de justicia para distinguir a continuación el caso que se le plantea, relativo a las circunstancias de aplicación y a los efectos que los plazos prevenidos en el art. 27.4 LGCA puedan tener sobre los planes técnicos y sobre la cobertura de las licencias vacantes, de otros examinados por el propio tribunal.</w:t>
      </w:r>
    </w:p>
    <w:p w14:paraId="0111A6C5" w14:textId="77777777" w:rsidR="008D479B" w:rsidRDefault="008D479B" w:rsidP="008D479B">
      <w:pPr>
        <w:pStyle w:val="TextoNormal"/>
      </w:pPr>
    </w:p>
    <w:p w14:paraId="1739D808" w14:textId="20283AA2" w:rsidR="008D479B" w:rsidRDefault="008D479B" w:rsidP="008D479B">
      <w:pPr>
        <w:pStyle w:val="TextoNormal"/>
      </w:pPr>
      <w:r>
        <w:t>Colige que nada hay en el art. 27 LGCA que pueda considerarse irrazonable o indebidamente restrictivo, en particular, al prever que el no aprovechamiento de espacios reservados al dominio público radioeléctrico para servicios de radiodifusión en un plazo concreto de tiempo tras la aprobación de la planificación correspondiente hace decaer dicha reserva. Tampoco considera que la aplicación del art. 27.4 LGCA incurra en prohibición de irretroactividad porque se proyecte sobre una planificación técnica aprobada con anterioridad a la entrada en vigor de la Ley general de la comunicación audiovisual, concluyendo que “de conformidad con lo dispuesto en el artículo 27.4 de la Ley general de comunicación audiovisual, el transcurso de los plazos estipulados en dicho precepto tras la aprobación de un plan técnico nacional de un servicio de radio o televisión, sin que la administración haya solicitado la afectación al servicio público de radio o televisión de que se trate de la reserva de dominio prevista en el citado plan o se haya convocado concurso para el otorgamiento de licencias, y sin que ningún interesado haya solicitado dicha convocatoria, la reserva de dominio decaerá y será excluida de la planificación. En consecuencia y dados tales presupuestos, la administración no estaría ya obligada a la convocatoria de concurso a solicitud de cualquier interesado hasta que se efectúe una nueva reserva de dominio y se produzca la correspondiente afectación al servicio público de radio o televisión”.</w:t>
      </w:r>
    </w:p>
    <w:p w14:paraId="2E61D4CD" w14:textId="77777777" w:rsidR="008D479B" w:rsidRDefault="008D479B" w:rsidP="008D479B">
      <w:pPr>
        <w:pStyle w:val="TextoNormal"/>
      </w:pPr>
    </w:p>
    <w:p w14:paraId="3C1F0882" w14:textId="77777777" w:rsidR="008D479B" w:rsidRDefault="008D479B" w:rsidP="008D479B">
      <w:pPr>
        <w:pStyle w:val="TextoNormal"/>
      </w:pPr>
      <w:r w:rsidRPr="008D479B">
        <w:rPr>
          <w:rStyle w:val="NumeroAFNegritaCaracter"/>
        </w:rPr>
        <w:t>3</w:t>
      </w:r>
      <w:r>
        <w:t>. En la demanda de amparo se alegan las siguientes vulneraciones constitucionales:</w:t>
      </w:r>
    </w:p>
    <w:p w14:paraId="570ACE59" w14:textId="77777777" w:rsidR="008D479B" w:rsidRDefault="008D479B" w:rsidP="008D479B">
      <w:pPr>
        <w:pStyle w:val="TextoNormal"/>
      </w:pPr>
    </w:p>
    <w:p w14:paraId="1A70AA26" w14:textId="77777777" w:rsidR="008D479B" w:rsidRDefault="008D479B" w:rsidP="008D479B">
      <w:pPr>
        <w:pStyle w:val="TextoNormal"/>
      </w:pPr>
      <w:r>
        <w:t>a) Afirma que la negativa a convocar un concurso público por parte del Gobierno de la Comunidad Autónoma de La Rioja amparándose en el transcurso de un plazo imputable a su propia inactividad y el consiguiente decaimiento de la planificación del espacio radioeléctrico ha imposibilitado el ejercicio de los derechos fundamentales a la libertad de información, comunicación y expresión, en relación con el art. 14 CE, en concreto, de su derecho a crear los medios de comunicación indispensables para el ejercicio del derecho a expresar y difundir libremente los pensamientos, ideas y opiniones mediante la palabra, el escrito o cualquier otro medio de reproducción [art. 20.1 a) CE] y a comunicar o recibir libremente información veraz por cualquier medio de difusión [art. 20.1 d) CE]. Entiende que prevalece el deber de convocar el concurso de adjudicación (art. 27.2 LGCA) sobre el eventual decaimiento de la reserva del espectro radioeléctrico (art. 27.4 LGCA) por lo que ha sido la inacción de la administración pública la causante de que no se haya aprovechado el espectro que el Estado ha otorgado a la comunidad autónoma, lo que invalida el acto recurrido por ser contrario a los derechos invocados. Alega que otras comunidades autónomas han convocado los concursos de licencias más allá del plazo establecido y que la negativa a convocar los concursos de adjudicación de licencias vacantes es incompatible con la Directiva 2018/1972, de 11 de diciembre, por la que se establece el Código europeo de las comunicaciones electrónicas, por crear barreras de acceso al mercado e inutilizar el espectro radioeléctrico.</w:t>
      </w:r>
    </w:p>
    <w:p w14:paraId="7120A4D0" w14:textId="77777777" w:rsidR="008D479B" w:rsidRDefault="008D479B" w:rsidP="008D479B">
      <w:pPr>
        <w:pStyle w:val="TextoNormal"/>
      </w:pPr>
    </w:p>
    <w:p w14:paraId="6E1E6290" w14:textId="77777777" w:rsidR="008D479B" w:rsidRDefault="008D479B" w:rsidP="008D479B">
      <w:pPr>
        <w:pStyle w:val="TextoNormal"/>
      </w:pPr>
      <w:r>
        <w:t>Sostiene también que existe una patente contradicción entre las sentencias del Tribunal Supremo al diferenciar incorrectamente entre licencias de televisión digital y licencias de radiodifusión digital para la protección de los derechos fundamentales.</w:t>
      </w:r>
    </w:p>
    <w:p w14:paraId="173439DD" w14:textId="77777777" w:rsidR="008D479B" w:rsidRDefault="008D479B" w:rsidP="008D479B">
      <w:pPr>
        <w:pStyle w:val="TextoNormal"/>
      </w:pPr>
    </w:p>
    <w:p w14:paraId="382863B1" w14:textId="77777777" w:rsidR="008D479B" w:rsidRDefault="008D479B" w:rsidP="008D479B">
      <w:pPr>
        <w:pStyle w:val="TextoNormal"/>
      </w:pPr>
      <w:r>
        <w:t xml:space="preserve">Añade, en fin, que la negativa a conceder una licencia de radiodifusión infringe el art. 10, apartado 1, del Convenio europeo de derechos humanos (CEDH) y cita las resoluciones del Tribunal Europeo de Derechos Humanos de 20 de octubre de 1997, asunto </w:t>
      </w:r>
      <w:r w:rsidRPr="008D479B">
        <w:rPr>
          <w:i/>
        </w:rPr>
        <w:t>Radio ABC c. Austria</w:t>
      </w:r>
      <w:r>
        <w:t xml:space="preserve">; de 23 de noviembre de 1999, asunto </w:t>
      </w:r>
      <w:r w:rsidRPr="008D479B">
        <w:rPr>
          <w:i/>
        </w:rPr>
        <w:t>Leveque c. Francia</w:t>
      </w:r>
      <w:r>
        <w:t xml:space="preserve">; de 7 de noviembre de 2000, asunto </w:t>
      </w:r>
      <w:r w:rsidRPr="008D479B">
        <w:rPr>
          <w:i/>
        </w:rPr>
        <w:t>United Christian Broadcasters Ltd. c. Reino Unido</w:t>
      </w:r>
      <w:r>
        <w:t xml:space="preserve">; de 11 de octubre de 2007, asunto </w:t>
      </w:r>
      <w:r w:rsidRPr="008D479B">
        <w:rPr>
          <w:i/>
        </w:rPr>
        <w:t>Glas Nadejda EOOD y Elenkov c. Bulgaria</w:t>
      </w:r>
      <w:r>
        <w:t xml:space="preserve">; de 17 de junio de 2008, asunto </w:t>
      </w:r>
      <w:r w:rsidRPr="008D479B">
        <w:rPr>
          <w:i/>
        </w:rPr>
        <w:t>Meltex Ltd. y Movsessian c. Armenia</w:t>
      </w:r>
      <w:r>
        <w:t xml:space="preserve">, así como el dictamen del Comité de Derechos Humanos de Naciones Unidas, de 27 de octubre de 2016, en el caso </w:t>
      </w:r>
      <w:r w:rsidRPr="008D479B">
        <w:rPr>
          <w:i/>
        </w:rPr>
        <w:t>Azagade c. Azerbaiyán</w:t>
      </w:r>
      <w:r>
        <w:t>.</w:t>
      </w:r>
    </w:p>
    <w:p w14:paraId="13C67046" w14:textId="77777777" w:rsidR="008D479B" w:rsidRDefault="008D479B" w:rsidP="008D479B">
      <w:pPr>
        <w:pStyle w:val="TextoNormal"/>
      </w:pPr>
    </w:p>
    <w:p w14:paraId="3D5A615F" w14:textId="6F32A01D" w:rsidR="008D479B" w:rsidRDefault="008D479B" w:rsidP="008D479B">
      <w:pPr>
        <w:pStyle w:val="TextoNormal"/>
      </w:pPr>
      <w:r>
        <w:t>b) En segundo lugar, considera vulnerado el derecho a la igualdad (art. 14 CE), al haberse convocado en otras comunidades autónomas concursos públicos de licencias de comunicación audiovisual. Mantiene que el art. 27.4 LGCA, al tener la consideración de normativa básica, debe aplicarse de forma similar en todo el territorio estatal y la dispar interpretación efectuada por las distintas comunidades autónomas, a juicio de la entidad recurrente, lesiona el art. 14 CE.</w:t>
      </w:r>
    </w:p>
    <w:p w14:paraId="115D484F" w14:textId="77777777" w:rsidR="008D479B" w:rsidRDefault="008D479B" w:rsidP="008D479B">
      <w:pPr>
        <w:pStyle w:val="TextoNormal"/>
      </w:pPr>
    </w:p>
    <w:p w14:paraId="57880323" w14:textId="77777777" w:rsidR="008D479B" w:rsidRDefault="008D479B" w:rsidP="008D479B">
      <w:pPr>
        <w:pStyle w:val="TextoNormal"/>
      </w:pPr>
      <w:r w:rsidRPr="008D479B">
        <w:rPr>
          <w:rStyle w:val="NumeroAFNegritaCaracter"/>
        </w:rPr>
        <w:t>4</w:t>
      </w:r>
      <w:r>
        <w:t>. Por providencia de 10 de octubre de 2022, la Sección Primera del Tribunal Constitucional acordó admitir a trámite la demanda de amparo, al apreciar que concurría en la misma una especial trascendencia constitucional [art. 50.1 de la Ley Orgánica del Tribunal Constitucional (LOTC)] porque el recurso podía dar ocasión al Tribunal para aclarar o cambiar su doctrina, como consecuencia de un proceso de reflexión interna [STC 155/2009, de 25 de junio, FJ 2 b)] y el asunto suscitado trascendía del caso concreto porque plantea una cuestión jurídica de relevante y general repercusión social o económica [STC 155/2009, FJ 2 g)].</w:t>
      </w:r>
    </w:p>
    <w:p w14:paraId="0428EB06" w14:textId="77777777" w:rsidR="008D479B" w:rsidRDefault="008D479B" w:rsidP="008D479B">
      <w:pPr>
        <w:pStyle w:val="TextoNormal"/>
      </w:pPr>
    </w:p>
    <w:p w14:paraId="502CD687" w14:textId="449C9D7C" w:rsidR="008D479B" w:rsidRDefault="008D479B" w:rsidP="008D479B">
      <w:pPr>
        <w:pStyle w:val="TextoNormal"/>
      </w:pPr>
      <w:r>
        <w:t>Asimismo, acordó dar cumplimiento a lo dispuesto en el art. 51 LOTC y formar la correspondiente pieza separada de suspensión, que fue concluida por ATC 172/2022, de 29 de noviembre, en el que se acordó denegar la suspensión cautelar solicitada.</w:t>
      </w:r>
    </w:p>
    <w:p w14:paraId="420A6E6C" w14:textId="77777777" w:rsidR="008D479B" w:rsidRDefault="008D479B" w:rsidP="008D479B">
      <w:pPr>
        <w:pStyle w:val="TextoNormal"/>
      </w:pPr>
    </w:p>
    <w:p w14:paraId="61CE7F4A" w14:textId="046D2332" w:rsidR="008D479B" w:rsidRDefault="008D479B" w:rsidP="008D479B">
      <w:pPr>
        <w:pStyle w:val="TextoNormal"/>
      </w:pPr>
      <w:r w:rsidRPr="008D479B">
        <w:rPr>
          <w:rStyle w:val="NumeroAFNegritaCaracter"/>
        </w:rPr>
        <w:t>5</w:t>
      </w:r>
      <w:r>
        <w:t>. Por diligencia de ordenación de la Secretaría de Justicia de la Sección se tuvo por personada a la Comunidad Autónoma de La Rioja. Y, a tenor de lo dispuesto en el art. 52 LOTC, se dio vista de las actuaciones, por un plazo común de veinte días, al Ministerio Fiscal y a las partes personadas para que dentro de dicho término pudieran presentar las alegaciones que a su derecho conviniera.</w:t>
      </w:r>
    </w:p>
    <w:p w14:paraId="1B7C3F6A" w14:textId="77777777" w:rsidR="008D479B" w:rsidRDefault="008D479B" w:rsidP="008D479B">
      <w:pPr>
        <w:pStyle w:val="TextoNormal"/>
      </w:pPr>
    </w:p>
    <w:p w14:paraId="059A6C81" w14:textId="10413D13" w:rsidR="008D479B" w:rsidRDefault="008D479B" w:rsidP="008D479B">
      <w:pPr>
        <w:pStyle w:val="TextoNormal"/>
      </w:pPr>
      <w:r w:rsidRPr="008D479B">
        <w:rPr>
          <w:rStyle w:val="NumeroAFNegritaCaracter"/>
        </w:rPr>
        <w:t>6</w:t>
      </w:r>
      <w:r>
        <w:t>. La demandante de amparo presentó sus alegaciones mediante escrito registrado el 16 de noviembre de 2022 en el que reiteraba los argumentos expuestos en la demanda.</w:t>
      </w:r>
    </w:p>
    <w:p w14:paraId="2FC250CA" w14:textId="77777777" w:rsidR="008D479B" w:rsidRDefault="008D479B" w:rsidP="008D479B">
      <w:pPr>
        <w:pStyle w:val="TextoNormal"/>
      </w:pPr>
    </w:p>
    <w:p w14:paraId="038A7FF0" w14:textId="7C0F95C2" w:rsidR="008D479B" w:rsidRDefault="008D479B" w:rsidP="008D479B">
      <w:pPr>
        <w:pStyle w:val="TextoNormal"/>
      </w:pPr>
      <w:r w:rsidRPr="008D479B">
        <w:rPr>
          <w:rStyle w:val="NumeroAFNegritaCaracter"/>
        </w:rPr>
        <w:t>7</w:t>
      </w:r>
      <w:r>
        <w:t>. La Comunidad Autónoma de La Rioja, con la representación y asistencia de letrada de su servicio jurídico, presentó sus alegaciones mediante escrito registrado el 14 de diciembre de 2022, en el que rechaza que se hayan vulnerado los derechos invocados en la demanda de amparo.</w:t>
      </w:r>
    </w:p>
    <w:p w14:paraId="48CC14D3" w14:textId="77777777" w:rsidR="008D479B" w:rsidRDefault="008D479B" w:rsidP="008D479B">
      <w:pPr>
        <w:pStyle w:val="TextoNormal"/>
      </w:pPr>
    </w:p>
    <w:p w14:paraId="2493263B" w14:textId="77777777" w:rsidR="008D479B" w:rsidRDefault="008D479B" w:rsidP="008D479B">
      <w:pPr>
        <w:pStyle w:val="TextoNormal"/>
      </w:pPr>
      <w:r w:rsidRPr="008D479B">
        <w:rPr>
          <w:rStyle w:val="NumeroAFNegritaCaracter"/>
        </w:rPr>
        <w:t>8</w:t>
      </w:r>
      <w:r>
        <w:t>. El Ministerio Fiscal presentó sus alegaciones mediante escrito registrado el 22 de diciembre de 2022 en el que solicita la desestimación del recurso de amparo.</w:t>
      </w:r>
    </w:p>
    <w:p w14:paraId="59CDAC0A" w14:textId="77777777" w:rsidR="008D479B" w:rsidRDefault="008D479B" w:rsidP="008D479B">
      <w:pPr>
        <w:pStyle w:val="TextoNormal"/>
      </w:pPr>
    </w:p>
    <w:p w14:paraId="79C67B88" w14:textId="77777777" w:rsidR="008D479B" w:rsidRDefault="008D479B" w:rsidP="008D479B">
      <w:pPr>
        <w:pStyle w:val="TextoNormal"/>
      </w:pPr>
      <w:r>
        <w:t>Descarta, en primer lugar, que se haya producido una vulneración del art. 14 CE, al no existir el término válido de comparación exigido para que se produzca la vulneración, pues no se han dictado las resoluciones por los mismos órganos, ni en el caso del reproche dirigido al Tribunal Supremo concurre la identidad de supuestos exigida.</w:t>
      </w:r>
    </w:p>
    <w:p w14:paraId="56D41109" w14:textId="77777777" w:rsidR="008D479B" w:rsidRDefault="008D479B" w:rsidP="008D479B">
      <w:pPr>
        <w:pStyle w:val="TextoNormal"/>
      </w:pPr>
    </w:p>
    <w:p w14:paraId="2D6B4239" w14:textId="77777777" w:rsidR="008D479B" w:rsidRDefault="008D479B" w:rsidP="008D479B">
      <w:pPr>
        <w:pStyle w:val="TextoNormal"/>
      </w:pPr>
      <w:r>
        <w:t>Rechaza, asimismo, la vulneración del art. 20.1 a) y d) CE al existir una regulación normativa que establece el marco temporal de reserva del espacio radioeléctrico a los efectos de convocar los correspondientes concursos. Entiende que corresponde al legislador una mayor libertad de configuración normativa para disciplinar los soportes técnicos e instrumentos de comunicación, que la que posee al ordenar directamente los derechos fundamentales del art. 20.1 CE. De este modo las resoluciones administrativas y las sentencias que aplican la regulación establecida en este ámbito difícilmente pueden lesionar los derechos invocados.</w:t>
      </w:r>
    </w:p>
    <w:p w14:paraId="30F5C8FB" w14:textId="77777777" w:rsidR="008D479B" w:rsidRDefault="008D479B" w:rsidP="008D479B">
      <w:pPr>
        <w:pStyle w:val="TextoNormal"/>
      </w:pPr>
    </w:p>
    <w:p w14:paraId="53C377AF" w14:textId="1601A4A7" w:rsidR="008D479B" w:rsidRDefault="008D479B" w:rsidP="008D479B">
      <w:pPr>
        <w:pStyle w:val="TextoNormal"/>
      </w:pPr>
      <w:r>
        <w:t xml:space="preserve">Finalmente, considera que las resoluciones del Tribunal Europeo de Derechos Humanos citadas no son aplicables por tratarse de decisiones de inadmisión o, en el caso de la STEDH de 20 de octubre de 1997, asunto </w:t>
      </w:r>
      <w:r w:rsidRPr="008D479B">
        <w:rPr>
          <w:i/>
        </w:rPr>
        <w:t>Radio</w:t>
      </w:r>
      <w:r>
        <w:t xml:space="preserve"> </w:t>
      </w:r>
      <w:r w:rsidRPr="008D479B">
        <w:rPr>
          <w:i/>
        </w:rPr>
        <w:t>ABC c. Austria</w:t>
      </w:r>
      <w:r>
        <w:t>, porque toda la actividad se subordinaba a una concesión del legislador federal que no se produjo, situación que se mantuvo durante tres periodos de tiempo, supuesto distinto al contemplado en la regulación española.</w:t>
      </w:r>
    </w:p>
    <w:p w14:paraId="696202E4" w14:textId="77777777" w:rsidR="008D479B" w:rsidRDefault="008D479B" w:rsidP="008D479B">
      <w:pPr>
        <w:pStyle w:val="TextoNormal"/>
      </w:pPr>
    </w:p>
    <w:p w14:paraId="0DCA7197" w14:textId="2A745B0A" w:rsidR="008D479B" w:rsidRDefault="008D479B" w:rsidP="008D479B">
      <w:pPr>
        <w:pStyle w:val="TextoNormal"/>
      </w:pPr>
      <w:r w:rsidRPr="008D479B">
        <w:rPr>
          <w:rStyle w:val="NumeroAFNegritaCaracter"/>
        </w:rPr>
        <w:t>9</w:t>
      </w:r>
      <w:r>
        <w:t>. Por providencia de 21 de septiembre de 2023 se señaló para la deliberación y votación de la presente sentencia el día 25 del mismo mes y año.</w:t>
      </w:r>
    </w:p>
    <w:p w14:paraId="2F60FACC" w14:textId="77777777" w:rsidR="008D479B" w:rsidRDefault="008D479B" w:rsidP="008D479B">
      <w:pPr>
        <w:pStyle w:val="TextoNormal"/>
      </w:pPr>
    </w:p>
    <w:p w14:paraId="4A9F8C92" w14:textId="77777777" w:rsidR="008D479B" w:rsidRDefault="008D479B" w:rsidP="008D479B">
      <w:pPr>
        <w:pStyle w:val="TextoNormalNegritaCentrado"/>
        <w:keepNext/>
      </w:pPr>
      <w:r>
        <w:t>II. Fundamentos jurídicos</w:t>
      </w:r>
    </w:p>
    <w:p w14:paraId="3CDA4D19" w14:textId="1DCC888F" w:rsidR="008D479B" w:rsidRDefault="008D479B" w:rsidP="008D479B">
      <w:pPr>
        <w:pStyle w:val="TextoNormalNegritaCentrado"/>
        <w:keepNext/>
      </w:pPr>
    </w:p>
    <w:p w14:paraId="64A55E4E" w14:textId="77777777" w:rsidR="008D479B" w:rsidRDefault="008D479B" w:rsidP="008D479B">
      <w:pPr>
        <w:pStyle w:val="TextoNormal"/>
      </w:pPr>
      <w:r w:rsidRPr="008D479B">
        <w:rPr>
          <w:rStyle w:val="NumeroAFNegritaCaracter"/>
        </w:rPr>
        <w:t>1</w:t>
      </w:r>
      <w:r>
        <w:t xml:space="preserve">. </w:t>
      </w:r>
      <w:r w:rsidRPr="008D479B">
        <w:rPr>
          <w:i/>
        </w:rPr>
        <w:t>Objeto del recurso</w:t>
      </w:r>
    </w:p>
    <w:p w14:paraId="5B456000" w14:textId="77777777" w:rsidR="008D479B" w:rsidRDefault="008D479B" w:rsidP="008D479B">
      <w:pPr>
        <w:pStyle w:val="TextoNormal"/>
      </w:pPr>
    </w:p>
    <w:p w14:paraId="6F61B155" w14:textId="0635AE18" w:rsidR="008D479B" w:rsidRDefault="008D479B" w:rsidP="008D479B">
      <w:pPr>
        <w:pStyle w:val="TextoNormal"/>
      </w:pPr>
      <w:r>
        <w:t>El objeto de este recurso es determinar si la resolución de 24 de julio de 2018 de la Consejería de Administración Pública y Hacienda de la Comunidad Autónoma de La Rioja, por la que se desestima el recurso de alzada interpuesto contra la desestimación presunta de la solicitud de 5 de julio de 2018 de convocatoria de concurso público para la adjudicación de las licencias disponibles de comunicación audiovisual de radiodifusión sonora digital terrestre de ámbito local en la citada comunidad autónoma, vulnera los derechos fundamentales a la libertad de información, comunicación y expresión [art. 20.1 a) y d) CE], en relación con el art. 14 CE.</w:t>
      </w:r>
    </w:p>
    <w:p w14:paraId="2D905919" w14:textId="77777777" w:rsidR="008D479B" w:rsidRDefault="008D479B" w:rsidP="008D479B">
      <w:pPr>
        <w:pStyle w:val="TextoNormal"/>
      </w:pPr>
    </w:p>
    <w:p w14:paraId="1EDE5E56" w14:textId="77777777" w:rsidR="008D479B" w:rsidRDefault="008D479B" w:rsidP="008D479B">
      <w:pPr>
        <w:pStyle w:val="TextoNormal"/>
      </w:pPr>
      <w:r w:rsidRPr="008D479B">
        <w:rPr>
          <w:rStyle w:val="NumeroAFNegritaCaracter"/>
        </w:rPr>
        <w:t>2</w:t>
      </w:r>
      <w:r>
        <w:t xml:space="preserve">. </w:t>
      </w:r>
      <w:r w:rsidRPr="008D479B">
        <w:rPr>
          <w:i/>
        </w:rPr>
        <w:t>Remisión a lo resuelto en la STC 89/2023, de 18 de julio</w:t>
      </w:r>
    </w:p>
    <w:p w14:paraId="4C229495" w14:textId="77777777" w:rsidR="008D479B" w:rsidRDefault="008D479B" w:rsidP="008D479B">
      <w:pPr>
        <w:pStyle w:val="TextoNormal"/>
      </w:pPr>
    </w:p>
    <w:p w14:paraId="23E3DEA7" w14:textId="042B3F25" w:rsidR="008D479B" w:rsidRDefault="008D479B" w:rsidP="008D479B">
      <w:pPr>
        <w:pStyle w:val="TextoNormal"/>
      </w:pPr>
      <w:r>
        <w:t>El problema constitucional que se plantea en este proceso de amparo es coincidente con el resuelto en la STC 89/2023, de 18 de julio, que excluyó que la actuación administrativa impugnada, en cuanto denegó la convocatoria del concurso solicitado para la concesión de licencias de prestación de servicios audiovisuales, vulnerara los derechos a expresar y difundir libremente los pensamientos, ideas y opiniones mediante la palabra, el escrito o cualquier otro medio de reproducción [art. 20.1 a) CE] y a comunicar o recibir libremente información veraz por cualquier medio de difusión [art. 20.1 d) CE], en relación con el principio de igualdad (art. 14 CE), lo que determina que, por idénticas razones, proceda desestimar el presente recurso de amparo.</w:t>
      </w:r>
    </w:p>
    <w:p w14:paraId="58EF57E4" w14:textId="77777777" w:rsidR="008D479B" w:rsidRDefault="008D479B" w:rsidP="008D479B">
      <w:pPr>
        <w:pStyle w:val="TextoNormal"/>
      </w:pPr>
    </w:p>
    <w:p w14:paraId="017D9E38" w14:textId="77777777" w:rsidR="008D479B" w:rsidRDefault="008D479B" w:rsidP="008D479B">
      <w:pPr>
        <w:pStyle w:val="TextoNormalCentrado"/>
        <w:keepNext/>
      </w:pPr>
      <w:r>
        <w:t>FALLO</w:t>
      </w:r>
    </w:p>
    <w:p w14:paraId="64E54135" w14:textId="4A0373C8" w:rsidR="008D479B" w:rsidRDefault="008D479B" w:rsidP="008D479B">
      <w:pPr>
        <w:pStyle w:val="TextoNormalCentrado"/>
        <w:keepNext/>
      </w:pPr>
    </w:p>
    <w:p w14:paraId="5B4D84D7" w14:textId="47EE13F5" w:rsidR="008D479B" w:rsidRDefault="008D479B" w:rsidP="008D479B">
      <w:pPr>
        <w:pStyle w:val="TextoNormal"/>
      </w:pPr>
      <w:r>
        <w:t>En atención a todo lo expuesto, el Tribunal Constitucional, por la autoridad que le confiere la Constitución de la Nación española, ha decidido desestimar el recurso de amparo interpuesto por Topanga de Comunicaciones, S.L.</w:t>
      </w:r>
    </w:p>
    <w:p w14:paraId="41183B70" w14:textId="77777777" w:rsidR="008D479B" w:rsidRDefault="008D479B" w:rsidP="008D479B">
      <w:pPr>
        <w:pStyle w:val="TextoNormal"/>
      </w:pPr>
    </w:p>
    <w:p w14:paraId="6DC899C2" w14:textId="77777777" w:rsidR="008D479B" w:rsidRDefault="008D479B" w:rsidP="008D479B">
      <w:pPr>
        <w:pStyle w:val="TextoNormal"/>
      </w:pPr>
      <w:r>
        <w:t>Publíquese esta sentencia en el “Boletín Oficial del Estado”.</w:t>
      </w:r>
    </w:p>
    <w:p w14:paraId="2ABE8DE4" w14:textId="77777777" w:rsidR="008D479B" w:rsidRDefault="008D479B" w:rsidP="008D479B">
      <w:pPr>
        <w:pStyle w:val="TextoNormal"/>
      </w:pPr>
      <w:r>
        <w:t>Dada en Madrid, a veinticinco de septiembre de dos mil veintitrés.</w:t>
      </w:r>
    </w:p>
    <w:p w14:paraId="5CC8D945" w14:textId="43BFA8E1" w:rsidR="008D479B" w:rsidRDefault="008D479B" w:rsidP="008D479B">
      <w:pPr>
        <w:pStyle w:val="ParrafoNormal"/>
      </w:pPr>
    </w:p>
    <w:p w14:paraId="71C37FCE" w14:textId="77777777" w:rsidR="008D479B" w:rsidRDefault="008D479B" w:rsidP="008D479B">
      <w:pPr>
        <w:pStyle w:val="TextoNormalNegritaCentrado"/>
        <w:keepNext/>
      </w:pPr>
      <w:r>
        <w:t>Voto particular concurrente que formula la magistrada doña Concepción Espejel Jorquera a la sentencia dictada en el recurso de amparo número 165-2021</w:t>
      </w:r>
    </w:p>
    <w:p w14:paraId="0839DED6" w14:textId="2F267782" w:rsidR="008D479B" w:rsidRDefault="008D479B" w:rsidP="008D479B">
      <w:pPr>
        <w:pStyle w:val="TextoNormalNegritaCentrado"/>
        <w:keepNext/>
      </w:pPr>
    </w:p>
    <w:p w14:paraId="78ADC3C2" w14:textId="77777777" w:rsidR="008D479B" w:rsidRDefault="008D479B" w:rsidP="008D479B">
      <w:pPr>
        <w:pStyle w:val="TextoNormal"/>
      </w:pPr>
      <w:r>
        <w:t>En el ejercicio de la facultad que me confiere el artículo 90.2 de la Ley Orgánica del Tribunal Constitucional, y con respeto a la opinión de mis compañeros, formulo voto particular concurrente respecto de la sentencia recaída en el presente recurso de amparo, conforme a los argumentos que ya tuve ocasión de exponer durante su deliberación en la Sala remitiéndome al voto particular que formulé a la STC 89/2023, de 18 de julio, a la que se remite la presente resolución.</w:t>
      </w:r>
    </w:p>
    <w:p w14:paraId="3F74DEE4" w14:textId="77777777" w:rsidR="008D479B" w:rsidRDefault="008D479B" w:rsidP="008D479B">
      <w:pPr>
        <w:pStyle w:val="TextoNormal"/>
      </w:pPr>
    </w:p>
    <w:p w14:paraId="22867E45" w14:textId="31A95D3C" w:rsidR="008D479B" w:rsidRDefault="008D479B" w:rsidP="008D479B">
      <w:pPr>
        <w:pStyle w:val="TextoNormal"/>
      </w:pPr>
      <w:r>
        <w:t>Madrid, a veinticinco de septiembre de dos mil veintitrés.</w:t>
      </w:r>
    </w:p>
    <w:p w14:paraId="19A755A4" w14:textId="438D438D" w:rsidR="008D479B" w:rsidRDefault="008D479B">
      <w:pPr>
        <w:spacing w:after="160" w:line="278" w:lineRule="auto"/>
        <w:rPr>
          <w:rFonts w:ascii="Times New Roman" w:eastAsia="Times New Roman" w:hAnsi="Times New Roman" w:cs="Times New Roman"/>
          <w:sz w:val="24"/>
          <w:szCs w:val="24"/>
          <w:lang w:eastAsia="es-ES"/>
        </w:rPr>
      </w:pPr>
      <w:r>
        <w:br w:type="page"/>
      </w:r>
    </w:p>
    <w:p w14:paraId="552AEE4A" w14:textId="77777777" w:rsidR="008D479B" w:rsidRDefault="008D479B" w:rsidP="008D479B">
      <w:pPr>
        <w:pStyle w:val="TtuloResolucin"/>
      </w:pPr>
      <w:bookmarkStart w:id="25" w:name="SENTENCIA_2023_100"/>
      <w:r>
        <w:t>SENTENCIA 100/2023, de 25 de septiembre de 2023</w:t>
      </w:r>
    </w:p>
    <w:bookmarkEnd w:id="25"/>
    <w:p w14:paraId="545C8F34" w14:textId="77777777" w:rsidR="008D479B" w:rsidRDefault="008D479B" w:rsidP="008D479B">
      <w:pPr>
        <w:pStyle w:val="TtuloResolucin"/>
      </w:pPr>
      <w:r>
        <w:t>Sala Segunda</w:t>
      </w:r>
    </w:p>
    <w:p w14:paraId="42251D76" w14:textId="77777777" w:rsidR="008D479B" w:rsidRDefault="008D479B" w:rsidP="008D479B">
      <w:pPr>
        <w:pStyle w:val="TtuloBOE"/>
      </w:pPr>
      <w:r>
        <w:t>(BOE núm. 261, de 1 de noviembre de 2023)</w:t>
      </w:r>
    </w:p>
    <w:p w14:paraId="5682B340" w14:textId="77777777" w:rsidR="008D479B" w:rsidRDefault="008D479B" w:rsidP="008D479B">
      <w:pPr>
        <w:pStyle w:val="TextoNormalCentrado"/>
      </w:pPr>
      <w:r>
        <w:t>ECLI:ES:TC:2023:100</w:t>
      </w:r>
    </w:p>
    <w:p w14:paraId="73B7788C" w14:textId="60988712" w:rsidR="008D479B" w:rsidRDefault="008D479B" w:rsidP="008D479B">
      <w:pPr>
        <w:pStyle w:val="TextoNormalCentrado"/>
      </w:pPr>
    </w:p>
    <w:p w14:paraId="1245A622" w14:textId="77777777" w:rsidR="008D479B" w:rsidRDefault="008D479B" w:rsidP="008D479B">
      <w:pPr>
        <w:pStyle w:val="SntesisDescriptiva"/>
      </w:pPr>
      <w:r>
        <w:t>Recurso de amparo 418-2021. Promovido por la Federación de Asociaciones Culturales Radio Televisión Adventista España respecto de las resoluciones de la Viceconsejería de Comunicación y Relaciones con los Medios de Canarias que rechazaron su solicitud de convocatoria de concurso público para la adjudicación de licencias disponibles de comunicación audiovisual de radiodifusión sonora digital terrestre de ámbito local.</w:t>
      </w:r>
    </w:p>
    <w:p w14:paraId="2235C107" w14:textId="086B2A62" w:rsidR="008D479B" w:rsidRDefault="008D479B" w:rsidP="008D479B">
      <w:pPr>
        <w:pStyle w:val="SntesisDescriptiva"/>
      </w:pPr>
    </w:p>
    <w:p w14:paraId="49699791" w14:textId="77777777" w:rsidR="008D479B" w:rsidRDefault="008D479B" w:rsidP="008D479B">
      <w:pPr>
        <w:pStyle w:val="SntesisAnaltica"/>
      </w:pPr>
      <w:r>
        <w:t>Supuesta vulneración del derecho a la igualdad y a las libertades de expresión e información: STC 89/2023 (resolución administrativa que no resulta desproporcionada y que viene impuesta por la inexistencia de reserva de dominio público radioeléctrico). Voto particular.</w:t>
      </w:r>
    </w:p>
    <w:p w14:paraId="2BCA58A7" w14:textId="03B4C802" w:rsidR="008D479B" w:rsidRDefault="008D479B" w:rsidP="008D479B">
      <w:pPr>
        <w:pStyle w:val="SntesisAnaltica"/>
      </w:pPr>
    </w:p>
    <w:p w14:paraId="534BA91B" w14:textId="4A20633D" w:rsidR="008D479B" w:rsidRDefault="008D479B" w:rsidP="008D479B">
      <w:pPr>
        <w:pStyle w:val="Extracto"/>
      </w:pPr>
      <w:r>
        <w:t>1.</w:t>
      </w:r>
      <w:r>
        <w:tab/>
        <w:t xml:space="preserve">Remisión a la STC 89/2023 que declaró respetados los derechos a expresar y difundir libremente los pensamientos, ideas y opiniones, así como a comunicar o recibir libremente información veraz por cualquier medio de difusión, consagrados en el art. 20.1 a) y d) CE, en relación con el principio de igualdad reconocido en el art. 14 CE, por parte de la actuación administrativa denegatoria de convocatoria de concurso para la concesión de licencias de prestación de servicios audiovisuales </w:t>
      </w:r>
    </w:p>
    <w:p w14:paraId="2D5468EB" w14:textId="77777777" w:rsidR="008D479B" w:rsidRDefault="008D479B" w:rsidP="008D479B">
      <w:pPr>
        <w:pStyle w:val="Extracto"/>
      </w:pPr>
    </w:p>
    <w:p w14:paraId="1B0B21BA" w14:textId="77777777" w:rsidR="008D479B" w:rsidRDefault="008D479B" w:rsidP="008D479B">
      <w:pPr>
        <w:pStyle w:val="Extracto"/>
      </w:pPr>
    </w:p>
    <w:p w14:paraId="625D7432" w14:textId="77777777" w:rsidR="008D479B" w:rsidRDefault="008D479B" w:rsidP="008D479B">
      <w:pPr>
        <w:pStyle w:val="TextoNormal"/>
      </w:pPr>
      <w: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14:paraId="1324D21A" w14:textId="4A7E17A2" w:rsidR="008D479B" w:rsidRDefault="008D479B" w:rsidP="008D479B">
      <w:pPr>
        <w:pStyle w:val="TextoNormal"/>
      </w:pPr>
    </w:p>
    <w:p w14:paraId="764DDD15" w14:textId="77777777" w:rsidR="008D479B" w:rsidRDefault="008D479B" w:rsidP="008D479B">
      <w:pPr>
        <w:pStyle w:val="TextoNormalCentrado"/>
        <w:keepNext/>
      </w:pPr>
      <w:r>
        <w:t>EN NOMBRE DEL REY</w:t>
      </w:r>
    </w:p>
    <w:p w14:paraId="5B36604D" w14:textId="50195139" w:rsidR="008D479B" w:rsidRDefault="008D479B" w:rsidP="008D479B">
      <w:pPr>
        <w:pStyle w:val="TextoNormalCentrado"/>
        <w:keepNext/>
      </w:pPr>
    </w:p>
    <w:p w14:paraId="167222F6" w14:textId="77777777" w:rsidR="008D479B" w:rsidRDefault="008D479B" w:rsidP="008D479B">
      <w:pPr>
        <w:pStyle w:val="TextoNormalCentrado"/>
        <w:keepNext/>
      </w:pPr>
    </w:p>
    <w:p w14:paraId="7357EA7C" w14:textId="77777777" w:rsidR="008D479B" w:rsidRDefault="008D479B" w:rsidP="008D479B">
      <w:pPr>
        <w:pStyle w:val="TextoNormal"/>
      </w:pPr>
      <w:r>
        <w:t>la siguiente</w:t>
      </w:r>
    </w:p>
    <w:p w14:paraId="6BE5D6B4" w14:textId="6B6A980C" w:rsidR="008D479B" w:rsidRDefault="008D479B" w:rsidP="008D479B">
      <w:pPr>
        <w:pStyle w:val="TextoNormal"/>
      </w:pPr>
    </w:p>
    <w:p w14:paraId="10C25ED6" w14:textId="77777777" w:rsidR="008D479B" w:rsidRDefault="008D479B" w:rsidP="008D479B">
      <w:pPr>
        <w:pStyle w:val="TextoNormalCentrado"/>
        <w:keepNext/>
      </w:pPr>
      <w:r>
        <w:t>SENTENCIA</w:t>
      </w:r>
    </w:p>
    <w:p w14:paraId="7DF3EDF1" w14:textId="11FC2273" w:rsidR="008D479B" w:rsidRDefault="008D479B" w:rsidP="008D479B">
      <w:pPr>
        <w:pStyle w:val="TextoNormalCentrado"/>
        <w:keepNext/>
      </w:pPr>
    </w:p>
    <w:p w14:paraId="1F4BBA56" w14:textId="77777777" w:rsidR="008D479B" w:rsidRDefault="008D479B" w:rsidP="008D479B">
      <w:pPr>
        <w:pStyle w:val="TextoNormal"/>
      </w:pPr>
      <w:r>
        <w:t>En el recurso de amparo número 418-2021, promovido por la Federación de Asociaciones Culturales Radio Televisión Adventista España (FACRAE), representada por el procurador de los tribunales don Joaquín Cañibano Martín y asistida por el abogado don Jaime Rodríguez Díez, contra la desestimación por silencio negativo de la solicitud de convocatoria de concurso para la adjudicación de las licencias disponibles de comunicación audiovisual de radiodifusión sonora digital de ámbito local en la Comunidad Autónoma de Canarias y contra la resolución núm. 48/2018, de 10 de julio, de la Viceconsejería de Comunicación y Relaciones con los Medios de Canarias, que acuerda el archivo de la solicitud por haber desaparecido el objeto del procedimiento. Ha comparecido la referida comunidad autónoma y ha intervenido el Ministerio Fiscal. Ha sido ponente el magistrado don Enrique Arnaldo Alcubilla.</w:t>
      </w:r>
    </w:p>
    <w:p w14:paraId="4FFD8E09" w14:textId="25253414" w:rsidR="008D479B" w:rsidRDefault="008D479B" w:rsidP="008D479B">
      <w:pPr>
        <w:pStyle w:val="TextoNormal"/>
      </w:pPr>
    </w:p>
    <w:p w14:paraId="3E9D7662" w14:textId="77777777" w:rsidR="008D479B" w:rsidRDefault="008D479B" w:rsidP="008D479B">
      <w:pPr>
        <w:pStyle w:val="TextoNormalNegritaCentrado"/>
        <w:keepNext/>
      </w:pPr>
      <w:r>
        <w:t>I. Antecedentes</w:t>
      </w:r>
    </w:p>
    <w:p w14:paraId="69E06E16" w14:textId="61EC3AED" w:rsidR="008D479B" w:rsidRDefault="008D479B" w:rsidP="008D479B">
      <w:pPr>
        <w:pStyle w:val="TextoNormalNegritaCentrado"/>
        <w:keepNext/>
      </w:pPr>
    </w:p>
    <w:p w14:paraId="46EE9B85" w14:textId="515B57BF" w:rsidR="008D479B" w:rsidRDefault="008D479B" w:rsidP="008D479B">
      <w:pPr>
        <w:pStyle w:val="TextoNormal"/>
      </w:pPr>
      <w:r w:rsidRPr="008D479B">
        <w:rPr>
          <w:rStyle w:val="NumeroAFNegritaCaracter"/>
        </w:rPr>
        <w:t>1</w:t>
      </w:r>
      <w:r>
        <w:t>. Mediante escrito presentado en el registro general de este tribunal el 25 de enero de 2021, el procurador de los tribunales don Joaquín Cañibano Martín, actuando en nombre y representación de FACRAE, bajo la defensa del letrado don Jaime Rodríguez Díez, interpuso demanda de amparo contra la desestimación presunta arriba mencionada.</w:t>
      </w:r>
    </w:p>
    <w:p w14:paraId="5C678BB6" w14:textId="77777777" w:rsidR="008D479B" w:rsidRDefault="008D479B" w:rsidP="008D479B">
      <w:pPr>
        <w:pStyle w:val="TextoNormal"/>
      </w:pPr>
    </w:p>
    <w:p w14:paraId="0E4BE626" w14:textId="77777777" w:rsidR="008D479B" w:rsidRDefault="008D479B" w:rsidP="008D479B">
      <w:pPr>
        <w:pStyle w:val="TextoNormal"/>
      </w:pPr>
      <w:r w:rsidRPr="008D479B">
        <w:rPr>
          <w:rStyle w:val="NumeroAFNegritaCaracter"/>
        </w:rPr>
        <w:t>2</w:t>
      </w:r>
      <w:r>
        <w:t>. Los hechos con relevancia para la resolución del presente recurso de amparo y a los que se refiere la demanda presentada son los siguientes:</w:t>
      </w:r>
    </w:p>
    <w:p w14:paraId="0A65E919" w14:textId="77777777" w:rsidR="008D479B" w:rsidRDefault="008D479B" w:rsidP="008D479B">
      <w:pPr>
        <w:pStyle w:val="TextoNormal"/>
      </w:pPr>
    </w:p>
    <w:p w14:paraId="647C280B" w14:textId="77777777" w:rsidR="008D479B" w:rsidRDefault="008D479B" w:rsidP="008D479B">
      <w:pPr>
        <w:pStyle w:val="TextoNormal"/>
      </w:pPr>
      <w:r>
        <w:t>a) FACRAE interpuso recurso contencioso-administrativo contra la desestimación por silencio negativo de su solicitud de convocatoria de concurso para la adjudicación de las licencias disponibles de comunicación audiovisual de radiodifusión sonora digital de ámbito local en la Comunidad Autónoma de Canarias y contra la resolución núm. 48/2018, de 10 de julio, de la Viceconsejería de Comunicación y Relaciones con los Medios de Canarias, que acuerda el archivo de la citada solicitud por haber desaparecido el objeto del procedimiento.</w:t>
      </w:r>
    </w:p>
    <w:p w14:paraId="011FC273" w14:textId="77777777" w:rsidR="008D479B" w:rsidRDefault="008D479B" w:rsidP="008D479B">
      <w:pPr>
        <w:pStyle w:val="TextoNormal"/>
      </w:pPr>
    </w:p>
    <w:p w14:paraId="6B460686" w14:textId="77777777" w:rsidR="008D479B" w:rsidRDefault="008D479B" w:rsidP="008D479B">
      <w:pPr>
        <w:pStyle w:val="TextoNormal"/>
      </w:pPr>
      <w:r>
        <w:t>b) La Sección Primera de la Sala de lo Contencioso-Administrativo del Tribunal Superior de Justicia de Canarias, con sede en Santa Cruz de Tenerife, desestimó el recurso interpuesto por sentencia de 2 de septiembre de 2019, al concluir que declarada extinguida la planificación radioeléctrica no cabe exigir la convocatoria de las reservas de dominio público incluidas en la misma al no existir ya reserva ni estar amparada esa posibilidad por la normativa aplicable.</w:t>
      </w:r>
    </w:p>
    <w:p w14:paraId="41D674FD" w14:textId="77777777" w:rsidR="008D479B" w:rsidRDefault="008D479B" w:rsidP="008D479B">
      <w:pPr>
        <w:pStyle w:val="TextoNormal"/>
      </w:pPr>
    </w:p>
    <w:p w14:paraId="78DFBBA0" w14:textId="77777777" w:rsidR="008D479B" w:rsidRDefault="008D479B" w:rsidP="008D479B">
      <w:pPr>
        <w:pStyle w:val="TextoNormal"/>
      </w:pPr>
      <w:r>
        <w:t>c) Frente a dicha sentencia la representación procesal de la entidad ahora recurrente en amparo interpuso recurso de casación, que fue desestimado por sentencia de la Sección Tercera de la Sala de lo Contencioso-Administrativo del Tribunal Supremo de 17 de diciembre de 2020.</w:t>
      </w:r>
    </w:p>
    <w:p w14:paraId="0A779A11" w14:textId="77777777" w:rsidR="008D479B" w:rsidRDefault="008D479B" w:rsidP="008D479B">
      <w:pPr>
        <w:pStyle w:val="TextoNormal"/>
      </w:pPr>
    </w:p>
    <w:p w14:paraId="39B1F73C" w14:textId="77777777" w:rsidR="008D479B" w:rsidRDefault="008D479B" w:rsidP="008D479B">
      <w:pPr>
        <w:pStyle w:val="TextoNormal"/>
      </w:pPr>
      <w:r>
        <w:t>Atendiendo al interés casacional advertido en el auto de admisión a trámite, la sentencia de casación expone la existencia de dos criterios jurisdiccionales distintos entre los diferentes tribunales superiores de justicia y distingue el caso que se le plantea, relativo a las circunstancias de aplicación y a los efectos que los plazos prevenidos en el art. 27.4 de la Ley general de la comunicación audiovisual (LGCA) puedan tener sobre los planes técnicos y sobre la cobertura de las licencias vacantes, de otros examinados por el propio tribunal.</w:t>
      </w:r>
    </w:p>
    <w:p w14:paraId="2A75D8FB" w14:textId="77777777" w:rsidR="008D479B" w:rsidRDefault="008D479B" w:rsidP="008D479B">
      <w:pPr>
        <w:pStyle w:val="TextoNormal"/>
      </w:pPr>
    </w:p>
    <w:p w14:paraId="24606B1D" w14:textId="7FF4FE6C" w:rsidR="008D479B" w:rsidRDefault="008D479B" w:rsidP="008D479B">
      <w:pPr>
        <w:pStyle w:val="TextoNormal"/>
      </w:pPr>
      <w:r>
        <w:t>Colige que nada hay en el art. 27 LGCA que pueda considerarse irrazonable o indebidamente restrictivo, en particular, al prever que el no aprovechamiento de espacios reservados al dominio público radioeléctrico para servicios de radiodifusión en un plazo concreto de tiempo tras la aprobación de la planificación correspondiente hace decaer dicha reserva. Tampoco considera que la aplicación del art. 27.4 LGCA incurra en prohibición de irretroactividad porque se proyecte sobre una planificación técnica aprobada con anterioridad a la entrada en vigor de la Ley general de la comunicación audiovisual, concluyendo que “de conformidad con lo dispuesto en el artículo 27.4 de la Ley general de comunicación audiovisual, el transcurso de los plazos estipulados en dicho precepto tras la aprobación de un plan técnico nacional de un servicio de radio o televisión, sin que la administración haya solicitado la afectación al servicio público de radio o televisión de que se trate de la reserva de dominio prevista en el citado plan o se haya convocado concurso para el otorgamiento de licencias, y sin que ningún interesado haya solicitado dicha convocatoria, la reserva de dominio decaerá y será excluida de la planificación. En consecuencia y dados tales presupuestos, la administración no estaría ya obligada a la convocatoria de concurso a solicitud de cualquier interesado hasta que se efectúe una nueva reserva de dominio y se produzca la correspondiente afectación al servicio público de radio o televisión”.</w:t>
      </w:r>
    </w:p>
    <w:p w14:paraId="231D153B" w14:textId="77777777" w:rsidR="008D479B" w:rsidRDefault="008D479B" w:rsidP="008D479B">
      <w:pPr>
        <w:pStyle w:val="TextoNormal"/>
      </w:pPr>
    </w:p>
    <w:p w14:paraId="34BDA0C6" w14:textId="77777777" w:rsidR="008D479B" w:rsidRDefault="008D479B" w:rsidP="008D479B">
      <w:pPr>
        <w:pStyle w:val="TextoNormal"/>
      </w:pPr>
      <w:r w:rsidRPr="008D479B">
        <w:rPr>
          <w:rStyle w:val="NumeroAFNegritaCaracter"/>
        </w:rPr>
        <w:t>3</w:t>
      </w:r>
      <w:r>
        <w:t>. En la demanda de amparo se alegan las siguientes vulneraciones constitucionales:</w:t>
      </w:r>
    </w:p>
    <w:p w14:paraId="10C7CEF7" w14:textId="77777777" w:rsidR="008D479B" w:rsidRDefault="008D479B" w:rsidP="008D479B">
      <w:pPr>
        <w:pStyle w:val="TextoNormal"/>
      </w:pPr>
    </w:p>
    <w:p w14:paraId="001F558E" w14:textId="77777777" w:rsidR="008D479B" w:rsidRDefault="008D479B" w:rsidP="008D479B">
      <w:pPr>
        <w:pStyle w:val="TextoNormal"/>
      </w:pPr>
      <w:r>
        <w:t>a) Afirma que la negativa a convocar un concurso público por parte del Gobierno de la Comunidad Autónoma de Canarias amparándose en el transcurso de un plazo imputable a su propia inactividad y el consiguiente decaimiento de la planificación del espacio radioeléctrico ha imposibilitado el ejercicio de los derechos fundamentales a la libertad de información, comunicación y expresión, en relación con el art. 14 CE, en concreto, de su derecho a crear los medios de comunicación indispensables para el ejercicio del derecho a expresar y difundir libremente los pensamientos, ideas y opiniones mediante la palabra, el escrito o cualquier otro medio de reproducción [art. 20.1 a) CE] y a comunicar o recibir libremente información veraz por cualquier medio de difusión [art. 20.1 d) CE]. Entiende que prevalece el deber de convocar el concurso de adjudicación (art. 27.2 LGCA) sobre el eventual decaimiento de la reserva del espectro radioeléctrico (art. 27.4 LGCA) por lo que ha sido la inacción de la administración pública la causante de que no se haya aprovechado el espectro que el Estado ha otorgado a la comunidad autónoma, lo que invalida el acto recurrido por ser contrario a los derechos invocados. Alega que otras comunidades autónomas han convocado los concursos de licencias más allá del plazo establecido y que la negativa a convocar los concursos de adjudicación de licencias vacantes es incompatible con la Directiva 2018/1972, de 11 de diciembre, por la que se establece el Código europeo de las comunicaciones electrónicas, por crear barreras de acceso al mercado e inutilizar el espectro radioeléctrico.</w:t>
      </w:r>
    </w:p>
    <w:p w14:paraId="27EA1924" w14:textId="77777777" w:rsidR="008D479B" w:rsidRDefault="008D479B" w:rsidP="008D479B">
      <w:pPr>
        <w:pStyle w:val="TextoNormal"/>
      </w:pPr>
    </w:p>
    <w:p w14:paraId="0996204A" w14:textId="77777777" w:rsidR="008D479B" w:rsidRDefault="008D479B" w:rsidP="008D479B">
      <w:pPr>
        <w:pStyle w:val="TextoNormal"/>
      </w:pPr>
      <w:r>
        <w:t>Sostiene también que existe una patente contradicción entre las sentencias del Tribunal Supremo al diferenciar incorrectamente entre licencias de televisión digital y licencias de radiodifusión digital para la protección de los derechos fundamentales.</w:t>
      </w:r>
    </w:p>
    <w:p w14:paraId="3A5EF8E2" w14:textId="77777777" w:rsidR="008D479B" w:rsidRDefault="008D479B" w:rsidP="008D479B">
      <w:pPr>
        <w:pStyle w:val="TextoNormal"/>
      </w:pPr>
    </w:p>
    <w:p w14:paraId="533F567A" w14:textId="77777777" w:rsidR="008D479B" w:rsidRDefault="008D479B" w:rsidP="008D479B">
      <w:pPr>
        <w:pStyle w:val="TextoNormal"/>
      </w:pPr>
      <w:r>
        <w:t xml:space="preserve">Añade, en fin, que la negativa a conceder una licencia de radiodifusión infringe el art. 10, apartado 1, del Convenio europeo de derechos humanos (CEDH) y cita las resoluciones del Tribunal Europeo de Derechos Humanos de 20 de octubre de 1997, asunto </w:t>
      </w:r>
      <w:r w:rsidRPr="008D479B">
        <w:rPr>
          <w:i/>
        </w:rPr>
        <w:t>Radio ABC c. Austria</w:t>
      </w:r>
      <w:r>
        <w:t xml:space="preserve">; de 23 de noviembre de 1999, asunto </w:t>
      </w:r>
      <w:r w:rsidRPr="008D479B">
        <w:rPr>
          <w:i/>
        </w:rPr>
        <w:t>Leveque c. Francia</w:t>
      </w:r>
      <w:r>
        <w:t xml:space="preserve">; de 7 de noviembre de 2000, asunto </w:t>
      </w:r>
      <w:r w:rsidRPr="008D479B">
        <w:rPr>
          <w:i/>
        </w:rPr>
        <w:t>United Christian Broadcasters Ltd. c. Reino Unido</w:t>
      </w:r>
      <w:r>
        <w:t xml:space="preserve">; de 11 de octubre de 2007, asunto </w:t>
      </w:r>
      <w:r w:rsidRPr="008D479B">
        <w:rPr>
          <w:i/>
        </w:rPr>
        <w:t>Glas Nadejda EOOD y Elenkov c. Bulgaria</w:t>
      </w:r>
      <w:r>
        <w:t xml:space="preserve">; de 17 de junio de 2008, asunto </w:t>
      </w:r>
      <w:r w:rsidRPr="008D479B">
        <w:rPr>
          <w:i/>
        </w:rPr>
        <w:t>Meltex Ltd. y Movsessian c. Armenia</w:t>
      </w:r>
      <w:r>
        <w:t xml:space="preserve">, así como el dictamen del Comité de Derechos Humanos de Naciones Unidas, de 27 de octubre de 2016, en el caso </w:t>
      </w:r>
      <w:r w:rsidRPr="008D479B">
        <w:rPr>
          <w:i/>
        </w:rPr>
        <w:t>Azagade c. Azerbaiyán</w:t>
      </w:r>
      <w:r>
        <w:t>.</w:t>
      </w:r>
    </w:p>
    <w:p w14:paraId="5FA39FAD" w14:textId="77777777" w:rsidR="008D479B" w:rsidRDefault="008D479B" w:rsidP="008D479B">
      <w:pPr>
        <w:pStyle w:val="TextoNormal"/>
      </w:pPr>
    </w:p>
    <w:p w14:paraId="59EC5A48" w14:textId="1B1D377C" w:rsidR="008D479B" w:rsidRDefault="008D479B" w:rsidP="008D479B">
      <w:pPr>
        <w:pStyle w:val="TextoNormal"/>
      </w:pPr>
      <w:r>
        <w:t>b) En segundo lugar, considera vulnerado el derecho a la igualdad (art. 14 CE), al haberse convocado en otras comunidades autónomas concursos públicos de licencias de comunicación audiovisual. Mantiene que el art. 27.4 LGCA, al tener la consideración de normativa básica, debe aplicarse de forma similar en todo el territorio estatal y la dispar interpretación efectuada por las distintas comunidades autónomas, a juicio de la entidad recurrente, lesiona el art. 14 CE.</w:t>
      </w:r>
    </w:p>
    <w:p w14:paraId="02009798" w14:textId="77777777" w:rsidR="008D479B" w:rsidRDefault="008D479B" w:rsidP="008D479B">
      <w:pPr>
        <w:pStyle w:val="TextoNormal"/>
      </w:pPr>
    </w:p>
    <w:p w14:paraId="5C5BCD65" w14:textId="77777777" w:rsidR="008D479B" w:rsidRDefault="008D479B" w:rsidP="008D479B">
      <w:pPr>
        <w:pStyle w:val="TextoNormal"/>
      </w:pPr>
      <w:r w:rsidRPr="008D479B">
        <w:rPr>
          <w:rStyle w:val="NumeroAFNegritaCaracter"/>
        </w:rPr>
        <w:t>4</w:t>
      </w:r>
      <w:r>
        <w:t>. Por providencia de 10 de octubre de 2022, la Sección Cuarta del Tribunal Constitucional acordó admitir a trámite la demanda de amparo, al apreciar que concurría en la misma una especial trascendencia constitucional [art. 50.1 de la Ley Orgánica del Tribunal Constitucional (LOTC)] porque el recurso podía dar ocasión al Tribunal para aclarar o cambiar su doctrina, como consecuencia de un proceso de reflexión interna [STC 155/2009, de 25 de junio, FJ 2 b)] y el asunto suscitado trascendía del caso concreto porque plantea una cuestión jurídica de relevante y general repercusión social o económica [STC 155/2009, FJ 2 g)].</w:t>
      </w:r>
    </w:p>
    <w:p w14:paraId="5BA4A57E" w14:textId="77777777" w:rsidR="008D479B" w:rsidRDefault="008D479B" w:rsidP="008D479B">
      <w:pPr>
        <w:pStyle w:val="TextoNormal"/>
      </w:pPr>
    </w:p>
    <w:p w14:paraId="63EAB86D" w14:textId="4D1E5FAF" w:rsidR="008D479B" w:rsidRDefault="008D479B" w:rsidP="008D479B">
      <w:pPr>
        <w:pStyle w:val="TextoNormal"/>
      </w:pPr>
      <w:r>
        <w:t>Asimismo, acordó dar cumplimiento a lo dispuesto en el art. 51 LOTC y formar la correspondiente pieza separada de suspensión, que fue concluida por ATC 159/2022, de 28 de noviembre, en el que se acordó denegar la suspensión cautelar solicitada.</w:t>
      </w:r>
    </w:p>
    <w:p w14:paraId="1ECBB5CE" w14:textId="77777777" w:rsidR="008D479B" w:rsidRDefault="008D479B" w:rsidP="008D479B">
      <w:pPr>
        <w:pStyle w:val="TextoNormal"/>
      </w:pPr>
    </w:p>
    <w:p w14:paraId="0F2535FF" w14:textId="73CEBBC1" w:rsidR="008D479B" w:rsidRDefault="008D479B" w:rsidP="008D479B">
      <w:pPr>
        <w:pStyle w:val="TextoNormal"/>
      </w:pPr>
      <w:r w:rsidRPr="008D479B">
        <w:rPr>
          <w:rStyle w:val="NumeroAFNegritaCaracter"/>
        </w:rPr>
        <w:t>5</w:t>
      </w:r>
      <w:r>
        <w:t>. Por diligencia de ordenación de la Secretaría de Justicia de la Sección se tuvo por personada a la Comunidad Autónoma de Canarias. Y, a tenor de lo dispuesto en el art. 52 LOTC, se dio vista de las actuaciones, por un plazo común de veinte días, al Ministerio Fiscal y a las partes personadas para que dentro de dicho término pudieran presentar las alegaciones que a su derecho conviniera.</w:t>
      </w:r>
    </w:p>
    <w:p w14:paraId="43AD5054" w14:textId="77777777" w:rsidR="008D479B" w:rsidRDefault="008D479B" w:rsidP="008D479B">
      <w:pPr>
        <w:pStyle w:val="TextoNormal"/>
      </w:pPr>
    </w:p>
    <w:p w14:paraId="5BFCA107" w14:textId="77777777" w:rsidR="008D479B" w:rsidRDefault="008D479B" w:rsidP="008D479B">
      <w:pPr>
        <w:pStyle w:val="TextoNormal"/>
      </w:pPr>
      <w:r w:rsidRPr="008D479B">
        <w:rPr>
          <w:rStyle w:val="NumeroAFNegritaCaracter"/>
        </w:rPr>
        <w:t>6</w:t>
      </w:r>
      <w:r>
        <w:t>. El Ministerio Fiscal presentó sus alegaciones mediante escrito registrado el 7 de febrero de 2023 en el que solicita la desestimación del recurso de amparo.</w:t>
      </w:r>
    </w:p>
    <w:p w14:paraId="5DAB33EE" w14:textId="77777777" w:rsidR="008D479B" w:rsidRDefault="008D479B" w:rsidP="008D479B">
      <w:pPr>
        <w:pStyle w:val="TextoNormal"/>
      </w:pPr>
    </w:p>
    <w:p w14:paraId="5F484664" w14:textId="77777777" w:rsidR="008D479B" w:rsidRDefault="008D479B" w:rsidP="008D479B">
      <w:pPr>
        <w:pStyle w:val="TextoNormal"/>
      </w:pPr>
      <w:r>
        <w:t>Descarta, en primer lugar, que se haya producido una vulneración del art. 14 CE, al no existir el término válido de comparación exigido para que se produzca la vulneración, pues no se han dictado las resoluciones por los mismos órganos, ni en el caso del reproche dirigido al Tribunal Supremo concurre la identidad de supuestos exigida.</w:t>
      </w:r>
    </w:p>
    <w:p w14:paraId="7F774837" w14:textId="77777777" w:rsidR="008D479B" w:rsidRDefault="008D479B" w:rsidP="008D479B">
      <w:pPr>
        <w:pStyle w:val="TextoNormal"/>
      </w:pPr>
    </w:p>
    <w:p w14:paraId="2881976D" w14:textId="77777777" w:rsidR="008D479B" w:rsidRDefault="008D479B" w:rsidP="008D479B">
      <w:pPr>
        <w:pStyle w:val="TextoNormal"/>
      </w:pPr>
      <w:r>
        <w:t>Rechaza, asimismo, la vulneración del art. 20.1 a) y d) CE al existir una regulación normativa que establece el marco temporal de reserva del espacio radioeléctrico a los efectos de convocar los correspondientes concursos. Entiende que corresponde al legislador una mayor libertad de configuración normativa para disciplinar los soportes técnicos e instrumentos de comunicación, que la que posee al ordenar directamente los derechos fundamentales del art. 20.1 CE. De este modo las resoluciones administrativas y las sentencias que aplican la regulación establecida en este ámbito difícilmente pueden lesionar los derechos invocados.</w:t>
      </w:r>
    </w:p>
    <w:p w14:paraId="6A937763" w14:textId="77777777" w:rsidR="008D479B" w:rsidRDefault="008D479B" w:rsidP="008D479B">
      <w:pPr>
        <w:pStyle w:val="TextoNormal"/>
      </w:pPr>
    </w:p>
    <w:p w14:paraId="02A5C304" w14:textId="0ACB1005" w:rsidR="008D479B" w:rsidRDefault="008D479B" w:rsidP="008D479B">
      <w:pPr>
        <w:pStyle w:val="TextoNormal"/>
      </w:pPr>
      <w:r>
        <w:t xml:space="preserve">Finalmente, considera que las resoluciones del Tribunal Europeo de Derechos Humanos citadas no son aplicables por tratarse de decisiones de inadmisión o, en el caso de la STEDH de 20 de octubre de 1997, asunto </w:t>
      </w:r>
      <w:r w:rsidRPr="008D479B">
        <w:rPr>
          <w:i/>
        </w:rPr>
        <w:t>Radio</w:t>
      </w:r>
      <w:r>
        <w:t xml:space="preserve"> </w:t>
      </w:r>
      <w:r w:rsidRPr="008D479B">
        <w:rPr>
          <w:i/>
        </w:rPr>
        <w:t>ABC c. Austria</w:t>
      </w:r>
      <w:r>
        <w:t>, porque toda la actividad se subordinaba a una concesión del legislador federal que no se produjo, situación que se mantuvo durante tres periodos de tiempo, supuesto distinto al contemplado en la regulación española.</w:t>
      </w:r>
    </w:p>
    <w:p w14:paraId="41B12CE7" w14:textId="77777777" w:rsidR="008D479B" w:rsidRDefault="008D479B" w:rsidP="008D479B">
      <w:pPr>
        <w:pStyle w:val="TextoNormal"/>
      </w:pPr>
    </w:p>
    <w:p w14:paraId="3B73391E" w14:textId="4E62FE01" w:rsidR="008D479B" w:rsidRDefault="008D479B" w:rsidP="008D479B">
      <w:pPr>
        <w:pStyle w:val="TextoNormal"/>
      </w:pPr>
      <w:r w:rsidRPr="008D479B">
        <w:rPr>
          <w:rStyle w:val="NumeroAFNegritaCaracter"/>
        </w:rPr>
        <w:t>7</w:t>
      </w:r>
      <w:r>
        <w:t>. Por providencia de 21 de septiembre de 2023 se señaló para deliberación y votación de la presente sentencia el día 25 del mismo mes y año.</w:t>
      </w:r>
    </w:p>
    <w:p w14:paraId="7DFF023A" w14:textId="77777777" w:rsidR="008D479B" w:rsidRDefault="008D479B" w:rsidP="008D479B">
      <w:pPr>
        <w:pStyle w:val="TextoNormal"/>
      </w:pPr>
    </w:p>
    <w:p w14:paraId="7361230C" w14:textId="77777777" w:rsidR="008D479B" w:rsidRDefault="008D479B" w:rsidP="008D479B">
      <w:pPr>
        <w:pStyle w:val="TextoNormalNegritaCentrado"/>
        <w:keepNext/>
      </w:pPr>
      <w:r>
        <w:t>II. Fundamentos jurídicos</w:t>
      </w:r>
    </w:p>
    <w:p w14:paraId="57E8E5A9" w14:textId="1CBF565E" w:rsidR="008D479B" w:rsidRDefault="008D479B" w:rsidP="008D479B">
      <w:pPr>
        <w:pStyle w:val="TextoNormalNegritaCentrado"/>
        <w:keepNext/>
      </w:pPr>
    </w:p>
    <w:p w14:paraId="3795CF9B" w14:textId="77777777" w:rsidR="008D479B" w:rsidRDefault="008D479B" w:rsidP="008D479B">
      <w:pPr>
        <w:pStyle w:val="TextoNormal"/>
      </w:pPr>
      <w:r w:rsidRPr="008D479B">
        <w:rPr>
          <w:rStyle w:val="NumeroAFNegritaCaracter"/>
        </w:rPr>
        <w:t>1</w:t>
      </w:r>
      <w:r>
        <w:t xml:space="preserve">. </w:t>
      </w:r>
      <w:r w:rsidRPr="008D479B">
        <w:rPr>
          <w:i/>
        </w:rPr>
        <w:t>Objeto del recurso</w:t>
      </w:r>
    </w:p>
    <w:p w14:paraId="00565CF7" w14:textId="77777777" w:rsidR="008D479B" w:rsidRDefault="008D479B" w:rsidP="008D479B">
      <w:pPr>
        <w:pStyle w:val="TextoNormal"/>
      </w:pPr>
    </w:p>
    <w:p w14:paraId="1A93B140" w14:textId="39FA83C5" w:rsidR="008D479B" w:rsidRDefault="008D479B" w:rsidP="008D479B">
      <w:pPr>
        <w:pStyle w:val="TextoNormal"/>
      </w:pPr>
      <w:r>
        <w:t>El objeto de este recurso es determinar si la desestimación por silencio negativo de la solicitud de convocatoria de concurso para la adjudicación de las licencias disponibles de comunicación audiovisual de radiodifusión sonora digital de ámbito local en la Comunidad Autónoma de Canarias y la resolución núm. 48/2018, de 10 de julio, de la Viceconsejería de Comunicación y Relaciones con los Medios de Canarias, que acuerda el archivo de la solicitud por haber desaparecido el objeto del procedimiento, vulneran los derechos fundamentales a la libertad de información, comunicación y expresión [art. 20.1 a) y d) CE], en relación con el art. 14 CE.</w:t>
      </w:r>
    </w:p>
    <w:p w14:paraId="7A93676F" w14:textId="77777777" w:rsidR="008D479B" w:rsidRDefault="008D479B" w:rsidP="008D479B">
      <w:pPr>
        <w:pStyle w:val="TextoNormal"/>
      </w:pPr>
    </w:p>
    <w:p w14:paraId="3F04A52F" w14:textId="77777777" w:rsidR="008D479B" w:rsidRDefault="008D479B" w:rsidP="008D479B">
      <w:pPr>
        <w:pStyle w:val="TextoNormal"/>
      </w:pPr>
      <w:r w:rsidRPr="008D479B">
        <w:rPr>
          <w:rStyle w:val="NumeroAFNegritaCaracter"/>
        </w:rPr>
        <w:t>2</w:t>
      </w:r>
      <w:r>
        <w:t xml:space="preserve">. </w:t>
      </w:r>
      <w:r w:rsidRPr="008D479B">
        <w:rPr>
          <w:i/>
        </w:rPr>
        <w:t>Remisión a lo resuelto en la STC 89/2023, de 18 de julio</w:t>
      </w:r>
    </w:p>
    <w:p w14:paraId="679E905A" w14:textId="77777777" w:rsidR="008D479B" w:rsidRDefault="008D479B" w:rsidP="008D479B">
      <w:pPr>
        <w:pStyle w:val="TextoNormal"/>
      </w:pPr>
    </w:p>
    <w:p w14:paraId="44F14334" w14:textId="7B4D39CE" w:rsidR="008D479B" w:rsidRDefault="008D479B" w:rsidP="008D479B">
      <w:pPr>
        <w:pStyle w:val="TextoNormal"/>
      </w:pPr>
      <w:r>
        <w:t>El problema constitucional que se plantea en este proceso de amparo es coincidente con el resuelto en la STC 89/2023, de 18 de julio, que excluyó que la actuación administrativa impugnada, en cuanto denegó la convocatoria del concurso solicitado para la concesión de licencias de prestación de servicios audiovisuales, vulnerara los derechos a expresar y difundir libremente los pensamientos, ideas y opiniones mediante la palabra, el escrito o cualquier otro medio de reproducción [art. 20.1 a) CE] y a comunicar o recibir libremente información veraz por cualquier medio de difusión [art. 20.1 d) CE], en relación con el principio de igualdad (art. 14 CE), lo que determina que, por idénticas razones, proceda desestimar el presente recurso de amparo.</w:t>
      </w:r>
    </w:p>
    <w:p w14:paraId="5359BD36" w14:textId="77777777" w:rsidR="008D479B" w:rsidRDefault="008D479B" w:rsidP="008D479B">
      <w:pPr>
        <w:pStyle w:val="TextoNormal"/>
      </w:pPr>
    </w:p>
    <w:p w14:paraId="3103B273" w14:textId="77777777" w:rsidR="008D479B" w:rsidRDefault="008D479B" w:rsidP="008D479B">
      <w:pPr>
        <w:pStyle w:val="TextoNormalCentrado"/>
        <w:keepNext/>
      </w:pPr>
      <w:r>
        <w:t>FALLO</w:t>
      </w:r>
    </w:p>
    <w:p w14:paraId="43F6DB3C" w14:textId="70456369" w:rsidR="008D479B" w:rsidRDefault="008D479B" w:rsidP="008D479B">
      <w:pPr>
        <w:pStyle w:val="TextoNormalCentrado"/>
        <w:keepNext/>
      </w:pPr>
    </w:p>
    <w:p w14:paraId="44EA80F3" w14:textId="08740729" w:rsidR="008D479B" w:rsidRDefault="008D479B" w:rsidP="008D479B">
      <w:pPr>
        <w:pStyle w:val="TextoNormal"/>
      </w:pPr>
      <w:r>
        <w:t>En atención a todo lo expuesto, el Tribunal Constitucional, por la autoridad que le confiere la Constitución de la Nación española, ha decidido desestimar el recurso de amparo interpuesto por la Federación de Asociaciones Culturales Radio Televisión Adventista España (FACRAE).</w:t>
      </w:r>
    </w:p>
    <w:p w14:paraId="4316FBDF" w14:textId="77777777" w:rsidR="008D479B" w:rsidRDefault="008D479B" w:rsidP="008D479B">
      <w:pPr>
        <w:pStyle w:val="TextoNormal"/>
      </w:pPr>
    </w:p>
    <w:p w14:paraId="0D0D8939" w14:textId="77777777" w:rsidR="008D479B" w:rsidRDefault="008D479B" w:rsidP="008D479B">
      <w:pPr>
        <w:pStyle w:val="TextoNormal"/>
      </w:pPr>
      <w:r>
        <w:t>Publíquese esta sentencia en el “Boletín Oficial del Estado”.</w:t>
      </w:r>
    </w:p>
    <w:p w14:paraId="0C0A47AA" w14:textId="77777777" w:rsidR="008D479B" w:rsidRDefault="008D479B" w:rsidP="008D479B">
      <w:pPr>
        <w:pStyle w:val="TextoNormal"/>
      </w:pPr>
      <w:r>
        <w:t>Dada en Madrid, a veinticinco de septiembre de dos mil veintitrés.</w:t>
      </w:r>
    </w:p>
    <w:p w14:paraId="43E3F30E" w14:textId="5B55F7A4" w:rsidR="008D479B" w:rsidRDefault="008D479B" w:rsidP="008D479B">
      <w:pPr>
        <w:pStyle w:val="ParrafoNormal"/>
      </w:pPr>
    </w:p>
    <w:p w14:paraId="7942F962" w14:textId="77777777" w:rsidR="008D479B" w:rsidRDefault="008D479B" w:rsidP="008D479B">
      <w:pPr>
        <w:pStyle w:val="TextoNormalNegritaCentrado"/>
        <w:keepNext/>
      </w:pPr>
      <w:r>
        <w:t>Voto particular que formula la magistrada doña María Luisa Balaguer Callejón a la sentencia dictada en el recurso de amparo núm. 418-2021</w:t>
      </w:r>
    </w:p>
    <w:p w14:paraId="21C1376E" w14:textId="0C782C2A" w:rsidR="008D479B" w:rsidRDefault="008D479B" w:rsidP="008D479B">
      <w:pPr>
        <w:pStyle w:val="TextoNormalNegritaCentrado"/>
        <w:keepNext/>
      </w:pPr>
    </w:p>
    <w:p w14:paraId="3152FA5C" w14:textId="77777777" w:rsidR="008D479B" w:rsidRDefault="008D479B" w:rsidP="008D479B">
      <w:pPr>
        <w:pStyle w:val="TextoNormal"/>
      </w:pPr>
      <w:r>
        <w:t>Con el mayor respeto al criterio reflejado en la sentencia a que se refiere el encabezamiento y, en ejercicio de la facultad que me confiere el art. 90.2 de la Ley Orgánica del Tribunal Constitucional, manifiesto mi discrepancia con la argumentación y fallo de la sentencia aprobada por la Sala. Por ello, me remito, en su totalidad, al voto particular que realicé a la STC 89/2023, de 18 de julio.</w:t>
      </w:r>
    </w:p>
    <w:p w14:paraId="69B72822" w14:textId="77777777" w:rsidR="008D479B" w:rsidRDefault="008D479B" w:rsidP="008D479B">
      <w:pPr>
        <w:pStyle w:val="TextoNormal"/>
      </w:pPr>
    </w:p>
    <w:p w14:paraId="711581B0" w14:textId="328B82E2" w:rsidR="008D479B" w:rsidRDefault="008D479B" w:rsidP="008D479B">
      <w:pPr>
        <w:pStyle w:val="TextoNormal"/>
      </w:pPr>
      <w:r>
        <w:t>Madrid, a veinticinco de septiembre de dos mil veintitrés.</w:t>
      </w:r>
    </w:p>
    <w:p w14:paraId="1604A5AB" w14:textId="4B543E14" w:rsidR="008D479B" w:rsidRDefault="008D479B">
      <w:pPr>
        <w:spacing w:after="160" w:line="278" w:lineRule="auto"/>
        <w:rPr>
          <w:rFonts w:ascii="Times New Roman" w:eastAsia="Times New Roman" w:hAnsi="Times New Roman" w:cs="Times New Roman"/>
          <w:sz w:val="24"/>
          <w:szCs w:val="24"/>
          <w:lang w:eastAsia="es-ES"/>
        </w:rPr>
      </w:pPr>
      <w:r>
        <w:br w:type="page"/>
      </w:r>
    </w:p>
    <w:p w14:paraId="3B95D919" w14:textId="77777777" w:rsidR="008D479B" w:rsidRDefault="008D479B" w:rsidP="008D479B">
      <w:pPr>
        <w:pStyle w:val="TtuloResolucin"/>
      </w:pPr>
      <w:bookmarkStart w:id="26" w:name="SENTENCIA_2023_101"/>
      <w:r>
        <w:t>SENTENCIA 101/2023, de 25 de septiembre de 2023</w:t>
      </w:r>
    </w:p>
    <w:bookmarkEnd w:id="26"/>
    <w:p w14:paraId="6175CF41" w14:textId="77777777" w:rsidR="008D479B" w:rsidRDefault="008D479B" w:rsidP="008D479B">
      <w:pPr>
        <w:pStyle w:val="TtuloResolucin"/>
      </w:pPr>
      <w:r>
        <w:t>Sala Segunda</w:t>
      </w:r>
    </w:p>
    <w:p w14:paraId="71B1F41A" w14:textId="77777777" w:rsidR="008D479B" w:rsidRDefault="008D479B" w:rsidP="008D479B">
      <w:pPr>
        <w:pStyle w:val="TtuloBOE"/>
      </w:pPr>
      <w:r>
        <w:t>(BOE núm. 261, de 1 de noviembre de 2023)</w:t>
      </w:r>
    </w:p>
    <w:p w14:paraId="485F1AC9" w14:textId="77777777" w:rsidR="008D479B" w:rsidRDefault="008D479B" w:rsidP="008D479B">
      <w:pPr>
        <w:pStyle w:val="TextoNormalCentrado"/>
      </w:pPr>
      <w:r>
        <w:t>ECLI:ES:TC:2023:101</w:t>
      </w:r>
    </w:p>
    <w:p w14:paraId="23883E0A" w14:textId="3CC0B7FC" w:rsidR="008D479B" w:rsidRDefault="008D479B" w:rsidP="008D479B">
      <w:pPr>
        <w:pStyle w:val="TextoNormalCentrado"/>
      </w:pPr>
    </w:p>
    <w:p w14:paraId="10B95825" w14:textId="77777777" w:rsidR="008D479B" w:rsidRDefault="008D479B" w:rsidP="008D479B">
      <w:pPr>
        <w:pStyle w:val="SntesisDescriptiva"/>
      </w:pPr>
      <w:r>
        <w:t>Recurso de amparo 462-2021. Promovido por don Josep María Verdaguer Martí en relación con los autos dictados por la Audiencia Provincial de Girona y un juzgado de instrucción de Figueres que rechazaron la solicitud de declaración de complejidad de la causa penal y denegaron la práctica de diversas diligencias.</w:t>
      </w:r>
    </w:p>
    <w:p w14:paraId="52C1F854" w14:textId="72F3DEDA" w:rsidR="008D479B" w:rsidRDefault="008D479B" w:rsidP="008D479B">
      <w:pPr>
        <w:pStyle w:val="SntesisDescriptiva"/>
      </w:pPr>
    </w:p>
    <w:p w14:paraId="7FBEAC03" w14:textId="77777777" w:rsidR="008D479B" w:rsidRDefault="008D479B" w:rsidP="008D479B">
      <w:pPr>
        <w:pStyle w:val="SntesisAnaltica"/>
      </w:pPr>
      <w:r>
        <w:t>Alegada vulneración de los derechos a la tutela judicial efectiva y a un proceso con todas las garantías: inadmisión del recurso de amparo planteado sin haber agotado la vía judicial previa.</w:t>
      </w:r>
    </w:p>
    <w:p w14:paraId="1EF7D463" w14:textId="249B9563" w:rsidR="008D479B" w:rsidRDefault="008D479B" w:rsidP="008D479B">
      <w:pPr>
        <w:pStyle w:val="SntesisAnaltica"/>
      </w:pPr>
    </w:p>
    <w:p w14:paraId="39A90098" w14:textId="6D5C79F7" w:rsidR="008D479B" w:rsidRDefault="008D479B" w:rsidP="008D479B">
      <w:pPr>
        <w:pStyle w:val="Extracto"/>
      </w:pPr>
      <w:r>
        <w:t>1.</w:t>
      </w:r>
      <w:r>
        <w:tab/>
        <w:t>Se incurre en la causa de inadmisión del recurso de amparo, consistente en la falta de agotamiento de la vía judicial previa [art. 44.1 a) LOTC], cuando el procedimiento penal en el que se ha dictado la resolución impugnada no había finalizado cuando se interpuso la demanda de amparo; sin que tampoco concurra ninguna excepción reconocida por la doctrina de este Tribunal Constitucional (ATC 169/2004;  SSTC 76/2009 o 78/2009), y que hubiera permitido acudir en amparo frente a decisiones dictadas en el marco de un procedimiento penal no finalizado [FJ 3].</w:t>
      </w:r>
    </w:p>
    <w:p w14:paraId="501D18D5" w14:textId="77777777" w:rsidR="008D479B" w:rsidRDefault="008D479B" w:rsidP="008D479B">
      <w:pPr>
        <w:pStyle w:val="Extracto"/>
      </w:pPr>
    </w:p>
    <w:p w14:paraId="6AE9EAB6" w14:textId="77777777" w:rsidR="008D479B" w:rsidRDefault="008D479B" w:rsidP="008D479B">
      <w:pPr>
        <w:pStyle w:val="Extracto"/>
      </w:pPr>
    </w:p>
    <w:p w14:paraId="58A53B5E" w14:textId="77777777" w:rsidR="008D479B" w:rsidRDefault="008D479B" w:rsidP="008D479B">
      <w:pPr>
        <w:pStyle w:val="TextoNormal"/>
      </w:pPr>
      <w: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14:paraId="277E9DAE" w14:textId="5C4EDDF1" w:rsidR="008D479B" w:rsidRDefault="008D479B" w:rsidP="008D479B">
      <w:pPr>
        <w:pStyle w:val="TextoNormal"/>
      </w:pPr>
    </w:p>
    <w:p w14:paraId="05CD47AB" w14:textId="77777777" w:rsidR="008D479B" w:rsidRDefault="008D479B" w:rsidP="008D479B">
      <w:pPr>
        <w:pStyle w:val="TextoNormalCentrado"/>
        <w:keepNext/>
      </w:pPr>
      <w:r>
        <w:t>EN NOMBRE DEL REY</w:t>
      </w:r>
    </w:p>
    <w:p w14:paraId="5E8DBE9D" w14:textId="7ED67ED9" w:rsidR="008D479B" w:rsidRDefault="008D479B" w:rsidP="008D479B">
      <w:pPr>
        <w:pStyle w:val="TextoNormalCentrado"/>
        <w:keepNext/>
      </w:pPr>
    </w:p>
    <w:p w14:paraId="3AC63E9A" w14:textId="77777777" w:rsidR="008D479B" w:rsidRDefault="008D479B" w:rsidP="008D479B">
      <w:pPr>
        <w:pStyle w:val="TextoNormalCentrado"/>
        <w:keepNext/>
      </w:pPr>
    </w:p>
    <w:p w14:paraId="46628207" w14:textId="77777777" w:rsidR="008D479B" w:rsidRDefault="008D479B" w:rsidP="008D479B">
      <w:pPr>
        <w:pStyle w:val="TextoNormal"/>
      </w:pPr>
      <w:r>
        <w:t>la siguiente</w:t>
      </w:r>
    </w:p>
    <w:p w14:paraId="1FAA6AFD" w14:textId="67D736E9" w:rsidR="008D479B" w:rsidRDefault="008D479B" w:rsidP="008D479B">
      <w:pPr>
        <w:pStyle w:val="TextoNormal"/>
      </w:pPr>
    </w:p>
    <w:p w14:paraId="4D48B124" w14:textId="77777777" w:rsidR="008D479B" w:rsidRDefault="008D479B" w:rsidP="008D479B">
      <w:pPr>
        <w:pStyle w:val="TextoNormalCentrado"/>
        <w:keepNext/>
      </w:pPr>
      <w:r>
        <w:t>SENTENCIA</w:t>
      </w:r>
    </w:p>
    <w:p w14:paraId="4048C85B" w14:textId="433B195C" w:rsidR="008D479B" w:rsidRDefault="008D479B" w:rsidP="008D479B">
      <w:pPr>
        <w:pStyle w:val="TextoNormalCentrado"/>
        <w:keepNext/>
      </w:pPr>
    </w:p>
    <w:p w14:paraId="04A526C4" w14:textId="77777777" w:rsidR="008D479B" w:rsidRDefault="008D479B" w:rsidP="008D479B">
      <w:pPr>
        <w:pStyle w:val="TextoNormal"/>
      </w:pPr>
      <w:r>
        <w:t>En el recurso de amparo núm. 462-2021, promovido por don Josep María Verdaguer Martí contra: dos autos dictados por el Juzgado de Instrucción núm. 2 de Figueres en las diligencias previas núm. 580-2018, con fecha de 25 de noviembre de 2019, por los que se denegó la solicitud de declaración de complejidad de la causa y se estimó parcialmente el recurso de reforma contra el auto de 13 de mayo 2019, confirmando la denegación de la práctica de diversas diligencias; dos autos de fecha 15 de septiembre de 2020, dictados por la Sección Tercera de la Audiencia Provincial de Girona, en los recursos de apelación núm. 440-2020 y 441-2020, por los que respectivamente se desestimaron los recursos de apelación interpuestos frente a la denegación de la declaración del carácter complejo de la causa y de la práctica de diversas diligencias testificales; y finalmente, contra otros dos autos de 26 de noviembre de 2020, dictados por la misma Sección, por los que se desestimaron los posteriores incidentes de nulidad interpuestos frente a los dos autos anteriores. Ha intervenido el Ministerio Fiscal. Ha sido ponente el magistrado don César Tolosa Tribiño.</w:t>
      </w:r>
    </w:p>
    <w:p w14:paraId="770B8615" w14:textId="584FB37A" w:rsidR="008D479B" w:rsidRDefault="008D479B" w:rsidP="008D479B">
      <w:pPr>
        <w:pStyle w:val="TextoNormal"/>
      </w:pPr>
    </w:p>
    <w:p w14:paraId="7D1A584E" w14:textId="77777777" w:rsidR="008D479B" w:rsidRDefault="008D479B" w:rsidP="008D479B">
      <w:pPr>
        <w:pStyle w:val="TextoNormalNegritaCentrado"/>
        <w:keepNext/>
      </w:pPr>
      <w:r>
        <w:t>I. Antecedentes</w:t>
      </w:r>
    </w:p>
    <w:p w14:paraId="1C3F7C5D" w14:textId="4A92CEF5" w:rsidR="008D479B" w:rsidRDefault="008D479B" w:rsidP="008D479B">
      <w:pPr>
        <w:pStyle w:val="TextoNormalNegritaCentrado"/>
        <w:keepNext/>
      </w:pPr>
    </w:p>
    <w:p w14:paraId="6362D766" w14:textId="1107AF79" w:rsidR="008D479B" w:rsidRDefault="008D479B" w:rsidP="008D479B">
      <w:pPr>
        <w:pStyle w:val="TextoNormal"/>
      </w:pPr>
      <w:r w:rsidRPr="008D479B">
        <w:rPr>
          <w:rStyle w:val="NumeroAFNegritaCaracter"/>
        </w:rPr>
        <w:t>1</w:t>
      </w:r>
      <w:r>
        <w:t>. Mediante escrito registrado en este tribunal el 26 de enero de 2021, el procurador de los tribunales don Roberto Granizo Palomeque, en nombre y representación de don Josep María Verdaguer Martí, bajo la dirección del abogado don Antonio Cuspinera Ruíz, interpuso recurso de amparo contra las resoluciones que se mencionan en el encabezamiento.</w:t>
      </w:r>
    </w:p>
    <w:p w14:paraId="2424A7C4" w14:textId="77777777" w:rsidR="008D479B" w:rsidRDefault="008D479B" w:rsidP="008D479B">
      <w:pPr>
        <w:pStyle w:val="TextoNormal"/>
      </w:pPr>
    </w:p>
    <w:p w14:paraId="77F9AF7B" w14:textId="77777777" w:rsidR="008D479B" w:rsidRDefault="008D479B" w:rsidP="008D479B">
      <w:pPr>
        <w:pStyle w:val="TextoNormal"/>
      </w:pPr>
      <w:r w:rsidRPr="008D479B">
        <w:rPr>
          <w:rStyle w:val="NumeroAFNegritaCaracter"/>
        </w:rPr>
        <w:t>2</w:t>
      </w:r>
      <w:r>
        <w:t>. Los hechos con relevancia para la resolución del presente recurso de amparo y a los que se refiere la demanda presentada, son los siguientes:</w:t>
      </w:r>
    </w:p>
    <w:p w14:paraId="3825CA7E" w14:textId="77777777" w:rsidR="008D479B" w:rsidRDefault="008D479B" w:rsidP="008D479B">
      <w:pPr>
        <w:pStyle w:val="TextoNormal"/>
      </w:pPr>
    </w:p>
    <w:p w14:paraId="7E37CE84" w14:textId="77777777" w:rsidR="008D479B" w:rsidRDefault="008D479B" w:rsidP="008D479B">
      <w:pPr>
        <w:pStyle w:val="TextoNormal"/>
      </w:pPr>
      <w:r>
        <w:t>a) El recurrente interpuso el 28 de marzo de 2018 una denuncia ante el Juzgado de Instrucción núm. 3 de Terrassa en funciones de guardia, contra la administradora única y el administrador de hecho de la sociedad Grupo de Empresas de Comercio y Ocio 2013, S.L., que en tal condición habían participado en el traspaso de las participaciones de la sociedad y en la celebración de un contrato de franquicia sobre un negocio de restauración, al considerar que la conducta de los denunciados era constitutiva de diversos delitos. Expresaba al final de la denuncia la voluntad de personarse como acusación particular, y consiguientemente solicitaba que se le informara de la instancia y número de procedimiento penal a que diera lugar la denuncia.</w:t>
      </w:r>
    </w:p>
    <w:p w14:paraId="4FDA9593" w14:textId="77777777" w:rsidR="008D479B" w:rsidRDefault="008D479B" w:rsidP="008D479B">
      <w:pPr>
        <w:pStyle w:val="TextoNormal"/>
      </w:pPr>
    </w:p>
    <w:p w14:paraId="07AB580D" w14:textId="77777777" w:rsidR="008D479B" w:rsidRDefault="008D479B" w:rsidP="008D479B">
      <w:pPr>
        <w:pStyle w:val="TextoNormal"/>
      </w:pPr>
      <w:r>
        <w:t>b) La denuncia fue posteriormente repartida al Juzgado de Instrucción núm. 2 de Terrassa, que, por auto de 15 de mayo de 2018, declaró su incompetencia territorial al entender competentes para el conocimiento de los hechos a los juzgados de Figueres, por lo que acordó remitir testimonio de todos los documentos aportados en el pen drive, que quedaba en dicho juzgado hasta que se aceptara la competencia. Mientras tanto, el juzgado acordó recibir declaración al denunciante sobre los hechos, efectuarle el ofrecimiento de acciones e informarle de sus derechos como víctima.</w:t>
      </w:r>
    </w:p>
    <w:p w14:paraId="4890C773" w14:textId="77777777" w:rsidR="008D479B" w:rsidRDefault="008D479B" w:rsidP="008D479B">
      <w:pPr>
        <w:pStyle w:val="TextoNormal"/>
      </w:pPr>
    </w:p>
    <w:p w14:paraId="2A21013B" w14:textId="77777777" w:rsidR="008D479B" w:rsidRDefault="008D479B" w:rsidP="008D479B">
      <w:pPr>
        <w:pStyle w:val="TextoNormal"/>
      </w:pPr>
      <w:r>
        <w:t>c) La inhibición, tras alguna vicisitud procesal referente al reparto de la denuncia interpuesta —resuelta por acuerdo del Juzgado Decano de Figueres— fue aceptada por auto del Juzgado de Primera Instancia e Instrucción núm. 2 de Figueres, de 12 de septiembre de 2018, por el que se exhortó al Juzgado de Instrucción núm. 2 de Terrassa para que le remitiera las diligencias previas.</w:t>
      </w:r>
    </w:p>
    <w:p w14:paraId="59E8707B" w14:textId="77777777" w:rsidR="008D479B" w:rsidRDefault="008D479B" w:rsidP="008D479B">
      <w:pPr>
        <w:pStyle w:val="TextoNormal"/>
      </w:pPr>
    </w:p>
    <w:p w14:paraId="3216940B" w14:textId="77777777" w:rsidR="008D479B" w:rsidRDefault="008D479B" w:rsidP="008D479B">
      <w:pPr>
        <w:pStyle w:val="TextoNormal"/>
      </w:pPr>
      <w:r>
        <w:t>d) El Juzgado de Primera Instancia e Instrucción núm. 2 de Figueres, por providencia de 11 de febrero de 2019 acordó tomar declaración al denunciante como perjudicado. Este solicitó que se le tuviera por personado en las diligencias mediante escrito registrado el 18 de febrero siguiente, y el juzgado de Figueres lo tuvo por personado mediante providencia dictada el 21 de febrero de 2019. Finalmente, el 4 de abril de 2019, se efectuó el ofrecimiento de acciones al perjudicado y se le recibió declaración, ratificándose en la denuncia interpuesta.</w:t>
      </w:r>
    </w:p>
    <w:p w14:paraId="00A841A9" w14:textId="77777777" w:rsidR="008D479B" w:rsidRDefault="008D479B" w:rsidP="008D479B">
      <w:pPr>
        <w:pStyle w:val="TextoNormal"/>
      </w:pPr>
    </w:p>
    <w:p w14:paraId="14EB1394" w14:textId="77777777" w:rsidR="008D479B" w:rsidRDefault="008D479B" w:rsidP="008D479B">
      <w:pPr>
        <w:pStyle w:val="TextoNormal"/>
      </w:pPr>
      <w:r>
        <w:t>e) El recurrente, mediante escrito registrado el 20 de marzo de 2019, solicitó la práctica de determinadas diligencias consistentes en diversas declaraciones testificales, el interrogatorio del otro denunciado y la solicitud de determinada documentación a diversas entidades y al Juzgado de lo Social núm. 1 de Figueres. Asimismo, mediante otro escrito registrado el 3 de abril de 2019, al amparo del art. 324.2 letras c), d) y f) de la Ley de enjuiciamiento criminal (LECrim en adelante), interesó que se declarase el carácter complejo de la instrucción y la prórroga de las actuaciones.</w:t>
      </w:r>
    </w:p>
    <w:p w14:paraId="4AD4E34A" w14:textId="77777777" w:rsidR="008D479B" w:rsidRDefault="008D479B" w:rsidP="008D479B">
      <w:pPr>
        <w:pStyle w:val="TextoNormal"/>
      </w:pPr>
    </w:p>
    <w:p w14:paraId="7F289EE5" w14:textId="77777777" w:rsidR="008D479B" w:rsidRDefault="008D479B" w:rsidP="008D479B">
      <w:pPr>
        <w:pStyle w:val="TextoNormal"/>
      </w:pPr>
      <w:r>
        <w:t>f) Por auto de 13 de mayo de 2019, el Juzgado de Primera Instancia e Instrucción núm. 2 de Figueres, rechazó practicar las testificales solicitadas y dio traslado al Ministerio Fiscal para que informara acerca de la declaración de complejidad de la causa.</w:t>
      </w:r>
    </w:p>
    <w:p w14:paraId="362A3775" w14:textId="77777777" w:rsidR="008D479B" w:rsidRDefault="008D479B" w:rsidP="008D479B">
      <w:pPr>
        <w:pStyle w:val="TextoNormal"/>
      </w:pPr>
    </w:p>
    <w:p w14:paraId="0BCFD27C" w14:textId="77777777" w:rsidR="008D479B" w:rsidRDefault="008D479B" w:rsidP="008D479B">
      <w:pPr>
        <w:pStyle w:val="TextoNormal"/>
      </w:pPr>
      <w:r>
        <w:t>g) El Ministerio Fiscal, mediante escrito de fecha 4 de junio de 2019, solicitó que se considerase compleja la instrucción, indicando que la fase instructora debería concluirse en el plazo de dieciocho meses a contar desde el día 12 de septiembre de 2018.</w:t>
      </w:r>
    </w:p>
    <w:p w14:paraId="7B83BA70" w14:textId="77777777" w:rsidR="008D479B" w:rsidRDefault="008D479B" w:rsidP="008D479B">
      <w:pPr>
        <w:pStyle w:val="TextoNormal"/>
      </w:pPr>
    </w:p>
    <w:p w14:paraId="3EB20A3F" w14:textId="77777777" w:rsidR="008D479B" w:rsidRDefault="008D479B" w:rsidP="008D479B">
      <w:pPr>
        <w:pStyle w:val="TextoNormal"/>
      </w:pPr>
      <w:r>
        <w:t>La representación de la denunciada se opuso a la declaración de complejidad al considerar que el plazo de duración de las diligencias de investigación de seis meses finalizó el 12 de marzo de 2019, por lo que las diligencias acordadas con posterioridad a esa fecha eran nulas. Al propio tiempo solicitó que se dejaran sin efecto las diligencias acordadas por el auto de 13 de mayo de 2019 y se declarara el sobreseimiento de la causa.</w:t>
      </w:r>
    </w:p>
    <w:p w14:paraId="649FB3C3" w14:textId="77777777" w:rsidR="008D479B" w:rsidRDefault="008D479B" w:rsidP="008D479B">
      <w:pPr>
        <w:pStyle w:val="TextoNormal"/>
      </w:pPr>
    </w:p>
    <w:p w14:paraId="048031C6" w14:textId="77777777" w:rsidR="008D479B" w:rsidRDefault="008D479B" w:rsidP="008D479B">
      <w:pPr>
        <w:pStyle w:val="TextoNormal"/>
      </w:pPr>
      <w:r>
        <w:t>h) El recurrente interpuso, mediante escrito fechado el 29 de mayo de 2019, recurso de reforma frente al auto de 13 de mayo de 2019 por la denegación de las diligencias testificales solicitadas, al que se adhirió el Ministerio Fiscal. La representación de la denunciada, por el contrario, se opuso a la práctica de las diligencias denegadas por haber expirado el plazo de investigación de seis meses.</w:t>
      </w:r>
    </w:p>
    <w:p w14:paraId="7E4C1083" w14:textId="77777777" w:rsidR="008D479B" w:rsidRDefault="008D479B" w:rsidP="008D479B">
      <w:pPr>
        <w:pStyle w:val="TextoNormal"/>
      </w:pPr>
    </w:p>
    <w:p w14:paraId="3A836F56" w14:textId="77777777" w:rsidR="008D479B" w:rsidRDefault="008D479B" w:rsidP="008D479B">
      <w:pPr>
        <w:pStyle w:val="TextoNormal"/>
      </w:pPr>
      <w:r>
        <w:t>i) Por sendos autos de 25 de noviembre de 2019, el juzgado de instrucción denegó declarar el carácter complejo de la causa, al entender que no concurría ninguna de las circunstancias del apartado 324.2 LECrim y, por otra parte, estimó parcialmente el recurso de reforma interpuesto y consiguientemente acordó la práctica de dos de las declaraciones testificales solicitadas.</w:t>
      </w:r>
    </w:p>
    <w:p w14:paraId="0FF60ECE" w14:textId="77777777" w:rsidR="008D479B" w:rsidRDefault="008D479B" w:rsidP="008D479B">
      <w:pPr>
        <w:pStyle w:val="TextoNormal"/>
      </w:pPr>
    </w:p>
    <w:p w14:paraId="7931DB9C" w14:textId="77777777" w:rsidR="008D479B" w:rsidRDefault="008D479B" w:rsidP="008D479B">
      <w:pPr>
        <w:pStyle w:val="TextoNormal"/>
      </w:pPr>
      <w:r>
        <w:t>j) El recurrente de amparo interpuso sendos recursos de apelación frente a los anteriores autos, que fueron registrados con los núm. 440-2020 y 441-2020. En el primero de ellos consideró que la denegación del carácter complejo de la causa imposibilitaría la práctica de diligencias cuya necesidad resultase de las diligencias acordadas y no practicadas. En el segundo recurso entendió necesaria la testifical del apoderado de una entidad financiera para acreditar la situación económica de la empresa.</w:t>
      </w:r>
    </w:p>
    <w:p w14:paraId="3A426D12" w14:textId="77777777" w:rsidR="008D479B" w:rsidRDefault="008D479B" w:rsidP="008D479B">
      <w:pPr>
        <w:pStyle w:val="TextoNormal"/>
      </w:pPr>
    </w:p>
    <w:p w14:paraId="7544789A" w14:textId="77777777" w:rsidR="008D479B" w:rsidRDefault="008D479B" w:rsidP="008D479B">
      <w:pPr>
        <w:pStyle w:val="TextoNormal"/>
      </w:pPr>
      <w:r>
        <w:t>También la representación de la denunciada interpuso recurso de apelación frente al auto que estimó parcialmente el recurso de reforma y acordó practicar dos declaraciones testificales. Entendía la denunciada que las diligencias acordadas transcurrido el plazo de seis meses eran extemporáneas y nulas.</w:t>
      </w:r>
    </w:p>
    <w:p w14:paraId="793542E9" w14:textId="77777777" w:rsidR="008D479B" w:rsidRDefault="008D479B" w:rsidP="008D479B">
      <w:pPr>
        <w:pStyle w:val="TextoNormal"/>
      </w:pPr>
    </w:p>
    <w:p w14:paraId="341D9455" w14:textId="77777777" w:rsidR="008D479B" w:rsidRDefault="008D479B" w:rsidP="008D479B">
      <w:pPr>
        <w:pStyle w:val="TextoNormal"/>
      </w:pPr>
      <w:r>
        <w:t>k) Por sendos autos de 15 de septiembre de 2020 la Sección Tercera de la Audiencia Provincial de Girona desestimó los recursos de apelación interpuestos por el recurrente de amparo y estimó el recurso de apelación interpuesto por la denunciada.</w:t>
      </w:r>
    </w:p>
    <w:p w14:paraId="6A6676D8" w14:textId="77777777" w:rsidR="008D479B" w:rsidRDefault="008D479B" w:rsidP="008D479B">
      <w:pPr>
        <w:pStyle w:val="TextoNormal"/>
      </w:pPr>
    </w:p>
    <w:p w14:paraId="37177A8E" w14:textId="77777777" w:rsidR="008D479B" w:rsidRDefault="008D479B" w:rsidP="008D479B">
      <w:pPr>
        <w:pStyle w:val="TextoNormal"/>
      </w:pPr>
      <w:r>
        <w:t>En el primero de los autos considera que la resolución ordenando la práctica de dos declaraciones testificales se dictó una vez agotado el plazo de instrucción, pues la instrucción concluyó como máximo el 12 de marzo de 2019, seis meses después de iniciada, sin que hubiera sido declarada compleja. De modo que las diligencias fueron solicitadas y acordadas cuando el plazo de instrucción había finalizado. De modo que se revoca el auto de 25 de noviembre de 2019 y se dejan sin efecto las diligencias de investigación acordadas.</w:t>
      </w:r>
    </w:p>
    <w:p w14:paraId="23969206" w14:textId="77777777" w:rsidR="008D479B" w:rsidRDefault="008D479B" w:rsidP="008D479B">
      <w:pPr>
        <w:pStyle w:val="TextoNormal"/>
      </w:pPr>
    </w:p>
    <w:p w14:paraId="1930D928" w14:textId="77777777" w:rsidR="008D479B" w:rsidRDefault="008D479B" w:rsidP="008D479B">
      <w:pPr>
        <w:pStyle w:val="TextoNormal"/>
      </w:pPr>
      <w:r>
        <w:t xml:space="preserve">En el segundo de los autos, recogiendo el mismo argumento expuesto en el anterior, indica que el plazo de instrucción había finalizado por lo que la resolución que denegó la declaración de complejidad de la causa se limitó a constatar un hecho sucedido e irreversible. Añade, a los efectos de </w:t>
      </w:r>
      <w:r w:rsidRPr="008D479B">
        <w:rPr>
          <w:i/>
        </w:rPr>
        <w:t>obiter dicta</w:t>
      </w:r>
      <w:r>
        <w:t xml:space="preserve"> que aun aplicando la nueva regulación resultante de la reforma operada por la Ley 2/2020, de 27 de julio —lo que no procedería en tanto que entró en vigor al día siguiente— la instrucción también habría finalizado, pues el plazo de doce meses habría finalizado el 12 de septiembre de 2019, es decir, dos meses antes de dictarse la resolución impugnada.</w:t>
      </w:r>
    </w:p>
    <w:p w14:paraId="7593EC3E" w14:textId="77777777" w:rsidR="008D479B" w:rsidRDefault="008D479B" w:rsidP="008D479B">
      <w:pPr>
        <w:pStyle w:val="TextoNormal"/>
      </w:pPr>
    </w:p>
    <w:p w14:paraId="52AB4B82" w14:textId="77777777" w:rsidR="008D479B" w:rsidRDefault="008D479B" w:rsidP="008D479B">
      <w:pPr>
        <w:pStyle w:val="TextoNormal"/>
      </w:pPr>
      <w:r>
        <w:t>l) Recibidos en el juzgado el testimonio de los anteriores autos dictados por la Audiencia Provincial, el Juzgado de Primera Instancia e Instrucción núm. 2 de Figueres dictó el 16 de octubre de 2020, auto acordando el sobreseimiento provisional de las actuaciones.</w:t>
      </w:r>
    </w:p>
    <w:p w14:paraId="1906824B" w14:textId="77777777" w:rsidR="008D479B" w:rsidRDefault="008D479B" w:rsidP="008D479B">
      <w:pPr>
        <w:pStyle w:val="TextoNormal"/>
      </w:pPr>
    </w:p>
    <w:p w14:paraId="137349FE" w14:textId="77777777" w:rsidR="008D479B" w:rsidRDefault="008D479B" w:rsidP="008D479B">
      <w:pPr>
        <w:pStyle w:val="TextoNormal"/>
      </w:pPr>
      <w:r>
        <w:t>En la fundamentación se refiere a las personas que intervinieron previamente a la firma de los contratos de traspaso de participaciones del Grupo de Empresas de Comercio y Ocio 2013, S.L. y a la celebración del contrato de franquicia. Refiere que el denunciante estaba asesorado y que le fue facilitada la documentación del establecimiento que iba a explotar, así como que tomó conocimiento de la actividad del mismo a través de diversas visitas, por lo que descarta que concurriera el engaño exigido para que pudiera haberse cometido el delito de estafa denunciado.</w:t>
      </w:r>
    </w:p>
    <w:p w14:paraId="6090CCED" w14:textId="77777777" w:rsidR="008D479B" w:rsidRDefault="008D479B" w:rsidP="008D479B">
      <w:pPr>
        <w:pStyle w:val="TextoNormal"/>
      </w:pPr>
    </w:p>
    <w:p w14:paraId="0F4DAE61" w14:textId="77777777" w:rsidR="008D479B" w:rsidRDefault="008D479B" w:rsidP="008D479B">
      <w:pPr>
        <w:pStyle w:val="TextoNormal"/>
      </w:pPr>
      <w:r>
        <w:t>m) El recurrente interpuso el 29 de octubre de 2020 un recurso de reforma contra el auto del juzgado de instrucción por el que se acordaba el sobreseimiento provisional. Debe indicarse que a la fecha de interposición del recurso se encontraban pendientes de tramitar sendos incidentes de nulidad de actuaciones —a los que nos referiremos en las dos letras siguientes— interpuestos el 20 de octubre de 2020 contra los dos autos dictados por la Audiencia Provincial en los recursos de apelación núm. 440-2020 y 441-2020.</w:t>
      </w:r>
    </w:p>
    <w:p w14:paraId="2F5CFD29" w14:textId="77777777" w:rsidR="008D479B" w:rsidRDefault="008D479B" w:rsidP="008D479B">
      <w:pPr>
        <w:pStyle w:val="TextoNormal"/>
      </w:pPr>
    </w:p>
    <w:p w14:paraId="69D8B951" w14:textId="77777777" w:rsidR="008D479B" w:rsidRDefault="008D479B" w:rsidP="008D479B">
      <w:pPr>
        <w:pStyle w:val="TextoNormal"/>
      </w:pPr>
      <w:r>
        <w:t>Alegaba en el recurso de reforma que había interpuesto incidente de nulidad de actuaciones contra los autos de la Audiencia Provincial que denegaron las pruebas testificales ya admitidas y confirmaron la denegación de las solicitadas y en los que también se había decidido que el plazo de los seis meses de duración de la instrucción había trascurrido cuando se solicitaron tales diligencias. Entiende que las manifestaciones de la Audiencia Provincial son erróneas al inaplicar los preceptos de la Ley de enjuiciamiento civil (LEC, en adelante) que hubieran llevado a considerar que el día inicial del cómputo del plazo era el 11 de febrero de 2019, por lo que debía esperarse a que se resolviera el incidente de nulidad.</w:t>
      </w:r>
    </w:p>
    <w:p w14:paraId="51620838" w14:textId="77777777" w:rsidR="008D479B" w:rsidRDefault="008D479B" w:rsidP="008D479B">
      <w:pPr>
        <w:pStyle w:val="TextoNormal"/>
      </w:pPr>
    </w:p>
    <w:p w14:paraId="00BC0FAE" w14:textId="77777777" w:rsidR="008D479B" w:rsidRDefault="008D479B" w:rsidP="008D479B">
      <w:pPr>
        <w:pStyle w:val="TextoNormal"/>
      </w:pPr>
      <w:r>
        <w:t>Añade que el plazo de instrucción se ha ampliado a doce meses y que debería haberse aplicado en tanto que la decisión de sobreseimiento ha sido posterior, por lo que sería procedente declarar la complejidad y practicar todas las diligencias de prueba solicitadas.</w:t>
      </w:r>
    </w:p>
    <w:p w14:paraId="52F4C249" w14:textId="77777777" w:rsidR="008D479B" w:rsidRDefault="008D479B" w:rsidP="008D479B">
      <w:pPr>
        <w:pStyle w:val="TextoNormal"/>
      </w:pPr>
    </w:p>
    <w:p w14:paraId="6BAC77B0" w14:textId="77777777" w:rsidR="008D479B" w:rsidRDefault="008D479B" w:rsidP="008D479B">
      <w:pPr>
        <w:pStyle w:val="TextoNormal"/>
      </w:pPr>
      <w:r>
        <w:t>Por otra parte, expone su discrepancia sobre la declarada inexistencia de los delitos denunciados e insiste en la indefensión que le produce la determinación del día inicial del cómputo del plazo de seis meses de duración de la investigación. Solicita que se dicte auto de continuación del procedimiento por los trámites del abreviado y se revoque el sobreseimiento provisional.</w:t>
      </w:r>
    </w:p>
    <w:p w14:paraId="7851C0E8" w14:textId="77777777" w:rsidR="008D479B" w:rsidRDefault="008D479B" w:rsidP="008D479B">
      <w:pPr>
        <w:pStyle w:val="TextoNormal"/>
      </w:pPr>
    </w:p>
    <w:p w14:paraId="50E2BB63" w14:textId="77777777" w:rsidR="008D479B" w:rsidRDefault="008D479B" w:rsidP="008D479B">
      <w:pPr>
        <w:pStyle w:val="TextoNormal"/>
      </w:pPr>
      <w:r>
        <w:t>No consta en las actuaciones remitidas la resolución de dicho recurso de reforma y del eventual recurso de apelación.</w:t>
      </w:r>
    </w:p>
    <w:p w14:paraId="7D1CA16D" w14:textId="77777777" w:rsidR="008D479B" w:rsidRDefault="008D479B" w:rsidP="008D479B">
      <w:pPr>
        <w:pStyle w:val="TextoNormal"/>
      </w:pPr>
    </w:p>
    <w:p w14:paraId="4C0EF806" w14:textId="77777777" w:rsidR="008D479B" w:rsidRDefault="008D479B" w:rsidP="008D479B">
      <w:pPr>
        <w:pStyle w:val="TextoNormal"/>
      </w:pPr>
      <w:r>
        <w:t>n) Como se ha adelantado, la representación del recurrente en amparo interpuso el 20 de octubre de 2020 sendos incidentes de nulidad de actuaciones, frente a los dos autos dictados por la Sección Tercera de la Audiencia Provincial de Girona, en los recursos de apelación 440-2020 y 441-2020.</w:t>
      </w:r>
    </w:p>
    <w:p w14:paraId="46E9438A" w14:textId="77777777" w:rsidR="008D479B" w:rsidRDefault="008D479B" w:rsidP="008D479B">
      <w:pPr>
        <w:pStyle w:val="TextoNormal"/>
      </w:pPr>
    </w:p>
    <w:p w14:paraId="3BDC6312" w14:textId="77777777" w:rsidR="008D479B" w:rsidRDefault="008D479B" w:rsidP="008D479B">
      <w:pPr>
        <w:pStyle w:val="TextoNormal"/>
      </w:pPr>
      <w:r>
        <w:t xml:space="preserve">El recurrente considera que el </w:t>
      </w:r>
      <w:r w:rsidRPr="008D479B">
        <w:rPr>
          <w:i/>
        </w:rPr>
        <w:t>dies a quo</w:t>
      </w:r>
      <w:r>
        <w:t xml:space="preserve"> del cómputo del plazo de instrucción es el 11 de enero de 2019 fecha en que el juzgado de primera instancia e instrucción acusó recibo de los autos remitidos por el juzgado de instrucción mediante USB, por lo que el plazo de instrucción finalizó el 11 de septiembre de 2019, habiéndose solicitado la práctica de las diligencias el 20 de marzo de 2019.</w:t>
      </w:r>
    </w:p>
    <w:p w14:paraId="51E623AF" w14:textId="77777777" w:rsidR="008D479B" w:rsidRDefault="008D479B" w:rsidP="008D479B">
      <w:pPr>
        <w:pStyle w:val="TextoNormal"/>
      </w:pPr>
    </w:p>
    <w:p w14:paraId="34F9227B" w14:textId="77777777" w:rsidR="008D479B" w:rsidRDefault="008D479B" w:rsidP="008D479B">
      <w:pPr>
        <w:pStyle w:val="TextoNormal"/>
      </w:pPr>
      <w:r>
        <w:t>Por otra parte, entiende que es procedente declarar la complejidad de la causa. Añade que el plazo de seis meses solo pudo comenzar a computarse cuando el perjudicado fue informado de la iniciación del procedimiento, pues en otro caso se vulneraría el derecho a la tutela judicial efectiva.</w:t>
      </w:r>
    </w:p>
    <w:p w14:paraId="7B573DB5" w14:textId="77777777" w:rsidR="008D479B" w:rsidRDefault="008D479B" w:rsidP="008D479B">
      <w:pPr>
        <w:pStyle w:val="TextoNormal"/>
      </w:pPr>
    </w:p>
    <w:p w14:paraId="79CFAF13" w14:textId="77777777" w:rsidR="008D479B" w:rsidRDefault="008D479B" w:rsidP="008D479B">
      <w:pPr>
        <w:pStyle w:val="TextoNormal"/>
      </w:pPr>
      <w:r>
        <w:t>ñ) La Sección Tercera de la Audiencia Provincial de Girona, por sendos autos de 26 de noviembre de 2020, dictados en los rollos de los recursos de apelación núm. 440-2020 y 441-2020, y notificados a la representación procesal del recurrente el 3 de diciembre de 2020, desestimó los incidentes de nulidad de actuaciones.</w:t>
      </w:r>
    </w:p>
    <w:p w14:paraId="4F8C04C0" w14:textId="77777777" w:rsidR="008D479B" w:rsidRDefault="008D479B" w:rsidP="008D479B">
      <w:pPr>
        <w:pStyle w:val="TextoNormal"/>
      </w:pPr>
    </w:p>
    <w:p w14:paraId="197F6AC5" w14:textId="77777777" w:rsidR="008D479B" w:rsidRDefault="008D479B" w:rsidP="008D479B">
      <w:pPr>
        <w:pStyle w:val="TextoNormal"/>
      </w:pPr>
      <w:r>
        <w:t>La Sección Tercera argumenta que admitir la tesis del recurrente determinaría la nulidad de la totalidad de las diligencias de investigación que hubiera podido realizar el juzgado que se inhibió, al haberse practicado, según la tesis del recurrente, antes de dar inicio a la instrucción de la causa. Rechaza, por otra parte, que se le haya causado indefensión al haberse aplicado literalmente el art. 324.1 LECrim.</w:t>
      </w:r>
    </w:p>
    <w:p w14:paraId="6E2F583D" w14:textId="77777777" w:rsidR="008D479B" w:rsidRDefault="008D479B" w:rsidP="008D479B">
      <w:pPr>
        <w:pStyle w:val="TextoNormal"/>
      </w:pPr>
    </w:p>
    <w:p w14:paraId="45945B30" w14:textId="5751F39B" w:rsidR="008D479B" w:rsidRDefault="008D479B" w:rsidP="008D479B">
      <w:pPr>
        <w:pStyle w:val="TextoNormal"/>
      </w:pPr>
      <w:r>
        <w:t>o) Consta en las actuaciones la unión, meses después de interponer el recurso de amparo, de un informe del Ministerio Fiscal de fecha 16 de junio de 2021 en el que interesa el sobreseimiento libre de las actuaciones, “pues de la denuncia, la documental aportada por las partes obrante en las actuaciones y de la declaración prestada por las partes no se aprecia la existencia de hechos que revistan carácter delictivo alguno”.</w:t>
      </w:r>
    </w:p>
    <w:p w14:paraId="32CA059A" w14:textId="77777777" w:rsidR="008D479B" w:rsidRDefault="008D479B" w:rsidP="008D479B">
      <w:pPr>
        <w:pStyle w:val="TextoNormal"/>
      </w:pPr>
    </w:p>
    <w:p w14:paraId="55BC3FEC" w14:textId="77777777" w:rsidR="008D479B" w:rsidRDefault="008D479B" w:rsidP="008D479B">
      <w:pPr>
        <w:pStyle w:val="TextoNormal"/>
      </w:pPr>
      <w:r w:rsidRPr="008D479B">
        <w:rPr>
          <w:rStyle w:val="NumeroAFNegritaCaracter"/>
        </w:rPr>
        <w:t>3</w:t>
      </w:r>
      <w:r>
        <w:t>. La demanda identifica las resoluciones judiciales impugnadas y expone los antecedentes que considera relevantes para sustentar la vulneración del derecho fundamental invocado.</w:t>
      </w:r>
    </w:p>
    <w:p w14:paraId="705508BE" w14:textId="77777777" w:rsidR="008D479B" w:rsidRDefault="008D479B" w:rsidP="008D479B">
      <w:pPr>
        <w:pStyle w:val="TextoNormal"/>
      </w:pPr>
    </w:p>
    <w:p w14:paraId="1DC2A14E" w14:textId="77777777" w:rsidR="008D479B" w:rsidRDefault="008D479B" w:rsidP="008D479B">
      <w:pPr>
        <w:pStyle w:val="TextoNormal"/>
      </w:pPr>
      <w:r>
        <w:t>a) Destaca que formuló la denuncia en el Juzgado de Guardia de Terrassa el 28 de marzo de 2018 y solicitó que al ser perjudicado se le diera traslado de la incoación del procedimiento para poder ejercitar sus derechos. Dicho juzgado dictó el 15 de mayo de 2018 auto de inhibición, sin haber llegado a incoar “el proceso de diligencias preliminares” y sin informar al denunciante.</w:t>
      </w:r>
    </w:p>
    <w:p w14:paraId="3FD1B873" w14:textId="77777777" w:rsidR="008D479B" w:rsidRDefault="008D479B" w:rsidP="008D479B">
      <w:pPr>
        <w:pStyle w:val="TextoNormal"/>
      </w:pPr>
    </w:p>
    <w:p w14:paraId="5010A93D" w14:textId="77777777" w:rsidR="008D479B" w:rsidRDefault="008D479B" w:rsidP="008D479B">
      <w:pPr>
        <w:pStyle w:val="TextoNormal"/>
      </w:pPr>
      <w:r>
        <w:t>El 12 de septiembre de 2018 el Juzgado de Instrucción núm. 2 de Figueres dicto auto de incoación de las diligencias previas núm. 508-2018 y exhortó al Juzgado de Terrassa para que le remitiera los autos en esa misma fecha. Los autos se recibieron el 26 de octubre de 2018, acusando recibo de su recepción el juzgado de Figueres el 11 de enero de 2019.</w:t>
      </w:r>
    </w:p>
    <w:p w14:paraId="764A2C29" w14:textId="77777777" w:rsidR="008D479B" w:rsidRDefault="008D479B" w:rsidP="008D479B">
      <w:pPr>
        <w:pStyle w:val="TextoNormal"/>
      </w:pPr>
    </w:p>
    <w:p w14:paraId="5D122A7A" w14:textId="77777777" w:rsidR="008D479B" w:rsidRDefault="008D479B" w:rsidP="008D479B">
      <w:pPr>
        <w:pStyle w:val="TextoNormal"/>
      </w:pPr>
      <w:r>
        <w:t>El juzgado de Figueres citó al recurrente para que acudiera a declarar en fecha 18 de febrero de 2019 y una vez tuvo acceso al expediente a finales de marzo, el 3 de abril de 2019 solicitó la declaración de complejidad de la causa.</w:t>
      </w:r>
    </w:p>
    <w:p w14:paraId="66460F7B" w14:textId="77777777" w:rsidR="008D479B" w:rsidRDefault="008D479B" w:rsidP="008D479B">
      <w:pPr>
        <w:pStyle w:val="TextoNormal"/>
      </w:pPr>
    </w:p>
    <w:p w14:paraId="51AA50B2" w14:textId="77777777" w:rsidR="008D479B" w:rsidRDefault="008D479B" w:rsidP="008D479B">
      <w:pPr>
        <w:pStyle w:val="TextoNormal"/>
      </w:pPr>
      <w:r>
        <w:t>A continuación, sintetiza el resto de los hechos a los que se ha aludido en el antecedente anterior.</w:t>
      </w:r>
    </w:p>
    <w:p w14:paraId="62DADC84" w14:textId="77777777" w:rsidR="008D479B" w:rsidRDefault="008D479B" w:rsidP="008D479B">
      <w:pPr>
        <w:pStyle w:val="TextoNormal"/>
      </w:pPr>
    </w:p>
    <w:p w14:paraId="2F655092" w14:textId="77777777" w:rsidR="008D479B" w:rsidRDefault="008D479B" w:rsidP="008D479B">
      <w:pPr>
        <w:pStyle w:val="TextoNormal"/>
      </w:pPr>
      <w:r>
        <w:t>b) Afirma que las resoluciones impugnadas han vulnerado el principio de legalidad y sujeción al ordenamiento jurídico (art. 9.1, 9.3 y 10.1 CE), así como el derecho a la tutela judicial efectiva y a un proceso con todas las garantías (art. 24.1 y 2 CE), causando indefensión al perjudicado, siendo para el recurrente relevante que el Tribunal se pronuncie acerca de la vulneración de dichas normas y jurisprudencia, preceptos y derechos fundamentales, resolviendo acerca de la infracción del procedimiento por parte del juzgado de instrucción y de la Audiencia Provincial, al no amparar el derecho aplicable ni la interpretación normativa acorde con los principios constitucionales de legalidad y tutela judicial efectiva.</w:t>
      </w:r>
    </w:p>
    <w:p w14:paraId="4DA70225" w14:textId="77777777" w:rsidR="008D479B" w:rsidRDefault="008D479B" w:rsidP="008D479B">
      <w:pPr>
        <w:pStyle w:val="TextoNormal"/>
      </w:pPr>
    </w:p>
    <w:p w14:paraId="187C45A5" w14:textId="77777777" w:rsidR="008D479B" w:rsidRDefault="008D479B" w:rsidP="008D479B">
      <w:pPr>
        <w:pStyle w:val="TextoNormal"/>
      </w:pPr>
      <w:r>
        <w:t>c) A continuación se refiere a los arts. 133.1 y 151.3 LEC y conforme a los mismos, que considera de aplicación supletoria (art. 4 LEC), el inicio del cómputo del plazo de instrucción no puede producirse hasta el 11 de enero de 2019 —en que el juzgado de instrucción de Figueres acusa recibo de la recepción del USB procedente el juzgado de instrucción de Terrassa por lo que el plazo de instrucción finalizaría el 11 de julio de 2019— o, en su caso, tomando en consideración la fecha del 26 de octubre de 2018 —en que se recibió efectivamente el referido USB—, en cuyo caso, el plazo de instrucción hubiera finalizado el 26 de abril de 2019.</w:t>
      </w:r>
    </w:p>
    <w:p w14:paraId="7C9CBB8D" w14:textId="77777777" w:rsidR="008D479B" w:rsidRDefault="008D479B" w:rsidP="008D479B">
      <w:pPr>
        <w:pStyle w:val="TextoNormal"/>
      </w:pPr>
    </w:p>
    <w:p w14:paraId="0ACEBB33" w14:textId="77777777" w:rsidR="008D479B" w:rsidRDefault="008D479B" w:rsidP="008D479B">
      <w:pPr>
        <w:pStyle w:val="TextoNormal"/>
      </w:pPr>
      <w:r>
        <w:t>Considera que la incoación de la causa no puede tener efectos para las partes hasta que les sea notificado el auto de incoación, siendo contrario a la tutela judicial efectiva considerar que puede transcurrir el plazo de seis meses de instrucción sin haber notificado el plazo de incoación a la parte perjudicada. Afirma que el Ministerio Fiscal infringió el art. 773.1 LECrim., por lo que subsidiariamente debería declararse la infracción por el Ministerio Fiscal del derecho a la tutela judicial efectiva.</w:t>
      </w:r>
    </w:p>
    <w:p w14:paraId="18CC786F" w14:textId="77777777" w:rsidR="008D479B" w:rsidRDefault="008D479B" w:rsidP="008D479B">
      <w:pPr>
        <w:pStyle w:val="TextoNormal"/>
      </w:pPr>
    </w:p>
    <w:p w14:paraId="0C114994" w14:textId="459C173F" w:rsidR="008D479B" w:rsidRDefault="008D479B" w:rsidP="008D479B">
      <w:pPr>
        <w:pStyle w:val="TextoNormal"/>
      </w:pPr>
      <w:r>
        <w:t>Añade que la Ley 2/2020, de 27 de julio ha extendió el plazo de instrucción desde los seis meses hasta los doce meses actuales y dicha reforma entró en vigor el 29 de julio, siendo aplicable conforme a su disposición transitoria a los procesos que se hallen en tramitación a su entrada en vigor. Considera que encontrándose pendiente el recurso de apelación debió aplicarse la nueva regulación.</w:t>
      </w:r>
    </w:p>
    <w:p w14:paraId="4F679B00" w14:textId="77777777" w:rsidR="008D479B" w:rsidRDefault="008D479B" w:rsidP="008D479B">
      <w:pPr>
        <w:pStyle w:val="TextoNormal"/>
      </w:pPr>
    </w:p>
    <w:p w14:paraId="51AD5396" w14:textId="7FD40AD1" w:rsidR="008D479B" w:rsidRDefault="008D479B" w:rsidP="008D479B">
      <w:pPr>
        <w:pStyle w:val="TextoNormal"/>
      </w:pPr>
      <w:r w:rsidRPr="008D479B">
        <w:rPr>
          <w:rStyle w:val="NumeroAFNegritaCaracter"/>
        </w:rPr>
        <w:t>4</w:t>
      </w:r>
      <w:r>
        <w:t>. En virtud de providencia de la Sección Tercera de fecha 17 de diciembre de 2021, se acordó la admisión a trámite de este recurso de amparo, apreciando que concurre en el mismo una especial trascendencia constitucional (art. 50.1 de la Ley Orgánica del Tribunal Constitucional: LOTC), “porque el recurso plantea un problema o afecta a una faceta de un derecho fundamental sobre el que no hay doctrina de este tribunal [STC 155/2009, FJ 2 a)]”. Además, se acordó solicitar de los órganos judiciales certificación o fotocopia adverada de las actuaciones correspondientes al rollo de apelación núm. 440-2020 y a las diligencias previas núm. 580-2018, y al Juzgado de Instrucción núm. 2 de Figueres que emplazara a quienes hubieran sido parte en el procedimiento, excepto la parte recurrente en amparo, para que, en el plazo de diez días, pudieran comparecer en el recurso de amparo.</w:t>
      </w:r>
    </w:p>
    <w:p w14:paraId="6EE1B463" w14:textId="77777777" w:rsidR="008D479B" w:rsidRDefault="008D479B" w:rsidP="008D479B">
      <w:pPr>
        <w:pStyle w:val="TextoNormal"/>
      </w:pPr>
    </w:p>
    <w:p w14:paraId="12F4769C" w14:textId="3B08F866" w:rsidR="008D479B" w:rsidRDefault="008D479B" w:rsidP="008D479B">
      <w:pPr>
        <w:pStyle w:val="TextoNormal"/>
      </w:pPr>
      <w:r w:rsidRPr="008D479B">
        <w:rPr>
          <w:rStyle w:val="NumeroAFNegritaCaracter"/>
        </w:rPr>
        <w:t>5</w:t>
      </w:r>
      <w:r>
        <w:t>. En fecha 14 de marzo de 2022, la representación procesal del recurrente en amparo presentó escrito de alegaciones en el que además de reiterar los argumentos expuestos en su escrito de demanda, se refiere al contenido de la Circular 1/2021, de 8 de abril de la Fiscalía General del Estado en cuanto a la interpretación del art. 324 LECrim y destaca la inacción no solo del Ministerio Fiscal sino especialmente del órgano judicial, que ocasionaron la vulneración de su derecho a la tutela judicial efectiva.</w:t>
      </w:r>
    </w:p>
    <w:p w14:paraId="1F96B765" w14:textId="77777777" w:rsidR="008D479B" w:rsidRDefault="008D479B" w:rsidP="008D479B">
      <w:pPr>
        <w:pStyle w:val="TextoNormal"/>
      </w:pPr>
    </w:p>
    <w:p w14:paraId="012931F2" w14:textId="77777777" w:rsidR="008D479B" w:rsidRDefault="008D479B" w:rsidP="008D479B">
      <w:pPr>
        <w:pStyle w:val="TextoNormal"/>
      </w:pPr>
      <w:r w:rsidRPr="008D479B">
        <w:rPr>
          <w:rStyle w:val="NumeroAFNegritaCaracter"/>
        </w:rPr>
        <w:t>6</w:t>
      </w:r>
      <w:r>
        <w:t>. En fecha 1 de abril de 2022, el fiscal ante el Tribunal Constitucional presentó su escrito de alegaciones, por el que interesa la estimación parcial del recurso de amparo y consecuentemente que se declare vulnerado el derecho del recurrente en amparo a la tutela judicial efectiva (art. 24.1 CE) por: (i) el auto de 25 de noviembre de 2019 dictado por el Juzgado de Instrucción núm. 2 de Figueres en las diligencias previas núm. 580-2018; (ii) el auto dictado el 15 de septiembre de 2020, en el rollo de apelación núm. 440-2020, por la Sección Tercera de la Audiencia Provincial de Girona y el posterior auto dictado por esa misma Sección Tercera, de fecha 26 de noviembre por el que desestimó el incidente de nulidad de actuaciones planteado contra el anterior.</w:t>
      </w:r>
    </w:p>
    <w:p w14:paraId="238C9110" w14:textId="77777777" w:rsidR="008D479B" w:rsidRDefault="008D479B" w:rsidP="008D479B">
      <w:pPr>
        <w:pStyle w:val="TextoNormal"/>
      </w:pPr>
    </w:p>
    <w:p w14:paraId="29FC93EF" w14:textId="77777777" w:rsidR="008D479B" w:rsidRDefault="008D479B" w:rsidP="008D479B">
      <w:pPr>
        <w:pStyle w:val="TextoNormal"/>
      </w:pPr>
      <w:r>
        <w:t>A) Tras hacer una amplia reseña de los antecedentes de hecho que consideró de interés, realiza un esfuerzo de sistematización de las cuestiones planteadas en la demanda y delimita el objeto de la misma, si bien con carácter previo aborda la eventual prematuridad del recurso.</w:t>
      </w:r>
    </w:p>
    <w:p w14:paraId="4E432255" w14:textId="77777777" w:rsidR="008D479B" w:rsidRDefault="008D479B" w:rsidP="008D479B">
      <w:pPr>
        <w:pStyle w:val="TextoNormal"/>
      </w:pPr>
    </w:p>
    <w:p w14:paraId="1F1AEBEB" w14:textId="77777777" w:rsidR="008D479B" w:rsidRDefault="008D479B" w:rsidP="008D479B">
      <w:pPr>
        <w:pStyle w:val="TextoNormal"/>
      </w:pPr>
      <w:r>
        <w:t>Refiere que las resoluciones impugnadas se han dictado en un procedimiento penal no concluso, “lo cual ocurriría mediante auto dictado por el Juzgado de Instrucción número 2 de Figueres en las diligencias previas número 580-2018 con fecha 16 de octubre de 2020, de sobreseimiento provisional”. Ello obliga a revisar si se han agotado todos los medios de impugnación previstos por las normas procesales para el caso concreto dentro de la vía judicial, evitando de este modo que quede abierta una vía de intersección de la jurisdicción constitucional con la ordinaria, lo que, de forma indirecta provocaría una indeseable inseguridad jurídica, al residenciarse en el Tribunal Constitucional cuestiones aún no solventadas definitivamente en la vía judicial, pudiendo existir pronunciamientos contradictorios con lo resuelto en la vía de amparo.</w:t>
      </w:r>
    </w:p>
    <w:p w14:paraId="38E75C06" w14:textId="77777777" w:rsidR="008D479B" w:rsidRDefault="008D479B" w:rsidP="008D479B">
      <w:pPr>
        <w:pStyle w:val="TextoNormal"/>
      </w:pPr>
    </w:p>
    <w:p w14:paraId="698C8A61" w14:textId="77777777" w:rsidR="008D479B" w:rsidRDefault="008D479B" w:rsidP="008D479B">
      <w:pPr>
        <w:pStyle w:val="TextoNormal"/>
      </w:pPr>
      <w:r>
        <w:t>Recuerda que el Tribunal no ha admitido la interposición del recurso de amparo frente a resoluciones de procesamiento u otras de delimitación subjetiva del proceso, contra la decisión de secreto sumarial y su prórroga o la apariencia de imparcialidad de los órganos judiciales.</w:t>
      </w:r>
    </w:p>
    <w:p w14:paraId="20758DD2" w14:textId="77777777" w:rsidR="008D479B" w:rsidRDefault="008D479B" w:rsidP="008D479B">
      <w:pPr>
        <w:pStyle w:val="TextoNormal"/>
      </w:pPr>
    </w:p>
    <w:p w14:paraId="3AB409BB" w14:textId="77777777" w:rsidR="008D479B" w:rsidRDefault="008D479B" w:rsidP="008D479B">
      <w:pPr>
        <w:pStyle w:val="TextoNormal"/>
      </w:pPr>
      <w:r>
        <w:t>El principio de subsidiariedad exige no solo agotar los recursos legalmente establecidos contra la resolución cuestionada, como ha sucedido en este caso, sino también la vía judicial en la que se han producido las vulneraciones de derechos fundamentales.</w:t>
      </w:r>
    </w:p>
    <w:p w14:paraId="442BC572" w14:textId="77777777" w:rsidR="008D479B" w:rsidRDefault="008D479B" w:rsidP="008D479B">
      <w:pPr>
        <w:pStyle w:val="TextoNormal"/>
      </w:pPr>
    </w:p>
    <w:p w14:paraId="4DEBCA6B" w14:textId="77777777" w:rsidR="008D479B" w:rsidRDefault="008D479B" w:rsidP="008D479B">
      <w:pPr>
        <w:pStyle w:val="TextoNormal"/>
      </w:pPr>
      <w:r>
        <w:t>Se han admitido excepciones en el caso de resoluciones interlocutorias que afecten a derechos sustantivos “distintos de los contenidos en el art. 24 CE”, y que ocasionen un perjuicio irreparable o cuando el seguimiento del procedimiento penal en todas sus fases, etapas o instancias, implique un gravamen adicional, una extensión mayor o mayor intensidad en la lesión del derecho por su mantenimiento en el tiempo. También en relación con los derechos procesales se ha permitido acudir al Tribunal en procedimientos no finalizados cuando se invocaban algunas manifestaciones del derecho de defensa y asistencia letrada (denegación de nombramiento de interprete o de personación del rebelde en causa penal tras orden de busca y captura), del juez ordinario predeterminado por la ley, aunque solo en casos en los que se reclama la actuación de la jurisdicción ordinaria frene a la jurisdicción militar, o en supuestos de revocación de sentencias absolutorias que habilitan la posibilidad de celebrar nuevo juicio.</w:t>
      </w:r>
    </w:p>
    <w:p w14:paraId="390AEE0B" w14:textId="77777777" w:rsidR="008D479B" w:rsidRDefault="008D479B" w:rsidP="008D479B">
      <w:pPr>
        <w:pStyle w:val="TextoNormal"/>
      </w:pPr>
    </w:p>
    <w:p w14:paraId="3004204E" w14:textId="77777777" w:rsidR="008D479B" w:rsidRDefault="008D479B" w:rsidP="008D479B">
      <w:pPr>
        <w:pStyle w:val="TextoNormal"/>
      </w:pPr>
      <w:r>
        <w:t>Entiende que en el presente supuesto se trataría de una lesión actual de un derecho fundamental procesal, que hizo sentir sus efectos de modo inmediato en la actividad instructora del juez y que fue analizada y resuelta de modo firme y definitivo en la vía judicial a través de los cauces legalmente establecidos.</w:t>
      </w:r>
    </w:p>
    <w:p w14:paraId="33461554" w14:textId="77777777" w:rsidR="008D479B" w:rsidRDefault="008D479B" w:rsidP="008D479B">
      <w:pPr>
        <w:pStyle w:val="TextoNormal"/>
      </w:pPr>
    </w:p>
    <w:p w14:paraId="5BF3CC79" w14:textId="77777777" w:rsidR="008D479B" w:rsidRDefault="008D479B" w:rsidP="008D479B">
      <w:pPr>
        <w:pStyle w:val="TextoNormal"/>
      </w:pPr>
      <w:r>
        <w:t>Ahora bien, considera necesario precisar que el recurrente agotó de modo irregular la vía judicial previa al utilizar la vía inadecuada de solicitar la declaración de complejidad de la causa por la vía improcedente del art. 324.1 LECrim., entonces vigente, cuya resolución por el órgano judicial no es susceptible de recurso de apelación (art. 324.2 LECrim), en lugar de acudir a lo establecido en el art. 324.4 LECrim., para solicitar la prórroga del plazo máximo de instrucción. Sin embargo, al tramitarse la solicitud de declaración de complejidad y desestimar no solo el recurso de apelación sino la posterior nulidad interpuesta por los órganos judiciales, no considera razonable que dicha particular forma de agotamiento le deba causar perjuicio alguno al recurrente.</w:t>
      </w:r>
    </w:p>
    <w:p w14:paraId="73A733EA" w14:textId="77777777" w:rsidR="008D479B" w:rsidRDefault="008D479B" w:rsidP="008D479B">
      <w:pPr>
        <w:pStyle w:val="TextoNormal"/>
      </w:pPr>
    </w:p>
    <w:p w14:paraId="67030AC4" w14:textId="77777777" w:rsidR="008D479B" w:rsidRDefault="008D479B" w:rsidP="008D479B">
      <w:pPr>
        <w:pStyle w:val="TextoNormal"/>
      </w:pPr>
      <w:r>
        <w:t>B) A continuación entiende que deben excluirse del objeto del proceso los autos tanto del juzgado de instrucción como de la Audiencia Provincial —recaídos en el rollo de apelación núm. 441-2020—, por los que se deniegan determinadas diligencias de investigación solicitadas, al no haber realizado el recurrente esfuerzo argumental alguno en relación con la denegación de dichas diligencias.</w:t>
      </w:r>
    </w:p>
    <w:p w14:paraId="54B3FA40" w14:textId="77777777" w:rsidR="008D479B" w:rsidRDefault="008D479B" w:rsidP="008D479B">
      <w:pPr>
        <w:pStyle w:val="TextoNormal"/>
      </w:pPr>
    </w:p>
    <w:p w14:paraId="37A626E2" w14:textId="77777777" w:rsidR="008D479B" w:rsidRDefault="008D479B" w:rsidP="008D479B">
      <w:pPr>
        <w:pStyle w:val="TextoNormal"/>
      </w:pPr>
      <w:r>
        <w:t>Considera que deben excluirse también por falta de invocación las quejas vinculadas a la vulneración del derecho a la tutela judicial efectiva del Ministerio Fiscal y las vinculadas a la indebida inaplicación de la disposición transitoria de la Ley 2/2020, de 27 de julio que modifica el art. 324 LECrim, al no haber sido planteadas en el recurso de apelación.</w:t>
      </w:r>
    </w:p>
    <w:p w14:paraId="206219E3" w14:textId="77777777" w:rsidR="008D479B" w:rsidRDefault="008D479B" w:rsidP="008D479B">
      <w:pPr>
        <w:pStyle w:val="TextoNormal"/>
      </w:pPr>
    </w:p>
    <w:p w14:paraId="3BE34293" w14:textId="77777777" w:rsidR="008D479B" w:rsidRDefault="008D479B" w:rsidP="008D479B">
      <w:pPr>
        <w:pStyle w:val="TextoNormal"/>
      </w:pPr>
      <w:r>
        <w:t>Descarta el examen de las vulneraciones en relación con los dos autos desestimando los dos incidentes de nulidad planteados, por cuanto que el recurrente no realiza esfuerzo argumentativo respecto a que los mismos le ocasionen vulneración alguna.</w:t>
      </w:r>
    </w:p>
    <w:p w14:paraId="2D903F5F" w14:textId="77777777" w:rsidR="008D479B" w:rsidRDefault="008D479B" w:rsidP="008D479B">
      <w:pPr>
        <w:pStyle w:val="TextoNormal"/>
      </w:pPr>
    </w:p>
    <w:p w14:paraId="1AB4B000" w14:textId="77777777" w:rsidR="008D479B" w:rsidRDefault="008D479B" w:rsidP="008D479B">
      <w:pPr>
        <w:pStyle w:val="TextoNormal"/>
      </w:pPr>
      <w:r>
        <w:t>Esa misma exclusión la efectúa el fiscal en relación con los preceptos constitucionales a los que alude mediante referencia a los arts. 9.1, 9.3 y 10.1 CE, pues no enuncian derechos fundamentales y no se razona en la demanda la relación que los mismos puedan tener con el derecho a la tutela judicial efectiva y a un proceso con todas las garantías (art. 24.1 y 2 CE) también invocados.</w:t>
      </w:r>
    </w:p>
    <w:p w14:paraId="025DEB7E" w14:textId="77777777" w:rsidR="008D479B" w:rsidRDefault="008D479B" w:rsidP="008D479B">
      <w:pPr>
        <w:pStyle w:val="TextoNormal"/>
      </w:pPr>
    </w:p>
    <w:p w14:paraId="2BF897CA" w14:textId="77777777" w:rsidR="008D479B" w:rsidRDefault="008D479B" w:rsidP="008D479B">
      <w:pPr>
        <w:pStyle w:val="TextoNormal"/>
      </w:pPr>
      <w:r>
        <w:t>C) Aborda a continuación la determinación del día inicial del cómputo del plazo máximo de duración de la instrucción y el retraso en el ofrecimiento de acciones.</w:t>
      </w:r>
    </w:p>
    <w:p w14:paraId="14C7281E" w14:textId="77777777" w:rsidR="008D479B" w:rsidRDefault="008D479B" w:rsidP="008D479B">
      <w:pPr>
        <w:pStyle w:val="TextoNormal"/>
      </w:pPr>
    </w:p>
    <w:p w14:paraId="55B8C598" w14:textId="77777777" w:rsidR="008D479B" w:rsidRDefault="008D479B" w:rsidP="008D479B">
      <w:pPr>
        <w:pStyle w:val="TextoNormal"/>
      </w:pPr>
      <w:r>
        <w:t>a) Sostiene que la aplicación o no de los preceptos de la Ley de enjuiciamiento civil a tal fin, es cuestión de legalidad ordinaria, que únicamente tendrá contenido constitucional en los supuestos en los que las resoluciones hayan incurrido en un error patente, o en una fundamentación insuficiente, irrazonable o arbitraria o en la utilización de un criterio desfavorable a la efectividad del derecho a la tutela judicial efectiva.</w:t>
      </w:r>
    </w:p>
    <w:p w14:paraId="7592224A" w14:textId="77777777" w:rsidR="008D479B" w:rsidRDefault="008D479B" w:rsidP="008D479B">
      <w:pPr>
        <w:pStyle w:val="TextoNormal"/>
      </w:pPr>
    </w:p>
    <w:p w14:paraId="01E4FFD3" w14:textId="77777777" w:rsidR="008D479B" w:rsidRDefault="008D479B" w:rsidP="008D479B">
      <w:pPr>
        <w:pStyle w:val="TextoNormal"/>
      </w:pPr>
      <w:r>
        <w:t>En tal sentido, acude a la Circular de la Fiscalía General del Estado 5/2015, de la que resulta que el día inicial del plazo máximo de instrucción debe fijarse en el 15 de mayo de 2018, fecha en que el juzgado de instrucción de Terrassa tuvo por repartida la denuncia formulada, acordó la formación de diligencias previas y a la vez que se declaraba incompetente para conocer de los hechos denunciados, disponía su inhibición a los juzgados de instrucción de Figueres.</w:t>
      </w:r>
    </w:p>
    <w:p w14:paraId="5E4F6EAD" w14:textId="77777777" w:rsidR="008D479B" w:rsidRDefault="008D479B" w:rsidP="008D479B">
      <w:pPr>
        <w:pStyle w:val="TextoNormal"/>
      </w:pPr>
    </w:p>
    <w:p w14:paraId="071BBCE7" w14:textId="77777777" w:rsidR="008D479B" w:rsidRDefault="008D479B" w:rsidP="008D479B">
      <w:pPr>
        <w:pStyle w:val="TextoNormal"/>
      </w:pPr>
      <w:r>
        <w:t>Partiendo de tal fecha, el plazo ordinario concluyó el 15 de noviembre de 2019, esto es, aun antes de lo que entendió la Sección Tercera de la Audiencia Provincial de Girona en el rollo de apelación núm. 440-2020 que lo situó en el 12 de marzo de 2019. Es por ello que no comparte los argumentos del recurrente, por cuanto las resoluciones impugnadas efectuaron una interpretación de los plazos favorables al demandante de amparo. Y, cuando este solicitó la declaración de complejidad de la causa el plazo de seis meses había expirado.</w:t>
      </w:r>
    </w:p>
    <w:p w14:paraId="55A56930" w14:textId="77777777" w:rsidR="008D479B" w:rsidRDefault="008D479B" w:rsidP="008D479B">
      <w:pPr>
        <w:pStyle w:val="TextoNormal"/>
      </w:pPr>
    </w:p>
    <w:p w14:paraId="2FFC8F5B" w14:textId="77777777" w:rsidR="008D479B" w:rsidRDefault="008D479B" w:rsidP="008D479B">
      <w:pPr>
        <w:pStyle w:val="TextoNormal"/>
      </w:pPr>
      <w:r>
        <w:t>b) Examina a continuación la queja del recurrente en cuya virtud el plazo debe computarse desde que se le notificó al perjudicado la incoación de las diligencias previas o bien desde que fue informado de los derechos que le corresponden en tanto ofendido o perjudicado. Razona que, si al recurrente se le hubiera efectuado el ofrecimiento de acciones de los arts. 109 y 110 LECrim y/o la información de derechos que le correspondía con arreglo a lo establecido en la Ley 4/2015, de 27 de abril, del estatuto de la víctima del delito, antes de que transcurriera el plazo establecido en el art. 324 LECrim, su representación procesal habría podido solicitar temporáneamente la prolongación del plazo máximo de instrucción.</w:t>
      </w:r>
    </w:p>
    <w:p w14:paraId="33EAD530" w14:textId="77777777" w:rsidR="008D479B" w:rsidRDefault="008D479B" w:rsidP="008D479B">
      <w:pPr>
        <w:pStyle w:val="TextoNormal"/>
      </w:pPr>
    </w:p>
    <w:p w14:paraId="2186D542" w14:textId="77777777" w:rsidR="008D479B" w:rsidRDefault="008D479B" w:rsidP="008D479B">
      <w:pPr>
        <w:pStyle w:val="TextoNormal"/>
      </w:pPr>
      <w:r>
        <w:t>Tanto de los arts. 5 a 7 de la Ley 4/2015 como de los arts. 6 a 11 de la Directiva 212/29/UE, del Parlamento Europeo y del Consejo, de 25 de octubre de 2012, resulta la obligación legal que proscribe los retrasos innecesarios a la hora de dar efectividad a los derechos que esas víctimas tienen normativamente reconocidos.</w:t>
      </w:r>
    </w:p>
    <w:p w14:paraId="179BB7A4" w14:textId="77777777" w:rsidR="008D479B" w:rsidRDefault="008D479B" w:rsidP="008D479B">
      <w:pPr>
        <w:pStyle w:val="TextoNormal"/>
      </w:pPr>
    </w:p>
    <w:p w14:paraId="3B780EF7" w14:textId="77777777" w:rsidR="008D479B" w:rsidRDefault="008D479B" w:rsidP="008D479B">
      <w:pPr>
        <w:pStyle w:val="TextoNormal"/>
      </w:pPr>
      <w:r>
        <w:t>De modo que el incumplimiento del deber de información a que se refiere el art. 109 LECrim puede ocasionar una autentica denegación de tutela. Tal situación se produce ante la falta de ofrecimiento de acciones al ofendido o al interesado que no conozca la existencia del proceso y por una defectuosa información judicial.</w:t>
      </w:r>
    </w:p>
    <w:p w14:paraId="27C9A3AC" w14:textId="77777777" w:rsidR="008D479B" w:rsidRDefault="008D479B" w:rsidP="008D479B">
      <w:pPr>
        <w:pStyle w:val="TextoNormal"/>
      </w:pPr>
    </w:p>
    <w:p w14:paraId="2DD36B3F" w14:textId="77777777" w:rsidR="008D479B" w:rsidRDefault="008D479B" w:rsidP="008D479B">
      <w:pPr>
        <w:pStyle w:val="TextoNormal"/>
      </w:pPr>
      <w:r>
        <w:t>Concluye que el problema planteado en la demanda constituye una modalidad de esa vulneración del derecho a la tutela judicial efectiva, aunque no ya por una defectuosa información judicial sobre el contenido de las facultades que se reconocen en el art. 109 LECrim, sino por la ausencia completa de información durante el plazo ordinario de tramitación del proceso penal. Esa inactividad vulnera el derecho a la tutela del recurrente.</w:t>
      </w:r>
    </w:p>
    <w:p w14:paraId="234D8382" w14:textId="77777777" w:rsidR="008D479B" w:rsidRDefault="008D479B" w:rsidP="008D479B">
      <w:pPr>
        <w:pStyle w:val="TextoNormal"/>
      </w:pPr>
    </w:p>
    <w:p w14:paraId="353EA3EF" w14:textId="6E9DB543" w:rsidR="008D479B" w:rsidRDefault="008D479B" w:rsidP="008D479B">
      <w:pPr>
        <w:pStyle w:val="TextoNormal"/>
      </w:pPr>
      <w:r>
        <w:t>En cuanto a los efectos de la vulneración considera que deben ser meramente declarativos en tanto que de declararse la nulidad de las resoluciones se arrastraría necesariamente al auto de 16 de octubre de 2020 de sobreseimiento provisional que no ha sido impugnado.</w:t>
      </w:r>
    </w:p>
    <w:p w14:paraId="301774C3" w14:textId="77777777" w:rsidR="008D479B" w:rsidRDefault="008D479B" w:rsidP="008D479B">
      <w:pPr>
        <w:pStyle w:val="TextoNormal"/>
      </w:pPr>
    </w:p>
    <w:p w14:paraId="57829EDF" w14:textId="4915C41A" w:rsidR="008D479B" w:rsidRDefault="008D479B" w:rsidP="008D479B">
      <w:pPr>
        <w:pStyle w:val="TextoNormal"/>
      </w:pPr>
      <w:r w:rsidRPr="008D479B">
        <w:rPr>
          <w:rStyle w:val="NumeroAFNegritaCaracter"/>
        </w:rPr>
        <w:t>7</w:t>
      </w:r>
      <w:r>
        <w:t>. Por medio de diligencia de constancia de 1 de abril de 2022 de la Secretaría de Justicia, quedó el recurso de amparo pendiente de deliberación.</w:t>
      </w:r>
    </w:p>
    <w:p w14:paraId="1C520932" w14:textId="77777777" w:rsidR="008D479B" w:rsidRDefault="008D479B" w:rsidP="008D479B">
      <w:pPr>
        <w:pStyle w:val="TextoNormal"/>
      </w:pPr>
    </w:p>
    <w:p w14:paraId="74BE0406" w14:textId="38AD4C4C" w:rsidR="008D479B" w:rsidRDefault="008D479B" w:rsidP="008D479B">
      <w:pPr>
        <w:pStyle w:val="TextoNormal"/>
      </w:pPr>
      <w:r w:rsidRPr="008D479B">
        <w:rPr>
          <w:rStyle w:val="NumeroAFNegritaCaracter"/>
        </w:rPr>
        <w:t>8</w:t>
      </w:r>
      <w:r>
        <w:t>. Por providencia de 21 de septiembre de 2023, se señaló para deliberación y votación de la presente sentencia el día 25 del mismo mes y año.</w:t>
      </w:r>
    </w:p>
    <w:p w14:paraId="2F15FA3F" w14:textId="77777777" w:rsidR="008D479B" w:rsidRDefault="008D479B" w:rsidP="008D479B">
      <w:pPr>
        <w:pStyle w:val="TextoNormal"/>
      </w:pPr>
    </w:p>
    <w:p w14:paraId="06E201E9" w14:textId="77777777" w:rsidR="008D479B" w:rsidRDefault="008D479B" w:rsidP="008D479B">
      <w:pPr>
        <w:pStyle w:val="TextoNormalNegritaCentrado"/>
        <w:keepNext/>
      </w:pPr>
      <w:r>
        <w:t>II. Fundamentos jurídicos</w:t>
      </w:r>
    </w:p>
    <w:p w14:paraId="77AC6D47" w14:textId="2CE9229F" w:rsidR="008D479B" w:rsidRDefault="008D479B" w:rsidP="008D479B">
      <w:pPr>
        <w:pStyle w:val="TextoNormalNegritaCentrado"/>
        <w:keepNext/>
      </w:pPr>
    </w:p>
    <w:p w14:paraId="1EEBDA8C" w14:textId="77777777" w:rsidR="008D479B" w:rsidRDefault="008D479B" w:rsidP="008D479B">
      <w:pPr>
        <w:pStyle w:val="TextoNormal"/>
      </w:pPr>
      <w:r w:rsidRPr="008D479B">
        <w:rPr>
          <w:rStyle w:val="NumeroAFNegritaCaracter"/>
        </w:rPr>
        <w:t>1</w:t>
      </w:r>
      <w:r>
        <w:t xml:space="preserve">. </w:t>
      </w:r>
      <w:r w:rsidRPr="008D479B">
        <w:rPr>
          <w:i/>
        </w:rPr>
        <w:t>Objeto del recurso de amparo y pretensiones de las partes</w:t>
      </w:r>
    </w:p>
    <w:p w14:paraId="07914F25" w14:textId="77777777" w:rsidR="008D479B" w:rsidRDefault="008D479B" w:rsidP="008D479B">
      <w:pPr>
        <w:pStyle w:val="TextoNormal"/>
      </w:pPr>
    </w:p>
    <w:p w14:paraId="5089239A" w14:textId="77777777" w:rsidR="008D479B" w:rsidRDefault="008D479B" w:rsidP="008D479B">
      <w:pPr>
        <w:pStyle w:val="TextoNormal"/>
      </w:pPr>
      <w:r>
        <w:t>El presente recurso de amparo se dirige contra los dos autos de fecha 25 de noviembre de 2019 dictados por el Juzgado de Instrucción núm. 2 de Figueres, en las diligencias previas núm. 580-2018, por los que se denegó la solicitud de declaración de complejidad de la causa y se estimó parcialmente el recurso de reforma contra el auto de 13 de mayo 2019, confirmando la denegación de la práctica de diversas diligencias; también se impugnan otros dos autos de fecha 15 de septiembre de 2020, dictados por la Sección Tercera de la Audiencia Provincial de Girona, en los recursos de apelación núm. 440-2020 y 441-2020, por los que respectivamente se desestimaron los recursos de apelación interpuestos frente a los dos autos que acordaron la denegación del carácter complejo de la causa y la práctica de diversas diligencias; y por último, contra otros dos autos de 26 de noviembre de 2020, dictados por la misma Sección en los indicados rollos de apelación, por los que se desestimaron los posteriores incidentes de nulidad interpuestos frente a los dos autos anteriores.</w:t>
      </w:r>
    </w:p>
    <w:p w14:paraId="65F78D06" w14:textId="77777777" w:rsidR="008D479B" w:rsidRDefault="008D479B" w:rsidP="008D479B">
      <w:pPr>
        <w:pStyle w:val="TextoNormal"/>
      </w:pPr>
    </w:p>
    <w:p w14:paraId="01EE60E5" w14:textId="77777777" w:rsidR="008D479B" w:rsidRDefault="008D479B" w:rsidP="008D479B">
      <w:pPr>
        <w:pStyle w:val="TextoNormal"/>
      </w:pPr>
      <w:r>
        <w:t>Como con más detalle se ha indicado en los antecedentes de esta sentencia, el denunciante, ahora recurrente en amparo, sostiene que los referidos autos han vulnerado los arts. 9.1, 9.3 y 10.1 CE, así como su derecho a la tutela judicial y a un proceso con todas las garantías (art. 24.1 y 2 CE), al considerar que el día inicial del cómputo del plazo no es el día en que por el juzgado de instrucción de Terrassa se incoaron las diligencias previas —como sostiene también el Ministerio Fiscal— sino el día en que por el Juzgado de Instrucción núm. 2 de Figueres se recibieron las actuaciones o en su caso aquel en que se acordó por dicho juzgado la iniciación de las diligencias previas. Refiere, por otra parte, que las vulneraciones derivan de la tardanza en efectuarle el ofrecimiento de acciones, pues cuando se realizó ya habían transcurrido seis meses desde la incoación del procedimiento por el Juzgado de Instrucción núm. 2 de Terrassa. Por ello atribuye la lesión de sus derechos a la falta de actividad del órgano judicial y también del Ministerio Fiscal que no solicitó en plazo que se declarara la complejidad de la causa. Por último, refiere que debió aplicarse la disposición transitoria de la Ley 2/2020, que modifica el art. 324 LECrim, ampliando el plazo de duración de la instrucción de la causa.</w:t>
      </w:r>
    </w:p>
    <w:p w14:paraId="15C29279" w14:textId="77777777" w:rsidR="008D479B" w:rsidRDefault="008D479B" w:rsidP="008D479B">
      <w:pPr>
        <w:pStyle w:val="TextoNormal"/>
      </w:pPr>
    </w:p>
    <w:p w14:paraId="686B8961" w14:textId="1E4B9E1F" w:rsidR="008D479B" w:rsidRDefault="008D479B" w:rsidP="008D479B">
      <w:pPr>
        <w:pStyle w:val="TextoNormal"/>
      </w:pPr>
      <w:r>
        <w:t>Por su parte el Ministerio Fiscal excluye del objeto del procedimiento el auto del juzgado de instrucción que denegó la práctica de las diligencias solicitadas por el recurrente y los de la Audiencia Provincial que lo confirmaron y de los dos autos que desestimaron los incidentes de nulidad de actuaciones, así como la infracción de los arts. 9.1, 9.3 y 10.1 CE, al no satisfacerse en relación con tales autos y preceptos la debida carga argumental. Por otra parte, descarta por falta de invocación tanto el reproche vinculado a la inaplicación de la disposición transitoria de la Ley 2/2020 que modificó la redacción del art. 324 LECrim., como la vulneración del derecho a la tutela judicial efectiva atribuida al Ministerio Fiscal derivada de su eventual inacción. Finalmente, como se ha adelantado, considera que el día inicial del plazo máximo de duración de seis meses de la investigación sea el del inicio de las diligencias previas por el Juzgado de Instrucción núm. 2 de Terrassa, pero por el contrario apoya la pretensión del recurrente y considera que se le ha lesionado el derecho a la tutela judicial efectiva al haberse comunicado tardíamente la existencia del procedimiento penal imposibilitando la intervención en el mismo.</w:t>
      </w:r>
    </w:p>
    <w:p w14:paraId="024BED2E" w14:textId="77777777" w:rsidR="008D479B" w:rsidRDefault="008D479B" w:rsidP="008D479B">
      <w:pPr>
        <w:pStyle w:val="TextoNormal"/>
      </w:pPr>
    </w:p>
    <w:p w14:paraId="3D770E55" w14:textId="77777777" w:rsidR="008D479B" w:rsidRDefault="008D479B" w:rsidP="008D479B">
      <w:pPr>
        <w:pStyle w:val="TextoNormal"/>
      </w:pPr>
      <w:r w:rsidRPr="008D479B">
        <w:rPr>
          <w:rStyle w:val="NumeroAFNegritaCaracter"/>
        </w:rPr>
        <w:t>2</w:t>
      </w:r>
      <w:r>
        <w:t xml:space="preserve">. </w:t>
      </w:r>
      <w:r w:rsidRPr="008D479B">
        <w:rPr>
          <w:i/>
        </w:rPr>
        <w:t>Requisitos para la admisibilidad</w:t>
      </w:r>
    </w:p>
    <w:p w14:paraId="5A4877D9" w14:textId="77777777" w:rsidR="008D479B" w:rsidRDefault="008D479B" w:rsidP="008D479B">
      <w:pPr>
        <w:pStyle w:val="TextoNormal"/>
      </w:pPr>
    </w:p>
    <w:p w14:paraId="0A5DB8D6" w14:textId="07E4B091" w:rsidR="008D479B" w:rsidRDefault="008D479B" w:rsidP="008D479B">
      <w:pPr>
        <w:pStyle w:val="TextoNormal"/>
      </w:pPr>
      <w:r>
        <w:t>Con carácter previo al examen de fondo de las pretensiones de la demanda de amparo debemos pronunciarnos sobre la concurrencia de los requisitos para su admisibilidad establecidos en la Ley Orgánica reguladora de este Tribunal. Como hemos declarado en otras ocasiones (así, en la STC 154/2016, de 22 de septiembre, FJ 2), los defectos insubsanables de que pudiera estar afectado el recurso de amparo no resultan subsanados porque haya sido inicialmente admitido a trámite (por todas, SSTC 18/2002, de 28 de enero, FJ 3, y 158/2002, de 16 de septiembre, FJ 2). En consecuencia, la comprobación de los presupuestos procesales para la viabilidad de la acción puede volverse a abordar o reconsiderar en sentencia, de oficio o a instancia de parte, dando lugar a un pronunciamiento de inadmisión por la falta de tales presupuestos, sin que para ello constituya obstáculo el carácter tasado de los pronunciamientos previstos en el art. 53 LOTC (por todas, SSTC 69/2004, de 19 de abril, FJ 3; 89/2011, de 6 de junio, FJ 2, y 174/2011 de 7 de noviembre, FJ 2).</w:t>
      </w:r>
    </w:p>
    <w:p w14:paraId="6C07C898" w14:textId="77777777" w:rsidR="008D479B" w:rsidRDefault="008D479B" w:rsidP="008D479B">
      <w:pPr>
        <w:pStyle w:val="TextoNormal"/>
      </w:pPr>
    </w:p>
    <w:p w14:paraId="5A357BAB" w14:textId="77777777" w:rsidR="008D479B" w:rsidRDefault="008D479B" w:rsidP="008D479B">
      <w:pPr>
        <w:pStyle w:val="TextoNormal"/>
      </w:pPr>
      <w:r w:rsidRPr="008D479B">
        <w:rPr>
          <w:rStyle w:val="NumeroAFNegritaCaracter"/>
        </w:rPr>
        <w:t>3</w:t>
      </w:r>
      <w:r>
        <w:t xml:space="preserve">. </w:t>
      </w:r>
      <w:r w:rsidRPr="008D479B">
        <w:rPr>
          <w:i/>
        </w:rPr>
        <w:t>Falta de agotamiento de la vía judicial previa: prematuridad</w:t>
      </w:r>
    </w:p>
    <w:p w14:paraId="43A90EA2" w14:textId="77777777" w:rsidR="008D479B" w:rsidRDefault="008D479B" w:rsidP="008D479B">
      <w:pPr>
        <w:pStyle w:val="TextoNormal"/>
      </w:pPr>
    </w:p>
    <w:p w14:paraId="223D6885" w14:textId="77777777" w:rsidR="008D479B" w:rsidRDefault="008D479B" w:rsidP="008D479B">
      <w:pPr>
        <w:pStyle w:val="TextoNormal"/>
      </w:pPr>
      <w:r>
        <w:t xml:space="preserve">a) Es necesario recordar nuestra doctrina relativa al carácter prematuro de las demandas de amparo, con referencia a la STC 103/2019, de 16 de septiembre, FJ 3, en que tuvimos ocasión de resolver un supuesto similar al presente en el que también se cuestionaba la errónea determinación del </w:t>
      </w:r>
      <w:r w:rsidRPr="008D479B">
        <w:rPr>
          <w:i/>
        </w:rPr>
        <w:t>dies a quo</w:t>
      </w:r>
      <w:r>
        <w:t xml:space="preserve"> del plazo de duración de la instrucción de seis meses.</w:t>
      </w:r>
    </w:p>
    <w:p w14:paraId="2217B250" w14:textId="77777777" w:rsidR="008D479B" w:rsidRDefault="008D479B" w:rsidP="008D479B">
      <w:pPr>
        <w:pStyle w:val="TextoNormal"/>
      </w:pPr>
    </w:p>
    <w:p w14:paraId="03021823" w14:textId="77777777" w:rsidR="008D479B" w:rsidRDefault="008D479B" w:rsidP="008D479B">
      <w:pPr>
        <w:pStyle w:val="TextoNormal"/>
      </w:pPr>
      <w:r>
        <w:t>En dicha sentencia, trayendo a colación las SSTC 62/2019, de 7 de mayo, FJ 3 y 30/2019, de 28 de febrero, FJ 2 a), recordábamos que “en este caso, como en el analizado en las SSTC 129/2018, 130/2018 y 131/2018, nos encontramos en un supuesto en el que se acude ante este tribunal por una aducida vulneración de derechos fundamentales producida en el seno de una causa penal que se hallaba en curso al presentarse la demanda. Tal circunstancia procesal, puesta en relación con la naturaleza y contenido del derecho fundamental alegado (art. 24.2 CE), impide entender satisfecha la previsión establecida en el art. 44.1 a) LOTC, conforme a la cual es requisito de admisión del recurso de amparo, cuando se dirige contra actos de un órgano judicial, ‘que se hayan agotado todos los medios de impugnación previstos por las normas procesales para el caso concreto dentro de la vía judicial’. La jurisprudencia de este tribunal es clara y constante a este respecto. En los supuestos en que el proceso penal, del que trae causa la demanda de amparo, no haya concluido ‘por decisión que se pronuncie sobre la condena o absolución, e incluso en los que la celebración del juicio oral no ha tenido lugar, resulta prematura la invocación de lesiones que podrían ser examinadas ulteriormente en el curso del proceso’ (SSTC 73/1999, de 26 de abril, FJ 2; 76/2009, de 23 de marzo, FJ 3, y 78/2009, de 23 de marzo, FJ 2). La razón, sustentada en la observancia del principio de subsidiariedad del recurso de amparo, es clara: ‘el marco natural en el que ha de intentarse la reparación del derecho constitucional vulnerado por la actuación del órgano jurisdiccional es el mismo proceso judicial previo, de tal modo que, en principio, solo cuando este haya finalizado por haber recaído una resolución firme y definitiva puede entenderse agotada la vía judicial y, consecuentemente, es posible acudir ante este Tribunal en demanda de amparo’ (STC 131/2018 y jurisprudencia allí citada)”.</w:t>
      </w:r>
    </w:p>
    <w:p w14:paraId="6AB10DAC" w14:textId="77777777" w:rsidR="008D479B" w:rsidRDefault="008D479B" w:rsidP="008D479B">
      <w:pPr>
        <w:pStyle w:val="TextoNormal"/>
      </w:pPr>
    </w:p>
    <w:p w14:paraId="06DD9E31" w14:textId="77777777" w:rsidR="008D479B" w:rsidRDefault="008D479B" w:rsidP="008D479B">
      <w:pPr>
        <w:pStyle w:val="TextoNormal"/>
      </w:pPr>
      <w:r>
        <w:t>Debe insistirse, por lo tanto, en que no puede impetrarse directamente el amparo constitucional contra resoluciones recaídas en un proceso penal aún no concluido (ATC 169/2004, de 10 de mayo, FJ 1). Desde la STC 1/1981, de 26 de enero, hemos declarado que en esta sede constitucional solo cabe la protección de los derechos y libertades a que se refiere el art. 53.2 CE “cuando las vías ordinarias de protección han resultado insatisfactorias” (STC 1/1981, FJ 2). Esta exigencia, conviene subrayarlo, no es un mero requisito de forma (ATC 3/1987, de 9 de enero, FJ 2), sino que responde a la naturaleza subsidiaria del recurso de amparo y a su carácter de protección extraordinaria o de vía “especial y extraordinaria” (STC 185/1990, de 15 de noviembre, FJ 4).</w:t>
      </w:r>
    </w:p>
    <w:p w14:paraId="4F6ED98A" w14:textId="77777777" w:rsidR="008D479B" w:rsidRDefault="008D479B" w:rsidP="008D479B">
      <w:pPr>
        <w:pStyle w:val="TextoNormal"/>
      </w:pPr>
    </w:p>
    <w:p w14:paraId="3155507C" w14:textId="77777777" w:rsidR="008D479B" w:rsidRDefault="008D479B" w:rsidP="008D479B">
      <w:pPr>
        <w:pStyle w:val="TextoNormal"/>
      </w:pPr>
      <w:r>
        <w:t xml:space="preserve">No obstante, esa regla general admite excepciones, que hemos analizado y catalogado en el citado ATC 169/2004, FJ 2 y, sintetizando lo expuesto en dicho auto, en las SSTC 76/2009 y 78/2009, FJ 3 y FJ 2 respectivamente. Se trata fundamentalmente de supuestos en los que aun sin haber concluido el proceso judicial, el seguimiento exhaustivo del itinerario procesal previo implicaría una injustificada perpetuación en el tiempo de la lesión del derecho fundamental o se consumaría definitivamente la violación, haciéndose imposible o dificultándose gravemente el restablecimiento </w:t>
      </w:r>
      <w:r w:rsidRPr="008D479B">
        <w:rPr>
          <w:i/>
        </w:rPr>
        <w:t>in integrum</w:t>
      </w:r>
      <w:r>
        <w:t xml:space="preserve"> por este Tribunal Constitucional del derecho fundamental vulnerado.</w:t>
      </w:r>
    </w:p>
    <w:p w14:paraId="04E03FD6" w14:textId="77777777" w:rsidR="008D479B" w:rsidRDefault="008D479B" w:rsidP="008D479B">
      <w:pPr>
        <w:pStyle w:val="TextoNormal"/>
      </w:pPr>
    </w:p>
    <w:p w14:paraId="5786B58A" w14:textId="77777777" w:rsidR="008D479B" w:rsidRDefault="008D479B" w:rsidP="008D479B">
      <w:pPr>
        <w:pStyle w:val="TextoNormal"/>
      </w:pPr>
      <w:r>
        <w:t xml:space="preserve">Así lo hemos entendido en relación con aquellas resoluciones que, por referirse a la situación personal del encausado, pueden afectar de manera irreparable a la libertad personal del mismo (STC 247/1994, de 19 de septiembre) o, incluso, si se habían acordado simplemente medidas cautelares no privativas sino restrictivas de la libertad personal (STC 236/2001, de 18 de diciembre, FJ 2). Otro supuesto que venimos admitiendo acontece cuando se produce un efecto actual o inmediato de la lesión denunciada, en las SSTC 161/1995, de 7 de noviembre; 27/1997, de 11 de febrero, y 18/2000, de 31 de enero —dimanantes de recursos de amparo por infracción del derecho al juez legal (art. 24.2 CE) en que se reclamaba la actuación de la jurisdicción ordinaria frente a la jurisdicción militar— así lo apreciamos por cuanto se trataba de una infracción actual, entendida como aquella que “hace sentir sus efectos de inmediato —en todos y cada uno de los actos que lleve a cabo el juez— y por ello ha de ser denunciada cuando se produce y no cuando recae resolución que pone fin al proceso”; y ello, por cuanto, “obligar al particular a agotar la vía judicial ordinaria produciría una injustificada perpetuación en el tiempo de la lesión de su derecho fundamental o se consumaría definitivamente la violación, haciéndose imposible o dificultándose gravemente el restablecimiento </w:t>
      </w:r>
      <w:r w:rsidRPr="008D479B">
        <w:rPr>
          <w:i/>
        </w:rPr>
        <w:t>in integrum</w:t>
      </w:r>
      <w:r>
        <w:t xml:space="preserve"> por el Tribunal Constitucional del derecho fundamental vulnerado”.</w:t>
      </w:r>
    </w:p>
    <w:p w14:paraId="284AE492" w14:textId="77777777" w:rsidR="008D479B" w:rsidRDefault="008D479B" w:rsidP="008D479B">
      <w:pPr>
        <w:pStyle w:val="TextoNormal"/>
      </w:pPr>
    </w:p>
    <w:p w14:paraId="3684873B" w14:textId="77777777" w:rsidR="008D479B" w:rsidRDefault="008D479B" w:rsidP="008D479B">
      <w:pPr>
        <w:pStyle w:val="TextoNormal"/>
      </w:pPr>
      <w:r>
        <w:t>A los anteriores se suman los supuestos de resoluciones interlocutorias que infrinjan derechos fundamentales de carácter material (así, STC 27/1997, de 11 de febrero). Por su parte, la STC 71/1988, de 19 de abril, apreció que se había vulnerado el derecho de defensa por las resoluciones judiciales que denegaron el nombramiento de un intérprete solicitado por el abogado de oficio, pese a que el procedimiento penal en el que se dictaron tales resoluciones se encontraba en fase de instrucción; incluso suspendimos cautelarmente la tramitación de la causa penal (ATC 884/1987, de 8 de julio). Posteriormente, la STC 129/1993, de 19 de abril, apreció también la vulneración del derecho de defensa como consecuencia de no haber sido informado el recurrente de su condición de imputado y de los derechos que como tal le asistían, pese a que el juicio oral no había tenido lugar y cuya celebración suspendió el ATC 338/1990, de 29 de noviembre. En la STC 23/2008, de 11 de febrero, FJ 2, en la que señalamos que también “la revocación de una sentencia penal absolutoria habilitando la posibilidad de un nuevo enjuiciamiento constituye en sí misma gravamen suficiente para interponer el recurso de amparo, pues el contenido propio de este derecho es la prohibición del doble enjuiciamiento con independencia del resultado favorable o desfavorable del mismo (por todas, STC 4/2004, de 16 de enero, FJ 2)” y que “en casos de anulación de sentencias absolutorias con retroacción de actuaciones se puede o bien impugnar en amparo directamente dicha decisión, sin incurrir en falta de agotamiento, o bien esperar a que se dicte la nueva decisión por si la misma fuera absolutoria, sin incurrir en extemporaneidad (STC 149/2001, de 27 de julio)”.</w:t>
      </w:r>
    </w:p>
    <w:p w14:paraId="07932B24" w14:textId="77777777" w:rsidR="008D479B" w:rsidRDefault="008D479B" w:rsidP="008D479B">
      <w:pPr>
        <w:pStyle w:val="TextoNormal"/>
      </w:pPr>
    </w:p>
    <w:p w14:paraId="344D4169" w14:textId="77777777" w:rsidR="008D479B" w:rsidRDefault="008D479B" w:rsidP="008D479B">
      <w:pPr>
        <w:pStyle w:val="TextoNormal"/>
      </w:pPr>
      <w:r>
        <w:t>b) Pues bien, del examen del testimonio de las actuaciones procesales recabado tras la admisión de la demanda resulta que a fecha de interposición de la misma estaba pendiente de resolverse en la vía judicial ordinaria la misma cuestión objeto del presente recurso de amparo, por lo que la demanda de amparo debe reputarse prematura, sin que proceda, por tanto, pronunciarse sobre las cuestiones de fondo planteadas.</w:t>
      </w:r>
    </w:p>
    <w:p w14:paraId="4C1576AF" w14:textId="77777777" w:rsidR="008D479B" w:rsidRDefault="008D479B" w:rsidP="008D479B">
      <w:pPr>
        <w:pStyle w:val="TextoNormal"/>
      </w:pPr>
    </w:p>
    <w:p w14:paraId="2B3BD8F0" w14:textId="77777777" w:rsidR="008D479B" w:rsidRDefault="008D479B" w:rsidP="008D479B">
      <w:pPr>
        <w:pStyle w:val="TextoNormal"/>
      </w:pPr>
      <w:r>
        <w:t>En efecto, según lo expuesto en los antecedentes, el demandante de amparo tras plantear los incidentes de nulidad de actuaciones contra los autos de la Sección Tercera de la Audiencia Provincial de Girona que desestimaron los recursos de apelación interpuestos presentó un recurso de reforma frente al auto de sobreseimiento provisional acordado el 16 de octubre de 2020 por el Juzgado de Instrucción núm. 2 de Figueres.</w:t>
      </w:r>
    </w:p>
    <w:p w14:paraId="00B220D6" w14:textId="77777777" w:rsidR="008D479B" w:rsidRDefault="008D479B" w:rsidP="008D479B">
      <w:pPr>
        <w:pStyle w:val="TextoNormal"/>
      </w:pPr>
    </w:p>
    <w:p w14:paraId="626B939C" w14:textId="77777777" w:rsidR="008D479B" w:rsidRDefault="008D479B" w:rsidP="008D479B">
      <w:pPr>
        <w:pStyle w:val="TextoNormal"/>
      </w:pPr>
      <w:r>
        <w:t xml:space="preserve">En dicho recurso de reforma, volvía a plantear la pertinencia de la declaración de complejidad de la causa, así como la práctica de las declaraciones testificales rechazas. Además, añadía a los argumentos expuestos en el recurso de apelación relativos a la determinación —conforme a los preceptos de la Ley de enjuiciamiento civil— del </w:t>
      </w:r>
      <w:r w:rsidRPr="008D479B">
        <w:rPr>
          <w:i/>
        </w:rPr>
        <w:t>dies a quo</w:t>
      </w:r>
      <w:r>
        <w:t xml:space="preserve"> para el inicio del cómputo del plazo máximo de duración de la instrucción de la causa, la procedencia de la aplicación del nuevo plazo de doce meses previsto en el art. 324 LECrim tras la redacción dada por la Ley 2/2020, de 27 de julio, al entender determinante que el sobreseimiento no se hubiera dictado antes de que dicha ley hubiera entrada en vigor. Por otra parte, también impugnaba la decisión de sobreseimiento provisional al entender que existían indicios suficientes de la comisión de los delitos denunciados.</w:t>
      </w:r>
    </w:p>
    <w:p w14:paraId="3BB138E9" w14:textId="77777777" w:rsidR="008D479B" w:rsidRDefault="008D479B" w:rsidP="008D479B">
      <w:pPr>
        <w:pStyle w:val="TextoNormal"/>
      </w:pPr>
    </w:p>
    <w:p w14:paraId="52C5F194" w14:textId="77777777" w:rsidR="008D479B" w:rsidRDefault="008D479B" w:rsidP="008D479B">
      <w:pPr>
        <w:pStyle w:val="TextoNormal"/>
      </w:pPr>
      <w:r>
        <w:t>Debe destacarse que dicho recurso de reforma se encontraba pendiente de resolver cuando se presentó la demanda de amparo. Por tanto, en el momento en que el recurrente interpuso el recurso de amparo, todavía tenía abierta la posibilidad de que los delitos denunciados continuaran siendo investigados.</w:t>
      </w:r>
    </w:p>
    <w:p w14:paraId="17D78026" w14:textId="77777777" w:rsidR="008D479B" w:rsidRDefault="008D479B" w:rsidP="008D479B">
      <w:pPr>
        <w:pStyle w:val="TextoNormal"/>
      </w:pPr>
    </w:p>
    <w:p w14:paraId="14629785" w14:textId="77777777" w:rsidR="008D479B" w:rsidRDefault="008D479B" w:rsidP="008D479B">
      <w:pPr>
        <w:pStyle w:val="TextoNormal"/>
      </w:pPr>
      <w:r>
        <w:t>En efecto, en el recurso de reforma pendiente de resolverse además de referirse a la existencia de indicios de diversos delitos, exponía los mismos argumentos que se contienen en la demanda de amparo refutando el transcurso del plazo de duración de la instrucción y la posibilidad de que se declarara la complejidad de la misma. A ello debe añadirse que al argumentar sobre la procedencia de la revocación de la decisión de sobreseimiento provisional, solicitaba también que se dictara el auto de continuación del procedimiento por los trámites del procedimiento abreviado, abriendo de este modo la posibilidad de que bien el Juzgado de Instrucción núm. 2 de Figueres —al estimar el recurso de reforma—, bien la Audiencia Provincial —al pronunciarse en un posterior recurso de apelación— consideraran que debía continuar el procedimiento penal en su fase intermedia, posibilitando que las declaraciones testificales denegadas y otras diligencias que hubieran podido practicarse en la instrucción de la causa de haberse declarado la complejidad de la misma, pudieran solicitarse como medio de prueba en el juicio oral.</w:t>
      </w:r>
    </w:p>
    <w:p w14:paraId="4140D1D5" w14:textId="77777777" w:rsidR="008D479B" w:rsidRDefault="008D479B" w:rsidP="008D479B">
      <w:pPr>
        <w:pStyle w:val="TextoNormal"/>
      </w:pPr>
    </w:p>
    <w:p w14:paraId="62984E70" w14:textId="77777777" w:rsidR="008D479B" w:rsidRDefault="008D479B" w:rsidP="008D479B">
      <w:pPr>
        <w:pStyle w:val="TextoNormal"/>
      </w:pPr>
      <w:r>
        <w:t>Esto es, cuando se interpone la demanda de amparo, se encontraba pendiente de resolver por iniciativa del propio recurrente un recurso de reforma —así como abierta la vía judicial a un eventual recurso de apelación frente a la resolución de aquel—, por el que se impugnaba la decisión de sobreseimiento provisional acordada mediante auto de 16 de octubre de 2020. Tales remedios procesales podían dar lugar a la revisión de la decisión adoptada y a la continuación del procedimiento penal permitiendo que las diligencias de investigación interesadas se practicaran en el caso de que se declarara que la instrucción no había finalizado o que pudieran proponerse, en su caso, como medios de prueba en el juicio oral.</w:t>
      </w:r>
    </w:p>
    <w:p w14:paraId="6B2A0189" w14:textId="77777777" w:rsidR="008D479B" w:rsidRDefault="008D479B" w:rsidP="008D479B">
      <w:pPr>
        <w:pStyle w:val="TextoNormal"/>
      </w:pPr>
    </w:p>
    <w:p w14:paraId="3B15AE6E" w14:textId="77777777" w:rsidR="008D479B" w:rsidRDefault="008D479B" w:rsidP="008D479B">
      <w:pPr>
        <w:pStyle w:val="TextoNormal"/>
      </w:pPr>
      <w:r>
        <w:t>Si bien se desconoce el devenir de tales recursos, es lo cierto que, como resulta de los antecedentes, el itinerario procesal previo no había finalizado, sin que la demora en acudir en amparo le ocasionara una injustificada perpetuación en el tiempo de la lesión del derecho fundamental o diera lugar a que se consumara definitivamente la eventual violación, haciéndose imposible o dificultándose gravemente el restablecimient</w:t>
      </w:r>
      <w:r w:rsidRPr="008D479B">
        <w:rPr>
          <w:i/>
        </w:rPr>
        <w:t>o in integr</w:t>
      </w:r>
      <w:r>
        <w:t>um.</w:t>
      </w:r>
    </w:p>
    <w:p w14:paraId="03E7CBF0" w14:textId="77777777" w:rsidR="008D479B" w:rsidRDefault="008D479B" w:rsidP="008D479B">
      <w:pPr>
        <w:pStyle w:val="TextoNormal"/>
      </w:pPr>
    </w:p>
    <w:p w14:paraId="0F47D589" w14:textId="54C49DE0" w:rsidR="008D479B" w:rsidRDefault="008D479B" w:rsidP="008D479B">
      <w:pPr>
        <w:pStyle w:val="TextoNormal"/>
      </w:pPr>
      <w:r>
        <w:t>En suma, por lo expuesto procede declarar que el presente recurso está incurso en la causa de inadmisión consistente en la falta de agotamiento de la vía judicial previa [art. 44.1 a) LOTC], ya que el procedimiento penal en el que se ha dictado la resolución impugnada no había finalizado cuando se interpuso la demanda de amparo, no concurriendo ninguna de las excepciones reconocidas por la doctrina de este tribunal por la que se le hubiera permitido acudir en amparo frente a decisiones dictadas en el marco de un procedimiento penal no finalizado.</w:t>
      </w:r>
    </w:p>
    <w:p w14:paraId="39D9BF9C" w14:textId="77777777" w:rsidR="008D479B" w:rsidRDefault="008D479B" w:rsidP="008D479B">
      <w:pPr>
        <w:pStyle w:val="TextoNormal"/>
      </w:pPr>
    </w:p>
    <w:p w14:paraId="6224524B" w14:textId="77777777" w:rsidR="008D479B" w:rsidRDefault="008D479B" w:rsidP="008D479B">
      <w:pPr>
        <w:pStyle w:val="TextoNormalCentrado"/>
        <w:keepNext/>
      </w:pPr>
      <w:r>
        <w:t>FALLO</w:t>
      </w:r>
    </w:p>
    <w:p w14:paraId="0311081B" w14:textId="3F70B6DF" w:rsidR="008D479B" w:rsidRDefault="008D479B" w:rsidP="008D479B">
      <w:pPr>
        <w:pStyle w:val="TextoNormalCentrado"/>
        <w:keepNext/>
      </w:pPr>
    </w:p>
    <w:p w14:paraId="57B8FA60" w14:textId="6E6A14C8" w:rsidR="008D479B" w:rsidRDefault="008D479B" w:rsidP="008D479B">
      <w:pPr>
        <w:pStyle w:val="TextoNormal"/>
      </w:pPr>
      <w:r>
        <w:t>En atención a todo lo expuesto, el Tribunal Constitucional, por la autoridad que le confiere la Constitución de la Nación española, ha decidido inadmitir el recurso de amparo núm. 462-2021 formulado por don Josep María Verdaguer Martí.</w:t>
      </w:r>
    </w:p>
    <w:p w14:paraId="45C7B6C7" w14:textId="77777777" w:rsidR="008D479B" w:rsidRDefault="008D479B" w:rsidP="008D479B">
      <w:pPr>
        <w:pStyle w:val="TextoNormal"/>
      </w:pPr>
    </w:p>
    <w:p w14:paraId="14B41C34" w14:textId="77777777" w:rsidR="008D479B" w:rsidRDefault="008D479B" w:rsidP="008D479B">
      <w:pPr>
        <w:pStyle w:val="TextoNormal"/>
      </w:pPr>
      <w:r>
        <w:t>Publíquese esta sentencia en el “Boletín Oficial del Estado”.</w:t>
      </w:r>
    </w:p>
    <w:p w14:paraId="1AA72634" w14:textId="77777777" w:rsidR="008D479B" w:rsidRDefault="008D479B" w:rsidP="008D479B">
      <w:pPr>
        <w:pStyle w:val="TextoNormal"/>
      </w:pPr>
      <w:r>
        <w:t>Dada en Madrid, a veinticinco de septiembre de dos mil veintitrés.</w:t>
      </w:r>
    </w:p>
    <w:p w14:paraId="2A6EC51D" w14:textId="768CC5C5" w:rsidR="008D479B" w:rsidRDefault="008D479B">
      <w:pPr>
        <w:spacing w:after="160" w:line="278" w:lineRule="auto"/>
        <w:rPr>
          <w:rFonts w:ascii="Times New Roman" w:eastAsia="Times New Roman" w:hAnsi="Times New Roman" w:cs="Times New Roman"/>
          <w:sz w:val="24"/>
          <w:szCs w:val="24"/>
          <w:lang w:eastAsia="es-ES"/>
        </w:rPr>
      </w:pPr>
      <w:r>
        <w:br w:type="page"/>
      </w:r>
    </w:p>
    <w:p w14:paraId="113FD2B5" w14:textId="77777777" w:rsidR="008D479B" w:rsidRDefault="008D479B" w:rsidP="008D479B">
      <w:pPr>
        <w:pStyle w:val="TtuloResolucin"/>
      </w:pPr>
      <w:bookmarkStart w:id="27" w:name="SENTENCIA_2023_102"/>
      <w:r>
        <w:t>SENTENCIA 102/2023, de 25 de septiembre de 2023</w:t>
      </w:r>
    </w:p>
    <w:bookmarkEnd w:id="27"/>
    <w:p w14:paraId="0688F7A3" w14:textId="77777777" w:rsidR="008D479B" w:rsidRDefault="008D479B" w:rsidP="008D479B">
      <w:pPr>
        <w:pStyle w:val="TtuloResolucin"/>
      </w:pPr>
      <w:r>
        <w:t>Sala Primera</w:t>
      </w:r>
    </w:p>
    <w:p w14:paraId="4446F354" w14:textId="77777777" w:rsidR="008D479B" w:rsidRDefault="008D479B" w:rsidP="008D479B">
      <w:pPr>
        <w:pStyle w:val="TtuloBOE"/>
      </w:pPr>
      <w:r>
        <w:t>(BOE núm. 261, de 1 de noviembre de 2023)</w:t>
      </w:r>
    </w:p>
    <w:p w14:paraId="65B561ED" w14:textId="77777777" w:rsidR="008D479B" w:rsidRDefault="008D479B" w:rsidP="008D479B">
      <w:pPr>
        <w:pStyle w:val="TextoNormalCentrado"/>
      </w:pPr>
      <w:r>
        <w:t>ECLI:ES:TC:2023:102</w:t>
      </w:r>
    </w:p>
    <w:p w14:paraId="057E1F70" w14:textId="5288D08C" w:rsidR="008D479B" w:rsidRDefault="008D479B" w:rsidP="008D479B">
      <w:pPr>
        <w:pStyle w:val="TextoNormalCentrado"/>
      </w:pPr>
    </w:p>
    <w:p w14:paraId="33AD82B8" w14:textId="77777777" w:rsidR="008D479B" w:rsidRDefault="008D479B" w:rsidP="008D479B">
      <w:pPr>
        <w:pStyle w:val="SntesisDescriptiva"/>
      </w:pPr>
      <w:r>
        <w:t>Recurso de amparo 508-2021. Promovido por Emplazamientos Radiales, S.L., respecto de las resoluciones de la Consejería de Cultura y Política Lingüística del Gobierno Vasco que rechazaron su solicitud de convocatoria de concurso público para la adjudicación de licencias disponibles de comunicación audiovisual de radiodifusión sonora digital terrestre de ámbito local.</w:t>
      </w:r>
    </w:p>
    <w:p w14:paraId="6790692E" w14:textId="276047C1" w:rsidR="008D479B" w:rsidRDefault="008D479B" w:rsidP="008D479B">
      <w:pPr>
        <w:pStyle w:val="SntesisDescriptiva"/>
      </w:pPr>
    </w:p>
    <w:p w14:paraId="7F460607" w14:textId="77777777" w:rsidR="008D479B" w:rsidRDefault="008D479B" w:rsidP="008D479B">
      <w:pPr>
        <w:pStyle w:val="SntesisAnaltica"/>
      </w:pPr>
      <w:r>
        <w:t>Supuesta vulneración del derecho a la igualdad y a las libertades de expresión e información: STC 89/2023 (resolución administrativa que no resulta desproporcionada y que viene impuesta por la inexistencia de reserva de dominio público radioeléctrico). Voto particular.</w:t>
      </w:r>
    </w:p>
    <w:p w14:paraId="3379F9CB" w14:textId="22E9D2BB" w:rsidR="008D479B" w:rsidRDefault="008D479B" w:rsidP="008D479B">
      <w:pPr>
        <w:pStyle w:val="SntesisAnaltica"/>
      </w:pPr>
    </w:p>
    <w:p w14:paraId="03C0323B" w14:textId="4872CA46" w:rsidR="008D479B" w:rsidRDefault="008D479B" w:rsidP="008D479B">
      <w:pPr>
        <w:pStyle w:val="Extracto"/>
      </w:pPr>
      <w:r>
        <w:t>1.</w:t>
      </w:r>
      <w:r>
        <w:tab/>
        <w:t xml:space="preserve">Remisión a la STC 89/2023 que declaró respetados los derechos a expresar y difundir libremente los pensamientos, ideas y opiniones, así como a comunicar o recibir libremente información veraz por cualquier medio de difusión, consagrados en el art. 20.1 a) y d) CE, en relación con el principio de igualdad reconocido en el art. 14 CE, por parte de la actuación administrativa denegatoria de convocatoria de concurso para la concesión de licencias de prestación de servicios audiovisuales </w:t>
      </w:r>
    </w:p>
    <w:p w14:paraId="423F8C69" w14:textId="77777777" w:rsidR="008D479B" w:rsidRDefault="008D479B" w:rsidP="008D479B">
      <w:pPr>
        <w:pStyle w:val="Extracto"/>
      </w:pPr>
    </w:p>
    <w:p w14:paraId="129DBD1F" w14:textId="77777777" w:rsidR="008D479B" w:rsidRDefault="008D479B" w:rsidP="008D479B">
      <w:pPr>
        <w:pStyle w:val="Extracto"/>
      </w:pPr>
    </w:p>
    <w:p w14:paraId="51F4C9BA" w14:textId="77777777" w:rsidR="008D479B" w:rsidRDefault="008D479B" w:rsidP="008D479B">
      <w:pPr>
        <w:pStyle w:val="TextoNormal"/>
      </w:pPr>
      <w:r>
        <w:t>La Sala Primera del Tribunal Constitucional, compuesta por el magistrado don Cándido Conde-Pumpido Tourón, presidente, y los magistrados y magistradas don Ricardo Enríquez Sancho, doña Concepción Espejel Jorquera, doña María Luisa Segoviano Astaburuaga y don Juan Carlos Campo Moreno, ha pronunciado</w:t>
      </w:r>
    </w:p>
    <w:p w14:paraId="1AD12B59" w14:textId="651E2EC3" w:rsidR="008D479B" w:rsidRDefault="008D479B" w:rsidP="008D479B">
      <w:pPr>
        <w:pStyle w:val="TextoNormal"/>
      </w:pPr>
    </w:p>
    <w:p w14:paraId="35508367" w14:textId="77777777" w:rsidR="008D479B" w:rsidRDefault="008D479B" w:rsidP="008D479B">
      <w:pPr>
        <w:pStyle w:val="TextoNormalCentrado"/>
        <w:keepNext/>
      </w:pPr>
      <w:r>
        <w:t>EN NOMBRE DEL REY</w:t>
      </w:r>
    </w:p>
    <w:p w14:paraId="1F75EDEC" w14:textId="0A352EC9" w:rsidR="008D479B" w:rsidRDefault="008D479B" w:rsidP="008D479B">
      <w:pPr>
        <w:pStyle w:val="TextoNormalCentrado"/>
        <w:keepNext/>
      </w:pPr>
    </w:p>
    <w:p w14:paraId="2DE25B06" w14:textId="77777777" w:rsidR="008D479B" w:rsidRDefault="008D479B" w:rsidP="008D479B">
      <w:pPr>
        <w:pStyle w:val="TextoNormalCentrado"/>
        <w:keepNext/>
      </w:pPr>
    </w:p>
    <w:p w14:paraId="112E7540" w14:textId="77777777" w:rsidR="008D479B" w:rsidRDefault="008D479B" w:rsidP="008D479B">
      <w:pPr>
        <w:pStyle w:val="TextoNormal"/>
      </w:pPr>
      <w:r>
        <w:t>la siguiente</w:t>
      </w:r>
    </w:p>
    <w:p w14:paraId="3F5BD25A" w14:textId="40A1906D" w:rsidR="008D479B" w:rsidRDefault="008D479B" w:rsidP="008D479B">
      <w:pPr>
        <w:pStyle w:val="TextoNormal"/>
      </w:pPr>
    </w:p>
    <w:p w14:paraId="33126554" w14:textId="77777777" w:rsidR="008D479B" w:rsidRDefault="008D479B" w:rsidP="008D479B">
      <w:pPr>
        <w:pStyle w:val="TextoNormalCentrado"/>
        <w:keepNext/>
      </w:pPr>
      <w:r>
        <w:t>SENTENCIA</w:t>
      </w:r>
    </w:p>
    <w:p w14:paraId="7D1DFEF3" w14:textId="02CAA46C" w:rsidR="008D479B" w:rsidRDefault="008D479B" w:rsidP="008D479B">
      <w:pPr>
        <w:pStyle w:val="TextoNormalCentrado"/>
        <w:keepNext/>
      </w:pPr>
    </w:p>
    <w:p w14:paraId="418B6CA4" w14:textId="77777777" w:rsidR="008D479B" w:rsidRDefault="008D479B" w:rsidP="008D479B">
      <w:pPr>
        <w:pStyle w:val="TextoNormal"/>
      </w:pPr>
      <w:r>
        <w:t>En el recurso de amparo número 508-2021, promovido por la mercantil Emplazamientos Radiales, S.L., representada por la procuradora de los tribunales doña María Leceta Bilbao y asistida por el abogado don Jaime Rodríguez Díez, contra la orden del consejero de Cultura y Política Lingüística del Gobierno Vasco de 21 de enero de 2019, por la que se desestima el recurso de alzada interpuesto contra la resolución de la directora de Gabinete y Medios de Comunicación Social de 14 de Noviembre de 2018 desestimatoria de la solicitud de convocatoria de concurso público para el otorgamiento de las licencias de comunicación audiovisual de radiodifusión sonora digital terrestre en la Comunidad Autónoma del País Vasco. Ha comparecido la referida comunidad autónoma y ha intervenido el Ministerio Fiscal. Ha sido ponente la magistrada doña María Luisa Segoviano Astaburuaga.</w:t>
      </w:r>
    </w:p>
    <w:p w14:paraId="3E98421C" w14:textId="75C92B34" w:rsidR="008D479B" w:rsidRDefault="008D479B" w:rsidP="008D479B">
      <w:pPr>
        <w:pStyle w:val="TextoNormal"/>
      </w:pPr>
    </w:p>
    <w:p w14:paraId="268CF683" w14:textId="77777777" w:rsidR="008D479B" w:rsidRDefault="008D479B" w:rsidP="008D479B">
      <w:pPr>
        <w:pStyle w:val="TextoNormalNegritaCentrado"/>
        <w:keepNext/>
      </w:pPr>
      <w:r>
        <w:t>I. Antecedentes</w:t>
      </w:r>
    </w:p>
    <w:p w14:paraId="2E7E7F1E" w14:textId="45DF675B" w:rsidR="008D479B" w:rsidRDefault="008D479B" w:rsidP="008D479B">
      <w:pPr>
        <w:pStyle w:val="TextoNormalNegritaCentrado"/>
        <w:keepNext/>
      </w:pPr>
    </w:p>
    <w:p w14:paraId="56EF386D" w14:textId="6F4CEBD3" w:rsidR="008D479B" w:rsidRDefault="008D479B" w:rsidP="008D479B">
      <w:pPr>
        <w:pStyle w:val="TextoNormal"/>
      </w:pPr>
      <w:r w:rsidRPr="008D479B">
        <w:rPr>
          <w:rStyle w:val="NumeroAFNegritaCaracter"/>
        </w:rPr>
        <w:t>1</w:t>
      </w:r>
      <w:r>
        <w:t>. Mediante escrito presentado en el registro general de este tribunal el 27 de enero de 2021, la procuradora de los tribunales doña María Leceta Bilbao, actuando en nombre y representación de Emplazamientos Radiales, S.L., bajo la defensa del letrado don Jaime Rodríguez Díez, interpuso demanda de amparo contra la orden arriba mencionada.</w:t>
      </w:r>
    </w:p>
    <w:p w14:paraId="180BB6BA" w14:textId="77777777" w:rsidR="008D479B" w:rsidRDefault="008D479B" w:rsidP="008D479B">
      <w:pPr>
        <w:pStyle w:val="TextoNormal"/>
      </w:pPr>
    </w:p>
    <w:p w14:paraId="19883B03" w14:textId="77777777" w:rsidR="008D479B" w:rsidRDefault="008D479B" w:rsidP="008D479B">
      <w:pPr>
        <w:pStyle w:val="TextoNormal"/>
      </w:pPr>
      <w:r w:rsidRPr="008D479B">
        <w:rPr>
          <w:rStyle w:val="NumeroAFNegritaCaracter"/>
        </w:rPr>
        <w:t>2</w:t>
      </w:r>
      <w:r>
        <w:t>. Los hechos con relevancia para la resolución del presente recurso de amparo y a los que se refiere la demanda presentada son los siguientes:</w:t>
      </w:r>
    </w:p>
    <w:p w14:paraId="0A2C09A8" w14:textId="77777777" w:rsidR="008D479B" w:rsidRDefault="008D479B" w:rsidP="008D479B">
      <w:pPr>
        <w:pStyle w:val="TextoNormal"/>
      </w:pPr>
    </w:p>
    <w:p w14:paraId="7BE70A6B" w14:textId="77777777" w:rsidR="008D479B" w:rsidRDefault="008D479B" w:rsidP="008D479B">
      <w:pPr>
        <w:pStyle w:val="TextoNormal"/>
      </w:pPr>
      <w:r>
        <w:t>a) La entidad Emplazamientos Radiales, S.L., interpuso recurso contencioso administrativo contra la orden del consejero de Cultura y Política Lingüística del Gobierno Vasco de 21 de enero de 2019, por la que se desestima el recurso de alzada interpuesto contra la resolución de la directora de Gabinete y Medios de Comunicación Social de 14 de noviembre de 2018 desestimatoria de su solicitud de convocatoria de concurso público para el otorgamiento de las licencias de comunicación audiovisual de radiodifusión sonora digital terrestre en la Comunidad Autónoma del País Vasco.</w:t>
      </w:r>
    </w:p>
    <w:p w14:paraId="12C6A028" w14:textId="77777777" w:rsidR="008D479B" w:rsidRDefault="008D479B" w:rsidP="008D479B">
      <w:pPr>
        <w:pStyle w:val="TextoNormal"/>
      </w:pPr>
    </w:p>
    <w:p w14:paraId="5A4294DF" w14:textId="77777777" w:rsidR="008D479B" w:rsidRDefault="008D479B" w:rsidP="008D479B">
      <w:pPr>
        <w:pStyle w:val="TextoNormal"/>
      </w:pPr>
      <w:r>
        <w:t>b) La Sala de lo Contencioso-Administrativo del Tribunal Superior de Justicia del País Vasco desestimó el recurso interpuesto por sentencia de 24 de abril de 2020 (ECLI:ES:TSJPV:2020:1600) al concluir que declarada extinguida la planificación radioeléctrica no cabe exigir la convocatoria de las reservas de dominio público incluidas en la misma, sin que ello vulnere el carácter reglado que se confiere a la norma, el deber de convocar todas las licencias disponibles vacantes, el interés general o los derechos constitucionales a la libertad de expresión e información o a la libertad de empresa.</w:t>
      </w:r>
    </w:p>
    <w:p w14:paraId="4DD47FE1" w14:textId="77777777" w:rsidR="008D479B" w:rsidRDefault="008D479B" w:rsidP="008D479B">
      <w:pPr>
        <w:pStyle w:val="TextoNormal"/>
      </w:pPr>
    </w:p>
    <w:p w14:paraId="5183D021" w14:textId="5B11DA5B" w:rsidR="008D479B" w:rsidRDefault="008D479B" w:rsidP="008D479B">
      <w:pPr>
        <w:pStyle w:val="TextoNormal"/>
      </w:pPr>
      <w:r>
        <w:t>c) Frente a dicha sentencia la representación procesal de la mercantil ahora recurrente en amparo interpuso recurso de casación, que fue inadmitido a trámite por providencia de la Sección Primera de la Sala de lo Contencioso-Administrativo del Tribunal Supremo de 21 de enero de 2021 por pérdida sobrevenida en el recurso de interés casacional objetivo para la formación de jurisprudencia a la vista de las SSTS de 25 y 26 de noviembre de 2020 (ECLI:ES:TS:2020:4171, ECLI:ES:TS:2020:4120 y ECLI:ES:TS:2020:4118) y de 14 de diciembre de 2020 (ECLI:ES:TS:2020:4355).</w:t>
      </w:r>
    </w:p>
    <w:p w14:paraId="3968857E" w14:textId="77777777" w:rsidR="008D479B" w:rsidRDefault="008D479B" w:rsidP="008D479B">
      <w:pPr>
        <w:pStyle w:val="TextoNormal"/>
      </w:pPr>
    </w:p>
    <w:p w14:paraId="224DAA30" w14:textId="77777777" w:rsidR="008D479B" w:rsidRDefault="008D479B" w:rsidP="008D479B">
      <w:pPr>
        <w:pStyle w:val="TextoNormal"/>
      </w:pPr>
      <w:r w:rsidRPr="008D479B">
        <w:rPr>
          <w:rStyle w:val="NumeroAFNegritaCaracter"/>
        </w:rPr>
        <w:t>3</w:t>
      </w:r>
      <w:r>
        <w:t>. En la demanda de amparo se alegan las siguientes vulneraciones constitucionales:</w:t>
      </w:r>
    </w:p>
    <w:p w14:paraId="054D3C2D" w14:textId="77777777" w:rsidR="008D479B" w:rsidRDefault="008D479B" w:rsidP="008D479B">
      <w:pPr>
        <w:pStyle w:val="TextoNormal"/>
      </w:pPr>
    </w:p>
    <w:p w14:paraId="7FE993D6" w14:textId="77777777" w:rsidR="008D479B" w:rsidRDefault="008D479B" w:rsidP="008D479B">
      <w:pPr>
        <w:pStyle w:val="TextoNormal"/>
      </w:pPr>
      <w:r>
        <w:t>a) Afirma que la negativa a convocar un concurso público por parte del Gobierno del País Vasco amparándose en el transcurso de un plazo imputable a su propia inactividad y el consiguiente decaimiento de la planificación del espacio radioeléctrico ha imposibilitado el ejercicio de los derechos fundamentales a la libertad de información, comunicación y expresión, en relación con el art. 14 CE, en concreto, de su derecho a crear los medios de comunicación indispensables para el ejercicio del derecho a expresar y difundir libremente los pensamientos, ideas y opiniones mediante la palabra, el escrito o cualquier otro medio de reproducción [art. 20.1 a) CE] y a comunicar o recibir libremente información veraz por cualquier medio de difusión [art. 20.1 d) CE]. Entiende que prevalece el deber de convocar el concurso de adjudicación (art. 27.2 LGCA) sobre el eventual decaimiento de la reserva del espectro radioeléctrico (art. 27.4 LGCA) por lo que ha sido la inacción de la administración pública la causante de que no se haya aprovechado el espectro que el Estado ha otorgado a la comunidad autónoma, lo que invalida el acto recurrido por ser contrario a los derechos invocados. Alega que otras comunidades autónomas han convocado los concursos de licencias más allá del plazo establecido y que la negativa a convocar los concursos de adjudicación de licencias vacantes es incompatible con la Directiva 2018/1972, de 11 de diciembre, por la que se establece el Código europeo de las comunicaciones electrónicas, por crear barreras de acceso al mercado e inutilizar el espectro radioeléctrico.</w:t>
      </w:r>
    </w:p>
    <w:p w14:paraId="3563EBDF" w14:textId="77777777" w:rsidR="008D479B" w:rsidRDefault="008D479B" w:rsidP="008D479B">
      <w:pPr>
        <w:pStyle w:val="TextoNormal"/>
      </w:pPr>
    </w:p>
    <w:p w14:paraId="34FE05B3" w14:textId="77777777" w:rsidR="008D479B" w:rsidRDefault="008D479B" w:rsidP="008D479B">
      <w:pPr>
        <w:pStyle w:val="TextoNormal"/>
      </w:pPr>
      <w:r>
        <w:t>Sostiene también que existe una patente contradicción entre las sentencias del Tribunal Supremo al diferenciar incorrectamente entre licencias de televisión digital y licencias de radiodifusión digital para la protección de los derechos fundamentales.</w:t>
      </w:r>
    </w:p>
    <w:p w14:paraId="39F819B4" w14:textId="77777777" w:rsidR="008D479B" w:rsidRDefault="008D479B" w:rsidP="008D479B">
      <w:pPr>
        <w:pStyle w:val="TextoNormal"/>
      </w:pPr>
    </w:p>
    <w:p w14:paraId="6E55936A" w14:textId="77777777" w:rsidR="008D479B" w:rsidRDefault="008D479B" w:rsidP="008D479B">
      <w:pPr>
        <w:pStyle w:val="TextoNormal"/>
      </w:pPr>
      <w:r>
        <w:t xml:space="preserve">Añade, en fin, que la negativa a conceder una licencia de radiodifusión infringe el art. 10, apartado 1, del Convenio europeo de derechos humanos (CEDH) y cita las resoluciones del Tribunal Europeo de Derechos Humanos de 20 de octubre de 1997, asunto </w:t>
      </w:r>
      <w:r w:rsidRPr="008D479B">
        <w:rPr>
          <w:i/>
        </w:rPr>
        <w:t>Radio ABC c. Austria</w:t>
      </w:r>
      <w:r>
        <w:t xml:space="preserve">; de 23 de noviembre de 1999, asunto </w:t>
      </w:r>
      <w:r w:rsidRPr="008D479B">
        <w:rPr>
          <w:i/>
        </w:rPr>
        <w:t>Leveque c. Francia</w:t>
      </w:r>
      <w:r>
        <w:t xml:space="preserve">; de 7 de noviembre de 2000, asunto </w:t>
      </w:r>
      <w:r w:rsidRPr="008D479B">
        <w:rPr>
          <w:i/>
        </w:rPr>
        <w:t>United Christian Broadcasters Ltd. c. Reino Unido</w:t>
      </w:r>
      <w:r>
        <w:t xml:space="preserve">; de 11 de octubre de 2007, asunto </w:t>
      </w:r>
      <w:r w:rsidRPr="008D479B">
        <w:rPr>
          <w:i/>
        </w:rPr>
        <w:t>Glas Nadejda EOOD y Elenkov c. Bulgaria</w:t>
      </w:r>
      <w:r>
        <w:t xml:space="preserve">; de 17 de junio de 2008, asunto </w:t>
      </w:r>
      <w:r w:rsidRPr="008D479B">
        <w:rPr>
          <w:i/>
        </w:rPr>
        <w:t>Meltex Ltd y Movsessian c. Armenia</w:t>
      </w:r>
      <w:r>
        <w:t xml:space="preserve">, así como el dictamen del Comité de Derechos Humanos de Naciones Unidas, de 27 de octubre de 2016, en el caso </w:t>
      </w:r>
      <w:r w:rsidRPr="008D479B">
        <w:rPr>
          <w:i/>
        </w:rPr>
        <w:t>Azagade c. Azerbaiyán</w:t>
      </w:r>
      <w:r>
        <w:t>.</w:t>
      </w:r>
    </w:p>
    <w:p w14:paraId="3703FE3B" w14:textId="77777777" w:rsidR="008D479B" w:rsidRDefault="008D479B" w:rsidP="008D479B">
      <w:pPr>
        <w:pStyle w:val="TextoNormal"/>
      </w:pPr>
    </w:p>
    <w:p w14:paraId="2172AE72" w14:textId="6040F949" w:rsidR="008D479B" w:rsidRDefault="008D479B" w:rsidP="008D479B">
      <w:pPr>
        <w:pStyle w:val="TextoNormal"/>
      </w:pPr>
      <w:r>
        <w:t>b) En segundo lugar, considera vulnerado el derecho a la igualdad (art. 14 CE), al haberse convocado en otras comunidades autónomas concursos públicos de licencias de comunicación audiovisual. Mantiene que el art. 27.4 LGCA, al tener la consideración de normativa básica, debe aplicarse de forma similar en todo el territorio estatal y la dispar interpretación efectuada por las distintas comunidades autónomas, a juicio de la entidad recurrente, lesiona el art. 14 CE.</w:t>
      </w:r>
    </w:p>
    <w:p w14:paraId="4D45B613" w14:textId="77777777" w:rsidR="008D479B" w:rsidRDefault="008D479B" w:rsidP="008D479B">
      <w:pPr>
        <w:pStyle w:val="TextoNormal"/>
      </w:pPr>
    </w:p>
    <w:p w14:paraId="6E16A52F" w14:textId="77777777" w:rsidR="008D479B" w:rsidRDefault="008D479B" w:rsidP="008D479B">
      <w:pPr>
        <w:pStyle w:val="TextoNormal"/>
      </w:pPr>
      <w:r w:rsidRPr="008D479B">
        <w:rPr>
          <w:rStyle w:val="NumeroAFNegritaCaracter"/>
        </w:rPr>
        <w:t>4</w:t>
      </w:r>
      <w:r>
        <w:t>. Por providencia de 24 de octubre de 2022, la Sección Segunda del Tribunal Constitucional acordó admitir a trámite la demanda de amparo, al apreciar que concurría en la misma una especial trascendencia constitucional [art. 50.1 de la Ley Orgánica del Tribunal Constitucional (LOTC)] porque el recurso podía dar ocasión al Tribunal para aclarar o cambiar su doctrina, como consecuencia de un proceso de reflexión interna [STC 155/2009, de 25 de junio, FJ 2 b)] y el asunto suscitado trascendía del caso concreto porque plantea una cuestión jurídica de relevante y general repercusión social o económica [STC 155/2009, FJ 2 g)].</w:t>
      </w:r>
    </w:p>
    <w:p w14:paraId="2A136A26" w14:textId="77777777" w:rsidR="008D479B" w:rsidRDefault="008D479B" w:rsidP="008D479B">
      <w:pPr>
        <w:pStyle w:val="TextoNormal"/>
      </w:pPr>
    </w:p>
    <w:p w14:paraId="3345C4F8" w14:textId="25748B15" w:rsidR="008D479B" w:rsidRDefault="008D479B" w:rsidP="008D479B">
      <w:pPr>
        <w:pStyle w:val="TextoNormal"/>
      </w:pPr>
      <w:r>
        <w:t>Asimismo, acordó dar cumplimiento a lo dispuesto en el art. 51 LOTC y formar la correspondiente pieza separada de suspensión, que fue concluida por ATC 13/2023, de 6 de febrero, en el que se acordó denegar la suspensión cautelar solicitada.</w:t>
      </w:r>
    </w:p>
    <w:p w14:paraId="7439BDAE" w14:textId="77777777" w:rsidR="008D479B" w:rsidRDefault="008D479B" w:rsidP="008D479B">
      <w:pPr>
        <w:pStyle w:val="TextoNormal"/>
      </w:pPr>
    </w:p>
    <w:p w14:paraId="2B46C871" w14:textId="52146D38" w:rsidR="008D479B" w:rsidRDefault="008D479B" w:rsidP="008D479B">
      <w:pPr>
        <w:pStyle w:val="TextoNormal"/>
      </w:pPr>
      <w:r w:rsidRPr="008D479B">
        <w:rPr>
          <w:rStyle w:val="NumeroAFNegritaCaracter"/>
        </w:rPr>
        <w:t>5</w:t>
      </w:r>
      <w:r>
        <w:t>. Por diligencia de ordenación de la Secretaría de Justicia de la Sección se tuvo por personada a la Comunidad Autónoma del País Vasco. Y, a tenor de lo dispuesto en el art. 52 LOTC, se dio vista de las actuaciones, por un plazo común de veinte días, al Ministerio Fiscal y a las partes personadas para que dentro de dicho término pudieran presentar las alegaciones que a su derecho conviniera.</w:t>
      </w:r>
    </w:p>
    <w:p w14:paraId="73764CC0" w14:textId="77777777" w:rsidR="008D479B" w:rsidRDefault="008D479B" w:rsidP="008D479B">
      <w:pPr>
        <w:pStyle w:val="TextoNormal"/>
      </w:pPr>
    </w:p>
    <w:p w14:paraId="5DCAA8B3" w14:textId="42B6B132" w:rsidR="008D479B" w:rsidRDefault="008D479B" w:rsidP="008D479B">
      <w:pPr>
        <w:pStyle w:val="TextoNormal"/>
      </w:pPr>
      <w:r w:rsidRPr="008D479B">
        <w:rPr>
          <w:rStyle w:val="NumeroAFNegritaCaracter"/>
        </w:rPr>
        <w:t>6</w:t>
      </w:r>
      <w:r>
        <w:t>. La demandante de amparo presentó sus alegaciones mediante escrito registrado el 12 de enero de 2023 en el que reiteraba los argumentos expuestos en la demanda.</w:t>
      </w:r>
    </w:p>
    <w:p w14:paraId="46F83089" w14:textId="77777777" w:rsidR="008D479B" w:rsidRDefault="008D479B" w:rsidP="008D479B">
      <w:pPr>
        <w:pStyle w:val="TextoNormal"/>
      </w:pPr>
    </w:p>
    <w:p w14:paraId="303A10DC" w14:textId="53BD6C62" w:rsidR="008D479B" w:rsidRDefault="008D479B" w:rsidP="008D479B">
      <w:pPr>
        <w:pStyle w:val="TextoNormal"/>
      </w:pPr>
      <w:r w:rsidRPr="008D479B">
        <w:rPr>
          <w:rStyle w:val="NumeroAFNegritaCaracter"/>
        </w:rPr>
        <w:t>7</w:t>
      </w:r>
      <w:r>
        <w:t>. La Comunidad Autónoma del País Vasco, con la representación y asistencia de letrada de su servicio jurídico, presentó sus alegaciones mediante escrito registrado el 16 de enero de 2023. Alega como causas de inadmisibilidad la falta de agotamiento de la vía judicial previa al no haberse interpuesto incidente de nulidad de actuaciones contra la providencia del Tribunal Supremo que inadmitió el recurso de casación, la carencia de especial trascendencia constitucional y la pérdida sobrevenida del objeto del recurso de amparo a causa de la derogación de la Ley general de la comunicación audiovisual. Interesa, subsidiariamente, su desestimación al rechazar que se hayan vulnerado los derechos invocados en la demanda de amparo.</w:t>
      </w:r>
    </w:p>
    <w:p w14:paraId="39B331A7" w14:textId="77777777" w:rsidR="008D479B" w:rsidRDefault="008D479B" w:rsidP="008D479B">
      <w:pPr>
        <w:pStyle w:val="TextoNormal"/>
      </w:pPr>
    </w:p>
    <w:p w14:paraId="1EE78B6B" w14:textId="77777777" w:rsidR="008D479B" w:rsidRDefault="008D479B" w:rsidP="008D479B">
      <w:pPr>
        <w:pStyle w:val="TextoNormal"/>
      </w:pPr>
      <w:r w:rsidRPr="008D479B">
        <w:rPr>
          <w:rStyle w:val="NumeroAFNegritaCaracter"/>
        </w:rPr>
        <w:t>8</w:t>
      </w:r>
      <w:r>
        <w:t>. El Ministerio Fiscal presentó sus alegaciones mediante escrito registrado el 20 de enero de 2023 en el que solicita la desestimación del recurso de amparo.</w:t>
      </w:r>
    </w:p>
    <w:p w14:paraId="248CC39B" w14:textId="77777777" w:rsidR="008D479B" w:rsidRDefault="008D479B" w:rsidP="008D479B">
      <w:pPr>
        <w:pStyle w:val="TextoNormal"/>
      </w:pPr>
    </w:p>
    <w:p w14:paraId="64DFC2B5" w14:textId="77777777" w:rsidR="008D479B" w:rsidRDefault="008D479B" w:rsidP="008D479B">
      <w:pPr>
        <w:pStyle w:val="TextoNormal"/>
      </w:pPr>
      <w:r>
        <w:t>Descarta, en primer lugar, que se haya producido una vulneración del art. 14 CE, al no existir el término válido de comparación exigido para que se produzca la vulneración, pues no se han dictado las resoluciones por los mismos órganos, ni en el caso del reproche dirigido al Tribunal Supremo concurre la identidad de supuestos exigida.</w:t>
      </w:r>
    </w:p>
    <w:p w14:paraId="0BF59AFB" w14:textId="77777777" w:rsidR="008D479B" w:rsidRDefault="008D479B" w:rsidP="008D479B">
      <w:pPr>
        <w:pStyle w:val="TextoNormal"/>
      </w:pPr>
    </w:p>
    <w:p w14:paraId="31CB57F6" w14:textId="77777777" w:rsidR="008D479B" w:rsidRDefault="008D479B" w:rsidP="008D479B">
      <w:pPr>
        <w:pStyle w:val="TextoNormal"/>
      </w:pPr>
      <w:r>
        <w:t>Rechaza, asimismo, la vulneración del art. 20.1 a) y d) CE al existir una regulación normativa que establece el marco temporal de reserva del espacio radioeléctrico a los efectos de convocar los correspondientes concursos. Entiende que corresponde al legislador una mayor libertad de configuración normativa para disciplinar los soportes técnicos e instrumentos de comunicación, que la que posee al ordenar directamente los derechos fundamentales del art. 20.1 CE. De este modo las resoluciones administrativas y las sentencias que aplican la regulación establecida en este ámbito difícilmente pueden lesionar los derechos invocados.</w:t>
      </w:r>
    </w:p>
    <w:p w14:paraId="7ADAD355" w14:textId="77777777" w:rsidR="008D479B" w:rsidRDefault="008D479B" w:rsidP="008D479B">
      <w:pPr>
        <w:pStyle w:val="TextoNormal"/>
      </w:pPr>
    </w:p>
    <w:p w14:paraId="3B411118" w14:textId="2C4AE261" w:rsidR="008D479B" w:rsidRDefault="008D479B" w:rsidP="008D479B">
      <w:pPr>
        <w:pStyle w:val="TextoNormal"/>
      </w:pPr>
      <w:r>
        <w:t xml:space="preserve">Finalmente, considera que las resoluciones del Tribunal Europeo de Derechos Humanos citadas no son aplicables por tratarse de decisiones de inadmisión o, en el caso de la STEDH de 20 de octubre de 1997, asunto </w:t>
      </w:r>
      <w:r w:rsidRPr="008D479B">
        <w:rPr>
          <w:i/>
        </w:rPr>
        <w:t>Radio</w:t>
      </w:r>
      <w:r>
        <w:t xml:space="preserve"> </w:t>
      </w:r>
      <w:r w:rsidRPr="008D479B">
        <w:rPr>
          <w:i/>
        </w:rPr>
        <w:t>ABC c. Austria</w:t>
      </w:r>
      <w:r>
        <w:t>, porque toda la actividad se subordinaba a una concesión del legislador federal que no se produjo, situación que se mantuvo durante tres periodos de tiempo, supuesto distinto al contemplado en la regulación española.</w:t>
      </w:r>
    </w:p>
    <w:p w14:paraId="2D86318D" w14:textId="77777777" w:rsidR="008D479B" w:rsidRDefault="008D479B" w:rsidP="008D479B">
      <w:pPr>
        <w:pStyle w:val="TextoNormal"/>
      </w:pPr>
    </w:p>
    <w:p w14:paraId="5C7B95CD" w14:textId="0C2EB75C" w:rsidR="008D479B" w:rsidRDefault="008D479B" w:rsidP="008D479B">
      <w:pPr>
        <w:pStyle w:val="TextoNormal"/>
      </w:pPr>
      <w:r w:rsidRPr="008D479B">
        <w:rPr>
          <w:rStyle w:val="NumeroAFNegritaCaracter"/>
        </w:rPr>
        <w:t>9</w:t>
      </w:r>
      <w:r>
        <w:t>. Por providencia de 21 de septiembre de 2023 se señaló para la deliberación y votación de la presente sentencia el día 25 del mismo mes y año.</w:t>
      </w:r>
    </w:p>
    <w:p w14:paraId="7C6BBCC7" w14:textId="77777777" w:rsidR="008D479B" w:rsidRDefault="008D479B" w:rsidP="008D479B">
      <w:pPr>
        <w:pStyle w:val="TextoNormal"/>
      </w:pPr>
    </w:p>
    <w:p w14:paraId="1E96CD7F" w14:textId="77777777" w:rsidR="008D479B" w:rsidRDefault="008D479B" w:rsidP="008D479B">
      <w:pPr>
        <w:pStyle w:val="TextoNormalNegritaCentrado"/>
        <w:keepNext/>
      </w:pPr>
      <w:r>
        <w:t>II. Fundamentos jurídicos</w:t>
      </w:r>
    </w:p>
    <w:p w14:paraId="548A30E1" w14:textId="54821CC6" w:rsidR="008D479B" w:rsidRDefault="008D479B" w:rsidP="008D479B">
      <w:pPr>
        <w:pStyle w:val="TextoNormalNegritaCentrado"/>
        <w:keepNext/>
      </w:pPr>
    </w:p>
    <w:p w14:paraId="30DE016A" w14:textId="77777777" w:rsidR="008D479B" w:rsidRDefault="008D479B" w:rsidP="008D479B">
      <w:pPr>
        <w:pStyle w:val="TextoNormal"/>
      </w:pPr>
      <w:r w:rsidRPr="008D479B">
        <w:rPr>
          <w:rStyle w:val="NumeroAFNegritaCaracter"/>
        </w:rPr>
        <w:t>1</w:t>
      </w:r>
      <w:r>
        <w:t xml:space="preserve">. </w:t>
      </w:r>
      <w:r w:rsidRPr="008D479B">
        <w:rPr>
          <w:i/>
        </w:rPr>
        <w:t>Objeto del recurso</w:t>
      </w:r>
    </w:p>
    <w:p w14:paraId="3CD19941" w14:textId="77777777" w:rsidR="008D479B" w:rsidRDefault="008D479B" w:rsidP="008D479B">
      <w:pPr>
        <w:pStyle w:val="TextoNormal"/>
      </w:pPr>
    </w:p>
    <w:p w14:paraId="6278FA35" w14:textId="16AD3510" w:rsidR="008D479B" w:rsidRDefault="008D479B" w:rsidP="008D479B">
      <w:pPr>
        <w:pStyle w:val="TextoNormal"/>
      </w:pPr>
      <w:r>
        <w:t>El objeto de este recurso es determinar si la orden del consejero de Cultura y Política Lingüística del Gobierno Vasco de 21 de enero de 2019, por la que se desestima el recurso de alzada interpuesto contra la resolución de la directora de Gabinete y Medios de Comunicación Social de 14 de noviembre de 2018 desestimatoria de la solicitud de convocatoria de concurso público para el otorgamiento de las licencias de comunicación audiovisual de radiodifusión sonora digital terrestre en la Comunidad Autónoma del País Vasco, vulnera los derechos fundamentales a la libertad de información, comunicación y expresión [art. 20.1 a) y d) CE], en relación con el art. 14 CE.</w:t>
      </w:r>
    </w:p>
    <w:p w14:paraId="66C5966A" w14:textId="77777777" w:rsidR="008D479B" w:rsidRDefault="008D479B" w:rsidP="008D479B">
      <w:pPr>
        <w:pStyle w:val="TextoNormal"/>
      </w:pPr>
    </w:p>
    <w:p w14:paraId="02F74086" w14:textId="77777777" w:rsidR="008D479B" w:rsidRDefault="008D479B" w:rsidP="008D479B">
      <w:pPr>
        <w:pStyle w:val="TextoNormal"/>
      </w:pPr>
      <w:r w:rsidRPr="008D479B">
        <w:rPr>
          <w:rStyle w:val="NumeroAFNegritaCaracter"/>
        </w:rPr>
        <w:t>2</w:t>
      </w:r>
      <w:r>
        <w:t xml:space="preserve">. </w:t>
      </w:r>
      <w:r w:rsidRPr="008D479B">
        <w:rPr>
          <w:i/>
        </w:rPr>
        <w:t>Cuestiones previas: falta de agotamiento de la vía judicial previa, justificación de la especial trascendencia constitucional y carencia sobrevenida de objeto</w:t>
      </w:r>
    </w:p>
    <w:p w14:paraId="70970904" w14:textId="77777777" w:rsidR="008D479B" w:rsidRDefault="008D479B" w:rsidP="008D479B">
      <w:pPr>
        <w:pStyle w:val="TextoNormal"/>
      </w:pPr>
    </w:p>
    <w:p w14:paraId="43AF10A7" w14:textId="77777777" w:rsidR="008D479B" w:rsidRDefault="008D479B" w:rsidP="008D479B">
      <w:pPr>
        <w:pStyle w:val="TextoNormal"/>
      </w:pPr>
      <w:r>
        <w:t>En primer lugar, como se ha indicado en los antecedentes, la Comunidad Autónoma del País Vasco alega como causa de inadmisibilidad del recurso que la demanda interpuesta no ha agotado la vía judicial al no haber interpuesto incidente de nulidad de actuaciones contra la resolución del Tribunal Supremo que inadmitió el recurso de casación. Esta alegación no puede prosperar. En el presente caso, al encontrarnos ante un recurso de amparo interpuesto por la vía del art. 43 LOTC —las vulneraciones constitucionales en las que se fundamenta se imputan a las resoluciones administrativas y no a las judiciales—, a tenor de lo dispuesto en el art. 241.1 de la Ley Orgánica del Poder Judicial, es manifiesto que no procede interponer un incidente de nulidad de actuaciones para agotar la vía judicial y cumplir lo previsto en el art. 44.1 a) LOTC.</w:t>
      </w:r>
    </w:p>
    <w:p w14:paraId="6AC238C2" w14:textId="77777777" w:rsidR="008D479B" w:rsidRDefault="008D479B" w:rsidP="008D479B">
      <w:pPr>
        <w:pStyle w:val="TextoNormal"/>
      </w:pPr>
    </w:p>
    <w:p w14:paraId="4A5DEA08" w14:textId="77777777" w:rsidR="008D479B" w:rsidRDefault="008D479B" w:rsidP="008D479B">
      <w:pPr>
        <w:pStyle w:val="TextoNormal"/>
      </w:pPr>
      <w:r>
        <w:t>También se aduce que el recurso ha de ser inadmitido por carecer de especial trascendencia constitucional. De acuerdo con la doctrina constitucional, corresponde únicamente al Tribunal apreciar en cada caso, en el momento de admitir a trámite el recurso de amparo, si este tiene especial trascendencia constitucional, de acuerdo con lo exigido por el art. 50.1 LOTC (así, SSTC 155/2020, de 4 de noviembre, FJ 2, o 43/2022, de 21 de marzo, FJ 2, y 13/2003, de 6 de marzo, FJ 2, entre otras muchas). En consecuencia, esta causa de inadmisión ha de rechazarse.</w:t>
      </w:r>
    </w:p>
    <w:p w14:paraId="57A1037E" w14:textId="77777777" w:rsidR="008D479B" w:rsidRDefault="008D479B" w:rsidP="008D479B">
      <w:pPr>
        <w:pStyle w:val="TextoNormal"/>
      </w:pPr>
    </w:p>
    <w:p w14:paraId="367DD589" w14:textId="38DE8C1B" w:rsidR="008D479B" w:rsidRDefault="008D479B" w:rsidP="008D479B">
      <w:pPr>
        <w:pStyle w:val="TextoNormal"/>
      </w:pPr>
      <w:r>
        <w:t>Por último, no puede tener acogida la pérdida de objeto del recurso de amparo que la representación de la comunidad autónoma atribuye a la derogación de la Ley 7/2010, de 31 de marzo, general de la comunicación audiovisual, por la nueva Ley 13/2022, de 7 de julio, general de comunicación audiovisual. Lo que se discute en este proceso constitucional es si la actuación administrativa en aplicación de la LGCA 2010 ha incurrido en la lesión de los derechos de comunicación e información reconocidos en el art. 20 CE, en relación con el art. 14 CE, que denuncia la demandante. Desde esa perspectiva, la modificación legal operada no priva de objeto al presente recurso.</w:t>
      </w:r>
    </w:p>
    <w:p w14:paraId="59FD135F" w14:textId="77777777" w:rsidR="008D479B" w:rsidRDefault="008D479B" w:rsidP="008D479B">
      <w:pPr>
        <w:pStyle w:val="TextoNormal"/>
      </w:pPr>
    </w:p>
    <w:p w14:paraId="0F6140DE" w14:textId="77777777" w:rsidR="008D479B" w:rsidRDefault="008D479B" w:rsidP="008D479B">
      <w:pPr>
        <w:pStyle w:val="TextoNormal"/>
      </w:pPr>
      <w:r w:rsidRPr="008D479B">
        <w:rPr>
          <w:rStyle w:val="NumeroAFNegritaCaracter"/>
        </w:rPr>
        <w:t>3</w:t>
      </w:r>
      <w:r>
        <w:t xml:space="preserve">. </w:t>
      </w:r>
      <w:r w:rsidRPr="008D479B">
        <w:rPr>
          <w:i/>
        </w:rPr>
        <w:t>Remisión a lo resuelto en la STC 89/2023, de 18 de julio</w:t>
      </w:r>
    </w:p>
    <w:p w14:paraId="703252A3" w14:textId="77777777" w:rsidR="008D479B" w:rsidRDefault="008D479B" w:rsidP="008D479B">
      <w:pPr>
        <w:pStyle w:val="TextoNormal"/>
      </w:pPr>
    </w:p>
    <w:p w14:paraId="289F0CF3" w14:textId="0CB5DF73" w:rsidR="008D479B" w:rsidRDefault="008D479B" w:rsidP="008D479B">
      <w:pPr>
        <w:pStyle w:val="TextoNormal"/>
      </w:pPr>
      <w:r>
        <w:t>El problema constitucional que se plantea en este proceso de amparo es coincidente con el resuelto en la STC 89/2023, de 18 de julio, que excluyó que la actuación administrativa impugnada, en cuanto denegó la convocatoria del concurso solicitado para la concesión de licencias de prestación de servicios audiovisuales, vulnerara los derechos a expresar y difundir libremente los pensamientos, ideas y opiniones mediante la palabra, el escrito o cualquier otro medio de reproducción [art. 20.1 a) CE] y a comunicar o recibir libremente información veraz por cualquier medio de difusión [art. 20.1 d) CE], en relación con el principio de igualdad (art. 14 CE), lo que determina que, por idénticas razones, proceda desestimar el presente recurso de amparo.</w:t>
      </w:r>
    </w:p>
    <w:p w14:paraId="097D66AA" w14:textId="77777777" w:rsidR="008D479B" w:rsidRDefault="008D479B" w:rsidP="008D479B">
      <w:pPr>
        <w:pStyle w:val="TextoNormal"/>
      </w:pPr>
    </w:p>
    <w:p w14:paraId="2A6C99B6" w14:textId="77777777" w:rsidR="008D479B" w:rsidRDefault="008D479B" w:rsidP="008D479B">
      <w:pPr>
        <w:pStyle w:val="TextoNormalCentrado"/>
        <w:keepNext/>
      </w:pPr>
      <w:r>
        <w:t>FALLO</w:t>
      </w:r>
    </w:p>
    <w:p w14:paraId="4761DC11" w14:textId="104461E7" w:rsidR="008D479B" w:rsidRDefault="008D479B" w:rsidP="008D479B">
      <w:pPr>
        <w:pStyle w:val="TextoNormalCentrado"/>
        <w:keepNext/>
      </w:pPr>
    </w:p>
    <w:p w14:paraId="503E3ADF" w14:textId="7E656B61" w:rsidR="008D479B" w:rsidRDefault="008D479B" w:rsidP="008D479B">
      <w:pPr>
        <w:pStyle w:val="TextoNormal"/>
      </w:pPr>
      <w:r>
        <w:t>En atención a todo lo expuesto, el Tribunal Constitucional, por la autoridad que le confiere la Constitución de la Nación española, ha decidido desestimar el recurso de amparo interpuesto por Emplazamientos Radiales, S.L.</w:t>
      </w:r>
    </w:p>
    <w:p w14:paraId="7A880614" w14:textId="77777777" w:rsidR="008D479B" w:rsidRDefault="008D479B" w:rsidP="008D479B">
      <w:pPr>
        <w:pStyle w:val="TextoNormal"/>
      </w:pPr>
    </w:p>
    <w:p w14:paraId="4A4E21A3" w14:textId="77777777" w:rsidR="008D479B" w:rsidRDefault="008D479B" w:rsidP="008D479B">
      <w:pPr>
        <w:pStyle w:val="TextoNormal"/>
      </w:pPr>
      <w:r>
        <w:t>Publíquese esta sentencia en el “Boletín Oficial del Estado”.</w:t>
      </w:r>
    </w:p>
    <w:p w14:paraId="2587F6DF" w14:textId="77777777" w:rsidR="008D479B" w:rsidRDefault="008D479B" w:rsidP="008D479B">
      <w:pPr>
        <w:pStyle w:val="TextoNormal"/>
      </w:pPr>
      <w:r>
        <w:t>Dada en Madrid, a veinticinco de septiembre de dos mil veintitrés.</w:t>
      </w:r>
    </w:p>
    <w:p w14:paraId="67686FED" w14:textId="326D48A0" w:rsidR="008D479B" w:rsidRDefault="008D479B" w:rsidP="008D479B">
      <w:pPr>
        <w:pStyle w:val="ParrafoNormal"/>
      </w:pPr>
    </w:p>
    <w:p w14:paraId="5FEF9911" w14:textId="77777777" w:rsidR="008D479B" w:rsidRDefault="008D479B" w:rsidP="008D479B">
      <w:pPr>
        <w:pStyle w:val="TextoNormalNegritaCentrado"/>
        <w:keepNext/>
      </w:pPr>
      <w:r>
        <w:t>Voto particular concurrente que formula la magistrada doña Concepción Espejel Jorquera a la sentencia dictada en el recurso de amparo número 508-2021</w:t>
      </w:r>
    </w:p>
    <w:p w14:paraId="5A630F21" w14:textId="254840ED" w:rsidR="008D479B" w:rsidRDefault="008D479B" w:rsidP="008D479B">
      <w:pPr>
        <w:pStyle w:val="TextoNormalNegritaCentrado"/>
        <w:keepNext/>
      </w:pPr>
    </w:p>
    <w:p w14:paraId="5FE71DDF" w14:textId="77777777" w:rsidR="008D479B" w:rsidRDefault="008D479B" w:rsidP="008D479B">
      <w:pPr>
        <w:pStyle w:val="TextoNormal"/>
      </w:pPr>
      <w:r>
        <w:t>En el ejercicio de la facultad que me confiere el artículo 90.2 de la Ley Orgánica del Tribunal Constitucional, y con respeto a la opinión de mis compañeros, formulo voto particular concurrente respecto de la sentencia recaída en el presente recurso de amparo, conforme a los argumentos que ya tuve ocasión de exponer durante su deliberación en la Sala remitiéndome al voto particular que formulé a la STC 89/2023, de 18 de julio, a la que se remite la presente resolución.</w:t>
      </w:r>
    </w:p>
    <w:p w14:paraId="6BA7B6B3" w14:textId="77777777" w:rsidR="008D479B" w:rsidRDefault="008D479B" w:rsidP="008D479B">
      <w:pPr>
        <w:pStyle w:val="TextoNormal"/>
      </w:pPr>
    </w:p>
    <w:p w14:paraId="62A920A6" w14:textId="7EBE11DF" w:rsidR="008D479B" w:rsidRDefault="008D479B" w:rsidP="008D479B">
      <w:pPr>
        <w:pStyle w:val="TextoNormal"/>
      </w:pPr>
      <w:r>
        <w:t>Madrid, a veinticinco de septiembre de dos mil veintitrés.</w:t>
      </w:r>
    </w:p>
    <w:p w14:paraId="62E17035" w14:textId="7D9A87E7" w:rsidR="008D479B" w:rsidRDefault="008D479B">
      <w:pPr>
        <w:spacing w:after="160" w:line="278" w:lineRule="auto"/>
        <w:rPr>
          <w:rFonts w:ascii="Times New Roman" w:eastAsia="Times New Roman" w:hAnsi="Times New Roman" w:cs="Times New Roman"/>
          <w:sz w:val="24"/>
          <w:szCs w:val="24"/>
          <w:lang w:eastAsia="es-ES"/>
        </w:rPr>
      </w:pPr>
      <w:r>
        <w:br w:type="page"/>
      </w:r>
    </w:p>
    <w:p w14:paraId="4320D59D" w14:textId="77777777" w:rsidR="008D479B" w:rsidRDefault="008D479B" w:rsidP="008D479B">
      <w:pPr>
        <w:pStyle w:val="TtuloResolucin"/>
      </w:pPr>
      <w:bookmarkStart w:id="28" w:name="SENTENCIA_2023_103"/>
      <w:r>
        <w:t>SENTENCIA 103/2023, de 25 de septiembre de 2023</w:t>
      </w:r>
    </w:p>
    <w:bookmarkEnd w:id="28"/>
    <w:p w14:paraId="23777322" w14:textId="77777777" w:rsidR="008D479B" w:rsidRDefault="008D479B" w:rsidP="008D479B">
      <w:pPr>
        <w:pStyle w:val="TtuloResolucin"/>
      </w:pPr>
      <w:r>
        <w:t>Sala Segunda</w:t>
      </w:r>
    </w:p>
    <w:p w14:paraId="48CBC39F" w14:textId="77777777" w:rsidR="008D479B" w:rsidRDefault="008D479B" w:rsidP="008D479B">
      <w:pPr>
        <w:pStyle w:val="TtuloBOE"/>
      </w:pPr>
      <w:r>
        <w:t>(BOE núm. 261, de 1 de noviembre de 2023)</w:t>
      </w:r>
    </w:p>
    <w:p w14:paraId="415E5C53" w14:textId="77777777" w:rsidR="008D479B" w:rsidRDefault="008D479B" w:rsidP="008D479B">
      <w:pPr>
        <w:pStyle w:val="TextoNormalCentrado"/>
      </w:pPr>
      <w:r>
        <w:t>ECLI:ES:TC:2023:103</w:t>
      </w:r>
    </w:p>
    <w:p w14:paraId="7F651F1A" w14:textId="6567275F" w:rsidR="008D479B" w:rsidRDefault="008D479B" w:rsidP="008D479B">
      <w:pPr>
        <w:pStyle w:val="TextoNormalCentrado"/>
      </w:pPr>
    </w:p>
    <w:p w14:paraId="6027E5FF" w14:textId="77777777" w:rsidR="008D479B" w:rsidRDefault="008D479B" w:rsidP="008D479B">
      <w:pPr>
        <w:pStyle w:val="SntesisDescriptiva"/>
      </w:pPr>
      <w:r>
        <w:t>Recurso de amparo 719-2021. Promovido por Mirendica, S.L., respecto de las resoluciones de la Viceconsejería de Comunicación y Relaciones con los Medios de Canarias que rechazaron su solicitud de convocatoria de concurso público para la adjudicación de licencias disponibles de comunicación audiovisual de radiodifusión sonora digital terrestre de ámbito local.</w:t>
      </w:r>
    </w:p>
    <w:p w14:paraId="0501BC04" w14:textId="6413A182" w:rsidR="008D479B" w:rsidRDefault="008D479B" w:rsidP="008D479B">
      <w:pPr>
        <w:pStyle w:val="SntesisDescriptiva"/>
      </w:pPr>
    </w:p>
    <w:p w14:paraId="4D750C96" w14:textId="77777777" w:rsidR="008D479B" w:rsidRDefault="008D479B" w:rsidP="008D479B">
      <w:pPr>
        <w:pStyle w:val="SntesisAnaltica"/>
      </w:pPr>
      <w:r>
        <w:t>Supuesta vulneración del derecho a la igualdad y a las libertades de expresión e información: STC 89/2023 (resolución administrativa que no resulta desproporcionada y que viene impuesta por la inexistencia de reserva de dominio público radioeléctrico). Voto particular.</w:t>
      </w:r>
    </w:p>
    <w:p w14:paraId="6C1E4D99" w14:textId="00155546" w:rsidR="008D479B" w:rsidRDefault="008D479B" w:rsidP="008D479B">
      <w:pPr>
        <w:pStyle w:val="SntesisAnaltica"/>
      </w:pPr>
    </w:p>
    <w:p w14:paraId="778FD201" w14:textId="1BEE1A2C" w:rsidR="008D479B" w:rsidRDefault="008D479B" w:rsidP="008D479B">
      <w:pPr>
        <w:pStyle w:val="Extracto"/>
      </w:pPr>
      <w:r>
        <w:t>1.</w:t>
      </w:r>
      <w:r>
        <w:tab/>
        <w:t xml:space="preserve">Remisión a la STC 89/2023 que declaró respetados los derechos a expresar y difundir libremente los pensamientos, ideas y opiniones, así como a comunicar o recibir libremente información veraz por cualquier medio de difusión, consagrados en el art. 20.1 a) y d) CE, en relación con el principio de igualdad reconocido en el art. 14 CE, por parte de la actuación administrativa denegatoria de convocatoria de concurso para la concesión de licencias de prestación de servicios audiovisuales </w:t>
      </w:r>
    </w:p>
    <w:p w14:paraId="6AB211AF" w14:textId="77777777" w:rsidR="008D479B" w:rsidRDefault="008D479B" w:rsidP="008D479B">
      <w:pPr>
        <w:pStyle w:val="Extracto"/>
      </w:pPr>
    </w:p>
    <w:p w14:paraId="34D56222" w14:textId="77777777" w:rsidR="008D479B" w:rsidRDefault="008D479B" w:rsidP="008D479B">
      <w:pPr>
        <w:pStyle w:val="Extracto"/>
      </w:pPr>
    </w:p>
    <w:p w14:paraId="52FB5843" w14:textId="77777777" w:rsidR="008D479B" w:rsidRDefault="008D479B" w:rsidP="008D479B">
      <w:pPr>
        <w:pStyle w:val="TextoNormal"/>
      </w:pPr>
      <w: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14:paraId="3A0D8C24" w14:textId="2FA473CD" w:rsidR="008D479B" w:rsidRDefault="008D479B" w:rsidP="008D479B">
      <w:pPr>
        <w:pStyle w:val="TextoNormal"/>
      </w:pPr>
    </w:p>
    <w:p w14:paraId="6A5D4A6F" w14:textId="77777777" w:rsidR="008D479B" w:rsidRDefault="008D479B" w:rsidP="008D479B">
      <w:pPr>
        <w:pStyle w:val="TextoNormalCentrado"/>
        <w:keepNext/>
      </w:pPr>
      <w:r>
        <w:t>EN NOMBRE DEL REY</w:t>
      </w:r>
    </w:p>
    <w:p w14:paraId="75ABA1D7" w14:textId="546CBB61" w:rsidR="008D479B" w:rsidRDefault="008D479B" w:rsidP="008D479B">
      <w:pPr>
        <w:pStyle w:val="TextoNormalCentrado"/>
        <w:keepNext/>
      </w:pPr>
    </w:p>
    <w:p w14:paraId="6F9091BA" w14:textId="77777777" w:rsidR="008D479B" w:rsidRDefault="008D479B" w:rsidP="008D479B">
      <w:pPr>
        <w:pStyle w:val="TextoNormalCentrado"/>
        <w:keepNext/>
      </w:pPr>
    </w:p>
    <w:p w14:paraId="5D2E625C" w14:textId="77777777" w:rsidR="008D479B" w:rsidRDefault="008D479B" w:rsidP="008D479B">
      <w:pPr>
        <w:pStyle w:val="TextoNormal"/>
      </w:pPr>
      <w:r>
        <w:t>la siguiente</w:t>
      </w:r>
    </w:p>
    <w:p w14:paraId="484C903A" w14:textId="3C45CF4C" w:rsidR="008D479B" w:rsidRDefault="008D479B" w:rsidP="008D479B">
      <w:pPr>
        <w:pStyle w:val="TextoNormal"/>
      </w:pPr>
    </w:p>
    <w:p w14:paraId="2D3B5671" w14:textId="77777777" w:rsidR="008D479B" w:rsidRDefault="008D479B" w:rsidP="008D479B">
      <w:pPr>
        <w:pStyle w:val="TextoNormalCentrado"/>
        <w:keepNext/>
      </w:pPr>
      <w:r>
        <w:t>SENTENCIA</w:t>
      </w:r>
    </w:p>
    <w:p w14:paraId="143E3837" w14:textId="31FF610F" w:rsidR="008D479B" w:rsidRDefault="008D479B" w:rsidP="008D479B">
      <w:pPr>
        <w:pStyle w:val="TextoNormalCentrado"/>
        <w:keepNext/>
      </w:pPr>
    </w:p>
    <w:p w14:paraId="179E4490" w14:textId="77777777" w:rsidR="008D479B" w:rsidRDefault="008D479B" w:rsidP="008D479B">
      <w:pPr>
        <w:pStyle w:val="TextoNormal"/>
      </w:pPr>
      <w:r>
        <w:t>En el recurso de amparo número 719-2021, promovido por Mirendica, S.L., representada por el procurador de los tribunales don Joaquín Cañibano Martín y asistida por el abogado don Jaime Rodríguez Díez, contra la resolución núm. 114/2018, de 20 de diciembre, de la Viceconsejería de Comunicación y Relaciones con los Medios de Canarias, que acuerda el archivo de la solicitud de convocatoria de concurso para la adjudicación de las licencias disponibles de comunicación audiovisual de radiodifusión sonora digital de ámbito local en la Comunidad Autónoma de Canarias por haber desaparecido el objeto del procedimiento. Ha comparecido la referida comunidad autónoma y ha intervenido el Ministerio Fiscal. Ha sido ponente el magistrado don Enrique Arnaldo Alcubilla.</w:t>
      </w:r>
    </w:p>
    <w:p w14:paraId="58FF35D9" w14:textId="748E7152" w:rsidR="008D479B" w:rsidRDefault="008D479B" w:rsidP="008D479B">
      <w:pPr>
        <w:pStyle w:val="TextoNormal"/>
      </w:pPr>
    </w:p>
    <w:p w14:paraId="3D638409" w14:textId="77777777" w:rsidR="008D479B" w:rsidRDefault="008D479B" w:rsidP="008D479B">
      <w:pPr>
        <w:pStyle w:val="TextoNormalNegritaCentrado"/>
        <w:keepNext/>
      </w:pPr>
      <w:r>
        <w:t>I. Antecedentes</w:t>
      </w:r>
    </w:p>
    <w:p w14:paraId="7116E17E" w14:textId="15D5928A" w:rsidR="008D479B" w:rsidRDefault="008D479B" w:rsidP="008D479B">
      <w:pPr>
        <w:pStyle w:val="TextoNormalNegritaCentrado"/>
        <w:keepNext/>
      </w:pPr>
    </w:p>
    <w:p w14:paraId="111D2F5A" w14:textId="666FFCD5" w:rsidR="008D479B" w:rsidRDefault="008D479B" w:rsidP="008D479B">
      <w:pPr>
        <w:pStyle w:val="TextoNormal"/>
      </w:pPr>
      <w:r w:rsidRPr="008D479B">
        <w:rPr>
          <w:rStyle w:val="NumeroAFNegritaCaracter"/>
        </w:rPr>
        <w:t>1</w:t>
      </w:r>
      <w:r>
        <w:t>. Mediante escrito presentado en el registro general de este tribunal el 8 de febrero de 2021, el procurador de los tribunales don Joaquín Cañibano Martín, actuando en nombre y representación de Mirendica, S.L., bajo la defensa del letrado don Jaime Rodríguez Díez, interpuso demanda de amparo contra la resolución arriba mencionada.</w:t>
      </w:r>
    </w:p>
    <w:p w14:paraId="3FE5B3A0" w14:textId="77777777" w:rsidR="008D479B" w:rsidRDefault="008D479B" w:rsidP="008D479B">
      <w:pPr>
        <w:pStyle w:val="TextoNormal"/>
      </w:pPr>
    </w:p>
    <w:p w14:paraId="3F38AFEB" w14:textId="77777777" w:rsidR="008D479B" w:rsidRDefault="008D479B" w:rsidP="008D479B">
      <w:pPr>
        <w:pStyle w:val="TextoNormal"/>
      </w:pPr>
      <w:r w:rsidRPr="008D479B">
        <w:rPr>
          <w:rStyle w:val="NumeroAFNegritaCaracter"/>
        </w:rPr>
        <w:t>2</w:t>
      </w:r>
      <w:r>
        <w:t>. Los hechos con relevancia para la resolución del presente recurso de amparo y a los que se refiere la demanda presentada son los siguientes:</w:t>
      </w:r>
    </w:p>
    <w:p w14:paraId="2B35C3C2" w14:textId="77777777" w:rsidR="008D479B" w:rsidRDefault="008D479B" w:rsidP="008D479B">
      <w:pPr>
        <w:pStyle w:val="TextoNormal"/>
      </w:pPr>
    </w:p>
    <w:p w14:paraId="3FF391AD" w14:textId="77777777" w:rsidR="008D479B" w:rsidRDefault="008D479B" w:rsidP="008D479B">
      <w:pPr>
        <w:pStyle w:val="TextoNormal"/>
      </w:pPr>
      <w:r>
        <w:t>a) La entidad Mirendica, S.L., interpuso recurso contencioso administrativo contra la resolución núm. 114/2018, de 20 de diciembre, de la Viceconsejería de Comunicación y Relaciones con los Medios de Canarias, que acuerda el archivo de su solicitud de convocatoria de concurso para la adjudicación de las licencias disponibles de comunicación audiovisual de radiodifusión sonora digital de ámbito local en la Comunidad Autónoma de Canarias por haber desaparecido el objeto del procedimiento.</w:t>
      </w:r>
    </w:p>
    <w:p w14:paraId="6F6F89AE" w14:textId="77777777" w:rsidR="008D479B" w:rsidRDefault="008D479B" w:rsidP="008D479B">
      <w:pPr>
        <w:pStyle w:val="TextoNormal"/>
      </w:pPr>
    </w:p>
    <w:p w14:paraId="4F88D996" w14:textId="77777777" w:rsidR="008D479B" w:rsidRDefault="008D479B" w:rsidP="008D479B">
      <w:pPr>
        <w:pStyle w:val="TextoNormal"/>
      </w:pPr>
      <w:r>
        <w:t>b) La Sección Primera de la Sala de lo Contencioso-Administrativo del Tribunal Superior de Justicia de Canarias, con sede en Santa Cruz de Tenerife, desestimó el recurso interpuesto por sentencia de 26 de septiembre de 2019 al concluir que declarada extinguida la planificación radioeléctrica no cabe exigir la convocatoria de las reservas de dominio público incluidas en la misma al no existir ya reserva ni estar amparada esa posibilidad por la normativa aplicable.</w:t>
      </w:r>
    </w:p>
    <w:p w14:paraId="1A4D2E2E" w14:textId="77777777" w:rsidR="008D479B" w:rsidRDefault="008D479B" w:rsidP="008D479B">
      <w:pPr>
        <w:pStyle w:val="TextoNormal"/>
      </w:pPr>
    </w:p>
    <w:p w14:paraId="46DA61BB" w14:textId="77777777" w:rsidR="008D479B" w:rsidRDefault="008D479B" w:rsidP="008D479B">
      <w:pPr>
        <w:pStyle w:val="TextoNormal"/>
      </w:pPr>
      <w:r>
        <w:t>c) Frente a dicha sentencia la representación procesal de la entidad ahora recurrente en amparo interpuso recurso de casación, que fue desestimado por sentencia de la Sección Tercera de la Sala de lo Contencioso-Administrativo del Tribunal Supremo de 21 de enero de 2021.</w:t>
      </w:r>
    </w:p>
    <w:p w14:paraId="46920E2F" w14:textId="77777777" w:rsidR="008D479B" w:rsidRDefault="008D479B" w:rsidP="008D479B">
      <w:pPr>
        <w:pStyle w:val="TextoNormal"/>
      </w:pPr>
    </w:p>
    <w:p w14:paraId="18EF687A" w14:textId="77777777" w:rsidR="008D479B" w:rsidRDefault="008D479B" w:rsidP="008D479B">
      <w:pPr>
        <w:pStyle w:val="TextoNormal"/>
      </w:pPr>
      <w:r>
        <w:t>Atendiendo al interés casacional advertido en el auto de admisión a trámite, la sentencia de casación expone la existencia de dos criterios jurisdiccionales distintos entre los diferentes tribunales superiores de justicia y distingue el caso que se le plantea, relativo a las circunstancias de aplicación y a los efectos que los plazos prevenidos en el art. 27.4 de la Ley general de la comunicación audiovisual (LGCA) puedan tener sobre los planes técnicos y sobre la cobertura de las licencias vacantes, de otros examinados por el propio tribunal.</w:t>
      </w:r>
    </w:p>
    <w:p w14:paraId="7D82D758" w14:textId="77777777" w:rsidR="008D479B" w:rsidRDefault="008D479B" w:rsidP="008D479B">
      <w:pPr>
        <w:pStyle w:val="TextoNormal"/>
      </w:pPr>
    </w:p>
    <w:p w14:paraId="3D95B9B2" w14:textId="05613F3D" w:rsidR="008D479B" w:rsidRDefault="008D479B" w:rsidP="008D479B">
      <w:pPr>
        <w:pStyle w:val="TextoNormal"/>
      </w:pPr>
      <w:r>
        <w:t>Colige que nada hay en el art. 27 LGCA que pueda considerarse irrazonable o indebidamente restrictivo, en particular, al prever que el no aprovechamiento de espacios reservados al dominio público radioeléctrico para servicios de radiodifusión en un plazo concreto de tiempo tras la aprobación de la planificación correspondiente hace decaer dicha reserva. Tampoco considera que la aplicación del art. 27.4 LGCA incurra en prohibición de irretroactividad porque se proyecte sobre una planificación técnica aprobada con anterioridad a la entrada en vigor de la Ley general de la comunicación audiovisual, concluyendo que “de conformidad con lo dispuesto en el artículo 27.4 de la Ley general de comunicación audiovisual, el transcurso de los plazos estipulados en dicho precepto tras la aprobación de un plan técnico nacional de un servicio de radio o televisión, sin que la administración haya solicitado la afectación al servicio público de radio o televisión de que se trate de la reserva de dominio prevista en el citado plan o se haya convocado concurso para el otorgamiento de licencias, y sin que ningún interesado haya solicitado dicha convocatoria, la reserva de dominio decaerá y será excluida de la planificación. En consecuencia y dados tales presupuestos, la administración no estaría ya obligada a la convocatoria de concurso a solicitud de cualquier interesado hasta que se efectúe una nueva reserva de dominio y se produzca la correspondiente afectación al servicio público de radio o televisión”.</w:t>
      </w:r>
    </w:p>
    <w:p w14:paraId="33522E1E" w14:textId="77777777" w:rsidR="008D479B" w:rsidRDefault="008D479B" w:rsidP="008D479B">
      <w:pPr>
        <w:pStyle w:val="TextoNormal"/>
      </w:pPr>
    </w:p>
    <w:p w14:paraId="492820CB" w14:textId="77777777" w:rsidR="008D479B" w:rsidRDefault="008D479B" w:rsidP="008D479B">
      <w:pPr>
        <w:pStyle w:val="TextoNormal"/>
      </w:pPr>
      <w:r w:rsidRPr="008D479B">
        <w:rPr>
          <w:rStyle w:val="NumeroAFNegritaCaracter"/>
        </w:rPr>
        <w:t>3</w:t>
      </w:r>
      <w:r>
        <w:t>. En la demanda de amparo se alegan las siguientes vulneraciones constitucionales:</w:t>
      </w:r>
    </w:p>
    <w:p w14:paraId="55DE814D" w14:textId="77777777" w:rsidR="008D479B" w:rsidRDefault="008D479B" w:rsidP="008D479B">
      <w:pPr>
        <w:pStyle w:val="TextoNormal"/>
      </w:pPr>
    </w:p>
    <w:p w14:paraId="42245999" w14:textId="77777777" w:rsidR="008D479B" w:rsidRDefault="008D479B" w:rsidP="008D479B">
      <w:pPr>
        <w:pStyle w:val="TextoNormal"/>
      </w:pPr>
      <w:r>
        <w:t>a) Afirma que la negativa a convocar un concurso público por parte del Gobierno de la Comunidad Autónoma de Canarias amparándose en el transcurso de un plazo imputable a su propia inactividad y el consiguiente decaimiento de la planificación del espacio radioeléctrico ha imposibilitado el ejercicio de los derechos fundamentales a la libertad de información, comunicación y expresión, en relación con el art. 14 CE, en concreto, de su derecho a crear los medios de comunicación indispensables para el ejercicio del derecho a expresar y difundir libremente los pensamientos, ideas y opiniones mediante la palabra, el escrito o cualquier otro medio de reproducción [art. 20.1 a) CE] y a comunicar o recibir libremente información veraz por cualquier medio de difusión [art. 20.1 d) CE]. Entiende que prevalece el deber de convocar el concurso de adjudicación (art. 27.2 LGCA) sobre el eventual decaimiento de la reserva del espectro radioeléctrico (art. 27.4 LGCA) por lo que ha sido la inacción de la administración pública la causante de que no se haya aprovechado el espectro que el Estado ha otorgado a la comunidad autónoma, lo que invalida el acto recurrido por ser contrario a los derechos invocados. Alega que otras comunidades autónomas han convocado los concursos de licencias más allá del plazo establecido y que la negativa a convocar los concursos de adjudicación de licencias vacantes es incompatible con la Directiva 2018/1972, de 11 de diciembre, por la que se establece el Código europeo de las comunicaciones electrónicas, por crear barreras de acceso al mercado e inutilizar el espectro radioeléctrico.</w:t>
      </w:r>
    </w:p>
    <w:p w14:paraId="6EBD713F" w14:textId="77777777" w:rsidR="008D479B" w:rsidRDefault="008D479B" w:rsidP="008D479B">
      <w:pPr>
        <w:pStyle w:val="TextoNormal"/>
      </w:pPr>
    </w:p>
    <w:p w14:paraId="15BC9042" w14:textId="77777777" w:rsidR="008D479B" w:rsidRDefault="008D479B" w:rsidP="008D479B">
      <w:pPr>
        <w:pStyle w:val="TextoNormal"/>
      </w:pPr>
      <w:r>
        <w:t>Sostiene también que existe una patente contradicción entre las sentencias del Tribunal Supremo al diferenciar incorrectamente entre licencias de televisión digital y licencias de radiodifusión digital para la protección de los derechos fundamentales.</w:t>
      </w:r>
    </w:p>
    <w:p w14:paraId="08670D49" w14:textId="77777777" w:rsidR="008D479B" w:rsidRDefault="008D479B" w:rsidP="008D479B">
      <w:pPr>
        <w:pStyle w:val="TextoNormal"/>
      </w:pPr>
    </w:p>
    <w:p w14:paraId="6EEE3519" w14:textId="77777777" w:rsidR="008D479B" w:rsidRDefault="008D479B" w:rsidP="008D479B">
      <w:pPr>
        <w:pStyle w:val="TextoNormal"/>
      </w:pPr>
      <w:r>
        <w:t xml:space="preserve">Añade, en fin, que la negativa a conceder una licencia de radiodifusión infringe el art. 10, apartado 1, del Convenio europeo de derechos humanos (CEDH) y cita las resoluciones del Tribunal Europeo de Derechos Humanos de 20 de octubre de 1997, asunto </w:t>
      </w:r>
      <w:r w:rsidRPr="008D479B">
        <w:rPr>
          <w:i/>
        </w:rPr>
        <w:t>Radio ABC c. Austria</w:t>
      </w:r>
      <w:r>
        <w:t xml:space="preserve">; de 23 de noviembre de 1999, asunto </w:t>
      </w:r>
      <w:r w:rsidRPr="008D479B">
        <w:rPr>
          <w:i/>
        </w:rPr>
        <w:t>Leveque c. Francia</w:t>
      </w:r>
      <w:r>
        <w:t xml:space="preserve">; de 7 de noviembre de 2000, asunto </w:t>
      </w:r>
      <w:r w:rsidRPr="008D479B">
        <w:rPr>
          <w:i/>
        </w:rPr>
        <w:t>United Christian Broadcasters Ltd. c. Reino Unido</w:t>
      </w:r>
      <w:r>
        <w:t xml:space="preserve">; de 11 de octubre de 2007, asunto </w:t>
      </w:r>
      <w:r w:rsidRPr="008D479B">
        <w:rPr>
          <w:i/>
        </w:rPr>
        <w:t>Glas Nadejda EOOD y Elenkov c. Bulgaria</w:t>
      </w:r>
      <w:r>
        <w:t xml:space="preserve">; de 17 de junio de 2008, asunto </w:t>
      </w:r>
      <w:r w:rsidRPr="008D479B">
        <w:rPr>
          <w:i/>
        </w:rPr>
        <w:t>Meltex Ltd. y Movsessian c. Armenia</w:t>
      </w:r>
      <w:r>
        <w:t xml:space="preserve">, así como el dictamen del Comité de Derechos Humanos de Naciones Unidas, de 27 de octubre de 2016, en el caso </w:t>
      </w:r>
      <w:r w:rsidRPr="008D479B">
        <w:rPr>
          <w:i/>
        </w:rPr>
        <w:t>Azagade c. Azerbaiyán</w:t>
      </w:r>
      <w:r>
        <w:t>.</w:t>
      </w:r>
    </w:p>
    <w:p w14:paraId="6B00C119" w14:textId="77777777" w:rsidR="008D479B" w:rsidRDefault="008D479B" w:rsidP="008D479B">
      <w:pPr>
        <w:pStyle w:val="TextoNormal"/>
      </w:pPr>
    </w:p>
    <w:p w14:paraId="48C96AF5" w14:textId="52E697D9" w:rsidR="008D479B" w:rsidRDefault="008D479B" w:rsidP="008D479B">
      <w:pPr>
        <w:pStyle w:val="TextoNormal"/>
      </w:pPr>
      <w:r>
        <w:t>b) En segundo lugar, considera vulnerado el derecho a la igualdad (art. 14 CE), al haberse convocado en otras comunidades autónomas concursos públicos de licencias de comunicación audiovisual. Mantiene que el art. 27.4 LGCA, al tener la consideración de normativa básica, debe aplicarse de forma similar en todo el territorio estatal y la dispar interpretación efectuada por las distintas comunidades autónomas, a juicio de la entidad recurrente, lesiona el art. 14 CE.</w:t>
      </w:r>
    </w:p>
    <w:p w14:paraId="32F25A9B" w14:textId="77777777" w:rsidR="008D479B" w:rsidRDefault="008D479B" w:rsidP="008D479B">
      <w:pPr>
        <w:pStyle w:val="TextoNormal"/>
      </w:pPr>
    </w:p>
    <w:p w14:paraId="3ABB4253" w14:textId="77777777" w:rsidR="008D479B" w:rsidRDefault="008D479B" w:rsidP="008D479B">
      <w:pPr>
        <w:pStyle w:val="TextoNormal"/>
      </w:pPr>
      <w:r w:rsidRPr="008D479B">
        <w:rPr>
          <w:rStyle w:val="NumeroAFNegritaCaracter"/>
        </w:rPr>
        <w:t>4</w:t>
      </w:r>
      <w:r>
        <w:t>. Por providencia de 10 de octubre de 2022, la Sección Cuarta del Tribunal Constitucional acordó admitir a trámite la demanda de amparo, al apreciar que concurría en la misma una especial trascendencia constitucional [art. 50.1 de la Ley Orgánica del Tribunal Constitucional (LOTC)] porque el recurso podía dar ocasión al Tribunal para aclarar o cambiar su doctrina, como consecuencia de un proceso de reflexión interna [STC 155/2009, de 25 de junio, FJ 2 b)] y el asunto suscitado trascendía del caso concreto porque plantea una cuestión jurídica de relevante y general repercusión social o económica [STC 155/2009, FJ 2 g)].</w:t>
      </w:r>
    </w:p>
    <w:p w14:paraId="50A2A5CE" w14:textId="77777777" w:rsidR="008D479B" w:rsidRDefault="008D479B" w:rsidP="008D479B">
      <w:pPr>
        <w:pStyle w:val="TextoNormal"/>
      </w:pPr>
    </w:p>
    <w:p w14:paraId="65D1E69C" w14:textId="76615D91" w:rsidR="008D479B" w:rsidRDefault="008D479B" w:rsidP="008D479B">
      <w:pPr>
        <w:pStyle w:val="TextoNormal"/>
      </w:pPr>
      <w:r>
        <w:t>Asimismo, acordó dar cumplimiento a lo dispuesto en el art. 51 LOTC y formar la correspondiente pieza separada de suspensión, que fue concluida por ATC 160/2022, de 28 de noviembre, en el que se acordó denegar la suspensión cautelar solicitada.</w:t>
      </w:r>
    </w:p>
    <w:p w14:paraId="55C81D61" w14:textId="77777777" w:rsidR="008D479B" w:rsidRDefault="008D479B" w:rsidP="008D479B">
      <w:pPr>
        <w:pStyle w:val="TextoNormal"/>
      </w:pPr>
    </w:p>
    <w:p w14:paraId="42A385C0" w14:textId="6FFA454C" w:rsidR="008D479B" w:rsidRDefault="008D479B" w:rsidP="008D479B">
      <w:pPr>
        <w:pStyle w:val="TextoNormal"/>
      </w:pPr>
      <w:r w:rsidRPr="008D479B">
        <w:rPr>
          <w:rStyle w:val="NumeroAFNegritaCaracter"/>
        </w:rPr>
        <w:t>5</w:t>
      </w:r>
      <w:r>
        <w:t>. Por diligencia de ordenación de la Secretaría de Justicia de la Sección se tuvo por personada a la Comunidad Autónoma de Canarias. Y, a tenor de lo dispuesto en el art. 52 LOTC, se dio vista de las actuaciones, por un plazo común de veinte días, al Ministerio Fiscal y a las partes personadas para que dentro de dicho término pudieran presentar las alegaciones que a su derecho conviniera.</w:t>
      </w:r>
    </w:p>
    <w:p w14:paraId="3B81B473" w14:textId="77777777" w:rsidR="008D479B" w:rsidRDefault="008D479B" w:rsidP="008D479B">
      <w:pPr>
        <w:pStyle w:val="TextoNormal"/>
      </w:pPr>
    </w:p>
    <w:p w14:paraId="3351EF6A" w14:textId="695A9424" w:rsidR="008D479B" w:rsidRDefault="008D479B" w:rsidP="008D479B">
      <w:pPr>
        <w:pStyle w:val="TextoNormal"/>
      </w:pPr>
      <w:r w:rsidRPr="008D479B">
        <w:rPr>
          <w:rStyle w:val="NumeroAFNegritaCaracter"/>
        </w:rPr>
        <w:t>6</w:t>
      </w:r>
      <w:r>
        <w:t>. La demandante de amparo presentó sus alegaciones mediante escrito registrado el 7 de diciembre de 2022 en el que reiteraba los argumentos expuestos en la demanda.</w:t>
      </w:r>
    </w:p>
    <w:p w14:paraId="2BC547C2" w14:textId="77777777" w:rsidR="008D479B" w:rsidRDefault="008D479B" w:rsidP="008D479B">
      <w:pPr>
        <w:pStyle w:val="TextoNormal"/>
      </w:pPr>
    </w:p>
    <w:p w14:paraId="2AC5FCFA" w14:textId="349061D3" w:rsidR="008D479B" w:rsidRDefault="008D479B" w:rsidP="008D479B">
      <w:pPr>
        <w:pStyle w:val="TextoNormal"/>
      </w:pPr>
      <w:r w:rsidRPr="008D479B">
        <w:rPr>
          <w:rStyle w:val="NumeroAFNegritaCaracter"/>
        </w:rPr>
        <w:t>7</w:t>
      </w:r>
      <w:r>
        <w:t>. La Comunidad Autónoma de Canarias, con la representación y asistencia de letrado de su servicio jurídico, presentó sus alegaciones mediante escrito registrado el 20 de enero de 2023, en el que rechaza que se hayan vulnerado los derechos invocados en la demanda de amparo.</w:t>
      </w:r>
    </w:p>
    <w:p w14:paraId="4D1C7675" w14:textId="77777777" w:rsidR="008D479B" w:rsidRDefault="008D479B" w:rsidP="008D479B">
      <w:pPr>
        <w:pStyle w:val="TextoNormal"/>
      </w:pPr>
    </w:p>
    <w:p w14:paraId="0682C643" w14:textId="77777777" w:rsidR="008D479B" w:rsidRDefault="008D479B" w:rsidP="008D479B">
      <w:pPr>
        <w:pStyle w:val="TextoNormal"/>
      </w:pPr>
      <w:r w:rsidRPr="008D479B">
        <w:rPr>
          <w:rStyle w:val="NumeroAFNegritaCaracter"/>
        </w:rPr>
        <w:t>8</w:t>
      </w:r>
      <w:r>
        <w:t>. El Ministerio Fiscal presentó sus alegaciones mediante escrito registrado el 20 de enero de 2023 en el que solicita la desestimación del recurso de amparo.</w:t>
      </w:r>
    </w:p>
    <w:p w14:paraId="374F4BF7" w14:textId="77777777" w:rsidR="008D479B" w:rsidRDefault="008D479B" w:rsidP="008D479B">
      <w:pPr>
        <w:pStyle w:val="TextoNormal"/>
      </w:pPr>
    </w:p>
    <w:p w14:paraId="4B50E4FA" w14:textId="77777777" w:rsidR="008D479B" w:rsidRDefault="008D479B" w:rsidP="008D479B">
      <w:pPr>
        <w:pStyle w:val="TextoNormal"/>
      </w:pPr>
      <w:r>
        <w:t>Descarta, en primer lugar, que se haya producido una vulneración del art. 14 CE, al no existir el término válido de comparación exigido para que se produzca la vulneración, pues no se han dictado las resoluciones por los mismos órganos, ni en el caso del reproche dirigido al Tribunal Supremo concurre la identidad de supuestos exigida.</w:t>
      </w:r>
    </w:p>
    <w:p w14:paraId="6A246493" w14:textId="77777777" w:rsidR="008D479B" w:rsidRDefault="008D479B" w:rsidP="008D479B">
      <w:pPr>
        <w:pStyle w:val="TextoNormal"/>
      </w:pPr>
    </w:p>
    <w:p w14:paraId="297ED63F" w14:textId="77777777" w:rsidR="008D479B" w:rsidRDefault="008D479B" w:rsidP="008D479B">
      <w:pPr>
        <w:pStyle w:val="TextoNormal"/>
      </w:pPr>
      <w:r>
        <w:t>Rechaza, asimismo, la vulneración del art. 20.1 a) y d) CE al existir una regulación normativa que establece el marco temporal de reserva del espacio radioeléctrico a los efectos de convocar los correspondientes concursos. Entiende que corresponde al legislador una mayor libertad de configuración normativa para disciplinar los soportes técnicos e instrumentos de comunicación, que la que posee al ordenar directamente los derechos fundamentales del art. 20.1 CE. De este modo las resoluciones administrativas y las sentencias que aplican la regulación establecida en este ámbito difícilmente pueden lesionar los derechos invocados.</w:t>
      </w:r>
    </w:p>
    <w:p w14:paraId="1E739710" w14:textId="77777777" w:rsidR="008D479B" w:rsidRDefault="008D479B" w:rsidP="008D479B">
      <w:pPr>
        <w:pStyle w:val="TextoNormal"/>
      </w:pPr>
    </w:p>
    <w:p w14:paraId="1187D1BD" w14:textId="008C9A78" w:rsidR="008D479B" w:rsidRDefault="008D479B" w:rsidP="008D479B">
      <w:pPr>
        <w:pStyle w:val="TextoNormal"/>
      </w:pPr>
      <w:r>
        <w:t xml:space="preserve">Finalmente, considera que las resoluciones del Tribunal Europeo de Derechos Humanos citadas no son aplicables por tratarse de decisiones de inadmisión o, en el caso de la STEDH de 20 de octubre de 1997, asunto </w:t>
      </w:r>
      <w:r w:rsidRPr="008D479B">
        <w:rPr>
          <w:i/>
        </w:rPr>
        <w:t>Radio</w:t>
      </w:r>
      <w:r>
        <w:t xml:space="preserve"> </w:t>
      </w:r>
      <w:r w:rsidRPr="008D479B">
        <w:rPr>
          <w:i/>
        </w:rPr>
        <w:t>ABC c. Austria</w:t>
      </w:r>
      <w:r>
        <w:t>, porque toda la actividad se subordinaba a una concesión del legislador federal que no se produjo, situación que se mantuvo durante tres periodos de tiempo, supuesto distinto al contemplado en la regulación española.</w:t>
      </w:r>
    </w:p>
    <w:p w14:paraId="279066D5" w14:textId="77777777" w:rsidR="008D479B" w:rsidRDefault="008D479B" w:rsidP="008D479B">
      <w:pPr>
        <w:pStyle w:val="TextoNormal"/>
      </w:pPr>
    </w:p>
    <w:p w14:paraId="61AB9676" w14:textId="0EB829DA" w:rsidR="008D479B" w:rsidRDefault="008D479B" w:rsidP="008D479B">
      <w:pPr>
        <w:pStyle w:val="TextoNormal"/>
      </w:pPr>
      <w:r w:rsidRPr="008D479B">
        <w:rPr>
          <w:rStyle w:val="NumeroAFNegritaCaracter"/>
        </w:rPr>
        <w:t>9</w:t>
      </w:r>
      <w:r>
        <w:t>. Por providencia de 21 de septiembre de 2023 se señaló para deliberación y votación de la presente sentencia el día 25 del mismo mes y año.</w:t>
      </w:r>
    </w:p>
    <w:p w14:paraId="525070B5" w14:textId="77777777" w:rsidR="008D479B" w:rsidRDefault="008D479B" w:rsidP="008D479B">
      <w:pPr>
        <w:pStyle w:val="TextoNormal"/>
      </w:pPr>
    </w:p>
    <w:p w14:paraId="564BC870" w14:textId="77777777" w:rsidR="008D479B" w:rsidRDefault="008D479B" w:rsidP="008D479B">
      <w:pPr>
        <w:pStyle w:val="TextoNormalNegritaCentrado"/>
        <w:keepNext/>
      </w:pPr>
      <w:r>
        <w:t>II. Fundamentos jurídicos</w:t>
      </w:r>
    </w:p>
    <w:p w14:paraId="7D0F2B86" w14:textId="4A05A9B1" w:rsidR="008D479B" w:rsidRDefault="008D479B" w:rsidP="008D479B">
      <w:pPr>
        <w:pStyle w:val="TextoNormalNegritaCentrado"/>
        <w:keepNext/>
      </w:pPr>
    </w:p>
    <w:p w14:paraId="6CAE6F6D" w14:textId="77777777" w:rsidR="008D479B" w:rsidRDefault="008D479B" w:rsidP="008D479B">
      <w:pPr>
        <w:pStyle w:val="TextoNormal"/>
      </w:pPr>
      <w:r w:rsidRPr="008D479B">
        <w:rPr>
          <w:rStyle w:val="NumeroAFNegritaCaracter"/>
        </w:rPr>
        <w:t>1</w:t>
      </w:r>
      <w:r>
        <w:t xml:space="preserve">. </w:t>
      </w:r>
      <w:r w:rsidRPr="008D479B">
        <w:rPr>
          <w:i/>
        </w:rPr>
        <w:t>Objeto del recurso</w:t>
      </w:r>
    </w:p>
    <w:p w14:paraId="3AD5AF30" w14:textId="77777777" w:rsidR="008D479B" w:rsidRDefault="008D479B" w:rsidP="008D479B">
      <w:pPr>
        <w:pStyle w:val="TextoNormal"/>
      </w:pPr>
    </w:p>
    <w:p w14:paraId="4AA6C153" w14:textId="36C3E080" w:rsidR="008D479B" w:rsidRDefault="008D479B" w:rsidP="008D479B">
      <w:pPr>
        <w:pStyle w:val="TextoNormal"/>
      </w:pPr>
      <w:r>
        <w:t>El objeto de este recurso es determinar si la resolución núm. 114/2018, de 20 de diciembre, de la Viceconsejería de Comunicación y Relaciones con los Medios de Canarias, que acuerda el archivo de la solicitud de convocatoria de concurso para la adjudicación de las licencias disponibles de comunicación audiovisual de radiodifusión sonora digital de ámbito local en la Comunidad Autónoma de Canarias por haber desaparecido el objeto del procedimiento, vulnera los derechos fundamentales a la libertad de información, comunicación y expresión [art. 20.1 a) y d) CE], en relación con el art. 14 CE.</w:t>
      </w:r>
    </w:p>
    <w:p w14:paraId="7259EBCF" w14:textId="77777777" w:rsidR="008D479B" w:rsidRDefault="008D479B" w:rsidP="008D479B">
      <w:pPr>
        <w:pStyle w:val="TextoNormal"/>
      </w:pPr>
    </w:p>
    <w:p w14:paraId="65527B7B" w14:textId="77777777" w:rsidR="008D479B" w:rsidRDefault="008D479B" w:rsidP="008D479B">
      <w:pPr>
        <w:pStyle w:val="TextoNormal"/>
      </w:pPr>
      <w:r w:rsidRPr="008D479B">
        <w:rPr>
          <w:rStyle w:val="NumeroAFNegritaCaracter"/>
        </w:rPr>
        <w:t>2</w:t>
      </w:r>
      <w:r>
        <w:t xml:space="preserve">. </w:t>
      </w:r>
      <w:r w:rsidRPr="008D479B">
        <w:rPr>
          <w:i/>
        </w:rPr>
        <w:t>Remisión a lo resuelto en la STC 89/2023, de 18 de julio</w:t>
      </w:r>
    </w:p>
    <w:p w14:paraId="56B62830" w14:textId="77777777" w:rsidR="008D479B" w:rsidRDefault="008D479B" w:rsidP="008D479B">
      <w:pPr>
        <w:pStyle w:val="TextoNormal"/>
      </w:pPr>
    </w:p>
    <w:p w14:paraId="03638FFF" w14:textId="143608B6" w:rsidR="008D479B" w:rsidRDefault="008D479B" w:rsidP="008D479B">
      <w:pPr>
        <w:pStyle w:val="TextoNormal"/>
      </w:pPr>
      <w:r>
        <w:t>El problema constitucional que se plantea en este proceso de amparo es coincidente con el resuelto en la STC 89/2023, de 18 de julio, que excluyó que la actuación administrativa impugnada, en cuanto denegó la convocatoria del concurso solicitado para la concesión de licencias de prestación de servicios audiovisuales, vulnerara los derechos a expresar y difundir libremente los pensamientos, ideas y opiniones mediante la palabra, el escrito o cualquier otro medio de reproducción [art. 20.1 a) CE] y a comunicar o recibir libremente información veraz por cualquier medio de difusión [art. 20.1 d) CE], en relación con el principio de igualdad (art. 14 CE), lo que determina que, por idénticas razones, proceda desestimar el presente recurso de amparo.</w:t>
      </w:r>
    </w:p>
    <w:p w14:paraId="209A6569" w14:textId="77777777" w:rsidR="008D479B" w:rsidRDefault="008D479B" w:rsidP="008D479B">
      <w:pPr>
        <w:pStyle w:val="TextoNormal"/>
      </w:pPr>
    </w:p>
    <w:p w14:paraId="3869B25B" w14:textId="77777777" w:rsidR="008D479B" w:rsidRDefault="008D479B" w:rsidP="008D479B">
      <w:pPr>
        <w:pStyle w:val="TextoNormalCentrado"/>
        <w:keepNext/>
      </w:pPr>
      <w:r>
        <w:t>FALLO</w:t>
      </w:r>
    </w:p>
    <w:p w14:paraId="22D08AFB" w14:textId="3570834B" w:rsidR="008D479B" w:rsidRDefault="008D479B" w:rsidP="008D479B">
      <w:pPr>
        <w:pStyle w:val="TextoNormalCentrado"/>
        <w:keepNext/>
      </w:pPr>
    </w:p>
    <w:p w14:paraId="0B363CB2" w14:textId="3AC32D0A" w:rsidR="008D479B" w:rsidRDefault="008D479B" w:rsidP="008D479B">
      <w:pPr>
        <w:pStyle w:val="TextoNormal"/>
      </w:pPr>
      <w:r>
        <w:t>En atención a todo lo expuesto, el Tribunal Constitucional, por la autoridad que le confiere la Constitución de la Nación española, ha decidido desestimar el recurso de amparo interpuesto por Mirendica, S.L.</w:t>
      </w:r>
    </w:p>
    <w:p w14:paraId="5ED1BFD3" w14:textId="77777777" w:rsidR="008D479B" w:rsidRDefault="008D479B" w:rsidP="008D479B">
      <w:pPr>
        <w:pStyle w:val="TextoNormal"/>
      </w:pPr>
    </w:p>
    <w:p w14:paraId="63B8E9D1" w14:textId="77777777" w:rsidR="008D479B" w:rsidRDefault="008D479B" w:rsidP="008D479B">
      <w:pPr>
        <w:pStyle w:val="TextoNormal"/>
      </w:pPr>
      <w:r>
        <w:t>Publíquese esta sentencia en el “Boletín Oficial del Estado”.</w:t>
      </w:r>
    </w:p>
    <w:p w14:paraId="314CEF8C" w14:textId="77777777" w:rsidR="008D479B" w:rsidRDefault="008D479B" w:rsidP="008D479B">
      <w:pPr>
        <w:pStyle w:val="TextoNormal"/>
      </w:pPr>
      <w:r>
        <w:t>Dada en Madrid, a veinticinco de septiembre de dos mil veintitrés.</w:t>
      </w:r>
    </w:p>
    <w:p w14:paraId="667ACC63" w14:textId="47EEDACE" w:rsidR="008D479B" w:rsidRDefault="008D479B" w:rsidP="008D479B">
      <w:pPr>
        <w:pStyle w:val="ParrafoNormal"/>
      </w:pPr>
    </w:p>
    <w:p w14:paraId="09C0ED97" w14:textId="77777777" w:rsidR="008D479B" w:rsidRDefault="008D479B" w:rsidP="008D479B">
      <w:pPr>
        <w:pStyle w:val="TextoNormalNegritaCentrado"/>
        <w:keepNext/>
      </w:pPr>
      <w:r>
        <w:t>Voto particular que formula la magistrada doña María Luisa Balaguer Callejón a la sentencia dictada en el recurso de amparo núm. 719-2021</w:t>
      </w:r>
    </w:p>
    <w:p w14:paraId="6587EFA9" w14:textId="2B0213DE" w:rsidR="008D479B" w:rsidRDefault="008D479B" w:rsidP="008D479B">
      <w:pPr>
        <w:pStyle w:val="TextoNormalNegritaCentrado"/>
        <w:keepNext/>
      </w:pPr>
    </w:p>
    <w:p w14:paraId="726EB930" w14:textId="77777777" w:rsidR="008D479B" w:rsidRDefault="008D479B" w:rsidP="008D479B">
      <w:pPr>
        <w:pStyle w:val="TextoNormal"/>
      </w:pPr>
      <w:r>
        <w:t>Con el mayor respeto al criterio reflejado en la sentencia a que se refiere el encabezamiento y, en ejercicio de la facultad que me confiere el art. 90.2 de la Ley Orgánica del Tribunal Constitucional, manifiesto mi discrepancia con la argumentación y fallo de la sentencia aprobada por la Sala. Por ello, me remito, en su totalidad, al voto particular que realicé a la STC 89/2023, de 18 de julio.</w:t>
      </w:r>
    </w:p>
    <w:p w14:paraId="0CDB6F0F" w14:textId="77777777" w:rsidR="008D479B" w:rsidRDefault="008D479B" w:rsidP="008D479B">
      <w:pPr>
        <w:pStyle w:val="TextoNormal"/>
      </w:pPr>
    </w:p>
    <w:p w14:paraId="23D2B60B" w14:textId="59404925" w:rsidR="008D479B" w:rsidRDefault="008D479B" w:rsidP="008D479B">
      <w:pPr>
        <w:pStyle w:val="TextoNormal"/>
      </w:pPr>
      <w:r>
        <w:t>Madrid, a veinticinco de septiembre de dos mil veintitrés.</w:t>
      </w:r>
    </w:p>
    <w:p w14:paraId="2F923641" w14:textId="173839F3" w:rsidR="008D479B" w:rsidRDefault="008D479B">
      <w:pPr>
        <w:spacing w:after="160" w:line="278" w:lineRule="auto"/>
        <w:rPr>
          <w:rFonts w:ascii="Times New Roman" w:eastAsia="Times New Roman" w:hAnsi="Times New Roman" w:cs="Times New Roman"/>
          <w:sz w:val="24"/>
          <w:szCs w:val="24"/>
          <w:lang w:eastAsia="es-ES"/>
        </w:rPr>
      </w:pPr>
      <w:r>
        <w:br w:type="page"/>
      </w:r>
    </w:p>
    <w:p w14:paraId="7887B307" w14:textId="77777777" w:rsidR="008D479B" w:rsidRDefault="008D479B" w:rsidP="008D479B">
      <w:pPr>
        <w:pStyle w:val="TtuloResolucin"/>
      </w:pPr>
      <w:bookmarkStart w:id="29" w:name="SENTENCIA_2023_104"/>
      <w:r>
        <w:t>SENTENCIA 104/2023, de 25 de septiembre de 2023</w:t>
      </w:r>
    </w:p>
    <w:bookmarkEnd w:id="29"/>
    <w:p w14:paraId="6DFE4D32" w14:textId="77777777" w:rsidR="008D479B" w:rsidRDefault="008D479B" w:rsidP="008D479B">
      <w:pPr>
        <w:pStyle w:val="TtuloResolucin"/>
      </w:pPr>
      <w:r>
        <w:t>Sala Primera</w:t>
      </w:r>
    </w:p>
    <w:p w14:paraId="24E5B84F" w14:textId="77777777" w:rsidR="008D479B" w:rsidRDefault="008D479B" w:rsidP="008D479B">
      <w:pPr>
        <w:pStyle w:val="TtuloBOE"/>
      </w:pPr>
      <w:r>
        <w:t>(BOE núm. 261, de 1 de noviembre de 2023)</w:t>
      </w:r>
    </w:p>
    <w:p w14:paraId="413A986B" w14:textId="77777777" w:rsidR="008D479B" w:rsidRDefault="008D479B" w:rsidP="008D479B">
      <w:pPr>
        <w:pStyle w:val="TextoNormalCentrado"/>
      </w:pPr>
      <w:r>
        <w:t>ECLI:ES:TC:2023:104</w:t>
      </w:r>
    </w:p>
    <w:p w14:paraId="73E26529" w14:textId="4F4FBE0B" w:rsidR="008D479B" w:rsidRDefault="008D479B" w:rsidP="008D479B">
      <w:pPr>
        <w:pStyle w:val="TextoNormalCentrado"/>
      </w:pPr>
    </w:p>
    <w:p w14:paraId="31DA8E43" w14:textId="77777777" w:rsidR="008D479B" w:rsidRDefault="008D479B" w:rsidP="008D479B">
      <w:pPr>
        <w:pStyle w:val="SntesisDescriptiva"/>
      </w:pPr>
      <w:r>
        <w:t>Recurso de amparo 720-2021. Promovido por Soninorte Producciones, S.L., respecto de las resoluciones de la Viceconsejería de Comunicación y Relaciones con los Medios de Canarias que rechazaron su solicitud de convocatoria de concurso público para la adjudicación de licencias disponibles de comunicación audiovisual de radiodifusión sonora digital terrestre de ámbito local.</w:t>
      </w:r>
    </w:p>
    <w:p w14:paraId="0E882FCB" w14:textId="66DC70A6" w:rsidR="008D479B" w:rsidRDefault="008D479B" w:rsidP="008D479B">
      <w:pPr>
        <w:pStyle w:val="SntesisDescriptiva"/>
      </w:pPr>
    </w:p>
    <w:p w14:paraId="2A9FE261" w14:textId="77777777" w:rsidR="008D479B" w:rsidRDefault="008D479B" w:rsidP="008D479B">
      <w:pPr>
        <w:pStyle w:val="SntesisAnaltica"/>
      </w:pPr>
      <w:r>
        <w:t>Supuesta vulneración del derecho a la igualdad y a las libertades de expresión e información: STC 89/2023 (resolución administrativa que no resulta desproporcionada y que viene impuesta por la inexistencia de reserva de dominio público radioeléctrico). Voto particular.</w:t>
      </w:r>
    </w:p>
    <w:p w14:paraId="7E4F59C2" w14:textId="5EB0404E" w:rsidR="008D479B" w:rsidRDefault="008D479B" w:rsidP="008D479B">
      <w:pPr>
        <w:pStyle w:val="SntesisAnaltica"/>
      </w:pPr>
    </w:p>
    <w:p w14:paraId="283034A0" w14:textId="5A41C887" w:rsidR="008D479B" w:rsidRDefault="008D479B" w:rsidP="008D479B">
      <w:pPr>
        <w:pStyle w:val="Extracto"/>
      </w:pPr>
      <w:r>
        <w:t>1.</w:t>
      </w:r>
      <w:r>
        <w:tab/>
        <w:t xml:space="preserve">Remisión a la STC 89/2023 que declaró respetados los derechos a expresar y difundir libremente los pensamientos, ideas y opiniones, así como a comunicar o recibir libremente información veraz por cualquier medio de difusión, consagrados en el art. 20.1 a) y d) CE, en relación con el principio de igualdad reconocido en el art. 14 CE, por parte de la actuación administrativa denegatoria de convocatoria de concurso para la concesión de licencias de prestación de servicios audiovisuales </w:t>
      </w:r>
    </w:p>
    <w:p w14:paraId="08F9D36D" w14:textId="77777777" w:rsidR="008D479B" w:rsidRDefault="008D479B" w:rsidP="008D479B">
      <w:pPr>
        <w:pStyle w:val="Extracto"/>
      </w:pPr>
    </w:p>
    <w:p w14:paraId="30973B47" w14:textId="77777777" w:rsidR="008D479B" w:rsidRDefault="008D479B" w:rsidP="008D479B">
      <w:pPr>
        <w:pStyle w:val="Extracto"/>
      </w:pPr>
    </w:p>
    <w:p w14:paraId="72204F7A" w14:textId="77777777" w:rsidR="008D479B" w:rsidRDefault="008D479B" w:rsidP="008D479B">
      <w:pPr>
        <w:pStyle w:val="TextoNormal"/>
      </w:pPr>
      <w:r>
        <w:t>La Sala Primera del Tribunal Constitucional, compuesta por el magistrado don Cándido Conde-Pumpido Tourón, presidente, y los magistrados y magistradas don Ricardo Enríquez Sancho, doña Concepción Espejel Jorquera, doña María Luisa Segoviano Astaburuaga y don Juan Carlos Campo Moreno, ha pronunciado</w:t>
      </w:r>
    </w:p>
    <w:p w14:paraId="417C550A" w14:textId="335229F4" w:rsidR="008D479B" w:rsidRDefault="008D479B" w:rsidP="008D479B">
      <w:pPr>
        <w:pStyle w:val="TextoNormal"/>
      </w:pPr>
    </w:p>
    <w:p w14:paraId="4A443DC7" w14:textId="77777777" w:rsidR="008D479B" w:rsidRDefault="008D479B" w:rsidP="008D479B">
      <w:pPr>
        <w:pStyle w:val="TextoNormalCentrado"/>
        <w:keepNext/>
      </w:pPr>
      <w:r>
        <w:t>EN NOMBRE DEL REY</w:t>
      </w:r>
    </w:p>
    <w:p w14:paraId="5E1C830C" w14:textId="06DC3E07" w:rsidR="008D479B" w:rsidRDefault="008D479B" w:rsidP="008D479B">
      <w:pPr>
        <w:pStyle w:val="TextoNormalCentrado"/>
        <w:keepNext/>
      </w:pPr>
    </w:p>
    <w:p w14:paraId="019AB7D5" w14:textId="77777777" w:rsidR="008D479B" w:rsidRDefault="008D479B" w:rsidP="008D479B">
      <w:pPr>
        <w:pStyle w:val="TextoNormalCentrado"/>
        <w:keepNext/>
      </w:pPr>
    </w:p>
    <w:p w14:paraId="732375E5" w14:textId="77777777" w:rsidR="008D479B" w:rsidRDefault="008D479B" w:rsidP="008D479B">
      <w:pPr>
        <w:pStyle w:val="TextoNormal"/>
      </w:pPr>
      <w:r>
        <w:t>la siguiente</w:t>
      </w:r>
    </w:p>
    <w:p w14:paraId="60C999E4" w14:textId="3121A77F" w:rsidR="008D479B" w:rsidRDefault="008D479B" w:rsidP="008D479B">
      <w:pPr>
        <w:pStyle w:val="TextoNormal"/>
      </w:pPr>
    </w:p>
    <w:p w14:paraId="3B036BD3" w14:textId="77777777" w:rsidR="008D479B" w:rsidRDefault="008D479B" w:rsidP="008D479B">
      <w:pPr>
        <w:pStyle w:val="TextoNormalCentrado"/>
        <w:keepNext/>
      </w:pPr>
      <w:r>
        <w:t>SENTENCIA</w:t>
      </w:r>
    </w:p>
    <w:p w14:paraId="5D5CB2EE" w14:textId="484931AC" w:rsidR="008D479B" w:rsidRDefault="008D479B" w:rsidP="008D479B">
      <w:pPr>
        <w:pStyle w:val="TextoNormalCentrado"/>
        <w:keepNext/>
      </w:pPr>
    </w:p>
    <w:p w14:paraId="665904B1" w14:textId="77777777" w:rsidR="008D479B" w:rsidRDefault="008D479B" w:rsidP="008D479B">
      <w:pPr>
        <w:pStyle w:val="TextoNormal"/>
      </w:pPr>
      <w:r>
        <w:t>En el recurso de amparo número 720-2021, promovido por la mercantil Soninorte Producciones, S.L., representada por el procurador de los tribunales don Joaquín Cañibano Martín y asistida por el abogado don Jaime Rodríguez Díez, contra la resolución 50/2018, de 10 de julio, de la Viceconsejería de Comunicación y Relaciones con los Medios de la Comunidad Autónoma de Canarias, que acordó el archivo de la solicitud de convocatoria de concurso público para el otorgamiento de licencias audiovisuales de radiodifusión sonora digital terrenal con cobertura local integradas en los bloques de frecuencias asignados a la citada comunidad autónoma. Ha comparecido la referida comunidad autónoma y ha intervenido el Ministerio Fiscal. Ha sido ponente el magistrado don Juan Carlos Campo Moreno.</w:t>
      </w:r>
    </w:p>
    <w:p w14:paraId="466C2114" w14:textId="170999AB" w:rsidR="008D479B" w:rsidRDefault="008D479B" w:rsidP="008D479B">
      <w:pPr>
        <w:pStyle w:val="TextoNormal"/>
      </w:pPr>
    </w:p>
    <w:p w14:paraId="5C6FE836" w14:textId="77777777" w:rsidR="008D479B" w:rsidRDefault="008D479B" w:rsidP="008D479B">
      <w:pPr>
        <w:pStyle w:val="TextoNormalNegritaCentrado"/>
        <w:keepNext/>
      </w:pPr>
      <w:r>
        <w:t>I. Antecedentes</w:t>
      </w:r>
    </w:p>
    <w:p w14:paraId="61BB4B9E" w14:textId="6950D107" w:rsidR="008D479B" w:rsidRDefault="008D479B" w:rsidP="008D479B">
      <w:pPr>
        <w:pStyle w:val="TextoNormalNegritaCentrado"/>
        <w:keepNext/>
      </w:pPr>
    </w:p>
    <w:p w14:paraId="1596304A" w14:textId="20F0F7C2" w:rsidR="008D479B" w:rsidRDefault="008D479B" w:rsidP="008D479B">
      <w:pPr>
        <w:pStyle w:val="TextoNormal"/>
      </w:pPr>
      <w:r w:rsidRPr="008D479B">
        <w:rPr>
          <w:rStyle w:val="NumeroAFNegritaCaracter"/>
        </w:rPr>
        <w:t>1</w:t>
      </w:r>
      <w:r>
        <w:t>. Mediante escrito presentado en el registro general de este tribunal el 8 de febrero de 2021, el procurador de los tribunales don Joaquín Cañibano Martín, actuando en nombre y representación de Soninorte Producciones, S.L., bajo la defensa del letrado don Jaime Rodríguez Díez, interpuso demanda de amparo contra la resolución arriba mencionada.</w:t>
      </w:r>
    </w:p>
    <w:p w14:paraId="3AACF0DB" w14:textId="77777777" w:rsidR="008D479B" w:rsidRDefault="008D479B" w:rsidP="008D479B">
      <w:pPr>
        <w:pStyle w:val="TextoNormal"/>
      </w:pPr>
    </w:p>
    <w:p w14:paraId="3164CF44" w14:textId="77777777" w:rsidR="008D479B" w:rsidRDefault="008D479B" w:rsidP="008D479B">
      <w:pPr>
        <w:pStyle w:val="TextoNormal"/>
      </w:pPr>
      <w:r w:rsidRPr="008D479B">
        <w:rPr>
          <w:rStyle w:val="NumeroAFNegritaCaracter"/>
        </w:rPr>
        <w:t>2</w:t>
      </w:r>
      <w:r>
        <w:t>. Los hechos con relevancia para la resolución del presente recurso de amparo y a los que se refiere la demanda presentada son los siguientes:</w:t>
      </w:r>
    </w:p>
    <w:p w14:paraId="02AB3E0B" w14:textId="77777777" w:rsidR="008D479B" w:rsidRDefault="008D479B" w:rsidP="008D479B">
      <w:pPr>
        <w:pStyle w:val="TextoNormal"/>
      </w:pPr>
    </w:p>
    <w:p w14:paraId="16736CBF" w14:textId="77777777" w:rsidR="008D479B" w:rsidRDefault="008D479B" w:rsidP="008D479B">
      <w:pPr>
        <w:pStyle w:val="TextoNormal"/>
      </w:pPr>
      <w:r>
        <w:t>a) La entidad Soninorte Producciones, S.L., interpuso recurso contencioso-administrativo contra la resolución 50/2018, de 10 de julio, de la Viceconsejería de Comunicación y Relaciones con los Medios de la Comunidad Autónoma de Canarias, que acordó el archivo de su solicitud de convocatoria de concurso público para el otorgamiento de licencias audiovisuales de radiodifusión sonora digital terrenal con cobertura local integradas en los bloques de frecuencias asignados a la citada comunidad autónoma.</w:t>
      </w:r>
    </w:p>
    <w:p w14:paraId="0A1C9EE7" w14:textId="77777777" w:rsidR="008D479B" w:rsidRDefault="008D479B" w:rsidP="008D479B">
      <w:pPr>
        <w:pStyle w:val="TextoNormal"/>
      </w:pPr>
    </w:p>
    <w:p w14:paraId="4856716C" w14:textId="77777777" w:rsidR="008D479B" w:rsidRDefault="008D479B" w:rsidP="008D479B">
      <w:pPr>
        <w:pStyle w:val="TextoNormal"/>
      </w:pPr>
      <w:r>
        <w:t>b) La Sala de lo Contencioso-Administrativo del Tribunal Superior de Justicia de Canarias, con sede en Santa Cruz de Tenerife, desestimó el recurso interpuesto por sentencia de 12 de septiembre de 2019 al concluir, con cita de la jurisprudencia del Tribunal Supremo y de otros tribunales superiores de justicia en la materia y de conformidad con lo dispuesto por el art. 3 del Código civil para la interpretación de las normas, que declarada extinguida la planificación radioeléctrica no cabe convocar ni exigir la convocatoria de las reservas de dominio público incluidas en la misma.</w:t>
      </w:r>
    </w:p>
    <w:p w14:paraId="30E18134" w14:textId="77777777" w:rsidR="008D479B" w:rsidRDefault="008D479B" w:rsidP="008D479B">
      <w:pPr>
        <w:pStyle w:val="TextoNormal"/>
      </w:pPr>
    </w:p>
    <w:p w14:paraId="2061ED3F" w14:textId="77777777" w:rsidR="008D479B" w:rsidRDefault="008D479B" w:rsidP="008D479B">
      <w:pPr>
        <w:pStyle w:val="TextoNormal"/>
      </w:pPr>
      <w:r>
        <w:t>c) Frente a dicha sentencia la representación procesal de la mercantil ahora recurrente en amparo interpuso recurso de casación, que fue desestimado por sentencia de la Sección Tercera de la Sala de lo Contencioso-Administrativo del Tribunal Supremo de 20 de enero de 2021.</w:t>
      </w:r>
    </w:p>
    <w:p w14:paraId="477C68E8" w14:textId="77777777" w:rsidR="008D479B" w:rsidRDefault="008D479B" w:rsidP="008D479B">
      <w:pPr>
        <w:pStyle w:val="TextoNormal"/>
      </w:pPr>
    </w:p>
    <w:p w14:paraId="73FD982E" w14:textId="77777777" w:rsidR="008D479B" w:rsidRDefault="008D479B" w:rsidP="008D479B">
      <w:pPr>
        <w:pStyle w:val="TextoNormal"/>
      </w:pPr>
      <w:r>
        <w:t>Atendiendo al interés casacional advertido en el auto de admisión a trámite, la sentencia de casación expone la existencia de dos criterios jurisdiccionales distintos entre los diferentes tribunales superiores de justicia y distingue el caso que se le plantea, relativo a las circunstancias de aplicación y a los efectos que los plazos prevenidos en el art. 27.4 de la Ley general de la comunicación audiovisual (LGCA) puedan tener sobre los planes técnicos y sobre la cobertura de las licencias vacantes, de otros examinados por el propio tribunal.</w:t>
      </w:r>
    </w:p>
    <w:p w14:paraId="14DE997D" w14:textId="77777777" w:rsidR="008D479B" w:rsidRDefault="008D479B" w:rsidP="008D479B">
      <w:pPr>
        <w:pStyle w:val="TextoNormal"/>
      </w:pPr>
    </w:p>
    <w:p w14:paraId="0E19ABBE" w14:textId="67034482" w:rsidR="008D479B" w:rsidRDefault="008D479B" w:rsidP="008D479B">
      <w:pPr>
        <w:pStyle w:val="TextoNormal"/>
      </w:pPr>
      <w:r>
        <w:t>Colige que nada hay en el art. 27 LGCA que pueda considerarse irrazonable o indebidamente restrictivo, en particular, al prever que el no aprovechamiento de espacios reservados al dominio público radioeléctrico para servicios de radiodifusión en un plazo concreto de tiempo tras la aprobación de la planificación correspondiente hace decaer dicha reserva. Tampoco considera que la aplicación del art. 27.4 LGCA incurra en prohibición de irretroactividad porque se proyecte sobre una planificación técnica aprobada con anterioridad a la entrada en vigor de la Ley general de la comunicación audiovisual, concluyendo que “de conformidad con lo dispuesto en el artículo 27.4 de la Ley general de comunicación audiovisual, el transcurso de los plazos estipulados en dicho precepto tras la aprobación de un plan técnico nacional de un servicio de radio o televisión, sin que la administración haya solicitado la afectación al servicio público de radio o televisión de que se trate de la reserva de dominio prevista en el citado plan o se haya convocado concurso para el otorgamiento de licencias, y sin que ningún interesado haya solicitado dicha convocatoria, la reserva de dominio decaerá y será excluida de la planificación. En consecuencia y dados tales presupuestos, la administración no estaría ya obligada a la convocatoria de concurso a solicitud de cualquier interesado hasta que se efectúe una nueva reserva de dominio y se produzca la correspondiente afectación al servicio público de radio o televisión”.</w:t>
      </w:r>
    </w:p>
    <w:p w14:paraId="4B83A814" w14:textId="77777777" w:rsidR="008D479B" w:rsidRDefault="008D479B" w:rsidP="008D479B">
      <w:pPr>
        <w:pStyle w:val="TextoNormal"/>
      </w:pPr>
    </w:p>
    <w:p w14:paraId="7092EF60" w14:textId="77777777" w:rsidR="008D479B" w:rsidRDefault="008D479B" w:rsidP="008D479B">
      <w:pPr>
        <w:pStyle w:val="TextoNormal"/>
      </w:pPr>
      <w:r w:rsidRPr="008D479B">
        <w:rPr>
          <w:rStyle w:val="NumeroAFNegritaCaracter"/>
        </w:rPr>
        <w:t>3</w:t>
      </w:r>
      <w:r>
        <w:t>. En la demanda de amparo se alegan las siguientes vulneraciones constitucionales:</w:t>
      </w:r>
    </w:p>
    <w:p w14:paraId="2F71FDE2" w14:textId="77777777" w:rsidR="008D479B" w:rsidRDefault="008D479B" w:rsidP="008D479B">
      <w:pPr>
        <w:pStyle w:val="TextoNormal"/>
      </w:pPr>
    </w:p>
    <w:p w14:paraId="66A3ABDE" w14:textId="77777777" w:rsidR="008D479B" w:rsidRDefault="008D479B" w:rsidP="008D479B">
      <w:pPr>
        <w:pStyle w:val="TextoNormal"/>
      </w:pPr>
      <w:r>
        <w:t>a) Afirma que la negativa a convocar un concurso público por parte del Gobierno de la Comunidad Autónoma de Canarias amparándose en el transcurso de un plazo imputable a su propia inactividad y el consiguiente decaimiento de la planificación del espacio radioeléctrico ha imposibilitado el ejercicio de los derechos fundamentales a la libertad de información, comunicación y expresión, en relación con el art. 14 CE, en concreto, de su derecho a crear los medios de comunicación indispensables para el ejercicio del derecho a expresar y difundir libremente los pensamientos, ideas y opiniones mediante la palabra, el escrito o cualquier otro medio de reproducción [art. 20.1 a) CE] y a comunicar o recibir libremente información veraz por cualquier medio de difusión [art. 20.1 d) CE]. Entiende que prevalece el deber de convocar el concurso de adjudicación (art. 27.2 LGCA) sobre el eventual decaimiento de la reserva del espectro radioeléctrico (art. 27.4 LGCA) por lo que ha sido la inacción de la administración pública la causante de que no se haya aprovechado el espectro que el Estado ha otorgado a la comunidad autónoma, lo que invalida el acto recurrido por ser contrario a los derechos invocados. Alega que otras comunidades autónomas han procedido a efectuar los concursos de licencias más allá del plazo establecido y que la negativa a convocar los concursos de adjudicación de licencias vacantes es incompatible con la Directiva 2018/1972, de 11 de diciembre, por la que se establece el Código europeo de las comunicaciones electrónicas, por crear barreras de acceso al mercado e inutilizar el espectro radioeléctrico.</w:t>
      </w:r>
    </w:p>
    <w:p w14:paraId="546DD212" w14:textId="77777777" w:rsidR="008D479B" w:rsidRDefault="008D479B" w:rsidP="008D479B">
      <w:pPr>
        <w:pStyle w:val="TextoNormal"/>
      </w:pPr>
    </w:p>
    <w:p w14:paraId="63F2E130" w14:textId="77777777" w:rsidR="008D479B" w:rsidRDefault="008D479B" w:rsidP="008D479B">
      <w:pPr>
        <w:pStyle w:val="TextoNormal"/>
      </w:pPr>
      <w:r>
        <w:t>Sostiene también que existe una patente contradicción entre las sentencias del Tribunal Supremo al diferenciar incorrectamente entre licencias de televisión digital y licencias de radiodifusión digital para la protección de los derechos fundamentales.</w:t>
      </w:r>
    </w:p>
    <w:p w14:paraId="13BFDE3E" w14:textId="77777777" w:rsidR="008D479B" w:rsidRDefault="008D479B" w:rsidP="008D479B">
      <w:pPr>
        <w:pStyle w:val="TextoNormal"/>
      </w:pPr>
    </w:p>
    <w:p w14:paraId="4DB3C640" w14:textId="77777777" w:rsidR="008D479B" w:rsidRDefault="008D479B" w:rsidP="008D479B">
      <w:pPr>
        <w:pStyle w:val="TextoNormal"/>
      </w:pPr>
      <w:r>
        <w:t xml:space="preserve">Añade, en fin, que la negativa a conceder una licencia de radiodifusión infringe el art. 10, apartado 1, del Convenio europeo de derechos humanos (CEDH) y cita las resoluciones del Tribunal Europeo de Derechos Humanos de 20 de octubre de 1997, asunto </w:t>
      </w:r>
      <w:r w:rsidRPr="008D479B">
        <w:rPr>
          <w:i/>
        </w:rPr>
        <w:t>Radio ABC c. Austria</w:t>
      </w:r>
      <w:r>
        <w:t xml:space="preserve">; de 23 de noviembre de 1999, asunto </w:t>
      </w:r>
      <w:r w:rsidRPr="008D479B">
        <w:rPr>
          <w:i/>
        </w:rPr>
        <w:t>Leveque c. Francia</w:t>
      </w:r>
      <w:r>
        <w:t xml:space="preserve">; de 7 de noviembre de 2000, asunto </w:t>
      </w:r>
      <w:r w:rsidRPr="008D479B">
        <w:rPr>
          <w:i/>
        </w:rPr>
        <w:t>United Christian Broadcasters Ltd. c. Reino Unido</w:t>
      </w:r>
      <w:r>
        <w:t xml:space="preserve">; de 11 de octubre de 2007, asunto </w:t>
      </w:r>
      <w:r w:rsidRPr="008D479B">
        <w:rPr>
          <w:i/>
        </w:rPr>
        <w:t>Glas Nadejda EOOD y Elenkov c. Bulgaria</w:t>
      </w:r>
      <w:r>
        <w:t xml:space="preserve">; de 17 de junio de 2008, asunto </w:t>
      </w:r>
      <w:r w:rsidRPr="008D479B">
        <w:rPr>
          <w:i/>
        </w:rPr>
        <w:t>Meltex Ltd. y Movsessian c. Armenia</w:t>
      </w:r>
      <w:r>
        <w:t xml:space="preserve">, así como el dictamen del Comité de Derechos Humanos de Naciones Unidas, de 27 de octubre de 2016, en el caso </w:t>
      </w:r>
      <w:r w:rsidRPr="008D479B">
        <w:rPr>
          <w:i/>
        </w:rPr>
        <w:t>Azagade c. Azerbaiyán</w:t>
      </w:r>
      <w:r>
        <w:t>.</w:t>
      </w:r>
    </w:p>
    <w:p w14:paraId="3FDB3E4A" w14:textId="77777777" w:rsidR="008D479B" w:rsidRDefault="008D479B" w:rsidP="008D479B">
      <w:pPr>
        <w:pStyle w:val="TextoNormal"/>
      </w:pPr>
    </w:p>
    <w:p w14:paraId="1E028AE8" w14:textId="4C4632B5" w:rsidR="008D479B" w:rsidRDefault="008D479B" w:rsidP="008D479B">
      <w:pPr>
        <w:pStyle w:val="TextoNormal"/>
      </w:pPr>
      <w:r>
        <w:t>b) En segundo lugar, considera vulnerado el derecho a la igualdad (art. 14 CE), al haberse convocado en otras comunidades autónomas concursos públicos de licencias de comunicación audiovisual. Mantiene que el art. 27.4 LGCA, al tener la consideración de normativa básica, debe aplicarse de forma similar en todo el territorio estatal y la dispar interpretación efectuada por las distintas comunidades autónomas, a juicio de la entidad recurrente, lesiona el art. 14 CE.</w:t>
      </w:r>
    </w:p>
    <w:p w14:paraId="6E3B7225" w14:textId="77777777" w:rsidR="008D479B" w:rsidRDefault="008D479B" w:rsidP="008D479B">
      <w:pPr>
        <w:pStyle w:val="TextoNormal"/>
      </w:pPr>
    </w:p>
    <w:p w14:paraId="1C9584C3" w14:textId="77777777" w:rsidR="008D479B" w:rsidRDefault="008D479B" w:rsidP="008D479B">
      <w:pPr>
        <w:pStyle w:val="TextoNormal"/>
      </w:pPr>
      <w:r w:rsidRPr="008D479B">
        <w:rPr>
          <w:rStyle w:val="NumeroAFNegritaCaracter"/>
        </w:rPr>
        <w:t>4</w:t>
      </w:r>
      <w:r>
        <w:t>. Por providencia de 10 de octubre de 2022, la Sección Primera del Tribunal Constitucional acordó admitir a trámite la demanda de amparo, al apreciar que concurría en la misma una especial trascendencia constitucional [art. 50.1 de la Ley Orgánica del Tribunal Constitucional (LOTC)] porque el recurso podía dar ocasión al Tribunal para aclarar o cambiar su doctrina, como consecuencia de un proceso de reflexión interna [STC 155/2009, de 25 de junio, FJ 2 b)] y el asunto suscitado trascendía del caso concreto porque plantea una cuestión jurídica de relevante y general repercusión social o económica [STC 155/2009, FJ 2 g)].</w:t>
      </w:r>
    </w:p>
    <w:p w14:paraId="0592AE4E" w14:textId="77777777" w:rsidR="008D479B" w:rsidRDefault="008D479B" w:rsidP="008D479B">
      <w:pPr>
        <w:pStyle w:val="TextoNormal"/>
      </w:pPr>
    </w:p>
    <w:p w14:paraId="2B38BC48" w14:textId="0CFBE204" w:rsidR="008D479B" w:rsidRDefault="008D479B" w:rsidP="008D479B">
      <w:pPr>
        <w:pStyle w:val="TextoNormal"/>
      </w:pPr>
      <w:r>
        <w:t>Asimismo, acordó dar cumplimiento a lo dispuesto en el art. 51 LOTC y formar la correspondiente pieza separada de suspensión, que fue concluida por ATC 14/2023, de 6 de febrero, en el que se acordó denegar la suspensión cautelar solicitada.</w:t>
      </w:r>
    </w:p>
    <w:p w14:paraId="2E7583ED" w14:textId="77777777" w:rsidR="008D479B" w:rsidRDefault="008D479B" w:rsidP="008D479B">
      <w:pPr>
        <w:pStyle w:val="TextoNormal"/>
      </w:pPr>
    </w:p>
    <w:p w14:paraId="219437FC" w14:textId="4E5492D9" w:rsidR="008D479B" w:rsidRDefault="008D479B" w:rsidP="008D479B">
      <w:pPr>
        <w:pStyle w:val="TextoNormal"/>
      </w:pPr>
      <w:r w:rsidRPr="008D479B">
        <w:rPr>
          <w:rStyle w:val="NumeroAFNegritaCaracter"/>
        </w:rPr>
        <w:t>5</w:t>
      </w:r>
      <w:r>
        <w:t>. Por diligencia de ordenación de la Secretaría de Justicia de la Sección se tuvo por personada a la Comunidad Autónoma de Canarias. Y, a tenor de lo dispuesto en el art. 52 LOTC, se dio vista de las actuaciones, por un plazo común de veinte días, al Ministerio Fiscal y a las partes personadas para que dentro de dicho término pudieran presentar las alegaciones que a su derecho conviniera.</w:t>
      </w:r>
    </w:p>
    <w:p w14:paraId="17CE7D3E" w14:textId="77777777" w:rsidR="008D479B" w:rsidRDefault="008D479B" w:rsidP="008D479B">
      <w:pPr>
        <w:pStyle w:val="TextoNormal"/>
      </w:pPr>
    </w:p>
    <w:p w14:paraId="1C103DB5" w14:textId="361C1CC0" w:rsidR="008D479B" w:rsidRDefault="008D479B" w:rsidP="008D479B">
      <w:pPr>
        <w:pStyle w:val="TextoNormal"/>
      </w:pPr>
      <w:r w:rsidRPr="008D479B">
        <w:rPr>
          <w:rStyle w:val="NumeroAFNegritaCaracter"/>
        </w:rPr>
        <w:t>6</w:t>
      </w:r>
      <w:r>
        <w:t>. La demandante de amparo presentó sus alegaciones mediante escrito registrado el 15 de noviembre de 2022 en el que reiteraba los argumentos expuestos en la demanda.</w:t>
      </w:r>
    </w:p>
    <w:p w14:paraId="4569AABF" w14:textId="77777777" w:rsidR="008D479B" w:rsidRDefault="008D479B" w:rsidP="008D479B">
      <w:pPr>
        <w:pStyle w:val="TextoNormal"/>
      </w:pPr>
    </w:p>
    <w:p w14:paraId="7938F5E1" w14:textId="6C9FC43F" w:rsidR="008D479B" w:rsidRDefault="008D479B" w:rsidP="008D479B">
      <w:pPr>
        <w:pStyle w:val="TextoNormal"/>
      </w:pPr>
      <w:r w:rsidRPr="008D479B">
        <w:rPr>
          <w:rStyle w:val="NumeroAFNegritaCaracter"/>
        </w:rPr>
        <w:t>7</w:t>
      </w:r>
      <w:r>
        <w:t>. La Comunidad Autónoma de Canarias, con la representación y asistencia de letrado de su servicio jurídico, presentó sus alegaciones mediante escrito registrado el 21 de diciembre de 2022, en el que rechaza que se hayan vulnerado los derechos invocados en la demanda de amparo.</w:t>
      </w:r>
    </w:p>
    <w:p w14:paraId="3C4E0147" w14:textId="77777777" w:rsidR="008D479B" w:rsidRDefault="008D479B" w:rsidP="008D479B">
      <w:pPr>
        <w:pStyle w:val="TextoNormal"/>
      </w:pPr>
    </w:p>
    <w:p w14:paraId="7CB63EF0" w14:textId="77777777" w:rsidR="008D479B" w:rsidRDefault="008D479B" w:rsidP="008D479B">
      <w:pPr>
        <w:pStyle w:val="TextoNormal"/>
      </w:pPr>
      <w:r w:rsidRPr="008D479B">
        <w:rPr>
          <w:rStyle w:val="NumeroAFNegritaCaracter"/>
        </w:rPr>
        <w:t>8</w:t>
      </w:r>
      <w:r>
        <w:t>. El Ministerio Fiscal presentó sus alegaciones mediante escrito registrado el 22 de diciembre de 2022 en el que solicita la desestimación del recurso de amparo.</w:t>
      </w:r>
    </w:p>
    <w:p w14:paraId="764FFAF8" w14:textId="77777777" w:rsidR="008D479B" w:rsidRDefault="008D479B" w:rsidP="008D479B">
      <w:pPr>
        <w:pStyle w:val="TextoNormal"/>
      </w:pPr>
    </w:p>
    <w:p w14:paraId="3C6FCA5E" w14:textId="77777777" w:rsidR="008D479B" w:rsidRDefault="008D479B" w:rsidP="008D479B">
      <w:pPr>
        <w:pStyle w:val="TextoNormal"/>
      </w:pPr>
      <w:r>
        <w:t>Descarta, en primer lugar, que se haya producido una vulneración del art. 14 CE, al no existir el término válido de comparación exigido para que se produzca la vulneración, pues no se han dictado las resoluciones por los mismos órganos, ni en el caso del reproche dirigido al Tribunal Supremo concurre la identidad de supuestos exigida.</w:t>
      </w:r>
    </w:p>
    <w:p w14:paraId="2731B381" w14:textId="77777777" w:rsidR="008D479B" w:rsidRDefault="008D479B" w:rsidP="008D479B">
      <w:pPr>
        <w:pStyle w:val="TextoNormal"/>
      </w:pPr>
    </w:p>
    <w:p w14:paraId="519AF321" w14:textId="77777777" w:rsidR="008D479B" w:rsidRDefault="008D479B" w:rsidP="008D479B">
      <w:pPr>
        <w:pStyle w:val="TextoNormal"/>
      </w:pPr>
      <w:r>
        <w:t>Rechaza, asimismo, la vulneración del art. 20.1 a) y d) CE al existir una regulación normativa que establece el marco temporal de reserva del espacio radioeléctrico a los efectos de convocar los correspondientes concursos. Entiende que corresponde al legislador una mayor libertad de configuración normativa para disciplinar los soportes técnicos e instrumentos de comunicación, que la que posee al ordenar directamente los derechos fundamentales del art. 20.1 CE. De este modo las resoluciones administrativas y las sentencias que aplican la regulación establecida en este ámbito difícilmente pueden lesionar los derechos invocados.</w:t>
      </w:r>
    </w:p>
    <w:p w14:paraId="5A1A1D95" w14:textId="77777777" w:rsidR="008D479B" w:rsidRDefault="008D479B" w:rsidP="008D479B">
      <w:pPr>
        <w:pStyle w:val="TextoNormal"/>
      </w:pPr>
    </w:p>
    <w:p w14:paraId="1E1D6BB1" w14:textId="47592AA2" w:rsidR="008D479B" w:rsidRDefault="008D479B" w:rsidP="008D479B">
      <w:pPr>
        <w:pStyle w:val="TextoNormal"/>
      </w:pPr>
      <w:r>
        <w:t xml:space="preserve">Finalmente, considera que las resoluciones del Tribunal Europeo de Derechos Humanos citadas no son aplicables por tratarse de decisiones de inadmisión o, en el caso de la STEDH de 20 de octubre de 1997, asunto </w:t>
      </w:r>
      <w:r w:rsidRPr="008D479B">
        <w:rPr>
          <w:i/>
        </w:rPr>
        <w:t>Radio</w:t>
      </w:r>
      <w:r>
        <w:t xml:space="preserve"> </w:t>
      </w:r>
      <w:r w:rsidRPr="008D479B">
        <w:rPr>
          <w:i/>
        </w:rPr>
        <w:t>ABC c. Austria</w:t>
      </w:r>
      <w:r>
        <w:t>, porque toda la actividad se subordinaba a una concesión del legislador federal que no se produjo, situación que se mantuvo durante tres periodos de tiempo, supuesto distinto al contemplado en la regulación española.</w:t>
      </w:r>
    </w:p>
    <w:p w14:paraId="27F522A8" w14:textId="77777777" w:rsidR="008D479B" w:rsidRDefault="008D479B" w:rsidP="008D479B">
      <w:pPr>
        <w:pStyle w:val="TextoNormal"/>
      </w:pPr>
    </w:p>
    <w:p w14:paraId="539106E6" w14:textId="7DC2919A" w:rsidR="008D479B" w:rsidRDefault="008D479B" w:rsidP="008D479B">
      <w:pPr>
        <w:pStyle w:val="TextoNormal"/>
      </w:pPr>
      <w:r w:rsidRPr="008D479B">
        <w:rPr>
          <w:rStyle w:val="NumeroAFNegritaCaracter"/>
        </w:rPr>
        <w:t>9</w:t>
      </w:r>
      <w:r>
        <w:t>. Por providencia de 21 de septiembre de 2023 se señaló para la deliberación y votación de la presente sentencia el día 25 del mismo mes y año.</w:t>
      </w:r>
    </w:p>
    <w:p w14:paraId="613C1FE7" w14:textId="77777777" w:rsidR="008D479B" w:rsidRDefault="008D479B" w:rsidP="008D479B">
      <w:pPr>
        <w:pStyle w:val="TextoNormal"/>
      </w:pPr>
    </w:p>
    <w:p w14:paraId="4E212AEB" w14:textId="77777777" w:rsidR="008D479B" w:rsidRDefault="008D479B" w:rsidP="008D479B">
      <w:pPr>
        <w:pStyle w:val="TextoNormalNegritaCentrado"/>
        <w:keepNext/>
      </w:pPr>
      <w:r>
        <w:t>II. Fundamentos jurídicos</w:t>
      </w:r>
    </w:p>
    <w:p w14:paraId="63B09011" w14:textId="0793DA0F" w:rsidR="008D479B" w:rsidRDefault="008D479B" w:rsidP="008D479B">
      <w:pPr>
        <w:pStyle w:val="TextoNormalNegritaCentrado"/>
        <w:keepNext/>
      </w:pPr>
    </w:p>
    <w:p w14:paraId="3CAD3FBF" w14:textId="77777777" w:rsidR="008D479B" w:rsidRDefault="008D479B" w:rsidP="008D479B">
      <w:pPr>
        <w:pStyle w:val="TextoNormal"/>
      </w:pPr>
      <w:r w:rsidRPr="008D479B">
        <w:rPr>
          <w:rStyle w:val="NumeroAFNegritaCaracter"/>
        </w:rPr>
        <w:t>1</w:t>
      </w:r>
      <w:r>
        <w:t xml:space="preserve">. </w:t>
      </w:r>
      <w:r w:rsidRPr="008D479B">
        <w:rPr>
          <w:i/>
        </w:rPr>
        <w:t>Objeto del recurso</w:t>
      </w:r>
    </w:p>
    <w:p w14:paraId="2E7AA52C" w14:textId="77777777" w:rsidR="008D479B" w:rsidRDefault="008D479B" w:rsidP="008D479B">
      <w:pPr>
        <w:pStyle w:val="TextoNormal"/>
      </w:pPr>
    </w:p>
    <w:p w14:paraId="1DA21CB5" w14:textId="545C315B" w:rsidR="008D479B" w:rsidRDefault="008D479B" w:rsidP="008D479B">
      <w:pPr>
        <w:pStyle w:val="TextoNormal"/>
      </w:pPr>
      <w:r>
        <w:t>El objeto de este recurso es determinar si la resolución 50/2018, de 10 de julio, de la Viceconsejería de Comunicación y Relaciones con los Medios de la Comunidad Autónoma de Canarias, que acordó el archivo de la solicitud de convocatoria de concurso público para el otorgamiento de licencias audiovisuales de radiodifusión sonora digital terrenal con cobertura local integradas en los bloques de frecuencias asignados a la citada comunidad autónoma, vulnera los derechos fundamentales a la libertad de información, comunicación y expresión [art. 20.1 a) y d) CE], en relación con el art. 14 CE.</w:t>
      </w:r>
    </w:p>
    <w:p w14:paraId="3D2A9536" w14:textId="77777777" w:rsidR="008D479B" w:rsidRDefault="008D479B" w:rsidP="008D479B">
      <w:pPr>
        <w:pStyle w:val="TextoNormal"/>
      </w:pPr>
    </w:p>
    <w:p w14:paraId="6AB0975D" w14:textId="77777777" w:rsidR="008D479B" w:rsidRDefault="008D479B" w:rsidP="008D479B">
      <w:pPr>
        <w:pStyle w:val="TextoNormal"/>
      </w:pPr>
      <w:r w:rsidRPr="008D479B">
        <w:rPr>
          <w:rStyle w:val="NumeroAFNegritaCaracter"/>
        </w:rPr>
        <w:t>2</w:t>
      </w:r>
      <w:r>
        <w:t xml:space="preserve">. </w:t>
      </w:r>
      <w:r w:rsidRPr="008D479B">
        <w:rPr>
          <w:i/>
        </w:rPr>
        <w:t>La jurisprudencia constitucional sobre el ejercicio de los derechos de comunicación e información reconocidos en el art. 20 CE, en relación con el art. 14 CE, y la adjudicación de uso del espectro radioeléctrico. Remisión a lo resuelto en la STC 89/2023, de 18 de julio</w:t>
      </w:r>
    </w:p>
    <w:p w14:paraId="3E8ED4FE" w14:textId="77777777" w:rsidR="008D479B" w:rsidRDefault="008D479B" w:rsidP="008D479B">
      <w:pPr>
        <w:pStyle w:val="TextoNormal"/>
      </w:pPr>
    </w:p>
    <w:p w14:paraId="34A88C76" w14:textId="77777777" w:rsidR="008D479B" w:rsidRDefault="008D479B" w:rsidP="008D479B">
      <w:pPr>
        <w:pStyle w:val="TextoNormal"/>
      </w:pPr>
      <w:r>
        <w:t>El problema constitucional que se plantea en el presente proceso es coincidente con el resuelto en la STC 89/2023, de 18 de julio, que excluyó la vulneración de los derechos a expresar y difundir libremente los pensamientos, ideas y opiniones mediante la palabra, el escrito o cualquier otro medio de reproducción [art. 20.1 a) CE] y a comunicar o recibir libremente información veraz por cualquier medio de difusión [art. 20.1 d) CE], en relación con el principio de igualdad (art. 14 CE).</w:t>
      </w:r>
    </w:p>
    <w:p w14:paraId="384C8EFF" w14:textId="77777777" w:rsidR="008D479B" w:rsidRDefault="008D479B" w:rsidP="008D479B">
      <w:pPr>
        <w:pStyle w:val="TextoNormal"/>
      </w:pPr>
    </w:p>
    <w:p w14:paraId="007F3647" w14:textId="77777777" w:rsidR="008D479B" w:rsidRDefault="008D479B" w:rsidP="008D479B">
      <w:pPr>
        <w:pStyle w:val="TextoNormal"/>
      </w:pPr>
      <w:r>
        <w:t>La actuación administrativa se ajustó a los dispuesto en el art. 27.4 de la entonces vigente Ley 7/2010, de 31 de marzo, general de la comunicación audiovisual (LGCA), con arreglo al cual “[t]ranscurridos doce meses desde que se haya planificado una reserva de dominio público radioeléctrico sin que la administración competente haya solicitado su afectación al servicio público de difusión de radio y televisión, o convocado el correspondiente concurso, y sin que ningún interesado haya instado dicha convocatoria, dicha reserva decaerá y se excluirá automáticamente de la planificación radioeléctrica”, de modo que, sin una nueva y previa planificación, que únicamente le corresponde efectuar al Estado, no cabe que la administración autonómica pueda convocar el concurso solicitado para la concesión de licencias de prestación de servicios audiovisuales.</w:t>
      </w:r>
    </w:p>
    <w:p w14:paraId="015813F6" w14:textId="77777777" w:rsidR="008D479B" w:rsidRDefault="008D479B" w:rsidP="008D479B">
      <w:pPr>
        <w:pStyle w:val="TextoNormal"/>
      </w:pPr>
    </w:p>
    <w:p w14:paraId="4EA26299" w14:textId="77777777" w:rsidR="008D479B" w:rsidRDefault="008D479B" w:rsidP="008D479B">
      <w:pPr>
        <w:pStyle w:val="TextoNormal"/>
      </w:pPr>
      <w:r>
        <w:t>Tampoco puede prosperar la queja de vulneración del art. 14 CE, al no existir un término válido de comparación, ya que el distinto entendimiento de la norma aplicada no procede de la misma administración autonómica, remitiéndonos en este punto a la señalada STC 89/2023, de 18 de julio, FJ 2 b).</w:t>
      </w:r>
    </w:p>
    <w:p w14:paraId="04376125" w14:textId="77777777" w:rsidR="008D479B" w:rsidRDefault="008D479B" w:rsidP="008D479B">
      <w:pPr>
        <w:pStyle w:val="TextoNormal"/>
      </w:pPr>
    </w:p>
    <w:p w14:paraId="2DB97225" w14:textId="5B966F67" w:rsidR="008D479B" w:rsidRDefault="008D479B" w:rsidP="008D479B">
      <w:pPr>
        <w:pStyle w:val="TextoNormal"/>
      </w:pPr>
      <w:r>
        <w:t>Todo lo anterior determina que también en este caso proceda desestimar el recurso de amparo interpuesto.</w:t>
      </w:r>
    </w:p>
    <w:p w14:paraId="73DE43A4" w14:textId="77777777" w:rsidR="008D479B" w:rsidRDefault="008D479B" w:rsidP="008D479B">
      <w:pPr>
        <w:pStyle w:val="TextoNormal"/>
      </w:pPr>
    </w:p>
    <w:p w14:paraId="2B08224B" w14:textId="77777777" w:rsidR="008D479B" w:rsidRDefault="008D479B" w:rsidP="008D479B">
      <w:pPr>
        <w:pStyle w:val="TextoNormalCentrado"/>
        <w:keepNext/>
      </w:pPr>
      <w:r>
        <w:t>FALLO</w:t>
      </w:r>
    </w:p>
    <w:p w14:paraId="19FE8802" w14:textId="54B47C0F" w:rsidR="008D479B" w:rsidRDefault="008D479B" w:rsidP="008D479B">
      <w:pPr>
        <w:pStyle w:val="TextoNormalCentrado"/>
        <w:keepNext/>
      </w:pPr>
    </w:p>
    <w:p w14:paraId="3E1CBF39" w14:textId="6FE0C825" w:rsidR="008D479B" w:rsidRDefault="008D479B" w:rsidP="008D479B">
      <w:pPr>
        <w:pStyle w:val="TextoNormal"/>
      </w:pPr>
      <w:r>
        <w:t>En atención a todo lo expuesto, el Tribunal Constitucional, por la autoridad que le confiere la Constitución de la Nación española, ha decidido desestimar el recurso de amparo interpuesto por Soninorte Producciones, S.L.</w:t>
      </w:r>
    </w:p>
    <w:p w14:paraId="304AE512" w14:textId="77777777" w:rsidR="008D479B" w:rsidRDefault="008D479B" w:rsidP="008D479B">
      <w:pPr>
        <w:pStyle w:val="TextoNormal"/>
      </w:pPr>
    </w:p>
    <w:p w14:paraId="5C8BF4E4" w14:textId="77777777" w:rsidR="008D479B" w:rsidRDefault="008D479B" w:rsidP="008D479B">
      <w:pPr>
        <w:pStyle w:val="TextoNormal"/>
      </w:pPr>
      <w:r>
        <w:t>Publíquese esta sentencia en el “Boletín Oficial del Estado”.</w:t>
      </w:r>
    </w:p>
    <w:p w14:paraId="7F85F208" w14:textId="77777777" w:rsidR="008D479B" w:rsidRDefault="008D479B" w:rsidP="008D479B">
      <w:pPr>
        <w:pStyle w:val="TextoNormal"/>
      </w:pPr>
      <w:r>
        <w:t>Dada en Madrid, a veinticinco de septiembre de dos mil veintitrés.</w:t>
      </w:r>
    </w:p>
    <w:p w14:paraId="50341ABA" w14:textId="003EAD2B" w:rsidR="008D479B" w:rsidRDefault="008D479B" w:rsidP="008D479B">
      <w:pPr>
        <w:pStyle w:val="ParrafoNormal"/>
      </w:pPr>
    </w:p>
    <w:p w14:paraId="048FAE0A" w14:textId="77777777" w:rsidR="008D479B" w:rsidRDefault="008D479B" w:rsidP="008D479B">
      <w:pPr>
        <w:pStyle w:val="TextoNormalNegritaCentrado"/>
        <w:keepNext/>
      </w:pPr>
      <w:r>
        <w:t>Voto particular concurrente que formula la magistrada doña Concepción Espejel Jorquera a la sentencia dictada en el recurso de amparo número 720-2021</w:t>
      </w:r>
    </w:p>
    <w:p w14:paraId="45833299" w14:textId="5538F158" w:rsidR="008D479B" w:rsidRDefault="008D479B" w:rsidP="008D479B">
      <w:pPr>
        <w:pStyle w:val="TextoNormalNegritaCentrado"/>
        <w:keepNext/>
      </w:pPr>
    </w:p>
    <w:p w14:paraId="7CBCD38C" w14:textId="77777777" w:rsidR="008D479B" w:rsidRDefault="008D479B" w:rsidP="008D479B">
      <w:pPr>
        <w:pStyle w:val="TextoNormal"/>
      </w:pPr>
      <w:r>
        <w:t>En el ejercicio de la facultad que me confiere el artículo 90.2 de la Ley Orgánica del Tribunal Constitucional, y con respeto a la opinión de mis compañeros, formulo voto particular concurrente respecto de la sentencia recaída en el presente recurso de amparo, conforme a los argumentos que ya tuve ocasión de exponer durante su deliberación en la Sala remitiéndome al voto particular que formulé a la STC 89/2023, de 18 de julio, a la que se remite la presente resolución.</w:t>
      </w:r>
    </w:p>
    <w:p w14:paraId="43147B34" w14:textId="77777777" w:rsidR="008D479B" w:rsidRDefault="008D479B" w:rsidP="008D479B">
      <w:pPr>
        <w:pStyle w:val="TextoNormal"/>
      </w:pPr>
    </w:p>
    <w:p w14:paraId="4F608315" w14:textId="0F854E63" w:rsidR="008D479B" w:rsidRDefault="008D479B" w:rsidP="008D479B">
      <w:pPr>
        <w:pStyle w:val="TextoNormal"/>
      </w:pPr>
      <w:r>
        <w:t>Madrid, a veinticinco de septiembre de dos mil veintitrés.</w:t>
      </w:r>
    </w:p>
    <w:p w14:paraId="573EBD84" w14:textId="1CF9445A" w:rsidR="008D479B" w:rsidRDefault="008D479B">
      <w:pPr>
        <w:spacing w:after="160" w:line="278" w:lineRule="auto"/>
        <w:rPr>
          <w:rFonts w:ascii="Times New Roman" w:eastAsia="Times New Roman" w:hAnsi="Times New Roman" w:cs="Times New Roman"/>
          <w:sz w:val="24"/>
          <w:szCs w:val="24"/>
          <w:lang w:eastAsia="es-ES"/>
        </w:rPr>
      </w:pPr>
      <w:r>
        <w:br w:type="page"/>
      </w:r>
    </w:p>
    <w:p w14:paraId="37285821" w14:textId="77777777" w:rsidR="008D479B" w:rsidRDefault="008D479B" w:rsidP="008D479B">
      <w:pPr>
        <w:pStyle w:val="TtuloResolucin"/>
      </w:pPr>
      <w:bookmarkStart w:id="30" w:name="SENTENCIA_2023_105"/>
      <w:r>
        <w:t>SENTENCIA 105/2023, de 25 de septiembre de 2023</w:t>
      </w:r>
    </w:p>
    <w:bookmarkEnd w:id="30"/>
    <w:p w14:paraId="59B3DDAC" w14:textId="77777777" w:rsidR="008D479B" w:rsidRDefault="008D479B" w:rsidP="008D479B">
      <w:pPr>
        <w:pStyle w:val="TtuloResolucin"/>
      </w:pPr>
      <w:r>
        <w:t>Sala Primera</w:t>
      </w:r>
    </w:p>
    <w:p w14:paraId="4C1A3268" w14:textId="77777777" w:rsidR="008D479B" w:rsidRDefault="008D479B" w:rsidP="008D479B">
      <w:pPr>
        <w:pStyle w:val="TtuloBOE"/>
      </w:pPr>
      <w:r>
        <w:t>(BOE núm. 261, de 1 de noviembre de 2023)</w:t>
      </w:r>
    </w:p>
    <w:p w14:paraId="16E43E37" w14:textId="77777777" w:rsidR="008D479B" w:rsidRDefault="008D479B" w:rsidP="008D479B">
      <w:pPr>
        <w:pStyle w:val="TextoNormalCentrado"/>
      </w:pPr>
      <w:r>
        <w:t>ECLI:ES:TC:2023:105</w:t>
      </w:r>
    </w:p>
    <w:p w14:paraId="113D8825" w14:textId="009CB54F" w:rsidR="008D479B" w:rsidRDefault="008D479B" w:rsidP="008D479B">
      <w:pPr>
        <w:pStyle w:val="TextoNormalCentrado"/>
      </w:pPr>
    </w:p>
    <w:p w14:paraId="140C7BC0" w14:textId="77777777" w:rsidR="008D479B" w:rsidRDefault="008D479B" w:rsidP="008D479B">
      <w:pPr>
        <w:pStyle w:val="SntesisDescriptiva"/>
      </w:pPr>
      <w:r>
        <w:t>Recurso de amparo 756-2021. Promovido por Logondi Comunicación, S.L., respecto de las resoluciones de la Viceconsejería de Comunicación y Relaciones con los Medios de Canarias que rechazaron su solicitud de convocatoria de concurso público para la adjudicación de licencias disponibles de comunicación audiovisual de radiodifusión sonora digital terrestre de ámbito local.</w:t>
      </w:r>
    </w:p>
    <w:p w14:paraId="039A4CE3" w14:textId="5A5BEFD4" w:rsidR="008D479B" w:rsidRDefault="008D479B" w:rsidP="008D479B">
      <w:pPr>
        <w:pStyle w:val="SntesisDescriptiva"/>
      </w:pPr>
    </w:p>
    <w:p w14:paraId="0AAD4339" w14:textId="77777777" w:rsidR="008D479B" w:rsidRDefault="008D479B" w:rsidP="008D479B">
      <w:pPr>
        <w:pStyle w:val="SntesisAnaltica"/>
      </w:pPr>
      <w:r>
        <w:t>Supuesta vulneración del derecho a la igualdad y a las libertades de expresión e información: STC 89/2023 (resolución administrativa que no resulta desproporcionada y que viene impuesta por la inexistencia de reserva de dominio público radioeléctrico). Voto particular.</w:t>
      </w:r>
    </w:p>
    <w:p w14:paraId="1C1B6C33" w14:textId="5F062B05" w:rsidR="008D479B" w:rsidRDefault="008D479B" w:rsidP="008D479B">
      <w:pPr>
        <w:pStyle w:val="SntesisAnaltica"/>
      </w:pPr>
    </w:p>
    <w:p w14:paraId="5921C6E2" w14:textId="0E7BE66F" w:rsidR="008D479B" w:rsidRDefault="008D479B" w:rsidP="008D479B">
      <w:pPr>
        <w:pStyle w:val="Extracto"/>
      </w:pPr>
      <w:r>
        <w:t>1.</w:t>
      </w:r>
      <w:r>
        <w:tab/>
        <w:t xml:space="preserve">Remisión a la STC 89/2023 que declaró respetados los derechos a expresar y difundir libremente los pensamientos, ideas y opiniones, así como a comunicar o recibir libremente información veraz por cualquier medio de difusión, consagrados en el art. 20.1 a) y d) CE, en relación con el principio de igualdad reconocido en el art. 14 CE, por parte de la actuación administrativa denegatoria de convocatoria de concurso para la concesión de licencias de prestación de servicios audiovisuales </w:t>
      </w:r>
    </w:p>
    <w:p w14:paraId="42617751" w14:textId="77777777" w:rsidR="008D479B" w:rsidRDefault="008D479B" w:rsidP="008D479B">
      <w:pPr>
        <w:pStyle w:val="Extracto"/>
      </w:pPr>
    </w:p>
    <w:p w14:paraId="0417A605" w14:textId="77777777" w:rsidR="008D479B" w:rsidRDefault="008D479B" w:rsidP="008D479B">
      <w:pPr>
        <w:pStyle w:val="Extracto"/>
      </w:pPr>
    </w:p>
    <w:p w14:paraId="23CE18DC" w14:textId="77777777" w:rsidR="008D479B" w:rsidRDefault="008D479B" w:rsidP="008D479B">
      <w:pPr>
        <w:pStyle w:val="TextoNormal"/>
      </w:pPr>
      <w:r>
        <w:t>La Sala Primera del Tribunal Constitucional, compuesta por el magistrado don Cándido Conde-Pumpido Tourón, presidente, y los magistrados y magistradas don Ricardo Enríquez Sancho, doña Concepción Espejel Jorquera, doña María Luisa Segoviano Astaburuaga y don Juan Carlos Campo Moreno, ha pronunciado</w:t>
      </w:r>
    </w:p>
    <w:p w14:paraId="723242AD" w14:textId="40F57674" w:rsidR="008D479B" w:rsidRDefault="008D479B" w:rsidP="008D479B">
      <w:pPr>
        <w:pStyle w:val="TextoNormal"/>
      </w:pPr>
    </w:p>
    <w:p w14:paraId="5B85A954" w14:textId="77777777" w:rsidR="008D479B" w:rsidRDefault="008D479B" w:rsidP="008D479B">
      <w:pPr>
        <w:pStyle w:val="TextoNormalCentrado"/>
        <w:keepNext/>
      </w:pPr>
      <w:r>
        <w:t>EN NOMBRE DEL REY</w:t>
      </w:r>
    </w:p>
    <w:p w14:paraId="297EE328" w14:textId="03DD4AA7" w:rsidR="008D479B" w:rsidRDefault="008D479B" w:rsidP="008D479B">
      <w:pPr>
        <w:pStyle w:val="TextoNormalCentrado"/>
        <w:keepNext/>
      </w:pPr>
    </w:p>
    <w:p w14:paraId="5F0743AE" w14:textId="77777777" w:rsidR="008D479B" w:rsidRDefault="008D479B" w:rsidP="008D479B">
      <w:pPr>
        <w:pStyle w:val="TextoNormalCentrado"/>
        <w:keepNext/>
      </w:pPr>
    </w:p>
    <w:p w14:paraId="3C8C431D" w14:textId="77777777" w:rsidR="008D479B" w:rsidRDefault="008D479B" w:rsidP="008D479B">
      <w:pPr>
        <w:pStyle w:val="TextoNormal"/>
      </w:pPr>
      <w:r>
        <w:t>la siguiente</w:t>
      </w:r>
    </w:p>
    <w:p w14:paraId="643A730B" w14:textId="315C49E9" w:rsidR="008D479B" w:rsidRDefault="008D479B" w:rsidP="008D479B">
      <w:pPr>
        <w:pStyle w:val="TextoNormal"/>
      </w:pPr>
    </w:p>
    <w:p w14:paraId="30C3283A" w14:textId="77777777" w:rsidR="008D479B" w:rsidRDefault="008D479B" w:rsidP="008D479B">
      <w:pPr>
        <w:pStyle w:val="TextoNormalCentrado"/>
        <w:keepNext/>
      </w:pPr>
      <w:r>
        <w:t>SENTENCIA</w:t>
      </w:r>
    </w:p>
    <w:p w14:paraId="5A85AE91" w14:textId="5586D5C1" w:rsidR="008D479B" w:rsidRDefault="008D479B" w:rsidP="008D479B">
      <w:pPr>
        <w:pStyle w:val="TextoNormalCentrado"/>
        <w:keepNext/>
      </w:pPr>
    </w:p>
    <w:p w14:paraId="759DCDE5" w14:textId="77777777" w:rsidR="008D479B" w:rsidRDefault="008D479B" w:rsidP="008D479B">
      <w:pPr>
        <w:pStyle w:val="TextoNormal"/>
      </w:pPr>
      <w:r>
        <w:t>En el recurso de amparo número 756-2021, promovido por la mercantil Logondi Comunicación, S.L., representada por la procuradora de los tribunales doña Hara Rojas Jiménez y asistida por el abogado don Jaime Rodríguez Díez, contra la desestimación por silencio administrativo de la solicitud de convocatoria de concurso público para el otorgamiento de licencias de comunicación audiovisual de radiodifusión sonora digital terrenal con cobertura local integradas en los bloques de frecuencias asignados a la Comunidad Autónoma de Canarias, confirmada por resolución 47/2018, de 10 de julio, de la Viceconsejería de Comunicación y Relaciones con los Medios de la citada comunidad autónoma, que acuerda su archivo. Ha comparecido la referida comunidad autónoma y ha intervenido el Ministerio Fiscal. Ha sido ponente el magistrado don Juan Carlos Campo Moreno.</w:t>
      </w:r>
    </w:p>
    <w:p w14:paraId="1D81952D" w14:textId="76A36670" w:rsidR="008D479B" w:rsidRDefault="008D479B" w:rsidP="008D479B">
      <w:pPr>
        <w:pStyle w:val="TextoNormal"/>
      </w:pPr>
    </w:p>
    <w:p w14:paraId="58974C40" w14:textId="77777777" w:rsidR="008D479B" w:rsidRDefault="008D479B" w:rsidP="008D479B">
      <w:pPr>
        <w:pStyle w:val="TextoNormalNegritaCentrado"/>
        <w:keepNext/>
      </w:pPr>
      <w:r>
        <w:t>I. Antecedentes</w:t>
      </w:r>
    </w:p>
    <w:p w14:paraId="2C5440A7" w14:textId="374120E2" w:rsidR="008D479B" w:rsidRDefault="008D479B" w:rsidP="008D479B">
      <w:pPr>
        <w:pStyle w:val="TextoNormalNegritaCentrado"/>
        <w:keepNext/>
      </w:pPr>
    </w:p>
    <w:p w14:paraId="5CE1D3E3" w14:textId="059E56B0" w:rsidR="008D479B" w:rsidRDefault="008D479B" w:rsidP="008D479B">
      <w:pPr>
        <w:pStyle w:val="TextoNormal"/>
      </w:pPr>
      <w:r w:rsidRPr="008D479B">
        <w:rPr>
          <w:rStyle w:val="NumeroAFNegritaCaracter"/>
        </w:rPr>
        <w:t>1</w:t>
      </w:r>
      <w:r>
        <w:t>. Mediante escrito presentado en el registro general de este tribunal el 8 de febrero de 2021, la procuradora de los tribunales doña Hara Rojas Jiménez, actuando en nombre y representación de Logondi Comunicación, S.L., bajo la defensa del letrado don Jaime Rodríguez Díez, interpuso demanda de amparo contra la desestimación presunta arriba mencionada.</w:t>
      </w:r>
    </w:p>
    <w:p w14:paraId="40996288" w14:textId="77777777" w:rsidR="008D479B" w:rsidRDefault="008D479B" w:rsidP="008D479B">
      <w:pPr>
        <w:pStyle w:val="TextoNormal"/>
      </w:pPr>
    </w:p>
    <w:p w14:paraId="35D91CF7" w14:textId="77777777" w:rsidR="008D479B" w:rsidRDefault="008D479B" w:rsidP="008D479B">
      <w:pPr>
        <w:pStyle w:val="TextoNormal"/>
      </w:pPr>
      <w:r w:rsidRPr="008D479B">
        <w:rPr>
          <w:rStyle w:val="NumeroAFNegritaCaracter"/>
        </w:rPr>
        <w:t>2</w:t>
      </w:r>
      <w:r>
        <w:t>. Los hechos con relevancia para la resolución del presente recurso de amparo y a los que se refiere la demanda presentada son los siguientes:</w:t>
      </w:r>
    </w:p>
    <w:p w14:paraId="56C9A7E0" w14:textId="77777777" w:rsidR="008D479B" w:rsidRDefault="008D479B" w:rsidP="008D479B">
      <w:pPr>
        <w:pStyle w:val="TextoNormal"/>
      </w:pPr>
    </w:p>
    <w:p w14:paraId="2F7E5E04" w14:textId="77777777" w:rsidR="008D479B" w:rsidRDefault="008D479B" w:rsidP="008D479B">
      <w:pPr>
        <w:pStyle w:val="TextoNormal"/>
      </w:pPr>
      <w:r>
        <w:t>a) La entidad Logondi Comunicación, S.L., interpuso recurso contencioso administrativo contra la desestimación por silencio administrativo de su solicitud de convocatoria de concurso público para el otorgamiento de licencias de comunicación audiovisual de radiodifusión sonora digital terrenal con cobertura local integradas en los bloques de frecuencias asignados a la Comunidad Autónoma de Canarias, confirmada por resolución 47-2018, de 10 de julio, de la Viceconsejería de Comunicación y Relaciones con los Medios de la citada comunidad autónoma, que acuerda su archivo.</w:t>
      </w:r>
    </w:p>
    <w:p w14:paraId="227768C7" w14:textId="77777777" w:rsidR="008D479B" w:rsidRDefault="008D479B" w:rsidP="008D479B">
      <w:pPr>
        <w:pStyle w:val="TextoNormal"/>
      </w:pPr>
    </w:p>
    <w:p w14:paraId="460D04A0" w14:textId="77777777" w:rsidR="008D479B" w:rsidRDefault="008D479B" w:rsidP="008D479B">
      <w:pPr>
        <w:pStyle w:val="TextoNormal"/>
      </w:pPr>
      <w:r>
        <w:t>b) La Sala de lo Contencioso-Administrativo del Tribunal Superior de Justicia de Canarias, con sede en Santa Cruz de Tenerife, desestimó el recurso interpuesto por sentencia de 2 de septiembre de 2019 al concluir, con cita de la jurisprudencia del Tribunal Supremo y de otros Tribunales Superiores de Justicia en la materia y de conformidad con lo dispuesto por el art. 3 del Código civil para la interpretación de las normas, que declarada extinguida la planificación radioeléctrica no cabe convocar ni exigir la convocatoria de las reservas de dominio público incluidas en la misma.</w:t>
      </w:r>
    </w:p>
    <w:p w14:paraId="06390A1B" w14:textId="77777777" w:rsidR="008D479B" w:rsidRDefault="008D479B" w:rsidP="008D479B">
      <w:pPr>
        <w:pStyle w:val="TextoNormal"/>
      </w:pPr>
    </w:p>
    <w:p w14:paraId="5B31C191" w14:textId="77777777" w:rsidR="008D479B" w:rsidRDefault="008D479B" w:rsidP="008D479B">
      <w:pPr>
        <w:pStyle w:val="TextoNormal"/>
      </w:pPr>
      <w:r>
        <w:t>c) Frente a dicha sentencia la representación procesal de la mercantil ahora recurrente en amparo interpuso recurso de casación, que fue desestimado por sentencia de la Sección Tercera de la Sala de lo Contencioso-Administrativo del Tribunal Supremo de 25 de enero de 2021.</w:t>
      </w:r>
    </w:p>
    <w:p w14:paraId="6CD14B26" w14:textId="77777777" w:rsidR="008D479B" w:rsidRDefault="008D479B" w:rsidP="008D479B">
      <w:pPr>
        <w:pStyle w:val="TextoNormal"/>
      </w:pPr>
    </w:p>
    <w:p w14:paraId="6765EA43" w14:textId="77777777" w:rsidR="008D479B" w:rsidRDefault="008D479B" w:rsidP="008D479B">
      <w:pPr>
        <w:pStyle w:val="TextoNormal"/>
      </w:pPr>
      <w:r>
        <w:t>Atendiendo al interés casacional advertido en el auto de admisión a trámite, la sentencia de casación expone la existencia de dos criterios jurisdiccionales distintos entre los diferentes tribunales superiores de justicia y distingue el caso que se le plantea, relativo a las circunstancias de aplicación y a los efectos que los plazos prevenidos en el art. 27.4 de la Ley general de la comunicación audiovisual (LGCA) puedan tener sobre los planes técnicos y sobre la cobertura de las licencias vacantes, de otros examinados por el propio tribunal.</w:t>
      </w:r>
    </w:p>
    <w:p w14:paraId="5DDA83A9" w14:textId="77777777" w:rsidR="008D479B" w:rsidRDefault="008D479B" w:rsidP="008D479B">
      <w:pPr>
        <w:pStyle w:val="TextoNormal"/>
      </w:pPr>
    </w:p>
    <w:p w14:paraId="75FDE2B9" w14:textId="4F777234" w:rsidR="008D479B" w:rsidRDefault="008D479B" w:rsidP="008D479B">
      <w:pPr>
        <w:pStyle w:val="TextoNormal"/>
      </w:pPr>
      <w:r>
        <w:t>Colige que nada hay en el art. 27 LGCA que pueda considerarse irrazonable o indebidamente restrictivo, en particular, al prever que el no aprovechamiento de espacios reservados al dominio público radioeléctrico para servicios de radiodifusión en un plazo concreto de tiempo tras la aprobación de la planificación correspondiente hace decaer dicha reserva. Tampoco considera que la aplicación del art. 27.4 LGCA incurra en prohibición de irretroactividad porque se proyecte sobre una planificación técnica aprobada con anterioridad a la entrada en vigor de la Ley general de la comunicación audiovisual, concluyendo que “de conformidad con lo dispuesto en el artículo 27.4 de la Ley general de comunicación audiovisual, el transcurso de los plazos estipulados en dicho precepto tras la aprobación de un plan técnico nacional de un servicio de radio o televisión, sin que la administración haya solicitado la afectación al servicio público de radio o televisión de que se trate de la reserva de dominio prevista en el citado plan o se haya convocado concurso para el otorgamiento de licencias, y sin que ningún interesado haya solicitado dicha convocatoria, la reserva de dominio decaerá y será excluida de la planificación. En consecuencia y dados tales presupuestos, la administración no estaría ya obligada a la convocatoria de concurso a solicitud de cualquier interesado hasta que se efectúe una nueva reserva de dominio y se produzca la correspondiente afectación al servicio público de radio o televisión”.</w:t>
      </w:r>
    </w:p>
    <w:p w14:paraId="26265442" w14:textId="77777777" w:rsidR="008D479B" w:rsidRDefault="008D479B" w:rsidP="008D479B">
      <w:pPr>
        <w:pStyle w:val="TextoNormal"/>
      </w:pPr>
    </w:p>
    <w:p w14:paraId="022125CB" w14:textId="77777777" w:rsidR="008D479B" w:rsidRDefault="008D479B" w:rsidP="008D479B">
      <w:pPr>
        <w:pStyle w:val="TextoNormal"/>
      </w:pPr>
      <w:r w:rsidRPr="008D479B">
        <w:rPr>
          <w:rStyle w:val="NumeroAFNegritaCaracter"/>
        </w:rPr>
        <w:t>3</w:t>
      </w:r>
      <w:r>
        <w:t>. En la demanda de amparo se alegan las siguientes vulneraciones constitucionales:</w:t>
      </w:r>
    </w:p>
    <w:p w14:paraId="1E467CAE" w14:textId="77777777" w:rsidR="008D479B" w:rsidRDefault="008D479B" w:rsidP="008D479B">
      <w:pPr>
        <w:pStyle w:val="TextoNormal"/>
      </w:pPr>
    </w:p>
    <w:p w14:paraId="2E8AA434" w14:textId="77777777" w:rsidR="008D479B" w:rsidRDefault="008D479B" w:rsidP="008D479B">
      <w:pPr>
        <w:pStyle w:val="TextoNormal"/>
      </w:pPr>
      <w:r>
        <w:t>a) Afirma que la negativa a convocar un concurso público por parte del Gobierno de Canarias amparándose en el transcurso de un plazo imputable a su propia inactividad y el consiguiente decaimiento de la planificación del espacio radioeléctrico ha imposibilitado el ejercicio de los derechos fundamentales a la libertad de información, comunicación y expresión, en relación con el art. 14 CE, en concreto, de su derecho a crear los medios de comunicación indispensables para el ejercicio del derecho a expresar y difundir libremente los pensamientos, ideas y opiniones mediante la palabra, el escrito o cualquier otro medio de reproducción [art. 20.1 a) CE] y a comunicar o recibir libremente información veraz por cualquier medio de difusión [art. 20.1 d) CE]. Entiende que prevalece el deber de convocar el concurso de adjudicación (art. 27.2 LGCA) sobre el eventual decaimiento de la reserva del espectro radioeléctrico (art. 27.4 LGCA) por lo que ha sido la inacción de la administración pública la causante de que no se haya aprovechado el espectro que el Estado ha otorgado a la comunidad autónoma, lo que invalida el acto recurrido por ser contrario a los derechos invocados. Alega que otras comunidades autónomas han procedido a efectuar los concursos de licencias más allá del plazo establecido y que la negativa a convocar los concursos de adjudicación de licencias vacantes es incompatible con la Directiva 2018/1972, de 11 de diciembre, por la que se establece el Código europeo de las comunicaciones electrónicas, por crear barreras de acceso al mercado e inutilizar el espectro radioeléctrico.</w:t>
      </w:r>
    </w:p>
    <w:p w14:paraId="41B04979" w14:textId="77777777" w:rsidR="008D479B" w:rsidRDefault="008D479B" w:rsidP="008D479B">
      <w:pPr>
        <w:pStyle w:val="TextoNormal"/>
      </w:pPr>
    </w:p>
    <w:p w14:paraId="38779A91" w14:textId="77777777" w:rsidR="008D479B" w:rsidRDefault="008D479B" w:rsidP="008D479B">
      <w:pPr>
        <w:pStyle w:val="TextoNormal"/>
      </w:pPr>
      <w:r>
        <w:t>Sostiene también que existe una patente contradicción entre las sentencias del Tribunal Supremo al diferenciar incorrectamente entre licencias de televisión digital y licencias de radiodifusión digital para la protección de los derechos fundamentales.</w:t>
      </w:r>
    </w:p>
    <w:p w14:paraId="219B639E" w14:textId="77777777" w:rsidR="008D479B" w:rsidRDefault="008D479B" w:rsidP="008D479B">
      <w:pPr>
        <w:pStyle w:val="TextoNormal"/>
      </w:pPr>
    </w:p>
    <w:p w14:paraId="354BB000" w14:textId="77777777" w:rsidR="008D479B" w:rsidRDefault="008D479B" w:rsidP="008D479B">
      <w:pPr>
        <w:pStyle w:val="TextoNormal"/>
      </w:pPr>
      <w:r>
        <w:t xml:space="preserve">Añade, en fin, que la negativa a conceder una licencia de radiodifusión infringe el art. 10, apartado 1, del Convenio europeo de derechos humanos (CEDH) y cita las resoluciones del Tribunal Europeo de Derechos Humanos de 20 de octubre de 1997, asunto </w:t>
      </w:r>
      <w:r w:rsidRPr="008D479B">
        <w:rPr>
          <w:i/>
        </w:rPr>
        <w:t>Radio ABC c. Austria</w:t>
      </w:r>
      <w:r>
        <w:t xml:space="preserve">; de 23 de noviembre de 1999, asunto </w:t>
      </w:r>
      <w:r w:rsidRPr="008D479B">
        <w:rPr>
          <w:i/>
        </w:rPr>
        <w:t>Leveque c. Francia</w:t>
      </w:r>
      <w:r>
        <w:t xml:space="preserve">; de 7 de noviembre de 2000, asunto </w:t>
      </w:r>
      <w:r w:rsidRPr="008D479B">
        <w:rPr>
          <w:i/>
        </w:rPr>
        <w:t>United Christian Broadcasters Ltd. c. Reino Unido</w:t>
      </w:r>
      <w:r>
        <w:t xml:space="preserve">; de 11 de octubre de 2007, asunto </w:t>
      </w:r>
      <w:r w:rsidRPr="008D479B">
        <w:rPr>
          <w:i/>
        </w:rPr>
        <w:t>Glas Nadejda EOOD y Elenkov c. Bulgaria</w:t>
      </w:r>
      <w:r>
        <w:t xml:space="preserve">; de 17 de junio de 2008, asunto </w:t>
      </w:r>
      <w:r w:rsidRPr="008D479B">
        <w:rPr>
          <w:i/>
        </w:rPr>
        <w:t>Meltex Ltd. y Movsessian c. Armenia</w:t>
      </w:r>
      <w:r>
        <w:t xml:space="preserve">, así como el dictamen del Comité de Derechos Humanos de Naciones Unidas, de 27 de octubre de 2016, en el caso </w:t>
      </w:r>
      <w:r w:rsidRPr="008D479B">
        <w:rPr>
          <w:i/>
        </w:rPr>
        <w:t>Azagade c. Azerbaiyán</w:t>
      </w:r>
      <w:r>
        <w:t>.</w:t>
      </w:r>
    </w:p>
    <w:p w14:paraId="5F59FB10" w14:textId="77777777" w:rsidR="008D479B" w:rsidRDefault="008D479B" w:rsidP="008D479B">
      <w:pPr>
        <w:pStyle w:val="TextoNormal"/>
      </w:pPr>
    </w:p>
    <w:p w14:paraId="3E3704FF" w14:textId="4679AC2C" w:rsidR="008D479B" w:rsidRDefault="008D479B" w:rsidP="008D479B">
      <w:pPr>
        <w:pStyle w:val="TextoNormal"/>
      </w:pPr>
      <w:r>
        <w:t>b) En segundo lugar, considera vulnerado el derecho a la igualdad (art. 14 CE), al haberse convocado en otras comunidades autónomas concursos públicos de licencias de comunicación audiovisual. Mantiene que el art. 27.4 LGCA, al tener la consideración de normativa básica, debe aplicarse de forma similar en todo el territorio estatal y la dispar interpretación efectuada por las distintas comunidades autónomas, a juicio de la entidad recurrente, lesiona el art. 14 CE.</w:t>
      </w:r>
    </w:p>
    <w:p w14:paraId="4F981F91" w14:textId="77777777" w:rsidR="008D479B" w:rsidRDefault="008D479B" w:rsidP="008D479B">
      <w:pPr>
        <w:pStyle w:val="TextoNormal"/>
      </w:pPr>
    </w:p>
    <w:p w14:paraId="20459DF1" w14:textId="77777777" w:rsidR="008D479B" w:rsidRDefault="008D479B" w:rsidP="008D479B">
      <w:pPr>
        <w:pStyle w:val="TextoNormal"/>
      </w:pPr>
      <w:r w:rsidRPr="008D479B">
        <w:rPr>
          <w:rStyle w:val="NumeroAFNegritaCaracter"/>
        </w:rPr>
        <w:t>4</w:t>
      </w:r>
      <w:r>
        <w:t>. Por providencia de 10 de octubre de 2022, la Sección Primera del Tribunal Constitucional acordó admitir a trámite la demanda de amparo, al apreciar que concurría en la misma una especial trascendencia constitucional [art. 50.1 de la Ley Orgánica del Tribunal Constitucional (LOTC)] porque el recurso podía dar ocasión al Tribunal para aclarar o cambiar su doctrina, como consecuencia de un proceso de reflexión interna [STC 155/2009, de 25 de junio, FJ 2 b)] y el asunto suscitado trascendía del caso concreto porque plantea una cuestión jurídica de relevante y general repercusión social o económica [STC 155/2009, FJ 2 g)].</w:t>
      </w:r>
    </w:p>
    <w:p w14:paraId="1E015AEF" w14:textId="77777777" w:rsidR="008D479B" w:rsidRDefault="008D479B" w:rsidP="008D479B">
      <w:pPr>
        <w:pStyle w:val="TextoNormal"/>
      </w:pPr>
    </w:p>
    <w:p w14:paraId="09A7D5D9" w14:textId="68050946" w:rsidR="008D479B" w:rsidRDefault="008D479B" w:rsidP="008D479B">
      <w:pPr>
        <w:pStyle w:val="TextoNormal"/>
      </w:pPr>
      <w:r>
        <w:t>Asimismo, acordó dar cumplimiento a lo dispuesto en el art. 51 LOTC y formar la correspondiente pieza separada de suspensión, que fue concluida por ATC 15/2023, de 6 de febrero, en el que se acordó denegar la suspensión cautelar solicitada.</w:t>
      </w:r>
    </w:p>
    <w:p w14:paraId="08C09EF1" w14:textId="77777777" w:rsidR="008D479B" w:rsidRDefault="008D479B" w:rsidP="008D479B">
      <w:pPr>
        <w:pStyle w:val="TextoNormal"/>
      </w:pPr>
    </w:p>
    <w:p w14:paraId="326C854D" w14:textId="7EEF05F6" w:rsidR="008D479B" w:rsidRDefault="008D479B" w:rsidP="008D479B">
      <w:pPr>
        <w:pStyle w:val="TextoNormal"/>
      </w:pPr>
      <w:r w:rsidRPr="008D479B">
        <w:rPr>
          <w:rStyle w:val="NumeroAFNegritaCaracter"/>
        </w:rPr>
        <w:t>5</w:t>
      </w:r>
      <w:r>
        <w:t>. Por diligencia de ordenación de la Secretaría de Justicia de la Sección se tuvo por personada a la Comunidad Autónoma de Canarias. Y, a tenor de lo dispuesto en el art. 52 LOTC, se dio vista de las actuaciones, por un plazo común de veinte días, al Ministerio Fiscal y a las partes personadas para que dentro de dicho término pudieran presentar las alegaciones que a su derecho conviniera.</w:t>
      </w:r>
    </w:p>
    <w:p w14:paraId="3B844A27" w14:textId="77777777" w:rsidR="008D479B" w:rsidRDefault="008D479B" w:rsidP="008D479B">
      <w:pPr>
        <w:pStyle w:val="TextoNormal"/>
      </w:pPr>
    </w:p>
    <w:p w14:paraId="521A4A07" w14:textId="5596D4E5" w:rsidR="008D479B" w:rsidRDefault="008D479B" w:rsidP="008D479B">
      <w:pPr>
        <w:pStyle w:val="TextoNormal"/>
      </w:pPr>
      <w:r w:rsidRPr="008D479B">
        <w:rPr>
          <w:rStyle w:val="NumeroAFNegritaCaracter"/>
        </w:rPr>
        <w:t>6</w:t>
      </w:r>
      <w:r>
        <w:t>. La demandante de amparo presentó sus alegaciones mediante escrito registrado el 17 de noviembre de 2022 en el que reiteraba los argumentos expuestos en la demanda.</w:t>
      </w:r>
    </w:p>
    <w:p w14:paraId="36354F90" w14:textId="77777777" w:rsidR="008D479B" w:rsidRDefault="008D479B" w:rsidP="008D479B">
      <w:pPr>
        <w:pStyle w:val="TextoNormal"/>
      </w:pPr>
    </w:p>
    <w:p w14:paraId="6B39D353" w14:textId="07CF93B0" w:rsidR="008D479B" w:rsidRDefault="008D479B" w:rsidP="008D479B">
      <w:pPr>
        <w:pStyle w:val="TextoNormal"/>
      </w:pPr>
      <w:r w:rsidRPr="008D479B">
        <w:rPr>
          <w:rStyle w:val="NumeroAFNegritaCaracter"/>
        </w:rPr>
        <w:t>7</w:t>
      </w:r>
      <w:r>
        <w:t>. La Comunidad Autónoma de Canarias, con la representación y asistencia de letrado de su servicio jurídico, presentó sus alegaciones mediante escrito registrado el 21 de diciembre de 2022, en el que rechaza que se hayan vulnerado los derechos invocados en la demanda de amparo.</w:t>
      </w:r>
    </w:p>
    <w:p w14:paraId="55E3CC2F" w14:textId="77777777" w:rsidR="008D479B" w:rsidRDefault="008D479B" w:rsidP="008D479B">
      <w:pPr>
        <w:pStyle w:val="TextoNormal"/>
      </w:pPr>
    </w:p>
    <w:p w14:paraId="70D6A954" w14:textId="77777777" w:rsidR="008D479B" w:rsidRDefault="008D479B" w:rsidP="008D479B">
      <w:pPr>
        <w:pStyle w:val="TextoNormal"/>
      </w:pPr>
      <w:r w:rsidRPr="008D479B">
        <w:rPr>
          <w:rStyle w:val="NumeroAFNegritaCaracter"/>
        </w:rPr>
        <w:t>8</w:t>
      </w:r>
      <w:r>
        <w:t>. El Ministerio Fiscal presentó sus alegaciones mediante escrito registrado el 12 de enero de 2023 en el que solicita la desestimación del recurso de amparo.</w:t>
      </w:r>
    </w:p>
    <w:p w14:paraId="6A04B3CB" w14:textId="77777777" w:rsidR="008D479B" w:rsidRDefault="008D479B" w:rsidP="008D479B">
      <w:pPr>
        <w:pStyle w:val="TextoNormal"/>
      </w:pPr>
    </w:p>
    <w:p w14:paraId="65F10AD7" w14:textId="77777777" w:rsidR="008D479B" w:rsidRDefault="008D479B" w:rsidP="008D479B">
      <w:pPr>
        <w:pStyle w:val="TextoNormal"/>
      </w:pPr>
      <w:r>
        <w:t>Descarta, en primer lugar, que se haya producido una vulneración del art. 14 CE, al no existir el término válido de comparación exigido para que se produzca la vulneración, pues no se han dictado las resoluciones por los mismos órganos, ni en el caso del reproche dirigido al Tribunal Supremo concurre la identidad de supuestos exigida.</w:t>
      </w:r>
    </w:p>
    <w:p w14:paraId="257BBA3E" w14:textId="77777777" w:rsidR="008D479B" w:rsidRDefault="008D479B" w:rsidP="008D479B">
      <w:pPr>
        <w:pStyle w:val="TextoNormal"/>
      </w:pPr>
    </w:p>
    <w:p w14:paraId="069A217D" w14:textId="77777777" w:rsidR="008D479B" w:rsidRDefault="008D479B" w:rsidP="008D479B">
      <w:pPr>
        <w:pStyle w:val="TextoNormal"/>
      </w:pPr>
      <w:r>
        <w:t>Rechaza, asimismo, la vulneración del art. 20.1 a) y d) CE al existir una regulación normativa que establece el marco temporal de reserva del espacio radioeléctrico a los efectos de convocar los correspondientes concursos. Entiende que corresponde al legislador una mayor libertad de configuración normativa para disciplinar los soportes técnicos e instrumentos de comunicación, que la que posee al ordenar directamente los derechos fundamentales del art. 20.1 CE. De este modo las resoluciones administrativas y las sentencias que aplican la regulación establecida en este ámbito difícilmente pueden lesionar los derechos invocados.</w:t>
      </w:r>
    </w:p>
    <w:p w14:paraId="37885E10" w14:textId="77777777" w:rsidR="008D479B" w:rsidRDefault="008D479B" w:rsidP="008D479B">
      <w:pPr>
        <w:pStyle w:val="TextoNormal"/>
      </w:pPr>
    </w:p>
    <w:p w14:paraId="3900686D" w14:textId="720DAB8F" w:rsidR="008D479B" w:rsidRDefault="008D479B" w:rsidP="008D479B">
      <w:pPr>
        <w:pStyle w:val="TextoNormal"/>
      </w:pPr>
      <w:r>
        <w:t xml:space="preserve">Finalmente, considera que las resoluciones del Tribunal Europeo de Derechos Humanos citadas no son aplicables por tratarse de decisiones de inadmisión o, en el caso de la STEDH de 20 de octubre de 1997, asunto </w:t>
      </w:r>
      <w:r w:rsidRPr="008D479B">
        <w:rPr>
          <w:i/>
        </w:rPr>
        <w:t>Radio</w:t>
      </w:r>
      <w:r>
        <w:t xml:space="preserve"> </w:t>
      </w:r>
      <w:r w:rsidRPr="008D479B">
        <w:rPr>
          <w:i/>
        </w:rPr>
        <w:t>ABC c. Austria</w:t>
      </w:r>
      <w:r>
        <w:t>, porque toda la actividad se subordinaba a una concesión del legislador federal que no se produjo, situación que se mantuvo durante tres periodos de tiempo, supuesto distinto al contemplado en la regulación española.</w:t>
      </w:r>
    </w:p>
    <w:p w14:paraId="4A2836D5" w14:textId="77777777" w:rsidR="008D479B" w:rsidRDefault="008D479B" w:rsidP="008D479B">
      <w:pPr>
        <w:pStyle w:val="TextoNormal"/>
      </w:pPr>
    </w:p>
    <w:p w14:paraId="5160A007" w14:textId="02E7FDEB" w:rsidR="008D479B" w:rsidRDefault="008D479B" w:rsidP="008D479B">
      <w:pPr>
        <w:pStyle w:val="TextoNormal"/>
      </w:pPr>
      <w:r w:rsidRPr="008D479B">
        <w:rPr>
          <w:rStyle w:val="NumeroAFNegritaCaracter"/>
        </w:rPr>
        <w:t>9</w:t>
      </w:r>
      <w:r>
        <w:t>. Por providencia de 21 de septiembre de 2023 se señaló para deliberación y votación de la presente sentencia el día 25 del mismo mes y año.</w:t>
      </w:r>
    </w:p>
    <w:p w14:paraId="6AC12C2D" w14:textId="77777777" w:rsidR="008D479B" w:rsidRDefault="008D479B" w:rsidP="008D479B">
      <w:pPr>
        <w:pStyle w:val="TextoNormal"/>
      </w:pPr>
    </w:p>
    <w:p w14:paraId="02F0A49E" w14:textId="77777777" w:rsidR="008D479B" w:rsidRDefault="008D479B" w:rsidP="008D479B">
      <w:pPr>
        <w:pStyle w:val="TextoNormalNegritaCentrado"/>
        <w:keepNext/>
      </w:pPr>
      <w:r>
        <w:t>II. Fundamentos jurídicos</w:t>
      </w:r>
    </w:p>
    <w:p w14:paraId="1E065A4F" w14:textId="74C349BC" w:rsidR="008D479B" w:rsidRDefault="008D479B" w:rsidP="008D479B">
      <w:pPr>
        <w:pStyle w:val="TextoNormalNegritaCentrado"/>
        <w:keepNext/>
      </w:pPr>
    </w:p>
    <w:p w14:paraId="48089435" w14:textId="77777777" w:rsidR="008D479B" w:rsidRDefault="008D479B" w:rsidP="008D479B">
      <w:pPr>
        <w:pStyle w:val="TextoNormal"/>
      </w:pPr>
      <w:r w:rsidRPr="008D479B">
        <w:rPr>
          <w:rStyle w:val="NumeroAFNegritaCaracter"/>
        </w:rPr>
        <w:t>1</w:t>
      </w:r>
      <w:r>
        <w:t xml:space="preserve">. </w:t>
      </w:r>
      <w:r w:rsidRPr="008D479B">
        <w:rPr>
          <w:i/>
        </w:rPr>
        <w:t>Objeto del recurso</w:t>
      </w:r>
    </w:p>
    <w:p w14:paraId="55423A1A" w14:textId="77777777" w:rsidR="008D479B" w:rsidRDefault="008D479B" w:rsidP="008D479B">
      <w:pPr>
        <w:pStyle w:val="TextoNormal"/>
      </w:pPr>
    </w:p>
    <w:p w14:paraId="60EDCD3B" w14:textId="1E2B0560" w:rsidR="008D479B" w:rsidRDefault="008D479B" w:rsidP="008D479B">
      <w:pPr>
        <w:pStyle w:val="TextoNormal"/>
      </w:pPr>
      <w:r>
        <w:t>El objeto de este recurso es determinar si la desestimación por silencio administrativo de la solicitud de convocatoria de concurso público para el otorgamiento de licencias de comunicación audiovisual de radiodifusión sonora digital terrenal con cobertura local integradas en los bloques de frecuencias asignados a la Comunidad Autónoma de Canarias, confirmada por resolución 47/2018, de 10 de julio, de la Viceconsejería de Comunicación y Relaciones con los Medios de la citada comunidad autónoma, que acuerda su archivo, vulnera los derechos fundamentales a la libertad de información, comunicación y expresión [art. 20.1 a) y d) CE], en relación con el art. 14 CE.</w:t>
      </w:r>
    </w:p>
    <w:p w14:paraId="2BB7DF4D" w14:textId="77777777" w:rsidR="008D479B" w:rsidRDefault="008D479B" w:rsidP="008D479B">
      <w:pPr>
        <w:pStyle w:val="TextoNormal"/>
      </w:pPr>
    </w:p>
    <w:p w14:paraId="62F0E485" w14:textId="77777777" w:rsidR="008D479B" w:rsidRDefault="008D479B" w:rsidP="008D479B">
      <w:pPr>
        <w:pStyle w:val="TextoNormal"/>
      </w:pPr>
      <w:r w:rsidRPr="008D479B">
        <w:rPr>
          <w:rStyle w:val="NumeroAFNegritaCaracter"/>
        </w:rPr>
        <w:t>2</w:t>
      </w:r>
      <w:r>
        <w:t xml:space="preserve">. </w:t>
      </w:r>
      <w:r w:rsidRPr="008D479B">
        <w:rPr>
          <w:i/>
        </w:rPr>
        <w:t>Remisión a lo resuelto en la STC 89/2023, de 18 de julio</w:t>
      </w:r>
    </w:p>
    <w:p w14:paraId="77397B2A" w14:textId="77777777" w:rsidR="008D479B" w:rsidRDefault="008D479B" w:rsidP="008D479B">
      <w:pPr>
        <w:pStyle w:val="TextoNormal"/>
      </w:pPr>
    </w:p>
    <w:p w14:paraId="04569B46" w14:textId="4924470C" w:rsidR="008D479B" w:rsidRDefault="008D479B" w:rsidP="008D479B">
      <w:pPr>
        <w:pStyle w:val="TextoNormal"/>
      </w:pPr>
      <w:r>
        <w:t>El problema constitucional que se plantea en este proceso de amparo es coincidente con el resuelto en la STC 89/2023, de 18 de julio, que excluyó que la actuación administrativa impugnada, en cuanto denegó la convocatoria del concurso solicitado para la concesión de licencias de prestación de servicios audiovisuales, vulnerara los derechos a expresar y difundir libremente los pensamientos, ideas y opiniones mediante la palabra, el escrito o cualquier otro medio de reproducción [art. 20.1 a) CE] y a comunicar o recibir libremente información veraz por cualquier medio de difusión [art. 20.1 d) CE], en relación con el principio de igualdad (art. 14 CE), lo que determina que, por idénticas razones, proceda desestimar el presente recurso de amparo.</w:t>
      </w:r>
    </w:p>
    <w:p w14:paraId="4DAEE3A5" w14:textId="77777777" w:rsidR="008D479B" w:rsidRDefault="008D479B" w:rsidP="008D479B">
      <w:pPr>
        <w:pStyle w:val="TextoNormal"/>
      </w:pPr>
    </w:p>
    <w:p w14:paraId="1855FA65" w14:textId="77777777" w:rsidR="008D479B" w:rsidRDefault="008D479B" w:rsidP="008D479B">
      <w:pPr>
        <w:pStyle w:val="TextoNormalCentrado"/>
        <w:keepNext/>
      </w:pPr>
      <w:r>
        <w:t>FALLO</w:t>
      </w:r>
    </w:p>
    <w:p w14:paraId="0342BB13" w14:textId="320F845F" w:rsidR="008D479B" w:rsidRDefault="008D479B" w:rsidP="008D479B">
      <w:pPr>
        <w:pStyle w:val="TextoNormalCentrado"/>
        <w:keepNext/>
      </w:pPr>
    </w:p>
    <w:p w14:paraId="75ADF4D3" w14:textId="2D963D89" w:rsidR="008D479B" w:rsidRDefault="008D479B" w:rsidP="008D479B">
      <w:pPr>
        <w:pStyle w:val="TextoNormal"/>
      </w:pPr>
      <w:r>
        <w:t>En atención a todo lo expuesto, el Tribunal Constitucional, por la autoridad que le confiere la Constitución de la Nación española, ha decidido desestimar el recurso de amparo interpuesto por Logondi Comunicación, S.L.</w:t>
      </w:r>
    </w:p>
    <w:p w14:paraId="23085B97" w14:textId="77777777" w:rsidR="008D479B" w:rsidRDefault="008D479B" w:rsidP="008D479B">
      <w:pPr>
        <w:pStyle w:val="TextoNormal"/>
      </w:pPr>
    </w:p>
    <w:p w14:paraId="596FD512" w14:textId="77777777" w:rsidR="008D479B" w:rsidRDefault="008D479B" w:rsidP="008D479B">
      <w:pPr>
        <w:pStyle w:val="TextoNormal"/>
      </w:pPr>
      <w:r>
        <w:t>Publíquese esta sentencia en el “Boletín Oficial del Estado”.</w:t>
      </w:r>
    </w:p>
    <w:p w14:paraId="741F6252" w14:textId="77777777" w:rsidR="008D479B" w:rsidRDefault="008D479B" w:rsidP="008D479B">
      <w:pPr>
        <w:pStyle w:val="TextoNormal"/>
      </w:pPr>
      <w:r>
        <w:t>Dada en Madrid, a veinticinco de septiembre de dos mil veintitrés.</w:t>
      </w:r>
    </w:p>
    <w:p w14:paraId="47310509" w14:textId="324DF792" w:rsidR="008D479B" w:rsidRDefault="008D479B" w:rsidP="008D479B">
      <w:pPr>
        <w:pStyle w:val="ParrafoNormal"/>
      </w:pPr>
    </w:p>
    <w:p w14:paraId="2A569A7A" w14:textId="77777777" w:rsidR="008D479B" w:rsidRDefault="008D479B" w:rsidP="008D479B">
      <w:pPr>
        <w:pStyle w:val="TextoNormalNegritaCentrado"/>
        <w:keepNext/>
      </w:pPr>
      <w:r>
        <w:t>Voto particular concurrente que formula la magistrada doña Concepción Espejel Jorquera a la sentencia dictada en el recurso de amparo número 756-2021</w:t>
      </w:r>
    </w:p>
    <w:p w14:paraId="075EC8D9" w14:textId="5A4BD5D1" w:rsidR="008D479B" w:rsidRDefault="008D479B" w:rsidP="008D479B">
      <w:pPr>
        <w:pStyle w:val="TextoNormalNegritaCentrado"/>
        <w:keepNext/>
      </w:pPr>
    </w:p>
    <w:p w14:paraId="76AED269" w14:textId="77777777" w:rsidR="008D479B" w:rsidRDefault="008D479B" w:rsidP="008D479B">
      <w:pPr>
        <w:pStyle w:val="TextoNormal"/>
      </w:pPr>
      <w:r>
        <w:t>En el ejercicio de la facultad que me confiere el artículo 90.2 de la Ley Orgánica del Tribunal Constitucional, y con respeto a la opinión de mis compañeros, formulo voto particular concurrente respecto de la sentencia recaída en el presente recurso de amparo, conforme a los argumentos que ya tuve ocasión de exponer durante su deliberación en la Sala remitiéndome al voto particular que formulé a la STC 89/2023, de 18 de julio, a la que se remite la presente resolución.</w:t>
      </w:r>
    </w:p>
    <w:p w14:paraId="23837B54" w14:textId="77777777" w:rsidR="008D479B" w:rsidRDefault="008D479B" w:rsidP="008D479B">
      <w:pPr>
        <w:pStyle w:val="TextoNormal"/>
      </w:pPr>
    </w:p>
    <w:p w14:paraId="1B1A0B3E" w14:textId="6DE112D4" w:rsidR="008D479B" w:rsidRDefault="008D479B" w:rsidP="008D479B">
      <w:pPr>
        <w:pStyle w:val="TextoNormal"/>
      </w:pPr>
      <w:r>
        <w:t>Madrid, a veinticinco de septiembre de dos mil veintitrés.</w:t>
      </w:r>
    </w:p>
    <w:p w14:paraId="7E0DC3B6" w14:textId="711A0D6F" w:rsidR="008D479B" w:rsidRDefault="008D479B">
      <w:pPr>
        <w:spacing w:after="160" w:line="278" w:lineRule="auto"/>
        <w:rPr>
          <w:rFonts w:ascii="Times New Roman" w:eastAsia="Times New Roman" w:hAnsi="Times New Roman" w:cs="Times New Roman"/>
          <w:sz w:val="24"/>
          <w:szCs w:val="24"/>
          <w:lang w:eastAsia="es-ES"/>
        </w:rPr>
      </w:pPr>
      <w:r>
        <w:br w:type="page"/>
      </w:r>
    </w:p>
    <w:p w14:paraId="2844BCFA" w14:textId="77777777" w:rsidR="008D479B" w:rsidRDefault="008D479B" w:rsidP="008D479B">
      <w:pPr>
        <w:pStyle w:val="TtuloResolucin"/>
      </w:pPr>
      <w:bookmarkStart w:id="31" w:name="SENTENCIA_2023_106"/>
      <w:r>
        <w:t>SENTENCIA 106/2023, de 25 de septiembre de 2023</w:t>
      </w:r>
    </w:p>
    <w:bookmarkEnd w:id="31"/>
    <w:p w14:paraId="15A0B280" w14:textId="77777777" w:rsidR="008D479B" w:rsidRDefault="008D479B" w:rsidP="008D479B">
      <w:pPr>
        <w:pStyle w:val="TtuloResolucin"/>
      </w:pPr>
      <w:r>
        <w:t>Sala Segunda</w:t>
      </w:r>
    </w:p>
    <w:p w14:paraId="192FD46D" w14:textId="77777777" w:rsidR="008D479B" w:rsidRDefault="008D479B" w:rsidP="008D479B">
      <w:pPr>
        <w:pStyle w:val="TtuloBOE"/>
      </w:pPr>
      <w:r>
        <w:t>(BOE núm. 261, de 1 de noviembre de 2023)</w:t>
      </w:r>
    </w:p>
    <w:p w14:paraId="73C85024" w14:textId="77777777" w:rsidR="008D479B" w:rsidRDefault="008D479B" w:rsidP="008D479B">
      <w:pPr>
        <w:pStyle w:val="TextoNormalCentrado"/>
      </w:pPr>
      <w:r>
        <w:t>ECLI:ES:TC:2023:106</w:t>
      </w:r>
    </w:p>
    <w:p w14:paraId="07849240" w14:textId="03EB4525" w:rsidR="008D479B" w:rsidRDefault="008D479B" w:rsidP="008D479B">
      <w:pPr>
        <w:pStyle w:val="TextoNormalCentrado"/>
      </w:pPr>
    </w:p>
    <w:p w14:paraId="6C1D8A5C" w14:textId="77777777" w:rsidR="008D479B" w:rsidRDefault="008D479B" w:rsidP="008D479B">
      <w:pPr>
        <w:pStyle w:val="SntesisDescriptiva"/>
      </w:pPr>
      <w:r>
        <w:t>Recurso de amparo 817-2021. Promovido por Topanga de Comunicaciones, S.L., respecto de las resoluciones de la Consejería de Cultura y Política Lingüística del Gobierno Vasco que rechazaron su solicitud de convocatoria de concurso público para la adjudicación de licencias disponibles de comunicación audiovisual de radiodifusión sonora digital terrestre de ámbito local.</w:t>
      </w:r>
    </w:p>
    <w:p w14:paraId="3C0E0A8D" w14:textId="7C47DE06" w:rsidR="008D479B" w:rsidRDefault="008D479B" w:rsidP="008D479B">
      <w:pPr>
        <w:pStyle w:val="SntesisDescriptiva"/>
      </w:pPr>
    </w:p>
    <w:p w14:paraId="2C652500" w14:textId="77777777" w:rsidR="008D479B" w:rsidRDefault="008D479B" w:rsidP="008D479B">
      <w:pPr>
        <w:pStyle w:val="SntesisAnaltica"/>
      </w:pPr>
      <w:r>
        <w:t>Supuesta vulneración del derecho a la igualdad y a las libertades de expresión e información: STC 89/2023 (resolución administrativa que no resulta desproporcionada y que viene impuesta por la inexistencia de reserva de dominio público radioeléctrico). Voto particular.</w:t>
      </w:r>
    </w:p>
    <w:p w14:paraId="684F8A15" w14:textId="6A287032" w:rsidR="008D479B" w:rsidRDefault="008D479B" w:rsidP="008D479B">
      <w:pPr>
        <w:pStyle w:val="SntesisAnaltica"/>
      </w:pPr>
    </w:p>
    <w:p w14:paraId="22CDD265" w14:textId="0B5B8603" w:rsidR="008D479B" w:rsidRDefault="008D479B" w:rsidP="008D479B">
      <w:pPr>
        <w:pStyle w:val="Extracto"/>
      </w:pPr>
      <w:r>
        <w:t>1.</w:t>
      </w:r>
      <w:r>
        <w:tab/>
        <w:t xml:space="preserve">Remisión a la STC 89/2023 que declaró respetados los derechos a expresar y difundir libremente los pensamientos, ideas y opiniones, así como a comunicar o recibir libremente información veraz por cualquier medio de difusión, consagrados en el art. 20.1 a) y d) CE, en relación con el principio de igualdad reconocido en el art. 14 CE, por parte de la actuación administrativa denegatoria de convocatoria de concurso para la concesión de licencias de prestación de servicios audiovisuales </w:t>
      </w:r>
    </w:p>
    <w:p w14:paraId="5ABEE02E" w14:textId="77777777" w:rsidR="008D479B" w:rsidRDefault="008D479B" w:rsidP="008D479B">
      <w:pPr>
        <w:pStyle w:val="Extracto"/>
      </w:pPr>
    </w:p>
    <w:p w14:paraId="2DF8D3C8" w14:textId="77777777" w:rsidR="008D479B" w:rsidRDefault="008D479B" w:rsidP="008D479B">
      <w:pPr>
        <w:pStyle w:val="Extracto"/>
      </w:pPr>
    </w:p>
    <w:p w14:paraId="0BE00059" w14:textId="77777777" w:rsidR="008D479B" w:rsidRDefault="008D479B" w:rsidP="008D479B">
      <w:pPr>
        <w:pStyle w:val="TextoNormal"/>
      </w:pPr>
      <w:r>
        <w:t>La Sala Segunda del Tribunal Constitucional, compuesta por la magistrada doña Inmaculada Montalbán Huertas, presidenta, y las magistradas y los magistrados doña María Luisa Balaguer Callejón, don Ramón Sáez Valcárcel, don Enrique Arnaldo Alcubilla, don César Tolosa Tribiño y doña Laura Díez Bueso, ha pronunciado</w:t>
      </w:r>
    </w:p>
    <w:p w14:paraId="0927E68D" w14:textId="3CB1CBB0" w:rsidR="008D479B" w:rsidRDefault="008D479B" w:rsidP="008D479B">
      <w:pPr>
        <w:pStyle w:val="TextoNormal"/>
      </w:pPr>
    </w:p>
    <w:p w14:paraId="3166D348" w14:textId="77777777" w:rsidR="008D479B" w:rsidRDefault="008D479B" w:rsidP="008D479B">
      <w:pPr>
        <w:pStyle w:val="TextoNormalCentrado"/>
        <w:keepNext/>
      </w:pPr>
      <w:r>
        <w:t>EN NOMBRE DEL REY</w:t>
      </w:r>
    </w:p>
    <w:p w14:paraId="311B726F" w14:textId="0501CECA" w:rsidR="008D479B" w:rsidRDefault="008D479B" w:rsidP="008D479B">
      <w:pPr>
        <w:pStyle w:val="TextoNormalCentrado"/>
        <w:keepNext/>
      </w:pPr>
    </w:p>
    <w:p w14:paraId="12A3CB29" w14:textId="77777777" w:rsidR="008D479B" w:rsidRDefault="008D479B" w:rsidP="008D479B">
      <w:pPr>
        <w:pStyle w:val="TextoNormalCentrado"/>
        <w:keepNext/>
      </w:pPr>
    </w:p>
    <w:p w14:paraId="6A2172DA" w14:textId="77777777" w:rsidR="008D479B" w:rsidRDefault="008D479B" w:rsidP="008D479B">
      <w:pPr>
        <w:pStyle w:val="TextoNormal"/>
      </w:pPr>
      <w:r>
        <w:t>la siguiente</w:t>
      </w:r>
    </w:p>
    <w:p w14:paraId="2D0444D8" w14:textId="17D1E3EB" w:rsidR="008D479B" w:rsidRDefault="008D479B" w:rsidP="008D479B">
      <w:pPr>
        <w:pStyle w:val="TextoNormal"/>
      </w:pPr>
    </w:p>
    <w:p w14:paraId="0DB94981" w14:textId="77777777" w:rsidR="008D479B" w:rsidRDefault="008D479B" w:rsidP="008D479B">
      <w:pPr>
        <w:pStyle w:val="TextoNormalCentrado"/>
        <w:keepNext/>
      </w:pPr>
      <w:r>
        <w:t>SENTENCIA</w:t>
      </w:r>
    </w:p>
    <w:p w14:paraId="1432789F" w14:textId="6F4A3AA9" w:rsidR="008D479B" w:rsidRDefault="008D479B" w:rsidP="008D479B">
      <w:pPr>
        <w:pStyle w:val="TextoNormalCentrado"/>
        <w:keepNext/>
      </w:pPr>
    </w:p>
    <w:p w14:paraId="1052421B" w14:textId="77777777" w:rsidR="008D479B" w:rsidRDefault="008D479B" w:rsidP="008D479B">
      <w:pPr>
        <w:pStyle w:val="TextoNormal"/>
      </w:pPr>
      <w:r>
        <w:t>En el recurso de amparo número 817-2021, promovido por la entidad Topanga de Comunicaciones, S.L., representada por la procuradora de los tribunales doña María Leceta Bilbao y asistida por el abogado don Jaime Rodríguez Díez, contra la orden de 5 de julio de 2018 del consejero de Cultura y Política Lingüística del Gobierno Vasco, por la que se desestima el recurso de alzada interpuesto contra la resolución de 26 de abril de 2018, de la directora de Gabinete y Medios de Comunicación Social, desestimatoria, a su vez, de la solicitud de convocatoria de concurso público para la adjudicación de licencias de comunicación audiovisual de radiodifusión sonora digital de ámbito local en la citada comunidad autónoma. Ha comparecido la referida comunidad autónoma y ha intervenido el Ministerio Fiscal. Ha sido ponente la magistrada doña Laura Díez Bueso.</w:t>
      </w:r>
    </w:p>
    <w:p w14:paraId="0E95543D" w14:textId="26792377" w:rsidR="008D479B" w:rsidRDefault="008D479B" w:rsidP="008D479B">
      <w:pPr>
        <w:pStyle w:val="TextoNormal"/>
      </w:pPr>
    </w:p>
    <w:p w14:paraId="4F3F55DD" w14:textId="77777777" w:rsidR="008D479B" w:rsidRDefault="008D479B" w:rsidP="008D479B">
      <w:pPr>
        <w:pStyle w:val="TextoNormalNegritaCentrado"/>
        <w:keepNext/>
      </w:pPr>
      <w:r>
        <w:t>I. Antecedentes</w:t>
      </w:r>
    </w:p>
    <w:p w14:paraId="28571047" w14:textId="2F183894" w:rsidR="008D479B" w:rsidRDefault="008D479B" w:rsidP="008D479B">
      <w:pPr>
        <w:pStyle w:val="TextoNormalNegritaCentrado"/>
        <w:keepNext/>
      </w:pPr>
    </w:p>
    <w:p w14:paraId="3DBB5B46" w14:textId="15AEBA4E" w:rsidR="008D479B" w:rsidRDefault="008D479B" w:rsidP="008D479B">
      <w:pPr>
        <w:pStyle w:val="TextoNormal"/>
      </w:pPr>
      <w:r w:rsidRPr="008D479B">
        <w:rPr>
          <w:rStyle w:val="NumeroAFNegritaCaracter"/>
        </w:rPr>
        <w:t>1</w:t>
      </w:r>
      <w:r>
        <w:t>. Mediante escrito presentado en el registro general de este tribunal el 11 de febrero de 2021, la procuradora de los tribunales doña María Leceta Bilbao, actuando en nombre y representación de la entidad Topanga de Comunicaciones, S.L., bajo la defensa del letrado don Jaime Rodríguez Díez, interpuso demanda de amparo contra la orden arriba mencionada.</w:t>
      </w:r>
    </w:p>
    <w:p w14:paraId="6046FB2F" w14:textId="77777777" w:rsidR="008D479B" w:rsidRDefault="008D479B" w:rsidP="008D479B">
      <w:pPr>
        <w:pStyle w:val="TextoNormal"/>
      </w:pPr>
    </w:p>
    <w:p w14:paraId="625A6A6A" w14:textId="77777777" w:rsidR="008D479B" w:rsidRDefault="008D479B" w:rsidP="008D479B">
      <w:pPr>
        <w:pStyle w:val="TextoNormal"/>
      </w:pPr>
      <w:r w:rsidRPr="008D479B">
        <w:rPr>
          <w:rStyle w:val="NumeroAFNegritaCaracter"/>
        </w:rPr>
        <w:t>2</w:t>
      </w:r>
      <w:r>
        <w:t>. Los hechos con relevancia para la resolución del presente recurso de amparo y a los que se refiere la demanda presentada son los siguientes:</w:t>
      </w:r>
    </w:p>
    <w:p w14:paraId="498ED889" w14:textId="77777777" w:rsidR="008D479B" w:rsidRDefault="008D479B" w:rsidP="008D479B">
      <w:pPr>
        <w:pStyle w:val="TextoNormal"/>
      </w:pPr>
    </w:p>
    <w:p w14:paraId="44096BDE" w14:textId="77777777" w:rsidR="008D479B" w:rsidRDefault="008D479B" w:rsidP="008D479B">
      <w:pPr>
        <w:pStyle w:val="TextoNormal"/>
      </w:pPr>
      <w:r>
        <w:t>a) La entidad Topanga de Comunicaciones, S.L., interpuso recurso contencioso administrativo contra la orden de 5 de julio de 2018 del consejero de Cultura y Política Lingüística del Gobierno Vasco, por la que se desestima el recurso de alzada interpuesto contra la resolución de 26 de abril de 2018, de la directora de Gabinete y Medios de Comunicación Social, desestimatoria de su solicitud de convocatoria de concurso público para la adjudicación de licencias de comunicación audiovisual de radiodifusión sonora digital de ámbito local en la citada comunidad autónoma.</w:t>
      </w:r>
    </w:p>
    <w:p w14:paraId="0961E2F2" w14:textId="77777777" w:rsidR="008D479B" w:rsidRDefault="008D479B" w:rsidP="008D479B">
      <w:pPr>
        <w:pStyle w:val="TextoNormal"/>
      </w:pPr>
    </w:p>
    <w:p w14:paraId="19621BE2" w14:textId="77777777" w:rsidR="008D479B" w:rsidRDefault="008D479B" w:rsidP="008D479B">
      <w:pPr>
        <w:pStyle w:val="TextoNormal"/>
      </w:pPr>
      <w:r>
        <w:t>b) La Sección Primera de la Sala de lo Contencioso-Administrativo del Tribunal Superior de Justicia del País Vasco desestimó el recurso interpuesto por sentencia de 19 de septiembre de 2019 al concluir que declarada extinguida la planificación radioeléctrica no cabe exigir la convocatoria de las reservas de dominio público incluidas en la misma al no existir ya reserva ni estar amparada esa posibilidad por la normativa aplicable.</w:t>
      </w:r>
    </w:p>
    <w:p w14:paraId="699EC06D" w14:textId="77777777" w:rsidR="008D479B" w:rsidRDefault="008D479B" w:rsidP="008D479B">
      <w:pPr>
        <w:pStyle w:val="TextoNormal"/>
      </w:pPr>
    </w:p>
    <w:p w14:paraId="02514D37" w14:textId="77777777" w:rsidR="008D479B" w:rsidRDefault="008D479B" w:rsidP="008D479B">
      <w:pPr>
        <w:pStyle w:val="TextoNormal"/>
      </w:pPr>
      <w:r>
        <w:t>c) Frente a dicha sentencia la representación procesal de la entidad ahora recurrente en amparo interpuso recurso de casación, que fue desestimado por sentencia de la Sección Tercera de la Sala de lo Contencioso-Administrativo del Tribunal Supremo de 18 de enero de 2021.</w:t>
      </w:r>
    </w:p>
    <w:p w14:paraId="57932329" w14:textId="77777777" w:rsidR="008D479B" w:rsidRDefault="008D479B" w:rsidP="008D479B">
      <w:pPr>
        <w:pStyle w:val="TextoNormal"/>
      </w:pPr>
    </w:p>
    <w:p w14:paraId="2E594F7C" w14:textId="3ED4A7B9" w:rsidR="008D479B" w:rsidRDefault="008D479B" w:rsidP="008D479B">
      <w:pPr>
        <w:pStyle w:val="TextoNormal"/>
      </w:pPr>
      <w:r>
        <w:t>Atendiendo al interés casacional advertido en el auto de admisión a trámite, la sentencia de casación expone la existencia de otros supuestos planteados en términos sustancialmente iguales, si no idénticos, examinados por el propio tribunal, reiterando su jurisprudencia. Colige que nada hay en el art. 27 de la Ley general de la comunicación audiovisual (LGCA) que pueda considerarse irrazonable o indebidamente restrictivo, en particular, al prever que el no aprovechamiento de espacios reservados al dominio público radioeléctrico para servicios de radiodifusión en un plazo concreto de tiempo tras la aprobación de la planificación correspondiente hace decaer dicha reserva. Tampoco considera que la aplicación del art. 27.4 LGCA incurra en prohibición de irretroactividad porque se proyecte sobre una planificación técnica aprobada con anterioridad a la entrada en vigor de la Ley general de la comunicación audiovisual, concluyendo que “de conformidad con lo dispuesto en el artículo 27.4 de la Ley general de la comunicación audiovisual, por el transcurso de los plazos estipulados en dicho precepto tras la aprobación de un plan técnico nacional de un servicio de radio o televisión, sin que la administración haya solicitado la afectación al servicio público de radio o televisión de que se trate de la reserva de dominio prevista en el citado plan o se haya convocado concurso para el otorgamiento de licencias, y sin que ningún interesado haya solicitado dicha convocatoria, la reserva de dominio decaerá y será excluida de la planificación. En consecuencia, y dados tales presupuestos, la administración no estaría ya obligada a la convocatoria de concurso a solicitud de cualquier interesado hasta que se efectúe una nueva reserva de dominio y se produzca la correspondiente afectación al servicio público de radio o televisión”.</w:t>
      </w:r>
    </w:p>
    <w:p w14:paraId="6BD4A48C" w14:textId="77777777" w:rsidR="008D479B" w:rsidRDefault="008D479B" w:rsidP="008D479B">
      <w:pPr>
        <w:pStyle w:val="TextoNormal"/>
      </w:pPr>
    </w:p>
    <w:p w14:paraId="4CCB34C9" w14:textId="77777777" w:rsidR="008D479B" w:rsidRDefault="008D479B" w:rsidP="008D479B">
      <w:pPr>
        <w:pStyle w:val="TextoNormal"/>
      </w:pPr>
      <w:r w:rsidRPr="008D479B">
        <w:rPr>
          <w:rStyle w:val="NumeroAFNegritaCaracter"/>
        </w:rPr>
        <w:t>3</w:t>
      </w:r>
      <w:r>
        <w:t>. En la demanda de amparo se alegan las siguientes vulneraciones constitucionales:</w:t>
      </w:r>
    </w:p>
    <w:p w14:paraId="78306E17" w14:textId="77777777" w:rsidR="008D479B" w:rsidRDefault="008D479B" w:rsidP="008D479B">
      <w:pPr>
        <w:pStyle w:val="TextoNormal"/>
      </w:pPr>
    </w:p>
    <w:p w14:paraId="73E4C323" w14:textId="77777777" w:rsidR="008D479B" w:rsidRDefault="008D479B" w:rsidP="008D479B">
      <w:pPr>
        <w:pStyle w:val="TextoNormal"/>
      </w:pPr>
      <w:r>
        <w:t>a) Afirma que la negativa a convocar un concurso público por parte del Gobierno de la Comunidad Autónoma del País Vasco amparándose en el transcurso de un plazo imputable a su propia inactividad y el consiguiente decaimiento de la planificación del espacio radioeléctrico ha imposibilitado el ejercicio de los derechos fundamentales a la libertad de información, comunicación y expresión, en relación con el art. 14 CE, en concreto, de su derecho a crear los medios de comunicación indispensables para el ejercicio del derecho a expresar y difundir libremente los pensamientos, ideas y opiniones mediante la palabra, el escrito o cualquier otro medio de reproducción [art. 20.1 a) CE] y a comunicar o recibir libremente información veraz por cualquier medio de difusión [art. 20.1 d) CE]. Entiende que prevalece el deber de convocar el concurso de adjudicación (art. 27.2 LGCA) sobre el eventual decaimiento de la reserva del espectro radioeléctrico (art. 27.4 LGCA) por lo que ha sido la inacción de la administración pública la causante de que no se haya aprovechado el espectro que el Estado ha otorgado a la comunidad autónoma, lo que invalida el acto recurrido por ser contrario a los derechos invocados. Alega que otras comunidades autónomas han convocado los concursos de licencias más allá del plazo establecido y que la negativa a convocar los concursos de adjudicación de licencias vacantes es incompatible con la Directiva 2018/1972, de 11 de diciembre, por la que se establece el Código europeo de las comunicaciones electrónicas, por crear barreras de acceso al mercado e inutilizar el espectro radioeléctrico.</w:t>
      </w:r>
    </w:p>
    <w:p w14:paraId="019963B3" w14:textId="77777777" w:rsidR="008D479B" w:rsidRDefault="008D479B" w:rsidP="008D479B">
      <w:pPr>
        <w:pStyle w:val="TextoNormal"/>
      </w:pPr>
    </w:p>
    <w:p w14:paraId="07EFDC3D" w14:textId="77777777" w:rsidR="008D479B" w:rsidRDefault="008D479B" w:rsidP="008D479B">
      <w:pPr>
        <w:pStyle w:val="TextoNormal"/>
      </w:pPr>
      <w:r>
        <w:t>Sostiene también que existe una patente contradicción entre las sentencias del Tribunal Supremo al diferenciar incorrectamente entre licencias de televisión digital y licencias de radiodifusión digital para la protección de los derechos fundamentales.</w:t>
      </w:r>
    </w:p>
    <w:p w14:paraId="237384C3" w14:textId="77777777" w:rsidR="008D479B" w:rsidRDefault="008D479B" w:rsidP="008D479B">
      <w:pPr>
        <w:pStyle w:val="TextoNormal"/>
      </w:pPr>
    </w:p>
    <w:p w14:paraId="5D174166" w14:textId="77777777" w:rsidR="008D479B" w:rsidRDefault="008D479B" w:rsidP="008D479B">
      <w:pPr>
        <w:pStyle w:val="TextoNormal"/>
      </w:pPr>
      <w:r>
        <w:t xml:space="preserve">Añade, en fin, que la negativa a conceder una licencia de radiodifusión infringe el art. 10, apartado 1, del Convenio europeo de derechos humanos (CEDH) y cita las resoluciones del Tribunal Europeo de Derechos Humanos de 20 de octubre de 1997, asunto </w:t>
      </w:r>
      <w:r w:rsidRPr="008D479B">
        <w:rPr>
          <w:i/>
        </w:rPr>
        <w:t>Radio ABC c. Austria</w:t>
      </w:r>
      <w:r>
        <w:t xml:space="preserve">; de 23 de noviembre de 1999, asunto </w:t>
      </w:r>
      <w:r w:rsidRPr="008D479B">
        <w:rPr>
          <w:i/>
        </w:rPr>
        <w:t>Leveque c. Francia</w:t>
      </w:r>
      <w:r>
        <w:t xml:space="preserve">; de 7 de noviembre de 2000, asunto </w:t>
      </w:r>
      <w:r w:rsidRPr="008D479B">
        <w:rPr>
          <w:i/>
        </w:rPr>
        <w:t>United Christian Broadcasters Ltd. c. Reino Unido</w:t>
      </w:r>
      <w:r>
        <w:t xml:space="preserve">; de 11 de octubre de 2007, asunto </w:t>
      </w:r>
      <w:r w:rsidRPr="008D479B">
        <w:rPr>
          <w:i/>
        </w:rPr>
        <w:t>Glas Nadejda EOOD y Elenkov c. Bulgaria</w:t>
      </w:r>
      <w:r>
        <w:t xml:space="preserve">; de 17 de junio de 2008, asunto </w:t>
      </w:r>
      <w:r w:rsidRPr="008D479B">
        <w:rPr>
          <w:i/>
        </w:rPr>
        <w:t>Meltex Ltd. y Movsessian c. Armenia</w:t>
      </w:r>
      <w:r>
        <w:t xml:space="preserve">, así como el dictamen del Comité de Derechos Humanos de Naciones Unidas, de 27 de octubre de 2016, en el caso </w:t>
      </w:r>
      <w:r w:rsidRPr="008D479B">
        <w:rPr>
          <w:i/>
        </w:rPr>
        <w:t>Azagade c. Azerbaiyán</w:t>
      </w:r>
      <w:r>
        <w:t>.</w:t>
      </w:r>
    </w:p>
    <w:p w14:paraId="66671B2F" w14:textId="77777777" w:rsidR="008D479B" w:rsidRDefault="008D479B" w:rsidP="008D479B">
      <w:pPr>
        <w:pStyle w:val="TextoNormal"/>
      </w:pPr>
    </w:p>
    <w:p w14:paraId="015F50D8" w14:textId="570FBB6C" w:rsidR="008D479B" w:rsidRDefault="008D479B" w:rsidP="008D479B">
      <w:pPr>
        <w:pStyle w:val="TextoNormal"/>
      </w:pPr>
      <w:r>
        <w:t>b) En segundo lugar, considera vulnerado el derecho a la igualdad (art. 14 CE), al haberse convocado en otras comunidades autónomas concursos públicos de licencias de comunicación audiovisual. Mantiene que el art. 27.4 LGCA, al tener la consideración de normativa básica, debe aplicarse de forma similar en todo el territorio estatal y la dispar interpretación efectuada por las distintas comunidades autónomas, a juicio de la entidad recurrente, lesiona el art. 14 CE.</w:t>
      </w:r>
    </w:p>
    <w:p w14:paraId="439C8894" w14:textId="77777777" w:rsidR="008D479B" w:rsidRDefault="008D479B" w:rsidP="008D479B">
      <w:pPr>
        <w:pStyle w:val="TextoNormal"/>
      </w:pPr>
    </w:p>
    <w:p w14:paraId="169A2983" w14:textId="77777777" w:rsidR="008D479B" w:rsidRDefault="008D479B" w:rsidP="008D479B">
      <w:pPr>
        <w:pStyle w:val="TextoNormal"/>
      </w:pPr>
      <w:r w:rsidRPr="008D479B">
        <w:rPr>
          <w:rStyle w:val="NumeroAFNegritaCaracter"/>
        </w:rPr>
        <w:t>4</w:t>
      </w:r>
      <w:r>
        <w:t>. Por providencia de 26 de septiembre de 2022, la Sección Cuarta del Tribunal Constitucional acordó admitir a trámite la demanda de amparo, al apreciar que concurría en la misma una especial trascendencia constitucional [art. 50.1 de la Ley Orgánica del Tribunal Constitucional (LOTC)] porque el recurso podía dar ocasión al Tribunal para aclarar o cambiar su doctrina, como consecuencia de un proceso de reflexión interna [STC 155/2009, de 25 de junio, FJ 2 b)] y el asunto suscitado trascendía del caso concreto porque plantea una cuestión jurídica de relevante y general repercusión social o económica [STC 155/2009, FJ 2 g)].</w:t>
      </w:r>
    </w:p>
    <w:p w14:paraId="69484982" w14:textId="77777777" w:rsidR="008D479B" w:rsidRDefault="008D479B" w:rsidP="008D479B">
      <w:pPr>
        <w:pStyle w:val="TextoNormal"/>
      </w:pPr>
    </w:p>
    <w:p w14:paraId="4A7DE4BA" w14:textId="453CFFDE" w:rsidR="008D479B" w:rsidRDefault="008D479B" w:rsidP="008D479B">
      <w:pPr>
        <w:pStyle w:val="TextoNormal"/>
      </w:pPr>
      <w:r>
        <w:t>Asimismo, acordó dar cumplimiento a lo dispuesto en el art. 51 LOTC y formar la correspondiente pieza separada de suspensión, que fue concluida por ATC 143/2022, de 14 de noviembre, en el que se acordó denegar la suspensión cautelar solicitada.</w:t>
      </w:r>
    </w:p>
    <w:p w14:paraId="7A420128" w14:textId="77777777" w:rsidR="008D479B" w:rsidRDefault="008D479B" w:rsidP="008D479B">
      <w:pPr>
        <w:pStyle w:val="TextoNormal"/>
      </w:pPr>
    </w:p>
    <w:p w14:paraId="37E3492F" w14:textId="08A9BE0F" w:rsidR="008D479B" w:rsidRDefault="008D479B" w:rsidP="008D479B">
      <w:pPr>
        <w:pStyle w:val="TextoNormal"/>
      </w:pPr>
      <w:r w:rsidRPr="008D479B">
        <w:rPr>
          <w:rStyle w:val="NumeroAFNegritaCaracter"/>
        </w:rPr>
        <w:t>5</w:t>
      </w:r>
      <w:r>
        <w:t>. Por diligencia de ordenación de la Secretaría de Justicia de la Sección se tuvo por personada a la Comunidad Autónoma del País Vasco. Y, a tenor de lo dispuesto en el art. 52 LOTC, se dio vista de las actuaciones, por un plazo común de veinte días, al Ministerio Fiscal y a las partes personadas para que dentro de dicho término pudieran presentar las alegaciones que a su derecho conviniera.</w:t>
      </w:r>
    </w:p>
    <w:p w14:paraId="05A0EA19" w14:textId="77777777" w:rsidR="008D479B" w:rsidRDefault="008D479B" w:rsidP="008D479B">
      <w:pPr>
        <w:pStyle w:val="TextoNormal"/>
      </w:pPr>
    </w:p>
    <w:p w14:paraId="2C5883B2" w14:textId="5AC10F44" w:rsidR="008D479B" w:rsidRDefault="008D479B" w:rsidP="008D479B">
      <w:pPr>
        <w:pStyle w:val="TextoNormal"/>
      </w:pPr>
      <w:r w:rsidRPr="008D479B">
        <w:rPr>
          <w:rStyle w:val="NumeroAFNegritaCaracter"/>
        </w:rPr>
        <w:t>6</w:t>
      </w:r>
      <w:r>
        <w:t>. La demandante de amparo presentó sus alegaciones mediante escrito registrado el 23 de diciembre de 2022 en el que reiteraba los argumentos expuestos en la demanda.</w:t>
      </w:r>
    </w:p>
    <w:p w14:paraId="5A395CEF" w14:textId="77777777" w:rsidR="008D479B" w:rsidRDefault="008D479B" w:rsidP="008D479B">
      <w:pPr>
        <w:pStyle w:val="TextoNormal"/>
      </w:pPr>
    </w:p>
    <w:p w14:paraId="081C73E9" w14:textId="17C0109A" w:rsidR="008D479B" w:rsidRDefault="008D479B" w:rsidP="008D479B">
      <w:pPr>
        <w:pStyle w:val="TextoNormal"/>
      </w:pPr>
      <w:r w:rsidRPr="008D479B">
        <w:rPr>
          <w:rStyle w:val="NumeroAFNegritaCaracter"/>
        </w:rPr>
        <w:t>7</w:t>
      </w:r>
      <w:r>
        <w:t>. La Comunidad Autónoma del País Vasco, con la representación y asistencia de letrada de su servicio jurídico, presentó sus alegaciones mediante escrito registrado el 11 de enero de 2023. Alega como causas de inadmisibilidad la falta de agotamiento de la vía judicial previa al no haberse interpuesto incidente de nulidad de actuaciones contra la providencia del Tribunal Supremo que inadmitió el recurso de casación, la carencia de especial trascendencia constitucional y la pérdida sobrevenida del objeto del recurso de amparo a causa de la derogación de la Ley general de la comunicación audiovisual. Interesa, subsidiariamente, su desestimación al rechazar que se hayan vulnerado los derechos invocados en la demanda de amparo.</w:t>
      </w:r>
    </w:p>
    <w:p w14:paraId="29179256" w14:textId="77777777" w:rsidR="008D479B" w:rsidRDefault="008D479B" w:rsidP="008D479B">
      <w:pPr>
        <w:pStyle w:val="TextoNormal"/>
      </w:pPr>
    </w:p>
    <w:p w14:paraId="5DFCBFB6" w14:textId="57A7CB11" w:rsidR="008D479B" w:rsidRDefault="008D479B" w:rsidP="008D479B">
      <w:pPr>
        <w:pStyle w:val="TextoNormal"/>
      </w:pPr>
      <w:r w:rsidRPr="008D479B">
        <w:rPr>
          <w:rStyle w:val="NumeroAFNegritaCaracter"/>
        </w:rPr>
        <w:t>8</w:t>
      </w:r>
      <w:r>
        <w:t>. Por diligencia de ordenación de 19 de enero de 2023, el secretario de justicia de la Sección Tercera de la Sala Segunda de este tribunal puso en conocimiento de las partes que, en virtud del acuerdo del Pleno del Tribunal Constitucional de 17 de enero de 2023, publicado en el “Boletín Oficial del Estado” de 19 de enero de 2023, el presente recurso de amparo fue turnado a la citada sección.</w:t>
      </w:r>
    </w:p>
    <w:p w14:paraId="603BE993" w14:textId="77777777" w:rsidR="008D479B" w:rsidRDefault="008D479B" w:rsidP="008D479B">
      <w:pPr>
        <w:pStyle w:val="TextoNormal"/>
      </w:pPr>
    </w:p>
    <w:p w14:paraId="0607FB71" w14:textId="77777777" w:rsidR="008D479B" w:rsidRDefault="008D479B" w:rsidP="008D479B">
      <w:pPr>
        <w:pStyle w:val="TextoNormal"/>
      </w:pPr>
      <w:r w:rsidRPr="008D479B">
        <w:rPr>
          <w:rStyle w:val="NumeroAFNegritaCaracter"/>
        </w:rPr>
        <w:t>9</w:t>
      </w:r>
      <w:r>
        <w:t>. El Ministerio Fiscal presentó sus alegaciones mediante escrito registrado el 20 de enero de 2023 en el que solicita la desestimación del recurso de amparo.</w:t>
      </w:r>
    </w:p>
    <w:p w14:paraId="411F32BB" w14:textId="77777777" w:rsidR="008D479B" w:rsidRDefault="008D479B" w:rsidP="008D479B">
      <w:pPr>
        <w:pStyle w:val="TextoNormal"/>
      </w:pPr>
    </w:p>
    <w:p w14:paraId="5DEF1CD6" w14:textId="77777777" w:rsidR="008D479B" w:rsidRDefault="008D479B" w:rsidP="008D479B">
      <w:pPr>
        <w:pStyle w:val="TextoNormal"/>
      </w:pPr>
      <w:r>
        <w:t>Descarta, en primer lugar, que se haya producido una vulneración del art. 14 CE, al no existir el término válido de comparación exigido para que se produzca la vulneración, pues no se han dictado las resoluciones por los mismos órganos, ni en el caso del reproche dirigido al Tribunal Supremo concurre la identidad de supuestos exigida.</w:t>
      </w:r>
    </w:p>
    <w:p w14:paraId="5565CDC6" w14:textId="77777777" w:rsidR="008D479B" w:rsidRDefault="008D479B" w:rsidP="008D479B">
      <w:pPr>
        <w:pStyle w:val="TextoNormal"/>
      </w:pPr>
    </w:p>
    <w:p w14:paraId="05467426" w14:textId="77777777" w:rsidR="008D479B" w:rsidRDefault="008D479B" w:rsidP="008D479B">
      <w:pPr>
        <w:pStyle w:val="TextoNormal"/>
      </w:pPr>
      <w:r>
        <w:t>Rechaza, asimismo, la vulneración del art. 20.1 a) y d) CE al existir una regulación normativa que establece el marco temporal de reserva del espacio radioeléctrico a los efectos de convocar los correspondientes concursos. Entiende que corresponde al legislador una mayor libertad de configuración normativa para disciplinar los soportes técnicos e instrumentos de comunicación que la que posee al ordenar directamente los derechos fundamentales del art. 20.1 CE. De este modo, las resoluciones administrativas y las sentencias que aplican la regulación establecida en este ámbito difícilmente pueden lesionar los derechos invocados.</w:t>
      </w:r>
    </w:p>
    <w:p w14:paraId="5D46BD05" w14:textId="77777777" w:rsidR="008D479B" w:rsidRDefault="008D479B" w:rsidP="008D479B">
      <w:pPr>
        <w:pStyle w:val="TextoNormal"/>
      </w:pPr>
    </w:p>
    <w:p w14:paraId="46227F97" w14:textId="008AF431" w:rsidR="008D479B" w:rsidRDefault="008D479B" w:rsidP="008D479B">
      <w:pPr>
        <w:pStyle w:val="TextoNormal"/>
      </w:pPr>
      <w:r>
        <w:t xml:space="preserve">Finalmente, considera que las resoluciones del Tribunal Europeo de Derechos Humanos citadas no son aplicables por tratarse de decisiones de inadmisión o, en el caso de la STEDH de 20 de octubre de 1997, asunto </w:t>
      </w:r>
      <w:r w:rsidRPr="008D479B">
        <w:rPr>
          <w:i/>
        </w:rPr>
        <w:t>Radio</w:t>
      </w:r>
      <w:r>
        <w:t xml:space="preserve"> </w:t>
      </w:r>
      <w:r w:rsidRPr="008D479B">
        <w:rPr>
          <w:i/>
        </w:rPr>
        <w:t>ABC c. Austria</w:t>
      </w:r>
      <w:r>
        <w:t>, porque toda la actividad se subordinaba a una concesión del legislador federal que no se produjo, situación que se mantuvo durante tres periodos de tiempo, supuesto distinto al contemplado en la regulación española.</w:t>
      </w:r>
    </w:p>
    <w:p w14:paraId="7AC90241" w14:textId="77777777" w:rsidR="008D479B" w:rsidRDefault="008D479B" w:rsidP="008D479B">
      <w:pPr>
        <w:pStyle w:val="TextoNormal"/>
      </w:pPr>
    </w:p>
    <w:p w14:paraId="1F8CD5E1" w14:textId="78F5ED67" w:rsidR="008D479B" w:rsidRDefault="008D479B" w:rsidP="008D479B">
      <w:pPr>
        <w:pStyle w:val="TextoNormal"/>
      </w:pPr>
      <w:r w:rsidRPr="008D479B">
        <w:rPr>
          <w:rStyle w:val="NumeroAFNegritaCaracter"/>
        </w:rPr>
        <w:t>10</w:t>
      </w:r>
      <w:r>
        <w:t>. Por providencia de 21 de septiembre de 2023 se señaló para la deliberación y votación de la presente sentencia el día 25 del mismo mes y año.</w:t>
      </w:r>
    </w:p>
    <w:p w14:paraId="0A78BCB3" w14:textId="77777777" w:rsidR="008D479B" w:rsidRDefault="008D479B" w:rsidP="008D479B">
      <w:pPr>
        <w:pStyle w:val="TextoNormal"/>
      </w:pPr>
    </w:p>
    <w:p w14:paraId="21DD0590" w14:textId="77777777" w:rsidR="008D479B" w:rsidRDefault="008D479B" w:rsidP="008D479B">
      <w:pPr>
        <w:pStyle w:val="TextoNormalNegritaCentrado"/>
        <w:keepNext/>
      </w:pPr>
      <w:r>
        <w:t>II. Fundamentos jurídicos</w:t>
      </w:r>
    </w:p>
    <w:p w14:paraId="772542F4" w14:textId="6B867FAD" w:rsidR="008D479B" w:rsidRDefault="008D479B" w:rsidP="008D479B">
      <w:pPr>
        <w:pStyle w:val="TextoNormalNegritaCentrado"/>
        <w:keepNext/>
      </w:pPr>
    </w:p>
    <w:p w14:paraId="434256CC" w14:textId="77777777" w:rsidR="008D479B" w:rsidRDefault="008D479B" w:rsidP="008D479B">
      <w:pPr>
        <w:pStyle w:val="TextoNormal"/>
      </w:pPr>
      <w:r w:rsidRPr="008D479B">
        <w:rPr>
          <w:rStyle w:val="NumeroAFNegritaCaracter"/>
        </w:rPr>
        <w:t>1</w:t>
      </w:r>
      <w:r>
        <w:t xml:space="preserve">. </w:t>
      </w:r>
      <w:r w:rsidRPr="008D479B">
        <w:rPr>
          <w:i/>
        </w:rPr>
        <w:t>Objeto del recurso</w:t>
      </w:r>
    </w:p>
    <w:p w14:paraId="5F63D5D3" w14:textId="77777777" w:rsidR="008D479B" w:rsidRDefault="008D479B" w:rsidP="008D479B">
      <w:pPr>
        <w:pStyle w:val="TextoNormal"/>
      </w:pPr>
    </w:p>
    <w:p w14:paraId="5ABA2CDA" w14:textId="30B02CD2" w:rsidR="008D479B" w:rsidRDefault="008D479B" w:rsidP="008D479B">
      <w:pPr>
        <w:pStyle w:val="TextoNormal"/>
      </w:pPr>
      <w:r>
        <w:t>El objeto de este recurso es determinar si la orden de 5 de julio de 2018 del consejero de Cultura y Política Lingüística del Gobierno Vasco, por la que se desestima el recurso de alzada interpuesto contra la resolución de 26 de abril de 2018, de la directora de Gabinete y Medios de Comunicación Social, desestimatoria de la solicitud de convocatoria de concurso para la adjudicación de las licencias disponibles de comunicación audiovisual de radiodifusión sonora digital de ámbito local en la citada comunidad autónoma, vulnera los derechos fundamentales a la libertad de información, comunicación y expresión [art. 20.1 a) y d) CE], en relación con el art. 14 CE.</w:t>
      </w:r>
    </w:p>
    <w:p w14:paraId="29F89E43" w14:textId="77777777" w:rsidR="008D479B" w:rsidRDefault="008D479B" w:rsidP="008D479B">
      <w:pPr>
        <w:pStyle w:val="TextoNormal"/>
      </w:pPr>
    </w:p>
    <w:p w14:paraId="0056DF3D" w14:textId="77777777" w:rsidR="008D479B" w:rsidRDefault="008D479B" w:rsidP="008D479B">
      <w:pPr>
        <w:pStyle w:val="TextoNormal"/>
      </w:pPr>
      <w:r w:rsidRPr="008D479B">
        <w:rPr>
          <w:rStyle w:val="NumeroAFNegritaCaracter"/>
        </w:rPr>
        <w:t>2</w:t>
      </w:r>
      <w:r>
        <w:t xml:space="preserve">. </w:t>
      </w:r>
      <w:r w:rsidRPr="008D479B">
        <w:rPr>
          <w:i/>
        </w:rPr>
        <w:t>Cuestiones previas: falta de agotamiento de la vía judicial previa, justificación de la especial trascendencia constitucional y carencia sobrevenida de objeto</w:t>
      </w:r>
    </w:p>
    <w:p w14:paraId="7968DEC8" w14:textId="77777777" w:rsidR="008D479B" w:rsidRDefault="008D479B" w:rsidP="008D479B">
      <w:pPr>
        <w:pStyle w:val="TextoNormal"/>
      </w:pPr>
    </w:p>
    <w:p w14:paraId="1D10BED7" w14:textId="77777777" w:rsidR="008D479B" w:rsidRDefault="008D479B" w:rsidP="008D479B">
      <w:pPr>
        <w:pStyle w:val="TextoNormal"/>
      </w:pPr>
      <w:r>
        <w:t>En primer lugar, como se ha indicado en los antecedentes, la Comunidad Autónoma del País Vasco alega como causa de inadmisibilidad del recurso que la demanda interpuesta no ha agotado la vía judicial al no haber interpuesto incidente de nulidad de actuaciones contra la resolución del Tribunal Supremo que inadmitió el recurso de casación. Esta alegación no puede prosperar. En el presente caso, al encontrarnos ante un recurso de amparo interpuesto por la vía del art. 43 LOTC —las vulneraciones constitucionales en las que se fundamenta se imputan a las resoluciones administrativas y no a las judiciales—, a tenor de lo dispuesto en el art. 241.1 de la Ley Orgánica del Poder Judicial, es manifiesto que no procede interponer un incidente de nulidad de actuaciones para agotar la vía judicial y cumplir lo previsto en el art. 44.1 a) LOTC.</w:t>
      </w:r>
    </w:p>
    <w:p w14:paraId="17FAD932" w14:textId="77777777" w:rsidR="008D479B" w:rsidRDefault="008D479B" w:rsidP="008D479B">
      <w:pPr>
        <w:pStyle w:val="TextoNormal"/>
      </w:pPr>
    </w:p>
    <w:p w14:paraId="32164E61" w14:textId="77777777" w:rsidR="008D479B" w:rsidRDefault="008D479B" w:rsidP="008D479B">
      <w:pPr>
        <w:pStyle w:val="TextoNormal"/>
      </w:pPr>
      <w:r>
        <w:t>También se aduce que el recurso ha de ser inadmitido por carecer de especial trascendencia constitucional. De acuerdo con la doctrina constitucional, corresponde únicamente al Tribunal apreciar en cada caso, en el momento de admitir a trámite el recurso de amparo, si este tiene especial trascendencia constitucional, de acuerdo con lo exigido por el art. 50.1 LOTC (así, SSTC 155/2020, de 4 de noviembre, FJ 2, o 43/2022, de 21 de marzo, FJ 2, y 13/2023, de 6 de marzo, FJ 2, entre otras muchas). En consecuencia, esta causa de inadmisión ha de rechazarse.</w:t>
      </w:r>
    </w:p>
    <w:p w14:paraId="01B4271B" w14:textId="77777777" w:rsidR="008D479B" w:rsidRDefault="008D479B" w:rsidP="008D479B">
      <w:pPr>
        <w:pStyle w:val="TextoNormal"/>
      </w:pPr>
    </w:p>
    <w:p w14:paraId="3795C0BC" w14:textId="1B53F8B6" w:rsidR="008D479B" w:rsidRDefault="008D479B" w:rsidP="008D479B">
      <w:pPr>
        <w:pStyle w:val="TextoNormal"/>
      </w:pPr>
      <w:r>
        <w:t>Por último, no puede tener acogida la pérdida de objeto del recurso de amparo que la representación de la comunidad autónoma atribuye a la derogación de la Ley 7/2010, de 31 de marzo, general de la comunicación audiovisual, por la nueva Ley 13/2022, de 7 de julio, general de comunicación audiovisual. Lo que se discute en este proceso constitucional es si la actuación administrativa en aplicación de la LGCA 2010 ha incurrido en la lesión de los derechos de comunicación e información reconocidos en el art. 20 CE, en relación con el art. 14 CE, que denuncia la demandante. Desde esa perspectiva, la modificación legal operada no priva de objeto al presente recurso.</w:t>
      </w:r>
    </w:p>
    <w:p w14:paraId="6400963E" w14:textId="77777777" w:rsidR="008D479B" w:rsidRDefault="008D479B" w:rsidP="008D479B">
      <w:pPr>
        <w:pStyle w:val="TextoNormal"/>
      </w:pPr>
    </w:p>
    <w:p w14:paraId="124ECE9C" w14:textId="77777777" w:rsidR="008D479B" w:rsidRDefault="008D479B" w:rsidP="008D479B">
      <w:pPr>
        <w:pStyle w:val="TextoNormal"/>
      </w:pPr>
      <w:r w:rsidRPr="008D479B">
        <w:rPr>
          <w:rStyle w:val="NumeroAFNegritaCaracter"/>
        </w:rPr>
        <w:t>3</w:t>
      </w:r>
      <w:r>
        <w:t xml:space="preserve">. </w:t>
      </w:r>
      <w:r w:rsidRPr="008D479B">
        <w:rPr>
          <w:i/>
        </w:rPr>
        <w:t>Remisión a lo resuelto en la STC 89/2023, de 18 de julio</w:t>
      </w:r>
    </w:p>
    <w:p w14:paraId="121B857B" w14:textId="77777777" w:rsidR="008D479B" w:rsidRDefault="008D479B" w:rsidP="008D479B">
      <w:pPr>
        <w:pStyle w:val="TextoNormal"/>
      </w:pPr>
    </w:p>
    <w:p w14:paraId="18A61BFA" w14:textId="320D4297" w:rsidR="008D479B" w:rsidRDefault="008D479B" w:rsidP="008D479B">
      <w:pPr>
        <w:pStyle w:val="TextoNormal"/>
      </w:pPr>
      <w:r>
        <w:t>El problema constitucional que se plantea en este proceso de amparo es coincidente con el resuelto en la STC 89/2023, de 18 de julio, que excluyó que la actuación administrativa impugnada, en cuanto denegó la convocatoria del concurso solicitado para la concesión de licencias de prestación de servicios audiovisuales, vulnerara los derechos a expresar y difundir libremente los pensamientos, ideas y opiniones mediante la palabra, el escrito o cualquier otro medio de reproducción [art. 20.1 a) CE] y a comunicar o recibir libremente información veraz por cualquier medio de difusión [art. 20.1 d) CE], en relación con el principio de igualdad (art. 14 CE), lo que determina que, por idénticas razones, proceda desestimar el presente recurso de amparo.</w:t>
      </w:r>
    </w:p>
    <w:p w14:paraId="0F49A257" w14:textId="77777777" w:rsidR="008D479B" w:rsidRDefault="008D479B" w:rsidP="008D479B">
      <w:pPr>
        <w:pStyle w:val="TextoNormal"/>
      </w:pPr>
    </w:p>
    <w:p w14:paraId="1536B5CC" w14:textId="77777777" w:rsidR="008D479B" w:rsidRDefault="008D479B" w:rsidP="008D479B">
      <w:pPr>
        <w:pStyle w:val="TextoNormalCentrado"/>
        <w:keepNext/>
      </w:pPr>
      <w:r>
        <w:t>FALLO</w:t>
      </w:r>
    </w:p>
    <w:p w14:paraId="00D09315" w14:textId="5CA73204" w:rsidR="008D479B" w:rsidRDefault="008D479B" w:rsidP="008D479B">
      <w:pPr>
        <w:pStyle w:val="TextoNormalCentrado"/>
        <w:keepNext/>
      </w:pPr>
    </w:p>
    <w:p w14:paraId="3225CE8F" w14:textId="6F721F0F" w:rsidR="008D479B" w:rsidRDefault="008D479B" w:rsidP="008D479B">
      <w:pPr>
        <w:pStyle w:val="TextoNormal"/>
      </w:pPr>
      <w:r>
        <w:t>En atención a todo lo expuesto, el Tribunal Constitucional, por la autoridad que le confiere la Constitución de la Nación española, ha decidido desestimar el recurso de amparo interpuesto por Topanga de Comunicaciones, S.L.</w:t>
      </w:r>
    </w:p>
    <w:p w14:paraId="14CF1AB2" w14:textId="77777777" w:rsidR="008D479B" w:rsidRDefault="008D479B" w:rsidP="008D479B">
      <w:pPr>
        <w:pStyle w:val="TextoNormal"/>
      </w:pPr>
    </w:p>
    <w:p w14:paraId="6B1FAAF7" w14:textId="77777777" w:rsidR="008D479B" w:rsidRDefault="008D479B" w:rsidP="008D479B">
      <w:pPr>
        <w:pStyle w:val="TextoNormal"/>
      </w:pPr>
      <w:r>
        <w:t>Publíquese esta sentencia en el “Boletín Oficial del Estado”.</w:t>
      </w:r>
    </w:p>
    <w:p w14:paraId="386BF355" w14:textId="77777777" w:rsidR="008D479B" w:rsidRDefault="008D479B" w:rsidP="008D479B">
      <w:pPr>
        <w:pStyle w:val="TextoNormal"/>
      </w:pPr>
      <w:r>
        <w:t>Dada en Madrid, a veinticinco de septiembre de dos mil veintitrés.</w:t>
      </w:r>
    </w:p>
    <w:p w14:paraId="73AF9DC6" w14:textId="38EEB393" w:rsidR="008D479B" w:rsidRDefault="008D479B" w:rsidP="008D479B">
      <w:pPr>
        <w:pStyle w:val="ParrafoNormal"/>
      </w:pPr>
    </w:p>
    <w:p w14:paraId="13470D09" w14:textId="77777777" w:rsidR="008D479B" w:rsidRDefault="008D479B" w:rsidP="008D479B">
      <w:pPr>
        <w:pStyle w:val="TextoNormalNegritaCentrado"/>
        <w:keepNext/>
      </w:pPr>
      <w:r>
        <w:t>Voto particular que formula la magistrada doña María Luisa Balaguer Callejón a la sentencia dictada en el recurso de amparo núm. 817-2021</w:t>
      </w:r>
    </w:p>
    <w:p w14:paraId="669A5DED" w14:textId="4B122CA2" w:rsidR="008D479B" w:rsidRDefault="008D479B" w:rsidP="008D479B">
      <w:pPr>
        <w:pStyle w:val="TextoNormalNegritaCentrado"/>
        <w:keepNext/>
      </w:pPr>
    </w:p>
    <w:p w14:paraId="4A53F9FF" w14:textId="77777777" w:rsidR="008D479B" w:rsidRDefault="008D479B" w:rsidP="008D479B">
      <w:pPr>
        <w:pStyle w:val="TextoNormal"/>
      </w:pPr>
      <w:r>
        <w:t>Con el mayor respeto al criterio reflejado en la sentencia a que se refiere el encabezamiento y, en ejercicio de la facultad que me confiere el art. 90.2 de la Ley Orgánica del Tribunal Constitucional, manifiesto mi discrepancia con la argumentación y fallo de la sentencia aprobada por la Sala. Por ello, me remito, en su totalidad, al voto particular que realicé a la STC 89/2023, de 18 de julio.</w:t>
      </w:r>
    </w:p>
    <w:p w14:paraId="33C97FBE" w14:textId="77777777" w:rsidR="008D479B" w:rsidRDefault="008D479B" w:rsidP="008D479B">
      <w:pPr>
        <w:pStyle w:val="TextoNormal"/>
      </w:pPr>
    </w:p>
    <w:p w14:paraId="173E1E16" w14:textId="54366826" w:rsidR="008D479B" w:rsidRDefault="008D479B" w:rsidP="008D479B">
      <w:pPr>
        <w:pStyle w:val="TextoNormal"/>
      </w:pPr>
      <w:r>
        <w:t>Madrid, a veinticinco de septiembre de dos mil veintitrés.</w:t>
      </w:r>
    </w:p>
    <w:p w14:paraId="16288E68" w14:textId="2CEBDBD0" w:rsidR="008D479B" w:rsidRDefault="008D479B">
      <w:pPr>
        <w:spacing w:after="160" w:line="278" w:lineRule="auto"/>
        <w:rPr>
          <w:rFonts w:ascii="Times New Roman" w:eastAsia="Times New Roman" w:hAnsi="Times New Roman" w:cs="Times New Roman"/>
          <w:sz w:val="24"/>
          <w:szCs w:val="24"/>
          <w:lang w:eastAsia="es-ES"/>
        </w:rPr>
      </w:pPr>
      <w:r>
        <w:br w:type="page"/>
      </w:r>
    </w:p>
    <w:p w14:paraId="00E3BEA4" w14:textId="77777777" w:rsidR="008D479B" w:rsidRDefault="008D479B" w:rsidP="008D479B">
      <w:pPr>
        <w:pStyle w:val="TtuloResolucin"/>
      </w:pPr>
      <w:bookmarkStart w:id="32" w:name="SENTENCIA_2023_107"/>
      <w:r>
        <w:t>SENTENCIA 107/2023, de 25 de septiembre de 2023</w:t>
      </w:r>
    </w:p>
    <w:bookmarkEnd w:id="32"/>
    <w:p w14:paraId="11B66CF1" w14:textId="77777777" w:rsidR="008D479B" w:rsidRDefault="008D479B" w:rsidP="008D479B">
      <w:pPr>
        <w:pStyle w:val="TtuloResolucin"/>
      </w:pPr>
      <w:r>
        <w:t>Sala Primera</w:t>
      </w:r>
    </w:p>
    <w:p w14:paraId="76BEA3C7" w14:textId="77777777" w:rsidR="008D479B" w:rsidRDefault="008D479B" w:rsidP="008D479B">
      <w:pPr>
        <w:pStyle w:val="TtuloBOE"/>
      </w:pPr>
      <w:r>
        <w:t>(BOE núm. 261, de 1 de noviembre de 2023)</w:t>
      </w:r>
    </w:p>
    <w:p w14:paraId="57478808" w14:textId="77777777" w:rsidR="008D479B" w:rsidRDefault="008D479B" w:rsidP="008D479B">
      <w:pPr>
        <w:pStyle w:val="TextoNormalCentrado"/>
      </w:pPr>
      <w:r>
        <w:t>ECLI:ES:TC:2023:107</w:t>
      </w:r>
    </w:p>
    <w:p w14:paraId="680DCADA" w14:textId="742C01A2" w:rsidR="008D479B" w:rsidRDefault="008D479B" w:rsidP="008D479B">
      <w:pPr>
        <w:pStyle w:val="TextoNormalCentrado"/>
      </w:pPr>
    </w:p>
    <w:p w14:paraId="122BE741" w14:textId="77777777" w:rsidR="008D479B" w:rsidRDefault="008D479B" w:rsidP="008D479B">
      <w:pPr>
        <w:pStyle w:val="SntesisDescriptiva"/>
      </w:pPr>
      <w:r>
        <w:t>Recurso de amparo 828-2021. Promovido por Logondi Comunicación, S.L., respecto de las resoluciones de la Consejería de Empleo, Industria y Turismo del Gobierno del Principado de Asturias que rechazaron su solicitud de convocatoria de concurso público para la adjudicación de licencias disponibles de comunicación audiovisual de radiodifusión sonora digital terrestre de ámbito local.</w:t>
      </w:r>
    </w:p>
    <w:p w14:paraId="61E48C53" w14:textId="427EB67E" w:rsidR="008D479B" w:rsidRDefault="008D479B" w:rsidP="008D479B">
      <w:pPr>
        <w:pStyle w:val="SntesisDescriptiva"/>
      </w:pPr>
    </w:p>
    <w:p w14:paraId="30556A4A" w14:textId="77777777" w:rsidR="008D479B" w:rsidRDefault="008D479B" w:rsidP="008D479B">
      <w:pPr>
        <w:pStyle w:val="SntesisAnaltica"/>
      </w:pPr>
      <w:r>
        <w:t>Supuesta vulneración del derecho a la igualdad y a las libertades de expresión e información: STC 89/2023 (resolución administrativa que no resulta desproporcionada y que viene impuesta por la inexistencia de reserva de dominio público radioeléctrico). Voto particular.</w:t>
      </w:r>
    </w:p>
    <w:p w14:paraId="0B284009" w14:textId="3E3C74B0" w:rsidR="008D479B" w:rsidRDefault="008D479B" w:rsidP="008D479B">
      <w:pPr>
        <w:pStyle w:val="SntesisAnaltica"/>
      </w:pPr>
    </w:p>
    <w:p w14:paraId="060D6DCA" w14:textId="57473A79" w:rsidR="008D479B" w:rsidRDefault="008D479B" w:rsidP="008D479B">
      <w:pPr>
        <w:pStyle w:val="Extracto"/>
      </w:pPr>
      <w:r>
        <w:t>1.</w:t>
      </w:r>
      <w:r>
        <w:tab/>
        <w:t xml:space="preserve">Remisión a la STC 89/2023 que declaró respetados los derechos a expresar y difundir libremente los pensamientos, ideas y opiniones, así como a comunicar o recibir libremente información veraz por cualquier medio de difusión, consagrados en el art. 20.1 a) y d) CE, en relación con el principio de igualdad reconocido en el art. 14 CE, por parte de la actuación administrativa denegatoria de convocatoria de concurso para la concesión de licencias de prestación de servicios audiovisuales </w:t>
      </w:r>
    </w:p>
    <w:p w14:paraId="72A38ED0" w14:textId="77777777" w:rsidR="008D479B" w:rsidRDefault="008D479B" w:rsidP="008D479B">
      <w:pPr>
        <w:pStyle w:val="Extracto"/>
      </w:pPr>
    </w:p>
    <w:p w14:paraId="3951B68F" w14:textId="77777777" w:rsidR="008D479B" w:rsidRDefault="008D479B" w:rsidP="008D479B">
      <w:pPr>
        <w:pStyle w:val="Extracto"/>
      </w:pPr>
    </w:p>
    <w:p w14:paraId="54B5C6DE" w14:textId="77777777" w:rsidR="008D479B" w:rsidRDefault="008D479B" w:rsidP="008D479B">
      <w:pPr>
        <w:pStyle w:val="TextoNormal"/>
      </w:pPr>
      <w:r>
        <w:t>La Sala Primera del Tribunal Constitucional, compuesta por el magistrado don Cándido Conde-Pumpido Tourón, presidente, y los magistrados y magistradas don Ricardo Enríquez Sancho, doña Concepción Espejel Jorquera, doña María Luisa Segoviano Astaburuaga y don Juan Carlos Campo Moreno, ha pronunciado</w:t>
      </w:r>
    </w:p>
    <w:p w14:paraId="2B1C2EA7" w14:textId="0D280E35" w:rsidR="008D479B" w:rsidRDefault="008D479B" w:rsidP="008D479B">
      <w:pPr>
        <w:pStyle w:val="TextoNormal"/>
      </w:pPr>
    </w:p>
    <w:p w14:paraId="0392CD89" w14:textId="77777777" w:rsidR="008D479B" w:rsidRDefault="008D479B" w:rsidP="008D479B">
      <w:pPr>
        <w:pStyle w:val="TextoNormalCentrado"/>
        <w:keepNext/>
      </w:pPr>
      <w:r>
        <w:t>EN NOMBRE DEL REY</w:t>
      </w:r>
    </w:p>
    <w:p w14:paraId="557B4824" w14:textId="758B7EF7" w:rsidR="008D479B" w:rsidRDefault="008D479B" w:rsidP="008D479B">
      <w:pPr>
        <w:pStyle w:val="TextoNormalCentrado"/>
        <w:keepNext/>
      </w:pPr>
    </w:p>
    <w:p w14:paraId="04B24727" w14:textId="77777777" w:rsidR="008D479B" w:rsidRDefault="008D479B" w:rsidP="008D479B">
      <w:pPr>
        <w:pStyle w:val="TextoNormalCentrado"/>
        <w:keepNext/>
      </w:pPr>
    </w:p>
    <w:p w14:paraId="7795AFD6" w14:textId="77777777" w:rsidR="008D479B" w:rsidRDefault="008D479B" w:rsidP="008D479B">
      <w:pPr>
        <w:pStyle w:val="TextoNormal"/>
      </w:pPr>
      <w:r>
        <w:t>la siguiente</w:t>
      </w:r>
    </w:p>
    <w:p w14:paraId="02B03AFC" w14:textId="3DD38B59" w:rsidR="008D479B" w:rsidRDefault="008D479B" w:rsidP="008D479B">
      <w:pPr>
        <w:pStyle w:val="TextoNormal"/>
      </w:pPr>
    </w:p>
    <w:p w14:paraId="3EB803BF" w14:textId="77777777" w:rsidR="008D479B" w:rsidRDefault="008D479B" w:rsidP="008D479B">
      <w:pPr>
        <w:pStyle w:val="TextoNormalCentrado"/>
        <w:keepNext/>
      </w:pPr>
      <w:r>
        <w:t>SENTENCIA</w:t>
      </w:r>
    </w:p>
    <w:p w14:paraId="5768A555" w14:textId="649B8E89" w:rsidR="008D479B" w:rsidRDefault="008D479B" w:rsidP="008D479B">
      <w:pPr>
        <w:pStyle w:val="TextoNormalCentrado"/>
        <w:keepNext/>
      </w:pPr>
    </w:p>
    <w:p w14:paraId="662D26D2" w14:textId="77777777" w:rsidR="008D479B" w:rsidRDefault="008D479B" w:rsidP="008D479B">
      <w:pPr>
        <w:pStyle w:val="TextoNormal"/>
      </w:pPr>
      <w:r>
        <w:t>En el recurso de amparo número 828-2021, promovido por la mercantil Logondi Comunicación, S.L., representada por el procurador de los tribunales don José Carlos García Rodríguez y asistida por el abogado don Jaime Rodríguez Díez, contra la desestimación presunta, por parte de la Consejería de Empleo, Industria y Turismo del Gobierno del Principado de Asturias, de la solicitud de 8 de enero de 2018, de convocatoria de concurso público para el otorgamiento de licencias de comunicación audiovisual de radiodifusión sonora digital terrenal con cobertura local integradas en los bloques de frecuencias asignados a la citada comunidad autónoma. Ha comparecido la referida comunidad autónoma y ha intervenido el Ministerio Fiscal. Ha sido ponente el magistrado don Juan Carlos Campo Moreno.</w:t>
      </w:r>
    </w:p>
    <w:p w14:paraId="6C6D82FB" w14:textId="667D0B73" w:rsidR="008D479B" w:rsidRDefault="008D479B" w:rsidP="008D479B">
      <w:pPr>
        <w:pStyle w:val="TextoNormal"/>
      </w:pPr>
    </w:p>
    <w:p w14:paraId="28093B1A" w14:textId="77777777" w:rsidR="008D479B" w:rsidRDefault="008D479B" w:rsidP="008D479B">
      <w:pPr>
        <w:pStyle w:val="TextoNormalNegritaCentrado"/>
        <w:keepNext/>
      </w:pPr>
      <w:r>
        <w:t>I. Antecedentes</w:t>
      </w:r>
    </w:p>
    <w:p w14:paraId="2BDA246F" w14:textId="6AB47569" w:rsidR="008D479B" w:rsidRDefault="008D479B" w:rsidP="008D479B">
      <w:pPr>
        <w:pStyle w:val="TextoNormalNegritaCentrado"/>
        <w:keepNext/>
      </w:pPr>
    </w:p>
    <w:p w14:paraId="7054F649" w14:textId="7560D14D" w:rsidR="008D479B" w:rsidRDefault="008D479B" w:rsidP="008D479B">
      <w:pPr>
        <w:pStyle w:val="TextoNormal"/>
      </w:pPr>
      <w:r w:rsidRPr="008D479B">
        <w:rPr>
          <w:rStyle w:val="NumeroAFNegritaCaracter"/>
        </w:rPr>
        <w:t>1</w:t>
      </w:r>
      <w:r>
        <w:t>. Mediante escrito presentado en el registro general de este tribunal el 12 de febrero de 2021, el procurador de los tribunales don José Carlos García Rodríguez, actuando en nombre y representación de Logondi Comunicación, S.L., bajo la defensa del letrado don Jaime Rodríguez Díez, interpuso demanda de amparo contra la desestimación presunta arriba mencionada.</w:t>
      </w:r>
    </w:p>
    <w:p w14:paraId="27AB839D" w14:textId="77777777" w:rsidR="008D479B" w:rsidRDefault="008D479B" w:rsidP="008D479B">
      <w:pPr>
        <w:pStyle w:val="TextoNormal"/>
      </w:pPr>
    </w:p>
    <w:p w14:paraId="1F2C7EF5" w14:textId="77777777" w:rsidR="008D479B" w:rsidRDefault="008D479B" w:rsidP="008D479B">
      <w:pPr>
        <w:pStyle w:val="TextoNormal"/>
      </w:pPr>
      <w:r w:rsidRPr="008D479B">
        <w:rPr>
          <w:rStyle w:val="NumeroAFNegritaCaracter"/>
        </w:rPr>
        <w:t>2</w:t>
      </w:r>
      <w:r>
        <w:t>. Los hechos con relevancia para la resolución del presente recurso de amparo y a los que se refiere la demanda presentada son los siguientes:</w:t>
      </w:r>
    </w:p>
    <w:p w14:paraId="2B35FD25" w14:textId="77777777" w:rsidR="008D479B" w:rsidRDefault="008D479B" w:rsidP="008D479B">
      <w:pPr>
        <w:pStyle w:val="TextoNormal"/>
      </w:pPr>
    </w:p>
    <w:p w14:paraId="14CFA9D4" w14:textId="77777777" w:rsidR="008D479B" w:rsidRDefault="008D479B" w:rsidP="008D479B">
      <w:pPr>
        <w:pStyle w:val="TextoNormal"/>
      </w:pPr>
      <w:r>
        <w:t>a) La entidad Logondi Comunicación, S.L., interpuso recurso contencioso administrativo contra la desestimación presunta, por parte de la Consejería de Empleo, Industria y Turismo del Gobierno del Principado de Asturias, de su solicitud de 8 de enero de 2018, de convocatoria de concurso público para el otorgamiento de licencias de comunicación audiovisual de radiodifusión sonora digital terrenal con cobertura local integradas en los bloques de frecuencias asignados a la citada comunidad autónoma.</w:t>
      </w:r>
    </w:p>
    <w:p w14:paraId="54E49A0B" w14:textId="77777777" w:rsidR="008D479B" w:rsidRDefault="008D479B" w:rsidP="008D479B">
      <w:pPr>
        <w:pStyle w:val="TextoNormal"/>
      </w:pPr>
    </w:p>
    <w:p w14:paraId="5A810FD7" w14:textId="77777777" w:rsidR="008D479B" w:rsidRDefault="008D479B" w:rsidP="008D479B">
      <w:pPr>
        <w:pStyle w:val="TextoNormal"/>
      </w:pPr>
      <w:r>
        <w:t>b) La Sala de lo Contencioso-Administrativo del Tribunal Superior de Justicia del Principado de Asturias desestimó el recurso interpuesto por sentencia de 27 de diciembre de 2018 al concluir, con cita de la jurisprudencia del Tribunal Supremo, que declarada extinguida la planificación radioeléctrica no cabe exigir la convocatoria de las reservas de dominio público incluidas en la misma.</w:t>
      </w:r>
    </w:p>
    <w:p w14:paraId="3586522E" w14:textId="77777777" w:rsidR="008D479B" w:rsidRDefault="008D479B" w:rsidP="008D479B">
      <w:pPr>
        <w:pStyle w:val="TextoNormal"/>
      </w:pPr>
    </w:p>
    <w:p w14:paraId="4BCF7C22" w14:textId="77777777" w:rsidR="008D479B" w:rsidRDefault="008D479B" w:rsidP="008D479B">
      <w:pPr>
        <w:pStyle w:val="TextoNormal"/>
      </w:pPr>
      <w:r>
        <w:t>c) Frente a dicha sentencia la representación procesal de la mercantil ahora recurrente en amparo interpuso recurso de casación, que fue desestimado por sentencia de la Sección Tercera de la Sala de lo Contencioso-Administrativo del Tribunal Supremo de 20 de enero de 2021.</w:t>
      </w:r>
    </w:p>
    <w:p w14:paraId="50B1E9BA" w14:textId="77777777" w:rsidR="008D479B" w:rsidRDefault="008D479B" w:rsidP="008D479B">
      <w:pPr>
        <w:pStyle w:val="TextoNormal"/>
      </w:pPr>
    </w:p>
    <w:p w14:paraId="2B5B8691" w14:textId="77777777" w:rsidR="008D479B" w:rsidRDefault="008D479B" w:rsidP="008D479B">
      <w:pPr>
        <w:pStyle w:val="TextoNormal"/>
      </w:pPr>
      <w:r>
        <w:t>Atendiendo al interés casacional advertido en el auto de admisión a trámite, la sentencia de casación expone la existencia de dos criterios jurisdiccionales distintos entre los diferentes tribunales superiores de justicia y distingue el caso que se le plantea, relativo a las circunstancias de aplicación y a los efectos que los plazos prevenidos en el art. 27.4 de la Ley general de la comunicación audiovisual (LGCA) puedan tener sobre los planes técnicos y sobre la cobertura de las licencias vacantes, de otros examinados por el propio tribunal.</w:t>
      </w:r>
    </w:p>
    <w:p w14:paraId="2ABB49F2" w14:textId="77777777" w:rsidR="008D479B" w:rsidRDefault="008D479B" w:rsidP="008D479B">
      <w:pPr>
        <w:pStyle w:val="TextoNormal"/>
      </w:pPr>
    </w:p>
    <w:p w14:paraId="5E0954F0" w14:textId="1A402567" w:rsidR="008D479B" w:rsidRDefault="008D479B" w:rsidP="008D479B">
      <w:pPr>
        <w:pStyle w:val="TextoNormal"/>
      </w:pPr>
      <w:r>
        <w:t>Colige que nada hay en el art. 27 LGCA que pueda considerarse irrazonable o indebidamente restrictivo, en particular, al prever que el no aprovechamiento de espacios reservados al dominio público radioeléctrico para servicios de radiodifusión en un plazo concreto de tiempo tras la aprobación de la planificación correspondiente hace decaer dicha reserva. Tampoco considera que la aplicación del art. 27.4 LGCA incurra en prohibición de irretroactividad porque se proyecte sobre una planificación técnica aprobada con anterioridad a la entrada en vigor de la Ley general de la comunicación audiovisual, concluyendo que “el artículo 27.4 de la Ley 7/2010, de 31 de marzo, general de comunicación audiovisual debe interpretarse en el sentido de que el transcurso de los plazos estipulados en dicha disposición, tras la aprobación de un plan técnico nacional de un servicio de radio o televisión, sin que la administración haya solicitado la afectación al servicio público de radio o televisión de que se trate de la reserva de dominio prevista en el citado plan o se haya convocado concurso para el otorgamiento de licencias, y sin que ningún interesado haya solicitado dicha convocatoria, la reserva de dominio decae será excluida de la planificación. En consecuencia y dados tales presupuestos, la administración no estaría ya obligada a la convocatoria de concurso a solicitud de cualquier interesado hasta que se efectúe una nueva reserva de dominio y se produzca la correspondiente afectación al servicio público de radio o televisión”.</w:t>
      </w:r>
    </w:p>
    <w:p w14:paraId="349D244E" w14:textId="77777777" w:rsidR="008D479B" w:rsidRDefault="008D479B" w:rsidP="008D479B">
      <w:pPr>
        <w:pStyle w:val="TextoNormal"/>
      </w:pPr>
    </w:p>
    <w:p w14:paraId="0D2F48FD" w14:textId="77777777" w:rsidR="008D479B" w:rsidRDefault="008D479B" w:rsidP="008D479B">
      <w:pPr>
        <w:pStyle w:val="TextoNormal"/>
      </w:pPr>
      <w:r w:rsidRPr="008D479B">
        <w:rPr>
          <w:rStyle w:val="NumeroAFNegritaCaracter"/>
        </w:rPr>
        <w:t>3</w:t>
      </w:r>
      <w:r>
        <w:t>. En la demanda de amparo se alegan las siguientes vulneraciones constitucionales:</w:t>
      </w:r>
    </w:p>
    <w:p w14:paraId="7BB505E2" w14:textId="77777777" w:rsidR="008D479B" w:rsidRDefault="008D479B" w:rsidP="008D479B">
      <w:pPr>
        <w:pStyle w:val="TextoNormal"/>
      </w:pPr>
    </w:p>
    <w:p w14:paraId="3BBBCE33" w14:textId="77777777" w:rsidR="008D479B" w:rsidRDefault="008D479B" w:rsidP="008D479B">
      <w:pPr>
        <w:pStyle w:val="TextoNormal"/>
      </w:pPr>
      <w:r>
        <w:t>a) Afirma que la negativa a convocar un concurso público por parte del Gobierno del Principado de Asturias amparándose en el transcurso de un plazo imputable a su propia inactividad y el consiguiente decaimiento de la planificación del espacio radioeléctrico ha imposibilitado el ejercicio de los derechos fundamentales a la libertad de información, comunicación y expresión, en relación con el art. 14 CE, en concreto, de su derecho a crear los medios de comunicación indispensables para el ejercicio del derecho a expresar y difundir libremente los pensamientos, ideas y opiniones mediante la palabra, el escrito o cualquier otro medio de reproducción [art. 20.1 a) CE] y a comunicar o recibir libremente información veraz por cualquier medio de difusión [art. 20.1 d) CE]. Entiende que prevalece el deber de convocar el concurso de adjudicación (art. 27.2 LGCA) sobre el eventual decaimiento de la reserva del espectro radioeléctrico (art. 27.4 LGCA) por lo que ha sido la inacción de la administración pública la causante de que no se haya aprovechado el espectro que el Estado ha otorgado a la comunidad autónoma, lo que invalida el acto recurrido por ser contrario a los derechos invocados. Alega que otras comunidades autónomas han convocado los concursos de licencias más allá del plazo establecido y que la negativa a convocar los concursos de adjudicación de licencias vacantes es incompatible con la Directiva 2018/1972, de 11 de diciembre, por la que se establece el Código europeo de las comunicaciones electrónicas, por crear barreras de acceso al mercado e inutilizar el espectro radioeléctrico.</w:t>
      </w:r>
    </w:p>
    <w:p w14:paraId="3CB1617A" w14:textId="77777777" w:rsidR="008D479B" w:rsidRDefault="008D479B" w:rsidP="008D479B">
      <w:pPr>
        <w:pStyle w:val="TextoNormal"/>
      </w:pPr>
    </w:p>
    <w:p w14:paraId="14104EF6" w14:textId="77777777" w:rsidR="008D479B" w:rsidRDefault="008D479B" w:rsidP="008D479B">
      <w:pPr>
        <w:pStyle w:val="TextoNormal"/>
      </w:pPr>
      <w:r>
        <w:t>Sostiene también que existe una patente contradicción entre las sentencias del Tribunal Supremo al diferenciar incorrectamente entre licencias de televisión digital y licencias de radiodifusión digital para la protección de los derechos fundamentales.</w:t>
      </w:r>
    </w:p>
    <w:p w14:paraId="57CBB1C8" w14:textId="77777777" w:rsidR="008D479B" w:rsidRDefault="008D479B" w:rsidP="008D479B">
      <w:pPr>
        <w:pStyle w:val="TextoNormal"/>
      </w:pPr>
    </w:p>
    <w:p w14:paraId="0FC78865" w14:textId="77777777" w:rsidR="008D479B" w:rsidRDefault="008D479B" w:rsidP="008D479B">
      <w:pPr>
        <w:pStyle w:val="TextoNormal"/>
      </w:pPr>
      <w:r>
        <w:t xml:space="preserve">Añade, en fin, que la negativa a conceder una licencia de radiodifusión infringe el art. 10, apartado 1, del Convenio europeo de derechos humanos (CEDH) y cita las resoluciones del Tribunal Europeo de Derechos Humanos de 20 de octubre de 1997, asunto </w:t>
      </w:r>
      <w:r w:rsidRPr="008D479B">
        <w:rPr>
          <w:i/>
        </w:rPr>
        <w:t>Radio ABC c. Austria</w:t>
      </w:r>
      <w:r>
        <w:t xml:space="preserve">; de 23 de noviembre de 1999, asunto </w:t>
      </w:r>
      <w:r w:rsidRPr="008D479B">
        <w:rPr>
          <w:i/>
        </w:rPr>
        <w:t>Leveque c. Francia</w:t>
      </w:r>
      <w:r>
        <w:t xml:space="preserve">; de 7 de noviembre de 2000, asunto </w:t>
      </w:r>
      <w:r w:rsidRPr="008D479B">
        <w:rPr>
          <w:i/>
        </w:rPr>
        <w:t>United Christian Broadcasters Ltd. c. Reino Unido</w:t>
      </w:r>
      <w:r>
        <w:t xml:space="preserve">; de 11 de octubre de 2007, asunto </w:t>
      </w:r>
      <w:r w:rsidRPr="008D479B">
        <w:rPr>
          <w:i/>
        </w:rPr>
        <w:t>Glas Nadejda EOOD y Elenkov c. Bulgaria</w:t>
      </w:r>
      <w:r>
        <w:t xml:space="preserve">; de 17 de junio de 2008, asunto </w:t>
      </w:r>
      <w:r w:rsidRPr="008D479B">
        <w:rPr>
          <w:i/>
        </w:rPr>
        <w:t>Meltex Ltd. y Movsessian c. Armenia</w:t>
      </w:r>
      <w:r>
        <w:t xml:space="preserve">, así como el dictamen del Comité de Derechos Humanos de Naciones Unidas, de 27 de octubre de 2016, en el caso </w:t>
      </w:r>
      <w:r w:rsidRPr="008D479B">
        <w:rPr>
          <w:i/>
        </w:rPr>
        <w:t>Azagade c. Azerbaiyán</w:t>
      </w:r>
      <w:r>
        <w:t>.</w:t>
      </w:r>
    </w:p>
    <w:p w14:paraId="448C60AF" w14:textId="77777777" w:rsidR="008D479B" w:rsidRDefault="008D479B" w:rsidP="008D479B">
      <w:pPr>
        <w:pStyle w:val="TextoNormal"/>
      </w:pPr>
    </w:p>
    <w:p w14:paraId="42CE7FCB" w14:textId="0CFA86AC" w:rsidR="008D479B" w:rsidRDefault="008D479B" w:rsidP="008D479B">
      <w:pPr>
        <w:pStyle w:val="TextoNormal"/>
      </w:pPr>
      <w:r>
        <w:t>b) En segundo lugar, considera vulnerado el derecho a la igualdad (art. 14 CE), al haberse convocado en otras comunidades autónomas concursos públicos de licencias de comunicación audiovisual. Mantiene que el art. 27.4 LGCA, al tener la consideración de normativa básica, debe aplicarse de forma similar en todo el territorio estatal y la dispar interpretación efectuada por las distintas comunidades autónomas, a juicio de la entidad recurrente, lesiona el art. 14 CE.</w:t>
      </w:r>
    </w:p>
    <w:p w14:paraId="4DAEBAF2" w14:textId="77777777" w:rsidR="008D479B" w:rsidRDefault="008D479B" w:rsidP="008D479B">
      <w:pPr>
        <w:pStyle w:val="TextoNormal"/>
      </w:pPr>
    </w:p>
    <w:p w14:paraId="5AD3AA25" w14:textId="77777777" w:rsidR="008D479B" w:rsidRDefault="008D479B" w:rsidP="008D479B">
      <w:pPr>
        <w:pStyle w:val="TextoNormal"/>
      </w:pPr>
      <w:r w:rsidRPr="008D479B">
        <w:rPr>
          <w:rStyle w:val="NumeroAFNegritaCaracter"/>
        </w:rPr>
        <w:t>4</w:t>
      </w:r>
      <w:r>
        <w:t>. Por providencia de 10 de octubre de 2022, la Sección Primera del Tribunal Constitucional acordó admitir a trámite la demanda de amparo, al apreciar que concurría en la misma una especial trascendencia constitucional [art. 50.1 de la Ley Orgánica del Tribunal Constitucional (LOTC)] porque el recurso podía dar ocasión al Tribunal para aclarar o cambiar su doctrina, como consecuencia de un proceso de reflexión interna [STC 155/2009, de 25 de junio, FJ 2 b)] y el asunto suscitado trascendía del caso concreto porque plantea una cuestión jurídica de relevante y general repercusión social o económica [STC 155/2009, FJ 2 g)].</w:t>
      </w:r>
    </w:p>
    <w:p w14:paraId="19D52008" w14:textId="77777777" w:rsidR="008D479B" w:rsidRDefault="008D479B" w:rsidP="008D479B">
      <w:pPr>
        <w:pStyle w:val="TextoNormal"/>
      </w:pPr>
    </w:p>
    <w:p w14:paraId="085318FE" w14:textId="04A33CD7" w:rsidR="008D479B" w:rsidRDefault="008D479B" w:rsidP="008D479B">
      <w:pPr>
        <w:pStyle w:val="TextoNormal"/>
      </w:pPr>
      <w:r>
        <w:t>Asimismo, acordó dar cumplimiento a lo dispuesto en el art. 51 LOTC y formar la correspondiente pieza separada de suspensión, que fue concluida por ATC 16/2023, de 6 de febrero, en el que se acordó denegar la suspensión cautelar solicitada.</w:t>
      </w:r>
    </w:p>
    <w:p w14:paraId="11569A99" w14:textId="77777777" w:rsidR="008D479B" w:rsidRDefault="008D479B" w:rsidP="008D479B">
      <w:pPr>
        <w:pStyle w:val="TextoNormal"/>
      </w:pPr>
    </w:p>
    <w:p w14:paraId="32A0433F" w14:textId="4B16E174" w:rsidR="008D479B" w:rsidRDefault="008D479B" w:rsidP="008D479B">
      <w:pPr>
        <w:pStyle w:val="TextoNormal"/>
      </w:pPr>
      <w:r w:rsidRPr="008D479B">
        <w:rPr>
          <w:rStyle w:val="NumeroAFNegritaCaracter"/>
        </w:rPr>
        <w:t>5</w:t>
      </w:r>
      <w:r>
        <w:t>. Por diligencia de ordenación de la Secretaría de Justicia de la Sección se tuvo por personado al Principado de Asturias. Y, a tenor de lo dispuesto en el art. 52 LOTC, se dio vista de las actuaciones, por un plazo común de veinte días, al Ministerio Fiscal y a las partes personadas para que dentro de dicho término pudieran presentar las alegaciones que a su derecho conviniera.</w:t>
      </w:r>
    </w:p>
    <w:p w14:paraId="2D0BA3F0" w14:textId="77777777" w:rsidR="008D479B" w:rsidRDefault="008D479B" w:rsidP="008D479B">
      <w:pPr>
        <w:pStyle w:val="TextoNormal"/>
      </w:pPr>
    </w:p>
    <w:p w14:paraId="4D32C740" w14:textId="3012B63F" w:rsidR="008D479B" w:rsidRDefault="008D479B" w:rsidP="008D479B">
      <w:pPr>
        <w:pStyle w:val="TextoNormal"/>
      </w:pPr>
      <w:r w:rsidRPr="008D479B">
        <w:rPr>
          <w:rStyle w:val="NumeroAFNegritaCaracter"/>
        </w:rPr>
        <w:t>6</w:t>
      </w:r>
      <w:r>
        <w:t>. La demandante de amparo presentó sus alegaciones mediante escrito registrado el 18 de noviembre de 2022 en el que reiteraba los argumentos expuestos en la demanda.</w:t>
      </w:r>
    </w:p>
    <w:p w14:paraId="181BF277" w14:textId="77777777" w:rsidR="008D479B" w:rsidRDefault="008D479B" w:rsidP="008D479B">
      <w:pPr>
        <w:pStyle w:val="TextoNormal"/>
      </w:pPr>
    </w:p>
    <w:p w14:paraId="221AA173" w14:textId="77777777" w:rsidR="008D479B" w:rsidRDefault="008D479B" w:rsidP="008D479B">
      <w:pPr>
        <w:pStyle w:val="TextoNormal"/>
      </w:pPr>
      <w:r w:rsidRPr="008D479B">
        <w:rPr>
          <w:rStyle w:val="NumeroAFNegritaCaracter"/>
        </w:rPr>
        <w:t>7</w:t>
      </w:r>
      <w:r>
        <w:t>. El Ministerio Fiscal presentó sus alegaciones mediante escrito registrado el 22 de diciembre de 2022 en el que solicita la desestimación del recurso de amparo.</w:t>
      </w:r>
    </w:p>
    <w:p w14:paraId="77A86F17" w14:textId="77777777" w:rsidR="008D479B" w:rsidRDefault="008D479B" w:rsidP="008D479B">
      <w:pPr>
        <w:pStyle w:val="TextoNormal"/>
      </w:pPr>
    </w:p>
    <w:p w14:paraId="23851D14" w14:textId="77777777" w:rsidR="008D479B" w:rsidRDefault="008D479B" w:rsidP="008D479B">
      <w:pPr>
        <w:pStyle w:val="TextoNormal"/>
      </w:pPr>
      <w:r>
        <w:t>Descarta, en primer lugar, que se haya producido una vulneración del art. 14 CE, al no existir el término válido de comparación exigido para que se produzca la vulneración, pues no se han dictado las resoluciones por los mismos órganos, ni en el caso del reproche dirigido al Tribunal Supremo concurre la identidad de supuestos exigida.</w:t>
      </w:r>
    </w:p>
    <w:p w14:paraId="13C51C36" w14:textId="77777777" w:rsidR="008D479B" w:rsidRDefault="008D479B" w:rsidP="008D479B">
      <w:pPr>
        <w:pStyle w:val="TextoNormal"/>
      </w:pPr>
    </w:p>
    <w:p w14:paraId="72A840E2" w14:textId="77777777" w:rsidR="008D479B" w:rsidRDefault="008D479B" w:rsidP="008D479B">
      <w:pPr>
        <w:pStyle w:val="TextoNormal"/>
      </w:pPr>
      <w:r>
        <w:t>Rechaza, asimismo, la vulneración del art. 20.1 a) y d) CE al existir una regulación normativa que establece el marco temporal de reserva del espacio radioeléctrico a los efectos de convocar los correspondientes concursos. Entiende que corresponde al legislador una mayor libertad de configuración normativa para disciplinar los soportes técnicos e instrumentos de comunicación, que la que posee al ordenar directamente los derechos fundamentales del art. 20.1 CE. De este modo las resoluciones administrativas y las sentencias que aplican la regulación establecida en este ámbito difícilmente pueden lesionar los derechos invocados.</w:t>
      </w:r>
    </w:p>
    <w:p w14:paraId="6E08A119" w14:textId="77777777" w:rsidR="008D479B" w:rsidRDefault="008D479B" w:rsidP="008D479B">
      <w:pPr>
        <w:pStyle w:val="TextoNormal"/>
      </w:pPr>
    </w:p>
    <w:p w14:paraId="1AAB7FB2" w14:textId="0BC62C82" w:rsidR="008D479B" w:rsidRDefault="008D479B" w:rsidP="008D479B">
      <w:pPr>
        <w:pStyle w:val="TextoNormal"/>
      </w:pPr>
      <w:r>
        <w:t xml:space="preserve">Finalmente, considera que las resoluciones del Tribunal Europeo de Derechos Humanos citadas no son aplicables por tratarse de decisiones de inadmisión o, en el caso de la STEDH de 20 de octubre de 1997, asunto </w:t>
      </w:r>
      <w:r w:rsidRPr="008D479B">
        <w:rPr>
          <w:i/>
        </w:rPr>
        <w:t>Radio</w:t>
      </w:r>
      <w:r>
        <w:t xml:space="preserve"> </w:t>
      </w:r>
      <w:r w:rsidRPr="008D479B">
        <w:rPr>
          <w:i/>
        </w:rPr>
        <w:t>ABC c. Austria</w:t>
      </w:r>
      <w:r>
        <w:t>, porque toda la actividad se subordinaba a una concesión del legislador federal que no se produjo, situación que se mantuvo durante tres periodos de tiempo, supuesto distinto al contemplado en la regulación española.</w:t>
      </w:r>
    </w:p>
    <w:p w14:paraId="20E0291D" w14:textId="77777777" w:rsidR="008D479B" w:rsidRDefault="008D479B" w:rsidP="008D479B">
      <w:pPr>
        <w:pStyle w:val="TextoNormal"/>
      </w:pPr>
    </w:p>
    <w:p w14:paraId="5E03C97C" w14:textId="33F255A3" w:rsidR="008D479B" w:rsidRDefault="008D479B" w:rsidP="008D479B">
      <w:pPr>
        <w:pStyle w:val="TextoNormal"/>
      </w:pPr>
      <w:r w:rsidRPr="008D479B">
        <w:rPr>
          <w:rStyle w:val="NumeroAFNegritaCaracter"/>
        </w:rPr>
        <w:t>8</w:t>
      </w:r>
      <w:r>
        <w:t>. El Principado de Asturias, con la representación y asistencia de letrada de su servicio jurídico, presentó sus alegaciones mediante escrito registrado el 23 de diciembre de 2022, interesando la inadmisión del recurso de amparo por pérdida sobrevenida de su objeto a causa de la derogación de la Ley general de la comunicación audiovisual y, subsidiariamente, su desestimación al rechazar que se hayan vulnerado los derechos invocados en la demanda de amparo.</w:t>
      </w:r>
    </w:p>
    <w:p w14:paraId="1BC502CC" w14:textId="77777777" w:rsidR="008D479B" w:rsidRDefault="008D479B" w:rsidP="008D479B">
      <w:pPr>
        <w:pStyle w:val="TextoNormal"/>
      </w:pPr>
    </w:p>
    <w:p w14:paraId="260DDA79" w14:textId="7C83264D" w:rsidR="008D479B" w:rsidRDefault="008D479B" w:rsidP="008D479B">
      <w:pPr>
        <w:pStyle w:val="TextoNormal"/>
      </w:pPr>
      <w:r w:rsidRPr="008D479B">
        <w:rPr>
          <w:rStyle w:val="NumeroAFNegritaCaracter"/>
        </w:rPr>
        <w:t>9</w:t>
      </w:r>
      <w:r>
        <w:t>. Por providencia de 21 de septiembre de 2023 se señaló para la deliberación y votación de la presente sentencia el día 25 del mismo mes y año.</w:t>
      </w:r>
    </w:p>
    <w:p w14:paraId="0555C122" w14:textId="77777777" w:rsidR="008D479B" w:rsidRDefault="008D479B" w:rsidP="008D479B">
      <w:pPr>
        <w:pStyle w:val="TextoNormal"/>
      </w:pPr>
    </w:p>
    <w:p w14:paraId="3DFAE076" w14:textId="77777777" w:rsidR="008D479B" w:rsidRDefault="008D479B" w:rsidP="008D479B">
      <w:pPr>
        <w:pStyle w:val="TextoNormalNegritaCentrado"/>
        <w:keepNext/>
      </w:pPr>
      <w:r>
        <w:t>II. Fundamentos jurídicos</w:t>
      </w:r>
    </w:p>
    <w:p w14:paraId="14127921" w14:textId="23BDA8A1" w:rsidR="008D479B" w:rsidRDefault="008D479B" w:rsidP="008D479B">
      <w:pPr>
        <w:pStyle w:val="TextoNormalNegritaCentrado"/>
        <w:keepNext/>
      </w:pPr>
    </w:p>
    <w:p w14:paraId="003B3CA3" w14:textId="77777777" w:rsidR="008D479B" w:rsidRDefault="008D479B" w:rsidP="008D479B">
      <w:pPr>
        <w:pStyle w:val="TextoNormal"/>
      </w:pPr>
      <w:r w:rsidRPr="008D479B">
        <w:rPr>
          <w:rStyle w:val="NumeroAFNegritaCaracter"/>
        </w:rPr>
        <w:t>1</w:t>
      </w:r>
      <w:r>
        <w:t xml:space="preserve">. </w:t>
      </w:r>
      <w:r w:rsidRPr="008D479B">
        <w:rPr>
          <w:i/>
        </w:rPr>
        <w:t>Objeto del recurso</w:t>
      </w:r>
    </w:p>
    <w:p w14:paraId="2A0C5EA3" w14:textId="77777777" w:rsidR="008D479B" w:rsidRDefault="008D479B" w:rsidP="008D479B">
      <w:pPr>
        <w:pStyle w:val="TextoNormal"/>
      </w:pPr>
    </w:p>
    <w:p w14:paraId="58B4BE7D" w14:textId="281266FC" w:rsidR="008D479B" w:rsidRDefault="008D479B" w:rsidP="008D479B">
      <w:pPr>
        <w:pStyle w:val="TextoNormal"/>
      </w:pPr>
      <w:r>
        <w:t>El objeto de este recurso es determinar si la desestimación presunta, por parte de la Consejería de Empleo, Industria y Turismo del Gobierno del Principado de Asturias, de la solicitud de 8 de enero de 2018, de convocatoria de concurso público para el otorgamiento de licencias de comunicación audiovisual de radiodifusión sonora digital terrenal con cobertura local integradas en los bloques de frecuencias asignados a la citada comunidad autónoma, vulnera los derechos fundamentales a la libertad de información, comunicación y expresión [art. 20.1 a) y d) CE], en relación con el art. 14 CE.</w:t>
      </w:r>
    </w:p>
    <w:p w14:paraId="24FA2D3C" w14:textId="77777777" w:rsidR="008D479B" w:rsidRDefault="008D479B" w:rsidP="008D479B">
      <w:pPr>
        <w:pStyle w:val="TextoNormal"/>
      </w:pPr>
    </w:p>
    <w:p w14:paraId="4162FF6E" w14:textId="77777777" w:rsidR="008D479B" w:rsidRDefault="008D479B" w:rsidP="008D479B">
      <w:pPr>
        <w:pStyle w:val="TextoNormal"/>
      </w:pPr>
      <w:r w:rsidRPr="008D479B">
        <w:rPr>
          <w:rStyle w:val="NumeroAFNegritaCaracter"/>
        </w:rPr>
        <w:t>2</w:t>
      </w:r>
      <w:r>
        <w:t xml:space="preserve">. </w:t>
      </w:r>
      <w:r w:rsidRPr="008D479B">
        <w:rPr>
          <w:i/>
        </w:rPr>
        <w:t>Cuestión previa: carencia sobrevenida de objeto</w:t>
      </w:r>
    </w:p>
    <w:p w14:paraId="7BAE3651" w14:textId="77777777" w:rsidR="008D479B" w:rsidRDefault="008D479B" w:rsidP="008D479B">
      <w:pPr>
        <w:pStyle w:val="TextoNormal"/>
      </w:pPr>
    </w:p>
    <w:p w14:paraId="7B93F230" w14:textId="6CD68B5E" w:rsidR="008D479B" w:rsidRDefault="008D479B" w:rsidP="008D479B">
      <w:pPr>
        <w:pStyle w:val="TextoNormal"/>
      </w:pPr>
      <w:r>
        <w:t>No puede tener acogida la pérdida de objeto del recurso de amparo que la representación de la comunidad autónoma atribuye a la derogación de la Ley 7/2010, de 31 de marzo, general de la comunicación audiovisual, por la nueva Ley 13/2022, de 7 de julio, general de comunicación audiovisual. Lo que se discute en este proceso constitucional es si la actuación administrativa en aplicación de la LGCA 2010 ha incurrido en la lesión de los derechos de comunicación e información reconocidos en el art. 20 CE, en relación con el art. 14 CE, que denuncia la demandante. Desde esa perspectiva, la modificación legal operada no priva de objeto al presente recurso.</w:t>
      </w:r>
    </w:p>
    <w:p w14:paraId="035F1C74" w14:textId="77777777" w:rsidR="008D479B" w:rsidRDefault="008D479B" w:rsidP="008D479B">
      <w:pPr>
        <w:pStyle w:val="TextoNormal"/>
      </w:pPr>
    </w:p>
    <w:p w14:paraId="2CD94533" w14:textId="77777777" w:rsidR="008D479B" w:rsidRDefault="008D479B" w:rsidP="008D479B">
      <w:pPr>
        <w:pStyle w:val="TextoNormal"/>
      </w:pPr>
      <w:r w:rsidRPr="008D479B">
        <w:rPr>
          <w:rStyle w:val="NumeroAFNegritaCaracter"/>
        </w:rPr>
        <w:t>3</w:t>
      </w:r>
      <w:r>
        <w:t xml:space="preserve">. </w:t>
      </w:r>
      <w:r w:rsidRPr="008D479B">
        <w:rPr>
          <w:i/>
        </w:rPr>
        <w:t>Remisión a lo resuelto en la STC 89/2023, de 18 de julio</w:t>
      </w:r>
    </w:p>
    <w:p w14:paraId="1208C605" w14:textId="77777777" w:rsidR="008D479B" w:rsidRDefault="008D479B" w:rsidP="008D479B">
      <w:pPr>
        <w:pStyle w:val="TextoNormal"/>
      </w:pPr>
    </w:p>
    <w:p w14:paraId="2AF9B98F" w14:textId="0AE82C06" w:rsidR="008D479B" w:rsidRDefault="008D479B" w:rsidP="008D479B">
      <w:pPr>
        <w:pStyle w:val="TextoNormal"/>
      </w:pPr>
      <w:r>
        <w:t>El problema constitucional que se plantea en este proceso de amparo es coincidente con el resuelto en la STC 89/2023, de 18 de julio, que excluyó que la actuación administrativa impugnada, en cuanto denegó la convocatoria del concurso solicitado para la concesión de licencias de prestación de servicios audiovisuales, vulnerara los derechos a expresar y difundir libremente los pensamientos, ideas y opiniones mediante la palabra, el escrito o cualquier otro medio de reproducción [art. 20.1 a) CE] y a comunicar o recibir libremente información veraz por cualquier medio de difusión [art. 20.1 d) CE], en relación con el principio de igualdad (art. 14 CE), lo que determina que, por idénticas razones, proceda desestimar el presente recurso de amparo.</w:t>
      </w:r>
    </w:p>
    <w:p w14:paraId="3E9EF635" w14:textId="77777777" w:rsidR="008D479B" w:rsidRDefault="008D479B" w:rsidP="008D479B">
      <w:pPr>
        <w:pStyle w:val="TextoNormal"/>
      </w:pPr>
    </w:p>
    <w:p w14:paraId="58EB278E" w14:textId="77777777" w:rsidR="008D479B" w:rsidRDefault="008D479B" w:rsidP="008D479B">
      <w:pPr>
        <w:pStyle w:val="TextoNormalCentrado"/>
        <w:keepNext/>
      </w:pPr>
      <w:r>
        <w:t>FALLO</w:t>
      </w:r>
    </w:p>
    <w:p w14:paraId="1655E49A" w14:textId="782FB2CC" w:rsidR="008D479B" w:rsidRDefault="008D479B" w:rsidP="008D479B">
      <w:pPr>
        <w:pStyle w:val="TextoNormalCentrado"/>
        <w:keepNext/>
      </w:pPr>
    </w:p>
    <w:p w14:paraId="6A345334" w14:textId="7468D4B8" w:rsidR="008D479B" w:rsidRDefault="008D479B" w:rsidP="008D479B">
      <w:pPr>
        <w:pStyle w:val="TextoNormal"/>
      </w:pPr>
      <w:r>
        <w:t>En atención a todo lo expuesto, el Tribunal Constitucional, por la autoridad que le confiere la Constitución de la Nación española, ha decidido desestimar el recurso de amparo interpuesto por Logondi Comunicación, S.L.</w:t>
      </w:r>
    </w:p>
    <w:p w14:paraId="730C34BA" w14:textId="77777777" w:rsidR="008D479B" w:rsidRDefault="008D479B" w:rsidP="008D479B">
      <w:pPr>
        <w:pStyle w:val="TextoNormal"/>
      </w:pPr>
    </w:p>
    <w:p w14:paraId="3C4C58E0" w14:textId="77777777" w:rsidR="008D479B" w:rsidRDefault="008D479B" w:rsidP="008D479B">
      <w:pPr>
        <w:pStyle w:val="TextoNormal"/>
      </w:pPr>
      <w:r>
        <w:t>Publíquese esta sentencia en el “Boletín Oficial del Estado”.</w:t>
      </w:r>
    </w:p>
    <w:p w14:paraId="399ADF3A" w14:textId="77777777" w:rsidR="008D479B" w:rsidRDefault="008D479B" w:rsidP="008D479B">
      <w:pPr>
        <w:pStyle w:val="TextoNormal"/>
      </w:pPr>
      <w:r>
        <w:t>Dada en Madrid, a veinticinco de septiembre de dos mil veintitrés.</w:t>
      </w:r>
    </w:p>
    <w:p w14:paraId="28AF8760" w14:textId="57FA54FA" w:rsidR="008D479B" w:rsidRDefault="008D479B" w:rsidP="008D479B">
      <w:pPr>
        <w:pStyle w:val="ParrafoNormal"/>
      </w:pPr>
    </w:p>
    <w:p w14:paraId="0AF5F288" w14:textId="77777777" w:rsidR="008D479B" w:rsidRDefault="008D479B" w:rsidP="008D479B">
      <w:pPr>
        <w:pStyle w:val="TextoNormalNegritaCentrado"/>
        <w:keepNext/>
      </w:pPr>
      <w:r>
        <w:t>Voto particular concurrente que formula la magistrada doña Concepción Espejel Jorquera a la sentencia dictada en el recurso de amparo número 828-2021</w:t>
      </w:r>
    </w:p>
    <w:p w14:paraId="5B828AB3" w14:textId="3A0FCB45" w:rsidR="008D479B" w:rsidRDefault="008D479B" w:rsidP="008D479B">
      <w:pPr>
        <w:pStyle w:val="TextoNormalNegritaCentrado"/>
        <w:keepNext/>
      </w:pPr>
    </w:p>
    <w:p w14:paraId="1FA0F505" w14:textId="044A17C0" w:rsidR="008D479B" w:rsidRDefault="008D479B" w:rsidP="008D479B">
      <w:pPr>
        <w:pStyle w:val="TextoNormal"/>
      </w:pPr>
      <w:r>
        <w:t>En el ejercicio de la facultad que me confiere el artículo 90.2 de la Ley Orgánica del Tribunal Constitucional, y con respeto a la opinión de mis compañeros, formulo voto particular concurrente respecto de la sentencia recaída en el presente recurso de amparo, conforme a los argumentos que ya tuve ocasión de exponer durante su deliberación en la Sala remitiéndome al voto particular que formulé a la STC 89/2023, de 18 de julio, a la que se remite la presente resolución. Madrid, a veinticinco de septiembre de dos mil veintitrés.</w:t>
      </w:r>
    </w:p>
    <w:p w14:paraId="5AAB2D98" w14:textId="74011434" w:rsidR="008D479B" w:rsidRDefault="008D479B">
      <w:pPr>
        <w:spacing w:after="160" w:line="278" w:lineRule="auto"/>
        <w:rPr>
          <w:rFonts w:ascii="Times New Roman" w:eastAsia="Times New Roman" w:hAnsi="Times New Roman" w:cs="Times New Roman"/>
          <w:sz w:val="24"/>
          <w:szCs w:val="24"/>
          <w:lang w:eastAsia="es-ES"/>
        </w:rPr>
      </w:pPr>
      <w:r>
        <w:br w:type="page"/>
      </w:r>
    </w:p>
    <w:p w14:paraId="2AF70C88" w14:textId="77777777" w:rsidR="008D479B" w:rsidRDefault="008D479B" w:rsidP="008D479B">
      <w:pPr>
        <w:pStyle w:val="TtuloResolucin"/>
      </w:pPr>
      <w:bookmarkStart w:id="33" w:name="SENTENCIA_2023_108"/>
      <w:r>
        <w:t>SENTENCIA 108/2023, de 25 de septiembre de 2023</w:t>
      </w:r>
    </w:p>
    <w:bookmarkEnd w:id="33"/>
    <w:p w14:paraId="367452C8" w14:textId="77777777" w:rsidR="008D479B" w:rsidRDefault="008D479B" w:rsidP="008D479B">
      <w:pPr>
        <w:pStyle w:val="TtuloResolucin"/>
      </w:pPr>
      <w:r>
        <w:t>Sala Segunda</w:t>
      </w:r>
    </w:p>
    <w:p w14:paraId="66D3344A" w14:textId="77777777" w:rsidR="008D479B" w:rsidRDefault="008D479B" w:rsidP="008D479B">
      <w:pPr>
        <w:pStyle w:val="TtuloBOE"/>
      </w:pPr>
      <w:r>
        <w:t>(BOE núm. 261, de 1 de noviembre de 2023)</w:t>
      </w:r>
    </w:p>
    <w:p w14:paraId="58164620" w14:textId="77777777" w:rsidR="008D479B" w:rsidRDefault="008D479B" w:rsidP="008D479B">
      <w:pPr>
        <w:pStyle w:val="TextoNormalCentrado"/>
      </w:pPr>
      <w:r>
        <w:t>ECLI:ES:TC:2023:108</w:t>
      </w:r>
    </w:p>
    <w:p w14:paraId="7ABA54F0" w14:textId="59597625" w:rsidR="008D479B" w:rsidRDefault="008D479B" w:rsidP="008D479B">
      <w:pPr>
        <w:pStyle w:val="TextoNormalCentrado"/>
      </w:pPr>
    </w:p>
    <w:p w14:paraId="42DA9564" w14:textId="77777777" w:rsidR="008D479B" w:rsidRDefault="008D479B" w:rsidP="008D479B">
      <w:pPr>
        <w:pStyle w:val="SntesisDescriptiva"/>
      </w:pPr>
      <w:r>
        <w:t>Recurso de amparo 829-2021. Promovido por Topanga de Comunicaciones, S.L., respecto de las resoluciones de la Viceconsejería de Comunicación y Relaciones con los Medios de Canarias que rechazaron su solicitud de convocatoria de concurso público para la adjudicación de licencias disponibles de comunicación audiovisual de radiodifusión sonora digital terrestre de ámbito local.</w:t>
      </w:r>
    </w:p>
    <w:p w14:paraId="48732C80" w14:textId="7626A025" w:rsidR="008D479B" w:rsidRDefault="008D479B" w:rsidP="008D479B">
      <w:pPr>
        <w:pStyle w:val="SntesisDescriptiva"/>
      </w:pPr>
    </w:p>
    <w:p w14:paraId="71520F3C" w14:textId="77777777" w:rsidR="008D479B" w:rsidRDefault="008D479B" w:rsidP="008D479B">
      <w:pPr>
        <w:pStyle w:val="SntesisAnaltica"/>
      </w:pPr>
      <w:r>
        <w:t>Supuesta vulneración del derecho a la igualdad y a las libertades de expresión e información: STC 89/2023 (resolución administrativa que no resulta desproporcionada y que viene impuesta por la inexistencia de reserva de dominio público radioeléctrico). Voto particular.</w:t>
      </w:r>
    </w:p>
    <w:p w14:paraId="45089738" w14:textId="4D16734C" w:rsidR="008D479B" w:rsidRDefault="008D479B" w:rsidP="008D479B">
      <w:pPr>
        <w:pStyle w:val="SntesisAnaltica"/>
      </w:pPr>
    </w:p>
    <w:p w14:paraId="4AFD0E72" w14:textId="0EB2668D" w:rsidR="008D479B" w:rsidRDefault="008D479B" w:rsidP="008D479B">
      <w:pPr>
        <w:pStyle w:val="Extracto"/>
      </w:pPr>
      <w:r>
        <w:t>1.</w:t>
      </w:r>
      <w:r>
        <w:tab/>
        <w:t xml:space="preserve">Remisión a la STC 89/2023 que declaró respetados los derechos a expresar y difundir libremente los pensamientos, ideas y opiniones, así como a comunicar o recibir libremente información veraz por cualquier medio de difusión, consagrados en el art. 20.1 a) y d) CE, en relación con el principio de igualdad reconocido en el art. 14 CE, por parte de la actuación administrativa denegatoria de convocatoria de concurso para la concesión de licencias de prestación de servicios audiovisuales </w:t>
      </w:r>
    </w:p>
    <w:p w14:paraId="58CD7638" w14:textId="77777777" w:rsidR="008D479B" w:rsidRDefault="008D479B" w:rsidP="008D479B">
      <w:pPr>
        <w:pStyle w:val="Extracto"/>
      </w:pPr>
    </w:p>
    <w:p w14:paraId="0E8B7070" w14:textId="77777777" w:rsidR="008D479B" w:rsidRDefault="008D479B" w:rsidP="008D479B">
      <w:pPr>
        <w:pStyle w:val="Extracto"/>
      </w:pPr>
    </w:p>
    <w:p w14:paraId="695915DF" w14:textId="77777777" w:rsidR="008D479B" w:rsidRDefault="008D479B" w:rsidP="008D479B">
      <w:pPr>
        <w:pStyle w:val="TextoNormal"/>
      </w:pPr>
      <w: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14:paraId="412B66A3" w14:textId="51ACB2ED" w:rsidR="008D479B" w:rsidRDefault="008D479B" w:rsidP="008D479B">
      <w:pPr>
        <w:pStyle w:val="TextoNormal"/>
      </w:pPr>
    </w:p>
    <w:p w14:paraId="1C2DE3B6" w14:textId="77777777" w:rsidR="008D479B" w:rsidRDefault="008D479B" w:rsidP="008D479B">
      <w:pPr>
        <w:pStyle w:val="TextoNormalCentrado"/>
        <w:keepNext/>
      </w:pPr>
      <w:r>
        <w:t>EN NOMBRE DEL REY</w:t>
      </w:r>
    </w:p>
    <w:p w14:paraId="3B11D445" w14:textId="360941CB" w:rsidR="008D479B" w:rsidRDefault="008D479B" w:rsidP="008D479B">
      <w:pPr>
        <w:pStyle w:val="TextoNormalCentrado"/>
        <w:keepNext/>
      </w:pPr>
    </w:p>
    <w:p w14:paraId="482E6702" w14:textId="77777777" w:rsidR="008D479B" w:rsidRDefault="008D479B" w:rsidP="008D479B">
      <w:pPr>
        <w:pStyle w:val="TextoNormalCentrado"/>
        <w:keepNext/>
      </w:pPr>
    </w:p>
    <w:p w14:paraId="3BAC4BBA" w14:textId="77777777" w:rsidR="008D479B" w:rsidRDefault="008D479B" w:rsidP="008D479B">
      <w:pPr>
        <w:pStyle w:val="TextoNormal"/>
      </w:pPr>
      <w:r>
        <w:t>la siguiente</w:t>
      </w:r>
    </w:p>
    <w:p w14:paraId="2A8D4B36" w14:textId="098B2F90" w:rsidR="008D479B" w:rsidRDefault="008D479B" w:rsidP="008D479B">
      <w:pPr>
        <w:pStyle w:val="TextoNormal"/>
      </w:pPr>
    </w:p>
    <w:p w14:paraId="091326EE" w14:textId="77777777" w:rsidR="008D479B" w:rsidRDefault="008D479B" w:rsidP="008D479B">
      <w:pPr>
        <w:pStyle w:val="TextoNormalCentrado"/>
        <w:keepNext/>
      </w:pPr>
      <w:r>
        <w:t>SENTENCIA</w:t>
      </w:r>
    </w:p>
    <w:p w14:paraId="2A889A72" w14:textId="5599D1D1" w:rsidR="008D479B" w:rsidRDefault="008D479B" w:rsidP="008D479B">
      <w:pPr>
        <w:pStyle w:val="TextoNormalCentrado"/>
        <w:keepNext/>
      </w:pPr>
    </w:p>
    <w:p w14:paraId="3729D22D" w14:textId="77777777" w:rsidR="008D479B" w:rsidRDefault="008D479B" w:rsidP="008D479B">
      <w:pPr>
        <w:pStyle w:val="TextoNormal"/>
      </w:pPr>
      <w:r>
        <w:t>En el recurso de amparo número 829-2021, promovido por la mercantil Topanga de Comunicaciones, S.L., representada por el procurador de los tribunales don Joaquín Cañibano Martín y asistida por el abogado don Jaime Rodríguez Díez, contra la desestimación por silencio administrativo negativo de la solicitud de convocatoria de concurso para la adjudicación de las licencias disponibles de comunicación audiovisual de radiodifusión sonora digital de ámbito local, en la Comunidad Autónoma de Canarias y contra la resolución núm. 46/2018, de 10 de julio, de la Viceconsejería de Comunicación y Relaciones con los Medios de Canarias, que acuerda el archivo de la solicitud por haber desaparecido el objeto del procedimiento. Ha comparecido la referida comunidad autónoma y ha intervenido el Ministerio Fiscal. Ha sido ponente el magistrado don Enrique Arnaldo Alcubilla.</w:t>
      </w:r>
    </w:p>
    <w:p w14:paraId="77216373" w14:textId="02F2C986" w:rsidR="008D479B" w:rsidRDefault="008D479B" w:rsidP="008D479B">
      <w:pPr>
        <w:pStyle w:val="TextoNormal"/>
      </w:pPr>
    </w:p>
    <w:p w14:paraId="24B121C9" w14:textId="77777777" w:rsidR="008D479B" w:rsidRDefault="008D479B" w:rsidP="008D479B">
      <w:pPr>
        <w:pStyle w:val="TextoNormalNegritaCentrado"/>
        <w:keepNext/>
      </w:pPr>
      <w:r>
        <w:t>I. Antecedentes</w:t>
      </w:r>
    </w:p>
    <w:p w14:paraId="6E893E82" w14:textId="222FF405" w:rsidR="008D479B" w:rsidRDefault="008D479B" w:rsidP="008D479B">
      <w:pPr>
        <w:pStyle w:val="TextoNormalNegritaCentrado"/>
        <w:keepNext/>
      </w:pPr>
    </w:p>
    <w:p w14:paraId="0C1D4797" w14:textId="515E3410" w:rsidR="008D479B" w:rsidRDefault="008D479B" w:rsidP="008D479B">
      <w:pPr>
        <w:pStyle w:val="TextoNormal"/>
      </w:pPr>
      <w:r w:rsidRPr="008D479B">
        <w:rPr>
          <w:rStyle w:val="NumeroAFNegritaCaracter"/>
        </w:rPr>
        <w:t>1</w:t>
      </w:r>
      <w:r>
        <w:t>. Mediante escrito presentado en el registro general de este tribunal el 12 de febrero de 2021, el procurador de los tribunales don Joaquín Cañibano Martín, actuando en nombre y representación de Topanga de Comunicaciones, S.L., bajo la defensa del letrado don Jaime Rodríguez Díez, interpuso demanda de amparo contra la desestimación presunta y la resolución arriba mencionadas.</w:t>
      </w:r>
    </w:p>
    <w:p w14:paraId="713EAE7D" w14:textId="77777777" w:rsidR="008D479B" w:rsidRDefault="008D479B" w:rsidP="008D479B">
      <w:pPr>
        <w:pStyle w:val="TextoNormal"/>
      </w:pPr>
    </w:p>
    <w:p w14:paraId="0BEA66BD" w14:textId="77777777" w:rsidR="008D479B" w:rsidRDefault="008D479B" w:rsidP="008D479B">
      <w:pPr>
        <w:pStyle w:val="TextoNormal"/>
      </w:pPr>
      <w:r w:rsidRPr="008D479B">
        <w:rPr>
          <w:rStyle w:val="NumeroAFNegritaCaracter"/>
        </w:rPr>
        <w:t>2</w:t>
      </w:r>
      <w:r>
        <w:t>. Los hechos con relevancia para la resolución del presente recurso de amparo y a los que se refiere la demanda presentada son los siguientes:</w:t>
      </w:r>
    </w:p>
    <w:p w14:paraId="15A20CF2" w14:textId="77777777" w:rsidR="008D479B" w:rsidRDefault="008D479B" w:rsidP="008D479B">
      <w:pPr>
        <w:pStyle w:val="TextoNormal"/>
      </w:pPr>
    </w:p>
    <w:p w14:paraId="0E3C03E0" w14:textId="77777777" w:rsidR="008D479B" w:rsidRDefault="008D479B" w:rsidP="008D479B">
      <w:pPr>
        <w:pStyle w:val="TextoNormal"/>
      </w:pPr>
      <w:r>
        <w:t>a) La entidad Topanga de Comunicaciones, S.L., interpuso recurso contencioso administrativo contra la desestimación por silencio administrativo negativo de su solicitud de convocatoria de concurso para la adjudicación de las licencias disponibles de comunicación audiovisual de radiodifusión sonora digital de ámbito local, en la Comunidad Autónoma de Canarias y contra la resolución núm. 46/2018, de 10 de julio, de la Viceconsejería de Comunicación y Relaciones con los Medios de Canarias, que acuerda el archivo de la citada solicitud por haber desaparecido el objeto del procedimiento.</w:t>
      </w:r>
    </w:p>
    <w:p w14:paraId="11D9A6D4" w14:textId="77777777" w:rsidR="008D479B" w:rsidRDefault="008D479B" w:rsidP="008D479B">
      <w:pPr>
        <w:pStyle w:val="TextoNormal"/>
      </w:pPr>
    </w:p>
    <w:p w14:paraId="64CE472D" w14:textId="77777777" w:rsidR="008D479B" w:rsidRDefault="008D479B" w:rsidP="008D479B">
      <w:pPr>
        <w:pStyle w:val="TextoNormal"/>
      </w:pPr>
      <w:r>
        <w:t>b) La Sección Primera de la Sala de lo Contencioso-Administrativo del Tribunal Superior de Justicia de Canarias, con sede en Santa Cruz de Tenerife, desestimó el recurso interpuesto por sentencia de 10 de marzo de 2020 al concluir que declarada extinguida la planificación radioeléctrica no cabe exigir la convocatoria de las reservas de dominio público incluidas en la misma al no existir ya reserva ni estar amparada esa posibilidad por la normativa aplicable.</w:t>
      </w:r>
    </w:p>
    <w:p w14:paraId="43A4544A" w14:textId="77777777" w:rsidR="008D479B" w:rsidRDefault="008D479B" w:rsidP="008D479B">
      <w:pPr>
        <w:pStyle w:val="TextoNormal"/>
      </w:pPr>
    </w:p>
    <w:p w14:paraId="76F0747D" w14:textId="77777777" w:rsidR="008D479B" w:rsidRDefault="008D479B" w:rsidP="008D479B">
      <w:pPr>
        <w:pStyle w:val="TextoNormal"/>
      </w:pPr>
      <w:r>
        <w:t>c) Frente a dicha sentencia la representación procesal de la entidad ahora recurrente en amparo interpuso recurso de casación, que fue desestimado por sentencia de la Sección Tercera de la Sala de lo Contencioso-Administrativo del Tribunal Supremo de 28 de enero de 2021.</w:t>
      </w:r>
    </w:p>
    <w:p w14:paraId="1CCE7EF6" w14:textId="77777777" w:rsidR="008D479B" w:rsidRDefault="008D479B" w:rsidP="008D479B">
      <w:pPr>
        <w:pStyle w:val="TextoNormal"/>
      </w:pPr>
    </w:p>
    <w:p w14:paraId="416002AE" w14:textId="77777777" w:rsidR="008D479B" w:rsidRDefault="008D479B" w:rsidP="008D479B">
      <w:pPr>
        <w:pStyle w:val="TextoNormal"/>
      </w:pPr>
      <w:r>
        <w:t>Atendiendo al interés casacional advertido en el auto de admisión a trámite, la sentencia de casación expone la existencia de dos criterios jurisdiccionales distintos entre los diferentes tribunales superiores de justicia y distingue el caso que se le plantea, relativo a las circunstancias de aplicación y a los efectos que los plazos prevenidos en el art. 27.4 de la Ley general de la comunicación audiovisual (LGCA) puedan tener sobre los planes técnicos y sobre la cobertura de las licencias vacantes, de otros examinados por el propio tribunal.</w:t>
      </w:r>
    </w:p>
    <w:p w14:paraId="709EAD86" w14:textId="77777777" w:rsidR="008D479B" w:rsidRDefault="008D479B" w:rsidP="008D479B">
      <w:pPr>
        <w:pStyle w:val="TextoNormal"/>
      </w:pPr>
    </w:p>
    <w:p w14:paraId="2C64F971" w14:textId="2C91A4C8" w:rsidR="008D479B" w:rsidRDefault="008D479B" w:rsidP="008D479B">
      <w:pPr>
        <w:pStyle w:val="TextoNormal"/>
      </w:pPr>
      <w:r>
        <w:t>Colige que nada hay en el art. 27 LGCA que pueda considerarse irrazonable o indebidamente restrictivo, en particular, al prever que el no aprovechamiento de espacios reservados al dominio público radioeléctrico para servicios de radiodifusión en un plazo concreto de tiempo tras la aprobación de la planificación correspondiente hace decaer dicha reserva. Tampoco considera que la aplicación del art. 27.4 LGCA incurra en prohibición de irretroactividad porque se proyecte sobre una planificación técnica aprobada con anterioridad a la entrada en vigor de la Ley general de la comunicación audiovisual, concluyendo que “de conformidad con lo dispuesto en el artículo 27.4 de la Ley general de comunicación audiovisual, el transcurso de los plazos estipulados en dicho precepto tras la aprobación de un plan técnico nacional de un servicio de radio o televisión, sin que la administración haya solicitado la afectación al servicio público de radio o televisión de que se trate de la reserva de dominio prevista en el citado plan o se haya convocado concurso para el otorgamiento de licencias, y sin que ningún interesado haya solicitado dicha convocatoria, la reserva de dominio decaerá y será excluida de la planificación. En consecuencia y dados tales presupuestos, la administración no estaría ya obligada a la convocatoria de concurso a solicitud de cualquier interesado hasta que se efectúe una nueva reserva de dominio y se produzca la correspondiente afectación al servicio público de radio o televisión”.</w:t>
      </w:r>
    </w:p>
    <w:p w14:paraId="34C68DA1" w14:textId="77777777" w:rsidR="008D479B" w:rsidRDefault="008D479B" w:rsidP="008D479B">
      <w:pPr>
        <w:pStyle w:val="TextoNormal"/>
      </w:pPr>
    </w:p>
    <w:p w14:paraId="716759C9" w14:textId="77777777" w:rsidR="008D479B" w:rsidRDefault="008D479B" w:rsidP="008D479B">
      <w:pPr>
        <w:pStyle w:val="TextoNormal"/>
      </w:pPr>
      <w:r w:rsidRPr="008D479B">
        <w:rPr>
          <w:rStyle w:val="NumeroAFNegritaCaracter"/>
        </w:rPr>
        <w:t>3</w:t>
      </w:r>
      <w:r>
        <w:t>. En la demanda de amparo se alegan las siguientes vulneraciones constitucionales:</w:t>
      </w:r>
    </w:p>
    <w:p w14:paraId="1E1F6149" w14:textId="77777777" w:rsidR="008D479B" w:rsidRDefault="008D479B" w:rsidP="008D479B">
      <w:pPr>
        <w:pStyle w:val="TextoNormal"/>
      </w:pPr>
    </w:p>
    <w:p w14:paraId="79C5552D" w14:textId="77777777" w:rsidR="008D479B" w:rsidRDefault="008D479B" w:rsidP="008D479B">
      <w:pPr>
        <w:pStyle w:val="TextoNormal"/>
      </w:pPr>
      <w:r>
        <w:t>a) Afirma que la negativa a convocar un concurso público por parte del Gobierno de la Comunidad Autónoma de Canarias amparándose en el transcurso de un plazo imputable a su propia inactividad y el consiguiente decaimiento de la planificación del espacio radioeléctrico ha imposibilitado el ejercicio de los derechos fundamentales a la libertad de información, comunicación y expresión, en relación con el art. 14 CE, en concreto, de su derecho a crear los medios de comunicación indispensables para el ejercicio del derecho a expresar y difundir libremente los pensamientos, ideas y opiniones mediante la palabra, el escrito o cualquier otro medio de reproducción [art. 20.1 a) CE] y a comunicar o recibir libremente información veraz por cualquier medio de difusión [art. 20.1 d) CE]. Entiende que prevalece el deber de convocar el concurso de adjudicación (art. 27.2 LGCA) sobre el eventual decaimiento de la reserva del espectro radioeléctrico (art. 27.4 LGCA) por lo que ha sido la inacción de la administración pública la causante de que no se haya aprovechado el espectro que el Estado ha otorgado a la comunidad autónoma, lo que invalida el acto recurrido por ser contrario a los derechos invocados. Alega que otras comunidades autónomas han convocado los concursos de licencias más allá del plazo establecido y que la negativa a convocar los concursos de adjudicación de licencias vacantes es incompatible con la Directiva 2018/1972, de 11 de diciembre, por la que se establece el Código europeo de las comunicaciones electrónicas, por crear barreras de acceso al mercado e inutilizar el espectro radioeléctrico.</w:t>
      </w:r>
    </w:p>
    <w:p w14:paraId="16975185" w14:textId="77777777" w:rsidR="008D479B" w:rsidRDefault="008D479B" w:rsidP="008D479B">
      <w:pPr>
        <w:pStyle w:val="TextoNormal"/>
      </w:pPr>
    </w:p>
    <w:p w14:paraId="57EF5E21" w14:textId="77777777" w:rsidR="008D479B" w:rsidRDefault="008D479B" w:rsidP="008D479B">
      <w:pPr>
        <w:pStyle w:val="TextoNormal"/>
      </w:pPr>
      <w:r>
        <w:t>Sostiene también que existe una patente contradicción entre las sentencias del Tribunal Supremo al diferenciar incorrectamente entre licencias de televisión digital y licencias de radiodifusión digital para la protección de los derechos fundamentales.</w:t>
      </w:r>
    </w:p>
    <w:p w14:paraId="7DE1F83B" w14:textId="77777777" w:rsidR="008D479B" w:rsidRDefault="008D479B" w:rsidP="008D479B">
      <w:pPr>
        <w:pStyle w:val="TextoNormal"/>
      </w:pPr>
    </w:p>
    <w:p w14:paraId="3E7D6A20" w14:textId="77777777" w:rsidR="008D479B" w:rsidRDefault="008D479B" w:rsidP="008D479B">
      <w:pPr>
        <w:pStyle w:val="TextoNormal"/>
      </w:pPr>
      <w:r>
        <w:t xml:space="preserve">Añade, en fin, que la negativa a conceder una licencia de radiodifusión infringe el art. 10, apartado 1, del Convenio europeo de derechos humanos (CEDH) y cita las resoluciones del Tribunal Europeo de Derechos Humanos de 20 de octubre de 1997, asunto </w:t>
      </w:r>
      <w:r w:rsidRPr="008D479B">
        <w:rPr>
          <w:i/>
        </w:rPr>
        <w:t>Radio ABC c. Austria</w:t>
      </w:r>
      <w:r>
        <w:t xml:space="preserve">; de 23 de noviembre de 1999, asunto </w:t>
      </w:r>
      <w:r w:rsidRPr="008D479B">
        <w:rPr>
          <w:i/>
        </w:rPr>
        <w:t>Leveque c. Francia</w:t>
      </w:r>
      <w:r>
        <w:t xml:space="preserve">; de 7 de noviembre de 2000, asunto </w:t>
      </w:r>
      <w:r w:rsidRPr="008D479B">
        <w:rPr>
          <w:i/>
        </w:rPr>
        <w:t>United Christian Broadcasters Ltd. c. Reino Unido</w:t>
      </w:r>
      <w:r>
        <w:t xml:space="preserve">; de 11 de octubre de 2007, asunto </w:t>
      </w:r>
      <w:r w:rsidRPr="008D479B">
        <w:rPr>
          <w:i/>
        </w:rPr>
        <w:t>Glas Nadejda EOOD y Elenkov c. Bulgaria</w:t>
      </w:r>
      <w:r>
        <w:t xml:space="preserve">; de 17 de junio de 2008, asunto </w:t>
      </w:r>
      <w:r w:rsidRPr="008D479B">
        <w:rPr>
          <w:i/>
        </w:rPr>
        <w:t>Meltex Ltd. y Movsessian c. Armenia</w:t>
      </w:r>
      <w:r>
        <w:t xml:space="preserve">, así como el dictamen del Comité de Derechos Humanos de Naciones Unidas, de 27 de octubre de 2016, en el caso </w:t>
      </w:r>
      <w:r w:rsidRPr="008D479B">
        <w:rPr>
          <w:i/>
        </w:rPr>
        <w:t>Azagade c. Azerbaiyán</w:t>
      </w:r>
      <w:r>
        <w:t>.</w:t>
      </w:r>
    </w:p>
    <w:p w14:paraId="4B36039F" w14:textId="77777777" w:rsidR="008D479B" w:rsidRDefault="008D479B" w:rsidP="008D479B">
      <w:pPr>
        <w:pStyle w:val="TextoNormal"/>
      </w:pPr>
    </w:p>
    <w:p w14:paraId="2C9C5AF5" w14:textId="47D59030" w:rsidR="008D479B" w:rsidRDefault="008D479B" w:rsidP="008D479B">
      <w:pPr>
        <w:pStyle w:val="TextoNormal"/>
      </w:pPr>
      <w:r>
        <w:t>b) En segundo lugar, considera vulnerado el derecho a la igualdad (art. 14 CE), al haberse convocado en otras comunidades autónomas concursos públicos de licencias de comunicación audiovisual. Mantiene que el art. 27.4 LGCA, al tener la consideración de normativa básica, debe aplicarse de forma similar en todo el territorio estatal y la dispar interpretación efectuada por las distintas comunidades autónomas, a juicio de la entidad recurrente, lesiona el art. 14 CE.</w:t>
      </w:r>
    </w:p>
    <w:p w14:paraId="6E559513" w14:textId="77777777" w:rsidR="008D479B" w:rsidRDefault="008D479B" w:rsidP="008D479B">
      <w:pPr>
        <w:pStyle w:val="TextoNormal"/>
      </w:pPr>
    </w:p>
    <w:p w14:paraId="17A8F515" w14:textId="77777777" w:rsidR="008D479B" w:rsidRDefault="008D479B" w:rsidP="008D479B">
      <w:pPr>
        <w:pStyle w:val="TextoNormal"/>
      </w:pPr>
      <w:r w:rsidRPr="008D479B">
        <w:rPr>
          <w:rStyle w:val="NumeroAFNegritaCaracter"/>
        </w:rPr>
        <w:t>4</w:t>
      </w:r>
      <w:r>
        <w:t>. Por providencia de 10 de octubre de 2022, la Sección Cuarta del Tribunal Constitucional acordó admitir a trámite la demanda de amparo, al apreciar que concurría en la misma una especial trascendencia constitucional [art. 50.1 de la Ley Orgánica del Tribunal Constitucional (LOTC)] porque el recurso podía dar ocasión al Tribunal para aclarar o cambiar su doctrina, como consecuencia de un proceso de reflexión interna [STC 155/2009, de 25 de junio, FJ 2 b)] y el asunto suscitado trascendía del caso concreto porque plantea una cuestión jurídica de relevante y general repercusión social o económica [STC 155/2009, FJ 2 g)].</w:t>
      </w:r>
    </w:p>
    <w:p w14:paraId="675B1AEA" w14:textId="77777777" w:rsidR="008D479B" w:rsidRDefault="008D479B" w:rsidP="008D479B">
      <w:pPr>
        <w:pStyle w:val="TextoNormal"/>
      </w:pPr>
    </w:p>
    <w:p w14:paraId="40A9C41E" w14:textId="6C43665D" w:rsidR="008D479B" w:rsidRDefault="008D479B" w:rsidP="008D479B">
      <w:pPr>
        <w:pStyle w:val="TextoNormal"/>
      </w:pPr>
      <w:r>
        <w:t>Asimismo, acordó dar cumplimiento a lo dispuesto en el art. 51 LOTC y formar la correspondiente pieza separada de suspensión, que fue concluida por ATC 161/2022, de 28 de noviembre, en el que se acordó denegar la suspensión cautelar solicitada.</w:t>
      </w:r>
    </w:p>
    <w:p w14:paraId="50E54246" w14:textId="77777777" w:rsidR="008D479B" w:rsidRDefault="008D479B" w:rsidP="008D479B">
      <w:pPr>
        <w:pStyle w:val="TextoNormal"/>
      </w:pPr>
    </w:p>
    <w:p w14:paraId="6F02810B" w14:textId="5C19DA77" w:rsidR="008D479B" w:rsidRDefault="008D479B" w:rsidP="008D479B">
      <w:pPr>
        <w:pStyle w:val="TextoNormal"/>
      </w:pPr>
      <w:r w:rsidRPr="008D479B">
        <w:rPr>
          <w:rStyle w:val="NumeroAFNegritaCaracter"/>
        </w:rPr>
        <w:t>5</w:t>
      </w:r>
      <w:r>
        <w:t>. Por diligencia de ordenación de la Secretaría de Justicia de la Sección se tuvo por personada a la Comunidad Autónoma de Canarias. Y, a tenor de lo dispuesto en el art. 52 LOTC, se dio vista de las actuaciones, por un plazo común de veinte días, al Ministerio Fiscal y a las partes personadas para que dentro de dicho término pudieran presentar las alegaciones que a su derecho conviniera.</w:t>
      </w:r>
    </w:p>
    <w:p w14:paraId="102818CF" w14:textId="77777777" w:rsidR="008D479B" w:rsidRDefault="008D479B" w:rsidP="008D479B">
      <w:pPr>
        <w:pStyle w:val="TextoNormal"/>
      </w:pPr>
    </w:p>
    <w:p w14:paraId="28940E22" w14:textId="52EEFB74" w:rsidR="008D479B" w:rsidRDefault="008D479B" w:rsidP="008D479B">
      <w:pPr>
        <w:pStyle w:val="TextoNormal"/>
      </w:pPr>
      <w:r w:rsidRPr="008D479B">
        <w:rPr>
          <w:rStyle w:val="NumeroAFNegritaCaracter"/>
        </w:rPr>
        <w:t>6</w:t>
      </w:r>
      <w:r>
        <w:t>. La demandante de amparo presentó sus alegaciones mediante escrito registrado el 7 de diciembre de 2022 en el que reiteraba los argumentos expuestos en la demanda.</w:t>
      </w:r>
    </w:p>
    <w:p w14:paraId="435AD6EF" w14:textId="77777777" w:rsidR="008D479B" w:rsidRDefault="008D479B" w:rsidP="008D479B">
      <w:pPr>
        <w:pStyle w:val="TextoNormal"/>
      </w:pPr>
    </w:p>
    <w:p w14:paraId="5196B0F9" w14:textId="0D800AC7" w:rsidR="008D479B" w:rsidRDefault="008D479B" w:rsidP="008D479B">
      <w:pPr>
        <w:pStyle w:val="TextoNormal"/>
      </w:pPr>
      <w:r w:rsidRPr="008D479B">
        <w:rPr>
          <w:rStyle w:val="NumeroAFNegritaCaracter"/>
        </w:rPr>
        <w:t>7</w:t>
      </w:r>
      <w:r>
        <w:t>. La Comunidad Autónoma de Canarias, con la representación y asistencia de letrado de su servicio jurídico, presentó sus alegaciones mediante escrito registrado el 20 de enero de 2023, en el que rechaza que se hayan vulnerado los derechos invocados en la demanda de amparo.</w:t>
      </w:r>
    </w:p>
    <w:p w14:paraId="5FA0A99C" w14:textId="77777777" w:rsidR="008D479B" w:rsidRDefault="008D479B" w:rsidP="008D479B">
      <w:pPr>
        <w:pStyle w:val="TextoNormal"/>
      </w:pPr>
    </w:p>
    <w:p w14:paraId="1BB88CB8" w14:textId="77777777" w:rsidR="008D479B" w:rsidRDefault="008D479B" w:rsidP="008D479B">
      <w:pPr>
        <w:pStyle w:val="TextoNormal"/>
      </w:pPr>
      <w:r w:rsidRPr="008D479B">
        <w:rPr>
          <w:rStyle w:val="NumeroAFNegritaCaracter"/>
        </w:rPr>
        <w:t>8</w:t>
      </w:r>
      <w:r>
        <w:t>. El Ministerio Fiscal presentó sus alegaciones mediante escrito registrado el 20 de enero de 2023 en el que solicita la desestimación del recurso de amparo.</w:t>
      </w:r>
    </w:p>
    <w:p w14:paraId="6CADBAF2" w14:textId="77777777" w:rsidR="008D479B" w:rsidRDefault="008D479B" w:rsidP="008D479B">
      <w:pPr>
        <w:pStyle w:val="TextoNormal"/>
      </w:pPr>
    </w:p>
    <w:p w14:paraId="4B3C8807" w14:textId="77777777" w:rsidR="008D479B" w:rsidRDefault="008D479B" w:rsidP="008D479B">
      <w:pPr>
        <w:pStyle w:val="TextoNormal"/>
      </w:pPr>
      <w:r>
        <w:t>Descarta, en primer lugar, que se haya producido una vulneración del art. 14 CE, al no existir el término válido de comparación exigido para que se produzca la vulneración, pues no se han dictado las resoluciones por los mismos órganos, ni en el caso del reproche dirigido al Tribunal Supremo concurre la identidad de supuestos exigida.</w:t>
      </w:r>
    </w:p>
    <w:p w14:paraId="3C0C8253" w14:textId="77777777" w:rsidR="008D479B" w:rsidRDefault="008D479B" w:rsidP="008D479B">
      <w:pPr>
        <w:pStyle w:val="TextoNormal"/>
      </w:pPr>
    </w:p>
    <w:p w14:paraId="2158E8D7" w14:textId="77777777" w:rsidR="008D479B" w:rsidRDefault="008D479B" w:rsidP="008D479B">
      <w:pPr>
        <w:pStyle w:val="TextoNormal"/>
      </w:pPr>
      <w:r>
        <w:t>Rechaza, asimismo, la vulneración del art. 20.1 a) y d) CE al existir una regulación normativa que establece el marco temporal de reserva del espacio radioeléctrico a los efectos de convocar los correspondientes concursos. Entiende que corresponde al legislador una mayor libertad de configuración normativa para disciplinar los soportes técnicos e instrumentos de comunicación, que la que posee al ordenar directamente los derechos fundamentales del art. 20.1 CE. De este modo las resoluciones administrativas y las sentencias que aplican la regulación establecida en este ámbito difícilmente pueden lesionar los derechos invocados.</w:t>
      </w:r>
    </w:p>
    <w:p w14:paraId="12552B4F" w14:textId="77777777" w:rsidR="008D479B" w:rsidRDefault="008D479B" w:rsidP="008D479B">
      <w:pPr>
        <w:pStyle w:val="TextoNormal"/>
      </w:pPr>
    </w:p>
    <w:p w14:paraId="21730EE4" w14:textId="1498ACCE" w:rsidR="008D479B" w:rsidRDefault="008D479B" w:rsidP="008D479B">
      <w:pPr>
        <w:pStyle w:val="TextoNormal"/>
      </w:pPr>
      <w:r>
        <w:t xml:space="preserve">Finalmente, considera que las resoluciones del Tribunal Europeo de Derechos Humanos citadas no son aplicables por tratarse de decisiones de inadmisión o, en el caso de la STEDH de 20 de octubre de 1997, asunto </w:t>
      </w:r>
      <w:r w:rsidRPr="008D479B">
        <w:rPr>
          <w:i/>
        </w:rPr>
        <w:t>Radio</w:t>
      </w:r>
      <w:r>
        <w:t xml:space="preserve"> </w:t>
      </w:r>
      <w:r w:rsidRPr="008D479B">
        <w:rPr>
          <w:i/>
        </w:rPr>
        <w:t>ABC c. Austria</w:t>
      </w:r>
      <w:r>
        <w:t>, porque toda la actividad se subordinaba a una concesión del legislador federal que no se produjo, situación que se mantuvo durante tres periodos de tiempo, supuesto distinto al contemplado en la regulación española.</w:t>
      </w:r>
    </w:p>
    <w:p w14:paraId="2B8D410B" w14:textId="77777777" w:rsidR="008D479B" w:rsidRDefault="008D479B" w:rsidP="008D479B">
      <w:pPr>
        <w:pStyle w:val="TextoNormal"/>
      </w:pPr>
    </w:p>
    <w:p w14:paraId="0C647B21" w14:textId="05D45FDB" w:rsidR="008D479B" w:rsidRDefault="008D479B" w:rsidP="008D479B">
      <w:pPr>
        <w:pStyle w:val="TextoNormal"/>
      </w:pPr>
      <w:r w:rsidRPr="008D479B">
        <w:rPr>
          <w:rStyle w:val="NumeroAFNegritaCaracter"/>
        </w:rPr>
        <w:t>9</w:t>
      </w:r>
      <w:r>
        <w:t>. Por providencia de 21 de septiembre de 2023 se señaló para deliberación y votación de la presente sentencia el día 25 del mismo mes y año.</w:t>
      </w:r>
    </w:p>
    <w:p w14:paraId="7D7E98AF" w14:textId="77777777" w:rsidR="008D479B" w:rsidRDefault="008D479B" w:rsidP="008D479B">
      <w:pPr>
        <w:pStyle w:val="TextoNormal"/>
      </w:pPr>
    </w:p>
    <w:p w14:paraId="0C57EF38" w14:textId="77777777" w:rsidR="008D479B" w:rsidRDefault="008D479B" w:rsidP="008D479B">
      <w:pPr>
        <w:pStyle w:val="TextoNormalNegritaCentrado"/>
        <w:keepNext/>
      </w:pPr>
      <w:r>
        <w:t>II. Fundamentos jurídicos</w:t>
      </w:r>
    </w:p>
    <w:p w14:paraId="328904F0" w14:textId="4D8F4507" w:rsidR="008D479B" w:rsidRDefault="008D479B" w:rsidP="008D479B">
      <w:pPr>
        <w:pStyle w:val="TextoNormalNegritaCentrado"/>
        <w:keepNext/>
      </w:pPr>
    </w:p>
    <w:p w14:paraId="1135CC32" w14:textId="77777777" w:rsidR="008D479B" w:rsidRDefault="008D479B" w:rsidP="008D479B">
      <w:pPr>
        <w:pStyle w:val="TextoNormal"/>
      </w:pPr>
      <w:r w:rsidRPr="008D479B">
        <w:rPr>
          <w:rStyle w:val="NumeroAFNegritaCaracter"/>
        </w:rPr>
        <w:t>1</w:t>
      </w:r>
      <w:r>
        <w:t xml:space="preserve">. </w:t>
      </w:r>
      <w:r w:rsidRPr="008D479B">
        <w:rPr>
          <w:i/>
        </w:rPr>
        <w:t>Objeto del recurso</w:t>
      </w:r>
    </w:p>
    <w:p w14:paraId="6238201E" w14:textId="77777777" w:rsidR="008D479B" w:rsidRDefault="008D479B" w:rsidP="008D479B">
      <w:pPr>
        <w:pStyle w:val="TextoNormal"/>
      </w:pPr>
    </w:p>
    <w:p w14:paraId="1372007D" w14:textId="634BB290" w:rsidR="008D479B" w:rsidRDefault="008D479B" w:rsidP="008D479B">
      <w:pPr>
        <w:pStyle w:val="TextoNormal"/>
      </w:pPr>
      <w:r>
        <w:t>El objeto de este recurso es determinar si la desestimación por silencio administrativo negativo de la solicitud de convocatoria de concurso para la adjudicación de las licencias disponibles de comunicación audiovisual de radiodifusión sonora digital de ámbito local, en la Comunidad Autónoma de Canarias y la resolución núm. 46/2018, de 10 de julio, de la Viceconsejería de Comunicación y Relaciones con los Medios de Canarias, que acuerda el archivo de la solicitud por haber desaparecido el objeto del procedimiento, vulneran los derechos fundamentales a la libertad de información, comunicación y expresión [art. 20.1 a) y d) CE], en relación con el art. 14 CE.</w:t>
      </w:r>
    </w:p>
    <w:p w14:paraId="3C95C140" w14:textId="77777777" w:rsidR="008D479B" w:rsidRDefault="008D479B" w:rsidP="008D479B">
      <w:pPr>
        <w:pStyle w:val="TextoNormal"/>
      </w:pPr>
    </w:p>
    <w:p w14:paraId="7C50D188" w14:textId="77777777" w:rsidR="008D479B" w:rsidRDefault="008D479B" w:rsidP="008D479B">
      <w:pPr>
        <w:pStyle w:val="TextoNormal"/>
      </w:pPr>
      <w:r w:rsidRPr="008D479B">
        <w:rPr>
          <w:rStyle w:val="NumeroAFNegritaCaracter"/>
        </w:rPr>
        <w:t>2</w:t>
      </w:r>
      <w:r>
        <w:t xml:space="preserve">. </w:t>
      </w:r>
      <w:r w:rsidRPr="008D479B">
        <w:rPr>
          <w:i/>
        </w:rPr>
        <w:t>Remisión a lo resuelto en la STC 89/2023, de 18 de julio</w:t>
      </w:r>
    </w:p>
    <w:p w14:paraId="1C7A6A4E" w14:textId="77777777" w:rsidR="008D479B" w:rsidRDefault="008D479B" w:rsidP="008D479B">
      <w:pPr>
        <w:pStyle w:val="TextoNormal"/>
      </w:pPr>
    </w:p>
    <w:p w14:paraId="66961F75" w14:textId="43A6A94F" w:rsidR="008D479B" w:rsidRDefault="008D479B" w:rsidP="008D479B">
      <w:pPr>
        <w:pStyle w:val="TextoNormal"/>
      </w:pPr>
      <w:r>
        <w:t>El problema constitucional que se plantea en este proceso de amparo es coincidente con el resuelto en la STC 89/2023, de 18 de julio, que excluyó que la actuación administrativa impugnada, en cuanto denegó la convocatoria del concurso solicitado para la concesión de licencias de prestación de servicios audiovisuales, vulnerara los derechos a expresar y difundir libremente los pensamientos, ideas y opiniones mediante la palabra, el escrito o cualquier otro medio de reproducción [art. 20.1 a) CE] y a comunicar o recibir libremente información veraz por cualquier medio de difusión [art. 20.1 d) CE], en relación con el principio de igualdad (art. 14 CE), lo que determina que, por idénticas razones, proceda desestimar el presente recurso de amparo.</w:t>
      </w:r>
    </w:p>
    <w:p w14:paraId="5C018A81" w14:textId="77777777" w:rsidR="008D479B" w:rsidRDefault="008D479B" w:rsidP="008D479B">
      <w:pPr>
        <w:pStyle w:val="TextoNormal"/>
      </w:pPr>
    </w:p>
    <w:p w14:paraId="3B95F3FC" w14:textId="77777777" w:rsidR="008D479B" w:rsidRDefault="008D479B" w:rsidP="008D479B">
      <w:pPr>
        <w:pStyle w:val="TextoNormalCentrado"/>
        <w:keepNext/>
      </w:pPr>
      <w:r>
        <w:t>FALLO</w:t>
      </w:r>
    </w:p>
    <w:p w14:paraId="1308D7F6" w14:textId="5551BB94" w:rsidR="008D479B" w:rsidRDefault="008D479B" w:rsidP="008D479B">
      <w:pPr>
        <w:pStyle w:val="TextoNormalCentrado"/>
        <w:keepNext/>
      </w:pPr>
    </w:p>
    <w:p w14:paraId="5CDDA554" w14:textId="3E1C6913" w:rsidR="008D479B" w:rsidRDefault="008D479B" w:rsidP="008D479B">
      <w:pPr>
        <w:pStyle w:val="TextoNormal"/>
      </w:pPr>
      <w:r>
        <w:t>En atención a todo lo expuesto, el Tribunal Constitucional, por la autoridad que le confiere la Constitución de la Nación española, ha decidido desestimar el recurso de amparo interpuesto por Topanga de Comunicaciones, S.L.</w:t>
      </w:r>
    </w:p>
    <w:p w14:paraId="5636C70F" w14:textId="77777777" w:rsidR="008D479B" w:rsidRDefault="008D479B" w:rsidP="008D479B">
      <w:pPr>
        <w:pStyle w:val="TextoNormal"/>
      </w:pPr>
    </w:p>
    <w:p w14:paraId="6952CA0A" w14:textId="77777777" w:rsidR="008D479B" w:rsidRDefault="008D479B" w:rsidP="008D479B">
      <w:pPr>
        <w:pStyle w:val="TextoNormal"/>
      </w:pPr>
      <w:r>
        <w:t>Publíquese esta sentencia en el “Boletín Oficial del Estado”.</w:t>
      </w:r>
    </w:p>
    <w:p w14:paraId="1B0C3BD5" w14:textId="77777777" w:rsidR="008D479B" w:rsidRDefault="008D479B" w:rsidP="008D479B">
      <w:pPr>
        <w:pStyle w:val="TextoNormal"/>
      </w:pPr>
      <w:r>
        <w:t>Dada en Madrid, a veinticinco de septiembre de dos mil veintitrés.</w:t>
      </w:r>
    </w:p>
    <w:p w14:paraId="4C420DFF" w14:textId="281DD1F4" w:rsidR="008D479B" w:rsidRDefault="008D479B" w:rsidP="008D479B">
      <w:pPr>
        <w:pStyle w:val="ParrafoNormal"/>
      </w:pPr>
    </w:p>
    <w:p w14:paraId="65198A43" w14:textId="77777777" w:rsidR="008D479B" w:rsidRDefault="008D479B" w:rsidP="008D479B">
      <w:pPr>
        <w:pStyle w:val="TextoNormalNegritaCentrado"/>
        <w:keepNext/>
      </w:pPr>
      <w:r>
        <w:t>Voto particular que formula la magistrada doña María Luisa Balaguer Callejón a la sentencia dictada en el recurso de amparo núm. 829-2021</w:t>
      </w:r>
    </w:p>
    <w:p w14:paraId="53A3C7F5" w14:textId="4D3AD566" w:rsidR="008D479B" w:rsidRDefault="008D479B" w:rsidP="008D479B">
      <w:pPr>
        <w:pStyle w:val="TextoNormalNegritaCentrado"/>
        <w:keepNext/>
      </w:pPr>
    </w:p>
    <w:p w14:paraId="107014A8" w14:textId="77777777" w:rsidR="008D479B" w:rsidRDefault="008D479B" w:rsidP="008D479B">
      <w:pPr>
        <w:pStyle w:val="TextoNormal"/>
      </w:pPr>
      <w:r>
        <w:t>Con el mayor respeto al criterio reflejado en la sentencia a que se refiere el encabezamiento y, en ejercicio de la facultad que me confiere el art. 90.2 de la Ley Orgánica del Tribunal Constitucional, manifiesto mi discrepancia con la argumentación y fallo de la sentencia aprobada por la Sala. Por ello, me remito, en su totalidad, al voto particular que realicé a la STC 89/2023, de 18 de julio.</w:t>
      </w:r>
    </w:p>
    <w:p w14:paraId="2D7597E7" w14:textId="77777777" w:rsidR="008D479B" w:rsidRDefault="008D479B" w:rsidP="008D479B">
      <w:pPr>
        <w:pStyle w:val="TextoNormal"/>
      </w:pPr>
    </w:p>
    <w:p w14:paraId="08C1A206" w14:textId="1351504A" w:rsidR="008D479B" w:rsidRDefault="008D479B" w:rsidP="008D479B">
      <w:pPr>
        <w:pStyle w:val="TextoNormal"/>
      </w:pPr>
      <w:r>
        <w:t>Madrid, a veinticinco de septiembre de dos mil veintitrés.</w:t>
      </w:r>
    </w:p>
    <w:p w14:paraId="5C721ACD" w14:textId="207B12B3" w:rsidR="008D479B" w:rsidRDefault="008D479B">
      <w:pPr>
        <w:spacing w:after="160" w:line="278" w:lineRule="auto"/>
        <w:rPr>
          <w:rFonts w:ascii="Times New Roman" w:eastAsia="Times New Roman" w:hAnsi="Times New Roman" w:cs="Times New Roman"/>
          <w:sz w:val="24"/>
          <w:szCs w:val="24"/>
          <w:lang w:eastAsia="es-ES"/>
        </w:rPr>
      </w:pPr>
      <w:r>
        <w:br w:type="page"/>
      </w:r>
    </w:p>
    <w:p w14:paraId="5B1EF818" w14:textId="77777777" w:rsidR="008D479B" w:rsidRDefault="008D479B" w:rsidP="008D479B">
      <w:pPr>
        <w:pStyle w:val="TtuloResolucin"/>
      </w:pPr>
      <w:bookmarkStart w:id="34" w:name="SENTENCIA_2023_109"/>
      <w:r>
        <w:t>SENTENCIA 109/2023, de 25 de septiembre de 2023</w:t>
      </w:r>
    </w:p>
    <w:bookmarkEnd w:id="34"/>
    <w:p w14:paraId="3E1DE934" w14:textId="77777777" w:rsidR="008D479B" w:rsidRDefault="008D479B" w:rsidP="008D479B">
      <w:pPr>
        <w:pStyle w:val="TtuloResolucin"/>
      </w:pPr>
      <w:r>
        <w:t>Sala Primera</w:t>
      </w:r>
    </w:p>
    <w:p w14:paraId="281C5FD5" w14:textId="77777777" w:rsidR="008D479B" w:rsidRDefault="008D479B" w:rsidP="008D479B">
      <w:pPr>
        <w:pStyle w:val="TtuloBOE"/>
      </w:pPr>
      <w:r>
        <w:t>(BOE núm. 261, de 1 de noviembre de 2023)</w:t>
      </w:r>
    </w:p>
    <w:p w14:paraId="70B2CC5C" w14:textId="77777777" w:rsidR="008D479B" w:rsidRDefault="008D479B" w:rsidP="008D479B">
      <w:pPr>
        <w:pStyle w:val="TextoNormalCentrado"/>
      </w:pPr>
      <w:r>
        <w:t>ECLI:ES:TC:2023:109</w:t>
      </w:r>
    </w:p>
    <w:p w14:paraId="6C1B1666" w14:textId="66374083" w:rsidR="008D479B" w:rsidRDefault="008D479B" w:rsidP="008D479B">
      <w:pPr>
        <w:pStyle w:val="TextoNormalCentrado"/>
      </w:pPr>
    </w:p>
    <w:p w14:paraId="5947280D" w14:textId="77777777" w:rsidR="008D479B" w:rsidRDefault="008D479B" w:rsidP="008D479B">
      <w:pPr>
        <w:pStyle w:val="SntesisDescriptiva"/>
      </w:pPr>
      <w:r>
        <w:t>Recurso de amparo 895-2021. Promovido por Veranda y Arnela Desarrollos, S.L., respecto de las resoluciones de la Viceconsejería de Comunicación y Relaciones con los Medios de Canarias que rechazaron su solicitud de convocatoria de concurso público para la adjudicación de licencias disponibles de comunicación audiovisual de radiodifusión sonora digital terrestre de ámbito local.</w:t>
      </w:r>
    </w:p>
    <w:p w14:paraId="5A66B6E5" w14:textId="160858E6" w:rsidR="008D479B" w:rsidRDefault="008D479B" w:rsidP="008D479B">
      <w:pPr>
        <w:pStyle w:val="SntesisDescriptiva"/>
      </w:pPr>
    </w:p>
    <w:p w14:paraId="11AFC6EA" w14:textId="77777777" w:rsidR="008D479B" w:rsidRDefault="008D479B" w:rsidP="008D479B">
      <w:pPr>
        <w:pStyle w:val="SntesisAnaltica"/>
      </w:pPr>
      <w:r>
        <w:t>Supuesta vulneración del derecho a la igualdad y a las libertades de expresión e información: STC 89/2023 (resolución administrativa que no resulta desproporcionada y que viene impuesta por la inexistencia de reserva de dominio público radioeléctrico). Voto particular.</w:t>
      </w:r>
    </w:p>
    <w:p w14:paraId="03987DF5" w14:textId="79D23E5F" w:rsidR="008D479B" w:rsidRDefault="008D479B" w:rsidP="008D479B">
      <w:pPr>
        <w:pStyle w:val="SntesisAnaltica"/>
      </w:pPr>
    </w:p>
    <w:p w14:paraId="1905540B" w14:textId="547B7190" w:rsidR="008D479B" w:rsidRDefault="008D479B" w:rsidP="008D479B">
      <w:pPr>
        <w:pStyle w:val="Extracto"/>
      </w:pPr>
      <w:r>
        <w:t>1.</w:t>
      </w:r>
      <w:r>
        <w:tab/>
        <w:t xml:space="preserve">Remisión a la STC 89/2023 que declaró respetados los derechos a expresar y difundir libremente los pensamientos, ideas y opiniones, así como a comunicar o recibir libremente información veraz por cualquier medio de difusión, consagrados en el art. 20.1 a) y d) CE, en relación con el principio de igualdad reconocido en el art. 14 CE, por parte de la actuación administrativa denegatoria de convocatoria de concurso para la concesión de licencias de prestación de servicios audiovisuales </w:t>
      </w:r>
    </w:p>
    <w:p w14:paraId="5A834A5B" w14:textId="77777777" w:rsidR="008D479B" w:rsidRDefault="008D479B" w:rsidP="008D479B">
      <w:pPr>
        <w:pStyle w:val="Extracto"/>
      </w:pPr>
    </w:p>
    <w:p w14:paraId="16AE3213" w14:textId="77777777" w:rsidR="008D479B" w:rsidRDefault="008D479B" w:rsidP="008D479B">
      <w:pPr>
        <w:pStyle w:val="Extracto"/>
      </w:pPr>
    </w:p>
    <w:p w14:paraId="5F378941" w14:textId="77777777" w:rsidR="008D479B" w:rsidRDefault="008D479B" w:rsidP="008D479B">
      <w:pPr>
        <w:pStyle w:val="TextoNormal"/>
      </w:pPr>
      <w:r>
        <w:t>La Sala Primera del Tribunal Constitucional, compuesta por el magistrado don Cándido Conde-Pumpido Tourón, presidente, y los magistrados y magistradas don Ricardo Enríquez Sancho, doña Concepción Espejel Jorquera, doña María Luisa Segoviano Astaburuaga y don Juan Carlos Campo Moreno, ha pronunciado</w:t>
      </w:r>
    </w:p>
    <w:p w14:paraId="783DE1A1" w14:textId="6F16F811" w:rsidR="008D479B" w:rsidRDefault="008D479B" w:rsidP="008D479B">
      <w:pPr>
        <w:pStyle w:val="TextoNormal"/>
      </w:pPr>
    </w:p>
    <w:p w14:paraId="1D4A3074" w14:textId="77777777" w:rsidR="008D479B" w:rsidRDefault="008D479B" w:rsidP="008D479B">
      <w:pPr>
        <w:pStyle w:val="TextoNormalCentrado"/>
        <w:keepNext/>
      </w:pPr>
      <w:r>
        <w:t>EN NOMBRE DEL REY</w:t>
      </w:r>
    </w:p>
    <w:p w14:paraId="38604D84" w14:textId="618A9A31" w:rsidR="008D479B" w:rsidRDefault="008D479B" w:rsidP="008D479B">
      <w:pPr>
        <w:pStyle w:val="TextoNormalCentrado"/>
        <w:keepNext/>
      </w:pPr>
    </w:p>
    <w:p w14:paraId="05BF57F2" w14:textId="77777777" w:rsidR="008D479B" w:rsidRDefault="008D479B" w:rsidP="008D479B">
      <w:pPr>
        <w:pStyle w:val="TextoNormalCentrado"/>
        <w:keepNext/>
      </w:pPr>
    </w:p>
    <w:p w14:paraId="5C1577E2" w14:textId="77777777" w:rsidR="008D479B" w:rsidRDefault="008D479B" w:rsidP="008D479B">
      <w:pPr>
        <w:pStyle w:val="TextoNormal"/>
      </w:pPr>
      <w:r>
        <w:t>la siguiente</w:t>
      </w:r>
    </w:p>
    <w:p w14:paraId="30161DC0" w14:textId="5B801794" w:rsidR="008D479B" w:rsidRDefault="008D479B" w:rsidP="008D479B">
      <w:pPr>
        <w:pStyle w:val="TextoNormal"/>
      </w:pPr>
    </w:p>
    <w:p w14:paraId="5393C566" w14:textId="77777777" w:rsidR="008D479B" w:rsidRDefault="008D479B" w:rsidP="008D479B">
      <w:pPr>
        <w:pStyle w:val="TextoNormalCentrado"/>
        <w:keepNext/>
      </w:pPr>
      <w:r>
        <w:t>SENTENCIA</w:t>
      </w:r>
    </w:p>
    <w:p w14:paraId="6BC51909" w14:textId="035E4BEF" w:rsidR="008D479B" w:rsidRDefault="008D479B" w:rsidP="008D479B">
      <w:pPr>
        <w:pStyle w:val="TextoNormalCentrado"/>
        <w:keepNext/>
      </w:pPr>
    </w:p>
    <w:p w14:paraId="169A307A" w14:textId="77777777" w:rsidR="008D479B" w:rsidRDefault="008D479B" w:rsidP="008D479B">
      <w:pPr>
        <w:pStyle w:val="TextoNormal"/>
      </w:pPr>
      <w:r>
        <w:t>En el recurso de amparo número 895-2021, promovido por la mercantil Veranda y Arnela Desarrollos, S.L., representada por la procuradora de los tribunales doña Hara Rojas Jiménez y asistida por el abogado don Jaime Rodríguez Díez, contra la resolución 112/2018, de 20 de diciembre, de la Viceconsejería de Comunicación y Relaciones con los Medios de Canarias, por la que se acuerda el archivo de la solicitud de convocatoria de concurso público para el otorgamiento de licencias de comunicación audiovisual de radiodifusión sonora digital terrenal integradas en los bloques de frecuencias asignados a la Comunidad Autónoma de Canarias, por haber desaparecido el objeto del procedimiento. Ha comparecido la referida comunidad autónoma y ha intervenido el Ministerio Fiscal. Ha sido ponente la magistrada doña Concepción Espejel Jorquera.</w:t>
      </w:r>
    </w:p>
    <w:p w14:paraId="514249E4" w14:textId="0DB29210" w:rsidR="008D479B" w:rsidRDefault="008D479B" w:rsidP="008D479B">
      <w:pPr>
        <w:pStyle w:val="TextoNormal"/>
      </w:pPr>
    </w:p>
    <w:p w14:paraId="0942B5A9" w14:textId="77777777" w:rsidR="008D479B" w:rsidRDefault="008D479B" w:rsidP="008D479B">
      <w:pPr>
        <w:pStyle w:val="TextoNormalNegritaCentrado"/>
        <w:keepNext/>
      </w:pPr>
      <w:r>
        <w:t>I. Antecedentes</w:t>
      </w:r>
    </w:p>
    <w:p w14:paraId="2531F50F" w14:textId="0892F80D" w:rsidR="008D479B" w:rsidRDefault="008D479B" w:rsidP="008D479B">
      <w:pPr>
        <w:pStyle w:val="TextoNormalNegritaCentrado"/>
        <w:keepNext/>
      </w:pPr>
    </w:p>
    <w:p w14:paraId="3E983345" w14:textId="7322799D" w:rsidR="008D479B" w:rsidRDefault="008D479B" w:rsidP="008D479B">
      <w:pPr>
        <w:pStyle w:val="TextoNormal"/>
      </w:pPr>
      <w:r w:rsidRPr="008D479B">
        <w:rPr>
          <w:rStyle w:val="NumeroAFNegritaCaracter"/>
        </w:rPr>
        <w:t>1</w:t>
      </w:r>
      <w:r>
        <w:t>. Mediante escrito presentado en el registro general de este tribunal el 15 de febrero de 2021, la procuradora de los tribunales doña Hara Rojas Jiménez, actuando en nombre y representación de Veranda y Arnela Desarrollos, S.L., bajo la defensa del letrado don Jaime Rodríguez Díez, interpuso demanda de amparo contra la resolución arriba mencionada.</w:t>
      </w:r>
    </w:p>
    <w:p w14:paraId="04DEF57F" w14:textId="77777777" w:rsidR="008D479B" w:rsidRDefault="008D479B" w:rsidP="008D479B">
      <w:pPr>
        <w:pStyle w:val="TextoNormal"/>
      </w:pPr>
    </w:p>
    <w:p w14:paraId="049E93BD" w14:textId="77777777" w:rsidR="008D479B" w:rsidRDefault="008D479B" w:rsidP="008D479B">
      <w:pPr>
        <w:pStyle w:val="TextoNormal"/>
      </w:pPr>
      <w:r w:rsidRPr="008D479B">
        <w:rPr>
          <w:rStyle w:val="NumeroAFNegritaCaracter"/>
        </w:rPr>
        <w:t>2</w:t>
      </w:r>
      <w:r>
        <w:t>. Los hechos con relevancia para la resolución del presente recurso de amparo y a los que se refiere la demanda presentada son los siguientes:</w:t>
      </w:r>
    </w:p>
    <w:p w14:paraId="71331A62" w14:textId="77777777" w:rsidR="008D479B" w:rsidRDefault="008D479B" w:rsidP="008D479B">
      <w:pPr>
        <w:pStyle w:val="TextoNormal"/>
      </w:pPr>
    </w:p>
    <w:p w14:paraId="182B6D73" w14:textId="77777777" w:rsidR="008D479B" w:rsidRDefault="008D479B" w:rsidP="008D479B">
      <w:pPr>
        <w:pStyle w:val="TextoNormal"/>
      </w:pPr>
      <w:r>
        <w:t>a) La entidad Veranda y Arnela Desarrollos, S.L., interpuso recurso contencioso administrativo contra la resolución 112/2018, de 20 de diciembre, de la Viceconsejería de Comunicación y Relaciones con los Medios de Canarias, por la que se acuerda el archivo de la solicitud de convocatoria de concurso público para el otorgamiento de licencias de comunicación audiovisual de radiodifusión sonora digital terrenal integradas en los bloques de frecuencias asignados a la Comunidad Autónoma de Canarias, por haber desaparecido el objeto del procedimiento.</w:t>
      </w:r>
    </w:p>
    <w:p w14:paraId="423020BA" w14:textId="77777777" w:rsidR="008D479B" w:rsidRDefault="008D479B" w:rsidP="008D479B">
      <w:pPr>
        <w:pStyle w:val="TextoNormal"/>
      </w:pPr>
    </w:p>
    <w:p w14:paraId="3398C103" w14:textId="77777777" w:rsidR="008D479B" w:rsidRDefault="008D479B" w:rsidP="008D479B">
      <w:pPr>
        <w:pStyle w:val="TextoNormal"/>
      </w:pPr>
      <w:r>
        <w:t>b) La Sección Primera de la Sala de lo Contencioso-Administrativo del Tribunal Superior de Justicia de Canarias, con sede en Santa Cruz de Tenerife, desestimó el recurso interpuesto por sentencia de 17 de enero de 2020 al concluir que declarada extinguida la planificación radioeléctrica no cabe exigir la convocatoria de las reservas de dominio público incluidas en la misma al no existir ya reserva ni estar amparada dicha convocatoria por la normativa aplicable.</w:t>
      </w:r>
    </w:p>
    <w:p w14:paraId="2E891A5A" w14:textId="77777777" w:rsidR="008D479B" w:rsidRDefault="008D479B" w:rsidP="008D479B">
      <w:pPr>
        <w:pStyle w:val="TextoNormal"/>
      </w:pPr>
    </w:p>
    <w:p w14:paraId="638ACE25" w14:textId="08867F0D" w:rsidR="008D479B" w:rsidRDefault="008D479B" w:rsidP="008D479B">
      <w:pPr>
        <w:pStyle w:val="TextoNormal"/>
      </w:pPr>
      <w:r>
        <w:t>c) Frente a dicha sentencia la representación procesal de la mercantil ahora recurrente en amparo interpuso recurso de casación, que fue inadmitido a trámite por providencia de la Sección Primera de la Sala de lo Contencioso-Administrativo del Tribunal Supremo de 4 de febrero de 2021, por carencia sobrevenida de interés casacional objetivo para la formación de la jurisprudencia al haberse resuelto por la misma Sala la cuestión suscitada en el recurso en sentido contrario al pretendido por la recurrente, con remisión expresa, por todas, a la sentencia de 17 de diciembre de 2020.</w:t>
      </w:r>
    </w:p>
    <w:p w14:paraId="5C8F625E" w14:textId="77777777" w:rsidR="008D479B" w:rsidRDefault="008D479B" w:rsidP="008D479B">
      <w:pPr>
        <w:pStyle w:val="TextoNormal"/>
      </w:pPr>
    </w:p>
    <w:p w14:paraId="79A7DB41" w14:textId="77777777" w:rsidR="008D479B" w:rsidRDefault="008D479B" w:rsidP="008D479B">
      <w:pPr>
        <w:pStyle w:val="TextoNormal"/>
      </w:pPr>
      <w:r w:rsidRPr="008D479B">
        <w:rPr>
          <w:rStyle w:val="NumeroAFNegritaCaracter"/>
        </w:rPr>
        <w:t>3</w:t>
      </w:r>
      <w:r>
        <w:t>. En la demanda de amparo se alegan las siguientes vulneraciones constitucionales:</w:t>
      </w:r>
    </w:p>
    <w:p w14:paraId="266D1CE7" w14:textId="77777777" w:rsidR="008D479B" w:rsidRDefault="008D479B" w:rsidP="008D479B">
      <w:pPr>
        <w:pStyle w:val="TextoNormal"/>
      </w:pPr>
    </w:p>
    <w:p w14:paraId="29B4513C" w14:textId="77777777" w:rsidR="008D479B" w:rsidRDefault="008D479B" w:rsidP="008D479B">
      <w:pPr>
        <w:pStyle w:val="TextoNormal"/>
      </w:pPr>
      <w:r>
        <w:t>a) Afirma que la negativa a convocar un concurso público por parte del Gobierno de la Comunidad Autónoma de Canarias amparándose en el transcurso de un plazo imputable a su propia inactividad y el consiguiente decaimiento de la planificación del espacio radioeléctrico ha imposibilitado el ejercicio de los derechos fundamentales a la libertad de información, comunicación y expresión, en relación con el art. 14 CE, en concreto, de su derecho a crear los medios de comunicación indispensables para el ejercicio del derecho a expresar y difundir libremente los pensamientos, ideas y opiniones mediante la palabra, el escrito o cualquier otro medio de reproducción [art. 20.1 a) CE] y a comunicar o recibir libremente información veraz por cualquier medio de difusión [art. 20.1 d) CE]. Entiende que prevalece el deber de convocar el concurso de adjudicación [art. 27.2 de la Ley general de la comunicación audiovisual (LGCA)] sobre el eventual decaimiento de la reserva del espectro radioeléctrico (art. 27.4 LGCA) por lo que ha sido la inacción de la administración pública la causante de que no se haya aprovechado el espectro que el Estado ha otorgado a la comunidad autónoma, lo que invalida el acto recurrido por ser contrario a los derechos invocados. Alega que otras comunidades autónomas han convocado los concursos de licencias más allá del plazo establecido y que la negativa a convocar los concursos de adjudicación de licencias vacantes es incompatible con la Directiva 2018/1972, de 11 de diciembre, por la que se establece el Código europeo de las comunicaciones electrónicas, por crear barreras de acceso al mercado e inutilizar el espectro radioeléctrico.</w:t>
      </w:r>
    </w:p>
    <w:p w14:paraId="79262383" w14:textId="77777777" w:rsidR="008D479B" w:rsidRDefault="008D479B" w:rsidP="008D479B">
      <w:pPr>
        <w:pStyle w:val="TextoNormal"/>
      </w:pPr>
    </w:p>
    <w:p w14:paraId="6DFD79E6" w14:textId="77777777" w:rsidR="008D479B" w:rsidRDefault="008D479B" w:rsidP="008D479B">
      <w:pPr>
        <w:pStyle w:val="TextoNormal"/>
      </w:pPr>
      <w:r>
        <w:t>Sostiene también que existe una patente contradicción entre las sentencias del Tribunal Supremo al diferenciar incorrectamente entre licencias de televisión digital y licencias de radiodifusión digital para la protección de los derechos fundamentales.</w:t>
      </w:r>
    </w:p>
    <w:p w14:paraId="4974425D" w14:textId="77777777" w:rsidR="008D479B" w:rsidRDefault="008D479B" w:rsidP="008D479B">
      <w:pPr>
        <w:pStyle w:val="TextoNormal"/>
      </w:pPr>
    </w:p>
    <w:p w14:paraId="4DAF6152" w14:textId="77777777" w:rsidR="008D479B" w:rsidRDefault="008D479B" w:rsidP="008D479B">
      <w:pPr>
        <w:pStyle w:val="TextoNormal"/>
      </w:pPr>
      <w:r>
        <w:t xml:space="preserve">Añade, en fin, que la negativa a conceder una licencia de radiodifusión infringe el art. 10, apartado 1, del Convenio europeo de derechos humanos (CEDH) y cita las resoluciones del Tribunal Europeo de Derechos Humanos de 20 de octubre de 1997, asunto </w:t>
      </w:r>
      <w:r w:rsidRPr="008D479B">
        <w:rPr>
          <w:i/>
        </w:rPr>
        <w:t>Radio ABC c. Austria</w:t>
      </w:r>
      <w:r>
        <w:t xml:space="preserve">; de 23 de noviembre de 1999, asunto </w:t>
      </w:r>
      <w:r w:rsidRPr="008D479B">
        <w:rPr>
          <w:i/>
        </w:rPr>
        <w:t>Leveque c. Francia</w:t>
      </w:r>
      <w:r>
        <w:t xml:space="preserve">; de 7 de noviembre de 2000, asunto </w:t>
      </w:r>
      <w:r w:rsidRPr="008D479B">
        <w:rPr>
          <w:i/>
        </w:rPr>
        <w:t>United Christian Broadcasters Ltd. c. Reino Unido</w:t>
      </w:r>
      <w:r>
        <w:t xml:space="preserve">; de 11 de octubre de 2007, asunto </w:t>
      </w:r>
      <w:r w:rsidRPr="008D479B">
        <w:rPr>
          <w:i/>
        </w:rPr>
        <w:t>Glas Nadejda EOOD y Elenkov c. Bulgaria</w:t>
      </w:r>
      <w:r>
        <w:t xml:space="preserve">; de 17 de junio de 2008, asunto </w:t>
      </w:r>
      <w:r w:rsidRPr="008D479B">
        <w:rPr>
          <w:i/>
        </w:rPr>
        <w:t>Meltex Ltd. y Movsessian c. Armenia</w:t>
      </w:r>
      <w:r>
        <w:t xml:space="preserve">, así como el dictamen del Comité de Derechos Humanos de Naciones Unidas, de 27 de octubre de 2016, en el caso </w:t>
      </w:r>
      <w:r w:rsidRPr="008D479B">
        <w:rPr>
          <w:i/>
        </w:rPr>
        <w:t>Azagade c. Azerbaiyán</w:t>
      </w:r>
      <w:r>
        <w:t>.</w:t>
      </w:r>
    </w:p>
    <w:p w14:paraId="07474C79" w14:textId="77777777" w:rsidR="008D479B" w:rsidRDefault="008D479B" w:rsidP="008D479B">
      <w:pPr>
        <w:pStyle w:val="TextoNormal"/>
      </w:pPr>
    </w:p>
    <w:p w14:paraId="1B7A2888" w14:textId="020DFD61" w:rsidR="008D479B" w:rsidRDefault="008D479B" w:rsidP="008D479B">
      <w:pPr>
        <w:pStyle w:val="TextoNormal"/>
      </w:pPr>
      <w:r>
        <w:t>b) En segundo lugar, considera vulnerado el derecho a la igualdad (art. 14 CE), al haberse convocado en otras comunidades autónomas concursos públicos de licencias de comunicación audiovisual. Mantiene que el art. 27.4 LGCA, al tener la consideración de normativa básica, debe aplicarse de forma similar en todo el territorio estatal y la dispar interpretación efectuada por las distintas comunidades autónomas, a juicio de la entidad recurrente, lesiona el art. 14 CE.</w:t>
      </w:r>
    </w:p>
    <w:p w14:paraId="32C24EC5" w14:textId="77777777" w:rsidR="008D479B" w:rsidRDefault="008D479B" w:rsidP="008D479B">
      <w:pPr>
        <w:pStyle w:val="TextoNormal"/>
      </w:pPr>
    </w:p>
    <w:p w14:paraId="667E0177" w14:textId="77777777" w:rsidR="008D479B" w:rsidRDefault="008D479B" w:rsidP="008D479B">
      <w:pPr>
        <w:pStyle w:val="TextoNormal"/>
      </w:pPr>
      <w:r w:rsidRPr="008D479B">
        <w:rPr>
          <w:rStyle w:val="NumeroAFNegritaCaracter"/>
        </w:rPr>
        <w:t>4</w:t>
      </w:r>
      <w:r>
        <w:t>. Por providencia de 10 de octubre de 2022, la Sección Tercera del Tribunal Constitucional acordó admitir a trámite la demanda de amparo, al apreciar que concurría en la misma una especial trascendencia constitucional [art. 50.1 de la Ley Orgánica del Tribunal Constitucional (LOTC)] porque el recurso podía dar ocasión al Tribunal para aclarar o cambiar su doctrina, como consecuencia de un proceso de reflexión interna [STC 155/2009, de 25 de junio, FJ 2 b)] y el asunto suscitado trascendía del caso concreto porque plantea una cuestión jurídica de relevante y general repercusión social o económica [STC 155/2009, FJ 2 g)].</w:t>
      </w:r>
    </w:p>
    <w:p w14:paraId="42916809" w14:textId="77777777" w:rsidR="008D479B" w:rsidRDefault="008D479B" w:rsidP="008D479B">
      <w:pPr>
        <w:pStyle w:val="TextoNormal"/>
      </w:pPr>
    </w:p>
    <w:p w14:paraId="3F875914" w14:textId="4239A1C6" w:rsidR="008D479B" w:rsidRDefault="008D479B" w:rsidP="008D479B">
      <w:pPr>
        <w:pStyle w:val="TextoNormal"/>
      </w:pPr>
      <w:r>
        <w:t>Asimismo, acordó dar cumplimiento a lo dispuesto en el art. 51 LOTC y formar la correspondiente pieza separada de suspensión, que fue concluida por el ATC 162/2022, de 28 de noviembre, en el que se acordó denegar la suspensión cautelar solicitada.</w:t>
      </w:r>
    </w:p>
    <w:p w14:paraId="725D5DE9" w14:textId="77777777" w:rsidR="008D479B" w:rsidRDefault="008D479B" w:rsidP="008D479B">
      <w:pPr>
        <w:pStyle w:val="TextoNormal"/>
      </w:pPr>
    </w:p>
    <w:p w14:paraId="317F7DA7" w14:textId="556E1572" w:rsidR="008D479B" w:rsidRDefault="008D479B" w:rsidP="008D479B">
      <w:pPr>
        <w:pStyle w:val="TextoNormal"/>
      </w:pPr>
      <w:r w:rsidRPr="008D479B">
        <w:rPr>
          <w:rStyle w:val="NumeroAFNegritaCaracter"/>
        </w:rPr>
        <w:t>5</w:t>
      </w:r>
      <w:r>
        <w:t>. Por diligencia de ordenación de la Secretaría de Justicia de la Sección se tuvo por personada a la Comunidad Autónoma de Canarias. Y, a tenor de lo dispuesto en el art. 52 LOTC, se dio vista de las actuaciones, por un plazo común de veinte días, al Ministerio Fiscal y a las partes personadas para que dentro de dicho término pudieran presentar las alegaciones que a su derecho conviniera.</w:t>
      </w:r>
    </w:p>
    <w:p w14:paraId="6B5CEAE8" w14:textId="77777777" w:rsidR="008D479B" w:rsidRDefault="008D479B" w:rsidP="008D479B">
      <w:pPr>
        <w:pStyle w:val="TextoNormal"/>
      </w:pPr>
    </w:p>
    <w:p w14:paraId="09424319" w14:textId="4E14BB3F" w:rsidR="008D479B" w:rsidRDefault="008D479B" w:rsidP="008D479B">
      <w:pPr>
        <w:pStyle w:val="TextoNormal"/>
      </w:pPr>
      <w:r w:rsidRPr="008D479B">
        <w:rPr>
          <w:rStyle w:val="NumeroAFNegritaCaracter"/>
        </w:rPr>
        <w:t>6</w:t>
      </w:r>
      <w:r>
        <w:t>. La demandante de amparo presentó sus alegaciones mediante escrito registrado el 7 de diciembre de 2022 en el que reiteraba los argumentos expuestos en la demanda.</w:t>
      </w:r>
    </w:p>
    <w:p w14:paraId="631D6008" w14:textId="77777777" w:rsidR="008D479B" w:rsidRDefault="008D479B" w:rsidP="008D479B">
      <w:pPr>
        <w:pStyle w:val="TextoNormal"/>
      </w:pPr>
    </w:p>
    <w:p w14:paraId="2BC4B5F8" w14:textId="066E89B7" w:rsidR="008D479B" w:rsidRDefault="008D479B" w:rsidP="008D479B">
      <w:pPr>
        <w:pStyle w:val="TextoNormal"/>
      </w:pPr>
      <w:r w:rsidRPr="008D479B">
        <w:rPr>
          <w:rStyle w:val="NumeroAFNegritaCaracter"/>
        </w:rPr>
        <w:t>7</w:t>
      </w:r>
      <w:r>
        <w:t>. La Comunidad Autónoma de Canarias, con la representación y asistencia de letrado de su servicio jurídico, presentó sus alegaciones mediante escrito registrado el 28 de diciembre de 2022, en el que rechaza que se hayan vulnerado los derechos invocados en la demanda de amparo.</w:t>
      </w:r>
    </w:p>
    <w:p w14:paraId="4995BBF9" w14:textId="77777777" w:rsidR="008D479B" w:rsidRDefault="008D479B" w:rsidP="008D479B">
      <w:pPr>
        <w:pStyle w:val="TextoNormal"/>
      </w:pPr>
    </w:p>
    <w:p w14:paraId="12EF9877" w14:textId="77777777" w:rsidR="008D479B" w:rsidRDefault="008D479B" w:rsidP="008D479B">
      <w:pPr>
        <w:pStyle w:val="TextoNormal"/>
      </w:pPr>
      <w:r w:rsidRPr="008D479B">
        <w:rPr>
          <w:rStyle w:val="NumeroAFNegritaCaracter"/>
        </w:rPr>
        <w:t>8</w:t>
      </w:r>
      <w:r>
        <w:t>. El Ministerio Fiscal presentó sus alegaciones mediante escrito registrado el 20 de enero de 2023 en el que solicita la desestimación del recurso de amparo.</w:t>
      </w:r>
    </w:p>
    <w:p w14:paraId="28E2191D" w14:textId="77777777" w:rsidR="008D479B" w:rsidRDefault="008D479B" w:rsidP="008D479B">
      <w:pPr>
        <w:pStyle w:val="TextoNormal"/>
      </w:pPr>
    </w:p>
    <w:p w14:paraId="1FF09ED7" w14:textId="77777777" w:rsidR="008D479B" w:rsidRDefault="008D479B" w:rsidP="008D479B">
      <w:pPr>
        <w:pStyle w:val="TextoNormal"/>
      </w:pPr>
      <w:r>
        <w:t>Descarta, en primer lugar, que se haya producido una vulneración del art. 14 CE, al no existir el término válido de comparación exigido para que se produzca la vulneración, pues no se han dictado las resoluciones por los mismos órganos, ni en el caso del reproche dirigido al Tribunal Supremo concurre la identidad de supuestos exigida.</w:t>
      </w:r>
    </w:p>
    <w:p w14:paraId="43B706F6" w14:textId="77777777" w:rsidR="008D479B" w:rsidRDefault="008D479B" w:rsidP="008D479B">
      <w:pPr>
        <w:pStyle w:val="TextoNormal"/>
      </w:pPr>
    </w:p>
    <w:p w14:paraId="55A25BAD" w14:textId="77777777" w:rsidR="008D479B" w:rsidRDefault="008D479B" w:rsidP="008D479B">
      <w:pPr>
        <w:pStyle w:val="TextoNormal"/>
      </w:pPr>
      <w:r>
        <w:t>Rechaza, asimismo, la vulneración del art. 20.1 a) y d) CE al existir una regulación normativa que establece el marco temporal de reserva del espacio radioeléctrico a los efectos de convocar los correspondientes concursos. Entiende que corresponde al legislador una mayor libertad de configuración normativa para disciplinar los soportes técnicos e instrumentos de comunicación, que la que posee al ordenar directamente los derechos fundamentales del art. 20.1 CE. De este modo las resoluciones administrativas y las sentencias que aplican la regulación establecida en este ámbito difícilmente pueden lesionar los derechos invocados.</w:t>
      </w:r>
    </w:p>
    <w:p w14:paraId="38D0AC88" w14:textId="77777777" w:rsidR="008D479B" w:rsidRDefault="008D479B" w:rsidP="008D479B">
      <w:pPr>
        <w:pStyle w:val="TextoNormal"/>
      </w:pPr>
    </w:p>
    <w:p w14:paraId="45154B51" w14:textId="26971DBB" w:rsidR="008D479B" w:rsidRDefault="008D479B" w:rsidP="008D479B">
      <w:pPr>
        <w:pStyle w:val="TextoNormal"/>
      </w:pPr>
      <w:r>
        <w:t xml:space="preserve">Finalmente, considera que las resoluciones del Tribunal Europeo de Derechos Humanos citadas no son aplicables por tratarse de decisiones de inadmisión o, en el caso de la STEDH de 20 de octubre de 1997, asunto </w:t>
      </w:r>
      <w:r w:rsidRPr="008D479B">
        <w:rPr>
          <w:i/>
        </w:rPr>
        <w:t>Radio</w:t>
      </w:r>
      <w:r>
        <w:t xml:space="preserve"> </w:t>
      </w:r>
      <w:r w:rsidRPr="008D479B">
        <w:rPr>
          <w:i/>
        </w:rPr>
        <w:t>ABC c. Austria</w:t>
      </w:r>
      <w:r>
        <w:t>, porque toda la actividad se subordinaba a una concesión del legislador federal que no se produjo, situación que se mantuvo durante tres periodos de tiempo, supuesto distinto al contemplado en la regulación española.</w:t>
      </w:r>
    </w:p>
    <w:p w14:paraId="06B12DB2" w14:textId="77777777" w:rsidR="008D479B" w:rsidRDefault="008D479B" w:rsidP="008D479B">
      <w:pPr>
        <w:pStyle w:val="TextoNormal"/>
      </w:pPr>
    </w:p>
    <w:p w14:paraId="749ED89B" w14:textId="56995763" w:rsidR="008D479B" w:rsidRDefault="008D479B" w:rsidP="008D479B">
      <w:pPr>
        <w:pStyle w:val="TextoNormal"/>
      </w:pPr>
      <w:r w:rsidRPr="008D479B">
        <w:rPr>
          <w:rStyle w:val="NumeroAFNegritaCaracter"/>
        </w:rPr>
        <w:t>9</w:t>
      </w:r>
      <w:r>
        <w:t>. Por diligencia de ordenación de 27 de enero de 2023, el secretario de justicia de la Sección Primera de la Sala Primera de este tribunal puso en conocimiento de las partes que, en virtud del acuerdo del Pleno del Tribunal Constitucional de 17 de enero de 2023, publicado en el “Boletín Oficial del Estado” de 19 de enero de 2023, el presente recurso de amparo fue turnado a la citada sección.</w:t>
      </w:r>
    </w:p>
    <w:p w14:paraId="2E24E361" w14:textId="77777777" w:rsidR="008D479B" w:rsidRDefault="008D479B" w:rsidP="008D479B">
      <w:pPr>
        <w:pStyle w:val="TextoNormal"/>
      </w:pPr>
    </w:p>
    <w:p w14:paraId="54EC4959" w14:textId="07C6B10E" w:rsidR="008D479B" w:rsidRDefault="008D479B" w:rsidP="008D479B">
      <w:pPr>
        <w:pStyle w:val="TextoNormal"/>
      </w:pPr>
      <w:r w:rsidRPr="008D479B">
        <w:rPr>
          <w:rStyle w:val="NumeroAFNegritaCaracter"/>
        </w:rPr>
        <w:t>10</w:t>
      </w:r>
      <w:r>
        <w:t>. Por providencia de 21 de septiembre de 2023 se señaló para la deliberación y votación de la presente sentencia el día 25 del mismo mes y año.</w:t>
      </w:r>
    </w:p>
    <w:p w14:paraId="7B4D886E" w14:textId="77777777" w:rsidR="008D479B" w:rsidRDefault="008D479B" w:rsidP="008D479B">
      <w:pPr>
        <w:pStyle w:val="TextoNormal"/>
      </w:pPr>
    </w:p>
    <w:p w14:paraId="14B43B59" w14:textId="77777777" w:rsidR="008D479B" w:rsidRDefault="008D479B" w:rsidP="008D479B">
      <w:pPr>
        <w:pStyle w:val="TextoNormalNegritaCentrado"/>
        <w:keepNext/>
      </w:pPr>
      <w:r>
        <w:t>II. Fundamentos jurídicos</w:t>
      </w:r>
    </w:p>
    <w:p w14:paraId="5B6A6624" w14:textId="1BDD528A" w:rsidR="008D479B" w:rsidRDefault="008D479B" w:rsidP="008D479B">
      <w:pPr>
        <w:pStyle w:val="TextoNormalNegritaCentrado"/>
        <w:keepNext/>
      </w:pPr>
    </w:p>
    <w:p w14:paraId="03EE8ACA" w14:textId="77777777" w:rsidR="008D479B" w:rsidRDefault="008D479B" w:rsidP="008D479B">
      <w:pPr>
        <w:pStyle w:val="TextoNormal"/>
      </w:pPr>
      <w:r w:rsidRPr="008D479B">
        <w:rPr>
          <w:rStyle w:val="NumeroAFNegritaCaracter"/>
        </w:rPr>
        <w:t>1</w:t>
      </w:r>
      <w:r>
        <w:t xml:space="preserve">. </w:t>
      </w:r>
      <w:r w:rsidRPr="008D479B">
        <w:rPr>
          <w:i/>
        </w:rPr>
        <w:t>Objeto del recurso</w:t>
      </w:r>
    </w:p>
    <w:p w14:paraId="04E2A349" w14:textId="77777777" w:rsidR="008D479B" w:rsidRDefault="008D479B" w:rsidP="008D479B">
      <w:pPr>
        <w:pStyle w:val="TextoNormal"/>
      </w:pPr>
    </w:p>
    <w:p w14:paraId="5668588C" w14:textId="19E2BD76" w:rsidR="008D479B" w:rsidRDefault="008D479B" w:rsidP="008D479B">
      <w:pPr>
        <w:pStyle w:val="TextoNormal"/>
      </w:pPr>
      <w:r>
        <w:t>El objeto de este recurso es determinar si la resolución 112/2018, de 20 de diciembre, de la Viceconsejería de Comunicación y Relaciones con los Medios de Canarias, por la que se acuerda el archivo de la solicitud de convocatoria de concurso público para el otorgamiento de licencias de comunicación audiovisual de radiodifusión sonora digital terrenal integradas en los bloques de frecuencias asignados a la Comunidad Autónoma de Canarias, por haber desaparecido el objeto del procedimiento, vulnera los derechos fundamentales a la libertad de información, comunicación y expresión [art. 20.1 a) y d) CE], en relación con el art. 14 CE.</w:t>
      </w:r>
    </w:p>
    <w:p w14:paraId="372A3382" w14:textId="77777777" w:rsidR="008D479B" w:rsidRDefault="008D479B" w:rsidP="008D479B">
      <w:pPr>
        <w:pStyle w:val="TextoNormal"/>
      </w:pPr>
    </w:p>
    <w:p w14:paraId="1DA34BD3" w14:textId="77777777" w:rsidR="008D479B" w:rsidRDefault="008D479B" w:rsidP="008D479B">
      <w:pPr>
        <w:pStyle w:val="TextoNormal"/>
      </w:pPr>
      <w:r w:rsidRPr="008D479B">
        <w:rPr>
          <w:rStyle w:val="NumeroAFNegritaCaracter"/>
        </w:rPr>
        <w:t>2</w:t>
      </w:r>
      <w:r>
        <w:t xml:space="preserve">. </w:t>
      </w:r>
      <w:r w:rsidRPr="008D479B">
        <w:rPr>
          <w:i/>
        </w:rPr>
        <w:t>Remisión a lo resuelto en la STC 89/2023, de 18 de julio</w:t>
      </w:r>
    </w:p>
    <w:p w14:paraId="583701C9" w14:textId="77777777" w:rsidR="008D479B" w:rsidRDefault="008D479B" w:rsidP="008D479B">
      <w:pPr>
        <w:pStyle w:val="TextoNormal"/>
      </w:pPr>
    </w:p>
    <w:p w14:paraId="44528B16" w14:textId="53F49AF2" w:rsidR="008D479B" w:rsidRDefault="008D479B" w:rsidP="008D479B">
      <w:pPr>
        <w:pStyle w:val="TextoNormal"/>
      </w:pPr>
      <w:r>
        <w:t>El problema constitucional que se plantea en este proceso de amparo es coincidente con el resuelto en la STC 89/2023, de 18 de julio, que excluyó que la actuación administrativa impugnada, en cuanto denegó la convocatoria del concurso solicitado para la concesión de licencias de prestación de servicios audiovisuales, vulnerara los derechos a expresar y difundir libremente los pensamientos, ideas y opiniones mediante la palabra, el escrito o cualquier otro medio de reproducción [art. 20.1 a) CE] y a comunicar o recibir libremente información veraz por cualquier medio de difusión [art. 20.1 d) CE], en relación con el principio de igualdad (art. 14 CE), lo que determina que, por idénticas razones, proceda desestimar el presente recurso de amparo.</w:t>
      </w:r>
    </w:p>
    <w:p w14:paraId="2DFCC60D" w14:textId="77777777" w:rsidR="008D479B" w:rsidRDefault="008D479B" w:rsidP="008D479B">
      <w:pPr>
        <w:pStyle w:val="TextoNormal"/>
      </w:pPr>
    </w:p>
    <w:p w14:paraId="4106F7EA" w14:textId="77777777" w:rsidR="008D479B" w:rsidRDefault="008D479B" w:rsidP="008D479B">
      <w:pPr>
        <w:pStyle w:val="TextoNormalCentrado"/>
        <w:keepNext/>
      </w:pPr>
      <w:r>
        <w:t>FALLO</w:t>
      </w:r>
    </w:p>
    <w:p w14:paraId="15DA5334" w14:textId="73B6A5E3" w:rsidR="008D479B" w:rsidRDefault="008D479B" w:rsidP="008D479B">
      <w:pPr>
        <w:pStyle w:val="TextoNormalCentrado"/>
        <w:keepNext/>
      </w:pPr>
    </w:p>
    <w:p w14:paraId="60E03993" w14:textId="150DA6E1" w:rsidR="008D479B" w:rsidRDefault="008D479B" w:rsidP="008D479B">
      <w:pPr>
        <w:pStyle w:val="TextoNormal"/>
      </w:pPr>
      <w:r>
        <w:t>En atención a todo lo expuesto, el Tribunal Constitucional, por la autoridad que le confiere la Constitución de la Nación española, ha decidido desestimar el recurso de amparo interpuesto por Veranda y Arnela Desarrollos, S.L.</w:t>
      </w:r>
    </w:p>
    <w:p w14:paraId="54BD1D48" w14:textId="77777777" w:rsidR="008D479B" w:rsidRDefault="008D479B" w:rsidP="008D479B">
      <w:pPr>
        <w:pStyle w:val="TextoNormal"/>
      </w:pPr>
    </w:p>
    <w:p w14:paraId="76709675" w14:textId="77777777" w:rsidR="008D479B" w:rsidRDefault="008D479B" w:rsidP="008D479B">
      <w:pPr>
        <w:pStyle w:val="TextoNormal"/>
      </w:pPr>
      <w:r>
        <w:t>Publíquese esta sentencia en el “Boletín Oficial del Estado”.</w:t>
      </w:r>
    </w:p>
    <w:p w14:paraId="03C428D1" w14:textId="77777777" w:rsidR="008D479B" w:rsidRDefault="008D479B" w:rsidP="008D479B">
      <w:pPr>
        <w:pStyle w:val="TextoNormal"/>
      </w:pPr>
      <w:r>
        <w:t>Dada en Madrid, a veinticinco de septiembre de dos mil veintitrés.</w:t>
      </w:r>
    </w:p>
    <w:p w14:paraId="3E19AD3C" w14:textId="5849014F" w:rsidR="008D479B" w:rsidRDefault="008D479B" w:rsidP="008D479B">
      <w:pPr>
        <w:pStyle w:val="ParrafoNormal"/>
      </w:pPr>
    </w:p>
    <w:p w14:paraId="572BB2F2" w14:textId="77777777" w:rsidR="008D479B" w:rsidRDefault="008D479B" w:rsidP="008D479B">
      <w:pPr>
        <w:pStyle w:val="TextoNormalNegritaCentrado"/>
        <w:keepNext/>
      </w:pPr>
      <w:r>
        <w:t>Voto particular concurrente que formula la magistrada doña Concepción Espejel Jorquera a la sentencia dictada en el recurso de amparo número 895-2021</w:t>
      </w:r>
    </w:p>
    <w:p w14:paraId="67C81CAD" w14:textId="0300F7B6" w:rsidR="008D479B" w:rsidRDefault="008D479B" w:rsidP="008D479B">
      <w:pPr>
        <w:pStyle w:val="TextoNormalNegritaCentrado"/>
        <w:keepNext/>
      </w:pPr>
    </w:p>
    <w:p w14:paraId="008A45D9" w14:textId="77777777" w:rsidR="008D479B" w:rsidRDefault="008D479B" w:rsidP="008D479B">
      <w:pPr>
        <w:pStyle w:val="TextoNormal"/>
      </w:pPr>
      <w:r>
        <w:t>En el ejercicio de la facultad que me confiere el artículo 90.2 de la Ley Orgánica del Tribunal Constitucional, y con respeto a la opinión de mis compañeros, formulo voto particular concurrente respecto de la sentencia recaída en el presente recurso de amparo, conforme a los argumentos que ya tuve ocasión de exponer durante su deliberación en la Sala remitiéndome al voto particular que formulé a la STC 89/2023, de 18 de julio, a la que se remite la presente resolución.</w:t>
      </w:r>
    </w:p>
    <w:p w14:paraId="2D208FD5" w14:textId="77777777" w:rsidR="008D479B" w:rsidRDefault="008D479B" w:rsidP="008D479B">
      <w:pPr>
        <w:pStyle w:val="TextoNormal"/>
      </w:pPr>
    </w:p>
    <w:p w14:paraId="2C4A611C" w14:textId="44DD3A81" w:rsidR="008D479B" w:rsidRDefault="008D479B" w:rsidP="008D479B">
      <w:pPr>
        <w:pStyle w:val="TextoNormal"/>
      </w:pPr>
      <w:r>
        <w:t>Madrid, a veinticinco de septiembre de dos mil veintitrés.</w:t>
      </w:r>
    </w:p>
    <w:p w14:paraId="67DACEF1" w14:textId="5041D57B" w:rsidR="008D479B" w:rsidRDefault="008D479B">
      <w:pPr>
        <w:spacing w:after="160" w:line="278" w:lineRule="auto"/>
        <w:rPr>
          <w:rFonts w:ascii="Times New Roman" w:eastAsia="Times New Roman" w:hAnsi="Times New Roman" w:cs="Times New Roman"/>
          <w:sz w:val="24"/>
          <w:szCs w:val="24"/>
          <w:lang w:eastAsia="es-ES"/>
        </w:rPr>
      </w:pPr>
      <w:r>
        <w:br w:type="page"/>
      </w:r>
    </w:p>
    <w:p w14:paraId="2D8A3474" w14:textId="77777777" w:rsidR="008D479B" w:rsidRDefault="008D479B" w:rsidP="008D479B">
      <w:pPr>
        <w:pStyle w:val="TtuloResolucin"/>
      </w:pPr>
      <w:bookmarkStart w:id="35" w:name="SENTENCIA_2023_110"/>
      <w:r>
        <w:t>SENTENCIA 110/2023, de 25 de septiembre de 2023</w:t>
      </w:r>
    </w:p>
    <w:bookmarkEnd w:id="35"/>
    <w:p w14:paraId="1E54D64E" w14:textId="77777777" w:rsidR="008D479B" w:rsidRDefault="008D479B" w:rsidP="008D479B">
      <w:pPr>
        <w:pStyle w:val="TtuloResolucin"/>
      </w:pPr>
      <w:r>
        <w:t>Sala Primera</w:t>
      </w:r>
    </w:p>
    <w:p w14:paraId="3366FD12" w14:textId="77777777" w:rsidR="008D479B" w:rsidRDefault="008D479B" w:rsidP="008D479B">
      <w:pPr>
        <w:pStyle w:val="TtuloBOE"/>
      </w:pPr>
      <w:r>
        <w:t>(BOE núm. 261, de 1 de noviembre de 2023)</w:t>
      </w:r>
    </w:p>
    <w:p w14:paraId="365AA5F1" w14:textId="77777777" w:rsidR="008D479B" w:rsidRDefault="008D479B" w:rsidP="008D479B">
      <w:pPr>
        <w:pStyle w:val="TextoNormalCentrado"/>
      </w:pPr>
      <w:r>
        <w:t>ECLI:ES:TC:2023:110</w:t>
      </w:r>
    </w:p>
    <w:p w14:paraId="63EFF5C6" w14:textId="07B498E8" w:rsidR="008D479B" w:rsidRDefault="008D479B" w:rsidP="008D479B">
      <w:pPr>
        <w:pStyle w:val="TextoNormalCentrado"/>
      </w:pPr>
    </w:p>
    <w:p w14:paraId="58E449AB" w14:textId="77777777" w:rsidR="008D479B" w:rsidRDefault="008D479B" w:rsidP="008D479B">
      <w:pPr>
        <w:pStyle w:val="SntesisDescriptiva"/>
      </w:pPr>
      <w:r>
        <w:t>Recurso de amparo 1096-2021. Promovido por Emplazamientos Radiales, S.L., respecto de las resoluciones de la Viceconsejería de Comunicación y Relaciones con los Medios de Canarias que rechazaron su solicitud de convocatoria de concurso público para la adjudicación de licencias disponibles de comunicación audiovisual de radiodifusión sonora digital terrestre de ámbito local.</w:t>
      </w:r>
    </w:p>
    <w:p w14:paraId="2206A4D2" w14:textId="03EDE7DA" w:rsidR="008D479B" w:rsidRDefault="008D479B" w:rsidP="008D479B">
      <w:pPr>
        <w:pStyle w:val="SntesisDescriptiva"/>
      </w:pPr>
    </w:p>
    <w:p w14:paraId="79664C83" w14:textId="77777777" w:rsidR="008D479B" w:rsidRDefault="008D479B" w:rsidP="008D479B">
      <w:pPr>
        <w:pStyle w:val="SntesisAnaltica"/>
      </w:pPr>
      <w:r>
        <w:t>Supuesta vulneración del derecho a la igualdad y a las libertades de expresión e información: STC 89/2023 (resolución administrativa que no resulta desproporcionada y que viene impuesta por la inexistencia de reserva de dominio público radioeléctrico). Voto particular.</w:t>
      </w:r>
    </w:p>
    <w:p w14:paraId="37D8A81F" w14:textId="2C55FA0B" w:rsidR="008D479B" w:rsidRDefault="008D479B" w:rsidP="008D479B">
      <w:pPr>
        <w:pStyle w:val="SntesisAnaltica"/>
      </w:pPr>
    </w:p>
    <w:p w14:paraId="3534E71A" w14:textId="195C728D" w:rsidR="008D479B" w:rsidRDefault="008D479B" w:rsidP="008D479B">
      <w:pPr>
        <w:pStyle w:val="Extracto"/>
      </w:pPr>
      <w:r>
        <w:t>1.</w:t>
      </w:r>
      <w:r>
        <w:tab/>
        <w:t xml:space="preserve">Remisión a la STC 89/2023 que declaró respetados los derechos a expresar y difundir libremente los pensamientos, ideas y opiniones, así como a comunicar o recibir libremente información veraz por cualquier medio de difusión, consagrados en el art. 20.1 a) y d) CE, en relación con el principio de igualdad reconocido en el art. 14 CE, por parte de la actuación administrativa denegatoria de convocatoria de concurso para la concesión de licencias de prestación de servicios audiovisuales </w:t>
      </w:r>
    </w:p>
    <w:p w14:paraId="3327D085" w14:textId="77777777" w:rsidR="008D479B" w:rsidRDefault="008D479B" w:rsidP="008D479B">
      <w:pPr>
        <w:pStyle w:val="Extracto"/>
      </w:pPr>
    </w:p>
    <w:p w14:paraId="117833FA" w14:textId="77777777" w:rsidR="008D479B" w:rsidRDefault="008D479B" w:rsidP="008D479B">
      <w:pPr>
        <w:pStyle w:val="Extracto"/>
      </w:pPr>
    </w:p>
    <w:p w14:paraId="0C82D62D" w14:textId="77777777" w:rsidR="008D479B" w:rsidRDefault="008D479B" w:rsidP="008D479B">
      <w:pPr>
        <w:pStyle w:val="TextoNormal"/>
      </w:pPr>
      <w:r>
        <w:t>La Sala Primera del Tribunal Constitucional, compuesta por el magistrado don Cándido Conde-Pumpido Tourón, presidente, y los magistrados y magistradas don Ricardo Enríquez Sancho, doña Concepción Espejel Jorquera, doña María Luisa Segoviano Astaburuaga y don Juan Carlos Campo Moreno, ha pronunciado</w:t>
      </w:r>
    </w:p>
    <w:p w14:paraId="6F38B1ED" w14:textId="6C6C298C" w:rsidR="008D479B" w:rsidRDefault="008D479B" w:rsidP="008D479B">
      <w:pPr>
        <w:pStyle w:val="TextoNormal"/>
      </w:pPr>
    </w:p>
    <w:p w14:paraId="34AB1854" w14:textId="77777777" w:rsidR="008D479B" w:rsidRDefault="008D479B" w:rsidP="008D479B">
      <w:pPr>
        <w:pStyle w:val="TextoNormalCentrado"/>
        <w:keepNext/>
      </w:pPr>
      <w:r>
        <w:t>EN NOMBRE DEL REY</w:t>
      </w:r>
    </w:p>
    <w:p w14:paraId="21B0EF42" w14:textId="1BD77B8A" w:rsidR="008D479B" w:rsidRDefault="008D479B" w:rsidP="008D479B">
      <w:pPr>
        <w:pStyle w:val="TextoNormalCentrado"/>
        <w:keepNext/>
      </w:pPr>
    </w:p>
    <w:p w14:paraId="4A205E19" w14:textId="77777777" w:rsidR="008D479B" w:rsidRDefault="008D479B" w:rsidP="008D479B">
      <w:pPr>
        <w:pStyle w:val="TextoNormalCentrado"/>
        <w:keepNext/>
      </w:pPr>
    </w:p>
    <w:p w14:paraId="5B404BB5" w14:textId="77777777" w:rsidR="008D479B" w:rsidRDefault="008D479B" w:rsidP="008D479B">
      <w:pPr>
        <w:pStyle w:val="TextoNormal"/>
      </w:pPr>
      <w:r>
        <w:t>la siguiente</w:t>
      </w:r>
    </w:p>
    <w:p w14:paraId="446BB764" w14:textId="73674148" w:rsidR="008D479B" w:rsidRDefault="008D479B" w:rsidP="008D479B">
      <w:pPr>
        <w:pStyle w:val="TextoNormal"/>
      </w:pPr>
    </w:p>
    <w:p w14:paraId="020DD6F1" w14:textId="77777777" w:rsidR="008D479B" w:rsidRDefault="008D479B" w:rsidP="008D479B">
      <w:pPr>
        <w:pStyle w:val="TextoNormalCentrado"/>
        <w:keepNext/>
      </w:pPr>
      <w:r>
        <w:t>SENTENCIA</w:t>
      </w:r>
    </w:p>
    <w:p w14:paraId="3BC0E621" w14:textId="7249534E" w:rsidR="008D479B" w:rsidRDefault="008D479B" w:rsidP="008D479B">
      <w:pPr>
        <w:pStyle w:val="TextoNormalCentrado"/>
        <w:keepNext/>
      </w:pPr>
    </w:p>
    <w:p w14:paraId="0CF2BE3C" w14:textId="77777777" w:rsidR="008D479B" w:rsidRDefault="008D479B" w:rsidP="008D479B">
      <w:pPr>
        <w:pStyle w:val="TextoNormal"/>
      </w:pPr>
      <w:r>
        <w:t>En el recurso de amparo número 1096-2021, promovido por la mercantil Emplazamientos Radiales, S.L., representada por el procurador de los tribunales don José Carlos García Rodríguez y asistida por el abogado don Jaime Rodríguez Díez, contra la resolución 110-2018, de 20 de diciembre, de la Viceconsejería de Comunicación y Relaciones con los Medios de Canarias, por la que se acuerda el archivo de la solicitud de convocatoria de concurso público para el otorgamiento de licencias de comunicación audiovisual de radiodifusión sonora digital terrenal con cobertura local en la Comunidad Autónoma de Canarias, por haber desaparecido el objeto del procedimiento. Ha comparecido la referida comunidad autónoma y ha intervenido el Ministerio Fiscal. Ha sido ponente la magistrada doña Concepción Espejel Jorquera.</w:t>
      </w:r>
    </w:p>
    <w:p w14:paraId="5751D9E9" w14:textId="66635CFA" w:rsidR="008D479B" w:rsidRDefault="008D479B" w:rsidP="008D479B">
      <w:pPr>
        <w:pStyle w:val="TextoNormal"/>
      </w:pPr>
    </w:p>
    <w:p w14:paraId="715187FE" w14:textId="77777777" w:rsidR="008D479B" w:rsidRDefault="008D479B" w:rsidP="008D479B">
      <w:pPr>
        <w:pStyle w:val="TextoNormalNegritaCentrado"/>
        <w:keepNext/>
      </w:pPr>
      <w:r>
        <w:t>I. Antecedentes</w:t>
      </w:r>
    </w:p>
    <w:p w14:paraId="2939FE6C" w14:textId="30E23680" w:rsidR="008D479B" w:rsidRDefault="008D479B" w:rsidP="008D479B">
      <w:pPr>
        <w:pStyle w:val="TextoNormalNegritaCentrado"/>
        <w:keepNext/>
      </w:pPr>
    </w:p>
    <w:p w14:paraId="0E1BCE2D" w14:textId="21F2CF8F" w:rsidR="008D479B" w:rsidRDefault="008D479B" w:rsidP="008D479B">
      <w:pPr>
        <w:pStyle w:val="TextoNormal"/>
      </w:pPr>
      <w:r w:rsidRPr="008D479B">
        <w:rPr>
          <w:rStyle w:val="NumeroAFNegritaCaracter"/>
        </w:rPr>
        <w:t>1</w:t>
      </w:r>
      <w:r>
        <w:t>. Mediante escrito presentado en el registro general de este tribunal el 25 de febrero de 2021, el procurador de los tribunales don José Carlos García Rodríguez, actuando en nombre y representación de Emplazamientos Radiales, S.L., bajo la defensa del letrado don Jaime Rodríguez Díez, interpuso demanda de amparo contra la resolución arriba mencionada.</w:t>
      </w:r>
    </w:p>
    <w:p w14:paraId="6419FD2C" w14:textId="77777777" w:rsidR="008D479B" w:rsidRDefault="008D479B" w:rsidP="008D479B">
      <w:pPr>
        <w:pStyle w:val="TextoNormal"/>
      </w:pPr>
    </w:p>
    <w:p w14:paraId="6C53F6EB" w14:textId="77777777" w:rsidR="008D479B" w:rsidRDefault="008D479B" w:rsidP="008D479B">
      <w:pPr>
        <w:pStyle w:val="TextoNormal"/>
      </w:pPr>
      <w:r w:rsidRPr="008D479B">
        <w:rPr>
          <w:rStyle w:val="NumeroAFNegritaCaracter"/>
        </w:rPr>
        <w:t>2</w:t>
      </w:r>
      <w:r>
        <w:t>. Los hechos con relevancia para la resolución del presente recurso de amparo y a los que se refiere la demanda presentada son los siguientes:</w:t>
      </w:r>
    </w:p>
    <w:p w14:paraId="34FCA0F3" w14:textId="77777777" w:rsidR="008D479B" w:rsidRDefault="008D479B" w:rsidP="008D479B">
      <w:pPr>
        <w:pStyle w:val="TextoNormal"/>
      </w:pPr>
    </w:p>
    <w:p w14:paraId="56E321BC" w14:textId="77777777" w:rsidR="008D479B" w:rsidRDefault="008D479B" w:rsidP="008D479B">
      <w:pPr>
        <w:pStyle w:val="TextoNormal"/>
      </w:pPr>
      <w:r>
        <w:t>a) La entidad Emplazamientos Radiales, S.L., interpuso recurso contencioso administrativo contra la resolución 110-2018, de 20 de diciembre, de la Viceconsejería de Comunicación y Relaciones con los Medios de Canarias, por la que se acuerda el archivo de su solicitud de convocatoria de concurso público para el otorgamiento de licencias de comunicación audiovisual de radiodifusión sonora digital terrenal con cobertura local en la Comunidad Autónoma de Canarias, por haber desaparecido el objeto del procedimiento.</w:t>
      </w:r>
    </w:p>
    <w:p w14:paraId="16052D99" w14:textId="77777777" w:rsidR="008D479B" w:rsidRDefault="008D479B" w:rsidP="008D479B">
      <w:pPr>
        <w:pStyle w:val="TextoNormal"/>
      </w:pPr>
    </w:p>
    <w:p w14:paraId="4A7404F9" w14:textId="77777777" w:rsidR="008D479B" w:rsidRDefault="008D479B" w:rsidP="008D479B">
      <w:pPr>
        <w:pStyle w:val="TextoNormal"/>
      </w:pPr>
      <w:r>
        <w:t>b) La Sección Primera de la Sala de lo Contencioso-Administrativo del Tribunal Superior de Justicia de Canarias, con sede en Santa Cruz de Tenerife, desestimó el recurso interpuesto por sentencia de 27 de abril de 2020 al concluir que declarada extinguida la planificación radioeléctrica no cabe exigir la convocatoria de las reservas de dominio público incluidas en la misma al no existir ya reserva ni estar amparada dicha convocatoria por la normativa aplicable.</w:t>
      </w:r>
    </w:p>
    <w:p w14:paraId="06B839DD" w14:textId="77777777" w:rsidR="008D479B" w:rsidRDefault="008D479B" w:rsidP="008D479B">
      <w:pPr>
        <w:pStyle w:val="TextoNormal"/>
      </w:pPr>
    </w:p>
    <w:p w14:paraId="60D10FB3" w14:textId="340E5FCE" w:rsidR="008D479B" w:rsidRDefault="008D479B" w:rsidP="008D479B">
      <w:pPr>
        <w:pStyle w:val="TextoNormal"/>
      </w:pPr>
      <w:r>
        <w:t>c) Frente a dicha sentencia la representación procesal de la mercantil ahora recurrente en amparo interpuso recurso de casación, que fue inadmitido a trámite por providencia de la Sección Primera de la Sala de lo Contencioso-Administrativo del Tribunal Supremo de 18 de febrero de 2021, por carencia sobrevenida de interés casacional objetivo para la formación de la jurisprudencia al haberse resuelto por la misma sala la cuestión suscitada en el recurso en sentido contrario al pretendido por la recurrente, con remisión expresa, por todas, a la sentencia de 17 de diciembre de 2020.</w:t>
      </w:r>
    </w:p>
    <w:p w14:paraId="52377F5E" w14:textId="77777777" w:rsidR="008D479B" w:rsidRDefault="008D479B" w:rsidP="008D479B">
      <w:pPr>
        <w:pStyle w:val="TextoNormal"/>
      </w:pPr>
    </w:p>
    <w:p w14:paraId="29822F14" w14:textId="77777777" w:rsidR="008D479B" w:rsidRDefault="008D479B" w:rsidP="008D479B">
      <w:pPr>
        <w:pStyle w:val="TextoNormal"/>
      </w:pPr>
      <w:r w:rsidRPr="008D479B">
        <w:rPr>
          <w:rStyle w:val="NumeroAFNegritaCaracter"/>
        </w:rPr>
        <w:t>3</w:t>
      </w:r>
      <w:r>
        <w:t>. En la demanda de amparo se alegan las siguientes vulneraciones constitucionales:</w:t>
      </w:r>
    </w:p>
    <w:p w14:paraId="0BC23E36" w14:textId="77777777" w:rsidR="008D479B" w:rsidRDefault="008D479B" w:rsidP="008D479B">
      <w:pPr>
        <w:pStyle w:val="TextoNormal"/>
      </w:pPr>
    </w:p>
    <w:p w14:paraId="123F4C19" w14:textId="77777777" w:rsidR="008D479B" w:rsidRDefault="008D479B" w:rsidP="008D479B">
      <w:pPr>
        <w:pStyle w:val="TextoNormal"/>
      </w:pPr>
      <w:r>
        <w:t>a) Afirma que la negativa a convocar un concurso público por parte del Gobierno de la comunidad autónoma de Canarias amparándose en el transcurso de un plazo imputable a su propia inactividad y el consiguiente decaimiento de la planificación del espacio radioeléctrico ha imposibilitado el ejercicio de los derechos fundamentales a la libertad de información, comunicación y expresión, en relación con el art. 14 CE, en concreto, de su derecho a crear los medios de comunicación indispensables para el ejercicio del derecho a expresar y difundir libremente los pensamientos, ideas y opiniones mediante la palabra, el escrito o cualquier otro medio de reproducción [art. 20.1 a) CE] y a comunicar o recibir libremente información veraz por cualquier medio de difusión [art. 20.1 d) CE]. Entiende que prevalece el deber de convocar el concurso de adjudicación [art. 27.2 de la Ley general de la comunicación audiovisual (LGCA)] sobre el eventual decaimiento de la reserva del espectro radioeléctrico (art. 27.4 LGCA) por lo que ha sido la inacción de la administración pública la causante de que no se haya aprovechado el espectro que el Estado ha otorgado a la comunidad autónoma, lo que invalida el acto recurrido por ser contrario a los derechos invocados. Alega que otras comunidades autónomas han convocado los concursos de licencias más allá del plazo establecido y que la negativa a convocar los concursos de adjudicación de licencias vacantes es incompatible con la Directiva 2018/1972, de 11 de diciembre, por la que se establece el Código europeo de las comunicaciones electrónicas, por crear barreras de acceso al mercado e inutilizar el espectro radioeléctrico.</w:t>
      </w:r>
    </w:p>
    <w:p w14:paraId="2243E7BB" w14:textId="77777777" w:rsidR="008D479B" w:rsidRDefault="008D479B" w:rsidP="008D479B">
      <w:pPr>
        <w:pStyle w:val="TextoNormal"/>
      </w:pPr>
    </w:p>
    <w:p w14:paraId="40ACF2C9" w14:textId="77777777" w:rsidR="008D479B" w:rsidRDefault="008D479B" w:rsidP="008D479B">
      <w:pPr>
        <w:pStyle w:val="TextoNormal"/>
      </w:pPr>
      <w:r>
        <w:t>Sostiene también que existe una patente contradicción entre las sentencias del Tribunal Supremo al diferenciar incorrectamente entre licencias de televisión digital y licencias de radiodifusión digital para la protección de los derechos fundamentales.</w:t>
      </w:r>
    </w:p>
    <w:p w14:paraId="5E198E96" w14:textId="77777777" w:rsidR="008D479B" w:rsidRDefault="008D479B" w:rsidP="008D479B">
      <w:pPr>
        <w:pStyle w:val="TextoNormal"/>
      </w:pPr>
    </w:p>
    <w:p w14:paraId="267E22AE" w14:textId="77777777" w:rsidR="008D479B" w:rsidRDefault="008D479B" w:rsidP="008D479B">
      <w:pPr>
        <w:pStyle w:val="TextoNormal"/>
      </w:pPr>
      <w:r>
        <w:t xml:space="preserve">Añade, en fin, que la negativa a conceder una licencia de radiodifusión infringe el art. 10, apartado 1, del Convenio europeo de derechos humanos (CEDH) y cita las resoluciones del Tribunal Europeo de Derechos Humanos de 20 de octubre de 1997, asunto </w:t>
      </w:r>
      <w:r w:rsidRPr="008D479B">
        <w:rPr>
          <w:i/>
        </w:rPr>
        <w:t>Radio ABC c. Austria</w:t>
      </w:r>
      <w:r>
        <w:t xml:space="preserve">; de 23 de noviembre de 1999, asunto </w:t>
      </w:r>
      <w:r w:rsidRPr="008D479B">
        <w:rPr>
          <w:i/>
        </w:rPr>
        <w:t>Leveque c. Francia</w:t>
      </w:r>
      <w:r>
        <w:t xml:space="preserve">; de 7 de noviembre de 2000, asunto </w:t>
      </w:r>
      <w:r w:rsidRPr="008D479B">
        <w:rPr>
          <w:i/>
        </w:rPr>
        <w:t>United Christian Broadcasters Ltd. c. Reino Unido</w:t>
      </w:r>
      <w:r>
        <w:t xml:space="preserve">; de 11 de octubre de 2007, asunto </w:t>
      </w:r>
      <w:r w:rsidRPr="008D479B">
        <w:rPr>
          <w:i/>
        </w:rPr>
        <w:t>Glas Nadejda EOOD y Elenkov c. Bulgaria</w:t>
      </w:r>
      <w:r>
        <w:t xml:space="preserve">; de 17 de junio de 2008, asunto </w:t>
      </w:r>
      <w:r w:rsidRPr="008D479B">
        <w:rPr>
          <w:i/>
        </w:rPr>
        <w:t>Meltex Ltd y Movsessian c. Armenia</w:t>
      </w:r>
      <w:r>
        <w:t xml:space="preserve">, así como el dictamen del Comité de Derechos Humanos de Naciones Unidas, de 27 de octubre de 2016, en el caso </w:t>
      </w:r>
      <w:r w:rsidRPr="008D479B">
        <w:rPr>
          <w:i/>
        </w:rPr>
        <w:t>Azagade c. Azerbaiyán</w:t>
      </w:r>
      <w:r>
        <w:t>.</w:t>
      </w:r>
    </w:p>
    <w:p w14:paraId="70172DDB" w14:textId="77777777" w:rsidR="008D479B" w:rsidRDefault="008D479B" w:rsidP="008D479B">
      <w:pPr>
        <w:pStyle w:val="TextoNormal"/>
      </w:pPr>
    </w:p>
    <w:p w14:paraId="39B751FF" w14:textId="32E8F3D4" w:rsidR="008D479B" w:rsidRDefault="008D479B" w:rsidP="008D479B">
      <w:pPr>
        <w:pStyle w:val="TextoNormal"/>
      </w:pPr>
      <w:r>
        <w:t>b) En segundo lugar, considera vulnerado el derecho a la igualdad (art. 14 CE), al haberse convocado en otras comunidades autónomas concursos públicos de licencias de comunicación audiovisual. Mantiene que el art. 27.4 LGCA, al tener la consideración de normativa básica, debe aplicarse de forma similar en todo el territorio estatal y la dispar interpretación efectuada por las distintas comunidades autónomas, a juicio de la entidad recurrente, lesiona el art. 14 CE.</w:t>
      </w:r>
    </w:p>
    <w:p w14:paraId="5A4A5E0F" w14:textId="77777777" w:rsidR="008D479B" w:rsidRDefault="008D479B" w:rsidP="008D479B">
      <w:pPr>
        <w:pStyle w:val="TextoNormal"/>
      </w:pPr>
    </w:p>
    <w:p w14:paraId="1E0606F5" w14:textId="77777777" w:rsidR="008D479B" w:rsidRDefault="008D479B" w:rsidP="008D479B">
      <w:pPr>
        <w:pStyle w:val="TextoNormal"/>
      </w:pPr>
      <w:r w:rsidRPr="008D479B">
        <w:rPr>
          <w:rStyle w:val="NumeroAFNegritaCaracter"/>
        </w:rPr>
        <w:t>4</w:t>
      </w:r>
      <w:r>
        <w:t>. Por providencia de 10 de octubre de 2022, la Sección Tercera del Tribunal Constitucional acordó admitir a trámite la demanda de amparo, al apreciar que concurría en la misma una especial trascendencia constitucional [art. 50.1 de la Ley Orgánica del Tribunal Constitucional (LOTC)] porque el recurso podía dar ocasión al Tribunal para aclarar o cambiar su doctrina, como consecuencia de un proceso de reflexión interna [STC 155/2009, de 25 de junio, FJ 2 b)] y el asunto suscitado trascendía del caso concreto porque plantea una cuestión jurídica de relevante y general repercusión social o económica [STC 155/2009, FJ 2 g)].</w:t>
      </w:r>
    </w:p>
    <w:p w14:paraId="556F84E2" w14:textId="77777777" w:rsidR="008D479B" w:rsidRDefault="008D479B" w:rsidP="008D479B">
      <w:pPr>
        <w:pStyle w:val="TextoNormal"/>
      </w:pPr>
    </w:p>
    <w:p w14:paraId="1BF40178" w14:textId="50AEFEB4" w:rsidR="008D479B" w:rsidRDefault="008D479B" w:rsidP="008D479B">
      <w:pPr>
        <w:pStyle w:val="TextoNormal"/>
      </w:pPr>
      <w:r>
        <w:t>Asimismo, acordó dar cumplimiento a lo dispuesto en el art. 51 LOTC y formar la correspondiente pieza separada de suspensión, que fue concluida por ATC 163/2022, de 28 de noviembre, en el que se acordó denegar la suspensión cautelar solicitada.</w:t>
      </w:r>
    </w:p>
    <w:p w14:paraId="6F5A77A3" w14:textId="77777777" w:rsidR="008D479B" w:rsidRDefault="008D479B" w:rsidP="008D479B">
      <w:pPr>
        <w:pStyle w:val="TextoNormal"/>
      </w:pPr>
    </w:p>
    <w:p w14:paraId="04927BF8" w14:textId="652CFFB5" w:rsidR="008D479B" w:rsidRDefault="008D479B" w:rsidP="008D479B">
      <w:pPr>
        <w:pStyle w:val="TextoNormal"/>
      </w:pPr>
      <w:r w:rsidRPr="008D479B">
        <w:rPr>
          <w:rStyle w:val="NumeroAFNegritaCaracter"/>
        </w:rPr>
        <w:t>5</w:t>
      </w:r>
      <w:r>
        <w:t>. Por diligencia de ordenación de la Secretaría de Justicia de la Sección se tuvo por personada a la Comunidad Autónoma de Canarias. Y, a tenor de lo dispuesto en el art. 52 LOTC, se dio vista de las actuaciones, por un plazo común de veinte días, al Ministerio Fiscal y a las partes personadas para que dentro de dicho término pudieran presentar las alegaciones que a su derecho conviniera.</w:t>
      </w:r>
    </w:p>
    <w:p w14:paraId="543E78FA" w14:textId="77777777" w:rsidR="008D479B" w:rsidRDefault="008D479B" w:rsidP="008D479B">
      <w:pPr>
        <w:pStyle w:val="TextoNormal"/>
      </w:pPr>
    </w:p>
    <w:p w14:paraId="3E7E9DC0" w14:textId="1A76A2BF" w:rsidR="008D479B" w:rsidRDefault="008D479B" w:rsidP="008D479B">
      <w:pPr>
        <w:pStyle w:val="TextoNormal"/>
      </w:pPr>
      <w:r w:rsidRPr="008D479B">
        <w:rPr>
          <w:rStyle w:val="NumeroAFNegritaCaracter"/>
        </w:rPr>
        <w:t>6</w:t>
      </w:r>
      <w:r>
        <w:t>. La demandante de amparo presentó sus alegaciones mediante escrito registrado el 12 de diciembre de 2022 en el que reiteraba los argumentos expuestos en la demanda.</w:t>
      </w:r>
    </w:p>
    <w:p w14:paraId="59AB22F6" w14:textId="77777777" w:rsidR="008D479B" w:rsidRDefault="008D479B" w:rsidP="008D479B">
      <w:pPr>
        <w:pStyle w:val="TextoNormal"/>
      </w:pPr>
    </w:p>
    <w:p w14:paraId="7A671431" w14:textId="1484A2F2" w:rsidR="008D479B" w:rsidRDefault="008D479B" w:rsidP="008D479B">
      <w:pPr>
        <w:pStyle w:val="TextoNormal"/>
      </w:pPr>
      <w:r w:rsidRPr="008D479B">
        <w:rPr>
          <w:rStyle w:val="NumeroAFNegritaCaracter"/>
        </w:rPr>
        <w:t>7</w:t>
      </w:r>
      <w:r>
        <w:t>. La Comunidad Autónoma de Canarias, con la representación y asistencia de letrado de su servicio jurídico, presentó sus alegaciones mediante escrito registrado el 28 de diciembre de 2022, en el que rechaza que se hayan vulnerado los derechos invocados en la demanda de amparo.</w:t>
      </w:r>
    </w:p>
    <w:p w14:paraId="2A1B2F29" w14:textId="77777777" w:rsidR="008D479B" w:rsidRDefault="008D479B" w:rsidP="008D479B">
      <w:pPr>
        <w:pStyle w:val="TextoNormal"/>
      </w:pPr>
    </w:p>
    <w:p w14:paraId="5757B7D0" w14:textId="77777777" w:rsidR="008D479B" w:rsidRDefault="008D479B" w:rsidP="008D479B">
      <w:pPr>
        <w:pStyle w:val="TextoNormal"/>
      </w:pPr>
      <w:r w:rsidRPr="008D479B">
        <w:rPr>
          <w:rStyle w:val="NumeroAFNegritaCaracter"/>
        </w:rPr>
        <w:t>8</w:t>
      </w:r>
      <w:r>
        <w:t>. El Ministerio Fiscal presentó sus alegaciones mediante escrito registrado el 20 de enero de 2023 en el que solicita la desestimación del recurso de amparo.</w:t>
      </w:r>
    </w:p>
    <w:p w14:paraId="60BAEDA2" w14:textId="77777777" w:rsidR="008D479B" w:rsidRDefault="008D479B" w:rsidP="008D479B">
      <w:pPr>
        <w:pStyle w:val="TextoNormal"/>
      </w:pPr>
    </w:p>
    <w:p w14:paraId="3377F912" w14:textId="77777777" w:rsidR="008D479B" w:rsidRDefault="008D479B" w:rsidP="008D479B">
      <w:pPr>
        <w:pStyle w:val="TextoNormal"/>
      </w:pPr>
      <w:r>
        <w:t>Descarta, en primer lugar, que se haya producido una vulneración del art. 14 CE, al no existir el término válido de comparación exigido para que se produzca la vulneración, pues no se han dictado las resoluciones por los mismos órganos, ni en el caso del reproche dirigido al Tribunal Supremo concurre la identidad de supuestos exigida.</w:t>
      </w:r>
    </w:p>
    <w:p w14:paraId="011ADD37" w14:textId="77777777" w:rsidR="008D479B" w:rsidRDefault="008D479B" w:rsidP="008D479B">
      <w:pPr>
        <w:pStyle w:val="TextoNormal"/>
      </w:pPr>
    </w:p>
    <w:p w14:paraId="79C9516F" w14:textId="77777777" w:rsidR="008D479B" w:rsidRDefault="008D479B" w:rsidP="008D479B">
      <w:pPr>
        <w:pStyle w:val="TextoNormal"/>
      </w:pPr>
      <w:r>
        <w:t>Rechaza, asimismo, la vulneración del art. 20.1 a) y d) CE al existir una regulación normativa que establece el marco temporal de reserva del espacio radioeléctrico a los efectos de convocar los correspondientes concursos. Entiende que corresponde al legislador una mayor libertad de configuración normativa para disciplinar los soportes técnicos e instrumentos de comunicación, que la que posee al ordenar directamente los derechos fundamentales del art. 20.1 CE. De este modo las resoluciones administrativas y las sentencias que aplican la regulación establecida en este ámbito difícilmente pueden lesionar los derechos invocados.</w:t>
      </w:r>
    </w:p>
    <w:p w14:paraId="0AEB1311" w14:textId="77777777" w:rsidR="008D479B" w:rsidRDefault="008D479B" w:rsidP="008D479B">
      <w:pPr>
        <w:pStyle w:val="TextoNormal"/>
      </w:pPr>
    </w:p>
    <w:p w14:paraId="7258A74A" w14:textId="27F236ED" w:rsidR="008D479B" w:rsidRDefault="008D479B" w:rsidP="008D479B">
      <w:pPr>
        <w:pStyle w:val="TextoNormal"/>
      </w:pPr>
      <w:r>
        <w:t xml:space="preserve">Finalmente, considera que las resoluciones del Tribunal Europeo de Derechos Humanos citadas no son aplicables por tratarse de decisiones de inadmisión o, en el caso de la STEDH de 20 de octubre de 1997, asunto </w:t>
      </w:r>
      <w:r w:rsidRPr="008D479B">
        <w:rPr>
          <w:i/>
        </w:rPr>
        <w:t>Radio</w:t>
      </w:r>
      <w:r>
        <w:t xml:space="preserve"> </w:t>
      </w:r>
      <w:r w:rsidRPr="008D479B">
        <w:rPr>
          <w:i/>
        </w:rPr>
        <w:t>ABC c. Austria</w:t>
      </w:r>
      <w:r>
        <w:t>, porque toda la actividad se subordinaba a una concesión del legislador federal que no se produjo, situación que se mantuvo durante tres periodos de tiempo, supuesto distinto al contemplado en la regulación española.</w:t>
      </w:r>
    </w:p>
    <w:p w14:paraId="1F875B4C" w14:textId="77777777" w:rsidR="008D479B" w:rsidRDefault="008D479B" w:rsidP="008D479B">
      <w:pPr>
        <w:pStyle w:val="TextoNormal"/>
      </w:pPr>
    </w:p>
    <w:p w14:paraId="1D1CCFBB" w14:textId="1A52D5D4" w:rsidR="008D479B" w:rsidRDefault="008D479B" w:rsidP="008D479B">
      <w:pPr>
        <w:pStyle w:val="TextoNormal"/>
      </w:pPr>
      <w:r w:rsidRPr="008D479B">
        <w:rPr>
          <w:rStyle w:val="NumeroAFNegritaCaracter"/>
        </w:rPr>
        <w:t>9</w:t>
      </w:r>
      <w:r>
        <w:t>. Por diligencia de ordenación de 27 de enero de 2023, el secretario de justicia de la Sección Primera de la Sala Segunda de este tribunal puso en conocimiento de las partes que, en virtud del acuerdo del Pleno del Tribunal Constitucional de 17 de enero de 2023, publicado en el “Boletín Oficial del Estado” de 19 de enero de 2023, el presente recurso de amparo fue turnado a la citada sección.</w:t>
      </w:r>
    </w:p>
    <w:p w14:paraId="5601D329" w14:textId="77777777" w:rsidR="008D479B" w:rsidRDefault="008D479B" w:rsidP="008D479B">
      <w:pPr>
        <w:pStyle w:val="TextoNormal"/>
      </w:pPr>
    </w:p>
    <w:p w14:paraId="1431BE58" w14:textId="5360005F" w:rsidR="008D479B" w:rsidRDefault="008D479B" w:rsidP="008D479B">
      <w:pPr>
        <w:pStyle w:val="TextoNormal"/>
      </w:pPr>
      <w:r w:rsidRPr="008D479B">
        <w:rPr>
          <w:rStyle w:val="NumeroAFNegritaCaracter"/>
        </w:rPr>
        <w:t>10</w:t>
      </w:r>
      <w:r>
        <w:t>. Por providencia de 21 de septiembre de 2023 se señaló para deliberación y votación de la presente sentencia el día 25 del mismo mes y año.</w:t>
      </w:r>
    </w:p>
    <w:p w14:paraId="51B493EC" w14:textId="77777777" w:rsidR="008D479B" w:rsidRDefault="008D479B" w:rsidP="008D479B">
      <w:pPr>
        <w:pStyle w:val="TextoNormal"/>
      </w:pPr>
    </w:p>
    <w:p w14:paraId="7CE523A4" w14:textId="77777777" w:rsidR="008D479B" w:rsidRDefault="008D479B" w:rsidP="008D479B">
      <w:pPr>
        <w:pStyle w:val="TextoNormalNegritaCentrado"/>
        <w:keepNext/>
      </w:pPr>
      <w:r>
        <w:t>II. Fundamentos jurídicos</w:t>
      </w:r>
    </w:p>
    <w:p w14:paraId="4C1031AE" w14:textId="244EC4EB" w:rsidR="008D479B" w:rsidRDefault="008D479B" w:rsidP="008D479B">
      <w:pPr>
        <w:pStyle w:val="TextoNormalNegritaCentrado"/>
        <w:keepNext/>
      </w:pPr>
    </w:p>
    <w:p w14:paraId="4FBE6456" w14:textId="77777777" w:rsidR="008D479B" w:rsidRDefault="008D479B" w:rsidP="008D479B">
      <w:pPr>
        <w:pStyle w:val="TextoNormal"/>
      </w:pPr>
      <w:r w:rsidRPr="008D479B">
        <w:rPr>
          <w:rStyle w:val="NumeroAFNegritaCaracter"/>
        </w:rPr>
        <w:t>1</w:t>
      </w:r>
      <w:r>
        <w:t xml:space="preserve">. </w:t>
      </w:r>
      <w:r w:rsidRPr="008D479B">
        <w:rPr>
          <w:i/>
        </w:rPr>
        <w:t>Objeto del recurso</w:t>
      </w:r>
    </w:p>
    <w:p w14:paraId="10AAE311" w14:textId="77777777" w:rsidR="008D479B" w:rsidRDefault="008D479B" w:rsidP="008D479B">
      <w:pPr>
        <w:pStyle w:val="TextoNormal"/>
      </w:pPr>
    </w:p>
    <w:p w14:paraId="6B315820" w14:textId="04B5E9AE" w:rsidR="008D479B" w:rsidRDefault="008D479B" w:rsidP="008D479B">
      <w:pPr>
        <w:pStyle w:val="TextoNormal"/>
      </w:pPr>
      <w:r>
        <w:t>El objeto de este recurso es determinar si la resolución 110-2018, de 20 de diciembre, de la Viceconsejería de Comunicación y Relaciones con los Medios de Canarias, por la que se acuerda el archivo de la solicitud de convocatoria de concurso público para el otorgamiento de licencias de comunicación audiovisual de radiodifusión sonora digital terrenal con cobertura local en la Comunidad Autónoma de Canarias, por haber desaparecido el objeto del procedimiento, vulnera los derechos fundamentales a la libertad de información, comunicación y expresión [art. 20.1 a) y d) CE], en relación con el art. 14 CE.</w:t>
      </w:r>
    </w:p>
    <w:p w14:paraId="0E2FAAFF" w14:textId="77777777" w:rsidR="008D479B" w:rsidRDefault="008D479B" w:rsidP="008D479B">
      <w:pPr>
        <w:pStyle w:val="TextoNormal"/>
      </w:pPr>
    </w:p>
    <w:p w14:paraId="54619607" w14:textId="77777777" w:rsidR="008D479B" w:rsidRDefault="008D479B" w:rsidP="008D479B">
      <w:pPr>
        <w:pStyle w:val="TextoNormal"/>
      </w:pPr>
      <w:r w:rsidRPr="008D479B">
        <w:rPr>
          <w:rStyle w:val="NumeroAFNegritaCaracter"/>
        </w:rPr>
        <w:t>2</w:t>
      </w:r>
      <w:r>
        <w:t xml:space="preserve">. </w:t>
      </w:r>
      <w:r w:rsidRPr="008D479B">
        <w:rPr>
          <w:i/>
        </w:rPr>
        <w:t>Remisión a lo resuelto en la STC 89/2023, de 18 de julio</w:t>
      </w:r>
    </w:p>
    <w:p w14:paraId="36F08688" w14:textId="77777777" w:rsidR="008D479B" w:rsidRDefault="008D479B" w:rsidP="008D479B">
      <w:pPr>
        <w:pStyle w:val="TextoNormal"/>
      </w:pPr>
    </w:p>
    <w:p w14:paraId="34AAECAD" w14:textId="49F7A711" w:rsidR="008D479B" w:rsidRDefault="008D479B" w:rsidP="008D479B">
      <w:pPr>
        <w:pStyle w:val="TextoNormal"/>
      </w:pPr>
      <w:r>
        <w:t>El problema constitucional que se plantea en este proceso de amparo es coincidente con el resuelto en la STC 89/2023, de 18 de julio, que excluyó que la actuación administrativa impugnada, en cuanto denegó la convocatoria del concurso solicitado para la concesión de licencias de prestación de servicios audiovisuales, vulnerara los derechos a expresar y difundir libremente los pensamientos, ideas y opiniones mediante la palabra, el escrito o cualquier otro medio de reproducción [art. 20.1 a) CE] y a comunicar o recibir libremente información veraz por cualquier medio de difusión [art. 20.1 d) CE], en relación con el principio de igualdad (art. 14 CE), lo que determina que, por idénticas razones, proceda desestimar el presente recurso de amparo.</w:t>
      </w:r>
    </w:p>
    <w:p w14:paraId="3A16A8AE" w14:textId="77777777" w:rsidR="008D479B" w:rsidRDefault="008D479B" w:rsidP="008D479B">
      <w:pPr>
        <w:pStyle w:val="TextoNormal"/>
      </w:pPr>
    </w:p>
    <w:p w14:paraId="14FE31C3" w14:textId="77777777" w:rsidR="008D479B" w:rsidRDefault="008D479B" w:rsidP="008D479B">
      <w:pPr>
        <w:pStyle w:val="TextoNormalCentrado"/>
        <w:keepNext/>
      </w:pPr>
      <w:r>
        <w:t>FALLO</w:t>
      </w:r>
    </w:p>
    <w:p w14:paraId="6BB196B9" w14:textId="16F01FBC" w:rsidR="008D479B" w:rsidRDefault="008D479B" w:rsidP="008D479B">
      <w:pPr>
        <w:pStyle w:val="TextoNormalCentrado"/>
        <w:keepNext/>
      </w:pPr>
    </w:p>
    <w:p w14:paraId="7D377E03" w14:textId="54EA3D7D" w:rsidR="008D479B" w:rsidRDefault="008D479B" w:rsidP="008D479B">
      <w:pPr>
        <w:pStyle w:val="TextoNormal"/>
      </w:pPr>
      <w:r>
        <w:t>En atención a todo lo expuesto, el Tribunal Constitucional, por la autoridad que le confiere la Constitución de la Nación española, ha decidido desestimar el recurso de amparo interpuesto por Emplazamientos Radiales, S.L.</w:t>
      </w:r>
    </w:p>
    <w:p w14:paraId="4366F182" w14:textId="77777777" w:rsidR="008D479B" w:rsidRDefault="008D479B" w:rsidP="008D479B">
      <w:pPr>
        <w:pStyle w:val="TextoNormal"/>
      </w:pPr>
    </w:p>
    <w:p w14:paraId="0226DC34" w14:textId="77777777" w:rsidR="008D479B" w:rsidRDefault="008D479B" w:rsidP="008D479B">
      <w:pPr>
        <w:pStyle w:val="TextoNormal"/>
      </w:pPr>
      <w:r>
        <w:t>Publíquese esta sentencia en el “Boletín Oficial del Estado”.</w:t>
      </w:r>
    </w:p>
    <w:p w14:paraId="036B7017" w14:textId="77777777" w:rsidR="008D479B" w:rsidRDefault="008D479B" w:rsidP="008D479B">
      <w:pPr>
        <w:pStyle w:val="TextoNormal"/>
      </w:pPr>
      <w:r>
        <w:t>Dada en Madrid, a veinticinco de septiembre de dos mil veintitrés.</w:t>
      </w:r>
    </w:p>
    <w:p w14:paraId="7DF5AECB" w14:textId="27DA7947" w:rsidR="008D479B" w:rsidRDefault="008D479B" w:rsidP="008D479B">
      <w:pPr>
        <w:pStyle w:val="ParrafoNormal"/>
      </w:pPr>
    </w:p>
    <w:p w14:paraId="6E7F9117" w14:textId="77777777" w:rsidR="008D479B" w:rsidRDefault="008D479B" w:rsidP="008D479B">
      <w:pPr>
        <w:pStyle w:val="TextoNormalNegritaCentrado"/>
        <w:keepNext/>
      </w:pPr>
      <w:r>
        <w:t>Voto particular concurrente que formula la magistrada doña Concepción Espejel Jorquera a la sentencia dictada en el recurso de amparo número 1096-2021</w:t>
      </w:r>
    </w:p>
    <w:p w14:paraId="0E93A6AA" w14:textId="516D7071" w:rsidR="008D479B" w:rsidRDefault="008D479B" w:rsidP="008D479B">
      <w:pPr>
        <w:pStyle w:val="TextoNormalNegritaCentrado"/>
        <w:keepNext/>
      </w:pPr>
    </w:p>
    <w:p w14:paraId="33E0E52E" w14:textId="77777777" w:rsidR="008D479B" w:rsidRDefault="008D479B" w:rsidP="008D479B">
      <w:pPr>
        <w:pStyle w:val="TextoNormal"/>
      </w:pPr>
      <w:r>
        <w:t>En el ejercicio de la facultad que me confiere el artículo 90.2 de la Ley Orgánica del Tribunal Constitucional, y con respeto a la opinión de mis compañeros, formulo voto particular concurrente respecto de la sentencia recaída en el presente recurso de amparo, conforme a los argumentos que ya tuve ocasión de exponer durante su deliberación en la Sala remitiéndome al voto particular que formulé a la STC 89/2023, de 18 de julio, a la que se remite la presente resolución.</w:t>
      </w:r>
    </w:p>
    <w:p w14:paraId="7C52667B" w14:textId="77777777" w:rsidR="008D479B" w:rsidRDefault="008D479B" w:rsidP="008D479B">
      <w:pPr>
        <w:pStyle w:val="TextoNormal"/>
      </w:pPr>
    </w:p>
    <w:p w14:paraId="59BFE2EA" w14:textId="2C441E55" w:rsidR="008D479B" w:rsidRDefault="008D479B" w:rsidP="008D479B">
      <w:pPr>
        <w:pStyle w:val="TextoNormal"/>
      </w:pPr>
      <w:r>
        <w:t>Madrid, a veinticinco de septiembre de dos mil veintitrés.</w:t>
      </w:r>
    </w:p>
    <w:p w14:paraId="2D0BE265" w14:textId="3BF90D77" w:rsidR="008D479B" w:rsidRDefault="008D479B">
      <w:pPr>
        <w:spacing w:after="160" w:line="278" w:lineRule="auto"/>
        <w:rPr>
          <w:rFonts w:ascii="Times New Roman" w:eastAsia="Times New Roman" w:hAnsi="Times New Roman" w:cs="Times New Roman"/>
          <w:sz w:val="24"/>
          <w:szCs w:val="24"/>
          <w:lang w:eastAsia="es-ES"/>
        </w:rPr>
      </w:pPr>
      <w:r>
        <w:br w:type="page"/>
      </w:r>
    </w:p>
    <w:p w14:paraId="7EAB03B8" w14:textId="77777777" w:rsidR="008D479B" w:rsidRDefault="008D479B" w:rsidP="008D479B">
      <w:pPr>
        <w:pStyle w:val="TtuloResolucin"/>
      </w:pPr>
      <w:bookmarkStart w:id="36" w:name="SENTENCIA_2023_111"/>
      <w:r>
        <w:t>SENTENCIA 111/2023, de 25 de septiembre de 2023</w:t>
      </w:r>
    </w:p>
    <w:bookmarkEnd w:id="36"/>
    <w:p w14:paraId="11772DBB" w14:textId="77777777" w:rsidR="008D479B" w:rsidRDefault="008D479B" w:rsidP="008D479B">
      <w:pPr>
        <w:pStyle w:val="TtuloResolucin"/>
      </w:pPr>
      <w:r>
        <w:t>Sala Primera</w:t>
      </w:r>
    </w:p>
    <w:p w14:paraId="7B419B93" w14:textId="77777777" w:rsidR="008D479B" w:rsidRDefault="008D479B" w:rsidP="008D479B">
      <w:pPr>
        <w:pStyle w:val="TtuloBOE"/>
      </w:pPr>
      <w:r>
        <w:t>(BOE núm. 261, de 1 de noviembre de 2023)</w:t>
      </w:r>
    </w:p>
    <w:p w14:paraId="07A9A2A5" w14:textId="77777777" w:rsidR="008D479B" w:rsidRDefault="008D479B" w:rsidP="008D479B">
      <w:pPr>
        <w:pStyle w:val="TextoNormalCentrado"/>
      </w:pPr>
      <w:r>
        <w:t>ECLI:ES:TC:2023:111</w:t>
      </w:r>
    </w:p>
    <w:p w14:paraId="033E4ADD" w14:textId="07CABC62" w:rsidR="008D479B" w:rsidRDefault="008D479B" w:rsidP="008D479B">
      <w:pPr>
        <w:pStyle w:val="TextoNormalCentrado"/>
      </w:pPr>
    </w:p>
    <w:p w14:paraId="150C8722" w14:textId="77777777" w:rsidR="008D479B" w:rsidRDefault="008D479B" w:rsidP="008D479B">
      <w:pPr>
        <w:pStyle w:val="SntesisDescriptiva"/>
      </w:pPr>
      <w:r>
        <w:t>Recurso de amparo 1168-2021. Promovido por Logondi Comunicación, S.L., respecto de las resoluciones de la administración de la Comunidad Autónoma de Cantabria que rechazaron su solicitud de convocatoria de concurso público para la adjudicación de licencias disponibles de comunicación audiovisual de radiodifusión sonora digital terrestre de ámbito local.</w:t>
      </w:r>
    </w:p>
    <w:p w14:paraId="4B9CA2FB" w14:textId="5993C57F" w:rsidR="008D479B" w:rsidRDefault="008D479B" w:rsidP="008D479B">
      <w:pPr>
        <w:pStyle w:val="SntesisDescriptiva"/>
      </w:pPr>
    </w:p>
    <w:p w14:paraId="51E9763A" w14:textId="77777777" w:rsidR="008D479B" w:rsidRDefault="008D479B" w:rsidP="008D479B">
      <w:pPr>
        <w:pStyle w:val="SntesisAnaltica"/>
      </w:pPr>
      <w:r>
        <w:t>Supuesta vulneración del derecho a la igualdad y a las libertades de expresión e información: STC 89/2023 (resolución administrativa que no resulta desproporcionada y que viene impuesta por la inexistencia de reserva de dominio público radioeléctrico). Voto particular.</w:t>
      </w:r>
    </w:p>
    <w:p w14:paraId="15031110" w14:textId="20254C36" w:rsidR="008D479B" w:rsidRDefault="008D479B" w:rsidP="008D479B">
      <w:pPr>
        <w:pStyle w:val="SntesisAnaltica"/>
      </w:pPr>
    </w:p>
    <w:p w14:paraId="524611D4" w14:textId="1D3C18AA" w:rsidR="008D479B" w:rsidRDefault="008D479B" w:rsidP="008D479B">
      <w:pPr>
        <w:pStyle w:val="Extracto"/>
      </w:pPr>
      <w:r>
        <w:t>1.</w:t>
      </w:r>
      <w:r>
        <w:tab/>
        <w:t xml:space="preserve">Remisión a la STC 89/2023 que declaró respetados los derechos a expresar y difundir libremente los pensamientos, ideas y opiniones, así como a comunicar o recibir libremente información veraz por cualquier medio de difusión, consagrados en el art. 20.1 a) y d) CE, en relación con el principio de igualdad reconocido en el art. 14 CE, por parte de la actuación administrativa denegatoria de convocatoria de concurso para la concesión de licencias de prestación de servicios audiovisuales </w:t>
      </w:r>
    </w:p>
    <w:p w14:paraId="5CC27DE1" w14:textId="77777777" w:rsidR="008D479B" w:rsidRDefault="008D479B" w:rsidP="008D479B">
      <w:pPr>
        <w:pStyle w:val="Extracto"/>
      </w:pPr>
    </w:p>
    <w:p w14:paraId="1764D9D5" w14:textId="77777777" w:rsidR="008D479B" w:rsidRDefault="008D479B" w:rsidP="008D479B">
      <w:pPr>
        <w:pStyle w:val="Extracto"/>
      </w:pPr>
    </w:p>
    <w:p w14:paraId="18ED831E" w14:textId="77777777" w:rsidR="008D479B" w:rsidRDefault="008D479B" w:rsidP="008D479B">
      <w:pPr>
        <w:pStyle w:val="TextoNormal"/>
      </w:pPr>
      <w:r>
        <w:t>La Sala Primera del Tribunal Constitucional, compuesta por el magistrado don Cándido Conde-Pumpido Tourón, presidente, y los magistrados y magistradas don Ricardo Enríquez Sancho, doña Concepción Espejel Jorquera, doña María Luisa Segoviano Astaburuaga y don Juan Carlos Campo Moreno, ha pronunciado</w:t>
      </w:r>
    </w:p>
    <w:p w14:paraId="520F77AE" w14:textId="624C01CA" w:rsidR="008D479B" w:rsidRDefault="008D479B" w:rsidP="008D479B">
      <w:pPr>
        <w:pStyle w:val="TextoNormal"/>
      </w:pPr>
    </w:p>
    <w:p w14:paraId="4450D83A" w14:textId="77777777" w:rsidR="008D479B" w:rsidRDefault="008D479B" w:rsidP="008D479B">
      <w:pPr>
        <w:pStyle w:val="TextoNormalCentrado"/>
        <w:keepNext/>
      </w:pPr>
      <w:r>
        <w:t>EN NOMBRE DEL REY</w:t>
      </w:r>
    </w:p>
    <w:p w14:paraId="64A1EE0D" w14:textId="3336470F" w:rsidR="008D479B" w:rsidRDefault="008D479B" w:rsidP="008D479B">
      <w:pPr>
        <w:pStyle w:val="TextoNormalCentrado"/>
        <w:keepNext/>
      </w:pPr>
    </w:p>
    <w:p w14:paraId="1CCFD495" w14:textId="77777777" w:rsidR="008D479B" w:rsidRDefault="008D479B" w:rsidP="008D479B">
      <w:pPr>
        <w:pStyle w:val="TextoNormalCentrado"/>
        <w:keepNext/>
      </w:pPr>
    </w:p>
    <w:p w14:paraId="2D74A1A9" w14:textId="77777777" w:rsidR="008D479B" w:rsidRDefault="008D479B" w:rsidP="008D479B">
      <w:pPr>
        <w:pStyle w:val="TextoNormal"/>
      </w:pPr>
      <w:r>
        <w:t>la siguiente</w:t>
      </w:r>
    </w:p>
    <w:p w14:paraId="3BA05A59" w14:textId="11B6D0CA" w:rsidR="008D479B" w:rsidRDefault="008D479B" w:rsidP="008D479B">
      <w:pPr>
        <w:pStyle w:val="TextoNormal"/>
      </w:pPr>
    </w:p>
    <w:p w14:paraId="598798DB" w14:textId="77777777" w:rsidR="008D479B" w:rsidRDefault="008D479B" w:rsidP="008D479B">
      <w:pPr>
        <w:pStyle w:val="TextoNormalCentrado"/>
        <w:keepNext/>
      </w:pPr>
      <w:r>
        <w:t>SENTENCIA</w:t>
      </w:r>
    </w:p>
    <w:p w14:paraId="5AFF0572" w14:textId="0480BAB6" w:rsidR="008D479B" w:rsidRDefault="008D479B" w:rsidP="008D479B">
      <w:pPr>
        <w:pStyle w:val="TextoNormalCentrado"/>
        <w:keepNext/>
      </w:pPr>
    </w:p>
    <w:p w14:paraId="6224B13B" w14:textId="77777777" w:rsidR="008D479B" w:rsidRDefault="008D479B" w:rsidP="008D479B">
      <w:pPr>
        <w:pStyle w:val="TextoNormal"/>
      </w:pPr>
      <w:r>
        <w:t>En el recurso de amparo número 1168-2021, promovido por Logondi Comunicación, S.L., representada por el procurador de los tribunales don José Carlos García Rodríguez y asistida por el abogado don Jaime Rodríguez Díez, contra el acuerdo del Consejo de Gobierno de la Comunidad Autónoma de Cantabria de 22 de noviembre de 2018, por el que se desestima el recurso de alzada interpuesto contra la desestimación presunta de la solicitud de convocatoria de concurso público de licencias de comunicación audiovisual de radiodifusión sonora digital en la citada comunidad autónoma. Ha comparecido la referida comunidad autónoma y ha intervenido el Ministerio Fiscal. Ha sido ponente el magistrado don Juan Carlos Campo Moreno.</w:t>
      </w:r>
    </w:p>
    <w:p w14:paraId="555C561A" w14:textId="0FF91844" w:rsidR="008D479B" w:rsidRDefault="008D479B" w:rsidP="008D479B">
      <w:pPr>
        <w:pStyle w:val="TextoNormal"/>
      </w:pPr>
    </w:p>
    <w:p w14:paraId="65F89423" w14:textId="77777777" w:rsidR="008D479B" w:rsidRDefault="008D479B" w:rsidP="008D479B">
      <w:pPr>
        <w:pStyle w:val="TextoNormalNegritaCentrado"/>
        <w:keepNext/>
      </w:pPr>
      <w:r>
        <w:t>I. Antecedentes</w:t>
      </w:r>
    </w:p>
    <w:p w14:paraId="2E5AB8F1" w14:textId="6975C44C" w:rsidR="008D479B" w:rsidRDefault="008D479B" w:rsidP="008D479B">
      <w:pPr>
        <w:pStyle w:val="TextoNormalNegritaCentrado"/>
        <w:keepNext/>
      </w:pPr>
    </w:p>
    <w:p w14:paraId="0293B66F" w14:textId="2C8A13FE" w:rsidR="008D479B" w:rsidRDefault="008D479B" w:rsidP="008D479B">
      <w:pPr>
        <w:pStyle w:val="TextoNormal"/>
      </w:pPr>
      <w:r w:rsidRPr="008D479B">
        <w:rPr>
          <w:rStyle w:val="NumeroAFNegritaCaracter"/>
        </w:rPr>
        <w:t>1</w:t>
      </w:r>
      <w:r>
        <w:t>. Mediante escrito presentado en el registro general de este tribunal el 2 de marzo de 2021, el procurador de los tribunales don José Carlos García Rodríguez, actuando en nombre y representación de Logondi Comunicación, S.L., bajo la defensa del letrado don Jaime Rodríguez Díez, interpuso demanda de amparo contra el acuerdo arriba mencionado.</w:t>
      </w:r>
    </w:p>
    <w:p w14:paraId="20771A50" w14:textId="77777777" w:rsidR="008D479B" w:rsidRDefault="008D479B" w:rsidP="008D479B">
      <w:pPr>
        <w:pStyle w:val="TextoNormal"/>
      </w:pPr>
    </w:p>
    <w:p w14:paraId="0A77932D" w14:textId="77777777" w:rsidR="008D479B" w:rsidRDefault="008D479B" w:rsidP="008D479B">
      <w:pPr>
        <w:pStyle w:val="TextoNormal"/>
      </w:pPr>
      <w:r w:rsidRPr="008D479B">
        <w:rPr>
          <w:rStyle w:val="NumeroAFNegritaCaracter"/>
        </w:rPr>
        <w:t>2</w:t>
      </w:r>
      <w:r>
        <w:t>. Los hechos con relevancia para la resolución del presente recurso de amparo y a los que se refiere la demanda presentada son los siguientes:</w:t>
      </w:r>
    </w:p>
    <w:p w14:paraId="01887B86" w14:textId="77777777" w:rsidR="008D479B" w:rsidRDefault="008D479B" w:rsidP="008D479B">
      <w:pPr>
        <w:pStyle w:val="TextoNormal"/>
      </w:pPr>
    </w:p>
    <w:p w14:paraId="33C4100A" w14:textId="77777777" w:rsidR="008D479B" w:rsidRDefault="008D479B" w:rsidP="008D479B">
      <w:pPr>
        <w:pStyle w:val="TextoNormal"/>
      </w:pPr>
      <w:r>
        <w:t>a) La entidad Logondi Comunicación, S.L., interpuso recurso contencioso administrativo contra el acuerdo del Consejo de Gobierno de la Comunidad Autónoma de Cantabria de 22 de noviembre de 2018, por el que se desestima el recurso de alzada interpuesto contra la desestimación presunta de su solicitud de convocatoria de concurso público de licencias de comunicación audiovisual de radiodifusión sonora digital en la citada comunidad autónoma.</w:t>
      </w:r>
    </w:p>
    <w:p w14:paraId="61A88287" w14:textId="77777777" w:rsidR="008D479B" w:rsidRDefault="008D479B" w:rsidP="008D479B">
      <w:pPr>
        <w:pStyle w:val="TextoNormal"/>
      </w:pPr>
    </w:p>
    <w:p w14:paraId="0650886B" w14:textId="77777777" w:rsidR="008D479B" w:rsidRDefault="008D479B" w:rsidP="008D479B">
      <w:pPr>
        <w:pStyle w:val="TextoNormal"/>
      </w:pPr>
      <w:r>
        <w:t>b) La Sala de lo Contencioso-Administrativo del Tribunal Superior de Justicia de Cantabria desestimó el recurso interpuesto por sentencia de 21 de febrero de 2020 al concluir que declarada extinguida la planificación radioeléctrica no cabe exigir la convocatoria de las reservas de dominio público incluidas en la misma, sin que ello vulnere el carácter reglado que se confiere a la norma, el deber de convocar todas las licencias disponibles vacantes, el interés general o los derechos constitucionales a la libertad de expresión e información o a la libertad de empresa.</w:t>
      </w:r>
    </w:p>
    <w:p w14:paraId="17777A24" w14:textId="77777777" w:rsidR="008D479B" w:rsidRDefault="008D479B" w:rsidP="008D479B">
      <w:pPr>
        <w:pStyle w:val="TextoNormal"/>
      </w:pPr>
    </w:p>
    <w:p w14:paraId="463BC562" w14:textId="77777777" w:rsidR="008D479B" w:rsidRDefault="008D479B" w:rsidP="008D479B">
      <w:pPr>
        <w:pStyle w:val="TextoNormal"/>
      </w:pPr>
      <w:r>
        <w:t>c) Frente a dicha sentencia la representación procesal de la mercantil ahora recurrente en amparo interpuso recurso de casación, que fue desestimado por sentencia de la Sección Tercera de la Sala de lo Contencioso-Administrativo del Tribunal Supremo de 22 de febrero de 2021.</w:t>
      </w:r>
    </w:p>
    <w:p w14:paraId="499700F3" w14:textId="77777777" w:rsidR="008D479B" w:rsidRDefault="008D479B" w:rsidP="008D479B">
      <w:pPr>
        <w:pStyle w:val="TextoNormal"/>
      </w:pPr>
    </w:p>
    <w:p w14:paraId="738CABE8" w14:textId="77777777" w:rsidR="008D479B" w:rsidRDefault="008D479B" w:rsidP="008D479B">
      <w:pPr>
        <w:pStyle w:val="TextoNormal"/>
      </w:pPr>
      <w:r>
        <w:t>Atendiendo al interés casacional advertido en el auto de admisión a trámite, la sentencia de casación expone la existencia de dos criterios jurisdiccionales distintos entre los diferentes tribunales superiores de justicia y distingue el caso que se le plantea, relativo a las circunstancias de aplicación y a los efectos que los plazos prevenidos en el art. 27.4 de la Ley general de la comunicación audiovisual (LGCA) puedan tener sobre los planes técnicos y sobre la cobertura de las licencias vacantes, de otros examinados por el propio tribunal.</w:t>
      </w:r>
    </w:p>
    <w:p w14:paraId="3A2EEA36" w14:textId="77777777" w:rsidR="008D479B" w:rsidRDefault="008D479B" w:rsidP="008D479B">
      <w:pPr>
        <w:pStyle w:val="TextoNormal"/>
      </w:pPr>
    </w:p>
    <w:p w14:paraId="7230744C" w14:textId="47154FDC" w:rsidR="008D479B" w:rsidRDefault="008D479B" w:rsidP="008D479B">
      <w:pPr>
        <w:pStyle w:val="TextoNormal"/>
      </w:pPr>
      <w:r>
        <w:t>Colige que nada hay en el art. 27 LGCA que pueda considerarse irrazonable o indebidamente restrictivo, en particular, al prever que el no aprovechamiento de espacios reservados al dominio público radioeléctrico para servicios de radiodifusión en un plazo concreto de tiempo tras la aprobación de la planificación correspondiente hace decaer dicha reserva. Tampoco considera que la aplicación del art. 27.4 LGCA incurra en prohibición de irretroactividad porque se proyecte sobre una planificación técnica aprobada con anterioridad a la entrada en vigor de la de la Ley general de la comunicación audiovisual, concluyendo que “de conformidad con lo dispuesto en el artículo 27.4 de la Ley general de comunicación audiovisual, el transcurso de los plazos estipulados en dicho precepto tras la aprobación de un plan técnico nacional de un servicio de radio o televisión, sin que la administración haya solicitado la afectación al servicio público de radio o televisión de que se trate de la reserva de dominio prevista en el citado plan o se haya convocado concurso para el otorgamiento de licencias, y sin que ningún interesado haya solicitado dicha convocatoria, la reserva de dominio decaerá y será excluida de la planificación. En consecuencia y dados tales presupuestos, la administración no estaría ya obligada a la convocatoria de concurso a solicitud de cualquier interesado hasta que se efectúe una nueva reserva de dominio y se produzca la correspondiente afectación al servicio público de radio o televisión”.</w:t>
      </w:r>
    </w:p>
    <w:p w14:paraId="42FD08DC" w14:textId="77777777" w:rsidR="008D479B" w:rsidRDefault="008D479B" w:rsidP="008D479B">
      <w:pPr>
        <w:pStyle w:val="TextoNormal"/>
      </w:pPr>
    </w:p>
    <w:p w14:paraId="6EAC3767" w14:textId="77777777" w:rsidR="008D479B" w:rsidRDefault="008D479B" w:rsidP="008D479B">
      <w:pPr>
        <w:pStyle w:val="TextoNormal"/>
      </w:pPr>
      <w:r w:rsidRPr="008D479B">
        <w:rPr>
          <w:rStyle w:val="NumeroAFNegritaCaracter"/>
        </w:rPr>
        <w:t>3</w:t>
      </w:r>
      <w:r>
        <w:t>. En la demanda de amparo se alegan las siguientes vulneraciones constitucionales:</w:t>
      </w:r>
    </w:p>
    <w:p w14:paraId="3AE59FA3" w14:textId="77777777" w:rsidR="008D479B" w:rsidRDefault="008D479B" w:rsidP="008D479B">
      <w:pPr>
        <w:pStyle w:val="TextoNormal"/>
      </w:pPr>
    </w:p>
    <w:p w14:paraId="0D3C5BFD" w14:textId="77777777" w:rsidR="008D479B" w:rsidRDefault="008D479B" w:rsidP="008D479B">
      <w:pPr>
        <w:pStyle w:val="TextoNormal"/>
      </w:pPr>
      <w:r>
        <w:t>a) Afirma que la negativa a convocar un concurso público por parte del Gobierno de la Comunidad Autónoma de Cantabria amparándose en el transcurso de un plazo imputable a su propia inactividad y el consiguiente decaimiento de la planificación del espacio radioeléctrico ha imposibilitado el ejercicio de los derechos fundamentales a la libertad de información, comunicación y expresión, en relación con el art. 14 CE, en concreto, de su derecho a crear los medios de comunicación indispensables para el ejercicio del derecho a expresar y difundir libremente los pensamientos, ideas y opiniones mediante la palabra, el escrito o cualquier otro medio de reproducción [art. 20.1 a) CE] y a comunicar o recibir libremente información veraz por cualquier medio de difusión [art. 20.1 d) CE]. Entiende que prevalece el deber de convocar el concurso de adjudicación (art. 27.2 LGCA) sobre el eventual decaimiento de la reserva del espectro radioeléctrico (art. 27.4 LGCA) por lo que ha sido la inacción de la administración pública la causante de que no se haya aprovechado el espectro que el Estado ha otorgado a la comunidad autónoma, lo que invalida el acto recurrido por ser contrario a los derechos invocados. Alega que otras comunidades autónomas han procedido a efectuar los concursos de licencias más allá del plazo establecido y que la negativa a convocar los concursos de adjudicación de licencias vacantes es incompatible con la Directiva 2018/1972, de 11 de diciembre, por la que se establece el Código europeo de las comunicaciones electrónicas, por crear barreras de acceso al mercado e inutilizar el espectro radioeléctrico.</w:t>
      </w:r>
    </w:p>
    <w:p w14:paraId="593F598C" w14:textId="77777777" w:rsidR="008D479B" w:rsidRDefault="008D479B" w:rsidP="008D479B">
      <w:pPr>
        <w:pStyle w:val="TextoNormal"/>
      </w:pPr>
    </w:p>
    <w:p w14:paraId="4A8F7F74" w14:textId="77777777" w:rsidR="008D479B" w:rsidRDefault="008D479B" w:rsidP="008D479B">
      <w:pPr>
        <w:pStyle w:val="TextoNormal"/>
      </w:pPr>
      <w:r>
        <w:t>Sostiene también que existe una patente contradicción entre las sentencias del Tribunal Supremo al diferenciar incorrectamente entre licencias de televisión digital y licencias de radiodifusión digital para la protección de los derechos fundamentales.</w:t>
      </w:r>
    </w:p>
    <w:p w14:paraId="2EFBADBE" w14:textId="77777777" w:rsidR="008D479B" w:rsidRDefault="008D479B" w:rsidP="008D479B">
      <w:pPr>
        <w:pStyle w:val="TextoNormal"/>
      </w:pPr>
    </w:p>
    <w:p w14:paraId="6DF65E9E" w14:textId="77777777" w:rsidR="008D479B" w:rsidRDefault="008D479B" w:rsidP="008D479B">
      <w:pPr>
        <w:pStyle w:val="TextoNormal"/>
      </w:pPr>
      <w:r>
        <w:t xml:space="preserve">Añade, en fin, que la negativa a conceder una licencia de radiodifusión infringe el art. 10, apartado 1, del Convenio europeo de derechos humanos (CEDH) y cita las resoluciones del Tribunal Europeo de Derechos Humanos de 20 de octubre de 1997, asunto </w:t>
      </w:r>
      <w:r w:rsidRPr="008D479B">
        <w:rPr>
          <w:i/>
        </w:rPr>
        <w:t>Radio ABC c. Austria</w:t>
      </w:r>
      <w:r>
        <w:t xml:space="preserve">; de 23 de noviembre de 1999, asunto </w:t>
      </w:r>
      <w:r w:rsidRPr="008D479B">
        <w:rPr>
          <w:i/>
        </w:rPr>
        <w:t>Leveque c. Francia</w:t>
      </w:r>
      <w:r>
        <w:t xml:space="preserve">; de 7 de noviembre de 2000, asunto </w:t>
      </w:r>
      <w:r w:rsidRPr="008D479B">
        <w:rPr>
          <w:i/>
        </w:rPr>
        <w:t>United Christian Broadcasters Ltd. c. Reino Unido</w:t>
      </w:r>
      <w:r>
        <w:t xml:space="preserve">; de 11 de octubre de 2007, asunto </w:t>
      </w:r>
      <w:r w:rsidRPr="008D479B">
        <w:rPr>
          <w:i/>
        </w:rPr>
        <w:t>Glas Nadejda EOOD y Elenkov c. Bulgaria</w:t>
      </w:r>
      <w:r>
        <w:t xml:space="preserve">; de 17 de junio de 2008, asunto </w:t>
      </w:r>
      <w:r w:rsidRPr="008D479B">
        <w:rPr>
          <w:i/>
        </w:rPr>
        <w:t>Meltex Ltd. y Movsessian c. Armenia</w:t>
      </w:r>
      <w:r>
        <w:t xml:space="preserve">, así como el dictamen del Comité de Derechos Humanos de Naciones Unidas, de 27 de octubre de 2016, en el caso </w:t>
      </w:r>
      <w:r w:rsidRPr="008D479B">
        <w:rPr>
          <w:i/>
        </w:rPr>
        <w:t>Azagade c. Azerbaiyán</w:t>
      </w:r>
      <w:r>
        <w:t>.</w:t>
      </w:r>
    </w:p>
    <w:p w14:paraId="45706751" w14:textId="77777777" w:rsidR="008D479B" w:rsidRDefault="008D479B" w:rsidP="008D479B">
      <w:pPr>
        <w:pStyle w:val="TextoNormal"/>
      </w:pPr>
    </w:p>
    <w:p w14:paraId="25011B30" w14:textId="293E838E" w:rsidR="008D479B" w:rsidRDefault="008D479B" w:rsidP="008D479B">
      <w:pPr>
        <w:pStyle w:val="TextoNormal"/>
      </w:pPr>
      <w:r>
        <w:t>b) En segundo lugar, considera vulnerado el derecho a la igualdad (art. 14 CE), al haberse convocado en otras comunidades autónomas concursos públicos de licencias de comunicación audiovisual. Mantiene que el art. 27.4 LGCA, al tener la consideración de normativa básica, debe aplicarse de forma similar en todo el territorio estatal y la dispar interpretación efectuada por las distintas comunidades autónomas, a juicio de la entidad recurrente, lesiona el art. 14 CE.</w:t>
      </w:r>
    </w:p>
    <w:p w14:paraId="4B01A41E" w14:textId="77777777" w:rsidR="008D479B" w:rsidRDefault="008D479B" w:rsidP="008D479B">
      <w:pPr>
        <w:pStyle w:val="TextoNormal"/>
      </w:pPr>
    </w:p>
    <w:p w14:paraId="0EB07676" w14:textId="77777777" w:rsidR="008D479B" w:rsidRDefault="008D479B" w:rsidP="008D479B">
      <w:pPr>
        <w:pStyle w:val="TextoNormal"/>
      </w:pPr>
      <w:r w:rsidRPr="008D479B">
        <w:rPr>
          <w:rStyle w:val="NumeroAFNegritaCaracter"/>
        </w:rPr>
        <w:t>4</w:t>
      </w:r>
      <w:r>
        <w:t>. Por providencia de 10 de octubre de 2022, la Sección Primera del Tribunal Constitucional acordó admitir a trámite la demanda de amparo, al apreciar que concurría en la misma una especial trascendencia constitucional [art. 50.1 de la Ley Orgánica del Tribunal Constitucional (LOTC)] porque el recurso podía dar ocasión al Tribunal para aclarar o cambiar su doctrina, como consecuencia de un proceso de reflexión interna [STC 155/2009, de 25 de junio, FJ 2 b)] y el asunto suscitado trascendía del caso concreto porque plantea una cuestión jurídica de relevante y general repercusión social o económica [STC 155/2009, FJ 2 g)].</w:t>
      </w:r>
    </w:p>
    <w:p w14:paraId="50322EF6" w14:textId="77777777" w:rsidR="008D479B" w:rsidRDefault="008D479B" w:rsidP="008D479B">
      <w:pPr>
        <w:pStyle w:val="TextoNormal"/>
      </w:pPr>
    </w:p>
    <w:p w14:paraId="7C53A444" w14:textId="32F7F86F" w:rsidR="008D479B" w:rsidRDefault="008D479B" w:rsidP="008D479B">
      <w:pPr>
        <w:pStyle w:val="TextoNormal"/>
      </w:pPr>
      <w:r>
        <w:t>Asimismo, acordó dar cumplimiento a lo dispuesto en el art. 51 LOTC y formar la correspondiente pieza separada de suspensión, que fue concluida por ATC 17/2023, de 6 de febrero, en el que se acordó denegar la suspensión cautelar solicitada.</w:t>
      </w:r>
    </w:p>
    <w:p w14:paraId="747C3B1B" w14:textId="77777777" w:rsidR="008D479B" w:rsidRDefault="008D479B" w:rsidP="008D479B">
      <w:pPr>
        <w:pStyle w:val="TextoNormal"/>
      </w:pPr>
    </w:p>
    <w:p w14:paraId="2B05E97E" w14:textId="24A674C6" w:rsidR="008D479B" w:rsidRDefault="008D479B" w:rsidP="008D479B">
      <w:pPr>
        <w:pStyle w:val="TextoNormal"/>
      </w:pPr>
      <w:r w:rsidRPr="008D479B">
        <w:rPr>
          <w:rStyle w:val="NumeroAFNegritaCaracter"/>
        </w:rPr>
        <w:t>5</w:t>
      </w:r>
      <w:r>
        <w:t>. Por diligencia de ordenación de la Secretaría de Justicia de la Sección se tuvo por personada a la Comunidad Autónoma de Cantabria. Y, a tenor de lo dispuesto en el art. 52 LOTC, se dio vista de las actuaciones, por un plazo común de veinte días, al Ministerio Fiscal y a las partes personadas para que dentro de dicho término pudieran presentar las alegaciones que a su derecho conviniera.</w:t>
      </w:r>
    </w:p>
    <w:p w14:paraId="7BA7CAAA" w14:textId="77777777" w:rsidR="008D479B" w:rsidRDefault="008D479B" w:rsidP="008D479B">
      <w:pPr>
        <w:pStyle w:val="TextoNormal"/>
      </w:pPr>
    </w:p>
    <w:p w14:paraId="586EFBCE" w14:textId="34BEE5E1" w:rsidR="008D479B" w:rsidRDefault="008D479B" w:rsidP="008D479B">
      <w:pPr>
        <w:pStyle w:val="TextoNormal"/>
      </w:pPr>
      <w:r w:rsidRPr="008D479B">
        <w:rPr>
          <w:rStyle w:val="NumeroAFNegritaCaracter"/>
        </w:rPr>
        <w:t>6</w:t>
      </w:r>
      <w:r>
        <w:t>. La demandante de amparo presentó sus alegaciones mediante escrito registrado el 15 de noviembre de 2022 en el que reiteraba los argumentos expuestos en la demanda.</w:t>
      </w:r>
    </w:p>
    <w:p w14:paraId="153C3F55" w14:textId="77777777" w:rsidR="008D479B" w:rsidRDefault="008D479B" w:rsidP="008D479B">
      <w:pPr>
        <w:pStyle w:val="TextoNormal"/>
      </w:pPr>
    </w:p>
    <w:p w14:paraId="6471DD14" w14:textId="1DA33470" w:rsidR="008D479B" w:rsidRDefault="008D479B" w:rsidP="008D479B">
      <w:pPr>
        <w:pStyle w:val="TextoNormal"/>
      </w:pPr>
      <w:r w:rsidRPr="008D479B">
        <w:rPr>
          <w:rStyle w:val="NumeroAFNegritaCaracter"/>
        </w:rPr>
        <w:t>7</w:t>
      </w:r>
      <w:r>
        <w:t>. La Comunidad Autónoma de Cantabria, con la representación y asistencia de letrada de su servicio jurídico, presentó sus alegaciones mediante escrito registrado el 21 de diciembre de 2022, en el que rechaza que se hayan vulnerado los derechos invocados en la demanda de amparo.</w:t>
      </w:r>
    </w:p>
    <w:p w14:paraId="6306C4F2" w14:textId="77777777" w:rsidR="008D479B" w:rsidRDefault="008D479B" w:rsidP="008D479B">
      <w:pPr>
        <w:pStyle w:val="TextoNormal"/>
      </w:pPr>
    </w:p>
    <w:p w14:paraId="27CE9FB1" w14:textId="77777777" w:rsidR="008D479B" w:rsidRDefault="008D479B" w:rsidP="008D479B">
      <w:pPr>
        <w:pStyle w:val="TextoNormal"/>
      </w:pPr>
      <w:r w:rsidRPr="008D479B">
        <w:rPr>
          <w:rStyle w:val="NumeroAFNegritaCaracter"/>
        </w:rPr>
        <w:t>8</w:t>
      </w:r>
      <w:r>
        <w:t>. El Ministerio Fiscal presentó sus alegaciones mediante escrito registrado el 12 de enero de 2023 en el que solicita la desestimación del recurso de amparo.</w:t>
      </w:r>
    </w:p>
    <w:p w14:paraId="3964259F" w14:textId="77777777" w:rsidR="008D479B" w:rsidRDefault="008D479B" w:rsidP="008D479B">
      <w:pPr>
        <w:pStyle w:val="TextoNormal"/>
      </w:pPr>
    </w:p>
    <w:p w14:paraId="134A0BAF" w14:textId="77777777" w:rsidR="008D479B" w:rsidRDefault="008D479B" w:rsidP="008D479B">
      <w:pPr>
        <w:pStyle w:val="TextoNormal"/>
      </w:pPr>
      <w:r>
        <w:t>Descarta, en primer lugar, que se haya producido una vulneración del art. 14 CE, al no existir el término válido de comparación exigido para que se produzca la vulneración, pues no se han dictado las resoluciones por los mismos órganos, ni en el caso del reproche dirigido al Tribunal Supremo concurre la identidad de supuestos exigida.</w:t>
      </w:r>
    </w:p>
    <w:p w14:paraId="477F53E8" w14:textId="77777777" w:rsidR="008D479B" w:rsidRDefault="008D479B" w:rsidP="008D479B">
      <w:pPr>
        <w:pStyle w:val="TextoNormal"/>
      </w:pPr>
    </w:p>
    <w:p w14:paraId="4955DACC" w14:textId="77777777" w:rsidR="008D479B" w:rsidRDefault="008D479B" w:rsidP="008D479B">
      <w:pPr>
        <w:pStyle w:val="TextoNormal"/>
      </w:pPr>
      <w:r>
        <w:t>Rechaza, asimismo, la vulneración del art. 20.1 a) y d) CE al existir una regulación normativa que establece el marco temporal de reserva del espacio radioeléctrico a los efectos de convocar los correspondientes concursos. Entiende que corresponde al legislador una mayor libertad de configuración normativa para disciplinar los soportes técnicos e instrumentos de comunicación, que la que posee al ordenar directamente los derechos fundamentales del art. 20.1 CE. De este modo las resoluciones administrativas y las sentencias que aplican la regulación establecida en este ámbito difícilmente pueden lesionar los derechos invocados.</w:t>
      </w:r>
    </w:p>
    <w:p w14:paraId="0A1ECED7" w14:textId="77777777" w:rsidR="008D479B" w:rsidRDefault="008D479B" w:rsidP="008D479B">
      <w:pPr>
        <w:pStyle w:val="TextoNormal"/>
      </w:pPr>
    </w:p>
    <w:p w14:paraId="450D7FD9" w14:textId="7F5F4D12" w:rsidR="008D479B" w:rsidRDefault="008D479B" w:rsidP="008D479B">
      <w:pPr>
        <w:pStyle w:val="TextoNormal"/>
      </w:pPr>
      <w:r>
        <w:t xml:space="preserve">Finalmente, considera que las resoluciones del Tribunal Europeo de Derechos Humanos citadas no son aplicables por tratarse de decisiones de inadmisión o, en el caso de la STEDH de 20 de octubre de 1997, asunto </w:t>
      </w:r>
      <w:r w:rsidRPr="008D479B">
        <w:rPr>
          <w:i/>
        </w:rPr>
        <w:t>Radio</w:t>
      </w:r>
      <w:r>
        <w:t xml:space="preserve"> </w:t>
      </w:r>
      <w:r w:rsidRPr="008D479B">
        <w:rPr>
          <w:i/>
        </w:rPr>
        <w:t>ABC c. Austria</w:t>
      </w:r>
      <w:r>
        <w:t>, porque toda la actividad se subordinaba a una concesión del legislador federal que no se produjo, situación que se mantuvo durante tres periodos de tiempo, supuesto distinto al contemplado en la regulación española.</w:t>
      </w:r>
    </w:p>
    <w:p w14:paraId="13D316E9" w14:textId="77777777" w:rsidR="008D479B" w:rsidRDefault="008D479B" w:rsidP="008D479B">
      <w:pPr>
        <w:pStyle w:val="TextoNormal"/>
      </w:pPr>
    </w:p>
    <w:p w14:paraId="5FF4359D" w14:textId="36B99EF4" w:rsidR="008D479B" w:rsidRDefault="008D479B" w:rsidP="008D479B">
      <w:pPr>
        <w:pStyle w:val="TextoNormal"/>
      </w:pPr>
      <w:r w:rsidRPr="008D479B">
        <w:rPr>
          <w:rStyle w:val="NumeroAFNegritaCaracter"/>
        </w:rPr>
        <w:t>9</w:t>
      </w:r>
      <w:r>
        <w:t>. Por providencia de 21 de septiembre de 2023 se señaló para deliberación y votación de la presente sentencia el día 25 del mismo mes y año.</w:t>
      </w:r>
    </w:p>
    <w:p w14:paraId="337CE404" w14:textId="77777777" w:rsidR="008D479B" w:rsidRDefault="008D479B" w:rsidP="008D479B">
      <w:pPr>
        <w:pStyle w:val="TextoNormal"/>
      </w:pPr>
    </w:p>
    <w:p w14:paraId="30B09119" w14:textId="77777777" w:rsidR="008D479B" w:rsidRDefault="008D479B" w:rsidP="008D479B">
      <w:pPr>
        <w:pStyle w:val="TextoNormalNegritaCentrado"/>
        <w:keepNext/>
      </w:pPr>
      <w:r>
        <w:t>II. Fundamentos jurídicos</w:t>
      </w:r>
    </w:p>
    <w:p w14:paraId="2781C72F" w14:textId="38C32007" w:rsidR="008D479B" w:rsidRDefault="008D479B" w:rsidP="008D479B">
      <w:pPr>
        <w:pStyle w:val="TextoNormalNegritaCentrado"/>
        <w:keepNext/>
      </w:pPr>
    </w:p>
    <w:p w14:paraId="22F82C30" w14:textId="77777777" w:rsidR="008D479B" w:rsidRDefault="008D479B" w:rsidP="008D479B">
      <w:pPr>
        <w:pStyle w:val="TextoNormal"/>
      </w:pPr>
      <w:r w:rsidRPr="008D479B">
        <w:rPr>
          <w:rStyle w:val="NumeroAFNegritaCaracter"/>
        </w:rPr>
        <w:t>1</w:t>
      </w:r>
      <w:r>
        <w:t xml:space="preserve">. </w:t>
      </w:r>
      <w:r w:rsidRPr="008D479B">
        <w:rPr>
          <w:i/>
        </w:rPr>
        <w:t>Objeto del recurso</w:t>
      </w:r>
    </w:p>
    <w:p w14:paraId="6833502F" w14:textId="77777777" w:rsidR="008D479B" w:rsidRDefault="008D479B" w:rsidP="008D479B">
      <w:pPr>
        <w:pStyle w:val="TextoNormal"/>
      </w:pPr>
    </w:p>
    <w:p w14:paraId="479BCBF9" w14:textId="7AD56180" w:rsidR="008D479B" w:rsidRDefault="008D479B" w:rsidP="008D479B">
      <w:pPr>
        <w:pStyle w:val="TextoNormal"/>
      </w:pPr>
      <w:r>
        <w:t>El objeto de este recurso es determinar si el acuerdo del Consejo de Gobierno de la Comunidad Autónoma de Cantabria de 22 de noviembre de 2018, por el que se desestima el recurso de alzada interpuesto contra la desestimación presunta de la solicitud de convocatoria de concurso público de licencias de comunicación audiovisual de radiodifusión sonora digital en la citada comunidad autónoma, vulnera los derechos fundamentales a la libertad de información, comunicación y expresión [art. 20.1 a) y d) CE], en relación con el art. 14 CE.</w:t>
      </w:r>
    </w:p>
    <w:p w14:paraId="14DB7543" w14:textId="77777777" w:rsidR="008D479B" w:rsidRDefault="008D479B" w:rsidP="008D479B">
      <w:pPr>
        <w:pStyle w:val="TextoNormal"/>
      </w:pPr>
    </w:p>
    <w:p w14:paraId="05B83810" w14:textId="77777777" w:rsidR="008D479B" w:rsidRDefault="008D479B" w:rsidP="008D479B">
      <w:pPr>
        <w:pStyle w:val="TextoNormal"/>
      </w:pPr>
      <w:r w:rsidRPr="008D479B">
        <w:rPr>
          <w:rStyle w:val="NumeroAFNegritaCaracter"/>
        </w:rPr>
        <w:t>2</w:t>
      </w:r>
      <w:r>
        <w:t xml:space="preserve">. </w:t>
      </w:r>
      <w:r w:rsidRPr="008D479B">
        <w:rPr>
          <w:i/>
        </w:rPr>
        <w:t>Remisión a lo resuelto en la STC 89/2023, de 18 de julio</w:t>
      </w:r>
    </w:p>
    <w:p w14:paraId="76DB17CF" w14:textId="77777777" w:rsidR="008D479B" w:rsidRDefault="008D479B" w:rsidP="008D479B">
      <w:pPr>
        <w:pStyle w:val="TextoNormal"/>
      </w:pPr>
    </w:p>
    <w:p w14:paraId="05856E93" w14:textId="49D8B4E2" w:rsidR="008D479B" w:rsidRDefault="008D479B" w:rsidP="008D479B">
      <w:pPr>
        <w:pStyle w:val="TextoNormal"/>
      </w:pPr>
      <w:r>
        <w:t>El problema constitucional que se plantea en este proceso de amparo es coincidente con el resuelto en la STC 89/2023, de 18 de julio, que excluyó que la actuación administrativa impugnada, en cuanto denegó la convocatoria del concurso solicitado para la concesión de licencias de prestación de servicios audiovisuales, vulnerara los derechos a expresar y difundir libremente los pensamientos, ideas y opiniones mediante la palabra, el escrito o cualquier otro medio de reproducción [art. 20.1 a) CE] y a comunicar o recibir libremente información veraz por cualquier medio de difusión [art. 20.1 d) CE], en relación con el principio de igualdad (art. 14 CE), lo que determina que, por idénticas razones, proceda desestimar el presente recurso de amparo.</w:t>
      </w:r>
    </w:p>
    <w:p w14:paraId="30CC8229" w14:textId="77777777" w:rsidR="008D479B" w:rsidRDefault="008D479B" w:rsidP="008D479B">
      <w:pPr>
        <w:pStyle w:val="TextoNormal"/>
      </w:pPr>
    </w:p>
    <w:p w14:paraId="389785D1" w14:textId="77777777" w:rsidR="008D479B" w:rsidRDefault="008D479B" w:rsidP="008D479B">
      <w:pPr>
        <w:pStyle w:val="TextoNormalCentrado"/>
        <w:keepNext/>
      </w:pPr>
      <w:r>
        <w:t>FALLO</w:t>
      </w:r>
    </w:p>
    <w:p w14:paraId="0B750B50" w14:textId="243FA487" w:rsidR="008D479B" w:rsidRDefault="008D479B" w:rsidP="008D479B">
      <w:pPr>
        <w:pStyle w:val="TextoNormalCentrado"/>
        <w:keepNext/>
      </w:pPr>
    </w:p>
    <w:p w14:paraId="784E6483" w14:textId="7272F604" w:rsidR="008D479B" w:rsidRDefault="008D479B" w:rsidP="008D479B">
      <w:pPr>
        <w:pStyle w:val="TextoNormal"/>
      </w:pPr>
      <w:r>
        <w:t>En atención a todo lo expuesto, el Tribunal Constitucional, por la autoridad que le confiere la Constitución de la Nación española, ha decidido desestimar el recurso de amparo interpuesto por Logondi Comunicación, S.L.</w:t>
      </w:r>
    </w:p>
    <w:p w14:paraId="35DC65C0" w14:textId="77777777" w:rsidR="008D479B" w:rsidRDefault="008D479B" w:rsidP="008D479B">
      <w:pPr>
        <w:pStyle w:val="TextoNormal"/>
      </w:pPr>
    </w:p>
    <w:p w14:paraId="3FE496B7" w14:textId="77777777" w:rsidR="008D479B" w:rsidRDefault="008D479B" w:rsidP="008D479B">
      <w:pPr>
        <w:pStyle w:val="TextoNormal"/>
      </w:pPr>
      <w:r>
        <w:t>Publíquese esta sentencia en el “Boletín Oficial del Estado”.</w:t>
      </w:r>
    </w:p>
    <w:p w14:paraId="4C5038B3" w14:textId="77777777" w:rsidR="008D479B" w:rsidRDefault="008D479B" w:rsidP="008D479B">
      <w:pPr>
        <w:pStyle w:val="TextoNormal"/>
      </w:pPr>
      <w:r>
        <w:t>Dada en Madrid, a veinticinco de septiembre de dos mil veintitrés.</w:t>
      </w:r>
    </w:p>
    <w:p w14:paraId="00B536D6" w14:textId="3F76D182" w:rsidR="008D479B" w:rsidRDefault="008D479B" w:rsidP="008D479B">
      <w:pPr>
        <w:pStyle w:val="ParrafoNormal"/>
      </w:pPr>
    </w:p>
    <w:p w14:paraId="1B0A789A" w14:textId="77777777" w:rsidR="008D479B" w:rsidRDefault="008D479B" w:rsidP="008D479B">
      <w:pPr>
        <w:pStyle w:val="TextoNormalNegritaCentrado"/>
        <w:keepNext/>
      </w:pPr>
      <w:r>
        <w:t>Voto particular concurrente que formula la magistrada doña Concepción Espejel Jorquera a la sentencia dictada en el recurso de amparo número 1168-2021</w:t>
      </w:r>
    </w:p>
    <w:p w14:paraId="5E85EC73" w14:textId="52CCEF70" w:rsidR="008D479B" w:rsidRDefault="008D479B" w:rsidP="008D479B">
      <w:pPr>
        <w:pStyle w:val="TextoNormalNegritaCentrado"/>
        <w:keepNext/>
      </w:pPr>
    </w:p>
    <w:p w14:paraId="4154DB11" w14:textId="77777777" w:rsidR="008D479B" w:rsidRDefault="008D479B" w:rsidP="008D479B">
      <w:pPr>
        <w:pStyle w:val="TextoNormal"/>
      </w:pPr>
      <w:r>
        <w:t>En el ejercicio de la facultad que me confiere el artículo 90.2 de la Ley Orgánica del Tribunal Constitucional, y con respeto a la opinión de mis compañeros, formulo voto particular concurrente respecto de la sentencia recaída en el presente recurso de amparo, conforme a los argumentos que ya tuve ocasión de exponer durante su deliberación en la Sala remitiéndome al voto particular que formulé a la STC 89/2023, de 18 de julio, a la que se remite la presente resolución.</w:t>
      </w:r>
    </w:p>
    <w:p w14:paraId="0D6C1F66" w14:textId="77777777" w:rsidR="008D479B" w:rsidRDefault="008D479B" w:rsidP="008D479B">
      <w:pPr>
        <w:pStyle w:val="TextoNormal"/>
      </w:pPr>
    </w:p>
    <w:p w14:paraId="154FD0C9" w14:textId="19755657" w:rsidR="008D479B" w:rsidRDefault="008D479B" w:rsidP="008D479B">
      <w:pPr>
        <w:pStyle w:val="TextoNormal"/>
      </w:pPr>
      <w:r>
        <w:t>Madrid, a veinticinco de septiembre de dos mil veintitrés.</w:t>
      </w:r>
    </w:p>
    <w:p w14:paraId="0E4118DB" w14:textId="726335FD" w:rsidR="008D479B" w:rsidRDefault="008D479B">
      <w:pPr>
        <w:spacing w:after="160" w:line="278" w:lineRule="auto"/>
        <w:rPr>
          <w:rFonts w:ascii="Times New Roman" w:eastAsia="Times New Roman" w:hAnsi="Times New Roman" w:cs="Times New Roman"/>
          <w:sz w:val="24"/>
          <w:szCs w:val="24"/>
          <w:lang w:eastAsia="es-ES"/>
        </w:rPr>
      </w:pPr>
      <w:r>
        <w:br w:type="page"/>
      </w:r>
    </w:p>
    <w:p w14:paraId="1E3201B8" w14:textId="77777777" w:rsidR="008D479B" w:rsidRDefault="008D479B" w:rsidP="008D479B">
      <w:pPr>
        <w:pStyle w:val="TtuloResolucin"/>
      </w:pPr>
      <w:bookmarkStart w:id="37" w:name="SENTENCIA_2023_112"/>
      <w:r>
        <w:t>SENTENCIA 112/2023, de 25 de septiembre de 2023</w:t>
      </w:r>
    </w:p>
    <w:bookmarkEnd w:id="37"/>
    <w:p w14:paraId="41A8775F" w14:textId="77777777" w:rsidR="008D479B" w:rsidRDefault="008D479B" w:rsidP="008D479B">
      <w:pPr>
        <w:pStyle w:val="TtuloResolucin"/>
      </w:pPr>
      <w:r>
        <w:t>Sala Segunda</w:t>
      </w:r>
    </w:p>
    <w:p w14:paraId="1E7064D5" w14:textId="77777777" w:rsidR="008D479B" w:rsidRDefault="008D479B" w:rsidP="008D479B">
      <w:pPr>
        <w:pStyle w:val="TtuloBOE"/>
      </w:pPr>
      <w:r>
        <w:t>(BOE núm. 261, de 1 de noviembre de 2023)</w:t>
      </w:r>
    </w:p>
    <w:p w14:paraId="2CD274B8" w14:textId="77777777" w:rsidR="008D479B" w:rsidRDefault="008D479B" w:rsidP="008D479B">
      <w:pPr>
        <w:pStyle w:val="TextoNormalCentrado"/>
      </w:pPr>
      <w:r>
        <w:t>ECLI:ES:TC:2023:112</w:t>
      </w:r>
    </w:p>
    <w:p w14:paraId="1611CB6C" w14:textId="43B5B44B" w:rsidR="008D479B" w:rsidRDefault="008D479B" w:rsidP="008D479B">
      <w:pPr>
        <w:pStyle w:val="TextoNormalCentrado"/>
      </w:pPr>
    </w:p>
    <w:p w14:paraId="1FFBA5C0" w14:textId="77777777" w:rsidR="008D479B" w:rsidRDefault="008D479B" w:rsidP="008D479B">
      <w:pPr>
        <w:pStyle w:val="SntesisDescriptiva"/>
      </w:pPr>
      <w:r>
        <w:t>Recurso de amparo 1750-2021. Promovido por Movemos Madrid, S.L., respecto de las resoluciones de la administración de la Comunidad Autónoma de Castilla y León que rechazaron su solicitud de convocatoria de concurso público para la adjudicación de licencias disponibles de comunicación audiovisual de radiodifusión sonora digital terrestre de ámbito local.</w:t>
      </w:r>
    </w:p>
    <w:p w14:paraId="3209234C" w14:textId="2CED2044" w:rsidR="008D479B" w:rsidRDefault="008D479B" w:rsidP="008D479B">
      <w:pPr>
        <w:pStyle w:val="SntesisDescriptiva"/>
      </w:pPr>
    </w:p>
    <w:p w14:paraId="67D09478" w14:textId="77777777" w:rsidR="008D479B" w:rsidRDefault="008D479B" w:rsidP="008D479B">
      <w:pPr>
        <w:pStyle w:val="SntesisAnaltica"/>
      </w:pPr>
      <w:r>
        <w:t>Supuesta vulneración del derecho a la igualdad y a las libertades de expresión e información: STC 89/2023 (resolución administrativa que no resulta desproporcionada y que viene impuesta por la inexistencia de reserva de dominio público radioeléctrico). Voto particular.</w:t>
      </w:r>
    </w:p>
    <w:p w14:paraId="75129F8F" w14:textId="5EFE9615" w:rsidR="008D479B" w:rsidRDefault="008D479B" w:rsidP="008D479B">
      <w:pPr>
        <w:pStyle w:val="SntesisAnaltica"/>
      </w:pPr>
    </w:p>
    <w:p w14:paraId="61E84C05" w14:textId="0CA1A247" w:rsidR="008D479B" w:rsidRDefault="008D479B" w:rsidP="008D479B">
      <w:pPr>
        <w:pStyle w:val="Extracto"/>
      </w:pPr>
      <w:r>
        <w:t>1.</w:t>
      </w:r>
      <w:r>
        <w:tab/>
        <w:t xml:space="preserve">Remisión a la STC 89/2023 que declaró respetados los derechos a expresar y difundir libremente los pensamientos, ideas y opiniones, así como a comunicar o recibir libremente información veraz por cualquier medio de difusión, consagrados en el art. 20.1 a) y d) CE, en relación con el principio de igualdad reconocido en el art. 14 CE, por parte de la actuación administrativa denegatoria de convocatoria de concurso para la concesión de licencias de prestación de servicios audiovisuales </w:t>
      </w:r>
    </w:p>
    <w:p w14:paraId="06C75833" w14:textId="77777777" w:rsidR="008D479B" w:rsidRDefault="008D479B" w:rsidP="008D479B">
      <w:pPr>
        <w:pStyle w:val="Extracto"/>
      </w:pPr>
    </w:p>
    <w:p w14:paraId="1D282619" w14:textId="77777777" w:rsidR="008D479B" w:rsidRDefault="008D479B" w:rsidP="008D479B">
      <w:pPr>
        <w:pStyle w:val="Extracto"/>
      </w:pPr>
    </w:p>
    <w:p w14:paraId="258EEAA9" w14:textId="77777777" w:rsidR="008D479B" w:rsidRDefault="008D479B" w:rsidP="008D479B">
      <w:pPr>
        <w:pStyle w:val="TextoNormal"/>
      </w:pPr>
      <w:r>
        <w:t>La Sala Segunda del Tribunal Constitucional, compuesta por la magistrada doña Inmaculada Montalbán Huertas, presidenta, y las magistradas y los magistrados doña María Luisa Balaguer Callejón, don Ramón Sáez Valcárcel, don Enrique Arnaldo Alcubilla, don César Tolosa Tribiño y doña Laura Díez Bueso, ha pronunciado</w:t>
      </w:r>
    </w:p>
    <w:p w14:paraId="45C646A9" w14:textId="0875AD88" w:rsidR="008D479B" w:rsidRDefault="008D479B" w:rsidP="008D479B">
      <w:pPr>
        <w:pStyle w:val="TextoNormal"/>
      </w:pPr>
    </w:p>
    <w:p w14:paraId="00963D15" w14:textId="77777777" w:rsidR="008D479B" w:rsidRDefault="008D479B" w:rsidP="008D479B">
      <w:pPr>
        <w:pStyle w:val="TextoNormalCentrado"/>
        <w:keepNext/>
      </w:pPr>
      <w:r>
        <w:t>EN NOMBRE DEL REY</w:t>
      </w:r>
    </w:p>
    <w:p w14:paraId="0BFC0515" w14:textId="5E5BBE09" w:rsidR="008D479B" w:rsidRDefault="008D479B" w:rsidP="008D479B">
      <w:pPr>
        <w:pStyle w:val="TextoNormalCentrado"/>
        <w:keepNext/>
      </w:pPr>
    </w:p>
    <w:p w14:paraId="3068FC11" w14:textId="77777777" w:rsidR="008D479B" w:rsidRDefault="008D479B" w:rsidP="008D479B">
      <w:pPr>
        <w:pStyle w:val="TextoNormalCentrado"/>
        <w:keepNext/>
      </w:pPr>
    </w:p>
    <w:p w14:paraId="7E56D881" w14:textId="77777777" w:rsidR="008D479B" w:rsidRDefault="008D479B" w:rsidP="008D479B">
      <w:pPr>
        <w:pStyle w:val="TextoNormal"/>
      </w:pPr>
      <w:r>
        <w:t>la siguiente</w:t>
      </w:r>
    </w:p>
    <w:p w14:paraId="79FDCB5A" w14:textId="186F3BD3" w:rsidR="008D479B" w:rsidRDefault="008D479B" w:rsidP="008D479B">
      <w:pPr>
        <w:pStyle w:val="TextoNormal"/>
      </w:pPr>
    </w:p>
    <w:p w14:paraId="2FE79366" w14:textId="77777777" w:rsidR="008D479B" w:rsidRDefault="008D479B" w:rsidP="008D479B">
      <w:pPr>
        <w:pStyle w:val="TextoNormalCentrado"/>
        <w:keepNext/>
      </w:pPr>
      <w:r>
        <w:t>SENTENCIA</w:t>
      </w:r>
    </w:p>
    <w:p w14:paraId="6A0F908C" w14:textId="722927C5" w:rsidR="008D479B" w:rsidRDefault="008D479B" w:rsidP="008D479B">
      <w:pPr>
        <w:pStyle w:val="TextoNormalCentrado"/>
        <w:keepNext/>
      </w:pPr>
    </w:p>
    <w:p w14:paraId="5833F47E" w14:textId="77777777" w:rsidR="008D479B" w:rsidRDefault="008D479B" w:rsidP="008D479B">
      <w:pPr>
        <w:pStyle w:val="TextoNormal"/>
      </w:pPr>
      <w:r>
        <w:t>En el recurso de amparo número 1750-2021, promovido por Movemos Madrid, S.L., representada por la procuradora de los tribunales doña Sonia Rivas Farpón y asistida por el abogado don Jaime Rodríguez Díez, contra la desestimación por silencio administrativo negativo de la solicitud de 7 de mayo de 2018 de convocatoria de concurso para la adjudicación de las licencias disponibles de comunicación audiovisual de radiodifusión sonora digital de ámbito local en la Comunidad Autónoma de Castilla y León. Ha comparecido la referida comunidad autónoma y ha intervenido el Ministerio Fiscal. Ha sido ponente el magistrado don Enrique Arnaldo Alcubilla.</w:t>
      </w:r>
    </w:p>
    <w:p w14:paraId="44BD6A16" w14:textId="42126EDD" w:rsidR="008D479B" w:rsidRDefault="008D479B" w:rsidP="008D479B">
      <w:pPr>
        <w:pStyle w:val="TextoNormal"/>
      </w:pPr>
    </w:p>
    <w:p w14:paraId="0EE31681" w14:textId="77777777" w:rsidR="008D479B" w:rsidRDefault="008D479B" w:rsidP="008D479B">
      <w:pPr>
        <w:pStyle w:val="TextoNormalNegritaCentrado"/>
        <w:keepNext/>
      </w:pPr>
      <w:r>
        <w:t>I. Antecedentes</w:t>
      </w:r>
    </w:p>
    <w:p w14:paraId="0EF01931" w14:textId="2C031FAE" w:rsidR="008D479B" w:rsidRDefault="008D479B" w:rsidP="008D479B">
      <w:pPr>
        <w:pStyle w:val="TextoNormalNegritaCentrado"/>
        <w:keepNext/>
      </w:pPr>
    </w:p>
    <w:p w14:paraId="1C04E390" w14:textId="05739E9C" w:rsidR="008D479B" w:rsidRDefault="008D479B" w:rsidP="008D479B">
      <w:pPr>
        <w:pStyle w:val="TextoNormal"/>
      </w:pPr>
      <w:r w:rsidRPr="008D479B">
        <w:rPr>
          <w:rStyle w:val="NumeroAFNegritaCaracter"/>
        </w:rPr>
        <w:t>1</w:t>
      </w:r>
      <w:r>
        <w:t>. Mediante escrito presentado en el registro general de este tribunal el 25 de marzo de 2021, la procuradora de los tribunales doña Sonia Rivas Farpón, actuando en nombre y representación de Movemos Madrid, S.L., bajo la defensa del letrado don Jaime Rodríguez Díez, interpuso demanda de amparo contra la desestimación presunta arriba mencionada.</w:t>
      </w:r>
    </w:p>
    <w:p w14:paraId="592B1A1B" w14:textId="77777777" w:rsidR="008D479B" w:rsidRDefault="008D479B" w:rsidP="008D479B">
      <w:pPr>
        <w:pStyle w:val="TextoNormal"/>
      </w:pPr>
    </w:p>
    <w:p w14:paraId="2C979C2F" w14:textId="77777777" w:rsidR="008D479B" w:rsidRDefault="008D479B" w:rsidP="008D479B">
      <w:pPr>
        <w:pStyle w:val="TextoNormal"/>
      </w:pPr>
      <w:r w:rsidRPr="008D479B">
        <w:rPr>
          <w:rStyle w:val="NumeroAFNegritaCaracter"/>
        </w:rPr>
        <w:t>2</w:t>
      </w:r>
      <w:r>
        <w:t>. Los hechos con relevancia para la resolución del presente recurso de amparo y a los que se refiere la demanda presentada son los siguientes:</w:t>
      </w:r>
    </w:p>
    <w:p w14:paraId="3A3235C9" w14:textId="77777777" w:rsidR="008D479B" w:rsidRDefault="008D479B" w:rsidP="008D479B">
      <w:pPr>
        <w:pStyle w:val="TextoNormal"/>
      </w:pPr>
    </w:p>
    <w:p w14:paraId="57E6AFE2" w14:textId="77777777" w:rsidR="008D479B" w:rsidRDefault="008D479B" w:rsidP="008D479B">
      <w:pPr>
        <w:pStyle w:val="TextoNormal"/>
      </w:pPr>
      <w:r>
        <w:t>a) La entidad Movemos Madrid, S.L., interpuso recurso contencioso administrativo contra la desestimación por silencio administrativo negativo de su solicitud de 7 de mayo de 2018 instada ante la Consejería de Fomento y Medioambiente de la Junta de Castilla y León para la convocatoria de concurso para la adjudicación de las licencias disponibles de comunicación audiovisual de radiodifusión sonora digital de ámbito local en la Comunidad Autónoma de Castilla y León.</w:t>
      </w:r>
    </w:p>
    <w:p w14:paraId="4EB71072" w14:textId="77777777" w:rsidR="008D479B" w:rsidRDefault="008D479B" w:rsidP="008D479B">
      <w:pPr>
        <w:pStyle w:val="TextoNormal"/>
      </w:pPr>
    </w:p>
    <w:p w14:paraId="2E9BE38F" w14:textId="77777777" w:rsidR="008D479B" w:rsidRDefault="008D479B" w:rsidP="008D479B">
      <w:pPr>
        <w:pStyle w:val="TextoNormal"/>
      </w:pPr>
      <w:r>
        <w:t>b) La Sala de lo Contencioso-Administrativo del Tribunal Superior de Justicia de Castilla y León, con sede en Valladolid, estimó el recurso interpuesto por sentencia de 20 de mayo de 2020 al concluir que la obligación de la administración de convocar las licencias de comunicación audiovisual que estén libres, vacantes o desiertas, sea la causa que sea, no puede quedar enervada por lo previsto en el art. 27.4 de la Ley general de la comunicación audiovisual (LGCA).</w:t>
      </w:r>
    </w:p>
    <w:p w14:paraId="1622BFB8" w14:textId="77777777" w:rsidR="008D479B" w:rsidRDefault="008D479B" w:rsidP="008D479B">
      <w:pPr>
        <w:pStyle w:val="TextoNormal"/>
      </w:pPr>
    </w:p>
    <w:p w14:paraId="5B16E0B8" w14:textId="77777777" w:rsidR="008D479B" w:rsidRDefault="008D479B" w:rsidP="008D479B">
      <w:pPr>
        <w:pStyle w:val="TextoNormal"/>
      </w:pPr>
      <w:r>
        <w:t>c) Frente a dicha sentencia la representación procesal de la Comunidad Autónoma de Castilla y León interpuso recurso de casación, que fue estimado por sentencia de la Sección Tercera de la Sala de lo Contencioso-Administrativo del Tribunal Supremo de 11 de marzo de 2021.</w:t>
      </w:r>
    </w:p>
    <w:p w14:paraId="04928074" w14:textId="77777777" w:rsidR="008D479B" w:rsidRDefault="008D479B" w:rsidP="008D479B">
      <w:pPr>
        <w:pStyle w:val="TextoNormal"/>
      </w:pPr>
    </w:p>
    <w:p w14:paraId="329D5EF3" w14:textId="77777777" w:rsidR="008D479B" w:rsidRDefault="008D479B" w:rsidP="008D479B">
      <w:pPr>
        <w:pStyle w:val="TextoNormal"/>
      </w:pPr>
      <w:r>
        <w:t>Atendiendo al interés casacional advertido en el auto de admisión a trámite, la sentencia de casación expone la existencia de dos criterios jurisdiccionales distintos entre los diferentes tribunales superiores de justicia y distingue el caso que se le plantea, relativo a las circunstancias de aplicación y a los efectos que los plazos prevenidos en el art. 27.4 LGCA puedan tener sobre los planes técnicos y sobre la cobertura de las licencias vacantes, de otros examinados por el propio tribunal.</w:t>
      </w:r>
    </w:p>
    <w:p w14:paraId="590C9DB1" w14:textId="77777777" w:rsidR="008D479B" w:rsidRDefault="008D479B" w:rsidP="008D479B">
      <w:pPr>
        <w:pStyle w:val="TextoNormal"/>
      </w:pPr>
    </w:p>
    <w:p w14:paraId="2DE2E662" w14:textId="6B627E8C" w:rsidR="008D479B" w:rsidRDefault="008D479B" w:rsidP="008D479B">
      <w:pPr>
        <w:pStyle w:val="TextoNormal"/>
      </w:pPr>
      <w:r>
        <w:t>Colige que nada hay en el art. 27 LGCA que pueda considerarse irrazonable o indebidamente restrictivo, en particular, al prever que el no aprovechamiento de espacios reservados al dominio público radioeléctrico para servicios de radiodifusión en un plazo concreto de tiempo tras la aprobación de la planificación correspondiente hace decaer dicha reserva. Tampoco considera que la aplicación del art. 27.4 LGCA incurra en prohibición de irretroactividad porque se proyecte sobre una planificación técnica aprobada con anterioridad a la entrada en vigor de la Ley general de la comunicación audiovisual, concluyendo que “de conformidad con lo dispuesto en el artículo 27.4 de la Ley general de comunicación audiovisual, en caso de transcurso de los plazos estipulados en dicho precepto tras la aprobación de un plan técnico nacional de un servicio de radio o televisión, sin que la administración haya solicitado la afectación al servicio público de radio o televisión de que se trate de la reserva de dominio prevista en el citado plan o se haya convocado concurso para el otorgamiento de licencias, y sin que ningún interesado haya solicitado dicha convocatoria, la reserva de dominio decaerá y será excluida de la planificación. En consecuencia y dados tales presupuestos, la administración no estaría ya obligada a la convocatoria de concurso a solicitud de cualquier interesado hasta que se efectúe una nueva reserva de dominio y se produzca la correspondiente afectación al servicio público de radio o televisión”.</w:t>
      </w:r>
    </w:p>
    <w:p w14:paraId="0835B4E5" w14:textId="77777777" w:rsidR="008D479B" w:rsidRDefault="008D479B" w:rsidP="008D479B">
      <w:pPr>
        <w:pStyle w:val="TextoNormal"/>
      </w:pPr>
    </w:p>
    <w:p w14:paraId="70D2F193" w14:textId="77777777" w:rsidR="008D479B" w:rsidRDefault="008D479B" w:rsidP="008D479B">
      <w:pPr>
        <w:pStyle w:val="TextoNormal"/>
      </w:pPr>
      <w:r w:rsidRPr="008D479B">
        <w:rPr>
          <w:rStyle w:val="NumeroAFNegritaCaracter"/>
        </w:rPr>
        <w:t>3</w:t>
      </w:r>
      <w:r>
        <w:t>. En la demanda de amparo se alegan las siguientes vulneraciones constitucionales:</w:t>
      </w:r>
    </w:p>
    <w:p w14:paraId="473AD519" w14:textId="77777777" w:rsidR="008D479B" w:rsidRDefault="008D479B" w:rsidP="008D479B">
      <w:pPr>
        <w:pStyle w:val="TextoNormal"/>
      </w:pPr>
    </w:p>
    <w:p w14:paraId="2B83AFEB" w14:textId="77777777" w:rsidR="008D479B" w:rsidRDefault="008D479B" w:rsidP="008D479B">
      <w:pPr>
        <w:pStyle w:val="TextoNormal"/>
      </w:pPr>
      <w:r>
        <w:t>a) Afirma que la negativa a convocar un concurso público por parte del Gobierno de la Comunidad Autónoma de Castilla y León amparándose en el transcurso de un plazo imputable a su propia inactividad y el consiguiente decaimiento de la planificación del espacio radioeléctrico ha imposibilitado el ejercicio de los derechos fundamentales a la libertad de información, comunicación y expresión, en relación con el art. 14 CE, en concreto, de su derecho a crear los medios de comunicación indispensables para el ejercicio del derecho a expresar y difundir libremente los pensamientos, ideas y opiniones mediante la palabra, el escrito o cualquier otro medio de reproducción [art. 20.1 a) CE] y a comunicar o recibir libremente información veraz por cualquier medio de difusión [art. 20.1 d) CE]. Entiende que prevalece el deber de convocar el concurso de adjudicación (art. 27.2 LGCA) sobre el eventual decaimiento de la reserva del espectro radioeléctrico (art. 27.4 LGCA) por lo que ha sido la inacción de la administración pública la causante de que no se haya aprovechado el espectro que el Estado ha otorgado a la comunidad autónoma, lo que invalida el acto recurrido por ser contrario a los derechos invocados. Alega que otras comunidades autónomas han procedido a efectuar los concursos de licencias más allá del plazo establecido y que la negativa a convocar los concursos de adjudicación de licencias vacantes es incompatible con la Directiva 2018/1972, de 11 de diciembre, por la que se establece el Código europeo de las comunicaciones electrónicas, por crear barreras de acceso al mercado e inutilizar el espectro radioeléctrico.</w:t>
      </w:r>
    </w:p>
    <w:p w14:paraId="0FA034B3" w14:textId="77777777" w:rsidR="008D479B" w:rsidRDefault="008D479B" w:rsidP="008D479B">
      <w:pPr>
        <w:pStyle w:val="TextoNormal"/>
      </w:pPr>
    </w:p>
    <w:p w14:paraId="293A3CE3" w14:textId="77777777" w:rsidR="008D479B" w:rsidRDefault="008D479B" w:rsidP="008D479B">
      <w:pPr>
        <w:pStyle w:val="TextoNormal"/>
      </w:pPr>
      <w:r>
        <w:t>Sostiene también que existe una patente contradicción entre las sentencias del Tribunal Supremo al diferenciar incorrectamente entre licencias de televisión digital y licencias de radiodifusión digital para la protección de los derechos fundamentales.</w:t>
      </w:r>
    </w:p>
    <w:p w14:paraId="1051ECEF" w14:textId="77777777" w:rsidR="008D479B" w:rsidRDefault="008D479B" w:rsidP="008D479B">
      <w:pPr>
        <w:pStyle w:val="TextoNormal"/>
      </w:pPr>
    </w:p>
    <w:p w14:paraId="3C3F3F35" w14:textId="77777777" w:rsidR="008D479B" w:rsidRDefault="008D479B" w:rsidP="008D479B">
      <w:pPr>
        <w:pStyle w:val="TextoNormal"/>
      </w:pPr>
      <w:r>
        <w:t xml:space="preserve">Añade, en fin, que la negativa a conceder una licencia de radiodifusión infringe el art. 10, apartado 1, del Convenio europeo de derechos humanos (CEDH) y cita las resoluciones del Tribunal Europeo de Derechos Humanos de 20 de octubre de 1997, asunto </w:t>
      </w:r>
      <w:r w:rsidRPr="008D479B">
        <w:rPr>
          <w:i/>
        </w:rPr>
        <w:t>Radio ABC c. Austria</w:t>
      </w:r>
      <w:r>
        <w:t xml:space="preserve">; de 23 de noviembre de 1999, asunto </w:t>
      </w:r>
      <w:r w:rsidRPr="008D479B">
        <w:rPr>
          <w:i/>
        </w:rPr>
        <w:t>Leveque c. Francia</w:t>
      </w:r>
      <w:r>
        <w:t xml:space="preserve">; de 7 de noviembre de 2000, asunto </w:t>
      </w:r>
      <w:r w:rsidRPr="008D479B">
        <w:rPr>
          <w:i/>
        </w:rPr>
        <w:t>United Christian Broadcasters Ltd. c. Reino Unido</w:t>
      </w:r>
      <w:r>
        <w:t xml:space="preserve">; de 11 de octubre de 2007, asunto </w:t>
      </w:r>
      <w:r w:rsidRPr="008D479B">
        <w:rPr>
          <w:i/>
        </w:rPr>
        <w:t>Glas Nadejda EOOD y Elenkov c. Bulgaria</w:t>
      </w:r>
      <w:r>
        <w:t xml:space="preserve">; de 17 de junio de 2008, asunto </w:t>
      </w:r>
      <w:r w:rsidRPr="008D479B">
        <w:rPr>
          <w:i/>
        </w:rPr>
        <w:t>Meltex Ltd. y Movsessian c. Armenia</w:t>
      </w:r>
      <w:r>
        <w:t xml:space="preserve">, así como el dictamen del Comité de Derechos Humanos de Naciones Unidas, de 27 de octubre de 2016, en el caso </w:t>
      </w:r>
      <w:r w:rsidRPr="008D479B">
        <w:rPr>
          <w:i/>
        </w:rPr>
        <w:t>Azagade c. Azerbaiyán</w:t>
      </w:r>
      <w:r>
        <w:t>.</w:t>
      </w:r>
    </w:p>
    <w:p w14:paraId="0539BF6F" w14:textId="77777777" w:rsidR="008D479B" w:rsidRDefault="008D479B" w:rsidP="008D479B">
      <w:pPr>
        <w:pStyle w:val="TextoNormal"/>
      </w:pPr>
    </w:p>
    <w:p w14:paraId="5A06981C" w14:textId="1D0C2FBC" w:rsidR="008D479B" w:rsidRDefault="008D479B" w:rsidP="008D479B">
      <w:pPr>
        <w:pStyle w:val="TextoNormal"/>
      </w:pPr>
      <w:r>
        <w:t>b) En segundo lugar, considera vulnerado el derecho a la igualdad (art. 14 CE), al haberse convocado en otras comunidades autónomas concursos públicos de licencias de comunicación audiovisual. Mantiene que el art. 27.4 LGCA, al tener la consideración de normativa básica, debe aplicarse de forma similar en todo el territorio estatal y la dispar interpretación efectuada por las distintas comunidades autónomas, a juicio de la entidad recurrente, lesiona el art. 14 CE.</w:t>
      </w:r>
    </w:p>
    <w:p w14:paraId="6B836384" w14:textId="77777777" w:rsidR="008D479B" w:rsidRDefault="008D479B" w:rsidP="008D479B">
      <w:pPr>
        <w:pStyle w:val="TextoNormal"/>
      </w:pPr>
    </w:p>
    <w:p w14:paraId="4AC6C178" w14:textId="77777777" w:rsidR="008D479B" w:rsidRDefault="008D479B" w:rsidP="008D479B">
      <w:pPr>
        <w:pStyle w:val="TextoNormal"/>
      </w:pPr>
      <w:r w:rsidRPr="008D479B">
        <w:rPr>
          <w:rStyle w:val="NumeroAFNegritaCaracter"/>
        </w:rPr>
        <w:t>4</w:t>
      </w:r>
      <w:r>
        <w:t>. Por providencia de 10 de octubre de 2022, la Sección Cuarta del Tribunal Constitucional acordó admitir a trámite la demanda de amparo, al apreciar que concurría en la misma una especial trascendencia constitucional [art. 50.1 de la Ley Orgánica del Tribunal Constitucional (LOTC)] porque el recurso podía dar ocasión al Tribunal para aclarar o cambiar su doctrina, como consecuencia de un proceso de reflexión interna [STC 155/2009, de 25 de junio, FJ 2 b)] y el asunto suscitado trascendía del caso concreto porque plantea una cuestión jurídica de relevante y general repercusión social o económica [STC 155/2009, FJ 2 g)].</w:t>
      </w:r>
    </w:p>
    <w:p w14:paraId="7B3FB512" w14:textId="77777777" w:rsidR="008D479B" w:rsidRDefault="008D479B" w:rsidP="008D479B">
      <w:pPr>
        <w:pStyle w:val="TextoNormal"/>
      </w:pPr>
    </w:p>
    <w:p w14:paraId="1B07F1FD" w14:textId="1A7F4DE9" w:rsidR="008D479B" w:rsidRDefault="008D479B" w:rsidP="008D479B">
      <w:pPr>
        <w:pStyle w:val="TextoNormal"/>
      </w:pPr>
      <w:r>
        <w:t>Asimismo, acordó dar cumplimiento a lo dispuesto en el art. 51 LOTC y formar la correspondiente pieza separada de suspensión, que fue concluida por ATC 164/2022, de 28 de noviembre, en el que se acordó denegar la suspensión cautelar solicitada.</w:t>
      </w:r>
    </w:p>
    <w:p w14:paraId="4D6CC617" w14:textId="77777777" w:rsidR="008D479B" w:rsidRDefault="008D479B" w:rsidP="008D479B">
      <w:pPr>
        <w:pStyle w:val="TextoNormal"/>
      </w:pPr>
    </w:p>
    <w:p w14:paraId="31279BF2" w14:textId="3E0B39FD" w:rsidR="008D479B" w:rsidRDefault="008D479B" w:rsidP="008D479B">
      <w:pPr>
        <w:pStyle w:val="TextoNormal"/>
      </w:pPr>
      <w:r w:rsidRPr="008D479B">
        <w:rPr>
          <w:rStyle w:val="NumeroAFNegritaCaracter"/>
        </w:rPr>
        <w:t>5</w:t>
      </w:r>
      <w:r>
        <w:t>. Por diligencia de ordenación de la Secretaría de Justicia de la Sección se tuvo por personada a la Comunidad Autónoma de Castilla y León. Y, a tenor de lo dispuesto en el art. 52 LOTC, se dio vista de las actuaciones, por un plazo común de veinte días, al Ministerio Fiscal y a las partes personadas para que dentro de dicho término pudieran presentar las alegaciones que a su derecho conviniera.</w:t>
      </w:r>
    </w:p>
    <w:p w14:paraId="0AED20E2" w14:textId="77777777" w:rsidR="008D479B" w:rsidRDefault="008D479B" w:rsidP="008D479B">
      <w:pPr>
        <w:pStyle w:val="TextoNormal"/>
      </w:pPr>
    </w:p>
    <w:p w14:paraId="6C334BF9" w14:textId="3C177663" w:rsidR="008D479B" w:rsidRDefault="008D479B" w:rsidP="008D479B">
      <w:pPr>
        <w:pStyle w:val="TextoNormal"/>
      </w:pPr>
      <w:r w:rsidRPr="008D479B">
        <w:rPr>
          <w:rStyle w:val="NumeroAFNegritaCaracter"/>
        </w:rPr>
        <w:t>6</w:t>
      </w:r>
      <w:r>
        <w:t>. . La Comunidad Autónoma de Castilla y León, con la representación y asistencia de letrada de su servicio jurídico, presentó sus alegaciones mediante escrito registrado el 11 de enero de 2023, en el que rechaza que se hayan vulnerado los derechos invocados en la demanda de amparo.</w:t>
      </w:r>
    </w:p>
    <w:p w14:paraId="1865248A" w14:textId="77777777" w:rsidR="008D479B" w:rsidRDefault="008D479B" w:rsidP="008D479B">
      <w:pPr>
        <w:pStyle w:val="TextoNormal"/>
      </w:pPr>
    </w:p>
    <w:p w14:paraId="3B173579" w14:textId="77777777" w:rsidR="008D479B" w:rsidRDefault="008D479B" w:rsidP="008D479B">
      <w:pPr>
        <w:pStyle w:val="TextoNormal"/>
      </w:pPr>
      <w:r w:rsidRPr="008D479B">
        <w:rPr>
          <w:rStyle w:val="NumeroAFNegritaCaracter"/>
        </w:rPr>
        <w:t>7</w:t>
      </w:r>
      <w:r>
        <w:t>. El Ministerio Fiscal presentó sus alegaciones mediante escrito registrado el 3 de febrero de 2023 en el que solicita la desestimación del recurso de amparo.</w:t>
      </w:r>
    </w:p>
    <w:p w14:paraId="20617749" w14:textId="77777777" w:rsidR="008D479B" w:rsidRDefault="008D479B" w:rsidP="008D479B">
      <w:pPr>
        <w:pStyle w:val="TextoNormal"/>
      </w:pPr>
    </w:p>
    <w:p w14:paraId="006639D9" w14:textId="77777777" w:rsidR="008D479B" w:rsidRDefault="008D479B" w:rsidP="008D479B">
      <w:pPr>
        <w:pStyle w:val="TextoNormal"/>
      </w:pPr>
      <w:r>
        <w:t>Descarta, en primer lugar, que se haya producido una vulneración del art. 14 CE, al no existir el término válido de comparación exigido para que se produzca la vulneración, pues no se han dictado las resoluciones por los mismos órganos, ni en el caso del reproche dirigido al Tribunal Supremo concurre la identidad de supuestos exigida.</w:t>
      </w:r>
    </w:p>
    <w:p w14:paraId="7EFA2F35" w14:textId="77777777" w:rsidR="008D479B" w:rsidRDefault="008D479B" w:rsidP="008D479B">
      <w:pPr>
        <w:pStyle w:val="TextoNormal"/>
      </w:pPr>
    </w:p>
    <w:p w14:paraId="6AE4C2DA" w14:textId="77777777" w:rsidR="008D479B" w:rsidRDefault="008D479B" w:rsidP="008D479B">
      <w:pPr>
        <w:pStyle w:val="TextoNormal"/>
      </w:pPr>
      <w:r>
        <w:t>Rechaza, asimismo, la vulneración del art. 20.1 a) y d) CE al existir una regulación normativa que establece el marco temporal de reserva del espacio radioeléctrico a los efectos de convocar los correspondientes concursos. Entiende que corresponde al legislador una mayor libertad de configuración normativa para disciplinar los soportes técnicos e instrumentos de comunicación, que la que posee al ordenar directamente los derechos fundamentales del art. 20.1 CE. De este modo las resoluciones administrativas y las sentencias que aplican la regulación establecida en este ámbito difícilmente pueden lesionar los derechos invocados.</w:t>
      </w:r>
    </w:p>
    <w:p w14:paraId="4C6DBF88" w14:textId="77777777" w:rsidR="008D479B" w:rsidRDefault="008D479B" w:rsidP="008D479B">
      <w:pPr>
        <w:pStyle w:val="TextoNormal"/>
      </w:pPr>
    </w:p>
    <w:p w14:paraId="1C31561E" w14:textId="588EAD93" w:rsidR="008D479B" w:rsidRDefault="008D479B" w:rsidP="008D479B">
      <w:pPr>
        <w:pStyle w:val="TextoNormal"/>
      </w:pPr>
      <w:r>
        <w:t xml:space="preserve">Finalmente, considera que las resoluciones del Tribunal Europeo de Derechos Humanos citadas no son aplicables por tratarse de decisiones de inadmisión o, en el caso de la STEDH de 20 de octubre de 1997, asunto </w:t>
      </w:r>
      <w:r w:rsidRPr="008D479B">
        <w:rPr>
          <w:i/>
        </w:rPr>
        <w:t>Radio ABC c. Austria</w:t>
      </w:r>
      <w:r>
        <w:t>, porque toda la actividad se subordinaba a una concesión del legislador federal que no se produjo, situación que se mantuvo durante tres periodos de tiempo, supuesto distinto al contemplado en la regulación española.</w:t>
      </w:r>
    </w:p>
    <w:p w14:paraId="17259455" w14:textId="77777777" w:rsidR="008D479B" w:rsidRDefault="008D479B" w:rsidP="008D479B">
      <w:pPr>
        <w:pStyle w:val="TextoNormal"/>
      </w:pPr>
    </w:p>
    <w:p w14:paraId="13A8B71C" w14:textId="4A8562E5" w:rsidR="008D479B" w:rsidRDefault="008D479B" w:rsidP="008D479B">
      <w:pPr>
        <w:pStyle w:val="TextoNormal"/>
      </w:pPr>
      <w:r w:rsidRPr="008D479B">
        <w:rPr>
          <w:rStyle w:val="NumeroAFNegritaCaracter"/>
        </w:rPr>
        <w:t>8</w:t>
      </w:r>
      <w:r>
        <w:t>. Por providencia de 21 de septiembre de 2023 se señaló para la deliberación y votación de la presente sentencia el día 25 del mismo mes y año.</w:t>
      </w:r>
    </w:p>
    <w:p w14:paraId="170265EF" w14:textId="77777777" w:rsidR="008D479B" w:rsidRDefault="008D479B" w:rsidP="008D479B">
      <w:pPr>
        <w:pStyle w:val="TextoNormal"/>
      </w:pPr>
    </w:p>
    <w:p w14:paraId="3F592D4B" w14:textId="77777777" w:rsidR="008D479B" w:rsidRDefault="008D479B" w:rsidP="008D479B">
      <w:pPr>
        <w:pStyle w:val="TextoNormalNegritaCentrado"/>
        <w:keepNext/>
      </w:pPr>
      <w:r>
        <w:t>II. Fundamentos jurídicos</w:t>
      </w:r>
    </w:p>
    <w:p w14:paraId="5FB71D29" w14:textId="0EE697C6" w:rsidR="008D479B" w:rsidRDefault="008D479B" w:rsidP="008D479B">
      <w:pPr>
        <w:pStyle w:val="TextoNormalNegritaCentrado"/>
        <w:keepNext/>
      </w:pPr>
    </w:p>
    <w:p w14:paraId="6FD6E172" w14:textId="77777777" w:rsidR="008D479B" w:rsidRDefault="008D479B" w:rsidP="008D479B">
      <w:pPr>
        <w:pStyle w:val="TextoNormal"/>
      </w:pPr>
      <w:r w:rsidRPr="008D479B">
        <w:rPr>
          <w:rStyle w:val="NumeroAFNegritaCaracter"/>
        </w:rPr>
        <w:t>1</w:t>
      </w:r>
      <w:r>
        <w:t xml:space="preserve">. </w:t>
      </w:r>
      <w:r w:rsidRPr="008D479B">
        <w:rPr>
          <w:i/>
        </w:rPr>
        <w:t>Objeto del recurso</w:t>
      </w:r>
    </w:p>
    <w:p w14:paraId="3B5D9340" w14:textId="77777777" w:rsidR="008D479B" w:rsidRDefault="008D479B" w:rsidP="008D479B">
      <w:pPr>
        <w:pStyle w:val="TextoNormal"/>
      </w:pPr>
    </w:p>
    <w:p w14:paraId="77B99C07" w14:textId="2780CA92" w:rsidR="008D479B" w:rsidRDefault="008D479B" w:rsidP="008D479B">
      <w:pPr>
        <w:pStyle w:val="TextoNormal"/>
      </w:pPr>
      <w:r>
        <w:t>El objeto de este recurso es determinar si la desestimación por silencio administrativo negativo de la solicitud de 7 de mayo de 2018 de convocatoria de concurso para la adjudicación de las licencias disponibles de comunicación audiovisual de radiodifusión sonora digital de ámbito local en la Comunidad Autónoma de Castilla y León, vulnera los derechos fundamentales a la libertad de información, comunicación y expresión [art. 20.1 a) y d) CE], en relación con el art. 14 CE.</w:t>
      </w:r>
    </w:p>
    <w:p w14:paraId="6AB4B76C" w14:textId="77777777" w:rsidR="008D479B" w:rsidRDefault="008D479B" w:rsidP="008D479B">
      <w:pPr>
        <w:pStyle w:val="TextoNormal"/>
      </w:pPr>
    </w:p>
    <w:p w14:paraId="345330EA" w14:textId="77777777" w:rsidR="008D479B" w:rsidRDefault="008D479B" w:rsidP="008D479B">
      <w:pPr>
        <w:pStyle w:val="TextoNormal"/>
      </w:pPr>
      <w:r w:rsidRPr="008D479B">
        <w:rPr>
          <w:rStyle w:val="NumeroAFNegritaCaracter"/>
        </w:rPr>
        <w:t>2</w:t>
      </w:r>
      <w:r>
        <w:t xml:space="preserve">. </w:t>
      </w:r>
      <w:r w:rsidRPr="008D479B">
        <w:rPr>
          <w:i/>
        </w:rPr>
        <w:t>Remisión a lo resuelto en la STC 89/2023, de 18 de julio</w:t>
      </w:r>
    </w:p>
    <w:p w14:paraId="6601204C" w14:textId="77777777" w:rsidR="008D479B" w:rsidRDefault="008D479B" w:rsidP="008D479B">
      <w:pPr>
        <w:pStyle w:val="TextoNormal"/>
      </w:pPr>
    </w:p>
    <w:p w14:paraId="01522EAC" w14:textId="11E5F586" w:rsidR="008D479B" w:rsidRDefault="008D479B" w:rsidP="008D479B">
      <w:pPr>
        <w:pStyle w:val="TextoNormal"/>
      </w:pPr>
      <w:r>
        <w:t>El problema constitucional que se plantea en este proceso de amparo es coincidente con el resuelto en la STC 89/2023, de 18 de julio, que excluyó que la actuación administrativa impugnada, en cuanto denegó la convocatoria del concurso solicitado para la concesión de licencias de prestación de servicios audiovisuales, vulnerara los derechos a expresar y difundir libremente los pensamientos, ideas y opiniones mediante la palabra, el escrito o cualquier otro medio de reproducción [art. 20.1 a) CE] y a comunicar o recibir libremente información veraz por cualquier medio de difusión [art. 20.1 d) CE], en relación con el principio de igualdad (art. 14 CE), lo que determina que, por idénticas razones, proceda desestimar el presente recurso de amparo.</w:t>
      </w:r>
    </w:p>
    <w:p w14:paraId="7230D42A" w14:textId="77777777" w:rsidR="008D479B" w:rsidRDefault="008D479B" w:rsidP="008D479B">
      <w:pPr>
        <w:pStyle w:val="TextoNormal"/>
      </w:pPr>
    </w:p>
    <w:p w14:paraId="51E0102D" w14:textId="77777777" w:rsidR="008D479B" w:rsidRDefault="008D479B" w:rsidP="008D479B">
      <w:pPr>
        <w:pStyle w:val="TextoNormalCentrado"/>
        <w:keepNext/>
      </w:pPr>
      <w:r>
        <w:t>FALLO</w:t>
      </w:r>
    </w:p>
    <w:p w14:paraId="2FDAEB14" w14:textId="7C793B2C" w:rsidR="008D479B" w:rsidRDefault="008D479B" w:rsidP="008D479B">
      <w:pPr>
        <w:pStyle w:val="TextoNormalCentrado"/>
        <w:keepNext/>
      </w:pPr>
    </w:p>
    <w:p w14:paraId="37CFC15F" w14:textId="383A2796" w:rsidR="008D479B" w:rsidRDefault="008D479B" w:rsidP="008D479B">
      <w:pPr>
        <w:pStyle w:val="TextoNormal"/>
      </w:pPr>
      <w:r>
        <w:t>En atención a todo lo expuesto, el Tribunal Constitucional, por la autoridad que le confiere la Constitución de la Nación española, ha decidido desestimar el recurso de amparo interpuesto por Movemos Madrid, S.L.</w:t>
      </w:r>
    </w:p>
    <w:p w14:paraId="64675FB4" w14:textId="77777777" w:rsidR="008D479B" w:rsidRDefault="008D479B" w:rsidP="008D479B">
      <w:pPr>
        <w:pStyle w:val="TextoNormal"/>
      </w:pPr>
    </w:p>
    <w:p w14:paraId="5D491386" w14:textId="77777777" w:rsidR="008D479B" w:rsidRDefault="008D479B" w:rsidP="008D479B">
      <w:pPr>
        <w:pStyle w:val="TextoNormal"/>
      </w:pPr>
      <w:r>
        <w:t>Publíquese esta sentencia en el “Boletín Oficial del Estado”.</w:t>
      </w:r>
    </w:p>
    <w:p w14:paraId="3BE2B22C" w14:textId="77777777" w:rsidR="008D479B" w:rsidRDefault="008D479B" w:rsidP="008D479B">
      <w:pPr>
        <w:pStyle w:val="TextoNormal"/>
      </w:pPr>
      <w:r>
        <w:t>Dada en Madrid, a veinticinco de septiembre de dos mil veintitrés.</w:t>
      </w:r>
    </w:p>
    <w:p w14:paraId="6A1D5C3D" w14:textId="577EF0A4" w:rsidR="008D479B" w:rsidRDefault="008D479B" w:rsidP="008D479B">
      <w:pPr>
        <w:pStyle w:val="ParrafoNormal"/>
      </w:pPr>
    </w:p>
    <w:p w14:paraId="0F8D5DBA" w14:textId="77777777" w:rsidR="008D479B" w:rsidRDefault="008D479B" w:rsidP="008D479B">
      <w:pPr>
        <w:pStyle w:val="TextoNormalNegritaCentrado"/>
        <w:keepNext/>
      </w:pPr>
      <w:r>
        <w:t>Voto particular que formula la magistrada doña María Luisa Balaguer Callejón a la sentencia dictada en el recurso de amparo núm. 1750-2021</w:t>
      </w:r>
    </w:p>
    <w:p w14:paraId="48960042" w14:textId="3D94C66F" w:rsidR="008D479B" w:rsidRDefault="008D479B" w:rsidP="008D479B">
      <w:pPr>
        <w:pStyle w:val="TextoNormalNegritaCentrado"/>
        <w:keepNext/>
      </w:pPr>
    </w:p>
    <w:p w14:paraId="5C01C210" w14:textId="77777777" w:rsidR="008D479B" w:rsidRDefault="008D479B" w:rsidP="008D479B">
      <w:pPr>
        <w:pStyle w:val="TextoNormal"/>
      </w:pPr>
      <w:r>
        <w:t>Con el mayor respeto al criterio reflejado en la sentencia a que se refiere el encabezamiento y, en ejercicio de la facultad que me confiere el art. 90.2 de la Ley Orgánica del Tribunal Constitucional, manifiesto mi discrepancia con la argumentación y fallo de la sentencia aprobada por la Sala. Por ello, me remito, en su totalidad, al voto particular que realicé a la STC 89/2023, de 18 de julio.</w:t>
      </w:r>
    </w:p>
    <w:p w14:paraId="79F5B53A" w14:textId="77777777" w:rsidR="008D479B" w:rsidRDefault="008D479B" w:rsidP="008D479B">
      <w:pPr>
        <w:pStyle w:val="TextoNormal"/>
      </w:pPr>
    </w:p>
    <w:p w14:paraId="367339E2" w14:textId="623660AA" w:rsidR="008D479B" w:rsidRDefault="008D479B" w:rsidP="008D479B">
      <w:pPr>
        <w:pStyle w:val="TextoNormal"/>
      </w:pPr>
      <w:r>
        <w:t>Madrid, a veinticinco de septiembre de dos mil veintitrés.</w:t>
      </w:r>
    </w:p>
    <w:p w14:paraId="0A88BF88" w14:textId="3B288751" w:rsidR="008D479B" w:rsidRDefault="008D479B">
      <w:pPr>
        <w:spacing w:after="160" w:line="278" w:lineRule="auto"/>
        <w:rPr>
          <w:rFonts w:ascii="Times New Roman" w:eastAsia="Times New Roman" w:hAnsi="Times New Roman" w:cs="Times New Roman"/>
          <w:sz w:val="24"/>
          <w:szCs w:val="24"/>
          <w:lang w:eastAsia="es-ES"/>
        </w:rPr>
      </w:pPr>
      <w:r>
        <w:br w:type="page"/>
      </w:r>
    </w:p>
    <w:p w14:paraId="2A4EACC9" w14:textId="77777777" w:rsidR="008D479B" w:rsidRDefault="008D479B" w:rsidP="008D479B">
      <w:pPr>
        <w:pStyle w:val="TtuloResolucin"/>
      </w:pPr>
      <w:bookmarkStart w:id="38" w:name="SENTENCIA_2023_113"/>
      <w:r>
        <w:t>SENTENCIA 113/2023, de 25 de septiembre de 2023</w:t>
      </w:r>
    </w:p>
    <w:bookmarkEnd w:id="38"/>
    <w:p w14:paraId="3ADDE72E" w14:textId="77777777" w:rsidR="008D479B" w:rsidRDefault="008D479B" w:rsidP="008D479B">
      <w:pPr>
        <w:pStyle w:val="TtuloResolucin"/>
      </w:pPr>
      <w:r>
        <w:t>Sala Segunda</w:t>
      </w:r>
    </w:p>
    <w:p w14:paraId="2DCE739D" w14:textId="77777777" w:rsidR="008D479B" w:rsidRDefault="008D479B" w:rsidP="008D479B">
      <w:pPr>
        <w:pStyle w:val="TtuloBOE"/>
      </w:pPr>
      <w:r>
        <w:t>(BOE núm. 261, de 1 de noviembre de 2023)</w:t>
      </w:r>
    </w:p>
    <w:p w14:paraId="4A01D8CD" w14:textId="77777777" w:rsidR="008D479B" w:rsidRDefault="008D479B" w:rsidP="008D479B">
      <w:pPr>
        <w:pStyle w:val="TextoNormalCentrado"/>
      </w:pPr>
      <w:r>
        <w:t>ECLI:ES:TC:2023:113</w:t>
      </w:r>
    </w:p>
    <w:p w14:paraId="0A4EA8F3" w14:textId="06B4327F" w:rsidR="008D479B" w:rsidRDefault="008D479B" w:rsidP="008D479B">
      <w:pPr>
        <w:pStyle w:val="TextoNormalCentrado"/>
      </w:pPr>
    </w:p>
    <w:p w14:paraId="51FAF46F" w14:textId="77777777" w:rsidR="008D479B" w:rsidRDefault="008D479B" w:rsidP="008D479B">
      <w:pPr>
        <w:pStyle w:val="SntesisDescriptiva"/>
      </w:pPr>
      <w:r>
        <w:t>Recurso de amparo 1754-2021. Promovido por la Asociación Emplazamientos y Comunicación Nueva Esperanza respecto de las resoluciones de la Consejería de Fomento y Medio Ambiente de la Junta de Castilla y León que rechazaron su solicitud de convocatoria de concurso público para la adjudicación de licencias disponibles de comunicación audiovisual de radiodifusión sonora digital terrestre de ámbito local.</w:t>
      </w:r>
    </w:p>
    <w:p w14:paraId="1BF312C7" w14:textId="2046AA2B" w:rsidR="008D479B" w:rsidRDefault="008D479B" w:rsidP="008D479B">
      <w:pPr>
        <w:pStyle w:val="SntesisDescriptiva"/>
      </w:pPr>
    </w:p>
    <w:p w14:paraId="3F3C15C5" w14:textId="77777777" w:rsidR="008D479B" w:rsidRDefault="008D479B" w:rsidP="008D479B">
      <w:pPr>
        <w:pStyle w:val="SntesisAnaltica"/>
      </w:pPr>
      <w:r>
        <w:t>Supuesta vulneración del derecho a la igualdad y a las libertades de expresión e información: STC 89/2023 (resolución administrativa que no resulta desproporcionada y que viene impuesta por la inexistencia de reserva de dominio público radioeléctrico). Voto particular.</w:t>
      </w:r>
    </w:p>
    <w:p w14:paraId="649BC8CA" w14:textId="1982852F" w:rsidR="008D479B" w:rsidRDefault="008D479B" w:rsidP="008D479B">
      <w:pPr>
        <w:pStyle w:val="SntesisAnaltica"/>
      </w:pPr>
    </w:p>
    <w:p w14:paraId="00E48F84" w14:textId="6B97B398" w:rsidR="008D479B" w:rsidRDefault="008D479B" w:rsidP="008D479B">
      <w:pPr>
        <w:pStyle w:val="Extracto"/>
      </w:pPr>
      <w:r>
        <w:t>1.</w:t>
      </w:r>
      <w:r>
        <w:tab/>
        <w:t xml:space="preserve">Remisión a la STC 89/2023 que declaró respetados los derechos a expresar y difundir libremente los pensamientos, ideas y opiniones, así como a comunicar o recibir libremente información veraz por cualquier medio de difusión, consagrados en el art. 20.1 a) y d) CE, en relación con el principio de igualdad reconocido en el art. 14 CE, por parte de la actuación administrativa denegatoria de convocatoria de concurso para la concesión de licencias de prestación de servicios audiovisuales </w:t>
      </w:r>
    </w:p>
    <w:p w14:paraId="4CB7F941" w14:textId="77777777" w:rsidR="008D479B" w:rsidRDefault="008D479B" w:rsidP="008D479B">
      <w:pPr>
        <w:pStyle w:val="Extracto"/>
      </w:pPr>
    </w:p>
    <w:p w14:paraId="240A240C" w14:textId="77777777" w:rsidR="008D479B" w:rsidRDefault="008D479B" w:rsidP="008D479B">
      <w:pPr>
        <w:pStyle w:val="Extracto"/>
      </w:pPr>
    </w:p>
    <w:p w14:paraId="1CA8CDA2" w14:textId="77777777" w:rsidR="008D479B" w:rsidRDefault="008D479B" w:rsidP="008D479B">
      <w:pPr>
        <w:pStyle w:val="TextoNormal"/>
      </w:pPr>
      <w: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14:paraId="3C0E9C51" w14:textId="7EF874E1" w:rsidR="008D479B" w:rsidRDefault="008D479B" w:rsidP="008D479B">
      <w:pPr>
        <w:pStyle w:val="TextoNormal"/>
      </w:pPr>
    </w:p>
    <w:p w14:paraId="26BDF548" w14:textId="77777777" w:rsidR="008D479B" w:rsidRDefault="008D479B" w:rsidP="008D479B">
      <w:pPr>
        <w:pStyle w:val="TextoNormalCentrado"/>
        <w:keepNext/>
      </w:pPr>
      <w:r>
        <w:t>EN NOMBRE DEL REY</w:t>
      </w:r>
    </w:p>
    <w:p w14:paraId="134D25FA" w14:textId="11B6A3FE" w:rsidR="008D479B" w:rsidRDefault="008D479B" w:rsidP="008D479B">
      <w:pPr>
        <w:pStyle w:val="TextoNormalCentrado"/>
        <w:keepNext/>
      </w:pPr>
    </w:p>
    <w:p w14:paraId="6649FB9A" w14:textId="77777777" w:rsidR="008D479B" w:rsidRDefault="008D479B" w:rsidP="008D479B">
      <w:pPr>
        <w:pStyle w:val="TextoNormalCentrado"/>
        <w:keepNext/>
      </w:pPr>
    </w:p>
    <w:p w14:paraId="1159F003" w14:textId="77777777" w:rsidR="008D479B" w:rsidRDefault="008D479B" w:rsidP="008D479B">
      <w:pPr>
        <w:pStyle w:val="TextoNormal"/>
      </w:pPr>
      <w:r>
        <w:t>la siguiente</w:t>
      </w:r>
    </w:p>
    <w:p w14:paraId="7CF1B9B8" w14:textId="606EAFC5" w:rsidR="008D479B" w:rsidRDefault="008D479B" w:rsidP="008D479B">
      <w:pPr>
        <w:pStyle w:val="TextoNormal"/>
      </w:pPr>
    </w:p>
    <w:p w14:paraId="60002F75" w14:textId="77777777" w:rsidR="008D479B" w:rsidRDefault="008D479B" w:rsidP="008D479B">
      <w:pPr>
        <w:pStyle w:val="TextoNormalCentrado"/>
        <w:keepNext/>
      </w:pPr>
      <w:r>
        <w:t>SENTENCIA</w:t>
      </w:r>
    </w:p>
    <w:p w14:paraId="683021CB" w14:textId="198D6248" w:rsidR="008D479B" w:rsidRDefault="008D479B" w:rsidP="008D479B">
      <w:pPr>
        <w:pStyle w:val="TextoNormalCentrado"/>
        <w:keepNext/>
      </w:pPr>
    </w:p>
    <w:p w14:paraId="25DF1E05" w14:textId="77777777" w:rsidR="008D479B" w:rsidRDefault="008D479B" w:rsidP="008D479B">
      <w:pPr>
        <w:pStyle w:val="TextoNormal"/>
      </w:pPr>
      <w:r>
        <w:t>En el recurso de amparo número 1754-2021, promovido por la Asociación Emplazamientos y Comunicación Nueva Esperanza, representada por la procuradora de los tribunales doña Sonia Rivas Farpón y asistida por el abogado don Jaime Rodríguez Díez, contra la desestimación presunta por la Consejería de Fomento y Medio Ambiente de la Junta de Castilla y León de la solicitud de 10 de julio de 2018 de convocatoria de concurso público para el otorgamiento de licencias de comunicación audiovisual de radiodifusión sonora digital con cobertura local integradas en los bloques de frecuencia asignados a la Comunidad Autónoma de Castilla y León. Ha comparecido la referida comunidad autónoma y ha intervenido el Ministerio Fiscal. Ha sido ponente el magistrado don César Tolosa Tribiño.</w:t>
      </w:r>
    </w:p>
    <w:p w14:paraId="3AF5664D" w14:textId="6DA9CB0A" w:rsidR="008D479B" w:rsidRDefault="008D479B" w:rsidP="008D479B">
      <w:pPr>
        <w:pStyle w:val="TextoNormal"/>
      </w:pPr>
    </w:p>
    <w:p w14:paraId="21C18A67" w14:textId="77777777" w:rsidR="008D479B" w:rsidRDefault="008D479B" w:rsidP="008D479B">
      <w:pPr>
        <w:pStyle w:val="TextoNormalNegritaCentrado"/>
        <w:keepNext/>
      </w:pPr>
      <w:r>
        <w:t>I. Antecedentes</w:t>
      </w:r>
    </w:p>
    <w:p w14:paraId="5FBA89FD" w14:textId="124CA779" w:rsidR="008D479B" w:rsidRDefault="008D479B" w:rsidP="008D479B">
      <w:pPr>
        <w:pStyle w:val="TextoNormalNegritaCentrado"/>
        <w:keepNext/>
      </w:pPr>
    </w:p>
    <w:p w14:paraId="28EAB679" w14:textId="3DCEE164" w:rsidR="008D479B" w:rsidRDefault="008D479B" w:rsidP="008D479B">
      <w:pPr>
        <w:pStyle w:val="TextoNormal"/>
      </w:pPr>
      <w:r w:rsidRPr="008D479B">
        <w:rPr>
          <w:rStyle w:val="NumeroAFNegritaCaracter"/>
        </w:rPr>
        <w:t>1</w:t>
      </w:r>
      <w:r>
        <w:t>. Mediante escrito presentado en el registro general de este tribunal el 25 de marzo de 2021, la procuradora de los tribunales doña Sonia Rivas Farpón, actuando en nombre y representación de la Asociación Emplazamientos y Comunicación Nueva Esperanza, bajo la defensa del letrado don Jaime Rodríguez Díez, interpuso demanda de amparo contra la desestimación presunta arriba mencionada.</w:t>
      </w:r>
    </w:p>
    <w:p w14:paraId="36E1BCEB" w14:textId="77777777" w:rsidR="008D479B" w:rsidRDefault="008D479B" w:rsidP="008D479B">
      <w:pPr>
        <w:pStyle w:val="TextoNormal"/>
      </w:pPr>
    </w:p>
    <w:p w14:paraId="2F21254A" w14:textId="77777777" w:rsidR="008D479B" w:rsidRDefault="008D479B" w:rsidP="008D479B">
      <w:pPr>
        <w:pStyle w:val="TextoNormal"/>
      </w:pPr>
      <w:r w:rsidRPr="008D479B">
        <w:rPr>
          <w:rStyle w:val="NumeroAFNegritaCaracter"/>
        </w:rPr>
        <w:t>2</w:t>
      </w:r>
      <w:r>
        <w:t>. Los hechos con relevancia para la resolución del presente recurso de amparo y a los que se refiere la demanda presentada son los siguientes:</w:t>
      </w:r>
    </w:p>
    <w:p w14:paraId="0FF24002" w14:textId="77777777" w:rsidR="008D479B" w:rsidRDefault="008D479B" w:rsidP="008D479B">
      <w:pPr>
        <w:pStyle w:val="TextoNormal"/>
      </w:pPr>
    </w:p>
    <w:p w14:paraId="21FADBF5" w14:textId="77777777" w:rsidR="008D479B" w:rsidRDefault="008D479B" w:rsidP="008D479B">
      <w:pPr>
        <w:pStyle w:val="TextoNormal"/>
      </w:pPr>
      <w:r>
        <w:t>a) La Asociación Emplazamientos y Comunicación Nueva Esperanza interpuso recurso contencioso administrativo contra la desestimación presunta por la Consejería de Fomento y Medio Ambiente de la Junta de Castilla y León de su solicitud de 10 de julio de 2018 de convocatoria de concurso público para el otorgamiento de licencias de comunicación audiovisual de radiodifusión sonora digital con cobertura local integradas en los bloques de frecuencia asignados a la Comunidad Autónoma de Castilla y León.</w:t>
      </w:r>
    </w:p>
    <w:p w14:paraId="197389D9" w14:textId="77777777" w:rsidR="008D479B" w:rsidRDefault="008D479B" w:rsidP="008D479B">
      <w:pPr>
        <w:pStyle w:val="TextoNormal"/>
      </w:pPr>
    </w:p>
    <w:p w14:paraId="04E48E0E" w14:textId="77777777" w:rsidR="008D479B" w:rsidRDefault="008D479B" w:rsidP="008D479B">
      <w:pPr>
        <w:pStyle w:val="TextoNormal"/>
      </w:pPr>
      <w:r>
        <w:t>b) La Sala de lo Contencioso-Administrativo del Tribunal Superior de Justicia de Castilla y León, con sede en Valladolid, estimó el recurso interpuesto por sentencia de 22 de mayo de 2020 al concluir que la obligación de la administración de convocar las licencias de comunicación audiovisual que estén libres, vacantes o desiertas, sea la causa que sea, no puede quedar enervada por lo previsto en el art. 27.4 de la Ley general de la comunicación audiovisual (LGCA).</w:t>
      </w:r>
    </w:p>
    <w:p w14:paraId="279135DF" w14:textId="77777777" w:rsidR="008D479B" w:rsidRDefault="008D479B" w:rsidP="008D479B">
      <w:pPr>
        <w:pStyle w:val="TextoNormal"/>
      </w:pPr>
    </w:p>
    <w:p w14:paraId="7323A3EA" w14:textId="77777777" w:rsidR="008D479B" w:rsidRDefault="008D479B" w:rsidP="008D479B">
      <w:pPr>
        <w:pStyle w:val="TextoNormal"/>
      </w:pPr>
      <w:r>
        <w:t>c) Frente a dicha sentencia la representación procesal de la Comunidad Autónoma de Castilla y León interpuso recurso de casación, que fue estimado por sentencia de la Sección Tercera de la Sala de lo Contencioso-Administrativo del Tribunal Supremo de 1 de marzo de 2021.</w:t>
      </w:r>
    </w:p>
    <w:p w14:paraId="6EFBED0A" w14:textId="77777777" w:rsidR="008D479B" w:rsidRDefault="008D479B" w:rsidP="008D479B">
      <w:pPr>
        <w:pStyle w:val="TextoNormal"/>
      </w:pPr>
    </w:p>
    <w:p w14:paraId="21436064" w14:textId="77777777" w:rsidR="008D479B" w:rsidRDefault="008D479B" w:rsidP="008D479B">
      <w:pPr>
        <w:pStyle w:val="TextoNormal"/>
      </w:pPr>
      <w:r>
        <w:t>Atendiendo al interés casacional advertido en el auto de admisión a trámite, la sentencia de casación expone la existencia de dos criterios jurisdiccionales distintos entre los diferentes tribunales superiores de justicia y distingue el caso que se le plantea, relativo a las circunstancias de aplicación y a los efectos que los plazos prevenidos en el art. 27.4 LGCA puedan tener sobre los planes técnicos y sobre la cobertura de las licencias vacantes, de otros examinados por el propio tribunal.</w:t>
      </w:r>
    </w:p>
    <w:p w14:paraId="0D1D0D74" w14:textId="77777777" w:rsidR="008D479B" w:rsidRDefault="008D479B" w:rsidP="008D479B">
      <w:pPr>
        <w:pStyle w:val="TextoNormal"/>
      </w:pPr>
    </w:p>
    <w:p w14:paraId="1DFA963E" w14:textId="66C3EDD2" w:rsidR="008D479B" w:rsidRDefault="008D479B" w:rsidP="008D479B">
      <w:pPr>
        <w:pStyle w:val="TextoNormal"/>
      </w:pPr>
      <w:r>
        <w:t>Colige que nada hay en el art. 27 LGCA que pueda considerarse irrazonable o indebidamente restrictivo, en particular, al prever que el no aprovechamiento de espacios reservados al dominio público radioeléctrico para servicios de radiodifusión en un plazo concreto de tiempo tras la aprobación de la planificación correspondiente hace decaer dicha reserva. Tampoco considera que la aplicación del art. 27.4 LGCA incurra en prohibición de irretroactividad porque se proyecte sobre una planificación técnica aprobada con anterioridad a la entrada en vigor de la Ley general de la comunicación audiovisual, concluyendo que “de conformidad con lo dispuesto en el artículo 27.4 de la Ley general de comunicación audiovisual, en caso de transcurso de los plazos estipulados en dicho precepto tras la aprobación de un plan técnico nacional de un servicio de radio o televisión, sin que la administración haya solicitado la afectación al servicio público de radio o televisión de que se trate de la reserva de dominio prevista en el citado plan o se haya convocado concurso para el otorgamiento de licencias, y sin que ningún interesado haya solicitado dicha convocatoria, la reserva de dominio decaerá y será excluida de la planificación. En consecuencia y dados tales presupuestos, la administración no estaría ya obligada a la convocatoria de concurso a solicitud de cualquier interesado hasta que se efectúe una nueva reserva de dominio y se produzca la correspondiente afectación al servicio público de radio o televisión”.</w:t>
      </w:r>
    </w:p>
    <w:p w14:paraId="3B30741A" w14:textId="77777777" w:rsidR="008D479B" w:rsidRDefault="008D479B" w:rsidP="008D479B">
      <w:pPr>
        <w:pStyle w:val="TextoNormal"/>
      </w:pPr>
    </w:p>
    <w:p w14:paraId="6FA274DF" w14:textId="77777777" w:rsidR="008D479B" w:rsidRDefault="008D479B" w:rsidP="008D479B">
      <w:pPr>
        <w:pStyle w:val="TextoNormal"/>
      </w:pPr>
      <w:r w:rsidRPr="008D479B">
        <w:rPr>
          <w:rStyle w:val="NumeroAFNegritaCaracter"/>
        </w:rPr>
        <w:t>3</w:t>
      </w:r>
      <w:r>
        <w:t>. En la demanda de amparo se alegan las siguientes vulneraciones constitucionales:</w:t>
      </w:r>
    </w:p>
    <w:p w14:paraId="7FAC123E" w14:textId="77777777" w:rsidR="008D479B" w:rsidRDefault="008D479B" w:rsidP="008D479B">
      <w:pPr>
        <w:pStyle w:val="TextoNormal"/>
      </w:pPr>
    </w:p>
    <w:p w14:paraId="718F0632" w14:textId="77777777" w:rsidR="008D479B" w:rsidRDefault="008D479B" w:rsidP="008D479B">
      <w:pPr>
        <w:pStyle w:val="TextoNormal"/>
      </w:pPr>
      <w:r>
        <w:t>a) Afirma que la negativa a convocar un concurso público por parte del Gobierno de la Comunidad Autónoma de Castilla y León amparándose en el transcurso de un plazo imputable a su propia inactividad y el consiguiente decaimiento de la planificación del espacio radioeléctrico ha imposibilitado el ejercicio de los derechos fundamentales a la libertad de información, comunicación y expresión, en relación con el art. 14 CE, en concreto, de su derecho a crear los medios de comunicación indispensables para el ejercicio del derecho a expresar y difundir libremente los pensamientos, ideas y opiniones mediante la palabra, el escrito o cualquier otro medio de reproducción [art. 20.1 a) CE] y a comunicar o recibir libremente información veraz por cualquier medio de difusión [art. 20.1 d) CE]. Entiende que prevalece el deber de convocar el concurso de adjudicación (art. 27.2 LGCA) sobre el eventual decaimiento de la reserva del espectro radioeléctrico (art. 27.4 LGCA) por lo que ha sido la inacción de la administración pública la causante de que no se haya aprovechado el espectro que el Estado ha otorgado a la comunidad autónoma, lo que invalida el acto recurrido por ser contrario a los derechos invocados. Alega que otras comunidades autónomas han procedido a efectuar los concursos de licencias más allá del plazo establecido y que la negativa a convocar los concursos de adjudicación de licencias vacantes es incompatible con la Directiva 2018/1972, de 11 de diciembre, por la que se establece el Código europeo de las comunicaciones electrónicas, por crear barreras de acceso al mercado e inutilizar el espectro radioeléctrico.</w:t>
      </w:r>
    </w:p>
    <w:p w14:paraId="3454026B" w14:textId="77777777" w:rsidR="008D479B" w:rsidRDefault="008D479B" w:rsidP="008D479B">
      <w:pPr>
        <w:pStyle w:val="TextoNormal"/>
      </w:pPr>
    </w:p>
    <w:p w14:paraId="6A7D9E8F" w14:textId="77777777" w:rsidR="008D479B" w:rsidRDefault="008D479B" w:rsidP="008D479B">
      <w:pPr>
        <w:pStyle w:val="TextoNormal"/>
      </w:pPr>
      <w:r>
        <w:t>Sostiene también que existe una patente contradicción entre las sentencias del Tribunal Supremo al diferenciar incorrectamente entre licencias de televisión digital y licencias de radiodifusión digital para la protección de los derechos fundamentales.</w:t>
      </w:r>
    </w:p>
    <w:p w14:paraId="4B305BE1" w14:textId="77777777" w:rsidR="008D479B" w:rsidRDefault="008D479B" w:rsidP="008D479B">
      <w:pPr>
        <w:pStyle w:val="TextoNormal"/>
      </w:pPr>
    </w:p>
    <w:p w14:paraId="7E68E7CE" w14:textId="77777777" w:rsidR="008D479B" w:rsidRDefault="008D479B" w:rsidP="008D479B">
      <w:pPr>
        <w:pStyle w:val="TextoNormal"/>
      </w:pPr>
      <w:r>
        <w:t xml:space="preserve">Añade, en fin, que la negativa a conceder una licencia de radiodifusión infringe el art. 10, apartado 1, del Convenio europeo de derechos humanos (CEDH) y cita las resoluciones del Tribunal Europeo de Derechos Humanos de 20 de octubre de 1997, asunto </w:t>
      </w:r>
      <w:r w:rsidRPr="008D479B">
        <w:rPr>
          <w:i/>
        </w:rPr>
        <w:t>Radio ABC c. Austria</w:t>
      </w:r>
      <w:r>
        <w:t xml:space="preserve">; de 23 de noviembre de 1999, asunto </w:t>
      </w:r>
      <w:r w:rsidRPr="008D479B">
        <w:rPr>
          <w:i/>
        </w:rPr>
        <w:t>Leveque c. Francia</w:t>
      </w:r>
      <w:r>
        <w:t xml:space="preserve">; de 7 de noviembre de 2000, asunto </w:t>
      </w:r>
      <w:r w:rsidRPr="008D479B">
        <w:rPr>
          <w:i/>
        </w:rPr>
        <w:t>United Christian Broadcasters Ltd. c. Reino Unido</w:t>
      </w:r>
      <w:r>
        <w:t xml:space="preserve">; de 11 de octubre de 2007, asunto </w:t>
      </w:r>
      <w:r w:rsidRPr="008D479B">
        <w:rPr>
          <w:i/>
        </w:rPr>
        <w:t>Glas Nadejda EOOD y Elenkov c. Bulgaria</w:t>
      </w:r>
      <w:r>
        <w:t xml:space="preserve">; de 17 de junio de 2008, asunto </w:t>
      </w:r>
      <w:r w:rsidRPr="008D479B">
        <w:rPr>
          <w:i/>
        </w:rPr>
        <w:t>Meltex Ltd. y Movsessian c. Armenia</w:t>
      </w:r>
      <w:r>
        <w:t xml:space="preserve">, así como el dictamen del Comité de Derechos Humanos de Naciones Unidas, de 27 de octubre de 2016, en el caso </w:t>
      </w:r>
      <w:r w:rsidRPr="008D479B">
        <w:rPr>
          <w:i/>
        </w:rPr>
        <w:t>Azagade c. Azerbaiyán</w:t>
      </w:r>
      <w:r>
        <w:t>.</w:t>
      </w:r>
    </w:p>
    <w:p w14:paraId="060F9544" w14:textId="77777777" w:rsidR="008D479B" w:rsidRDefault="008D479B" w:rsidP="008D479B">
      <w:pPr>
        <w:pStyle w:val="TextoNormal"/>
      </w:pPr>
    </w:p>
    <w:p w14:paraId="3907E43E" w14:textId="19942C64" w:rsidR="008D479B" w:rsidRDefault="008D479B" w:rsidP="008D479B">
      <w:pPr>
        <w:pStyle w:val="TextoNormal"/>
      </w:pPr>
      <w:r>
        <w:t>b) En segundo lugar, considera vulnerado el derecho a la igualdad (art. 14 CE), al haberse convocado en otras comunidades autónomas concursos públicos de licencias de comunicación audiovisual. Mantiene que el art. 27.4 LGCA, al tener la consideración de normativa básica, debe aplicarse de forma similar en todo el territorio estatal y la dispar interpretación efectuada por las distintas comunidades autónomas, a juicio de la entidad recurrente, lesiona el art. 14 CE.</w:t>
      </w:r>
    </w:p>
    <w:p w14:paraId="5F937DA9" w14:textId="77777777" w:rsidR="008D479B" w:rsidRDefault="008D479B" w:rsidP="008D479B">
      <w:pPr>
        <w:pStyle w:val="TextoNormal"/>
      </w:pPr>
    </w:p>
    <w:p w14:paraId="61390EB1" w14:textId="77777777" w:rsidR="008D479B" w:rsidRDefault="008D479B" w:rsidP="008D479B">
      <w:pPr>
        <w:pStyle w:val="TextoNormal"/>
      </w:pPr>
      <w:r w:rsidRPr="008D479B">
        <w:rPr>
          <w:rStyle w:val="NumeroAFNegritaCaracter"/>
        </w:rPr>
        <w:t>4</w:t>
      </w:r>
      <w:r>
        <w:t>. Por providencia de 24 de octubre de 2022, la Sección Tercera del Tribunal Constitucional acordó admitir a trámite la demanda de amparo, al apreciar que concurría en la misma una especial trascendencia constitucional [art. 50.1 de la Ley Orgánica del Tribunal Constitucional (LOTC)] porque el recurso podía dar ocasión al Tribunal para aclarar o cambiar su doctrina, como consecuencia de un proceso de reflexión interna [STC 155/2009, de 25 de junio, FJ 2 b)] y el asunto suscitado trascendía del caso concreto porque plantea una cuestión jurídica de relevante y general repercusión social o económica [STC 155/2009, FJ 2 g)].</w:t>
      </w:r>
    </w:p>
    <w:p w14:paraId="396B819C" w14:textId="77777777" w:rsidR="008D479B" w:rsidRDefault="008D479B" w:rsidP="008D479B">
      <w:pPr>
        <w:pStyle w:val="TextoNormal"/>
      </w:pPr>
    </w:p>
    <w:p w14:paraId="54A9C29B" w14:textId="0B0F0851" w:rsidR="008D479B" w:rsidRDefault="008D479B" w:rsidP="008D479B">
      <w:pPr>
        <w:pStyle w:val="TextoNormal"/>
      </w:pPr>
      <w:r>
        <w:t>Asimismo, acordó dar cumplimiento a lo dispuesto en el art. 51 LOTC y formar la correspondiente pieza separada de suspensión, que fue concluida por ATC 165/2022, de 28 de noviembre, en el que se acordó denegar la suspensión cautelar solicitada.</w:t>
      </w:r>
    </w:p>
    <w:p w14:paraId="62F3727C" w14:textId="77777777" w:rsidR="008D479B" w:rsidRDefault="008D479B" w:rsidP="008D479B">
      <w:pPr>
        <w:pStyle w:val="TextoNormal"/>
      </w:pPr>
    </w:p>
    <w:p w14:paraId="1C97F2FB" w14:textId="25BC9A9E" w:rsidR="008D479B" w:rsidRDefault="008D479B" w:rsidP="008D479B">
      <w:pPr>
        <w:pStyle w:val="TextoNormal"/>
      </w:pPr>
      <w:r w:rsidRPr="008D479B">
        <w:rPr>
          <w:rStyle w:val="NumeroAFNegritaCaracter"/>
        </w:rPr>
        <w:t>5</w:t>
      </w:r>
      <w:r>
        <w:t>. Por diligencia de ordenación de la Secretaría de Justicia de la Sección se tuvo por personada a la Comunidad Autónoma de Castilla y León. Y, a tenor de lo dispuesto en el art. 52 LOTC, se dio vista de las actuaciones, por un plazo común de veinte días, al Ministerio Fiscal y a las partes personadas para que dentro de dicho término pudieran presentar las alegaciones que a su derecho conviniera.</w:t>
      </w:r>
    </w:p>
    <w:p w14:paraId="24775583" w14:textId="77777777" w:rsidR="008D479B" w:rsidRDefault="008D479B" w:rsidP="008D479B">
      <w:pPr>
        <w:pStyle w:val="TextoNormal"/>
      </w:pPr>
    </w:p>
    <w:p w14:paraId="6B62DEE0" w14:textId="54ACBF6D" w:rsidR="008D479B" w:rsidRDefault="008D479B" w:rsidP="008D479B">
      <w:pPr>
        <w:pStyle w:val="TextoNormal"/>
      </w:pPr>
      <w:r w:rsidRPr="008D479B">
        <w:rPr>
          <w:rStyle w:val="NumeroAFNegritaCaracter"/>
        </w:rPr>
        <w:t>6</w:t>
      </w:r>
      <w:r>
        <w:t>. La Comunidad Autónoma de Castilla y León, con la representación y asistencia de letrada de su servicio jurídico, presentó sus alegaciones mediante escrito registrado el 13 de enero de 2023, en el que rechaza que se hayan vulnerado los derechos invocados en la demanda de amparo.</w:t>
      </w:r>
    </w:p>
    <w:p w14:paraId="50C973AD" w14:textId="77777777" w:rsidR="008D479B" w:rsidRDefault="008D479B" w:rsidP="008D479B">
      <w:pPr>
        <w:pStyle w:val="TextoNormal"/>
      </w:pPr>
    </w:p>
    <w:p w14:paraId="295E7A0F" w14:textId="77777777" w:rsidR="008D479B" w:rsidRDefault="008D479B" w:rsidP="008D479B">
      <w:pPr>
        <w:pStyle w:val="TextoNormal"/>
      </w:pPr>
      <w:r w:rsidRPr="008D479B">
        <w:rPr>
          <w:rStyle w:val="NumeroAFNegritaCaracter"/>
        </w:rPr>
        <w:t>7</w:t>
      </w:r>
      <w:r>
        <w:t>. El Ministerio Fiscal presentó sus alegaciones mediante escrito registrado el 3 de febrero de 2023 en el que solicita la desestimación del recurso de amparo.</w:t>
      </w:r>
    </w:p>
    <w:p w14:paraId="6B8D29F4" w14:textId="77777777" w:rsidR="008D479B" w:rsidRDefault="008D479B" w:rsidP="008D479B">
      <w:pPr>
        <w:pStyle w:val="TextoNormal"/>
      </w:pPr>
    </w:p>
    <w:p w14:paraId="4006C3D4" w14:textId="77777777" w:rsidR="008D479B" w:rsidRDefault="008D479B" w:rsidP="008D479B">
      <w:pPr>
        <w:pStyle w:val="TextoNormal"/>
      </w:pPr>
      <w:r>
        <w:t>Descarta, en primer lugar, que se haya producido una vulneración del art. 14 CE, al no existir el término válido de comparación exigido para que se produzca la vulneración, pues no se han dictado las resoluciones por los mismos órganos, ni en el caso del reproche dirigido al Tribunal Supremo concurre la identidad de supuestos exigida.</w:t>
      </w:r>
    </w:p>
    <w:p w14:paraId="5C6D4997" w14:textId="77777777" w:rsidR="008D479B" w:rsidRDefault="008D479B" w:rsidP="008D479B">
      <w:pPr>
        <w:pStyle w:val="TextoNormal"/>
      </w:pPr>
    </w:p>
    <w:p w14:paraId="0177FA53" w14:textId="77777777" w:rsidR="008D479B" w:rsidRDefault="008D479B" w:rsidP="008D479B">
      <w:pPr>
        <w:pStyle w:val="TextoNormal"/>
      </w:pPr>
      <w:r>
        <w:t>Rechaza, asimismo, la vulneración del art. 20.1 a) y d) CE al existir una regulación normativa que establece el marco temporal de reserva del espacio radioeléctrico a los efectos de convocar los correspondientes concursos. Entiende que corresponde al legislador una mayor libertad de configuración normativa para disciplinar los soportes técnicos e instrumentos de comunicación, que la que posee al ordenar directamente los derechos fundamentales del art. 20.1 CE. De este modo las resoluciones administrativas y las sentencias que aplican la regulación establecida en este ámbito difícilmente pueden lesionar los derechos invocados.</w:t>
      </w:r>
    </w:p>
    <w:p w14:paraId="7068E5B5" w14:textId="77777777" w:rsidR="008D479B" w:rsidRDefault="008D479B" w:rsidP="008D479B">
      <w:pPr>
        <w:pStyle w:val="TextoNormal"/>
      </w:pPr>
    </w:p>
    <w:p w14:paraId="2F7418F3" w14:textId="2530AF8D" w:rsidR="008D479B" w:rsidRDefault="008D479B" w:rsidP="008D479B">
      <w:pPr>
        <w:pStyle w:val="TextoNormal"/>
      </w:pPr>
      <w:r>
        <w:t xml:space="preserve">Finalmente, considera que las resoluciones del Tribunal Europeo de Derechos Humanos citadas no son aplicables por tratarse de decisiones de inadmisión o, en el caso de la STEDH de 20 de octubre de 1997, asunto </w:t>
      </w:r>
      <w:r w:rsidRPr="008D479B">
        <w:rPr>
          <w:i/>
        </w:rPr>
        <w:t>Radio</w:t>
      </w:r>
      <w:r>
        <w:t xml:space="preserve"> </w:t>
      </w:r>
      <w:r w:rsidRPr="008D479B">
        <w:rPr>
          <w:i/>
        </w:rPr>
        <w:t>ABC c. Austria</w:t>
      </w:r>
      <w:r>
        <w:t>, porque toda la actividad se subordinaba a una concesión del legislador federal que no se produjo, situación que se mantuvo durante tres periodos de tiempo, supuesto distinto al contemplado en la regulación española.</w:t>
      </w:r>
    </w:p>
    <w:p w14:paraId="35CE1C3A" w14:textId="77777777" w:rsidR="008D479B" w:rsidRDefault="008D479B" w:rsidP="008D479B">
      <w:pPr>
        <w:pStyle w:val="TextoNormal"/>
      </w:pPr>
    </w:p>
    <w:p w14:paraId="7357CACB" w14:textId="0A0BD1B3" w:rsidR="008D479B" w:rsidRDefault="008D479B" w:rsidP="008D479B">
      <w:pPr>
        <w:pStyle w:val="TextoNormal"/>
      </w:pPr>
      <w:r w:rsidRPr="008D479B">
        <w:rPr>
          <w:rStyle w:val="NumeroAFNegritaCaracter"/>
        </w:rPr>
        <w:t>8</w:t>
      </w:r>
      <w:r>
        <w:t>. Por providencia de 21 de septiembre de 2023 se señaló para la deliberación y votación de la presente sentencia el día 25 del mismo mes y año.</w:t>
      </w:r>
    </w:p>
    <w:p w14:paraId="61363612" w14:textId="77777777" w:rsidR="008D479B" w:rsidRDefault="008D479B" w:rsidP="008D479B">
      <w:pPr>
        <w:pStyle w:val="TextoNormal"/>
      </w:pPr>
    </w:p>
    <w:p w14:paraId="72763BE8" w14:textId="77777777" w:rsidR="008D479B" w:rsidRDefault="008D479B" w:rsidP="008D479B">
      <w:pPr>
        <w:pStyle w:val="TextoNormalNegritaCentrado"/>
        <w:keepNext/>
      </w:pPr>
      <w:r>
        <w:t>II. Fundamentos jurídicos</w:t>
      </w:r>
    </w:p>
    <w:p w14:paraId="626AAEBD" w14:textId="31BE7409" w:rsidR="008D479B" w:rsidRDefault="008D479B" w:rsidP="008D479B">
      <w:pPr>
        <w:pStyle w:val="TextoNormalNegritaCentrado"/>
        <w:keepNext/>
      </w:pPr>
    </w:p>
    <w:p w14:paraId="11EB8928" w14:textId="77777777" w:rsidR="008D479B" w:rsidRDefault="008D479B" w:rsidP="008D479B">
      <w:pPr>
        <w:pStyle w:val="TextoNormal"/>
      </w:pPr>
      <w:r w:rsidRPr="008D479B">
        <w:rPr>
          <w:rStyle w:val="NumeroAFNegritaCaracter"/>
        </w:rPr>
        <w:t>1</w:t>
      </w:r>
      <w:r>
        <w:t xml:space="preserve">. </w:t>
      </w:r>
      <w:r w:rsidRPr="008D479B">
        <w:rPr>
          <w:i/>
        </w:rPr>
        <w:t>Objeto del recurso</w:t>
      </w:r>
    </w:p>
    <w:p w14:paraId="635A64C7" w14:textId="77777777" w:rsidR="008D479B" w:rsidRDefault="008D479B" w:rsidP="008D479B">
      <w:pPr>
        <w:pStyle w:val="TextoNormal"/>
      </w:pPr>
    </w:p>
    <w:p w14:paraId="49B2B781" w14:textId="17D63CDD" w:rsidR="008D479B" w:rsidRDefault="008D479B" w:rsidP="008D479B">
      <w:pPr>
        <w:pStyle w:val="TextoNormal"/>
      </w:pPr>
      <w:r>
        <w:t>El objeto de este recurso es determinar si la desestimación presunta por la Consejería de Fomento y Medio Ambiente de la Junta de Castilla y León de la solicitud de 10 de julio de 2018 de convocatoria de concurso público para el otorgamiento de licencias de comunicación audiovisual de radiodifusión sonora digital con cobertura local integradas en los bloques de frecuencia asignados a la Comunidad Autónoma de Castilla y León, vulnera los derechos fundamentales a la libertad de información, comunicación y expresión [art. 20.1 a) y d) CE], en relación con el art. 14 CE.</w:t>
      </w:r>
    </w:p>
    <w:p w14:paraId="6CC939D9" w14:textId="77777777" w:rsidR="008D479B" w:rsidRDefault="008D479B" w:rsidP="008D479B">
      <w:pPr>
        <w:pStyle w:val="TextoNormal"/>
      </w:pPr>
    </w:p>
    <w:p w14:paraId="777847FC" w14:textId="77777777" w:rsidR="008D479B" w:rsidRDefault="008D479B" w:rsidP="008D479B">
      <w:pPr>
        <w:pStyle w:val="TextoNormal"/>
      </w:pPr>
      <w:r w:rsidRPr="008D479B">
        <w:rPr>
          <w:rStyle w:val="NumeroAFNegritaCaracter"/>
        </w:rPr>
        <w:t>2</w:t>
      </w:r>
      <w:r>
        <w:t xml:space="preserve">. </w:t>
      </w:r>
      <w:r w:rsidRPr="008D479B">
        <w:rPr>
          <w:i/>
        </w:rPr>
        <w:t>Remisión a lo resuelto en la STC 89/2023, de 18 de julio</w:t>
      </w:r>
    </w:p>
    <w:p w14:paraId="16958273" w14:textId="77777777" w:rsidR="008D479B" w:rsidRDefault="008D479B" w:rsidP="008D479B">
      <w:pPr>
        <w:pStyle w:val="TextoNormal"/>
      </w:pPr>
    </w:p>
    <w:p w14:paraId="381B4E79" w14:textId="1CF5A8C8" w:rsidR="008D479B" w:rsidRDefault="008D479B" w:rsidP="008D479B">
      <w:pPr>
        <w:pStyle w:val="TextoNormal"/>
      </w:pPr>
      <w:r>
        <w:t>El problema constitucional que se plantea en este proceso de amparo es coincidente con el resuelto en la STC 89/2023, de 18 de julio, que excluyó que la actuación administrativa impugnada, en cuanto denegó la convocatoria del concurso solicitado para la concesión de licencias de prestación de servicios audiovisuales, vulnerara los derechos a expresar y difundir libremente los pensamientos, ideas y opiniones mediante la palabra, el escrito o cualquier otro medio de reproducción [art. 20.1 a) CE] y a comunicar o recibir libremente información veraz por cualquier medio de difusión [art. 20.1 d) CE], en relación con el principio de igualdad (art. 14 CE), lo que determina que, por idénticas razones, proceda desestimar el presente recurso de amparo.</w:t>
      </w:r>
    </w:p>
    <w:p w14:paraId="408C0364" w14:textId="77777777" w:rsidR="008D479B" w:rsidRDefault="008D479B" w:rsidP="008D479B">
      <w:pPr>
        <w:pStyle w:val="TextoNormal"/>
      </w:pPr>
    </w:p>
    <w:p w14:paraId="3C28A2EB" w14:textId="77777777" w:rsidR="008D479B" w:rsidRDefault="008D479B" w:rsidP="008D479B">
      <w:pPr>
        <w:pStyle w:val="TextoNormalCentrado"/>
        <w:keepNext/>
      </w:pPr>
      <w:r>
        <w:t>FALLO</w:t>
      </w:r>
    </w:p>
    <w:p w14:paraId="5ECA4FCF" w14:textId="1264B2B6" w:rsidR="008D479B" w:rsidRDefault="008D479B" w:rsidP="008D479B">
      <w:pPr>
        <w:pStyle w:val="TextoNormalCentrado"/>
        <w:keepNext/>
      </w:pPr>
    </w:p>
    <w:p w14:paraId="5AAC7378" w14:textId="24D6AE91" w:rsidR="008D479B" w:rsidRDefault="008D479B" w:rsidP="008D479B">
      <w:pPr>
        <w:pStyle w:val="TextoNormal"/>
      </w:pPr>
      <w:r>
        <w:t>En atención a todo lo expuesto, el Tribunal Constitucional, por la autoridad que le confiere la Constitución de la Nación española, ha decidido desestimar el recurso de amparo interpuesto por Asociación Emplazamientos y Comunicación Nueva Esperanza.</w:t>
      </w:r>
    </w:p>
    <w:p w14:paraId="54346C91" w14:textId="77777777" w:rsidR="008D479B" w:rsidRDefault="008D479B" w:rsidP="008D479B">
      <w:pPr>
        <w:pStyle w:val="TextoNormal"/>
      </w:pPr>
    </w:p>
    <w:p w14:paraId="372E0469" w14:textId="77777777" w:rsidR="008D479B" w:rsidRDefault="008D479B" w:rsidP="008D479B">
      <w:pPr>
        <w:pStyle w:val="TextoNormal"/>
      </w:pPr>
      <w:r>
        <w:t>Publíquese esta sentencia en el “Boletín Oficial del Estado”.</w:t>
      </w:r>
    </w:p>
    <w:p w14:paraId="79FBC366" w14:textId="77777777" w:rsidR="008D479B" w:rsidRDefault="008D479B" w:rsidP="008D479B">
      <w:pPr>
        <w:pStyle w:val="TextoNormal"/>
      </w:pPr>
      <w:r>
        <w:t>Dada en Madrid, a veinticinco de septiembre de dos mil veintitrés.</w:t>
      </w:r>
    </w:p>
    <w:p w14:paraId="7DE6459D" w14:textId="7B6C04A9" w:rsidR="008D479B" w:rsidRDefault="008D479B" w:rsidP="008D479B">
      <w:pPr>
        <w:pStyle w:val="ParrafoNormal"/>
      </w:pPr>
    </w:p>
    <w:p w14:paraId="288FE7D1" w14:textId="77777777" w:rsidR="008D479B" w:rsidRDefault="008D479B" w:rsidP="008D479B">
      <w:pPr>
        <w:pStyle w:val="TextoNormalNegritaCentrado"/>
        <w:keepNext/>
      </w:pPr>
      <w:r>
        <w:t>Voto particular que formula la magistrada doña María Luisa Balaguer Callejón a la sentencia dictada en el recurso de amparo núm. 1754-2021</w:t>
      </w:r>
    </w:p>
    <w:p w14:paraId="1A346F0A" w14:textId="68949E75" w:rsidR="008D479B" w:rsidRDefault="008D479B" w:rsidP="008D479B">
      <w:pPr>
        <w:pStyle w:val="TextoNormalNegritaCentrado"/>
        <w:keepNext/>
      </w:pPr>
    </w:p>
    <w:p w14:paraId="6E339D84" w14:textId="186859DD" w:rsidR="008D479B" w:rsidRDefault="008D479B" w:rsidP="008D479B">
      <w:pPr>
        <w:pStyle w:val="TextoNormal"/>
      </w:pPr>
      <w:r>
        <w:t>Con el mayor respeto al criterio reflejado en la sentencia a que se refiere el encabezamiento y, en ejercicio de la facultad que me confiere el art. 90.2 de la Ley Orgánica del Tribunal Constitucional, manifiesto mi discrepancia con la argumentación y fallo de la sentencia aprobada por la Sala. Por ello, me remito, en su totalidad, al voto particular que realicé a la STC 89/2023, de 18 de julio. Madrid, a veinticinco de septiembre de dos mil veintitrés.</w:t>
      </w:r>
    </w:p>
    <w:p w14:paraId="650FDAA3" w14:textId="2C437FCD" w:rsidR="008D479B" w:rsidRDefault="008D479B">
      <w:pPr>
        <w:spacing w:after="160" w:line="278" w:lineRule="auto"/>
        <w:rPr>
          <w:rFonts w:ascii="Times New Roman" w:eastAsia="Times New Roman" w:hAnsi="Times New Roman" w:cs="Times New Roman"/>
          <w:sz w:val="24"/>
          <w:szCs w:val="24"/>
          <w:lang w:eastAsia="es-ES"/>
        </w:rPr>
      </w:pPr>
      <w:r>
        <w:br w:type="page"/>
      </w:r>
    </w:p>
    <w:p w14:paraId="016FBB20" w14:textId="77777777" w:rsidR="008D479B" w:rsidRDefault="008D479B" w:rsidP="008D479B">
      <w:pPr>
        <w:pStyle w:val="TtuloResolucin"/>
      </w:pPr>
      <w:bookmarkStart w:id="39" w:name="SENTENCIA_2023_114"/>
      <w:r>
        <w:t>SENTENCIA 114/2023, de 25 de septiembre de 2023</w:t>
      </w:r>
    </w:p>
    <w:bookmarkEnd w:id="39"/>
    <w:p w14:paraId="780F04D8" w14:textId="77777777" w:rsidR="008D479B" w:rsidRDefault="008D479B" w:rsidP="008D479B">
      <w:pPr>
        <w:pStyle w:val="TtuloResolucin"/>
      </w:pPr>
      <w:r>
        <w:t>Sala Segunda</w:t>
      </w:r>
    </w:p>
    <w:p w14:paraId="36F54344" w14:textId="77777777" w:rsidR="008D479B" w:rsidRDefault="008D479B" w:rsidP="008D479B">
      <w:pPr>
        <w:pStyle w:val="TtuloBOE"/>
      </w:pPr>
      <w:r>
        <w:t>(BOE núm. 261, de 1 de noviembre de 2023)</w:t>
      </w:r>
    </w:p>
    <w:p w14:paraId="1F99DD58" w14:textId="77777777" w:rsidR="008D479B" w:rsidRDefault="008D479B" w:rsidP="008D479B">
      <w:pPr>
        <w:pStyle w:val="TextoNormalCentrado"/>
      </w:pPr>
      <w:r>
        <w:t>ECLI:ES:TC:2023:114</w:t>
      </w:r>
    </w:p>
    <w:p w14:paraId="1421A1E1" w14:textId="694BE4EA" w:rsidR="008D479B" w:rsidRDefault="008D479B" w:rsidP="008D479B">
      <w:pPr>
        <w:pStyle w:val="TextoNormalCentrado"/>
      </w:pPr>
    </w:p>
    <w:p w14:paraId="66E097DA" w14:textId="77777777" w:rsidR="008D479B" w:rsidRDefault="008D479B" w:rsidP="008D479B">
      <w:pPr>
        <w:pStyle w:val="SntesisDescriptiva"/>
      </w:pPr>
      <w:r>
        <w:t>Recurso de amparo 1847-2021. Promovido por la Asociación Emplazamientos y Comunicación Nueva Esperanza respecto de las resoluciones de la Viceconsejería de Comunicación y Relaciones con los Medios de Canarias que rechazaron su solicitud de convocatoria de concurso público para la adjudicación de licencias disponibles de comunicación audiovisual de radiodifusión sonora digital terrestre de ámbito local.</w:t>
      </w:r>
    </w:p>
    <w:p w14:paraId="71F8D409" w14:textId="6DA17A60" w:rsidR="008D479B" w:rsidRDefault="008D479B" w:rsidP="008D479B">
      <w:pPr>
        <w:pStyle w:val="SntesisDescriptiva"/>
      </w:pPr>
    </w:p>
    <w:p w14:paraId="57D2173A" w14:textId="77777777" w:rsidR="008D479B" w:rsidRDefault="008D479B" w:rsidP="008D479B">
      <w:pPr>
        <w:pStyle w:val="SntesisAnaltica"/>
      </w:pPr>
      <w:r>
        <w:t>Supuesta vulneración del derecho a la igualdad y a las libertades de expresión e información: STC 89/2023 (resolución administrativa que no resulta desproporcionada y que viene impuesta por la inexistencia de reserva de dominio público radioeléctrico). Voto particular.</w:t>
      </w:r>
    </w:p>
    <w:p w14:paraId="7D676651" w14:textId="16CD2A07" w:rsidR="008D479B" w:rsidRDefault="008D479B" w:rsidP="008D479B">
      <w:pPr>
        <w:pStyle w:val="SntesisAnaltica"/>
      </w:pPr>
    </w:p>
    <w:p w14:paraId="550A3B74" w14:textId="4C24F2B9" w:rsidR="008D479B" w:rsidRDefault="008D479B" w:rsidP="008D479B">
      <w:pPr>
        <w:pStyle w:val="Extracto"/>
      </w:pPr>
      <w:r>
        <w:t>1.</w:t>
      </w:r>
      <w:r>
        <w:tab/>
        <w:t xml:space="preserve">Remisión a la STC 89/2023 que declaró respetados los derechos a expresar y difundir libremente los pensamientos, ideas y opiniones, así como a comunicar o recibir libremente información veraz por cualquier medio de difusión, consagrados en el art. 20.1 a) y d) CE, en relación con el principio de igualdad reconocido en el art. 14 CE, por parte de la actuación administrativa denegatoria de convocatoria de concurso para la concesión de licencias de prestación de servicios audiovisuales </w:t>
      </w:r>
    </w:p>
    <w:p w14:paraId="1C0DA9C0" w14:textId="77777777" w:rsidR="008D479B" w:rsidRDefault="008D479B" w:rsidP="008D479B">
      <w:pPr>
        <w:pStyle w:val="Extracto"/>
      </w:pPr>
    </w:p>
    <w:p w14:paraId="56027893" w14:textId="77777777" w:rsidR="008D479B" w:rsidRDefault="008D479B" w:rsidP="008D479B">
      <w:pPr>
        <w:pStyle w:val="Extracto"/>
      </w:pPr>
    </w:p>
    <w:p w14:paraId="55E8AF37" w14:textId="77777777" w:rsidR="008D479B" w:rsidRDefault="008D479B" w:rsidP="008D479B">
      <w:pPr>
        <w:pStyle w:val="TextoNormal"/>
      </w:pPr>
      <w:r>
        <w:t>La Sala Segunda del Tribunal Constitucional, compuesta por la magistrada doña Inmaculada Montalbán Huertas, presidenta, y las magistradas y los magistrados doña María Luisa Balaguer Callejón, don Ramón Sáez Valcárcel, don Enrique Arnaldo Alcubilla y doña Laura Díez Bueso, ha pronunciado</w:t>
      </w:r>
    </w:p>
    <w:p w14:paraId="09E90C15" w14:textId="14C7F402" w:rsidR="008D479B" w:rsidRDefault="008D479B" w:rsidP="008D479B">
      <w:pPr>
        <w:pStyle w:val="TextoNormal"/>
      </w:pPr>
    </w:p>
    <w:p w14:paraId="00E967C6" w14:textId="77777777" w:rsidR="008D479B" w:rsidRDefault="008D479B" w:rsidP="008D479B">
      <w:pPr>
        <w:pStyle w:val="TextoNormalCentrado"/>
        <w:keepNext/>
      </w:pPr>
      <w:r>
        <w:t>EN NOMBRE DEL REY</w:t>
      </w:r>
    </w:p>
    <w:p w14:paraId="2C2EF465" w14:textId="2062948B" w:rsidR="008D479B" w:rsidRDefault="008D479B" w:rsidP="008D479B">
      <w:pPr>
        <w:pStyle w:val="TextoNormalCentrado"/>
        <w:keepNext/>
      </w:pPr>
    </w:p>
    <w:p w14:paraId="25EA7DD1" w14:textId="77777777" w:rsidR="008D479B" w:rsidRDefault="008D479B" w:rsidP="008D479B">
      <w:pPr>
        <w:pStyle w:val="TextoNormalCentrado"/>
        <w:keepNext/>
      </w:pPr>
    </w:p>
    <w:p w14:paraId="21623918" w14:textId="77777777" w:rsidR="008D479B" w:rsidRDefault="008D479B" w:rsidP="008D479B">
      <w:pPr>
        <w:pStyle w:val="TextoNormal"/>
      </w:pPr>
      <w:r>
        <w:t>la siguiente</w:t>
      </w:r>
    </w:p>
    <w:p w14:paraId="4E0753FD" w14:textId="0A2DFD7C" w:rsidR="008D479B" w:rsidRDefault="008D479B" w:rsidP="008D479B">
      <w:pPr>
        <w:pStyle w:val="TextoNormal"/>
      </w:pPr>
    </w:p>
    <w:p w14:paraId="48748DEE" w14:textId="77777777" w:rsidR="008D479B" w:rsidRDefault="008D479B" w:rsidP="008D479B">
      <w:pPr>
        <w:pStyle w:val="TextoNormalCentrado"/>
        <w:keepNext/>
      </w:pPr>
      <w:r>
        <w:t>SENTENCIA</w:t>
      </w:r>
    </w:p>
    <w:p w14:paraId="04A09F5E" w14:textId="210E9B9D" w:rsidR="008D479B" w:rsidRDefault="008D479B" w:rsidP="008D479B">
      <w:pPr>
        <w:pStyle w:val="TextoNormalCentrado"/>
        <w:keepNext/>
      </w:pPr>
    </w:p>
    <w:p w14:paraId="2BC71BC9" w14:textId="77777777" w:rsidR="008D479B" w:rsidRDefault="008D479B" w:rsidP="008D479B">
      <w:pPr>
        <w:pStyle w:val="TextoNormal"/>
      </w:pPr>
      <w:r>
        <w:t>En el recurso de amparo número 1847-2021, promovido por la Asociación Emplazamientos y Comunicación Nueva Esperanza, representada por el procurador de los tribunales don Joaquín Cañibano Martín y asistida por el abogado don Jaime Rodríguez Díez, contra la resolución del viceconsejero de Comunicación y Relaciones con los Medios de la Presidencia del Gobierno de Canarias núm. 113/2018, de 20 de diciembre, por la que se ordena el archivo de la solicitud instada para la convocatoria de un concurso público para el otorgamiento de licencias audiovisuales de radiodifusión sonora digital terrenal en la Comunidad Autónoma de Canarias, por haber desaparecido el objeto del procedimiento. Ha comparecido la referida comunidad autónoma y ha intervenido el Ministerio Fiscal. Ha sido ponente el magistrado don Enrique Arnaldo Alcubilla.</w:t>
      </w:r>
    </w:p>
    <w:p w14:paraId="6BBDEA6A" w14:textId="0A9907A6" w:rsidR="008D479B" w:rsidRDefault="008D479B" w:rsidP="008D479B">
      <w:pPr>
        <w:pStyle w:val="TextoNormal"/>
      </w:pPr>
    </w:p>
    <w:p w14:paraId="5DF4638B" w14:textId="77777777" w:rsidR="008D479B" w:rsidRDefault="008D479B" w:rsidP="008D479B">
      <w:pPr>
        <w:pStyle w:val="TextoNormalNegritaCentrado"/>
        <w:keepNext/>
      </w:pPr>
      <w:r>
        <w:t>I. Antecedentes</w:t>
      </w:r>
    </w:p>
    <w:p w14:paraId="6F254137" w14:textId="0343DFFB" w:rsidR="008D479B" w:rsidRDefault="008D479B" w:rsidP="008D479B">
      <w:pPr>
        <w:pStyle w:val="TextoNormalNegritaCentrado"/>
        <w:keepNext/>
      </w:pPr>
    </w:p>
    <w:p w14:paraId="7FB8F154" w14:textId="5F86EAD9" w:rsidR="008D479B" w:rsidRDefault="008D479B" w:rsidP="008D479B">
      <w:pPr>
        <w:pStyle w:val="TextoNormal"/>
      </w:pPr>
      <w:r w:rsidRPr="008D479B">
        <w:rPr>
          <w:rStyle w:val="NumeroAFNegritaCaracter"/>
        </w:rPr>
        <w:t>1</w:t>
      </w:r>
      <w:r>
        <w:t>. Mediante escrito presentado en el registro general de este tribunal el 29 de marzo de 2021, el procurador de los tribunales don Joaquín Cañibano Martín, actuando en nombre y representación de la Asociación Emplazamientos y Comunicación Nueva Esperanza, bajo la defensa del letrado don Jaime Rodríguez Díez, interpuso demanda de amparo contra la resolución arriba mencionada.</w:t>
      </w:r>
    </w:p>
    <w:p w14:paraId="6D250007" w14:textId="77777777" w:rsidR="008D479B" w:rsidRDefault="008D479B" w:rsidP="008D479B">
      <w:pPr>
        <w:pStyle w:val="TextoNormal"/>
      </w:pPr>
    </w:p>
    <w:p w14:paraId="0CBB9B87" w14:textId="77777777" w:rsidR="008D479B" w:rsidRDefault="008D479B" w:rsidP="008D479B">
      <w:pPr>
        <w:pStyle w:val="TextoNormal"/>
      </w:pPr>
      <w:r w:rsidRPr="008D479B">
        <w:rPr>
          <w:rStyle w:val="NumeroAFNegritaCaracter"/>
        </w:rPr>
        <w:t>2</w:t>
      </w:r>
      <w:r>
        <w:t>. Los hechos con relevancia para la resolución del presente recurso de amparo y a los que se refiere la demanda presentada son los siguientes:</w:t>
      </w:r>
    </w:p>
    <w:p w14:paraId="015D2F84" w14:textId="77777777" w:rsidR="008D479B" w:rsidRDefault="008D479B" w:rsidP="008D479B">
      <w:pPr>
        <w:pStyle w:val="TextoNormal"/>
      </w:pPr>
    </w:p>
    <w:p w14:paraId="79199DA7" w14:textId="77777777" w:rsidR="008D479B" w:rsidRDefault="008D479B" w:rsidP="008D479B">
      <w:pPr>
        <w:pStyle w:val="TextoNormal"/>
      </w:pPr>
      <w:r>
        <w:t>a) La Asociación Emplazamientos y Comunicación Nueva Esperanza interpuso recurso contencioso administrativo contra la resolución del viceconsejero de Comunicación y Relaciones con los Medios de la Presidencia del Gobierno de Canarias núm. 113/2018, de 20 de diciembre, por la que se ordena el archivo de la solicitud instada para la convocatoria de un concurso público para el otorgamiento de licencias audiovisuales de radiodifusión sonora digital terrenal en la Comunidad Autónoma de Canarias, por haber desaparecido el objeto del procedimiento.</w:t>
      </w:r>
    </w:p>
    <w:p w14:paraId="3EC7E5AC" w14:textId="77777777" w:rsidR="008D479B" w:rsidRDefault="008D479B" w:rsidP="008D479B">
      <w:pPr>
        <w:pStyle w:val="TextoNormal"/>
      </w:pPr>
    </w:p>
    <w:p w14:paraId="0107A4AE" w14:textId="77777777" w:rsidR="008D479B" w:rsidRDefault="008D479B" w:rsidP="008D479B">
      <w:pPr>
        <w:pStyle w:val="TextoNormal"/>
      </w:pPr>
      <w:r>
        <w:t>b) La Sección Primera de la Sala de lo Contencioso-Administrativo del Tribunal Superior de Justicia de Canarias, con sede en Santa Cruz de Tenerife, desestimó el recurso interpuesto por sentencia de 17 de diciembre de 2019 al concluir que declarada extinguida la planificación radioeléctrica no cabe exigir la convocatoria de las reservas de dominio público incluidas en la misma al no existir ya reserva ni estar amparada esa posibilidad por la normativa aplicable.</w:t>
      </w:r>
    </w:p>
    <w:p w14:paraId="07AC6F83" w14:textId="77777777" w:rsidR="008D479B" w:rsidRDefault="008D479B" w:rsidP="008D479B">
      <w:pPr>
        <w:pStyle w:val="TextoNormal"/>
      </w:pPr>
    </w:p>
    <w:p w14:paraId="0475770A" w14:textId="58DB40B1" w:rsidR="008D479B" w:rsidRDefault="008D479B" w:rsidP="008D479B">
      <w:pPr>
        <w:pStyle w:val="TextoNormal"/>
      </w:pPr>
      <w:r>
        <w:t>c) Frente a dicha sentencia la representación procesal de la asociación ahora recurrente en amparo interpuso recurso de casación, que fue inadmitido a trámite por providencia de la Sección Primera de la Sala de lo Contencioso-Administrativo del Tribunal Supremo de 25 de marzo de 2021 por pérdida sobrevenida en el recurso de interés casacional objetivo para la formación de jurisprudencia a la vista de las SSTS de 25 y 26 de noviembre de 2020 y de 14 de diciembre de 2020.</w:t>
      </w:r>
    </w:p>
    <w:p w14:paraId="33D72D4F" w14:textId="77777777" w:rsidR="008D479B" w:rsidRDefault="008D479B" w:rsidP="008D479B">
      <w:pPr>
        <w:pStyle w:val="TextoNormal"/>
      </w:pPr>
    </w:p>
    <w:p w14:paraId="21C10AB5" w14:textId="77777777" w:rsidR="008D479B" w:rsidRDefault="008D479B" w:rsidP="008D479B">
      <w:pPr>
        <w:pStyle w:val="TextoNormal"/>
      </w:pPr>
      <w:r w:rsidRPr="008D479B">
        <w:rPr>
          <w:rStyle w:val="NumeroAFNegritaCaracter"/>
        </w:rPr>
        <w:t>3</w:t>
      </w:r>
      <w:r>
        <w:t>. En la demanda de amparo se alegan las siguientes vulneraciones constitucionales:</w:t>
      </w:r>
    </w:p>
    <w:p w14:paraId="6097FEA6" w14:textId="77777777" w:rsidR="008D479B" w:rsidRDefault="008D479B" w:rsidP="008D479B">
      <w:pPr>
        <w:pStyle w:val="TextoNormal"/>
      </w:pPr>
    </w:p>
    <w:p w14:paraId="4DEBFA39" w14:textId="77777777" w:rsidR="008D479B" w:rsidRDefault="008D479B" w:rsidP="008D479B">
      <w:pPr>
        <w:pStyle w:val="TextoNormal"/>
      </w:pPr>
      <w:r>
        <w:t>a) Afirma que la negativa a convocar un concurso público por parte del Gobierno de la Comunidad Autónoma de Canarias amparándose en el transcurso de un plazo imputable a su propia inactividad y el consiguiente decaimiento de la planificación del espacio radioeléctrico ha imposibilitado el ejercicio de los derechos fundamentales a la libertad de información, comunicación y expresión, en relación con el art. 14 CE, en concreto, de su derecho a crear los medios de comunicación indispensables para el ejercicio del derecho a expresar y difundir libremente los pensamientos, ideas y opiniones mediante la palabra, el escrito o cualquier otro medio de reproducción [art. 20.1 a) CE] y a comunicar o recibir libremente información veraz por cualquier medio de difusión [art. 20.1 d) CE]. Entiende que prevalece el deber de convocar el concurso de adjudicación [art. 27.2 de la Ley general de la comunicación audiovisual (LGCA)] sobre el eventual decaimiento de la reserva del espectro radioeléctrico (art. 27.4 LGCA) por lo que ha sido la inacción de la administración pública la causante de que no se haya aprovechado el espectro que el Estado ha otorgado a la comunidad autónoma, lo que invalida el acto recurrido por ser contrario a los derechos invocados. Alega que otras comunidades autónomas han convocado los concursos de licencias más allá del plazo establecido y que la negativa a convocar los concursos de adjudicación de licencias vacantes es incompatible con la Directiva 2018/1972, de 11 de diciembre, por la que se establece el Código europeo de las comunicaciones electrónicas, por crear barreras de acceso al mercado e inutilizar el espectro radioeléctrico.</w:t>
      </w:r>
    </w:p>
    <w:p w14:paraId="0A14307C" w14:textId="77777777" w:rsidR="008D479B" w:rsidRDefault="008D479B" w:rsidP="008D479B">
      <w:pPr>
        <w:pStyle w:val="TextoNormal"/>
      </w:pPr>
    </w:p>
    <w:p w14:paraId="79E77805" w14:textId="77777777" w:rsidR="008D479B" w:rsidRDefault="008D479B" w:rsidP="008D479B">
      <w:pPr>
        <w:pStyle w:val="TextoNormal"/>
      </w:pPr>
      <w:r>
        <w:t>Sostiene también que existe una patente contradicción entre las sentencias del Tribunal Supremo al diferenciar incorrectamente entre licencias de televisión digital y licencias de radiodifusión digital para la protección de los derechos fundamentales.</w:t>
      </w:r>
    </w:p>
    <w:p w14:paraId="181E94D1" w14:textId="77777777" w:rsidR="008D479B" w:rsidRDefault="008D479B" w:rsidP="008D479B">
      <w:pPr>
        <w:pStyle w:val="TextoNormal"/>
      </w:pPr>
    </w:p>
    <w:p w14:paraId="18A53D12" w14:textId="77777777" w:rsidR="008D479B" w:rsidRDefault="008D479B" w:rsidP="008D479B">
      <w:pPr>
        <w:pStyle w:val="TextoNormal"/>
      </w:pPr>
      <w:r>
        <w:t xml:space="preserve">Añade, en fin, que la negativa a conceder una licencia de radiodifusión infringe el art. 10, apartado 1, del Convenio europeo de derechos humanos (CEDH) y cita las resoluciones del Tribunal Europeo de Derechos Humanos de 20 de octubre de 1997, asunto </w:t>
      </w:r>
      <w:r w:rsidRPr="008D479B">
        <w:rPr>
          <w:i/>
        </w:rPr>
        <w:t>Radio ABC c. Austria</w:t>
      </w:r>
      <w:r>
        <w:t xml:space="preserve">; de 23 de noviembre de 1999, asunto </w:t>
      </w:r>
      <w:r w:rsidRPr="008D479B">
        <w:rPr>
          <w:i/>
        </w:rPr>
        <w:t>Leveque c. Francia</w:t>
      </w:r>
      <w:r>
        <w:t xml:space="preserve">; de 7 de noviembre de 2000, asunto </w:t>
      </w:r>
      <w:r w:rsidRPr="008D479B">
        <w:rPr>
          <w:i/>
        </w:rPr>
        <w:t>United Christian Broadcasters Ltd. c. Reino Unido</w:t>
      </w:r>
      <w:r>
        <w:t xml:space="preserve">; de 11 de octubre de 2007, asunto </w:t>
      </w:r>
      <w:r w:rsidRPr="008D479B">
        <w:rPr>
          <w:i/>
        </w:rPr>
        <w:t>Glas Nadejda EOOD y Elenkov c. Bulgaria</w:t>
      </w:r>
      <w:r>
        <w:t xml:space="preserve">; de 17 de junio de 2008, asunto </w:t>
      </w:r>
      <w:r w:rsidRPr="008D479B">
        <w:rPr>
          <w:i/>
        </w:rPr>
        <w:t>Meltex Ltd. y Movsessian c. Armenia</w:t>
      </w:r>
      <w:r>
        <w:t xml:space="preserve">, así como el dictamen del Comité de Derechos Humanos de Naciones Unidas, de 27 de octubre de 2016, en el caso </w:t>
      </w:r>
      <w:r w:rsidRPr="008D479B">
        <w:rPr>
          <w:i/>
        </w:rPr>
        <w:t>Azagade c. Azerbaiyán</w:t>
      </w:r>
      <w:r>
        <w:t>.</w:t>
      </w:r>
    </w:p>
    <w:p w14:paraId="126D0B31" w14:textId="77777777" w:rsidR="008D479B" w:rsidRDefault="008D479B" w:rsidP="008D479B">
      <w:pPr>
        <w:pStyle w:val="TextoNormal"/>
      </w:pPr>
    </w:p>
    <w:p w14:paraId="413F3AFA" w14:textId="0EC2B4C6" w:rsidR="008D479B" w:rsidRDefault="008D479B" w:rsidP="008D479B">
      <w:pPr>
        <w:pStyle w:val="TextoNormal"/>
      </w:pPr>
      <w:r>
        <w:t>b) En segundo lugar, considera vulnerado el derecho a la igualdad (art. 14 CE), al haberse convocado en otras comunidades autónomas concursos públicos de licencias de comunicación audiovisual. Mantiene que el art. 27.4 LGCA, al tener la consideración de normativa básica, debe aplicarse de forma similar en todo el territorio estatal y la dispar interpretación efectuada por las distintas comunidades autónomas, a juicio de la entidad recurrente, lesiona el art. 14 CE.</w:t>
      </w:r>
    </w:p>
    <w:p w14:paraId="65C2D9ED" w14:textId="77777777" w:rsidR="008D479B" w:rsidRDefault="008D479B" w:rsidP="008D479B">
      <w:pPr>
        <w:pStyle w:val="TextoNormal"/>
      </w:pPr>
    </w:p>
    <w:p w14:paraId="6E9F4185" w14:textId="77777777" w:rsidR="008D479B" w:rsidRDefault="008D479B" w:rsidP="008D479B">
      <w:pPr>
        <w:pStyle w:val="TextoNormal"/>
      </w:pPr>
      <w:r w:rsidRPr="008D479B">
        <w:rPr>
          <w:rStyle w:val="NumeroAFNegritaCaracter"/>
        </w:rPr>
        <w:t>4</w:t>
      </w:r>
      <w:r>
        <w:t>. Por providencia de 24 de octubre de 2022, la Sección Tercera del Tribunal Constitucional acordó admitir a trámite la demanda de amparo, al apreciar que concurría en la misma una especial trascendencia constitucional [art. 50.1 de la Ley Orgánica del Tribunal Constitucional (LOTC)] porque el recurso podía dar ocasión al Tribunal para aclarar o cambiar su doctrina, como consecuencia de un proceso de reflexión interna [STC 155/2009, de 25 de junio, FJ 2 b)] y el asunto suscitado trascendía del caso concreto porque plantea una cuestión jurídica de relevante y general repercusión social o económica [STC 155/2009, FJ 2 g)].</w:t>
      </w:r>
    </w:p>
    <w:p w14:paraId="465E1FE5" w14:textId="77777777" w:rsidR="008D479B" w:rsidRDefault="008D479B" w:rsidP="008D479B">
      <w:pPr>
        <w:pStyle w:val="TextoNormal"/>
      </w:pPr>
    </w:p>
    <w:p w14:paraId="521243BA" w14:textId="57E08BA6" w:rsidR="008D479B" w:rsidRDefault="008D479B" w:rsidP="008D479B">
      <w:pPr>
        <w:pStyle w:val="TextoNormal"/>
      </w:pPr>
      <w:r>
        <w:t>Asimismo, acordó dar cumplimiento a lo dispuesto en el art. 51 LOTC y formar la correspondiente pieza separada de suspensión, que fue concluida por ATC 166/2022, de 28 de noviembre, en el que se acordó denegar la suspensión cautelar solicitada.</w:t>
      </w:r>
    </w:p>
    <w:p w14:paraId="0D4646FF" w14:textId="77777777" w:rsidR="008D479B" w:rsidRDefault="008D479B" w:rsidP="008D479B">
      <w:pPr>
        <w:pStyle w:val="TextoNormal"/>
      </w:pPr>
    </w:p>
    <w:p w14:paraId="11B732C4" w14:textId="2D5A8237" w:rsidR="008D479B" w:rsidRDefault="008D479B" w:rsidP="008D479B">
      <w:pPr>
        <w:pStyle w:val="TextoNormal"/>
      </w:pPr>
      <w:r w:rsidRPr="008D479B">
        <w:rPr>
          <w:rStyle w:val="NumeroAFNegritaCaracter"/>
        </w:rPr>
        <w:t>5</w:t>
      </w:r>
      <w:r>
        <w:t>. Por diligencia de ordenación de la Secretaría de Justicia de la Sección se tuvo por personada a la Comunidad Autónoma de Canarias. Y, a tenor de lo dispuesto en el art. 52 LOTC, se dio vista de las actuaciones, por un plazo común de veinte días, al Ministerio Fiscal y a las partes personadas para que dentro de dicho término pudieran presentar las alegaciones que a su derecho conviniera.</w:t>
      </w:r>
    </w:p>
    <w:p w14:paraId="7BBD5FD3" w14:textId="77777777" w:rsidR="008D479B" w:rsidRDefault="008D479B" w:rsidP="008D479B">
      <w:pPr>
        <w:pStyle w:val="TextoNormal"/>
      </w:pPr>
    </w:p>
    <w:p w14:paraId="7147E4B3" w14:textId="019FBFE1" w:rsidR="008D479B" w:rsidRDefault="008D479B" w:rsidP="008D479B">
      <w:pPr>
        <w:pStyle w:val="TextoNormal"/>
      </w:pPr>
      <w:r w:rsidRPr="008D479B">
        <w:rPr>
          <w:rStyle w:val="NumeroAFNegritaCaracter"/>
        </w:rPr>
        <w:t>6</w:t>
      </w:r>
      <w:r>
        <w:t>. La Comunidad Autónoma de Canarias, con la representación y asistencia de letrado de su servicio jurídico, presentó sus alegaciones mediante escrito registrado el 28 de diciembre de 2022, en el que rechaza que se hayan vulnerado los derechos invocados en la demanda de amparo.</w:t>
      </w:r>
    </w:p>
    <w:p w14:paraId="14EAF52D" w14:textId="77777777" w:rsidR="008D479B" w:rsidRDefault="008D479B" w:rsidP="008D479B">
      <w:pPr>
        <w:pStyle w:val="TextoNormal"/>
      </w:pPr>
    </w:p>
    <w:p w14:paraId="2BE9D42D" w14:textId="77777777" w:rsidR="008D479B" w:rsidRDefault="008D479B" w:rsidP="008D479B">
      <w:pPr>
        <w:pStyle w:val="TextoNormal"/>
      </w:pPr>
      <w:r w:rsidRPr="008D479B">
        <w:rPr>
          <w:rStyle w:val="NumeroAFNegritaCaracter"/>
        </w:rPr>
        <w:t>7</w:t>
      </w:r>
      <w:r>
        <w:t>. El Ministerio Fiscal presentó sus alegaciones mediante escrito registrado el 3 de febrero de 2023 en el que solicita la desestimación del recurso de amparo.</w:t>
      </w:r>
    </w:p>
    <w:p w14:paraId="1DB8FED5" w14:textId="77777777" w:rsidR="008D479B" w:rsidRDefault="008D479B" w:rsidP="008D479B">
      <w:pPr>
        <w:pStyle w:val="TextoNormal"/>
      </w:pPr>
    </w:p>
    <w:p w14:paraId="24E1B2BA" w14:textId="77777777" w:rsidR="008D479B" w:rsidRDefault="008D479B" w:rsidP="008D479B">
      <w:pPr>
        <w:pStyle w:val="TextoNormal"/>
      </w:pPr>
      <w:r>
        <w:t>Descarta, en primer lugar, que se haya producido una vulneración del art. 14 CE, al no existir el término válido de comparación exigido para que se produzca la vulneración, pues no se han dictado las resoluciones por los mismos órganos, ni en el caso del reproche dirigido al Tribunal Supremo concurre la identidad de supuestos exigida.</w:t>
      </w:r>
    </w:p>
    <w:p w14:paraId="67054FF0" w14:textId="77777777" w:rsidR="008D479B" w:rsidRDefault="008D479B" w:rsidP="008D479B">
      <w:pPr>
        <w:pStyle w:val="TextoNormal"/>
      </w:pPr>
    </w:p>
    <w:p w14:paraId="351A2EFB" w14:textId="77777777" w:rsidR="008D479B" w:rsidRDefault="008D479B" w:rsidP="008D479B">
      <w:pPr>
        <w:pStyle w:val="TextoNormal"/>
      </w:pPr>
      <w:r>
        <w:t>Rechaza, asimismo, la vulneración del art. 20.1 a) y d) CE al existir una regulación normativa que establece el marco temporal de reserva del espacio radioeléctrico a los efectos de convocar los correspondientes concursos. Entiende que corresponde al legislador una mayor libertad de configuración normativa para disciplinar los soportes técnicos e instrumentos de comunicación, que la que posee al ordenar directamente los derechos fundamentales del art. 20.1 CE. De este modo las resoluciones administrativas y las sentencias que aplican la regulación establecida en este ámbito difícilmente pueden lesionar los derechos invocados.</w:t>
      </w:r>
    </w:p>
    <w:p w14:paraId="51FE4BF0" w14:textId="77777777" w:rsidR="008D479B" w:rsidRDefault="008D479B" w:rsidP="008D479B">
      <w:pPr>
        <w:pStyle w:val="TextoNormal"/>
      </w:pPr>
    </w:p>
    <w:p w14:paraId="03636E8F" w14:textId="390F729E" w:rsidR="008D479B" w:rsidRDefault="008D479B" w:rsidP="008D479B">
      <w:pPr>
        <w:pStyle w:val="TextoNormal"/>
      </w:pPr>
      <w:r>
        <w:t xml:space="preserve">Finalmente, considera que las resoluciones del Tribunal Europeo de Derechos Humanos citadas no son aplicables por tratarse de decisiones de inadmisión o, en el caso de la STEDH de 20 de octubre de 1997, asunto </w:t>
      </w:r>
      <w:r w:rsidRPr="008D479B">
        <w:rPr>
          <w:i/>
        </w:rPr>
        <w:t>Radio</w:t>
      </w:r>
      <w:r>
        <w:t xml:space="preserve"> </w:t>
      </w:r>
      <w:r w:rsidRPr="008D479B">
        <w:rPr>
          <w:i/>
        </w:rPr>
        <w:t>ABC c. Austria</w:t>
      </w:r>
      <w:r>
        <w:t>, porque toda la actividad se subordinaba a una concesión del legislador federal que no se produjo, situación que se mantuvo durante tres periodos de tiempo, supuesto distinto al contemplado en la regulación española.</w:t>
      </w:r>
    </w:p>
    <w:p w14:paraId="26FFD3B4" w14:textId="77777777" w:rsidR="008D479B" w:rsidRDefault="008D479B" w:rsidP="008D479B">
      <w:pPr>
        <w:pStyle w:val="TextoNormal"/>
      </w:pPr>
    </w:p>
    <w:p w14:paraId="492D4184" w14:textId="11E4F947" w:rsidR="008D479B" w:rsidRDefault="008D479B" w:rsidP="008D479B">
      <w:pPr>
        <w:pStyle w:val="TextoNormal"/>
      </w:pPr>
      <w:r w:rsidRPr="008D479B">
        <w:rPr>
          <w:rStyle w:val="NumeroAFNegritaCaracter"/>
        </w:rPr>
        <w:t>8</w:t>
      </w:r>
      <w:r>
        <w:t>. El 6 de septiembre de 2023 el magistrado don César Tolosa Tribiño presentó escrito en el que, conforme a lo dispuesto en el art. 217 de la Ley Orgánica del Poder Judicial, comunicó a la Sala Segunda de este tribunal, por conducto de su presidenta, su decisión de abstenerse del conocimiento del presente recurso de amparo. La Sala Segunda, mediante ATC 426/2023, de 6 de septiembre, estimó justificada la causa de abstención y el citado magistrado quedó apartado definitivamente del recurso de amparo núm. 1847-2021 y de todas sus incidencias.</w:t>
      </w:r>
    </w:p>
    <w:p w14:paraId="4A03FA22" w14:textId="77777777" w:rsidR="008D479B" w:rsidRDefault="008D479B" w:rsidP="008D479B">
      <w:pPr>
        <w:pStyle w:val="TextoNormal"/>
      </w:pPr>
    </w:p>
    <w:p w14:paraId="2E3ED193" w14:textId="43622B36" w:rsidR="008D479B" w:rsidRDefault="008D479B" w:rsidP="008D479B">
      <w:pPr>
        <w:pStyle w:val="TextoNormal"/>
      </w:pPr>
      <w:r w:rsidRPr="008D479B">
        <w:rPr>
          <w:rStyle w:val="NumeroAFNegritaCaracter"/>
        </w:rPr>
        <w:t>9</w:t>
      </w:r>
      <w:r>
        <w:t>. Por acuerdo de 15 de septiembre de 2023 de la presidenta de la Sala Segunda de este tribunal, se designó como nuevo ponente al magistrado don Enrique Arnaldo Alcubilla, en sustitución del magistrado don César Tolosa Tribiño, a quien correspondía la ponencia.</w:t>
      </w:r>
    </w:p>
    <w:p w14:paraId="05669DC4" w14:textId="77777777" w:rsidR="008D479B" w:rsidRDefault="008D479B" w:rsidP="008D479B">
      <w:pPr>
        <w:pStyle w:val="TextoNormal"/>
      </w:pPr>
    </w:p>
    <w:p w14:paraId="58B8895A" w14:textId="3A7A14A4" w:rsidR="008D479B" w:rsidRDefault="008D479B" w:rsidP="008D479B">
      <w:pPr>
        <w:pStyle w:val="TextoNormal"/>
      </w:pPr>
      <w:r w:rsidRPr="008D479B">
        <w:rPr>
          <w:rStyle w:val="NumeroAFNegritaCaracter"/>
        </w:rPr>
        <w:t>10</w:t>
      </w:r>
      <w:r>
        <w:t>. Por providencia de 21 de septiembre de 2023 se señaló para la deliberación y votación de la presente sentencia el día 25 del mismo mes y año.</w:t>
      </w:r>
    </w:p>
    <w:p w14:paraId="7CF1427F" w14:textId="77777777" w:rsidR="008D479B" w:rsidRDefault="008D479B" w:rsidP="008D479B">
      <w:pPr>
        <w:pStyle w:val="TextoNormal"/>
      </w:pPr>
    </w:p>
    <w:p w14:paraId="4869B482" w14:textId="77777777" w:rsidR="008D479B" w:rsidRDefault="008D479B" w:rsidP="008D479B">
      <w:pPr>
        <w:pStyle w:val="TextoNormalNegritaCentrado"/>
        <w:keepNext/>
      </w:pPr>
      <w:r>
        <w:t>II. Fundamentos jurídicos</w:t>
      </w:r>
    </w:p>
    <w:p w14:paraId="2AEE628C" w14:textId="16474D35" w:rsidR="008D479B" w:rsidRDefault="008D479B" w:rsidP="008D479B">
      <w:pPr>
        <w:pStyle w:val="TextoNormalNegritaCentrado"/>
        <w:keepNext/>
      </w:pPr>
    </w:p>
    <w:p w14:paraId="2D196E56" w14:textId="77777777" w:rsidR="008D479B" w:rsidRDefault="008D479B" w:rsidP="008D479B">
      <w:pPr>
        <w:pStyle w:val="TextoNormal"/>
      </w:pPr>
      <w:r w:rsidRPr="008D479B">
        <w:rPr>
          <w:rStyle w:val="NumeroAFNegritaCaracter"/>
        </w:rPr>
        <w:t>1</w:t>
      </w:r>
      <w:r>
        <w:t xml:space="preserve">. </w:t>
      </w:r>
      <w:r w:rsidRPr="008D479B">
        <w:rPr>
          <w:i/>
        </w:rPr>
        <w:t>Objeto del recurso</w:t>
      </w:r>
    </w:p>
    <w:p w14:paraId="022CF1C7" w14:textId="77777777" w:rsidR="008D479B" w:rsidRDefault="008D479B" w:rsidP="008D479B">
      <w:pPr>
        <w:pStyle w:val="TextoNormal"/>
      </w:pPr>
    </w:p>
    <w:p w14:paraId="38E4118B" w14:textId="23CF37FD" w:rsidR="008D479B" w:rsidRDefault="008D479B" w:rsidP="008D479B">
      <w:pPr>
        <w:pStyle w:val="TextoNormal"/>
      </w:pPr>
      <w:r>
        <w:t>El objeto de este recurso es determinar si la resolución del viceconsejero de Comunicación y Relaciones con los Medios de la Presidencia del Gobierno de Canarias núm. 113/2018, de 20 de diciembre, por la que se ordena el archivo de la solicitud instada para la convocatoria de un concurso público para el otorgamiento de licencias audiovisuales de radiodifusión sonora digital terrenal en la Comunidad Autónoma de Canarias, por haber desaparecido el objeto del procedimiento, vulnera los derechos fundamentales a la libertad de información, comunicación y expresión [art. 20.1 a) y d) CE], en relación con el art. 14 CE.</w:t>
      </w:r>
    </w:p>
    <w:p w14:paraId="2316D442" w14:textId="77777777" w:rsidR="008D479B" w:rsidRDefault="008D479B" w:rsidP="008D479B">
      <w:pPr>
        <w:pStyle w:val="TextoNormal"/>
      </w:pPr>
    </w:p>
    <w:p w14:paraId="2529BC6D" w14:textId="77777777" w:rsidR="008D479B" w:rsidRDefault="008D479B" w:rsidP="008D479B">
      <w:pPr>
        <w:pStyle w:val="TextoNormal"/>
      </w:pPr>
      <w:r w:rsidRPr="008D479B">
        <w:rPr>
          <w:rStyle w:val="NumeroAFNegritaCaracter"/>
        </w:rPr>
        <w:t>2</w:t>
      </w:r>
      <w:r>
        <w:t xml:space="preserve">. </w:t>
      </w:r>
      <w:r w:rsidRPr="008D479B">
        <w:rPr>
          <w:i/>
        </w:rPr>
        <w:t>Remisión a lo resuelto en la STC 89/2023, de 18 de julio</w:t>
      </w:r>
    </w:p>
    <w:p w14:paraId="0845ABC4" w14:textId="77777777" w:rsidR="008D479B" w:rsidRDefault="008D479B" w:rsidP="008D479B">
      <w:pPr>
        <w:pStyle w:val="TextoNormal"/>
      </w:pPr>
    </w:p>
    <w:p w14:paraId="63411F60" w14:textId="0FEEB653" w:rsidR="008D479B" w:rsidRDefault="008D479B" w:rsidP="008D479B">
      <w:pPr>
        <w:pStyle w:val="TextoNormal"/>
      </w:pPr>
      <w:r>
        <w:t>El problema constitucional que se plantea en este proceso de amparo es coincidente con el resuelto en la STC 89/2023, de 18 de julio, que excluyó que la actuación administrativa impugnada, en cuanto denegó la convocatoria del concurso solicitado para la concesión de licencias de prestación de servicios audiovisuales, vulnerara los derechos a expresar y difundir libremente los pensamientos, ideas y opiniones mediante la palabra, el escrito o cualquier otro medio de reproducción [art. 20.1 a) CE] y a comunicar o recibir libremente información veraz por cualquier medio de difusión [art. 20.1 d) CE], en relación con el principio de igualdad (art. 14 CE), lo que determina que, por idénticas razones, proceda desestimar el presente recurso de amparo.</w:t>
      </w:r>
    </w:p>
    <w:p w14:paraId="3726D074" w14:textId="77777777" w:rsidR="008D479B" w:rsidRDefault="008D479B" w:rsidP="008D479B">
      <w:pPr>
        <w:pStyle w:val="TextoNormal"/>
      </w:pPr>
    </w:p>
    <w:p w14:paraId="3E6B55FE" w14:textId="77777777" w:rsidR="008D479B" w:rsidRDefault="008D479B" w:rsidP="008D479B">
      <w:pPr>
        <w:pStyle w:val="TextoNormalCentrado"/>
        <w:keepNext/>
      </w:pPr>
      <w:r>
        <w:t>FALLO</w:t>
      </w:r>
    </w:p>
    <w:p w14:paraId="175529B8" w14:textId="392E4073" w:rsidR="008D479B" w:rsidRDefault="008D479B" w:rsidP="008D479B">
      <w:pPr>
        <w:pStyle w:val="TextoNormalCentrado"/>
        <w:keepNext/>
      </w:pPr>
    </w:p>
    <w:p w14:paraId="394BFB89" w14:textId="32FD8ED0" w:rsidR="008D479B" w:rsidRDefault="008D479B" w:rsidP="008D479B">
      <w:pPr>
        <w:pStyle w:val="TextoNormal"/>
      </w:pPr>
      <w:r>
        <w:t>En atención a todo lo expuesto, el Tribunal Constitucional, por la autoridad que le confiere la Constitución de la Nación española, ha decidido desestimar el recurso de amparo interpuesto por la Asociación Emplazamientos y Comunicación Nueva Esperanza.</w:t>
      </w:r>
    </w:p>
    <w:p w14:paraId="2C7855FC" w14:textId="77777777" w:rsidR="008D479B" w:rsidRDefault="008D479B" w:rsidP="008D479B">
      <w:pPr>
        <w:pStyle w:val="TextoNormal"/>
      </w:pPr>
    </w:p>
    <w:p w14:paraId="132EE3C7" w14:textId="77777777" w:rsidR="008D479B" w:rsidRDefault="008D479B" w:rsidP="008D479B">
      <w:pPr>
        <w:pStyle w:val="TextoNormal"/>
      </w:pPr>
      <w:r>
        <w:t>Publíquese esta sentencia en el “Boletín Oficial del Estado”.</w:t>
      </w:r>
    </w:p>
    <w:p w14:paraId="530CCB63" w14:textId="77777777" w:rsidR="008D479B" w:rsidRDefault="008D479B" w:rsidP="008D479B">
      <w:pPr>
        <w:pStyle w:val="TextoNormal"/>
      </w:pPr>
      <w:r>
        <w:t>Dada en Madrid, a veinticinco de septiembre de dos mil veintitrés.</w:t>
      </w:r>
    </w:p>
    <w:p w14:paraId="28F1F134" w14:textId="08E4F80D" w:rsidR="008D479B" w:rsidRDefault="008D479B" w:rsidP="008D479B">
      <w:pPr>
        <w:pStyle w:val="ParrafoNormal"/>
      </w:pPr>
    </w:p>
    <w:p w14:paraId="355E2669" w14:textId="77777777" w:rsidR="008D479B" w:rsidRDefault="008D479B" w:rsidP="008D479B">
      <w:pPr>
        <w:pStyle w:val="TextoNormalNegritaCentrado"/>
        <w:keepNext/>
      </w:pPr>
      <w:r>
        <w:t>Voto particular que formula la magistrada doña María Luisa Balaguer Callejón a la sentencia dictada en el recurso de amparo núm. 1847-2021</w:t>
      </w:r>
    </w:p>
    <w:p w14:paraId="44B62C47" w14:textId="1BCD7DC1" w:rsidR="008D479B" w:rsidRDefault="008D479B" w:rsidP="008D479B">
      <w:pPr>
        <w:pStyle w:val="TextoNormalNegritaCentrado"/>
        <w:keepNext/>
      </w:pPr>
    </w:p>
    <w:p w14:paraId="761979D5" w14:textId="77777777" w:rsidR="008D479B" w:rsidRDefault="008D479B" w:rsidP="008D479B">
      <w:pPr>
        <w:pStyle w:val="TextoNormal"/>
      </w:pPr>
      <w:r>
        <w:t>Con el mayor respeto al criterio reflejado en la sentencia a que se refiere el encabezamiento y, en ejercicio de la facultad que me confiere el art. 90.2 de la Ley Orgánica del Tribunal Constitucional, manifiesto mi discrepancia con la argumentación y fallo de la sentencia aprobada por la Sala. Por ello, me remito, en su totalidad, al voto particular que realicé a la STC 89/2023, de 18 de julio.</w:t>
      </w:r>
    </w:p>
    <w:p w14:paraId="72588092" w14:textId="77777777" w:rsidR="008D479B" w:rsidRDefault="008D479B" w:rsidP="008D479B">
      <w:pPr>
        <w:pStyle w:val="TextoNormal"/>
      </w:pPr>
    </w:p>
    <w:p w14:paraId="5BFFC7C8" w14:textId="4849437F" w:rsidR="008D479B" w:rsidRDefault="008D479B" w:rsidP="008D479B">
      <w:pPr>
        <w:pStyle w:val="TextoNormal"/>
      </w:pPr>
      <w:r>
        <w:t>Madrid, a veinticinco de septiembre de dos mil veintitrés.</w:t>
      </w:r>
    </w:p>
    <w:p w14:paraId="045235B5" w14:textId="60E30518" w:rsidR="008D479B" w:rsidRDefault="008D479B">
      <w:pPr>
        <w:spacing w:after="160" w:line="278" w:lineRule="auto"/>
        <w:rPr>
          <w:rFonts w:ascii="Times New Roman" w:eastAsia="Times New Roman" w:hAnsi="Times New Roman" w:cs="Times New Roman"/>
          <w:sz w:val="24"/>
          <w:szCs w:val="24"/>
          <w:lang w:eastAsia="es-ES"/>
        </w:rPr>
      </w:pPr>
      <w:r>
        <w:br w:type="page"/>
      </w:r>
    </w:p>
    <w:p w14:paraId="78D46FCB" w14:textId="77777777" w:rsidR="008D479B" w:rsidRDefault="008D479B" w:rsidP="008D479B">
      <w:pPr>
        <w:pStyle w:val="TtuloResolucin"/>
      </w:pPr>
      <w:bookmarkStart w:id="40" w:name="SENTENCIA_2023_115"/>
      <w:r>
        <w:t>SENTENCIA 115/2023, de 25 de septiembre de 2023</w:t>
      </w:r>
    </w:p>
    <w:bookmarkEnd w:id="40"/>
    <w:p w14:paraId="1D73299A" w14:textId="77777777" w:rsidR="008D479B" w:rsidRDefault="008D479B" w:rsidP="008D479B">
      <w:pPr>
        <w:pStyle w:val="TtuloResolucin"/>
      </w:pPr>
      <w:r>
        <w:t>Sala Primera</w:t>
      </w:r>
    </w:p>
    <w:p w14:paraId="3C91382E" w14:textId="77777777" w:rsidR="008D479B" w:rsidRDefault="008D479B" w:rsidP="008D479B">
      <w:pPr>
        <w:pStyle w:val="TtuloBOE"/>
      </w:pPr>
      <w:r>
        <w:t>(BOE núm. 261, de 1 de noviembre de 2023)</w:t>
      </w:r>
    </w:p>
    <w:p w14:paraId="0D6D5FCA" w14:textId="77777777" w:rsidR="008D479B" w:rsidRDefault="008D479B" w:rsidP="008D479B">
      <w:pPr>
        <w:pStyle w:val="TextoNormalCentrado"/>
      </w:pPr>
      <w:r>
        <w:t>ECLI:ES:TC:2023:115</w:t>
      </w:r>
    </w:p>
    <w:p w14:paraId="6C7FE9A6" w14:textId="02338476" w:rsidR="008D479B" w:rsidRDefault="008D479B" w:rsidP="008D479B">
      <w:pPr>
        <w:pStyle w:val="TextoNormalCentrado"/>
      </w:pPr>
    </w:p>
    <w:p w14:paraId="39E6C337" w14:textId="77777777" w:rsidR="008D479B" w:rsidRDefault="008D479B" w:rsidP="008D479B">
      <w:pPr>
        <w:pStyle w:val="SntesisDescriptiva"/>
      </w:pPr>
      <w:r>
        <w:t>Recurso de amparo 2749-2021. Promovido por la Federación de Asociaciones Culturales Radio Televisión Adventista España respecto de las resoluciones de la Consejería de Cultura y Política Lingüística del Gobierno Vasco que rechazaron su solicitud de convocatoria de concurso público para la adjudicación de licencias disponibles de comunicación audiovisual de radiodifusión sonora digital terrestre de ámbito local.</w:t>
      </w:r>
    </w:p>
    <w:p w14:paraId="4CF03178" w14:textId="5478D095" w:rsidR="008D479B" w:rsidRDefault="008D479B" w:rsidP="008D479B">
      <w:pPr>
        <w:pStyle w:val="SntesisDescriptiva"/>
      </w:pPr>
    </w:p>
    <w:p w14:paraId="08C6935F" w14:textId="77777777" w:rsidR="008D479B" w:rsidRDefault="008D479B" w:rsidP="008D479B">
      <w:pPr>
        <w:pStyle w:val="SntesisAnaltica"/>
      </w:pPr>
      <w:r>
        <w:t>Supuesta vulneración del derecho a la igualdad y a las libertades de expresión e información: STC 89/2023 (resolución administrativa que no resulta desproporcionada y que viene impuesta por la inexistencia de reserva de dominio público radioeléctrico). Voto particular.</w:t>
      </w:r>
    </w:p>
    <w:p w14:paraId="071F1200" w14:textId="4739A047" w:rsidR="008D479B" w:rsidRDefault="008D479B" w:rsidP="008D479B">
      <w:pPr>
        <w:pStyle w:val="SntesisAnaltica"/>
      </w:pPr>
    </w:p>
    <w:p w14:paraId="5D13EC67" w14:textId="0660F7A7" w:rsidR="008D479B" w:rsidRDefault="008D479B" w:rsidP="008D479B">
      <w:pPr>
        <w:pStyle w:val="Extracto"/>
      </w:pPr>
      <w:r>
        <w:t>1.</w:t>
      </w:r>
      <w:r>
        <w:tab/>
        <w:t xml:space="preserve">Remisión a la STC 89/2023 que declaró respetados los derechos a expresar y difundir libremente los pensamientos, ideas y opiniones, así como a comunicar o recibir libremente información veraz por cualquier medio de difusión, consagrados en el art. 20.1 a) y d) CE, en relación con el principio de igualdad reconocido en el art. 14 CE, por parte de la actuación administrativa denegatoria de convocatoria de concurso para la concesión de licencias de prestación de servicios audiovisuales </w:t>
      </w:r>
    </w:p>
    <w:p w14:paraId="70283D68" w14:textId="77777777" w:rsidR="008D479B" w:rsidRDefault="008D479B" w:rsidP="008D479B">
      <w:pPr>
        <w:pStyle w:val="Extracto"/>
      </w:pPr>
    </w:p>
    <w:p w14:paraId="7A3C9C53" w14:textId="77777777" w:rsidR="008D479B" w:rsidRDefault="008D479B" w:rsidP="008D479B">
      <w:pPr>
        <w:pStyle w:val="Extracto"/>
      </w:pPr>
    </w:p>
    <w:p w14:paraId="5F51C93A" w14:textId="77777777" w:rsidR="008D479B" w:rsidRDefault="008D479B" w:rsidP="008D479B">
      <w:pPr>
        <w:pStyle w:val="TextoNormal"/>
      </w:pPr>
      <w:r>
        <w:t>La Sala Primera del Tribunal Constitucional, compuesta por el magistrado don Cándido Conde-Pumpido Tourón, presidente, y los magistrados y magistradas don Ricardo Enríquez Sancho, doña Concepción Espejel Jorquera, doña María Luisa Segoviano Astaburuaga y don Juan Carlos Campo Moreno, ha pronunciado</w:t>
      </w:r>
    </w:p>
    <w:p w14:paraId="56E5BEF0" w14:textId="58B97F34" w:rsidR="008D479B" w:rsidRDefault="008D479B" w:rsidP="008D479B">
      <w:pPr>
        <w:pStyle w:val="TextoNormal"/>
      </w:pPr>
    </w:p>
    <w:p w14:paraId="52DD7C98" w14:textId="77777777" w:rsidR="008D479B" w:rsidRDefault="008D479B" w:rsidP="008D479B">
      <w:pPr>
        <w:pStyle w:val="TextoNormalCentrado"/>
        <w:keepNext/>
      </w:pPr>
      <w:r>
        <w:t>EN NOMBRE DEL REY</w:t>
      </w:r>
    </w:p>
    <w:p w14:paraId="3AE56EBF" w14:textId="0ED66B42" w:rsidR="008D479B" w:rsidRDefault="008D479B" w:rsidP="008D479B">
      <w:pPr>
        <w:pStyle w:val="TextoNormalCentrado"/>
        <w:keepNext/>
      </w:pPr>
    </w:p>
    <w:p w14:paraId="5D441CFC" w14:textId="77777777" w:rsidR="008D479B" w:rsidRDefault="008D479B" w:rsidP="008D479B">
      <w:pPr>
        <w:pStyle w:val="TextoNormalCentrado"/>
        <w:keepNext/>
      </w:pPr>
    </w:p>
    <w:p w14:paraId="6F59BECC" w14:textId="77777777" w:rsidR="008D479B" w:rsidRDefault="008D479B" w:rsidP="008D479B">
      <w:pPr>
        <w:pStyle w:val="TextoNormal"/>
      </w:pPr>
      <w:r>
        <w:t>la siguiente</w:t>
      </w:r>
    </w:p>
    <w:p w14:paraId="1A9B663E" w14:textId="56AE149D" w:rsidR="008D479B" w:rsidRDefault="008D479B" w:rsidP="008D479B">
      <w:pPr>
        <w:pStyle w:val="TextoNormal"/>
      </w:pPr>
    </w:p>
    <w:p w14:paraId="63F5D790" w14:textId="77777777" w:rsidR="008D479B" w:rsidRDefault="008D479B" w:rsidP="008D479B">
      <w:pPr>
        <w:pStyle w:val="TextoNormalCentrado"/>
        <w:keepNext/>
      </w:pPr>
      <w:r>
        <w:t>SENTENCIA</w:t>
      </w:r>
    </w:p>
    <w:p w14:paraId="1B3D1F3F" w14:textId="12E48603" w:rsidR="008D479B" w:rsidRDefault="008D479B" w:rsidP="008D479B">
      <w:pPr>
        <w:pStyle w:val="TextoNormalCentrado"/>
        <w:keepNext/>
      </w:pPr>
    </w:p>
    <w:p w14:paraId="65B02A7E" w14:textId="77777777" w:rsidR="008D479B" w:rsidRDefault="008D479B" w:rsidP="008D479B">
      <w:pPr>
        <w:pStyle w:val="TextoNormal"/>
      </w:pPr>
      <w:r>
        <w:t>En el recurso de amparo número 2749-2021, promovido por la Federación de Asociaciones Culturales Radio Televisión Adventista España, representada por la procuradora de los tribunales doña María Leceta Bilbao y asistida por el abogado don Jaime Rodríguez Díez, contra la orden del consejero de Cultura y Política Lingüística del Gobierno Vasco de 5 de julio de 2018, por la que se desestima el recurso de alzada interpuesto contra la resolución de la directora de Gabinete y Medios de Comunicación Social de 26 de marzo de 2018 desestimatoria de la solicitud de convocatoria de concurso público para el otorgamiento de las licencias de comunicación audiovisual de radiodifusión sonora digital terrestre en la Comunidad Autónoma del País Vasco. Ha comparecido la referida comunidad autónoma y ha intervenido el Ministerio Fiscal. Ha sido ponente la magistrada doña María Luisa Segoviano Astaburuaga.</w:t>
      </w:r>
    </w:p>
    <w:p w14:paraId="204ED6D7" w14:textId="7AECB387" w:rsidR="008D479B" w:rsidRDefault="008D479B" w:rsidP="008D479B">
      <w:pPr>
        <w:pStyle w:val="TextoNormal"/>
      </w:pPr>
    </w:p>
    <w:p w14:paraId="16B24540" w14:textId="77777777" w:rsidR="008D479B" w:rsidRDefault="008D479B" w:rsidP="008D479B">
      <w:pPr>
        <w:pStyle w:val="TextoNormalNegritaCentrado"/>
        <w:keepNext/>
      </w:pPr>
      <w:r>
        <w:t>I. Antecedentes</w:t>
      </w:r>
    </w:p>
    <w:p w14:paraId="30AFAD91" w14:textId="5EA262B9" w:rsidR="008D479B" w:rsidRDefault="008D479B" w:rsidP="008D479B">
      <w:pPr>
        <w:pStyle w:val="TextoNormalNegritaCentrado"/>
        <w:keepNext/>
      </w:pPr>
    </w:p>
    <w:p w14:paraId="7C5AA5AD" w14:textId="6A3DA061" w:rsidR="008D479B" w:rsidRDefault="008D479B" w:rsidP="008D479B">
      <w:pPr>
        <w:pStyle w:val="TextoNormal"/>
      </w:pPr>
      <w:r w:rsidRPr="008D479B">
        <w:rPr>
          <w:rStyle w:val="NumeroAFNegritaCaracter"/>
        </w:rPr>
        <w:t>1</w:t>
      </w:r>
      <w:r>
        <w:t>. Mediante escrito presentado en el registro general de este tribunal el 4 de mayo de 2021, la procuradora de los tribunales doña María Leceta Bilbao, actuando en nombre y representación de la Federación de Asociaciones Culturales Radio Televisión Adventista España, bajo la defensa del letrado don Jaime Rodríguez Díez, interpuso demanda de amparo contra la orden arriba mencionada.</w:t>
      </w:r>
    </w:p>
    <w:p w14:paraId="52C3938F" w14:textId="77777777" w:rsidR="008D479B" w:rsidRDefault="008D479B" w:rsidP="008D479B">
      <w:pPr>
        <w:pStyle w:val="TextoNormal"/>
      </w:pPr>
    </w:p>
    <w:p w14:paraId="19DDD7A2" w14:textId="77777777" w:rsidR="008D479B" w:rsidRDefault="008D479B" w:rsidP="008D479B">
      <w:pPr>
        <w:pStyle w:val="TextoNormal"/>
      </w:pPr>
      <w:r w:rsidRPr="008D479B">
        <w:rPr>
          <w:rStyle w:val="NumeroAFNegritaCaracter"/>
        </w:rPr>
        <w:t>2</w:t>
      </w:r>
      <w:r>
        <w:t>. Los hechos con relevancia para la resolución del presente recurso de amparo y a los que se refiere la demanda presentada son los siguientes:</w:t>
      </w:r>
    </w:p>
    <w:p w14:paraId="74538BC5" w14:textId="77777777" w:rsidR="008D479B" w:rsidRDefault="008D479B" w:rsidP="008D479B">
      <w:pPr>
        <w:pStyle w:val="TextoNormal"/>
      </w:pPr>
    </w:p>
    <w:p w14:paraId="64C133F0" w14:textId="77777777" w:rsidR="008D479B" w:rsidRDefault="008D479B" w:rsidP="008D479B">
      <w:pPr>
        <w:pStyle w:val="TextoNormal"/>
      </w:pPr>
      <w:r>
        <w:t>a) La Federación de Asociaciones Culturales Radio Televisión Adventista España interpuso recurso contencioso administrativo contra la orden del consejero de Cultura y Política Lingüística del Gobierno Vasco de 5 de julio de 2018, por la que se desestimaba el recurso de alzada interpuesto contra la resolución de la directora de Gabinete y Medios de Comunicación Social de 26 de marzo de 2018 desestimatoria de su solicitud de convocatoria de concurso público para el otorgamiento de las licencias de comunicación audiovisual de radiodifusión sonora digital terrestre en la Comunidad Autónoma del País Vasco.</w:t>
      </w:r>
    </w:p>
    <w:p w14:paraId="09CB2C51" w14:textId="77777777" w:rsidR="008D479B" w:rsidRDefault="008D479B" w:rsidP="008D479B">
      <w:pPr>
        <w:pStyle w:val="TextoNormal"/>
      </w:pPr>
    </w:p>
    <w:p w14:paraId="2D8B452C" w14:textId="77777777" w:rsidR="008D479B" w:rsidRDefault="008D479B" w:rsidP="008D479B">
      <w:pPr>
        <w:pStyle w:val="TextoNormal"/>
      </w:pPr>
      <w:r>
        <w:t>b) La Sala de lo Contencioso-Administrativo del Tribunal Superior de Justicia del País Vasco desestimó el recurso interpuesto por sentencia de 24 de octubre de 2019 (ECLI:ES:TSJPV:2019:2841) al concluir que declarada extinguida la planificación radioeléctrica no cabe exigir la convocatoria de las reservas de dominio público incluidas en la misma al no existir ya reserva ni estar amparada dicha convocatoria por la normativa aplicable.</w:t>
      </w:r>
    </w:p>
    <w:p w14:paraId="635829CE" w14:textId="77777777" w:rsidR="008D479B" w:rsidRDefault="008D479B" w:rsidP="008D479B">
      <w:pPr>
        <w:pStyle w:val="TextoNormal"/>
      </w:pPr>
    </w:p>
    <w:p w14:paraId="1C044D1D" w14:textId="6AFE5F6F" w:rsidR="008D479B" w:rsidRDefault="008D479B" w:rsidP="008D479B">
      <w:pPr>
        <w:pStyle w:val="TextoNormal"/>
      </w:pPr>
      <w:r>
        <w:t>c) Frente a dicha sentencia la representación procesal de la mercantil ahora recurrente en amparo interpuso recurso de casación, que fue inadmitido a trámite por providencia de la Sección Primera de la Sala de lo Contencioso-Administrativo del Tribunal Supremo de 28 de abril de 2021 por pérdida sobrevenida en el recurso de interés casacional objetivo para la formación de jurisprudencia a la vista de las SSTS de 25 y 26 de noviembre de 2020 (ECLI:ES:TS:2020:4171, ECLI:ES:TS:2020:4120 y ECLI:ES:TS:2020:4118) y de 14 de diciembre de 2020 (ECLI:ES:TS:2020:4355).</w:t>
      </w:r>
    </w:p>
    <w:p w14:paraId="06DE3F9F" w14:textId="77777777" w:rsidR="008D479B" w:rsidRDefault="008D479B" w:rsidP="008D479B">
      <w:pPr>
        <w:pStyle w:val="TextoNormal"/>
      </w:pPr>
    </w:p>
    <w:p w14:paraId="31EF4F25" w14:textId="77777777" w:rsidR="008D479B" w:rsidRDefault="008D479B" w:rsidP="008D479B">
      <w:pPr>
        <w:pStyle w:val="TextoNormal"/>
      </w:pPr>
      <w:r w:rsidRPr="008D479B">
        <w:rPr>
          <w:rStyle w:val="NumeroAFNegritaCaracter"/>
        </w:rPr>
        <w:t>3</w:t>
      </w:r>
      <w:r>
        <w:t>. En la demanda de amparo se alegan las siguientes vulneraciones constitucionales:</w:t>
      </w:r>
    </w:p>
    <w:p w14:paraId="7B561DDB" w14:textId="77777777" w:rsidR="008D479B" w:rsidRDefault="008D479B" w:rsidP="008D479B">
      <w:pPr>
        <w:pStyle w:val="TextoNormal"/>
      </w:pPr>
    </w:p>
    <w:p w14:paraId="3475559C" w14:textId="77777777" w:rsidR="008D479B" w:rsidRDefault="008D479B" w:rsidP="008D479B">
      <w:pPr>
        <w:pStyle w:val="TextoNormal"/>
      </w:pPr>
      <w:r>
        <w:t>a) Afirma que la negativa a convocar un concurso público por parte del Gobierno del País Vasco amparándose en el transcurso de un plazo imputable a su propia inactividad y el consiguiente decaimiento de la planificación del espacio radioeléctrico ha imposibilitado el ejercicio de los derechos fundamentales a la libertad de información, comunicación y expresión, en relación con el art. 14 CE, en concreto, de su derecho a crear los medios de comunicación indispensables para el ejercicio del derecho a expresar y difundir libremente los pensamientos, ideas y opiniones mediante la palabra, el escrito o cualquier otro medio de reproducción [art. 20.1 a) CE] y a comunicar o recibir libremente información veraz por cualquier medio de difusión [art. 20.1 d) CE]. Entiende que prevalece el deber de convocar el concurso de adjudicación [art. 27.2 de la Ley general de la comunicación audiovisual (LGCA)] sobre el eventual decaimiento de la reserva del espectro radioeléctrico (art. 27.4 LGCA) por lo que ha sido la inacción de la administración pública la causante de que no se haya aprovechado el espectro que el Estado ha otorgado a la comunidad autónoma, lo que invalida el acto recurrido por ser contrario a los derechos invocados. Alega que otras comunidades autónomas han procedido a efectuar los concursos de licencias más allá del plazo establecido y que la negativa a convocar los concursos de adjudicación de licencias vacantes es incompatible con la Directiva 2018/1972, de 11 de diciembre, por la que se establece el Código europeo de las comunicaciones electrónicas, por crear barreras de acceso al mercado e inutilizar el espectro radioeléctrico.</w:t>
      </w:r>
    </w:p>
    <w:p w14:paraId="140833C8" w14:textId="77777777" w:rsidR="008D479B" w:rsidRDefault="008D479B" w:rsidP="008D479B">
      <w:pPr>
        <w:pStyle w:val="TextoNormal"/>
      </w:pPr>
    </w:p>
    <w:p w14:paraId="1DBCB2FA" w14:textId="77777777" w:rsidR="008D479B" w:rsidRDefault="008D479B" w:rsidP="008D479B">
      <w:pPr>
        <w:pStyle w:val="TextoNormal"/>
      </w:pPr>
      <w:r>
        <w:t>Sostiene también que existe una patente contradicción entre las sentencias del Tribunal Supremo al diferenciar incorrectamente entre licencias de televisión digital y licencias de radiodifusión digital para la protección de los derechos fundamentales.</w:t>
      </w:r>
    </w:p>
    <w:p w14:paraId="67E53956" w14:textId="77777777" w:rsidR="008D479B" w:rsidRDefault="008D479B" w:rsidP="008D479B">
      <w:pPr>
        <w:pStyle w:val="TextoNormal"/>
      </w:pPr>
    </w:p>
    <w:p w14:paraId="12A1C157" w14:textId="77777777" w:rsidR="008D479B" w:rsidRDefault="008D479B" w:rsidP="008D479B">
      <w:pPr>
        <w:pStyle w:val="TextoNormal"/>
      </w:pPr>
      <w:r>
        <w:t xml:space="preserve">Añade, en fin, que la negativa a conceder una licencia de radiodifusión infringe el art. 10, apartado 1, del Convenio europeo de derechos humanos (CEDH) y cita las resoluciones del Tribunal Europeo de Derechos Humanos de 20 de octubre de 1997, asunto </w:t>
      </w:r>
      <w:r w:rsidRPr="008D479B">
        <w:rPr>
          <w:i/>
        </w:rPr>
        <w:t>Radio ABC c. Austria</w:t>
      </w:r>
      <w:r>
        <w:t xml:space="preserve">; de 23 de noviembre de 1999, asunto </w:t>
      </w:r>
      <w:r w:rsidRPr="008D479B">
        <w:rPr>
          <w:i/>
        </w:rPr>
        <w:t>Leveque c. Francia</w:t>
      </w:r>
      <w:r>
        <w:t xml:space="preserve">; de 7 de noviembre de 2000, asunto </w:t>
      </w:r>
      <w:r w:rsidRPr="008D479B">
        <w:rPr>
          <w:i/>
        </w:rPr>
        <w:t>United Christian Broadcasters Ltd. c. Reino Unido</w:t>
      </w:r>
      <w:r>
        <w:t xml:space="preserve">; de 11 de octubre de 2007, asunto </w:t>
      </w:r>
      <w:r w:rsidRPr="008D479B">
        <w:rPr>
          <w:i/>
        </w:rPr>
        <w:t>Glas Nadejda EOOD y Elenkov c. Bulgaria</w:t>
      </w:r>
      <w:r>
        <w:t xml:space="preserve">; de 17 de junio de 2008, asunto </w:t>
      </w:r>
      <w:r w:rsidRPr="008D479B">
        <w:rPr>
          <w:i/>
        </w:rPr>
        <w:t>Meltex Ltd. y Movsessian c. Armenia</w:t>
      </w:r>
      <w:r>
        <w:t xml:space="preserve">, así como el dictamen del Comité de Derechos Humanos de Naciones Unidas, de 27 de octubre de 2016, en el caso </w:t>
      </w:r>
      <w:r w:rsidRPr="008D479B">
        <w:rPr>
          <w:i/>
        </w:rPr>
        <w:t>Azagade c. Azerbaiyán</w:t>
      </w:r>
      <w:r>
        <w:t>.</w:t>
      </w:r>
    </w:p>
    <w:p w14:paraId="52CC9417" w14:textId="77777777" w:rsidR="008D479B" w:rsidRDefault="008D479B" w:rsidP="008D479B">
      <w:pPr>
        <w:pStyle w:val="TextoNormal"/>
      </w:pPr>
    </w:p>
    <w:p w14:paraId="5FA37E18" w14:textId="3710C55C" w:rsidR="008D479B" w:rsidRDefault="008D479B" w:rsidP="008D479B">
      <w:pPr>
        <w:pStyle w:val="TextoNormal"/>
      </w:pPr>
      <w:r>
        <w:t>b) En segundo lugar, considera vulnerado el derecho a la igualdad (art. 14 CE), al haberse convocado en otras comunidades autónomas concursos públicos de licencias de comunicación audiovisual. Mantiene que el art. 27.4 LGCA, al tener la consideración de normativa básica, debe aplicarse de forma similar en todo el territorio estatal y la dispar interpretación efectuada por las distintas comunidades autónomas, a juicio de la entidad recurrente, lesiona el art. 14 CE.</w:t>
      </w:r>
    </w:p>
    <w:p w14:paraId="7DFF7DA0" w14:textId="77777777" w:rsidR="008D479B" w:rsidRDefault="008D479B" w:rsidP="008D479B">
      <w:pPr>
        <w:pStyle w:val="TextoNormal"/>
      </w:pPr>
    </w:p>
    <w:p w14:paraId="47BF7483" w14:textId="77777777" w:rsidR="008D479B" w:rsidRDefault="008D479B" w:rsidP="008D479B">
      <w:pPr>
        <w:pStyle w:val="TextoNormal"/>
      </w:pPr>
      <w:r w:rsidRPr="008D479B">
        <w:rPr>
          <w:rStyle w:val="NumeroAFNegritaCaracter"/>
        </w:rPr>
        <w:t>4</w:t>
      </w:r>
      <w:r>
        <w:t>. Por providencia de 24 de octubre de 2022, la Sección Segunda del Tribunal Constitucional acordó admitir a trámite la demanda de amparo, al apreciar que concurría en la misma una especial trascendencia constitucional [art. 50.1 de la Ley Orgánica del Tribunal Constitucional (LOTC)] porque el recurso podía dar ocasión al Tribunal para aclarar o cambiar su doctrina, como consecuencia de un proceso de reflexión interna [STC 155/2009, de 25 de junio, FJ 2 b)] y el asunto suscitado trascendía del caso concreto porque plantea una cuestión jurídica de relevante y general repercusión social o económica [STC 155/2009, FJ 2 g)].</w:t>
      </w:r>
    </w:p>
    <w:p w14:paraId="0172B887" w14:textId="77777777" w:rsidR="008D479B" w:rsidRDefault="008D479B" w:rsidP="008D479B">
      <w:pPr>
        <w:pStyle w:val="TextoNormal"/>
      </w:pPr>
    </w:p>
    <w:p w14:paraId="4227DA7A" w14:textId="73B22C61" w:rsidR="008D479B" w:rsidRDefault="008D479B" w:rsidP="008D479B">
      <w:pPr>
        <w:pStyle w:val="TextoNormal"/>
      </w:pPr>
      <w:r>
        <w:t>Asimismo, acordó dar cumplimiento a lo dispuesto en el art. 51 LOTC y formar la correspondiente pieza separada de suspensión, que fue concluida por ATC 18/2023, de 6 de febrero, en el que se acordó denegar la suspensión cautelar solicitada.</w:t>
      </w:r>
    </w:p>
    <w:p w14:paraId="3D24A0BC" w14:textId="77777777" w:rsidR="008D479B" w:rsidRDefault="008D479B" w:rsidP="008D479B">
      <w:pPr>
        <w:pStyle w:val="TextoNormal"/>
      </w:pPr>
    </w:p>
    <w:p w14:paraId="7AA24B30" w14:textId="7E624E5B" w:rsidR="008D479B" w:rsidRDefault="008D479B" w:rsidP="008D479B">
      <w:pPr>
        <w:pStyle w:val="TextoNormal"/>
      </w:pPr>
      <w:r w:rsidRPr="008D479B">
        <w:rPr>
          <w:rStyle w:val="NumeroAFNegritaCaracter"/>
        </w:rPr>
        <w:t>5</w:t>
      </w:r>
      <w:r>
        <w:t>. Por diligencia de ordenación de la Secretaría de Justicia de la Sección se tuvo por personada a la Comunidad Autónoma del País Vasco. Y, a tenor de lo dispuesto en el art. 52 LOTC, se dio vista de las actuaciones, por un plazo común de veinte días, al Ministerio Fiscal y a las partes personadas para que dentro de dicho término pudieran presentar las alegaciones que a su derecho conviniera.</w:t>
      </w:r>
    </w:p>
    <w:p w14:paraId="6936EB99" w14:textId="77777777" w:rsidR="008D479B" w:rsidRDefault="008D479B" w:rsidP="008D479B">
      <w:pPr>
        <w:pStyle w:val="TextoNormal"/>
      </w:pPr>
    </w:p>
    <w:p w14:paraId="4779BE69" w14:textId="0B940623" w:rsidR="008D479B" w:rsidRDefault="008D479B" w:rsidP="008D479B">
      <w:pPr>
        <w:pStyle w:val="TextoNormal"/>
      </w:pPr>
      <w:r w:rsidRPr="008D479B">
        <w:rPr>
          <w:rStyle w:val="NumeroAFNegritaCaracter"/>
        </w:rPr>
        <w:t>6</w:t>
      </w:r>
      <w:r>
        <w:t>. La Comunidad Autónoma del País Vasco, con la representación y asistencia de letrado de su servicio jurídico, presentó sus alegaciones mediante escrito registrado el 21 de diciembre de 2022. Alega como causas de inadmisibilidad la falta de agotamiento de la vía judicial previa al no haberse interpuesto incidente de nulidad de actuaciones contra la providencia del Tribunal Supremo que inadmitió el recurso de casación y la carencia de especial trascendencia constitucional del recurso de amparo. Interesa, subsidiariamente, su desestimación al rechazar que se hayan vulnerado los derechos invocados en la demanda de amparo.</w:t>
      </w:r>
    </w:p>
    <w:p w14:paraId="7584B9F3" w14:textId="77777777" w:rsidR="008D479B" w:rsidRDefault="008D479B" w:rsidP="008D479B">
      <w:pPr>
        <w:pStyle w:val="TextoNormal"/>
      </w:pPr>
    </w:p>
    <w:p w14:paraId="1B28BCF7" w14:textId="04E621EE" w:rsidR="008D479B" w:rsidRDefault="008D479B" w:rsidP="008D479B">
      <w:pPr>
        <w:pStyle w:val="TextoNormal"/>
      </w:pPr>
      <w:r w:rsidRPr="008D479B">
        <w:rPr>
          <w:rStyle w:val="NumeroAFNegritaCaracter"/>
        </w:rPr>
        <w:t>7</w:t>
      </w:r>
      <w:r>
        <w:t>. La demandante de amparo presentó sus alegaciones mediante escrito registrado el 11 de enero de 2023 en el que reiteraba los argumentos expuestos en la demanda.</w:t>
      </w:r>
    </w:p>
    <w:p w14:paraId="091BC9AA" w14:textId="77777777" w:rsidR="008D479B" w:rsidRDefault="008D479B" w:rsidP="008D479B">
      <w:pPr>
        <w:pStyle w:val="TextoNormal"/>
      </w:pPr>
    </w:p>
    <w:p w14:paraId="0EA927C1" w14:textId="77777777" w:rsidR="008D479B" w:rsidRDefault="008D479B" w:rsidP="008D479B">
      <w:pPr>
        <w:pStyle w:val="TextoNormal"/>
      </w:pPr>
      <w:r w:rsidRPr="008D479B">
        <w:rPr>
          <w:rStyle w:val="NumeroAFNegritaCaracter"/>
        </w:rPr>
        <w:t>8</w:t>
      </w:r>
      <w:r>
        <w:t>. El Ministerio Fiscal presentó sus alegaciones mediante escrito registrado el 20 de enero de 2023 en el que solicita la desestimación del recurso de amparo.</w:t>
      </w:r>
    </w:p>
    <w:p w14:paraId="229C89DE" w14:textId="77777777" w:rsidR="008D479B" w:rsidRDefault="008D479B" w:rsidP="008D479B">
      <w:pPr>
        <w:pStyle w:val="TextoNormal"/>
      </w:pPr>
    </w:p>
    <w:p w14:paraId="7A77A516" w14:textId="77777777" w:rsidR="008D479B" w:rsidRDefault="008D479B" w:rsidP="008D479B">
      <w:pPr>
        <w:pStyle w:val="TextoNormal"/>
      </w:pPr>
      <w:r>
        <w:t>Descarta, en primer lugar, que se haya producido una vulneración del art. 14 CE, al no existir el término válido de comparación exigido para que se produzca la vulneración, pues no se han dictado las resoluciones por los mismos órganos, ni en el caso del reproche dirigido al Tribunal Supremo concurre la identidad de supuestos exigida.</w:t>
      </w:r>
    </w:p>
    <w:p w14:paraId="748AA794" w14:textId="77777777" w:rsidR="008D479B" w:rsidRDefault="008D479B" w:rsidP="008D479B">
      <w:pPr>
        <w:pStyle w:val="TextoNormal"/>
      </w:pPr>
    </w:p>
    <w:p w14:paraId="294B79CF" w14:textId="77777777" w:rsidR="008D479B" w:rsidRDefault="008D479B" w:rsidP="008D479B">
      <w:pPr>
        <w:pStyle w:val="TextoNormal"/>
      </w:pPr>
      <w:r>
        <w:t>Rechaza, asimismo, la vulneración del art. 20.1 a) y d) CE al existir una regulación normativa que establece el marco temporal de reserva del espacio radioeléctrico a los efectos de convocar los correspondientes concursos. Entiende que corresponde al legislador una mayor libertad de configuración normativa para disciplinar los soportes técnicos e instrumentos de comunicación, que la que posee al ordenar directamente los derechos fundamentales del art. 20.1 CE. De este modo las resoluciones administrativas y las sentencias que aplican la regulación establecida en este ámbito difícilmente pueden lesionar los derechos invocados.</w:t>
      </w:r>
    </w:p>
    <w:p w14:paraId="6650D097" w14:textId="77777777" w:rsidR="008D479B" w:rsidRDefault="008D479B" w:rsidP="008D479B">
      <w:pPr>
        <w:pStyle w:val="TextoNormal"/>
      </w:pPr>
    </w:p>
    <w:p w14:paraId="42202D41" w14:textId="3B4BEE01" w:rsidR="008D479B" w:rsidRDefault="008D479B" w:rsidP="008D479B">
      <w:pPr>
        <w:pStyle w:val="TextoNormal"/>
      </w:pPr>
      <w:r>
        <w:t xml:space="preserve">Finalmente, considera que las resoluciones del Tribunal Europeo de Derechos Humanos citadas no son aplicables por tratarse de decisiones de inadmisión o, en el caso de la STEDH de 20 de octubre de 1997, asunto </w:t>
      </w:r>
      <w:r w:rsidRPr="008D479B">
        <w:rPr>
          <w:i/>
        </w:rPr>
        <w:t>Radio ABC c. Austria</w:t>
      </w:r>
      <w:r>
        <w:t>, porque toda la actividad se subordinaba a una concesión del legislador federal que no se produjo, situación que se mantuvo durante tres periodos de tiempo, supuesto distinto al contemplado en la regulación española.</w:t>
      </w:r>
    </w:p>
    <w:p w14:paraId="0BF37CA3" w14:textId="77777777" w:rsidR="008D479B" w:rsidRDefault="008D479B" w:rsidP="008D479B">
      <w:pPr>
        <w:pStyle w:val="TextoNormal"/>
      </w:pPr>
    </w:p>
    <w:p w14:paraId="2172E71D" w14:textId="50191907" w:rsidR="008D479B" w:rsidRDefault="008D479B" w:rsidP="008D479B">
      <w:pPr>
        <w:pStyle w:val="TextoNormal"/>
      </w:pPr>
      <w:r w:rsidRPr="008D479B">
        <w:rPr>
          <w:rStyle w:val="NumeroAFNegritaCaracter"/>
        </w:rPr>
        <w:t>9</w:t>
      </w:r>
      <w:r>
        <w:t>. Por providencia de 21 de septiembre de 2023 se señaló para la deliberación y votación de la presente sentencia el día 25 del mismo mes y año.</w:t>
      </w:r>
    </w:p>
    <w:p w14:paraId="12E87F98" w14:textId="77777777" w:rsidR="008D479B" w:rsidRDefault="008D479B" w:rsidP="008D479B">
      <w:pPr>
        <w:pStyle w:val="TextoNormal"/>
      </w:pPr>
    </w:p>
    <w:p w14:paraId="49A36DAE" w14:textId="77777777" w:rsidR="008D479B" w:rsidRDefault="008D479B" w:rsidP="008D479B">
      <w:pPr>
        <w:pStyle w:val="TextoNormalNegritaCentrado"/>
        <w:keepNext/>
      </w:pPr>
      <w:r>
        <w:t>II. Fundamentos jurídicos</w:t>
      </w:r>
    </w:p>
    <w:p w14:paraId="7B38FE8A" w14:textId="5489E858" w:rsidR="008D479B" w:rsidRDefault="008D479B" w:rsidP="008D479B">
      <w:pPr>
        <w:pStyle w:val="TextoNormalNegritaCentrado"/>
        <w:keepNext/>
      </w:pPr>
    </w:p>
    <w:p w14:paraId="5DF06EEB" w14:textId="77777777" w:rsidR="008D479B" w:rsidRDefault="008D479B" w:rsidP="008D479B">
      <w:pPr>
        <w:pStyle w:val="TextoNormal"/>
      </w:pPr>
      <w:r w:rsidRPr="008D479B">
        <w:rPr>
          <w:rStyle w:val="NumeroAFNegritaCaracter"/>
        </w:rPr>
        <w:t>1</w:t>
      </w:r>
      <w:r>
        <w:t xml:space="preserve">. </w:t>
      </w:r>
      <w:r w:rsidRPr="008D479B">
        <w:rPr>
          <w:i/>
        </w:rPr>
        <w:t>Objeto del recurso</w:t>
      </w:r>
    </w:p>
    <w:p w14:paraId="73BCCC66" w14:textId="77777777" w:rsidR="008D479B" w:rsidRDefault="008D479B" w:rsidP="008D479B">
      <w:pPr>
        <w:pStyle w:val="TextoNormal"/>
      </w:pPr>
    </w:p>
    <w:p w14:paraId="1FAD56F6" w14:textId="4A39870E" w:rsidR="008D479B" w:rsidRDefault="008D479B" w:rsidP="008D479B">
      <w:pPr>
        <w:pStyle w:val="TextoNormal"/>
      </w:pPr>
      <w:r>
        <w:t>El objeto de este recurso es determinar si la orden del consejero de Cultura y Política Lingüística del Gobierno Vasco de 5 de julio de 2018, por la que se desestima el recurso de alzada interpuesto contra la resolución de la directora de Gabinete y Medios de Comunicación Social de 26 de marzo de 2018 desestimatoria de la solicitud de convocatoria de concurso público para el otorgamiento de las licencias de comunicación audiovisual de radiodifusión sonora digital terrestre en la Comunidad Autónoma del País Vasco, vulnera los derechos fundamentales a la libertad de información, comunicación y expresión [art. 20.1 a) y d) CE], en relación con el art. 14 CE.</w:t>
      </w:r>
    </w:p>
    <w:p w14:paraId="1F188D84" w14:textId="77777777" w:rsidR="008D479B" w:rsidRDefault="008D479B" w:rsidP="008D479B">
      <w:pPr>
        <w:pStyle w:val="TextoNormal"/>
      </w:pPr>
    </w:p>
    <w:p w14:paraId="11734A15" w14:textId="77777777" w:rsidR="008D479B" w:rsidRDefault="008D479B" w:rsidP="008D479B">
      <w:pPr>
        <w:pStyle w:val="TextoNormal"/>
      </w:pPr>
      <w:r w:rsidRPr="008D479B">
        <w:rPr>
          <w:rStyle w:val="NumeroAFNegritaCaracter"/>
        </w:rPr>
        <w:t>2</w:t>
      </w:r>
      <w:r>
        <w:t xml:space="preserve">. </w:t>
      </w:r>
      <w:r w:rsidRPr="008D479B">
        <w:rPr>
          <w:i/>
        </w:rPr>
        <w:t>Cuestiones previas: falta de agotamiento de la vía judicial previa y justificación de la especial trascendencia constitucional</w:t>
      </w:r>
    </w:p>
    <w:p w14:paraId="54BC239D" w14:textId="77777777" w:rsidR="008D479B" w:rsidRDefault="008D479B" w:rsidP="008D479B">
      <w:pPr>
        <w:pStyle w:val="TextoNormal"/>
      </w:pPr>
    </w:p>
    <w:p w14:paraId="6FB46EB0" w14:textId="77777777" w:rsidR="008D479B" w:rsidRDefault="008D479B" w:rsidP="008D479B">
      <w:pPr>
        <w:pStyle w:val="TextoNormal"/>
      </w:pPr>
      <w:r>
        <w:t>En primer lugar, como se ha indicado en los antecedentes, la Comunidad Autónoma del País Vasco alega como causa de inadmisibilidad del recurso que la demanda interpuesta no ha agotado la vía judicial al no haber interpuesto incidente de nulidad de actuaciones contra la resolución del Tribunal Supremo que inadmitió el recurso de casación. Esta alegación no puede prosperar. En el presente caso, al encontrarnos ante un recurso de amparo interpuesto por la vía del art. 43 LOTC —las vulneraciones constitucionales en las que se fundamenta se imputan a las resoluciones administrativas y no a las judiciales—, a tenor de lo dispuesto en el art. 241.1 de la Ley Orgánica del Poder Judicial, es manifiesto que no procede interponer un incidente de nulidad de actuaciones para agotar la vía judicial y cumplir lo previsto en el art. 44.1 a) LOTC.</w:t>
      </w:r>
    </w:p>
    <w:p w14:paraId="4B7AE085" w14:textId="77777777" w:rsidR="008D479B" w:rsidRDefault="008D479B" w:rsidP="008D479B">
      <w:pPr>
        <w:pStyle w:val="TextoNormal"/>
      </w:pPr>
    </w:p>
    <w:p w14:paraId="06E4A21E" w14:textId="56D3AC20" w:rsidR="008D479B" w:rsidRDefault="008D479B" w:rsidP="008D479B">
      <w:pPr>
        <w:pStyle w:val="TextoNormal"/>
      </w:pPr>
      <w:r>
        <w:t>También se aduce que el recurso ha de ser inadmitido por carecer de especial trascendencia constitucional. De acuerdo con la doctrina constitucional, corresponde únicamente al Tribunal apreciar en cada caso, en el momento de admitir a trámite el recurso de amparo, si este tiene especial trascendencia constitucional, de acuerdo con lo exigido por el art. 50.1 LOTC (así, SSTC 155/2020, de 4 de noviembre, FJ 2, o 43/2022, de 21 de marzo, FJ 2, y 13/2003, de 6 de marzo, FJ 2, entre otras muchas). En consecuencia, esta causa de inadmisión ha de rechazarse.</w:t>
      </w:r>
    </w:p>
    <w:p w14:paraId="54398F27" w14:textId="77777777" w:rsidR="008D479B" w:rsidRDefault="008D479B" w:rsidP="008D479B">
      <w:pPr>
        <w:pStyle w:val="TextoNormal"/>
      </w:pPr>
    </w:p>
    <w:p w14:paraId="47C29750" w14:textId="77777777" w:rsidR="008D479B" w:rsidRDefault="008D479B" w:rsidP="008D479B">
      <w:pPr>
        <w:pStyle w:val="TextoNormal"/>
      </w:pPr>
      <w:r w:rsidRPr="008D479B">
        <w:rPr>
          <w:rStyle w:val="NumeroAFNegritaCaracter"/>
        </w:rPr>
        <w:t>3</w:t>
      </w:r>
      <w:r>
        <w:t xml:space="preserve">. </w:t>
      </w:r>
      <w:r w:rsidRPr="008D479B">
        <w:rPr>
          <w:i/>
        </w:rPr>
        <w:t>Remisión a lo resuelto en la STC 89/2023, de 18 de julio</w:t>
      </w:r>
    </w:p>
    <w:p w14:paraId="4CDDE0DB" w14:textId="77777777" w:rsidR="008D479B" w:rsidRDefault="008D479B" w:rsidP="008D479B">
      <w:pPr>
        <w:pStyle w:val="TextoNormal"/>
      </w:pPr>
    </w:p>
    <w:p w14:paraId="09F3994A" w14:textId="23B38BD2" w:rsidR="008D479B" w:rsidRDefault="008D479B" w:rsidP="008D479B">
      <w:pPr>
        <w:pStyle w:val="TextoNormal"/>
      </w:pPr>
      <w:r>
        <w:t>El problema constitucional que se plantea en este proceso de amparo es coincidente con el resuelto en la STC 89/2023, de 18 de julio, que excluyó que la actuación administrativa impugnada, en cuanto denegó la convocatoria del concurso solicitado para la concesión de licencias de prestación de servicios audiovisuales, vulnerara los derechos a expresar y difundir libremente los pensamientos, ideas y opiniones mediante la palabra, el escrito o cualquier otro medio de reproducción [art. 20.1 a) CE] y a comunicar o recibir libremente información veraz por cualquier medio de difusión [art. 20.1 d) CE], en relación con el principio de igualdad (art. 14 CE), lo que determina que, por idénticas razones, proceda desestimar el presente recurso de amparo.</w:t>
      </w:r>
    </w:p>
    <w:p w14:paraId="55DB1418" w14:textId="77777777" w:rsidR="008D479B" w:rsidRDefault="008D479B" w:rsidP="008D479B">
      <w:pPr>
        <w:pStyle w:val="TextoNormal"/>
      </w:pPr>
    </w:p>
    <w:p w14:paraId="5C273044" w14:textId="77777777" w:rsidR="008D479B" w:rsidRDefault="008D479B" w:rsidP="008D479B">
      <w:pPr>
        <w:pStyle w:val="TextoNormalCentrado"/>
        <w:keepNext/>
      </w:pPr>
      <w:r>
        <w:t>FALLO</w:t>
      </w:r>
    </w:p>
    <w:p w14:paraId="763B41AF" w14:textId="5A53CE88" w:rsidR="008D479B" w:rsidRDefault="008D479B" w:rsidP="008D479B">
      <w:pPr>
        <w:pStyle w:val="TextoNormalCentrado"/>
        <w:keepNext/>
      </w:pPr>
    </w:p>
    <w:p w14:paraId="7BA6070B" w14:textId="7B7D7B45" w:rsidR="008D479B" w:rsidRDefault="008D479B" w:rsidP="008D479B">
      <w:pPr>
        <w:pStyle w:val="TextoNormal"/>
      </w:pPr>
      <w:r>
        <w:t>En atención a todo lo expuesto, el Tribunal Constitucional, por la autoridad que le confiere la Constitución de la Nación española, ha decidido desestimar el recurso de amparo interpuesto por la Federación de Asociaciones Culturales Radio Televisión Adventista España.</w:t>
      </w:r>
    </w:p>
    <w:p w14:paraId="491AE804" w14:textId="77777777" w:rsidR="008D479B" w:rsidRDefault="008D479B" w:rsidP="008D479B">
      <w:pPr>
        <w:pStyle w:val="TextoNormal"/>
      </w:pPr>
    </w:p>
    <w:p w14:paraId="69572BDC" w14:textId="77777777" w:rsidR="008D479B" w:rsidRDefault="008D479B" w:rsidP="008D479B">
      <w:pPr>
        <w:pStyle w:val="TextoNormal"/>
      </w:pPr>
      <w:r>
        <w:t>Publíquese esta sentencia en el “Boletín Oficial del Estado”.</w:t>
      </w:r>
    </w:p>
    <w:p w14:paraId="712F2A87" w14:textId="77777777" w:rsidR="008D479B" w:rsidRDefault="008D479B" w:rsidP="008D479B">
      <w:pPr>
        <w:pStyle w:val="TextoNormal"/>
      </w:pPr>
      <w:r>
        <w:t>Dada en Madrid, a veinticinco de septiembre de dos mil veintitrés.</w:t>
      </w:r>
    </w:p>
    <w:p w14:paraId="49721E0C" w14:textId="503A8C8F" w:rsidR="008D479B" w:rsidRDefault="008D479B" w:rsidP="008D479B">
      <w:pPr>
        <w:pStyle w:val="ParrafoNormal"/>
      </w:pPr>
    </w:p>
    <w:p w14:paraId="384C170B" w14:textId="77777777" w:rsidR="008D479B" w:rsidRDefault="008D479B" w:rsidP="008D479B">
      <w:pPr>
        <w:pStyle w:val="TextoNormalNegritaCentrado"/>
        <w:keepNext/>
      </w:pPr>
      <w:r>
        <w:t>Voto particular concurrente que formula la magistrada doña Concepción Espejel Jorquera a la sentencia dictada en el recurso de amparo número 2749-2021</w:t>
      </w:r>
    </w:p>
    <w:p w14:paraId="220283F9" w14:textId="558DB455" w:rsidR="008D479B" w:rsidRDefault="008D479B" w:rsidP="008D479B">
      <w:pPr>
        <w:pStyle w:val="TextoNormalNegritaCentrado"/>
        <w:keepNext/>
      </w:pPr>
    </w:p>
    <w:p w14:paraId="01F64554" w14:textId="77777777" w:rsidR="008D479B" w:rsidRDefault="008D479B" w:rsidP="008D479B">
      <w:pPr>
        <w:pStyle w:val="TextoNormal"/>
      </w:pPr>
      <w:r>
        <w:t>En el ejercicio de la facultad que me confiere el artículo 90.2 de la Ley Orgánica del Tribunal Constitucional, y con respeto a la opinión de mis compañeros, formulo voto particular concurrente respecto de la sentencia recaída en el presente recurso de amparo, conforme a los argumentos que ya tuve ocasión de exponer durante su deliberación en la Sala remitiéndome al voto particular que formulé a la STC 89/2023, de 18 de julio, a la que se remite la presente resolución.</w:t>
      </w:r>
    </w:p>
    <w:p w14:paraId="0929C39A" w14:textId="77777777" w:rsidR="008D479B" w:rsidRDefault="008D479B" w:rsidP="008D479B">
      <w:pPr>
        <w:pStyle w:val="TextoNormal"/>
      </w:pPr>
    </w:p>
    <w:p w14:paraId="64BA0865" w14:textId="48060253" w:rsidR="008D479B" w:rsidRDefault="008D479B" w:rsidP="008D479B">
      <w:pPr>
        <w:pStyle w:val="TextoNormal"/>
      </w:pPr>
      <w:r>
        <w:t>Madrid, a veinticinco de septiembre de dos mil veintitrés.</w:t>
      </w:r>
    </w:p>
    <w:p w14:paraId="2D0B48B9" w14:textId="24F1BEA5" w:rsidR="008D479B" w:rsidRDefault="008D479B">
      <w:pPr>
        <w:spacing w:after="160" w:line="278" w:lineRule="auto"/>
        <w:rPr>
          <w:rFonts w:ascii="Times New Roman" w:eastAsia="Times New Roman" w:hAnsi="Times New Roman" w:cs="Times New Roman"/>
          <w:sz w:val="24"/>
          <w:szCs w:val="24"/>
          <w:lang w:eastAsia="es-ES"/>
        </w:rPr>
      </w:pPr>
      <w:r>
        <w:br w:type="page"/>
      </w:r>
    </w:p>
    <w:p w14:paraId="423A4C91" w14:textId="77777777" w:rsidR="008D479B" w:rsidRDefault="008D479B" w:rsidP="008D479B">
      <w:pPr>
        <w:pStyle w:val="TtuloResolucin"/>
      </w:pPr>
      <w:bookmarkStart w:id="41" w:name="SENTENCIA_2023_116"/>
      <w:r>
        <w:t>SENTENCIA 116/2023, de 25 de septiembre de 2023</w:t>
      </w:r>
    </w:p>
    <w:bookmarkEnd w:id="41"/>
    <w:p w14:paraId="7F6DA5B2" w14:textId="77777777" w:rsidR="008D479B" w:rsidRDefault="008D479B" w:rsidP="008D479B">
      <w:pPr>
        <w:pStyle w:val="TtuloResolucin"/>
      </w:pPr>
      <w:r>
        <w:t>Sala Primera</w:t>
      </w:r>
    </w:p>
    <w:p w14:paraId="30215C5E" w14:textId="77777777" w:rsidR="008D479B" w:rsidRDefault="008D479B" w:rsidP="008D479B">
      <w:pPr>
        <w:pStyle w:val="TtuloBOE"/>
      </w:pPr>
      <w:r>
        <w:t>(BOE núm. 261, de 1 de noviembre de 2023)</w:t>
      </w:r>
    </w:p>
    <w:p w14:paraId="0415E362" w14:textId="77777777" w:rsidR="008D479B" w:rsidRDefault="008D479B" w:rsidP="008D479B">
      <w:pPr>
        <w:pStyle w:val="TextoNormalCentrado"/>
      </w:pPr>
      <w:r>
        <w:t>ECLI:ES:TC:2023:116</w:t>
      </w:r>
    </w:p>
    <w:p w14:paraId="01E65258" w14:textId="7BF1BE13" w:rsidR="008D479B" w:rsidRDefault="008D479B" w:rsidP="008D479B">
      <w:pPr>
        <w:pStyle w:val="TextoNormalCentrado"/>
      </w:pPr>
    </w:p>
    <w:p w14:paraId="1B897FD0" w14:textId="77777777" w:rsidR="008D479B" w:rsidRDefault="008D479B" w:rsidP="008D479B">
      <w:pPr>
        <w:pStyle w:val="SntesisDescriptiva"/>
      </w:pPr>
      <w:r>
        <w:t>Recurso de amparo 3837-2021. Promovido por el Grupo Parlamentario Vox en el Parlamento de Cataluña y por su portavoz don Juan Garriga Domènech respecto de los acuerdos de la mesa de la Cámara sobre propuestas de senadores que corresponde designar al pleno del Parlamento.</w:t>
      </w:r>
    </w:p>
    <w:p w14:paraId="2D73C33A" w14:textId="46EA09DF" w:rsidR="008D479B" w:rsidRDefault="008D479B" w:rsidP="008D479B">
      <w:pPr>
        <w:pStyle w:val="SntesisDescriptiva"/>
      </w:pPr>
    </w:p>
    <w:p w14:paraId="05AAE9B6" w14:textId="77777777" w:rsidR="008D479B" w:rsidRDefault="008D479B" w:rsidP="008D479B">
      <w:pPr>
        <w:pStyle w:val="SntesisAnaltica"/>
      </w:pPr>
      <w:r>
        <w:t>Supuesta vulneración del derecho a la igualdad en el acceso a los cargos públicos: utilización del cociente Imperiali para el reparto de designación de senadores autonómicos que no contraviene la normativa aplicable ni el principio de proporcionalidad.</w:t>
      </w:r>
    </w:p>
    <w:p w14:paraId="1223D43B" w14:textId="0391A671" w:rsidR="008D479B" w:rsidRDefault="008D479B" w:rsidP="008D479B">
      <w:pPr>
        <w:pStyle w:val="SntesisAnaltica"/>
      </w:pPr>
    </w:p>
    <w:p w14:paraId="28DC6F56" w14:textId="451D197A" w:rsidR="008D479B" w:rsidRDefault="008D479B" w:rsidP="008D479B">
      <w:pPr>
        <w:pStyle w:val="Extracto"/>
      </w:pPr>
      <w:r>
        <w:t>1.</w:t>
      </w:r>
      <w:r>
        <w:tab/>
        <w:t xml:space="preserve">Los usos parlamentarios, en cuanto pauta reiterada de comportamiento fijada mediante la repetición de actos realizados por un mismo órgano parlamentario respecto de una misma cuestión, tienen la capacidad de contribuir a la configuración del contenido del </w:t>
      </w:r>
      <w:r w:rsidRPr="008D479B">
        <w:rPr>
          <w:i/>
        </w:rPr>
        <w:t>ius in officium</w:t>
      </w:r>
      <w:r>
        <w:t xml:space="preserve"> de los representantes parlamentarios, en supuestos de ambigüedad o de insuficiencia de la norma reglamentaria escrita, pero siempre que aquellas prácticas no contravengan lo dispuesto en el reglamento de la cámara correspondiente [FJ 3].</w:t>
      </w:r>
    </w:p>
    <w:p w14:paraId="7C513F54" w14:textId="77777777" w:rsidR="008D479B" w:rsidRDefault="008D479B" w:rsidP="008D479B">
      <w:pPr>
        <w:pStyle w:val="Extracto"/>
      </w:pPr>
    </w:p>
    <w:p w14:paraId="571C8424" w14:textId="000C3183" w:rsidR="008D479B" w:rsidRDefault="008D479B" w:rsidP="008D479B">
      <w:pPr>
        <w:pStyle w:val="Extracto"/>
      </w:pPr>
      <w:r>
        <w:t>2.</w:t>
      </w:r>
      <w:r>
        <w:tab/>
        <w:t xml:space="preserve">La facultad de la mesa en la selección del criterio de distribución proporcional: (a) no puede ser entendida en el sentido de que resulte obligada la aplicación de la llamada </w:t>
      </w:r>
      <w:r w:rsidRPr="008D479B">
        <w:rPr>
          <w:i/>
        </w:rPr>
        <w:t xml:space="preserve">regla d’Hondt </w:t>
      </w:r>
      <w:r>
        <w:t>como criterio general establecido en el sistema electoral español; y (b) esa facultad de selección lo es con independencia de que dicha opción acabe por beneficiar a los grupos más grandes o a los pequeños y minoritarios. Siempre con el límite de que, dentro de un razonable margen de flexibilidad, no se llegue a alterar la esencia de la proporcionalidad, que viene anudada a que se genere una situación notablemente desventajosa a partir de la ausencia de un criterio objetivo y razonable que la justifique (STC 4/1992) [FJ 4].</w:t>
      </w:r>
    </w:p>
    <w:p w14:paraId="5BFD8E68" w14:textId="77777777" w:rsidR="008D479B" w:rsidRDefault="008D479B" w:rsidP="008D479B">
      <w:pPr>
        <w:pStyle w:val="Extracto"/>
      </w:pPr>
    </w:p>
    <w:p w14:paraId="0DC31512" w14:textId="6EF1EBB4" w:rsidR="008D479B" w:rsidRDefault="008D479B" w:rsidP="008D479B">
      <w:pPr>
        <w:pStyle w:val="Extracto"/>
      </w:pPr>
      <w:r>
        <w:t>3.</w:t>
      </w:r>
      <w:r>
        <w:tab/>
        <w:t xml:space="preserve">El art. 69.5 CE establece como único requisito en la designación autonómica de los senadores correspondientes que se asegure la adecuada representación proporcional, por lo que no puede quedar condicionado por la eventual previsión normativa infraconstitucional adoptada en otros contextos diferentes a su desarrollo. Y en este ámbito material, la aplicación de la </w:t>
      </w:r>
      <w:r w:rsidRPr="008D479B">
        <w:rPr>
          <w:i/>
        </w:rPr>
        <w:t xml:space="preserve">fórmula Imperiali </w:t>
      </w:r>
      <w:r>
        <w:t>no altera la normativa ni la esencia de la proporcionalidad por cuanto es un criterio de reparto proporcional conocido y preexistente que responde en su formulación y aplicación a criterios objetivos [FJ 4].</w:t>
      </w:r>
    </w:p>
    <w:p w14:paraId="736E6C9F" w14:textId="77777777" w:rsidR="008D479B" w:rsidRDefault="008D479B" w:rsidP="008D479B">
      <w:pPr>
        <w:pStyle w:val="Extracto"/>
      </w:pPr>
    </w:p>
    <w:p w14:paraId="27200D69" w14:textId="77777777" w:rsidR="008D479B" w:rsidRDefault="008D479B" w:rsidP="008D479B">
      <w:pPr>
        <w:pStyle w:val="Extracto"/>
      </w:pPr>
    </w:p>
    <w:p w14:paraId="4EADB887" w14:textId="77777777" w:rsidR="008D479B" w:rsidRDefault="008D479B" w:rsidP="008D479B">
      <w:pPr>
        <w:pStyle w:val="TextoNormal"/>
      </w:pPr>
      <w:r>
        <w:t>La Sala Primera del Tribunal Constitucional, compuesta por el magistrado don Cándido Conde-Pumpido Tourón, presidente, y los magistrados y magistradas don Ricardo Enríquez Sancho, doña Concepción Espejel Jorquera, doña María Luisa Segoviano Astaburuaga y don Juan Carlos Campo Moreno, ha pronunciado</w:t>
      </w:r>
    </w:p>
    <w:p w14:paraId="4747ED4A" w14:textId="633DA347" w:rsidR="008D479B" w:rsidRDefault="008D479B" w:rsidP="008D479B">
      <w:pPr>
        <w:pStyle w:val="TextoNormal"/>
      </w:pPr>
    </w:p>
    <w:p w14:paraId="713AA44C" w14:textId="77777777" w:rsidR="008D479B" w:rsidRDefault="008D479B" w:rsidP="008D479B">
      <w:pPr>
        <w:pStyle w:val="TextoNormalCentrado"/>
        <w:keepNext/>
      </w:pPr>
      <w:r>
        <w:t>EN NOMBRE DEL REY</w:t>
      </w:r>
    </w:p>
    <w:p w14:paraId="2DC09404" w14:textId="4FFB2802" w:rsidR="008D479B" w:rsidRDefault="008D479B" w:rsidP="008D479B">
      <w:pPr>
        <w:pStyle w:val="TextoNormalCentrado"/>
        <w:keepNext/>
      </w:pPr>
    </w:p>
    <w:p w14:paraId="1F48FEC7" w14:textId="77777777" w:rsidR="008D479B" w:rsidRDefault="008D479B" w:rsidP="008D479B">
      <w:pPr>
        <w:pStyle w:val="TextoNormalCentrado"/>
        <w:keepNext/>
      </w:pPr>
    </w:p>
    <w:p w14:paraId="206FAE1E" w14:textId="77777777" w:rsidR="008D479B" w:rsidRDefault="008D479B" w:rsidP="008D479B">
      <w:pPr>
        <w:pStyle w:val="TextoNormal"/>
      </w:pPr>
      <w:r>
        <w:t>la siguiente</w:t>
      </w:r>
    </w:p>
    <w:p w14:paraId="518B36D1" w14:textId="64C2CE42" w:rsidR="008D479B" w:rsidRDefault="008D479B" w:rsidP="008D479B">
      <w:pPr>
        <w:pStyle w:val="TextoNormal"/>
      </w:pPr>
    </w:p>
    <w:p w14:paraId="17DABDDF" w14:textId="77777777" w:rsidR="008D479B" w:rsidRDefault="008D479B" w:rsidP="008D479B">
      <w:pPr>
        <w:pStyle w:val="TextoNormalCentrado"/>
        <w:keepNext/>
      </w:pPr>
      <w:r>
        <w:t>SENTENCIA</w:t>
      </w:r>
    </w:p>
    <w:p w14:paraId="110C5DD9" w14:textId="227905A8" w:rsidR="008D479B" w:rsidRDefault="008D479B" w:rsidP="008D479B">
      <w:pPr>
        <w:pStyle w:val="TextoNormalCentrado"/>
        <w:keepNext/>
      </w:pPr>
    </w:p>
    <w:p w14:paraId="0AB29DB8" w14:textId="77777777" w:rsidR="008D479B" w:rsidRDefault="008D479B" w:rsidP="008D479B">
      <w:pPr>
        <w:pStyle w:val="TextoNormal"/>
      </w:pPr>
      <w:r>
        <w:t>En el recurso de amparo núm. 3837-2021, promovido por el Grupo Parlamentario Vox en el Parlamento de Cataluña y por su portavoz don Juan Garriga Domènech, contra el acuerdo de la mesa del Parlamento de Cataluña de 26 de abril de 2021, por el que se desestima la petición de reconsideración planteada contra el acuerdo de 20 abril de 2021, sobre la distribución del número de senadores que corresponde designar proporcionalmente a cada grupo parlamentario. Ha comparecido el Parlamento de Cataluña y don Josep Lluís Cleries i González y doña Assumpció Castellví i Auvi. Ha intervenido el Ministerio Fiscal. Ha sido ponente la magistrada doña María Luisa Segoviano Astaburuaga.</w:t>
      </w:r>
    </w:p>
    <w:p w14:paraId="7E3557B6" w14:textId="3FC52F41" w:rsidR="008D479B" w:rsidRDefault="008D479B" w:rsidP="008D479B">
      <w:pPr>
        <w:pStyle w:val="TextoNormal"/>
      </w:pPr>
    </w:p>
    <w:p w14:paraId="0C559C97" w14:textId="77777777" w:rsidR="008D479B" w:rsidRDefault="008D479B" w:rsidP="008D479B">
      <w:pPr>
        <w:pStyle w:val="TextoNormalNegritaCentrado"/>
        <w:keepNext/>
      </w:pPr>
      <w:r>
        <w:t>I. Antecedentes</w:t>
      </w:r>
    </w:p>
    <w:p w14:paraId="40772A23" w14:textId="36985084" w:rsidR="008D479B" w:rsidRDefault="008D479B" w:rsidP="008D479B">
      <w:pPr>
        <w:pStyle w:val="TextoNormalNegritaCentrado"/>
        <w:keepNext/>
      </w:pPr>
    </w:p>
    <w:p w14:paraId="7FE50D13" w14:textId="01763333" w:rsidR="008D479B" w:rsidRDefault="008D479B" w:rsidP="008D479B">
      <w:pPr>
        <w:pStyle w:val="TextoNormal"/>
      </w:pPr>
      <w:r w:rsidRPr="008D479B">
        <w:rPr>
          <w:rStyle w:val="NumeroAFNegritaCaracter"/>
        </w:rPr>
        <w:t>1</w:t>
      </w:r>
      <w:r>
        <w:t>. El Grupo Parlamentario Vox en el Parlamento de Cataluña y su portavoz, don Juan Garriga Domènech, representados por el procurador de los tribunales don Antonio Ortega Fuentes, bajo la dirección del letrado don Juan José Aizcorbe Torra, interpusieron recurso de amparo contra los acuerdos mencionados en el encabezamiento de esta sentencia mediante escrito registrado en este tribunal el 9 de junio de 2021.</w:t>
      </w:r>
    </w:p>
    <w:p w14:paraId="6C0765C5" w14:textId="77777777" w:rsidR="008D479B" w:rsidRDefault="008D479B" w:rsidP="008D479B">
      <w:pPr>
        <w:pStyle w:val="TextoNormal"/>
      </w:pPr>
    </w:p>
    <w:p w14:paraId="16BB9FA4" w14:textId="77777777" w:rsidR="008D479B" w:rsidRDefault="008D479B" w:rsidP="008D479B">
      <w:pPr>
        <w:pStyle w:val="TextoNormal"/>
      </w:pPr>
      <w:r w:rsidRPr="008D479B">
        <w:rPr>
          <w:rStyle w:val="NumeroAFNegritaCaracter"/>
        </w:rPr>
        <w:t>2</w:t>
      </w:r>
      <w:r>
        <w:t>. El recurso tiene su origen en los siguientes antecedentes:</w:t>
      </w:r>
    </w:p>
    <w:p w14:paraId="7E7A90E5" w14:textId="77777777" w:rsidR="008D479B" w:rsidRDefault="008D479B" w:rsidP="008D479B">
      <w:pPr>
        <w:pStyle w:val="TextoNormal"/>
      </w:pPr>
    </w:p>
    <w:p w14:paraId="5E9198D9" w14:textId="77777777" w:rsidR="008D479B" w:rsidRDefault="008D479B" w:rsidP="008D479B">
      <w:pPr>
        <w:pStyle w:val="TextoNormal"/>
      </w:pPr>
      <w:r>
        <w:t>a) La Junta Electoral Central, mediante acuerdo de 25 de febrero de 2021, por el que se ordena la publicación del resumen de los resultados de las elecciones al Parlamento de Cataluña celebradas el 14 de febrero de 2021, hizo constar que los diputados obtenidos por cada una de las candidaturas en dichas elecciones fueron los siguientes: Partit dels Socialistes de Catalunya (PSC-PSOE), treinta y tres; Esquerra Republicana de Catalunya, treinta y tres; Junts per Catalunya, treinta y dos; Vox, once; Candidatura d’Unitat Popular-Un Nou Cicle per Guanyar, nueve; En Comú Podem-Podem en Comú, ocho; Ciutadans-Partido de la Ciudadanía, seis, y Partit Popular/Partido Popular, tres.</w:t>
      </w:r>
    </w:p>
    <w:p w14:paraId="5FBE8C62" w14:textId="77777777" w:rsidR="008D479B" w:rsidRDefault="008D479B" w:rsidP="008D479B">
      <w:pPr>
        <w:pStyle w:val="TextoNormal"/>
      </w:pPr>
    </w:p>
    <w:p w14:paraId="6A90F0EF" w14:textId="77777777" w:rsidR="008D479B" w:rsidRDefault="008D479B" w:rsidP="008D479B">
      <w:pPr>
        <w:pStyle w:val="TextoNormal"/>
      </w:pPr>
      <w:r>
        <w:t>b) En el acta de la reunión de la junta de portavoces del Parlamento de Cataluña celebrada el 20 de abril de 2021 se hizo constar como criterio de la junta en relación con la distribución de los senadores que han de representar a la Generalitat en el Senado que “la presidenta constata que se han expuesto dos formas de cálculo de la distribución de senadores, que son la Imperiali y la d’Hondt. En consecuencia, después de conocer el posicionamiento de los diferentes portavoces, la fórmula Imperiali es la que se impone por mayoría de la junta de portavoces, con el resultado de tres senadores para G.P. Socialistes i Units per Avançar y G.P. d’Esquerra Republicana y dos senadores para G.P. de Junts per Catalunya”.</w:t>
      </w:r>
    </w:p>
    <w:p w14:paraId="73400F97" w14:textId="77777777" w:rsidR="008D479B" w:rsidRDefault="008D479B" w:rsidP="008D479B">
      <w:pPr>
        <w:pStyle w:val="TextoNormal"/>
      </w:pPr>
    </w:p>
    <w:p w14:paraId="58763D6A" w14:textId="77777777" w:rsidR="008D479B" w:rsidRDefault="008D479B" w:rsidP="008D479B">
      <w:pPr>
        <w:pStyle w:val="TextoNormal"/>
      </w:pPr>
      <w:r>
        <w:t>c) La mesa del Parlamento de Cataluña, en reunión celebrada el 20 de abril de 2021, de acuerdo con la junta de portavoces y de conformidad con lo establecido en el art. 174.2 del Reglamento del Parlamento de Cataluña (RPC), resolvió distribuir el número de senadores que corresponde proporcionalmente a cada grupo parlamentario por la formula Imperiali, con el resultado de que, de los ocho senadores a designar, le corresponden a los grupos parlamentarios Socialistes i Units per Avançar y Esquerra Republicana tres senadores a cada uno y al de Junts per Catalunya, dos senadores.</w:t>
      </w:r>
    </w:p>
    <w:p w14:paraId="7C0670DA" w14:textId="77777777" w:rsidR="008D479B" w:rsidRDefault="008D479B" w:rsidP="008D479B">
      <w:pPr>
        <w:pStyle w:val="TextoNormal"/>
      </w:pPr>
    </w:p>
    <w:p w14:paraId="46624724" w14:textId="77777777" w:rsidR="008D479B" w:rsidRDefault="008D479B" w:rsidP="008D479B">
      <w:pPr>
        <w:pStyle w:val="TextoNormal"/>
      </w:pPr>
      <w:r>
        <w:t>d) El Grupo Parlamentario Vox, mediante escrito de 21 de abril de 2021, presentó solicitud de reconsideración alegando que la normativa reguladora de la distribución del número de senadores que corresponde designar a la Generalitat de Cataluña establece como criterio de reparto el de proporcionalidad y si se aplica dicho criterio y los sistemas de cálculo utilizados en todas y cada una de las legislaturas que anteceden a la presente, a Vox con once diputados autonómicos le corresponde designar un senador autonómico. A esos efectos, afirma, con invocación de los arts. 14 y 23.2 CE, que, en un claro fraude de ley y abuso de derecho, se ha acudido a la fórmula Imperiali, que es un método de cálculo que hasta la fecha no ha sido empleado jamás en el Parlamento de Cataluña ni en ningún otro Parlamento del resto de España. Destaca que “el método de restos mayores se ha utilizado en todas las legislaturas para repartir los senadores, excepto en la cuarta y la décima, en las que se utilizó la regla d’Hondt” y que con ambos sistemas a Vox le hubiera correspondido un senador, ya que “según el método de restas mayores le tocaban dos al PSC, dos a ERC, dos a Junts, uno a la CUP y uno a Vox, y según d’Hondt tres serían del PSC, dos de ERC, dos de Junts y uno de Vox. En cambio, aplicando la hasta el momento desconocida ‘fórmula Imperiali’, los partidos JxCat, ERC y PSC salen reforzados y evitan que se designe un senador de Vox, ya que tres le corresponden al PSC, tres a ERC y dos a Junts”.</w:t>
      </w:r>
    </w:p>
    <w:p w14:paraId="7090AE6E" w14:textId="77777777" w:rsidR="008D479B" w:rsidRDefault="008D479B" w:rsidP="008D479B">
      <w:pPr>
        <w:pStyle w:val="TextoNormal"/>
      </w:pPr>
    </w:p>
    <w:p w14:paraId="672699F9" w14:textId="356ABA2E" w:rsidR="008D479B" w:rsidRDefault="008D479B" w:rsidP="008D479B">
      <w:pPr>
        <w:pStyle w:val="TextoNormal"/>
      </w:pPr>
      <w:r>
        <w:t>e) La mesa, por tres votos a favor y dos en contra, desestimó la solicitud de reconsideración por acuerdo de 26 de abril de 2021, con fundamento en que, (i) de conformidad con el artículo 3.2 de la Ley 6/2010, de 26 de marzo, del procedimiento de designación de los senadores que representan a la Generalidad en el Senado, es la mesa la que determina el número de senadores que corresponde proporcionalmente a cada grupo parlamentario; y (ii) “en cada legislatura se decide el concreto sistema proporcional, habiéndose utilizado varios sistemas en función de cada legislatura. En esta ocasión, los representantes electos han decidido usar la fórmula Imperali, un mecanismo de distribución perfectamente válido en democracia, motivo por lo cual no existe ningún impedimento para utilizarlo. La fórmula Imperali cumple con los criterios de proporcionalidad que requiere la legalidad vigente y responde al resultado de las urnas emanado el 14 de febrero”.</w:t>
      </w:r>
    </w:p>
    <w:p w14:paraId="5E55C8C9" w14:textId="77777777" w:rsidR="008D479B" w:rsidRDefault="008D479B" w:rsidP="008D479B">
      <w:pPr>
        <w:pStyle w:val="TextoNormal"/>
      </w:pPr>
    </w:p>
    <w:p w14:paraId="72EA801A" w14:textId="77777777" w:rsidR="008D479B" w:rsidRDefault="008D479B" w:rsidP="008D479B">
      <w:pPr>
        <w:pStyle w:val="TextoNormal"/>
      </w:pPr>
      <w:r w:rsidRPr="008D479B">
        <w:rPr>
          <w:rStyle w:val="NumeroAFNegritaCaracter"/>
        </w:rPr>
        <w:t>3</w:t>
      </w:r>
      <w:r>
        <w:t>. Los demandantes de amparo solicitan que se estime el recurso por vulneración de su derecho a ejercer sus funciones representativas (art. 23.2 CE) con anulación de los acuerdos impugnados.</w:t>
      </w:r>
    </w:p>
    <w:p w14:paraId="4887356F" w14:textId="77777777" w:rsidR="008D479B" w:rsidRDefault="008D479B" w:rsidP="008D479B">
      <w:pPr>
        <w:pStyle w:val="TextoNormal"/>
      </w:pPr>
    </w:p>
    <w:p w14:paraId="5C3EFBD1" w14:textId="77777777" w:rsidR="008D479B" w:rsidRDefault="008D479B" w:rsidP="008D479B">
      <w:pPr>
        <w:pStyle w:val="TextoNormal"/>
      </w:pPr>
      <w:r>
        <w:t xml:space="preserve">Los demandantes, tras exponer la jurisprudencia constitucional que consideran aplicable al caso sobre que el derecho a la presentación de candidaturas de senadores autonómicos forma parte del </w:t>
      </w:r>
      <w:r w:rsidRPr="008D479B">
        <w:rPr>
          <w:i/>
        </w:rPr>
        <w:t>ius in officium</w:t>
      </w:r>
      <w:r>
        <w:t xml:space="preserve"> de los representantes políticos, la especial protección de las minorías y el valor de los usos parlamentarios, alega que los acuerdos impugnados se enmarcan en una estrategia de la mayoría en el Parlamento de Cataluña para crear un cordón sanitario en torno al partido político Vox, negándole el derecho fundamental a la participación política.</w:t>
      </w:r>
    </w:p>
    <w:p w14:paraId="3B037B3F" w14:textId="77777777" w:rsidR="008D479B" w:rsidRDefault="008D479B" w:rsidP="008D479B">
      <w:pPr>
        <w:pStyle w:val="TextoNormal"/>
      </w:pPr>
    </w:p>
    <w:p w14:paraId="4086AAB8" w14:textId="77777777" w:rsidR="008D479B" w:rsidRDefault="008D479B" w:rsidP="008D479B">
      <w:pPr>
        <w:pStyle w:val="TextoNormal"/>
      </w:pPr>
      <w:r>
        <w:t>Los demandantes, incidiendo en que la normativa sobre la designación de senadores autonómicos por la Generalidad de Cataluña establece que debe hacerse “de forma proporcional al número de diputados de cada grupo parlamentario” y exponer la jurisprudencia constitucional sobre el requisito de la proporcionalidad en la designación de distintos cargos representativos (SSTC 40/1981, de 18 de diciembre, FJ 2; 76/1989, de 27 de abril, FJ 4, y 4/1992, de 13 de enero, FFJJ 2, 3 y 4), pone de relieve que, a falta de concreción de un determinado sistema de proporcionalidad en la designación de los senadores autonómicos, la mesa cuenta con amplias facultades, siempre que respete el principio de proporcionalidad, pero no se puede alterar el método de cómputo en atención a los intereses de la mayoría política ni por aplicar a un grupo parlamentario un cordón sanitario. Afirman que la fórmula seleccionada altera la esencia de la proporcionalidad al excluir por completo a los grupos minoritarios produciendo una situación notablemente desventajosa, que constituya una discriminación vedada por el art 23.2 CE. Destacan que se ha impuesto la única fórmula de cálculo que permite a los tres grupos mayoritarios repartirse la totalidad de los senadores, excluyendo por completo a los minoritarios, ya que, con la aplicación de todas las fórmulas utilizadas desde la I Legislatura —método de restos mayores y regla d’Hondt—, al grupo parlamentario Vox le hubiera correspondido la designación de un senador autonómico.</w:t>
      </w:r>
    </w:p>
    <w:p w14:paraId="664C4807" w14:textId="77777777" w:rsidR="008D479B" w:rsidRDefault="008D479B" w:rsidP="008D479B">
      <w:pPr>
        <w:pStyle w:val="TextoNormal"/>
      </w:pPr>
    </w:p>
    <w:p w14:paraId="6B75D30F" w14:textId="77777777" w:rsidR="008D479B" w:rsidRDefault="008D479B" w:rsidP="008D479B">
      <w:pPr>
        <w:pStyle w:val="TextoNormal"/>
      </w:pPr>
      <w:r>
        <w:t>A esos efectos afirman que “dentro de las fórmulas de ‘resto mayor’, la más proporcional es el ‘cociente Hare’, que es el más exacto desde un punto de vista matemático al aplicar el cociente mediante la fórmula q=m/n, siendo ‘n’ el número de senadores a repartir y ‘m’ el de parlamentarios; la siguiente aplicada en derecho comparado más proporcional es el ‘cociente Droop’ a través de la fórmula q=1+m/(n+1); y finalmente la menos proporcional y más favorable a las mayorías es el cociente Imperiali que aplica la fórmula q=m/(n+2)” y añaden que “no cabe duda de que la aplicación de dicha fórmula Imperiali desvirtúa la propia esencia de la proporcionalidad tal y como ha sido entendida unánimemente entre nosotros desde la aprobación de la Constitución. Y es que desde la Constitución de 1978 nunca se ha aplicado en España un sistema que dé resultados tan mayoritarios como la referida fórmula Imperiali. Resulta manifiestamente inconstitucional acudir a la fórmula menos proporcional con la única finalidad de que la mayoría política pueda excluir de una función constitucional tan esencial como la designación de los senadores autonómicos a un grupo minoritario que, con cualquier otra fórmula de cálculo, hubiera tenido derecho a la designación de al menos un senador”.</w:t>
      </w:r>
    </w:p>
    <w:p w14:paraId="77DB59E2" w14:textId="77777777" w:rsidR="008D479B" w:rsidRDefault="008D479B" w:rsidP="008D479B">
      <w:pPr>
        <w:pStyle w:val="TextoNormal"/>
      </w:pPr>
    </w:p>
    <w:p w14:paraId="29566D15" w14:textId="77777777" w:rsidR="008D479B" w:rsidRDefault="008D479B" w:rsidP="008D479B">
      <w:pPr>
        <w:pStyle w:val="TextoNormal"/>
      </w:pPr>
      <w:r>
        <w:t>Los demandantes aducen que los acuerdos impugnados infringen los usos parlamentarios, ya que no hay precedente ni en el Parlamento catalán ni en ningún otro parlamento en España de utilización de la fórmula Imperiali. Consideran que quizá debería promoverse la modificación de la doctrina constitucional en esta materia, en la que se ha reconocido un “amplio margen de decisión a la Cámara” (STC 4/1992, FJ 3), ya que “a falta de ejercicio de esa predeterminación normativa por parte de los órganos de la Cámara, el criterio de proporcionalidad para la designación de los senadores del artículo 69.5 CE no puede quedar al albur de la mayoría de turno en la correspondiente Asamblea autonómica, dado que dicha mayoría política podría ir variando la fórmula de cálculo en función de sus intereses políticos o de sus respectivas alianzas y con desconsideración del principio de proporcionalidad constitucionalmente impuesto”. Destacan que “a falta de previsión legal expresa, son los órganos parlamentarios los que deben suplir la laguna mediante una resolución parlamentaria formal que predetermine la regla de cómputo. Y a falta de estas normas parlamentarias, después de las elecciones, la mesa debería estar limitada a aplicar la regla seguida en la anterior Legislatura o una regla de cálculo de la que resulte, al menos, una proporcionalidad igual o superior a la de la regla de general aplicación entre nosotros, esto es, la fórmula d’Hondt”.</w:t>
      </w:r>
    </w:p>
    <w:p w14:paraId="647C3804" w14:textId="77777777" w:rsidR="008D479B" w:rsidRDefault="008D479B" w:rsidP="008D479B">
      <w:pPr>
        <w:pStyle w:val="TextoNormal"/>
      </w:pPr>
    </w:p>
    <w:p w14:paraId="08E66CF1" w14:textId="77777777" w:rsidR="008D479B" w:rsidRDefault="008D479B" w:rsidP="008D479B">
      <w:pPr>
        <w:pStyle w:val="TextoNormal"/>
      </w:pPr>
      <w:r>
        <w:t>Los demandantes afirman que el recurso tiene especial trascendencia constitucional porque plantea una cuestión jurídica que pudiera tener unas consecuencias políticas generales [STC 155/2009, de 25 de junio, FJ 2 g)], ya que se trata de un recurso de amparo parlamentario respecto de actos que carecen de una vía jurisdiccional previa de tutela; y una cuestión novedosa sobre la que no hay jurisprudencia constitucional [STC 155/2009, FJ 2 a)] por la singularidad del caso en que una mayoría política selecciona entre las distintas fórmulas existentes de reparto proporcional aquel que permitía su exclusión, apartándose de todos los precedentes.</w:t>
      </w:r>
    </w:p>
    <w:p w14:paraId="68C17F5C" w14:textId="77777777" w:rsidR="008D479B" w:rsidRDefault="008D479B" w:rsidP="008D479B">
      <w:pPr>
        <w:pStyle w:val="TextoNormal"/>
      </w:pPr>
    </w:p>
    <w:p w14:paraId="7B452AF1" w14:textId="47FE37F6" w:rsidR="008D479B" w:rsidRDefault="008D479B" w:rsidP="008D479B">
      <w:pPr>
        <w:pStyle w:val="TextoNormal"/>
      </w:pPr>
      <w:r>
        <w:t>Los demandantes, con invocación del art. 89.1 de la Ley Orgánica del Tribunal Constitucional (LOTC), solicitan la práctica de prueba consistente en requerir al Parlamento de Cataluña para que comunique al Tribunal Constitucional los criterios aplicados en cada una de las legislaturas para el cálculo de la designación proporcional de los senadores con el resultado obtenido en cada caso y si la fórmula Imperiali se había aplicado en alguna ocasión previa.</w:t>
      </w:r>
    </w:p>
    <w:p w14:paraId="1DE6B162" w14:textId="77777777" w:rsidR="008D479B" w:rsidRDefault="008D479B" w:rsidP="008D479B">
      <w:pPr>
        <w:pStyle w:val="TextoNormal"/>
      </w:pPr>
    </w:p>
    <w:p w14:paraId="5F23B9B2" w14:textId="6CCA37B0" w:rsidR="008D479B" w:rsidRDefault="008D479B" w:rsidP="008D479B">
      <w:pPr>
        <w:pStyle w:val="TextoNormal"/>
      </w:pPr>
      <w:r w:rsidRPr="008D479B">
        <w:rPr>
          <w:rStyle w:val="NumeroAFNegritaCaracter"/>
        </w:rPr>
        <w:t>4</w:t>
      </w:r>
      <w:r>
        <w:t>. La Sección Segunda de este tribunal, por providencia de 4 de octubre de 2021, acordó admitir a trámite el recurso de amparo apreciando que concurre una especial trascendencia constitucional (art. 50.1 LOTC) porque el recurso plantea un problema o afecta a una faceta de un derecho fundamental sobre el que no hay doctrina de este tribunal [STC 155/2009, FJ 2 a)] y el asunto suscitado trasciende del caso concreto porque pudiera tener unas consecuencias políticas generales [STC 155/2009, FJ 2 g)] y dirigir atenta comunicación al Parlamento de Cataluña para la remisión de testimonio del expediente y que se tuviera por emplazado en el recurso de amparo.</w:t>
      </w:r>
    </w:p>
    <w:p w14:paraId="0C7C62CC" w14:textId="77777777" w:rsidR="008D479B" w:rsidRDefault="008D479B" w:rsidP="008D479B">
      <w:pPr>
        <w:pStyle w:val="TextoNormal"/>
      </w:pPr>
    </w:p>
    <w:p w14:paraId="27725FC7" w14:textId="5D4A4F11" w:rsidR="008D479B" w:rsidRDefault="008D479B" w:rsidP="008D479B">
      <w:pPr>
        <w:pStyle w:val="TextoNormal"/>
      </w:pPr>
      <w:r w:rsidRPr="008D479B">
        <w:rPr>
          <w:rStyle w:val="NumeroAFNegritaCaracter"/>
        </w:rPr>
        <w:t>5</w:t>
      </w:r>
      <w:r>
        <w:t>. La Secretaría de Justicia de la Sala Primera del Tribunal, por diligencia de ordenación de 16 de noviembre de 2021, tuvo por recibido el testimonio del expediente, por personado al Parlamento de Cataluña y a don Josep Lluís Cleries i González y doña Assumpció Castellví i Auvi, representados por el procurador de los Tribunales don Carlos Ricardo Estévez Sanz, y acordó dar vista de las actuaciones a las partes personadas y al Ministerio Fiscal, por plazo común de veinte días, a fin de que, conforme con lo previsto en el art. 52 LOTC, pudieran presentar alegaciones.</w:t>
      </w:r>
    </w:p>
    <w:p w14:paraId="499C1046" w14:textId="77777777" w:rsidR="008D479B" w:rsidRDefault="008D479B" w:rsidP="008D479B">
      <w:pPr>
        <w:pStyle w:val="TextoNormal"/>
      </w:pPr>
    </w:p>
    <w:p w14:paraId="602A2F63" w14:textId="77777777" w:rsidR="008D479B" w:rsidRDefault="008D479B" w:rsidP="008D479B">
      <w:pPr>
        <w:pStyle w:val="TextoNormal"/>
      </w:pPr>
      <w:r w:rsidRPr="008D479B">
        <w:rPr>
          <w:rStyle w:val="NumeroAFNegritaCaracter"/>
        </w:rPr>
        <w:t>6</w:t>
      </w:r>
      <w:r>
        <w:t xml:space="preserve">. El Ministerio Fiscal, por escrito registrado el 28 de diciembre de 2021, interesa que se dicte sentencia desestimando el recurso de amparo con fundamento en que, si bien la función de designar a los senadores por parte de los parlamentarios autonómicos, en la forma y con los requisitos que establece la normativa, forma parte del </w:t>
      </w:r>
      <w:r w:rsidRPr="008D479B">
        <w:rPr>
          <w:i/>
        </w:rPr>
        <w:t>ius in officium</w:t>
      </w:r>
      <w:r>
        <w:t xml:space="preserve"> (STC 199/2016, de 28 de noviembre, FJ 3), en el presente caso no cabe apreciar que se haya producido una infracción del régimen jurídico aplicable a la designación de senadores autonómicos por parte de la Generalidad, de que deba utilizarse un criterio de proporcionalidad [arts. 69 CE; art. 61 y disposición adicional primera del Estatuto de Autonomía de Cataluña (EAC); Ley 6/2010, de 26 de marzo, del procedimiento de designación de los senadores que representan a la Generalidad en el Senado y art. 174 RPC].</w:t>
      </w:r>
    </w:p>
    <w:p w14:paraId="47D4C52F" w14:textId="77777777" w:rsidR="008D479B" w:rsidRDefault="008D479B" w:rsidP="008D479B">
      <w:pPr>
        <w:pStyle w:val="TextoNormal"/>
      </w:pPr>
    </w:p>
    <w:p w14:paraId="15281473" w14:textId="77777777" w:rsidR="008D479B" w:rsidRDefault="008D479B" w:rsidP="008D479B">
      <w:pPr>
        <w:pStyle w:val="TextoNormal"/>
      </w:pPr>
      <w:r>
        <w:t>El Ministerio Fiscal afirma que la aplicación de la fórmula Imperiali se cohonesta con el criterio de proporcionalidad establecido legalmente, lo que no ha sido negado por los demandantes que tampoco han justificado que se haya producido una desviación sustancial de la proporcionalidad o que la fórmula no sea objetiva y razonable, limitándose a discrepar de su utilización en el caso.</w:t>
      </w:r>
    </w:p>
    <w:p w14:paraId="09A88861" w14:textId="77777777" w:rsidR="008D479B" w:rsidRDefault="008D479B" w:rsidP="008D479B">
      <w:pPr>
        <w:pStyle w:val="TextoNormal"/>
      </w:pPr>
    </w:p>
    <w:p w14:paraId="1F5D02B5" w14:textId="77777777" w:rsidR="008D479B" w:rsidRDefault="008D479B" w:rsidP="008D479B">
      <w:pPr>
        <w:pStyle w:val="TextoNormal"/>
      </w:pPr>
      <w:r>
        <w:t xml:space="preserve">El Ministerio Fiscal también rebate la alegación de los demandantes de que la mesa ha elegido una fórmula </w:t>
      </w:r>
      <w:r w:rsidRPr="008D479B">
        <w:rPr>
          <w:i/>
        </w:rPr>
        <w:t>ad casum</w:t>
      </w:r>
      <w:r>
        <w:t>, ignorando los usos parlamentarios, con la finalidad de impedir que pudieran designar a un senador, dando lugar a una discriminación prohibida, argumentando que no se aporta elemento de prueba alguno sobre el método empleado en legislaturas precedentes, por lo que no ha quedado probado en el presente proceso constitucional la existencia de un verdadero uso parlamentario relativo a la fórmula proporcional usada de forma habitual y única por el Parlamento de Cataluña ni, por tanto, un cambio de criterio respecto de precedentes anteriores; habiéndose limitado a interesar del Tribunal Constitucional que reclamara dichos precedentes, cuando podría haberlos solicitado, como grupo parlamentario de la Cámara, a los órganos parlamentarios correspondientes. También destaca que no se aprecia la discriminación aducida ya que la regulación en la materia evidencia que la elección de senadores autonómicos se produce en el ámbito de la autonomía parlamentaria sin fijar un concreto método proporcional de distribución de los senadores autonómicos a los grupos parlamentarios, lo que deja en manos de la mesa su concreción, que en este caso se ha aplicado a todos los grupos parlamentarios por igual, de tal manera que su aplicación no solo ha privado de la posibilidad de designar a un senador al grupo parlamentario demandante sino también a otro grupo parlamentario.</w:t>
      </w:r>
    </w:p>
    <w:p w14:paraId="2BD2B16D" w14:textId="77777777" w:rsidR="008D479B" w:rsidRDefault="008D479B" w:rsidP="008D479B">
      <w:pPr>
        <w:pStyle w:val="TextoNormal"/>
      </w:pPr>
    </w:p>
    <w:p w14:paraId="5E38C3B3" w14:textId="48CC7FE9" w:rsidR="008D479B" w:rsidRDefault="008D479B" w:rsidP="008D479B">
      <w:pPr>
        <w:pStyle w:val="TextoNormal"/>
      </w:pPr>
      <w:r>
        <w:t>El Ministerio Fiscal, por último, concluye que la mesa ha cumplido con la exigencia de motivar la aplicación que ha efectuado de las normas sobre distribución de senadores de manera proporcional entre los grupos parlamentarios del Parlamento de Cataluña.</w:t>
      </w:r>
    </w:p>
    <w:p w14:paraId="74B0BF8E" w14:textId="77777777" w:rsidR="008D479B" w:rsidRDefault="008D479B" w:rsidP="008D479B">
      <w:pPr>
        <w:pStyle w:val="TextoNormal"/>
      </w:pPr>
    </w:p>
    <w:p w14:paraId="7D1F2F97" w14:textId="77777777" w:rsidR="008D479B" w:rsidRDefault="008D479B" w:rsidP="008D479B">
      <w:pPr>
        <w:pStyle w:val="TextoNormal"/>
      </w:pPr>
      <w:r w:rsidRPr="008D479B">
        <w:rPr>
          <w:rStyle w:val="NumeroAFNegritaCaracter"/>
        </w:rPr>
        <w:t>7</w:t>
      </w:r>
      <w:r>
        <w:t>. El Parlamento de Cataluña, mediante escrito registrado el 21 de diciembre de 2021, solicita la inadmisión del recurso de amparo y, subsidiariamente, su desestimación.</w:t>
      </w:r>
    </w:p>
    <w:p w14:paraId="14F5D68C" w14:textId="77777777" w:rsidR="008D479B" w:rsidRDefault="008D479B" w:rsidP="008D479B">
      <w:pPr>
        <w:pStyle w:val="TextoNormal"/>
      </w:pPr>
    </w:p>
    <w:p w14:paraId="4BA7CAEC" w14:textId="77777777" w:rsidR="008D479B" w:rsidRDefault="008D479B" w:rsidP="008D479B">
      <w:pPr>
        <w:pStyle w:val="TextoNormal"/>
      </w:pPr>
      <w:r>
        <w:t>La solicitud de inadmisión del recurso se fundamenta en el incumplimiento de la exigencia de que el recurso tenga la especial transcendencia constitucional alegada por los demandantes, ya que existe jurisprudencia constitucional respecto de la cuestión suscitada y la aplicación de una concreta fórmula de reparto no plantea una cuestión jurídica de relevante y general repercusión social o económica ni tiene consecuencias generales.</w:t>
      </w:r>
    </w:p>
    <w:p w14:paraId="1EA8257C" w14:textId="77777777" w:rsidR="008D479B" w:rsidRDefault="008D479B" w:rsidP="008D479B">
      <w:pPr>
        <w:pStyle w:val="TextoNormal"/>
      </w:pPr>
    </w:p>
    <w:p w14:paraId="012052E3" w14:textId="77777777" w:rsidR="008D479B" w:rsidRDefault="008D479B" w:rsidP="008D479B">
      <w:pPr>
        <w:pStyle w:val="TextoNormal"/>
      </w:pPr>
      <w:r>
        <w:t>El Parlamento de Cataluña, en lo que se refiere a la petición de desestimación del recurso, afirma que este se circunscribe al concreto sistema proporcional adoptado por la mesa y que este acuerdo ha dado cumplimiento a la exigencia de la jurisprudencia constitucional que ha deferido a cada cámara la capacidad de optar libremente, y sin necesidad de justificación, entre los diversos sistemas considerados proporcionales, conforme a cualquier técnica (STC 4/1992, FJ 5). En ese sentido, destaca que el acuerdo impugnado ha elegido el sistema de resto mayor aplicado mediante la fórmula Imperiali, sin distorsionar la relación de proporcionalidad básica que existe entre los diversos grupos parlamentarios.</w:t>
      </w:r>
    </w:p>
    <w:p w14:paraId="58ECF8D3" w14:textId="77777777" w:rsidR="008D479B" w:rsidRDefault="008D479B" w:rsidP="008D479B">
      <w:pPr>
        <w:pStyle w:val="TextoNormal"/>
      </w:pPr>
    </w:p>
    <w:p w14:paraId="4A8D1D33" w14:textId="77777777" w:rsidR="008D479B" w:rsidRDefault="008D479B" w:rsidP="008D479B">
      <w:pPr>
        <w:pStyle w:val="TextoNormal"/>
      </w:pPr>
      <w:r>
        <w:t>El Parlamento de Cataluña expone que, pese al valor que se reconoce a los usos y costumbres parlamentarios, la elección de un criterio de proporcionalidad para un supuesto concreto, en una legislatura determinada, no deviene permanente e inamovible, y la jurisprudencia llega a admitir que la fórmula aplicada pueda cambiar de una elección o una legislatura a otra, por la libre voluntad del órgano llamado a determinarla, siempre que se determine dentro de los límites que la jurisprudencia señala. A esos efectos, incide en que la jurisprudencia constitucional no ha entrado a valorar las razones del cambio de criterio, que deben incluirse dentro de la esfera de libre determinación de la cámara correspondiente, y sin llegar a la pura arbitrariedad, pueden concurrir algunas que revistan un cierto cariz político dada la naturaleza del órgano que adopta la decisión. Cuando se reconoce la posibilidad, en el marco constitucional, de escoger entre diversos criterios de aplicación de la “proporcionalidad” es porque esta no constituye un concepto unívoco, sino que admite un rango diverso de modalidades, expresadas en fórmulas matemáticas, categorizadas o tipificadas por la doctrina especializada en esta materia. De entre esta diversidad, dos son las más extendidas en derecho comparado, la conocida como “cocientes mayores”, y dentro de esta la variante d’Hondt, y la de restos mayores, que tiene diversas variantes o formas de aplicación, entre ellas, la conocida como fórmula Imperiali. En cumplimiento de lo dispuesto en el art. 69.5 CE, las diversas cámaras autonómicas han oscilado entre diferentes fórmulas, en las diversas legislaturas, por regla general, por decisiones de las mesas correspondientes. El criterio utilizado en el Parlamento de Cataluña, para establecer la cuota que corresponde a cada grupo parlamentario del número de senadores que corresponde elegir a dicha cámara, desde la primera legislatura hasta la actual, ha oscilado entre el sistema de restos mayores o el sistema d’Hondt, aunque decantándose de manera destacada por el primero de los sistemas. Y respecto del sistema de restos mayores, la fórmula aplicada habitualmente ha sido la de Hare-Niemeyer. En la actual legislatura se ha seguido utilizando el sistema de restos mayores, aunque en su variante de la fórmula Imperiali.</w:t>
      </w:r>
    </w:p>
    <w:p w14:paraId="559DDC85" w14:textId="77777777" w:rsidR="008D479B" w:rsidRDefault="008D479B" w:rsidP="008D479B">
      <w:pPr>
        <w:pStyle w:val="TextoNormal"/>
      </w:pPr>
    </w:p>
    <w:p w14:paraId="2D3D20E3" w14:textId="77777777" w:rsidR="008D479B" w:rsidRDefault="008D479B" w:rsidP="008D479B">
      <w:pPr>
        <w:pStyle w:val="TextoNormal"/>
      </w:pPr>
      <w:r>
        <w:t>El Parlamento de Cataluña argumenta que, como ha señalado la jurisprudencia constitucional, la flexibilidad en la aplicación del criterio de proporcionalidad tiene como límite infranqueable que no llegue a alterarse su propia esencia ni que conlleve una situación notablemente desventajosa. Afirma que la fórmula de restos mayores en la variante Imperali no solo no altera la esencia proporcional, sino que se ajusta a ella, ya que si se hubiera elegido las fórmulas a las que se refiere el recurrente se habría producido una distorsión en el resultado ya que dos grupos parlamentarios tendrían la mitad de senadores que grupos con el triple de diputados (método de restas mayores). En el caso de que se hubiera escogido el método d’Hondt, el resultado conduciría igualmente a una distorsión notable puesto que a dos grupos con el mismo número de diputados (treinta y tres), se le asignaría a uno la cuota de tres senadores y a otro dos, e igualmente resultaría favorecido el grupo parlamentario Vox respecto al segundo y tercer grupos de la cámara al obtener la mitad de la representación de senadores que estos grupos.</w:t>
      </w:r>
    </w:p>
    <w:p w14:paraId="71B4D5EA" w14:textId="77777777" w:rsidR="008D479B" w:rsidRDefault="008D479B" w:rsidP="008D479B">
      <w:pPr>
        <w:pStyle w:val="TextoNormal"/>
      </w:pPr>
    </w:p>
    <w:p w14:paraId="731896CA" w14:textId="77777777" w:rsidR="008D479B" w:rsidRDefault="008D479B" w:rsidP="008D479B">
      <w:pPr>
        <w:pStyle w:val="TextoNormal"/>
      </w:pPr>
      <w:r>
        <w:t>El Parlamento de Cataluña discrepa con la pretensión de los demandantes de que se modifique la jurisprudencia constitucional en el sentido de que la mesa debe limitarse a aplicar el criterio establecido en la legislatura anterior o una regla de cálculo de la que resulte, al menos, una proporcionalidad igual o superior a la de la fórmula d’Hondt, haciendo las siguientes consideraciones: (i) La fórmula Imperiali no es una fórmula extravagante dentro de los sistemas habituales de distribución electoral, ya que la doctrina especializada no duda en incluirla entre los sistemas de restos mayores; tratándose de una fórmula proporcional existente en derecho comparado, que evita una distorsión de la relación aritmética que se da entre los grupos de la cámara y que sería desfavorable para los tres principales grupos. (ii) No existe un derecho de los grupos parlamentarios a que deba buscarse la aplicación de una fórmula que favorezca la posibilidad de que designen senadores derivado de que así se ha hecho en el pasado en el Parlamento de Cataluña, ya que en prácticamente todas las legislaturas del Parlamento desde 1980 ha habido grupos a los que no se les ha reconocido el derecho a proponer candidatos a senadores. (iii) Los grupos parlamentarios de similares dimensiones o representatividad a la del grupo demandante de amparo no se les ha asignado siempre, en pasadas legislaturas, un número de senadores. Así, se aprecia que en pasadas legislaturas a grupos parlamentarios con igual número de miembros y representando un porcentaje incluso superior de votos al obtenido por este en la presente legislatura (7,69 por 100) no se les ha asignado ningún senador. Tal sería el caso de la IV Legislatura, en la que el grupo parlamentario de ERC tenía once miembros (7,96 por 100 de los votos) y no se le asignó ningún puesto de senador, o el caso de la V Legislatura, en la que el grupo de Iniciativa per Catalunya-Verds se componía también de once miembros (representando un 9,71 por 100 de los votos emitidos), sin que se le atribuyese tampoco ningún puesto de senador.</w:t>
      </w:r>
    </w:p>
    <w:p w14:paraId="541CAF23" w14:textId="77777777" w:rsidR="008D479B" w:rsidRDefault="008D479B" w:rsidP="008D479B">
      <w:pPr>
        <w:pStyle w:val="TextoNormal"/>
      </w:pPr>
    </w:p>
    <w:p w14:paraId="26F81B7A" w14:textId="76D1407C" w:rsidR="008D479B" w:rsidRDefault="008D479B" w:rsidP="008D479B">
      <w:pPr>
        <w:pStyle w:val="TextoNormal"/>
      </w:pPr>
      <w:r>
        <w:t>Por último, el Parlamento de Cataluña señala que los acuerdos impugnados no incorporan ninguna motivación referida a un supuesto cordón sanitario en contra del Grupo Parlamentario Vox por lo que no puede ser tomada en consideración pues se estaría ejerciendo un juicio de intenciones impropio de la justicia constitucional y como tal rechazado reiteradamente por la jurisprudencia (STC 158/2019, de 12 de diciembre, FJ 2).</w:t>
      </w:r>
    </w:p>
    <w:p w14:paraId="2D0AA07C" w14:textId="77777777" w:rsidR="008D479B" w:rsidRDefault="008D479B" w:rsidP="008D479B">
      <w:pPr>
        <w:pStyle w:val="TextoNormal"/>
      </w:pPr>
    </w:p>
    <w:p w14:paraId="307D44A7" w14:textId="50BF91E2" w:rsidR="008D479B" w:rsidRDefault="008D479B" w:rsidP="008D479B">
      <w:pPr>
        <w:pStyle w:val="TextoNormal"/>
      </w:pPr>
      <w:r w:rsidRPr="008D479B">
        <w:rPr>
          <w:rStyle w:val="NumeroAFNegritaCaracter"/>
        </w:rPr>
        <w:t>8</w:t>
      </w:r>
      <w:r>
        <w:t>. Los demandantes de amparo y la parte comparecida no han presentado alegaciones.</w:t>
      </w:r>
    </w:p>
    <w:p w14:paraId="7041A6C5" w14:textId="77777777" w:rsidR="008D479B" w:rsidRDefault="008D479B" w:rsidP="008D479B">
      <w:pPr>
        <w:pStyle w:val="TextoNormal"/>
      </w:pPr>
    </w:p>
    <w:p w14:paraId="3ABF68FE" w14:textId="5C2BA380" w:rsidR="008D479B" w:rsidRDefault="008D479B" w:rsidP="008D479B">
      <w:pPr>
        <w:pStyle w:val="TextoNormal"/>
      </w:pPr>
      <w:r w:rsidRPr="008D479B">
        <w:rPr>
          <w:rStyle w:val="NumeroAFNegritaCaracter"/>
        </w:rPr>
        <w:t>9</w:t>
      </w:r>
      <w:r>
        <w:t>. Por providencia de 21 de septiembre de 2023 se señaló para deliberación y votación de la presente sentencia el día 25 del mismo mes y año.</w:t>
      </w:r>
    </w:p>
    <w:p w14:paraId="6BA325F6" w14:textId="77777777" w:rsidR="008D479B" w:rsidRDefault="008D479B" w:rsidP="008D479B">
      <w:pPr>
        <w:pStyle w:val="TextoNormal"/>
      </w:pPr>
    </w:p>
    <w:p w14:paraId="7F5AE8CB" w14:textId="77777777" w:rsidR="008D479B" w:rsidRDefault="008D479B" w:rsidP="008D479B">
      <w:pPr>
        <w:pStyle w:val="TextoNormalNegritaCentrado"/>
        <w:keepNext/>
      </w:pPr>
      <w:r>
        <w:t>II. Fundamentos jurídicos</w:t>
      </w:r>
    </w:p>
    <w:p w14:paraId="7246567E" w14:textId="0F710F0C" w:rsidR="008D479B" w:rsidRDefault="008D479B" w:rsidP="008D479B">
      <w:pPr>
        <w:pStyle w:val="TextoNormalNegritaCentrado"/>
        <w:keepNext/>
      </w:pPr>
    </w:p>
    <w:p w14:paraId="45540A72" w14:textId="77777777" w:rsidR="008D479B" w:rsidRDefault="008D479B" w:rsidP="008D479B">
      <w:pPr>
        <w:pStyle w:val="TextoNormal"/>
      </w:pPr>
      <w:r w:rsidRPr="008D479B">
        <w:rPr>
          <w:rStyle w:val="NumeroAFNegritaCaracter"/>
        </w:rPr>
        <w:t>1</w:t>
      </w:r>
      <w:r>
        <w:t xml:space="preserve">. </w:t>
      </w:r>
      <w:r w:rsidRPr="008D479B">
        <w:rPr>
          <w:i/>
        </w:rPr>
        <w:t>Objeto del recurso de amparo</w:t>
      </w:r>
    </w:p>
    <w:p w14:paraId="58E7C41A" w14:textId="77777777" w:rsidR="008D479B" w:rsidRDefault="008D479B" w:rsidP="008D479B">
      <w:pPr>
        <w:pStyle w:val="TextoNormal"/>
      </w:pPr>
    </w:p>
    <w:p w14:paraId="440C648D" w14:textId="77777777" w:rsidR="008D479B" w:rsidRDefault="008D479B" w:rsidP="008D479B">
      <w:pPr>
        <w:pStyle w:val="TextoNormal"/>
      </w:pPr>
      <w:r>
        <w:t>El objeto del presente recurso de amparo es determinar si la decisión parlamentaria impugnada, en la que se acuerda la aplicación de la fórmula Imperiali para el reparto proporcional de la designación de senadores autonómicos entre los grupos parlamentarios del Parlamento de Cataluña, ha vulnerado el derecho de representación política (art. 23.2 CE) de los demandantes de amparo por tratarse de la selección de una novedosa fórmula que se aparta de las utilizadas en legislaturas previas con la intención de privarles de la posibilidad de designación de un senador autonómico; destacando que a falta de una previsión legal expresa sobre la regla de reparto “la mesa debería estar limitada a aplicar la regla seguida en la anterior legislatura o una regla de cálculo de la que resulte, al menos, una proporcionalidad igual o superior a la de la regla de general aplicación entre nosotros, esto es, la fórmula d’Hondt”.</w:t>
      </w:r>
    </w:p>
    <w:p w14:paraId="32713C64" w14:textId="77777777" w:rsidR="008D479B" w:rsidRDefault="008D479B" w:rsidP="008D479B">
      <w:pPr>
        <w:pStyle w:val="TextoNormal"/>
      </w:pPr>
    </w:p>
    <w:p w14:paraId="6D2791A4" w14:textId="77777777" w:rsidR="008D479B" w:rsidRDefault="008D479B" w:rsidP="008D479B">
      <w:pPr>
        <w:pStyle w:val="TextoNormal"/>
      </w:pPr>
      <w:r>
        <w:t>El Tribunal, ya como delimitación del objeto de este recurso, debe reiterar que las argumentaciones que tienen que ver con un juicio de intenciones políticas —como es en este caso el que la finalidad de la fórmula de distribución seleccionada era privarles de la designación de su senador autonómico— deben quedar totalmente al margen del juicio de constitucionalidad a realizar en esta jurisdicción de amparo, cuyo único objeto es determinar si la pretensión invocada en el recurso, sustentada en este caso sobre la alegada vulneración del derecho fundamental de participación política de los recurrentes, ha sido objeto de lesión o no por los poderes públicos [STC 38/2022, de 11 de marzo, FJ 9 e)].</w:t>
      </w:r>
    </w:p>
    <w:p w14:paraId="23C9D587" w14:textId="77777777" w:rsidR="008D479B" w:rsidRDefault="008D479B" w:rsidP="008D479B">
      <w:pPr>
        <w:pStyle w:val="TextoNormal"/>
      </w:pPr>
    </w:p>
    <w:p w14:paraId="0ED7EDF7" w14:textId="78D8A072" w:rsidR="008D479B" w:rsidRDefault="008D479B" w:rsidP="008D479B">
      <w:pPr>
        <w:pStyle w:val="TextoNormal"/>
      </w:pPr>
      <w:r>
        <w:t>Por tanto, el objeto de este recurso queda limitado a determinar si ha vulnerado el derecho de representación política del grupo parlamentario recurrente la decisión de la mesa del Parlamento de Cataluña de seleccionar la regla Imperiali para el reparto proporcional de la designación de senadores autonómicos apartándose con ello de las fórmulas utilizadas en legislaturas previas e incumpliendo la exigencia de establecer una regla de cálculo de la que resulte, al menos, una proporcionalidad igual o superior a la de la regla de general aplicación, que es la fórmula d’Hondt.</w:t>
      </w:r>
    </w:p>
    <w:p w14:paraId="1AE4917A" w14:textId="77777777" w:rsidR="008D479B" w:rsidRDefault="008D479B" w:rsidP="008D479B">
      <w:pPr>
        <w:pStyle w:val="TextoNormal"/>
      </w:pPr>
    </w:p>
    <w:p w14:paraId="6FBB722E" w14:textId="77777777" w:rsidR="008D479B" w:rsidRDefault="008D479B" w:rsidP="008D479B">
      <w:pPr>
        <w:pStyle w:val="TextoNormal"/>
      </w:pPr>
      <w:r w:rsidRPr="008D479B">
        <w:rPr>
          <w:rStyle w:val="NumeroAFNegritaCaracter"/>
        </w:rPr>
        <w:t>2</w:t>
      </w:r>
      <w:r>
        <w:t xml:space="preserve">. </w:t>
      </w:r>
      <w:r w:rsidRPr="008D479B">
        <w:rPr>
          <w:i/>
        </w:rPr>
        <w:t>Cuestiones previas: petición de prueba y causa de inadmisión alegada</w:t>
      </w:r>
    </w:p>
    <w:p w14:paraId="113371C6" w14:textId="77777777" w:rsidR="008D479B" w:rsidRDefault="008D479B" w:rsidP="008D479B">
      <w:pPr>
        <w:pStyle w:val="TextoNormal"/>
      </w:pPr>
    </w:p>
    <w:p w14:paraId="07F866CF" w14:textId="77777777" w:rsidR="008D479B" w:rsidRDefault="008D479B" w:rsidP="008D479B">
      <w:pPr>
        <w:pStyle w:val="TextoNormal"/>
      </w:pPr>
      <w:r>
        <w:t>a) El tribunal no considera necesaria la práctica de la prueba instada por la parte demandante de amparo, consistente en requerir al Parlamento de Cataluña para que informe sobre los criterios aplicados en cada una de las legislaturas para el cálculo de la designación proporcional de los senadores con el resultado obtenido en cada caso y si la fórmula Imperiali se había aplicado en alguna ocasión previa. Por un lado, se trata de una información de acceso público disponible en las publicaciones oficiales del Parlamento de Cataluña que, por tanto, podría haber sido adjuntada por la parte demandante de amparo como documentación de la demanda y a la que el Tribunal tiene pleno acceso sin que por ello sea necesario objeto de prueba [SSTC 99/2004, de 27 de mayo, FJ 3 a), y 155/2017, de 21 de diciembre, FJ 2]; y, por otro, en relación con la inexistencia de precedentes sobre la aplicación de la fórmula Imperiali, además, es una cuestión no controvertida por las partes personadas.</w:t>
      </w:r>
    </w:p>
    <w:p w14:paraId="38861750" w14:textId="77777777" w:rsidR="008D479B" w:rsidRDefault="008D479B" w:rsidP="008D479B">
      <w:pPr>
        <w:pStyle w:val="TextoNormal"/>
      </w:pPr>
    </w:p>
    <w:p w14:paraId="0CAFCBD3" w14:textId="77777777" w:rsidR="008D479B" w:rsidRDefault="008D479B" w:rsidP="008D479B">
      <w:pPr>
        <w:pStyle w:val="TextoNormal"/>
      </w:pPr>
      <w:r>
        <w:t>b) El tribunal, en relación con la alegación del Parlamento de Cataluña de que el recurso carece de especial transcendencia constitucional, debe recordar que, conforme a una jurisprudencia constitucional reiterada, esta exigencia de admisibilidad, que no es de carácter procesal sino referida al fondo del asunto, es apreciada por el Tribunal en cada caso en el momento de admitir a trámite el recurso de amparo, de acuerdo con lo exigido por el art. 50.1 LOTC, sin que sea susceptible de reconsideración en el momento de la sentencia (SSTC 80/2020, de 15 de julio, FJ 2; 155/2020, de 4 de noviembre, FJ 2, o 2/2022, de 24 de enero, FJ 2).</w:t>
      </w:r>
    </w:p>
    <w:p w14:paraId="4356A3FC" w14:textId="77777777" w:rsidR="008D479B" w:rsidRDefault="008D479B" w:rsidP="008D479B">
      <w:pPr>
        <w:pStyle w:val="TextoNormal"/>
      </w:pPr>
    </w:p>
    <w:p w14:paraId="1D702669" w14:textId="5471C332" w:rsidR="008D479B" w:rsidRDefault="008D479B" w:rsidP="008D479B">
      <w:pPr>
        <w:pStyle w:val="TextoNormal"/>
      </w:pPr>
      <w:r>
        <w:t>En cualquier caso, con el fin de exponer las razones por las que se consideró que concurre la especial trascendencia constitucional del recurso, el Tribunal reitera, para hacer reconocibles los criterios de aplicación empleados al respecto (SSTC 9/2015, de 2 de febrero, FJ 3, o 40/2022, de 21 de marzo, FJ 2), que, al margen de que los recursos de amparo de origen parlamentario pudieran tener unas consecuencias políticas generales [STC 155/2009, de 25 de junio, FJ 2 g)] y de que por su especial configuración se promueven siempre sin haber contado la parte demandante con una vía judicial previa en la que defender los derechos fundamentales que se dicen infringidos (SSTC 110/2019, de 2 de octubre, FJ 1, o 97/2020, de 21 de julio, FJ 2), el presente recurso plantea un problema o afecta a una faceta de un derecho fundamental sobre el que no hay doctrina de este tribunal [STC 155/2009, FJ 2 a)]. En efecto, lo alegado con invocación del art. 23.2 CE en el presente recurso de amparo de manera principal es que una mayoría parlamentaria ha seleccionado una novedosa fórmula para el reparto proporcional de senadores de designación autonómica apartándose de los precedentes parlamentarios. Esa fundamentación singulariza el objeto de este recurso frente al que fue analizado en la STC 4/1992, de 13 de enero, en la que el pronunciamiento principal del Tribunal quedó limitado a la eventual necesidad de aplicación de la regla d’Hondt en la designación de senadores autonómicos con carácter supletorio, en defecto de una previsión normativa expresa sobre el sistema proporcional de aplicación.</w:t>
      </w:r>
    </w:p>
    <w:p w14:paraId="4000518F" w14:textId="77777777" w:rsidR="008D479B" w:rsidRDefault="008D479B" w:rsidP="008D479B">
      <w:pPr>
        <w:pStyle w:val="TextoNormal"/>
      </w:pPr>
    </w:p>
    <w:p w14:paraId="24BDB180" w14:textId="77777777" w:rsidR="008D479B" w:rsidRDefault="008D479B" w:rsidP="008D479B">
      <w:pPr>
        <w:pStyle w:val="TextoNormal"/>
      </w:pPr>
      <w:r w:rsidRPr="008D479B">
        <w:rPr>
          <w:rStyle w:val="NumeroAFNegritaCaracter"/>
        </w:rPr>
        <w:t>3</w:t>
      </w:r>
      <w:r>
        <w:t xml:space="preserve">. </w:t>
      </w:r>
      <w:r w:rsidRPr="008D479B">
        <w:rPr>
          <w:i/>
        </w:rPr>
        <w:t>Jurisprudencia constitucional sobre el derecho de representación política (art. 23.2 CE) y su proyección a la designación proporcional de los senadores autonómicos prevista en el art. 69.5 CE</w:t>
      </w:r>
    </w:p>
    <w:p w14:paraId="29676957" w14:textId="77777777" w:rsidR="008D479B" w:rsidRDefault="008D479B" w:rsidP="008D479B">
      <w:pPr>
        <w:pStyle w:val="TextoNormal"/>
      </w:pPr>
    </w:p>
    <w:p w14:paraId="5D4654F1" w14:textId="77777777" w:rsidR="008D479B" w:rsidRDefault="008D479B" w:rsidP="008D479B">
      <w:pPr>
        <w:pStyle w:val="TextoNormal"/>
      </w:pPr>
      <w:r>
        <w:t>a) La jurisprudencia constitucional ha establecido de manera reiterada una serie de pronunciamientos generales sobre el derecho de representación política que, habiendo sido resumidos recientemente, por ejemplo, en las SSTC 68/2020, de 29 de junio, FJ 2; 53/2021, de 15 de marzo, FJ 3; 38/2022, de 11 de marzo, FFJJ 4 y 5; 25/2023, de 17 de abril, FJ 3; 58/2023, de 23 de mayo, FJ 3, o 65/2023, de 6 de junio, FJ 3, pueden concretarse en los siguientes extremos:</w:t>
      </w:r>
    </w:p>
    <w:p w14:paraId="16AB8768" w14:textId="77777777" w:rsidR="008D479B" w:rsidRDefault="008D479B" w:rsidP="008D479B">
      <w:pPr>
        <w:pStyle w:val="TextoNormal"/>
      </w:pPr>
    </w:p>
    <w:p w14:paraId="5B0739AC" w14:textId="77777777" w:rsidR="008D479B" w:rsidRDefault="008D479B" w:rsidP="008D479B">
      <w:pPr>
        <w:pStyle w:val="TextoNormal"/>
      </w:pPr>
      <w:r>
        <w:t>(i) El art. 23.2 CE, que reconoce el derecho de los ciudadanos “a acceder en condiciones de igualdad a las funciones y cargos públicos, con los requisitos que señalen las leyes”, no solo garantiza el acceso igualitario a las funciones y cargos públicos, sino también a que los que hayan accedido a los mismos se mantengan en ellos y los desempeñen de conformidad con lo que la ley disponga. De ese modo, existe una conexión directa entre el derecho de los representantes políticos (art. 23.2 CE) y el que la Constitución atribuye a los ciudadanos a participar en los asuntos públicos (art. 23.1 CE), ya que, con carácter general, en una democracia representativa son aquellos quienes dan efectividad al derecho de los ciudadanos a participar en los asuntos públicos, por lo que ambos preceptos, de manera directa el art. 23.2 CE y de manera indirecta el art. 23.1 CE, quedarían vacíos de contenido, o serían ineficaces, si el representante político se viese privado de su cargo o perturbado en su ejercicio.</w:t>
      </w:r>
    </w:p>
    <w:p w14:paraId="0B3D04D3" w14:textId="77777777" w:rsidR="008D479B" w:rsidRDefault="008D479B" w:rsidP="008D479B">
      <w:pPr>
        <w:pStyle w:val="TextoNormal"/>
      </w:pPr>
    </w:p>
    <w:p w14:paraId="22EC8060" w14:textId="77777777" w:rsidR="008D479B" w:rsidRDefault="008D479B" w:rsidP="008D479B">
      <w:pPr>
        <w:pStyle w:val="TextoNormal"/>
      </w:pPr>
      <w:r>
        <w:t xml:space="preserve">(ii) El derecho a la representación política del art. 23.2 CE es de configuración legal, en el sentido de que compete a los reglamentos parlamentarios fijar y ordenar los derechos y atribuciones que a los representantes políticos corresponden, que una vez creados quedan integrados en el estatus propio del cargo. No obstante, el art. 23.2 CE no consagra un derecho al respeto de todas y cada una de las prescripciones de aquellos reglamentos, con la consecuencia de que el derecho de los representantes, y en particular su </w:t>
      </w:r>
      <w:r w:rsidRPr="008D479B">
        <w:rPr>
          <w:i/>
        </w:rPr>
        <w:t>ius in officium</w:t>
      </w:r>
      <w:r>
        <w:t>, solo podrá considerarse vulnerado si las aducidas contravenciones de las normas internas de las asambleas afectan a la igualdad entre representantes o contrarían la naturaleza de la representación por afectar al núcleo de sus derechos y facultades o, en otros términos, a su estatuto constitucionalmente relevante, como son, principalmente, los que tienen relación directa con el ejercicio de las potestades legislativas y de control de la acción del Gobierno.</w:t>
      </w:r>
    </w:p>
    <w:p w14:paraId="043F9481" w14:textId="77777777" w:rsidR="008D479B" w:rsidRDefault="008D479B" w:rsidP="008D479B">
      <w:pPr>
        <w:pStyle w:val="TextoNormal"/>
      </w:pPr>
    </w:p>
    <w:p w14:paraId="44BB9667" w14:textId="77777777" w:rsidR="008D479B" w:rsidRDefault="008D479B" w:rsidP="008D479B">
      <w:pPr>
        <w:pStyle w:val="TextoNormal"/>
      </w:pPr>
      <w:r>
        <w:t xml:space="preserve">(iii) Su carácter de derecho de configuración legal debe ser puesto en relación con el principio de autonomía parlamentaria reconocido por el art. 72.1 CE, que incluye como una de sus manifestaciones la autonomía normativa, que comporta, no solo una esfera de decisión propia de las asambleas legislativas en relación con la elaboración de su reglamentación interna, sino también el reconocimiento de que sus órganos están dotados de un margen de interpretación suficiente de dicha reglamentación. Esa autonomía interpretativa cuenta con ciertos límites como son: (a) la subordinación del órgano interpretador a la labor de creación normativa del Pleno de la asamblea, lo que impide innovaciones que contradigan los contenidos de las disposiciones legales o reglamentarias en la materia; (b) la eventual afectación que pueda tener en el ámbito del derecho de representación política determina que debe hacerse una exegesis restrictiva de las normas limitativas de los derechos o atribuciones que integran el estatuto constitucionalmente relevante del representante público y motivar las razones de su aplicación; y (c) la necesidad de que aquellos acuerdos que sean restrictivos del </w:t>
      </w:r>
      <w:r w:rsidRPr="008D479B">
        <w:rPr>
          <w:i/>
        </w:rPr>
        <w:t>ius in officium</w:t>
      </w:r>
      <w:r>
        <w:t xml:space="preserve"> de los parlamentarios no resulten decisiones arbitrarias o manifiestamente irrazonables para lo que deben incorporar una motivación expresa, suficiente y adecuada, que permita determinar si la decisión adoptada entraña en sí misma el desconocimiento de la facultad que se ha querido ejercitar y que no se manifiesta desprovista de razonabilidad en atención al fin institucional propio de la función que quiso ejercerse y los motivos aducidos para impedir su ejercicio.</w:t>
      </w:r>
    </w:p>
    <w:p w14:paraId="08594836" w14:textId="77777777" w:rsidR="008D479B" w:rsidRDefault="008D479B" w:rsidP="008D479B">
      <w:pPr>
        <w:pStyle w:val="TextoNormal"/>
      </w:pPr>
    </w:p>
    <w:p w14:paraId="5A5FD131" w14:textId="77777777" w:rsidR="008D479B" w:rsidRDefault="008D479B" w:rsidP="008D479B">
      <w:pPr>
        <w:pStyle w:val="TextoNormal"/>
      </w:pPr>
      <w:r>
        <w:t>b) La jurisprudencia constitucional, de manera específica, también ha tenido la oportunidad de pronunciarse en relación con la eventual afectación que sobre el núcleo de la función representativa y la igualdad entre representantes tiene la facultad de las cámaras autonómicas para la designación proporcional de los senadores autonómicos prevista en el art. 69.5 CE. A esos efectos, ha reconocido que “el eventual menoscabo de las facultades parlamentarias que corresponden a los grupos en el procedimiento de designación de senadores autonómicos redundaría en infracción del derecho constitucional de sus miembros al ejercicio del cargo representativo (art. 23.2 CE)” [STC 56/2022, de 5 de abril, FJ 4 A)]. Ha incidido también en que las desviaciones de la proporcionalidad en dicha designación son susceptibles de configurar una lesión del art. 23.2 CE revisable en vía de amparo constitucional (STC 4/1992, de 13 de enero, FJ 2) siempre que posean una innegable entidad y estén desprovistas de un criterio objetivo y razonable que pueda permitir justificarlas.</w:t>
      </w:r>
    </w:p>
    <w:p w14:paraId="146B72AE" w14:textId="77777777" w:rsidR="008D479B" w:rsidRDefault="008D479B" w:rsidP="008D479B">
      <w:pPr>
        <w:pStyle w:val="TextoNormal"/>
      </w:pPr>
    </w:p>
    <w:p w14:paraId="43DA26D9" w14:textId="77777777" w:rsidR="008D479B" w:rsidRDefault="008D479B" w:rsidP="008D479B">
      <w:pPr>
        <w:pStyle w:val="TextoNormal"/>
      </w:pPr>
      <w:r>
        <w:t>En relación con ello, atendiendo al margen de apreciación que tienen las mesas de las asambleas representativas en la interpretación de la normativa autonómica respecto de la selección del criterio de proporcionalidad para la distribución en la designación de los senadores autonómicos, la STC 4/1992, de 13 de enero, ya destacó las siguientes ideas sobre el particular:</w:t>
      </w:r>
    </w:p>
    <w:p w14:paraId="64A3B763" w14:textId="77777777" w:rsidR="008D479B" w:rsidRDefault="008D479B" w:rsidP="008D479B">
      <w:pPr>
        <w:pStyle w:val="TextoNormal"/>
      </w:pPr>
    </w:p>
    <w:p w14:paraId="06FB670E" w14:textId="77777777" w:rsidR="008D479B" w:rsidRDefault="008D479B" w:rsidP="008D479B">
      <w:pPr>
        <w:pStyle w:val="TextoNormal"/>
      </w:pPr>
      <w:r>
        <w:t>(i) La proporcionalidad estricta es difícil de alcanzar en toda representación y tanto más cuanto más reducido sea el número de representantes a elegir o el colegio a designar, por lo que “la adecuada representación proporcional”, que exige el art. 69.5 CE para la designación de los senadores de las comunidades autónomas, no puede entenderse como una proporcionalidad estrictamente matemática, sino que “solo puede ser, por definición, imperfecta, y resultar exigible dentro de un razonable margen de flexibilidad, siempre y cuando no llegue a alterarse su propia esencia (SSTC 40/1981, 32/1985, 75/1985 y 36/1990)” (STC 4/1992, FJ 2). De ello se deriva que “la proporcionalidad, o mejor las desviaciones de la misma, enjuiciables en amparo por devenir en constitutivas de una discriminación vedada por el art. 23.2 de la Constitución, no pueden ser entendidas de una forma estrictamente matemática, sino que deben venir anudadas ‘a una situación notablemente desventajosa’ y a ‘la ausencia de todo criterio objetivo o razonamiento que las justifique’ (SSTC 75/1985, fundamento jurídico 3, y 36/1990, fundamento jurídico 2). Dicho de otra manera: las desviaciones de la proporcionalidad susceptibles de configurar una lesión del art. 23.2 de la Constitución y, por ello, revisables en vía de amparo constitucional, tienen que poseer una innegable entidad, a la par que estar desprovistas de un criterio objetivo y razonable que pueda permitir justificarlas” (STC 4/1992, FJ 2).</w:t>
      </w:r>
    </w:p>
    <w:p w14:paraId="1098683B" w14:textId="77777777" w:rsidR="008D479B" w:rsidRDefault="008D479B" w:rsidP="008D479B">
      <w:pPr>
        <w:pStyle w:val="TextoNormal"/>
      </w:pPr>
    </w:p>
    <w:p w14:paraId="07A022F7" w14:textId="77777777" w:rsidR="008D479B" w:rsidRDefault="008D479B" w:rsidP="008D479B">
      <w:pPr>
        <w:pStyle w:val="TextoNormal"/>
      </w:pPr>
      <w:r>
        <w:t>(ii) El art. 69.5 CE no predetermina una regla concreta de proporcionalidad, de modo que, si la normativa autonómica de referencia —como es el caso de la Comunidad Autónoma de Cataluña— tampoco prevé una especificación sobre ese particular, lo que se establece normativamente es un amplio margen de decisión a la cámara para distribuir el número de senadores con arreglo a cualesquiera de los criterios de proporcionalidad existentes.</w:t>
      </w:r>
    </w:p>
    <w:p w14:paraId="72A9DE56" w14:textId="77777777" w:rsidR="008D479B" w:rsidRDefault="008D479B" w:rsidP="008D479B">
      <w:pPr>
        <w:pStyle w:val="TextoNormal"/>
      </w:pPr>
    </w:p>
    <w:p w14:paraId="1B155D69" w14:textId="77777777" w:rsidR="008D479B" w:rsidRDefault="008D479B" w:rsidP="008D479B">
      <w:pPr>
        <w:pStyle w:val="TextoNormal"/>
      </w:pPr>
      <w:r>
        <w:t>En este contexto normativo, “no cabe hablar ‘de una laguna reglamentaria’, en el sentido de imprevisión del procedimiento de designación de los senadores, sino de la utilización de una fórmula, que puede ser discutible pero que es clara, la atribución a la mesa de la facultad de fijar en cada caso el número de senadores que proporcionalmente corresponden a cada grupo parlamentario […]. En el ejercicio de esta función, no existe previsión normativa alguna en el ordenamiento autonómico que limite la potestad de la mesa para articular dicha proporcionalidad, como órgano de dirección y gobierno de la Cámara, y elevar su propuesta al Pleno. Este procedimiento de designación, o la indeterminación del mismo, dejando en manos de la mesa su concreción, es el resultado querido por el juego de la autonomía, primero, de la comunidad autónoma mediante las potestades de autoorganización ejercidas en su respectivo estatuto y, luego, de la autonomía reglamentaria de la asamblea […]; y no puede estimarse lesivo de los derechos fundamentales del grupo recurrente, porque, una vez elegida la regla de proporcionalidad por la mesa, se aplica a todos los grupos parlamentarios por igual, circunstancia que satisface lo exigido por el art. 23.2 de la Constitución en materia de acceso a los cargos públicos en condiciones de igualdad y con los requisitos que señalen las leyes” (STC 4/1992, FJ 3).</w:t>
      </w:r>
    </w:p>
    <w:p w14:paraId="1E1C26FD" w14:textId="77777777" w:rsidR="008D479B" w:rsidRDefault="008D479B" w:rsidP="008D479B">
      <w:pPr>
        <w:pStyle w:val="TextoNormal"/>
      </w:pPr>
    </w:p>
    <w:p w14:paraId="3AE630C9" w14:textId="77777777" w:rsidR="008D479B" w:rsidRDefault="008D479B" w:rsidP="008D479B">
      <w:pPr>
        <w:pStyle w:val="TextoNormal"/>
      </w:pPr>
      <w:r>
        <w:t>Ello implica que, cuando se atribuye una potestad a la mesa para la distribución de senadores autonómicos con la sola exigencia de que se respete “la adecuada representación proporcional”, no puede ser entendida en el sentido de que resulte obligada la aplicación de la llamada regla d’Hondt como criterio general establecido en el sistema electoral español, ya que (a) “la regla D’Hondt opera precisamente como correctivo de la regla de proporcionalidad pura, y como tal es una modulación de la regla de proporcionalidad que no puede ser objeto de aplicación extensiva y analógica allí donde el precepto se refiera sin más y sin matices a la proporcionalidad”; y (b) el carácter supletorio del art. 163 de la Ley Orgánica del régimen electoral general opera, en su caso, para las elecciones autonómicas pero, en defecto de previsión expresa, no resulta de aplicación a la designación de los senadores autonómicos previsto en el art. 69.5 CE, “que se remite al respecto a los correspondientes estatutos de autonomía, imponiéndoles precisamente como único límite la necesidad de asegurar ‘la adecuada representación proporcional’. La ausencia de previsión normativa en el ordenamiento autonómico no puede suponer, en consecuencia, la necesaria aplicación subsidiaria de una regla prevista para las elecciones generales y autonómicas, pero no para una designación de senadores por parte de la asamblea de una comunidad autónoma” (STC 4/1992, FJ 3). Todo ello sin perjuicio de que en el ejercicio de la facultad atribuida a la mesa de la cámara esta “hubiera podido adoptar, voluntariamente, en vez de la regla de proporcionalidad adoptada, el método de la regla d’Hondt, pero ello pertenece a la esfera de libre decisión de la asamblea, sobre la que, en tanto no exista lesión de derechos fundamentales, no corresponde entrar a este tribunal” (STC 4/1992, FJ 3).</w:t>
      </w:r>
    </w:p>
    <w:p w14:paraId="58E86710" w14:textId="77777777" w:rsidR="008D479B" w:rsidRDefault="008D479B" w:rsidP="008D479B">
      <w:pPr>
        <w:pStyle w:val="TextoNormal"/>
      </w:pPr>
    </w:p>
    <w:p w14:paraId="65C44BF5" w14:textId="77777777" w:rsidR="008D479B" w:rsidRDefault="008D479B" w:rsidP="008D479B">
      <w:pPr>
        <w:pStyle w:val="TextoNormal"/>
      </w:pPr>
      <w:r>
        <w:t>(iii) Por tanto, en un contexto normativo autonómico, en el que no se establece un específico criterio de proporcionalidad para la distribución de los senadores autonómicos, sino que se otorga la facultad de determinar dicho criterio a la mesa de la cámara una vez celebradas las elecciones autonómicas, la mesa puede “distribuir libremente los senadores de designación autonómica entre los diversos grupos parlamentarios conforme a cualquier técnica […] ya acabe dicha opción, inevitablemente, por beneficiar a los grupos más grandes o a los pequeños y minoritarios, siempre y cuando no llegue a alterar la misma esencia proporcional de este sistema electoral” (STC 4/1992, FJ 5).</w:t>
      </w:r>
    </w:p>
    <w:p w14:paraId="247BA48D" w14:textId="77777777" w:rsidR="008D479B" w:rsidRDefault="008D479B" w:rsidP="008D479B">
      <w:pPr>
        <w:pStyle w:val="TextoNormal"/>
      </w:pPr>
    </w:p>
    <w:p w14:paraId="6BF714A2" w14:textId="77777777" w:rsidR="008D479B" w:rsidRDefault="008D479B" w:rsidP="008D479B">
      <w:pPr>
        <w:pStyle w:val="TextoNormal"/>
      </w:pPr>
      <w:r>
        <w:t>c) El tribunal, por otra parte, ha establecido sobre los usos parlamentarios, invocados en la demanda, una reiterada jurisprudencia constitucional resumida recientemente en la STC 38/2022, de 11 de marzo, FJ 5, en la que se destacan las siguientes ideas:</w:t>
      </w:r>
    </w:p>
    <w:p w14:paraId="190C1F40" w14:textId="77777777" w:rsidR="008D479B" w:rsidRDefault="008D479B" w:rsidP="008D479B">
      <w:pPr>
        <w:pStyle w:val="TextoNormal"/>
      </w:pPr>
    </w:p>
    <w:p w14:paraId="4150E762" w14:textId="77777777" w:rsidR="008D479B" w:rsidRDefault="008D479B" w:rsidP="008D479B">
      <w:pPr>
        <w:pStyle w:val="TextoNormal"/>
      </w:pPr>
      <w:r>
        <w:t>Los usos parlamentarios, entendidos como la reiteración de actos sustancialmente iguales adoptados por el mismo órgano parlamentario y referidos a la misma cuestión, tienen una “trascendencia nomotética” (STC 149/1990, de 1 de octubre, FJ 5) y “han constituido tradicionalmente, y siguen constituyendo, un importante instrumento normativo dentro del ámbito de organización y funcionamiento de las Cámaras. Así ha venido a reconocerlo este tribunal, al afirmar que estos usos parlamentarios ‘siempre han sido consustanciales al régimen parlamentario y, por ende, al Estado de Derecho’ (STC 206/1992, de 27 de noviembre, FJ 3)” (STC 190/2009, de 28 de septiembre, FJ 4).</w:t>
      </w:r>
    </w:p>
    <w:p w14:paraId="672E7D17" w14:textId="77777777" w:rsidR="008D479B" w:rsidRDefault="008D479B" w:rsidP="008D479B">
      <w:pPr>
        <w:pStyle w:val="TextoNormal"/>
      </w:pPr>
    </w:p>
    <w:p w14:paraId="19C2090C" w14:textId="77777777" w:rsidR="008D479B" w:rsidRDefault="008D479B" w:rsidP="008D479B">
      <w:pPr>
        <w:pStyle w:val="TextoNormal"/>
      </w:pPr>
      <w:r>
        <w:t>Ahora bien, también ha señalado este tribunal que “ello no quiere decir que tales usos parlamentarios hayan de tener necesariamente el mismo valor que las propias normas del reglamento parlamentario aprobadas por el Pleno de la Cámara” (STC 190/2009, citada, FJ 4). A lo dicho se añade que “‘son eficaces para la regulación del modo de ejercicio de los derechos y facultades parlamentarias, siempre que no restrinjan su contenido reconocido en la norma reglamentaria (SSTC 206/1992, de 27 de noviembre, FJ 3; 190/2009, de 28 de septiembre, FJ 4; 57/2011, de 25 de mayo, FJ 7, y 76/2017, de 19 de junio, FJ 5)’ (STC 139/2017, de 29 de noviembre, FJ 8)” [STC 124/2018, de 14 de noviembre, FJ 2 B)].</w:t>
      </w:r>
    </w:p>
    <w:p w14:paraId="48152E3B" w14:textId="77777777" w:rsidR="008D479B" w:rsidRDefault="008D479B" w:rsidP="008D479B">
      <w:pPr>
        <w:pStyle w:val="TextoNormal"/>
      </w:pPr>
    </w:p>
    <w:p w14:paraId="3DE6B207" w14:textId="77777777" w:rsidR="008D479B" w:rsidRDefault="008D479B" w:rsidP="008D479B">
      <w:pPr>
        <w:pStyle w:val="TextoNormal"/>
      </w:pPr>
      <w:r>
        <w:t>Las prácticas o usos parlamentarios desempeñan, pues, un papel interpretativo y complementario en la aplicación del derecho escrito mediante la precisión del sentido y alcance de alguna o algunas de sus normas, pero en ningún caso podrán entrar en contradicción con aquel derecho escrito. A este respecto, el Tribunal ha precisado que “‘los usos parlamentarios tienen su límite inmediato en el reglamento mismo; de manera que la práctica parlamentaria efectivamente instaurada no puede resultar tan restrictiva que impida u obstaculice desproporcionadamente las facultades reconocidas a los parlamentarios en el ejercicio de sus funciones constitucionalmente garantizadas (SSTC 177/2002, de 14 de octubre, FJ 7, y 190/2009, de 28 de septiembre, FJ 4). En otras palabras: los usos parlamentarios son eficaces para la regulación del modo de ejercicio de las prerrogativas parlamentarias, pero no pueden restringir su contenido reconocido en la norma reglamentaria’ (SSTC 57/2011, de 3 de mayo, FJ 7, y 224/2016, FJ 4)” (STC 71/2017, de 5 de junio, FJ 5).</w:t>
      </w:r>
    </w:p>
    <w:p w14:paraId="35769834" w14:textId="77777777" w:rsidR="008D479B" w:rsidRDefault="008D479B" w:rsidP="008D479B">
      <w:pPr>
        <w:pStyle w:val="TextoNormal"/>
      </w:pPr>
    </w:p>
    <w:p w14:paraId="7735A690" w14:textId="65CC62A3" w:rsidR="008D479B" w:rsidRDefault="008D479B" w:rsidP="008D479B">
      <w:pPr>
        <w:pStyle w:val="TextoNormal"/>
      </w:pPr>
      <w:r>
        <w:t xml:space="preserve">En definitiva, los usos parlamentarios en cuanto pauta reiterada de comportamiento, fijada mediante la repetición de actos realizados por un mismo órgano parlamentario respecto de una misma cuestión, tienen la capacidad de contribuir a la configuración del contenido del </w:t>
      </w:r>
      <w:r w:rsidRPr="008D479B">
        <w:rPr>
          <w:i/>
        </w:rPr>
        <w:t>ius in officium</w:t>
      </w:r>
      <w:r>
        <w:t xml:space="preserve"> de los representantes parlamentarios, en supuestos de ambigüedad o de insuficiencia de la norma reglamentaria escrita, pero siempre que aquellas prácticas no contravengan lo dispuesto en el reglamento de la cámara correspondiente.</w:t>
      </w:r>
    </w:p>
    <w:p w14:paraId="71C29310" w14:textId="77777777" w:rsidR="008D479B" w:rsidRDefault="008D479B" w:rsidP="008D479B">
      <w:pPr>
        <w:pStyle w:val="TextoNormal"/>
      </w:pPr>
    </w:p>
    <w:p w14:paraId="57EF724B" w14:textId="77777777" w:rsidR="008D479B" w:rsidRDefault="008D479B" w:rsidP="008D479B">
      <w:pPr>
        <w:pStyle w:val="TextoNormal"/>
      </w:pPr>
      <w:r w:rsidRPr="008D479B">
        <w:rPr>
          <w:rStyle w:val="NumeroAFNegritaCaracter"/>
        </w:rPr>
        <w:t>4</w:t>
      </w:r>
      <w:r>
        <w:t xml:space="preserve">. </w:t>
      </w:r>
      <w:r w:rsidRPr="008D479B">
        <w:rPr>
          <w:i/>
        </w:rPr>
        <w:t>Aplicación de la jurisprudencia constitucional al presente recurso de amparo</w:t>
      </w:r>
    </w:p>
    <w:p w14:paraId="6562464D" w14:textId="77777777" w:rsidR="008D479B" w:rsidRDefault="008D479B" w:rsidP="008D479B">
      <w:pPr>
        <w:pStyle w:val="TextoNormal"/>
      </w:pPr>
    </w:p>
    <w:p w14:paraId="3FE6D55D" w14:textId="77777777" w:rsidR="008D479B" w:rsidRDefault="008D479B" w:rsidP="008D479B">
      <w:pPr>
        <w:pStyle w:val="TextoNormal"/>
      </w:pPr>
      <w:r>
        <w:t>El Tribunal, por la necesidad de respetar la propia configuración de esta jurisdicción de amparo y de minimizar cualquier intromisión en el principio de autonomía parlamentaria reconocido por el art. 72.1 CE, tal como ha hecho en ocasiones precedentes de recursos de amparo parlamentarios (así, por ejemplo, en las SSTC 66/2021, de 15 de marzo, FJ 4; 137/2021, de 29 de junio, FJ 4; 38/2022, de 11 de marzo, FJ 7; 96/2022, de 12 de julio, FJ 2, o 65/2023, de 6 de junio, FJ 3), va a desarrollar el análisis de la constitucionalidad de los acuerdos impugnados comenzando por verificar si por su contenido han incidido en el núcleo esencial del derecho de representación política de los demandantes de amparo. Solo en el caso de que haya sido así, podrá avanzarse en el análisis de si la decisión parlamentaria controvertida en el presente recurso de amparo se ha producido en contravención de la normativa parlamentaria aplicable al caso.</w:t>
      </w:r>
    </w:p>
    <w:p w14:paraId="709009A8" w14:textId="77777777" w:rsidR="008D479B" w:rsidRDefault="008D479B" w:rsidP="008D479B">
      <w:pPr>
        <w:pStyle w:val="TextoNormal"/>
      </w:pPr>
    </w:p>
    <w:p w14:paraId="34F18704" w14:textId="77777777" w:rsidR="008D479B" w:rsidRDefault="008D479B" w:rsidP="008D479B">
      <w:pPr>
        <w:pStyle w:val="TextoNormal"/>
      </w:pPr>
      <w:r>
        <w:t>a) El tribunal constata que los acuerdos parlamentarios impugnados se refieren a la selección del criterio de distribución proporcional de senadores autonómicos por parte de la mesa del Parlamento de Cataluña y que lo concretamente alegado por el grupo parlamentario demandante de amparo, con invocación del art. 23.2 CE, es que dicha selección le ha privado de la posibilidad de designar uno de esos senadores que entiende que le correspondería por criterios de proporcionalidad conforme a las fórmulas de reparto utilizadas en legislaturas precedentes. En ese sentido, en una alegación no controvertida por las partes personadas, el grupo parlamentario recurrente afirma que con la aplicación de cualquiera de las fórmulas utilizadas desde la I Legislatura —método de restos mayores y regla d’Hondt— le hubiera correspondido la designación de un senador autonómico.</w:t>
      </w:r>
    </w:p>
    <w:p w14:paraId="09D38F7D" w14:textId="77777777" w:rsidR="008D479B" w:rsidRDefault="008D479B" w:rsidP="008D479B">
      <w:pPr>
        <w:pStyle w:val="TextoNormal"/>
      </w:pPr>
    </w:p>
    <w:p w14:paraId="432F2D40" w14:textId="77777777" w:rsidR="008D479B" w:rsidRDefault="008D479B" w:rsidP="008D479B">
      <w:pPr>
        <w:pStyle w:val="TextoNormal"/>
      </w:pPr>
      <w:r>
        <w:t xml:space="preserve">Por tanto, tomando en consideración que no se ha objetado en este procedimiento que la selección en los acuerdos impugnados de un criterio de distribución proporcional alternativo al utilizado en legislaturas previas es susceptible de alterar el reparto en la designación de senadores autonómicos entre los grupos parlamentarios del Parlamento de Cataluña, el Tribunal concluye, atendiendo a una jurisprudencia constitucional reiterada y específicamente referida a la facultad constitucional de las cámaras legislativas autonómicas de designación de los senadores autonómicos prevista en el art. 69.5 CE [SSTC 4/1992, de 13 de enero, FJ 2, y 56/2022, de 5 de abril, FJ 4 A)], que la decisión parlamentaria impugnada ha incidido en un aspecto que forma parte del núcleo esencial de la función representativa de los demandantes de amparo susceptible de comprometer sus derechos de representación política. Ello determina que resulte necesario avanzar en el análisis para verificar si los acuerdos impugnados y, por tanto, la incidencia que ha tenido en ese aspecto del </w:t>
      </w:r>
      <w:r w:rsidRPr="008D479B">
        <w:rPr>
          <w:i/>
        </w:rPr>
        <w:t>ius in officium</w:t>
      </w:r>
      <w:r>
        <w:t>, se han adoptado contraviniendo la normativa parlamentaria de aplicación en cuanto a la exigencia de proporcionalidad.</w:t>
      </w:r>
    </w:p>
    <w:p w14:paraId="6F96B6A3" w14:textId="77777777" w:rsidR="008D479B" w:rsidRDefault="008D479B" w:rsidP="008D479B">
      <w:pPr>
        <w:pStyle w:val="TextoNormal"/>
      </w:pPr>
    </w:p>
    <w:p w14:paraId="1E03A963" w14:textId="77777777" w:rsidR="008D479B" w:rsidRDefault="008D479B" w:rsidP="008D479B">
      <w:pPr>
        <w:pStyle w:val="TextoNormal"/>
      </w:pPr>
      <w:r>
        <w:t>b) El tribunal, al analizar la regularidad constitucional de la interpretación y aplicación al caso de la normativa parlamentaria autonómica efectuada en los acuerdos impugnados en el presente recurso de amparo a los efectos de la exigencia de reparto proporcional, constata como presupuestos fácticos relevantes los siguientes:</w:t>
      </w:r>
    </w:p>
    <w:p w14:paraId="6A40C6DF" w14:textId="77777777" w:rsidR="008D479B" w:rsidRDefault="008D479B" w:rsidP="008D479B">
      <w:pPr>
        <w:pStyle w:val="TextoNormal"/>
      </w:pPr>
    </w:p>
    <w:p w14:paraId="18A9893A" w14:textId="77777777" w:rsidR="008D479B" w:rsidRDefault="008D479B" w:rsidP="008D479B">
      <w:pPr>
        <w:pStyle w:val="TextoNormal"/>
      </w:pPr>
      <w:r>
        <w:t>(i) El art. 69.5 CE establece que “las comunidades autónomas designarán además un senador y otro más por cada millón de habitantes de su respectivo territorio. La designación corresponderá a la asamblea legislativa o, en su defecto, al órgano colegiado superior de la comunidad autónoma, de acuerdo con lo que establezcan los estatutos, que asegurarán, en todo caso, la adecuada representación proporcional”. A esos efectos, el art. 61 a) EAC, establece que corresponden al Parlamento, entre otras funciones, “designar a los senadores que representan a la Generalitat en el Senado. La designación debe realizarse en una convocatoria específica y de forma proporcional al número de diputados de cada grupo parlamentario” y su disposición adicional primera que dicha designación se hace “en los términos que establece una ley aprobada por la mayoría absoluta del Pleno del Parlamento en una votación final sobre el conjunto del texto”.</w:t>
      </w:r>
    </w:p>
    <w:p w14:paraId="5E5F61C0" w14:textId="77777777" w:rsidR="008D479B" w:rsidRDefault="008D479B" w:rsidP="008D479B">
      <w:pPr>
        <w:pStyle w:val="TextoNormal"/>
      </w:pPr>
    </w:p>
    <w:p w14:paraId="7E6A69C2" w14:textId="77777777" w:rsidR="008D479B" w:rsidRDefault="008D479B" w:rsidP="008D479B">
      <w:pPr>
        <w:pStyle w:val="TextoNormal"/>
      </w:pPr>
      <w:r>
        <w:t>En desarrollo de esa previsión estatutaria, el art. 3 de la Ley 6/2010, de 26 de marzo, del procedimiento de designación de los senadores que representan a la Generalidad en el Senado, dispone en su apartado primero que “una vez celebradas las elecciones al Parlamento y una vez constituida la mesa de la cámara, esta determina el número de senadores que corresponde designar al Parlamento, de acuerdo con la normativa aplicable”; y en su apartado segundo que “la mesa, de acuerdo con la junta de portavoces, determina el número de senadores que corresponde proporcionalmente a cada grupo parlamentario”. Por su parte, el art. 174.2 RPC establece que “la mesa del Parlamento, de acuerdo con la junta de portavoces, fija el número de senadores que corresponde proporcionalmente a cada grupo parlamentario”.</w:t>
      </w:r>
    </w:p>
    <w:p w14:paraId="5F6688F4" w14:textId="77777777" w:rsidR="008D479B" w:rsidRDefault="008D479B" w:rsidP="008D479B">
      <w:pPr>
        <w:pStyle w:val="TextoNormal"/>
      </w:pPr>
    </w:p>
    <w:p w14:paraId="661EFD48" w14:textId="77777777" w:rsidR="008D479B" w:rsidRDefault="008D479B" w:rsidP="008D479B">
      <w:pPr>
        <w:pStyle w:val="TextoNormal"/>
      </w:pPr>
      <w:r>
        <w:t>(ii) Una vez celebradas las elecciones al Parlamento de Cataluña el 14 de febrero de 2021 —en las que los diputados obtenidos por cada una de las candidaturas fue de treinta y tres por el Partit dels Socialistes de Catalunya; treinta y tres por Esquerra Republicana de Catalunya; treinta y dos por Junts per Catalunya; once por Vox; nueve por la Candidatura d´Unitat Popular-Un Nou Cicle per Guanyar; ocho por En Comú Podem-Podem en Comú; seis por Ciutadans-Partido de la Ciudadanía, y tres por el Partit Popular/Partido Popular— la junta de portavoces y la mesa del Parlamento de Cataluña se reunieron el 20 de abril de 2021 a los efectos de proceder a la distribución proporcional entre los diversos grupos parlamentarios de los ocho senadores que debían ser designados por el Parlamento de Cataluña.</w:t>
      </w:r>
    </w:p>
    <w:p w14:paraId="4C7E1621" w14:textId="77777777" w:rsidR="008D479B" w:rsidRDefault="008D479B" w:rsidP="008D479B">
      <w:pPr>
        <w:pStyle w:val="TextoNormal"/>
      </w:pPr>
    </w:p>
    <w:p w14:paraId="3EB985E9" w14:textId="77777777" w:rsidR="008D479B" w:rsidRDefault="008D479B" w:rsidP="008D479B">
      <w:pPr>
        <w:pStyle w:val="TextoNormal"/>
      </w:pPr>
      <w:r>
        <w:t>En el acta de la reunión de la junta de portavoces se hizo constar que “la presidenta constata que se han expuesto dos formas de cálculo de la distribución de senadores, que son la Imperiali y la d´Hondt. En consecuencia, después de conocer el posicionamiento de los diferentes portavoces, la fórmula Imperiali es la que se impone por mayoría de la Junta de Portavoces, con el resultado de tres senadores para G.P. Socialistes i Units per Avançar y G.P. d’Esquerra Republicana y dos senadores para G.P. de Junts per Catalunya”. Por su parte, la mesa de la cámara resolvió distribuir el número de senadores que corresponde proporcionalmente a cada grupo parlamentario por la formula Imperiali, con el resultado ya señalado.</w:t>
      </w:r>
    </w:p>
    <w:p w14:paraId="0620F411" w14:textId="77777777" w:rsidR="008D479B" w:rsidRDefault="008D479B" w:rsidP="008D479B">
      <w:pPr>
        <w:pStyle w:val="TextoNormal"/>
      </w:pPr>
    </w:p>
    <w:p w14:paraId="0E64A793" w14:textId="77777777" w:rsidR="008D479B" w:rsidRDefault="008D479B" w:rsidP="008D479B">
      <w:pPr>
        <w:pStyle w:val="TextoNormal"/>
      </w:pPr>
      <w:r>
        <w:t>La mesa, tras ser solicitada la reconsideración de su acuerdo por el grupo parlamentario demandante de amparo, la desestimó por tres votos a favor y dos en contra por acuerdo de 26 de abril de 2021, con fundamento en que la mesa tiene atribuida la facultad de determinar el número de senadores que corresponde proporcionalmente a cada grupo parlamentario y “en cada legislatura se decide el concreto sistema proporcional, habiéndose utilizado varios sistemas en función de cada legislatura. En esta ocasión, los representantes electos han decidido usar la fórmula Imperiali, un mecanismo de distribución perfectamente válido en democracia, motivo por lo cual no existe ningún impedimento para utilizarlo. La fórmula Imperiali cumple con los criterios de proporcionalidad que requiere la legalidad vigente y responde al resultado de las urnas emanado el 14 de febrero”.</w:t>
      </w:r>
    </w:p>
    <w:p w14:paraId="53D9D8FD" w14:textId="77777777" w:rsidR="008D479B" w:rsidRDefault="008D479B" w:rsidP="008D479B">
      <w:pPr>
        <w:pStyle w:val="TextoNormal"/>
      </w:pPr>
    </w:p>
    <w:p w14:paraId="32976247" w14:textId="77777777" w:rsidR="008D479B" w:rsidRDefault="008D479B" w:rsidP="008D479B">
      <w:pPr>
        <w:pStyle w:val="TextoNormal"/>
      </w:pPr>
      <w:r>
        <w:t>(iii) El “Boletín Oficial del Parlamento de Cataluña” (“BOPC”) permite acreditar que, con posterioridad a la entrada en vigor de la Ley 6/2010, de 26 de marzo, que es la que establece el concreto marco normativo en el que fue aprobada la decisión parlamentaria impugnada, los acuerdos de designación de senadores autonómicos de 7 de febrero de 2011, 3 de diciembre de 2015 y 16 de diciembre de 2018 resolvieron el uso del sistema de los mayores restos; el acuerdo de 21 de enero de 2013, el sistema d’Hondt; y el acuerdo impugnado en el presente recurso de amparo, la fórmula Imperiali.</w:t>
      </w:r>
    </w:p>
    <w:p w14:paraId="07D66605" w14:textId="77777777" w:rsidR="008D479B" w:rsidRDefault="008D479B" w:rsidP="008D479B">
      <w:pPr>
        <w:pStyle w:val="TextoNormal"/>
      </w:pPr>
    </w:p>
    <w:p w14:paraId="250FBEA4" w14:textId="77777777" w:rsidR="008D479B" w:rsidRDefault="008D479B" w:rsidP="008D479B">
      <w:pPr>
        <w:pStyle w:val="TextoNormal"/>
      </w:pPr>
      <w:r>
        <w:t>c) El Tribunal, tomando en consideración la jurisprudencia constitucional y los antecedentes expuestos anteriormente, concluye que la aplicación de la normativa parlamentaria efectuada en los acuerdos impugnados no ha vulnerado el art. 23.2 CE de los recurrentes. Las razones para llegar a esta conclusión desestimatoria son las siguientes:</w:t>
      </w:r>
    </w:p>
    <w:p w14:paraId="7C72307C" w14:textId="77777777" w:rsidR="008D479B" w:rsidRDefault="008D479B" w:rsidP="008D479B">
      <w:pPr>
        <w:pStyle w:val="TextoNormal"/>
      </w:pPr>
    </w:p>
    <w:p w14:paraId="3E1725C6" w14:textId="77777777" w:rsidR="008D479B" w:rsidRDefault="008D479B" w:rsidP="008D479B">
      <w:pPr>
        <w:pStyle w:val="TextoNormal"/>
      </w:pPr>
      <w:r>
        <w:t>(i) El Tribunal constata que la normativa autonómica reguladora de la designación proporcional de senadores autonómicos en el caso controvertido, al igual que sucedía con la normativa autonómica analizada en la citada STC 4/1992, ha utilizado, en uso de las potestades de autoorganización, la fórmula de atribuir a la mesa, tras la celebración de cada una de las elecciones autonómicas y a la vista de la conformación de los grupos parlamentarios, la facultad de fijar en cada caso el número de senadores que proporcionalmente corresponden a cada uno de estos grupos sin ningún límite para concretar dicha proporcionalidad conforme al sistema o fórmula de reparto que considerara más adecuado.</w:t>
      </w:r>
    </w:p>
    <w:p w14:paraId="3B44F053" w14:textId="77777777" w:rsidR="008D479B" w:rsidRDefault="008D479B" w:rsidP="008D479B">
      <w:pPr>
        <w:pStyle w:val="TextoNormal"/>
      </w:pPr>
    </w:p>
    <w:p w14:paraId="5C68B75A" w14:textId="77777777" w:rsidR="008D479B" w:rsidRDefault="008D479B" w:rsidP="008D479B">
      <w:pPr>
        <w:pStyle w:val="TextoNormal"/>
      </w:pPr>
      <w:r>
        <w:t>A esos efectos, como ya destacó este tribunal, la facultad de la mesa en la selección del criterio de distribución proporcional en estos contextos normativos (a) no puede ser entendida en el sentido de que resulte obligada la aplicación de la llamada regla d’Hondt como criterio general establecido en el sistema electoral español (STC 4/1992, FJ 3); y (b) esa facultad de selección lo es con independencia de que dicha opción acabe, inevitablemente, por beneficiar a los grupos más grandes o a los pequeños y minoritarios, siempre con el límite de que, dentro de un razonable margen de flexibilidad, no se llegue a alterar la misma esencia de la proporcionalidad, que viene anudada a que se genere una situación notablemente desventajosa a partir de la ausencia de un criterio objetivo y razonable que pueda permitir justificarla (STC 4/1992, FFJJ 2 y 5).</w:t>
      </w:r>
    </w:p>
    <w:p w14:paraId="45334AA3" w14:textId="77777777" w:rsidR="008D479B" w:rsidRDefault="008D479B" w:rsidP="008D479B">
      <w:pPr>
        <w:pStyle w:val="TextoNormal"/>
      </w:pPr>
    </w:p>
    <w:p w14:paraId="0ABADF1D" w14:textId="77777777" w:rsidR="008D479B" w:rsidRDefault="008D479B" w:rsidP="008D479B">
      <w:pPr>
        <w:pStyle w:val="TextoNormal"/>
      </w:pPr>
      <w:r>
        <w:t>En el presente caso, el Tribunal advierte que no ha sido controvertido por el grupo parlamentario demandante de amparo que la fórmula Imperiali es un criterio de reparto proporcional conocido en la ciencia política, que incluso ha mantenido vigencia normativa en el Derecho comparado. De hecho, lo que imputa el grupo parlamentario recurrente a este criterio, por un lado, es que se trata de la fórmula “menos proporcional y más favorable a las mayorías”, desvirtuando “la propia esencia de la proporcionalidad, tal y como ha sido entendida unánimemente entre nosotros desde la aprobación de la Constitución”; o que “nunca se ha aplicado en España un sistema que dé resultados tan mayoritarios como la referida fórmula Imperiali”; y, por otro, que, en defecto de una previsión legal expresa sobre la regla de reparto, la mesa debería seleccionar una regla de cálculo de la que resulte, al menos, una proporcionalidad igual o superior a la de la regla de general aplicación en el Derecho español, que es la fórmula d’Hondt.</w:t>
      </w:r>
    </w:p>
    <w:p w14:paraId="3F3FB6C9" w14:textId="77777777" w:rsidR="008D479B" w:rsidRDefault="008D479B" w:rsidP="008D479B">
      <w:pPr>
        <w:pStyle w:val="TextoNormal"/>
      </w:pPr>
    </w:p>
    <w:p w14:paraId="384CB3ED" w14:textId="77777777" w:rsidR="008D479B" w:rsidRDefault="008D479B" w:rsidP="008D479B">
      <w:pPr>
        <w:pStyle w:val="TextoNormal"/>
      </w:pPr>
      <w:r>
        <w:t>Por otra parte, el Tribunal también advierte que el reparto de los ochos senadores ha correspondido en un número de tres para los grupos parlamentarios del Partit dels Socialistes de Catalunya y de Esquerra Republicana de Catalunya, compuesto cada uno de ellos por treinta y tres diputados, y en un número de dos para el grupo de Junts per Catalunya, conformado por treinta y dos diputados. A partir de ello, el resto de grupos parlamentarios, incluyendo el ahora recurrente que era el siguiente en mayor número de diputados con once, no obtuvieron la posibilidad de designar ningún senador.</w:t>
      </w:r>
    </w:p>
    <w:p w14:paraId="08D6950C" w14:textId="77777777" w:rsidR="008D479B" w:rsidRDefault="008D479B" w:rsidP="008D479B">
      <w:pPr>
        <w:pStyle w:val="TextoNormal"/>
      </w:pPr>
    </w:p>
    <w:p w14:paraId="60B26DE2" w14:textId="77777777" w:rsidR="008D479B" w:rsidRDefault="008D479B" w:rsidP="008D479B">
      <w:pPr>
        <w:pStyle w:val="TextoNormal"/>
      </w:pPr>
      <w:r>
        <w:t>En atención a ello, el Tribunal concluye que, en sí mismo considerado, el criterio de distribución seleccionado en los acuerdos impugnados no es contrario a la exigencia de proporcionalidad. En primer lugar, tomando en cuenta el contexto normativo regulador de la distribución proporcional en la designación de los senadores autonómicos por el Parlamento de Cataluña —que, se insiste en ello, no es el de una laguna normativa en la concreción de ese criterio sino una decisión consciente adoptada en aplicación de capacidades autoorganizativas de utilizar la fórmula de atribución a la mesa de la facultad de fijar en cada caso el número de senadores que proporcionalmente corresponden a cada grupo parlamentario— no cabe derivar que resulte constitucionalmente obligado ni la aplicación supletoria del sistema d’Hondt, por las razones ampliamente expuestas en la STC 4/1992, FJ 3; ni la opción por un sistema proporcional que establezca una proporcionalidad igual o superior a esta, como pretende el grupo parlamentario recurrente. La prescripción constitucional del art. 69.5 CE es taxativa al establecer como único requisito en la designación autonómica de los senadores correspondientes que se asegure “la adecuada representación proporcional”, por lo que no puede quedar condicionado por la eventual previsión normativa infraconstitucional adoptada en otros contextos diferentes a su desarrollo.</w:t>
      </w:r>
    </w:p>
    <w:p w14:paraId="6695E02F" w14:textId="77777777" w:rsidR="008D479B" w:rsidRDefault="008D479B" w:rsidP="008D479B">
      <w:pPr>
        <w:pStyle w:val="TextoNormal"/>
      </w:pPr>
    </w:p>
    <w:p w14:paraId="30E94DCC" w14:textId="77777777" w:rsidR="008D479B" w:rsidRDefault="008D479B" w:rsidP="008D479B">
      <w:pPr>
        <w:pStyle w:val="TextoNormal"/>
      </w:pPr>
      <w:r>
        <w:t>En segundo lugar, la aplicación del método Imperiali, a pesar de resultar desventajosa para el grupo parlamentario recurrente en relación con otros posibles sistemas alternativos que pudieran haberse elegido, no altera la esencia de la proporcionalidad exigida. Se trata de un criterio de reparto proporcional conocido y preexistente que responde en su formulación y aplicación a criterios objetivos y razonables suficientemente contrastados que no ha tenido como consecuencia, en relación con la conformación numérica de los diferentes grupos parlamentarios resultantes de las elecciones autonómicas de 14 de febrero de 2021, una situación notablemente desventajosa contraria a la esencia de la proporcionalidad en tanto que se aprecia que el reparto de senadores se ha producido entre grupos parlamentarios que triplicaban el número de diputados al recurrente. Es cierto que en este caso la mesa no ha explicitado las razones por las que ha adoptado una fórmula para la designación de los senadores que le correspondía, pero esas razones derivan evidentemente de la singularidad del resultado alcanzado.</w:t>
      </w:r>
    </w:p>
    <w:p w14:paraId="013C0E58" w14:textId="77777777" w:rsidR="008D479B" w:rsidRDefault="008D479B" w:rsidP="008D479B">
      <w:pPr>
        <w:pStyle w:val="TextoNormal"/>
      </w:pPr>
    </w:p>
    <w:p w14:paraId="763FE8CF" w14:textId="77777777" w:rsidR="008D479B" w:rsidRDefault="008D479B" w:rsidP="008D479B">
      <w:pPr>
        <w:pStyle w:val="TextoNormal"/>
      </w:pPr>
      <w:r>
        <w:t>(ii) Por lo que se refiere a la alegación de la parte demandante de amparo en relación con un apartamiento de los usos parlamentarios en la selección del criterio de reparto proporcional, el Tribunal entiende que no se ha acreditado que hubiera un criterio único y uniforme en la designación de senadores desde la entrada en vigor de la Ley 6/2010, de 26 de marzo.</w:t>
      </w:r>
    </w:p>
    <w:p w14:paraId="1F30D27B" w14:textId="77777777" w:rsidR="008D479B" w:rsidRDefault="008D479B" w:rsidP="008D479B">
      <w:pPr>
        <w:pStyle w:val="TextoNormal"/>
      </w:pPr>
    </w:p>
    <w:p w14:paraId="2A3A1278" w14:textId="77777777" w:rsidR="008D479B" w:rsidRDefault="008D479B" w:rsidP="008D479B">
      <w:pPr>
        <w:pStyle w:val="TextoNormal"/>
      </w:pPr>
      <w:r>
        <w:t>En efecto, sin perjuicio de que no consta que la mesa hubiera seleccionado la fórmula Imperiali con anterioridad, el Tribunal constata que la mesa del Parlamento de Cataluña ha utilizado en tres legislaturas el criterio de reparto de los mayores restos, en una el sistema d’Hondt y en la ahora impugnada la fórmula Imperiali. De hecho, en las tres legislaturas previas a la presente se utilizaron en dos de ellas el criterio de mayores restos y en otra el sistema d’Hondt. Esto determina que no se cumple el presupuesto fáctico necesario para que pueda tomarse en consideración la invocación de la parte demandante de amparo de los usos parlamentarios de que exista una pauta reiterada de comportamiento, fijada mediante la repetición de actos realizados por un mismo órgano parlamentario respecto de una misma cuestión. Al contrario, lo que se aprecia como pauta de comportamiento es que, siguiendo la previsión normativa sobre la facultad soberana de la mesa para establecer el criterio de reparto proporcional, esta ha decidido en cada legislatura la selección de la concreta regla que ha considerado adecuada.</w:t>
      </w:r>
    </w:p>
    <w:p w14:paraId="79E00463" w14:textId="77777777" w:rsidR="008D479B" w:rsidRDefault="008D479B" w:rsidP="008D479B">
      <w:pPr>
        <w:pStyle w:val="TextoNormal"/>
      </w:pPr>
    </w:p>
    <w:p w14:paraId="1EB9EA64" w14:textId="77777777" w:rsidR="008D479B" w:rsidRDefault="008D479B" w:rsidP="008D479B">
      <w:pPr>
        <w:pStyle w:val="TextoNormal"/>
      </w:pPr>
      <w:r>
        <w:t>La anterior apreciación sería suficiente para desestimar esta alegación. No obstante, habida cuenta de que la admisión de este recurso se ha vinculado a la oportunidad que se daba al tribunal para determinar, desde la perspectiva del art. 23.2 CE, el alcance que en el concreto contexto normativo presente en este caso tienen los usos parlamentarios en la fijación de los criterios de distribución proporcional de los senadores autonómicos, el Tribunal considera necesario profundizar en las razones por las que resulta procedente su desestimación.</w:t>
      </w:r>
    </w:p>
    <w:p w14:paraId="084DD93E" w14:textId="77777777" w:rsidR="008D479B" w:rsidRDefault="008D479B" w:rsidP="008D479B">
      <w:pPr>
        <w:pStyle w:val="TextoNormal"/>
      </w:pPr>
    </w:p>
    <w:p w14:paraId="0C9378A2" w14:textId="77777777" w:rsidR="008D479B" w:rsidRDefault="008D479B" w:rsidP="008D479B">
      <w:pPr>
        <w:pStyle w:val="TextoNormal"/>
      </w:pPr>
      <w:r>
        <w:t>A esos efectos, debe destacarse que, conforme es jurisprudencia constitucional reiterada, (a) el papel interpretativo y complementario que desempeñan las prácticas o usos parlamentarios en la aplicación del derecho escrito lo es mediante la precisión del sentido y alcance de alguna o algunas de sus normas en supuestos de ambigüedad o de insuficiencia de la norma escrita, con el límite de que no la contravenga; y (b) los usos parlamentarios no han de tener necesariamente el mismo valor que la normativa escrita.</w:t>
      </w:r>
    </w:p>
    <w:p w14:paraId="3ADA7FA3" w14:textId="77777777" w:rsidR="008D479B" w:rsidRDefault="008D479B" w:rsidP="008D479B">
      <w:pPr>
        <w:pStyle w:val="TextoNormal"/>
      </w:pPr>
    </w:p>
    <w:p w14:paraId="5C3B5047" w14:textId="77777777" w:rsidR="008D479B" w:rsidRDefault="008D479B" w:rsidP="008D479B">
      <w:pPr>
        <w:pStyle w:val="TextoNormal"/>
      </w:pPr>
      <w:r>
        <w:t>Pues bien, el Tribunal tiene que recordar que la normativa catalana de aplicación al caso, como ocurre con otras muchas normativas autonómicas en la materia, si bien no establece un concreto criterio de proporcionalidad, ello no implica una laguna normativa o una situación de ambigüedad, sino, como ya se destacó en la STC 4/1992, FJ 3, una decisión consciente de dejar completa libertad de criterio a la mesa para decidir sobre el reparto proporcional. Ello determina, por un lado, que el Tribunal no aprecie que se esté en un contexto normativo en el que los usos parlamentarios puedan desempeñar el papel interpretativo y complementario enunciado por la jurisprudencia constitucional, ya que se está ante una previsión escrita completa y suficientemente precisa. Por otra parte, además, tomando en consideración lo ya señalado sobre la decisión de la normativa de aplicación de otorgar libertad de criterio a la mesa, la pretensión de que, aunque existiera una formula uniforme usada previamente, dicha fórmula resultara de aplicación obligada implicaría una contravención de la libertad de criterio establecida en la norma escrita, que no puede ser amparada por la invocación del art. 23.2 CE, ya que dotaría a ese uso parlamentario de una fuerza normativa superior a la norma escrita.</w:t>
      </w:r>
    </w:p>
    <w:p w14:paraId="5527E2A6" w14:textId="77777777" w:rsidR="008D479B" w:rsidRDefault="008D479B" w:rsidP="008D479B">
      <w:pPr>
        <w:pStyle w:val="TextoNormal"/>
      </w:pPr>
    </w:p>
    <w:p w14:paraId="5CF67122" w14:textId="01339716" w:rsidR="008D479B" w:rsidRDefault="008D479B" w:rsidP="008D479B">
      <w:pPr>
        <w:pStyle w:val="TextoNormal"/>
      </w:pPr>
      <w:r>
        <w:t xml:space="preserve">Las razones expuestas acreditan que los acuerdos impugnados, aunque han incidido en un aspecto del </w:t>
      </w:r>
      <w:r w:rsidRPr="008D479B">
        <w:rPr>
          <w:i/>
        </w:rPr>
        <w:t>ius in officium</w:t>
      </w:r>
      <w:r>
        <w:t xml:space="preserve"> de la parte demandante en amparo, se han adoptado sin contravención alguna de la normativa aplicable al caso, lo que determina a este tribunal a decidir la completa desestimación del recurso de amparo interpuesto.</w:t>
      </w:r>
    </w:p>
    <w:p w14:paraId="0137FA19" w14:textId="77777777" w:rsidR="008D479B" w:rsidRDefault="008D479B" w:rsidP="008D479B">
      <w:pPr>
        <w:pStyle w:val="TextoNormal"/>
      </w:pPr>
    </w:p>
    <w:p w14:paraId="4E071DA1" w14:textId="77777777" w:rsidR="008D479B" w:rsidRDefault="008D479B" w:rsidP="008D479B">
      <w:pPr>
        <w:pStyle w:val="TextoNormalCentrado"/>
        <w:keepNext/>
      </w:pPr>
      <w:r>
        <w:t>FALLO</w:t>
      </w:r>
    </w:p>
    <w:p w14:paraId="2F800435" w14:textId="5D2E2325" w:rsidR="008D479B" w:rsidRDefault="008D479B" w:rsidP="008D479B">
      <w:pPr>
        <w:pStyle w:val="TextoNormalCentrado"/>
        <w:keepNext/>
      </w:pPr>
    </w:p>
    <w:p w14:paraId="14D29920" w14:textId="08CDCA7F" w:rsidR="008D479B" w:rsidRDefault="008D479B" w:rsidP="008D479B">
      <w:pPr>
        <w:pStyle w:val="TextoNormal"/>
      </w:pPr>
      <w:r>
        <w:t>En atención a todo lo expuesto, el Tribunal Constitucional, por la autoridad que le confiere la Constitución de la Nación española, ha decidido desestimar el recurso de amparo interpuesto por el Grupo Parlamentario Vox en el Parlamento de Cataluña y por su portavoz don Juan Garriga Domènech.</w:t>
      </w:r>
    </w:p>
    <w:p w14:paraId="36D87C17" w14:textId="77777777" w:rsidR="008D479B" w:rsidRDefault="008D479B" w:rsidP="008D479B">
      <w:pPr>
        <w:pStyle w:val="TextoNormal"/>
      </w:pPr>
    </w:p>
    <w:p w14:paraId="79F55A6F" w14:textId="77777777" w:rsidR="008D479B" w:rsidRDefault="008D479B" w:rsidP="008D479B">
      <w:pPr>
        <w:pStyle w:val="TextoNormal"/>
      </w:pPr>
      <w:r>
        <w:t>Publíquese esta sentencia en el “Boletín Oficial del Estado”.</w:t>
      </w:r>
    </w:p>
    <w:p w14:paraId="674E420B" w14:textId="77777777" w:rsidR="008D479B" w:rsidRDefault="008D479B" w:rsidP="008D479B">
      <w:pPr>
        <w:pStyle w:val="TextoNormal"/>
      </w:pPr>
      <w:r>
        <w:t>Dada en Madrid, a veinticinco de septiembre de dos mil veintitrés.</w:t>
      </w:r>
    </w:p>
    <w:p w14:paraId="3CC67B3E" w14:textId="2572DA2F" w:rsidR="008D479B" w:rsidRDefault="008D479B">
      <w:pPr>
        <w:spacing w:after="160" w:line="278" w:lineRule="auto"/>
        <w:rPr>
          <w:rFonts w:ascii="Times New Roman" w:eastAsia="Times New Roman" w:hAnsi="Times New Roman" w:cs="Times New Roman"/>
          <w:sz w:val="24"/>
          <w:szCs w:val="24"/>
          <w:lang w:eastAsia="es-ES"/>
        </w:rPr>
      </w:pPr>
      <w:r>
        <w:br w:type="page"/>
      </w:r>
    </w:p>
    <w:p w14:paraId="045386DF" w14:textId="77777777" w:rsidR="008D479B" w:rsidRDefault="008D479B" w:rsidP="008D479B">
      <w:pPr>
        <w:pStyle w:val="TtuloResolucin"/>
      </w:pPr>
      <w:bookmarkStart w:id="42" w:name="SENTENCIA_2023_117"/>
      <w:r>
        <w:t>SENTENCIA 117/2023, de 25 de septiembre de 2023</w:t>
      </w:r>
    </w:p>
    <w:bookmarkEnd w:id="42"/>
    <w:p w14:paraId="1DA7AF0A" w14:textId="77777777" w:rsidR="008D479B" w:rsidRDefault="008D479B" w:rsidP="008D479B">
      <w:pPr>
        <w:pStyle w:val="TtuloResolucin"/>
      </w:pPr>
      <w:r>
        <w:t>Sala Segunda</w:t>
      </w:r>
    </w:p>
    <w:p w14:paraId="48FA1EAA" w14:textId="77777777" w:rsidR="008D479B" w:rsidRDefault="008D479B" w:rsidP="008D479B">
      <w:pPr>
        <w:pStyle w:val="TtuloBOE"/>
      </w:pPr>
      <w:r>
        <w:t>(BOE núm. 261, de 1 de noviembre de 2023)</w:t>
      </w:r>
    </w:p>
    <w:p w14:paraId="67D904C9" w14:textId="77777777" w:rsidR="008D479B" w:rsidRDefault="008D479B" w:rsidP="008D479B">
      <w:pPr>
        <w:pStyle w:val="TextoNormalCentrado"/>
      </w:pPr>
      <w:r>
        <w:t>ECLI:ES:TC:2023:117</w:t>
      </w:r>
    </w:p>
    <w:p w14:paraId="7E179DB1" w14:textId="6B0988FB" w:rsidR="008D479B" w:rsidRDefault="008D479B" w:rsidP="008D479B">
      <w:pPr>
        <w:pStyle w:val="TextoNormalCentrado"/>
      </w:pPr>
    </w:p>
    <w:p w14:paraId="067E8473" w14:textId="77777777" w:rsidR="008D479B" w:rsidRDefault="008D479B" w:rsidP="008D479B">
      <w:pPr>
        <w:pStyle w:val="SntesisDescriptiva"/>
      </w:pPr>
      <w:r>
        <w:t>Recurso de amparo 4397-2021. Promovido por Emplazamientos Radiales, S.L., respecto de la resolución de la Dirección General de Telecomunicaciones y Nuevas Tecnologías del Gobierno de Castilla-La Mancha que rechazó su solicitud de convocatoria de concurso público para la adjudicación de licencias disponibles de comunicación audiovisual de radiodifusión sonora digital terrestre de ámbito local.</w:t>
      </w:r>
    </w:p>
    <w:p w14:paraId="2DD21EC6" w14:textId="44944096" w:rsidR="008D479B" w:rsidRDefault="008D479B" w:rsidP="008D479B">
      <w:pPr>
        <w:pStyle w:val="SntesisDescriptiva"/>
      </w:pPr>
    </w:p>
    <w:p w14:paraId="109D5FAF" w14:textId="77777777" w:rsidR="008D479B" w:rsidRDefault="008D479B" w:rsidP="008D479B">
      <w:pPr>
        <w:pStyle w:val="SntesisAnaltica"/>
      </w:pPr>
      <w:r>
        <w:t>Supuesta vulneración del derecho a la igualdad y a las libertades de expresión e información: STC 89/2023 (resolución administrativa que no resulta desproporcionada y que viene impuesta por la inexistencia de reserva de dominio público radioeléctrico). Voto particular.</w:t>
      </w:r>
    </w:p>
    <w:p w14:paraId="0B4740DE" w14:textId="05AE73CE" w:rsidR="008D479B" w:rsidRDefault="008D479B" w:rsidP="008D479B">
      <w:pPr>
        <w:pStyle w:val="SntesisAnaltica"/>
      </w:pPr>
    </w:p>
    <w:p w14:paraId="0520F6D8" w14:textId="104AD776" w:rsidR="008D479B" w:rsidRDefault="008D479B" w:rsidP="008D479B">
      <w:pPr>
        <w:pStyle w:val="Extracto"/>
      </w:pPr>
      <w:r>
        <w:t>1.</w:t>
      </w:r>
      <w:r>
        <w:tab/>
        <w:t xml:space="preserve">Remisión a la STC 89/2023 que declaró respetados los derechos a expresar y difundir libremente los pensamientos, ideas y opiniones, así como a comunicar o recibir libremente información veraz por cualquier medio de difusión, consagrados en el art. 20.1 a) y d) CE, en relación con el principio de igualdad reconocido en el art. 14 CE, por parte de la actuación administrativa denegatoria de convocatoria de concurso para la concesión de licencias de prestación de servicios audiovisuales </w:t>
      </w:r>
    </w:p>
    <w:p w14:paraId="6E247402" w14:textId="77777777" w:rsidR="008D479B" w:rsidRDefault="008D479B" w:rsidP="008D479B">
      <w:pPr>
        <w:pStyle w:val="Extracto"/>
      </w:pPr>
    </w:p>
    <w:p w14:paraId="53E741CD" w14:textId="77777777" w:rsidR="008D479B" w:rsidRDefault="008D479B" w:rsidP="008D479B">
      <w:pPr>
        <w:pStyle w:val="Extracto"/>
      </w:pPr>
    </w:p>
    <w:p w14:paraId="006CEF64" w14:textId="77777777" w:rsidR="008D479B" w:rsidRDefault="008D479B" w:rsidP="008D479B">
      <w:pPr>
        <w:pStyle w:val="TextoNormal"/>
      </w:pPr>
      <w:r>
        <w:t>La Sala Segunda del Tribunal Constitucional, compuesta por la magistrada doña Inmaculada Montalbán Huertas, presidenta, y las magistradas y magistrados doña María Luisa Balaguer Callejón, don Ramón Sáez Valcárcel, don Enrique Arnaldo Alcubilla y doña Laura Díez Bueso, ha pronunciado</w:t>
      </w:r>
    </w:p>
    <w:p w14:paraId="0F6C5C1B" w14:textId="2AF7D32B" w:rsidR="008D479B" w:rsidRDefault="008D479B" w:rsidP="008D479B">
      <w:pPr>
        <w:pStyle w:val="TextoNormal"/>
      </w:pPr>
    </w:p>
    <w:p w14:paraId="005A0EAB" w14:textId="77777777" w:rsidR="008D479B" w:rsidRDefault="008D479B" w:rsidP="008D479B">
      <w:pPr>
        <w:pStyle w:val="TextoNormalCentrado"/>
        <w:keepNext/>
      </w:pPr>
      <w:r>
        <w:t>EN NOMBRE DEL REY</w:t>
      </w:r>
    </w:p>
    <w:p w14:paraId="5A8BE8FD" w14:textId="4476103F" w:rsidR="008D479B" w:rsidRDefault="008D479B" w:rsidP="008D479B">
      <w:pPr>
        <w:pStyle w:val="TextoNormalCentrado"/>
        <w:keepNext/>
      </w:pPr>
    </w:p>
    <w:p w14:paraId="5ACC4284" w14:textId="77777777" w:rsidR="008D479B" w:rsidRDefault="008D479B" w:rsidP="008D479B">
      <w:pPr>
        <w:pStyle w:val="TextoNormalCentrado"/>
        <w:keepNext/>
      </w:pPr>
    </w:p>
    <w:p w14:paraId="67C0D11A" w14:textId="77777777" w:rsidR="008D479B" w:rsidRDefault="008D479B" w:rsidP="008D479B">
      <w:pPr>
        <w:pStyle w:val="TextoNormal"/>
      </w:pPr>
      <w:r>
        <w:t>la siguiente</w:t>
      </w:r>
    </w:p>
    <w:p w14:paraId="10E698E6" w14:textId="79846919" w:rsidR="008D479B" w:rsidRDefault="008D479B" w:rsidP="008D479B">
      <w:pPr>
        <w:pStyle w:val="TextoNormal"/>
      </w:pPr>
    </w:p>
    <w:p w14:paraId="07505F26" w14:textId="77777777" w:rsidR="008D479B" w:rsidRDefault="008D479B" w:rsidP="008D479B">
      <w:pPr>
        <w:pStyle w:val="TextoNormalCentrado"/>
        <w:keepNext/>
      </w:pPr>
      <w:r>
        <w:t>SENTENCIA</w:t>
      </w:r>
    </w:p>
    <w:p w14:paraId="58C2BEC7" w14:textId="421DABB0" w:rsidR="008D479B" w:rsidRDefault="008D479B" w:rsidP="008D479B">
      <w:pPr>
        <w:pStyle w:val="TextoNormalCentrado"/>
        <w:keepNext/>
      </w:pPr>
    </w:p>
    <w:p w14:paraId="11D7BA42" w14:textId="77777777" w:rsidR="008D479B" w:rsidRDefault="008D479B" w:rsidP="008D479B">
      <w:pPr>
        <w:pStyle w:val="TextoNormal"/>
      </w:pPr>
      <w:r>
        <w:t>En el recurso de amparo núm. 4397-2021, promovido por Emplazamientos Radiales, S.L., representada por la procuradora de los tribunales doña Raquel Zamora Martínez y asistida por el abogado don Jaime Rodríguez Díez, contra la desestimación presunta del recurso de alzada planteado frente a la resolución de 27 de julio de 2018 del director general de Telecomunicaciones y Nuevas Tecnologías, por la que se deniega la solicitud de convocatoria de concurso para el otorgamiento de licencias audiovisuales de radiodifusión sonora digital integradas en los bloques de frecuencias asignados a la Comunidad Autónoma de Castilla-La Mancha. Ha comparecido la referida comunidad autónoma y ha intervenido el Ministerio Fiscal. Ha sido ponente la magistrada doña María Luisa Balaguer Callejón.</w:t>
      </w:r>
    </w:p>
    <w:p w14:paraId="446C5C87" w14:textId="5F81CE64" w:rsidR="008D479B" w:rsidRDefault="008D479B" w:rsidP="008D479B">
      <w:pPr>
        <w:pStyle w:val="TextoNormal"/>
      </w:pPr>
    </w:p>
    <w:p w14:paraId="3F59E5A2" w14:textId="77777777" w:rsidR="008D479B" w:rsidRDefault="008D479B" w:rsidP="008D479B">
      <w:pPr>
        <w:pStyle w:val="TextoNormalNegritaCentrado"/>
        <w:keepNext/>
      </w:pPr>
      <w:r>
        <w:t>I. Antecedentes</w:t>
      </w:r>
    </w:p>
    <w:p w14:paraId="78AB542C" w14:textId="5FC90F39" w:rsidR="008D479B" w:rsidRDefault="008D479B" w:rsidP="008D479B">
      <w:pPr>
        <w:pStyle w:val="TextoNormalNegritaCentrado"/>
        <w:keepNext/>
      </w:pPr>
    </w:p>
    <w:p w14:paraId="3407A550" w14:textId="3B46AC0D" w:rsidR="008D479B" w:rsidRDefault="008D479B" w:rsidP="008D479B">
      <w:pPr>
        <w:pStyle w:val="TextoNormal"/>
      </w:pPr>
      <w:r w:rsidRPr="008D479B">
        <w:rPr>
          <w:rStyle w:val="NumeroAFNegritaCaracter"/>
        </w:rPr>
        <w:t>1</w:t>
      </w:r>
      <w:r>
        <w:t>. Mediante escrito presentado en el registro general de este tribunal el 28 de junio de 2021, la procuradora de los tribunales doña Raquel Zamora Martínez, actuando en nombre y representación de Emplazamientos Radiales, S.L., bajo la defensa del letrado don Jaime Rodríguez Díez, interpuso demanda de amparo contra la desestimación presunta arriba mencionada.</w:t>
      </w:r>
    </w:p>
    <w:p w14:paraId="2A554FBD" w14:textId="77777777" w:rsidR="008D479B" w:rsidRDefault="008D479B" w:rsidP="008D479B">
      <w:pPr>
        <w:pStyle w:val="TextoNormal"/>
      </w:pPr>
    </w:p>
    <w:p w14:paraId="238DABBD" w14:textId="77777777" w:rsidR="008D479B" w:rsidRDefault="008D479B" w:rsidP="008D479B">
      <w:pPr>
        <w:pStyle w:val="TextoNormal"/>
      </w:pPr>
      <w:r w:rsidRPr="008D479B">
        <w:rPr>
          <w:rStyle w:val="NumeroAFNegritaCaracter"/>
        </w:rPr>
        <w:t>2</w:t>
      </w:r>
      <w:r>
        <w:t>. Los hechos con relevancia para la resolución del presente recurso de amparo y a los que se refiere la demanda presentada son los siguientes:</w:t>
      </w:r>
    </w:p>
    <w:p w14:paraId="28E12429" w14:textId="77777777" w:rsidR="008D479B" w:rsidRDefault="008D479B" w:rsidP="008D479B">
      <w:pPr>
        <w:pStyle w:val="TextoNormal"/>
      </w:pPr>
    </w:p>
    <w:p w14:paraId="06AF1B57" w14:textId="77777777" w:rsidR="008D479B" w:rsidRDefault="008D479B" w:rsidP="008D479B">
      <w:pPr>
        <w:pStyle w:val="TextoNormal"/>
      </w:pPr>
      <w:r>
        <w:t>a) La mercantil Emplazamientos Radiales, S.L., interpuso recurso contencioso administrativo contra la desestimación presunta del recurso de alzada planteado frente a la resolución de 27 de julio de 2018 del director general de Telecomunicaciones y Nuevas Tecnologías, por la que se deniega su solicitud de convocatoria de concurso para el otorgamiento de licencias audiovisuales de radiodifusión sonora digital integradas en los bloques de frecuencias asignados a la Comunidad Autónoma de Castilla-La Mancha.</w:t>
      </w:r>
    </w:p>
    <w:p w14:paraId="7332F8A8" w14:textId="77777777" w:rsidR="008D479B" w:rsidRDefault="008D479B" w:rsidP="008D479B">
      <w:pPr>
        <w:pStyle w:val="TextoNormal"/>
      </w:pPr>
    </w:p>
    <w:p w14:paraId="58EB5110" w14:textId="77777777" w:rsidR="008D479B" w:rsidRDefault="008D479B" w:rsidP="008D479B">
      <w:pPr>
        <w:pStyle w:val="TextoNormal"/>
      </w:pPr>
      <w:r>
        <w:t>b) La Sala de lo Contencioso-administrativo del Tribunal Superior de Justicia de Castilla-La Mancha desestimó el recurso interpuesto por sentencia de 18 de enero de 2021 al concluir que declarada extinguida la planificación radioeléctrica no cabe exigir la convocatoria de las reservas de dominio público incluidas en la misma al no existir ya reserva ni estar amparada esa posibilidad por la normativa aplicable.</w:t>
      </w:r>
    </w:p>
    <w:p w14:paraId="2F0C23A8" w14:textId="77777777" w:rsidR="008D479B" w:rsidRDefault="008D479B" w:rsidP="008D479B">
      <w:pPr>
        <w:pStyle w:val="TextoNormal"/>
      </w:pPr>
    </w:p>
    <w:p w14:paraId="3F10617E" w14:textId="5125FAB6" w:rsidR="008D479B" w:rsidRDefault="008D479B" w:rsidP="008D479B">
      <w:pPr>
        <w:pStyle w:val="TextoNormal"/>
      </w:pPr>
      <w:r>
        <w:t>c) Frente a dicha sentencia la representación procesal de la mercantil ahora recurrente en amparo interpuso recurso de casación, que fue inadmitido a trámite por providencia de la Sección Primera de la Sala de lo Contencioso-Administrativo del Tribunal Supremo de 23 de junio de 2021, por pérdida sobrevenida en el recurso de interés casacional objetivo para la formación de jurisprudencia a la vista de las SSTS de 25 y 26 de noviembre de 2020 y de 14 de diciembre de 2020.</w:t>
      </w:r>
    </w:p>
    <w:p w14:paraId="36D2D25F" w14:textId="77777777" w:rsidR="008D479B" w:rsidRDefault="008D479B" w:rsidP="008D479B">
      <w:pPr>
        <w:pStyle w:val="TextoNormal"/>
      </w:pPr>
    </w:p>
    <w:p w14:paraId="45623A48" w14:textId="77777777" w:rsidR="008D479B" w:rsidRDefault="008D479B" w:rsidP="008D479B">
      <w:pPr>
        <w:pStyle w:val="TextoNormal"/>
      </w:pPr>
      <w:r w:rsidRPr="008D479B">
        <w:rPr>
          <w:rStyle w:val="NumeroAFNegritaCaracter"/>
        </w:rPr>
        <w:t>3</w:t>
      </w:r>
      <w:r>
        <w:t>. En la demanda de amparo se alegan las siguientes vulneraciones constitucionales:</w:t>
      </w:r>
    </w:p>
    <w:p w14:paraId="37210983" w14:textId="77777777" w:rsidR="008D479B" w:rsidRDefault="008D479B" w:rsidP="008D479B">
      <w:pPr>
        <w:pStyle w:val="TextoNormal"/>
      </w:pPr>
    </w:p>
    <w:p w14:paraId="6DE10114" w14:textId="77777777" w:rsidR="008D479B" w:rsidRDefault="008D479B" w:rsidP="008D479B">
      <w:pPr>
        <w:pStyle w:val="TextoNormal"/>
      </w:pPr>
      <w:r>
        <w:t>a) Afirma que la negativa a convocar un concurso público por parte del Gobierno de la Comunidad Autónoma de Castilla-La Mancha amparándose en el transcurso de un plazo imputable a su propia inactividad y el consiguiente decaimiento de la planificación del espacio radioeléctrico ha imposibilitado el ejercicio de los derechos fundamentales a la libertad de información, comunicación y expresión, en relación con el art. 14 CE, en concreto, de su derecho a crear los medios de comunicación indispensables para el ejercicio del derecho a expresar y difundir libremente los pensamientos, ideas y opiniones mediante la palabra, el escrito o cualquier otro medio de reproducción [art. 20.1 a) CE] y a comunicar o recibir libremente información veraz por cualquier medio de difusión [art. 20.1 d) CE]. Entiende que prevalece el deber de convocar el concurso de adjudicación [art. 27.2 de la Ley general de la comunicación audiovisual (LGCA)] sobre el eventual decaimiento de la reserva del espectro radioeléctrico (art. 27.4 LGCA) por lo que ha sido la inacción de la administración pública la causante de que no se haya aprovechado el espectro que el Estado ha otorgado a la comunidad autónoma, lo que invalida el acto recurrido por ser contrario a los derechos invocados. Alega que otras comunidades autónomas han convocado los concursos de licencias más allá del plazo establecido y que la negativa a convocar los concursos de adjudicación de licencias vacantes es incompatible con la Directiva 2018/1972, de 11 de diciembre, por la que se establece el Código europeo de las comunicaciones electrónicas, por crear barreras de acceso al mercado e inutilizar el espectro radioeléctrico.</w:t>
      </w:r>
    </w:p>
    <w:p w14:paraId="71CD7DBC" w14:textId="77777777" w:rsidR="008D479B" w:rsidRDefault="008D479B" w:rsidP="008D479B">
      <w:pPr>
        <w:pStyle w:val="TextoNormal"/>
      </w:pPr>
    </w:p>
    <w:p w14:paraId="47701429" w14:textId="77777777" w:rsidR="008D479B" w:rsidRDefault="008D479B" w:rsidP="008D479B">
      <w:pPr>
        <w:pStyle w:val="TextoNormal"/>
      </w:pPr>
      <w:r>
        <w:t>Sostiene también que existe una patente contradicción entre las sentencias del Tribunal Supremo al diferenciar incorrectamente entre licencias de televisión digital y licencias de radiodifusión digital para la protección de los derechos fundamentales.</w:t>
      </w:r>
    </w:p>
    <w:p w14:paraId="03E8DF16" w14:textId="77777777" w:rsidR="008D479B" w:rsidRDefault="008D479B" w:rsidP="008D479B">
      <w:pPr>
        <w:pStyle w:val="TextoNormal"/>
      </w:pPr>
    </w:p>
    <w:p w14:paraId="683B041C" w14:textId="77777777" w:rsidR="008D479B" w:rsidRDefault="008D479B" w:rsidP="008D479B">
      <w:pPr>
        <w:pStyle w:val="TextoNormal"/>
      </w:pPr>
      <w:r>
        <w:t xml:space="preserve">Añade, en fin, que la negativa a conceder una licencia de radiodifusión infringe el art. 10, apartado 1, del Convenio europeo de derechos humanos (CEDH) y cita las resoluciones del Tribunal Europeo de Derechos Humanos de 20 de octubre de 1997, asunto </w:t>
      </w:r>
      <w:r w:rsidRPr="008D479B">
        <w:rPr>
          <w:i/>
        </w:rPr>
        <w:t>Radio ABC c. Austria</w:t>
      </w:r>
      <w:r>
        <w:t xml:space="preserve">; de 23 de noviembre de 1999, asunto </w:t>
      </w:r>
      <w:r w:rsidRPr="008D479B">
        <w:rPr>
          <w:i/>
        </w:rPr>
        <w:t>Leveque c. Francia</w:t>
      </w:r>
      <w:r>
        <w:t xml:space="preserve">; de 7 de noviembre de 2000, asunto </w:t>
      </w:r>
      <w:r w:rsidRPr="008D479B">
        <w:rPr>
          <w:i/>
        </w:rPr>
        <w:t>United Christian Broadcasters Ltd. c. Reino Unido</w:t>
      </w:r>
      <w:r>
        <w:t xml:space="preserve">; de 11 de octubre de 2007, asunto </w:t>
      </w:r>
      <w:r w:rsidRPr="008D479B">
        <w:rPr>
          <w:i/>
        </w:rPr>
        <w:t>Glas Nadejda EOOD y Elenkov c. Bulgaria</w:t>
      </w:r>
      <w:r>
        <w:t xml:space="preserve">; de 17 de junio de 2008, asunto </w:t>
      </w:r>
      <w:r w:rsidRPr="008D479B">
        <w:rPr>
          <w:i/>
        </w:rPr>
        <w:t>Meltex Ltd. y Movsessian c. Armenia</w:t>
      </w:r>
      <w:r>
        <w:t xml:space="preserve">, así como el dictamen del Comité de Derechos Humanos de Naciones Unidas, de 27 de octubre de 2016, en el caso </w:t>
      </w:r>
      <w:r w:rsidRPr="008D479B">
        <w:rPr>
          <w:i/>
        </w:rPr>
        <w:t>Azagade c. Azerbaiyán</w:t>
      </w:r>
      <w:r>
        <w:t>.</w:t>
      </w:r>
    </w:p>
    <w:p w14:paraId="5CEBFDC7" w14:textId="77777777" w:rsidR="008D479B" w:rsidRDefault="008D479B" w:rsidP="008D479B">
      <w:pPr>
        <w:pStyle w:val="TextoNormal"/>
      </w:pPr>
    </w:p>
    <w:p w14:paraId="55D4E4BD" w14:textId="52747412" w:rsidR="008D479B" w:rsidRDefault="008D479B" w:rsidP="008D479B">
      <w:pPr>
        <w:pStyle w:val="TextoNormal"/>
      </w:pPr>
      <w:r>
        <w:t>b) En segundo lugar, considera vulnerado el derecho a la igualdad (art. 14 CE), al haberse convocado en otras comunidades autónomas concursos públicos de licencias de comunicación audiovisual. Mantiene que el art. 27.4 LGCA, al tener la consideración de normativa básica, debe aplicarse de forma similar en todo el territorio estatal y la dispar interpretación efectuada por las distintas comunidades autónomas, a juicio de la entidad recurrente, lesiona el art. 14 CE.</w:t>
      </w:r>
    </w:p>
    <w:p w14:paraId="054280E2" w14:textId="77777777" w:rsidR="008D479B" w:rsidRDefault="008D479B" w:rsidP="008D479B">
      <w:pPr>
        <w:pStyle w:val="TextoNormal"/>
      </w:pPr>
    </w:p>
    <w:p w14:paraId="1EBA4765" w14:textId="217D03FE" w:rsidR="008D479B" w:rsidRDefault="008D479B" w:rsidP="008D479B">
      <w:pPr>
        <w:pStyle w:val="TextoNormal"/>
      </w:pPr>
      <w:r w:rsidRPr="008D479B">
        <w:rPr>
          <w:rStyle w:val="NumeroAFNegritaCaracter"/>
        </w:rPr>
        <w:t>4</w:t>
      </w:r>
      <w:r>
        <w:t>. Por providencia de 10 de octubre de 2022, la Sección Primera del Tribunal Constitucional acordó admitir a trámite la demanda de amparo, al apreciar que concurría en la misma una especial trascendencia constitucional [art. 50.1 de la Ley Orgánica del Tribunal Constitucional (LOTC)] porque el recurso podía dar ocasión al Tribunal para aclarar o cambiar su doctrina, como consecuencia de un proceso de reflexión interna [STC 155/2009, de 25 de junio, FJ 2 b)] y el asunto suscitado trascendía del caso concreto porque plantea una cuestión jurídica de relevante y general repercusión social o económica [STC 155/2009, FJ 2 g)].</w:t>
      </w:r>
    </w:p>
    <w:p w14:paraId="5DEFAF9D" w14:textId="77777777" w:rsidR="008D479B" w:rsidRDefault="008D479B" w:rsidP="008D479B">
      <w:pPr>
        <w:pStyle w:val="TextoNormal"/>
      </w:pPr>
    </w:p>
    <w:p w14:paraId="23DD8BFD" w14:textId="70D04BEE" w:rsidR="008D479B" w:rsidRDefault="008D479B" w:rsidP="008D479B">
      <w:pPr>
        <w:pStyle w:val="TextoNormal"/>
      </w:pPr>
      <w:r w:rsidRPr="008D479B">
        <w:rPr>
          <w:rStyle w:val="NumeroAFNegritaCaracter"/>
        </w:rPr>
        <w:t>5</w:t>
      </w:r>
      <w:r>
        <w:t>. Por diligencia de ordenación de la Secretaría de Justicia de la Sección Primera de 27 de octubre de 2022, se tuvo por personada a la Comunidad Autónoma de Castilla-La Mancha. Y, a tenor de lo dispuesto en el art. 52 LOTC, se dio vista de las actuaciones, por un plazo común de veinte días, al Ministerio Fiscal y a las partes personadas para que dentro de dicho término pudieran presentar las alegaciones que a su derecho conviniera.</w:t>
      </w:r>
    </w:p>
    <w:p w14:paraId="05084FC9" w14:textId="77777777" w:rsidR="008D479B" w:rsidRDefault="008D479B" w:rsidP="008D479B">
      <w:pPr>
        <w:pStyle w:val="TextoNormal"/>
      </w:pPr>
    </w:p>
    <w:p w14:paraId="5E4B43ED" w14:textId="0879C9A8" w:rsidR="008D479B" w:rsidRDefault="008D479B" w:rsidP="008D479B">
      <w:pPr>
        <w:pStyle w:val="TextoNormal"/>
      </w:pPr>
      <w:r w:rsidRPr="008D479B">
        <w:rPr>
          <w:rStyle w:val="NumeroAFNegritaCaracter"/>
        </w:rPr>
        <w:t>6</w:t>
      </w:r>
      <w:r>
        <w:t>. La demandante de amparo presentó sus alegaciones mediante escrito registrado el 17 de noviembre de 2022, en el que reiteraba los argumentos expuestos en la demanda.</w:t>
      </w:r>
    </w:p>
    <w:p w14:paraId="2214BC26" w14:textId="77777777" w:rsidR="008D479B" w:rsidRDefault="008D479B" w:rsidP="008D479B">
      <w:pPr>
        <w:pStyle w:val="TextoNormal"/>
      </w:pPr>
    </w:p>
    <w:p w14:paraId="00900C11" w14:textId="6F1F1CF0" w:rsidR="008D479B" w:rsidRDefault="008D479B" w:rsidP="008D479B">
      <w:pPr>
        <w:pStyle w:val="TextoNormal"/>
      </w:pPr>
      <w:r w:rsidRPr="008D479B">
        <w:rPr>
          <w:rStyle w:val="NumeroAFNegritaCaracter"/>
        </w:rPr>
        <w:t>7</w:t>
      </w:r>
      <w:r>
        <w:t>. La Comunidad Autónoma de Castilla-La Mancha, con la representación y asistencia de letrada de su servicio jurídico, presentó sus alegaciones mediante escrito registrado el 28 de noviembre de 2022, en el que rechaza que se hayan vulnerado los derechos invocados en la demanda de amparo.</w:t>
      </w:r>
    </w:p>
    <w:p w14:paraId="5737A82F" w14:textId="77777777" w:rsidR="008D479B" w:rsidRDefault="008D479B" w:rsidP="008D479B">
      <w:pPr>
        <w:pStyle w:val="TextoNormal"/>
      </w:pPr>
    </w:p>
    <w:p w14:paraId="5F7436C5" w14:textId="77777777" w:rsidR="008D479B" w:rsidRDefault="008D479B" w:rsidP="008D479B">
      <w:pPr>
        <w:pStyle w:val="TextoNormal"/>
      </w:pPr>
      <w:r w:rsidRPr="008D479B">
        <w:rPr>
          <w:rStyle w:val="NumeroAFNegritaCaracter"/>
        </w:rPr>
        <w:t>8</w:t>
      </w:r>
      <w:r>
        <w:t>. El Ministerio Fiscal presentó sus alegaciones mediante escrito registrado el 22 de diciembre de 2022 en el que solicita la desestimación del recurso de amparo.</w:t>
      </w:r>
    </w:p>
    <w:p w14:paraId="4C4FA999" w14:textId="77777777" w:rsidR="008D479B" w:rsidRDefault="008D479B" w:rsidP="008D479B">
      <w:pPr>
        <w:pStyle w:val="TextoNormal"/>
      </w:pPr>
    </w:p>
    <w:p w14:paraId="04D99F2A" w14:textId="77777777" w:rsidR="008D479B" w:rsidRDefault="008D479B" w:rsidP="008D479B">
      <w:pPr>
        <w:pStyle w:val="TextoNormal"/>
      </w:pPr>
      <w:r>
        <w:t>Descarta, en primer lugar, que se haya producido una vulneración del art. 14 CE, al no existir el término válido de comparación exigido para que se produzca la vulneración, pues no se han dictado las resoluciones por los mismos órganos, ni en el caso del reproche dirigido al Tribunal Supremo concurre la identidad de supuestos exigida.</w:t>
      </w:r>
    </w:p>
    <w:p w14:paraId="5E010F96" w14:textId="77777777" w:rsidR="008D479B" w:rsidRDefault="008D479B" w:rsidP="008D479B">
      <w:pPr>
        <w:pStyle w:val="TextoNormal"/>
      </w:pPr>
    </w:p>
    <w:p w14:paraId="445FCF95" w14:textId="77777777" w:rsidR="008D479B" w:rsidRDefault="008D479B" w:rsidP="008D479B">
      <w:pPr>
        <w:pStyle w:val="TextoNormal"/>
      </w:pPr>
      <w:r>
        <w:t>Rechaza, asimismo, la vulneración del art. 20.1 a) y d) CE al existir una regulación normativa que establece el marco temporal de reserva del espacio radioeléctrico a los efectos de convocar los correspondientes concursos. Entiende que corresponde al legislador una mayor libertad de configuración normativa para disciplinar los soportes técnicos e instrumentos de comunicación, que la que posee al ordenar directamente los derechos fundamentales del art. 20.1 CE. De este modo las resoluciones administrativas y las sentencias que aplican la regulación establecida en este ámbito difícilmente pueden lesionar los derechos invocados.</w:t>
      </w:r>
    </w:p>
    <w:p w14:paraId="0DB0A4E1" w14:textId="77777777" w:rsidR="008D479B" w:rsidRDefault="008D479B" w:rsidP="008D479B">
      <w:pPr>
        <w:pStyle w:val="TextoNormal"/>
      </w:pPr>
    </w:p>
    <w:p w14:paraId="523B594E" w14:textId="5A77297A" w:rsidR="008D479B" w:rsidRDefault="008D479B" w:rsidP="008D479B">
      <w:pPr>
        <w:pStyle w:val="TextoNormal"/>
      </w:pPr>
      <w:r>
        <w:t xml:space="preserve">Finalmente, considera que las resoluciones del Tribunal Europeo de Derechos Humanos citadas no son aplicables por tratarse de decisiones de inadmisión o, en el caso de la STEDH de 20 de octubre de 1997, asunto </w:t>
      </w:r>
      <w:r w:rsidRPr="008D479B">
        <w:rPr>
          <w:i/>
        </w:rPr>
        <w:t>Radio</w:t>
      </w:r>
      <w:r>
        <w:t xml:space="preserve"> </w:t>
      </w:r>
      <w:r w:rsidRPr="008D479B">
        <w:rPr>
          <w:i/>
        </w:rPr>
        <w:t>ABC c. Austria</w:t>
      </w:r>
      <w:r>
        <w:t>, porque toda la actividad se subordinaba a una concesión del legislador federal que no se produjo, situación que se mantuvo durante tres periodos de tiempo, supuesto distinto al contemplado en la regulación española.</w:t>
      </w:r>
    </w:p>
    <w:p w14:paraId="2F89DBCE" w14:textId="77777777" w:rsidR="008D479B" w:rsidRDefault="008D479B" w:rsidP="008D479B">
      <w:pPr>
        <w:pStyle w:val="TextoNormal"/>
      </w:pPr>
    </w:p>
    <w:p w14:paraId="7416E29B" w14:textId="7FBA02B7" w:rsidR="008D479B" w:rsidRDefault="008D479B" w:rsidP="008D479B">
      <w:pPr>
        <w:pStyle w:val="TextoNormal"/>
      </w:pPr>
      <w:r w:rsidRPr="008D479B">
        <w:rPr>
          <w:rStyle w:val="NumeroAFNegritaCaracter"/>
        </w:rPr>
        <w:t>9</w:t>
      </w:r>
      <w:r>
        <w:t>. Por diligencia de ordenación de 18 de enero de 2023, el secretario de justicia de la Sala Segunda de este tribunal puso en conocimiento de las partes que, en virtud del acuerdo del Pleno del Tribunal Constitucional de 17 de enero de 2023, publicado en el “Boletín Oficial del Estado” de 19 de enero de 2023, el presente recurso de amparo fue turnado a dicha Sala.</w:t>
      </w:r>
    </w:p>
    <w:p w14:paraId="1139125C" w14:textId="77777777" w:rsidR="008D479B" w:rsidRDefault="008D479B" w:rsidP="008D479B">
      <w:pPr>
        <w:pStyle w:val="TextoNormal"/>
      </w:pPr>
    </w:p>
    <w:p w14:paraId="78CB11AA" w14:textId="3D06A757" w:rsidR="008D479B" w:rsidRDefault="008D479B" w:rsidP="008D479B">
      <w:pPr>
        <w:pStyle w:val="TextoNormal"/>
      </w:pPr>
      <w:r w:rsidRPr="008D479B">
        <w:rPr>
          <w:rStyle w:val="NumeroAFNegritaCaracter"/>
        </w:rPr>
        <w:t>10</w:t>
      </w:r>
      <w:r>
        <w:t>. El 9 de junio de 2023 el magistrado don César Tolosa Tribiño presentó escrito en el que, conforme a lo dispuesto en el art. 217 de la Ley Orgánica del Poder Judicial, comunicó a la Sala Segunda de este tribunal, por conducto de su presidenta, su decisión de abstenerse del conocimiento del presente recurso de amparo. La Sala Segunda, mediante ATC 332/2023, de 3 de julio, estimó justificada la causa de abstención y el citado magistrado quedó apartado definitivamente del recurso de amparo núm. 4397-2021 y de todas sus incidencias.</w:t>
      </w:r>
    </w:p>
    <w:p w14:paraId="351ADB59" w14:textId="77777777" w:rsidR="008D479B" w:rsidRDefault="008D479B" w:rsidP="008D479B">
      <w:pPr>
        <w:pStyle w:val="TextoNormal"/>
      </w:pPr>
    </w:p>
    <w:p w14:paraId="4233C461" w14:textId="57019B6C" w:rsidR="008D479B" w:rsidRDefault="008D479B" w:rsidP="008D479B">
      <w:pPr>
        <w:pStyle w:val="TextoNormal"/>
      </w:pPr>
      <w:r w:rsidRPr="008D479B">
        <w:rPr>
          <w:rStyle w:val="NumeroAFNegritaCaracter"/>
        </w:rPr>
        <w:t>11</w:t>
      </w:r>
      <w:r>
        <w:t>. Por providencia de 21 de septiembre de 2023, se señaló para la deliberación y votación de la presente sentencia el día 25 del mismo mes y año.</w:t>
      </w:r>
    </w:p>
    <w:p w14:paraId="6A7DED3C" w14:textId="77777777" w:rsidR="008D479B" w:rsidRDefault="008D479B" w:rsidP="008D479B">
      <w:pPr>
        <w:pStyle w:val="TextoNormal"/>
      </w:pPr>
    </w:p>
    <w:p w14:paraId="4924A21A" w14:textId="77777777" w:rsidR="008D479B" w:rsidRDefault="008D479B" w:rsidP="008D479B">
      <w:pPr>
        <w:pStyle w:val="TextoNormalNegritaCentrado"/>
        <w:keepNext/>
      </w:pPr>
      <w:r>
        <w:t>II. Fundamentos jurídicos</w:t>
      </w:r>
    </w:p>
    <w:p w14:paraId="195D5D4D" w14:textId="2DD11523" w:rsidR="008D479B" w:rsidRDefault="008D479B" w:rsidP="008D479B">
      <w:pPr>
        <w:pStyle w:val="TextoNormalNegritaCentrado"/>
        <w:keepNext/>
      </w:pPr>
    </w:p>
    <w:p w14:paraId="399396C5" w14:textId="77777777" w:rsidR="008D479B" w:rsidRDefault="008D479B" w:rsidP="008D479B">
      <w:pPr>
        <w:pStyle w:val="TextoNormal"/>
      </w:pPr>
      <w:r w:rsidRPr="008D479B">
        <w:rPr>
          <w:rStyle w:val="NumeroAFNegritaCaracter"/>
        </w:rPr>
        <w:t>1</w:t>
      </w:r>
      <w:r>
        <w:t xml:space="preserve">. </w:t>
      </w:r>
      <w:r w:rsidRPr="008D479B">
        <w:rPr>
          <w:i/>
        </w:rPr>
        <w:t>Objeto del recurso</w:t>
      </w:r>
    </w:p>
    <w:p w14:paraId="557C5002" w14:textId="77777777" w:rsidR="008D479B" w:rsidRDefault="008D479B" w:rsidP="008D479B">
      <w:pPr>
        <w:pStyle w:val="TextoNormal"/>
      </w:pPr>
    </w:p>
    <w:p w14:paraId="4C109B22" w14:textId="6A587659" w:rsidR="008D479B" w:rsidRDefault="008D479B" w:rsidP="008D479B">
      <w:pPr>
        <w:pStyle w:val="TextoNormal"/>
      </w:pPr>
      <w:r>
        <w:t>El objeto de este recurso es determinar si la desestimación presunta del recurso de alzada planteado frente a la resolución de 27 de julio de 2018 del director general de Telecomunicaciones y Nuevas Tecnologías, por la que se deniega la solicitud de convocatoria de concurso para el otorgamiento de licencias audiovisuales de radiodifusión sonora digital integradas en los bloques de frecuencias asignados a la Comunidad Autónoma de Castilla-La Mancha, vulnera los derechos fundamentales a la libertad de información, comunicación y expresión [art. 20.1 a) y d) CE], en relación con el art. 14 CE.</w:t>
      </w:r>
    </w:p>
    <w:p w14:paraId="33659053" w14:textId="77777777" w:rsidR="008D479B" w:rsidRDefault="008D479B" w:rsidP="008D479B">
      <w:pPr>
        <w:pStyle w:val="TextoNormal"/>
      </w:pPr>
    </w:p>
    <w:p w14:paraId="2C9A0B93" w14:textId="77777777" w:rsidR="008D479B" w:rsidRDefault="008D479B" w:rsidP="008D479B">
      <w:pPr>
        <w:pStyle w:val="TextoNormal"/>
      </w:pPr>
      <w:r w:rsidRPr="008D479B">
        <w:rPr>
          <w:rStyle w:val="NumeroAFNegritaCaracter"/>
        </w:rPr>
        <w:t>2</w:t>
      </w:r>
      <w:r>
        <w:t xml:space="preserve">. </w:t>
      </w:r>
      <w:r w:rsidRPr="008D479B">
        <w:rPr>
          <w:i/>
        </w:rPr>
        <w:t>Remisión a lo resuelto en la STC 89/2023, de 18 de julio</w:t>
      </w:r>
    </w:p>
    <w:p w14:paraId="13D58EC4" w14:textId="77777777" w:rsidR="008D479B" w:rsidRDefault="008D479B" w:rsidP="008D479B">
      <w:pPr>
        <w:pStyle w:val="TextoNormal"/>
      </w:pPr>
    </w:p>
    <w:p w14:paraId="78638CAB" w14:textId="16FEFCFE" w:rsidR="008D479B" w:rsidRDefault="008D479B" w:rsidP="008D479B">
      <w:pPr>
        <w:pStyle w:val="TextoNormal"/>
      </w:pPr>
      <w:r>
        <w:t>El problema constitucional que se plantea en este proceso de amparo es coincidente con el resuelto en la STC 89/2023, de 18 de julio, que excluyó que la actuación administrativa impugnada, en cuanto denegó la convocatoria del concurso solicitado para la concesión de licencias de prestación de servicios audiovisuales, vulnerara los derechos a expresar y difundir libremente los pensamientos, ideas y opiniones mediante la palabra, el escrito o cualquier otro medio de reproducción [art. 20.1 a) CE] y a comunicar o recibir libremente información veraz por cualquier medio de difusión [art. 20.1 d) CE], en relación con el principio de igualdad (art. 14 CE), lo que determina que, por idénticas razones, proceda desestimar el presente recurso de amparo.</w:t>
      </w:r>
    </w:p>
    <w:p w14:paraId="56F793FE" w14:textId="77777777" w:rsidR="008D479B" w:rsidRDefault="008D479B" w:rsidP="008D479B">
      <w:pPr>
        <w:pStyle w:val="TextoNormal"/>
      </w:pPr>
    </w:p>
    <w:p w14:paraId="09B9326C" w14:textId="77777777" w:rsidR="008D479B" w:rsidRDefault="008D479B" w:rsidP="008D479B">
      <w:pPr>
        <w:pStyle w:val="TextoNormalCentrado"/>
        <w:keepNext/>
      </w:pPr>
      <w:r>
        <w:t>FALLO</w:t>
      </w:r>
    </w:p>
    <w:p w14:paraId="47D99B58" w14:textId="0229694C" w:rsidR="008D479B" w:rsidRDefault="008D479B" w:rsidP="008D479B">
      <w:pPr>
        <w:pStyle w:val="TextoNormalCentrado"/>
        <w:keepNext/>
      </w:pPr>
    </w:p>
    <w:p w14:paraId="0F173B48" w14:textId="0949E7D7" w:rsidR="008D479B" w:rsidRDefault="008D479B" w:rsidP="008D479B">
      <w:pPr>
        <w:pStyle w:val="TextoNormal"/>
      </w:pPr>
      <w:r>
        <w:t>En atención a todo lo expuesto, el Tribunal Constitucional, por la autoridad que le confiere la Constitución de la Nación española, ha decidido desestimar el presente recurso de amparo interpuesto por Emplazamientos Radiales, S.L.</w:t>
      </w:r>
    </w:p>
    <w:p w14:paraId="59D67911" w14:textId="77777777" w:rsidR="008D479B" w:rsidRDefault="008D479B" w:rsidP="008D479B">
      <w:pPr>
        <w:pStyle w:val="TextoNormal"/>
      </w:pPr>
    </w:p>
    <w:p w14:paraId="6A950A62" w14:textId="77777777" w:rsidR="008D479B" w:rsidRDefault="008D479B" w:rsidP="008D479B">
      <w:pPr>
        <w:pStyle w:val="TextoNormal"/>
      </w:pPr>
      <w:r>
        <w:t>Publíquese esta sentencia en el “Boletín Oficial del Estado”.</w:t>
      </w:r>
    </w:p>
    <w:p w14:paraId="38B01627" w14:textId="77777777" w:rsidR="008D479B" w:rsidRDefault="008D479B" w:rsidP="008D479B">
      <w:pPr>
        <w:pStyle w:val="TextoNormal"/>
      </w:pPr>
      <w:r>
        <w:t>Dada en Madrid, a veinticinco de septiembre de dos mil veintitrés.</w:t>
      </w:r>
    </w:p>
    <w:p w14:paraId="60F0B535" w14:textId="72BC30FC" w:rsidR="008D479B" w:rsidRDefault="008D479B" w:rsidP="008D479B">
      <w:pPr>
        <w:pStyle w:val="ParrafoNormal"/>
      </w:pPr>
    </w:p>
    <w:p w14:paraId="58CF990F" w14:textId="77777777" w:rsidR="008D479B" w:rsidRDefault="008D479B" w:rsidP="008D479B">
      <w:pPr>
        <w:pStyle w:val="TextoNormalNegritaCentrado"/>
        <w:keepNext/>
      </w:pPr>
      <w:r>
        <w:t>Voto particular que formula la magistrada doña María Luisa Balaguer Callejón a la sentencia dictada en el recurso de amparo núm. 4397-2021</w:t>
      </w:r>
    </w:p>
    <w:p w14:paraId="6AD47FB1" w14:textId="7533A1B5" w:rsidR="008D479B" w:rsidRDefault="008D479B" w:rsidP="008D479B">
      <w:pPr>
        <w:pStyle w:val="TextoNormalNegritaCentrado"/>
        <w:keepNext/>
      </w:pPr>
    </w:p>
    <w:p w14:paraId="65BA96BB" w14:textId="1718A70D" w:rsidR="008D479B" w:rsidRDefault="008D479B" w:rsidP="008D479B">
      <w:pPr>
        <w:pStyle w:val="TextoNormal"/>
      </w:pPr>
      <w:r>
        <w:t>Con el mayor respeto al criterio reflejado en la sentencia a que se refiere el encabezamiento y, en ejercicio de la facultad que me confiere el art. 90.2 de la Ley Orgánica del Tribunal Constitucional, manifiesto mi discrepancia con la argumentación y fallo de la sentencia aprobada por la Sala. Por ello, me remito, en su totalidad, al voto particular que realicé a la STC 89/2023, de 18 de julio. Madrid, a veinticinco de septiembre de dos mil veintitrés.</w:t>
      </w:r>
    </w:p>
    <w:p w14:paraId="096931F2" w14:textId="23ADCD62" w:rsidR="008D479B" w:rsidRDefault="008D479B">
      <w:pPr>
        <w:spacing w:after="160" w:line="278" w:lineRule="auto"/>
        <w:rPr>
          <w:rFonts w:ascii="Times New Roman" w:eastAsia="Times New Roman" w:hAnsi="Times New Roman" w:cs="Times New Roman"/>
          <w:sz w:val="24"/>
          <w:szCs w:val="24"/>
          <w:lang w:eastAsia="es-ES"/>
        </w:rPr>
      </w:pPr>
      <w:r>
        <w:br w:type="page"/>
      </w:r>
    </w:p>
    <w:p w14:paraId="6431C9E2" w14:textId="77777777" w:rsidR="008D479B" w:rsidRDefault="008D479B" w:rsidP="008D479B">
      <w:pPr>
        <w:pStyle w:val="TtuloResolucin"/>
      </w:pPr>
      <w:bookmarkStart w:id="43" w:name="SENTENCIA_2023_118"/>
      <w:r>
        <w:t>SENTENCIA 118/2023, de 25 de septiembre de 2023</w:t>
      </w:r>
    </w:p>
    <w:bookmarkEnd w:id="43"/>
    <w:p w14:paraId="4C253462" w14:textId="77777777" w:rsidR="008D479B" w:rsidRDefault="008D479B" w:rsidP="008D479B">
      <w:pPr>
        <w:pStyle w:val="TtuloResolucin"/>
      </w:pPr>
      <w:r>
        <w:t>Sala Segunda</w:t>
      </w:r>
    </w:p>
    <w:p w14:paraId="1E497FE1" w14:textId="77777777" w:rsidR="008D479B" w:rsidRDefault="008D479B" w:rsidP="008D479B">
      <w:pPr>
        <w:pStyle w:val="TtuloBOE"/>
      </w:pPr>
      <w:r>
        <w:t>(BOE núm. 261, de 1 de noviembre de 2023)</w:t>
      </w:r>
    </w:p>
    <w:p w14:paraId="73A05570" w14:textId="77777777" w:rsidR="008D479B" w:rsidRDefault="008D479B" w:rsidP="008D479B">
      <w:pPr>
        <w:pStyle w:val="TextoNormalCentrado"/>
      </w:pPr>
      <w:r>
        <w:t>ECLI:ES:TC:2023:118</w:t>
      </w:r>
    </w:p>
    <w:p w14:paraId="2BC71495" w14:textId="0F6D6AA1" w:rsidR="008D479B" w:rsidRDefault="008D479B" w:rsidP="008D479B">
      <w:pPr>
        <w:pStyle w:val="TextoNormalCentrado"/>
      </w:pPr>
    </w:p>
    <w:p w14:paraId="1CAF9C85" w14:textId="77777777" w:rsidR="008D479B" w:rsidRDefault="008D479B" w:rsidP="008D479B">
      <w:pPr>
        <w:pStyle w:val="SntesisDescriptiva"/>
      </w:pPr>
      <w:r>
        <w:t>Recurso de amparo 4568-2021. Promovido por Asociación Emplazamientos y Comunicaciones Nueva Esperanza respecto de las resoluciones de la Consejería de Hacienda y Administraciones Públicas de la Región de Murcia que rechazaron su solicitud de convocatoria de concurso público para la adjudicación de licencias disponibles de comunicación audiovisual de radiodifusión sonora digital terrestre de ámbito local.</w:t>
      </w:r>
    </w:p>
    <w:p w14:paraId="2B1164CF" w14:textId="3F438770" w:rsidR="008D479B" w:rsidRDefault="008D479B" w:rsidP="008D479B">
      <w:pPr>
        <w:pStyle w:val="SntesisDescriptiva"/>
      </w:pPr>
    </w:p>
    <w:p w14:paraId="3E829CE2" w14:textId="77777777" w:rsidR="008D479B" w:rsidRDefault="008D479B" w:rsidP="008D479B">
      <w:pPr>
        <w:pStyle w:val="SntesisAnaltica"/>
      </w:pPr>
      <w:r>
        <w:t>Supuesta vulneración del derecho a la igualdad y a las libertades de expresión e información: STC 89/2023 (resolución administrativa que no resulta desproporcionada y que viene impuesta por la inexistencia de reserva de dominio público radioeléctrico). Voto particular.</w:t>
      </w:r>
    </w:p>
    <w:p w14:paraId="76535226" w14:textId="4DB54771" w:rsidR="008D479B" w:rsidRDefault="008D479B" w:rsidP="008D479B">
      <w:pPr>
        <w:pStyle w:val="SntesisAnaltica"/>
      </w:pPr>
    </w:p>
    <w:p w14:paraId="1C54BC1F" w14:textId="15EACC0D" w:rsidR="008D479B" w:rsidRDefault="008D479B" w:rsidP="008D479B">
      <w:pPr>
        <w:pStyle w:val="Extracto"/>
      </w:pPr>
      <w:r>
        <w:t>1.</w:t>
      </w:r>
      <w:r>
        <w:tab/>
        <w:t xml:space="preserve">Remisión a la STC 89/2023 que declaró respetados los derechos a expresar y difundir libremente los pensamientos, ideas y opiniones, así como a comunicar o recibir libremente información veraz por cualquier medio de difusión, consagrados en el art. 20.1 a) y d) CE, en relación con el principio de igualdad reconocido en el art. 14 CE, por parte de la actuación administrativa denegatoria de convocatoria de concurso para la concesión de licencias de prestación de servicios audiovisuales </w:t>
      </w:r>
    </w:p>
    <w:p w14:paraId="5CC4BE6C" w14:textId="77777777" w:rsidR="008D479B" w:rsidRDefault="008D479B" w:rsidP="008D479B">
      <w:pPr>
        <w:pStyle w:val="Extracto"/>
      </w:pPr>
    </w:p>
    <w:p w14:paraId="2151684B" w14:textId="77777777" w:rsidR="008D479B" w:rsidRDefault="008D479B" w:rsidP="008D479B">
      <w:pPr>
        <w:pStyle w:val="Extracto"/>
      </w:pPr>
    </w:p>
    <w:p w14:paraId="20965EFD" w14:textId="77777777" w:rsidR="008D479B" w:rsidRDefault="008D479B" w:rsidP="008D479B">
      <w:pPr>
        <w:pStyle w:val="TextoNormal"/>
      </w:pPr>
      <w:r>
        <w:t>La Sala Segunda del Tribunal Constitucional, compuesta por la magistrada doña Inmaculada Montalbán Huertas, presidenta, y las magistradas y magistrados doña María Luisa Balaguer Callejón, don Ramón Sáez Valcárcel, don Enrique Arnaldo Alcubilla y doña Laura Díez Bueso, ha pronunciado</w:t>
      </w:r>
    </w:p>
    <w:p w14:paraId="5F608983" w14:textId="2A6C877C" w:rsidR="008D479B" w:rsidRDefault="008D479B" w:rsidP="008D479B">
      <w:pPr>
        <w:pStyle w:val="TextoNormal"/>
      </w:pPr>
    </w:p>
    <w:p w14:paraId="3A62FEF8" w14:textId="77777777" w:rsidR="008D479B" w:rsidRDefault="008D479B" w:rsidP="008D479B">
      <w:pPr>
        <w:pStyle w:val="TextoNormalCentrado"/>
        <w:keepNext/>
      </w:pPr>
      <w:r>
        <w:t>EN NOMBRE DEL REY</w:t>
      </w:r>
    </w:p>
    <w:p w14:paraId="708A208D" w14:textId="7E0FACBE" w:rsidR="008D479B" w:rsidRDefault="008D479B" w:rsidP="008D479B">
      <w:pPr>
        <w:pStyle w:val="TextoNormalCentrado"/>
        <w:keepNext/>
      </w:pPr>
    </w:p>
    <w:p w14:paraId="549D8F12" w14:textId="77777777" w:rsidR="008D479B" w:rsidRDefault="008D479B" w:rsidP="008D479B">
      <w:pPr>
        <w:pStyle w:val="TextoNormalCentrado"/>
        <w:keepNext/>
      </w:pPr>
    </w:p>
    <w:p w14:paraId="097892FA" w14:textId="77777777" w:rsidR="008D479B" w:rsidRDefault="008D479B" w:rsidP="008D479B">
      <w:pPr>
        <w:pStyle w:val="TextoNormal"/>
      </w:pPr>
      <w:r>
        <w:t>la siguiente</w:t>
      </w:r>
    </w:p>
    <w:p w14:paraId="6D3EEE54" w14:textId="2249EF93" w:rsidR="008D479B" w:rsidRDefault="008D479B" w:rsidP="008D479B">
      <w:pPr>
        <w:pStyle w:val="TextoNormal"/>
      </w:pPr>
    </w:p>
    <w:p w14:paraId="42940DED" w14:textId="77777777" w:rsidR="008D479B" w:rsidRDefault="008D479B" w:rsidP="008D479B">
      <w:pPr>
        <w:pStyle w:val="TextoNormalCentrado"/>
        <w:keepNext/>
      </w:pPr>
      <w:r>
        <w:t>SENTENCIA</w:t>
      </w:r>
    </w:p>
    <w:p w14:paraId="6431BF5A" w14:textId="6386B9D5" w:rsidR="008D479B" w:rsidRDefault="008D479B" w:rsidP="008D479B">
      <w:pPr>
        <w:pStyle w:val="TextoNormalCentrado"/>
        <w:keepNext/>
      </w:pPr>
    </w:p>
    <w:p w14:paraId="6D5607EF" w14:textId="77777777" w:rsidR="008D479B" w:rsidRDefault="008D479B" w:rsidP="008D479B">
      <w:pPr>
        <w:pStyle w:val="TextoNormal"/>
      </w:pPr>
      <w:r>
        <w:t>En el recurso de amparo número 4568-2021, promovido por la Asociación Emplazamientos y Comunicaciones Nueva Esperanza, representada por el procurador de los tribunales don José Carlos García Rodríguez y asistida por el abogado don Jaime Rodríguez Díez, contra la desestimación presunta del recurso de alzada planteado el 21 de diciembre de 2018 ante la Consejería de Hacienda y Administraciones Públicas de la Región de Murcia, contra la desestimación presunta de la solicitud de convocatoria de concurso de licencias audiovisuales de radiodifusión sonora digital disponibles en la citada comunidad autónoma. Ha comparecido la referida comunidad autónoma y ha intervenido el Ministerio Fiscal. Ha sido ponente la magistrada doña Inmaculada Montalbán Huertas.</w:t>
      </w:r>
    </w:p>
    <w:p w14:paraId="770D6089" w14:textId="1CFB3CBE" w:rsidR="008D479B" w:rsidRDefault="008D479B" w:rsidP="008D479B">
      <w:pPr>
        <w:pStyle w:val="TextoNormal"/>
      </w:pPr>
    </w:p>
    <w:p w14:paraId="5852EC90" w14:textId="77777777" w:rsidR="008D479B" w:rsidRDefault="008D479B" w:rsidP="008D479B">
      <w:pPr>
        <w:pStyle w:val="TextoNormalNegritaCentrado"/>
        <w:keepNext/>
      </w:pPr>
      <w:r>
        <w:t>I. Antecedentes</w:t>
      </w:r>
    </w:p>
    <w:p w14:paraId="1FECFD37" w14:textId="61BADA3B" w:rsidR="008D479B" w:rsidRDefault="008D479B" w:rsidP="008D479B">
      <w:pPr>
        <w:pStyle w:val="TextoNormalNegritaCentrado"/>
        <w:keepNext/>
      </w:pPr>
    </w:p>
    <w:p w14:paraId="671964FC" w14:textId="52CE983E" w:rsidR="008D479B" w:rsidRDefault="008D479B" w:rsidP="008D479B">
      <w:pPr>
        <w:pStyle w:val="TextoNormal"/>
      </w:pPr>
      <w:r w:rsidRPr="008D479B">
        <w:rPr>
          <w:rStyle w:val="NumeroAFNegritaCaracter"/>
        </w:rPr>
        <w:t>1</w:t>
      </w:r>
      <w:r>
        <w:t>. Mediante escrito presentado en el registro general de este tribunal el 5 de julio de 2021, el procurador de los tribunales don José Carlos García Rodríguez, actuando en nombre y representación de la Asociación Emplazamientos y Comunicaciones Nueva Esperanza, bajo la defensa del letrado don Jaime Rodríguez Díez, interpuso demanda de amparo contra la desestimación presunta arriba mencionada.</w:t>
      </w:r>
    </w:p>
    <w:p w14:paraId="2CE5993A" w14:textId="77777777" w:rsidR="008D479B" w:rsidRDefault="008D479B" w:rsidP="008D479B">
      <w:pPr>
        <w:pStyle w:val="TextoNormal"/>
      </w:pPr>
    </w:p>
    <w:p w14:paraId="351BDA7D" w14:textId="77777777" w:rsidR="008D479B" w:rsidRDefault="008D479B" w:rsidP="008D479B">
      <w:pPr>
        <w:pStyle w:val="TextoNormal"/>
      </w:pPr>
      <w:r w:rsidRPr="008D479B">
        <w:rPr>
          <w:rStyle w:val="NumeroAFNegritaCaracter"/>
        </w:rPr>
        <w:t>2</w:t>
      </w:r>
      <w:r>
        <w:t>. Los hechos con relevancia para la resolución del presente recurso de amparo y a los que se refiere la demanda presentada son los siguientes:</w:t>
      </w:r>
    </w:p>
    <w:p w14:paraId="0C614C3D" w14:textId="77777777" w:rsidR="008D479B" w:rsidRDefault="008D479B" w:rsidP="008D479B">
      <w:pPr>
        <w:pStyle w:val="TextoNormal"/>
      </w:pPr>
    </w:p>
    <w:p w14:paraId="447348EB" w14:textId="77777777" w:rsidR="008D479B" w:rsidRDefault="008D479B" w:rsidP="008D479B">
      <w:pPr>
        <w:pStyle w:val="TextoNormal"/>
      </w:pPr>
      <w:r>
        <w:t>a) La Asociación Emplazamientos y Comunicaciones Nueva Esperanza interpuso recurso contencioso-administrativo contra la desestimación presunta del recurso de alzada planteado el 21 de diciembre de 2018 ante la Consejería de Hacienda y Administraciones Públicas de la Región de Murcia, contra la desestimación presunta de su solicitud de convocatoria de concurso de licencias audiovisuales de radiodifusión sonora digital disponibles en la citada comunidad autónoma.</w:t>
      </w:r>
    </w:p>
    <w:p w14:paraId="31CDB201" w14:textId="77777777" w:rsidR="008D479B" w:rsidRDefault="008D479B" w:rsidP="008D479B">
      <w:pPr>
        <w:pStyle w:val="TextoNormal"/>
      </w:pPr>
    </w:p>
    <w:p w14:paraId="6888A9D6" w14:textId="77777777" w:rsidR="008D479B" w:rsidRDefault="008D479B" w:rsidP="008D479B">
      <w:pPr>
        <w:pStyle w:val="TextoNormal"/>
      </w:pPr>
      <w:r>
        <w:t>b) La Sala de lo Contencioso-Administrativo del Tribunal Superior de Justicia de Murcia desestimó el recurso interpuesto por sentencia de 21 de enero de 2021 al concluir que declarada extinguida la planificación radioeléctrica no cabe exigir la convocatoria de las reservas de dominio público incluidas en la misma al no existir ya reserva ni estar amparada esa posibilidad por la normativa aplicable.</w:t>
      </w:r>
    </w:p>
    <w:p w14:paraId="37EECD31" w14:textId="77777777" w:rsidR="008D479B" w:rsidRDefault="008D479B" w:rsidP="008D479B">
      <w:pPr>
        <w:pStyle w:val="TextoNormal"/>
      </w:pPr>
    </w:p>
    <w:p w14:paraId="0C5D2EF8" w14:textId="39D23535" w:rsidR="008D479B" w:rsidRDefault="008D479B" w:rsidP="008D479B">
      <w:pPr>
        <w:pStyle w:val="TextoNormal"/>
      </w:pPr>
      <w:r>
        <w:t>c) Frente a dicha sentencia la representación procesal de la entidad ahora recurrente en amparo interpuso recurso de casación, que fue inadmitido a trámite por providencia de la Sección Primera de la Sala de lo Contencioso-Administrativo del Tribunal Supremo de 23 de junio de 2021 por pérdida sobrevenida en el recurso de interés casacional objetivo para la formación de jurisprudencia a la vista de las SSTS de 25 y 26 de noviembre de 2020 y de 14 de diciembre de 2020.</w:t>
      </w:r>
    </w:p>
    <w:p w14:paraId="29D8A74C" w14:textId="77777777" w:rsidR="008D479B" w:rsidRDefault="008D479B" w:rsidP="008D479B">
      <w:pPr>
        <w:pStyle w:val="TextoNormal"/>
      </w:pPr>
    </w:p>
    <w:p w14:paraId="55DFD2D3" w14:textId="77777777" w:rsidR="008D479B" w:rsidRDefault="008D479B" w:rsidP="008D479B">
      <w:pPr>
        <w:pStyle w:val="TextoNormal"/>
      </w:pPr>
      <w:r w:rsidRPr="008D479B">
        <w:rPr>
          <w:rStyle w:val="NumeroAFNegritaCaracter"/>
        </w:rPr>
        <w:t>3</w:t>
      </w:r>
      <w:r>
        <w:t>. En la demanda de amparo se alegan las siguientes vulneraciones constitucionales:</w:t>
      </w:r>
    </w:p>
    <w:p w14:paraId="6C619301" w14:textId="77777777" w:rsidR="008D479B" w:rsidRDefault="008D479B" w:rsidP="008D479B">
      <w:pPr>
        <w:pStyle w:val="TextoNormal"/>
      </w:pPr>
    </w:p>
    <w:p w14:paraId="0A1186FA" w14:textId="77777777" w:rsidR="008D479B" w:rsidRDefault="008D479B" w:rsidP="008D479B">
      <w:pPr>
        <w:pStyle w:val="TextoNormal"/>
      </w:pPr>
      <w:r>
        <w:t>a) Afirma que la negativa a convocar un concurso público por parte del Gobierno de la Comunidad Autónoma de la Región de Murcia amparándose en el transcurso de un plazo imputable a su propia inactividad y el consiguiente decaimiento de la planificación del espacio radioeléctrico ha imposibilitado el ejercicio de los derechos fundamentales a la libertad de información, comunicación y expresión, en relación con el art. 14 CE, en concreto, de su derecho a crear los medios de comunicación indispensables para el ejercicio del derecho a expresar y difundir libremente los pensamientos, ideas y opiniones mediante la palabra, el escrito o cualquier otro medio de reproducción [art. 20.1 a) CE] y a comunicar o recibir libremente información veraz por cualquier medio de difusión [art. 20.1 d) CE]. Entiende que prevalece el deber de convocar el concurso de adjudicación [art. 27.2 de la Ley general de la comunicación audiovisual (LGCA)] sobre el eventual decaimiento de la reserva del espectro radioeléctrico (art. 27.4 LGCA) por lo que ha sido la inacción de la administración pública la causante de que no se haya aprovechado el espectro que el Estado ha otorgado a la comunidad autónoma, lo que invalida el acto recurrido por ser contrario a los derechos invocados. Alega que otras comunidades autónomas han convocado los concursos de licencias más allá del plazo establecido y que la negativa a convocar los concursos de adjudicación de licencias vacantes es incompatible con la Directiva 2018/1972, de 11 de diciembre, por la que se establece el Código europeo de las comunicaciones electrónicas, por crear barreras de acceso al mercado e inutilizar el espectro radioeléctrico.</w:t>
      </w:r>
    </w:p>
    <w:p w14:paraId="3F2F7970" w14:textId="77777777" w:rsidR="008D479B" w:rsidRDefault="008D479B" w:rsidP="008D479B">
      <w:pPr>
        <w:pStyle w:val="TextoNormal"/>
      </w:pPr>
    </w:p>
    <w:p w14:paraId="685F640F" w14:textId="77777777" w:rsidR="008D479B" w:rsidRDefault="008D479B" w:rsidP="008D479B">
      <w:pPr>
        <w:pStyle w:val="TextoNormal"/>
      </w:pPr>
      <w:r>
        <w:t>Sostiene también que existe una patente contradicción entre las sentencias del Tribunal Supremo al diferenciar incorrectamente entre licencias de televisión digital y licencias de radiodifusión digital para la protección de los derechos fundamentales.</w:t>
      </w:r>
    </w:p>
    <w:p w14:paraId="29BE5926" w14:textId="77777777" w:rsidR="008D479B" w:rsidRDefault="008D479B" w:rsidP="008D479B">
      <w:pPr>
        <w:pStyle w:val="TextoNormal"/>
      </w:pPr>
    </w:p>
    <w:p w14:paraId="703E9E82" w14:textId="77777777" w:rsidR="008D479B" w:rsidRDefault="008D479B" w:rsidP="008D479B">
      <w:pPr>
        <w:pStyle w:val="TextoNormal"/>
      </w:pPr>
      <w:r>
        <w:t xml:space="preserve">Añade, en fin, que la negativa a conceder una licencia de radiodifusión infringe el art. 10, apartado 1, del Convenio europeo de derechos humanos (CEDH) y cita las resoluciones del Tribunal Europeo de Derechos Humanos de 20 de octubre de 1997, asunto </w:t>
      </w:r>
      <w:r w:rsidRPr="008D479B">
        <w:rPr>
          <w:i/>
        </w:rPr>
        <w:t>Radio ABC c. Austria</w:t>
      </w:r>
      <w:r>
        <w:t xml:space="preserve">; de 23 de noviembre de 1999, asunto </w:t>
      </w:r>
      <w:r w:rsidRPr="008D479B">
        <w:rPr>
          <w:i/>
        </w:rPr>
        <w:t>Leveque c. Francia</w:t>
      </w:r>
      <w:r>
        <w:t xml:space="preserve">; de 7 de noviembre de 2000, asunto </w:t>
      </w:r>
      <w:r w:rsidRPr="008D479B">
        <w:rPr>
          <w:i/>
        </w:rPr>
        <w:t>United Christian Broadcasters Ltd. c. Reino Unido</w:t>
      </w:r>
      <w:r>
        <w:t xml:space="preserve">; de 11 de octubre de 2007, asunto </w:t>
      </w:r>
      <w:r w:rsidRPr="008D479B">
        <w:rPr>
          <w:i/>
        </w:rPr>
        <w:t>Glas Nadejda EOOD y Elenkov c. Bulgaria</w:t>
      </w:r>
      <w:r>
        <w:t xml:space="preserve">; de 17 de junio de 2008, asunto </w:t>
      </w:r>
      <w:r w:rsidRPr="008D479B">
        <w:rPr>
          <w:i/>
        </w:rPr>
        <w:t>Meltex Ltd. y Movsessian c. Armenia</w:t>
      </w:r>
      <w:r>
        <w:t xml:space="preserve">, así como el dictamen del Comité de Derechos Humanos de Naciones Unidas, de 27 de octubre de 2016, en el caso </w:t>
      </w:r>
      <w:r w:rsidRPr="008D479B">
        <w:rPr>
          <w:i/>
        </w:rPr>
        <w:t>Azagade c. Azerbaiyán</w:t>
      </w:r>
      <w:r>
        <w:t>.</w:t>
      </w:r>
    </w:p>
    <w:p w14:paraId="062448E7" w14:textId="77777777" w:rsidR="008D479B" w:rsidRDefault="008D479B" w:rsidP="008D479B">
      <w:pPr>
        <w:pStyle w:val="TextoNormal"/>
      </w:pPr>
    </w:p>
    <w:p w14:paraId="71E206A6" w14:textId="765AB2DE" w:rsidR="008D479B" w:rsidRDefault="008D479B" w:rsidP="008D479B">
      <w:pPr>
        <w:pStyle w:val="TextoNormal"/>
      </w:pPr>
      <w:r>
        <w:t>b) En segundo lugar, considera vulnerado el derecho a la igualdad (art. 14 CE), al haberse convocado en otras comunidades autónomas concursos públicos de licencias de comunicación audiovisual. Mantiene que el art. 27.4 LGCA, al tener la consideración de normativa básica, debe aplicarse de forma similar en todo el territorio estatal y la dispar interpretación efectuada por las distintas comunidades autónomas, a juicio de la entidad recurrente, lesiona el art. 14 CE.</w:t>
      </w:r>
    </w:p>
    <w:p w14:paraId="09DC3123" w14:textId="77777777" w:rsidR="008D479B" w:rsidRDefault="008D479B" w:rsidP="008D479B">
      <w:pPr>
        <w:pStyle w:val="TextoNormal"/>
      </w:pPr>
    </w:p>
    <w:p w14:paraId="75A90296" w14:textId="1E78006C" w:rsidR="008D479B" w:rsidRDefault="008D479B" w:rsidP="008D479B">
      <w:pPr>
        <w:pStyle w:val="TextoNormal"/>
      </w:pPr>
      <w:r w:rsidRPr="008D479B">
        <w:rPr>
          <w:rStyle w:val="NumeroAFNegritaCaracter"/>
        </w:rPr>
        <w:t>4</w:t>
      </w:r>
      <w:r>
        <w:t>. Por providencia de 24 de octubre de 2022, la Sección Segunda del Tribunal Constitucional acordó admitir a trámite la demanda de amparo, al apreciar que concurría en la misma una especial trascendencia constitucional [art. 50.1 de la Ley Orgánica del Tribunal Constitucional (LOTC)] porque el recurso podía dar ocasión al Tribunal para aclarar o cambiar su doctrina, como consecuencia de un proceso de reflexión interna [STC 155/2009, de 25 de junio, FJ 2 b)] y el asunto suscitado trascendía del caso concreto porque plantea una cuestión jurídica de relevante y general repercusión social o económica [STC 155/2009, FJ 2 g)].</w:t>
      </w:r>
    </w:p>
    <w:p w14:paraId="450233EA" w14:textId="77777777" w:rsidR="008D479B" w:rsidRDefault="008D479B" w:rsidP="008D479B">
      <w:pPr>
        <w:pStyle w:val="TextoNormal"/>
      </w:pPr>
    </w:p>
    <w:p w14:paraId="74B517DD" w14:textId="4C963AB3" w:rsidR="008D479B" w:rsidRDefault="008D479B" w:rsidP="008D479B">
      <w:pPr>
        <w:pStyle w:val="TextoNormal"/>
      </w:pPr>
      <w:r w:rsidRPr="008D479B">
        <w:rPr>
          <w:rStyle w:val="NumeroAFNegritaCaracter"/>
        </w:rPr>
        <w:t>5</w:t>
      </w:r>
      <w:r>
        <w:t>. Por diligencia de ordenación de la Secretaría de Justicia de la Sección se tuvo por personada a la Comunidad Autónoma de la Región de Murcia. Y, a tenor de lo dispuesto en el art. 52 LOTC, se dio vista de las actuaciones, por un plazo común de veinte días, al Ministerio Fiscal y a las partes personadas para que dentro de dicho término pudieran presentar las alegaciones que a su derecho conviniera.</w:t>
      </w:r>
    </w:p>
    <w:p w14:paraId="2FEA5988" w14:textId="77777777" w:rsidR="008D479B" w:rsidRDefault="008D479B" w:rsidP="008D479B">
      <w:pPr>
        <w:pStyle w:val="TextoNormal"/>
      </w:pPr>
    </w:p>
    <w:p w14:paraId="6F26AC7A" w14:textId="402DFE5C" w:rsidR="008D479B" w:rsidRDefault="008D479B" w:rsidP="008D479B">
      <w:pPr>
        <w:pStyle w:val="TextoNormal"/>
      </w:pPr>
      <w:r w:rsidRPr="008D479B">
        <w:rPr>
          <w:rStyle w:val="NumeroAFNegritaCaracter"/>
        </w:rPr>
        <w:t>6</w:t>
      </w:r>
      <w:r>
        <w:t>. La Comunidad Autónoma de la Región de Murcia, con la representación y asistencia de letrado de su servicio jurídico, presentó sus alegaciones mediante escrito registrado el 5 de enero de 2023. Alega como causas de inadmisibilidad la falta de legitimación activa de la asociación recurrente en amparo y la carencia de especial trascendencia constitucional del recurso. Interesa, subsidiariamente, su desestimación al rechazar que se hayan vulnerado los derechos invocados en la demanda de amparo.</w:t>
      </w:r>
    </w:p>
    <w:p w14:paraId="446D0BEE" w14:textId="77777777" w:rsidR="008D479B" w:rsidRDefault="008D479B" w:rsidP="008D479B">
      <w:pPr>
        <w:pStyle w:val="TextoNormal"/>
      </w:pPr>
    </w:p>
    <w:p w14:paraId="21CD32F6" w14:textId="5828D48B" w:rsidR="008D479B" w:rsidRDefault="008D479B" w:rsidP="008D479B">
      <w:pPr>
        <w:pStyle w:val="TextoNormal"/>
      </w:pPr>
      <w:r w:rsidRPr="008D479B">
        <w:rPr>
          <w:rStyle w:val="NumeroAFNegritaCaracter"/>
        </w:rPr>
        <w:t>7</w:t>
      </w:r>
      <w:r>
        <w:t>. La demandante de amparo presentó sus alegaciones mediante escrito registrado el 16 de enero de 2023 en el que reiteraba los argumentos expuestos en la demanda.</w:t>
      </w:r>
    </w:p>
    <w:p w14:paraId="7F4098F6" w14:textId="77777777" w:rsidR="008D479B" w:rsidRDefault="008D479B" w:rsidP="008D479B">
      <w:pPr>
        <w:pStyle w:val="TextoNormal"/>
      </w:pPr>
    </w:p>
    <w:p w14:paraId="68EB8614" w14:textId="77777777" w:rsidR="008D479B" w:rsidRDefault="008D479B" w:rsidP="008D479B">
      <w:pPr>
        <w:pStyle w:val="TextoNormal"/>
      </w:pPr>
      <w:r w:rsidRPr="008D479B">
        <w:rPr>
          <w:rStyle w:val="NumeroAFNegritaCaracter"/>
        </w:rPr>
        <w:t>8</w:t>
      </w:r>
      <w:r>
        <w:t>. El Ministerio Fiscal presentó sus alegaciones mediante escrito registrado el 3 de febrero de 2023 en el que solicita la desestimación del recurso de amparo.</w:t>
      </w:r>
    </w:p>
    <w:p w14:paraId="08CB9280" w14:textId="77777777" w:rsidR="008D479B" w:rsidRDefault="008D479B" w:rsidP="008D479B">
      <w:pPr>
        <w:pStyle w:val="TextoNormal"/>
      </w:pPr>
    </w:p>
    <w:p w14:paraId="64C07D78" w14:textId="77777777" w:rsidR="008D479B" w:rsidRDefault="008D479B" w:rsidP="008D479B">
      <w:pPr>
        <w:pStyle w:val="TextoNormal"/>
      </w:pPr>
      <w:r>
        <w:t>Descarta, en primer lugar, que se haya producido una vulneración del art. 14 CE, al no existir el término válido de comparación exigido para que se produzca la vulneración, pues no se han dictado las resoluciones por los mismos órganos, ni en el caso del reproche dirigido al Tribunal Supremo concurre la identidad de supuestos exigida.</w:t>
      </w:r>
    </w:p>
    <w:p w14:paraId="053FC425" w14:textId="77777777" w:rsidR="008D479B" w:rsidRDefault="008D479B" w:rsidP="008D479B">
      <w:pPr>
        <w:pStyle w:val="TextoNormal"/>
      </w:pPr>
    </w:p>
    <w:p w14:paraId="0F419515" w14:textId="77777777" w:rsidR="008D479B" w:rsidRDefault="008D479B" w:rsidP="008D479B">
      <w:pPr>
        <w:pStyle w:val="TextoNormal"/>
      </w:pPr>
      <w:r>
        <w:t>Rechaza, asimismo, la vulneración del art. 20.1 a) y d) CE al existir una regulación normativa que establece el marco temporal de reserva del espacio radioeléctrico a los efectos de convocar los correspondientes concursos. Entiende que corresponde al legislador una mayor libertad de configuración normativa para disciplinar los soportes técnicos e instrumentos de comunicación, que la que posee al ordenar directamente los derechos fundamentales del art. 20.1 CE. De este modo las resoluciones administrativas y las sentencias que aplican la regulación establecida en este ámbito difícilmente pueden lesionar los derechos invocados.</w:t>
      </w:r>
    </w:p>
    <w:p w14:paraId="5C453B6F" w14:textId="77777777" w:rsidR="008D479B" w:rsidRDefault="008D479B" w:rsidP="008D479B">
      <w:pPr>
        <w:pStyle w:val="TextoNormal"/>
      </w:pPr>
    </w:p>
    <w:p w14:paraId="654250AE" w14:textId="6403C1EF" w:rsidR="008D479B" w:rsidRDefault="008D479B" w:rsidP="008D479B">
      <w:pPr>
        <w:pStyle w:val="TextoNormal"/>
      </w:pPr>
      <w:r>
        <w:t xml:space="preserve">Finalmente, considera que las resoluciones del Tribunal Europeo de Derechos Humanos citadas no son aplicables por tratarse de decisiones de inadmisión o, en el caso de la STEDH de 20 de octubre de 1997, asunto </w:t>
      </w:r>
      <w:r w:rsidRPr="008D479B">
        <w:rPr>
          <w:i/>
        </w:rPr>
        <w:t>Radio</w:t>
      </w:r>
      <w:r>
        <w:t xml:space="preserve"> </w:t>
      </w:r>
      <w:r w:rsidRPr="008D479B">
        <w:rPr>
          <w:i/>
        </w:rPr>
        <w:t>ABC c. Austria</w:t>
      </w:r>
      <w:r>
        <w:t>, porque toda la actividad se subordinaba a una concesión del legislador federal que no se produjo, situación que se mantuvo durante tres periodos de tiempo, supuesto distinto al contemplado en la regulación española.</w:t>
      </w:r>
    </w:p>
    <w:p w14:paraId="02BE7C92" w14:textId="77777777" w:rsidR="008D479B" w:rsidRDefault="008D479B" w:rsidP="008D479B">
      <w:pPr>
        <w:pStyle w:val="TextoNormal"/>
      </w:pPr>
    </w:p>
    <w:p w14:paraId="62EF5A37" w14:textId="515671E9" w:rsidR="008D479B" w:rsidRDefault="008D479B" w:rsidP="008D479B">
      <w:pPr>
        <w:pStyle w:val="TextoNormal"/>
      </w:pPr>
      <w:r w:rsidRPr="008D479B">
        <w:rPr>
          <w:rStyle w:val="NumeroAFNegritaCaracter"/>
        </w:rPr>
        <w:t>9</w:t>
      </w:r>
      <w:r>
        <w:t>. El 9 de febrero de 2023 el magistrado don César Tolosa Tribiño presentó escrito en el que, conforme a lo dispuesto en el art. 217 de la Ley Orgánica del Poder Judicial, comunicó a la Sala Segunda de este tribunal, por conducto de su presidenta, su decisión de abstenerse del conocimiento del presente recurso de amparo. La Sala Segunda, mediante ATC 57/2023, de 20 de febrero, estimó justificada la causa de abstención y el citado magistrado quedó apartado definitivamente del recurso de amparo núm. 4568-2021 y de todas sus incidencias.</w:t>
      </w:r>
    </w:p>
    <w:p w14:paraId="0FCC147F" w14:textId="77777777" w:rsidR="008D479B" w:rsidRDefault="008D479B" w:rsidP="008D479B">
      <w:pPr>
        <w:pStyle w:val="TextoNormal"/>
      </w:pPr>
    </w:p>
    <w:p w14:paraId="2D1051CF" w14:textId="661F2CB7" w:rsidR="008D479B" w:rsidRDefault="008D479B" w:rsidP="008D479B">
      <w:pPr>
        <w:pStyle w:val="TextoNormal"/>
      </w:pPr>
      <w:r w:rsidRPr="008D479B">
        <w:rPr>
          <w:rStyle w:val="NumeroAFNegritaCaracter"/>
        </w:rPr>
        <w:t>10</w:t>
      </w:r>
      <w:r>
        <w:t>. Por providencia de 21 de septiembre de 2023 se señaló para la deliberación y votación de la presente sentencia el día 25 de septiembre de 2023.</w:t>
      </w:r>
    </w:p>
    <w:p w14:paraId="7E07BC6D" w14:textId="77777777" w:rsidR="008D479B" w:rsidRDefault="008D479B" w:rsidP="008D479B">
      <w:pPr>
        <w:pStyle w:val="TextoNormal"/>
      </w:pPr>
    </w:p>
    <w:p w14:paraId="7086A870" w14:textId="77777777" w:rsidR="008D479B" w:rsidRDefault="008D479B" w:rsidP="008D479B">
      <w:pPr>
        <w:pStyle w:val="TextoNormalNegritaCentrado"/>
        <w:keepNext/>
      </w:pPr>
      <w:r>
        <w:t>II. Fundamentos jurídicos</w:t>
      </w:r>
    </w:p>
    <w:p w14:paraId="3B19C0C6" w14:textId="6605331C" w:rsidR="008D479B" w:rsidRDefault="008D479B" w:rsidP="008D479B">
      <w:pPr>
        <w:pStyle w:val="TextoNormalNegritaCentrado"/>
        <w:keepNext/>
      </w:pPr>
    </w:p>
    <w:p w14:paraId="37BA39CF" w14:textId="77777777" w:rsidR="008D479B" w:rsidRDefault="008D479B" w:rsidP="008D479B">
      <w:pPr>
        <w:pStyle w:val="TextoNormal"/>
      </w:pPr>
      <w:r w:rsidRPr="008D479B">
        <w:rPr>
          <w:rStyle w:val="NumeroAFNegritaCaracter"/>
        </w:rPr>
        <w:t>1</w:t>
      </w:r>
      <w:r>
        <w:t xml:space="preserve">. </w:t>
      </w:r>
      <w:r w:rsidRPr="008D479B">
        <w:rPr>
          <w:i/>
        </w:rPr>
        <w:t>Objeto del recurso</w:t>
      </w:r>
    </w:p>
    <w:p w14:paraId="3E9295C4" w14:textId="77777777" w:rsidR="008D479B" w:rsidRDefault="008D479B" w:rsidP="008D479B">
      <w:pPr>
        <w:pStyle w:val="TextoNormal"/>
      </w:pPr>
    </w:p>
    <w:p w14:paraId="34EC04A0" w14:textId="51F87122" w:rsidR="008D479B" w:rsidRDefault="008D479B" w:rsidP="008D479B">
      <w:pPr>
        <w:pStyle w:val="TextoNormal"/>
      </w:pPr>
      <w:r>
        <w:t>El objeto de este recurso es determinar si la desestimación presunta del recurso de alzada planteado el 21 de diciembre de 2018 ante la Consejería de Hacienda y Administraciones Públicas de la Región de Murcia, contra la desestimación presunta de la solicitud de convocatoria de concurso de licencias audiovisuales de radiodifusión sonora digital disponibles en la citada comunidad autónoma, vulnera los derechos fundamentales a la libertad de información, comunicación y expresión [art. 20.1 a) y d) CE], en relación con el art. 14 CE.</w:t>
      </w:r>
    </w:p>
    <w:p w14:paraId="33AC0DD3" w14:textId="77777777" w:rsidR="008D479B" w:rsidRDefault="008D479B" w:rsidP="008D479B">
      <w:pPr>
        <w:pStyle w:val="TextoNormal"/>
      </w:pPr>
    </w:p>
    <w:p w14:paraId="41E22232" w14:textId="77777777" w:rsidR="008D479B" w:rsidRDefault="008D479B" w:rsidP="008D479B">
      <w:pPr>
        <w:pStyle w:val="TextoNormal"/>
      </w:pPr>
      <w:r w:rsidRPr="008D479B">
        <w:rPr>
          <w:rStyle w:val="NumeroAFNegritaCaracter"/>
        </w:rPr>
        <w:t>2</w:t>
      </w:r>
      <w:r>
        <w:t xml:space="preserve">. </w:t>
      </w:r>
      <w:r w:rsidRPr="008D479B">
        <w:rPr>
          <w:i/>
        </w:rPr>
        <w:t>Cuestiones previas: falta de legitimación activa de la asociación recurrente y justificación de la especial trascendencia constitucional</w:t>
      </w:r>
    </w:p>
    <w:p w14:paraId="00C05234" w14:textId="77777777" w:rsidR="008D479B" w:rsidRDefault="008D479B" w:rsidP="008D479B">
      <w:pPr>
        <w:pStyle w:val="TextoNormal"/>
      </w:pPr>
    </w:p>
    <w:p w14:paraId="6E045C94" w14:textId="77777777" w:rsidR="008D479B" w:rsidRDefault="008D479B" w:rsidP="008D479B">
      <w:pPr>
        <w:pStyle w:val="TextoNormal"/>
      </w:pPr>
      <w:r>
        <w:t>En primer lugar, como se ha indicado en los antecedentes, la Región de Murcia alega como causa de inadmisibilidad del recurso la falta de legitimación activa de la asociación recurrente para impugnar en amparo. Esta alegación no puede prosperar. En el presente caso quien acude en amparo actúa en su propio nombre y representación, al ser la directamente perjudicada por la actuación administrativa, estando legitimada para interponer el recurso de amparo constitucional.</w:t>
      </w:r>
    </w:p>
    <w:p w14:paraId="69B8369A" w14:textId="77777777" w:rsidR="008D479B" w:rsidRDefault="008D479B" w:rsidP="008D479B">
      <w:pPr>
        <w:pStyle w:val="TextoNormal"/>
      </w:pPr>
    </w:p>
    <w:p w14:paraId="5C11BF9D" w14:textId="73FB729F" w:rsidR="008D479B" w:rsidRDefault="008D479B" w:rsidP="008D479B">
      <w:pPr>
        <w:pStyle w:val="TextoNormal"/>
      </w:pPr>
      <w:r>
        <w:t>También se aduce que el recurso ha de ser inadmitido por carecer de especial trascendencia constitucional. De acuerdo con la doctrina constitucional, corresponde únicamente al Tribunal apreciar en cada caso, en el momento de admitir a trámite el recurso de amparo, si este tiene especial trascendencia constitucional, de acuerdo con lo exigido por el art. 50.1 LOTC (así, SSTC 155/2020, de 4 de noviembre, FJ 2; 43/2022, de 21 de marzo, FJ 2, y 13/2023, de 6 de marzo, FJ 2, entre otras muchas). En consecuencia, esta causa de inadmisión ha de rechazarse.</w:t>
      </w:r>
    </w:p>
    <w:p w14:paraId="2CEEA758" w14:textId="77777777" w:rsidR="008D479B" w:rsidRDefault="008D479B" w:rsidP="008D479B">
      <w:pPr>
        <w:pStyle w:val="TextoNormal"/>
      </w:pPr>
    </w:p>
    <w:p w14:paraId="5593F79B" w14:textId="77777777" w:rsidR="008D479B" w:rsidRDefault="008D479B" w:rsidP="008D479B">
      <w:pPr>
        <w:pStyle w:val="TextoNormal"/>
      </w:pPr>
      <w:r w:rsidRPr="008D479B">
        <w:rPr>
          <w:rStyle w:val="NumeroAFNegritaCaracter"/>
        </w:rPr>
        <w:t>3</w:t>
      </w:r>
      <w:r>
        <w:t xml:space="preserve">. </w:t>
      </w:r>
      <w:r w:rsidRPr="008D479B">
        <w:rPr>
          <w:i/>
        </w:rPr>
        <w:t>Remisión a lo resuelto en la STC 89/2023, de 18 de julio</w:t>
      </w:r>
    </w:p>
    <w:p w14:paraId="0AECC820" w14:textId="77777777" w:rsidR="008D479B" w:rsidRDefault="008D479B" w:rsidP="008D479B">
      <w:pPr>
        <w:pStyle w:val="TextoNormal"/>
      </w:pPr>
    </w:p>
    <w:p w14:paraId="634CD33D" w14:textId="1FDCA5CD" w:rsidR="008D479B" w:rsidRDefault="008D479B" w:rsidP="008D479B">
      <w:pPr>
        <w:pStyle w:val="TextoNormal"/>
      </w:pPr>
      <w:r>
        <w:t>El problema constitucional que se plantea en este proceso de amparo es coincidente con el resuelto en la STC 89/2023, de 18 de julio, que excluyó que la actuación administrativa impugnada, en cuanto denegó la convocatoria del concurso solicitado para la concesión de licencias de prestación de servicios audiovisuales, vulnerara los derechos a expresar y difundir libremente los pensamientos, ideas y opiniones mediante la palabra, el escrito o cualquier otro medio de reproducción [art. 20.1 a) CE] y a comunicar o recibir libremente información veraz por cualquier medio de difusión [art. 20.1 d) CE], en relación con el principio de igualdad (art. 14 CE), lo que determina que, por idénticas razones, proceda desestimar el presente recurso de amparo.</w:t>
      </w:r>
    </w:p>
    <w:p w14:paraId="745FDFFC" w14:textId="77777777" w:rsidR="008D479B" w:rsidRDefault="008D479B" w:rsidP="008D479B">
      <w:pPr>
        <w:pStyle w:val="TextoNormal"/>
      </w:pPr>
    </w:p>
    <w:p w14:paraId="6A9CF227" w14:textId="77777777" w:rsidR="008D479B" w:rsidRDefault="008D479B" w:rsidP="008D479B">
      <w:pPr>
        <w:pStyle w:val="TextoNormalCentrado"/>
        <w:keepNext/>
      </w:pPr>
      <w:r>
        <w:t>FALLO</w:t>
      </w:r>
    </w:p>
    <w:p w14:paraId="0C4A92F3" w14:textId="23F434DE" w:rsidR="008D479B" w:rsidRDefault="008D479B" w:rsidP="008D479B">
      <w:pPr>
        <w:pStyle w:val="TextoNormalCentrado"/>
        <w:keepNext/>
      </w:pPr>
    </w:p>
    <w:p w14:paraId="77AC3B4E" w14:textId="256C1520" w:rsidR="008D479B" w:rsidRDefault="008D479B" w:rsidP="008D479B">
      <w:pPr>
        <w:pStyle w:val="TextoNormal"/>
      </w:pPr>
      <w:r>
        <w:t>En atención a todo lo expuesto, el Tribunal Constitucional, por la autoridad que le confiere la Constitución de la Nación española, ha decidido desestimar el recurso de amparo interpuesto por la Asociación Emplazamientos y Comunicaciones Nueva Esperanza.</w:t>
      </w:r>
    </w:p>
    <w:p w14:paraId="64BCB36C" w14:textId="77777777" w:rsidR="008D479B" w:rsidRDefault="008D479B" w:rsidP="008D479B">
      <w:pPr>
        <w:pStyle w:val="TextoNormal"/>
      </w:pPr>
    </w:p>
    <w:p w14:paraId="336FE741" w14:textId="77777777" w:rsidR="008D479B" w:rsidRDefault="008D479B" w:rsidP="008D479B">
      <w:pPr>
        <w:pStyle w:val="TextoNormal"/>
      </w:pPr>
      <w:r>
        <w:t>Publíquese esta sentencia en el “Boletín Oficial del Estado”.</w:t>
      </w:r>
    </w:p>
    <w:p w14:paraId="24304451" w14:textId="77777777" w:rsidR="008D479B" w:rsidRDefault="008D479B" w:rsidP="008D479B">
      <w:pPr>
        <w:pStyle w:val="TextoNormal"/>
      </w:pPr>
      <w:r>
        <w:t>Dada en Madrid, a veinticinco de septiembre de dos mil veintitrés.</w:t>
      </w:r>
    </w:p>
    <w:p w14:paraId="3B35A412" w14:textId="6707756A" w:rsidR="008D479B" w:rsidRDefault="008D479B" w:rsidP="008D479B">
      <w:pPr>
        <w:pStyle w:val="ParrafoNormal"/>
      </w:pPr>
    </w:p>
    <w:p w14:paraId="566E8E31" w14:textId="77777777" w:rsidR="008D479B" w:rsidRDefault="008D479B" w:rsidP="008D479B">
      <w:pPr>
        <w:pStyle w:val="TextoNormalNegritaCentrado"/>
        <w:keepNext/>
      </w:pPr>
      <w:r>
        <w:t>Voto particular que formula la magistrada doña María Luisa Balaguer Callejón a la sentencia dictada en el recurso de amparo núm. 4568-2021</w:t>
      </w:r>
    </w:p>
    <w:p w14:paraId="2C7370C0" w14:textId="63B94A91" w:rsidR="008D479B" w:rsidRDefault="008D479B" w:rsidP="008D479B">
      <w:pPr>
        <w:pStyle w:val="TextoNormalNegritaCentrado"/>
        <w:keepNext/>
      </w:pPr>
    </w:p>
    <w:p w14:paraId="433C0511" w14:textId="0D190BF3" w:rsidR="008D479B" w:rsidRDefault="008D479B" w:rsidP="008D479B">
      <w:pPr>
        <w:pStyle w:val="TextoNormal"/>
      </w:pPr>
      <w:r>
        <w:t>Con el mayor respeto al criterio reflejado en la sentencia a que se refiere el encabezamiento y, en ejercicio de la facultad que me confiere el art. 90.2 de la Ley Orgánica del Tribunal Constitucional, manifiesto mi discrepancia con la argumentación y fallo de la sentencia aprobada por la Sala. Por ello, me remito, en su totalidad, al voto particular que realicé a la STC 89/2023, de 18 de julio. Madrid, a veinticinco de septiembre de dos mil veintitrés.</w:t>
      </w:r>
    </w:p>
    <w:p w14:paraId="4015356D" w14:textId="08AF6341" w:rsidR="008D479B" w:rsidRDefault="008D479B">
      <w:pPr>
        <w:spacing w:after="160" w:line="278" w:lineRule="auto"/>
        <w:rPr>
          <w:rFonts w:ascii="Times New Roman" w:eastAsia="Times New Roman" w:hAnsi="Times New Roman" w:cs="Times New Roman"/>
          <w:sz w:val="24"/>
          <w:szCs w:val="24"/>
          <w:lang w:eastAsia="es-ES"/>
        </w:rPr>
      </w:pPr>
      <w:r>
        <w:br w:type="page"/>
      </w:r>
    </w:p>
    <w:p w14:paraId="394ACA1A" w14:textId="77777777" w:rsidR="008D479B" w:rsidRDefault="008D479B" w:rsidP="008D479B">
      <w:pPr>
        <w:pStyle w:val="TtuloResolucin"/>
      </w:pPr>
      <w:bookmarkStart w:id="44" w:name="SENTENCIA_2023_119"/>
      <w:r>
        <w:t>SENTENCIA 119/2023, de 25 de septiembre de 2023</w:t>
      </w:r>
    </w:p>
    <w:bookmarkEnd w:id="44"/>
    <w:p w14:paraId="41401421" w14:textId="77777777" w:rsidR="008D479B" w:rsidRDefault="008D479B" w:rsidP="008D479B">
      <w:pPr>
        <w:pStyle w:val="TtuloResolucin"/>
      </w:pPr>
      <w:r>
        <w:t>Sala Primera</w:t>
      </w:r>
    </w:p>
    <w:p w14:paraId="44B37BB3" w14:textId="77777777" w:rsidR="008D479B" w:rsidRDefault="008D479B" w:rsidP="008D479B">
      <w:pPr>
        <w:pStyle w:val="TtuloBOE"/>
      </w:pPr>
      <w:r>
        <w:t>(BOE núm. 261, de 1 de noviembre de 2023)</w:t>
      </w:r>
    </w:p>
    <w:p w14:paraId="76442FA2" w14:textId="77777777" w:rsidR="008D479B" w:rsidRDefault="008D479B" w:rsidP="008D479B">
      <w:pPr>
        <w:pStyle w:val="TextoNormalCentrado"/>
      </w:pPr>
      <w:r>
        <w:t>ECLI:ES:TC:2023:119</w:t>
      </w:r>
    </w:p>
    <w:p w14:paraId="1372A9FB" w14:textId="30EFB01E" w:rsidR="008D479B" w:rsidRDefault="008D479B" w:rsidP="008D479B">
      <w:pPr>
        <w:pStyle w:val="TextoNormalCentrado"/>
      </w:pPr>
    </w:p>
    <w:p w14:paraId="40A5DB78" w14:textId="77777777" w:rsidR="008D479B" w:rsidRDefault="008D479B" w:rsidP="008D479B">
      <w:pPr>
        <w:pStyle w:val="SntesisDescriptiva"/>
      </w:pPr>
      <w:r>
        <w:t>Recurso de amparo 6464-2021. Promovido por Soninorte Producciones, S.L., respecto de las resoluciones de la respecto de los actos de la administración de la Comunidad Autónoma de Cantabria por los que rechazó su solicitud de convocatoria de concurso público para la adjudicación de licencias disponibles de comunicación audiovisual de radiodifusión sonora digital terrestre de ámbito local.</w:t>
      </w:r>
    </w:p>
    <w:p w14:paraId="17445147" w14:textId="1044F634" w:rsidR="008D479B" w:rsidRDefault="008D479B" w:rsidP="008D479B">
      <w:pPr>
        <w:pStyle w:val="SntesisDescriptiva"/>
      </w:pPr>
    </w:p>
    <w:p w14:paraId="0ED0280B" w14:textId="77777777" w:rsidR="008D479B" w:rsidRDefault="008D479B" w:rsidP="008D479B">
      <w:pPr>
        <w:pStyle w:val="SntesisAnaltica"/>
      </w:pPr>
      <w:r>
        <w:t>Supuesta vulneración del derecho a la igualdad y a las libertades de expresión e información: STC 89/2023 (resolución administrativa que no resulta desproporcionada y que viene impuesta por la inexistencia de reserva de dominio público radioeléctrico). Voto particular.</w:t>
      </w:r>
    </w:p>
    <w:p w14:paraId="5E9CF103" w14:textId="5EEEEB92" w:rsidR="008D479B" w:rsidRDefault="008D479B" w:rsidP="008D479B">
      <w:pPr>
        <w:pStyle w:val="SntesisAnaltica"/>
      </w:pPr>
    </w:p>
    <w:p w14:paraId="1C01F722" w14:textId="4F633C69" w:rsidR="008D479B" w:rsidRDefault="008D479B" w:rsidP="008D479B">
      <w:pPr>
        <w:pStyle w:val="Extracto"/>
      </w:pPr>
      <w:r>
        <w:t>1.</w:t>
      </w:r>
      <w:r>
        <w:tab/>
        <w:t xml:space="preserve">Remisión a la STC 89/2023 que declaró respetados los derechos a expresar y difundir libremente los pensamientos, ideas y opiniones, así como a comunicar o recibir libremente información veraz por cualquier medio de difusión, consagrados en el art. 20.1 a) y d) CE, en relación con el principio de igualdad reconocido en el art. 14 CE, por parte de la actuación administrativa denegatoria de convocatoria de concurso para la concesión de licencias de prestación de servicios audiovisuales </w:t>
      </w:r>
    </w:p>
    <w:p w14:paraId="0F8F8AB9" w14:textId="77777777" w:rsidR="008D479B" w:rsidRDefault="008D479B" w:rsidP="008D479B">
      <w:pPr>
        <w:pStyle w:val="Extracto"/>
      </w:pPr>
    </w:p>
    <w:p w14:paraId="1E0F3149" w14:textId="77777777" w:rsidR="008D479B" w:rsidRDefault="008D479B" w:rsidP="008D479B">
      <w:pPr>
        <w:pStyle w:val="Extracto"/>
      </w:pPr>
    </w:p>
    <w:p w14:paraId="0A4E1430" w14:textId="77777777" w:rsidR="008D479B" w:rsidRDefault="008D479B" w:rsidP="008D479B">
      <w:pPr>
        <w:pStyle w:val="TextoNormal"/>
      </w:pPr>
      <w:r>
        <w:t>La Sala Primera del Tribunal Constitucional, compuesta por el magistrado don Cándido Conde-Pumpido Tourón, presidente, y los magistrados y magistradas don Ricardo Enríquez Sancho, doña Concepción Espejel Jorquera, doña María Luisa Segoviano Astaburuaga y don Juan Carlos Campo Moreno, ha pronunciado</w:t>
      </w:r>
    </w:p>
    <w:p w14:paraId="56DBE3E0" w14:textId="4527289E" w:rsidR="008D479B" w:rsidRDefault="008D479B" w:rsidP="008D479B">
      <w:pPr>
        <w:pStyle w:val="TextoNormal"/>
      </w:pPr>
    </w:p>
    <w:p w14:paraId="5F2AEF99" w14:textId="77777777" w:rsidR="008D479B" w:rsidRDefault="008D479B" w:rsidP="008D479B">
      <w:pPr>
        <w:pStyle w:val="TextoNormalCentrado"/>
        <w:keepNext/>
      </w:pPr>
      <w:r>
        <w:t>EN NOMBRE DEL REY</w:t>
      </w:r>
    </w:p>
    <w:p w14:paraId="65CAB0B9" w14:textId="2BEA8632" w:rsidR="008D479B" w:rsidRDefault="008D479B" w:rsidP="008D479B">
      <w:pPr>
        <w:pStyle w:val="TextoNormalCentrado"/>
        <w:keepNext/>
      </w:pPr>
    </w:p>
    <w:p w14:paraId="058C535B" w14:textId="77777777" w:rsidR="008D479B" w:rsidRDefault="008D479B" w:rsidP="008D479B">
      <w:pPr>
        <w:pStyle w:val="TextoNormalCentrado"/>
        <w:keepNext/>
      </w:pPr>
    </w:p>
    <w:p w14:paraId="5602FD80" w14:textId="77777777" w:rsidR="008D479B" w:rsidRDefault="008D479B" w:rsidP="008D479B">
      <w:pPr>
        <w:pStyle w:val="TextoNormal"/>
      </w:pPr>
      <w:r>
        <w:t>la siguiente</w:t>
      </w:r>
    </w:p>
    <w:p w14:paraId="1530002A" w14:textId="6D83027A" w:rsidR="008D479B" w:rsidRDefault="008D479B" w:rsidP="008D479B">
      <w:pPr>
        <w:pStyle w:val="TextoNormal"/>
      </w:pPr>
    </w:p>
    <w:p w14:paraId="655ADD0E" w14:textId="77777777" w:rsidR="008D479B" w:rsidRDefault="008D479B" w:rsidP="008D479B">
      <w:pPr>
        <w:pStyle w:val="TextoNormalCentrado"/>
        <w:keepNext/>
      </w:pPr>
      <w:r>
        <w:t>SENTENCIA</w:t>
      </w:r>
    </w:p>
    <w:p w14:paraId="7674EA5F" w14:textId="7E503053" w:rsidR="008D479B" w:rsidRDefault="008D479B" w:rsidP="008D479B">
      <w:pPr>
        <w:pStyle w:val="TextoNormalCentrado"/>
        <w:keepNext/>
      </w:pPr>
    </w:p>
    <w:p w14:paraId="7939D378" w14:textId="77777777" w:rsidR="008D479B" w:rsidRDefault="008D479B" w:rsidP="008D479B">
      <w:pPr>
        <w:pStyle w:val="TextoNormal"/>
      </w:pPr>
      <w:r>
        <w:t>En el recurso de amparo número 6464-2021, promovido por Soninorte Producciones, S.L., representada por el procurador de los tribunales don José Carlos García Rodríguez y asistida por el abogado don Jaime Rodríguez Díez, contra la desestimación presunta del recurso de alzada presentado frente a la desestimación asimismo presunta de la solicitud de fecha 10 de agosto de 2018 de convocatoria de concurso público para el otorgamiento de licencias de comunicación audiovisual radiofónica digital en la Comunidad Autónoma de Cantabria. Ha comparecido la referida comunidad autónoma y ha intervenido el Ministerio Fiscal. Ha sido ponente la magistrada doña Concepción Espejel Jorquera.</w:t>
      </w:r>
    </w:p>
    <w:p w14:paraId="105161F6" w14:textId="0A83B16A" w:rsidR="008D479B" w:rsidRDefault="008D479B" w:rsidP="008D479B">
      <w:pPr>
        <w:pStyle w:val="TextoNormal"/>
      </w:pPr>
    </w:p>
    <w:p w14:paraId="48AC6A40" w14:textId="77777777" w:rsidR="008D479B" w:rsidRDefault="008D479B" w:rsidP="008D479B">
      <w:pPr>
        <w:pStyle w:val="TextoNormalNegritaCentrado"/>
        <w:keepNext/>
      </w:pPr>
      <w:r>
        <w:t>I. Antecedentes</w:t>
      </w:r>
    </w:p>
    <w:p w14:paraId="72A246F0" w14:textId="56885EDF" w:rsidR="008D479B" w:rsidRDefault="008D479B" w:rsidP="008D479B">
      <w:pPr>
        <w:pStyle w:val="TextoNormalNegritaCentrado"/>
        <w:keepNext/>
      </w:pPr>
    </w:p>
    <w:p w14:paraId="574E85B9" w14:textId="3E16964D" w:rsidR="008D479B" w:rsidRDefault="008D479B" w:rsidP="008D479B">
      <w:pPr>
        <w:pStyle w:val="TextoNormal"/>
      </w:pPr>
      <w:r w:rsidRPr="008D479B">
        <w:rPr>
          <w:rStyle w:val="NumeroAFNegritaCaracter"/>
        </w:rPr>
        <w:t>1</w:t>
      </w:r>
      <w:r>
        <w:t>. Mediante escrito presentado en el registro general de este tribunal el 11 de octubre de 2021, el procurador de los tribunales don José Carlos García Rodríguez, actuando en nombre y representación de Soninorte Producciones, S.L., bajo la defensa del letrado don Jaime Rodríguez Díez, interpuso demanda de amparo contra la desestimación presunta arriba mencionada.</w:t>
      </w:r>
    </w:p>
    <w:p w14:paraId="65879903" w14:textId="77777777" w:rsidR="008D479B" w:rsidRDefault="008D479B" w:rsidP="008D479B">
      <w:pPr>
        <w:pStyle w:val="TextoNormal"/>
      </w:pPr>
    </w:p>
    <w:p w14:paraId="0C9F8ED6" w14:textId="77777777" w:rsidR="008D479B" w:rsidRDefault="008D479B" w:rsidP="008D479B">
      <w:pPr>
        <w:pStyle w:val="TextoNormal"/>
      </w:pPr>
      <w:r w:rsidRPr="008D479B">
        <w:rPr>
          <w:rStyle w:val="NumeroAFNegritaCaracter"/>
        </w:rPr>
        <w:t>2</w:t>
      </w:r>
      <w:r>
        <w:t>. Los hechos con relevancia para la resolución del presente recurso de amparo y a los que se refiere la demanda presentada son los siguientes:</w:t>
      </w:r>
    </w:p>
    <w:p w14:paraId="49EF1FC5" w14:textId="77777777" w:rsidR="008D479B" w:rsidRDefault="008D479B" w:rsidP="008D479B">
      <w:pPr>
        <w:pStyle w:val="TextoNormal"/>
      </w:pPr>
    </w:p>
    <w:p w14:paraId="42B3CCFA" w14:textId="77777777" w:rsidR="008D479B" w:rsidRDefault="008D479B" w:rsidP="008D479B">
      <w:pPr>
        <w:pStyle w:val="TextoNormal"/>
      </w:pPr>
      <w:r>
        <w:t>a) La entidad Soninorte Producciones, S.L., interpuso recurso contencioso administrativo contra la desestimación presunta del recurso de alzada presentado frente a la desestimación asimismo presunta de su solicitud de fecha 10 de agosto de 2018 de convocatoria de concurso público para el otorgamiento de licencias de comunicación audiovisual radiofónica digital en la Comunidad Autónoma de Cantabria, ampliándolo posteriormente al acuerdo del Consejo de Gobierno de Cantabria de fecha 5 de diciembre de 2018, que confirma la desestimación del citado recurso de alzada.</w:t>
      </w:r>
    </w:p>
    <w:p w14:paraId="4789E4BE" w14:textId="77777777" w:rsidR="008D479B" w:rsidRDefault="008D479B" w:rsidP="008D479B">
      <w:pPr>
        <w:pStyle w:val="TextoNormal"/>
      </w:pPr>
    </w:p>
    <w:p w14:paraId="088756A7" w14:textId="77777777" w:rsidR="008D479B" w:rsidRDefault="008D479B" w:rsidP="008D479B">
      <w:pPr>
        <w:pStyle w:val="TextoNormal"/>
      </w:pPr>
      <w:r>
        <w:t>b) La Sala de lo Contencioso-Administrativo del Tribunal Superior de Justicia de Cantabria desestimó el recurso interpuesto por sentencia de 14 de abril de 2020 al concluir que declarada extinguida la planificación radioeléctrica no cabe exigir la convocatoria de las reservas de dominio público incluidas en la misma, sin que ello vulnere el carácter reglado que se confiere a la norma, el deber de convocar todas las licencias disponibles vacantes, el interés general o los derechos constitucionales a la libertad de expresión e información o a la libertad de empresa.</w:t>
      </w:r>
    </w:p>
    <w:p w14:paraId="5B28B253" w14:textId="77777777" w:rsidR="008D479B" w:rsidRDefault="008D479B" w:rsidP="008D479B">
      <w:pPr>
        <w:pStyle w:val="TextoNormal"/>
      </w:pPr>
    </w:p>
    <w:p w14:paraId="65E99467" w14:textId="211D42DF" w:rsidR="008D479B" w:rsidRDefault="008D479B" w:rsidP="008D479B">
      <w:pPr>
        <w:pStyle w:val="TextoNormal"/>
      </w:pPr>
      <w:r>
        <w:t>c) Frente a dicha sentencia la representación procesal de la mercantil ahora recurrente en amparo interpuso recurso de casación, que fue inadmitido a trámite por providencia de la Sección Primera de la Sala de lo Contencioso-Administrativo del Tribunal Supremo de 6 de octubre de 2021 por pérdida sobrevenida en el recurso de interés casacional objetivo para la formación de jurisprudencia a la vista de las SSTS de 25 y 26 de noviembre de 2020 y de 14 de diciembre de 2020.</w:t>
      </w:r>
    </w:p>
    <w:p w14:paraId="2AAE2918" w14:textId="77777777" w:rsidR="008D479B" w:rsidRDefault="008D479B" w:rsidP="008D479B">
      <w:pPr>
        <w:pStyle w:val="TextoNormal"/>
      </w:pPr>
    </w:p>
    <w:p w14:paraId="65D36292" w14:textId="77777777" w:rsidR="008D479B" w:rsidRDefault="008D479B" w:rsidP="008D479B">
      <w:pPr>
        <w:pStyle w:val="TextoNormal"/>
      </w:pPr>
      <w:r w:rsidRPr="008D479B">
        <w:rPr>
          <w:rStyle w:val="NumeroAFNegritaCaracter"/>
        </w:rPr>
        <w:t>3</w:t>
      </w:r>
      <w:r>
        <w:t>. En la demanda de amparo se alegan las siguientes vulneraciones constitucionales:</w:t>
      </w:r>
    </w:p>
    <w:p w14:paraId="40D0B55B" w14:textId="77777777" w:rsidR="008D479B" w:rsidRDefault="008D479B" w:rsidP="008D479B">
      <w:pPr>
        <w:pStyle w:val="TextoNormal"/>
      </w:pPr>
    </w:p>
    <w:p w14:paraId="7DE5AEB4" w14:textId="77777777" w:rsidR="008D479B" w:rsidRDefault="008D479B" w:rsidP="008D479B">
      <w:pPr>
        <w:pStyle w:val="TextoNormal"/>
      </w:pPr>
      <w:r>
        <w:t>a) Afirma que la negativa a convocar un concurso público por parte del Gobierno de la Comunidad Autónoma de Cantabria amparándose en el transcurso de un plazo imputable a su propia inactividad y el consiguiente decaimiento de la planificación del espacio radioeléctrico ha imposibilitado el ejercicio de los derechos fundamentales a la libertad de información, comunicación y expresión, en relación con el art. 14 CE, en concreto, de su derecho a crear los medios de comunicación indispensables para el ejercicio del derecho a expresar y difundir libremente los pensamientos, ideas y opiniones mediante la palabra, el escrito o cualquier otro medio de reproducción [art. 20.1 a) CE] y a comunicar o recibir libremente información veraz por cualquier medio de difusión [art. 20.1 d) CE]. Entiende que prevalece el deber de convocar el concurso de adjudicación [art. 27.2 de la Ley general de la comunicación audiovisual (LGCA)] sobre el eventual decaimiento de la reserva del espectro radioeléctrico (art. 27.4 LGCA) por lo que ha sido la inacción de la administración pública la causante de que no se haya aprovechado el espectro que el Estado ha otorgado a la comunidad autónoma, lo que invalida el acto recurrido por ser contrario a los derechos invocados. Alega que otras comunidades autónomas han convocado los concursos de licencias más allá del plazo establecido y que la negativa a convocar los concursos de adjudicación de licencias vacantes es incompatible con la Directiva 2018/1972, de 11 de diciembre, por la que se establece el Código europeo de las comunicaciones electrónicas, por crear barreras de acceso al mercado e inutilizar el espectro radioeléctrico.</w:t>
      </w:r>
    </w:p>
    <w:p w14:paraId="2408F05D" w14:textId="77777777" w:rsidR="008D479B" w:rsidRDefault="008D479B" w:rsidP="008D479B">
      <w:pPr>
        <w:pStyle w:val="TextoNormal"/>
      </w:pPr>
    </w:p>
    <w:p w14:paraId="2E037157" w14:textId="77777777" w:rsidR="008D479B" w:rsidRDefault="008D479B" w:rsidP="008D479B">
      <w:pPr>
        <w:pStyle w:val="TextoNormal"/>
      </w:pPr>
      <w:r>
        <w:t>Sostiene también que existe una patente contradicción entre las sentencias del Tribunal Supremo al diferenciar incorrectamente entre licencias de televisión digital y licencias de radiodifusión digital para la protección de los derechos fundamentales.</w:t>
      </w:r>
    </w:p>
    <w:p w14:paraId="444CC31D" w14:textId="77777777" w:rsidR="008D479B" w:rsidRDefault="008D479B" w:rsidP="008D479B">
      <w:pPr>
        <w:pStyle w:val="TextoNormal"/>
      </w:pPr>
    </w:p>
    <w:p w14:paraId="7BFE5503" w14:textId="77777777" w:rsidR="008D479B" w:rsidRDefault="008D479B" w:rsidP="008D479B">
      <w:pPr>
        <w:pStyle w:val="TextoNormal"/>
      </w:pPr>
      <w:r>
        <w:t xml:space="preserve">Añade, en fin, que la negativa a conceder una licencia de radiodifusión infringe el art. 10, apartado 1, del Convenio europeo de derechos humanos (CEDH) y cita las resoluciones del Tribunal Europeo de Derechos Humanos de 20 de octubre de 1997, asunto </w:t>
      </w:r>
      <w:r w:rsidRPr="008D479B">
        <w:rPr>
          <w:i/>
        </w:rPr>
        <w:t>Radio ABC c. Austria</w:t>
      </w:r>
      <w:r>
        <w:t xml:space="preserve">; de 23 de noviembre de 1999, asunto </w:t>
      </w:r>
      <w:r w:rsidRPr="008D479B">
        <w:rPr>
          <w:i/>
        </w:rPr>
        <w:t>Leveque c. Francia</w:t>
      </w:r>
      <w:r>
        <w:t xml:space="preserve">; de 7 de noviembre de 2000, asunto </w:t>
      </w:r>
      <w:r w:rsidRPr="008D479B">
        <w:rPr>
          <w:i/>
        </w:rPr>
        <w:t>United Christian Broadcasters Ltd. c. Reino Unido</w:t>
      </w:r>
      <w:r>
        <w:t xml:space="preserve">; de 11 de octubre de 2007, asunto </w:t>
      </w:r>
      <w:r w:rsidRPr="008D479B">
        <w:rPr>
          <w:i/>
        </w:rPr>
        <w:t>Glas Nadejda EOOD y Elenkov c. Bulgaria</w:t>
      </w:r>
      <w:r>
        <w:t xml:space="preserve">; de 17 de junio de 2008, asunto </w:t>
      </w:r>
      <w:r w:rsidRPr="008D479B">
        <w:rPr>
          <w:i/>
        </w:rPr>
        <w:t>Meltex Ltd. y Movsessian c. Armenia</w:t>
      </w:r>
      <w:r>
        <w:t xml:space="preserve">, así como el dictamen del Comité de Derechos Humanos de Naciones Unidas, de 27 de octubre de 2016, en el caso </w:t>
      </w:r>
      <w:r w:rsidRPr="008D479B">
        <w:rPr>
          <w:i/>
        </w:rPr>
        <w:t>Azagade c. Azerbaiyán</w:t>
      </w:r>
      <w:r>
        <w:t>.</w:t>
      </w:r>
    </w:p>
    <w:p w14:paraId="75E3B0FE" w14:textId="77777777" w:rsidR="008D479B" w:rsidRDefault="008D479B" w:rsidP="008D479B">
      <w:pPr>
        <w:pStyle w:val="TextoNormal"/>
      </w:pPr>
    </w:p>
    <w:p w14:paraId="0B2287A1" w14:textId="0F022F45" w:rsidR="008D479B" w:rsidRDefault="008D479B" w:rsidP="008D479B">
      <w:pPr>
        <w:pStyle w:val="TextoNormal"/>
      </w:pPr>
      <w:r>
        <w:t>b) En segundo lugar, considera vulnerado el derecho a la igualdad (art. 14 CE), al haberse convocado en otras comunidades autónomas concursos públicos de licencias de comunicación audiovisual. Mantiene que el art. 27.4 LGCA, al tener la consideración de normativa básica, debe aplicarse de forma similar en todo el territorio estatal y la dispar interpretación efectuada por las distintas comunidades autónomas, a juicio de la entidad recurrente, lesiona el art. 14 CE.</w:t>
      </w:r>
    </w:p>
    <w:p w14:paraId="540FF30C" w14:textId="77777777" w:rsidR="008D479B" w:rsidRDefault="008D479B" w:rsidP="008D479B">
      <w:pPr>
        <w:pStyle w:val="TextoNormal"/>
      </w:pPr>
    </w:p>
    <w:p w14:paraId="493737B3" w14:textId="77777777" w:rsidR="008D479B" w:rsidRDefault="008D479B" w:rsidP="008D479B">
      <w:pPr>
        <w:pStyle w:val="TextoNormal"/>
      </w:pPr>
      <w:r w:rsidRPr="008D479B">
        <w:rPr>
          <w:rStyle w:val="NumeroAFNegritaCaracter"/>
        </w:rPr>
        <w:t>4</w:t>
      </w:r>
      <w:r>
        <w:t>. Por providencia de 10 de octubre de 2022, la Sección Tercera del Tribunal Constitucional acordó admitir a trámite la demanda de amparo, al apreciar que concurría en la misma una especial trascendencia constitucional [art. 50.1 de la Ley Orgánica del Tribunal Constitucional (LOTC)] porque el recurso podía dar ocasión al Tribunal para aclarar o cambiar su doctrina, como consecuencia de un proceso de reflexión interna [STC 155/2009, de 25 de junio, FJ 2 b)] y el asunto suscitado trascendía del caso concreto porque plantea una cuestión jurídica de relevante y general repercusión social o económica [STC 155/2009, FJ 2 g)].</w:t>
      </w:r>
    </w:p>
    <w:p w14:paraId="24096D5A" w14:textId="77777777" w:rsidR="008D479B" w:rsidRDefault="008D479B" w:rsidP="008D479B">
      <w:pPr>
        <w:pStyle w:val="TextoNormal"/>
      </w:pPr>
    </w:p>
    <w:p w14:paraId="312E013C" w14:textId="6A76D014" w:rsidR="008D479B" w:rsidRDefault="008D479B" w:rsidP="008D479B">
      <w:pPr>
        <w:pStyle w:val="TextoNormal"/>
      </w:pPr>
      <w:r>
        <w:t>Asimismo, acordó dar cumplimiento a lo dispuesto en el art. 51 LOTC y formar la correspondiente pieza separada de suspensión, que fue concluida por ATC 168/2022, de 28 de noviembre, en el que se acordó denegar la suspensión cautelar solicitada.</w:t>
      </w:r>
    </w:p>
    <w:p w14:paraId="49DC173B" w14:textId="77777777" w:rsidR="008D479B" w:rsidRDefault="008D479B" w:rsidP="008D479B">
      <w:pPr>
        <w:pStyle w:val="TextoNormal"/>
      </w:pPr>
    </w:p>
    <w:p w14:paraId="4BFC82A3" w14:textId="16792411" w:rsidR="008D479B" w:rsidRDefault="008D479B" w:rsidP="008D479B">
      <w:pPr>
        <w:pStyle w:val="TextoNormal"/>
      </w:pPr>
      <w:r w:rsidRPr="008D479B">
        <w:rPr>
          <w:rStyle w:val="NumeroAFNegritaCaracter"/>
        </w:rPr>
        <w:t>5</w:t>
      </w:r>
      <w:r>
        <w:t>. Por diligencia de ordenación de la Secretaría de Justicia de la Sección se tuvo por personada a la Comunidad Autónoma de Cantabria. Y, a tenor de lo dispuesto en el art. 52 LOTC, se dio vista de las actuaciones, por un plazo común de veinte días, al Ministerio Fiscal y a las partes personadas para que dentro de dicho término pudieran presentar las alegaciones que a su derecho conviniera.</w:t>
      </w:r>
    </w:p>
    <w:p w14:paraId="25AF28D7" w14:textId="77777777" w:rsidR="008D479B" w:rsidRDefault="008D479B" w:rsidP="008D479B">
      <w:pPr>
        <w:pStyle w:val="TextoNormal"/>
      </w:pPr>
    </w:p>
    <w:p w14:paraId="6619D924" w14:textId="08AC2D3F" w:rsidR="008D479B" w:rsidRDefault="008D479B" w:rsidP="008D479B">
      <w:pPr>
        <w:pStyle w:val="TextoNormal"/>
      </w:pPr>
      <w:r w:rsidRPr="008D479B">
        <w:rPr>
          <w:rStyle w:val="NumeroAFNegritaCaracter"/>
        </w:rPr>
        <w:t>6</w:t>
      </w:r>
      <w:r>
        <w:t>. La demandante de amparo presentó sus alegaciones mediante escrito registrado el 12 de diciembre de 2022 en el que reiteraba los argumentos expuestos en la demanda.</w:t>
      </w:r>
    </w:p>
    <w:p w14:paraId="3BF17E6E" w14:textId="77777777" w:rsidR="008D479B" w:rsidRDefault="008D479B" w:rsidP="008D479B">
      <w:pPr>
        <w:pStyle w:val="TextoNormal"/>
      </w:pPr>
    </w:p>
    <w:p w14:paraId="2C107946" w14:textId="734C9E66" w:rsidR="008D479B" w:rsidRDefault="008D479B" w:rsidP="008D479B">
      <w:pPr>
        <w:pStyle w:val="TextoNormal"/>
      </w:pPr>
      <w:r w:rsidRPr="008D479B">
        <w:rPr>
          <w:rStyle w:val="NumeroAFNegritaCaracter"/>
        </w:rPr>
        <w:t>7</w:t>
      </w:r>
      <w:r>
        <w:t>. La Comunidad Autónoma de Cantabria, con la representación y asistencia de letrada de su servicio jurídico, presentó sus alegaciones mediante escrito registrado el 21 de diciembre de 2022, en el que rechaza que se hayan vulnerado los derechos invocados en la demanda de amparo.</w:t>
      </w:r>
    </w:p>
    <w:p w14:paraId="1F6BFB09" w14:textId="77777777" w:rsidR="008D479B" w:rsidRDefault="008D479B" w:rsidP="008D479B">
      <w:pPr>
        <w:pStyle w:val="TextoNormal"/>
      </w:pPr>
    </w:p>
    <w:p w14:paraId="0EFE820A" w14:textId="77777777" w:rsidR="008D479B" w:rsidRDefault="008D479B" w:rsidP="008D479B">
      <w:pPr>
        <w:pStyle w:val="TextoNormal"/>
      </w:pPr>
      <w:r w:rsidRPr="008D479B">
        <w:rPr>
          <w:rStyle w:val="NumeroAFNegritaCaracter"/>
        </w:rPr>
        <w:t>8</w:t>
      </w:r>
      <w:r>
        <w:t>. El Ministerio Fiscal presentó sus alegaciones mediante escrito registrado el 20 de enero de 2023 en el que solicita la desestimación del recurso de amparo.</w:t>
      </w:r>
    </w:p>
    <w:p w14:paraId="35E42DF9" w14:textId="77777777" w:rsidR="008D479B" w:rsidRDefault="008D479B" w:rsidP="008D479B">
      <w:pPr>
        <w:pStyle w:val="TextoNormal"/>
      </w:pPr>
    </w:p>
    <w:p w14:paraId="1E5365FE" w14:textId="77777777" w:rsidR="008D479B" w:rsidRDefault="008D479B" w:rsidP="008D479B">
      <w:pPr>
        <w:pStyle w:val="TextoNormal"/>
      </w:pPr>
      <w:r>
        <w:t>Descarta, en primer lugar, que se haya producido una vulneración del art. 14 CE, al no existir el término válido de comparación exigido para que se produzca la vulneración, pues no se han dictado las resoluciones por los mismos órganos, ni en el caso del reproche dirigido al Tribunal Supremo concurre la identidad de supuestos exigida.</w:t>
      </w:r>
    </w:p>
    <w:p w14:paraId="4699C1BE" w14:textId="77777777" w:rsidR="008D479B" w:rsidRDefault="008D479B" w:rsidP="008D479B">
      <w:pPr>
        <w:pStyle w:val="TextoNormal"/>
      </w:pPr>
    </w:p>
    <w:p w14:paraId="655922E8" w14:textId="77777777" w:rsidR="008D479B" w:rsidRDefault="008D479B" w:rsidP="008D479B">
      <w:pPr>
        <w:pStyle w:val="TextoNormal"/>
      </w:pPr>
      <w:r>
        <w:t>Rechaza, asimismo, la vulneración del art. 20.1 a) y d) CE al existir una regulación normativa que establece el marco temporal de reserva del espacio radioeléctrico a los efectos de convocar los correspondientes concursos. Entiende que corresponde al legislador una mayor libertad de configuración normativa para disciplinar los soportes técnicos e instrumentos de comunicación, que la que posee al ordenar directamente los derechos fundamentales del art. 20.1 CE. De este modo las resoluciones administrativas y las sentencias que aplican la regulación establecida en este ámbito difícilmente pueden lesionar los derechos invocados.</w:t>
      </w:r>
    </w:p>
    <w:p w14:paraId="4C8887B1" w14:textId="77777777" w:rsidR="008D479B" w:rsidRDefault="008D479B" w:rsidP="008D479B">
      <w:pPr>
        <w:pStyle w:val="TextoNormal"/>
      </w:pPr>
    </w:p>
    <w:p w14:paraId="30FFDF15" w14:textId="0DDE75AC" w:rsidR="008D479B" w:rsidRDefault="008D479B" w:rsidP="008D479B">
      <w:pPr>
        <w:pStyle w:val="TextoNormal"/>
      </w:pPr>
      <w:r>
        <w:t xml:space="preserve">Finalmente, considera que las resoluciones del Tribunal Europeo de Derechos Humanos citadas no son aplicables por tratarse de decisiones de inadmisión o, en el caso de la STEDH de 20 de octubre de 1997, asunto </w:t>
      </w:r>
      <w:r w:rsidRPr="008D479B">
        <w:rPr>
          <w:i/>
        </w:rPr>
        <w:t>Radio</w:t>
      </w:r>
      <w:r>
        <w:t xml:space="preserve"> </w:t>
      </w:r>
      <w:r w:rsidRPr="008D479B">
        <w:rPr>
          <w:i/>
        </w:rPr>
        <w:t>ABC c. Austria</w:t>
      </w:r>
      <w:r>
        <w:t>, porque toda la actividad se subordinaba a una concesión del legislador federal que no se produjo, situación que se mantuvo durante tres periodos de tiempo, supuesto distinto al contemplado en la regulación española.</w:t>
      </w:r>
    </w:p>
    <w:p w14:paraId="1C685BCC" w14:textId="77777777" w:rsidR="008D479B" w:rsidRDefault="008D479B" w:rsidP="008D479B">
      <w:pPr>
        <w:pStyle w:val="TextoNormal"/>
      </w:pPr>
    </w:p>
    <w:p w14:paraId="24828CCE" w14:textId="729437CD" w:rsidR="008D479B" w:rsidRDefault="008D479B" w:rsidP="008D479B">
      <w:pPr>
        <w:pStyle w:val="TextoNormal"/>
      </w:pPr>
      <w:r w:rsidRPr="008D479B">
        <w:rPr>
          <w:rStyle w:val="NumeroAFNegritaCaracter"/>
        </w:rPr>
        <w:t>9</w:t>
      </w:r>
      <w:r>
        <w:t>. Por diligencia de ordenación de 27 de enero de 2023, el secretario de justicia de la Sección Primera de la Sala Segunda de este tribunal puso en conocimiento de las partes que, en virtud del acuerdo del Pleno del Tribunal Constitucional de 17 de enero de 2023, publicado en el “Boletín Oficial del Estado” de 19 de enero de 2023, el presente recurso de amparo fue turnado a la citada sección.</w:t>
      </w:r>
    </w:p>
    <w:p w14:paraId="5EFD3783" w14:textId="77777777" w:rsidR="008D479B" w:rsidRDefault="008D479B" w:rsidP="008D479B">
      <w:pPr>
        <w:pStyle w:val="TextoNormal"/>
      </w:pPr>
    </w:p>
    <w:p w14:paraId="5B3D619A" w14:textId="5CD62DB5" w:rsidR="008D479B" w:rsidRDefault="008D479B" w:rsidP="008D479B">
      <w:pPr>
        <w:pStyle w:val="TextoNormal"/>
      </w:pPr>
      <w:r w:rsidRPr="008D479B">
        <w:rPr>
          <w:rStyle w:val="NumeroAFNegritaCaracter"/>
        </w:rPr>
        <w:t>10</w:t>
      </w:r>
      <w:r>
        <w:t>. Por providencia de 21 de septiembre de 2023 se señaló para deliberación y votación de la presente sentencia el día 25 del mismo mes y año.</w:t>
      </w:r>
    </w:p>
    <w:p w14:paraId="7D43AB6C" w14:textId="77777777" w:rsidR="008D479B" w:rsidRDefault="008D479B" w:rsidP="008D479B">
      <w:pPr>
        <w:pStyle w:val="TextoNormal"/>
      </w:pPr>
    </w:p>
    <w:p w14:paraId="545D35CA" w14:textId="77777777" w:rsidR="008D479B" w:rsidRDefault="008D479B" w:rsidP="008D479B">
      <w:pPr>
        <w:pStyle w:val="TextoNormalNegritaCentrado"/>
        <w:keepNext/>
      </w:pPr>
      <w:r>
        <w:t>II. Fundamentos jurídicos</w:t>
      </w:r>
    </w:p>
    <w:p w14:paraId="2E84EB43" w14:textId="3C423E4F" w:rsidR="008D479B" w:rsidRDefault="008D479B" w:rsidP="008D479B">
      <w:pPr>
        <w:pStyle w:val="TextoNormalNegritaCentrado"/>
        <w:keepNext/>
      </w:pPr>
    </w:p>
    <w:p w14:paraId="00ACCDF7" w14:textId="77777777" w:rsidR="008D479B" w:rsidRDefault="008D479B" w:rsidP="008D479B">
      <w:pPr>
        <w:pStyle w:val="TextoNormal"/>
      </w:pPr>
      <w:r w:rsidRPr="008D479B">
        <w:rPr>
          <w:rStyle w:val="NumeroAFNegritaCaracter"/>
        </w:rPr>
        <w:t>1</w:t>
      </w:r>
      <w:r>
        <w:t xml:space="preserve">. </w:t>
      </w:r>
      <w:r w:rsidRPr="008D479B">
        <w:rPr>
          <w:i/>
        </w:rPr>
        <w:t>Objeto del recurso</w:t>
      </w:r>
    </w:p>
    <w:p w14:paraId="684935F9" w14:textId="77777777" w:rsidR="008D479B" w:rsidRDefault="008D479B" w:rsidP="008D479B">
      <w:pPr>
        <w:pStyle w:val="TextoNormal"/>
      </w:pPr>
    </w:p>
    <w:p w14:paraId="4556F1D2" w14:textId="4237B0E9" w:rsidR="008D479B" w:rsidRDefault="008D479B" w:rsidP="008D479B">
      <w:pPr>
        <w:pStyle w:val="TextoNormal"/>
      </w:pPr>
      <w:r>
        <w:t>El objeto de este recurso es determinar si la desestimación presunta del recurso de alzada presentado frente a la desestimación asimismo presunta de la solicitud de fecha 10 de agosto de 2018 de convocatoria de concurso público para el otorgamiento de licencias de comunicación audiovisual radiofónica digital en la Comunidad Autónoma de Cantabria, vulnera los derechos fundamentales a la libertad de información, comunicación y expresión [art. 20.1 a) y d) CE], en relación con el art. 14 CE.</w:t>
      </w:r>
    </w:p>
    <w:p w14:paraId="7D716842" w14:textId="77777777" w:rsidR="008D479B" w:rsidRDefault="008D479B" w:rsidP="008D479B">
      <w:pPr>
        <w:pStyle w:val="TextoNormal"/>
      </w:pPr>
    </w:p>
    <w:p w14:paraId="1CC1E41F" w14:textId="77777777" w:rsidR="008D479B" w:rsidRDefault="008D479B" w:rsidP="008D479B">
      <w:pPr>
        <w:pStyle w:val="TextoNormal"/>
      </w:pPr>
      <w:r w:rsidRPr="008D479B">
        <w:rPr>
          <w:rStyle w:val="NumeroAFNegritaCaracter"/>
        </w:rPr>
        <w:t>2</w:t>
      </w:r>
      <w:r>
        <w:t xml:space="preserve">. </w:t>
      </w:r>
      <w:r w:rsidRPr="008D479B">
        <w:rPr>
          <w:i/>
        </w:rPr>
        <w:t>Remisión a lo resuelto en la STC 89/2023, de 18 de julio</w:t>
      </w:r>
    </w:p>
    <w:p w14:paraId="5DA52BD3" w14:textId="77777777" w:rsidR="008D479B" w:rsidRDefault="008D479B" w:rsidP="008D479B">
      <w:pPr>
        <w:pStyle w:val="TextoNormal"/>
      </w:pPr>
    </w:p>
    <w:p w14:paraId="27C475D2" w14:textId="156947FF" w:rsidR="008D479B" w:rsidRDefault="008D479B" w:rsidP="008D479B">
      <w:pPr>
        <w:pStyle w:val="TextoNormal"/>
      </w:pPr>
      <w:r>
        <w:t>El problema constitucional que se plantea en este proceso de amparo es coincidente con el resuelto en la STC 89/2023, de 18 de julio, que excluyó que la actuación administrativa impugnada, en cuanto denegó la convocatoria del concurso solicitado para la concesión de licencias de prestación de servicios audiovisuales, vulnerara los derechos a expresar y difundir libremente los pensamientos, ideas y opiniones mediante la palabra, el escrito o cualquier otro medio de reproducción [art. 20.1 a) CE] y a comunicar o recibir libremente información veraz por cualquier medio de difusión [art. 20.1 d) CE], en relación con el principio de igualdad (art. 14 CE), lo que determina que, por idénticas razones, proceda desestimar el presente recurso de amparo.</w:t>
      </w:r>
    </w:p>
    <w:p w14:paraId="0D6B6AB1" w14:textId="77777777" w:rsidR="008D479B" w:rsidRDefault="008D479B" w:rsidP="008D479B">
      <w:pPr>
        <w:pStyle w:val="TextoNormal"/>
      </w:pPr>
    </w:p>
    <w:p w14:paraId="5026D4C8" w14:textId="77777777" w:rsidR="008D479B" w:rsidRDefault="008D479B" w:rsidP="008D479B">
      <w:pPr>
        <w:pStyle w:val="TextoNormalCentrado"/>
        <w:keepNext/>
      </w:pPr>
      <w:r>
        <w:t>FALLO</w:t>
      </w:r>
    </w:p>
    <w:p w14:paraId="3AAEC4FB" w14:textId="5DC7AC38" w:rsidR="008D479B" w:rsidRDefault="008D479B" w:rsidP="008D479B">
      <w:pPr>
        <w:pStyle w:val="TextoNormalCentrado"/>
        <w:keepNext/>
      </w:pPr>
    </w:p>
    <w:p w14:paraId="1B45E011" w14:textId="62B19E4D" w:rsidR="008D479B" w:rsidRDefault="008D479B" w:rsidP="008D479B">
      <w:pPr>
        <w:pStyle w:val="TextoNormal"/>
      </w:pPr>
      <w:r>
        <w:t>En atención a todo lo expuesto, el Tribunal Constitucional, por la autoridad que le confiere la Constitución de la Nación española, ha decidido desestimar el recurso de amparo interpuesto por Soninorte Producciones, S.L.</w:t>
      </w:r>
    </w:p>
    <w:p w14:paraId="15CEBFF7" w14:textId="77777777" w:rsidR="008D479B" w:rsidRDefault="008D479B" w:rsidP="008D479B">
      <w:pPr>
        <w:pStyle w:val="TextoNormal"/>
      </w:pPr>
    </w:p>
    <w:p w14:paraId="7F30CCC5" w14:textId="77777777" w:rsidR="008D479B" w:rsidRDefault="008D479B" w:rsidP="008D479B">
      <w:pPr>
        <w:pStyle w:val="TextoNormal"/>
      </w:pPr>
      <w:r>
        <w:t>Publíquese esta sentencia en el “Boletín Oficial del Estado”.</w:t>
      </w:r>
    </w:p>
    <w:p w14:paraId="61FBFA7A" w14:textId="77777777" w:rsidR="008D479B" w:rsidRDefault="008D479B" w:rsidP="008D479B">
      <w:pPr>
        <w:pStyle w:val="TextoNormal"/>
      </w:pPr>
      <w:r>
        <w:t>Dada en Madrid, a veinticinco de septiembre de dos mil veintitrés.</w:t>
      </w:r>
    </w:p>
    <w:p w14:paraId="23A4B266" w14:textId="0E2CA67E" w:rsidR="008D479B" w:rsidRDefault="008D479B" w:rsidP="008D479B">
      <w:pPr>
        <w:pStyle w:val="ParrafoNormal"/>
      </w:pPr>
    </w:p>
    <w:p w14:paraId="0170E962" w14:textId="77777777" w:rsidR="008D479B" w:rsidRDefault="008D479B" w:rsidP="008D479B">
      <w:pPr>
        <w:pStyle w:val="TextoNormalNegritaCentrado"/>
        <w:keepNext/>
      </w:pPr>
      <w:r>
        <w:t>Voto particular concurrente que formula la magistrada doña Concepción Espejel Jorquera a la sentencia dictada en el recurso de amparo número 6464-2021</w:t>
      </w:r>
    </w:p>
    <w:p w14:paraId="062C6257" w14:textId="6FC55C40" w:rsidR="008D479B" w:rsidRDefault="008D479B" w:rsidP="008D479B">
      <w:pPr>
        <w:pStyle w:val="TextoNormalNegritaCentrado"/>
        <w:keepNext/>
      </w:pPr>
    </w:p>
    <w:p w14:paraId="0E2CA84C" w14:textId="77777777" w:rsidR="008D479B" w:rsidRDefault="008D479B" w:rsidP="008D479B">
      <w:pPr>
        <w:pStyle w:val="TextoNormal"/>
      </w:pPr>
      <w:r>
        <w:t>En el ejercicio de la facultad que me confiere el artículo 90.2 de la Ley Orgánica del Tribunal Constitucional, y con respeto a la opinión de mis compañeros, formulo voto particular concurrente respecto de la sentencia recaída en el presente recurso de amparo, conforme a los argumentos que ya tuve ocasión de exponer durante su deliberación en la Sala remitiéndome al voto particular que formulé a la STC 89/2023, de 18 de julio, a la que se remite la presente resolución.</w:t>
      </w:r>
    </w:p>
    <w:p w14:paraId="79C22499" w14:textId="77777777" w:rsidR="008D479B" w:rsidRDefault="008D479B" w:rsidP="008D479B">
      <w:pPr>
        <w:pStyle w:val="TextoNormal"/>
      </w:pPr>
    </w:p>
    <w:p w14:paraId="50DB2468" w14:textId="148E032F" w:rsidR="008D479B" w:rsidRDefault="008D479B" w:rsidP="008D479B">
      <w:pPr>
        <w:pStyle w:val="TextoNormal"/>
      </w:pPr>
      <w:r>
        <w:t>Madrid, a veinticinco de septiembre de dos mil veintitrés.</w:t>
      </w:r>
    </w:p>
    <w:p w14:paraId="18A96EDA" w14:textId="370E7351" w:rsidR="008D479B" w:rsidRDefault="008D479B">
      <w:pPr>
        <w:spacing w:after="160" w:line="278" w:lineRule="auto"/>
        <w:rPr>
          <w:rFonts w:ascii="Times New Roman" w:eastAsia="Times New Roman" w:hAnsi="Times New Roman" w:cs="Times New Roman"/>
          <w:sz w:val="24"/>
          <w:szCs w:val="24"/>
          <w:lang w:eastAsia="es-ES"/>
        </w:rPr>
      </w:pPr>
      <w:r>
        <w:br w:type="page"/>
      </w:r>
    </w:p>
    <w:p w14:paraId="3A4B65E4" w14:textId="77777777" w:rsidR="008D479B" w:rsidRDefault="008D479B" w:rsidP="008D479B">
      <w:pPr>
        <w:pStyle w:val="TtuloResolucin"/>
      </w:pPr>
      <w:bookmarkStart w:id="45" w:name="SENTENCIA_2023_120"/>
      <w:r>
        <w:t>SENTENCIA 120/2023, de 25 de septiembre de 2023</w:t>
      </w:r>
    </w:p>
    <w:bookmarkEnd w:id="45"/>
    <w:p w14:paraId="184C58F0" w14:textId="77777777" w:rsidR="008D479B" w:rsidRDefault="008D479B" w:rsidP="008D479B">
      <w:pPr>
        <w:pStyle w:val="TtuloResolucin"/>
      </w:pPr>
      <w:r>
        <w:t>Sala Primera</w:t>
      </w:r>
    </w:p>
    <w:p w14:paraId="2D8681E1" w14:textId="77777777" w:rsidR="008D479B" w:rsidRDefault="008D479B" w:rsidP="008D479B">
      <w:pPr>
        <w:pStyle w:val="TtuloBOE"/>
      </w:pPr>
      <w:r>
        <w:t>(BOE núm. 261, de 1 de noviembre de 2023)</w:t>
      </w:r>
    </w:p>
    <w:p w14:paraId="33D30E3A" w14:textId="77777777" w:rsidR="008D479B" w:rsidRDefault="008D479B" w:rsidP="008D479B">
      <w:pPr>
        <w:pStyle w:val="TextoNormalCentrado"/>
      </w:pPr>
      <w:r>
        <w:t>ECLI:ES:TC:2023:120</w:t>
      </w:r>
    </w:p>
    <w:p w14:paraId="2FF5EF3B" w14:textId="08E77DD5" w:rsidR="008D479B" w:rsidRDefault="008D479B" w:rsidP="008D479B">
      <w:pPr>
        <w:pStyle w:val="TextoNormalCentrado"/>
      </w:pPr>
    </w:p>
    <w:p w14:paraId="2663B1B5" w14:textId="77777777" w:rsidR="008D479B" w:rsidRDefault="008D479B" w:rsidP="008D479B">
      <w:pPr>
        <w:pStyle w:val="SntesisDescriptiva"/>
      </w:pPr>
      <w:r>
        <w:t>Recurso de amparo 7122-2021. Promovido por Logondi Comunicación, S.L., respecto de las resoluciones de la Consejería de Hacienda y Administraciones Públicas de la Región de Murcia que rechazaron su solicitud de convocatoria de concurso público para la adjudicación de licencias disponibles de comunicación audiovisual de radiodifusión sonora digital terrestre de ámbito local.</w:t>
      </w:r>
    </w:p>
    <w:p w14:paraId="7C0E57DA" w14:textId="287B89D6" w:rsidR="008D479B" w:rsidRDefault="008D479B" w:rsidP="008D479B">
      <w:pPr>
        <w:pStyle w:val="SntesisDescriptiva"/>
      </w:pPr>
    </w:p>
    <w:p w14:paraId="5106C679" w14:textId="77777777" w:rsidR="008D479B" w:rsidRDefault="008D479B" w:rsidP="008D479B">
      <w:pPr>
        <w:pStyle w:val="SntesisAnaltica"/>
      </w:pPr>
      <w:r>
        <w:t>Supuesta vulneración del derecho a la igualdad y a las libertades de expresión e información: STC 89/2023 (resolución administrativa que no resulta desproporcionada y que viene impuesta por la inexistencia de reserva de dominio público radioeléctrico). Voto particular.</w:t>
      </w:r>
    </w:p>
    <w:p w14:paraId="4C5009E0" w14:textId="1AA8991E" w:rsidR="008D479B" w:rsidRDefault="008D479B" w:rsidP="008D479B">
      <w:pPr>
        <w:pStyle w:val="SntesisAnaltica"/>
      </w:pPr>
    </w:p>
    <w:p w14:paraId="4D8A9BA5" w14:textId="67617EC4" w:rsidR="008D479B" w:rsidRDefault="008D479B" w:rsidP="008D479B">
      <w:pPr>
        <w:pStyle w:val="Extracto"/>
      </w:pPr>
      <w:r>
        <w:t>1.</w:t>
      </w:r>
      <w:r>
        <w:tab/>
        <w:t xml:space="preserve">Remisión a la STC 89/2023 que declaró respetados los derechos a expresar y difundir libremente los pensamientos, ideas y opiniones, así como a comunicar o recibir libremente información veraz por cualquier medio de difusión, consagrados en el art. 20.1 a) y d) CE, en relación con el principio de igualdad reconocido en el art. 14 CE, por parte de la actuación administrativa denegatoria de convocatoria de concurso para la concesión de licencias de prestación de servicios audiovisuales </w:t>
      </w:r>
    </w:p>
    <w:p w14:paraId="678C6239" w14:textId="77777777" w:rsidR="008D479B" w:rsidRDefault="008D479B" w:rsidP="008D479B">
      <w:pPr>
        <w:pStyle w:val="Extracto"/>
      </w:pPr>
    </w:p>
    <w:p w14:paraId="32430524" w14:textId="77777777" w:rsidR="008D479B" w:rsidRDefault="008D479B" w:rsidP="008D479B">
      <w:pPr>
        <w:pStyle w:val="Extracto"/>
      </w:pPr>
    </w:p>
    <w:p w14:paraId="118D1A36" w14:textId="77777777" w:rsidR="008D479B" w:rsidRDefault="008D479B" w:rsidP="008D479B">
      <w:pPr>
        <w:pStyle w:val="TextoNormal"/>
      </w:pPr>
      <w:r>
        <w:t>La Sala Primera del Tribunal Constitucional, compuesta por el magistrado don Cándido Conde-Pumpido Tourón, presidente, y los magistrados y magistradas don Ricardo Enríquez Sancho, doña Concepción Espejel Jorquera, doña María Luisa Segoviano Astaburuaga y don Juan Carlos Campo Moreno, ha pronunciado</w:t>
      </w:r>
    </w:p>
    <w:p w14:paraId="4E358B81" w14:textId="63B428C6" w:rsidR="008D479B" w:rsidRDefault="008D479B" w:rsidP="008D479B">
      <w:pPr>
        <w:pStyle w:val="TextoNormal"/>
      </w:pPr>
    </w:p>
    <w:p w14:paraId="73E35A53" w14:textId="77777777" w:rsidR="008D479B" w:rsidRDefault="008D479B" w:rsidP="008D479B">
      <w:pPr>
        <w:pStyle w:val="TextoNormalCentrado"/>
        <w:keepNext/>
      </w:pPr>
      <w:r>
        <w:t>EN NOMBRE DEL REY</w:t>
      </w:r>
    </w:p>
    <w:p w14:paraId="147556A8" w14:textId="748A2CBE" w:rsidR="008D479B" w:rsidRDefault="008D479B" w:rsidP="008D479B">
      <w:pPr>
        <w:pStyle w:val="TextoNormalCentrado"/>
        <w:keepNext/>
      </w:pPr>
    </w:p>
    <w:p w14:paraId="347EEABE" w14:textId="77777777" w:rsidR="008D479B" w:rsidRDefault="008D479B" w:rsidP="008D479B">
      <w:pPr>
        <w:pStyle w:val="TextoNormalCentrado"/>
        <w:keepNext/>
      </w:pPr>
    </w:p>
    <w:p w14:paraId="1B5F468C" w14:textId="77777777" w:rsidR="008D479B" w:rsidRDefault="008D479B" w:rsidP="008D479B">
      <w:pPr>
        <w:pStyle w:val="TextoNormal"/>
      </w:pPr>
      <w:r>
        <w:t>la siguiente</w:t>
      </w:r>
    </w:p>
    <w:p w14:paraId="5B3E4B08" w14:textId="7FD14C0B" w:rsidR="008D479B" w:rsidRDefault="008D479B" w:rsidP="008D479B">
      <w:pPr>
        <w:pStyle w:val="TextoNormal"/>
      </w:pPr>
    </w:p>
    <w:p w14:paraId="71887AE8" w14:textId="77777777" w:rsidR="008D479B" w:rsidRDefault="008D479B" w:rsidP="008D479B">
      <w:pPr>
        <w:pStyle w:val="TextoNormalCentrado"/>
        <w:keepNext/>
      </w:pPr>
      <w:r>
        <w:t>SENTENCIA</w:t>
      </w:r>
    </w:p>
    <w:p w14:paraId="7858FAF0" w14:textId="089FB251" w:rsidR="008D479B" w:rsidRDefault="008D479B" w:rsidP="008D479B">
      <w:pPr>
        <w:pStyle w:val="TextoNormalCentrado"/>
        <w:keepNext/>
      </w:pPr>
    </w:p>
    <w:p w14:paraId="31591CEC" w14:textId="77777777" w:rsidR="008D479B" w:rsidRDefault="008D479B" w:rsidP="008D479B">
      <w:pPr>
        <w:pStyle w:val="TextoNormal"/>
      </w:pPr>
      <w:r>
        <w:t>En el recurso de amparo número 7122-2021, promovido por la mercantil Logondi Comunicación, S.L., representada por el procurador de los tribunales don José Carlos García Rodríguez y asistida por el abogado don Jaime Rodríguez Díez, contra la desestimación presunta del recurso de alzada planteado el 9 de octubre de 2018 ante la Consejería de Hacienda y Administraciones Públicas de la Región de Murcia, contra la desestimación presunta de la solicitud de convocatoria de concurso de licencias audiovisuales de radiodifusión sonora digital disponibles en esa comunidad autónoma. Ha comparecido la referida comunidad autónoma y ha intervenido el Ministerio Fiscal. Ha sido ponente la magistrada doña María Luisa Segoviano Astaburuaga.</w:t>
      </w:r>
    </w:p>
    <w:p w14:paraId="3F4C02B3" w14:textId="5EE925B9" w:rsidR="008D479B" w:rsidRDefault="008D479B" w:rsidP="008D479B">
      <w:pPr>
        <w:pStyle w:val="TextoNormal"/>
      </w:pPr>
    </w:p>
    <w:p w14:paraId="19F360DA" w14:textId="77777777" w:rsidR="008D479B" w:rsidRDefault="008D479B" w:rsidP="008D479B">
      <w:pPr>
        <w:pStyle w:val="TextoNormalNegritaCentrado"/>
        <w:keepNext/>
      </w:pPr>
      <w:r>
        <w:t>I. Antecedentes</w:t>
      </w:r>
    </w:p>
    <w:p w14:paraId="7AB8BEFF" w14:textId="1C84490E" w:rsidR="008D479B" w:rsidRDefault="008D479B" w:rsidP="008D479B">
      <w:pPr>
        <w:pStyle w:val="TextoNormalNegritaCentrado"/>
        <w:keepNext/>
      </w:pPr>
    </w:p>
    <w:p w14:paraId="77F67488" w14:textId="1B341EF8" w:rsidR="008D479B" w:rsidRDefault="008D479B" w:rsidP="008D479B">
      <w:pPr>
        <w:pStyle w:val="TextoNormal"/>
      </w:pPr>
      <w:r w:rsidRPr="008D479B">
        <w:rPr>
          <w:rStyle w:val="NumeroAFNegritaCaracter"/>
        </w:rPr>
        <w:t>1</w:t>
      </w:r>
      <w:r>
        <w:t>. Mediante escrito presentado en el registro general de este tribunal el 10 de noviembre de 2021, el procurador de los tribunales don José Carlos García Rodríguez, actuando en nombre y representación de Logondi Comunicación, S.L., bajo la defensa del letrado don Jaime Rodríguez Díez, interpuso demanda de amparo contra la desestimación presunta arriba mencionada.</w:t>
      </w:r>
    </w:p>
    <w:p w14:paraId="1E868287" w14:textId="77777777" w:rsidR="008D479B" w:rsidRDefault="008D479B" w:rsidP="008D479B">
      <w:pPr>
        <w:pStyle w:val="TextoNormal"/>
      </w:pPr>
    </w:p>
    <w:p w14:paraId="1BF96BD3" w14:textId="77777777" w:rsidR="008D479B" w:rsidRDefault="008D479B" w:rsidP="008D479B">
      <w:pPr>
        <w:pStyle w:val="TextoNormal"/>
      </w:pPr>
      <w:r w:rsidRPr="008D479B">
        <w:rPr>
          <w:rStyle w:val="NumeroAFNegritaCaracter"/>
        </w:rPr>
        <w:t>2</w:t>
      </w:r>
      <w:r>
        <w:t>. Los hechos con relevancia para la resolución del presente recurso de amparo y a los que se refiere la demanda presentada son los siguientes:</w:t>
      </w:r>
    </w:p>
    <w:p w14:paraId="7E0BF214" w14:textId="77777777" w:rsidR="008D479B" w:rsidRDefault="008D479B" w:rsidP="008D479B">
      <w:pPr>
        <w:pStyle w:val="TextoNormal"/>
      </w:pPr>
    </w:p>
    <w:p w14:paraId="7E95A05D" w14:textId="77777777" w:rsidR="008D479B" w:rsidRDefault="008D479B" w:rsidP="008D479B">
      <w:pPr>
        <w:pStyle w:val="TextoNormal"/>
      </w:pPr>
      <w:r>
        <w:t>a) La entidad Logondi Comunicación, S.L., interpuso recurso contencioso administrativo contra la desestimación presunta del recurso de alzada planteado el 9 de octubre de 2018 ante la Consejería de Hacienda y Administraciones Públicas de la Región de Murcia, contra la desestimación presunta de su solicitud de convocatoria de concurso de licencias audiovisuales de radiodifusión sonora digital disponibles en esa comunidad autónoma.</w:t>
      </w:r>
    </w:p>
    <w:p w14:paraId="2C24A4B3" w14:textId="77777777" w:rsidR="008D479B" w:rsidRDefault="008D479B" w:rsidP="008D479B">
      <w:pPr>
        <w:pStyle w:val="TextoNormal"/>
      </w:pPr>
    </w:p>
    <w:p w14:paraId="066FCB1D" w14:textId="77777777" w:rsidR="008D479B" w:rsidRDefault="008D479B" w:rsidP="008D479B">
      <w:pPr>
        <w:pStyle w:val="TextoNormal"/>
      </w:pPr>
      <w:r>
        <w:t>b) La Sala de lo Contencioso-Administrativo del Tribunal Superior de Justicia de Murcia desestimó el recurso interpuesto por sentencia de 18 de marzo de 2021 (ECLI:ES:TSJMU:2021:510) a la vista de las SSTS de 26 de noviembre de 2020 (ECLI:ES:TS:2020:4120 y ECLI:ES:TS:2020:4118), en las que el alto tribunal declara que “de conformidad con lo dispuesto en el artículo 27.4 de la Ley general de comunicación audiovisual, el transcurso de los plazos estipulados en dicho precepto tras la aprobación de un plan técnico nacional de un servicio de radio o televisión, sin que la administración haya solicitado la afectación al servicio público de radio o televisión de que se trate de la reserva de dominio prevista en el citado plan o se haya convocado concurso para el otorgamiento de licencias, y sin que ningún interesado haya solicitado dicha convocatoria, la reserva de dominio decaerá y será excluida de la planificación. En consecuencia y dados tales presupuestos, la administración no estaría ya obligada a la convocatoria de concurso a solicitud de cualquier interesado hasta que se efectúe una nueva reserva de dominio y se produzca la correspondiente afectación al servicio público de radio o televisión”.</w:t>
      </w:r>
    </w:p>
    <w:p w14:paraId="02E88C8F" w14:textId="77777777" w:rsidR="008D479B" w:rsidRDefault="008D479B" w:rsidP="008D479B">
      <w:pPr>
        <w:pStyle w:val="TextoNormal"/>
      </w:pPr>
    </w:p>
    <w:p w14:paraId="1F880AE4" w14:textId="24CE230F" w:rsidR="008D479B" w:rsidRDefault="008D479B" w:rsidP="008D479B">
      <w:pPr>
        <w:pStyle w:val="TextoNormal"/>
      </w:pPr>
      <w:r>
        <w:t>c) Frente a dicha sentencia la representación procesal de la mercantil ahora recurrente en amparo interpuso recurso de casación, que fue inadmitido a trámite por providencia de la Sección Primera de la Sala de lo Contencioso-Administrativo del Tribunal Supremo de 20 de octubre de 2021 por pérdida sobrevenida en el recurso de interés casacional objetivo para la formación de jurisprudencia a la vista de las SSTS de 25 y 26 de noviembre de 2020 (ECLI:ES:TS:2020:4171, ECLI:ES:TS:2020:4120 y ECLI:ES:TS:2020:4118) y de 14 de diciembre de 2020 (ECLI:ES:TS:2020:4355).</w:t>
      </w:r>
    </w:p>
    <w:p w14:paraId="5F92FD35" w14:textId="77777777" w:rsidR="008D479B" w:rsidRDefault="008D479B" w:rsidP="008D479B">
      <w:pPr>
        <w:pStyle w:val="TextoNormal"/>
      </w:pPr>
    </w:p>
    <w:p w14:paraId="1064B8E2" w14:textId="77777777" w:rsidR="008D479B" w:rsidRDefault="008D479B" w:rsidP="008D479B">
      <w:pPr>
        <w:pStyle w:val="TextoNormal"/>
      </w:pPr>
      <w:r w:rsidRPr="008D479B">
        <w:rPr>
          <w:rStyle w:val="NumeroAFNegritaCaracter"/>
        </w:rPr>
        <w:t>3</w:t>
      </w:r>
      <w:r>
        <w:t>. En la demanda de amparo se alegan las siguientes vulneraciones constitucionales:</w:t>
      </w:r>
    </w:p>
    <w:p w14:paraId="69F2C83E" w14:textId="77777777" w:rsidR="008D479B" w:rsidRDefault="008D479B" w:rsidP="008D479B">
      <w:pPr>
        <w:pStyle w:val="TextoNormal"/>
      </w:pPr>
    </w:p>
    <w:p w14:paraId="35B030DF" w14:textId="77777777" w:rsidR="008D479B" w:rsidRDefault="008D479B" w:rsidP="008D479B">
      <w:pPr>
        <w:pStyle w:val="TextoNormal"/>
      </w:pPr>
      <w:r>
        <w:t>a) Afirma que la negativa a convocar un concurso público por parte del Gobierno de la Región de Murcia amparándose en el transcurso de un plazo imputable a su propia inactividad y el consiguiente decaimiento de la planificación del espacio radioeléctrico ha imposibilitado el ejercicio de los derechos fundamentales a la libertad de información, comunicación y expresión, en relación con el art. 14 CE, en concreto, de su derecho a crear los medios de comunicación indispensables para el ejercicio del derecho a expresar y difundir libremente los pensamientos, ideas y opiniones mediante la palabra, el escrito o cualquier otro medio de reproducción [art. 20.1 a) CE] y a comunicar o recibir libremente información veraz por cualquier medio de difusión [art. 20.1 d) CE]. Entiende que prevalece el deber de convocar el concurso de adjudicación [art. 27.2 de la Ley general de la comunicación audiovisual (LGCA)] sobre el eventual decaimiento de la reserva del espectro radioeléctrico (art. 27.4 LGCA) por lo que ha sido la inacción de la administración pública la causante de que no se haya aprovechado el espectro que el Estado ha otorgado a la comunidad autónoma, lo que invalida el acto recurrido por ser contrario a los derechos invocados. Alega que otras comunidades autónomas han procedido a efectuar los concursos de licencias más allá del plazo establecido y que la negativa a convocar los concursos de adjudicación de licencias vacantes es incompatible con la Directiva 2018/1972, de 11 de diciembre, por la que se establece el Código europeo de las comunicaciones electrónicas, por crear barreras de acceso al mercado e inutilizar el espectro radioeléctrico.</w:t>
      </w:r>
    </w:p>
    <w:p w14:paraId="6219750A" w14:textId="77777777" w:rsidR="008D479B" w:rsidRDefault="008D479B" w:rsidP="008D479B">
      <w:pPr>
        <w:pStyle w:val="TextoNormal"/>
      </w:pPr>
    </w:p>
    <w:p w14:paraId="14676D1D" w14:textId="77777777" w:rsidR="008D479B" w:rsidRDefault="008D479B" w:rsidP="008D479B">
      <w:pPr>
        <w:pStyle w:val="TextoNormal"/>
      </w:pPr>
      <w:r>
        <w:t>Sostiene también que existe una patente contradicción entre las sentencias del Tribunal Supremo al diferenciar incorrectamente entre licencias de televisión digital y licencias de radiodifusión digital para la protección de los derechos fundamentales.</w:t>
      </w:r>
    </w:p>
    <w:p w14:paraId="2E29B971" w14:textId="77777777" w:rsidR="008D479B" w:rsidRDefault="008D479B" w:rsidP="008D479B">
      <w:pPr>
        <w:pStyle w:val="TextoNormal"/>
      </w:pPr>
    </w:p>
    <w:p w14:paraId="2DB3B72F" w14:textId="77777777" w:rsidR="008D479B" w:rsidRDefault="008D479B" w:rsidP="008D479B">
      <w:pPr>
        <w:pStyle w:val="TextoNormal"/>
      </w:pPr>
      <w:r>
        <w:t xml:space="preserve">Añade, en fin, que la negativa a conceder una licencia de radiodifusión infringe el art. 10, apartado 1, del Convenio europeo de derechos humanos (CEDH) y cita las resoluciones del Tribunal Europeo de Derechos Humanos de 20 de octubre de 1997, asunto </w:t>
      </w:r>
      <w:r w:rsidRPr="008D479B">
        <w:rPr>
          <w:i/>
        </w:rPr>
        <w:t>Radio ABC c. Austria</w:t>
      </w:r>
      <w:r>
        <w:t xml:space="preserve">; de 23 de noviembre de 1999, asunto </w:t>
      </w:r>
      <w:r w:rsidRPr="008D479B">
        <w:rPr>
          <w:i/>
        </w:rPr>
        <w:t>Leveque c. Francia</w:t>
      </w:r>
      <w:r>
        <w:t xml:space="preserve">; de 7 de noviembre de 2000, asunto </w:t>
      </w:r>
      <w:r w:rsidRPr="008D479B">
        <w:rPr>
          <w:i/>
        </w:rPr>
        <w:t>United Christian Broadcasters Ltd. c. Reino Unido</w:t>
      </w:r>
      <w:r>
        <w:t xml:space="preserve">; de 11 de octubre de 2007, asunto </w:t>
      </w:r>
      <w:r w:rsidRPr="008D479B">
        <w:rPr>
          <w:i/>
        </w:rPr>
        <w:t>Glas Nadejda EOOD y Elenkov c. Bulgaria</w:t>
      </w:r>
      <w:r>
        <w:t xml:space="preserve">; de 17 de junio de 2008, asunto </w:t>
      </w:r>
      <w:r w:rsidRPr="008D479B">
        <w:rPr>
          <w:i/>
        </w:rPr>
        <w:t>Meltex Ltd. y Movsessian c. Armenia</w:t>
      </w:r>
      <w:r>
        <w:t xml:space="preserve">, así como el dictamen del Comité de Derechos Humanos de Naciones Unidas, de 27 de octubre de 2016, en el caso </w:t>
      </w:r>
      <w:r w:rsidRPr="008D479B">
        <w:rPr>
          <w:i/>
        </w:rPr>
        <w:t>Azagade c. Azerbaiyán</w:t>
      </w:r>
      <w:r>
        <w:t>.</w:t>
      </w:r>
    </w:p>
    <w:p w14:paraId="7A839333" w14:textId="77777777" w:rsidR="008D479B" w:rsidRDefault="008D479B" w:rsidP="008D479B">
      <w:pPr>
        <w:pStyle w:val="TextoNormal"/>
      </w:pPr>
    </w:p>
    <w:p w14:paraId="5EDCD5BF" w14:textId="4D8B80B8" w:rsidR="008D479B" w:rsidRDefault="008D479B" w:rsidP="008D479B">
      <w:pPr>
        <w:pStyle w:val="TextoNormal"/>
      </w:pPr>
      <w:r>
        <w:t>b) En segundo lugar, considera vulnerado el derecho a la igualdad (art. 14 CE), al haberse convocado en otras comunidades autónomas concursos públicos de licencias de comunicación audiovisual. Mantiene que el art. 27.4 LGCA, al tener la consideración de normativa básica, debe aplicarse de forma similar en todo el territorio estatal y la dispar interpretación efectuada por las distintas comunidades autónomas, a juicio de la entidad recurrente, lesiona el art. 14 CE.</w:t>
      </w:r>
    </w:p>
    <w:p w14:paraId="5C4FB6EF" w14:textId="77777777" w:rsidR="008D479B" w:rsidRDefault="008D479B" w:rsidP="008D479B">
      <w:pPr>
        <w:pStyle w:val="TextoNormal"/>
      </w:pPr>
    </w:p>
    <w:p w14:paraId="5393ACF6" w14:textId="00D797F1" w:rsidR="008D479B" w:rsidRDefault="008D479B" w:rsidP="008D479B">
      <w:pPr>
        <w:pStyle w:val="TextoNormal"/>
      </w:pPr>
      <w:r w:rsidRPr="008D479B">
        <w:rPr>
          <w:rStyle w:val="NumeroAFNegritaCaracter"/>
        </w:rPr>
        <w:t>4</w:t>
      </w:r>
      <w:r>
        <w:t>. Por providencia de 24 de octubre de 2022, la Sección Segunda del Tribunal Constitucional acordó admitir a trámite la demanda de amparo, al apreciar que concurría en la misma una especial trascendencia constitucional [art. 50.1 de la Ley Orgánica del Tribunal Constitucional (LOTC)] porque el recurso podía dar ocasión al Tribunal para aclarar o cambiar su doctrina, como consecuencia de un proceso de reflexión interna [STC 155/2009, de 25 de junio, FJ 2 b)] y el asunto suscitado trascendía del caso concreto porque plantea una cuestión jurídica de relevante y general repercusión social o económica [STC 155/2009, FJ 2 g)].</w:t>
      </w:r>
    </w:p>
    <w:p w14:paraId="36514892" w14:textId="77777777" w:rsidR="008D479B" w:rsidRDefault="008D479B" w:rsidP="008D479B">
      <w:pPr>
        <w:pStyle w:val="TextoNormal"/>
      </w:pPr>
    </w:p>
    <w:p w14:paraId="7F981570" w14:textId="03D347F9" w:rsidR="008D479B" w:rsidRDefault="008D479B" w:rsidP="008D479B">
      <w:pPr>
        <w:pStyle w:val="TextoNormal"/>
      </w:pPr>
      <w:r w:rsidRPr="008D479B">
        <w:rPr>
          <w:rStyle w:val="NumeroAFNegritaCaracter"/>
        </w:rPr>
        <w:t>5</w:t>
      </w:r>
      <w:r>
        <w:t>. Por diligencia de ordenación de la Secretaría de Justicia de la Sección se tuvo por personada a la Comunidad Autónoma de la Región de Murcia. Y, a tenor de lo dispuesto en el art. 52 LOTC, se dio vista de las actuaciones, por un plazo común de veinte días, al Ministerio Fiscal y a las partes personadas para que dentro de dicho término pudieran presentar las alegaciones que a su derecho conviniera.</w:t>
      </w:r>
    </w:p>
    <w:p w14:paraId="5D88DF17" w14:textId="77777777" w:rsidR="008D479B" w:rsidRDefault="008D479B" w:rsidP="008D479B">
      <w:pPr>
        <w:pStyle w:val="TextoNormal"/>
      </w:pPr>
    </w:p>
    <w:p w14:paraId="3C1103ED" w14:textId="20F1B80A" w:rsidR="008D479B" w:rsidRDefault="008D479B" w:rsidP="008D479B">
      <w:pPr>
        <w:pStyle w:val="TextoNormal"/>
      </w:pPr>
      <w:r w:rsidRPr="008D479B">
        <w:rPr>
          <w:rStyle w:val="NumeroAFNegritaCaracter"/>
        </w:rPr>
        <w:t>6</w:t>
      </w:r>
      <w:r>
        <w:t>. La Comunidad Autónoma de la Región de Murcia, con la representación y asistencia de letrado de su servicio jurídico, presentó sus alegaciones mediante escrito registrado el 3 de febrero de 2023. Alega como causa de inadmisibilidad la carencia de especial trascendencia constitucional del recurso de amparo. Interesa, subsidiariamente, su desestimación al rechazar que se hayan vulnerado los derechos invocados en la demanda de amparo.</w:t>
      </w:r>
    </w:p>
    <w:p w14:paraId="296C54CE" w14:textId="77777777" w:rsidR="008D479B" w:rsidRDefault="008D479B" w:rsidP="008D479B">
      <w:pPr>
        <w:pStyle w:val="TextoNormal"/>
      </w:pPr>
    </w:p>
    <w:p w14:paraId="19FA7907" w14:textId="77777777" w:rsidR="008D479B" w:rsidRDefault="008D479B" w:rsidP="008D479B">
      <w:pPr>
        <w:pStyle w:val="TextoNormal"/>
      </w:pPr>
      <w:r w:rsidRPr="008D479B">
        <w:rPr>
          <w:rStyle w:val="NumeroAFNegritaCaracter"/>
        </w:rPr>
        <w:t>7</w:t>
      </w:r>
      <w:r>
        <w:t>. El Ministerio Fiscal presentó sus alegaciones mediante escrito registrado el 17 de febrero de 2023 en el que solicita la desestimación del recurso de amparo.</w:t>
      </w:r>
    </w:p>
    <w:p w14:paraId="13BDB925" w14:textId="77777777" w:rsidR="008D479B" w:rsidRDefault="008D479B" w:rsidP="008D479B">
      <w:pPr>
        <w:pStyle w:val="TextoNormal"/>
      </w:pPr>
    </w:p>
    <w:p w14:paraId="08D2FF1B" w14:textId="77777777" w:rsidR="008D479B" w:rsidRDefault="008D479B" w:rsidP="008D479B">
      <w:pPr>
        <w:pStyle w:val="TextoNormal"/>
      </w:pPr>
      <w:r>
        <w:t>Descarta, en primer lugar, que se haya producido una vulneración del art. 14 CE, al no existir el término válido de comparación exigido para que se produzca la vulneración, pues no se han dictado las resoluciones por los mismos órganos, ni en el caso del reproche dirigido al Tribunal Supremo concurre la identidad de supuestos exigida.</w:t>
      </w:r>
    </w:p>
    <w:p w14:paraId="638DE401" w14:textId="77777777" w:rsidR="008D479B" w:rsidRDefault="008D479B" w:rsidP="008D479B">
      <w:pPr>
        <w:pStyle w:val="TextoNormal"/>
      </w:pPr>
    </w:p>
    <w:p w14:paraId="36F64E42" w14:textId="77777777" w:rsidR="008D479B" w:rsidRDefault="008D479B" w:rsidP="008D479B">
      <w:pPr>
        <w:pStyle w:val="TextoNormal"/>
      </w:pPr>
      <w:r>
        <w:t>Rechaza, asimismo, la vulneración del art. 20.1 a) y d) CE al existir una regulación normativa que establece el marco temporal de reserva del espacio radioeléctrico a los efectos de convocar los correspondientes concursos. Entiende que corresponde al legislador una mayor libertad de configuración normativa para disciplinar los soportes técnicos e instrumentos de comunicación, que la que posee al ordenar directamente los derechos fundamentales del art. 20.1 CE. De este modo las resoluciones administrativas y las sentencias que aplican la regulación establecida en este ámbito difícilmente pueden lesionar los derechos invocados.</w:t>
      </w:r>
    </w:p>
    <w:p w14:paraId="03A40888" w14:textId="77777777" w:rsidR="008D479B" w:rsidRDefault="008D479B" w:rsidP="008D479B">
      <w:pPr>
        <w:pStyle w:val="TextoNormal"/>
      </w:pPr>
    </w:p>
    <w:p w14:paraId="21FA9B13" w14:textId="5040093B" w:rsidR="008D479B" w:rsidRDefault="008D479B" w:rsidP="008D479B">
      <w:pPr>
        <w:pStyle w:val="TextoNormal"/>
      </w:pPr>
      <w:r>
        <w:t xml:space="preserve">Finalmente, considera que las resoluciones del Tribunal Europeo de Derechos Humanos citadas no son aplicables por tratarse de decisiones de inadmisión o, en el caso de la STEDH de 20 de octubre de 1997, asunto </w:t>
      </w:r>
      <w:r w:rsidRPr="008D479B">
        <w:rPr>
          <w:i/>
        </w:rPr>
        <w:t>Radio ABC c. Austria</w:t>
      </w:r>
      <w:r>
        <w:t>, porque toda la actividad se subordinaba a una concesión del legislador federal que no se produjo, situación que se mantuvo durante tres periodos de tiempo, supuesto distinto al contemplado en la regulación española.</w:t>
      </w:r>
    </w:p>
    <w:p w14:paraId="2A6CCA21" w14:textId="77777777" w:rsidR="008D479B" w:rsidRDefault="008D479B" w:rsidP="008D479B">
      <w:pPr>
        <w:pStyle w:val="TextoNormal"/>
      </w:pPr>
    </w:p>
    <w:p w14:paraId="688BEFA1" w14:textId="5B74E155" w:rsidR="008D479B" w:rsidRDefault="008D479B" w:rsidP="008D479B">
      <w:pPr>
        <w:pStyle w:val="TextoNormal"/>
      </w:pPr>
      <w:r w:rsidRPr="008D479B">
        <w:rPr>
          <w:rStyle w:val="NumeroAFNegritaCaracter"/>
        </w:rPr>
        <w:t>8</w:t>
      </w:r>
      <w:r>
        <w:t>. Por providencia de 21 de septiembre de 2023 se señaló para la deliberación y votación de la presente sentencia el día 25 del mismo mes y año.</w:t>
      </w:r>
    </w:p>
    <w:p w14:paraId="393D38A2" w14:textId="77777777" w:rsidR="008D479B" w:rsidRDefault="008D479B" w:rsidP="008D479B">
      <w:pPr>
        <w:pStyle w:val="TextoNormal"/>
      </w:pPr>
    </w:p>
    <w:p w14:paraId="7C5D7E6D" w14:textId="77777777" w:rsidR="008D479B" w:rsidRDefault="008D479B" w:rsidP="008D479B">
      <w:pPr>
        <w:pStyle w:val="TextoNormalNegritaCentrado"/>
        <w:keepNext/>
      </w:pPr>
      <w:r>
        <w:t>II. Fundamentos jurídicos</w:t>
      </w:r>
    </w:p>
    <w:p w14:paraId="678D5BCC" w14:textId="350783F1" w:rsidR="008D479B" w:rsidRDefault="008D479B" w:rsidP="008D479B">
      <w:pPr>
        <w:pStyle w:val="TextoNormalNegritaCentrado"/>
        <w:keepNext/>
      </w:pPr>
    </w:p>
    <w:p w14:paraId="1CF8267C" w14:textId="77777777" w:rsidR="008D479B" w:rsidRDefault="008D479B" w:rsidP="008D479B">
      <w:pPr>
        <w:pStyle w:val="TextoNormal"/>
      </w:pPr>
      <w:r w:rsidRPr="008D479B">
        <w:rPr>
          <w:rStyle w:val="NumeroAFNegritaCaracter"/>
        </w:rPr>
        <w:t>1</w:t>
      </w:r>
      <w:r>
        <w:t xml:space="preserve">. </w:t>
      </w:r>
      <w:r w:rsidRPr="008D479B">
        <w:rPr>
          <w:i/>
        </w:rPr>
        <w:t>Objeto del recurso</w:t>
      </w:r>
    </w:p>
    <w:p w14:paraId="67933E88" w14:textId="77777777" w:rsidR="008D479B" w:rsidRDefault="008D479B" w:rsidP="008D479B">
      <w:pPr>
        <w:pStyle w:val="TextoNormal"/>
      </w:pPr>
    </w:p>
    <w:p w14:paraId="15F302A3" w14:textId="38FBE198" w:rsidR="008D479B" w:rsidRDefault="008D479B" w:rsidP="008D479B">
      <w:pPr>
        <w:pStyle w:val="TextoNormal"/>
      </w:pPr>
      <w:r>
        <w:t>El objeto de este recurso es determinar si la desestimación presunta del recurso de alzada planteado el 9 de octubre de 2018 ante la Consejería de Hacienda y Administraciones Públicas de la Región de Murcia, contra la desestimación presunta de la solicitud de convocatoria de concurso de licencias audiovisuales de radiodifusión sonora digital disponibles en esa comunidad autónoma, vulnera los derechos fundamentales a la libertad de información, comunicación y expresión [art. 20.1 a) y d) CE], en relación con el art. 14 CE.</w:t>
      </w:r>
    </w:p>
    <w:p w14:paraId="4FC7B9A7" w14:textId="77777777" w:rsidR="008D479B" w:rsidRDefault="008D479B" w:rsidP="008D479B">
      <w:pPr>
        <w:pStyle w:val="TextoNormal"/>
      </w:pPr>
    </w:p>
    <w:p w14:paraId="089244E0" w14:textId="77777777" w:rsidR="008D479B" w:rsidRDefault="008D479B" w:rsidP="008D479B">
      <w:pPr>
        <w:pStyle w:val="TextoNormal"/>
      </w:pPr>
      <w:r w:rsidRPr="008D479B">
        <w:rPr>
          <w:rStyle w:val="NumeroAFNegritaCaracter"/>
        </w:rPr>
        <w:t>2</w:t>
      </w:r>
      <w:r>
        <w:t xml:space="preserve">. </w:t>
      </w:r>
      <w:r w:rsidRPr="008D479B">
        <w:rPr>
          <w:i/>
        </w:rPr>
        <w:t>Cuestión previa: justificación de la especial trascendencia constitucional</w:t>
      </w:r>
    </w:p>
    <w:p w14:paraId="4CFA0B0A" w14:textId="77777777" w:rsidR="008D479B" w:rsidRDefault="008D479B" w:rsidP="008D479B">
      <w:pPr>
        <w:pStyle w:val="TextoNormal"/>
      </w:pPr>
    </w:p>
    <w:p w14:paraId="33A223C1" w14:textId="4CB3F280" w:rsidR="008D479B" w:rsidRDefault="008D479B" w:rsidP="008D479B">
      <w:pPr>
        <w:pStyle w:val="TextoNormal"/>
      </w:pPr>
      <w:r>
        <w:t>La Región de Murcia aduce que el recurso ha de ser inadmitido por carecer de especial trascendencia constitucional. De acuerdo con la doctrina constitucional, corresponde únicamente al Tribunal apreciar en cada caso, en el momento de admitir a trámite el recurso de amparo, si este tiene especial trascendencia constitucional, de acuerdo con lo exigido por el art. 50.1 LOTC (así, SSTC 155/2020, de 4 de noviembre, FJ 2, o 43/2022, de 21 de marzo, FJ 2, y 13/2003, de 6 de marzo, FJ 2, entre otras muchas). En consecuencia, esta causa de inadmisión ha de rechazarse.</w:t>
      </w:r>
    </w:p>
    <w:p w14:paraId="56F13003" w14:textId="77777777" w:rsidR="008D479B" w:rsidRDefault="008D479B" w:rsidP="008D479B">
      <w:pPr>
        <w:pStyle w:val="TextoNormal"/>
      </w:pPr>
    </w:p>
    <w:p w14:paraId="3553622F" w14:textId="77777777" w:rsidR="008D479B" w:rsidRDefault="008D479B" w:rsidP="008D479B">
      <w:pPr>
        <w:pStyle w:val="TextoNormal"/>
      </w:pPr>
      <w:r w:rsidRPr="008D479B">
        <w:rPr>
          <w:rStyle w:val="NumeroAFNegritaCaracter"/>
        </w:rPr>
        <w:t>3</w:t>
      </w:r>
      <w:r>
        <w:t xml:space="preserve">. </w:t>
      </w:r>
      <w:r w:rsidRPr="008D479B">
        <w:rPr>
          <w:i/>
        </w:rPr>
        <w:t>Remisión a lo resuelto en la STC 89/2023, de 18 de julio</w:t>
      </w:r>
    </w:p>
    <w:p w14:paraId="71362720" w14:textId="77777777" w:rsidR="008D479B" w:rsidRDefault="008D479B" w:rsidP="008D479B">
      <w:pPr>
        <w:pStyle w:val="TextoNormal"/>
      </w:pPr>
    </w:p>
    <w:p w14:paraId="0B8EEE79" w14:textId="3DC4D868" w:rsidR="008D479B" w:rsidRDefault="008D479B" w:rsidP="008D479B">
      <w:pPr>
        <w:pStyle w:val="TextoNormal"/>
      </w:pPr>
      <w:r>
        <w:t>El problema constitucional que se plantea en este proceso de amparo es coincidente con el resuelto en la STC 89/2023, de 18 de julio, que excluyó que la actuación administrativa impugnada, en cuanto denegó la convocatoria del concurso solicitado para la concesión de licencias de prestación de servicios audiovisuales, vulnerara los derechos a expresar y difundir libremente los pensamientos, ideas y opiniones mediante la palabra, el escrito o cualquier otro medio de reproducción [art. 20.1 a) CE] y a comunicar o recibir libremente información veraz por cualquier medio de difusión [art. 20.1 d) CE], en relación con el principio de igualdad (art. 14 CE), lo que determina que, por idénticas razones, proceda desestimar el presente recurso de amparo.</w:t>
      </w:r>
    </w:p>
    <w:p w14:paraId="26B3BF0D" w14:textId="77777777" w:rsidR="008D479B" w:rsidRDefault="008D479B" w:rsidP="008D479B">
      <w:pPr>
        <w:pStyle w:val="TextoNormal"/>
      </w:pPr>
    </w:p>
    <w:p w14:paraId="504F9EC6" w14:textId="77777777" w:rsidR="008D479B" w:rsidRDefault="008D479B" w:rsidP="008D479B">
      <w:pPr>
        <w:pStyle w:val="TextoNormalCentrado"/>
        <w:keepNext/>
      </w:pPr>
      <w:r>
        <w:t>FALLO</w:t>
      </w:r>
    </w:p>
    <w:p w14:paraId="34E992CB" w14:textId="7FB14FCE" w:rsidR="008D479B" w:rsidRDefault="008D479B" w:rsidP="008D479B">
      <w:pPr>
        <w:pStyle w:val="TextoNormalCentrado"/>
        <w:keepNext/>
      </w:pPr>
    </w:p>
    <w:p w14:paraId="5567E3CB" w14:textId="0D9AC5BB" w:rsidR="008D479B" w:rsidRDefault="008D479B" w:rsidP="008D479B">
      <w:pPr>
        <w:pStyle w:val="TextoNormal"/>
      </w:pPr>
      <w:r>
        <w:t>En atención a todo lo expuesto, el Tribunal Constitucional, por la autoridad que le confiere la Constitución de la Nación española, ha decidido desestimar el recurso de amparo interpuesto por Logondi Comunicación, S.L.</w:t>
      </w:r>
    </w:p>
    <w:p w14:paraId="7105D34E" w14:textId="77777777" w:rsidR="008D479B" w:rsidRDefault="008D479B" w:rsidP="008D479B">
      <w:pPr>
        <w:pStyle w:val="TextoNormal"/>
      </w:pPr>
    </w:p>
    <w:p w14:paraId="3F87B985" w14:textId="77777777" w:rsidR="008D479B" w:rsidRDefault="008D479B" w:rsidP="008D479B">
      <w:pPr>
        <w:pStyle w:val="TextoNormal"/>
      </w:pPr>
      <w:r>
        <w:t>Publíquese esta sentencia en el “Boletín Oficial del Estado”.</w:t>
      </w:r>
    </w:p>
    <w:p w14:paraId="6F2720D5" w14:textId="77777777" w:rsidR="008D479B" w:rsidRDefault="008D479B" w:rsidP="008D479B">
      <w:pPr>
        <w:pStyle w:val="TextoNormal"/>
      </w:pPr>
      <w:r>
        <w:t>Dada en Madrid, a veinticinco de septiembre de dos mil veintitrés.</w:t>
      </w:r>
    </w:p>
    <w:p w14:paraId="13EF4254" w14:textId="54E4F8BC" w:rsidR="008D479B" w:rsidRDefault="008D479B" w:rsidP="008D479B">
      <w:pPr>
        <w:pStyle w:val="ParrafoNormal"/>
      </w:pPr>
    </w:p>
    <w:p w14:paraId="377D34F5" w14:textId="77777777" w:rsidR="008D479B" w:rsidRDefault="008D479B" w:rsidP="008D479B">
      <w:pPr>
        <w:pStyle w:val="TextoNormalNegritaCentrado"/>
        <w:keepNext/>
      </w:pPr>
      <w:r>
        <w:t>Voto particular concurrente que formula la magistrada doña Concepción Espejel Jorquera a la sentencia dictada en el recurso de amparo número 7122-2021</w:t>
      </w:r>
    </w:p>
    <w:p w14:paraId="056F1B57" w14:textId="12789873" w:rsidR="008D479B" w:rsidRDefault="008D479B" w:rsidP="008D479B">
      <w:pPr>
        <w:pStyle w:val="TextoNormalNegritaCentrado"/>
        <w:keepNext/>
      </w:pPr>
    </w:p>
    <w:p w14:paraId="69D3929D" w14:textId="77777777" w:rsidR="008D479B" w:rsidRDefault="008D479B" w:rsidP="008D479B">
      <w:pPr>
        <w:pStyle w:val="TextoNormal"/>
      </w:pPr>
      <w:r>
        <w:t>En el ejercicio de la facultad que me confiere el artículo 90.2 de la Ley Orgánica del Tribunal Constitucional, y con respeto a la opinión de mis compañeros, formulo voto particular concurrente respecto de la sentencia recaída en el presente recurso de amparo, conforme a los argumentos que ya tuve ocasión de exponer durante su deliberación en la Sala remitiéndome al voto particular que formulé a la STC 89/2023, de 18 de julio, a la que se remite la presente resolución.</w:t>
      </w:r>
    </w:p>
    <w:p w14:paraId="1A3B8F1F" w14:textId="77777777" w:rsidR="008D479B" w:rsidRDefault="008D479B" w:rsidP="008D479B">
      <w:pPr>
        <w:pStyle w:val="TextoNormal"/>
      </w:pPr>
    </w:p>
    <w:p w14:paraId="5E58B073" w14:textId="46FBD666" w:rsidR="008D479B" w:rsidRDefault="008D479B" w:rsidP="008D479B">
      <w:pPr>
        <w:pStyle w:val="TextoNormal"/>
      </w:pPr>
      <w:r>
        <w:t>Madrid, a veinticinco de septiembre de dos mil veintitrés.</w:t>
      </w:r>
    </w:p>
    <w:p w14:paraId="759C724E" w14:textId="0DDA23AF" w:rsidR="008D479B" w:rsidRDefault="008D479B">
      <w:pPr>
        <w:spacing w:after="160" w:line="278" w:lineRule="auto"/>
        <w:rPr>
          <w:rFonts w:ascii="Times New Roman" w:eastAsia="Times New Roman" w:hAnsi="Times New Roman" w:cs="Times New Roman"/>
          <w:sz w:val="24"/>
          <w:szCs w:val="24"/>
          <w:lang w:eastAsia="es-ES"/>
        </w:rPr>
      </w:pPr>
      <w:r>
        <w:br w:type="page"/>
      </w:r>
    </w:p>
    <w:p w14:paraId="588E32EC" w14:textId="77777777" w:rsidR="008D479B" w:rsidRDefault="008D479B" w:rsidP="008D479B">
      <w:pPr>
        <w:pStyle w:val="TtuloResolucin"/>
      </w:pPr>
      <w:bookmarkStart w:id="46" w:name="SENTENCIA_2023_121"/>
      <w:r>
        <w:t>SENTENCIA 121/2023, de 25 de septiembre de 2023</w:t>
      </w:r>
    </w:p>
    <w:bookmarkEnd w:id="46"/>
    <w:p w14:paraId="6A92197F" w14:textId="77777777" w:rsidR="008D479B" w:rsidRDefault="008D479B" w:rsidP="008D479B">
      <w:pPr>
        <w:pStyle w:val="TtuloResolucin"/>
      </w:pPr>
      <w:r>
        <w:t>Sala Segunda</w:t>
      </w:r>
    </w:p>
    <w:p w14:paraId="6A5B4836" w14:textId="77777777" w:rsidR="008D479B" w:rsidRDefault="008D479B" w:rsidP="008D479B">
      <w:pPr>
        <w:pStyle w:val="TtuloBOE"/>
      </w:pPr>
      <w:r>
        <w:t>(BOE núm. 261, de 1 de noviembre de 2023)</w:t>
      </w:r>
    </w:p>
    <w:p w14:paraId="012174D3" w14:textId="77777777" w:rsidR="008D479B" w:rsidRDefault="008D479B" w:rsidP="008D479B">
      <w:pPr>
        <w:pStyle w:val="TextoNormalCentrado"/>
      </w:pPr>
      <w:r>
        <w:t>ECLI:ES:TC:2023:121</w:t>
      </w:r>
    </w:p>
    <w:p w14:paraId="30BFD0B6" w14:textId="49B6B3ED" w:rsidR="008D479B" w:rsidRDefault="008D479B" w:rsidP="008D479B">
      <w:pPr>
        <w:pStyle w:val="TextoNormalCentrado"/>
      </w:pPr>
    </w:p>
    <w:p w14:paraId="54311EFC" w14:textId="77777777" w:rsidR="008D479B" w:rsidRDefault="008D479B" w:rsidP="008D479B">
      <w:pPr>
        <w:pStyle w:val="SntesisDescriptiva"/>
      </w:pPr>
      <w:r>
        <w:t>Recurso de amparo 7638-2021. Promovido por Logondi Comunicación, S.L., respecto de la desestimación presunta, por la Consejería de Presidencia de la Xunta de Galicia, de su solicitud de convocatoria de concurso público para la adjudicación de licencias disponibles de comunicación audiovisual de radiodifusión sonora digital terrestre de ámbito local.</w:t>
      </w:r>
    </w:p>
    <w:p w14:paraId="11242CD2" w14:textId="072C93DC" w:rsidR="008D479B" w:rsidRDefault="008D479B" w:rsidP="008D479B">
      <w:pPr>
        <w:pStyle w:val="SntesisDescriptiva"/>
      </w:pPr>
    </w:p>
    <w:p w14:paraId="388E7C39" w14:textId="77777777" w:rsidR="008D479B" w:rsidRDefault="008D479B" w:rsidP="008D479B">
      <w:pPr>
        <w:pStyle w:val="SntesisAnaltica"/>
      </w:pPr>
      <w:r>
        <w:t>Supuesta vulneración del derecho a la igualdad y a las libertades de expresión e información: STC 89/2023 (resolución administrativa que no resulta desproporcionada y que viene impuesta por la inexistencia de reserva de dominio público radioeléctrico). Voto particular.</w:t>
      </w:r>
    </w:p>
    <w:p w14:paraId="041B93D6" w14:textId="63791E5B" w:rsidR="008D479B" w:rsidRDefault="008D479B" w:rsidP="008D479B">
      <w:pPr>
        <w:pStyle w:val="SntesisAnaltica"/>
      </w:pPr>
    </w:p>
    <w:p w14:paraId="3679F131" w14:textId="0CF944EB" w:rsidR="008D479B" w:rsidRDefault="008D479B" w:rsidP="008D479B">
      <w:pPr>
        <w:pStyle w:val="Extracto"/>
      </w:pPr>
      <w:r>
        <w:t>1.</w:t>
      </w:r>
      <w:r>
        <w:tab/>
        <w:t xml:space="preserve">Remisión a la STC 89/2023 que declaró respetados los derechos a expresar y difundir libremente los pensamientos, ideas y opiniones, así como a comunicar o recibir libremente información veraz por cualquier medio de difusión, consagrados en el art. 20.1 a) y d) CE, en relación con el principio de igualdad reconocido en el art. 14 CE, por parte de la actuación administrativa denegatoria de convocatoria de concurso para la concesión de licencias de prestación de servicios audiovisuales </w:t>
      </w:r>
    </w:p>
    <w:p w14:paraId="09A94E9D" w14:textId="77777777" w:rsidR="008D479B" w:rsidRDefault="008D479B" w:rsidP="008D479B">
      <w:pPr>
        <w:pStyle w:val="Extracto"/>
      </w:pPr>
    </w:p>
    <w:p w14:paraId="1E920174" w14:textId="77777777" w:rsidR="008D479B" w:rsidRDefault="008D479B" w:rsidP="008D479B">
      <w:pPr>
        <w:pStyle w:val="Extracto"/>
      </w:pPr>
    </w:p>
    <w:p w14:paraId="5110F712" w14:textId="77777777" w:rsidR="008D479B" w:rsidRDefault="008D479B" w:rsidP="008D479B">
      <w:pPr>
        <w:pStyle w:val="TextoNormal"/>
      </w:pPr>
      <w:r>
        <w:t>La Sala Segunda del Tribunal Constitucional, compuesta por la magistrada doña Inmaculada Montalbán Huertas, presidenta, y las magistradas y magistrados doña María Luisa Balaguer Callejón, don Ramón Sáez Valcárcel, don Enrique Arnaldo Alcubilla y doña Laura Díez Bueso, ha pronunciado</w:t>
      </w:r>
    </w:p>
    <w:p w14:paraId="7958C8FF" w14:textId="1D689B0D" w:rsidR="008D479B" w:rsidRDefault="008D479B" w:rsidP="008D479B">
      <w:pPr>
        <w:pStyle w:val="TextoNormal"/>
      </w:pPr>
    </w:p>
    <w:p w14:paraId="6A3A2E16" w14:textId="77777777" w:rsidR="008D479B" w:rsidRDefault="008D479B" w:rsidP="008D479B">
      <w:pPr>
        <w:pStyle w:val="TextoNormalCentrado"/>
        <w:keepNext/>
      </w:pPr>
      <w:r>
        <w:t>EN NOMBRE DEL REY</w:t>
      </w:r>
    </w:p>
    <w:p w14:paraId="4F690A8F" w14:textId="0BC6F1E2" w:rsidR="008D479B" w:rsidRDefault="008D479B" w:rsidP="008D479B">
      <w:pPr>
        <w:pStyle w:val="TextoNormalCentrado"/>
        <w:keepNext/>
      </w:pPr>
    </w:p>
    <w:p w14:paraId="05657273" w14:textId="77777777" w:rsidR="008D479B" w:rsidRDefault="008D479B" w:rsidP="008D479B">
      <w:pPr>
        <w:pStyle w:val="TextoNormalCentrado"/>
        <w:keepNext/>
      </w:pPr>
    </w:p>
    <w:p w14:paraId="06F6AFA8" w14:textId="77777777" w:rsidR="008D479B" w:rsidRDefault="008D479B" w:rsidP="008D479B">
      <w:pPr>
        <w:pStyle w:val="TextoNormal"/>
      </w:pPr>
      <w:r>
        <w:t>la siguiente</w:t>
      </w:r>
    </w:p>
    <w:p w14:paraId="1D03A4AC" w14:textId="2FD12EA1" w:rsidR="008D479B" w:rsidRDefault="008D479B" w:rsidP="008D479B">
      <w:pPr>
        <w:pStyle w:val="TextoNormal"/>
      </w:pPr>
    </w:p>
    <w:p w14:paraId="0117BF10" w14:textId="77777777" w:rsidR="008D479B" w:rsidRDefault="008D479B" w:rsidP="008D479B">
      <w:pPr>
        <w:pStyle w:val="TextoNormalCentrado"/>
        <w:keepNext/>
      </w:pPr>
      <w:r>
        <w:t>SENTENCIA</w:t>
      </w:r>
    </w:p>
    <w:p w14:paraId="69847CF4" w14:textId="1ABA889D" w:rsidR="008D479B" w:rsidRDefault="008D479B" w:rsidP="008D479B">
      <w:pPr>
        <w:pStyle w:val="TextoNormalCentrado"/>
        <w:keepNext/>
      </w:pPr>
    </w:p>
    <w:p w14:paraId="557E77D2" w14:textId="77777777" w:rsidR="008D479B" w:rsidRDefault="008D479B" w:rsidP="008D479B">
      <w:pPr>
        <w:pStyle w:val="TextoNormal"/>
      </w:pPr>
      <w:r>
        <w:t>En el recurso de amparo número 7638-2021, promovido por Logondi Comunicación, S.L., representada por el procurador de los tribunales don José Carlos García Rodríguez y asistida por el abogado don Jaime Rodríguez Díez, contra la desestimación presunta de la solicitud planteada el 12 de enero de 2018 ante la Secretaría General de Medios de la Consejería de Presidencia de la Xunta de Galicia de convocatoria de concurso de licencias audiovisuales de radiodifusión sonora digital disponibles en la Comunidad Autónoma de Galicia. Ha comparecido la referida comunidad autónoma y ha intervenido el Ministerio Fiscal. Ha sido ponente la magistrada doña Inmaculada Montalbán Huertas.</w:t>
      </w:r>
    </w:p>
    <w:p w14:paraId="3FFC7462" w14:textId="7129390C" w:rsidR="008D479B" w:rsidRDefault="008D479B" w:rsidP="008D479B">
      <w:pPr>
        <w:pStyle w:val="TextoNormal"/>
      </w:pPr>
    </w:p>
    <w:p w14:paraId="261F5E36" w14:textId="77777777" w:rsidR="008D479B" w:rsidRDefault="008D479B" w:rsidP="008D479B">
      <w:pPr>
        <w:pStyle w:val="TextoNormalNegritaCentrado"/>
        <w:keepNext/>
      </w:pPr>
      <w:r>
        <w:t>I. Antecedentes</w:t>
      </w:r>
    </w:p>
    <w:p w14:paraId="725BF77E" w14:textId="4D3284D9" w:rsidR="008D479B" w:rsidRDefault="008D479B" w:rsidP="008D479B">
      <w:pPr>
        <w:pStyle w:val="TextoNormalNegritaCentrado"/>
        <w:keepNext/>
      </w:pPr>
    </w:p>
    <w:p w14:paraId="226B8FF2" w14:textId="65E572D4" w:rsidR="008D479B" w:rsidRDefault="008D479B" w:rsidP="008D479B">
      <w:pPr>
        <w:pStyle w:val="TextoNormal"/>
      </w:pPr>
      <w:r w:rsidRPr="008D479B">
        <w:rPr>
          <w:rStyle w:val="NumeroAFNegritaCaracter"/>
        </w:rPr>
        <w:t>1</w:t>
      </w:r>
      <w:r>
        <w:t>. Mediante escrito presentado en el registro general de este tribunal el 1 de diciembre de 2021, el procurador de los tribunales don José Carlos García Rodríguez, actuando en nombre y representación de Logondi Comunicación, S.L., bajo la defensa del letrado don Jaime Rodríguez Díez, interpuso demanda de amparo contra la desestimación presunta arriba mencionada.</w:t>
      </w:r>
    </w:p>
    <w:p w14:paraId="0F2D1F77" w14:textId="77777777" w:rsidR="008D479B" w:rsidRDefault="008D479B" w:rsidP="008D479B">
      <w:pPr>
        <w:pStyle w:val="TextoNormal"/>
      </w:pPr>
    </w:p>
    <w:p w14:paraId="348FC43D" w14:textId="77777777" w:rsidR="008D479B" w:rsidRDefault="008D479B" w:rsidP="008D479B">
      <w:pPr>
        <w:pStyle w:val="TextoNormal"/>
      </w:pPr>
      <w:r w:rsidRPr="008D479B">
        <w:rPr>
          <w:rStyle w:val="NumeroAFNegritaCaracter"/>
        </w:rPr>
        <w:t>2</w:t>
      </w:r>
      <w:r>
        <w:t>. Los hechos con relevancia para la resolución del presente recurso de amparo y a los que se refiere la demanda presentada son los siguientes:</w:t>
      </w:r>
    </w:p>
    <w:p w14:paraId="582DF45F" w14:textId="77777777" w:rsidR="008D479B" w:rsidRDefault="008D479B" w:rsidP="008D479B">
      <w:pPr>
        <w:pStyle w:val="TextoNormal"/>
      </w:pPr>
    </w:p>
    <w:p w14:paraId="7C4133BE" w14:textId="77777777" w:rsidR="008D479B" w:rsidRDefault="008D479B" w:rsidP="008D479B">
      <w:pPr>
        <w:pStyle w:val="TextoNormal"/>
      </w:pPr>
      <w:r>
        <w:t>a) La mercantil Logondi Comunicación, S.L., interpuso recurso contencioso administrativo contra la desestimación presunta de la solicitud planteada el 12 de enero de 2018 ante la Secretaría General de Medios de la Consejería de Presidencia de la Xunta de Galicia de convocatoria de concurso de licencias audiovisuales de radiodifusión sonora digital disponibles en la Comunidad Autónoma de Galicia.</w:t>
      </w:r>
    </w:p>
    <w:p w14:paraId="5E84935F" w14:textId="77777777" w:rsidR="008D479B" w:rsidRDefault="008D479B" w:rsidP="008D479B">
      <w:pPr>
        <w:pStyle w:val="TextoNormal"/>
      </w:pPr>
    </w:p>
    <w:p w14:paraId="662DDEE9" w14:textId="77777777" w:rsidR="008D479B" w:rsidRDefault="008D479B" w:rsidP="008D479B">
      <w:pPr>
        <w:pStyle w:val="TextoNormal"/>
      </w:pPr>
      <w:r>
        <w:t>b) La Sección Segunda de la Sala de lo Contencioso-Administrativo del Tribunal Superior de Justicia de Galicia estimó el recurso interpuesto por sentencia de 12 de febrero de 2021 al concluir que la obligación de la administración de convocar las licencias de comunicación audiovisual que estén libres, vacantes o desiertas, sea la causa que sea, no puede quedar enervada por lo previsto en el art. 27.4 de la Ley general de la comunicación audiovisual (LGCA).</w:t>
      </w:r>
    </w:p>
    <w:p w14:paraId="4D3E346A" w14:textId="77777777" w:rsidR="008D479B" w:rsidRDefault="008D479B" w:rsidP="008D479B">
      <w:pPr>
        <w:pStyle w:val="TextoNormal"/>
      </w:pPr>
    </w:p>
    <w:p w14:paraId="20B9A21D" w14:textId="77777777" w:rsidR="008D479B" w:rsidRDefault="008D479B" w:rsidP="008D479B">
      <w:pPr>
        <w:pStyle w:val="TextoNormal"/>
      </w:pPr>
      <w:r>
        <w:t>c) Frente a dicha sentencia la representación procesal de la entidad ahora recurrente en amparo interpuso recurso de casación, que fue estimado por sentencia de la Sección Tercera de la Sala de lo Contencioso-Administrativo del Tribunal Supremo de 22 de noviembre de 2021.</w:t>
      </w:r>
    </w:p>
    <w:p w14:paraId="19433A82" w14:textId="77777777" w:rsidR="008D479B" w:rsidRDefault="008D479B" w:rsidP="008D479B">
      <w:pPr>
        <w:pStyle w:val="TextoNormal"/>
      </w:pPr>
    </w:p>
    <w:p w14:paraId="5D1541A9" w14:textId="77777777" w:rsidR="008D479B" w:rsidRDefault="008D479B" w:rsidP="008D479B">
      <w:pPr>
        <w:pStyle w:val="TextoNormal"/>
      </w:pPr>
      <w:r>
        <w:t>Atendiendo al interés casacional advertido en el auto de admisión a trámite, la sentencia de casación expone la doctrina contenida en los recientes pronunciamientos del propio Tribunal Supremo relativa a las circunstancias de aplicación y a los efectos que los plazos prevenidos en el art. 27.4 LGCA puedan tener sobre los planes técnicos y sobre la cobertura de las licencias vacantes.</w:t>
      </w:r>
    </w:p>
    <w:p w14:paraId="684F3177" w14:textId="77777777" w:rsidR="008D479B" w:rsidRDefault="008D479B" w:rsidP="008D479B">
      <w:pPr>
        <w:pStyle w:val="TextoNormal"/>
      </w:pPr>
    </w:p>
    <w:p w14:paraId="59F90254" w14:textId="58CB5CA8" w:rsidR="008D479B" w:rsidRDefault="008D479B" w:rsidP="008D479B">
      <w:pPr>
        <w:pStyle w:val="TextoNormal"/>
      </w:pPr>
      <w:r>
        <w:t>Colige que nada hay en el art. 27 LGCA que pueda considerarse irrazonable o indebidamente restrictivo, en particular, al prever que el no aprovechamiento de espacios reservados al dominio público radioeléctrico para servicios de radiodifusión en un plazo concreto de tiempo tras la aprobación de la planificación correspondiente hace decaer dicha reserva. Tampoco considera que la aplicación del art. 27.4 LGCA incurra en prohibición de irretroactividad porque se proyecte sobre una planificación técnica aprobada con anterioridad a la entrada en vigor de la Ley general de la comunicación audiovisual, concluyendo que “de conformidad con lo dispuesto en el art. 27.4 de la Ley general de comunicación audiovisual, el transcurso de los plazos estipulados en dicho precepto tras la aprobación de un plan técnico nacional de un servicio de radio o televisión, sin que la administración haya solicitado la afectación al servicio público de radio o televisión de que se trate de la reserva de dominio prevista en el citado plan o se haya convocado concurso para el otorgamiento de licencias, y sin que ningún interesado haya solicitado dicha convocatoria, la reserva de dominio decaerá y será excluida de la planificación. En consecuencia y dados tales presupuestos, la administración no estaría ya obligada a la convocatoria de concurso a solicitud de cualquier interesado hasta que se efectúe una nueva reserva de dominio y se produzca la correspondiente afectación al servicio público de radio o televisión”.</w:t>
      </w:r>
    </w:p>
    <w:p w14:paraId="1E9BA29B" w14:textId="77777777" w:rsidR="008D479B" w:rsidRDefault="008D479B" w:rsidP="008D479B">
      <w:pPr>
        <w:pStyle w:val="TextoNormal"/>
      </w:pPr>
    </w:p>
    <w:p w14:paraId="513CFC5A" w14:textId="77777777" w:rsidR="008D479B" w:rsidRDefault="008D479B" w:rsidP="008D479B">
      <w:pPr>
        <w:pStyle w:val="TextoNormal"/>
      </w:pPr>
      <w:r w:rsidRPr="008D479B">
        <w:rPr>
          <w:rStyle w:val="NumeroAFNegritaCaracter"/>
        </w:rPr>
        <w:t>3</w:t>
      </w:r>
      <w:r>
        <w:t>. En la demanda de amparo se alegan las siguientes vulneraciones constitucionales:</w:t>
      </w:r>
    </w:p>
    <w:p w14:paraId="2E47E03F" w14:textId="77777777" w:rsidR="008D479B" w:rsidRDefault="008D479B" w:rsidP="008D479B">
      <w:pPr>
        <w:pStyle w:val="TextoNormal"/>
      </w:pPr>
    </w:p>
    <w:p w14:paraId="278286B6" w14:textId="77777777" w:rsidR="008D479B" w:rsidRDefault="008D479B" w:rsidP="008D479B">
      <w:pPr>
        <w:pStyle w:val="TextoNormal"/>
      </w:pPr>
      <w:r>
        <w:t>a) Afirma que la negativa a convocar un concurso público por parte del Gobierno de la Comunidad Autónoma de Galicia amparándose en el transcurso de un plazo imputable a su propia inactividad y el consiguiente decaimiento de la planificación del espacio radioeléctrico ha imposibilitado el ejercicio de los derechos fundamentales a la libertad de información, comunicación y expresión, en relación con el art. 14 CE, en concreto, de su derecho a crear los medios de comunicación indispensables para el ejercicio del derecho a expresar y difundir libremente los pensamientos, ideas y opiniones mediante la palabra, el escrito o cualquier otro medio de reproducción [art. 20.1 a) CE] y a comunicar o recibir libremente información veraz por cualquier medio de difusión [art. 20.1 d) CE]. Entiende que prevalece el deber de convocar el concurso de adjudicación (art. 27.2 LGCA) sobre el eventual decaimiento de la reserva del espectro radioeléctrico (art. 27.4 LGCA) por lo que ha sido la inacción de la administración pública la causante de que no se haya aprovechado el espectro que el Estado ha otorgado a la comunidad autónoma, lo que invalida el acto recurrido por ser contrario a los derechos invocados. Alega que otras comunidades autónomas han convocado los concursos de licencias más allá del plazo establecido y que la negativa a convocar los concursos de adjudicación de licencias vacantes es incompatible con la Directiva 2018/1972, de 11 de diciembre, por la que se establece el Código europeo de las comunicaciones electrónicas, por crear barreras de acceso al mercado e inutilizar el espectro radioeléctrico.</w:t>
      </w:r>
    </w:p>
    <w:p w14:paraId="44A93CA6" w14:textId="77777777" w:rsidR="008D479B" w:rsidRDefault="008D479B" w:rsidP="008D479B">
      <w:pPr>
        <w:pStyle w:val="TextoNormal"/>
      </w:pPr>
    </w:p>
    <w:p w14:paraId="15D06675" w14:textId="77777777" w:rsidR="008D479B" w:rsidRDefault="008D479B" w:rsidP="008D479B">
      <w:pPr>
        <w:pStyle w:val="TextoNormal"/>
      </w:pPr>
      <w:r>
        <w:t>Sostiene también que existe una patente contradicción entre las sentencias del Tribunal Supremo al diferenciar incorrectamente entre licencias de televisión digital y licencias de radiodifusión digital para la protección de los derechos fundamentales.</w:t>
      </w:r>
    </w:p>
    <w:p w14:paraId="0B16EEBE" w14:textId="77777777" w:rsidR="008D479B" w:rsidRDefault="008D479B" w:rsidP="008D479B">
      <w:pPr>
        <w:pStyle w:val="TextoNormal"/>
      </w:pPr>
    </w:p>
    <w:p w14:paraId="2C607575" w14:textId="77777777" w:rsidR="008D479B" w:rsidRDefault="008D479B" w:rsidP="008D479B">
      <w:pPr>
        <w:pStyle w:val="TextoNormal"/>
      </w:pPr>
      <w:r>
        <w:t xml:space="preserve">Añade, en fin, que la negativa a conceder una licencia de radiodifusión infringe el art. 10, apartado 1, del Convenio europeo de derechos humanos (CEDH) y cita las resoluciones del Tribunal Europeo de Derechos Humanos de 20 de octubre de 1997, asunto </w:t>
      </w:r>
      <w:r w:rsidRPr="008D479B">
        <w:rPr>
          <w:i/>
        </w:rPr>
        <w:t>Radio ABC c. Austria</w:t>
      </w:r>
      <w:r>
        <w:t xml:space="preserve">; de 23 de noviembre de 1999, asunto </w:t>
      </w:r>
      <w:r w:rsidRPr="008D479B">
        <w:rPr>
          <w:i/>
        </w:rPr>
        <w:t>Leveque c. Francia</w:t>
      </w:r>
      <w:r>
        <w:t xml:space="preserve">; de 7 de noviembre de 2000, asunto </w:t>
      </w:r>
      <w:r w:rsidRPr="008D479B">
        <w:rPr>
          <w:i/>
        </w:rPr>
        <w:t>United Christian Broadcasters Ltd. c. Reino Unido</w:t>
      </w:r>
      <w:r>
        <w:t xml:space="preserve">; de 11 de octubre de 2007, asunto </w:t>
      </w:r>
      <w:r w:rsidRPr="008D479B">
        <w:rPr>
          <w:i/>
        </w:rPr>
        <w:t>Glas Nadejda EOOD y Elenkov c. Bulgaria</w:t>
      </w:r>
      <w:r>
        <w:t xml:space="preserve">; de 17 de junio de 2008, asunto </w:t>
      </w:r>
      <w:r w:rsidRPr="008D479B">
        <w:rPr>
          <w:i/>
        </w:rPr>
        <w:t>Meltex Ltd. y Movsessian c. Armenia</w:t>
      </w:r>
      <w:r>
        <w:t xml:space="preserve">, así como el dictamen del Comité de Derechos Humanos de Naciones Unidas, de 27 de octubre de 2016, en el caso </w:t>
      </w:r>
      <w:r w:rsidRPr="008D479B">
        <w:rPr>
          <w:i/>
        </w:rPr>
        <w:t>Azagade c. Azerbaiyán</w:t>
      </w:r>
      <w:r>
        <w:t>.</w:t>
      </w:r>
    </w:p>
    <w:p w14:paraId="4E797369" w14:textId="77777777" w:rsidR="008D479B" w:rsidRDefault="008D479B" w:rsidP="008D479B">
      <w:pPr>
        <w:pStyle w:val="TextoNormal"/>
      </w:pPr>
    </w:p>
    <w:p w14:paraId="194C1A88" w14:textId="49DE2C29" w:rsidR="008D479B" w:rsidRDefault="008D479B" w:rsidP="008D479B">
      <w:pPr>
        <w:pStyle w:val="TextoNormal"/>
      </w:pPr>
      <w:r>
        <w:t>b) En segundo lugar, considera vulnerado el derecho a la igualdad (art. 14 CE), al haberse convocado en otras comunidades autónomas concursos públicos de licencias de comunicación audiovisual. Mantiene que el art. 27.4 LGCA, al tener la consideración de normativa básica, debe aplicarse de forma similar en todo el territorio estatal y la dispar interpretación efectuada por las distintas comunidades autónomas, a juicio de la entidad recurrente, lesiona el art. 14 CE.</w:t>
      </w:r>
    </w:p>
    <w:p w14:paraId="1BA75BDF" w14:textId="77777777" w:rsidR="008D479B" w:rsidRDefault="008D479B" w:rsidP="008D479B">
      <w:pPr>
        <w:pStyle w:val="TextoNormal"/>
      </w:pPr>
    </w:p>
    <w:p w14:paraId="7C31EE5B" w14:textId="347C98C9" w:rsidR="008D479B" w:rsidRDefault="008D479B" w:rsidP="008D479B">
      <w:pPr>
        <w:pStyle w:val="TextoNormal"/>
      </w:pPr>
      <w:r w:rsidRPr="008D479B">
        <w:rPr>
          <w:rStyle w:val="NumeroAFNegritaCaracter"/>
        </w:rPr>
        <w:t>4</w:t>
      </w:r>
      <w:r>
        <w:t>. Por providencia de 24 de octubre de 2022, la Sección Segunda del Tribunal Constitucional acordó admitir a trámite la demanda de amparo, al apreciar que concurría en la misma una especial trascendencia constitucional [art. 50.1 de la Ley Orgánica del Tribunal Constitucional (LOTC)] porque el recurso podía dar ocasión al Tribunal para aclarar o cambiar su doctrina, como consecuencia de un proceso de reflexión interna [STC 155/2009, de 25 de junio, FJ 2 b)] y el asunto suscitado trascendía del caso concreto porque plantea una cuestión jurídica de relevante y general repercusión social o económica [STC 155/2009, FJ 2 g)].</w:t>
      </w:r>
    </w:p>
    <w:p w14:paraId="7437FE81" w14:textId="77777777" w:rsidR="008D479B" w:rsidRDefault="008D479B" w:rsidP="008D479B">
      <w:pPr>
        <w:pStyle w:val="TextoNormal"/>
      </w:pPr>
    </w:p>
    <w:p w14:paraId="5B502844" w14:textId="17313C20" w:rsidR="008D479B" w:rsidRDefault="008D479B" w:rsidP="008D479B">
      <w:pPr>
        <w:pStyle w:val="TextoNormal"/>
      </w:pPr>
      <w:r w:rsidRPr="008D479B">
        <w:rPr>
          <w:rStyle w:val="NumeroAFNegritaCaracter"/>
        </w:rPr>
        <w:t>5</w:t>
      </w:r>
      <w:r>
        <w:t>. Por diligencia de ordenación de la Secretaría de Justicia de la Sección se tuvo por personada a la Comunidad Autónoma de Galicia. Y, a tenor de lo dispuesto en el art. 52 LOTC, se dio vista de las actuaciones, por un plazo común de veinte días, al Ministerio Fiscal y a las partes personadas para que dentro de dicho término pudieran presentar las alegaciones que a su derecho conviniera.</w:t>
      </w:r>
    </w:p>
    <w:p w14:paraId="5E2B3FBE" w14:textId="77777777" w:rsidR="008D479B" w:rsidRDefault="008D479B" w:rsidP="008D479B">
      <w:pPr>
        <w:pStyle w:val="TextoNormal"/>
      </w:pPr>
    </w:p>
    <w:p w14:paraId="7C27362F" w14:textId="213BCAE4" w:rsidR="008D479B" w:rsidRDefault="008D479B" w:rsidP="008D479B">
      <w:pPr>
        <w:pStyle w:val="TextoNormal"/>
      </w:pPr>
      <w:r w:rsidRPr="008D479B">
        <w:rPr>
          <w:rStyle w:val="NumeroAFNegritaCaracter"/>
        </w:rPr>
        <w:t>6</w:t>
      </w:r>
      <w:r>
        <w:t>. La Comunidad Autónoma de Galicia, con la representación y asistencia de letrado de su servicio jurídico, presentó sus alegaciones mediante escrito registrado el 9 de enero de 2023, en el que rechaza que se hayan vulnerado los derechos invocados en la demanda de amparo.</w:t>
      </w:r>
    </w:p>
    <w:p w14:paraId="65C7383C" w14:textId="77777777" w:rsidR="008D479B" w:rsidRDefault="008D479B" w:rsidP="008D479B">
      <w:pPr>
        <w:pStyle w:val="TextoNormal"/>
      </w:pPr>
    </w:p>
    <w:p w14:paraId="776D9E9D" w14:textId="78023025" w:rsidR="008D479B" w:rsidRDefault="008D479B" w:rsidP="008D479B">
      <w:pPr>
        <w:pStyle w:val="TextoNormal"/>
      </w:pPr>
      <w:r w:rsidRPr="008D479B">
        <w:rPr>
          <w:rStyle w:val="NumeroAFNegritaCaracter"/>
        </w:rPr>
        <w:t>7</w:t>
      </w:r>
      <w:r>
        <w:t>. Por diligencia de ordenación de 20 de enero de 2023, el secretario de justicia de la Sección Tercera de la Sala Segunda de este tribunal puso en conocimiento de las partes que, en virtud del acuerdo del Pleno del Tribunal Constitucional de 17 de enero de 2023, publicado en el “Boletín Oficial del Estado” de 19 de enero de 2023, el presente recurso de amparo fue turnado a la citada sección.</w:t>
      </w:r>
    </w:p>
    <w:p w14:paraId="54C087E6" w14:textId="77777777" w:rsidR="008D479B" w:rsidRDefault="008D479B" w:rsidP="008D479B">
      <w:pPr>
        <w:pStyle w:val="TextoNormal"/>
      </w:pPr>
    </w:p>
    <w:p w14:paraId="683E8AD6" w14:textId="4261281B" w:rsidR="008D479B" w:rsidRDefault="008D479B" w:rsidP="008D479B">
      <w:pPr>
        <w:pStyle w:val="TextoNormal"/>
      </w:pPr>
      <w:r w:rsidRPr="008D479B">
        <w:rPr>
          <w:rStyle w:val="NumeroAFNegritaCaracter"/>
        </w:rPr>
        <w:t>8</w:t>
      </w:r>
      <w:r>
        <w:t>. La demandante de amparo presentó sus alegaciones mediante escrito registrado el 23 de enero de 2023 en el que reiteraba los argumentos expuestos en la demanda.</w:t>
      </w:r>
    </w:p>
    <w:p w14:paraId="2398A529" w14:textId="77777777" w:rsidR="008D479B" w:rsidRDefault="008D479B" w:rsidP="008D479B">
      <w:pPr>
        <w:pStyle w:val="TextoNormal"/>
      </w:pPr>
    </w:p>
    <w:p w14:paraId="7F712278" w14:textId="77777777" w:rsidR="008D479B" w:rsidRDefault="008D479B" w:rsidP="008D479B">
      <w:pPr>
        <w:pStyle w:val="TextoNormal"/>
      </w:pPr>
      <w:r w:rsidRPr="008D479B">
        <w:rPr>
          <w:rStyle w:val="NumeroAFNegritaCaracter"/>
        </w:rPr>
        <w:t>9</w:t>
      </w:r>
      <w:r>
        <w:t>. El Ministerio Fiscal presentó sus alegaciones mediante escrito registrado el 8 de febrero de 2023 en el que solicita la desestimación del recurso de amparo.</w:t>
      </w:r>
    </w:p>
    <w:p w14:paraId="04CCCBB7" w14:textId="77777777" w:rsidR="008D479B" w:rsidRDefault="008D479B" w:rsidP="008D479B">
      <w:pPr>
        <w:pStyle w:val="TextoNormal"/>
      </w:pPr>
    </w:p>
    <w:p w14:paraId="7B401B9A" w14:textId="77777777" w:rsidR="008D479B" w:rsidRDefault="008D479B" w:rsidP="008D479B">
      <w:pPr>
        <w:pStyle w:val="TextoNormal"/>
      </w:pPr>
      <w:r>
        <w:t>Descarta, en primer lugar, que se haya producido una vulneración del art. 14 CE, al no existir el término válido de comparación exigido para que se produzca la vulneración, pues no se han dictado las resoluciones por los mismos órganos, ni en el caso del reproche dirigido al Tribunal Supremo concurre la identidad de supuestos exigida.</w:t>
      </w:r>
    </w:p>
    <w:p w14:paraId="0ECC0D2D" w14:textId="77777777" w:rsidR="008D479B" w:rsidRDefault="008D479B" w:rsidP="008D479B">
      <w:pPr>
        <w:pStyle w:val="TextoNormal"/>
      </w:pPr>
    </w:p>
    <w:p w14:paraId="53C7439F" w14:textId="77777777" w:rsidR="008D479B" w:rsidRDefault="008D479B" w:rsidP="008D479B">
      <w:pPr>
        <w:pStyle w:val="TextoNormal"/>
      </w:pPr>
      <w:r>
        <w:t>Rechaza, asimismo, la vulneración del art. 20.1 a) y d) CE al existir una regulación normativa que establece el marco temporal de reserva del espacio radioeléctrico a los efectos de convocar los correspondientes concursos. Entiende que corresponde al legislador una mayor libertad de configuración normativa para disciplinar los soportes técnicos e instrumentos de comunicación, que la que posee al ordenar directamente los derechos fundamentales del art. 20.1 CE. De este modo las resoluciones administrativas y las sentencias que aplican la regulación establecida en este ámbito difícilmente pueden lesionar los derechos invocados.</w:t>
      </w:r>
    </w:p>
    <w:p w14:paraId="4A15195C" w14:textId="77777777" w:rsidR="008D479B" w:rsidRDefault="008D479B" w:rsidP="008D479B">
      <w:pPr>
        <w:pStyle w:val="TextoNormal"/>
      </w:pPr>
    </w:p>
    <w:p w14:paraId="7D9128F7" w14:textId="774DB529" w:rsidR="008D479B" w:rsidRDefault="008D479B" w:rsidP="008D479B">
      <w:pPr>
        <w:pStyle w:val="TextoNormal"/>
      </w:pPr>
      <w:r>
        <w:t xml:space="preserve">Finalmente, considera que las resoluciones del Tribunal Europeo de Derechos Humanos citadas no son aplicables por tratarse de decisiones de inadmisión o, en el caso de la STEDH de 20 de octubre de 1997, asunto </w:t>
      </w:r>
      <w:r w:rsidRPr="008D479B">
        <w:rPr>
          <w:i/>
        </w:rPr>
        <w:t>Radio ABC c. Austria</w:t>
      </w:r>
      <w:r>
        <w:t>, porque toda la actividad se subordinaba a una concesión del legislador federal que no se produjo, situación que se mantuvo durante tres periodos de tiempo, supuesto distinto al contemplado en la regulación española.</w:t>
      </w:r>
    </w:p>
    <w:p w14:paraId="5BA61B98" w14:textId="77777777" w:rsidR="008D479B" w:rsidRDefault="008D479B" w:rsidP="008D479B">
      <w:pPr>
        <w:pStyle w:val="TextoNormal"/>
      </w:pPr>
    </w:p>
    <w:p w14:paraId="7CF044BD" w14:textId="249E257C" w:rsidR="008D479B" w:rsidRDefault="008D479B" w:rsidP="008D479B">
      <w:pPr>
        <w:pStyle w:val="TextoNormal"/>
      </w:pPr>
      <w:r w:rsidRPr="008D479B">
        <w:rPr>
          <w:rStyle w:val="NumeroAFNegritaCaracter"/>
        </w:rPr>
        <w:t>10</w:t>
      </w:r>
      <w:r>
        <w:t>. El 13 de marzo de 2023 el magistrado don César Tolosa Tribiño presentó escrito en el que, conforme a lo dispuesto en el art. 217 de la Ley Orgánica del Poder Judicial, comunicó a la Sala Segunda de este tribunal, por conducto de su presidenta, su decisión de abstenerse del conocimiento del presente recurso de amparo. La Sala Segunda, mediante ATC de 15 de marzo de 2023 estimó justificada la causa de abstención y el citado magistrado quedó apartado definitivamente del recurso de amparo núm. 7638-2021 y de todas sus incidencias.</w:t>
      </w:r>
    </w:p>
    <w:p w14:paraId="39F17597" w14:textId="77777777" w:rsidR="008D479B" w:rsidRDefault="008D479B" w:rsidP="008D479B">
      <w:pPr>
        <w:pStyle w:val="TextoNormal"/>
      </w:pPr>
    </w:p>
    <w:p w14:paraId="45EF066D" w14:textId="7DD656D7" w:rsidR="008D479B" w:rsidRDefault="008D479B" w:rsidP="008D479B">
      <w:pPr>
        <w:pStyle w:val="TextoNormal"/>
      </w:pPr>
      <w:r w:rsidRPr="008D479B">
        <w:rPr>
          <w:rStyle w:val="NumeroAFNegritaCaracter"/>
        </w:rPr>
        <w:t>11</w:t>
      </w:r>
      <w:r>
        <w:t>. Por providencia de 21 de septiembre de 2023 se señaló para la deliberación y votación de la presente sentencia el día 25 del mismo mes y año.</w:t>
      </w:r>
    </w:p>
    <w:p w14:paraId="647B3395" w14:textId="77777777" w:rsidR="008D479B" w:rsidRDefault="008D479B" w:rsidP="008D479B">
      <w:pPr>
        <w:pStyle w:val="TextoNormal"/>
      </w:pPr>
    </w:p>
    <w:p w14:paraId="2AFCC955" w14:textId="77777777" w:rsidR="008D479B" w:rsidRDefault="008D479B" w:rsidP="008D479B">
      <w:pPr>
        <w:pStyle w:val="TextoNormalNegritaCentrado"/>
        <w:keepNext/>
      </w:pPr>
      <w:r>
        <w:t>II. Fundamentos jurídicos</w:t>
      </w:r>
    </w:p>
    <w:p w14:paraId="17317273" w14:textId="5F005654" w:rsidR="008D479B" w:rsidRDefault="008D479B" w:rsidP="008D479B">
      <w:pPr>
        <w:pStyle w:val="TextoNormalNegritaCentrado"/>
        <w:keepNext/>
      </w:pPr>
    </w:p>
    <w:p w14:paraId="5A9F36BC" w14:textId="77777777" w:rsidR="008D479B" w:rsidRDefault="008D479B" w:rsidP="008D479B">
      <w:pPr>
        <w:pStyle w:val="TextoNormal"/>
      </w:pPr>
      <w:r w:rsidRPr="008D479B">
        <w:rPr>
          <w:rStyle w:val="NumeroAFNegritaCaracter"/>
        </w:rPr>
        <w:t>1</w:t>
      </w:r>
      <w:r>
        <w:t xml:space="preserve">. </w:t>
      </w:r>
      <w:r w:rsidRPr="008D479B">
        <w:rPr>
          <w:i/>
        </w:rPr>
        <w:t>Objeto del recurso</w:t>
      </w:r>
    </w:p>
    <w:p w14:paraId="0F575AE0" w14:textId="77777777" w:rsidR="008D479B" w:rsidRDefault="008D479B" w:rsidP="008D479B">
      <w:pPr>
        <w:pStyle w:val="TextoNormal"/>
      </w:pPr>
    </w:p>
    <w:p w14:paraId="35D420D5" w14:textId="0B045960" w:rsidR="008D479B" w:rsidRDefault="008D479B" w:rsidP="008D479B">
      <w:pPr>
        <w:pStyle w:val="TextoNormal"/>
      </w:pPr>
      <w:r>
        <w:t>El objeto de este recurso es determinar si la desestimación presunta de la solicitud planteada el 12 de enero de 2018 ante la Secretaría General de Medios de la Consejería de Presidencia de la Xunta de Galicia de convocatoria de concurso de licencias audiovisuales de radiodifusión sonora digital disponibles en la Comunidad Autónoma de Galicia, vulnera los derechos fundamentales a la libertad de información, comunicación y expresión [art. 20.1 a) y d)], en relación con el art. 14 CE.</w:t>
      </w:r>
    </w:p>
    <w:p w14:paraId="3D488260" w14:textId="77777777" w:rsidR="008D479B" w:rsidRDefault="008D479B" w:rsidP="008D479B">
      <w:pPr>
        <w:pStyle w:val="TextoNormal"/>
      </w:pPr>
    </w:p>
    <w:p w14:paraId="47B6A65F" w14:textId="77777777" w:rsidR="008D479B" w:rsidRDefault="008D479B" w:rsidP="008D479B">
      <w:pPr>
        <w:pStyle w:val="TextoNormal"/>
      </w:pPr>
      <w:r w:rsidRPr="008D479B">
        <w:rPr>
          <w:rStyle w:val="NumeroAFNegritaCaracter"/>
        </w:rPr>
        <w:t>2</w:t>
      </w:r>
      <w:r>
        <w:t xml:space="preserve">. </w:t>
      </w:r>
      <w:r w:rsidRPr="008D479B">
        <w:rPr>
          <w:i/>
        </w:rPr>
        <w:t>Remisión a lo resuelto en la STC 89/2023, de 18 de julio</w:t>
      </w:r>
    </w:p>
    <w:p w14:paraId="7C172C40" w14:textId="77777777" w:rsidR="008D479B" w:rsidRDefault="008D479B" w:rsidP="008D479B">
      <w:pPr>
        <w:pStyle w:val="TextoNormal"/>
      </w:pPr>
    </w:p>
    <w:p w14:paraId="220B4598" w14:textId="670AA553" w:rsidR="008D479B" w:rsidRDefault="008D479B" w:rsidP="008D479B">
      <w:pPr>
        <w:pStyle w:val="TextoNormal"/>
      </w:pPr>
      <w:r>
        <w:t>El problema constitucional que se plantea en este proceso de amparo es coincidente con el resuelto en la STC 89/2023, de 18 de julio, que excluyó que la actuación administrativa impugnada, en cuanto denegó la convocatoria del concurso solicitado para la concesión de licencias de prestación de servicios audiovisuales, vulnerara los derechos a expresar y difundir libremente los pensamientos, ideas y opiniones mediante la palabra, el escrito o cualquier otro medio de reproducción [art. 20.1 a) CE] y a comunicar o recibir libremente información veraz por cualquier medio de difusión [art. 20.1 d) CE], en relación con el principio de igualdad (art. 14 CE), lo que determina que, por idénticas razones, proceda desestimar el presente recurso de amparo.</w:t>
      </w:r>
    </w:p>
    <w:p w14:paraId="1575B0A4" w14:textId="77777777" w:rsidR="008D479B" w:rsidRDefault="008D479B" w:rsidP="008D479B">
      <w:pPr>
        <w:pStyle w:val="TextoNormal"/>
      </w:pPr>
    </w:p>
    <w:p w14:paraId="72E7739C" w14:textId="77777777" w:rsidR="008D479B" w:rsidRDefault="008D479B" w:rsidP="008D479B">
      <w:pPr>
        <w:pStyle w:val="TextoNormalCentrado"/>
        <w:keepNext/>
      </w:pPr>
      <w:r>
        <w:t>FALLO</w:t>
      </w:r>
    </w:p>
    <w:p w14:paraId="104959EB" w14:textId="690B55CC" w:rsidR="008D479B" w:rsidRDefault="008D479B" w:rsidP="008D479B">
      <w:pPr>
        <w:pStyle w:val="TextoNormalCentrado"/>
        <w:keepNext/>
      </w:pPr>
    </w:p>
    <w:p w14:paraId="17BED445" w14:textId="0EE2221A" w:rsidR="008D479B" w:rsidRDefault="008D479B" w:rsidP="008D479B">
      <w:pPr>
        <w:pStyle w:val="TextoNormal"/>
      </w:pPr>
      <w:r>
        <w:t>En atención a todo lo expuesto, el Tribunal Constitucional, por la autoridad que le confiere la Constitución de la Nación española, ha decidido desestimar el recurso de amparo interpuesto por Logondi Comunicación, S.L.</w:t>
      </w:r>
    </w:p>
    <w:p w14:paraId="688D8C79" w14:textId="77777777" w:rsidR="008D479B" w:rsidRDefault="008D479B" w:rsidP="008D479B">
      <w:pPr>
        <w:pStyle w:val="TextoNormal"/>
      </w:pPr>
    </w:p>
    <w:p w14:paraId="1A164C23" w14:textId="77777777" w:rsidR="008D479B" w:rsidRDefault="008D479B" w:rsidP="008D479B">
      <w:pPr>
        <w:pStyle w:val="TextoNormal"/>
      </w:pPr>
      <w:r>
        <w:t>Publíquese esta sentencia en el “Boletín Oficial del Estado”.</w:t>
      </w:r>
    </w:p>
    <w:p w14:paraId="40847B13" w14:textId="77777777" w:rsidR="008D479B" w:rsidRDefault="008D479B" w:rsidP="008D479B">
      <w:pPr>
        <w:pStyle w:val="TextoNormal"/>
      </w:pPr>
      <w:r>
        <w:t>Dada en Madrid, a veinticinco de septiembre de dos mil veintitrés.</w:t>
      </w:r>
    </w:p>
    <w:p w14:paraId="1B97AE7D" w14:textId="647390BC" w:rsidR="008D479B" w:rsidRDefault="008D479B" w:rsidP="008D479B">
      <w:pPr>
        <w:pStyle w:val="ParrafoNormal"/>
      </w:pPr>
    </w:p>
    <w:p w14:paraId="2D56460E" w14:textId="77777777" w:rsidR="008D479B" w:rsidRDefault="008D479B" w:rsidP="008D479B">
      <w:pPr>
        <w:pStyle w:val="TextoNormalNegritaCentrado"/>
        <w:keepNext/>
      </w:pPr>
      <w:r>
        <w:t>Voto particular que formula la magistrada doña María Luisa Balaguer Callejón a la sentencia dictada en el recurso de amparo núm. 7638-2021</w:t>
      </w:r>
    </w:p>
    <w:p w14:paraId="6CA57730" w14:textId="22DA575D" w:rsidR="008D479B" w:rsidRDefault="008D479B" w:rsidP="008D479B">
      <w:pPr>
        <w:pStyle w:val="TextoNormalNegritaCentrado"/>
        <w:keepNext/>
      </w:pPr>
    </w:p>
    <w:p w14:paraId="0A1835E9" w14:textId="77777777" w:rsidR="008D479B" w:rsidRDefault="008D479B" w:rsidP="008D479B">
      <w:pPr>
        <w:pStyle w:val="TextoNormal"/>
      </w:pPr>
      <w:r>
        <w:t>Con el mayor respeto al criterio reflejado en la sentencia a que se refiere el encabezamiento y, en ejercicio de la facultad que me confiere el art. 90.2 de la Ley Orgánica del Tribunal Constitucional, manifiesto mi discrepancia con la argumentación y fallo de la sentencia aprobada por la Sala. Por ello, me remito, en su totalidad, al voto particular que realicé a la STC 89/2023, de 18 de julio.</w:t>
      </w:r>
    </w:p>
    <w:p w14:paraId="619E94D5" w14:textId="77777777" w:rsidR="008D479B" w:rsidRDefault="008D479B" w:rsidP="008D479B">
      <w:pPr>
        <w:pStyle w:val="TextoNormal"/>
      </w:pPr>
    </w:p>
    <w:p w14:paraId="3A0196C6" w14:textId="1BC095F5" w:rsidR="008D479B" w:rsidRDefault="008D479B" w:rsidP="008D479B">
      <w:pPr>
        <w:pStyle w:val="TextoNormal"/>
      </w:pPr>
      <w:r>
        <w:t>Madrid, a veinticinco de septiembre de dos mil veintitrés.</w:t>
      </w:r>
    </w:p>
    <w:p w14:paraId="78D8F341" w14:textId="35F8EC2A" w:rsidR="008D479B" w:rsidRDefault="008D479B">
      <w:pPr>
        <w:spacing w:after="160" w:line="278" w:lineRule="auto"/>
        <w:rPr>
          <w:rFonts w:ascii="Times New Roman" w:eastAsia="Times New Roman" w:hAnsi="Times New Roman" w:cs="Times New Roman"/>
          <w:sz w:val="24"/>
          <w:szCs w:val="24"/>
          <w:lang w:eastAsia="es-ES"/>
        </w:rPr>
      </w:pPr>
      <w:r>
        <w:br w:type="page"/>
      </w:r>
    </w:p>
    <w:p w14:paraId="538A5CC1" w14:textId="77777777" w:rsidR="008D479B" w:rsidRDefault="008D479B" w:rsidP="008D479B">
      <w:pPr>
        <w:pStyle w:val="TtuloResolucin"/>
      </w:pPr>
      <w:bookmarkStart w:id="47" w:name="SENTENCIA_2023_122"/>
      <w:r>
        <w:t>SENTENCIA 122/2023, de 25 de septiembre de 2023</w:t>
      </w:r>
    </w:p>
    <w:bookmarkEnd w:id="47"/>
    <w:p w14:paraId="00613608" w14:textId="77777777" w:rsidR="008D479B" w:rsidRDefault="008D479B" w:rsidP="008D479B">
      <w:pPr>
        <w:pStyle w:val="TtuloResolucin"/>
      </w:pPr>
      <w:r>
        <w:t>Sala Segunda</w:t>
      </w:r>
    </w:p>
    <w:p w14:paraId="170E1344" w14:textId="77777777" w:rsidR="008D479B" w:rsidRDefault="008D479B" w:rsidP="008D479B">
      <w:pPr>
        <w:pStyle w:val="TtuloBOE"/>
      </w:pPr>
      <w:r>
        <w:t>(BOE núm. 261, de 1 de noviembre de 2023)</w:t>
      </w:r>
    </w:p>
    <w:p w14:paraId="276D4F56" w14:textId="77777777" w:rsidR="008D479B" w:rsidRDefault="008D479B" w:rsidP="008D479B">
      <w:pPr>
        <w:pStyle w:val="TextoNormalCentrado"/>
      </w:pPr>
      <w:r>
        <w:t>ECLI:ES:TC:2023:122</w:t>
      </w:r>
    </w:p>
    <w:p w14:paraId="07838505" w14:textId="5B92BD19" w:rsidR="008D479B" w:rsidRDefault="008D479B" w:rsidP="008D479B">
      <w:pPr>
        <w:pStyle w:val="TextoNormalCentrado"/>
      </w:pPr>
    </w:p>
    <w:p w14:paraId="2A2C93F1" w14:textId="77777777" w:rsidR="008D479B" w:rsidRDefault="008D479B" w:rsidP="008D479B">
      <w:pPr>
        <w:pStyle w:val="SntesisDescriptiva"/>
      </w:pPr>
      <w:r>
        <w:t>Recurso de amparo 6215-2022. Promovido por Euroinversiones Inmobiliarias Costa Sur, S.L., en relación con las resoluciones dictadas por un juzgado de primera instancia e instrucción de Lorca en procedimiento de ejecución hipotecaria.</w:t>
      </w:r>
    </w:p>
    <w:p w14:paraId="3C03AB6C" w14:textId="73D414BD" w:rsidR="008D479B" w:rsidRDefault="008D479B" w:rsidP="008D479B">
      <w:pPr>
        <w:pStyle w:val="SntesisDescriptiva"/>
      </w:pPr>
    </w:p>
    <w:p w14:paraId="798FB8BC" w14:textId="77777777" w:rsidR="008D479B" w:rsidRDefault="008D479B" w:rsidP="008D479B">
      <w:pPr>
        <w:pStyle w:val="SntesisAnaltica"/>
      </w:pPr>
      <w:r>
        <w:t>Vulneración del derecho a la tutela judicial efectiva: STC 40/2020 [inadecuada utilización de la dirección electrónica habilitada como cauce de comunicación del primer emplazamiento procesal (SSTC 6/2019 y 47/2019) e inadmisión de la oposición a la ejecución resultante de la confusión del deber de las personas jurídicas de relacionarse con la administración de justicia por medio de comunicaciones electrónicas con la regulación del primer emplazamiento en los procesos civiles].</w:t>
      </w:r>
    </w:p>
    <w:p w14:paraId="7F0D94CE" w14:textId="2FAF77B2" w:rsidR="008D479B" w:rsidRDefault="008D479B" w:rsidP="008D479B">
      <w:pPr>
        <w:pStyle w:val="SntesisAnaltica"/>
      </w:pPr>
    </w:p>
    <w:p w14:paraId="24F02BBC" w14:textId="723FC323" w:rsidR="008D479B" w:rsidRDefault="008D479B" w:rsidP="008D479B">
      <w:pPr>
        <w:pStyle w:val="Extracto"/>
      </w:pPr>
      <w:r>
        <w:t>1.</w:t>
      </w:r>
      <w:r>
        <w:tab/>
        <w:t>Se reitera doctrina constitucional sobre la inadecuada utilización de la dirección electrónica habilitada como cauce de comunicación del primer emplazamiento, que ha de ser realizado mediante correo certificado con acuse de recibo en el domicilio del destinatario, de conformidad con los artículos 155.1 y 273.4 LEC (SSTC 6/2019, 47/2019 y 40/2020) [FJ único].</w:t>
      </w:r>
    </w:p>
    <w:p w14:paraId="6A31085C" w14:textId="77777777" w:rsidR="008D479B" w:rsidRDefault="008D479B" w:rsidP="008D479B">
      <w:pPr>
        <w:pStyle w:val="Extracto"/>
      </w:pPr>
    </w:p>
    <w:p w14:paraId="76C453D3" w14:textId="77777777" w:rsidR="008D479B" w:rsidRDefault="008D479B" w:rsidP="008D479B">
      <w:pPr>
        <w:pStyle w:val="Extracto"/>
      </w:pPr>
    </w:p>
    <w:p w14:paraId="3ADCA829" w14:textId="77777777" w:rsidR="008D479B" w:rsidRDefault="008D479B" w:rsidP="008D479B">
      <w:pPr>
        <w:pStyle w:val="TextoNormal"/>
      </w:pPr>
      <w: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14:paraId="350D194B" w14:textId="7F5A00C6" w:rsidR="008D479B" w:rsidRDefault="008D479B" w:rsidP="008D479B">
      <w:pPr>
        <w:pStyle w:val="TextoNormal"/>
      </w:pPr>
    </w:p>
    <w:p w14:paraId="52663531" w14:textId="77777777" w:rsidR="008D479B" w:rsidRDefault="008D479B" w:rsidP="008D479B">
      <w:pPr>
        <w:pStyle w:val="TextoNormalCentrado"/>
        <w:keepNext/>
      </w:pPr>
      <w:r>
        <w:t>EN NOMBRE DEL REY</w:t>
      </w:r>
    </w:p>
    <w:p w14:paraId="644A8E4D" w14:textId="1B421D2E" w:rsidR="008D479B" w:rsidRDefault="008D479B" w:rsidP="008D479B">
      <w:pPr>
        <w:pStyle w:val="TextoNormalCentrado"/>
        <w:keepNext/>
      </w:pPr>
    </w:p>
    <w:p w14:paraId="24C57C5F" w14:textId="77777777" w:rsidR="008D479B" w:rsidRDefault="008D479B" w:rsidP="008D479B">
      <w:pPr>
        <w:pStyle w:val="TextoNormalCentrado"/>
        <w:keepNext/>
      </w:pPr>
    </w:p>
    <w:p w14:paraId="2ED9CFA2" w14:textId="77777777" w:rsidR="008D479B" w:rsidRDefault="008D479B" w:rsidP="008D479B">
      <w:pPr>
        <w:pStyle w:val="TextoNormal"/>
      </w:pPr>
      <w:r>
        <w:t>la siguiente</w:t>
      </w:r>
    </w:p>
    <w:p w14:paraId="0F57AF2D" w14:textId="31E810D0" w:rsidR="008D479B" w:rsidRDefault="008D479B" w:rsidP="008D479B">
      <w:pPr>
        <w:pStyle w:val="TextoNormal"/>
      </w:pPr>
    </w:p>
    <w:p w14:paraId="2B7AFF90" w14:textId="77777777" w:rsidR="008D479B" w:rsidRDefault="008D479B" w:rsidP="008D479B">
      <w:pPr>
        <w:pStyle w:val="TextoNormalCentrado"/>
        <w:keepNext/>
      </w:pPr>
      <w:r>
        <w:t>SENTENCIA</w:t>
      </w:r>
    </w:p>
    <w:p w14:paraId="0F073161" w14:textId="21FE1511" w:rsidR="008D479B" w:rsidRDefault="008D479B" w:rsidP="008D479B">
      <w:pPr>
        <w:pStyle w:val="TextoNormalCentrado"/>
        <w:keepNext/>
      </w:pPr>
    </w:p>
    <w:p w14:paraId="0BEEA8BE" w14:textId="77777777" w:rsidR="008D479B" w:rsidRDefault="008D479B" w:rsidP="008D479B">
      <w:pPr>
        <w:pStyle w:val="TextoNormal"/>
      </w:pPr>
      <w:r>
        <w:t>En el recurso de amparo núm. 6215-2022, promovido por Euroinversiones Inmobiliarias Costa Sur, S.L., contra el auto del Juzgado de Primera Instancia e Instrucción núm. 4 de Lorca, de 14 de noviembre de 2018, que inadmitió la demanda de oposición a la ejecución formulada por dicha mercantil en el procedimiento de ejecución hipotecaria núm. 355-2018 instado por la entidad Banco de Sabadell; y contra el auto del mismo juzgado, de 7 de julio de 2022, que desestimó el recurso de reposición interpuesto contra la anterior resolución. Ha intervenido el Ministerio Fiscal. Se ha personado la entidad Pera Assets Designated Activity Company, actuando como sucesora procesal de la entidad financiera ejecutante. Ha sido ponente el magistrado don César Tolosa Tribiño.</w:t>
      </w:r>
    </w:p>
    <w:p w14:paraId="4E93EFC9" w14:textId="5D406EFC" w:rsidR="008D479B" w:rsidRDefault="008D479B" w:rsidP="008D479B">
      <w:pPr>
        <w:pStyle w:val="TextoNormal"/>
      </w:pPr>
    </w:p>
    <w:p w14:paraId="2C209526" w14:textId="77777777" w:rsidR="008D479B" w:rsidRDefault="008D479B" w:rsidP="008D479B">
      <w:pPr>
        <w:pStyle w:val="TextoNormalNegritaCentrado"/>
        <w:keepNext/>
      </w:pPr>
      <w:r>
        <w:t>I. Antecedentes</w:t>
      </w:r>
    </w:p>
    <w:p w14:paraId="22573BB0" w14:textId="0799A376" w:rsidR="008D479B" w:rsidRDefault="008D479B" w:rsidP="008D479B">
      <w:pPr>
        <w:pStyle w:val="TextoNormalNegritaCentrado"/>
        <w:keepNext/>
      </w:pPr>
    </w:p>
    <w:p w14:paraId="6877AABF" w14:textId="5913C964" w:rsidR="008D479B" w:rsidRDefault="008D479B" w:rsidP="008D479B">
      <w:pPr>
        <w:pStyle w:val="TextoNormal"/>
      </w:pPr>
      <w:r w:rsidRPr="008D479B">
        <w:rPr>
          <w:rStyle w:val="NumeroAFNegritaCaracter"/>
        </w:rPr>
        <w:t>1</w:t>
      </w:r>
      <w:r>
        <w:t>. Mediante escrito presentado en el registro general de este tribunal el 22 de septiembre de 2022, la procuradora de los tribunales doña Blanca Berriatua Horta, actuando en nombre y representación de Euroinversiones Inmobiliarias Costa Sur, S.L., bajo la defensa del letrado don Marcelino Gilabert García, interpuso demanda de amparo contra las resoluciones mencionadas en el encabezamiento.</w:t>
      </w:r>
    </w:p>
    <w:p w14:paraId="1B997300" w14:textId="77777777" w:rsidR="008D479B" w:rsidRDefault="008D479B" w:rsidP="008D479B">
      <w:pPr>
        <w:pStyle w:val="TextoNormal"/>
      </w:pPr>
    </w:p>
    <w:p w14:paraId="078CAF2D" w14:textId="77777777" w:rsidR="008D479B" w:rsidRDefault="008D479B" w:rsidP="008D479B">
      <w:pPr>
        <w:pStyle w:val="TextoNormal"/>
      </w:pPr>
      <w:r w:rsidRPr="008D479B">
        <w:rPr>
          <w:rStyle w:val="NumeroAFNegritaCaracter"/>
        </w:rPr>
        <w:t>2</w:t>
      </w:r>
      <w:r>
        <w:t>. Los hechos con relevancia para la resolución del presente recurso de amparo y a los que se refiere la demanda presentada, son los siguientes:</w:t>
      </w:r>
    </w:p>
    <w:p w14:paraId="2FAAE453" w14:textId="77777777" w:rsidR="008D479B" w:rsidRDefault="008D479B" w:rsidP="008D479B">
      <w:pPr>
        <w:pStyle w:val="TextoNormal"/>
      </w:pPr>
    </w:p>
    <w:p w14:paraId="1C4A6059" w14:textId="77777777" w:rsidR="008D479B" w:rsidRDefault="008D479B" w:rsidP="008D479B">
      <w:pPr>
        <w:pStyle w:val="TextoNormal"/>
      </w:pPr>
      <w:r>
        <w:t>a) La entidad Banco de Sabadell, S.A., interpuso demanda de ejecución sobre bienes hipotecados contra las mercantiles Euroinversiones Inmobiliarias Costa Sur, S.L., y Penrei Inversiones, S.L., en relación con la finca registral 43 503 sita en el término municipal de Lorca, resultando la primera de las demandadas la deudora hipotecaria y, la segunda, titular de un derecho de uso y disfrute sobre dicho inmueble.</w:t>
      </w:r>
    </w:p>
    <w:p w14:paraId="114AAFB8" w14:textId="77777777" w:rsidR="008D479B" w:rsidRDefault="008D479B" w:rsidP="008D479B">
      <w:pPr>
        <w:pStyle w:val="TextoNormal"/>
      </w:pPr>
    </w:p>
    <w:p w14:paraId="42528E88" w14:textId="77777777" w:rsidR="008D479B" w:rsidRDefault="008D479B" w:rsidP="008D479B">
      <w:pPr>
        <w:pStyle w:val="TextoNormal"/>
      </w:pPr>
      <w:r>
        <w:t>El Juzgado de Primera Instancia e Instrucción núm. 4 de Lorca, al que correspondió el conocimiento del proceso, dictó auto el 26 de junio de 2018 por el que acordó el despacho de ejecución (procedimiento de ejecución hipotecaria núm. 355-2018) y requirió de pago a las ejecutadas, indicando el derecho que a estas les correspondía de oponerse a la ejecución en el plazo de diez días.</w:t>
      </w:r>
    </w:p>
    <w:p w14:paraId="59C66FC2" w14:textId="77777777" w:rsidR="008D479B" w:rsidRDefault="008D479B" w:rsidP="008D479B">
      <w:pPr>
        <w:pStyle w:val="TextoNormal"/>
      </w:pPr>
    </w:p>
    <w:p w14:paraId="11B92CD5" w14:textId="77777777" w:rsidR="008D479B" w:rsidRDefault="008D479B" w:rsidP="008D479B">
      <w:pPr>
        <w:pStyle w:val="TextoNormal"/>
      </w:pPr>
      <w:r>
        <w:t>b) El 3 de julio de 2018, el servicio de notificaciones electrónicas de la Fábrica Nacional de Moneda y Timbre remitió un correo al buzón de la dirección electrónica habilitada de la entidad aquí recurrente en amparo, avisándole de una notificación del Juzgado de Primera Instancia e Instrucción núm. 4 de Lorca relativa al proceso “EJH/0000355/2018”, notificación a la que podía acceder entre los días 3 de julio y 18 de agosto de 2018.</w:t>
      </w:r>
    </w:p>
    <w:p w14:paraId="0D54D9A2" w14:textId="77777777" w:rsidR="008D479B" w:rsidRDefault="008D479B" w:rsidP="008D479B">
      <w:pPr>
        <w:pStyle w:val="TextoNormal"/>
      </w:pPr>
    </w:p>
    <w:p w14:paraId="4B6E4302" w14:textId="77777777" w:rsidR="008D479B" w:rsidRDefault="008D479B" w:rsidP="008D479B">
      <w:pPr>
        <w:pStyle w:val="TextoNormal"/>
      </w:pPr>
      <w:r>
        <w:t>c) El 3 de agosto de 2018 por personal de la recurrente se accedió al enlace remitido por la dirección electrónica habilitada y, con ello, a la notificación enviada por el juzgado de primera instancia en relación con el procedimiento hipotecario núm. 355-2018. También en esa fecha, la Fábrica Nacional de Moneda y Timbre emitió un certificado electrónico que obra en las actuaciones del proceso, dejando constancia de que la notificación había sido “aceptada”.</w:t>
      </w:r>
    </w:p>
    <w:p w14:paraId="7EE7C8BE" w14:textId="77777777" w:rsidR="008D479B" w:rsidRDefault="008D479B" w:rsidP="008D479B">
      <w:pPr>
        <w:pStyle w:val="TextoNormal"/>
      </w:pPr>
    </w:p>
    <w:p w14:paraId="1C55F918" w14:textId="77777777" w:rsidR="008D479B" w:rsidRDefault="008D479B" w:rsidP="008D479B">
      <w:pPr>
        <w:pStyle w:val="TextoNormal"/>
      </w:pPr>
      <w:r>
        <w:t xml:space="preserve">d) El 3 de septiembre de 2018, el representante procesal de la demandante de amparo formalizó ante el juzgado </w:t>
      </w:r>
      <w:r w:rsidRPr="008D479B">
        <w:rPr>
          <w:i/>
        </w:rPr>
        <w:t>a quo</w:t>
      </w:r>
      <w:r>
        <w:t xml:space="preserve"> el escrito de oposición al despacho de ejecución.</w:t>
      </w:r>
    </w:p>
    <w:p w14:paraId="5DF8E62A" w14:textId="77777777" w:rsidR="008D479B" w:rsidRDefault="008D479B" w:rsidP="008D479B">
      <w:pPr>
        <w:pStyle w:val="TextoNormal"/>
      </w:pPr>
    </w:p>
    <w:p w14:paraId="29D2202B" w14:textId="77777777" w:rsidR="008D479B" w:rsidRDefault="008D479B" w:rsidP="008D479B">
      <w:pPr>
        <w:pStyle w:val="TextoNormal"/>
      </w:pPr>
      <w:r>
        <w:t>e) El Juzgado de Primera Instancia e Instrucción núm. 4 de Lorca proveyó los dos escritos de las ejecutadas en una misma resolución mediante auto el 14 de noviembre de 2018, por el que inadmitió a trámite la oposición formulada por la parte ejecutada Euroinversiones Inmobiliarias Costa Sur, S.L., y Penrei Inversiones, S.L., por estar presentada fuera de plazo, con cita de los arts. 134 y 136 de la Ley de enjuiciamiento civil (LEC), en relación con el art. 695 LEC. En el auto se argumenta que debió haberse planteado la oposición dentro de los diez días siguientes a la notificación del auto y decreto por el que se despachó la ejecución y la ejecutada lo hizo el 3 de septiembre de 2018, es decir, pasado el término. Al final de la resolución se informaba de la posibilidad de interposición de recurso de reposición en el plazo de cinco días ante el mismo órgano judicial.</w:t>
      </w:r>
    </w:p>
    <w:p w14:paraId="24DB2B2E" w14:textId="77777777" w:rsidR="008D479B" w:rsidRDefault="008D479B" w:rsidP="008D479B">
      <w:pPr>
        <w:pStyle w:val="TextoNormal"/>
      </w:pPr>
    </w:p>
    <w:p w14:paraId="3B2458DE" w14:textId="77777777" w:rsidR="008D479B" w:rsidRDefault="008D479B" w:rsidP="008D479B">
      <w:pPr>
        <w:pStyle w:val="TextoNormal"/>
      </w:pPr>
      <w:r>
        <w:t>f) Euroinversiones Inmobiliarias Costa Sur, S.L., interpuso recurso de reposición contra el anterior auto. En lo que aquí importa, el recurso defendió que la notificación y requerimiento de pago habían tenido lugar cuando accedió al contenido de la notificación electrónica remitida y no antes, siendo desde entonces que cabía computar el plazo de diez días del art. 556 LEC. Con invocación también de los arts. 135, 152.1.2.3, 155.2, 162 y 273 LEC, y de la doctrina de este Tribunal Constitucional sobre el derecho a no padecer indefensión, así como la relativa a la importancia de los actos de comunicación procesal, afirmó que, de no tener el juzgado por formulada su demanda de oposición al despacho de ejecución, se vulneraría su derecho a la tutela judicial efectiva y sin indefensión, quedando denunciado a esos efectos.</w:t>
      </w:r>
    </w:p>
    <w:p w14:paraId="40CF9FD5" w14:textId="77777777" w:rsidR="008D479B" w:rsidRDefault="008D479B" w:rsidP="008D479B">
      <w:pPr>
        <w:pStyle w:val="TextoNormal"/>
      </w:pPr>
    </w:p>
    <w:p w14:paraId="13A4EC83" w14:textId="52769FF3" w:rsidR="008D479B" w:rsidRDefault="008D479B" w:rsidP="008D479B">
      <w:pPr>
        <w:pStyle w:val="TextoNormal"/>
      </w:pPr>
      <w:r>
        <w:t>g) El Juzgado de Primera Instancia e Instrucción núm. 4 de Lorca dictó auto el 7 de julio de 2022, por el que desestimó el recurso de reposición interpuesto por la representación de Euroinversiones Inmobiliarias Costa Sur, S.L., contra el auto de 14 de noviembre de 2018. En el razonamiento jurídico único expone que el escrito de oposición fue presentado fuera de plazo. No puede entenderse que el auto despachando la ejecución y el requerimiento efectuado deban entenderse notificados el 3 de agosto de 2018, fecha en la que se accedió efectivamente a las citadas resoluciones, como pretende la ejecutada. Por el contrario, señala que debe tenerse en cuenta la fecha en la que efectivamente tuvo la parte posibilidad de acceder a las mismas, de lo contrario se estaría dejando al arbitrio de las partes obligadas a utilizar el sistema electrónico de comunicaciones el cumplimiento de los plazos procesales dispuesto en la normativa. Indica el auto finalmente que contra el mismo “no cabe recurso alguno, sin perjuicio de reproducir la cuestión objeto de la reposición al recurrir, si fuera posible, la resolución definitiva (artículo 454 de la LEC)”.</w:t>
      </w:r>
    </w:p>
    <w:p w14:paraId="42551BE3" w14:textId="77777777" w:rsidR="008D479B" w:rsidRDefault="008D479B" w:rsidP="008D479B">
      <w:pPr>
        <w:pStyle w:val="TextoNormal"/>
      </w:pPr>
    </w:p>
    <w:p w14:paraId="022F3A81" w14:textId="77777777" w:rsidR="008D479B" w:rsidRDefault="008D479B" w:rsidP="008D479B">
      <w:pPr>
        <w:pStyle w:val="TextoNormal"/>
      </w:pPr>
      <w:r w:rsidRPr="008D479B">
        <w:rPr>
          <w:rStyle w:val="NumeroAFNegritaCaracter"/>
        </w:rPr>
        <w:t>3</w:t>
      </w:r>
      <w:r>
        <w:t>. La demanda de amparo alega que las resoluciones judiciales impugnadas causaron la vulneración de los derechos a la tutela judicial efectiva (art. 24.1 CE) y a un proceso con todas las garantías (art. 24.2 CE) de la entidad recurrente, al haberse efectuado su emplazamiento como ejecutada en el procedimiento hipotecario de referencia a través de un correo electrónico remitido por un servicio de notificaciones electrónicas y no mediante entrega de la documentación correspondiente en papel en la sede de su domicilio social, tratándose de su primer emplazamiento judicial en el proceso, como establece el art. 273 LEC, en relación con los arts. 135, 152, 162 y en especial el art. 155.1 de esta ley. Reprocha además que el juzgado haya hecho el cómputo del plazo para oponerse desde la fecha del envío del correo a la dirección electrónica habilitada y no desde el acceso a la notificación, inadmitiendo así su escrito.</w:t>
      </w:r>
    </w:p>
    <w:p w14:paraId="130F7F0F" w14:textId="77777777" w:rsidR="008D479B" w:rsidRDefault="008D479B" w:rsidP="008D479B">
      <w:pPr>
        <w:pStyle w:val="TextoNormal"/>
      </w:pPr>
    </w:p>
    <w:p w14:paraId="18802204" w14:textId="77777777" w:rsidR="008D479B" w:rsidRDefault="008D479B" w:rsidP="008D479B">
      <w:pPr>
        <w:pStyle w:val="TextoNormal"/>
      </w:pPr>
      <w:r>
        <w:t>Reproduce los fundamentos que considera más relevantes de las SSTC  47/2019, de 8 de abril, y 40/2020, de 27 de febrero, que —según afirma— resolvieron asuntos prácticamente iguales al del presente recurso de amparo y considera que el órgano judicial no ha dado cumplimiento a las exigencias constitucionales reconocidas para los actos de notificación procesal, conculcando el derecho de defensa mediante la correspondiente contradicción. Refiere que la resolución cuestionada contraviene la doctrina del Tribunal Constitucional indicada y relaciona los recursos de amparo interpuestos que han sido estimados aplicando la referida doctrina constitucional.</w:t>
      </w:r>
    </w:p>
    <w:p w14:paraId="1EC4EA52" w14:textId="77777777" w:rsidR="008D479B" w:rsidRDefault="008D479B" w:rsidP="008D479B">
      <w:pPr>
        <w:pStyle w:val="TextoNormal"/>
      </w:pPr>
    </w:p>
    <w:p w14:paraId="370A4DC7" w14:textId="77777777" w:rsidR="008D479B" w:rsidRDefault="008D479B" w:rsidP="008D479B">
      <w:pPr>
        <w:pStyle w:val="TextoNormal"/>
      </w:pPr>
      <w:r>
        <w:t>Finalmente, solicita que se otorgue el amparo, se reconozca el derecho de la recurrente a la tutela judicial efectiva y se declare la nulidad de los autos de 14 de noviembre de 2018 y de 7 de julio de 2022, dictados por el Juzgado de Primera Instancia e Instrucción núm. 4 de Lorca y se retrotraigan las actuaciones al momento procesal oportuno, a fin de que se realice nuevamente el emplazamiento a la demandante.</w:t>
      </w:r>
    </w:p>
    <w:p w14:paraId="11385B7D" w14:textId="77777777" w:rsidR="008D479B" w:rsidRDefault="008D479B" w:rsidP="008D479B">
      <w:pPr>
        <w:pStyle w:val="TextoNormal"/>
      </w:pPr>
    </w:p>
    <w:p w14:paraId="7CEE90DC" w14:textId="3EB033F7" w:rsidR="008D479B" w:rsidRDefault="008D479B" w:rsidP="008D479B">
      <w:pPr>
        <w:pStyle w:val="TextoNormal"/>
      </w:pPr>
      <w:r>
        <w:t>Por medio de un segundo otrosí digo, el escrito de demanda argumentó “que la continuación de la ejecución derivadas [sic] de los pronunciamientos judiciales que han sido objeto de impugnación, con la celebración de subasta y la eventual adjudicación a terceros, pueden hacer perder al recurso de amparo su finalidad, por lo que solicito la suspensión de la continuación del procedimiento de ejecución hipotecaria 355-2018 seguido ante el Juzgado de Primera Instancia e Instrucción núm. 4 de Lorca, hasta tanto sea resuelto el presente recurso de amparo, poniéndolo en conocimiento del órgano judicial”.</w:t>
      </w:r>
    </w:p>
    <w:p w14:paraId="3DA2AB7F" w14:textId="77777777" w:rsidR="008D479B" w:rsidRDefault="008D479B" w:rsidP="008D479B">
      <w:pPr>
        <w:pStyle w:val="TextoNormal"/>
      </w:pPr>
    </w:p>
    <w:p w14:paraId="42EDAAF3" w14:textId="1CFB7D3B" w:rsidR="008D479B" w:rsidRDefault="008D479B" w:rsidP="008D479B">
      <w:pPr>
        <w:pStyle w:val="TextoNormal"/>
      </w:pPr>
      <w:r w:rsidRPr="008D479B">
        <w:rPr>
          <w:rStyle w:val="NumeroAFNegritaCaracter"/>
        </w:rPr>
        <w:t>4</w:t>
      </w:r>
      <w:r>
        <w:t>. La Sección Tercera de este tribunal dictó providencia el 8 de mayo de 2023 por la que acordó: admitir a trámite el recurso, “apreciando que concurre en el mismo una especial trascendencia constitucional (art. 50.1 LOTC) como consecuencia de que el órgano judicial pudiera haber incurrido en una negativa manifiesta del deber de acatamiento de la doctrina de este tribunal [STC 155/2009, FJ 2 f)]”; dirigir comunicación al Juzgado de Primera Instancia e Instrucción núm. 4 de Lorca, a fin de que en el plazo de diez días emplace a quienes hubieran sido parte en el procedimiento, excepto la parte recurrente en amparo, para que puedan comparecer en el recurso de amparo; y finalmente, formar la correspondiente pieza separada de suspensión, en la que formuló alegaciones el Ministerio Fiscal interesando la anotación preventiva de la demanda de amparo.</w:t>
      </w:r>
    </w:p>
    <w:p w14:paraId="55B59260" w14:textId="77777777" w:rsidR="008D479B" w:rsidRDefault="008D479B" w:rsidP="008D479B">
      <w:pPr>
        <w:pStyle w:val="TextoNormal"/>
      </w:pPr>
    </w:p>
    <w:p w14:paraId="44D5F196" w14:textId="101FD65B" w:rsidR="008D479B" w:rsidRDefault="008D479B" w:rsidP="008D479B">
      <w:pPr>
        <w:pStyle w:val="TextoNormal"/>
      </w:pPr>
      <w:r w:rsidRPr="008D479B">
        <w:rPr>
          <w:rStyle w:val="NumeroAFNegritaCaracter"/>
        </w:rPr>
        <w:t>5</w:t>
      </w:r>
      <w:r>
        <w:t>. Por escrito presentado en el registro de este tribunal el 6 de junio de 2023 la procuradora de los tribunales doña María Claudia Munteanu, con la asistencia letrada de doña Inmaculada García Linero, actuando en nombre y representación de la entidad Pera Assets Designated Activity Company, solicitó se tuviera a esta última como personada y parte recurrida en lugar de la ejecutante Banco Sabadell, S.A., entendiéndose con dicha procuradora las actuaciones sucesivas de este proceso. Justificaba su petición en la escritura de cesión onerosa de créditos hipotecarios suscrita con el Banco Sabadell, S.A., como cedente, otorgada el 23 de julio de 2019, y en su efectiva personación en el proceso de ejecución donde fue acordado su emplazamiento ante este tribunal.</w:t>
      </w:r>
    </w:p>
    <w:p w14:paraId="32F050CC" w14:textId="77777777" w:rsidR="008D479B" w:rsidRDefault="008D479B" w:rsidP="008D479B">
      <w:pPr>
        <w:pStyle w:val="TextoNormal"/>
      </w:pPr>
    </w:p>
    <w:p w14:paraId="03D60F31" w14:textId="29DE07AE" w:rsidR="008D479B" w:rsidRDefault="008D479B" w:rsidP="008D479B">
      <w:pPr>
        <w:pStyle w:val="TextoNormal"/>
      </w:pPr>
      <w:r w:rsidRPr="008D479B">
        <w:rPr>
          <w:rStyle w:val="NumeroAFNegritaCaracter"/>
        </w:rPr>
        <w:t>6</w:t>
      </w:r>
      <w:r>
        <w:t>. Por providencia de 14 de junio de 2023 se acordó tener por personada y parte en el procedimiento a la Procuradora doña Claudia Munteanu en nombre y representación de Pera Designated Activity Company y dar vista de las actuaciones a las partes personadas y al Ministerio Fiscal por plazo común de veinte días para que pudieran presentar alegaciones de conformidad con lo previsto en el art. 52.1 de la Ley Orgánica del Tribunal Constitucional (LOTC).</w:t>
      </w:r>
    </w:p>
    <w:p w14:paraId="404D1A03" w14:textId="77777777" w:rsidR="008D479B" w:rsidRDefault="008D479B" w:rsidP="008D479B">
      <w:pPr>
        <w:pStyle w:val="TextoNormal"/>
      </w:pPr>
    </w:p>
    <w:p w14:paraId="4BCC16CA" w14:textId="77777777" w:rsidR="008D479B" w:rsidRDefault="008D479B" w:rsidP="008D479B">
      <w:pPr>
        <w:pStyle w:val="TextoNormal"/>
      </w:pPr>
      <w:r w:rsidRPr="008D479B">
        <w:rPr>
          <w:rStyle w:val="NumeroAFNegritaCaracter"/>
        </w:rPr>
        <w:t>7</w:t>
      </w:r>
      <w:r>
        <w:t>. El fiscal ante este Tribunal Constitucional presentó escrito de alegaciones el 12 de julio de 2023, por el que interesó de este tribunal que dictara sentencia otorgando el amparo a la recurrente, con reconocimiento de la vulneración de su derecho a la tutela judicial efectiva sin indefensión (art. 24.1 CE), declarando la nulidad de los autos impugnados así como la nulidad de las actuaciones realizadas a partir del emplazamiento de la entidad recurrente por el Juzgado de Primera Instancia e Instrucción núm. 4 de Lorca, en el juicio de ejecución hipotecaria 355-2018, y la retroacción de las actuaciones al momento inmediato anterior a aquel emplazamiento, debiendo llevarse a cabo de nuevo el emplazamiento de forma respetuosa con el derecho fundamental reconocido.</w:t>
      </w:r>
    </w:p>
    <w:p w14:paraId="78341821" w14:textId="77777777" w:rsidR="008D479B" w:rsidRDefault="008D479B" w:rsidP="008D479B">
      <w:pPr>
        <w:pStyle w:val="TextoNormal"/>
      </w:pPr>
    </w:p>
    <w:p w14:paraId="7768BEE5" w14:textId="77777777" w:rsidR="008D479B" w:rsidRDefault="008D479B" w:rsidP="008D479B">
      <w:pPr>
        <w:pStyle w:val="TextoNormal"/>
      </w:pPr>
      <w:r>
        <w:t>Considera el fiscal que este recurso es uno más de los recursos que componen la serie de los interpuestos por Euroinversiones Inmobiliarias Costa Sur, S.L., y Penrei Inversiones, S.L., frente a diversos autos dictados en procedimientos hipotecarios tramitados por diferentes juzgados de primera instancia de Lorca, por idénticas vulneraciones; la mayoría de ellos ya han sido resueltos por el Tribunal, en concreto en la sentencia del Pleno 40/2020, de 27 de febrero, y en las SSTC 43/2020, de 9 de marzo, y 103/2021, de 10 de mayo.</w:t>
      </w:r>
    </w:p>
    <w:p w14:paraId="57C19BDA" w14:textId="77777777" w:rsidR="008D479B" w:rsidRDefault="008D479B" w:rsidP="008D479B">
      <w:pPr>
        <w:pStyle w:val="TextoNormal"/>
      </w:pPr>
    </w:p>
    <w:p w14:paraId="34A9FD6C" w14:textId="5550D7EF" w:rsidR="008D479B" w:rsidRDefault="008D479B" w:rsidP="008D479B">
      <w:pPr>
        <w:pStyle w:val="TextoNormal"/>
      </w:pPr>
      <w:r>
        <w:t>La problemática suscitada es la vulneración del derecho a la tutela judicial efectiva por la inadecuada utilización de la dirección electrónica habilitada como cauce de comunicación del primer emplazamiento procesal e inadmisión de la oposición a la ejecución resultante de la confusión del deber de las personas jurídicas de relacionarse con la administración de justicia por medio de comunicaciones electrónicas con la regulación del primer emplazamiento en los procesos civiles, es idéntica a la suscitada en este amparo. Afirma el fiscal que no es necesario realizar mayor esfuerzo argumentativo en el presente recurso que supone, como queda dicho, uno más de la serie y procede aplicar la doctrina constitucional expuesta.</w:t>
      </w:r>
    </w:p>
    <w:p w14:paraId="49E4D530" w14:textId="77777777" w:rsidR="008D479B" w:rsidRDefault="008D479B" w:rsidP="008D479B">
      <w:pPr>
        <w:pStyle w:val="TextoNormal"/>
      </w:pPr>
    </w:p>
    <w:p w14:paraId="4BC57346" w14:textId="5F147EA5" w:rsidR="008D479B" w:rsidRDefault="008D479B" w:rsidP="008D479B">
      <w:pPr>
        <w:pStyle w:val="TextoNormal"/>
      </w:pPr>
      <w:r w:rsidRPr="008D479B">
        <w:rPr>
          <w:rStyle w:val="NumeroAFNegritaCaracter"/>
        </w:rPr>
        <w:t>8</w:t>
      </w:r>
      <w:r>
        <w:t>. La representante procesal de la entidad recurrente presentó su escrito de alegaciones el 13 de julio de 2023, por el que interesó se dictara resolución estimatoria del recurso de amparo, haciendo mención a la STC 40/2020, del Pleno del Tribunal Constitucional, que resuelve el recurso de amparo 5377-2018, promovido por la misma parte, Euroinversiones Inmobiliarias Costa Sur, S.L., “en asunto prácticamente igual al del presente recurso de amparo”, lo que refuerza las exigencias para llevar a efecto el primer emplazamiento tal y como prevé la Ley de enjuiciamiento civil.</w:t>
      </w:r>
    </w:p>
    <w:p w14:paraId="58C27CAB" w14:textId="77777777" w:rsidR="008D479B" w:rsidRDefault="008D479B" w:rsidP="008D479B">
      <w:pPr>
        <w:pStyle w:val="TextoNormal"/>
      </w:pPr>
    </w:p>
    <w:p w14:paraId="798632D8" w14:textId="2C5989DF" w:rsidR="008D479B" w:rsidRDefault="008D479B" w:rsidP="008D479B">
      <w:pPr>
        <w:pStyle w:val="TextoNormal"/>
      </w:pPr>
      <w:r w:rsidRPr="008D479B">
        <w:rPr>
          <w:rStyle w:val="NumeroAFNegritaCaracter"/>
        </w:rPr>
        <w:t>9</w:t>
      </w:r>
      <w:r>
        <w:t>. No consta presentado dentro del plazo del art. 52 LOTC, o con posterioridad, ningún escrito de alegaciones de la entidad Pera Assets Designated Activity Company.</w:t>
      </w:r>
    </w:p>
    <w:p w14:paraId="7AC5560A" w14:textId="77777777" w:rsidR="008D479B" w:rsidRDefault="008D479B" w:rsidP="008D479B">
      <w:pPr>
        <w:pStyle w:val="TextoNormal"/>
      </w:pPr>
    </w:p>
    <w:p w14:paraId="5443F43A" w14:textId="091F42BA" w:rsidR="008D479B" w:rsidRDefault="008D479B" w:rsidP="008D479B">
      <w:pPr>
        <w:pStyle w:val="TextoNormal"/>
      </w:pPr>
      <w:r w:rsidRPr="008D479B">
        <w:rPr>
          <w:rStyle w:val="NumeroAFNegritaCaracter"/>
        </w:rPr>
        <w:t>10</w:t>
      </w:r>
      <w:r>
        <w:t>. Por la Secretaría de Justicia se ha dictado diligencia el 21 de julio de 2023 dejando constancia de la presentación de los escritos de alegaciones del Ministerio Fiscal, del representante procesal de la recurrente en amparo y de su falta de presentación por la entidad personada, quedando el asunto concluso y pendiente para deliberación cuando por turno correspondiera.</w:t>
      </w:r>
    </w:p>
    <w:p w14:paraId="7C8378C4" w14:textId="77777777" w:rsidR="008D479B" w:rsidRDefault="008D479B" w:rsidP="008D479B">
      <w:pPr>
        <w:pStyle w:val="TextoNormal"/>
      </w:pPr>
    </w:p>
    <w:p w14:paraId="1D91AC5C" w14:textId="788E05B5" w:rsidR="008D479B" w:rsidRDefault="008D479B" w:rsidP="008D479B">
      <w:pPr>
        <w:pStyle w:val="TextoNormal"/>
      </w:pPr>
      <w:r w:rsidRPr="008D479B">
        <w:rPr>
          <w:rStyle w:val="NumeroAFNegritaCaracter"/>
        </w:rPr>
        <w:t>11</w:t>
      </w:r>
      <w:r>
        <w:t>. Mediante providencia de 21 de septiembre de 2023 se señaló para deliberación y votación de la presente sentencia el día 25 del mismo mes y año.</w:t>
      </w:r>
    </w:p>
    <w:p w14:paraId="28B182D7" w14:textId="77777777" w:rsidR="008D479B" w:rsidRDefault="008D479B" w:rsidP="008D479B">
      <w:pPr>
        <w:pStyle w:val="TextoNormal"/>
      </w:pPr>
    </w:p>
    <w:p w14:paraId="2432B8B1" w14:textId="77777777" w:rsidR="008D479B" w:rsidRDefault="008D479B" w:rsidP="008D479B">
      <w:pPr>
        <w:pStyle w:val="TextoNormalNegritaCentrado"/>
        <w:keepNext/>
      </w:pPr>
      <w:r>
        <w:t>II. Fundamentos jurídicos</w:t>
      </w:r>
    </w:p>
    <w:p w14:paraId="26DA3255" w14:textId="1BC9B508" w:rsidR="008D479B" w:rsidRDefault="008D479B" w:rsidP="008D479B">
      <w:pPr>
        <w:pStyle w:val="TextoNormalNegritaCentrado"/>
        <w:keepNext/>
      </w:pPr>
    </w:p>
    <w:p w14:paraId="68AECE62" w14:textId="77777777" w:rsidR="008D479B" w:rsidRDefault="008D479B" w:rsidP="008D479B">
      <w:pPr>
        <w:pStyle w:val="TextoNormal"/>
      </w:pPr>
      <w:r w:rsidRPr="008D479B">
        <w:rPr>
          <w:rStyle w:val="TextoNormalNegritaCaracter"/>
        </w:rPr>
        <w:t xml:space="preserve">Único. </w:t>
      </w:r>
      <w:r w:rsidRPr="008D479B">
        <w:rPr>
          <w:i/>
        </w:rPr>
        <w:t>Aplicación de la doctrina sentada por las SSTC 6/2019, 47/2019 y 40/2020</w:t>
      </w:r>
    </w:p>
    <w:p w14:paraId="00A6EBBB" w14:textId="77777777" w:rsidR="008D479B" w:rsidRDefault="008D479B" w:rsidP="008D479B">
      <w:pPr>
        <w:pStyle w:val="TextoNormal"/>
      </w:pPr>
    </w:p>
    <w:p w14:paraId="7A1EAB69" w14:textId="77777777" w:rsidR="008D479B" w:rsidRDefault="008D479B" w:rsidP="008D479B">
      <w:pPr>
        <w:pStyle w:val="TextoNormal"/>
      </w:pPr>
      <w:r>
        <w:t>La presente demanda, como bien afirma el Ministerio Fiscal, se integra en la serie de recursos de amparo interpuestos por dos entidades, una de ellas la aquí recurrente, demandadas en procesos de ejecución hipotecaria seguidos ante diversos juzgados de primera instancia de Lorca, los cuales, tras efectuar el primer emplazamiento por vía electrónica a través del servicio de notificaciones electrónicas y de dirección electrónica habilitada de la Fábrica Nacional de Moneda y Timbre, han inadmitido a trámite en los diferentes procedimientos los escritos de oposición a la ejecución presentados por aquellas, al considerarlos extemporáneos mediante un cómputo de plazo realizado con arreglo a normas del procedimiento administrativo común.</w:t>
      </w:r>
    </w:p>
    <w:p w14:paraId="54FC291C" w14:textId="77777777" w:rsidR="008D479B" w:rsidRDefault="008D479B" w:rsidP="008D479B">
      <w:pPr>
        <w:pStyle w:val="TextoNormal"/>
      </w:pPr>
    </w:p>
    <w:p w14:paraId="7F515D69" w14:textId="77777777" w:rsidR="008D479B" w:rsidRDefault="008D479B" w:rsidP="008D479B">
      <w:pPr>
        <w:pStyle w:val="TextoNormal"/>
      </w:pPr>
      <w:r>
        <w:t>En concreto, en el presente recurso la entidad Euroinversiones Inmobiliarias Costa Sur, S.L., impugna los autos del Juzgado de Primera Instancia e Instrucción núm. 4 de Lorca de 14 de noviembre de 2018 y de 7 de julio de 2022, recaídos en el proceso hipotecario núm. 355-2018.</w:t>
      </w:r>
    </w:p>
    <w:p w14:paraId="2157179A" w14:textId="77777777" w:rsidR="008D479B" w:rsidRDefault="008D479B" w:rsidP="008D479B">
      <w:pPr>
        <w:pStyle w:val="TextoNormal"/>
      </w:pPr>
    </w:p>
    <w:p w14:paraId="55EF3E20" w14:textId="77777777" w:rsidR="008D479B" w:rsidRDefault="008D479B" w:rsidP="008D479B">
      <w:pPr>
        <w:pStyle w:val="TextoNormal"/>
      </w:pPr>
      <w:r>
        <w:t>La demanda de amparo alega la vulneración del derecho fundamental a la tutela judicial efectiva (art. 24.1 CE), en sus vertientes de derecho a no padecer indefensión y a obtener una resolución fundada en Derecho, al no haberse efectuado aquel emplazamiento de manera personal y con entrega en papel de la documentación correspondiente, tal y como establecen las normas de la Ley de enjuiciamiento civil. El Ministerio Fiscal, por su parte, interesa la estimación del amparo por el primer motivo, mientras que la entidad recurrida no ha efectuado alegaciones.</w:t>
      </w:r>
    </w:p>
    <w:p w14:paraId="6BDC97CE" w14:textId="77777777" w:rsidR="008D479B" w:rsidRDefault="008D479B" w:rsidP="008D479B">
      <w:pPr>
        <w:pStyle w:val="TextoNormal"/>
      </w:pPr>
    </w:p>
    <w:p w14:paraId="47A6C686" w14:textId="77777777" w:rsidR="008D479B" w:rsidRDefault="008D479B" w:rsidP="008D479B">
      <w:pPr>
        <w:pStyle w:val="TextoNormal"/>
      </w:pPr>
      <w:r>
        <w:t>Planteado en estos términos el debate, debe indicarse que el Pleno de este tribunal ha dictado, como afirma en trámite de alegaciones la recurrente en amparo y subraya el Ministerio Fiscal, la STC 40/2020, de 27 de febrero, en la que tuvo la oportunidad de resolver el recurso de amparo cabecera de esta serie, promovido contra dos autos de coincidente contenido con los que ahora se impugnan, y donde dio respuesta a los mismos argumentos que defienden aquí las partes, con fallo estimatorio de la demanda. Descartada aquí la concurrencia de algún elemento distintivo que obligue a una fundamentación o resultado distinto a lo declarado entonces, es obligado que nos remitamos a la fundamentación de la citada STC 40/2020 y consiguientemente estimar el presente recurso de amparo por vulneración de su derecho fundamental a la tutela judicial efectiva sin padecer indefensión (art. 24.1 CE), con reconocimiento de tal derecho.</w:t>
      </w:r>
    </w:p>
    <w:p w14:paraId="7611C5E8" w14:textId="77777777" w:rsidR="008D479B" w:rsidRDefault="008D479B" w:rsidP="008D479B">
      <w:pPr>
        <w:pStyle w:val="TextoNormal"/>
      </w:pPr>
    </w:p>
    <w:p w14:paraId="5769BA04" w14:textId="5F9D2BBA" w:rsidR="008D479B" w:rsidRDefault="008D479B" w:rsidP="008D479B">
      <w:pPr>
        <w:pStyle w:val="TextoNormal"/>
      </w:pPr>
      <w:r>
        <w:t xml:space="preserve">Por ello procede acordar la nulidad de los autos impugnados y de todo lo actuado en el procedimiento hipotecario </w:t>
      </w:r>
      <w:r w:rsidRPr="008D479B">
        <w:rPr>
          <w:i/>
        </w:rPr>
        <w:t>a quo</w:t>
      </w:r>
      <w:r>
        <w:t xml:space="preserve"> desde el momento en que se proveyó a su emplazamiento a través de la dirección electrónica habilitada, con retroacción de las actuaciones para que el juzgado practique dicho emplazamiento en los términos exigidos por la ley (arts. 155.1 y 273.4 LEC), de manera respetuosa con el derecho fundamental de la demandante.</w:t>
      </w:r>
    </w:p>
    <w:p w14:paraId="365810BD" w14:textId="77777777" w:rsidR="008D479B" w:rsidRDefault="008D479B" w:rsidP="008D479B">
      <w:pPr>
        <w:pStyle w:val="TextoNormal"/>
      </w:pPr>
    </w:p>
    <w:p w14:paraId="11FF63D6" w14:textId="77777777" w:rsidR="008D479B" w:rsidRDefault="008D479B" w:rsidP="008D479B">
      <w:pPr>
        <w:pStyle w:val="TextoNormalCentrado"/>
        <w:keepNext/>
      </w:pPr>
      <w:r>
        <w:t>FALLO</w:t>
      </w:r>
    </w:p>
    <w:p w14:paraId="31920EB4" w14:textId="4B4ADCA4" w:rsidR="008D479B" w:rsidRDefault="008D479B" w:rsidP="008D479B">
      <w:pPr>
        <w:pStyle w:val="TextoNormalCentrado"/>
        <w:keepNext/>
      </w:pPr>
    </w:p>
    <w:p w14:paraId="73450929" w14:textId="77777777" w:rsidR="008D479B" w:rsidRDefault="008D479B" w:rsidP="008D479B">
      <w:pPr>
        <w:pStyle w:val="TextoNormal"/>
      </w:pPr>
      <w:r>
        <w:t>En atención a todo lo expuesto, el Tribunal Constitucional, por la autoridad que le confiere la Constitución de la Nación española, ha decidido:</w:t>
      </w:r>
    </w:p>
    <w:p w14:paraId="78B80EB0" w14:textId="77777777" w:rsidR="008D479B" w:rsidRDefault="008D479B" w:rsidP="008D479B">
      <w:pPr>
        <w:pStyle w:val="TextoNormal"/>
      </w:pPr>
    </w:p>
    <w:p w14:paraId="5574F7DC" w14:textId="77777777" w:rsidR="008D479B" w:rsidRDefault="008D479B" w:rsidP="008D479B">
      <w:pPr>
        <w:pStyle w:val="TextoNormal"/>
      </w:pPr>
      <w:r>
        <w:t>1º Estimar la demanda presentada por Euroinversiones Inmobiliarias Costa Sur, S.L., por vulneración de su derecho fundamental a la tutela judicial efectiva sin padecer indefensión (art. 24.1 CE), con reconocimiento de tal derecho.</w:t>
      </w:r>
    </w:p>
    <w:p w14:paraId="04E05CB0" w14:textId="77777777" w:rsidR="008D479B" w:rsidRDefault="008D479B" w:rsidP="008D479B">
      <w:pPr>
        <w:pStyle w:val="TextoNormal"/>
      </w:pPr>
    </w:p>
    <w:p w14:paraId="7E6E9EF0" w14:textId="77777777" w:rsidR="008D479B" w:rsidRDefault="008D479B" w:rsidP="008D479B">
      <w:pPr>
        <w:pStyle w:val="TextoNormal"/>
      </w:pPr>
      <w:r>
        <w:t>2º Declarar la nulidad de los autos de 14 de noviembre de 2018 y de 7 de julio de 2022, dictados por el Juzgado de Primera Instancia e Instrucción núm. 4 de Lorca en el proceso de ejecución hipotecaria núm. 355-2018, así como la nulidad de las actuaciones realizadas a partir del emplazamiento de la entidad recurrente a través de la dirección electrónica habilitada.</w:t>
      </w:r>
    </w:p>
    <w:p w14:paraId="1104432E" w14:textId="77777777" w:rsidR="008D479B" w:rsidRDefault="008D479B" w:rsidP="008D479B">
      <w:pPr>
        <w:pStyle w:val="TextoNormal"/>
      </w:pPr>
    </w:p>
    <w:p w14:paraId="1BF14AF8" w14:textId="77777777" w:rsidR="008D479B" w:rsidRDefault="008D479B" w:rsidP="008D479B">
      <w:pPr>
        <w:pStyle w:val="TextoNormal"/>
      </w:pPr>
      <w:r>
        <w:t>3º Retrotraer el procedimiento al momento inmediatamente anterior al de efectuarse el emplazamiento de la demandada, debiendo llevarse a cabo de nuevo esta última por el Juzgado de Primera Instancia e Instrucción núm. 4 de Lorca de forma que resulte respetuosa con el derecho fundamental reconocido.</w:t>
      </w:r>
    </w:p>
    <w:p w14:paraId="2EA44462" w14:textId="77777777" w:rsidR="008D479B" w:rsidRDefault="008D479B" w:rsidP="008D479B">
      <w:pPr>
        <w:pStyle w:val="TextoNormal"/>
      </w:pPr>
    </w:p>
    <w:p w14:paraId="12FB4C59" w14:textId="6EE02DDA" w:rsidR="008D479B" w:rsidRDefault="008D479B" w:rsidP="008D479B">
      <w:pPr>
        <w:pStyle w:val="TextoNormal"/>
      </w:pPr>
      <w:r>
        <w:t>4º Archivar el incidente de suspensión por pérdida de objeto.</w:t>
      </w:r>
    </w:p>
    <w:p w14:paraId="645A2E7D" w14:textId="77777777" w:rsidR="008D479B" w:rsidRDefault="008D479B" w:rsidP="008D479B">
      <w:pPr>
        <w:pStyle w:val="TextoNormal"/>
      </w:pPr>
    </w:p>
    <w:p w14:paraId="35C246C3" w14:textId="77777777" w:rsidR="008D479B" w:rsidRDefault="008D479B" w:rsidP="008D479B">
      <w:pPr>
        <w:pStyle w:val="TextoNormal"/>
      </w:pPr>
      <w:r>
        <w:t>Publíquese esta sentencia en el “Boletín Oficial del Estado”.</w:t>
      </w:r>
    </w:p>
    <w:p w14:paraId="162CDB0F" w14:textId="77777777" w:rsidR="008D479B" w:rsidRDefault="008D479B" w:rsidP="008D479B">
      <w:pPr>
        <w:pStyle w:val="TextoNormal"/>
      </w:pPr>
      <w:r>
        <w:t>Dada en Madrid, a veinticinco de septiembre de dos mil veintitrés.</w:t>
      </w:r>
    </w:p>
    <w:p w14:paraId="12743E27" w14:textId="10812295" w:rsidR="008D479B" w:rsidRDefault="008D479B">
      <w:pPr>
        <w:spacing w:after="160" w:line="278" w:lineRule="auto"/>
        <w:rPr>
          <w:rFonts w:ascii="Times New Roman" w:eastAsia="Times New Roman" w:hAnsi="Times New Roman" w:cs="Times New Roman"/>
          <w:sz w:val="24"/>
          <w:szCs w:val="24"/>
          <w:lang w:eastAsia="es-ES"/>
        </w:rPr>
      </w:pPr>
      <w:r>
        <w:br w:type="page"/>
      </w:r>
    </w:p>
    <w:p w14:paraId="2ED949A6" w14:textId="77777777" w:rsidR="008D479B" w:rsidRDefault="008D479B" w:rsidP="008D479B">
      <w:pPr>
        <w:pStyle w:val="TtuloResolucin"/>
      </w:pPr>
      <w:bookmarkStart w:id="48" w:name="SENTENCIA_2023_123"/>
      <w:r>
        <w:t>SENTENCIA 123/2023, de 25 de septiembre de 2023</w:t>
      </w:r>
    </w:p>
    <w:bookmarkEnd w:id="48"/>
    <w:p w14:paraId="0C4F3391" w14:textId="77777777" w:rsidR="008D479B" w:rsidRDefault="008D479B" w:rsidP="008D479B">
      <w:pPr>
        <w:pStyle w:val="TtuloResolucin"/>
      </w:pPr>
      <w:r>
        <w:t>Sala Primera</w:t>
      </w:r>
    </w:p>
    <w:p w14:paraId="6A44394E" w14:textId="77777777" w:rsidR="008D479B" w:rsidRDefault="008D479B" w:rsidP="008D479B">
      <w:pPr>
        <w:pStyle w:val="TtuloBOE"/>
      </w:pPr>
      <w:r>
        <w:t>(BOE núm. 261, de 1 de noviembre de 2023)</w:t>
      </w:r>
    </w:p>
    <w:p w14:paraId="74DED037" w14:textId="77777777" w:rsidR="008D479B" w:rsidRDefault="008D479B" w:rsidP="008D479B">
      <w:pPr>
        <w:pStyle w:val="TextoNormalCentrado"/>
      </w:pPr>
      <w:r>
        <w:t>ECLI:ES:TC:2023:123</w:t>
      </w:r>
    </w:p>
    <w:p w14:paraId="6ED153FB" w14:textId="6F8FA5F6" w:rsidR="008D479B" w:rsidRDefault="008D479B" w:rsidP="008D479B">
      <w:pPr>
        <w:pStyle w:val="TextoNormalCentrado"/>
      </w:pPr>
    </w:p>
    <w:p w14:paraId="2A157DB8" w14:textId="77777777" w:rsidR="008D479B" w:rsidRDefault="008D479B" w:rsidP="008D479B">
      <w:pPr>
        <w:pStyle w:val="SntesisDescriptiva"/>
      </w:pPr>
      <w:r>
        <w:t>Recurso de amparo 27-2023. Promovido por don Ferrán Civil Arnabat respecto de las resoluciones dictadas por la Audiencia Provincial de Barcelona y un juzgado de lo penal de Manresa en ejecutoria de sentencia privativa de libertad.</w:t>
      </w:r>
    </w:p>
    <w:p w14:paraId="7DFCEE1A" w14:textId="6B4751AE" w:rsidR="008D479B" w:rsidRDefault="008D479B" w:rsidP="008D479B">
      <w:pPr>
        <w:pStyle w:val="SntesisDescriptiva"/>
      </w:pPr>
    </w:p>
    <w:p w14:paraId="68CFEFF1" w14:textId="77777777" w:rsidR="008D479B" w:rsidRDefault="008D479B" w:rsidP="008D479B">
      <w:pPr>
        <w:pStyle w:val="SntesisAnaltica"/>
      </w:pPr>
      <w:r>
        <w:t>Alegada vulneración del derecho a la libertad personal y a la tutela judicial efectiva (motivación): inadmisión del recurso de amparo planteado sin haber agotado la vía judicial previa.</w:t>
      </w:r>
    </w:p>
    <w:p w14:paraId="697AD227" w14:textId="27DD1DE0" w:rsidR="008D479B" w:rsidRDefault="008D479B" w:rsidP="008D479B">
      <w:pPr>
        <w:pStyle w:val="SntesisAnaltica"/>
      </w:pPr>
    </w:p>
    <w:p w14:paraId="2DECDC92" w14:textId="2FEB823C" w:rsidR="008D479B" w:rsidRDefault="008D479B" w:rsidP="008D479B">
      <w:pPr>
        <w:pStyle w:val="Extracto"/>
      </w:pPr>
      <w:r>
        <w:t>1.</w:t>
      </w:r>
      <w:r>
        <w:tab/>
        <w:t>El recurso de amparo debe inadmitirse por falta de agotamiento de la vía judicial previa, ex art. 50.1 a), en relación con el art. 44.1 a) LOTC, si el recurrente reabre la vía judicial con una solicitud de nulidad con el mismo objeto que el del recurso de amparo, provocando la coexistencia temporal de ambos procedimientos;  posibilitando, en última instancia, que con posterioridad a presentarse el recurso de amparo un órgano judicial pueda pronunciarse sobre la invocación alegada, en contradicción con el carácter subsidiario de esta jurisdicción (STC 337/2006) [FJ 2].</w:t>
      </w:r>
    </w:p>
    <w:p w14:paraId="292436F4" w14:textId="77777777" w:rsidR="008D479B" w:rsidRDefault="008D479B" w:rsidP="008D479B">
      <w:pPr>
        <w:pStyle w:val="Extracto"/>
      </w:pPr>
    </w:p>
    <w:p w14:paraId="23BC7823" w14:textId="77777777" w:rsidR="008D479B" w:rsidRDefault="008D479B" w:rsidP="008D479B">
      <w:pPr>
        <w:pStyle w:val="Extracto"/>
      </w:pPr>
    </w:p>
    <w:p w14:paraId="34D0396A" w14:textId="77777777" w:rsidR="008D479B" w:rsidRDefault="008D479B" w:rsidP="008D479B">
      <w:pPr>
        <w:pStyle w:val="TextoNormal"/>
      </w:pPr>
      <w:r>
        <w:t>La Sala Primera del Tribunal Constitucional, compuesta por el magistrado don Cándido Conde-Pumpido Tourón, presidente, y los magistrados y magistradas don Ricardo Enríquez Sancho, doña Concepción Espejel Jorquera, doña María Luisa Segoviano Astaburuaga y don Juan Carlos Campo Moreno, ha pronunciado</w:t>
      </w:r>
    </w:p>
    <w:p w14:paraId="56A14544" w14:textId="6C95404A" w:rsidR="008D479B" w:rsidRDefault="008D479B" w:rsidP="008D479B">
      <w:pPr>
        <w:pStyle w:val="TextoNormal"/>
      </w:pPr>
    </w:p>
    <w:p w14:paraId="33EED907" w14:textId="77777777" w:rsidR="008D479B" w:rsidRDefault="008D479B" w:rsidP="008D479B">
      <w:pPr>
        <w:pStyle w:val="TextoNormalCentrado"/>
        <w:keepNext/>
      </w:pPr>
      <w:r>
        <w:t>EN NOMBRE DEL REY</w:t>
      </w:r>
    </w:p>
    <w:p w14:paraId="51B46BD0" w14:textId="1198F4AA" w:rsidR="008D479B" w:rsidRDefault="008D479B" w:rsidP="008D479B">
      <w:pPr>
        <w:pStyle w:val="TextoNormalCentrado"/>
        <w:keepNext/>
      </w:pPr>
    </w:p>
    <w:p w14:paraId="012F259E" w14:textId="77777777" w:rsidR="008D479B" w:rsidRDefault="008D479B" w:rsidP="008D479B">
      <w:pPr>
        <w:pStyle w:val="TextoNormalCentrado"/>
        <w:keepNext/>
      </w:pPr>
    </w:p>
    <w:p w14:paraId="0208B035" w14:textId="77777777" w:rsidR="008D479B" w:rsidRDefault="008D479B" w:rsidP="008D479B">
      <w:pPr>
        <w:pStyle w:val="TextoNormal"/>
      </w:pPr>
      <w:r>
        <w:t>la siguiente</w:t>
      </w:r>
    </w:p>
    <w:p w14:paraId="51C5D385" w14:textId="2D5070EB" w:rsidR="008D479B" w:rsidRDefault="008D479B" w:rsidP="008D479B">
      <w:pPr>
        <w:pStyle w:val="TextoNormal"/>
      </w:pPr>
    </w:p>
    <w:p w14:paraId="35D591B5" w14:textId="77777777" w:rsidR="008D479B" w:rsidRDefault="008D479B" w:rsidP="008D479B">
      <w:pPr>
        <w:pStyle w:val="TextoNormalCentrado"/>
        <w:keepNext/>
      </w:pPr>
      <w:r>
        <w:t>SENTENCIA</w:t>
      </w:r>
    </w:p>
    <w:p w14:paraId="43CA4552" w14:textId="41D224AB" w:rsidR="008D479B" w:rsidRDefault="008D479B" w:rsidP="008D479B">
      <w:pPr>
        <w:pStyle w:val="TextoNormalCentrado"/>
        <w:keepNext/>
      </w:pPr>
    </w:p>
    <w:p w14:paraId="1CAEA591" w14:textId="77777777" w:rsidR="008D479B" w:rsidRDefault="008D479B" w:rsidP="008D479B">
      <w:pPr>
        <w:pStyle w:val="TextoNormal"/>
      </w:pPr>
      <w:r>
        <w:t>En el recurso de amparo núm. 27-2023, promovido por don Ferrán Civil Arnabat, contra las siguientes resoluciones judiciales: (i) auto del Juzgado de lo Penal núm. 1 de Manresa, de 25 de febrero de 2022, dictado en ejecutoria, por el que se revoca la suspensión de la pena de prisión que se había impuesto al recurrente, acordando el cumplimiento íntegro de dicha pena (auto aclarado por otro posterior de 22 de marzo de 2022, subsanando error material); (ii) auto del mismo juzgado, de 13 de mayo de 2022, que desestimó el recurso de reforma interpuesto contra el anterior; y (iii) auto de la Sección Octava de la Audiencia Provincial de Barcelona, de 25 de noviembre de 2022, desestimatorio del recurso de apelación promovido contra los dos autos del juzgado ya mencionados. Ha intervenido el Ministerio Fiscal. Ha sido ponente el magistrado don Ricardo Enríquez Sancho.</w:t>
      </w:r>
    </w:p>
    <w:p w14:paraId="14F53EFD" w14:textId="5FCB7E06" w:rsidR="008D479B" w:rsidRDefault="008D479B" w:rsidP="008D479B">
      <w:pPr>
        <w:pStyle w:val="TextoNormal"/>
      </w:pPr>
    </w:p>
    <w:p w14:paraId="5213D02A" w14:textId="77777777" w:rsidR="008D479B" w:rsidRDefault="008D479B" w:rsidP="008D479B">
      <w:pPr>
        <w:pStyle w:val="TextoNormalNegritaCentrado"/>
        <w:keepNext/>
      </w:pPr>
      <w:r>
        <w:t>I. Antecedentes</w:t>
      </w:r>
    </w:p>
    <w:p w14:paraId="6463A9DE" w14:textId="5E788F06" w:rsidR="008D479B" w:rsidRDefault="008D479B" w:rsidP="008D479B">
      <w:pPr>
        <w:pStyle w:val="TextoNormalNegritaCentrado"/>
        <w:keepNext/>
      </w:pPr>
    </w:p>
    <w:p w14:paraId="7CF7BB51" w14:textId="35548FE5" w:rsidR="008D479B" w:rsidRDefault="008D479B" w:rsidP="008D479B">
      <w:pPr>
        <w:pStyle w:val="TextoNormal"/>
      </w:pPr>
      <w:r w:rsidRPr="008D479B">
        <w:rPr>
          <w:rStyle w:val="NumeroAFNegritaCaracter"/>
        </w:rPr>
        <w:t>1</w:t>
      </w:r>
      <w:r>
        <w:t>. Mediante escrito presentado en el registro general de este tribunal el 5 de enero de 2023, la procuradora de los tribunales doña Rosa Sorribes Calle, actuando en nombre y representación de don Ferrán Civil Arnabat, bajo la defensa del abogado don Climent Fernández Forner, interpuso demanda de amparo contra las resoluciones arriba mencionadas.</w:t>
      </w:r>
    </w:p>
    <w:p w14:paraId="76A72BD0" w14:textId="77777777" w:rsidR="008D479B" w:rsidRDefault="008D479B" w:rsidP="008D479B">
      <w:pPr>
        <w:pStyle w:val="TextoNormal"/>
      </w:pPr>
    </w:p>
    <w:p w14:paraId="78D97774" w14:textId="77777777" w:rsidR="008D479B" w:rsidRDefault="008D479B" w:rsidP="008D479B">
      <w:pPr>
        <w:pStyle w:val="TextoNormal"/>
      </w:pPr>
      <w:r w:rsidRPr="008D479B">
        <w:rPr>
          <w:rStyle w:val="NumeroAFNegritaCaracter"/>
        </w:rPr>
        <w:t>2</w:t>
      </w:r>
      <w:r>
        <w:t>. Los hechos con relevancia para la resolución del presente recurso de amparo y a los que se refiere la demanda presentada, son los siguientes:</w:t>
      </w:r>
    </w:p>
    <w:p w14:paraId="2E3262C6" w14:textId="77777777" w:rsidR="008D479B" w:rsidRDefault="008D479B" w:rsidP="008D479B">
      <w:pPr>
        <w:pStyle w:val="TextoNormal"/>
      </w:pPr>
    </w:p>
    <w:p w14:paraId="5DDB011C" w14:textId="77777777" w:rsidR="008D479B" w:rsidRDefault="008D479B" w:rsidP="008D479B">
      <w:pPr>
        <w:pStyle w:val="TextoNormal"/>
      </w:pPr>
      <w:r>
        <w:t>a) El Juzgado de lo Penal núm. 1 de Manresa dictó sentencia el 19 de diciembre de 2014 en el procedimiento abreviado núm. 268-2012, cuya parte dispositiva acordó, por lo que respecta al aquí recurrente en amparo, lo siguiente:</w:t>
      </w:r>
    </w:p>
    <w:p w14:paraId="1A4C8C05" w14:textId="77777777" w:rsidR="008D479B" w:rsidRDefault="008D479B" w:rsidP="008D479B">
      <w:pPr>
        <w:pStyle w:val="TextoNormal"/>
      </w:pPr>
    </w:p>
    <w:p w14:paraId="6AEECCCF" w14:textId="77777777" w:rsidR="008D479B" w:rsidRDefault="008D479B" w:rsidP="008D479B">
      <w:pPr>
        <w:pStyle w:val="TextoNormal"/>
      </w:pPr>
      <w:r>
        <w:t>“Condeno a Ferrán Civil Arnabat, como autor penalmente responsable de un delito sobre la ordenación del territorio previsto y penado en el artículo 320.2 del Código penal, sin que concurran circunstancias modificativas de la responsabilidad penal, a la pena de veinte meses de multa a razón de una cuota diaria de seis euros con la responsabilidad personal subsidiaria en caso de impago del art. 53.1 del CP, esto es, un día de privación de libertad por cada dos cuotas diarias de multa no satisfechas y con la inhabilitación especial para la ocupación de cargo público durante siete años; y, como cooperador necesario de un delito sobre la ordenación del territorio previsto y penado en el artículo 319.1 del Código penal, sin que concurran circunstancias modificativas de la responsabilidad penal, a la pena de un año de prisión con la accesoria de inhabilitación para el ejercicio del derecho de sufragio pasivo durante todo el tiempo de la condena, dieciocho meses de multa a razón de una cuota diaria de seis euros con la responsabilidad personal subsidiaria en caso de impago del art. 53.1 del CP, esto es, un día de privación de libertad por cada dos cuotas diarias de multa no satisfechas y con la inhabilitación especial para la ocupación de empleo o cargo público durante un año.</w:t>
      </w:r>
    </w:p>
    <w:p w14:paraId="779C2D7A" w14:textId="77777777" w:rsidR="008D479B" w:rsidRDefault="008D479B" w:rsidP="008D479B">
      <w:pPr>
        <w:pStyle w:val="TextoNormal"/>
      </w:pPr>
    </w:p>
    <w:p w14:paraId="62B612A1" w14:textId="77777777" w:rsidR="008D479B" w:rsidRDefault="008D479B" w:rsidP="008D479B">
      <w:pPr>
        <w:pStyle w:val="TextoNormal"/>
      </w:pPr>
      <w:r>
        <w:t>[…]</w:t>
      </w:r>
    </w:p>
    <w:p w14:paraId="542C3F46" w14:textId="77777777" w:rsidR="008D479B" w:rsidRDefault="008D479B" w:rsidP="008D479B">
      <w:pPr>
        <w:pStyle w:val="TextoNormal"/>
      </w:pPr>
    </w:p>
    <w:p w14:paraId="72B5CBF6" w14:textId="77777777" w:rsidR="008D479B" w:rsidRDefault="008D479B" w:rsidP="008D479B">
      <w:pPr>
        <w:pStyle w:val="TextoNormal"/>
      </w:pPr>
      <w:r>
        <w:t>Dichas sumas deberán hacerse efectivas en un solo pago y plazo dentro de los cinco primeros días del mes siguiente al en que se declare la firmeza de la sentencia mediante su ingreso en el número de cuenta de consignación del juzgado.</w:t>
      </w:r>
    </w:p>
    <w:p w14:paraId="1DC394B8" w14:textId="77777777" w:rsidR="008D479B" w:rsidRDefault="008D479B" w:rsidP="008D479B">
      <w:pPr>
        <w:pStyle w:val="TextoNormal"/>
      </w:pPr>
    </w:p>
    <w:p w14:paraId="24DA3BF8" w14:textId="77777777" w:rsidR="008D479B" w:rsidRDefault="008D479B" w:rsidP="008D479B">
      <w:pPr>
        <w:pStyle w:val="TextoNormal"/>
      </w:pPr>
      <w:r>
        <w:t>Así mismo, condeno al pago de las costas procesales causadas por iguales partes a los acusados.</w:t>
      </w:r>
    </w:p>
    <w:p w14:paraId="75EC8396" w14:textId="77777777" w:rsidR="008D479B" w:rsidRDefault="008D479B" w:rsidP="008D479B">
      <w:pPr>
        <w:pStyle w:val="TextoNormal"/>
      </w:pPr>
    </w:p>
    <w:p w14:paraId="06F2FFFE" w14:textId="77777777" w:rsidR="008D479B" w:rsidRDefault="008D479B" w:rsidP="008D479B">
      <w:pPr>
        <w:pStyle w:val="TextoNormal"/>
      </w:pPr>
      <w:r>
        <w:t>En concepto de responsabilidad civil, se acuerda la demolición de todas las construcciones y edificaciones realizadas en los terrenos referidos en la conclusión primera, situados en el paraje de la Mina Sant Josep, carretera BV-4025 Km. 2 (polígono 5 de la parcela 20), promovidos por el acusado [P.M.A.M], con reposición de la situación anterior al inicio de las obras a costa de aquel y del acusado Ferrán Civil Arnabat y, subsidiariamente conforme al art. 120.3 y 4 del CP, de manera solidaria a costa del Ilmo. Ayuntamiento de Cercs y de la empresa Investigaciones Micológicas de Catalunya. También responderán solidariamente del coste de la demolición de la primera de las naves los acusados, [M.C.C.C.] y [P.L.C.]”.</w:t>
      </w:r>
    </w:p>
    <w:p w14:paraId="234E91C4" w14:textId="77777777" w:rsidR="008D479B" w:rsidRDefault="008D479B" w:rsidP="008D479B">
      <w:pPr>
        <w:pStyle w:val="TextoNormal"/>
      </w:pPr>
    </w:p>
    <w:p w14:paraId="3D425189" w14:textId="77777777" w:rsidR="008D479B" w:rsidRDefault="008D479B" w:rsidP="008D479B">
      <w:pPr>
        <w:pStyle w:val="TextoNormal"/>
      </w:pPr>
      <w:r>
        <w:t>Resulta conveniente también resaltar del apartado de hechos probados lo siguiente:</w:t>
      </w:r>
    </w:p>
    <w:p w14:paraId="68862879" w14:textId="77777777" w:rsidR="008D479B" w:rsidRDefault="008D479B" w:rsidP="008D479B">
      <w:pPr>
        <w:pStyle w:val="TextoNormal"/>
      </w:pPr>
    </w:p>
    <w:p w14:paraId="0715E77C" w14:textId="77777777" w:rsidR="008D479B" w:rsidRDefault="008D479B" w:rsidP="008D479B">
      <w:pPr>
        <w:pStyle w:val="TextoNormal"/>
      </w:pPr>
      <w:r>
        <w:t>“Único.- Se declara probado que en fecha no determinada del año 2006 pero en todo caso posterior al día de reyes y anterior al día 1 de junio de dicho año, el acusado, [P.M.A.M.], mayor de edad y sin antecedentes penales, actuando como administrador y socio único y fundador de la empresa Forèst Jou, S.L. —que tenía como objeto social la explotación, cultivo, transformación y elaboración de productos agroalimentarios y su comercialización— inició la construcción, sin solicitud de previa licencia y con el conocimiento y consentimiento del acusado Ferrán Civil Arnabat, de tres naves industriales de unos 300 m2 de planta cada una, para desarrollar esa actividad propia de la industria alimentaria de la empresa que gestionaba, en unos terrenos situados en el paraje llamado “la Mina Sant Josep”, cerca de la carretera BV 40-25 km 2, en el polígono 5 de la parcela 20, con una superficie total 329 413 m2 dentro del término municipal de Cercs, a sabiendas de que no podía hacerlo por ser contrario a la normativa urbanística.</w:t>
      </w:r>
    </w:p>
    <w:p w14:paraId="31B44D48" w14:textId="77777777" w:rsidR="008D479B" w:rsidRDefault="008D479B" w:rsidP="008D479B">
      <w:pPr>
        <w:pStyle w:val="TextoNormal"/>
      </w:pPr>
    </w:p>
    <w:p w14:paraId="2E14C08A" w14:textId="77777777" w:rsidR="008D479B" w:rsidRDefault="008D479B" w:rsidP="008D479B">
      <w:pPr>
        <w:pStyle w:val="TextoNormal"/>
      </w:pPr>
      <w:r>
        <w:t>Dichos terrenos, habían sido adquiridos mediante escritura pública por el acusado, el señor [P.M.A.M.], en el año 2002 por 37 864 €; se encontraban inscritos en el Registro de la Propiedad de Berga en la finca número 1.673, del libro 28, del tomo 830, […].</w:t>
      </w:r>
    </w:p>
    <w:p w14:paraId="2F699928" w14:textId="77777777" w:rsidR="008D479B" w:rsidRDefault="008D479B" w:rsidP="008D479B">
      <w:pPr>
        <w:pStyle w:val="TextoNormal"/>
      </w:pPr>
    </w:p>
    <w:p w14:paraId="11AC7FEF" w14:textId="77777777" w:rsidR="008D479B" w:rsidRDefault="008D479B" w:rsidP="008D479B">
      <w:pPr>
        <w:pStyle w:val="TextoNormal"/>
      </w:pPr>
      <w:r>
        <w:t>[…] el acusado Ferrán Civil Arnabat, actuando siempre como alcalde y, por tanto, como máximo responsable del ayuntamiento de la población de Cercs, dictó el día 22 de mayo de 2007 el decreto 78/2007 que concedía directamente la licencia para hacer una nave de uso industrial agroalimentario en suelo no urbanizable de interés natural, paisajístico y forestal de 300 m2 de planta baja y altillo de 240 m2, a pesar de conocer perfectamente o aceptar debido a su cargo que ni la normativa urbanística vigente desde enero del 2007 ni la anterior derogada admitían aquella nueva edificación.</w:t>
      </w:r>
    </w:p>
    <w:p w14:paraId="2A1FDB1C" w14:textId="77777777" w:rsidR="008D479B" w:rsidRDefault="008D479B" w:rsidP="008D479B">
      <w:pPr>
        <w:pStyle w:val="TextoNormal"/>
      </w:pPr>
    </w:p>
    <w:p w14:paraId="3E055F21" w14:textId="77777777" w:rsidR="008D479B" w:rsidRDefault="008D479B" w:rsidP="008D479B">
      <w:pPr>
        <w:pStyle w:val="TextoNormal"/>
      </w:pPr>
      <w:r>
        <w:t>El acusado señor [P.M.A.M.] una vez tuvo aquella licencia, utilizó una placa con el escudo del municipio de Cercs que puso en una de las paredes de la primera nave, la cual finalizó durante el año 2007 casi al tiempo de obtener aquella licencia de obras. Aquella primera nave industrial adquirió finalmente unas dimensiones en planta de 31 x 10,5 metros con una superficie de ocupación de unos 317 m2, estando formada por planta baja y planta piso de 300 m2, con una superficie total construida de unos 634 m2, la cual no se adaptaba de ninguna manera al paisaje del entorno.</w:t>
      </w:r>
    </w:p>
    <w:p w14:paraId="20AF7AB7" w14:textId="77777777" w:rsidR="008D479B" w:rsidRDefault="008D479B" w:rsidP="008D479B">
      <w:pPr>
        <w:pStyle w:val="TextoNormal"/>
      </w:pPr>
    </w:p>
    <w:p w14:paraId="34F727CA" w14:textId="77777777" w:rsidR="008D479B" w:rsidRDefault="008D479B" w:rsidP="008D479B">
      <w:pPr>
        <w:pStyle w:val="TextoNormal"/>
      </w:pPr>
      <w:r>
        <w:t>Aquel acusado actuando como máximo responsable, accionista, presidente del consejo de administración y director general de la empresa Investigaciones Micológicas de Catalunya, S.L., (en adelante I.M.C., S.L.), que había absorbido por fusión Forèst Jou, S.L., promovió también la construcción de otras dos naves para uso industrial, con unas dimensiones y características muy parecidas de dimensiones y de aspecto a la primera ilegalmente autorizada, promoviendo la realización de aquellas naves a pesar de saber o aceptar que la normativa urbanística vigente no permitía aquellas edificaciones industriales”.</w:t>
      </w:r>
    </w:p>
    <w:p w14:paraId="047A9DAE" w14:textId="77777777" w:rsidR="008D479B" w:rsidRDefault="008D479B" w:rsidP="008D479B">
      <w:pPr>
        <w:pStyle w:val="TextoNormal"/>
      </w:pPr>
    </w:p>
    <w:p w14:paraId="4B203F16" w14:textId="77777777" w:rsidR="008D479B" w:rsidRDefault="008D479B" w:rsidP="008D479B">
      <w:pPr>
        <w:pStyle w:val="TextoNormal"/>
      </w:pPr>
      <w:r>
        <w:t>b) Interpuesto recurso de apelación por los acusados, la Sección Octava de la Audiencia Provincial de Barcelona dictó sentencia el 5 de junio de 2015 en el rollo de apelación núm. 97-2015, estimando parcialmente el referido al aquí recurrente en amparo, con la siguiente parte dispositiva:</w:t>
      </w:r>
    </w:p>
    <w:p w14:paraId="2142C638" w14:textId="77777777" w:rsidR="008D479B" w:rsidRDefault="008D479B" w:rsidP="008D479B">
      <w:pPr>
        <w:pStyle w:val="TextoNormal"/>
      </w:pPr>
    </w:p>
    <w:p w14:paraId="730DF633" w14:textId="77777777" w:rsidR="008D479B" w:rsidRDefault="008D479B" w:rsidP="008D479B">
      <w:pPr>
        <w:pStyle w:val="TextoNormal"/>
      </w:pPr>
      <w:r>
        <w:t>“[Se declara] al acusado Ferrán Civil Arnabat, como autor penalmente responsable de un delito sobre la ordenación del territorio previsto y penado en el artículo 320.2 del Código penal, sin que concurran circunstancias modificativas de la responsabilidad penal, a la pena de doce (12) meses de multa a razón de una cuota diaria de seis euros con la responsabilidad personal subsidiaria en caso de impago del art. 53.1 del CP, esto es, un día de privación de libertad por cada dos cuotas diarias de multa no satisfechas y con la inhabilitación especial para la ocupación de cargo público durante siete años; y, como cooperador necesario de un delito sobre la ordenación del territorio previsto y penado en el artículo 319.1 del Código penal, sin que concurran circunstancias modificativas de la responsabilidad penal, a la pena de seis (6) meses de prisión con la accesoria de inhabilitación para el ejercicio del derecho de sufragio pasivo durante todo el tiempo de la condena, doce (12) meses de multa a razón de una cuota diaria de seis euros con la responsabilidad personal subsidiaria en caso de impago del art. 53.1 del CP, esto es, un día de privación de libertad por cada dos cuotas diarias de multa no satisfechas y con la inhabilitación especial para el cargo de concejal durante seis (6) meses, [...].</w:t>
      </w:r>
    </w:p>
    <w:p w14:paraId="2D3BF839" w14:textId="77777777" w:rsidR="008D479B" w:rsidRDefault="008D479B" w:rsidP="008D479B">
      <w:pPr>
        <w:pStyle w:val="TextoNormal"/>
      </w:pPr>
    </w:p>
    <w:p w14:paraId="6C3B4E96" w14:textId="77777777" w:rsidR="008D479B" w:rsidRDefault="008D479B" w:rsidP="008D479B">
      <w:pPr>
        <w:pStyle w:val="TextoNormal"/>
      </w:pPr>
      <w:r>
        <w:t>[…] Declaramos de oficio las costas de esta alzada”.</w:t>
      </w:r>
    </w:p>
    <w:p w14:paraId="2FAC15A8" w14:textId="77777777" w:rsidR="008D479B" w:rsidRDefault="008D479B" w:rsidP="008D479B">
      <w:pPr>
        <w:pStyle w:val="TextoNormal"/>
      </w:pPr>
    </w:p>
    <w:p w14:paraId="19BAF646" w14:textId="77777777" w:rsidR="008D479B" w:rsidRDefault="008D479B" w:rsidP="008D479B">
      <w:pPr>
        <w:pStyle w:val="TextoNormal"/>
      </w:pPr>
      <w:r>
        <w:t>c) El Juzgado de lo Penal núm. 1 de Manresa acordó incoar la ejecutoria de la sentencia de segunda instancia (ejecutoria núm. 313-2015). Mediante un auto posterior de 1 de junio de 2016 el juzgado acordó la suspensión de la pena de prisión impuesta al aquí recurrente, condicionado a que no delinquiera en el plazo de tres años. Otro tanto resolvió mediante un segundo auto referido al condenado P.M.A.M.</w:t>
      </w:r>
    </w:p>
    <w:p w14:paraId="2DC576AC" w14:textId="77777777" w:rsidR="008D479B" w:rsidRDefault="008D479B" w:rsidP="008D479B">
      <w:pPr>
        <w:pStyle w:val="TextoNormal"/>
      </w:pPr>
    </w:p>
    <w:p w14:paraId="6188EE21" w14:textId="77777777" w:rsidR="008D479B" w:rsidRDefault="008D479B" w:rsidP="008D479B">
      <w:pPr>
        <w:pStyle w:val="TextoNormal"/>
      </w:pPr>
      <w:r>
        <w:t>Contra ambas resoluciones se interpusieron sendos recursos de reforma por el fiscal interviniente. En su respuesta, y por lo que atañe al aquí recurrente, se dictó por el juzgado ejecutor un auto el 11 de octubre de 2017 con la siguiente parte dispositiva:</w:t>
      </w:r>
    </w:p>
    <w:p w14:paraId="55039C68" w14:textId="77777777" w:rsidR="008D479B" w:rsidRDefault="008D479B" w:rsidP="008D479B">
      <w:pPr>
        <w:pStyle w:val="TextoNormal"/>
      </w:pPr>
    </w:p>
    <w:p w14:paraId="6F01C731" w14:textId="77777777" w:rsidR="008D479B" w:rsidRDefault="008D479B" w:rsidP="008D479B">
      <w:pPr>
        <w:pStyle w:val="TextoNormal"/>
      </w:pPr>
      <w:r>
        <w:t>“Se estima el recurso de reforma interpuesto contra el auto de fecha 1 de junio de 2016 y en consecuencia se suspende por el plazo de tres años el cumplimiento de la pena privativa de libertad impuesta al condenado don Ferrán Civil Arnabat en la sentencia de que la presente ejecutoria dimana, haciéndole saber que el citado beneficio quedará condicionado a que, durante el citado plazo de suspensión:</w:t>
      </w:r>
    </w:p>
    <w:p w14:paraId="6797B1B2" w14:textId="77777777" w:rsidR="008D479B" w:rsidRDefault="008D479B" w:rsidP="008D479B">
      <w:pPr>
        <w:pStyle w:val="TextoNormal"/>
      </w:pPr>
    </w:p>
    <w:p w14:paraId="577D4656" w14:textId="77777777" w:rsidR="008D479B" w:rsidRDefault="008D479B" w:rsidP="008D479B">
      <w:pPr>
        <w:pStyle w:val="TextoNormal"/>
      </w:pPr>
      <w:r>
        <w:t>- Durante el citado plazo de suspensión (tres años) no vuelvan a delinquir.</w:t>
      </w:r>
    </w:p>
    <w:p w14:paraId="2F2B0329" w14:textId="77777777" w:rsidR="008D479B" w:rsidRDefault="008D479B" w:rsidP="008D479B">
      <w:pPr>
        <w:pStyle w:val="TextoNormal"/>
      </w:pPr>
    </w:p>
    <w:p w14:paraId="4A4998C3" w14:textId="77777777" w:rsidR="008D479B" w:rsidRDefault="008D479B" w:rsidP="008D479B">
      <w:pPr>
        <w:pStyle w:val="TextoNormal"/>
      </w:pPr>
      <w:r>
        <w:t>- Comuniquen todo cambio de domicilio y estén a disposición de este juzgado ante cualquier requerimiento.</w:t>
      </w:r>
    </w:p>
    <w:p w14:paraId="48249201" w14:textId="77777777" w:rsidR="008D479B" w:rsidRDefault="008D479B" w:rsidP="008D479B">
      <w:pPr>
        <w:pStyle w:val="TextoNormal"/>
      </w:pPr>
    </w:p>
    <w:p w14:paraId="1FAAEF05" w14:textId="77777777" w:rsidR="008D479B" w:rsidRDefault="008D479B" w:rsidP="008D479B">
      <w:pPr>
        <w:pStyle w:val="TextoNormal"/>
      </w:pPr>
      <w:r>
        <w:t>- Cumpla íntegramente con la responsabilidad civil a la que resultó condenado y que se reproduce en el antecedente de hecho primero de la presente resolución y como es de ver en el informe de la Unidad Central de Medio Ambiente de Mossos d’Esquadra remitido en fecha 22 de agosto de 2017, no se ha dado exacto y completo cumplimiento a la misma.</w:t>
      </w:r>
    </w:p>
    <w:p w14:paraId="537E05D3" w14:textId="77777777" w:rsidR="008D479B" w:rsidRDefault="008D479B" w:rsidP="008D479B">
      <w:pPr>
        <w:pStyle w:val="TextoNormal"/>
      </w:pPr>
    </w:p>
    <w:p w14:paraId="1115975F" w14:textId="77777777" w:rsidR="008D479B" w:rsidRDefault="008D479B" w:rsidP="008D479B">
      <w:pPr>
        <w:pStyle w:val="TextoNormal"/>
      </w:pPr>
      <w:r>
        <w:t>Para ello se otorga un plazo improrrogable de seis meses a fin de que proceda a demoler la instalación que comprende el alimentador de biomasa, la caldera, la edificación donde esta se ubica, la chimenea; la primera nave y las dos construcciones anexas que no existían previamente; retire los restos de escombros de la segunda nave, la base de hormigón de la nave y los pilares de sustentación de las máquinas. Asimismo respecto las edificaciones preexistentes en dicha nave procedan a demoler las reconstrucciones y rehabilitaciones realizadas con la asimilación, proceda a la demolición de la base de hormigón de la tercera nave y proceda a retirar todos los materiales de las instalaciones eléctricas, de ventilación y producción.</w:t>
      </w:r>
    </w:p>
    <w:p w14:paraId="78CFA777" w14:textId="77777777" w:rsidR="008D479B" w:rsidRDefault="008D479B" w:rsidP="008D479B">
      <w:pPr>
        <w:pStyle w:val="TextoNormal"/>
      </w:pPr>
    </w:p>
    <w:p w14:paraId="0951AE5A" w14:textId="77777777" w:rsidR="008D479B" w:rsidRDefault="008D479B" w:rsidP="008D479B">
      <w:pPr>
        <w:pStyle w:val="TextoNormal"/>
      </w:pPr>
      <w:r>
        <w:t>Si en dicho plazo no se ha dado cumplimiento a lo ordenado se acordará la revocación del beneficio de la suspensión, ordenando el ingreso del penado en el centro penitenciario de su elección, y sin perjuicio de que se ejecute a su costa la totalidad de la demolición”.</w:t>
      </w:r>
    </w:p>
    <w:p w14:paraId="461DC55D" w14:textId="77777777" w:rsidR="008D479B" w:rsidRDefault="008D479B" w:rsidP="008D479B">
      <w:pPr>
        <w:pStyle w:val="TextoNormal"/>
      </w:pPr>
    </w:p>
    <w:p w14:paraId="27643FA8" w14:textId="77777777" w:rsidR="008D479B" w:rsidRDefault="008D479B" w:rsidP="008D479B">
      <w:pPr>
        <w:pStyle w:val="TextoNormal"/>
      </w:pPr>
      <w:r>
        <w:t>En la misma fecha, 11 de octubre de 2017, se dictó otro auto en el mismo sentido, respecto del condenado P.M.A.M.</w:t>
      </w:r>
    </w:p>
    <w:p w14:paraId="0DBEE5D3" w14:textId="77777777" w:rsidR="008D479B" w:rsidRDefault="008D479B" w:rsidP="008D479B">
      <w:pPr>
        <w:pStyle w:val="TextoNormal"/>
      </w:pPr>
    </w:p>
    <w:p w14:paraId="25BCFE78" w14:textId="77777777" w:rsidR="008D479B" w:rsidRDefault="008D479B" w:rsidP="008D479B">
      <w:pPr>
        <w:pStyle w:val="TextoNormal"/>
      </w:pPr>
      <w:r>
        <w:t>d) El 6 de junio de 2019 el juzgado ejecutor dictó providencia del siguiente tenor:</w:t>
      </w:r>
    </w:p>
    <w:p w14:paraId="315FDF73" w14:textId="77777777" w:rsidR="008D479B" w:rsidRDefault="008D479B" w:rsidP="008D479B">
      <w:pPr>
        <w:pStyle w:val="TextoNormal"/>
      </w:pPr>
    </w:p>
    <w:p w14:paraId="5A0A5F59" w14:textId="77777777" w:rsidR="008D479B" w:rsidRDefault="008D479B" w:rsidP="008D479B">
      <w:pPr>
        <w:pStyle w:val="TextoNormal"/>
      </w:pPr>
      <w:r>
        <w:t>“Dada cuenta del informe efectuado por Mossos d’Esquadra en relación a la presente ejecutoria y las comprobaciones efectuadas sobre el estado de la demolición acordada respecto la finca de la Mina de Sant Josep, situada en la parcela núm. 20 polígono 5 del término municipal de Cercs, esta juzgadora acuerda dejar en suspenso la decisión sobre la posible revocación del beneficio de la suspensión concedido a la vista del contenido y documentación remitida por parte de la representación procesal del señor [P.M.A.M.].</w:t>
      </w:r>
    </w:p>
    <w:p w14:paraId="1488136E" w14:textId="77777777" w:rsidR="008D479B" w:rsidRDefault="008D479B" w:rsidP="008D479B">
      <w:pPr>
        <w:pStyle w:val="TextoNormal"/>
      </w:pPr>
    </w:p>
    <w:p w14:paraId="6AF36B03" w14:textId="77777777" w:rsidR="008D479B" w:rsidRDefault="008D479B" w:rsidP="008D479B">
      <w:pPr>
        <w:pStyle w:val="TextoNormal"/>
      </w:pPr>
      <w:r>
        <w:t>Se concede un plazo excepcional hasta el día 1 de julio de 2019 a fin de que retiren los elementos indicados en el informe de Mossos que no han sido retirados con la sola excepción de los preexistentes en la mina, de los que lógicamente no se puede hacer responsables a los acusados.</w:t>
      </w:r>
    </w:p>
    <w:p w14:paraId="6DDDEA73" w14:textId="77777777" w:rsidR="008D479B" w:rsidRDefault="008D479B" w:rsidP="008D479B">
      <w:pPr>
        <w:pStyle w:val="TextoNormal"/>
      </w:pPr>
    </w:p>
    <w:p w14:paraId="0CBBD2ED" w14:textId="77777777" w:rsidR="008D479B" w:rsidRDefault="008D479B" w:rsidP="008D479B">
      <w:pPr>
        <w:pStyle w:val="TextoNormal"/>
      </w:pPr>
      <w:r>
        <w:t>Se acuerda una nueva inspección para el día 1 de julio de 2019 por parte del área central de Medi Ambient del cos de Mossos d’Esquadra, y del resultado de dicho informe se resolverá sobre la revocación del beneficio de la suspensión, y en su caso, se dará traslado al Ajuntament de Cercs a fin de que proceda en treinta días a la demolición de lo que faltare para el caso de que no lo hubieran hecho los acusados”.</w:t>
      </w:r>
    </w:p>
    <w:p w14:paraId="7D975BF2" w14:textId="77777777" w:rsidR="008D479B" w:rsidRDefault="008D479B" w:rsidP="008D479B">
      <w:pPr>
        <w:pStyle w:val="TextoNormal"/>
      </w:pPr>
    </w:p>
    <w:p w14:paraId="0CBDE482" w14:textId="77777777" w:rsidR="008D479B" w:rsidRDefault="008D479B" w:rsidP="008D479B">
      <w:pPr>
        <w:pStyle w:val="TextoNormal"/>
      </w:pPr>
      <w:r>
        <w:t>e) El juzgado ejecutor dictó auto el 21 de octubre de 2019, en cuyo fundamento de Derecho primero, tras hacer cita del art. 86 CP, declaró:</w:t>
      </w:r>
    </w:p>
    <w:p w14:paraId="0CA81317" w14:textId="77777777" w:rsidR="008D479B" w:rsidRDefault="008D479B" w:rsidP="008D479B">
      <w:pPr>
        <w:pStyle w:val="TextoNormal"/>
      </w:pPr>
    </w:p>
    <w:p w14:paraId="39B31964" w14:textId="77777777" w:rsidR="008D479B" w:rsidRDefault="008D479B" w:rsidP="008D479B">
      <w:pPr>
        <w:pStyle w:val="TextoNormal"/>
      </w:pPr>
      <w:r>
        <w:t>“A la vista del informe efectuado [por la] Unidad Central de Medio Ambiente de Mossos d’Esquadra, recibido en este juzgado en fecha 12 de julio de 2019 en que se pone de manifiesto que no se ha dado exacto cumplimiento a lo acordado en la sentencia pues aún restan sobre el terreno: restos de solera de hormigón de las naves derribadas, la instalación de alimentación por biomasa no ha sido totalmente derribada ni desmontada, además de quedar sobre el terreno los escombros generados, y porque en las galerías de producción se mantienen material eléctrico, conducciones de ventilación, pavimentación y tabiques de compartimentación, no procede sino revocar el beneficio de la suspensión concedida a ambos acusados dado que a pesar del tiempo transcurrido y los plazos que les han sido concedidos para llevar a cabo la restitución, no lo han efectuado”.</w:t>
      </w:r>
    </w:p>
    <w:p w14:paraId="42023992" w14:textId="77777777" w:rsidR="008D479B" w:rsidRDefault="008D479B" w:rsidP="008D479B">
      <w:pPr>
        <w:pStyle w:val="TextoNormal"/>
      </w:pPr>
    </w:p>
    <w:p w14:paraId="1F1906F2" w14:textId="77777777" w:rsidR="008D479B" w:rsidRDefault="008D479B" w:rsidP="008D479B">
      <w:pPr>
        <w:pStyle w:val="TextoNormal"/>
      </w:pPr>
      <w:r>
        <w:t>La parte dispositiva del auto, a su vez señaló:</w:t>
      </w:r>
    </w:p>
    <w:p w14:paraId="1F8934A8" w14:textId="77777777" w:rsidR="008D479B" w:rsidRDefault="008D479B" w:rsidP="008D479B">
      <w:pPr>
        <w:pStyle w:val="TextoNormal"/>
      </w:pPr>
    </w:p>
    <w:p w14:paraId="562D5EDB" w14:textId="77777777" w:rsidR="008D479B" w:rsidRDefault="008D479B" w:rsidP="008D479B">
      <w:pPr>
        <w:pStyle w:val="TextoNormal"/>
      </w:pPr>
      <w:r>
        <w:t>“Acuerdo dejar sin efecto la suspensión por sendos autos de fecha 11 de octubre de 2017 respecto de don Ferrán Civil Arnabat y don [P.M.A.M.] y en consecuencia, se acuerda el cumplimiento íntegro de la pena de prisión impuesta.</w:t>
      </w:r>
    </w:p>
    <w:p w14:paraId="0FF6DB3E" w14:textId="77777777" w:rsidR="008D479B" w:rsidRDefault="008D479B" w:rsidP="008D479B">
      <w:pPr>
        <w:pStyle w:val="TextoNormal"/>
      </w:pPr>
    </w:p>
    <w:p w14:paraId="5C0EA040" w14:textId="77777777" w:rsidR="008D479B" w:rsidRDefault="008D479B" w:rsidP="008D479B">
      <w:pPr>
        <w:pStyle w:val="TextoNormal"/>
      </w:pPr>
      <w:r>
        <w:t>Se acuerda ejecutar a costa de ambos penados la totalidad de la demolición restante: restos de solera de hormigón de las naves derribadas, la instalación de alimentación por biomasa no ha sido totalmente derribada ni desmontada, además de quedar sobre el terreno los escombros generados, y porque en las galerías de producción se mantienen material eléctrico, conducciones de ventilación, pavimentación y tabiques de compartimentación de la finca de la Mina de Sant Josep, parcela 20 del polígono 5 del término municipal de Cercs”.</w:t>
      </w:r>
    </w:p>
    <w:p w14:paraId="3A7C3252" w14:textId="77777777" w:rsidR="008D479B" w:rsidRDefault="008D479B" w:rsidP="008D479B">
      <w:pPr>
        <w:pStyle w:val="TextoNormal"/>
      </w:pPr>
    </w:p>
    <w:p w14:paraId="104899CA" w14:textId="77777777" w:rsidR="008D479B" w:rsidRDefault="008D479B" w:rsidP="008D479B">
      <w:pPr>
        <w:pStyle w:val="TextoNormal"/>
      </w:pPr>
      <w:r>
        <w:t>f) Contra el auto último citado interpuso recurso de reforma el aquí demandante de amparo, el cual se desestimó por nuevo auto del juzgado ejecutor de 23 de enero de 2020.</w:t>
      </w:r>
    </w:p>
    <w:p w14:paraId="639D61F2" w14:textId="77777777" w:rsidR="008D479B" w:rsidRDefault="008D479B" w:rsidP="008D479B">
      <w:pPr>
        <w:pStyle w:val="TextoNormal"/>
      </w:pPr>
    </w:p>
    <w:p w14:paraId="0F1571EA" w14:textId="77777777" w:rsidR="008D479B" w:rsidRDefault="008D479B" w:rsidP="008D479B">
      <w:pPr>
        <w:pStyle w:val="TextoNormal"/>
      </w:pPr>
      <w:r>
        <w:t>g) Interpuesto entonces por la misma parte procesal recurso de apelación, la Sección Octava de la Audiencia Provincial de Barcelona (rollo de apelación núm. 690-2020) dictó auto el 7 de enero de 2021 con la siguiente dispositiva:</w:t>
      </w:r>
    </w:p>
    <w:p w14:paraId="0ED42836" w14:textId="77777777" w:rsidR="008D479B" w:rsidRDefault="008D479B" w:rsidP="008D479B">
      <w:pPr>
        <w:pStyle w:val="TextoNormal"/>
      </w:pPr>
    </w:p>
    <w:p w14:paraId="1AAC74FF" w14:textId="77777777" w:rsidR="008D479B" w:rsidRDefault="008D479B" w:rsidP="008D479B">
      <w:pPr>
        <w:pStyle w:val="TextoNormal"/>
      </w:pPr>
      <w:r>
        <w:t>“Estimamos parcialmente el recurso de apelación interpuesto en nombre del penado Ferrán Civil Arnabat contra el auto dictado el día 21 de octubre de 2019 y 23 de enero de 2020 por el Juzgado de lo Penal de Ejecución núm. l de Manresa (Barcelona) en la ejecutoria de la que trae causa el presente rollo, que se deja sin efecto, y en su lugar se acuerda prorrogar por seis meses el plazo de suspensión de condena a fin de que se dé cumplimiento a la sentencia que se ejecuta en sus estrictos términos. El plazo de prórroga se computará desde la notificación de la presente resolución”.</w:t>
      </w:r>
    </w:p>
    <w:p w14:paraId="5A76DEC8" w14:textId="77777777" w:rsidR="008D479B" w:rsidRDefault="008D479B" w:rsidP="008D479B">
      <w:pPr>
        <w:pStyle w:val="TextoNormal"/>
      </w:pPr>
    </w:p>
    <w:p w14:paraId="52F7C06F" w14:textId="77777777" w:rsidR="008D479B" w:rsidRDefault="008D479B" w:rsidP="008D479B">
      <w:pPr>
        <w:pStyle w:val="TextoNormal"/>
      </w:pPr>
      <w:r>
        <w:t>Basa su decisión la sección de apelación, con cita del art. 86 CP, afirmando en el razonamiento jurídico tercero que, si bien se constata el incumplimiento por el aquí recurrente de la condición impuesta al momento de otorgarle el beneficio de “sustitución de la pena de prisión”, debe tenerse sin embargo en cuenta que:</w:t>
      </w:r>
    </w:p>
    <w:p w14:paraId="20EA3AC7" w14:textId="77777777" w:rsidR="008D479B" w:rsidRDefault="008D479B" w:rsidP="008D479B">
      <w:pPr>
        <w:pStyle w:val="TextoNormal"/>
      </w:pPr>
    </w:p>
    <w:p w14:paraId="29CB7309" w14:textId="77777777" w:rsidR="008D479B" w:rsidRDefault="008D479B" w:rsidP="008D479B">
      <w:pPr>
        <w:pStyle w:val="TextoNormal"/>
      </w:pPr>
      <w:r>
        <w:t>“Para que el incumplimiento de la obligación impuesta determine la revocación de la suspensión, es preciso que pueda ser tenido como grave o reiterado. De no ser así hay una posibilidad intermedia, a saber, cuando el incumplimiento de dichas condiciones, prohibiciones o deberes no tenga el carácter de grave o reiterado, en cuyo caso, el legislador, en aras a conceder una segunda oportunidad al penado, permite imponer al penado nuevas prohibiciones, deberes o condiciones, o modificar las ya impuestas, o prorrogar el plazo de suspensión, sin que en ningún caso pueda exceder de la mitad de la duración del que hubiera sido inicialmente fijado.</w:t>
      </w:r>
    </w:p>
    <w:p w14:paraId="57D82ABD" w14:textId="77777777" w:rsidR="008D479B" w:rsidRDefault="008D479B" w:rsidP="008D479B">
      <w:pPr>
        <w:pStyle w:val="TextoNormal"/>
      </w:pPr>
    </w:p>
    <w:p w14:paraId="1A181788" w14:textId="77777777" w:rsidR="008D479B" w:rsidRDefault="008D479B" w:rsidP="008D479B">
      <w:pPr>
        <w:pStyle w:val="TextoNormal"/>
      </w:pPr>
      <w:r>
        <w:t>Advertimos que en el caso, ciertamente el penado incumplió la obligación impuesta pese a los plazos que al efecto se le concedieron, y pese a ello, no consideramos que ese incumplimiento deba ser tenido como grave a los efectos del art. 86 del CP.</w:t>
      </w:r>
    </w:p>
    <w:p w14:paraId="4FF2ED0C" w14:textId="77777777" w:rsidR="008D479B" w:rsidRDefault="008D479B" w:rsidP="008D479B">
      <w:pPr>
        <w:pStyle w:val="TextoNormal"/>
      </w:pPr>
    </w:p>
    <w:p w14:paraId="6F146983" w14:textId="77777777" w:rsidR="008D479B" w:rsidRDefault="008D479B" w:rsidP="008D479B">
      <w:pPr>
        <w:pStyle w:val="TextoNormal"/>
      </w:pPr>
      <w:r>
        <w:t>Tenemos en cuenta que los trabajos de demolición a realizar por los penados eran de cierta envergadura dada las dimensiones de las tres naves que se derribaron. Así mismo, fue preciso retirar los escombros resultantes. Resulta así que los trabajos pendientes de realizar son mínimos y excepto tres metros cuadrados de hormigón, el resto consisten en retirar elementos sueltos que están depositados en la mina, a fin de que la misma quede en el mismo estado en que se encontraba antes de la comisión del delito.</w:t>
      </w:r>
    </w:p>
    <w:p w14:paraId="69F09419" w14:textId="77777777" w:rsidR="008D479B" w:rsidRDefault="008D479B" w:rsidP="008D479B">
      <w:pPr>
        <w:pStyle w:val="TextoNormal"/>
      </w:pPr>
    </w:p>
    <w:p w14:paraId="2C2A29E4" w14:textId="77777777" w:rsidR="008D479B" w:rsidRDefault="008D479B" w:rsidP="008D479B">
      <w:pPr>
        <w:pStyle w:val="TextoNormal"/>
      </w:pPr>
      <w:r>
        <w:t>Es por ello por lo que, con estimación parcial del recurso interpuesto por la representación procesal del penado Ferrán Civil Arnabat, procede conceder a los penados una última oportunidad de dar cumplimiento a la sentencia dictada, y para ello se acuerda prorrogar seis meses el tiempo de suspensión de condena, tiempo que se considera suficiente para que demuestren su inequívoca voluntad de cumplir la obligación de hacer que les fue impuesta y de demostrar que el cumplimiento de la pena no es necesario para evitar la futura comisión de delitos.</w:t>
      </w:r>
    </w:p>
    <w:p w14:paraId="55BA0A43" w14:textId="77777777" w:rsidR="008D479B" w:rsidRDefault="008D479B" w:rsidP="008D479B">
      <w:pPr>
        <w:pStyle w:val="TextoNormal"/>
      </w:pPr>
    </w:p>
    <w:p w14:paraId="7AF4B33C" w14:textId="77777777" w:rsidR="008D479B" w:rsidRDefault="008D479B" w:rsidP="008D479B">
      <w:pPr>
        <w:pStyle w:val="TextoNormal"/>
      </w:pPr>
      <w:r>
        <w:t>El plazo de prórroga se computará desde la notificación de la presente resolución”.</w:t>
      </w:r>
    </w:p>
    <w:p w14:paraId="75FCD79F" w14:textId="77777777" w:rsidR="008D479B" w:rsidRDefault="008D479B" w:rsidP="008D479B">
      <w:pPr>
        <w:pStyle w:val="TextoNormal"/>
      </w:pPr>
    </w:p>
    <w:p w14:paraId="6693C732" w14:textId="77777777" w:rsidR="008D479B" w:rsidRDefault="008D479B" w:rsidP="008D479B">
      <w:pPr>
        <w:pStyle w:val="TextoNormal"/>
      </w:pPr>
      <w:r>
        <w:t>h) En virtud de providencia dictada el 3 de septiembre de 2021, el juzgado ejecutor acordó oficiar a los Mossos d’Esquadra a fin de que inspeccionaran el terreno y emitieran nuevo informe sobre el cumplimiento de la sentencia. Recibido dicho informe, se dio traslado a las partes para que pudieran realizar alegaciones sobre la posible revocación de la suspensión de la pena de prisión.</w:t>
      </w:r>
    </w:p>
    <w:p w14:paraId="17B1BE27" w14:textId="77777777" w:rsidR="008D479B" w:rsidRDefault="008D479B" w:rsidP="008D479B">
      <w:pPr>
        <w:pStyle w:val="TextoNormal"/>
      </w:pPr>
    </w:p>
    <w:p w14:paraId="3A41306C" w14:textId="77777777" w:rsidR="008D479B" w:rsidRDefault="008D479B" w:rsidP="008D479B">
      <w:pPr>
        <w:pStyle w:val="TextoNormal"/>
      </w:pPr>
      <w:r>
        <w:t>El aquí demandante de amparo presentó sus alegaciones por escrito, en el que además de discrepar de los datos incluidos en el informe policial y entender por ello que la responsabilidad civil ya estaba extinguida, añadió que en el supuesto de que así no fuera, “teniendo en cuenta de que mi representado no tiene ninguna posibilidad de acceder a la parcela 20 del polígono 5 de Cercs, no tiene ningún inconveniente en que si después del informe que emita el propio servicio de disciplina urbanística, realmente figurase algún trabajo pendiente, se valore y cuantifique el mismo y se sustituya la obligación de hacer en una obligación dineraria, como está legalmente previsto en el caso de las ejecuciones civiles, como forma definitiva de acabar […] con una situación manifiesta de incertidumbre, inseguridad y absoluta indefensión”. Añade que los trabajos de restitución de la realidad física alterada se han hecho por terceros y que él personalmente no puede hacerlos. Subsidiariamente pide también la sustitución de la pena de prisión por la de mult</w:t>
      </w:r>
      <w:r w:rsidRPr="008D479B">
        <w:rPr>
          <w:i/>
        </w:rPr>
        <w:t xml:space="preserve">a </w:t>
      </w:r>
      <w:r>
        <w:t>ex art. 88.1 CP.</w:t>
      </w:r>
    </w:p>
    <w:p w14:paraId="70266FDE" w14:textId="77777777" w:rsidR="008D479B" w:rsidRDefault="008D479B" w:rsidP="008D479B">
      <w:pPr>
        <w:pStyle w:val="TextoNormal"/>
      </w:pPr>
    </w:p>
    <w:p w14:paraId="1576F780" w14:textId="77777777" w:rsidR="008D479B" w:rsidRDefault="008D479B" w:rsidP="008D479B">
      <w:pPr>
        <w:pStyle w:val="TextoNormal"/>
      </w:pPr>
      <w:r>
        <w:t>i) Con fecha 25 de febrero de 2022 el juzgado ejecutor resolvió el incidente abierto, dictando un auto con la siguiente parte dispositiva:</w:t>
      </w:r>
    </w:p>
    <w:p w14:paraId="2B207B46" w14:textId="77777777" w:rsidR="008D479B" w:rsidRDefault="008D479B" w:rsidP="008D479B">
      <w:pPr>
        <w:pStyle w:val="TextoNormal"/>
      </w:pPr>
    </w:p>
    <w:p w14:paraId="2FF2D735" w14:textId="77777777" w:rsidR="008D479B" w:rsidRDefault="008D479B" w:rsidP="008D479B">
      <w:pPr>
        <w:pStyle w:val="TextoNormal"/>
      </w:pPr>
      <w:r>
        <w:t>“Acuerdo dejar sin efecto la suspensión por sendos autos de fecha 11 de octubre de 2017 respecto de don Ferrán Civil Arnabat, cuyo plazo fue ampliado por auto de la Ilma. Audiencia de Barcelona, Sección Octava de fecha 7 de enero de 2021, y en consecuencia, se acuerda el cumplimiento íntegro de la pena de prisión impuesta.</w:t>
      </w:r>
    </w:p>
    <w:p w14:paraId="5D76CBCA" w14:textId="77777777" w:rsidR="008D479B" w:rsidRDefault="008D479B" w:rsidP="008D479B">
      <w:pPr>
        <w:pStyle w:val="TextoNormal"/>
      </w:pPr>
    </w:p>
    <w:p w14:paraId="427B9EF1" w14:textId="77777777" w:rsidR="008D479B" w:rsidRDefault="008D479B" w:rsidP="008D479B">
      <w:pPr>
        <w:pStyle w:val="TextoNormal"/>
      </w:pPr>
      <w:r>
        <w:t>Se acuerda ejecutar a costa de ambos penados la totalidad de la demolición restante: retirada del material de obra, runas, fragmentos dispersos de hormigón y restos, y demolición/retirada en el interior de las galerías de producción preexistentes del material eléctrico, de las conducciones de ventilación, de la pavimentación y de las paredes de compartimentación de la finca de la Mina de Sant Josep, parcela 20 del polígono 5 del término municipal de Cercs”,</w:t>
      </w:r>
    </w:p>
    <w:p w14:paraId="1A75494B" w14:textId="77777777" w:rsidR="008D479B" w:rsidRDefault="008D479B" w:rsidP="008D479B">
      <w:pPr>
        <w:pStyle w:val="TextoNormal"/>
      </w:pPr>
    </w:p>
    <w:p w14:paraId="7C69F673" w14:textId="77777777" w:rsidR="008D479B" w:rsidRDefault="008D479B" w:rsidP="008D479B">
      <w:pPr>
        <w:pStyle w:val="TextoNormal"/>
      </w:pPr>
      <w:r>
        <w:t>La razón de decidir del juzgado, que se expresa en el fundamento de Derecho primero, tras hacer un repaso de todas las resoluciones que se han ido dictando en la ejecutoria por él mismo y por la Audiencia Provincial, es la que figura a continuación:</w:t>
      </w:r>
    </w:p>
    <w:p w14:paraId="640DF762" w14:textId="77777777" w:rsidR="008D479B" w:rsidRDefault="008D479B" w:rsidP="008D479B">
      <w:pPr>
        <w:pStyle w:val="TextoNormal"/>
      </w:pPr>
    </w:p>
    <w:p w14:paraId="5E47AA6F" w14:textId="77777777" w:rsidR="008D479B" w:rsidRDefault="008D479B" w:rsidP="008D479B">
      <w:pPr>
        <w:pStyle w:val="TextoNormal"/>
      </w:pPr>
      <w:r>
        <w:t>“Del informe de fecha 22 de octubre de 2021 de la Unidad Central de Medio Ambiente de Mossos d’Esquadra, recibido en fecha 26 de enero de 2022 en el Juzgado de lo Penal, resulta que en el terreno continúa existiendo material de obra, runas, fragmentos dispersos de hormigón y restos, y en el interior de las galerías de producción preexistentes sigue habiendo material eléctrico, conducciones de ventilación, pavimentación y paredes de compartimentación no habiéndose restaurado la realidad física alterada por tanto como se ordenó en la sentencia firme de la que trae causa la presente ejecutoria.</w:t>
      </w:r>
    </w:p>
    <w:p w14:paraId="1AEED7CF" w14:textId="77777777" w:rsidR="008D479B" w:rsidRDefault="008D479B" w:rsidP="008D479B">
      <w:pPr>
        <w:pStyle w:val="TextoNormal"/>
      </w:pPr>
    </w:p>
    <w:p w14:paraId="59D44EB8" w14:textId="77777777" w:rsidR="008D479B" w:rsidRDefault="008D479B" w:rsidP="008D479B">
      <w:pPr>
        <w:pStyle w:val="TextoNormal"/>
      </w:pPr>
      <w:r>
        <w:t>En virtud de ello, no procede sino considerar como muy grave el incumplimiento de la condición impuesta para la suspensión de la pena privativa de libertad, dado que a pesar de las numerosas prórrogas y plazos concedidos, no han ejecutado en estrictos términos lo dispuesto en sentencia, siendo como indicó la Ilma. Audiencia Provincial de Barcelona la última oportunidad que se les concedía a los penados para ello”.</w:t>
      </w:r>
    </w:p>
    <w:p w14:paraId="72B7C7A1" w14:textId="77777777" w:rsidR="008D479B" w:rsidRDefault="008D479B" w:rsidP="008D479B">
      <w:pPr>
        <w:pStyle w:val="TextoNormal"/>
      </w:pPr>
    </w:p>
    <w:p w14:paraId="6AAD625F" w14:textId="77777777" w:rsidR="008D479B" w:rsidRDefault="008D479B" w:rsidP="008D479B">
      <w:pPr>
        <w:pStyle w:val="TextoNormal"/>
      </w:pPr>
      <w:r>
        <w:t>El auto ofrecía como pie de recurso la posibilidad de interponer contra él “recurso de apelación dentro de los cinco días siguientes a su notificación”. Solicitada la rectificación del auto por error material en cuanto al pie de recurso, fue concedida por el juzgado mediante auto de 22 de marzo de 2022, indicando que contra dicha resolución “cabe interponer recurso de reforma y/o apelación dentro de los tres/cinco días siguientes a su notificación”.</w:t>
      </w:r>
    </w:p>
    <w:p w14:paraId="5CE784E3" w14:textId="77777777" w:rsidR="008D479B" w:rsidRDefault="008D479B" w:rsidP="008D479B">
      <w:pPr>
        <w:pStyle w:val="TextoNormal"/>
      </w:pPr>
    </w:p>
    <w:p w14:paraId="5BF139DD" w14:textId="77777777" w:rsidR="008D479B" w:rsidRDefault="008D479B" w:rsidP="008D479B">
      <w:pPr>
        <w:pStyle w:val="TextoNormal"/>
      </w:pPr>
      <w:r>
        <w:t>j) Contra el auto de 25 de febrero de 2022, y siguiendo el pie de recurso rectificado, el demandante de amparo interpuso recurso de reforma y subsidiario de apelación.</w:t>
      </w:r>
    </w:p>
    <w:p w14:paraId="20D23F77" w14:textId="77777777" w:rsidR="008D479B" w:rsidRDefault="008D479B" w:rsidP="008D479B">
      <w:pPr>
        <w:pStyle w:val="TextoNormal"/>
      </w:pPr>
    </w:p>
    <w:p w14:paraId="2138901C" w14:textId="77777777" w:rsidR="008D479B" w:rsidRDefault="008D479B" w:rsidP="008D479B">
      <w:pPr>
        <w:pStyle w:val="TextoNormal"/>
      </w:pPr>
      <w:r>
        <w:t>Cuestiona en dicho escrito, en primer lugar, que la decisión adoptada por el juzgado se base en un informe de los Mossos d’Esquadra, cuando existe un informe del Departamento de Territorio y Sostenibilidad de 2 de julio de 2020, en el sentido de que la realidad física del terreno estaba ya restaurada, por lo que no procedía revocar la suspensión de la pena de prisión. Más adelante hizo cita de la STC 32/2022, de 7 de marzo, donde se declara que la revocación de la suspensión para cumplir una pena corta privativa de libertad, basada exclusivamente en el incumplimiento de un compromiso de pago incumplido, sin tener en cuenta las circunstancias económicas reales, “no puede considerarse compatible con el orden constitucional”. También citó las SSTC 224/1992, de 14 de diciembre; 209/1993, de 28 de junio; 115/1997, de 16 de junio; 164/1999, de 27 de septiembre; 8/2001, de 15 de enero; 110/2003, de 16 de junio, y 251/2005 de 10 de octubre; todas ellas con relación a que la medida de suspensión de la pena pretende evitar el cumplimiento de penas cortas privativas de libertad. Que en este caso tal exigencia sería un “total despropósito” tratándose de una persona que “ha dejado de tener cualquier mínima capacidad de dominio sobre el hecho, al haber dejado hace años de ser Alcalde y residir incluso en otra localidad”, y que carece de antecedentes penales.</w:t>
      </w:r>
    </w:p>
    <w:p w14:paraId="3B44C45D" w14:textId="77777777" w:rsidR="008D479B" w:rsidRDefault="008D479B" w:rsidP="008D479B">
      <w:pPr>
        <w:pStyle w:val="TextoNormal"/>
      </w:pPr>
    </w:p>
    <w:p w14:paraId="0A24101E" w14:textId="77777777" w:rsidR="008D479B" w:rsidRDefault="008D479B" w:rsidP="008D479B">
      <w:pPr>
        <w:pStyle w:val="TextoNormal"/>
      </w:pPr>
      <w:r>
        <w:t>En el suplico del escrito se solicitó que con estimación del recurso se acordase anular y revocar el auto de 25 de febrero de 2022, manteniendo la suspensión de la pena de prisión, y “[s]ubsidiariamente se cuantifique económicamente el importe de los trabajos de restauración que pudieran quedar pendientes, por su ejecución subsidiaria a cargo de los propios condenados, y en último extremo y también subsidiariamente se decrete la sustitución de la pena privativa de libertad por multa”.</w:t>
      </w:r>
    </w:p>
    <w:p w14:paraId="022F2256" w14:textId="77777777" w:rsidR="008D479B" w:rsidRDefault="008D479B" w:rsidP="008D479B">
      <w:pPr>
        <w:pStyle w:val="TextoNormal"/>
      </w:pPr>
    </w:p>
    <w:p w14:paraId="0360237F" w14:textId="77777777" w:rsidR="008D479B" w:rsidRDefault="008D479B" w:rsidP="008D479B">
      <w:pPr>
        <w:pStyle w:val="TextoNormal"/>
      </w:pPr>
      <w:r>
        <w:t>k) El recurso de reforma se resolvió por auto de 13 de mayo de 2022 del juzgado, en sentido desestimatorio, con confirmación de la parte dispositiva de la resolución impugnada. A tal efecto, y luego de volver a hacer una recapitulación de las distintas resoluciones dictadas en la ejecutoria, se rechaza el recurso en el fundamento de Derecho segundo diciendo:</w:t>
      </w:r>
    </w:p>
    <w:p w14:paraId="6738D44B" w14:textId="77777777" w:rsidR="008D479B" w:rsidRDefault="008D479B" w:rsidP="008D479B">
      <w:pPr>
        <w:pStyle w:val="TextoNormal"/>
      </w:pPr>
    </w:p>
    <w:p w14:paraId="021AA1B2" w14:textId="77777777" w:rsidR="008D479B" w:rsidRDefault="008D479B" w:rsidP="008D479B">
      <w:pPr>
        <w:pStyle w:val="TextoNormal"/>
      </w:pPr>
      <w:r>
        <w:t>“No ha lugar a pronunciarse sobre la sustitución peticionada conforme al artículo 88 del Código penal, dado que la incoación de la ejecutoria tuvo lugar con posterioridad a la reforma operada por la Ley Orgánica 1/2015, habiendo quedado derogado dicho precepto en virtud de la misma con anterioridad a la ejecución de la sentencia de la que trae causa la presente ejecutoria.</w:t>
      </w:r>
    </w:p>
    <w:p w14:paraId="3D96B493" w14:textId="77777777" w:rsidR="008D479B" w:rsidRDefault="008D479B" w:rsidP="008D479B">
      <w:pPr>
        <w:pStyle w:val="TextoNormal"/>
      </w:pPr>
    </w:p>
    <w:p w14:paraId="1BD4DF1E" w14:textId="77777777" w:rsidR="008D479B" w:rsidRDefault="008D479B" w:rsidP="008D479B">
      <w:pPr>
        <w:pStyle w:val="TextoNormal"/>
      </w:pPr>
      <w:r>
        <w:t>En segundo término ya le fue concedido el beneficio de la suspensión al penado, y fue revocada dicha suspensión, habiendo estimado únicamente la Ilma. Audiencia el recurso de apelación interpuesto contra dicha revocación en el sentido de conceder un plazo excepcional a los penados para ejecutar la responsabilidad civil derivada de delito.</w:t>
      </w:r>
    </w:p>
    <w:p w14:paraId="62304E2C" w14:textId="77777777" w:rsidR="008D479B" w:rsidRDefault="008D479B" w:rsidP="008D479B">
      <w:pPr>
        <w:pStyle w:val="TextoNormal"/>
      </w:pPr>
    </w:p>
    <w:p w14:paraId="5147A46B" w14:textId="77777777" w:rsidR="008D479B" w:rsidRDefault="008D479B" w:rsidP="008D479B">
      <w:pPr>
        <w:pStyle w:val="TextoNormal"/>
      </w:pPr>
      <w:r>
        <w:t>El artículo 80 tanto en sus modalidades previstas en el apartado segundo como tercero exigen el cumplimiento de la responsabilidad civil derivada de delito ‘Que se hayan satisfecho las responsabilidades civiles que se hubieren originado y se haya hecho efectivo el decomiso acordado en sentencia conforme al artículo 127.</w:t>
      </w:r>
    </w:p>
    <w:p w14:paraId="4EB6FF1A" w14:textId="77777777" w:rsidR="008D479B" w:rsidRDefault="008D479B" w:rsidP="008D479B">
      <w:pPr>
        <w:pStyle w:val="TextoNormal"/>
      </w:pPr>
    </w:p>
    <w:p w14:paraId="77C7B23B" w14:textId="77777777" w:rsidR="008D479B" w:rsidRDefault="008D479B" w:rsidP="008D479B">
      <w:pPr>
        <w:pStyle w:val="TextoNormal"/>
      </w:pPr>
      <w:r>
        <w:t>Este requisito se entenderá cumplido cuando el penado asuma el compromiso de satisfacer las responsabilidades civiles de acuerdo a su capacidad económica y de facilitar el decomiso acordado, y sea razonable esperar que el mismo será cumplido en el plazo prudencial que el juez o tribunal determine. El juez o tribunal, en atención al alcance de la responsabilidad civil y al impacto social del delito, podrá solicitar las garantías que considere convenientes para asegurar su cumplimiento’. Algo que evidentemente no se ha cumplido en el presente caso, habiendo la Ilma. Audiencia calificado como incumplimiento grave a los efectos del artículo 86 del Código penal”.</w:t>
      </w:r>
    </w:p>
    <w:p w14:paraId="764A71F2" w14:textId="77777777" w:rsidR="008D479B" w:rsidRDefault="008D479B" w:rsidP="008D479B">
      <w:pPr>
        <w:pStyle w:val="TextoNormal"/>
      </w:pPr>
    </w:p>
    <w:p w14:paraId="37E1053F" w14:textId="77777777" w:rsidR="008D479B" w:rsidRDefault="008D479B" w:rsidP="008D479B">
      <w:pPr>
        <w:pStyle w:val="TextoNormal"/>
      </w:pPr>
      <w:r>
        <w:t>l) Por escrito de alegaciones que tuvo entrada en el registro del juzgado ejecutor el 1 de junio de 2022, el recurrente en amparo se ratificó en el recurso de apelación ya deducido subsidiariamente con el de reforma.</w:t>
      </w:r>
    </w:p>
    <w:p w14:paraId="7BCC898D" w14:textId="77777777" w:rsidR="008D479B" w:rsidRDefault="008D479B" w:rsidP="008D479B">
      <w:pPr>
        <w:pStyle w:val="TextoNormal"/>
      </w:pPr>
    </w:p>
    <w:p w14:paraId="5D9C14ED" w14:textId="77777777" w:rsidR="008D479B" w:rsidRDefault="008D479B" w:rsidP="008D479B">
      <w:pPr>
        <w:pStyle w:val="TextoNormal"/>
      </w:pPr>
      <w:r>
        <w:t>m) Elevadas las actuaciones a la Audiencia Provincial de Barcelona, recayó el conocimiento del recurso de apelación en su Sección Octava (rollo de apelación 548-2022). Tras la tramitación del procedimiento dictó auto el 25 de noviembre de 2022 desestimando el recurso, y la resolución impugnada “se confirma en sus propios términos”.</w:t>
      </w:r>
    </w:p>
    <w:p w14:paraId="52196C41" w14:textId="77777777" w:rsidR="008D479B" w:rsidRDefault="008D479B" w:rsidP="008D479B">
      <w:pPr>
        <w:pStyle w:val="TextoNormal"/>
      </w:pPr>
    </w:p>
    <w:p w14:paraId="7C0D44DD" w14:textId="77777777" w:rsidR="008D479B" w:rsidRDefault="008D479B" w:rsidP="008D479B">
      <w:pPr>
        <w:pStyle w:val="TextoNormal"/>
      </w:pPr>
      <w:r>
        <w:t>Advierte la sección de apelación que el presente recurso ha de resolverse en los mismos términos que el rollo 549-2022 promovido por el otro condenado en la causa, P.M.A.M., reproduciendo varios párrafos de la resolución dictada a este último en respuesta a peticiones semejantes a la del aquí demandante de amparo, haciendo hincapié el auto en pronunciamientos efectuados por la misma Audiencia (en el auto de 7 de enero de 2021) al acordar la prórroga del plazo para la restitución del terreno a su estado original, y a su interpretación de lo establecido en los arts. 80 y 86.1 b) CP respecto a la posibilidad de revocación de la medida de suspensión de la pena de prisión. A continuación el auto de apelación resuelve el recurso en el razonamiento jurídico tercero diciendo:</w:t>
      </w:r>
    </w:p>
    <w:p w14:paraId="41D30D12" w14:textId="77777777" w:rsidR="008D479B" w:rsidRDefault="008D479B" w:rsidP="008D479B">
      <w:pPr>
        <w:pStyle w:val="TextoNormal"/>
      </w:pPr>
    </w:p>
    <w:p w14:paraId="7BE560BB" w14:textId="77777777" w:rsidR="008D479B" w:rsidRDefault="008D479B" w:rsidP="008D479B">
      <w:pPr>
        <w:pStyle w:val="TextoNormal"/>
      </w:pPr>
      <w:r>
        <w:t>“Es por ello que la completa reposición al estado anterior no se ha producido por los penados, por mucho que insistiera este tribunal al tiempo de decretar la prórroga de la suspensión en que lo ya pendiente era de corto alcance, razón por la cual el motivo principal del recurso debe ser desestimado.</w:t>
      </w:r>
    </w:p>
    <w:p w14:paraId="4CDBB539" w14:textId="77777777" w:rsidR="008D479B" w:rsidRDefault="008D479B" w:rsidP="008D479B">
      <w:pPr>
        <w:pStyle w:val="TextoNormal"/>
      </w:pPr>
    </w:p>
    <w:p w14:paraId="58931962" w14:textId="77777777" w:rsidR="008D479B" w:rsidRDefault="008D479B" w:rsidP="008D479B">
      <w:pPr>
        <w:pStyle w:val="TextoNormal"/>
      </w:pPr>
      <w:r>
        <w:t>Otro tanto acontece con la manifestación del penado Ferrán Civil referida a que le es de imposible cumplimiento y que se sustituya por el pago monetario, puesto que no es el titular de la finca y no puede acceder a la misma, solicitando que se hagan por cuenta de tercero y a su costa. No puede acogerse esa petición. El grave incumplimiento radica no tanto (que también) en la cantidad de material que, según el informe y fotografías, queda por recoger, sino la tardanza en solventar una condena de tan fácil cumplimiento. Habiendo otorgado, tanto el órgano ejecutor, como esta Sala, distintas oportunidades para evitar la ejecución de la pena. Haciendo ambos, caso omiso y no aprovechando las diferentes oportunidades para evitarla.</w:t>
      </w:r>
    </w:p>
    <w:p w14:paraId="5A61B8F1" w14:textId="77777777" w:rsidR="008D479B" w:rsidRDefault="008D479B" w:rsidP="008D479B">
      <w:pPr>
        <w:pStyle w:val="TextoNormal"/>
      </w:pPr>
    </w:p>
    <w:p w14:paraId="54FF34A9" w14:textId="77777777" w:rsidR="008D479B" w:rsidRDefault="008D479B" w:rsidP="008D479B">
      <w:pPr>
        <w:pStyle w:val="TextoNormal"/>
      </w:pPr>
      <w:r>
        <w:t xml:space="preserve">E igual suerte de claudicación debe correr la petición de que se sustituya por trabajos en beneficio de la comunidad. Al respecto se decía en el repetido auto de 7/1/2021 que ‘no procede operar la sustitución de la pena por trabajos en beneficio de la comunidad ya que la consecuencia del incumplimiento leve de las obligaciones impuestas es la imposición de nuevas prohibiciones, deberes o condiciones, la modificación de las ya impuestas, o prorrogar el plazo de suspensión’. A lo que cabe añadir ahora que, al margen de carecerse de la necesaria aquiescencia del condenado (que supone asumir un grado de colaboración personal a los fines de garantizar la eficacia de los mecanismos de control establecidos en el art. 49 CP), la previsión legal </w:t>
      </w:r>
      <w:r w:rsidRPr="008D479B">
        <w:rPr>
          <w:i/>
        </w:rPr>
        <w:t>ex</w:t>
      </w:r>
      <w:r>
        <w:t xml:space="preserve"> art. 84.1.3 CP es a modo de prestación o medida potestativa condicionante de la suspensión, pero no sustitutiva de esta. E igual argumento cabe extrapolar a la sustitución por la pena de multa que no se encuentra como previsión legal al supuesto objeto de control hoy en alzada. No nos encontramos ante el análisis de la suspensión de la ejecución de la pena de prisión del art. 80 CP, sino ante la revocación de la suspensión otorgada por incumplimiento grave y contumaz de los deberes y condiciones allí impuestas (86 CP)”.</w:t>
      </w:r>
    </w:p>
    <w:p w14:paraId="14351EAC" w14:textId="77777777" w:rsidR="008D479B" w:rsidRDefault="008D479B" w:rsidP="008D479B">
      <w:pPr>
        <w:pStyle w:val="TextoNormal"/>
      </w:pPr>
    </w:p>
    <w:p w14:paraId="2F448DA6" w14:textId="54E658D7" w:rsidR="008D479B" w:rsidRDefault="008D479B" w:rsidP="008D479B">
      <w:pPr>
        <w:pStyle w:val="TextoNormal"/>
      </w:pPr>
      <w:r>
        <w:t>n) Notificada esta última resolución judicial, se interpone el presente recurso de amparo en la fecha indicada en el encabezamiento de esta sentencia.</w:t>
      </w:r>
    </w:p>
    <w:p w14:paraId="0DF7376A" w14:textId="77777777" w:rsidR="008D479B" w:rsidRDefault="008D479B" w:rsidP="008D479B">
      <w:pPr>
        <w:pStyle w:val="TextoNormal"/>
      </w:pPr>
    </w:p>
    <w:p w14:paraId="6EA1CB0A" w14:textId="77777777" w:rsidR="008D479B" w:rsidRDefault="008D479B" w:rsidP="008D479B">
      <w:pPr>
        <w:pStyle w:val="TextoNormal"/>
      </w:pPr>
      <w:r w:rsidRPr="008D479B">
        <w:rPr>
          <w:rStyle w:val="NumeroAFNegritaCaracter"/>
        </w:rPr>
        <w:t>3</w:t>
      </w:r>
      <w:r>
        <w:t>. La demanda de amparo alega que las resoluciones impugnadas vulneran los derechos del recurrente a la libertad personal (art. 17.1 CE) y a la tutela judicial efectiva, en la vertiente de derecho a una motivación reforzada (art. 24.1 CE), además de conculcarse el principio de reinserción social de los penados (art. 25.2 CE).</w:t>
      </w:r>
    </w:p>
    <w:p w14:paraId="57A3328F" w14:textId="77777777" w:rsidR="008D479B" w:rsidRDefault="008D479B" w:rsidP="008D479B">
      <w:pPr>
        <w:pStyle w:val="TextoNormal"/>
      </w:pPr>
    </w:p>
    <w:p w14:paraId="4A66AC0F" w14:textId="77777777" w:rsidR="008D479B" w:rsidRDefault="008D479B" w:rsidP="008D479B">
      <w:pPr>
        <w:pStyle w:val="TextoNormal"/>
      </w:pPr>
      <w:r>
        <w:t>a) En tal sentido se señala que el “auto que resuelve el recurso de apelación, y el anterior auto del Juzgado de lo Penal de Manresa, vulneran el derecho a la libertad del artículo 17.1 de la Constitución Española en relación con el derecho a la tutela judicial efectiva del artículo 24.1 de la misma, desde el momento que, en contraposición con la doctrina constitucional recogida en los autos del Tribunal Constitucional 259/2000, de 13 de noviembre, y la sentencia 14/1988, de 4 de febrero, y en las más recientes sentencias 32/2022, de 7 de marzo, recaída en el recurso de amparo 1723-2020, y la número 132/2022, de 24 de octubre, recaída en el recurso de amparo 2968-2022, condicionan la remisión condicional de la pena, haciéndola depender de la obligación de restauración impuesta como responsabilidad civil, aun cuando concurra en el condenado un supuesto de imposibilidad total o parcial de cumplimiento, y adoptando una decisión de revocación de la suspensión en base a una interpretación de la norma que infringe el deber de motivación reforzada respecto del juicio de ponderación lesionando el derecho a la tutela judicial efectiva, en relación con el derecho a la libertad individual, siendo trasladable la doctrina sobre la imposibilidad de asimilar la falta de capacidad económica a una voluntad de incumplimiento, con la falta de capacidad material y jurídica de ejecución de la obligación civil con la voluntad de incumplimiento, siendo este punto el que reviste un marcado y prevalente y trascendencia constitucional.</w:t>
      </w:r>
    </w:p>
    <w:p w14:paraId="38C941B9" w14:textId="77777777" w:rsidR="008D479B" w:rsidRDefault="008D479B" w:rsidP="008D479B">
      <w:pPr>
        <w:pStyle w:val="TextoNormal"/>
      </w:pPr>
    </w:p>
    <w:p w14:paraId="6E456EA2" w14:textId="77777777" w:rsidR="008D479B" w:rsidRDefault="008D479B" w:rsidP="008D479B">
      <w:pPr>
        <w:pStyle w:val="TextoNormal"/>
      </w:pPr>
      <w:r>
        <w:t>Al hallarnos ante resoluciones judiciales que inciden directamente en el ejercicio del derecho a la libertad, su adopción debe venir presidida por la ponderación y ajuste a los fines constitucionalmente establecidos para las penas privativas de libertad —al respecto son significativas entre otras las sentencias de ese Tribunal Constitucional 8/2001, de 15 de enero, […] FJ 2; 25/2000, de 31 de enero, […] FFJJ 2 y 3; 110/2003, de 16 de junio, […] FJ 4, y 57/2007, de 12 de marzo, […] FJ 2.</w:t>
      </w:r>
    </w:p>
    <w:p w14:paraId="68029DA9" w14:textId="77777777" w:rsidR="008D479B" w:rsidRDefault="008D479B" w:rsidP="008D479B">
      <w:pPr>
        <w:pStyle w:val="TextoNormal"/>
      </w:pPr>
    </w:p>
    <w:p w14:paraId="184A0DA7" w14:textId="77777777" w:rsidR="008D479B" w:rsidRDefault="008D479B" w:rsidP="008D479B">
      <w:pPr>
        <w:pStyle w:val="TextoNormal"/>
      </w:pPr>
      <w:r>
        <w:t>No en vano la suspensión de la ejecución de la pena constituye una de las medidas que tienden a hacer efectivo el principio de reeducación y reinserción social contenido en el art. 25.2 CE, y de aquí que las resoluciones judiciales deban ponderar las circunstancias individuales de los penados, así como los valores y bienes jurídicos comprometidos en las decisiones a adoptar, teniendo presente tanto la finalidad principal de las penas privativas de libertad, la reeducación y la reinserción social, como las otras finalidades de prevención general que las legitiman.</w:t>
      </w:r>
    </w:p>
    <w:p w14:paraId="013A2E77" w14:textId="77777777" w:rsidR="008D479B" w:rsidRDefault="008D479B" w:rsidP="008D479B">
      <w:pPr>
        <w:pStyle w:val="TextoNormal"/>
      </w:pPr>
    </w:p>
    <w:p w14:paraId="4589C4AB" w14:textId="77777777" w:rsidR="008D479B" w:rsidRDefault="008D479B" w:rsidP="008D479B">
      <w:pPr>
        <w:pStyle w:val="TextoNormal"/>
      </w:pPr>
      <w:r>
        <w:t>Al respecto son también significativas las sentencias de ese Tribunal Constitucional 163/2002, de 16 de septiembre, […] FJ 4; 248/2004, de 20 de diciembre, […] FJ 4, y 320/2006, de 15 de noviembre, […] FJ 2.</w:t>
      </w:r>
    </w:p>
    <w:p w14:paraId="390EE765" w14:textId="77777777" w:rsidR="008D479B" w:rsidRDefault="008D479B" w:rsidP="008D479B">
      <w:pPr>
        <w:pStyle w:val="TextoNormal"/>
      </w:pPr>
    </w:p>
    <w:p w14:paraId="3ECA626B" w14:textId="77777777" w:rsidR="008D479B" w:rsidRDefault="008D479B" w:rsidP="008D479B">
      <w:pPr>
        <w:pStyle w:val="TextoNormal"/>
      </w:pPr>
      <w:r>
        <w:t>[…]</w:t>
      </w:r>
    </w:p>
    <w:p w14:paraId="1472F848" w14:textId="77777777" w:rsidR="008D479B" w:rsidRDefault="008D479B" w:rsidP="008D479B">
      <w:pPr>
        <w:pStyle w:val="TextoNormal"/>
      </w:pPr>
    </w:p>
    <w:p w14:paraId="0616BB23" w14:textId="77777777" w:rsidR="008D479B" w:rsidRDefault="008D479B" w:rsidP="008D479B">
      <w:pPr>
        <w:pStyle w:val="TextoNormal"/>
      </w:pPr>
      <w:r>
        <w:t>Lo cierto es que se acuerda la privación de libertad por incumplimiento de la obligación de restauración que en su mayor parte ha sido ejecutada, siendo la pendiente de ‘corto alcance’ en palabras del propio auto de la Audiencia Provincial, y cuando, en lo que aquí importa, no está en manos de mi representado poderlo llevar a cabo si el otro condenado no lo realiza, y por tanto cabiendo la posibilidad lógica de que pudiera ejecutar la obligación de hacer un tercero y exigir su coste monetario, incluso previamente, al condenado, sin que sea compatible una interpretación tan restrictiva en perjuicio de un derecho tan fundamental como es el de la libertad como valor superior del propio ordenamiento jurídico (artículo 1.1 de la CE)”.</w:t>
      </w:r>
    </w:p>
    <w:p w14:paraId="3227670C" w14:textId="77777777" w:rsidR="008D479B" w:rsidRDefault="008D479B" w:rsidP="008D479B">
      <w:pPr>
        <w:pStyle w:val="TextoNormal"/>
      </w:pPr>
    </w:p>
    <w:p w14:paraId="2F27BD86" w14:textId="77777777" w:rsidR="008D479B" w:rsidRDefault="008D479B" w:rsidP="008D479B">
      <w:pPr>
        <w:pStyle w:val="TextoNormal"/>
      </w:pPr>
      <w:r>
        <w:t>b) Continúa refiriendo el escrito que para que proceda la revocación de la suspensión según el art. 86 CP, no basta con que se incumpla con las obligaciones civiles a las que hubiere sido condenada la persona, sino que “se requeriría además de un incumplimiento grave que el mismo sea culpa del condenado y, en este caso, no puede serlo por falta de capacidad y poder de dominio de mi representado en orden al cumplimiento de la obligación de restauración y haber ofrecido alternativas para su ejecución”. Y pone en cuestión el resultado del informe de los Mossos d’Esquadra sobre el grado de restauración de los terrenos, al estar en “contradicción con una resolución administrativa firme del órgano autonómico competente en materia urbanística, y en especial en suelo urbano no urbanizable, que declara correctamente ejecutada la restauración física de los terrenos”. Según indica previamente en los antecedentes, se trataría de una resolución del Servei de Protecció de la Legalitat Urbanística, Departament de Territori i Sostenibilitat de la Generalitat de Catalunya (no precisa la fecha, ni si se trata de la misma a la que se alude en su anterior escrito de reforma y subsidiaria apelación).</w:t>
      </w:r>
    </w:p>
    <w:p w14:paraId="354227DE" w14:textId="77777777" w:rsidR="008D479B" w:rsidRDefault="008D479B" w:rsidP="008D479B">
      <w:pPr>
        <w:pStyle w:val="TextoNormal"/>
      </w:pPr>
    </w:p>
    <w:p w14:paraId="45F1D99C" w14:textId="77777777" w:rsidR="008D479B" w:rsidRDefault="008D479B" w:rsidP="008D479B">
      <w:pPr>
        <w:pStyle w:val="TextoNormal"/>
      </w:pPr>
      <w:r>
        <w:t>Se sostiene asimismo que los órganos judiciales han efectuado una interpretación irrazonable del art. 88 CP, al no haber contemplado tampoco la sustitución de la pena de prisión por otra de distinta naturaleza. “En cualquier caso, se trata de una errónea e irrazonable interpretación en una materia que exige una motivación adecuada, tal y como se reconoce en la sentencia del Tribunal Constitucional 176/2007, de 23 de julio”. Llama asimismo la atención sobre la regulación de la suspensión excepcional del art. 80.3 CP; aunque falten dos de las condiciones que fija la ley con carácter general para la suspensión (ser un reo primario y no superar la condena los dos años de prisión), aquella puede concederse aunque condicionada “siempre a la reparación efectiva del daño o la indemnización del perjuicio causado conforme a sus posibilidades físicas y económicas”; precisión legal que para el recurrente “en todo caso salva la posibilidad del cumplimiento de esta exigencia en los supuestos de imposibilidad tanto económica como física”.</w:t>
      </w:r>
    </w:p>
    <w:p w14:paraId="35B07544" w14:textId="77777777" w:rsidR="008D479B" w:rsidRDefault="008D479B" w:rsidP="008D479B">
      <w:pPr>
        <w:pStyle w:val="TextoNormal"/>
      </w:pPr>
    </w:p>
    <w:p w14:paraId="0FB316D9" w14:textId="77777777" w:rsidR="008D479B" w:rsidRDefault="008D479B" w:rsidP="008D479B">
      <w:pPr>
        <w:pStyle w:val="TextoNormal"/>
      </w:pPr>
      <w:r>
        <w:t>Alegado lo que antecede, el escrito de demanda se dedica a citar y reproducir pasajes de las resoluciones de este tribunal relativas a la materia de suspensión de la pena de prisión y su posible revocación por el tribunal competente, en concreto —y en este orden— de la STC 132/2022, de 24 de octubre; del ATC 3/2018, del Pleno de este tribunal, y de la “no menos significativa” STC 32/2022, de 7 de marzo.</w:t>
      </w:r>
    </w:p>
    <w:p w14:paraId="255CEA20" w14:textId="77777777" w:rsidR="008D479B" w:rsidRDefault="008D479B" w:rsidP="008D479B">
      <w:pPr>
        <w:pStyle w:val="TextoNormal"/>
      </w:pPr>
    </w:p>
    <w:p w14:paraId="550F8BB9" w14:textId="77777777" w:rsidR="008D479B" w:rsidRDefault="008D479B" w:rsidP="008D479B">
      <w:pPr>
        <w:pStyle w:val="TextoNormal"/>
      </w:pPr>
      <w:r>
        <w:t>c) En el suplico de la demanda se solicita de este Tribunal Constitucional que dicte sentencia otorgando el amparo solicitado, con nulidad de los autos impugnados “por violación de los derechos a la libertad y a la tutela judicial efectiva, restableciendo al recurrente en la integridad de sus derechos retrotrayendo el proceso penal al momento inmediato anterior a dictarse por el Juzgado de lo Penal núm. 1 de Manresa, el auto que revocó la suspensión de la pena de prisión de seis meses”.</w:t>
      </w:r>
    </w:p>
    <w:p w14:paraId="7A3CBC51" w14:textId="77777777" w:rsidR="008D479B" w:rsidRDefault="008D479B" w:rsidP="008D479B">
      <w:pPr>
        <w:pStyle w:val="TextoNormal"/>
      </w:pPr>
    </w:p>
    <w:p w14:paraId="1C0683C5" w14:textId="77777777" w:rsidR="008D479B" w:rsidRDefault="008D479B" w:rsidP="008D479B">
      <w:pPr>
        <w:pStyle w:val="TextoNormal"/>
      </w:pPr>
      <w:r>
        <w:t>d) Por medio de un primer otrosí digo se solicita en el escrito de demanda la “inmediata suspensión” de la ejecución del auto impugnado de 25 de febrero de 2022 “apreciando la situación de excepcional urgencia a que se refiere el apartado 6 del citado artículo, pues no en vano la ejecución produciría un perjuicio de imposible o muy difícil reparación que haría perder su finalidad al recurso de amparo en caso de ser este estimado y, en consecuencia, que no deba ingresar de momento el recurrente en prisión, ya que de lo contrario se ocasionaría al mismo un perjuicio que haría perder al amparo su finalidad, puesto que el ingreso en un centro penitenciario con las limitaciones y restricciones que conlleva respecto de la libertad personal e individual son patentes y manifiestas, y cuando pudiera resolverse el presente recurso de amparo, en atención a que la pena es de seis meses, y la aplicación de los beneficios penitenciarios, con toda certeza el perjuicio ocasionado resultaría irreparable, máxime en una persona de tan avanzada edad.</w:t>
      </w:r>
    </w:p>
    <w:p w14:paraId="4E5AFD61" w14:textId="77777777" w:rsidR="008D479B" w:rsidRDefault="008D479B" w:rsidP="008D479B">
      <w:pPr>
        <w:pStyle w:val="TextoNormal"/>
      </w:pPr>
    </w:p>
    <w:p w14:paraId="268319BF" w14:textId="77777777" w:rsidR="008D479B" w:rsidRDefault="008D479B" w:rsidP="008D479B">
      <w:pPr>
        <w:pStyle w:val="TextoNormal"/>
      </w:pPr>
      <w:r>
        <w:t>En estos momentos el Juzgado de lo Penal núm. 1 de Manresa ya ha dictado una providencia con fecha 12 de diciembre de 2022, notificada el siguiente día 20, requiriendo al penado para que en el plazo de diez días ingrese de forma voluntaria en un centro penitenciario de su elección, advirtiéndole de que, en otro caso, se podrá acordar su ingreso forzoso por las fuerzas y cuerpos de seguridad del Estado.</w:t>
      </w:r>
    </w:p>
    <w:p w14:paraId="4BB458F2" w14:textId="77777777" w:rsidR="008D479B" w:rsidRDefault="008D479B" w:rsidP="008D479B">
      <w:pPr>
        <w:pStyle w:val="TextoNormal"/>
      </w:pPr>
    </w:p>
    <w:p w14:paraId="025C5040" w14:textId="77777777" w:rsidR="008D479B" w:rsidRDefault="008D479B" w:rsidP="008D479B">
      <w:pPr>
        <w:pStyle w:val="TextoNormal"/>
      </w:pPr>
      <w:r>
        <w:t>[…]</w:t>
      </w:r>
    </w:p>
    <w:p w14:paraId="6FDA24FF" w14:textId="77777777" w:rsidR="008D479B" w:rsidRDefault="008D479B" w:rsidP="008D479B">
      <w:pPr>
        <w:pStyle w:val="TextoNormal"/>
      </w:pPr>
    </w:p>
    <w:p w14:paraId="4F7E04AF" w14:textId="77777777" w:rsidR="008D479B" w:rsidRDefault="008D479B" w:rsidP="008D479B">
      <w:pPr>
        <w:pStyle w:val="TextoNormal"/>
      </w:pPr>
      <w:r>
        <w:t>Dicho inicio del cumplimiento de la pena causaría el lógico perjuicio y consiguiente pérdida de la finalidad del amparo, caso de otorgarse.</w:t>
      </w:r>
    </w:p>
    <w:p w14:paraId="32D7ECC3" w14:textId="77777777" w:rsidR="008D479B" w:rsidRDefault="008D479B" w:rsidP="008D479B">
      <w:pPr>
        <w:pStyle w:val="TextoNormal"/>
      </w:pPr>
    </w:p>
    <w:p w14:paraId="5773B8F6" w14:textId="77777777" w:rsidR="008D479B" w:rsidRDefault="008D479B" w:rsidP="008D479B">
      <w:pPr>
        <w:pStyle w:val="TextoNormal"/>
      </w:pPr>
      <w:r>
        <w:t>Por otra parte, la situación de libertad provisional en la que se ha mantenido a mi representado durante los sucesivos trámites procesales y la situación en la que se encuentra ahora, demuestran que de la suspensión de la ejecución que solicito, no se derivaría ninguna perturbación grave a un interés constitucionalmente protegido, o a los derechos fundamentales o libertades de otra persona”.</w:t>
      </w:r>
    </w:p>
    <w:p w14:paraId="3E55122D" w14:textId="77777777" w:rsidR="008D479B" w:rsidRDefault="008D479B" w:rsidP="008D479B">
      <w:pPr>
        <w:pStyle w:val="TextoNormal"/>
      </w:pPr>
    </w:p>
    <w:p w14:paraId="6356095B" w14:textId="77777777" w:rsidR="008D479B" w:rsidRDefault="008D479B" w:rsidP="008D479B">
      <w:pPr>
        <w:pStyle w:val="TextoNormal"/>
      </w:pPr>
      <w:r>
        <w:t>Se solicita por tanto que se “suspenda la ejecución del mencionado auto hasta que se resuelva el presente recurso de amparo”. A los efectos de acreditar la urgencia a la que se hace mención, se aporta junto con la demanda de amparo una copia de la providencia dictada por el juzgado ejecutor el 12 de diciembre de 2022, requiriendo a los dos penados, P.M.A.M., y el aquí demandante de amparo, para que en un plazo de diez días ingresen de forma voluntaria en un centro penitenciario de su elección, con advertencia de que, de no hacerlo, se podrá acordar su ingreso forzoso por las fuerzas y cuerpos de seguridad del Estado.</w:t>
      </w:r>
    </w:p>
    <w:p w14:paraId="1FDADE87" w14:textId="77777777" w:rsidR="008D479B" w:rsidRDefault="008D479B" w:rsidP="008D479B">
      <w:pPr>
        <w:pStyle w:val="TextoNormal"/>
      </w:pPr>
    </w:p>
    <w:p w14:paraId="2D5FD5A5" w14:textId="77777777" w:rsidR="008D479B" w:rsidRDefault="008D479B" w:rsidP="008D479B">
      <w:pPr>
        <w:pStyle w:val="TextoNormal"/>
      </w:pPr>
      <w:r>
        <w:t>Ya al final del escrito, volviendo sobre esta petición se interesa en un otrosí digo tercero, “la habilitación de los actuales días a los efectos de la tramitación de la suspensión cautelar que se interesa”.</w:t>
      </w:r>
    </w:p>
    <w:p w14:paraId="55BB1E7E" w14:textId="77777777" w:rsidR="008D479B" w:rsidRDefault="008D479B" w:rsidP="008D479B">
      <w:pPr>
        <w:pStyle w:val="TextoNormal"/>
      </w:pPr>
    </w:p>
    <w:p w14:paraId="3514B47B" w14:textId="4C158B3D" w:rsidR="008D479B" w:rsidRDefault="008D479B" w:rsidP="008D479B">
      <w:pPr>
        <w:pStyle w:val="TextoNormal"/>
      </w:pPr>
      <w:r>
        <w:t>e) Por medio de un segundo otrosí digo el recurrente manifiesta que si bien se han agotado todos los recursos utilizables en la vía judicial antes de venir en amparo, mediante la interposición de una solicitud de aclaración/complemento, un recurso de reforma y otro de apelación, “sin que quepa la interposición del recurso de casación”, sin embargo “y ante una eventual disyuntiva sobre el modo en que debiera darse adecuada satisfacción al referido requisito procesal que en ocasiones franquea el acceso al amparo, ‘ad cautelam’ se ha promovido igualmente incidente de nulidad de actuaciones ante la Sección Octava de la Audiencia Provincial de Barcelona”, con cita de la STC 217/2002, de 25 de noviembre, FJ 2, acerca de “las dificultades interpretativas que puede entrañar la segura determinación de la existencia del recurso procedente en cada caso, de entre los que ofrece el ordenamiento procesal” y la disyuntiva en la que se sitúa así al justiciable de turno, “puesto que una actitud medrosa o, por el contrario, arriesgada en el cálculo de la estrategia procesal pertinente puede conducir a un incumplimiento por defecto o por exceso del referido óbice procesal”; por lo que debe en definitiva hacerse una interpretación restrictiva del concepto de “recurso manifiestamente improcedente” a los efectos del correcto agotamiento de la vía judicial previa al recurso de amparo [art. 44.1 a) de la Ley Orgánica del Tribunal Constitucional (LOTC)].</w:t>
      </w:r>
    </w:p>
    <w:p w14:paraId="0F473AAD" w14:textId="77777777" w:rsidR="008D479B" w:rsidRDefault="008D479B" w:rsidP="008D479B">
      <w:pPr>
        <w:pStyle w:val="TextoNormal"/>
      </w:pPr>
    </w:p>
    <w:p w14:paraId="0E946C58" w14:textId="1643EBFD" w:rsidR="008D479B" w:rsidRDefault="008D479B" w:rsidP="008D479B">
      <w:pPr>
        <w:pStyle w:val="TextoNormal"/>
      </w:pPr>
      <w:r w:rsidRPr="008D479B">
        <w:rPr>
          <w:rStyle w:val="NumeroAFNegritaCaracter"/>
        </w:rPr>
        <w:t>4</w:t>
      </w:r>
      <w:r>
        <w:t>. La Secretaría de Justicia de la Sección Segunda, Sala Primera, de este Tribunal Constitucional, dictó diligencia de ordenación el 23 de enero de 2023 haciendo constar que “[e]n virtud del acuerdo adoptado por el Pleno del Tribunal Constitucional el día 17 de enero de 2023, publicado en el “BOE” de 19 de enero, el presente recurso de amparo ha sido turnado a la Sección Segunda de la Sala Primera del Tribunal Constitucional, lo que se pone en conocimiento de las partes y del Ministerio Fiscal a los efectos oportunos”.</w:t>
      </w:r>
    </w:p>
    <w:p w14:paraId="7365E1BB" w14:textId="77777777" w:rsidR="008D479B" w:rsidRDefault="008D479B" w:rsidP="008D479B">
      <w:pPr>
        <w:pStyle w:val="TextoNormal"/>
      </w:pPr>
    </w:p>
    <w:p w14:paraId="721DD3DA" w14:textId="77777777" w:rsidR="008D479B" w:rsidRDefault="008D479B" w:rsidP="008D479B">
      <w:pPr>
        <w:pStyle w:val="TextoNormal"/>
      </w:pPr>
      <w:r w:rsidRPr="008D479B">
        <w:rPr>
          <w:rStyle w:val="NumeroAFNegritaCaracter"/>
        </w:rPr>
        <w:t>5</w:t>
      </w:r>
      <w:r>
        <w:t>. La Sección Segunda de este tribunal dictó providencia el 24 de enero de 2023 con el siguiente texto:</w:t>
      </w:r>
    </w:p>
    <w:p w14:paraId="4C7ACDE9" w14:textId="77777777" w:rsidR="008D479B" w:rsidRDefault="008D479B" w:rsidP="008D479B">
      <w:pPr>
        <w:pStyle w:val="TextoNormal"/>
      </w:pPr>
    </w:p>
    <w:p w14:paraId="6E8E4CA9" w14:textId="77777777" w:rsidR="008D479B" w:rsidRDefault="008D479B" w:rsidP="008D479B">
      <w:pPr>
        <w:pStyle w:val="TextoNormal"/>
      </w:pPr>
      <w:r>
        <w:t>“La Sección ha examinado el recurso de amparo y ha acordado admitirlo a trámite, apreciando que concurre en el mismo una especial trascendencia constitucional (art. 50.1 LOTC) porque el recurso plantea un problema o afecta a una faceta de un derecho fundamental sobre el que no hay doctrina de este tribunal [STC 155/2009, FJ 2 a)].</w:t>
      </w:r>
    </w:p>
    <w:p w14:paraId="36F8809C" w14:textId="77777777" w:rsidR="008D479B" w:rsidRDefault="008D479B" w:rsidP="008D479B">
      <w:pPr>
        <w:pStyle w:val="TextoNormal"/>
      </w:pPr>
    </w:p>
    <w:p w14:paraId="6FB017B9" w14:textId="77777777" w:rsidR="008D479B" w:rsidRDefault="008D479B" w:rsidP="008D479B">
      <w:pPr>
        <w:pStyle w:val="TextoNormal"/>
      </w:pPr>
      <w:r>
        <w:t>Por ello, en aplicación de lo dispuesto en el art. 51 LOTC, diríjase atenta comunicación a la Sección Octava de la Audiencia Provincial de Barcelona a fin de que, en plazo que no exceda de diez días, remita certificación o fotocopia adverada de las actuaciones correspondientes al rollo de apelación núm. 548-2022.</w:t>
      </w:r>
    </w:p>
    <w:p w14:paraId="5C64B6E1" w14:textId="77777777" w:rsidR="008D479B" w:rsidRDefault="008D479B" w:rsidP="008D479B">
      <w:pPr>
        <w:pStyle w:val="TextoNormal"/>
      </w:pPr>
    </w:p>
    <w:p w14:paraId="2ADB0E57" w14:textId="77777777" w:rsidR="008D479B" w:rsidRDefault="008D479B" w:rsidP="008D479B">
      <w:pPr>
        <w:pStyle w:val="TextoNormal"/>
      </w:pPr>
      <w:r>
        <w:t>Diríjase igualmente atenta comunicación al Juzgado de lo Penal núm. 1 de Manresa a fin de que, en plazo que no exceda de diez días, remita certificación o fotocopia adverada de las actuaciones correspondientes a la ejecutoria núm. 313-2015; debiendo previamente emplazarse, para que en el plazo de diez días puedan comparecer, si lo desean, en el recurso de amparo a quienes hubieran sido parte en el procedimiento, excepto la parte recurrente en amparo.</w:t>
      </w:r>
    </w:p>
    <w:p w14:paraId="1AB6D12B" w14:textId="77777777" w:rsidR="008D479B" w:rsidRDefault="008D479B" w:rsidP="008D479B">
      <w:pPr>
        <w:pStyle w:val="TextoNormal"/>
      </w:pPr>
    </w:p>
    <w:p w14:paraId="09BB1519" w14:textId="77777777" w:rsidR="008D479B" w:rsidRDefault="008D479B" w:rsidP="008D479B">
      <w:pPr>
        <w:pStyle w:val="TextoNormal"/>
      </w:pPr>
      <w:r>
        <w:t>Habiéndose solicitado por la procuradora de los tribunales, Rosa Sorribes Calle, en nombre y representación del recurrente, la suspensión de la ejecución de las resoluciones impugnadas y apreciándose la urgencia excepcional a que se refiere el art. 56.6 de la Ley Orgánica del Tribunal Constitucional (LOTC), toda vez que dicha ejecución produciría un perjuicio de imposible o muy difícil reparación que haría perder su finalidad al recurso de amparo, la Sección acuerda la suspensión cautelar de las resoluciones judiciales impugnadas, incluyendo la providencia de 12 de diciembre de 2022 dictada por el Juzgado de lo Penal núm. 1 de Manresa (ejecutoria 313-2015), quedando por tanto suspendida la orden de ingreso en prisión del recurrente.</w:t>
      </w:r>
    </w:p>
    <w:p w14:paraId="4C9D5B71" w14:textId="77777777" w:rsidR="008D479B" w:rsidRDefault="008D479B" w:rsidP="008D479B">
      <w:pPr>
        <w:pStyle w:val="TextoNormal"/>
      </w:pPr>
    </w:p>
    <w:p w14:paraId="58B05D09" w14:textId="77777777" w:rsidR="008D479B" w:rsidRDefault="008D479B" w:rsidP="008D479B">
      <w:pPr>
        <w:pStyle w:val="TextoNormal"/>
      </w:pPr>
      <w:r>
        <w:t>Comuníquese urgentemente la presente resolución al Juzgado de lo Penal núm. 1 de Manresa.</w:t>
      </w:r>
    </w:p>
    <w:p w14:paraId="45944858" w14:textId="77777777" w:rsidR="008D479B" w:rsidRDefault="008D479B" w:rsidP="008D479B">
      <w:pPr>
        <w:pStyle w:val="TextoNormal"/>
      </w:pPr>
    </w:p>
    <w:p w14:paraId="3F3A5B6F" w14:textId="64A82884" w:rsidR="008D479B" w:rsidRDefault="008D479B" w:rsidP="008D479B">
      <w:pPr>
        <w:pStyle w:val="TextoNormal"/>
      </w:pPr>
      <w:r>
        <w:t>Notifíquese a las partes personadas y al Ministerio Fiscal haciéndoles saber que podrán impugnar la adopción de la medida de suspensión en el plazo de cinco días (art. 56.6 LOTC)”.</w:t>
      </w:r>
    </w:p>
    <w:p w14:paraId="56B6FD2C" w14:textId="77777777" w:rsidR="008D479B" w:rsidRDefault="008D479B" w:rsidP="008D479B">
      <w:pPr>
        <w:pStyle w:val="TextoNormal"/>
      </w:pPr>
    </w:p>
    <w:p w14:paraId="45C2DEF6" w14:textId="5FF064B3" w:rsidR="008D479B" w:rsidRDefault="008D479B" w:rsidP="008D479B">
      <w:pPr>
        <w:pStyle w:val="TextoNormal"/>
      </w:pPr>
      <w:r w:rsidRPr="008D479B">
        <w:rPr>
          <w:rStyle w:val="NumeroAFNegritaCaracter"/>
        </w:rPr>
        <w:t>6</w:t>
      </w:r>
      <w:r>
        <w:t>. No consta impugnado el pronunciamiento de suspensión cautelar de las resoluciones recurridas, acordado en la providencia de admisión del recurso recién citada.</w:t>
      </w:r>
    </w:p>
    <w:p w14:paraId="456A398E" w14:textId="77777777" w:rsidR="008D479B" w:rsidRDefault="008D479B" w:rsidP="008D479B">
      <w:pPr>
        <w:pStyle w:val="TextoNormal"/>
      </w:pPr>
    </w:p>
    <w:p w14:paraId="7904DADD" w14:textId="12AB4205" w:rsidR="008D479B" w:rsidRDefault="008D479B" w:rsidP="008D479B">
      <w:pPr>
        <w:pStyle w:val="TextoNormal"/>
      </w:pPr>
      <w:r w:rsidRPr="008D479B">
        <w:rPr>
          <w:rStyle w:val="NumeroAFNegritaCaracter"/>
        </w:rPr>
        <w:t>7</w:t>
      </w:r>
      <w:r>
        <w:t>. El 26 de abril de 2023, la Secretaría de Justicia de la Sala Primera de este tribunal dictó diligencia de ordenación por la que acordó dar vista de las actuaciones a la parte recurrente y al Ministerio Fiscal, por plazo común de veinte días, a fin de que pudieran presentar las alegaciones que estimasen pertinentes conforme con lo previsto en el art. 52.1 LOTC.</w:t>
      </w:r>
    </w:p>
    <w:p w14:paraId="461DB252" w14:textId="77777777" w:rsidR="008D479B" w:rsidRDefault="008D479B" w:rsidP="008D479B">
      <w:pPr>
        <w:pStyle w:val="TextoNormal"/>
      </w:pPr>
    </w:p>
    <w:p w14:paraId="767B47ED" w14:textId="2E86BCC3" w:rsidR="008D479B" w:rsidRDefault="008D479B" w:rsidP="008D479B">
      <w:pPr>
        <w:pStyle w:val="TextoNormal"/>
      </w:pPr>
      <w:r w:rsidRPr="008D479B">
        <w:rPr>
          <w:rStyle w:val="NumeroAFNegritaCaracter"/>
        </w:rPr>
        <w:t>8</w:t>
      </w:r>
      <w:r>
        <w:t>. La representante procesal del aquí demandante de amparo registró su escrito de alegaciones el 31 de mayo de 2023, por el que se ratificó íntegramente en “el contenido del escrito formalizando el recurso de amparo”; reiterando que los actos impugnados vulneran los derechos fundamentales de su representado a la libertad personal (art. 17.1 CE) y a la tutela judicial efectiva (art. 24.1 CE).</w:t>
      </w:r>
    </w:p>
    <w:p w14:paraId="7952B1AD" w14:textId="77777777" w:rsidR="008D479B" w:rsidRDefault="008D479B" w:rsidP="008D479B">
      <w:pPr>
        <w:pStyle w:val="TextoNormal"/>
      </w:pPr>
    </w:p>
    <w:p w14:paraId="1253953C" w14:textId="77777777" w:rsidR="008D479B" w:rsidRDefault="008D479B" w:rsidP="008D479B">
      <w:pPr>
        <w:pStyle w:val="TextoNormal"/>
      </w:pPr>
      <w:r w:rsidRPr="008D479B">
        <w:rPr>
          <w:rStyle w:val="NumeroAFNegritaCaracter"/>
        </w:rPr>
        <w:t>9</w:t>
      </w:r>
      <w:r>
        <w:t>. El 7 de junio de 2023 registró su escrito de alegaciones la fiscal ante este Tribunal Constitucional, por el que interesó la inadmisión del recurso “[e]n atención a la concurrencia del óbice procesal denunciado”; y subsidiariamente que se estime el recurso de amparo interpuesto, acordando la nulidad de las resoluciones impugnadas, “con restablecimiento de los derechos vulnerados y, en consecuencia, reconocer su derecho fundamental a la libertad del artículo 17.1 y a la tutela judicial efectiva (artículo 24.1 CE), en los términos fijados en el cuerpo del presente dictamen”.</w:t>
      </w:r>
    </w:p>
    <w:p w14:paraId="7126F356" w14:textId="77777777" w:rsidR="008D479B" w:rsidRDefault="008D479B" w:rsidP="008D479B">
      <w:pPr>
        <w:pStyle w:val="TextoNormal"/>
      </w:pPr>
    </w:p>
    <w:p w14:paraId="736C5846" w14:textId="77777777" w:rsidR="008D479B" w:rsidRDefault="008D479B" w:rsidP="008D479B">
      <w:pPr>
        <w:pStyle w:val="TextoNormal"/>
      </w:pPr>
      <w:r>
        <w:t xml:space="preserve">a) Luego de hacer un resumen de los datos relevantes del proceso </w:t>
      </w:r>
      <w:r w:rsidRPr="008D479B">
        <w:rPr>
          <w:i/>
        </w:rPr>
        <w:t>a quo</w:t>
      </w:r>
      <w:r>
        <w:t>, y de algunas resoluciones interlocutorias adoptadas por este tribunal en el presente recurso de amparo, pasa a referirse la fiscal a las “cuestiones procesales” relativas a posibles causas de inadmisibilidad del recurso. Con cita de doctrina constitucional sobre la posibilidad de efectuar dicho control en sentencia (STC 139/2021, de 12 de julio, FJ 2), afirma que si bien la vía judicial previa a la demanda ante este tribunal estaba bien agotada con los medios de impugnación utilizados por el recurrente, sin embargo y de acuerdo con lo manifestado por este en el segundo otrosí de su demanda, decidió presentar en paralelo un incidente de nulidad ante la Sección Octava de la Audiencia Provincial de Barcelona, del cual solo aparece en las actuaciones remitidas una diligencia de 8 de marzo de 2023 indicando que se pasan los autos a la magistrada para resolverlo.</w:t>
      </w:r>
    </w:p>
    <w:p w14:paraId="349515FA" w14:textId="77777777" w:rsidR="008D479B" w:rsidRDefault="008D479B" w:rsidP="008D479B">
      <w:pPr>
        <w:pStyle w:val="TextoNormal"/>
      </w:pPr>
    </w:p>
    <w:p w14:paraId="000437E4" w14:textId="77777777" w:rsidR="008D479B" w:rsidRDefault="008D479B" w:rsidP="008D479B">
      <w:pPr>
        <w:pStyle w:val="TextoNormal"/>
      </w:pPr>
      <w:r>
        <w:t>Así las cosas, y tras hacer cita de doctrina sobre la importancia del correcto agotamiento de la vía judicial en orden a asegurar la subsidiariedad de esta jurisdicción de amparo (con cita de la STC 202/2012, de 12 de noviembre, FJ 2), sostiene la fiscal que el presente recurso podría ser “prematuro […] por no haber concluido el procedimiento en la vía jurisdiccional ordinaria”, haciendo cita y reproducción de la STC 139/2014, de 8 de septiembre, FJ 3, en la que se reitera la doctrina acerca del óbice de prematuridad cuando se interponen a la vez una demanda de amparo y en concreto un incidente de nulidad de actuaciones, “pues, de otro modo, si el incidente se estimara, y como consecuencia de ello se anulara la sentencia impugnada y se dictara una nueva sentencia, podría obtenerse en la vía judicial lo solicitado en amparo ante este tribunal” (la frase entrecomillada es de la sentencia). Remacha este punto la fiscal diciendo que la estimación del óbice impide el examen de fondo del recurso, “si bien, para el caso de que no se estime así, se efectuarán las oportunas alegaciones al respecto”. Sentado esto, prosigue diciendo el escrito que se cumple con el requisito de la denuncia temporánea de la lesión que se denuncia, la legitimación del recurrente y la interposición en plazo de la demanda, si bien se insiste en la posible existencia del óbice de prematuridad ya expuesto.</w:t>
      </w:r>
    </w:p>
    <w:p w14:paraId="18EF0EA8" w14:textId="77777777" w:rsidR="008D479B" w:rsidRDefault="008D479B" w:rsidP="008D479B">
      <w:pPr>
        <w:pStyle w:val="TextoNormal"/>
      </w:pPr>
    </w:p>
    <w:p w14:paraId="5D04C677" w14:textId="77777777" w:rsidR="008D479B" w:rsidRDefault="008D479B" w:rsidP="008D479B">
      <w:pPr>
        <w:pStyle w:val="TextoNormal"/>
      </w:pPr>
      <w:r>
        <w:t>b) En cuanto al fondo del recurso se hace ante todo un resumen amplio de la demanda y escritos procesales anteriores del recurrente, tras lo cual se detiene la fiscal ante este tribunal en la cita de la doctrina que entiende pertinente para su resolución, empezando por la STC 144/2021, de 12 de julio, FJ 3, sobre los derechos fundamentales a la obtención de una resolución judicial que esté motivada y fundada en Derecho (art. 24.1 CE) y el alcance del control constitucional para verificar su vulneración; también el ATC 1/2023, de 4 de enero, FJ 3, en similar sentido. En segundo lugar, recuerda que este tribunal exige un “canon reforzado de motivación cuando el derecho a la tutela judicial efectiva incide de alguna manera en la libertad como valor superior del ordenamiento jurídico”, con cita de la STC 32/2022, de 7 de marzo, FJ 4. En tercer lugar, alude al derecho fundamental a obtener una resolución judicial congruente, con cita de la STC 104/2022, de 12 de septiembre, que “contiene un compendio de la doctrina dictada por el Tribunal en esta materia”.</w:t>
      </w:r>
    </w:p>
    <w:p w14:paraId="4ED42DEA" w14:textId="77777777" w:rsidR="008D479B" w:rsidRDefault="008D479B" w:rsidP="008D479B">
      <w:pPr>
        <w:pStyle w:val="TextoNormal"/>
      </w:pPr>
    </w:p>
    <w:p w14:paraId="5693D607" w14:textId="77777777" w:rsidR="008D479B" w:rsidRDefault="008D479B" w:rsidP="008D479B">
      <w:pPr>
        <w:pStyle w:val="TextoNormal"/>
      </w:pPr>
      <w:r>
        <w:t>Abre otro bloque de cita constitucional la fiscal, refiriéndose al instituto legal de la suspensión de la pena de prisión y su condicionamiento a la satisfacción de la responsabilidad civil que haya podido ser objeto de condena, haciendo al efecto cita del ATC 3/2018, de 23 de enero, del Pleno, que inadmitió la cuestión de inconstitucionalidad planteada respecto del art. 80.2.3 CP; argumentos que se reiteran —prosigue diciendo la fiscal— en la STC 132/2022, de 24 de octubre, FJ 3, donde se hace cita de la STC 32/2022, de 7 de marzo, FJ 4.</w:t>
      </w:r>
    </w:p>
    <w:p w14:paraId="485D1546" w14:textId="77777777" w:rsidR="008D479B" w:rsidRDefault="008D479B" w:rsidP="008D479B">
      <w:pPr>
        <w:pStyle w:val="TextoNormal"/>
      </w:pPr>
    </w:p>
    <w:p w14:paraId="269AD2BF" w14:textId="77777777" w:rsidR="008D479B" w:rsidRDefault="008D479B" w:rsidP="008D479B">
      <w:pPr>
        <w:pStyle w:val="TextoNormal"/>
      </w:pPr>
      <w:r>
        <w:t>Respecto de la orden de demolición de lo ilegalmente construido, cita en primer lugar la fiscal la doctrina de este tribunal que niega con carácter general que la misma tenga carácter sancionador sino solamente el de medida para restablecer la legalidad conculcada, con cita de la STC 119/1991, de 3 de junio, FJ 3, y el ATC 214/2000, de 21 de septiembre. Añade que también este tribunal ha declarado que existen medidas que pueden no tener finalidad sancionadora ni resarcitoria, con cita de la STC 164/1995, de 13 de noviembre, FJ 4 (a propósito de la imposición de intereses moratorios para las deudas tributarias). Respecto de la condena a la demolición de obra ilegal prevista en el art. 319.3 CP, cita el escrito de alegaciones la sentencia de la Sala Segunda del Tribunal Supremo núm. 615/2020, de 18 de noviembre, sentencia que declara que “en puridad, la demolición no se trata de una pena ni de una responsabilidad civil derivada del delito, sino de una consecuencia jurídica del delito. Se crea aquí un híbrido entre la pena y la responsabilidad civil derivada del delito”.</w:t>
      </w:r>
    </w:p>
    <w:p w14:paraId="66741644" w14:textId="77777777" w:rsidR="008D479B" w:rsidRDefault="008D479B" w:rsidP="008D479B">
      <w:pPr>
        <w:pStyle w:val="TextoNormal"/>
      </w:pPr>
    </w:p>
    <w:p w14:paraId="2815D07F" w14:textId="77777777" w:rsidR="008D479B" w:rsidRDefault="008D479B" w:rsidP="008D479B">
      <w:pPr>
        <w:pStyle w:val="TextoNormal"/>
      </w:pPr>
      <w:r>
        <w:t>Con arreglo a la doctrina que se ha traído a consideración, pasa la fiscal a pronunciarse sobre el objeto del recurso que nos ocupa, recapitulando sobre lo razonado en las resoluciones impugnadas, de lo que deduce que “incurren en deficiencias de motivación en los términos requeridos por el artículo 24 de la CE”. En concreto, entiende que dichas resoluciones “resultan desproporcionadas, por no haber ponderado adecuadamente las circunstancias concurrentes que le han sido puestas de manifiesto a lo largo de la ejecutoria, y carecen de una motivación reforzada que justifique la necesidad de sacrificar en este caso el derecho a la libertad personal, garantizado en el art. 17 CE, dado que la resolución tiene como inmediata consecuencia la afectación del derecho a la libertad personal del recurrente de amparo, ya que la revocación da lugar al cumplimiento de la pena e ingreso en prisión, que se encuentra suspendida por el Tribunal Constitucional.</w:t>
      </w:r>
    </w:p>
    <w:p w14:paraId="7253B2B8" w14:textId="77777777" w:rsidR="008D479B" w:rsidRDefault="008D479B" w:rsidP="008D479B">
      <w:pPr>
        <w:pStyle w:val="TextoNormal"/>
      </w:pPr>
    </w:p>
    <w:p w14:paraId="3861F708" w14:textId="77777777" w:rsidR="008D479B" w:rsidRDefault="008D479B" w:rsidP="008D479B">
      <w:pPr>
        <w:pStyle w:val="TextoNormal"/>
      </w:pPr>
      <w:r>
        <w:t>Como hemos expuesto anteriormente las resoluciones acuerdan la revocación por el incumplimiento ‘íntegro’ de la responsabilidad civil fijada en la sentencia. No obstante, la demolición no puede ser asimilada con el régimen establecido para el cumplimiento de la responsabilidad civil, dado que su finalidad no es tanto el restablecimiento de la víctima en sus derechos y la indemnización por los perjuicios sufridos, —en este delito no existe una víctima individualizada sino un ataque a un bien colectivo—, como la restitución de la legalidad prevista en el art. 139.3 del CP para evitar una situación de consolidación de la situación ilegal y un aprovechamiento indebido de los efectos del delito que pueda comprometer los fines de prevención general. […]</w:t>
      </w:r>
    </w:p>
    <w:p w14:paraId="647D3123" w14:textId="77777777" w:rsidR="008D479B" w:rsidRDefault="008D479B" w:rsidP="008D479B">
      <w:pPr>
        <w:pStyle w:val="TextoNormal"/>
      </w:pPr>
    </w:p>
    <w:p w14:paraId="68603A7F" w14:textId="77777777" w:rsidR="008D479B" w:rsidRDefault="008D479B" w:rsidP="008D479B">
      <w:pPr>
        <w:pStyle w:val="TextoNormal"/>
      </w:pPr>
      <w:r>
        <w:t>En cualquier caso, la aplicación por extensión de las normas sobre el cumplimiento de la responsabilidad civil, o de las reglas de conducta, en caso de que se considerase pertinente, se debe efectuar con las oportunas cautelas, atendiendo a la finalidad perseguida, y de una manera respetuosa con el nuevo modelo determinado por el legislador y en los términos fijados [por] el Tribunal Constitucional, y nunca en perjuicio del reo. El modelo establecido por el legislador en la reforma de 2015, tal y como ha sido fijado en la doctrina constitucional mencionada, determina que ni la suspensión condicional ni la revocación del beneficio se pueden condicionar al pago de la responsabilidad civil cuando es imposible ese pago. Debe atenderse primordialmente a la voluntad del cumplimiento de dicha obligación, que, en lugar de determinarse en el momento de la suspensión, se sitúa en el momento de la revocación, momento en el que debe procederse al examen de la falta del resarcimiento, aquí asimilado al cumplimiento de la orden de demolición, de modo que no se deba a la voluntad del penado sino a la ausencia de capacidad económica, aquí se trataría de la alegada imposibilidad de realizarla.</w:t>
      </w:r>
    </w:p>
    <w:p w14:paraId="7A43D92C" w14:textId="77777777" w:rsidR="008D479B" w:rsidRDefault="008D479B" w:rsidP="008D479B">
      <w:pPr>
        <w:pStyle w:val="TextoNormal"/>
      </w:pPr>
    </w:p>
    <w:p w14:paraId="1D16E1FD" w14:textId="77777777" w:rsidR="008D479B" w:rsidRDefault="008D479B" w:rsidP="008D479B">
      <w:pPr>
        <w:pStyle w:val="TextoNormal"/>
      </w:pPr>
      <w:r>
        <w:t>El demandante de amparo, que fue condenado por su actuación como alcalde del municipio de Cercs, que otorgó la licencia para la obra pese a que incumplía la normativa urbanística vigente, siempre ha puesto de manifiesto ante el juzgado de lo penal que carece de posibilidad para llevar a cabo la obligación de hacer impuesta, al haber cesado en su condición de alcalde y al carecer de facultades de disposición sobre la finca, propiedad de otro condenado, que es quien en realidad se ha ido ocupando de efectuar las obras de demolición. Las resoluciones del juzgado de lo penal no hacen ninguna alusión a la imposibilidad alegada, y la de la Audiencia se limita a decir respecto de la manifestación sobre que le es de imposible incumplimiento que: ‘[n]o puede acogerse esta petición’, por el incumplimiento de los plazos concedidos para efectuar las obras de demolición, más que por la entidad de lo que queda por realizar.</w:t>
      </w:r>
    </w:p>
    <w:p w14:paraId="1C501D93" w14:textId="77777777" w:rsidR="008D479B" w:rsidRDefault="008D479B" w:rsidP="008D479B">
      <w:pPr>
        <w:pStyle w:val="TextoNormal"/>
      </w:pPr>
    </w:p>
    <w:p w14:paraId="62FA2D6E" w14:textId="77777777" w:rsidR="008D479B" w:rsidRDefault="008D479B" w:rsidP="008D479B">
      <w:pPr>
        <w:pStyle w:val="TextoNormal"/>
      </w:pPr>
      <w:r>
        <w:t>El demandante de amparo ha alegado reiteradamente la ausencia de una disponibilidad efectiva para realizar la demolición, por lo que considera que debe asimilarse a la ‘falta de capacidad económica’ como expresión de la involuntariedad por su parte para llevar a cabo el completo cumplimiento. A este respecto, reiteradamente se ha solicitado por el recurrente la cuantificación económica para la ejecución de las obras a su costa, sin haber obtenido una respuesta a ello. Las resoluciones acordando la revocación, tanto la primera de 21 de octubre de 2019, como la de 25 de febrero de 2022, simultáneamente acuerdan la ejecución de las obras a cargo de los penados, pero sin que conste en la ejecutoria qué actuaciones se han llevado a cabo para su efectividad, medida que habría dado satisfacción a la finalidad de restauración de la legalidad urbanística.</w:t>
      </w:r>
    </w:p>
    <w:p w14:paraId="4D98EED0" w14:textId="77777777" w:rsidR="008D479B" w:rsidRDefault="008D479B" w:rsidP="008D479B">
      <w:pPr>
        <w:pStyle w:val="TextoNormal"/>
      </w:pPr>
    </w:p>
    <w:p w14:paraId="15B45538" w14:textId="77777777" w:rsidR="008D479B" w:rsidRDefault="008D479B" w:rsidP="008D479B">
      <w:pPr>
        <w:pStyle w:val="TextoNormal"/>
      </w:pPr>
      <w:r>
        <w:t>[…], ni en las resoluciones consta realizada una ponderación sobre los bienes jurídicos afectados, la finalidad de la pena, ni sobre otras posibilidades de reparación de la legalidad urbanística que cabía emprender antes de acordar una medida como la revocación de la suspensión condicional. Tampoco se ha contemplado la entidad de las obras de demolición efectivamente realizadas en comparación con lo que queda por retirar del terreno, que las propias resoluciones califican como residual, centrándose en un incumplimiento de los plazos y las prórrogas concedidas a los penados para ello”. Hace referencia la fiscal a que el recurrente alegó que por una resolución de 23 de junio de 2020 del secretario de l’Agenda Urbana i Territori del Departament de Territori i Sostenibilitat de la Generalitat de Cataluña, se declaraba haber dado cumplimiento a la obligación de restaurar la realidad física alterada, con archivo del expediente sancionador, por lo que discrepaba del informe de los Mossos d’Esquadra y pedía una nueva inspección.</w:t>
      </w:r>
    </w:p>
    <w:p w14:paraId="2ABFCBA9" w14:textId="77777777" w:rsidR="008D479B" w:rsidRDefault="008D479B" w:rsidP="008D479B">
      <w:pPr>
        <w:pStyle w:val="TextoNormal"/>
      </w:pPr>
    </w:p>
    <w:p w14:paraId="06D3ED71" w14:textId="77777777" w:rsidR="008D479B" w:rsidRDefault="008D479B" w:rsidP="008D479B">
      <w:pPr>
        <w:pStyle w:val="TextoNormal"/>
      </w:pPr>
      <w:r>
        <w:t>Considera asimismo la fiscal que los autos impugnados revocan la suspensión de la pena de prisión pero “sin adoptar ninguna resolución tendente a su efectivo cumplimiento”, y otro tanto cabe decir de “la condena al Ayuntamiento de Cercs o a otros penados, para la demolición a su costa, con carácter subsidiario, que se establece en el fallo de la sentencia y que no han sido requeridos por el Juzgado para ello, no agotando por tanto todas las posibilidades de cumplimiento del fallo sin recurrir a la ejecución de las penas privativas de libertad”.</w:t>
      </w:r>
    </w:p>
    <w:p w14:paraId="7D8EBB65" w14:textId="77777777" w:rsidR="008D479B" w:rsidRDefault="008D479B" w:rsidP="008D479B">
      <w:pPr>
        <w:pStyle w:val="TextoNormal"/>
      </w:pPr>
    </w:p>
    <w:p w14:paraId="1D569B90" w14:textId="77777777" w:rsidR="008D479B" w:rsidRDefault="008D479B" w:rsidP="008D479B">
      <w:pPr>
        <w:pStyle w:val="TextoNormal"/>
      </w:pPr>
      <w:r>
        <w:t>Finaliza sus consideraciones el escrito de alegaciones diciendo:</w:t>
      </w:r>
    </w:p>
    <w:p w14:paraId="2C4CACE9" w14:textId="77777777" w:rsidR="008D479B" w:rsidRDefault="008D479B" w:rsidP="008D479B">
      <w:pPr>
        <w:pStyle w:val="TextoNormal"/>
      </w:pPr>
    </w:p>
    <w:p w14:paraId="1F09AFDC" w14:textId="77777777" w:rsidR="008D479B" w:rsidRDefault="008D479B" w:rsidP="008D479B">
      <w:pPr>
        <w:pStyle w:val="TextoNormal"/>
      </w:pPr>
      <w:r>
        <w:t>“En atención a todas las circunstancias, el Ministerio Fiscal considera que procede otorgar el amparo, declarar la nulidad de las resoluciones impugnadas y determinar las consecuencias de dicha declaración que deben acordarse.</w:t>
      </w:r>
    </w:p>
    <w:p w14:paraId="5C7D2BB4" w14:textId="77777777" w:rsidR="008D479B" w:rsidRDefault="008D479B" w:rsidP="008D479B">
      <w:pPr>
        <w:pStyle w:val="TextoNormal"/>
      </w:pPr>
    </w:p>
    <w:p w14:paraId="1E371F2D" w14:textId="3ABFC927" w:rsidR="008D479B" w:rsidRDefault="008D479B" w:rsidP="008D479B">
      <w:pPr>
        <w:pStyle w:val="TextoNormal"/>
      </w:pPr>
      <w:r>
        <w:t>A este respecto hay que tener en cuenta que la pena se encontraba suspendida condicionalmente desde el auto de 11 de octubre de 2017, por lo que el periodo de tres años finalizó en fecha 11 de octubre de 2020. Si queda sin efecto la revocación acordada en fecha 25 de febrero de 2022, momento en el que ya habían transcurrido los tres años de suspensión, no procede retrotraer las actuaciones al momento del pronunciamiento de este último para el dictado de una nueva resolución respetuosa con el derecho, dado que ello supondría una prolongación indebida del plazo de suspensión de la condena que ya ha concluido, con vulneración del derecho a la libertad personal del artículo 17 CE, salvo que concurran otras circunstancias que no constan en el presente recurso”.</w:t>
      </w:r>
    </w:p>
    <w:p w14:paraId="62B42222" w14:textId="77777777" w:rsidR="008D479B" w:rsidRDefault="008D479B" w:rsidP="008D479B">
      <w:pPr>
        <w:pStyle w:val="TextoNormal"/>
      </w:pPr>
    </w:p>
    <w:p w14:paraId="79CDAEC4" w14:textId="0EF68655" w:rsidR="008D479B" w:rsidRDefault="008D479B" w:rsidP="008D479B">
      <w:pPr>
        <w:pStyle w:val="TextoNormal"/>
      </w:pPr>
      <w:r w:rsidRPr="008D479B">
        <w:rPr>
          <w:rStyle w:val="NumeroAFNegritaCaracter"/>
        </w:rPr>
        <w:t>10</w:t>
      </w:r>
      <w:r>
        <w:t>. Por diligencia de la Secretaría de Justicia de 8 de junio de 2023 se hizo constar haberse recibido los escritos de alegaciones del Ministerio Fiscal y de la representación procesal del demandante, quedando el presente recurso de amparo pendiente para deliberación cuando por turno le correspondiera.</w:t>
      </w:r>
    </w:p>
    <w:p w14:paraId="735307CA" w14:textId="77777777" w:rsidR="008D479B" w:rsidRDefault="008D479B" w:rsidP="008D479B">
      <w:pPr>
        <w:pStyle w:val="TextoNormal"/>
      </w:pPr>
    </w:p>
    <w:p w14:paraId="1E48DF47" w14:textId="77777777" w:rsidR="008D479B" w:rsidRDefault="008D479B" w:rsidP="008D479B">
      <w:pPr>
        <w:pStyle w:val="TextoNormal"/>
      </w:pPr>
      <w:r w:rsidRPr="008D479B">
        <w:rPr>
          <w:rStyle w:val="NumeroAFNegritaCaracter"/>
        </w:rPr>
        <w:t>11</w:t>
      </w:r>
      <w:r>
        <w:t>. La Secretaría de Justicia dictó diligencia el 3 de julio de 2023: “Para hacer constar que seguidamente se procede a librar oficio a la Sección Octava de la Audiencia Provincial de Barcelona a fin de que remitan de manera urgente el escrito de incidente de nulidad de actuaciones presentado por Ferrán Civil Arbanat en rollo de apelación 548-2022 contra el auto de 25 de noviembre de 2022 y la resolución que haya recaído, resolviendo este incidente de nulidad”.</w:t>
      </w:r>
    </w:p>
    <w:p w14:paraId="5E615A38" w14:textId="77777777" w:rsidR="008D479B" w:rsidRDefault="008D479B" w:rsidP="008D479B">
      <w:pPr>
        <w:pStyle w:val="TextoNormal"/>
      </w:pPr>
    </w:p>
    <w:p w14:paraId="768646E5" w14:textId="3C1CE780" w:rsidR="008D479B" w:rsidRDefault="008D479B" w:rsidP="008D479B">
      <w:pPr>
        <w:pStyle w:val="TextoNormal"/>
      </w:pPr>
      <w:r>
        <w:t>El requerimiento fue reiterado por nueva diligencia de la misma secretaría el día 7 de julio, al no haber sido posible establecer comunicación previa con el órgano judicial.</w:t>
      </w:r>
    </w:p>
    <w:p w14:paraId="1973DEEB" w14:textId="77777777" w:rsidR="008D479B" w:rsidRDefault="008D479B" w:rsidP="008D479B">
      <w:pPr>
        <w:pStyle w:val="TextoNormal"/>
      </w:pPr>
    </w:p>
    <w:p w14:paraId="7A2AEC1D" w14:textId="77777777" w:rsidR="008D479B" w:rsidRDefault="008D479B" w:rsidP="008D479B">
      <w:pPr>
        <w:pStyle w:val="TextoNormal"/>
      </w:pPr>
      <w:r w:rsidRPr="008D479B">
        <w:rPr>
          <w:rStyle w:val="NumeroAFNegritaCaracter"/>
        </w:rPr>
        <w:t>12</w:t>
      </w:r>
      <w:r>
        <w:t>. El 19 de julio de 2023 la Secretaría de Justicia de este Tribunal Constitucional dictó diligencia haciendo constar la recepción de la documentación procedente de la citada Sección Octava de la Audiencia Provincial de Barcelona, en la cual se incluye:</w:t>
      </w:r>
    </w:p>
    <w:p w14:paraId="30508C9F" w14:textId="77777777" w:rsidR="008D479B" w:rsidRDefault="008D479B" w:rsidP="008D479B">
      <w:pPr>
        <w:pStyle w:val="TextoNormal"/>
      </w:pPr>
    </w:p>
    <w:p w14:paraId="2CBF08E2" w14:textId="77777777" w:rsidR="008D479B" w:rsidRDefault="008D479B" w:rsidP="008D479B">
      <w:pPr>
        <w:pStyle w:val="TextoNormal"/>
      </w:pPr>
      <w:r>
        <w:t>a) Un oficio firmado por el letrado de la administración de justicia sustituto de la Sección Octava, de 17 de julio de 2023, “al objeto de remitir el escrito del incidente de nulidad de actuaciones presentado por Ferrán Civil Arbanat contra auto de 25/11/2022, e informar que a día de la fecha no se ha dictado la providencia indicada en el artículo 241.1 LOPJ”.</w:t>
      </w:r>
    </w:p>
    <w:p w14:paraId="0CDCB65D" w14:textId="77777777" w:rsidR="008D479B" w:rsidRDefault="008D479B" w:rsidP="008D479B">
      <w:pPr>
        <w:pStyle w:val="TextoNormal"/>
      </w:pPr>
    </w:p>
    <w:p w14:paraId="3DDEA61D" w14:textId="77777777" w:rsidR="008D479B" w:rsidRDefault="008D479B" w:rsidP="008D479B">
      <w:pPr>
        <w:pStyle w:val="TextoNormal"/>
      </w:pPr>
      <w:r>
        <w:t>b) Un escrito de la representante procesal del aquí demandante de amparo, suscrito también por abogado, por el que se promueve “incidente de nulidad de actuaciones” contra el auto de 25 de noviembre de 2022 “y en su caso, el anterior auto del Juzgado de lo Penal núm. 1 de Manresa”; escrito que tiene sello de entrada en la Sección Octava de la Audiencia Provincial de Barcelona el 19 de enero de 2023 (y firma electrónica del abogado actuante del día anterior, 18 de enero).</w:t>
      </w:r>
    </w:p>
    <w:p w14:paraId="49FCCD61" w14:textId="77777777" w:rsidR="008D479B" w:rsidRDefault="008D479B" w:rsidP="008D479B">
      <w:pPr>
        <w:pStyle w:val="TextoNormal"/>
      </w:pPr>
    </w:p>
    <w:p w14:paraId="52DB55F1" w14:textId="77777777" w:rsidR="008D479B" w:rsidRDefault="008D479B" w:rsidP="008D479B">
      <w:pPr>
        <w:pStyle w:val="TextoNormal"/>
      </w:pPr>
      <w:r>
        <w:t>En el escrito se especifica ante todo que “el presente incidente se promueve como remedio procesal de las vulneraciones que se han originado expresamente en la ejecutoria, lo que de no plantearse podría vetar también una ulterior revisión en sede de amparo, siendo constante la exigencia de este trámite como previo a cualquier eventual recurso ante el Tribunal Constitucional”. Luego de un resumen de los antecedentes del caso, el escrito alega que “la revocación de los beneficios de la suspensión de la pena privativa de libertad resulta una medida desproporcionada y carente de suficiente motivación, al no ponderar las circunstancias concretas del caso y los derechos e intereses en juego”; que “no está en manos de mi representado poderlo ejecutar […] y ello por más prórrogas o ampliaciones de plazo que pudieran haberse llegado a conceder”. Reprocha asimismo la concreta motivación que da el auto de la Audiencia Provincial en relación con la solicitud de sustitución de la pena de prisión, al limitarse a trasladar los argumentos dados para denegar similar petición en otro penado en la causa y obviar que la sustitución también se regula en el articulado de la suspensión de la ejecución de dicha pena.</w:t>
      </w:r>
    </w:p>
    <w:p w14:paraId="2607F734" w14:textId="77777777" w:rsidR="008D479B" w:rsidRDefault="008D479B" w:rsidP="008D479B">
      <w:pPr>
        <w:pStyle w:val="TextoNormal"/>
      </w:pPr>
    </w:p>
    <w:p w14:paraId="42501992" w14:textId="5D019578" w:rsidR="008D479B" w:rsidRDefault="008D479B" w:rsidP="008D479B">
      <w:pPr>
        <w:pStyle w:val="TextoNormal"/>
      </w:pPr>
      <w:r>
        <w:t>Se alega por ello la vulneración de los derechos a la libertad personal del art. 17.1 CE, y a la tutela judicial efectiva en su exigencia de motivación reforzada (art. 24.1 CE), con cita en su apoyo de sentencias de este Tribunal Constitucional ya incluidas en su escrito de demanda de amparo, así como las consideraciones que en la demanda se exponen respecto de dicha jurisprudencia, especialmente sobre la necesidad de acreditar una falta de voluntad del penado en cumplir con la obligación civil para poder revocar el beneficio de suspensión de la pena de prisión impuesta; falta de voluntad que aquí no concurre —añade el escrito del incidente de nulidad— “por falta de capacidad y poder de dominio de mi representado en orden al cumplimiento de la obligación de restauración y haber ofrecido alternativas para su ejecución”. Son varias las páginas de la demanda de amparo que se transcriben en dicho escrito de nulidad, tomadas tanto del apartado de antecedentes de hecho, como del apartado de la demanda referido al “fondo del asunto-motivos del recurso”.</w:t>
      </w:r>
    </w:p>
    <w:p w14:paraId="64A3D834" w14:textId="77777777" w:rsidR="008D479B" w:rsidRDefault="008D479B" w:rsidP="008D479B">
      <w:pPr>
        <w:pStyle w:val="TextoNormal"/>
      </w:pPr>
    </w:p>
    <w:p w14:paraId="402341AC" w14:textId="77777777" w:rsidR="008D479B" w:rsidRDefault="008D479B" w:rsidP="008D479B">
      <w:pPr>
        <w:pStyle w:val="TextoNormal"/>
      </w:pPr>
      <w:r w:rsidRPr="008D479B">
        <w:rPr>
          <w:rStyle w:val="NumeroAFNegritaCaracter"/>
        </w:rPr>
        <w:t>13</w:t>
      </w:r>
      <w:r>
        <w:t>. Mediante diligencia de ordenación de la Secretaría de Justicia de la Sala Primera, Sección Segunda, de este Tribunal Constitucional, de 24 de julio de 2023, se acordó lo siguiente: “Habiéndose recibido las actuaciones requeridas a la Sección Octava de la Audiencia Provincial de Barcelona, se concede el plazo de tres días a las partes a fin de que aleguen lo que a su derecho convenga respecto de la documentación remitida”.</w:t>
      </w:r>
    </w:p>
    <w:p w14:paraId="14EE51F1" w14:textId="77777777" w:rsidR="008D479B" w:rsidRDefault="008D479B" w:rsidP="008D479B">
      <w:pPr>
        <w:pStyle w:val="TextoNormal"/>
      </w:pPr>
    </w:p>
    <w:p w14:paraId="56792CDB" w14:textId="77777777" w:rsidR="008D479B" w:rsidRDefault="008D479B" w:rsidP="008D479B">
      <w:pPr>
        <w:pStyle w:val="TextoNormal"/>
      </w:pPr>
      <w:r>
        <w:t>En su respuesta, la fiscal ante este tribunal presentó escrito de alegaciones el 31 de julio de 2023, señalando que “[c]onforme a la documentación remitida por la Sección Octava de la Audiencia Provincial de Barcelona, efectivamente consta que por el demandante de amparo, mediante escrito de 18 de enero de 2023, con entrada en la Sala el día 19, se planteó un incidente de nulidad de actuaciones, denunciando la vulneración de los derechos fundamentales a la tutela judicial efectiva sin indefensión, art. 24.1 CE, en relación con el derecho a la libertad personal reconocido en el art. 17 CE, puesto que ordenan el cumplimiento de la pena privativa de libertad. Igualmente consta que el incidente está pendiente del dictado de la providencia prevista en el art. 241.1 de la LOPJ, por lo que no ha sido aún resuelto”.</w:t>
      </w:r>
    </w:p>
    <w:p w14:paraId="714FFEBE" w14:textId="77777777" w:rsidR="008D479B" w:rsidRDefault="008D479B" w:rsidP="008D479B">
      <w:pPr>
        <w:pStyle w:val="TextoNormal"/>
      </w:pPr>
    </w:p>
    <w:p w14:paraId="29F2F7CC" w14:textId="77777777" w:rsidR="008D479B" w:rsidRDefault="008D479B" w:rsidP="008D479B">
      <w:pPr>
        <w:pStyle w:val="TextoNormal"/>
      </w:pPr>
      <w:r>
        <w:t>Tras hacer cita de doctrina constitucional sobre la prematuridad de la demanda de amparo cuando la parte mantiene abierta una vía impugnatoria ante la jurisdicción ordinaria (STC 139/2014, de 8 de septiembre, FJ 3, y las anteriores que se reflejan ahí), la fiscal se reitera en lo argumentado en su anterior escrito de alegaciones en el que había pedido la inadmisión del recurso por prematuro, “quedando patente que se interpuso la demanda de amparo sin esperar a la resolución del incidente de nulidad de actuaciones planteado, y, por ello, sin dar la oportunidad a la Sala de la Audiencia Provincial de reparar la vulneración denunciada, de modo que no se ha respetado el carácter subsidiario que tiene el recurso de amparo”.</w:t>
      </w:r>
    </w:p>
    <w:p w14:paraId="045CD0F0" w14:textId="77777777" w:rsidR="008D479B" w:rsidRDefault="008D479B" w:rsidP="008D479B">
      <w:pPr>
        <w:pStyle w:val="TextoNormal"/>
      </w:pPr>
    </w:p>
    <w:p w14:paraId="25F1BA0A" w14:textId="467B724F" w:rsidR="008D479B" w:rsidRDefault="008D479B" w:rsidP="008D479B">
      <w:pPr>
        <w:pStyle w:val="TextoNormal"/>
      </w:pPr>
      <w:r>
        <w:t>Interesa por ello la fiscal, conforme a aquel escrito previo del trámite del art. 52 LOTC, que se acuerde la inadmisión del recurso, y subsidiariamente su estimación con nulidad de las resoluciones impugnadas, por vulneración de los derechos fundamentales a la libertad y a la tutela judicial efectiva del recurrente, “en los términos fijados en el cuerpo del dictamen previamente presentado, que se mantienen en su integridad”.</w:t>
      </w:r>
    </w:p>
    <w:p w14:paraId="2558916B" w14:textId="77777777" w:rsidR="008D479B" w:rsidRDefault="008D479B" w:rsidP="008D479B">
      <w:pPr>
        <w:pStyle w:val="TextoNormal"/>
      </w:pPr>
    </w:p>
    <w:p w14:paraId="20DD80E8" w14:textId="5E89A77B" w:rsidR="008D479B" w:rsidRDefault="008D479B" w:rsidP="008D479B">
      <w:pPr>
        <w:pStyle w:val="TextoNormal"/>
      </w:pPr>
      <w:r w:rsidRPr="008D479B">
        <w:rPr>
          <w:rStyle w:val="NumeroAFNegritaCaracter"/>
        </w:rPr>
        <w:t>14</w:t>
      </w:r>
      <w:r>
        <w:t>. El 1 de septiembre de 2023 se dictó diligencia de ordenación de la Secretaría de Justicia, haciendo constar la presentación en plazo del escrito de alegaciones de la fiscal ante este tribunal, y a la par el no haber presentado escrito la parte recurrente.</w:t>
      </w:r>
    </w:p>
    <w:p w14:paraId="0F75D75F" w14:textId="77777777" w:rsidR="008D479B" w:rsidRDefault="008D479B" w:rsidP="008D479B">
      <w:pPr>
        <w:pStyle w:val="TextoNormal"/>
      </w:pPr>
    </w:p>
    <w:p w14:paraId="7E23EFAF" w14:textId="43AF0DD3" w:rsidR="008D479B" w:rsidRDefault="008D479B" w:rsidP="008D479B">
      <w:pPr>
        <w:pStyle w:val="TextoNormal"/>
      </w:pPr>
      <w:r w:rsidRPr="008D479B">
        <w:rPr>
          <w:rStyle w:val="NumeroAFNegritaCaracter"/>
        </w:rPr>
        <w:t>15</w:t>
      </w:r>
      <w:r>
        <w:t>. Mediante providencia de 21 de septiembre de 2023, se señaló para deliberación y votación de la presente sentencia el día 25 del mismo mes y año.</w:t>
      </w:r>
    </w:p>
    <w:p w14:paraId="2A0A2A76" w14:textId="77777777" w:rsidR="008D479B" w:rsidRDefault="008D479B" w:rsidP="008D479B">
      <w:pPr>
        <w:pStyle w:val="TextoNormal"/>
      </w:pPr>
    </w:p>
    <w:p w14:paraId="3D38BCC0" w14:textId="77777777" w:rsidR="008D479B" w:rsidRDefault="008D479B" w:rsidP="008D479B">
      <w:pPr>
        <w:pStyle w:val="TextoNormalNegritaCentrado"/>
        <w:keepNext/>
      </w:pPr>
      <w:r>
        <w:t>II. Fundamentos jurídicos</w:t>
      </w:r>
    </w:p>
    <w:p w14:paraId="54D9E588" w14:textId="46476D4B" w:rsidR="008D479B" w:rsidRDefault="008D479B" w:rsidP="008D479B">
      <w:pPr>
        <w:pStyle w:val="TextoNormalNegritaCentrado"/>
        <w:keepNext/>
      </w:pPr>
    </w:p>
    <w:p w14:paraId="798EF47E" w14:textId="77777777" w:rsidR="008D479B" w:rsidRDefault="008D479B" w:rsidP="008D479B">
      <w:pPr>
        <w:pStyle w:val="TextoNormal"/>
      </w:pPr>
      <w:r w:rsidRPr="008D479B">
        <w:rPr>
          <w:rStyle w:val="NumeroAFNegritaCaracter"/>
        </w:rPr>
        <w:t>1</w:t>
      </w:r>
      <w:r>
        <w:t xml:space="preserve">. </w:t>
      </w:r>
      <w:r w:rsidRPr="008D479B">
        <w:rPr>
          <w:i/>
        </w:rPr>
        <w:t>Delimitación del objeto de este proceso</w:t>
      </w:r>
    </w:p>
    <w:p w14:paraId="3A3DC62B" w14:textId="77777777" w:rsidR="008D479B" w:rsidRDefault="008D479B" w:rsidP="008D479B">
      <w:pPr>
        <w:pStyle w:val="TextoNormal"/>
      </w:pPr>
    </w:p>
    <w:p w14:paraId="5E4771A8" w14:textId="77777777" w:rsidR="008D479B" w:rsidRDefault="008D479B" w:rsidP="008D479B">
      <w:pPr>
        <w:pStyle w:val="TextoNormal"/>
      </w:pPr>
      <w:r>
        <w:t xml:space="preserve">A) </w:t>
      </w:r>
      <w:r w:rsidRPr="008D479B">
        <w:rPr>
          <w:i/>
        </w:rPr>
        <w:t>Resoluciones impugnadas y pretensiones de las partes</w:t>
      </w:r>
    </w:p>
    <w:p w14:paraId="34CDF0FD" w14:textId="77777777" w:rsidR="008D479B" w:rsidRDefault="008D479B" w:rsidP="008D479B">
      <w:pPr>
        <w:pStyle w:val="TextoNormal"/>
      </w:pPr>
    </w:p>
    <w:p w14:paraId="2FD9E4C5" w14:textId="77777777" w:rsidR="008D479B" w:rsidRDefault="008D479B" w:rsidP="008D479B">
      <w:pPr>
        <w:pStyle w:val="TextoNormal"/>
      </w:pPr>
      <w:r>
        <w:t>a) El demandante de amparo fue condenado por sentencia del Juzgado de lo Penal núm. 1 de Manresa de 19 de diciembre de 2014, en primer lugar como autor de un delito sobre la ordenación del territorio previsto en el art. 320.2 del Código penal (CP) a la pena de veinte meses de multa a razón de una cuota diaria de seis euros e inhabilitación especial para la ocupación de cargo público durante siete años; y en segundo lugar como cooperador necesario de un delito sobre la ordenación del territorio previsto en el art. 319.1 CP, a la pena de un año de prisión con la accesoria de inhabilitación para el ejercicio del derecho de sufragio pasivo durante todo el tiempo de la condena, así como a dieciocho meses de multa a razón de una cuota diaria de seis euros, e inhabilitación especial para la ocupación de empleo o cargo público durante un año. Además, en “concepto de responsabilidad civil”, la misma sentencia acordó la demolición de “todas las construcciones y edificaciones realizadas en los terrenos” que se identifican, “con reposición de la situación anterior al inicio de las obras” a costa tanto del acusado P.M.A.M. (indicamos solamente sus iniciales, al no ser parte en este proceso de amparo), como del aquí demandante, y “subsidiariamente […] de manera solidaria a costa del Ilmo. Ayuntamiento de Cercs y de la empresa Investigaciones Micológicas de Catalunya”. Responden también solidariamente del coste de la demolición de la primera de las naves, añade el fallo, otros dos acusados cuyos nombres se indican.</w:t>
      </w:r>
    </w:p>
    <w:p w14:paraId="4F256CE7" w14:textId="77777777" w:rsidR="008D479B" w:rsidRDefault="008D479B" w:rsidP="008D479B">
      <w:pPr>
        <w:pStyle w:val="TextoNormal"/>
      </w:pPr>
    </w:p>
    <w:p w14:paraId="20B78F42" w14:textId="77777777" w:rsidR="008D479B" w:rsidRDefault="008D479B" w:rsidP="008D479B">
      <w:pPr>
        <w:pStyle w:val="TextoNormal"/>
      </w:pPr>
      <w:r>
        <w:t xml:space="preserve">Apelada la resolución por el aquí recurrente, la Sección Octava de la Audiencia Provincial de Barcelona estimó parcialmente el recurso mediante sentencia de 5 de junio de 2015, con el resultado de disminuir respecto del primer delito la pena de multa a doce meses, y respecto del segundo delito la pena de prisión a seis meses y la de multa a doce meses; manteniendo los demás pronunciamientos del fallo de la impugnada. Abierta la ejecutoria, el juzgado </w:t>
      </w:r>
      <w:r w:rsidRPr="008D479B">
        <w:rPr>
          <w:i/>
        </w:rPr>
        <w:t>a quo</w:t>
      </w:r>
      <w:r>
        <w:t xml:space="preserve"> dictó auto el 11 de octubre de 2017 acordando la suspensión del cumplimiento de la pena privativa de libertad impuesta al aquí recurrente por un plazo de tres años, quedando condicionada entre otros requisitos, a que “[c]umpla íntegramente con la responsabilidad civil a la que resultó condenado”.</w:t>
      </w:r>
    </w:p>
    <w:p w14:paraId="347A7E47" w14:textId="77777777" w:rsidR="008D479B" w:rsidRDefault="008D479B" w:rsidP="008D479B">
      <w:pPr>
        <w:pStyle w:val="TextoNormal"/>
      </w:pPr>
    </w:p>
    <w:p w14:paraId="204A69B0" w14:textId="77777777" w:rsidR="008D479B" w:rsidRDefault="008D479B" w:rsidP="008D479B">
      <w:pPr>
        <w:pStyle w:val="TextoNormal"/>
      </w:pPr>
      <w:r>
        <w:t>Posteriormente, por auto de 21 de octubre de 2019 el mismo juzgado acordó dejar sin efecto la suspensión de la pena de prisión, a la vista de informe policial “en que se pone de manifiesto que no se ha dado exacto cumplimiento a lo acordando en la sentencia”, acordando ejecutar a costa de ambos penados la totalidad de la demolición restante, recogida de escombros y retirada de diverso material. Este último auto fue revocado a su vez por otro dictado por la Sección Octava de la Audiencia Provincial de Barcelona, el 7 de enero de 2021, el cual otorgó a los penados un plazo de prórroga de seis meses, a contar desde la notificación de dicha resolución, a fin de que dieran cumplimiento a la sentencia en sus estrictos términos.</w:t>
      </w:r>
    </w:p>
    <w:p w14:paraId="67F21695" w14:textId="77777777" w:rsidR="008D479B" w:rsidRDefault="008D479B" w:rsidP="008D479B">
      <w:pPr>
        <w:pStyle w:val="TextoNormal"/>
      </w:pPr>
    </w:p>
    <w:p w14:paraId="4C9BE291" w14:textId="77777777" w:rsidR="008D479B" w:rsidRDefault="008D479B" w:rsidP="008D479B">
      <w:pPr>
        <w:pStyle w:val="TextoNormal"/>
      </w:pPr>
      <w:r>
        <w:t>Así las cosas, el juzgado ejecutor dictó auto el 25 de febrero de 2022 acordando dejar sin efecto de nuevo la suspensión de la pena de prisión de seis meses, y ordenando el cumplimiento íntegro de esta última, así como “ejecutar a costa de ambos penados la totalidad de la demolición restante” que en el mismo fallo se especifica, habida cuenta de que según nuevo informe policial en el terreno sigue habiendo escombros y material diverso, “no habiéndose restaurado la realidad física alterada por tanto como se ordenó en la sentencia firme”. El juzgado confirmó su decisión por auto de 13 de mayo de 2022, que desestimó el recurso de reforma interpuesto contra la anterior resolución, y así lo hizo también la Sección Octava de la Audiencia Provincial de Barcelona, por auto de 25 de noviembre de 2022, desestimando el recurso de apelación promovido contra las resoluciones del inferior. En respuesta a la alegación concreta del aquí demandante de amparo, vertida en su escrito de reforma y subsidiario de apelación, de no poder acceder al interior de la finca para dar cumplimiento a la sentencia, al no ser propietario de la misma, solicitando que se hicieran los trabajos por cuenta de tercero y a su costa, la Audiencia lo rechaza diciendo que hay un “grave incumplimiento” de la sentencia y por la tardanza acumulada, desaprovechándose las oportunidades dadas para lograr la ejecución de la pena. La Audiencia desestima también la solicitud subsidiaria del aquí recurrente para la sustitución de la pena de prisión por la de trabajos en beneficio de la comunidad, al entender que no cabe en este caso.</w:t>
      </w:r>
    </w:p>
    <w:p w14:paraId="710C84F6" w14:textId="77777777" w:rsidR="008D479B" w:rsidRDefault="008D479B" w:rsidP="008D479B">
      <w:pPr>
        <w:pStyle w:val="TextoNormal"/>
      </w:pPr>
    </w:p>
    <w:p w14:paraId="2140CCF7" w14:textId="77777777" w:rsidR="008D479B" w:rsidRDefault="008D479B" w:rsidP="008D479B">
      <w:pPr>
        <w:pStyle w:val="TextoNormal"/>
      </w:pPr>
      <w:r>
        <w:t>b) En la demanda de amparo, en resumen, se alega la vulneración de los derechos del recurrente a la libertad personal (art. 17.1 CE) y a la tutela judicial efectiva, en la vertiente de derecho a una motivación reforzada (art. 24.1 CE), además de conculcarse el principio de reinserción social de los penados (art. 25.2 CE), por haberse revocado la suspensión de la pena de seis meses de prisión, y subsidiariamente por haberse denegado la sustitución de dicha pena por la de trabajos en beneficio de la comunidad. Respecto de la suspensión, se insiste en que el recurrente no puede llevar a cabo por sí mismo los trabajos de restauración del terreno a su estado original, por no poder acceder a ese inmueble, y que ha ofrecido a su cargo económico que dichos trabajos los realice un tercero; por lo que no hay voluntad de incumplir la sentencia, que es conforme al art. 86 CP lo que llevaría a revocar el beneficio de la suspensión, ello al margen de discrepar del contenido del informe policial acerca del estado actual del terreno, con especial referencia a los razonamientos de la Audiencia Provincial al respecto, si bien achaca a las resoluciones de ambos órganos judiciales las vulneraciones denunciadas. Discrepa asimismo el recurrente de la decisión de la Audiencia denegando la sustitución de la pena de prisión por la de trabajos en beneficio de la comunidad, al entender que se funda en una interpretación irrazonable del art. 88 CP. Y apoya sus quejas con cita de doctrina constitucional sobre el instituto de la suspensión de la pena de prisión y su posible revocación por incumplimiento de la obligación civil impuesta al penado (en concreto, cita las SSTC 32/2022, de 7 de marzo; 104/2022, de 12 de septiembre, y 132/2022, de 24 de octubre, así como el ATC 3/2018, de 23 de enero).</w:t>
      </w:r>
    </w:p>
    <w:p w14:paraId="07F7B9D2" w14:textId="77777777" w:rsidR="008D479B" w:rsidRDefault="008D479B" w:rsidP="008D479B">
      <w:pPr>
        <w:pStyle w:val="TextoNormal"/>
      </w:pPr>
    </w:p>
    <w:p w14:paraId="1DA0A245" w14:textId="77777777" w:rsidR="008D479B" w:rsidRDefault="008D479B" w:rsidP="008D479B">
      <w:pPr>
        <w:pStyle w:val="TextoNormal"/>
      </w:pPr>
      <w:r>
        <w:t>Por su parte, la fiscal ante este Tribunal Constitucional ha presentado sus alegaciones en dos escritos (de 7 de junio y de 31 de julio de 2023), en los que ha interesado la inadmisión del recurso por haberse deducido este de manera prematura, y subsidiariamente su estimación por la vulneración al recurrente de sus derechos a la libertad personal (art. 17.1 CE) y a la tutela judicial efectiva (art. 24.1 CE), con arreglo a los argumentos que constan recogidos en los antecedentes de esta sentencia.</w:t>
      </w:r>
    </w:p>
    <w:p w14:paraId="18BAE2E4" w14:textId="77777777" w:rsidR="008D479B" w:rsidRDefault="008D479B" w:rsidP="008D479B">
      <w:pPr>
        <w:pStyle w:val="TextoNormal"/>
      </w:pPr>
    </w:p>
    <w:p w14:paraId="4D1FA8EC" w14:textId="77777777" w:rsidR="008D479B" w:rsidRDefault="008D479B" w:rsidP="008D479B">
      <w:pPr>
        <w:pStyle w:val="TextoNormal"/>
      </w:pPr>
      <w:r>
        <w:t xml:space="preserve">B) Con el fin de delimitar adecuadamente los términos del debate constitucional planteado por las partes que se trae a nuestra consideración, procede recordar que de acuerdo con lo previsto en el art. 44.1 b) </w:t>
      </w:r>
      <w:r w:rsidRPr="008D479B">
        <w:rPr>
          <w:i/>
        </w:rPr>
        <w:t>in fine</w:t>
      </w:r>
      <w:r>
        <w:t xml:space="preserve"> de nuestra Ley Orgánica reguladora, este tribunal ha de estar a los hechos que resultan de las resoluciones impugnadas, de lo que se desprende lo siguiente:</w:t>
      </w:r>
    </w:p>
    <w:p w14:paraId="6996D1DB" w14:textId="77777777" w:rsidR="008D479B" w:rsidRDefault="008D479B" w:rsidP="008D479B">
      <w:pPr>
        <w:pStyle w:val="TextoNormal"/>
      </w:pPr>
    </w:p>
    <w:p w14:paraId="1E3ED0DD" w14:textId="77777777" w:rsidR="008D479B" w:rsidRDefault="008D479B" w:rsidP="008D479B">
      <w:pPr>
        <w:pStyle w:val="TextoNormal"/>
      </w:pPr>
      <w:r>
        <w:t>a) Se ha de partir de la declaración efectuada tanto por el juzgado ejecutor como por la sección de apelación en los autos impugnados, en cuanto a que no se ha cumplido con lo ordenado por la sentencia firme respecto del desmontaje de ciertas instalaciones y de la recogida de escombros en la finca identificada, cuestión que ambos tribunales valoraron dentro de su competencia exclusiva (art. 117.3 CE).</w:t>
      </w:r>
    </w:p>
    <w:p w14:paraId="17ECB98C" w14:textId="77777777" w:rsidR="008D479B" w:rsidRDefault="008D479B" w:rsidP="008D479B">
      <w:pPr>
        <w:pStyle w:val="TextoNormal"/>
      </w:pPr>
    </w:p>
    <w:p w14:paraId="61414493" w14:textId="77777777" w:rsidR="008D479B" w:rsidRDefault="008D479B" w:rsidP="008D479B">
      <w:pPr>
        <w:pStyle w:val="TextoNormal"/>
      </w:pPr>
      <w:r>
        <w:t>b) Consta como hecho probado de la sentencia firme del juzgado, no desvirtuada por ninguna resolución judicial posterior de la ejecutoria, tampoco por los autos aquí impugnados, que el terreno en el que se levantaron las construcciones e instalaciones declaradas conculcadoras de la legalidad del planeamiento urbanístico vigente, y donde por tanto permanecen sin remover ciertas instalaciones y escombros, no es propiedad del aquí demandante de amparo, sino del coacusado y condenado en la misma causa, P.M.A.M.</w:t>
      </w:r>
    </w:p>
    <w:p w14:paraId="6BF07950" w14:textId="77777777" w:rsidR="008D479B" w:rsidRDefault="008D479B" w:rsidP="008D479B">
      <w:pPr>
        <w:pStyle w:val="TextoNormal"/>
      </w:pPr>
    </w:p>
    <w:p w14:paraId="2484D024" w14:textId="77777777" w:rsidR="008D479B" w:rsidRDefault="008D479B" w:rsidP="008D479B">
      <w:pPr>
        <w:pStyle w:val="TextoNormal"/>
      </w:pPr>
      <w:r>
        <w:t>c) Consta como hecho reconocido por los autos impugnados, que el demandante de amparo ha puesto de manifiesto la imposibilidad de acceder a dicho terreno, ofreciendo a cambio el pago de los trabajos de restauración pendientes, a realizar por un tercero. Es además un hecho notorio que desde el año 2015 no ostenta el cargo de alcalde de la localidad de Cercs, en cuyo término municipal se halla el terreno en el que se levantaron las construcciones ilegales en virtud de licencia de obra otorgada en mayo de 2007, mediante decreto firmado por el recurrente como máxima autoridad de dicha corporación local, esto último tal y como declara la sentencia firme de condena.</w:t>
      </w:r>
    </w:p>
    <w:p w14:paraId="0A1C2143" w14:textId="77777777" w:rsidR="008D479B" w:rsidRDefault="008D479B" w:rsidP="008D479B">
      <w:pPr>
        <w:pStyle w:val="TextoNormal"/>
      </w:pPr>
    </w:p>
    <w:p w14:paraId="6965DE1C" w14:textId="77777777" w:rsidR="008D479B" w:rsidRDefault="008D479B" w:rsidP="008D479B">
      <w:pPr>
        <w:pStyle w:val="TextoNormal"/>
      </w:pPr>
      <w:r>
        <w:t xml:space="preserve">d) Del tenor del art. 319.3 CP (“los jueces o tribunales […] podrán ordenar, a cargo del autor del hecho […]”) no se deriva que los trabajos de “reposición a su estado originario de la realidad física alterada” constituyan una obligación de hacer personalísimo que solo pueda llevarse a cabo directamente por el aquí demandante de amparo. De acuerdo con lo establecido en el art. 706 de la Ley de enjuiciamiento civil (LEC), de aplicación supletoria al proceso penal </w:t>
      </w:r>
      <w:r w:rsidRPr="008D479B">
        <w:rPr>
          <w:i/>
        </w:rPr>
        <w:t>ex</w:t>
      </w:r>
      <w:r>
        <w:t xml:space="preserve"> art. 4 de la propia LEC, y arts. 984 párrafo tercero (aplicable por analogía al procedimiento abreviado) y 989.2 de la Ley de enjuiciamiento criminal (LECrim), nada obsta a su cumplimiento por un tercero, a costa económica del obligado.</w:t>
      </w:r>
    </w:p>
    <w:p w14:paraId="14DE759A" w14:textId="77777777" w:rsidR="008D479B" w:rsidRDefault="008D479B" w:rsidP="008D479B">
      <w:pPr>
        <w:pStyle w:val="TextoNormal"/>
      </w:pPr>
    </w:p>
    <w:p w14:paraId="16FEB13F" w14:textId="77777777" w:rsidR="008D479B" w:rsidRDefault="008D479B" w:rsidP="008D479B">
      <w:pPr>
        <w:pStyle w:val="TextoNormal"/>
      </w:pPr>
      <w:r>
        <w:t>De hecho, consta en la dispositiva del auto del juzgado de 25 de febrero de 2022 aquí impugnado, que “se acuerda ejecutar a costa de ambos penados” la totalidad de los trabajos restantes, sin que sin embargo se precise en dicha resolución —o en otra anterior o posterior— las razones por las que dicha ejecución a su costa no ha podido ordenarse antes.</w:t>
      </w:r>
    </w:p>
    <w:p w14:paraId="627F9ECF" w14:textId="77777777" w:rsidR="008D479B" w:rsidRDefault="008D479B" w:rsidP="008D479B">
      <w:pPr>
        <w:pStyle w:val="TextoNormal"/>
      </w:pPr>
    </w:p>
    <w:p w14:paraId="63CAD3C8" w14:textId="77777777" w:rsidR="008D479B" w:rsidRDefault="008D479B" w:rsidP="008D479B">
      <w:pPr>
        <w:pStyle w:val="TextoNormal"/>
      </w:pPr>
      <w:r>
        <w:t>e) No consta tampoco en los autos impugnados que el juzgado o en su caso la sección de apelación que ha conocido de este caso, se hayan dirigido en algún momento al Ayuntamiento de Cercs, obligado subsidiario en la misma sentencia firme a la reposición del terreno a su situación anterior al inicio de las obras, para que dentro del marco de sus competencias llevase a cabo la ejecución de los trabajos pendientes.</w:t>
      </w:r>
    </w:p>
    <w:p w14:paraId="5A67E8BB" w14:textId="77777777" w:rsidR="008D479B" w:rsidRDefault="008D479B" w:rsidP="008D479B">
      <w:pPr>
        <w:pStyle w:val="TextoNormal"/>
      </w:pPr>
    </w:p>
    <w:p w14:paraId="65E28C9D" w14:textId="77777777" w:rsidR="008D479B" w:rsidRDefault="008D479B" w:rsidP="008D479B">
      <w:pPr>
        <w:pStyle w:val="TextoNormal"/>
      </w:pPr>
      <w:r>
        <w:t>No consta en este mismo sentido, que los dos órganos judiciales autores de las resoluciones aquí impugnadas hayan proveído en el marco de sus propias competencias, para garantizar el acceso efectivo al terreno en el que se hallan los escombros e instalaciones por desmontar, a fin de que se puedan materializar los trabajos respectivos por el recurrente (o por un tercero a su costa).</w:t>
      </w:r>
    </w:p>
    <w:p w14:paraId="14343448" w14:textId="77777777" w:rsidR="008D479B" w:rsidRDefault="008D479B" w:rsidP="008D479B">
      <w:pPr>
        <w:pStyle w:val="TextoNormal"/>
      </w:pPr>
    </w:p>
    <w:p w14:paraId="2D907219" w14:textId="77777777" w:rsidR="008D479B" w:rsidRDefault="008D479B" w:rsidP="008D479B">
      <w:pPr>
        <w:pStyle w:val="TextoNormal"/>
      </w:pPr>
      <w:r>
        <w:t>C) Desde el punto de vista jurídico, la presente controversia habría de resolverse, como reconocen las partes de este proceso, atendiendo a la doctrina fijada por este tribunal a partir del ATC del Pleno 3/2018, de 23 de enero, dictado en sede de cuestión de inconstitucionalidad, y de las SSTC 32/2022, de 7 de marzo; 104/2022, de 12 de septiembre, y 132/2022, de 24 de octubre, recaídas todas en recursos de amparo, en relación con la posible vulneración de los derechos fundamentales a la libertad (art. 17.1 CE) y a la tutela judicial efectiva (art. 24.1 CE), provocada por la revocación del beneficio de suspensión de una pena de prisión al no haber cumplido el penado con la obligación civil que se le había impuesto, de acuerdo con la regulación de esta figura en el Código penal tras la modificación de algunos de sus preceptos por la Ley Orgánica 1/2015, de 30 de marzo. Si bien dichas resoluciones del Tribunal afrontan sobre todo el problema de la falta de capacidad económica del obligado para hacer frente, total o parcialmente, a una indemnización económica, dificultad esta que aquí no acontece (el recurrente afirma disponer de los medios económicos necesarios para sufragar los trabajos de restauración total del terreno, y los ha ofrecido reiteradamente con este propósito), dos postulados esenciales de esa doctrina constitucional resultan insoslayables en este caso, como son:</w:t>
      </w:r>
    </w:p>
    <w:p w14:paraId="5F71E85F" w14:textId="77777777" w:rsidR="008D479B" w:rsidRDefault="008D479B" w:rsidP="008D479B">
      <w:pPr>
        <w:pStyle w:val="TextoNormal"/>
      </w:pPr>
    </w:p>
    <w:p w14:paraId="0D606053" w14:textId="77777777" w:rsidR="008D479B" w:rsidRDefault="008D479B" w:rsidP="008D479B">
      <w:pPr>
        <w:pStyle w:val="TextoNormal"/>
      </w:pPr>
      <w:r>
        <w:t>a) De un lado, que el elemento que cualifica el incumplimiento de la obligación civil derivada del delito, en orden a revocar la suspensión de la pena de prisión (art. 86 CP), es la falta de voluntad del penado en dicho cumplimiento, y no su imposibilidad material de satisfacer dicha obligación por circunstancias ajenas a esa voluntad [ATC 3/2018, FFJJ 3 y 7, y SSTC 32/2022, FFJJ 4, 5 b) y 5 c); 104/2022, FJ 3 B), y 132/2022, FJ 3 b)].</w:t>
      </w:r>
    </w:p>
    <w:p w14:paraId="77FB1286" w14:textId="77777777" w:rsidR="008D479B" w:rsidRDefault="008D479B" w:rsidP="008D479B">
      <w:pPr>
        <w:pStyle w:val="TextoNormal"/>
      </w:pPr>
    </w:p>
    <w:p w14:paraId="74DCF7E3" w14:textId="77777777" w:rsidR="008D479B" w:rsidRDefault="008D479B" w:rsidP="008D479B">
      <w:pPr>
        <w:pStyle w:val="TextoNormal"/>
      </w:pPr>
      <w:r>
        <w:t>b) Y de otro lado, que las resoluciones que deciden sobre la revocación de este beneficio exigen una motivación reforzada por cuanto afectan a un derecho fundamental sustantivo —art. 17 CE—, lo que significa exteriorizar una ponderación “de las circunstancias individuales del penado, así como de los valores y bienes jurídicos comprometidos en la decisión, teniendo en cuenta la finalidad principal de la institución, la reeducación y reinserción social, y las otras finalidades, de prevención general, que legitiman la pena privativa de libertad” [STC 320/2006, de 15 de noviembre, FJ 4; canon que hacen suyo las SSTC 32/2022, FJ 4; 104/2022, FJ 3 B) y 4 c), y 132/2022, FFJJ 3 d) y 4 b)].</w:t>
      </w:r>
    </w:p>
    <w:p w14:paraId="2016B29D" w14:textId="77777777" w:rsidR="008D479B" w:rsidRDefault="008D479B" w:rsidP="008D479B">
      <w:pPr>
        <w:pStyle w:val="TextoNormal"/>
      </w:pPr>
    </w:p>
    <w:p w14:paraId="668FB533" w14:textId="77777777" w:rsidR="008D479B" w:rsidRDefault="008D479B" w:rsidP="008D479B">
      <w:pPr>
        <w:pStyle w:val="TextoNormal"/>
      </w:pPr>
      <w:r>
        <w:t>Concretamente, en cuanto a su finalidad principal, hemos precisado que el instituto de la suspensión de la pena regulado en los arts. 80 y siguientes del CP, persigue la evitación de los perniciosos efectos atribuidos a la ejecución de las penas cortas de prisión: así, ATC 3/2018, FJ 5, donde añadimos que ese fin resulta compatible con el principio de resocialización de las penas privativas de libertad consagrado en el art. 25.2 CE; también STC 132/2022, FJ 4 c).</w:t>
      </w:r>
    </w:p>
    <w:p w14:paraId="291B0F47" w14:textId="77777777" w:rsidR="008D479B" w:rsidRDefault="008D479B" w:rsidP="008D479B">
      <w:pPr>
        <w:pStyle w:val="TextoNormal"/>
      </w:pPr>
    </w:p>
    <w:p w14:paraId="68631804" w14:textId="5B6BA3A0" w:rsidR="008D479B" w:rsidRDefault="008D479B" w:rsidP="008D479B">
      <w:pPr>
        <w:pStyle w:val="TextoNormal"/>
      </w:pPr>
      <w:r>
        <w:t>Bajo estos parámetros, pues, habría de resolverse la controversia constitucional planteada, en el caso de que hubiera de examinarse el fondo de la cuestión planteada en este recurso de amparo.</w:t>
      </w:r>
    </w:p>
    <w:p w14:paraId="4B345219" w14:textId="77777777" w:rsidR="008D479B" w:rsidRDefault="008D479B" w:rsidP="008D479B">
      <w:pPr>
        <w:pStyle w:val="TextoNormal"/>
      </w:pPr>
    </w:p>
    <w:p w14:paraId="7C5336D5" w14:textId="77777777" w:rsidR="008D479B" w:rsidRDefault="008D479B" w:rsidP="008D479B">
      <w:pPr>
        <w:pStyle w:val="TextoNormal"/>
      </w:pPr>
      <w:r w:rsidRPr="008D479B">
        <w:rPr>
          <w:rStyle w:val="NumeroAFNegritaCaracter"/>
        </w:rPr>
        <w:t>2</w:t>
      </w:r>
      <w:r>
        <w:t xml:space="preserve">. </w:t>
      </w:r>
      <w:r w:rsidRPr="008D479B">
        <w:rPr>
          <w:i/>
        </w:rPr>
        <w:t>Óbice a la admisibilidad del recurso</w:t>
      </w:r>
    </w:p>
    <w:p w14:paraId="7C9AFEA9" w14:textId="77777777" w:rsidR="008D479B" w:rsidRDefault="008D479B" w:rsidP="008D479B">
      <w:pPr>
        <w:pStyle w:val="TextoNormal"/>
      </w:pPr>
    </w:p>
    <w:p w14:paraId="7CE8E08A" w14:textId="77777777" w:rsidR="008D479B" w:rsidRDefault="008D479B" w:rsidP="008D479B">
      <w:pPr>
        <w:pStyle w:val="TextoNormal"/>
      </w:pPr>
      <w:r>
        <w:t>En primer término, ha de darse respuesta al óbice procesal que opone la fiscal ante este tribunal en sus dos escritos de alegaciones, sin que nuestro control quede impedido por el hecho de que el recurso ya haya superado la fase de admisión a trámite (entre otras, últimamente, SSTC 69/2022, de 2 de junio, FJ 2; 6/2023, de 20 de febrero, FJ 2, y 48/2023, de 10 de mayo, FJ 2, esta última, del Pleno).</w:t>
      </w:r>
    </w:p>
    <w:p w14:paraId="17A3BC82" w14:textId="77777777" w:rsidR="008D479B" w:rsidRDefault="008D479B" w:rsidP="008D479B">
      <w:pPr>
        <w:pStyle w:val="TextoNormal"/>
      </w:pPr>
    </w:p>
    <w:p w14:paraId="08245F76" w14:textId="77777777" w:rsidR="008D479B" w:rsidRDefault="008D479B" w:rsidP="008D479B">
      <w:pPr>
        <w:pStyle w:val="TextoNormal"/>
      </w:pPr>
      <w:r>
        <w:t>La fiscal afirma que el recurso es prematuro pues se halla todavía pendiente de decisión, por la Sección Octava de la Audiencia Provincial de Barcelona, una solicitud de nulidad de actuaciones promovida por la representación procesal del recurrente contra el auto de 25 de noviembre de 2022 dictado por aquella, de modo que la vía judicial previa al recurso de amparo no se encuentra cerrada, lo que supone un incumplimiento del requisito del art. 44.1 a) LOTC.</w:t>
      </w:r>
    </w:p>
    <w:p w14:paraId="18780619" w14:textId="77777777" w:rsidR="008D479B" w:rsidRDefault="008D479B" w:rsidP="008D479B">
      <w:pPr>
        <w:pStyle w:val="TextoNormal"/>
      </w:pPr>
    </w:p>
    <w:p w14:paraId="30F9B9DC" w14:textId="77777777" w:rsidR="008D479B" w:rsidRDefault="008D479B" w:rsidP="008D479B">
      <w:pPr>
        <w:pStyle w:val="TextoNormal"/>
      </w:pPr>
      <w:r>
        <w:t>A) Esta alegación ha de ser resuelta a partir de los siguientes hechos y doctrina constitucional de aplicación:</w:t>
      </w:r>
    </w:p>
    <w:p w14:paraId="1E4E919A" w14:textId="77777777" w:rsidR="008D479B" w:rsidRDefault="008D479B" w:rsidP="008D479B">
      <w:pPr>
        <w:pStyle w:val="TextoNormal"/>
      </w:pPr>
    </w:p>
    <w:p w14:paraId="4725EE12" w14:textId="77777777" w:rsidR="008D479B" w:rsidRDefault="008D479B" w:rsidP="008D479B">
      <w:pPr>
        <w:pStyle w:val="TextoNormal"/>
      </w:pPr>
      <w:r>
        <w:t>a) La razón de ser de la inadmisión de una demanda de amparo por interposición prematura, al no estar todavía cerrada la vía judicial previa, se describe entre otras en nuestra STC 189/2002, de 14 de octubre, FJ 6, en los siguientes términos:</w:t>
      </w:r>
    </w:p>
    <w:p w14:paraId="3090B7AF" w14:textId="77777777" w:rsidR="008D479B" w:rsidRDefault="008D479B" w:rsidP="008D479B">
      <w:pPr>
        <w:pStyle w:val="TextoNormal"/>
      </w:pPr>
    </w:p>
    <w:p w14:paraId="317D997C" w14:textId="77777777" w:rsidR="008D479B" w:rsidRDefault="008D479B" w:rsidP="008D479B">
      <w:pPr>
        <w:pStyle w:val="TextoNormal"/>
      </w:pPr>
      <w:r>
        <w:t>“Es necesario recordar al respecto, de un lado, que los requisitos de admisibilidad de la demanda de amparo deben de ser examinados teniendo en cuenta como marco temporal de referencia el momento en que fue interpuesta (SSTC 129/2000, de 16 de mayo, FJ 2; 192/2001, de 4 de octubre, FJ 3; 44/2002, de 25 de febrero, FJ 2). Y, de otro, que, para que entre en funcionamiento la justicia constitucional, es preciso que estén agotadas las vías judiciales, habiendo declarado este tribunal que, cuando por su propia decisión el ciudadano ha intentado un remedio procesal o recurso contra la resolución judicial impugnada en amparo, el proceso constitucional no puede seguir hasta que la vía judicial, continuada a través de ese remedio o recurso, no se haya extinguido (STC 192/2001, de 4 de octubre, FJ 3; ATC 717/1984, de 21 de noviembre). Y ello es así, porque el aseguramiento de su carácter subsidiario exige que el acceso al recurso de amparo no quede abierto en tanto no se hayan agotado los recursos utilizados en la vía ordinaria, siendo contraria a dicho carácter la coexistencia temporal con otro recurso seguido en la vía judicial ordinaria (ATC 65/1985, de 30 de enero). Esa anomalía acontece cuando se inicia el proceso de amparo antes de que se resuelvan los recursos interpuestos en la vía judicial ordinaria contra la resolución jurisdiccional que se recurre en amparo (SSTC 129/2000, de 16 de mayo, FJ 2; 225/2000, de 2 de octubre, FJ 3; 192/2001, de 4 de octubre, FJ 3; 44/2002, de 25 de febrero, FJ 2)”.</w:t>
      </w:r>
    </w:p>
    <w:p w14:paraId="58C59812" w14:textId="77777777" w:rsidR="008D479B" w:rsidRDefault="008D479B" w:rsidP="008D479B">
      <w:pPr>
        <w:pStyle w:val="TextoNormal"/>
      </w:pPr>
    </w:p>
    <w:p w14:paraId="0E87A649" w14:textId="77777777" w:rsidR="008D479B" w:rsidRDefault="008D479B" w:rsidP="008D479B">
      <w:pPr>
        <w:pStyle w:val="TextoNormal"/>
      </w:pPr>
      <w:r>
        <w:t>El criterio aquí expuesto conforme al cual el marco temporal de referencia para examinar los óbices procesales de la demanda de amparo es el de la fecha de su interposición, con la consecuencia de declarar la inadmisión del recurso por prematuro al hallarse todavía pendiente de resolver un medio de impugnación judicial (recurso o incidente de nulidad de actuaciones), se reitera entre otras en las posteriores SSTC 72/2004, de 19 de abril, FJ 3; 82/2004, de 10 de mayo, FJ 3; 97/2004, de 24 de mayo, FJ 3; 188/2006, de 19 de junio, FFJJ 3 y 4; 139/2014, de 8 de septiembre, FJ 3; 12/2020, de 28 de enero, FFJJ 2 y 3, y 6/2023, de 20 de febrero, FJ 2.</w:t>
      </w:r>
    </w:p>
    <w:p w14:paraId="60888D16" w14:textId="77777777" w:rsidR="008D479B" w:rsidRDefault="008D479B" w:rsidP="008D479B">
      <w:pPr>
        <w:pStyle w:val="TextoNormal"/>
      </w:pPr>
    </w:p>
    <w:p w14:paraId="595D69DA" w14:textId="77777777" w:rsidR="008D479B" w:rsidRDefault="008D479B" w:rsidP="008D479B">
      <w:pPr>
        <w:pStyle w:val="TextoNormal"/>
      </w:pPr>
      <w:r>
        <w:t>También se considera prematura la demanda si el medio de impugnación se deduce antes de interponer aquella, y el órgano judicial después de tal interposición (i) o bien deniega la impugnación (STC 32/2010, de 8 de julio, FJ 2), (ii) o bien anula la resolución (también impugnada en amparo) pero desestima la impugnación de fondo (STC 13/2005, de 31 de enero, FFJJ 2 y 3, la cual concede el efecto de pérdida sobrevenida de objeto pero solamente respecto de la resolución anulada).</w:t>
      </w:r>
    </w:p>
    <w:p w14:paraId="35B31B9D" w14:textId="77777777" w:rsidR="008D479B" w:rsidRDefault="008D479B" w:rsidP="008D479B">
      <w:pPr>
        <w:pStyle w:val="TextoNormal"/>
      </w:pPr>
    </w:p>
    <w:p w14:paraId="3B4700CD" w14:textId="77777777" w:rsidR="008D479B" w:rsidRDefault="008D479B" w:rsidP="008D479B">
      <w:pPr>
        <w:pStyle w:val="TextoNormal"/>
      </w:pPr>
      <w:r>
        <w:t xml:space="preserve">La doctrina de referencia resulta asimismo de aplicación cuando se interpone, el mismo día, la demanda de amparo y un medio de impugnación ante el órgano judicial </w:t>
      </w:r>
      <w:r w:rsidRPr="008D479B">
        <w:rPr>
          <w:i/>
        </w:rPr>
        <w:t>a quo</w:t>
      </w:r>
      <w:r>
        <w:t>: STC 73/2008, de 23 de junio, FJ 3, y AATC 219/2007, de 18 de abril, FFJJ 2 y 3, y 225/2007, de 20 de abril, FFJJ 2 y 3. Dentro de este supuesto, las SSTC 128/2006, de 24 de abril, FFJJ 2 y 3, y 332/2006, de 20 de noviembre, FFJJ 2 y 3, afirman que si el medio de impugnación prosperara, la demanda seguiría siendo prematura —y por tanto inadmisible— y no se podría hablar de pérdida de objeto sobrevenida del amparo.</w:t>
      </w:r>
    </w:p>
    <w:p w14:paraId="65C56AD7" w14:textId="77777777" w:rsidR="008D479B" w:rsidRDefault="008D479B" w:rsidP="008D479B">
      <w:pPr>
        <w:pStyle w:val="TextoNormal"/>
      </w:pPr>
    </w:p>
    <w:p w14:paraId="2887922B" w14:textId="77777777" w:rsidR="008D479B" w:rsidRDefault="008D479B" w:rsidP="008D479B">
      <w:pPr>
        <w:pStyle w:val="TextoNormal"/>
      </w:pPr>
      <w:r>
        <w:t>En fin, en el caso específico de que se haya resuelto un medio de impugnación en fecha anterior a la de la interposición de la demanda de amparo, pero la correspondiente resolución judicial se notifica a la parte con posterioridad a esta última fecha, las SSTC 61/2014, de 5 de mayo, FJ 2, y 69/2014, de 5 de mayo, FJ 2, han declarado que la demanda de amparo no es prematura. Sí la ha considerado así el ATC 98/2016, de 4 de mayo, en su FJ único (que prefiere acogerse al criterio —anterior a ambas sentencias— del ATC 514/2005, de 19 de diciembre).</w:t>
      </w:r>
    </w:p>
    <w:p w14:paraId="21BE4CBC" w14:textId="77777777" w:rsidR="008D479B" w:rsidRDefault="008D479B" w:rsidP="008D479B">
      <w:pPr>
        <w:pStyle w:val="TextoNormal"/>
      </w:pPr>
    </w:p>
    <w:p w14:paraId="5A49707F" w14:textId="77777777" w:rsidR="008D479B" w:rsidRDefault="008D479B" w:rsidP="008D479B">
      <w:pPr>
        <w:pStyle w:val="TextoNormal"/>
      </w:pPr>
      <w:r>
        <w:t>Como excepción a la prematuridad, recogida también por nuestra doctrina, están aquellas resoluciones interlocutorias que afectan a derechos fundamentales sustantivos, sobre todo en el proceso penal (entre otras, SSTC 76/2009, de 23 de marzo, FJ 3; 171/2009, de 9 de julio, FJ 2, y 122/2022, de 10 de octubre, FJ 2).</w:t>
      </w:r>
    </w:p>
    <w:p w14:paraId="5BCDFDC5" w14:textId="77777777" w:rsidR="008D479B" w:rsidRDefault="008D479B" w:rsidP="008D479B">
      <w:pPr>
        <w:pStyle w:val="TextoNormal"/>
      </w:pPr>
    </w:p>
    <w:p w14:paraId="2E565882" w14:textId="77777777" w:rsidR="008D479B" w:rsidRDefault="008D479B" w:rsidP="008D479B">
      <w:pPr>
        <w:pStyle w:val="TextoNormal"/>
      </w:pPr>
      <w:r>
        <w:t>b) La demanda de amparo se presentó en el registro electrónico de este tribunal por la procuradora del recurrente, el día 5 de enero de 2023, a las 13:30 horas.</w:t>
      </w:r>
    </w:p>
    <w:p w14:paraId="085AF771" w14:textId="77777777" w:rsidR="008D479B" w:rsidRDefault="008D479B" w:rsidP="008D479B">
      <w:pPr>
        <w:pStyle w:val="TextoNormal"/>
      </w:pPr>
    </w:p>
    <w:p w14:paraId="1EBE37FC" w14:textId="77777777" w:rsidR="008D479B" w:rsidRDefault="008D479B" w:rsidP="008D479B">
      <w:pPr>
        <w:pStyle w:val="TextoNormal"/>
      </w:pPr>
      <w:r>
        <w:t>En el apartado de fundamentos de Derecho de la demanda, epígrafe III, se dejó indicado que “se han agotado todos los recursos utilizables dentro de la vía judicial, de acuerdo con lo requerido en el art. 44.1 a) de la citada Ley Orgánica, al no caber ulterior recurso contra el auto de 25 de noviembre de 2022, de la Sección Octava de la Audiencia Provincial de Barcelona, después de haber solicitados aclaración/complemento, interpuesto los recursos de reforma y apelación legalmente previstos, quedando agotada la vía de los recursos al no caber el recurso de casación contra el auto de la Audiencia Provincial”.</w:t>
      </w:r>
    </w:p>
    <w:p w14:paraId="18093EF0" w14:textId="77777777" w:rsidR="008D479B" w:rsidRDefault="008D479B" w:rsidP="008D479B">
      <w:pPr>
        <w:pStyle w:val="TextoNormal"/>
      </w:pPr>
    </w:p>
    <w:p w14:paraId="3142096B" w14:textId="77777777" w:rsidR="008D479B" w:rsidRDefault="008D479B" w:rsidP="008D479B">
      <w:pPr>
        <w:pStyle w:val="TextoNormal"/>
      </w:pPr>
      <w:r>
        <w:t>Se afirma esto mismo en el segundo otrosí digo del mismo escrito, tras el suplico, donde sin embargo se añade que: “Entendemos por tanto que en el presente caso se ha agotado la vía judicial previa a través de los recursos de reforma y de apelación, pero en su caso y ante una eventual disyuntiva sobre el modo en que debiera darse adecuada satisfacción al referido requisito procesal que en ocasiones franquea el acceso al amparo, ‘</w:t>
      </w:r>
      <w:r w:rsidRPr="008D479B">
        <w:rPr>
          <w:i/>
        </w:rPr>
        <w:t>ad cautelam</w:t>
      </w:r>
      <w:r>
        <w:t>’ se ha promovido igualmente incidente de nulidad de actuaciones ante la Sección Octava de la Audiencia Provincial de Barcelona”; citando en su apoyo la STC 217/2002, de 25 de noviembre, respecto a la posibilidad de que dificultades interpretativas de la norma puedan poner en una disyuntiva al justiciable, pudiéndole conducir a un incumplimiento por defecto o por exceso del requisito del debido agotamiento de la vía judicial previa; y sobre la necesidad de dar un significado restrictivo al concepto de recurso manifiestamente improcedente.</w:t>
      </w:r>
    </w:p>
    <w:p w14:paraId="62208941" w14:textId="77777777" w:rsidR="008D479B" w:rsidRDefault="008D479B" w:rsidP="008D479B">
      <w:pPr>
        <w:pStyle w:val="TextoNormal"/>
      </w:pPr>
    </w:p>
    <w:p w14:paraId="7B154F2C" w14:textId="77777777" w:rsidR="008D479B" w:rsidRDefault="008D479B" w:rsidP="008D479B">
      <w:pPr>
        <w:pStyle w:val="TextoNormal"/>
      </w:pPr>
      <w:r>
        <w:t>c) El examen de las actuaciones revela que la afirmación realizada en el segundo otrosí digo del escrito de demanda, no era real. A la fecha de interposición de la demanda de amparo no se había promovido ningún incidente de nulidad de actuaciones ante la Sección Octava de apelación contra su auto de 25 de noviembre de 2022. El incidente de nulidad se interpuso el día 19 de enero de 2023, conforme resulta del sello de entrada de la propia Sección Octava de la Audiencia Provincial de Barcelona, con firma electrónica del abogado que lo suscribe del día 18 de enero de 2023.</w:t>
      </w:r>
    </w:p>
    <w:p w14:paraId="2854D342" w14:textId="77777777" w:rsidR="008D479B" w:rsidRDefault="008D479B" w:rsidP="008D479B">
      <w:pPr>
        <w:pStyle w:val="TextoNormal"/>
      </w:pPr>
    </w:p>
    <w:p w14:paraId="0CF0AE46" w14:textId="77777777" w:rsidR="008D479B" w:rsidRDefault="008D479B" w:rsidP="008D479B">
      <w:pPr>
        <w:pStyle w:val="TextoNormal"/>
      </w:pPr>
      <w:r>
        <w:t>Ello llevaría a pensar, con arreglo a la doctrina que hasta ahora se ha recogido en este fundamento jurídico, que la demanda de amparo cumplió con el principio de subsidiariedad de esta jurisdicción constitucional, al no tener abierto ningún medio de impugnación judicial a la fecha de deducir su demanda.</w:t>
      </w:r>
    </w:p>
    <w:p w14:paraId="11C865D3" w14:textId="77777777" w:rsidR="008D479B" w:rsidRDefault="008D479B" w:rsidP="008D479B">
      <w:pPr>
        <w:pStyle w:val="TextoNormal"/>
      </w:pPr>
    </w:p>
    <w:p w14:paraId="5C637964" w14:textId="77777777" w:rsidR="008D479B" w:rsidRDefault="008D479B" w:rsidP="008D479B">
      <w:pPr>
        <w:pStyle w:val="TextoNormal"/>
      </w:pPr>
      <w:r>
        <w:t>d) Sucede, sin embargo, que este tribunal también sanciona con la inadmisión por prematura de la demanda de amparo, cuando la parte recurrente decide formalizar cualquier medio de impugnación contra las resoluciones que impugna ante este tribunal, en momento posterior al de la presentación de aquella demanda. En efecto, enseña la STC 337/2006, de 11 de diciembre, FJ único, que “el presente recurso de amparo debe inadmitirse por falta de agotamiento de la vía judicial previa [art. 50.1 a), en relación con el art. 44.1 a) LOTC], en tanto que, pese a lo señalado por el Ministerio Fiscal, el recurrente reabrió la vía judicial con una solicitud de nulidad con el mismo objeto que este amparo, provocando la coexistencia temporal de ambos procedimiento y posibilitando, en última instancia, que con posterioridad a presentarse el recurso de amparo un órgano judicial pudiera pronunciarse sobre la invocación alegada, en contradicción con el carácter subsidiario de esta jurisdicción”.</w:t>
      </w:r>
    </w:p>
    <w:p w14:paraId="57ADBEEE" w14:textId="77777777" w:rsidR="008D479B" w:rsidRDefault="008D479B" w:rsidP="008D479B">
      <w:pPr>
        <w:pStyle w:val="TextoNormal"/>
      </w:pPr>
    </w:p>
    <w:p w14:paraId="3E805376" w14:textId="77777777" w:rsidR="008D479B" w:rsidRDefault="008D479B" w:rsidP="008D479B">
      <w:pPr>
        <w:pStyle w:val="TextoNormal"/>
      </w:pPr>
      <w:r>
        <w:t>En el mismo sentido declara la STC 99/2009, de 27 de abril, FJ 3, que “pese a que en el momento originario de interposición de la demanda de amparo pudo entenderse objetivamente agotada la vía judicial ordinaria, la ulterior actitud procesal del demandante, quien decidió libremente reabrirla solicitando la nulidad de la sentencia que previamente había impugnado mediante este recurso de amparo, determina que este haya devenido ahora inviable, pues, con independencia de la resolución final de los órganos judiciales ordinarios, el recurrente provocó la vedada coexistencia temporal del recurso de amparo y de la vía judicial ordinaria, desconociendo así la naturaleza estrictamente subsidiaria de este proceso constitucional”.</w:t>
      </w:r>
    </w:p>
    <w:p w14:paraId="3A100915" w14:textId="77777777" w:rsidR="008D479B" w:rsidRDefault="008D479B" w:rsidP="008D479B">
      <w:pPr>
        <w:pStyle w:val="TextoNormal"/>
      </w:pPr>
    </w:p>
    <w:p w14:paraId="13A22304" w14:textId="77777777" w:rsidR="008D479B" w:rsidRDefault="008D479B" w:rsidP="008D479B">
      <w:pPr>
        <w:pStyle w:val="TextoNormal"/>
      </w:pPr>
      <w:r>
        <w:t>Y la STC 31/2020, de 24 de febrero, FJ 3: “después de que la recurrente formulara su demanda de amparo, reabrió la vía judicial previa, merced a un incidente de nulidad de actuaciones interpuesto tras de la formalización de la demanda de amparo, que admitido a trámite no consta que haya sido resuelto. Por tanto, el presente recurso de amparo debe ser inadmitido por falta de agotamiento de la vía judicial previa [art. 50.1 a), en relación con el art. 44.1 a) LOTC], al haberse hecho coexistir con un incidente de nulidad de actuaciones no resuelto”.</w:t>
      </w:r>
    </w:p>
    <w:p w14:paraId="26EF8AEA" w14:textId="77777777" w:rsidR="008D479B" w:rsidRDefault="008D479B" w:rsidP="008D479B">
      <w:pPr>
        <w:pStyle w:val="TextoNormal"/>
      </w:pPr>
    </w:p>
    <w:p w14:paraId="76DCAE4E" w14:textId="77777777" w:rsidR="008D479B" w:rsidRDefault="008D479B" w:rsidP="008D479B">
      <w:pPr>
        <w:pStyle w:val="TextoNormal"/>
      </w:pPr>
      <w:r>
        <w:t>Del mismo parecer, en fin, el ATC 149/2016, de 6 de septiembre, FJ 2.</w:t>
      </w:r>
    </w:p>
    <w:p w14:paraId="2F6FA865" w14:textId="77777777" w:rsidR="008D479B" w:rsidRDefault="008D479B" w:rsidP="008D479B">
      <w:pPr>
        <w:pStyle w:val="TextoNormal"/>
      </w:pPr>
    </w:p>
    <w:p w14:paraId="7675D8A2" w14:textId="77777777" w:rsidR="008D479B" w:rsidRDefault="008D479B" w:rsidP="008D479B">
      <w:pPr>
        <w:pStyle w:val="TextoNormal"/>
      </w:pPr>
      <w:r>
        <w:t>Se sigue de todo lo dicho que las competencias exclusivas de este tribunal en el ámbito del recurso de amparo [arts. 53.2, 123 y 161 b) CE; art. 5.1 de la Ley Orgánica del Poder Judicial; arts. 41, 43.1 y 44.1 a) LOTC] se ejercitan solo cuando el derecho fundamental no ha sido definitivamente reparado por los tribunales ordinarios.</w:t>
      </w:r>
    </w:p>
    <w:p w14:paraId="27737841" w14:textId="77777777" w:rsidR="008D479B" w:rsidRDefault="008D479B" w:rsidP="008D479B">
      <w:pPr>
        <w:pStyle w:val="TextoNormal"/>
      </w:pPr>
    </w:p>
    <w:p w14:paraId="0621FB78" w14:textId="77777777" w:rsidR="008D479B" w:rsidRDefault="008D479B" w:rsidP="008D479B">
      <w:pPr>
        <w:pStyle w:val="TextoNormal"/>
      </w:pPr>
      <w:r>
        <w:t>No solo la subsidiariedad de esta jurisdicción debe quedar salvaguardada a la fecha de interposición de la demanda de amparo, sino que ha de estarlo desde ese momento y hasta el final del proceso constitucional. No en vano no se recoge en nuestra Ley Orgánica reguladora, ni en ninguna ley procesal, normas que instrumenten un sistema de prejudicialidad entre ambas jurisdicciones, como sí lo hay para los distintos órdenes de la jurisdicción ordinaria (arts. 40 a 43 LEC; arts. 3 a 7 LECrim; art. 4 de la Ley de la jurisdicción contencioso-administrativa; art. 4 de la Ley reguladora de la jurisdicción social), de modo que el órgano judicial no ve interrumpida su competencia propia para resolver el recurso o incidente que se le haya planteado aunque le conste la interposición de la demanda de amparo. Mas, al hacerse un uso paralelo y no subsidiario de ambas jurisdicciones, se genera una inaceptable situación de duplicidad para conocer del mismo problema jurídico constitucional; situación que solo puede resolverse con el cierre del correspondiente proceso de amparo sin enjuiciar la queja o quejas de fondo planteadas, sin importar ya lo que a su vez acabe resolviendo el órgano judicial.</w:t>
      </w:r>
    </w:p>
    <w:p w14:paraId="2E51B40B" w14:textId="77777777" w:rsidR="008D479B" w:rsidRDefault="008D479B" w:rsidP="008D479B">
      <w:pPr>
        <w:pStyle w:val="TextoNormal"/>
      </w:pPr>
    </w:p>
    <w:p w14:paraId="7C1AE959" w14:textId="77777777" w:rsidR="008D479B" w:rsidRDefault="008D479B" w:rsidP="008D479B">
      <w:pPr>
        <w:pStyle w:val="TextoNormal"/>
      </w:pPr>
      <w:r>
        <w:t>B) En atención a lo que antecede, el óbice procesal alegado por la fiscal debe ser estimado.</w:t>
      </w:r>
    </w:p>
    <w:p w14:paraId="7F804C69" w14:textId="77777777" w:rsidR="008D479B" w:rsidRDefault="008D479B" w:rsidP="008D479B">
      <w:pPr>
        <w:pStyle w:val="TextoNormal"/>
      </w:pPr>
    </w:p>
    <w:p w14:paraId="02846C26" w14:textId="77777777" w:rsidR="008D479B" w:rsidRDefault="008D479B" w:rsidP="008D479B">
      <w:pPr>
        <w:pStyle w:val="TextoNormal"/>
      </w:pPr>
      <w:r>
        <w:t>Si bien la vía judicial estaba correctamente agotada a la fecha de interposición de la demanda de amparo tras la notificación del auto de apelación que fue la última de las resoluciones recurridas en ese escrito, la iniciativa posterior de su representante procesal y defensa letrada consistente en interponer un incidente de nulidad contra ese mismo auto reabrió el procedimiento impugnatorio ante la Sección Octava de la Audiencia Provincial, trayendo consigo indefectiblemente la prematuridad sobrevenida de la demanda de amparo, al simultanearla indebidamente con la vía judicial, en detrimento del necesario carácter subsidiario de esta jurisdicción constitucional.</w:t>
      </w:r>
    </w:p>
    <w:p w14:paraId="7A937A31" w14:textId="77777777" w:rsidR="008D479B" w:rsidRDefault="008D479B" w:rsidP="008D479B">
      <w:pPr>
        <w:pStyle w:val="TextoNormal"/>
      </w:pPr>
    </w:p>
    <w:p w14:paraId="0233452C" w14:textId="77777777" w:rsidR="008D479B" w:rsidRDefault="008D479B" w:rsidP="008D479B">
      <w:pPr>
        <w:pStyle w:val="TextoNormal"/>
      </w:pPr>
      <w:r>
        <w:t>No se justificaba en efecto la interposición del incidente de nulidad, si de lo que se trataba era de plantear ante este tribunal las mismas quejas que ya denunció en sus recursos de reforma y apelación. La jurisprudencia que cita la demanda en su segundo otrosí digo, se refiere a un problema procesal del todo diferente al que nos ocupa: el de la eventual extemporaneidad de la demanda por alargamiento indebido de la vía judicial previa, merced a la interposición de un medio de impugnación calificable como manifiestamente improcedente. Situación esta que en todo caso se suscita antes de interponer la demanda de amparo, no después, que es lo que en cambio ha sucedido aquí. No hay por tanto dudas interpretativas —como pretende excusarse al final la demanda—, sino desconocimiento de la reiterada doctrina constitucional sobre el carácter prematuro del recurso de amparo en estos casos, determinante de su inadmisión, como ya se ha explicado.</w:t>
      </w:r>
    </w:p>
    <w:p w14:paraId="5B9AA1E1" w14:textId="77777777" w:rsidR="008D479B" w:rsidRDefault="008D479B" w:rsidP="008D479B">
      <w:pPr>
        <w:pStyle w:val="TextoNormal"/>
      </w:pPr>
    </w:p>
    <w:p w14:paraId="0744A392" w14:textId="77777777" w:rsidR="008D479B" w:rsidRDefault="008D479B" w:rsidP="008D479B">
      <w:pPr>
        <w:pStyle w:val="TextoNormal"/>
      </w:pPr>
      <w:r>
        <w:t>Y si el interés prevalente con la interposición del incidente de nulidad de actuaciones ante la Sección Octava de la Audiencia Provincial era deducir una queja autónoma contra la falta de motivación reforzada del auto de apelación, tal y como también se contiene en el escrito de nulidad, lo procedente era no interponer la demanda ante nosotros hasta tanto se resolviera dicho incidente y la resolución respectiva fuera desfavorable, que es justo lo contrario de lo que se ha hecho. A fecha de 17 de julio de 2023, por cierto, esa resolución aún no se había dictado —según certificación del letrado de la administración de justicia sustituto de la Sección competente—, aunque tal circunstancia resulta irrelevante a estos efectos.</w:t>
      </w:r>
    </w:p>
    <w:p w14:paraId="1958DC4E" w14:textId="77777777" w:rsidR="008D479B" w:rsidRDefault="008D479B" w:rsidP="008D479B">
      <w:pPr>
        <w:pStyle w:val="TextoNormal"/>
      </w:pPr>
    </w:p>
    <w:p w14:paraId="44C142BD" w14:textId="010861A6" w:rsidR="008D479B" w:rsidRDefault="008D479B" w:rsidP="008D479B">
      <w:pPr>
        <w:pStyle w:val="TextoNormal"/>
      </w:pPr>
      <w:r>
        <w:t xml:space="preserve">Se acuerda por tanto la inadmisión de la demanda de amparo, por no haber cumplido con el requisito del necesario agotamiento de la vía judicial previa </w:t>
      </w:r>
      <w:r w:rsidRPr="008D479B">
        <w:rPr>
          <w:i/>
        </w:rPr>
        <w:t>ex</w:t>
      </w:r>
      <w:r>
        <w:t xml:space="preserve"> art. 44.1 a) LOTC.</w:t>
      </w:r>
    </w:p>
    <w:p w14:paraId="69EE392A" w14:textId="77777777" w:rsidR="008D479B" w:rsidRDefault="008D479B" w:rsidP="008D479B">
      <w:pPr>
        <w:pStyle w:val="TextoNormal"/>
      </w:pPr>
    </w:p>
    <w:p w14:paraId="23782716" w14:textId="77777777" w:rsidR="008D479B" w:rsidRDefault="008D479B" w:rsidP="008D479B">
      <w:pPr>
        <w:pStyle w:val="TextoNormalCentrado"/>
        <w:keepNext/>
      </w:pPr>
      <w:r>
        <w:t>FALLO</w:t>
      </w:r>
    </w:p>
    <w:p w14:paraId="5D7A2D8B" w14:textId="333215B9" w:rsidR="008D479B" w:rsidRDefault="008D479B" w:rsidP="008D479B">
      <w:pPr>
        <w:pStyle w:val="TextoNormalCentrado"/>
        <w:keepNext/>
      </w:pPr>
    </w:p>
    <w:p w14:paraId="1F3615BC" w14:textId="78EC9D2B" w:rsidR="008D479B" w:rsidRDefault="008D479B" w:rsidP="008D479B">
      <w:pPr>
        <w:pStyle w:val="TextoNormal"/>
      </w:pPr>
      <w:r>
        <w:t>En atención a todo lo expuesto, el Tribunal Constitucional, por la autoridad que le confiere la Constitución de la Nación española, ha decidido inadmitir la demanda de amparo presentada.</w:t>
      </w:r>
    </w:p>
    <w:p w14:paraId="16909AF9" w14:textId="77777777" w:rsidR="008D479B" w:rsidRDefault="008D479B" w:rsidP="008D479B">
      <w:pPr>
        <w:pStyle w:val="TextoNormal"/>
      </w:pPr>
    </w:p>
    <w:p w14:paraId="10C3CD7E" w14:textId="77777777" w:rsidR="008D479B" w:rsidRDefault="008D479B" w:rsidP="008D479B">
      <w:pPr>
        <w:pStyle w:val="TextoNormal"/>
      </w:pPr>
      <w:r>
        <w:t>Publíquese esta sentencia en el “Boletín Oficial del Estado”.</w:t>
      </w:r>
    </w:p>
    <w:p w14:paraId="52E4A659" w14:textId="77777777" w:rsidR="008D479B" w:rsidRDefault="008D479B" w:rsidP="008D479B">
      <w:pPr>
        <w:pStyle w:val="TextoNormal"/>
      </w:pPr>
      <w:r>
        <w:t>Dada en Madrid, a veinticinco de septiembre de dos mil veintitrés.</w:t>
      </w:r>
    </w:p>
    <w:p w14:paraId="181E0961" w14:textId="535A890E" w:rsidR="008D479B" w:rsidRDefault="008D479B">
      <w:pPr>
        <w:spacing w:after="160" w:line="278" w:lineRule="auto"/>
        <w:rPr>
          <w:rFonts w:ascii="Times New Roman" w:eastAsia="Times New Roman" w:hAnsi="Times New Roman" w:cs="Times New Roman"/>
          <w:sz w:val="24"/>
          <w:szCs w:val="24"/>
          <w:lang w:eastAsia="es-ES"/>
        </w:rPr>
      </w:pPr>
      <w:r>
        <w:br w:type="page"/>
      </w:r>
    </w:p>
    <w:p w14:paraId="6D54700B" w14:textId="77777777" w:rsidR="008D479B" w:rsidRDefault="008D479B" w:rsidP="008D479B">
      <w:pPr>
        <w:pStyle w:val="TtuloResolucin"/>
      </w:pPr>
      <w:bookmarkStart w:id="49" w:name="SENTENCIA_2023_124"/>
      <w:r>
        <w:t>SENTENCIA 124/2023, de 26 de septiembre de 2023</w:t>
      </w:r>
    </w:p>
    <w:bookmarkEnd w:id="49"/>
    <w:p w14:paraId="732AE6C5" w14:textId="77777777" w:rsidR="008D479B" w:rsidRDefault="008D479B" w:rsidP="008D479B">
      <w:pPr>
        <w:pStyle w:val="TtuloResolucin"/>
      </w:pPr>
      <w:r>
        <w:t>Pleno</w:t>
      </w:r>
    </w:p>
    <w:p w14:paraId="1AC5ECFB" w14:textId="77777777" w:rsidR="008D479B" w:rsidRDefault="008D479B" w:rsidP="008D479B">
      <w:pPr>
        <w:pStyle w:val="TtuloBOE"/>
      </w:pPr>
      <w:r>
        <w:t>(BOE núm. 261, de 1 de noviembre de 2023)</w:t>
      </w:r>
    </w:p>
    <w:p w14:paraId="38C9D4C4" w14:textId="77777777" w:rsidR="008D479B" w:rsidRDefault="008D479B" w:rsidP="008D479B">
      <w:pPr>
        <w:pStyle w:val="TextoNormalCentrado"/>
      </w:pPr>
      <w:r>
        <w:t>ECLI:ES:TC:2023:124</w:t>
      </w:r>
    </w:p>
    <w:p w14:paraId="2ECF8B78" w14:textId="6B26564E" w:rsidR="008D479B" w:rsidRDefault="008D479B" w:rsidP="008D479B">
      <w:pPr>
        <w:pStyle w:val="TextoNormalCentrado"/>
      </w:pPr>
    </w:p>
    <w:p w14:paraId="536E0789" w14:textId="77777777" w:rsidR="008D479B" w:rsidRDefault="008D479B" w:rsidP="008D479B">
      <w:pPr>
        <w:pStyle w:val="SntesisDescriptiva"/>
      </w:pPr>
      <w:r>
        <w:t>Recurso de inconstitucionalidad 614-2022. Interpuesto por más de cincuenta diputados del Grupo Parlamentario Popular en el Congreso de los Diputados en relación con diversos preceptos de la Ley 5/2021, de 5 de noviembre, reguladora del fondo de cooperación municipal de los municipios y entidades locales menores de la Comunitat Valenciana.</w:t>
      </w:r>
    </w:p>
    <w:p w14:paraId="5D947CB4" w14:textId="01D7EB64" w:rsidR="008D479B" w:rsidRDefault="008D479B" w:rsidP="008D479B">
      <w:pPr>
        <w:pStyle w:val="SntesisDescriptiva"/>
      </w:pPr>
    </w:p>
    <w:p w14:paraId="6F3AAD0A" w14:textId="77777777" w:rsidR="008D479B" w:rsidRDefault="008D479B" w:rsidP="008D479B">
      <w:pPr>
        <w:pStyle w:val="SntesisAnaltica"/>
      </w:pPr>
      <w:r>
        <w:t>Principio de autonomía local (autonomía provincial): nulidad de los preceptos legales que establecen las reglas de distribución del fondo de cooperación municipal y prevén el requerimiento al presidente de la diputación provincial para que se respeten las directrices de coordinación del plan sectorial de financiación del fondo. Votos particulares.</w:t>
      </w:r>
    </w:p>
    <w:p w14:paraId="5162A885" w14:textId="66A551A9" w:rsidR="008D479B" w:rsidRDefault="008D479B" w:rsidP="008D479B">
      <w:pPr>
        <w:pStyle w:val="SntesisAnaltica"/>
      </w:pPr>
    </w:p>
    <w:p w14:paraId="76B3F130" w14:textId="186570C6" w:rsidR="008D479B" w:rsidRDefault="008D479B" w:rsidP="008D479B">
      <w:pPr>
        <w:pStyle w:val="Extracto"/>
      </w:pPr>
      <w:r>
        <w:t>1.</w:t>
      </w:r>
      <w:r>
        <w:tab/>
        <w:t>La autonomía local constitucionalmente garantizada es una cualidad intrínseca o definitoria de las propias entidades locales (municipios, provincias e islas), que corresponde desarrollar en sus aspectos básicos al legislador estatal (así cabe derivarlo de la previsión del art. 149.1.18 CE), y regular, de manera más concreta, a los legisladores sectoriales estatal y autonómicos, cada uno en función de las competencias que ostente. Los legisladores sectoriales autonómicos deben respetar la mencionada legislación básica estatal, así como la normativa sobre régimen local prevista en el respectivo estatuto de autonomía [FJ 5].</w:t>
      </w:r>
    </w:p>
    <w:p w14:paraId="5EA7FDAF" w14:textId="77777777" w:rsidR="008D479B" w:rsidRDefault="008D479B" w:rsidP="008D479B">
      <w:pPr>
        <w:pStyle w:val="Extracto"/>
      </w:pPr>
    </w:p>
    <w:p w14:paraId="63AEF38F" w14:textId="4D44EF7F" w:rsidR="008D479B" w:rsidRDefault="008D479B" w:rsidP="008D479B">
      <w:pPr>
        <w:pStyle w:val="Extracto"/>
      </w:pPr>
      <w:r>
        <w:t>2.</w:t>
      </w:r>
      <w:r>
        <w:tab/>
        <w:t>Todos los normadores (básico estatal, sectoriales estatal y autonómicos, y estatuyentes) se encuentran limitados a la hora de legislar por el respeto al contenido constitucional de la autonomía local que cabe derivar fundamentalmente de los arts. 137, 140, 141 y 142 CE; un contenido constitucional que en ningún caso podrán aquellos restringir, pero sí ampliar como consideren conveniente, en ejercicio de sus respectivas atribuciones [FJ 5].</w:t>
      </w:r>
    </w:p>
    <w:p w14:paraId="10EAF611" w14:textId="77777777" w:rsidR="008D479B" w:rsidRDefault="008D479B" w:rsidP="008D479B">
      <w:pPr>
        <w:pStyle w:val="Extracto"/>
      </w:pPr>
    </w:p>
    <w:p w14:paraId="7CC6E57A" w14:textId="60D9292C" w:rsidR="008D479B" w:rsidRDefault="008D479B" w:rsidP="008D479B">
      <w:pPr>
        <w:pStyle w:val="Extracto"/>
      </w:pPr>
      <w:r>
        <w:t>3.</w:t>
      </w:r>
      <w:r>
        <w:tab/>
        <w:t>La comunidad autónoma, cuando se proponga asignar o suprimir competencias locales en ejercicio de sus atribuciones estatutariamente asumidas, debe respetar no solo la garantía constitucional de la autonomía local (arts. 137, 140, 141 y 142 CE), sino también las bases del régimen local establecidas por el legislador estatal (SSTC 214/1989 o 82/2020); así como la regulación sobre régimen local incluida en su estatuto de autonomía, con el alcance que a dicha regulación estatutaria le ha atribuido la doctrina constitucional (SSTC 31/2010 o STC 103/2013) [FJ 5].</w:t>
      </w:r>
    </w:p>
    <w:p w14:paraId="4DF5D2B4" w14:textId="77777777" w:rsidR="008D479B" w:rsidRDefault="008D479B" w:rsidP="008D479B">
      <w:pPr>
        <w:pStyle w:val="Extracto"/>
      </w:pPr>
    </w:p>
    <w:p w14:paraId="449A3332" w14:textId="7DA8FA0D" w:rsidR="008D479B" w:rsidRDefault="008D479B" w:rsidP="008D479B">
      <w:pPr>
        <w:pStyle w:val="Extracto"/>
      </w:pPr>
      <w:r>
        <w:t>4.</w:t>
      </w:r>
      <w:r>
        <w:tab/>
        <w:t>A fin de poder cumplir con la exigencia constitucional de predeterminación, el art. 59.1 LBRL establece una serie de condiciones procedimentales para que se pueda prever la facultad autonómica de coordinación sobre las diputaciones provinciales, de forma que estas puedan conocer, con carácter previo, como va a tener lugar aquella. Tal coordinación debe realizarse mediante la definición concreta y en relación con una materia, servicio o competencia determinados de los intereses generales o comunitarios, a través de planes sectoriales para la fijación de los objetivos y la determinación de las prioridades de la acción pública en la materia correspondiente [FJ 6].</w:t>
      </w:r>
    </w:p>
    <w:p w14:paraId="19553800" w14:textId="77777777" w:rsidR="008D479B" w:rsidRDefault="008D479B" w:rsidP="008D479B">
      <w:pPr>
        <w:pStyle w:val="Extracto"/>
      </w:pPr>
    </w:p>
    <w:p w14:paraId="698BE219" w14:textId="2F1318BF" w:rsidR="008D479B" w:rsidRDefault="008D479B" w:rsidP="008D479B">
      <w:pPr>
        <w:pStyle w:val="Extracto"/>
      </w:pPr>
      <w:r>
        <w:t>5.</w:t>
      </w:r>
      <w:r>
        <w:tab/>
        <w:t>La eventual vulneración de la autonomía provincial en la vertiente del gasto público no deriva del simple hecho de que una ley autonómica conlleve cargas económicas y obligaciones para las diputaciones provinciales, sino del hecho de que en la ley autonómica se determinen aquéllas, sin tener en cuenta la relación existente entre los intereses locales y supralocales concurrentes (STC 82/2020) [FJ 7].</w:t>
      </w:r>
    </w:p>
    <w:p w14:paraId="13AABF99" w14:textId="77777777" w:rsidR="008D479B" w:rsidRDefault="008D479B" w:rsidP="008D479B">
      <w:pPr>
        <w:pStyle w:val="Extracto"/>
      </w:pPr>
    </w:p>
    <w:p w14:paraId="407296B6" w14:textId="07C46C52" w:rsidR="008D479B" w:rsidRDefault="008D479B" w:rsidP="008D479B">
      <w:pPr>
        <w:pStyle w:val="Extracto"/>
      </w:pPr>
      <w:r>
        <w:t>6.</w:t>
      </w:r>
      <w:r>
        <w:tab/>
        <w:t>La autonomía local (que incluye la provincial) en el ámbito económico -y, concretamente, en la vertiente de gasto- puede ser restringida por el Estado y las comunidades autónomas, siempre que esa restricción se lleve a cabo dentro de los límites establecidos en el bloque de la constitucionalidad (STC 109/1998); por ejemplo, en virtud del ejercicio de las facultades de coordinación (STC 82/2020) [FJ 8].</w:t>
      </w:r>
    </w:p>
    <w:p w14:paraId="5A5A2F9D" w14:textId="77777777" w:rsidR="008D479B" w:rsidRDefault="008D479B" w:rsidP="008D479B">
      <w:pPr>
        <w:pStyle w:val="Extracto"/>
      </w:pPr>
    </w:p>
    <w:p w14:paraId="77464617" w14:textId="7CAFC905" w:rsidR="008D479B" w:rsidRDefault="008D479B" w:rsidP="008D479B">
      <w:pPr>
        <w:pStyle w:val="Extracto"/>
      </w:pPr>
      <w:r>
        <w:t>7.</w:t>
      </w:r>
      <w:r>
        <w:tab/>
        <w:t>Las facultades de coordinación implican la fijación de medios y de sistemas de relación que hagan posible la información recíproca, la homogeneidad técnica en determinados aspectos y la acción conjunta de las administraciones coordinadora y coordinada en el ejercicio de sus respectivas competencias, de manera que se logre la integración de actos parciales en la globalidad del sistema para evitar contradicciones y reducir disfunciones que impidan o dificulten el funcionamiento del mismo. Así entendida, la coordinación constituye un límite al pleno ejercicio de las competencias propias de las Corporaciones Locales (SSTC 32/1983 o 27/1987) [FJ 8].</w:t>
      </w:r>
    </w:p>
    <w:p w14:paraId="1F325457" w14:textId="77777777" w:rsidR="008D479B" w:rsidRDefault="008D479B" w:rsidP="008D479B">
      <w:pPr>
        <w:pStyle w:val="Extracto"/>
      </w:pPr>
    </w:p>
    <w:p w14:paraId="1A0ABCC4" w14:textId="5DD8EDEA" w:rsidR="008D479B" w:rsidRDefault="008D479B" w:rsidP="008D479B">
      <w:pPr>
        <w:pStyle w:val="Extracto"/>
      </w:pPr>
      <w:r>
        <w:t>8.</w:t>
      </w:r>
      <w:r>
        <w:tab/>
        <w:t>La comunidad autónoma encuentra límites a la hora de ejercitar la facultad de coordinación que consisten en la prohibición de privar, de manera relevante, a las entidades locales coordinadas -las diputaciones provinciales- de la competencia propia y nuclear de asistencia y cooperación a los municipios de su ámbito territorial, hasta el punto de colocarlas en una posición de subordinación jerárquica o cuasi jerárquica, agotando así su propio ámbito de decisión en la materia [FJ 8].</w:t>
      </w:r>
    </w:p>
    <w:p w14:paraId="412F326B" w14:textId="77777777" w:rsidR="008D479B" w:rsidRDefault="008D479B" w:rsidP="008D479B">
      <w:pPr>
        <w:pStyle w:val="Extracto"/>
      </w:pPr>
    </w:p>
    <w:p w14:paraId="1291EF23" w14:textId="3E3EF274" w:rsidR="008D479B" w:rsidRDefault="008D479B" w:rsidP="008D479B">
      <w:pPr>
        <w:pStyle w:val="Extracto"/>
      </w:pPr>
      <w:r>
        <w:t>9.</w:t>
      </w:r>
      <w:r>
        <w:tab/>
        <w:t>La competencia de las diputaciones provinciales de cooperación y asistencia económica a los municipios de su territorio no puede verse agotada por su canalización a través del fondo de cooperación municipal; por el contrario, debe quedar un amplio margen a las diputaciones provinciales para ejercer dicha competencia autónomamente (SSTC 109/1998 y 105/2019) [FJ 8].</w:t>
      </w:r>
    </w:p>
    <w:p w14:paraId="59E8CA21" w14:textId="77777777" w:rsidR="008D479B" w:rsidRDefault="008D479B" w:rsidP="008D479B">
      <w:pPr>
        <w:pStyle w:val="Extracto"/>
      </w:pPr>
    </w:p>
    <w:p w14:paraId="3F57B391" w14:textId="21E15AA9" w:rsidR="008D479B" w:rsidRDefault="008D479B" w:rsidP="008D479B">
      <w:pPr>
        <w:pStyle w:val="Extracto"/>
      </w:pPr>
      <w:r>
        <w:t>10.</w:t>
      </w:r>
      <w:r>
        <w:tab/>
        <w:t>La obligación autonómica de contribuir a la suficiencia financiera de la hacienda municipal no se puede suplir mediante el expediente de obligar a que sea la hacienda provincial la que nutra económicamente con sus fondos a aquella, si de ese modo se pusiera en riesgo la propia autonomía financiera o presupuestaria provincial [FJ 8].</w:t>
      </w:r>
    </w:p>
    <w:p w14:paraId="3E7D3B14" w14:textId="77777777" w:rsidR="008D479B" w:rsidRDefault="008D479B" w:rsidP="008D479B">
      <w:pPr>
        <w:pStyle w:val="Extracto"/>
      </w:pPr>
    </w:p>
    <w:p w14:paraId="524D181A" w14:textId="0248E49C" w:rsidR="008D479B" w:rsidRDefault="008D479B" w:rsidP="008D479B">
      <w:pPr>
        <w:pStyle w:val="Extracto"/>
      </w:pPr>
      <w:r>
        <w:t>11.</w:t>
      </w:r>
      <w:r>
        <w:tab/>
        <w:t>Sin perjuicio de las facultades autonómicas de impugnación de los actos y acuerdos de las diputaciones provinciales que infrinjan las normas y obligaciones derivadas de la ley impugnada, ningún reparo de constitucionalidad cabe a la posibilidad de requerir a la persona titular de la presidencia de la diputación, para advertirle sobre la comisión de infracciones o para que se respeten las directrices de coordinación, con indicación de las rectificaciones o subsanaciones que procedan; en la medida en que se trata tan solo de una previsión que busca que las directrices de coordinación se cumplan y, dado el caso, que se repare tal incumplimiento [FJ 8].</w:t>
      </w:r>
    </w:p>
    <w:p w14:paraId="099AECA5" w14:textId="77777777" w:rsidR="008D479B" w:rsidRDefault="008D479B" w:rsidP="008D479B">
      <w:pPr>
        <w:pStyle w:val="Extracto"/>
      </w:pPr>
    </w:p>
    <w:p w14:paraId="07F31AD1" w14:textId="77777777" w:rsidR="008D479B" w:rsidRDefault="008D479B" w:rsidP="008D479B">
      <w:pPr>
        <w:pStyle w:val="Extracto"/>
      </w:pPr>
    </w:p>
    <w:p w14:paraId="7B872F8F" w14:textId="77777777" w:rsidR="008D479B" w:rsidRDefault="008D479B" w:rsidP="008D479B">
      <w:pPr>
        <w:pStyle w:val="TextoNormal"/>
      </w:pPr>
      <w: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 ha pronunciado</w:t>
      </w:r>
    </w:p>
    <w:p w14:paraId="23AC9C47" w14:textId="426A1A7E" w:rsidR="008D479B" w:rsidRDefault="008D479B" w:rsidP="008D479B">
      <w:pPr>
        <w:pStyle w:val="TextoNormal"/>
      </w:pPr>
    </w:p>
    <w:p w14:paraId="3C4F6460" w14:textId="77777777" w:rsidR="008D479B" w:rsidRDefault="008D479B" w:rsidP="008D479B">
      <w:pPr>
        <w:pStyle w:val="TextoNormalCentrado"/>
        <w:keepNext/>
      </w:pPr>
      <w:r>
        <w:t>EN NOMBRE DEL REY</w:t>
      </w:r>
    </w:p>
    <w:p w14:paraId="4380969E" w14:textId="371F06A9" w:rsidR="008D479B" w:rsidRDefault="008D479B" w:rsidP="008D479B">
      <w:pPr>
        <w:pStyle w:val="TextoNormalCentrado"/>
        <w:keepNext/>
      </w:pPr>
    </w:p>
    <w:p w14:paraId="11D0F1A6" w14:textId="77777777" w:rsidR="008D479B" w:rsidRDefault="008D479B" w:rsidP="008D479B">
      <w:pPr>
        <w:pStyle w:val="TextoNormalCentrado"/>
        <w:keepNext/>
      </w:pPr>
    </w:p>
    <w:p w14:paraId="690F487E" w14:textId="77777777" w:rsidR="008D479B" w:rsidRDefault="008D479B" w:rsidP="008D479B">
      <w:pPr>
        <w:pStyle w:val="TextoNormal"/>
      </w:pPr>
      <w:r>
        <w:t>la siguiente</w:t>
      </w:r>
    </w:p>
    <w:p w14:paraId="67C343F2" w14:textId="491295F2" w:rsidR="008D479B" w:rsidRDefault="008D479B" w:rsidP="008D479B">
      <w:pPr>
        <w:pStyle w:val="TextoNormal"/>
      </w:pPr>
    </w:p>
    <w:p w14:paraId="381B8D2C" w14:textId="77777777" w:rsidR="008D479B" w:rsidRDefault="008D479B" w:rsidP="008D479B">
      <w:pPr>
        <w:pStyle w:val="TextoNormalCentrado"/>
        <w:keepNext/>
      </w:pPr>
      <w:r>
        <w:t>SENTENCIA</w:t>
      </w:r>
    </w:p>
    <w:p w14:paraId="36538F3C" w14:textId="3EAAC385" w:rsidR="008D479B" w:rsidRDefault="008D479B" w:rsidP="008D479B">
      <w:pPr>
        <w:pStyle w:val="TextoNormalCentrado"/>
        <w:keepNext/>
      </w:pPr>
    </w:p>
    <w:p w14:paraId="7F63F079" w14:textId="77777777" w:rsidR="008D479B" w:rsidRDefault="008D479B" w:rsidP="008D479B">
      <w:pPr>
        <w:pStyle w:val="TextoNormal"/>
      </w:pPr>
      <w:r>
        <w:t>En el recurso de inconstitucionalidad núm. 614-2022, interpuesto por más de cincuenta diputados del Grupo Parlamentario Popular en el Congreso de los Diputados contra el apartado 2 del artículo 2; el inciso “y las diputaciones provinciales” del apartado 1 del artículo 5; el inciso “en el que participarán las diputaciones provinciales” y el inciso “y cada diputación provincial”, del apartado 2 del artículo 5; los apartados 5 y 6 del artículo 5; el artículo 7 y el artículo 8 de la Ley 5/2021, de 5 de noviembre, de la Generalitat, reguladora del fondo de cooperación municipal de los municipios y entidades locales menores de la Comunitat Valenciana. Han comparecido y formulado alegaciones les Corts Valencianes y la Abogacía General de la Generalitat Valenciana. Ha sido ponente la magistrada doña María Luisa Balaguer Callejón.</w:t>
      </w:r>
    </w:p>
    <w:p w14:paraId="0E206DCC" w14:textId="5ED07D4E" w:rsidR="008D479B" w:rsidRDefault="008D479B" w:rsidP="008D479B">
      <w:pPr>
        <w:pStyle w:val="TextoNormal"/>
      </w:pPr>
    </w:p>
    <w:p w14:paraId="1F71B48C" w14:textId="77777777" w:rsidR="008D479B" w:rsidRDefault="008D479B" w:rsidP="008D479B">
      <w:pPr>
        <w:pStyle w:val="TextoNormalNegritaCentrado"/>
        <w:keepNext/>
      </w:pPr>
      <w:r>
        <w:t>I. Antecedentes</w:t>
      </w:r>
    </w:p>
    <w:p w14:paraId="79D37C15" w14:textId="414C1941" w:rsidR="008D479B" w:rsidRDefault="008D479B" w:rsidP="008D479B">
      <w:pPr>
        <w:pStyle w:val="TextoNormalNegritaCentrado"/>
        <w:keepNext/>
      </w:pPr>
    </w:p>
    <w:p w14:paraId="42534D24" w14:textId="77777777" w:rsidR="008D479B" w:rsidRDefault="008D479B" w:rsidP="008D479B">
      <w:pPr>
        <w:pStyle w:val="TextoNormal"/>
      </w:pPr>
      <w:r w:rsidRPr="008D479B">
        <w:rPr>
          <w:rStyle w:val="NumeroAFNegritaCaracter"/>
        </w:rPr>
        <w:t>1</w:t>
      </w:r>
      <w:r>
        <w:t>. Mediante escrito registrado en este tribunal el 31 de enero de 2022, el procurador de los tribunales don Manuel Sánchez-Puelles y González-Carvajal, en nombre y representación de ochenta y siete diputados y diputadas del Grupo Parlamentario Popular del Congreso de los Diputados, y don Jaime Eduardo Olano Vela, en su condición de comisionado, han interpuesto recurso de inconstitucionalidad contra los preceptos arriba referidos de la Ley 5/2021, de 5 de noviembre, de la Generalitat, reguladora del fondo de cooperación municipal de los municipios y entidades locales menores de la Comunitat Valenciana, publicada en el “Diari Oficial de la Generalitat Valenciana” núm. 9212, de 10 de noviembre de 2021, y en el “Boletín Oficial del Estado” núm. 312, de 29 de diciembre de 2021.</w:t>
      </w:r>
    </w:p>
    <w:p w14:paraId="2D225A16" w14:textId="77777777" w:rsidR="008D479B" w:rsidRDefault="008D479B" w:rsidP="008D479B">
      <w:pPr>
        <w:pStyle w:val="TextoNormal"/>
      </w:pPr>
    </w:p>
    <w:p w14:paraId="46520ACE" w14:textId="77777777" w:rsidR="008D479B" w:rsidRDefault="008D479B" w:rsidP="008D479B">
      <w:pPr>
        <w:pStyle w:val="TextoNormal"/>
      </w:pPr>
      <w:r>
        <w:t>Los preceptos impugnados son del siguiente tenor:</w:t>
      </w:r>
    </w:p>
    <w:p w14:paraId="32A36D5C" w14:textId="77777777" w:rsidR="008D479B" w:rsidRDefault="008D479B" w:rsidP="008D479B">
      <w:pPr>
        <w:pStyle w:val="TextoNormal"/>
      </w:pPr>
    </w:p>
    <w:p w14:paraId="246C4BC4" w14:textId="77777777" w:rsidR="008D479B" w:rsidRDefault="008D479B" w:rsidP="008D479B">
      <w:pPr>
        <w:pStyle w:val="TextoNormal"/>
      </w:pPr>
      <w:r>
        <w:t>“Artículo 2. Fines y principios del Fondo de Cooperación Municipal.</w:t>
      </w:r>
    </w:p>
    <w:p w14:paraId="3A19AB07" w14:textId="77777777" w:rsidR="008D479B" w:rsidRDefault="008D479B" w:rsidP="008D479B">
      <w:pPr>
        <w:pStyle w:val="TextoNormal"/>
      </w:pPr>
    </w:p>
    <w:p w14:paraId="27645EBF" w14:textId="77777777" w:rsidR="008D479B" w:rsidRDefault="008D479B" w:rsidP="008D479B">
      <w:pPr>
        <w:pStyle w:val="TextoNormal"/>
      </w:pPr>
      <w:r>
        <w:t>[…]</w:t>
      </w:r>
    </w:p>
    <w:p w14:paraId="48FA3522" w14:textId="77777777" w:rsidR="008D479B" w:rsidRDefault="008D479B" w:rsidP="008D479B">
      <w:pPr>
        <w:pStyle w:val="TextoNormal"/>
      </w:pPr>
    </w:p>
    <w:p w14:paraId="2AD7DBD6" w14:textId="77777777" w:rsidR="008D479B" w:rsidRDefault="008D479B" w:rsidP="008D479B">
      <w:pPr>
        <w:pStyle w:val="TextoNormal"/>
      </w:pPr>
      <w:r>
        <w:t>2. Se declara de interés general de la Comunitat Valenciana, de conformidad con el apartado 3 del artículo 66 del Estatuto de Autonomía de la Comunitat Valenciana, las funciones de asistencia y cooperación jurídica, económica y técnica de las diputaciones provinciales a los municipios, al objeto de la participación de las diputaciones provinciales en la financiación básica de los municipios de la Comunitat Valenciana a través del Fondo de Cooperación Municipal de la Comunitat Valenciana.</w:t>
      </w:r>
    </w:p>
    <w:p w14:paraId="06E5C151" w14:textId="77777777" w:rsidR="008D479B" w:rsidRDefault="008D479B" w:rsidP="008D479B">
      <w:pPr>
        <w:pStyle w:val="TextoNormal"/>
      </w:pPr>
    </w:p>
    <w:p w14:paraId="2E8F776C" w14:textId="77777777" w:rsidR="008D479B" w:rsidRDefault="008D479B" w:rsidP="008D479B">
      <w:pPr>
        <w:pStyle w:val="TextoNormal"/>
      </w:pPr>
      <w:r>
        <w:t>[…]”.</w:t>
      </w:r>
    </w:p>
    <w:p w14:paraId="0703F7FB" w14:textId="77777777" w:rsidR="008D479B" w:rsidRDefault="008D479B" w:rsidP="008D479B">
      <w:pPr>
        <w:pStyle w:val="TextoNormal"/>
      </w:pPr>
    </w:p>
    <w:p w14:paraId="2FB36250" w14:textId="77777777" w:rsidR="008D479B" w:rsidRDefault="008D479B" w:rsidP="008D479B">
      <w:pPr>
        <w:pStyle w:val="TextoNormal"/>
      </w:pPr>
      <w:r>
        <w:t>“Artículo 5. El Plan sectorial de financiación básica del Fondo de Cooperación Municipal.</w:t>
      </w:r>
    </w:p>
    <w:p w14:paraId="23E342D3" w14:textId="77777777" w:rsidR="008D479B" w:rsidRDefault="008D479B" w:rsidP="008D479B">
      <w:pPr>
        <w:pStyle w:val="TextoNormal"/>
      </w:pPr>
    </w:p>
    <w:p w14:paraId="79CCFAF1" w14:textId="77777777" w:rsidR="008D479B" w:rsidRDefault="008D479B" w:rsidP="008D479B">
      <w:pPr>
        <w:pStyle w:val="TextoNormal"/>
      </w:pPr>
      <w:r>
        <w:t>1. Con la obligación de fijar un sistema estable y permanente de financiación de la Generalitat y las diputaciones provinciales a los municipios y las entidades locales menores que prestan servicios públicos esenciales desde la proximidad, y con el fin de garantizar la cobertura de las necesidades básicas de la ciudadanía en el marco de sus competencias, el Consell de la Generalitat, como órgano de coordinación, deberá aprobar durante el primer semestre de cada ejercicio, con la participación de la comisión de colaboración y coordinación prevista en esta ley, el Plan sectorial de financiación básica del Fondo de Cooperación Municipal para el siguiente ejercicio.</w:t>
      </w:r>
    </w:p>
    <w:p w14:paraId="3F003CD5" w14:textId="77777777" w:rsidR="008D479B" w:rsidRDefault="008D479B" w:rsidP="008D479B">
      <w:pPr>
        <w:pStyle w:val="TextoNormal"/>
      </w:pPr>
    </w:p>
    <w:p w14:paraId="0CDE507D" w14:textId="77777777" w:rsidR="008D479B" w:rsidRDefault="008D479B" w:rsidP="008D479B">
      <w:pPr>
        <w:pStyle w:val="TextoNormal"/>
      </w:pPr>
      <w:r>
        <w:t>2. El Plan sectorial de financiación básica del Fondo de Cooperación Municipal, en el que participarán las diputaciones provinciales con la finalidad de armonizar los intereses públicos afectados a través de la comisión de colaboración y coordinación del Fondo de Cooperación Municipal, contendrá, conforme a los datos oficiales a uno de enero del ejercicio en que se apruebe dicho plan, un análisis de la situación de financiación de los municipios y las entidades locales menores de la Comunitat Valenciana, la fijación de los objetivos y de las prioridades estratégicas de esta acción pública, la determinación de las cuantías globales a aportar por la Generalitat y cada diputación provincial y el resto de directrices de coordinación necesarias que se puedan prever reglamentariamente.</w:t>
      </w:r>
    </w:p>
    <w:p w14:paraId="0B56DE78" w14:textId="77777777" w:rsidR="008D479B" w:rsidRDefault="008D479B" w:rsidP="008D479B">
      <w:pPr>
        <w:pStyle w:val="TextoNormal"/>
      </w:pPr>
    </w:p>
    <w:p w14:paraId="2DD66A63" w14:textId="77777777" w:rsidR="008D479B" w:rsidRDefault="008D479B" w:rsidP="008D479B">
      <w:pPr>
        <w:pStyle w:val="TextoNormal"/>
      </w:pPr>
      <w:r>
        <w:t>[…]</w:t>
      </w:r>
    </w:p>
    <w:p w14:paraId="6BB36CD7" w14:textId="77777777" w:rsidR="008D479B" w:rsidRDefault="008D479B" w:rsidP="008D479B">
      <w:pPr>
        <w:pStyle w:val="TextoNormal"/>
      </w:pPr>
    </w:p>
    <w:p w14:paraId="0DD1D0B3" w14:textId="77777777" w:rsidR="008D479B" w:rsidRDefault="008D479B" w:rsidP="008D479B">
      <w:pPr>
        <w:pStyle w:val="TextoNormal"/>
      </w:pPr>
      <w:r>
        <w:t>5. Las diputaciones provinciales, antes de la aprobación de sus proyectos de presupuesto, los pondrán en conocimiento del departamento competente en régimen local, que, en un plazo de quince días, podrá manifestar las objeciones respecto a aquellas previsiones presupuestarias que supongan infracción de las directrices de coordinación.</w:t>
      </w:r>
    </w:p>
    <w:p w14:paraId="4752DD09" w14:textId="77777777" w:rsidR="008D479B" w:rsidRDefault="008D479B" w:rsidP="008D479B">
      <w:pPr>
        <w:pStyle w:val="TextoNormal"/>
      </w:pPr>
    </w:p>
    <w:p w14:paraId="7E10AF00" w14:textId="77777777" w:rsidR="008D479B" w:rsidRDefault="008D479B" w:rsidP="008D479B">
      <w:pPr>
        <w:pStyle w:val="TextoNormal"/>
      </w:pPr>
      <w:r>
        <w:t>Transcurrido dicho plazo sin que se manifiesten objeciones u observaciones, se entenderá evacuado dicho trámite, en el sentido de que el departamento competente en régimen local no aprecia infracción de las directrices de coordinación. Si se produjeran reparos, en los términos del artículo anterior, se pondrán de manifiesto a las diputaciones interesadas para que sean tenidas en cuenta en la aprobación de sus proyectos de presupuesto.</w:t>
      </w:r>
    </w:p>
    <w:p w14:paraId="3A31029A" w14:textId="77777777" w:rsidR="008D479B" w:rsidRDefault="008D479B" w:rsidP="008D479B">
      <w:pPr>
        <w:pStyle w:val="TextoNormal"/>
      </w:pPr>
    </w:p>
    <w:p w14:paraId="09B1EC78" w14:textId="77777777" w:rsidR="008D479B" w:rsidRDefault="008D479B" w:rsidP="008D479B">
      <w:pPr>
        <w:pStyle w:val="TextoNormal"/>
      </w:pPr>
      <w:r>
        <w:t>6. Sin perjuicio de las facultades de impugnación atribuidas a la comunidad autónoma por la legislación vigente en relación con los actos y los acuerdos de las diputaciones provinciales que infrinjan las normas y las obligaciones derivadas de esta ley, el Consell, en aplicación del artículo 66 del Estatuto de Autonomía de la Comunitat Valenciana, podrá requerir a la persona titular de la presidencia de la diputación de que se trate, cuando advierta que dichas infracciones se han cometido, a que respeten las directrices de coordinación, con indicación de las rectificaciones o subsanaciones que procedan.</w:t>
      </w:r>
    </w:p>
    <w:p w14:paraId="107C1370" w14:textId="77777777" w:rsidR="008D479B" w:rsidRDefault="008D479B" w:rsidP="008D479B">
      <w:pPr>
        <w:pStyle w:val="TextoNormal"/>
      </w:pPr>
    </w:p>
    <w:p w14:paraId="0CF69BB1" w14:textId="77777777" w:rsidR="008D479B" w:rsidRDefault="008D479B" w:rsidP="008D479B">
      <w:pPr>
        <w:pStyle w:val="TextoNormal"/>
      </w:pPr>
      <w:r>
        <w:t>[…]”.</w:t>
      </w:r>
    </w:p>
    <w:p w14:paraId="306D4640" w14:textId="77777777" w:rsidR="008D479B" w:rsidRDefault="008D479B" w:rsidP="008D479B">
      <w:pPr>
        <w:pStyle w:val="TextoNormal"/>
      </w:pPr>
    </w:p>
    <w:p w14:paraId="30A2E79E" w14:textId="77777777" w:rsidR="008D479B" w:rsidRDefault="008D479B" w:rsidP="008D479B">
      <w:pPr>
        <w:pStyle w:val="TextoNormal"/>
      </w:pPr>
      <w:r>
        <w:t>“Artículo 7. Reglas de distribución.</w:t>
      </w:r>
    </w:p>
    <w:p w14:paraId="31335BB2" w14:textId="77777777" w:rsidR="008D479B" w:rsidRDefault="008D479B" w:rsidP="008D479B">
      <w:pPr>
        <w:pStyle w:val="TextoNormal"/>
      </w:pPr>
    </w:p>
    <w:p w14:paraId="14CBDD17" w14:textId="77777777" w:rsidR="008D479B" w:rsidRDefault="008D479B" w:rsidP="008D479B">
      <w:pPr>
        <w:pStyle w:val="TextoNormal"/>
      </w:pPr>
      <w:r>
        <w:t>La asignación de los recursos económicos que correspondan a cada entidad beneficiaria se efectuará mediante criterios objetivos que serán objeto de desarrollo reglamentario mediante decreto del Consell, de conformidad con las siguientes reglas de distribución:</w:t>
      </w:r>
    </w:p>
    <w:p w14:paraId="117673E3" w14:textId="77777777" w:rsidR="008D479B" w:rsidRDefault="008D479B" w:rsidP="008D479B">
      <w:pPr>
        <w:pStyle w:val="TextoNormal"/>
      </w:pPr>
    </w:p>
    <w:p w14:paraId="60D02E7F" w14:textId="77777777" w:rsidR="008D479B" w:rsidRDefault="008D479B" w:rsidP="008D479B">
      <w:pPr>
        <w:pStyle w:val="TextoNormal"/>
      </w:pPr>
      <w:r>
        <w:t>a) Anualmente el departamento competente en administración local asignará una cantidad fija por cada uno de los municipios y las entidades locales menores.</w:t>
      </w:r>
    </w:p>
    <w:p w14:paraId="3AE748DA" w14:textId="77777777" w:rsidR="008D479B" w:rsidRDefault="008D479B" w:rsidP="008D479B">
      <w:pPr>
        <w:pStyle w:val="TextoNormal"/>
      </w:pPr>
    </w:p>
    <w:p w14:paraId="12687F5A" w14:textId="77777777" w:rsidR="008D479B" w:rsidRDefault="008D479B" w:rsidP="008D479B">
      <w:pPr>
        <w:pStyle w:val="TextoNormal"/>
      </w:pPr>
      <w:r>
        <w:t>b) El importe restante del fondo se distribuirá en función del número de habitantes de derecho de cada entidad beneficiaria, conforme a las cifras de población oficiales resultantes de la división del padrón municipal referidas al uno de enero del año de aprobación del plan sectorial correspondiente, ponderados mediante coeficientes correctores aplicables por tramos poblacionales de cada entidad beneficiaria, que favorezcan a las entidades de menor población. A estos efectos, no se computarán los habitantes de las entidades locales menores en la población del municipio al que pertenezcan.</w:t>
      </w:r>
    </w:p>
    <w:p w14:paraId="32B08335" w14:textId="77777777" w:rsidR="008D479B" w:rsidRDefault="008D479B" w:rsidP="008D479B">
      <w:pPr>
        <w:pStyle w:val="TextoNormal"/>
      </w:pPr>
    </w:p>
    <w:p w14:paraId="50F067FF" w14:textId="77777777" w:rsidR="008D479B" w:rsidRDefault="008D479B" w:rsidP="008D479B">
      <w:pPr>
        <w:pStyle w:val="TextoNormal"/>
      </w:pPr>
      <w:r>
        <w:t>c) Se establecerá un importe mínimo anual de asignación del fondo para todos los municipios y entidades locales menores para garantizar el acceso a una cantidad de base que permita el desarrollo de los pueblos en más dificultades a consecuencia de factores como el despoblamiento.</w:t>
      </w:r>
    </w:p>
    <w:p w14:paraId="7192F79A" w14:textId="77777777" w:rsidR="008D479B" w:rsidRDefault="008D479B" w:rsidP="008D479B">
      <w:pPr>
        <w:pStyle w:val="TextoNormal"/>
      </w:pPr>
    </w:p>
    <w:p w14:paraId="489F8E12" w14:textId="77777777" w:rsidR="008D479B" w:rsidRDefault="008D479B" w:rsidP="008D479B">
      <w:pPr>
        <w:pStyle w:val="TextoNormal"/>
      </w:pPr>
      <w:r>
        <w:t>[…]”.</w:t>
      </w:r>
    </w:p>
    <w:p w14:paraId="01AE5487" w14:textId="77777777" w:rsidR="008D479B" w:rsidRDefault="008D479B" w:rsidP="008D479B">
      <w:pPr>
        <w:pStyle w:val="TextoNormal"/>
      </w:pPr>
    </w:p>
    <w:p w14:paraId="0963A01C" w14:textId="77777777" w:rsidR="008D479B" w:rsidRDefault="008D479B" w:rsidP="008D479B">
      <w:pPr>
        <w:pStyle w:val="TextoNormal"/>
      </w:pPr>
      <w:r>
        <w:t>“Artículo 8. Participación de las diputaciones provinciales.</w:t>
      </w:r>
    </w:p>
    <w:p w14:paraId="3E6045D2" w14:textId="77777777" w:rsidR="008D479B" w:rsidRDefault="008D479B" w:rsidP="008D479B">
      <w:pPr>
        <w:pStyle w:val="TextoNormal"/>
      </w:pPr>
    </w:p>
    <w:p w14:paraId="556B57BE" w14:textId="77777777" w:rsidR="008D479B" w:rsidRDefault="008D479B" w:rsidP="008D479B">
      <w:pPr>
        <w:pStyle w:val="TextoNormal"/>
      </w:pPr>
      <w:r>
        <w:t>1. Las diputaciones de Alicante, Castellón y Valencia, como entidades locales de la Comunitat Valenciana, en el ejercicio de sus competencias propias, participarán, a través de sus presupuestos anuales, en el Fondo de cooperación municipal incondicionado de la Comunitat Valenciana, mediante las aportaciones dinerarias previstas en el artículo 2.2 de la Ley 38/2003, de 17 de noviembre, general de subvenciones.</w:t>
      </w:r>
    </w:p>
    <w:p w14:paraId="558001B7" w14:textId="77777777" w:rsidR="008D479B" w:rsidRDefault="008D479B" w:rsidP="008D479B">
      <w:pPr>
        <w:pStyle w:val="TextoNormal"/>
      </w:pPr>
    </w:p>
    <w:p w14:paraId="7CDFA140" w14:textId="6CFA87C9" w:rsidR="008D479B" w:rsidRDefault="008D479B" w:rsidP="008D479B">
      <w:pPr>
        <w:pStyle w:val="TextoNormal"/>
      </w:pPr>
      <w:r>
        <w:t>2. Las diputaciones provinciales, o sus administraciones públicas dependientes, proveerán de los recursos propios y adecuados a los objetivos del fondo las dotaciones aprobadas en el Plan sectorial de financiación básica del Fondo de Cooperación Municipal para transferir a los municipios y las entidades locales menores de su provincia, distribuyendo las cuantías correspondientes en su respectivo ámbito provincial y utilizando las mismas reglas de distribución, de conformidad con el principio de equidad territorial, con el objeto de garantizar que toda la ciudadanía reciba un nivel mínimo de prestaciones en los servicios públicos locales”.</w:t>
      </w:r>
    </w:p>
    <w:p w14:paraId="1D31DBA1" w14:textId="77777777" w:rsidR="008D479B" w:rsidRDefault="008D479B" w:rsidP="008D479B">
      <w:pPr>
        <w:pStyle w:val="TextoNormal"/>
      </w:pPr>
    </w:p>
    <w:p w14:paraId="217BC891" w14:textId="77777777" w:rsidR="008D479B" w:rsidRDefault="008D479B" w:rsidP="008D479B">
      <w:pPr>
        <w:pStyle w:val="TextoNormal"/>
      </w:pPr>
      <w:r w:rsidRPr="008D479B">
        <w:rPr>
          <w:rStyle w:val="NumeroAFNegritaCaracter"/>
        </w:rPr>
        <w:t>2</w:t>
      </w:r>
      <w:r>
        <w:t>. Los motivos del recurso de inconstitucionalidad, expuestos de manera sucinta, son los siguientes:</w:t>
      </w:r>
    </w:p>
    <w:p w14:paraId="7875BFB0" w14:textId="77777777" w:rsidR="008D479B" w:rsidRDefault="008D479B" w:rsidP="008D479B">
      <w:pPr>
        <w:pStyle w:val="TextoNormal"/>
      </w:pPr>
    </w:p>
    <w:p w14:paraId="55ED2BC9" w14:textId="77777777" w:rsidR="008D479B" w:rsidRDefault="008D479B" w:rsidP="008D479B">
      <w:pPr>
        <w:pStyle w:val="TextoNormal"/>
      </w:pPr>
      <w:r>
        <w:t>a) Tras identificar cuáles son los preceptos objeto de impugnación, los recurrentes señalan que la nota común a todos ellos se refiere a la participación forzosa de las diputaciones provinciales de la Comunitat Valenciana en el fondo de cooperación municipal que crea la Ley 5/2021. De ahí que el principal motivo del recurso sea la “conculcación de la garantía constitucional de autonomía provincial, reconocida en los arts. 137 y 141 CE, así como en extensa jurisprudencia de este tribunal”, a lo que se ha de sumar “la contravención de otras normas que integran el bloque de constitucionalidad, a saber: el artículo 64.3 del Estatuto de Autonomía de la Comunitat Valenciana (EACV), en relación con el texto refundido de la Ley reguladora de haciendas locales; así como la Ley 7/1985, de 2 de abril, reguladora de las bases de régimen local”.</w:t>
      </w:r>
    </w:p>
    <w:p w14:paraId="7F3F2836" w14:textId="77777777" w:rsidR="008D479B" w:rsidRDefault="008D479B" w:rsidP="008D479B">
      <w:pPr>
        <w:pStyle w:val="TextoNormal"/>
      </w:pPr>
    </w:p>
    <w:p w14:paraId="2144E8AF" w14:textId="77777777" w:rsidR="008D479B" w:rsidRDefault="008D479B" w:rsidP="008D479B">
      <w:pPr>
        <w:pStyle w:val="TextoNormal"/>
      </w:pPr>
      <w:r>
        <w:t>b) En primer lugar, se denuncia que la ley impugnada atenta contra la garantía institucional de autonomía provincial, expresamente reconocida en la Constitución, tal y como ha quedado definida por este tribunal. Una doctrina que, como se señala en el recurso, resume la STC 240/2006 (con cita de sentencias anteriores: SSTC 4/1981, 32/1981, 27/1987, 51/2004, y 252/2005), y en cuya virtud, se entiende que la autonomía local es “positivamente, un derecho de la comunidad local a la participación, a través de los órganos propios, en el gobierno y administración de cuantos asuntos le atañen ... negativamente la autonomía no se garantiza por la CE para incidir de forma negativa sobre los intereses generales de la nación o en otros intereses generales distintos de la propia entidad”.</w:t>
      </w:r>
    </w:p>
    <w:p w14:paraId="5A60703E" w14:textId="77777777" w:rsidR="008D479B" w:rsidRDefault="008D479B" w:rsidP="008D479B">
      <w:pPr>
        <w:pStyle w:val="TextoNormal"/>
      </w:pPr>
    </w:p>
    <w:p w14:paraId="060558DE" w14:textId="77777777" w:rsidR="008D479B" w:rsidRDefault="008D479B" w:rsidP="008D479B">
      <w:pPr>
        <w:pStyle w:val="TextoNormal"/>
      </w:pPr>
      <w:r>
        <w:t>Según el Tribunal, “[e]l artículo 137 CE, reconoce autonomía a las diputaciones provinciales para la gestión de sus respectivos intereses”; tal autonomía, se configura como “poder limitado; autonomía no es soberanía, ni puede aquel principio oponerse al de unidad, pues cada organización territorial dotada de soberanía es parte del todo (STC 2 febrero de 1981)”.</w:t>
      </w:r>
    </w:p>
    <w:p w14:paraId="23B8B68A" w14:textId="77777777" w:rsidR="008D479B" w:rsidRDefault="008D479B" w:rsidP="008D479B">
      <w:pPr>
        <w:pStyle w:val="TextoNormal"/>
      </w:pPr>
    </w:p>
    <w:p w14:paraId="41D749C5" w14:textId="77777777" w:rsidR="008D479B" w:rsidRDefault="008D479B" w:rsidP="008D479B">
      <w:pPr>
        <w:pStyle w:val="TextoNormal"/>
      </w:pPr>
      <w:r>
        <w:t>Para los recurrentes, la protección del núcleo de esa autonomía de los entes locales permite invocar una garantía respecto de los actos del legislador, tanto desde una perspectiva positiva “respeto del núcleo esencial de la autonomía local” como negativa “mecanismos reactivos de protección de ese núcleo esencial contra los actos del legislador”.</w:t>
      </w:r>
    </w:p>
    <w:p w14:paraId="5A8E7DB9" w14:textId="77777777" w:rsidR="008D479B" w:rsidRDefault="008D479B" w:rsidP="008D479B">
      <w:pPr>
        <w:pStyle w:val="TextoNormal"/>
      </w:pPr>
    </w:p>
    <w:p w14:paraId="25D8C4FE" w14:textId="77777777" w:rsidR="008D479B" w:rsidRDefault="008D479B" w:rsidP="008D479B">
      <w:pPr>
        <w:pStyle w:val="TextoNormal"/>
      </w:pPr>
      <w:r>
        <w:t>Esta configuración de la autonomía local admite el establecimiento de mecanismos de intervención autonómica que la limiten (STC 107/2017), siempre y cuando los mismos tengan como finalidad la satisfacción de intereses públicos superiores y se adopten desde el estricto cumplimiento de una serie de condiciones y requisitos. Entre ellos, se encuentra la facultad de coordinación por la comunidad autónoma [que tiene su fundamento en la Ley reguladora de las bases de régimen local (LBRL) y, en este concreto caso, también en el EACV]; una facultad que, en ningún caso, podrá alterar la titularidad y el ejercicio de las competencias propias de los entes locales (en el caso presente, singularmente, de las diputaciones provinciales).</w:t>
      </w:r>
    </w:p>
    <w:p w14:paraId="0346DD59" w14:textId="77777777" w:rsidR="008D479B" w:rsidRDefault="008D479B" w:rsidP="008D479B">
      <w:pPr>
        <w:pStyle w:val="TextoNormal"/>
      </w:pPr>
    </w:p>
    <w:p w14:paraId="3D222B81" w14:textId="77777777" w:rsidR="008D479B" w:rsidRDefault="008D479B" w:rsidP="008D479B">
      <w:pPr>
        <w:pStyle w:val="TextoNormal"/>
      </w:pPr>
      <w:r>
        <w:t>Según alegan los recurrentes, aun siendo de aplicación al supuesto presente una parte de la fundamentación contenida en la STC 82/2020 (en particular, la que se refiere al análisis de la configuración constitucional de la autonomía local y suficiencia financiera de las diputaciones: fundamentos jurídicos 5 y 7), no es aplicable la concreción que se realiza de tales fundamentos en la sentencia pues esta se refiere a la competencia en materia de servicios sociales de la comunidad autónoma y su incidencia en el ámbito competencial local —con la atribución de competencias a las entidades locales y la necesidad de coordinación—, que es netamente distinta a las cuestiones competenciales que atañen a la norma que aquí se impugna. Por ello, las conclusiones a las que llegó el Tribunal en aquella sentencia no pueden extrapolarse al supuesto presente, no solo por tratarse de diferentes competencias sino porque tampoco subyace el mismo interés general (obvio en materia de servicios sociales y su necesidad de coordinación, pero de naturaleza y dimensión diferente en el caso de la asistencia y cooperación jurídica, económica y técnica a municipios).</w:t>
      </w:r>
    </w:p>
    <w:p w14:paraId="087C23E1" w14:textId="77777777" w:rsidR="008D479B" w:rsidRDefault="008D479B" w:rsidP="008D479B">
      <w:pPr>
        <w:pStyle w:val="TextoNormal"/>
      </w:pPr>
    </w:p>
    <w:p w14:paraId="00363084" w14:textId="77777777" w:rsidR="008D479B" w:rsidRDefault="008D479B" w:rsidP="008D479B">
      <w:pPr>
        <w:pStyle w:val="TextoNormal"/>
      </w:pPr>
      <w:r>
        <w:t>El art. 66.3 EACV prevé la coordinación de funciones propias de las diputaciones que sean de interés general de la Comunitat Valenciana, y el art. 2.2 de la Ley cuestionada declara de interés general de la comunidad las funciones de asistencia y cooperación jurídica, económica y técnica de las diputaciones provinciales a los municipios, pese a ser esta una función determinada dentro del ámbito competencial de las diputaciones en el art. 36.1 b) LBRL. No existe en la norma justificación alguna para tal declaración de interés general respecto de competencias que, en principio, responden a las relaciones ordinarias de prestación de servicios por parte de las diputaciones a los ayuntamientos. Esa declaración solo se justifica en el cumplimiento del requisito previsto en el art. 66.3 EACV, a efectos de establecer las facultades de coordinación de tales funciones. Pero tal declaración, en sí misma, debe responder —tal y como exige la ley básica estatal— a una justificación material, y no solo como exigencia para la coordinación, so pena de incurrir en un vicio de arbitrariedad constitucionalmente vedado. La ley impugnada no puede, escudándose en ese “interés general”, sustraer unas competencias que son propias de las diputaciones provinciales, afectando así al núcleo esencial de la autonomía local.</w:t>
      </w:r>
    </w:p>
    <w:p w14:paraId="43B1D1F0" w14:textId="77777777" w:rsidR="008D479B" w:rsidRDefault="008D479B" w:rsidP="008D479B">
      <w:pPr>
        <w:pStyle w:val="TextoNormal"/>
      </w:pPr>
    </w:p>
    <w:p w14:paraId="04FD219D" w14:textId="77777777" w:rsidR="008D479B" w:rsidRDefault="008D479B" w:rsidP="008D479B">
      <w:pPr>
        <w:pStyle w:val="TextoNormal"/>
      </w:pPr>
      <w:r>
        <w:t>Las facultades de coordinación impuestas se centran en la participación obligatoria de las diputaciones en el fondo de cooperación municipal, verdadero objeto de la ley impugnada. Se trata de la aportación de recursos de las diputaciones al citado fondo, de manera que lo que se declara de “interés general” —y sometido a coordinación— son los propios recursos económicos de las diputaciones, al tener como finalidad única, la totalidad de la norma, establecer unos mecanismos para disponer de tales recursos, creando un plan sectorial y una comisión de coordinación, que suponen la excusa del cumplimiento de las formalidades exigibles por la doctrina constitucional.</w:t>
      </w:r>
    </w:p>
    <w:p w14:paraId="4074EB9E" w14:textId="77777777" w:rsidR="008D479B" w:rsidRDefault="008D479B" w:rsidP="008D479B">
      <w:pPr>
        <w:pStyle w:val="TextoNormal"/>
      </w:pPr>
    </w:p>
    <w:p w14:paraId="68011583" w14:textId="77777777" w:rsidR="008D479B" w:rsidRDefault="008D479B" w:rsidP="008D479B">
      <w:pPr>
        <w:pStyle w:val="TextoNormal"/>
      </w:pPr>
      <w:r>
        <w:t>Por otro lado, se destaca en el recurso que el núcleo de la actividad de asistencia y cooperación a los municipios por las diputaciones provinciales tiene como modelo de ejercicio la cooperación entre administraciones, a lo que resulta extraña la imposición de facultades de coordinación. Así se ha reconocido en la STC 109/1998, de 21 de mayo, en donde se deja constancia de que esta actividad propia de las diputaciones se traduce “en la cooperación económica a la realización de las obras y servicios municipales, que es llevada a la práctica a través del ejercicio de su capacidad financiera o de gasto público por parte del ente provincial. Es esta actuación cooperadora, pues, la que cabe identificar como el núcleo de la autonomía provincial” (FJ 2). Y esta función de asistencia y cooperación es indisoluble del ejercicio pleno de su autonomía financiera, por lo que una limitación de esta implica un límite a la primera, que afecta directamente al núcleo de la autonomía provincial (STC 102/2013, de 25 de abril).</w:t>
      </w:r>
    </w:p>
    <w:p w14:paraId="6BC25462" w14:textId="77777777" w:rsidR="008D479B" w:rsidRDefault="008D479B" w:rsidP="008D479B">
      <w:pPr>
        <w:pStyle w:val="TextoNormal"/>
      </w:pPr>
    </w:p>
    <w:p w14:paraId="065AD5CE" w14:textId="77777777" w:rsidR="008D479B" w:rsidRDefault="008D479B" w:rsidP="008D479B">
      <w:pPr>
        <w:pStyle w:val="TextoNormal"/>
      </w:pPr>
      <w:r>
        <w:t>Precisamente, es esto lo que se denuncia en el recurso: la norma autonómica sustrae a las diputaciones las competencias reconocidas en la norma básica estatal [art. 36.1 b) LBRL], puesto que las decisiones determinantes de su ejercicio son adoptadas por una comisión formada por quince miembros [en realidad, son dieciocho], entre los que cada diputación tiene dos representantes. De este modo, la decisión (determinar con carácter anual las cuantías a consignar presupuestariamente en el fondo de cooperación municipal) deja de estar a disposición del titular de la competencia. Así pues, según alegan los recurrentes, dado que el ejercicio de la función de asistencia y cooperación de las diputaciones a los ayuntamientos tiene como elemento nuclear la decisión de disponer de los recursos y como disponer de ellos, si se les sustrae esta facultad se conculca la garantía de la autonomía provincial.</w:t>
      </w:r>
    </w:p>
    <w:p w14:paraId="6AC6233D" w14:textId="77777777" w:rsidR="008D479B" w:rsidRDefault="008D479B" w:rsidP="008D479B">
      <w:pPr>
        <w:pStyle w:val="TextoNormal"/>
      </w:pPr>
    </w:p>
    <w:p w14:paraId="4B50E0E3" w14:textId="77777777" w:rsidR="008D479B" w:rsidRDefault="008D479B" w:rsidP="008D479B">
      <w:pPr>
        <w:pStyle w:val="TextoNormal"/>
      </w:pPr>
      <w:r>
        <w:t>En su opinión, la coordinación excede, de este modo, los límites de dirección y establecimiento de medidas armonizadoras, para hacer desaparecer la titularidad de la competencia en favor de una mayoría formada por la administración autonómica y otros entes locales (municipios y resto de diputaciones), lo que supone transgredir el núcleo esencial de la autonomía local de las diputaciones. Y esa transgresión se evidencia también en su autonomía financiera (art. 142 CE), tanto desde la vertiente de los ingresos como desde la de los gastos, pues, al condicionar los recursos de la diputación por la aportación de determinados fondos, se condiciona también el presupuesto provincial y, por otra parte, se constriñe, hasta su desaparición, el ejercicio de competencias propias, pues no se garantiza la suficiencia financiera de recursos para ejercerlas.</w:t>
      </w:r>
    </w:p>
    <w:p w14:paraId="6804473B" w14:textId="77777777" w:rsidR="008D479B" w:rsidRDefault="008D479B" w:rsidP="008D479B">
      <w:pPr>
        <w:pStyle w:val="TextoNormal"/>
      </w:pPr>
    </w:p>
    <w:p w14:paraId="13CDDEBD" w14:textId="77777777" w:rsidR="008D479B" w:rsidRDefault="008D479B" w:rsidP="008D479B">
      <w:pPr>
        <w:pStyle w:val="TextoNormal"/>
      </w:pPr>
      <w:r>
        <w:t>Asimismo, según alegan los recurrentes, al supeditar el presupuesto provincial a la participación en el fondo, se produce una intromisión tanto en la elaboración del presupuesto (pues todo él queda condicionado a tal fondo), como en la decisión de disponer de los recursos para el ejercicio de las restantes competencias propias de la diputación, viéndose afectado, de igual modo, el principio de suficiencia financiera de las haciendas locales, que implica que la atribución de competencias deberá estar indisolublemente unida a la garantía de los recursos financieros para acometerlas, siendo responsabilidad de la administración autonómica dotar de recursos económicos suficientes a los entes locales —léase diputaciones— como reconoce el Estatuto de Autonomía y la Carta europea de la autonomía local (artículo 9.1).</w:t>
      </w:r>
    </w:p>
    <w:p w14:paraId="3C74C03B" w14:textId="77777777" w:rsidR="008D479B" w:rsidRDefault="008D479B" w:rsidP="008D479B">
      <w:pPr>
        <w:pStyle w:val="TextoNormal"/>
      </w:pPr>
    </w:p>
    <w:p w14:paraId="1503D62F" w14:textId="77777777" w:rsidR="008D479B" w:rsidRDefault="008D479B" w:rsidP="008D479B">
      <w:pPr>
        <w:pStyle w:val="TextoNormal"/>
      </w:pPr>
      <w:r>
        <w:t>Por último, se refiere la demanda a la incidencia de los preceptos impugnados en la autonomía de gasto (la capacidad genérica de determinar y ordenar bajo la propia responsabilidad los gastos necesarios para el ejercicio de sus competencias). A tal efecto, se invoca lo establecido en la STC 82/2020 “la autonomía de gasto no entraña solo la libertad de los órganos de gobierno en cuanto a la fijación del destino y orientación del gasto público sino también para su cuantificación y distribución dentro del marco de sus competencias”, para derivar de ahí que dicha vertiente de gasto de la autonomía financiera de las diputaciones entraña dos exigencias:</w:t>
      </w:r>
    </w:p>
    <w:p w14:paraId="62A1EF6E" w14:textId="77777777" w:rsidR="008D479B" w:rsidRDefault="008D479B" w:rsidP="008D479B">
      <w:pPr>
        <w:pStyle w:val="TextoNormal"/>
      </w:pPr>
    </w:p>
    <w:p w14:paraId="3787794F" w14:textId="77777777" w:rsidR="008D479B" w:rsidRDefault="008D479B" w:rsidP="008D479B">
      <w:pPr>
        <w:pStyle w:val="TextoNormal"/>
      </w:pPr>
      <w:r>
        <w:t>(1) La plena disponibilidad por las corporaciones locales de sus ingresos sin condicionamientos indebidos y en toda su extensión, para ejercer las competencias propias.</w:t>
      </w:r>
    </w:p>
    <w:p w14:paraId="0034A499" w14:textId="77777777" w:rsidR="008D479B" w:rsidRDefault="008D479B" w:rsidP="008D479B">
      <w:pPr>
        <w:pStyle w:val="TextoNormal"/>
      </w:pPr>
    </w:p>
    <w:p w14:paraId="1FFF5847" w14:textId="77777777" w:rsidR="008D479B" w:rsidRDefault="008D479B" w:rsidP="008D479B">
      <w:pPr>
        <w:pStyle w:val="TextoNormal"/>
      </w:pPr>
      <w:r>
        <w:t>(2) La capacidad de decisión sobre el destino de sus fondos también sin condicionamientos indebidos.</w:t>
      </w:r>
    </w:p>
    <w:p w14:paraId="3540581E" w14:textId="77777777" w:rsidR="008D479B" w:rsidRDefault="008D479B" w:rsidP="008D479B">
      <w:pPr>
        <w:pStyle w:val="TextoNormal"/>
      </w:pPr>
    </w:p>
    <w:p w14:paraId="533B575D" w14:textId="77777777" w:rsidR="008D479B" w:rsidRDefault="008D479B" w:rsidP="008D479B">
      <w:pPr>
        <w:pStyle w:val="TextoNormal"/>
      </w:pPr>
      <w:r>
        <w:t>Exigencias estas que no se podrían ver satisfechas si, como prevén los preceptos impugnados, el presupuesto de la diputación quedara predeterminado por parte de la comisión con respecto a las aportaciones al fondo de cooperación municipal, lo que supondría una afectación del núcleo esencial de la autonomía provincial, constitucionalmente garantizado.</w:t>
      </w:r>
    </w:p>
    <w:p w14:paraId="7EF86642" w14:textId="77777777" w:rsidR="008D479B" w:rsidRDefault="008D479B" w:rsidP="008D479B">
      <w:pPr>
        <w:pStyle w:val="TextoNormal"/>
      </w:pPr>
    </w:p>
    <w:p w14:paraId="04BEA4BF" w14:textId="77777777" w:rsidR="008D479B" w:rsidRDefault="008D479B" w:rsidP="008D479B">
      <w:pPr>
        <w:pStyle w:val="TextoNormal"/>
      </w:pPr>
      <w:r>
        <w:t>c) En segundo término, denuncia el recurso la infracción del Estatuto de Autonomía de la Comunidad Valenciana, en relación con el texto refundido de la Ley reguladora de las haciendas locales (TRLHL) del año 2004.</w:t>
      </w:r>
    </w:p>
    <w:p w14:paraId="7258A459" w14:textId="77777777" w:rsidR="008D479B" w:rsidRDefault="008D479B" w:rsidP="008D479B">
      <w:pPr>
        <w:pStyle w:val="TextoNormal"/>
      </w:pPr>
    </w:p>
    <w:p w14:paraId="73FB9A54" w14:textId="77777777" w:rsidR="008D479B" w:rsidRDefault="008D479B" w:rsidP="008D479B">
      <w:pPr>
        <w:pStyle w:val="TextoNormal"/>
      </w:pPr>
      <w:r>
        <w:t>Tal y como se señaló anteriormente, según los recurrentes, se habría producido una infracción del art. 66.3 EACV, que dispone la regla general para el establecimiento de fórmulas autonómicas de coordinación de las diputaciones, así como del art. 64.3 EACV, que mandata a las Cortes Valencianas para que mediante una ley creen el fondo de cooperación municipal de la Comunitat Valenciana “con los mismos criterios que el fondo estatal”. Esta última condición exige acudir a lo previsto en los arts. 118 y ss. TRLHL, que prevén la creación de un fondo complementario de financiación de los entes locales y los criterios para su distribución. Además, por analogía con la norma estatal, se ha de entender que la razón de ser del fondo de cooperación valenciano radica en la participación en los tributos autonómicos o en la recaudación autonómica de los tributos cedidos.</w:t>
      </w:r>
    </w:p>
    <w:p w14:paraId="7443EBA0" w14:textId="77777777" w:rsidR="008D479B" w:rsidRDefault="008D479B" w:rsidP="008D479B">
      <w:pPr>
        <w:pStyle w:val="TextoNormal"/>
      </w:pPr>
    </w:p>
    <w:p w14:paraId="2DCF78D3" w14:textId="77777777" w:rsidR="008D479B" w:rsidRDefault="008D479B" w:rsidP="008D479B">
      <w:pPr>
        <w:pStyle w:val="TextoNormal"/>
      </w:pPr>
      <w:r>
        <w:t>Esa voluntad del legislador estatutario favorable a la existencia de un fondo de cooperación en el que se redistribuya entre los municipios una parte de los ingresos tributarios de la Generalitat Valenciana no puede ser soslayada por el legislador autonómico ordinario, tal y como lo ha sido en un doble sentido: (i) porque el criterio de distribución de los fondos no se adecua a lo previsto en el TRLHL; y (ii) porque no se ha legislado sobre la participación de los municipios en los tributos de la Generalitat, sino que se han incluido para la configuración del fondo de cooperación también los recursos ordinarios de las diputaciones.</w:t>
      </w:r>
    </w:p>
    <w:p w14:paraId="3EA8CE0D" w14:textId="77777777" w:rsidR="008D479B" w:rsidRDefault="008D479B" w:rsidP="008D479B">
      <w:pPr>
        <w:pStyle w:val="TextoNormal"/>
      </w:pPr>
    </w:p>
    <w:p w14:paraId="43AF1311" w14:textId="77777777" w:rsidR="008D479B" w:rsidRDefault="008D479B" w:rsidP="008D479B">
      <w:pPr>
        <w:pStyle w:val="TextoNormal"/>
      </w:pPr>
      <w:r>
        <w:t>Atendiendo a las previsiones de los arts. 118 y 122 TRLHL, resulta evidente —según los recurrentes— que el fondo que se impone mediante la norma recurrida no guarda similitud en la configuración de sus ingresos con el fondo estatal, cuyos criterios han de servir de base para la legislación autonómica de acuerdo con el EACV.</w:t>
      </w:r>
    </w:p>
    <w:p w14:paraId="4B12A674" w14:textId="77777777" w:rsidR="008D479B" w:rsidRDefault="008D479B" w:rsidP="008D479B">
      <w:pPr>
        <w:pStyle w:val="TextoNormal"/>
      </w:pPr>
    </w:p>
    <w:p w14:paraId="3A2BA652" w14:textId="77777777" w:rsidR="008D479B" w:rsidRDefault="008D479B" w:rsidP="008D479B">
      <w:pPr>
        <w:pStyle w:val="TextoNormal"/>
      </w:pPr>
      <w:r>
        <w:t>Por otra parte, en cuanto a la distribución de los fondos, nos encontramos de nuevo, al parecer de los recurrentes, ante una contradicción clara entre los parcos criterios del art. 7 de la ley impugnada y el exquisito grado de concreción de la norma estatal, lo que lleva a determinar que aquel no puede superar el canon de constitucionalidad al contravenir expresamente el mandato estatutario de adecuación a los criterios del fondo estatal.</w:t>
      </w:r>
    </w:p>
    <w:p w14:paraId="700F61DB" w14:textId="77777777" w:rsidR="008D479B" w:rsidRDefault="008D479B" w:rsidP="008D479B">
      <w:pPr>
        <w:pStyle w:val="TextoNormal"/>
      </w:pPr>
    </w:p>
    <w:p w14:paraId="37256233" w14:textId="77777777" w:rsidR="008D479B" w:rsidRDefault="008D479B" w:rsidP="008D479B">
      <w:pPr>
        <w:pStyle w:val="TextoNormal"/>
      </w:pPr>
      <w:r>
        <w:t>d) En tercer lugar, denuncian los diputados recurrentes la vulneración de la Ley reguladora de las bases de régimen local. Tras una exposición sobre el concepto del “bloque de constitucionalidad”, sostienen que quedan incluidos dentro del mismo tanto los estatutos de autonomía, como, en el enjuiciamiento de las leyes ordinarias u otras normas análogas en rango, las leyes orgánicas, por mandato mismo de la Ley Orgánica del Tribunal Constitucional. Por el contrario, resulta más controvertido incluir en el bloque de constitucionalidad las normas que tienen naturaleza de ley ordinaria, aunque por su contenido gocen de una posición algo singular en el ordenamiento jurídico, como sería el caso de las denominadas leyes de bases y, en particular, de la Ley reguladora de las bases del régimen local, norma institucional básica de la administración local española.</w:t>
      </w:r>
    </w:p>
    <w:p w14:paraId="7E457337" w14:textId="77777777" w:rsidR="008D479B" w:rsidRDefault="008D479B" w:rsidP="008D479B">
      <w:pPr>
        <w:pStyle w:val="TextoNormal"/>
      </w:pPr>
    </w:p>
    <w:p w14:paraId="7AC88275" w14:textId="77777777" w:rsidR="008D479B" w:rsidRDefault="008D479B" w:rsidP="008D479B">
      <w:pPr>
        <w:pStyle w:val="TextoNormal"/>
      </w:pPr>
      <w:r>
        <w:t>Apoyándose en las SSTC 27/1987, de 27 de febrero, y 214/1989, de 21 de diciembre (aunque se cita erróneamente como sentencia de 22 de diciembre de 1989), los demandantes entienden que el Tribunal Constitucional ha considerado que la Ley reguladora de las bases de régimen local es una de las normas integrantes del bloque de constitucionalidad. A tal efecto, señalan que, ante la insuficiencia del concepto de garantía institucional para garantizar la autonomía local constitucionalizada, el Tribunal Constitucional entiende que solo colocando la Ley reguladora de las bases de régimen local en una posición supraordenada puede darse cumplimiento al mandato del art. 2.1 LBRL. Se trata de vincular a los legisladores estatal y autonómico a la Ley reguladora de las bases de régimen local para que atribuyan a las entidades locales las competencias que requieran, y eso solo puede conseguirse situando a esta en una posición de preeminencia.</w:t>
      </w:r>
    </w:p>
    <w:p w14:paraId="6A5EB0EE" w14:textId="77777777" w:rsidR="008D479B" w:rsidRDefault="008D479B" w:rsidP="008D479B">
      <w:pPr>
        <w:pStyle w:val="TextoNormal"/>
      </w:pPr>
    </w:p>
    <w:p w14:paraId="5F665025" w14:textId="77777777" w:rsidR="008D479B" w:rsidRDefault="008D479B" w:rsidP="008D479B">
      <w:pPr>
        <w:pStyle w:val="TextoNormal"/>
      </w:pPr>
      <w:r>
        <w:t>Pues bien, según los recurrentes, dicha ley ha consolidado a la provincia como una esfera de encuentro entre los niveles estatal, autonómico y municipal, constituyéndola en interlocutora que coordina la visión de conjunto de los intereses locales y asegura la actuación armónica de las demás administraciones. Esta vertiente de la provincia lleva también a una interiorización de la coordinación en el propio ámbito de sus competencias.</w:t>
      </w:r>
    </w:p>
    <w:p w14:paraId="501A0F6F" w14:textId="77777777" w:rsidR="008D479B" w:rsidRDefault="008D479B" w:rsidP="008D479B">
      <w:pPr>
        <w:pStyle w:val="TextoNormal"/>
      </w:pPr>
    </w:p>
    <w:p w14:paraId="41705F3A" w14:textId="77777777" w:rsidR="008D479B" w:rsidRDefault="008D479B" w:rsidP="008D479B">
      <w:pPr>
        <w:pStyle w:val="TextoNormal"/>
      </w:pPr>
      <w:r>
        <w:t>Dado este papel de elemento coordinador del sistema, el art. 59 LBRL trata de preservar la autonomía institucional de las diputaciones, limitando la facultad de coordinar la actividad desarrollada por estas en el ejercicio de sus competencias. Asimismo, exige que la ley precise, “con el suficiente grado de detalle, las condiciones y los límites de la coordinación”. Exigencia que, a su vez, debe ponerse en relación con la previsión del art. 10 LBRL, en la medida en que solo “procederá la coordinación de las competencias de las entidades locales, cuando las actividades o los servicios locales trasciendan el interés propio de las correspondientes entidades, incidan o condicionen relevantemente los de dichas administraciones o sean concurrentes o complementarios de los de estas”. Además, según los demandantes, las facultades de coordinación ejercidas por las comunidades autónomas solo cabe admitirlas como subsidiarias respecto de los mecanismos de colaboración y de cooperación entre administraciones, tal y como determina la Ley reguladora de las bases de régimen local.</w:t>
      </w:r>
    </w:p>
    <w:p w14:paraId="5EA8609F" w14:textId="77777777" w:rsidR="008D479B" w:rsidRDefault="008D479B" w:rsidP="008D479B">
      <w:pPr>
        <w:pStyle w:val="TextoNormal"/>
      </w:pPr>
    </w:p>
    <w:p w14:paraId="21C1C2BF" w14:textId="77777777" w:rsidR="008D479B" w:rsidRDefault="008D479B" w:rsidP="008D479B">
      <w:pPr>
        <w:pStyle w:val="TextoNormal"/>
      </w:pPr>
      <w:r>
        <w:t>Por ello, la norma impugnada, en tanto que no justifica que la coordinación sea el único mecanismo para conseguir una coherencia en la actuación de las administraciones públicas respecto al ejercicio de la función de cooperación económica de las diputaciones a los municipios, ni que la coherencia no pueda alcanzarse por los procedimientos de colaboración previstos en la Ley reguladora de las bases de régimen local, o que estos sean inadecuados, está incumpliendo la previsión del art. 59.1 LBRL.</w:t>
      </w:r>
    </w:p>
    <w:p w14:paraId="66B24C37" w14:textId="77777777" w:rsidR="008D479B" w:rsidRDefault="008D479B" w:rsidP="008D479B">
      <w:pPr>
        <w:pStyle w:val="TextoNormal"/>
      </w:pPr>
    </w:p>
    <w:p w14:paraId="10A4FBA3" w14:textId="77777777" w:rsidR="008D479B" w:rsidRDefault="008D479B" w:rsidP="008D479B">
      <w:pPr>
        <w:pStyle w:val="TextoNormal"/>
      </w:pPr>
      <w:r>
        <w:t>De igual modo, señalan los recurrentes que la norma impugnada no determina en modo alguno ni las condiciones ni los límites de la coordinación impuesta, en contra de lo previsto en el art. 59.2 LBRL. Y, además, tampoco se justifica que la asistencia y cooperación económica de las diputaciones a los ayuntamientos transciendan el interés propio de ambas entidades locales, vulnerando lo dispuesto en el art. 10 LBRL. A este respecto, insisten en la relevancia de la cuestión de la trascendencia del interés propio del ámbito de los entes concernidos, pues es evidente que, en la medida en que la asistencia y cooperación económica a los municipios de su provincia es una competencia inherente a la diputación, y que el ámbito de tal competencia se extiende a la totalidad de los municipios de la provincia, en modo alguno podría darse el caso de que tal función de asistencia y cooperación económica desbordase su ámbito de interés propio. Es más, siendo la cuestión que nos ocupa —según los recurrentes— una materia que compete plenamente a las diputaciones, la regulación autonómica que excede ampliamente de la armonización y se zambulle de pleno incluso en la propia ejecución material de la competencia, suplantando a las diputaciones, supone una clara infracción de los preceptos precitados de la Ley reguladora de las bases de régimen local, singularmente del artículo 10, como también de su artículo 59.</w:t>
      </w:r>
    </w:p>
    <w:p w14:paraId="21A5E3A9" w14:textId="77777777" w:rsidR="008D479B" w:rsidRDefault="008D479B" w:rsidP="008D479B">
      <w:pPr>
        <w:pStyle w:val="TextoNormal"/>
      </w:pPr>
    </w:p>
    <w:p w14:paraId="5FA14FB2" w14:textId="77777777" w:rsidR="008D479B" w:rsidRDefault="008D479B" w:rsidP="008D479B">
      <w:pPr>
        <w:pStyle w:val="TextoNormal"/>
      </w:pPr>
      <w:r>
        <w:t>e) Finalmente, el último apartado del recurso se dedica, en primer lugar, a identificar los vicios de inconstitucionalidad en que incurre la ley recurrida:</w:t>
      </w:r>
    </w:p>
    <w:p w14:paraId="78872B6C" w14:textId="77777777" w:rsidR="008D479B" w:rsidRDefault="008D479B" w:rsidP="008D479B">
      <w:pPr>
        <w:pStyle w:val="TextoNormal"/>
      </w:pPr>
    </w:p>
    <w:p w14:paraId="2D6CFD3A" w14:textId="77777777" w:rsidR="008D479B" w:rsidRDefault="008D479B" w:rsidP="008D479B">
      <w:pPr>
        <w:pStyle w:val="TextoNormal"/>
      </w:pPr>
      <w:r>
        <w:t>(1) Vulnera la garantía institucional de autonomía provincial, en la medida en que:</w:t>
      </w:r>
    </w:p>
    <w:p w14:paraId="08536966" w14:textId="77777777" w:rsidR="008D479B" w:rsidRDefault="008D479B" w:rsidP="008D479B">
      <w:pPr>
        <w:pStyle w:val="TextoNormal"/>
      </w:pPr>
    </w:p>
    <w:p w14:paraId="10ECCDA0" w14:textId="77777777" w:rsidR="008D479B" w:rsidRDefault="008D479B" w:rsidP="008D479B">
      <w:pPr>
        <w:pStyle w:val="TextoNormal"/>
      </w:pPr>
      <w:r>
        <w:t>(a) Se excede de sus facultades de coordinación, invadiendo así el ámbito propio del ejercicio de las competencias de las diputaciones provinciales.</w:t>
      </w:r>
    </w:p>
    <w:p w14:paraId="791D2E1C" w14:textId="77777777" w:rsidR="008D479B" w:rsidRDefault="008D479B" w:rsidP="008D479B">
      <w:pPr>
        <w:pStyle w:val="TextoNormal"/>
      </w:pPr>
    </w:p>
    <w:p w14:paraId="24B51FA9" w14:textId="77777777" w:rsidR="008D479B" w:rsidRDefault="008D479B" w:rsidP="008D479B">
      <w:pPr>
        <w:pStyle w:val="TextoNormal"/>
      </w:pPr>
      <w:r>
        <w:t>(b) Vulnera la autonomía financiera de las diputaciones, tanto desde la vertiente presupuestaria como desde la vertiente del gasto.</w:t>
      </w:r>
    </w:p>
    <w:p w14:paraId="482E7F5B" w14:textId="77777777" w:rsidR="008D479B" w:rsidRDefault="008D479B" w:rsidP="008D479B">
      <w:pPr>
        <w:pStyle w:val="TextoNormal"/>
      </w:pPr>
    </w:p>
    <w:p w14:paraId="23CB889C" w14:textId="77777777" w:rsidR="008D479B" w:rsidRDefault="008D479B" w:rsidP="008D479B">
      <w:pPr>
        <w:pStyle w:val="TextoNormal"/>
      </w:pPr>
      <w:r>
        <w:t>(2) Contraviene el Estatuto de Autonomía en los siguientes términos:</w:t>
      </w:r>
    </w:p>
    <w:p w14:paraId="283ED0C6" w14:textId="77777777" w:rsidR="008D479B" w:rsidRDefault="008D479B" w:rsidP="008D479B">
      <w:pPr>
        <w:pStyle w:val="TextoNormal"/>
      </w:pPr>
    </w:p>
    <w:p w14:paraId="3DA88A08" w14:textId="77777777" w:rsidR="008D479B" w:rsidRDefault="008D479B" w:rsidP="008D479B">
      <w:pPr>
        <w:pStyle w:val="TextoNormal"/>
      </w:pPr>
      <w:r>
        <w:t>(a) En cuanto al artículo 66.3, en tanto que la norma impugnada somete a coordinación una competencia de las diputaciones provinciales en la que no radica un verdadero interés general de la Comunitat Valenciana.</w:t>
      </w:r>
    </w:p>
    <w:p w14:paraId="52536648" w14:textId="77777777" w:rsidR="008D479B" w:rsidRDefault="008D479B" w:rsidP="008D479B">
      <w:pPr>
        <w:pStyle w:val="TextoNormal"/>
      </w:pPr>
    </w:p>
    <w:p w14:paraId="0B725DD9" w14:textId="77777777" w:rsidR="008D479B" w:rsidRDefault="008D479B" w:rsidP="008D479B">
      <w:pPr>
        <w:pStyle w:val="TextoNormal"/>
      </w:pPr>
      <w:r>
        <w:t>(b) En cuanto al artículo 64.3, en tanto que la norma impugnada no configura un fondo que siga los criterios del fondo estatal, ni en lo concerniente al origen de su haber, ni en lo concerniente a la distribución entre municipios.</w:t>
      </w:r>
    </w:p>
    <w:p w14:paraId="01AE49D4" w14:textId="77777777" w:rsidR="008D479B" w:rsidRDefault="008D479B" w:rsidP="008D479B">
      <w:pPr>
        <w:pStyle w:val="TextoNormal"/>
      </w:pPr>
    </w:p>
    <w:p w14:paraId="0971B557" w14:textId="77777777" w:rsidR="008D479B" w:rsidRDefault="008D479B" w:rsidP="008D479B">
      <w:pPr>
        <w:pStyle w:val="TextoNormal"/>
      </w:pPr>
      <w:r>
        <w:t>(3) Infringe la Ley reguladora de bases del régimen local, en tanto que:</w:t>
      </w:r>
    </w:p>
    <w:p w14:paraId="2B885283" w14:textId="77777777" w:rsidR="008D479B" w:rsidRDefault="008D479B" w:rsidP="008D479B">
      <w:pPr>
        <w:pStyle w:val="TextoNormal"/>
      </w:pPr>
    </w:p>
    <w:p w14:paraId="4679B8C2" w14:textId="77777777" w:rsidR="008D479B" w:rsidRDefault="008D479B" w:rsidP="008D479B">
      <w:pPr>
        <w:pStyle w:val="TextoNormal"/>
      </w:pPr>
      <w:r>
        <w:t>(a) No se atiende al principio de subsidiariedad.</w:t>
      </w:r>
    </w:p>
    <w:p w14:paraId="2AF93DCB" w14:textId="77777777" w:rsidR="008D479B" w:rsidRDefault="008D479B" w:rsidP="008D479B">
      <w:pPr>
        <w:pStyle w:val="TextoNormal"/>
      </w:pPr>
    </w:p>
    <w:p w14:paraId="038B90CB" w14:textId="77777777" w:rsidR="008D479B" w:rsidRDefault="008D479B" w:rsidP="008D479B">
      <w:pPr>
        <w:pStyle w:val="TextoNormal"/>
      </w:pPr>
      <w:r>
        <w:t>(b) No se respeta el límite legal a la coordinación de aquellas materias de competencia provincial que excedan de su ámbito de interés propio.</w:t>
      </w:r>
    </w:p>
    <w:p w14:paraId="1FCDEB72" w14:textId="77777777" w:rsidR="008D479B" w:rsidRDefault="008D479B" w:rsidP="008D479B">
      <w:pPr>
        <w:pStyle w:val="TextoNormal"/>
      </w:pPr>
    </w:p>
    <w:p w14:paraId="0B567C2A" w14:textId="77777777" w:rsidR="008D479B" w:rsidRDefault="008D479B" w:rsidP="008D479B">
      <w:pPr>
        <w:pStyle w:val="TextoNormal"/>
      </w:pPr>
      <w:r>
        <w:t>A continuación, tras aclarar que estas causas inciden de modo distinto en cada uno de los concretos preceptos impugnados, se procede a clasificar estos en dos grupos:</w:t>
      </w:r>
    </w:p>
    <w:p w14:paraId="0850534C" w14:textId="77777777" w:rsidR="008D479B" w:rsidRDefault="008D479B" w:rsidP="008D479B">
      <w:pPr>
        <w:pStyle w:val="TextoNormal"/>
      </w:pPr>
    </w:p>
    <w:p w14:paraId="442391E2" w14:textId="77777777" w:rsidR="008D479B" w:rsidRDefault="008D479B" w:rsidP="008D479B">
      <w:pPr>
        <w:pStyle w:val="TextoNormal"/>
      </w:pPr>
      <w:r>
        <w:t>En el primero se encontrarían aquellos que inciden en la autonomía provincial o que afectan a las diputaciones provinciales, relativos todos ellos a la participación forzosa de las diputaciones en el fondo creado por la ley impugnada, y a los que resultan de aplicación las alegaciones que denuncian la infracción de la garantía institucional de la autonomía provincial, la infracción de los arts. 66.3 y 64.3 EACV, así como la infracción de la Ley reguladora de las bases de régimen local, en particular, sus arts. 10 y 59. Serían los siguientes:</w:t>
      </w:r>
    </w:p>
    <w:p w14:paraId="5B1F454A" w14:textId="77777777" w:rsidR="008D479B" w:rsidRDefault="008D479B" w:rsidP="008D479B">
      <w:pPr>
        <w:pStyle w:val="TextoNormal"/>
      </w:pPr>
    </w:p>
    <w:p w14:paraId="0376388D" w14:textId="77777777" w:rsidR="008D479B" w:rsidRDefault="008D479B" w:rsidP="008D479B">
      <w:pPr>
        <w:pStyle w:val="TextoNormal"/>
      </w:pPr>
      <w:r>
        <w:t>(i) En cuanto a la impugnación del art. 2.2, debe aplicarse singularmente la infracción del art. 66.3 EACV, en tanto que la declaración de interés general se hace de forma meramente rituaria.</w:t>
      </w:r>
    </w:p>
    <w:p w14:paraId="4469B14F" w14:textId="77777777" w:rsidR="008D479B" w:rsidRDefault="008D479B" w:rsidP="008D479B">
      <w:pPr>
        <w:pStyle w:val="TextoNormal"/>
      </w:pPr>
    </w:p>
    <w:p w14:paraId="45BCEEBF" w14:textId="77777777" w:rsidR="008D479B" w:rsidRDefault="008D479B" w:rsidP="008D479B">
      <w:pPr>
        <w:pStyle w:val="TextoNormal"/>
      </w:pPr>
      <w:r>
        <w:t>(ii) Con respecto al inciso “y las diputaciones provinciales” del art. 5.1, así como los incisos “en el que participarán las diputaciones provinciales” e “y cada diputación provincial” del art. 5.2, cobran especial relevancia tanto la infracción del art. 64.3 EACV como la de la Ley reguladora de las bases de régimen local, sin perjuicio de los razonamientos generales sobre la conculcación de la autonomía provincial.</w:t>
      </w:r>
    </w:p>
    <w:p w14:paraId="6E96E7D8" w14:textId="77777777" w:rsidR="008D479B" w:rsidRDefault="008D479B" w:rsidP="008D479B">
      <w:pPr>
        <w:pStyle w:val="TextoNormal"/>
      </w:pPr>
    </w:p>
    <w:p w14:paraId="6AF97918" w14:textId="77777777" w:rsidR="008D479B" w:rsidRDefault="008D479B" w:rsidP="008D479B">
      <w:pPr>
        <w:pStyle w:val="TextoNormal"/>
      </w:pPr>
      <w:r>
        <w:t>(iii) Lo mismo habrá de predicarse de los apartados 5 y 6 del art. 5, que regulan la intervención de la Generalitat en el presupuesto de las diputaciones provinciales, si bien hay que hacer especial mención a la infracción de la autonomía financiera provincial, en su vertiente de autonomía presupuestaria, así como, en el caso del apartado 6, a la infracción del art. 66.3 EACV.</w:t>
      </w:r>
    </w:p>
    <w:p w14:paraId="553C8AA6" w14:textId="77777777" w:rsidR="008D479B" w:rsidRDefault="008D479B" w:rsidP="008D479B">
      <w:pPr>
        <w:pStyle w:val="TextoNormal"/>
      </w:pPr>
    </w:p>
    <w:p w14:paraId="281D6E79" w14:textId="77777777" w:rsidR="008D479B" w:rsidRDefault="008D479B" w:rsidP="008D479B">
      <w:pPr>
        <w:pStyle w:val="TextoNormal"/>
      </w:pPr>
      <w:r>
        <w:t>(iv) Finalmente, en el art. 8, que impone la participación de las diputaciones en la dotación económica del fondo, han de hallarse todas las causas de infracción constitucional denunciadas.</w:t>
      </w:r>
    </w:p>
    <w:p w14:paraId="5930FA17" w14:textId="77777777" w:rsidR="008D479B" w:rsidRDefault="008D479B" w:rsidP="008D479B">
      <w:pPr>
        <w:pStyle w:val="TextoNormal"/>
      </w:pPr>
    </w:p>
    <w:p w14:paraId="4819CD9A" w14:textId="77777777" w:rsidR="008D479B" w:rsidRDefault="008D479B" w:rsidP="008D479B">
      <w:pPr>
        <w:pStyle w:val="TextoNormal"/>
      </w:pPr>
      <w:r>
        <w:t>En el segundo grupo se encuentra el art. 7, impugnado en relación con el reparto de los fondos entre los municipios. En la medida en que el reparto ahí establecido es disconforme con el mandato estatutario contenido en el art. 64.3 EACV, dicho precepto deberá ser declarado inconstitucional.</w:t>
      </w:r>
    </w:p>
    <w:p w14:paraId="661854AD" w14:textId="77777777" w:rsidR="008D479B" w:rsidRDefault="008D479B" w:rsidP="008D479B">
      <w:pPr>
        <w:pStyle w:val="TextoNormal"/>
      </w:pPr>
    </w:p>
    <w:p w14:paraId="11B7ECE0" w14:textId="4E755447" w:rsidR="008D479B" w:rsidRDefault="008D479B" w:rsidP="008D479B">
      <w:pPr>
        <w:pStyle w:val="TextoNormal"/>
      </w:pPr>
      <w:r>
        <w:t>Concluyen los recurrentes solicitando que se dicte sentencia declarando la inconstitucionalidad y nulidad con el alcance que se expresa en los fundamentos de su escrito.</w:t>
      </w:r>
    </w:p>
    <w:p w14:paraId="54951311" w14:textId="77777777" w:rsidR="008D479B" w:rsidRDefault="008D479B" w:rsidP="008D479B">
      <w:pPr>
        <w:pStyle w:val="TextoNormal"/>
      </w:pPr>
    </w:p>
    <w:p w14:paraId="5D8EC79E" w14:textId="6B36C0B7" w:rsidR="008D479B" w:rsidRDefault="008D479B" w:rsidP="008D479B">
      <w:pPr>
        <w:pStyle w:val="TextoNormal"/>
      </w:pPr>
      <w:r w:rsidRPr="008D479B">
        <w:rPr>
          <w:rStyle w:val="NumeroAFNegritaCaracter"/>
        </w:rPr>
        <w:t>3</w:t>
      </w:r>
      <w:r>
        <w:t>. Por providencia de 11 de marzo de 2022, el Pleno, a propuesta de la Sección Primera, acordó admitir a trámite el recurso de inconstitucionalidad promovido por más de cincuenta diputados del Grupo Parlamentario Popular en el Congreso y, en su representación, por el procurador don Manuel Sánchez-Puelles González-Carvajal, en relación con el art. 2 apartado 2; art. 5 inciso “y las diputaciones provinciales” del apartado 1; varios incisos del apartado 2 y los apartados 5 y 6; art. 7; y art. 8 de la Ley 5/2021, de 5 de noviembre, reguladora del fondo de cooperación municipal de los municipios y entidades locales menores de la Comunitat Valenciana; dar traslado de la demanda y documentos presentados, conforme establece el artículo 34 de la Ley Orgánica del Tribunal Constitucional (LOTC), al Congreso de los Diputados y al Senado, por conducto de sus presidentes, y al Gobierno, a través de la ministra de Justicia, así como a les Corts Valencianes y al Consell de la Generalitat, por conducto de sus presidentes, al objeto de que, en el plazo de quince días, puedan personarse en el proceso y formular las alegaciones que estimaren convenientes; y publicar la incoación del recurso en el “Boletín Oficial del Estado” y en el “Diari Oficial de la Generalitat Valenciana”.</w:t>
      </w:r>
    </w:p>
    <w:p w14:paraId="4F762B88" w14:textId="77777777" w:rsidR="008D479B" w:rsidRDefault="008D479B" w:rsidP="008D479B">
      <w:pPr>
        <w:pStyle w:val="TextoNormal"/>
      </w:pPr>
    </w:p>
    <w:p w14:paraId="1CDE8423" w14:textId="0AAB8096" w:rsidR="008D479B" w:rsidRDefault="008D479B" w:rsidP="008D479B">
      <w:pPr>
        <w:pStyle w:val="TextoNormal"/>
      </w:pPr>
      <w:r w:rsidRPr="008D479B">
        <w:rPr>
          <w:rStyle w:val="NumeroAFNegritaCaracter"/>
        </w:rPr>
        <w:t>4</w:t>
      </w:r>
      <w:r>
        <w:t>. El abogado del Estado se personó en el proceso por escrito registrado el día 30 de marzo de 2022, indicando que no va a formular alegaciones y que se persona exclusivamente a los efectos de que en su día se le notifiquen las resoluciones que en él se dicten.</w:t>
      </w:r>
    </w:p>
    <w:p w14:paraId="2DA97673" w14:textId="77777777" w:rsidR="008D479B" w:rsidRDefault="008D479B" w:rsidP="008D479B">
      <w:pPr>
        <w:pStyle w:val="TextoNormal"/>
      </w:pPr>
    </w:p>
    <w:p w14:paraId="68D52EAD" w14:textId="421A0E05" w:rsidR="008D479B" w:rsidRDefault="008D479B" w:rsidP="008D479B">
      <w:pPr>
        <w:pStyle w:val="TextoNormal"/>
      </w:pPr>
      <w:r w:rsidRPr="008D479B">
        <w:rPr>
          <w:rStyle w:val="NumeroAFNegritaCaracter"/>
        </w:rPr>
        <w:t>5</w:t>
      </w:r>
      <w:r>
        <w:t>. Mediante escrito registrado el día 24 de marzo de 2022, la presidenta del Congreso de los Diputados comunicó el acuerdo de la mesa de la Cámara por el que esta se persona en el proceso y ofrece su colaboración a los efectos del art. 88.1 LOTC. Lo mismo hizo el presidente del Senado por escrito que tuvo entrada en este tribunal en idéntica fecha.</w:t>
      </w:r>
    </w:p>
    <w:p w14:paraId="057875A9" w14:textId="77777777" w:rsidR="008D479B" w:rsidRDefault="008D479B" w:rsidP="008D479B">
      <w:pPr>
        <w:pStyle w:val="TextoNormal"/>
      </w:pPr>
    </w:p>
    <w:p w14:paraId="20FCD184" w14:textId="1DFE6E6D" w:rsidR="008D479B" w:rsidRDefault="008D479B" w:rsidP="008D479B">
      <w:pPr>
        <w:pStyle w:val="TextoNormal"/>
      </w:pPr>
      <w:r w:rsidRPr="008D479B">
        <w:rPr>
          <w:rStyle w:val="NumeroAFNegritaCaracter"/>
        </w:rPr>
        <w:t>6</w:t>
      </w:r>
      <w:r>
        <w:t>. Mediante escrito registrado el 12 de abril de 2022, el letrado de les Corts Valencianes, don José Carlos Navarro Ruiz, se personó en el proceso, formulando alegaciones.</w:t>
      </w:r>
    </w:p>
    <w:p w14:paraId="3BC0D87F" w14:textId="77777777" w:rsidR="008D479B" w:rsidRDefault="008D479B" w:rsidP="008D479B">
      <w:pPr>
        <w:pStyle w:val="TextoNormal"/>
      </w:pPr>
    </w:p>
    <w:p w14:paraId="200F2006" w14:textId="2E298737" w:rsidR="008D479B" w:rsidRDefault="008D479B" w:rsidP="008D479B">
      <w:pPr>
        <w:pStyle w:val="TextoNormal"/>
      </w:pPr>
      <w:r w:rsidRPr="008D479B">
        <w:rPr>
          <w:rStyle w:val="NumeroAFNegritaCaracter"/>
        </w:rPr>
        <w:t>7</w:t>
      </w:r>
      <w:r>
        <w:t>. El abogado de la Generalitat, don Miguel Ángel Cervera Tortosa, se personó en el proceso, mediante escrito registrado el 13 de abril de 2022, formulando de manera conjunta alegaciones frente a los dos recursos de inconstitucionalidad interpuestos por parte de cincuenta diputados del Grupo Parlamentario Popular (recurso núm. 614-2022) y cincuenta diputados del Grupo Parlamentario de Vox (recurso núm. 874-2022).</w:t>
      </w:r>
    </w:p>
    <w:p w14:paraId="33BF2160" w14:textId="77777777" w:rsidR="008D479B" w:rsidRDefault="008D479B" w:rsidP="008D479B">
      <w:pPr>
        <w:pStyle w:val="TextoNormal"/>
      </w:pPr>
    </w:p>
    <w:p w14:paraId="1F1DAE53" w14:textId="77777777" w:rsidR="008D479B" w:rsidRDefault="008D479B" w:rsidP="008D479B">
      <w:pPr>
        <w:pStyle w:val="TextoNormal"/>
      </w:pPr>
      <w:r w:rsidRPr="008D479B">
        <w:rPr>
          <w:rStyle w:val="NumeroAFNegritaCaracter"/>
        </w:rPr>
        <w:t>8</w:t>
      </w:r>
      <w:r>
        <w:t>. El letrado de les Corts Valencianes, don José Carlos Navarro Ruiz, en virtud de la representación que ostenta de este Parlamento, de conformidad con lo dispuesto en los artículos 12 a) del Estatuto de personal de les Corts Valencianes; 1.3 de la Ley 10/2005, de 9 de diciembre, de asistencia jurídica a la Generalitat Valenciana; así como en el acuerdo de la mesa de les Corts núm. 1.261/X, de 29 de marzo de 2022, comparece ante el Tribunal y formula las alegaciones a que se hará referencia seguidamente. No obstante, con anterioridad formula una cuestión previa, a saber: la falta de motivación concreta por parte de los recurrentes de la inconstitucionalidad de cada uno de los preceptos que se impugnan, lo que podría dar lugar a un incumplimiento de la doctrina sentada por este tribunal, entre otras muchas, en la STC 82/2020, de 15 de julio.</w:t>
      </w:r>
    </w:p>
    <w:p w14:paraId="5A7B2D4B" w14:textId="77777777" w:rsidR="008D479B" w:rsidRDefault="008D479B" w:rsidP="008D479B">
      <w:pPr>
        <w:pStyle w:val="TextoNormal"/>
      </w:pPr>
    </w:p>
    <w:p w14:paraId="170F6C4D" w14:textId="77777777" w:rsidR="008D479B" w:rsidRDefault="008D479B" w:rsidP="008D479B">
      <w:pPr>
        <w:pStyle w:val="TextoNormal"/>
      </w:pPr>
      <w:r>
        <w:t>Las referidas alegaciones de les Corts Valencianes se centran en los siguientes aspectos:</w:t>
      </w:r>
    </w:p>
    <w:p w14:paraId="1F647059" w14:textId="77777777" w:rsidR="008D479B" w:rsidRDefault="008D479B" w:rsidP="008D479B">
      <w:pPr>
        <w:pStyle w:val="TextoNormal"/>
      </w:pPr>
    </w:p>
    <w:p w14:paraId="77ACBC62" w14:textId="77777777" w:rsidR="008D479B" w:rsidRDefault="008D479B" w:rsidP="008D479B">
      <w:pPr>
        <w:pStyle w:val="TextoNormal"/>
      </w:pPr>
      <w:r>
        <w:t>- Hasta la entrada en vigor de la ley impugnada, la financiación local quedaba englobada dentro de la competencia exclusiva en materia de régimen local asumida por la Comunitat Valenciana en el art. 49.1.8 de su Estatuto de Autonomía (sin perjuicio de lo dispuesto en el art. 149.1.18 CE). Expresamente, en su art. 64.3 contemplaba la existencia de un “Fondo de Cooperación Municipal”. En desarrollo de estas previsiones se aprobó la Ley 8/2010, de 23 de junio, de régimen local de la Comunitat Valenciana, en cuyo art. 201 se regula la creación y contenido de dicho fondo, reglamentariamente desarrollado mediante Decreto 51/2017, de 7 de abril, del Consell, por el que se regula el fondo de cooperación municipal incondicionado de la Comunitat Valenciana, con el fin de “garantizar la suficiencia financiera de las entidades locales de la Comunitat Valenciana y potenciar su autonomía local sobre la base del principio de subsidiariedad, financiando globalmente su actividad”. En el art. 8 de este Decreto 51/2017 se contempla la participación de las diputaciones provinciales en dicho fondo en términos de voluntariedad, esto es, el mismo se nutría de las asignaciones aportadas por la Generalitat y las de aquellas diputaciones que desearan integrarse en él, tal y como hicieron las de Castellón y Valencia. Tanto el referido art. 201 de la Ley 8/2010, de 23 de junio, como el Decreto 51/2017, han sido derogados por la ley impugnada (excepto el capítulo II de este último, que regula el fondo de cooperación municipal, en lo que no se oponga a la nueva ley).</w:t>
      </w:r>
    </w:p>
    <w:p w14:paraId="4FFC3277" w14:textId="77777777" w:rsidR="008D479B" w:rsidRDefault="008D479B" w:rsidP="008D479B">
      <w:pPr>
        <w:pStyle w:val="TextoNormal"/>
      </w:pPr>
    </w:p>
    <w:p w14:paraId="39ED25E8" w14:textId="77777777" w:rsidR="008D479B" w:rsidRDefault="008D479B" w:rsidP="008D479B">
      <w:pPr>
        <w:pStyle w:val="TextoNormal"/>
      </w:pPr>
      <w:r>
        <w:t>- El legislador autonómico ha decidido reformar el sistema de financiación local para fortalecer el nivel básico, el municipal, que es donde radica el poder político y la representación democrática más próxima a la ciudadanía, y dotarlo de mayor estabilidad. Entre otras cosas, se contempla ahora el fondo de cooperación municipal con una naturaleza no finalista, sin que se condicione el destino u objetivo concreto al que deban dedicarse los recursos económicos que reciban de él los municipios y las entidades locales menores para financiar las actividades y servicios que competencialmente les corresponden. Dicho proceder se articula a través de un “Plan sectorial de financiación básica”, en el que participan la Generalitat y las diputaciones provinciales, que debe de aprobar el Consell de la Generalitat con la participación de la comisión de colaboración y coordinación del fondo de cooperación municipal (art. 5 de la Ley impugnada). Entre los integrantes de dicha comisión un tercio pertenece a la administración provincial. La ley prevé que las diputaciones aporten de sus presupuestos anuales los recursos adecuados al cumplimiento del plan sectorial del fondo (art. 5) y que la asignación de recursos a cada municipio se realice con criterios objetivos (art. 7), correspondiendo a la comisión de colaboración y coordinación del fondo la implementación, seguimiento y control de la ejecución del plan anual (art. 10). Además, la ley impugnada establece diversos mecanismos de coordinación y cooperación interadministrativa para que todos los municipios cuenten con la misma financiación básica con independencia de la provincia en que se encuentren.</w:t>
      </w:r>
    </w:p>
    <w:p w14:paraId="391555C2" w14:textId="77777777" w:rsidR="008D479B" w:rsidRDefault="008D479B" w:rsidP="008D479B">
      <w:pPr>
        <w:pStyle w:val="TextoNormal"/>
      </w:pPr>
    </w:p>
    <w:p w14:paraId="2B7E5863" w14:textId="77777777" w:rsidR="008D479B" w:rsidRDefault="008D479B" w:rsidP="008D479B">
      <w:pPr>
        <w:pStyle w:val="TextoNormal"/>
      </w:pPr>
      <w:r>
        <w:t>- Las competencias locales vienen determinadas en el marco de la Ley de bases de régimen local, cuyo art. 25.2 establece las materias sobre las que el municipio ejercerá en todo caso competencias propias, en los términos de la legislación del Estado y de las comunidades autónomas. Dichas “competencias municipales en las materias enunciadas en este artículo se determinarán por ley, debiendo evaluar la conveniencia de la implantación de servicios locales conforme a los principios de descentralización, eficiencia, estabilidad y sostenibilidad financiera” (apdo. 3). Ley que “deberá ir acompañada de una memoria económica que refleje el impacto sobre los recursos financieros de las administraciones públicas afectadas y el cumplimiento de los principios de estabilidad, sostenibilidad financiera y eficiencia del servicio o la actividad” y que “debe prever la dotación de los recursos necesarios para asegurar la suficiencia financiera de las entidades locales sin que ello pueda conllevar, en ningún caso, un mayor gasto de las administraciones públicas”.</w:t>
      </w:r>
    </w:p>
    <w:p w14:paraId="250BFF43" w14:textId="77777777" w:rsidR="008D479B" w:rsidRDefault="008D479B" w:rsidP="008D479B">
      <w:pPr>
        <w:pStyle w:val="TextoNormal"/>
      </w:pPr>
    </w:p>
    <w:p w14:paraId="2DD32BD9" w14:textId="77777777" w:rsidR="008D479B" w:rsidRDefault="008D479B" w:rsidP="008D479B">
      <w:pPr>
        <w:pStyle w:val="TextoNormal"/>
      </w:pPr>
      <w:r>
        <w:t>Por su parte, como declaró el Tribunal Constitucional en su STC 41/2016, de 3 de marzo, FJ 9, “la redacción originaria del art. 36.1 LBRL establecía ya que son ‘competencias propias de la diputación’, además de las que le atribuyan las leyes estatales y autonómicas ‘en los diferentes sectores de la acción pública’: ‘la coordinación de los servicios municipales entre sí para la garantía de la prestación integral y adecuada a que se refiere el apartado a) del número 2 del artículo 31’ [letra a)]; ‘la asistencia y la cooperación jurídica, económica y técnica a los municipios, especialmente los de menor capacidad económica y de gestión’ [letra b)]; ‘a prestación de servicios públicos de carácter supramunicipal y, en su caso, supracomarcal’ [letra c)]; ‘en general, el fomento y la administración de los intereses peculiares de la Provincia’ [letra d)]. […] la concreción última de las competencias locales queda remitida —y no podía ser de otra manera— a la correspondiente legislación sectorial, ya sea estatal o autonómica, según el sistema constitucional de distribución de competencias entre el Estado y las comunidades autónomas”.</w:t>
      </w:r>
    </w:p>
    <w:p w14:paraId="29198F96" w14:textId="77777777" w:rsidR="008D479B" w:rsidRDefault="008D479B" w:rsidP="008D479B">
      <w:pPr>
        <w:pStyle w:val="TextoNormal"/>
      </w:pPr>
    </w:p>
    <w:p w14:paraId="4B7A96A6" w14:textId="77777777" w:rsidR="008D479B" w:rsidRDefault="008D479B" w:rsidP="008D479B">
      <w:pPr>
        <w:pStyle w:val="TextoNormal"/>
      </w:pPr>
      <w:r>
        <w:t>Así pues, según el art. 36.1 b) LBRL, son competencias propias de las diputaciones provinciales, “en todo caso”, “[l]a asistencia y cooperación jurídica, económica y técnica a los municipios, especialmente los de menor capacidad económica y de gestión”.</w:t>
      </w:r>
    </w:p>
    <w:p w14:paraId="42071698" w14:textId="77777777" w:rsidR="008D479B" w:rsidRDefault="008D479B" w:rsidP="008D479B">
      <w:pPr>
        <w:pStyle w:val="TextoNormal"/>
      </w:pPr>
    </w:p>
    <w:p w14:paraId="2772B850" w14:textId="77777777" w:rsidR="008D479B" w:rsidRDefault="008D479B" w:rsidP="008D479B">
      <w:pPr>
        <w:pStyle w:val="TextoNormal"/>
      </w:pPr>
      <w:r>
        <w:t>En esta misma línea, la Ley 8/2010, de 23 de junio, de régimen local de la Comunitat Valenciana, dispone que entre los fines propios y específicos de la provincia se encuentran “la cooperación al establecimiento de los servicios municipales obligatorios, para garantizar su prestación integral y adecuada en todo el territorio de la provincia” [art. 48.2 a)]. Y que son competencias propias de las diputaciones provinciales las que le atribuya la legislación básica de régimen local y demás leyes del Estado y de la Comunitat Valenciana en los diferentes sectores de la acción pública y, en todo caso, “prestar asistencia y cooperación jurídica, económica y técnica a los municipios y otras entidades locales, especialmente a los de menor capacidad económica y de gestión” [art. 50.1 a) de la Ley 8/2010].</w:t>
      </w:r>
    </w:p>
    <w:p w14:paraId="134023FC" w14:textId="77777777" w:rsidR="008D479B" w:rsidRDefault="008D479B" w:rsidP="008D479B">
      <w:pPr>
        <w:pStyle w:val="TextoNormal"/>
      </w:pPr>
    </w:p>
    <w:p w14:paraId="23335556" w14:textId="77777777" w:rsidR="008D479B" w:rsidRDefault="008D479B" w:rsidP="008D479B">
      <w:pPr>
        <w:pStyle w:val="TextoNormal"/>
      </w:pPr>
      <w:r>
        <w:t>Recuerdan asimismo, les Corts Valencianes, lo dispuesto en el art. 10.2 LBRL en relación con la procedencia de “la coordinación de las competencias de las entidades locales entre sí y, especialmente, con las de las restantes administraciones públicas, cuando las actividades o los servicios trasciendan el interés propio de las correspondientes entidades, incidan o condicionen relevantemente los de dichas administraciones o sean concurrentes o complementarios de los de estas”; así como, en relación con ello, lo previsto en el art. 59 LBRL: “A fin de asegurar la coherencia de la actuación de las administraciones públicas, en los supuestos previstos en el número 2 del artículo 10 […] las leyes […] de las comunidades autónomas […] podrán atribuir [.].) al Consejo de Gobierno, la facultad de coordinar la actividad de la administración local y, en especial, de las diputaciones provinciales en el ejercicio de sus competencias. La coordinación se realizará mediante la definición concreta […] la fijación de los objetivos y la determinación de las prioridades de la acción pública en la materia correspondiente”.</w:t>
      </w:r>
    </w:p>
    <w:p w14:paraId="3405DCAC" w14:textId="77777777" w:rsidR="008D479B" w:rsidRDefault="008D479B" w:rsidP="008D479B">
      <w:pPr>
        <w:pStyle w:val="TextoNormal"/>
      </w:pPr>
    </w:p>
    <w:p w14:paraId="43581C41" w14:textId="77777777" w:rsidR="008D479B" w:rsidRDefault="008D479B" w:rsidP="008D479B">
      <w:pPr>
        <w:pStyle w:val="TextoNormal"/>
      </w:pPr>
      <w:r>
        <w:t>- Ya la Ley 2/1983, de 4 de octubre, por la que se declaran de interés general para la Comunitat Valenciana determinadas funciones propias de las diputaciones provinciales, incluyó entre dichas funciones la de “cooperación y asistencia jurídica, económica y técnica de los municipios” [art. 2.1 g)], asumiendo la Comunitat Valenciana la coordinación de dichas funciones provinciales cuando “afecte a servicios o competencias propias de la Comunitat Valenciana” [art. 2.2 b)]. Y este tribunal en su STC 27/1987 declaró que “no es correcto afirmar que se haya producido con ello un vaciamiento competencial de la autonomía provincial, pues la coordinación no entraña la sustracción de competencias propias de las entidades coordinadas, sino que implica tan solo un límite al ejercicio de las mismas, limite que únicamente, se produce, respecto de las materias indicadas en el mencionado artículo 2, en los supuestos establecidos en el apartado 2 del mismo en conexión con el artículo 10.2 de la Ley estatal 7/1985”.</w:t>
      </w:r>
    </w:p>
    <w:p w14:paraId="1EB39E03" w14:textId="77777777" w:rsidR="008D479B" w:rsidRDefault="008D479B" w:rsidP="008D479B">
      <w:pPr>
        <w:pStyle w:val="TextoNormal"/>
      </w:pPr>
    </w:p>
    <w:p w14:paraId="0C3ECE18" w14:textId="77777777" w:rsidR="008D479B" w:rsidRDefault="008D479B" w:rsidP="008D479B">
      <w:pPr>
        <w:pStyle w:val="TextoNormal"/>
      </w:pPr>
      <w:r>
        <w:t>Recuerdan, asimismo, les Corts Valencianes que este mismo tribunal, en su STC 109/1998, precisó que “el legislador estatal básico ha de respetar la garantía institucional de la autonomía provincial, al regular la dimensión funcional o competencial de la autonomía local. Hemos de precisar, sin embargo, que no toda incidencia en la esfera competencial de la entidad local debe reputarse lesiva de la mencionada garantía institucional, toda vez que esta no se concibe como una garantía absoluta que impida toda suerte de afectación de la esfera de competencias legalmente asignadas, sino únicamente aquellas que menoscaben o vulneren el núcleo esencial e indisponible de la autonomía provincial, sin el cual esta no presentaría los caracteres que la hacen recognoscible como institución”. Y que “cabe considerar como núcleo de su actividad el apoyo a los municipios radicados en su ámbito territorial, a cargo de las diputaciones provinciales u otras corporaciones de carácter representativo; actividad que se traduce en la cooperación económica a la realización de las obras y servicios municipales, y que es llevada a la práctica a través del ejercicio de su capacidad financiera o de gasto público por parte del ente provincial. Es esta actuación cooperadora, pues, la que cabe identificar como el núcleo de la autonomía provincial, de tal manera que la ablación o menoscabo sustancial de dicho reducto indisponible han de reputarse lesivos de la autonomía provincial constitucionalmente garantizada”.</w:t>
      </w:r>
    </w:p>
    <w:p w14:paraId="0A7F54E4" w14:textId="77777777" w:rsidR="008D479B" w:rsidRDefault="008D479B" w:rsidP="008D479B">
      <w:pPr>
        <w:pStyle w:val="TextoNormal"/>
      </w:pPr>
    </w:p>
    <w:p w14:paraId="0404D721" w14:textId="77777777" w:rsidR="008D479B" w:rsidRDefault="008D479B" w:rsidP="008D479B">
      <w:pPr>
        <w:pStyle w:val="TextoNormal"/>
      </w:pPr>
      <w:r>
        <w:t>En esta misma línea, en relación con la asistencia económica y técnica, el Tribunal señaló, en dicha STC 109/1998, que “bajo el prisma de los arts. 137 y 142 CE, el ámbito sobre el que se proyecta la autonomía de gasto provincial no ha de concebirse como una esfera total y absolutamente resistente a cualquier mínima incidencia o afectación proveniente de otros niveles de gobierno. […] lo que la Constitución veda de una forma terminante y sin excepciones no es sino el menoscabo del núcleo esencial o reducto indisponible de la institución, estrictamente. En consecuencia, la autonomía financiera, en la vertiente del gasto, de la que gozan los entes locales, —esto es, la capacidad genérica de determinar y ordenar, bajo su propia responsabilidad, los gastos necesarios para el desempeño de sus competencias— puede ser restringida por el Estado y las comunidades autónomas dentro de los límites establecidos en el bloque de la constitucionalidad, tal como sucede en este caso en virtud de las facultades coordinadoras que ostenta la Generalidad de Cataluña con la cobertura del Plan Único de Obras y Servicios” (FJ 10).</w:t>
      </w:r>
    </w:p>
    <w:p w14:paraId="32A18600" w14:textId="77777777" w:rsidR="008D479B" w:rsidRDefault="008D479B" w:rsidP="008D479B">
      <w:pPr>
        <w:pStyle w:val="TextoNormal"/>
      </w:pPr>
    </w:p>
    <w:p w14:paraId="110F3B64" w14:textId="77777777" w:rsidR="008D479B" w:rsidRDefault="008D479B" w:rsidP="008D479B">
      <w:pPr>
        <w:pStyle w:val="TextoNormal"/>
      </w:pPr>
      <w:r>
        <w:t>Por otro lado, según precisan les Corts Valencianes, resulta clave para apreciar la regularidad o no en el ejercicio de la facultad de coordinación por parte de la administración autonómica el hecho de que esta se articule a través de un plan de actuación en el que participen las diputaciones provinciales y los municipios, tal y como se hace en la ley impugnada.</w:t>
      </w:r>
    </w:p>
    <w:p w14:paraId="3B257A93" w14:textId="77777777" w:rsidR="008D479B" w:rsidRDefault="008D479B" w:rsidP="008D479B">
      <w:pPr>
        <w:pStyle w:val="TextoNormal"/>
      </w:pPr>
    </w:p>
    <w:p w14:paraId="24A43ACC" w14:textId="77777777" w:rsidR="008D479B" w:rsidRDefault="008D479B" w:rsidP="008D479B">
      <w:pPr>
        <w:pStyle w:val="TextoNormal"/>
      </w:pPr>
      <w:r>
        <w:t>Por su parte, la STC 82/2020, en referencia a la Comunitat Valenciana, se pronunció aún con más claridad sobre este tema: “la potestad de coordinación de la comunidad autónoma de aquellas funciones atribuidas legalmente a las diputaciones provinciales —potestad que indudablemente es susceptible de suponer una afectación de la capacidad de decisión en un ámbito atribuido a estas, pues, en el presente supuesto, se trata tanto de la coordinación de las diputaciones provinciales en el ejercicio de su función de asistencia técnica y económica a los ayuntamientos [función prevista en el art. 36.1 b) LBRL] como de la coordinación de las diputaciones provinciales en el ejercicio de su función de colaboración en la provisión de los servicios sociales [función prevista en el art. 36.1 c) LBRL]—, deberá someterse, por exigencia tanto de los arts. 137 y 141 CE como de la normativa básica estatal (art. 59 LBRL) y del art. 66.3 del Estatuto de Autonomía, a las siguientes condiciones: además de estar específicamente atribuida, deberá estar suficientemente predeterminada, debiendo tal coordinación realizarse a través de planes sectoriales en los que se garantice la participación de los entes locales en su tramitación, participación que se reconoce con la finalidad de armonizar los intereses públicos afectados; asimismo tal previsión de la facultad de coordinación deberá responder a la protección de intereses generales o comunitarios, de modo que el legislador gradúe el alcance o intensidad de la propia coordinación en función de la relación existente entre los intereses locales y supralocales o comunitarios existente en tales asuntos o materias. Finalmente, la potestad de coordinar a las diputaciones en el ejercicio tanto de su función de asistencia técnica y económica a los ayuntamientos como de su función de colaboración en la provisión de los servicios sociales, deberá ser compatible, por exigencia del art. 142 CE, de la Carta de europea de la autonomía local, de la Ley de bases de régimen local (art. 25) y del Estatuto de Autonomía (art. 64.2), con la responsabilidad autonómica de garantizar a los entes locales, en su caso, aquellos recursos financieros que les permitan acometer sus tareas” (FJ 9).</w:t>
      </w:r>
    </w:p>
    <w:p w14:paraId="307DDFEC" w14:textId="77777777" w:rsidR="008D479B" w:rsidRDefault="008D479B" w:rsidP="008D479B">
      <w:pPr>
        <w:pStyle w:val="TextoNormal"/>
      </w:pPr>
    </w:p>
    <w:p w14:paraId="2B3846D3" w14:textId="77777777" w:rsidR="008D479B" w:rsidRDefault="008D479B" w:rsidP="008D479B">
      <w:pPr>
        <w:pStyle w:val="TextoNormal"/>
      </w:pPr>
      <w:r>
        <w:t>En esta sentencia se reitera que la Comunitat Valenciana tiene la potestad de coordinación de las diputaciones provinciales —también en la vertiente económica del gasto— siempre que se realice a través de planes sectoriales en los que aquellas participen, lo que sin duda se ha contemplado en la ley ahora impugnada.</w:t>
      </w:r>
    </w:p>
    <w:p w14:paraId="466D7E8B" w14:textId="77777777" w:rsidR="008D479B" w:rsidRDefault="008D479B" w:rsidP="008D479B">
      <w:pPr>
        <w:pStyle w:val="TextoNormal"/>
      </w:pPr>
    </w:p>
    <w:p w14:paraId="20C871B1" w14:textId="77777777" w:rsidR="008D479B" w:rsidRDefault="008D479B" w:rsidP="008D479B">
      <w:pPr>
        <w:pStyle w:val="TextoNormal"/>
      </w:pPr>
      <w:r>
        <w:t>En relación con la posible vulneración del art. 64.3 del Estatuto de Autonomía de la Comunitat Valenciana aducida en el recurso de inconstitucionalidad, se ha de recordar, en primer lugar, que este dispone lo siguiente: “Para potenciar la autonomía local sobre la base del principio de subsidiariedad, por ley de les Corts, se creará el Fondo de Cooperación Municipal de la Comunitat Valenciana con los mismos criterios que el fondo estatal”. Pues bien, dicho fondo estatal es, según alegan les Corts Valencianes, el fondo complementario de financiación de los municipios contemplado en el Texto refundido de la Ley reguladora de las haciendas locales, aprobado por Real Decreto Legislativo 2/2004, de 5 de marzo, en su capítulo IV (arts. 118 a 126).</w:t>
      </w:r>
    </w:p>
    <w:p w14:paraId="537FE886" w14:textId="77777777" w:rsidR="008D479B" w:rsidRDefault="008D479B" w:rsidP="008D479B">
      <w:pPr>
        <w:pStyle w:val="TextoNormal"/>
      </w:pPr>
    </w:p>
    <w:p w14:paraId="5C80B6B7" w14:textId="77777777" w:rsidR="008D479B" w:rsidRDefault="008D479B" w:rsidP="008D479B">
      <w:pPr>
        <w:pStyle w:val="TextoNormal"/>
      </w:pPr>
      <w:r>
        <w:t>Y el régimen contemplado en esta norma es doble: para los municipios capital de provincia o de comunidad autónoma o con una población de Derecho de 75 000 habitantes o más; y para los municipios con menor población. Respecto de los primeros, la participación se fija a partir de un año base (2004), desde el que se establece un “índice de evolución”, que se determina por el incremento de ingresos tributarios del Estado. Por lo que se refiere a los segundos, la distribución del importe total también se fija a partir del año base de 2004, y el importe total se distribuye del siguiente modo (art. 124 del texto refundido): un 75 por 100 en función del número de habitantes; un 12,5 por 100 por el esfuerzo fiscal medio ponderado por el número de habitantes de Derecho; y el 12,5 por 100 restante en función del inverso de la capacidad tributaria en los términos que establezcan las Leyes de presupuestos generales del Estado.</w:t>
      </w:r>
    </w:p>
    <w:p w14:paraId="6606DE63" w14:textId="77777777" w:rsidR="008D479B" w:rsidRDefault="008D479B" w:rsidP="008D479B">
      <w:pPr>
        <w:pStyle w:val="TextoNormal"/>
      </w:pPr>
    </w:p>
    <w:p w14:paraId="32318C92" w14:textId="77777777" w:rsidR="008D479B" w:rsidRDefault="008D479B" w:rsidP="008D479B">
      <w:pPr>
        <w:pStyle w:val="TextoNormal"/>
      </w:pPr>
      <w:r>
        <w:t>Las reglas de distribución del fondo de cooperación municipal diseñado por la ley impugnada se hacen también en función del número de habitantes de Derecho de cada entidad beneficiaria [art. 7 b)], a la que se añade un importe mínimo anual para todos los municipios y entidades locales menores [art. 7 a)], y otro importe mínimo anual para el desarrollo de los pueblos con más dificultades debido a factores como la despoblación [art. 7 c)].</w:t>
      </w:r>
    </w:p>
    <w:p w14:paraId="0D8E9FBA" w14:textId="77777777" w:rsidR="008D479B" w:rsidRDefault="008D479B" w:rsidP="008D479B">
      <w:pPr>
        <w:pStyle w:val="TextoNormal"/>
      </w:pPr>
    </w:p>
    <w:p w14:paraId="71FA772D" w14:textId="77777777" w:rsidR="008D479B" w:rsidRDefault="008D479B" w:rsidP="008D479B">
      <w:pPr>
        <w:pStyle w:val="TextoNormal"/>
      </w:pPr>
      <w:r>
        <w:t>Estas reglas, según les Corts, no son opuestas a las contenidas en el texto refundido de la Ley reguladora de las haciendas locales, sino que son coincidentes en su mayor proporción (el 75 por 100 por población de Derecho) o complementarias, por lo que no existe, a su parecer, contravención de lo dispuesto en el Estatuto de Autonomía. A lo sumo, para evitar dudas en el desarrollo de la ley autonómica, cabría la fijación de una interpretación conforme según la cual las reglas de distribución del fondo de cooperación municipal que se contemplan en el artículo 7 de la Ley valenciana deben interpretarse de conformidad con lo dispuesto en aquella norma estatal reguladora de las haciendas locales, en línea a como se realizó por el Tribunal Constitucional en la STC 331/1993 [FJ 3 A)].</w:t>
      </w:r>
    </w:p>
    <w:p w14:paraId="10E1BDF1" w14:textId="77777777" w:rsidR="008D479B" w:rsidRDefault="008D479B" w:rsidP="008D479B">
      <w:pPr>
        <w:pStyle w:val="TextoNormal"/>
      </w:pPr>
    </w:p>
    <w:p w14:paraId="7B50A855" w14:textId="77777777" w:rsidR="008D479B" w:rsidRDefault="008D479B" w:rsidP="008D479B">
      <w:pPr>
        <w:pStyle w:val="TextoNormal"/>
      </w:pPr>
      <w:r>
        <w:t>En relación con la posible inconstitucionalidad de los preceptos impugnados, les Corts Valencianes señalan que en el recurso se hace una argumentación genérica respecto a la ley impugnada, pero no se concretan específicamente los motivos de impugnación en relación con cada uno de los preceptos recurridos. Como, en su opinión, lo procedente es singularizar la argumentación en relación con cada uno de los preceptos impugnados, procede a hacerlo del siguiente modo:</w:t>
      </w:r>
    </w:p>
    <w:p w14:paraId="7B802C33" w14:textId="77777777" w:rsidR="008D479B" w:rsidRDefault="008D479B" w:rsidP="008D479B">
      <w:pPr>
        <w:pStyle w:val="TextoNormal"/>
      </w:pPr>
    </w:p>
    <w:p w14:paraId="45EDA3A0" w14:textId="77777777" w:rsidR="008D479B" w:rsidRDefault="008D479B" w:rsidP="008D479B">
      <w:pPr>
        <w:pStyle w:val="TextoNormal"/>
      </w:pPr>
      <w:r>
        <w:t>- En relación con el art. 2.2, según les Corts, la posibilidad de declarar de interés general de la Comunitat Valenciana las funciones de asistencia y cooperación jurídica, económica y técnica de las diputaciones provinciales a los municipios está fuera de toda duda, habida cuenta de la jurisprudencia constitucional recaída en la materia (SSTC 27/1987 y 82/2020, ambas relativas a sendas leyes valencianas).</w:t>
      </w:r>
    </w:p>
    <w:p w14:paraId="6397257F" w14:textId="77777777" w:rsidR="008D479B" w:rsidRDefault="008D479B" w:rsidP="008D479B">
      <w:pPr>
        <w:pStyle w:val="TextoNormal"/>
      </w:pPr>
    </w:p>
    <w:p w14:paraId="5BECF99B" w14:textId="77777777" w:rsidR="008D479B" w:rsidRDefault="008D479B" w:rsidP="008D479B">
      <w:pPr>
        <w:pStyle w:val="TextoNormal"/>
      </w:pPr>
      <w:r>
        <w:t>- Para les Corts es llamativa la impugnación del inciso “y las diputaciones provinciales”, incluido en el art. 5.1, porque los recurrentes nada oponen a la existencia del fondo, ni a las finalidades por él perseguidas, ni siquiera a la participación de las diputaciones provinciales en él (solo a que esta sea obligatoria). Que se integre a dichas administraciones provinciales en el fondo de cooperación municipal no solo resulta pacífico a la luz del marco competencial de aplicación, sino que han estado integradas en él desde la Ley valenciana de régimen local de 2010. Y que ese fondo de cooperación se estructure a través de un plan sectorial anual no es sino consecuencia de la necesidad de realizar la coordinación y cooperación a través de una planificación en la que participen todas las administraciones implicadas, como ha venido exigiendo en su jurisprudencia este tribunal.</w:t>
      </w:r>
    </w:p>
    <w:p w14:paraId="3A74A3B1" w14:textId="77777777" w:rsidR="008D479B" w:rsidRDefault="008D479B" w:rsidP="008D479B">
      <w:pPr>
        <w:pStyle w:val="TextoNormal"/>
      </w:pPr>
    </w:p>
    <w:p w14:paraId="2C9E80B9" w14:textId="77777777" w:rsidR="008D479B" w:rsidRDefault="008D479B" w:rsidP="008D479B">
      <w:pPr>
        <w:pStyle w:val="TextoNormal"/>
      </w:pPr>
      <w:r>
        <w:t>Según les Corts, la incidencia en la capacidad de gasto de las diputaciones provinciales es viable conforme a la STC 109/1998, y además se ha de tener en cuenta que ello se hace tras el proceso participativo de las corporaciones locales, que también está previsto en la elaboración del plan sectorial anual a través de la comisión de colaboración y coordinación del fondo de cooperación municipal regulada en el art. 11 de la ley recurrida, en la que seis de sus dieciocho miembros representan a las diputaciones provinciales.</w:t>
      </w:r>
    </w:p>
    <w:p w14:paraId="0B8225AE" w14:textId="77777777" w:rsidR="008D479B" w:rsidRDefault="008D479B" w:rsidP="008D479B">
      <w:pPr>
        <w:pStyle w:val="TextoNormal"/>
      </w:pPr>
    </w:p>
    <w:p w14:paraId="3C91E48E" w14:textId="77777777" w:rsidR="008D479B" w:rsidRDefault="008D479B" w:rsidP="008D479B">
      <w:pPr>
        <w:pStyle w:val="TextoNormal"/>
      </w:pPr>
      <w:r>
        <w:t>Tal y como se refiere en la STC 101/2017, “[e]l legislador debe [...] asegurar a los entes locales niveles de capacidad decisoria tendencialmente correlativos a la intensidad de los intereses locales implicados [entre otras, SSTC 154/2015, FJ 6 a); 41/2016, FFJJ 9, 11 b), y 111/2016, FFJJ 9 y 12 c)]. La STC 152/2016, de 22 de septiembre, FJ 6, lo expresa del modo siguiente: para valorar si el legislador ha vulnerado la indicada garantía ‘corresponde determinar: i) si hay intereses supralocales que justifiquen … esta regulación; ii) si el legislador … ha ponderado los intereses municipales afectados; y iii) si ha asegurado a los ayuntamientos implicados un nivel de intervención tendencialmente correlativo a la intensidad de tales intereses. Todo ello sobre la base de que [el legislador] puede ejercer en uno u otro sentido su libertad de configuración a la hora de distribuir funciones, pero garantizando el derecho de la comunidad local a participar’” (FJ 5).</w:t>
      </w:r>
    </w:p>
    <w:p w14:paraId="693A71E5" w14:textId="77777777" w:rsidR="008D479B" w:rsidRDefault="008D479B" w:rsidP="008D479B">
      <w:pPr>
        <w:pStyle w:val="TextoNormal"/>
      </w:pPr>
    </w:p>
    <w:p w14:paraId="47F61286" w14:textId="77777777" w:rsidR="008D479B" w:rsidRDefault="008D479B" w:rsidP="008D479B">
      <w:pPr>
        <w:pStyle w:val="TextoNormal"/>
      </w:pPr>
      <w:r>
        <w:t>En razón de todo ello, según les Corts Valencianes, el inciso impugnado de este precepto no ofrece tacha de inconstitucionalidad.</w:t>
      </w:r>
    </w:p>
    <w:p w14:paraId="74BDE2E8" w14:textId="77777777" w:rsidR="008D479B" w:rsidRDefault="008D479B" w:rsidP="008D479B">
      <w:pPr>
        <w:pStyle w:val="TextoNormal"/>
      </w:pPr>
    </w:p>
    <w:p w14:paraId="59BE576D" w14:textId="77777777" w:rsidR="008D479B" w:rsidRDefault="008D479B" w:rsidP="008D479B">
      <w:pPr>
        <w:pStyle w:val="TextoNormal"/>
      </w:pPr>
      <w:r>
        <w:t>- Por lo que se refiere a la impugnación del inciso del art. 5.2 de la Ley valenciana, consideran les Corts que este precepto solamente prevé que las diputaciones provinciales participen en el plan sectorial, algo que está en la línea mantenida por este tribunal de exigir la participación de los entes implicados en la coordinación a realizar por la comunidad autónoma, por lo que no cabe reproche alguno de constitucionalidad.</w:t>
      </w:r>
    </w:p>
    <w:p w14:paraId="2FE33669" w14:textId="77777777" w:rsidR="008D479B" w:rsidRDefault="008D479B" w:rsidP="008D479B">
      <w:pPr>
        <w:pStyle w:val="TextoNormal"/>
      </w:pPr>
    </w:p>
    <w:p w14:paraId="573F571C" w14:textId="77777777" w:rsidR="008D479B" w:rsidRDefault="008D479B" w:rsidP="008D479B">
      <w:pPr>
        <w:pStyle w:val="TextoNormal"/>
      </w:pPr>
      <w:r>
        <w:t>- En cuanto al art. 5.5, que se impugna íntegramente, según les Corts, se ha de señalar que la previsión que contiene es consecuencia de la facultad de coordinación de la administración autonómica que contempla la Ley, por lo que no hay duda de su constitucionalidad.</w:t>
      </w:r>
    </w:p>
    <w:p w14:paraId="2498544A" w14:textId="77777777" w:rsidR="008D479B" w:rsidRDefault="008D479B" w:rsidP="008D479B">
      <w:pPr>
        <w:pStyle w:val="TextoNormal"/>
      </w:pPr>
    </w:p>
    <w:p w14:paraId="627E6B3C" w14:textId="77777777" w:rsidR="008D479B" w:rsidRDefault="008D479B" w:rsidP="008D479B">
      <w:pPr>
        <w:pStyle w:val="TextoNormal"/>
      </w:pPr>
      <w:r>
        <w:t>- Respecto del art. 5.6, también impugnado íntegramente, reiteran lo expuesto en el punto anterior: se trata de hacer realidad la coordinación que ha de ejercer la comunidad autónoma, cuya constitucionalidad se ha reiterado ya.</w:t>
      </w:r>
    </w:p>
    <w:p w14:paraId="2F75FA6E" w14:textId="77777777" w:rsidR="008D479B" w:rsidRDefault="008D479B" w:rsidP="008D479B">
      <w:pPr>
        <w:pStyle w:val="TextoNormal"/>
      </w:pPr>
    </w:p>
    <w:p w14:paraId="35C69119" w14:textId="77777777" w:rsidR="008D479B" w:rsidRDefault="008D479B" w:rsidP="008D479B">
      <w:pPr>
        <w:pStyle w:val="TextoNormal"/>
      </w:pPr>
      <w:r>
        <w:t>- En relación con el art. 7, a tenor de les Corts, sus prescripciones tienen la lógica interna del sistema que se ha aprobado: objetivar el sistema de financiación de las administraciones municipales, de forma que estas sepan con qué medios cuentan para ejercer sus competencias propias, decidiendo libremente como las ejercen. Con el sistema diseñado por la ley, serán los ayuntamientos los que, conociendo los ingresos que les corresponde como financiación, decidan como ejercer en concreto sus competencias, sin tener que postergar sus políticas públicas propias en detrimento de los fines que fije en sus subvenciones la diputación de la provincia en que estén situados.</w:t>
      </w:r>
    </w:p>
    <w:p w14:paraId="688B3718" w14:textId="77777777" w:rsidR="008D479B" w:rsidRDefault="008D479B" w:rsidP="008D479B">
      <w:pPr>
        <w:pStyle w:val="TextoNormal"/>
      </w:pPr>
    </w:p>
    <w:p w14:paraId="551F603A" w14:textId="77777777" w:rsidR="008D479B" w:rsidRDefault="008D479B" w:rsidP="008D479B">
      <w:pPr>
        <w:pStyle w:val="TextoNormal"/>
      </w:pPr>
      <w:r>
        <w:t>En línea con estos argumentos, que se objetiven los criterios para asignar las cuantías concretas que corresponden a cada municipio como financiación del fondo de cooperación, fijado globalmente en el plan sectorial anual (previa audiencia de las diputaciones provinciales), no solo no resulta inconstitucional, en opinión de les Corts, sino que, por el contrario, es lo más acorde con el respeto de la autonomía municipal, por lo que se ha de rechazar la impugnación del art. 7. También en lo que se refiere a su posible infracción del art. 64.3 EACV, pues el fondo estatal al que se refiere este precepto es el fondo complementario de financiación de los municipios contemplado en el texto refundido de la Ley reguladora de las haciendas locales, según se señaló más arriba. En esta normativa estatal no se fija propiamente criterio de distribución en relación con los grandes municipios, y respecto de los de menos de 75 000 habitantes, tres cuartas partes de la asignación se hace en base al criterio poblacional.</w:t>
      </w:r>
    </w:p>
    <w:p w14:paraId="470F1B24" w14:textId="77777777" w:rsidR="008D479B" w:rsidRDefault="008D479B" w:rsidP="008D479B">
      <w:pPr>
        <w:pStyle w:val="TextoNormal"/>
      </w:pPr>
    </w:p>
    <w:p w14:paraId="1916F304" w14:textId="77777777" w:rsidR="008D479B" w:rsidRDefault="008D479B" w:rsidP="008D479B">
      <w:pPr>
        <w:pStyle w:val="TextoNormal"/>
      </w:pPr>
      <w:r>
        <w:t>Por su parte, en el art. 7 de la Ley valenciana se fijan las reglas de distribución del fondo de cooperación municipal también en función del número de habitantes de Derecho de cada entidad beneficiaria [art. 7 b)] a la que se añaden un importe mínimo para todos los municipios y entidades locales menores [art. 7 a)] y otro importe mínimo anual para el desarrollo de los pueblos en más dificultades por factores como la despoblación [art. 7 c)], sin que, según les Corts, sean estas reglas opuestas a las contenidas en el texto refundido de la Ley reguladora de las haciendas locales, ni respecto de los grandes municipios, en que no se calcula con base a “criterio” alguno, ni respecto del resto de municipios, pues el criterio es coincidente en su mayor proporción (el 75 por 100 de la población de Derecho) o complementario, por lo que no cabe apreciar contravención de lo dispuesto en el estatuto de autonomía.</w:t>
      </w:r>
    </w:p>
    <w:p w14:paraId="59D5A1D7" w14:textId="77777777" w:rsidR="008D479B" w:rsidRDefault="008D479B" w:rsidP="008D479B">
      <w:pPr>
        <w:pStyle w:val="TextoNormal"/>
      </w:pPr>
    </w:p>
    <w:p w14:paraId="10A10D26" w14:textId="77777777" w:rsidR="008D479B" w:rsidRDefault="008D479B" w:rsidP="008D479B">
      <w:pPr>
        <w:pStyle w:val="TextoNormal"/>
      </w:pPr>
      <w:r>
        <w:t>En su caso, de entenderse que el 25 por 100 restante debería someterse expresamente a lo dispuesto para los municipios de menos de 75 000 habitantes en la legislación estatal, lo que procedería, en opinión de les Corts, es fijar una interpretación conforme según la cual las reglas de distribución del fondo de cooperación municipal contempladas en el art. 7 de la Ley valenciana se deban de interpretar de conformidad con lo previsto en la norma estatal, tal y como se realizó en la STC 331/1993 [FJ 3 A)].</w:t>
      </w:r>
    </w:p>
    <w:p w14:paraId="5676E34E" w14:textId="77777777" w:rsidR="008D479B" w:rsidRDefault="008D479B" w:rsidP="008D479B">
      <w:pPr>
        <w:pStyle w:val="TextoNormal"/>
      </w:pPr>
    </w:p>
    <w:p w14:paraId="7B684B29" w14:textId="77777777" w:rsidR="008D479B" w:rsidRDefault="008D479B" w:rsidP="008D479B">
      <w:pPr>
        <w:pStyle w:val="TextoNormal"/>
      </w:pPr>
      <w:r>
        <w:t>- Por lo que se refiere, finalmente, al art. 8, alegan les Corts que este precepto viene a concretar, respecto de las diputaciones provinciales, el esquema diseñado por la ley, cuya constitucionalidad se ha defendido: la asignación de cuantías presupuestarias incondicionadas a los municipios, para que estos ejerzan sus competencias de forma autónoma, excluyéndose dichas cuantías del régimen subvencional de las diputaciones provinciales, con la finalidad de que no sean estas administraciones las que fijen los objetivos a perseguir por los municipios. De este modo, las diputaciones provinciales aportarán a los municipios de su ámbito geográfico los recursos previstos en el plan sectorial de financiación básica del fondo de cooperación municipal, en cuyo diseño habrá participado a través de la comisión creada al efecto en el artículo 11 de la ley, por lo que no se observa tacha de inconstitucionalidad alguna a la luz de la jurisprudencia anteriormente reseñada.</w:t>
      </w:r>
    </w:p>
    <w:p w14:paraId="225A5E1B" w14:textId="77777777" w:rsidR="008D479B" w:rsidRDefault="008D479B" w:rsidP="008D479B">
      <w:pPr>
        <w:pStyle w:val="TextoNormal"/>
      </w:pPr>
    </w:p>
    <w:p w14:paraId="59773DC1" w14:textId="0B5114C7" w:rsidR="008D479B" w:rsidRDefault="008D479B" w:rsidP="008D479B">
      <w:pPr>
        <w:pStyle w:val="TextoNormal"/>
      </w:pPr>
      <w:r>
        <w:t>En definitiva, por todos estos motivos, les Corts Valencianes solicitan que se estime la cuestión previa planteada al inicio de su escrito y, en el supuesto de que se entre a conocer del fondo del asunto, que se dicte sentencia desestimatoria del recurso de inconstitucionalidad. De manera subsidiaria, y con relación específicamente al artículo 7 de la ley impugnada, para el supuesto de que se estime que su literalidad podría conducir a interpretaciones o a un desarrollo de la ley no adecuado al bloque de constitucionalidad, solicitan que se realice una interpretación conforme con el artículo 64.3 EACV, tal y como se ha argumentado más arriba. Finalmente, en el supuesto de entrar a conocer del fondo del asunto, solicitan la acumulación de este proceso de inconstitucionalidad con el que bajo el número 874-2022 han interpuesto cincuenta diputados del Grupo Parlamentario de Vox en el Congreso.</w:t>
      </w:r>
    </w:p>
    <w:p w14:paraId="76CC9972" w14:textId="77777777" w:rsidR="008D479B" w:rsidRDefault="008D479B" w:rsidP="008D479B">
      <w:pPr>
        <w:pStyle w:val="TextoNormal"/>
      </w:pPr>
    </w:p>
    <w:p w14:paraId="7E088DFE" w14:textId="77777777" w:rsidR="008D479B" w:rsidRDefault="008D479B" w:rsidP="008D479B">
      <w:pPr>
        <w:pStyle w:val="TextoNormal"/>
      </w:pPr>
      <w:r w:rsidRPr="008D479B">
        <w:rPr>
          <w:rStyle w:val="NumeroAFNegritaCaracter"/>
        </w:rPr>
        <w:t>9</w:t>
      </w:r>
      <w:r>
        <w:t>. El abogado de la Generalitat Valenciana formuló las siguientes alegaciones al recurso de inconstitucionalidad:</w:t>
      </w:r>
    </w:p>
    <w:p w14:paraId="0ACCE89F" w14:textId="77777777" w:rsidR="008D479B" w:rsidRDefault="008D479B" w:rsidP="008D479B">
      <w:pPr>
        <w:pStyle w:val="TextoNormal"/>
      </w:pPr>
    </w:p>
    <w:p w14:paraId="630DEC35" w14:textId="77777777" w:rsidR="008D479B" w:rsidRDefault="008D479B" w:rsidP="008D479B">
      <w:pPr>
        <w:pStyle w:val="TextoNormal"/>
      </w:pPr>
      <w:r>
        <w:t>Fue la STC 32/1981, de 28 de julio, la que acogió por primera vez el concepto de autonomía de la administración provincial como garantía institucional que confiere al legislador cierta libertad en la configuración de la provincia, pero también límites efectivos, aunque imprecisos:</w:t>
      </w:r>
    </w:p>
    <w:p w14:paraId="2E1799C6" w14:textId="77777777" w:rsidR="008D479B" w:rsidRDefault="008D479B" w:rsidP="008D479B">
      <w:pPr>
        <w:pStyle w:val="TextoNormal"/>
      </w:pPr>
    </w:p>
    <w:p w14:paraId="69ACC0CB" w14:textId="77777777" w:rsidR="008D479B" w:rsidRDefault="008D479B" w:rsidP="008D479B">
      <w:pPr>
        <w:pStyle w:val="TextoNormal"/>
      </w:pPr>
      <w:r>
        <w:t>“[A] diferencia de lo que sucede con las instituciones supremas del Estado, cuya regulación orgánica se hace en el propio texto constitucional, en estas la configuración institucional concreta se defiere al legislador ordinario, al que no se fija más límite que el del reducto indisponible o núcleo esencial de la institución que la Constitución garantiza. Por definición, en consecuencia, la garantía institucional no asegura un contenido concreto o un ámbito competencial determinado y fijado de una vez por todas, sino la preservación de una institución en términos recognoscibles para la imagen que de la misma tiene la conciencia social en cada tiempo y lugar” (FJ 3).</w:t>
      </w:r>
    </w:p>
    <w:p w14:paraId="2A08CB52" w14:textId="77777777" w:rsidR="008D479B" w:rsidRDefault="008D479B" w:rsidP="008D479B">
      <w:pPr>
        <w:pStyle w:val="TextoNormal"/>
      </w:pPr>
    </w:p>
    <w:p w14:paraId="7E200935" w14:textId="77777777" w:rsidR="008D479B" w:rsidRDefault="008D479B" w:rsidP="008D479B">
      <w:pPr>
        <w:pStyle w:val="TextoNormal"/>
      </w:pPr>
      <w:r>
        <w:t>Esta línea argumental se ha ido repitiendo a lo largo de la historia de la jurisprudencia constitucional: SSTC 4/1981, 82/1982, 214/1989, 159/2001, 121/2012, 41/2016 y 82/2020. De este modo, esta autonomía administrativa, que no política (STC 4/1981, de 2 de febrero, FJ 3), es una garantía de configuración legal que sirve para asegurar la pervivencia funcional de las diputaciones provinciales. Por eso, el legislador autonómico puede configurar la autonomía de las diputaciones provinciales e imponerles limitaciones de todo género, siempre que no las vacíe de competencias efectivas, convirtiéndolas en un mero envoltorio institucional vacío y respete la legislación básica del Estado. Como claramente se expone en la STC 27/1987, de 27 de febrero, relativa al Estatuto de Autonomía de la Comunitat Valenciana:</w:t>
      </w:r>
    </w:p>
    <w:p w14:paraId="6F8BB802" w14:textId="77777777" w:rsidR="008D479B" w:rsidRDefault="008D479B" w:rsidP="008D479B">
      <w:pPr>
        <w:pStyle w:val="TextoNormal"/>
      </w:pPr>
    </w:p>
    <w:p w14:paraId="2CB3FF3C" w14:textId="77777777" w:rsidR="008D479B" w:rsidRDefault="008D479B" w:rsidP="008D479B">
      <w:pPr>
        <w:pStyle w:val="TextoNormal"/>
      </w:pPr>
      <w:r>
        <w:t>“Más aún, los estatutos de autonomía establecen disposiciones específicas en materia de régimen local, atribuyendo a las respectivas comunidades autónomas, dentro del marco establecido por la legislación estatal, ciertas competencias en sus relaciones con las entidades locales ubicadas en su territorio. Así, por lo que al presente caso concierne, el EACV dispone en su art. 47.3 [actual art. 66.3] que ‘la Comunidad Valenciana coordinará las funciones propias de las diputaciones provinciales que sean de interés general comunitario. A estos efectos, y en el marco de la legislación del Estado, por Ley de las Cortes Valencianas, aprobada por mayoría absoluta, se establecerán las fórmulas generales de coordinación y la relación de funciones que deban ser coordinadas, fijándose, en su caso, las singularidades que, según la naturaleza de la función, sean indispensables para la más adecuada coordinación. A los efectos de coordinar estas funciones, los presupuestos de las Diputaciones, que estas elaboren y aprueben, se unirán a los de la Generalitat Valenciana’. Por otra parte, el art. 47.5 EACV [actual art. 66.4] dispone que ‘si una diputación provincial no cumpliera las obligaciones que el presente Estatuto y otras Leyes de las Cortes Valencianas le impongan, el Consell, previo requerimiento al presidente de la diputación de que se trate, podrá adoptar las medidas necesarias para obligar a aquella al cumplimiento forzoso de tales obligaciones’, pudiendo en tal caso la diputación recurrir ante el Tribunal Superior de Justicia Valenciano” (FJ 3).</w:t>
      </w:r>
    </w:p>
    <w:p w14:paraId="6C9A7C23" w14:textId="77777777" w:rsidR="008D479B" w:rsidRDefault="008D479B" w:rsidP="008D479B">
      <w:pPr>
        <w:pStyle w:val="TextoNormal"/>
      </w:pPr>
    </w:p>
    <w:p w14:paraId="484D28C6" w14:textId="77777777" w:rsidR="008D479B" w:rsidRDefault="008D479B" w:rsidP="008D479B">
      <w:pPr>
        <w:pStyle w:val="TextoNormal"/>
      </w:pPr>
      <w:r>
        <w:t>En este sentido, según el abogado de la Generalitat Valenciana, basta una lectura somera de los artículos impugnados de la Ley 5/2021 reguladora del fondo de cooperación municipal de los municipios y entidades locales menores para darse cuenta de que bajo ninguna óptica interpretativa se deja a las diputaciones vacantes de funciones, conservando tras la publicación de esta ley su plena operatividad.</w:t>
      </w:r>
    </w:p>
    <w:p w14:paraId="5CA22E4C" w14:textId="77777777" w:rsidR="008D479B" w:rsidRDefault="008D479B" w:rsidP="008D479B">
      <w:pPr>
        <w:pStyle w:val="TextoNormal"/>
      </w:pPr>
    </w:p>
    <w:p w14:paraId="74E34BFA" w14:textId="77777777" w:rsidR="008D479B" w:rsidRDefault="008D479B" w:rsidP="008D479B">
      <w:pPr>
        <w:pStyle w:val="TextoNormal"/>
      </w:pPr>
      <w:r>
        <w:t>De igual modo, la ley impugnada tampoco contiene disposición alguna que contravenga la normativa estatal básica en materia de régimen local, ya que lo que concibe es un desarrollo pormenorizado de la normativa autonómica que forma el bloque de constitucionalidad, siendo plenamente constitucional y respetuosa con las competencias del Estado. En efecto, la Ley 5/2021 desarrolla el apartado 3 del artículo 64 EACV y sustituye al artículo 201 de la Ley 8/2010, de 23 de junio, de la Generalitat, de régimen local de la Comunitat Valenciana, que ya previó la existencia del fondo que ahora se detalla en la Ley 5/2021.</w:t>
      </w:r>
    </w:p>
    <w:p w14:paraId="03663B6B" w14:textId="77777777" w:rsidR="008D479B" w:rsidRDefault="008D479B" w:rsidP="008D479B">
      <w:pPr>
        <w:pStyle w:val="TextoNormal"/>
      </w:pPr>
    </w:p>
    <w:p w14:paraId="6266EA5A" w14:textId="77777777" w:rsidR="008D479B" w:rsidRDefault="008D479B" w:rsidP="008D479B">
      <w:pPr>
        <w:pStyle w:val="TextoNormal"/>
      </w:pPr>
      <w:r>
        <w:t>Frente al reparo de arbitrariedad en la creación del fondo llevado a cabo por los diputados recurrentes, por no existir un interés público que sustente la actividad de coordinación que el fondo pretende, el abogado de la Generalitat sostiene que esto no es así, ya que con anterioridad a la Ley 5/2021 las cantidades que los municipios recibían del fondo de cooperación eran notoriamente desiguales dependiendo de la provincia a la que pertenecieran, porque mientras que la aportación de la Generalitat al fondo era equitativa, las aportaciones de las diputaciones eran discordantes. Ello se tradujo, de una forma clara, en una desigualdad de los ciudadanos en el acceso a los servicios públicos financiados con el fondo de cooperación, lo que justifica la implementación de una medida de coordinación destinada a corregir dichas disfuncionalidades. En consecuencia, según la Generalitat Valenciana, sí existe un interés general como el exigido en el apartado 3 del artículo 66 EACV, interés que justifica la coordinación por parte de la Generalitat de las aportaciones de las diputaciones al fondo creado por la Ley 5/2021.</w:t>
      </w:r>
    </w:p>
    <w:p w14:paraId="343C4C69" w14:textId="77777777" w:rsidR="008D479B" w:rsidRDefault="008D479B" w:rsidP="008D479B">
      <w:pPr>
        <w:pStyle w:val="TextoNormal"/>
      </w:pPr>
    </w:p>
    <w:p w14:paraId="3E0F541A" w14:textId="77777777" w:rsidR="008D479B" w:rsidRDefault="008D479B" w:rsidP="008D479B">
      <w:pPr>
        <w:pStyle w:val="TextoNormal"/>
      </w:pPr>
      <w:r>
        <w:t>Por otro lado, se argumenta por los recurrentes que la actividad de coordinación debe regirse por los mismos principios y reglas que en materia de ingresos y gastos públicos establecen las normas estatales para coordinar, y ponen como ejemplo tanto la Ley reguladora de las bases de régimen local como el texto refundido de la Ley reguladora de las haciendas locales, que crean mecanismos de financiación de servicios públicos análogos. Sin embargo, según el abogado de la Generalitat, se olvida que dichos mecanismos, como el contemplado en el Real Decreto Legislativo 2/2004, no se refieren a fondos de cooperación, sino a un fondo complementario de financiación, cuyos fines y objetivos no tienen relación alguna con el fondo regulado en la Ley 5/2021.</w:t>
      </w:r>
    </w:p>
    <w:p w14:paraId="242F5236" w14:textId="77777777" w:rsidR="008D479B" w:rsidRDefault="008D479B" w:rsidP="008D479B">
      <w:pPr>
        <w:pStyle w:val="TextoNormal"/>
      </w:pPr>
    </w:p>
    <w:p w14:paraId="134E266C" w14:textId="77777777" w:rsidR="008D479B" w:rsidRDefault="008D479B" w:rsidP="008D479B">
      <w:pPr>
        <w:pStyle w:val="TextoNormal"/>
      </w:pPr>
      <w:r>
        <w:t>Además, alega que el hecho de que la normativa básica del Estado cree y regule unos mecanismos de coordinación, no limita la creación de otros por las comunidades autónomas que sean necesarios y adecuados a la realidad provincial de cada comunidad autónoma. La creación de mecanismos de cooperación adaptados a la realidad de cada comunidad autónoma corresponderá al legislativo de la correspondiente autonomía, en base a las peculiaridades territoriales y poblacionales de la comunidad correspondiente. Y se apoya, a tal efecto, en lo afirmado por este tribunal en la STC 82/2020 de 15 de julio: “En efecto, entre tales mecanismos de intervención que limitan la autonomía municipal —o la autonomía provincial— se encontraría, entre otros, la previsión de facultades de coordinación de la actividad de las corporaciones locales por el Estado o por las comunidades autónomas, según el régimen de distribución de competencias entre aquel y estas. Así, la facultad de coordinación se orienta a flexibilizar y prevenir disfunciones derivadas del propio sistema de distribución de competencias, aunque sin alterar, en ninguno de los casos la titularidad y el ejercicio de las competencias propias de los entes en relación” (FJ 5).</w:t>
      </w:r>
    </w:p>
    <w:p w14:paraId="7173F51B" w14:textId="77777777" w:rsidR="008D479B" w:rsidRDefault="008D479B" w:rsidP="008D479B">
      <w:pPr>
        <w:pStyle w:val="TextoNormal"/>
      </w:pPr>
    </w:p>
    <w:p w14:paraId="758227ED" w14:textId="77777777" w:rsidR="008D479B" w:rsidRDefault="008D479B" w:rsidP="008D479B">
      <w:pPr>
        <w:pStyle w:val="TextoNormal"/>
      </w:pPr>
      <w:r>
        <w:t>Y en la STC 154/2015, de 9 de julio: “Consecuentemente, en ámbitos de competencia autonómica, corresponde a las comunidades autónomas especificar las atribuciones de los entes locales ajustándose a esos criterios y ponderando en todo caso el alcance o intensidad de los intereses locales y supralocales implicados [SSTC 61/1997, de 20 de marzo, FJ 25 b); 40/1998, de 19 de febrero, FJ 39; 159/2001, de 5 de julio, FJ 12, y 51/2004, de 13 de abril, FJ 9]. Ello implica que, en relación con los asuntos de competencia autonómica que atañen a los entes locales, la comunidad autónoma puede ejercer en uno u otro sentido su libertad de configuración a la hora de distribuir funciones, pero debe asegurar en todo caso el ‘derecho de la comunidad local a participar a través de órganos propios en el gobierno y administración’ (STC 32/1981, FJ 4). Se trata de que el legislador gradúe el alcance o intensidad de la intervención local ‘en función de la relación existente entre los intereses locales y supralocales dentro de tales asuntos o materias’ (SSTC 32/1981, FJ 4; 170/1989, 19 de octubre, FJ 9, y 51/2004, FJ 9, entre muchas; en el mismo sentido, últimamente, SSTC 95/2014, de 12 de junio, FJ 5; 57/2015, de 18 de marzo, FJ 6, y 92/2015, de 14 de mayo, FJ 4)” (FJ 6).</w:t>
      </w:r>
    </w:p>
    <w:p w14:paraId="1EBF9797" w14:textId="77777777" w:rsidR="008D479B" w:rsidRDefault="008D479B" w:rsidP="008D479B">
      <w:pPr>
        <w:pStyle w:val="TextoNormal"/>
      </w:pPr>
    </w:p>
    <w:p w14:paraId="48910C39" w14:textId="77777777" w:rsidR="008D479B" w:rsidRDefault="008D479B" w:rsidP="008D479B">
      <w:pPr>
        <w:pStyle w:val="TextoNormal"/>
      </w:pPr>
      <w:r>
        <w:t>En definitiva, según el abogado de la Generalitat, la coordinación se orienta a flexibilizar y prevenir disfunciones derivadas del propio sistema de distribución de competencias y debe graduarse en función de los intereses locales o supralocales presentes, pudiendo tener un ámbito estatal y otro autonómico, distinto del estatal y adaptado a la realidad correspondiente a los intereses locales y supralocales existentes en la concreta comunidad autónoma.</w:t>
      </w:r>
    </w:p>
    <w:p w14:paraId="23BF7E0C" w14:textId="77777777" w:rsidR="008D479B" w:rsidRDefault="008D479B" w:rsidP="008D479B">
      <w:pPr>
        <w:pStyle w:val="TextoNormal"/>
      </w:pPr>
    </w:p>
    <w:p w14:paraId="1C4755F5" w14:textId="77777777" w:rsidR="008D479B" w:rsidRDefault="008D479B" w:rsidP="008D479B">
      <w:pPr>
        <w:pStyle w:val="TextoNormal"/>
      </w:pPr>
      <w:r>
        <w:t>Por lo que se refiere a la objeción relativa a la existencia de mecanismos menos lesivos para equiparar las aportaciones de las diputaciones provinciales a la financiación de un nivel mínimo de servicios públicos, según el abogado de la Generalitat, la constitucionalidad de la Ley 5/2021 ha de tener en cuenta la finalidad de conseguir una financiación equitativa de los servicios públicos locales básicos en todos los municipios de la Comunitat Valenciana, para lo que la ley obliga a las diputaciones a participar presupuestariamente en el fondo y a cumplir, a través de sus presupuestos anuales, con los objetivos básicos anuales que garanticen que toda la ciudadanía reciba un nivel mínimo de prestaciones en los servicios públicos locales.</w:t>
      </w:r>
    </w:p>
    <w:p w14:paraId="1CC20624" w14:textId="77777777" w:rsidR="008D479B" w:rsidRDefault="008D479B" w:rsidP="008D479B">
      <w:pPr>
        <w:pStyle w:val="TextoNormal"/>
      </w:pPr>
    </w:p>
    <w:p w14:paraId="6C986C9D" w14:textId="77777777" w:rsidR="008D479B" w:rsidRDefault="008D479B" w:rsidP="008D479B">
      <w:pPr>
        <w:pStyle w:val="TextoNormal"/>
      </w:pPr>
      <w:r>
        <w:t>Pues bien, desde el punto de vista de la coordinación de la financiación de servicios públicos locales, señala el abogado de la Generalitat que las únicas medidas posibles son las previstas en la Ley 5/2021, esto es, la obligación de contribuir al fondo de cooperación municipal y de financiar presupuestariamente determinados servicios públicos. La alternativa menos lesiva era la existente con anterioridad a la Ley 5/2021, que establecía una participación voluntaria en dicho fondo creado por el artículo 64 EACV, pero se demostró ineficaz y aquejó falta de equidad y de coherencia interadministrativa. De ahí que resultase necesario pasar de la voluntariedad a la obligatoriedad, más proporcional y adecuada de acuerdo con lo fijado por la STC 82/2020 de 15 de julio, cuando recopilando la doctrina constitucional en la materia expone:</w:t>
      </w:r>
    </w:p>
    <w:p w14:paraId="412FDF88" w14:textId="77777777" w:rsidR="008D479B" w:rsidRDefault="008D479B" w:rsidP="008D479B">
      <w:pPr>
        <w:pStyle w:val="TextoNormal"/>
      </w:pPr>
    </w:p>
    <w:p w14:paraId="5D85D5DE" w14:textId="77777777" w:rsidR="008D479B" w:rsidRDefault="008D479B" w:rsidP="008D479B">
      <w:pPr>
        <w:pStyle w:val="TextoNormal"/>
      </w:pPr>
      <w:r>
        <w:t>“Por lo tanto, la facultad de coordinación en la medida en que permite someter a los entes locales coordinados a ‘un cierto poder de dirección’, constituye un mecanismo de intervención que tiene una evidente afectación sobre la autonomía local. Es esta posibilidad de afectación de la autonomía constitucionalmente reconocida la que exige la existencia de límites a la función de coordinación. Límites que, tanto en la doctrina constitucional como en la propia legislación básica, han quedado concretados en una serie de exigencias sustantivas y procedimentales que se imponen a toda previsión de la referida facultad de coordinación.</w:t>
      </w:r>
    </w:p>
    <w:p w14:paraId="7AAF6FD2" w14:textId="77777777" w:rsidR="008D479B" w:rsidRDefault="008D479B" w:rsidP="008D479B">
      <w:pPr>
        <w:pStyle w:val="TextoNormal"/>
      </w:pPr>
    </w:p>
    <w:p w14:paraId="629CB76E" w14:textId="77777777" w:rsidR="008D479B" w:rsidRDefault="008D479B" w:rsidP="008D479B">
      <w:pPr>
        <w:pStyle w:val="TextoNormal"/>
      </w:pPr>
      <w:r>
        <w:t>En efecto, del reconocimiento que se realiza en los arts. 137, 140 y 141 CE de la autonomía local, y siguiendo lo razonado en la STC 111/2016, de 9 de junio —en aquella ocasión para el supuesto de la facultad de coordinación de los municipios por parte de las diputaciones provinciales—, cabe extraer también para el supuesto de la previsión de una facultad autonómica de coordinación sobre las diputaciones que la misma, además de estar específicamente atribuida y suficientemente predeterminada, debe responder a la protección de intereses generales o comunitarios. Se trata de una doble exigencia constitucional de predeterminación y proporcionalidad” (FJ 6).</w:t>
      </w:r>
    </w:p>
    <w:p w14:paraId="7A4466DF" w14:textId="77777777" w:rsidR="008D479B" w:rsidRDefault="008D479B" w:rsidP="008D479B">
      <w:pPr>
        <w:pStyle w:val="TextoNormal"/>
      </w:pPr>
    </w:p>
    <w:p w14:paraId="67505B24" w14:textId="78CBF371" w:rsidR="008D479B" w:rsidRDefault="008D479B" w:rsidP="008D479B">
      <w:pPr>
        <w:pStyle w:val="TextoNormal"/>
      </w:pPr>
      <w:r>
        <w:t>Finalmente, por lo que se refiere a la exigencia de que la limitación de la autonomía provincial esté suficientemente predeterminada por la ley, el abogado de la Generalitat recuerda lo afirmado por la STC 111/2016, de 9 de junio, relativa a la Ley 27/2013, de racionalización y sostenibilidad de la administración local, para acabar concluyendo que la predeterminación y concreción de la Ley 5/2021 es muy superior a la de esta, declarada constitucional en este aspecto por el Tribunal Constitucional. En definitiva, según el abogado de la Generalitat, el grado de predeterminación de la limitación previsto en la ley impugnada es muy superior al exigido de ordinario por la jurisprudencia del máximo intérprete de la Constitución, con lo que, en su opinión, se cumplen los cánones exigidos tanto por el Tribunal Constitucional como por el artículo 59 LBRL. Y, en conclusión, cabe entender que “la Ley 5/2021, de 5 de noviembre, reguladora del fondo de cooperación municipal de los municipios y entidades locales menores de la Comunitat Valenciana cumple con los requisitos exigidos por la legislación básica y por la doctrina del Tribunal Constitucional al obedecer a un interés público comprobado, ser proporcional, estar suficientemente predeterminada y ejecutarse mediante un planeamiento sectorial previo” (con cita de la STC 82/2020, FJ 6).</w:t>
      </w:r>
    </w:p>
    <w:p w14:paraId="1D6F3392" w14:textId="77777777" w:rsidR="008D479B" w:rsidRDefault="008D479B" w:rsidP="008D479B">
      <w:pPr>
        <w:pStyle w:val="TextoNormal"/>
      </w:pPr>
    </w:p>
    <w:p w14:paraId="5C7E7307" w14:textId="7A0FAF41" w:rsidR="008D479B" w:rsidRDefault="008D479B" w:rsidP="008D479B">
      <w:pPr>
        <w:pStyle w:val="TextoNormal"/>
      </w:pPr>
      <w:r w:rsidRPr="008D479B">
        <w:rPr>
          <w:rStyle w:val="NumeroAFNegritaCaracter"/>
        </w:rPr>
        <w:t>10</w:t>
      </w:r>
      <w:r>
        <w:t>. Por providencia de 26 de septiembre de 2023, se señaló ese mismo día para deliberación y votación de la presente sentencia.</w:t>
      </w:r>
    </w:p>
    <w:p w14:paraId="4A236029" w14:textId="77777777" w:rsidR="008D479B" w:rsidRDefault="008D479B" w:rsidP="008D479B">
      <w:pPr>
        <w:pStyle w:val="TextoNormal"/>
      </w:pPr>
    </w:p>
    <w:p w14:paraId="0BCC320D" w14:textId="77777777" w:rsidR="008D479B" w:rsidRDefault="008D479B" w:rsidP="008D479B">
      <w:pPr>
        <w:pStyle w:val="TextoNormalNegritaCentrado"/>
        <w:keepNext/>
      </w:pPr>
      <w:r>
        <w:t>II. Fundamentos jurídicos</w:t>
      </w:r>
    </w:p>
    <w:p w14:paraId="371EBBD2" w14:textId="31184999" w:rsidR="008D479B" w:rsidRDefault="008D479B" w:rsidP="008D479B">
      <w:pPr>
        <w:pStyle w:val="TextoNormalNegritaCentrado"/>
        <w:keepNext/>
      </w:pPr>
    </w:p>
    <w:p w14:paraId="5872086C" w14:textId="77777777" w:rsidR="008D479B" w:rsidRDefault="008D479B" w:rsidP="008D479B">
      <w:pPr>
        <w:pStyle w:val="TextoNormal"/>
      </w:pPr>
      <w:r w:rsidRPr="008D479B">
        <w:rPr>
          <w:rStyle w:val="NumeroAFNegritaCaracter"/>
        </w:rPr>
        <w:t>1</w:t>
      </w:r>
      <w:r>
        <w:t xml:space="preserve">. </w:t>
      </w:r>
      <w:r w:rsidRPr="008D479B">
        <w:rPr>
          <w:i/>
        </w:rPr>
        <w:t>Objeto del recurso de inconstitucionalidad</w:t>
      </w:r>
    </w:p>
    <w:p w14:paraId="5FD1FB82" w14:textId="77777777" w:rsidR="008D479B" w:rsidRDefault="008D479B" w:rsidP="008D479B">
      <w:pPr>
        <w:pStyle w:val="TextoNormal"/>
      </w:pPr>
    </w:p>
    <w:p w14:paraId="1822CE4B" w14:textId="77777777" w:rsidR="008D479B" w:rsidRDefault="008D479B" w:rsidP="008D479B">
      <w:pPr>
        <w:pStyle w:val="TextoNormal"/>
      </w:pPr>
      <w:r>
        <w:t>El presente recurso de inconstitucionalidad ha sido formulado por más de cincuenta diputados del Grupo Parlamentario Popular en el Congreso de los Diputados contra los siguientes preceptos de la Ley 5/2021, de 5 de noviembre, de la Generalitat, reguladora del fondo de cooperación municipal de los municipios y entidades locales menores de la Comunitat Valenciana: el apartado 2 del artículo 2; el inciso “y las diputaciones provinciales” del apartado 1 del artículo 5; el inciso “en el que participarán las diputaciones provinciales” y el inciso “y cada diputación provincial” del apartado 2 del artículo 5; los apartados 5 y 6 del artículo 5; el artículo 7; y el artículo 8.</w:t>
      </w:r>
    </w:p>
    <w:p w14:paraId="5C5F6547" w14:textId="77777777" w:rsidR="008D479B" w:rsidRDefault="008D479B" w:rsidP="008D479B">
      <w:pPr>
        <w:pStyle w:val="TextoNormal"/>
      </w:pPr>
    </w:p>
    <w:p w14:paraId="4EA13E04" w14:textId="77777777" w:rsidR="008D479B" w:rsidRDefault="008D479B" w:rsidP="008D479B">
      <w:pPr>
        <w:pStyle w:val="TextoNormal"/>
      </w:pPr>
      <w:r>
        <w:t>Los diputados recurrentes consideran que la nota común a todos ellos se refiere a la participación forzosa de las diputaciones provinciales de la Comunitat Valenciana en el fondo de cooperación municipal que crea la Ley 5/2021; de ahí que el principal motivo del recurso sea la vulneración de la garantía constitucional de autonomía provincial, reconocida en los artículos 137 y 141 CE, así como en extensa jurisprudencia de este tribunal. A ello se ha de sumar la contravención del artículo 64.3 EACV, en relación con el texto refundido de la Ley reguladora de haciendas locales; así como la Ley 7/1985, de 2 de abril, reguladora de las bases de régimen local.</w:t>
      </w:r>
    </w:p>
    <w:p w14:paraId="76E569FE" w14:textId="77777777" w:rsidR="008D479B" w:rsidRDefault="008D479B" w:rsidP="008D479B">
      <w:pPr>
        <w:pStyle w:val="TextoNormal"/>
      </w:pPr>
    </w:p>
    <w:p w14:paraId="20E6F8B0" w14:textId="77777777" w:rsidR="008D479B" w:rsidRDefault="008D479B" w:rsidP="008D479B">
      <w:pPr>
        <w:pStyle w:val="TextoNormal"/>
      </w:pPr>
      <w:r>
        <w:t>La representación legal de les Corts Valencianes solicita:</w:t>
      </w:r>
    </w:p>
    <w:p w14:paraId="295A5E9E" w14:textId="77777777" w:rsidR="008D479B" w:rsidRDefault="008D479B" w:rsidP="008D479B">
      <w:pPr>
        <w:pStyle w:val="TextoNormal"/>
      </w:pPr>
    </w:p>
    <w:p w14:paraId="582429E8" w14:textId="77777777" w:rsidR="008D479B" w:rsidRDefault="008D479B" w:rsidP="008D479B">
      <w:pPr>
        <w:pStyle w:val="TextoNormal"/>
      </w:pPr>
      <w:r>
        <w:t>- Primero: que se estime la cuestión previa relativa a la falta de motivación concreta de la inconstitucionalidad de los preceptos que se impugnan.</w:t>
      </w:r>
    </w:p>
    <w:p w14:paraId="0BD9BE29" w14:textId="77777777" w:rsidR="008D479B" w:rsidRDefault="008D479B" w:rsidP="008D479B">
      <w:pPr>
        <w:pStyle w:val="TextoNormal"/>
      </w:pPr>
    </w:p>
    <w:p w14:paraId="0D933BF2" w14:textId="77777777" w:rsidR="008D479B" w:rsidRDefault="008D479B" w:rsidP="008D479B">
      <w:pPr>
        <w:pStyle w:val="TextoNormal"/>
      </w:pPr>
      <w:r>
        <w:t>- En el caso de entrar a conocer del fondo del asunto: que se dicte sentencia desestimatoria.</w:t>
      </w:r>
    </w:p>
    <w:p w14:paraId="2335FF4B" w14:textId="77777777" w:rsidR="008D479B" w:rsidRDefault="008D479B" w:rsidP="008D479B">
      <w:pPr>
        <w:pStyle w:val="TextoNormal"/>
      </w:pPr>
    </w:p>
    <w:p w14:paraId="0F73E642" w14:textId="77777777" w:rsidR="008D479B" w:rsidRDefault="008D479B" w:rsidP="008D479B">
      <w:pPr>
        <w:pStyle w:val="TextoNormal"/>
      </w:pPr>
      <w:r>
        <w:t>- Subsidiariamente, y en relación solo con el artículo 7 de la Ley impugnada, para el supuesto de que se estime que su literalidad podría conducir a interpretaciones o a un desarrollo de la ley no adecuado al bloque de constitucionalidad: que se realice una interpretación conforme con el artículo 64.3 EACV.</w:t>
      </w:r>
    </w:p>
    <w:p w14:paraId="1BD7EA4E" w14:textId="77777777" w:rsidR="008D479B" w:rsidRDefault="008D479B" w:rsidP="008D479B">
      <w:pPr>
        <w:pStyle w:val="TextoNormal"/>
      </w:pPr>
    </w:p>
    <w:p w14:paraId="597C6EEF" w14:textId="77777777" w:rsidR="008D479B" w:rsidRDefault="008D479B" w:rsidP="008D479B">
      <w:pPr>
        <w:pStyle w:val="TextoNormal"/>
      </w:pPr>
      <w:r>
        <w:t>- Finalmente, en el supuesto de entrar a conocer del fondo del asunto: que se acumule este proceso de inconstitucionalidad con el que bajo el número 874-2022 han interpuesto cincuenta diputados del Grupo Parlamentario de Vox en el Congreso de los Diputados.</w:t>
      </w:r>
    </w:p>
    <w:p w14:paraId="6A17877A" w14:textId="77777777" w:rsidR="008D479B" w:rsidRDefault="008D479B" w:rsidP="008D479B">
      <w:pPr>
        <w:pStyle w:val="TextoNormal"/>
      </w:pPr>
    </w:p>
    <w:p w14:paraId="3B3604FC" w14:textId="794A4749" w:rsidR="008D479B" w:rsidRDefault="008D479B" w:rsidP="008D479B">
      <w:pPr>
        <w:pStyle w:val="TextoNormal"/>
      </w:pPr>
      <w:r>
        <w:t>Por su parte, la representación legal de la Generalitat Valenciana expresa su opinión divergente con el recurso de inconstitucionalidad, solicitando su desestimación y la consiguiente declaración de que los preceptos impugnados son conformes a la Constitución.</w:t>
      </w:r>
    </w:p>
    <w:p w14:paraId="0BDE3275" w14:textId="77777777" w:rsidR="008D479B" w:rsidRDefault="008D479B" w:rsidP="008D479B">
      <w:pPr>
        <w:pStyle w:val="TextoNormal"/>
      </w:pPr>
    </w:p>
    <w:p w14:paraId="20C89B38" w14:textId="77777777" w:rsidR="008D479B" w:rsidRDefault="008D479B" w:rsidP="008D479B">
      <w:pPr>
        <w:pStyle w:val="TextoNormal"/>
      </w:pPr>
      <w:r w:rsidRPr="008D479B">
        <w:rPr>
          <w:rStyle w:val="NumeroAFNegritaCaracter"/>
        </w:rPr>
        <w:t>2</w:t>
      </w:r>
      <w:r>
        <w:t xml:space="preserve">. </w:t>
      </w:r>
      <w:r w:rsidRPr="008D479B">
        <w:rPr>
          <w:i/>
        </w:rPr>
        <w:t>Consideraciones previas</w:t>
      </w:r>
    </w:p>
    <w:p w14:paraId="12F09847" w14:textId="77777777" w:rsidR="008D479B" w:rsidRDefault="008D479B" w:rsidP="008D479B">
      <w:pPr>
        <w:pStyle w:val="TextoNormal"/>
      </w:pPr>
    </w:p>
    <w:p w14:paraId="54750F61" w14:textId="77777777" w:rsidR="008D479B" w:rsidRDefault="008D479B" w:rsidP="008D479B">
      <w:pPr>
        <w:pStyle w:val="TextoNormal"/>
      </w:pPr>
      <w:r>
        <w:t>Antes de abordar el examen de las concretas impugnaciones contenidas en el recurso de inconstitucionalidad interpuesto, interesa realizar una serie de consideraciones preliminares:</w:t>
      </w:r>
    </w:p>
    <w:p w14:paraId="7282657E" w14:textId="77777777" w:rsidR="008D479B" w:rsidRDefault="008D479B" w:rsidP="008D479B">
      <w:pPr>
        <w:pStyle w:val="TextoNormal"/>
      </w:pPr>
    </w:p>
    <w:p w14:paraId="1D933C00" w14:textId="77777777" w:rsidR="008D479B" w:rsidRDefault="008D479B" w:rsidP="008D479B">
      <w:pPr>
        <w:pStyle w:val="TextoNormal"/>
      </w:pPr>
      <w:r>
        <w:t>En relación con la cuestión previa planteada por la representación legal de les Corts Valencianes, se ha de recordar, en primer lugar, cuál es la doctrina reiterada de este tribunal en relación con la necesidad de que los recurrentes lleven a cabo en el cuerpo del recurso una argumentación específica de la posible contradicción de cada precepto impugnado con la Constitución [SSTC 146/1994, FJ 7 B); 214/1994, FJ 3, y 195/1998, FJ 1]. Y es que, en efecto, tal y como ha señalado el Tribunal en su STC 82/2020, de 15 de julio, “la impugnación de las normas debe ir acompañada de la preceptiva fundamentación y precisión que permitan al abogado del Estado [o en este caso a los representantes legales autonómicos], al que asiste, como parte recurrida, el derecho de defensa, así como a este tribunal, que ha de pronunciar la sentencia, conocer las razones por las que los recurrentes entienden que las disposiciones impugnadas transgreden el orden constitucional (SSTC 118/1996, FJ 2, y 118/1998, FJ 4). Cuando lo que está en juego es la depuración del ordenamiento jurídico, ‘es carga de los recurrentes no solo la de abrir la vía para que el tribunal pueda pronunciarse, sino también la de colaborar con la justicia del tribunal en un pormenorizado análisis de las graves cuestiones que se suscitan. Es justo, pues, hablar [...] de una carga del recurrente y en los casos en que aquella no se observe, de una falta de diligencia procesalmente exigible, que es la diligencia de ofrecer la fundamentación que razonablemente es de esperar’ (STC 11/1981, FJ 3; reiterada en las SSTC 36/1994, FJ 1; 43/1996, FJ 3; 61/1997, FJ 13, y 118/1998, FJ 4). En particular, es claro que ‘la presunción de constitucionalidad de normas con rango de ley no puede desvirtuarse sin un mínimo de argumentación y no caben impugnaciones globales y carentes de una razón suficientemente desarrollada (STC 43/1996, FJ 5)’ (STC 233/1999, de 16 de diciembre, FJ 2)” [FJ 2 a)].</w:t>
      </w:r>
    </w:p>
    <w:p w14:paraId="0359444C" w14:textId="77777777" w:rsidR="008D479B" w:rsidRDefault="008D479B" w:rsidP="008D479B">
      <w:pPr>
        <w:pStyle w:val="TextoNormal"/>
      </w:pPr>
    </w:p>
    <w:p w14:paraId="67447C14" w14:textId="77777777" w:rsidR="008D479B" w:rsidRDefault="008D479B" w:rsidP="008D479B">
      <w:pPr>
        <w:pStyle w:val="TextoNormal"/>
      </w:pPr>
      <w:r>
        <w:t>Se ha de tener presente, además, que, conforme a la doctrina constitucional, “no cabe confundir la discrepancia de las partes comparecidas respecto de la argumentación del recurso con la falta de fundamentación del mismo. En esta dialéctica entre las partes del proceso constitucional, consustancial a toda controversia que se somete a nuestra consideración, es notorio que no corresponde a este tribunal pronunciarse sobre el mayor o menor acierto técnico de las demandas, bastando con que en ellas se pueda vislumbrar algún motivo de inconstitucionalidad suficientemente fundado” (por todas, STC 105/2019, de 19 de septiembre, FJ 2).</w:t>
      </w:r>
    </w:p>
    <w:p w14:paraId="75484CB9" w14:textId="77777777" w:rsidR="008D479B" w:rsidRDefault="008D479B" w:rsidP="008D479B">
      <w:pPr>
        <w:pStyle w:val="TextoNormal"/>
      </w:pPr>
    </w:p>
    <w:p w14:paraId="439E7628" w14:textId="77777777" w:rsidR="008D479B" w:rsidRDefault="008D479B" w:rsidP="008D479B">
      <w:pPr>
        <w:pStyle w:val="TextoNormal"/>
      </w:pPr>
      <w:r>
        <w:t>En el presente recurso, es cierto que, como advierte el letrado de les Corts Valencianes, los recurrentes realizan una argumentación genérica en relación con la posible inconstitucionalidad de la ley impugnada, sin que se concreten de manera específica o detallada los motivos de impugnación de cada uno de los preceptos impugnados. No obstante, en la medida en que finalmente acaban identificándose todos ellos (excepto el art. 7) como presuntamente vulneradores tanto de la autonomía provincial constitucionalmente garantizada, como de los artículos 64.3 y 66.3 EACV y los artículos 10 y 59 LBRL, y en tanto que también se sostiene que el art. 7, en relación con el reparto de fondos entre los municipios, contraviene expresamente el mandato estatutario de adecuación de sus criterios a los del fondo estatal, cabría entender que no hay óbice insuperable para que este tribunal entre a examinar todos y cada uno de los referidos preceptos recurridos, centrando su análisis no solo, pero sí principalmente, en la posible vulneración de la autonomía provincial constitucionalmente garantizada, especialmente, en su vertiente económica, así como, en segundo plano, en la presunta infracción de la normativa estatutaria y de la legislación básica estatal, en la medida en que ello pueda constituir una tacha de inconstitucionalidad de los preceptos impugnados.</w:t>
      </w:r>
    </w:p>
    <w:p w14:paraId="5C77E194" w14:textId="77777777" w:rsidR="008D479B" w:rsidRDefault="008D479B" w:rsidP="008D479B">
      <w:pPr>
        <w:pStyle w:val="TextoNormal"/>
      </w:pPr>
    </w:p>
    <w:p w14:paraId="4D66BD06" w14:textId="77777777" w:rsidR="008D479B" w:rsidRDefault="008D479B" w:rsidP="008D479B">
      <w:pPr>
        <w:pStyle w:val="TextoNormal"/>
      </w:pPr>
      <w:r>
        <w:t>Por su parte, en relación con la pretensión de les Corts Valencianes de que, en caso de entrar a conocer del fondo del asunto, se acumule este proceso de inconstitucionalidad con el que bajo el núm. 874-2022 han interpuesto cincuenta diputados del Grupo Parlamentario Vox en el Congreso de los Diputados, este tribunal, en uso de la facultad que le reconoce el artículo 83 LOTC, entiende que no procede tal acumulación al no quedar justificada suficientemente la unidad de tramitación y decisión de ambos, dadas las diferencias existentes entre uno y otro recurso.</w:t>
      </w:r>
    </w:p>
    <w:p w14:paraId="1B97784D" w14:textId="77777777" w:rsidR="008D479B" w:rsidRDefault="008D479B" w:rsidP="008D479B">
      <w:pPr>
        <w:pStyle w:val="TextoNormal"/>
      </w:pPr>
    </w:p>
    <w:p w14:paraId="1BF603DE" w14:textId="0D65D793" w:rsidR="008D479B" w:rsidRDefault="008D479B" w:rsidP="008D479B">
      <w:pPr>
        <w:pStyle w:val="TextoNormal"/>
      </w:pPr>
      <w:r>
        <w:t>De igual modo, ha de rechazarse su pretensión de que, en relación con el art. 7 de la ley impugnada, para el supuesto de que se estime que su literalidad podría conducir a interpretaciones o a un desarrollo de la ley no adecuado al bloque de constitucionalidad, se realice una interpretación conforme con el artículo 64.3 EACV, pues, como ya hemos tenido oportunidad de señalar en anteriores ocasiones, “la sentencia interpretativa es, en manos del Tribunal, un medio lícito, aunque de muy delicado y difícil uso, […] la emanación de una sentencia de este género, no puede ser objeto de una pretensión de los recurrentes. El Tribunal Constitucional es intérprete supremo de la Constitución, no legislador, ni tampoco un órgano consultivo o de dictamen (Declaración de 1 de julio de 1992, fundamento jurídico 1), y solo cabe solicitar de él un pronunciamiento sobre la adecuación o inadecuación de los preceptos a la Constitución (SSTC 5/1981, fundamento jurídico 6, y 77/1985, fundamento jurídico 4)” (STC 16/1996, de 1 de febrero, FJ 6).</w:t>
      </w:r>
    </w:p>
    <w:p w14:paraId="3DBF7766" w14:textId="77777777" w:rsidR="008D479B" w:rsidRDefault="008D479B" w:rsidP="008D479B">
      <w:pPr>
        <w:pStyle w:val="TextoNormal"/>
      </w:pPr>
    </w:p>
    <w:p w14:paraId="770B7D6B" w14:textId="77777777" w:rsidR="008D479B" w:rsidRDefault="008D479B" w:rsidP="008D479B">
      <w:pPr>
        <w:pStyle w:val="TextoNormal"/>
      </w:pPr>
      <w:r w:rsidRPr="008D479B">
        <w:rPr>
          <w:rStyle w:val="NumeroAFNegritaCaracter"/>
        </w:rPr>
        <w:t>3</w:t>
      </w:r>
      <w:r>
        <w:t xml:space="preserve">. </w:t>
      </w:r>
      <w:r w:rsidRPr="008D479B">
        <w:rPr>
          <w:i/>
        </w:rPr>
        <w:t>Contenido de la ley impugnada</w:t>
      </w:r>
    </w:p>
    <w:p w14:paraId="7BB5C3D5" w14:textId="77777777" w:rsidR="008D479B" w:rsidRDefault="008D479B" w:rsidP="008D479B">
      <w:pPr>
        <w:pStyle w:val="TextoNormal"/>
      </w:pPr>
    </w:p>
    <w:p w14:paraId="61F7C361" w14:textId="77777777" w:rsidR="008D479B" w:rsidRDefault="008D479B" w:rsidP="008D479B">
      <w:pPr>
        <w:pStyle w:val="TextoNormal"/>
      </w:pPr>
      <w:r>
        <w:t>Realizadas las observaciones precedentes, corresponde ahora referirse, de manera sucinta, al contenido de la Ley 5/2021, de 5 de noviembre, de la Generalitat, reguladora del fondo de cooperación municipal de los municipios y entidades locales menores de la Comunitat Valenciana.</w:t>
      </w:r>
    </w:p>
    <w:p w14:paraId="5C6132D4" w14:textId="77777777" w:rsidR="008D479B" w:rsidRDefault="008D479B" w:rsidP="008D479B">
      <w:pPr>
        <w:pStyle w:val="TextoNormal"/>
      </w:pPr>
    </w:p>
    <w:p w14:paraId="67E5431F" w14:textId="77777777" w:rsidR="008D479B" w:rsidRDefault="008D479B" w:rsidP="008D479B">
      <w:pPr>
        <w:pStyle w:val="TextoNormal"/>
      </w:pPr>
      <w:r>
        <w:t>De acuerdo con lo previsto en su preámbulo, con esta ley se “profundiza en la garantía de un sistema estable de financiación local con el objetivo de asegurar una gestión pública de calidad en el ejercicio de las competencias municipales”, mediante “la dotación de un fondo autonómico de financiación local que, de una manera incondicionada, objetiva y transparente, le dé cobertura al principio de autonomía local y proporcione estabilidad al sistema”.</w:t>
      </w:r>
    </w:p>
    <w:p w14:paraId="5CAFEA41" w14:textId="77777777" w:rsidR="008D479B" w:rsidRDefault="008D479B" w:rsidP="008D479B">
      <w:pPr>
        <w:pStyle w:val="TextoNormal"/>
      </w:pPr>
    </w:p>
    <w:p w14:paraId="63748114" w14:textId="77777777" w:rsidR="008D479B" w:rsidRDefault="008D479B" w:rsidP="008D479B">
      <w:pPr>
        <w:pStyle w:val="TextoNormal"/>
      </w:pPr>
      <w:r>
        <w:t>Además, en palabras del propio preámbulo, con esta ley se corrigen las disfuncionalidades que trajo consigo la implementación del fondo de cooperación municipal, creado por el artículo 201 de la Ley 8/2010, de 23 de junio, de la Generalitat, de régimen local de la Comunitat Valenciana, y desarrollado por el Decreto 51/2017, de 7 de abril, del Consell, por el que se regula el fondo de cooperación municipal incondicionado de la Comunitat Valenciana; disfuncionalidades derivadas de la diferente participación de las tres provincias integrantes de la Comunitat Valenciana en su dotación, lo que motivó que los municipios de la misma recibieran financiación básica sustancialmente diferente en función, precisamente, de la provincia a la que pertenecieran. La ley impugnada viene, precisamente, a regular “un nuevo sistema de cooperación y coordinación, en una materia tan trascendental como la financiación básica municipal, que supone también una exigencia de realizar la cooperación y la coordinación a través de un determinado y concreto instrumento, como es el plan sectorial, en cuya tramitación debe garantizarse la participación de los propios entes locales afectados con la finalidad de armonizar todos los intereses públicos en juego”.</w:t>
      </w:r>
    </w:p>
    <w:p w14:paraId="247F674F" w14:textId="77777777" w:rsidR="008D479B" w:rsidRDefault="008D479B" w:rsidP="008D479B">
      <w:pPr>
        <w:pStyle w:val="TextoNormal"/>
      </w:pPr>
    </w:p>
    <w:p w14:paraId="7C532567" w14:textId="77777777" w:rsidR="008D479B" w:rsidRDefault="008D479B" w:rsidP="008D479B">
      <w:pPr>
        <w:pStyle w:val="TextoNormal"/>
      </w:pPr>
      <w:r>
        <w:t>A tal efecto, “se declaran expresamente de interés general de la Comunitat Valenciana, de conformidad con el apartado 3 del artículo 66 del Estatuto de Autonomía de la Comunitat Valenciana, las funciones de asistencia y cooperación jurídica, económica y técnica de las diputaciones provinciales a los municipios, configurándose la participación de las diputaciones como una necesidad básica para el desarrollo de este fondo”.</w:t>
      </w:r>
    </w:p>
    <w:p w14:paraId="4666D2B3" w14:textId="77777777" w:rsidR="008D479B" w:rsidRDefault="008D479B" w:rsidP="008D479B">
      <w:pPr>
        <w:pStyle w:val="TextoNormal"/>
      </w:pPr>
    </w:p>
    <w:p w14:paraId="2ECDBAFD" w14:textId="77777777" w:rsidR="008D479B" w:rsidRDefault="008D479B" w:rsidP="008D479B">
      <w:pPr>
        <w:pStyle w:val="TextoNormal"/>
      </w:pPr>
      <w:r>
        <w:t>Asimismo, esta ley establece que “[l]a cofinanciación del Fondo de cooperación municipal por la Generalitat y las diputaciones provinciales se debe efectuar conforme al principio de proporcionalidad y equidad territorial, con el objeto de garantizar que toda la ciudadanía reciba un nivel mínimo de prestaciones en los servicios públicos locales y que no se produzca ningún tipo de diferencias injustificadas en la financiación de los municipios por su ubicación territorial”.</w:t>
      </w:r>
    </w:p>
    <w:p w14:paraId="6ADBD5A6" w14:textId="77777777" w:rsidR="008D479B" w:rsidRDefault="008D479B" w:rsidP="008D479B">
      <w:pPr>
        <w:pStyle w:val="TextoNormal"/>
      </w:pPr>
    </w:p>
    <w:p w14:paraId="712916D8" w14:textId="77777777" w:rsidR="008D479B" w:rsidRDefault="008D479B" w:rsidP="008D479B">
      <w:pPr>
        <w:pStyle w:val="TextoNormal"/>
      </w:pPr>
      <w:r>
        <w:t>Tal y como ha señalado este tribunal, esa actividad de cooperación económica para la realización de las obras y servicios municipales constituye el núcleo de la autonomía provincial y es llevada a la práctica a través del ejercicio de su capacidad financiera o de gasto público (SSTC 109/1998, 113/2013, 111/2016 y 82/2020). En esta misma línea, la caracterización constitucional de la provincia como “agrupación de municipios” (art. 141.1 CE) supone que “unas y otros responden a un ámbito normalmente común de intereses, pues los municipios son los destinatarios principales o directos de las competencias instrumentales de asistencia, cooperación y coordinación características de la provincia”; o, dicho de otro modo, la Constitución está regulando “el nivel local de gobierno como un sistema integrado por dos entidades, los municipios y la provincia. Dos entidades que forman parte de una misma comunidad política local que determina que no existan propiamente intereses provinciales opuestos a los municipales, pues precisamente la función de la provincia es garantizar la prestación integral de los servicios de competencia municipal y el ejercicio de las competencias municipales”.</w:t>
      </w:r>
    </w:p>
    <w:p w14:paraId="4D303A29" w14:textId="77777777" w:rsidR="008D479B" w:rsidRDefault="008D479B" w:rsidP="008D479B">
      <w:pPr>
        <w:pStyle w:val="TextoNormal"/>
      </w:pPr>
    </w:p>
    <w:p w14:paraId="35CB80C1" w14:textId="77777777" w:rsidR="008D479B" w:rsidRDefault="008D479B" w:rsidP="008D479B">
      <w:pPr>
        <w:pStyle w:val="TextoNormal"/>
      </w:pPr>
      <w:r>
        <w:t>Además, la ley impugnada crea “la comisión de colaboración y coordinación del fondo de cooperación municipal de la Comunitat Valenciana como órgano de participación encargado de la implementación, el seguimiento y el control de la ejecución anual del fondo de cooperación municipal de la Comunitat Valenciana”, y pretende establecer, en atención a los principios de necesidad y eficacia, “un sistema de financiación estable y con vocación de permanencia para las entidades locales que prestan servicios públicos esenciales desde la proximidad, con el fin de garantizar la cobertura de las necesidades básicas de la ciudadanía en el marco de sus competencias, resultando el instrumento más adecuado para garantizar su consecución”. Finalmente, la ley garantizaría también las exigencias derivadas de los principios de proporcionalidad, seguridad jurídica y transparencia.</w:t>
      </w:r>
    </w:p>
    <w:p w14:paraId="2431925A" w14:textId="77777777" w:rsidR="008D479B" w:rsidRDefault="008D479B" w:rsidP="008D479B">
      <w:pPr>
        <w:pStyle w:val="TextoNormal"/>
      </w:pPr>
    </w:p>
    <w:p w14:paraId="41C53ECD" w14:textId="2870AAB8" w:rsidR="008D479B" w:rsidRDefault="008D479B" w:rsidP="008D479B">
      <w:pPr>
        <w:pStyle w:val="TextoNormal"/>
      </w:pPr>
      <w:r>
        <w:t>En cuanto a su estructura, la ley consta de un capítulo preliminar, que establece cuál es su objeto: “regular el Fondo de Cooperación Municipal de la Comunitat Valenciana establecido en el Estatuto de Autonomía de la Comunitat Valenciana y la creación de la comisión de colaboración y coordinación del Fondo de Cooperación Municipal de la Comunitat Valenciana”; dos capítulos y dos disposiciones adicionales, una derogatoria y dos finales. En el capítulo I se regula el fondo de cooperación de la Comunitat Valenciana (sus fines y principios, su naturaleza incondicionada, las entidades beneficiarias, el plan sectorial de financiación básica del mismo, las reglas de distribución y la participación de las diputaciones provinciales); y en el capítulo II, la comisión de colaboración y coordinación del referido fondo (su composición y funcionamiento y sus funciones). Por su parte, en la disposición adicional primera se regulan los efectos en materia de estabilidad presupuestaria; y en la disposición adicional segunda, los importes adicionales al fondo de cooperación. A través de la disposición derogatoria única se derogan expresamente “el capítulo II del título XI de la Ley 8/2010, de 23 de junio, de régimen local de la Comunitat Valenciana, y el Decreto 51/2017, de 7 de abril, del Consell, por el que se regula el Fondo de Cooperación Municipal incondicionado de la Comunitat Valenciana, excepto el capítulo II, que se mantiene en vigor únicamente en aquello que no contradiga a esta ley”. Por último, en la disposición final primera se establece que la composición de la comisión de colaboración y coordinación del fondo de cooperación municipal que crea la propia ley es de rango reglamentario; y en la disposición final segunda se dispone que la ley entrará en vigor al día siguiente de su publicación en el “Diari Oficial de la Generalitat Valenciana”.</w:t>
      </w:r>
    </w:p>
    <w:p w14:paraId="3B998F79" w14:textId="77777777" w:rsidR="008D479B" w:rsidRDefault="008D479B" w:rsidP="008D479B">
      <w:pPr>
        <w:pStyle w:val="TextoNormal"/>
      </w:pPr>
    </w:p>
    <w:p w14:paraId="32BAF14F" w14:textId="77777777" w:rsidR="008D479B" w:rsidRDefault="008D479B" w:rsidP="008D479B">
      <w:pPr>
        <w:pStyle w:val="TextoNormal"/>
      </w:pPr>
      <w:r w:rsidRPr="008D479B">
        <w:rPr>
          <w:rStyle w:val="NumeroAFNegritaCaracter"/>
        </w:rPr>
        <w:t>4</w:t>
      </w:r>
      <w:r>
        <w:t xml:space="preserve">. </w:t>
      </w:r>
      <w:r w:rsidRPr="008D479B">
        <w:rPr>
          <w:i/>
        </w:rPr>
        <w:t>Encuadre competencial y tacha de inconstitucionalidad alegada</w:t>
      </w:r>
    </w:p>
    <w:p w14:paraId="43D9B538" w14:textId="77777777" w:rsidR="008D479B" w:rsidRDefault="008D479B" w:rsidP="008D479B">
      <w:pPr>
        <w:pStyle w:val="TextoNormal"/>
      </w:pPr>
    </w:p>
    <w:p w14:paraId="03612EC0" w14:textId="77777777" w:rsidR="008D479B" w:rsidRDefault="008D479B" w:rsidP="008D479B">
      <w:pPr>
        <w:pStyle w:val="TextoNormal"/>
      </w:pPr>
      <w:r>
        <w:t>La materia que se encuentra en cuestión en el presente recurso de inconstitucionalidad es la relativa a la autonomía financiera de las diputaciones provinciales, en tanto que manifestación concreta de la más genérica “autonomía local”, que comprende tanto el régimen jurídico propio de los municipios como el de las provincias y las islas, únicas entidades locales de base territorial cuya autonomía se encuentra constitucionalmente garantizada en los artículos 137, 140 y 141 CE.</w:t>
      </w:r>
    </w:p>
    <w:p w14:paraId="5679F71B" w14:textId="77777777" w:rsidR="008D479B" w:rsidRDefault="008D479B" w:rsidP="008D479B">
      <w:pPr>
        <w:pStyle w:val="TextoNormal"/>
      </w:pPr>
    </w:p>
    <w:p w14:paraId="3EE1AD01" w14:textId="77777777" w:rsidR="008D479B" w:rsidRDefault="008D479B" w:rsidP="008D479B">
      <w:pPr>
        <w:pStyle w:val="TextoNormal"/>
      </w:pPr>
      <w:r>
        <w:t>Por otra parte, desde un punto de vista competencial, la regulación del régimen local, como ha tenido ocasión de señalar este tribunal (STC 84/1982, de 23 de diciembre, FJ 4), corresponde, de manera compartida, al Estado, a partir del título competencial previsto en el art. 149.1.18 CE “bases del régimen jurídico de las Administraciones Públicas”, y a las comunidades autónomas que así lo hayan asumido en sus respectivos estatutos de autonomía. En el caso del Estado, la norma que ha desarrollado esta competencia es la Ley 7/1985, de 2 de abril, reguladora de las bases del régimen local. Por su parte, en el caso de la Comunitat Valenciana es el art. 49.1.8 EACV el que establece que la Generalitat tiene competencia exclusiva sobre régimen local “sin perjuicio de lo que dispone el número 18 del apartado 1 del art. 149 de la Constitución Española”. Esta competencia autonómica fue objeto de desarrollo por medio de la Ley 8/2010, de 23 de junio, de régimen local de la Comunitat Valenciana.</w:t>
      </w:r>
    </w:p>
    <w:p w14:paraId="6A5E8114" w14:textId="77777777" w:rsidR="008D479B" w:rsidRDefault="008D479B" w:rsidP="008D479B">
      <w:pPr>
        <w:pStyle w:val="TextoNormal"/>
      </w:pPr>
    </w:p>
    <w:p w14:paraId="44267DC7" w14:textId="77777777" w:rsidR="008D479B" w:rsidRDefault="008D479B" w:rsidP="008D479B">
      <w:pPr>
        <w:pStyle w:val="TextoNormal"/>
      </w:pPr>
      <w:r>
        <w:t>Sin poner en cuestión en el recurso de inconstitucional la existencia de estos títulos competenciales, estatal y autonómico, cuyo fundamento se encuentra en la propia Constitución y en el Estatuto de Autonomía de la Comunitat Valenciana, así como en las referidas leyes que desarrollan una y otro, lo que se alega por parte de los recurrentes es la infracción que lleva a cabo la ley autonómica impugnada de los arts. 137 y 141 CE y de las normas estatutaria y estatal básica, así como de la doctrina que sobre la autonomía provincial, especialmente en su manifestación de autonomía financiera, ha establecido este tribunal.</w:t>
      </w:r>
    </w:p>
    <w:p w14:paraId="7F6A81B5" w14:textId="77777777" w:rsidR="008D479B" w:rsidRDefault="008D479B" w:rsidP="008D479B">
      <w:pPr>
        <w:pStyle w:val="TextoNormal"/>
      </w:pPr>
    </w:p>
    <w:p w14:paraId="68B366B6" w14:textId="24BDB8A3" w:rsidR="008D479B" w:rsidRDefault="008D479B" w:rsidP="008D479B">
      <w:pPr>
        <w:pStyle w:val="TextoNormal"/>
      </w:pPr>
      <w:r>
        <w:t>Por eso, antes de entrar a dilucidar si tal infracción, efectivamente, se ha producido por parte de alguno de los preceptos impugnados (o de todos ellos), interesa recordar cuál es nuestra doctrina acerca del significado y alcance de la garantía constitucional de la autonomía local, especialmente de la provincial (arts. 137 y 141 CE), así como sobre la autonomía y suficiencia financiera de las diputaciones provinciales (art. 142 CE). A tal efecto, resultará singularmente útil hacer frecuente remisión a lo establecido en la STC 82/2020, pues en ella hemos hecho un importante esfuerzo de condensación de nuestra doctrina sobre la garantía constitucional de la autonomía local y la autonomía y suficiencia financiera local, con especial atención a la autonomía provincial, así como de los límites que de una y otra se derivan para los legisladores sectoriales, estatal y autonómicos.</w:t>
      </w:r>
    </w:p>
    <w:p w14:paraId="3047C0E6" w14:textId="77777777" w:rsidR="008D479B" w:rsidRDefault="008D479B" w:rsidP="008D479B">
      <w:pPr>
        <w:pStyle w:val="TextoNormal"/>
      </w:pPr>
    </w:p>
    <w:p w14:paraId="31794ED0" w14:textId="77777777" w:rsidR="008D479B" w:rsidRDefault="008D479B" w:rsidP="008D479B">
      <w:pPr>
        <w:pStyle w:val="TextoNormal"/>
      </w:pPr>
      <w:r w:rsidRPr="008D479B">
        <w:rPr>
          <w:rStyle w:val="NumeroAFNegritaCaracter"/>
        </w:rPr>
        <w:t>5</w:t>
      </w:r>
      <w:r>
        <w:t xml:space="preserve">. </w:t>
      </w:r>
      <w:r w:rsidRPr="008D479B">
        <w:rPr>
          <w:i/>
        </w:rPr>
        <w:t>La doctrina constitucional sobre la garantía constitucional de la autonomía local</w:t>
      </w:r>
    </w:p>
    <w:p w14:paraId="1B6D12F0" w14:textId="77777777" w:rsidR="008D479B" w:rsidRDefault="008D479B" w:rsidP="008D479B">
      <w:pPr>
        <w:pStyle w:val="TextoNormal"/>
      </w:pPr>
    </w:p>
    <w:p w14:paraId="5D85776B" w14:textId="77777777" w:rsidR="008D479B" w:rsidRDefault="008D479B" w:rsidP="008D479B">
      <w:pPr>
        <w:pStyle w:val="TextoNormal"/>
      </w:pPr>
      <w:r>
        <w:t>La doctrina constitucional sobre el significado y alcance de la garantía constitucional de la autonomía local ha sido objeto de atención por parte de este tribunal en recientes sentencias [entre otras, SSTC 41/2016, FFJJ 9 y 11 b); 111/2016, de 9 de junio, FFJJ 11 y 12; 45/2017, FJ 3 b); 54/2017, FJ 4 b); 101/2017, FJ 5 a); 105/2019, FJ 4, y 82/2020, FJ 5]. En sus aspectos principales, esta doctrina constitucional, de contenido competencial, se puede resumir del modo siguiente:</w:t>
      </w:r>
    </w:p>
    <w:p w14:paraId="7E78998B" w14:textId="77777777" w:rsidR="008D479B" w:rsidRDefault="008D479B" w:rsidP="008D479B">
      <w:pPr>
        <w:pStyle w:val="TextoNormal"/>
      </w:pPr>
    </w:p>
    <w:p w14:paraId="543271A2" w14:textId="77777777" w:rsidR="008D479B" w:rsidRDefault="008D479B" w:rsidP="008D479B">
      <w:pPr>
        <w:pStyle w:val="TextoNormal"/>
      </w:pPr>
      <w:r>
        <w:t>a) La Constitución, de conformidad con la estructura territorial compuesta diseñada por el artículo 137 CE (STC 82/1982, de 21 de diciembre, FJ 4), no precisa qué competencias corresponden a los municipios y a las provincias [STC 154/2015, de 9 de julio, FJ 6 a), con remisión a la STC 32/1981, de 28 de julio, FJ 3]. Por el contrario, eso es algo que deja en manos del legislador infraconstitucional, sin encomendar la regulación y asignación de dichas competencias locales en exclusiva al legislador estatal o al autonómico; será, pues, cada uno de ellos, en el marco de sus respectivas atribuciones, el que haya de regular y atribuir tales competencias a los entes locales, respetando, en todo caso, su autonomía, garantizada en los arts. 137, 140 y 141 CE [STC 214/1989, de 21 de diciembre, FJ 3 a)].</w:t>
      </w:r>
    </w:p>
    <w:p w14:paraId="223DB30B" w14:textId="77777777" w:rsidR="008D479B" w:rsidRDefault="008D479B" w:rsidP="008D479B">
      <w:pPr>
        <w:pStyle w:val="TextoNormal"/>
      </w:pPr>
    </w:p>
    <w:p w14:paraId="0E657B57" w14:textId="77777777" w:rsidR="008D479B" w:rsidRDefault="008D479B" w:rsidP="008D479B">
      <w:pPr>
        <w:pStyle w:val="TextoNormal"/>
      </w:pPr>
      <w:r>
        <w:t>b) No obstante esa indefinición constitucional de las competencias locales, desde temprano tuvimos oportunidad de sostener que el contenido de la autonomía local consiste en el “derecho de la comunidad local a participar a través de órganos propios en el gobierno y administración de cuantos asuntos le atañen, graduándose la intensidad de esta participación en función de la relación entre intereses locales y supralocales dentro de tales asuntos o materias. Para el ejercicio de esa participación en el gobierno y administración en cuanto las atañe, los órganos representativos de la comunidad local han de estar dotados de las potestades sin las que ninguna actuación autonómica es posible” (STC 32/1981, FJ 4). En esta misma sentencia sostuvimos que corresponde al Estado “la fijación de principios o criterios básicos en materia de organización y competencia de general aplicación en todo el Estado”, pudiendo las comunidades autónomas legislar libremente dentro del respeto a esas condiciones básicas (</w:t>
      </w:r>
      <w:r w:rsidRPr="008D479B">
        <w:rPr>
          <w:i/>
        </w:rPr>
        <w:t>ibid</w:t>
      </w:r>
      <w:r>
        <w:t>., FJ 5). Es esto, precisamente, lo que cabe derivar del título competencial del Estado previsto en el artículo 149.1.18 CE “bases del régimen jurídico de las Administraciones Públicas”, que vendría a ofrecer cobertura al legislador estatal para que proceda a la regulación básica del régimen local, tanto desde un punto de vista organizativo como competencial; una regulación que, necesariamente, va a condicionar el margen de actuación del legislador autonómico, hasta el punto de que esa normativa básica estatal (la Ley 7/1985, de 2 de abril, Reguladora de las Bases del Régimen Local) puede ser canon de validez de la ley autonómica, si bien únicamente “en aquellos aspectos enraizables directamente en los arts. 137, 140 y 141 CE” (STC 240/2006, de 20 de julio, FJ 8). Así se había declarado ya en la STC 159/2001, de 5 de julio, FJ 4.</w:t>
      </w:r>
    </w:p>
    <w:p w14:paraId="43EB93B0" w14:textId="77777777" w:rsidR="008D479B" w:rsidRDefault="008D479B" w:rsidP="008D479B">
      <w:pPr>
        <w:pStyle w:val="TextoNormal"/>
      </w:pPr>
    </w:p>
    <w:p w14:paraId="1DF7A7BB" w14:textId="77777777" w:rsidR="008D479B" w:rsidRDefault="008D479B" w:rsidP="008D479B">
      <w:pPr>
        <w:pStyle w:val="TextoNormal"/>
      </w:pPr>
      <w:r>
        <w:t>c) No obstante esa amplia “libertad de configuración” de que dispone el legislador básico estatal en el desarrollo de la garantía constitucional de la autonomía local, debe, en todo caso, como señalamos en la STC 41/2016, de 3 de marzo, FJ 3, dejar espacio a las comunidades autónomas, así como respetar “el derecho de la entidad local a participar a través de órganos propios en el gobierno y administración [STC 154/2015, de 9 de julio, FJ 5 a) y las que allí se citan]”.</w:t>
      </w:r>
    </w:p>
    <w:p w14:paraId="7B517F5B" w14:textId="77777777" w:rsidR="008D479B" w:rsidRDefault="008D479B" w:rsidP="008D479B">
      <w:pPr>
        <w:pStyle w:val="TextoNormal"/>
      </w:pPr>
    </w:p>
    <w:p w14:paraId="759D26A7" w14:textId="77777777" w:rsidR="008D479B" w:rsidRDefault="008D479B" w:rsidP="008D479B">
      <w:pPr>
        <w:pStyle w:val="TextoNormal"/>
      </w:pPr>
      <w:r>
        <w:t>d) La autonomía local constitucionalmente garantizada no puede ser concebida, por consiguiente, como una mera materia que pueda ser objeto de regulación por el Estado y las comunidades autónomas, al estilo de lo que sucede con las materias competenciales previstas en distintos subapartados del artículo 149.1 CE (por ejemplo, en el 4: defensa y fuerzas armadas; el 9: propiedad intelectual e industrial; o el 20: marina mercante y abanderamiento de buques). Por el contrario, la autonomía local constitucionalmente garantizada es una cualidad intrínseca o definitoria de las propias entidades locales (municipios, provincias e islas), que corresponde desarrollar en sus aspectos básicos al legislador estatal (así cabe derivarlo de la previsión del art. 149.1.18 CE), y regular, de manera más concreta, a los legisladores sectoriales estatal y autonómicos, cada uno en función de las competencias que ostente, debiendo respetar estos últimos (los legisladores sectoriales autonómicos) tanto dicha legislación básica estatal como la normativa sobre régimen local prevista en el respectivo estatuto de autonomía. Ese respeto a la legislación básica del Estado representa igualmente un límite para el propio estatuyente, de modo que este podría ampliar el alcance de la autonomía local en su respectivo territorio, pero no restringirlo o regularlo en contradicción con la mencionada legislación básica estatal [STC 168/2016, de 6 de octubre, FJ 3 a)]. A su vez, todos estos normadores (básico estatal, sectoriales estatal y autonómicos, y estatuyentes) se encuentran limitados a la hora de legislar por el respeto al contenido constitucional de la autonomía local que cabe derivar fundamentalmente de los arts. 137, 140, 141 y 142 CE; un contenido constitucional que en ningún caso podrán aquellos restringir, pero sí ampliar como consideren conveniente, cada uno, lógicamente, en ejercicio de sus respectivas atribuciones.</w:t>
      </w:r>
    </w:p>
    <w:p w14:paraId="513CC43F" w14:textId="77777777" w:rsidR="008D479B" w:rsidRDefault="008D479B" w:rsidP="008D479B">
      <w:pPr>
        <w:pStyle w:val="TextoNormal"/>
      </w:pPr>
    </w:p>
    <w:p w14:paraId="1ABBB2D9" w14:textId="77777777" w:rsidR="008D479B" w:rsidRDefault="008D479B" w:rsidP="008D479B">
      <w:pPr>
        <w:pStyle w:val="TextoNormal"/>
      </w:pPr>
      <w:r>
        <w:t>Así pues, si nos fijamos en la relación entre el legislador básico estatal y el autonómico, comprobaremos que aquel puede apoyarse en el art. 149.1.18 CE para establecer las condiciones básicas “conforme a las que la legislación sectorial de las comunidades autónomas ha de atribuir específicamente las competencias locales en un momento sucesivo” (STC 82/2020, FJ 4). Dicho de otro modo, y más concretamente, el legislador autonómico competente por razón de la materia no puede ignorar los criterios generales establecidos por el legislador básico estatal en los artículos 2.1, 25.2, 26 y 36 LBRL [STC 214/1989, FJ 3 a)]. Y ni este (el legislador autonómico) ni aquel (el legislador estatal de las bases), ni, por supuesto, el legislador sectorial estatal, pueden desconocer que lo que están regulando no es una materia competencial, cuyo contenido puedan configurar libremente, cada uno dentro de su respectivo ámbito de atribuciones, sino un verdadero nivel de gobierno y administración de base territorial, que se encuentra constitucionalmente garantizado (en los arts. 137, 140, 141 y 142 CE).</w:t>
      </w:r>
    </w:p>
    <w:p w14:paraId="1105E6B3" w14:textId="77777777" w:rsidR="008D479B" w:rsidRDefault="008D479B" w:rsidP="008D479B">
      <w:pPr>
        <w:pStyle w:val="TextoNormal"/>
      </w:pPr>
    </w:p>
    <w:p w14:paraId="46B4F304" w14:textId="77777777" w:rsidR="008D479B" w:rsidRDefault="008D479B" w:rsidP="008D479B">
      <w:pPr>
        <w:pStyle w:val="TextoNormal"/>
      </w:pPr>
      <w:r>
        <w:t>En definitiva, tal y como se señaló en la mencionada STC 82/2020, FJ 5, la comunidad autónoma, cuando se proponga asignar o suprimir competencias locales en ejercicio de sus atribuciones estatutariamente asumidas, debe respetar no solo la garantía constitucional de la autonomía local (arts. 137, 140, 141 y 142 CE), sino también las bases del régimen local establecidas por el legislador estatal [SSTC 214/1989, FJ 3 a); 159/2001, FJ 4, y 121/2012, de 5 de junio, FJ 7], así como la regulación sobre régimen local incluida en su estatuto de autonomía, con el alcance que a dicha regulación estatutaria le ha atribuido la doctrina constitucional (entre otras, STC 31/2010, FJ 36; en el mismo sentido, STC 103/2013, FJ 4).</w:t>
      </w:r>
    </w:p>
    <w:p w14:paraId="5472D8D8" w14:textId="77777777" w:rsidR="008D479B" w:rsidRDefault="008D479B" w:rsidP="008D479B">
      <w:pPr>
        <w:pStyle w:val="TextoNormal"/>
      </w:pPr>
    </w:p>
    <w:p w14:paraId="763A2F4A" w14:textId="77777777" w:rsidR="008D479B" w:rsidRDefault="008D479B" w:rsidP="008D479B">
      <w:pPr>
        <w:pStyle w:val="TextoNormal"/>
      </w:pPr>
      <w:r>
        <w:t>e) Para determinar si esa intervención del legislador autonómico en la regulación del régimen local respeta, o no, la garantía constitucional de la autonomía local habrá que valorar: “i) si hay intereses supralocales que justifiquen que la comunidad autónoma haya dictado esta regulación; ii) si el legislador autonómico ha ponderado los intereses municipales afectados; y iii) si ha asegurado a los ayuntamientos implicados un nivel de intervención tendencialmente correlativo a la intensidad de tales intereses. Todo ello sobre la base de que la comunidad autónoma puede ejercer en uno u otro sentido su libertad de configuración a la hora de distribuir funciones, pero garantizando el derecho de la comunidad local a participar a través de órganos propios en el gobierno y administración” (SSTC 152/2016, de 22 de septiembre, FJ 6, y 92/2018, de 19 de septiembre, FJ 4). Condiciones que, de igual forma, habría que atender cuando las implicadas por esa regulación autonómica fuesen las diputaciones provinciales, dado que la referencia a los intereses supralocales abarca tanto a aquellos (los ayuntamientos) como a estas (las diputaciones provinciales), en tanto que todos ellos “conforman un mismo nivel (local) de gobierno” [STC 107/2017, FJ 4 a)].</w:t>
      </w:r>
    </w:p>
    <w:p w14:paraId="5B71EFA4" w14:textId="77777777" w:rsidR="008D479B" w:rsidRDefault="008D479B" w:rsidP="008D479B">
      <w:pPr>
        <w:pStyle w:val="TextoNormal"/>
      </w:pPr>
    </w:p>
    <w:p w14:paraId="3B3D1D15" w14:textId="77777777" w:rsidR="008D479B" w:rsidRDefault="008D479B" w:rsidP="008D479B">
      <w:pPr>
        <w:pStyle w:val="TextoNormal"/>
      </w:pPr>
      <w:r>
        <w:t>f) Por otro lado, y en relación específicamente con la autonomía provincial, como es doctrina de este tribunal, «“las competencias instrumentales de la provincia —aquellas que tienen al municipio por destinatario inmediato—, entroncan directamente con la Constitución: ‘el apoyo a los municipios radicados en su ámbito territorial’ constituye el núcleo de la actividad de la provincia, ‘en cuanto entidad local determinada por la agrupación de municipios (art. 141.1 C.E)’ cuya autonomía presenta ‘rasgos y perfiles específicos’ respecto de la municipal (STC 109/1998, de 21 de mayo, FJ 2)” (STC 111/2016, de 9 de junio, FJ 9)» (STC 105/2019, FJ 4).</w:t>
      </w:r>
    </w:p>
    <w:p w14:paraId="1494B09D" w14:textId="77777777" w:rsidR="008D479B" w:rsidRDefault="008D479B" w:rsidP="008D479B">
      <w:pPr>
        <w:pStyle w:val="TextoNormal"/>
      </w:pPr>
    </w:p>
    <w:p w14:paraId="302DE1AD" w14:textId="77777777" w:rsidR="008D479B" w:rsidRDefault="008D479B" w:rsidP="008D479B">
      <w:pPr>
        <w:pStyle w:val="TextoNormal"/>
      </w:pPr>
      <w:r>
        <w:t>A mayor abundamiento, se ha de recordar que el modelo de autonomía provincial “no queda limitado única y exclusivamente al desarrollo del contenido esencial de la garantía institucional que comprende la función de cooperación económica a la realización de obras y servicios municipales, o el apoyo a los municipios, según afirmamos en la STC 109/1998, de 21 de julio, sino que se extiende a aquello que resulte necesario para la definición del modelo común de autonomía provincial, con independencia del posterior desarrollo normativo de las bases que en todo caso corresponde a las comunidades autónomas” (STC 103/2013, de 25 de abril, FJ 5).</w:t>
      </w:r>
    </w:p>
    <w:p w14:paraId="4A0EDC44" w14:textId="77777777" w:rsidR="008D479B" w:rsidRDefault="008D479B" w:rsidP="008D479B">
      <w:pPr>
        <w:pStyle w:val="TextoNormal"/>
      </w:pPr>
    </w:p>
    <w:p w14:paraId="21C168DE" w14:textId="4A422527" w:rsidR="008D479B" w:rsidRDefault="008D479B" w:rsidP="008D479B">
      <w:pPr>
        <w:pStyle w:val="TextoNormal"/>
      </w:pPr>
      <w:r>
        <w:t>Tal y como recordamos en la STC 105/2019, “[e]s también doctrina constitucional que, al existir distintas entidades locales superpuestas sobre una misma base territorial, la definición del modelo de autonomía de cada una de ellas incidirá, necesariamente, en el resto, sin que desde el punto de vista constitucional, haya más limitaciones a la hora de configurar el modelo básico de autonomía que las que vienen determinadas por el respeto al contenido esencial de la autonomía provincial (STC 32/1981, de 28 de julio, FJ 3, y STC 103/2013, FJ 5). Por eso, como destacó en su momento la STC 27/1987, FJ 2, ‘dado que cada organización territorial dotada de autonomía es una parte del todo, no cabe deducir de la Constitución que, en todo caso, corresponda a cada una de ellas un derecho o facultad que le permita ejercer las competencias que le son propias en régimen de estricta y absoluta separación. Por el contrario, la unidad misma del sistema en su conjunto, en el que las diferentes entidades autónomas se integran, así como el principio de eficacia administrativa (art. 103.1 CE), que debe predicarse no solo de cada administración pública, sino del entero entramado de los servicios públicos, permiten, cuando no imponen, al legislador establecer fórmulas y cauces de relación entre unas y otras administraciones locales y de todas ellas con el Estado y las comunidades autónomas, en el ejercicio de las competencias que para la gestión de sus intereses respectivos les correspondan’” (FJ 4).</w:t>
      </w:r>
    </w:p>
    <w:p w14:paraId="732550AF" w14:textId="77777777" w:rsidR="008D479B" w:rsidRDefault="008D479B" w:rsidP="008D479B">
      <w:pPr>
        <w:pStyle w:val="TextoNormal"/>
      </w:pPr>
    </w:p>
    <w:p w14:paraId="0F8C6454" w14:textId="77777777" w:rsidR="008D479B" w:rsidRDefault="008D479B" w:rsidP="008D479B">
      <w:pPr>
        <w:pStyle w:val="TextoNormal"/>
      </w:pPr>
      <w:r w:rsidRPr="008D479B">
        <w:rPr>
          <w:rStyle w:val="NumeroAFNegritaCaracter"/>
        </w:rPr>
        <w:t>6</w:t>
      </w:r>
      <w:r>
        <w:t xml:space="preserve">. </w:t>
      </w:r>
      <w:r w:rsidRPr="008D479B">
        <w:rPr>
          <w:i/>
        </w:rPr>
        <w:t>Limitaciones de los legisladores sectoriales derivadas de la garantía constitucional de la autonomía local</w:t>
      </w:r>
    </w:p>
    <w:p w14:paraId="2B218CA1" w14:textId="77777777" w:rsidR="008D479B" w:rsidRDefault="008D479B" w:rsidP="008D479B">
      <w:pPr>
        <w:pStyle w:val="TextoNormal"/>
      </w:pPr>
    </w:p>
    <w:p w14:paraId="0FB2140C" w14:textId="77777777" w:rsidR="008D479B" w:rsidRDefault="008D479B" w:rsidP="008D479B">
      <w:pPr>
        <w:pStyle w:val="TextoNormal"/>
      </w:pPr>
      <w:r>
        <w:t>Visto, de manera resumida, cuál es el significado y alcance de la garantía constitucional de la autonomía local prevista en los arts. 137, 140, 141 y 142 CE, cuya dimensión política, por cierto, resulta evidente a partir de la constatación de su conexión con el principio democrático (directa en el caso de los municipios y derivada en el de las provincias) [STC 103/2013, FJ 6], así como de las consiguientes tareas (no solo de mera administración, sino también de auténtico gobierno) que les corresponde desempeñar, dentro de su respectivo ámbito territorial, a ayuntamientos y diputaciones (auténticos órganos de autogobierno que además tienen carácter representativo), lo que procede, a continuación, es exponer cuáles son las limitaciones que se derivan de dicha garantía constitucional para los correspondientes legisladores sectoriales, estatal y autonómicos [SSTC 214/1989, FJ 3 a), y 82/2020, FJ 6].</w:t>
      </w:r>
    </w:p>
    <w:p w14:paraId="4CE3C5CB" w14:textId="77777777" w:rsidR="008D479B" w:rsidRDefault="008D479B" w:rsidP="008D479B">
      <w:pPr>
        <w:pStyle w:val="TextoNormal"/>
      </w:pPr>
    </w:p>
    <w:p w14:paraId="7155409E" w14:textId="77777777" w:rsidR="008D479B" w:rsidRDefault="008D479B" w:rsidP="008D479B">
      <w:pPr>
        <w:pStyle w:val="TextoNormal"/>
      </w:pPr>
      <w:r>
        <w:t>a) De la doctrina constitucional antes referida se deriva claramente que “la capacidad de intervención de los distintos entes locales en los asuntos que les afectan debe ser tanto más relevante y decisiva cuanto mayor sea el saldo favorable a sus intereses en un determinado ámbito”; asimismo, desde otra perspectiva —que no es sino el reverso de la misma idea— supone asumir que “el legislador sectorial, atendiendo, en este caso, a intereses de alcance supralocal, pueda conferir a instancias políticas supramunicipales (por ejemplo, cabildos, consejos insulares, diputaciones o comunidades autónomas) mecanismos de intervención sobre el ámbito competencial local que limiten la autonomía municipal [STC 107/2017, de 21 de septiembre, FJ 3 c)], —o en su caso que limiten la autonomía provincial cuando se trate de mecanismos de intervención autonómica que supongan una limitación de esta—, pero siempre que la previsión de tales mecanismos se condicione al cumplimiento de una serie de condiciones y requisitos” (STC 82/2020, FJ 6).</w:t>
      </w:r>
    </w:p>
    <w:p w14:paraId="14570A13" w14:textId="77777777" w:rsidR="008D479B" w:rsidRDefault="008D479B" w:rsidP="008D479B">
      <w:pPr>
        <w:pStyle w:val="TextoNormal"/>
      </w:pPr>
    </w:p>
    <w:p w14:paraId="64F249A3" w14:textId="77777777" w:rsidR="008D479B" w:rsidRDefault="008D479B" w:rsidP="008D479B">
      <w:pPr>
        <w:pStyle w:val="TextoNormal"/>
      </w:pPr>
      <w:r>
        <w:t>Entre tales mecanismos de intervención limitativos de la autonomía municipal —y/o provincial— se encuentra, entre otros, la posibilidad de ejercer facultades de coordinación de la actividad de los gobiernos y administraciones locales por parte del Estado o las comunidades autónomas, en función del régimen de distribución de competencias, sin que ello tenga por qué significar una alteración de la titularidad y el ejercicio de las competencias propias de los entes coordinados. Así se prevé en los artículos 10.2 y 59.1 LBRL. De acuerdo con el primero de ellos, “[p]rocederá la coordinación de las competencias de las entidades locales entre sí y, especialmente, con las de las restantes administraciones públicas, cuando las actividades o los servicios locales trasciendan el interés propio de las correspondientes entidades, incidan o condicionen relevantemente los de dichas administraciones o sean concurrentes o complementarios de los de estas”. Por su parte, el art. 59.1 LBRL dispone que “[a] fin de asegurar la coherencia de la actuación de las administraciones públicas, en los supuestos previstos en el número 2 del artículo 10 y para el caso de que dicho fin no pueda alcanzarse por los procedimientos contemplados en los artículos anteriores o estos resultaran manifiestamente inadecuados por razón de las características de la tarea pública de que se trate [se refiere a las técnicas de cooperación, o si se quiere, de ‘coordinación voluntaria’ contempladas en los artículos anteriores], las leyes del Estado y las de las comunidades autónomas, reguladoras de los distintos sectores de la acción pública, podrán atribuir al Gobierno de la Nación, o al Consejo de Gobierno, la facultad de coordinar la actividad de la administración local y, en especial, de las diputaciones provinciales en el ejercicio de sus competencias”.</w:t>
      </w:r>
    </w:p>
    <w:p w14:paraId="1DCD5283" w14:textId="77777777" w:rsidR="008D479B" w:rsidRDefault="008D479B" w:rsidP="008D479B">
      <w:pPr>
        <w:pStyle w:val="TextoNormal"/>
      </w:pPr>
    </w:p>
    <w:p w14:paraId="07EA6B41" w14:textId="77777777" w:rsidR="008D479B" w:rsidRDefault="008D479B" w:rsidP="008D479B">
      <w:pPr>
        <w:pStyle w:val="TextoNormal"/>
      </w:pPr>
      <w:r>
        <w:t>Si nos centramos en el ámbito de la Comunitat Valenciana, podremos apreciar que, en línea con lo previsto en la normativa básica estatal, el apartado 3 del art. 66 del estatuto de autonomía dispone que “[l]a Generalitat coordinará las funciones propias de las diputaciones provinciales que sean de interés general de la Comunitat Valenciana. A estos efectos, y en el marco de la legislación del Estado, por ley de les Corts, aprobada por mayoría absoluta, se establecerán las fórmulas generales de coordinación y la relación de las funciones que deben ser coordinadas, fijándose, en su caso, las singularidades que, según la naturaleza de la función, sean indispensables para su más adecuada coordinación. A los efectos de coordinar estas funciones, los presupuestos de las diputaciones, que estas elaboren y aprueben, se unirán a los de la Generalitat”. Esto es, estatutariamente se reconoce la posibilidad de que la Generalitat Valenciana coordine a las diputaciones provinciales cuando concurra un interés general supralocal o comunitario.</w:t>
      </w:r>
    </w:p>
    <w:p w14:paraId="6318DEE4" w14:textId="77777777" w:rsidR="008D479B" w:rsidRDefault="008D479B" w:rsidP="008D479B">
      <w:pPr>
        <w:pStyle w:val="TextoNormal"/>
      </w:pPr>
    </w:p>
    <w:p w14:paraId="0E0DFFFA" w14:textId="77777777" w:rsidR="008D479B" w:rsidRDefault="008D479B" w:rsidP="008D479B">
      <w:pPr>
        <w:pStyle w:val="TextoNormal"/>
      </w:pPr>
      <w:r>
        <w:t>Tal y como hemos tenido ocasión de precisar en otros momentos, “[l]a coordinación tiene por objeto, naturalmente, competencias de titularidad local; pero no supone una sustracción de las competencias de las entidades sometidas a la misma, ‘antes bien, presupone lógicamente la titularidad de las competencias en favor de la entidad coordinada’. Esto implica que quien ejerza la competencia coordinada será siempre la propia entidad local. Sin embargo, tal y como ha señalado la STC 109/1998, de 21 de mayo, ‘las facultades de coordinación —a diferencia de las técnicas de colaboración, basadas en la participación voluntaria y, por ende, en una situación más nivelada de los entes cooperantes— conllevan ‘un cierto poder de dirección, consecuencia de la posición de superioridad en que se encuentra el que coordina respecto al coordinado’ [STC 214/1989, FJ 20 f)]. Y siendo, consiguientemente, la imposición una de las principales notas distintivas de la coordinación frente a la voluntariedad que caracteriza a las fórmulas cooperativas [cfr., además, STC 331/1993, FJ 5 A)], es claro que el que ostenta atribuciones de aquella índole está legitimado, en línea de principio, para establecer unilateralmente medidas armonizadoras destinadas a la más eficaz concertación de la actuación de todos los entes involucrados. Desde esta perspectiva, puede en verdad afirmarse que la coordinación ‘constituye un límite al pleno ejercicio de las competencias propias de las corporaciones locales’ [STC 27/1987, FJ 2; asimismo STC 214/1989, FJ 20 f)]” (STC 82/2020, FJ 6).</w:t>
      </w:r>
    </w:p>
    <w:p w14:paraId="0C85FD07" w14:textId="77777777" w:rsidR="008D479B" w:rsidRDefault="008D479B" w:rsidP="008D479B">
      <w:pPr>
        <w:pStyle w:val="TextoNormal"/>
      </w:pPr>
    </w:p>
    <w:p w14:paraId="6989091A" w14:textId="77777777" w:rsidR="008D479B" w:rsidRDefault="008D479B" w:rsidP="008D479B">
      <w:pPr>
        <w:pStyle w:val="TextoNormal"/>
      </w:pPr>
      <w:r>
        <w:t>La inevitable afectación de la garantía constitucional de la autonomía local que conlleva el ejercicio de la facultad de coordinación por parte de la comunidad autónoma obliga, a su vez, a someter a esta a ciertos límites, que, tanto en nuestra doctrina como en la propia legislación básica estatal, se concretan en una serie de exigencias sustantivas y procedimentales que se imponen a toda previsión de la referida facultad de coordinación.</w:t>
      </w:r>
    </w:p>
    <w:p w14:paraId="305BE14C" w14:textId="77777777" w:rsidR="008D479B" w:rsidRDefault="008D479B" w:rsidP="008D479B">
      <w:pPr>
        <w:pStyle w:val="TextoNormal"/>
      </w:pPr>
    </w:p>
    <w:p w14:paraId="0EF9C28D" w14:textId="77777777" w:rsidR="008D479B" w:rsidRDefault="008D479B" w:rsidP="008D479B">
      <w:pPr>
        <w:pStyle w:val="TextoNormal"/>
      </w:pPr>
      <w:r>
        <w:t>De este modo, a partir del reconocimiento constitucional de la autonomía local (arts. 137, 140 y 141 CE), y siguiendo el razonamiento de la STC 111/2016, de 9 de junio, si bien es cierto que en esta ocasión se abordaba un caso de coordinación dentro de un mismo nivel de gobierno (de los municipios por parte de las diputaciones provinciales), cabe extraer una misma conclusión para el supuesto de la previsión de una facultad de coordinación entre diferentes niveles de gobierno (de la comunidad autónoma sobre las diputaciones provinciales), a saber: que la misma, “además de estar específicamente atribuida y suficientemente predeterminada, debe responder a la protección de intereses generales o comunitarios. Se trata de una doble exigencia constitucional de predeterminación y proporcionalidad” (STC 82/2020, FJ 6).</w:t>
      </w:r>
    </w:p>
    <w:p w14:paraId="610631A5" w14:textId="77777777" w:rsidR="008D479B" w:rsidRDefault="008D479B" w:rsidP="008D479B">
      <w:pPr>
        <w:pStyle w:val="TextoNormal"/>
      </w:pPr>
    </w:p>
    <w:p w14:paraId="5285902B" w14:textId="77777777" w:rsidR="008D479B" w:rsidRDefault="008D479B" w:rsidP="008D479B">
      <w:pPr>
        <w:pStyle w:val="TextoNormal"/>
      </w:pPr>
      <w:r>
        <w:t>Y es que, como referíamos en la citada STC 111/2016, “una amplia indeterminación normativa equivale a confiar a la propia entidad coordinadora la forma y alcance de su ‘cierto poder de dirección’ sobre el ente coordinado; un poder que estaría, en realidad, autoatribuido en contra de la doctrina constitucional. A su vez, el legislador, dentro de los amplios márgenes con que cuenta para diseñar fórmulas de coordinación provincial, debe asegurar que el grado de capacidad decisoria que conserve el municipio sea tendencialmente correlativo al nivel de interés municipal presente en el asunto de que se trate”.</w:t>
      </w:r>
    </w:p>
    <w:p w14:paraId="27E627B5" w14:textId="77777777" w:rsidR="008D479B" w:rsidRDefault="008D479B" w:rsidP="008D479B">
      <w:pPr>
        <w:pStyle w:val="TextoNormal"/>
      </w:pPr>
    </w:p>
    <w:p w14:paraId="1E2A6467" w14:textId="77777777" w:rsidR="008D479B" w:rsidRDefault="008D479B" w:rsidP="008D479B">
      <w:pPr>
        <w:pStyle w:val="TextoNormal"/>
      </w:pPr>
      <w:r>
        <w:t>Pues bien, como se ha señalado, este mismo razonamiento sería predicable respecto de la previsión de fórmulas de coordinación autonómica de las diputaciones provinciales. Y, a tal efecto, cabe entender, en sintonía con lo acordado en la sentencia mencionada (STC 111/2016, FJ 12), que, tal y como recuerda la STC 154/2015, de 9 de julio, FJ 6 a), “se trata de que el legislador gradúe el alcance o intensidad de la intervención local ‘en función de la relación existente entre los intereses locales y supralocales dentro de tales asuntos o materias’ (SSTC 32/1981, FJ 4; 170/1989, 19 de octubre, FJ 9, y 51/2004, FJ 9, entre muchas; en el mismo sentido, últimamente, SSTC 95/2014, de 12 de junio, FJ 5; 57/2015, de 18 de marzo, FJ 6, y 92/2015, de 14 de mayo, FJ 4)”. En definitiva, la autonomía de las entidades coordinadas exige que estas conserven aquel “grado de capacidad decisoria que sea tendencialmente correlativo al nivel de interés presente en el asunto de que se trate” (STC 82/2020, FJ 6).</w:t>
      </w:r>
    </w:p>
    <w:p w14:paraId="3CD44FB8" w14:textId="77777777" w:rsidR="008D479B" w:rsidRDefault="008D479B" w:rsidP="008D479B">
      <w:pPr>
        <w:pStyle w:val="TextoNormal"/>
      </w:pPr>
    </w:p>
    <w:p w14:paraId="0C0BCF2D" w14:textId="77777777" w:rsidR="008D479B" w:rsidRDefault="008D479B" w:rsidP="008D479B">
      <w:pPr>
        <w:pStyle w:val="TextoNormal"/>
      </w:pPr>
      <w:r>
        <w:t>b) También la normativa básica estatal ha concretado ciertos límites y condiciones a la facultad autonómica de coordinación sobre las diputaciones provinciales. Así, en virtud de la remisión del artículo 59.1 al artículo 10.2 LBRL, se exige, por un lado, que “las actividades o los servicios locales transciendan el interés propio de las correspondientes entidades [locales], incidan o condicionen relevantemente los de dichas administraciones [el Estado y la comunidad autónoma] o sean concurrentes o complementarios de los de estas”; y, por otro, que la “coherencia de la actuación de las administraciones públicas” no pueda alcanzarse por los procedimientos de cooperación voluntaria o estos resultaran manifiestamente inadecuados por razón de las características de la tarea pública de que se trate.</w:t>
      </w:r>
    </w:p>
    <w:p w14:paraId="740F2DD2" w14:textId="77777777" w:rsidR="008D479B" w:rsidRDefault="008D479B" w:rsidP="008D479B">
      <w:pPr>
        <w:pStyle w:val="TextoNormal"/>
      </w:pPr>
    </w:p>
    <w:p w14:paraId="1A7C641C" w14:textId="77777777" w:rsidR="008D479B" w:rsidRDefault="008D479B" w:rsidP="008D479B">
      <w:pPr>
        <w:pStyle w:val="TextoNormal"/>
      </w:pPr>
      <w:r>
        <w:t>Este requisito, previsto en la normativa básica estatal, “no es sino una manifestación de la exigencia constitucional de proporcionalidad, entendida, como ya hemos visto, como la obligación de graduar el alcance o intensidad de la intervención de cada nivel territorial ‘en función de la relación existente entre los intereses locales y supralocales dentro de tales asuntos o materias’, y que se deriva del reconocimiento constitucional de la autonomía local (</w:t>
      </w:r>
      <w:r w:rsidRPr="008D479B">
        <w:rPr>
          <w:i/>
        </w:rPr>
        <w:t>ex</w:t>
      </w:r>
      <w:r>
        <w:t xml:space="preserve"> arts. 137, 140 y 141 CE)” (STC 82/2020, FJ 6).</w:t>
      </w:r>
    </w:p>
    <w:p w14:paraId="301311DB" w14:textId="77777777" w:rsidR="008D479B" w:rsidRDefault="008D479B" w:rsidP="008D479B">
      <w:pPr>
        <w:pStyle w:val="TextoNormal"/>
      </w:pPr>
    </w:p>
    <w:p w14:paraId="6D3F6001" w14:textId="45D14868" w:rsidR="008D479B" w:rsidRDefault="008D479B" w:rsidP="008D479B">
      <w:pPr>
        <w:pStyle w:val="TextoNormal"/>
      </w:pPr>
      <w:r>
        <w:t>Asimismo, a fin de poder cumplir con la exigencia constitucional de predeterminación, el propio art. 59.1 LBRL establece una serie de condiciones procedimentales para que se pueda prever dicha facultad autonómica de coordinación sobre las diputaciones provinciales, de forma que estas puedan conocer, con carácter previo, como va a tener lugar aquella. Según este precepto, tal coordinación debe realizarse “mediante la definición concreta y en relación con una materia, servicio o competencia determinados de los intereses generales o comunitarios, a través de planes sectoriales para la fijación de los objetivos y la determinación de las prioridades de la acción pública en la materia correspondiente”. Esos planes “deberán tramitarse —tal como dispone el art. 58.2 LBRL al que se remite el art. 59.1 de la propia LBRL— con la participación de las administraciones afectadas, participación que tiene como propósito último la armonización de los intereses públicos en presencia; lo que ciertamente supone una garantía de la autonomía local, pues implica, por un lado, la participación de los entes locales en la tramitación del plan y, por otro, que cualquier desviación respecto de los intereses locales manifestados mediante su participación en la elaboración de aquel, solo podría justificarse en la armonización de los intereses públicos en presencia” (STC 82/2020, FJ 6).</w:t>
      </w:r>
    </w:p>
    <w:p w14:paraId="3AA89516" w14:textId="77777777" w:rsidR="008D479B" w:rsidRDefault="008D479B" w:rsidP="008D479B">
      <w:pPr>
        <w:pStyle w:val="TextoNormal"/>
      </w:pPr>
    </w:p>
    <w:p w14:paraId="19CC804F" w14:textId="77777777" w:rsidR="008D479B" w:rsidRDefault="008D479B" w:rsidP="008D479B">
      <w:pPr>
        <w:pStyle w:val="TextoNormal"/>
      </w:pPr>
      <w:r w:rsidRPr="008D479B">
        <w:rPr>
          <w:rStyle w:val="NumeroAFNegritaCaracter"/>
        </w:rPr>
        <w:t>7</w:t>
      </w:r>
      <w:r>
        <w:t xml:space="preserve">. </w:t>
      </w:r>
      <w:r w:rsidRPr="008D479B">
        <w:rPr>
          <w:i/>
        </w:rPr>
        <w:t>La doctrina constitucional sobre la autonomía y la suficiencia financiera local</w:t>
      </w:r>
    </w:p>
    <w:p w14:paraId="5514004D" w14:textId="77777777" w:rsidR="008D479B" w:rsidRDefault="008D479B" w:rsidP="008D479B">
      <w:pPr>
        <w:pStyle w:val="TextoNormal"/>
      </w:pPr>
    </w:p>
    <w:p w14:paraId="4F7AFA10" w14:textId="77777777" w:rsidR="008D479B" w:rsidRDefault="008D479B" w:rsidP="008D479B">
      <w:pPr>
        <w:pStyle w:val="TextoNormal"/>
      </w:pPr>
      <w:r>
        <w:t>Desde la perspectiva económica, la autonomía de la que gozan los entes locales, tal y como ha tenido ocasión de recordar este tribunal, presenta dos vertientes: la de los ingresos y la de los gastos (SSTC 48/2004, de 25 de marzo, FJ 10, y 82/2020, FJ 7).</w:t>
      </w:r>
    </w:p>
    <w:p w14:paraId="6C85D5B0" w14:textId="77777777" w:rsidR="008D479B" w:rsidRDefault="008D479B" w:rsidP="008D479B">
      <w:pPr>
        <w:pStyle w:val="TextoNormal"/>
      </w:pPr>
    </w:p>
    <w:p w14:paraId="056EE4A7" w14:textId="77777777" w:rsidR="008D479B" w:rsidRDefault="008D479B" w:rsidP="008D479B">
      <w:pPr>
        <w:pStyle w:val="TextoNormal"/>
      </w:pPr>
      <w:r>
        <w:t>a) Desde la vertiente de los ingresos, se ha de partir de lo previsto en el art. 142 CE: “Las Haciendas locales deberán disponer de los medios suficientes para el desempeño de las funciones que la ley atribuye a las Corporaciones respectivas y se nutrirán fundamentalmente de tributos propios y de participación en los del Estado y de las Comunidades Autónomas”. Según hemos tenido oportunidad de declarar, esto no significa que se deba garantizar “a las corporaciones locales autonomía económico-financiera en el sentido de que dispongan de medios propios —patrimoniales y tributarios— suficientes para el cumplimiento de sus funciones, sino que lo que dispone es únicamente la suficiencia de aquellos medios” (STC 96/1990, de 24 de mayo, FJ 7; en el mismo sentido, SSTC 179/1985, de 19 de diciembre, FJ 3; 166/1998, de 15 de julio, FJ 10, y 82/2020, FJ 7).</w:t>
      </w:r>
    </w:p>
    <w:p w14:paraId="5096E9CD" w14:textId="77777777" w:rsidR="008D479B" w:rsidRDefault="008D479B" w:rsidP="008D479B">
      <w:pPr>
        <w:pStyle w:val="TextoNormal"/>
      </w:pPr>
    </w:p>
    <w:p w14:paraId="27C3EE37" w14:textId="77777777" w:rsidR="008D479B" w:rsidRDefault="008D479B" w:rsidP="008D479B">
      <w:pPr>
        <w:pStyle w:val="TextoNormal"/>
      </w:pPr>
      <w:r>
        <w:t>Lo que garantiza la Constitución en relación con las haciendas locales no es, por consiguiente, el principio de autonomía financiera, en sentido estricto, sino el de suficiencia de ingresos, presupuesto indispensable “para posibilitar la consecución efectiva de la autonomía constitucionalmente garantizada” (STC 96/1990, de 24 de mayo, FJ 7). Esta es una manifestación concreta de lo que, con carácter más general, hemos afirmado en otras ocasiones: que el “principio de autonomía que preside la organización territorial del Estado (arts. 2 y 137), ofrece una vertiente económica importantísima, ya que, aun cuando tenga un carácter instrumental, la amplitud de los medios determina la posibilidad real de alcanzar los fines” (STC 237/1992, de 15 de diciembre, FJ 6). Dicho de otro modo: “La autonomía de los entes locales va […] estrechamente ligada a su suficiencia financiera, por cuanto exige la plena disposición de medios financieros para poder ejercer, sin condicionamientos indebidos y en toda su extensión, las funciones que legalmente les han sido encomendadas” (STC 104/2000, de 13 de abril, FJ 4). En otras palabras: para posibilitar y garantizar el ejercicio de la autonomía local constitucionalmente reconocida en los arts. 137, 140 y 141 CE, los entes locales han de disponer de recursos financieros suficientes [SSTC 96/1990, FJ 7; 331/1993, FJ 2 b); 171/1996, de 30 de octubre, FJ 5; 233/1999, de 16 de diciembre, FFJJ 4 b), y 22; 104/2000, FJ 4, y 82/2020, FJ 7].</w:t>
      </w:r>
    </w:p>
    <w:p w14:paraId="03363533" w14:textId="77777777" w:rsidR="008D479B" w:rsidRDefault="008D479B" w:rsidP="008D479B">
      <w:pPr>
        <w:pStyle w:val="TextoNormal"/>
      </w:pPr>
    </w:p>
    <w:p w14:paraId="4DEF8DB9" w14:textId="77777777" w:rsidR="008D479B" w:rsidRDefault="008D479B" w:rsidP="008D479B">
      <w:pPr>
        <w:pStyle w:val="TextoNormal"/>
      </w:pPr>
      <w:r>
        <w:t>Más allá de los tributos propios locales, corresponde, en primera instancia, al Estado, en virtud de su competencia exclusiva en materia de hacienda general (art. 149.1.14 CE), hacer efectivo el principio de suficiencia financiera de las haciendas locales, mediante el ejercicio de la actividad legislativa y en el marco de las disponibilidades presupuestarias [SSTC 179/1985, de 19 de diciembre, FJ 3; 96/1990, de 24 de mayo, FJ 7; 237/1992, de 15 de diciembre, FJ 6; 331/1993, de 12 de noviembre, FJ 2 b); 171/1996, de 30 de octubre, FJ 5; 233/1999, de 16 de diciembre, FJ 22; 104/2000, de 13 de abril, FJ 4, y 48/2004, FJ 10], sin perjuicio de la competencia que igualmente corresponde a las comunidades autónomas a este respecto, dado que, como dispone el mencionado artículo 142 CE, las haciendas locales se nutrirán también de la participación en tributos de las comunidades autónomas.</w:t>
      </w:r>
    </w:p>
    <w:p w14:paraId="3FEEE176" w14:textId="77777777" w:rsidR="008D479B" w:rsidRDefault="008D479B" w:rsidP="008D479B">
      <w:pPr>
        <w:pStyle w:val="TextoNormal"/>
      </w:pPr>
    </w:p>
    <w:p w14:paraId="6A0F52C3" w14:textId="77777777" w:rsidR="008D479B" w:rsidRDefault="008D479B" w:rsidP="008D479B">
      <w:pPr>
        <w:pStyle w:val="TextoNormal"/>
      </w:pPr>
      <w:r>
        <w:t>Esta corresponsabilidad, estatal y autonómica, de garantizar la suficiencia financiera de los entes locales, conlleva que cuando el Estado y/o las comunidades autónomas atribuyan a los gobiernos y administraciones locales nuevas tareas, o amplíen aquellas que ya venían desempeñando, habrán de garantizarles, de igual modo, ingresos suficientes que les permitan hacer frente a la eventual necesidad de gasto que esa nueva atribución de competencias pueda traer consigo. Es decir, si el Estado o las comunidades autónomas atribuye/n a los entes locales nuevas competencias (o amplían el alcance de las ya existentes) serán también constitucionalmente responsables de garantizarles los recursos financieros que les permitan acometer esas nuevas tareas con suficiencia. Este mandato, que cabe derivar directamente del artículo 142 CE, se encuentra, asimismo, recogido en el artículo 9 de la Carta europea de la autonomía local (“Boletín Oficial del Estado” núm. 47, de 24 de febrero de 1989).</w:t>
      </w:r>
    </w:p>
    <w:p w14:paraId="7F6FC58E" w14:textId="77777777" w:rsidR="008D479B" w:rsidRDefault="008D479B" w:rsidP="008D479B">
      <w:pPr>
        <w:pStyle w:val="TextoNormal"/>
      </w:pPr>
    </w:p>
    <w:p w14:paraId="6420CB5D" w14:textId="77777777" w:rsidR="008D479B" w:rsidRDefault="008D479B" w:rsidP="008D479B">
      <w:pPr>
        <w:pStyle w:val="TextoNormal"/>
      </w:pPr>
      <w:r>
        <w:t>También en la normativa básica estatal y en el Estatuto de Autonomía de la Comunitat Valenciana se establece el alcance de la responsabilidad autonómica a la hora de garantizar recursos económicos suficientes a los entes locales. Así, el art. 25.4 LBRL, en la redacción dada por la Ley 27/2013, de 27 de diciembre, de racionalización y sostenibilidad de la administración local, establece la obligación de que la ley, cuando determine las competencias municipales en aquellas materias enunciadas en este mismo precepto, prevea “la dotación de los recursos necesarios para asegurar la suficiencia financiera de las entidades locales”. Exigencia esta que, según hemos declarado, se ve extendida a aquellos ámbitos no incluidos en el listado del art. 25.2 LBRL, pues las “competencias propias” municipales no son solo las atribuidas dentro de los márgenes del art. 25.2 LBRL, sino que resultan igualmente de previsiones generales de esta ley básica estatal (arts. 2.1 y 7.1 LBRL) que han permanecido inalteradas (STC 41/2016, de 3 de marzo, FJ 10).</w:t>
      </w:r>
    </w:p>
    <w:p w14:paraId="3AAF819E" w14:textId="77777777" w:rsidR="008D479B" w:rsidRDefault="008D479B" w:rsidP="008D479B">
      <w:pPr>
        <w:pStyle w:val="TextoNormal"/>
      </w:pPr>
    </w:p>
    <w:p w14:paraId="5988A47E" w14:textId="77777777" w:rsidR="008D479B" w:rsidRDefault="008D479B" w:rsidP="008D479B">
      <w:pPr>
        <w:pStyle w:val="TextoNormal"/>
      </w:pPr>
      <w:r>
        <w:t xml:space="preserve">Por su parte, el art. 64.2 </w:t>
      </w:r>
      <w:r w:rsidRPr="008D479B">
        <w:rPr>
          <w:i/>
        </w:rPr>
        <w:t>in fine</w:t>
      </w:r>
      <w:r>
        <w:t xml:space="preserve"> del Estatuto de Autonomía de la Comunitat Valenciana, al tiempo que establece que “[m]ediante ley de les Corts se procederá a la descentralización en favor de los ayuntamientos de aquellas competencias que sean susceptibles de ello, atendiendo a la capacidad de gestión de los mismos”, precisa, acto seguido, que “[e]sta descentralización irá acompañada de los suficientes recursos económicos para que sea efectiva”.</w:t>
      </w:r>
    </w:p>
    <w:p w14:paraId="362B9BCD" w14:textId="77777777" w:rsidR="008D479B" w:rsidRDefault="008D479B" w:rsidP="008D479B">
      <w:pPr>
        <w:pStyle w:val="TextoNormal"/>
      </w:pPr>
    </w:p>
    <w:p w14:paraId="54B6B193" w14:textId="77777777" w:rsidR="008D479B" w:rsidRDefault="008D479B" w:rsidP="008D479B">
      <w:pPr>
        <w:pStyle w:val="TextoNormal"/>
      </w:pPr>
      <w:r>
        <w:t>Si bien la garantía de la suficiencia de recursos financieros prevista en los preceptos básicos y estatutarios que acabamos de mencionar se refiere a los ayuntamientos, se ha de entender que la misma es asimismo predicable de las diputaciones provinciales, pues, en otro caso, difícilmente estas podrían cumplir con la función que, de manera principal, les define, en tanto que órgano de gobierno de una entidad local constitucionalmente garantizada, “determinada por la agrupación de municipios” (art. 141.1 CE): la asistencia y cooperación económica a los municipios, especialmente los de menor capacidad económica y de gestión [tal y como dispone el art. 36.1 b) LBRL; STC 82/2020, FJ 7].</w:t>
      </w:r>
    </w:p>
    <w:p w14:paraId="199BB74C" w14:textId="77777777" w:rsidR="008D479B" w:rsidRDefault="008D479B" w:rsidP="008D479B">
      <w:pPr>
        <w:pStyle w:val="TextoNormal"/>
      </w:pPr>
    </w:p>
    <w:p w14:paraId="748A4958" w14:textId="77777777" w:rsidR="008D479B" w:rsidRDefault="008D479B" w:rsidP="008D479B">
      <w:pPr>
        <w:pStyle w:val="TextoNormal"/>
      </w:pPr>
      <w:r>
        <w:t>Este apoyo a los municipios radicados en su ámbito territorial es el núcleo de la actividad de la provincia (STC 111/2016, de 9 de junio, FJ 9), actividad que se traduce “en la cooperación económica a la realización de las obras y servicios municipales, y […] es llevada a la práctica a través del ejercicio de su capacidad financiera o de gasto público […]. Es esta actuación cooperadora, pues, la que cabe identificar como el núcleo de la autonomía provincial” (STC 109/1998, de 21 de mayo, FJ 2; en sentido similar, STC 102/2013, de 25 de abril, FJ 5).</w:t>
      </w:r>
    </w:p>
    <w:p w14:paraId="67152062" w14:textId="77777777" w:rsidR="008D479B" w:rsidRDefault="008D479B" w:rsidP="008D479B">
      <w:pPr>
        <w:pStyle w:val="TextoNormal"/>
      </w:pPr>
    </w:p>
    <w:p w14:paraId="71CA6233" w14:textId="77777777" w:rsidR="008D479B" w:rsidRDefault="008D479B" w:rsidP="008D479B">
      <w:pPr>
        <w:pStyle w:val="TextoNormal"/>
      </w:pPr>
      <w:r>
        <w:t>De la caracterización constitucional de la provincia como entidad local determinada por la “agrupación de municipios” (art. 141.1 CE) cabe derivar, por consiguiente, que tanto aquella (la provincia) como estos (los municipios) “responden a un ámbito normalmente común de intereses, pues los municipios son los destinatarios principales o directos de las competencias que hemos denominado instrumentales de asistencia, cooperación y coordinación características de la provincia […] (art. 141.1 CE; STC 107/2017, de 21 de septiembre, FJ 4). Así, en efecto, la Constitución, al configurar la provincia como agrupación de municipios, está regulando el nivel local de gobierno como un sistema integrado por dos entidades, los municipios y la provincia. Dos entidades que forman parte de una misma comunidad política local que determina que no existan propiamente intereses provinciales opuestos a los municipales, pues precisamente la función de la provincia es garantizar la prestación integral de los servicios de competencia municipal y el ejercicio de las competencias municipales” (STC 82/2020, FJ 7).</w:t>
      </w:r>
    </w:p>
    <w:p w14:paraId="61BD23A1" w14:textId="77777777" w:rsidR="008D479B" w:rsidRDefault="008D479B" w:rsidP="008D479B">
      <w:pPr>
        <w:pStyle w:val="TextoNormal"/>
      </w:pPr>
    </w:p>
    <w:p w14:paraId="5BE1AA34" w14:textId="77777777" w:rsidR="008D479B" w:rsidRDefault="008D479B" w:rsidP="008D479B">
      <w:pPr>
        <w:pStyle w:val="TextoNormal"/>
      </w:pPr>
      <w:r>
        <w:t>b) Desde la vertiente de los gastos se ha de tener presente lo que ya señalamos en otras ocasiones: que, aunque la Constitución únicamente se refiere a la “suficiencia de medios” cuando alude a las haciendas locales (art. 141 CE), resulta evidente que la autonomía de los gobiernos y administraciones locales, en general, y de las provincias, en particular, desde un punto de vista financiero, no se agota ahí (STC 48/2004, de 25 de marzo). Como sostuvimos en la STC 109/1998, de 21 de mayo, en relación con la autonomía financiera de las provincias, “si bien el art. 142 CE solo contempla de modo expreso la vertiente de los ingresos, no hay inconveniente alguno en admitir que tal precepto constitucional, implícitamente y en conexión con el art. 137 de la norma suprema consagra, además del principio de suficiencia de las haciendas locales, la autonomía en la vertiente del gasto público, entendiendo por tal la capacidad genérica de determinar y ordenar, bajo la propia responsabilidad, los gastos necesarios para el ejercicio de las competencias referidas” (FJ 10). De hecho, tal y como hemos señalado ya en otras ocasiones, “aunque el soporte material de la autonomía financiera son los ingresos y en tal sentido la Constitución configura como principio la suficiencia de recursos […], la autonomía financiera está configurada más por relación a la vertiente del gasto (como capacidad para gastar [...]) que con relación al ingreso —como capacidad para articular un sistema suficiente de ingresos—” (STC 104/2000, de 13 de abril, FJ 4).</w:t>
      </w:r>
    </w:p>
    <w:p w14:paraId="1A17DE6C" w14:textId="77777777" w:rsidR="008D479B" w:rsidRDefault="008D479B" w:rsidP="008D479B">
      <w:pPr>
        <w:pStyle w:val="TextoNormal"/>
      </w:pPr>
    </w:p>
    <w:p w14:paraId="477C3521" w14:textId="77777777" w:rsidR="008D479B" w:rsidRDefault="008D479B" w:rsidP="008D479B">
      <w:pPr>
        <w:pStyle w:val="TextoNormal"/>
      </w:pPr>
      <w:r>
        <w:t xml:space="preserve">Esta autonomía local, en la vertiente de gasto, entraña, al menos, dos exigencias: en primer lugar, “la plena disponibilidad” por las corporaciones locales de sus ingresos, “sin condicionamientos indebidos y en toda su extensión, para poder ejercer las competencias propias”, doctrina esta que, vertida inicialmente en relación con la autonomía de gasto de las comunidades autónomas, venimos aplicando a los entes locales desde nuestra STC 237/1992, de 15 de diciembre; y, en segundo lugar, la capacidad de decisión sobre el destino de sus fondos, también sin condicionamientos indebidos. “Solamente así, en rigor, asegurando </w:t>
      </w:r>
      <w:r w:rsidRPr="008D479B">
        <w:rPr>
          <w:i/>
        </w:rPr>
        <w:t>prima facie</w:t>
      </w:r>
      <w:r>
        <w:t xml:space="preserve"> la posibilidad de decidir libremente sobre el destino de los recursos, adquiere pleno sentido la garantía de la suficiencia de ingresos ‘para el desempeño de las funciones que la ley atribuye a las corporaciones respectivas’, según la dicción literal del mencionado art. 142 CE” (STC 109/1998, FJ 10). De este modo, la autonomía de gasto no entraña solo la libertad de los órganos de gobierno “en cuanto a la fijación del destino y orientación del gasto público”, sino también “para la cuantificación y distribución del mismo dentro del marco de sus competencias” (SSTC 13/1992, FJ 7; 68/1996, FJ 10, y 82/2020, FJ 7).</w:t>
      </w:r>
    </w:p>
    <w:p w14:paraId="73A57019" w14:textId="77777777" w:rsidR="008D479B" w:rsidRDefault="008D479B" w:rsidP="008D479B">
      <w:pPr>
        <w:pStyle w:val="TextoNormal"/>
      </w:pPr>
    </w:p>
    <w:p w14:paraId="5F047A07" w14:textId="77777777" w:rsidR="008D479B" w:rsidRDefault="008D479B" w:rsidP="008D479B">
      <w:pPr>
        <w:pStyle w:val="TextoNormal"/>
      </w:pPr>
      <w:r>
        <w:t>El reconocimiento de esta amplia autonomía de gasto provincial no quiere decir que el ámbito sobre el que la misma se proyecta constituya una “esfera total y absolutamente resistente a cualquier mínima incidencia o afectación proveniente de otros niveles de gobierno”, dado que “lo que la Constitución veda de una forma terminante y sin excepciones no es sino el menoscabo del núcleo esencial o reducto indisponible de la institución, estrictamente”. Quiere ello decir que dicha autonomía local en el ámbito económico, y, concretamente, en la vertiente del gasto, “puede ser restringida por el Estado y las comunidades autónomas”, siempre y cuando esa restricción se lleve a cabo “dentro de los límites establecidos en el bloque de la constitucionalidad” (STC 109/1998, de 21 de mayo, FJ 10), por ejemplo, en virtud de las facultades coordinadoras (STC 82/2020, FJ 7).</w:t>
      </w:r>
    </w:p>
    <w:p w14:paraId="6F858664" w14:textId="77777777" w:rsidR="008D479B" w:rsidRDefault="008D479B" w:rsidP="008D479B">
      <w:pPr>
        <w:pStyle w:val="TextoNormal"/>
      </w:pPr>
    </w:p>
    <w:p w14:paraId="01F22D11" w14:textId="34B47A9C" w:rsidR="008D479B" w:rsidRDefault="008D479B" w:rsidP="008D479B">
      <w:pPr>
        <w:pStyle w:val="TextoNormal"/>
      </w:pPr>
      <w:r>
        <w:t>Ahora bien, esta facultad de coordinación, como ya señalamos anteriormente, también tiene sus límites. En concreto, “lo que se encuentra vedado al legislador, tanto estatal como autonómico, para preservar el reducto esencial e indisponible de la autonomía provincial en su vertiente presupuestaria, es la ausencia de graduación del alcance o intensidad de la coordinación en función de la relación existente entre los intereses locales y supralocales o comunitarios dentro de tales asuntos o materias”. De este modo, “la eventual vulneración de la autonomía provincial en la vertiente del gasto público no derivaría del simple hecho de que una ley autonómica conllevara unas cargas económicas y unas obligaciones para las diputaciones provinciales, sino del hecho de que en la ley autonómica se determinasen aquellas, sin tener en cuenta la relación existente entre los intereses locales y supralocales concurrentes” (STC 82/2020, FJ 10).</w:t>
      </w:r>
    </w:p>
    <w:p w14:paraId="7E6BE698" w14:textId="77777777" w:rsidR="008D479B" w:rsidRDefault="008D479B" w:rsidP="008D479B">
      <w:pPr>
        <w:pStyle w:val="TextoNormal"/>
      </w:pPr>
    </w:p>
    <w:p w14:paraId="3E6BC104" w14:textId="77777777" w:rsidR="008D479B" w:rsidRDefault="008D479B" w:rsidP="008D479B">
      <w:pPr>
        <w:pStyle w:val="TextoNormal"/>
      </w:pPr>
      <w:r w:rsidRPr="008D479B">
        <w:rPr>
          <w:rStyle w:val="NumeroAFNegritaCaracter"/>
        </w:rPr>
        <w:t>8</w:t>
      </w:r>
      <w:r>
        <w:t xml:space="preserve">. </w:t>
      </w:r>
      <w:r w:rsidRPr="008D479B">
        <w:rPr>
          <w:i/>
        </w:rPr>
        <w:t>Aplicación de la jurisprudencia constitucional a los preceptos impugnados</w:t>
      </w:r>
    </w:p>
    <w:p w14:paraId="7A0262FF" w14:textId="77777777" w:rsidR="008D479B" w:rsidRDefault="008D479B" w:rsidP="008D479B">
      <w:pPr>
        <w:pStyle w:val="TextoNormal"/>
      </w:pPr>
    </w:p>
    <w:p w14:paraId="10E48753" w14:textId="77777777" w:rsidR="008D479B" w:rsidRDefault="008D479B" w:rsidP="008D479B">
      <w:pPr>
        <w:pStyle w:val="TextoNormal"/>
      </w:pPr>
      <w:r>
        <w:t>Una vez expuesta nuestra doctrina sobre el significado y alcance de la garantía constitucional de la autonomía local (fundamento jurídico 5), las limitaciones que de ella se derivan para los legisladores estatal y autonómico (fundamento jurídico 6), así como la doctrina sobre la autonomía y suficiencia financiera local (fundamento jurídico 7), nos encontramos en disposición de iniciar el enjuiciamiento de los concretos preceptos impugnados.</w:t>
      </w:r>
    </w:p>
    <w:p w14:paraId="65E761C0" w14:textId="77777777" w:rsidR="008D479B" w:rsidRDefault="008D479B" w:rsidP="008D479B">
      <w:pPr>
        <w:pStyle w:val="TextoNormal"/>
      </w:pPr>
    </w:p>
    <w:p w14:paraId="2EA0BDBC" w14:textId="77777777" w:rsidR="008D479B" w:rsidRDefault="008D479B" w:rsidP="008D479B">
      <w:pPr>
        <w:pStyle w:val="TextoNormal"/>
      </w:pPr>
      <w:r>
        <w:t>En la medida en que el recurso de inconstitucionalidad se sostiene, de manera principal, sobre la alegación de la presunta “infracción de la garantía institucional de la autonomía provincial” (arts. 137 y 141 CE), como consecuencia de que en la ley impugnada se impone la participación forzosa de las diputaciones provinciales en la dotación económica del fondo de cooperación municipal que la propia ley crea, lo más conveniente es llevar a cabo, en primer lugar, un análisis de esta cuestión, pues la respuesta que se ofrezca a la misma determinará, decisivamente, el análisis de las demás alegaciones, más específicas, que tienen que ver con la presunta vulneración del Estatuto de Autonomía de la Comunitat Valenciana (arts. 66.3 y 64.3 EACV), así como de la Ley 7/1985, de 2 de abril, reguladora de las bases del régimen local (arts. 10 y 59 LBRL).</w:t>
      </w:r>
    </w:p>
    <w:p w14:paraId="580B40DF" w14:textId="77777777" w:rsidR="008D479B" w:rsidRDefault="008D479B" w:rsidP="008D479B">
      <w:pPr>
        <w:pStyle w:val="TextoNormal"/>
      </w:pPr>
    </w:p>
    <w:p w14:paraId="374B55CF" w14:textId="77777777" w:rsidR="008D479B" w:rsidRDefault="008D479B" w:rsidP="008D479B">
      <w:pPr>
        <w:pStyle w:val="TextoNormal"/>
      </w:pPr>
      <w:r>
        <w:t>A tal efecto, se ha de partir del análisis de los motivos esgrimidos por los recurrentes. En su opinión, la declaración de interés general de la Comunitat Valenciana, de conformidad con el art. 66.3 EACV, de la “función de asistencia y cooperación jurídica, económica y técnica” de las diputaciones provinciales a los municipios, al objeto de que aquellas participen en la financiación básica de estos a través del fondo de cooperación municipal, carece de justificación material, ya que dicha función forma parte del ámbito competencial de las diputaciones, según prevé el art. 36.1 b) LBRL, y responde, por tanto, a “las relaciones ordinarias de prestación de servicios por parte de las diputaciones a los ayuntamientos”. Por eso, según alegan, la ley impugnada, escudándose en ese supuesto “interés general”, habría incurrido en un vicio de arbitrariedad constitucionalmente vedado, al haber sustraído unas competencias que son propias de las diputaciones provinciales, afectando así al núcleo de su autonomía constitucionalmente garantizada.</w:t>
      </w:r>
    </w:p>
    <w:p w14:paraId="711E845F" w14:textId="77777777" w:rsidR="008D479B" w:rsidRDefault="008D479B" w:rsidP="008D479B">
      <w:pPr>
        <w:pStyle w:val="TextoNormal"/>
      </w:pPr>
    </w:p>
    <w:p w14:paraId="3A6BA941" w14:textId="77777777" w:rsidR="008D479B" w:rsidRDefault="008D479B" w:rsidP="008D479B">
      <w:pPr>
        <w:pStyle w:val="TextoNormal"/>
      </w:pPr>
      <w:r>
        <w:t>Se ha de observar, sin embargo, que, en realidad, dicha declaración de interés general, en contra de lo que sostienen los recurrentes, sí tiene una clara justificación o, más bien, una finalidad que sirve de justificación, tal y como expresamente se dispone, por un lado, en el preámbulo de la ley impugnada, y, por el otro, en su propio articulado, en concreto, en los apartados 1 y 3 del artículo 2. En efecto, en el preámbulo se afirma expresamente que “[e]s necesario un sistema de financiación local, en el ámbito de la Comunitat Valenciana, que sea eficiente y estructurado y fortalezca el nivel básico, el municipal, donde radica el poder político y la representación democrática más próxima a la ciudadanía”. Y, a tal efecto, se añade que “esta ley profundiza en la garantía de un sistema estable de financiación local con el objetivo de asegurar una gestión pública de calidad en el ejercicio de las competencias municipales”, mediante la creación del fondo de cooperación municipal, en desarrollo de lo previsto en el art. 64.3 EACV. Además, se da cuenta de que con esta nueva ley se sustituye el anterior fondo, creado por el art. 201 de la Ley 8/2010, de 23 de junio, de régimen local de la Comunitat Valenciana, que preveía la participación voluntaria de las diputaciones provinciales en su dotación económica, y que se manifestó disfuncional, en tanto que los municipios recibían financiación básica sustancialmente diferente en función de la provincia a la que pertenecieran, pues no todas las diputaciones participaban en igual medida en la dotación del referido fondo.</w:t>
      </w:r>
    </w:p>
    <w:p w14:paraId="3E575C52" w14:textId="77777777" w:rsidR="008D479B" w:rsidRDefault="008D479B" w:rsidP="008D479B">
      <w:pPr>
        <w:pStyle w:val="TextoNormal"/>
      </w:pPr>
    </w:p>
    <w:p w14:paraId="4A8633BE" w14:textId="77777777" w:rsidR="008D479B" w:rsidRDefault="008D479B" w:rsidP="008D479B">
      <w:pPr>
        <w:pStyle w:val="TextoNormal"/>
      </w:pPr>
      <w:r>
        <w:t>A mayor abundamiento, se sostiene en el propio preámbulo que en la financiación básica de los municipios de la Comunitat Valenciana concurren fuertes intereses autonómicos, en la medida en que las comunidades autónomas son, junto con el Estado, responsables de garantizar la suficiencia financiera de los entes locales, siendo precisamente esto lo que motiva que se declaren de interés general de aquella las funciones de asistencia y cooperación jurídica, económica y técnica de las diputaciones provinciales a los municipios, “configurándose la participación de las diputaciones como una necesidad básica para el desarrollo de este fondo”.</w:t>
      </w:r>
    </w:p>
    <w:p w14:paraId="4213A5EB" w14:textId="77777777" w:rsidR="008D479B" w:rsidRDefault="008D479B" w:rsidP="008D479B">
      <w:pPr>
        <w:pStyle w:val="TextoNormal"/>
      </w:pPr>
    </w:p>
    <w:p w14:paraId="7A17AC25" w14:textId="77777777" w:rsidR="008D479B" w:rsidRDefault="008D479B" w:rsidP="008D479B">
      <w:pPr>
        <w:pStyle w:val="TextoNormal"/>
      </w:pPr>
      <w:r>
        <w:t>Se añade, además, que esa cofinanciación del fondo de cooperación municipal por la Generalitat Valenciana y las diputaciones provinciales “se debe efectuar conforme al principio de proporcionalidad y equidad territorial, con el objeto de garantizar que toda la ciudadanía reciba un nivel mínimo de prestaciones en los servicios públicos locales y que no se produzca ningún tipo de diferencias injustificadas en la financiación de los municipios por su ubicación territorial”.</w:t>
      </w:r>
    </w:p>
    <w:p w14:paraId="5B865D27" w14:textId="77777777" w:rsidR="008D479B" w:rsidRDefault="008D479B" w:rsidP="008D479B">
      <w:pPr>
        <w:pStyle w:val="TextoNormal"/>
      </w:pPr>
    </w:p>
    <w:p w14:paraId="453E4B02" w14:textId="77777777" w:rsidR="008D479B" w:rsidRDefault="008D479B" w:rsidP="008D479B">
      <w:pPr>
        <w:pStyle w:val="TextoNormal"/>
      </w:pPr>
      <w:r>
        <w:t>A continuación, apoyándose en nuestra STC 82/2020, de 15 de julio, se afirma que “la provincia, en cuanto entidad local ‘determinada por la agrupación de municipios’ (art. 141.1 CE), tiene como núcleo de su actividad el apoyo a los municipios radicados en su ámbito territorial (STC 111/2016, de 9 de junio, FJ 9); actividad que se traduce ‘en la cooperación económica a la realización de las obras y servicios municipales, y que es llevada a la práctica a través del ejercicio de su capacidad financiera o de gasto público por parte del ente provincial. Es esta actuación cooperadora, pues, la que cabe identificar como el núcleo de la autonomía provincial’ (STC 109/1998, de 21 de mayo, FJ 2)”.</w:t>
      </w:r>
    </w:p>
    <w:p w14:paraId="337BF5D9" w14:textId="77777777" w:rsidR="008D479B" w:rsidRDefault="008D479B" w:rsidP="008D479B">
      <w:pPr>
        <w:pStyle w:val="TextoNormal"/>
      </w:pPr>
    </w:p>
    <w:p w14:paraId="454FB51F" w14:textId="77777777" w:rsidR="008D479B" w:rsidRDefault="008D479B" w:rsidP="008D479B">
      <w:pPr>
        <w:pStyle w:val="TextoNormal"/>
      </w:pPr>
      <w:r>
        <w:t>En esta misma línea, se sostiene que “la caracterización constitucional de la provincia como ‘agrupación de municipios’ (art. 141.1 CE) supone, precisamente, que unas y otros responden a un ámbito normalmente común de intereses, pues los municipios son los destinatarios principales o directos de las competencias instrumentales de asistencia, cooperación y coordinación características de la provincia como entidad local ‘determinada por la agrupación de municipios’ (art. 141.1 CE) […]. Así, en efecto, la Constitución, al configurar la provincia como agrupación de municipios, está regulando el nivel local de gobierno como un sistema integrado por dos entidades, los municipios y la provincia. Dos entidades que forman parte de una misma comunidad política local que determina que no existan propiamente intereses provinciales opuestos a los municipales, pues precisamente la función de la provincia es garantizar la prestación integral de los servicios de competencia municipal y el ejercicio de las competencias municipales”.</w:t>
      </w:r>
    </w:p>
    <w:p w14:paraId="59D7C778" w14:textId="77777777" w:rsidR="008D479B" w:rsidRDefault="008D479B" w:rsidP="008D479B">
      <w:pPr>
        <w:pStyle w:val="TextoNormal"/>
      </w:pPr>
    </w:p>
    <w:p w14:paraId="3D833D8D" w14:textId="77777777" w:rsidR="008D479B" w:rsidRDefault="008D479B" w:rsidP="008D479B">
      <w:pPr>
        <w:pStyle w:val="TextoNormal"/>
      </w:pPr>
      <w:r>
        <w:t>Por su parte, en el apartado 1 del artículo 2 de la ley impugnada se afirma que la finalidad del fondo de cooperación municipal es “garantizar la suficiencia financiera de las entidades locales de la Comunitat Valenciana y potenciar su autonomía local sobre la base del principio de subsidiariedad, financiando globalmente su actividad”; y en el apartado 3 se señala que “[e]ste fondo promoverá el equilibrio económico de los entes locales de la Comunitat Valenciana y la realización interna del principio de solidaridad, al objeto de contribuir a que los diferentes núcleos y las entidades de población cuenten con la dotación adecuada para la prestación de los servicios de competencia local”.</w:t>
      </w:r>
    </w:p>
    <w:p w14:paraId="31E60C34" w14:textId="77777777" w:rsidR="008D479B" w:rsidRDefault="008D479B" w:rsidP="008D479B">
      <w:pPr>
        <w:pStyle w:val="TextoNormal"/>
      </w:pPr>
    </w:p>
    <w:p w14:paraId="5063DA1F" w14:textId="77777777" w:rsidR="008D479B" w:rsidRDefault="008D479B" w:rsidP="008D479B">
      <w:pPr>
        <w:pStyle w:val="TextoNormal"/>
      </w:pPr>
      <w:r>
        <w:t>En definitiva, lo que justifica la creación del fondo de cooperación municipal y la participación económica en el mismo de las diputaciones provinciales con carácter obligatorio, según se deriva de la ley impugnada, no es otra cosa que garantizar la suficiencia financiera de todos los municipios (y entidades locales menores) de la Comunitat Valenciana, posibilitando así que todos los ciudadanos valencianos, con independencia de que su municipio se encuentre ubicado en el territorio de una u otra provincia, reciban un nivel básico equivalente de prestaciones en los servicios públicos locales, lo que no sucedía con el sistema anterior, basado en el principio de voluntariedad, en tanto que las aportaciones de las diputaciones al entonces vigente fondo de cooperación municipal eran muy dispares, lo que motivaba que la financiación de los municipios fuera diferente en función de la provincia en que se encontraran territorialmente encuadrados.</w:t>
      </w:r>
    </w:p>
    <w:p w14:paraId="0436B449" w14:textId="77777777" w:rsidR="008D479B" w:rsidRDefault="008D479B" w:rsidP="008D479B">
      <w:pPr>
        <w:pStyle w:val="TextoNormal"/>
      </w:pPr>
    </w:p>
    <w:p w14:paraId="7E3A1EEE" w14:textId="77777777" w:rsidR="008D479B" w:rsidRDefault="008D479B" w:rsidP="008D479B">
      <w:pPr>
        <w:pStyle w:val="TextoNormal"/>
      </w:pPr>
      <w:r>
        <w:t>Vista, pues, cuál es la justificación que ofrece la propia ley impugnada sobre esta primera cuestión controvertida, acto seguido tenemos que preguntarnos si la misma resulta constitucionalmente asumible, en tanto que, en realidad, lo que la Ley 5/2021 hace es establecer un mecanismo autonómico de financiación municipal que además de estar integrado por fondos propios de la comunidad autónoma se dota también, con carácter obligatorio, de recursos económicos provenientes de la hacienda provincial, a determinar en los planes sectoriales que se vayan aprobando anualmente. Respecto de los primeros (los fondos autonómicos), lógicamente, ningún reproche cabe hacer, en tanto que es obligación de las comunidades autónomas, junto con el Estado, garantizar la suficiencia financiera de los gobiernos y administraciones locales (art. 142 CE). Por lo que se refiere a los recursos económicos provinciales es preciso, sin embargo, realizar una explicación adicional.</w:t>
      </w:r>
    </w:p>
    <w:p w14:paraId="189015AF" w14:textId="77777777" w:rsidR="008D479B" w:rsidRDefault="008D479B" w:rsidP="008D479B">
      <w:pPr>
        <w:pStyle w:val="TextoNormal"/>
      </w:pPr>
    </w:p>
    <w:p w14:paraId="2E450795" w14:textId="77777777" w:rsidR="008D479B" w:rsidRDefault="008D479B" w:rsidP="008D479B">
      <w:pPr>
        <w:pStyle w:val="TextoNormal"/>
      </w:pPr>
      <w:r>
        <w:t>En principio, resulta inobjetable la finalidad a que se dedican esos recursos, la financiación municipal, pues, como hemos recordado ya, la función esencial, o más característica, de las diputaciones provinciales es precisamente proporcionar asistencia económica (además de jurídica y técnica) a los municipios radicados en su ámbito territorial (SSTC 109/1998, de 21 de mayo, FJ 2; 102/2013, de 25 de abril, FJ 5, y 111/2016, de 9 de junio, FJ 9).</w:t>
      </w:r>
    </w:p>
    <w:p w14:paraId="3121E97E" w14:textId="77777777" w:rsidR="008D479B" w:rsidRDefault="008D479B" w:rsidP="008D479B">
      <w:pPr>
        <w:pStyle w:val="TextoNormal"/>
      </w:pPr>
    </w:p>
    <w:p w14:paraId="270A66AC" w14:textId="77777777" w:rsidR="008D479B" w:rsidRDefault="008D479B" w:rsidP="008D479B">
      <w:pPr>
        <w:pStyle w:val="TextoNormal"/>
      </w:pPr>
      <w:r>
        <w:t>La cuestión controvertida, por consiguiente, no es esta sino la de dilucidar si es constitucionalmente posible que una comunidad autónoma pueda, primero, declarar de interés supralocal una competencia propia de la diputación provincial como la prevista en el apartado b) del art. 36.1 LBRL, dado su carácter general “asistencia y cooperación jurídica, económica y técnica a los Municipios, especialmente lo de menor capacidad económica y de gestión”; y, de ser así, determinar, en segundo término, si en ejercicio de sus facultades de coordinación puede establecer con carácter obligatorio que una parte de los recursos económicos provinciales se integre en un fondo autonómico de financiación municipal, sin que ello suponga una afectación constitucionalmente intolerable de la autonomía provincial en su vertiente financiera.</w:t>
      </w:r>
    </w:p>
    <w:p w14:paraId="1CF5B5E7" w14:textId="77777777" w:rsidR="008D479B" w:rsidRDefault="008D479B" w:rsidP="008D479B">
      <w:pPr>
        <w:pStyle w:val="TextoNormal"/>
      </w:pPr>
    </w:p>
    <w:p w14:paraId="388BF76A" w14:textId="77777777" w:rsidR="008D479B" w:rsidRDefault="008D479B" w:rsidP="008D479B">
      <w:pPr>
        <w:pStyle w:val="TextoNormal"/>
      </w:pPr>
      <w:r>
        <w:t>La primera cuestión ya fue resuelta en sentido positivo por este tribunal en la STC 27/1987, en la que se consideró constitucional la Ley 2/1983, de 4 de octubre, por la que se declararon de interés general para la Comunitat Valenciana determinadas funciones propias de las diputaciones provinciales, entre las que se encontraba la de “cooperación y asistencia jurídica, económica y técnica de los municipios” [art. 2.1 g)], asumiendo la Comunitat Valenciana la coordinación de dichas funciones provinciales cuando afecte a servicios o competencias propias de la misma [art. 2.2 b]. En esa resolución consideramos, en efecto, que no habría inconveniente para entender que no se vulnera la garantía constitucional de la autonomía local si una comunidad autónoma (la valenciana, en este caso), en aplicación de las previsiones del art. 59.1 LBRL, en relación con el art. 10.2 del mismo texto legal, y del art. 66.3 EACV, declara de interés general aquella función de la provincia de asistencia y cooperación a los municipios, con el fin de proceder a su coordinación, siempre y cuando se cumplan las condiciones que dichos preceptos establecen (predeterminación y proporcionalidad). Y concluimos, en consecuencia, que “no es correcto afirmar que se haya producido con ello un vaciamiento competencial de la autonomía provincial, pues la coordinación no entraña la sustracción de competencias propias de las entidades coordinadas, sino que implica tan solo un límite al ejercicio de las mismas” (STC 27/1987, de 27 de febrero, FJ 5).</w:t>
      </w:r>
    </w:p>
    <w:p w14:paraId="3B4DF30A" w14:textId="77777777" w:rsidR="008D479B" w:rsidRDefault="008D479B" w:rsidP="008D479B">
      <w:pPr>
        <w:pStyle w:val="TextoNormal"/>
      </w:pPr>
    </w:p>
    <w:p w14:paraId="09D49BF3" w14:textId="77777777" w:rsidR="008D479B" w:rsidRDefault="008D479B" w:rsidP="008D479B">
      <w:pPr>
        <w:pStyle w:val="TextoNormal"/>
      </w:pPr>
      <w:r>
        <w:t>En efecto, el reconocimiento constitucional de la autonomía provincial (arts. 137 y 141 CE), especialmente amplio en lo relativo a la autonomía de gasto, no quiere decir que el ámbito sobre el que la misma se proyecte constituya una “esfera total y absolutamente resistente a cualquier mínima incidencia o afectación proveniente de otros niveles de gobierno”, dado que “lo que la Constitución veda de una forma terminante y sin excepciones no es sino el menoscabo del núcleo esencial o reducto indisponible de la institución, estrictamente”. Es decir, la autonomía local (provincial en este caso) en el ámbito económico, y, concretamente, en la vertiente de gasto, “puede ser restringida por el Estado y las comunidades autónomas”, siempre y cuando esa restricción se lleve a cabo “dentro de los límites establecidos en el bloque de la constitucionalidad” (STC 109/1998, de 21 de mayo, FJ 10), por ejemplo, en virtud del ejercicio de las facultades de coordinación (STC 82/2020, FJ 7).</w:t>
      </w:r>
    </w:p>
    <w:p w14:paraId="19B49966" w14:textId="77777777" w:rsidR="008D479B" w:rsidRDefault="008D479B" w:rsidP="008D479B">
      <w:pPr>
        <w:pStyle w:val="TextoNormal"/>
      </w:pPr>
    </w:p>
    <w:p w14:paraId="5894B7A1" w14:textId="77777777" w:rsidR="008D479B" w:rsidRDefault="008D479B" w:rsidP="008D479B">
      <w:pPr>
        <w:pStyle w:val="TextoNormal"/>
      </w:pPr>
      <w:r>
        <w:t>Coordinación que, como ha tenido ocasión de declarar este tribunal (SSTC 32/1983, de 28 de abril; 42/1983, de 20 de mayo; y 27/1987, de 27 de febrero, entre otras), “implica ‘la fijación de medios y de sistemas de relación que hagan posible la información recíproca, la homogeneidad técnica en determinados aspectos y la acción conjunta’ de las administraciones coordinadora y coordinada en el ejercicio de sus respectivas competencias, de manera que se logre la integración de actos parciales en la globalidad del sistema, integración que la coordinación persigue para evitar contradicciones y reducir disfunciones que, de subsistir, impedirían o dificultarían el funcionamiento del mismo. Así entendida, la coordinación constituye un límite al pleno ejercicio de las competencias propias de las Corporaciones Locales” (STC 27/1987, FJ 2).</w:t>
      </w:r>
    </w:p>
    <w:p w14:paraId="59571D16" w14:textId="77777777" w:rsidR="008D479B" w:rsidRDefault="008D479B" w:rsidP="008D479B">
      <w:pPr>
        <w:pStyle w:val="TextoNormal"/>
      </w:pPr>
    </w:p>
    <w:p w14:paraId="1F6D77CD" w14:textId="77777777" w:rsidR="008D479B" w:rsidRDefault="008D479B" w:rsidP="008D479B">
      <w:pPr>
        <w:pStyle w:val="TextoNormal"/>
      </w:pPr>
      <w:r>
        <w:t>Pues bien, no cabe apreciar ahora ninguna razón para entender que esta jurisprudencia no sea aplicable a la ley aquí enjuiciada en lo que se refiere a este concreto aspecto: la declaración de interés autonómico o supralocal de la función de asistencia y cooperación jurídica, económica y técnica de las diputaciones a los municipios al objeto de la participación de aquellas en la financiación básica de estos a través del fondo de cooperación municipal. Indudablemente, la Comunitat Valenciana, en tanto que competente en materia de régimen local (art. 49.1.8 EACV), tiene interés en el ejercicio que unas entidades locales (las provinciales) hagan de su función asistencial y cooperadora con respecto a otras (las municipales), todas ellas integrantes de su ámbito territorial. Y ello, incluso, aunque, como es el caso, tal asistencia económica se imponga de manera coercitiva, si bien limitada, en la medida en que se establece la obligación, a concretar en el plan sectorial correspondiente, de que las diputaciones aporten parte de sus recursos económicos a la dotación del fondo de cooperación municipal. De este modo, el legislador autonómico configura un mecanismo de financiación municipal que si bien se ha de nutrir en su mayor parte de recursos propios de la comunidad autónoma, sin embargo, se puede complementar con recursos económicos provenientes de las diputaciones provinciales, sin que ello tenga por qué suponer una intromisión constitucionalmente intolerable en su ámbito de autonomía, en la medida en que, como se ha destacado ya, es competencia esencial de las diputaciones provinciales, precisamente, cooperar y asistir económicamente a los municipios de su ámbito territorial (STC 109/1998, FJ 2). Expresado en otros términos, con la obligación de contribuir a la dotación financiera del fondo de cooperación municipal que se impone en la ley impugnada a las diputaciones provinciales no se estaría obligando a estas a hacer algo distinto de aquello a lo que están obligadas constitucional y legalmente. Lo que no quiere decir, lógicamente, que la comunidad autónoma no disponga de límites a la hora de ejercitar esa facultad de coordinación; unos límites que se encuentran en la prohibición de privar, de manera sustancialmente relevante, a las entidades locales coordinadas (las diputaciones provinciales) de esa competencia propia y nuclear de asistencia y cooperación a los municipios de su ámbito territorial, hasta el punto de colocarlas en una posición de subordinación jerárquica o cuasi jerárquica, agotando así su propio ámbito de decisión en la materia.</w:t>
      </w:r>
    </w:p>
    <w:p w14:paraId="340AF9EA" w14:textId="77777777" w:rsidR="008D479B" w:rsidRDefault="008D479B" w:rsidP="008D479B">
      <w:pPr>
        <w:pStyle w:val="TextoNormal"/>
      </w:pPr>
    </w:p>
    <w:p w14:paraId="4D2A8DDF" w14:textId="77777777" w:rsidR="008D479B" w:rsidRDefault="008D479B" w:rsidP="008D479B">
      <w:pPr>
        <w:pStyle w:val="TextoNormal"/>
      </w:pPr>
      <w:r>
        <w:t>Pues bien, del contenido de la ley impugnada no se deriva que tales límites hayan sido superados. Y es que, tal y como dejamos sentado en relación con las consignaciones presupuestarias que, en concepto de cooperación económica para inversiones en obras y servicios municipales, constituían el sustrato financiero del plan único de obras y servicios de Cataluña a cargo de las diputaciones provinciales, se ha de entender que la exigibilidad de ese deber jurídico de cooperación trae causa no solo del plan único y de su regulación por el legislador autonómico, “sino de la propia competencia nuclear de cooperación económica a favor de los municipios, que a los entes provinciales incumbe, para realizar uno de los fines propios y específicos de la provincia, cual es el de ‘asegurar la prestación integral y adecuada en la totalidad del territorio provincial de los servicios de competencia municipal’ [art. 31.2 a) LBRL]” (STC 109/1998, FJ 11). Pues bien, en el caso presente, también cabe entender que ese deber de aportación de recursos económicos propios para la dotación del fondo de cooperación municipal que se impone a las diputaciones provinciales por la ley impugnada trae igualmente causa de la competencia nuclear de cooperación y asistencia a los municipios de su ámbito territorial que a estas les corresponde, de modo que habrá que estar a la concreción que, en cada momento, se haga de esa facultad de coordinación, a través del plan sectorial correspondiente, para determinar si se han desbordado, o no, aquellos límites, que derivan directamente de la garantía constitucional de la autonomía local, en este caso, en su vertiente financiera. Ello conlleva que la competencia provincial de cooperación y asistencia económica a los municipios de su territorio no se puede ver agotada por su canalización a través del fondo de cooperación municipal; por el contrario, debe quedar un amplio margen a las diputaciones provinciales para ejercer dicha competencia autónomamente. Así lo establecimos en la referida sentencia sobre el plan único de obras y servicios de Cataluña, al entender que al agotar este prácticamente tal función de cooperación se producía una lesión de la autonomía provincial [STC 109/1998, FJ 13; en un sentido parejo, en relación con las mancomunidades de la Comunitat Valenciana, la STC 105/2019, FJ 6 c)], y así cabe entenderlo en el caso presente, de manera tal que, cuando se determine en cada plan sectorial la aportación económica de cada diputación provincial, ha de restar a estas un amplio margen de decisión autónoma para el ejercicio de su nuclear función de asistencia y cooperación económica a los municipios de su territorio.</w:t>
      </w:r>
    </w:p>
    <w:p w14:paraId="0EE32B5C" w14:textId="77777777" w:rsidR="008D479B" w:rsidRDefault="008D479B" w:rsidP="008D479B">
      <w:pPr>
        <w:pStyle w:val="TextoNormal"/>
      </w:pPr>
    </w:p>
    <w:p w14:paraId="0AA98270" w14:textId="77777777" w:rsidR="008D479B" w:rsidRDefault="008D479B" w:rsidP="008D479B">
      <w:pPr>
        <w:pStyle w:val="TextoNormal"/>
      </w:pPr>
      <w:r>
        <w:t>Justificada la declaración de interés supralocal o autonómico de la facultad provincial de asistencia y cooperación jurídica, económica y técnica a los municipios de su ámbito territorial, y la legitimidad de la intervención de la Comunitat Valenciana en ejercicio de su facultad de coordinación, se ha de comprobar a continuación si se cumple la condición de que en la concreción de dicha coordinación, a través de los planes sectoriales correspondientes, queda suficientemente garantizada la participación de las diputaciones provinciales a fin de armonizar los intereses públicos afectados, esto es, si el legislador ha graduado el alcance o intensidad de la propia coordinación en función de la relación existente entre los intereses locales y supralocales o comunitarios existente en tales asuntos o materias (SSTC 32/1981, FJ 4; 170/1989, 19 de octubre, FJ 9; 51/2004, FJ 9; 95/2014, de 12 de junio, FJ 5; 57/2015, de 18 de marzo, FJ 6; 92/2015, de 14 de mayo, FJ 4; 154/2015, de 9 de julio, FJ 6, y 82/2020, FFJJ 6 y 9).</w:t>
      </w:r>
    </w:p>
    <w:p w14:paraId="5747FAAB" w14:textId="77777777" w:rsidR="008D479B" w:rsidRDefault="008D479B" w:rsidP="008D479B">
      <w:pPr>
        <w:pStyle w:val="TextoNormal"/>
      </w:pPr>
    </w:p>
    <w:p w14:paraId="7223A7B6" w14:textId="77777777" w:rsidR="008D479B" w:rsidRDefault="008D479B" w:rsidP="008D479B">
      <w:pPr>
        <w:pStyle w:val="TextoNormal"/>
      </w:pPr>
      <w:r>
        <w:t>A tal efecto, se ha de tener en cuenta que en la elaboración del plan sectorial de financiación básica del fondo de cooperación municipal se prevé la participación de las diputaciones provinciales “con la finalidad de armonizar los intereses públicos afectados a través de la comisión de colaboración y coordinación del Fondo de Cooperación Municipal” (apartado 2 del artículo 5 de la Ley 5/2021). La referida comisión está integrada por un total de dieciocho miembros (art. 11): siete, de extracción autonómica (incluida la Presidencia y las vicepresidencias primera y segunda); seis, en representación de las diputaciones (las personas titulares de las presidencias de las diputaciones provinciales, o las personas que designen para su sustitución, que ostentarán las vicepresidencias terceras, y una persona designada por cada una de las diputaciones provinciales, que ostente las responsabilidades en materia de hacienda); uno, del ámbito de la Federación Valenciana de Municipios y Provincias (su presidente o persona que designe en su sustitución); y cuatro, titulares de alcaldías designados por los órganos competentes de la Federación. De este modo, pese a encontrarse en una posición minoritaria, queda garantizada la participación de las tres diputaciones provinciales valencianas, de manera conjunta o a título individual, en defensa de sus propios intereses, en la implementación, el seguimiento y el control de la ejecución anual del fondo de cooperación municipal, así como en el proceso de elaboración del plan sectorial de financiación básica de dicho fondo, que, en último término, corresponde aprobar al Consell de la Generalitat. Será después el específico contenido de dicho plan sectorial, es decir, la concreta aportación económica al fondo que se acuerde anualmente para cada diputación, lo que, dado el caso, habrá que examinar para ver si es reflejo, o no, de una ponderación adecuada de los intereses públicos en presencia: tanto los locales (entre los que se encuentran los provinciales, pero también los municipales) como los supralocales, tal y como hemos venido exigiendo en repetidas ocasiones [SSTC 152/2016, de 22 de septiembre, FJ 6; 107/2017, FJ 4 a); 92/2018, y 82/2020, FJ 5].</w:t>
      </w:r>
    </w:p>
    <w:p w14:paraId="7C172C27" w14:textId="77777777" w:rsidR="008D479B" w:rsidRDefault="008D479B" w:rsidP="008D479B">
      <w:pPr>
        <w:pStyle w:val="TextoNormal"/>
      </w:pPr>
    </w:p>
    <w:p w14:paraId="522FE282" w14:textId="77777777" w:rsidR="008D479B" w:rsidRDefault="008D479B" w:rsidP="008D479B">
      <w:pPr>
        <w:pStyle w:val="TextoNormal"/>
      </w:pPr>
      <w:r>
        <w:t>En razón de todo ello, ningún reparo de inconstitucionalidad hay que hacer a la ley impugnada en cuanto que, según se ha apuntado ya, la participación forzosa de las diputaciones provinciales en planes y programas autonómicos no sectoriales ha sido considerada por este tribunal conforme con la autonomía local constitucionalmente garantizada (arts. 137, 141 y 142 CE), siempre que cumpla determinadas condiciones: (i) respetar el derecho de participación de las diputaciones en los asuntos que conciernen a la comunidad provincial; (ii) destinar las aportaciones recabadas de las diputaciones a su respectivo ámbito territorial; y (iii) no agotar, anular o hacer desaparecer la competencia provincial nuclear de cooperación económica del art. 36.1 b) LBRL (STC 109/1998, de 21 de mayo, FFJJ 7 y 13). Y la Ley 5/2021 cumple estas condiciones: (i) los arts. 5.2 y 11 garantizan la participación de las diputaciones afectadas en la comisión preparatoria del plan sectorial de financiación básica del fondo; (ii) el art. 8.2 garantiza que los recursos de las diputaciones se destinen “a los municipios y entidades locales menores de su provincia”; y (iii) no se restringe desproporcionadamente la competencia provincial de cooperación económica propia de la diputación, si bien esta exigencia deberá verificarse, en cada momento, con ocasión del plan de financiación a que remite la ley, aprobado, como ya hemos señalado, con participación de las diputaciones provinciales.</w:t>
      </w:r>
    </w:p>
    <w:p w14:paraId="453FE9EC" w14:textId="77777777" w:rsidR="008D479B" w:rsidRDefault="008D479B" w:rsidP="008D479B">
      <w:pPr>
        <w:pStyle w:val="TextoNormal"/>
      </w:pPr>
    </w:p>
    <w:p w14:paraId="53DAEE95" w14:textId="77777777" w:rsidR="008D479B" w:rsidRDefault="008D479B" w:rsidP="008D479B">
      <w:pPr>
        <w:pStyle w:val="TextoNormal"/>
      </w:pPr>
      <w:r>
        <w:t>Así pues, habrá que estar a lo que determinen los correspondientes planes sectoriales de financiación que se vayan aprobando anualmente por el Consell de la Generalitat, con la participación de la comisión de colaboración y coordinación prevista en la propia ley (art. 10), que concretarán la aportación financiera de cada provincia a la dotación de dicho fondo de cooperación municipal, a fin de dilucidar si se respeta el núcleo de la autonomía provincial constitucionalmente garantizada.</w:t>
      </w:r>
    </w:p>
    <w:p w14:paraId="3992DAA8" w14:textId="77777777" w:rsidR="008D479B" w:rsidRDefault="008D479B" w:rsidP="008D479B">
      <w:pPr>
        <w:pStyle w:val="TextoNormal"/>
      </w:pPr>
    </w:p>
    <w:p w14:paraId="3E24A7A8" w14:textId="77777777" w:rsidR="008D479B" w:rsidRDefault="008D479B" w:rsidP="008D479B">
      <w:pPr>
        <w:pStyle w:val="TextoNormal"/>
      </w:pPr>
      <w:r>
        <w:t>La debida atención al principio de proporcionalidad en la concreta determinación de dichas aportaciones resultará, por consiguiente, determinante para decidir si la autonomía de las provincias concernidas (en su vertiente financiera) se ha visto o no vulnerada. Lo que, en ningún caso, podrá hacer el Consell de la Generalitat al aprobar el plan sectorial es privar a las diputaciones provinciales de su territorio de poder ejercer, de manera autónoma, la función que las define en tanto que órganos de gobierno de las respectivas provincias (la asistencia y cooperación jurídica, económica y técnica a los municipios de su ámbito geográfico), lo que ocurriría si en algún plan sectorial anual de financiación básica del fondo de cooperación municipal se les obligase a realizar una aportación económica tan elevada que comprometiese su autonomía presupuestaria. Dicho de otro modo, la obligación autonómica de contribuir a la suficiencia financiera de la hacienda municipal no se puede suplir mediante el expediente de obligar a que sea la hacienda provincial la que nutra económicamente con sus fondos a aquella, si de ese modo se pusiera en riesgo la propia autonomía financiera o presupuestaria provincial. De hacerlo así, la Comunitat Valenciana se estaría situando en una posición de control de una parte esencial de las decisiones que integran el núcleo de la autonomía de sus provincias, como son las que tienen que ver con el destino que se le dé a una parte relevante de sus recursos económicos (autonomía de gasto), lo que significaría que el ejercicio de las competencias provinciales quedaría supeditado, en buena medida, al poder de decisión autonómico, algo que, como se ha señalado, resultaría intolerable en términos de respeto a la autonomía provincial constitucionalmente garantizada (arts. 137 y 141 CE).</w:t>
      </w:r>
    </w:p>
    <w:p w14:paraId="1102BD88" w14:textId="77777777" w:rsidR="008D479B" w:rsidRDefault="008D479B" w:rsidP="008D479B">
      <w:pPr>
        <w:pStyle w:val="TextoNormal"/>
      </w:pPr>
    </w:p>
    <w:p w14:paraId="2C983A31" w14:textId="77777777" w:rsidR="008D479B" w:rsidRDefault="008D479B" w:rsidP="008D479B">
      <w:pPr>
        <w:pStyle w:val="TextoNormal"/>
      </w:pPr>
      <w:r>
        <w:t>La realidad demuestra que estos límites han sido respetados por los planes sectoriales de financiación aprobados por el Gobierno autonómico en 2022 y 2023 (acuerdos de 17 de junio de 2022 y 3 de abril de 2023, respectivamente, publicados en el “Diari Oficial de la Generalitat Valenciana” de 2 de agosto de 2022 y 24 de marzo de 2023). El primero fijó para la propia Generalitat la cantidad de 40 000 000 € y para las diputaciones de Alicante, Castellón y Valencia, 13 457 645 €, 6 063 840 € y 20 478 515 €, respectivamente. Y el segundo aumentó las cuantías a 50 000 000 € para la comunidad autónoma y 16 974 354 €, 7 427 624 € y 25 598 022 € para cada una de las diputaciones antes dichas, en el mismo orden. Si tomamos en consideración que el presupuesto de estas diputaciones ascendió en el último ejercicio (2023) a 325 740 726,89 € (presupuesto consolidado del ejercicio 2023 aprobado por la Diputación de Alicante, “Boletín Oficial de la Provincia” núm. 17, de 25 de enero de 2023), 188 263 501,33 € (aprobación inicial publicada en el “Boletín Oficial de la Provincia de Castellón” núm. 150, de 15 de diciembre de 2023), y 646 108 540,36 € (aprobación definitiva publicada en el “Boletín Oficial de la Provincia de Valencia” núm. 250, de 30 de diciembre de 2022), la conclusión solo puede ser que a las diputaciones valencianas les resta un amplísimo margen para ejercer su autonomía de gasto, sin que, por tanto, se pueda considerar vulnerada su autonomía provincial constitucionalmente garantizada. Las aportaciones exigidas a cada una de las diputaciones provinciales representan aproximadamente un 5 por 100 de su presupuesto, y la suma total exigida a las tres equivale a la cantidad aportada globalmente por la  comunidad autónoma. Mientras se mantengan este carácter equitativo de las participaciones de la comunidad autónoma, por una parte, y de las tres diputaciones provinciales, por otra, y los porcentajes aproximados de las aportaciones exigidas a cada una de las diputaciones en relación con la cuantía global de sus presupuestos, no hay objeción constitucional al mencionado plan desde la perspectiva de la autonomía provincial, sin que lo anterior implique prejuicio alguno sobre impugnaciones planteadas ante la jurisdicción ordinaria.</w:t>
      </w:r>
    </w:p>
    <w:p w14:paraId="19A923D4" w14:textId="77777777" w:rsidR="008D479B" w:rsidRDefault="008D479B" w:rsidP="008D479B">
      <w:pPr>
        <w:pStyle w:val="TextoNormal"/>
      </w:pPr>
    </w:p>
    <w:p w14:paraId="255E006E" w14:textId="77777777" w:rsidR="008D479B" w:rsidRDefault="008D479B" w:rsidP="008D479B">
      <w:pPr>
        <w:pStyle w:val="TextoNormal"/>
      </w:pPr>
      <w:r>
        <w:t>En definitiva, habrá que estar, en cada momento, al contenido concreto del plan sectorial que se apruebe para determinar si, efectivamente, se ha llevado a cabo una graduación adecuada del alcance o intensidad de la coordinación en atención a los intereses locales y supralocales afectados, sin que, a este respecto, quepa considerar que la ley impugnada infringe tal condición, en la medida en que en ella se prevé, tan solo, esa facultad de coordinación, a ejercer por el Consell de la Generalitat, con la participación de las propias diputaciones afectadas a través de la comisión de colaboración y coordinación, sin predeterminar su alcance o intensidad. Y, por ello, cabe concluir, con carácter general, que la Ley 5/2021, de 5 de noviembre, de la Generalitat, reguladora del fondo de cooperación municipal de los municipios y entidades locales menores de la Comunitat Valenciana, por el solo hecho de imponer la participación forzosa de las diputaciones provinciales en la dotación económica del fondo de cooperación municipal creado por la misma, no vulnera la autonomía provincial constitucionalmente garantizada en los arts. 137, 141 y 142 CE, ajustándose, además, a lo previsto en la legislación vigente (arts. 10.2 y 59 LBRL y art. 66.3 EACV), así como a la doctrina constitucional (entre otras, SSTC 27/1987, 109/1998, 105/2019 y 82/2020).</w:t>
      </w:r>
    </w:p>
    <w:p w14:paraId="0BB8513A" w14:textId="77777777" w:rsidR="008D479B" w:rsidRDefault="008D479B" w:rsidP="008D479B">
      <w:pPr>
        <w:pStyle w:val="TextoNormal"/>
      </w:pPr>
    </w:p>
    <w:p w14:paraId="516B4BB8" w14:textId="77777777" w:rsidR="008D479B" w:rsidRDefault="008D479B" w:rsidP="008D479B">
      <w:pPr>
        <w:pStyle w:val="TextoNormal"/>
      </w:pPr>
      <w:r>
        <w:t>A partir de estas premisas, corresponde, por último, en relación con cada uno de los preceptos impugnados, concluir lo siguiente:</w:t>
      </w:r>
    </w:p>
    <w:p w14:paraId="10CEB202" w14:textId="77777777" w:rsidR="008D479B" w:rsidRDefault="008D479B" w:rsidP="008D479B">
      <w:pPr>
        <w:pStyle w:val="TextoNormal"/>
      </w:pPr>
    </w:p>
    <w:p w14:paraId="0716D304" w14:textId="77777777" w:rsidR="008D479B" w:rsidRDefault="008D479B" w:rsidP="008D479B">
      <w:pPr>
        <w:pStyle w:val="TextoNormal"/>
      </w:pPr>
      <w:r>
        <w:t>- Por lo que se refiere al art. 2.2, que prevé la declaración de interés general de la Comunitat Valenciana de las funciones de asistencia y cooperación jurídica, económica y técnica de las diputaciones provinciales a los municipios, al objeto de la participación de las diputaciones en la financiación básica de los municipios a través del fondo de cooperación municipal, no es posible realizar reproche constitucional alguno, en la medida en que, como se ha señalado, no conlleva ninguna vulneración de la autonomía provincial constitucionalmente garantizada (arts. 137, 141 y 142 CE) ni de la normativa estatutaria (arts. 49.1.8, 63.2 y 3, 64.3 y 66.3 EACV) y básica estatal sobre régimen local (arts. 10.2 y 59 LBRL), ajustándose, además, a la doctrina constitucional sobre la materia (entre otras, SSTC 27/1987, 109/1998, 105/2019 y 82/2020).</w:t>
      </w:r>
    </w:p>
    <w:p w14:paraId="42BA43B5" w14:textId="77777777" w:rsidR="008D479B" w:rsidRDefault="008D479B" w:rsidP="008D479B">
      <w:pPr>
        <w:pStyle w:val="TextoNormal"/>
      </w:pPr>
    </w:p>
    <w:p w14:paraId="6992249D" w14:textId="77777777" w:rsidR="008D479B" w:rsidRDefault="008D479B" w:rsidP="008D479B">
      <w:pPr>
        <w:pStyle w:val="TextoNormal"/>
      </w:pPr>
      <w:r>
        <w:t>- En relación con el inciso “y las diputaciones provinciales” del artículo 5.1, se ha de señalar que la integración de las diputaciones provinciales, junto con la Generalitat, en el fondo de cooperación municipal, a fin de fijar un sistema estable y permanente de financiación a los municipios valencianos, y el hecho de que dicho fondo se organice mediante la aprobación anual de un plan sectorial de financiación básica, aprobado por el Consell de la Generalitat, con la participación de la comisión de colaboración y coordinación prevista en la propia ley, de la que forman parte dos representantes de cada una de las diputaciones provinciales, son cuestiones que, en sí mismas, no plantea problema alguno de constitucionalidad, dada la caracterización constitucional de la provincia como entidad local con personalidad jurídica propia determinada por la agrupación de municipios, cuyo gobierno está encomendado a las diputaciones (art. 141.1 y 2 CE), la competencia autonómica sobre régimen local (art. 49.1.8 EACV), la facultad autonómica de coordinación que se reconoce en los preceptos estatutarios y de la legislación básica estatal antes citados, y la doctrina constitucional que exige que dicha coordinación se lleve a afecto por medio de la planificación (plan sectorial) en el que participen también las administraciones coordinadas (en este caso, las propias diputaciones provinciales), en atención a sus propios intereses.</w:t>
      </w:r>
    </w:p>
    <w:p w14:paraId="0330D8F4" w14:textId="77777777" w:rsidR="008D479B" w:rsidRDefault="008D479B" w:rsidP="008D479B">
      <w:pPr>
        <w:pStyle w:val="TextoNormal"/>
      </w:pPr>
    </w:p>
    <w:p w14:paraId="04F04180" w14:textId="77777777" w:rsidR="008D479B" w:rsidRDefault="008D479B" w:rsidP="008D479B">
      <w:pPr>
        <w:pStyle w:val="TextoNormal"/>
      </w:pPr>
      <w:r>
        <w:t>- En congruencia con lo afirmado en el punto anterior, tampoco cabe apreciar tacha de constitucionalidad alguna en relación con los incisos “en el que participarán las diputaciones provinciales” e “y cada diputación provincial” del apartado 2 del artículo 5, que se refieren a la participación obligatoria de las diputaciones provinciales en el plan sectorial de financiación básica del fondo de cooperación municipal y la determinación de las cuantías globales a aportar por cada diputación.</w:t>
      </w:r>
    </w:p>
    <w:p w14:paraId="6EE1849B" w14:textId="77777777" w:rsidR="008D479B" w:rsidRDefault="008D479B" w:rsidP="008D479B">
      <w:pPr>
        <w:pStyle w:val="TextoNormal"/>
      </w:pPr>
    </w:p>
    <w:p w14:paraId="33EDD4A7" w14:textId="77777777" w:rsidR="008D479B" w:rsidRDefault="008D479B" w:rsidP="008D479B">
      <w:pPr>
        <w:pStyle w:val="TextoNormal"/>
      </w:pPr>
      <w:r>
        <w:t>- De igual modo, tampoco es posible hacer reproche alguno de inconstitucionalidad al apartado 5 de este artículo 5, impugnado en su totalidad. Este precepto se refiere a la obligación de que las diputaciones provinciales, antes de la aprobación de sus proyectos de presupuesto, lo pongan en conocimiento del departamento competente en régimen local a fin de que este, en el plazo de quince días, pueda manifestar objeciones respecto a aquellas previsiones presupuestarias que supongan infracción de las directrices de coordinación. En realidad, lo previsto en esta disposición no es más que una consecuencia que se deriva de la propia facultad de coordinación reconocida a favor de la Comunidad Autónoma Valenciana y que, según se ha señalado ya, cabe entender ajustada a la Constitución, así como a la normativa estatutaria y básica estatal, y a la doctrina constitucional.</w:t>
      </w:r>
    </w:p>
    <w:p w14:paraId="1F53960A" w14:textId="77777777" w:rsidR="008D479B" w:rsidRDefault="008D479B" w:rsidP="008D479B">
      <w:pPr>
        <w:pStyle w:val="TextoNormal"/>
      </w:pPr>
    </w:p>
    <w:p w14:paraId="16E7302A" w14:textId="77777777" w:rsidR="008D479B" w:rsidRDefault="008D479B" w:rsidP="008D479B">
      <w:pPr>
        <w:pStyle w:val="TextoNormal"/>
      </w:pPr>
      <w:r>
        <w:t>- Idéntico argumento cabe esgrimir en relación con la impugnación del apartado 6 del artículo 5, que se refiere a que, sin perjuicio de las facultades autonómicas de impugnación de los actos y acuerdos de las diputaciones provinciales que infrinjan las normas y obligaciones derivadas de la ley impugnada, el Consell puede requerir a la persona titular de la presidencia de la diputación de que se trate, cuando advierta que dichas infracciones se han cometido, a que respeten las directrices de coordinación, con indicación de las rectificaciones o subsanaciones que procedan. Como se puede fácilmente apreciar, se trata tan solo de una previsión que busca que las directrices de coordinación se cumplan (o dejen de incumplir), y, dado el caso, que se repare tal incumplimiento, por lo que, aceptada la constitucionalidad de la coordinación, ningún reparo de constitucionalidad cabe hacer a esta disposición, con la única salvedad de la referencia al artículo 66 EACV, en la medida en que este precepto, en su apartado 4, se refiere a esa posibilidad de requerimiento en relación con la ejecución por las diputaciones provinciales de competencias delegadas por la Generalitat, no siendo este el caso en el que nos encontramos aquí. La inconstitucionalidad de este inciso, sin embargo, no impide considerar plenamente constitucional el resto del contenido del precepto impugnado.</w:t>
      </w:r>
    </w:p>
    <w:p w14:paraId="3F19588D" w14:textId="77777777" w:rsidR="008D479B" w:rsidRDefault="008D479B" w:rsidP="008D479B">
      <w:pPr>
        <w:pStyle w:val="TextoNormal"/>
      </w:pPr>
    </w:p>
    <w:p w14:paraId="4D4DB469" w14:textId="77777777" w:rsidR="008D479B" w:rsidRDefault="008D479B" w:rsidP="008D479B">
      <w:pPr>
        <w:pStyle w:val="TextoNormal"/>
      </w:pPr>
      <w:r>
        <w:t>- Por su parte, el artículo 7 —que establece las reglas de distribución de los recursos económicos que corresponden a cada entidad beneficiaria, a efectuar mediante criterios objetivos a desarrollar por medio de decreto del Consell— se ha impugnado en su totalidad porque, según los recurrentes, vulnera el artículo 64.3 EACV, que mandata a les Corts Valencianes para que mediante ley creen el fondo de cooperación municipal “con los mismos criterios que el fondo estatal”.</w:t>
      </w:r>
    </w:p>
    <w:p w14:paraId="0D4B9939" w14:textId="77777777" w:rsidR="008D479B" w:rsidRDefault="008D479B" w:rsidP="008D479B">
      <w:pPr>
        <w:pStyle w:val="TextoNormal"/>
      </w:pPr>
    </w:p>
    <w:p w14:paraId="7A9B8BD3" w14:textId="77777777" w:rsidR="008D479B" w:rsidRDefault="008D479B" w:rsidP="008D479B">
      <w:pPr>
        <w:pStyle w:val="TextoNormal"/>
      </w:pPr>
      <w:r>
        <w:t>A tal efecto, se ha de tener en cuenta lo dispuesto en los arts. 118 y ss. TRLHL, que prevén la creación de un fondo complementario de financiación de los entes locales y los criterios de distribución del mismo. Estas disposiciones estatales si bien no prevén, en sentido estricto, criterios de distribución en relación con los grandes municipios, sí que lo hacen, de manera precisa, en relación con los de menos de 75 000 habitantes, que son, en consecuencia, los que se han de tomar en consideración. A tal efecto, según dispone el art. 124 TRLHL, la distribución del 75 por 100 de la participación total se calcula tomando como referencia el criterio de la población, el 12,5 por 100 en función del esfuerzo fiscal medio de cada municipio obtenido en el segundo ejercicio anterior al de la ley de presupuestos generales del Estado correspondiente, ponderado por el número de habitantes de derecho (entendiéndose, a estos efectos, por esfuerzo fiscal medio de cada municipio el que para cada ejercicio determinen las leyes de presupuestos generales del Estado en función de la aplicación que por los municipios se haga de los tributos contenidos en esta ley), y el 12,5 por 100 restante en función del inverso de la capacidad tributaria en los términos que establezcan las leyes de presupuestos generales del Estado.</w:t>
      </w:r>
    </w:p>
    <w:p w14:paraId="64C0886E" w14:textId="77777777" w:rsidR="008D479B" w:rsidRDefault="008D479B" w:rsidP="008D479B">
      <w:pPr>
        <w:pStyle w:val="TextoNormal"/>
      </w:pPr>
    </w:p>
    <w:p w14:paraId="5E3497E2" w14:textId="77777777" w:rsidR="008D479B" w:rsidRDefault="008D479B" w:rsidP="008D479B">
      <w:pPr>
        <w:pStyle w:val="TextoNormal"/>
      </w:pPr>
      <w:r>
        <w:t>Por su parte, el artículo 7 de la Ley 5/2021, si bien fija las reglas de distribución del fondo de cooperación municipal tomando como referencia el número de habitantes de Derecho de cada entidad beneficiaria, aplicando coeficientes correctores que favorezcan a las entidades de menor población, sin que se computen los habitantes de las entidades locales menores en la población del municipio al que pertenezcan [apartado b)], establece, además, un importe mínimo anual de asignación del fondo para todos los municipios y entidades locales menores para garantizar el acceso a una cantidad de base que permita el desarrollo de los pueblos en más dificultades a consecuencia de factores como el despoblamiento [apartado c)].</w:t>
      </w:r>
    </w:p>
    <w:p w14:paraId="625A6835" w14:textId="77777777" w:rsidR="008D479B" w:rsidRDefault="008D479B" w:rsidP="008D479B">
      <w:pPr>
        <w:pStyle w:val="TextoNormal"/>
      </w:pPr>
    </w:p>
    <w:p w14:paraId="4EBB7BE7" w14:textId="77777777" w:rsidR="008D479B" w:rsidRDefault="008D479B" w:rsidP="008D479B">
      <w:pPr>
        <w:pStyle w:val="TextoNormal"/>
      </w:pPr>
      <w:r>
        <w:t>Como se puede apreciar, existe una identidad sustancial entre la ley estatal y la valenciana, en tanto que ambas toman la población como criterio principal de distribución del fondo. No obstante, respecto de otra parte del mismo la ley valenciana acude a criterios propios, que más allá de la justificación que puedan tener para garantizar un mínimo de ingresos o para combatir los efectos de la despoblación en determinados municipios (y entidades locales menores), sin embargo, se apartan de las previsiones de la norma estatal. En la medida en que el art. 64.3 EACV es taxativo en su prescripción “se creará el Fondo de Cooperación Municipal de la Comunitat Valenciana con los mismos criterios que el fondo estatal”, sin dejar lugar a márgenes interpretativos al exigir una identidad de criterios, se ha de fallar la inconstitucionalidad del artículo 7 de la ley impugnada por infracción del citado precepto estatutario.</w:t>
      </w:r>
    </w:p>
    <w:p w14:paraId="06DB34BD" w14:textId="77777777" w:rsidR="008D479B" w:rsidRDefault="008D479B" w:rsidP="008D479B">
      <w:pPr>
        <w:pStyle w:val="TextoNormal"/>
      </w:pPr>
    </w:p>
    <w:p w14:paraId="4AF84FBE" w14:textId="1BD82DB4" w:rsidR="008D479B" w:rsidRDefault="008D479B" w:rsidP="008D479B">
      <w:pPr>
        <w:pStyle w:val="TextoNormal"/>
      </w:pPr>
      <w:r>
        <w:t>- Finalmente, por lo que se refiere a la impugnación del artículo 8, en la medida en que tan solo se limita, por un lado, a concretar la participación obligatoria de las tres diputaciones provinciales valencianas, a través de sus presupuestos anuales, en el fondo de cooperación municipal de manera incondicionada, y, por el otro, a establecer su obligación de proveer de recursos propios y adecuados a los objetivos del fondo las dotaciones aprobadas en el plan sectorial de financiación básica, cuestiones ambas que ya han sido declaradas constitucionales, tampoco cabe hacer reproche constitucional alguno.</w:t>
      </w:r>
    </w:p>
    <w:p w14:paraId="67446E1A" w14:textId="77777777" w:rsidR="008D479B" w:rsidRDefault="008D479B" w:rsidP="008D479B">
      <w:pPr>
        <w:pStyle w:val="TextoNormal"/>
      </w:pPr>
    </w:p>
    <w:p w14:paraId="647F6248" w14:textId="77777777" w:rsidR="008D479B" w:rsidRDefault="008D479B" w:rsidP="008D479B">
      <w:pPr>
        <w:pStyle w:val="TextoNormalCentrado"/>
        <w:keepNext/>
      </w:pPr>
      <w:r>
        <w:t>FALLO</w:t>
      </w:r>
    </w:p>
    <w:p w14:paraId="18B3E07A" w14:textId="47B777E5" w:rsidR="008D479B" w:rsidRDefault="008D479B" w:rsidP="008D479B">
      <w:pPr>
        <w:pStyle w:val="TextoNormalCentrado"/>
        <w:keepNext/>
      </w:pPr>
    </w:p>
    <w:p w14:paraId="5744F74E" w14:textId="77777777" w:rsidR="008D479B" w:rsidRDefault="008D479B" w:rsidP="008D479B">
      <w:pPr>
        <w:pStyle w:val="TextoNormal"/>
      </w:pPr>
      <w:r>
        <w:t>En atención a todo lo expuesto, el Tribunal Constitucional, por la autoridad que le confiere la Constitución de la Nación española, ha decidido:</w:t>
      </w:r>
    </w:p>
    <w:p w14:paraId="4EE3CD90" w14:textId="77777777" w:rsidR="008D479B" w:rsidRDefault="008D479B" w:rsidP="008D479B">
      <w:pPr>
        <w:pStyle w:val="TextoNormal"/>
      </w:pPr>
    </w:p>
    <w:p w14:paraId="42CFB1BD" w14:textId="77777777" w:rsidR="008D479B" w:rsidRDefault="008D479B" w:rsidP="008D479B">
      <w:pPr>
        <w:pStyle w:val="TextoNormal"/>
      </w:pPr>
      <w:r>
        <w:t>1º Estimar parcialmente el recurso de inconstitucionalidad núm. 614-2022, interpuesto por más de cincuenta diputados del Grupo Parlamentario Popular en el Congreso de los Diputados contra varios preceptos de la Ley 5/2021, de 5 de noviembre, de la Generalitat, reguladora del fondo de cooperación municipal de los municipios y entidades locales menores de la Comunitat Valenciana, y declarar inconstitucional y nulo el artículo 7 de la misma, así como el inciso “, en aplicación del artículo 66 del Estatuto de Autonomía de la Comunitat Valenciana,” del apartado 6 del artículo 5.</w:t>
      </w:r>
    </w:p>
    <w:p w14:paraId="71EE4E8E" w14:textId="77777777" w:rsidR="008D479B" w:rsidRDefault="008D479B" w:rsidP="008D479B">
      <w:pPr>
        <w:pStyle w:val="TextoNormal"/>
      </w:pPr>
    </w:p>
    <w:p w14:paraId="27F9C2C8" w14:textId="23BA560B" w:rsidR="008D479B" w:rsidRDefault="008D479B" w:rsidP="008D479B">
      <w:pPr>
        <w:pStyle w:val="TextoNormal"/>
      </w:pPr>
      <w:r>
        <w:t>2º Desestimar el recurso en todo lo demás.</w:t>
      </w:r>
    </w:p>
    <w:p w14:paraId="5DE2FA40" w14:textId="77777777" w:rsidR="008D479B" w:rsidRDefault="008D479B" w:rsidP="008D479B">
      <w:pPr>
        <w:pStyle w:val="TextoNormal"/>
      </w:pPr>
    </w:p>
    <w:p w14:paraId="1771E523" w14:textId="77777777" w:rsidR="008D479B" w:rsidRDefault="008D479B" w:rsidP="008D479B">
      <w:pPr>
        <w:pStyle w:val="TextoNormal"/>
      </w:pPr>
      <w:r>
        <w:t>Publíquese esta sentencia en el “Boletín Oficial del Estado”.</w:t>
      </w:r>
    </w:p>
    <w:p w14:paraId="73C68330" w14:textId="77777777" w:rsidR="008D479B" w:rsidRDefault="008D479B" w:rsidP="008D479B">
      <w:pPr>
        <w:pStyle w:val="TextoNormal"/>
      </w:pPr>
      <w:r>
        <w:t>Dada en Madrid, a veintiséis de septiembre de dos mil veintitrés.</w:t>
      </w:r>
    </w:p>
    <w:p w14:paraId="198B9B16" w14:textId="0770219F" w:rsidR="008D479B" w:rsidRDefault="008D479B" w:rsidP="008D479B">
      <w:pPr>
        <w:pStyle w:val="ParrafoNormal"/>
      </w:pPr>
    </w:p>
    <w:p w14:paraId="5A36000A" w14:textId="77777777" w:rsidR="008D479B" w:rsidRDefault="008D479B" w:rsidP="008D479B">
      <w:pPr>
        <w:pStyle w:val="TextoNormalNegritaCentrado"/>
        <w:keepNext/>
      </w:pPr>
      <w:r>
        <w:t>Voto particular que formula el magistrado don Ramón Sáez Valcárcel a la sentencia dictada en el recurso de inconstitucionalidad núm. 614‑2022</w:t>
      </w:r>
    </w:p>
    <w:p w14:paraId="05EF0856" w14:textId="3E1F84CA" w:rsidR="008D479B" w:rsidRDefault="008D479B" w:rsidP="008D479B">
      <w:pPr>
        <w:pStyle w:val="TextoNormalNegritaCentrado"/>
        <w:keepNext/>
      </w:pPr>
    </w:p>
    <w:p w14:paraId="3E961145" w14:textId="77777777" w:rsidR="008D479B" w:rsidRDefault="008D479B" w:rsidP="008D479B">
      <w:pPr>
        <w:pStyle w:val="TextoNormal"/>
      </w:pPr>
      <w:r>
        <w:t>En el ejercicio de la facultad que me confiere el artículo 90.2 de la Ley Orgánica del Tribunal Constitucional, formulo el presente voto particular para manifestar mi discrepancia con la fundamentación y el fallo de la sentencia.</w:t>
      </w:r>
    </w:p>
    <w:p w14:paraId="03302708" w14:textId="77777777" w:rsidR="008D479B" w:rsidRDefault="008D479B" w:rsidP="008D479B">
      <w:pPr>
        <w:pStyle w:val="TextoNormal"/>
      </w:pPr>
    </w:p>
    <w:p w14:paraId="53EEEA36" w14:textId="77777777" w:rsidR="008D479B" w:rsidRDefault="008D479B" w:rsidP="008D479B">
      <w:pPr>
        <w:pStyle w:val="TextoNormal"/>
      </w:pPr>
      <w:r>
        <w:t>En mi opinión, el recurso debería haber sido estimado íntegramente porque la ley autonómica regulaba un mecanismo que habilita a la administración autonómica a interferir en la autonomía provincial (arts. 137 y 141 CE) pero sin cumplir los requisitos exigidos por el bloque de la constitucionalidad. Entiendo que, al no apreciarlo así y debido a la argumentación en la que se apoya, la sentencia transforma radicalmente (aunque no de modo abierto y explícito) la doctrina constitucional sobre las facultades de coordinación en el Estado descentralizado. Y lo hace en el sentido de ampliar casi ilimitadamente el alcance potencial de las potestades de coordinación, al aceptar que puedan ser utilizadas por las administraciones superiores (en este caso, una comunidad autónoma) respecto de las inferiores (en este caso, las provincias) para predeterminar la actuación de estas de manera exhaustiva, incluso en ámbitos de competencia propia que constituyen el núcleo de la autonomía local (como sucede con la competencia provincial de asistencia y cooperación jurídica, económica y técnica a los municipios), siempre que ello tenga alguna conexión con las responsabilidades y competencias propias del ente territorial superior.</w:t>
      </w:r>
    </w:p>
    <w:p w14:paraId="6C36A86A" w14:textId="77777777" w:rsidR="008D479B" w:rsidRDefault="008D479B" w:rsidP="008D479B">
      <w:pPr>
        <w:pStyle w:val="TextoNormal"/>
      </w:pPr>
    </w:p>
    <w:p w14:paraId="4B8DE76D" w14:textId="77777777" w:rsidR="008D479B" w:rsidRDefault="008D479B" w:rsidP="008D479B">
      <w:pPr>
        <w:pStyle w:val="TextoNormal"/>
      </w:pPr>
      <w:r>
        <w:t>En lo que sigue desgloso las razones de mi discrepancia, sintetizando los argumentos que defendí durante la deliberación.</w:t>
      </w:r>
    </w:p>
    <w:p w14:paraId="3668263A" w14:textId="77777777" w:rsidR="008D479B" w:rsidRDefault="008D479B" w:rsidP="008D479B">
      <w:pPr>
        <w:pStyle w:val="TextoNormal"/>
      </w:pPr>
    </w:p>
    <w:p w14:paraId="174A973D" w14:textId="77777777" w:rsidR="008D479B" w:rsidRDefault="008D479B" w:rsidP="008D479B">
      <w:pPr>
        <w:pStyle w:val="TextoNormal"/>
      </w:pPr>
      <w:r>
        <w:t xml:space="preserve">1. </w:t>
      </w:r>
      <w:r w:rsidRPr="008D479B">
        <w:rPr>
          <w:i/>
        </w:rPr>
        <w:t>Relevancia constitucional de la cuestión</w:t>
      </w:r>
    </w:p>
    <w:p w14:paraId="33FE6968" w14:textId="77777777" w:rsidR="008D479B" w:rsidRDefault="008D479B" w:rsidP="008D479B">
      <w:pPr>
        <w:pStyle w:val="TextoNormal"/>
      </w:pPr>
    </w:p>
    <w:p w14:paraId="733A5D4B" w14:textId="77777777" w:rsidR="008D479B" w:rsidRDefault="008D479B" w:rsidP="008D479B">
      <w:pPr>
        <w:pStyle w:val="TextoNormal"/>
      </w:pPr>
      <w:r>
        <w:t>El punto de partida de mi desacuerdo radica en el convencimiento de que la sentencia no identifica correctamente el alcance de la cuestión constitucional planteada, en cierta medida lo subestima y desdibuja.</w:t>
      </w:r>
    </w:p>
    <w:p w14:paraId="7D3CE9B1" w14:textId="77777777" w:rsidR="008D479B" w:rsidRDefault="008D479B" w:rsidP="008D479B">
      <w:pPr>
        <w:pStyle w:val="TextoNormal"/>
      </w:pPr>
    </w:p>
    <w:p w14:paraId="27DB940D" w14:textId="77777777" w:rsidR="008D479B" w:rsidRDefault="008D479B" w:rsidP="008D479B">
      <w:pPr>
        <w:pStyle w:val="TextoNormal"/>
      </w:pPr>
      <w:r>
        <w:t>Los impugnados artículos 2.2, 5 y 8 de la Ley 5/2021, de 5 de noviembre, reguladora del fondo de cooperación municipal de los municipios y entidades locales menores de la Comunitat Valenciana, establecen la participación forzosa de las diputaciones provinciales de la comunidad en un fondo que expresamente se crea como “sistema estable y permanente de financiación de los municipios y las entidades locales menores”, “financiando globalmente su actividad” con naturaleza “incondicionada y no finalista” (arts. 2.1, 3 y 5.1 de la ley). En este contexto, la norma autonómica (i) declara de interés general de la comunidad autónoma las funciones de asistencia y cooperación jurídica, económica y técnica de las diputaciones provinciales a los municipios, al objeto de la participación de aquellas en la financiación básica de estos a través del fondo; y (ii) atribuye al Consell de la Generalitat, “como órgano de coordinación”, la potestad de aprobar “planes sectoriales de financiación básica del fondo” de carácter anual, con la participación de la comisión de colaboración y coordinación prevista en la propia ley (art. 5).</w:t>
      </w:r>
    </w:p>
    <w:p w14:paraId="7367ADA6" w14:textId="77777777" w:rsidR="008D479B" w:rsidRDefault="008D479B" w:rsidP="008D479B">
      <w:pPr>
        <w:pStyle w:val="TextoNormal"/>
      </w:pPr>
    </w:p>
    <w:p w14:paraId="2D98DB3C" w14:textId="77777777" w:rsidR="008D479B" w:rsidRDefault="008D479B" w:rsidP="008D479B">
      <w:pPr>
        <w:pStyle w:val="TextoNormal"/>
      </w:pPr>
      <w:r>
        <w:t>En la sentencia se asume que la dimensión primaria de la controversia trabada en torno a esta regulación era de carácter económico-financiero, lo que parece llevar a afrontar la impugnación como un asunto menor susceptible de ser ventilado mediante el uso de un canon de control de constitucionalidad poco riguroso, tanto en su formulación como en su aplicación. Sobre ambos aspectos abundaré después. Baste por ahora con dejar apuntado que, a la postre, la declaración de inconstitucionalidad se elude en la sentencia mediante el expediente de diferir a los futuros actos de aplicación de la norma la decisión en torno a la vulneración o no de la autonomía provincial, a cuyos efectos se realizan vagas consideraciones sobre los porcentajes máximos de afectación presupuestaria de los entes locales que resultarían admisibles desde el punto de vista de su autonomía financiera (art. 142 CE).</w:t>
      </w:r>
    </w:p>
    <w:p w14:paraId="36FA0334" w14:textId="77777777" w:rsidR="008D479B" w:rsidRDefault="008D479B" w:rsidP="008D479B">
      <w:pPr>
        <w:pStyle w:val="TextoNormal"/>
      </w:pPr>
    </w:p>
    <w:p w14:paraId="4E3E9BF7" w14:textId="77777777" w:rsidR="008D479B" w:rsidRDefault="008D479B" w:rsidP="008D479B">
      <w:pPr>
        <w:pStyle w:val="TextoNormal"/>
      </w:pPr>
      <w:r>
        <w:t>Considero que nos encontrábamos ante una cuestión más trascendente en términos constitucionales. En primer lugar, porque el mecanismo legal enjuiciado afecta a la dimensión sustantiva —y no solamente financiera— de la autonomía provincial, ya que la competencia provincial concernida era precisamente la que constituye el núcleo de la autonomía de las provincias, siendo secundario o accidental el hecho de que tal competencia se ejercite en buena medida a través de la capacidad de gasto. Y, en segundo lugar, porque el legislador valenciano ha diseñado el mecanismo impugnado invocando la figura de la coordinación, que es límite prototípico a la autonomía y tipo de relación jurídica interadministrativa que puede trabarse entre cualesquiera niveles territoriales del Estado descentralizado. Tal y como argumenté en la deliberación, nuestro pronunciamiento en este proceso requería de un especial cuidado porque estaba llamado a tener repercusiones generales sobre el régimen constitucional de la autonomía provincial y, más ampliamente, sobre los tipos y límites de las relaciones interadministrativas en el Estado descentralizado.</w:t>
      </w:r>
    </w:p>
    <w:p w14:paraId="2EAD79D6" w14:textId="77777777" w:rsidR="008D479B" w:rsidRDefault="008D479B" w:rsidP="008D479B">
      <w:pPr>
        <w:pStyle w:val="TextoNormal"/>
      </w:pPr>
    </w:p>
    <w:p w14:paraId="206D3904" w14:textId="77777777" w:rsidR="008D479B" w:rsidRDefault="008D479B" w:rsidP="008D479B">
      <w:pPr>
        <w:pStyle w:val="TextoNormal"/>
      </w:pPr>
      <w:r>
        <w:t xml:space="preserve">2. </w:t>
      </w:r>
      <w:r w:rsidRPr="008D479B">
        <w:rPr>
          <w:i/>
        </w:rPr>
        <w:t>Carácter novedoso del caso</w:t>
      </w:r>
    </w:p>
    <w:p w14:paraId="0B2BF638" w14:textId="77777777" w:rsidR="008D479B" w:rsidRDefault="008D479B" w:rsidP="008D479B">
      <w:pPr>
        <w:pStyle w:val="TextoNormal"/>
      </w:pPr>
    </w:p>
    <w:p w14:paraId="6BB64230" w14:textId="77777777" w:rsidR="008D479B" w:rsidRDefault="008D479B" w:rsidP="008D479B">
      <w:pPr>
        <w:pStyle w:val="TextoNormal"/>
      </w:pPr>
      <w:r>
        <w:t>La fundamentación jurídica de la sentencia de la que discrepo se apoya en sentencias previas de este tribunal que, supuestamente, habrían avalado la constitucionalidad de regulaciones autonómicas análogas a la que ahora se controvertía (SSTC 27/1987, de 27 de febrero; 109/1998, de 21 de mayo, y 82/2020, de 15 de julio). Sin embargo, lo enjuiciado en aquellos casos presenta profundas diferencias con el “mecanismo de coordinación” ahora controvertido, que plantea una problemática constitucional sobre la que hasta ahora nunca se había pronunciado este tribunal y que, por lo tanto, no podía racionalmente resolverse mediante la invocación de precedente.</w:t>
      </w:r>
    </w:p>
    <w:p w14:paraId="4F3628AB" w14:textId="77777777" w:rsidR="008D479B" w:rsidRDefault="008D479B" w:rsidP="008D479B">
      <w:pPr>
        <w:pStyle w:val="TextoNormal"/>
      </w:pPr>
    </w:p>
    <w:p w14:paraId="3B992874" w14:textId="77777777" w:rsidR="008D479B" w:rsidRDefault="008D479B" w:rsidP="008D479B">
      <w:pPr>
        <w:pStyle w:val="TextoNormal"/>
      </w:pPr>
      <w:r>
        <w:t>Para advertir este hecho hubiera sido necesario partir de un examen detenido de la sustancia, finalidad y justificación del mecanismo enjuiciado, sin conformarse —como hace la sentencia— con asumir de manera automática y acrítica la descripción que de él hace el propio legislador autonómico. A estos efectos resultan de la máxima relevancia los siguientes elementos: (i) la esencia del mecanismo controvertido consiste en atribuir al Gobierno autonómico la capacidad de fijar unilateralmente las cuantías que cada provincia obligatoriamente deberá aportar al fondo de cooperación municipal, cuantías que se destinarán a los beneficiarios de manera incondicionada y para financiar su actuación global; (ii) la finalidad declarada del legislador es crear un sistema estable y equilibrado de financiación de los municipios, para garantizar su suficiencia financiera, finalidad que determina la existencia de un interés general supraprovincial; y (iii) la justificación de la necesidad del mecanismo elegido está en que un mecanismo de participación opcional o voluntario de las diputaciones provinciales produce resultados desiguales, porque no todas participan en el mismo grado, como demostró la experiencia del antiguo fondo de cooperación regulado en la Ley 8/2010, de 23 de junio, de régimen local de la Comunitat Valenciana.</w:t>
      </w:r>
    </w:p>
    <w:p w14:paraId="25B5BD02" w14:textId="77777777" w:rsidR="008D479B" w:rsidRDefault="008D479B" w:rsidP="008D479B">
      <w:pPr>
        <w:pStyle w:val="TextoNormal"/>
      </w:pPr>
    </w:p>
    <w:p w14:paraId="14FF1E76" w14:textId="77777777" w:rsidR="008D479B" w:rsidRDefault="008D479B" w:rsidP="008D479B">
      <w:pPr>
        <w:pStyle w:val="TextoNormal"/>
      </w:pPr>
      <w:r>
        <w:t>La toma en consideración de estos rasgos hace evidente la diferencia existente entre el presente caso y los resueltos en los precedentes citados.</w:t>
      </w:r>
    </w:p>
    <w:p w14:paraId="2DF0977B" w14:textId="77777777" w:rsidR="008D479B" w:rsidRDefault="008D479B" w:rsidP="008D479B">
      <w:pPr>
        <w:pStyle w:val="TextoNormal"/>
      </w:pPr>
    </w:p>
    <w:p w14:paraId="3E62A07B" w14:textId="77777777" w:rsidR="008D479B" w:rsidRDefault="008D479B" w:rsidP="008D479B">
      <w:pPr>
        <w:pStyle w:val="TextoNormal"/>
      </w:pPr>
      <w:r>
        <w:t>En primer lugar, la STC 27/1987 avaló la constitucionalidad de los preceptos de la Ley valenciana 2/1983, de 4 de octubre, que declaraban de interés general de la comunidad autónoma, entre otras competencias propias de las provincias, la de asistencia y apoyo a los municipios, y que permitían que la Generalitat asumiese facultades de coordinación sobre ellas en caso de afección a los intereses autonómicos, indicando que la coordinación habría de ejercerse mediante la aprobación por decreto, con base en las previsiones proporcionadas por las diputaciones, de directrices acerca de los criterios generales, objetivos y prioridades a alcanzar. El Tribunal Constitucional consideró entonces que la regulación impugnada resultaba compatible con la Constitución y con los arts. 10.2 y 59.1 de la Ley 7/1985, de 2 de abril, reguladora de las bases del régimen local, subrayando el carácter genérico o finalista de la coordinación en tanto que forma de relación interadministrativa.</w:t>
      </w:r>
    </w:p>
    <w:p w14:paraId="4516F5DA" w14:textId="77777777" w:rsidR="008D479B" w:rsidRDefault="008D479B" w:rsidP="008D479B">
      <w:pPr>
        <w:pStyle w:val="TextoNormal"/>
      </w:pPr>
    </w:p>
    <w:p w14:paraId="329A806D" w14:textId="77777777" w:rsidR="008D479B" w:rsidRDefault="008D479B" w:rsidP="008D479B">
      <w:pPr>
        <w:pStyle w:val="TextoNormal"/>
      </w:pPr>
      <w:r>
        <w:t>En segundo lugar, la STC 109/1998 desestimó prácticamente en su totalidad las cuestiones de inconstitucionalidad planteadas respecto de las leyes del Parlamento de Cataluña que atribuían al Gobierno de esa comunidad autónoma intensas facultades de coordinación de la actividad de las provincias a través del llamado “Plan Único de Obras y Servicios de Cataluña”. Por lo que ahora importa, este caso es diferente del actual porque: (i) el Tribunal Constitucional concluyó en aquella sentencia que, debido a lo establecido en el art. 36.2 LBRL y en la disposición transitoria sexta del Estatuto de Autonomía de Cataluña, dicho plan único no se sometía a la Ley reguladora de las bases del régimen local, sino solamente a la Constitución y al estatuto, circunstancia que no se da aquí, y (ii) el mecanismo de coordinación catalán, aunque se proyectaba sobre la competencia provincial de asistencia y apoyo a los municipios, tenía un alcance sectorial acotado, pues se refería a las distintas obras y servicios a realizar en el territorio de las distintas provincias, en lugar de articularse como un mecanismo transversal de financiación global e incondicionado, desligado de toda concreción sectorial.</w:t>
      </w:r>
    </w:p>
    <w:p w14:paraId="125E3172" w14:textId="77777777" w:rsidR="008D479B" w:rsidRDefault="008D479B" w:rsidP="008D479B">
      <w:pPr>
        <w:pStyle w:val="TextoNormal"/>
      </w:pPr>
    </w:p>
    <w:p w14:paraId="6673EEF4" w14:textId="77777777" w:rsidR="008D479B" w:rsidRDefault="008D479B" w:rsidP="008D479B">
      <w:pPr>
        <w:pStyle w:val="TextoNormal"/>
      </w:pPr>
      <w:r>
        <w:t>Por último, la STC 82/2020 examinó la constitucionalidad de los preceptos de la Ley 3/2019, de 18 de febrero, de servicios sociales inclusivos de la Comunitat Valenciana, que declaraba los servicios sociales como “servicios públicos esenciales y de interés general, construyendo el sistema público valenciano de servicios sociales”, y aspiraba a crear un sistema racional para superar las disfuncionalidades derivadas de la dispar prestación de servicios en distintas partes del territorio autonómico, para lo cual reservaba la prestación y gestión de determinados servicios a la comunidad autónoma y establecía que las provincias prestarían asistencia técnica y económica a los municipios “en el marco de la planificación de la Generalitat”. El Tribunal Constitucional desestimó el recurso en su mayor parte, considerando que la norma diseñaba un mecanismo de coordinación de alcance sectorial compatible con la Constitución y la Ley reguladora de las bases del régimen local.</w:t>
      </w:r>
    </w:p>
    <w:p w14:paraId="6CBB52A5" w14:textId="77777777" w:rsidR="008D479B" w:rsidRDefault="008D479B" w:rsidP="008D479B">
      <w:pPr>
        <w:pStyle w:val="TextoNormal"/>
      </w:pPr>
    </w:p>
    <w:p w14:paraId="67B5EB92" w14:textId="77777777" w:rsidR="008D479B" w:rsidRDefault="008D479B" w:rsidP="008D479B">
      <w:pPr>
        <w:pStyle w:val="TextoNormal"/>
      </w:pPr>
      <w:r>
        <w:t xml:space="preserve">3. </w:t>
      </w:r>
      <w:r w:rsidRPr="008D479B">
        <w:rPr>
          <w:i/>
        </w:rPr>
        <w:t>Canon de constitucionalidad aplicable</w:t>
      </w:r>
    </w:p>
    <w:p w14:paraId="303838DA" w14:textId="77777777" w:rsidR="008D479B" w:rsidRDefault="008D479B" w:rsidP="008D479B">
      <w:pPr>
        <w:pStyle w:val="TextoNormal"/>
      </w:pPr>
    </w:p>
    <w:p w14:paraId="18822355" w14:textId="77777777" w:rsidR="008D479B" w:rsidRDefault="008D479B" w:rsidP="008D479B">
      <w:pPr>
        <w:pStyle w:val="TextoNormal"/>
      </w:pPr>
      <w:r>
        <w:t>Mi desacuerdo con la sentencia se refiere también al modo en que formula el canon de control de constitucionalidad aplicable.</w:t>
      </w:r>
    </w:p>
    <w:p w14:paraId="2D270FC1" w14:textId="77777777" w:rsidR="008D479B" w:rsidRDefault="008D479B" w:rsidP="008D479B">
      <w:pPr>
        <w:pStyle w:val="TextoNormal"/>
      </w:pPr>
    </w:p>
    <w:p w14:paraId="6A6C496F" w14:textId="77777777" w:rsidR="008D479B" w:rsidRDefault="008D479B" w:rsidP="008D479B">
      <w:pPr>
        <w:pStyle w:val="TextoNormal"/>
      </w:pPr>
      <w:r>
        <w:t>En su fundamento jurídico octavo, la sentencia enjuicia la constitucionalidad de la participación obligatoria de las provincias en el fondo de cooperación municipal diseñado por los preceptos impugnados aplicando un canon de control dividido en tres partes, relativas respectivamente a (i) la justificación de la medida enjuiciada, (ii) la legitimidad constitucional de que la misma se proyecte sobe la competencia provincial de asistencia y cooperación con los municipios y (iii) la proporcionalidad de la restricción, entendida como exigencia de una participación mínima de los entes locales afectados en el ejercicio de la competencia y como prohibición de afectar a un volumen de recursos provinciales tan significativo que se prive a las provincias de la posibilidad de ejercer autónomamente la competencia afectada.</w:t>
      </w:r>
    </w:p>
    <w:p w14:paraId="506E53A6" w14:textId="77777777" w:rsidR="008D479B" w:rsidRDefault="008D479B" w:rsidP="008D479B">
      <w:pPr>
        <w:pStyle w:val="TextoNormal"/>
      </w:pPr>
    </w:p>
    <w:p w14:paraId="30833D32" w14:textId="77777777" w:rsidR="008D479B" w:rsidRDefault="008D479B" w:rsidP="008D479B">
      <w:pPr>
        <w:pStyle w:val="TextoNormal"/>
      </w:pPr>
      <w:r>
        <w:t xml:space="preserve">Tal y como defendí en la deliberación, considero que este canon de control no se ajusta al que deriva del bloque de la constitucionalidad, sino que es construido </w:t>
      </w:r>
      <w:r w:rsidRPr="008D479B">
        <w:rPr>
          <w:i/>
        </w:rPr>
        <w:t>ad hoc</w:t>
      </w:r>
      <w:r>
        <w:t xml:space="preserve"> por la sentencia de la que discrepo, omitiendo parte de sus exigencias y distorsionando otras. Sobre esta última cuestión me detendré en el apartado siguiente. Ahora, quisiera aludir brevemente a lo primero, a cuyos efectos creo útil contrastar el test tripartito que aplica la sentencia con el que venía exigido por la Constitución y la Ley reguladora de las bases del régimen local.</w:t>
      </w:r>
    </w:p>
    <w:p w14:paraId="7283ECD4" w14:textId="77777777" w:rsidR="008D479B" w:rsidRDefault="008D479B" w:rsidP="008D479B">
      <w:pPr>
        <w:pStyle w:val="TextoNormal"/>
      </w:pPr>
    </w:p>
    <w:p w14:paraId="63CEB0A0" w14:textId="77777777" w:rsidR="008D479B" w:rsidRDefault="008D479B" w:rsidP="008D479B">
      <w:pPr>
        <w:pStyle w:val="TextoNormal"/>
      </w:pPr>
      <w:r>
        <w:t>Como la propia sentencia recuerda, con citas de doctrina constitucional que no es necesario ahora reproducir, este tribunal ha entendido desde los inicios de su actividad que los arts. 137 y siguientes de la Constitución imponen ciertos límites sobre el legislador (estatal o autonómico) que pretenda establecer restricciones a la autonomía local. Así, cualquier restricción exige (i) la existencia de intereses supralocales que la justifique y (ii) la ponderación de los intereses locales concurrentes, en particular para garantizar que el ente local mantenga un nivel de participación en el ejercicio de la competencia afectada que sea tendencialmente correlativo a la intensidad de dichos intereses.</w:t>
      </w:r>
    </w:p>
    <w:p w14:paraId="34254C04" w14:textId="77777777" w:rsidR="008D479B" w:rsidRDefault="008D479B" w:rsidP="008D479B">
      <w:pPr>
        <w:pStyle w:val="TextoNormal"/>
      </w:pPr>
    </w:p>
    <w:p w14:paraId="6D3B11B5" w14:textId="77777777" w:rsidR="008D479B" w:rsidRDefault="008D479B" w:rsidP="008D479B">
      <w:pPr>
        <w:pStyle w:val="TextoNormal"/>
      </w:pPr>
      <w:r>
        <w:t>Cuando los límites a la autonomía local que pretenden introducirse consisten en la atribución de potestades de coordinación a un ente territorial superior, la doctrina constitucional ha añadido las exigencias de (i) predeterminación legal (las facultades de coordinación han de estar específicamente atribuidas por la ley y ser suficientemente predeterminadas en su contenido); (ii) proporcionalidad (además de responder a la protección de intereses supralocales y asegurar un grado de capacidad decisoria del ente local correlativo al nivel de interés local presente en el asunto afectado, la coordinación solo procede en presencia de contradicciones y disfunciones en la actividad de los sujetos coordinados, y siempre que no exista otro medio de afrontar tales contradicciones o disfunciones); y (iii) lo que podríamos describir como una “prohibición de sustitución” (pues la coordinación solo permite al ente superior fijar medios y sistemas de relación que hagan posible la información recíproca, la homogeneidad técnica en determinados aspectos y la acción conjunta de las administraciones coordinadas, pero dejando siempre un margen de libre decisión o discrecionalidad en favor de los entes coordinados; en otras palabras, no puede nunca traducirse en la emanación de órdenes concretas que prefiguren exhaustivamente el contenido de la actividad del ente coordinado, pues ello los colocaría en una posición de subordinación jerárquica o cuasi jerárquica, incompatible con su autonomía).</w:t>
      </w:r>
    </w:p>
    <w:p w14:paraId="763E9EF2" w14:textId="77777777" w:rsidR="008D479B" w:rsidRDefault="008D479B" w:rsidP="008D479B">
      <w:pPr>
        <w:pStyle w:val="TextoNormal"/>
      </w:pPr>
    </w:p>
    <w:p w14:paraId="2E52D82B" w14:textId="77777777" w:rsidR="008D479B" w:rsidRDefault="008D479B" w:rsidP="008D479B">
      <w:pPr>
        <w:pStyle w:val="TextoNormal"/>
      </w:pPr>
      <w:r>
        <w:t>Por su parte, los arts. 10 y 59 LBRL suponen un desarrollo o concreción de la autonomía local constitucionalmente garantizada en lo que específicamente incumbe a las potestades de coordinación sobre los entes locales, a cuyo fin imponen estrictos límites a la previsión legislativa de tales potestades. Los límites pueden sistematizarse como sigue: (i) justificación en un interés supralocal “que las actividades o los servicios trasciendan el interés propio de las correspondientes entidades locales, incidan o condicionen relevantemente los de las administraciones superiores, o sean concurrentes o complementarios de los de estas”; (ii) subsidiariedad “que la coherencia de la actuación de las administraciones públicas no pueda alcanzarse por los procedimientos de cooperación voluntaria o estos resultaran manifiestamente inadecuados por razón de las características de la tarea pública de que se trate”; (iii) predeterminación “la ley deberá precisar, con el suficiente grado de detalle, las condiciones y los límites de la coordinación, así como las modalidades de control que se reserven las Cortes Generales o las correspondientes asambleas legislativas”); (iv) sectorialidad y carácter no exhaustivo “la coordinación se realizará mediante la definición concreta y en relación con una materia, servicio o competencia determinados de los intereses generales o comunitarios, a través de planes sectoriales para la fijación de los objetivos y la determinación de las prioridades de la acción pública en la materia correspondiente”; y participación ponderada (deberá reconocerse a los entes locales un grado de participación en la elaboración de los planes sectoriales que permita armonizar los intereses públicos afectados).</w:t>
      </w:r>
    </w:p>
    <w:p w14:paraId="7E9299DD" w14:textId="77777777" w:rsidR="008D479B" w:rsidRDefault="008D479B" w:rsidP="008D479B">
      <w:pPr>
        <w:pStyle w:val="TextoNormal"/>
      </w:pPr>
    </w:p>
    <w:p w14:paraId="3E8446D2" w14:textId="77777777" w:rsidR="008D479B" w:rsidRDefault="008D479B" w:rsidP="008D479B">
      <w:pPr>
        <w:pStyle w:val="TextoNormal"/>
      </w:pPr>
      <w:r>
        <w:t>La sentencia de la que discrepo se hace eco nominalmente de estas exigencias, pero no las aplica en absoluto para resolver la impugnación planteada (así, por ejemplo, con la exigencia de no predeterminación exhaustiva del sentido en que se ejercerá la competencia coordinada, art. 59.1 LBRL) o las aplica modificando su contenido o con argumentaciones inconsistentes, como explico a continuación.</w:t>
      </w:r>
    </w:p>
    <w:p w14:paraId="07AF4ED8" w14:textId="77777777" w:rsidR="008D479B" w:rsidRDefault="008D479B" w:rsidP="008D479B">
      <w:pPr>
        <w:pStyle w:val="TextoNormal"/>
      </w:pPr>
    </w:p>
    <w:p w14:paraId="509014C3" w14:textId="77777777" w:rsidR="008D479B" w:rsidRDefault="008D479B" w:rsidP="008D479B">
      <w:pPr>
        <w:pStyle w:val="TextoNormal"/>
      </w:pPr>
      <w:r>
        <w:t>4</w:t>
      </w:r>
      <w:r w:rsidRPr="008D479B">
        <w:rPr>
          <w:i/>
        </w:rPr>
        <w:t>. Enjuiciamien</w:t>
      </w:r>
      <w:r>
        <w:t>to</w:t>
      </w:r>
    </w:p>
    <w:p w14:paraId="428F3370" w14:textId="77777777" w:rsidR="008D479B" w:rsidRDefault="008D479B" w:rsidP="008D479B">
      <w:pPr>
        <w:pStyle w:val="TextoNormal"/>
      </w:pPr>
    </w:p>
    <w:p w14:paraId="687B8810" w14:textId="77777777" w:rsidR="008D479B" w:rsidRDefault="008D479B" w:rsidP="008D479B">
      <w:pPr>
        <w:pStyle w:val="TextoNormal"/>
      </w:pPr>
      <w:r>
        <w:t>El último de los motivos de mi discrepancia con la sentencia se refiere al modo en que aplica el canon de constitucionalidad que previamente ha definido para enjuiciar los preceptos legales autonómicos que prevén la participación obligatoria de las provincias en el fondo de cooperación municipal. Mi desacuerdo afecta a cada uno de los pasos del enjuiciamiento.</w:t>
      </w:r>
    </w:p>
    <w:p w14:paraId="6CCD8585" w14:textId="77777777" w:rsidR="008D479B" w:rsidRDefault="008D479B" w:rsidP="008D479B">
      <w:pPr>
        <w:pStyle w:val="TextoNormal"/>
      </w:pPr>
    </w:p>
    <w:p w14:paraId="3AE8BADC" w14:textId="77777777" w:rsidR="008D479B" w:rsidRDefault="008D479B" w:rsidP="008D479B">
      <w:pPr>
        <w:pStyle w:val="TextoNormal"/>
      </w:pPr>
      <w:r>
        <w:t>a) Justificación de la medida</w:t>
      </w:r>
    </w:p>
    <w:p w14:paraId="1F8225C8" w14:textId="77777777" w:rsidR="008D479B" w:rsidRDefault="008D479B" w:rsidP="008D479B">
      <w:pPr>
        <w:pStyle w:val="TextoNormal"/>
      </w:pPr>
    </w:p>
    <w:p w14:paraId="6707E49E" w14:textId="77777777" w:rsidR="008D479B" w:rsidRDefault="008D479B" w:rsidP="008D479B">
      <w:pPr>
        <w:pStyle w:val="TextoNormal"/>
      </w:pPr>
      <w:r>
        <w:t>La sentencia avala como justificación del mecanismo controvertido la finalidad perseguida con su aprobación por el legislador autonómico, a saber, garantizar un sistema estable y equitativo de financiación municipal, evitando desigualdades en las contribuciones de las distintas diputaciones y salvaguardando el fuerte interés que la comunidad autónoma ostenta en este ámbito como consecuencia de ser responsable, junto con el Estado, de garantizar la suficiencia financiera de los entes locales. Según la sentencia, esta finalidad “resulta inobjetable” porque, según se afirma, la financiación municipal es “la función esencial” de las diputaciones provinciales.</w:t>
      </w:r>
    </w:p>
    <w:p w14:paraId="3B353EF1" w14:textId="77777777" w:rsidR="008D479B" w:rsidRDefault="008D479B" w:rsidP="008D479B">
      <w:pPr>
        <w:pStyle w:val="TextoNormal"/>
      </w:pPr>
    </w:p>
    <w:p w14:paraId="7584D59D" w14:textId="77777777" w:rsidR="008D479B" w:rsidRDefault="008D479B" w:rsidP="008D479B">
      <w:pPr>
        <w:pStyle w:val="TextoNormal"/>
      </w:pPr>
      <w:r>
        <w:t>Entiendo, sin embargo, que la finalidad descrita no puede justificar la restricción de la autonomía provincial que imponen los preceptos impugnados.</w:t>
      </w:r>
    </w:p>
    <w:p w14:paraId="20B86E89" w14:textId="77777777" w:rsidR="008D479B" w:rsidRDefault="008D479B" w:rsidP="008D479B">
      <w:pPr>
        <w:pStyle w:val="TextoNormal"/>
      </w:pPr>
    </w:p>
    <w:p w14:paraId="02834F0A" w14:textId="77777777" w:rsidR="008D479B" w:rsidRDefault="008D479B" w:rsidP="008D479B">
      <w:pPr>
        <w:pStyle w:val="TextoNormal"/>
      </w:pPr>
      <w:r>
        <w:t xml:space="preserve">Por una parte, el hecho de que las comunidades autónomas sean responsables (junto con el Estado) de garantizar la suficiencia financiera de los municipios no hace que queden </w:t>
      </w:r>
      <w:r w:rsidRPr="008D479B">
        <w:rPr>
          <w:i/>
        </w:rPr>
        <w:t>per se</w:t>
      </w:r>
      <w:r>
        <w:t xml:space="preserve"> habilitadas para restringir la autonomía provincial mediante la asunción de facultades de coordinación sobre las diputaciones. Las responsabilidades autonómica y estatal en punto a la financiación municipal deben satisfacerse en el marco de, y no a costa de, nuestro modelo de descentralización. Considero que, desde el punto de vista de la autonomía local, no es aceptable que una comunidad autónoma pretenda cumplir una responsabilidad propia a través de un mecanismo que, disfrazado bajo el manto de la coordinación, supone hacer pesar parte de esa responsabilidad sobre las provincias, a las que constitucionalmente no corresponde; y hacerlo, además, invadiendo la autonomía provincial desde la perspectiva tanto competencial como financiera.</w:t>
      </w:r>
    </w:p>
    <w:p w14:paraId="634C3378" w14:textId="77777777" w:rsidR="008D479B" w:rsidRDefault="008D479B" w:rsidP="008D479B">
      <w:pPr>
        <w:pStyle w:val="TextoNormal"/>
      </w:pPr>
    </w:p>
    <w:p w14:paraId="28BF86D5" w14:textId="77777777" w:rsidR="008D479B" w:rsidRDefault="008D479B" w:rsidP="008D479B">
      <w:pPr>
        <w:pStyle w:val="TextoNormal"/>
      </w:pPr>
      <w:r>
        <w:t xml:space="preserve">En línea con esta idea, considero que la sentencia incurre en un error de concepto cuando equipara la “financiación municipal” —cuya cobertura mínima corresponde por imperativo constitucional al Estado y a la comunidad autónoma— y la “asistencia y cooperación a los municipios” —competencia propia de las provincias, que puede consistir en ayuda no solo económica, sino también jurídica y técnica: art. 36.1 LBRL—. Tal equiparación no es correcta, ya que lo primero es un </w:t>
      </w:r>
      <w:r w:rsidRPr="008D479B">
        <w:rPr>
          <w:i/>
        </w:rPr>
        <w:t>prius</w:t>
      </w:r>
      <w:r>
        <w:t xml:space="preserve"> lógico respecto de lo segundo. En otras palabras, el núcleo de la actividad de las provincias consiste en apoyar a unos municipios cuya suficiencia financiera ha de encontrarse ya cubierta, sin que la comunidad autónoma pueda transformar la finalidad y naturaleza de esa competencia provincial alegando que de lo contrario no se satisface la suficiencia financiera de los municipios. Admitir algo así supone una confusión inasumible de responsabilidades y competencias autonómicas y provinciales, y abre la vía para la anulación de las provincias por parte de las comunidades autónomas.</w:t>
      </w:r>
    </w:p>
    <w:p w14:paraId="7C3E7006" w14:textId="77777777" w:rsidR="008D479B" w:rsidRDefault="008D479B" w:rsidP="008D479B">
      <w:pPr>
        <w:pStyle w:val="TextoNormal"/>
      </w:pPr>
    </w:p>
    <w:p w14:paraId="481133CD" w14:textId="77777777" w:rsidR="008D479B" w:rsidRDefault="008D479B" w:rsidP="008D479B">
      <w:pPr>
        <w:pStyle w:val="TextoNormal"/>
      </w:pPr>
      <w:r>
        <w:t>De otro lado, resulta evidente que la atribución a la comunidad autónoma de la potestad de coordinación enjuiciada no responde, a diferencia de lo que exige el bloque de la constitucionalidad, a la existencia de contradicciones o disfunciones en la actuación de los entes sometidos a coordinación, pues lo único aducido por el legislador autonómico a este respecto es la disparidad que se venía produciendo entre las aportaciones de las distintas provincias cuando dichas aportaciones eran de carácter voluntario. Considero, sin embargo, que la sentencia debería haber apreciado que tal disparidad no es una disfunción que corregir, sino la consecuencia natural de la autonomía de las provincias. A mi juicio, el hecho de que una comunidad autónoma considere, conforme a su propia apreciación política, que existe un nivel óptimo o deseable de apoyo a los municipios por parte de las provincias, no legitima la introducción de un mecanismo como el que se sometía a nuestro enjuiciamiento. Por el contrario, la voluntad declarada del legislador autonómico de corregir las disparidades que se daban con el anterior sistema de aportación voluntaria demuestra que no estamos ante un mecanismo de coordinación, sino ante una herramienta de control del grado de ejercicio de una competencia provincial propia, a pesar de que, como es sabido, los mecanismos de control gubernativo de la actividad de los entes locales son, según la doctrina constitucional, estrictamente excepcionales y solo los tasados en los arts. 60 y ss. LBRL.</w:t>
      </w:r>
    </w:p>
    <w:p w14:paraId="453155B6" w14:textId="77777777" w:rsidR="008D479B" w:rsidRDefault="008D479B" w:rsidP="008D479B">
      <w:pPr>
        <w:pStyle w:val="TextoNormal"/>
      </w:pPr>
    </w:p>
    <w:p w14:paraId="1765ADFB" w14:textId="77777777" w:rsidR="008D479B" w:rsidRDefault="008D479B" w:rsidP="008D479B">
      <w:pPr>
        <w:pStyle w:val="TextoNormal"/>
      </w:pPr>
      <w:r>
        <w:t>b) Competencia provincial afectada</w:t>
      </w:r>
    </w:p>
    <w:p w14:paraId="791CD012" w14:textId="77777777" w:rsidR="008D479B" w:rsidRDefault="008D479B" w:rsidP="008D479B">
      <w:pPr>
        <w:pStyle w:val="TextoNormal"/>
      </w:pPr>
    </w:p>
    <w:p w14:paraId="355FFE70" w14:textId="77777777" w:rsidR="008D479B" w:rsidRDefault="008D479B" w:rsidP="008D479B">
      <w:pPr>
        <w:pStyle w:val="TextoNormal"/>
      </w:pPr>
      <w:r>
        <w:t>Tampoco comparto la conclusión alcanzada por la mayoría de que el mecanismo impugnado no presenta problemas de constitucionalidad pese a proyectarse de manera general sobre la competencia provincial de asistencia y cooperación a los municipios. La sentencia de la que discrepo desconoce en este punto tanto las características del fondo de cooperación municipal sometido a enjuiciamiento como las exigencias que sobre él impone el bloque de la constitucionalidad.</w:t>
      </w:r>
    </w:p>
    <w:p w14:paraId="23F2136C" w14:textId="77777777" w:rsidR="008D479B" w:rsidRDefault="008D479B" w:rsidP="008D479B">
      <w:pPr>
        <w:pStyle w:val="TextoNormal"/>
      </w:pPr>
    </w:p>
    <w:p w14:paraId="3AF8DF9A" w14:textId="77777777" w:rsidR="008D479B" w:rsidRDefault="008D479B" w:rsidP="008D479B">
      <w:pPr>
        <w:pStyle w:val="TextoNormal"/>
      </w:pPr>
      <w:r>
        <w:t>Por lo primero, creo que debería haberse tomado en consideración el hecho de que la competencia provincial afectada es de carácter general o transversal y que el mecanismo controvertido se proyecta sobre ella también de manera general, esto es, no en atención a competencias o fines específicos de los municipios o de la comunidad autónoma, sino con la vocación declarada de establecer un mecanismo de financiación estable e “incondicionado”.</w:t>
      </w:r>
    </w:p>
    <w:p w14:paraId="38F9EEF9" w14:textId="77777777" w:rsidR="008D479B" w:rsidRDefault="008D479B" w:rsidP="008D479B">
      <w:pPr>
        <w:pStyle w:val="TextoNormal"/>
      </w:pPr>
    </w:p>
    <w:p w14:paraId="4D39C244" w14:textId="77777777" w:rsidR="008D479B" w:rsidRDefault="008D479B" w:rsidP="008D479B">
      <w:pPr>
        <w:pStyle w:val="TextoNormal"/>
      </w:pPr>
      <w:r>
        <w:t xml:space="preserve">En cuanto a lo segundo, la sentencia prescinde </w:t>
      </w:r>
      <w:r w:rsidRPr="008D479B">
        <w:rPr>
          <w:i/>
        </w:rPr>
        <w:t>de facto</w:t>
      </w:r>
      <w:r>
        <w:t xml:space="preserve"> de la exigencia de que las potestades de coordinación sobre las provincias se prevean “en relación con una materia, servicio o competencia determinados” (art. 59.1 LBRL). No me parece aceptable la argumentación que en este punto se esgrime, reducida a afirmar que el Tribunal Constitucional ya avaló mecanismos de coordinación análogos en las SSTC 27/1987 y 109/1998. Frente a lo que se afirma en la sentencia, en aquellos casos la injerencia en la competencia provincial de asistencia y cooperación a los municipios tenía un carácter considerablemente más acotado, pues se refería a la posibilidad de que las autoridades autonómicas coordinasen el ejercicio de tal competencia cuando afectase a “servicios o competencias propios de la Comunidad Valenciana” (STC 27/1987) o a las “obras y servicios” municipales (STC 109/1998).</w:t>
      </w:r>
    </w:p>
    <w:p w14:paraId="62AC58DF" w14:textId="77777777" w:rsidR="008D479B" w:rsidRDefault="008D479B" w:rsidP="008D479B">
      <w:pPr>
        <w:pStyle w:val="TextoNormal"/>
      </w:pPr>
    </w:p>
    <w:p w14:paraId="3C9E8C58" w14:textId="77777777" w:rsidR="008D479B" w:rsidRDefault="008D479B" w:rsidP="008D479B">
      <w:pPr>
        <w:pStyle w:val="TextoNormal"/>
      </w:pPr>
      <w:r>
        <w:t>c) Proporcionalidad de la restricción</w:t>
      </w:r>
    </w:p>
    <w:p w14:paraId="692B5AC0" w14:textId="77777777" w:rsidR="008D479B" w:rsidRDefault="008D479B" w:rsidP="008D479B">
      <w:pPr>
        <w:pStyle w:val="TextoNormal"/>
      </w:pPr>
    </w:p>
    <w:p w14:paraId="31C561D2" w14:textId="77777777" w:rsidR="008D479B" w:rsidRDefault="008D479B" w:rsidP="008D479B">
      <w:pPr>
        <w:pStyle w:val="TextoNormal"/>
      </w:pPr>
      <w:r>
        <w:t>Discrepo también, por último, de la conclusión alcanzada por la mayoría acerca del carácter proporcionado de la injerencia que el mecanismo sometido a nuestro enjuiciamiento supone para la autonomía provincial. Porque ninguna de las dos razones que se aportan me parece sostenible.</w:t>
      </w:r>
    </w:p>
    <w:p w14:paraId="3A4112E9" w14:textId="77777777" w:rsidR="008D479B" w:rsidRDefault="008D479B" w:rsidP="008D479B">
      <w:pPr>
        <w:pStyle w:val="TextoNormal"/>
      </w:pPr>
    </w:p>
    <w:p w14:paraId="2B841736" w14:textId="77777777" w:rsidR="008D479B" w:rsidRDefault="008D479B" w:rsidP="008D479B">
      <w:pPr>
        <w:pStyle w:val="TextoNormal"/>
      </w:pPr>
      <w:r>
        <w:t>Por una parte, la sentencia concluye que el legislador autonómico ha ponderado adecuadamente los intereses provinciales y supraprovinciales en juego porque ha previsto una mínima participación de las diputaciones en la elaboración de los sucesivos planes anuales de financiación del fondo. Sin embargo, lo que exige la doctrina constitucional es una participación no mínima, sino correlativa al grado de interés de la comunidad local en el asunto de que se trate. La sentencia debería, por ello, haber examinado si el grado de participación asegurado a las provincias resultaba proporcionado a la luz de la intensidad de la restricción impuesta a su autonomía. Y, a mi juicio, la respuesta debería haber sido negativa, si se tiene en cuenta que (i) lo afectado es la principal competencia propia de las provincias, descrita en la doctrina constitucional como el “núcleo de su autonomía” (por todas, STC 109/1998, FJ 2); (ii) cada una de las diputaciones de la Comunitat Valenciana cuenta únicamente con dos representantes del total de dieciocho que componen la Comisión que debe elaborar el plan anual de financiación; y (iii) en todo caso dicho órgano ostenta una mera competencia de propuesta no vinculante, correspondiendo la aprobación del plan en exclusiva al Consell de la Generalitat.</w:t>
      </w:r>
    </w:p>
    <w:p w14:paraId="6162AD87" w14:textId="77777777" w:rsidR="008D479B" w:rsidRDefault="008D479B" w:rsidP="008D479B">
      <w:pPr>
        <w:pStyle w:val="TextoNormal"/>
      </w:pPr>
    </w:p>
    <w:p w14:paraId="6D756088" w14:textId="77777777" w:rsidR="008D479B" w:rsidRDefault="008D479B" w:rsidP="008D479B">
      <w:pPr>
        <w:pStyle w:val="TextoNormal"/>
      </w:pPr>
      <w:r>
        <w:t>De otro lado, la sentencia concluye que los preceptos enjuiciados no suponen una intromisión intolerable en la autonomía de las provincias porque no se les priva de su competencia de asistencia y cooperación a los municipios. Privación que —según una argumentación que no comparto— solo podría darse si los sucesivos planes anuales de financiación del fondo fijasen una cuantía proporcionalmente tan elevada para las aportaciones de las provincias que estas se viesen privadas de recursos para ejercitar de manera autónoma la citada competencia. Son dos los motivos por los que disiento de esta argumentación. Primero, porque con ella se difiere el juicio de constitucionalidad al momento de la aplicación de la norma, obviando que es el propio legislador autonómico el que debe fijar “con el suficiente grado de detalle, las condiciones y los límites de la coordinación” (art. 59.2 LBRL). Y, segundo, porque con este proceder se degrada la cuestión constitucional controvertida a un problema meramente cuantitativo (de cuantías presupuestarias a aportar al fondo), cuando en realidad estamos ante un problema cualitativo (relativo a la posibilidad misma de imponer una restricción como la controvertida, con independencia de su cuantía, pues una injerencia ilegítima no deja de serlo en función de su volumen).</w:t>
      </w:r>
    </w:p>
    <w:p w14:paraId="2467E759" w14:textId="77777777" w:rsidR="008D479B" w:rsidRDefault="008D479B" w:rsidP="008D479B">
      <w:pPr>
        <w:pStyle w:val="TextoNormal"/>
      </w:pPr>
    </w:p>
    <w:p w14:paraId="3FDC6845" w14:textId="77777777" w:rsidR="008D479B" w:rsidRDefault="008D479B" w:rsidP="008D479B">
      <w:pPr>
        <w:pStyle w:val="TextoNormal"/>
      </w:pPr>
      <w:r>
        <w:t xml:space="preserve">En definitiva, considero que los preceptos legales impugnados, bajo el </w:t>
      </w:r>
      <w:r w:rsidRPr="008D479B">
        <w:rPr>
          <w:i/>
        </w:rPr>
        <w:t>nomen iuris</w:t>
      </w:r>
      <w:r>
        <w:t xml:space="preserve"> de la coordinación, vienen a instaurar un control gubernativo de oportunidad del grado de ejercicio de la competencia provincial de asistencia y cooperación a los municipios, con la auténtica finalidad de disponer de recursos económicos de las diputaciones para el cumplimiento de una responsabilidad propia de la comunidad autónoma, vulnerando la autonomía provincial tanto en el plano sustantivo como financiero.</w:t>
      </w:r>
    </w:p>
    <w:p w14:paraId="59A2C1AA" w14:textId="77777777" w:rsidR="008D479B" w:rsidRDefault="008D479B" w:rsidP="008D479B">
      <w:pPr>
        <w:pStyle w:val="TextoNormal"/>
      </w:pPr>
    </w:p>
    <w:p w14:paraId="35291B65" w14:textId="77777777" w:rsidR="008D479B" w:rsidRDefault="008D479B" w:rsidP="008D479B">
      <w:pPr>
        <w:pStyle w:val="TextoNormal"/>
      </w:pPr>
      <w:r>
        <w:t>Y en este sentido emito mi voto particular.</w:t>
      </w:r>
    </w:p>
    <w:p w14:paraId="566797E6" w14:textId="77777777" w:rsidR="008D479B" w:rsidRDefault="008D479B" w:rsidP="008D479B">
      <w:pPr>
        <w:pStyle w:val="TextoNormal"/>
      </w:pPr>
    </w:p>
    <w:p w14:paraId="42FE90C5" w14:textId="7B1D5C21" w:rsidR="008D479B" w:rsidRDefault="008D479B" w:rsidP="008D479B">
      <w:pPr>
        <w:pStyle w:val="TextoNormal"/>
      </w:pPr>
      <w:r>
        <w:t>Madrid, a veintisiete de septiembre de dos mil veintitrés.</w:t>
      </w:r>
    </w:p>
    <w:p w14:paraId="14227F46" w14:textId="77777777" w:rsidR="008D479B" w:rsidRDefault="008D479B" w:rsidP="008D479B">
      <w:pPr>
        <w:pStyle w:val="TextoNormal"/>
      </w:pPr>
    </w:p>
    <w:p w14:paraId="519ABE27" w14:textId="77777777" w:rsidR="008D479B" w:rsidRDefault="008D479B" w:rsidP="008D479B">
      <w:pPr>
        <w:pStyle w:val="TextoNormalNegritaCentrado"/>
        <w:keepNext/>
      </w:pPr>
      <w:r>
        <w:t>Voto particular que formula el magistrado don Enrique Arnaldo Alcubilla, al que se adhieren la magistrada doña Concepción Espejel Jorquera y el magistrado don César Tolosa Tribiño, a la sentencia del Pleno que resuelve el recurso de inconstitucionalidad núm. 614-2022</w:t>
      </w:r>
    </w:p>
    <w:p w14:paraId="6D9745CD" w14:textId="2AAD336E" w:rsidR="008D479B" w:rsidRDefault="008D479B" w:rsidP="008D479B">
      <w:pPr>
        <w:pStyle w:val="TextoNormalNegritaCentrado"/>
        <w:keepNext/>
      </w:pPr>
    </w:p>
    <w:p w14:paraId="6B3B2E54" w14:textId="77777777" w:rsidR="008D479B" w:rsidRDefault="008D479B" w:rsidP="008D479B">
      <w:pPr>
        <w:pStyle w:val="TextoNormal"/>
      </w:pPr>
      <w:r>
        <w:t>Con respeto a la opinión de los magistrados y las magistradas que han conformado la mayoría del Pleno y en uso de la facultad que me confiere el art. 90.2 LOTC, manifiesto mi discrepancia con la fundamentación y el fallo de la sentencia que resuelve el presente recurso de inconstitucionalidad. Por las razones defendidas en su momento durante la deliberación y que expongo a continuación, considero que el recurso debió haber sido estimado en relación con los incisos impugnados de los arts. 2.2, 5 y 8 de la Ley 5/2021, de 5 de noviembre, de la Generalitat, reguladora del fondo de cooperación municipal de los municipios y entidades locales menores de la Comunitat Valenciana declarando que tales incisos, que hacían específica referencia a la inclusión de las diputaciones provinciales en dicho fondo, eran inconstitucionales y nulos.</w:t>
      </w:r>
    </w:p>
    <w:p w14:paraId="71FFF937" w14:textId="77777777" w:rsidR="008D479B" w:rsidRDefault="008D479B" w:rsidP="008D479B">
      <w:pPr>
        <w:pStyle w:val="TextoNormal"/>
      </w:pPr>
    </w:p>
    <w:p w14:paraId="0C73092F" w14:textId="77777777" w:rsidR="008D479B" w:rsidRDefault="008D479B" w:rsidP="008D479B">
      <w:pPr>
        <w:pStyle w:val="TextoNormal"/>
      </w:pPr>
      <w:r>
        <w:t>La sentencia de la que discrepo, sin embargo, salva la constitucionalidad de tales preceptos con dos tipos de argumentos que, tal como expongo seguidamente, no son convincentes, ya que ni se trata de un caso similar a otros ya resueltos por este tribunal, ni las concretas razones que aporta la sentencia son útiles para salvar la flagrante inconstitucionalidad de los preceptos impugnados de la Ley 5/2021.</w:t>
      </w:r>
    </w:p>
    <w:p w14:paraId="4A8A491E" w14:textId="77777777" w:rsidR="008D479B" w:rsidRDefault="008D479B" w:rsidP="008D479B">
      <w:pPr>
        <w:pStyle w:val="TextoNormal"/>
      </w:pPr>
    </w:p>
    <w:p w14:paraId="441DFC06" w14:textId="77777777" w:rsidR="008D479B" w:rsidRDefault="008D479B" w:rsidP="008D479B">
      <w:pPr>
        <w:pStyle w:val="TextoNormal"/>
      </w:pPr>
      <w:r>
        <w:t>a) No se trata de un supuesto ya enjuiciado por la doctrina constitucional</w:t>
      </w:r>
    </w:p>
    <w:p w14:paraId="1E8771F2" w14:textId="77777777" w:rsidR="008D479B" w:rsidRDefault="008D479B" w:rsidP="008D479B">
      <w:pPr>
        <w:pStyle w:val="TextoNormal"/>
      </w:pPr>
    </w:p>
    <w:p w14:paraId="7743ACB4" w14:textId="77777777" w:rsidR="008D479B" w:rsidRDefault="008D479B" w:rsidP="008D479B">
      <w:pPr>
        <w:pStyle w:val="TextoNormal"/>
      </w:pPr>
      <w:r>
        <w:t>La sentencia busca apoyar su decisión en doctrina constitucional anterior (en concreto, las SSTC 27/1987, de 27 de febrero; 109/1998, de 21 de mayo, y 82/2020, de 15 de julio), apoyo que, a mi juicio, no es tal, por cuanto esta es la primera vez que el Tribunal aborda el examen de un denominado mecanismo de coordinación de las características del impugnado, lo que, a su vez, determina que las sentencias en las que pretende apoyarse no proporcionen fundamento a su decisión. Y para comprobarlo basta una somera referencia tanto al contenido de los preceptos de la Ley 5/2021 que se impugnan como al de las sentencias constitucionales antes citadas.</w:t>
      </w:r>
    </w:p>
    <w:p w14:paraId="5358D596" w14:textId="77777777" w:rsidR="008D479B" w:rsidRDefault="008D479B" w:rsidP="008D479B">
      <w:pPr>
        <w:pStyle w:val="TextoNormal"/>
      </w:pPr>
    </w:p>
    <w:p w14:paraId="1FEDF8B7" w14:textId="77777777" w:rsidR="008D479B" w:rsidRDefault="008D479B" w:rsidP="008D479B">
      <w:pPr>
        <w:pStyle w:val="TextoNormal"/>
      </w:pPr>
      <w:r>
        <w:t>En particular, el efecto que producen especialmente los arts. 5 y 8 de la Ley 12/2021 es que la función de cooperación y asistencia a los municipios, propia de la diputación provincial, queda sometida a una coordinación en los términos siguientes. Para garantizar la financiación de los municipios se aprobará por la Generalitat el plan sectorial de financiación básica del fondo de cooperación municipal. Se trata de un fondo que tiene naturaleza incondicionada y no finalista. Esto es, los municipios y las entidades locales menores podrán destinar los recursos que reciban al desarrollo general de sus competencias, sin vinculación a un objetivo o finalidad concreto (art. 3). Ese fondo se distribuye conforme a las reglas del art. 7 (una cantidad fija por cada uno de los municipios y las entidades locales menores y el resto en función de la población) y se nutre tanto de aportaciones de la Generalitat valenciana como de las obligatorias de las diputaciones provinciales en los términos del art. 8. El nivel y la cuantía de la aportación de cada diputación se articula a través de la comisión de colaboración y coordinación del fondo de cooperación municipal de la Comunitat Valenciana, prevista en los arts. 10 y 11, a la que corresponden funciones de estudio y propuesta para la determinación de las cuantías a consignar presupuestariamente durante cada ejercicio por cada una de las administraciones participantes en el fondo de cooperación municipal de la Comunitat Valenciana [art. 12 a)]. La decisión última es de la Generalitat cuando aprueba el plan anual, aprobación que se hace, según el art. 5.1, con la participación de la citada comisión.</w:t>
      </w:r>
    </w:p>
    <w:p w14:paraId="3C142CB6" w14:textId="77777777" w:rsidR="008D479B" w:rsidRDefault="008D479B" w:rsidP="008D479B">
      <w:pPr>
        <w:pStyle w:val="TextoNormal"/>
      </w:pPr>
    </w:p>
    <w:p w14:paraId="6804A1ED" w14:textId="77777777" w:rsidR="008D479B" w:rsidRDefault="008D479B" w:rsidP="008D479B">
      <w:pPr>
        <w:pStyle w:val="TextoNormal"/>
      </w:pPr>
      <w:r>
        <w:t>Es por tanto, a mi juicio, patente que el esquema diseñado por el legislador valenciano en el que, como se ha visto, impone la participación forzosa de las diputaciones provinciales en la dotación económica del fondo de cooperación municipal creado por la Generalitat, a concretar anualmente a través del plan sectorial correspondiente no tiene nada que ver con las cuestiones enjuiciadas en las sentencias precedentes de este tribunal en las que la presente sentencia pretende apoyarse.</w:t>
      </w:r>
    </w:p>
    <w:p w14:paraId="63D2C406" w14:textId="77777777" w:rsidR="008D479B" w:rsidRDefault="008D479B" w:rsidP="008D479B">
      <w:pPr>
        <w:pStyle w:val="TextoNormal"/>
      </w:pPr>
    </w:p>
    <w:p w14:paraId="7DFDAB2B" w14:textId="77777777" w:rsidR="008D479B" w:rsidRDefault="008D479B" w:rsidP="008D479B">
      <w:pPr>
        <w:pStyle w:val="TextoNormal"/>
      </w:pPr>
      <w:r>
        <w:t>En la STC 27/1987 se impugnaban varios preceptos de la Ley valenciana 2/1983, en la que se declaraban de interés general autonómico competencias propias de las provincias y se preveía que la Generalitat asumiese facultades de coordinación sobre ellas en caso de que la actuación de la diputación provincial tuviera efectos que excedieran el ámbito territorial provincial y afectaban a los intereses autonómicos. Coordinación que se ejercía mediante la fijación de directrices, a partir de las previsiones proporcionadas por las diputaciones, directrices vinculantes para las provincias que debían contener los criterios generales, objetivos y prioridades a alcanzar. Entonces se consideró que se trataba ante una facultad de coordinación compatible con la Constitución y la Ley de bases del régimen local, en cuanto no entrañaba sustracción de competencias propias de la diputación provincial.</w:t>
      </w:r>
    </w:p>
    <w:p w14:paraId="1DDF8FA5" w14:textId="77777777" w:rsidR="008D479B" w:rsidRDefault="008D479B" w:rsidP="008D479B">
      <w:pPr>
        <w:pStyle w:val="TextoNormal"/>
      </w:pPr>
    </w:p>
    <w:p w14:paraId="619AB346" w14:textId="77777777" w:rsidR="008D479B" w:rsidRDefault="008D479B" w:rsidP="008D479B">
      <w:pPr>
        <w:pStyle w:val="TextoNormal"/>
      </w:pPr>
      <w:r>
        <w:t>Por su parte, la STC 109/1998 examinó la atribución al gobierno catalán de facultades de coordinación a través del llamado “Plan Único de Obras y Servicios de Cataluña”. El Tribunal concluyó en esta sentencia que dicho plan único, con respaldo estatutario, era un sustituto de los planes provinciales y tenía una plasmación sectorial, pues se refería a las distintas obras y servicios a realizar en el territorio de las distintas provincias, y tampoco se anulaban las competencias de las diputaciones provinciales en punto a su función de cooperación económica local con los municipios.</w:t>
      </w:r>
    </w:p>
    <w:p w14:paraId="51E22EAA" w14:textId="77777777" w:rsidR="008D479B" w:rsidRDefault="008D479B" w:rsidP="008D479B">
      <w:pPr>
        <w:pStyle w:val="TextoNormal"/>
      </w:pPr>
    </w:p>
    <w:p w14:paraId="15E3734B" w14:textId="77777777" w:rsidR="008D479B" w:rsidRDefault="008D479B" w:rsidP="008D479B">
      <w:pPr>
        <w:pStyle w:val="TextoNormal"/>
      </w:pPr>
      <w:r>
        <w:t>Por último, en la STC 82/2020 se impugnaban varios preceptos de la Ley 3/2019, de 18 de febrero, de servicios sociales inclusivos de la Comunitat Valenciana. Dicha ley declaraba los servicios sociales como “servicios públicos esenciales y de interés general, construyendo el sistema público valenciano de servicios sociales”, y aspiraba a superar las disfuncionalidades derivadas de la dispar prestación de servicios en distintas partes del territorio autonómico, para lo cual reservaba la prestación y gestión de determinados servicios a la comunidad autónoma y establecía que las provincias prestarían asistencia técnica y económica a los municipios “en el marco de la planificación de la Generalitat”. Se trataba, como se ve, de un mecanismo de coordinación sectorial en una materia de indiscutible competencia autonómica como eran los servicios sociales.</w:t>
      </w:r>
    </w:p>
    <w:p w14:paraId="6927E3AE" w14:textId="77777777" w:rsidR="008D479B" w:rsidRDefault="008D479B" w:rsidP="008D479B">
      <w:pPr>
        <w:pStyle w:val="TextoNormal"/>
      </w:pPr>
    </w:p>
    <w:p w14:paraId="2037ADAA" w14:textId="77777777" w:rsidR="008D479B" w:rsidRDefault="008D479B" w:rsidP="008D479B">
      <w:pPr>
        <w:pStyle w:val="TextoNormal"/>
      </w:pPr>
      <w:r>
        <w:t>b) El adecuado enfoque de la cuestión y el canon constitucional aplicable</w:t>
      </w:r>
    </w:p>
    <w:p w14:paraId="1C7C58B0" w14:textId="77777777" w:rsidR="008D479B" w:rsidRDefault="008D479B" w:rsidP="008D479B">
      <w:pPr>
        <w:pStyle w:val="TextoNormal"/>
      </w:pPr>
    </w:p>
    <w:p w14:paraId="4E08AA56" w14:textId="77777777" w:rsidR="008D479B" w:rsidRDefault="008D479B" w:rsidP="008D479B">
      <w:pPr>
        <w:pStyle w:val="TextoNormal"/>
      </w:pPr>
      <w:r>
        <w:t>Siendo el expuesto el modelo de la Ley 5/2021, creo que su correcto enjuiciamiento hubiera debido basarse en la confrontación de ese modelo con las exigencias de la doctrina constitucional sobre la autonomía local, específicamente en relación con el ejercicio autonómico de potestades de coordinación.</w:t>
      </w:r>
    </w:p>
    <w:p w14:paraId="446E29D2" w14:textId="77777777" w:rsidR="008D479B" w:rsidRDefault="008D479B" w:rsidP="008D479B">
      <w:pPr>
        <w:pStyle w:val="TextoNormal"/>
      </w:pPr>
    </w:p>
    <w:p w14:paraId="4C038D90" w14:textId="77777777" w:rsidR="008D479B" w:rsidRDefault="008D479B" w:rsidP="008D479B">
      <w:pPr>
        <w:pStyle w:val="TextoNormal"/>
      </w:pPr>
      <w:r>
        <w:t>De dicha doctrina son ahora relevantes dos elementos.</w:t>
      </w:r>
    </w:p>
    <w:p w14:paraId="14526EC4" w14:textId="77777777" w:rsidR="008D479B" w:rsidRDefault="008D479B" w:rsidP="008D479B">
      <w:pPr>
        <w:pStyle w:val="TextoNormal"/>
      </w:pPr>
    </w:p>
    <w:p w14:paraId="078F5251" w14:textId="77777777" w:rsidR="008D479B" w:rsidRDefault="008D479B" w:rsidP="008D479B">
      <w:pPr>
        <w:pStyle w:val="TextoNormal"/>
      </w:pPr>
      <w:r>
        <w:t>En primer lugar, el reconocimiento de que el legislador autonómico puede incidir en la autonomía provincial, ya que la autonomía provincial no ha de concebirse como una esfera total y absolutamente resistente a cualquier incidencia o afectación proveniente de otros niveles de gobierno. El problema es que ha de hacerlo respondiendo a un interés que lo justifique y de modo que no se desfigure esa autonomía provincial (art. 137 CE). Eso se traduce en que la previsión de una facultad autonómica de coordinación sobre las diputaciones, fundamentada, como se afirma en la norma impugnada, en la necesidad de garantizar la suficiencia financiera de las entidades locales de la Comunitat Valenciana, además de estar específicamente atribuida y suficientemente predeterminada en la ley, debe responder a la protección de intereses generales o comunitarios.</w:t>
      </w:r>
    </w:p>
    <w:p w14:paraId="11B3FC74" w14:textId="77777777" w:rsidR="008D479B" w:rsidRDefault="008D479B" w:rsidP="008D479B">
      <w:pPr>
        <w:pStyle w:val="TextoNormal"/>
      </w:pPr>
    </w:p>
    <w:p w14:paraId="0DEC3D04" w14:textId="77777777" w:rsidR="008D479B" w:rsidRDefault="008D479B" w:rsidP="008D479B">
      <w:pPr>
        <w:pStyle w:val="TextoNormal"/>
      </w:pPr>
      <w:r>
        <w:t>Se trata de una doble exigencia constitucional de predeterminación y proporcionalidad a la que se alude reiteradamente, por ejemplo, en la propia STC 82/2020. En suma, tal previsión de coordinación deberá responder a la protección de intereses generales o comunitarios, de modo que el legislador gradúe el alcance o intensidad de la propia coordinación en función de la relación existente entre los intereses locales y supralocales o comunitarios existente en tales asuntos o materias.</w:t>
      </w:r>
    </w:p>
    <w:p w14:paraId="452DA1F9" w14:textId="77777777" w:rsidR="008D479B" w:rsidRDefault="008D479B" w:rsidP="008D479B">
      <w:pPr>
        <w:pStyle w:val="TextoNormal"/>
      </w:pPr>
    </w:p>
    <w:p w14:paraId="43F30539" w14:textId="77777777" w:rsidR="008D479B" w:rsidRDefault="008D479B" w:rsidP="008D479B">
      <w:pPr>
        <w:pStyle w:val="TextoNormal"/>
      </w:pPr>
      <w:r>
        <w:t>Y también se ha destacado en la doctrina constitucional la proscripción de cualquier regla legal que expresa exclusividad o imposición de modo tal que impida una verdadera capacidad decisora propia de la diputación provincial acerca de la cooperación económica a la realización de las obras y servicios municipales, de suerte que se produzca un menoscabo sustancial de esta actuación cooperadora propia de la diputación provincial y respecto a la que ha de respetarse el marco de libre decisión que le corresponde [STC 105/2019, de 19 de septiembre, FJ 7 c)]. Se trata de conservar en este ámbito competencial una verdadera capacidad decisora propia de la diputación provincial acerca de la cooperación económica a la realización de las obras y servicios municipales, en la medida en que se trata de la función esencial de esta institución.</w:t>
      </w:r>
    </w:p>
    <w:p w14:paraId="1B596EE6" w14:textId="77777777" w:rsidR="008D479B" w:rsidRDefault="008D479B" w:rsidP="008D479B">
      <w:pPr>
        <w:pStyle w:val="TextoNormal"/>
      </w:pPr>
    </w:p>
    <w:p w14:paraId="05E85B12" w14:textId="77777777" w:rsidR="008D479B" w:rsidRDefault="008D479B" w:rsidP="008D479B">
      <w:pPr>
        <w:pStyle w:val="TextoNormal"/>
      </w:pPr>
      <w:r>
        <w:t>La necesidad de respetar un ámbito propio de decisión se encuentra también, en realidad, incluido en el propio concepto constitucional de coordinación, el cual presupone que hay algo que debe ser coordinado (así y de modo constante en la doctrina constitucional desde la STC 32/1983, de 28 de abril). La coordinación no supone, como parece admitir la sentencia, una sustracción o menoscabo de las competencias de las entidades sometidas a la misma: antes bien, presupone lógicamente la titularidad de las competencias en favor de la entidad coordinada. Esto es, en el caso, la propia función provincial de cooperación y asistencia técnica a los municipios que la comunidad autónoma, al coordinarla, debe obviamente respetar, pues la coordinación no puede ser entendida de modo que deje vacía de contenido la mencionada función.</w:t>
      </w:r>
    </w:p>
    <w:p w14:paraId="4E02F9A1" w14:textId="77777777" w:rsidR="008D479B" w:rsidRDefault="008D479B" w:rsidP="008D479B">
      <w:pPr>
        <w:pStyle w:val="TextoNormal"/>
      </w:pPr>
    </w:p>
    <w:p w14:paraId="353AC0BB" w14:textId="77777777" w:rsidR="008D479B" w:rsidRDefault="008D479B" w:rsidP="008D479B">
      <w:pPr>
        <w:pStyle w:val="TextoNormal"/>
      </w:pPr>
      <w:r>
        <w:t>c) La incidencia sobre la autonomía provincial que deriva de la Ley 5/2021 no tiene justificación</w:t>
      </w:r>
    </w:p>
    <w:p w14:paraId="74070BB8" w14:textId="77777777" w:rsidR="008D479B" w:rsidRDefault="008D479B" w:rsidP="008D479B">
      <w:pPr>
        <w:pStyle w:val="TextoNormal"/>
      </w:pPr>
    </w:p>
    <w:p w14:paraId="675FEED7" w14:textId="77777777" w:rsidR="008D479B" w:rsidRDefault="008D479B" w:rsidP="008D479B">
      <w:pPr>
        <w:pStyle w:val="TextoNormal"/>
      </w:pPr>
      <w:r>
        <w:t>La sentencia viene a defender que la norma impugnada es constitucional básicamente por tres razones: (a) existe un interés autonómico en la contribución de las diputaciones provinciales a la financiación local. Ese interés ha de concretarse con respeto a determinados límites (i) respetar el derecho de participación de las diputaciones en los asuntos que conciernen a la comunidad provincial; (ii) destinar las aportaciones recabadas de las diputaciones a su respectivo ámbito territorial; y (iii) no agotar, anular o hacer desaparecer la competencia provincial nuclear de cooperación económica; (b) existe un grado de participación suficiente de las diputaciones provinciales en la elaboración de los planes sectoriales en los que se concreta esa potestad de coordinación autonómica; y (c) la vulneración de la autonomía provincial, de existir, sería imputable a cada concreto plan anual, de tal modo que será la concreta aportación económica al fondo que se acuerde anualmente para cada diputación, lo que, dado el caso, habrá que examinar para ver si es reflejo, o no, de una ponderación adecuada de los intereses en presencia.</w:t>
      </w:r>
    </w:p>
    <w:p w14:paraId="3F25E6A6" w14:textId="77777777" w:rsidR="008D479B" w:rsidRDefault="008D479B" w:rsidP="008D479B">
      <w:pPr>
        <w:pStyle w:val="TextoNormal"/>
      </w:pPr>
    </w:p>
    <w:p w14:paraId="45BF9FCF" w14:textId="77777777" w:rsidR="008D479B" w:rsidRDefault="008D479B" w:rsidP="008D479B">
      <w:pPr>
        <w:pStyle w:val="TextoNormal"/>
      </w:pPr>
      <w:r>
        <w:t>Ninguna de las tres razones me resulta convincente. La posibilidad de coordinar las funciones de las diputaciones provinciales no es discutible desde la ya mencionada STC 27/1987. El problema es que al amparo de esa invocación de la potestad autonómica de coordinación se anule la capacidad decisoria del ente local, que es lo que es contrario a la doctrina constitucional según la cual, además de asegurar la participación del ente local, se atienda a que la coordinación no implica imposición sino la preservación de aquello que tiene que ser coordinado y del margen de decisión propio del ente coordinado. La sentencia no toma en consideración que la facultad de coordinación se orienta a flexibilizar y prevenir disfunciones derivadas del propio sistema de distribución de competencias, aunque sin alterar, en ninguno de los casos la titularidad y el ejercicio de las competencias propias de los entes en relación.</w:t>
      </w:r>
    </w:p>
    <w:p w14:paraId="58963AD3" w14:textId="77777777" w:rsidR="008D479B" w:rsidRDefault="008D479B" w:rsidP="008D479B">
      <w:pPr>
        <w:pStyle w:val="TextoNormal"/>
      </w:pPr>
    </w:p>
    <w:p w14:paraId="60AF7F74" w14:textId="77777777" w:rsidR="008D479B" w:rsidRDefault="008D479B" w:rsidP="008D479B">
      <w:pPr>
        <w:pStyle w:val="TextoNormal"/>
      </w:pPr>
      <w:r>
        <w:t>(i) La primera razón de la sentencia no es sino la acrítica aceptación de la justificación que ofrece la exposición de motivos de la norma. El problema es que la justificación de la norma que hace el legislador autonómico no acierta a explicar por qué la consecución de una finalidad de su competencia, la garantía de la suficiencia financiera de los municipios valencianos, requiere la aplicación coactiva de fondos ajenos, como los de las diputaciones provinciales. Lo que hace la ley autonómica no es coordinar, entendido en el sentido de fijación de criterios de obligado cumplimiento en la función provincial de cooperación y asistencia técnica a los municipios, sino, directamente, establecer un mecanismo que le permite disponer de fondos ajenos para destinarlos a una finalidad de responsabilidad autonómica. Y, en todo caso ese mecanismo debería responder a dos criterios, predeterminación legal y participación local suficiente. Como se verá, no se cumple ninguno de los dos.</w:t>
      </w:r>
    </w:p>
    <w:p w14:paraId="2E638A83" w14:textId="77777777" w:rsidR="008D479B" w:rsidRDefault="008D479B" w:rsidP="008D479B">
      <w:pPr>
        <w:pStyle w:val="TextoNormal"/>
      </w:pPr>
    </w:p>
    <w:p w14:paraId="3B052423" w14:textId="77777777" w:rsidR="008D479B" w:rsidRDefault="008D479B" w:rsidP="008D479B">
      <w:pPr>
        <w:pStyle w:val="TextoNormal"/>
      </w:pPr>
      <w:r>
        <w:t>En cuanto a la predeterminación, el propio razonamiento de la sentencia, centrado en la fijación de unos imprecisos límites al formular el canon y en sugerir unos límites cuantitativos en los planes concretos, pone de manifiesto que el grado de predeterminación legal no puede ser considerado suficiente; en consecuencia, el primer elemento del canon no se cumple, desde un doble punto de vista.</w:t>
      </w:r>
    </w:p>
    <w:p w14:paraId="1CFC4B1E" w14:textId="77777777" w:rsidR="008D479B" w:rsidRDefault="008D479B" w:rsidP="008D479B">
      <w:pPr>
        <w:pStyle w:val="TextoNormal"/>
      </w:pPr>
    </w:p>
    <w:p w14:paraId="74CF52D4" w14:textId="77777777" w:rsidR="008D479B" w:rsidRDefault="008D479B" w:rsidP="008D479B">
      <w:pPr>
        <w:pStyle w:val="TextoNormal"/>
      </w:pPr>
      <w:r>
        <w:t>El primero es que el legislador no explica por qué la opción de captar los fondos provinciales es más conveniente, desde la perspectiva de la garantía de la suficiencia financiera de los municipios valencianos, que la intervención directa autonómica para cumplir con una finalidad que es responsabilidad suya. Y no sirve como justificación la referencia a los distintos niveles de financiación en función de la provincia de que se trate, pues esa diferencia podría darse siempre en función de las decisiones de cada diputación provincial acerca del destino de sus propios recursos y las supuestas disfunciones del modelo de aportación voluntaria anteriormente vigente, que son consecuencia, precisamente, del concreto diseño de ese modelo, pero que nada dicen de la adecuación constitucional del que le sustituye y que es ahora enjuiciado.</w:t>
      </w:r>
    </w:p>
    <w:p w14:paraId="12921869" w14:textId="77777777" w:rsidR="008D479B" w:rsidRDefault="008D479B" w:rsidP="008D479B">
      <w:pPr>
        <w:pStyle w:val="TextoNormal"/>
      </w:pPr>
    </w:p>
    <w:p w14:paraId="22323256" w14:textId="77777777" w:rsidR="008D479B" w:rsidRDefault="008D479B" w:rsidP="008D479B">
      <w:pPr>
        <w:pStyle w:val="TextoNormal"/>
      </w:pPr>
      <w:r>
        <w:t>El segundo es que el legislador autonómico ha puesto pocos límites a esa decisión del gobierno autonómico, desde el punto de vista de los recursos provinciales que pueden verse afectados, ya que el art. 8 no pone límite cuantitativo alguno, ni tampoco lo hay cualitativo puesto que, según el art. 3, el fondo y sus dotaciones tienen naturaleza incondicionada. Frente a eso la sentencia únicamente argumenta que se garantiza la participación de las diputaciones, que sus recursos se destinan a cada provincia y que no se restringe desproporcionadamente la competencia provincial de cooperación económica propia de la diputación, lo que no es otra cosa que la remisión a la decisión anual de aprobación del plan, esto es, a la aplicación de la ley, solución inaceptable en un control abstracto de constitucionalidad del texto legal, cuestión sobre la que luego volveré.</w:t>
      </w:r>
    </w:p>
    <w:p w14:paraId="78D40471" w14:textId="77777777" w:rsidR="008D479B" w:rsidRDefault="008D479B" w:rsidP="008D479B">
      <w:pPr>
        <w:pStyle w:val="TextoNormal"/>
      </w:pPr>
    </w:p>
    <w:p w14:paraId="486D0427" w14:textId="77777777" w:rsidR="008D479B" w:rsidRDefault="008D479B" w:rsidP="008D479B">
      <w:pPr>
        <w:pStyle w:val="TextoNormal"/>
      </w:pPr>
      <w:r>
        <w:t>Dejando aparte el argumento de que los recursos del fondo procedentes de las aportaciones provinciales se destinan a cada provincia, pues eso también ocurría si no existiera el fondo, procedía examinar si, en el diseño de la Ley 5/2021, la participación era suficiente, no si en su aplicación concreta pudiera vulnerar la autonomía provincial.</w:t>
      </w:r>
    </w:p>
    <w:p w14:paraId="0FDAE95B" w14:textId="77777777" w:rsidR="008D479B" w:rsidRDefault="008D479B" w:rsidP="008D479B">
      <w:pPr>
        <w:pStyle w:val="TextoNormal"/>
      </w:pPr>
    </w:p>
    <w:p w14:paraId="09972155" w14:textId="77777777" w:rsidR="008D479B" w:rsidRDefault="008D479B" w:rsidP="008D479B">
      <w:pPr>
        <w:pStyle w:val="TextoNormal"/>
      </w:pPr>
      <w:r>
        <w:t>(ii) En cuanto a la participación, no creo que pueda considerarse que el grado de participación provincial en la decisión sea suficiente atendiendo a la naturaleza de la función provincial que se pretende coordinar y al grado de participación reconocido.</w:t>
      </w:r>
    </w:p>
    <w:p w14:paraId="7476C84C" w14:textId="77777777" w:rsidR="008D479B" w:rsidRDefault="008D479B" w:rsidP="008D479B">
      <w:pPr>
        <w:pStyle w:val="TextoNormal"/>
      </w:pPr>
    </w:p>
    <w:p w14:paraId="09497104" w14:textId="77777777" w:rsidR="008D479B" w:rsidRDefault="008D479B" w:rsidP="008D479B">
      <w:pPr>
        <w:pStyle w:val="TextoNormal"/>
      </w:pPr>
      <w:r>
        <w:t>Ya se ha mencionado que las funciones de apoyo y asistencia a los municipios son propias de las diputaciones provinciales hasta el punto de que puede ser considerado el ámbito más relevante de su actividad. Es una de las competencias propias de la diputación provincial definida como la “asistencia y cooperación jurídica, económica y técnica a los municipios, especialmente los de menor capacidad económica y de gestión” [art. 36.1 b) LBRL]. El art. 26, apartado tercero, LBRL, dispone en el mismo sentido que “la asistencia de las diputaciones o entidades equivalentes a los municipios, prevista en el artículo 36, se dirigirá preferentemente al establecimiento y adecuada prestación de los servicios mínimos”. Competencia que contribuye a facilitar el desarrollo efectivo de la autonomía provincial y con la que el legislador expresa el evidente y fuerte interés provincial en dicha tarea de cooperación y asistencia técnica.</w:t>
      </w:r>
    </w:p>
    <w:p w14:paraId="37DD19BC" w14:textId="77777777" w:rsidR="008D479B" w:rsidRDefault="008D479B" w:rsidP="008D479B">
      <w:pPr>
        <w:pStyle w:val="TextoNormal"/>
      </w:pPr>
    </w:p>
    <w:p w14:paraId="47217BA2" w14:textId="77777777" w:rsidR="008D479B" w:rsidRDefault="008D479B" w:rsidP="008D479B">
      <w:pPr>
        <w:pStyle w:val="TextoNormal"/>
      </w:pPr>
      <w:r>
        <w:t>Se trata, por tanto, de una labor en la que el interés provincial es máximo, ya que se trata de sus propios recursos y del cumplimiento de la finalidad esencial de la institución. Sin embargo, pese a tratarse de recursos provinciales, el grado de participación en la decisión que reconoce el legislador autonómico en la norma impugnada es claramente insuficiente, puesto que se trata de una participación minoritaria en un órgano no decisorio.</w:t>
      </w:r>
    </w:p>
    <w:p w14:paraId="51AA5D65" w14:textId="77777777" w:rsidR="008D479B" w:rsidRDefault="008D479B" w:rsidP="008D479B">
      <w:pPr>
        <w:pStyle w:val="TextoNormal"/>
      </w:pPr>
    </w:p>
    <w:p w14:paraId="42D6D9DB" w14:textId="77777777" w:rsidR="008D479B" w:rsidRDefault="008D479B" w:rsidP="008D479B">
      <w:pPr>
        <w:pStyle w:val="TextoNormal"/>
      </w:pPr>
      <w:r>
        <w:t>Que la participación es minoritaria es indiscutible. La remisión al plan sectorial encargado de concretar en cada ejercicio el montante económico de la aportación de cada diputación, aprobado por el Consell de la Generalitat, con la participación de la comisión de colaboración y coordinación prevista en la propia ley, no se puede considerar una graduación adecuada del alcance o intensidad de la intervención de las diputaciones provinciales. Estas únicamente disponen, conforme al art. 11, de seis representantes en esa comisión sobre un total de dieciocho, de los cuales siete son de extracción autonómica (incluida la Presidencia y las vicepresidencias primera y segunda), uno del ámbito de la Federación Valenciana de Municipios y Provincias (su presidente o persona que designe en su sustitución) y cuatro titulares de alcaldías designados por los órganos competentes de dicha federación. De esta forma, ni siquiera todas las diputaciones provinciales, de manera conjunta, se encontrarían en condiciones de hacer valer su criterio ni en lo relativo a la formulación del plan ni en lo que respecta a su seguimiento y control.</w:t>
      </w:r>
    </w:p>
    <w:p w14:paraId="4017B074" w14:textId="77777777" w:rsidR="008D479B" w:rsidRDefault="008D479B" w:rsidP="008D479B">
      <w:pPr>
        <w:pStyle w:val="TextoNormal"/>
      </w:pPr>
    </w:p>
    <w:p w14:paraId="4705D327" w14:textId="77777777" w:rsidR="008D479B" w:rsidRDefault="008D479B" w:rsidP="008D479B">
      <w:pPr>
        <w:pStyle w:val="TextoNormal"/>
      </w:pPr>
      <w:r>
        <w:t>También es incuestionable que se trata de un órgano no decisorio. La comisión tiene funciones de propuesta y estudio [art. 12 a)] ya que la aprobación del plan sectorial compete en exclusiva al gobierno autonómico y ese plan es el que fijará lo que ha de proveer cada año cada diputación. Y el gobierno no está obligado a seguir los criterios del órgano de participación que la ley crea.</w:t>
      </w:r>
    </w:p>
    <w:p w14:paraId="3480B4B1" w14:textId="77777777" w:rsidR="008D479B" w:rsidRDefault="008D479B" w:rsidP="008D479B">
      <w:pPr>
        <w:pStyle w:val="TextoNormal"/>
      </w:pPr>
    </w:p>
    <w:p w14:paraId="60865DA4" w14:textId="77777777" w:rsidR="008D479B" w:rsidRDefault="008D479B" w:rsidP="008D479B">
      <w:pPr>
        <w:pStyle w:val="TextoNormal"/>
      </w:pPr>
      <w:r>
        <w:t>De ello resulta que la decisión final en cuanto a la dotación del fondo por parte de las diputaciones provinciales corresponde al gobierno autonómico, decisión en la que este goza de un margen de discrecionalidad prácticamente absoluto a la vista de la falta de límites a su decisión que deriva de la propia Ley 5/2021.</w:t>
      </w:r>
    </w:p>
    <w:p w14:paraId="6519D7E5" w14:textId="77777777" w:rsidR="008D479B" w:rsidRDefault="008D479B" w:rsidP="008D479B">
      <w:pPr>
        <w:pStyle w:val="TextoNormal"/>
      </w:pPr>
    </w:p>
    <w:p w14:paraId="239CFDE6" w14:textId="77777777" w:rsidR="008D479B" w:rsidRDefault="008D479B" w:rsidP="008D479B">
      <w:pPr>
        <w:pStyle w:val="TextoNormal"/>
      </w:pPr>
      <w:r>
        <w:t>(iii) De cuanto se lleva expuesto ya es posible inferir que tampoco resulta admisible la tercera razón, la que aprecia que la vulneración, de existir, estará en las concretas determinaciones de cada plan anual.</w:t>
      </w:r>
    </w:p>
    <w:p w14:paraId="21190978" w14:textId="77777777" w:rsidR="008D479B" w:rsidRDefault="008D479B" w:rsidP="008D479B">
      <w:pPr>
        <w:pStyle w:val="TextoNormal"/>
      </w:pPr>
    </w:p>
    <w:p w14:paraId="5F0EC866" w14:textId="77777777" w:rsidR="008D479B" w:rsidRDefault="008D479B" w:rsidP="008D479B">
      <w:pPr>
        <w:pStyle w:val="TextoNormal"/>
      </w:pPr>
      <w:r>
        <w:t>Ese planteamiento, que la sentencia enfatiza, supone eludir el pronunciamiento que el proceso reclama. El problema no es la concreción de la regulación legal en un caso o año determinado, sino que el modelo que el legislador autonómico ha diseñado para concretar su potestad de coordinación no supera las exigencias que derivan de la doctrina constitucional, por cuanto no asegura de modo suficiente la autonomía provincial, vulnerando en consecuencia el art. 137 CE. Por eso las afirmaciones de la sentencia acerca de los planes sectoriales de financiación aprobados por el Gobierno autonómico en 2022 y 2023 no son relevantes, pues el problema de constitucionalidad está en el diseño del modelo de la Ley 5/2021.</w:t>
      </w:r>
    </w:p>
    <w:p w14:paraId="6AC40AAA" w14:textId="77777777" w:rsidR="008D479B" w:rsidRDefault="008D479B" w:rsidP="008D479B">
      <w:pPr>
        <w:pStyle w:val="TextoNormal"/>
      </w:pPr>
    </w:p>
    <w:p w14:paraId="5DDA81E5" w14:textId="77777777" w:rsidR="008D479B" w:rsidRDefault="008D479B" w:rsidP="008D479B">
      <w:pPr>
        <w:pStyle w:val="TextoNormal"/>
      </w:pPr>
      <w:r>
        <w:t>Además, la sentencia parece deducir de la práctica administrativa de los planes ya aprobados una suerte de límite que ahora le impone al legislador autonómico cuando afirma que “[l]as aportaciones exigidas a cada una de las diputaciones provinciales representan aproximadamente un 5 por 100 de su presupuesto, y la suma total exigida a las tres equivale a la cantidad aportada globalmente por la comunidad autónoma. Mientras se mantengan este carácter equitativo de las participaciones de la comunidad autónoma, por una parte, y de las tres diputaciones provinciales, por otra, y los porcentajes aproximados de las aportaciones exigidas a cada una de las diputaciones en relación con la cuantía global de sus presupuestos, no hay objeción constitucional al mencionado plan la perspectiva de la autonomía provincial, sin que lo anterior implique prejuicio alguno sobre impugnaciones planteadas ante la jurisdicción ordinaria”.</w:t>
      </w:r>
    </w:p>
    <w:p w14:paraId="3E531613" w14:textId="77777777" w:rsidR="008D479B" w:rsidRDefault="008D479B" w:rsidP="008D479B">
      <w:pPr>
        <w:pStyle w:val="TextoNormal"/>
      </w:pPr>
    </w:p>
    <w:p w14:paraId="7A7E776E" w14:textId="77777777" w:rsidR="008D479B" w:rsidRDefault="008D479B" w:rsidP="008D479B">
      <w:pPr>
        <w:pStyle w:val="TextoNormal"/>
      </w:pPr>
      <w:r>
        <w:t>Esta es una afirmación del Tribunal totalmente apodíctica y sin fundamento alguno que incluso excede de su función a la hora de enjuiciar la ley, en cuanto que está imponiendo un criterio para su aplicación. Y también supone eludir el problema jurídico-constitucional que se planteaba en el recurso.</w:t>
      </w:r>
    </w:p>
    <w:p w14:paraId="2A65CBD9" w14:textId="77777777" w:rsidR="008D479B" w:rsidRDefault="008D479B" w:rsidP="008D479B">
      <w:pPr>
        <w:pStyle w:val="TextoNormal"/>
      </w:pPr>
    </w:p>
    <w:p w14:paraId="4D85DCC6" w14:textId="77777777" w:rsidR="008D479B" w:rsidRDefault="008D479B" w:rsidP="008D479B">
      <w:pPr>
        <w:pStyle w:val="TextoNormal"/>
      </w:pPr>
      <w:r>
        <w:t>Dicho de otro modo, la vulneración no está en que en un determinado ejercicio presupuestario puedan imponerse cargas económicas y unas obligaciones para las diputaciones provinciales, sino del hecho de que en la ley autonómica se articula en abstracto una forma de determinar aquellas, sin tener en cuenta la relación existente entre los intereses locales y supralocales concurrentes, tanto desde el punto de vista del diseño legal del fondo, como de la participación provincial en la decisión, lo que produce la falta de salvaguarda de la autonomía provincial frente a decisiones discrecionales de la comunidad autónoma.</w:t>
      </w:r>
    </w:p>
    <w:p w14:paraId="1D8773C3" w14:textId="77777777" w:rsidR="008D479B" w:rsidRDefault="008D479B" w:rsidP="008D479B">
      <w:pPr>
        <w:pStyle w:val="TextoNormal"/>
      </w:pPr>
    </w:p>
    <w:p w14:paraId="7B21A55B" w14:textId="77777777" w:rsidR="008D479B" w:rsidRDefault="008D479B" w:rsidP="008D479B">
      <w:pPr>
        <w:pStyle w:val="TextoNormal"/>
      </w:pPr>
      <w:r>
        <w:t>En otros términos, el problema está en el modelo legal no en el modo en que se aplique. La vulneración constitucional reside en el propio diseño de la norma que crea un fondo, cuya cuantía decide unilateralmente el Gobierno autonómico, y en el que se integran, también por la decisión unilateral del ejecutivo autonómico, recursos que son propios de los presupuestos provinciales. Por eso, la inconstitucionalidad está en la decisión del legislador autonómico de posibilitar que el Gobierno autonómico disponga prácticamente sin límite alguno de recursos cuya titularidad corresponde a otra administración pública. Esto es, resulta irrelevante la decisión concreta para cada ejercicio presupuestario, ya que la vulneración que se produce es cualitativa, originada por un diseño legal que permite en cada ejercicio una incidencia autonómica injustificada sobre los fondos provinciales, y no cuantitativa o determinable en función de la cuantía de recursos detraídos. No se trata entonces de que la aplicación de la norma pueda producir un resultado inconstitucional en función del grado de recursos que se detraigan cada año, sino de que la propia norma es inconstitucional al diseñar un mecanismo de coordinación que, en realidad, no es tal y que no supera el canon constitucional en relación con el necesario respeto a la autonomía provincial.</w:t>
      </w:r>
    </w:p>
    <w:p w14:paraId="0922E9A4" w14:textId="77777777" w:rsidR="008D479B" w:rsidRDefault="008D479B" w:rsidP="008D479B">
      <w:pPr>
        <w:pStyle w:val="TextoNormal"/>
      </w:pPr>
    </w:p>
    <w:p w14:paraId="1EA6D93C" w14:textId="77777777" w:rsidR="008D479B" w:rsidRDefault="008D479B" w:rsidP="008D479B">
      <w:pPr>
        <w:pStyle w:val="TextoNormal"/>
      </w:pPr>
      <w:r>
        <w:t>d) Conclusión. Inconstitucionalidad parcial del inciso final del art. 2.2, del art. 5, apartados 1, 2, 5 y 6 y del art. 8 de la Ley 5/2021</w:t>
      </w:r>
    </w:p>
    <w:p w14:paraId="5495CD82" w14:textId="77777777" w:rsidR="008D479B" w:rsidRDefault="008D479B" w:rsidP="008D479B">
      <w:pPr>
        <w:pStyle w:val="TextoNormal"/>
      </w:pPr>
    </w:p>
    <w:p w14:paraId="439827EF" w14:textId="77777777" w:rsidR="008D479B" w:rsidRDefault="008D479B" w:rsidP="008D479B">
      <w:pPr>
        <w:pStyle w:val="TextoNormal"/>
      </w:pPr>
      <w:r>
        <w:t>La conclusión es que la autonomía de las provincias, constitucionalmente garantizada (art. 137 CE), se ha visto excesivamente restringida en la medida en que se ha privado a su órgano de gobierno y administración de una capacidad decisoria efectiva en un ámbito esencial como es el que tiene que ver con el destino de sus recursos económicos para el cumplimiento de su función esencial de cooperación y asistencia a los municipios.</w:t>
      </w:r>
    </w:p>
    <w:p w14:paraId="35576C2C" w14:textId="77777777" w:rsidR="008D479B" w:rsidRDefault="008D479B" w:rsidP="008D479B">
      <w:pPr>
        <w:pStyle w:val="TextoNormal"/>
      </w:pPr>
    </w:p>
    <w:p w14:paraId="03D7CE17" w14:textId="77777777" w:rsidR="008D479B" w:rsidRDefault="008D479B" w:rsidP="008D479B">
      <w:pPr>
        <w:pStyle w:val="TextoNormal"/>
      </w:pPr>
      <w:r>
        <w:t>En consecuencia, los preceptos impugnados de la Ley 5/2021 vulneran la autonomía provincial constitucionalmente garantizada en la medida en que imponen la participación forzosa de las diputaciones provinciales en la dotación económica del fondo de cooperación municipal creado por dicha ley, a concretar anualmente a través del plan sectorial correspondiente aprobado por el Gobierno autonómico, sin tomar adecuadamente en consideración los intereses provinciales. Se declara de interés supralocal o autonómico una función (la asistencia y cooperación jurídica, económica y técnica a los municipios) que representa el núcleo de la actividad provincial; y, aunque tal declaración se efectúa amparándose en el ejercicio de una facultad estatutaria y legalmente prevista (la de coordinación), en su plasmación legal ni se determina con claridad la obligación impuesta ni se tiene suficientemente en cuenta la relevancia de los intereses provinciales afectados, los cuales hubieran demandado, en aplicación de la doctrina constitucional: (i) la predeterminación legal de los objetivos del fondo y de su régimen de aportación y cuantía, cuando lo cierto es que la norma no tiene límite expreso respecto a los fondos a aportar potencialmente destinados al plan, ni a la finalidad que se persigue con ellos; y (ii) una participación de las propias diputaciones en la toma de una decisión que afecta directamente a la autonomía provincial constitucionalmente garantizada, como es aquella que tiene que ver con el control y destino de sus propios recursos económicos, señaladamente los destinados a la cooperación económica local.</w:t>
      </w:r>
    </w:p>
    <w:p w14:paraId="60B2992B" w14:textId="77777777" w:rsidR="008D479B" w:rsidRDefault="008D479B" w:rsidP="008D479B">
      <w:pPr>
        <w:pStyle w:val="TextoNormal"/>
      </w:pPr>
    </w:p>
    <w:p w14:paraId="46D5EC04" w14:textId="77777777" w:rsidR="008D479B" w:rsidRDefault="008D479B" w:rsidP="008D479B">
      <w:pPr>
        <w:pStyle w:val="TextoNormal"/>
      </w:pPr>
      <w:r>
        <w:t>Esa inconstitucionalidad se concreta en la mención al fondo de cooperación municipal que se contempla en el inciso final del art. 2.2 de la Ley 5/2021 y en las referencias a las diputaciones provinciales de los arts. 5.1 y 2, así como el art. 8, en cuanto se refieren a la participación obligatoria de las diputaciones provinciales en el plan sectorial de financiación básica del fondo de cooperación municipal y la determinación de las cuantías globales a aportar por cada diputación. Lo mismo sucede con el art. 5.5, en la medida en que es instrumental para asegurar el cumplimiento de una manifestación de la potestad de coordinación que no se ajusta a la doctrina constitucional. Lo propio ocurre con el art. 5.6, pues el hecho de que el Consell pueda requerir a la persona titular de la presidencia de la diputación de que se trate, cuando advierta que hay actos y acuerdos de las diputaciones provinciales que infrinjan las normas y obligaciones derivadas de la ley impugnada, a fin de que se respeten las directrices de coordinación, con indicación de las rectificaciones o subsanaciones que procedan, se vincula también directamente a la manifestación concreta de la potestad de coordinación que considero inconstitucional por las razones antes expuestas.</w:t>
      </w:r>
    </w:p>
    <w:p w14:paraId="0D1471E2" w14:textId="77777777" w:rsidR="008D479B" w:rsidRDefault="008D479B" w:rsidP="008D479B">
      <w:pPr>
        <w:pStyle w:val="TextoNormal"/>
      </w:pPr>
    </w:p>
    <w:p w14:paraId="12D6455E" w14:textId="77777777" w:rsidR="008D479B" w:rsidRDefault="008D479B" w:rsidP="008D479B">
      <w:pPr>
        <w:pStyle w:val="TextoNormal"/>
      </w:pPr>
      <w:r>
        <w:t>Y en este sentido emito mi voto particular.</w:t>
      </w:r>
    </w:p>
    <w:p w14:paraId="65E2A6C6" w14:textId="77777777" w:rsidR="008D479B" w:rsidRDefault="008D479B" w:rsidP="008D479B">
      <w:pPr>
        <w:pStyle w:val="TextoNormal"/>
      </w:pPr>
    </w:p>
    <w:p w14:paraId="2FC0F725" w14:textId="4324F509" w:rsidR="008D479B" w:rsidRDefault="008D479B" w:rsidP="008D479B">
      <w:pPr>
        <w:pStyle w:val="TextoNormal"/>
      </w:pPr>
      <w:r>
        <w:t>Madrid, a veintisiete de septiembre de dos mil veintitrés.</w:t>
      </w:r>
    </w:p>
    <w:p w14:paraId="5931EB01" w14:textId="6B11608C" w:rsidR="008D479B" w:rsidRDefault="008D479B">
      <w:pPr>
        <w:spacing w:after="160" w:line="278" w:lineRule="auto"/>
        <w:rPr>
          <w:rFonts w:ascii="Times New Roman" w:eastAsia="Times New Roman" w:hAnsi="Times New Roman" w:cs="Times New Roman"/>
          <w:sz w:val="24"/>
          <w:szCs w:val="24"/>
          <w:lang w:eastAsia="es-ES"/>
        </w:rPr>
      </w:pPr>
      <w:r>
        <w:br w:type="page"/>
      </w:r>
    </w:p>
    <w:p w14:paraId="231E5B45" w14:textId="77777777" w:rsidR="008D479B" w:rsidRDefault="008D479B" w:rsidP="008D479B">
      <w:pPr>
        <w:pStyle w:val="TtuloResolucin"/>
      </w:pPr>
      <w:bookmarkStart w:id="50" w:name="SENTENCIA_2023_125"/>
      <w:r>
        <w:t>SENTENCIA 125/2023, de 27 de septiembre de 2023</w:t>
      </w:r>
    </w:p>
    <w:bookmarkEnd w:id="50"/>
    <w:p w14:paraId="33D8314A" w14:textId="77777777" w:rsidR="008D479B" w:rsidRDefault="008D479B" w:rsidP="008D479B">
      <w:pPr>
        <w:pStyle w:val="TtuloResolucin"/>
      </w:pPr>
      <w:r>
        <w:t>Pleno</w:t>
      </w:r>
    </w:p>
    <w:p w14:paraId="1ED76994" w14:textId="77777777" w:rsidR="008D479B" w:rsidRDefault="008D479B" w:rsidP="008D479B">
      <w:pPr>
        <w:pStyle w:val="TtuloBOE"/>
      </w:pPr>
      <w:r>
        <w:t>(BOE núm. 261, de 1 de noviembre de 2023)</w:t>
      </w:r>
    </w:p>
    <w:p w14:paraId="10E97845" w14:textId="77777777" w:rsidR="008D479B" w:rsidRDefault="008D479B" w:rsidP="008D479B">
      <w:pPr>
        <w:pStyle w:val="TextoNormalCentrado"/>
      </w:pPr>
      <w:r>
        <w:t>ECLI:ES:TC:2023:125</w:t>
      </w:r>
    </w:p>
    <w:p w14:paraId="3F1858CB" w14:textId="24133BCA" w:rsidR="008D479B" w:rsidRDefault="008D479B" w:rsidP="008D479B">
      <w:pPr>
        <w:pStyle w:val="TextoNormalCentrado"/>
      </w:pPr>
    </w:p>
    <w:p w14:paraId="248B849D" w14:textId="77777777" w:rsidR="008D479B" w:rsidRDefault="008D479B" w:rsidP="008D479B">
      <w:pPr>
        <w:pStyle w:val="SntesisDescriptiva"/>
      </w:pPr>
      <w:r>
        <w:t>Recurso de amparo 962-2020. Promovido por don Santiago Abascal Conde y otros en relación con las resoluciones de la presidenta y la mesa del Congreso de los Diputados que dieron por cumplimentado el requisito de promesa o juramento de acatamiento de la Constitución por todos los diputados.</w:t>
      </w:r>
    </w:p>
    <w:p w14:paraId="0CC3DB1F" w14:textId="070D4E8F" w:rsidR="008D479B" w:rsidRDefault="008D479B" w:rsidP="008D479B">
      <w:pPr>
        <w:pStyle w:val="SntesisDescriptiva"/>
      </w:pPr>
    </w:p>
    <w:p w14:paraId="29883E8E" w14:textId="77777777" w:rsidR="008D479B" w:rsidRDefault="008D479B" w:rsidP="008D479B">
      <w:pPr>
        <w:pStyle w:val="SntesisAnaltica"/>
      </w:pPr>
      <w:r>
        <w:t>Supuesta vulneración del derecho de representación política: STC 65/2023 (ausencia de acreditación de la incidencia, por la aceptación de las veintinueve fórmulas de acatamiento controvertidas, en la función representativa de los parlamentarios recurrentes). Votos particulares.</w:t>
      </w:r>
    </w:p>
    <w:p w14:paraId="7DF1BAA0" w14:textId="145F5D3A" w:rsidR="008D479B" w:rsidRDefault="008D479B" w:rsidP="008D479B">
      <w:pPr>
        <w:pStyle w:val="SntesisAnaltica"/>
      </w:pPr>
    </w:p>
    <w:p w14:paraId="4AF3CAD5" w14:textId="05B92340" w:rsidR="008D479B" w:rsidRDefault="008D479B" w:rsidP="008D479B">
      <w:pPr>
        <w:pStyle w:val="Extracto"/>
      </w:pPr>
      <w:r>
        <w:t>1.</w:t>
      </w:r>
      <w:r>
        <w:tab/>
        <w:t>Las distintas fórmulas de acatamiento de la Constitución no afectan al núcleo esencial del derecho al ejercicio de las funciones representativas de los parlamentarios (STC 65/2023) [FFJJ 1 y 2].</w:t>
      </w:r>
    </w:p>
    <w:p w14:paraId="0C5CC3A4" w14:textId="77777777" w:rsidR="008D479B" w:rsidRDefault="008D479B" w:rsidP="008D479B">
      <w:pPr>
        <w:pStyle w:val="Extracto"/>
      </w:pPr>
    </w:p>
    <w:p w14:paraId="2EF844DC" w14:textId="77777777" w:rsidR="008D479B" w:rsidRDefault="008D479B" w:rsidP="008D479B">
      <w:pPr>
        <w:pStyle w:val="Extracto"/>
      </w:pPr>
    </w:p>
    <w:p w14:paraId="0DB665FA" w14:textId="77777777" w:rsidR="008D479B" w:rsidRDefault="008D479B" w:rsidP="008D479B">
      <w:pPr>
        <w:pStyle w:val="TextoNormal"/>
      </w:pPr>
      <w:r>
        <w:t>El Pleno del Tribunal Constitucional, compuesto por el magistrado don Cándido Conde 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y doña Laura Díez Bueso, ha pronunciado</w:t>
      </w:r>
    </w:p>
    <w:p w14:paraId="2F919488" w14:textId="1FD01B5C" w:rsidR="008D479B" w:rsidRDefault="008D479B" w:rsidP="008D479B">
      <w:pPr>
        <w:pStyle w:val="TextoNormal"/>
      </w:pPr>
    </w:p>
    <w:p w14:paraId="26FE8776" w14:textId="77777777" w:rsidR="008D479B" w:rsidRDefault="008D479B" w:rsidP="008D479B">
      <w:pPr>
        <w:pStyle w:val="TextoNormalCentrado"/>
        <w:keepNext/>
      </w:pPr>
      <w:r>
        <w:t>EN NOMBRE DEL REY</w:t>
      </w:r>
    </w:p>
    <w:p w14:paraId="2D1693E2" w14:textId="56341460" w:rsidR="008D479B" w:rsidRDefault="008D479B" w:rsidP="008D479B">
      <w:pPr>
        <w:pStyle w:val="TextoNormalCentrado"/>
        <w:keepNext/>
      </w:pPr>
    </w:p>
    <w:p w14:paraId="38F8F1B8" w14:textId="77777777" w:rsidR="008D479B" w:rsidRDefault="008D479B" w:rsidP="008D479B">
      <w:pPr>
        <w:pStyle w:val="TextoNormalCentrado"/>
        <w:keepNext/>
      </w:pPr>
    </w:p>
    <w:p w14:paraId="29FBE952" w14:textId="77777777" w:rsidR="008D479B" w:rsidRDefault="008D479B" w:rsidP="008D479B">
      <w:pPr>
        <w:pStyle w:val="TextoNormal"/>
      </w:pPr>
      <w:r>
        <w:t>la siguiente</w:t>
      </w:r>
    </w:p>
    <w:p w14:paraId="3BA0D805" w14:textId="248C0080" w:rsidR="008D479B" w:rsidRDefault="008D479B" w:rsidP="008D479B">
      <w:pPr>
        <w:pStyle w:val="TextoNormal"/>
      </w:pPr>
    </w:p>
    <w:p w14:paraId="06679CBB" w14:textId="77777777" w:rsidR="008D479B" w:rsidRDefault="008D479B" w:rsidP="008D479B">
      <w:pPr>
        <w:pStyle w:val="TextoNormalCentrado"/>
        <w:keepNext/>
      </w:pPr>
      <w:r>
        <w:t>SENTENCIA</w:t>
      </w:r>
    </w:p>
    <w:p w14:paraId="74B5D41C" w14:textId="7E971E05" w:rsidR="008D479B" w:rsidRDefault="008D479B" w:rsidP="008D479B">
      <w:pPr>
        <w:pStyle w:val="TextoNormalCentrado"/>
        <w:keepNext/>
      </w:pPr>
    </w:p>
    <w:p w14:paraId="465FB4EE" w14:textId="77777777" w:rsidR="008D479B" w:rsidRDefault="008D479B" w:rsidP="008D479B">
      <w:pPr>
        <w:pStyle w:val="TextoNormalCentrado"/>
        <w:keepNext/>
      </w:pPr>
      <w:r>
        <w:t>En el recurso de amparo núm. 962-2020, promovido por don Santiago Abascal Conde, don Francisco Javier Ortega-Smith Molina, don Iván Espinosa de los Monteros y de Simón, doña María de la Cabeza Ruiz Solás, doña Carla Toscano de Balbín, don Pedro Fernández Hernández, don Pablo Sáez Alonso-Muñumer, doña Cristina Esteban Calonje, don Ignacio Gil Lázaro, don Manuel Mestre Barea, don Manuel Mariscal Zabala, doña María de los Reyes Romero Vilches, doña Rocío de Meer Méndez, don José María Figaredo Álvarez-Sala, doña Lourdes Méndez Monasterio, don Joaquín Robles López, don Ignacio Garriga Vaz de Concicao, doña Patricia Rueda Perelló, don José Ramírez del Río, don Agustín Rosety Fernández de Castro, doña Macarena Olona Choclán, don Rodrigo Jiménez Revuelta, don Ricardo Chamorro Delmo, don Víctor Sánchez del Real, don Tomás Fernández de los Ríos, don Francisco José Contreras Peláez, don Francisco José Alcaraz Martos, don Carlos José Zambrano García-Ráez, don Carlos Hugo Fernández-Roca Suárez, don Rubén Silvano Manso Olivar, don Andrés Alberto Rodríguez Almeida, don Rubén Darío Vega Arias, don Emilio Jesús del Valle Rodríguez, don Rafael Fernández-Lomana Gutiérrez, don Ángel López Maraver, doña Inés María Cañizares Pacheco, don Pablo Juan Calvo Liste, don Víctor Guido González Coello de Portugal, doña Georgina Trías Gil, don Pedro Requejo Novoa, don Juan José Aizcorbe Torra, doña María Teresa López Álvarez, don Juan Luis Steegmann Olmedillas, doña Mireia Borrás Pabón, don Julio Utrilla Cano, don José María Sánchez García, don Eduardo Luis Ruiz Navarro, don Alberto Asarta Cuevas, doña María Magdalena Nevado del Campo, don Antonio Salvá Verd, doña Patricia de las Heras Fernández y don Luis Gestoso de Miguel, representados por el procurador de los tribunales don Antonio Ortega Fuentes y bajo la dirección letrada de don Juan José Aizcorbe Torra, contra el acuerdo de la mesa del Congreso de los Diputados de 23 de enero de 2020 por el que se desestima la solicitud de reconsideración del acuerdo de 13 de diciembre de 2019, por el que se declara que no procede la revisión del acuerdo de la presidenta del Congreso de los Diputados de 3 de diciembre de 2019, que tuvo por cumplimentado por todos los diputados el requisito de promesa o juramento de acatamiento de la Constitución.</w:t>
      </w:r>
    </w:p>
    <w:p w14:paraId="6563F79D" w14:textId="77777777" w:rsidR="008D479B" w:rsidRDefault="008D479B" w:rsidP="008D479B">
      <w:pPr>
        <w:pStyle w:val="TextoNormalCentrado"/>
        <w:keepNext/>
      </w:pPr>
    </w:p>
    <w:p w14:paraId="379F5AF8" w14:textId="77777777" w:rsidR="008D479B" w:rsidRDefault="008D479B" w:rsidP="008D479B">
      <w:pPr>
        <w:pStyle w:val="TextoNormal"/>
      </w:pPr>
      <w:r>
        <w:t>Han comparecido el Congreso de los Diputados, y los diputados y diputadas doña Inés Granollers i Cunillera, don Francesc Xavier Eritja i Ciuró, doña Norma Pujol i Farré, don Joan Margall i Sastre, doña Monserrat Bassa i Coll, doña María Carvalho Dantas, don Jordi Salvador i Duch; don Jaume Asens Llodrá, doña Ione Belarra Urteaga, don Ismael Cortés Gómez, doña Yolanda Díaz Pérez, don Pablo Echenique Robba, doña María Gloria Elizo Serrano, doña Sofía Fernández Castañón, doña Isabel Franco Carmona, doña María del Mar García Puig, doña Pilar Garrido Gutiérrez, don Alberto Garzón Espinosa, don Antonio Gómez-Reino Varela, don Txema Guijarro García, don Pedro Antonio Honrubia Hurtado, don Pablo Iglesias Turrión, don Héctor Illueca Ballester, doña Antonia Jover Díaz, don Juan Antonio López de Uralde Garmendia, doña Roser Maestro Moliner, doña María Márquez Guerrero, doña Laura López Domínguez, don Rafael Mayoral Perales, don Joan Mena Arca, doña Irene María Montero Gil, doña Lucía Muñoz Dalda, don Gerardo Pisarello Prados, don Alberto Rodríguez Rodríguez, doña María Victoria Rosell Aguilar, doña Marisa Saavedra Muñoz, don Javier Sánchez Serna, don Enrique Fernando Santiago Romero, don Roberto Uriarte Torrealday, doña Martina Velarde Gómez, doña Noelia Vera Ruiz-Herrera, doña Aina Vidal Sáez, doña Ana Belén Fernández Casero, doña Adriana Lastra Fernández, don Guillermo Antonio Meijón Couselo, doña Susana Ros Martínez, don Felipe Jesús Sicilia Alférez, don Rafael Simancas Simancas, don José Zaragoza Alonso, doña Mireia Vehí Cantenys, don Albert Botran Pahissa, doña Concepción Cañadel Salvia, don Joan Josep Nuet i Pujals; doña Mercedes Aizpurúa Arzallus, don Oskar Matute García de Jalón, don Jon Iñarritu García, doña María Isabel Pozueta Fernández, don Iñaki Anselmo Ruiz de Pinedo Undiano, doña María Teresa Rivero Segalàs, doña Miriam Nogueras Camero, doña Laura Borrás Castanyer, don Josep Lluis Cleries González, don Josep María Matamala Alsina, doña Mariona Illamola Dausà, doña Pilar Vallugera Balaña, doña Marta Rosique i Saltor, doña Carolina Telechea i Lozano, don Genis Boadella i Esteve, y don Gabriel Rufián Romero. Ha intervenido el Ministerio Fiscal. Ha sido ponente la magistrada doña María Luisa Balaguer Callejón.</w:t>
      </w:r>
    </w:p>
    <w:p w14:paraId="1742DA4E" w14:textId="610FD65B" w:rsidR="008D479B" w:rsidRDefault="008D479B" w:rsidP="008D479B">
      <w:pPr>
        <w:pStyle w:val="TextoNormal"/>
      </w:pPr>
    </w:p>
    <w:p w14:paraId="25B63B05" w14:textId="77777777" w:rsidR="008D479B" w:rsidRDefault="008D479B" w:rsidP="008D479B">
      <w:pPr>
        <w:pStyle w:val="TextoNormalNegritaCentrado"/>
        <w:keepNext/>
      </w:pPr>
      <w:r>
        <w:t>I. Antecedentes</w:t>
      </w:r>
    </w:p>
    <w:p w14:paraId="0EB0E047" w14:textId="3298A9C8" w:rsidR="008D479B" w:rsidRDefault="008D479B" w:rsidP="008D479B">
      <w:pPr>
        <w:pStyle w:val="TextoNormalNegritaCentrado"/>
        <w:keepNext/>
      </w:pPr>
    </w:p>
    <w:p w14:paraId="095340BA" w14:textId="0B63AB37" w:rsidR="008D479B" w:rsidRDefault="008D479B" w:rsidP="008D479B">
      <w:pPr>
        <w:pStyle w:val="TextoNormal"/>
      </w:pPr>
      <w:r w:rsidRPr="008D479B">
        <w:rPr>
          <w:rStyle w:val="NumeroAFNegritaCaracter"/>
        </w:rPr>
        <w:t>1</w:t>
      </w:r>
      <w:r>
        <w:t>. Mediante escrito registrado en este tribunal el 13 de febrero de 2020, los diputados del Grupo Parlamentario Vox citados en el encabezamiento, representados por el procurador de los tribunales don Antonio Ortega Fuentes y bajo la dirección del letrado don Juan José Aizcorbe Torra, interpusieron recurso de amparo contra el acuerdo de la mesa del Congreso de los Diputados de 23 de enero de 2020 por el que se desestima la solicitud de reconsideración del acuerdo de 13 de diciembre de 2019, por el que se declara que no procede la revisión del acuerdo de la presidenta del Congreso de los Diputados, de 3 de diciembre de 2019, que tuvo por cumplimentado por todos los diputados el requisito de promesa o juramento de acatamiento de la Constitución.</w:t>
      </w:r>
    </w:p>
    <w:p w14:paraId="271A6009" w14:textId="77777777" w:rsidR="008D479B" w:rsidRDefault="008D479B" w:rsidP="008D479B">
      <w:pPr>
        <w:pStyle w:val="TextoNormal"/>
      </w:pPr>
    </w:p>
    <w:p w14:paraId="46C0F222" w14:textId="77777777" w:rsidR="008D479B" w:rsidRDefault="008D479B" w:rsidP="008D479B">
      <w:pPr>
        <w:pStyle w:val="TextoNormal"/>
      </w:pPr>
      <w:r w:rsidRPr="008D479B">
        <w:rPr>
          <w:rStyle w:val="NumeroAFNegritaCaracter"/>
        </w:rPr>
        <w:t>2</w:t>
      </w:r>
      <w:r>
        <w:t>. El recurso tiene su origen en los siguientes antecedentes:</w:t>
      </w:r>
    </w:p>
    <w:p w14:paraId="28487A00" w14:textId="77777777" w:rsidR="008D479B" w:rsidRDefault="008D479B" w:rsidP="008D479B">
      <w:pPr>
        <w:pStyle w:val="TextoNormal"/>
      </w:pPr>
    </w:p>
    <w:p w14:paraId="2CAC9EA6" w14:textId="77777777" w:rsidR="008D479B" w:rsidRDefault="008D479B" w:rsidP="008D479B">
      <w:pPr>
        <w:pStyle w:val="TextoNormal"/>
      </w:pPr>
      <w:r>
        <w:t>a) El día 3 de diciembre de 2019 tuvo lugar la sesión constitutiva del Congreso de los Diputados de la XIV legislatura. De acuerdo con lo previsto en el Reglamento del Congreso de los Diputados (en adelante, RCD), en dicha sesión constitutiva, tras la elección de los miembros de la mesa, la presidenta del Congreso solicitó a los diputados y diputadas electos el juramento o promesa de acatar la Constitución, tal y como recoge el artículo 108.8 de la Ley Orgánica 5/1985, de 19 de junio, del régimen electoral general (LOREG); el art. 4.1 RCD, y la resolución de la Presidencia de 30 de noviembre de 1989. La presidenta, tras la contestación de cada diputado y diputada a la pregunta “¿juráis o prometéis acatar la Constitución?” a través de distintas fórmulas, acordó que “todas las señoras y señores diputados que han contestado al llamamiento han adquirido la condición plena de diputados y diputadas”.</w:t>
      </w:r>
    </w:p>
    <w:p w14:paraId="738BEB69" w14:textId="77777777" w:rsidR="008D479B" w:rsidRDefault="008D479B" w:rsidP="008D479B">
      <w:pPr>
        <w:pStyle w:val="TextoNormal"/>
      </w:pPr>
    </w:p>
    <w:p w14:paraId="56472697" w14:textId="77777777" w:rsidR="008D479B" w:rsidRDefault="008D479B" w:rsidP="008D479B">
      <w:pPr>
        <w:pStyle w:val="TextoNormal"/>
      </w:pPr>
      <w:r>
        <w:t>Ante la intervención de los diputados señor Casado Blanco, señor Abascal Conde y la diputada señora Arrimadas García por una cuestión de orden, llamando la atención sobre la efectividad de algunas de las fórmulas de juramento o promesa utilizadas, la presidenta, tras citar las SSTC 119/1990, de 21 de junio y 74/1991, de 8 de abril, afirmó que “[t]odas las fórmulas utilizadas hoy han sido anteriormente utilizadas y, por tanto, también supervisadas por la Junta Electoral Central. […] Esta interpretación que hacen tanto el Tribunal Constitucional como la Junta Electoral Central, esta interpretación integradora, es precisamente la que hace también esta presidenta, porque está convencida de que reforzando nuestros derechos fundamentales lo que hacemos es reforzar nuestra democracia. Finalmente, el mismo artículo que les ha facultado para solicitar la palabra prevé expresamente que debe acatarse la decisión que adopte la Presidencia y que no cabe debate alguno al respecto” (</w:t>
      </w:r>
      <w:r w:rsidRPr="008D479B">
        <w:rPr>
          <w:i/>
        </w:rPr>
        <w:t>Diario de Sesiones del Congreso de los Diputados</w:t>
      </w:r>
      <w:r>
        <w:t>, Pleno y Diputación Permanente, núm. 1, de 3 de diciembre de 2019).</w:t>
      </w:r>
    </w:p>
    <w:p w14:paraId="5C78CAA9" w14:textId="77777777" w:rsidR="008D479B" w:rsidRDefault="008D479B" w:rsidP="008D479B">
      <w:pPr>
        <w:pStyle w:val="TextoNormal"/>
      </w:pPr>
    </w:p>
    <w:p w14:paraId="1CE19102" w14:textId="77777777" w:rsidR="008D479B" w:rsidRDefault="008D479B" w:rsidP="008D479B">
      <w:pPr>
        <w:pStyle w:val="TextoNormal"/>
      </w:pPr>
      <w:r>
        <w:t xml:space="preserve">b) El mismo día en que se celebró la sesión constitutiva del Congreso, don Santiago Abascal Conde, recurrente en el presente proceso, en su condición de diputado electo por el partido político Vox, presentó solicitud de reconsideración de la decisión adoptada </w:t>
      </w:r>
      <w:r w:rsidRPr="008D479B">
        <w:rPr>
          <w:i/>
        </w:rPr>
        <w:t>in voce</w:t>
      </w:r>
      <w:r>
        <w:t xml:space="preserve"> por la presidenta respecto de la adquisición de la condición plena de diputados por parte de varios diputados electos de los partidos políticos: Junts per Catalunya-Junts (JxCat-Junts), Esquerra Republicana de Catalunya –Sobiranistes (ERC-Sobiranistes), Euskal Herria Bildu (EH Bildu), Candidatura D’Unitat Popular-Per la Ruptura (CUP-PR), Bloque Nacionalista Galego (BNG) y Euzko Alderdi Jeltzalea-Partido Nacionalista Vasco (EAJ-PNV), que habían utilizado fórmulas de juramento atípicas, al considerar que con dicha decisión se vulneraban los artículos 4 y 20 RCD en relación con el artículo 23.2 CE. </w:t>
      </w:r>
    </w:p>
    <w:p w14:paraId="5273039E" w14:textId="7C22396E" w:rsidR="008D479B" w:rsidRDefault="008D479B" w:rsidP="008D479B">
      <w:pPr>
        <w:pStyle w:val="TextoNormal"/>
      </w:pPr>
      <w:r>
        <w:t>c) La mesa del Congreso de los Diputados, mediante resolución de 13 de diciembre de 2019, comunicó a don Santiago Abascal que “no procede la revisión de las decisiones de la Presidencia en el ejercicio de sus funciones de dirección del Pleno y restantes atribuidas por el artículo 32 del Reglamento”. Al día siguiente, el diputado señor Abascal Conde solicitó la reconsideración de esta resolución de la mesa, siendo desestimada esta solicitud por nueva resolución fechada el 23 de enero de 2020. Los argumentos esenciales de este último pronunciamiento son los siguientes: (i) no es posible enjuiciar el asunto desde la perspectiva del acto administrativo; (ii) la mesa no inadmitió a trámite la solicitud inicial de que se reconsiderara la adoptada por la Presidencia durante la sesión constitutiva, sino que resolvió sobre la misma en sentido negativo, explicitando que no cabe la revisión de estas decisiones por parte de la mesa, al no existir un sistema de recursos de alzada generalizado en virtud del cual la mesa del Congreso pudiera resolver cualquier reclamación contra actos de otros órganos de la Cámara; (iii) el juicio acerca de la validez del acto de acatamiento de la Constitución corresponde a la Presidencia, que debe valorar, en el marco del art. 20 RCD, si con la fórmula empleada el diputado ha acatado válidamente la Constitución, en una interpretación que solo a ella le corresponde (art. 32 RCD); (iv) no es posible disociar la eventual revisión de las decisiones de la Presidencia adoptadas a este respecto, del control que se pretende realizar del acto de acatamiento de la Constitución, dada la naturaleza recepticia de este; (v) sin perjuicio de la relevancia del acto de acatamiento en sí mismo considerado, su trascendencia constitucional, en tanto que requisito previo a la adquisición de la condición plena de diputado, ha de cohonestarse con el necesario respeto al derecho fundamental consagrado en el art. 23 CE y, en este contexto, la Presidencia actuó conforme a derecho al considerar válidas todas las fórmulas de acatamiento empleadas, de acuerdo con la interpretación que de aquel ha hecho a estos efectos el Tribunal Constitucional.</w:t>
      </w:r>
    </w:p>
    <w:p w14:paraId="14F1835B" w14:textId="77777777" w:rsidR="008D479B" w:rsidRDefault="008D479B" w:rsidP="008D479B">
      <w:pPr>
        <w:pStyle w:val="TextoNormal"/>
      </w:pPr>
    </w:p>
    <w:p w14:paraId="0B5119FC" w14:textId="77777777" w:rsidR="008D479B" w:rsidRDefault="008D479B" w:rsidP="008D479B">
      <w:pPr>
        <w:pStyle w:val="TextoNormal"/>
      </w:pPr>
      <w:r w:rsidRPr="008D479B">
        <w:rPr>
          <w:rStyle w:val="NumeroAFNegritaCaracter"/>
        </w:rPr>
        <w:t>3</w:t>
      </w:r>
      <w:r>
        <w:t>. Los demandantes de amparo solicitan que se estime el recurso de amparo planteado por incumplimiento de la normativa aplicable en relación con el acto de acatamiento de la Constitución (en particular, los arts. 108.8 LOREG y 4 y 20 RCD) y por vulneración de su derecho a la representación política (art. 23 CE).</w:t>
      </w:r>
    </w:p>
    <w:p w14:paraId="6270DC63" w14:textId="77777777" w:rsidR="008D479B" w:rsidRDefault="008D479B" w:rsidP="008D479B">
      <w:pPr>
        <w:pStyle w:val="TextoNormal"/>
      </w:pPr>
    </w:p>
    <w:p w14:paraId="02DCEEFA" w14:textId="77777777" w:rsidR="008D479B" w:rsidRDefault="008D479B" w:rsidP="008D479B">
      <w:pPr>
        <w:pStyle w:val="TextoNormal"/>
      </w:pPr>
      <w:r>
        <w:t>a) El eje argumental de la demanda de amparo gira en torno a la invalidez de las fórmulas de acatamiento de la Constitución utilizadas por veintinueve diputados y diputadas electos, a los que los recurrentes niegan la condición plena de integrantes de la Cámara, asumiendo que no han cumplido con los requisitos constitucionales para adquirir tal condición. Los requisitos formales vinculados a la fórmula de juramento se derivan de los arts. 108.8 LOREG y 20 RCD, y se concretan en la resolución de la Presidencia del Congreso, de 30 de noviembre de 1989, sobre la forma en que se ha de prestar el juramento o promesa de acatamiento de la Constitución previsto en los artículos 4 y 20 del Reglamento de la Cámara (en lo sucesivo, la “resolución de 30 de noviembre de1989”), cuando dispone que la promesa o juramento de acatamiento de la Constitución prevista en los artículos 4 y 20 del Reglamento del Congreso de los Diputados se efectuará de la siguiente manera: El presidente preguntará al diputado que haya de prestarlo: “¿Juráis o prometéis acatar la Constitución?” Dicha pregunta será contestada mediante la expresión “Sí, juro” o “Sí, prometo”.</w:t>
      </w:r>
    </w:p>
    <w:p w14:paraId="5C838C3B" w14:textId="77777777" w:rsidR="008D479B" w:rsidRDefault="008D479B" w:rsidP="008D479B">
      <w:pPr>
        <w:pStyle w:val="TextoNormal"/>
      </w:pPr>
    </w:p>
    <w:p w14:paraId="2A541822" w14:textId="77777777" w:rsidR="008D479B" w:rsidRDefault="008D479B" w:rsidP="008D479B">
      <w:pPr>
        <w:pStyle w:val="TextoNormal"/>
      </w:pPr>
      <w:r>
        <w:t>En la demanda de amparo, los recurrentes constatan que, de los 350 diputados electos, solo 245 emplearon la fórmula reglamentaria de “Sí, juro” o “Sí, prometo”, afirmando que, si bien la mayoría de los restantes 105 diputados, utilizaron fórmulas constitucionalmente válidas, según resulta de la jurisprudencia del Tribunal Constitucional, veintinueve de esos 105 diputados, bien por utilizar vocablos ininteligibles que han impedido que se recoja taquigráficamente su constancia en el acta, bien por emplear fórmulas abiertamente contrarias al orden constitucional, no han cumplido con su obligación de prestar formalmente acatamiento de la Constitución.</w:t>
      </w:r>
    </w:p>
    <w:p w14:paraId="5041B9A4" w14:textId="77777777" w:rsidR="008D479B" w:rsidRDefault="008D479B" w:rsidP="008D479B">
      <w:pPr>
        <w:pStyle w:val="TextoNormal"/>
      </w:pPr>
    </w:p>
    <w:p w14:paraId="798D361D" w14:textId="77777777" w:rsidR="008D479B" w:rsidRDefault="008D479B" w:rsidP="008D479B">
      <w:pPr>
        <w:pStyle w:val="TextoNormal"/>
      </w:pPr>
      <w:r>
        <w:t>Las fórmulas cuestionadas son las siguientes: 1. “Bai, legeak behartuta, Euskal Errepublika sortu arte hitza ematen dut”, “Sí, prometo, por imperativo legal, hasta la creación de la república vasca” (diputada Aizpurúa Arzallus); 2. “Per la llibertat dels presos polítics i per la república catalana, i per imperatiu legal, sí, prometo” (diputada Bassa Coll); 3. “Per la llibertat dels presos polítics i per la república catalana, i per imperatiu legal, sí, prometo” (diputado Boadella Esteve); 4. “Per la llibertat dels presos polítics i per la república catalana, i per imperatiu legal, sí, prometo” (diputada Borrás Castanyer); 5. “Amb lleialtat primera i última a la sobirania del poble catalá i per imperatiu legal, sí, prometo” (diputado Botran Pahissa); 6. “Per lleialtat al poblé de Catalunya i al mandat del 1 d’octubre per la llibertat dels presos polítics i per imperatiu legal, sí, prometo” (diputada Cañadell Salvia); 7. “Per la llibertat dels presos polítics i per la república catalana, i per imperatiu legal, sí, juro” (diputado Capdevila i Esteve); 8. “Contra el fascismo, el franquismo y el racismo, per la llibertat dels presas polítics i per la república catalana,...i per imperatiu legal, sí, prometo. (Protestas), pels exiliats polítics” (diputada Carvalho Dantas); 9. “Baix (Pronuncia palabras en catalán que no se perciben). Sí, prometo” (diputado Cortés Gómez); 10. “Per la llibertat dels presos polítics i per la república catalana, i per imperatiu legal, sí, prometo” (diputado Eritja Ciuró); 11. “Per la llibertat dels presos polítics i per la república catalana, i per imperatiu legal, sí, prometo” (diputada Granollers Cunillera); 12. “Por la memoria de... (pronuncia palabras que no se perciben), sí, prometo” (diputado Honrubia Hurtado); 13. “Presos políticos i mandat 1 de octubre, cultura...” (pronuncia palabras en catalán que no se perciben, diputada Illamola Dausá); 14. “Bai, legeak behartuta, Euskal Errepublika sortu arte hitza ematen dut” (diputado Iñarritu García); 15. (Pronuncia palabras que no se perciben, diputada Jover Díaz); 16. (Pronuncia palabras que no se perciben) “sí, prometo” (diputada López Domínguez); 17. “Per la llibertat dels presos polítics, pels exiliats i per la república catalana, per imperatiu legal, sí, prometo” (diputado Margall Sastre); 18. “Bai, legeak behartuta, Euskal Errepublika sortu arte hitza ematen dut” (diputado Matute García de Jalón); 19. “Amb lleialtat del mandat del 1 d’octubre i del poble de Catalunya... per la llibertat dels presos polítics... i per imperatiu legal, sí, prometo” (diputada Nogueras i Camero); 20. “Por la libertad de las presas políticas, por las repúblicas y por imperativo legal, sí, prometo” (diputado Nuet Pujals); 21. “Bai, legeak behartuta, Nafarroa Euskal Herria sortu arte hitza ematen dut” (diputada Pozueta Fernández); 22. “Per la llibertat dels presos polítics, y hasta la constitución de la república catalana... y por imperativo legal, sí, prometo” (diputada Pujol i Farré); 23. “Per la democracia, per la llibertat dels presos polítics, fins la fundació de la república catalana / per la república dels països catalans, per imperatiu legal, sí, prometo” (diputada Rosique i Saltor); 24. “Por la libertad de los presos políticos, por la república catalana y por imperativo legal, sí, prometo” (diputado Rufián Romero); 25. “Bai, legeak behartuta, Euskal Errepublika sortu arte hitza ematen dut” (diputado Ruiz de Pinedo Undiano); 26. (Con el puño en alto). “Per la llibertat dels presos polítics, pels exiliats polítics i per la república catalana, per imperatiu legal, sí, prometo” (diputado Salvador i Duch); 27. “Per la llibertat de tots els presos polítics i la república catalana, y por imperatiu legal..., sí, prometo” (diputada Telechea i Lozano); 28. “Per la llibertat dels presos polítics, la república catalana i per imperatiu legal, sí prometo” (diputada Vallugera Balaña); y 29. “Amb lleialtat primera i última al nostre poble i per imperatiu legal, sí prometo” (diputada Vehí Cantenys).</w:t>
      </w:r>
    </w:p>
    <w:p w14:paraId="7BD69E57" w14:textId="77777777" w:rsidR="008D479B" w:rsidRDefault="008D479B" w:rsidP="008D479B">
      <w:pPr>
        <w:pStyle w:val="TextoNormal"/>
      </w:pPr>
    </w:p>
    <w:p w14:paraId="0ED1DC8C" w14:textId="77777777" w:rsidR="008D479B" w:rsidRDefault="008D479B" w:rsidP="008D479B">
      <w:pPr>
        <w:pStyle w:val="TextoNormal"/>
      </w:pPr>
      <w:r>
        <w:t>Desde esta descripción de las fórmulas controvertidas, y con invocación de las SSTC 101/1983, de 18 de noviembre; 122/1983, de 16 de diciembre; y, en particular, de las SSTC 119/1990, de 21 de junio, y 74/1991, de 8 de abril, los recurrentes concluyen que el requisito formal de acceso al ejercicio del cargo representativo debe ser interpretado, de manera que se maximice la eficacia de los derechos fundamentales, pero sin que ello implique “en modo alguno la posibilidad de prescindir en absoluto de cuanto de ritual ha de haber siempre en toda afirmación solemne. Por esto, para tener por cumplido el requisito no bastaría solo con emplear la fórmula ritual sino emplearla, además, sin acompañarla de cláusulas o expresiones que de una u otra forma, vacíen, limiten o condicionen su sentido propio, sea cual fuese la justificación invocada para ello” (STC 119/1990, FJ 4).</w:t>
      </w:r>
    </w:p>
    <w:p w14:paraId="2BA96EEF" w14:textId="77777777" w:rsidR="008D479B" w:rsidRDefault="008D479B" w:rsidP="008D479B">
      <w:pPr>
        <w:pStyle w:val="TextoNormal"/>
      </w:pPr>
    </w:p>
    <w:p w14:paraId="53D0BD32" w14:textId="77777777" w:rsidR="008D479B" w:rsidRDefault="008D479B" w:rsidP="008D479B">
      <w:pPr>
        <w:pStyle w:val="TextoNormal"/>
      </w:pPr>
      <w:r>
        <w:t>A partir del argumento previo, los recurrentes en amparo analizan las fórmulas de acatamiento utilizadas por los veintinueve diputados previamente referidos, para concretar por qué dichas fórmulas han condicionado su sentido propio. Las críticas formuladas se articulan en torno a tres ideas: (i) la expresión “por la libertad de los presos políticos, por la república catalana y el mandato del 1 de octubre”, leída en el contexto del procés, a la luz de varias sentencias del Tribunal Constitucional (cita en particular las SSTC 259/2015, de 2 de diciembre; 114/2017, de 17 de octubre y 124/2017, de 8 de noviembre; así como la STS 459/2019, de 14 de octubre), no puede satisfacer el requisito de los arts. 4 y 20 RCD porque vacían el contenido del requisito de acatamiento; (ii) por su parte, la fórmula “por imperativo legal, hasta la creación de la república vasca”, supone que la exigencia formal de asumir el deber de acatar la Constitución quedaría sometido a una condición resolutoria del hecho futuro e incierto de la “creación de la república vasca”; (iii) y, por último, hay un tercer conjunto de fórmulas cuyas palabras no se perciben bien y no quedan reflejadas en el diario de sesiones, de modo que no se puede saber si cumplieron adecuadamente con el requisito o no.</w:t>
      </w:r>
    </w:p>
    <w:p w14:paraId="63057F82" w14:textId="77777777" w:rsidR="008D479B" w:rsidRDefault="008D479B" w:rsidP="008D479B">
      <w:pPr>
        <w:pStyle w:val="TextoNormal"/>
      </w:pPr>
    </w:p>
    <w:p w14:paraId="35B724D5" w14:textId="77777777" w:rsidR="008D479B" w:rsidRDefault="008D479B" w:rsidP="008D479B">
      <w:pPr>
        <w:pStyle w:val="TextoNormal"/>
      </w:pPr>
      <w:r>
        <w:t>Los recurrentes en amparo tachan de “absolutamente inconstitucional” la decisión de la presidenta del Congreso al decidir que “todas las señoras y los señores diputados que han contestado al llamamiento han adquirido la condición plena de diputados y diputadas”; dado que los diputados y diputadas que emplearon las fórmulas impugnadas y consideradas contrarias a la Constitución, no cumplieron el requisito formal del acatamiento, imprescindible para la adquisición plena de la condición de diputado (art. 108.8 LOREG). Así, ni siquiera en la interpretación “no excesivamente ritual ni rigorista” que postula la jurisprudencia constitucional (STC 74/1991, FJ 5), puede entenderse cumplimentado el requisito para el pleno acceso al cargo representativo.</w:t>
      </w:r>
    </w:p>
    <w:p w14:paraId="5E2F9F6E" w14:textId="77777777" w:rsidR="008D479B" w:rsidRDefault="008D479B" w:rsidP="008D479B">
      <w:pPr>
        <w:pStyle w:val="TextoNormal"/>
      </w:pPr>
    </w:p>
    <w:p w14:paraId="004C2F0D" w14:textId="77777777" w:rsidR="008D479B" w:rsidRDefault="008D479B" w:rsidP="008D479B">
      <w:pPr>
        <w:pStyle w:val="TextoNormal"/>
      </w:pPr>
      <w:r>
        <w:t>b) El segundo argumento del recurso consiste en asociar a estos defectos en la fórmula de acatamiento, la vulneración del derecho a la participación política de los recurrentes en amparo, tal y como este se encuentra recogido en el art. 23.2 CE.</w:t>
      </w:r>
    </w:p>
    <w:p w14:paraId="25EAFE16" w14:textId="77777777" w:rsidR="008D479B" w:rsidRDefault="008D479B" w:rsidP="008D479B">
      <w:pPr>
        <w:pStyle w:val="TextoNormal"/>
      </w:pPr>
    </w:p>
    <w:p w14:paraId="0B9D7826" w14:textId="77777777" w:rsidR="008D479B" w:rsidRDefault="008D479B" w:rsidP="008D479B">
      <w:pPr>
        <w:pStyle w:val="TextoNormal"/>
      </w:pPr>
      <w:r>
        <w:t xml:space="preserve">Partiendo de la inconstitucionalidad de las fórmulas de acatamiento empleadas por los veintinueve diputados y diputadas individualizadas en la demanda de amparo, los recurrentes justifican por qué tal vulneración, que se imputa a la presidenta del Congreso, incide en su propio derecho a la participación política (art. 23.2 CE). Acudiendo al contenido de las SSTC 115/2019, 96/2019, 52/2019, 42/2019, 41/2019, 47/2018, 46/2018, 27/2018, 10/2018, 71/2017, 225/2016, 224/2016, 109/2016, 108/2016 y 107/2016, los recurrentes destacan la conexión entre el art. 23.2 CE, la necesaria protección de las minorías y la observancia de los requisitos formales y procedimentales como garantía de los derechos de participación política de esas minorías. En esta línea las decisiones de la presidenta del Congreso habrían lesionado el núcleo esencial del </w:t>
      </w:r>
      <w:r w:rsidRPr="008D479B">
        <w:rPr>
          <w:i/>
        </w:rPr>
        <w:t>ius in officium</w:t>
      </w:r>
      <w:r>
        <w:t xml:space="preserve"> de los recurrentes que, como minoría en el Congreso de los Diputados, tienen derecho al control de la actividad parlamentaria y a exigir de los órganos del Congreso el cumplimiento de las “las reglas de juego insoslayables” que mantienen unida a la comunidad dentro de los parámetros del pluralismo. En particular, dentro de esas reglas cobran especial importancia para la garantía de los derechos de las minorías, el respeto a formas y procedimientos.</w:t>
      </w:r>
    </w:p>
    <w:p w14:paraId="14EB3A3A" w14:textId="77777777" w:rsidR="008D479B" w:rsidRDefault="008D479B" w:rsidP="008D479B">
      <w:pPr>
        <w:pStyle w:val="TextoNormal"/>
      </w:pPr>
    </w:p>
    <w:p w14:paraId="29DB1730" w14:textId="77777777" w:rsidR="008D479B" w:rsidRDefault="008D479B" w:rsidP="008D479B">
      <w:pPr>
        <w:pStyle w:val="TextoNormal"/>
      </w:pPr>
      <w:r>
        <w:t xml:space="preserve">Así, el pleno acceso a la condición de diputado a través del cumplimiento de los requisitos formales de los arts. 108.8 LOREG y 20 RCD supone un procedimiento solemne que entraña una regla insoslayable, mediante la cual los cargos que van a representar al pueblo español (art. 66.1 CE), en el que reside la soberanía nacional (art. 1.2 CE), asumen formalmente el compromiso de acatamiento de la Constitución y, en consecuencia, de las propias reglas del juego democrático, sin las cuales la democracia, sin más, deviene imposible. Y, adicionalmente, el ejercicio de las funciones esenciales vinculadas al </w:t>
      </w:r>
      <w:r w:rsidRPr="008D479B">
        <w:rPr>
          <w:i/>
        </w:rPr>
        <w:t>ius in officium</w:t>
      </w:r>
      <w:r>
        <w:t xml:space="preserve"> (la legislativa, la de control del Ejecutivo o la de las minorías de control de la actividad parlamentaria de las mayorías) queda condicionado por la inconstitucional formación de la Cámara representativa, que integró en su seno, con plenos derechos, a quienes no habían cumplido con el esencial requisito de acatamiento a las reglas insoslayables del juego democrático. Siendo esa irregular conformación de la Cámara, la que afecta a las funciones esenciales del Congreso dando plena participación en los debates, en las votaciones, en la tramitación y aprobación de leyes, en las sesiones de control al Gobierno y en las decisiones internas de la Cámara, a quienes no deberían encontrarse en el pleno ejercicio del cargo representativo al no haber cumplido con el requisito mínimo inexcusable de aceptar previamente esas reglas insoslayables de la democracia.</w:t>
      </w:r>
    </w:p>
    <w:p w14:paraId="2CE292EE" w14:textId="77777777" w:rsidR="008D479B" w:rsidRDefault="008D479B" w:rsidP="008D479B">
      <w:pPr>
        <w:pStyle w:val="TextoNormal"/>
      </w:pPr>
    </w:p>
    <w:p w14:paraId="5A180391" w14:textId="46BE9F3E" w:rsidR="008D479B" w:rsidRDefault="008D479B" w:rsidP="008D479B">
      <w:pPr>
        <w:pStyle w:val="TextoNormal"/>
      </w:pPr>
      <w:r>
        <w:t>Por último, el escrito de interposición del recurso de amparo justifica la especial trascendencia constitucional del mismo en el hecho de que, por un lado plantea un problema o una faceta de un derecho fundamental susceptible de amparo sobre el que no hay doctrina del Tribunal Constitucional y, en segundo término, el asunto suscitado trasciende del caso concreto porque plantea una cuestión jurídica de relevante y general repercusión social o económica o tiene unas consecuencias políticas generales.</w:t>
      </w:r>
    </w:p>
    <w:p w14:paraId="22273C7F" w14:textId="77777777" w:rsidR="008D479B" w:rsidRDefault="008D479B" w:rsidP="008D479B">
      <w:pPr>
        <w:pStyle w:val="TextoNormal"/>
      </w:pPr>
    </w:p>
    <w:p w14:paraId="394D8F46" w14:textId="51801D53" w:rsidR="008D479B" w:rsidRDefault="008D479B" w:rsidP="008D479B">
      <w:pPr>
        <w:pStyle w:val="TextoNormal"/>
      </w:pPr>
      <w:r w:rsidRPr="008D479B">
        <w:rPr>
          <w:rStyle w:val="NumeroAFNegritaCaracter"/>
        </w:rPr>
        <w:t>4</w:t>
      </w:r>
      <w:r>
        <w:t>. La Sala Primera del Tribunal, por providencia de 15 de marzo de 2021, acordó admitir a trámite el recurso de amparo al apreciar que concurre en el mismo una especial trascendencia constitucional [art. 50.1 de la Ley Orgánica del Tribunal Constitucional (LOTC)] porque el recurso puede dar ocasión al Tribunal para aclarar o cambiar su doctrina, como consecuencia del surgimiento de nuevas realidades sociales [STC 155/2009, FJ 2 b)] y porque el asunto suscitado trasciende del caso concreto porque pudiera tener unas consecuencias políticas generales [STC 155/2009, FJ 2 g)]; asimismo acordó proponer la avocación al Pleno del presente recurso de amparo, de conformidad con lo dispuesto en el art. 10.1 n) LOTC.</w:t>
      </w:r>
    </w:p>
    <w:p w14:paraId="6B0442C3" w14:textId="77777777" w:rsidR="008D479B" w:rsidRDefault="008D479B" w:rsidP="008D479B">
      <w:pPr>
        <w:pStyle w:val="TextoNormal"/>
      </w:pPr>
    </w:p>
    <w:p w14:paraId="234108F6" w14:textId="11964E05" w:rsidR="008D479B" w:rsidRDefault="008D479B" w:rsidP="008D479B">
      <w:pPr>
        <w:pStyle w:val="TextoNormal"/>
      </w:pPr>
      <w:r w:rsidRPr="008D479B">
        <w:rPr>
          <w:rStyle w:val="NumeroAFNegritaCaracter"/>
        </w:rPr>
        <w:t>5</w:t>
      </w:r>
      <w:r>
        <w:t>. El Pleno del Tribunal, en reunión celebrada el 20 de abril de 2021, acordó recabar para sí el conocimiento del recurso de amparo. Convino, asimismo dirigir atenta comunicación al Congreso de los Diputados, a fin de que, en el plazo que no excediera de los diez días, remitiera certificación o fotocopia adverada de las actuaciones correspondientes a la adopción de las resoluciones impugnadas en el presente proceso de amparo. Adicionalmente instó a la Cámara a proceder al emplazamiento, en el mismo plazo, de quienes hubieran sido parte en el procedimiento para que pudieran comparecer en el recurso de amparo.</w:t>
      </w:r>
    </w:p>
    <w:p w14:paraId="68388D50" w14:textId="77777777" w:rsidR="008D479B" w:rsidRDefault="008D479B" w:rsidP="008D479B">
      <w:pPr>
        <w:pStyle w:val="TextoNormal"/>
      </w:pPr>
    </w:p>
    <w:p w14:paraId="5E39F587" w14:textId="77777777" w:rsidR="008D479B" w:rsidRDefault="008D479B" w:rsidP="008D479B">
      <w:pPr>
        <w:pStyle w:val="TextoNormal"/>
      </w:pPr>
      <w:r w:rsidRPr="008D479B">
        <w:rPr>
          <w:rStyle w:val="NumeroAFNegritaCaracter"/>
        </w:rPr>
        <w:t>6</w:t>
      </w:r>
      <w:r>
        <w:t>. La Secretaría de Justicia del Pleno del Tribunal, por diligencia de ordenación de 5 de julio de 2021, tuvo por recibido el testimonio de las actuaciones, y por personados:</w:t>
      </w:r>
    </w:p>
    <w:p w14:paraId="725350D4" w14:textId="77777777" w:rsidR="008D479B" w:rsidRDefault="008D479B" w:rsidP="008D479B">
      <w:pPr>
        <w:pStyle w:val="TextoNormal"/>
      </w:pPr>
    </w:p>
    <w:p w14:paraId="780A301B" w14:textId="77777777" w:rsidR="008D479B" w:rsidRDefault="008D479B" w:rsidP="008D479B">
      <w:pPr>
        <w:pStyle w:val="TextoNormal"/>
      </w:pPr>
      <w:r>
        <w:t>(i) Al Congreso de los Diputados, que presentó escrito en ese sentido el 6 de mayo de 2021.</w:t>
      </w:r>
    </w:p>
    <w:p w14:paraId="0E77954E" w14:textId="77777777" w:rsidR="008D479B" w:rsidRDefault="008D479B" w:rsidP="008D479B">
      <w:pPr>
        <w:pStyle w:val="TextoNormal"/>
      </w:pPr>
    </w:p>
    <w:p w14:paraId="31D085FA" w14:textId="77777777" w:rsidR="008D479B" w:rsidRDefault="008D479B" w:rsidP="008D479B">
      <w:pPr>
        <w:pStyle w:val="TextoNormal"/>
      </w:pPr>
      <w:r>
        <w:t>(ii) Al procurador de los tribunales don Emilio Martínez Benítez, que presentó escrito de personación el 18 de mayo de 2021, en nombre y representación de doña Inés Granollers i Cunillera, don Francesc Xavier Eritja i Ciuró, doña Norma Pujol i Farré, don Joan Margall i Sastre, doña Monserrat Bassa i Coll, doña María Carvalho Dantas, don Jordi Salvador i Duch y doña Pilar Vallugera Balaña, todos ellos asistidos por la dirección letrada de don Marc Marsal Ferret.</w:t>
      </w:r>
    </w:p>
    <w:p w14:paraId="3DCF26B9" w14:textId="77777777" w:rsidR="008D479B" w:rsidRDefault="008D479B" w:rsidP="008D479B">
      <w:pPr>
        <w:pStyle w:val="TextoNormal"/>
      </w:pPr>
    </w:p>
    <w:p w14:paraId="2A3A96DC" w14:textId="77777777" w:rsidR="008D479B" w:rsidRDefault="008D479B" w:rsidP="008D479B">
      <w:pPr>
        <w:pStyle w:val="TextoNormal"/>
      </w:pPr>
      <w:r>
        <w:t>(iii) Al procurador de los tribunales, don José Miguel Martínez-Fresneda Gambra, que presentó escrito de personación el 18 de mayo de 2021, en nombre y representación de don Jaume Asens Llodrá, doña Ione Belarra Urteaga, don Ismael Cortés Gómez, doña Yolanda Díaz Pérez, don Pablo Echenique Robba, doña María Gloria Elizo Serrano, doña Sofía Fernández Castañón, doña Isabel Franco Carmona, doña María del Mar García Puig, doña Pilar Garrido Gutiérrez, don Alberto Garzón Espinosa, don Antonio Gómez-Reino Varela, don Txema Guijarro García, don Pedro Antonio Honrubia Hurtado, don Pablo Iglesias Turrión, don Héctor Illueca Ballester, doña Antonia Jover Díaz, don Juan Antonio López de Uralde Garmendia, doña Roser Maestro Moliner, doña María Márquez Guerrero, doña Laura López Domínguez, don Rafael Mayoral Perales, don Joan Mena Arca, doña Irene María Montero Gil, doña Lucía Muñoz Dalda, don Gerardo Pisarello Prados, don Alberto Rodríguez Rodríguez, doña María Victoria Rosell Aguilar, doña Marisa Saavedra Muñoz, don Javier Sánchez Serna, don Enrique Fernando Santiago Romero, don Roberto Uriarte Torrealday, doña Martina Velarde Gómez, doña Noelia Vera Ruiz-Herrera y doña Aina Vidal Sáez, con la asistencia letrada de doña Andrea Conte Santiago, don Juan Moreno Redondo y don Gorka Vellé Bergado.</w:t>
      </w:r>
    </w:p>
    <w:p w14:paraId="18F4D023" w14:textId="77777777" w:rsidR="008D479B" w:rsidRDefault="008D479B" w:rsidP="008D479B">
      <w:pPr>
        <w:pStyle w:val="TextoNormal"/>
      </w:pPr>
    </w:p>
    <w:p w14:paraId="79EDBCC3" w14:textId="77777777" w:rsidR="008D479B" w:rsidRDefault="008D479B" w:rsidP="008D479B">
      <w:pPr>
        <w:pStyle w:val="TextoNormal"/>
      </w:pPr>
      <w:r>
        <w:t>(iv) A la procuradora de los tribunales, doña Virgina Aragón Segura, que presentó escrito de personación el 19 de mayo de 2021, en nombre y representación de doña Ana Belén Fernández Casero, doña Adriana Lastra Fernández, don Guillermo Antonio Meijón Couselo, doña Susana Ros Martínez, don Felipe Jesús Sicilia Alférez, don Rafael Simancas Simancas y don José Zaragoza Alonso, con la asistencia letrada de don Alberto Cachinero Capitán.</w:t>
      </w:r>
    </w:p>
    <w:p w14:paraId="3EE8A46B" w14:textId="77777777" w:rsidR="008D479B" w:rsidRDefault="008D479B" w:rsidP="008D479B">
      <w:pPr>
        <w:pStyle w:val="TextoNormal"/>
      </w:pPr>
    </w:p>
    <w:p w14:paraId="319FA0FE" w14:textId="77777777" w:rsidR="008D479B" w:rsidRDefault="008D479B" w:rsidP="008D479B">
      <w:pPr>
        <w:pStyle w:val="TextoNormal"/>
      </w:pPr>
      <w:r>
        <w:t>(v) A la procuradora de los tribunales, doña Isabel Alfonso Rodríguez, que presentó escrito de personación el 19 de mayo de 2021, en nombre y representación de doña Mireia Vehí Cantenys y don Albert Botran Pahissa bajo la dirección letrada de don Benet Salellas i Vilar.</w:t>
      </w:r>
    </w:p>
    <w:p w14:paraId="38DB0210" w14:textId="77777777" w:rsidR="008D479B" w:rsidRDefault="008D479B" w:rsidP="008D479B">
      <w:pPr>
        <w:pStyle w:val="TextoNormal"/>
      </w:pPr>
    </w:p>
    <w:p w14:paraId="65500E03" w14:textId="77777777" w:rsidR="008D479B" w:rsidRDefault="008D479B" w:rsidP="008D479B">
      <w:pPr>
        <w:pStyle w:val="TextoNormal"/>
      </w:pPr>
      <w:r>
        <w:t>(vi) Al procurador de los tribunales, don Federico Ortiz-Cañavate Levenfeld, que presentó escrito de personación el 20 de mayo de 2021, en nombre y representación de doña Concepción Cañadel Salvia con la asistencia letrada de don Genís Boadella i Esteve.</w:t>
      </w:r>
    </w:p>
    <w:p w14:paraId="02D9BAFA" w14:textId="77777777" w:rsidR="008D479B" w:rsidRDefault="008D479B" w:rsidP="008D479B">
      <w:pPr>
        <w:pStyle w:val="TextoNormal"/>
      </w:pPr>
    </w:p>
    <w:p w14:paraId="7E399791" w14:textId="77777777" w:rsidR="008D479B" w:rsidRDefault="008D479B" w:rsidP="008D479B">
      <w:pPr>
        <w:pStyle w:val="TextoNormal"/>
      </w:pPr>
      <w:r>
        <w:t>(vii) Al procurador de los tribunales, don Emilio Martínez Benítez, que presentó escrito de personación el 20 de mayo de 2021, en nombre y representación de don Joan Josep Nuet i Pujals bajo la dirección letrada de don Marc Marsal i Ferret.</w:t>
      </w:r>
    </w:p>
    <w:p w14:paraId="65E7183F" w14:textId="77777777" w:rsidR="008D479B" w:rsidRDefault="008D479B" w:rsidP="008D479B">
      <w:pPr>
        <w:pStyle w:val="TextoNormal"/>
      </w:pPr>
    </w:p>
    <w:p w14:paraId="30B0F7C0" w14:textId="77777777" w:rsidR="008D479B" w:rsidRDefault="008D479B" w:rsidP="008D479B">
      <w:pPr>
        <w:pStyle w:val="TextoNormal"/>
      </w:pPr>
      <w:r>
        <w:t>(viii) Al procurador de los tribunales, don Javier Cuevas Rivas, que presentó escrito de personación el 21 de mayo de 2021, en nombre y representación de doña Mercedes Aizpurúa Arzallus, don Oskar Matute García de Jalón, don Jon Iñarritu García, doña María Isabel Pozueta Fernández y don Iñaki Anselmo Ruiz de Pinedo Undiano, bajo la dirección letrada de don Iñigo Iruin Sanz.</w:t>
      </w:r>
    </w:p>
    <w:p w14:paraId="50E9E75F" w14:textId="77777777" w:rsidR="008D479B" w:rsidRDefault="008D479B" w:rsidP="008D479B">
      <w:pPr>
        <w:pStyle w:val="TextoNormal"/>
      </w:pPr>
    </w:p>
    <w:p w14:paraId="4C4B82DB" w14:textId="77777777" w:rsidR="008D479B" w:rsidRDefault="008D479B" w:rsidP="008D479B">
      <w:pPr>
        <w:pStyle w:val="TextoNormal"/>
      </w:pPr>
      <w:r>
        <w:t>(ix) Al procurador de los tribunales, don Carlos Ricardo Estévez Sanz, que presentó escrito de personación el 21 de mayo de 2021, en nombre y representación de doña María Teresa Rivero Segalàs, doña Miriam Nogueras Camero, doña Laura Borrás Castanyer, don Josep Lluis Cleries González, don Josep María Matamala Alsina, y doña Mariona Illamola Dausà, bajo la dirección letrada de don Gonzalo Boye Tuset y doña Isabel Elbal Sánchez.</w:t>
      </w:r>
    </w:p>
    <w:p w14:paraId="68F60D97" w14:textId="77777777" w:rsidR="008D479B" w:rsidRDefault="008D479B" w:rsidP="008D479B">
      <w:pPr>
        <w:pStyle w:val="TextoNormal"/>
      </w:pPr>
    </w:p>
    <w:p w14:paraId="31E921A3" w14:textId="77777777" w:rsidR="008D479B" w:rsidRDefault="008D479B" w:rsidP="008D479B">
      <w:pPr>
        <w:pStyle w:val="TextoNormal"/>
      </w:pPr>
      <w:r>
        <w:t>(x) Al procurador de los tribunales, don Emilio Martínez Benítez, que presentó escrito de personación el 25 de mayo de 2021, en nombre y representación de doña Marta Rosique i Saltor y doña Carolina Telechea i Lozano, bajo la dirección letrada de don Gonzalo Boye Tuset y doña Isabel Elbal Sánchez.</w:t>
      </w:r>
    </w:p>
    <w:p w14:paraId="6A04DBDB" w14:textId="77777777" w:rsidR="008D479B" w:rsidRDefault="008D479B" w:rsidP="008D479B">
      <w:pPr>
        <w:pStyle w:val="TextoNormal"/>
      </w:pPr>
    </w:p>
    <w:p w14:paraId="05CC361B" w14:textId="77777777" w:rsidR="008D479B" w:rsidRDefault="008D479B" w:rsidP="008D479B">
      <w:pPr>
        <w:pStyle w:val="TextoNormal"/>
      </w:pPr>
      <w:r>
        <w:t>(xi) Al procurador de los tribunales, don Federico Ortiz-Cañavate Levenfeld, que presentó escrito de personación el 31 de mayo de 2021, en nombre y representación de don Genís Boadella i Esteve, con la asistencia letrada de doña Lidia Fernández García.</w:t>
      </w:r>
    </w:p>
    <w:p w14:paraId="0A8FEA9B" w14:textId="77777777" w:rsidR="008D479B" w:rsidRDefault="008D479B" w:rsidP="008D479B">
      <w:pPr>
        <w:pStyle w:val="TextoNormal"/>
      </w:pPr>
    </w:p>
    <w:p w14:paraId="6C5EACBB" w14:textId="6CAE091F" w:rsidR="008D479B" w:rsidRDefault="008D479B" w:rsidP="008D479B">
      <w:pPr>
        <w:pStyle w:val="TextoNormal"/>
      </w:pPr>
      <w:r>
        <w:t>(xii) Al procurador de los tribunales, don Emilio Martínez Benítez, que presentó escrito de personación el 4 de junio de 2021, en nombre y representación de don Gabriel Rufián Romero, bajo la dirección letrada de don Marc Marsal i Ferret.</w:t>
      </w:r>
    </w:p>
    <w:p w14:paraId="146FCA16" w14:textId="77777777" w:rsidR="008D479B" w:rsidRDefault="008D479B" w:rsidP="008D479B">
      <w:pPr>
        <w:pStyle w:val="TextoNormal"/>
      </w:pPr>
    </w:p>
    <w:p w14:paraId="1D8CDDC8" w14:textId="4024F67B" w:rsidR="008D479B" w:rsidRDefault="008D479B" w:rsidP="008D479B">
      <w:pPr>
        <w:pStyle w:val="TextoNormal"/>
      </w:pPr>
      <w:r w:rsidRPr="008D479B">
        <w:rPr>
          <w:rStyle w:val="NumeroAFNegritaCaracter"/>
        </w:rPr>
        <w:t>7</w:t>
      </w:r>
      <w:r>
        <w:t>. En la misma diligencia de ordenación de 5 de julio de 2021 el Pleno, en aplicación de lo dispuesto en el artículo 52 LOTC, confiere traslado para alegaciones a las partes y la Fiscalía por un plazo común de veinte días.</w:t>
      </w:r>
    </w:p>
    <w:p w14:paraId="4B24909A" w14:textId="77777777" w:rsidR="008D479B" w:rsidRDefault="008D479B" w:rsidP="008D479B">
      <w:pPr>
        <w:pStyle w:val="TextoNormal"/>
      </w:pPr>
    </w:p>
    <w:p w14:paraId="4EB7EFCF" w14:textId="77777777" w:rsidR="008D479B" w:rsidRDefault="008D479B" w:rsidP="008D479B">
      <w:pPr>
        <w:pStyle w:val="TextoNormal"/>
      </w:pPr>
      <w:r w:rsidRPr="008D479B">
        <w:rPr>
          <w:rStyle w:val="NumeroAFNegritaCaracter"/>
        </w:rPr>
        <w:t>8</w:t>
      </w:r>
      <w:r>
        <w:t>. El Congreso de los Diputados, mediante escrito registrado el 1 de septiembre de 2021, presentó sus alegaciones solicitando la desestimación del presente recurso de amparo. Las alegaciones de la Cámara coinciden, sustancialmente, con las presentadas en el recurso de amparo núm. 4577-2019, resuelto por la STC 65/2023, de 6 de junio (“Boletín Oficial del Estado” núm. 167, de 14 de julio de 2023).</w:t>
      </w:r>
    </w:p>
    <w:p w14:paraId="6B2096D5" w14:textId="77777777" w:rsidR="008D479B" w:rsidRDefault="008D479B" w:rsidP="008D479B">
      <w:pPr>
        <w:pStyle w:val="TextoNormal"/>
      </w:pPr>
    </w:p>
    <w:p w14:paraId="38E9EA97" w14:textId="77777777" w:rsidR="008D479B" w:rsidRDefault="008D479B" w:rsidP="008D479B">
      <w:pPr>
        <w:pStyle w:val="TextoNormal"/>
      </w:pPr>
      <w:r>
        <w:t>El Congreso de los Diputados argumenta:</w:t>
      </w:r>
    </w:p>
    <w:p w14:paraId="31FEF0EF" w14:textId="77777777" w:rsidR="008D479B" w:rsidRDefault="008D479B" w:rsidP="008D479B">
      <w:pPr>
        <w:pStyle w:val="TextoNormal"/>
      </w:pPr>
    </w:p>
    <w:p w14:paraId="4BF934F1" w14:textId="77777777" w:rsidR="008D479B" w:rsidRDefault="008D479B" w:rsidP="008D479B">
      <w:pPr>
        <w:pStyle w:val="TextoNormal"/>
      </w:pPr>
      <w:r>
        <w:t>(i) Que los demandantes carecen de legitimación para la interposición del recurso de amparo, ya que los actos impugnados no afectan de forma directa a la esfera de sus intereses o derechos, pues no existe un derecho fundamental a que el resto de los diputados presten su acatamiento en una forma o con unas palabras determinadas, y que la circunstancia de que un diputado acate o no, en nada repercute en la esfera de intereses de los demás diputados. El recurso de amparo es un instrumento para reparar la lesión de derechos en la propia esfera personal, siendo un presupuesto que tal esfera personal quede afectada, lo que no sucede en este caso.</w:t>
      </w:r>
    </w:p>
    <w:p w14:paraId="2D138EB8" w14:textId="77777777" w:rsidR="008D479B" w:rsidRDefault="008D479B" w:rsidP="008D479B">
      <w:pPr>
        <w:pStyle w:val="TextoNormal"/>
      </w:pPr>
    </w:p>
    <w:p w14:paraId="3432B267" w14:textId="77777777" w:rsidR="008D479B" w:rsidRDefault="008D479B" w:rsidP="008D479B">
      <w:pPr>
        <w:pStyle w:val="TextoNormal"/>
      </w:pPr>
      <w:r>
        <w:t>(ii) La demanda parece plantear que la fórmula del juramento, tal y como se define reglamentariamente, es recurrible en sí, ya que permite la existencia de adiciones o matizaciones que la convierten en una fórmula inconstitucional. Pero este planteamiento puede entenderse como una impugnación de una norma con rango de ley (art. 20.1.3 RCD), y no como una contestación al acuerdo de la Presidencia y, por tanto, no sería objeto idóneo del presente recurso de amparo, sino de un eventual recurso de inconstitucionalidad.</w:t>
      </w:r>
    </w:p>
    <w:p w14:paraId="5B827E24" w14:textId="77777777" w:rsidR="008D479B" w:rsidRDefault="008D479B" w:rsidP="008D479B">
      <w:pPr>
        <w:pStyle w:val="TextoNormal"/>
      </w:pPr>
    </w:p>
    <w:p w14:paraId="4D51F056" w14:textId="77777777" w:rsidR="008D479B" w:rsidRDefault="008D479B" w:rsidP="008D479B">
      <w:pPr>
        <w:pStyle w:val="TextoNormal"/>
      </w:pPr>
      <w:r>
        <w:t>(iii) No se ha producido un adecuado agotamiento de la vía previa, porque los acuerdos de la Presidencia del Congreso en materia de acatamiento no son actos de trámite (STC 119/1990) sino que se trata de actos firmes por lo que no hay un recurso interno ante la mesa de la Cámara, que carece de competencia para revisar estas decisiones presidenciales. En consecuencia, el objeto de este recurso sería solo el acuerdo de la presidenta de 3 de diciembre de 2019 y no los acuerdos de la mesa de 13 de diciembre de 2019 y de 23 de enero de 2020.</w:t>
      </w:r>
    </w:p>
    <w:p w14:paraId="0C166C9C" w14:textId="77777777" w:rsidR="008D479B" w:rsidRDefault="008D479B" w:rsidP="008D479B">
      <w:pPr>
        <w:pStyle w:val="TextoNormal"/>
      </w:pPr>
    </w:p>
    <w:p w14:paraId="1291FFB4" w14:textId="77777777" w:rsidR="008D479B" w:rsidRDefault="008D479B" w:rsidP="008D479B">
      <w:pPr>
        <w:pStyle w:val="TextoNormal"/>
      </w:pPr>
      <w:r>
        <w:t>(iv) La demanda está deficientemente planteada, faltándole claridad y precisión, por lo que infringiría el art. 49.1 LOTC. La razón es la confusión entre el objeto del recurso y la exposición de la demanda respecto de las fórmulas de juramento utilizadas, porque no se sabe si se impugnan todas las fórmulas (a todas ellas sin distinción hace referencia la resolución de la Presidencia a que quedaría circunscrito el recurso de amparo) o solo las veintinueve individualizadas en el escrito de demanda.</w:t>
      </w:r>
    </w:p>
    <w:p w14:paraId="7A1AF3CB" w14:textId="77777777" w:rsidR="008D479B" w:rsidRDefault="008D479B" w:rsidP="008D479B">
      <w:pPr>
        <w:pStyle w:val="TextoNormal"/>
      </w:pPr>
    </w:p>
    <w:p w14:paraId="705AEA87" w14:textId="77777777" w:rsidR="008D479B" w:rsidRDefault="008D479B" w:rsidP="008D479B">
      <w:pPr>
        <w:pStyle w:val="TextoNormal"/>
      </w:pPr>
      <w:r>
        <w:t>(v) Respecto de las fórmulas de acatamiento de la Constitución, el escrito de alegaciones realiza una síntesis de su significado, su regulación legal, las prácticas parlamentarias y de la Junta Electoral Central alusivas, la jurisprudencia constitucional (con cita de las SSTC 101/1983, 122/1983, 119/1990 y 74/1991) y la jurisprudencia del Tribunal de Justicia de la Unión Europea (STJUE Gran Sala, de 19 de diciembre de 2019, asunto C-502/19), poniendo de manifiesto que (i) el uso por los diputados, en el momento del acatamiento de la Constitución, de palabras expresivas del ideario político propio podrá considerarse improcedente, inoportuno o incluso inadecuado o irrespetuoso, pero debe entenderse que queda amparado por el valor superior del pluralismo político (art. 1.1 CE), la libertad ideológica (art. 16.1 CE), la libertad de expresión [art. 20.1 a) CE] y la prohibición de censura (art. 20.2 CE), en el marco del derecho a participar en los asuntos públicos (art. 23.2 CE) y a acceder a las funciones y cargos públicos (art. 23.1 CE); (ii) la libertad de expresión tiene una aplicación concreta en el caso del acatamiento, la expresión de las manifestaciones políticas en que se traducen no tiene efecto invalidante o condicionante sobre la voluntad de acatar la Constitución; ninguno de los diputados utilizó fórmulas lingüísticas condicionadas o de excepción, que serían las fórmulas cuyo uso dejaría vacío de contenido el acatamiento, por lo que la intención de acatar ha sido manifestada válidamente, acompañada de declaraciones políticas significativas que hacen patente el vínculo representativo con los electores; (iii) la democracia española no es una democracia militante, de modo que no es exigible que en el acatamiento se tenga que manifestar que se profesan los ideales encarnados en la Constitución, que se está de acuerdo con la Constitución, porque el acatamiento es solo un requisito formal; además la Presidencia no tiene capacidad de imposición de una fórmula, ni capacidad de revisión de las expresiones que las personas electas añaden a la fórmula de “sí, juro” o “sí, prometo”, solo que efectivamente se haya pronunciado, que es lo único que exige el Reglamento y su norma de desarrollo.</w:t>
      </w:r>
    </w:p>
    <w:p w14:paraId="500E9738" w14:textId="77777777" w:rsidR="008D479B" w:rsidRDefault="008D479B" w:rsidP="008D479B">
      <w:pPr>
        <w:pStyle w:val="TextoNormal"/>
      </w:pPr>
    </w:p>
    <w:p w14:paraId="60D1C2D5" w14:textId="77777777" w:rsidR="008D479B" w:rsidRDefault="008D479B" w:rsidP="008D479B">
      <w:pPr>
        <w:pStyle w:val="TextoNormal"/>
      </w:pPr>
      <w:r>
        <w:t>(vi) Los acuerdos impugnados no vulneran el art. 23 CE, ya que este precepto garantiza el ejercicio de la función representativa, pero no incluye el hipotético derecho de los diputados demandantes a que la Cámara tenga una determinada composición o a que, en función de ello, los resultados de las votaciones sean unos u otros, por lo que el hecho de que unos diputados hayan adquirido su condición plena en nada afecta al derecho del art. 23 CE de los demandantes, puesto que el ejercicio de su función representativa solo depende de que ellos mismos adquieran plenamente su condición, no de que lo hagan los demás ni tampoco el que la Cámara debiera tener una composición distinta porque no se debería incluir a los diputados que supuestamente no han cumplido debidamente el requisito, pues sus derechos se pueden ejercer con independencia de quiénes sean los miembros de esa Cámara en cada momento.</w:t>
      </w:r>
    </w:p>
    <w:p w14:paraId="401486E9" w14:textId="77777777" w:rsidR="008D479B" w:rsidRDefault="008D479B" w:rsidP="008D479B">
      <w:pPr>
        <w:pStyle w:val="TextoNormal"/>
      </w:pPr>
    </w:p>
    <w:p w14:paraId="39B04219" w14:textId="7ED93B13" w:rsidR="008D479B" w:rsidRDefault="008D479B" w:rsidP="008D479B">
      <w:pPr>
        <w:pStyle w:val="TextoNormal"/>
      </w:pPr>
      <w:r>
        <w:t>(vii) Tampoco se vulnera el derecho a la igualdad por el hecho de que otros hayan accedido al cargo representativo utilizando diversas expresiones, porque ellos, eventualmente, si lo hubieran querido, también las hubieran podido usar, y con el mismo resultado de aplicación por parte de la presidenta, considerando que habrían perfeccionado su condición.</w:t>
      </w:r>
    </w:p>
    <w:p w14:paraId="44F3E16B" w14:textId="77777777" w:rsidR="008D479B" w:rsidRDefault="008D479B" w:rsidP="008D479B">
      <w:pPr>
        <w:pStyle w:val="TextoNormal"/>
      </w:pPr>
    </w:p>
    <w:p w14:paraId="4B35B889" w14:textId="66F52DEB" w:rsidR="008D479B" w:rsidRDefault="008D479B" w:rsidP="008D479B">
      <w:pPr>
        <w:pStyle w:val="TextoNormal"/>
      </w:pPr>
      <w:r w:rsidRPr="008D479B">
        <w:rPr>
          <w:rStyle w:val="NumeroAFNegritaCaracter"/>
        </w:rPr>
        <w:t>9</w:t>
      </w:r>
      <w:r>
        <w:t>. Los diputados y diputadas recurrentes en amparo presentaron su escrito de alegaciones el 2 de septiembre de 2021, remitiéndose al escrito de demanda y sin añadir consideraciones adicionales.</w:t>
      </w:r>
    </w:p>
    <w:p w14:paraId="0C626D6B" w14:textId="77777777" w:rsidR="008D479B" w:rsidRDefault="008D479B" w:rsidP="008D479B">
      <w:pPr>
        <w:pStyle w:val="TextoNormal"/>
      </w:pPr>
    </w:p>
    <w:p w14:paraId="054D6AF2" w14:textId="77777777" w:rsidR="008D479B" w:rsidRDefault="008D479B" w:rsidP="008D479B">
      <w:pPr>
        <w:pStyle w:val="TextoNormal"/>
      </w:pPr>
      <w:r w:rsidRPr="008D479B">
        <w:rPr>
          <w:rStyle w:val="NumeroAFNegritaCaracter"/>
        </w:rPr>
        <w:t>10</w:t>
      </w:r>
      <w:r>
        <w:t>. El procurador de los tribunales don Javier Cuevas Rivas, por escrito registrado el 2 de septiembre de 2021, presentó alegaciones en nombre y representación de doña Mercedes Aizpurúa Arzallus, don Oskar Matute García de Jalón, don Jon Iñarritu García, doña María Isabel Pozueta Fernández y don Iñaki Anselmo Ruiz de Pinedo Undiano, solicitando la desestimación del presente recurso de amparo. Los argumentos en que se sustenta la pretensión son los siguientes:</w:t>
      </w:r>
    </w:p>
    <w:p w14:paraId="256C1C17" w14:textId="77777777" w:rsidR="008D479B" w:rsidRDefault="008D479B" w:rsidP="008D479B">
      <w:pPr>
        <w:pStyle w:val="TextoNormal"/>
      </w:pPr>
    </w:p>
    <w:p w14:paraId="60E964EA" w14:textId="77777777" w:rsidR="008D479B" w:rsidRDefault="008D479B" w:rsidP="008D479B">
      <w:pPr>
        <w:pStyle w:val="TextoNormal"/>
      </w:pPr>
      <w:r>
        <w:t>(i) La jurisprudencia constitucional niega que el ordenamiento constitucional español dé cabida a una democracia militante (SSTC 48/2003, de 12 de marzo; 5/2004, de 16 de enero; 235/2007, de 7 de noviembre; 12/2008, de 29 de enero; 31/2009, de 29 de enero, y 42/2014, de 25 de marzo), lo que significa que las ideologías formuladas pacíficamente no pueden determinar el ejercicio de los derechos fundamentales de participación, expresión y asociación. En consecuencia, se puede defender la República como forma de Estado, e incluso la constitución de una república vasca para determinados territorios del Estado español, siempre que para su consecución no se lleven a cabo actividades que lesionen efectivamente los principios democráticos o los derechos fundamentales.</w:t>
      </w:r>
    </w:p>
    <w:p w14:paraId="1EF9A7BE" w14:textId="77777777" w:rsidR="008D479B" w:rsidRDefault="008D479B" w:rsidP="008D479B">
      <w:pPr>
        <w:pStyle w:val="TextoNormal"/>
      </w:pPr>
    </w:p>
    <w:p w14:paraId="60C76AA5" w14:textId="77777777" w:rsidR="008D479B" w:rsidRDefault="008D479B" w:rsidP="008D479B">
      <w:pPr>
        <w:pStyle w:val="TextoNormal"/>
      </w:pPr>
      <w:r>
        <w:t>(ii) La doctrina constitucional sobre el acatamiento de la Constitución contenida en las SSTC 119/1990 y 74/1991 establece que el mismo es requisito para acceder a la condición plena de diputado, y que su exigencia no contradice el art. 23 CE que tampoco la impone, siendo el acatamiento decisión del legislador expresa en los arts. 4.1 RCD y 108.8 LOREG. Además, la interpretación del alcance de los requisitos establecidos para el ejercicio del art. 23.2 CE debe ser flexible, no rigorista, no ritualista, finalista e integradora, por tanto, los añadidos a la fórmula de acatamiento de “sí, juro” o “sí, prometo”, solo serán inconstitucionales si condicionan o limitan el acatamiento invalidándolo. En el caso de las fórmulas de juramento utilizadas por los diputados y diputadas de esta parte, no se utilizan en ellas vocablos ininteligibles, ya se habían utilizado en anteriores legislaturas, y no se trata de fórmulas abiertamente contrarias al orden constitucional.</w:t>
      </w:r>
    </w:p>
    <w:p w14:paraId="591B1872" w14:textId="77777777" w:rsidR="008D479B" w:rsidRDefault="008D479B" w:rsidP="008D479B">
      <w:pPr>
        <w:pStyle w:val="TextoNormal"/>
      </w:pPr>
    </w:p>
    <w:p w14:paraId="7032DD7E" w14:textId="6702EDFD" w:rsidR="008D479B" w:rsidRDefault="008D479B" w:rsidP="008D479B">
      <w:pPr>
        <w:pStyle w:val="TextoNormal"/>
      </w:pPr>
      <w:r>
        <w:t>(iii) La sentencia de 19 de diciembre de 2019 del Tribunal de Justicia de la Unión Europea (Gran Sala) (C-502/19) resuelve la petición de decisión prejudicial planteada, con arreglo al artículo 267 del Tratado de Funcionamiento de la Unión Europea, por la Sala Segunda del Tribunal Supremo, en relación con la interpretación del artículo 9 del Protocolo (núm. 7) sobre los privilegios y las inmunidades de la Unión Europea. De esta sentencia se deriva que una persona que es oficialmente proclamada electa al Parlamento Europeo adquiere por ese hecho y desde ese momento la condición de miembro de dicha institución. De aquí se deriva que la especial trascendencia constitucional del presente recurso de amparo podría vincularse a la necesidad de cambiar la doctrina constitucional previa para ajustarla a la jurisprudencia del Tribunal de Justicia de la Unión Europea. De conformidad con esa doctrina europea lo procedente sería la derogación del artículo 108.8 LOREG y demás normas concordantes, así como del inciso segundo del artículo 4.1 RCD, del apartado tercero del artículo 20 RCD y del inciso segundo del artículo 20.2 RCD, o, en su caso, la eliminación del carácter obligatorio de la prestación del acatamiento para adquirir la condición plena de diputado.</w:t>
      </w:r>
    </w:p>
    <w:p w14:paraId="665DDA8E" w14:textId="77777777" w:rsidR="008D479B" w:rsidRDefault="008D479B" w:rsidP="008D479B">
      <w:pPr>
        <w:pStyle w:val="TextoNormal"/>
      </w:pPr>
    </w:p>
    <w:p w14:paraId="1AD3768B" w14:textId="77777777" w:rsidR="008D479B" w:rsidRDefault="008D479B" w:rsidP="008D479B">
      <w:pPr>
        <w:pStyle w:val="TextoNormal"/>
      </w:pPr>
      <w:r w:rsidRPr="008D479B">
        <w:rPr>
          <w:rStyle w:val="NumeroAFNegritaCaracter"/>
        </w:rPr>
        <w:t>11</w:t>
      </w:r>
      <w:r>
        <w:t>. Mediante escrito registrado el 2 de septiembre de 2021, la procuradora de los tribunales doña Isabel Alfonso Rodríguez, presentó alegaciones en nombre y representación de doña Mireia Vehí Cantenys y don Albert Botran Pahissa, solicitando la desestimación del presente recurso de amparo. Los argumentos que sustentan la petición son los siguientes:</w:t>
      </w:r>
    </w:p>
    <w:p w14:paraId="2CDCC199" w14:textId="77777777" w:rsidR="008D479B" w:rsidRDefault="008D479B" w:rsidP="008D479B">
      <w:pPr>
        <w:pStyle w:val="TextoNormal"/>
      </w:pPr>
    </w:p>
    <w:p w14:paraId="5717F44F" w14:textId="77777777" w:rsidR="008D479B" w:rsidRDefault="008D479B" w:rsidP="008D479B">
      <w:pPr>
        <w:pStyle w:val="TextoNormal"/>
      </w:pPr>
      <w:r>
        <w:t>(i) Los recurrentes pretenden reabrir un debate ya resuelto en el seno de este Tribunal Constitucional mediante las SSTC 119/1990 y 74/1991, cuya doctrina proyectan al presente recurso de amparo de forma incorrecta.</w:t>
      </w:r>
    </w:p>
    <w:p w14:paraId="39C48876" w14:textId="77777777" w:rsidR="008D479B" w:rsidRDefault="008D479B" w:rsidP="008D479B">
      <w:pPr>
        <w:pStyle w:val="TextoNormal"/>
      </w:pPr>
    </w:p>
    <w:p w14:paraId="29DE2822" w14:textId="77777777" w:rsidR="008D479B" w:rsidRDefault="008D479B" w:rsidP="008D479B">
      <w:pPr>
        <w:pStyle w:val="TextoNormal"/>
      </w:pPr>
      <w:r>
        <w:t>(ii) No forma parte del contenido esencial del artículo 23 CE una determinada y concreta forma de acatamiento de la Constitución como requisito previo al desempeño de un cargo electo, tal y como se ha encargado de aclarar la STC 119/1990, mientras que sí forma parte del núcleo del derecho fundamental de la participación política el acceso al cargo de diputado, por tratarse del ejercicio de representación, fundamento básico del principio democrático.</w:t>
      </w:r>
    </w:p>
    <w:p w14:paraId="522D617E" w14:textId="77777777" w:rsidR="008D479B" w:rsidRDefault="008D479B" w:rsidP="008D479B">
      <w:pPr>
        <w:pStyle w:val="TextoNormal"/>
      </w:pPr>
    </w:p>
    <w:p w14:paraId="64607137" w14:textId="77777777" w:rsidR="008D479B" w:rsidRDefault="008D479B" w:rsidP="008D479B">
      <w:pPr>
        <w:pStyle w:val="TextoNormal"/>
      </w:pPr>
      <w:r>
        <w:t>(iii) Una eventual estimación de las ilegítimas pretensiones de los recurrentes produciría un letal efecto a los derechos fundamentales, a la libertad ideológica y a la libertad de expresión, indisociables del derecho de participación política y los principios de pluralismo político y democracia que consagra la Constitución [con cita de la STC 119/1990, y de varios pronunciamientos del Tribunal Europeo de Derechos Humanos (TEDH)].</w:t>
      </w:r>
    </w:p>
    <w:p w14:paraId="688D199E" w14:textId="77777777" w:rsidR="008D479B" w:rsidRDefault="008D479B" w:rsidP="008D479B">
      <w:pPr>
        <w:pStyle w:val="TextoNormal"/>
      </w:pPr>
    </w:p>
    <w:p w14:paraId="57504B2A" w14:textId="51400CAE" w:rsidR="008D479B" w:rsidRDefault="008D479B" w:rsidP="008D479B">
      <w:pPr>
        <w:pStyle w:val="TextoNormal"/>
      </w:pPr>
      <w:r>
        <w:t>(iv) El motivo último de los recursos de amparo es intentar que representantes públicos pierdan su cargo por defender un ideario contrario a los dos partidos políticos recurrentes, lo que supone una desviación de derecho.</w:t>
      </w:r>
    </w:p>
    <w:p w14:paraId="4697B421" w14:textId="77777777" w:rsidR="008D479B" w:rsidRDefault="008D479B" w:rsidP="008D479B">
      <w:pPr>
        <w:pStyle w:val="TextoNormal"/>
      </w:pPr>
    </w:p>
    <w:p w14:paraId="27552C75" w14:textId="77777777" w:rsidR="008D479B" w:rsidRDefault="008D479B" w:rsidP="008D479B">
      <w:pPr>
        <w:pStyle w:val="TextoNormal"/>
      </w:pPr>
      <w:r w:rsidRPr="008D479B">
        <w:rPr>
          <w:rStyle w:val="NumeroAFNegritaCaracter"/>
        </w:rPr>
        <w:t>12</w:t>
      </w:r>
      <w:r>
        <w:t>. El 2 de septiembre de 2021, el procurador de los tribunales don Emilio Martínez Benítez presentó alegaciones en nombre y representación de doña Inés Granollers i Cunillera, don Francesc Xavier Eritja i Ciuró, doña Norma Pujol i Farré, don Joan Margall i Sastre, doña Monserrat Bassa i Coll, doña María Carvalho Dantas, don Jordi Salvador i Duch, doña Pilar Vallugera Balaña, don Joan Josep Nuet i Pujals, doña Marta Rosique i Saltor, doña Carolina Telechea i Lozano, y don Gabriel Rufián Romero, solicitando que el Tribunal declare (i) la pérdida de objeto respecto de don Joan Josep Nuet i Pujals; (ii) la inadmisión del recurso respecto de las resoluciones de la mesa; (iii) la incompetencia del Tribunal para conocer del proceso y, subsidiariamente (iv) la inadmisión o desestimación del recurso.</w:t>
      </w:r>
    </w:p>
    <w:p w14:paraId="0C5C268E" w14:textId="77777777" w:rsidR="008D479B" w:rsidRDefault="008D479B" w:rsidP="008D479B">
      <w:pPr>
        <w:pStyle w:val="TextoNormal"/>
      </w:pPr>
    </w:p>
    <w:p w14:paraId="161FF2DC" w14:textId="77777777" w:rsidR="008D479B" w:rsidRDefault="008D479B" w:rsidP="008D479B">
      <w:pPr>
        <w:pStyle w:val="TextoNormal"/>
      </w:pPr>
      <w:r>
        <w:t>(i) Se solicita se declare la pérdida de objeto del recurso respecto de don Joan Josep Nuet i Pujals, al no ostentar ya la condición de miembro del Congreso de los Diputados.</w:t>
      </w:r>
    </w:p>
    <w:p w14:paraId="481E75D5" w14:textId="77777777" w:rsidR="008D479B" w:rsidRDefault="008D479B" w:rsidP="008D479B">
      <w:pPr>
        <w:pStyle w:val="TextoNormal"/>
      </w:pPr>
    </w:p>
    <w:p w14:paraId="2A9FC006" w14:textId="77777777" w:rsidR="008D479B" w:rsidRDefault="008D479B" w:rsidP="008D479B">
      <w:pPr>
        <w:pStyle w:val="TextoNormal"/>
      </w:pPr>
      <w:r>
        <w:t>(ii) Se solicita se inadmita el recurso respecto de los acuerdos de la mesa impugnados en la medida en que de la STC 74/1991 se desprende claramente que el acto de la Presidencia de la institución relativo a la promesa o juramento de acatamiento de la Constitución no es un acto revisable por la correspondiente mesa y, por tanto, no corresponde solicitar a la mesa la revisión de dicho acto ni, denegada la misma, la reconsideración de dicha decisión. Por ello, procede concluir que estos últimos actos no son recurribles en amparo.</w:t>
      </w:r>
    </w:p>
    <w:p w14:paraId="1ECBD33F" w14:textId="77777777" w:rsidR="008D479B" w:rsidRDefault="008D479B" w:rsidP="008D479B">
      <w:pPr>
        <w:pStyle w:val="TextoNormal"/>
      </w:pPr>
    </w:p>
    <w:p w14:paraId="09FAB06D" w14:textId="77777777" w:rsidR="008D479B" w:rsidRDefault="008D479B" w:rsidP="008D479B">
      <w:pPr>
        <w:pStyle w:val="TextoNormal"/>
      </w:pPr>
      <w:r>
        <w:t>(iii) Esta parte sostiene que el Tribunal Constitucional es incompetente para conocer de este procedimiento por no ser su objeto el propio de un recurso de amparo, ya que lo cuestionado es el margen de apreciación de la Presidencia de la Cámara para valorar el carácter ajustado o no a la Constitución y a la doctrina constitucional de la fórmula de promesa o juramento de la Constitución, margen de apreciación que ha sido reconocido de forma expresa en la STC 74/1991, FJ 4, y que se encuentra dentro de las competencias que el reglamento de la Cámara otorga a la Presidencia; por lo que los recurrentes pretenden formalizar un impropio recurso de inconstitucionalidad o un encubierto e impropio conflicto de órganos constitucionales.</w:t>
      </w:r>
    </w:p>
    <w:p w14:paraId="7BBC3655" w14:textId="77777777" w:rsidR="008D479B" w:rsidRDefault="008D479B" w:rsidP="008D479B">
      <w:pPr>
        <w:pStyle w:val="TextoNormal"/>
      </w:pPr>
    </w:p>
    <w:p w14:paraId="0EE06A3B" w14:textId="77777777" w:rsidR="008D479B" w:rsidRDefault="008D479B" w:rsidP="008D479B">
      <w:pPr>
        <w:pStyle w:val="TextoNormal"/>
      </w:pPr>
      <w:r>
        <w:t>(iv) La parte solicita la inadmisión o desestimación del recurso de amparo por falta de legitimación de los recurrentes al no existir derecho fundamental alguno vulnerado que asista a los recurrentes [arts. 46.1 a) y 42 LOTC]. Se afirma que todas las sentencias constitucionales dictadas en relación con el trámite de acatamiento (SSTC 101/1983, 8/1985, de 25 de enero; 122/1983, 119/1990, de 21 de junio, y 74/1991) establecen que el titular del derecho es la persona a la que se deniega el acceso al cargo.</w:t>
      </w:r>
    </w:p>
    <w:p w14:paraId="18BA43E3" w14:textId="77777777" w:rsidR="008D479B" w:rsidRDefault="008D479B" w:rsidP="008D479B">
      <w:pPr>
        <w:pStyle w:val="TextoNormal"/>
      </w:pPr>
    </w:p>
    <w:p w14:paraId="6051DD5E" w14:textId="77777777" w:rsidR="008D479B" w:rsidRDefault="008D479B" w:rsidP="008D479B">
      <w:pPr>
        <w:pStyle w:val="TextoNormal"/>
      </w:pPr>
      <w:r>
        <w:t>Se afirma también que la configuración de la promesa o juramento de acatamiento de la Constitución como un requisito o un límite al derecho fundamental del art. 23.2 CE impide por su propia naturaleza que la exigencia de su cumplimiento pueda considerarse como integrante del derecho fundamental de terceros diputados. También destaca, que el Tribunal General de la Unión Europea (auto de 19 de noviembre de 2020 dictado en el asunto T-32/20), ha considerado que terceros parlamentarios europeos carecían de legitimación activa para impugnar la decisión del Parlamento Europeo de admitir como parlamentarios europeos a determinados electos, al considerar que la no exigencia del requisito de promesa o juramento de la Constitución para acceder a la condición plena de parlamentarios no afecta la situación jurídica propia de los recurrentes, quienes no pueden arrogarse como contenido de sus derechos aquello que concierne al Parlamento como institución.</w:t>
      </w:r>
    </w:p>
    <w:p w14:paraId="6A322D8F" w14:textId="77777777" w:rsidR="008D479B" w:rsidRDefault="008D479B" w:rsidP="008D479B">
      <w:pPr>
        <w:pStyle w:val="TextoNormal"/>
      </w:pPr>
    </w:p>
    <w:p w14:paraId="7A7F59B8" w14:textId="77777777" w:rsidR="008D479B" w:rsidRDefault="008D479B" w:rsidP="008D479B">
      <w:pPr>
        <w:pStyle w:val="TextoNormal"/>
      </w:pPr>
      <w:r>
        <w:t>(v) El Tribunal Constitucional no puede considerar contraria a la promesa o juramento de acatamiento de la Constitución la expresión “por la libertad de los presos políticos” sin previamente haber resuelto los recursos de amparo de los señores Junqueras y Romeva, concurriendo un supuesto de prejudicialidad constitucional homogénea que requiere de la previa resolución de dichos recursos de amparo con anterioridad a la resolución del presente recurso, por lo que procede suspender la tramitación del mismo hasta obtener la resolución de aquellos.</w:t>
      </w:r>
    </w:p>
    <w:p w14:paraId="15A984A1" w14:textId="77777777" w:rsidR="008D479B" w:rsidRDefault="008D479B" w:rsidP="008D479B">
      <w:pPr>
        <w:pStyle w:val="TextoNormal"/>
      </w:pPr>
    </w:p>
    <w:p w14:paraId="7E9CBDFE" w14:textId="77777777" w:rsidR="008D479B" w:rsidRDefault="008D479B" w:rsidP="008D479B">
      <w:pPr>
        <w:pStyle w:val="TextoNormal"/>
      </w:pPr>
      <w:r>
        <w:t>(vi) Ni la letra de la Constitución ni el requisito de acatamiento de las sentencias impiden considerar desde la libertad ideológica (art. 16.1 CE) y de expresión (art. 20.1 a CE) que existen presos políticos a los que se debe liberar, existiendo claramente un derecho a crítica de las sentencias judiciales protegido por la propia Constitución y por el Convenio europeo de derechos humanos.</w:t>
      </w:r>
    </w:p>
    <w:p w14:paraId="355D46CB" w14:textId="77777777" w:rsidR="008D479B" w:rsidRDefault="008D479B" w:rsidP="008D479B">
      <w:pPr>
        <w:pStyle w:val="TextoNormal"/>
      </w:pPr>
    </w:p>
    <w:p w14:paraId="4D38D006" w14:textId="104EF91F" w:rsidR="008D479B" w:rsidRDefault="008D479B" w:rsidP="008D479B">
      <w:pPr>
        <w:pStyle w:val="TextoNormal"/>
      </w:pPr>
      <w:r>
        <w:t>(vii) Esta parte, por último, alega que las fórmulas utilizadas cumplen con los requisitos establecidos ya que, la jurisprudencia constitucional ha reiterado que la Constitución no exige una democracia militante ni exige una adhesión ideológica a la misma, por lo que el requisito de juramento o promesa de acatamiento de la Constitución no puede exigirse con un formalismo y rigorismo tales que vulneren el derecho fundamental del art. 23.2 CE, y en este caso dichas fórmulas no vacían de contenido, limita “ni desnaturaliza” el acatamiento.</w:t>
      </w:r>
    </w:p>
    <w:p w14:paraId="675991F3" w14:textId="77777777" w:rsidR="008D479B" w:rsidRDefault="008D479B" w:rsidP="008D479B">
      <w:pPr>
        <w:pStyle w:val="TextoNormal"/>
      </w:pPr>
    </w:p>
    <w:p w14:paraId="2342BD72" w14:textId="77777777" w:rsidR="008D479B" w:rsidRDefault="008D479B" w:rsidP="008D479B">
      <w:pPr>
        <w:pStyle w:val="TextoNormal"/>
      </w:pPr>
      <w:r w:rsidRPr="008D479B">
        <w:rPr>
          <w:rStyle w:val="NumeroAFNegritaCaracter"/>
        </w:rPr>
        <w:t>13</w:t>
      </w:r>
      <w:r>
        <w:t>. La procuradora de los tribunales, doña Virgina Aragón Segura, presentó escrito de alegaciones en nombre y representación de doña Ana Belén Fernández Casero, doña Adriana Lastra Fernández, don Guillermo Antonio Meijón Couselo, doña Susana Ros Martínez, don Felipe Jesús Sicilia Alférez, don Rafael Simancas Simancas y don José Zaragoza Alonso el día 2 de septiembre de 2021. El escrito de alegaciones solicita la desestimación del recurso de amparo sobre la base de los argumentos que siguen:</w:t>
      </w:r>
    </w:p>
    <w:p w14:paraId="5D6E5226" w14:textId="77777777" w:rsidR="008D479B" w:rsidRDefault="008D479B" w:rsidP="008D479B">
      <w:pPr>
        <w:pStyle w:val="TextoNormal"/>
      </w:pPr>
    </w:p>
    <w:p w14:paraId="2D5298D9" w14:textId="77777777" w:rsidR="008D479B" w:rsidRDefault="008D479B" w:rsidP="008D479B">
      <w:pPr>
        <w:pStyle w:val="TextoNormal"/>
      </w:pPr>
      <w:r>
        <w:t xml:space="preserve">(i) Esta parte alega que los diputados recurrentes carecen de legitimación activa, ya que, de acuerdo con los arts. 42 y 46.1 a) LOTC, solo los parlamentarios directamente afectados por actos sin valor de ley emanados de las Cortes pueden recurrirlos en amparo si consideran que dichos actos han vulnerado alguno de sus derechos fundamentales, por lo que no pueden recurrir decisiones que afectan directamente a otros diputados aunque las consideren erróneas, que es lo que sucede en este caso en que los demandante de amparo están discutiendo la adquisición de la condición plena de otros diputados por no hacerse de acuerdo con la normativa parlamentaria. A esos efectos, incide en que cuando se ha acudido en amparo por considerar que había sido interpretado indebidamente el reglamento para conceder determinados derechos a otros parlamentarios el Tribunal Constitucional ha desestimado el recurso de amparo por falta de legitimación activa (ATC 262/2007, de 25 de mayo), y destaca que para considerar que los diputados recurrentes han visto vulnerado su derecho fundamental, los órganos de la Cámara deberían haberles limitado directamente un derecho perteneciente a su </w:t>
      </w:r>
      <w:r w:rsidRPr="008D479B">
        <w:rPr>
          <w:i/>
        </w:rPr>
        <w:t>ius in officium</w:t>
      </w:r>
      <w:r>
        <w:t>, recogido en el Reglamento del Congreso, que formara parte del núcleo de la función parlamentaria representativa, lo que no ocurre en este caso. Así, esta parte señala que no se puede compartir la pretensión de los recurrentes relativa a que la plenitud de su derecho fundamental solo se hubiera podido conformar en una Cámara en la que unos diputados no hubieran podido conseguir la condición plena de diputados, ya que ello es pretender que el desarrollo adecuado del art. 23 CE de unos diputados depende de que otros diputados electos no puedan alcanzar su condición plena, lo que es contrario a la jurisprudencia constitucional. También cita la providencia del Tribunal Constitucional por la que se inadmite el recurso de amparo núm. 297-2017, interpuesto por diputados del Grupo Parlamentario Popular en el Parlamento Vasco contra la decisión de la mesa de edad de dicha Cámara que había aceptado que los parlamentarios no tuvieran que acatar la Constitución para adquirir la condición plena, en que se afirmó que esa decisión no lesionó el derecho del resto de los parlamentarios.</w:t>
      </w:r>
    </w:p>
    <w:p w14:paraId="2C683006" w14:textId="77777777" w:rsidR="008D479B" w:rsidRDefault="008D479B" w:rsidP="008D479B">
      <w:pPr>
        <w:pStyle w:val="TextoNormal"/>
      </w:pPr>
    </w:p>
    <w:p w14:paraId="43827A23" w14:textId="36411F08" w:rsidR="008D479B" w:rsidRDefault="008D479B" w:rsidP="008D479B">
      <w:pPr>
        <w:pStyle w:val="TextoNormal"/>
      </w:pPr>
      <w:r>
        <w:t>(ii) Como argumento subsidiario, esta parte afirma la validez de la interpretación que hizo la presidenta del Congreso de la normativa parlamentaria, en virtud de la cual todas las fórmulas utilizadas en el trámite previsto en el art. 20.1.3 RCD en la sesión de apertura de la XIII Legislatura, incluidas las que los recurrentes consideran inválidas, fueron acordes al ordenamiento jurídico y con los precedentes parlamentarios, ya que (a) la obligación de los parlamentarios de jurar o prometer el acatamiento de la Constitución en el momento de tomar posesión no es un requisito para acceder a la condición de diputado o senador (SSTC 119/1990, FJ 4, y 74/1991, FJ 2) sino para el ejercicio de las funciones propias de tal condición que, en ningún caso, puede convertirse en una carga desproporcionada para el titular del derecho ni restringir el mismo de forma constitucionalmente intolerable; y (b) el acatamiento ha de servir para expresar una voluntad de cumplimiento pleno e incondicional de la Constitución, con independencia de las causas o motivaciones que cada parlamentario puede tener para acatar dicha norma, que es lo que sucede en estos casos en que las fórmulas de acatamiento objeto de disputa expresan distintas motivaciones, algunas incompatibles con nuestro texto constitucional, pero que no condicionan el acatamiento de la Constitución a la satisfacción de aquellas, ni lo limitan material, territorial o temporalmente.</w:t>
      </w:r>
    </w:p>
    <w:p w14:paraId="51D6D228" w14:textId="77777777" w:rsidR="008D479B" w:rsidRDefault="008D479B" w:rsidP="008D479B">
      <w:pPr>
        <w:pStyle w:val="TextoNormal"/>
      </w:pPr>
    </w:p>
    <w:p w14:paraId="387C0895" w14:textId="77777777" w:rsidR="008D479B" w:rsidRDefault="008D479B" w:rsidP="008D479B">
      <w:pPr>
        <w:pStyle w:val="TextoNormal"/>
      </w:pPr>
      <w:r w:rsidRPr="008D479B">
        <w:rPr>
          <w:rStyle w:val="NumeroAFNegritaCaracter"/>
        </w:rPr>
        <w:t>14</w:t>
      </w:r>
      <w:r>
        <w:t>. El 3 de septiembre de 2021 se registra el escrito de alegaciones presentado por el procurador don Carlos Ricardo Estévez Sanz en nombre y representación de doña María Teresa Rivero Segalàs, doña Miriam Nogueras Camero, doña Laura Borrás Castanyer, don Josep Lluis Cleries González, don Josep María Matamala Alsina, y doña Mariona Illamola Dausà. Los argumentos principales que sustentan la solicitud de desestimación del recurso de amparo son los siguientes:</w:t>
      </w:r>
    </w:p>
    <w:p w14:paraId="1150CF85" w14:textId="77777777" w:rsidR="008D479B" w:rsidRDefault="008D479B" w:rsidP="008D479B">
      <w:pPr>
        <w:pStyle w:val="TextoNormal"/>
      </w:pPr>
    </w:p>
    <w:p w14:paraId="79F08629" w14:textId="77777777" w:rsidR="008D479B" w:rsidRDefault="008D479B" w:rsidP="008D479B">
      <w:pPr>
        <w:pStyle w:val="TextoNormal"/>
      </w:pPr>
      <w:r>
        <w:t>(i) De la regulación vigente y de la jurisprudencia constitucional y del Tribunal Europeo de Derechos Humanos se deduce la validez de las fórmulas de acatamiento de los diputados y diputadas integrantes de esta parte, ya que las manifestaciones vertidas por estas personas en el momento de la promesa de acatamiento de la Constitución derivan de la ideología política de cada una de ellas, que adquirieron su posición como consecuencia de la voluntad de quienes los eligieron en las urnas al concordar con dicha ideología.</w:t>
      </w:r>
    </w:p>
    <w:p w14:paraId="13E570D9" w14:textId="77777777" w:rsidR="008D479B" w:rsidRDefault="008D479B" w:rsidP="008D479B">
      <w:pPr>
        <w:pStyle w:val="TextoNormal"/>
      </w:pPr>
    </w:p>
    <w:p w14:paraId="4CE1B377" w14:textId="77777777" w:rsidR="008D479B" w:rsidRDefault="008D479B" w:rsidP="008D479B">
      <w:pPr>
        <w:pStyle w:val="TextoNormal"/>
      </w:pPr>
      <w:r>
        <w:t>(ii) Respecto de aquellos cuyas fórmulas de acatamiento no pudieron ser transcritas, al no llegar a ser comprendido lo manifestado por los taquígrafos, ello no implica que dichas fórmulas no deban considerarse válidamente prestadas, porque pretender algo diferente es tanto como negar validez a un acto en función de la mayor o menor capacidad de quien recoge las manifestaciones realizadas en dicho acto.</w:t>
      </w:r>
    </w:p>
    <w:p w14:paraId="102F4F55" w14:textId="77777777" w:rsidR="008D479B" w:rsidRDefault="008D479B" w:rsidP="008D479B">
      <w:pPr>
        <w:pStyle w:val="TextoNormal"/>
      </w:pPr>
    </w:p>
    <w:p w14:paraId="43FDBC1A" w14:textId="4F30978E" w:rsidR="008D479B" w:rsidRDefault="008D479B" w:rsidP="008D479B">
      <w:pPr>
        <w:pStyle w:val="TextoNormal"/>
      </w:pPr>
      <w:r>
        <w:t>(iii) No se ha producido la vulneración del art. 23 CE de los recurrentes en amparo toda vez que las resoluciones contra las que se ha interpuesto la demanda son plenamente conformes a derecho y los recurrentes no establecen cómo y en qué medida se habrían vulnerado sus derechos fundamentales.</w:t>
      </w:r>
    </w:p>
    <w:p w14:paraId="3E5DFB03" w14:textId="77777777" w:rsidR="008D479B" w:rsidRDefault="008D479B" w:rsidP="008D479B">
      <w:pPr>
        <w:pStyle w:val="TextoNormal"/>
      </w:pPr>
    </w:p>
    <w:p w14:paraId="52BA0D64" w14:textId="77777777" w:rsidR="008D479B" w:rsidRDefault="008D479B" w:rsidP="008D479B">
      <w:pPr>
        <w:pStyle w:val="TextoNormal"/>
      </w:pPr>
      <w:r w:rsidRPr="008D479B">
        <w:rPr>
          <w:rStyle w:val="NumeroAFNegritaCaracter"/>
        </w:rPr>
        <w:t>15</w:t>
      </w:r>
      <w:r>
        <w:t>. El procurador de los tribunales don José Miguel Martínez-Fresneda Gambra, por escrito registrado el 3 de septiembre de 2021, presentó sus alegaciones, en nombre de don Jaume Assens Llodrá y otros 34 diputados más del Grupo Parlamentario de Unidas Podemos-En Comú Podem-Galicia, solicitando que se inadmita o se desestime el presente recurso de amparo. Esta parte alega que concurren como causas de inadmisión del recurso las siguientes:</w:t>
      </w:r>
    </w:p>
    <w:p w14:paraId="1CA08841" w14:textId="77777777" w:rsidR="008D479B" w:rsidRDefault="008D479B" w:rsidP="008D479B">
      <w:pPr>
        <w:pStyle w:val="TextoNormal"/>
      </w:pPr>
    </w:p>
    <w:p w14:paraId="77471DEA" w14:textId="77777777" w:rsidR="008D479B" w:rsidRDefault="008D479B" w:rsidP="008D479B">
      <w:pPr>
        <w:pStyle w:val="TextoNormal"/>
      </w:pPr>
      <w:r>
        <w:t xml:space="preserve">(i) El recurrente no alegó </w:t>
      </w:r>
      <w:r w:rsidRPr="008D479B">
        <w:rPr>
          <w:i/>
        </w:rPr>
        <w:t>in voce</w:t>
      </w:r>
      <w:r>
        <w:t xml:space="preserve"> vulneración de derecho fundamental alguno ante la decisión de la presidenta, de manera que la admisión a trámite del recurso frustraría la subsidiariedad del recurso de amparo. Durante su intervención el diputado don Santiago Abascal no mencionó, ni siquiera de forma indirecta, vulneración efectiva del derecho fundamental por el que ahora acude en amparo. Tampoco alegó en qué medida aquellos juramentos o fórmulas de acatamiento que consideraba fuera del marco previsto por los artículos 4 y 20 RCD y por la jurisprudencia que consideraba pertinente, lesionaban de manera efectiva sus derechos fundamentales. Esta omisión es insubsanable, por cuanto que conforme al principio de inmediatez se le dio respuesta a su reclamación en la misma sesión </w:t>
      </w:r>
      <w:r w:rsidRPr="008D479B">
        <w:rPr>
          <w:i/>
        </w:rPr>
        <w:t>in voce</w:t>
      </w:r>
      <w:r>
        <w:t>, omisión que impidió a la Presidencia pronunciarse sobre dicha supuesta lesión del derecho fundamental ahora alegado, y en su caso, reparar la eventual vulneración. Las alegaciones posteriores no subsanan dicha omisión por cuanto fueron dirigidas a la mesa del Congreso, no a la Presidencia que es a quien corresponde el control del acto de acatamiento, y a quien, sin ningún género de duda, imputa la lesión, como se deduce con nitidez tanto en el encabezamiento de su demanda como en el suplico. En conclusión, la demanda es inadmisible al no haber agotado la vía previa.</w:t>
      </w:r>
    </w:p>
    <w:p w14:paraId="68611A96" w14:textId="77777777" w:rsidR="008D479B" w:rsidRDefault="008D479B" w:rsidP="008D479B">
      <w:pPr>
        <w:pStyle w:val="TextoNormal"/>
      </w:pPr>
    </w:p>
    <w:p w14:paraId="4663D3E7" w14:textId="77777777" w:rsidR="008D479B" w:rsidRDefault="008D479B" w:rsidP="008D479B">
      <w:pPr>
        <w:pStyle w:val="TextoNormal"/>
      </w:pPr>
      <w:r>
        <w:t xml:space="preserve">(ii) El recurrente actúa únicamente en nombre propio. Cuando don Santiago Abascal toma la palabra en la sesión constitutiva en que se producen los hechos objeto del proceso de amparo y solicita a la Presidencia la observancia de las fórmulas de acatamiento lo hizo a título particular; ni era el portavoz del Grupo Parlamentario Vox en ese momento (ni siquiera se había constituido todavía dicho grupo parlamentario) ni tampoco importaría al caso dicha circunstancia por cuanto que el recurso de amparo no se ejercita de forma colegiada por todo un grupo parlamentario. Así mismo, la respuesta recibida por parte de la presidenta fue un acto individualizado. En estas circunstancias, plantean ahora todos los integrantes del Grupo Parlamentario Vox una demanda de amparo conjunta, por “arrastre” del que es actualmente su portavoz en la Cámara; pero para poder recurrir en amparo se habría requerido que cada uno de los diputados y diputadas hubieran hecho uso de la palabra y, en uso de la facultad del artículo 72.1 del Reglamento del Congreso, hubieran alegado la vulneración de derecho fundamental por el que ahora acuden en amparo. De lo contrario, se estaría permitiendo un acceso </w:t>
      </w:r>
      <w:r w:rsidRPr="008D479B">
        <w:rPr>
          <w:i/>
        </w:rPr>
        <w:t>per saltum</w:t>
      </w:r>
      <w:r>
        <w:t xml:space="preserve"> a la vía extraordinaria del amparo diluyendo el principio de subsidiariedad.</w:t>
      </w:r>
    </w:p>
    <w:p w14:paraId="6A59943C" w14:textId="77777777" w:rsidR="008D479B" w:rsidRDefault="008D479B" w:rsidP="008D479B">
      <w:pPr>
        <w:pStyle w:val="TextoNormal"/>
      </w:pPr>
    </w:p>
    <w:p w14:paraId="172383E8" w14:textId="77777777" w:rsidR="008D479B" w:rsidRDefault="008D479B" w:rsidP="008D479B">
      <w:pPr>
        <w:pStyle w:val="TextoNormal"/>
      </w:pPr>
      <w:r>
        <w:t>(iii) Resulta manifiesta la inexistencia de afectación a algún derecho fundamental de los recurrentes que no llegan a acreditar de qué forma les afecta en el ejercicio de la plenitud de sus derechos de representación política o a la igualdad los acuerdos impugnados, diferenciándose este asunto, en este punto, del que resuelven las SSTC 119/1990 y 74/1991 en los que sí había una vulneración del derecho fundamental de los diputados al acceso al cargo por el que había resultado elegido, ya que la Presidencia no admitió las fórmulas utilizadas por aquellos en el acto de constitución de la Cámara parlamentaria.</w:t>
      </w:r>
    </w:p>
    <w:p w14:paraId="28D2E152" w14:textId="77777777" w:rsidR="008D479B" w:rsidRDefault="008D479B" w:rsidP="008D479B">
      <w:pPr>
        <w:pStyle w:val="TextoNormal"/>
      </w:pPr>
    </w:p>
    <w:p w14:paraId="7739EFED" w14:textId="77777777" w:rsidR="008D479B" w:rsidRDefault="008D479B" w:rsidP="008D479B">
      <w:pPr>
        <w:pStyle w:val="TextoNormal"/>
      </w:pPr>
      <w:r>
        <w:t>(iv) El recurso carece de especial transcendencia constitucional, porque el Tribunal Constitucional ya se ha pronunciado en otras ocasiones sobre el asunto que plantean los demandantes, sin que pueda apreciarse que existe una nueva realidad social que justifique un cambio en su doctrina</w:t>
      </w:r>
    </w:p>
    <w:p w14:paraId="5F7436FF" w14:textId="77777777" w:rsidR="008D479B" w:rsidRDefault="008D479B" w:rsidP="008D479B">
      <w:pPr>
        <w:pStyle w:val="TextoNormal"/>
      </w:pPr>
    </w:p>
    <w:p w14:paraId="2767EE53" w14:textId="77777777" w:rsidR="008D479B" w:rsidRDefault="008D479B" w:rsidP="008D479B">
      <w:pPr>
        <w:pStyle w:val="TextoNormal"/>
      </w:pPr>
      <w:r>
        <w:t>(v) Los acuerdos de la mesa impugnados no son actos recurribles en vía de amparo, ya que la inadmisión a trámite de las peticiones que los ahora recurrentes formularon en vía parlamentaria lo fue por la improcedencia de la revisión de las decisiones de la presidenta, sin que esto afecte a derechos fundamentales, como tampoco lo son la admisión por la presidenta de la validez de la fórmula elegida por los diputados en la sesión constitutiva, ya que el mismo es un acto firme y definitivo que no supone la vulneración de los derechos fundamentales del resto de diputados.</w:t>
      </w:r>
    </w:p>
    <w:p w14:paraId="7140682D" w14:textId="77777777" w:rsidR="008D479B" w:rsidRDefault="008D479B" w:rsidP="008D479B">
      <w:pPr>
        <w:pStyle w:val="TextoNormal"/>
      </w:pPr>
    </w:p>
    <w:p w14:paraId="2D49B2A5" w14:textId="77777777" w:rsidR="008D479B" w:rsidRDefault="008D479B" w:rsidP="008D479B">
      <w:pPr>
        <w:pStyle w:val="TextoNormal"/>
      </w:pPr>
      <w:r>
        <w:t xml:space="preserve">(vi) La STJUE de 19 de diciembre de 2019 ha establecido que no existe un requisito de juramento o promesa de acatar la Constitución para la plena adquisición de la condición de diputado o diputada, que también sería contraria a la doctrina establecida por la STEDH de 2 de marzo de 1987, asunto </w:t>
      </w:r>
      <w:r w:rsidRPr="008D479B">
        <w:rPr>
          <w:i/>
        </w:rPr>
        <w:t>Mathieu-Mohin y Clerfayt c. Bélgica</w:t>
      </w:r>
      <w:r>
        <w:t>.</w:t>
      </w:r>
    </w:p>
    <w:p w14:paraId="4D0A3FF2" w14:textId="77777777" w:rsidR="008D479B" w:rsidRDefault="008D479B" w:rsidP="008D479B">
      <w:pPr>
        <w:pStyle w:val="TextoNormal"/>
      </w:pPr>
    </w:p>
    <w:p w14:paraId="1E1C72DC" w14:textId="77777777" w:rsidR="008D479B" w:rsidRDefault="008D479B" w:rsidP="008D479B">
      <w:pPr>
        <w:pStyle w:val="TextoNormal"/>
      </w:pPr>
      <w:r>
        <w:t>(vii) El requisito de juramento o promesa de acatar la Constitución ha de interpretarse en el sentido de que la exigencia de juramento o promesa es constitucionalmente admisible siempre que “los términos en que se regule sean congruentes con su finalidad y no incurran en un exagerado ritualismo que dificulte irrazonablemente el acceso al pleno ejercicio del cargo, en especial en relación con cargos de naturaleza representativa, como los de diputado o senador” (STC 74/1991, de 8 de abril, FJ 2). Por tanto, una interpretación flexible de la exigencia de acatamiento debería evolucionar de acuerdo con los estándares de la Unión Europea y no, como pretenden los recurrentes en amparo, sufrir una suerte de involución en términos antidemocráticos.</w:t>
      </w:r>
    </w:p>
    <w:p w14:paraId="78746F1B" w14:textId="77777777" w:rsidR="008D479B" w:rsidRDefault="008D479B" w:rsidP="008D479B">
      <w:pPr>
        <w:pStyle w:val="TextoNormal"/>
      </w:pPr>
    </w:p>
    <w:p w14:paraId="07D64618" w14:textId="2B9AAAF0" w:rsidR="008D479B" w:rsidRDefault="008D479B" w:rsidP="008D479B">
      <w:pPr>
        <w:pStyle w:val="TextoNormal"/>
      </w:pPr>
      <w:r>
        <w:t>(viii) Las diferentes fórmulas impugnadas por los recurrentes, como expresión de la pluralidad política necesaria en una sociedad democrática, no vacían de contenido la fórmula de acatamiento, ni puede considerarse de ningún modo que no hay acatamiento cuando se cuestiona la esencia de la Constitución porque de este modo se cuestiona la Constitución. Esto último sería lo propio de una democracia militante y la jurisprudencia constitucional ya ha afirmado que el juramento o promesa es un acto formal que no implica adhesión ideológica al texto fundamental y así debe mantenerse en aras a permitir que los proyectos políticos, también los de carácter secesionista, puedan participar del sistema electoral por los cauces legalmente habilitados a tal efecto.</w:t>
      </w:r>
    </w:p>
    <w:p w14:paraId="7D0921FA" w14:textId="77777777" w:rsidR="008D479B" w:rsidRDefault="008D479B" w:rsidP="008D479B">
      <w:pPr>
        <w:pStyle w:val="TextoNormal"/>
      </w:pPr>
    </w:p>
    <w:p w14:paraId="699492ED" w14:textId="77777777" w:rsidR="008D479B" w:rsidRDefault="008D479B" w:rsidP="008D479B">
      <w:pPr>
        <w:pStyle w:val="TextoNormal"/>
      </w:pPr>
      <w:r w:rsidRPr="008D479B">
        <w:rPr>
          <w:rStyle w:val="NumeroAFNegritaCaracter"/>
        </w:rPr>
        <w:t>16</w:t>
      </w:r>
      <w:r>
        <w:t>. El Ministerio Fiscal, mediante escrito registrado el 5 de octubre de 2021, presentó sus alegaciones interesando la desestimación del presente recurso de amparo. El Ministerio Fiscal considera que:</w:t>
      </w:r>
    </w:p>
    <w:p w14:paraId="2F70F7CC" w14:textId="77777777" w:rsidR="008D479B" w:rsidRDefault="008D479B" w:rsidP="008D479B">
      <w:pPr>
        <w:pStyle w:val="TextoNormal"/>
      </w:pPr>
    </w:p>
    <w:p w14:paraId="0DCE5869" w14:textId="77777777" w:rsidR="008D479B" w:rsidRDefault="008D479B" w:rsidP="008D479B">
      <w:pPr>
        <w:pStyle w:val="TextoNormal"/>
      </w:pPr>
      <w:r>
        <w:t xml:space="preserve">(i) Todos los recurrentes son titulares de legitimación procesal </w:t>
      </w:r>
      <w:r w:rsidRPr="008D479B">
        <w:rPr>
          <w:i/>
        </w:rPr>
        <w:t>ad procesum</w:t>
      </w:r>
      <w:r>
        <w:t>, basada en la alegada afectación negativa del derecho fundamental que invocan en un doble plano: (a) en cuanto que los acuerdos parlamentarios impugnados pueden suponer una infracción de la normativa legal y parlamentaria para acceder al cargo parlamentario en condiciones de igualdad y de acuerdo con lo establecido por la ley, y (b) en cuanto que el reconocimiento del perfeccionamiento del cargo de diputado respecto de quienes no habrían cumplido debidamente el requisito legal de acatamiento de la Constitución, habría permitido que la Cámara se constituyera de forma irregular, alterando su composición, lo que en este caso afectaría —sostiene la demanda— al ejercicio de las tareas de control que corresponden a las minorías en el ejercicio de su función representativa. Lo anterior les confiere un interés legítimo en su defensa frente a los acuerdos parlamentarios que consideran que han lesionado dichos derechos.</w:t>
      </w:r>
    </w:p>
    <w:p w14:paraId="03A8E808" w14:textId="77777777" w:rsidR="008D479B" w:rsidRDefault="008D479B" w:rsidP="008D479B">
      <w:pPr>
        <w:pStyle w:val="TextoNormal"/>
      </w:pPr>
    </w:p>
    <w:p w14:paraId="30B2991C" w14:textId="77777777" w:rsidR="008D479B" w:rsidRDefault="008D479B" w:rsidP="008D479B">
      <w:pPr>
        <w:pStyle w:val="TextoNormal"/>
      </w:pPr>
      <w:r>
        <w:t xml:space="preserve">Además, la fiscalía afirma que cualquier consideración atinente a la no intervención en sede parlamentaria de los cincuenta y un diputados que acompañan al señor Abascal en la interposición de la demanda no llevará a la inadmisión del recurso, puesto que el diputado Abascal sí intervino en dichas impugnaciones. El resto de las consideraciones que podrían hacerse, relativas a la legitimación </w:t>
      </w:r>
      <w:r w:rsidRPr="008D479B">
        <w:rPr>
          <w:i/>
        </w:rPr>
        <w:t>ad causam</w:t>
      </w:r>
      <w:r>
        <w:t>, desde la perspectiva del contenido material del derecho fundamental invocado, son derivadas por la Fiscalía a los argumentos relativos al fondo de la pretensión deducida, debido a la conexión existente entre la definición del interés legítimo de los recurrentes y el alcance que se dé al art. 23 CE.</w:t>
      </w:r>
    </w:p>
    <w:p w14:paraId="367D9E88" w14:textId="77777777" w:rsidR="008D479B" w:rsidRDefault="008D479B" w:rsidP="008D479B">
      <w:pPr>
        <w:pStyle w:val="TextoNormal"/>
      </w:pPr>
    </w:p>
    <w:p w14:paraId="287D32BB" w14:textId="77777777" w:rsidR="008D479B" w:rsidRDefault="008D479B" w:rsidP="008D479B">
      <w:pPr>
        <w:pStyle w:val="TextoNormal"/>
      </w:pPr>
      <w:r>
        <w:t>(ii) Respecto de la cuestión del correcto agotamiento de la vía parlamentaria previa a la interposición del recurso de amparo, la constatación de que no estaba expresamente prevista la posibilidad de impugnar la decisión inicial de la Presidencia, sumada a los precedentes de las SSTC 119/1009 y 74/1991, contrasta con la actuación de la mesa que no inadmitió a trámite las peticiones de reconsideración de la decisión inicial de la Presidencia de la Cámara, de modo que la impresión inicial sobre la improcedencia de esta reconsideración puede ser matizada a la luz del principio de autonomía parlamentaria. En todo caso, la eventual calificación de las impugnaciones intraparlamentarias como manifiestamente improcedentes resultaría inocua, porque el tiempo transcurrido entre el acuerdo originario de la Presidencia del Congreso que se cuestiona, de 3 de diciembre de 2019, y la fecha de presentación de la demanda de amparo el 12 de febrero de 2020, no excede de los tres meses de plazo que establece el art. 42 LOTC.</w:t>
      </w:r>
    </w:p>
    <w:p w14:paraId="0EE992E6" w14:textId="77777777" w:rsidR="008D479B" w:rsidRDefault="008D479B" w:rsidP="008D479B">
      <w:pPr>
        <w:pStyle w:val="TextoNormal"/>
      </w:pPr>
    </w:p>
    <w:p w14:paraId="69A17B18" w14:textId="77777777" w:rsidR="008D479B" w:rsidRDefault="008D479B" w:rsidP="008D479B">
      <w:pPr>
        <w:pStyle w:val="TextoNormal"/>
      </w:pPr>
      <w:r>
        <w:t xml:space="preserve">Ahora bien, si se considera que la vía de impugnación intraparlamentaria era posible, necesaria y útil para la reparación del derecho que se dice lesionado, la falta de invocación del derecho fundamental con anterioridad a la demanda de amparo debería abocar a la conclusión de que los demandantes no han aprovechado este cauce para defender debidamente su derecho, de modo que fuera factible su reparación en sede parlamentaria, y por tanto no habrían ajustado su actuación al principio de subsidiariedad del amparo, dando lugar con ello, por infracción de dicha regla de subsidiariedad, a un motivo de inadmisión </w:t>
      </w:r>
      <w:r w:rsidRPr="008D479B">
        <w:rPr>
          <w:i/>
        </w:rPr>
        <w:t>a limine</w:t>
      </w:r>
      <w:r>
        <w:t xml:space="preserve"> del recurso.</w:t>
      </w:r>
    </w:p>
    <w:p w14:paraId="538DF856" w14:textId="77777777" w:rsidR="008D479B" w:rsidRDefault="008D479B" w:rsidP="008D479B">
      <w:pPr>
        <w:pStyle w:val="TextoNormal"/>
      </w:pPr>
    </w:p>
    <w:p w14:paraId="391281DB" w14:textId="77777777" w:rsidR="008D479B" w:rsidRDefault="008D479B" w:rsidP="008D479B">
      <w:pPr>
        <w:pStyle w:val="TextoNormal"/>
      </w:pPr>
      <w:r>
        <w:t xml:space="preserve">(iii) Por lo que hace al fondo de la pretensión, y de forma subsidiaria, el Ministerio Fiscal solicita la desestimación íntegra del recurso de amparo. Por lo que respecta al cumplimiento de la normativa parlamentaria, tras exponer la jurisprudencia constitucional sobre la fórmula de acatamiento de la Constitución por los cargos electos establecida en las SSTC 101/1983, 122/1983, 119/1990 y 74/1991 y señalar que en aquellos recursos lo impugnado eran decisiones en que se denegó la plena adquisición del cargo parlamentario, argumenta que: a) respecto de las fórmulas que no se perciben y no son transcritas por los taquígrafos del Congreso, el problema de la defectuosa constancia de la respuesta de algunos diputados no llegó a plantearse explícitamente ante los órganos de la Cámara, y además no puede declararse lesionado el derecho de los recurrentes en estos casos, porque no ha quedado acreditada la infracción de las normas que rigen el acto parlamentario en cuestión; b) en relación con los casos incluidos referidos a las fórmulas alusivas al procés o a la república vasca, el Ministerio Fiscal considera que la valoración del contenido y el alcance de las expresiones cuestionadas por el recurso de amparo, se reduce a la mera formulación de interpretaciones subjetivas y juicios de intenciones que desde el punto de vista jurídico-constitucional no pueden desplazar y sustituir el criterio debidamente motivado de los órganos del Congreso, expresado en resoluciones que son propias de su competencia. Todas las fórmulas objetadas incluyen la afirmación explícita formal de acatamiento, aunque aparezca aderezada de añadidos, pero ello ni subordina ni supedita explícitamente el acatamiento de la Constitución a la efectiva consecución de los principios u objetivos políticos manifestados en las fórmulas. Por tanto, la fiscalía sostiene que las fórmulas de acatamiento utilizadas son aceptables, dentro de una interpretación basada en el </w:t>
      </w:r>
      <w:r w:rsidRPr="008D479B">
        <w:rPr>
          <w:i/>
        </w:rPr>
        <w:t>favor libertatis</w:t>
      </w:r>
      <w:r>
        <w:t xml:space="preserve"> respecto de quienes las han utilizado para acceder a la condición de diputados.</w:t>
      </w:r>
    </w:p>
    <w:p w14:paraId="7ADF16F4" w14:textId="77777777" w:rsidR="008D479B" w:rsidRDefault="008D479B" w:rsidP="008D479B">
      <w:pPr>
        <w:pStyle w:val="TextoNormal"/>
      </w:pPr>
    </w:p>
    <w:p w14:paraId="045267F6" w14:textId="67434800" w:rsidR="008D479B" w:rsidRDefault="008D479B" w:rsidP="008D479B">
      <w:pPr>
        <w:pStyle w:val="TextoNormal"/>
      </w:pPr>
      <w:r>
        <w:t xml:space="preserve">(iv) Por último, y al margen de las consideraciones sobre la validez de las fórmulas, el Ministerio Fiscal rechaza que pudiera concurrir la vulneración alegada del art. 23 CE, porque no existe el derecho fundamental que los recurrentes invocan con el contenido que le atribuyen los recurrentes. La demanda no aporta razón alguna para entender que la exclusión de otros parlamentarios de la Cámara, por no cumplir adecuadamente el requisito formal de acatamiento se halle en el núcleo de la función parlamentaria de los recurrentes, ni forme parte esencial de su propio derecho a la representación política. Los recurrentes no denuncian una restricción real y efectiva de su derecho fundamental a la representación política, sino la mera infracción, a su juicio, de las normas que regulan el acceso de otros diputados al ejercicio pleno de su representación, para edificar a partir de esa denuncia de una infracción normativa un derecho fundamental propio con materiales de la restricción del derecho de otros. Es así como se proyecta sobre el planteamiento del presente recurso la sombra, ya intuida al tratar el tema de la legitimación </w:t>
      </w:r>
      <w:r w:rsidRPr="008D479B">
        <w:rPr>
          <w:i/>
        </w:rPr>
        <w:t>ad casum</w:t>
      </w:r>
      <w:r>
        <w:t>, del denominado contra-amparo.</w:t>
      </w:r>
    </w:p>
    <w:p w14:paraId="5416EC94" w14:textId="77777777" w:rsidR="008D479B" w:rsidRDefault="008D479B" w:rsidP="008D479B">
      <w:pPr>
        <w:pStyle w:val="TextoNormal"/>
      </w:pPr>
    </w:p>
    <w:p w14:paraId="33DD380C" w14:textId="48BBE446" w:rsidR="008D479B" w:rsidRDefault="008D479B" w:rsidP="008D479B">
      <w:pPr>
        <w:pStyle w:val="TextoNormal"/>
      </w:pPr>
      <w:r w:rsidRPr="008D479B">
        <w:rPr>
          <w:rStyle w:val="NumeroAFNegritaCaracter"/>
        </w:rPr>
        <w:t>17</w:t>
      </w:r>
      <w:r>
        <w:t>. El Pleno del Tribunal, por ATC 29/2023, de 7 de febrero, aceptó la abstención formulada por el magistrado don Juan Carlos Campo Moreno en el presente recurso de amparo, apartándole definitivamente de su conocimiento y todas sus incidencias.</w:t>
      </w:r>
    </w:p>
    <w:p w14:paraId="57FCABBF" w14:textId="77777777" w:rsidR="008D479B" w:rsidRDefault="008D479B" w:rsidP="008D479B">
      <w:pPr>
        <w:pStyle w:val="TextoNormal"/>
      </w:pPr>
    </w:p>
    <w:p w14:paraId="57952588" w14:textId="0FCDBA7C" w:rsidR="008D479B" w:rsidRDefault="008D479B" w:rsidP="008D479B">
      <w:pPr>
        <w:pStyle w:val="TextoNormal"/>
      </w:pPr>
      <w:r w:rsidRPr="008D479B">
        <w:rPr>
          <w:rStyle w:val="NumeroAFNegritaCaracter"/>
        </w:rPr>
        <w:t>18</w:t>
      </w:r>
      <w:r>
        <w:t>. Por providencia de 26 de septiembre de 2023, se señaló para deliberación y votación de la presente sentencia el día 27 del mismo mes y año.</w:t>
      </w:r>
    </w:p>
    <w:p w14:paraId="2CBEE491" w14:textId="77777777" w:rsidR="008D479B" w:rsidRDefault="008D479B" w:rsidP="008D479B">
      <w:pPr>
        <w:pStyle w:val="TextoNormal"/>
      </w:pPr>
    </w:p>
    <w:p w14:paraId="5CFDA7BE" w14:textId="77777777" w:rsidR="008D479B" w:rsidRDefault="008D479B" w:rsidP="008D479B">
      <w:pPr>
        <w:pStyle w:val="TextoNormalNegritaCentrado"/>
        <w:keepNext/>
      </w:pPr>
      <w:r>
        <w:t>II. Fundamentos jurídicos</w:t>
      </w:r>
    </w:p>
    <w:p w14:paraId="424B1F3E" w14:textId="56FA578D" w:rsidR="008D479B" w:rsidRDefault="008D479B" w:rsidP="008D479B">
      <w:pPr>
        <w:pStyle w:val="TextoNormalNegritaCentrado"/>
        <w:keepNext/>
      </w:pPr>
    </w:p>
    <w:p w14:paraId="77F4D468" w14:textId="77777777" w:rsidR="008D479B" w:rsidRDefault="008D479B" w:rsidP="008D479B">
      <w:pPr>
        <w:pStyle w:val="TextoNormal"/>
      </w:pPr>
      <w:r w:rsidRPr="008D479B">
        <w:rPr>
          <w:rStyle w:val="NumeroAFNegritaCaracter"/>
        </w:rPr>
        <w:t>1</w:t>
      </w:r>
      <w:r>
        <w:t xml:space="preserve">. </w:t>
      </w:r>
      <w:r w:rsidRPr="008D479B">
        <w:rPr>
          <w:i/>
        </w:rPr>
        <w:t>Objeto del recurso y cuestiones procesales previas</w:t>
      </w:r>
    </w:p>
    <w:p w14:paraId="4DE73080" w14:textId="77777777" w:rsidR="008D479B" w:rsidRDefault="008D479B" w:rsidP="008D479B">
      <w:pPr>
        <w:pStyle w:val="TextoNormal"/>
      </w:pPr>
    </w:p>
    <w:p w14:paraId="5F8EE6EC" w14:textId="77777777" w:rsidR="008D479B" w:rsidRDefault="008D479B" w:rsidP="008D479B">
      <w:pPr>
        <w:pStyle w:val="TextoNormal"/>
      </w:pPr>
      <w:r>
        <w:t xml:space="preserve">(i) La cuestión de fondo planteada en el presente recurso de amparo coincide con la que se suscitó en el recurso de amparo 4577-2019, desestimado por sentencia del Pleno 65/2023, de 6 de junio (publicada en el “Boletín Oficial del Estado” núm. 167 de 14 de julio de 2023). En ambos supuestos, las respectivas demandas de amparo llamaban al Tribunal a determinar si vulnera el derecho de representación política (art. 23.2 CE) de los diputados demandantes de amparo, un acuerdo de la Presidencia del Congreso de los Diputados de tener por debidamente prestado el juramento o promesa de acatamiento de la Constitución y, por tanto, adquirida la condición plena de diputados y diputadas de veintinueve candidatos electos que utilizaron fórmulas de acatamiento de la Constitución añadidas a la expresión “sí juro” o “sí prometo”. Por tanto, se cuestiona, de un lado, la validez de las fórmulas de acatamiento de la Constitución dadas por buenas por decisión de la Presidencia de la Cámara y, de otro, se suscita la cuestión de si el uso de tales fórmulas, consideradas inválidas por los recurrentes en amparo, incide restrictivamente en el derecho de estos al ejercicio de sus cargos representativos </w:t>
      </w:r>
      <w:r w:rsidRPr="008D479B">
        <w:rPr>
          <w:i/>
        </w:rPr>
        <w:t>ex</w:t>
      </w:r>
      <w:r>
        <w:t xml:space="preserve"> art. 23.2 CE.</w:t>
      </w:r>
    </w:p>
    <w:p w14:paraId="46C2B3B3" w14:textId="77777777" w:rsidR="008D479B" w:rsidRDefault="008D479B" w:rsidP="008D479B">
      <w:pPr>
        <w:pStyle w:val="TextoNormal"/>
      </w:pPr>
    </w:p>
    <w:p w14:paraId="20C79E66" w14:textId="77777777" w:rsidR="008D479B" w:rsidRDefault="008D479B" w:rsidP="008D479B">
      <w:pPr>
        <w:pStyle w:val="TextoNormal"/>
      </w:pPr>
      <w:r>
        <w:t>En el proceso que ahora nos ocupa el objeto formal del recurso de amparo es el acuerdo de la presidenta del Congreso de los Diputados, de 3 de diciembre de 2019, que tuvo por cumplimentado por todos los diputados el requisito de promesa o juramento de acatamiento de la Constitución, en la sesión constitutiva de la XIV Legislatura del Congreso de los Diputados, resolución confirmada posteriormente por el acuerdo de la mesa del Congreso de los Diputados de 23 de enero de 2020 por el que se desestima la solicitud de reconsideración del acuerdo de 13 de diciembre de 2019, que declaraba improcedente la revisión del acuerdo de la Presidencia de la Cámara.</w:t>
      </w:r>
    </w:p>
    <w:p w14:paraId="1DC0C2CA" w14:textId="77777777" w:rsidR="008D479B" w:rsidRDefault="008D479B" w:rsidP="008D479B">
      <w:pPr>
        <w:pStyle w:val="TextoNormal"/>
      </w:pPr>
    </w:p>
    <w:p w14:paraId="23089A09" w14:textId="77777777" w:rsidR="008D479B" w:rsidRDefault="008D479B" w:rsidP="008D479B">
      <w:pPr>
        <w:pStyle w:val="TextoNormal"/>
      </w:pPr>
      <w:r>
        <w:t>Tal y como se estableció ya en la STC 65/2023 para el supuesto allí planteado, aunque el acuerdo de la Presidencia fue que “todas las señoras y señores diputados que han contestado al llamamiento han adquirido la condición plena de diputados y diputadas”, el objeto del presente recurso queda limitado a la decisión transcrita en lo que concierne a los veintinueve diputados y diputadas cuyas fórmulas de acatamiento han sido objeto de impugnación en la demanda de amparo, por considerar los demandantes que o bien expresan convicciones incompatibles con el contenido de la Constitución, o bien resultaron ininteligibles impidiendo valorar la certeza de la incondicionalidad y plenitud del acatamiento.</w:t>
      </w:r>
    </w:p>
    <w:p w14:paraId="4AF103D8" w14:textId="77777777" w:rsidR="008D479B" w:rsidRDefault="008D479B" w:rsidP="008D479B">
      <w:pPr>
        <w:pStyle w:val="TextoNormal"/>
      </w:pPr>
    </w:p>
    <w:p w14:paraId="4CB28EC7" w14:textId="77777777" w:rsidR="008D479B" w:rsidRDefault="008D479B" w:rsidP="008D479B">
      <w:pPr>
        <w:pStyle w:val="TextoNormal"/>
      </w:pPr>
      <w:r>
        <w:t>(ii) Por lo que hace a la controvertida cuestión del agotamiento del procedimiento parlamentario previo, vinculada asimismo a la legitimación de los recurrentes en amparo distintos del diputado don Santiago Abascal Conde, interviniente único por su formación política en la sesión de investidura, las consideraciones de este tribunal respecto de la existencia de óbices de admisibilidad ligados a este requisito de procedibilidad remiten a las que ya se manifestaron en la STC 65/2023.</w:t>
      </w:r>
    </w:p>
    <w:p w14:paraId="4F1E819F" w14:textId="77777777" w:rsidR="008D479B" w:rsidRDefault="008D479B" w:rsidP="008D479B">
      <w:pPr>
        <w:pStyle w:val="TextoNormal"/>
      </w:pPr>
    </w:p>
    <w:p w14:paraId="4C8AC6A7" w14:textId="77777777" w:rsidR="008D479B" w:rsidRDefault="008D479B" w:rsidP="008D479B">
      <w:pPr>
        <w:pStyle w:val="TextoNormal"/>
      </w:pPr>
      <w:r>
        <w:t>Independientemente del hecho de que la decisión de la Presidencia fuera definitiva e irrevisable, también conforman el objeto del proceso constitucional los acuerdos de la mesa del Congreso de los Diputados fechadas el 13 de diciembre de 2019 y el 23 de enero de 2020, en cuanto decisiones adoptadas en el marco de la pretensión del recurrente señor Abascal Conde, de agotar la vía parlamentaria, habida cuenta además y en lo que se refiere al acuerdo de la mesa de 23 de enero de 2020, de que este acuerdo no se limitó a rechazar la posibilidad de revisión de la decisión de la Presidencia por falta de previsión reglamentaria al efecto, sino que incluyó una extensa motivación sobre las razones de fondo para confirmar la legalidad de la decisión de la presidenta.</w:t>
      </w:r>
    </w:p>
    <w:p w14:paraId="5CF5D207" w14:textId="77777777" w:rsidR="008D479B" w:rsidRDefault="008D479B" w:rsidP="008D479B">
      <w:pPr>
        <w:pStyle w:val="TextoNormal"/>
      </w:pPr>
    </w:p>
    <w:p w14:paraId="5EA63EF4" w14:textId="77777777" w:rsidR="008D479B" w:rsidRDefault="008D479B" w:rsidP="008D479B">
      <w:pPr>
        <w:pStyle w:val="TextoNormal"/>
      </w:pPr>
      <w:r>
        <w:t>Sin embargo, no serán objeto del pronunciamiento “en tanto que decisiones que consideran que no existe vía reglamentaria que habilite a la mesa para revisar la decisión de la presidenta, ya que en la demanda de amparo no se controvierte (en el mismo sentido, STC 25/2023, de 17 de abril, FJ 2)” (STC 65/2023, FJ 1).</w:t>
      </w:r>
    </w:p>
    <w:p w14:paraId="22FE2F1F" w14:textId="77777777" w:rsidR="008D479B" w:rsidRDefault="008D479B" w:rsidP="008D479B">
      <w:pPr>
        <w:pStyle w:val="TextoNormal"/>
      </w:pPr>
    </w:p>
    <w:p w14:paraId="242D15D5" w14:textId="77777777" w:rsidR="008D479B" w:rsidRDefault="008D479B" w:rsidP="008D479B">
      <w:pPr>
        <w:pStyle w:val="TextoNormal"/>
      </w:pPr>
      <w:r>
        <w:t>Esta consideración de los acuerdos de la mesa no supone considerarlos pronunciamientos necesarios de la vía parlamentaria previa e ineludible, ni puede afirmarse que limite a la legitimación de los recurrentes que sostienen la titularidad de un interés legítimo en el procedimiento de amparo. Por lo que es preciso desestimar la concurrencia de este óbice procesal opuesto por el Ministerio Fiscal.</w:t>
      </w:r>
    </w:p>
    <w:p w14:paraId="78F375BB" w14:textId="77777777" w:rsidR="008D479B" w:rsidRDefault="008D479B" w:rsidP="008D479B">
      <w:pPr>
        <w:pStyle w:val="TextoNormal"/>
      </w:pPr>
    </w:p>
    <w:p w14:paraId="73571624" w14:textId="77777777" w:rsidR="008D479B" w:rsidRDefault="008D479B" w:rsidP="008D479B">
      <w:pPr>
        <w:pStyle w:val="TextoNormal"/>
      </w:pPr>
      <w:r>
        <w:t>(iii) Por lo que hace a la competencia del Tribunal para conocer del presente recurso, negada por una de las partes personadas en el proceso, la STC 65/2023, en su fundamento jurídico 2 (i), ya afirmó la competencia de la jurisdicción constitucional para resolver el recurso de amparo, ya que “en los términos del art. 42 LOTC, la demanda se dirige contra ‘decisiones o actos sin valor de ley, emanados de las Cortes o de cualquiera de sus órganos’ —en este caso una decisión de la presidenta del Congreso de los Diputados—, por una alegada lesión de ‘derechos y libertades susceptibles de amparo constitucional’ —en este caso el art. 23 CE—. La existencia de un margen de apreciación de la Presidencia del Congreso para adoptar el acuerdo impugnado, que es consustancial a toda decisión aplicativa de una norma, no es un obstáculo para ello ni permite afirmar que esta impugnación encubra unos impropios recursos de inconstitucionalidad o conflicto de órganos constitucionales como se pone de manifiesto en las diferentes ocasiones en que el Tribunal no ha controvertido la adecuación de esta vía de amparo para analizar las decisiones de las presidencias de asambleas legislativas sobre la validez de las fórmulas de acatamiento de la Constitución (SSTC 119/1990 o 74/1991)”.</w:t>
      </w:r>
    </w:p>
    <w:p w14:paraId="6DC1F12A" w14:textId="77777777" w:rsidR="008D479B" w:rsidRDefault="008D479B" w:rsidP="008D479B">
      <w:pPr>
        <w:pStyle w:val="TextoNormal"/>
      </w:pPr>
    </w:p>
    <w:p w14:paraId="7902CCD7" w14:textId="40711219" w:rsidR="008D479B" w:rsidRDefault="008D479B" w:rsidP="008D479B">
      <w:pPr>
        <w:pStyle w:val="TextoNormal"/>
      </w:pPr>
      <w:r>
        <w:t>(iv) También ha sido rechazado en la STC 65/2023 el óbice de falta de legitimación de los recurrentes en amparo, por cuanto admite que, al menos a los efectos del examen de la concurrencia del requisito de admisibilidad, que los recurrentes poseen interés legítimo, que invocan, además de ser personas directamente afectadas por la vulneración que denuncian, y ello “con independencia de si ha existido la alegada vulneración de los derechos invocados por los demandantes de amparo, que es la cuestión de fondo a analizar en esta sentencia” [STC 65/2023, FJ 2 (ii)].</w:t>
      </w:r>
    </w:p>
    <w:p w14:paraId="689C009C" w14:textId="77777777" w:rsidR="008D479B" w:rsidRDefault="008D479B" w:rsidP="008D479B">
      <w:pPr>
        <w:pStyle w:val="TextoNormal"/>
      </w:pPr>
    </w:p>
    <w:p w14:paraId="37435F21" w14:textId="77777777" w:rsidR="008D479B" w:rsidRDefault="008D479B" w:rsidP="008D479B">
      <w:pPr>
        <w:pStyle w:val="TextoNormal"/>
      </w:pPr>
      <w:r w:rsidRPr="008D479B">
        <w:rPr>
          <w:rStyle w:val="NumeroAFNegritaCaracter"/>
        </w:rPr>
        <w:t>2</w:t>
      </w:r>
      <w:r>
        <w:t xml:space="preserve">. </w:t>
      </w:r>
      <w:r w:rsidRPr="008D479B">
        <w:rPr>
          <w:i/>
        </w:rPr>
        <w:t>Proyección al caso de la doctrina contenida en la STC 65/2023, de 6 de junio</w:t>
      </w:r>
    </w:p>
    <w:p w14:paraId="13F3CD8A" w14:textId="77777777" w:rsidR="008D479B" w:rsidRDefault="008D479B" w:rsidP="008D479B">
      <w:pPr>
        <w:pStyle w:val="TextoNormal"/>
      </w:pPr>
    </w:p>
    <w:p w14:paraId="15457E55" w14:textId="77777777" w:rsidR="008D479B" w:rsidRDefault="008D479B" w:rsidP="008D479B">
      <w:pPr>
        <w:pStyle w:val="TextoNormal"/>
      </w:pPr>
      <w:r>
        <w:t>Por tanto, y tal y como se resolvió por el Tribunal en la STC 65/2023, “la circunstancia de que los veintinueve diputados electos que utilizaron fórmulas de acatamiento que los demandantes consideran contrarias a la legalidad parlamentaria accedieran a la plena condición de diputados, merced a la decisión de la presidenta del Congreso de tener por válido su acatamiento y, por tanto, gocen a su vez de todo el haz de derechos y facultades reconocidos a estos representantes políticos en las mismas condiciones que los ahora demandantes de amparo no afecta al derecho de estos últimos a ejercer también en plenitud sus funciones parlamentarias de acuerdo con las previsiones legales, que no se ve restringido en ningún momento. Esto es lo determinante para que este tribunal aprecie que los demandantes de amparo no han identificado ningún concreto derecho o facultad conformador de su estatuto legal como diputados que haya quedado limitado o afectado por la decisión parlamentaria impugnada en este amparo que permita considerar que se ha visto afectado su derecho de representación política reconocido en el art. 23.2 CE” (FJ 4).</w:t>
      </w:r>
    </w:p>
    <w:p w14:paraId="3DAAD170" w14:textId="77777777" w:rsidR="008D479B" w:rsidRDefault="008D479B" w:rsidP="008D479B">
      <w:pPr>
        <w:pStyle w:val="TextoNormal"/>
      </w:pPr>
    </w:p>
    <w:p w14:paraId="2A4F9800" w14:textId="5D53B5AE" w:rsidR="008D479B" w:rsidRDefault="008D479B" w:rsidP="008D479B">
      <w:pPr>
        <w:pStyle w:val="TextoNormal"/>
      </w:pPr>
      <w:r>
        <w:t xml:space="preserve">Por tanto, tal y como se sostuvo en la sentencia de referencia, la constatación de que los demandantes de amparo no han identificado ninguna limitación o incidencia de la decisión impugnada en el núcleo esencial de su </w:t>
      </w:r>
      <w:r w:rsidRPr="008D479B">
        <w:rPr>
          <w:i/>
        </w:rPr>
        <w:t>ius in officium</w:t>
      </w:r>
      <w:r>
        <w:t xml:space="preserve"> es suficiente para desestimar el presente recurso de amparo y exime al Tribunal de la necesidad de avanzar en el análisis sobre una eventual contravención de las normas parlamentarias por parte de la decisión de la presidenta al dar validez a determinadas fórmulas de acatamiento de la Constitución.</w:t>
      </w:r>
    </w:p>
    <w:p w14:paraId="5F44C8AD" w14:textId="77777777" w:rsidR="008D479B" w:rsidRDefault="008D479B" w:rsidP="008D479B">
      <w:pPr>
        <w:pStyle w:val="TextoNormal"/>
      </w:pPr>
    </w:p>
    <w:p w14:paraId="6D99812A" w14:textId="77777777" w:rsidR="008D479B" w:rsidRDefault="008D479B" w:rsidP="008D479B">
      <w:pPr>
        <w:pStyle w:val="TextoNormalCentrado"/>
        <w:keepNext/>
      </w:pPr>
      <w:r>
        <w:t>FALLO</w:t>
      </w:r>
    </w:p>
    <w:p w14:paraId="07DC9582" w14:textId="34604DE8" w:rsidR="008D479B" w:rsidRDefault="008D479B" w:rsidP="008D479B">
      <w:pPr>
        <w:pStyle w:val="TextoNormalCentrado"/>
        <w:keepNext/>
      </w:pPr>
    </w:p>
    <w:p w14:paraId="1A1612C9" w14:textId="0997E464" w:rsidR="008D479B" w:rsidRDefault="008D479B" w:rsidP="008D479B">
      <w:pPr>
        <w:pStyle w:val="TextoNormal"/>
      </w:pPr>
      <w:r>
        <w:t>En atención a todo lo expuesto, el Tribunal Constitucional, por la autoridad que le confiere la Constitución de la Nación española, ha decidido desestimar el presente recurso de amparo interpuesto por don Santiago Abascal Conde y otros cincuenta y un diputados y diputadas.</w:t>
      </w:r>
    </w:p>
    <w:p w14:paraId="56ADB44F" w14:textId="77777777" w:rsidR="008D479B" w:rsidRDefault="008D479B" w:rsidP="008D479B">
      <w:pPr>
        <w:pStyle w:val="TextoNormal"/>
      </w:pPr>
    </w:p>
    <w:p w14:paraId="64A662FA" w14:textId="77777777" w:rsidR="008D479B" w:rsidRDefault="008D479B" w:rsidP="008D479B">
      <w:pPr>
        <w:pStyle w:val="TextoNormal"/>
      </w:pPr>
      <w:r>
        <w:t>Publíquese esta sentencia en el “Boletín Oficial del Estado”.</w:t>
      </w:r>
    </w:p>
    <w:p w14:paraId="714F8FC9" w14:textId="77777777" w:rsidR="008D479B" w:rsidRDefault="008D479B" w:rsidP="008D479B">
      <w:pPr>
        <w:pStyle w:val="TextoNormal"/>
      </w:pPr>
      <w:r>
        <w:t>Dada en Madrid, a veintisiete de septiembre de dos mil veintitrés.</w:t>
      </w:r>
    </w:p>
    <w:p w14:paraId="3914BA8D" w14:textId="5E2FF825" w:rsidR="008D479B" w:rsidRDefault="008D479B" w:rsidP="008D479B">
      <w:pPr>
        <w:pStyle w:val="ParrafoNormal"/>
      </w:pPr>
    </w:p>
    <w:p w14:paraId="1071E1BF" w14:textId="77777777" w:rsidR="008D479B" w:rsidRDefault="008D479B" w:rsidP="008D479B">
      <w:pPr>
        <w:pStyle w:val="TextoNormalNegritaCentrado"/>
        <w:keepNext/>
      </w:pPr>
      <w:r>
        <w:t>Voto particular que formulan los magistrados don Ricardo Enríquez Sancho y don Enrique Arnaldo Alcubilla y la magistrada doña Concepción Espejel Jorquera, a la sentencia dictada en el recurso de amparo avocado por el Pleno núm. 962-2020</w:t>
      </w:r>
    </w:p>
    <w:p w14:paraId="7E17C482" w14:textId="70DAAED4" w:rsidR="008D479B" w:rsidRDefault="008D479B" w:rsidP="008D479B">
      <w:pPr>
        <w:pStyle w:val="TextoNormalNegritaCentrado"/>
        <w:keepNext/>
      </w:pPr>
    </w:p>
    <w:p w14:paraId="1A96E96F" w14:textId="77777777" w:rsidR="008D479B" w:rsidRDefault="008D479B" w:rsidP="008D479B">
      <w:pPr>
        <w:pStyle w:val="TextoNormal"/>
      </w:pPr>
      <w:r>
        <w:t>En el ejercicio de la facultad que nos confiere el artículo 90.2 de la Ley Orgánica del Tribunal Constitucional (LOTC), y con el máximo respeto a la opinión de la mayoría del Pleno, formulamos el presente voto particular por discrepar de la fundamentación y del fallo de la sentencia recaída en el recurso de amparo avocado núm. 962-2020, el cual debió ser estimado, declarando haberse producido la vulneración del derecho de los parlamentarios recurrentes al acceso y al ejercicio del cargo público representativo en condiciones de igualdad (art. 23.2 CE), así como la vulneración del derecho de los ciudadanos a participar en los asuntos públicos a través de sus representantes (art. 23.1 CE).</w:t>
      </w:r>
    </w:p>
    <w:p w14:paraId="71F61081" w14:textId="77777777" w:rsidR="008D479B" w:rsidRDefault="008D479B" w:rsidP="008D479B">
      <w:pPr>
        <w:pStyle w:val="TextoNormal"/>
      </w:pPr>
    </w:p>
    <w:p w14:paraId="0C4D2225" w14:textId="77777777" w:rsidR="008D479B" w:rsidRDefault="008D479B" w:rsidP="008D479B">
      <w:pPr>
        <w:pStyle w:val="TextoNormal"/>
      </w:pPr>
      <w:r>
        <w:t>Las razones de nuestra discrepancia han quedado detalladamente expuestas en el voto particular formulado a la STC 65/2023, de 6 de junio, de la que la presente resolución es aplicación, por lo que nos remitimos ahora a dicho voto particular en su totalidad.</w:t>
      </w:r>
    </w:p>
    <w:p w14:paraId="1FC7F45F" w14:textId="77777777" w:rsidR="008D479B" w:rsidRDefault="008D479B" w:rsidP="008D479B">
      <w:pPr>
        <w:pStyle w:val="TextoNormal"/>
      </w:pPr>
    </w:p>
    <w:p w14:paraId="6229F5FA" w14:textId="54F6A5AB" w:rsidR="008D479B" w:rsidRDefault="008D479B" w:rsidP="008D479B">
      <w:pPr>
        <w:pStyle w:val="TextoNormal"/>
      </w:pPr>
      <w:r>
        <w:t>Madrid, a veintisiete de septiembre de dos mil veintitrés.</w:t>
      </w:r>
    </w:p>
    <w:p w14:paraId="1A5D25B8" w14:textId="77777777" w:rsidR="008D479B" w:rsidRDefault="008D479B" w:rsidP="008D479B">
      <w:pPr>
        <w:pStyle w:val="TextoNormal"/>
      </w:pPr>
    </w:p>
    <w:p w14:paraId="45B74766" w14:textId="77777777" w:rsidR="008D479B" w:rsidRDefault="008D479B" w:rsidP="008D479B">
      <w:pPr>
        <w:pStyle w:val="TextoNormalNegritaCentrado"/>
        <w:keepNext/>
      </w:pPr>
      <w:r>
        <w:t>Voto particular concurrente que formula la magistrada doña María Luisa Balaguer Callejón a la sentencia dictada en el recurso de amparo núm. 962-2020</w:t>
      </w:r>
    </w:p>
    <w:p w14:paraId="05947656" w14:textId="2B8C7027" w:rsidR="008D479B" w:rsidRDefault="008D479B" w:rsidP="008D479B">
      <w:pPr>
        <w:pStyle w:val="TextoNormalNegritaCentrado"/>
        <w:keepNext/>
      </w:pPr>
    </w:p>
    <w:p w14:paraId="09D1AF8B" w14:textId="77777777" w:rsidR="008D479B" w:rsidRDefault="008D479B" w:rsidP="008D479B">
      <w:pPr>
        <w:pStyle w:val="TextoNormal"/>
      </w:pPr>
      <w:r>
        <w:t>Con el mayor respeto al criterio reflejado en la sentencia a que se refiere el encabezamiento y, en ejercicio de la facultad que me confiere el art. 90.2 de la Ley Orgánica del Tribunal Constitucional, manifiesto mi discrepancia con parte de la argumentación de la sentencia aprobada por el Pleno, aunque comparto el fallo. Si bien como ponente de la sentencia he expresado el parecer del Tribunal, por las razones defendidas en su momento durante la deliberación, difiero de la argumentación utilizada en la sentencia. Dado que dichas razones son coincidentes con las que expresé respecto de la STC 65/2023, de 6 de junio, me remito al voto concurrente que formulé a dicha sentencia.</w:t>
      </w:r>
    </w:p>
    <w:p w14:paraId="03654979" w14:textId="77777777" w:rsidR="008D479B" w:rsidRDefault="008D479B" w:rsidP="008D479B">
      <w:pPr>
        <w:pStyle w:val="TextoNormal"/>
      </w:pPr>
    </w:p>
    <w:p w14:paraId="4C21B27F" w14:textId="5FC04F6B" w:rsidR="008D479B" w:rsidRDefault="008D479B" w:rsidP="008D479B">
      <w:pPr>
        <w:pStyle w:val="TextoNormal"/>
      </w:pPr>
      <w:r>
        <w:t>Madrid, a veintisiete de septiembre de dos mil veintitrés.</w:t>
      </w:r>
    </w:p>
    <w:p w14:paraId="5801B319" w14:textId="5440AA1C" w:rsidR="008D479B" w:rsidRDefault="008D479B">
      <w:pPr>
        <w:spacing w:after="160" w:line="278" w:lineRule="auto"/>
        <w:rPr>
          <w:rFonts w:ascii="Times New Roman" w:eastAsia="Times New Roman" w:hAnsi="Times New Roman" w:cs="Times New Roman"/>
          <w:sz w:val="24"/>
          <w:szCs w:val="24"/>
          <w:lang w:eastAsia="es-ES"/>
        </w:rPr>
      </w:pPr>
      <w:r>
        <w:br w:type="page"/>
      </w:r>
    </w:p>
    <w:p w14:paraId="186F56CA" w14:textId="77777777" w:rsidR="008D479B" w:rsidRDefault="008D479B" w:rsidP="008D479B">
      <w:pPr>
        <w:pStyle w:val="TtuloResolucin"/>
      </w:pPr>
      <w:bookmarkStart w:id="51" w:name="SENTENCIA_2023_126"/>
      <w:r>
        <w:t>SENTENCIA 126/2023, de 27 de septiembre de 2023</w:t>
      </w:r>
    </w:p>
    <w:bookmarkEnd w:id="51"/>
    <w:p w14:paraId="56EB144F" w14:textId="77777777" w:rsidR="008D479B" w:rsidRDefault="008D479B" w:rsidP="008D479B">
      <w:pPr>
        <w:pStyle w:val="TtuloResolucin"/>
      </w:pPr>
      <w:r>
        <w:t>Pleno</w:t>
      </w:r>
    </w:p>
    <w:p w14:paraId="74AD7E17" w14:textId="77777777" w:rsidR="008D479B" w:rsidRDefault="008D479B" w:rsidP="008D479B">
      <w:pPr>
        <w:pStyle w:val="TtuloBOE"/>
      </w:pPr>
      <w:r>
        <w:t>(BOE núm. 261, de 1 de noviembre de 2023)</w:t>
      </w:r>
    </w:p>
    <w:p w14:paraId="4AA92402" w14:textId="77777777" w:rsidR="008D479B" w:rsidRDefault="008D479B" w:rsidP="008D479B">
      <w:pPr>
        <w:pStyle w:val="TextoNormalCentrado"/>
      </w:pPr>
      <w:r>
        <w:t>ECLI:ES:TC:2023:126</w:t>
      </w:r>
    </w:p>
    <w:p w14:paraId="142624A2" w14:textId="16580AF5" w:rsidR="008D479B" w:rsidRDefault="008D479B" w:rsidP="008D479B">
      <w:pPr>
        <w:pStyle w:val="TextoNormalCentrado"/>
      </w:pPr>
    </w:p>
    <w:p w14:paraId="14A8AC3E" w14:textId="77777777" w:rsidR="008D479B" w:rsidRDefault="008D479B" w:rsidP="008D479B">
      <w:pPr>
        <w:pStyle w:val="SntesisDescriptiva"/>
      </w:pPr>
      <w:r>
        <w:t>Recurso de inconstitucionalidad 3839-2022. Interpuesto por el presidente del Gobierno en relación con diversos preceptos del Decreto‑ley del Gobierno de la Región de Murcia 5/2021, de 27 de agosto, de modificación de la Ley de la Asamblea Regional de Murcia 3/2020, de 27 de julio, de recuperación y protección del Mar Menor.</w:t>
      </w:r>
    </w:p>
    <w:p w14:paraId="0E8525FC" w14:textId="47D6C0A1" w:rsidR="008D479B" w:rsidRDefault="008D479B" w:rsidP="008D479B">
      <w:pPr>
        <w:pStyle w:val="SntesisDescriptiva"/>
      </w:pPr>
    </w:p>
    <w:p w14:paraId="1BC464C1" w14:textId="77777777" w:rsidR="008D479B" w:rsidRDefault="008D479B" w:rsidP="008D479B">
      <w:pPr>
        <w:pStyle w:val="SntesisAnaltica"/>
      </w:pPr>
      <w:r>
        <w:t>Límites a los decretos leyes autonómicos: suficiente justificación de la concurrencia del presupuesto habilitante de la extraordinaria y urgente necesidad para la modificación, en ejercicio de las competencias autonómicas, del régimen de restitución de cultivos.</w:t>
      </w:r>
    </w:p>
    <w:p w14:paraId="576E0FE7" w14:textId="22185D6A" w:rsidR="008D479B" w:rsidRDefault="008D479B" w:rsidP="008D479B">
      <w:pPr>
        <w:pStyle w:val="SntesisAnaltica"/>
      </w:pPr>
    </w:p>
    <w:p w14:paraId="49BE05D8" w14:textId="1D56DAC0" w:rsidR="008D479B" w:rsidRDefault="008D479B" w:rsidP="008D479B">
      <w:pPr>
        <w:pStyle w:val="Extracto"/>
      </w:pPr>
      <w:r>
        <w:t>1.</w:t>
      </w:r>
      <w:r>
        <w:tab/>
        <w:t>Para enjuiciar la concurrencia del presupuesto habilitante en el caso de los decretos-leyes autonómicos, se considera necesario ponderar, caso por caso, el contexto en que estos se adoptan porque, aunque las exigencias mínimas del principio democrático son en esencia idénticas para todos los decretos-leyes, la distinta realidad de referencia puede causar que uno u otro de esos requerimientos presenten matices determinantes para su alcance (STC 93/2015) [FJ 3].</w:t>
      </w:r>
    </w:p>
    <w:p w14:paraId="723C3F57" w14:textId="77777777" w:rsidR="008D479B" w:rsidRDefault="008D479B" w:rsidP="008D479B">
      <w:pPr>
        <w:pStyle w:val="Extracto"/>
      </w:pPr>
    </w:p>
    <w:p w14:paraId="7A6939BE" w14:textId="705700DA" w:rsidR="008D479B" w:rsidRDefault="008D479B" w:rsidP="008D479B">
      <w:pPr>
        <w:pStyle w:val="Extracto"/>
      </w:pPr>
      <w:r>
        <w:t>2.</w:t>
      </w:r>
      <w:r>
        <w:tab/>
        <w:t>La elaboración previa a la adopción de un decreto-ley debe contener: (a) justificación aportada por el gobierno correspondiente acerca de la situación de extraordinaria y urgente necesidad abordada; (b) conexión de sentido entre dicha situación excepcional y las medidas adoptadas para hacerle frente; y (c) justificación suficiente sobre el específico contexto en que se produjo la aprobación de la norma [FJ 4].</w:t>
      </w:r>
    </w:p>
    <w:p w14:paraId="2EC67803" w14:textId="77777777" w:rsidR="008D479B" w:rsidRDefault="008D479B" w:rsidP="008D479B">
      <w:pPr>
        <w:pStyle w:val="Extracto"/>
      </w:pPr>
    </w:p>
    <w:p w14:paraId="2D2A1921" w14:textId="468453F9" w:rsidR="008D479B" w:rsidRDefault="008D479B" w:rsidP="008D479B">
      <w:pPr>
        <w:pStyle w:val="Extracto"/>
      </w:pPr>
      <w:r>
        <w:t>3.</w:t>
      </w:r>
      <w:r>
        <w:tab/>
        <w:t>Una regulación autonómica no afecta a las competencias estatales si se limita a disciplinar la actuación administrativa en ejercicio de sus competencias legítimas, sin oponerse al régimen del procedimiento administrativo común recogido en la Ley 39/2015, de 1 de octubre, y sin imponer obligación alguna al Estado distinta del deber general de colaboración que pesa sobre ambas administraciones [FJ 5].</w:t>
      </w:r>
    </w:p>
    <w:p w14:paraId="692FD3FF" w14:textId="77777777" w:rsidR="008D479B" w:rsidRDefault="008D479B" w:rsidP="008D479B">
      <w:pPr>
        <w:pStyle w:val="Extracto"/>
      </w:pPr>
    </w:p>
    <w:p w14:paraId="676D464E" w14:textId="77777777" w:rsidR="008D479B" w:rsidRDefault="008D479B" w:rsidP="008D479B">
      <w:pPr>
        <w:pStyle w:val="Extracto"/>
      </w:pPr>
    </w:p>
    <w:p w14:paraId="1281E24A" w14:textId="77777777" w:rsidR="008D479B" w:rsidRDefault="008D479B" w:rsidP="008D479B">
      <w:pPr>
        <w:pStyle w:val="TextoNormal"/>
      </w:pPr>
      <w: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 ha pronunciado</w:t>
      </w:r>
    </w:p>
    <w:p w14:paraId="342A1A0E" w14:textId="14441261" w:rsidR="008D479B" w:rsidRDefault="008D479B" w:rsidP="008D479B">
      <w:pPr>
        <w:pStyle w:val="TextoNormal"/>
      </w:pPr>
    </w:p>
    <w:p w14:paraId="6ADB58F4" w14:textId="77777777" w:rsidR="008D479B" w:rsidRDefault="008D479B" w:rsidP="008D479B">
      <w:pPr>
        <w:pStyle w:val="TextoNormalCentrado"/>
        <w:keepNext/>
      </w:pPr>
      <w:r>
        <w:t>EN NOMBRE DEL REY</w:t>
      </w:r>
    </w:p>
    <w:p w14:paraId="54D0C2E4" w14:textId="67D17DFE" w:rsidR="008D479B" w:rsidRDefault="008D479B" w:rsidP="008D479B">
      <w:pPr>
        <w:pStyle w:val="TextoNormalCentrado"/>
        <w:keepNext/>
      </w:pPr>
    </w:p>
    <w:p w14:paraId="557C7B1D" w14:textId="77777777" w:rsidR="008D479B" w:rsidRDefault="008D479B" w:rsidP="008D479B">
      <w:pPr>
        <w:pStyle w:val="TextoNormalCentrado"/>
        <w:keepNext/>
      </w:pPr>
    </w:p>
    <w:p w14:paraId="4CE3C8CD" w14:textId="77777777" w:rsidR="008D479B" w:rsidRDefault="008D479B" w:rsidP="008D479B">
      <w:pPr>
        <w:pStyle w:val="TextoNormal"/>
      </w:pPr>
      <w:r>
        <w:t>la siguiente</w:t>
      </w:r>
    </w:p>
    <w:p w14:paraId="1C759255" w14:textId="657B7927" w:rsidR="008D479B" w:rsidRDefault="008D479B" w:rsidP="008D479B">
      <w:pPr>
        <w:pStyle w:val="TextoNormal"/>
      </w:pPr>
    </w:p>
    <w:p w14:paraId="57587D1A" w14:textId="77777777" w:rsidR="008D479B" w:rsidRDefault="008D479B" w:rsidP="008D479B">
      <w:pPr>
        <w:pStyle w:val="TextoNormalCentrado"/>
        <w:keepNext/>
      </w:pPr>
      <w:r>
        <w:t>SENTENCIA</w:t>
      </w:r>
    </w:p>
    <w:p w14:paraId="3CFCE0C0" w14:textId="4C46E8A9" w:rsidR="008D479B" w:rsidRDefault="008D479B" w:rsidP="008D479B">
      <w:pPr>
        <w:pStyle w:val="TextoNormalCentrado"/>
        <w:keepNext/>
      </w:pPr>
    </w:p>
    <w:p w14:paraId="1AF28627" w14:textId="77777777" w:rsidR="008D479B" w:rsidRDefault="008D479B" w:rsidP="008D479B">
      <w:pPr>
        <w:pStyle w:val="TextoNormal"/>
      </w:pPr>
      <w:r>
        <w:t>En el recurso de inconstitucionalidad núm. 3839-2022, promovido por el presidente del Gobierno contra determinados incisos de los apartados primero y segundo del artículo único del Decreto‑ley del Gobierno de la Región de Murcia 5/2021, de 27 de agosto, de modificación de la Ley de la Asamblea Regional de Murcia 3/2020, de 27 de julio, de recuperación y protección del Mar Menor. Ha comparecido y formulado alegaciones el Consejo de Gobierno de la Región de Murcia. Ha sido ponente el magistrado don Ramón Sáez Valcárcel.</w:t>
      </w:r>
    </w:p>
    <w:p w14:paraId="24353E2C" w14:textId="3D9BBEC6" w:rsidR="008D479B" w:rsidRDefault="008D479B" w:rsidP="008D479B">
      <w:pPr>
        <w:pStyle w:val="TextoNormal"/>
      </w:pPr>
    </w:p>
    <w:p w14:paraId="695772E6" w14:textId="77777777" w:rsidR="008D479B" w:rsidRDefault="008D479B" w:rsidP="008D479B">
      <w:pPr>
        <w:pStyle w:val="TextoNormalNegritaCentrado"/>
        <w:keepNext/>
      </w:pPr>
      <w:r>
        <w:t>I. Antecedentes</w:t>
      </w:r>
    </w:p>
    <w:p w14:paraId="189594DC" w14:textId="3D7C6C67" w:rsidR="008D479B" w:rsidRDefault="008D479B" w:rsidP="008D479B">
      <w:pPr>
        <w:pStyle w:val="TextoNormalNegritaCentrado"/>
        <w:keepNext/>
      </w:pPr>
    </w:p>
    <w:p w14:paraId="75D5C05A" w14:textId="77777777" w:rsidR="008D479B" w:rsidRDefault="008D479B" w:rsidP="008D479B">
      <w:pPr>
        <w:pStyle w:val="TextoNormal"/>
      </w:pPr>
      <w:r w:rsidRPr="008D479B">
        <w:rPr>
          <w:rStyle w:val="NumeroAFNegritaCaracter"/>
        </w:rPr>
        <w:t>1</w:t>
      </w:r>
      <w:r>
        <w:t>. Con fecha 30 de mayo de 2022 tuvo entrada en el registro general del Tribunal Constitucional el recurso de inconstitucionalidad promovido por el presidente del Gobierno y, en su representación y defensa, por el abogado del Estado, contra los apartados primero y segundo del artículo único del Decreto‑ley del Gobierno de la Región de Murcia 5/2021, de 27 de agosto (publicado en el “Boletín Oficial de la Región de Murcia” núm. 200, de 30 de agosto de 2021), en tanto que otorgan una nueva redacción a los arts. 33.1, 33.4, 34.1 y 34.2 de la Ley 3/2020, de 27 de julio, de recuperación y protección del Mar Menor.</w:t>
      </w:r>
    </w:p>
    <w:p w14:paraId="74B341EB" w14:textId="77777777" w:rsidR="008D479B" w:rsidRDefault="008D479B" w:rsidP="008D479B">
      <w:pPr>
        <w:pStyle w:val="TextoNormal"/>
      </w:pPr>
    </w:p>
    <w:p w14:paraId="17B331F2" w14:textId="77777777" w:rsidR="008D479B" w:rsidRDefault="008D479B" w:rsidP="008D479B">
      <w:pPr>
        <w:pStyle w:val="TextoNormal"/>
      </w:pPr>
      <w:r>
        <w:t>El fundamento primero y el suplico de la demanda limitan expresamente la impugnación a los siguientes incisos de la nueva redacción de la citada Ley 3/2020: “de aquellos regadíos que hayan sido cesados o prohibidos por resolución firme en vía administrativa por el organismo de cuenca, por no estar amparados en un derecho de aprovechamiento de aguas” (art. 33.1); “debe contar con informe o certificado que reciba del organismo de cuenca sobre los regadíos que hayan sido cesados o prohibidos por resolución firme en vía administrativa” (art. 34.1); y “recibida comunicación del organismo de cuenca con indicación de las explotaciones que carecen de derecho de agua, en los términos del apartado anterior” (art. 34.2). Junto con ello, la fundamentación de los motivos de impugnación se refiere también como precepto impugnado al art. 33.4 de la Ley 3/2020, en su nueva redacción.</w:t>
      </w:r>
    </w:p>
    <w:p w14:paraId="3822EE58" w14:textId="77777777" w:rsidR="008D479B" w:rsidRDefault="008D479B" w:rsidP="008D479B">
      <w:pPr>
        <w:pStyle w:val="TextoNormal"/>
      </w:pPr>
    </w:p>
    <w:p w14:paraId="635DEF5C" w14:textId="77777777" w:rsidR="008D479B" w:rsidRDefault="008D479B" w:rsidP="008D479B">
      <w:pPr>
        <w:pStyle w:val="TextoNormal"/>
      </w:pPr>
      <w:r>
        <w:t>a) El recurso se interpone tras haberse frustrado el intento de resolver las discrepancias competenciales en relación con la citada norma autonómica en el seno de la Comisión Bilateral de Cooperación Administración General del Estado‑Comunidad Autónoma de la Región de Murcia iniciadas el 9 de diciembre de 2021 (“Boletín Oficial del Estado” núm. 304, de 21 de diciembre de 2021), conforme a lo dispuesto en el art. 33.2 de la Ley Orgánica del Tribunal Constitucional (LOTC).</w:t>
      </w:r>
    </w:p>
    <w:p w14:paraId="1AA4D1EC" w14:textId="77777777" w:rsidR="008D479B" w:rsidRDefault="008D479B" w:rsidP="008D479B">
      <w:pPr>
        <w:pStyle w:val="TextoNormal"/>
      </w:pPr>
    </w:p>
    <w:p w14:paraId="231AF1E4" w14:textId="77777777" w:rsidR="008D479B" w:rsidRDefault="008D479B" w:rsidP="008D479B">
      <w:pPr>
        <w:pStyle w:val="TextoNormal"/>
      </w:pPr>
      <w:r>
        <w:t>Se adjunta a la demanda certificación del acuerdo adoptado por el Consejo de Ministros en su reunión celebrada el 24 de mayo de 2022, por el que se solicita del presidente del Gobierno que promueva recurso de inconstitucionalidad respecto de los apartados siguientes del artículo único del Decreto-ley 5/2021: apartado primero, en cuanto se refiere al inciso “de aquellos regadíos que hayan sido cesados o prohibidos por resolución firme en vía administrativa por el organismo de cuenca, por no estar amparados por un derecho de aprovechamiento de aguas” que introduce en el art. 33.1 de la Ley 3/2020, de 27 de julio; apartado uno, en cuanto a la redacción dada al art. 33.4 de la Ley 3/2020; apartado dos, en lo que se refiere al art. 34.1 de la Ley 3/2020; y apartado segundo, en lo referente al inciso “recibida comunicación del organismo de cuenca con indicación de las explotaciones que carecen de derecho de agua, en los términos del apartado anterior” que introduce en el art. 34.2 de la Ley 3/2020. También figura la decisión del presidente del Gobierno, de 25 de mayo de 2022, por la que se remite certificación del acuerdo de promover el recurso respecto de los referidos apartados e incisos, a fin de que por conducto de la Abogacía del Estado ante el Tribunal Constitucional se proceda a su debido cumplimiento.</w:t>
      </w:r>
    </w:p>
    <w:p w14:paraId="34DF2D39" w14:textId="77777777" w:rsidR="008D479B" w:rsidRDefault="008D479B" w:rsidP="008D479B">
      <w:pPr>
        <w:pStyle w:val="TextoNormal"/>
      </w:pPr>
    </w:p>
    <w:p w14:paraId="259770D9" w14:textId="77777777" w:rsidR="008D479B" w:rsidRDefault="008D479B" w:rsidP="008D479B">
      <w:pPr>
        <w:pStyle w:val="TextoNormal"/>
      </w:pPr>
      <w:r>
        <w:t>Asimismo se adjunta a la demanda copia del dictamen núm. 651-2022 emitido por la comisión permanente del Consejo de Estado en su reunión de 12 de mayo de 2022, por el que se informa desfavorablemente la interposición del recurso de inconstitucionalidad al considerarse que no concurren fundamentos jurídicos suficientes para la impugnación.</w:t>
      </w:r>
    </w:p>
    <w:p w14:paraId="16A00002" w14:textId="77777777" w:rsidR="008D479B" w:rsidRDefault="008D479B" w:rsidP="008D479B">
      <w:pPr>
        <w:pStyle w:val="TextoNormal"/>
      </w:pPr>
    </w:p>
    <w:p w14:paraId="6DB46432" w14:textId="77777777" w:rsidR="008D479B" w:rsidRDefault="008D479B" w:rsidP="008D479B">
      <w:pPr>
        <w:pStyle w:val="TextoNormal"/>
      </w:pPr>
      <w:r>
        <w:t>b) La demanda denuncia tres motivos de inconstitucionalidad, el primero de los cuales consiste en la ausencia y falta de justificación del presupuesto habilitante de la extraordinaria y urgente necesidad que exige el art. 86.1 CE para la validez jurídica de todo decreto-ley.</w:t>
      </w:r>
    </w:p>
    <w:p w14:paraId="6755A1BA" w14:textId="77777777" w:rsidR="008D479B" w:rsidRDefault="008D479B" w:rsidP="008D479B">
      <w:pPr>
        <w:pStyle w:val="TextoNormal"/>
      </w:pPr>
    </w:p>
    <w:p w14:paraId="0E05A06E" w14:textId="77777777" w:rsidR="008D479B" w:rsidRDefault="008D479B" w:rsidP="008D479B">
      <w:pPr>
        <w:pStyle w:val="TextoNormal"/>
      </w:pPr>
      <w:r>
        <w:t>Tras recordar la doctrina constitucional en esta materia y, en particular, la exigencia de un plus de motivación en el caso de los decretos leyes autonómicos (STC 93/2015, de 14 de mayo, FJ 9), la demanda señala que el Decreto-ley 5/2021 en modo alguno justifica el presupuesto habilitante de la extraordinaria y urgente necesidad exigido por el art. 86.1 CE. Y ello porque su preámbulo se limita a poner de manifiesto la aparición de una situación de hipoxia en el Mar Menor —provocada por el vertido de nitratos en sus aguas como consecuencia de la realización de cultivos utilizando tales materiales— y el debate de convalidación no añade nada nuevo, salvo la reiteración de la situación de hipoxia.</w:t>
      </w:r>
    </w:p>
    <w:p w14:paraId="550DF868" w14:textId="77777777" w:rsidR="008D479B" w:rsidRDefault="008D479B" w:rsidP="008D479B">
      <w:pPr>
        <w:pStyle w:val="TextoNormal"/>
      </w:pPr>
    </w:p>
    <w:p w14:paraId="23E784FC" w14:textId="77777777" w:rsidR="008D479B" w:rsidRDefault="008D479B" w:rsidP="008D479B">
      <w:pPr>
        <w:pStyle w:val="TextoNormal"/>
      </w:pPr>
      <w:r>
        <w:t>Argumenta a continuación la demanda que, aun cuando estamos ante un problema medioambiental grave, el contenido del decreto-ley no añade nada a la previa regulación efectuada por la Ley 30/2020. La comunidad autónoma era y es la administración competente para adoptar las medidas adecuadas, pues dicha ley (en particular, sus arts. 33 y 34) ya le otorgaba potestades suficientes a tal efecto, a saber, las potestades de vigilar e inspeccionar la actividad agrícola, prohibir o hacer cesar los cultivos, restituir estos y sancionar el incumplimiento de la norma. La modificación parcial de los arts. 33 y 34 de la Ley 30/2020 afecta a meros incisos que puntualizan la regulación que ya establecía la norma en su redacción original y tales modificaciones, si bien buscan “introducir aspectos para la mejora y perfección” de la norma objeto de reforma, “no introducen ni configuran, no obstante, elementos necesarios, en el sentido de imprescindibles, o ni siquiera muy necesarios, decisivos, para luchar contra la contaminación, en comparación con la normativa ya existente antes de la reforma”. También se señala que la situación de contaminación del Mar Menor por vertido de nitratos no era imprevisible ni nueva, lo que asimismo impide entender justificado el recurso extraordinario al instrumento normativo del decreto-ley.</w:t>
      </w:r>
    </w:p>
    <w:p w14:paraId="13A392B7" w14:textId="77777777" w:rsidR="008D479B" w:rsidRDefault="008D479B" w:rsidP="008D479B">
      <w:pPr>
        <w:pStyle w:val="TextoNormal"/>
      </w:pPr>
    </w:p>
    <w:p w14:paraId="4434CE91" w14:textId="77777777" w:rsidR="008D479B" w:rsidRDefault="008D479B" w:rsidP="008D479B">
      <w:pPr>
        <w:pStyle w:val="TextoNormal"/>
      </w:pPr>
      <w:r>
        <w:t>c) En segundo lugar, el recurso denuncia la vulneración de la competencia exclusiva del Estado sobre legislación, ordenación y concesión de recursos y aprovechamientos hidráulicos cuando las aguas discurran por más de una comunidad autónoma (art. 149.1.22 CE), por considerar que el legislador autonómico “dispone de dicho título competencial del Estado […] para constreñir y condicionar” la competencia exclusiva de la Región de Murcia sobre la agricultura y la ganadería, de acuerdo con la ordenación general de la economía [art. 148.1.7 CE y art. 10 del Estatuto de Autonomía para la Región de Murcia (EARM)].</w:t>
      </w:r>
    </w:p>
    <w:p w14:paraId="52BE6C70" w14:textId="77777777" w:rsidR="008D479B" w:rsidRDefault="008D479B" w:rsidP="008D479B">
      <w:pPr>
        <w:pStyle w:val="TextoNormal"/>
      </w:pPr>
    </w:p>
    <w:p w14:paraId="6D298EB5" w14:textId="77777777" w:rsidR="008D479B" w:rsidRDefault="008D479B" w:rsidP="008D479B">
      <w:pPr>
        <w:pStyle w:val="TextoNormal"/>
      </w:pPr>
      <w:r>
        <w:t>Como introducción a este motivo de impugnación, la demanda se refiere a la competencia estatal en materia de medio ambiente (art. 149.1.23 CE) y cita la doctrina constitucional sobre el carácter transversal y la necesaria interpretación restrictiva del alcance de dicho título competencial, sin perjuicio de que el mismo pueda afectar a las competencias sectoriales de las comunidades autónomas, limitándolas en razón de la apreciable repercusión negativa que el ejercicio de la actividad sectorial de que se trate pueda tener en materia medioambiental (SSTC 102/1995, de 26 de junio, FJ 3; 5/2016, de 21 de enero, FJ 4, y 53/2017, de 11 de mayo, FJ 3). Señala la demanda que, en una primera aproximación superficial, cabría entender que no existe objeción a que la Región de Murcia, en orden a ejercer su competencia de restitución de cultivos, lo haga a la vista de una decisión firme de la autoridad estatal competente en materia de control del agua, esto es, adoptando su decisión en función de lo que previamente haya decidido el organismo competente en materia de dominio público hidráulico, dado que se trata de una cuenca, como es la del Segura, que transcurre por más de una comunidad autónoma. Nada habría que reprochar al tenor de los preceptos controvertidos por la sola razón de que exijan tener en cuenta una decisión estatal previa que incide de alguna manera en la esfera medioambiental y que por ello produciría unos efectos que transcienden el ámbito del control de la actividad realizada en el dominio público hidráulico.</w:t>
      </w:r>
    </w:p>
    <w:p w14:paraId="41C1562B" w14:textId="77777777" w:rsidR="008D479B" w:rsidRDefault="008D479B" w:rsidP="008D479B">
      <w:pPr>
        <w:pStyle w:val="TextoNormal"/>
      </w:pPr>
    </w:p>
    <w:p w14:paraId="3177E89F" w14:textId="77777777" w:rsidR="008D479B" w:rsidRDefault="008D479B" w:rsidP="008D479B">
      <w:pPr>
        <w:pStyle w:val="TextoNormal"/>
      </w:pPr>
      <w:r>
        <w:t>La demanda considera, sin embargo, que el problema surge del tenor explícito de los preceptos objeto de impugnación. Argumenta que de ellos se infiere que “la atribución de la concesión o la prohibición de los regadíos por parte de la Comunidad Autónoma deviene obligada por razón de la resolución anterior y firme adoptada por el organismo de cuenca, dictada esta en ejercicio de su sola competencia estatal en materia de dominio público hidráulico, pero que se convertiría así en único elemento determinante, desde el punto de vista jurídico, de la ulterior actuación de la Consejería de la Comunidad Autónoma en cuanto al ejercicio —supuestamente constreñido, pues— de sus propias y exclusivas competencias de control de la actividad agrícola, en materia de restitución de cultivos”.</w:t>
      </w:r>
    </w:p>
    <w:p w14:paraId="5B560BDD" w14:textId="77777777" w:rsidR="008D479B" w:rsidRDefault="008D479B" w:rsidP="008D479B">
      <w:pPr>
        <w:pStyle w:val="TextoNormal"/>
      </w:pPr>
    </w:p>
    <w:p w14:paraId="5BE9A480" w14:textId="77777777" w:rsidR="008D479B" w:rsidRDefault="008D479B" w:rsidP="008D479B">
      <w:pPr>
        <w:pStyle w:val="TextoNormal"/>
      </w:pPr>
      <w:r>
        <w:t>Según la demanda, el impugnado art. 33.1 de la Ley, al establecer que la Consejería “exigirá” la restitución de “aquellos regadíos que hayan sido cesados o prohibidos por resolución firme del organismo de cuenca”, vendría a impedir que existan otros modos de iniciar el procedimiento de restitución. Otro tanto se afirma respecto del art. 33.4 de la misma Ley 3/2020, que, al señalar que la Consejería “acordará el inicio” del procedimiento de restitución “cuando el organismo de cuenca comunique […] la resolución firme en vía administrativa por la que se acuerde el cese o prohibición de regadío”, estaría configurando la competencia estatal como único factor posible desencadenante del ejercicio por la Comunidad Autónoma de sus propias y exclusivas competencias en materia de vigilancia y, en su caso, de restitución de los cultivos. En otras palabras, el legislador autonómico habría previsto que el ejercicio de una competencia autonómica quede condicionada o constreñida por lo que previamente el Estado haya decidido en el ejercicio de sus competencias propias, por lo que la actuación de la consejería competente en materia de control de la actividad agrícola no se podría llevar a cabo sin la previa decisión del organismo de cuenca.</w:t>
      </w:r>
    </w:p>
    <w:p w14:paraId="3D30133B" w14:textId="77777777" w:rsidR="008D479B" w:rsidRDefault="008D479B" w:rsidP="008D479B">
      <w:pPr>
        <w:pStyle w:val="TextoNormal"/>
      </w:pPr>
    </w:p>
    <w:p w14:paraId="60CD792B" w14:textId="77777777" w:rsidR="008D479B" w:rsidRDefault="008D479B" w:rsidP="008D479B">
      <w:pPr>
        <w:pStyle w:val="TextoNormal"/>
      </w:pPr>
      <w:r>
        <w:t>Con cita de la STC 53/2017, de 11 de mayo —que considera aplicable al caso “</w:t>
      </w:r>
      <w:r w:rsidRPr="008D479B">
        <w:rPr>
          <w:i/>
        </w:rPr>
        <w:t>a sensu contrario</w:t>
      </w:r>
      <w:r>
        <w:t xml:space="preserve"> en tanto que no nos hallamos ante una competencia del Estado directamente relativa al medioambiente […] sino de dominio público hidráulico”—, la demanda sostiene que “la competencia estatal debe ceñirse a su solo ámbito de actuación”, de modo que la Comunidad Autónoma no podrá “pretender que el ejercicio de su competencia en materia de agricultura […] se halle condicionada en su mismo ejercicio hasta tal punto por la del Estado en otro ámbito (dominio público hidráulico, </w:t>
      </w:r>
      <w:r w:rsidRPr="008D479B">
        <w:rPr>
          <w:i/>
        </w:rPr>
        <w:t>ex</w:t>
      </w:r>
      <w:r>
        <w:t xml:space="preserve"> art. 149.1.22 de la CE), que esta última determinara tanto en el ámbito sustantivo que integra el contenido material de la competencia asumida, como en el de carácter procedimental, en cuanto a lo que son las formas o medios de iniciación e impulso, […] la competencia autonómica en materia de vigilancia y control de la actividad agrícola”. Competencia esta configurada como exclusiva de la Comunidad Autónoma por el art. 10 EARM, y en ningún caso como una competencia de desarrollo ni de mera ejecución de las decisiones estatales.</w:t>
      </w:r>
    </w:p>
    <w:p w14:paraId="4E38837F" w14:textId="77777777" w:rsidR="008D479B" w:rsidRDefault="008D479B" w:rsidP="008D479B">
      <w:pPr>
        <w:pStyle w:val="TextoNormal"/>
      </w:pPr>
    </w:p>
    <w:p w14:paraId="65528F36" w14:textId="77777777" w:rsidR="008D479B" w:rsidRDefault="008D479B" w:rsidP="008D479B">
      <w:pPr>
        <w:pStyle w:val="TextoNormal"/>
      </w:pPr>
      <w:r>
        <w:t>A juicio de la demanda, la inconstitucionalidad reside en el hecho de que el legislador autonómico, mediante la técnica de configurar como “necesaria” la intervención previa del organismo de cuenca, configura el ejercicio de la competencia estatal como factor decisivo y único que determina cuál ha de ser el sentido del ejercicio de la competencia autonómica, llegando a una suerte de operación de “sustitución” de la competencia autonómica por la del Estado. En definitiva, la norma autonómica ordena el sentido y el ámbito material sobre los que ha de desplegarse la competencia del Estado, al determinar sus efectos jurídicos, cuestión para la que carece de competencia, pues el legislador autonómico únicamente puede disponer de las competencias propias, pero en modo alguno establecer el cómo o para qué ha de ejercerse la competencia estatal. Para apoyar esta queja, la demanda extracta parte de la STC 116/2017, de 19 de octubre, FJ 4, que señaló que la Constitución no consiente que un parlamento autonómico realice afirmaciones competenciales a través de mandatos normativos “no ya solo sobre ámbitos jurídicamente sustraídos a su competencia, sino, con daño mayor para la Constitución, sobre la definición misma de la articulación de unas y otras competencias, función esta reservada en exclusiva a la propia Constitución y, con sujeción a la misma, a los estatutos de autonomía y a las demás normas que componen el bloque de la constitucionalidad”.</w:t>
      </w:r>
    </w:p>
    <w:p w14:paraId="427A506E" w14:textId="77777777" w:rsidR="008D479B" w:rsidRDefault="008D479B" w:rsidP="008D479B">
      <w:pPr>
        <w:pStyle w:val="TextoNormal"/>
      </w:pPr>
    </w:p>
    <w:p w14:paraId="3A1EEA63" w14:textId="77777777" w:rsidR="008D479B" w:rsidRDefault="008D479B" w:rsidP="008D479B">
      <w:pPr>
        <w:pStyle w:val="TextoNormal"/>
      </w:pPr>
      <w:r>
        <w:t>Se denuncia que los incisos impugnados incurren en “inconstitucionalidad mediata por entrar a regular ámbitos exclusivos de la competencia estatal o impedir la aplicación de normas de carácter básico”, y que además lo hacen “mediante el subterfugio de disponer de la competencia estatal”, al otorgar a las decisiones adoptadas por el organismo de cuenca unos efectos que el legislador estatal no ha previsto “a fin de obtener o articular así unas consecuencias normativas necesarias al margen del sentido de la norma en sí, con el objetivo de condicionar el ejercicio de las facultades del órgano autonómico […] traspasando la carga de conformación de la realidad al órgano estatal en una materia que a esta no le compete ordenar”. En definitiva, a juicio del abogado del Estado, los preceptos controvertidos vienen de modo subrepticio a “transferir” el ejercicio de la competencia autonómica al organismo de cuenca, o a condicionarla decisivamente en su ejercicio, al prever que la decisión eventualmente adoptada con carácter previo por dicho organismo, en ejercicio de competencias propias y distintas, vincule el sentido que haya de tener la actuación de la Consejería competente en materia de agricultura a la hora de ordenar la restitución de cultivos.</w:t>
      </w:r>
    </w:p>
    <w:p w14:paraId="188FDC4A" w14:textId="77777777" w:rsidR="008D479B" w:rsidRDefault="008D479B" w:rsidP="008D479B">
      <w:pPr>
        <w:pStyle w:val="TextoNormal"/>
      </w:pPr>
    </w:p>
    <w:p w14:paraId="2FD9209A" w14:textId="77777777" w:rsidR="008D479B" w:rsidRDefault="008D479B" w:rsidP="008D479B">
      <w:pPr>
        <w:pStyle w:val="TextoNormal"/>
      </w:pPr>
      <w:r>
        <w:t>Añade la demanda que los argumentos expuestos resultan de aplicación al ejercicio de la potestad sancionadora, dado que esta se configura como una potestad accesoria atribuida a quien es titular de la competencia sustantiva en la materia. Se reitera lo señalado con anterioridad: la Comunidad Autónoma no puede disponer de la competencia del Estado para condicionar el ejercicio de su propia competencia sancionadora, aneja a la sustantiva en materia de restitución de cultivos y de vertidos ilegales, a aquello que el Estado decida o llegue a decidir en ejercicio de las suyas en materia de dominio hidráulico y utilización del agua.</w:t>
      </w:r>
    </w:p>
    <w:p w14:paraId="0B12C319" w14:textId="77777777" w:rsidR="008D479B" w:rsidRDefault="008D479B" w:rsidP="008D479B">
      <w:pPr>
        <w:pStyle w:val="TextoNormal"/>
      </w:pPr>
    </w:p>
    <w:p w14:paraId="0482D69E" w14:textId="77777777" w:rsidR="008D479B" w:rsidRDefault="008D479B" w:rsidP="008D479B">
      <w:pPr>
        <w:pStyle w:val="TextoNormal"/>
      </w:pPr>
      <w:r>
        <w:t>d) En tercer y último lugar, la demanda reprocha a los incisos impugnados la vulneración mediata de la Constitución por invasión del título competencial estatal en materia de procedimiento administrativo común (art. 149.1.18 CE).</w:t>
      </w:r>
    </w:p>
    <w:p w14:paraId="2BCD387F" w14:textId="77777777" w:rsidR="008D479B" w:rsidRDefault="008D479B" w:rsidP="008D479B">
      <w:pPr>
        <w:pStyle w:val="TextoNormal"/>
      </w:pPr>
    </w:p>
    <w:p w14:paraId="46860BAE" w14:textId="77777777" w:rsidR="008D479B" w:rsidRDefault="008D479B" w:rsidP="008D479B">
      <w:pPr>
        <w:pStyle w:val="TextoNormal"/>
      </w:pPr>
      <w:r>
        <w:t>A juicio del abogado del Estado, del tenor explícito de los arts. 33.1 y 34.1 y 2 de la Ley 3/2020, tras su modificación, se deduce que la constancia de la previa decisión estatal (esto es, la adoptada por el organismo de cuenca) se configura como la única manera de iniciar el procedimiento autonómico de restitución de cultivos, ya que tales preceptos no mencionan otras posibles causas para la eventual incoación del procedimiento destinado a imponer la restitución, a diferencia de lo que prevé con carácter la legislación básica sobre procedimiento administrativo común (arts. 54 y concordantes de la Ley 39/2015, de 1 de octubre, del procedimiento administrativo común de las administraciones públicas), que se refiere por ejemplo a la iniciación de oficio por denuncia, por iniciativa de interesados, o por moción de otros órganos o administraciones, además de a la iniciación a solicitud del interesado. Se afirma así que el problema de constitucionalidad radica en que la única manera de iniciar un procedimiento de restitución de cultivos sería que el Estado lo haya impulsado.</w:t>
      </w:r>
    </w:p>
    <w:p w14:paraId="4957050D" w14:textId="77777777" w:rsidR="008D479B" w:rsidRDefault="008D479B" w:rsidP="008D479B">
      <w:pPr>
        <w:pStyle w:val="TextoNormal"/>
      </w:pPr>
    </w:p>
    <w:p w14:paraId="78B78A2C" w14:textId="6B293C3D" w:rsidR="008D479B" w:rsidRDefault="008D479B" w:rsidP="008D479B">
      <w:pPr>
        <w:pStyle w:val="TextoNormal"/>
      </w:pPr>
      <w:r>
        <w:t>Se denuncia también que, con ello, también en el plano formal el legislador autonómico viene a transformar la posición del organismo de cuenca, en tanto que organismo condicionante (y no meramente informante, como establece el art. 25 del texto refundido de la Ley de aguas, aprobado por Real Decreto Legislativo 1/2001, de 20 de julio), variando así la posición del mismo en el seno de un procedimiento especial de competencia autonómica, y “convirtiéndolo en un organismo previo a la toma de una decisión de inicio a su vez de otro procedimiento (de restitución de cultivos) por un órgano autonómico”. Según la demanda, la legislación recurrida convierte una decisión estatal definitiva en una suerte de dictamen vinculante para el órgano autonómico que ejercita competencias exclusivas en un ámbito material distinto. La necesidad de contar en todo caso con el informe o certificado del organismo de cuenca, como exigen los incisos impugnados del art. 34.1 y 2 de la Ley 3/2020, otorga a dicho informe un carácter vinculante, pues este se convierte en la única manera en que puede ejercerse por la consejería su potestad administrativa para la resolución del expediente, lo que convierte al órgano estatal en coautor de la decisión.</w:t>
      </w:r>
    </w:p>
    <w:p w14:paraId="11B18DFD" w14:textId="77777777" w:rsidR="008D479B" w:rsidRDefault="008D479B" w:rsidP="008D479B">
      <w:pPr>
        <w:pStyle w:val="TextoNormal"/>
      </w:pPr>
    </w:p>
    <w:p w14:paraId="2B2B12B3" w14:textId="55503241" w:rsidR="008D479B" w:rsidRDefault="008D479B" w:rsidP="008D479B">
      <w:pPr>
        <w:pStyle w:val="TextoNormal"/>
      </w:pPr>
      <w:r w:rsidRPr="008D479B">
        <w:rPr>
          <w:rStyle w:val="NumeroAFNegritaCaracter"/>
        </w:rPr>
        <w:t>2</w:t>
      </w:r>
      <w:r>
        <w:t>. Por providencia de 30 de junio de 2022 el Pleno del Tribunal Constitucional, a propuesta de la Sección Segunda, acordó admitir a trámite el recurso de inconstitucionalidad; dar traslado de la demanda y documentos presentados, conforme establece el art. 34 LOTC, al Congreso de los Diputados y al Senado, por conducto de sus presidentes, así como a la Asamblea Regional y al Consejo de Gobierno de la Región de Murcia, por conducto de sus presidentes, al objeto de que, en el plazo de quince días, pudieran personarse en el proceso y formular las alegaciones que estimaren convenientes; y publicar la incoación del recurso en el “Boletín Oficial del Estado” y en el “Boletín Oficial de la Región de Murcia”.</w:t>
      </w:r>
    </w:p>
    <w:p w14:paraId="4AFD580E" w14:textId="77777777" w:rsidR="008D479B" w:rsidRDefault="008D479B" w:rsidP="008D479B">
      <w:pPr>
        <w:pStyle w:val="TextoNormal"/>
      </w:pPr>
    </w:p>
    <w:p w14:paraId="3A7222FA" w14:textId="04B47CD8" w:rsidR="008D479B" w:rsidRDefault="008D479B" w:rsidP="008D479B">
      <w:pPr>
        <w:pStyle w:val="TextoNormal"/>
      </w:pPr>
      <w:r w:rsidRPr="008D479B">
        <w:rPr>
          <w:rStyle w:val="NumeroAFNegritaCaracter"/>
        </w:rPr>
        <w:t>3</w:t>
      </w:r>
      <w:r>
        <w:t>. Por escrito registrado en este tribunal con fecha de 14 de julio de 2022, la letrada de la Comunidad Autónoma de la Región de Murcia, en representación del Consejo de Gobierno de la Región de Murcia, se personó en el proceso y solicitó prórroga por el máximo legal del plazo concedido para formular alegaciones al amparo de lo previsto en el art. 34 LOTC. Mediante diligencia de ordenación de 15 de julio de 2022 la Secretaría de Justicia del Pleno prorrogó en diez días el plazo concedido para formular alegaciones.</w:t>
      </w:r>
    </w:p>
    <w:p w14:paraId="1DA5BDA0" w14:textId="77777777" w:rsidR="008D479B" w:rsidRDefault="008D479B" w:rsidP="008D479B">
      <w:pPr>
        <w:pStyle w:val="TextoNormal"/>
      </w:pPr>
    </w:p>
    <w:p w14:paraId="143BB0AA" w14:textId="6A40AC7F" w:rsidR="008D479B" w:rsidRDefault="008D479B" w:rsidP="008D479B">
      <w:pPr>
        <w:pStyle w:val="TextoNormal"/>
      </w:pPr>
      <w:r w:rsidRPr="008D479B">
        <w:rPr>
          <w:rStyle w:val="NumeroAFNegritaCaracter"/>
        </w:rPr>
        <w:t>4</w:t>
      </w:r>
      <w:r>
        <w:t>. Por escrito registrado en este Tribunal con fecha de 20 de julio de 2022, la letrada de la Asamblea Regional de Murcia, en nombre y representación de la citada Cámara, se personó en el proceso y comunicó el acuerdo de la mesa de la Cámara de 18 de julio de 2022 por el que esta decide personarse sin formular alegaciones y ofrecer su colaboración a los efectos que sean pertinentes.</w:t>
      </w:r>
    </w:p>
    <w:p w14:paraId="339C32B7" w14:textId="77777777" w:rsidR="008D479B" w:rsidRDefault="008D479B" w:rsidP="008D479B">
      <w:pPr>
        <w:pStyle w:val="TextoNormal"/>
      </w:pPr>
    </w:p>
    <w:p w14:paraId="1458F1BF" w14:textId="0CE2C130" w:rsidR="008D479B" w:rsidRDefault="008D479B" w:rsidP="008D479B">
      <w:pPr>
        <w:pStyle w:val="TextoNormal"/>
      </w:pPr>
      <w:r w:rsidRPr="008D479B">
        <w:rPr>
          <w:rStyle w:val="NumeroAFNegritaCaracter"/>
        </w:rPr>
        <w:t>5</w:t>
      </w:r>
      <w:r>
        <w:t>. Mediante escrito registrado en este tribunal el día 22 de julio de 2022, el presidente del Senado comunicó el acuerdo de la mesa de la Cámara por el que esta se persona en el proceso y ofrece su colaboración a los efectos del art. 88.1 LOTC. Lo mismo hizo la presidenta del Congreso por escrito que tuvo entrada en este tribunal el 13 de septiembre de 2022.</w:t>
      </w:r>
    </w:p>
    <w:p w14:paraId="69A8CC9C" w14:textId="77777777" w:rsidR="008D479B" w:rsidRDefault="008D479B" w:rsidP="008D479B">
      <w:pPr>
        <w:pStyle w:val="TextoNormal"/>
      </w:pPr>
    </w:p>
    <w:p w14:paraId="61A3F763" w14:textId="77777777" w:rsidR="008D479B" w:rsidRDefault="008D479B" w:rsidP="008D479B">
      <w:pPr>
        <w:pStyle w:val="TextoNormal"/>
      </w:pPr>
      <w:r w:rsidRPr="008D479B">
        <w:rPr>
          <w:rStyle w:val="NumeroAFNegritaCaracter"/>
        </w:rPr>
        <w:t>6</w:t>
      </w:r>
      <w:r>
        <w:t>. Con fecha de 16 de septiembre de 2022 tuvo entrada en el registro de este tribunal el escrito de alegaciones del Consejo de Gobierno de la Región de Murcia, en el que se interesa la inadmisión por extemporaneidad y, subsidiariamente, la desestimación íntegra del recurso de inconstitucionalidad.</w:t>
      </w:r>
    </w:p>
    <w:p w14:paraId="143D251E" w14:textId="77777777" w:rsidR="008D479B" w:rsidRDefault="008D479B" w:rsidP="008D479B">
      <w:pPr>
        <w:pStyle w:val="TextoNormal"/>
      </w:pPr>
    </w:p>
    <w:p w14:paraId="337ED305" w14:textId="77777777" w:rsidR="008D479B" w:rsidRDefault="008D479B" w:rsidP="008D479B">
      <w:pPr>
        <w:pStyle w:val="TextoNormal"/>
      </w:pPr>
      <w:r>
        <w:t>a) Como alegación preliminar aduce que, limitando la demanda el objeto de impugnación a la nueva redacción de los arts. 33.1, 34.1 y 34.2 de la Ley 3/2020, y siendo el contenido de estos preceptos necesaria consecuencia de lo previsto en el art. 31.3 de dicha ley —precepto no reformado por el Decreto-ley 5/2021—, el recurso de inconstitucionalidad debe inadmitirse por extemporáneo aplicando el criterio de la STC 83/2020, de 15 de julio. Así, señala que las modificaciones operadas por el Decreto-ley 5/2021 que son objeto de impugnación no introducen nuevas obligaciones del Estado ni tampoco condicionamientos de las competencias autonómicas; de modo que el recurso de inconstitucionalidad, que pivota sobre la apreciación de que la Ley 3/2020 impone “ahora” determinadas obligaciones al Estado, soslayadamente pretendería cuestionar una previsión legal que se encuentra ya fuera de plazo de recurso, formulando una construcción artificiosa de la demanda a fin de hacer revivir una acción de inconstitucionalidad ya caducada. Añade a ello que dicho art. 31 ya fue objeto de consenso en el trámite de convalidación del Decreto-ley 2/2019, de 26 de diciembre, de protección integral del Mar Menor (en el que tuvo su origen) y, posteriormente, tras la tramitación de este como proyecto de ley, en el momento de la aprobación parlamentaria de la Ley 3/2020, de 27 de julio, de recuperación y protección del Mar Menor.</w:t>
      </w:r>
    </w:p>
    <w:p w14:paraId="6D2DAC7B" w14:textId="77777777" w:rsidR="008D479B" w:rsidRDefault="008D479B" w:rsidP="008D479B">
      <w:pPr>
        <w:pStyle w:val="TextoNormal"/>
      </w:pPr>
    </w:p>
    <w:p w14:paraId="09CBB806" w14:textId="77777777" w:rsidR="008D479B" w:rsidRDefault="008D479B" w:rsidP="008D479B">
      <w:pPr>
        <w:pStyle w:val="TextoNormal"/>
      </w:pPr>
      <w:r>
        <w:t>b) En contestación a las concretas tachas de inconstitucionalidad incluidas en la demanda, la letrada del Consejo de Gobierno de la Región de Murcia niega, en primer lugar, que el Decreto-ley 5/2021 incumpla las exigencias derivadas del art. 86.1 CE en cuanto al presupuesto habilitante de la extraordinaria y urgente necesidad. Tras reseñar la doctrina constitucional relativa a dicha exigencia, transcribe parte de la exposición de motivos del Decreto-ley 5/2021, de la que derivaría que ha quedado plenamente justificada la situación de emergencia natural que motiva y justifica la norma, cuya finalidad radica en revertir cuanto antes el proceso de degradación ambiental y eliminar cuantos impedimentos se presenten como obstáculo a tal directriz. Señala que “en el conjunto y en cada una de las medidas que se adoptan, dirigidas a promover la eficacia de la Ley 3/2020 en cuanto a depuración técnica, clarificación, agilidad procedimental…, concurren por su naturaleza y finalidad, las circunstancias de extraordinaria y urgente necesidad” que exige el art. 86 CE, que se concretarían en este caso en “la necesidad de introducir con inmediatez estas modificaciones, permitiendo una más efectiva aplicación de la Ley 3/2020, de 27 de julio”.</w:t>
      </w:r>
    </w:p>
    <w:p w14:paraId="53C609A2" w14:textId="77777777" w:rsidR="008D479B" w:rsidRDefault="008D479B" w:rsidP="008D479B">
      <w:pPr>
        <w:pStyle w:val="TextoNormal"/>
      </w:pPr>
    </w:p>
    <w:p w14:paraId="35D226F5" w14:textId="77777777" w:rsidR="008D479B" w:rsidRDefault="008D479B" w:rsidP="008D479B">
      <w:pPr>
        <w:pStyle w:val="TextoNormal"/>
      </w:pPr>
      <w:r>
        <w:t>Según la letrada del Gobierno autonómico, en realidad el recurrente no cuestiona la existencia de la situación de emergencia natural que precisa la agilización y depuración técnica de la norma, ni la grave afectación al medio ambiente, “sino que lo que cuestiona o más propiamente afirma es que la norma ‘no añade nada’ para su prevención y reparación”. Sostiene, no obstante, que este extremo depende de una valoración esencialmente política de ordenación de prioridades de actuación vedada al juicio de constitucionalidad, y subraya que el Consejo de Estado, en su dictamen desfavorable a la interposición del recurso de inconstitucionalidad, consideró que “no se aprecia vulneración de los artículos 45 y 86 de la Constitución, ni quebrantamiento de los principios de seguridad e interdicción de la arbitrariedad en una regulación que no solo responde a una situación de emergencia natural, sino que además es en esencia idéntica a la vigente con anterioridad”.</w:t>
      </w:r>
    </w:p>
    <w:p w14:paraId="19295B51" w14:textId="77777777" w:rsidR="008D479B" w:rsidRDefault="008D479B" w:rsidP="008D479B">
      <w:pPr>
        <w:pStyle w:val="TextoNormal"/>
      </w:pPr>
    </w:p>
    <w:p w14:paraId="024AC551" w14:textId="77777777" w:rsidR="008D479B" w:rsidRDefault="008D479B" w:rsidP="008D479B">
      <w:pPr>
        <w:pStyle w:val="TextoNormal"/>
      </w:pPr>
      <w:r>
        <w:t>En conexión con ello, se niega que la norma impugnada atente contra el principio de interdicción de la arbitrariedad del art. 9.3 CE, atendiendo a la doctrina constitucional (SSTC 155/2014, de 25 de septiembre, FJ 6, y 19/2011, de 3 de marzo, FJ 12), al principio de conservación de la ley y a las razones que justifican la aprobación de la norma, explicitadas en su exposición de motivos. En esta se justifica detalladamente la necesidad de proteger el medio ambiente del Mar Menor frente a la crisis ecológica causada principalmente por el exceso de contaminación por nitratos utilizados en los cultivos intensivos de la cuenca, transformada durante décadas a regadío.</w:t>
      </w:r>
    </w:p>
    <w:p w14:paraId="1BBA9624" w14:textId="77777777" w:rsidR="008D479B" w:rsidRDefault="008D479B" w:rsidP="008D479B">
      <w:pPr>
        <w:pStyle w:val="TextoNormal"/>
      </w:pPr>
    </w:p>
    <w:p w14:paraId="512C6CE9" w14:textId="77777777" w:rsidR="008D479B" w:rsidRDefault="008D479B" w:rsidP="008D479B">
      <w:pPr>
        <w:pStyle w:val="TextoNormal"/>
      </w:pPr>
      <w:r>
        <w:t>c) En segundo lugar, la letrada del Consejo de Gobierno de la Región de Murcia sostiene que los preceptos impugnados responden a un adecuado ejercicio de las competencias asumidas por la comunidad autónoma de conformidad con los arts. 148 y 149 CE y los arts. 10 y 11 EARM, sin que exista vulneración de las competencias estatales previstas en el art. 149.1.22 CE.</w:t>
      </w:r>
    </w:p>
    <w:p w14:paraId="2E22E73D" w14:textId="77777777" w:rsidR="008D479B" w:rsidRDefault="008D479B" w:rsidP="008D479B">
      <w:pPr>
        <w:pStyle w:val="TextoNormal"/>
      </w:pPr>
    </w:p>
    <w:p w14:paraId="586AD3BE" w14:textId="77777777" w:rsidR="008D479B" w:rsidRDefault="008D479B" w:rsidP="008D479B">
      <w:pPr>
        <w:pStyle w:val="TextoNormal"/>
      </w:pPr>
      <w:r>
        <w:t xml:space="preserve">Con carácter preliminar, señala que la regulación impugnada responde a la obligación de los poderes públicos de defender y restaurar el medio ambiente (art. 45 CE), bajo la competencia compartida entre el Estado (al que corresponde la legislación básica sobre protección del medio ambiente </w:t>
      </w:r>
      <w:r w:rsidRPr="008D479B">
        <w:rPr>
          <w:i/>
        </w:rPr>
        <w:t>ex</w:t>
      </w:r>
      <w:r>
        <w:t xml:space="preserve"> art. 149.1.23 CE) y las comunidades autónomas (que según este mismo precepto constitucional pueden establecer normas adicionales de protección). La Región de Murcia ha asumido competencias de desarrollo legislativo y ejecución en materia de espacios naturales protegidos y en materia de protección del medio ambiente y normas adicionales de protección (arts. 11.2 y 3 EARM), competencias, entre otras, en cuyo ejercicio se han aprobado las normas objeto de impugnación, ya que la efectividad real de la protección del medio ambiente en el actual contexto de emergencia natural precisa de una depuración de la Ley 3/2020 dirigida a evitar dilaciones en su eficacia. Tras una extensa reseña de la doctrina constitucional atinente a la vocación antropocéntrica y tuitiva del art. 45 CE (por todas, STC 102/1995, de 26 de junio), la letrada del Consejo de Gobierno de la Región de Murcia se refiere a los límites de la competencia estatal en materia de medio ambiente, recordando que esta habilita al Estado para imponer normas mínimas de protección, que su ejercicio debe dejar márgenes al desarrollo legislativo por parte de las comunidades autónomas, y que no permite al Estado retener funciones ejecutivas más que en situaciones excepcionales. De todo ello se concluye que, lejos de entrar en conflicto con la competencia estatal, el Decreto-ley 5/2021 complementaría y reforzaría su vocación protectora, máxime cuando la legislación estatal sobre medio ambiente es una ordenación de mínimos que no impide que las comunidades autónomas establezcan niveles más altos de protección. Los incisos impugnados serían, por lo tanto, conformes con los arts. 45 y 149.1.23 CE.</w:t>
      </w:r>
    </w:p>
    <w:p w14:paraId="55E5F836" w14:textId="77777777" w:rsidR="008D479B" w:rsidRDefault="008D479B" w:rsidP="008D479B">
      <w:pPr>
        <w:pStyle w:val="TextoNormal"/>
      </w:pPr>
    </w:p>
    <w:p w14:paraId="7D79880C" w14:textId="77777777" w:rsidR="008D479B" w:rsidRDefault="008D479B" w:rsidP="008D479B">
      <w:pPr>
        <w:pStyle w:val="TextoNormal"/>
      </w:pPr>
      <w:r>
        <w:t>Efectuadas estas precisiones, la letrada de la comunidad autónoma niega la denunciada vulneración de la competencia exclusiva del Estado para la legislación, ordenación y concesión de aprovechamientos hidráulicos (art. 149.1.22 CE). Según argumenta, los incisos impugnados se adecúan a los principios de cooperación, complementariedad y no interferencia entre las competencias estatales y las competencias de las comunidades autónomas que inciden en la gestión del agua, siendo en este punto relevantes las competencias exclusivas de la Región de Murcia sobre agricultura, ganadería e industrias agroalimentarias (art. 10.1.6 EARM) y sobre los proyectos, construcción y explotación de regadíos de interés para la comunidad autónoma (art. 10.1.7 EARM).</w:t>
      </w:r>
    </w:p>
    <w:p w14:paraId="5808A533" w14:textId="77777777" w:rsidR="008D479B" w:rsidRDefault="008D479B" w:rsidP="008D479B">
      <w:pPr>
        <w:pStyle w:val="TextoNormal"/>
      </w:pPr>
    </w:p>
    <w:p w14:paraId="10B9EB61" w14:textId="77777777" w:rsidR="008D479B" w:rsidRDefault="008D479B" w:rsidP="008D479B">
      <w:pPr>
        <w:pStyle w:val="TextoNormal"/>
      </w:pPr>
      <w:r>
        <w:t>La representación procesal de la Región de Murcia se refiere en este punto al dictamen del Consejo de Estado, desfavorable a la interposición del recurso de inconstitucionalidad, en el que se indicó que el ordenamiento español diseña un sistema de colaboración entre los organismos de cuenca y las comunidades autónomas y entes locales en cuyos territorios discurren las aguas que integran la respectiva confederación hidrográfica. Como señaló el Consejo de Estado, los arts. 23.1, 23.2 y 24 a) del texto refundido de la Ley de aguas atribuyen en exclusiva al organismo de cuenca el otorgamiento, denegación, cese o prohibición de la actividad relacionada con el dominio público hidráulico, por lo que la exigencia de verificar si existe o no un derecho de aprovechamiento de aguas para el regadío de los terrenos cuya restitución se pretende es una previsión que atiende plenamente a los principios de seguridad jurídica, cooperación y colaboración entre administraciones públicas, así como a lo previsto en el art. 25.4 del texto refundido de la Ley de aguas.</w:t>
      </w:r>
    </w:p>
    <w:p w14:paraId="37DDD39F" w14:textId="77777777" w:rsidR="008D479B" w:rsidRDefault="008D479B" w:rsidP="008D479B">
      <w:pPr>
        <w:pStyle w:val="TextoNormal"/>
      </w:pPr>
    </w:p>
    <w:p w14:paraId="00D41028" w14:textId="77777777" w:rsidR="008D479B" w:rsidRDefault="008D479B" w:rsidP="008D479B">
      <w:pPr>
        <w:pStyle w:val="TextoNormal"/>
      </w:pPr>
      <w:r>
        <w:t>Por lo tanto, las competencias del organismo de cuenca no impiden que la administración regional pueda exigir también actuaciones de reposición de los regadíos ilegales (restitución que ya se establecía en la Ley 1/2018, de 7 de febrero, de medidas urgentes para garantizar la sostenibilidad ambiental en el entorno del Mar Menor). Más aún, no es que no nos encontremos ante una invasión de competencias estatales, ni ante una constricción de la competencia autonómica en materia de agricultura condicionada en su ejercicio por la del Estado, sino que se somete el ejercicio de la competencia al pleno respeto del orden constitucional de distribución de competencias. Así, los incisos impugnados se limitan a exigir la comprobación de que concurre el supuesto de hecho determinante de la restitución de cultivos, pero las obligaciones del organismo de cuenca devienen de la normativa estatal y de la competencia exclusiva del Estado sobre el otorgamiento o extinción de autorizaciones y concesiones sobre el dominio público hidráulico.</w:t>
      </w:r>
    </w:p>
    <w:p w14:paraId="5E99ECA1" w14:textId="77777777" w:rsidR="008D479B" w:rsidRDefault="008D479B" w:rsidP="008D479B">
      <w:pPr>
        <w:pStyle w:val="TextoNormal"/>
      </w:pPr>
    </w:p>
    <w:p w14:paraId="244280A3" w14:textId="0E6B8072" w:rsidR="008D479B" w:rsidRDefault="008D479B" w:rsidP="008D479B">
      <w:pPr>
        <w:pStyle w:val="TextoNormal"/>
      </w:pPr>
      <w:r>
        <w:t>d) Finalmente, y por las razones que acaban de expresarse, la representación procesal del Consejo de Gobierno de la Región de Murcia niega también que los incisos impugnados vulneren el art. 149.1.18 CE, señalando que esta queja se basa en una interpretación de la norma, en cuanto a la forma de iniciación del procedimiento autonómico de restitución de cultivos, que resulta desviada y contraria a los principios de seguridad jurídica, cooperación y colaboración. No existiría una contradicción verdadera entre los incisos impugnados y la legislación básica sobre procedimiento administrativo común, sin perjuicio de que, si así fuera, la misma podría ser salvada mediante el mecanismo de la interpretación conforme.</w:t>
      </w:r>
    </w:p>
    <w:p w14:paraId="0F3C5427" w14:textId="77777777" w:rsidR="008D479B" w:rsidRDefault="008D479B" w:rsidP="008D479B">
      <w:pPr>
        <w:pStyle w:val="TextoNormal"/>
      </w:pPr>
    </w:p>
    <w:p w14:paraId="5DD1DF84" w14:textId="4E984067" w:rsidR="008D479B" w:rsidRDefault="008D479B" w:rsidP="008D479B">
      <w:pPr>
        <w:pStyle w:val="TextoNormal"/>
      </w:pPr>
      <w:r w:rsidRPr="008D479B">
        <w:rPr>
          <w:rStyle w:val="NumeroAFNegritaCaracter"/>
        </w:rPr>
        <w:t>7</w:t>
      </w:r>
      <w:r>
        <w:t>. Mediante diligencia de ordenación de 6 de julio de 2023 se acordó recabar del Consejo de Gobierno de la Región de Murcia la remisión del expediente de elaboración del Decreto-ley 5/2021 impugnado, en un plazo que no excediese de diez días, al amparo de lo previsto en el art. 88 LOTC. Dicho trámite fue cumplimentado por la representación procesal del gobierno autonómico el 14 de julio de 2023.</w:t>
      </w:r>
    </w:p>
    <w:p w14:paraId="0592C86B" w14:textId="77777777" w:rsidR="008D479B" w:rsidRDefault="008D479B" w:rsidP="008D479B">
      <w:pPr>
        <w:pStyle w:val="TextoNormal"/>
      </w:pPr>
    </w:p>
    <w:p w14:paraId="2D70A67B" w14:textId="4A6838C9" w:rsidR="008D479B" w:rsidRDefault="008D479B" w:rsidP="008D479B">
      <w:pPr>
        <w:pStyle w:val="TextoNormal"/>
      </w:pPr>
      <w:r w:rsidRPr="008D479B">
        <w:rPr>
          <w:rStyle w:val="NumeroAFNegritaCaracter"/>
        </w:rPr>
        <w:t>8</w:t>
      </w:r>
      <w:r>
        <w:t>. Mediante diligencia de ordenación de 18 de julio de 2023 se tuvo por recibido el expediente remitido por la letrada de la Comunidad Autónoma de la Región de Murcia y, de conformidad con lo dispuesto en el art. 88 LOTC, se dio traslado del mismo a las partes para que en el plazo común de diez días alegasen lo que estimasen conveniente. Por escrito de 28 de julio de 2023, el abogado del Estado manifestó que no iba a formular alegaciones.</w:t>
      </w:r>
    </w:p>
    <w:p w14:paraId="7F8C5C2D" w14:textId="77777777" w:rsidR="008D479B" w:rsidRDefault="008D479B" w:rsidP="008D479B">
      <w:pPr>
        <w:pStyle w:val="TextoNormal"/>
      </w:pPr>
    </w:p>
    <w:p w14:paraId="496B6BEB" w14:textId="3917E2CC" w:rsidR="008D479B" w:rsidRDefault="008D479B" w:rsidP="008D479B">
      <w:pPr>
        <w:pStyle w:val="TextoNormal"/>
      </w:pPr>
      <w:r w:rsidRPr="008D479B">
        <w:rPr>
          <w:rStyle w:val="NumeroAFNegritaCaracter"/>
        </w:rPr>
        <w:t>9</w:t>
      </w:r>
      <w:r>
        <w:t>. Por providencia de 26 de septiembre de 2023 se señaló para deliberación y votación de la presente sentencia el día 27 del mismo mes y año.</w:t>
      </w:r>
    </w:p>
    <w:p w14:paraId="0105FAD9" w14:textId="77777777" w:rsidR="008D479B" w:rsidRDefault="008D479B" w:rsidP="008D479B">
      <w:pPr>
        <w:pStyle w:val="TextoNormal"/>
      </w:pPr>
    </w:p>
    <w:p w14:paraId="7898CE15" w14:textId="77777777" w:rsidR="008D479B" w:rsidRDefault="008D479B" w:rsidP="008D479B">
      <w:pPr>
        <w:pStyle w:val="TextoNormalNegritaCentrado"/>
        <w:keepNext/>
      </w:pPr>
      <w:r>
        <w:t>II. Fundamentos jurídicos</w:t>
      </w:r>
    </w:p>
    <w:p w14:paraId="6DCE8DBB" w14:textId="28204236" w:rsidR="008D479B" w:rsidRDefault="008D479B" w:rsidP="008D479B">
      <w:pPr>
        <w:pStyle w:val="TextoNormalNegritaCentrado"/>
        <w:keepNext/>
      </w:pPr>
    </w:p>
    <w:p w14:paraId="575588DC" w14:textId="77777777" w:rsidR="008D479B" w:rsidRDefault="008D479B" w:rsidP="008D479B">
      <w:pPr>
        <w:pStyle w:val="TextoNormal"/>
      </w:pPr>
      <w:r w:rsidRPr="008D479B">
        <w:rPr>
          <w:rStyle w:val="NumeroAFNegritaCaracter"/>
        </w:rPr>
        <w:t>1</w:t>
      </w:r>
      <w:r>
        <w:t xml:space="preserve">. </w:t>
      </w:r>
      <w:r w:rsidRPr="008D479B">
        <w:rPr>
          <w:i/>
        </w:rPr>
        <w:t>Objeto del recurso y posiciones de las partes</w:t>
      </w:r>
    </w:p>
    <w:p w14:paraId="7B783090" w14:textId="77777777" w:rsidR="008D479B" w:rsidRDefault="008D479B" w:rsidP="008D479B">
      <w:pPr>
        <w:pStyle w:val="TextoNormal"/>
      </w:pPr>
    </w:p>
    <w:p w14:paraId="22224ED8" w14:textId="77777777" w:rsidR="008D479B" w:rsidRDefault="008D479B" w:rsidP="008D479B">
      <w:pPr>
        <w:pStyle w:val="TextoNormal"/>
      </w:pPr>
      <w:r>
        <w:t>El recurso de inconstitucionalidad promovido por el presidente del Gobierno tiene por objeto los apartados primero y segundo del artículo único del Decreto‑ley 5/2021, de 27 de agosto, del Gobierno de la Región de Murcia, en tanto que otorgan una nueva redacción a los arts. 33.1 y 4, por una parte, y 34.1 y 2, de otro lado, de la Ley de la Asamblea Regional de Murcia 3/2020, de 27 de julio, de recuperación y protección del Mar Menor.</w:t>
      </w:r>
    </w:p>
    <w:p w14:paraId="0172945C" w14:textId="77777777" w:rsidR="008D479B" w:rsidRDefault="008D479B" w:rsidP="008D479B">
      <w:pPr>
        <w:pStyle w:val="TextoNormal"/>
      </w:pPr>
    </w:p>
    <w:p w14:paraId="38CF8632" w14:textId="77777777" w:rsidR="008D479B" w:rsidRDefault="008D479B" w:rsidP="008D479B">
      <w:pPr>
        <w:pStyle w:val="TextoNormal"/>
      </w:pPr>
      <w:r>
        <w:t>a) Como se ha detallado en los antecedentes, el suplico de la demanda refiere la impugnación únicamente a la nueva redacción de los arts. 33.1, 34.1 y 34.2 de la Ley 3/2020; impugnación que en el cuerpo de la demanda se acota exclusivamente a los incisos resaltados en cursiva a continuación:</w:t>
      </w:r>
    </w:p>
    <w:p w14:paraId="40C27D1F" w14:textId="77777777" w:rsidR="008D479B" w:rsidRDefault="008D479B" w:rsidP="008D479B">
      <w:pPr>
        <w:pStyle w:val="TextoNormal"/>
      </w:pPr>
    </w:p>
    <w:p w14:paraId="3AE14384" w14:textId="77777777" w:rsidR="008D479B" w:rsidRDefault="008D479B" w:rsidP="008D479B">
      <w:pPr>
        <w:pStyle w:val="TextoNormal"/>
      </w:pPr>
      <w:r>
        <w:t>“Artículo 33. Restitución de cultivos por razones de competencia autonómica</w:t>
      </w:r>
    </w:p>
    <w:p w14:paraId="522F7B99" w14:textId="77777777" w:rsidR="008D479B" w:rsidRDefault="008D479B" w:rsidP="008D479B">
      <w:pPr>
        <w:pStyle w:val="TextoNormal"/>
      </w:pPr>
    </w:p>
    <w:p w14:paraId="7F868468" w14:textId="77777777" w:rsidR="008D479B" w:rsidRDefault="008D479B" w:rsidP="008D479B">
      <w:pPr>
        <w:pStyle w:val="TextoNormal"/>
      </w:pPr>
      <w:r>
        <w:t xml:space="preserve">1. Sin perjuicio de las competencias que corresponden al organismo de cuenca, con la finalidad de reducir la contaminación causada por los nutrientes de origen agrario y su afección a los espacios protegidos existentes en el Mar Menor y su entorno, la Consejería competente para el control de la contaminación por nitratos exigirá la restitución a un estado natural, </w:t>
      </w:r>
      <w:r w:rsidRPr="008D479B">
        <w:rPr>
          <w:i/>
        </w:rPr>
        <w:t>de aquellos regadíos que hayan sido cesados o prohibidos por resolución firme en vía administrativa por el organismo de cuenca, por no estar amparados por un derecho de aprovechamiento de aguas</w:t>
      </w:r>
      <w:r>
        <w:t>.</w:t>
      </w:r>
    </w:p>
    <w:p w14:paraId="1CC79143" w14:textId="77777777" w:rsidR="008D479B" w:rsidRDefault="008D479B" w:rsidP="008D479B">
      <w:pPr>
        <w:pStyle w:val="TextoNormal"/>
      </w:pPr>
    </w:p>
    <w:p w14:paraId="34302F9A" w14:textId="77777777" w:rsidR="008D479B" w:rsidRDefault="008D479B" w:rsidP="008D479B">
      <w:pPr>
        <w:pStyle w:val="TextoNormal"/>
      </w:pPr>
      <w:r>
        <w:t>Alternativamente, aquellos regadíos que acrediten la previa existencia de un cultivo de secano, podrán optar por restituir el cultivo a secano. En tal caso, no será necesario obtener la autorización a que se refiere el artículo 28.2, si bien la orden de restauración podrá imponer condiciones para garantizar el cumplimiento de las obligaciones derivadas de este decreto-ley o del programa de actuación aplicable”.</w:t>
      </w:r>
    </w:p>
    <w:p w14:paraId="66DD33FF" w14:textId="77777777" w:rsidR="008D479B" w:rsidRDefault="008D479B" w:rsidP="008D479B">
      <w:pPr>
        <w:pStyle w:val="TextoNormal"/>
      </w:pPr>
    </w:p>
    <w:p w14:paraId="322EC02C" w14:textId="77777777" w:rsidR="008D479B" w:rsidRDefault="008D479B" w:rsidP="008D479B">
      <w:pPr>
        <w:pStyle w:val="TextoNormal"/>
      </w:pPr>
      <w:r>
        <w:t>“Artículo 34. Procedimiento de restitución de cultivos</w:t>
      </w:r>
    </w:p>
    <w:p w14:paraId="7CB3F1A0" w14:textId="77777777" w:rsidR="008D479B" w:rsidRDefault="008D479B" w:rsidP="008D479B">
      <w:pPr>
        <w:pStyle w:val="TextoNormal"/>
      </w:pPr>
    </w:p>
    <w:p w14:paraId="62370108" w14:textId="77777777" w:rsidR="008D479B" w:rsidRDefault="008D479B" w:rsidP="008D479B">
      <w:pPr>
        <w:pStyle w:val="TextoNormal"/>
      </w:pPr>
      <w:r>
        <w:t xml:space="preserve">1. Para exigir la restitución a un estado natural (de secano o forestal) de los terrenos afectados, la Consejería competente para el control de la contaminación por nitratos </w:t>
      </w:r>
      <w:r w:rsidRPr="008D479B">
        <w:rPr>
          <w:i/>
        </w:rPr>
        <w:t>debe contar con informe o certificado que reciba del organismo de cuenca sobre los regadíos que hayan sido cesados o prohibidos por resolución firme en vía administrativa</w:t>
      </w:r>
      <w:r>
        <w:t>, por no estar amparados por un derecho de aprovechamiento de aguas, con identificación expresa de polígono, parcela y recinto afectado.</w:t>
      </w:r>
    </w:p>
    <w:p w14:paraId="7FF253C9" w14:textId="77777777" w:rsidR="008D479B" w:rsidRDefault="008D479B" w:rsidP="008D479B">
      <w:pPr>
        <w:pStyle w:val="TextoNormal"/>
      </w:pPr>
    </w:p>
    <w:p w14:paraId="07BDB72E" w14:textId="77777777" w:rsidR="008D479B" w:rsidRDefault="008D479B" w:rsidP="008D479B">
      <w:pPr>
        <w:pStyle w:val="TextoNormal"/>
      </w:pPr>
      <w:r>
        <w:t xml:space="preserve">2. El procedimiento de restitución se iniciará de oficio por la Consejería competente para el control de la contaminación por nitratos, </w:t>
      </w:r>
      <w:r w:rsidRPr="008D479B">
        <w:rPr>
          <w:i/>
        </w:rPr>
        <w:t>recibida comunicación del organismo de cuenca con indicación de las explotaciones que carecen de derecho de agua, en los términos del apartado anterior</w:t>
      </w:r>
      <w:r>
        <w:t>”.</w:t>
      </w:r>
    </w:p>
    <w:p w14:paraId="08029C68" w14:textId="77777777" w:rsidR="008D479B" w:rsidRDefault="008D479B" w:rsidP="008D479B">
      <w:pPr>
        <w:pStyle w:val="TextoNormal"/>
      </w:pPr>
    </w:p>
    <w:p w14:paraId="56377C2E" w14:textId="77777777" w:rsidR="008D479B" w:rsidRDefault="008D479B" w:rsidP="008D479B">
      <w:pPr>
        <w:pStyle w:val="TextoNormal"/>
      </w:pPr>
      <w:r>
        <w:t>Adicionalmente, el Tribunal considera que la impugnación alcanza también a la nueva redacción del art. 33.4 de la Ley 3/2020. Para alcanzar esta conclusión resulta determinante el hecho de que este precepto fue también incluido, según ha quedado referido en los antecedentes, en la fase preparatoria de la interposición del recurso de inconstitucionalidad y, especialmente, en el acuerdo adoptado por el presidente del Gobierno a efectos de tal interposición. Por lo demás, aunque el art. 33.4 de la Ley 3/2020, en la redacción dada por el Decreto-ley 5/2021, no figura en el suplico de la demanda, sí aparece mencionado expresamente en su fundamentación en términos de los que se desprende con total claridad la voluntad de impugnarlo (en sentido similar, por todas, STC 14/2019, de 31 de enero, FJ 2). Ha de puntualizarse, en todo caso, que las tachas de inconstitucionalidad que se atribuyen a la nueva redacción del art. 33.4 y su fundamentación en la demanda son idénticas a las del resto de incisos impugnados, y que también existe identidad material entre el contenido de estos y el de aquel, como se deriva tanto de la demanda como de las alegaciones del gobierno autonómico. En efecto, el tenor del art. 33.4 de la Ley 3/2020, en la redacción dada por el Decreto-ley 5/2021, es el siguiente:</w:t>
      </w:r>
    </w:p>
    <w:p w14:paraId="0E75942E" w14:textId="77777777" w:rsidR="008D479B" w:rsidRDefault="008D479B" w:rsidP="008D479B">
      <w:pPr>
        <w:pStyle w:val="TextoNormal"/>
      </w:pPr>
    </w:p>
    <w:p w14:paraId="62A03F2A" w14:textId="77777777" w:rsidR="008D479B" w:rsidRDefault="008D479B" w:rsidP="008D479B">
      <w:pPr>
        <w:pStyle w:val="TextoNormal"/>
      </w:pPr>
      <w:r>
        <w:t>“4. Cuando el organismo de cuenca comunique a la consejería competente para el control de la contaminación por nitratos la resolución firme en la que se acuerde el cese o prohibición de regadíos no amparados por un derecho de aprovechamiento de aguas, esta acordará el inicio del procedimiento de restitución”.</w:t>
      </w:r>
    </w:p>
    <w:p w14:paraId="0C274719" w14:textId="77777777" w:rsidR="008D479B" w:rsidRDefault="008D479B" w:rsidP="008D479B">
      <w:pPr>
        <w:pStyle w:val="TextoNormal"/>
      </w:pPr>
    </w:p>
    <w:p w14:paraId="7F0443CB" w14:textId="77777777" w:rsidR="008D479B" w:rsidRDefault="008D479B" w:rsidP="008D479B">
      <w:pPr>
        <w:pStyle w:val="TextoNormal"/>
      </w:pPr>
      <w:r>
        <w:t>b) El recurso denuncia tres motivos de inconstitucionalidad. El primero y principal se refiere al incumplimiento de las exigencias derivadas del art. 86.1 CE en cuanto a la necesaria existencia de una situación de “extraordinaria y urgente necesidad” como presupuesto habilitante para el uso del instrumento normativo del decreto‑ley. Los otros dos reproches de inconstitucionalidad, formulados con carácter subsidiario, son de naturaleza competencial. La demanda sostiene, en síntesis, que los incisos impugnados, al supeditar la actuación autonómica de restitución de cultivos a la previa existencia de una resolución firme en vía administrativa del organismo de cuenca acerca del cese o prohibición de regadíos por carecer de derecho de aprovechamiento de aguas, vulneran, por una parte, la competencia exclusiva del Estado sobre legislación, ordenación y concesión de recursos y aprovechamientos hidráulicos cuando las aguas discurran por más de una comunidad autónoma (art. 149.1.22 CE), ya que el legislador autonómico habría dispuesto de dicho título competencial del Estado para constreñir y condicionar la competencia exclusiva de la Región de Murcia sobre la agricultura y la ganadería, de acuerdo con la ordenación general de la economía (art. 148.1.7 CE). De otro lado, se sostiene que los preceptos e incisos impugnados incurren en vulneración mediata de la competencia estatal en materia de procedimiento administrativo común (art. 149.1.18 CE), ya que establecerían que el procedimiento autonómico de restitución de cultivos tiene como única forma de iniciación el “impulso” de un órgano estatal y atribuirían a dicho órgano (el organismo de cuenca) una función que materialmente consistiría en la emisión de un dictamen vinculante en el seno del procedimiento autonómico, convirtiendo así a aquel en coautor de decisiones (sobre restitución de cultivos) que solo a la comunidad autónoma corresponde adoptar.</w:t>
      </w:r>
    </w:p>
    <w:p w14:paraId="47A321B8" w14:textId="77777777" w:rsidR="008D479B" w:rsidRDefault="008D479B" w:rsidP="008D479B">
      <w:pPr>
        <w:pStyle w:val="TextoNormal"/>
      </w:pPr>
    </w:p>
    <w:p w14:paraId="734BA759" w14:textId="6E0FAD81" w:rsidR="008D479B" w:rsidRDefault="008D479B" w:rsidP="008D479B">
      <w:pPr>
        <w:pStyle w:val="TextoNormal"/>
      </w:pPr>
      <w:r>
        <w:t>Tal y como ha quedado recogido en los antecedentes, el Consejo de Gobierno de la Región de Murcia interesa con carácter principal la inadmisión del recurso por extemporáneo y, subsidiariamente, su íntegra desestimación por inexistencia de las vulneraciones constitucionales denunciadas. En apoyo de esta última pretensión se invoca la interpretación mantenida por la comisión permanente del Consejo de Estado en su dictamen núm. 651-2022, por el que se informó desfavorablemente la interposición del recurso de inconstitucionalidad al considerarse que no concurrían fundamentos jurídicos suficientes para la impugnación.</w:t>
      </w:r>
    </w:p>
    <w:p w14:paraId="4FAB33FF" w14:textId="77777777" w:rsidR="008D479B" w:rsidRDefault="008D479B" w:rsidP="008D479B">
      <w:pPr>
        <w:pStyle w:val="TextoNormal"/>
      </w:pPr>
    </w:p>
    <w:p w14:paraId="1BFBFD30" w14:textId="77777777" w:rsidR="008D479B" w:rsidRDefault="008D479B" w:rsidP="008D479B">
      <w:pPr>
        <w:pStyle w:val="TextoNormal"/>
      </w:pPr>
      <w:r w:rsidRPr="008D479B">
        <w:rPr>
          <w:rStyle w:val="NumeroAFNegritaCaracter"/>
        </w:rPr>
        <w:t>2</w:t>
      </w:r>
      <w:r>
        <w:t xml:space="preserve">. </w:t>
      </w:r>
      <w:r w:rsidRPr="008D479B">
        <w:rPr>
          <w:i/>
        </w:rPr>
        <w:t>Sobre la alegada extemporaneidad del recurso</w:t>
      </w:r>
    </w:p>
    <w:p w14:paraId="2D5CBF3B" w14:textId="77777777" w:rsidR="008D479B" w:rsidRDefault="008D479B" w:rsidP="008D479B">
      <w:pPr>
        <w:pStyle w:val="TextoNormal"/>
      </w:pPr>
    </w:p>
    <w:p w14:paraId="5D3AA5EA" w14:textId="77777777" w:rsidR="008D479B" w:rsidRDefault="008D479B" w:rsidP="008D479B">
      <w:pPr>
        <w:pStyle w:val="TextoNormal"/>
      </w:pPr>
      <w:r>
        <w:t>Antes de abordar los motivos de inconstitucionalidad denunciados en la demanda es necesario examinar el óbice de extemporaneidad alegado por la representación procesal del gobierno autonómico, pues, de concurrir, ello determinaría la inadmisibilidad del recurso, que puede declararse en sentencia (SSTC 42/1985, de 15 de marzo, FJ 1, y 47/2005, de 3 de marzo, FJ 3).</w:t>
      </w:r>
    </w:p>
    <w:p w14:paraId="34E86614" w14:textId="77777777" w:rsidR="008D479B" w:rsidRDefault="008D479B" w:rsidP="008D479B">
      <w:pPr>
        <w:pStyle w:val="TextoNormal"/>
      </w:pPr>
    </w:p>
    <w:p w14:paraId="4FC6BF06" w14:textId="77777777" w:rsidR="008D479B" w:rsidRDefault="008D479B" w:rsidP="008D479B">
      <w:pPr>
        <w:pStyle w:val="TextoNormal"/>
      </w:pPr>
      <w:r>
        <w:t>Como con mayor detalle figura en los antecedentes, la letrada de la comunidad autónoma aduce que el recurso de inconstitucionalidad debe considerarse extemporáneo por ser su verdadera finalidad el cuestionar una previsión legal —el art. 31.3 de la Ley autonómica 3/2020— que no ha sido reformada por el Decreto-ley 5/2021 y que, por lo tanto, se encuentra ya fuera de plazo de recurso. Así resultaría, según el Consejo de Gobierno de la Región de Murcia, del hecho de que los preceptos e incisos concretamente impugnados no sean sino necesaria consecuencia de lo previsto en dicho art. 31.3, que no fue impugnado en su momento. El art. 31 de la Ley 3/2020, titulado “Necesidad de contar con derecho de aprovechamiento de aguas”, establece en su apartado tercero que “[p]ara exigir la restitución a un estado natural o a secano de los terrenos afectados, la consejería competente para el control de la contaminación por nitratos contará con la información que reciba del organismo de cuenca sobre los regadíos que hayan sido cesados o prohibidos por resolución firme, por no estar amparados por un derecho de aprovechamiento de aguas”.</w:t>
      </w:r>
    </w:p>
    <w:p w14:paraId="58C9466B" w14:textId="77777777" w:rsidR="008D479B" w:rsidRDefault="008D479B" w:rsidP="008D479B">
      <w:pPr>
        <w:pStyle w:val="TextoNormal"/>
      </w:pPr>
    </w:p>
    <w:p w14:paraId="517D3B23" w14:textId="77777777" w:rsidR="008D479B" w:rsidRDefault="008D479B" w:rsidP="008D479B">
      <w:pPr>
        <w:pStyle w:val="TextoNormal"/>
      </w:pPr>
      <w:r>
        <w:t>Es cierto que, conforme a nuestra doctrina, un recurso de inconstitucionalidad que se dirija contra preceptos legales que no se impugnaron en plazo, con ocasión de la modificación de otros preceptos legales distintos pero con los que guarda conexión o relación material, debe reputarse extemporáneo. Y ello porque la norma, “en la parte que permanece con la redacción inicialmente aprobada, resulta inatacable directamente por la vía del recurso de inconstitucionalidad, cuando, como es el caso, ya han transcurrido más que sobradamente los plazos en los que el art. 33 LOTC permite su interposición” (STC 83/2020, de 15 de julio, FJ 2).</w:t>
      </w:r>
    </w:p>
    <w:p w14:paraId="14F36697" w14:textId="77777777" w:rsidR="008D479B" w:rsidRDefault="008D479B" w:rsidP="008D479B">
      <w:pPr>
        <w:pStyle w:val="TextoNormal"/>
      </w:pPr>
    </w:p>
    <w:p w14:paraId="2F73FC92" w14:textId="77777777" w:rsidR="008D479B" w:rsidRDefault="008D479B" w:rsidP="008D479B">
      <w:pPr>
        <w:pStyle w:val="TextoNormal"/>
      </w:pPr>
      <w:r>
        <w:t>Sin embargo, el recurso que ahora examinamos no se interpone contra el art. 31.3 de la Ley 3/2020 —precepto que, efectivamente, no ha sido modificado por el Decreto‑ley 5/2021, ni podría por lo tanto ser objeto de impugnación—, sino única y exclusivamente contra los apartados primero y segundo del artículo único de la citada norma de urgencia, en la medida en que introducen determinadas modificaciones en el art. 33.1 y 4 y en el art. 34.1 y 2 de la Ley 3/2020. Y resulta de la doctrina de este tribunal que el carácter preclusivo del plazo de interposición del recurso de inconstitucionalidad no impide impugnar, dentro de plazo, la norma legal que modifique otra anterior no impugnada en su día, incluso si la nueva norma reitera el contenido de la preexistente (SSTC 146/1994, de 12 de mayo, FJ 4, y 214/1994, de 14 de julio, FJ 4). En otras palabras, “la circunstancia de que una ley sea parcialmente modificada por otra ley posterior aprobada precisamente para su reforma, abre, naturalmente, el plazo para que esos preceptos así reformados puedan ser recurridos en la redacción que les ha dado la ley modificadora” (STC 83/2020, FJ 2).</w:t>
      </w:r>
    </w:p>
    <w:p w14:paraId="0642AEE1" w14:textId="77777777" w:rsidR="008D479B" w:rsidRDefault="008D479B" w:rsidP="008D479B">
      <w:pPr>
        <w:pStyle w:val="TextoNormal"/>
      </w:pPr>
    </w:p>
    <w:p w14:paraId="0F07218A" w14:textId="550F1360" w:rsidR="008D479B" w:rsidRDefault="008D479B" w:rsidP="008D479B">
      <w:pPr>
        <w:pStyle w:val="TextoNormal"/>
      </w:pPr>
      <w:r>
        <w:t>Habiéndose registrado la demanda de inconstitucionalidad contra los apartados e incisos antes mencionados del artículo único del Decreto-ley 5/2021 dentro del plazo de nueve meses aplicable —como es el caso— a los supuestos en que se use el mecanismo de resolución de controversias del art. 33.2 LOTC, y en aplicación de la doctrina constitucional expuesta, el recurso ha de considerarse admisible.</w:t>
      </w:r>
    </w:p>
    <w:p w14:paraId="191F0F22" w14:textId="77777777" w:rsidR="008D479B" w:rsidRDefault="008D479B" w:rsidP="008D479B">
      <w:pPr>
        <w:pStyle w:val="TextoNormal"/>
      </w:pPr>
    </w:p>
    <w:p w14:paraId="43E53FFE" w14:textId="77777777" w:rsidR="008D479B" w:rsidRDefault="008D479B" w:rsidP="008D479B">
      <w:pPr>
        <w:pStyle w:val="TextoNormal"/>
      </w:pPr>
      <w:r w:rsidRPr="008D479B">
        <w:rPr>
          <w:rStyle w:val="NumeroAFNegritaCaracter"/>
        </w:rPr>
        <w:t>3</w:t>
      </w:r>
      <w:r>
        <w:t xml:space="preserve">. </w:t>
      </w:r>
      <w:r w:rsidRPr="008D479B">
        <w:rPr>
          <w:i/>
        </w:rPr>
        <w:t>Doctrina constitucional relativa al presupuesto habilitante de la “extraordinaria y urgente necesidad” de los decretos‑leyes</w:t>
      </w:r>
    </w:p>
    <w:p w14:paraId="193295B4" w14:textId="77777777" w:rsidR="008D479B" w:rsidRDefault="008D479B" w:rsidP="008D479B">
      <w:pPr>
        <w:pStyle w:val="TextoNormal"/>
      </w:pPr>
    </w:p>
    <w:p w14:paraId="1A95C53C" w14:textId="77777777" w:rsidR="008D479B" w:rsidRDefault="008D479B" w:rsidP="008D479B">
      <w:pPr>
        <w:pStyle w:val="TextoNormal"/>
      </w:pPr>
      <w:r>
        <w:t>El primer motivo de impugnación se refiere a la inobservancia del presupuesto habilitante de la facultad de legislación de urgencia. Dicha facultad ha sido atribuida al Consejo de Gobierno de la Región de Murcia por el art. 30.3 del Estatuto de Autonomía para la Región de Murcia (EARM), aprobado mediante Ley Orgánica 4/1982, de 9 de junio, tras su reforma mediante la Ley Orgánica 7/2013, de 28 de noviembre.</w:t>
      </w:r>
    </w:p>
    <w:p w14:paraId="186F5BC9" w14:textId="77777777" w:rsidR="008D479B" w:rsidRDefault="008D479B" w:rsidP="008D479B">
      <w:pPr>
        <w:pStyle w:val="TextoNormal"/>
      </w:pPr>
    </w:p>
    <w:p w14:paraId="29F14FEC" w14:textId="77777777" w:rsidR="008D479B" w:rsidRDefault="008D479B" w:rsidP="008D479B">
      <w:pPr>
        <w:pStyle w:val="TextoNormal"/>
      </w:pPr>
      <w:r>
        <w:t>Este tribunal ha señalado que la Constitución no impide que los estatutos de autonomía atribuyan a los Gobiernos autonómicos la potestad normativa excepcional de aprobar decretos-leyes. Ahora bien, junto con ello ha señalado que del principio democrático (art. 1.1 CE) se deriva que los límites formales y materiales que afectan al decreto-ley autonómico son, como mínimo, los que la Constitución impone al decreto-ley estatal (art. 86.1 CE), pudiendo el estatuto añadir “cautelas o exclusiones adicionales” con el fin de “preservar más intensamente la posición del parlamento autonómico” (SSTC 93/2015, de 14 de mayo, FJ 5, y 107/2015, de 28 de mayo, FJ 2). No lo ha hecho así el Estatuto de Autonomía para la Región de Murcia, cuyo art. 30.3 tiene, por lo que ahora importa, una redacción idéntica a la del art. 86.1 CE, en tanto que ambos preceptos limitan expresamente la posibilidad de aprobar decretos-leyes a “caso[s] de extraordinaria y urgente necesidad”. Ello implica que, para resolver la impugnación planteada frente al Decreto-ley 5/2021, debamos tomar en consideración la doctrina constitucional relativa al presupuesto habilitante previsto en el art. 86.1 CE y a su control por parte de este tribunal, doctrina que puede sintetizarse en los términos siguientes.</w:t>
      </w:r>
    </w:p>
    <w:p w14:paraId="259E947F" w14:textId="77777777" w:rsidR="008D479B" w:rsidRDefault="008D479B" w:rsidP="008D479B">
      <w:pPr>
        <w:pStyle w:val="TextoNormal"/>
      </w:pPr>
    </w:p>
    <w:p w14:paraId="57869891" w14:textId="77777777" w:rsidR="008D479B" w:rsidRDefault="008D479B" w:rsidP="008D479B">
      <w:pPr>
        <w:pStyle w:val="TextoNormal"/>
      </w:pPr>
      <w:r>
        <w:t>a) La apreciación de la concurrencia de la extraordinaria y urgente necesidad constituye un juicio político que corresponde efectuar al Gobierno (titular constitucional de la potestad legislativa de urgencia) y al Congreso (titular de la potestad de convalidar, derogar o tramitar el texto como proyecto de ley). Sin embargo, los términos “extraordinaria y urgente necesidad” no constituyen una cláusula o expresión vacía de significado dentro de la cual el margen de apreciación política del Gobierno se mueve libremente sin restricción alguna, sino un verdadero límite jurídico a la actuación mediante decretos-leyes. Incumbe a este tribunal “controlar que ese juicio político no desborde los límites de lo manifiestamente razonable, sin suplantar a los órganos constitucionales que intervienen en la aprobación y convalidación de los decretos-leyes” (STC 134/2021, de 24 de junio, FJ 3). Se trata, en definitiva, de un “control externo, en el sentido de que debe verificar, pero no sustituir, el juicio político o de oportunidad que corresponde al Gobierno” (STC 142/2014, de 11 de septiembre, FJ 3, y las que allí se citan). Solo “en supuestos de uso abusivo o arbitrario” podrá este tribunal rechazar la definición que el Gobierno haya hecho de una situación como de extraordinaria y urgente necesidad (por todas, STC 29/1982, de 31 de mayo, FJ 3).</w:t>
      </w:r>
    </w:p>
    <w:p w14:paraId="1B002DED" w14:textId="77777777" w:rsidR="008D479B" w:rsidRDefault="008D479B" w:rsidP="008D479B">
      <w:pPr>
        <w:pStyle w:val="TextoNormal"/>
      </w:pPr>
    </w:p>
    <w:p w14:paraId="028E1A73" w14:textId="77777777" w:rsidR="008D479B" w:rsidRDefault="008D479B" w:rsidP="008D479B">
      <w:pPr>
        <w:pStyle w:val="TextoNormal"/>
      </w:pPr>
      <w:r>
        <w:t xml:space="preserve">b) Dicho control externo y </w:t>
      </w:r>
      <w:r w:rsidRPr="008D479B">
        <w:rPr>
          <w:i/>
        </w:rPr>
        <w:t>ex post</w:t>
      </w:r>
      <w:r>
        <w:t xml:space="preserve"> requiere el análisis de dos aspectos: por un lado, la presentación explícita y razonada de los motivos que han sido tenidos en cuenta por el Gobierno en la aprobación del decreto-ley; de otra parte, la existencia de una necesaria conexión entre la situación de urgencia definida y la medida concreta adoptada para subvenir a ella (STC 29/1982, citada, FJ 3). Aunque ambos aspectos están íntimamente ligados, su examen por separado facilita desde un punto de vista metodológico el análisis de las consideraciones de las partes y, en última instancia, el control que le corresponde efectuar a este tribunal (STC 332/2005, de 15 de diciembre, FJ 6).</w:t>
      </w:r>
    </w:p>
    <w:p w14:paraId="36FE2EBF" w14:textId="77777777" w:rsidR="008D479B" w:rsidRDefault="008D479B" w:rsidP="008D479B">
      <w:pPr>
        <w:pStyle w:val="TextoNormal"/>
      </w:pPr>
    </w:p>
    <w:p w14:paraId="1CEF5AF1" w14:textId="77777777" w:rsidR="008D479B" w:rsidRDefault="008D479B" w:rsidP="008D479B">
      <w:pPr>
        <w:pStyle w:val="TextoNormal"/>
      </w:pPr>
      <w:r>
        <w:t>En cuanto a la definición de la situación de urgencia, este tribunal ha precisado que no es necesario incluir tal definición en el propio real decreto-ley en todo caso, sino que cabe deducirla de una pluralidad de elementos, pues el examen de la concurrencia del presupuesto habilitante siempre se ha de llevar a cabo mediante la valoración conjunta de todos aquellos factores que determinaron al Gobierno a dictar la disposición legal excepcional, y que son, básicamente, los que quedan reflejados en el preámbulo de la norma, a lo largo del debate parlamentario de convalidación y en el propio expediente de su elaboración (por todas, STC 182/1997, de 28 de octubre, FJ 4). A estos efectos resultan insuficientes, por ser prácticamente de imposible control constitucional, las fórmulas genéricas, estereotipadas y rituales (STC 150/2017, de 21 de diciembre, FJ 4).</w:t>
      </w:r>
    </w:p>
    <w:p w14:paraId="52262790" w14:textId="77777777" w:rsidR="008D479B" w:rsidRDefault="008D479B" w:rsidP="008D479B">
      <w:pPr>
        <w:pStyle w:val="TextoNormal"/>
      </w:pPr>
    </w:p>
    <w:p w14:paraId="1E157A74" w14:textId="77777777" w:rsidR="008D479B" w:rsidRDefault="008D479B" w:rsidP="008D479B">
      <w:pPr>
        <w:pStyle w:val="TextoNormal"/>
      </w:pPr>
      <w:r>
        <w:t>En cuanto a la conexión de sentido entre la situación de necesidad definida y las medidas que en el real decreto-ley se adoptan, este tribunal ha afirmado un doble criterio o perspectiva para valorar su existencia: el contenido, por un lado, y la estructura, por otro, de las disposiciones incluidas en el real decreto-ley controvertido (STC 29/1982, de 31 de mayo, FJ 3). Desde esta perspectiva, lo que se exige es que las medidas que se incluyan en el decreto-ley sean, en principio, concretas y de eficacia inmediata para hacer frente a la situación de extraordinaria y urgente necesidad que ha determinado el uso de la legislación de urgencia (STC 70/2016, de 14 de abril, FFJJ 6 y 7).</w:t>
      </w:r>
    </w:p>
    <w:p w14:paraId="70F2F275" w14:textId="77777777" w:rsidR="008D479B" w:rsidRDefault="008D479B" w:rsidP="008D479B">
      <w:pPr>
        <w:pStyle w:val="TextoNormal"/>
      </w:pPr>
    </w:p>
    <w:p w14:paraId="6F9101C9" w14:textId="677E7EC3" w:rsidR="008D479B" w:rsidRDefault="008D479B" w:rsidP="008D479B">
      <w:pPr>
        <w:pStyle w:val="TextoNormal"/>
      </w:pPr>
      <w:r>
        <w:t>c) Para enjuiciar la concurrencia del presupuesto habilitante en el caso de los decretos-leyes autonómicos, la doctrina constitucional ha considerado necesario ponderar, caso por caso, el contexto en que estos se adoptan, ya que “[a]unque las exigencias mínimas del principio democrático son en esencia idénticas para todos los decretos-leyes […], la distinta realidad de referencia puede causar que uno u otro de esos requerimientos presenten matices o que, al ser precisados por este tribunal, se le otorgue un mayor o menor alcance” (STC 93/2015, FJ 6). Uno de los elementos específicos a ponderar en este sentido es la competencia autonómica ejercida al efecto, pues “la naturaleza y alcance de las competencias autonómicas hacen, en principio, menos necesario el recurso a la aprobación de normas legales de urgencia” (STC 93/2015, FJ 5). Otro factor relevante en este ámbito es el menor tiempo que requiere tramitar un proyecto de ley en una cámara autonómica, debido a su carácter unicameral, así como a su más reducido tamaño y menor actividad parlamentaria en comparación con la de las Cortes Generales. Este elemento que “habrá de ser ponderado por este tribunal caso por caso con la vista puesta principalmente en la previsible duración efectiva del procedimiento legislativo y en el grado de inmediatez en la reacción normativa que, por razón de la materia afectada, requiere la situación de necesidad apreciada por el gobierno autonómico”, sin que del mismo se derive la exigencia de una justificación expresa e individualizada de la inadecuación del procedimiento legislativo para atender a tiempo los objetivos gubernamentales (STC 93/2015, FJ 6).</w:t>
      </w:r>
    </w:p>
    <w:p w14:paraId="6326F234" w14:textId="77777777" w:rsidR="008D479B" w:rsidRDefault="008D479B" w:rsidP="008D479B">
      <w:pPr>
        <w:pStyle w:val="TextoNormal"/>
      </w:pPr>
    </w:p>
    <w:p w14:paraId="74D79537" w14:textId="77777777" w:rsidR="008D479B" w:rsidRDefault="008D479B" w:rsidP="008D479B">
      <w:pPr>
        <w:pStyle w:val="TextoNormal"/>
      </w:pPr>
      <w:r w:rsidRPr="008D479B">
        <w:rPr>
          <w:rStyle w:val="NumeroAFNegritaCaracter"/>
        </w:rPr>
        <w:t>4</w:t>
      </w:r>
      <w:r>
        <w:t xml:space="preserve">. </w:t>
      </w:r>
      <w:r w:rsidRPr="008D479B">
        <w:rPr>
          <w:i/>
        </w:rPr>
        <w:t>Examen de la extraordinaria y urgente necesidad de los apartados e incisos impugnados</w:t>
      </w:r>
    </w:p>
    <w:p w14:paraId="26398E61" w14:textId="77777777" w:rsidR="008D479B" w:rsidRDefault="008D479B" w:rsidP="008D479B">
      <w:pPr>
        <w:pStyle w:val="TextoNormal"/>
      </w:pPr>
    </w:p>
    <w:p w14:paraId="6E935890" w14:textId="77777777" w:rsidR="008D479B" w:rsidRDefault="008D479B" w:rsidP="008D479B">
      <w:pPr>
        <w:pStyle w:val="TextoNormal"/>
      </w:pPr>
      <w:r>
        <w:t>Conforme a la doctrina expuesta, el enjuiciamiento del primer motivo de inconstitucionalidad denunciado en el recurso exige valorar (a) la justificación aportada por el gobierno autonómico acerca de la situación de extraordinaria y urgente necesidad abordada; (b) la conexión de sentido entre dicha situación excepcional y las medidas adoptadas para hacerle frente; y (c) el específico contexto en que se produjo la aprobación de la norma.</w:t>
      </w:r>
    </w:p>
    <w:p w14:paraId="5AB5282D" w14:textId="77777777" w:rsidR="008D479B" w:rsidRDefault="008D479B" w:rsidP="008D479B">
      <w:pPr>
        <w:pStyle w:val="TextoNormal"/>
      </w:pPr>
    </w:p>
    <w:p w14:paraId="728D1E74" w14:textId="77777777" w:rsidR="008D479B" w:rsidRDefault="008D479B" w:rsidP="008D479B">
      <w:pPr>
        <w:pStyle w:val="TextoNormal"/>
      </w:pPr>
      <w:r>
        <w:t>a) A la situación de extraordinaria y urgente necesidad que, a juicio del gobierno autonómico, habilitaba para la aprobación del Decreto‑ley 5/2021, de 27 de agosto, alude su exposición de motivos, que la identifica con la situación de emergencia natural padecida por el Mar Menor y con la consiguiente necesidad de “adoptar medidas urgentes y reformas legislativas que permitan eliminar los vertidos de aguas con nutrientes al Mar Menor, dado que son un elemento determinante en la generación de episodios de eutrofización y de la consiguiente hipoxia y anoxia de sus aguas”.</w:t>
      </w:r>
    </w:p>
    <w:p w14:paraId="75ED9464" w14:textId="77777777" w:rsidR="008D479B" w:rsidRDefault="008D479B" w:rsidP="008D479B">
      <w:pPr>
        <w:pStyle w:val="TextoNormal"/>
      </w:pPr>
    </w:p>
    <w:p w14:paraId="197C26B9" w14:textId="77777777" w:rsidR="008D479B" w:rsidRDefault="008D479B" w:rsidP="008D479B">
      <w:pPr>
        <w:pStyle w:val="TextoNormal"/>
      </w:pPr>
      <w:r>
        <w:t>Se alude, en concreto, a la situación crítica del estado ecológico del Mar Menor, tras haber sufrido un grave episodio de hipoxia desde el 16 de agosto de 2021, con el resultado de una mortandad masiva de peces en su cubeta sur. La exposición de motivos cita el informe emitido por el Departamento de Ecología e Hidrología de la Universidad de Murcia el 21 de agosto de 2021, según el cual existe una conexión directa entre las situaciones de hipoxia y la elevada demanda de oxígeno derivada del alto volumen de entrada de aguas y nutrientes de la cuenca vertiente.</w:t>
      </w:r>
    </w:p>
    <w:p w14:paraId="7E299473" w14:textId="77777777" w:rsidR="008D479B" w:rsidRDefault="008D479B" w:rsidP="008D479B">
      <w:pPr>
        <w:pStyle w:val="TextoNormal"/>
      </w:pPr>
    </w:p>
    <w:p w14:paraId="4002B588" w14:textId="77777777" w:rsidR="008D479B" w:rsidRDefault="008D479B" w:rsidP="008D479B">
      <w:pPr>
        <w:pStyle w:val="TextoNormal"/>
      </w:pPr>
      <w:r>
        <w:t>Según la exposición de motivos, dicha situación habría puesto de manifiesto la necesidad de adoptar medidas adicionales a las previstas en la Ley 3/2020 para, entre otras cuestiones, reducir los plazos de tramitación de los expedientes de restitución de cultivos de las explotaciones que carecieran de derechos de riego.</w:t>
      </w:r>
    </w:p>
    <w:p w14:paraId="31B74E0B" w14:textId="77777777" w:rsidR="008D479B" w:rsidRDefault="008D479B" w:rsidP="008D479B">
      <w:pPr>
        <w:pStyle w:val="TextoNormal"/>
      </w:pPr>
    </w:p>
    <w:p w14:paraId="4460CAF4" w14:textId="77777777" w:rsidR="008D479B" w:rsidRDefault="008D479B" w:rsidP="008D479B">
      <w:pPr>
        <w:pStyle w:val="TextoNormal"/>
      </w:pPr>
      <w:r>
        <w:t>Esta justificación fue reiterada, en esencia, por el representante del Gobierno de la Región de Murcia en el debate de convalidación del decreto‑ley impugnado, que tuvo lugar en la sesión del Pleno de la Asamblea Regional de Murcia de 13 de septiembre de 2021 (“Diario de Sesiones” núm. 74, de 13 de septiembre de 2021, páginas 3329‑3332).</w:t>
      </w:r>
    </w:p>
    <w:p w14:paraId="2F22C302" w14:textId="77777777" w:rsidR="008D479B" w:rsidRDefault="008D479B" w:rsidP="008D479B">
      <w:pPr>
        <w:pStyle w:val="TextoNormal"/>
      </w:pPr>
    </w:p>
    <w:p w14:paraId="20C6D08A" w14:textId="77777777" w:rsidR="008D479B" w:rsidRDefault="008D479B" w:rsidP="008D479B">
      <w:pPr>
        <w:pStyle w:val="TextoNormal"/>
      </w:pPr>
      <w:r>
        <w:t>La memoria de análisis de impacto normativo elaborada por el gobierno autonómico durante la elaboración del decreto‑ley indica, junto con lo anterior, qué situación de urgencia así definida hace preciso “actuar con total inmediatez para dotar de mayor eficacia a la aplicación de determinados artículos de la Ley 3/2020” y descarta expresamente la posibilidad de actuar mediante disposición administrativa de carácter reglamentario “ya que se trata de modificar contenidos regulados por una ley, de manera que se necesita otra norma del mismo rango para modificarlos”.</w:t>
      </w:r>
    </w:p>
    <w:p w14:paraId="22A94D6D" w14:textId="77777777" w:rsidR="008D479B" w:rsidRDefault="008D479B" w:rsidP="008D479B">
      <w:pPr>
        <w:pStyle w:val="TextoNormal"/>
      </w:pPr>
    </w:p>
    <w:p w14:paraId="0DAE0F7E" w14:textId="77777777" w:rsidR="008D479B" w:rsidRDefault="008D479B" w:rsidP="008D479B">
      <w:pPr>
        <w:pStyle w:val="TextoNormal"/>
      </w:pPr>
      <w:r>
        <w:t>b) El examen de la conexión de sentido entre la situación de urgencia definida y las medidas adoptadas para subvenir a ella ha de realizarse atendiendo al contenido de los preceptos e incisos impugnados, así como a la estructura y eficacia del decreto‑ley en el que se encuadran.</w:t>
      </w:r>
    </w:p>
    <w:p w14:paraId="173BFBF9" w14:textId="77777777" w:rsidR="008D479B" w:rsidRDefault="008D479B" w:rsidP="008D479B">
      <w:pPr>
        <w:pStyle w:val="TextoNormal"/>
      </w:pPr>
    </w:p>
    <w:p w14:paraId="6739A89A" w14:textId="77777777" w:rsidR="008D479B" w:rsidRDefault="008D479B" w:rsidP="008D479B">
      <w:pPr>
        <w:pStyle w:val="TextoNormal"/>
      </w:pPr>
      <w:r>
        <w:t>Con la finalidad de hacer frente a la situación de emergencia natural que acaba de ser descrita, el Decreto‑ley 5/2021 modifica la Ley 3/2020, de recuperación y protección del Mar Menor, en tres sentidos estrechamente relacionados entre sí y dirigidos a reducir la entrada al Mar Menor de nutrientes procedentes de actividades agrícolas. En primer lugar, se adoptan medidas dirigidas a reducir los plazos de tramitación de los expedientes de restitución de cultivos para las explotaciones que carecieran de derechos de riego. En segundo lugar, se modifica la Ley 3/2020 para agilizar y reducir los tiempos de tramitación de los expedientes sancionadores por incumplimiento de las obligaciones impuestas por la ley. En tercer y último lugar, se amplían el ámbito y la intensidad de las restricciones y/o prohibiciones de actividades en el entorno del Mar Menor, ante la extrema gravedad de la situación medioambiental de este.</w:t>
      </w:r>
    </w:p>
    <w:p w14:paraId="456D46C1" w14:textId="77777777" w:rsidR="008D479B" w:rsidRDefault="008D479B" w:rsidP="008D479B">
      <w:pPr>
        <w:pStyle w:val="TextoNormal"/>
      </w:pPr>
    </w:p>
    <w:p w14:paraId="111AA05E" w14:textId="77777777" w:rsidR="008D479B" w:rsidRDefault="008D479B" w:rsidP="008D479B">
      <w:pPr>
        <w:pStyle w:val="TextoNormal"/>
      </w:pPr>
      <w:r>
        <w:t>Los preceptos e incisos impugnados se encuadran en el primer bloque de medidas, esto es, las relativas al procedimiento autonómico de restitución a un estado natural de aquellos regadíos que hubieran sido cesados o prohibidos por resolución firme del organismo de cuenca. Dicha restitución consiste en la devolución de los terrenos al tipo de cultivo previo al del regadío cesado o prohibido, con fines de sostenibilidad ambiental y de control de la contaminación por nutrientes de origen agrario. La regulación del procedimiento de restitución de cultivos contenida en la Ley de la Asamblea Regional de Murcia 3/2020 proviene, en su mayor parte, de su redacción original, aunque con diversas modificaciones operadas por el Decreto-ley 5/2021, entre otras, la previsión de que la restitución podrá serlo, cuando proceda, no solo a un uso forestal, sino también de secano, y la reducción del plazo máximo para dictar y notificar la orden de restitución de seis a tres meses (nueva redacción de los arts. 33.1 y 34.4 de la Ley 3/2020, respectivamente).</w:t>
      </w:r>
    </w:p>
    <w:p w14:paraId="6566DDA8" w14:textId="77777777" w:rsidR="008D479B" w:rsidRDefault="008D479B" w:rsidP="008D479B">
      <w:pPr>
        <w:pStyle w:val="TextoNormal"/>
      </w:pPr>
    </w:p>
    <w:p w14:paraId="14B26C49" w14:textId="77777777" w:rsidR="008D479B" w:rsidRDefault="008D479B" w:rsidP="008D479B">
      <w:pPr>
        <w:pStyle w:val="TextoNormal"/>
      </w:pPr>
      <w:r>
        <w:t>En particular, y frente a lo señalado en la demanda, el Tribunal observa que los apartados e incisos impugnados del Decreto‑ley 5/2021 han introducido dos innovaciones en el art. 33.1 y 4 y 34.1 y 2 de la citada ley, tal y como se desprende también de la documentación, adjunta a la demanda, relativa a las negociaciones celebradas en el seno de la comisión bilateral Estado‑Región de Murcia con carácter previo a la interposición del recurso de inconstitucionalidad.</w:t>
      </w:r>
    </w:p>
    <w:p w14:paraId="0529B027" w14:textId="77777777" w:rsidR="008D479B" w:rsidRDefault="008D479B" w:rsidP="008D479B">
      <w:pPr>
        <w:pStyle w:val="TextoNormal"/>
      </w:pPr>
    </w:p>
    <w:p w14:paraId="7A626457" w14:textId="77777777" w:rsidR="008D479B" w:rsidRDefault="008D479B" w:rsidP="008D479B">
      <w:pPr>
        <w:pStyle w:val="TextoNormal"/>
      </w:pPr>
      <w:r>
        <w:t>En primer lugar, la nueva redacción de los arts. 33.1 y 34.1 especifica ahora que la “resolución firme del organismo de cuenca” a que aludía y alude la norma como presupuesto para que la administración autonómica inicie el procedimiento de restitución de cultivos (y a la que se remite la nueva redacción de los arts. 33.4 y 34.2) hace referencia a la firmeza “en vía administrativa” de la resolución estatal por la que se acuerde el cese o prohibición de regadíos no amparados por un derecho de aprovechamiento de aguas. Según se indica en la memoria de análisis de impacto normativo, con esta aclaración se pretendía “facilitar la aplicación de la legislación” preexistente. A ello alude también la propuesta de acuerdo de la Dirección General del Agua del Gobierno de la Región de Murcia, adjuntada a la demanda por el abogado del Estado: se razona allí que la introducción de la precisión de que la firmeza de la resolución estatal se refiere a la “vía administrativa” tuvo su fundamento en una consulta del órgano autonómico competente para la tramitación de los expedientes de restitución de cultivos sobre la normativa autonómica preexistente, ya que esta se refería a una “resolución firme” pero no precisaba si esa firmeza debía entenderse referida a la vía administrativa o a la judicial.</w:t>
      </w:r>
    </w:p>
    <w:p w14:paraId="2606373A" w14:textId="77777777" w:rsidR="008D479B" w:rsidRDefault="008D479B" w:rsidP="008D479B">
      <w:pPr>
        <w:pStyle w:val="TextoNormal"/>
      </w:pPr>
    </w:p>
    <w:p w14:paraId="16E52AFA" w14:textId="77777777" w:rsidR="008D479B" w:rsidRDefault="008D479B" w:rsidP="008D479B">
      <w:pPr>
        <w:pStyle w:val="TextoNormal"/>
      </w:pPr>
      <w:r>
        <w:t>En segundo lugar, la nueva redacción del art. 34.1 de la Ley 3/2020 especifica los datos que a estos efectos han de constar en el informe o certificado que se reciba del organismo de cuenca sobre los regadíos que hayan sido cesados o prohibidos por resolución firme en vía administrativa por no estar amparados por un derecho de aprovechamiento de aguas, indicando que será precisa la “identificación expresa de polígono, parcela y recinto afectado” para que la administración autonómica pueda empezar el procedimiento de restitución de cultivos. La memoria de análisis de impacto normativo del Decreto‑ley 5/2021 indica que la finalidad de esta aclaración es procurar que “los errores sean mínimos en la tramitación, así como que se agilicen al máximo las acciones a desarrollar”, mientras que la propuesta de acuerdo remitida en su día por la comunidad autónoma al Estado señalaba que “con la evolución de la aplicación de este procedimiento se ha revelado insuficiente la información remitida por el organismo de cuenca, ya que las tablas hasta ahora enviadas por la CHS [Confederación Hidrográfica del Segura] identificaban los terrenos solo a nivel de polígono y parcela, si bien ante la magnitud de extensión de hectáreas de algunos terrenos, se hace necesario la identificación de los mismos a nivel de recinto, dado que es posible que un sancionado por la CHS goce de derecho de agua para riego pero no para toda la superficie aplicada, por lo que se hace imprescindible una identificación precisa del concreto espacio físico de terreno afectado por la prohibición y ello se consigue a nivel de recinto”.</w:t>
      </w:r>
    </w:p>
    <w:p w14:paraId="7068FB2A" w14:textId="77777777" w:rsidR="008D479B" w:rsidRDefault="008D479B" w:rsidP="008D479B">
      <w:pPr>
        <w:pStyle w:val="TextoNormal"/>
      </w:pPr>
    </w:p>
    <w:p w14:paraId="7786729A" w14:textId="77777777" w:rsidR="008D479B" w:rsidRDefault="008D479B" w:rsidP="008D479B">
      <w:pPr>
        <w:pStyle w:val="TextoNormal"/>
      </w:pPr>
      <w:r>
        <w:t>Por lo demás, el Decreto‑ley 5/2021, aprobado por el Gobierno de la Región de Murcia el viernes 27 de agosto de 2021, entró en vigor al día siguiente al de su publicación en el “Boletín Oficial de la Región de Murcia” (lunes 30 de agosto de 2021), esto es, el martes 31 de agosto de 2021, según lo previsto en su disposición final única.</w:t>
      </w:r>
    </w:p>
    <w:p w14:paraId="791EDDB9" w14:textId="77777777" w:rsidR="008D479B" w:rsidRDefault="008D479B" w:rsidP="008D479B">
      <w:pPr>
        <w:pStyle w:val="TextoNormal"/>
      </w:pPr>
    </w:p>
    <w:p w14:paraId="5106723E" w14:textId="77777777" w:rsidR="008D479B" w:rsidRDefault="008D479B" w:rsidP="008D479B">
      <w:pPr>
        <w:pStyle w:val="TextoNormal"/>
      </w:pPr>
      <w:r>
        <w:t>c) Para valorar si la situación de urgencia y la conexión de sentido descritas son suficientes para justificar en este caso el uso del decreto‑ley en los términos del art. 30.3 EARM es necesario, por último, tener en cuenta el específico contexto en que se aprobaron los apartados e incisos impugnados en este proceso.</w:t>
      </w:r>
    </w:p>
    <w:p w14:paraId="2969BAF3" w14:textId="77777777" w:rsidR="008D479B" w:rsidRDefault="008D479B" w:rsidP="008D479B">
      <w:pPr>
        <w:pStyle w:val="TextoNormal"/>
      </w:pPr>
    </w:p>
    <w:p w14:paraId="488A4ED5" w14:textId="77777777" w:rsidR="008D479B" w:rsidRDefault="008D479B" w:rsidP="008D479B">
      <w:pPr>
        <w:pStyle w:val="TextoNormal"/>
      </w:pPr>
      <w:r>
        <w:t>En este ámbito cobran especial relevancia la singularidad medioambiental del Mar Menor y el carácter irreversible de los daños al ecosistema —singularmente, a la fauna del entorno— que la adopción del decreto‑ley trataba de afrontar, atinentes no a genéricas finalidades de protección medioambiental sino a una concreta situación de degradación de la calidad de las aguas iniciada once días antes de la adopción de la norma y que estaba ocasionando la mortandad masiva de peces en la denominada cubeta sur del Mar Menor.</w:t>
      </w:r>
    </w:p>
    <w:p w14:paraId="60769404" w14:textId="77777777" w:rsidR="008D479B" w:rsidRDefault="008D479B" w:rsidP="008D479B">
      <w:pPr>
        <w:pStyle w:val="TextoNormal"/>
      </w:pPr>
    </w:p>
    <w:p w14:paraId="32CCCD89" w14:textId="77777777" w:rsidR="008D479B" w:rsidRDefault="008D479B" w:rsidP="008D479B">
      <w:pPr>
        <w:pStyle w:val="TextoNormal"/>
      </w:pPr>
      <w:r>
        <w:t xml:space="preserve">Asimismo han de tenerse en cuenta los antecedentes normativos del Decreto–ley 5/2021. Esta norma de urgencia forma parte de un </w:t>
      </w:r>
      <w:r w:rsidRPr="008D479B">
        <w:rPr>
          <w:i/>
        </w:rPr>
        <w:t>iter</w:t>
      </w:r>
      <w:r>
        <w:t xml:space="preserve"> de medidas urgentes de sostenibilidad ambiental que se han ido regulando desde el año 2017 en relación con las actividades que se realizan en el entorno del Mar Menor y, principalmente, con el sector agrario; se trata, en concreto, de la tercera norma adoptada desde entonces en este ámbito a través del vehículo formal del decreto–ley, tras el Decreto‑ley 1/2017, de 4 de abril, del Gobierno de la Región de Murcia, de medidas urgentes para garantizar la sostenibilidad ambiental en el entorno del Mar Menor (que, tramitado como proyecto de ley, dio lugar a la posterior Ley 1/2018), y el Decreto‑ley 2/2019, de 26 de diciembre, del Gobierno de la Región de Murcia, de protección integral del Mar Menor.</w:t>
      </w:r>
    </w:p>
    <w:p w14:paraId="73FB8267" w14:textId="77777777" w:rsidR="008D479B" w:rsidRDefault="008D479B" w:rsidP="008D479B">
      <w:pPr>
        <w:pStyle w:val="TextoNormal"/>
      </w:pPr>
    </w:p>
    <w:p w14:paraId="15A48B72" w14:textId="77777777" w:rsidR="008D479B" w:rsidRDefault="008D479B" w:rsidP="008D479B">
      <w:pPr>
        <w:pStyle w:val="TextoNormal"/>
      </w:pPr>
      <w:r>
        <w:t>Desde la óptica de las exigencias del principio democrático que subyacen a nuestra doctrina sobre los límites a la legislación de urgencia, es también de particular relevancia, en fin, el hecho de que, según se indica en la memoria de análisis de impacto normativo del Decreto‑ley 5/2021, al modificar la Ley 3/2020 este haya seguido el criterio de “hacer una intervención mínima, sin modificar los objetivos, fines e instrumentos que están presentes en los distintos artículos de la ley”, teniendo la modificación “un enfoque mixto técnico‑jurídico” y siendo su objetivo último “dotar de mayor eficacia a la aplicación de determinados artículos de la Ley 3/2020”.</w:t>
      </w:r>
    </w:p>
    <w:p w14:paraId="118BD2D3" w14:textId="77777777" w:rsidR="008D479B" w:rsidRDefault="008D479B" w:rsidP="008D479B">
      <w:pPr>
        <w:pStyle w:val="TextoNormal"/>
      </w:pPr>
    </w:p>
    <w:p w14:paraId="7FA06630" w14:textId="77777777" w:rsidR="008D479B" w:rsidRDefault="008D479B" w:rsidP="008D479B">
      <w:pPr>
        <w:pStyle w:val="TextoNormal"/>
      </w:pPr>
      <w:r>
        <w:t>d) A la vista de las consideraciones anteriores, concluimos que la aprobación mediante decreto‑ley de los preceptos e incisos impugnados es conforme con la exigencia de presupuesto habilitante del art. 30.3 EARM, sin que quepa apreciar tampoco lesión del art. 86.1 CE.</w:t>
      </w:r>
    </w:p>
    <w:p w14:paraId="28058AAC" w14:textId="77777777" w:rsidR="008D479B" w:rsidRDefault="008D479B" w:rsidP="008D479B">
      <w:pPr>
        <w:pStyle w:val="TextoNormal"/>
      </w:pPr>
    </w:p>
    <w:p w14:paraId="07ED9C3D" w14:textId="77777777" w:rsidR="008D479B" w:rsidRDefault="008D479B" w:rsidP="008D479B">
      <w:pPr>
        <w:pStyle w:val="TextoNormal"/>
      </w:pPr>
      <w:r>
        <w:t>La definición por parte del gobierno autonómico de la situación de extraordinaria y urgente necesidad que justifica el Decreto-ley 5/2021 es explícita y razonada y, conforme al análisis externo que nos corresponde, cabe afirmar que no se trata de una descripción mediante fórmulas rituales o genéricas aplicables a todo tipo de realidades de un modo intercambiable, sino a través de una precisa referencia a una concreta coyuntura medioambiental que exige una rápida respuesta: la situación crítica del estado ecológico del Mar Menor, agravada por un grave episodio de hipoxia desde el 16 de agosto de 2021.</w:t>
      </w:r>
    </w:p>
    <w:p w14:paraId="3A15D1C0" w14:textId="77777777" w:rsidR="008D479B" w:rsidRDefault="008D479B" w:rsidP="008D479B">
      <w:pPr>
        <w:pStyle w:val="TextoNormal"/>
      </w:pPr>
    </w:p>
    <w:p w14:paraId="5C76E3E9" w14:textId="77777777" w:rsidR="008D479B" w:rsidRDefault="008D479B" w:rsidP="008D479B">
      <w:pPr>
        <w:pStyle w:val="TextoNormal"/>
      </w:pPr>
      <w:r>
        <w:t>Por otra parte, existe una evidente conexión de sentido entre las medidas objeto de impugnación, de aplicación inmediata y dirigidas a aclarar determinados extremos de carácter técnico-procedimental de la regulación preexistente, y el objetivo de agilizar la tramitación de los expedientes de restitución de cultivos, configurados como una de las herramientas centrales de la política autonómica de protección del Mar Menor frente al vertido de nutrientes de origen agrario.</w:t>
      </w:r>
    </w:p>
    <w:p w14:paraId="52CAE451" w14:textId="77777777" w:rsidR="008D479B" w:rsidRDefault="008D479B" w:rsidP="008D479B">
      <w:pPr>
        <w:pStyle w:val="TextoNormal"/>
      </w:pPr>
    </w:p>
    <w:p w14:paraId="2D57C9EA" w14:textId="4CA5CF77" w:rsidR="008D479B" w:rsidRDefault="008D479B" w:rsidP="008D479B">
      <w:pPr>
        <w:pStyle w:val="TextoNormal"/>
      </w:pPr>
      <w:r>
        <w:t>Por las razones expuestas, el primer motivo de impugnación ha de ser desestimado.</w:t>
      </w:r>
    </w:p>
    <w:p w14:paraId="0EA721E4" w14:textId="77777777" w:rsidR="008D479B" w:rsidRDefault="008D479B" w:rsidP="008D479B">
      <w:pPr>
        <w:pStyle w:val="TextoNormal"/>
      </w:pPr>
    </w:p>
    <w:p w14:paraId="406DB454" w14:textId="77777777" w:rsidR="008D479B" w:rsidRDefault="008D479B" w:rsidP="008D479B">
      <w:pPr>
        <w:pStyle w:val="TextoNormal"/>
      </w:pPr>
      <w:r w:rsidRPr="008D479B">
        <w:rPr>
          <w:rStyle w:val="NumeroAFNegritaCaracter"/>
        </w:rPr>
        <w:t>5</w:t>
      </w:r>
      <w:r>
        <w:t xml:space="preserve">. </w:t>
      </w:r>
      <w:r w:rsidRPr="008D479B">
        <w:rPr>
          <w:i/>
        </w:rPr>
        <w:t>Sobre las vulneraciones competenciales denunciadas en el recurso</w:t>
      </w:r>
    </w:p>
    <w:p w14:paraId="1B6008D3" w14:textId="77777777" w:rsidR="008D479B" w:rsidRDefault="008D479B" w:rsidP="008D479B">
      <w:pPr>
        <w:pStyle w:val="TextoNormal"/>
      </w:pPr>
    </w:p>
    <w:p w14:paraId="555E86E4" w14:textId="77777777" w:rsidR="008D479B" w:rsidRDefault="008D479B" w:rsidP="008D479B">
      <w:pPr>
        <w:pStyle w:val="TextoNormal"/>
      </w:pPr>
      <w:r>
        <w:t>Los dos motivos de impugnación restantes, formulados en la demanda con carácter subsidiario, denuncian la vulneración de las competencias del Estado sobre la legislación, ordenación y concesión de recursos y aprovechamientos hidráulicos cuando las aguas discurran por más de una comunidad autónoma (art. 149.1.22 CE) y sobre el procedimiento administrativo común (art. 149.1.18 CE). Según el razonamiento de la demanda, tales vulneraciones resultarían, en síntesis, del hecho de que la norma autonómica estaría atribuyendo a las decisiones adoptadas por un órgano del Estado —el organismo de cuenca— efectos adicionales a los previstos en la legislación estatal.</w:t>
      </w:r>
    </w:p>
    <w:p w14:paraId="43287711" w14:textId="77777777" w:rsidR="008D479B" w:rsidRDefault="008D479B" w:rsidP="008D479B">
      <w:pPr>
        <w:pStyle w:val="TextoNormal"/>
      </w:pPr>
    </w:p>
    <w:p w14:paraId="02FD47E4" w14:textId="77777777" w:rsidR="008D479B" w:rsidRDefault="008D479B" w:rsidP="008D479B">
      <w:pPr>
        <w:pStyle w:val="TextoNormal"/>
      </w:pPr>
      <w:r>
        <w:t>Así, el recurso indica, por una parte, que la competencia del art. 149.1.22 CE vendría vulnerada porque los incisos impugnados, al supeditar la actuación autonómica de restitución de cultivos a la previa existencia de una resolución firme en vía administrativa del organismo de cuenca acerca del cese o prohibición de regadíos por carecer de derecho de aprovechamiento de aguas, vendrían a “disponer” de la competencia estatal para “constreñir y condicionar la competencia exclusiva de la Región de Murcia sobre la agricultura y la ganadería, de acuerdo con la ordenación general de la economía (art. 148.1.7 CE)”; en otras palabras, “la norma autonómica ordena el sentido y el ámbito material sobre los que ha de desplegarse la competencia del Estado, al determinar sus efectos jurídicos”, pues la resolución firme del organismo de cuenca sería el “único elemento determinante, desde el punto de vista jurídico, de la ulterior actuación de la consejería de la comunidad autónoma”. De otro lado, la demanda argumenta que la competencia estatal sobre procedimiento administrativo común (art. 149.1.18 CE) se vería mediatamente vulnerada porque los incisos impugnados establecerían que el procedimiento autonómico de restitución de cultivos tiene como única forma de iniciación el “impulso” de un órgano estatal y atribuirían a dicho órgano (el organismo de cuenca) una función que materialmente consistiría en la emisión de un dictamen vinculante en el seno del procedimiento autonómico, convirtiendo así a aquel en coautor de decisiones (sobre restitución de cultivos) que solo a la comunidad autónoma corresponde adoptar.</w:t>
      </w:r>
    </w:p>
    <w:p w14:paraId="3D7ADC9C" w14:textId="77777777" w:rsidR="008D479B" w:rsidRDefault="008D479B" w:rsidP="008D479B">
      <w:pPr>
        <w:pStyle w:val="TextoNormal"/>
      </w:pPr>
    </w:p>
    <w:p w14:paraId="7310A08E" w14:textId="77777777" w:rsidR="008D479B" w:rsidRDefault="008D479B" w:rsidP="008D479B">
      <w:pPr>
        <w:pStyle w:val="TextoNormal"/>
      </w:pPr>
      <w:r>
        <w:t>Así formulados, estos motivos de impugnación han de ser desestimados, por basarse sobre una lectura incorrecta y descontextualizada de los preceptos e incisos impugnados.</w:t>
      </w:r>
    </w:p>
    <w:p w14:paraId="0B3F832B" w14:textId="77777777" w:rsidR="008D479B" w:rsidRDefault="008D479B" w:rsidP="008D479B">
      <w:pPr>
        <w:pStyle w:val="TextoNormal"/>
      </w:pPr>
    </w:p>
    <w:p w14:paraId="4CACF914" w14:textId="77777777" w:rsidR="008D479B" w:rsidRDefault="008D479B" w:rsidP="008D479B">
      <w:pPr>
        <w:pStyle w:val="TextoNormal"/>
      </w:pPr>
      <w:r>
        <w:t>Al aprobar la Ley 3/2020, el legislador murciano configuró como presupuesto de hecho de la actividad administrativa autonómica de restitución de cultivos, cuando se ejercite sobre una explotación de regadío, que dicha explotación carezca de derechos de riego por haber sido estos cesados o prohibidos por resolución firme del organismo de cuenca, al no estar amparados en un derecho de aprovechamiento de aguas. Y vino a establecer también, con determinadas precisiones incorporadas después mediante el Decreto‑ley 5/2021, que para que la administración autonómica pueda realizar tal actividad es necesario comprobar la concurrencia del supuesto de hecho a la luz de las decisiones firmes (solo en vía administrativa, no judicial) adoptadas por el organismo de cuenca, ya que este es el único competente para el otorgamiento, la denegación, el cese o la prohibición de cualquier actividad relacionada con el dominio público hidráulico [arts. 17 c) y d), 23.1 y 24 a) del texto refundido de la ley de aguas, aprobado por el Real Decreto Legislativo 1/2001, de 20 de julio].</w:t>
      </w:r>
    </w:p>
    <w:p w14:paraId="79960900" w14:textId="77777777" w:rsidR="008D479B" w:rsidRDefault="008D479B" w:rsidP="008D479B">
      <w:pPr>
        <w:pStyle w:val="TextoNormal"/>
      </w:pPr>
    </w:p>
    <w:p w14:paraId="5FD45021" w14:textId="77777777" w:rsidR="008D479B" w:rsidRDefault="008D479B" w:rsidP="008D479B">
      <w:pPr>
        <w:pStyle w:val="TextoNormal"/>
      </w:pPr>
      <w:r>
        <w:t>No cabe entender que este régimen jurídico invada competencia estatal alguna, como también puso de manifiesto por unanimidad el dictamen de la comisión permanente del Consejo de Estado núm. 651-2022, previo a la interposición del presente recurso de inconstitucionalidad. Es el propio texto refundido de la Ley de aguas el que, como acaba de indicarse, atribuye a la administración estatal (en concreto, a los organismos de cuenca) la competencia ordinaria para otorgar o extinguir las autorizaciones y concesiones sobre el dominio público hidráulico en las cuencas hidrográficas que, como la del Segura, excedan del ámbito territorial de una sola comunidad autónoma. Ello no impide que, dentro de su ámbito de competencias, el legislador autonómico pueda configurar a dicha actuación estatal como presupuesto de hecho de su propia actividad de restitución a su estado natural de aquellos cultivos que, a la luz de lo previamente decidido por el órgano estatal competente, quepa calificar como regadíos ilegales y que, como lógica consecuencia de lo anterior, aluda en su regulación a la necesidad de contar con dicha información como presupuesto previo para el ejercicio de la mencionada actividad de restitución.</w:t>
      </w:r>
    </w:p>
    <w:p w14:paraId="432EB2AD" w14:textId="77777777" w:rsidR="008D479B" w:rsidRDefault="008D479B" w:rsidP="008D479B">
      <w:pPr>
        <w:pStyle w:val="TextoNormal"/>
      </w:pPr>
    </w:p>
    <w:p w14:paraId="2FF5EE06" w14:textId="77777777" w:rsidR="008D479B" w:rsidRDefault="008D479B" w:rsidP="008D479B">
      <w:pPr>
        <w:pStyle w:val="TextoNormal"/>
      </w:pPr>
      <w:r>
        <w:t>En definitiva, la regulación controvertida no afecta a las competencias estatales, sino que se limita a disciplinar la actuación administrativa de la propia comunidad autónoma, sin oponerse al régimen del procedimiento administrativo común recogido en la Ley 39/2015, de 1 de octubre, ni imponer tampoco obligación alguna al Estado que no viniese ya comprendida en el deber general de colaboración —en particular, mediante el intercambio de información–—que sobre este pesa, al igual que sobre las comunidades autónomas, en el ejercicio de sus competencias concurrentes sobre el medio hídrico [art. 128.1 y 2 del texto refundido de la ley de aguas en relación con el art. 141.1 c) de la Ley 40/2015, de 1 de octubre, de régimen jurídico del sector público].</w:t>
      </w:r>
    </w:p>
    <w:p w14:paraId="43829930" w14:textId="77777777" w:rsidR="008D479B" w:rsidRDefault="008D479B" w:rsidP="008D479B">
      <w:pPr>
        <w:pStyle w:val="TextoNormal"/>
      </w:pPr>
    </w:p>
    <w:p w14:paraId="7652525B" w14:textId="7EC2B27D" w:rsidR="008D479B" w:rsidRDefault="008D479B" w:rsidP="008D479B">
      <w:pPr>
        <w:pStyle w:val="TextoNormal"/>
      </w:pPr>
      <w:r>
        <w:t>Estas consideraciones conducen a la desestimación de los dos últimos motivos de impugnación y, con ello, de la integridad del recurso.</w:t>
      </w:r>
    </w:p>
    <w:p w14:paraId="3AEF09A7" w14:textId="77777777" w:rsidR="008D479B" w:rsidRDefault="008D479B" w:rsidP="008D479B">
      <w:pPr>
        <w:pStyle w:val="TextoNormal"/>
      </w:pPr>
    </w:p>
    <w:p w14:paraId="5A35A555" w14:textId="77777777" w:rsidR="008D479B" w:rsidRDefault="008D479B" w:rsidP="008D479B">
      <w:pPr>
        <w:pStyle w:val="TextoNormalCentrado"/>
        <w:keepNext/>
      </w:pPr>
      <w:r>
        <w:t>FALLO</w:t>
      </w:r>
    </w:p>
    <w:p w14:paraId="0AB57D96" w14:textId="6F9FA2CE" w:rsidR="008D479B" w:rsidRDefault="008D479B" w:rsidP="008D479B">
      <w:pPr>
        <w:pStyle w:val="TextoNormalCentrado"/>
        <w:keepNext/>
      </w:pPr>
    </w:p>
    <w:p w14:paraId="2AA623D1" w14:textId="42B8DEDE" w:rsidR="008D479B" w:rsidRDefault="008D479B" w:rsidP="008D479B">
      <w:pPr>
        <w:pStyle w:val="TextoNormal"/>
      </w:pPr>
      <w:r>
        <w:t>En atención a todo lo expuesto, el Tribunal Constitucional, por la autoridad que le confiere la Constitución de la Nación española, ha decidido desestimar el presente recurso de inconstitucionalidad.</w:t>
      </w:r>
    </w:p>
    <w:p w14:paraId="5657CA73" w14:textId="77777777" w:rsidR="008D479B" w:rsidRDefault="008D479B" w:rsidP="008D479B">
      <w:pPr>
        <w:pStyle w:val="TextoNormal"/>
      </w:pPr>
    </w:p>
    <w:p w14:paraId="67BD70D1" w14:textId="77777777" w:rsidR="008D479B" w:rsidRDefault="008D479B" w:rsidP="008D479B">
      <w:pPr>
        <w:pStyle w:val="TextoNormal"/>
      </w:pPr>
      <w:r>
        <w:t>Publíquese esta sentencia en el “Boletín Oficial del Estado”.</w:t>
      </w:r>
    </w:p>
    <w:p w14:paraId="6B015D79" w14:textId="77777777" w:rsidR="008D479B" w:rsidRDefault="008D479B" w:rsidP="008D479B">
      <w:pPr>
        <w:pStyle w:val="TextoNormal"/>
      </w:pPr>
      <w:r>
        <w:t>Dada en Madrid, a veintisiete de septiembre de dos mil veintitrés.</w:t>
      </w:r>
    </w:p>
    <w:p w14:paraId="79CAFC70" w14:textId="7B433DBC" w:rsidR="008D479B" w:rsidRDefault="008D479B">
      <w:pPr>
        <w:spacing w:after="160" w:line="278" w:lineRule="auto"/>
        <w:rPr>
          <w:rFonts w:ascii="Times New Roman" w:eastAsia="Times New Roman" w:hAnsi="Times New Roman" w:cs="Times New Roman"/>
          <w:sz w:val="24"/>
          <w:szCs w:val="24"/>
          <w:lang w:eastAsia="es-ES"/>
        </w:rPr>
      </w:pPr>
      <w:r>
        <w:br w:type="page"/>
      </w:r>
    </w:p>
    <w:p w14:paraId="622EE90C" w14:textId="77777777" w:rsidR="008D479B" w:rsidRDefault="008D479B" w:rsidP="008D479B">
      <w:pPr>
        <w:pStyle w:val="TtuloResolucin"/>
      </w:pPr>
      <w:bookmarkStart w:id="52" w:name="SENTENCIA_2023_127"/>
      <w:r>
        <w:t>SENTENCIA 127/2023, de 27 de septiembre de 2023</w:t>
      </w:r>
    </w:p>
    <w:bookmarkEnd w:id="52"/>
    <w:p w14:paraId="16BD8686" w14:textId="77777777" w:rsidR="008D479B" w:rsidRDefault="008D479B" w:rsidP="008D479B">
      <w:pPr>
        <w:pStyle w:val="TtuloResolucin"/>
      </w:pPr>
      <w:r>
        <w:t>Pleno</w:t>
      </w:r>
    </w:p>
    <w:p w14:paraId="6D742B0B" w14:textId="77777777" w:rsidR="008D479B" w:rsidRDefault="008D479B" w:rsidP="008D479B">
      <w:pPr>
        <w:pStyle w:val="TtuloBOE"/>
      </w:pPr>
      <w:r>
        <w:t>(BOE núm. 261, de 1 de noviembre de 2023)</w:t>
      </w:r>
    </w:p>
    <w:p w14:paraId="32BB3A41" w14:textId="77777777" w:rsidR="008D479B" w:rsidRDefault="008D479B" w:rsidP="008D479B">
      <w:pPr>
        <w:pStyle w:val="TextoNormalCentrado"/>
      </w:pPr>
      <w:r>
        <w:t>ECLI:ES:TC:2023:127</w:t>
      </w:r>
    </w:p>
    <w:p w14:paraId="619B6E54" w14:textId="22E47DCF" w:rsidR="008D479B" w:rsidRDefault="008D479B" w:rsidP="008D479B">
      <w:pPr>
        <w:pStyle w:val="TextoNormalCentrado"/>
      </w:pPr>
    </w:p>
    <w:p w14:paraId="7A43E25F" w14:textId="77777777" w:rsidR="008D479B" w:rsidRDefault="008D479B" w:rsidP="008D479B">
      <w:pPr>
        <w:pStyle w:val="SntesisDescriptiva"/>
      </w:pPr>
      <w:r>
        <w:t>Recurso de inconstitucionalidad 3726-2023. Interpuesto por el presidente del Gobierno en relación con diversos preceptos del Decreto-ley de la Junta de Extremadura 5/2022, de 31 de agosto, por el que se establecen medidas urgentes necesarias en la regulación del aprovechamiento de recursos minerales de litio en Extremadura.</w:t>
      </w:r>
    </w:p>
    <w:p w14:paraId="17DB58F8" w14:textId="38ED14CE" w:rsidR="008D479B" w:rsidRDefault="008D479B" w:rsidP="008D479B">
      <w:pPr>
        <w:pStyle w:val="SntesisDescriptiva"/>
      </w:pPr>
    </w:p>
    <w:p w14:paraId="45E5757F" w14:textId="77777777" w:rsidR="008D479B" w:rsidRDefault="008D479B" w:rsidP="008D479B">
      <w:pPr>
        <w:pStyle w:val="SntesisAnaltica"/>
      </w:pPr>
      <w:r>
        <w:t>Límites a los decretos leyes autonómicos: nulidad de los preceptos relativos al tratamiento y beneficio metalúrgico y mineralúrgico en Extremadura, las consecuencias de su incumplimiento, y la declaración de utilidad pública e interés social a los efectos expropiatorios de las concesiones de explotación de los recursos minerales de litio. Voto particular.</w:t>
      </w:r>
    </w:p>
    <w:p w14:paraId="485E524F" w14:textId="40D1A64C" w:rsidR="008D479B" w:rsidRDefault="008D479B" w:rsidP="008D479B">
      <w:pPr>
        <w:pStyle w:val="SntesisAnaltica"/>
      </w:pPr>
    </w:p>
    <w:p w14:paraId="659FED78" w14:textId="388A2939" w:rsidR="008D479B" w:rsidRDefault="008D479B" w:rsidP="008D479B">
      <w:pPr>
        <w:pStyle w:val="Extracto"/>
      </w:pPr>
      <w:r>
        <w:t>1.</w:t>
      </w:r>
      <w:r>
        <w:tab/>
        <w:t xml:space="preserve">En materia de régimen minero, el Estado ostenta competencia exclusiva para dictar las “bases” </w:t>
      </w:r>
      <w:r w:rsidRPr="008D479B">
        <w:rPr>
          <w:i/>
        </w:rPr>
        <w:t>ex</w:t>
      </w:r>
      <w:r>
        <w:t xml:space="preserve"> art. 149.1.25 CE. A su vez, todas las comunidades autónomas tienen atribuidas por sus respectivos estatutos de autonomía competencias de desarrollo legislativo y ejecución en esta materia [FJ 2].</w:t>
      </w:r>
    </w:p>
    <w:p w14:paraId="16B87CFD" w14:textId="77777777" w:rsidR="008D479B" w:rsidRDefault="008D479B" w:rsidP="008D479B">
      <w:pPr>
        <w:pStyle w:val="Extracto"/>
      </w:pPr>
    </w:p>
    <w:p w14:paraId="0EAAC735" w14:textId="16BF0B0E" w:rsidR="008D479B" w:rsidRDefault="008D479B" w:rsidP="008D479B">
      <w:pPr>
        <w:pStyle w:val="Extracto"/>
      </w:pPr>
      <w:r>
        <w:t>2.</w:t>
      </w:r>
      <w:r>
        <w:tab/>
        <w:t>La pertenencia al dominio público estatal de los yacimientos de origen natural y demás recursos geológicos existentes en el territorio nacional (arts. 132.2 CE y 2.1 de la Ley de minas), -a los que se proyecta el principio constitucional de subordinación al interés general de toda la riqueza del país en sus distintas formas que proclama el art. 128 CE-, no es en sí misma un criterio de delimitación competencial (STC 227/1988) [FJ 2].</w:t>
      </w:r>
    </w:p>
    <w:p w14:paraId="3CA173BA" w14:textId="77777777" w:rsidR="008D479B" w:rsidRDefault="008D479B" w:rsidP="008D479B">
      <w:pPr>
        <w:pStyle w:val="Extracto"/>
      </w:pPr>
    </w:p>
    <w:p w14:paraId="1F60FE4D" w14:textId="4D375DFB" w:rsidR="008D479B" w:rsidRDefault="008D479B" w:rsidP="008D479B">
      <w:pPr>
        <w:pStyle w:val="Extracto"/>
      </w:pPr>
      <w:r>
        <w:t>3.</w:t>
      </w:r>
      <w:r>
        <w:tab/>
        <w:t>Conforme a la atribución competencial prevista en el art. 149.1.25 CE, le corresponde al Estado la fijación de criterios uniformes en el régimen minero que garanticen tanto la gestión y utilización controlada o equilibrada de recursos esenciales, como la defensa y utilización racional de la riqueza del país y su subordinación al interés general (art. 128.1 CE) [FJ 2].</w:t>
      </w:r>
    </w:p>
    <w:p w14:paraId="60BA4EFC" w14:textId="77777777" w:rsidR="008D479B" w:rsidRDefault="008D479B" w:rsidP="008D479B">
      <w:pPr>
        <w:pStyle w:val="Extracto"/>
      </w:pPr>
    </w:p>
    <w:p w14:paraId="2FE92BCB" w14:textId="4B6E59A4" w:rsidR="008D479B" w:rsidRDefault="008D479B" w:rsidP="008D479B">
      <w:pPr>
        <w:pStyle w:val="Extracto"/>
      </w:pPr>
      <w:r>
        <w:t>4.</w:t>
      </w:r>
      <w:r>
        <w:tab/>
        <w:t>La operación de deducir bases normativas de la legislación preconstitucional, -como lo es la  Ley 22/1973, de minas-,  ha de realizarse con suma cautela y teniendo siempre presentes las categorías contenidas en la Constitución respecto del reparto constitucional y el alcance de las mismas (SSTC 251/2006 o 235/2015); siendo posible que los preceptos recogidos en la norma preconstitucional puedan servir de parámetro de la constitucionalidad mediata de las normas autonómicas de desarrollo, en este caso, de los preceptos impugnados [FJ 3].</w:t>
      </w:r>
    </w:p>
    <w:p w14:paraId="1D36C050" w14:textId="77777777" w:rsidR="008D479B" w:rsidRDefault="008D479B" w:rsidP="008D479B">
      <w:pPr>
        <w:pStyle w:val="Extracto"/>
      </w:pPr>
    </w:p>
    <w:p w14:paraId="3D5A1D3D" w14:textId="551CA6A3" w:rsidR="008D479B" w:rsidRDefault="008D479B" w:rsidP="008D479B">
      <w:pPr>
        <w:pStyle w:val="Extracto"/>
      </w:pPr>
      <w:r>
        <w:t>5.</w:t>
      </w:r>
      <w:r>
        <w:tab/>
        <w:t xml:space="preserve">Existe contradicción insalvable entre la base estatal y la norma autonómica cuando ésta atribuye a la Comunidad Autónoma la posibilidad de condicionar la explotación de un recurso mineral de esencial importancia para el interés nacional y para los intereses de la Unión Europea, impidiendo que el Estado valore la imposición o no de dicha condición y, en su caso, determine el lugar en el que la misma deberá ser cumplida, contraviniendo con ello la regla básica </w:t>
      </w:r>
      <w:r w:rsidRPr="008D479B">
        <w:rPr>
          <w:i/>
        </w:rPr>
        <w:t xml:space="preserve">ex </w:t>
      </w:r>
      <w:r>
        <w:t>art. 149.1.25 CE e infringiendo el orden constitucional de distribución de competencias [FJ 4].</w:t>
      </w:r>
    </w:p>
    <w:p w14:paraId="57CDA21D" w14:textId="77777777" w:rsidR="008D479B" w:rsidRDefault="008D479B" w:rsidP="008D479B">
      <w:pPr>
        <w:pStyle w:val="Extracto"/>
      </w:pPr>
    </w:p>
    <w:p w14:paraId="1F1EF62B" w14:textId="1DDD62D8" w:rsidR="008D479B" w:rsidRDefault="008D479B" w:rsidP="008D479B">
      <w:pPr>
        <w:pStyle w:val="Extracto"/>
      </w:pPr>
      <w:r>
        <w:t>6.</w:t>
      </w:r>
      <w:r>
        <w:tab/>
        <w:t xml:space="preserve">La regulación autonómica, si vincula el otorgamiento de cualquier concesión de explotación de los recursos minerales -de litio- a la obligación de que el tratamiento y beneficio metalúrgico y mineralúrgico de los recursos de ese mineral se circunscriban al territorio de la Comunidad Autónoma,  incurre en una restricción geográfica que afecta a la competencia estatal en materia de unidad de mercado </w:t>
      </w:r>
      <w:r w:rsidRPr="008D479B">
        <w:rPr>
          <w:i/>
        </w:rPr>
        <w:t>ex</w:t>
      </w:r>
      <w:r>
        <w:t xml:space="preserve"> art. 149.1.13 CE   [FJ 5]. </w:t>
      </w:r>
    </w:p>
    <w:p w14:paraId="2CB851CC" w14:textId="77777777" w:rsidR="008D479B" w:rsidRDefault="008D479B" w:rsidP="008D479B">
      <w:pPr>
        <w:pStyle w:val="Extracto"/>
      </w:pPr>
    </w:p>
    <w:p w14:paraId="0AD69A08" w14:textId="77777777" w:rsidR="008D479B" w:rsidRDefault="008D479B" w:rsidP="008D479B">
      <w:pPr>
        <w:pStyle w:val="Extracto"/>
      </w:pPr>
    </w:p>
    <w:p w14:paraId="475360B7" w14:textId="77777777" w:rsidR="008D479B" w:rsidRDefault="008D479B" w:rsidP="008D479B">
      <w:pPr>
        <w:pStyle w:val="TextoNormal"/>
      </w:pPr>
      <w: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 ha pronunciado</w:t>
      </w:r>
    </w:p>
    <w:p w14:paraId="57B396D1" w14:textId="6408F95D" w:rsidR="008D479B" w:rsidRDefault="008D479B" w:rsidP="008D479B">
      <w:pPr>
        <w:pStyle w:val="TextoNormal"/>
      </w:pPr>
    </w:p>
    <w:p w14:paraId="10D7AC27" w14:textId="77777777" w:rsidR="008D479B" w:rsidRDefault="008D479B" w:rsidP="008D479B">
      <w:pPr>
        <w:pStyle w:val="TextoNormalCentrado"/>
        <w:keepNext/>
      </w:pPr>
      <w:r>
        <w:t>EN NOMBRE DEL REY</w:t>
      </w:r>
    </w:p>
    <w:p w14:paraId="455B9837" w14:textId="65EB598F" w:rsidR="008D479B" w:rsidRDefault="008D479B" w:rsidP="008D479B">
      <w:pPr>
        <w:pStyle w:val="TextoNormalCentrado"/>
        <w:keepNext/>
      </w:pPr>
    </w:p>
    <w:p w14:paraId="78F8950F" w14:textId="77777777" w:rsidR="008D479B" w:rsidRDefault="008D479B" w:rsidP="008D479B">
      <w:pPr>
        <w:pStyle w:val="TextoNormalCentrado"/>
        <w:keepNext/>
      </w:pPr>
    </w:p>
    <w:p w14:paraId="7679FBA9" w14:textId="77777777" w:rsidR="008D479B" w:rsidRDefault="008D479B" w:rsidP="008D479B">
      <w:pPr>
        <w:pStyle w:val="TextoNormal"/>
      </w:pPr>
      <w:r>
        <w:t>la siguiente</w:t>
      </w:r>
    </w:p>
    <w:p w14:paraId="6B1EA165" w14:textId="1122934F" w:rsidR="008D479B" w:rsidRDefault="008D479B" w:rsidP="008D479B">
      <w:pPr>
        <w:pStyle w:val="TextoNormal"/>
      </w:pPr>
    </w:p>
    <w:p w14:paraId="5A1E624C" w14:textId="77777777" w:rsidR="008D479B" w:rsidRDefault="008D479B" w:rsidP="008D479B">
      <w:pPr>
        <w:pStyle w:val="TextoNormalCentrado"/>
        <w:keepNext/>
      </w:pPr>
      <w:r>
        <w:t>SENTENCIA</w:t>
      </w:r>
    </w:p>
    <w:p w14:paraId="5A8DEAE1" w14:textId="117895FA" w:rsidR="008D479B" w:rsidRDefault="008D479B" w:rsidP="008D479B">
      <w:pPr>
        <w:pStyle w:val="TextoNormalCentrado"/>
        <w:keepNext/>
      </w:pPr>
    </w:p>
    <w:p w14:paraId="6D752E08" w14:textId="77777777" w:rsidR="008D479B" w:rsidRDefault="008D479B" w:rsidP="008D479B">
      <w:pPr>
        <w:pStyle w:val="TextoNormal"/>
      </w:pPr>
      <w:r>
        <w:t>En el recurso de inconstitucionalidad núm. 3726-2023, interpuesto por el presidente del Gobierno contra los artículos 2, 3 y 4 del Decreto-ley de la Junta de Extremadura 5/2022, de 31 de agosto, por el que se establecen medidas urgentes necesarias en la regulación del aprovechamiento de recursos minerales de litio en Extremadura. Han comparecido y presentado alegaciones la Junta de Extremadura y la Asamblea de Extremadura. Ha sido ponente el magistrado don César Tolosa Tribiño.</w:t>
      </w:r>
    </w:p>
    <w:p w14:paraId="05BDA208" w14:textId="5E549216" w:rsidR="008D479B" w:rsidRDefault="008D479B" w:rsidP="008D479B">
      <w:pPr>
        <w:pStyle w:val="TextoNormal"/>
      </w:pPr>
    </w:p>
    <w:p w14:paraId="2C1A6F14" w14:textId="77777777" w:rsidR="008D479B" w:rsidRDefault="008D479B" w:rsidP="008D479B">
      <w:pPr>
        <w:pStyle w:val="TextoNormalNegritaCentrado"/>
        <w:keepNext/>
      </w:pPr>
      <w:r>
        <w:t>I. Antecedentes</w:t>
      </w:r>
    </w:p>
    <w:p w14:paraId="3DD7B185" w14:textId="16C203DA" w:rsidR="008D479B" w:rsidRDefault="008D479B" w:rsidP="008D479B">
      <w:pPr>
        <w:pStyle w:val="TextoNormalNegritaCentrado"/>
        <w:keepNext/>
      </w:pPr>
    </w:p>
    <w:p w14:paraId="37087748" w14:textId="77777777" w:rsidR="008D479B" w:rsidRDefault="008D479B" w:rsidP="008D479B">
      <w:pPr>
        <w:pStyle w:val="TextoNormal"/>
      </w:pPr>
      <w:r w:rsidRPr="008D479B">
        <w:rPr>
          <w:rStyle w:val="NumeroAFNegritaCaracter"/>
        </w:rPr>
        <w:t>1</w:t>
      </w:r>
      <w:r>
        <w:t>. Mediante escrito presentado en el registro de este tribunal el día 1 de junio de 2023, el abogado del Estado, en nombre del presidente del Gobierno, interpuso recurso de inconstitucionalidad frente a los artículos 2, 3 y 4 del Decreto-ley de la Junta de Extremadura 5/2022, de 31 de agosto, por el que se establecen medidas urgentes necesarias en la regulación del aprovechamiento de recursos minerales de litio en Extremadura.</w:t>
      </w:r>
    </w:p>
    <w:p w14:paraId="34BD9FD3" w14:textId="77777777" w:rsidR="008D479B" w:rsidRDefault="008D479B" w:rsidP="008D479B">
      <w:pPr>
        <w:pStyle w:val="TextoNormal"/>
      </w:pPr>
    </w:p>
    <w:p w14:paraId="1B952F36" w14:textId="77777777" w:rsidR="008D479B" w:rsidRDefault="008D479B" w:rsidP="008D479B">
      <w:pPr>
        <w:pStyle w:val="TextoNormal"/>
      </w:pPr>
      <w:r>
        <w:t>El abogado del Estado, tras reproducir los preceptos impugnados, expone los motivos de inconstitucionalidad del decreto-ley que se concretan en la vulneración del art. 149.1.25 CE en relación con el art. 73.1 de la Ley 22/1973, de 21 de julio, de minas.</w:t>
      </w:r>
    </w:p>
    <w:p w14:paraId="675B1072" w14:textId="77777777" w:rsidR="008D479B" w:rsidRDefault="008D479B" w:rsidP="008D479B">
      <w:pPr>
        <w:pStyle w:val="TextoNormal"/>
      </w:pPr>
    </w:p>
    <w:p w14:paraId="5CEBA561" w14:textId="77777777" w:rsidR="008D479B" w:rsidRDefault="008D479B" w:rsidP="008D479B">
      <w:pPr>
        <w:pStyle w:val="TextoNormal"/>
      </w:pPr>
      <w:r>
        <w:t>a) El recurrente parte de la consideración de que los recursos minerales, yacimientos y demás recursos geológicos, están comprendidos en el demanio “natural” y se han incorporado al dominio público estatal, por disposición de la ley del Estado (art. 132.2 CE). Al tratarse de categorías genéricas de bienes definidos según sus características naturales homogéneas —“géneros físicos enteros”— y al estar subordinada al interés general toda la riqueza del país (art. 128.1 CE y STC 227/1988, de 29 de noviembre, FJ 14), su incorporación al dominio público estatal corresponde en exclusiva al Estado mediante ley (art. 132.2 CE), potestad que se debe entender incluida en el concepto material de legislación civil (art. 149.1.8 CE) y también porque atañe a las condiciones básicas o posiciones jurídicas fundamentales de todos los españoles en el ejercicio de los derechos constitucionales respecto de los cuales el Estado debe garantizar la igualdad sustancial, mediante su propia regulación, de acuerdo con el art. 149.1.1 CE.</w:t>
      </w:r>
    </w:p>
    <w:p w14:paraId="10C34FD3" w14:textId="77777777" w:rsidR="008D479B" w:rsidRDefault="008D479B" w:rsidP="008D479B">
      <w:pPr>
        <w:pStyle w:val="TextoNormal"/>
      </w:pPr>
    </w:p>
    <w:p w14:paraId="6AC97DAB" w14:textId="77777777" w:rsidR="008D479B" w:rsidRDefault="008D479B" w:rsidP="008D479B">
      <w:pPr>
        <w:pStyle w:val="TextoNormal"/>
      </w:pPr>
      <w:r>
        <w:t>Considera que el art. 2.1 de la Ley 22/1973, de 21 de julio, de minas, atribuye el carácter de dominio público estatal a todos los yacimientos de origen natural y demás recursos geológicos, si bien ello “no predetermina las competencias que el Estado y las comunidades autónomas tienen atribuidas en relación con el mismo”, en tanto que la titularidad estatal del dominio público natural “no es en sí misma un criterio de delimitación competencial” (STC 227/1988, FFJJ 14 y 15).</w:t>
      </w:r>
    </w:p>
    <w:p w14:paraId="0BC01BFB" w14:textId="77777777" w:rsidR="008D479B" w:rsidRDefault="008D479B" w:rsidP="008D479B">
      <w:pPr>
        <w:pStyle w:val="TextoNormal"/>
      </w:pPr>
    </w:p>
    <w:p w14:paraId="4155204C" w14:textId="77777777" w:rsidR="008D479B" w:rsidRDefault="008D479B" w:rsidP="008D479B">
      <w:pPr>
        <w:pStyle w:val="TextoNormal"/>
      </w:pPr>
      <w:r>
        <w:t>b) Introduciéndose en el ámbito de la delimitación de competencias entre el Estado y las comunidades autónomas en materia de minas, el recurrente afirma que el Estado tiene competencia exclusiva constitucionalmente conferida de manera explícita, sobre las “[b]ases del régimen minero” (art. 149.1.25 CE), al tiempo que las comunidades autónomas han asumido estatutariamente competencias de “desarrollo normativo y ejecución” de tales bases. En el caso de Extremadura, esa asunción competencial se ha realizado en virtud del artículo 10.1.7 del Estatuto de Autonomía de Extremadura (en adelante, EAE).</w:t>
      </w:r>
    </w:p>
    <w:p w14:paraId="111CCEB1" w14:textId="77777777" w:rsidR="008D479B" w:rsidRDefault="008D479B" w:rsidP="008D479B">
      <w:pPr>
        <w:pStyle w:val="TextoNormal"/>
      </w:pPr>
    </w:p>
    <w:p w14:paraId="1AD7D07C" w14:textId="77777777" w:rsidR="008D479B" w:rsidRDefault="008D479B" w:rsidP="008D479B">
      <w:pPr>
        <w:pStyle w:val="TextoNormal"/>
      </w:pPr>
      <w:r>
        <w:t>El abogado el Estado identifica la base estatal en el art. 73.1 de la Ley 22/1973 cuando establece que: “Por causas de interés nacional, el Estado podrá obligar a los concesionarios a ampliar sus investigaciones o a realizar el aprovechamiento en la forma y medida que considere conveniente a dicho interés, pudiendo imponer incluso que el tratamiento y beneficio metalúrgico y mineralúrgico de los recursos minerales se realice en España, siguiendo a tal efecto las directrices de los planes nacionales de investigación minera y de revalorización de la minería. Con este fin, la administración facilitará oportunamente, en su caso, los medios necesarios en la forma que prevea el reglamento de esta Ley”.</w:t>
      </w:r>
    </w:p>
    <w:p w14:paraId="339D6DEE" w14:textId="77777777" w:rsidR="008D479B" w:rsidRDefault="008D479B" w:rsidP="008D479B">
      <w:pPr>
        <w:pStyle w:val="TextoNormal"/>
      </w:pPr>
    </w:p>
    <w:p w14:paraId="79E313A1" w14:textId="77777777" w:rsidR="008D479B" w:rsidRDefault="008D479B" w:rsidP="008D479B">
      <w:pPr>
        <w:pStyle w:val="TextoNormal"/>
      </w:pPr>
      <w:r>
        <w:t>Afirma que, al tratarse de una ley anterior a la promulgación de la Constitución, no es posible que haga declaración del carácter básico en sentido formal del precepto, pero ello no es obstáculo para que pueda ser portadora de bases en sentido constitucional (SSTC 1/1981, de 26 de enero; 32/1981, de 28 de julio, y 137/2013, de 6 de junio). Su carácter básico resulta de establecer “una regulación uniforme” con vocación de “vigencia en toda la Nación”, que además proporciona “un común denominador normativo que asegur[a] los intereses generales superiores a los de cada comunidad autónoma”. Del art. 73.1 de la Ley 22/1973, resulta que las restricciones se adoptan sobre la base de la existencia de un interés general, nacional, de todo el país, no bastando un interés regional o local, aunque la explotación abarque solo una parte del territorio. Ello resulta de la importancia de los recursos minerales en el ámbito de la economía nacional, su carácter estratégico, su trascendencia y su proyección a todo el territorio nacional.</w:t>
      </w:r>
    </w:p>
    <w:p w14:paraId="7EB50EA1" w14:textId="77777777" w:rsidR="008D479B" w:rsidRDefault="008D479B" w:rsidP="008D479B">
      <w:pPr>
        <w:pStyle w:val="TextoNormal"/>
      </w:pPr>
    </w:p>
    <w:p w14:paraId="6FE966B7" w14:textId="77777777" w:rsidR="008D479B" w:rsidRDefault="008D479B" w:rsidP="008D479B">
      <w:pPr>
        <w:pStyle w:val="TextoNormal"/>
      </w:pPr>
      <w:r>
        <w:t>Añade que el art. 95.1 del Reglamento general para el régimen de la minería, aprobado por el Real Decreto 2857/1978, de 25 de agosto —referido expresamente al propio tenor literal del art. 73.1 de la Ley 22/1973—, dispone que “por causas de interés nacional, el Estado podrá obligar al titular de una concesión a: […] d) Imponer que el tratamiento o beneficio metalúrgico de los minerales obtenidos se realice en España”.</w:t>
      </w:r>
    </w:p>
    <w:p w14:paraId="3ED27B53" w14:textId="77777777" w:rsidR="008D479B" w:rsidRDefault="008D479B" w:rsidP="008D479B">
      <w:pPr>
        <w:pStyle w:val="TextoNormal"/>
      </w:pPr>
    </w:p>
    <w:p w14:paraId="08365269" w14:textId="77777777" w:rsidR="008D479B" w:rsidRDefault="008D479B" w:rsidP="008D479B">
      <w:pPr>
        <w:pStyle w:val="TextoNormal"/>
      </w:pPr>
      <w:r>
        <w:t>Expuesto lo anterior, el abogado del Estado aprecia una contradicción entre el art. 73.1 de la Ley 22/1973 y los preceptos impugnados, pues el art. 73.1 de la Ley 22/1973, no otorga un poder ocasional de decisión sobre una eventual restricción territorial en el aprovechamiento a favor de las comunidades autónomas, ni ampara la asunción del ejercicio de potestades que la Ley de minas otorga al Estado, indisociables e inescindibles de la titularidad estatal del dominio público minero. La facultad de delimitar el destino de la riqueza de interés general derivada del dominio público natural se atribuye al Estado en tanto que titular de los bienes del demanio minero.</w:t>
      </w:r>
    </w:p>
    <w:p w14:paraId="6A6DC00C" w14:textId="77777777" w:rsidR="008D479B" w:rsidRDefault="008D479B" w:rsidP="008D479B">
      <w:pPr>
        <w:pStyle w:val="TextoNormal"/>
      </w:pPr>
    </w:p>
    <w:p w14:paraId="51256231" w14:textId="77777777" w:rsidR="008D479B" w:rsidRDefault="008D479B" w:rsidP="008D479B">
      <w:pPr>
        <w:pStyle w:val="TextoNormal"/>
      </w:pPr>
      <w:r>
        <w:t>Las comunidades autónomas no pueden ser titulares del derecho a utilizar exclusivamente los bienes del dominio público minero, pues dicha potestad corresponde, por atribución legal, únicamente al Estado, como titular del demanio. En tal sentido, una potestad hipotética de delimitación territorial conllevaría una restricción de la explotación correspondiente respecto del restante territorio estatal. En conclusión, los artículos objeto de impugnación contravienen el art. 73 de la Ley 22/1973 y en consecuencia incurren en inconstitucionalidad mediata respecto del art. 149.1.25 CE.</w:t>
      </w:r>
    </w:p>
    <w:p w14:paraId="60552EA7" w14:textId="77777777" w:rsidR="008D479B" w:rsidRDefault="008D479B" w:rsidP="008D479B">
      <w:pPr>
        <w:pStyle w:val="TextoNormal"/>
      </w:pPr>
    </w:p>
    <w:p w14:paraId="15F6915C" w14:textId="77777777" w:rsidR="008D479B" w:rsidRDefault="008D479B" w:rsidP="008D479B">
      <w:pPr>
        <w:pStyle w:val="TextoNormal"/>
      </w:pPr>
      <w:r>
        <w:t>El recurrente añade que en los reales decretos de transferencias se pueden obtener criterios interpretativos cualificados. De los Reales Decretos 2579/1982, de 24 de julio, y 1136/1984, de 29 de febrero, sobre transferencia de competencias, se deduce claramente que el dominio público natural minero —así como su riqueza y yacimientos— sigue perteneciendo al Estado en toda su extensión, no habilitándose a la comunidad autónoma a dividirlo o a imponer limitaciones de orden territorial con exclusión del resto del territorio español.</w:t>
      </w:r>
    </w:p>
    <w:p w14:paraId="5CE31FCC" w14:textId="77777777" w:rsidR="008D479B" w:rsidRDefault="008D479B" w:rsidP="008D479B">
      <w:pPr>
        <w:pStyle w:val="TextoNormal"/>
      </w:pPr>
    </w:p>
    <w:p w14:paraId="2B7C8BA6" w14:textId="4A4312F1" w:rsidR="008D479B" w:rsidRDefault="008D479B" w:rsidP="008D479B">
      <w:pPr>
        <w:pStyle w:val="TextoNormal"/>
      </w:pPr>
      <w:r>
        <w:t>Finalmente, en el recurso se solicita que se declaren inconstitucionales y nulos los preceptos impugnados y se invoca el art. 161.2 CE en relación con el art. 30 de la Ley Orgánica del Tribunal Constitucional (en adelante, LOTC) que establece que la interposición del recurso de inconstitucionalidad producirá la suspensión de la vigencia de los correspondientes preceptos del Decreto-ley objeto de impugnación.</w:t>
      </w:r>
    </w:p>
    <w:p w14:paraId="00747729" w14:textId="77777777" w:rsidR="008D479B" w:rsidRDefault="008D479B" w:rsidP="008D479B">
      <w:pPr>
        <w:pStyle w:val="TextoNormal"/>
      </w:pPr>
    </w:p>
    <w:p w14:paraId="5DCE6F7E" w14:textId="1AC16E90" w:rsidR="008D479B" w:rsidRDefault="008D479B" w:rsidP="008D479B">
      <w:pPr>
        <w:pStyle w:val="TextoNormal"/>
      </w:pPr>
      <w:r w:rsidRPr="008D479B">
        <w:rPr>
          <w:rStyle w:val="NumeroAFNegritaCaracter"/>
        </w:rPr>
        <w:t>2</w:t>
      </w:r>
      <w:r>
        <w:t>. El Pleno del Tribunal, mediante providencia de 20 de junio de 2023, acordó admitir a trámite el recurso de inconstitucionalidad interpuesto y dar traslado de la demanda y los documentos presentados, conforme establece el art. 34 LOTC, al Congreso de los Diputados, al Senado, al Gobierno y a la Asamblea de Extremadura, por conducto de sus presidentes, al objeto de que en el plazo de quince días pudieran personarse en el proceso y formular las alegaciones que estimaran pertinentes. Se acordó, asimismo, tener por invocado por el presidente del Gobierno el art. 161.2 CE, lo que, a su tenor y conforme dispone el art. 30 LOTC, produjo la suspensión de la vigencia y aplicación de los preceptos impugnados desde la fecha de interposición del recurso para las partes del proceso y desde el día en que apareció publicada la suspensión en el “Boletín Oficial del Estado” para los terceros. Finalmente, se ordenó publicar la incoación del recurso en el “Boletín Oficial del Estado” y en el “Diario Oficial de Extremadura”.</w:t>
      </w:r>
    </w:p>
    <w:p w14:paraId="731DF36F" w14:textId="77777777" w:rsidR="008D479B" w:rsidRDefault="008D479B" w:rsidP="008D479B">
      <w:pPr>
        <w:pStyle w:val="TextoNormal"/>
      </w:pPr>
    </w:p>
    <w:p w14:paraId="267156A7" w14:textId="651604A8" w:rsidR="008D479B" w:rsidRDefault="008D479B" w:rsidP="008D479B">
      <w:pPr>
        <w:pStyle w:val="TextoNormal"/>
      </w:pPr>
      <w:r w:rsidRPr="008D479B">
        <w:rPr>
          <w:rStyle w:val="NumeroAFNegritaCaracter"/>
        </w:rPr>
        <w:t>3</w:t>
      </w:r>
      <w:r>
        <w:t>. Mediante escrito registrado el 27 de junio de 2023, el presidente del Senado puso en conocimiento del Tribunal el acuerdo de la mesa dando por personada a la Cámara y ofreciendo su colaboración a los efectos del art. 88.1 LOTC.</w:t>
      </w:r>
    </w:p>
    <w:p w14:paraId="38D1C6AB" w14:textId="77777777" w:rsidR="008D479B" w:rsidRDefault="008D479B" w:rsidP="008D479B">
      <w:pPr>
        <w:pStyle w:val="TextoNormal"/>
      </w:pPr>
    </w:p>
    <w:p w14:paraId="630AC199" w14:textId="77777777" w:rsidR="008D479B" w:rsidRDefault="008D479B" w:rsidP="008D479B">
      <w:pPr>
        <w:pStyle w:val="TextoNormal"/>
      </w:pPr>
      <w:r w:rsidRPr="008D479B">
        <w:rPr>
          <w:rStyle w:val="NumeroAFNegritaCaracter"/>
        </w:rPr>
        <w:t>4</w:t>
      </w:r>
      <w:r>
        <w:t>. Por escrito registrado en este tribunal el día 12 julio de 2023 el letrado de la Junta de Extremadura solicitó que se le tuviera por personado en el procedimiento, designó, a los efectos de recibir notificaciones, a la procuradora de los tribunales doña Aurora Gómez-Villaboa y Madrí, e interesó que se desestimara el recurso de inconstitucionalidad.</w:t>
      </w:r>
    </w:p>
    <w:p w14:paraId="7BE7DA22" w14:textId="77777777" w:rsidR="008D479B" w:rsidRDefault="008D479B" w:rsidP="008D479B">
      <w:pPr>
        <w:pStyle w:val="TextoNormal"/>
      </w:pPr>
    </w:p>
    <w:p w14:paraId="73E3D69F" w14:textId="77777777" w:rsidR="008D479B" w:rsidRDefault="008D479B" w:rsidP="008D479B">
      <w:pPr>
        <w:pStyle w:val="TextoNormal"/>
      </w:pPr>
      <w:r>
        <w:t>El letrado de la Junta de Extremadura sostiene que el recurso de inconstitucionalidad no hace mención alguna a las posibles tachas de inconstitucionalidad de los arts. 3 y 4 del Decreto-ley 5/2022, por lo que se ve privado del conocimiento de los argumentos sobre la inconstitucionalidad de tales preceptos y sobre si dicha inconstitucionalidad afecta a todos o alguno de los párrafos de los mismos, por lo que el Tribunal debe dejarlos al margen del presente recurso.</w:t>
      </w:r>
    </w:p>
    <w:p w14:paraId="47B21159" w14:textId="77777777" w:rsidR="008D479B" w:rsidRDefault="008D479B" w:rsidP="008D479B">
      <w:pPr>
        <w:pStyle w:val="TextoNormal"/>
      </w:pPr>
    </w:p>
    <w:p w14:paraId="66117767" w14:textId="77777777" w:rsidR="008D479B" w:rsidRDefault="008D479B" w:rsidP="008D479B">
      <w:pPr>
        <w:pStyle w:val="TextoNormal"/>
      </w:pPr>
      <w:r>
        <w:t>Refiere, aceptando en este punto lo expresado en el recurso de inconstitucionalidad y apoyándose en la cita de diversas sentencias de este tribunal, que la titularidad del demanio minero no otorga competencias al Estado, por lo que concurren sobre la materia competencias del Estado y de las comunidades autónomas en materia de minas. Ahora bien, discrepa del alcance que a esas competencias atribuye el recurrente.</w:t>
      </w:r>
    </w:p>
    <w:p w14:paraId="7C45814C" w14:textId="77777777" w:rsidR="008D479B" w:rsidRDefault="008D479B" w:rsidP="008D479B">
      <w:pPr>
        <w:pStyle w:val="TextoNormal"/>
      </w:pPr>
    </w:p>
    <w:p w14:paraId="6F80D2CE" w14:textId="77777777" w:rsidR="008D479B" w:rsidRDefault="008D479B" w:rsidP="008D479B">
      <w:pPr>
        <w:pStyle w:val="TextoNormal"/>
      </w:pPr>
      <w:r>
        <w:t>Recuerda que el art. 149.1.25 CE atribuye al Estado competencias exclusivas en materia de “bases de régimen minero y energético”; su correlato en la comunidad autónoma de Extremadura es el art. 10.1.7 EAE, que atribuye a dicha comunidad autónoma competencias de desarrollo normativo y ejecución en materia de régimen minero.</w:t>
      </w:r>
    </w:p>
    <w:p w14:paraId="4EFCFC59" w14:textId="77777777" w:rsidR="008D479B" w:rsidRDefault="008D479B" w:rsidP="008D479B">
      <w:pPr>
        <w:pStyle w:val="TextoNormal"/>
      </w:pPr>
    </w:p>
    <w:p w14:paraId="1DCA3711" w14:textId="77777777" w:rsidR="008D479B" w:rsidRDefault="008D479B" w:rsidP="008D479B">
      <w:pPr>
        <w:pStyle w:val="TextoNormal"/>
      </w:pPr>
      <w:r>
        <w:t xml:space="preserve">La Junta de Extremadura sostiene que no existe declaración formal del ámbito de lo básico en la Ley de minas de 1973 y que no se puede definir el ámbito material de la competencia básica por omisión. En este sentido, cuestiona la interpretación que el recurso efectúa del art. 73.1 de la Ley 22/1973, al entender que no cabe inferir el carácter básico de dicho precepto de que el mismo no fuera modificado y se mantuviera inalterado tras la Constitución. Afirma que las SSTC 69/1988, de 19 de abril, FJ 6, y 37/2002, de 14 de febrero, FJ 9 (que son parcialmente reproducidas), anunciaron una aplicación más rigurosa y temporalmente limitada del elemento formal de bases en las leyes preconstitucionales. Resulta injustificable, afirma, que se pretenda sin apoyo alguno entender </w:t>
      </w:r>
      <w:r w:rsidRPr="008D479B">
        <w:rPr>
          <w:i/>
        </w:rPr>
        <w:t>prima facie</w:t>
      </w:r>
      <w:r>
        <w:t xml:space="preserve"> y obviando el reparto competencial establecido, el carácter básico del artículo 73.1 de la Ley de minas, al haberse modificado la Ley de minas en seis ocasiones en otros tantos años, sin que se haya fijado el contenido básico de la norma en cualquiera de esas modificaciones. Concluye con el argumento de que la parte que ha ocasionado la inseguridad jurídica no puede verse favorecida por ella.</w:t>
      </w:r>
    </w:p>
    <w:p w14:paraId="6F3B12DB" w14:textId="77777777" w:rsidR="008D479B" w:rsidRDefault="008D479B" w:rsidP="008D479B">
      <w:pPr>
        <w:pStyle w:val="TextoNormal"/>
      </w:pPr>
    </w:p>
    <w:p w14:paraId="7E0D9C62" w14:textId="77777777" w:rsidR="008D479B" w:rsidRDefault="008D479B" w:rsidP="008D479B">
      <w:pPr>
        <w:pStyle w:val="TextoNormal"/>
      </w:pPr>
      <w:r>
        <w:t>La Junta de Extremadura continúa su argumentación sosteniendo que el reparto de competencias entre el Estado y la Comunidad Autónoma de Extremadura en materia de minas (bases-desarrollo legislativo y ejecución), permite y ampara la normativa extremeña cuestionada. Se refiere a los arts. 13.2 y 3, 10.1.7 y 73.1 EAE e indica que la invalidez de un precepto estatutario solo puede derivarse de la Constitución misma (STC 247/2007, de 12 de diciembre). Reitera que las bases no aparecen delimitadas por el Estado, pues a la Ley de minas no se le puede atribuir la determinación de las bases de una materia cuando desconocía el orden competencial constitucional.</w:t>
      </w:r>
    </w:p>
    <w:p w14:paraId="7AF2A9DA" w14:textId="77777777" w:rsidR="008D479B" w:rsidRDefault="008D479B" w:rsidP="008D479B">
      <w:pPr>
        <w:pStyle w:val="TextoNormal"/>
      </w:pPr>
    </w:p>
    <w:p w14:paraId="7C80B475" w14:textId="77777777" w:rsidR="008D479B" w:rsidRDefault="008D479B" w:rsidP="008D479B">
      <w:pPr>
        <w:pStyle w:val="TextoNormal"/>
      </w:pPr>
      <w:r>
        <w:t>Con cita del Real Decreto 1136/1984, de 29 de febrero, sobre valoración definitiva y ampliación de funciones y medios adscritos a los servicios traspasados y adaptación de los transferidos en fase preautonómica a la Comunidad Autónoma de Extremadura en materia de industria, energía y minas, sostiene que es dicha comunidad autónoma la competente no solo para otorgar las concesiones mineras, sino para someterlas a condiciones de ejercicio y, en su caso, para revocarlas o declararlas caducadas si se incumplen dichas condiciones.</w:t>
      </w:r>
    </w:p>
    <w:p w14:paraId="0E0A9CD2" w14:textId="77777777" w:rsidR="008D479B" w:rsidRDefault="008D479B" w:rsidP="008D479B">
      <w:pPr>
        <w:pStyle w:val="TextoNormal"/>
      </w:pPr>
    </w:p>
    <w:p w14:paraId="2100BAEA" w14:textId="77777777" w:rsidR="008D479B" w:rsidRDefault="008D479B" w:rsidP="008D479B">
      <w:pPr>
        <w:pStyle w:val="TextoNormal"/>
      </w:pPr>
      <w:r>
        <w:t>La Junta de Extremadura argumenta que la interpretación preconstitucional y literal del artículo 73.1 de la Ley de minas de 1973 que propugna el recurrente vulnera el reparto de competencias señalado anteriormente y resulta inconstitucional. Considera que el recurrente identifica en dicho precepto un pretendido interés nacional confundiéndolo con el interés estatal, cuando el precepto utiliza la expresión interés nacional como interés general o interés público. Por otra parte, la mención que se efectúa en dicho precepto al Estado se debe entender con referencia al actual Estado autonómico, por lo que la competencia para obligar al concesionario corresponderá a la administración que tenga atribuida la competencia.</w:t>
      </w:r>
    </w:p>
    <w:p w14:paraId="4B224878" w14:textId="77777777" w:rsidR="008D479B" w:rsidRDefault="008D479B" w:rsidP="008D479B">
      <w:pPr>
        <w:pStyle w:val="TextoNormal"/>
      </w:pPr>
    </w:p>
    <w:p w14:paraId="63C76162" w14:textId="77777777" w:rsidR="008D479B" w:rsidRDefault="008D479B" w:rsidP="008D479B">
      <w:pPr>
        <w:pStyle w:val="TextoNormal"/>
      </w:pPr>
      <w:r>
        <w:t>En tal sentido, afirma que la exigencia de una condición a dicha concesión, como es la necesidad de realizar el tratamiento minero metalúrgico en la propia región, amparándose y justificándolo en el interés público derivado de la necesidad de retener la riqueza en la región, de favorecer las zonas rurales y despobladas y de minimizar el impacto ambiental que supondría el transporte del mineral en bruto, está plenamente justificada y supera el test de razonabilidad propuesto por el Tribunal Constitucional.</w:t>
      </w:r>
    </w:p>
    <w:p w14:paraId="77684302" w14:textId="77777777" w:rsidR="008D479B" w:rsidRDefault="008D479B" w:rsidP="008D479B">
      <w:pPr>
        <w:pStyle w:val="TextoNormal"/>
      </w:pPr>
    </w:p>
    <w:p w14:paraId="4DEC029E" w14:textId="77777777" w:rsidR="008D479B" w:rsidRDefault="008D479B" w:rsidP="008D479B">
      <w:pPr>
        <w:pStyle w:val="TextoNormal"/>
      </w:pPr>
      <w:r>
        <w:t>Descarta que la norma pueda introducir discriminación en relación con otras comunidades autónomas, pues la transformación minero-metalúrgica, que es una operación minera más, debe hacerse, por las razones de interés público anteriores, en la proximidad de la mina.</w:t>
      </w:r>
    </w:p>
    <w:p w14:paraId="4E26A795" w14:textId="77777777" w:rsidR="008D479B" w:rsidRDefault="008D479B" w:rsidP="008D479B">
      <w:pPr>
        <w:pStyle w:val="TextoNormal"/>
      </w:pPr>
    </w:p>
    <w:p w14:paraId="60274687" w14:textId="3995B77E" w:rsidR="008D479B" w:rsidRDefault="008D479B" w:rsidP="008D479B">
      <w:pPr>
        <w:pStyle w:val="TextoNormal"/>
      </w:pPr>
      <w:r>
        <w:t>Finaliza sus alegaciones argumentando que “con la interpretación que hace el recurrente del artículo 73 de la Ley de minas, lo que sucede es precisamente eso: que Extremadura se queda con las externalidades negativas de la actividad minera (impacto ambiental, paisajístico, de salud, de seguridad, etc.) sin poder percibir ningún beneficio de ello, sin siquiera garantizarse que la primera transformación del mineral en bruto se realice a bocamina, en la propia región”.</w:t>
      </w:r>
    </w:p>
    <w:p w14:paraId="729F1C02" w14:textId="77777777" w:rsidR="008D479B" w:rsidRDefault="008D479B" w:rsidP="008D479B">
      <w:pPr>
        <w:pStyle w:val="TextoNormal"/>
      </w:pPr>
    </w:p>
    <w:p w14:paraId="68281930" w14:textId="77777777" w:rsidR="008D479B" w:rsidRDefault="008D479B" w:rsidP="008D479B">
      <w:pPr>
        <w:pStyle w:val="TextoNormal"/>
      </w:pPr>
      <w:r w:rsidRPr="008D479B">
        <w:rPr>
          <w:rStyle w:val="NumeroAFNegritaCaracter"/>
        </w:rPr>
        <w:t>5</w:t>
      </w:r>
      <w:r>
        <w:t>. Mediante escrito registrado el 18 de julio de 2023 la Asamblea de Extremadura solicitó que se la tuviera por personada y parte en el recurso de inconstitucionalidad y solicitó que se dictara sentencia desestimando el mismo.</w:t>
      </w:r>
    </w:p>
    <w:p w14:paraId="74FD696F" w14:textId="77777777" w:rsidR="008D479B" w:rsidRDefault="008D479B" w:rsidP="008D479B">
      <w:pPr>
        <w:pStyle w:val="TextoNormal"/>
      </w:pPr>
    </w:p>
    <w:p w14:paraId="1DD33CD2" w14:textId="77777777" w:rsidR="008D479B" w:rsidRDefault="008D479B" w:rsidP="008D479B">
      <w:pPr>
        <w:pStyle w:val="TextoNormal"/>
      </w:pPr>
      <w:r>
        <w:t>Expone la tramitación parlamentaria del Decreto-ley impugnado y se detiene en el contenido de la exposición de motivos del mismo en la que se fundamenta jurídicamente la adecuación de la norma al ordenamiento jurídico. Alude al carácter preconstitucional de la Ley de minas. Considera que una interpretación a la luz del texto constitucional comporta que la habilitación conferida al Gobierno para imponer obligaciones al titular de una concesión, puede ser ejercida por la comunidad autónoma en desarrollo de su interés general propio y respectivo y en el ejercicio de su competencia de desarrollo normativo y ejecución en materia de régimen minero y energético, así como del resto de títulos competenciales que el Decreto-ley autonómico enumera y que fundamentan la oposición a la interpretación de inconstitucionalidad dada de contrario.</w:t>
      </w:r>
    </w:p>
    <w:p w14:paraId="2B1707DE" w14:textId="77777777" w:rsidR="008D479B" w:rsidRDefault="008D479B" w:rsidP="008D479B">
      <w:pPr>
        <w:pStyle w:val="TextoNormal"/>
      </w:pPr>
    </w:p>
    <w:p w14:paraId="735F5F8E" w14:textId="77777777" w:rsidR="008D479B" w:rsidRDefault="008D479B" w:rsidP="008D479B">
      <w:pPr>
        <w:pStyle w:val="TextoNormal"/>
      </w:pPr>
      <w:r>
        <w:t>Sostiene la constitucionalidad de la norma en la atribución competencial que la propia norma impugnada explicita y que resulta del art. 10.1.7 EAE, confluyendo igualmente la competencia exclusiva de la comunidad autónoma derivada del art. 9.1.7 EAE, a los que añade, debido al carácter transversal de la competencia, las competencias exclusivas que el mismo Estatuto prevé en los apartados 1, 15, 16, 31, 32, 34, 37, 38 y 39 del art. 9.1, en las competencia de desarrollo normativo y ejecución previstas en el art. 10.2 EAE y en las de ejecución del art. 11.7 EAE. arts. 13.2 y 3, 10.1.7 y 73.1.</w:t>
      </w:r>
    </w:p>
    <w:p w14:paraId="6B6FED19" w14:textId="77777777" w:rsidR="008D479B" w:rsidRDefault="008D479B" w:rsidP="008D479B">
      <w:pPr>
        <w:pStyle w:val="TextoNormal"/>
      </w:pPr>
    </w:p>
    <w:p w14:paraId="613F5B4B" w14:textId="77777777" w:rsidR="008D479B" w:rsidRDefault="008D479B" w:rsidP="008D479B">
      <w:pPr>
        <w:pStyle w:val="TextoNormal"/>
      </w:pPr>
      <w:r>
        <w:t>Trae a colación en apoyo de su posición desestimatoria del recurso de inconstitucionalidad la STC 33/2016, de 18 de febrero, que rechazó la inconstitucionalidad del art. 84 de la Ley del Parlamento de Galicia 12/2014, de 22 de diciembre, y el recurso de inconstitucionalidad formulado por el presidente del Gobierno en relación con el Decreto-ley de la Junta de Andalucía 9/2013, de 17 de diciembre, por el que se articulan los procedimientos necesarios para la reapertura de la mina de Aznalcóllar, que fue retirado al alcanzarse un acuerdo entre el Estado y la comunidad autónoma.</w:t>
      </w:r>
    </w:p>
    <w:p w14:paraId="0FCE21A3" w14:textId="77777777" w:rsidR="008D479B" w:rsidRDefault="008D479B" w:rsidP="008D479B">
      <w:pPr>
        <w:pStyle w:val="TextoNormal"/>
      </w:pPr>
    </w:p>
    <w:p w14:paraId="21DCEF6D" w14:textId="77777777" w:rsidR="008D479B" w:rsidRDefault="008D479B" w:rsidP="008D479B">
      <w:pPr>
        <w:pStyle w:val="TextoNormal"/>
      </w:pPr>
      <w:r>
        <w:t>Alude al anexo del Real Decreto 2579/1982, de 24 de julio, sobre transferencia de competencias, funciones y servicios de la administración del Estado a la Junta Regional de Extremadura en materia de industria y energía, que insertó el apartado 11 b) del acuerdo de la comisión mixta de transferencias, y también al Real Decreto 1136/1984, de 29 de febrero, sobre valoración definitiva y ampliación de funciones y medios adscritos a los servicios traspasados y adaptación de los transferidos en fase preautonómica a la Comunidad Autónoma de Extremadura en materia de industria, energía y minas. Entiende que está comprendido en este traspaso competencial a la Junta de Extremadura la responsabilidad del aprovechamiento y utilización de los bienes de dominio público minero, sin que los artículos 2, 3 y 4 del Decreto-ley objeto de recurso excedan de dicha responsabilidad.</w:t>
      </w:r>
    </w:p>
    <w:p w14:paraId="47D6D6D5" w14:textId="77777777" w:rsidR="008D479B" w:rsidRDefault="008D479B" w:rsidP="008D479B">
      <w:pPr>
        <w:pStyle w:val="TextoNormal"/>
      </w:pPr>
    </w:p>
    <w:p w14:paraId="3F681C5A" w14:textId="4E6DBF91" w:rsidR="008D479B" w:rsidRDefault="008D479B" w:rsidP="008D479B">
      <w:pPr>
        <w:pStyle w:val="TextoNormal"/>
      </w:pPr>
      <w:r>
        <w:t>Finalmente, indica que los informes aportados por la Junta de Extremadura para la tramitación parlamentaria, a cuyo contenido se refiere, fundamentan y justifican la adecuación de la norma a la Constitución y al ordenamiento jurídico en materia de minas.</w:t>
      </w:r>
    </w:p>
    <w:p w14:paraId="32C820C8" w14:textId="77777777" w:rsidR="008D479B" w:rsidRDefault="008D479B" w:rsidP="008D479B">
      <w:pPr>
        <w:pStyle w:val="TextoNormal"/>
      </w:pPr>
    </w:p>
    <w:p w14:paraId="5419BE1E" w14:textId="50837900" w:rsidR="008D479B" w:rsidRDefault="008D479B" w:rsidP="008D479B">
      <w:pPr>
        <w:pStyle w:val="TextoNormal"/>
      </w:pPr>
      <w:r w:rsidRPr="008D479B">
        <w:rPr>
          <w:rStyle w:val="NumeroAFNegritaCaracter"/>
        </w:rPr>
        <w:t>6</w:t>
      </w:r>
      <w:r>
        <w:t>. Por diligencia de ordenación del secretario del Pleno de 11 de septiembre de 2023, se concedió el plazo de cinco días a las partes personadas para que expusieran lo que considerasen conveniente acerca del mantenimiento o levantamiento de la suspensión del Decreto-ley impugnado.</w:t>
      </w:r>
    </w:p>
    <w:p w14:paraId="6906B876" w14:textId="77777777" w:rsidR="008D479B" w:rsidRDefault="008D479B" w:rsidP="008D479B">
      <w:pPr>
        <w:pStyle w:val="TextoNormal"/>
      </w:pPr>
    </w:p>
    <w:p w14:paraId="33767B71" w14:textId="636A6D66" w:rsidR="008D479B" w:rsidRDefault="008D479B" w:rsidP="008D479B">
      <w:pPr>
        <w:pStyle w:val="TextoNormal"/>
      </w:pPr>
      <w:r w:rsidRPr="008D479B">
        <w:rPr>
          <w:rStyle w:val="NumeroAFNegritaCaracter"/>
        </w:rPr>
        <w:t>7</w:t>
      </w:r>
      <w:r>
        <w:t>. Mediante providencia de 26 de septiembre de 2023, se señaló para deliberación y votación de la presente sentencia el día 27 del mismo mes y año.</w:t>
      </w:r>
    </w:p>
    <w:p w14:paraId="178A1A33" w14:textId="77777777" w:rsidR="008D479B" w:rsidRDefault="008D479B" w:rsidP="008D479B">
      <w:pPr>
        <w:pStyle w:val="TextoNormal"/>
      </w:pPr>
    </w:p>
    <w:p w14:paraId="0CBCE7E4" w14:textId="77777777" w:rsidR="008D479B" w:rsidRDefault="008D479B" w:rsidP="008D479B">
      <w:pPr>
        <w:pStyle w:val="TextoNormalNegritaCentrado"/>
        <w:keepNext/>
      </w:pPr>
      <w:r>
        <w:t>II. Fundamentos jurídicos</w:t>
      </w:r>
    </w:p>
    <w:p w14:paraId="4F07242E" w14:textId="6003CC2E" w:rsidR="008D479B" w:rsidRDefault="008D479B" w:rsidP="008D479B">
      <w:pPr>
        <w:pStyle w:val="TextoNormalNegritaCentrado"/>
        <w:keepNext/>
      </w:pPr>
    </w:p>
    <w:p w14:paraId="57858B82" w14:textId="77777777" w:rsidR="008D479B" w:rsidRDefault="008D479B" w:rsidP="008D479B">
      <w:pPr>
        <w:pStyle w:val="TextoNormal"/>
      </w:pPr>
      <w:r w:rsidRPr="008D479B">
        <w:rPr>
          <w:rStyle w:val="NumeroAFNegritaCaracter"/>
        </w:rPr>
        <w:t>1</w:t>
      </w:r>
      <w:r>
        <w:t xml:space="preserve">. </w:t>
      </w:r>
      <w:r w:rsidRPr="008D479B">
        <w:rPr>
          <w:i/>
        </w:rPr>
        <w:t>Objeto del recurso de inconstitucionalidad</w:t>
      </w:r>
    </w:p>
    <w:p w14:paraId="47D3F71D" w14:textId="77777777" w:rsidR="008D479B" w:rsidRDefault="008D479B" w:rsidP="008D479B">
      <w:pPr>
        <w:pStyle w:val="TextoNormal"/>
      </w:pPr>
    </w:p>
    <w:p w14:paraId="436F1B34" w14:textId="77777777" w:rsidR="008D479B" w:rsidRDefault="008D479B" w:rsidP="008D479B">
      <w:pPr>
        <w:pStyle w:val="TextoNormal"/>
      </w:pPr>
      <w:r>
        <w:t>a) El presidente del Gobierno interpone el presente recurso de inconstitucionalidad contra los artículos 2, 3 y 4 del Decreto-ley 5/2022, de 31 de agosto, de la Junta de Extremadura, por el que se establecen medidas urgentes necesarias en la regulación del aprovechamiento de recursos minerales de litio en Extremadura, por considerar que vulneran la competencia del Estado en materia de bases del régimen minero y energético (art. 149.1.25 CE).</w:t>
      </w:r>
    </w:p>
    <w:p w14:paraId="2081DABA" w14:textId="77777777" w:rsidR="008D479B" w:rsidRDefault="008D479B" w:rsidP="008D479B">
      <w:pPr>
        <w:pStyle w:val="TextoNormal"/>
      </w:pPr>
    </w:p>
    <w:p w14:paraId="2DDF4470" w14:textId="77777777" w:rsidR="008D479B" w:rsidRDefault="008D479B" w:rsidP="008D479B">
      <w:pPr>
        <w:pStyle w:val="TextoNormal"/>
      </w:pPr>
      <w:r>
        <w:t>b) El contenido de los preceptos impugnados es el siguiente:</w:t>
      </w:r>
    </w:p>
    <w:p w14:paraId="6DB6CA23" w14:textId="77777777" w:rsidR="008D479B" w:rsidRDefault="008D479B" w:rsidP="008D479B">
      <w:pPr>
        <w:pStyle w:val="TextoNormal"/>
      </w:pPr>
    </w:p>
    <w:p w14:paraId="23BD4DB0" w14:textId="77777777" w:rsidR="008D479B" w:rsidRDefault="008D479B" w:rsidP="008D479B">
      <w:pPr>
        <w:pStyle w:val="TextoNormal"/>
      </w:pPr>
      <w:r>
        <w:t>El art. 2 condiciona el otorgamiento de cualquier concesión de explotación de los recursos minerales de litio en Extremadura al cumplimiento de la obligación de que el tratamiento y beneficio metalúrgico y mineralúrgico de los recursos de este mineral se realicen necesariamente en el territorio de la Comunidad Autónoma de Extremadura. El tratamiento y beneficio metalúrgico y mineralúrgico de los recursos minerales de litio comprende el conjunto de actividades necesarias para obtener hidróxido de litio, o un compuesto útil de litio similar, siendo una de sus principales aplicaciones, entre otras, la fabricación de baterías. Asimismo, se establece que mediante acuerdo de Consejo de Gobierno se concretarán los términos de dicha obligación y se adoptarán las medidas oportunas que hagan viable el cumplimiento de esta obligación. Y, por último, se regula en este precepto el procedimiento de aceptación por la interesada, siendo la no aceptación motivo de denegación de la concesión de explotación.</w:t>
      </w:r>
    </w:p>
    <w:p w14:paraId="0C0AD41F" w14:textId="77777777" w:rsidR="008D479B" w:rsidRDefault="008D479B" w:rsidP="008D479B">
      <w:pPr>
        <w:pStyle w:val="TextoNormal"/>
      </w:pPr>
    </w:p>
    <w:p w14:paraId="256DA650" w14:textId="77777777" w:rsidR="008D479B" w:rsidRDefault="008D479B" w:rsidP="008D479B">
      <w:pPr>
        <w:pStyle w:val="TextoNormal"/>
      </w:pPr>
      <w:r>
        <w:t>En el art. 3 se regulan las consecuencias del incumplimiento por la titular una vez obtenida la concesión de explotación. Así, se dispone que dicho incumplimiento será motivo de caducidad de las concesiones respectivas, y dará lugar, en su caso, a la expropiación de las instalaciones existentes; habilitándose a la Junta de Extremadura para convocar el correspondiente concurso público, según el artículo 57, punto 2, del Reglamento de la Ley de minas.</w:t>
      </w:r>
    </w:p>
    <w:p w14:paraId="4E5D401D" w14:textId="77777777" w:rsidR="008D479B" w:rsidRDefault="008D479B" w:rsidP="008D479B">
      <w:pPr>
        <w:pStyle w:val="TextoNormal"/>
      </w:pPr>
    </w:p>
    <w:p w14:paraId="116A130E" w14:textId="77777777" w:rsidR="008D479B" w:rsidRDefault="008D479B" w:rsidP="008D479B">
      <w:pPr>
        <w:pStyle w:val="TextoNormal"/>
      </w:pPr>
      <w:r>
        <w:t>Finalmente, el art. 4 refiere que la declaración de interés general realizada por el Decreto-ley conlleva la declaración de utilidad pública e interés social a los efectos expropiatorios de los derechos e intereses patrimoniales legítimos derivados, en su caso, de las concesiones de explotación de los recursos minerales de litio cuyos titulares incumplan la obligación de realizar el tratamiento y beneficio metalúrgico y mineralúrgico de los recursos de este mineral en el territorio de la Comunidad Autónoma de Extremadura.</w:t>
      </w:r>
    </w:p>
    <w:p w14:paraId="4BF4E328" w14:textId="77777777" w:rsidR="008D479B" w:rsidRDefault="008D479B" w:rsidP="008D479B">
      <w:pPr>
        <w:pStyle w:val="TextoNormal"/>
      </w:pPr>
    </w:p>
    <w:p w14:paraId="52B26E1D" w14:textId="77777777" w:rsidR="008D479B" w:rsidRDefault="008D479B" w:rsidP="008D479B">
      <w:pPr>
        <w:pStyle w:val="TextoNormal"/>
      </w:pPr>
      <w:r>
        <w:t>Del examen de los preceptos impugnados se advierte que es en el primer inciso del art. 2.1 del Decreto-ley en el que se vincula y condiciona el otorgamiento de cualquier concesión de la explotación de los recursos minerales de litio en Extremadura al cumplimiento de la obligación de tratamiento y beneficio metalúrgico y mineralúrgico de los recursos obtenidos de dicho mineral en el territorio de la Comunidad Autónoma de Extremadura, donde se encuentra el núcleo de la controversia constitucional. El resto de los apartados del art. 2, dedicados a definir qué se entiende por tratamiento y beneficio metalúrgico y mineralúrgico, y el modo en el que se concreta la referida obligación, así como los arts. 3 y 4, en los que se regulan las consecuencias del incumplimiento de dicha obligación, tienen carácter accesorio del precepto principal de modo que una eventual inconstitucionalidad del primero afectaría por conexión a los otros dos preceptos impugnados que quedarían vacíos de contenido y eficacia.</w:t>
      </w:r>
    </w:p>
    <w:p w14:paraId="3C61D687" w14:textId="77777777" w:rsidR="008D479B" w:rsidRDefault="008D479B" w:rsidP="008D479B">
      <w:pPr>
        <w:pStyle w:val="TextoNormal"/>
      </w:pPr>
    </w:p>
    <w:p w14:paraId="6E67367D" w14:textId="29902117" w:rsidR="008D479B" w:rsidRDefault="008D479B" w:rsidP="008D479B">
      <w:pPr>
        <w:pStyle w:val="TextoNormal"/>
      </w:pPr>
      <w:r>
        <w:t>c) La Asamblea y la Junta de Extremadura, como se ha expuesto, han presentado alegaciones defendiendo la conformidad con el orden constitucional de distribución de competencias de los preceptos impugnados.</w:t>
      </w:r>
    </w:p>
    <w:p w14:paraId="02C3AC61" w14:textId="77777777" w:rsidR="008D479B" w:rsidRDefault="008D479B" w:rsidP="008D479B">
      <w:pPr>
        <w:pStyle w:val="TextoNormal"/>
      </w:pPr>
    </w:p>
    <w:p w14:paraId="3905579F" w14:textId="77777777" w:rsidR="008D479B" w:rsidRDefault="008D479B" w:rsidP="008D479B">
      <w:pPr>
        <w:pStyle w:val="TextoNormal"/>
      </w:pPr>
      <w:r w:rsidRPr="008D479B">
        <w:rPr>
          <w:rStyle w:val="NumeroAFNegritaCaracter"/>
        </w:rPr>
        <w:t>2</w:t>
      </w:r>
      <w:r>
        <w:t xml:space="preserve">. </w:t>
      </w:r>
      <w:r w:rsidRPr="008D479B">
        <w:rPr>
          <w:i/>
        </w:rPr>
        <w:t>Calificación del problema constitucional planteado</w:t>
      </w:r>
    </w:p>
    <w:p w14:paraId="04A5DAC1" w14:textId="77777777" w:rsidR="008D479B" w:rsidRDefault="008D479B" w:rsidP="008D479B">
      <w:pPr>
        <w:pStyle w:val="TextoNormal"/>
      </w:pPr>
    </w:p>
    <w:p w14:paraId="49EEEEA5" w14:textId="77777777" w:rsidR="008D479B" w:rsidRDefault="008D479B" w:rsidP="008D479B">
      <w:pPr>
        <w:pStyle w:val="TextoNormal"/>
      </w:pPr>
      <w:r>
        <w:t>Se trata de un recurso de inconstitucionalidad de contenido competencial, tal y como han aceptado las partes en sus alegaciones. Estas coinciden en que el encuadramiento competencial de los preceptos impugnados es el del “régimen minero”.</w:t>
      </w:r>
    </w:p>
    <w:p w14:paraId="10764962" w14:textId="77777777" w:rsidR="008D479B" w:rsidRDefault="008D479B" w:rsidP="008D479B">
      <w:pPr>
        <w:pStyle w:val="TextoNormal"/>
      </w:pPr>
    </w:p>
    <w:p w14:paraId="53B1E8DB" w14:textId="77777777" w:rsidR="008D479B" w:rsidRDefault="008D479B" w:rsidP="008D479B">
      <w:pPr>
        <w:pStyle w:val="TextoNormal"/>
      </w:pPr>
      <w:r>
        <w:t>Ahora bien, la Asamblea de Extremadura, en sus alegaciones, ha relacionado una pluralidad heterogénea de títulos que, a su juicio, debido a su carácter fundamentalmente transversal, inciden en la materia, tales como los que atribuyen competencia exclusiva a la comunidad autónoma sobre las materias previstas en los apartados 1, 7, 15, 16, 31, 32, 34, 37, 38 y 39 del art. 9.1 EAE, o los que le reconocen competencia de desarrollo normativo y ejecución en materia de medio ambiente (art. 10.2 EAE) o únicamente de ejecución en materia de trabajo y relaciones laborales (art. 11.7 EAE).</w:t>
      </w:r>
    </w:p>
    <w:p w14:paraId="6B84C546" w14:textId="77777777" w:rsidR="008D479B" w:rsidRDefault="008D479B" w:rsidP="008D479B">
      <w:pPr>
        <w:pStyle w:val="TextoNormal"/>
      </w:pPr>
    </w:p>
    <w:p w14:paraId="6376BC25" w14:textId="77777777" w:rsidR="008D479B" w:rsidRDefault="008D479B" w:rsidP="008D479B">
      <w:pPr>
        <w:pStyle w:val="TextoNormal"/>
      </w:pPr>
      <w:r>
        <w:t>Asimismo, la Junta de Extremadura ha invocado incidentalmente el art. 13.2 y 3 EAE, que respectivamente atribuyen: en materias competencia de la comunidad autónoma el ejercicio de determinadas actividades; o la participación en el ejercicio de competencias estatales que condicionen las competencias autonómicas o que afecten a los recursos naturales o riquezas regionales; y el art. 73.1 EAE que establece el principio general de que toda la riqueza de la región, en sus distintas formas y cualquiera que sea su titularidad, está subordinada al interés general.</w:t>
      </w:r>
    </w:p>
    <w:p w14:paraId="351C970A" w14:textId="77777777" w:rsidR="008D479B" w:rsidRDefault="008D479B" w:rsidP="008D479B">
      <w:pPr>
        <w:pStyle w:val="TextoNormal"/>
      </w:pPr>
    </w:p>
    <w:p w14:paraId="4BD793A4" w14:textId="77777777" w:rsidR="008D479B" w:rsidRDefault="008D479B" w:rsidP="008D479B">
      <w:pPr>
        <w:pStyle w:val="TextoNormal"/>
      </w:pPr>
      <w:r>
        <w:t>Así planteada la problemática constitucional, en primer lugar, ante la pluralidad de títulos competenciales invocados, resulta necesario determinar con nitidez el encuadramiento de la cuestión controvertida —relativa al establecimiento de determinada obligación para que pueda otorgarse la concesión de explotación de los recursos minerales de litio en Extremadura y la regulación de las consecuencias del incumplimiento de tal condición— a efectos de poder precisar los títulos competenciales en concurso.</w:t>
      </w:r>
    </w:p>
    <w:p w14:paraId="6692FFB4" w14:textId="77777777" w:rsidR="008D479B" w:rsidRDefault="008D479B" w:rsidP="008D479B">
      <w:pPr>
        <w:pStyle w:val="TextoNormal"/>
      </w:pPr>
    </w:p>
    <w:p w14:paraId="3FA6F96E" w14:textId="77777777" w:rsidR="008D479B" w:rsidRDefault="008D479B" w:rsidP="008D479B">
      <w:pPr>
        <w:pStyle w:val="TextoNormal"/>
      </w:pPr>
      <w:r>
        <w:t>Para ello, es preciso recordar que si bien es clara la incidencia que los recursos mineros y su explotación tienen sobre otras materias, como indicamos en las SSTC 235/2015, de 5 de noviembre, FJ 3, y 260/2015, de 3 de diciembre, FJ 2, atendido el contenido de los preceptos cuestionados relativos a condicionar el otorgamiento de concesiones de explotación del litio a que el tratamiento y beneficio de los recursos que resulten del mismo se lleven a cabo en Extremadura, se encuadra con facilidad en el ámbito material del régimen minero, pues se trata de normas que condicionan la explotación de los minerales de los que se extrae el litio. En tal sentido, el otorgamiento de una concesión para la explotación de minerales y las causas de caducidad de la misma es una materia intrínsecamente propia del régimen minero, pues determina la posibilidad de extracción del mineral y de realización de todas las actividades previas a la actividad extractora, como por otra parte han aceptado en sus alegaciones la Junta y la Asamblea de Extremadura. Basta añadir que abunda en dicho encuadre la circunstancia de que la norma controvertida no persigue objetivos de protección medioambiental (STC 14/2004, de 13 de febrero, FJ 10), ni se justifica por la protección del medio ambiente.</w:t>
      </w:r>
    </w:p>
    <w:p w14:paraId="5315B209" w14:textId="77777777" w:rsidR="008D479B" w:rsidRDefault="008D479B" w:rsidP="008D479B">
      <w:pPr>
        <w:pStyle w:val="TextoNormal"/>
      </w:pPr>
    </w:p>
    <w:p w14:paraId="7B23F14E" w14:textId="77777777" w:rsidR="008D479B" w:rsidRDefault="008D479B" w:rsidP="008D479B">
      <w:pPr>
        <w:pStyle w:val="TextoNormal"/>
      </w:pPr>
      <w:r>
        <w:t>En esta materia de régimen minero, el Estado ostenta competencia exclusiva para dictar las “bases” (art. 149.1.25 CE). A su vez, todas las comunidades autónomas tienen atribuidas por sus respectivos estatutos de autonomía competencias de desarrollo legislativo y ejecución en esta materia. Así sucede en el caso de la Comunidad Autónoma de Extremadura, cuyo Estatuto le atribuye competencias de “desarrollo normativo y ejecución” en materia de “régimen minero y energético”, correspondiéndole a “la comunidad autónoma desarrollar, ejecutar y, en su caso, complementar la normativa del Estado, mediante la legislación propia de desarrollo, la potestad reglamentaria y la función ejecutiva” (art. 10.1.7 y 10.2 EAE).</w:t>
      </w:r>
    </w:p>
    <w:p w14:paraId="20B872FD" w14:textId="77777777" w:rsidR="008D479B" w:rsidRDefault="008D479B" w:rsidP="008D479B">
      <w:pPr>
        <w:pStyle w:val="TextoNormal"/>
      </w:pPr>
    </w:p>
    <w:p w14:paraId="1124BE57" w14:textId="77777777" w:rsidR="008D479B" w:rsidRDefault="008D479B" w:rsidP="008D479B">
      <w:pPr>
        <w:pStyle w:val="TextoNormal"/>
      </w:pPr>
      <w:r>
        <w:t>Ciertamente, y en esto también han manifestado su conformidad todas las partes, la pertenencia al dominio público estatal de “los yacimientos de origen natural y demás recursos geológicos existentes en el territorio nacional” (arts. 132.2 CE y 2.1 de la Ley de minas), a los que se proyecta el principio constitucional de subordinación al interés general de toda la riqueza del país en sus distintas formas, que proclama el art. 128 CE, “no es en sí misma un criterio de delimitación competencial” y, por lo mismo, en principio “no predetermina las competencias que el Estado y las comunidades autónomas tienen atribuidas en relación con el mismo” (STC 227/1988, de 29 de noviembre, FJ 14 y 15).</w:t>
      </w:r>
    </w:p>
    <w:p w14:paraId="1E5485C5" w14:textId="77777777" w:rsidR="008D479B" w:rsidRDefault="008D479B" w:rsidP="008D479B">
      <w:pPr>
        <w:pStyle w:val="TextoNormal"/>
      </w:pPr>
    </w:p>
    <w:p w14:paraId="1BA53B46" w14:textId="77777777" w:rsidR="008D479B" w:rsidRDefault="008D479B" w:rsidP="008D479B">
      <w:pPr>
        <w:pStyle w:val="TextoNormal"/>
      </w:pPr>
      <w:r>
        <w:t>Ahora bien, no está de más, a los efectos de enfocar la controversia constitucional, recordar que la afectación de un bien al dominio público “puede perseguir distintos fines: típicamente, asegurar el uso público y su distribución pública mediante concesión de los aprovechamientos privativos, permitir la prestación de un servicio público, fomentar la riqueza nacional (art. 339 del Código civil), garantizar la gestión y utilización controlada o equilibrada de un recurso esencial, u otros similares” o bien “la defensa y utilización racional de la ‘riqueza del país’, en cuanto que subordinada al interés general (art. 128.1 de la Constitución)” (STC 227/1988, FJ 14).</w:t>
      </w:r>
    </w:p>
    <w:p w14:paraId="1C5C3E0E" w14:textId="77777777" w:rsidR="008D479B" w:rsidRDefault="008D479B" w:rsidP="008D479B">
      <w:pPr>
        <w:pStyle w:val="TextoNormal"/>
      </w:pPr>
    </w:p>
    <w:p w14:paraId="71ECB4AC" w14:textId="4FEB2FDB" w:rsidR="008D479B" w:rsidRDefault="008D479B" w:rsidP="008D479B">
      <w:pPr>
        <w:pStyle w:val="TextoNormal"/>
      </w:pPr>
      <w:r>
        <w:t>De este modo, conforme a la atribución competencial prevista en el art. 149.1.25 CE, le corresponde al Estado la fijación de unos criterios uniformes en el régimen minero que garanticen tanto la gestión y utilización controlada o equilibrada de recursos esenciales, como la defensa y utilización racional de la riqueza del país y su subordinación al interés general (art. 128.1 CE).</w:t>
      </w:r>
    </w:p>
    <w:p w14:paraId="33FA4608" w14:textId="77777777" w:rsidR="008D479B" w:rsidRDefault="008D479B" w:rsidP="008D479B">
      <w:pPr>
        <w:pStyle w:val="TextoNormal"/>
      </w:pPr>
    </w:p>
    <w:p w14:paraId="2C9D6A46" w14:textId="77777777" w:rsidR="008D479B" w:rsidRDefault="008D479B" w:rsidP="008D479B">
      <w:pPr>
        <w:pStyle w:val="TextoNormal"/>
      </w:pPr>
      <w:r w:rsidRPr="008D479B">
        <w:rPr>
          <w:rStyle w:val="NumeroAFNegritaCaracter"/>
        </w:rPr>
        <w:t>3</w:t>
      </w:r>
      <w:r>
        <w:t xml:space="preserve">. </w:t>
      </w:r>
      <w:r w:rsidRPr="008D479B">
        <w:rPr>
          <w:i/>
        </w:rPr>
        <w:t>Carácter básico de la regulación estatal</w:t>
      </w:r>
    </w:p>
    <w:p w14:paraId="39A473CC" w14:textId="77777777" w:rsidR="008D479B" w:rsidRDefault="008D479B" w:rsidP="008D479B">
      <w:pPr>
        <w:pStyle w:val="TextoNormal"/>
      </w:pPr>
    </w:p>
    <w:p w14:paraId="3C266334" w14:textId="77777777" w:rsidR="008D479B" w:rsidRDefault="008D479B" w:rsidP="008D479B">
      <w:pPr>
        <w:pStyle w:val="TextoNormal"/>
      </w:pPr>
      <w:r>
        <w:t xml:space="preserve">Del encuadramiento competencial efectuado y del planteamiento del recurrente, de la Junta y de la Asamblea de Extremadura, se desprende que la cuestión central para decidir la presente controversia es, conforme a la reiterada doctrina de este tribunal sobre la inconstitucionalidad de carácter mediato o indirecto (por todas, STC 103/2015, de 28 de mayo, FJ 3), determinar —y este es el núcleo de la discrepancia entre las partes— si el marco jurídico establecido por el Estado en el art. 73.1 de la preconstitucional Ley 22/1973, de 21 de julio, de minas, es formal y materialmente básico conforme a nuestra doctrina. Si así lo fuera, la regulación contenida en tal precepto constituiría un ejercicio legítimo de la competencia estatal </w:t>
      </w:r>
      <w:r w:rsidRPr="008D479B">
        <w:rPr>
          <w:i/>
        </w:rPr>
        <w:t>ex</w:t>
      </w:r>
      <w:r>
        <w:t xml:space="preserve"> art. 149.1.25 CE, lo que supondría que el precepto autonómico solo sería constitucional si resultase compatible con dicha legislación básica.</w:t>
      </w:r>
    </w:p>
    <w:p w14:paraId="6EB71810" w14:textId="77777777" w:rsidR="008D479B" w:rsidRDefault="008D479B" w:rsidP="008D479B">
      <w:pPr>
        <w:pStyle w:val="TextoNormal"/>
      </w:pPr>
    </w:p>
    <w:p w14:paraId="385B0C01" w14:textId="77777777" w:rsidR="008D479B" w:rsidRDefault="008D479B" w:rsidP="008D479B">
      <w:pPr>
        <w:pStyle w:val="TextoNormal"/>
      </w:pPr>
      <w:r>
        <w:t>Conviene por ello examinar el art. 73.1 de la Ley de minas. En el mismo se dispone que, por causas de interés nacional, el Estado podrá obligar a los concesionarios a ampliar sus investigaciones o a realizar el aprovechamiento en la forma y medida que considere conveniente a dicho interés, pudiendo imponer incluso que el tratamiento y beneficio metalúrgico y mineralúrgico de los recursos minerales se realice en España, siguiendo a tal efecto las directrices de los planes nacionales de investigación minera y de revalorización de la minería.</w:t>
      </w:r>
    </w:p>
    <w:p w14:paraId="44B67023" w14:textId="77777777" w:rsidR="008D479B" w:rsidRDefault="008D479B" w:rsidP="008D479B">
      <w:pPr>
        <w:pStyle w:val="TextoNormal"/>
      </w:pPr>
    </w:p>
    <w:p w14:paraId="04A49A10" w14:textId="77777777" w:rsidR="008D479B" w:rsidRDefault="008D479B" w:rsidP="008D479B">
      <w:pPr>
        <w:pStyle w:val="TextoNormal"/>
      </w:pPr>
      <w:r>
        <w:t>Como este tribunal ha tenido ocasión de afirmar en la referida STC 235/2015, FJ 4 —citada por la STC 260/2015—, en relación con el carácter formal y materialmente básico de la Ley 22/1973, de minas, “en lo que respecta a su carácter formal, hay que tener en cuenta que se trata de una norma preconstitucional por lo que, en el momento de su dictado, no podía atender a esta exigencia” (STC 260/2015, FJ 3). En tal sentido, tempranamente este tribunal tuvo ocasión de señalar que la legislación preconstitucional puede regular las bases de una determinada materia (STC 1/1982, de 28 de enero, FJ 1).</w:t>
      </w:r>
    </w:p>
    <w:p w14:paraId="4004D2DD" w14:textId="77777777" w:rsidR="008D479B" w:rsidRDefault="008D479B" w:rsidP="008D479B">
      <w:pPr>
        <w:pStyle w:val="TextoNormal"/>
      </w:pPr>
    </w:p>
    <w:p w14:paraId="4A495B2F" w14:textId="77777777" w:rsidR="008D479B" w:rsidRDefault="008D479B" w:rsidP="008D479B">
      <w:pPr>
        <w:pStyle w:val="TextoNormal"/>
      </w:pPr>
      <w:r>
        <w:t>Más recientemente hemos recordado que “es doctrina consolidada que la dimensión material de las normas básicas permite que puedan extraerse de las normas preconstitucionales (que, obviamente, no pueden atender a la exigencia de explicitación formal como normas básicas) los principios o criterios que pudieran tener tal carácter […], sirviendo, así, de parámetro de contraste con la norma objeto de la presente cuestión” [SSTC 251/2006, de 25 de julio, FJ 9; 137/2013, de 6 de junio, FJ 2 b), y 235/2015, FJ 4], salvo en aquellos supuestos en los que el legislador postconstitucional haya procedido a establecer de un modo completo e innovador las bases de la materia, en cuyo caso no cabría atribuir naturaleza básica a aquellos preceptos de la ley preconstitucional, que no hubieran sido declarados expresamente como básicos por el legislador postconstitucional (STC 37/2002, de 14 de febrero, FJ 9).</w:t>
      </w:r>
    </w:p>
    <w:p w14:paraId="487BCD7D" w14:textId="77777777" w:rsidR="008D479B" w:rsidRDefault="008D479B" w:rsidP="008D479B">
      <w:pPr>
        <w:pStyle w:val="TextoNormal"/>
      </w:pPr>
    </w:p>
    <w:p w14:paraId="6B199BC4" w14:textId="77777777" w:rsidR="008D479B" w:rsidRDefault="008D479B" w:rsidP="008D479B">
      <w:pPr>
        <w:pStyle w:val="TextoNormal"/>
      </w:pPr>
      <w:r>
        <w:t>Ahora bien, en dichas sentencias también hemos advertido que “la operación de deducir bases normativas de la legislación preconstitucional ha de realizarse con suma cautela y teniendo siempre presentes las categorías contenidas en la Constitución respecto del reparto constitucional y el alcance de las mismas” [SSTC 251/2006, FJ 10 b); 137/2013, FJ 2 b), y 235/2015, FJ 4], por lo que es posible que los preceptos recogidos en la norma preconstitucional puedan servir de parámetro de la constitucionalidad mediata de las normas autonómicas de desarrollo, en este caso, de los preceptos impugnados.</w:t>
      </w:r>
    </w:p>
    <w:p w14:paraId="66024AAA" w14:textId="77777777" w:rsidR="008D479B" w:rsidRDefault="008D479B" w:rsidP="008D479B">
      <w:pPr>
        <w:pStyle w:val="TextoNormal"/>
      </w:pPr>
    </w:p>
    <w:p w14:paraId="26F3397F" w14:textId="77777777" w:rsidR="008D479B" w:rsidRDefault="008D479B" w:rsidP="008D479B">
      <w:pPr>
        <w:pStyle w:val="TextoNormal"/>
      </w:pPr>
      <w:r>
        <w:t>Llegados a este punto debemos afirmar el carácter materialmente básico del art. 73.1 de la Ley de minas. En efecto, el precepto vincula al “interés nacional”, superior al de cada comunidad autónoma, el establecimiento de obligaciones a los concesionarios, tales como ampliar las investigaciones o realizar el aprovechamiento en determinada forma o medida, o específicamente decidir si se vincula o no la concesión a que el tratamiento y beneficio metalúrgico y mineralúrgico de los recursos minerales se realice en España, en el marco de los planes nacionales de investigación minera y de revalorización de la minería. La finalidad del precepto es permitir el aseguramiento de la unidad fundamental en el tratamiento de los recursos mineros vinculada al interés nacional y a la defensa y utilización racional de la “riqueza del país”, que se encuentra subordinada al interés general y que tiene un marcado carácter supraterritorial y estratégico. De este modo se garantiza el Estado el establecimiento de una regulación uniforme y mínima, con vigencia para todo el territorio, en relación con las obligaciones o condiciones que cabe imponer a los concesionarios de las explotaciones mineras, evitando que se puedan llegar a anteponer por las comunidades autónomas, en aras a preservar intereses de una parte del territorio, condicionamientos a la explotación de recursos mineros de importancia estratégica para el conjunto del Estado. No debe olvidarse que cuando la Constitución atribuye al Estado una competencia, en este caso la fijación de las bases del régimen minero y energético, lo hace porque bajo la misma subyace un interés general que debe prevalecer sobre los que puedan tener otras entidades territoriales afectadas, así como que la atribución de esta facultad al Estado no limita más de lo necesario la competencia autonómica en materia de otorgamiento de concesiones mineras (art. 10.1.7 EAE, en relación con el Real Decreto 1136/1984, de 29 de febrero, sobre valoración definitiva y ampliación de funciones y medios adscritos a los servicios traspasados y adaptación de los transferidos en fase preautonómica a la Comunidad Autónoma de Extremadura en materia de industria, energía y minas).</w:t>
      </w:r>
    </w:p>
    <w:p w14:paraId="5AEF8C62" w14:textId="77777777" w:rsidR="008D479B" w:rsidRDefault="008D479B" w:rsidP="008D479B">
      <w:pPr>
        <w:pStyle w:val="TextoNormal"/>
      </w:pPr>
    </w:p>
    <w:p w14:paraId="50BCCB47" w14:textId="3A37F968" w:rsidR="008D479B" w:rsidRDefault="008D479B" w:rsidP="008D479B">
      <w:pPr>
        <w:pStyle w:val="TextoNormal"/>
      </w:pPr>
      <w:r>
        <w:t>En tal sentido, en relación específicamente con el litio, debe indicarse que la importancia fundamental de dicho recurso se explicita entre otros documentos en la Comunicación (2020) 474 final, de la Comisión al Parlamento Europeo, al Consejo, al Comité Económico y Social Europeo y al Comité de las Regiones, de 3 de septiembre de 2020, de la que se hace eco la exposición de motivos del Decreto-ley 5/2022, y de la que resulta que se ha introducido el litio en la lista de materias primas esenciales o fundamentales, de carácter estratégico, en el contexto global de crecimiento exponencial de la demanda tanto para las baterías de los vehículos eléctricos —a los que se alude en el art. 2 del Decreto-ley— como para el almacenamiento de energía, por lo que especialmente en relación con el litio esa exigencia de tratamiento unitario de la explotación de los recursos minerales aparece justificada con especial intensidad.</w:t>
      </w:r>
    </w:p>
    <w:p w14:paraId="78F4A4E2" w14:textId="77777777" w:rsidR="008D479B" w:rsidRDefault="008D479B" w:rsidP="008D479B">
      <w:pPr>
        <w:pStyle w:val="TextoNormal"/>
      </w:pPr>
    </w:p>
    <w:p w14:paraId="048FF989" w14:textId="77777777" w:rsidR="008D479B" w:rsidRDefault="008D479B" w:rsidP="008D479B">
      <w:pPr>
        <w:pStyle w:val="TextoNormal"/>
      </w:pPr>
      <w:r w:rsidRPr="008D479B">
        <w:rPr>
          <w:rStyle w:val="NumeroAFNegritaCaracter"/>
        </w:rPr>
        <w:t>4</w:t>
      </w:r>
      <w:r>
        <w:t xml:space="preserve">. </w:t>
      </w:r>
      <w:r w:rsidRPr="008D479B">
        <w:rPr>
          <w:i/>
        </w:rPr>
        <w:t>Contradicción de los preceptos autonómicos impugnados con la legislación básica estatal y nulidad de los preceptos impugnados</w:t>
      </w:r>
    </w:p>
    <w:p w14:paraId="0A90E0A9" w14:textId="77777777" w:rsidR="008D479B" w:rsidRDefault="008D479B" w:rsidP="008D479B">
      <w:pPr>
        <w:pStyle w:val="TextoNormal"/>
      </w:pPr>
    </w:p>
    <w:p w14:paraId="7455D7FC" w14:textId="77777777" w:rsidR="008D479B" w:rsidRDefault="008D479B" w:rsidP="008D479B">
      <w:pPr>
        <w:pStyle w:val="TextoNormal"/>
      </w:pPr>
      <w:r>
        <w:t>Afirmado el carácter básico de la norma estatal, puede advertirse que el art. 2 del Decreto-ley de la Junta de Extremadura 5/2022, de 31 de agosto, por el que se establecen medidas urgentes necesarias en la regulación del aprovechamiento de recursos minerales de litio en Extremadura, incurre en una contradicción insalvable por vía interpretativa con la norma básica.</w:t>
      </w:r>
    </w:p>
    <w:p w14:paraId="2209E767" w14:textId="77777777" w:rsidR="008D479B" w:rsidRDefault="008D479B" w:rsidP="008D479B">
      <w:pPr>
        <w:pStyle w:val="TextoNormal"/>
      </w:pPr>
    </w:p>
    <w:p w14:paraId="3470E86E" w14:textId="77777777" w:rsidR="008D479B" w:rsidRDefault="008D479B" w:rsidP="008D479B">
      <w:pPr>
        <w:pStyle w:val="TextoNormal"/>
      </w:pPr>
      <w:r>
        <w:t>En efecto, el art. 73.1 de la Ley 22/1973, toma como referencia exclusivamente el “interés nacional”, para atribuir al Estado la decisión de imponer o no al concesionario de la explotación de recursos minerales, la obligación —entre otras— de que el tratamiento y beneficio metalúrgico y mineralúrgico de los recursos minerales se realice en España. Sin embargo, la Comunidad Autónoma de Extremadura, que como se ha indicado tiene reconocida estatutariamente la competencia de desarrollo normativo y ejecución en materia de régimen minero y energético, al ejercer dicha competencia ha conculcado las bases que regulan el régimen minero, en tanto que en el art. 2.1 del Decreto-ley 5/2022, se atribuye, frente a lo dispuesto en el art. 73.1 de la Ley de minas, la facultad de condicionar el otorgamiento de la explotación de litio a que el tratamiento y beneficio metalúrgico y mineralúrgico de los recursos de dicho mineral se realicen en Extremadura.</w:t>
      </w:r>
    </w:p>
    <w:p w14:paraId="6C407718" w14:textId="77777777" w:rsidR="008D479B" w:rsidRDefault="008D479B" w:rsidP="008D479B">
      <w:pPr>
        <w:pStyle w:val="TextoNormal"/>
      </w:pPr>
    </w:p>
    <w:p w14:paraId="139D6814" w14:textId="77777777" w:rsidR="008D479B" w:rsidRDefault="008D479B" w:rsidP="008D479B">
      <w:pPr>
        <w:pStyle w:val="TextoNormal"/>
      </w:pPr>
      <w:r>
        <w:t>Esto es, imposibilita tanto que el Estado adopte la decisión —atribuida por el precepto básico a fin de preservar el interés nacional— de no condicionar la explotación de los recursos de litio a que el tratamiento y beneficio de los mismos se realice en España, como, por otra parte, limita la facultad que el art. 73.1 de la Ley de minas también atribuye al Estado para determinar, en atención al interés nacional que resulta de la explotación del litio, el lugar donde debe realizarse dicho tratamiento y beneficio, en el caso de que se imponga su localización en España.</w:t>
      </w:r>
    </w:p>
    <w:p w14:paraId="7B7EDBF9" w14:textId="77777777" w:rsidR="008D479B" w:rsidRDefault="008D479B" w:rsidP="008D479B">
      <w:pPr>
        <w:pStyle w:val="TextoNormal"/>
      </w:pPr>
    </w:p>
    <w:p w14:paraId="2F6DAC07" w14:textId="77777777" w:rsidR="008D479B" w:rsidRDefault="008D479B" w:rsidP="008D479B">
      <w:pPr>
        <w:pStyle w:val="TextoNormal"/>
      </w:pPr>
      <w:r>
        <w:t xml:space="preserve">De este modo, la simple lectura de ambas previsiones evidencia la contradicción insalvable entre la base estatal y la norma autonómica, pues la norma autonómica atribuye al Consejo de Gobierno de la Comunidad Autónoma de Extremadura, la posibilidad de condicionar la explotación de un recurso mineral de esencial importancia para el interés nacional y para los intereses de la Unión Europea impidiendo que el Estado valore la imposición o no de dicha condición y en su caso, determine el lugar en el que la misma deberá ser cumplida, contraviniendo con ello la regla básica </w:t>
      </w:r>
      <w:r w:rsidRPr="008D479B">
        <w:rPr>
          <w:i/>
        </w:rPr>
        <w:t>ex</w:t>
      </w:r>
      <w:r>
        <w:t xml:space="preserve"> art. 149.1.25 CE e infringiendo el orden constitucional de distribución de competencias.</w:t>
      </w:r>
    </w:p>
    <w:p w14:paraId="049E46BB" w14:textId="77777777" w:rsidR="008D479B" w:rsidRDefault="008D479B" w:rsidP="008D479B">
      <w:pPr>
        <w:pStyle w:val="TextoNormal"/>
      </w:pPr>
    </w:p>
    <w:p w14:paraId="61B4A6A6" w14:textId="2A44312B" w:rsidR="008D479B" w:rsidRDefault="008D479B" w:rsidP="008D479B">
      <w:pPr>
        <w:pStyle w:val="TextoNormal"/>
      </w:pPr>
      <w:r>
        <w:t>En consecuencia, procede la declaración de inconstitucionalidad y nulidad del apartado primero del art. 2 del Decreto-ley 5/2022, de 31 de agosto, por el que se establecen medidas urgentes necesarias en la regulación del aprovechamiento de recursos minerales de litio en Extremadura, por su contradicción con las bases estatales; así así como del resto de los apartados del art. 2 dedicados a definir qué se entiende por tratamiento y beneficio metalúrgico y mineralúrgico y cómo se concreta dicha obligación; de los arts. 3 y 4 que regulan las consecuencias del incumplimiento de la misma, atendida la vinculación de dichos preceptos con el art. 2.1 del Decreto-ley, de modo que la inconstitucionalidad y nulidad de este último deja vacíos de contenido el resto de los preceptos impugnados.</w:t>
      </w:r>
    </w:p>
    <w:p w14:paraId="63B28748" w14:textId="77777777" w:rsidR="008D479B" w:rsidRDefault="008D479B" w:rsidP="008D479B">
      <w:pPr>
        <w:pStyle w:val="TextoNormal"/>
      </w:pPr>
    </w:p>
    <w:p w14:paraId="19C676EA" w14:textId="77777777" w:rsidR="008D479B" w:rsidRDefault="008D479B" w:rsidP="008D479B">
      <w:pPr>
        <w:pStyle w:val="TextoNormal"/>
      </w:pPr>
      <w:r w:rsidRPr="008D479B">
        <w:rPr>
          <w:rStyle w:val="NumeroAFNegritaCaracter"/>
        </w:rPr>
        <w:t>5</w:t>
      </w:r>
      <w:r>
        <w:t xml:space="preserve">. </w:t>
      </w:r>
      <w:r w:rsidRPr="008D479B">
        <w:rPr>
          <w:i/>
        </w:rPr>
        <w:t>Contradicción con la competencia estatal en materia de unidad de mercado</w:t>
      </w:r>
    </w:p>
    <w:p w14:paraId="620E97DA" w14:textId="77777777" w:rsidR="008D479B" w:rsidRDefault="008D479B" w:rsidP="008D479B">
      <w:pPr>
        <w:pStyle w:val="TextoNormal"/>
      </w:pPr>
    </w:p>
    <w:p w14:paraId="1C3CA8A5" w14:textId="77777777" w:rsidR="008D479B" w:rsidRDefault="008D479B" w:rsidP="008D479B">
      <w:pPr>
        <w:pStyle w:val="TextoNormal"/>
      </w:pPr>
      <w:r>
        <w:t xml:space="preserve">Declarada la inconstitucionalidad y nulidad de los preceptos impugnados, el Tribunal estima, haciendo uso de las facultades que le corresponden </w:t>
      </w:r>
      <w:r w:rsidRPr="008D479B">
        <w:rPr>
          <w:i/>
        </w:rPr>
        <w:t>ex</w:t>
      </w:r>
      <w:r>
        <w:t xml:space="preserve"> art. 39.2 LOTC, que la regulación autonómica, al vincular el otorgamiento de cualquier concesión de explotación de los recursos minerales de litio a la obligación de que el tratamiento y beneficio metalúrgico y mineralúrgico de los recursos de ese mineral se realicen en el territorio de la Comunidad Autónoma de Extremadura, incurre además en una restricción geográfica que afecta a la competencia estatal en materia de unidad de mercado (art. 149.1.13 CE).</w:t>
      </w:r>
    </w:p>
    <w:p w14:paraId="5403BF17" w14:textId="77777777" w:rsidR="008D479B" w:rsidRDefault="008D479B" w:rsidP="008D479B">
      <w:pPr>
        <w:pStyle w:val="TextoNormal"/>
      </w:pPr>
    </w:p>
    <w:p w14:paraId="269F91AD" w14:textId="77777777" w:rsidR="008D479B" w:rsidRDefault="008D479B" w:rsidP="008D479B">
      <w:pPr>
        <w:pStyle w:val="TextoNormal"/>
      </w:pPr>
      <w:r>
        <w:t>Es por ello que, de conformidad con “la jurisprudencia constitucional (STC 89/2017, de 4 de julio, FJ 9) y tomando en consideración el artículo 5 de la Ley 20/2013, de 9 de diciembre, de garantía de la unidad de mercado, que constituye legislación básica al respecto y cuya vulneración conllevaría una inconstitucionalidad mediata (así, SSTC 79/2017, de 22 de junio, FJ 7, y 97/2018, de 19 de septiembre, FJ 7)” (STC 134/2018, de 13 de diciembre, FJ 8), procede examinar si esta restricción autonómica (i) está fundamentada en una razón imperiosa de interés general que pueda justificarla (art. 5.1 de la Ley 20/2013); y (ii) si es proporcionada a la consecución de dicha razón, no existiendo medio menos restrictivo o distorsionador para la actividad económica (art. 5.2 de la Ley 20/2013).</w:t>
      </w:r>
    </w:p>
    <w:p w14:paraId="094D603E" w14:textId="77777777" w:rsidR="008D479B" w:rsidRDefault="008D479B" w:rsidP="008D479B">
      <w:pPr>
        <w:pStyle w:val="TextoNormal"/>
      </w:pPr>
    </w:p>
    <w:p w14:paraId="46A1C355" w14:textId="77777777" w:rsidR="008D479B" w:rsidRDefault="008D479B" w:rsidP="008D479B">
      <w:pPr>
        <w:pStyle w:val="TextoNormal"/>
      </w:pPr>
      <w:r>
        <w:t>(i) En relación con la concurrencia de una razón imperiosa de interés general que pueda justificarla, se ha de confrontar si el objetivo que se afirma perseguir con la norma impugnada coincide con alguna de las razones que aparecen enumeradas en el artículo 5.1 de la citada Ley 20/2013, que a su vez se remite al artículo 3.11 de la Ley 17/2009, de 23 de noviembre, sobre el libre acceso a las actividades de servicios y su ejercicio.</w:t>
      </w:r>
    </w:p>
    <w:p w14:paraId="1FD07096" w14:textId="77777777" w:rsidR="008D479B" w:rsidRDefault="008D479B" w:rsidP="008D479B">
      <w:pPr>
        <w:pStyle w:val="TextoNormal"/>
      </w:pPr>
    </w:p>
    <w:p w14:paraId="51EF81CF" w14:textId="77777777" w:rsidR="008D479B" w:rsidRDefault="008D479B" w:rsidP="008D479B">
      <w:pPr>
        <w:pStyle w:val="TextoNormal"/>
      </w:pPr>
      <w:r>
        <w:t>Las razones alegadas en la exposición de motivos de la norma hacen referencia, esencialmente, a consideraciones de carácter socioeconómico en relación con la necesidad de retener en el ámbito regional el aprovechamiento de los recursos minerales de litio. Si se pone en relación la enumeración de razones imperiosas de interés general de la norma estatal con las alegadas en la norma autonómica, podemos concluir que la decisión del legislador de urgencia extremeño no se ampara en ninguna de las previstas en la norma estatal que la doctrina de este tribunal ya ha considerado básica. No puede tenerse por tal la referencia al impacto medioambiental “en términos de huella de carbono de la actividad de transporte”, a la que también se alude en la exposición de motivos de la norma autonómica, pues esa referencia aparece meramente enunciada y no justificada, con lo que no puede servir de fundamento a la restricción que venimos examinando.</w:t>
      </w:r>
    </w:p>
    <w:p w14:paraId="6550070F" w14:textId="77777777" w:rsidR="008D479B" w:rsidRDefault="008D479B" w:rsidP="008D479B">
      <w:pPr>
        <w:pStyle w:val="TextoNormal"/>
      </w:pPr>
    </w:p>
    <w:p w14:paraId="0836601D" w14:textId="77777777" w:rsidR="008D479B" w:rsidRDefault="008D479B" w:rsidP="008D479B">
      <w:pPr>
        <w:pStyle w:val="TextoNormal"/>
      </w:pPr>
      <w:r>
        <w:t>(ii) Constatado que la restricción impuesta no encuentra acomodo en ninguna de las razones imperiosas de interés general previstas en la norma básica (art. 5.1 de la Ley 20/2013, en relación con el art. 3.11 de la Ley 17/2009), no es preciso examinar si la mencionada restricción es proporcionada a la consecución del objetivo perseguido por la norma.</w:t>
      </w:r>
    </w:p>
    <w:p w14:paraId="312D4E87" w14:textId="77777777" w:rsidR="008D479B" w:rsidRDefault="008D479B" w:rsidP="008D479B">
      <w:pPr>
        <w:pStyle w:val="TextoNormal"/>
      </w:pPr>
    </w:p>
    <w:p w14:paraId="442B2ECA" w14:textId="4E61D12D" w:rsidR="008D479B" w:rsidRDefault="008D479B" w:rsidP="008D479B">
      <w:pPr>
        <w:pStyle w:val="TextoNormal"/>
      </w:pPr>
      <w:r>
        <w:t>Por tanto, procede considerar que el art. 2 del Decreto-ley 5/2022 impugnado también socava la competencia estatal en materia de unidad de mercado, pues no se advierte que la indicada obligación —de que el tratamiento y beneficio de los recursos de litio se realicen en Extremadura— impuesta por la ley autonómica a los concesionarios, esté fundamentada en una razón imperiosa de interés general que pueda justificarla (art. 5.1 de la Ley 20/2013, en relación con el art. 3.11 de la Ley 17/2009).</w:t>
      </w:r>
    </w:p>
    <w:p w14:paraId="0A525A52" w14:textId="77777777" w:rsidR="008D479B" w:rsidRDefault="008D479B" w:rsidP="008D479B">
      <w:pPr>
        <w:pStyle w:val="TextoNormal"/>
      </w:pPr>
    </w:p>
    <w:p w14:paraId="1613F6F0" w14:textId="77777777" w:rsidR="008D479B" w:rsidRDefault="008D479B" w:rsidP="008D479B">
      <w:pPr>
        <w:pStyle w:val="TextoNormal"/>
      </w:pPr>
      <w:r w:rsidRPr="008D479B">
        <w:rPr>
          <w:rStyle w:val="NumeroAFNegritaCaracter"/>
        </w:rPr>
        <w:t>6</w:t>
      </w:r>
      <w:r>
        <w:t xml:space="preserve">. </w:t>
      </w:r>
      <w:r w:rsidRPr="008D479B">
        <w:rPr>
          <w:i/>
        </w:rPr>
        <w:t>Sobre el mantenimiento o levantamiento de la suspensión del Decreto-ley impugnado</w:t>
      </w:r>
    </w:p>
    <w:p w14:paraId="50743DC6" w14:textId="77777777" w:rsidR="008D479B" w:rsidRDefault="008D479B" w:rsidP="008D479B">
      <w:pPr>
        <w:pStyle w:val="TextoNormal"/>
      </w:pPr>
    </w:p>
    <w:p w14:paraId="36A84BCE" w14:textId="3CD979F8" w:rsidR="008D479B" w:rsidRDefault="008D479B" w:rsidP="008D479B">
      <w:pPr>
        <w:pStyle w:val="TextoNormal"/>
      </w:pPr>
      <w:r>
        <w:t>Resta por añadir que, como consecuencia del dictado de esta sentencia, no procede resolver acerca del mantenimiento o levantamiento de la suspensión del Decreto-ley impugnado, de conformidad con lo dispuesto en el art. 162.2 CE. Tal suspensión tiene como presupuesto la pendencia del proceso constitucional en cuyo seno se produjo, de suerte que, tras el enjuiciamiento definitivo de la norma recurrida, verificado, además, sin haberse sobrepasado el plazo de cinco meses contemplado en el art. 161.2 CE, carece de sentido cualquier pronunciamiento sobre el levantamiento o el mantenimiento de su suspensión.</w:t>
      </w:r>
    </w:p>
    <w:p w14:paraId="02A0F47F" w14:textId="77777777" w:rsidR="008D479B" w:rsidRDefault="008D479B" w:rsidP="008D479B">
      <w:pPr>
        <w:pStyle w:val="TextoNormal"/>
      </w:pPr>
    </w:p>
    <w:p w14:paraId="50030E71" w14:textId="77777777" w:rsidR="008D479B" w:rsidRDefault="008D479B" w:rsidP="008D479B">
      <w:pPr>
        <w:pStyle w:val="TextoNormalCentrado"/>
        <w:keepNext/>
      </w:pPr>
      <w:r>
        <w:t>FALLO</w:t>
      </w:r>
    </w:p>
    <w:p w14:paraId="1989B763" w14:textId="534D1A9E" w:rsidR="008D479B" w:rsidRDefault="008D479B" w:rsidP="008D479B">
      <w:pPr>
        <w:pStyle w:val="TextoNormalCentrado"/>
        <w:keepNext/>
      </w:pPr>
    </w:p>
    <w:p w14:paraId="76F769EC" w14:textId="0F405AFE" w:rsidR="008D479B" w:rsidRDefault="008D479B" w:rsidP="008D479B">
      <w:pPr>
        <w:pStyle w:val="TextoNormal"/>
      </w:pPr>
      <w:r>
        <w:t>En atención a todo lo expuesto, el Tribunal Constitucional, por la autoridad que le confiere la Constitución de la Nación española, ha decidido estimar el presente recurso de inconstitucionalidad interpuesto por el presidente del Gobierno y, en consecuencia, declarar la inconstitucionalidad y nulidad de los arts. 2, 3 y 4 del Decreto-ley 5/2022, de 31 de agosto, por el que se establecen medidas urgentes necesarias en la regulación del aprovechamiento de recursos minerales de litio en Extremadura.</w:t>
      </w:r>
    </w:p>
    <w:p w14:paraId="28626E77" w14:textId="77777777" w:rsidR="008D479B" w:rsidRDefault="008D479B" w:rsidP="008D479B">
      <w:pPr>
        <w:pStyle w:val="TextoNormal"/>
      </w:pPr>
    </w:p>
    <w:p w14:paraId="6EC7178C" w14:textId="77777777" w:rsidR="008D479B" w:rsidRDefault="008D479B" w:rsidP="008D479B">
      <w:pPr>
        <w:pStyle w:val="TextoNormal"/>
      </w:pPr>
      <w:r>
        <w:t>Publíquese esta sentencia en el “Boletín Oficial del Estado”.</w:t>
      </w:r>
    </w:p>
    <w:p w14:paraId="20A21963" w14:textId="77777777" w:rsidR="008D479B" w:rsidRDefault="008D479B" w:rsidP="008D479B">
      <w:pPr>
        <w:pStyle w:val="TextoNormal"/>
      </w:pPr>
      <w:r>
        <w:t>Dada en Madrid, a veintisiete de septiembre de dos mil veintitrés.</w:t>
      </w:r>
    </w:p>
    <w:p w14:paraId="740CA7F6" w14:textId="66DF53E3" w:rsidR="008D479B" w:rsidRDefault="008D479B" w:rsidP="008D479B">
      <w:pPr>
        <w:pStyle w:val="ParrafoNormal"/>
      </w:pPr>
    </w:p>
    <w:p w14:paraId="43341642" w14:textId="77777777" w:rsidR="008D479B" w:rsidRDefault="008D479B" w:rsidP="008D479B">
      <w:pPr>
        <w:pStyle w:val="TextoNormalNegritaCentrado"/>
        <w:keepNext/>
      </w:pPr>
      <w:r>
        <w:t>Voto particular que formula el magistrado don Ramón Sáez Valcárcel, al que se adhiere la magistrada doña Laura Díez Bueso, a la sentencia dictada en el recurso de inconstitucionalidad núm. 3726 2023</w:t>
      </w:r>
    </w:p>
    <w:p w14:paraId="05DE7C46" w14:textId="43523124" w:rsidR="008D479B" w:rsidRDefault="008D479B" w:rsidP="008D479B">
      <w:pPr>
        <w:pStyle w:val="TextoNormalNegritaCentrado"/>
        <w:keepNext/>
      </w:pPr>
    </w:p>
    <w:p w14:paraId="70B7CE3C" w14:textId="77777777" w:rsidR="008D479B" w:rsidRDefault="008D479B" w:rsidP="008D479B">
      <w:pPr>
        <w:pStyle w:val="TextoNormal"/>
      </w:pPr>
      <w:r>
        <w:t>En el ejercicio de la facultad que me confiere el artículo 90.2 de la Ley Orgánica del Tribunal Constitucional, formulo el presente voto particular concurrente, por estar de acuerdo con el fallo estimatorio del recurso, pero discrepar parcialmente de la fundamentación jurídica en que la sentencia apoya tal decisión, por las razones que expuse en la deliberación en el Pleno y que expongo sucintamente a continuación.</w:t>
      </w:r>
    </w:p>
    <w:p w14:paraId="1B2A957E" w14:textId="77777777" w:rsidR="008D479B" w:rsidRDefault="008D479B" w:rsidP="008D479B">
      <w:pPr>
        <w:pStyle w:val="TextoNormal"/>
      </w:pPr>
    </w:p>
    <w:p w14:paraId="407A61A4" w14:textId="77777777" w:rsidR="008D479B" w:rsidRDefault="008D479B" w:rsidP="008D479B">
      <w:pPr>
        <w:pStyle w:val="TextoNormal"/>
      </w:pPr>
      <w:r>
        <w:t xml:space="preserve">1. La </w:t>
      </w:r>
      <w:r w:rsidRPr="008D479B">
        <w:rPr>
          <w:i/>
        </w:rPr>
        <w:t>ratio decidendi</w:t>
      </w:r>
      <w:r>
        <w:t xml:space="preserve"> de la sentencia: vulneración mediata de la competencia estatal para fijar las bases del régimen minero y energético</w:t>
      </w:r>
    </w:p>
    <w:p w14:paraId="5B8E7F76" w14:textId="77777777" w:rsidR="008D479B" w:rsidRDefault="008D479B" w:rsidP="008D479B">
      <w:pPr>
        <w:pStyle w:val="TextoNormal"/>
      </w:pPr>
    </w:p>
    <w:p w14:paraId="568CCBF2" w14:textId="77777777" w:rsidR="008D479B" w:rsidRDefault="008D479B" w:rsidP="008D479B">
      <w:pPr>
        <w:pStyle w:val="TextoNormal"/>
      </w:pPr>
      <w:r>
        <w:t>Acogiendo la tesis de la demanda, la sentencia funda la decisión estimatoria del recurso de inconstitucionalidad en la contradicción de los preceptos autonómicos impugnados con el art. 73.1 de la preconstitucional Ley 22/1973, de 21 de julio, de minas, y en la consiguiente vulneración mediata de la competencia estatal para fijar las bases del régimen minero y energético (art. 149.1.25 CE). Conviene aquí recordar que el tenor de dicha previsión es el siguiente: “Por causas de interés nacional, el Estado podrá obligar a los concesionarios a ampliar sus investigaciones o a realizar el aprovechamiento en la forma y medida que considere conveniente a dicho interés, pudiendo imponer incluso que el tratamiento y beneficio metalúrgico y mineralúrgico de los recursos minerales se realice en España, siguiendo a tal efecto las directrices de los planes nacionales de investigación minera y de revalorización de la minería. Con este fin, la administración facilitará oportunamente, en su caso, los medios necesarios en la forma que prevea el reglamento de esta Ley”.</w:t>
      </w:r>
    </w:p>
    <w:p w14:paraId="21A86A90" w14:textId="77777777" w:rsidR="008D479B" w:rsidRDefault="008D479B" w:rsidP="008D479B">
      <w:pPr>
        <w:pStyle w:val="TextoNormal"/>
      </w:pPr>
    </w:p>
    <w:p w14:paraId="735F55F3" w14:textId="77777777" w:rsidR="008D479B" w:rsidRDefault="008D479B" w:rsidP="008D479B">
      <w:pPr>
        <w:pStyle w:val="TextoNormal"/>
      </w:pPr>
      <w:r>
        <w:t>Para alcanzar el referido resultado, la sentencia realiza una interpretación del art. 73.1 de la Ley de minas conforme a la cual dicho precepto no solo reviste carácter materialmente básico, sino que, además, reserva en exclusiva al Estado la facultad de imponer sobre los concesionarios las obligaciones en él contempladas. Se razona, en apoyo de tal conclusión, que “la finalidad del precepto es permitir el aseguramiento de la unidad fundamental en el tratamiento de los recursos mineros vinculada al interés nacional y a la defensa y utilización racional de la ‘riqueza del país’, que se encuentra subordinada al interés general y que tiene un marcado carácter supraterritorial y estratégico”, de modo que “se garantiza el Estado el establecimiento de una regulación uniforme y mínima, con vigencia para todo el territorio, en relación con las obligaciones o condiciones que cabe imponer a los concesionarios de las explotaciones mineras, evitando que se puedan llegar a anteponer por las comunidades autónomas, en aras a preservar intereses de una parte del territorio, condicionamientos a la explotación de recursos mineros de importancia estratégica para el conjunto del Estado”. Y se añade que “no debe olvidarse que cuando la Constitución atribuye al Estado una competencia, en este caso la fijación de las bases del régimen minero y energético, lo hace porque bajo la misma subyace un interés general que debe prevalecer sobre los que puedan tener otras entidades territoriales afectadas”.</w:t>
      </w:r>
    </w:p>
    <w:p w14:paraId="332D4DA8" w14:textId="77777777" w:rsidR="008D479B" w:rsidRDefault="008D479B" w:rsidP="008D479B">
      <w:pPr>
        <w:pStyle w:val="TextoNormal"/>
      </w:pPr>
    </w:p>
    <w:p w14:paraId="0EAB1651" w14:textId="77777777" w:rsidR="008D479B" w:rsidRDefault="008D479B" w:rsidP="008D479B">
      <w:pPr>
        <w:pStyle w:val="TextoNormal"/>
      </w:pPr>
      <w:r>
        <w:t>No comparto ni esta opción interpretativa ni las razones en las que se apoya, algunas de las cuales me parecen vacías de contenido (como sucede con la última de las transcritas, que es autoevidente y nada aporta a la argumentación), cuando no directamente erróneas y contrarias a la configuración constitucional del Estado descentralizado. Así sucede, en particular, con la implícita identificación del vetusto “interés nacional” exclusivamente con el interés general del Estado, descartando el de otras entidades territoriales y olvidando que los “intereses generales” (art. 103.1 CE) son plurales y no privativos del Estado como organización política diferenciada de las comunidades autónomas y de los entes locales. Y otro tanto sucede con la velada referencia al art. 128.1 CE como criterio de interpretación sustantivo que otorgaría al mandato de subordinación al interés general de toda la riqueza del país consecuencias en el plano de la distribución de competencias entre Estado y comunidades autónomas.</w:t>
      </w:r>
    </w:p>
    <w:p w14:paraId="5F1B8424" w14:textId="77777777" w:rsidR="008D479B" w:rsidRDefault="008D479B" w:rsidP="008D479B">
      <w:pPr>
        <w:pStyle w:val="TextoNormal"/>
      </w:pPr>
    </w:p>
    <w:p w14:paraId="621D7732" w14:textId="77777777" w:rsidR="008D479B" w:rsidRDefault="008D479B" w:rsidP="008D479B">
      <w:pPr>
        <w:pStyle w:val="TextoNormal"/>
      </w:pPr>
      <w:r>
        <w:t>No es dudoso que, conforme a la doctrina constitucional, puede haber normas preconstitucionales que sean materialmente básicas. Pero sí es discutible que la regla contenida en el art. 73.1 de la Ley de minas tenga el sentido y alcance que le atribuye la sentencia, dado su contenido, el contexto normativo en el que se produjo su aprobación y la necesidad de que este tribunal actúe “con suma cautela y teniendo siempre presentes las categorías contenidas en la Constitución respecto del reparto constitucional [de competencias] y el alcance de las mismas” [SSTC 251/2006, de 25 de julio, FJ 10 b); 137/2013, de 6 de junio, FJ 2 b), y 235/2015, de 5 de noviembre, FJ 4] a la hora de deducir bases materiales de normas preconstitucionales; exigencia esta que la fundamentación apoyada por la mayoría cita pero que, en realidad, no llega a aplicar. Precisamente en la determinación del sentido del art. 73 de la Ley de minas radicaba el núcleo de la discrepancia entre las partes en el proceso, pese a lo cual la fundamentación de la sentencia no dedica mayor atención a esta cuestión ni hace alusión alguna a las alegaciones planteadas por la Junta y la Asamblea de Extremadura.</w:t>
      </w:r>
    </w:p>
    <w:p w14:paraId="0D2D349F" w14:textId="77777777" w:rsidR="008D479B" w:rsidRDefault="008D479B" w:rsidP="008D479B">
      <w:pPr>
        <w:pStyle w:val="TextoNormal"/>
      </w:pPr>
    </w:p>
    <w:p w14:paraId="1F491A45" w14:textId="77777777" w:rsidR="008D479B" w:rsidRDefault="008D479B" w:rsidP="008D479B">
      <w:pPr>
        <w:pStyle w:val="TextoNormal"/>
      </w:pPr>
      <w:r>
        <w:t>Pues bien, a falta de razones constitucionales sustantivas para ello, considero ontológicamente imposible interpretar el preconstitucional art. 73.1 de la Ley de minas en el sentido de realizar un deliberado reparto competencial entre el Estado y otras entidades territoriales inferiores dotadas de autonomía, por la evidente razón de que tales entidades autónomas no existieron hasta la época constitucional. Es posible que el invocado precepto estatal sea materialmente básico, pero entiendo que su sentido y alcance solamente puede ser el de recoger una habilitación legal a la administración competente (sea esta cual sea) para imponer ciertos requisitos al otorgamiento y disfrute de concesiones por parte de sujetos privados. Considero, por lo tanto, que estamos ante una regla dirigida a disciplinar las relaciones entre poder público y particulares, y no a distribuir poder entre distintos niveles territoriales del poder público.</w:t>
      </w:r>
    </w:p>
    <w:p w14:paraId="4CC1B019" w14:textId="77777777" w:rsidR="008D479B" w:rsidRDefault="008D479B" w:rsidP="008D479B">
      <w:pPr>
        <w:pStyle w:val="TextoNormal"/>
      </w:pPr>
    </w:p>
    <w:p w14:paraId="4E908444" w14:textId="77777777" w:rsidR="008D479B" w:rsidRDefault="008D479B" w:rsidP="008D479B">
      <w:pPr>
        <w:pStyle w:val="TextoNormal"/>
      </w:pPr>
      <w:r>
        <w:t>De haberse acogido esta interpretación del art. 73.1 de la Ley de minas, la consecuencia necesaria debería haber sido la desestimación de este motivo de impugnación, por no existir contradicción alguna entre la base estatal y los preceptos autonómicos impugnados. Como indica la exposición de motivos del Decreto ley impugnado, y como defendía la Junta de Extremadura, habría que concluir que estamos ante normas perfectamente compatibles entre sí, pues lo único que habría hecho la comunidad autónoma es adaptar a su nivel territorial la genérica habilitación regulatoria prevista en la norma básica estatal.</w:t>
      </w:r>
    </w:p>
    <w:p w14:paraId="3BBF8278" w14:textId="77777777" w:rsidR="008D479B" w:rsidRDefault="008D479B" w:rsidP="008D479B">
      <w:pPr>
        <w:pStyle w:val="TextoNormal"/>
      </w:pPr>
    </w:p>
    <w:p w14:paraId="281B23DB" w14:textId="77777777" w:rsidR="008D479B" w:rsidRDefault="008D479B" w:rsidP="008D479B">
      <w:pPr>
        <w:pStyle w:val="TextoNormal"/>
      </w:pPr>
      <w:r>
        <w:t>2. La razón “adicional” de la declaración de inconstitucionalidad: vulneración mediata de la competencia estatal en materia de unidad de mercado</w:t>
      </w:r>
    </w:p>
    <w:p w14:paraId="61861F67" w14:textId="77777777" w:rsidR="008D479B" w:rsidRDefault="008D479B" w:rsidP="008D479B">
      <w:pPr>
        <w:pStyle w:val="TextoNormal"/>
      </w:pPr>
    </w:p>
    <w:p w14:paraId="4820760D" w14:textId="77777777" w:rsidR="008D479B" w:rsidRDefault="008D479B" w:rsidP="008D479B">
      <w:pPr>
        <w:pStyle w:val="TextoNormal"/>
      </w:pPr>
      <w:r>
        <w:t xml:space="preserve">A continuación señala la sentencia que, una vez “declarada la inconstitucionalidad y nulidad de los preceptos impugnados” por el motivo ya indicado, el Tribunal “estima, haciendo uso de las facultades que le corresponden </w:t>
      </w:r>
      <w:r w:rsidRPr="008D479B">
        <w:rPr>
          <w:i/>
        </w:rPr>
        <w:t>ex</w:t>
      </w:r>
      <w:r>
        <w:t xml:space="preserve"> art. 39.2 LOTC”, que los preceptos impugnados incurren “además” en una “restricción geográfica que afecta a la competencia estatal en materia de unidad de mercado (art. 149.1.13 CE)”.</w:t>
      </w:r>
    </w:p>
    <w:p w14:paraId="4390718E" w14:textId="77777777" w:rsidR="008D479B" w:rsidRDefault="008D479B" w:rsidP="008D479B">
      <w:pPr>
        <w:pStyle w:val="TextoNormal"/>
      </w:pPr>
    </w:p>
    <w:p w14:paraId="2DA5453E" w14:textId="77777777" w:rsidR="008D479B" w:rsidRDefault="008D479B" w:rsidP="008D479B">
      <w:pPr>
        <w:pStyle w:val="TextoNormal"/>
      </w:pPr>
      <w:r>
        <w:t>Tal y como señalé en la deliberación, entiendo que debería haber sido únicamente este el fundamento de la declaración de inconstitucionalidad, siguiendo así un proceder similar al de la STC 89/2017, de 4 de julio, FFJJ 7 a 13. En este pronunciamiento, el Tribunal, tras descartar las quejas competenciales denunciadas en la demanda, estimó parcialmente el recurso utilizando, de oficio, un parámetro de constitucionalidad no invocado por las partes, a saber, la competencia estatal del art. 149.1.13 CE (bases de la planificación general de la actividad económica) y el art. 5 de la Ley 20/2013, de 9 de diciembre, de garantía de la unidad de mercado.</w:t>
      </w:r>
    </w:p>
    <w:p w14:paraId="0EB99EE9" w14:textId="77777777" w:rsidR="008D479B" w:rsidRDefault="008D479B" w:rsidP="008D479B">
      <w:pPr>
        <w:pStyle w:val="TextoNormal"/>
      </w:pPr>
    </w:p>
    <w:p w14:paraId="4B4FC8B5" w14:textId="77777777" w:rsidR="008D479B" w:rsidRDefault="008D479B" w:rsidP="008D479B">
      <w:pPr>
        <w:pStyle w:val="TextoNormal"/>
      </w:pPr>
      <w:r>
        <w:t>El art. 5 de la Ley 20/2013 establece con carácter básico que las limitaciones que las autoridades competentes introduzcan al acceso o ejercicio de una actividad económica deberán (i) estar justificadas en alguna de las razones imperiosas de interés general enumeradas taxativamente en el art. 3.11 de la Ley 17/2009, de 23 de noviembre, sobre el libre acceso a las actividades de servicios y su ejercicio; y (ii) ser proporcionadas. En el presente caso, la finalidad perseguida por los preceptos extremeños impugnados es abiertamente proteccionista (justamente lo que intentan evitar la Ley 20/2013 y la Ley 17/2009, fuertemente influenciadas por el Derecho europeo), de manera que no encuentra encuadre en ninguna de las razones de interés general legalmente previstas, incurriendo así en inconstitucionalidad mediata o indirecta.</w:t>
      </w:r>
    </w:p>
    <w:p w14:paraId="27D6F6CC" w14:textId="77777777" w:rsidR="008D479B" w:rsidRDefault="008D479B" w:rsidP="008D479B">
      <w:pPr>
        <w:pStyle w:val="TextoNormal"/>
      </w:pPr>
    </w:p>
    <w:p w14:paraId="31B98049" w14:textId="77777777" w:rsidR="008D479B" w:rsidRDefault="008D479B" w:rsidP="008D479B">
      <w:pPr>
        <w:pStyle w:val="TextoNormal"/>
      </w:pPr>
      <w:r>
        <w:t>Y en este sentido emito mi voto particular.</w:t>
      </w:r>
    </w:p>
    <w:p w14:paraId="767958C4" w14:textId="77777777" w:rsidR="008D479B" w:rsidRDefault="008D479B" w:rsidP="008D479B">
      <w:pPr>
        <w:pStyle w:val="TextoNormal"/>
      </w:pPr>
    </w:p>
    <w:p w14:paraId="7C31AF9F" w14:textId="284F5682" w:rsidR="008D479B" w:rsidRDefault="008D479B" w:rsidP="008D479B">
      <w:pPr>
        <w:pStyle w:val="TextoNormal"/>
      </w:pPr>
      <w:r>
        <w:t>Madrid, a veintisiete de septiembre de dos mil veintitrés.</w:t>
      </w:r>
    </w:p>
    <w:p w14:paraId="22F5DEB7" w14:textId="4D6DD817" w:rsidR="008D479B" w:rsidRDefault="008D479B">
      <w:pPr>
        <w:spacing w:after="160" w:line="278" w:lineRule="auto"/>
        <w:rPr>
          <w:rFonts w:ascii="Times New Roman" w:eastAsia="Times New Roman" w:hAnsi="Times New Roman" w:cs="Times New Roman"/>
          <w:sz w:val="24"/>
          <w:szCs w:val="24"/>
          <w:lang w:eastAsia="es-ES"/>
        </w:rPr>
      </w:pPr>
      <w:r>
        <w:br w:type="page"/>
      </w:r>
    </w:p>
    <w:p w14:paraId="5F0C5274" w14:textId="77777777" w:rsidR="008D479B" w:rsidRDefault="008D479B" w:rsidP="008D479B">
      <w:pPr>
        <w:pStyle w:val="TtuloResolucin"/>
      </w:pPr>
      <w:bookmarkStart w:id="53" w:name="SENTENCIA_2023_128"/>
      <w:r>
        <w:t>SENTENCIA 128/2023, de 2 de octubre de 2023</w:t>
      </w:r>
    </w:p>
    <w:bookmarkEnd w:id="53"/>
    <w:p w14:paraId="40597CE5" w14:textId="77777777" w:rsidR="008D479B" w:rsidRDefault="008D479B" w:rsidP="008D479B">
      <w:pPr>
        <w:pStyle w:val="TtuloResolucin"/>
      </w:pPr>
      <w:r>
        <w:t>Pleno</w:t>
      </w:r>
    </w:p>
    <w:p w14:paraId="0577AD8B" w14:textId="77777777" w:rsidR="008D479B" w:rsidRDefault="008D479B" w:rsidP="008D479B">
      <w:pPr>
        <w:pStyle w:val="TtuloBOE"/>
      </w:pPr>
      <w:r>
        <w:t>(BOE núm. 261, de 1 de noviembre de 2023)</w:t>
      </w:r>
    </w:p>
    <w:p w14:paraId="419F1B86" w14:textId="77777777" w:rsidR="008D479B" w:rsidRDefault="008D479B" w:rsidP="008D479B">
      <w:pPr>
        <w:pStyle w:val="TextoNormalCentrado"/>
      </w:pPr>
      <w:r>
        <w:t>ECLI:ES:TC:2023:128</w:t>
      </w:r>
    </w:p>
    <w:p w14:paraId="2A2835F9" w14:textId="63AB6719" w:rsidR="008D479B" w:rsidRDefault="008D479B" w:rsidP="008D479B">
      <w:pPr>
        <w:pStyle w:val="TextoNormalCentrado"/>
      </w:pPr>
    </w:p>
    <w:p w14:paraId="6FC76ABE" w14:textId="77777777" w:rsidR="008D479B" w:rsidRDefault="008D479B" w:rsidP="008D479B">
      <w:pPr>
        <w:pStyle w:val="SntesisDescriptiva"/>
      </w:pPr>
      <w:r>
        <w:t>Recurso de inconstitucionalidad 2379-2021. Interpuesto por cincuenta diputados del Grupo Parlamentario Vox en el Congreso respecto de la Ley Orgánica 4/2021, de 29 de marzo, por la que se modifica la Ley Orgánica 6/1985, de 1 de julio, del Poder Judicial, para el establecimiento del régimen jurídico aplicable al Consejo General del Poder Judicial en funciones.</w:t>
      </w:r>
    </w:p>
    <w:p w14:paraId="692377AD" w14:textId="41F504D6" w:rsidR="008D479B" w:rsidRDefault="008D479B" w:rsidP="008D479B">
      <w:pPr>
        <w:pStyle w:val="SntesisDescriptiva"/>
      </w:pPr>
    </w:p>
    <w:p w14:paraId="1A1651F8" w14:textId="77777777" w:rsidR="008D479B" w:rsidRDefault="008D479B" w:rsidP="008D479B">
      <w:pPr>
        <w:pStyle w:val="SntesisAnaltica"/>
      </w:pPr>
      <w:r>
        <w:t>Régimen constitucional de las proposiciones de ley y del Consejo General del Poder Judicial: constitucionalidad de las previsiones legales que limitan funciones que puede ejercer el Consejo tras la expiración del mandato de sus miembros; suspensión de las facultades de nombramiento de presidente del Tribunal Supremo y de planteamiento del conflicto de atribuciones entre órganos constitucionales. Voto particular.</w:t>
      </w:r>
    </w:p>
    <w:p w14:paraId="18920E37" w14:textId="2214FC0D" w:rsidR="008D479B" w:rsidRDefault="008D479B" w:rsidP="008D479B">
      <w:pPr>
        <w:pStyle w:val="SntesisAnaltica"/>
      </w:pPr>
    </w:p>
    <w:p w14:paraId="7CEA83C9" w14:textId="53A4A0DD" w:rsidR="008D479B" w:rsidRDefault="008D479B" w:rsidP="008D479B">
      <w:pPr>
        <w:pStyle w:val="Extracto"/>
      </w:pPr>
      <w:r>
        <w:t>1.</w:t>
      </w:r>
      <w:r>
        <w:tab/>
        <w:t>El informe del Consejo General del Poder Judicial sólo es preceptivo respecto de los proyectos de ley sometidos por el Consejo de Ministros al Congreso de los Diputados (SSTC 108/1986 y 238/2012) y nunca en relación con las proposiciones de ley tomadas en consideración por una u otra Cámara; proposiciones cuya tramitación se rige, exclusivamente, por los reglamentos respectivos (art. 89.1 CE), en los que no se prevé informe preceptivo alguno a cargo de otros órganos [FJ 3].</w:t>
      </w:r>
    </w:p>
    <w:p w14:paraId="677FCC8F" w14:textId="77777777" w:rsidR="008D479B" w:rsidRDefault="008D479B" w:rsidP="008D479B">
      <w:pPr>
        <w:pStyle w:val="Extracto"/>
      </w:pPr>
    </w:p>
    <w:p w14:paraId="5EFC43F7" w14:textId="35166E5D" w:rsidR="008D479B" w:rsidRDefault="008D479B" w:rsidP="008D479B">
      <w:pPr>
        <w:pStyle w:val="Extracto"/>
      </w:pPr>
      <w:r>
        <w:t>2.</w:t>
      </w:r>
      <w:r>
        <w:tab/>
        <w:t>No se vulnera el procedimiento legislativo por el hecho de que una norma tenga su origen en una proposición de le ley y no en un proyecto de ley, porque no existe obstáculo alguno en ninguna disposición del bloque de la constitucionalidad para que una disposición normativa tenga su origen en una u otra iniciativa legislativa (STC 153/2016) [FJ 3].</w:t>
      </w:r>
    </w:p>
    <w:p w14:paraId="3A8011B7" w14:textId="77777777" w:rsidR="008D479B" w:rsidRDefault="008D479B" w:rsidP="008D479B">
      <w:pPr>
        <w:pStyle w:val="Extracto"/>
      </w:pPr>
    </w:p>
    <w:p w14:paraId="1D2D62FB" w14:textId="7EB04B63" w:rsidR="008D479B" w:rsidRDefault="008D479B" w:rsidP="008D479B">
      <w:pPr>
        <w:pStyle w:val="Extracto"/>
      </w:pPr>
      <w:r>
        <w:t>3.</w:t>
      </w:r>
      <w:r>
        <w:tab/>
        <w:t>El Consejo General del Poder Judicial es el órgano de gobierno del Poder Judicial, lo que resulta incompatible con la función de actuar a efectos procesales como representante del poder judicial, pues ello estaría en contradicción con el principio constitucional de independencia de jueces y magistrados que se deriva del art. 117.1 CE (STC 45/1986 o 108/1986) [FJ 4].</w:t>
      </w:r>
    </w:p>
    <w:p w14:paraId="2ABDE45F" w14:textId="77777777" w:rsidR="008D479B" w:rsidRDefault="008D479B" w:rsidP="008D479B">
      <w:pPr>
        <w:pStyle w:val="Extracto"/>
      </w:pPr>
    </w:p>
    <w:p w14:paraId="50DBA754" w14:textId="0BE64C5B" w:rsidR="008D479B" w:rsidRDefault="008D479B" w:rsidP="008D479B">
      <w:pPr>
        <w:pStyle w:val="Extracto"/>
      </w:pPr>
      <w:r>
        <w:t>4.</w:t>
      </w:r>
      <w:r>
        <w:tab/>
        <w:t>No existe una definición constitucional excluyente del sistema de nombramiento de los vocales del Consejo General del Poder Judicial, siendo posible, dentro del marco constitucional, que la propuesta para su nombramiento proceda en todo o en parte del Congreso o del Senado; y ello porque la posición de los integrantes de un órgano no tiene por qué depender de manera ineludible de quienes sean los encargados de su designación, sino que deriva de la situación que les otorgue el ordenamiento jurídico [FJ 4].</w:t>
      </w:r>
    </w:p>
    <w:p w14:paraId="6DE5C921" w14:textId="77777777" w:rsidR="008D479B" w:rsidRDefault="008D479B" w:rsidP="008D479B">
      <w:pPr>
        <w:pStyle w:val="Extracto"/>
      </w:pPr>
    </w:p>
    <w:p w14:paraId="7EB1376D" w14:textId="265903D9" w:rsidR="008D479B" w:rsidRDefault="008D479B" w:rsidP="008D479B">
      <w:pPr>
        <w:pStyle w:val="Extracto"/>
      </w:pPr>
      <w:r>
        <w:t>5.</w:t>
      </w:r>
      <w:r>
        <w:tab/>
        <w:t>Los vocales del Consejo General del Poder Judicial, incluidos los que forzosamente han de ser propuestos por las Cámaras y los que lo sean por cualquier otro mecanismo, no están vinculados al órgano proponente, como lo demuestra la prohibición del mandato imperativo (art. 119.2 de la LOPJ) [FJ 4].</w:t>
      </w:r>
    </w:p>
    <w:p w14:paraId="41355844" w14:textId="77777777" w:rsidR="008D479B" w:rsidRDefault="008D479B" w:rsidP="008D479B">
      <w:pPr>
        <w:pStyle w:val="Extracto"/>
      </w:pPr>
    </w:p>
    <w:p w14:paraId="1D320503" w14:textId="79FCAAE5" w:rsidR="008D479B" w:rsidRDefault="008D479B" w:rsidP="008D479B">
      <w:pPr>
        <w:pStyle w:val="Extracto"/>
      </w:pPr>
      <w:r>
        <w:t>6.</w:t>
      </w:r>
      <w:r>
        <w:tab/>
        <w:t>La fijación de cinco años de mandato no coincide con el de las Cámaras y durante este plazo no pueden ser removidos más que en los casos taxativamente determinados en la Ley Orgánica del Poder Judicial (STC 108/1986); prohibición de mandato imperativo que es expresión del principio de separación de poderes consagrado por la Constitución [FJ 4].</w:t>
      </w:r>
    </w:p>
    <w:p w14:paraId="2481461E" w14:textId="77777777" w:rsidR="008D479B" w:rsidRDefault="008D479B" w:rsidP="008D479B">
      <w:pPr>
        <w:pStyle w:val="Extracto"/>
      </w:pPr>
    </w:p>
    <w:p w14:paraId="55866B6C" w14:textId="7B7DFDF4" w:rsidR="008D479B" w:rsidRDefault="008D479B" w:rsidP="008D479B">
      <w:pPr>
        <w:pStyle w:val="Extracto"/>
      </w:pPr>
      <w:r>
        <w:t>7.</w:t>
      </w:r>
      <w:r>
        <w:tab/>
        <w:t>En cuanto al modo de renovación del Consejo General del Poder Judicial, si parcial o general, nada dice al respecto el art. 122.3 CE, lo que significa que la renovación en su integridad del Consejo es una opción legítima del legislador orgánico, no siendo inconcebible algún sistema de renovación del órgano por partes (STC 191/2016) [FJ 4].</w:t>
      </w:r>
    </w:p>
    <w:p w14:paraId="110D0A35" w14:textId="77777777" w:rsidR="008D479B" w:rsidRDefault="008D479B" w:rsidP="008D479B">
      <w:pPr>
        <w:pStyle w:val="Extracto"/>
      </w:pPr>
    </w:p>
    <w:p w14:paraId="7B012CB7" w14:textId="3DAD7A40" w:rsidR="008D479B" w:rsidRDefault="008D479B" w:rsidP="008D479B">
      <w:pPr>
        <w:pStyle w:val="Extracto"/>
      </w:pPr>
      <w:r>
        <w:t>8.</w:t>
      </w:r>
      <w:r>
        <w:tab/>
        <w:t>Por mandato del art. 122.3 CE, la propuesta de designación de vocales corresponde a cada una de las Cámaras, al Congreso de los Diputados y al Senado y no al órgano de estructura global, plural o compleja que son las Cortes Generales (SSTC 45/1986 y 155/2005), ni a estas últimas en sesión conjunta (STC 191/2016) [FJ 4].</w:t>
      </w:r>
    </w:p>
    <w:p w14:paraId="4D8917EC" w14:textId="77777777" w:rsidR="008D479B" w:rsidRDefault="008D479B" w:rsidP="008D479B">
      <w:pPr>
        <w:pStyle w:val="Extracto"/>
      </w:pPr>
    </w:p>
    <w:p w14:paraId="65CA87EA" w14:textId="43ACC933" w:rsidR="008D479B" w:rsidRDefault="008D479B" w:rsidP="008D479B">
      <w:pPr>
        <w:pStyle w:val="Extracto"/>
      </w:pPr>
      <w:r>
        <w:t>9.</w:t>
      </w:r>
      <w:r>
        <w:tab/>
        <w:t>La Constitución configura el Consejo como una institución no subordinada a los demás poderes públicos; por ello, los vocales del Consejo General del Poder Judicial no están ligados por mandato imperativo, ni pueden ser removidos de su cargo, por decisión o a impulso de cualquier otro poder público (arts. 581 y 582.1 LOPJ). Así, el Consejo es independiente del Gobierno y de las Cortes Generales, sin que entre aquel y estas medie vinculación de dependencia política que el constituyente también quiso evitar (SSTC 238/2012 y 191/2016) [FJ 4].</w:t>
      </w:r>
    </w:p>
    <w:p w14:paraId="256C690A" w14:textId="77777777" w:rsidR="008D479B" w:rsidRDefault="008D479B" w:rsidP="008D479B">
      <w:pPr>
        <w:pStyle w:val="Extracto"/>
      </w:pPr>
    </w:p>
    <w:p w14:paraId="50297C6B" w14:textId="52A6F56B" w:rsidR="008D479B" w:rsidRDefault="008D479B" w:rsidP="008D479B">
      <w:pPr>
        <w:pStyle w:val="Extracto"/>
      </w:pPr>
      <w:r>
        <w:t>10.</w:t>
      </w:r>
      <w:r>
        <w:tab/>
        <w:t>No se puede deducir del texto de la Constitución límite alguno impuesto al legislador orgánico a la hora de configurar el modo concreto en que el Consejo General del Poder Judicial adopta las decisiones relativas a la provisión de plazas de nombramiento discrecional (STC 238/2012) [FJ 4].</w:t>
      </w:r>
    </w:p>
    <w:p w14:paraId="33099931" w14:textId="77777777" w:rsidR="008D479B" w:rsidRDefault="008D479B" w:rsidP="008D479B">
      <w:pPr>
        <w:pStyle w:val="Extracto"/>
      </w:pPr>
    </w:p>
    <w:p w14:paraId="40873004" w14:textId="323D7ED1" w:rsidR="008D479B" w:rsidRDefault="008D479B" w:rsidP="008D479B">
      <w:pPr>
        <w:pStyle w:val="Extracto"/>
      </w:pPr>
      <w:r>
        <w:t>11.</w:t>
      </w:r>
      <w:r>
        <w:tab/>
        <w:t>Aunque no exista una expresa previsión constitucional para la regulación del Consejo en funciones, tampoco existe objeción jurídico-constitucional para que el legislador prevea un régimen excepcional de funcionamiento del Consejo en aquellos supuestos en que las cámaras no hayan cumplido su deber constitucional de nombrar a los nuevos vocales, pasado el mandato de cinco años que la Constitución prevé para este órgano constitucional en el art. 122.3 (STC 191/2016) y, de este modo, favorecer su renovación [FJ 4].</w:t>
      </w:r>
    </w:p>
    <w:p w14:paraId="5E5C721F" w14:textId="77777777" w:rsidR="008D479B" w:rsidRDefault="008D479B" w:rsidP="008D479B">
      <w:pPr>
        <w:pStyle w:val="Extracto"/>
      </w:pPr>
    </w:p>
    <w:p w14:paraId="70444240" w14:textId="1234C1BD" w:rsidR="008D479B" w:rsidRDefault="008D479B" w:rsidP="008D479B">
      <w:pPr>
        <w:pStyle w:val="Extracto"/>
      </w:pPr>
      <w:r>
        <w:t>12.</w:t>
      </w:r>
      <w:r>
        <w:tab/>
        <w:t>Ante la situación de prórroga, la suspensión de determinadas funciones del Consejo actúa como garantía de independencia frente a las Cámaras; el fin último de la regulación del Consejo en funciones es asegurar que todas las atribuciones ordinarias del Consejo sean ejercidas en su plenitud por aquellos a los que les corresponde dentro del mandato constitucional de cinco años [FJ 4].</w:t>
      </w:r>
    </w:p>
    <w:p w14:paraId="4F638941" w14:textId="77777777" w:rsidR="008D479B" w:rsidRDefault="008D479B" w:rsidP="008D479B">
      <w:pPr>
        <w:pStyle w:val="Extracto"/>
      </w:pPr>
    </w:p>
    <w:p w14:paraId="54CC4287" w14:textId="7FAC159B" w:rsidR="008D479B" w:rsidRDefault="008D479B" w:rsidP="008D479B">
      <w:pPr>
        <w:pStyle w:val="Extracto"/>
      </w:pPr>
      <w:r>
        <w:t>13.</w:t>
      </w:r>
      <w:r>
        <w:tab/>
        <w:t>El legislador orgánico tiene la potestad normativa de desarrollar las funciones propias del Consejo General del Poder Judicial, y de establecer un régimen excepcional aplicable transitoriamente una vez que expira el mandato constitucional de cinco años, única previsión clara e inequívoca del art. 122.3 CE, sin que ese reconocimiento suponga vulneración alguna del art. 122.2 CE, ni suponga atribuir facultades constituyentes al legislador democrático [FJ 4].</w:t>
      </w:r>
    </w:p>
    <w:p w14:paraId="49FC3F82" w14:textId="77777777" w:rsidR="008D479B" w:rsidRDefault="008D479B" w:rsidP="008D479B">
      <w:pPr>
        <w:pStyle w:val="Extracto"/>
      </w:pPr>
    </w:p>
    <w:p w14:paraId="17FC3352" w14:textId="3E2A21F1" w:rsidR="008D479B" w:rsidRDefault="008D479B" w:rsidP="008D479B">
      <w:pPr>
        <w:pStyle w:val="Extracto"/>
      </w:pPr>
      <w:r>
        <w:t>14.</w:t>
      </w:r>
      <w:r>
        <w:tab/>
        <w:t>La Constitución no prevé el sistema de nombramiento del presidente del CGPJ -que lo es también del Tribunal Supremo-, y el legislador orgánico competente optó por definir un modelo de vinculación estrecha entre el Consejo y su presidente, que necesita de una amplia mayoría para su elección y para su cese, que no tiene conexión electiva más que con el Consejo y no con las Cámaras; su mandato depende del Consejo que lo nombró [FJ 5].</w:t>
      </w:r>
    </w:p>
    <w:p w14:paraId="491770F7" w14:textId="77777777" w:rsidR="008D479B" w:rsidRDefault="008D479B" w:rsidP="008D479B">
      <w:pPr>
        <w:pStyle w:val="Extracto"/>
      </w:pPr>
    </w:p>
    <w:p w14:paraId="24E862EB" w14:textId="450E5D3D" w:rsidR="008D479B" w:rsidRDefault="008D479B" w:rsidP="008D479B">
      <w:pPr>
        <w:pStyle w:val="Extracto"/>
      </w:pPr>
      <w:r>
        <w:t>15.</w:t>
      </w:r>
      <w:r>
        <w:tab/>
        <w:t>Expirado su mandato, el CGPJ no puede proceder a la elección de un nuevo presidente; y este sistema en nada colisiona con el art. 123.2 CE cuando atribuye al Consejo la facultad, dentro del periodo de cinco años que dura su mandato (art. 122.3 CE), de proponer el nombramiento del presidente del Tribunal Supremo y del CGPJ [FJ 5].</w:t>
      </w:r>
    </w:p>
    <w:p w14:paraId="6DED19CF" w14:textId="77777777" w:rsidR="008D479B" w:rsidRDefault="008D479B" w:rsidP="008D479B">
      <w:pPr>
        <w:pStyle w:val="Extracto"/>
      </w:pPr>
    </w:p>
    <w:p w14:paraId="003FC397" w14:textId="78FDBB93" w:rsidR="008D479B" w:rsidRDefault="008D479B" w:rsidP="008D479B">
      <w:pPr>
        <w:pStyle w:val="Extracto"/>
      </w:pPr>
      <w:r>
        <w:t>16.</w:t>
      </w:r>
      <w:r>
        <w:tab/>
        <w:t>No es función directamente atribuida por la Constitución al Consejo General del Poder Judicial aquella de la que deriva su legitimación para interponer un conflicto de atribuciones ante la jurisdicción constitucional; esta legitimación es una facultad surgida del mero reconocimiento legal que formula el art. 59.1.c) de  la Ley Orgánica del Tribunal Constitucional [FJ 5].</w:t>
      </w:r>
    </w:p>
    <w:p w14:paraId="7DE9EF9C" w14:textId="77777777" w:rsidR="008D479B" w:rsidRDefault="008D479B" w:rsidP="008D479B">
      <w:pPr>
        <w:pStyle w:val="Extracto"/>
      </w:pPr>
    </w:p>
    <w:p w14:paraId="4231F9C6" w14:textId="77777777" w:rsidR="008D479B" w:rsidRDefault="008D479B" w:rsidP="008D479B">
      <w:pPr>
        <w:pStyle w:val="Extracto"/>
      </w:pPr>
    </w:p>
    <w:p w14:paraId="5A7FF28C" w14:textId="77777777" w:rsidR="008D479B" w:rsidRDefault="008D479B" w:rsidP="008D479B">
      <w:pPr>
        <w:pStyle w:val="TextoNormal"/>
      </w:pPr>
      <w: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 ha pronunciado</w:t>
      </w:r>
    </w:p>
    <w:p w14:paraId="6CBFDC81" w14:textId="6E735B3C" w:rsidR="008D479B" w:rsidRDefault="008D479B" w:rsidP="008D479B">
      <w:pPr>
        <w:pStyle w:val="TextoNormal"/>
      </w:pPr>
    </w:p>
    <w:p w14:paraId="2DAC7CF1" w14:textId="77777777" w:rsidR="008D479B" w:rsidRDefault="008D479B" w:rsidP="008D479B">
      <w:pPr>
        <w:pStyle w:val="TextoNormalCentrado"/>
        <w:keepNext/>
      </w:pPr>
      <w:r>
        <w:t>EN NOMBRE DEL REY</w:t>
      </w:r>
    </w:p>
    <w:p w14:paraId="0AEF5298" w14:textId="1A403E8E" w:rsidR="008D479B" w:rsidRDefault="008D479B" w:rsidP="008D479B">
      <w:pPr>
        <w:pStyle w:val="TextoNormalCentrado"/>
        <w:keepNext/>
      </w:pPr>
    </w:p>
    <w:p w14:paraId="775DF272" w14:textId="77777777" w:rsidR="008D479B" w:rsidRDefault="008D479B" w:rsidP="008D479B">
      <w:pPr>
        <w:pStyle w:val="TextoNormalCentrado"/>
        <w:keepNext/>
      </w:pPr>
    </w:p>
    <w:p w14:paraId="4DA8E7FA" w14:textId="77777777" w:rsidR="008D479B" w:rsidRDefault="008D479B" w:rsidP="008D479B">
      <w:pPr>
        <w:pStyle w:val="TextoNormal"/>
      </w:pPr>
      <w:r>
        <w:t>la siguiente</w:t>
      </w:r>
    </w:p>
    <w:p w14:paraId="14A9C435" w14:textId="4FD8DD26" w:rsidR="008D479B" w:rsidRDefault="008D479B" w:rsidP="008D479B">
      <w:pPr>
        <w:pStyle w:val="TextoNormal"/>
      </w:pPr>
    </w:p>
    <w:p w14:paraId="4B4557FE" w14:textId="77777777" w:rsidR="008D479B" w:rsidRDefault="008D479B" w:rsidP="008D479B">
      <w:pPr>
        <w:pStyle w:val="TextoNormalCentrado"/>
        <w:keepNext/>
      </w:pPr>
      <w:r>
        <w:t>SENTENCIA</w:t>
      </w:r>
    </w:p>
    <w:p w14:paraId="01F159C2" w14:textId="230D2B5D" w:rsidR="008D479B" w:rsidRDefault="008D479B" w:rsidP="008D479B">
      <w:pPr>
        <w:pStyle w:val="TextoNormalCentrado"/>
        <w:keepNext/>
      </w:pPr>
    </w:p>
    <w:p w14:paraId="77DB6910" w14:textId="77777777" w:rsidR="008D479B" w:rsidRDefault="008D479B" w:rsidP="008D479B">
      <w:pPr>
        <w:pStyle w:val="TextoNormal"/>
      </w:pPr>
      <w:r>
        <w:t>En el recurso de inconstitucionalidad núm. 2379-2021, interpuesto por cincuenta diputados y diputadas del Grupo Parlamentario Vox en el Congreso de los Diputados, contra la Ley Orgánica 4/2021, de 29 de marzo, por la que se modifica la Ley Orgánica 6/1985, de 1 de julio, del Poder Judicial, para el establecimiento del régimen jurídico aplicable al Consejo General del Poder Judicial en funciones. Han comparecido el Senado, el Congreso de los Diputados y el Gobierno de la Nación, habiendo formulado alegaciones los dos últimos. Ha sido ponente la magistrada doña María Luisa Balaguer Callejón.</w:t>
      </w:r>
    </w:p>
    <w:p w14:paraId="1A2083A8" w14:textId="64359D2B" w:rsidR="008D479B" w:rsidRDefault="008D479B" w:rsidP="008D479B">
      <w:pPr>
        <w:pStyle w:val="TextoNormal"/>
      </w:pPr>
    </w:p>
    <w:p w14:paraId="3C17699D" w14:textId="77777777" w:rsidR="008D479B" w:rsidRDefault="008D479B" w:rsidP="008D479B">
      <w:pPr>
        <w:pStyle w:val="TextoNormalNegritaCentrado"/>
        <w:keepNext/>
      </w:pPr>
      <w:r>
        <w:t>I. Antecedentes</w:t>
      </w:r>
    </w:p>
    <w:p w14:paraId="202D8167" w14:textId="0CC9FDB9" w:rsidR="008D479B" w:rsidRDefault="008D479B" w:rsidP="008D479B">
      <w:pPr>
        <w:pStyle w:val="TextoNormalNegritaCentrado"/>
        <w:keepNext/>
      </w:pPr>
    </w:p>
    <w:p w14:paraId="6B5A73B8" w14:textId="465E2D11" w:rsidR="008D479B" w:rsidRDefault="008D479B" w:rsidP="008D479B">
      <w:pPr>
        <w:pStyle w:val="TextoNormal"/>
      </w:pPr>
      <w:r w:rsidRPr="008D479B">
        <w:rPr>
          <w:rStyle w:val="NumeroAFNegritaCaracter"/>
        </w:rPr>
        <w:t>1</w:t>
      </w:r>
      <w:r>
        <w:t xml:space="preserve">. Mediante escrito registrado en este tribunal el 22 de abril de 2021, el procurador de los tribunales don Antonio Ortega Fuertes, actuando en nombre de cincuenta diputadas y diputados del Grupo Parlamentario Vox en el Congreso de los Diputados, interpuso, con la firma como comisionado de don Juan José Aizcorbe Torra, recurso de inconstitucionalidad contra la Ley Orgánica 4/2021, de 29 de marzo, por la que se modifica la Ley Orgánica 6/1985, de 1 de julio, del Poder Judicial (LOPJ), para el establecimiento del régimen jurídico aplicable al Consejo General del Poder Judicial en funciones (“Boletín Oficial del Estado” núm. 76, de 30 de marzo de 2021). La disposición impugnada añade los arts. 570 </w:t>
      </w:r>
      <w:r w:rsidRPr="008D479B">
        <w:rPr>
          <w:i/>
        </w:rPr>
        <w:t>bis</w:t>
      </w:r>
      <w:r>
        <w:t xml:space="preserve"> y 598 </w:t>
      </w:r>
      <w:r w:rsidRPr="008D479B">
        <w:rPr>
          <w:i/>
        </w:rPr>
        <w:t>bis</w:t>
      </w:r>
      <w:r>
        <w:t xml:space="preserve"> a la Ley Orgánica del Poder Judicial.</w:t>
      </w:r>
    </w:p>
    <w:p w14:paraId="1577B129" w14:textId="77777777" w:rsidR="008D479B" w:rsidRDefault="008D479B" w:rsidP="008D479B">
      <w:pPr>
        <w:pStyle w:val="TextoNormal"/>
      </w:pPr>
    </w:p>
    <w:p w14:paraId="327D46C0" w14:textId="77777777" w:rsidR="008D479B" w:rsidRDefault="008D479B" w:rsidP="008D479B">
      <w:pPr>
        <w:pStyle w:val="TextoNormal"/>
      </w:pPr>
      <w:r w:rsidRPr="008D479B">
        <w:rPr>
          <w:rStyle w:val="NumeroAFNegritaCaracter"/>
        </w:rPr>
        <w:t>2</w:t>
      </w:r>
      <w:r>
        <w:t>. Son antecedentes relevantes para contextualizar el recurso de inconstitucionalidad, los siguientes:</w:t>
      </w:r>
    </w:p>
    <w:p w14:paraId="02986383" w14:textId="77777777" w:rsidR="008D479B" w:rsidRDefault="008D479B" w:rsidP="008D479B">
      <w:pPr>
        <w:pStyle w:val="TextoNormal"/>
      </w:pPr>
    </w:p>
    <w:p w14:paraId="3C599201" w14:textId="77777777" w:rsidR="008D479B" w:rsidRDefault="008D479B" w:rsidP="008D479B">
      <w:pPr>
        <w:pStyle w:val="TextoNormal"/>
      </w:pPr>
      <w:r>
        <w:t>a) El Grupo Parlamentario Socialista y el Grupo Parlamentario Confederal de Unidas Podemos-En Comú Podem-Galicia en Común presentaron, el 2 de diciembre de 2020, una proposición de ley orgánica por la que se modifica la Ley Orgánica 6/1985, de 1 de julio, del Poder Judicial, para el establecimiento del régimen jurídico aplicable al Consejo General del Poder Judicial en funciones (“Boletín Oficial de las Cortes Generales. Congreso de los Diputados”, serie B, núm. 137-1, de 09 de diciembre de 2020). El 4 de diciembre la mesa del Congreso de los Diputados admite a trámite la iniciativa y la traslada al Gobierno, a los efectos de que se aplique el art. 126 del Reglamento del Congreso de los Diputados (RCD).</w:t>
      </w:r>
    </w:p>
    <w:p w14:paraId="4A7BA623" w14:textId="77777777" w:rsidR="008D479B" w:rsidRDefault="008D479B" w:rsidP="008D479B">
      <w:pPr>
        <w:pStyle w:val="TextoNormal"/>
      </w:pPr>
    </w:p>
    <w:p w14:paraId="3E193092" w14:textId="77777777" w:rsidR="008D479B" w:rsidRDefault="008D479B" w:rsidP="008D479B">
      <w:pPr>
        <w:pStyle w:val="TextoNormal"/>
      </w:pPr>
      <w:r>
        <w:t>b) El Gobierno comunica, el 9 de diciembre de 2020, su conformidad con la tramitación de la iniciativa (</w:t>
      </w:r>
      <w:r w:rsidRPr="008D479B">
        <w:rPr>
          <w:i/>
        </w:rPr>
        <w:t>ex</w:t>
      </w:r>
      <w:r>
        <w:t xml:space="preserve"> art. 126 RCD).</w:t>
      </w:r>
    </w:p>
    <w:p w14:paraId="47069DC6" w14:textId="77777777" w:rsidR="008D479B" w:rsidRDefault="008D479B" w:rsidP="008D479B">
      <w:pPr>
        <w:pStyle w:val="TextoNormal"/>
      </w:pPr>
    </w:p>
    <w:p w14:paraId="726AC697" w14:textId="77777777" w:rsidR="008D479B" w:rsidRDefault="008D479B" w:rsidP="008D479B">
      <w:pPr>
        <w:pStyle w:val="TextoNormal"/>
      </w:pPr>
      <w:r>
        <w:t>c) El 15 de diciembre siguiente el Pleno del Congreso de los Diputados toma en consideración la proposición de Ley Orgánica (“Boletín Oficial de las Cortes Generales. Congreso de los Diputados”, serie B, núm. 137-2, de 21 de diciembre de 2020). Tras la toma en consideración se registra solicitud de los proponentes, fechada el 16 de diciembre, para tramitar la proposición por el procedimiento de urgencia (art. 93 RCD).</w:t>
      </w:r>
    </w:p>
    <w:p w14:paraId="209A35DC" w14:textId="77777777" w:rsidR="008D479B" w:rsidRDefault="008D479B" w:rsidP="008D479B">
      <w:pPr>
        <w:pStyle w:val="TextoNormal"/>
      </w:pPr>
    </w:p>
    <w:p w14:paraId="46D7E852" w14:textId="77777777" w:rsidR="008D479B" w:rsidRDefault="008D479B" w:rsidP="008D479B">
      <w:pPr>
        <w:pStyle w:val="TextoNormal"/>
      </w:pPr>
      <w:r>
        <w:t>d) El 17 de diciembre de 2020 el Pleno del Consejo General del Poder Judicial aprueba, por mayoría, una declaración institucional que contiene el acuerdo de instar al Congreso de los Diputados para que solicite informe del Consejo sobre la proposición de ley orgánica por la que se modifica la Ley Orgánica 6/1985, de 1 de julio, del Poder Judicial, para el establecimiento del régimen jurídico aplicable al Consejo General del Poder Judicial en funciones. El fundamento de la petición es la defensa de la posición constitucional que el Consejo General del Poder Judicial tiene en nuestro Estado de Derecho como garante de la independencia judicial. En ese mismo acuerdo se insta al Congreso para que solicite informe sobre la proposición a la Comisión Europea para la Democracia por el Derecho (Comisión de Venecia), y se pone de manifiesto la necesidad de dar audiencia a todos los agentes afectados por la reforma propuesta, en particular las asociaciones de jueces y fiscales, así como a las demás entidades representativas e instituciones públicas del ámbito de la justicia. Frente a este acuerdo formulan voto particular cinco vocales.</w:t>
      </w:r>
    </w:p>
    <w:p w14:paraId="4A71463D" w14:textId="77777777" w:rsidR="008D479B" w:rsidRDefault="008D479B" w:rsidP="008D479B">
      <w:pPr>
        <w:pStyle w:val="TextoNormal"/>
      </w:pPr>
    </w:p>
    <w:p w14:paraId="0D3D6BB0" w14:textId="77777777" w:rsidR="008D479B" w:rsidRDefault="008D479B" w:rsidP="008D479B">
      <w:pPr>
        <w:pStyle w:val="TextoNormal"/>
      </w:pPr>
      <w:r>
        <w:t>e) El mismo día 17 de diciembre, la mesa de la Cámara acuerda encomendar dictamen sobre la proposición de ley a la Comisión de Justicia, disponer su tramitación por el procedimiento de urgencia (arts. 93.1 y 126.5 RCD), con la oposición del Grupo Parlamentario Popular y, teniendo en cuenta la solicitud de celebración de sesiones extraordinarias de los órganos necesarios para la tramitación y aprobación de la proposición de ley, acuerda también abrir un plazo de ocho días hábiles, que expira el día 25 de enero de 2021, para la presentación de enmiendas (art. 90.2 RCD).</w:t>
      </w:r>
    </w:p>
    <w:p w14:paraId="5589D300" w14:textId="77777777" w:rsidR="008D479B" w:rsidRDefault="008D479B" w:rsidP="008D479B">
      <w:pPr>
        <w:pStyle w:val="TextoNormal"/>
      </w:pPr>
    </w:p>
    <w:p w14:paraId="01936AD5" w14:textId="77777777" w:rsidR="008D479B" w:rsidRDefault="008D479B" w:rsidP="008D479B">
      <w:pPr>
        <w:pStyle w:val="TextoNormal"/>
      </w:pPr>
      <w:r>
        <w:t>f) El 21 de diciembre de 2020, se registra en la Cámara el antedicho acuerdo del Pleno del Consejo General del Poder Judicial (escrito núm. expediente 122-000109-0005). El Grupo Parlamentario Popular realiza la misma solicitud el día 2 de enero de 2021, reiterando lo planteado previamente en un escrito de 17 de diciembre, documento en el que ya se hacía mención del acuerdo del Consejo de 17 de diciembre (escrito núm. expediente 122-000109-0006).</w:t>
      </w:r>
    </w:p>
    <w:p w14:paraId="427DFBBB" w14:textId="77777777" w:rsidR="008D479B" w:rsidRDefault="008D479B" w:rsidP="008D479B">
      <w:pPr>
        <w:pStyle w:val="TextoNormal"/>
      </w:pPr>
    </w:p>
    <w:p w14:paraId="2430221D" w14:textId="77777777" w:rsidR="008D479B" w:rsidRDefault="008D479B" w:rsidP="008D479B">
      <w:pPr>
        <w:pStyle w:val="TextoNormal"/>
      </w:pPr>
      <w:r>
        <w:t>El 13 de enero de 2021 la mesa comunica, tanto al Grupo Parlamentario Popular como al Consejo General del Poder Judicial, la improcedencia de acceder a lo solicitado. En la discusión previa a la adopción de esta decisión se pone de manifiesto, por quienes interesaban la estimación de lo requerido por el Consejo y el Grupo Parlamentario Popular, que sin ser obligatoria la intervención del Consejo sería conveniente por la materia de la proposición. Por su parte, quienes se oponían a dicha estimación invocaban algunos precedentes parlamentarios, haciendo hincapié en la necesidad de que la mesa garantice la vigencia del principio de separación de poderes y proteja la capacidad legislativa y de impulso político del Parlamento, sin injerencias de otros poderes. La mesa considera finalmente que no procede “acceder a lo solicitado de acuerdo con el carácter potestativo con que se prevé la solicitud de informe y una vez ponderadas las circunstancias que concurren en el presente caso, todo ello conforme a lo dispuesto en el artículo 561 de la Ley Orgánica 6/1985, de 1 de julio, del Poder Judicial”.</w:t>
      </w:r>
    </w:p>
    <w:p w14:paraId="4A979F7E" w14:textId="77777777" w:rsidR="008D479B" w:rsidRDefault="008D479B" w:rsidP="008D479B">
      <w:pPr>
        <w:pStyle w:val="TextoNormal"/>
      </w:pPr>
    </w:p>
    <w:p w14:paraId="32A01E32" w14:textId="77777777" w:rsidR="008D479B" w:rsidRDefault="008D479B" w:rsidP="008D479B">
      <w:pPr>
        <w:pStyle w:val="TextoNormal"/>
      </w:pPr>
      <w:r>
        <w:t>g) El 25 de enero de 2021 se registra en el Congreso de los Diputados comunicación del acuerdo adoptado por el Pleno del Consejo General del Poder Judicial, en su reunión extraordinaria de 21 de enero de 2021. En el acuerdo se insta a la reconsideración de la decisión de la mesa fechada el 13 de enero de 2021. El acuerdo afirma que la falta de audiencia al Consejo General del Poder Judicial desconoce su papel como garante de la independencia de jueces y magistrados, impidiéndole pronunciarse sobre la adecuación de la reforma propuesta a los principios constitucionales y a los estándares europeos de todo Estado de Derecho, basados en el principio de separación de poderes según se han definido en el Derecho de la Unión Europea y en los dictámenes de la Comisión de Venecia. Frente a este acuerdo se formulan cinco votos particulares. El Grupo Parlamentario Popular también solicita la reconsideración de la decisión de la mesa (escrito núm. expediente 122-000109-0007).</w:t>
      </w:r>
    </w:p>
    <w:p w14:paraId="4CE5EEFA" w14:textId="77777777" w:rsidR="008D479B" w:rsidRDefault="008D479B" w:rsidP="008D479B">
      <w:pPr>
        <w:pStyle w:val="TextoNormal"/>
      </w:pPr>
    </w:p>
    <w:p w14:paraId="7843F56E" w14:textId="77777777" w:rsidR="008D479B" w:rsidRDefault="008D479B" w:rsidP="008D479B">
      <w:pPr>
        <w:pStyle w:val="TextoNormal"/>
      </w:pPr>
      <w:r>
        <w:t>h) Tras la solicitud de reconsideración, y habiendo oído a la junta de portavoces, la mesa decide desestimarla mediante acuerdo de 9 de febrero de 2021. Sostiene la mesa que su negativa a remitir la proposición de ley al Consejo General del Poder Judicial a efectos de informe resulta de la aplicación del “artículo 561.1 LOPJ el cual, en contra de lo que sostienen los recurrentes, contempla la posibilidad de someter a informe del citado Consejo las materias que indica, como una facultad de la Cámara, siendo así que el ejercicio de tal facultad corresponde a su mesa, conforme a lo dispuesto en el artículo 31.1.7 del Reglamento. En consecuencia, se trata de un informe potestativo, no preceptivo, correspondiendo a la mesa de la Cámara la decisión discrecional sobre la pertinencia y oportunidad de la solicitud. Así, la mesa de la Cámara, que es el órgano que ha decidido sobre esta materia en todos los casos anteriores, ha acordado recabar el informe del Consejo General del Poder Judicial en algunos supuestos, pero no así en otros, de forma que no existe un precedente parlamentario uniforme que pueda, ni siquiera de manera tentativa, condicionar la decisión de la mesa”.</w:t>
      </w:r>
    </w:p>
    <w:p w14:paraId="3717A0E8" w14:textId="77777777" w:rsidR="008D479B" w:rsidRDefault="008D479B" w:rsidP="008D479B">
      <w:pPr>
        <w:pStyle w:val="TextoNormal"/>
      </w:pPr>
    </w:p>
    <w:p w14:paraId="7FC02518" w14:textId="77777777" w:rsidR="008D479B" w:rsidRDefault="008D479B" w:rsidP="008D479B">
      <w:pPr>
        <w:pStyle w:val="TextoNormal"/>
      </w:pPr>
      <w:r>
        <w:t xml:space="preserve">Después de detallar que los precedentes parlamentarios no avalan la petición del grupo parlamentario Popular, la mesa también rechaza el resto de los argumentos empleados en la solicitud de reconsideración. Frente a la alegación de que la solicitud de informe al Consejo y la Comisión de Venecia es preceptiva porque así se deriva del derecho de la Unión Europea, la mesa sostiene que “[l]as recomendaciones de la Comisión Europea 2017/1520 y 2018/103, citadas en el escrito de reconsideración, además de no ser jurídicamente vinculantes, tienen efectos exclusivamente circunscritos al Estado miembro a los que las mismas se refieren (Polonia) y a sus circunstancias particulares. Este mismo carácter cabe atribuir a las comunicaciones del portavoz de justicia de 15 de octubre y de 4 de diciembre de 2020, las cuales, adicionalmente, circunscriben sus efectos exclusivamente a la iniciativa en tramitación en aquel momento y no a la proposición de ley orgánica de referencia, que posee una sustantividad propia, como iniciativa legislativa autónoma procedente de un sujeto constitucionalmente legitimado para presentarla, en condiciones de igualdad con los restantes, sin que de dichas comunicaciones quepa inferir una suerte de limitación del </w:t>
      </w:r>
      <w:r w:rsidRPr="008D479B">
        <w:rPr>
          <w:i/>
        </w:rPr>
        <w:t>ius in officium</w:t>
      </w:r>
      <w:r>
        <w:t xml:space="preserve"> como contenido del derecho fundamental de representación política del artículo 23 de la Constitución del autor de dicha iniciativa”.</w:t>
      </w:r>
    </w:p>
    <w:p w14:paraId="289F8F62" w14:textId="77777777" w:rsidR="008D479B" w:rsidRDefault="008D479B" w:rsidP="008D479B">
      <w:pPr>
        <w:pStyle w:val="TextoNormal"/>
      </w:pPr>
    </w:p>
    <w:p w14:paraId="7CCCEF51" w14:textId="77777777" w:rsidR="008D479B" w:rsidRDefault="008D479B" w:rsidP="008D479B">
      <w:pPr>
        <w:pStyle w:val="TextoNormal"/>
      </w:pPr>
      <w:r>
        <w:t>En relación con la posibilidad de que el carácter preceptivo del informe del Consejo pudiera derivar del principio de buena regulación, la mesa del Congreso afirma que “[e]l artículo 129.1 de la Ley 39/2015, de 1 de octubre, de procedimiento administrativo común de las administraciones públicas, al recoger tales principios, delimita con precisión su ámbito subjetivo de aplicación, que no puede interpretarse, como parece entenderse de contrario, en el sentido de generar una supuesta obligación de la mesa de la Cámara de solicitar el mencionado informe”.</w:t>
      </w:r>
    </w:p>
    <w:p w14:paraId="45E51210" w14:textId="77777777" w:rsidR="008D479B" w:rsidRDefault="008D479B" w:rsidP="008D479B">
      <w:pPr>
        <w:pStyle w:val="TextoNormal"/>
      </w:pPr>
    </w:p>
    <w:p w14:paraId="1C6FDC16" w14:textId="77777777" w:rsidR="008D479B" w:rsidRDefault="008D479B" w:rsidP="008D479B">
      <w:pPr>
        <w:pStyle w:val="TextoNormal"/>
      </w:pPr>
      <w:r>
        <w:t>Por último, y en lo que atañe a la mención de la obligación de acordar comparecencias de expertos en comisión, la mesa sostiene que “le corresponde en exclusiva a la propia Comisión competente, de conformidad con lo dispuesto en el artículo 44.4 del Reglamento, sin que la mesa de la Cámara ostente competencia alguna a este respecto, en consideración, entre otras cosas, a la autonomía de la que gozan las comisiones para la adopción de sus acuerdos”.</w:t>
      </w:r>
    </w:p>
    <w:p w14:paraId="5E839B31" w14:textId="77777777" w:rsidR="008D479B" w:rsidRDefault="008D479B" w:rsidP="008D479B">
      <w:pPr>
        <w:pStyle w:val="TextoNormal"/>
      </w:pPr>
    </w:p>
    <w:p w14:paraId="792AEFB5" w14:textId="77777777" w:rsidR="008D479B" w:rsidRDefault="008D479B" w:rsidP="008D479B">
      <w:pPr>
        <w:pStyle w:val="TextoNormal"/>
      </w:pPr>
      <w:r>
        <w:t>i) El 2 de febrero de 2021 se publican las enmiendas a la proposición de ley de los distintos grupos parlamentarios (“Boletín Oficial de las Cortes Generales. Congreso de los Diputados”, serie B, núm. 137-4).</w:t>
      </w:r>
    </w:p>
    <w:p w14:paraId="10BE92D4" w14:textId="77777777" w:rsidR="008D479B" w:rsidRDefault="008D479B" w:rsidP="008D479B">
      <w:pPr>
        <w:pStyle w:val="TextoNormal"/>
      </w:pPr>
    </w:p>
    <w:p w14:paraId="4523D50A" w14:textId="77777777" w:rsidR="008D479B" w:rsidRDefault="008D479B" w:rsidP="008D479B">
      <w:pPr>
        <w:pStyle w:val="TextoNormal"/>
      </w:pPr>
      <w:r>
        <w:t>El Grupo Parlamentario Vox, al amparo de lo dispuesto en el art. 110.3 RCD, presenta una enmienda a la totalidad con texto alternativo que propone retornar al sistema de designación de los vocales del Consejo General del Poder Judicial de la Ley Orgánica 1/1980, de 10 de enero, del Consejo General del Poder Judicial, de manera que doce de los veinte vocales que integran el Consejo sean “elegidos entre y por jueces y magistrados pertenecientes a todas las categorías judiciales” que se encuentren en servicio activo mediante “voto personal, igual, directo y secreto”. En el mismo sentido, aunque no con la misma dicción literal, se manifiesta el Grupo Parlamentario Ciudadanos en su enmienda a la totalidad, que propone reformar el régimen de elección de los vocales del Consejo General del Poder Judicial previsto en la Ley Orgánica del Poder Judicial para que los doce de procedencia judicial sean elegidos directamente por los jueces y magistrados.</w:t>
      </w:r>
    </w:p>
    <w:p w14:paraId="3ABA70F0" w14:textId="77777777" w:rsidR="008D479B" w:rsidRDefault="008D479B" w:rsidP="008D479B">
      <w:pPr>
        <w:pStyle w:val="TextoNormal"/>
      </w:pPr>
    </w:p>
    <w:p w14:paraId="4B4CA3C5" w14:textId="77777777" w:rsidR="008D479B" w:rsidRDefault="008D479B" w:rsidP="008D479B">
      <w:pPr>
        <w:pStyle w:val="TextoNormal"/>
      </w:pPr>
      <w:r>
        <w:t>El Grupo Parlamentario Plural presenta, igualmente, enmienda a la totalidad con texto alternativo proponiendo modificaciones en la elección de los vocales del Consejo General del Poder Judicial, si bien esta elección se mantendría en sede parlamentaria para la totalidad de los integrantes del Consejo. Y, por último, el propio Grupo Parlamentario Popular presenta enmienda a la totalidad proponiendo reformas de la Ley Orgánica del Poder Judicial relativas a: (i) la fórmula de nombramiento de los vocales del Consejo General del Poder Judicial; (ii) las mayorías requeridas en el seno del Consejo para efectuar su función de nombramiento; (iii) la plenitud de funciones del Consejo saliente; y (iv) la necesidad de incluir el informe del Consejo General del Poder Judicial cuando el Congreso de los Diputados o el Senado tomen en consideración una proposición de ley que verse sobre alguna de las materias sobre las que el Consejo tenga facultades de informe.</w:t>
      </w:r>
    </w:p>
    <w:p w14:paraId="140CA63B" w14:textId="77777777" w:rsidR="008D479B" w:rsidRDefault="008D479B" w:rsidP="008D479B">
      <w:pPr>
        <w:pStyle w:val="TextoNormal"/>
      </w:pPr>
    </w:p>
    <w:p w14:paraId="043D441A" w14:textId="229CB77A" w:rsidR="008D479B" w:rsidRDefault="008D479B" w:rsidP="008D479B">
      <w:pPr>
        <w:pStyle w:val="TextoNormal"/>
      </w:pPr>
      <w:r>
        <w:t>j) Calificadas las enmiendas por la mesa de la Comisión de Justicia, el 28 de enero de 2021 se celebró el debate de totalidad, quedando rechazadas las cuatro enmiendas a la totalidad de texto alternativo que fueron presentadas. En sesión celebrada el 12 de febrero de 2021, la ponencia encargada de redactar el informe sobre la proposición de ley orgánica propone por mayoría la aceptación, en sus términos, del texto de la proposición de ley orgánica y el rechazo de las enmiendas presentadas. El 16 de febrero, la  eleva a la presidenta de la Cámara dictamen de conformidad con el informe de la ponencia. El Pleno del Congreso aprobó la proposición el 11 de marzo de 2021 (“Boletín Oficial de las Cortes Generales. Congreso de los Diputados”, serie B, núm. 137-7, de 16 de marzo de 2021). Por su parte, en el Senado se aprobó la proposición el 24 de marzo de 2021 sin introducirse variaciones respecto del texto remitido por el Congreso [“Boletín Oficial de las Cortes Generales. Senado”, núm. 163-1667 (Apartado I) de 26 de marzo de 2021].</w:t>
      </w:r>
    </w:p>
    <w:p w14:paraId="7B6198E9" w14:textId="77777777" w:rsidR="008D479B" w:rsidRDefault="008D479B" w:rsidP="008D479B">
      <w:pPr>
        <w:pStyle w:val="TextoNormal"/>
      </w:pPr>
    </w:p>
    <w:p w14:paraId="46B460BF" w14:textId="77777777" w:rsidR="008D479B" w:rsidRDefault="008D479B" w:rsidP="008D479B">
      <w:pPr>
        <w:pStyle w:val="TextoNormal"/>
      </w:pPr>
      <w:r w:rsidRPr="008D479B">
        <w:rPr>
          <w:rStyle w:val="NumeroAFNegritaCaracter"/>
        </w:rPr>
        <w:t>3</w:t>
      </w:r>
      <w:r>
        <w:t>. Las alegaciones que sustentan las censuras de constitucionalidad planteadas en la demanda, respecto de la totalidad de la Ley Orgánica 4/2021, de 29 de marzo, son, en síntesis, las siguientes:</w:t>
      </w:r>
    </w:p>
    <w:p w14:paraId="6E7984CD" w14:textId="77777777" w:rsidR="008D479B" w:rsidRDefault="008D479B" w:rsidP="008D479B">
      <w:pPr>
        <w:pStyle w:val="TextoNormal"/>
      </w:pPr>
    </w:p>
    <w:p w14:paraId="3F3E84C8" w14:textId="77777777" w:rsidR="008D479B" w:rsidRDefault="008D479B" w:rsidP="008D479B">
      <w:pPr>
        <w:pStyle w:val="TextoNormal"/>
      </w:pPr>
      <w:r>
        <w:t>A) Inconstitucionalidad por vicios procedimentales: vulneración de los arts. 23 y 122 CE, 561.1 LOPJ, así como de los arts. 88 y 89.1 CE en conexión con los arts. 69 y 124 RCD</w:t>
      </w:r>
    </w:p>
    <w:p w14:paraId="1FBD0F50" w14:textId="77777777" w:rsidR="008D479B" w:rsidRDefault="008D479B" w:rsidP="008D479B">
      <w:pPr>
        <w:pStyle w:val="TextoNormal"/>
      </w:pPr>
    </w:p>
    <w:p w14:paraId="6D17D401" w14:textId="77777777" w:rsidR="008D479B" w:rsidRDefault="008D479B" w:rsidP="008D479B">
      <w:pPr>
        <w:pStyle w:val="TextoNormal"/>
      </w:pPr>
      <w:r>
        <w:t>Apelando al contenido de la STC 238/2012, de 13 de diciembre, se aduce que los vicios procedimentales, que afecten esencialmente al proceso de formación de la voluntad de la Cámara, pueden ser relevantes respecto de la inconstitucionalidad de la norma así aprobada (con cita también de la STC 108/1986, de 29 de julio). En este caso, los recurrentes sostienen la inconstitucionalidad de la Ley Orgánica 4/2021 en su totalidad debido a los vicios formales en que se incurrió en su tramitación parlamentaria; vicios que determinan, a su vez, la infracción de los derechos fundamentales previstos en el art. 23 CE.</w:t>
      </w:r>
    </w:p>
    <w:p w14:paraId="4A0C795C" w14:textId="77777777" w:rsidR="008D479B" w:rsidRDefault="008D479B" w:rsidP="008D479B">
      <w:pPr>
        <w:pStyle w:val="TextoNormal"/>
      </w:pPr>
    </w:p>
    <w:p w14:paraId="61FEEBAC" w14:textId="77777777" w:rsidR="008D479B" w:rsidRDefault="008D479B" w:rsidP="008D479B">
      <w:pPr>
        <w:pStyle w:val="TextoNormal"/>
      </w:pPr>
      <w:r>
        <w:t>a) Los recurrentes aducen, por una parte, la indebida omisión del informe del Consejo General del Poder Judicial de acuerdo con el art. 561.1 LOPJ, cuando prescribe que “se someterán a informe del Consejo General del Poder Judicial los anteproyectos de ley y disposiciones generales que versen sobre las siguientes materias: 1 Modificaciones de la Ley Orgánica del Poder Judicial”. La argumentación desarrollada en la demanda se puede sintetizar en los siguientes términos:</w:t>
      </w:r>
    </w:p>
    <w:p w14:paraId="3007E7FC" w14:textId="77777777" w:rsidR="008D479B" w:rsidRDefault="008D479B" w:rsidP="008D479B">
      <w:pPr>
        <w:pStyle w:val="TextoNormal"/>
      </w:pPr>
    </w:p>
    <w:p w14:paraId="3EEDC1BF" w14:textId="77777777" w:rsidR="008D479B" w:rsidRDefault="008D479B" w:rsidP="008D479B">
      <w:pPr>
        <w:pStyle w:val="TextoNormal"/>
      </w:pPr>
      <w:r>
        <w:t>(i) La demanda considera que la proposición de ley, cuya tramitación terminó con la aprobación de la Ley Orgánica 4/2021, debía ser objeto del previo informe del Consejo General del Poder Judicial por su contenido material, pese a no ser formalmente resultado de un proyecto de ley.</w:t>
      </w:r>
    </w:p>
    <w:p w14:paraId="0F7CC9CC" w14:textId="77777777" w:rsidR="008D479B" w:rsidRDefault="008D479B" w:rsidP="008D479B">
      <w:pPr>
        <w:pStyle w:val="TextoNormal"/>
      </w:pPr>
    </w:p>
    <w:p w14:paraId="6B136638" w14:textId="77777777" w:rsidR="008D479B" w:rsidRDefault="008D479B" w:rsidP="008D479B">
      <w:pPr>
        <w:pStyle w:val="TextoNormal"/>
      </w:pPr>
      <w:r>
        <w:t>(ii) El requisito procedimental contenido en el art. 561.1 LOPJ resulta indisponible para el Gobierno, debiendo necesariamente acompañar al proyecto de ley que se remita al Congreso, como uno de los antecedentes necesarios a que alude el art. 88 CE.</w:t>
      </w:r>
    </w:p>
    <w:p w14:paraId="18E4491A" w14:textId="77777777" w:rsidR="008D479B" w:rsidRDefault="008D479B" w:rsidP="008D479B">
      <w:pPr>
        <w:pStyle w:val="TextoNormal"/>
      </w:pPr>
    </w:p>
    <w:p w14:paraId="47B77B86" w14:textId="77777777" w:rsidR="008D479B" w:rsidRDefault="008D479B" w:rsidP="008D479B">
      <w:pPr>
        <w:pStyle w:val="TextoNormal"/>
      </w:pPr>
      <w:r>
        <w:t>(iii) La exigencia del previo dictamen del Consejo General del Poder Judicial se establece como garantía para que los diputados y los grupos puedan ejercer la función legislativa con pleno conocimiento sobre una concreta circunstancia: los riesgos que para la independencia del Poder Judicial pueda suponer la reforma propuesta por el Gobierno y la mayoría política que le apoya. La exigencia de dictámenes técnicos previos a la adopción de la decisión legislativa se establece en garantía de las minorías y del control que encomienda a estas la democracia representativa, para evitar los excesos de la mayoría política que sustenta al ejecutivo en cada momento.</w:t>
      </w:r>
    </w:p>
    <w:p w14:paraId="6526F385" w14:textId="77777777" w:rsidR="008D479B" w:rsidRDefault="008D479B" w:rsidP="008D479B">
      <w:pPr>
        <w:pStyle w:val="TextoNormal"/>
      </w:pPr>
    </w:p>
    <w:p w14:paraId="7B92D799" w14:textId="77777777" w:rsidR="008D479B" w:rsidRDefault="008D479B" w:rsidP="008D479B">
      <w:pPr>
        <w:pStyle w:val="TextoNormal"/>
      </w:pPr>
      <w:r>
        <w:t xml:space="preserve">(iv) Concluyen los recurrentes que cuando una proposición de ley sea presentada por la mayoría parlamentaria que sustenta al Gobierno, entre los antecedentes de la proposición que deben ser presentadas </w:t>
      </w:r>
      <w:r w:rsidRPr="008D479B">
        <w:rPr>
          <w:i/>
        </w:rPr>
        <w:t>ex</w:t>
      </w:r>
      <w:r>
        <w:t xml:space="preserve"> arts. 89.2 CE y 69 y 124 RCD, deberían incluirse aquellos que preceptivamente debiera recabar el Gobierno en la presentación de un proyecto de ley; en este caso, el informe del Consejo General del Poder Judicial por exigencia del art. 561.1 LOPJ.</w:t>
      </w:r>
    </w:p>
    <w:p w14:paraId="261545A1" w14:textId="77777777" w:rsidR="008D479B" w:rsidRDefault="008D479B" w:rsidP="008D479B">
      <w:pPr>
        <w:pStyle w:val="TextoNormal"/>
      </w:pPr>
    </w:p>
    <w:p w14:paraId="6A132C9B" w14:textId="77777777" w:rsidR="008D479B" w:rsidRDefault="008D479B" w:rsidP="008D479B">
      <w:pPr>
        <w:pStyle w:val="TextoNormal"/>
      </w:pPr>
      <w:r>
        <w:t>b) Por otra parte, los recurrentes alegan que se ha producido un fraude de ley, en sentido técnico jurídico (art. 6.4 del Código civil), al utilizar la vía de la proposición de ley, por la mayoría parlamentaria que sustenta al Gobierno, para eludir la obligación de recabar el dictamen del Consejo General del Poder Judicial en las reformas de la ley orgánica referida en el art. 122 CE. El razonamiento desarrollado en la demanda es el siguiente:</w:t>
      </w:r>
    </w:p>
    <w:p w14:paraId="1CBF8DA5" w14:textId="77777777" w:rsidR="008D479B" w:rsidRDefault="008D479B" w:rsidP="008D479B">
      <w:pPr>
        <w:pStyle w:val="TextoNormal"/>
      </w:pPr>
    </w:p>
    <w:p w14:paraId="0A305209" w14:textId="77777777" w:rsidR="008D479B" w:rsidRDefault="008D479B" w:rsidP="008D479B">
      <w:pPr>
        <w:pStyle w:val="TextoNormal"/>
      </w:pPr>
      <w:r>
        <w:t>(i) Existe una identidad funcional entre el Gobierno y la mayoría política que le sustenta, por lo que resulta fácil colegir que no se puede utilizar a conveniencia el cauce del proyecto o la proposición de ley, como medio para hurtar a los diputados y grupos de la minoría de aquellos informes y dictámenes exigidos por la ley y que sirven de soporte técnico imprescindible para el fundado ejercicio de la potestad legislativa. Por tanto, la exigencia del art. 561.1 LOPJ debe imponerse también a las proposiciones de reforma de la citada ley orgánica presentadas por la mayoría política que soporta al Gobierno.</w:t>
      </w:r>
    </w:p>
    <w:p w14:paraId="615AB9FA" w14:textId="77777777" w:rsidR="008D479B" w:rsidRDefault="008D479B" w:rsidP="008D479B">
      <w:pPr>
        <w:pStyle w:val="TextoNormal"/>
      </w:pPr>
    </w:p>
    <w:p w14:paraId="217B1973" w14:textId="77777777" w:rsidR="008D479B" w:rsidRDefault="008D479B" w:rsidP="008D479B">
      <w:pPr>
        <w:pStyle w:val="TextoNormal"/>
      </w:pPr>
      <w:r>
        <w:t>(ii) El fraude tiene como consecuencia privar a los diputados, singularmente de la minoría, de aquellos informes imprescindibles para formarse correctamente una opinión fundada sobre el texto propuesto y apoyado por la mayoría. Los recurrentes consideran que, la diferencia en el supuesto de hecho permitiría llegar a la conclusión contraria a la que alcanzó la STC 238/2012, aplicando el parámetro contenido en dicho pronunciamiento. En el caso que nos ocupa: (i) la opinión del Consejo General del Poder Judicial sobre el contenido material del proyecto no llegó a conocimiento de los parlamentarios, dado que ni se recabó ni se obtuvo el correspondiente informe; y (ii) en el debate parlamentario las minorías hicieron extensa referencia a este vicio de procedimiento. En sustento de este argumento, la demanda cita las intervenciones en el Congreso de los Diputados de los portavoces de los grupos parlamentarios de Ciudadanos, Vox y el Partido Popular, en el debate sobre la ley, así como la declaración institucional del Consejo General del Poder Judicial, aprobada por acuerdo de 21 de enero de 2021.</w:t>
      </w:r>
    </w:p>
    <w:p w14:paraId="39AB765A" w14:textId="77777777" w:rsidR="008D479B" w:rsidRDefault="008D479B" w:rsidP="008D479B">
      <w:pPr>
        <w:pStyle w:val="TextoNormal"/>
      </w:pPr>
    </w:p>
    <w:p w14:paraId="1046CA57" w14:textId="77777777" w:rsidR="008D479B" w:rsidRDefault="008D479B" w:rsidP="008D479B">
      <w:pPr>
        <w:pStyle w:val="TextoNormal"/>
      </w:pPr>
      <w:r>
        <w:t xml:space="preserve">(iii) De dicho fraude —utilización por la mayoría de procedimientos </w:t>
      </w:r>
      <w:r w:rsidRPr="008D479B">
        <w:rPr>
          <w:i/>
        </w:rPr>
        <w:t>ad hoc</w:t>
      </w:r>
      <w:r>
        <w:t xml:space="preserve"> que supusieron la eliminación del trámite parlamentario consistente en la solicitud de dictámenes o informes (STC 27/2018, de 5 de marzo, FJ 5)—, se deriva una directa vulneración del art. 23 CE que conduce a la inconstitucionalidad de la Ley Orgánica 4/2021, en cuanto altera de modo sustancial el proceso de formación de voluntad en el seno de las Cámaras, al privar a las minorías de un dictamen preceptivo, impuesto en garantía del pleno respeto de la independencia judicial consagrada en el art. 117 CE.</w:t>
      </w:r>
    </w:p>
    <w:p w14:paraId="06173B57" w14:textId="77777777" w:rsidR="008D479B" w:rsidRDefault="008D479B" w:rsidP="008D479B">
      <w:pPr>
        <w:pStyle w:val="TextoNormal"/>
      </w:pPr>
    </w:p>
    <w:p w14:paraId="3863BD64" w14:textId="77777777" w:rsidR="008D479B" w:rsidRDefault="008D479B" w:rsidP="008D479B">
      <w:pPr>
        <w:pStyle w:val="TextoNormal"/>
      </w:pPr>
      <w:r>
        <w:t>B) Inconstitucionalidad por vicios materiales o sustantivos: vulneración de los arts. 122, 123.2, 124.4, 159.1 y 161.1 d) CE</w:t>
      </w:r>
    </w:p>
    <w:p w14:paraId="7E291031" w14:textId="77777777" w:rsidR="008D479B" w:rsidRDefault="008D479B" w:rsidP="008D479B">
      <w:pPr>
        <w:pStyle w:val="TextoNormal"/>
      </w:pPr>
    </w:p>
    <w:p w14:paraId="6CCA0004" w14:textId="77777777" w:rsidR="008D479B" w:rsidRDefault="008D479B" w:rsidP="008D479B">
      <w:pPr>
        <w:pStyle w:val="TextoNormal"/>
      </w:pPr>
      <w:r>
        <w:t>Partiendo de la caracterización constitucional del Consejo General del Poder Judicial que formula el fundamento jurídico 5 de la STC 191/2016, de 15 de noviembre, la demanda afirma que la finalidad de la ley orgánica impugnada es crear un nuevo órgano extra-constitucional denominado Consejo General del Poder Judicial “en funciones”, recortando potestades esenciales del Consejo que emanan de la Constitución y resultan indisponibles para el legislador.</w:t>
      </w:r>
    </w:p>
    <w:p w14:paraId="7CCBDD5D" w14:textId="77777777" w:rsidR="008D479B" w:rsidRDefault="008D479B" w:rsidP="008D479B">
      <w:pPr>
        <w:pStyle w:val="TextoNormal"/>
      </w:pPr>
    </w:p>
    <w:p w14:paraId="1639BE4B" w14:textId="77777777" w:rsidR="008D479B" w:rsidRDefault="008D479B" w:rsidP="008D479B">
      <w:pPr>
        <w:pStyle w:val="TextoNormal"/>
      </w:pPr>
      <w:r>
        <w:t>Si bien la Constitución regula, respecto de otros poderes del Estado, los efectos de la expiración de su mandato (art. 68.4 CE para el Congreso; art. 69.6 CE para el Senado; art. 78.2 CE respecto de las diputaciones permanentes; art. 101.2 CE para el Gobierno cesante), no sucede lo mismo respecto del Consejo General del Poder Judicial. En relación con el Consejo, la Constitución ha querido mantener una plenitud en el ejercicio de sus funciones, sin interrupción alguna, dado que todas esas potestades se ordenan a garantizar la independencia del Poder Judicial (STC 191/2016, FJ 5). Por lo tanto, respecto de este poder no existe habilitación constitucional alguna que permita debilitar las funciones del órgano constitucional de gobierno del mismo una vez transcurrido el “período de cinco años” previsto en el art. 122.3 CE.</w:t>
      </w:r>
    </w:p>
    <w:p w14:paraId="57B7E1A3" w14:textId="77777777" w:rsidR="008D479B" w:rsidRDefault="008D479B" w:rsidP="008D479B">
      <w:pPr>
        <w:pStyle w:val="TextoNormal"/>
      </w:pPr>
    </w:p>
    <w:p w14:paraId="4F2E3700" w14:textId="77777777" w:rsidR="008D479B" w:rsidRDefault="008D479B" w:rsidP="008D479B">
      <w:pPr>
        <w:pStyle w:val="TextoNormal"/>
      </w:pPr>
      <w:r>
        <w:t>Sostienen los recurrentes que, en el moderno entendimiento de una división de poderes atenuada, solo se predica con carácter absoluto esa separación respecto del Poder Judicial, ya que la función jurisdiccional no se concibe sin la independencia. El Poder Judicial es independiente porque está sometido únicamente al Derecho, y esa sumisión exclusiva al Derecho se garantiza precisamente porque es independiente. La decisión del poder constituyente de no prever un debilitamiento del Consejo cesante fue consciente y coherente con la caracterización del Poder Judicial. La única legitimación de los poderes legislativo y ejecutivo es democrática y proviene del cuerpo electoral, por lo que, decaída esa única fuente de legitimación por la expiración de los mandatos, solo procede mantener aquellas funciones estrictamente indispensables para garantizar una cierta continuidad hasta la inexorable toma de posesión de los nuevos titulares de esos poderes, una vez recibida la renovación de su legitimación a través del mandato democrático. Pero esto no ocurre con el Poder Judicial, cuya fuente de legitimación es la sujeción al derecho. Por eso la Constitución no prevé un periodo intermedio entre la renovación de Consejos, en el que existan funciones atenuadas, ya que ese órgano autónomo y separado tiene constitucionalmente encomendada la garantía de la independencia judicial, sin la cual no hay Estado de Derecho.</w:t>
      </w:r>
    </w:p>
    <w:p w14:paraId="29AA3103" w14:textId="77777777" w:rsidR="008D479B" w:rsidRDefault="008D479B" w:rsidP="008D479B">
      <w:pPr>
        <w:pStyle w:val="TextoNormal"/>
      </w:pPr>
    </w:p>
    <w:p w14:paraId="5C6E85B7" w14:textId="77777777" w:rsidR="008D479B" w:rsidRDefault="008D479B" w:rsidP="008D479B">
      <w:pPr>
        <w:pStyle w:val="TextoNormal"/>
      </w:pPr>
      <w:r>
        <w:t xml:space="preserve">La demanda afirma asimismo que el poder constituyente no puede ser sustituido por los poderes constituidos a la hora de establecer las relaciones entre los tres poderes clásicos. Se afirma que el mismo Poder Legislativo que, a través de la Ley Orgánica 4/2021 desfigura al Consejo General del Poder Judicial, es el que tiene en su mano la renovación del Consejo y, por tanto, su mantenimiento en la posición de Consejo en funciones o su resurgimiento como órgano constitucional pleno. Esto supone una intolerable sumisión del Poder Judicial y de su órgano de gobierno al Poder Legislativo que, en función de su interés político, puede decidir mantener al Consejo General del Poder Judicial en la situación inane en la que le colocaría el nuevo art. 570 </w:t>
      </w:r>
      <w:r w:rsidRPr="008D479B">
        <w:rPr>
          <w:i/>
        </w:rPr>
        <w:t>bis</w:t>
      </w:r>
      <w:r>
        <w:t xml:space="preserve"> introducido por la Ley Orgánica 4/2021. Este último priva al Consejo en funciones de las potestades previstas en los apartados 1, 2, 3, 5, 9, 11, 12, 13, 14, 16, 21 y 24 del art. 560.1 LOPJ; a lo que cabe añadir que, respecto de los ascensos de jueces y magistrados, al Consejo General del Poder Judicial solo se le permiten los “ascensos reglados” (art. 570 </w:t>
      </w:r>
      <w:r w:rsidRPr="008D479B">
        <w:rPr>
          <w:i/>
        </w:rPr>
        <w:t>bis</w:t>
      </w:r>
      <w:r>
        <w:t>.3 LOPJ). De lo expuesto se deriva que la Ley Orgánica 4/2021 priva total y absolutamente al Consejo de la mayoría de sus potestades y, en particular, de las de mayor relieve constitucional, de manera que el órgano constitucional, a través de la reforma aquí impugnada, muta en un puro órgano burocrático o de gestión.</w:t>
      </w:r>
    </w:p>
    <w:p w14:paraId="5DECDEB8" w14:textId="77777777" w:rsidR="008D479B" w:rsidRDefault="008D479B" w:rsidP="008D479B">
      <w:pPr>
        <w:pStyle w:val="TextoNormal"/>
      </w:pPr>
    </w:p>
    <w:p w14:paraId="0EEEF11F" w14:textId="77777777" w:rsidR="008D479B" w:rsidRDefault="008D479B" w:rsidP="008D479B">
      <w:pPr>
        <w:pStyle w:val="TextoNormal"/>
      </w:pPr>
      <w:r>
        <w:t>Por último, se afirma que a través del art. 122 CE y otros concordantes se establece una configuración constitucional indisponible para el legislador del órgano de gobierno de los jueces, que se completa con otros preceptos de la Constitución como: (i) el art. 123.2 CE que dispone que “el Presidente del Tribunal Supremo será nombrado por el Rey, a propuesta del Consejo General del Poder Judicial, en la forma que determine la ley”; (ii) el art. 159.1 CE que prevé que dos de los doce miembros del Tribunal Constitucional sean propuestos por el Consejo General del Poder Judicial; y (iii), al amparo del art. 161.1 d) CE, el art. 59 de la Ley Orgánica del Tribunal Constitucional (LOTC) atribuye al Consejo la legitimación para plantear los conflictos entre órganos constitucionales regulados en los arts. 73 a 75 LOTC. Estos preceptos constitucionales, según los recurrentes, resultan directamente vulnerados por la reforma impugnada en la medida en que la Ley Orgánica 4/2021 opera una verdadera desnaturalización del Consejo, cuya configuración constitucional se caracteriza por: (i) asumir necesariamente todas aquellas funciones imprescindibles para velar por la total independencia de la justicia; y (ii) por ser una institución absolutamente independiente y, por lo tanto, no subordinada a los demás poderes públicos, sin que sus vocales puedan ser vistos como delegados o comisionados del Congreso y del Senado, por más que a una y a otra de estas Cámaras corresponda la designación de sus miembros.</w:t>
      </w:r>
    </w:p>
    <w:p w14:paraId="7308C119" w14:textId="77777777" w:rsidR="008D479B" w:rsidRDefault="008D479B" w:rsidP="008D479B">
      <w:pPr>
        <w:pStyle w:val="TextoNormal"/>
      </w:pPr>
    </w:p>
    <w:p w14:paraId="6D6EAD79" w14:textId="7950FB2E" w:rsidR="008D479B" w:rsidRDefault="008D479B" w:rsidP="008D479B">
      <w:pPr>
        <w:pStyle w:val="TextoNormal"/>
      </w:pPr>
      <w:r>
        <w:t>La demanda concluye su argumentación, en este punto, con una síntesis de los motivos de inconstitucionalidad material de la Ley Orgánica 4/2021: (i) asume un papel constituyente que no le corresponde creando la figura extra-constitucional del Consejo General del Poder Judicial “en funciones”, no prevista en la Constitución para ese poder del Estado (a diferencia de lo que ocurre con los otros dos poderes); (ii) la nueva figura inconstitucional del Consejo en funciones no respeta la garantía de instituto establecida en la Constitución, desnaturalizándolo y convirtiéndolo en un órgano de gestión total y absolutamente subordinado a la mayoría política que sustenta a los Poderes Ejecutivo y Legislativo; y (iii) la subordinación es de tal grado que la recuperación de la plena funcionalidad constitucional del Consejo depende en exclusiva del Poder Legislativo, al que queda totalmente sujeto y, que, en función de la conveniencia de la mayoría política, puede decidir perpetuar un Consejo en funciones, desarticulando la garantía institucional prevista en la Constitución para salvaguardar la independencia del Poder Judicial.</w:t>
      </w:r>
    </w:p>
    <w:p w14:paraId="32EC77ED" w14:textId="77777777" w:rsidR="008D479B" w:rsidRDefault="008D479B" w:rsidP="008D479B">
      <w:pPr>
        <w:pStyle w:val="TextoNormal"/>
      </w:pPr>
    </w:p>
    <w:p w14:paraId="026E1CDB" w14:textId="7A64E613" w:rsidR="008D479B" w:rsidRDefault="008D479B" w:rsidP="008D479B">
      <w:pPr>
        <w:pStyle w:val="TextoNormal"/>
      </w:pPr>
      <w:r w:rsidRPr="008D479B">
        <w:rPr>
          <w:rStyle w:val="NumeroAFNegritaCaracter"/>
        </w:rPr>
        <w:t>4</w:t>
      </w:r>
      <w:r>
        <w:t>. Por providencia de 16 de septiembre de 2021 el Pleno, a propuesta de la Sección Segunda, acordó admitir a trámite este recurso de inconstitucionalidad; dar traslado de la demanda y documentos presentados al Congreso de los Diputados y al Senado, por conducto de sus presidentes, y al Gobierno, a través de la ministra de Justicia, al objeto de que, en el plazo de quince días, puedan personarse en el proceso y formular las alegaciones que estimen convenientes (art. 34 LOTC); y publicar la incoación del recurso en el “Boletín Oficial del Estado”.</w:t>
      </w:r>
    </w:p>
    <w:p w14:paraId="79A238E7" w14:textId="77777777" w:rsidR="008D479B" w:rsidRDefault="008D479B" w:rsidP="008D479B">
      <w:pPr>
        <w:pStyle w:val="TextoNormal"/>
      </w:pPr>
    </w:p>
    <w:p w14:paraId="16688D87" w14:textId="585DDFAA" w:rsidR="008D479B" w:rsidRDefault="008D479B" w:rsidP="008D479B">
      <w:pPr>
        <w:pStyle w:val="TextoNormal"/>
      </w:pPr>
      <w:r w:rsidRPr="008D479B">
        <w:rPr>
          <w:rStyle w:val="NumeroAFNegritaCaracter"/>
        </w:rPr>
        <w:t>5</w:t>
      </w:r>
      <w:r>
        <w:t>. El Senado, mediante escrito registrado el día 30 de septiembre de 2021, comunica a través de su presidente el acuerdo de la mesa de la Cámara, fechado el 28 de septiembre de 2021, de tenerse por personada en el procedimiento, ofreciendo su colaboración a los efectos de lo previsto en el art. 88.1 LOTC.</w:t>
      </w:r>
    </w:p>
    <w:p w14:paraId="38BBDD20" w14:textId="77777777" w:rsidR="008D479B" w:rsidRDefault="008D479B" w:rsidP="008D479B">
      <w:pPr>
        <w:pStyle w:val="TextoNormal"/>
      </w:pPr>
    </w:p>
    <w:p w14:paraId="2EFFC4CB" w14:textId="4EA22BE1" w:rsidR="008D479B" w:rsidRDefault="008D479B" w:rsidP="008D479B">
      <w:pPr>
        <w:pStyle w:val="TextoNormal"/>
      </w:pPr>
      <w:r w:rsidRPr="008D479B">
        <w:rPr>
          <w:rStyle w:val="NumeroAFNegritaCaracter"/>
        </w:rPr>
        <w:t>6</w:t>
      </w:r>
      <w:r>
        <w:t>. Mediante escrito de 28 de septiembre de 2021, que tuvo entrada en el registro del Tribunal el inmediato día 30, la presidenta del Congreso de los Diputados comunicó el acuerdo de la mesa en orden a: (i) personarse en el procedimiento a los solos efectos de formular alegaciones en relación con los vicios de procedimiento legislativo que se denuncian en la demanda, en lo que afecta al Congreso de los Diputados; (ii) encomendar la representación y defensa de la Cámara a la letrada de las Cortes Generales, doña Paloma Martínez Santa María, directora de la Asesoría Jurídica de la Secretaría General de la Cámara, con quien se entenderán las sucesivas diligencias y trámites; (iii) comunicar el acuerdo al Tribunal Constitucional y al Senado; y (iv) remitir el recurso a la Dirección de Estudios, Análisis y Publicaciones de la Secretaría General.</w:t>
      </w:r>
    </w:p>
    <w:p w14:paraId="71D441DB" w14:textId="77777777" w:rsidR="008D479B" w:rsidRDefault="008D479B" w:rsidP="008D479B">
      <w:pPr>
        <w:pStyle w:val="TextoNormal"/>
      </w:pPr>
    </w:p>
    <w:p w14:paraId="58CCB3EE" w14:textId="2A7FE137" w:rsidR="008D479B" w:rsidRDefault="008D479B" w:rsidP="008D479B">
      <w:pPr>
        <w:pStyle w:val="TextoNormal"/>
      </w:pPr>
      <w:r w:rsidRPr="008D479B">
        <w:rPr>
          <w:rStyle w:val="NumeroAFNegritaCaracter"/>
        </w:rPr>
        <w:t>7</w:t>
      </w:r>
      <w:r>
        <w:t>. La Abogacía del Estado, mediante escrito de 7 de octubre de 2021, registrado el mismo día en el Tribunal, se persona en nombre del Gobierno, solicitando prórroga por el máximo legal del plazo concedido para formular alegaciones. Mediante diligencia de ordenación del secretario de justicia del Pleno, de 8 de octubre de 2021, se tiene por personado al abogado del Estado, concediéndole una prórroga de ocho días más en el plazo concedido por providencia de 16 de septiembre de 2021, a contar desde el siguiente al de expiración del ordinario.</w:t>
      </w:r>
    </w:p>
    <w:p w14:paraId="36DBCF75" w14:textId="77777777" w:rsidR="008D479B" w:rsidRDefault="008D479B" w:rsidP="008D479B">
      <w:pPr>
        <w:pStyle w:val="TextoNormal"/>
      </w:pPr>
    </w:p>
    <w:p w14:paraId="22F482A7" w14:textId="77777777" w:rsidR="008D479B" w:rsidRDefault="008D479B" w:rsidP="008D479B">
      <w:pPr>
        <w:pStyle w:val="TextoNormal"/>
      </w:pPr>
      <w:r w:rsidRPr="008D479B">
        <w:rPr>
          <w:rStyle w:val="NumeroAFNegritaCaracter"/>
        </w:rPr>
        <w:t>8</w:t>
      </w:r>
      <w:r>
        <w:t>. Las alegaciones del Congreso de los Diputados se registran el día 11 de octubre de 2021, interesándose la desestimación del recurso de inconstitucionalidad en todo lo que se refiere a los vicios del procedimiento legislativo.</w:t>
      </w:r>
    </w:p>
    <w:p w14:paraId="086D7D8D" w14:textId="77777777" w:rsidR="008D479B" w:rsidRDefault="008D479B" w:rsidP="008D479B">
      <w:pPr>
        <w:pStyle w:val="TextoNormal"/>
      </w:pPr>
    </w:p>
    <w:p w14:paraId="1B52A893" w14:textId="77777777" w:rsidR="008D479B" w:rsidRDefault="008D479B" w:rsidP="008D479B">
      <w:pPr>
        <w:pStyle w:val="TextoNormal"/>
      </w:pPr>
      <w:r>
        <w:t xml:space="preserve">A) En primer término, el escrito expone con detalle la tramitación parlamentaria de la proposición de ley orgánica. Tras ello, y expuestas las diferencias de regulación relativas a la tramitación de los proyectos y proposiciones de ley, el escrito de alegaciones destaca que la regulación sobre las proposiciones de ley no contiene precisión alguna sobre los documentos que deben incorporarse como antecedentes. En la práctica, estos se reducen a una breve relación de las normas vigentes que la proposición de ley pretende modificar, sin que, en ningún caso, se exijan dictámenes o informes con carácter preceptivo. Esta parte afirma, contra argumentando a la demanda, que por mucho que un grupo parlamentario comparta afinidad política con el Gobierno, es un sujeto jurídico distinto de aquel, como se deduce de los arts. 159.1 CE (proposición de nombramiento de los miembros del Tribunal Constitucional) y 162.1 a) CE (legitimación para interponer el recurso de inconstitucionalidad). Al igual que ocurre con el binomio partido-grupo, el binomio gobierno-mayoría que le apoya, que la demanda afirma como un </w:t>
      </w:r>
      <w:r w:rsidRPr="008D479B">
        <w:rPr>
          <w:i/>
        </w:rPr>
        <w:t>a priori</w:t>
      </w:r>
      <w:r>
        <w:t>, no se sustenta en ninguna norma jurídica, y dependerá de la propia dinámica parlamentaria y de los pactos de apoyo a que se llegue en cada momento. Por tanto, por mucho que, a ojos de los demandantes, la iniciativa pueda parecer del Gobierno, los titulares de esta, a efectos jurídicos, son solo los grupos que aparecen como firmantes en el escrito presentado ante el registro general de la Cámara.</w:t>
      </w:r>
    </w:p>
    <w:p w14:paraId="73809EF0" w14:textId="77777777" w:rsidR="008D479B" w:rsidRDefault="008D479B" w:rsidP="008D479B">
      <w:pPr>
        <w:pStyle w:val="TextoNormal"/>
      </w:pPr>
    </w:p>
    <w:p w14:paraId="3C0712C3" w14:textId="77777777" w:rsidR="008D479B" w:rsidRDefault="008D479B" w:rsidP="008D479B">
      <w:pPr>
        <w:pStyle w:val="TextoNormal"/>
      </w:pPr>
      <w:r>
        <w:t>La Cámara afirma también que la figura del fraude de ley, tal y como viene definida en el Código civil, no resulta de aplicación en el ámbito del ejercicio de la iniciativa legislativa. En primer lugar, para que exista fraude, la denominada ley de cobertura (en este caso, las normas que regulan la tramitación de las proposiciones de ley parlamentarias), deberían responder a una finalidad distinta a la de la norma que se pretende evitar (en este caso, las normas que regulan la tramitación de los proyectos de ley). Sin embargo, en este caso ambas normas tienen como finalidad coincidente el ejercicio de la iniciativa legislativa. Las normas reguladoras de la iniciativa legislativa permiten que su ejercicio provenga de distintos sujetos (el Gobierno, o los grupos parlamentarios o diputados), de modo que el hecho de que la iniciativa sea ejercida por uno de estos autores no puede suponer un fraude respecto a la posibilidad de que la iniciativa pueda ser ejercida por otros autores. En consecuencia, si uno de estos autores ejerce la iniciativa legislativa ajustándose a los requisitos que marcan las normas en función de la autoría, no se puede decir que exista un fraude respecto a la aplicación de las normas previstas para el otro supuesto de autoría, porque estamos ante dos formas distintas de celebrar el mismo “negocio jurídico”. Si los diputados o los grupos parlamentarios presentan una proposición de ley no están vulnerando ninguna norma relativa a la tramitación de los proyectos de ley, sino que estas no les resultan aplicables.</w:t>
      </w:r>
    </w:p>
    <w:p w14:paraId="7C5D9A22" w14:textId="77777777" w:rsidR="008D479B" w:rsidRDefault="008D479B" w:rsidP="008D479B">
      <w:pPr>
        <w:pStyle w:val="TextoNormal"/>
      </w:pPr>
    </w:p>
    <w:p w14:paraId="0548597D" w14:textId="77777777" w:rsidR="008D479B" w:rsidRDefault="008D479B" w:rsidP="008D479B">
      <w:pPr>
        <w:pStyle w:val="TextoNormal"/>
      </w:pPr>
      <w:r>
        <w:t>Tampoco se da el segundo elemento configurador del fraude, que es la obtención de un resultado prohibido o ilícito. Para los demandantes, mediante la presentación de la proposición de ley el resultado ilícito que se persigue es la evitación de los informes preceptivos que se exigen para los proyectos de ley. Sin embargo, los dos tipos de iniciativa legislativa, gubernamental y parlamentaria tienen sus propios requisitos de tramitación. No hay resultado ilícito desde el momento en que se permiten dos formas distintas de ejercer la iniciativa legislativa. Es más, al ejercer la iniciativa legislativa parlamentaria conforme a sus propios requisitos, los diputados o grupos no solo no están vulnerando ninguna norma, sino que están ejerciendo un derecho fundamental que ha sido reconocido como parte integrante del derecho establecido en el art. 23 CE (con cita de la STC 53/2021, de 15 de marzo, FJ 3).</w:t>
      </w:r>
    </w:p>
    <w:p w14:paraId="16F7C710" w14:textId="77777777" w:rsidR="008D479B" w:rsidRDefault="008D479B" w:rsidP="008D479B">
      <w:pPr>
        <w:pStyle w:val="TextoNormal"/>
      </w:pPr>
    </w:p>
    <w:p w14:paraId="53D14CDC" w14:textId="77777777" w:rsidR="008D479B" w:rsidRDefault="008D479B" w:rsidP="008D479B">
      <w:pPr>
        <w:pStyle w:val="TextoNormal"/>
      </w:pPr>
      <w:r>
        <w:t xml:space="preserve">No parece correcto decir, como plantea la demanda, que la única vía adecuada para regular una determinada materia, en este caso la configuración del Consejo General del Poder Judicial, deba ser la iniciativa legislativa gubernamental, porque esta afirmación colisionaría con la protección otorgada por el art. 23 CE. Plantear que la regulación de dicho organismo se tiene que hacer necesariamente mediante un proyecto de ley, cuando por la materia no hay ninguna reserva </w:t>
      </w:r>
      <w:r w:rsidRPr="008D479B">
        <w:rPr>
          <w:i/>
        </w:rPr>
        <w:t>in toto</w:t>
      </w:r>
      <w:r>
        <w:t xml:space="preserve"> al Gobierno, supondría una restricción ilegítima al uso de la iniciativa legislativa parlamentaria. El uso de una u otra vía, salvo en caso de materias excepcionadas, se basa en un principio de libertad de elección de diputados o grupos parlamentarios, y no modifica estas conclusiones el hecho de que la proposición de ley haya sido presentada por grupos parlamentarios que apoyan al Gobierno. Si se niega dicha posibilidad a estos grupos se estaría incurriendo en una distinción o discriminación, por razón de la afiliación política del grupo, no permitida por nuestro ordenamiento, vulnerando el derecho de participación en condiciones de igualdad, que reconoce el art. 23 CE. Según parece, los recurrentes consideran que los grupos mayoritarios o que apoyen al Gobierno ven anulado, por este hecho, su derecho de presentar proposiciones de ley, lo que afectaría al núcleo de la función parlamentaria, evitando su participación en la fase inicial de la función legislativa [con cita de la STC 153/2016, de 22 de septiembre, FJ 3 a)].</w:t>
      </w:r>
    </w:p>
    <w:p w14:paraId="51177A12" w14:textId="77777777" w:rsidR="008D479B" w:rsidRDefault="008D479B" w:rsidP="008D479B">
      <w:pPr>
        <w:pStyle w:val="TextoNormal"/>
      </w:pPr>
    </w:p>
    <w:p w14:paraId="7A72C9D5" w14:textId="77777777" w:rsidR="008D479B" w:rsidRDefault="008D479B" w:rsidP="008D479B">
      <w:pPr>
        <w:pStyle w:val="TextoNormal"/>
      </w:pPr>
      <w:r>
        <w:t>B) Descartada la existencia de un proyecto de ley encubierto, las alegaciones de la Cámara sostienen la inexigibilidad del informe previo del Consejo General del Poder Judicial.</w:t>
      </w:r>
    </w:p>
    <w:p w14:paraId="7B93FBA3" w14:textId="77777777" w:rsidR="008D479B" w:rsidRDefault="008D479B" w:rsidP="008D479B">
      <w:pPr>
        <w:pStyle w:val="TextoNormal"/>
      </w:pPr>
    </w:p>
    <w:p w14:paraId="6B4B5549" w14:textId="77777777" w:rsidR="008D479B" w:rsidRDefault="008D479B" w:rsidP="008D479B">
      <w:pPr>
        <w:pStyle w:val="TextoNormal"/>
      </w:pPr>
      <w:r>
        <w:t>a) Los informes preceptivos del Consejo General del Poder Judicial se exigen solo en la tramitación de los proyectos de ley (art. 561.1 LOPJ), no debiendo exigirse a las proposiciones de ley los requisitos de los proyectos [con cita de la STC 153/2016, FJ 3 b)]. Las proposiciones de ley no tienen que venir acompañadas de informes de otros órganos y considerarlo así supone condicionar externamente el ejercicio de la iniciativa legislativa de los diputados y grupos, lo que sería contrario a la autonomía parlamentaria.</w:t>
      </w:r>
    </w:p>
    <w:p w14:paraId="435C6641" w14:textId="77777777" w:rsidR="008D479B" w:rsidRDefault="008D479B" w:rsidP="008D479B">
      <w:pPr>
        <w:pStyle w:val="TextoNormal"/>
      </w:pPr>
    </w:p>
    <w:p w14:paraId="0785B38E" w14:textId="77777777" w:rsidR="008D479B" w:rsidRDefault="008D479B" w:rsidP="008D479B">
      <w:pPr>
        <w:pStyle w:val="TextoNormal"/>
      </w:pPr>
      <w:r>
        <w:t>b) La falta del informe tampoco vulnera el art. 124 RCD, que exige que acompañen a las proposiciones de ley los estudios e informes que justifiquen su oportunidad, por ser estos antecedentes necesarios. Invocando el contenido del fundamento jurídico 3 b) de la STC 153/2016, la Cámara valora que el acuerdo de la mesa al admitir la proposición de ley sin informe del Consejo General del Poder Judicial se ajustó a su función reglamentaria, que debe limitarse a examinar los requisitos formales de las proposiciones de ley. No se aplica al caso, según esta parte, la jurisprudencia contenida en la STC 27/2018, de 5 marzo, que resuelve un supuesto con una cobertura normativa diversa. El art. 561.1.9 LOPJ, prevé como posibilidad, y no como obligación, que las Cortes Generales puedan solicitar informe al Consejo sobre cualquier cuestión que estimen oportuna, de modo que la Cámara posee autonomía para solicitar los antecedentes que considere necesarios para poder pronunciarse sobre las iniciativas legislativas presentadas (en este sentido, STC 108/1986, de 29 de julio, FFJJ 3 y 5). A la mesa de la Cámara corresponde la decisión discrecional sobre la pertinencia y la oportunidad de la solicitud (art. 561.1.9 LOPJ en relación con el art. 31.1.7 RCD).</w:t>
      </w:r>
    </w:p>
    <w:p w14:paraId="2ECF2EB2" w14:textId="77777777" w:rsidR="008D479B" w:rsidRDefault="008D479B" w:rsidP="008D479B">
      <w:pPr>
        <w:pStyle w:val="TextoNormal"/>
      </w:pPr>
    </w:p>
    <w:p w14:paraId="5274255B" w14:textId="77777777" w:rsidR="008D479B" w:rsidRDefault="008D479B" w:rsidP="008D479B">
      <w:pPr>
        <w:pStyle w:val="TextoNormal"/>
      </w:pPr>
      <w:r>
        <w:t>c) La Cámara también rechaza que la decisión discrecional de la mesa haya vulnerado el art. 23 CE porque para verificar dicha lesión es necesario demostrar que la falta de antecedentes considerados necesarios alteraría de forma sustancial el proceso de formación de la voluntad de los representantes, afectando al ejercicio de la función representativa [con cita de las SSTC 136/2011, de  13 de septiembre, FJ 10; y 176/2011, de 8 de noviembre, FJ 2 f)] o habría privado a las Cámaras de un elemento de juicio necesario para su decisión (con cita de la STC 68/2013, de 14 de marzo, FJ 2). Atendiendo a los debates previos, la letrada de la Cámara no aprecia que la ausencia del informe controvertido haya privado a los diputados de los elementos de juicio necesarios, manifestando aquellos tener conocimiento suficiente para formar su opinión.</w:t>
      </w:r>
    </w:p>
    <w:p w14:paraId="7BFD0819" w14:textId="77777777" w:rsidR="008D479B" w:rsidRDefault="008D479B" w:rsidP="008D479B">
      <w:pPr>
        <w:pStyle w:val="TextoNormal"/>
      </w:pPr>
    </w:p>
    <w:p w14:paraId="42014F2F" w14:textId="0A93E1E2" w:rsidR="008D479B" w:rsidRDefault="008D479B" w:rsidP="008D479B">
      <w:pPr>
        <w:pStyle w:val="TextoNormal"/>
      </w:pPr>
      <w:r>
        <w:t>C) Por último, tampoco se considera vulnerado el art. 69 RCD, pues la previsión que contiene no se refiere a la cuestión de la documentación que ha de acompañar a los proyectos o proposiciones al momento de su presentación. Los informes del Consejo General del Poder Judicial, u otros que puedan formar parte del expediente de los proyectos de ley no son documentación a efectos del art. 69 del Reglamento, pues no son el objeto del debate ni se someterán a votación.</w:t>
      </w:r>
    </w:p>
    <w:p w14:paraId="3F00131C" w14:textId="77777777" w:rsidR="008D479B" w:rsidRDefault="008D479B" w:rsidP="008D479B">
      <w:pPr>
        <w:pStyle w:val="TextoNormal"/>
      </w:pPr>
    </w:p>
    <w:p w14:paraId="6C6B23D6" w14:textId="77777777" w:rsidR="008D479B" w:rsidRDefault="008D479B" w:rsidP="008D479B">
      <w:pPr>
        <w:pStyle w:val="TextoNormal"/>
      </w:pPr>
      <w:r w:rsidRPr="008D479B">
        <w:rPr>
          <w:rStyle w:val="NumeroAFNegritaCaracter"/>
        </w:rPr>
        <w:t>9</w:t>
      </w:r>
      <w:r>
        <w:t>. El abogado del Estado presenta sus alegaciones el día 22 de octubre de 2021, solicitando la total desestimación del recurso de inconstitucionalidad. Los argumentos en que basa su petición son los siguientes:</w:t>
      </w:r>
    </w:p>
    <w:p w14:paraId="7DD9F27D" w14:textId="77777777" w:rsidR="008D479B" w:rsidRDefault="008D479B" w:rsidP="008D479B">
      <w:pPr>
        <w:pStyle w:val="TextoNormal"/>
      </w:pPr>
    </w:p>
    <w:p w14:paraId="64A33B61" w14:textId="77777777" w:rsidR="008D479B" w:rsidRDefault="008D479B" w:rsidP="008D479B">
      <w:pPr>
        <w:pStyle w:val="TextoNormal"/>
      </w:pPr>
      <w:r>
        <w:t>A) En relación con los vicios de inconstitucionalidad formal alegados, la Abogacía del Estado contextualiza la iniciativa de reforma, recordando que la Ley Orgánica del Poder Judicial ha sido modificada a través de proposiciones de ley orgánica, como sucede en el presente caso, en trece ocasiones. Once de ellas a través de proposiciones de ley del Congreso que dieron lugar a las Leyes Orgánicas 5/1995, de 22 de mayo; 2/2001, de 28 de junio; 8/2002, de 24 de octubre; 9/2002, de 10 de diciembre; 3/2005, de 8 de julio; 1/2014, de 13 de marzo; 2/2015, de 30 de marzo; 4/2018 y 5/2018, ambas de 28 de diciembre (de estas se han tramitado por la vía de urgencia las Leyes Orgánicas 1/2001, de 26 de marzo; 9/2002, de 10 de diciembre; 1/2004, de 28 de diciembre y 2/2015). Y las otras dos corresponden a una proposición de ley del Senado (Ley Orgánica 13/1999, de 15 de diciembre) y a una proposición de ley de las comunidades autónomas (Ley Orgánica 1/2010, de 19 de febrero). La regulación del Consejo General del Poder Judicial en funciones ya había sido abordada previamente en el art. 115 LOPJ, reformado por las Leyes Orgánicas 2/2001 y 1/2013, de 11 de abril, siendo finalmente derogado por la Ley Orgánica 4/2013, de 28 de junio, que introdujo el art. 570 LOPJ. En este marco, la Ley Orgánica 4/2021 completa el régimen jurídico de dicho órgano en funciones señalando las competencias que puede ejercer. Y la tramitación parlamentaria iniciada el 4 de diciembre de 2020 y conclusa el 26 de marzo de 2021, descartó cuatro enmiendas a la totalidad y dos de supresión, de cuya deliberación se deduce con claridad, según la Abogacía del Estado, que los diputados tenían un conocimiento completo del contenido y alcance de la modificación propuesta, lo que se pone de manifiesto asimismo en el resto de la deliberación sobre el articulado.</w:t>
      </w:r>
    </w:p>
    <w:p w14:paraId="15BCBDC5" w14:textId="77777777" w:rsidR="008D479B" w:rsidRDefault="008D479B" w:rsidP="008D479B">
      <w:pPr>
        <w:pStyle w:val="TextoNormal"/>
      </w:pPr>
    </w:p>
    <w:p w14:paraId="0553D556" w14:textId="77777777" w:rsidR="008D479B" w:rsidRDefault="008D479B" w:rsidP="008D479B">
      <w:pPr>
        <w:pStyle w:val="TextoNormal"/>
      </w:pPr>
      <w:r>
        <w:t>Las SSTC 108/1986 y 238/2012, citadas por los recurrentes, se refieren a dos supuestos en que se analizaba la constitucionalidad formal de sendos proyectos de ley de modificación de la Ley Orgánica del Poder Judicial, alegándose la vulneración de la exigencia de informe del Consejo General del Poder Judicial en el sentido previsto por la Ley Orgánica del Poder Judicial. Pero este no es el caso aquí analizado, porque la proposición de ley no está recogida como supuesto en el que sea necesario informe del Consejo conforme al art. 561.1 LOPJ, ni tampoco es el caso analizado por las SSTC 13/2015, de 5 de febrero, y 27/2018 referidas a la exigencia de intervención de un tercero en la reforma normativa de una determinada materia independientemente de la forma de la iniciativa (proyecto o proposición).</w:t>
      </w:r>
    </w:p>
    <w:p w14:paraId="3D77C344" w14:textId="77777777" w:rsidR="008D479B" w:rsidRDefault="008D479B" w:rsidP="008D479B">
      <w:pPr>
        <w:pStyle w:val="TextoNormal"/>
      </w:pPr>
    </w:p>
    <w:p w14:paraId="02C22645" w14:textId="77777777" w:rsidR="008D479B" w:rsidRDefault="008D479B" w:rsidP="008D479B">
      <w:pPr>
        <w:pStyle w:val="TextoNormal"/>
      </w:pPr>
      <w:r>
        <w:t>En último término, el abogado del Estado niega que se haya producido fraude de ley, ya que la iniciativa de modificación de la Ley Orgánica del Poder Judicial no está limitada al Gobierno de la Nación. Añade también que la tramitación por la vía de urgencia tampoco ha tenido una relevancia constitucional que solo concurre si el trámite implica, de forma sustancial, la alteración del proceso de formación de voluntad de la Cámara (con cita de las SSTC 185/2016, de 3 de noviembre, y 140/2018, de 20 de diciembre).</w:t>
      </w:r>
    </w:p>
    <w:p w14:paraId="36A2B361" w14:textId="77777777" w:rsidR="008D479B" w:rsidRDefault="008D479B" w:rsidP="008D479B">
      <w:pPr>
        <w:pStyle w:val="TextoNormal"/>
      </w:pPr>
    </w:p>
    <w:p w14:paraId="0BBA2225" w14:textId="77777777" w:rsidR="008D479B" w:rsidRDefault="008D479B" w:rsidP="008D479B">
      <w:pPr>
        <w:pStyle w:val="TextoNormal"/>
      </w:pPr>
      <w:r>
        <w:t>B) Respecto de los vicios de inconstitucionalidad material, su concurrencia también es descartada por la Abogacía del Estado. Más allá de la reserva de regulación de las funciones del Consejo General del Poder Judicial al constituyente, los recurrentes no realizan argumentación alguna que sustente que las competencias que ejerce el Consejo en funciones y, especialmente, las que no ejerce, afecten a la independencia del poder judicial, limitándose a señalar el listado de materias que no pueden tratar y señalando, solo con cita de un artículo en concreto, las relativas a la capacidad de nombramientos de magistrados del Tribunal Constitucional (art. 159.1 CE), propuesta de nombramiento del presidente del Tribunal Supremo (art. 123.2 CE), nombramiento de fiscal general del Estado (art. 124 CE) y la posibilidad de plantear conflictos de atribuciones [art. 161.1 d) CE)].</w:t>
      </w:r>
    </w:p>
    <w:p w14:paraId="22913493" w14:textId="77777777" w:rsidR="008D479B" w:rsidRDefault="008D479B" w:rsidP="008D479B">
      <w:pPr>
        <w:pStyle w:val="TextoNormal"/>
      </w:pPr>
    </w:p>
    <w:p w14:paraId="0D408134" w14:textId="77777777" w:rsidR="008D479B" w:rsidRDefault="008D479B" w:rsidP="008D479B">
      <w:pPr>
        <w:pStyle w:val="TextoNormal"/>
      </w:pPr>
      <w:r>
        <w:t>Centrándose en contestar el único argumento que entiende suficientemente desarrollado por los recurrentes (con cita de la STC 140/2018), la Abogacía del Estado alude a la jurisprudencia constitucional que sostiene el carácter incompleto y abierto de la regulación del Consejo General del Poder Judicial en la Constitución, y a la posibilidad de abordar diferentes opciones en cuanto a su configuración. Así, se invoca el fundamento jurídico 1 de la STC 191/2016, para aludir al margen de libertad del legislador a la hora de regular el sistema de gobierno del Poder Judicial y se reproducen los apartados 2 y 3 del art. 122 CE, relativos al Consejo, para concluir que de las previsiones relativas a la remisión a la ley orgánica para la regulación de sus funciones y al nombramiento de sus miembros por un periodo de cinco años, se deduce que el constituyente ha querido una permanencia temporal limitada en el cargo y que el legislador orgánico sea quien regule las funciones del órgano de gobierno de los jueces.</w:t>
      </w:r>
    </w:p>
    <w:p w14:paraId="44C9584D" w14:textId="77777777" w:rsidR="008D479B" w:rsidRDefault="008D479B" w:rsidP="008D479B">
      <w:pPr>
        <w:pStyle w:val="TextoNormal"/>
      </w:pPr>
    </w:p>
    <w:p w14:paraId="1A6191E1" w14:textId="77777777" w:rsidR="008D479B" w:rsidRDefault="008D479B" w:rsidP="008D479B">
      <w:pPr>
        <w:pStyle w:val="TextoNormal"/>
      </w:pPr>
      <w:r>
        <w:t>Así, el constituyente previó una diferencia constitucional entre el Consejo General del Poder Judicial integrado por miembros dentro de su mandato de cinco años, y el Consejo General del Poder Judicial integrado por miembros con mandato ya caducado y no renovado, dando lugar a una situación anómala no querida por el constituyente y que es posible regular dentro del margen concedido al legislador. La ley impugnada define las competencias que puede realizar el Consejo en funciones, centradas en mantener las que aseguren el gobierno ordinario del poder judicial y limitando las competencias: (i) de nombramiento de magistrados del Tribunal Constitucional, de jueces, magistrados y magistrados del Tribunal Supremo —excepción hecha de los ascensos reglados—, o de cargos dentro de las instituciones dependientes del Consejo General del Poder Judicial; y (ii) de ejercicio de su potestad reglamentaria a la gestión ordinaria, excluyendo la posibilidad de regular el propio Consejo, el régimen de su personal y los órganos de gobierno de juzgados y tribunales. Ahora bien, los recurrentes no argumentan por qué estas limitaciones de las funciones del Consejo serían inconstitucionales, en concreto en qué afectan a la independencia del Consejo General del Poder Judicial y lo politizan.</w:t>
      </w:r>
    </w:p>
    <w:p w14:paraId="4DDD57BF" w14:textId="77777777" w:rsidR="008D479B" w:rsidRDefault="008D479B" w:rsidP="008D479B">
      <w:pPr>
        <w:pStyle w:val="TextoNormal"/>
      </w:pPr>
    </w:p>
    <w:p w14:paraId="6BECE96A" w14:textId="77777777" w:rsidR="008D479B" w:rsidRDefault="008D479B" w:rsidP="008D479B">
      <w:pPr>
        <w:pStyle w:val="TextoNormal"/>
      </w:pPr>
      <w:r>
        <w:t xml:space="preserve">Por lo que se refiere a las limitaciones relativas a la interposición del conflicto de atribuciones, esta parte sustenta que es la Ley Orgánica del Tribunal Constitucional la que define los procedimientos constitucionales y las condiciones para el ejercicio de las acciones ante el Tribunal Constitucional (arts. 165 CE y 560 LOPJ), sin que tal previsión sea incompatible con la previsión del art. 571 </w:t>
      </w:r>
      <w:r w:rsidRPr="008D479B">
        <w:rPr>
          <w:i/>
        </w:rPr>
        <w:t>bis</w:t>
      </w:r>
      <w:r>
        <w:t xml:space="preserve"> LOPJ objeto del presente recurso.</w:t>
      </w:r>
    </w:p>
    <w:p w14:paraId="35941868" w14:textId="77777777" w:rsidR="008D479B" w:rsidRDefault="008D479B" w:rsidP="008D479B">
      <w:pPr>
        <w:pStyle w:val="TextoNormal"/>
      </w:pPr>
    </w:p>
    <w:p w14:paraId="2A6D0824" w14:textId="044B34E2" w:rsidR="008D479B" w:rsidRDefault="008D479B" w:rsidP="008D479B">
      <w:pPr>
        <w:pStyle w:val="TextoNormal"/>
      </w:pPr>
      <w:r>
        <w:t>Por último, la demanda no recoge argumentación alguna sobre las razones por las que la limitación de las atribuciones del Consejo General del Poder Judicial en funciones implique una politización del órgano de los jueces, y ello partiendo de que es una opción del legislador orgánico que todos sus miembros sean elegidos por las Cortes Generales, opción que el Tribunal Constitucional ha considerado válida, más aún cuando no se atribuyen ni al Poder Ejecutivo ni al Poder Legislativo las competencias que el Consejo en funciones no puede desarrollar, ni se afecta a la independencia con que los miembros del Consejo General del Poder Judicial en funciones ejerzan las atribuciones que el legislador orgánico ha querido que mantengan, una vez caducados sus mandatos y hasta su renovación (con cita de las SSTC 108/1986, FJ 7; y 191/2016, FJ 1).</w:t>
      </w:r>
    </w:p>
    <w:p w14:paraId="12434020" w14:textId="77777777" w:rsidR="008D479B" w:rsidRDefault="008D479B" w:rsidP="008D479B">
      <w:pPr>
        <w:pStyle w:val="TextoNormal"/>
      </w:pPr>
    </w:p>
    <w:p w14:paraId="481665D0" w14:textId="1E4CBB20" w:rsidR="008D479B" w:rsidRDefault="008D479B" w:rsidP="008D479B">
      <w:pPr>
        <w:pStyle w:val="TextoNormal"/>
      </w:pPr>
      <w:r w:rsidRPr="008D479B">
        <w:rPr>
          <w:rStyle w:val="NumeroAFNegritaCaracter"/>
        </w:rPr>
        <w:t>10</w:t>
      </w:r>
      <w:r>
        <w:t>. Por providencia de 2 de octubre de 2023, se señaló ese mismo día para deliberación y votación de la presente sentencia.</w:t>
      </w:r>
    </w:p>
    <w:p w14:paraId="7FE6DDDA" w14:textId="77777777" w:rsidR="008D479B" w:rsidRDefault="008D479B" w:rsidP="008D479B">
      <w:pPr>
        <w:pStyle w:val="TextoNormal"/>
      </w:pPr>
    </w:p>
    <w:p w14:paraId="5BC4EF16" w14:textId="77777777" w:rsidR="008D479B" w:rsidRDefault="008D479B" w:rsidP="008D479B">
      <w:pPr>
        <w:pStyle w:val="TextoNormalNegritaCentrado"/>
        <w:keepNext/>
      </w:pPr>
      <w:r>
        <w:t>II. Fundamentos jurídicos</w:t>
      </w:r>
    </w:p>
    <w:p w14:paraId="044DB5A7" w14:textId="343E796C" w:rsidR="008D479B" w:rsidRDefault="008D479B" w:rsidP="008D479B">
      <w:pPr>
        <w:pStyle w:val="TextoNormalNegritaCentrado"/>
        <w:keepNext/>
      </w:pPr>
    </w:p>
    <w:p w14:paraId="2C282936" w14:textId="77777777" w:rsidR="008D479B" w:rsidRDefault="008D479B" w:rsidP="008D479B">
      <w:pPr>
        <w:pStyle w:val="TextoNormal"/>
      </w:pPr>
      <w:r w:rsidRPr="008D479B">
        <w:rPr>
          <w:rStyle w:val="NumeroAFNegritaCaracter"/>
        </w:rPr>
        <w:t>1</w:t>
      </w:r>
      <w:r>
        <w:t xml:space="preserve">. </w:t>
      </w:r>
      <w:r w:rsidRPr="008D479B">
        <w:rPr>
          <w:i/>
        </w:rPr>
        <w:t>Objeto del recurso y posiciones de las partes</w:t>
      </w:r>
    </w:p>
    <w:p w14:paraId="7458EEAD" w14:textId="77777777" w:rsidR="008D479B" w:rsidRDefault="008D479B" w:rsidP="008D479B">
      <w:pPr>
        <w:pStyle w:val="TextoNormal"/>
      </w:pPr>
    </w:p>
    <w:p w14:paraId="46ADF4E2" w14:textId="77777777" w:rsidR="008D479B" w:rsidRDefault="008D479B" w:rsidP="008D479B">
      <w:pPr>
        <w:pStyle w:val="TextoNormal"/>
      </w:pPr>
      <w:r>
        <w:t>a) El presente recurso de inconstitucionalidad núm. 2379-2021, interpuesto a instancia de cincuenta diputados y diputadas del Grupo Parlamentario Vox en el Congreso de los Diputados, tiene por objeto la totalidad de la Ley Orgánica 4/2021, de 29 de marzo, por la que se modifica la Ley Orgánica 6/1985, de 1 de julio, del Poder Judicial (LOPJ), para el establecimiento del régimen jurídico aplicable al Consejo General del Poder Judicial en funciones.</w:t>
      </w:r>
    </w:p>
    <w:p w14:paraId="61FABEFF" w14:textId="77777777" w:rsidR="008D479B" w:rsidRDefault="008D479B" w:rsidP="008D479B">
      <w:pPr>
        <w:pStyle w:val="TextoNormal"/>
      </w:pPr>
    </w:p>
    <w:p w14:paraId="0A904964" w14:textId="77777777" w:rsidR="008D479B" w:rsidRDefault="008D479B" w:rsidP="008D479B">
      <w:pPr>
        <w:pStyle w:val="TextoNormal"/>
      </w:pPr>
      <w:r>
        <w:t xml:space="preserve">La Ley Orgánica 4/2021, en su artículo único, añade a la Ley Orgánica del Poder Judicial los arts. 570 </w:t>
      </w:r>
      <w:r w:rsidRPr="008D479B">
        <w:rPr>
          <w:i/>
        </w:rPr>
        <w:t>bis</w:t>
      </w:r>
      <w:r>
        <w:t xml:space="preserve"> y 589 </w:t>
      </w:r>
      <w:r w:rsidRPr="008D479B">
        <w:rPr>
          <w:i/>
        </w:rPr>
        <w:t>bis</w:t>
      </w:r>
      <w:r>
        <w:t>.</w:t>
      </w:r>
    </w:p>
    <w:p w14:paraId="59AD25A2" w14:textId="77777777" w:rsidR="008D479B" w:rsidRDefault="008D479B" w:rsidP="008D479B">
      <w:pPr>
        <w:pStyle w:val="TextoNormal"/>
      </w:pPr>
    </w:p>
    <w:p w14:paraId="564D3AF1" w14:textId="77777777" w:rsidR="008D479B" w:rsidRDefault="008D479B" w:rsidP="008D479B">
      <w:pPr>
        <w:pStyle w:val="TextoNormal"/>
      </w:pPr>
      <w:r>
        <w:t>Los preceptos impugnados tienen el siguiente tenor literal:</w:t>
      </w:r>
    </w:p>
    <w:p w14:paraId="4D742DF5" w14:textId="77777777" w:rsidR="008D479B" w:rsidRDefault="008D479B" w:rsidP="008D479B">
      <w:pPr>
        <w:pStyle w:val="TextoNormal"/>
      </w:pPr>
    </w:p>
    <w:p w14:paraId="7ED9A254" w14:textId="77777777" w:rsidR="008D479B" w:rsidRDefault="008D479B" w:rsidP="008D479B">
      <w:pPr>
        <w:pStyle w:val="TextoNormal"/>
      </w:pPr>
      <w:r>
        <w:t>Art. 57</w:t>
      </w:r>
      <w:r w:rsidRPr="008D479B">
        <w:rPr>
          <w:i/>
        </w:rPr>
        <w:t>0 b</w:t>
      </w:r>
      <w:r>
        <w:t>is:</w:t>
      </w:r>
    </w:p>
    <w:p w14:paraId="62E19836" w14:textId="77777777" w:rsidR="008D479B" w:rsidRDefault="008D479B" w:rsidP="008D479B">
      <w:pPr>
        <w:pStyle w:val="TextoNormal"/>
      </w:pPr>
    </w:p>
    <w:p w14:paraId="154A88AE" w14:textId="77777777" w:rsidR="008D479B" w:rsidRDefault="008D479B" w:rsidP="008D479B">
      <w:pPr>
        <w:pStyle w:val="TextoNormal"/>
      </w:pPr>
      <w:r>
        <w:t>“1. Cuando, por no haberse producido su renovación en el plazo legalmente previsto, el Consejo General del Poder Judicial entre en funciones según lo previsto en el apartado 2 del artículo 570, la actividad del mismo se limitará a la realización de las siguientes atribuciones:</w:t>
      </w:r>
    </w:p>
    <w:p w14:paraId="72FAA02A" w14:textId="77777777" w:rsidR="008D479B" w:rsidRDefault="008D479B" w:rsidP="008D479B">
      <w:pPr>
        <w:pStyle w:val="TextoNormal"/>
      </w:pPr>
    </w:p>
    <w:p w14:paraId="5A7393AB" w14:textId="77777777" w:rsidR="008D479B" w:rsidRDefault="008D479B" w:rsidP="008D479B">
      <w:pPr>
        <w:pStyle w:val="TextoNormal"/>
      </w:pPr>
      <w:r>
        <w:t>1. Ser oído por el Gobierno antes del nombramiento del fiscal general del Estado.</w:t>
      </w:r>
    </w:p>
    <w:p w14:paraId="36E7E6B1" w14:textId="77777777" w:rsidR="008D479B" w:rsidRDefault="008D479B" w:rsidP="008D479B">
      <w:pPr>
        <w:pStyle w:val="TextoNormal"/>
      </w:pPr>
    </w:p>
    <w:p w14:paraId="38798FAB" w14:textId="77777777" w:rsidR="008D479B" w:rsidRDefault="008D479B" w:rsidP="008D479B">
      <w:pPr>
        <w:pStyle w:val="TextoNormal"/>
      </w:pPr>
      <w:r>
        <w:t>2. Participar, en los términos legalmente previstos, en la selección de jueces y magistrados.</w:t>
      </w:r>
    </w:p>
    <w:p w14:paraId="751A6B8E" w14:textId="77777777" w:rsidR="008D479B" w:rsidRDefault="008D479B" w:rsidP="008D479B">
      <w:pPr>
        <w:pStyle w:val="TextoNormal"/>
      </w:pPr>
    </w:p>
    <w:p w14:paraId="349CBFEE" w14:textId="77777777" w:rsidR="008D479B" w:rsidRDefault="008D479B" w:rsidP="008D479B">
      <w:pPr>
        <w:pStyle w:val="TextoNormal"/>
      </w:pPr>
      <w:r>
        <w:t>3. Resolver lo que proceda en materia de formación y perfeccionamiento, provisión de destinos, ascensos reglados, situaciones administrativas y régimen disciplinario de jueces y magistrados.</w:t>
      </w:r>
    </w:p>
    <w:p w14:paraId="368DDBDB" w14:textId="77777777" w:rsidR="008D479B" w:rsidRDefault="008D479B" w:rsidP="008D479B">
      <w:pPr>
        <w:pStyle w:val="TextoNormal"/>
      </w:pPr>
    </w:p>
    <w:p w14:paraId="34E64698" w14:textId="77777777" w:rsidR="008D479B" w:rsidRDefault="008D479B" w:rsidP="008D479B">
      <w:pPr>
        <w:pStyle w:val="TextoNormal"/>
      </w:pPr>
      <w:r>
        <w:t>4. Ejercer la alta inspección de tribunales, así como la supervisión y coordinación de la actividad inspectora ordinaria de los presidentes y salas de gobierno de los tribunales.</w:t>
      </w:r>
    </w:p>
    <w:p w14:paraId="025F26C9" w14:textId="77777777" w:rsidR="008D479B" w:rsidRDefault="008D479B" w:rsidP="008D479B">
      <w:pPr>
        <w:pStyle w:val="TextoNormal"/>
      </w:pPr>
    </w:p>
    <w:p w14:paraId="69865132" w14:textId="77777777" w:rsidR="008D479B" w:rsidRDefault="008D479B" w:rsidP="008D479B">
      <w:pPr>
        <w:pStyle w:val="TextoNormal"/>
      </w:pPr>
      <w:r>
        <w:t>5. Cuidar de la publicación oficial de las sentencias y demás resoluciones que se determinen del Tribunal Supremo y del resto de órganos judiciales.</w:t>
      </w:r>
    </w:p>
    <w:p w14:paraId="6E893212" w14:textId="77777777" w:rsidR="008D479B" w:rsidRDefault="008D479B" w:rsidP="008D479B">
      <w:pPr>
        <w:pStyle w:val="TextoNormal"/>
      </w:pPr>
    </w:p>
    <w:p w14:paraId="221702F3" w14:textId="77777777" w:rsidR="008D479B" w:rsidRDefault="008D479B" w:rsidP="008D479B">
      <w:pPr>
        <w:pStyle w:val="TextoNormal"/>
      </w:pPr>
      <w:r>
        <w:t>6. Garantizar el funcionamiento y actualizar los programas formativos de la Escuela Judicial.</w:t>
      </w:r>
    </w:p>
    <w:p w14:paraId="04BFF9F4" w14:textId="77777777" w:rsidR="008D479B" w:rsidRDefault="008D479B" w:rsidP="008D479B">
      <w:pPr>
        <w:pStyle w:val="TextoNormal"/>
      </w:pPr>
    </w:p>
    <w:p w14:paraId="5C2387F1" w14:textId="77777777" w:rsidR="008D479B" w:rsidRDefault="008D479B" w:rsidP="008D479B">
      <w:pPr>
        <w:pStyle w:val="TextoNormal"/>
      </w:pPr>
      <w:r>
        <w:t>7. Ejercer la potestad reglamentaria en las siguientes materias:</w:t>
      </w:r>
    </w:p>
    <w:p w14:paraId="0ED728B5" w14:textId="77777777" w:rsidR="008D479B" w:rsidRDefault="008D479B" w:rsidP="008D479B">
      <w:pPr>
        <w:pStyle w:val="TextoNormal"/>
      </w:pPr>
    </w:p>
    <w:p w14:paraId="394A38A0" w14:textId="77777777" w:rsidR="008D479B" w:rsidRDefault="008D479B" w:rsidP="008D479B">
      <w:pPr>
        <w:pStyle w:val="TextoNormal"/>
      </w:pPr>
      <w:r>
        <w:t>a) Publicidad de las actuaciones judiciales.</w:t>
      </w:r>
    </w:p>
    <w:p w14:paraId="7A2F9AAE" w14:textId="77777777" w:rsidR="008D479B" w:rsidRDefault="008D479B" w:rsidP="008D479B">
      <w:pPr>
        <w:pStyle w:val="TextoNormal"/>
      </w:pPr>
    </w:p>
    <w:p w14:paraId="3DFC1339" w14:textId="77777777" w:rsidR="008D479B" w:rsidRDefault="008D479B" w:rsidP="008D479B">
      <w:pPr>
        <w:pStyle w:val="TextoNormal"/>
      </w:pPr>
      <w:r>
        <w:t>b) Publicación y reutilización de las resoluciones judiciales.</w:t>
      </w:r>
    </w:p>
    <w:p w14:paraId="0F60BAAA" w14:textId="77777777" w:rsidR="008D479B" w:rsidRDefault="008D479B" w:rsidP="008D479B">
      <w:pPr>
        <w:pStyle w:val="TextoNormal"/>
      </w:pPr>
    </w:p>
    <w:p w14:paraId="68196D9C" w14:textId="77777777" w:rsidR="008D479B" w:rsidRDefault="008D479B" w:rsidP="008D479B">
      <w:pPr>
        <w:pStyle w:val="TextoNormal"/>
      </w:pPr>
      <w:r>
        <w:t>c) Habilitación de días y horas, así como fijación de horas de audiencia pública.</w:t>
      </w:r>
    </w:p>
    <w:p w14:paraId="2E7A2190" w14:textId="77777777" w:rsidR="008D479B" w:rsidRDefault="008D479B" w:rsidP="008D479B">
      <w:pPr>
        <w:pStyle w:val="TextoNormal"/>
      </w:pPr>
    </w:p>
    <w:p w14:paraId="49E96120" w14:textId="77777777" w:rsidR="008D479B" w:rsidRDefault="008D479B" w:rsidP="008D479B">
      <w:pPr>
        <w:pStyle w:val="TextoNormal"/>
      </w:pPr>
      <w:r>
        <w:t>d) Constitución de los órganos judiciales fuera de su sede.</w:t>
      </w:r>
    </w:p>
    <w:p w14:paraId="432A7D8A" w14:textId="77777777" w:rsidR="008D479B" w:rsidRDefault="008D479B" w:rsidP="008D479B">
      <w:pPr>
        <w:pStyle w:val="TextoNormal"/>
      </w:pPr>
    </w:p>
    <w:p w14:paraId="4F2EC532" w14:textId="77777777" w:rsidR="008D479B" w:rsidRDefault="008D479B" w:rsidP="008D479B">
      <w:pPr>
        <w:pStyle w:val="TextoNormal"/>
      </w:pPr>
      <w:r>
        <w:t>e) Régimen de guardias de los órganos jurisdiccionales.</w:t>
      </w:r>
    </w:p>
    <w:p w14:paraId="2614CCBE" w14:textId="77777777" w:rsidR="008D479B" w:rsidRDefault="008D479B" w:rsidP="008D479B">
      <w:pPr>
        <w:pStyle w:val="TextoNormal"/>
      </w:pPr>
    </w:p>
    <w:p w14:paraId="0D280A2C" w14:textId="77777777" w:rsidR="008D479B" w:rsidRDefault="008D479B" w:rsidP="008D479B">
      <w:pPr>
        <w:pStyle w:val="TextoNormal"/>
      </w:pPr>
      <w:r>
        <w:t>f) Organización y gestión de la actuación de los órganos judiciales españoles en materia de cooperación jurisdiccional interna e internacional.</w:t>
      </w:r>
    </w:p>
    <w:p w14:paraId="28765525" w14:textId="77777777" w:rsidR="008D479B" w:rsidRDefault="008D479B" w:rsidP="008D479B">
      <w:pPr>
        <w:pStyle w:val="TextoNormal"/>
      </w:pPr>
    </w:p>
    <w:p w14:paraId="7A755610" w14:textId="77777777" w:rsidR="008D479B" w:rsidRDefault="008D479B" w:rsidP="008D479B">
      <w:pPr>
        <w:pStyle w:val="TextoNormal"/>
      </w:pPr>
      <w:r>
        <w:t>g) Condiciones accesorias para el ejercicio de los derechos y deberes que conforman el estatuto de jueces y magistrados, así como el régimen jurídico de las asociaciones judiciales, sin que tal desarrollo reglamentario pueda suponer innovación o alteración alguna de la regulación legal.</w:t>
      </w:r>
    </w:p>
    <w:p w14:paraId="2882098C" w14:textId="77777777" w:rsidR="008D479B" w:rsidRDefault="008D479B" w:rsidP="008D479B">
      <w:pPr>
        <w:pStyle w:val="TextoNormal"/>
      </w:pPr>
    </w:p>
    <w:p w14:paraId="004C005B" w14:textId="77777777" w:rsidR="008D479B" w:rsidRDefault="008D479B" w:rsidP="008D479B">
      <w:pPr>
        <w:pStyle w:val="TextoNormal"/>
      </w:pPr>
      <w:r>
        <w:t>8. Aprobar la relación de puestos de trabajo del personal funcionario a su servicio.</w:t>
      </w:r>
    </w:p>
    <w:p w14:paraId="32B2A7FF" w14:textId="77777777" w:rsidR="008D479B" w:rsidRDefault="008D479B" w:rsidP="008D479B">
      <w:pPr>
        <w:pStyle w:val="TextoNormal"/>
      </w:pPr>
    </w:p>
    <w:p w14:paraId="5E42C17D" w14:textId="77777777" w:rsidR="008D479B" w:rsidRDefault="008D479B" w:rsidP="008D479B">
      <w:pPr>
        <w:pStyle w:val="TextoNormal"/>
      </w:pPr>
      <w:r>
        <w:t>9. Colaborar con la autoridad de control en materia de protección de datos en el ámbito de la administración de justicia.</w:t>
      </w:r>
    </w:p>
    <w:p w14:paraId="73EF60BE" w14:textId="77777777" w:rsidR="008D479B" w:rsidRDefault="008D479B" w:rsidP="008D479B">
      <w:pPr>
        <w:pStyle w:val="TextoNormal"/>
      </w:pPr>
    </w:p>
    <w:p w14:paraId="457BDFFD" w14:textId="77777777" w:rsidR="008D479B" w:rsidRDefault="008D479B" w:rsidP="008D479B">
      <w:pPr>
        <w:pStyle w:val="TextoNormal"/>
      </w:pPr>
      <w:r>
        <w:t>10. Recibir quejas de los ciudadanos en materias relacionadas con la administración de justicia.</w:t>
      </w:r>
    </w:p>
    <w:p w14:paraId="6934FCA0" w14:textId="77777777" w:rsidR="008D479B" w:rsidRDefault="008D479B" w:rsidP="008D479B">
      <w:pPr>
        <w:pStyle w:val="TextoNormal"/>
      </w:pPr>
    </w:p>
    <w:p w14:paraId="2F786B24" w14:textId="77777777" w:rsidR="008D479B" w:rsidRDefault="008D479B" w:rsidP="008D479B">
      <w:pPr>
        <w:pStyle w:val="TextoNormal"/>
      </w:pPr>
      <w:r>
        <w:t>11. Elaborar y ejecutar su propio presupuesto, en los términos previstos en la presente ley orgánica.</w:t>
      </w:r>
    </w:p>
    <w:p w14:paraId="240EBA65" w14:textId="77777777" w:rsidR="008D479B" w:rsidRDefault="008D479B" w:rsidP="008D479B">
      <w:pPr>
        <w:pStyle w:val="TextoNormal"/>
      </w:pPr>
    </w:p>
    <w:p w14:paraId="7372CD6C" w14:textId="77777777" w:rsidR="008D479B" w:rsidRDefault="008D479B" w:rsidP="008D479B">
      <w:pPr>
        <w:pStyle w:val="TextoNormal"/>
      </w:pPr>
      <w:r>
        <w:t>12. Proponer, previa justificación de la necesidad, las medidas de refuerzo que sean precisas en concretos órganos judiciales.</w:t>
      </w:r>
    </w:p>
    <w:p w14:paraId="246CB428" w14:textId="77777777" w:rsidR="008D479B" w:rsidRDefault="008D479B" w:rsidP="008D479B">
      <w:pPr>
        <w:pStyle w:val="TextoNormal"/>
      </w:pPr>
    </w:p>
    <w:p w14:paraId="5FF6A013" w14:textId="77777777" w:rsidR="008D479B" w:rsidRDefault="008D479B" w:rsidP="008D479B">
      <w:pPr>
        <w:pStyle w:val="TextoNormal"/>
      </w:pPr>
      <w:r>
        <w:t>13. Emitir informe en los expedientes de responsabilidad patrimonial por anormal funcionamiento de la administración de justicia.</w:t>
      </w:r>
    </w:p>
    <w:p w14:paraId="13B8B5EB" w14:textId="77777777" w:rsidR="008D479B" w:rsidRDefault="008D479B" w:rsidP="008D479B">
      <w:pPr>
        <w:pStyle w:val="TextoNormal"/>
      </w:pPr>
    </w:p>
    <w:p w14:paraId="6E2A07A2" w14:textId="77777777" w:rsidR="008D479B" w:rsidRDefault="008D479B" w:rsidP="008D479B">
      <w:pPr>
        <w:pStyle w:val="TextoNormal"/>
      </w:pPr>
      <w:r>
        <w:t>14. Recopilar y actualizar los principios de ética judicial y proceder a su divulgación, así como a su promoción con otras entidades y organizaciones judiciales, nacionales o internacionales.</w:t>
      </w:r>
    </w:p>
    <w:p w14:paraId="3E348182" w14:textId="77777777" w:rsidR="008D479B" w:rsidRDefault="008D479B" w:rsidP="008D479B">
      <w:pPr>
        <w:pStyle w:val="TextoNormal"/>
      </w:pPr>
    </w:p>
    <w:p w14:paraId="17E04C3F" w14:textId="77777777" w:rsidR="008D479B" w:rsidRDefault="008D479B" w:rsidP="008D479B">
      <w:pPr>
        <w:pStyle w:val="TextoNormal"/>
      </w:pPr>
      <w:r>
        <w:t>15. Elaborar los informes sobre los anteproyectos de ley y disposiciones generales que en virtud de lo dispuesto en el artículo 561 le correspondan.</w:t>
      </w:r>
    </w:p>
    <w:p w14:paraId="48CF0946" w14:textId="77777777" w:rsidR="008D479B" w:rsidRDefault="008D479B" w:rsidP="008D479B">
      <w:pPr>
        <w:pStyle w:val="TextoNormal"/>
      </w:pPr>
    </w:p>
    <w:p w14:paraId="241C3B56" w14:textId="77777777" w:rsidR="008D479B" w:rsidRDefault="008D479B" w:rsidP="008D479B">
      <w:pPr>
        <w:pStyle w:val="TextoNormal"/>
      </w:pPr>
      <w:r>
        <w:t>2. Sin perjuicio de lo dispuesto en el apartado anterior, el Consejo en funciones podrá realizar aquellas otras actuaciones que sean indispensables para garantizar el funcionamiento ordinario del órgano”.</w:t>
      </w:r>
    </w:p>
    <w:p w14:paraId="7920369B" w14:textId="77777777" w:rsidR="008D479B" w:rsidRDefault="008D479B" w:rsidP="008D479B">
      <w:pPr>
        <w:pStyle w:val="TextoNormal"/>
      </w:pPr>
    </w:p>
    <w:p w14:paraId="001CF8A9" w14:textId="77777777" w:rsidR="008D479B" w:rsidRDefault="008D479B" w:rsidP="008D479B">
      <w:pPr>
        <w:pStyle w:val="TextoNormal"/>
      </w:pPr>
      <w:r>
        <w:t>Art. 59</w:t>
      </w:r>
      <w:r w:rsidRPr="008D479B">
        <w:rPr>
          <w:i/>
        </w:rPr>
        <w:t>8 b</w:t>
      </w:r>
      <w:r>
        <w:t>is:</w:t>
      </w:r>
    </w:p>
    <w:p w14:paraId="1CF5D6FE" w14:textId="77777777" w:rsidR="008D479B" w:rsidRDefault="008D479B" w:rsidP="008D479B">
      <w:pPr>
        <w:pStyle w:val="TextoNormal"/>
      </w:pPr>
    </w:p>
    <w:p w14:paraId="4DE6FBB9" w14:textId="77777777" w:rsidR="008D479B" w:rsidRDefault="008D479B" w:rsidP="008D479B">
      <w:pPr>
        <w:pStyle w:val="TextoNormal"/>
      </w:pPr>
      <w:r>
        <w:t>“Cuando el Consejo General del Poder Judicial se encuentre en funciones, según lo previsto en el artículo 570.2, su Presidencia no podrá acordar el cese del secretario general ni del vicesecretario general del Consejo General del Poder Judicial”.</w:t>
      </w:r>
    </w:p>
    <w:p w14:paraId="746DA1DB" w14:textId="77777777" w:rsidR="008D479B" w:rsidRDefault="008D479B" w:rsidP="008D479B">
      <w:pPr>
        <w:pStyle w:val="TextoNormal"/>
      </w:pPr>
    </w:p>
    <w:p w14:paraId="088B7E53" w14:textId="77777777" w:rsidR="008D479B" w:rsidRDefault="008D479B" w:rsidP="008D479B">
      <w:pPr>
        <w:pStyle w:val="TextoNormal"/>
      </w:pPr>
      <w:r>
        <w:t>b) Los recurrentes alegan en su demanda dos motivos de inconstitucionalidad que se proyectan a la totalidad de la norma impugnada, como con mayor detalle se ha expuesto en los antecedentes de esta sentencia.</w:t>
      </w:r>
    </w:p>
    <w:p w14:paraId="6409FFE1" w14:textId="77777777" w:rsidR="008D479B" w:rsidRDefault="008D479B" w:rsidP="008D479B">
      <w:pPr>
        <w:pStyle w:val="TextoNormal"/>
      </w:pPr>
    </w:p>
    <w:p w14:paraId="56C9C4C5" w14:textId="77777777" w:rsidR="008D479B" w:rsidRDefault="008D479B" w:rsidP="008D479B">
      <w:pPr>
        <w:pStyle w:val="TextoNormal"/>
      </w:pPr>
      <w:r>
        <w:t xml:space="preserve">Por una parte, unos vicios formales relacionados con la ausencia del informe del Consejo General del Poder Judicial previo a la tramitación parlamentaria de la proposición de ley, del que se deriva, a su juicio, una directa vulneración del art. 23.1 CE, en su vertiente de derecho a la participación en asuntos públicos a través de representantes. Sostienen los recurrentes que cuando una proposición de ley sea presentada por la mayoría que sustenta el Gobierno, entre los antecedentes de la proposición que deben ser presentados </w:t>
      </w:r>
      <w:r w:rsidRPr="008D479B">
        <w:rPr>
          <w:i/>
        </w:rPr>
        <w:t>ex</w:t>
      </w:r>
      <w:r>
        <w:t xml:space="preserve"> art. 89.2 CE y arts. 69 y 124 del Reglamento del Congreso de los Diputados (RCD), si no se quiere incurrir en fraude de ley, deberían incluirse aquellos que preceptivamente debiera recabar el Gobierno en la presentación de un proyecto de ley.</w:t>
      </w:r>
    </w:p>
    <w:p w14:paraId="1B211E4A" w14:textId="77777777" w:rsidR="008D479B" w:rsidRDefault="008D479B" w:rsidP="008D479B">
      <w:pPr>
        <w:pStyle w:val="TextoNormal"/>
      </w:pPr>
    </w:p>
    <w:p w14:paraId="20C6CC7A" w14:textId="77777777" w:rsidR="008D479B" w:rsidRDefault="008D479B" w:rsidP="008D479B">
      <w:pPr>
        <w:pStyle w:val="TextoNormal"/>
      </w:pPr>
      <w:r>
        <w:t>Por otra parte, unos vicios materiales derivados de la creación de un Consejo General del Poder Judicial en funciones que no tiene cobertura constitucional, siendo además contrario a las previsiones de los arts. 122, 123.2, 124.4, 159.1 y 161.l d) CE, en la medida en que la Ley Orgánica 4/2021: (i) asume un papel constituyente que no le corresponde creando, la figura extra-constitucional del Consejo “en funciones”; (ii) crea una figura que no respeta la garantía de instituto establecida en la Constitución, desnaturalizando el Consejo General del Poder Judicial y convirtiéndolo en un órgano de gestión subordinado a la mayoría política que sustenta a los poderes ejecutivo y legislativo; y (iii) subordina al Consejo General del Poder Judicial al legislativo, que puede mantenerle en situación de prórroga a su conveniencia política.</w:t>
      </w:r>
    </w:p>
    <w:p w14:paraId="4699B9AA" w14:textId="77777777" w:rsidR="008D479B" w:rsidRDefault="008D479B" w:rsidP="008D479B">
      <w:pPr>
        <w:pStyle w:val="TextoNormal"/>
      </w:pPr>
    </w:p>
    <w:p w14:paraId="64F1877F" w14:textId="77777777" w:rsidR="008D479B" w:rsidRDefault="008D479B" w:rsidP="008D479B">
      <w:pPr>
        <w:pStyle w:val="TextoNormal"/>
      </w:pPr>
      <w:r>
        <w:t xml:space="preserve">c) Las alegaciones del Congreso de los Diputados descartan la concurrencia de los vicios de inconstitucionalidad formal denunciados por los recurrentes. En primer término, niega la existencia de un fraude de ley en el ejercicio mismo de la iniciativa legislativa que corresponde a los grupos parlamentarios que la ejercieron. El uso de una u otra vía de tramitación parlamentaria (proyecto </w:t>
      </w:r>
      <w:r w:rsidRPr="008D479B">
        <w:rPr>
          <w:i/>
        </w:rPr>
        <w:t>versus</w:t>
      </w:r>
      <w:r>
        <w:t xml:space="preserve"> proposición de ley), salvo en caso de materias excepcionales, se basa en un principio de libertad de elección de diputados o grupos parlamentarios, conclusión que no se puede ver modificada por el hecho de que la proposición de ley haya sido presentada por grupos parlamentarios que apoyan al Gobierno. Sostener lo contrario, como hacen los recurrentes, afectaría, en opinión de la letrada de la Cámara, al núcleo de la función parlamentaria de los grupos que sustentan o dan su apoyo al Gobierno.</w:t>
      </w:r>
    </w:p>
    <w:p w14:paraId="7D3E7BB2" w14:textId="77777777" w:rsidR="008D479B" w:rsidRDefault="008D479B" w:rsidP="008D479B">
      <w:pPr>
        <w:pStyle w:val="TextoNormal"/>
      </w:pPr>
    </w:p>
    <w:p w14:paraId="5B761FFA" w14:textId="77777777" w:rsidR="008D479B" w:rsidRDefault="008D479B" w:rsidP="008D479B">
      <w:pPr>
        <w:pStyle w:val="TextoNormal"/>
      </w:pPr>
      <w:r>
        <w:t>En segundo término, se rechaza la vulneración del art. 124 RCD y del art. 23 CE, puesto que el informe del Consejo General del Poder Judicial no era preceptivo en el curso de la tramitación de una proposición de ley, ni puede considerarse incluido entre los documentos que requiere el art. 69 RCD. Además, la inexistencia del informe, más allá de no suponer infracción formal alguna, tampoco priva materialmente de elementos de juicio a los integrantes de la Cámara a la hora de adoptar la decisión sobre la tramitación y aprobación de la iniciativa.</w:t>
      </w:r>
    </w:p>
    <w:p w14:paraId="1CE28A0E" w14:textId="77777777" w:rsidR="008D479B" w:rsidRDefault="008D479B" w:rsidP="008D479B">
      <w:pPr>
        <w:pStyle w:val="TextoNormal"/>
      </w:pPr>
    </w:p>
    <w:p w14:paraId="1DD280DC" w14:textId="77777777" w:rsidR="008D479B" w:rsidRDefault="008D479B" w:rsidP="008D479B">
      <w:pPr>
        <w:pStyle w:val="TextoNormal"/>
      </w:pPr>
      <w:r>
        <w:t>d) La Abogacía del Estado interesa la desestimación del recurso en su totalidad. Respecto de los vicios de inconstitucionalidad formal, se alega que no ha existido fraude de ley al promover la modificación recurrida a través de una proposición de ley orgánica, recordando que no es la primera y única vez que se utiliza esta vía, y en la que no se requiere solicitar un informe del Consejo General del Poder Judicial; informe cuya ausencia tampoco ha afectado al contenido de la deliberación parlamentaria.</w:t>
      </w:r>
    </w:p>
    <w:p w14:paraId="1501180C" w14:textId="77777777" w:rsidR="008D479B" w:rsidRDefault="008D479B" w:rsidP="008D479B">
      <w:pPr>
        <w:pStyle w:val="TextoNormal"/>
      </w:pPr>
    </w:p>
    <w:p w14:paraId="34991F69" w14:textId="685EB6C4" w:rsidR="008D479B" w:rsidRDefault="008D479B" w:rsidP="008D479B">
      <w:pPr>
        <w:pStyle w:val="TextoNormal"/>
      </w:pPr>
      <w:r>
        <w:t>Por lo que hace a los vicios de inconstitucionalidad material, el abogado del Estado insiste en la idea de la ausencia de desarrollo argumental suficiente que justifique la acusación de injerencia en la independencia judicial por parte del legislador orgánico, que tiene la facultad de desarrollar el elenco de funciones constitucionalmente atribuido al Consejo General del Poder Judicial. En particular, considera ausente de argumentación bastante la queja relativa a las vulneraciones de los arts. 123.2, 159.1 y 161.l d) CE.</w:t>
      </w:r>
    </w:p>
    <w:p w14:paraId="6A5BE736" w14:textId="77777777" w:rsidR="008D479B" w:rsidRDefault="008D479B" w:rsidP="008D479B">
      <w:pPr>
        <w:pStyle w:val="TextoNormal"/>
      </w:pPr>
    </w:p>
    <w:p w14:paraId="4F286EC0" w14:textId="77777777" w:rsidR="008D479B" w:rsidRDefault="008D479B" w:rsidP="008D479B">
      <w:pPr>
        <w:pStyle w:val="TextoNormal"/>
      </w:pPr>
      <w:r w:rsidRPr="008D479B">
        <w:rPr>
          <w:rStyle w:val="NumeroAFNegritaCaracter"/>
        </w:rPr>
        <w:t>2</w:t>
      </w:r>
      <w:r>
        <w:t xml:space="preserve">. </w:t>
      </w:r>
      <w:r w:rsidRPr="008D479B">
        <w:rPr>
          <w:i/>
        </w:rPr>
        <w:t>Delimitación del objeto y sistemática</w:t>
      </w:r>
    </w:p>
    <w:p w14:paraId="3C34AC79" w14:textId="77777777" w:rsidR="008D479B" w:rsidRDefault="008D479B" w:rsidP="008D479B">
      <w:pPr>
        <w:pStyle w:val="TextoNormal"/>
      </w:pPr>
    </w:p>
    <w:p w14:paraId="06AF438C" w14:textId="77777777" w:rsidR="008D479B" w:rsidRDefault="008D479B" w:rsidP="008D479B">
      <w:pPr>
        <w:pStyle w:val="TextoNormal"/>
      </w:pPr>
      <w:r>
        <w:t>Expuesto el contenido literal de los preceptos impugnados y sintetizadas las posiciones de las partes, es preciso, antes de abordar las cuestiones de fondo, realizar unas consideraciones previas sobre (i) la delimitación del objeto del presente recurso por las modificaciones experimentadas por la norma durante la pendencia del proceso, así como en relación con la eventual lesión del art. 124.4 CE; (ii) los óbices procesales planteados por la abogacía del Estado; y (iii) el orden de examen de los motivos de impugnación alegados por los recurrentes.</w:t>
      </w:r>
    </w:p>
    <w:p w14:paraId="16D52191" w14:textId="77777777" w:rsidR="008D479B" w:rsidRDefault="008D479B" w:rsidP="008D479B">
      <w:pPr>
        <w:pStyle w:val="TextoNormal"/>
      </w:pPr>
    </w:p>
    <w:p w14:paraId="79E26E2F" w14:textId="77777777" w:rsidR="008D479B" w:rsidRDefault="008D479B" w:rsidP="008D479B">
      <w:pPr>
        <w:pStyle w:val="TextoNormal"/>
      </w:pPr>
      <w:r>
        <w:t>A) Encuadramiento y modificación de la norma objeto del presente recurso: la pérdida sobrevenida parcial del objeto respecto de la vulneración del art. 159.1 CE</w:t>
      </w:r>
    </w:p>
    <w:p w14:paraId="5A089DA9" w14:textId="77777777" w:rsidR="008D479B" w:rsidRDefault="008D479B" w:rsidP="008D479B">
      <w:pPr>
        <w:pStyle w:val="TextoNormal"/>
      </w:pPr>
    </w:p>
    <w:p w14:paraId="29A7B48B" w14:textId="77777777" w:rsidR="008D479B" w:rsidRDefault="008D479B" w:rsidP="008D479B">
      <w:pPr>
        <w:pStyle w:val="TextoNormal"/>
      </w:pPr>
      <w:r>
        <w:t>La Ley Orgánica 4/2021 tiene por objeto, tal como explicita su preámbulo, “establecer el régimen jurídico aplicable al Consejo General del Poder Judicial cuando la composición del mismo no se renueve en el plazo establecido por la Constitución, abocando al órgano constitucional a continuar en funciones hasta su renovación”, lo que se justifica porque “[e]s evidente que la superación del plazo máximo de mandato sin que se haya producido la debida renovación sitúa al Consejo General del Poder Judicial en una situación extraordinaria, cuyo régimen jurídico no puede ser el mismo que el aplicable al periodo normal de funcionamiento”. Es, por ello, que si bien “lo deseable será siempre que la renovación del Consejo General del Poder Judicial se produzca de manera inmediata a la finalización de su mandato, debe, no obstante, preverse un régimen jurídico completo y adecuado para cuando tal circunstancia no se dé”; régimen con el que el legislador pretende garantizar el correcto funcionamiento de la administración de justicia y favorecer una renovación que repercuta en la salvaguarda de la legitimidad democrática del tercer poder del Estado.</w:t>
      </w:r>
    </w:p>
    <w:p w14:paraId="43B501B4" w14:textId="77777777" w:rsidR="008D479B" w:rsidRDefault="008D479B" w:rsidP="008D479B">
      <w:pPr>
        <w:pStyle w:val="TextoNormal"/>
      </w:pPr>
    </w:p>
    <w:p w14:paraId="5031C8F0" w14:textId="77777777" w:rsidR="008D479B" w:rsidRDefault="008D479B" w:rsidP="008D479B">
      <w:pPr>
        <w:pStyle w:val="TextoNormal"/>
      </w:pPr>
      <w:r>
        <w:t xml:space="preserve">A tales efectos, como hemos expuesto en el precedente fundamento jurídico, el primero de los preceptos impugnados —art. 570 </w:t>
      </w:r>
      <w:r w:rsidRPr="008D479B">
        <w:rPr>
          <w:i/>
        </w:rPr>
        <w:t>bis</w:t>
      </w:r>
      <w:r>
        <w:t xml:space="preserve"> LOPJ— contiene un listado de atribuciones que el Consejo General del Poder Judicial en funciones puede acometer una vez que ha finalizado el mandato de cinco años que le atribuye el art. 122.3 CE, sin haberse producido su renovación. Por otra parte, el art. 598 </w:t>
      </w:r>
      <w:r w:rsidRPr="008D479B">
        <w:rPr>
          <w:i/>
        </w:rPr>
        <w:t>bis</w:t>
      </w:r>
      <w:r>
        <w:t xml:space="preserve"> LOPJ se limita a establecer la imposibilidad de que el Consejo en funciones pueda acordar el cese del secretario general ni del vicesecretario general de dicho órgano.</w:t>
      </w:r>
    </w:p>
    <w:p w14:paraId="2CEF37CD" w14:textId="77777777" w:rsidR="008D479B" w:rsidRDefault="008D479B" w:rsidP="008D479B">
      <w:pPr>
        <w:pStyle w:val="TextoNormal"/>
      </w:pPr>
    </w:p>
    <w:p w14:paraId="60DC8CA6" w14:textId="77777777" w:rsidR="008D479B" w:rsidRDefault="008D479B" w:rsidP="008D479B">
      <w:pPr>
        <w:pStyle w:val="TextoNormal"/>
      </w:pPr>
      <w:r>
        <w:t>Durante la pendencia del proceso, la Ley Orgánica del Poder Judicial ha sido reformada hasta en nueve ocasiones. Las reformas introducidas mediante las Leyes Orgánicas 6/2021, de 28 de abril; 7/2021, de 26 de mayo; 8/2021, de 4 de junio; 9/2021, de 1 de julio; 10/2021, de 14 de diciembre; 2/2022, de 21 de marzo; 5/2022, de 28 de junio; y 7/2022, de 27 de julio, no han afectado ni a los preceptos objeto del presente recurso, ni a la regulación del Consejo en funciones, por lo que carecen de relevancia sobre la pervivencia del recurso y la delimitación del objeto de este proceso.</w:t>
      </w:r>
    </w:p>
    <w:p w14:paraId="6902376B" w14:textId="77777777" w:rsidR="008D479B" w:rsidRDefault="008D479B" w:rsidP="008D479B">
      <w:pPr>
        <w:pStyle w:val="TextoNormal"/>
      </w:pPr>
    </w:p>
    <w:p w14:paraId="378BF7C0" w14:textId="77777777" w:rsidR="008D479B" w:rsidRDefault="008D479B" w:rsidP="008D479B">
      <w:pPr>
        <w:pStyle w:val="TextoNormal"/>
      </w:pPr>
      <w:r>
        <w:t xml:space="preserve">No obstante, la reforma introducida por la Ley Orgánica 8/2022, de 27 de julio, de modificación de los artículos 570 </w:t>
      </w:r>
      <w:r w:rsidRPr="008D479B">
        <w:rPr>
          <w:i/>
        </w:rPr>
        <w:t>bis</w:t>
      </w:r>
      <w:r>
        <w:t xml:space="preserve"> y 599 de la Ley Orgánica 6/1985, de 1 de julio, del Poder Judicial, sí afecta de forma directa al objeto del recurso de inconstitucionalidad. El artículo único de la Ley Orgánica 8/2022 introduce una doble revisión de la Ley Orgánica del Poder Judicial en los siguientes términos:</w:t>
      </w:r>
    </w:p>
    <w:p w14:paraId="5EA3EC7D" w14:textId="77777777" w:rsidR="008D479B" w:rsidRDefault="008D479B" w:rsidP="008D479B">
      <w:pPr>
        <w:pStyle w:val="TextoNormal"/>
      </w:pPr>
    </w:p>
    <w:p w14:paraId="0AB90FF6" w14:textId="77777777" w:rsidR="008D479B" w:rsidRDefault="008D479B" w:rsidP="008D479B">
      <w:pPr>
        <w:pStyle w:val="TextoNormal"/>
      </w:pPr>
      <w:r>
        <w:t xml:space="preserve">“Uno. Se introduce un nuevo numeral 1. en el apartado 1 del artículo 570 </w:t>
      </w:r>
      <w:r w:rsidRPr="008D479B">
        <w:rPr>
          <w:i/>
        </w:rPr>
        <w:t>bis</w:t>
      </w:r>
      <w:r>
        <w:t>, con el siguiente tenor, quedando renumerados los numerales de dicho apartado:</w:t>
      </w:r>
    </w:p>
    <w:p w14:paraId="11A9A144" w14:textId="77777777" w:rsidR="008D479B" w:rsidRDefault="008D479B" w:rsidP="008D479B">
      <w:pPr>
        <w:pStyle w:val="TextoNormal"/>
      </w:pPr>
    </w:p>
    <w:p w14:paraId="153CC5DD" w14:textId="77777777" w:rsidR="008D479B" w:rsidRDefault="008D479B" w:rsidP="008D479B">
      <w:pPr>
        <w:pStyle w:val="TextoNormal"/>
      </w:pPr>
      <w:r>
        <w:t>‘1. Proponer el nombramiento de dos magistrados del Tribunal Constitucional, en los términos previstos por el artículo 599.1.1’.</w:t>
      </w:r>
    </w:p>
    <w:p w14:paraId="4DFF58DF" w14:textId="77777777" w:rsidR="008D479B" w:rsidRDefault="008D479B" w:rsidP="008D479B">
      <w:pPr>
        <w:pStyle w:val="TextoNormal"/>
      </w:pPr>
    </w:p>
    <w:p w14:paraId="267C1C1C" w14:textId="77777777" w:rsidR="008D479B" w:rsidRDefault="008D479B" w:rsidP="008D479B">
      <w:pPr>
        <w:pStyle w:val="TextoNormal"/>
      </w:pPr>
      <w:r>
        <w:t>Dos. Se modifica el numeral 1 del apartado 1 del artículo 599, quedando redactado como sigue:</w:t>
      </w:r>
    </w:p>
    <w:p w14:paraId="301CAB31" w14:textId="77777777" w:rsidR="008D479B" w:rsidRDefault="008D479B" w:rsidP="008D479B">
      <w:pPr>
        <w:pStyle w:val="TextoNormal"/>
      </w:pPr>
    </w:p>
    <w:p w14:paraId="644EB0F9" w14:textId="77777777" w:rsidR="008D479B" w:rsidRDefault="008D479B" w:rsidP="008D479B">
      <w:pPr>
        <w:pStyle w:val="TextoNormal"/>
      </w:pPr>
      <w:r>
        <w:t>‘1. La propuesta de nombramiento, por mayoría de tres quintos, de los dos magistrados del Tribunal Constitucional cuya designación corresponde al Consejo General del Poder Judicial, que tendrá que realizarse en el plazo máximo de tres meses a contar desde el día siguiente al vencimiento del mandato anterior’”.</w:t>
      </w:r>
    </w:p>
    <w:p w14:paraId="1B0E8736" w14:textId="77777777" w:rsidR="008D479B" w:rsidRDefault="008D479B" w:rsidP="008D479B">
      <w:pPr>
        <w:pStyle w:val="TextoNormal"/>
      </w:pPr>
    </w:p>
    <w:p w14:paraId="5E717FF9" w14:textId="77777777" w:rsidR="008D479B" w:rsidRDefault="008D479B" w:rsidP="008D479B">
      <w:pPr>
        <w:pStyle w:val="TextoNormal"/>
      </w:pPr>
      <w:r>
        <w:t>Este tribunal ya ha señalado en diversas ocasiones que, aunque la desaparición sobrevenida del objeto del proceso no esté contemplada en el art. 86.1 LOTC como una de las causas de terminación extraordinaria de los distintos procesos constitucionales, y en particular de los recursos de inconstitucionalidad, es posible, no obstante, que tal cosa pueda suceder (entre otros, AATC 139/1998, de 16 de junio, FJ 1, y 244/2000, de 17 de octubre, FJ 2, así como la jurisprudencia allí citada). Ahora bien, también se ha venido afirmando que, en relación con la pérdida sobrevenida del objeto, no cabe dar una respuesta unívoca y general a la cuestión relativa a los efectos de la modificación, derogación o pérdida de vigencia de una disposición legal, ulterior a su impugnación. Esta respuesta ha de venir determinada “en función de la incidencia real de la derogación, no de criterios abstractos” (STC 385/1993, de 23 de diciembre, FJ 2).</w:t>
      </w:r>
    </w:p>
    <w:p w14:paraId="219E0C16" w14:textId="77777777" w:rsidR="008D479B" w:rsidRDefault="008D479B" w:rsidP="008D479B">
      <w:pPr>
        <w:pStyle w:val="TextoNormal"/>
      </w:pPr>
    </w:p>
    <w:p w14:paraId="76B0C6DD" w14:textId="77777777" w:rsidR="008D479B" w:rsidRDefault="008D479B" w:rsidP="008D479B">
      <w:pPr>
        <w:pStyle w:val="TextoNormal"/>
      </w:pPr>
      <w:r>
        <w:t>En el supuesto que ahora nos ocupa, la reforma del art. 570.1.1 LOPJ introduce una modificación sustancial en el objeto del presente recurso en lo que concierne a la atribución al Consejo en funciones de proponer el nombramiento de dos miembros del Tribunal Constitucional. En su demanda, los recurrentes denuncian una lesión autónoma del art. 159.1 CE por la exclusión de dicha facultad. En la medida en que la misma ha sido otorgada al Consejo General del Poder Judicial en funciones por obra del mismo legislador que inicialmente no la previó, este tribunal ya no debe pronunciarse sobre este concreto motivo de impugnación. Y ello porque carece de sentido “pronunciarse sobre normas que el mismo legislador ha expulsado ya del ordenamiento de modo total, sin ultraactividad (SSTC 160/1987, de 27 de octubre, FJ 6; 199/1987, de 16 de diciembre, FJ 3; 150/1990, de 4 de octubre, FJ 8; 385/1993, de 23 de diciembre, FJ 2; 196/1997, de 13 de noviembre, FJ 2, y 137/2003, de 3 de julio, FJ 2)” [STC 29/2022, de 24 de febrero, FJ 2 b)]. La regla general en el ámbito de los recursos de inconstitucionalidad es, pues, que la derogación extingue su objeto, máxime en supuestos en que la norma en concreto ha sido privada de todo vestigio de vigencia. Así sucede en el presente caso, tal y como demuestra el hecho de que el Consejo General en funciones propusiera para su nombramiento, el 27 de diciembre de 2022, a dos magistrados del Tribunal Constitucional aplicando lo dispuesto en la nueva regulación.</w:t>
      </w:r>
    </w:p>
    <w:p w14:paraId="403F89E1" w14:textId="77777777" w:rsidR="008D479B" w:rsidRDefault="008D479B" w:rsidP="008D479B">
      <w:pPr>
        <w:pStyle w:val="TextoNormal"/>
      </w:pPr>
    </w:p>
    <w:p w14:paraId="4029A133" w14:textId="77777777" w:rsidR="008D479B" w:rsidRDefault="008D479B" w:rsidP="008D479B">
      <w:pPr>
        <w:pStyle w:val="TextoNormal"/>
      </w:pPr>
      <w:r>
        <w:t>Lo expuesto significa que esta concreta queja quedará fuera del objeto del pronunciamiento que debe formular este tribunal.</w:t>
      </w:r>
    </w:p>
    <w:p w14:paraId="38AD4CBC" w14:textId="77777777" w:rsidR="008D479B" w:rsidRDefault="008D479B" w:rsidP="008D479B">
      <w:pPr>
        <w:pStyle w:val="TextoNormal"/>
      </w:pPr>
    </w:p>
    <w:p w14:paraId="32CB0441" w14:textId="77777777" w:rsidR="008D479B" w:rsidRDefault="008D479B" w:rsidP="008D479B">
      <w:pPr>
        <w:pStyle w:val="TextoNormal"/>
      </w:pPr>
      <w:r>
        <w:t>B) Exclusión del examen de la eventual lesión del art. 124.4 CE</w:t>
      </w:r>
    </w:p>
    <w:p w14:paraId="0914D57A" w14:textId="77777777" w:rsidR="008D479B" w:rsidRDefault="008D479B" w:rsidP="008D479B">
      <w:pPr>
        <w:pStyle w:val="TextoNormal"/>
      </w:pPr>
    </w:p>
    <w:p w14:paraId="42871D0D" w14:textId="77777777" w:rsidR="008D479B" w:rsidRDefault="008D479B" w:rsidP="008D479B">
      <w:pPr>
        <w:pStyle w:val="TextoNormal"/>
      </w:pPr>
      <w:r>
        <w:t xml:space="preserve">Los recurrentes se limitan a enunciar en su demanda la eventual vulneración del art. 124.4 CE, en concreto, lo hacen en la rúbrica del segundo motivo de inconstitucionalidad imputado a la Ley Orgánica 4/2021, relativo a impugnaciones de carácter material. El art. 124.4 CE atribuye al Consejo General del Poder Judicial la facultad de ser oído antes del nombramiento del fiscal general del Estado por el Rey, a propuesta del Gobierno. La mera lectura del art. 570 </w:t>
      </w:r>
      <w:r w:rsidRPr="008D479B">
        <w:rPr>
          <w:i/>
        </w:rPr>
        <w:t>bis</w:t>
      </w:r>
      <w:r>
        <w:t xml:space="preserve"> LOPJ evidencia que esta atribución del Consejo General del Poder Judicial no ha sido alterada por la cuestionada reforma, por cuanto el precepto impugnado sigue atribuyendo al Consejo en funciones (ordinal 2) el “ser oído por el Gobierno antes del nombramiento del fiscal general del Estado”.</w:t>
      </w:r>
    </w:p>
    <w:p w14:paraId="3FEA96C3" w14:textId="77777777" w:rsidR="008D479B" w:rsidRDefault="008D479B" w:rsidP="008D479B">
      <w:pPr>
        <w:pStyle w:val="TextoNormal"/>
      </w:pPr>
    </w:p>
    <w:p w14:paraId="6372763E" w14:textId="77777777" w:rsidR="008D479B" w:rsidRDefault="008D479B" w:rsidP="008D479B">
      <w:pPr>
        <w:pStyle w:val="TextoNormal"/>
      </w:pPr>
      <w:r>
        <w:t>A la vista de lo expuesto y dada la ausencia de toda argumentación sobre la vulneración del art. 124.4 CE, este tribunal considera que su alusión en la demanda ha obedecido a un mero error de cita, por lo que esta cuestión no será objeto de análisis y quedará ajena a nuestro juicio.</w:t>
      </w:r>
    </w:p>
    <w:p w14:paraId="5C6EE777" w14:textId="77777777" w:rsidR="008D479B" w:rsidRDefault="008D479B" w:rsidP="008D479B">
      <w:pPr>
        <w:pStyle w:val="TextoNormal"/>
      </w:pPr>
    </w:p>
    <w:p w14:paraId="13B4583E" w14:textId="77777777" w:rsidR="008D479B" w:rsidRDefault="008D479B" w:rsidP="008D479B">
      <w:pPr>
        <w:pStyle w:val="TextoNormal"/>
      </w:pPr>
      <w:r>
        <w:t>C) Óbices procesales en relación con las eventuales lesiones de los arts. 123.2 y 161.1 d) CE</w:t>
      </w:r>
    </w:p>
    <w:p w14:paraId="7A2CDCBB" w14:textId="77777777" w:rsidR="008D479B" w:rsidRDefault="008D479B" w:rsidP="008D479B">
      <w:pPr>
        <w:pStyle w:val="TextoNormal"/>
      </w:pPr>
    </w:p>
    <w:p w14:paraId="5B1C3EA5" w14:textId="77777777" w:rsidR="008D479B" w:rsidRDefault="008D479B" w:rsidP="008D479B">
      <w:pPr>
        <w:pStyle w:val="TextoNormal"/>
      </w:pPr>
      <w:r>
        <w:t>Se afirma en el recurso de inconstitucionalidad que la Ley Orgánica 4/2021 establece una configuración constitucional del órgano de gobierno de los jueces indisponible para el legislador. Sostienen que resultan directamente vulnerados los arts. 123.2, 159.1 y 161.1 d) CE, en la medida en que la norma impugnada opera una verdadera desnaturalización del Consejo General del Poder Judicial, cuya configuración constitucional se caracteriza por: (i) asumir necesariamente todas aquellas funciones imprescindibles para velar por la total independencia de la justicia; y (ii) ser una institución absolutamente independiente y, por lo tanto, no subordinada a los demás poderes públicos, sin que sus vocales puedan ser vistos como delegados o comisionados del Congreso y del Senado, por más que a una y a otra de estas Cámaras corresponda la designación de sus miembros.</w:t>
      </w:r>
    </w:p>
    <w:p w14:paraId="31D7D0D8" w14:textId="77777777" w:rsidR="008D479B" w:rsidRDefault="008D479B" w:rsidP="008D479B">
      <w:pPr>
        <w:pStyle w:val="TextoNormal"/>
      </w:pPr>
    </w:p>
    <w:p w14:paraId="0B001E14" w14:textId="77777777" w:rsidR="008D479B" w:rsidRDefault="008D479B" w:rsidP="008D479B">
      <w:pPr>
        <w:pStyle w:val="TextoNormal"/>
      </w:pPr>
      <w:r>
        <w:t xml:space="preserve">La Abogacía del Estado entiende que esta impugnación debiera inadmitirse </w:t>
      </w:r>
      <w:r w:rsidRPr="008D479B">
        <w:rPr>
          <w:i/>
        </w:rPr>
        <w:t>a límine</w:t>
      </w:r>
      <w:r>
        <w:t>, dado que los recurrentes no realizan argumentación alguna que sustente que las competencias que no ejerce el Consejo en funciones afecten a la independencia del Poder Judicial, limitándose a enumerar el listado de materias que no pueden tratar y señalar, solo con cita de un artículo en concreto, las relativas a la capacidad de proponer el nombramiento de magistrados del Tribunal Constitucional (art. 159.1 CE), del presidente del Tribunal Supremo (art. 123.2 CE) y del fiscal general del Estado (art. 124.4 CE), y a la posibilidad de plantear conflictos de atribuciones [art. 161.1 d) CE)].</w:t>
      </w:r>
    </w:p>
    <w:p w14:paraId="62244490" w14:textId="77777777" w:rsidR="008D479B" w:rsidRDefault="008D479B" w:rsidP="008D479B">
      <w:pPr>
        <w:pStyle w:val="TextoNormal"/>
      </w:pPr>
    </w:p>
    <w:p w14:paraId="53C1CA1A" w14:textId="77777777" w:rsidR="008D479B" w:rsidRDefault="008D479B" w:rsidP="008D479B">
      <w:pPr>
        <w:pStyle w:val="TextoNormal"/>
      </w:pPr>
      <w:r>
        <w:t>De acuerdo con lo señalado en los precedentes apartados A) y B) de este fundamento jurídico, las quejas de inconstitucionalidad formuladas en relación con los arts. 159.1 y 124.4 CE quedan, por las razones allí expuestas, fuera del objeto de análisis del presente recurso de inconstitucionalidad. Teniendo esto en cuenta, hemos de dar respuesta, en todo caso, a la alegación del abogado del Estado sobre la concurrencia del óbice de admisibilidad por él planteado en relación con los arts. 123.2 y 161.1 d) CE.</w:t>
      </w:r>
    </w:p>
    <w:p w14:paraId="7B09BA12" w14:textId="77777777" w:rsidR="008D479B" w:rsidRDefault="008D479B" w:rsidP="008D479B">
      <w:pPr>
        <w:pStyle w:val="TextoNormal"/>
      </w:pPr>
    </w:p>
    <w:p w14:paraId="214D04C8" w14:textId="77777777" w:rsidR="008D479B" w:rsidRDefault="008D479B" w:rsidP="008D479B">
      <w:pPr>
        <w:pStyle w:val="TextoNormal"/>
      </w:pPr>
      <w:r>
        <w:t>Ciertamente, como afirma la Abogacía del Estado, en relación con el conflicto entre la Ley Orgánica 4/2021 y los citados arts. 123.2 y 161.1 d) CE, la argumentación desarrollada por los recurrentes es sumamente escueta, limitándose a aseverar que el legislador ha privado al Consejo en funciones de atribuciones que eran constitucionalmente indisponibles. En particular y por lo que ahora interesa: (i) la facultad de proponer el nombramiento del presidente del Tribunal Supremo y del Consejo General del Poder Judicial, contemplada en el art. 123.2 CE y en el art. 560.1.1 LOPJ; y (ii) la legitimación del Consejo para plantear, en los términos previstos por la Ley Orgánica del Tribunal Constitucional, el conflicto de atribuciones entre órganos constitucionales del Estado, tal y como se deriva del art. 161.l d) CE y se reconoce en el art. 560.1.5 LOPJ.</w:t>
      </w:r>
    </w:p>
    <w:p w14:paraId="4E555534" w14:textId="77777777" w:rsidR="008D479B" w:rsidRDefault="008D479B" w:rsidP="008D479B">
      <w:pPr>
        <w:pStyle w:val="TextoNormal"/>
      </w:pPr>
    </w:p>
    <w:p w14:paraId="765CEF12" w14:textId="77777777" w:rsidR="008D479B" w:rsidRDefault="008D479B" w:rsidP="008D479B">
      <w:pPr>
        <w:pStyle w:val="TextoNormal"/>
      </w:pPr>
      <w:r>
        <w:t>Ya desde sus primeros pronunciamientos el Tribunal ha venido sosteniendo que “en los casos de fundamentación insuficiente el Tribunal resta en libertad para rechazar la acción en aquello en que se encuentre insuficientemente fundada o para examinar el fondo del asunto si encuentra razones para ello” (STC 11/1981, de 8 de abril, FJ 3). Esta doctrina se va perfilando con el tiempo y se sintetiza en la STC 87/2017, de 4 de julio, FJ 2, en la que se sostiene que los pronunciamientos de inconstitucionalidad deben centrarse en los aspectos señalados en la demanda, sin entrar en aquellos que carecen de una argumentación suficiente que permita desvirtuar la presunción de validez de las leyes aprobadas. Tampoco deben abordarse los argumentos que exceden de la pretensión planteada. Y la razón para ello es que “cuando lo que está en juego es la depuración del ordenamiento jurídico, es carga de los recurrentes no solo la de abrir la vía para que el Tribunal pueda pronunciarse, sino también la de colaborar con la justicia del Tribunal en un pormenorizado análisis de las graves cuestiones que se suscitan. Es justo, pues, hablar [...] de una carga del recurrente y en los casos en que aquella no se observe, de una falta de diligencia procesalmente exigible, que es la diligencia de ofrecer la fundamentación que razonablemente es de esperar” (STC 86/2017, de 4 de julio, FJ 2).</w:t>
      </w:r>
    </w:p>
    <w:p w14:paraId="200FC338" w14:textId="77777777" w:rsidR="008D479B" w:rsidRDefault="008D479B" w:rsidP="008D479B">
      <w:pPr>
        <w:pStyle w:val="TextoNormal"/>
      </w:pPr>
    </w:p>
    <w:p w14:paraId="6828C7AF" w14:textId="77777777" w:rsidR="008D479B" w:rsidRDefault="008D479B" w:rsidP="008D479B">
      <w:pPr>
        <w:pStyle w:val="TextoNormal"/>
      </w:pPr>
      <w:r>
        <w:t>En el caso que ahora nos ocupa, este tribunal considera procedente examinar el fondo del asunto, porque los recurrentes han ofrecido argumentos suficientes para ello, por más que su examen de las causas de inconstitucionalidad de la Ley Orgánica 4/2021, en relación con los arts. 123.2 y 161.l d) CE, no haya sido pormenorizado. En realidad, el argumento principal viene expresado en el escrito de demanda, y se refiere a la retirada al Consejo en funciones de una serie de atribuciones derivadas de la propia Constitución, sin establecer el texto constitucional limitación temporal o circunstancial alguna a dicha atribución. Con la presentación de esta tesis, reforzada además por la invocación del ataque a la independencia del Consejo General del Poder Judicial, es suficiente para que este tribunal considere cumplida la carga de alegar, descartando la existencia del óbice procesal planteado por la Abogacía del Estado.</w:t>
      </w:r>
    </w:p>
    <w:p w14:paraId="2157B6F3" w14:textId="77777777" w:rsidR="008D479B" w:rsidRDefault="008D479B" w:rsidP="008D479B">
      <w:pPr>
        <w:pStyle w:val="TextoNormal"/>
      </w:pPr>
    </w:p>
    <w:p w14:paraId="014B989D" w14:textId="77777777" w:rsidR="008D479B" w:rsidRDefault="008D479B" w:rsidP="008D479B">
      <w:pPr>
        <w:pStyle w:val="TextoNormal"/>
      </w:pPr>
      <w:r>
        <w:t>D) Orden de examen</w:t>
      </w:r>
    </w:p>
    <w:p w14:paraId="14CB0E01" w14:textId="77777777" w:rsidR="008D479B" w:rsidRDefault="008D479B" w:rsidP="008D479B">
      <w:pPr>
        <w:pStyle w:val="TextoNormal"/>
      </w:pPr>
    </w:p>
    <w:p w14:paraId="2CC2F0B9" w14:textId="77777777" w:rsidR="008D479B" w:rsidRDefault="008D479B" w:rsidP="008D479B">
      <w:pPr>
        <w:pStyle w:val="TextoNormal"/>
      </w:pPr>
      <w:r>
        <w:t>Una vez acotado el objeto del recurso procede entrar en su resolución conforme al orden de examen que a continuación se indica, teniendo en cuenta que corresponde a este tribunal, en función de las circunstancias concurrentes en cada supuesto concreto sometido a su consideración, determinar el orden del examen de las quejas planteadas [STC 183/2021, de 27 de octubre, FJ 2 C)]. Se examinará, en primer lugar, la censura de inconstitucionalidad atinente a la supuesta existencia de vicios en el procedimiento legislativo de aprobación de la Ley Orgánica 4/2021, que constituyen la mayor parte de alegaciones del recurso de inconstitucionalidad o, en todo caso, aquellas que los recurrentes y el resto de las partes personadas en este procedimiento han desarrollado con mayor amplitud.</w:t>
      </w:r>
    </w:p>
    <w:p w14:paraId="1C1F1497" w14:textId="77777777" w:rsidR="008D479B" w:rsidRDefault="008D479B" w:rsidP="008D479B">
      <w:pPr>
        <w:pStyle w:val="TextoNormal"/>
      </w:pPr>
    </w:p>
    <w:p w14:paraId="4757CAF2" w14:textId="0E891977" w:rsidR="008D479B" w:rsidRDefault="008D479B" w:rsidP="008D479B">
      <w:pPr>
        <w:pStyle w:val="TextoNormal"/>
      </w:pPr>
      <w:r>
        <w:t>Solo en el caso de que se desestimaran estos argumentos de inconstitucionalidad se entraría a valorar, en segundo lugar, las censuras de inconstitucionalidad de carácter material o sustantivo, comenzando por las que se dirigen contra la Ley Orgánica 4/2021 en su conjunto por su eventual contradicción con los apartados 2 y 3 del art 122 CE (FJ 4), considerando después, en su caso, las pretensiones que tienen por objeto la vulneración específica de los arts. 123.2 y 161.l d) CE (FJ 5).</w:t>
      </w:r>
    </w:p>
    <w:p w14:paraId="43C5AEBB" w14:textId="77777777" w:rsidR="008D479B" w:rsidRDefault="008D479B" w:rsidP="008D479B">
      <w:pPr>
        <w:pStyle w:val="TextoNormal"/>
      </w:pPr>
    </w:p>
    <w:p w14:paraId="2B07D944" w14:textId="77777777" w:rsidR="008D479B" w:rsidRDefault="008D479B" w:rsidP="008D479B">
      <w:pPr>
        <w:pStyle w:val="TextoNormal"/>
      </w:pPr>
      <w:r w:rsidRPr="008D479B">
        <w:rPr>
          <w:rStyle w:val="NumeroAFNegritaCaracter"/>
        </w:rPr>
        <w:t>3</w:t>
      </w:r>
      <w:r>
        <w:t xml:space="preserve">. </w:t>
      </w:r>
      <w:r w:rsidRPr="008D479B">
        <w:rPr>
          <w:i/>
        </w:rPr>
        <w:t>Impugnación del conjunto de la Ley Orgánica 4/2021 por motivos procedimentales</w:t>
      </w:r>
    </w:p>
    <w:p w14:paraId="544707A6" w14:textId="77777777" w:rsidR="008D479B" w:rsidRDefault="008D479B" w:rsidP="008D479B">
      <w:pPr>
        <w:pStyle w:val="TextoNormal"/>
      </w:pPr>
    </w:p>
    <w:p w14:paraId="4A22DB6C" w14:textId="77777777" w:rsidR="008D479B" w:rsidRDefault="008D479B" w:rsidP="008D479B">
      <w:pPr>
        <w:pStyle w:val="TextoNormal"/>
      </w:pPr>
      <w:r>
        <w:t>Las censuras de inconstitucionalidad de carácter formal que la demanda atribuye a la Ley Orgánica 4/2021 se vinculan directamente a la falta de participación del Consejo General del Poder Judicial, a través de su facultad de informe, en el curso del procedimiento legislativo. Se aduce que la ausencia del informe del Consejo General del Poder Judicial (</w:t>
      </w:r>
      <w:r w:rsidRPr="008D479B">
        <w:rPr>
          <w:i/>
        </w:rPr>
        <w:t>ex</w:t>
      </w:r>
      <w:r>
        <w:t xml:space="preserve"> art. 561.1.1 LOPJ) es un vicio que, al producirse en el marco del procedimiento legislativo, supone la infracción de los arts. 88 y 89.1 CE, en relación con los arts. 69 y 124 RCD. Además, se argumenta que el ejercicio de la iniciativa legislativa por parte de los grupos parlamentarios que sustentan al Gobierno es un fraude de ley, pues su finalidad es evitar el preceptivo informe del Consejo General del Poder Judicial, lo que deriva en una alteración de la formación de la voluntad de la Cámara. Estos vicios formales determinan, a su vez, la infracción de los derechos fundamentales previstos en el art. 23 CE.</w:t>
      </w:r>
    </w:p>
    <w:p w14:paraId="1B0FF64A" w14:textId="77777777" w:rsidR="008D479B" w:rsidRDefault="008D479B" w:rsidP="008D479B">
      <w:pPr>
        <w:pStyle w:val="TextoNormal"/>
      </w:pPr>
    </w:p>
    <w:p w14:paraId="70580743" w14:textId="77777777" w:rsidR="008D479B" w:rsidRDefault="008D479B" w:rsidP="008D479B">
      <w:pPr>
        <w:pStyle w:val="TextoNormal"/>
      </w:pPr>
      <w:r>
        <w:t>A continuación examinaremos de forma singularizada las dos quejas formuladas a la tramitación parlamentaria de la Ley Orgánica 4/2021: (A) la omisión del informe del CGPJ; y (B) el fraude ley por utilizar la vía de la proposición de ley.</w:t>
      </w:r>
    </w:p>
    <w:p w14:paraId="470BA0D9" w14:textId="77777777" w:rsidR="008D479B" w:rsidRDefault="008D479B" w:rsidP="008D479B">
      <w:pPr>
        <w:pStyle w:val="TextoNormal"/>
      </w:pPr>
    </w:p>
    <w:p w14:paraId="766000ED" w14:textId="77777777" w:rsidR="008D479B" w:rsidRDefault="008D479B" w:rsidP="008D479B">
      <w:pPr>
        <w:pStyle w:val="TextoNormal"/>
      </w:pPr>
      <w:r>
        <w:t xml:space="preserve">A) Irrelevancia constitucional de la omisión del informe del Consejo General del Poder Judicial </w:t>
      </w:r>
      <w:r w:rsidRPr="008D479B">
        <w:rPr>
          <w:i/>
        </w:rPr>
        <w:t>ex</w:t>
      </w:r>
      <w:r>
        <w:t xml:space="preserve"> art. 561.1.1 LOPJ</w:t>
      </w:r>
    </w:p>
    <w:p w14:paraId="7F06E2DB" w14:textId="77777777" w:rsidR="008D479B" w:rsidRDefault="008D479B" w:rsidP="008D479B">
      <w:pPr>
        <w:pStyle w:val="TextoNormal"/>
      </w:pPr>
    </w:p>
    <w:p w14:paraId="3B33F94A" w14:textId="77777777" w:rsidR="008D479B" w:rsidRDefault="008D479B" w:rsidP="008D479B">
      <w:pPr>
        <w:pStyle w:val="TextoNormal"/>
      </w:pPr>
      <w:r>
        <w:t>Este tribunal entiende que carece de relieve jurídico-constitucional la censura formulada a la Ley Orgánica 4/2021 por no haberse recabado, durante su tramitación parlamentaria, el informe del Consejo General del Poder Judicial contemplado en el art. 561.1 LOPJ, que establece que se someterán a informe del Consejo los anteproyectos de ley que versen sobre “modificaciones de la Ley Orgánica del Poder Judicial” (punto 1).</w:t>
      </w:r>
    </w:p>
    <w:p w14:paraId="1EE540FF" w14:textId="77777777" w:rsidR="008D479B" w:rsidRDefault="008D479B" w:rsidP="008D479B">
      <w:pPr>
        <w:pStyle w:val="TextoNormal"/>
      </w:pPr>
    </w:p>
    <w:p w14:paraId="17DF9FB0" w14:textId="77777777" w:rsidR="008D479B" w:rsidRDefault="008D479B" w:rsidP="008D479B">
      <w:pPr>
        <w:pStyle w:val="TextoNormal"/>
      </w:pPr>
      <w:r>
        <w:t>La Ley Orgánica 4/2021 no tuvo su origen en un proyecto de ley gubernamental, sino en una proposición de ley orgánica de los grupos parlamentarios Socialista y Confederal de Unidas Podemos-En Comú Podem-Galicia en Común en el Congreso de los Diputados (“Boletín Oficial de las Cortes Generales. Congreso de los Diputados”, XIV legislatura, serie B, núm. 137-1, de 9 de diciembre de 2020). Como proposición de ley su tramitación, de acuerdo con el art. 89.1 CE, “se regulará por los Reglamentos de las Cámaras”. La remisión al reglamento parlamentario convierte a los arts. 69 y 124 RCD —invocados en la demanda— en parámetro de constitucionalidad [SSTC 99/1987, de 11 de junio, FJ 1 a), y 238/2012, de 13 de diciembre, FJ 2 a)], si bien la vulneración reglamentaria solo determinará la inconstitucionalidad de la ley si afecta a la formación de la voluntad de la Cámara. Los arts. 69 y 124 RCD establecen, respectivamente, que “[n]ingún debate podrá comenzar sin la previa distribución, a todos los diputados […] del informe, dictamen o documentación que haya de servir de base en el mismo, salvo acuerdo en contrario de la mesa del Congreso o de la comisión, debidamente justificado” y que “[l]as proposiciones de ley se presentarán acompañadas de una exposición de motivos y de los antecedentes necesarios para poder pronunciarse sobre ellas”.</w:t>
      </w:r>
    </w:p>
    <w:p w14:paraId="404D8D31" w14:textId="77777777" w:rsidR="008D479B" w:rsidRDefault="008D479B" w:rsidP="008D479B">
      <w:pPr>
        <w:pStyle w:val="TextoNormal"/>
      </w:pPr>
    </w:p>
    <w:p w14:paraId="45BDCA61" w14:textId="77777777" w:rsidR="008D479B" w:rsidRDefault="008D479B" w:rsidP="008D479B">
      <w:pPr>
        <w:pStyle w:val="TextoNormal"/>
      </w:pPr>
      <w:r>
        <w:t>La iniciativa de reforma de la Ley Orgánica del Poder Judicial tiene su origen, por tanto, en una proposición de ley; sin embargo, el art. 561.1 LOPJ se refiere estrictamente, en lo que aquí interesa, a informes sobre anteproyectos de ley. Este es el motivo por el que el art. 561.1.1 LOPJ no puede integrar el contenido de los arts. 69 y 124 RCD cuando se refieren a la documentación o antecedentes normativos preceptivos para proceder a la tramitación parlamentaria. Como ya afirmamos en la en la STC 153/2016, de 22 de septiembre, FJ 3, “[n]o cabe proyectar sobre la facultad de los grupos parlamentarios de presentar proposiciones de ley exigencias y requisitos exigidos solo por el ordenamiento para los proyectos de ley del Gobierno [SSTC 36/2013, de 14 de febrero, FJ 4, y 111/2013, de 9 de mayo, FJ 2 b)] [...] Las disposiciones legales que traen causa, como aquí fue el caso, de una proposición de ley no resultan inconstitucionales, en suma, por el mero hecho de que se hayan presentado ante las Cámaras sin aquellos requisitos documentales que el bloque de la constitucionalidad exige a los proyectos de ley”. Es, por ello, que la discusión sobre la eventual trascendencia constitucional de la omisión del informe del Consejo General del Poder Judicial solo podría suscitarse respecto de los proyectos de ley sometidos por el Consejo de Ministros al Congreso de los Diputados [véanse las SSTC 108/1986, de 29 de julio, FJ 5, aunque a propósito de una normativa distinta a la vigente, y 238/2012, FJ 3 c)], nunca sobre las proposiciones de ley tomadas en consideración por una u otra Cámara, proposiciones cuya tramitación se rige, exclusivamente, por los reglamentos respectivos (art. 89.1 CE), en los que no se prevé informe preceptivo alguno a cargo de otros órganos.</w:t>
      </w:r>
    </w:p>
    <w:p w14:paraId="1A47C889" w14:textId="77777777" w:rsidR="008D479B" w:rsidRDefault="008D479B" w:rsidP="008D479B">
      <w:pPr>
        <w:pStyle w:val="TextoNormal"/>
      </w:pPr>
    </w:p>
    <w:p w14:paraId="075AC44C" w14:textId="77777777" w:rsidR="008D479B" w:rsidRDefault="008D479B" w:rsidP="008D479B">
      <w:pPr>
        <w:pStyle w:val="TextoNormal"/>
      </w:pPr>
      <w:r>
        <w:t>No obstante, nada se opone a que la Cámara pudiera considerar oportuno pedir informe al Consejo General del Poder Judicial sobre cualquier cuestión o asunto de su incumbencia institucional (art. 561.1.9 LOPJ y STC 191/2016, de 15 de noviembre, FJ 6). En este caso, los acuerdos de 13 de enero y 9 de febrero de 2021 de la mesa de la Cámara no consideraron necesario integrar como antecedente —a los efectos del art. 124 RCD— el informe del Consejo, sobre la base del carácter potestativo de la decisión de hacer intervenir o no al Consejo, y nada se ha de objetar a estos acuerdos en términos jurídico-constitucionales.</w:t>
      </w:r>
    </w:p>
    <w:p w14:paraId="0971F0D8" w14:textId="77777777" w:rsidR="008D479B" w:rsidRDefault="008D479B" w:rsidP="008D479B">
      <w:pPr>
        <w:pStyle w:val="TextoNormal"/>
      </w:pPr>
    </w:p>
    <w:p w14:paraId="12FD3819" w14:textId="77777777" w:rsidR="008D479B" w:rsidRDefault="008D479B" w:rsidP="008D479B">
      <w:pPr>
        <w:pStyle w:val="TextoNormal"/>
      </w:pPr>
      <w:r>
        <w:t>Ello conlleva que no quepa apreciar la infracción de los arts. 88 y 89.1 CE en relación con los arts. 69 y 124 RCD.</w:t>
      </w:r>
    </w:p>
    <w:p w14:paraId="06A6254D" w14:textId="77777777" w:rsidR="008D479B" w:rsidRDefault="008D479B" w:rsidP="008D479B">
      <w:pPr>
        <w:pStyle w:val="TextoNormal"/>
      </w:pPr>
    </w:p>
    <w:p w14:paraId="0B6784CD" w14:textId="77777777" w:rsidR="008D479B" w:rsidRDefault="008D479B" w:rsidP="008D479B">
      <w:pPr>
        <w:pStyle w:val="TextoNormal"/>
      </w:pPr>
      <w:r>
        <w:t>B) Ausencia de fraude de ley por utilización de la proposición de ley</w:t>
      </w:r>
    </w:p>
    <w:p w14:paraId="4B9EBBE7" w14:textId="77777777" w:rsidR="008D479B" w:rsidRDefault="008D479B" w:rsidP="008D479B">
      <w:pPr>
        <w:pStyle w:val="TextoNormal"/>
      </w:pPr>
    </w:p>
    <w:p w14:paraId="6A9C109D" w14:textId="77777777" w:rsidR="008D479B" w:rsidRDefault="008D479B" w:rsidP="008D479B">
      <w:pPr>
        <w:pStyle w:val="TextoNormal"/>
      </w:pPr>
      <w:r>
        <w:t>Se argumenta en la demanda que existe una “identidad funcional” entre el Gobierno y las mayorías parlamentarias que lo sustentan o le dan apoyo. Esta alegación no puede prosperar, toda vez que dicha afirmación “es expresión de una apreciación política, que en absoluto se compadece con la propia racionalidad de la democracia parlamentaria” [STC 19/2023, de 22 de marzo, FJ 3 B) c)].</w:t>
      </w:r>
    </w:p>
    <w:p w14:paraId="3C621780" w14:textId="77777777" w:rsidR="008D479B" w:rsidRDefault="008D479B" w:rsidP="008D479B">
      <w:pPr>
        <w:pStyle w:val="TextoNormal"/>
      </w:pPr>
    </w:p>
    <w:p w14:paraId="3CAD50D7" w14:textId="77777777" w:rsidR="008D479B" w:rsidRDefault="008D479B" w:rsidP="008D479B">
      <w:pPr>
        <w:pStyle w:val="TextoNormal"/>
      </w:pPr>
      <w:r>
        <w:t>Sostienen los recurrentes, sobre la base de esa supuesta “identidad funcional”, que la utilización de una proposición de ley por los grupos parlamentarios que forman parte de la mayoría gubernamental es un fraude de ley para evitar la solicitud del preceptivo informe del Consejo General del Poder Judicial. Este tribunal entiende que no se puede calificar de fraude de ley la utilización de una proposición de ley, no de un proyecto del ejecutivo, en orden a incoar el procedimiento legislativo ni a reclamar, parangonando lo incomparable, la imposición en el primero de estos cauces de exigencias que solo pueden llegar a pesar sobre el segundo. Ante una controversia análoga en cuanto a la queja de fondo, la STC 153/2016, de 22 de septiembre, FJ 3 a), afirmó que no se vulnera el procedimiento legislativo por el hecho de que la norma impugnada tenga su origen en una proposición de le ley y no en un proyecto de ley, porque no existe obstáculo alguno en ninguna disposición del bloque de la constitucionalidad, para que la disposición normativa impugnada pudiera tener su origen en una u otra iniciativa legislativa. Por una parte, “el ordenamiento jurídico no ha establecido […] restricciones para el ejercicio de la función legislativa a partir de las proposiciones de ley presentadas por los grupos parlamentarios”; por otra parte, afirma la citada sentencia, la legalidad aplicable “no impone límite material alguno a la iniciativa que corresponde a Les Corts por lo que no cabe exigir que una determinada norma, por el hecho de tener determinadas repercusiones sociales, económicas y jurídicas, tenga que tener su origen en un proyecto de ley del Gobierno en lugar de en una proposición de ley de Les Corts”.</w:t>
      </w:r>
    </w:p>
    <w:p w14:paraId="72F515B0" w14:textId="77777777" w:rsidR="008D479B" w:rsidRDefault="008D479B" w:rsidP="008D479B">
      <w:pPr>
        <w:pStyle w:val="TextoNormal"/>
      </w:pPr>
    </w:p>
    <w:p w14:paraId="572D2C95" w14:textId="77777777" w:rsidR="008D479B" w:rsidRDefault="008D479B" w:rsidP="008D479B">
      <w:pPr>
        <w:pStyle w:val="TextoNormal"/>
      </w:pPr>
      <w:r>
        <w:t xml:space="preserve">Aceptar la premisa argumental de los recurrentes sería tanto como reconocer que, en determinados supuestos en que no se regula limitación alguna de la iniciativa legislativa de los grupos parlamentarios, esa limitación es posible en la medida en que el interés político del grupo que hace uso de la facultad de iniciativa sea coincidente con el interés político del Gobierno. Ello supondría desactivar la iniciativa legislativa de los grupos parlamentarios pertenecientes a la mayoría gubernamental o que dan su apoyo al ejecutivo, lo que vendría a limitar de manera desproporcionada y sin cobertura constitucional el </w:t>
      </w:r>
      <w:r w:rsidRPr="008D479B">
        <w:rPr>
          <w:i/>
        </w:rPr>
        <w:t>ius in offlcium</w:t>
      </w:r>
      <w:r>
        <w:t xml:space="preserve"> de estos grupos, menoscabando, en ese caso, el art. 23.2 CE del que son titulares los integrantes de los mismos. Este tribunal ha declarado “que el ejercicio de la función legislativa por los representantes de los ciudadanos constituye ‘la máxima expresión del ejercicio de la soberanía popular en el Estado democrático’ y que la participación en el ejercicio de dicha función y el desempeño de los derechos y facultades que la acompañan, entre los que indudablemente se encuentra el derecho a la iniciativa legislativa, ‘constituyen una manifestación constitucionalmente relevante del </w:t>
      </w:r>
      <w:r w:rsidRPr="008D479B">
        <w:rPr>
          <w:i/>
        </w:rPr>
        <w:t>ius in officium</w:t>
      </w:r>
      <w:r>
        <w:t xml:space="preserve"> del representante’, protegido por el artículo 23.2 CE (SSTC 224/2016, FJ 2, y 225/2016, FJ 2)” (STC 71/2017, de 5 de junio, FJ 4).</w:t>
      </w:r>
    </w:p>
    <w:p w14:paraId="532FD783" w14:textId="77777777" w:rsidR="008D479B" w:rsidRDefault="008D479B" w:rsidP="008D479B">
      <w:pPr>
        <w:pStyle w:val="TextoNormal"/>
      </w:pPr>
    </w:p>
    <w:p w14:paraId="4F31830E" w14:textId="77777777" w:rsidR="008D479B" w:rsidRDefault="008D479B" w:rsidP="008D479B">
      <w:pPr>
        <w:pStyle w:val="TextoNormal"/>
      </w:pPr>
      <w:r>
        <w:t>En suma, no puede apreciarse la existencia de un fraude de ley cuando uno o más grupos parlamentarios ejercen la iniciativa legislativa que la Constitución les reconoce, y que no se limita por razón material cuando se trata de regular materias propias de la Ley Orgánica del Poder Judicial. El hecho de que la mayoría gubernamental, a través de su o sus grupos parlamentarios, sea quien ejerce la iniciativa legislativa responde a criterios de tramitación distintos a los que se prevén cuando quien ejerce la iniciativa es el Gobierno. Los recurrentes constatan esa realidad innegable. Pero la misma no puede calificarse como conducta infractora, ni se le puede reprochar que conduzca a lo que, de entrada, prevé la norma constitucional al diferenciar la tramitación de proposiciones y proyectos de ley. Como se sostuvo en la STC 19/2019, de 12 de febrero, FJ 3, “el juicio de constitucionalidad ‘no puede confundirse con un juicio de intenciones políticas, sino que tiene por finalidad el contraste abstracto y objetivo de las normas legales impugnadas con aquellas que sirven de parámetro de su constitucionalidad’ (SSTC 239/1992, de 17 de diciembre, FJ 2, y 103/2017, de 6 de septiembre, FJ 2, entre otras muchas)”.</w:t>
      </w:r>
    </w:p>
    <w:p w14:paraId="2057B851" w14:textId="77777777" w:rsidR="008D479B" w:rsidRDefault="008D479B" w:rsidP="008D479B">
      <w:pPr>
        <w:pStyle w:val="TextoNormal"/>
      </w:pPr>
    </w:p>
    <w:p w14:paraId="02F1884E" w14:textId="12630916" w:rsidR="008D479B" w:rsidRDefault="008D479B" w:rsidP="008D479B">
      <w:pPr>
        <w:pStyle w:val="TextoNormal"/>
      </w:pPr>
      <w:r>
        <w:t>C) Es manifiesto, en atención a cuanto queda expuesto, que la tramitación parlamentaria de la Ley Orgánica 4/2021 no ha conculcado el art. 23 CE ni ningún otro de los preceptos invocados por los demandantes al formular este motivo de impugnación, que, por lo tanto, ha de ser desestimado.</w:t>
      </w:r>
    </w:p>
    <w:p w14:paraId="138BA8A4" w14:textId="77777777" w:rsidR="008D479B" w:rsidRDefault="008D479B" w:rsidP="008D479B">
      <w:pPr>
        <w:pStyle w:val="TextoNormal"/>
      </w:pPr>
    </w:p>
    <w:p w14:paraId="1ADAE2A3" w14:textId="77777777" w:rsidR="008D479B" w:rsidRDefault="008D479B" w:rsidP="008D479B">
      <w:pPr>
        <w:pStyle w:val="TextoNormal"/>
      </w:pPr>
      <w:r w:rsidRPr="008D479B">
        <w:rPr>
          <w:rStyle w:val="NumeroAFNegritaCaracter"/>
        </w:rPr>
        <w:t>4</w:t>
      </w:r>
      <w:r>
        <w:t xml:space="preserve">. </w:t>
      </w:r>
      <w:r w:rsidRPr="008D479B">
        <w:rPr>
          <w:i/>
        </w:rPr>
        <w:t>Impugnación de la Ley Orgánica 4/2021 por motivos materiales relativos a la creación del Consejo General del Poder Judicial en funciones: la vulneración del art. 122 CE</w:t>
      </w:r>
    </w:p>
    <w:p w14:paraId="48DF958A" w14:textId="77777777" w:rsidR="008D479B" w:rsidRDefault="008D479B" w:rsidP="008D479B">
      <w:pPr>
        <w:pStyle w:val="TextoNormal"/>
      </w:pPr>
    </w:p>
    <w:p w14:paraId="3B792BF0" w14:textId="77777777" w:rsidR="008D479B" w:rsidRDefault="008D479B" w:rsidP="008D479B">
      <w:pPr>
        <w:pStyle w:val="TextoNormal"/>
      </w:pPr>
      <w:r>
        <w:t>La demanda atribuye una tacha de inconstitucionalidad a la creación, por la Ley Orgánica 4/2021, de un órgano extra-constitucional, el llamado “Consejo General del Poder Judicial en funciones”, al que se recortan potestades esenciales que emanan directamente de la Constitución y son, por ello, indisponibles por el legislador. Esta configuración del Consejo General del Poder Judicial supone, a juicio de los recurrentes, una vulneración del art. 122 CE por un doble motivo: (i) no existe habilitación constitucional para la creación del Consejo en funciones, lo que hace que el legislador asuma funciones propias del constituyente; y (ii) la restricción de funciones del Consejo General del Poder Judicial durante la fase de prórroga de su mandato, vulnera su papel como garante de la independencia judicial.</w:t>
      </w:r>
    </w:p>
    <w:p w14:paraId="72EBB9AA" w14:textId="77777777" w:rsidR="008D479B" w:rsidRDefault="008D479B" w:rsidP="008D479B">
      <w:pPr>
        <w:pStyle w:val="TextoNormal"/>
      </w:pPr>
    </w:p>
    <w:p w14:paraId="6755C53B" w14:textId="77777777" w:rsidR="008D479B" w:rsidRDefault="008D479B" w:rsidP="008D479B">
      <w:pPr>
        <w:pStyle w:val="TextoNormal"/>
      </w:pPr>
      <w:r>
        <w:t>La respuesta a esta queja, que se erige en el núcleo del recurso de inconstitucionalidad, exige que examinemos, sobre la base de nuestros pronunciamientos, diferentes aspectos de la regulación del Consejo (SSTC 45/1986, de 17 de abril; 108/1986, de 29 de julio; 105/2000, de 13 de abril; 238/2012, de 13 de diciembre, y 191/2016, de 15 de noviembre): (A) la configuración constitucional del Consejo General del Poder Judicial, y (B) la necesaria intervención del legislador para completar su regulación. Hecho esto estaremos en condiciones de dar una respuesta fundada a este motivo de impugnación (C).</w:t>
      </w:r>
    </w:p>
    <w:p w14:paraId="1FB5C7AA" w14:textId="77777777" w:rsidR="008D479B" w:rsidRDefault="008D479B" w:rsidP="008D479B">
      <w:pPr>
        <w:pStyle w:val="TextoNormal"/>
      </w:pPr>
    </w:p>
    <w:p w14:paraId="38E9BD91" w14:textId="77777777" w:rsidR="008D479B" w:rsidRDefault="008D479B" w:rsidP="008D479B">
      <w:pPr>
        <w:pStyle w:val="TextoNormal"/>
      </w:pPr>
      <w:r>
        <w:t>A) Configuración del Consejo General del Poder Judicial como órgano constitucional autónomo de gobierno del Poder Judicial, garante de la independencia judicial</w:t>
      </w:r>
    </w:p>
    <w:p w14:paraId="5CC4F678" w14:textId="77777777" w:rsidR="008D479B" w:rsidRDefault="008D479B" w:rsidP="008D479B">
      <w:pPr>
        <w:pStyle w:val="TextoNormal"/>
      </w:pPr>
    </w:p>
    <w:p w14:paraId="4190D8A8" w14:textId="77777777" w:rsidR="008D479B" w:rsidRDefault="008D479B" w:rsidP="008D479B">
      <w:pPr>
        <w:pStyle w:val="TextoNormal"/>
      </w:pPr>
      <w:r>
        <w:t>La Constitución, en los apartados 2 y 3 del art. 122, ha regulado fragmentariamente este órgano constitucional, de modo tal que no todos sus rasgos o elementos pueden deducirse de aquella ordenación parcial por parte de la norma fundamental (STC 108/1986, FJ 11). El texto constitucional se limita a definir al Consejo General del Poder Judicial como órgano de gobierno del Poder Judicial, a establecer que tendrá funciones en materia de nombramientos, ascensos, inspección y régimen disciplinario de los integrantes del poder judicial (art. 122.2 CE) y a fijar los elementos esenciales del sistema de nombramiento de sus vocales y la extensión temporal del mandato de los mismos (art. 122.3 CE).</w:t>
      </w:r>
    </w:p>
    <w:p w14:paraId="2D733570" w14:textId="77777777" w:rsidR="008D479B" w:rsidRDefault="008D479B" w:rsidP="008D479B">
      <w:pPr>
        <w:pStyle w:val="TextoNormal"/>
      </w:pPr>
    </w:p>
    <w:p w14:paraId="61639CFE" w14:textId="77777777" w:rsidR="008D479B" w:rsidRDefault="008D479B" w:rsidP="008D479B">
      <w:pPr>
        <w:pStyle w:val="TextoNormal"/>
      </w:pPr>
      <w:r>
        <w:t>Interesa, en este momento, detenernos en el examen de la naturaleza del Consejo General del Poder Judicial y su estrecha vinculación con la independencia del Poder Judicial —en cuanto uno de los tres poderes tradicionales del Estado, junto con el Legislativo y el Ejecutivo—; independencia que “constituye una pieza esencial de nuestro ordenamiento como del de todo Estado de Derecho” (STC 108/1986, FJ 6). A tales efectos, es necesario recordar nuestra temprana doctrina tanto sobre lo que no es el Consejo —expresión orgánica del autogobierno judicial y de carácter representativo—, como sobre lo que es en términos constitucionales —órgano constitucional autónomo de gobierno del Poder Judicial y garante de la independencia judicial—.</w:t>
      </w:r>
    </w:p>
    <w:p w14:paraId="75B84E23" w14:textId="77777777" w:rsidR="008D479B" w:rsidRDefault="008D479B" w:rsidP="008D479B">
      <w:pPr>
        <w:pStyle w:val="TextoNormal"/>
      </w:pPr>
    </w:p>
    <w:p w14:paraId="0F61E6D6" w14:textId="77777777" w:rsidR="008D479B" w:rsidRDefault="008D479B" w:rsidP="008D479B">
      <w:pPr>
        <w:pStyle w:val="TextoNormal"/>
      </w:pPr>
      <w:r>
        <w:t>a) Frente a la tesis que sostenía que la independencia del poder judicial comportaba el autogobierno judicial y la representatividad interna, siendo el Consejo General del Poder Judicial su expresión orgánica, este tribunal ha afirmado que “ni tal autonomía y facultad de autogobierno se reconocen en la Constitución ni se derivan lógicamente de la existencia, composición y funciones del Consejo”, pues “lo que se consagra es la independencia de cada juez a la hora de impartir justicia”; lo que el constituyente ha querido es “crear un órgano autónomo que desempeñe determinadas funciones, cuya asunción por el Gobierno podría enturbiar la imagen de la independencia judicial, pero sin que de ello se derive que ese órgano sea expresión del autogobierno de los jueces” (STC 108/1986, FJ 8).</w:t>
      </w:r>
    </w:p>
    <w:p w14:paraId="17AC35B4" w14:textId="77777777" w:rsidR="008D479B" w:rsidRDefault="008D479B" w:rsidP="008D479B">
      <w:pPr>
        <w:pStyle w:val="TextoNormal"/>
      </w:pPr>
    </w:p>
    <w:p w14:paraId="58B7A19F" w14:textId="77777777" w:rsidR="008D479B" w:rsidRDefault="008D479B" w:rsidP="008D479B">
      <w:pPr>
        <w:pStyle w:val="TextoNormal"/>
      </w:pPr>
      <w:r>
        <w:t>Del mismo modo, tampoco cabe admitir un supuesto carácter representativo del Consejo, pues “ese carácter ni se reconoce en el texto constitucional, ni se desprende de forma necesaria de la naturaleza del Consejo, al no ser este, como se ha dicho, órgano de una supuesta autoorganización de los jueces” (STC 108/1986, FJ 9). En esta línea, el Tribunal ha sostenido la incompatibilidad de la condición del Consejo General del Poder Judicial como órgano de gobierno del Poder Judicial con la de actuar a efectos procesales como representante del poder judicial “pues ello estaría en contradicción con el principio constitucional de ‘independencia de jueces y magistrados’ (arts. 117.1 C.E.) y ese presunto carácter representativo habría de admitirse también del lado pasivo, sujetando así al miembro integrante del poder judicial a instancias o actuaciones judiciales del propio Consejo” (STC 45/1986, FJ 5).</w:t>
      </w:r>
    </w:p>
    <w:p w14:paraId="44F8078B" w14:textId="77777777" w:rsidR="008D479B" w:rsidRDefault="008D479B" w:rsidP="008D479B">
      <w:pPr>
        <w:pStyle w:val="TextoNormal"/>
      </w:pPr>
    </w:p>
    <w:p w14:paraId="516BAFEF" w14:textId="77777777" w:rsidR="008D479B" w:rsidRDefault="008D479B" w:rsidP="008D479B">
      <w:pPr>
        <w:pStyle w:val="TextoNormal"/>
      </w:pPr>
      <w:r>
        <w:t>b) El Consejo General del Poder Judicial se erige, por mandato del constituyente, en el órgano constitucional autónomo de gobierno del Poder Judicial, asumiendo determinadas funciones —nombramientos, ascensos, inspección y régimen disciplinario de los integrantes del poder judicial— que han sido sustraídas al Ejecutivo con la finalidad de reforzar la independencia judicial (STC 108/1986, FFJJ 7 y 8).</w:t>
      </w:r>
    </w:p>
    <w:p w14:paraId="36535776" w14:textId="77777777" w:rsidR="008D479B" w:rsidRDefault="008D479B" w:rsidP="008D479B">
      <w:pPr>
        <w:pStyle w:val="TextoNormal"/>
      </w:pPr>
    </w:p>
    <w:p w14:paraId="7ADCE210" w14:textId="77777777" w:rsidR="008D479B" w:rsidRDefault="008D479B" w:rsidP="008D479B">
      <w:pPr>
        <w:pStyle w:val="TextoNormal"/>
      </w:pPr>
      <w:r>
        <w:t xml:space="preserve">La independencia judicial se predica de todos y cada uno de los jueces en cuanto ejercen la función jurisdiccional, quienes precisamente integran el poder judicial o son miembros de él porque son los encargados de ejercerla </w:t>
      </w:r>
      <w:r w:rsidRPr="008D479B">
        <w:rPr>
          <w:i/>
        </w:rPr>
        <w:t>ex</w:t>
      </w:r>
      <w:r>
        <w:t xml:space="preserve"> art. 117.1 CE (STC 108/1986, FJ 6). En la STC 238/2012, FJ 7 (con cita literal de la STC 37/2012, de 19 de marzo, FFJJ 4 y 5), dijimos además que la independencia del poder judicial “implica que, en el ejercicio de esta función, están sujetos única y exclusivamente al imperio de la ley, lo que significa que no están ligados a órdenes, instrucciones o indicaciones de ningún otro poder público, singularmente del legislativo y del ejecutivo”, y añadimos “que, en el ejercicio de su función constitucional, el juez es libre en cuanto que solo está sujeto al imperio de la ley. O, dicho de otro modo, que los jueces y tribunales son independientes porque están sometidos únicamente al Derecho. Independencia judicial y sumisión al imperio de la ley son, en suma, anverso y reverso de la misma medalla”. Con el fin de asegurar la independencia de cada juez o tribunal en el ejercicio de su jurisdicción, “[l]a misma Constitución prevé diversas garantías […] En primer término, la inamovilidad, que es su garantía esencial (art. 117.2); pero también la reserva de ley orgánica para determinar la constitución, funcionamiento y gobierno de los juzgados y tribunales, así como el estatuto jurídico de los jueces y magistrados (art. 122.1), y su régimen de incompatibilidades (art. 127.2)”; si bien matizamos que esa independencia “tiene como contrapeso la responsabilidad y el estricto acantonamiento de los jueces y magistrados en su función jurisdiccional y las demás que expresamente les sean atribuidas por ley en defensa de cualquier derecho (art. 117.4), disposición esta última que tiende a garantizar la separación de poderes” (STC 108/1986, FJ 6).</w:t>
      </w:r>
    </w:p>
    <w:p w14:paraId="5D92F358" w14:textId="77777777" w:rsidR="008D479B" w:rsidRDefault="008D479B" w:rsidP="008D479B">
      <w:pPr>
        <w:pStyle w:val="TextoNormal"/>
      </w:pPr>
    </w:p>
    <w:p w14:paraId="0F81CA36" w14:textId="77777777" w:rsidR="008D479B" w:rsidRDefault="008D479B" w:rsidP="008D479B">
      <w:pPr>
        <w:pStyle w:val="TextoNormal"/>
      </w:pPr>
      <w:r>
        <w:t>En relación con esa independencia judicial, la Constitución atribuye al Consejo General del Poder Judicial una función de garante (STC 108/1986, FJ 7), que no exige “que sea el órgano de autogobierno de los jueces sino en que ocupe una posición autónoma y no subordinada a los demás poderes públicos” (STC 108/1986, FJ 10).</w:t>
      </w:r>
    </w:p>
    <w:p w14:paraId="3AF2589A" w14:textId="77777777" w:rsidR="008D479B" w:rsidRDefault="008D479B" w:rsidP="008D479B">
      <w:pPr>
        <w:pStyle w:val="TextoNormal"/>
      </w:pPr>
    </w:p>
    <w:p w14:paraId="03329B12" w14:textId="77777777" w:rsidR="008D479B" w:rsidRDefault="008D479B" w:rsidP="008D479B">
      <w:pPr>
        <w:pStyle w:val="TextoNormal"/>
      </w:pPr>
      <w:r>
        <w:t>B) La necesaria intervención del legislador en el establecimiento del régimen jurídico del Consejo General del Poder Judicial: límites constitucionales</w:t>
      </w:r>
    </w:p>
    <w:p w14:paraId="39E92F2D" w14:textId="77777777" w:rsidR="008D479B" w:rsidRDefault="008D479B" w:rsidP="008D479B">
      <w:pPr>
        <w:pStyle w:val="TextoNormal"/>
      </w:pPr>
    </w:p>
    <w:p w14:paraId="5964D44F" w14:textId="77777777" w:rsidR="008D479B" w:rsidRDefault="008D479B" w:rsidP="008D479B">
      <w:pPr>
        <w:pStyle w:val="TextoNormal"/>
      </w:pPr>
      <w:r>
        <w:t>La falta de concreción constitucional y el necesario desarrollo legislativo del modelo han llevado a este tribunal a pronunciarse, en más de una ocasión, sobre diferentes aspectos de la regulación del Consejo General del Poder Judicial, estableciendo, de este modo, el alcance de las facultades del legislador o, en otras palabras, los límites que de forma implícita o explícita se reconocen a la potestad normativa de desarrollo de las previsiones constitucionales sobre el Consejo. En concreto, a los efectos de este recurso, hemos de atender a los pronunciamientos emitidos en relación con: (a) el sistema de nombramiento y renovación de sus miembros; y (b) las funciones atribuidas al Consejo y su configuración legal.</w:t>
      </w:r>
    </w:p>
    <w:p w14:paraId="6E5470D9" w14:textId="77777777" w:rsidR="008D479B" w:rsidRDefault="008D479B" w:rsidP="008D479B">
      <w:pPr>
        <w:pStyle w:val="TextoNormal"/>
      </w:pPr>
    </w:p>
    <w:p w14:paraId="4AFBAE8A" w14:textId="77777777" w:rsidR="008D479B" w:rsidRDefault="008D479B" w:rsidP="008D479B">
      <w:pPr>
        <w:pStyle w:val="TextoNormal"/>
      </w:pPr>
      <w:r>
        <w:t>Nuestro examen ha de partir, necesariamente, de dos consideraciones de alcance general y complementarias. Por un lado, el legislador orgánico está condicionado, sin duda, por lo dispuesto en los apartados 2 y 3 del art. 122 CE, “por el respeto, también, a la ‘naturaleza del Consejo’ (STC 108/1986, FJ 12) y por lo que impongan, en general, las demás reglas y principios constitucionales. Pero no pesan sobre él más límites, de modo que bien puede decirse que la vinculación de la ley a la Constitución es, aquí también, de carácter negativo, excluyente de toda transgresión constitucional, pero no impositiva de una sola configuración del órgano, acabada en todos sus extremos (STC 49/2008, de 9 de abril, FJ 16, relativa a la Ley Orgánica del Tribunal Constitucional)” [STC 191/2016, FJ 3 b)]. Por otro lado, también se le ha reconocido al legislador un margen de libertad suficiente “para atender a eventualidades que, por anómalas o atípicas que sean, pueden llegar a verificarse y que no fueron objeto de expresa prevención por la norma fundamental” [STC 191/2016, FJ 8 b)].</w:t>
      </w:r>
    </w:p>
    <w:p w14:paraId="71B268AB" w14:textId="77777777" w:rsidR="008D479B" w:rsidRDefault="008D479B" w:rsidP="008D479B">
      <w:pPr>
        <w:pStyle w:val="TextoNormal"/>
      </w:pPr>
    </w:p>
    <w:p w14:paraId="476F6D51" w14:textId="77777777" w:rsidR="008D479B" w:rsidRDefault="008D479B" w:rsidP="008D479B">
      <w:pPr>
        <w:pStyle w:val="TextoNormal"/>
      </w:pPr>
      <w:r>
        <w:t>a) En cuanto al sistema de nombramiento de los vocales y su renovación tras el cumplimiento del mandato de cinco años (art. 122.3 CE), hemos de destacar que:</w:t>
      </w:r>
    </w:p>
    <w:p w14:paraId="550AA7BF" w14:textId="77777777" w:rsidR="008D479B" w:rsidRDefault="008D479B" w:rsidP="008D479B">
      <w:pPr>
        <w:pStyle w:val="TextoNormal"/>
      </w:pPr>
    </w:p>
    <w:p w14:paraId="63887AB6" w14:textId="77777777" w:rsidR="008D479B" w:rsidRDefault="008D479B" w:rsidP="008D479B">
      <w:pPr>
        <w:pStyle w:val="TextoNormal"/>
      </w:pPr>
      <w:r>
        <w:t>(i) No existe una definición constitucional excluyente del sistema de nombramiento de los vocales del Consejo General del Poder Judicial, siendo posible, dentro del marco constitucional, que la propuesta para su nombramiento proceda en todo o en parte del Congreso o del Senado; y ello porque, en último término, “la posición de los integrantes de un órgano no tiene por qué depender de manera ineludible de quienes sean los encargados de su designación sino que deriva de la situación que les otorgue el ordenamiento jurídico. En el caso del Consejo, todos sus vocales, incluidos los que forzosamente han de ser propuestos por las Cámaras y los que lo sean por cualquier otro mecanismo, no están vinculados al órgano proponente, como lo demuestra la prohibición del mandato imperativo (art. 119.2 de la LOPJ) y la fijación de un plazo determinado de mandato (cinco años), que no coincide con el de las Cámaras y durante los cuales no pueden ser removidos más que en los casos taxativamente determinados en la Ley Orgánica (art. 119.2 citada)” (STC 108/1986, FFJJ 10 y concordantes); prohibición de mandato imperativo que, en todo caso, es expresión del principio de separación de poderes consagrado por el texto constitucional.</w:t>
      </w:r>
    </w:p>
    <w:p w14:paraId="5FA3671E" w14:textId="77777777" w:rsidR="008D479B" w:rsidRDefault="008D479B" w:rsidP="008D479B">
      <w:pPr>
        <w:pStyle w:val="TextoNormal"/>
      </w:pPr>
    </w:p>
    <w:p w14:paraId="33C17724" w14:textId="77777777" w:rsidR="008D479B" w:rsidRDefault="008D479B" w:rsidP="008D479B">
      <w:pPr>
        <w:pStyle w:val="TextoNormal"/>
      </w:pPr>
      <w:r>
        <w:t>(ii) En cuanto al modo de renovación del Consejo General del Poder Judicial, si parcial o general, nada dice al respecto el art. 122.3 CE, lo que significa que la renovación en su integridad del Consejo es una opción legítima del legislador orgánico —es, de hecho, la fórmula por la que ha optado el legislador desde el principio—, no siendo inconcebible algún sistema de renovación del órgano por partes [STC 191/2016, FFJJ 7 b) y 8 a)].</w:t>
      </w:r>
    </w:p>
    <w:p w14:paraId="656D0D8F" w14:textId="77777777" w:rsidR="008D479B" w:rsidRDefault="008D479B" w:rsidP="008D479B">
      <w:pPr>
        <w:pStyle w:val="TextoNormal"/>
      </w:pPr>
    </w:p>
    <w:p w14:paraId="58AECDA9" w14:textId="77777777" w:rsidR="008D479B" w:rsidRDefault="008D479B" w:rsidP="008D479B">
      <w:pPr>
        <w:pStyle w:val="TextoNormal"/>
      </w:pPr>
      <w:r>
        <w:t>(iii) La renovación íntegra del Consejo General del Poder Judicial presupone o exige una situación de normalidad institucional de la que se derivan dos consecuencias: por una parte, “ambas Cámaras han de proceder a sus propuestas […] con la mayor simultaneidad posible y dentro siempre del respeto del plazo que al efecto prescribe la Ley Orgánica del Poder Judicial”; por otra parte, “de no producirse demoras contrarias a la ley en la propuesta de una de las Cámaras, el mandato de cinco años de los vocales (art. 122.3 CE) deviene, obviamente, mandato colegiado del órgano y así lo prevé, el artículo 568.1: ‘[e]l Consejo General del Poder Judicial se renovará en su totalidad cada cinco años’” [STC 191/2016, FJ 8 a)].</w:t>
      </w:r>
    </w:p>
    <w:p w14:paraId="43E1017A" w14:textId="77777777" w:rsidR="008D479B" w:rsidRDefault="008D479B" w:rsidP="008D479B">
      <w:pPr>
        <w:pStyle w:val="TextoNormal"/>
      </w:pPr>
    </w:p>
    <w:p w14:paraId="6FF3D073" w14:textId="77777777" w:rsidR="008D479B" w:rsidRDefault="008D479B" w:rsidP="008D479B">
      <w:pPr>
        <w:pStyle w:val="TextoNormal"/>
      </w:pPr>
      <w:r>
        <w:t>(iv) No existen objeciones constitucionales a que la ley orgánica prevea opciones subsidiarias para la hipótesis de que “debiendo concurrir ambas Cámaras, por separado, a la designación de los vocales cuya propuesta les corresponde, tan solo una de ellas, por los motivos que sean, esté en condiciones de cumplir su cometido”; y eso porque “por mandato del art. 122.3 CE, la propuesta corresponde a cada una de las Cámaras, al Congreso de los Diputados y al Senado, no, pues, al órgano ‘de estructura global’, ‘plural’ o compleja que son las Cortes Generales (SSTC 45/1986, de 17 de abril, FFJJ 2 y 4, y 155/2005, de 9 de junio, FJ 5) ni a estas últimas, obviamente, en sesión conjunta” [STC 191/2016, FJ 8 b)].</w:t>
      </w:r>
    </w:p>
    <w:p w14:paraId="070863DD" w14:textId="77777777" w:rsidR="008D479B" w:rsidRDefault="008D479B" w:rsidP="008D479B">
      <w:pPr>
        <w:pStyle w:val="TextoNormal"/>
      </w:pPr>
    </w:p>
    <w:p w14:paraId="08DAF422" w14:textId="77777777" w:rsidR="008D479B" w:rsidRDefault="008D479B" w:rsidP="008D479B">
      <w:pPr>
        <w:pStyle w:val="TextoNormal"/>
      </w:pPr>
      <w:r>
        <w:t>(v) Del mismo modo, no cabe apreciar objeciones constitucionales a una regulación que prevea que los vocales nombrados como sustitutos de los inicialmente designados —supuesto de nombramiento tardío—, no se mantengan en el cargo más allá del mandato que corresponde al órgano como tal [STC 191/2016, FJ 8 d)].</w:t>
      </w:r>
    </w:p>
    <w:p w14:paraId="3979F935" w14:textId="77777777" w:rsidR="008D479B" w:rsidRDefault="008D479B" w:rsidP="008D479B">
      <w:pPr>
        <w:pStyle w:val="TextoNormal"/>
      </w:pPr>
    </w:p>
    <w:p w14:paraId="61DCF27F" w14:textId="77777777" w:rsidR="008D479B" w:rsidRDefault="008D479B" w:rsidP="008D479B">
      <w:pPr>
        <w:pStyle w:val="TextoNormal"/>
      </w:pPr>
      <w:r>
        <w:t xml:space="preserve">b) En relación con las funciones atribuidas al Consejo General del Poder Judicial </w:t>
      </w:r>
      <w:r w:rsidRPr="008D479B">
        <w:rPr>
          <w:i/>
        </w:rPr>
        <w:t>ex</w:t>
      </w:r>
      <w:r>
        <w:t xml:space="preserve"> art. 122.2 CE y por el legislador orgánico en el ejercicio de su potestad normativa de desarrollo constitucional, hemos de atender a los siguientes criterios:</w:t>
      </w:r>
    </w:p>
    <w:p w14:paraId="34DB0149" w14:textId="77777777" w:rsidR="008D479B" w:rsidRDefault="008D479B" w:rsidP="008D479B">
      <w:pPr>
        <w:pStyle w:val="TextoNormal"/>
      </w:pPr>
    </w:p>
    <w:p w14:paraId="2F2B0109" w14:textId="77777777" w:rsidR="008D479B" w:rsidRDefault="008D479B" w:rsidP="008D479B">
      <w:pPr>
        <w:pStyle w:val="TextoNormal"/>
      </w:pPr>
      <w:r>
        <w:t>(i) En la medida en que el Consejo General del Poder Judicial se define, como hemos indicado con anterioridad, por ser una garantía específica de la independencia judicial, a la hora de regular sus funciones, se le deben atribuir necesariamente las “que más pueden servir al Gobierno para intentar influir sobre los tribunales: de un lado, el posible favorecimiento de algunos jueces por medio de nombramientos y ascensos; de otra parte, las eventuales molestias y perjuicios que podrían sufrir con la inspección y la imposición de sanciones. La finalidad del Consejo es, pues, privar al Gobierno de esas funciones y transferirlas a un órgano autónomo y separado. Es, desde luego, una solución posible en un Estado de Derecho, aunque, conviene recordarlo frente a ciertas afirmaciones de los recurrentes, no es su consecuencia necesaria ni se encuentra, al menos con relevancia constitucional, en la mayoría de los ordenamientos jurídicos actuales” (STC 108/1986, FJ 7; en términos sustancialmente idénticos se pronuncian las SSTC 105/2000, FJ 4; 238/2012, FJ 8, y 191/2016, FJ 5).</w:t>
      </w:r>
    </w:p>
    <w:p w14:paraId="12C50E6A" w14:textId="77777777" w:rsidR="008D479B" w:rsidRDefault="008D479B" w:rsidP="008D479B">
      <w:pPr>
        <w:pStyle w:val="TextoNormal"/>
      </w:pPr>
    </w:p>
    <w:p w14:paraId="21DBE900" w14:textId="77777777" w:rsidR="008D479B" w:rsidRDefault="008D479B" w:rsidP="008D479B">
      <w:pPr>
        <w:pStyle w:val="TextoNormal"/>
      </w:pPr>
      <w:r>
        <w:t>(ii) Fuera del marco de atribuciones que la Constitución confiere al Consejo (art. 122.2 CE), y una vez regulados por la Ley Orgánica del Poder Judicial “la constitución, el funcionamiento y el gobierno de los juzgados y tribunales, así como el estatuto jurídico de los jueces y magistrados de carrera (art. 122.1 CE)”, nada impide que “la misma Ley Orgánica pueda atribuir al Gobierno de la Nación o al Consejo General del Poder Judicial, indistintamente, competencias sobre todas aquellas materias que no afecten a dicho marco de atribuciones, constitucionalmente reservado al Consejo a través de la precisión que haga la LOPJ” (STC 105/2000, FJ 4).</w:t>
      </w:r>
    </w:p>
    <w:p w14:paraId="1A56197B" w14:textId="77777777" w:rsidR="008D479B" w:rsidRDefault="008D479B" w:rsidP="008D479B">
      <w:pPr>
        <w:pStyle w:val="TextoNormal"/>
      </w:pPr>
    </w:p>
    <w:p w14:paraId="2EDC64BC" w14:textId="77777777" w:rsidR="008D479B" w:rsidRDefault="008D479B" w:rsidP="008D479B">
      <w:pPr>
        <w:pStyle w:val="TextoNormal"/>
      </w:pPr>
      <w:r>
        <w:t>(iii) En el ejercicio de estas funciones, es necesario recordar que “la norma fundamental configura el Consejo como una institución ‘no subordinada a los demás poderes públicos’, en general”; por ello, los vocales del Consejo General del Poder Judicial “no están ligados por mandato imperativo alguno ni pueden ser removidos de su cargo por decisión o a impulso de cualquier otro poder público (arts. 581 y 582.1 LOPJ), de tal manera que el Consejo, independiente sin duda del Gobierno, lo es también respecto de las Cortes Generales, sin que entre aquel y estas medie ‘una vinculación de dependencia política’ que el constituyente, como en su día advertimos, también quiso evitar (STC 238/2012, FJ 8, y jurisprudencia allí citada)” (STC 191/2016, FJ 5).</w:t>
      </w:r>
    </w:p>
    <w:p w14:paraId="2ADE97DB" w14:textId="77777777" w:rsidR="008D479B" w:rsidRDefault="008D479B" w:rsidP="008D479B">
      <w:pPr>
        <w:pStyle w:val="TextoNormal"/>
      </w:pPr>
    </w:p>
    <w:p w14:paraId="3BEFF9FF" w14:textId="77777777" w:rsidR="008D479B" w:rsidRDefault="008D479B" w:rsidP="008D479B">
      <w:pPr>
        <w:pStyle w:val="TextoNormal"/>
      </w:pPr>
      <w:r>
        <w:t xml:space="preserve">(iv) En relación con la competencia de nombramientos atribuida al Consejo General del Poder Judicial, manifestamos “que garantizaba la independencia del Poder Judicial respecto del Poder Ejecutivo. Por tanto no debe entenderse </w:t>
      </w:r>
      <w:r w:rsidRPr="008D479B">
        <w:rPr>
          <w:i/>
        </w:rPr>
        <w:t>a priori</w:t>
      </w:r>
      <w:r>
        <w:t xml:space="preserve"> que el Poder Legislativo ataque la independencia judicial al cambiar la regulación sobre nombramientos, cuando actúa en ejercicio del mandato constitucional contenido en el art. 122.1 CE de determinar, mediante la Ley Orgánica del Poder Judicial ‘la constitución, funcionamiento y gobierno de los juzgados y tribunales, así como el estatuto jurídico de los jueces y magistrados de carrera, que formarán un cuerpo único’”; y añadimos, que entre las garantías o cautelas orientadas a reforzar la independencia judicial no se encuentra “la prohibición de modificar la legislación relativa al gobierno del Poder Judicial en el momento y en el sentido que el legislador entienda más oportunos, y siempre dentro del respeto a las reglas de contenido material y formal definidas por el bloque de la constitucionalidad” (STC 238/2012, FJ 8).</w:t>
      </w:r>
    </w:p>
    <w:p w14:paraId="12CFA50C" w14:textId="77777777" w:rsidR="008D479B" w:rsidRDefault="008D479B" w:rsidP="008D479B">
      <w:pPr>
        <w:pStyle w:val="TextoNormal"/>
      </w:pPr>
    </w:p>
    <w:p w14:paraId="22D0659F" w14:textId="77777777" w:rsidR="008D479B" w:rsidRDefault="008D479B" w:rsidP="008D479B">
      <w:pPr>
        <w:pStyle w:val="TextoNormal"/>
      </w:pPr>
      <w:r>
        <w:t>(v) Igualmente en el marco de la función de nombramiento, respecto del concreto supuesto de provisión de plazas de nombramiento discrecional en los órganos judiciales, afirmamos que el Consejo General del Poder Judicial “respetará el principio constitucional de interdicción de la arbitrariedad de los poderes públicos (artículo 9.3 CE), el respeto al derecho fundamental de acceso en condiciones de igualdad a las funciones y cargos públicos (artículo 23.2 CE), así como el respeto a los principios de mérito y capacidad que han de inspirar el acceso a la función pública (art. 103.3 CE) y […] el ascenso en la carrera judicial”; más allá de este marco constitucional, “no se puede deducir del texto de la Constitución límite alguno impuesto al legislador orgánico a la hora de configurar el modo concreto en que el Consejo General del Poder Judicial adopta las decisiones relativas a la provisión de plazas de nombramiento discrecional” (STC 238/2012, FJ 7).</w:t>
      </w:r>
    </w:p>
    <w:p w14:paraId="6F6FC400" w14:textId="77777777" w:rsidR="008D479B" w:rsidRDefault="008D479B" w:rsidP="008D479B">
      <w:pPr>
        <w:pStyle w:val="TextoNormal"/>
      </w:pPr>
    </w:p>
    <w:p w14:paraId="1C8C936A" w14:textId="77777777" w:rsidR="008D479B" w:rsidRDefault="008D479B" w:rsidP="008D479B">
      <w:pPr>
        <w:pStyle w:val="TextoNormal"/>
      </w:pPr>
      <w:r>
        <w:t>C) La constitucionalidad del Consejo General del Poder Judicial en funciones</w:t>
      </w:r>
    </w:p>
    <w:p w14:paraId="16AF7226" w14:textId="77777777" w:rsidR="008D479B" w:rsidRDefault="008D479B" w:rsidP="008D479B">
      <w:pPr>
        <w:pStyle w:val="TextoNormal"/>
      </w:pPr>
    </w:p>
    <w:p w14:paraId="33D15C3F" w14:textId="77777777" w:rsidR="008D479B" w:rsidRDefault="008D479B" w:rsidP="008D479B">
      <w:pPr>
        <w:pStyle w:val="TextoNormal"/>
      </w:pPr>
      <w:r>
        <w:t>A la vista de lo que antecede, estamos ahora en condiciones de responder a la censura de inconstitucionalidad alegada en la demanda por la creación del llamado Consejo General del Poder Judicial en funciones. Se sostiene que estamos ante un órgano extra-constitucional cuya creación vulnera el art. 122 CE por realizarse sin habilitación constitucional —asumiendo el legislador orgánico un rol de poder constituyente— e incidir negativamente en su función de garante de la independencia judicial al restringir las funciones que le son propias e indisponibles. Este tribunal no puede apreciar las quejas alegadas por los recurrentes por las razones que se expondrán a continuación.</w:t>
      </w:r>
    </w:p>
    <w:p w14:paraId="254B9217" w14:textId="77777777" w:rsidR="008D479B" w:rsidRDefault="008D479B" w:rsidP="008D479B">
      <w:pPr>
        <w:pStyle w:val="TextoNormal"/>
      </w:pPr>
    </w:p>
    <w:p w14:paraId="11471C21" w14:textId="77777777" w:rsidR="008D479B" w:rsidRDefault="008D479B" w:rsidP="008D479B">
      <w:pPr>
        <w:pStyle w:val="TextoNormal"/>
      </w:pPr>
      <w:r>
        <w:t>a) Al argumento de la ausencia de habilitación constitucional para la creación del Consejo en funciones, de la que se deriva la asunción por el legislador orgánico de un supuesto papel de constituyente, cabe oponer que la Constitución deja al legislador un margen de actuación lo suficientemente amplio como para que sea posible desarrollar de manera extensa el art. 122 CE, sin que ello suponga que el legislador esté asumiendo funciones constituyentes. Como declaramos en la STC 108/1986, FJ 11, al resolver una queja en relación con la definición normativa de la fórmula de selección de los vocales del consejo, “lo que la Constitución dice, respecto a la propuesta de los doce vocales no atribuida a las Cámaras, es que se llevará a cabo ‘en los términos que establezca la Ley Orgánica’ (art. 122.3). Desde el punto de vista que ahora se examina, no es posible sostener, como hacen los recurrentes, que el poder legislativo, al cumplir el mandato constitucional, actúe como poder constituyente al regular un órgano constitucional cuya configuración está predeterminada por la Constitución, precisamente porque no existe tal predeterminación”.</w:t>
      </w:r>
    </w:p>
    <w:p w14:paraId="04DF8463" w14:textId="77777777" w:rsidR="008D479B" w:rsidRDefault="008D479B" w:rsidP="008D479B">
      <w:pPr>
        <w:pStyle w:val="TextoNormal"/>
      </w:pPr>
    </w:p>
    <w:p w14:paraId="2870A9C1" w14:textId="77777777" w:rsidR="008D479B" w:rsidRDefault="008D479B" w:rsidP="008D479B">
      <w:pPr>
        <w:pStyle w:val="TextoNormal"/>
      </w:pPr>
      <w:r>
        <w:t>Ese amplio margen de decisión que corresponde al legislador orgánico permite, igualmente, descartar el argumento de que no cabe, dentro del marco del bloque de la constitucionalidad, desarrollar el Consejo General del Poder Judicial en funciones como estatuto de funcionamiento del órgano de gobierno de la judicatura en el período de prórroga de su mandato, tras haber transcurrido los cinco años desde el nombramiento que prevé el art. 122.3 CE. A ello no se opone, como pretenden hacer valer los recurrentes, el hecho de que la Constitución no prevea de forma expresa en el caso del Consejo General del Poder Judicial lo que prevé para los otros dos poderes del Estado: (i) el Gobierno cesante que continuará “en funciones” hasta la toma de posesión del nuevo Gobierno (art. 101.2 CE); (ii) las Diputaciones Permanentes de las Cámaras que seguirán ejerciendo sus funciones hasta la constitución de las nuevas Cortes Generales (art. 78 CE); en ambos casos, con funciones limitadas respecto de la situación de normalidad institucional.</w:t>
      </w:r>
    </w:p>
    <w:p w14:paraId="2F3D76AE" w14:textId="77777777" w:rsidR="008D479B" w:rsidRDefault="008D479B" w:rsidP="008D479B">
      <w:pPr>
        <w:pStyle w:val="TextoNormal"/>
      </w:pPr>
    </w:p>
    <w:p w14:paraId="5B63E424" w14:textId="77777777" w:rsidR="008D479B" w:rsidRDefault="008D479B" w:rsidP="008D479B">
      <w:pPr>
        <w:pStyle w:val="TextoNormal"/>
      </w:pPr>
      <w:r>
        <w:t>La Constitución únicamente determina, de forma clara y unívoca, que la duración del mandato de los vocales del Consejo es de cinco años, periodo en el que están en el pleno ejercicio de sus atribuciones. Lo que el texto constitucional no prevé, en ningún caso, es una prórroga indeterminada o indefinida de dicho mandato. Es, por ello, que transcurrido el plazo de cinco años, sin que se haya producido la debida renovación, nada se opone a que el legislador orgánico pueda establecer el régimen jurídico del Consejo en funciones, en los términos que considere adecuados a una situación extraordinaria o de anormalidad institucional, siempre y cuando garantice la gestión del aparato administrativo del Poder Judicial.</w:t>
      </w:r>
    </w:p>
    <w:p w14:paraId="42FD3096" w14:textId="77777777" w:rsidR="008D479B" w:rsidRDefault="008D479B" w:rsidP="008D479B">
      <w:pPr>
        <w:pStyle w:val="TextoNormal"/>
      </w:pPr>
    </w:p>
    <w:p w14:paraId="0CE91422" w14:textId="77777777" w:rsidR="008D479B" w:rsidRDefault="008D479B" w:rsidP="008D479B">
      <w:pPr>
        <w:pStyle w:val="TextoNormal"/>
      </w:pPr>
      <w:r>
        <w:t>En el concreto caso de la Ley Orgánica 4/2021, la finalidad última de establecer un régimen del Consejo en funciones es hacer frente a una situación extraordinaria: el incumplimiento por parte de las Cámaras de los plazos que la Constitución establece para renovar los vocales del Consejo General del Poder Judicial con el fin de cumplir un deber constitucional. Como ha señalado la STC 191/2016, FJ 8 b), las Cámaras ostentan “la potestad, y la responsabilidad consiguiente, de designar, en el tiempo legalmente prescrito, los vocales de su elección” y esta designación es para cada una de las Cámaras “un genuino poder-deber”. Nos encontramos, por tanto, como señala la sentencia citada, ante un poder, pero también, al tiempo, ante un debe</w:t>
      </w:r>
      <w:r w:rsidRPr="008D479B">
        <w:rPr>
          <w:i/>
        </w:rPr>
        <w:t>r ex Constitutio</w:t>
      </w:r>
      <w:r>
        <w:t>ne.</w:t>
      </w:r>
    </w:p>
    <w:p w14:paraId="38590060" w14:textId="77777777" w:rsidR="008D479B" w:rsidRDefault="008D479B" w:rsidP="008D479B">
      <w:pPr>
        <w:pStyle w:val="TextoNormal"/>
      </w:pPr>
    </w:p>
    <w:p w14:paraId="40631D9C" w14:textId="77777777" w:rsidR="008D479B" w:rsidRDefault="008D479B" w:rsidP="008D479B">
      <w:pPr>
        <w:pStyle w:val="TextoNormal"/>
      </w:pPr>
      <w:r>
        <w:t>Por ello, aunque no exista una expresa previsión constitucional para la regulación del Consejo en funciones, tampoco existe objeción jurídico-constitucional para que el legislador prevea un régimen excepcional de funcionamiento del Consejo en aquellos supuestos en que las cámaras no hayan cumplido su deber constitucional de nombrar a los nuevos vocales, pasado el mandato de cinco años que la Constitución prevé para este órgano constitucional en el art. 122.3 [en el mismo sentido, STC 191/2016, FJ 8 d)] y, de este modo, favorecer su renovación.</w:t>
      </w:r>
    </w:p>
    <w:p w14:paraId="3470F227" w14:textId="77777777" w:rsidR="008D479B" w:rsidRDefault="008D479B" w:rsidP="008D479B">
      <w:pPr>
        <w:pStyle w:val="TextoNormal"/>
      </w:pPr>
    </w:p>
    <w:p w14:paraId="42CB17DC" w14:textId="77777777" w:rsidR="008D479B" w:rsidRDefault="008D479B" w:rsidP="008D479B">
      <w:pPr>
        <w:pStyle w:val="TextoNormal"/>
      </w:pPr>
      <w:r>
        <w:t>b) Argumentan también los recurrentes que el Consejo en funciones pone en riesgo el papel que dicho órgano tiene como garante de la independencia judicial. En esencia, sostienen que la reducción notoria de funciones del Consejo General del Poder Judicial puede generar el efecto, rechazado por la Constitución, de colocar a los miembros del poder judicial en una relación de clara subordinación con respecto, en este caso, al poder legislativo, a la vez que transmuta al Consejo en un puro órgano de gestión o burocrático.</w:t>
      </w:r>
    </w:p>
    <w:p w14:paraId="52D4C00B" w14:textId="77777777" w:rsidR="008D479B" w:rsidRDefault="008D479B" w:rsidP="008D479B">
      <w:pPr>
        <w:pStyle w:val="TextoNormal"/>
      </w:pPr>
    </w:p>
    <w:p w14:paraId="61DAAAED" w14:textId="77777777" w:rsidR="008D479B" w:rsidRDefault="008D479B" w:rsidP="008D479B">
      <w:pPr>
        <w:pStyle w:val="TextoNormal"/>
      </w:pPr>
      <w:r>
        <w:t>El mismo razonamiento que nos ha llevado a declarar la constitucionalidad de la regulación de un Consejo General del Poder Judicial en funciones, tras la expiración del mandato constitucional de cinco años, puede utilizarse en relación con la definición de las funciones del Consejo o con su limitación en determinadas circunstancias o condiciones: esto es, para afrontar una situación extraordinaria de anomalía institucional derivada de la falta de la debida renovación en plazo. Razonamiento que nos lleva a desestimar también esta queja.</w:t>
      </w:r>
    </w:p>
    <w:p w14:paraId="48653673" w14:textId="77777777" w:rsidR="008D479B" w:rsidRDefault="008D479B" w:rsidP="008D479B">
      <w:pPr>
        <w:pStyle w:val="TextoNormal"/>
      </w:pPr>
    </w:p>
    <w:p w14:paraId="4E5CEC3C" w14:textId="77777777" w:rsidR="008D479B" w:rsidRDefault="008D479B" w:rsidP="008D479B">
      <w:pPr>
        <w:pStyle w:val="TextoNormal"/>
      </w:pPr>
      <w:r>
        <w:t>El art. 122 CE no establece un elenco definido y cerrado de las funciones del Consejo General del Poder Judicial, siendo prueba de ello la ampliación progresiva, en la mayoría de las sucesivas reformas de la Ley Orgánica del Poder Judicial, de sus competencias funcionales. Al hilo de lo dispuesto en este precepto constitucional, la STC 108/1986, FJ 7, declaró, en los términos previamente expuestos, cuáles son las funciones que obligadamente ha de asumir el Consejo, esto es, nombramientos, ascensos inspección y sanciones. En términos sustancialmente idénticos se pronuncian las SSTC 105/2000, FJ 4; 238/2012, FJ 8, y 191/2016, FJ 5). En este sentido, un análisis del contenido de las funciones limitadas, resaltadas por los recurrentes en su demanda, revela que es la función de nombramiento y de dirección y gobierno de juzgados y tribunales la que se ve afectada esencialmente, así como la función reglamentaria más estrechamente relacionada con aquella. Funciones que tienen un alto grado de discrecionalidad —pero que no por ello dejan de estar sujetas al respeto de los principios y derechos consagrados en los arts. 9.3, 23.2 y 103.3 CE (STC 238/2012, FJ 7)—, alejándose de la mera función de gestión administrativa del poder judicial.</w:t>
      </w:r>
    </w:p>
    <w:p w14:paraId="64A88BF7" w14:textId="77777777" w:rsidR="008D479B" w:rsidRDefault="008D479B" w:rsidP="008D479B">
      <w:pPr>
        <w:pStyle w:val="TextoNormal"/>
      </w:pPr>
    </w:p>
    <w:p w14:paraId="33D4F584" w14:textId="77777777" w:rsidR="008D479B" w:rsidRDefault="008D479B" w:rsidP="008D479B">
      <w:pPr>
        <w:pStyle w:val="TextoNormal"/>
      </w:pPr>
      <w:r>
        <w:t xml:space="preserve">No obstante, estas funciones están vinculadas al normal desenvolvimiento del Consejo dentro del mandato constitucional de cinco años </w:t>
      </w:r>
      <w:r w:rsidRPr="008D479B">
        <w:rPr>
          <w:i/>
        </w:rPr>
        <w:t>ex</w:t>
      </w:r>
      <w:r>
        <w:t xml:space="preserve"> art. 122.3 CE. Es, por ello, que también hemos declarado que el legislador dispone de margen de libertad “para atender a eventualidades que, por anómalas o atípicas que sean, pueden llegar a verificarse y que no fueron objeto de expresa prevención por la norma fundamental” y nada hay que objetar, en términos jurídico-constitucionales, a una opción legislativa que busque paliar, con vocación de transitoriedad, los efectos de una eventual anomalía, como es la debida renovación una vez expirado el plazo de cinco años [STC 191/2016, FJ 8 d)]. En línea con este razonamiento conviene indicar que el Consejo General del Poder Judicial saliente en funciones, previsto ya en el texto original de la Ley Orgánica del Poder Judicial (art. 115.2), ha sido configurado, desde la reforma operada por la Ley Orgánica 4/2013, de 28 de junio, como un órgano de gobierno con atribuciones más reducidas, si bien, es cierto, que la Ley Orgánica del Poder Judicial no determina, salvo en un caso, en qué concretos términos se ven afectadas las atribuciones que corresponden al Consejo dentro del mandato constitucional de cinco años.</w:t>
      </w:r>
    </w:p>
    <w:p w14:paraId="001BA44C" w14:textId="77777777" w:rsidR="008D479B" w:rsidRDefault="008D479B" w:rsidP="008D479B">
      <w:pPr>
        <w:pStyle w:val="TextoNormal"/>
      </w:pPr>
    </w:p>
    <w:p w14:paraId="33C3F593" w14:textId="77777777" w:rsidR="008D479B" w:rsidRDefault="008D479B" w:rsidP="008D479B">
      <w:pPr>
        <w:pStyle w:val="TextoNormal"/>
      </w:pPr>
      <w:r>
        <w:t>De acuerdo con lo expuesto, el Consejo General del Poder Judicial en funciones debe poder desarrollar las atribuciones que constitucionalmente le correspondan, pero sometidas a límites estrictos que eviten que este órgano, en situación de prórroga por la concurrencia de una circunstancia de anomalía institucional, comprometa la capacidad de decisión futura del gobierno del Poder Judicial, allí donde las decisiones a adoptar tengan un alto grado de discrecionalidad y un bajo contenido de mera gestión administrativa.</w:t>
      </w:r>
    </w:p>
    <w:p w14:paraId="3DB0CF8B" w14:textId="77777777" w:rsidR="008D479B" w:rsidRDefault="008D479B" w:rsidP="008D479B">
      <w:pPr>
        <w:pStyle w:val="TextoNormal"/>
      </w:pPr>
    </w:p>
    <w:p w14:paraId="0F0FFF61" w14:textId="77777777" w:rsidR="008D479B" w:rsidRDefault="008D479B" w:rsidP="008D479B">
      <w:pPr>
        <w:pStyle w:val="TextoNormal"/>
      </w:pPr>
      <w:r>
        <w:t>Esta configuración del Consejo General del Poder Judicial en funciones en nada afecta a su papel de garante de la independencia judicial, ni coloca al órgano de gobierno del Poder Judicial en una posición de subordinación respecto del Poder Legislativo. Cabe contraponer al argumento de los recurrentes que ante la situación de prórroga, la suspensión de determinadas funciones del Consejo actúa como garantía de la independencia del propio Consejo frente a las Cámaras, puesto que privan a estas del interés que podrían llegar a tener en mantener en activo al Consejo cesante, para que este continuara ejerciendo unas funciones de nombramiento con enorme peso en la designación de jueces y magistrados en determinados puestos, y con un elevado nivel de discrecionalidad en el ejercicio de esas funciones. El fin último de la regulación del Consejo en funciones no es otro que asegurar que todas las atribuciones ordinarias del Consejo sean ejercidas en su plenitud por aquellos a los que les corresponde dentro del mandato constitucional de cinco años.</w:t>
      </w:r>
    </w:p>
    <w:p w14:paraId="64D2699D" w14:textId="77777777" w:rsidR="008D479B" w:rsidRDefault="008D479B" w:rsidP="008D479B">
      <w:pPr>
        <w:pStyle w:val="TextoNormal"/>
      </w:pPr>
    </w:p>
    <w:p w14:paraId="2889EC75" w14:textId="77777777" w:rsidR="008D479B" w:rsidRDefault="008D479B" w:rsidP="008D479B">
      <w:pPr>
        <w:pStyle w:val="TextoNormal"/>
      </w:pPr>
      <w:r>
        <w:t>Debe insistirse aquí en la idea de que los “vocales del Consejo no están ligados por mandato imperativo alguno ni pueden ser removidos de su cargo por decisión o a impulso de cualquier otro poder público (arts. 581 y 582.1 LOPJ), de tal manera que el Consejo, independiente sin duda del Gobierno, lo es también respecto de las Cortes Generales, sin que entre aquel y estas medie ‘una vinculación de dependencia política’ que el constituyente, como en su día advertimos, también quiso evitar (STC 238/2012, FJ 8, y jurisprudencia allí citada). Esta autonomía y separación funcionales del Consejo respecto de los demás poderes públicos es la única que se compadece con su condición de órgano no político; esto es, de institución que no ha sido llamada por la Constitución a ejercer sus funciones sobre la base de orientaciones ideológicas o de partido, del todo legítimas para el actuar de gobiernos o parlamentos, pero inconciliables con los cometidos y la función de garantía de la independencia judicial que corresponden al Consejo” (STC 191/2016, FJ 5). En este sentido, se ha de subrayar que las funciones que se encomiendan al Consejo General del Poder Judicial en funciones no se atribuyen a ningún otro poder.</w:t>
      </w:r>
    </w:p>
    <w:p w14:paraId="33108953" w14:textId="77777777" w:rsidR="008D479B" w:rsidRDefault="008D479B" w:rsidP="008D479B">
      <w:pPr>
        <w:pStyle w:val="TextoNormal"/>
      </w:pPr>
    </w:p>
    <w:p w14:paraId="5C80BCD4" w14:textId="77777777" w:rsidR="008D479B" w:rsidRDefault="008D479B" w:rsidP="008D479B">
      <w:pPr>
        <w:pStyle w:val="TextoNormal"/>
      </w:pPr>
      <w:r>
        <w:t>c) En definitiva, este tribunal considera que se ha de reconocer al legislador orgánico la potestad normativa necesaria para desarrollar las funciones propias del Consejo General del Poder Judicial, e incluso para establecer un régimen excepcional aplicable transitoriamente una vez que expira el mandato constitucional de cinco años, única previsión clara e inequívoca del art. 122.3 CE, sin que ese reconocimiento suponga vulneración alguna del art. 122.2 CE, ni suponga atribuir facultades constituyentes al legislador democrático. Es preciso subrayar, una vez más, que el establecimiento de un régimen jurídico específico del Consejo en funciones pretende esencialmente dar respuesta a una anomalía en el cumplimiento del mandato constitucional de renovar cada cinco años los vocales del órgano de gobierno del Poder Judicial.</w:t>
      </w:r>
    </w:p>
    <w:p w14:paraId="0E796E66" w14:textId="77777777" w:rsidR="008D479B" w:rsidRDefault="008D479B" w:rsidP="008D479B">
      <w:pPr>
        <w:pStyle w:val="TextoNormal"/>
      </w:pPr>
    </w:p>
    <w:p w14:paraId="4C795642" w14:textId="33CABFDA" w:rsidR="008D479B" w:rsidRDefault="008D479B" w:rsidP="008D479B">
      <w:pPr>
        <w:pStyle w:val="TextoNormal"/>
      </w:pPr>
      <w:r>
        <w:t>Conforme a lo expuesto, este tribunal entiende que la norma recurrida no puede ser considerada atentatoria de la independencia judicial, ni tachada de regresiva en ese ámbito, ni se puede entender que vulnere el art. 122 CE. Es, por ello, que la tacha de inconstitucionalidad se ha de desestimar.</w:t>
      </w:r>
    </w:p>
    <w:p w14:paraId="14DF0616" w14:textId="77777777" w:rsidR="008D479B" w:rsidRDefault="008D479B" w:rsidP="008D479B">
      <w:pPr>
        <w:pStyle w:val="TextoNormal"/>
      </w:pPr>
    </w:p>
    <w:p w14:paraId="532EB32F" w14:textId="77777777" w:rsidR="008D479B" w:rsidRDefault="008D479B" w:rsidP="008D479B">
      <w:pPr>
        <w:pStyle w:val="TextoNormal"/>
      </w:pPr>
      <w:r w:rsidRPr="008D479B">
        <w:rPr>
          <w:rStyle w:val="NumeroAFNegritaCaracter"/>
        </w:rPr>
        <w:t>5</w:t>
      </w:r>
      <w:r>
        <w:t xml:space="preserve">. </w:t>
      </w:r>
      <w:r w:rsidRPr="008D479B">
        <w:rPr>
          <w:i/>
        </w:rPr>
        <w:t>Impugnación de la Ley Orgánica 4/2021 por motivos materiales relativos a la creación del Consejo General del Poder Judicial en funciones: la supresión de las concretas funciones constitucionalmente reconocidas en los arts. 123.2 y 161.1 d) CE</w:t>
      </w:r>
    </w:p>
    <w:p w14:paraId="3BD9C444" w14:textId="77777777" w:rsidR="008D479B" w:rsidRDefault="008D479B" w:rsidP="008D479B">
      <w:pPr>
        <w:pStyle w:val="TextoNormal"/>
      </w:pPr>
    </w:p>
    <w:p w14:paraId="73F0FA81" w14:textId="77777777" w:rsidR="008D479B" w:rsidRDefault="008D479B" w:rsidP="008D479B">
      <w:pPr>
        <w:pStyle w:val="TextoNormal"/>
      </w:pPr>
      <w:r>
        <w:t xml:space="preserve">La demanda alega una tacha de inconstitucionalidad dirigida contra el nuevo art. 570 </w:t>
      </w:r>
      <w:r w:rsidRPr="008D479B">
        <w:rPr>
          <w:i/>
        </w:rPr>
        <w:t>bis</w:t>
      </w:r>
      <w:r>
        <w:t xml:space="preserve"> LOPJ por la supresión o restricción funcional del Consejo en relación con (i) el nombramiento del presidente del Tribunal Supremo y del Consejo General del Poder Judicial; y (ii) con la facultad de interponer conflicto de atribuciones ante el Tribunal Constitucional. Entienden los recurrentes que esta previsión resulta vulneradora, respectivamente, de los arts. 123.2 y 161.l d) CE.</w:t>
      </w:r>
    </w:p>
    <w:p w14:paraId="3A633B37" w14:textId="77777777" w:rsidR="008D479B" w:rsidRDefault="008D479B" w:rsidP="008D479B">
      <w:pPr>
        <w:pStyle w:val="TextoNormal"/>
      </w:pPr>
    </w:p>
    <w:p w14:paraId="7A7753B3" w14:textId="77777777" w:rsidR="008D479B" w:rsidRDefault="008D479B" w:rsidP="008D479B">
      <w:pPr>
        <w:pStyle w:val="TextoNormal"/>
      </w:pPr>
      <w:r>
        <w:t>Este tribunal considera que el razonamiento expuesto en el precedente fundamento jurídico avalando la plena constitucionalidad del Consejo General del Poder Judicial en funciones, en la configuración legal dada por la Ley Orgánica 4/2021, ha de conducir necesariamente a la desestimación de esta queja. No obstante, en la medida en que la censura de inconstitucionalidad se formula invocando como parámetro de constitucionalidad, más allá del art. 122 CE, los citados arts. 123.2 y 161.l d) CE, este tribunal estima que se ha de dar una respuesta específica ratificando la plena constitucionalidad de la norma cuestionada.</w:t>
      </w:r>
    </w:p>
    <w:p w14:paraId="0F5215B3" w14:textId="77777777" w:rsidR="008D479B" w:rsidRDefault="008D479B" w:rsidP="008D479B">
      <w:pPr>
        <w:pStyle w:val="TextoNormal"/>
      </w:pPr>
    </w:p>
    <w:p w14:paraId="0BF9DD58" w14:textId="77777777" w:rsidR="008D479B" w:rsidRDefault="008D479B" w:rsidP="008D479B">
      <w:pPr>
        <w:pStyle w:val="TextoNormal"/>
      </w:pPr>
      <w:r>
        <w:t>a) El art. 123.2 CE establece que el “Presidente del Tribunal Supremo será nombrado por el Rey, a propuesta del Consejo General del Poder Judicial, en la forma que determine la ley”. Del precepto constitucional se puede deducir que el constituyente formula una referencia expresa al Consejo, atribuyéndole una función de propuesta de nombramiento del presidente del Tribunal Supremo. Esta propuesta de nombramiento, que se formulará después de un proceso de votación que no regula la Constitución, será elevada al Rey quien tiene la potestad de nombramiento formal.</w:t>
      </w:r>
    </w:p>
    <w:p w14:paraId="0EC5551F" w14:textId="77777777" w:rsidR="008D479B" w:rsidRDefault="008D479B" w:rsidP="008D479B">
      <w:pPr>
        <w:pStyle w:val="TextoNormal"/>
      </w:pPr>
    </w:p>
    <w:p w14:paraId="6578F473" w14:textId="77777777" w:rsidR="008D479B" w:rsidRDefault="008D479B" w:rsidP="008D479B">
      <w:pPr>
        <w:pStyle w:val="TextoNormal"/>
      </w:pPr>
      <w:r>
        <w:t>Por su parte, la Ley Orgánica del Poder Judicial determina las condiciones de esa elección estableciendo, entre otras cosas, que: (i) la elección del presidente exige que, en la “sesión constitutiva del Consejo General del Poder Judicial, que será presidida por el vocal de más edad, deberán presentarse y hacerse públicas las diferentes candidaturas, sin que cada vocal pueda proponer más de un nombre” (art. 586.2), celebrándose la sesión electiva del presidente “entre tres y siete días más tarde, siendo elegido quien en votación nominal obtenga el apoyo de la mayoría de tres quintos de los miembros del Pleno” (art. 586.3); (ii) “la duración del mandato del presidente del Tribunal Supremo y del Consejo General del Poder Judicial coincidirá con la del Consejo que lo haya elegido” (art. 587.1); y (iii) el Consejo saliente “continuará en funciones hasta la toma de posesión del nuevo, no pudiendo procederse, hasta entonces, a la elección de nuevo presidente del Consejo General del Poder Judicial” (art. 570.2).</w:t>
      </w:r>
    </w:p>
    <w:p w14:paraId="7530FBAE" w14:textId="77777777" w:rsidR="008D479B" w:rsidRDefault="008D479B" w:rsidP="008D479B">
      <w:pPr>
        <w:pStyle w:val="TextoNormal"/>
      </w:pPr>
    </w:p>
    <w:p w14:paraId="1D7718F8" w14:textId="77777777" w:rsidR="008D479B" w:rsidRDefault="008D479B" w:rsidP="008D479B">
      <w:pPr>
        <w:pStyle w:val="TextoNormal"/>
      </w:pPr>
      <w:r>
        <w:t>Del régimen previsto por el legislador orgánico se deduce que corresponde a cada nuevo Consejo, en cumplimiento del mandato previsto en el art. 123.2 CE, elegir a su presidente, que lo será a su vez del Tribunal Supremo, en los términos previstos en el art. 586.2 y 3 LOPJ. La duración de su mandato es coincidente con la del Consejo General del Poder Judicial que lo haya elegido (art. 587 LOPJ). El vínculo entre el presidente del Tribunal Supremo y del Consejo General del Poder Judicial y el órgano se refuerza al preverse que solo cesará, por expiración del mandato, que se entenderá agotado, en todo caso, en la misma fecha en que concluya el del Consejo por el que hubiere sido elegido, por renuncia, o por decisión del Pleno a causa de notoria incapacidad o incumplimiento grave de los deberes del cargo, apreciados por tres quintos de sus miembros (art. 588 LOPJ). Una vez expirado el mandato constitucional de cinco años (art. 122.3 CE), el Consejo en funciones o saliente no podrá elegir nuevo presidente, como expresamente determina el art. 570.2 LOPJ, el cual no ha sido objeto de impugnación.</w:t>
      </w:r>
    </w:p>
    <w:p w14:paraId="5BB2036A" w14:textId="77777777" w:rsidR="008D479B" w:rsidRDefault="008D479B" w:rsidP="008D479B">
      <w:pPr>
        <w:pStyle w:val="TextoNormal"/>
      </w:pPr>
    </w:p>
    <w:p w14:paraId="71449CB1" w14:textId="77777777" w:rsidR="008D479B" w:rsidRDefault="008D479B" w:rsidP="008D479B">
      <w:pPr>
        <w:pStyle w:val="TextoNormal"/>
      </w:pPr>
      <w:r>
        <w:t>En suma, la Constitución no prevé el sistema de nombramiento del presidente del Consejo General del Poder Judicial, que lo es también del Tribunal Supremo, correspondiendo al legislador orgánico la facultad de llevar a cabo dicho desarrollo. Legislador orgánico que ha optado por definir un modelo de vinculación estrecha entre el Consejo y su presidente, que necesita de una amplia mayoría para su elección y para su cese, que no tiene conexión electiva más que con el Consejo, y no con las Cámaras, y cuyo mandato depende del Consejo que lo nombró. Es, por ello, que expirado su mandato, el Consejo General del Poder Judicial no puede proceder a la elección de un nuevo presidente. Y este sistema en nada colisiona con el art. 123.2 CE cuando atribuye al Consejo la facultad, dentro del periodo de cinco años que dura su mandato (art. 122.3 CE), de proponer el nombramiento del presidente del Tribunal Supremo y del Consejo General del Poder Judicial. Por esta razón, la tacha de inconstitucionalidad ha de entenderse desestimada.</w:t>
      </w:r>
    </w:p>
    <w:p w14:paraId="4D9BB0F1" w14:textId="77777777" w:rsidR="008D479B" w:rsidRDefault="008D479B" w:rsidP="008D479B">
      <w:pPr>
        <w:pStyle w:val="TextoNormal"/>
      </w:pPr>
    </w:p>
    <w:p w14:paraId="7068AF29" w14:textId="77777777" w:rsidR="008D479B" w:rsidRDefault="008D479B" w:rsidP="008D479B">
      <w:pPr>
        <w:pStyle w:val="TextoNormal"/>
      </w:pPr>
      <w:r>
        <w:t xml:space="preserve">b) El art. 161.1 CE establece que “[e]l Tribunal Constitucional tiene jurisdicción en todo el territorio español y es competente para conocer: […] d) De las demás materias que le atribuyan la Constitución o las leyes orgánicas”. La Constitución no prevé el proceso constitucional que denominamos “conflicto de atribuciones”. Para contemplar su creación y desarrollo específico es necesario acudir al art. 59.1 c) LOTC que desarrolla el apartado d) del art. 161.1 CE previendo entre los conflictos constitucionales, no solo los de base territorial, sino también los que pudieran surgir entre el Gobierno y el Congreso de los Diputados, el Senado o el Consejo General del Poder Judicial, o entre cualquiera de estos órganos entre sí. Este tipo de proceso constitucional, de creación legislativa, se desarrolla desde la óptica procesal en los arts. 73 a 75 </w:t>
      </w:r>
      <w:r w:rsidRPr="008D479B">
        <w:rPr>
          <w:i/>
        </w:rPr>
        <w:t>quinquies</w:t>
      </w:r>
      <w:r>
        <w:t xml:space="preserve"> LOTC. Pero resulta evidente que, teniendo base constitucional, el art. 161.1 d) CE, no posee consagración constitucional expresa.</w:t>
      </w:r>
    </w:p>
    <w:p w14:paraId="643250E6" w14:textId="77777777" w:rsidR="008D479B" w:rsidRDefault="008D479B" w:rsidP="008D479B">
      <w:pPr>
        <w:pStyle w:val="TextoNormal"/>
      </w:pPr>
    </w:p>
    <w:p w14:paraId="53AB6DC4" w14:textId="32E258FD" w:rsidR="008D479B" w:rsidRDefault="008D479B" w:rsidP="008D479B">
      <w:pPr>
        <w:pStyle w:val="TextoNormal"/>
      </w:pPr>
      <w:r>
        <w:t>De acuerdo con lo expuesto, podemos concluir que no es una función directamente atribuida por la Constitución al Consejo General del Poder Judicial aquella de la que deriva su legitimación para interponer un conflicto de atribuciones ante la jurisdicción constitucional, porque esta legitimación es una facultad surgida del mero reconocimiento legal que formula la Ley Orgánica del Tribunal Constitucional en su art. 59.1 c), no teniendo un reflejo constitucional expreso. Por este motivo, la tacha de inconstitucionalidad ha de entenderse también desestimada.</w:t>
      </w:r>
    </w:p>
    <w:p w14:paraId="3B16539D" w14:textId="77777777" w:rsidR="008D479B" w:rsidRDefault="008D479B" w:rsidP="008D479B">
      <w:pPr>
        <w:pStyle w:val="TextoNormal"/>
      </w:pPr>
    </w:p>
    <w:p w14:paraId="5E781D4C" w14:textId="77777777" w:rsidR="008D479B" w:rsidRDefault="008D479B" w:rsidP="008D479B">
      <w:pPr>
        <w:pStyle w:val="TextoNormal"/>
      </w:pPr>
      <w:r w:rsidRPr="008D479B">
        <w:rPr>
          <w:rStyle w:val="NumeroAFNegritaCaracter"/>
        </w:rPr>
        <w:t>6</w:t>
      </w:r>
      <w:r>
        <w:t xml:space="preserve">. </w:t>
      </w:r>
      <w:r w:rsidRPr="008D479B">
        <w:rPr>
          <w:i/>
        </w:rPr>
        <w:t>Conclusión</w:t>
      </w:r>
    </w:p>
    <w:p w14:paraId="09DCEE01" w14:textId="77777777" w:rsidR="008D479B" w:rsidRDefault="008D479B" w:rsidP="008D479B">
      <w:pPr>
        <w:pStyle w:val="TextoNormal"/>
      </w:pPr>
    </w:p>
    <w:p w14:paraId="418E15F6" w14:textId="77777777" w:rsidR="008D479B" w:rsidRDefault="008D479B" w:rsidP="008D479B">
      <w:pPr>
        <w:pStyle w:val="TextoNormal"/>
      </w:pPr>
      <w:r>
        <w:t>Este tribunal considera, por las razones anteriormente expuestas, que la norma objeto del presente recurso no incurre en ninguna de las tachas de inconstitucionalidad denunciadas por los recurrentes. En primer lugar, la tramitación parlamentaria de la Ley Orgánica 4/2021 no ha conculcado el art. 23 CE ni ningún otro de los preceptos invocados por los demandantes al formular el motivo de impugnación.</w:t>
      </w:r>
    </w:p>
    <w:p w14:paraId="6518E98A" w14:textId="77777777" w:rsidR="008D479B" w:rsidRDefault="008D479B" w:rsidP="008D479B">
      <w:pPr>
        <w:pStyle w:val="TextoNormal"/>
      </w:pPr>
    </w:p>
    <w:p w14:paraId="2A22F1AB" w14:textId="1230FE14" w:rsidR="008D479B" w:rsidRDefault="008D479B" w:rsidP="008D479B">
      <w:pPr>
        <w:pStyle w:val="TextoNormal"/>
      </w:pPr>
      <w:r>
        <w:t>En segundo lugar, el establecimiento de un régimen jurídico específico del Consejo General del Poder Judicial en funciones no tiene otra finalidad que dar respuesta a una eventual anomalía: el incumplimiento del mandato constitucional de renovar cada cinco años los vocales del órgano de gobierno del Poder Judicial. A tales efectos, se ha de reconocer al legislador orgánico la potestad normativa necesaria, no solo para desarrollar las funciones propias del Consejo, sino incluso para establecer un régimen excepcional aplicable transitoriamente una vez que expira el mandato constitucional de cinco años, única previsión clara e inequívoca del art. 122.3 CE, sin que de ese reconocimiento se pueda derivar vulneración alguna de los arts. 122.2, 123.2 y 161.1 d) CE, ni suponga atribuir facultades constituyentes al legislador.</w:t>
      </w:r>
    </w:p>
    <w:p w14:paraId="3E17B6BA" w14:textId="77777777" w:rsidR="008D479B" w:rsidRDefault="008D479B" w:rsidP="008D479B">
      <w:pPr>
        <w:pStyle w:val="TextoNormal"/>
      </w:pPr>
    </w:p>
    <w:p w14:paraId="66DE417F" w14:textId="77777777" w:rsidR="008D479B" w:rsidRDefault="008D479B" w:rsidP="008D479B">
      <w:pPr>
        <w:pStyle w:val="TextoNormalCentrado"/>
        <w:keepNext/>
      </w:pPr>
      <w:r>
        <w:t>FALLO</w:t>
      </w:r>
    </w:p>
    <w:p w14:paraId="0D4BCBFF" w14:textId="2FDDB10E" w:rsidR="008D479B" w:rsidRDefault="008D479B" w:rsidP="008D479B">
      <w:pPr>
        <w:pStyle w:val="TextoNormalCentrado"/>
        <w:keepNext/>
      </w:pPr>
    </w:p>
    <w:p w14:paraId="3ED644AD" w14:textId="7CE53A09" w:rsidR="008D479B" w:rsidRDefault="008D479B" w:rsidP="008D479B">
      <w:pPr>
        <w:pStyle w:val="TextoNormal"/>
      </w:pPr>
      <w:r>
        <w:t>En atención a todo lo expuesto, el Tribunal Constitucional, por la autoridad que le confiere la Constitución de la Nación española, ha decidido desestimar el recurso de inconstitucionalidad interpuesto contra la Ley Orgánica 4/2021, de 29 de marzo, por la que se modifica la Ley Orgánica 6/1985, de 1 de julio, del Poder Judicial, para el establecimiento del régimen jurídico aplicable al Consejo General del Poder Judicial en funciones.</w:t>
      </w:r>
    </w:p>
    <w:p w14:paraId="2291501F" w14:textId="77777777" w:rsidR="008D479B" w:rsidRDefault="008D479B" w:rsidP="008D479B">
      <w:pPr>
        <w:pStyle w:val="TextoNormal"/>
      </w:pPr>
    </w:p>
    <w:p w14:paraId="5DF24FAC" w14:textId="77777777" w:rsidR="008D479B" w:rsidRDefault="008D479B" w:rsidP="008D479B">
      <w:pPr>
        <w:pStyle w:val="TextoNormal"/>
      </w:pPr>
      <w:r>
        <w:t>Publíquese esta sentencia en el “Boletín Oficial del Estado”.</w:t>
      </w:r>
    </w:p>
    <w:p w14:paraId="4FB8E331" w14:textId="77777777" w:rsidR="008D479B" w:rsidRDefault="008D479B" w:rsidP="008D479B">
      <w:pPr>
        <w:pStyle w:val="TextoNormal"/>
      </w:pPr>
      <w:r>
        <w:t>Dada en Madrid, a dos de octubre de dos mil veintitrés.</w:t>
      </w:r>
    </w:p>
    <w:p w14:paraId="1FCD966A" w14:textId="33E76921" w:rsidR="008D479B" w:rsidRDefault="008D479B" w:rsidP="008D479B">
      <w:pPr>
        <w:pStyle w:val="ParrafoNormal"/>
      </w:pPr>
    </w:p>
    <w:p w14:paraId="6BCC990A" w14:textId="77777777" w:rsidR="008D479B" w:rsidRDefault="008D479B" w:rsidP="008D479B">
      <w:pPr>
        <w:pStyle w:val="TextoNormalNegritaCentrado"/>
        <w:keepNext/>
      </w:pPr>
      <w:r>
        <w:t>Voto particular que formulan los magistrados don Ricardo Enríquez Sancho, don Enrique Arnaldo Alcubilla, la magistrada doña Concepción Espejel Jorquera y el magistrado don César Tolosa Tribiño, a la sentencia del Pleno del Tribunal que resuelve el recurso de inconstitucionalidad núm. 2379-2021</w:t>
      </w:r>
    </w:p>
    <w:p w14:paraId="4D5D319F" w14:textId="04632D46" w:rsidR="008D479B" w:rsidRDefault="008D479B" w:rsidP="008D479B">
      <w:pPr>
        <w:pStyle w:val="TextoNormalNegritaCentrado"/>
        <w:keepNext/>
      </w:pPr>
    </w:p>
    <w:p w14:paraId="1E40413B" w14:textId="77777777" w:rsidR="008D479B" w:rsidRDefault="008D479B" w:rsidP="008D479B">
      <w:pPr>
        <w:pStyle w:val="TextoNormal"/>
      </w:pPr>
      <w:r>
        <w:t>En el ejercicio de la facultad que nos confiere el art. 90.2 de la Ley Orgánica del Tribunal Constitucional, y con respeto a la opinión de los magistrados y las magistradas que han conformado la mayoría del Pleno, formulamos el presente voto particular por discrepar de la fundamentación y del fallo de la sentencia recaída en el recurso de inconstitucionalidad núm. 2379-2021, el cual a nuestro juicio debió ser estimado, declarando la inconstitucionalidad y consiguiente nulidad del artículo único de la Ley Orgánica 4/2021, de 29 de marzo, por la que se modifica la Ley Orgánica 6/1985, de 1 de julio, del Poder Judicial, para el establecimiento del régimen jurídico aplicable al Consejo General del Poder Judicial en funciones.</w:t>
      </w:r>
    </w:p>
    <w:p w14:paraId="58DCCE8B" w14:textId="77777777" w:rsidR="008D479B" w:rsidRDefault="008D479B" w:rsidP="008D479B">
      <w:pPr>
        <w:pStyle w:val="TextoNormal"/>
      </w:pPr>
    </w:p>
    <w:p w14:paraId="68C1B7B1" w14:textId="77777777" w:rsidR="008D479B" w:rsidRDefault="008D479B" w:rsidP="008D479B">
      <w:pPr>
        <w:pStyle w:val="TextoNormal"/>
      </w:pPr>
      <w:r>
        <w:t>Nuestra discrepancia con la conclusión a la que llega la sentencia se proyecta sobre la desestimación de los motivos materiales planteados por los recurrentes, que debieron estimarse declarando la vulneración del art. 122 CE, por haber llevado a cabo la Ley Orgánica 4/2021 una desnaturalización del órgano de gobierno del Poder Judicial cuando está “en funciones”, al privarle de las potestades esenciales atribuidas para el cumplimiento de su cometido constitucional, y por afectar a los principios de independencia judicial y separación de poderes. Entendemos que también debió declararse la vulneración del art. 123.2 CE, por suprimir la facultad del Consejo de proponer el nombramiento del presidente del Tribunal Supremo. Y asimismo del art. 161.1 d) CE, en relación con el art. 59.1 c) LOTC por negar legitimación al Consejo “en funciones” para interponer un conflicto de atribuciones frente a decisiones o actos de otros órganos constitucionales que supongan una efectiva y actual invasión de sus atribuciones.</w:t>
      </w:r>
    </w:p>
    <w:p w14:paraId="1FA850AC" w14:textId="77777777" w:rsidR="008D479B" w:rsidRDefault="008D479B" w:rsidP="008D479B">
      <w:pPr>
        <w:pStyle w:val="TextoNormal"/>
      </w:pPr>
    </w:p>
    <w:p w14:paraId="71CBD43B" w14:textId="77777777" w:rsidR="008D479B" w:rsidRDefault="008D479B" w:rsidP="008D479B">
      <w:pPr>
        <w:pStyle w:val="TextoNormal"/>
      </w:pPr>
      <w:r>
        <w:t xml:space="preserve">1. </w:t>
      </w:r>
      <w:r w:rsidRPr="008D479B">
        <w:rPr>
          <w:i/>
        </w:rPr>
        <w:t>El legislador orgánico, al establecer el régimen jurídico del Consejo General del Poder Judicial, debe respetar su naturaleza y las demás reglas y principios constitucionales</w:t>
      </w:r>
    </w:p>
    <w:p w14:paraId="3115C7C1" w14:textId="77777777" w:rsidR="008D479B" w:rsidRDefault="008D479B" w:rsidP="008D479B">
      <w:pPr>
        <w:pStyle w:val="TextoNormal"/>
      </w:pPr>
    </w:p>
    <w:p w14:paraId="0ADE8B1D" w14:textId="77777777" w:rsidR="008D479B" w:rsidRDefault="008D479B" w:rsidP="008D479B">
      <w:pPr>
        <w:pStyle w:val="TextoNormal"/>
      </w:pPr>
      <w:r>
        <w:t>Es incontrovertido que la Ley Orgánica 4/2021, de 29 de marzo, ha operado una reducción en las funciones que corresponden al Consejo General del Poder Judicial durante el tiempo en el que sus vocales no hayan sido renovados, una vez expirado el plazo de cinco años que la Constitución establece de duración de su mandato. Los recurrentes no se han limitado a argumentar sobre la imposibilidad de que exista o no un Consejo en funciones a la luz del texto constitucional, sino que, por el contrario, han argumentado específicamente que con la reforma llevada a cabo se está alterando el normal funcionamiento de este órgano constitucional y del propio Poder Judicial. Poder que el constituyente quiso proteger de la intervención del poder político mediante la creación del Consejo, si bien, con la reducción competencial operada, la independencia y el correcto funcionamiento del Poder Judicial quedan afectados, lo cual desconoce lo establecido por el art. 122 CE.</w:t>
      </w:r>
    </w:p>
    <w:p w14:paraId="04C7E817" w14:textId="77777777" w:rsidR="008D479B" w:rsidRDefault="008D479B" w:rsidP="008D479B">
      <w:pPr>
        <w:pStyle w:val="TextoNormal"/>
      </w:pPr>
    </w:p>
    <w:p w14:paraId="404DAC98" w14:textId="77777777" w:rsidR="008D479B" w:rsidRDefault="008D479B" w:rsidP="008D479B">
      <w:pPr>
        <w:pStyle w:val="TextoNormal"/>
      </w:pPr>
      <w:r>
        <w:t>El examen de estas quejas de constitucionalidad exige comenzar recordando el carácter incompleto y abierto de la regulación del Consejo en la Constitución, y la posibilidad de distintas opciones en cuanto a su configuración. Efectivamente, en las sentencias en las que se apoya la mayoría de la que discrepamos hemos reconocido expresamente que el Consejo General del Poder Judicial es una institución solo “parcialmente disciplinada en la Constitución” (STC 191/2016, de 15 de noviembre, FJ 3) y de esta falta de “predeterminación constitucional” hemos derivado que “no todos sus rasgos o elementos pueden deducirse de aquella ordenación parcial por la norma fundamental” (SSTC 108/1986, de 29 de julio, FJ 11, y 191/2016, FJ 3), admitiendo así “el muy amplio margen o libertad de configuración que le corresponde al legislador para dar curso a sus opciones políticas” (STC 191/2016, FJ 3).</w:t>
      </w:r>
    </w:p>
    <w:p w14:paraId="67CDB1EA" w14:textId="77777777" w:rsidR="008D479B" w:rsidRDefault="008D479B" w:rsidP="008D479B">
      <w:pPr>
        <w:pStyle w:val="TextoNormal"/>
      </w:pPr>
    </w:p>
    <w:p w14:paraId="2E4DCF5F" w14:textId="77777777" w:rsidR="008D479B" w:rsidRDefault="008D479B" w:rsidP="008D479B">
      <w:pPr>
        <w:pStyle w:val="TextoNormal"/>
      </w:pPr>
      <w:r>
        <w:t>No obstante, también hemos considerado que el margen de configuración del que dispone el legislador queda sujeto a ciertos límites, y así lo expresamos en la STC 108/1986 al examinar la forma en que se reguló, por la Ley Orgánica 6/1985, el procedimiento de elección de los doce vocales judiciales, cuya propuesta se atribuyó a las Cortes por el legislador; y en dicho pronunciamiento señalamos que cabe pensar en procedimientos distintos que no sean ni su atribución a las Cámaras, ni a los jueces y magistrados, y “que no serían inconstitucionales en cuanto no resultasen arbitrarios o contradictorios con la naturaleza del Consejo” (FJ 12). Posteriormente, en la STC 191/2016 enjuiciamos la posibilidad de que se constituyese un nuevo Consejo, aunque una de las Cámaras hubiese incumplido el plazo de designación de los vocales, y tuvimos ocasión de precisar que la regulación que haga el legislador del Consejo también queda condicionada por lo dispuesto en las normas que regulan este órgano constitucional y “por lo que impongan, en general, las demás reglas y principios constitucionales”. Más concretamente, dijimos que “la vinculación de la ley a la Constitución es, aquí también, de carácter negativo, excluyente de toda transgresión constitucional, pero no impositiva de una sola configuración del órgano, acabada en todos sus extremos” (FJ 3).</w:t>
      </w:r>
    </w:p>
    <w:p w14:paraId="368A5A18" w14:textId="77777777" w:rsidR="008D479B" w:rsidRDefault="008D479B" w:rsidP="008D479B">
      <w:pPr>
        <w:pStyle w:val="TextoNormal"/>
      </w:pPr>
    </w:p>
    <w:p w14:paraId="7FA7BE69" w14:textId="77777777" w:rsidR="008D479B" w:rsidRDefault="008D479B" w:rsidP="008D479B">
      <w:pPr>
        <w:pStyle w:val="TextoNormal"/>
      </w:pPr>
      <w:r>
        <w:t>A la luz de estas consideraciones no puede descartase de forma automática la constitucionalidad de una norma que tenga por finalidad atender una situación de anormalidad en la que, expirado el mandato de los vocales del Consejo, las Cámaras no cumplen con su “poder-deber”, incoercible en Derecho, de proceder en tiempo a la designación que les cumple. Es más, hemos admitido que “el legislador dispone de margen de libertad […] para atender a eventualidades que, por anómalas o atípicas que sean, pueden llegar a verificarse y que no fueron objeto de expresa prevención por la norma fundamental” (STC 191/2016, FJ 8).</w:t>
      </w:r>
    </w:p>
    <w:p w14:paraId="0922680D" w14:textId="77777777" w:rsidR="008D479B" w:rsidRDefault="008D479B" w:rsidP="008D479B">
      <w:pPr>
        <w:pStyle w:val="TextoNormal"/>
      </w:pPr>
    </w:p>
    <w:p w14:paraId="56BE588D" w14:textId="77777777" w:rsidR="008D479B" w:rsidRDefault="008D479B" w:rsidP="008D479B">
      <w:pPr>
        <w:pStyle w:val="TextoNormal"/>
      </w:pPr>
      <w:r>
        <w:t>Lo que resulta relevante es examinar si la norma trasgrede alguno de los límites constitucionales antes señalados y que este tribunal, desde la STC 108/1986, ha impuesto sin solución de continuidad al legislador orgánico en su función de configurar el funcionamiento del Consejo General del Poder Judicial: la regulación no puede resultar arbitraria o contradictoria con la naturaleza del Consejo, y no puede tampoco contrariar la regulación contenida en el art. 122 CE y en las demás reglas y principios constitucionales.</w:t>
      </w:r>
    </w:p>
    <w:p w14:paraId="4AF22B8C" w14:textId="77777777" w:rsidR="008D479B" w:rsidRDefault="008D479B" w:rsidP="008D479B">
      <w:pPr>
        <w:pStyle w:val="TextoNormal"/>
      </w:pPr>
    </w:p>
    <w:p w14:paraId="6906F535" w14:textId="77777777" w:rsidR="008D479B" w:rsidRDefault="008D479B" w:rsidP="008D479B">
      <w:pPr>
        <w:pStyle w:val="TextoNormal"/>
      </w:pPr>
      <w:r>
        <w:t>No obstante, el razonamiento que lleva a la mayoría a avalar la constitucionalidad de la reforma choca frontalmente con estos límites dado que en ninguno de los pronunciamientos a los que hemos hecho referencia, y en los que se apoya la sentencia, hemos permitido que fuera suficiente que el legislador orgánico, al regular el funcionamiento del Consejo, se limitase a garantizar “la gestión del aparato administrativo del poder judicial”. La mayoría de la que discrepamos ha prescindido de los límites constitucionales que impone el art. 122 CE obviando la naturaleza del Consejo General del Poder Judicial que se deriva de nuestro texto constitucional, que lo configura como un órgano autónomo creado para la defensa de la independencia judicial, como pasamos a examinar.</w:t>
      </w:r>
    </w:p>
    <w:p w14:paraId="6D5977E7" w14:textId="77777777" w:rsidR="008D479B" w:rsidRDefault="008D479B" w:rsidP="008D479B">
      <w:pPr>
        <w:pStyle w:val="TextoNormal"/>
      </w:pPr>
    </w:p>
    <w:p w14:paraId="0CC2AF7E" w14:textId="77777777" w:rsidR="008D479B" w:rsidRDefault="008D479B" w:rsidP="008D479B">
      <w:pPr>
        <w:pStyle w:val="TextoNormal"/>
      </w:pPr>
      <w:r>
        <w:t xml:space="preserve">2. </w:t>
      </w:r>
      <w:r w:rsidRPr="008D479B">
        <w:rPr>
          <w:i/>
        </w:rPr>
        <w:t>El Consejo General del Poder Judicial es un órgano autónomo garante de la independencia del Poder Judicial</w:t>
      </w:r>
    </w:p>
    <w:p w14:paraId="78E3D817" w14:textId="77777777" w:rsidR="008D479B" w:rsidRDefault="008D479B" w:rsidP="008D479B">
      <w:pPr>
        <w:pStyle w:val="TextoNormal"/>
      </w:pPr>
    </w:p>
    <w:p w14:paraId="758E51AA" w14:textId="77777777" w:rsidR="008D479B" w:rsidRDefault="008D479B" w:rsidP="008D479B">
      <w:pPr>
        <w:pStyle w:val="TextoNormal"/>
      </w:pPr>
      <w:r>
        <w:t>a) La razón de ser de la existencia de un Consejo General del Poder Judicial en nuestro país se encuentra en la intención del constituyente de dotar de garantías específicas al principio de independencia del Poder Judicial, principio que configuró a su vez como una “pieza esencial de nuestro ordenamiento como del de todo Estado de Derecho” (STC 108/1986, FJ 6).</w:t>
      </w:r>
    </w:p>
    <w:p w14:paraId="7842646D" w14:textId="77777777" w:rsidR="008D479B" w:rsidRDefault="008D479B" w:rsidP="008D479B">
      <w:pPr>
        <w:pStyle w:val="TextoNormal"/>
      </w:pPr>
    </w:p>
    <w:p w14:paraId="28128B65" w14:textId="77777777" w:rsidR="008D479B" w:rsidRDefault="008D479B" w:rsidP="008D479B">
      <w:pPr>
        <w:pStyle w:val="TextoNormal"/>
      </w:pPr>
      <w:r>
        <w:t xml:space="preserve">(i) Como ya explicamos en la antes citada STC 108/1986, nos encontramos ante un órgano diseñado por la Constitución de 1978 para asumir las funciones que más pueden servir al Gobierno para intentar influir sobre los tribunales, como puede ser el favorecimiento de algunos jueces por nombramientos y ascensos, o evitando molestias y perjuicios por la inspección e imposición de sanciones; esas funciones se transfieren a un “órgano autónomo y separado”, porque precisamente, su “asunción por el Gobierno podría enturbiar la imagen de la independencia judicial” (FFJJ 7 y 8). En la STC 191/2016, a la que también hemos hecho referencia, reiteramos que “[l]a prevención que así llevó a erigir el órgano y a confiarle, en exclusiva, estas últimas funciones lo fue, ante todo, respecto del Gobierno (STC 108/1986, </w:t>
      </w:r>
      <w:r w:rsidRPr="008D479B">
        <w:rPr>
          <w:i/>
        </w:rPr>
        <w:t>ibidem</w:t>
      </w:r>
      <w:r>
        <w:t>) o, en otras palabras, frente al ‘área de influencia del Poder Ejecutivo’ (STC 105/2000, de 13 de abril, FJ 4), pues a los gobiernos, en el pasado, les fueron conferidas las tareas y funciones con las que la Constitución apoderó al Consejo General del Poder Judicial” (FJ 5).</w:t>
      </w:r>
    </w:p>
    <w:p w14:paraId="7424AD24" w14:textId="77777777" w:rsidR="008D479B" w:rsidRDefault="008D479B" w:rsidP="008D479B">
      <w:pPr>
        <w:pStyle w:val="TextoNormal"/>
      </w:pPr>
    </w:p>
    <w:p w14:paraId="352F46B7" w14:textId="77777777" w:rsidR="008D479B" w:rsidRDefault="008D479B" w:rsidP="008D479B">
      <w:pPr>
        <w:pStyle w:val="TextoNormal"/>
      </w:pPr>
      <w:r>
        <w:t>Las funciones que asume así el Consejo son esenciales para preservar la independencia del Poder Judicial, como confirmamos en la STC 105/2000, de 13 de abril, al interpretar la competencia exclusiva reservada al Estado sobre la “administración de justicia” prevista en el art. 149.1.5 CE, estableciendo que el gobierno del Poder Judicial que corresponde al Consejo General del Poder Judicial forma parte de “los elementos intrínsecamente unidos a la determinación de la independencia con que debe desarrollarse [la función jurisdiccional]” (FJ 2). En dicho pronunciamiento también declaramos que “resulta evidente que el Consejo General del Poder Judicial (y no el Gobierno de la Nación, ni las comunidades autónomas) es el único órgano constitucionalmente llamado a desempeñar las funciones que la Ley Orgánica del Poder Judicial, dentro de la reserva constitucional establecida en el art. 122.2 CE, contempla en relación con el estatuto jurídico de los jueces y magistrados, al fin de salvaguardar la independencia judicial del área de influencia del Poder Ejecutivo” (FJ 4).</w:t>
      </w:r>
    </w:p>
    <w:p w14:paraId="51F98CDB" w14:textId="77777777" w:rsidR="008D479B" w:rsidRDefault="008D479B" w:rsidP="008D479B">
      <w:pPr>
        <w:pStyle w:val="TextoNormal"/>
      </w:pPr>
    </w:p>
    <w:p w14:paraId="01B37932" w14:textId="77777777" w:rsidR="008D479B" w:rsidRDefault="008D479B" w:rsidP="008D479B">
      <w:pPr>
        <w:pStyle w:val="TextoNormal"/>
      </w:pPr>
      <w:r>
        <w:t>(ii) Para que el Consejo pueda cumplir el papel que le asigna la Constitución en defensa de la independencia judicial, esta le otorga “una posición autónoma y no subordinada a los demás poderes públicos” de modo que no depende de los órganos encargados de su designación (STC 108/1986, FJ 10). El hecho de que los vocales del Consejo no estén ligados por mandato imperativo alguno ni puedan ser removidos de su cargo por decisión o a impulso de cualquier otro poder público (arts. 581 y 582.1 LOPJ), determina que este órgano sea “independiente sin duda del Gobierno, […] también […] de las Cortes Generales, sin que entre aquel y estas medie ‘una vinculación de dependencia política’ que el constituyente, como en su día advertimos, también quiso evitar (STC 238/2012, FJ 8, y jurisprudencia allí citada)” (STC 191/2016, FJ 5).</w:t>
      </w:r>
    </w:p>
    <w:p w14:paraId="0AD2B7DB" w14:textId="77777777" w:rsidR="008D479B" w:rsidRDefault="008D479B" w:rsidP="008D479B">
      <w:pPr>
        <w:pStyle w:val="TextoNormal"/>
      </w:pPr>
    </w:p>
    <w:p w14:paraId="6A49628F" w14:textId="77777777" w:rsidR="008D479B" w:rsidRDefault="008D479B" w:rsidP="008D479B">
      <w:pPr>
        <w:pStyle w:val="TextoNormal"/>
      </w:pPr>
      <w:r>
        <w:t>Más concretamente, también hemos apreciado que la norma fundamental descarta, sin sombra de duda, cualquier pretensión de “responsabilidad” y “control” políticos sobre un órgano constitucional al que ha confiado, en garantía de la independencia de jueces y magistrados, unas funciones que no pueden quedar, sin amenaza o daño para esa independencia, sujetas a fiscalización por el poder político, incluido, claro está, el que se expresa en las Cámaras representativas (STC 191/2016, FJ 6).</w:t>
      </w:r>
    </w:p>
    <w:p w14:paraId="4D2F07E6" w14:textId="77777777" w:rsidR="008D479B" w:rsidRDefault="008D479B" w:rsidP="008D479B">
      <w:pPr>
        <w:pStyle w:val="TextoNormal"/>
      </w:pPr>
    </w:p>
    <w:p w14:paraId="3E73E638" w14:textId="77777777" w:rsidR="008D479B" w:rsidRDefault="008D479B" w:rsidP="008D479B">
      <w:pPr>
        <w:pStyle w:val="TextoNormal"/>
      </w:pPr>
      <w:r>
        <w:t>(iii) De todo lo expuesto se deriva que estamos en definitiva ante un “órgano no político; esto es, [una] institución que no ha sido llamada por la Constitución a ejercer sus funciones sobre la base de orientaciones ideológicas o de partido, del todo legítimas para el actuar de gobiernos o parlamentos, pero inconciliables con los cometidos y la función de garantía de la independencia judicial que corresponden al Consejo” (STC 191/2016, FJ 5). En definitiva, nos encontramos ante un órgano que no se configura ni ejerce sus funciones con arreglo a lo que en su día llamamos “la lógica del Estado de partidos” (SSTC 108/1986, FJ 13, y 191/2016, FJ 6).</w:t>
      </w:r>
    </w:p>
    <w:p w14:paraId="4B7F87BF" w14:textId="77777777" w:rsidR="008D479B" w:rsidRDefault="008D479B" w:rsidP="008D479B">
      <w:pPr>
        <w:pStyle w:val="TextoNormal"/>
      </w:pPr>
    </w:p>
    <w:p w14:paraId="5DBA9970" w14:textId="77777777" w:rsidR="008D479B" w:rsidRDefault="008D479B" w:rsidP="008D479B">
      <w:pPr>
        <w:pStyle w:val="TextoNormal"/>
      </w:pPr>
      <w:r>
        <w:t>b) Conforme a las características que acabamos de reseñar cabe concluir que el constituyente ha asignado al órgano de gobierno del Poder judicial un papel muy específico, el servir de garantía a la independencia del Poder Judicial, a cuyo efecto lo ha dotado de una naturaleza “no política”, incompatible con dicha función, y lo ha desvinculado de toda dependencia respecto de los demás poderes del Estado y, en especial, del Poder Ejecutivo. Así se ha entendido además sin excepción alguna por los distintos legisladores que, tras la promulgación del texto constitucional, le han ido confiriendo aquellas funciones que debían quedar desvinculadas de sumisiones indebidas respecto al Poder Ejecutivo para garantizar la independencia de los órganos judiciales.</w:t>
      </w:r>
    </w:p>
    <w:p w14:paraId="5CAFE47B" w14:textId="77777777" w:rsidR="008D479B" w:rsidRDefault="008D479B" w:rsidP="008D479B">
      <w:pPr>
        <w:pStyle w:val="TextoNormal"/>
      </w:pPr>
    </w:p>
    <w:p w14:paraId="5D5E917A" w14:textId="77777777" w:rsidR="008D479B" w:rsidRDefault="008D479B" w:rsidP="008D479B">
      <w:pPr>
        <w:pStyle w:val="TextoNormal"/>
      </w:pPr>
      <w:r>
        <w:t>Resulta esencial advertir, respecto a las funciones que competen al Consejo, que el propio art. 122.2 CE se encarga de atribuirle directamente las funciones “en materia de nombramientos, ascensos, inspección y régimen disciplinario”, funciones que deben quedar salvaguardadas en todo caso y sin excepción, por deseo del constituyente, del área de influencia del Poder Ejecutivo para poder garantizar la independencia de los órganos judiciales. Estas funciones han sido desarrolladas por el legislador orgánico que le encomienda en el art. 560.1 LOPJ, en su redacción actual, la propuesta de nombramiento del presidente del Tribunal Supremo (apartado 1), de los jueces, magistrados y magistrados del Tribunal Supremo (apartado 2) y del vicepresidente del Tribunal Supremo (apartado 13), la participación en la selección de jueces y magistrados (apartado 6) y en la provisión de destinos, ascensos, situaciones administrativas y régimen disciplinario de los mismos (apartado 7). También ejerce la alta inspección de tribunales y supervisa y coordina la actividad inspectora ordinaria de los presidentes y salas de gobierno de los tribunales (apartado 8), nombra al promotor de la acción disciplinaria y al jefe de inspección de tribunales (apartado 13) y determina en exclusiva la carga de trabajo que cabe exigir, a efectos disciplinarios, al juez o magistrado (apartado 21).</w:t>
      </w:r>
    </w:p>
    <w:p w14:paraId="675B9FCB" w14:textId="77777777" w:rsidR="008D479B" w:rsidRDefault="008D479B" w:rsidP="008D479B">
      <w:pPr>
        <w:pStyle w:val="TextoNormal"/>
      </w:pPr>
    </w:p>
    <w:p w14:paraId="752100EE" w14:textId="77777777" w:rsidR="008D479B" w:rsidRDefault="008D479B" w:rsidP="008D479B">
      <w:pPr>
        <w:pStyle w:val="TextoNormal"/>
      </w:pPr>
      <w:r>
        <w:t>Más allá de las funciones expresamente previstas por el texto constitucional, el legislador orgánico ha añadido otras que también tienen incidencia en el funcionamiento ordinario de la administración de justicia y en la salvaguarda de su independencia, como son las que atañen a su intervención en la formación y perfeccionamiento de los integrantes del Poder Judicial (apartado 7), atribuyéndosele una intervención directa en el nombramiento del director y de los profesores de la escuela judicial; también le corresponde intervenir en determinar el régimen de la publicidad de las distintas resoluciones judiciales al corresponderle la regulación de la estructura y funcionamiento del Centro de Documentación Judicial y el nombramiento de su director y del resto de su personal; propone las medidas de refuerzo que sean precisas en concretos órganos judiciales (apartado 22); y también tiene encomendado el asesoramiento especializado a los jueces y magistrados en materia de conflictos de intereses, así como en las demás materias relacionadas con la integridad y ética judicial (apartado 24).</w:t>
      </w:r>
    </w:p>
    <w:p w14:paraId="05DCD168" w14:textId="77777777" w:rsidR="008D479B" w:rsidRDefault="008D479B" w:rsidP="008D479B">
      <w:pPr>
        <w:pStyle w:val="TextoNormal"/>
      </w:pPr>
    </w:p>
    <w:p w14:paraId="688D07F5" w14:textId="77777777" w:rsidR="008D479B" w:rsidRDefault="008D479B" w:rsidP="008D479B">
      <w:pPr>
        <w:pStyle w:val="TextoNormal"/>
      </w:pPr>
      <w:r>
        <w:t>A estas funciones de naturaleza predominantemente decisoria, cabe añadir unas funciones reglamentarias que también tienen alcance externo, en la medida en que la Ley Orgánica del Poder Judicial le atribuye potestad reglamentaria en materia de: órganos de gobierno de juzgados y tribunales, publicidad de las actuaciones judiciales, publicación y reutilización de las resoluciones judiciales, habilitación de días y horas, fijación de horas de audiencia pública, constitución de los órganos judiciales fuera de su sede, especialización de órganos judiciales, reparto de asuntos y ponencias, régimen de guardias de los órganos jurisdiccionales, organización y gestión de la actuación de los órganos judiciales españoles en materia de cooperación jurisdiccional interna e internacional, condiciones accesorias para el ejercicio de los derechos y deberes que conforman el estatuto de jueces y magistrados, así como el régimen jurídico de las asociaciones judiciales.</w:t>
      </w:r>
    </w:p>
    <w:p w14:paraId="4A732597" w14:textId="77777777" w:rsidR="008D479B" w:rsidRDefault="008D479B" w:rsidP="008D479B">
      <w:pPr>
        <w:pStyle w:val="TextoNormal"/>
      </w:pPr>
    </w:p>
    <w:p w14:paraId="03A5A958" w14:textId="77777777" w:rsidR="008D479B" w:rsidRDefault="008D479B" w:rsidP="008D479B">
      <w:pPr>
        <w:pStyle w:val="TextoNormal"/>
      </w:pPr>
      <w:r>
        <w:t>Junto con estas atribuciones la Ley Orgánica del Poder Judicial recoge otras atribuciones con carácter meramente declarativo, dado que le corresponden al Consejo por previsión constitucional directa, como es la de ser oído por el Gobierno antes del nombramiento del fiscal general del Estado (apartado 4), o el nombramiento de dos magistrados del Tribunal Constitucional (apartado 3), a las que cabe también añadir la facultad que tiene el Consejo de interponer un conflicto de atribuciones, facultad que le confiere, como veremos posteriormente, la Ley Orgánica del Tribunal Constitucional.</w:t>
      </w:r>
    </w:p>
    <w:p w14:paraId="0C8CB4E9" w14:textId="77777777" w:rsidR="008D479B" w:rsidRDefault="008D479B" w:rsidP="008D479B">
      <w:pPr>
        <w:pStyle w:val="TextoNormal"/>
      </w:pPr>
    </w:p>
    <w:p w14:paraId="085AFBC2" w14:textId="77777777" w:rsidR="008D479B" w:rsidRDefault="008D479B" w:rsidP="008D479B">
      <w:pPr>
        <w:pStyle w:val="TextoNormal"/>
      </w:pPr>
      <w:r>
        <w:t>Finalmente, además de estas facultades de carácter externo, la Ley Orgánica del Poder Judicial también le atribuye las facultades necesarias para su funcionamiento interno, correspondiéndole, entre otras, la elaboración y ejecución de su propio presupuesto (apartado 17), la aprobación de la relación de puestos de trabajo del personal funcionario a su servicio (apartado 18), nombrar al director del gabinete técnico del Consejo (apartado 14) y regular y convocar el concurso-oposición de ingreso en el cuerpo de letrados del Consejo (apartado 15).</w:t>
      </w:r>
    </w:p>
    <w:p w14:paraId="2C45E738" w14:textId="77777777" w:rsidR="008D479B" w:rsidRDefault="008D479B" w:rsidP="008D479B">
      <w:pPr>
        <w:pStyle w:val="TextoNormal"/>
      </w:pPr>
    </w:p>
    <w:p w14:paraId="5946168D" w14:textId="77777777" w:rsidR="008D479B" w:rsidRDefault="008D479B" w:rsidP="008D479B">
      <w:pPr>
        <w:pStyle w:val="TextoNormal"/>
      </w:pPr>
      <w:r>
        <w:t>c) La atribución de las funciones examinadas, especialmente las que tienen carácter externo y se proyectan sobre el funcionamiento de la administración de justicia, es coherente con la naturaleza que le asigna nuestra Constitución al Consejo, la de garantizar la independencia del Poder Judicial, y también es coherente con el papel que se reconoce a los consejos judiciales (también denominados consejos nacionales de justicia o consejos de jueces) tanto en el seno de la Unión Europea, como en el seno del Consejo de Europa.</w:t>
      </w:r>
    </w:p>
    <w:p w14:paraId="4105D6F6" w14:textId="77777777" w:rsidR="008D479B" w:rsidRDefault="008D479B" w:rsidP="008D479B">
      <w:pPr>
        <w:pStyle w:val="TextoNormal"/>
      </w:pPr>
    </w:p>
    <w:p w14:paraId="679C6BE7" w14:textId="77777777" w:rsidR="008D479B" w:rsidRDefault="008D479B" w:rsidP="008D479B">
      <w:pPr>
        <w:pStyle w:val="TextoNormal"/>
      </w:pPr>
      <w:r>
        <w:t>(i) En el ámbito del Consejo de Europa cabe destacar la Recomendación CM/Rec(2010)12 adoptada por el Consejo de Ministros, el 17 de noviembre de 2010, a propuesta del Comité Europeo de Cooperación Jurídica, junto con un memorándum, sobre la independencia, eficiencia y responsabilidades de los jueces. En estos dos textos se configuran los consejos de justicia como órganos independientes dirigidos a salvaguardar la independencia del Poder Judicial y de los jueces individuales y de promover el eficiente funcionamiento del sistema judicial, calificándolos de autoridades independientes a los que los jueces pueden acudir cuando su independencia se vea amenazada. En consonancia con esta configuración se identifican una serie de competencias que cabría atribuir a los consejos, reconociéndoles, en particular, la competencia para la selección, la carrera y la formación profesional de los jueces y los asuntos disciplinarios y la gestión de los tribunales, con un reconocimiento expreso de la importancia que tienen estos órganos sobre la selección y la carrera de los jueces; se prevé también que puedan ser consultados en la preparación de los presupuestos de los tribunales; y por último se reconoce la eficacia que pueden tener los comunicados del Consejo para proteger la independencia de un juez individual.</w:t>
      </w:r>
    </w:p>
    <w:p w14:paraId="3211D471" w14:textId="77777777" w:rsidR="008D479B" w:rsidRDefault="008D479B" w:rsidP="008D479B">
      <w:pPr>
        <w:pStyle w:val="TextoNormal"/>
      </w:pPr>
    </w:p>
    <w:p w14:paraId="2803D9BE" w14:textId="77777777" w:rsidR="008D479B" w:rsidRDefault="008D479B" w:rsidP="008D479B">
      <w:pPr>
        <w:pStyle w:val="TextoNormal"/>
      </w:pPr>
      <w:r>
        <w:t>En el seno del Consejo de Europa se ha creado también un Consejo Consultivo de Jueces Europeo y una Comisión Europea para la Eficacia de la Justicia, destacando el Informe núm. 10(2007) sobre el consejo de la justicia al servicio de la sociedad, aprobado por el mencionado Consejo, en el que ya se disponía “la importancia de la existencia de una instancia específica garante de la independencia de los jueces en el marco del respeto del principio de la separación de poderes”, siendo precisamente el objetivo de los consejos nacionales de justicia “garantizar a la vez la independencia del sistema judicial y la independencia de cada juez”. Los principios expresados en dicho informe han sido posteriormente confirmados en el Informe núm. 24(2021) sobre la evolución de los consejos de justicia y su papel los sistemas judiciales independientes e imparciales, en el que se hace una especial consideración a la importante función que desempeñan estos órganos en el nombramiento y promoción de los jueces, función que “debe ser ejercida de forma independiente y responsable”, destacando también que “[a] través de la selección y promoción de los jueces o de la composición de un tribunal, estas decisiones tienen una gran influencia en las futuras decisiones judiciales” (apartado 20).</w:t>
      </w:r>
    </w:p>
    <w:p w14:paraId="4141615E" w14:textId="77777777" w:rsidR="008D479B" w:rsidRDefault="008D479B" w:rsidP="008D479B">
      <w:pPr>
        <w:pStyle w:val="TextoNormal"/>
      </w:pPr>
    </w:p>
    <w:p w14:paraId="3C358EF4" w14:textId="77777777" w:rsidR="008D479B" w:rsidRDefault="008D479B" w:rsidP="008D479B">
      <w:pPr>
        <w:pStyle w:val="TextoNormal"/>
      </w:pPr>
      <w:r>
        <w:t xml:space="preserve">La importancia que tienen las funciones atribuidas a los consejos nacionales de justicia en aras de salvaguardar la independencia del Poder Judicial también ha tenido su reflejo en la jurisprudencia del Tribunal Europeo de Derechos Humanos, en la que el principio de separación de poderes y su incidencia en la salvaguarda de la independencia judicial ha ido adquiriendo mayor relevancia, calificándose como un “concepto inherente a todos los artículos de la Convención” (STEDH de 28 de mayo de 2002, asunto </w:t>
      </w:r>
      <w:r w:rsidRPr="008D479B">
        <w:rPr>
          <w:i/>
        </w:rPr>
        <w:t>Stafford c. Reino Unido</w:t>
      </w:r>
      <w:r>
        <w:t>, §63), habiéndose reconocido en particular el papel crucial que juegan los consejos de justica en el proceso de nombramiento de los jueces, considerándolos esenciales para el equilibrio de una sociedad democrática (STEDH de 18 de octubre de 2018, asunt</w:t>
      </w:r>
      <w:r w:rsidRPr="008D479B">
        <w:rPr>
          <w:i/>
        </w:rPr>
        <w:t>o Thiam c. Franc</w:t>
      </w:r>
      <w:r>
        <w:t>ia, § 81 y 82).</w:t>
      </w:r>
    </w:p>
    <w:p w14:paraId="14B9B476" w14:textId="77777777" w:rsidR="008D479B" w:rsidRDefault="008D479B" w:rsidP="008D479B">
      <w:pPr>
        <w:pStyle w:val="TextoNormal"/>
      </w:pPr>
    </w:p>
    <w:p w14:paraId="0FFEC135" w14:textId="77777777" w:rsidR="008D479B" w:rsidRDefault="008D479B" w:rsidP="008D479B">
      <w:pPr>
        <w:pStyle w:val="TextoNormal"/>
      </w:pPr>
      <w:r>
        <w:t xml:space="preserve">El Tribunal Europeo ha tenido ocasión también de abordar en distintas sentencias las consecuencias directas que han tenido en el Poder Judicial las reformas a las que Polonia ha sometido a su Consejo Nacional de Justicia. Así, en la STEDH de 3 de febrero de 2022, asunto </w:t>
      </w:r>
      <w:r w:rsidRPr="008D479B">
        <w:rPr>
          <w:i/>
        </w:rPr>
        <w:t>Advance Pharma sp. z o.o c. Polonia</w:t>
      </w:r>
      <w:r>
        <w:t>, concluyó que con la reforma operada en dicho Consejo (que afectaba a la forma de designación de sus miembros) este órgano ya no ofrecía suficientes garantías de independencia respecto del Poder Legislativo y del Ejecutivo, lo cual, junto con las interferencias que había habido en distintos nombramientos judiciales, comprometía sistemáticamente la legitimad de un tribunal cuyos miembros eran designados bajo recomendación de dicho Consejo Nacional de Justicia (§ 349).</w:t>
      </w:r>
    </w:p>
    <w:p w14:paraId="27BBEF7E" w14:textId="77777777" w:rsidR="008D479B" w:rsidRDefault="008D479B" w:rsidP="008D479B">
      <w:pPr>
        <w:pStyle w:val="TextoNormal"/>
      </w:pPr>
    </w:p>
    <w:p w14:paraId="60CB7455" w14:textId="77777777" w:rsidR="008D479B" w:rsidRDefault="008D479B" w:rsidP="008D479B">
      <w:pPr>
        <w:pStyle w:val="TextoNormal"/>
      </w:pPr>
      <w:r>
        <w:t xml:space="preserve">Y en la posterior sentencia de 15 de marzo de 2022, asunto </w:t>
      </w:r>
      <w:r w:rsidRPr="008D479B">
        <w:rPr>
          <w:i/>
        </w:rPr>
        <w:t>Grz</w:t>
      </w:r>
      <w:r>
        <w:t>ę</w:t>
      </w:r>
      <w:r w:rsidRPr="008D479B">
        <w:rPr>
          <w:i/>
        </w:rPr>
        <w:t>da c. Polonia</w:t>
      </w:r>
      <w:r>
        <w:t>, el Tribunal Europeo es más contundente en relación a la necesidad de respetar el Estado de Derecho y el principio de separación de poderes y salvaguardar la independencia de los consejos nacionales de justicia, señalando que el ejercicio efectivo del mandato atribuido a estos órganos —preservar la independencia del Poder Judicial— solo es posible cuando el consejo en cuestión es suficientemente independiente del Poder Ejecutivo y del Poder Legislativo (§ 304). Se vuelve de nuevo a subrayar el vínculo que existe entre la integridad del proceso de designación judicial y el requisito de la independencia judicial y hace extensibles estas salvaguardias a los supuestos de despido o remoción de jueces (§ 300-303 y 345), llegando a enfatizar la necesidad de proteger la autonomía del consejo judicial, en particular en materia de nombramientos judiciales, de la intrusión de los Poderes Legislativo y Ejecutivo, y como baluarte contra la influencia política sobre el Poder Judicial (§ 346). En este segundo pronunciamiento vuelve a concluir de nuevo que como consecuencia de la reforma llevada a cabo en Polonia, y otras que afectaban a la reorganización del Poder Judicial en dicho Estado, la judicatura había estado expuesta a la interferencia de los Poderes Ejecutivo y Legislativo y su independencia se había debilitado sustancialmente. En este supuesto habían quedado afectados los procedimientos disciplinarios contra jueces instruidos por un consejo respecto del cual se pone en tela de juicio su nivel de influencia del Poder Ejecutivo y del Poder Legislativo.</w:t>
      </w:r>
    </w:p>
    <w:p w14:paraId="02759B5C" w14:textId="77777777" w:rsidR="008D479B" w:rsidRDefault="008D479B" w:rsidP="008D479B">
      <w:pPr>
        <w:pStyle w:val="TextoNormal"/>
      </w:pPr>
    </w:p>
    <w:p w14:paraId="55422BDE" w14:textId="77777777" w:rsidR="008D479B" w:rsidRDefault="008D479B" w:rsidP="008D479B">
      <w:pPr>
        <w:pStyle w:val="TextoNormal"/>
      </w:pPr>
      <w:r>
        <w:t xml:space="preserve">Recientemente, el Tribunal Europeo en la sentencia de 22 de junio de 2023, asunto </w:t>
      </w:r>
      <w:r w:rsidRPr="008D479B">
        <w:rPr>
          <w:i/>
        </w:rPr>
        <w:t>Lorenzo Bragado y otros c. España</w:t>
      </w:r>
      <w:r>
        <w:t>, ha tenido ocasión de examinar la forma en la que se produce la renovación del Consejo General del Poder Judicial en España y ha enfatizado que se trata de “una institución de máxima importancia para el sistema judicial” (§ 105).</w:t>
      </w:r>
    </w:p>
    <w:p w14:paraId="350C9ECE" w14:textId="77777777" w:rsidR="008D479B" w:rsidRDefault="008D479B" w:rsidP="008D479B">
      <w:pPr>
        <w:pStyle w:val="TextoNormal"/>
      </w:pPr>
    </w:p>
    <w:p w14:paraId="30B538E3" w14:textId="77777777" w:rsidR="008D479B" w:rsidRDefault="008D479B" w:rsidP="008D479B">
      <w:pPr>
        <w:pStyle w:val="TextoNormal"/>
      </w:pPr>
      <w:r>
        <w:t>(ii) La Unión Europea por su parte ha abordado también la importante función que desempeñan los consejos nacionales de justicia al hilo de determinadas recomendaciones dirigidas a Estados miembros dentro del marco para reforzar el Estado de Derecho en la Unión Europea (Comunicación de la Comisión al Parlamento Europeo y al Consejo de 11 de marzo de 2014), en particular, en la Recomendación (UE) 2018/103 de la Comisión, de 20 de diciembre de 2017 [“Diario Oficial de la Unión Europea” (“DOUE”) L 17 de 23 de enero de 2018] y en la Recomendación (UE) 2017/1520 de la Comisión, de 26 de julio de 2017 (“DOUE” L 228, de 2 de septiembre de 2017), dirigidas a Polonia.</w:t>
      </w:r>
    </w:p>
    <w:p w14:paraId="408BE1D2" w14:textId="77777777" w:rsidR="008D479B" w:rsidRDefault="008D479B" w:rsidP="008D479B">
      <w:pPr>
        <w:pStyle w:val="TextoNormal"/>
      </w:pPr>
    </w:p>
    <w:p w14:paraId="16BF3EF5" w14:textId="77777777" w:rsidR="008D479B" w:rsidRDefault="008D479B" w:rsidP="008D479B">
      <w:pPr>
        <w:pStyle w:val="TextoNormal"/>
      </w:pPr>
      <w:r>
        <w:t>De las dos recomendaciones citadas se extraen una serie de criterios generales que son extrapolables a cualquier Estado, aunque no sea el destinatario de la recomendación, debiendo destacarse que cuando estas se refieren a los ascensos, traslados, procedimientos disciplinarios, cese y jubilación anticipada de los órganos judiciales del Poder Judicial, se explica que “en los Estados miembros en los que se ha establecido un consejo del poder judicial, su independencia es especialmente importante para evitar influencias indebidas por parte del Gobierno o del Parlamento sobre la independencia de los jueces” (Recomendación 2018/103, apartado 28; Recomendación 2017/1520, apartado 25), observando también que el debilitamiento de la independencia del consejo “contribuye a un debilitamiento de la independencia del poder judicial en su conjunto” (Recomendación 2018/103, apartado 34).</w:t>
      </w:r>
    </w:p>
    <w:p w14:paraId="24966400" w14:textId="77777777" w:rsidR="008D479B" w:rsidRDefault="008D479B" w:rsidP="008D479B">
      <w:pPr>
        <w:pStyle w:val="TextoNormal"/>
      </w:pPr>
    </w:p>
    <w:p w14:paraId="40F88FC9" w14:textId="77777777" w:rsidR="008D479B" w:rsidRDefault="008D479B" w:rsidP="008D479B">
      <w:pPr>
        <w:pStyle w:val="TextoNormal"/>
      </w:pPr>
      <w:r>
        <w:t>En estas recomendaciones se hace además referencia a los principios y recomendaciones aprobados por la Red de Consejos de Europa, que ha recogido determinados aspectos que inciden en el funcionamiento de la justicia y su independencia, y que identifica como funciones esenciales que entienden deberían estar asignadas a los consejos de justicia y que conciernen a la selección y promoción de jueces; a la formación de los jueces; a la inspección disciplinaria; a la tramitación de las quejas contra el Poder Judicial; a la gestión del rendimiento de los órganos jurisdiccionales; a la financiación del Poder Judicial; y a las propuestas de legislación relativas a la administración de justicia.</w:t>
      </w:r>
    </w:p>
    <w:p w14:paraId="0FF08D20" w14:textId="77777777" w:rsidR="008D479B" w:rsidRDefault="008D479B" w:rsidP="008D479B">
      <w:pPr>
        <w:pStyle w:val="TextoNormal"/>
      </w:pPr>
    </w:p>
    <w:p w14:paraId="3B2CEF65" w14:textId="77777777" w:rsidR="008D479B" w:rsidRDefault="008D479B" w:rsidP="008D479B">
      <w:pPr>
        <w:pStyle w:val="TextoNormal"/>
      </w:pPr>
      <w:r>
        <w:t>Finalmente, resulta esencial recordar el papel que la jurisprudencia del Tribunal de Justicia de la Unión Europea reconoce también a los consejos nacionales de justicia, dentro de las garantías que deben tener los procedimientos de selección y nombramiento de jueces o las decisiones por las que se decide la prórroga de sus mandatos.</w:t>
      </w:r>
    </w:p>
    <w:p w14:paraId="0C328B54" w14:textId="77777777" w:rsidR="008D479B" w:rsidRDefault="008D479B" w:rsidP="008D479B">
      <w:pPr>
        <w:pStyle w:val="TextoNormal"/>
      </w:pPr>
    </w:p>
    <w:p w14:paraId="5D1A5FD9" w14:textId="77777777" w:rsidR="008D479B" w:rsidRDefault="008D479B" w:rsidP="008D479B">
      <w:pPr>
        <w:pStyle w:val="TextoNormal"/>
      </w:pPr>
      <w:r>
        <w:t xml:space="preserve">En la sentencia </w:t>
      </w:r>
      <w:r w:rsidRPr="008D479B">
        <w:rPr>
          <w:i/>
        </w:rPr>
        <w:t>A.K</w:t>
      </w:r>
      <w:r>
        <w:t xml:space="preserve">., el Tribunal de Justicia apreció que “la intervención de un organismo como este, en el contexto de un proceso de nombramiento de los jueces, puede sin duda contribuir, en principio, a objetivar ese proceso”, añadiendo a renglón seguido que esto “[s]in embargo, solamente es así cuando dicho organismo disfruta él mismo de una independencia suficiente respecto de los poderes Legislativo y Ejecutivo y de la autoridad a la que debe remitir tal propuesta de nombramiento”, STJUE de 19 de noviembre de 2019, asuntos acumulados C-585/18, C-624/18 y C-625/18, </w:t>
      </w:r>
      <w:r w:rsidRPr="008D479B">
        <w:rPr>
          <w:i/>
        </w:rPr>
        <w:t>A.K</w:t>
      </w:r>
      <w:r>
        <w:t xml:space="preserve">., § 137 y 138, apreciación que confirma posteriormente la STJUE de 2 de marzo de 2021, asunto C-824/18, </w:t>
      </w:r>
      <w:r w:rsidRPr="008D479B">
        <w:rPr>
          <w:i/>
        </w:rPr>
        <w:t>A.B</w:t>
      </w:r>
      <w:r>
        <w:t xml:space="preserve">., § 125. Y como criterios relevantes para poder verificar si la independencia de este órgano se cumple, el Tribunal de Justicia atiende no solo a la forma en que son nombrados los integrantes de este órgano, sino también a “la manera en que dicho organismo da cumplimiento a su tarea constitucional de velar por la independencia de los jueces y tribunales y la forma en que ejerce sus diversas competencias, en particular si lo hace de modo que puedan suscitarse dudas en cuanto a su independencia con respecto a los poderes Legislativo y Ejecutivo” (SSTJUE </w:t>
      </w:r>
      <w:r w:rsidRPr="008D479B">
        <w:rPr>
          <w:i/>
        </w:rPr>
        <w:t>A.K</w:t>
      </w:r>
      <w:r>
        <w:t xml:space="preserve">., §144, y, en sentido similar, </w:t>
      </w:r>
      <w:r w:rsidRPr="008D479B">
        <w:rPr>
          <w:i/>
        </w:rPr>
        <w:t>A.B</w:t>
      </w:r>
      <w:r>
        <w:t xml:space="preserve">., § 131), elementos que le llevan a dudar de la independencia del Consejo Nacional de Polonia, a la luz de las recientes reformas a las que había sido sometido, por lo que en dichos pronunciamientos consideró que no se ofrecían garantías de independencia suficientes en el proceso de nombramiento de los jueces. Este criterio había sido también el que había aplicado el Tribunal de Justicia en la STJUE de 24 de junio de 2019, asunto C-619/18, </w:t>
      </w:r>
      <w:r w:rsidRPr="008D479B">
        <w:rPr>
          <w:i/>
        </w:rPr>
        <w:t>Comisión Europea c. Polonia</w:t>
      </w:r>
      <w:r>
        <w:t>, si bien en el contexto de un proceso de prórroga del ejercicio de la función jurisdiccional, una vez alcanzada la edad ordinaria de jubilación.</w:t>
      </w:r>
    </w:p>
    <w:p w14:paraId="2B5E9EC9" w14:textId="77777777" w:rsidR="008D479B" w:rsidRDefault="008D479B" w:rsidP="008D479B">
      <w:pPr>
        <w:pStyle w:val="TextoNormal"/>
      </w:pPr>
    </w:p>
    <w:p w14:paraId="6309ACD6" w14:textId="77777777" w:rsidR="008D479B" w:rsidRDefault="008D479B" w:rsidP="008D479B">
      <w:pPr>
        <w:pStyle w:val="TextoNormal"/>
      </w:pPr>
      <w:r>
        <w:t>d) En definitiva, la naturaleza del Consejo General del Poder Judicial que se deriva de nuestro texto constitucional está inexorablemente ligada a su función de salvaguarda de la independencia del Poder Judicial. Y es necesariamente con este prisma con el que debía haberse examinarse si la opción del legislador actual de reducir las competencias atribuidas al Consejo General del Poder Judicial, mientras está “en funciones”, puede reputarse respetuosa con el art. 122 CE y su naturaleza, en los términos antes expuestos, así como con los demás principios que derivan de nuestro texto constitucional.</w:t>
      </w:r>
    </w:p>
    <w:p w14:paraId="63968682" w14:textId="77777777" w:rsidR="008D479B" w:rsidRDefault="008D479B" w:rsidP="008D479B">
      <w:pPr>
        <w:pStyle w:val="TextoNormal"/>
      </w:pPr>
    </w:p>
    <w:p w14:paraId="380D897C" w14:textId="77777777" w:rsidR="008D479B" w:rsidRDefault="008D479B" w:rsidP="008D479B">
      <w:pPr>
        <w:pStyle w:val="TextoNormal"/>
      </w:pPr>
      <w:r>
        <w:t>No obstante, la sentencia de la que discrepamos ha prescindido totalmente de este examen, llegando al punto de minusvalorar la función de garantía de la independencia del Poder Judicial que le corresponde al Consejo. Así, únicamente se hace una mención a las garantías inherentes a la independencia individual de cada juez que es la que se predica “de todos y cada uno de los jueces en cuanto ejercen la función jurisdiccional”, para a continuación afirmar que “[e]n relación con esa independencia judicial, la Constitución atribuye al Consejo General del Poder Judicial una función de garante de la misma”; la función de garantizar la independencia del Poder Judicial que corresponde al Consejo no es una función más, sino que es la función que configura su esencia, y todas sus facultades están dirigidas a cumplir con ese papel de garante de la independencia no solo del juez individual, sino de todo el sistema judicial en su conjunto, dentro del respeto al principio constitucional de división de poderes, que es consustancial a nuestro Estado social y democrático de Derecho (art. 1.1 CE).</w:t>
      </w:r>
    </w:p>
    <w:p w14:paraId="56128FE3" w14:textId="77777777" w:rsidR="008D479B" w:rsidRDefault="008D479B" w:rsidP="008D479B">
      <w:pPr>
        <w:pStyle w:val="TextoNormal"/>
      </w:pPr>
    </w:p>
    <w:p w14:paraId="6C7A0980" w14:textId="77777777" w:rsidR="008D479B" w:rsidRDefault="008D479B" w:rsidP="008D479B">
      <w:pPr>
        <w:pStyle w:val="TextoNormal"/>
      </w:pPr>
      <w:r>
        <w:t xml:space="preserve">3. </w:t>
      </w:r>
      <w:r w:rsidRPr="008D479B">
        <w:rPr>
          <w:i/>
        </w:rPr>
        <w:t>La norma impugnada ha trasgredido los límites constitucionales impuestos al legislador orgánico</w:t>
      </w:r>
    </w:p>
    <w:p w14:paraId="37311D00" w14:textId="77777777" w:rsidR="008D479B" w:rsidRDefault="008D479B" w:rsidP="008D479B">
      <w:pPr>
        <w:pStyle w:val="TextoNormal"/>
      </w:pPr>
    </w:p>
    <w:p w14:paraId="0E1534A6" w14:textId="77777777" w:rsidR="008D479B" w:rsidRDefault="008D479B" w:rsidP="008D479B">
      <w:pPr>
        <w:pStyle w:val="TextoNormal"/>
      </w:pPr>
      <w:r>
        <w:t>La reforma llevada a cabo por la Ley Orgánica 4/2021, de 29 de marzo, y que la sentencia de la mayoría ahora avala, permite una flagrante desnaturalización del órgano de gobierno del Poder Judicial, reduciéndolo a un mero órgano de gestión administrativa, e impidiéndole así ejercer las funciones que tiene constitucionalmente atribuidas como garante de la independencia del Poder Judicial, de forma arbitraria y contradictoria con su naturaleza. A lo que se une que con tan drástica reducción de competencias queda afectado inevitablemente el funcionamiento de la administración de justicia, su independencia y, a la postre, el propio Estado de Derecho (arts. 1 y 117.1 CE).</w:t>
      </w:r>
    </w:p>
    <w:p w14:paraId="106785E8" w14:textId="77777777" w:rsidR="008D479B" w:rsidRDefault="008D479B" w:rsidP="008D479B">
      <w:pPr>
        <w:pStyle w:val="TextoNormal"/>
      </w:pPr>
    </w:p>
    <w:p w14:paraId="29031B4C" w14:textId="77777777" w:rsidR="008D479B" w:rsidRDefault="008D479B" w:rsidP="008D479B">
      <w:pPr>
        <w:pStyle w:val="TextoNormal"/>
      </w:pPr>
      <w:r>
        <w:t>a) En primer lugar, cabe apreciar que la Ley Orgánica 4/2021 no puede entenderse respetuosa con el art. 122 CE dado que se ha despojado al Consejo de sus funciones esenciales, es decir, de aquellas que tienen proyección externa e inciden en el funcionamiento de la administración de justicia, lo que produce una desnaturalización y una alteración esencial de la función que le atribuye la Constitución de garantizar la independencia del Poder Judicial.</w:t>
      </w:r>
    </w:p>
    <w:p w14:paraId="2F032D55" w14:textId="77777777" w:rsidR="008D479B" w:rsidRDefault="008D479B" w:rsidP="008D479B">
      <w:pPr>
        <w:pStyle w:val="TextoNormal"/>
      </w:pPr>
    </w:p>
    <w:p w14:paraId="26392B30" w14:textId="77777777" w:rsidR="008D479B" w:rsidRDefault="008D479B" w:rsidP="008D479B">
      <w:pPr>
        <w:pStyle w:val="TextoNormal"/>
      </w:pPr>
      <w:r>
        <w:t>(i) Las funciones que ya no puede desempeñar el Consejo atañen, en primer lugar, a aquellas que menciona expresamente el art. 122.2 CE relativas a “nombramientos, ascensos, inspección y régimen disciplinario” de los miembros del Poder Judicial. Así, durante este periodo, y en lo que se refiere a los nombramientos de los miembros del Poder Judicial, no puede proponer el nombramiento del presidente del Tribunal Supremo, de los presidentes de las Audiencias Provinciales, de los Tribunales Superiores de Justicia y de la Audiencia Nacional, de los presidentes de Sala y de magistrados del Tribunal Supremo (restricción a la que incluso alude el preámbulo de la norma); y no puede tampoco nombrar al vicepresidente del Tribunal Supremo. También queda afectado el ejercicio de la potestad disciplinaria judicial, ya que no puede determinar la carga de trabajo que cabe exigir, a efectos disciplinarios, al juez o magistrado y que le corresponde en exclusiva, ni nombrar al jefe de la inspección de tribunales o al promotor de la acción disciplinaria, siendo competencia de este último la recepción de quejas sobre el funcionamiento de los órganos judiciales, la recepción de denuncias, así como la iniciación e instrucción de expedientes disciplinarios y la presentación de los cargos ante la comisión disciplinaria (art. 605 LOPJ).</w:t>
      </w:r>
    </w:p>
    <w:p w14:paraId="34BAB8F6" w14:textId="77777777" w:rsidR="008D479B" w:rsidRDefault="008D479B" w:rsidP="008D479B">
      <w:pPr>
        <w:pStyle w:val="TextoNormal"/>
      </w:pPr>
    </w:p>
    <w:p w14:paraId="5BEEFE75" w14:textId="77777777" w:rsidR="008D479B" w:rsidRDefault="008D479B" w:rsidP="008D479B">
      <w:pPr>
        <w:pStyle w:val="TextoNormal"/>
      </w:pPr>
      <w:r>
        <w:t xml:space="preserve">Con estas limitaciones quedan afectadas sustancialmente las funciones que precisamente justifican la existencia del Consejo: por un lado, intervenir en la selección y nombramiento de jueces, como elemento necesario para garantizar la independencia de los órganos judiciales; y por otro lado, intervenir en el ejercicio de la potestad disciplinaria judicial, con la finalidad de evitar que se convierta en “instrumento de presión sobre la actividad judicial o de control político de dicha actividad” (pueden verse en sentido similar, respecto a la necesidad de que haya órganos independientes en el ejercicio de la función disciplinaria, las SSTJUE de 11 de mayo de 2023, asunto C-817/21, </w:t>
      </w:r>
      <w:r w:rsidRPr="008D479B">
        <w:rPr>
          <w:i/>
        </w:rPr>
        <w:t>R.I., c. Inspecţia Judiciară</w:t>
      </w:r>
      <w:r>
        <w:t>, § 50, y de 18 de mayo de 2021, asuntos acumulados C 83/19, C 127/19, C 195/19, C 291/19, C 355/19 y C 397/19</w:t>
      </w:r>
      <w:r w:rsidRPr="008D479B">
        <w:rPr>
          <w:i/>
        </w:rPr>
        <w:t>, Asociaţia “Forumul Judecătorilor din România” y otr</w:t>
      </w:r>
      <w:r>
        <w:t>os, § 198 y 200).</w:t>
      </w:r>
    </w:p>
    <w:p w14:paraId="1BA6F4F3" w14:textId="77777777" w:rsidR="008D479B" w:rsidRDefault="008D479B" w:rsidP="008D479B">
      <w:pPr>
        <w:pStyle w:val="TextoNormal"/>
      </w:pPr>
    </w:p>
    <w:p w14:paraId="5B2D9438" w14:textId="77777777" w:rsidR="008D479B" w:rsidRDefault="008D479B" w:rsidP="008D479B">
      <w:pPr>
        <w:pStyle w:val="TextoNormal"/>
      </w:pPr>
      <w:r>
        <w:t>Más allá de privarle de las funciones mínimas que le encomienda la Constitución, también se produce el despojamiento de otras atribuciones que el legislador orgánico consideró necesario atribuir al Consejo para garantizar el normal funcionamiento del Poder Judicial, y que los recurrentes identifican pormenorizadamente en la demanda, como las relativas a la adopción de las decisiones en materia de gobierno de los tribunales y la resolución de recursos de alzada en este ámbito y la prohibición de asesorar a los jueces sobre conflictos de intereses o de ejercer la potestad reglamentaria en ámbitos trascendentales. En materia de publicación de sentencias no puede tampoco proceder a la regulación del Centro de Documentación Judicial ni nombrar al director ni al personal de este último.</w:t>
      </w:r>
    </w:p>
    <w:p w14:paraId="46428640" w14:textId="77777777" w:rsidR="008D479B" w:rsidRDefault="008D479B" w:rsidP="008D479B">
      <w:pPr>
        <w:pStyle w:val="TextoNormal"/>
      </w:pPr>
    </w:p>
    <w:p w14:paraId="216EDC22" w14:textId="77777777" w:rsidR="008D479B" w:rsidRDefault="008D479B" w:rsidP="008D479B">
      <w:pPr>
        <w:pStyle w:val="TextoNormal"/>
      </w:pPr>
      <w:r>
        <w:t>Con relación a estas últimas restricciones cabe recordar que el Consejo es también el órgano de gobierno del Poder Judicial. Hay otros órganos de gobierno del Poder Judicial, como son las salas de gobierno de los tribunales colegiados, las juntas de jueces y los decanatos, pero el Consejo es el último responsable del buen funcionamiento del Poder Judicial porque, como consecuencia, es el que asume la responsabilidad de que cada uno de los órganos que integran ese poder funcione correctamente. De ahí la necesidad, entre otras cosas, de que pueda resolver en alzada los recursos que se interpongan contra los acuerdos de aquellos</w:t>
      </w:r>
    </w:p>
    <w:p w14:paraId="5498FAF4" w14:textId="77777777" w:rsidR="008D479B" w:rsidRDefault="008D479B" w:rsidP="008D479B">
      <w:pPr>
        <w:pStyle w:val="TextoNormal"/>
      </w:pPr>
    </w:p>
    <w:p w14:paraId="69F74FB1" w14:textId="77777777" w:rsidR="008D479B" w:rsidRDefault="008D479B" w:rsidP="008D479B">
      <w:pPr>
        <w:pStyle w:val="TextoNormal"/>
      </w:pPr>
      <w:r>
        <w:t>En definitiva, durante el tiempo que esté el Consejo “en funciones” queda privado, por un lado, de sus funciones más esenciales recogidas en la Constitución, por lo que su naturaleza constitucional queda inevitablemente afectada, al no poder ejercer las competencias que le encomienda el texto constitucional y que justifican su existencia; y, por otro lado, también queda privado de otras atribuciones que están íntimamente ligadas a este núcleo y que coadyuvan a garantizar el normal funcionamiento de la administración de justicia.</w:t>
      </w:r>
    </w:p>
    <w:p w14:paraId="0ECBE7F4" w14:textId="77777777" w:rsidR="008D479B" w:rsidRDefault="008D479B" w:rsidP="008D479B">
      <w:pPr>
        <w:pStyle w:val="TextoNormal"/>
      </w:pPr>
    </w:p>
    <w:p w14:paraId="507FDB5F" w14:textId="77777777" w:rsidR="008D479B" w:rsidRDefault="008D479B" w:rsidP="008D479B">
      <w:pPr>
        <w:pStyle w:val="TextoNormal"/>
      </w:pPr>
      <w:r>
        <w:t xml:space="preserve">Como ya hemos advertido, cabe pensar en la existencia de un Consejo en funciones, que puede actuar de forma distinta a como lo haría un Consejo con vocales cuyo mandato no haya expirado, pero no puede llegarse hasta el extremo de desvirtuar la naturaleza propia de este órgano, que debe seguir desempeñando las funciones básicas que se le atribuyen en el art. 122 CE en relación con el funcionamiento del Poder Judicial, pues de lo contrario se frustraría durante un periodo determinado de tiempo, ya sea corto o ya sea largo, la función que le ha sido asignada por el constituyente, ejercer la salvaguarda de la independencia de dicho Poder del Estado. En este sentido, el </w:t>
      </w:r>
      <w:r w:rsidRPr="008D479B">
        <w:rPr>
          <w:i/>
        </w:rPr>
        <w:t>nomen</w:t>
      </w:r>
      <w:r>
        <w:t xml:space="preserve"> que se le quiera dar al Consejo en esta situación de anormalidad no resulta determinante, lo relevante es que no se prive al órgano de gobierno del Poder Judicial del ejercicio de las funciones que le asigna la Constitución en garantía de la independencia judicial.</w:t>
      </w:r>
    </w:p>
    <w:p w14:paraId="75925306" w14:textId="77777777" w:rsidR="008D479B" w:rsidRDefault="008D479B" w:rsidP="008D479B">
      <w:pPr>
        <w:pStyle w:val="TextoNormal"/>
      </w:pPr>
    </w:p>
    <w:p w14:paraId="656482F5" w14:textId="77777777" w:rsidR="008D479B" w:rsidRDefault="008D479B" w:rsidP="008D479B">
      <w:pPr>
        <w:pStyle w:val="TextoNormal"/>
      </w:pPr>
      <w:r>
        <w:t>(ii) Las razones que han llevado al legislador a aprobar esta reforma del Consejo, y que la sentencia de la mayoría ahora avala, no legitiman en modo alguno esta reducción competencial.</w:t>
      </w:r>
    </w:p>
    <w:p w14:paraId="266F86C3" w14:textId="77777777" w:rsidR="008D479B" w:rsidRDefault="008D479B" w:rsidP="008D479B">
      <w:pPr>
        <w:pStyle w:val="TextoNormal"/>
      </w:pPr>
    </w:p>
    <w:p w14:paraId="1E1064EF" w14:textId="77777777" w:rsidR="008D479B" w:rsidRDefault="008D479B" w:rsidP="008D479B">
      <w:pPr>
        <w:pStyle w:val="TextoNormal"/>
      </w:pPr>
      <w:r>
        <w:t>La sentencia de la que discrepamos respalda en un primer momento la finalidad perseguida por la norma de constituir, en los supuestos en los que la renovación del Consejo General del Poder Judicial no se produzca de manera inmediata a la finalización de su mandato, un medio para “favorecer su renovación”. Y posteriormente llega a afirmar que “ante la situación de prórroga, la suspensión de determinadas funciones del Consejo actúa como garantía de la independencia del propio Consejo frente a las Cámaras, puesto que privan a estas del interés que podrían llegar a tener en mantener en activo al Consejo cesante, para que este continuara ejerciendo unas funciones de nombramiento con enorme peso en la designación de jueces y magistrados en determinados puestos, y con un elevado nivel de discrecionalidad en el ejercicio de esas funciones”.</w:t>
      </w:r>
    </w:p>
    <w:p w14:paraId="02B7947B" w14:textId="77777777" w:rsidR="008D479B" w:rsidRDefault="008D479B" w:rsidP="008D479B">
      <w:pPr>
        <w:pStyle w:val="TextoNormal"/>
      </w:pPr>
    </w:p>
    <w:p w14:paraId="7099EA58" w14:textId="77777777" w:rsidR="008D479B" w:rsidRDefault="008D479B" w:rsidP="008D479B">
      <w:pPr>
        <w:pStyle w:val="TextoNormal"/>
      </w:pPr>
      <w:r>
        <w:t xml:space="preserve">Este aval constitucional entra en una contradicción directa con el hecho de que la renovación del Consejo por las Cámaras comporta para estas, como ya apreció la STC 191/2016, FJ 8, un “genuino poder-deber”, esto es, un “deber </w:t>
      </w:r>
      <w:r w:rsidRPr="008D479B">
        <w:rPr>
          <w:i/>
        </w:rPr>
        <w:t>ex constitutione</w:t>
      </w:r>
      <w:r>
        <w:t>” que como tal resulta incoercible. Cabe recordar que cuando la Ley Orgánica 4/2013, de 28 de junio, reguló la posibilidad de que, cumplido el mandato de designación de los vocales, el Consejo actuase con los vocales designados por una de las Cámaras, completándose con los vocales que en su momento hubiera designado la Cámara que no cumple con el nombramiento, esta modificación no se justificó en la necesidad de compeler al Congreso de los Diputados y al Senado para que proveyesen en tiempo a la designación que les cumple sino, como el propio preámbulo de dicha ley orgánica dejó constancia, se justificó en la necesidad de eliminar situaciones de bloqueo en la constitución del Consejo General del Poder Judicial, de modo que se facilitaba que este pudiese seguir ejerciendo aquellas funciones que, como venimos explicando, le ha atribuido el art. 122 CE.</w:t>
      </w:r>
    </w:p>
    <w:p w14:paraId="74AE1D95" w14:textId="77777777" w:rsidR="008D479B" w:rsidRDefault="008D479B" w:rsidP="008D479B">
      <w:pPr>
        <w:pStyle w:val="TextoNormal"/>
      </w:pPr>
    </w:p>
    <w:p w14:paraId="7CAFA0D6" w14:textId="77777777" w:rsidR="008D479B" w:rsidRDefault="008D479B" w:rsidP="008D479B">
      <w:pPr>
        <w:pStyle w:val="TextoNormal"/>
      </w:pPr>
      <w:r>
        <w:t xml:space="preserve">Además, no puede obviarse que la reforma que ahora nos ocupa, como explica la sentencia de la mayoría al desestimar las infracciones constitucionales de naturaleza procedimental alegadas por los aquí recurrentes, tiene su origen en una proposición de ley presentada por los grupos parlamentarios, es decir, la iniciativa es del propio Poder Legislativo. Es constitucionalmente inadmisible, pero así ha ocurrido, que las Cámaras puedan aprobar una norma para compelerse a sí mismas a cumplir con un deber que les corresponde cumplir </w:t>
      </w:r>
      <w:r w:rsidRPr="008D479B">
        <w:rPr>
          <w:i/>
        </w:rPr>
        <w:t>ex constitutione</w:t>
      </w:r>
      <w:r>
        <w:t xml:space="preserve"> o, como llega a afirmar la sentencia de la mayoría, como garantía de la independencia del Consejo frente a las propias Cámaras.</w:t>
      </w:r>
    </w:p>
    <w:p w14:paraId="1A23825A" w14:textId="77777777" w:rsidR="008D479B" w:rsidRDefault="008D479B" w:rsidP="008D479B">
      <w:pPr>
        <w:pStyle w:val="TextoNormal"/>
      </w:pPr>
    </w:p>
    <w:p w14:paraId="115EBE3F" w14:textId="77777777" w:rsidR="008D479B" w:rsidRDefault="008D479B" w:rsidP="008D479B">
      <w:pPr>
        <w:pStyle w:val="TextoNormal"/>
      </w:pPr>
      <w:r>
        <w:t xml:space="preserve">Respecto a esta última afirmación cabe además apreciar que la necesidad de garantizar la independencia del Consejo frente al Poder Legislativo no aparece entre las finalidades que la norma dice perseguir, siendo por lo tanto una justificación que la sentencia de la mayoría crea </w:t>
      </w:r>
      <w:r w:rsidRPr="008D479B">
        <w:rPr>
          <w:i/>
        </w:rPr>
        <w:t>ex novo</w:t>
      </w:r>
      <w:r>
        <w:t>. La Constitución ya ha configurado al Consejo como un órgano autónomo e independiente de los demás Poderes del Estado, y lo que le corresponde al Poder Legislativo es respetar y cumplir con los mecanismos ya establecidos por la Constitución, que son los que garantizan la protección de la autonomía del Consejo General del Poder Judicial, entre los que se encuentra la obligación de permitir que el Consejo cumpla con el papel que le ha sido asignado por la Constitución en defensa de la independencia judicial, también en el supuesto de que los vocales que integran el Consejo hayan sido nombrados por una mayoría distinta de la que actualmente conforma las Cámaras.</w:t>
      </w:r>
    </w:p>
    <w:p w14:paraId="12F345CA" w14:textId="77777777" w:rsidR="008D479B" w:rsidRDefault="008D479B" w:rsidP="008D479B">
      <w:pPr>
        <w:pStyle w:val="TextoNormal"/>
      </w:pPr>
    </w:p>
    <w:p w14:paraId="5335C4C9" w14:textId="77777777" w:rsidR="008D479B" w:rsidRDefault="008D479B" w:rsidP="008D479B">
      <w:pPr>
        <w:pStyle w:val="TextoNormal"/>
      </w:pPr>
      <w:r>
        <w:t>A lo que debe añadirse que en realidad se produce el efecto contrario a dicha supuesta garantía que defiende la sentencia de la que discrepamos, dado que el normal funcionamiento de un órgano constitucional, y también de la propia administración de justicia, queda ahora supeditado a la mera voluntad del Poder Legislativo de renovar a los vocales del Consejo, vinculación que quiebra la posición autónoma y no subordinada que el constituyente le garantizó frente a los demás poderes públicos, incluido el Legislativo.</w:t>
      </w:r>
    </w:p>
    <w:p w14:paraId="1F45316C" w14:textId="77777777" w:rsidR="008D479B" w:rsidRDefault="008D479B" w:rsidP="008D479B">
      <w:pPr>
        <w:pStyle w:val="TextoNormal"/>
      </w:pPr>
    </w:p>
    <w:p w14:paraId="431121B2" w14:textId="77777777" w:rsidR="008D479B" w:rsidRDefault="008D479B" w:rsidP="008D479B">
      <w:pPr>
        <w:pStyle w:val="TextoNormal"/>
      </w:pPr>
      <w:r>
        <w:t>En definitiva, lo que hace la sentencia es dar por válido el proceder del Poder Legislativo en la ley impugnada que, exculpándose del incumplimiento de su deber constitucional (de renovar el Consejo), castiga al Consejo General del Poder Judicial, a quien no es imputable ese incumplimiento, con la privación de sus funciones consustanciales. Siendo igualmente notorio que, si el propósito de la reforma legislativa era “favorecer la renovación” del órgano constitucional de gobierno de los jueces, la impotencia de tal designio ha quedado suficientemente de manifiesto por el transcurso del tiempo, pues a la fecha de dictarse la presente sentencia persiste esa situación de “anomalía institucional” consistente en la prolongada demora en la renovación del Consejo.</w:t>
      </w:r>
    </w:p>
    <w:p w14:paraId="440FF373" w14:textId="77777777" w:rsidR="008D479B" w:rsidRDefault="008D479B" w:rsidP="008D479B">
      <w:pPr>
        <w:pStyle w:val="TextoNormal"/>
      </w:pPr>
    </w:p>
    <w:p w14:paraId="1C799C25" w14:textId="77777777" w:rsidR="008D479B" w:rsidRDefault="008D479B" w:rsidP="008D479B">
      <w:pPr>
        <w:pStyle w:val="TextoNormal"/>
      </w:pPr>
      <w:r>
        <w:t>(iii) Finalmente, tampoco cabe justificar la reducción competencial por referencia a lo que ocurre con el Poder Ejecutivo, respecto del cual la Constitución sí ha previsto en su art. 101.2 que esté en funciones hasta la toma de posesión del nuevo Gobierno; ni respecto de las Cortes Generales, las cuales además no están propiamente en funciones dado que estas se disuelven y cuentan con un órgano, la Diputación Permanente, también prevista expresamente por la Constitución en su art. 78, cuya función es “velar por los poderes de las Cámaras cuando estas no estén reunidas”. Las competencias que corresponden al Consejo no pueden asimilarse a las que desempeñan ninguno de estos dos poderes, siendo el Consejo General del Poder Judicial un órgano que, como ya hemos visto, desempeña una función de garantía de la independencia del Poder Judicial, por lo que no pertenece al ámbito de lo político, y tampoco comparte la naturaleza representativa de la que gozan las Cortes Generales (art. 66.1 CE).</w:t>
      </w:r>
    </w:p>
    <w:p w14:paraId="30132F5E" w14:textId="77777777" w:rsidR="008D479B" w:rsidRDefault="008D479B" w:rsidP="008D479B">
      <w:pPr>
        <w:pStyle w:val="TextoNormal"/>
      </w:pPr>
    </w:p>
    <w:p w14:paraId="2C2B95D7" w14:textId="77777777" w:rsidR="008D479B" w:rsidRDefault="008D479B" w:rsidP="008D479B">
      <w:pPr>
        <w:pStyle w:val="TextoNormal"/>
      </w:pPr>
      <w:r>
        <w:t>Por ello, frente a lo que se afirma en la sentencia, no son más legítimas las decisiones que adopte un nuevo Consejo General del Poder Judicial renovado que las decisiones que pueda adoptar un Consejo General del Poder Judicial que esté “en funciones”; el Consejo no tiene que aportar, en contra de lo que también defendió el preámbulo de la norma, “legitimidad democrática” al Poder Judicial, pues esa no es su función.</w:t>
      </w:r>
    </w:p>
    <w:p w14:paraId="2E1364D5" w14:textId="77777777" w:rsidR="008D479B" w:rsidRDefault="008D479B" w:rsidP="008D479B">
      <w:pPr>
        <w:pStyle w:val="TextoNormal"/>
      </w:pPr>
    </w:p>
    <w:p w14:paraId="20AA7F7B" w14:textId="77777777" w:rsidR="008D479B" w:rsidRDefault="008D479B" w:rsidP="008D479B">
      <w:pPr>
        <w:pStyle w:val="TextoNormal"/>
      </w:pPr>
      <w:r>
        <w:t xml:space="preserve">La sentencia de la que discrepamos intenta justificar esta reducción competencial argumentando que las funciones que el art. 122.2 CE atribuye al Consejo General del Poder Judicial “están vinculadas al normal desenvolvimiento del Consejo dentro del mandato constitucional de cinco años </w:t>
      </w:r>
      <w:r w:rsidRPr="008D479B">
        <w:rPr>
          <w:i/>
        </w:rPr>
        <w:t>ex</w:t>
      </w:r>
      <w:r>
        <w:t xml:space="preserve"> art. 122.3 CE” y que no se puede “compromet[er] la capacidad de decisión futura del gobierno del Poder Judicial, allí donde las decisiones a adoptar tengan un alto grado de discrecionalidad y un bajo contenido de mera gestión administrativa”. Se llega así a afirmar también que “[e]l fin último de la regulación del Consejo General del Poder Judicial en funciones no es otro que asegurar que todas las atribuciones ordinarias del Consejo sean ejercidas en su plenitud por aquellos a los que les corresponde dentro del mandato constitucional de cinco años”.</w:t>
      </w:r>
    </w:p>
    <w:p w14:paraId="5DFD45D0" w14:textId="77777777" w:rsidR="008D479B" w:rsidRDefault="008D479B" w:rsidP="008D479B">
      <w:pPr>
        <w:pStyle w:val="TextoNormal"/>
      </w:pPr>
    </w:p>
    <w:p w14:paraId="303CBD8F" w14:textId="77777777" w:rsidR="008D479B" w:rsidRDefault="008D479B" w:rsidP="008D479B">
      <w:pPr>
        <w:pStyle w:val="TextoNormal"/>
      </w:pPr>
      <w:r>
        <w:t xml:space="preserve">No es posible en modo alguno compartir dicha justificación porque no es cierto que las funciones que el art. 122.2 CE atribuye al Consejo General del Poder Judicial “están vinculadas al normal desenvolvimiento del Consejo dentro del mandato constitucional de cinco años </w:t>
      </w:r>
      <w:r w:rsidRPr="008D479B">
        <w:rPr>
          <w:i/>
        </w:rPr>
        <w:t>ex</w:t>
      </w:r>
      <w:r>
        <w:t xml:space="preserve"> art. 122.3 CE”. La Constitución ordena que la renovación del Consejo se produzca cada cinco años, sin lugar a duda (art. 122.3 CE), pero el incumplimiento por parte de las Cortes Generales de ese deber constitucional no habilita al legislador orgánico para desposeer al Consejo de sus funciones consustanciales como órgano de gobierno del Poder Judicial; funciones que la propia Constitución le atribuye en su art. 122.2. Por el contrario, el recto entendimiento de la posición constitucional que el Consejo ocupa no puede llevar sino a la conclusión de que ha de seguir ejerciendo en plenitud, una vez cumplido el periodo de mandato de sus vocales, las funciones que, como órgano constitucional, tiene atribuidas y que son esenciales para preservar la independencia judicial, en particular aquellas que la propia Constitución le reserva “en materia de nombramientos, ascensos, inspección y régimen disciplinario” de jueces y magistrados (art. 122.2). La independencia del Poder Judicial se tiene que garantizar continuamente y no de forma intermitente, y el Consejo tiene que poder desenvolverse normalmente en el ejercicio de las funciones encomendadas por la Constitución siempre, estén sus vocales dentro o no del mandato de cinco años.</w:t>
      </w:r>
    </w:p>
    <w:p w14:paraId="47AA23D2" w14:textId="77777777" w:rsidR="008D479B" w:rsidRDefault="008D479B" w:rsidP="008D479B">
      <w:pPr>
        <w:pStyle w:val="TextoNormal"/>
      </w:pPr>
    </w:p>
    <w:p w14:paraId="1097C0AD" w14:textId="77777777" w:rsidR="008D479B" w:rsidRDefault="008D479B" w:rsidP="008D479B">
      <w:pPr>
        <w:pStyle w:val="TextoNormal"/>
      </w:pPr>
      <w:r>
        <w:t>En definitiva, si bien no existe duda de que un Consejo sin renovarse, una vez superado el plazo máximo de mandato, es una anomalía, no por ello cabe desnaturalizar al órgano de gobierno del Poder Judicial, con una afectación de la independencia del Poder Judicial, bajo el argumento de que carece de legitimidad. Se presupone que los vocales que componen el órgano, para cumplir su función, deben ser designados sin criterios partidistas, de modo que, aun siendo, insistimos, una anomalía no querida por el texto constitucional, ello no conlleva la falta de legitimidad del órgano de gobierno para cumplir con sus funciones esenciales.</w:t>
      </w:r>
    </w:p>
    <w:p w14:paraId="061A270F" w14:textId="77777777" w:rsidR="008D479B" w:rsidRDefault="008D479B" w:rsidP="008D479B">
      <w:pPr>
        <w:pStyle w:val="TextoNormal"/>
      </w:pPr>
    </w:p>
    <w:p w14:paraId="7AC97CD7" w14:textId="77777777" w:rsidR="008D479B" w:rsidRDefault="008D479B" w:rsidP="008D479B">
      <w:pPr>
        <w:pStyle w:val="TextoNormal"/>
      </w:pPr>
      <w:r>
        <w:t>b) En segundo lugar, e intrínsecamente relacionado con la alteración de la naturaleza del Consejo, ocurre que con tan drástica reducción de competencias queda afectado inevitablemente el funcionamiento de la administración de justicia, su independencia y, a la postre, el propio Estado de Derecho (arts. 1 y 117.1 CE).</w:t>
      </w:r>
    </w:p>
    <w:p w14:paraId="5A754066" w14:textId="77777777" w:rsidR="008D479B" w:rsidRDefault="008D479B" w:rsidP="008D479B">
      <w:pPr>
        <w:pStyle w:val="TextoNormal"/>
      </w:pPr>
    </w:p>
    <w:p w14:paraId="25B73BAC" w14:textId="77777777" w:rsidR="008D479B" w:rsidRDefault="008D479B" w:rsidP="008D479B">
      <w:pPr>
        <w:pStyle w:val="TextoNormal"/>
      </w:pPr>
      <w:r>
        <w:t>La sentencia de la que discrepamos no ha examinado los efectos que dicha reducción de funciones conlleva en el funcionamiento de la administración de justicia y en la independencia del Poder Judicial, más allá de advertir que “se ha de subrayar que las funciones que se encomiendan al Consejo General del Poder Judicial en funciones no se atribuyen a ningún otro poder”; o de afirmar, de forma lacónica y sin ninguna explicación, que la reforma “no puede ser considerada atentatoria de la independencia judicial, ni tachada de regresiva”.</w:t>
      </w:r>
    </w:p>
    <w:p w14:paraId="183D23A5" w14:textId="77777777" w:rsidR="008D479B" w:rsidRDefault="008D479B" w:rsidP="008D479B">
      <w:pPr>
        <w:pStyle w:val="TextoNormal"/>
      </w:pPr>
    </w:p>
    <w:p w14:paraId="2D458B82" w14:textId="77777777" w:rsidR="008D479B" w:rsidRDefault="008D479B" w:rsidP="008D479B">
      <w:pPr>
        <w:pStyle w:val="TextoNormal"/>
      </w:pPr>
      <w:r>
        <w:t>(i) Es cierto que estas funciones de las que se priva al Consejo no se atribuyen, como señala la sentencia, ni al Poder Ejecutivo ni al Poder Legislativo, pero sus consecuencias en el funcionamiento de la administración de justicia y en la independencia de este otro poder son igualmente gravosas. El hecho de que mientras el Consejo está en funciones no pueda llevar a cabo el nombramiento del presidente del Tribunal Supremo, de los presidentes de las Audiencias Provinciales, de los presidentes de Sala y los magistrados del Tribunal Supremo supone, sin duda, una alteración del funcionamiento normal que cabe esperar de los citados órganos judiciales y, en particular, del órgano jurisdiccional superior en todos los órdenes (art. 123 CE), el Tribunal Supremo.</w:t>
      </w:r>
    </w:p>
    <w:p w14:paraId="5A3B06A2" w14:textId="77777777" w:rsidR="008D479B" w:rsidRDefault="008D479B" w:rsidP="008D479B">
      <w:pPr>
        <w:pStyle w:val="TextoNormal"/>
      </w:pPr>
    </w:p>
    <w:p w14:paraId="08441935" w14:textId="77777777" w:rsidR="008D479B" w:rsidRDefault="008D479B" w:rsidP="008D479B">
      <w:pPr>
        <w:pStyle w:val="TextoNormal"/>
      </w:pPr>
      <w:r>
        <w:t>Las consecuencias de esta restricción conllevan, por ejemplo, que en esta situación no se cubren las vacantes que se van produciendo en aquel Alto Tribunal, lo cual repercute de forma directa en su funcionamiento ordinario al haber generado una dificultad creciente para la constitución de sus Salas y Secciones en orden a la resolución de todos los asuntos que tiene encomendados. Un atasco generalizado provocado por la norma aquí impugnada, que no solo ha dejado a dicho órgano judicial en una situación de precariedad de medios humanos, sino que desde luego tampoco contribuye al ejercicio de los derechos fundamentales a un proceso sin dilaciones indebidas y a una tutela judicial efectiva (art. 24 CE).</w:t>
      </w:r>
    </w:p>
    <w:p w14:paraId="6F17D3A5" w14:textId="77777777" w:rsidR="008D479B" w:rsidRDefault="008D479B" w:rsidP="008D479B">
      <w:pPr>
        <w:pStyle w:val="TextoNormal"/>
      </w:pPr>
    </w:p>
    <w:p w14:paraId="73C596A6" w14:textId="77777777" w:rsidR="008D479B" w:rsidRDefault="008D479B" w:rsidP="008D479B">
      <w:pPr>
        <w:pStyle w:val="TextoNormal"/>
      </w:pPr>
      <w:r>
        <w:t xml:space="preserve">No en vano ha venido a reconocerlo así, aunque sea solo en parte, el propio legislador orgánico, cuando para asegurar la pronta renovación del Tribunal Constitucional ha dictado la Ley Orgánica 8/2022, de 27 de julio, para restituirle al Consejo General del Poder Judicial “en funciones”, no todas las competencias de nombramiento que la Ley Orgánica recurrida le sustrajo, sino únicamente la de designar a dos magistrados de este tribunal (con reforma para ello del nuevo art. 570 </w:t>
      </w:r>
      <w:r w:rsidRPr="008D479B">
        <w:rPr>
          <w:i/>
        </w:rPr>
        <w:t>bis</w:t>
      </w:r>
      <w:r>
        <w:t xml:space="preserve"> LOPJ). Aunque en este supuesto de “devolución” de funciones no puede pasar desapercibido que la renovación parcial de este tribunal que estaba pendiente en ese momento correspondía al tercio compuesto por dos magistrados nombrados a propuesta del Gobierno y otros dos magistrados nombrados a propuesta del Consejo General del Poder Judicial (arts. 159.1 CE y 16.1 LOTC), por lo que era necesario que el Consejo designase los dos magistrados que le correspondían, simplemente para que el Gobierno pudiera a su vez designar los dos suyos.</w:t>
      </w:r>
    </w:p>
    <w:p w14:paraId="43743C0B" w14:textId="77777777" w:rsidR="008D479B" w:rsidRDefault="008D479B" w:rsidP="008D479B">
      <w:pPr>
        <w:pStyle w:val="TextoNormal"/>
      </w:pPr>
    </w:p>
    <w:p w14:paraId="140FAFB6" w14:textId="77777777" w:rsidR="008D479B" w:rsidRDefault="008D479B" w:rsidP="008D479B">
      <w:pPr>
        <w:pStyle w:val="TextoNormal"/>
      </w:pPr>
      <w:r>
        <w:t>La sentencia de la mayoría, al recordar la doctrina constitucional sobre el ejercicio por el legislador orgánico de su potestad normativa de desarrollo constitucional, se apoya en la STC 238/2012, de 13 de diciembre, para defender su correspondiente margen de configuración en lo que denomina “la competencia de nombramientos atribuida al Consejo General del Poder Judicial”. No obstante, en la STC 238/2012 este tribunal no legitimó la posibilidad de suprimir la competencia de nombramientos del órgano de gobierno de los jueces ni, más especialmente, la posibilidad de proveer plazas de nombramiento discrecional en los órganos judiciales. En dicho pronunciamiento lo que se examinaba era una cuestión distinta, dado que la reforma cuya inconstitucionalidad se denunciaba lo que había hecho era modificar el sistema de mayorías para la adopción de determinados acuerdos por el Pleno del Consejo General del Poder Judicial, lo cual no supone suprimir una función atribuida por el constituyente a un órgano constitucional, ni produce ninguna alteración en el funcionamiento de la administración de justicia. Es más, en la STC 238/2012 este tribunal confirmó “la vinculación triangular entre Consejo General del Poder Judicial, nombramientos e independencia judicial”, que ya dejó sentada la STC 108/1986, porque “el Consejo, en lo que a su competencia sobre nombramientos se trataba, garantizaba la independencia del Poder Judicial respecto del Poder Ejecutivo” (FJ 8).</w:t>
      </w:r>
    </w:p>
    <w:p w14:paraId="4DA0EF33" w14:textId="77777777" w:rsidR="008D479B" w:rsidRDefault="008D479B" w:rsidP="008D479B">
      <w:pPr>
        <w:pStyle w:val="TextoNormal"/>
      </w:pPr>
    </w:p>
    <w:p w14:paraId="1FB05FD1" w14:textId="77777777" w:rsidR="008D479B" w:rsidRDefault="008D479B" w:rsidP="008D479B">
      <w:pPr>
        <w:pStyle w:val="TextoNormal"/>
      </w:pPr>
      <w:r>
        <w:t>Esta limitación que impide ahora al Consejo General del Poder Judicial realizar determinados nombramientos cuando está en funciones es incompatible con los postulados que se derivan del principio de separación de poderes consustancial al Estado de Derecho. Este tribunal recordó en su STC 70/2022, de 2 de junio, FJ 5, que la Constitución “establece un sistema de relaciones entre órganos constitucionales dotados de competencias propias (SSTC 45/1986, FJ 4, y 234/2000, FJ 4), un sistema de distribución de poderes que evita su concentración y hace posible la aplicación de las técnicas de relación y control entre quienes lo ejercen legítimamente (ATC 60/1981, de 17 de junio, FJ 4). En definitiva, un entramado institucional y normativo, de cuyo concreto funcionamiento resulta un sistema de poderes, derechos y equilibrios sobre el que toma cuerpo una variable del modelo democrático que es la que propiamente la Constitución asume al constituir a España en un Estado social y democrático de Derecho (art. 1.1 CE; STC 48/2003, de 12 de marzo, FJ 7). Esta distribución o equilibrio de poderes que, como hemos adelantado, responde a la forma parlamentaria de Gobierno (art. 1.3 CE), y más específicamente, a lo que se ha dado en denominar ‘parlamentarismo racionalizado’ (STC 223/2006, de 6 de julio, FJ 6), la realiza la Constitución en sus títulos III, ‘De las Cortes Generales’, y IV, ‘Del Gobierno’, definiendo, a su vez, el título V, las relaciones entre el Gobierno y las Cortes Generales, que vienen a establecer el sistema de frenos y contrapesos en que consiste la democracia (STC 176/1995, de 11 de diciembre, FJ 2)”.</w:t>
      </w:r>
    </w:p>
    <w:p w14:paraId="7BA3A704" w14:textId="77777777" w:rsidR="008D479B" w:rsidRDefault="008D479B" w:rsidP="008D479B">
      <w:pPr>
        <w:pStyle w:val="TextoNormal"/>
      </w:pPr>
    </w:p>
    <w:p w14:paraId="612A78C1" w14:textId="77777777" w:rsidR="008D479B" w:rsidRDefault="008D479B" w:rsidP="008D479B">
      <w:pPr>
        <w:pStyle w:val="TextoNormal"/>
      </w:pPr>
      <w:r>
        <w:t>Pues bien, no solo el Estado de Derecho y el principio de división de poderes queda afectado cuando se atribuyen a un poder funciones constitucionalmente reservadas a otro poder del Estado, sino también cuando se le priva de aquellas competencias esenciales atribuidas para el desarrollo de la función que tiene constitucionalmente atribuida.</w:t>
      </w:r>
    </w:p>
    <w:p w14:paraId="5966CCFE" w14:textId="77777777" w:rsidR="008D479B" w:rsidRDefault="008D479B" w:rsidP="008D479B">
      <w:pPr>
        <w:pStyle w:val="TextoNormal"/>
      </w:pPr>
    </w:p>
    <w:p w14:paraId="59B3BA1C" w14:textId="77777777" w:rsidR="008D479B" w:rsidRDefault="008D479B" w:rsidP="008D479B">
      <w:pPr>
        <w:pStyle w:val="TextoNormal"/>
      </w:pPr>
      <w:r>
        <w:t>(ii) Pero más allá de la limitación funcional a la que se somete al Consejo es necesario tener también en cuenta los distintos elementos que han caracterizado esta reforma, y que deben examinarse “en su conjunto” (el examen combinado y no aislado de los distintos elementos resulta útil como reflejan las SSTJUE de 19 de noviembre de 2019, asuntos acumulados C-585/18, C-624/18 y C-625/18</w:t>
      </w:r>
      <w:r w:rsidRPr="008D479B">
        <w:rPr>
          <w:i/>
        </w:rPr>
        <w:t>, A</w:t>
      </w:r>
      <w:r>
        <w:t>.K., §142 y 144, y de 6 de octubre de 2021, C-487/19</w:t>
      </w:r>
      <w:r w:rsidRPr="008D479B">
        <w:rPr>
          <w:i/>
        </w:rPr>
        <w:t>, W</w:t>
      </w:r>
      <w:r>
        <w:t>.Z., § 152 y 153).</w:t>
      </w:r>
    </w:p>
    <w:p w14:paraId="5F9D666B" w14:textId="77777777" w:rsidR="008D479B" w:rsidRDefault="008D479B" w:rsidP="008D479B">
      <w:pPr>
        <w:pStyle w:val="TextoNormal"/>
      </w:pPr>
    </w:p>
    <w:p w14:paraId="41ECE27E" w14:textId="77777777" w:rsidR="008D479B" w:rsidRDefault="008D479B" w:rsidP="008D479B">
      <w:pPr>
        <w:pStyle w:val="TextoNormal"/>
      </w:pPr>
      <w:r>
        <w:t>A tal efecto debe señalarse, en primer lugar, que la apariencia de imparcialidad de determinados órganos jurisdiccionales podría verse puesta en entredicho por la reforma dado que queda afectada la forma normal de designación de los magistrados y presidentes de los órganos judiciales superiores de nuestra estructura jurisdiccional. Estas funciones de nombramiento no “revierten” al Poder Ejecutivo, pero el resultado es que se ejerce igualmente un control sobre dicha facultad de nombramiento, en este caso de naturaleza negativa, al negarse su ejercicio.</w:t>
      </w:r>
    </w:p>
    <w:p w14:paraId="6EB7E00B" w14:textId="77777777" w:rsidR="008D479B" w:rsidRDefault="008D479B" w:rsidP="008D479B">
      <w:pPr>
        <w:pStyle w:val="TextoNormal"/>
      </w:pPr>
    </w:p>
    <w:p w14:paraId="5A9A0D0D" w14:textId="77777777" w:rsidR="008D479B" w:rsidRDefault="008D479B" w:rsidP="008D479B">
      <w:pPr>
        <w:pStyle w:val="TextoNormal"/>
      </w:pPr>
      <w:r>
        <w:t xml:space="preserve">Este control negativo conlleva inevitablemente una apariencia de falta de imparcialidad en los criterios que rigen estos nombramientos que mal se compadece con los principios del Estado de Derecho, de la separación de poderes y de la independencia judicial (arts. 1 y 117.1 CE) que le son inherentes, dado que las normas no deben menoscabar la confianza que el Poder Judicial “debe inspirar en los justiciables en una sociedad democrática” (STJUE de 19 de noviembre de 2019, asuntos acumulados C-585/18, C-624/18, C-625/18, </w:t>
      </w:r>
      <w:r w:rsidRPr="008D479B">
        <w:rPr>
          <w:i/>
        </w:rPr>
        <w:t>A.K</w:t>
      </w:r>
      <w:r>
        <w:t xml:space="preserve">., § 127; y, en sentido similar, las SSTEDH de 6 de noviembre de 2018, asunto </w:t>
      </w:r>
      <w:r w:rsidRPr="008D479B">
        <w:rPr>
          <w:i/>
        </w:rPr>
        <w:t>Ramos Nunes de Carvalho e Sá c. Portugal</w:t>
      </w:r>
      <w:r>
        <w:t xml:space="preserve">, § 149; de 21 de junio de 2011, asunto </w:t>
      </w:r>
      <w:r w:rsidRPr="008D479B">
        <w:rPr>
          <w:i/>
        </w:rPr>
        <w:t>Fruni c. Eslovaquia</w:t>
      </w:r>
      <w:r>
        <w:t xml:space="preserve">, § 141, y de 6 de mayo de 2003, asunto </w:t>
      </w:r>
      <w:r w:rsidRPr="008D479B">
        <w:rPr>
          <w:i/>
        </w:rPr>
        <w:t>Kleyn y otros c. Países Bajos</w:t>
      </w:r>
      <w:r>
        <w:t>, § 191); no podemos olvidar, como ha recordado recientemente el Tribunal Europeo de Derechos Humanos, que existe una “fuerte correlación entre los nombramientos de los jueces para un cargo, por un lado, y la independencia judicial en general y la confianza de la ciudadanía en el Poder Judicial, por el otro” (STEDH de 20 de junio de 2023</w:t>
      </w:r>
      <w:r w:rsidRPr="008D479B">
        <w:rPr>
          <w:i/>
        </w:rPr>
        <w:t>, Oktay Alkan c. Turqu</w:t>
      </w:r>
      <w:r>
        <w:t>ía, § 49).</w:t>
      </w:r>
    </w:p>
    <w:p w14:paraId="361DB70B" w14:textId="77777777" w:rsidR="008D479B" w:rsidRDefault="008D479B" w:rsidP="008D479B">
      <w:pPr>
        <w:pStyle w:val="TextoNormal"/>
      </w:pPr>
    </w:p>
    <w:p w14:paraId="62416A39" w14:textId="77777777" w:rsidR="008D479B" w:rsidRDefault="008D479B" w:rsidP="008D479B">
      <w:pPr>
        <w:pStyle w:val="TextoNormal"/>
      </w:pPr>
      <w:r>
        <w:t xml:space="preserve">Teniendo en cuenta que “incluso las apariencias pueden tener importancia” (STJUE </w:t>
      </w:r>
      <w:r w:rsidRPr="008D479B">
        <w:rPr>
          <w:i/>
        </w:rPr>
        <w:t>A.K</w:t>
      </w:r>
      <w:r>
        <w:t xml:space="preserve">., § 128, y STEDH </w:t>
      </w:r>
      <w:r w:rsidRPr="008D479B">
        <w:rPr>
          <w:i/>
        </w:rPr>
        <w:t>Kleyn y otros c. Países Bajos</w:t>
      </w:r>
      <w:r>
        <w:t>, § 191), es obligado observar que la posible falta de confianza vendría agravada por la forma en que ha tenido lugar la aprobación de la reforma, tres años después de que expirase el mandato de los vocales del Consejo, y después de ese dilatado periodo de tiempo se decide alterar el funcionamiento del órgano con una reforma legislativa tramitada de forma urgente y sin oír a los principales sectores afectados, a pesar de la importancia de los efectos que la norma iba a tener en la organización de la administración de justicia y a pesar de las recomendaciones que derivaban de las Instituciones de la Unión Europea, y que les habían sido oportunamente puestas de manifiesto a las Cámaras durante la tramitación parlamentaria.</w:t>
      </w:r>
    </w:p>
    <w:p w14:paraId="2A4F9187" w14:textId="77777777" w:rsidR="008D479B" w:rsidRDefault="008D479B" w:rsidP="008D479B">
      <w:pPr>
        <w:pStyle w:val="TextoNormal"/>
      </w:pPr>
    </w:p>
    <w:p w14:paraId="547E3D73" w14:textId="77777777" w:rsidR="008D479B" w:rsidRDefault="008D479B" w:rsidP="008D479B">
      <w:pPr>
        <w:pStyle w:val="TextoNormal"/>
      </w:pPr>
      <w:r>
        <w:t>Así, hubiera sido deseable que la mesa del Congreso, aunque no fuera preceptivo, hubiera tramitado la norma antes de su aprobación con las consultas que esta merecía, especialmente teniendo en cuenta las recomendaciones que la Comisión Europea viene emitiendo para reforzar el Estado de Derecho en la Unión Europea, a las que antes nos hemos referido, y que se basan en criterios de referencia que son los mismos para todos los Estados miembros. En particular, en la Recomendación (UE) 2017/1520, de 26 de julio de 2017, la Comisión reprocha que leyes de gran importancia y con impacto de manera general en la separación de poderes y el Estado de Derecho “no haya[n] sido objeto de la adecuada preparación y las consultas que merecería[n]”, con una expresa invitación a pedir el parecer de la Comisión de Venecia respecto a las leyes que afectan a los consejos nacionales del Poder Judicial así “como sobre cualquier nueva propuesta legislativa destinada a reformar el sistema judicial” (apartados 43 y 54). También en el ámbito del Consejo de Europa la recomendación de solicitar determinados informes se recoge en el Informe núm. 10(2007), del Consejo Consultivo de Jueces Europeo, determinando, en su apartado 87, que “todo proyecto de texto legislativo susceptible de tener un incidente sobre el Poder judicial […] debería obligatoriamente ser sometido, antes de la deliberación del Parlamento, a la opinión del consejo de la justicia”.</w:t>
      </w:r>
    </w:p>
    <w:p w14:paraId="7900C8F2" w14:textId="77777777" w:rsidR="008D479B" w:rsidRDefault="008D479B" w:rsidP="008D479B">
      <w:pPr>
        <w:pStyle w:val="TextoNormal"/>
      </w:pPr>
    </w:p>
    <w:p w14:paraId="54A887F9" w14:textId="77777777" w:rsidR="008D479B" w:rsidRDefault="008D479B" w:rsidP="008D479B">
      <w:pPr>
        <w:pStyle w:val="TextoNormal"/>
      </w:pPr>
      <w:r>
        <w:t>Y a ello se une finalmente el hecho de que el legislador orgánico ha decidido alterar la forma en la que viene funcionando el Consejo e instaurar un régimen más restrictivo aplicable a las funciones que puede desempeñar este órgano constitucional cuando está “en funciones” con una afectación, como acabamos de examinar, de su cometido de salvaguardar la independencia del Poder Judicial.</w:t>
      </w:r>
    </w:p>
    <w:p w14:paraId="0FBAA60C" w14:textId="77777777" w:rsidR="008D479B" w:rsidRDefault="008D479B" w:rsidP="008D479B">
      <w:pPr>
        <w:pStyle w:val="TextoNormal"/>
      </w:pPr>
    </w:p>
    <w:p w14:paraId="37803BD0" w14:textId="77777777" w:rsidR="008D479B" w:rsidRDefault="008D479B" w:rsidP="008D479B">
      <w:pPr>
        <w:pStyle w:val="TextoNormal"/>
      </w:pPr>
      <w:r>
        <w:t>Este tribunal ha admitido “que no es dable valorar en Derecho una reforma legal del Consejo General del Poder Judicial sobre la base de lo dispuesto en la legislación precisamente modificada, pues en todo aquello que no ha sido predeterminado por la Constitución el legislador, al margen del juicio político que pueda merecer su obra, dispone de libertad para volver sobre sus anteriores decisiones” (STC 191/2016, de 15 de noviembre, FJ 3). Pero, como venimos analizando, la modificación de la legislación relativa al gobierno del Poder Judicial debe realizarse siempre dentro del respeto a las reglas de contenido material y formal definidas por el bloque de la constitucionalidad, a lo que debe añadirse que una reforma que conlleve un retroceso en la protección de la independencia judicial no es tampoco compatible con la protección del Estado de Derecho ni de la independencia judicial (arts. 1 y 117.1 CE), compartiendo a tal efecto la aserción del Tribunal de Justicia de la Unión Europea, con arreglo a la cual “los Estados miembros deben velar por evitar, en relación con este valor, cualquier regresión de su legislación en materia de organización de la administración de justicia, absteniéndose de adoptar medidas que puedan menoscabar la independencia judicial” (STJUE de 20 de abril de 2021, asunto C-896/19</w:t>
      </w:r>
      <w:r w:rsidRPr="008D479B">
        <w:rPr>
          <w:i/>
        </w:rPr>
        <w:t>, Repubblika c. Primer Minist</w:t>
      </w:r>
      <w:r>
        <w:t>ro, § 64).</w:t>
      </w:r>
    </w:p>
    <w:p w14:paraId="453DFA4D" w14:textId="77777777" w:rsidR="008D479B" w:rsidRDefault="008D479B" w:rsidP="008D479B">
      <w:pPr>
        <w:pStyle w:val="TextoNormal"/>
      </w:pPr>
    </w:p>
    <w:p w14:paraId="5EE1F568" w14:textId="77777777" w:rsidR="008D479B" w:rsidRDefault="008D479B" w:rsidP="008D479B">
      <w:pPr>
        <w:pStyle w:val="TextoNormal"/>
      </w:pPr>
      <w:r>
        <w:t>c) En conclusión, por amplio que pueda ser el margen de configuración del que dispone el legislador orgánico al desarrollar la ordenación que del Consejo General del Poder Judicial lleva a cabo la Constitución, ese margen no habilita al legislador para desfigurar la naturaleza constitucional del Consejo, que es lo que la Ley Orgánica 4/2021 lleva a cabo al privarle del ejercicio de las funciones consustanciales a su cometido, como garante de la independencia del Poder Judicial, reduciéndolo, cuando no haya sido renovado en plazo, a un mero órgano de “gestión administrativa” (en términos de la propia sentencia) e impidiéndole, de forma arbitraria y contradictoria con su naturaleza constitucional, ejercer las funciones que tiene atribuidas por el art. 122.2 CE. También ha quedado afectado gravemente el funcionamiento de la administración de justicia, especialmente porque la reforma impide al Consejo llevar a cabo nombramientos en los órganos judiciales superiores de nuestra estructura jurisdiccional, muy en particular, en el superior en todos los órdenes, el Tribunal Supremo, con el correlativo menoscabo de la confianza que el Poder Judicial debe inspirar en los ciudadanos. Y se ha debilitado la independencia del Consejo respecto a los Poderes Legislativo y Ejecutivo, contribuyendo así a un debilitamiento de la independencia del Poder Judicial en su conjunto y afectando al principio de separación de poderes inherente a nuestro Estado de Derecho.</w:t>
      </w:r>
    </w:p>
    <w:p w14:paraId="4A514905" w14:textId="77777777" w:rsidR="008D479B" w:rsidRDefault="008D479B" w:rsidP="008D479B">
      <w:pPr>
        <w:pStyle w:val="TextoNormal"/>
      </w:pPr>
    </w:p>
    <w:p w14:paraId="2840FCEF" w14:textId="77777777" w:rsidR="008D479B" w:rsidRDefault="008D479B" w:rsidP="008D479B">
      <w:pPr>
        <w:pStyle w:val="TextoNormal"/>
      </w:pPr>
      <w:r>
        <w:t>En virtud de dichas razones entendemos que este tribunal debía haber estimado el recurso, declarando la inconstitucionalidad del nuevo art. 57</w:t>
      </w:r>
      <w:r w:rsidRPr="008D479B">
        <w:rPr>
          <w:i/>
        </w:rPr>
        <w:t>0 b</w:t>
      </w:r>
      <w:r>
        <w:t>is LOPJ, introducido por el apartado 1 del artículo único de la Ley Orgánica 4/2021.</w:t>
      </w:r>
    </w:p>
    <w:p w14:paraId="48D2469A" w14:textId="77777777" w:rsidR="008D479B" w:rsidRDefault="008D479B" w:rsidP="008D479B">
      <w:pPr>
        <w:pStyle w:val="TextoNormal"/>
      </w:pPr>
    </w:p>
    <w:p w14:paraId="7004ED02" w14:textId="77777777" w:rsidR="008D479B" w:rsidRDefault="008D479B" w:rsidP="008D479B">
      <w:pPr>
        <w:pStyle w:val="TextoNormal"/>
      </w:pPr>
      <w:r>
        <w:t>4</w:t>
      </w:r>
      <w:r w:rsidRPr="008D479B">
        <w:rPr>
          <w:i/>
        </w:rPr>
        <w:t>. La protección de la independencia judicial queda sujeta a las exigencias que derivan del Derecho de la Uni</w:t>
      </w:r>
      <w:r>
        <w:t>ón</w:t>
      </w:r>
    </w:p>
    <w:p w14:paraId="5271C9CA" w14:textId="77777777" w:rsidR="008D479B" w:rsidRDefault="008D479B" w:rsidP="008D479B">
      <w:pPr>
        <w:pStyle w:val="TextoNormal"/>
      </w:pPr>
    </w:p>
    <w:p w14:paraId="6E14905C" w14:textId="77777777" w:rsidR="008D479B" w:rsidRDefault="008D479B" w:rsidP="008D479B">
      <w:pPr>
        <w:pStyle w:val="TextoNormal"/>
      </w:pPr>
      <w:r>
        <w:t>A todo lo dicho hasta ahora cabe añadir que la sentencia de la mayoría ha prescindido sin razonamiento alguno del canon europeo que impone tanto la jurisprudencia del Tribunal Europeo de Derechos Humanos como la del Tribunal de Justicia de la Unión Europea, jurisprudencia en la que ambos tribunales vienen configurando de forma convergente el contenido del principio de la independencia judicial, consustancial al Estado de Derecho, y reconociendo expresamente la necesidad de proteger la autonomía de los consejos de justicia, dado el papel crucial que estos órganos desempeñan en una sociedad democrática como baluartes contra la influencia política sobre el Poder Judicial.</w:t>
      </w:r>
    </w:p>
    <w:p w14:paraId="77BB1D02" w14:textId="77777777" w:rsidR="008D479B" w:rsidRDefault="008D479B" w:rsidP="008D479B">
      <w:pPr>
        <w:pStyle w:val="TextoNormal"/>
      </w:pPr>
    </w:p>
    <w:p w14:paraId="4EEB4244" w14:textId="77777777" w:rsidR="008D479B" w:rsidRDefault="008D479B" w:rsidP="008D479B">
      <w:pPr>
        <w:pStyle w:val="TextoNormal"/>
      </w:pPr>
      <w:r>
        <w:t xml:space="preserve">Tratándose de la jurisprudencia del Tribunal de Justicia de la Unión Europea su omisión resulta aún más flagrante dado que la Ley Orgánica 4/2021 es una norma que incide en la administración de justicia al tener por objeto la reforma de su gobierno, y las normas nacionales que incidan en el funcionamiento de la administración de justicia quedan también sujetas a las exigencias de tutela judicial efectiva e independencia judicial que deriven del Derecho de la Unión en aplicación del art. 19, apartado 1, párrafo 2, del Tratado de la Unión Europea (TUE) (STJUE de 24 de junio de 2019, asunto C-619/18, </w:t>
      </w:r>
      <w:r w:rsidRPr="008D479B">
        <w:rPr>
          <w:i/>
        </w:rPr>
        <w:t>Comisión Europea c. Polonia</w:t>
      </w:r>
      <w:r>
        <w:t>, § 55), el cual a su vez es una concreción del respeto del valor del Estado de Derecho previsto en el art. 2 TUE (SSTJUE de 27 de febrero de 2018, asunto C-64/16</w:t>
      </w:r>
      <w:r w:rsidRPr="008D479B">
        <w:rPr>
          <w:i/>
        </w:rPr>
        <w:t>, Associação Sindical dos Juízes Portugues</w:t>
      </w:r>
      <w:r>
        <w:t>es, §32, y de 24 de junio de 2019, asunto C-619/18</w:t>
      </w:r>
      <w:r w:rsidRPr="008D479B">
        <w:rPr>
          <w:i/>
        </w:rPr>
        <w:t>, Comisión Europea c. Polon</w:t>
      </w:r>
      <w:r>
        <w:t>ia, § 47).</w:t>
      </w:r>
    </w:p>
    <w:p w14:paraId="407EB06A" w14:textId="77777777" w:rsidR="008D479B" w:rsidRDefault="008D479B" w:rsidP="008D479B">
      <w:pPr>
        <w:pStyle w:val="TextoNormal"/>
      </w:pPr>
    </w:p>
    <w:p w14:paraId="52CD49C8" w14:textId="77777777" w:rsidR="008D479B" w:rsidRDefault="008D479B" w:rsidP="008D479B">
      <w:pPr>
        <w:pStyle w:val="TextoNormal"/>
      </w:pPr>
      <w:r>
        <w:t xml:space="preserve">En aplicación de dichos preceptos, como ya hemos advertido anteriormente, el Tribunal de Justicia viene examinando recientemente una serie de reformas legislativas que han afectado al funcionamiento de los consejos de justicia en los Estados miembros, identificando aquellos supuestos en los que la falta de independencia de dichos órganos respecto de los Poderes Legislativo y Ejecutivo afectaba a la independencia judicial (SSTJUE de 24 de junio de 2019, asunto C-619/18, </w:t>
      </w:r>
      <w:r w:rsidRPr="008D479B">
        <w:rPr>
          <w:i/>
        </w:rPr>
        <w:t>Comisión Europea c. Polonia</w:t>
      </w:r>
      <w:r>
        <w:t>; de 19 de noviembre de 2019, asuntos acumulados C-585/18, C-624/18 y C-625/18</w:t>
      </w:r>
      <w:r w:rsidRPr="008D479B">
        <w:rPr>
          <w:i/>
        </w:rPr>
        <w:t>, A</w:t>
      </w:r>
      <w:r>
        <w:t>.K., y de 2 de marzo de 2021, asunto C-824/18</w:t>
      </w:r>
      <w:r w:rsidRPr="008D479B">
        <w:rPr>
          <w:i/>
        </w:rPr>
        <w:t>, A</w:t>
      </w:r>
      <w:r>
        <w:t>.B.).</w:t>
      </w:r>
    </w:p>
    <w:p w14:paraId="5CB14308" w14:textId="77777777" w:rsidR="008D479B" w:rsidRDefault="008D479B" w:rsidP="008D479B">
      <w:pPr>
        <w:pStyle w:val="TextoNormal"/>
      </w:pPr>
    </w:p>
    <w:p w14:paraId="2673367F" w14:textId="77777777" w:rsidR="008D479B" w:rsidRDefault="008D479B" w:rsidP="008D479B">
      <w:pPr>
        <w:pStyle w:val="TextoNormal"/>
      </w:pPr>
      <w:r>
        <w:t>El examen de dicha jurisprudencia se ha omitido en la sentencia de la que discrepamos, lo cual carece de justificación dado que el Estado de Derecho y la independencia judicial son valores también inherentes a nuestro texto constitucional, que consagra en su art.1.1 que “España se constituye en un Estado social y democrático de Derecho”, y “se desarrolla igualmente en el título preliminar al subrayar que los poderes públicos, al igual que los ciudadanos, ‘están sujetos a la Constitución y al resto del ordenamiento jurídico’ (art. 9.1 CE)” (ATC 177/2022, de 19 de diciembre de 2022, FJ 5). Del principio del Estado de Derecho es también consustancial el principio de división y separación de poderes “pues se trata de un principio político y jurídico que impregna la estructura de todos los Estados democráticos” (STC 70/2022, de 2 de junio, FJ 5). Y también hemos reconocido, como ya hemos advertido, que el Poder Judicial “constituye una pieza esencial de nuestro ordenamiento como del de todo Estado de Derecho, y la misma Constitución lo pone gráficamente de relieve al hablar expresamente del ‘Poder’ Judicial, mientras que tal calificativo no aparece al tratar de los demás poderes tradicionales del Estado, como son el Legislativo y el Ejecutivo. El Poder Judicial consiste en la potestad de ejercer la jurisdicción, y su independencia se predica de todos y cada uno de los jueces en cuanto ejercen tal función, quienes precisamente integran el poder judicial o son miembros de él porque son los encargados de ejercerla. Así resulta claramente del artículo 117.1 de la Constitución, con que se abre el título VI de la misma dedicado al ‘Poder Judicial’” (SSTC 108/1986, FJ 6, y 70/2022, FJ 6,).</w:t>
      </w:r>
    </w:p>
    <w:p w14:paraId="3786ADC4" w14:textId="77777777" w:rsidR="008D479B" w:rsidRDefault="008D479B" w:rsidP="008D479B">
      <w:pPr>
        <w:pStyle w:val="TextoNormal"/>
      </w:pPr>
    </w:p>
    <w:p w14:paraId="01D4503B" w14:textId="77777777" w:rsidR="008D479B" w:rsidRDefault="008D479B" w:rsidP="008D479B">
      <w:pPr>
        <w:pStyle w:val="TextoNormal"/>
      </w:pPr>
      <w:r>
        <w:t xml:space="preserve">Estamos hablando, en definitiva, como reconoce el Tribunal de Justicia de la Unión Europea, de “valores […] que son comunes a los Estados miembros en una sociedad caracterizada, entre otras cosas, por la justicia” (STJUE de 20 de abril de 2021, asunto C-896/19, </w:t>
      </w:r>
      <w:r w:rsidRPr="008D479B">
        <w:rPr>
          <w:i/>
        </w:rPr>
        <w:t>Repubblika c. Primer Ministro</w:t>
      </w:r>
      <w:r>
        <w:t xml:space="preserve">, § 62). Y dado que el contenido y exigencias de estos principios o valores que derivan del art. 19, apartado 1, párrafo 2, vienen regidos por la interpretación que el Tribunal de Justicia viene haciendo del art. 47.1 de la Carta de derechos fundamentales de la Unión Europea al consagrar el derecho a la tutela judicial efectiva (por todas, la STJUE de 22 de febrero de 2022, asunto C-430/21, </w:t>
      </w:r>
      <w:r w:rsidRPr="008D479B">
        <w:rPr>
          <w:i/>
        </w:rPr>
        <w:t>RS</w:t>
      </w:r>
      <w:r>
        <w:t>, § 37, y la jurisprudencia que ahí se cita), y esta a su vez de la que el Tribunal Europeo de Derechos Humanos deduce del art. 6.1 Convenio europeo de derechos humanos, la jurisprudencia de estos dos tribunales devenía también un criterio de interpretación hermenéutico del que no podía prescindir este tribunal en el presente recurso de inconstitucionalidad por imperativo del art. 10.2 CE, en relación con el art. 24 CE (que consagra el derecho a la tutela judicial efectiva), y de los citados arts. 1.1 y 117.1 CE (relativos a los principios del Estado de Derecho, de la separación de poderes y de la independencia judicial).</w:t>
      </w:r>
    </w:p>
    <w:p w14:paraId="02C8F3C1" w14:textId="77777777" w:rsidR="008D479B" w:rsidRDefault="008D479B" w:rsidP="008D479B">
      <w:pPr>
        <w:pStyle w:val="TextoNormal"/>
      </w:pPr>
    </w:p>
    <w:p w14:paraId="2B9A2744" w14:textId="77777777" w:rsidR="008D479B" w:rsidRDefault="008D479B" w:rsidP="008D479B">
      <w:pPr>
        <w:pStyle w:val="TextoNormal"/>
      </w:pPr>
      <w:r>
        <w:t>Así, es constante nuestra doctrina que determina que “tanto los tratados y acuerdos internacionales, como el Derecho comunitario derivado pueden constituir ‘valiosos criterios hermenéuticos del sentido y alcance de los derechos y libertades que la Constitución reconoce’, valor que se atribuye con fundamento en el art. 10.2 CE, […] interpretación que no puede prescindir de la que, a su vez, llevan a cabo los órganos de garantía establecidos por esos mismos tratados y acuerdos internacionales” (por todas, la STC 61/2013, de 14 de marzo, FJ 5, y la jurisprudencia que ahí se cita).</w:t>
      </w:r>
    </w:p>
    <w:p w14:paraId="7CF33F2A" w14:textId="77777777" w:rsidR="008D479B" w:rsidRDefault="008D479B" w:rsidP="008D479B">
      <w:pPr>
        <w:pStyle w:val="TextoNormal"/>
      </w:pPr>
    </w:p>
    <w:p w14:paraId="3F75EFAF" w14:textId="77777777" w:rsidR="008D479B" w:rsidRDefault="008D479B" w:rsidP="008D479B">
      <w:pPr>
        <w:pStyle w:val="TextoNormal"/>
      </w:pPr>
      <w:r>
        <w:t>Es más, este tribunal ha llegado a reconocer que le “corresponde […] velar por el respeto del principio de primacía del Derecho de la Unión cuando […] exista una interpretación auténtica efectuada por el propio Tribunal de Justicia de la Unión Europea” [SSTC 232/2015, de 5 de noviembre, FJ 5 c), y 31/2019, de 28 de febrero, FJ 4, entre otras] siendo así que en el presente recurso de inconstitucionalidad se ha prescindido de las exigencias que el Derecho de la Unión impone al respeto del principio de la independencia judicial y de la separación de poderes, en los términos que resulta de la ya reiterada jurisprudencia del Tribunal de Justicia que constituye a estos efectos una “interpretación auténtica” en los términos que reconoce nuestra jurisprudencia.</w:t>
      </w:r>
    </w:p>
    <w:p w14:paraId="795EE6F9" w14:textId="77777777" w:rsidR="008D479B" w:rsidRDefault="008D479B" w:rsidP="008D479B">
      <w:pPr>
        <w:pStyle w:val="TextoNormal"/>
      </w:pPr>
    </w:p>
    <w:p w14:paraId="36E6A18A" w14:textId="77777777" w:rsidR="008D479B" w:rsidRDefault="008D479B" w:rsidP="008D479B">
      <w:pPr>
        <w:pStyle w:val="TextoNormal"/>
      </w:pPr>
      <w:r>
        <w:t>La integración de España en las entonces denominadas Comunidades Europeas, ahora Unión Europea, fue, como tuvimos ocasión de manifestar en la Declaración 1/2004, de 13 de diciembre, “una integración largamente anhelada y, sin ninguna duda, constitucionalmente querida” (FJ 2). En dicha Declaración asumimos que estábamos ante un “fenómeno de integración que va más allá del puro procedimiento de la misma, y que comporta las consecuencias de la inserción en un ente supranacional distinto, susceptible de crear un ordenamiento propio dotado de particulares principios rectores de la eficacia y de las exigencias y límites de la aplicabilidad de sus normas”</w:t>
      </w:r>
      <w:r w:rsidRPr="008D479B">
        <w:rPr>
          <w:i/>
        </w:rPr>
        <w:t xml:space="preserve"> (ibid</w:t>
      </w:r>
      <w:r>
        <w:t>em).</w:t>
      </w:r>
    </w:p>
    <w:p w14:paraId="6D4D8DCB" w14:textId="77777777" w:rsidR="008D479B" w:rsidRDefault="008D479B" w:rsidP="008D479B">
      <w:pPr>
        <w:pStyle w:val="TextoNormal"/>
      </w:pPr>
    </w:p>
    <w:p w14:paraId="3F486B6D" w14:textId="77777777" w:rsidR="008D479B" w:rsidRDefault="008D479B" w:rsidP="008D479B">
      <w:pPr>
        <w:pStyle w:val="TextoNormal"/>
      </w:pPr>
      <w:r>
        <w:t>En virtud de dicha integración, y también por imperativo del art. 10.2 CE, este tribunal venía obligado a integrar los principios que derivan del Derecho de la Unión y de la jurisprudencia del Tribunal de Justicia, dado que los mismos le habrían permitido confirmar la inconstitucionalidad de la reforma operada por la Ley Orgánica 4/2021, por vulnerar los principios de independencia judicial y de Estado de Derecho, principios que con arreglo a nuestra doctrina constitucional el legislador orgánico debe respetar al regular el funcionamiento del Consejo General del Poder Judicial (art. 122 CE).</w:t>
      </w:r>
    </w:p>
    <w:p w14:paraId="47195E83" w14:textId="77777777" w:rsidR="008D479B" w:rsidRDefault="008D479B" w:rsidP="008D479B">
      <w:pPr>
        <w:pStyle w:val="TextoNormal"/>
      </w:pPr>
    </w:p>
    <w:p w14:paraId="62BAF256" w14:textId="77777777" w:rsidR="008D479B" w:rsidRDefault="008D479B" w:rsidP="008D479B">
      <w:pPr>
        <w:pStyle w:val="TextoNormal"/>
      </w:pPr>
      <w:r>
        <w:t xml:space="preserve">En particular, porque los Estados miembros se comprometen a respetar los valores en los que se funda la Unión y no pueden “modificar su legislación de modo que dé lugar a una reducción de la protección del valor del Estado de Derecho” (STJUE </w:t>
      </w:r>
      <w:r w:rsidRPr="008D479B">
        <w:rPr>
          <w:i/>
        </w:rPr>
        <w:t>Repubblika</w:t>
      </w:r>
      <w:r>
        <w:t xml:space="preserve">, § 63), que es lo que ha hecho la Ley Orgánica 4/2021 al impedir que el Consejo General del Poder Judicial desempeñe con plenitud, durante un determinado periodo de tiempo, su función de garante de la independencia judicial; porque, como ya hemos advertido, “incluso las apariencias pueden tener importancia” (STJUE </w:t>
      </w:r>
      <w:r w:rsidRPr="008D479B">
        <w:rPr>
          <w:i/>
        </w:rPr>
        <w:t>A.K. y otros</w:t>
      </w:r>
      <w:r>
        <w:t xml:space="preserve">, § 127 y 128), y la reforma llevada a cabo por la Ley Orgánica 4/2021, por su contenido material, y por la forma en que se ha realizado, puede menoscabar la confianza que el Poder Judicial debe inspirar en los justiciables en una sociedad democrática; y, finalmente, porque el Tribunal de Justicia viene vinculando la independencia de los jueces y tribunales con la independencia de los consejos nacionales de justicia, allí donde existan (SSTJUE </w:t>
      </w:r>
      <w:r w:rsidRPr="008D479B">
        <w:rPr>
          <w:i/>
        </w:rPr>
        <w:t>A.K. y otros</w:t>
      </w:r>
      <w:r>
        <w:t xml:space="preserve">, </w:t>
      </w:r>
      <w:r w:rsidRPr="008D479B">
        <w:rPr>
          <w:i/>
        </w:rPr>
        <w:t>A.B</w:t>
      </w:r>
      <w:r>
        <w:t xml:space="preserve">., y </w:t>
      </w:r>
      <w:r w:rsidRPr="008D479B">
        <w:rPr>
          <w:i/>
        </w:rPr>
        <w:t>Comisión Europea c. Polonia</w:t>
      </w:r>
      <w:r>
        <w:t>, a las que antes hemos hecho referencia), menoscabando la reforma operada por la Ley Orgánica 4/2021 de forma directa la independencia del Consejo General del Poder Judicial respecto del Poder Legislativo, de cuya mera voluntad de renovarlo depende ahora la devolución plena de sus funciones en garantía de la independencia judicial.</w:t>
      </w:r>
    </w:p>
    <w:p w14:paraId="61534F79" w14:textId="77777777" w:rsidR="008D479B" w:rsidRDefault="008D479B" w:rsidP="008D479B">
      <w:pPr>
        <w:pStyle w:val="TextoNormal"/>
      </w:pPr>
    </w:p>
    <w:p w14:paraId="6FDA06B2" w14:textId="77777777" w:rsidR="008D479B" w:rsidRDefault="008D479B" w:rsidP="008D479B">
      <w:pPr>
        <w:pStyle w:val="TextoNormal"/>
      </w:pPr>
      <w:r>
        <w:t>5</w:t>
      </w:r>
      <w:r w:rsidRPr="008D479B">
        <w:rPr>
          <w:i/>
        </w:rPr>
        <w:t xml:space="preserve">. La restricción de la facultad de proponer el nombramiento del presidente del Tribunal Supremo supone una vulneración añadida del art. 123.2 </w:t>
      </w:r>
      <w:r>
        <w:t>CE</w:t>
      </w:r>
    </w:p>
    <w:p w14:paraId="1C2FC5AE" w14:textId="77777777" w:rsidR="008D479B" w:rsidRDefault="008D479B" w:rsidP="008D479B">
      <w:pPr>
        <w:pStyle w:val="TextoNormal"/>
      </w:pPr>
    </w:p>
    <w:p w14:paraId="7D6E28A2" w14:textId="77777777" w:rsidR="008D479B" w:rsidRDefault="008D479B" w:rsidP="008D479B">
      <w:pPr>
        <w:pStyle w:val="TextoNormal"/>
      </w:pPr>
      <w:r>
        <w:t>De forma concreta, en el recurso interpuesto se argumentaba también que la supresión de la función de nombramiento del presidente del Tribunal Supremo vulnera de forma autónoma los arts. 122 y 123.2 CE, y entendemos que esta queja de constitucionalidad también debió estimarse.</w:t>
      </w:r>
    </w:p>
    <w:p w14:paraId="271D9E5A" w14:textId="77777777" w:rsidR="008D479B" w:rsidRDefault="008D479B" w:rsidP="008D479B">
      <w:pPr>
        <w:pStyle w:val="TextoNormal"/>
      </w:pPr>
    </w:p>
    <w:p w14:paraId="25DAB8B6" w14:textId="77777777" w:rsidR="008D479B" w:rsidRDefault="008D479B" w:rsidP="008D479B">
      <w:pPr>
        <w:pStyle w:val="TextoNormal"/>
      </w:pPr>
      <w:r>
        <w:t>La sentencia de la que discrepamos parte del tenor literal del art. 123.2 CE, que conviene reiterar aquí: “El Presidente del Tribunal Supremo será nombrado por el Rey, a propuesta del Consejo General del Poder Judicial, en la forma que determine la ley”. Conviene reiterarlo porque frente a la cristalina literalidad de este precepto la sentencia concluye que “la Constitución no prevé el sistema de nombramiento del presidente del Consejo General del Poder Judicial, que lo es también del Tribunal Supremo”. Sí lo prevé: en el transcrito art. 123.2 CE.</w:t>
      </w:r>
    </w:p>
    <w:p w14:paraId="64C98804" w14:textId="77777777" w:rsidR="008D479B" w:rsidRDefault="008D479B" w:rsidP="008D479B">
      <w:pPr>
        <w:pStyle w:val="TextoNormal"/>
      </w:pPr>
    </w:p>
    <w:p w14:paraId="6E1BFE1C" w14:textId="77777777" w:rsidR="008D479B" w:rsidRDefault="008D479B" w:rsidP="008D479B">
      <w:pPr>
        <w:pStyle w:val="TextoNormal"/>
      </w:pPr>
      <w:r>
        <w:t xml:space="preserve">La sentencia convierte la remisión a la ley contenida en ese precepto constitucional en un bumerán que permite al legislador, so capa de desarrollar o precisar la “forma” en que el Consejo General del Poder Judicial debe ejercer su competencia de proponer al Rey el nombramiento de su presidente, directamente negar y suprimir esa potestad, pues esto es lo que hace el citado art. 570 </w:t>
      </w:r>
      <w:r w:rsidRPr="008D479B">
        <w:rPr>
          <w:i/>
        </w:rPr>
        <w:t>bis</w:t>
      </w:r>
      <w:r>
        <w:t>: privar al Consejo de la función constitucionalmente atribuida de “proponer” al Rey el nombramiento de su presidente en la “forma” que establezca el legislador (no “si” lo permite o le conviene al legislador).</w:t>
      </w:r>
    </w:p>
    <w:p w14:paraId="1B30501D" w14:textId="77777777" w:rsidR="008D479B" w:rsidRDefault="008D479B" w:rsidP="008D479B">
      <w:pPr>
        <w:pStyle w:val="TextoNormal"/>
      </w:pPr>
    </w:p>
    <w:p w14:paraId="2E623F21" w14:textId="77777777" w:rsidR="008D479B" w:rsidRDefault="008D479B" w:rsidP="008D479B">
      <w:pPr>
        <w:pStyle w:val="TextoNormal"/>
      </w:pPr>
      <w:r>
        <w:t>No solo la literalidad del art. 123.2 CE apoya esta conclusión. La inconstitucionalidad de esta concreta supresión también resulta de la vinculación orgánica entre la presidencia del Consejo General del Poder Judicial y la del Tribunal Supremo, correctamente recogida en la sentencia e impuesta expresamente por el art. 122.3 CE, que dice en su primer inciso que “[e]l Consejo General del Poder Judicial estará integrado por el presidente del Tribunal Supremo, que lo presidirá, y por veinte miembros nombrados por el Rey por un periodo de cinco años”. Esta doble presidencia del Tribunal Supremo y del Consejo General del Poder Judicial prevista en la Constitución no es una casualidad, ni una feliz coincidencia. Además de un mandato constitucional expreso que no puede ser omitido ni degradado por este tribunal, la reunión de las dos presidencias del Tribunal Supremo y del Consejo General del Poder Judicial obedece al propósito de evitar conflictos entre ambas instituciones, teniendo en cuenta que, por una parte, el nuevo órgano (el Consejo General del Poder Judicial) pasaba a asumir las funciones que hasta entonces venía ejerciendo el Tribunal Supremo en estrecha relación con el Gobierno (arts. 210, 228, 231, 235 o 600.2 de la LOPJ de 1870, derogada por la LOPJ de 1985, o las disposiciones transitorias primera, segunda y sexta de la Ley Orgánica 1/1980, primera del Consejo General del Poder Judicial) y, por otra parte, la misma Constitución imponía que el Tribunal Supremo, integrado en adelante por los magistrados que nombrara el Consejo (art. 122.2), fuera el órgano encargado de fiscalizar la actividad de este (arts. 24.1 y 106.1 CE). Como se ha demostrado y es notorio, la Ley Orgánica 4/2021 permite que, por el cese del presidente del Tribunal Supremo y del Consejo General del Poder Judicial, se separe esa doble presidencia y se incumpla un mandato constitucional expreso como el del art. 123.2 CE, lo que abunda en la inconstitucionalidad del nuevo art. 57</w:t>
      </w:r>
      <w:r w:rsidRPr="008D479B">
        <w:rPr>
          <w:i/>
        </w:rPr>
        <w:t>0 b</w:t>
      </w:r>
      <w:r>
        <w:t>is LOPJ.</w:t>
      </w:r>
    </w:p>
    <w:p w14:paraId="0638918D" w14:textId="77777777" w:rsidR="008D479B" w:rsidRDefault="008D479B" w:rsidP="008D479B">
      <w:pPr>
        <w:pStyle w:val="TextoNormal"/>
      </w:pPr>
    </w:p>
    <w:p w14:paraId="55CA6DB6" w14:textId="77777777" w:rsidR="008D479B" w:rsidRDefault="008D479B" w:rsidP="008D479B">
      <w:pPr>
        <w:pStyle w:val="TextoNormal"/>
      </w:pPr>
      <w:r>
        <w:t>Por último, reiterando nuestro desacuerdo general con la conclusión principal de la mayoría a propósito de la constitucionalidad de la supresión de funciones constitucionalmente atribuidas al Consejo General del Poder Judicial por la superación del plazo de cinco años, tampoco nos parece que este argumento sea definitivo en este concreto caso. Según la mayoría de la que discrepamos, la superación de ese plazo impide al Consejo proponer el nombramiento de un nuevo presidente porque el mandato del presidente “depende del Consejo que lo nombró”, con el que tiene una “vinculación estrecha”. A nuestro juicio, precisamente por esa “vinculación estrecha” entre el Consejo General del Poder Judicial y su presidente, y porque el Consejo en funciones no es un órgano distinto del que hizo el nombramiento inicial, en caso de producirse alguna causa de cese del presidente nombrado (por ejemplo, su fallecimiento o renuncia), el Consejo General del Poder Judicial debe poder elegir a un nuevo presidente por efecto directo del art. 123.2 CE.</w:t>
      </w:r>
    </w:p>
    <w:p w14:paraId="1056EEB4" w14:textId="77777777" w:rsidR="008D479B" w:rsidRDefault="008D479B" w:rsidP="008D479B">
      <w:pPr>
        <w:pStyle w:val="TextoNormal"/>
      </w:pPr>
    </w:p>
    <w:p w14:paraId="25D9D216" w14:textId="77777777" w:rsidR="008D479B" w:rsidRDefault="008D479B" w:rsidP="008D479B">
      <w:pPr>
        <w:pStyle w:val="TextoNormal"/>
      </w:pPr>
      <w:r>
        <w:t>En definitiva, en nuestra opinión el nuevo art. 57</w:t>
      </w:r>
      <w:r w:rsidRPr="008D479B">
        <w:rPr>
          <w:i/>
        </w:rPr>
        <w:t>0 b</w:t>
      </w:r>
      <w:r>
        <w:t>is LOPJ, introducido por el apartado 1 del artículo único de la Ley Orgánica 4/2021, también supone un incumplimiento flagrante de los arts. 122.3 y 123.2 CE.</w:t>
      </w:r>
    </w:p>
    <w:p w14:paraId="06C9C768" w14:textId="77777777" w:rsidR="008D479B" w:rsidRDefault="008D479B" w:rsidP="008D479B">
      <w:pPr>
        <w:pStyle w:val="TextoNormal"/>
      </w:pPr>
    </w:p>
    <w:p w14:paraId="6C57BBF9" w14:textId="77777777" w:rsidR="008D479B" w:rsidRDefault="008D479B" w:rsidP="008D479B">
      <w:pPr>
        <w:pStyle w:val="TextoNormal"/>
      </w:pPr>
      <w:r>
        <w:t>6</w:t>
      </w:r>
      <w:r w:rsidRPr="008D479B">
        <w:rPr>
          <w:i/>
        </w:rPr>
        <w:t>. La norma impugnada priva inconstitucionalmente al Consejo General del Poder Judicial de la facultad de interponer un conflicto de atribucion</w:t>
      </w:r>
      <w:r>
        <w:t>es</w:t>
      </w:r>
    </w:p>
    <w:p w14:paraId="4ECB0D50" w14:textId="77777777" w:rsidR="008D479B" w:rsidRDefault="008D479B" w:rsidP="008D479B">
      <w:pPr>
        <w:pStyle w:val="TextoNormal"/>
      </w:pPr>
    </w:p>
    <w:p w14:paraId="777EB3C6" w14:textId="77777777" w:rsidR="008D479B" w:rsidRDefault="008D479B" w:rsidP="008D479B">
      <w:pPr>
        <w:pStyle w:val="TextoNormal"/>
      </w:pPr>
      <w:r>
        <w:t>Finalmente, consideramos que este tribunal también debió estimar la queja constitucional de los recurrentes que consideraban que al haber desapoderado al Consejo en funciones de la posibilidad de interponer un conflicto de atribuciones, se produce una infracción del art. 161.1 d) CE, en relación con el art. 59 LOTC.</w:t>
      </w:r>
    </w:p>
    <w:p w14:paraId="36718B7B" w14:textId="77777777" w:rsidR="008D479B" w:rsidRDefault="008D479B" w:rsidP="008D479B">
      <w:pPr>
        <w:pStyle w:val="TextoNormal"/>
      </w:pPr>
    </w:p>
    <w:p w14:paraId="35DC5130" w14:textId="77777777" w:rsidR="008D479B" w:rsidRDefault="008D479B" w:rsidP="008D479B">
      <w:pPr>
        <w:pStyle w:val="TextoNormal"/>
      </w:pPr>
      <w:r>
        <w:t>Es cierto que el conflicto de atribuciones no aparece establecido expresamente en la Constitución española, y la facultad del Consejo de interponerlo no aparece tampoco expresamente recogida en el texto constitucional, dado que nos encontramos ante un procedimiento que fue posteriormente diseñado por la Ley Orgánica del Tribunal Constitucional. No obstante, el art. 161.1 d) CE determina que el Tribunal Constitucional tiene jurisdicción en todo el territorio español y es competente para conocer: “d) De las demás materias que le atribuyan la Constitución o las leyes orgánicas”, previsión que debe completarse con el contenido del art. 165 CE que prescribe que “[u]na ley orgánica regulará el funcionamiento del Tribunal Constitucional, el estatuto de sus miembros, el procedimiento ante el mismo y las condiciones para el ejercicio de las acciones”. De ambos preceptos se deduce que la determinación del procedimiento que debe seguir la interposición de un conflicto de atribuciones, como cualquier otra controversia sometida al enjuiciamiento de este Tribunal Constitucional, ha de regirse únicamente por lo dispuesto a tal efecto por su propia Ley Orgánica.</w:t>
      </w:r>
    </w:p>
    <w:p w14:paraId="49C1C4DF" w14:textId="77777777" w:rsidR="008D479B" w:rsidRDefault="008D479B" w:rsidP="008D479B">
      <w:pPr>
        <w:pStyle w:val="TextoNormal"/>
      </w:pPr>
    </w:p>
    <w:p w14:paraId="6C3A9B38" w14:textId="77777777" w:rsidR="008D479B" w:rsidRDefault="008D479B" w:rsidP="008D479B">
      <w:pPr>
        <w:pStyle w:val="TextoNormal"/>
      </w:pPr>
      <w:r>
        <w:t>En este contexto, hemos ya declarado en otras ocasiones que “la decisión en torno a la admisión o inadmisión de un conflicto de atribuciones ha de venir determinada exclusivamente por lo que al respecto disponga la Ley Orgánica del Tribunal Constitucional” (STC 124/2018, de 14 de noviembre, FJ 2). Lo cual abarca también, de forma ineludible, la identificación de los sujetos legitimados para promover un conflicto de atribuciones, operación que lleva a cabo el art. 59 LOTC, precepto que citan expresamente los recurrentes, determinando su apartado primero que el Tribunal Constitucional entenderá de los conflictos que opongan al Gobierno con el Congreso de los Diputados, el Senado o el Consejo General del Poder Judicial; o a cualquiera de estos órganos constitucionales entre sí.</w:t>
      </w:r>
    </w:p>
    <w:p w14:paraId="01D5E34A" w14:textId="77777777" w:rsidR="008D479B" w:rsidRDefault="008D479B" w:rsidP="008D479B">
      <w:pPr>
        <w:pStyle w:val="TextoNormal"/>
      </w:pPr>
    </w:p>
    <w:p w14:paraId="39DE2320" w14:textId="77777777" w:rsidR="008D479B" w:rsidRDefault="008D479B" w:rsidP="008D479B">
      <w:pPr>
        <w:pStyle w:val="TextoNormal"/>
      </w:pPr>
      <w:r>
        <w:t>Así las cosas, no excluye la Ley Orgánica del Tribunal Constitucional al Consejo “en funciones” de la posibilidad de interponer un conflicto de atribuciones, el cual debería en consecuencia seguir estando legitimado para promover dicho conflicto frente a “decisiones o actos de otros órganos constitucionales que supongan una efectiva y actual invasión de [sus] atribuciones” (STC 45/1986, de 17 de abril, FJ 2).</w:t>
      </w:r>
    </w:p>
    <w:p w14:paraId="1ADA47B8" w14:textId="77777777" w:rsidR="008D479B" w:rsidRDefault="008D479B" w:rsidP="008D479B">
      <w:pPr>
        <w:pStyle w:val="TextoNormal"/>
      </w:pPr>
    </w:p>
    <w:p w14:paraId="4FD84779" w14:textId="77777777" w:rsidR="008D479B" w:rsidRDefault="008D479B" w:rsidP="008D479B">
      <w:pPr>
        <w:pStyle w:val="TextoNormal"/>
      </w:pPr>
      <w:r>
        <w:t>Se está privando al Consejo de promover un procedimiento que le permite defender las funciones que constitucional y legalmente le corresponden (STC 45/1986, de 17 de abril, FJ 5), siendo así además que “[d]efendiendo sus atribuciones propias, el Consejo desarrolla, indirectamente, una importante labor de garantía de la posición de independencia” (</w:t>
      </w:r>
      <w:r w:rsidRPr="008D479B">
        <w:rPr>
          <w:i/>
        </w:rPr>
        <w:t>ibidem</w:t>
      </w:r>
      <w:r>
        <w:t>). La privación de esta potestad tiene una gran relevancia constitucional, no solo porque se afecte de forma directa a los procedimientos de los que conoce este Tribunal Constitucional, sino porque el conflicto de atribuciones tiene la finalidad de garantizar “la existencia de la misma estructura constitucional concebida como sistema de relaciones entre órganos constitucionales dotados de competencias propias, que se protegen también a través de esta vía procesal” (STC 45/1986, de 17 de abril, FJ 4, y, en sentido similar, STC 234/2000, de 3 de octubre, FJ 4).</w:t>
      </w:r>
    </w:p>
    <w:p w14:paraId="66CC3C0D" w14:textId="77777777" w:rsidR="008D479B" w:rsidRDefault="008D479B" w:rsidP="008D479B">
      <w:pPr>
        <w:pStyle w:val="TextoNormal"/>
      </w:pPr>
    </w:p>
    <w:p w14:paraId="1687B826" w14:textId="77777777" w:rsidR="008D479B" w:rsidRDefault="008D479B" w:rsidP="008D479B">
      <w:pPr>
        <w:pStyle w:val="TextoNormal"/>
      </w:pPr>
      <w:r>
        <w:t xml:space="preserve">En consecuencia, entendemos que se tenía que haber apreciado la vulneración constitucional que se denuncia dado que el nuevo artículo 570 </w:t>
      </w:r>
      <w:r w:rsidRPr="008D479B">
        <w:rPr>
          <w:i/>
        </w:rPr>
        <w:t>bis</w:t>
      </w:r>
      <w:r>
        <w:t xml:space="preserve"> LOPJ, introducido por el apartado 1 del artículo único de la Ley Orgánica 4/2021, desapodera al Consejo de la posibilidad de promover un conflicto de atribuciones cuando el mandato de sus vocales ha expirado, y al hacerlo introduce una regulación sobre las condiciones para el ejercicio de dicha acción, negando legitimación al órgano constitucional cuando se encuentra en dicha situación, regulando de esta manera una materia reservada de forma exclusiva y excluyente a la Ley Orgánica del Tribunal Constitucional por imperativo de los arts. 161.1 d) y 165 CE.</w:t>
      </w:r>
    </w:p>
    <w:p w14:paraId="5964EB38" w14:textId="77777777" w:rsidR="008D479B" w:rsidRDefault="008D479B" w:rsidP="008D479B">
      <w:pPr>
        <w:pStyle w:val="TextoNormal"/>
      </w:pPr>
    </w:p>
    <w:p w14:paraId="19B72DCB" w14:textId="0FA0B8C2" w:rsidR="008D479B" w:rsidRDefault="008D479B" w:rsidP="008D479B">
      <w:pPr>
        <w:pStyle w:val="TextoNormal"/>
      </w:pPr>
      <w:r>
        <w:t>Madrid, a dos de octubre de dos mil veintitrés.</w:t>
      </w:r>
    </w:p>
    <w:p w14:paraId="6544E18A" w14:textId="1E8D5023" w:rsidR="008D479B" w:rsidRDefault="008D479B">
      <w:pPr>
        <w:spacing w:after="160" w:line="278" w:lineRule="auto"/>
        <w:rPr>
          <w:rFonts w:ascii="Times New Roman" w:eastAsia="Times New Roman" w:hAnsi="Times New Roman" w:cs="Times New Roman"/>
          <w:sz w:val="24"/>
          <w:szCs w:val="24"/>
          <w:lang w:eastAsia="es-ES"/>
        </w:rPr>
      </w:pPr>
      <w:r>
        <w:br w:type="page"/>
      </w:r>
    </w:p>
    <w:p w14:paraId="3D77CAAD" w14:textId="77777777" w:rsidR="008D479B" w:rsidRDefault="008D479B" w:rsidP="008D479B">
      <w:pPr>
        <w:pStyle w:val="TtuloResolucin"/>
      </w:pPr>
      <w:bookmarkStart w:id="54" w:name="SENTENCIA_2023_129"/>
      <w:r>
        <w:t>SENTENCIA 129/2023, de 23 de octubre de 2023</w:t>
      </w:r>
    </w:p>
    <w:bookmarkEnd w:id="54"/>
    <w:p w14:paraId="016F5261" w14:textId="77777777" w:rsidR="008D479B" w:rsidRDefault="008D479B" w:rsidP="008D479B">
      <w:pPr>
        <w:pStyle w:val="TtuloResolucin"/>
      </w:pPr>
      <w:r>
        <w:t>Sala Segunda</w:t>
      </w:r>
    </w:p>
    <w:p w14:paraId="4B8586CC" w14:textId="77777777" w:rsidR="008D479B" w:rsidRDefault="008D479B" w:rsidP="008D479B">
      <w:pPr>
        <w:pStyle w:val="TtuloBOE"/>
      </w:pPr>
      <w:r>
        <w:t>(BOE núm. 286, de 30 de noviembre de 2023)</w:t>
      </w:r>
    </w:p>
    <w:p w14:paraId="7F374050" w14:textId="77777777" w:rsidR="008D479B" w:rsidRDefault="008D479B" w:rsidP="008D479B">
      <w:pPr>
        <w:pStyle w:val="TextoNormalCentrado"/>
      </w:pPr>
      <w:r>
        <w:t>ECLI:ES:TC:2023:129</w:t>
      </w:r>
    </w:p>
    <w:p w14:paraId="471B9FC0" w14:textId="09CC5721" w:rsidR="008D479B" w:rsidRDefault="008D479B" w:rsidP="008D479B">
      <w:pPr>
        <w:pStyle w:val="TextoNormalCentrado"/>
      </w:pPr>
    </w:p>
    <w:p w14:paraId="0ABDD653" w14:textId="77777777" w:rsidR="008D479B" w:rsidRDefault="008D479B" w:rsidP="008D479B">
      <w:pPr>
        <w:pStyle w:val="SntesisDescriptiva"/>
      </w:pPr>
      <w:r>
        <w:t>Recurso de amparo 4351-2020. Promovido por la asociación Club de Leones de Gijón en relación con las sentencias dictadas por la Sala de lo Civil del Tribunal Supremo, la Audiencia Provincial de Asturias y un juzgado de primera instancia de Gijón, que desestimaron su demanda sobre expulsión de la asociación mundial de clubes de leones.</w:t>
      </w:r>
    </w:p>
    <w:p w14:paraId="1C7E221D" w14:textId="5842838E" w:rsidR="008D479B" w:rsidRDefault="008D479B" w:rsidP="008D479B">
      <w:pPr>
        <w:pStyle w:val="SntesisDescriptiva"/>
      </w:pPr>
    </w:p>
    <w:p w14:paraId="73A4C5DE" w14:textId="77777777" w:rsidR="008D479B" w:rsidRDefault="008D479B" w:rsidP="008D479B">
      <w:pPr>
        <w:pStyle w:val="SntesisAnaltica"/>
      </w:pPr>
      <w:r>
        <w:t>Supuesta vulneración del derecho de asociación: la impugnación de decisiones de la asamblea de la asociación mundial sin el agotamiento previo de la vía interna de resolución de conflictos no constituye ejercicio de una facultad de la dimensión inter privatos del derecho de asociación, sino el incumplimiento de una obligación de los asociados.</w:t>
      </w:r>
    </w:p>
    <w:p w14:paraId="0B3B66FE" w14:textId="4E718269" w:rsidR="008D479B" w:rsidRDefault="008D479B" w:rsidP="008D479B">
      <w:pPr>
        <w:pStyle w:val="SntesisAnaltica"/>
      </w:pPr>
    </w:p>
    <w:p w14:paraId="70DADBA3" w14:textId="06C6A818" w:rsidR="008D479B" w:rsidRDefault="008D479B" w:rsidP="008D479B">
      <w:pPr>
        <w:pStyle w:val="Extracto"/>
      </w:pPr>
      <w:r>
        <w:t>1.</w:t>
      </w:r>
      <w:r>
        <w:tab/>
        <w:t>El art. 22 CE reconoce a las asociaciones la facultad de autoorganización como contenido propio del derecho fundamental, como una garantía de espacio libre de intromisiones de los poderes públicos. Ello implica que el control judicial que pueda ejercer sobre su organización y funcionamiento tenga un alcance limitado, aunque no vacío o inexistente porque, por otra parte, el art. 22 CE también contiene una dimensión</w:t>
      </w:r>
      <w:r w:rsidRPr="008D479B">
        <w:rPr>
          <w:i/>
        </w:rPr>
        <w:t xml:space="preserve"> inter privatos </w:t>
      </w:r>
      <w:r>
        <w:t>que, entre otras, reconoce la facultad de los socios de impugnar ante la justicia las decisiones que se adopten en el seno de la asociación si creen que son contrarias a la ley o a los estatutos [FJ 3].</w:t>
      </w:r>
    </w:p>
    <w:p w14:paraId="3086059C" w14:textId="77777777" w:rsidR="008D479B" w:rsidRDefault="008D479B" w:rsidP="008D479B">
      <w:pPr>
        <w:pStyle w:val="Extracto"/>
      </w:pPr>
    </w:p>
    <w:p w14:paraId="1ECD66E2" w14:textId="3B5B721F" w:rsidR="008D479B" w:rsidRDefault="008D479B" w:rsidP="008D479B">
      <w:pPr>
        <w:pStyle w:val="Extracto"/>
      </w:pPr>
      <w:r>
        <w:t>2.</w:t>
      </w:r>
      <w:r>
        <w:tab/>
        <w:t xml:space="preserve">Los estatutos de una asociación no pueden rechazar que, aunque sea de forma subsidiaria, sus asociados recurran las decisiones que ponen fin al proceso de resolución interno de disputas ante la jurisdicción ordinaria. En la capacidad de autoorganización de la asociación queda amparada la regulación de procedimientos de resolución de los conflictos que se generen internamente, con la capacidad de los asociados de impugnar las decisiones internas ante la justicia, aunque sea de forma subsidiaria, como unas las facultades de la dimensión </w:t>
      </w:r>
      <w:r w:rsidRPr="008D479B">
        <w:rPr>
          <w:i/>
        </w:rPr>
        <w:t xml:space="preserve">inter privatos </w:t>
      </w:r>
      <w:r>
        <w:t>del derecho de asociación [FJ 3].</w:t>
      </w:r>
    </w:p>
    <w:p w14:paraId="31A1A5A2" w14:textId="77777777" w:rsidR="008D479B" w:rsidRDefault="008D479B" w:rsidP="008D479B">
      <w:pPr>
        <w:pStyle w:val="Extracto"/>
      </w:pPr>
    </w:p>
    <w:p w14:paraId="61148805" w14:textId="77777777" w:rsidR="008D479B" w:rsidRDefault="008D479B" w:rsidP="008D479B">
      <w:pPr>
        <w:pStyle w:val="Extracto"/>
      </w:pPr>
    </w:p>
    <w:p w14:paraId="1C749291" w14:textId="77777777" w:rsidR="008D479B" w:rsidRDefault="008D479B" w:rsidP="008D479B">
      <w:pPr>
        <w:pStyle w:val="TextoNormal"/>
      </w:pPr>
      <w: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14:paraId="4DE5F51B" w14:textId="2FA65E18" w:rsidR="008D479B" w:rsidRDefault="008D479B" w:rsidP="008D479B">
      <w:pPr>
        <w:pStyle w:val="TextoNormal"/>
      </w:pPr>
    </w:p>
    <w:p w14:paraId="6EF91200" w14:textId="77777777" w:rsidR="008D479B" w:rsidRDefault="008D479B" w:rsidP="008D479B">
      <w:pPr>
        <w:pStyle w:val="TextoNormalCentrado"/>
        <w:keepNext/>
      </w:pPr>
      <w:r>
        <w:t>EN NOMBRE DEL REY</w:t>
      </w:r>
    </w:p>
    <w:p w14:paraId="740316EC" w14:textId="35934CE1" w:rsidR="008D479B" w:rsidRDefault="008D479B" w:rsidP="008D479B">
      <w:pPr>
        <w:pStyle w:val="TextoNormalCentrado"/>
        <w:keepNext/>
      </w:pPr>
    </w:p>
    <w:p w14:paraId="4E536276" w14:textId="77777777" w:rsidR="008D479B" w:rsidRDefault="008D479B" w:rsidP="008D479B">
      <w:pPr>
        <w:pStyle w:val="TextoNormalCentrado"/>
        <w:keepNext/>
      </w:pPr>
    </w:p>
    <w:p w14:paraId="2F94C96A" w14:textId="77777777" w:rsidR="008D479B" w:rsidRDefault="008D479B" w:rsidP="008D479B">
      <w:pPr>
        <w:pStyle w:val="TextoNormal"/>
      </w:pPr>
      <w:r>
        <w:t>la siguiente</w:t>
      </w:r>
    </w:p>
    <w:p w14:paraId="34851178" w14:textId="6FFBF28C" w:rsidR="008D479B" w:rsidRDefault="008D479B" w:rsidP="008D479B">
      <w:pPr>
        <w:pStyle w:val="TextoNormal"/>
      </w:pPr>
    </w:p>
    <w:p w14:paraId="3B469408" w14:textId="77777777" w:rsidR="008D479B" w:rsidRDefault="008D479B" w:rsidP="008D479B">
      <w:pPr>
        <w:pStyle w:val="TextoNormalCentrado"/>
        <w:keepNext/>
      </w:pPr>
      <w:r>
        <w:t>SENTENCIA</w:t>
      </w:r>
    </w:p>
    <w:p w14:paraId="03D4B1C0" w14:textId="11B3D6DD" w:rsidR="008D479B" w:rsidRDefault="008D479B" w:rsidP="008D479B">
      <w:pPr>
        <w:pStyle w:val="TextoNormalCentrado"/>
        <w:keepNext/>
      </w:pPr>
    </w:p>
    <w:p w14:paraId="6B7FD5FD" w14:textId="77777777" w:rsidR="008D479B" w:rsidRDefault="008D479B" w:rsidP="008D479B">
      <w:pPr>
        <w:pStyle w:val="TextoNormal"/>
      </w:pPr>
      <w:r>
        <w:t>En el recurso de amparo núm. 4351-2020, promovido por la asociación Club de Leones de Gijón, representada por la procuradora de los tribunales doña Begoña López Rodríguez, bajo la dirección letrada de don Javier de la Riera Díaz, contra la sentencia núm. 434/2020 de la Sala de lo Civil del Tribunal Supremo, de 15 de julio, en recurso de casación núm. 4235-2019; contra la sentencia núm. 192/2019, de 23 de mayo, de la Sección Séptima de la Audiencia Provincial de Asturias, Sección con sede en Gijón, en el recurso de apelación núm. 224-2019; y contra la sentencia núm. 287/2018, de 28 de diciembre, dictada por el Juzgado de Primera Instancia núm. 4 de Gijón en los autos del procedimiento ordinario núm. 563-2014. Han intervenido The International Association of Lions Club, la Federación de Clubes de Leones de España-Distrito Múltiple 116, y el Ministerio Fiscal. Ha sido ponente la magistrada doña María Luisa Balaguer Callejón.</w:t>
      </w:r>
    </w:p>
    <w:p w14:paraId="047715EF" w14:textId="4331E08A" w:rsidR="008D479B" w:rsidRDefault="008D479B" w:rsidP="008D479B">
      <w:pPr>
        <w:pStyle w:val="TextoNormal"/>
      </w:pPr>
    </w:p>
    <w:p w14:paraId="31F5893B" w14:textId="77777777" w:rsidR="008D479B" w:rsidRDefault="008D479B" w:rsidP="008D479B">
      <w:pPr>
        <w:pStyle w:val="TextoNormalNegritaCentrado"/>
        <w:keepNext/>
      </w:pPr>
      <w:r>
        <w:t>I. Antecedentes</w:t>
      </w:r>
    </w:p>
    <w:p w14:paraId="5378CB34" w14:textId="5C187962" w:rsidR="008D479B" w:rsidRDefault="008D479B" w:rsidP="008D479B">
      <w:pPr>
        <w:pStyle w:val="TextoNormalNegritaCentrado"/>
        <w:keepNext/>
      </w:pPr>
    </w:p>
    <w:p w14:paraId="08B92517" w14:textId="7BEC2764" w:rsidR="008D479B" w:rsidRDefault="008D479B" w:rsidP="008D479B">
      <w:pPr>
        <w:pStyle w:val="TextoNormal"/>
      </w:pPr>
      <w:r w:rsidRPr="008D479B">
        <w:rPr>
          <w:rStyle w:val="NumeroAFNegritaCaracter"/>
        </w:rPr>
        <w:t>1</w:t>
      </w:r>
      <w:r>
        <w:t>. Mediante escrito presentado en el registro de este tribunal el día 14 de septiembre de 2020, la procuradora de los tribunales doña Begoña López Rodríguez, en nombre y representación de la asociación Club de Leones de Gijón, y bajo la defensa del letrado don Javier de la Riera Díaz, interpuso demanda de amparo contra las decisiones judiciales mencionadas en el encabezamiento de esta sentencia.</w:t>
      </w:r>
    </w:p>
    <w:p w14:paraId="57F534A8" w14:textId="77777777" w:rsidR="008D479B" w:rsidRDefault="008D479B" w:rsidP="008D479B">
      <w:pPr>
        <w:pStyle w:val="TextoNormal"/>
      </w:pPr>
    </w:p>
    <w:p w14:paraId="3E0AAB81" w14:textId="77777777" w:rsidR="008D479B" w:rsidRDefault="008D479B" w:rsidP="008D479B">
      <w:pPr>
        <w:pStyle w:val="TextoNormal"/>
      </w:pPr>
      <w:r w:rsidRPr="008D479B">
        <w:rPr>
          <w:rStyle w:val="NumeroAFNegritaCaracter"/>
        </w:rPr>
        <w:t>2</w:t>
      </w:r>
      <w:r>
        <w:t>. Los hechos relevantes para resolver el recurso de amparo son, sucintamente expuestos, los siguientes:</w:t>
      </w:r>
    </w:p>
    <w:p w14:paraId="69965530" w14:textId="77777777" w:rsidR="008D479B" w:rsidRDefault="008D479B" w:rsidP="008D479B">
      <w:pPr>
        <w:pStyle w:val="TextoNormal"/>
      </w:pPr>
    </w:p>
    <w:p w14:paraId="25B622E3" w14:textId="77777777" w:rsidR="008D479B" w:rsidRDefault="008D479B" w:rsidP="008D479B">
      <w:pPr>
        <w:pStyle w:val="TextoNormal"/>
      </w:pPr>
      <w:r>
        <w:t xml:space="preserve">a) La asociación Club de Leones de Gijón se incorporó a la Federación de Clubes de Leones de España-Distrito Múltiple 116 (en adelante, FCLE), que agrupa a la totalidad de los clubes de leones de España, por acuerdo de adscripción de 6 de abril de 2006, pasando a formar parte de </w:t>
      </w:r>
      <w:r w:rsidRPr="008D479B">
        <w:rPr>
          <w:i/>
        </w:rPr>
        <w:t>The International Association of Lions Club</w:t>
      </w:r>
      <w:r>
        <w:t xml:space="preserve"> (en adelante, LCI). Esta es una asociación de ámbito mundial sin ánimo de lucro, miembro consultor de la Organización Mundial de la Salud (en adelante, OMS) y miembro consultivo del Consejo Económico y Social de las Organización de las Naciones Unidas (ONU).</w:t>
      </w:r>
    </w:p>
    <w:p w14:paraId="6005C754" w14:textId="77777777" w:rsidR="008D479B" w:rsidRDefault="008D479B" w:rsidP="008D479B">
      <w:pPr>
        <w:pStyle w:val="TextoNormal"/>
      </w:pPr>
    </w:p>
    <w:p w14:paraId="0D4971DB" w14:textId="77777777" w:rsidR="008D479B" w:rsidRDefault="008D479B" w:rsidP="008D479B">
      <w:pPr>
        <w:pStyle w:val="TextoNormal"/>
      </w:pPr>
      <w:r>
        <w:t>b) El 18 de mayo de 2013 se celebró en Marbella la XLVI convención nacional de clubes de leones de España. Allí se celebró la asamblea general del Distrito Múltiple 116 (FCLE), en la cual el club de Gijón presentó a votación diversas mociones, siendo las mismas inadmitidas y no sometidas a votación por decisión de los órganos directivos de la FCLE.</w:t>
      </w:r>
    </w:p>
    <w:p w14:paraId="334F4ABA" w14:textId="77777777" w:rsidR="008D479B" w:rsidRDefault="008D479B" w:rsidP="008D479B">
      <w:pPr>
        <w:pStyle w:val="TextoNormal"/>
      </w:pPr>
    </w:p>
    <w:p w14:paraId="4BAF14A1" w14:textId="77777777" w:rsidR="008D479B" w:rsidRDefault="008D479B" w:rsidP="008D479B">
      <w:pPr>
        <w:pStyle w:val="TextoNormal"/>
      </w:pPr>
      <w:r>
        <w:t>c) El 28 de junio de 2013, el Club de Leones de Gijón interpuso una demanda civil contra los acuerdos adoptados en la asamblea general de la FCLE celebrada en Marbella, en el plazo de cuarenta días establecido en el art. 40.3 de la Ley Orgánica 1/2002, de 22 de marzo, reguladora del derecho de asociación (en adelante, LODA), y solicitó la suspensión cautelar de los acuerdos sujetos a inscripción registral. Se impugnaron los acuerdos de inadmisión a votación de las mociones presentadas por el club de Gijón, los acuerdos que aprobaron otras cuatro mociones presentadas en la asamblea por otros clubes y el acuerdo de proclamación y elección del presidente del consejo de gobernadores. El procedimiento se tramitó ante el Juzgado de Primera Instancia núm. 34 de Madrid. Como se desprende de los escritos de las partes, dicho juzgado, en el procedimiento ordinario núm. 843-2013, acordó, como medida cautelar, la suspensión de la inscripción de los acuerdos susceptibles de acceder al registro de asociaciones determinados en la solicitud. La FCLE planteó declinatoria de jurisdicción, por considerar que concurría la excepción procesal de sumisión de la cuestión litigiosa a arbitraje, argumentando que los asuntos de la asociación tenían que ser sometidos a los procedimientos internos de resolución de conflictos establecidos por la junta directiva internacional de la LCI. Recurrida esta resolución en apelación, la Audiencia Provincial de Madrid (Sección Duodécima) dictó auto desestimatorio, de 23 de octubre de 2014. Por sentencia de 17 de noviembre de 2014, el Juzgado de Primera Instancia núm. 34 de Madrid resolvió el fondo estimando la demanda y anulando los acuerdos impugnados, sin que esta sentencia se recurriera en apelación.</w:t>
      </w:r>
    </w:p>
    <w:p w14:paraId="0D2FC197" w14:textId="77777777" w:rsidR="008D479B" w:rsidRDefault="008D479B" w:rsidP="008D479B">
      <w:pPr>
        <w:pStyle w:val="TextoNormal"/>
      </w:pPr>
    </w:p>
    <w:p w14:paraId="29EBD0A0" w14:textId="77777777" w:rsidR="008D479B" w:rsidRDefault="008D479B" w:rsidP="008D479B">
      <w:pPr>
        <w:pStyle w:val="TextoNormal"/>
      </w:pPr>
      <w:r>
        <w:t xml:space="preserve">d) Paralelamente, por carta de 29 de octubre de 2013, la LCI comunicó al club de Gijón que se le consideraba en situación de </w:t>
      </w:r>
      <w:r w:rsidRPr="008D479B">
        <w:rPr>
          <w:i/>
        </w:rPr>
        <w:t>statu quo</w:t>
      </w:r>
      <w:r>
        <w:t xml:space="preserve"> (situación de suspensión) y le advertía de la próxima cancelación de su carta constitutiva (expulsión) en caso de que no retirase la demanda pendiente ante la jurisdicción civil española y así lo acreditase, prorrogándose posteriormente el plazo del 12 al 25 de noviembre de 2013. En su carta, la LCI recordaba al presidente del Club de Leones de Gijón que todos los socios, al asociarse en un club de leones, aceptaban acatar la decisión que resultase de los procedimientos de resolución de disputas internas y, a tal efecto, reproducía el artículo XIII párrafos (b) (c) y (d) de los estatutos y reglamentos de la LCI, precisando que dichas normas se interpretaban de conformidad con las leyes en vigor. Por ello, se consideraba que la interposición de la demanda era una transgresión de los estatutos y se solicitaba su inmediata retirada, arriesgándose en otro caso a la cancelación del Club de Leones de Gijón, la revocación de la carta constitutiva del club y la eliminación de todos los socios del club. Entretanto, la LCI nombró a un mediador, cuya condición para iniciar el proceso de mediación era la retirada inmediata de la demanda pendiente. Finalmente, el 10 de marzo de 2014, dado que el Club de Leones de Gijón no retiró la demanda interpuesta, y en aplicación de lo ya advertido en su carta de suspensión, la LCI canceló la carta constitutiva del Club de Leones de Gijón, privando al club y a todos sus miembros de sus derechos en la organización.</w:t>
      </w:r>
    </w:p>
    <w:p w14:paraId="1E8A0FB6" w14:textId="77777777" w:rsidR="008D479B" w:rsidRDefault="008D479B" w:rsidP="008D479B">
      <w:pPr>
        <w:pStyle w:val="TextoNormal"/>
      </w:pPr>
    </w:p>
    <w:p w14:paraId="5EF98B37" w14:textId="77777777" w:rsidR="008D479B" w:rsidRDefault="008D479B" w:rsidP="008D479B">
      <w:pPr>
        <w:pStyle w:val="TextoNormal"/>
      </w:pPr>
      <w:r>
        <w:t xml:space="preserve">e) El 9 de junio de 2014 el Club de Leones de Gijón interpuso demanda de protección de derechos fundamentales contra la LCI y la FCLE al considerar que su situación de </w:t>
      </w:r>
      <w:r w:rsidRPr="008D479B">
        <w:rPr>
          <w:i/>
        </w:rPr>
        <w:t>statu quo</w:t>
      </w:r>
      <w:r>
        <w:t xml:space="preserve"> en el seno de la LCI y la posterior cancelación de su carta constitutiva eran contrarias a los derechos garantizados en los arts. 22, 24 y 25 CE. El Juzgado de Primera Instancia núm. 4 de Gijón dictó sentencia el 28 de diciembre de 2018 en la que, que en aplicación del plazo establecido en el art. 40 LODA, estimó la excepción de caducidad de la acción ejercitada, absolviendo a las demandadas de la totalidad de las pretensiones formuladas por el Club de Leones de Gijón.</w:t>
      </w:r>
    </w:p>
    <w:p w14:paraId="18674DF3" w14:textId="77777777" w:rsidR="008D479B" w:rsidRDefault="008D479B" w:rsidP="008D479B">
      <w:pPr>
        <w:pStyle w:val="TextoNormal"/>
      </w:pPr>
    </w:p>
    <w:p w14:paraId="14C49ECC" w14:textId="77777777" w:rsidR="008D479B" w:rsidRDefault="008D479B" w:rsidP="008D479B">
      <w:pPr>
        <w:pStyle w:val="TextoNormal"/>
      </w:pPr>
      <w:r>
        <w:t xml:space="preserve">f) Contra la citada sentencia el Club de Leones de Gijón interpuso recurso de apelación. La Sección Séptima de la Audiencia Provincial de Asturias dictó sentencia de 23 de mayo de 2019, en que estimaba parcialmente el recurso. Revocó la decisión del juzgado de primera instancia en su parte relativa a la excepción de caducidad de la acción y, en su lugar, desestimó el recurso al considerar que la actuación de las demandadas, la LCI y la FCLE, no era vulneradora de ninguno de los derechos fundamentales alegados. En su sentencia, la Audiencia Provincial acabó concluyendo, en primer lugar, que tanto el acuerdo de </w:t>
      </w:r>
      <w:r w:rsidRPr="008D479B">
        <w:rPr>
          <w:i/>
        </w:rPr>
        <w:t>statu quo</w:t>
      </w:r>
      <w:r>
        <w:t xml:space="preserve"> como el de expulsión del Club de Leones de Gijón de la LCI eran el resultado de acudir a la justicia ordinaria y de no desistir del procedimiento judicial seguido, pese a los avisos de incumplimiento estatutario. La apelante aducía que aquello había supuesto la conculcación de su derecho fundamental a asociarse —y su derecho a la tutela judicial efectiva. Sin embargo, continuaba la Audiencia Provincial, la LCI “tenía estatutariamente previsto su propio sistema y procedimiento de solución de conflictos internos, que como socio la apelante conocía, y al que estaba obligada a someterse para resolver la cuestión por ella planteada en su demanda ante los tribunales. Siendo ello así, la reacción de la LCI no puede considerarse arbitraria, sino ajustada a los estatutos, en tanto en cuanto con ello la actora incumplía sus obligaciones como socio”. En segundo lugar, la Audiencia Provincial, concluye que, en contra de lo planteado por el Club de Leones de Gijón, “el establecimiento de un sistema propio de solución de conflictos internos no conculca los derechos fundamentales invocados, en la medida en que ello no significa que el procedimiento interno no pueda ser fiscalizado por los órganos judiciales”.</w:t>
      </w:r>
    </w:p>
    <w:p w14:paraId="3F13EBAF" w14:textId="77777777" w:rsidR="008D479B" w:rsidRDefault="008D479B" w:rsidP="008D479B">
      <w:pPr>
        <w:pStyle w:val="TextoNormal"/>
      </w:pPr>
    </w:p>
    <w:p w14:paraId="7F0027DD" w14:textId="3DC24B10" w:rsidR="008D479B" w:rsidRDefault="008D479B" w:rsidP="008D479B">
      <w:pPr>
        <w:pStyle w:val="TextoNormal"/>
      </w:pPr>
      <w:r>
        <w:t xml:space="preserve">g) A continuación, el Club de Leones de Gijón interpuso recurso de casación contra la sentencia dictada en apelación por la Audiencia Provincial de Asturias, desestimado por la sentencia de la Sala de lo Civil del Tribunal Supremo de 15 de julio de 2020. Respecto a la alegada lesión del derecho de asociación, el Tribunal Supremo partía de la premisa de que el derecho de las asociaciones a organizar libremente su estructura y funcionamiento interno no es ilimitado, debiendo respetar, entre otros, los derechos de los asociados, siendo uno de ellos el contemplado en el art. 21 d) LODA que reconoce el derecho a impugnar los acuerdos de los órganos de la asociación que estime contrarios a la ley o a los estatutos. Con cita de la STS 679/2019, de 17 de diciembre, la Sala Primera del Tribunal Supremo afirmaba que el asociado no renuncia al derecho fundamental a la tutela judicial efectiva cuando entra a formar parte de la asociación, ya que la exigencia de lealtad asociativa no puede impedir que el socio o afiliado impugne los acuerdos de la asociación. Por ello, no son válidas las cláusulas estatutarias que excluyen la posibilidad de impugnación judicial de sus acuerdos ni tampoco los acuerdos de la asociación que sancionan al asociado por el simple hecho de haber impugnado judicialmente sus acuerdos. Según la Sala, lo anterior no impide que los estatutos de una asociación, en el ejercicio del derecho de autoorganización del que es titular, puedan instituir un trámite interno previo antes de acudir a la jurisdicción. Tal es el caso, según el Tribunal Supremo, de los estatutos de la FCLE, así como de la LCI, en los que, a pesar de que en algunas de sus disposiciones pudiera parecer que está excluyendo la posibilidad de acudir a la vía judicial una vez se haya adoptado la decisión final en el procedimiento interno, en las directrices para la resolución de disputas de </w:t>
      </w:r>
      <w:r w:rsidRPr="008D479B">
        <w:rPr>
          <w:i/>
        </w:rPr>
        <w:t>The International Association of Lions Club</w:t>
      </w:r>
      <w:r>
        <w:t xml:space="preserve"> se afirma que los “Lions deben agotar todos los remedios internos antes de acudir a los tribunales”. La interpretación de dichos textos debe llevarse a cabo, en todo caso, de conformidad con la Constitución y las leyes de desarrollo de los derechos fundamentales. Así, el plazo de ejercicio de la acción previsto en el art. 40 LODA no comenzará a correr hasta que se adopte la última decisión en el procedimiento interno de resolución de disputas. En atención a las anteriores consideraciones, el Tribunal Supremo concluyó que la causa de la imposición de la sanción al recurrente en amparo no fue que este impugnara judicialmente los acuerdos de la asociación, sino que incumplió la obligación de acudir previamente a los procedimientos internos de resolución de disputas, sin que tal previsión estatutaria prohibiese que, una vez agotadas las vías internas, el recurrente pudiese acceder a los órganos judiciales. La Sala de lo Civil del Tribunal Supremo tampoco aceptó el segundo de los motivos aducidos en el recurso de casación por la asociación recurrente. La parte defendía que la actuación tanto de la FCLE como de la LCI lesionaron su derecho fundamental de asociación porque los acuerdos de suspensión y expulsión no contaban con una base razonable debido a que penalizaban el ejercicio del derecho fundamental en su vertiente </w:t>
      </w:r>
      <w:r w:rsidRPr="008D479B">
        <w:rPr>
          <w:i/>
        </w:rPr>
        <w:t>inter privatos</w:t>
      </w:r>
      <w:r>
        <w:t xml:space="preserve"> de recurrir ante la justicia ordinaria. La Sala resuelve que, una vez que la asociación, en el ejercicio de su derecho a la autoorganización interna, ha establecido mecanismos internos de resolución de conflictos previos a la vía judicial con el fin de no involucrar a sujetos y organizaciones ajenas a la misma, el incumplimiento de dicha obligación por uno de los socios supone una base razonable para la suspensión y expulsión. Por último, el Tribunal Supremo también desestimó la alegada lesión del derecho garantizado en el art. 25.1 CE, puesto que su aplicación queda circunscrita a los ilícitos penales y administrativos, no pudiendo invocarse en el ámbito disciplinario de las asociaciones.</w:t>
      </w:r>
    </w:p>
    <w:p w14:paraId="18824C7F" w14:textId="77777777" w:rsidR="008D479B" w:rsidRDefault="008D479B" w:rsidP="008D479B">
      <w:pPr>
        <w:pStyle w:val="TextoNormal"/>
      </w:pPr>
    </w:p>
    <w:p w14:paraId="49E0338D" w14:textId="77777777" w:rsidR="008D479B" w:rsidRDefault="008D479B" w:rsidP="008D479B">
      <w:pPr>
        <w:pStyle w:val="TextoNormal"/>
      </w:pPr>
      <w:r w:rsidRPr="008D479B">
        <w:rPr>
          <w:rStyle w:val="NumeroAFNegritaCaracter"/>
        </w:rPr>
        <w:t>3</w:t>
      </w:r>
      <w:r>
        <w:t>. En la demanda de amparo se alega la vulneración del derecho de asociación garantizado en el art. 22 CE desde una doble perspectiva. Por una parte, la recurrente considera que la suspensión y expulsión del Club de Leones de Gijón por la LCI vulnera el art. 21 d) LODA —la demanda de amparo se refiere inicialmente al art. 20.1 d), precepto inexistente, y en páginas posteriores cita correctamente el art. 21 d)—, que establece como derecho de los asociados el de “impugnar los acuerdos de los órganos de la asociación que estime contrarios a la ley o a los estatutos”. Y, por otra, se aduce la vulneración del art. 22 CE porque la sentencia dictada por el Tribunal Supremo consideró que los acuerdos de suspensión y expulsión del Club de Leones de Gijón tenían una base razonable, pese a basarse en la aplicación de normas reglamentarias y estatutarias contrarias a Derecho, al penalizar el ejercicio de un derecho fundamental.</w:t>
      </w:r>
    </w:p>
    <w:p w14:paraId="171BBD2F" w14:textId="77777777" w:rsidR="008D479B" w:rsidRDefault="008D479B" w:rsidP="008D479B">
      <w:pPr>
        <w:pStyle w:val="TextoNormal"/>
      </w:pPr>
    </w:p>
    <w:p w14:paraId="584CAB0F" w14:textId="77777777" w:rsidR="008D479B" w:rsidRDefault="008D479B" w:rsidP="008D479B">
      <w:pPr>
        <w:pStyle w:val="TextoNormal"/>
      </w:pPr>
      <w:r>
        <w:t>Alega la demandante de amparo que si bien la sentencia del Tribunal Supremo señalaba que los estatutos establecían la obligación de acudir a los procedimientos internos de resolución de disputas antes de impugnar judicialmente los acuerdos sociales, en realidad, la normativa de la asociación impedía en cualquier caso la impugnación judicial de los acuerdos adoptados en el seno de la LCI sin incurrir en causa de expulsión, tal y como se desprendía de las comunicaciones remitidas por la LCI al club de Gijón. En sus cartas se aludía a que los procedimientos internos son el único mecanismo para resolver disputas, y en ningún momento se indicó que tales procedimientos fueran una instancia previa que hubiera que agotar antes de acudir a los tribunales.</w:t>
      </w:r>
    </w:p>
    <w:p w14:paraId="33FCDB0D" w14:textId="77777777" w:rsidR="008D479B" w:rsidRDefault="008D479B" w:rsidP="008D479B">
      <w:pPr>
        <w:pStyle w:val="TextoNormal"/>
      </w:pPr>
    </w:p>
    <w:p w14:paraId="45CDEC55" w14:textId="77777777" w:rsidR="008D479B" w:rsidRDefault="008D479B" w:rsidP="008D479B">
      <w:pPr>
        <w:pStyle w:val="TextoNormal"/>
      </w:pPr>
      <w:r>
        <w:t xml:space="preserve">El art. 21 d) LODA reconoce el derecho de los asociados de impugnar los acuerdos de las asociaciones como parte del núcleo esencial del derecho fundamental de asociación. Sin embargo, en la LCI, </w:t>
      </w:r>
      <w:r w:rsidRPr="008D479B">
        <w:rPr>
          <w:i/>
        </w:rPr>
        <w:t>de facto</w:t>
      </w:r>
      <w:r>
        <w:t>, se excluye la posibilidad de impugnar acuerdos en la vía judicial. De hecho, se considera que acudir a la justicia supone una violación grave de los estatutos que lleva aparejada la sanción de expulsión, con lo que se vulnera el art. 21 d) LODA y el derecho fundamental de asociación del Club de Leones de Gijón, en cuanto que las normas estatutarias vinculan su permanencia en la asociación al no ejercicio de un derecho fundamental. Considera la recurrente que esta situación no puede quedar amparada por la autonomía organizativa y reguladora de la asociación. Aunque reconoce la capacidad de la asociación para autoorganizarse libremente y la facultad de regular las causas y el procedimiento de expulsión de socios, esta facultad no es absoluta, sino que está sujeta a los límites establecidos por la Constitución y las leyes, y en este sentido queda sometida al control judicial, según la doctrina del Tribunal Constitucional. Pone de relieve, además, que se trata de una organización que ocupa una posición dominante en el ámbito asociativo mundial de carácter humanitario.</w:t>
      </w:r>
    </w:p>
    <w:p w14:paraId="2C0952D7" w14:textId="77777777" w:rsidR="008D479B" w:rsidRDefault="008D479B" w:rsidP="008D479B">
      <w:pPr>
        <w:pStyle w:val="TextoNormal"/>
      </w:pPr>
    </w:p>
    <w:p w14:paraId="5C310C47" w14:textId="77777777" w:rsidR="008D479B" w:rsidRDefault="008D479B" w:rsidP="008D479B">
      <w:pPr>
        <w:pStyle w:val="TextoNormal"/>
      </w:pPr>
      <w:r>
        <w:t xml:space="preserve">Asimismo, la parte alega que la sentencia del Tribunal Supremo implica una vulneración del art. 22 CE al considerar que los acuerdos de suspensión y expulsión del Club de Leones de Gijón tienen una base razonable pese a que se basan en la aplicación de normas reglamentarias y estatutarias contrarias a Derecho, al penalizar el ejercicio de un derecho fundamental. Como reconoce el Tribunal Constitucional desde la STC 218/1988, de 22 de noviembre, hay una cuarta dimensión del derecho fundamental de asociación, la dimensión </w:t>
      </w:r>
      <w:r w:rsidRPr="008D479B">
        <w:rPr>
          <w:i/>
        </w:rPr>
        <w:t>inter privatos</w:t>
      </w:r>
      <w:r>
        <w:t>. El derecho de asociación corresponde tanto al individuo como al grupo, y si algún derecho de los asociados fuera vulnerado por la actuación de los órganos de la asociación, aquellos podrán instar las acciones legales por vía judicial para lograr el pleno reconocimiento de su derecho. El principio de autogobierno de las asociaciones plantea hasta dónde llega el control judicial en la expulsión de los socios y, en este sentido, la doctrina constitucional atiende a dos aspectos: 1) las normas que lo fundamentan: normas estatutarias y del ordenamiento jurídico, especialmente cuando lesionen derechos fundamentales, y 2) la extensión del control: regularidad formal del acuerdo, proporcionalidad atendiendo a la naturaleza y fines de la asociación y existencia de base razonable. Pero, aunque se impongan límites al control judicial de los acuerdos de expulsión, estos límites no deberían dar lugar a situación de desprotección de los asociados que son expulsados por el ejercicio de un derecho fundamental. Así, la recurrente indica que en ocasiones se han considerado contrarios al derecho de asociación los actos de expulsión basados en el ejercicio de derechos fundamentales de los asociados, en caso del derecho al honor y la libertad de expresión. El análisis de la conducta del Club de Leones de Gijón debería llevar a reconocer el mismo amparo frente a la expulsión. Por otra parte, debe apreciarse contrario al art. 22 CE que se contemple como violación grave de los estatutos y reglamentos acudir a la vía judicial hasta el punto de considerarse causa de expulsión porque con ello se contraría un derecho fundamental. Por último, en la misma línea, la parte plantea si, a propósito de la base razonable, habría que ponderar también el hecho de que la asociación ocupa una posición dominante o significativa de privilegio o prestigio social en el ámbito humanitario, siendo actualmente la mayor organización sin ánimo de lucro del mundo, miembro consultor de la OMS y miembro consultivo del Consejo Económico y Social de la ONU.</w:t>
      </w:r>
    </w:p>
    <w:p w14:paraId="7E615D8D" w14:textId="77777777" w:rsidR="008D479B" w:rsidRDefault="008D479B" w:rsidP="008D479B">
      <w:pPr>
        <w:pStyle w:val="TextoNormal"/>
      </w:pPr>
    </w:p>
    <w:p w14:paraId="50C868D8" w14:textId="0B6B8AD8" w:rsidR="008D479B" w:rsidRDefault="008D479B" w:rsidP="008D479B">
      <w:pPr>
        <w:pStyle w:val="TextoNormal"/>
      </w:pPr>
      <w:r>
        <w:t xml:space="preserve">Por todo ello, la demandante solicita que se le otorgue el amparo, reconociendo su derecho fundamental a la asociación, que incluye el derecho de impugnar los acuerdos de los órganos de la asociación que estime contrarios a la ley o a los estatutos, sin que ello sea en ningún caso causa o motivo de suspensión o expulsión. Y, consecuentemente con sus peticiones, la parte solicita, por una parte, que se declare la nulidad de los acuerdos de </w:t>
      </w:r>
      <w:r w:rsidRPr="008D479B">
        <w:rPr>
          <w:i/>
        </w:rPr>
        <w:t>statu quo</w:t>
      </w:r>
      <w:r>
        <w:t xml:space="preserve"> (suspensión) del Club de Leones de Gijón en el seno de la LCI, así como la cancelación de la carta constitutiva (expulsión) del Club de Leones de Gijón, a las que se ha hecho referencia más arriba. Por otra parte, solicita que se anulen la sentencia núm. 434/2020 de la Sala de lo Civil del Tribunal Supremo, la sentencia núm. 192/2019 de la Sección Séptima de la Audiencia Provincial de Asturias, Sección con sede en Gijón, y la sentencia núm. 287/2018, dictada por el Juzgado de Primera Instancia núm. 4 de Gijón.</w:t>
      </w:r>
    </w:p>
    <w:p w14:paraId="7E956F01" w14:textId="77777777" w:rsidR="008D479B" w:rsidRDefault="008D479B" w:rsidP="008D479B">
      <w:pPr>
        <w:pStyle w:val="TextoNormal"/>
      </w:pPr>
    </w:p>
    <w:p w14:paraId="682834C4" w14:textId="348A3871" w:rsidR="008D479B" w:rsidRDefault="008D479B" w:rsidP="008D479B">
      <w:pPr>
        <w:pStyle w:val="TextoNormal"/>
      </w:pPr>
      <w:r w:rsidRPr="008D479B">
        <w:rPr>
          <w:rStyle w:val="NumeroAFNegritaCaracter"/>
        </w:rPr>
        <w:t>4</w:t>
      </w:r>
      <w:r>
        <w:t>. La Sala Primera del Tribunal Constitucional, por providencia de 10 de mayo de 2021, acordó admitir a trámite el recurso de amparo, apreciando que concurría en el mismo una especial trascendencia constitucional [art. 50.1 de la Ley Orgánica del Tribunal Constitucional, (en adelante, LOTC)], porque el recurso plantea un problema o faceta de un derecho fundamental sobre el que no hay doctrina de este tribunal [STC 155/2009, de 25 de junio, FJ 2 a)]. Por ello, en aplicación de lo dispuesto en el artículo 51 LOTC, se acordó dirigir atenta comunicación a la Sala de lo Civil del Tribunal Supremo y a la Sección Séptima de la Audiencia Provincial de Asturias con sede en Gijón, a fin de que, en plazo que no excediera de diez días, remitieran respectivamente certificación o fotocopia adverada de las actuaciones correspondientes al recurso de casación núm. 4235-2019 y al recurso de apelación núm. 224-2019. Asimismo, se acordó dirigir atenta comunicación al Juzgado de Primera Instancia núm. 4 de Gijón a fin de que, en plazo que no excediera de diez días, remitiera certificación o fotocopia adverada de las actuaciones correspondientes al procedimiento núm. 563-2014, debiendo previamente emplazarse para que en el plazo de diez días pudieran comparecer, si lo deseasen, en el recurso de amparo a quienes hubieran sido parte en el procedimiento, excepto la parte recurrente en amparo.</w:t>
      </w:r>
    </w:p>
    <w:p w14:paraId="70A94060" w14:textId="77777777" w:rsidR="008D479B" w:rsidRDefault="008D479B" w:rsidP="008D479B">
      <w:pPr>
        <w:pStyle w:val="TextoNormal"/>
      </w:pPr>
    </w:p>
    <w:p w14:paraId="2E004634" w14:textId="778EFA44" w:rsidR="008D479B" w:rsidRDefault="008D479B" w:rsidP="008D479B">
      <w:pPr>
        <w:pStyle w:val="TextoNormal"/>
      </w:pPr>
      <w:r w:rsidRPr="008D479B">
        <w:rPr>
          <w:rStyle w:val="NumeroAFNegritaCaracter"/>
        </w:rPr>
        <w:t>5</w:t>
      </w:r>
      <w:r>
        <w:t xml:space="preserve">. Mediante diligencia de ordenación del secretario de justicia de 16 de julio de 2021, se tuvieron por recibidos los testimonios de las actuaciones remitidos por la Sala de lo Civil del Tribunal Supremo, la Sección Séptima la Audiencia Provincial de Asturias (sede en Gijón) y el Juzgado de Primera Instancia núm. 4 de Gijón, así como los escritos de la procuradora doña Adela Cano Lantero, a quien se tiene por personada y parte, en nombre y representación de </w:t>
      </w:r>
      <w:r w:rsidRPr="008D479B">
        <w:rPr>
          <w:i/>
        </w:rPr>
        <w:t>The International Association of Lions Club</w:t>
      </w:r>
      <w:r>
        <w:t>, y del procurador don Carmelo Olmos Gómez, a quien se tiene por personado y parte, en nombre y representación de la Federación de Clubes de Leones de España-Distrito Múltiple 116. Asimismo, mediante la citada diligencia de ordenación, a tenor de lo dispuesto en el artículo 52 LOTC, se dio vista de todas las actuaciones del recurso de amparo, por un plazo común de veinte días, al Ministerio Fiscal, a la parte recurrente y a las demás partes personadas, para que dentro de dicho término pudieran presentar las alegaciones que a su derecho convinieran.</w:t>
      </w:r>
    </w:p>
    <w:p w14:paraId="5499722B" w14:textId="77777777" w:rsidR="008D479B" w:rsidRDefault="008D479B" w:rsidP="008D479B">
      <w:pPr>
        <w:pStyle w:val="TextoNormal"/>
      </w:pPr>
    </w:p>
    <w:p w14:paraId="3A3BEB08" w14:textId="77777777" w:rsidR="008D479B" w:rsidRDefault="008D479B" w:rsidP="008D479B">
      <w:pPr>
        <w:pStyle w:val="TextoNormal"/>
      </w:pPr>
      <w:r w:rsidRPr="008D479B">
        <w:rPr>
          <w:rStyle w:val="NumeroAFNegritaCaracter"/>
        </w:rPr>
        <w:t>6</w:t>
      </w:r>
      <w:r>
        <w:t xml:space="preserve">. La procuradora de los tribunales doña Adela Cano Lantero, bajo la dirección letrada de don Jon Aurrekoetxea Garai y don Eugenio Vázquez Gutiérrez, en nombre y representación de </w:t>
      </w:r>
      <w:r w:rsidRPr="008D479B">
        <w:rPr>
          <w:i/>
        </w:rPr>
        <w:t>The International Association of Lions Club</w:t>
      </w:r>
      <w:r>
        <w:t>, por escrito registrado el 17 de septiembre de 2021, interesó la desestimación del presente recurso de amparo.</w:t>
      </w:r>
    </w:p>
    <w:p w14:paraId="500F0AA0" w14:textId="77777777" w:rsidR="008D479B" w:rsidRDefault="008D479B" w:rsidP="008D479B">
      <w:pPr>
        <w:pStyle w:val="TextoNormal"/>
      </w:pPr>
    </w:p>
    <w:p w14:paraId="14F23E7F" w14:textId="36043943" w:rsidR="008D479B" w:rsidRDefault="008D479B" w:rsidP="008D479B">
      <w:pPr>
        <w:pStyle w:val="TextoNormal"/>
      </w:pPr>
      <w:r>
        <w:t xml:space="preserve">En su escrito se oponía a las alegaciones del Club de Leones de Gijón, en primer lugar, porque la existencia de un mecanismo de resolución de disputas en el ámbito interno de la asociación no supone </w:t>
      </w:r>
      <w:r w:rsidRPr="008D479B">
        <w:rPr>
          <w:i/>
        </w:rPr>
        <w:t>per se</w:t>
      </w:r>
      <w:r>
        <w:t xml:space="preserve"> una vulneración del derecho de asociación. Los estatutos de la LCI (y también los del propio Club de Leones de Gijón) establecen la necesidad de tratar de solventar cualquier conflicto mediante este sistema. Sin embargo, nada impide que, una vez que se haya pronunciado el órgano competente, se pueda acudir a la jurisdicción ordinaria. En segundo lugar, porque los acuerdos de suspensión y expulsión cuentan con una base razonable. Según la LCI, pese al enorme esfuerzo dialéctico llevado a cabo por la recurrente para convencer a los órganos judiciales implicados de que la causa de su expulsión fue haber presentado una demanda ante los tribunales, la realidad es que la causa de su suspensión y posterior expulsión fue haberlo hecho sin haber intentado solucionar el conflicto previamente de conformidad con el mecanismo interno de resolución de disputas, incumpliendo flagrantemente sus obligaciones como asociado. La LCI, en su escrito de oposición a la demanda del Club de Leones de Gijón, resalta que “de conformidad con los artículos 28 y 31 de los estatutos de la FCLE, los clubes asociados deben cumplir la legislación vigente, las normas internas de la FCLE y la normativa que emane de la LCI”. A partir de aquí cita y trascribe las normas estatutarias y de desarrollo estatutario en las que quedan reguladas las obligaciones que los socios asumen al unirse a la FCLE y a la LCI. Una de las obligaciones de cualquier socio es la de tratar de solucionar cualquier conflicto que pudiera surgir en el marco de su actividad asociativa mediante un procedimiento de resolución de disputas interno. A tal efecto, se destaca el contenido de las directrices para la resolución de disputas de la LCI: “Además, como una obligación de afiliación, los Lions deben agotar todos los remedios internos antes de recurrir a los tribunales, y se les puede prohibir presentar una demanda antes de acudir al procedimiento de resolución de disputas”. Es decir, de conformidad con la disposición transcrita, antes de acudir a la jurisdicción ordinaria, los asociados debían someterse al procedimiento de resolución de disputas de la LCI para tratar de conciliar una solución amistosa. Sin embargo, el día 28 de junio de 2013, el Club de Leones de Gijón incumplió la referida obligación, presentando una demanda contra la FCLE y la LCI en la que impugnaba una serie de acuerdos asociativos adoptados en la Asamblea General de la FCLE. La demanda fue presentada ignorando completamente el procedimiento interno de resolución de disputas de la LCI.</w:t>
      </w:r>
    </w:p>
    <w:p w14:paraId="64B3E1A0" w14:textId="77777777" w:rsidR="008D479B" w:rsidRDefault="008D479B" w:rsidP="008D479B">
      <w:pPr>
        <w:pStyle w:val="TextoNormal"/>
      </w:pPr>
    </w:p>
    <w:p w14:paraId="336798AF" w14:textId="77777777" w:rsidR="008D479B" w:rsidRDefault="008D479B" w:rsidP="008D479B">
      <w:pPr>
        <w:pStyle w:val="TextoNormal"/>
      </w:pPr>
      <w:r w:rsidRPr="008D479B">
        <w:rPr>
          <w:rStyle w:val="NumeroAFNegritaCaracter"/>
        </w:rPr>
        <w:t>7</w:t>
      </w:r>
      <w:r>
        <w:t>. El procurador de los tribunales don Carmelo Olmos Gómez, en nombre y representación de la FCLE, por escrito registrado en este tribunal el 14 de septiembre de 2021, interesó la desestimación del recurso.</w:t>
      </w:r>
    </w:p>
    <w:p w14:paraId="0372C169" w14:textId="77777777" w:rsidR="008D479B" w:rsidRDefault="008D479B" w:rsidP="008D479B">
      <w:pPr>
        <w:pStyle w:val="TextoNormal"/>
      </w:pPr>
    </w:p>
    <w:p w14:paraId="6CF8F49B" w14:textId="77777777" w:rsidR="008D479B" w:rsidRDefault="008D479B" w:rsidP="008D479B">
      <w:pPr>
        <w:pStyle w:val="TextoNormal"/>
      </w:pPr>
      <w:r>
        <w:t>La citada entidad alegó, en primer término, la concurrencia del óbice procesal previsto en el art. 44.1 a) LOTC. Para fundar tal motivo de inadmisión se adujo que, a pesar de que el derecho fundamental que el recurrente invocó principalmente como infringido tanto en primera instancia como en apelación fue el art. 24.1 CE, en el recurso de casación, así como en el recurso de amparo, invocó el derecho de asociación. Debido a que el derecho realmente implicado es el garantizado en el art. 24.1 CE y no el derecho de asociación, el recurrente no debió haber interpuesto recurso extraordinario de casación ante el Tribunal Supremo, sino un recurso extraordinario por infracción procesal, ya que solo a través de este último es posible invocar la infracción del art. 24.1 CE.</w:t>
      </w:r>
    </w:p>
    <w:p w14:paraId="3BC3E47A" w14:textId="77777777" w:rsidR="008D479B" w:rsidRDefault="008D479B" w:rsidP="008D479B">
      <w:pPr>
        <w:pStyle w:val="TextoNormal"/>
      </w:pPr>
    </w:p>
    <w:p w14:paraId="2EE946A0" w14:textId="2D74ABFB" w:rsidR="008D479B" w:rsidRDefault="008D479B" w:rsidP="008D479B">
      <w:pPr>
        <w:pStyle w:val="TextoNormal"/>
      </w:pPr>
      <w:r>
        <w:t>En cuanto al fondo, la FCLE, esencialmente, alega que la facultad de autoorganización de las asociaciones amparada por el derecho fundamental de asociación permite que los estatutos prevean procedimientos internos de arreglo, sin que esta posibilidad lesione el derecho de acceder a la jurisdicción mediante la impugnación de acuerdos. Además, los propios estatutos de la FCLE reconocen la posibilidad de “recurrir a la jurisdicción ordinaria”, o prevén la necesidad de abstenerse de “iniciar acciones mientras este proceso de resolución de disputas esté en marcha”. Incluso si la lectura de los estatutos pudiera dar a entender que está excluida la posibilidad de llevar el asunto ante la justicia ordinaria, creando una zona exenta de control judicial, se salvaría dicha situación interpretando los estatutos conforme a la Constitución, permitiendo la impugnación de los acuerdos ante la jurisdicción competente. Por otra parte, en el escrito de alegaciones de la FCLE se hace referencia al comportamiento desleal mantenido por el Club de Leones de Gijón durante todo el procedimiento. Concluye la FCLE que no se ha producido una actuación que se salga de lo establecido en los estatutos, con lo que dicha actuación tiene una adecuada base razonable, de forma que no puede ser calificada como infracción del artículo 22 de la Constitución.</w:t>
      </w:r>
    </w:p>
    <w:p w14:paraId="6195B979" w14:textId="77777777" w:rsidR="008D479B" w:rsidRDefault="008D479B" w:rsidP="008D479B">
      <w:pPr>
        <w:pStyle w:val="TextoNormal"/>
      </w:pPr>
    </w:p>
    <w:p w14:paraId="758BF1DC" w14:textId="77777777" w:rsidR="008D479B" w:rsidRDefault="008D479B" w:rsidP="008D479B">
      <w:pPr>
        <w:pStyle w:val="TextoNormal"/>
      </w:pPr>
      <w:r w:rsidRPr="008D479B">
        <w:rPr>
          <w:rStyle w:val="NumeroAFNegritaCaracter"/>
        </w:rPr>
        <w:t>8</w:t>
      </w:r>
      <w:r>
        <w:t>. El Ministerio Fiscal presentó sus alegaciones mediante escrito registrado en este tribunal el 21 de octubre de 2021, en el que interesa la estimación del recurso. Tras resumir los antecedentes fácticos, se pronuncia sobre los requisitos de admisibilidad de la demanda de amparo, subrayando al efecto que no pueden ser objeto de este las decisiones de suspensión y expulsión del Club de Leones de Gijón adoptadas por la FCLE y la LCI cuya nulidad interesa, ya que estos actos, si bien pueden ser controlados por la jurisdicción ordinaria, no pueden constituir el objeto de un recurso de amparo en virtud de lo dispuesto en los arts. 41.2 y 44.1 LOTC.</w:t>
      </w:r>
    </w:p>
    <w:p w14:paraId="39702237" w14:textId="77777777" w:rsidR="008D479B" w:rsidRDefault="008D479B" w:rsidP="008D479B">
      <w:pPr>
        <w:pStyle w:val="TextoNormal"/>
      </w:pPr>
    </w:p>
    <w:p w14:paraId="0E8A1C35" w14:textId="77777777" w:rsidR="008D479B" w:rsidRDefault="008D479B" w:rsidP="008D479B">
      <w:pPr>
        <w:pStyle w:val="TextoNormal"/>
      </w:pPr>
      <w:r>
        <w:t>Por lo que se refiere al fondo del asunto, tras citar el marco legal aplicable, así como la doctrina constitucional recaída en torno al derecho fundamental de asociación, subraya que este confiere a la asociación la libertad de organización y funcionamiento sin injerencias de los poderes públicos, dotando también a los asociados de determinadas facultades —contenidas en el art. 21 LODA— que son oponibles a las asociaciones en las que estos se integran.</w:t>
      </w:r>
    </w:p>
    <w:p w14:paraId="487837F5" w14:textId="77777777" w:rsidR="008D479B" w:rsidRDefault="008D479B" w:rsidP="008D479B">
      <w:pPr>
        <w:pStyle w:val="TextoNormal"/>
      </w:pPr>
    </w:p>
    <w:p w14:paraId="6AF4C14A" w14:textId="77777777" w:rsidR="008D479B" w:rsidRDefault="008D479B" w:rsidP="008D479B">
      <w:pPr>
        <w:pStyle w:val="TextoNormal"/>
      </w:pPr>
      <w:r>
        <w:t xml:space="preserve">Descendiendo ya al caso concreto, y por razones de sistemática, el Ministerio Fiscal analiza, en primer término, si los estatutos de la LCI se acomodan al contenido esencial del derecho de asociación para lo cual, no solo debe tenerse en cuenta la literalidad de aquellos, sino también la aplicación que la junta directiva internacional ha realizado de los mismos en el ejercicio de sus facultades. Concluye respecto de este extremo que de la interpretación que realiza dicha junta de los estatutos cabe derivar, sin ningún género de duda, que los únicos mecanismos de resolución de conflictos de los que disponen los socios son los previstos en la normativa interna, excluyendo expresamente a la jurisdicción ordinaria para instar las garantías jurisdiccionales del derecho de asociación. Por ello, el motivo de suspensión y expulsión del recurrente no se debe a que no agotara los mecanismos de resolución de conflictos previos a la vía judicial, sino a haber acudido a esta. Esta regulación, según el Ministerio Fiscal, vacía de contenido la dimensión </w:t>
      </w:r>
      <w:r w:rsidRPr="008D479B">
        <w:rPr>
          <w:i/>
        </w:rPr>
        <w:t>inter privatos</w:t>
      </w:r>
      <w:r>
        <w:t xml:space="preserve"> del derecho de asociación, que garantiza un haz de facultades a los socios, particularmente el derecho a impugnar los acuerdos de los órganos de la asociación que se consideren contrarios a la ley o a los estatutos de la propia asociación y que se reconoce en el art. 21 d) LODA y, en consecuencia, dicha regulación estatutaria, que excede de la facultad de autorregulación, es contraria al art. 22 CE.</w:t>
      </w:r>
    </w:p>
    <w:p w14:paraId="2E148D82" w14:textId="77777777" w:rsidR="008D479B" w:rsidRDefault="008D479B" w:rsidP="008D479B">
      <w:pPr>
        <w:pStyle w:val="TextoNormal"/>
      </w:pPr>
    </w:p>
    <w:p w14:paraId="3DD1D3C8" w14:textId="3B858A09" w:rsidR="008D479B" w:rsidRDefault="008D479B" w:rsidP="008D479B">
      <w:pPr>
        <w:pStyle w:val="TextoNormal"/>
      </w:pPr>
      <w:r>
        <w:t>Con base en dicho razonamiento, el Ministerio Fiscal sostiene que la suspensión y la expulsión del recurrente fueron contrarias al art. 22 CE. Los razonamientos de las sentencias dictadas por la Audiencia Provincial y por el Tribunal Supremo, que consideraron que el establecimiento de una vía interna para dirimir las disputas con carácter previo a la vía judicial formaba parte de la libertad de autorregulación de la Federación de los Clubes de Leones de España, serían conformes con el contenido esencial del derecho de asociación si el órgano directivo de la federación no excluyera terminantemente la posibilidad de acudir a la vía judicial en ningún supuesto, razón por la cual la expulsión carece de toda base razonable. El Ministerio Fiscal termina su escrito interesando que se dicte sentencia estimatoria, se declare la vulneración del derecho fundamental de asociación con reconocimiento de tal derecho, así como se declare la nulidad de las sentencias impugnadas y se retrotraigan las actuaciones al momento anterior a dictarse sentencia por el juzgado de primera instancia a fin de que dicte nueva resolución respetuosa con el derecho fundamental.</w:t>
      </w:r>
    </w:p>
    <w:p w14:paraId="5067C8CC" w14:textId="77777777" w:rsidR="008D479B" w:rsidRDefault="008D479B" w:rsidP="008D479B">
      <w:pPr>
        <w:pStyle w:val="TextoNormal"/>
      </w:pPr>
    </w:p>
    <w:p w14:paraId="6322ACC7" w14:textId="132FA7F0" w:rsidR="008D479B" w:rsidRDefault="008D479B" w:rsidP="008D479B">
      <w:pPr>
        <w:pStyle w:val="TextoNormal"/>
      </w:pPr>
      <w:r w:rsidRPr="008D479B">
        <w:rPr>
          <w:rStyle w:val="NumeroAFNegritaCaracter"/>
        </w:rPr>
        <w:t>9</w:t>
      </w:r>
      <w:r>
        <w:t>. Por diligencia de ordenación del secretario de justicia de la Sala Segunda de este tribunal de 18 de enero de 2023, y en virtud del acuerdo adoptado por el Pleno el 17 de enero de 2023, publicado en el “Boletín Oficial del Estado” de 19 de enero del mismo año, se hizo constar que el presente recurso de amparo fue turnado a la Sala Segunda, lo que se puso en conocimiento de las partes y del Ministerio Fiscal a los efectos oportunos.</w:t>
      </w:r>
    </w:p>
    <w:p w14:paraId="10460415" w14:textId="77777777" w:rsidR="008D479B" w:rsidRDefault="008D479B" w:rsidP="008D479B">
      <w:pPr>
        <w:pStyle w:val="TextoNormal"/>
      </w:pPr>
    </w:p>
    <w:p w14:paraId="40AD772F" w14:textId="59C21F9D" w:rsidR="008D479B" w:rsidRDefault="008D479B" w:rsidP="008D479B">
      <w:pPr>
        <w:pStyle w:val="TextoNormal"/>
      </w:pPr>
      <w:r w:rsidRPr="008D479B">
        <w:rPr>
          <w:rStyle w:val="NumeroAFNegritaCaracter"/>
        </w:rPr>
        <w:t>10</w:t>
      </w:r>
      <w:r>
        <w:t>. Por providencia de 19 de octubre de 2023, se señaló para deliberación y votación de la presente sentencia el día 23 del mismo mes y año.</w:t>
      </w:r>
    </w:p>
    <w:p w14:paraId="494BB60A" w14:textId="77777777" w:rsidR="008D479B" w:rsidRDefault="008D479B" w:rsidP="008D479B">
      <w:pPr>
        <w:pStyle w:val="TextoNormal"/>
      </w:pPr>
    </w:p>
    <w:p w14:paraId="49F8255A" w14:textId="77777777" w:rsidR="008D479B" w:rsidRDefault="008D479B" w:rsidP="008D479B">
      <w:pPr>
        <w:pStyle w:val="TextoNormalNegritaCentrado"/>
        <w:keepNext/>
      </w:pPr>
      <w:r>
        <w:t>II. Fundamentos jurídicos</w:t>
      </w:r>
    </w:p>
    <w:p w14:paraId="4A642543" w14:textId="7EF64D15" w:rsidR="008D479B" w:rsidRDefault="008D479B" w:rsidP="008D479B">
      <w:pPr>
        <w:pStyle w:val="TextoNormalNegritaCentrado"/>
        <w:keepNext/>
      </w:pPr>
    </w:p>
    <w:p w14:paraId="239DF9C3" w14:textId="77777777" w:rsidR="008D479B" w:rsidRDefault="008D479B" w:rsidP="008D479B">
      <w:pPr>
        <w:pStyle w:val="TextoNormal"/>
      </w:pPr>
      <w:r w:rsidRPr="008D479B">
        <w:rPr>
          <w:rStyle w:val="NumeroAFNegritaCaracter"/>
        </w:rPr>
        <w:t>1</w:t>
      </w:r>
      <w:r>
        <w:t xml:space="preserve">. </w:t>
      </w:r>
      <w:r w:rsidRPr="008D479B">
        <w:rPr>
          <w:i/>
        </w:rPr>
        <w:t>Objeto del recurso de amparo y síntesis de las posiciones de las partes</w:t>
      </w:r>
    </w:p>
    <w:p w14:paraId="15ED9BEA" w14:textId="77777777" w:rsidR="008D479B" w:rsidRDefault="008D479B" w:rsidP="008D479B">
      <w:pPr>
        <w:pStyle w:val="TextoNormal"/>
      </w:pPr>
    </w:p>
    <w:p w14:paraId="5A65B164" w14:textId="77777777" w:rsidR="008D479B" w:rsidRDefault="008D479B" w:rsidP="008D479B">
      <w:pPr>
        <w:pStyle w:val="TextoNormal"/>
      </w:pPr>
      <w:r>
        <w:t>El presente recurso de amparo se formula por la asociación Club de Leones de Gijón contra la sentencia núm. 434/2020, de 15 de julio, de la Sala de lo Civil del Tribunal Supremo, dictada en el recurso de casación núm. 4235-2019; contra la sentencia 192/2019, de 23 de mayo, de la Sección Séptima de la Audiencia Provincial de Asturias, Sección con sede en Gijón, dictada en el recurso de apelación núm. 224-2019; y contra la sentencia núm. 287/2018, de 28 de diciembre, dictada por el Juzgado de Primera Instancia núm. 4 de Gijón en los autos del procedimiento ordinario núm. 563-2014. La asociación recurrente considera que las citadas resoluciones judiciales han vulnerado su derecho fundamental de asociación reconocido en el art. 22 de la Constitución.</w:t>
      </w:r>
    </w:p>
    <w:p w14:paraId="349E0198" w14:textId="77777777" w:rsidR="008D479B" w:rsidRDefault="008D479B" w:rsidP="008D479B">
      <w:pPr>
        <w:pStyle w:val="TextoNormal"/>
      </w:pPr>
    </w:p>
    <w:p w14:paraId="305E0CE6" w14:textId="77777777" w:rsidR="008D479B" w:rsidRDefault="008D479B" w:rsidP="008D479B">
      <w:pPr>
        <w:pStyle w:val="TextoNormal"/>
      </w:pPr>
      <w:r>
        <w:t>Como ha quedado expuesto detalladamente en los antecedentes, la asociación Club de Leones de Gijón acudió a la jurisdicción civil para impugnar una serie de decisiones adoptadas por la asamblea de la FCLE celebrada en Marbella el 18 de mayo de 2013. Tras un intercambio de comunicaciones entre el Club de Leones de Gijón y la Asociación Internacional de Clubes de Leones y la Federación de Clubes de Leones de España-Distrito 116, la junta directiva internacional, el 29 de octubre de 2013, remitió una carta comunicando la suspensión del Club de Leones de Gijón, en aplicación de las normas estatuarias y demás normativa interna. Posteriormente, el 10 de marzo de 2014, se comunicó el acuerdo de expulsión del Club de Leones de Gijón por no haber retirado los litigios pendientes sobre asuntos leonísticos, por no haber acatado las directrices de la división de asuntos legales de la asociación, y por haber violado los estatutos y reglamentos internacionales de la LCI y las políticas de la junta directiva internacional, que obligan a resolver las disputas internas de conformidad con los procedimientos para la resolución de disputas adoptados por la junta directiva internacional.</w:t>
      </w:r>
    </w:p>
    <w:p w14:paraId="5D3C966A" w14:textId="77777777" w:rsidR="008D479B" w:rsidRDefault="008D479B" w:rsidP="008D479B">
      <w:pPr>
        <w:pStyle w:val="TextoNormal"/>
      </w:pPr>
    </w:p>
    <w:p w14:paraId="577DE1D5" w14:textId="77777777" w:rsidR="008D479B" w:rsidRDefault="008D479B" w:rsidP="008D479B">
      <w:pPr>
        <w:pStyle w:val="TextoNormal"/>
      </w:pPr>
      <w:r>
        <w:t>El Club de Leones de Gijón considera que la vulneración del art. 22 CE se ha producido, por un lado, porque las decisiones sobre la suspensión y posterior expulsión de la LCI suponen una vulneración del artículo 20.1 d) LODA por cuanto el precepto, que forma parte del núcleo esencial del derecho fundamental de asociación, establece como facultad de los asociados la de “impugnar los acuerdos de los órganos de la asociación que estime contrarios a la ley o a los estatutos”. Por otro lado, considera que las sentencias impugnadas suponen una infracción del art. 22 CE porque estimaron que los acuerdos de suspensión y expulsión del Club de Leones de Gijón contaban con una base razonable. Según los leones de Gijón, los acuerdos de suspensión y posterior expulsión se fundamentaron en la aplicación de normas estatutarias y de procedimiento interno contrarias al ordenamiento jurídico español al penalizar el ejercicio de una de las facultades reconocidas por el derecho de asociación, como es la de impugnar los acuerdos de los órganos directivos de la asociación ante la jurisdicción ordinaria.</w:t>
      </w:r>
    </w:p>
    <w:p w14:paraId="22218001" w14:textId="77777777" w:rsidR="008D479B" w:rsidRDefault="008D479B" w:rsidP="008D479B">
      <w:pPr>
        <w:pStyle w:val="TextoNormal"/>
      </w:pPr>
    </w:p>
    <w:p w14:paraId="5CAEFF19" w14:textId="30E9FD16" w:rsidR="008D479B" w:rsidRDefault="008D479B" w:rsidP="008D479B">
      <w:pPr>
        <w:pStyle w:val="TextoNormal"/>
      </w:pPr>
      <w:r>
        <w:t>La representante de la LCI interesó la desestimación del presente recurso de amparo por considerar que los acuerdos se tomaron de conformidad a los estatutos y respetando todas las facultades reconocidas por el art. 22 CE, relativas tanto a la autoorganización asociativa como a las facultades de los socios. El representante de la FCLE propuso la inadmisión a trámite del recurso por falta de agotamiento de la vía previa. Además, coincide con las alegaciones presentadas por la LCI de que los acuerdos habían sido respetuosos con todos los contendidos del art. 22 CE. El Ministerio Fiscal, en cambio, interesa la estimación del recurso de amparo por considerar que resulta contrario al contenido esencial del derecho de asociación que el órgano directivo de la LCI expulsara a la asociación recurrente sobre la base de la exclusión terminante de acudir a la vía judicial, lo que colisiona con los arts. 22 CE y 21 d) y 40.3 LODA, resultando este el motivo determinante de la expulsión y careciendo la misma, en consecuencia, de una base razonable.</w:t>
      </w:r>
    </w:p>
    <w:p w14:paraId="3F484A1A" w14:textId="77777777" w:rsidR="008D479B" w:rsidRDefault="008D479B" w:rsidP="008D479B">
      <w:pPr>
        <w:pStyle w:val="TextoNormal"/>
      </w:pPr>
    </w:p>
    <w:p w14:paraId="6E25204F" w14:textId="77777777" w:rsidR="008D479B" w:rsidRDefault="008D479B" w:rsidP="008D479B">
      <w:pPr>
        <w:pStyle w:val="TextoNormal"/>
      </w:pPr>
      <w:r w:rsidRPr="008D479B">
        <w:rPr>
          <w:rStyle w:val="NumeroAFNegritaCaracter"/>
        </w:rPr>
        <w:t>2</w:t>
      </w:r>
      <w:r>
        <w:t xml:space="preserve">. </w:t>
      </w:r>
      <w:r w:rsidRPr="008D479B">
        <w:rPr>
          <w:i/>
        </w:rPr>
        <w:t>Óbices procesales y delimitación de las quejas</w:t>
      </w:r>
    </w:p>
    <w:p w14:paraId="6585FBD6" w14:textId="77777777" w:rsidR="008D479B" w:rsidRDefault="008D479B" w:rsidP="008D479B">
      <w:pPr>
        <w:pStyle w:val="TextoNormal"/>
      </w:pPr>
    </w:p>
    <w:p w14:paraId="0CAC6838" w14:textId="77777777" w:rsidR="008D479B" w:rsidRDefault="008D479B" w:rsidP="008D479B">
      <w:pPr>
        <w:pStyle w:val="TextoNormal"/>
      </w:pPr>
      <w:r>
        <w:t>En sus alegaciones, la FCLE sostiene que la demanda de amparo de la recurrente incumple la obligación prevista en el artículo 44.1 a) LOTC, consistente en la necesidad de haber agotado todos los medios de impugnación previstos en las normas procesales antes de interponer el recurso ante el Tribunal Constitucional. Ello se habría producido porque el Club de Leones de Gijón, en las dos primeras instancias, estaba haciendo una defensa encubierta del derecho a la tutela judicial efectiva del art. 24 CE, pese a presentar sus quejas bajo el paraguas del art. 22 CE. En esta línea, si el derecho que materialmente se está defendiendo es la tutela judicial efectiva del art. 24 CE, debería haberse interpuesto el recurso extraordinario de infracción procesal, y no el recurso de casación. Este tribunal, sin embargo, no aprecia que se haya producido la falta de agotamiento denunciada ni una especie de suplantación de derechos fundamentales que, además, implica una valoración apriorística sobre el fondo del asunto. Tampoco cabe defender que en este supuesto la parte, después del recurso de casación, debiera interponer el incidente de nulidad de actuaciones para agotar la vía judicial previa puesto que, como señala el Ministerio Fiscal, el Club de Leones de Gijón alegó expresamente desde el primer momento la vulneración del derecho fundamental de asociación, por lo que el incidente de nulidad de actuaciones, en este caso, solo hubiera supuesto alargar innecesariamente la vía judicial. Debe recordarse que la causa de inadmisión de falta de agotamiento tiene su fundamento, según jurisprudencia constitucional reiterada, en el respeto al carácter subsidiario del recurso de amparo por la necesidad de que se dé posibilidad preferente a los órganos judiciales para pronunciarse y reparar de manera temprana el derecho fundamental invocado en el recurso de amparo, lo que determina que solo quepa acudir a aquellos medios impugnatorios que resulten aptos para cumplir esa función (así, STC 112/2019, de 3 de octubre, FJ 3). En el presente caso, el Tribunal constata que se ha acudido a los medios impugnatorios pertinentes, teniendo en cuenta el planteamiento argumental de la parte que, en todo momento, ha invocado la vulneración del derecho de asociación.</w:t>
      </w:r>
    </w:p>
    <w:p w14:paraId="67CFA82C" w14:textId="77777777" w:rsidR="008D479B" w:rsidRDefault="008D479B" w:rsidP="008D479B">
      <w:pPr>
        <w:pStyle w:val="TextoNormal"/>
      </w:pPr>
    </w:p>
    <w:p w14:paraId="31445B2F" w14:textId="499DA7CC" w:rsidR="008D479B" w:rsidRDefault="008D479B" w:rsidP="008D479B">
      <w:pPr>
        <w:pStyle w:val="TextoNormal"/>
      </w:pPr>
      <w:r>
        <w:t xml:space="preserve">En la línea que apunta el Ministerio Fiscal en sus alegaciones, sí que resulta necesaria hacer una apreciación respecto de los dos motivos sobre los que se articula el presente amparo para definir adecuadamente el objeto de este recurso. Las lesiones que puedan haber causado los acuerdos de suspensión y expulsión adoptados por la LCI y la FCLE no son objeto de recurso de amparo, </w:t>
      </w:r>
      <w:r w:rsidRPr="008D479B">
        <w:rPr>
          <w:i/>
        </w:rPr>
        <w:t>ex</w:t>
      </w:r>
      <w:r>
        <w:t xml:space="preserve"> arts. 41.2 y 44.1 LOTC, aunque sí tutelables ante la jurisdicción ordinaria, tal y como ha sucedido en este caso. El Tribunal sí está facultado, en cambio, para verificar que los órganos judiciales cuyas resoluciones han sido impugnadas en este amparo respetaron el derecho de asociación de la parte recurrente, el Club de Leones de Gijón.</w:t>
      </w:r>
    </w:p>
    <w:p w14:paraId="34936079" w14:textId="77777777" w:rsidR="008D479B" w:rsidRDefault="008D479B" w:rsidP="008D479B">
      <w:pPr>
        <w:pStyle w:val="TextoNormal"/>
      </w:pPr>
    </w:p>
    <w:p w14:paraId="0807917B" w14:textId="77777777" w:rsidR="008D479B" w:rsidRDefault="008D479B" w:rsidP="008D479B">
      <w:pPr>
        <w:pStyle w:val="TextoNormal"/>
      </w:pPr>
      <w:r w:rsidRPr="008D479B">
        <w:rPr>
          <w:rStyle w:val="NumeroAFNegritaCaracter"/>
        </w:rPr>
        <w:t>3</w:t>
      </w:r>
      <w:r>
        <w:t xml:space="preserve">. </w:t>
      </w:r>
      <w:r w:rsidRPr="008D479B">
        <w:rPr>
          <w:i/>
        </w:rPr>
        <w:t>Doctrina del Tribunal Constitucional sobre el derecho de asociación</w:t>
      </w:r>
    </w:p>
    <w:p w14:paraId="29E76CFD" w14:textId="77777777" w:rsidR="008D479B" w:rsidRDefault="008D479B" w:rsidP="008D479B">
      <w:pPr>
        <w:pStyle w:val="TextoNormal"/>
      </w:pPr>
    </w:p>
    <w:p w14:paraId="792B1AC6" w14:textId="77777777" w:rsidR="008D479B" w:rsidRDefault="008D479B" w:rsidP="008D479B">
      <w:pPr>
        <w:pStyle w:val="TextoNormal"/>
      </w:pPr>
      <w:r>
        <w:t xml:space="preserve">El Tribunal Constitucional ha desarrollado una consolidada doctrina sobre el derecho fundamental de asociación, regulado en el art. 22 CE y desarrollado en la Ley Orgánica 1/2002, de 22 de marzo, reguladora del derecho de asociación. A partir de la aprobación de esta ley orgánica, la configuración básica del derecho se ha mantenido prácticamente invariable en la doctrina de este tribunal, que ha identificado cuatro facetas integrantes de aquel derecho: a) la libertad de creación de asociaciones y de adscripción a las ya creadas, b) la libertad de no asociarse y de dejar de pertenecer a las mismas, c) la libertad de organización y funcionamiento internos sin injerencias públicas, y d) una dimensión </w:t>
      </w:r>
      <w:r w:rsidRPr="008D479B">
        <w:rPr>
          <w:i/>
        </w:rPr>
        <w:t>inter privatos</w:t>
      </w:r>
      <w:r>
        <w:t xml:space="preserve"> que garantiza un haz de facultades a los asociados considerados individualmente frente a las asociaciones a las que pertenezcan o a los particulares respecto de las asociaciones a las cuales pretendan incorporarse (por todas, STC 42/2011, de 11 de abril, FJ 3).</w:t>
      </w:r>
    </w:p>
    <w:p w14:paraId="269A58C3" w14:textId="77777777" w:rsidR="008D479B" w:rsidRDefault="008D479B" w:rsidP="008D479B">
      <w:pPr>
        <w:pStyle w:val="TextoNormal"/>
      </w:pPr>
    </w:p>
    <w:p w14:paraId="02505D6C" w14:textId="77777777" w:rsidR="008D479B" w:rsidRDefault="008D479B" w:rsidP="008D479B">
      <w:pPr>
        <w:pStyle w:val="TextoNormal"/>
      </w:pPr>
      <w:r>
        <w:t xml:space="preserve">Dado el objeto del presente amparo, debemos hacer especial referencia a la facultad de establecer la propia organización del ente creado por el acto asociativo, a la dimensión </w:t>
      </w:r>
      <w:r w:rsidRPr="008D479B">
        <w:rPr>
          <w:i/>
        </w:rPr>
        <w:t>inter privatos</w:t>
      </w:r>
      <w:r>
        <w:t xml:space="preserve"> y, especialmente, a la posibilidad de los socios de recurrir ante la justicia las decisiones adoptadas por la asociación. Ahora bien, debemos partir de cuál es el fundamento de la asociación o de asociarse que se encuentra “en la libre voluntad de los socios de unirse y de permanecer unidos para cumplir los fines sociales, creando entre ellos no solo un vínculo jurídico ‘sino también una solidaridad moral basada en la confianza recíproca’ (STC 218/1988, de 22 de noviembre). Esa agrupación permanente se plasma en una estructura organizativa, concretada en los correspondientes estatutos en virtud del </w:t>
      </w:r>
      <w:r w:rsidRPr="008D479B">
        <w:rPr>
          <w:i/>
        </w:rPr>
        <w:t>pactum associationis</w:t>
      </w:r>
      <w:r>
        <w:t xml:space="preserve"> original (STC 104/1999, de 14 de junio, FJ 2), cuya aceptación es un elemento esencial del acto de integración de los asociados (entre otras muchas, SSTC 218/1988, de 22 de noviembre, FJ 2, y 5/1996, de 16 de enero, FJ 9)”, como recordamos en la STC 133/2006, de 27 de abril, FJ 5.</w:t>
      </w:r>
    </w:p>
    <w:p w14:paraId="4605A186" w14:textId="77777777" w:rsidR="008D479B" w:rsidRDefault="008D479B" w:rsidP="008D479B">
      <w:pPr>
        <w:pStyle w:val="TextoNormal"/>
      </w:pPr>
    </w:p>
    <w:p w14:paraId="00FE4017" w14:textId="77777777" w:rsidR="008D479B" w:rsidRDefault="008D479B" w:rsidP="008D479B">
      <w:pPr>
        <w:pStyle w:val="TextoNormal"/>
      </w:pPr>
      <w:r>
        <w:t>La consecución de una serie de fines comunes y la confianza recíproca permiten mantener que “quienes ingresan en una asociación se entiende que conocen y aceptan en bloque las normas estatutarias, a las que quedan sometidos; normas que pueden prever, como causa de expulsión del socio, una conducta que la propia asociación valore como lesiva a los intereses sociales” (STC 96/1994, de 21 de marzo, FJ 2). Por ello, en la STC 42/2011, de 11 de abril, FJ 4, reafirmamos que la potestad de organización se extiende con toda evidencia “a regular en los estatutos las causas y los procedimientos de expulsión de los socios”. El contenido de nuestra doctrina respecto del contenido y alcance de las facultades de las asociaciones y sus socios tiene su reconocimiento en la LODA. El derecho de autoorganización queda solo limitado por el cumplimiento del principio democrático, con pleno respeto al pluralismo, en su estructura y funcionamiento (art. 2.5 LODA). En cuanto a los socios, la LODA en su art. 22 prevé que aquellos deben “c) Cumplir el resto de obligaciones que resulten de las disposiciones estatutarias”, y “d) Acatar y cumplir los acuerdos válidamente adoptados por los órganos de gobierno y representación de la asociación”.</w:t>
      </w:r>
    </w:p>
    <w:p w14:paraId="0F3532EA" w14:textId="77777777" w:rsidR="008D479B" w:rsidRDefault="008D479B" w:rsidP="008D479B">
      <w:pPr>
        <w:pStyle w:val="TextoNormal"/>
      </w:pPr>
    </w:p>
    <w:p w14:paraId="54354DDE" w14:textId="77777777" w:rsidR="008D479B" w:rsidRDefault="008D479B" w:rsidP="008D479B">
      <w:pPr>
        <w:pStyle w:val="TextoNormal"/>
      </w:pPr>
      <w:r>
        <w:t>Lo dicho no convierte a las asociaciones en un ámbito exento de control judicial. En la STC 104/1999, de 14 de junio, FJ 3, se dice que “[l]a actividad de las asociaciones, en este y en cualquier aspecto, no conforma ciertamente un ámbito exento del control judicial que —una vez comprobada la legalidad de los Estatutos— tiene un alcance estrictamente formal y se polariza en dos datos y solo en ellos, la competencia del órgano social actuante y la regularidad del procedimiento”. Siguiendo con el alcance del control judicial, la doctrina de la citada STC 218/1988, de 22 de noviembre, FJ 2, gira en torno a la consideración de que respecto a las decisiones sancionadoras adoptadas en el seno de una asociación “el control judicial sigue existiendo, pero su alcance no consiste en que el juez pueda entrar a valorar, con independencia del juicio que ya han realizado los órganos de la asociación, la conducta del socio, sino en comprobar si existió una base razonable para que los órganos de las asociaciones tomasen la correspondiente decisión” (ATC 241/2004, de 6 de julio, FJ 2).</w:t>
      </w:r>
    </w:p>
    <w:p w14:paraId="3F4039FC" w14:textId="77777777" w:rsidR="008D479B" w:rsidRDefault="008D479B" w:rsidP="008D479B">
      <w:pPr>
        <w:pStyle w:val="TextoNormal"/>
      </w:pPr>
    </w:p>
    <w:p w14:paraId="37B6FC88" w14:textId="77777777" w:rsidR="008D479B" w:rsidRDefault="008D479B" w:rsidP="008D479B">
      <w:pPr>
        <w:pStyle w:val="TextoNormal"/>
      </w:pPr>
      <w:r>
        <w:t>En consecuencia, es una constante en nuestra jurisprudencia sobre la facultad de autoorganización incluida en el derecho de asociación que “[e]l control jurisdiccional, menos intenso en los aspectos sustantivos que en los procedimentales, deberá ceñirse, pues, a determinar si la decisión carece de toda razonabilidad a la luz de las disposiciones legales y estatutarias aplicables” (STC 56/1995, de 6 de marzo, FJ 4).</w:t>
      </w:r>
    </w:p>
    <w:p w14:paraId="3CCB4E47" w14:textId="77777777" w:rsidR="008D479B" w:rsidRDefault="008D479B" w:rsidP="008D479B">
      <w:pPr>
        <w:pStyle w:val="TextoNormal"/>
      </w:pPr>
    </w:p>
    <w:p w14:paraId="28BBD471" w14:textId="77777777" w:rsidR="008D479B" w:rsidRDefault="008D479B" w:rsidP="008D479B">
      <w:pPr>
        <w:pStyle w:val="TextoNormal"/>
      </w:pPr>
      <w:r>
        <w:t>Todo lo anterior debe entenderse teniendo en cuenta que el derecho de asociación “no tiene carácter absoluto y colinda con los demás derechos de la misma índole y los derechos de los demás” (STC 104/1999, de 14 de junio, FJ 2, y ATC 213/1991, de 4 de julio, FJ 2; o STC 42/2011, FJ 3). En consecuencia, aunque el enjuiciamiento de los tribunales ordinarios sobre la actividad de las asociaciones esté claramente delimitado a un concreto “enjuiciamiento formal” y de “razonabilidad”, en supuestos de conflicto entre derechos fundamentales (v.gr.: asociación y libertad de expresión) “el juicio ponderativo del Tribunal tampoco debe de ser excluido (STC 204/1997, de 25 de noviembre, FJ 2), por mor del art. 53 CE” (STC 42/2011, FJ 3).</w:t>
      </w:r>
    </w:p>
    <w:p w14:paraId="31EDACAD" w14:textId="77777777" w:rsidR="008D479B" w:rsidRDefault="008D479B" w:rsidP="008D479B">
      <w:pPr>
        <w:pStyle w:val="TextoNormal"/>
      </w:pPr>
    </w:p>
    <w:p w14:paraId="49D2F81B" w14:textId="77777777" w:rsidR="008D479B" w:rsidRDefault="008D479B" w:rsidP="008D479B">
      <w:pPr>
        <w:pStyle w:val="TextoNormal"/>
      </w:pPr>
      <w:r>
        <w:t xml:space="preserve">En definitiva, como se comprueba, la doctrina constitucional destaca como una de las dimensiones del derecho de asociación, la libertad de organización y funcionamiento internos sin injerencias públicas y, a su vez, una dimensión </w:t>
      </w:r>
      <w:r w:rsidRPr="008D479B">
        <w:rPr>
          <w:i/>
        </w:rPr>
        <w:t>inter privatos</w:t>
      </w:r>
      <w:r>
        <w:t xml:space="preserve"> que garantiza un haz de facultades a las personas asociadas frente a las asociaciones a las que pertenezcan. Estas facultades quedaron recogidas en el art. 21 LODA, entre las que específicamente se encuentra “impugnar los acuerdos de los órganos de la asociación que estime contrarios a la ley o a los estatutos” [art. 21 d) LODA]. Así, de una parte, el art. 22 CE reconoce a las asociaciones la facultad de autoorganización como contenido propio del derecho fundamental, como una garantía de espacio libre de intromisiones de los poderes públicos. Ello implica que el control judicial que pueda ejercer sobre su organización y funcionamiento tenga un alcance limitado, aunque no vacío o inexistente porque, por otra parte, el art. 22 CE también contiene una dimensión </w:t>
      </w:r>
      <w:r w:rsidRPr="008D479B">
        <w:rPr>
          <w:i/>
        </w:rPr>
        <w:t>inter privatos</w:t>
      </w:r>
      <w:r>
        <w:t xml:space="preserve"> que, entre otras, reconoce la facultad de los socios de impugnar ante la justicia las decisiones que se adopten en el seno de la asociación si creen que son contrarias a la ley o a los estatutos.</w:t>
      </w:r>
    </w:p>
    <w:p w14:paraId="311225D7" w14:textId="77777777" w:rsidR="008D479B" w:rsidRDefault="008D479B" w:rsidP="008D479B">
      <w:pPr>
        <w:pStyle w:val="TextoNormal"/>
      </w:pPr>
    </w:p>
    <w:p w14:paraId="4236EA73" w14:textId="4706BB8B" w:rsidR="008D479B" w:rsidRDefault="008D479B" w:rsidP="008D479B">
      <w:pPr>
        <w:pStyle w:val="TextoNormal"/>
      </w:pPr>
      <w:r>
        <w:t xml:space="preserve">Por lo tanto, cabe concluir que, de acuerdo con el ordenamiento jurídico español, los estatutos de una asociación no pueden rechazar que, aunque sea de forma subsidiaria, sus asociados recurran las decisiones que ponen fin al proceso de resolución interno de disputas ante la jurisdicción ordinaria. De esta forma, se cohonesta la capacidad de autoorganización de la asociación, en la que queda amparada la regulación de procedimientos de resolución de los conflictos que se generen internamente, con la capacidad de los asociados de impugnar las decisiones internas ante la justicia, aunque sea de forma subsidiaria, como unas las facultades de la dimensión </w:t>
      </w:r>
      <w:r w:rsidRPr="008D479B">
        <w:rPr>
          <w:i/>
        </w:rPr>
        <w:t>inter privatos</w:t>
      </w:r>
      <w:r>
        <w:t xml:space="preserve"> del derecho de asociación.</w:t>
      </w:r>
    </w:p>
    <w:p w14:paraId="37FA787C" w14:textId="77777777" w:rsidR="008D479B" w:rsidRDefault="008D479B" w:rsidP="008D479B">
      <w:pPr>
        <w:pStyle w:val="TextoNormal"/>
      </w:pPr>
    </w:p>
    <w:p w14:paraId="7B64BFB1" w14:textId="77777777" w:rsidR="008D479B" w:rsidRDefault="008D479B" w:rsidP="008D479B">
      <w:pPr>
        <w:pStyle w:val="TextoNormal"/>
      </w:pPr>
      <w:r w:rsidRPr="008D479B">
        <w:rPr>
          <w:rStyle w:val="NumeroAFNegritaCaracter"/>
        </w:rPr>
        <w:t>4</w:t>
      </w:r>
      <w:r>
        <w:t xml:space="preserve">. </w:t>
      </w:r>
      <w:r w:rsidRPr="008D479B">
        <w:rPr>
          <w:i/>
        </w:rPr>
        <w:t>El derecho de los socios a recurrir las decisiones de la asociación en el caso actual</w:t>
      </w:r>
    </w:p>
    <w:p w14:paraId="198876AE" w14:textId="77777777" w:rsidR="008D479B" w:rsidRDefault="008D479B" w:rsidP="008D479B">
      <w:pPr>
        <w:pStyle w:val="TextoNormal"/>
      </w:pPr>
    </w:p>
    <w:p w14:paraId="3910F60E" w14:textId="77777777" w:rsidR="008D479B" w:rsidRDefault="008D479B" w:rsidP="008D479B">
      <w:pPr>
        <w:pStyle w:val="TextoNormal"/>
      </w:pPr>
      <w:r>
        <w:t>La recurrente, la asociación Club de Leones de Gijón, considera que se ha lesionado su derecho fundamental de asociación recogido en el artículo 22 CE porque las resoluciones judiciales impugnadas validaron las decisiones adoptadas por la LCI y la FCLE de suspenderla y expulsarla, por haber acudido a la justicia ordinaria pese a lo establecido en los estatutos, que excluían dicha posibilidad.</w:t>
      </w:r>
    </w:p>
    <w:p w14:paraId="061A5E88" w14:textId="77777777" w:rsidR="008D479B" w:rsidRDefault="008D479B" w:rsidP="008D479B">
      <w:pPr>
        <w:pStyle w:val="TextoNormal"/>
      </w:pPr>
    </w:p>
    <w:p w14:paraId="3F49C78B" w14:textId="77777777" w:rsidR="008D479B" w:rsidRDefault="008D479B" w:rsidP="008D479B">
      <w:pPr>
        <w:pStyle w:val="TextoNormal"/>
      </w:pPr>
      <w:r>
        <w:t xml:space="preserve">De acuerdo con la doctrina expuesta en el fundamento jurídico anterior, para resolver este asunto, el Tribunal debe esclarecer si las instancias judiciales a las que acudió la recurrente para defender su derecho fundamental tutelaron adecuadamente la vertiente </w:t>
      </w:r>
      <w:r w:rsidRPr="008D479B">
        <w:rPr>
          <w:i/>
        </w:rPr>
        <w:t>inter privatos</w:t>
      </w:r>
      <w:r>
        <w:t xml:space="preserve"> del derecho de asociación, en este caso, la de impugnar los acuerdos de los órganos directivos de la asociación ante la justicia ordinaria. Para ello, en primer lugar, el Tribunal examinará de qué forma los órganos judiciales concernidos en este asunto se aproximaron al derecho de recurrir las decisiones internas ante la justicia como una de las facultades que ampara la vertiente </w:t>
      </w:r>
      <w:r w:rsidRPr="008D479B">
        <w:rPr>
          <w:i/>
        </w:rPr>
        <w:t>inter privatos</w:t>
      </w:r>
      <w:r>
        <w:t xml:space="preserve"> del derecho de asociación del art. 22 CE; y, en segundo lugar, en su caso, analizaremos si los mismos órganos judiciales velaron adecuadamente por que los acuerdos de suspensión y expulsión del club de Gijón tuvieran una base razonable.</w:t>
      </w:r>
    </w:p>
    <w:p w14:paraId="15224B06" w14:textId="77777777" w:rsidR="008D479B" w:rsidRDefault="008D479B" w:rsidP="008D479B">
      <w:pPr>
        <w:pStyle w:val="TextoNormal"/>
      </w:pPr>
    </w:p>
    <w:p w14:paraId="14805745" w14:textId="77777777" w:rsidR="008D479B" w:rsidRDefault="008D479B" w:rsidP="008D479B">
      <w:pPr>
        <w:pStyle w:val="TextoNormal"/>
      </w:pPr>
      <w:r>
        <w:t>Como hemos afirmado en el fundamento jurídico anterior, el art. 22 CE reconoce a las asociaciones la facultad de libre autoorganización. Si bien este derecho no es ilimitado o absoluto, hemos reconocido en nuestra doctrina que dicha facultad permite a las asociaciones establecer sus propios procedimientos de resolución de disputas. Ahora bien, como se acaba de advertir, dicha facultad no puede excluir la capacidad de los miembros de acceder a la vía judicial. Así fue reconocido en el art. 21 d) LODA, donde expresamente se reconoce el derecho “[a] impugnar los acuerdos de los órganos de la asociación que estime contrarios a la ley o a los estatutos”. En caso contrario se estaría obligando a las personas asociadas a renunciar al derecho fundamental a la tutela judicial efectiva en su vertiente de derecho de acceso a la jurisdicción (art. 24 CE) que no puede ser siquiera suspendido, por mandato constitucional, en los estados excepcionales previstos en la propia Constitución. Por ello, no serían admisibles los acuerdos sancionatorios que se basaran exclusivamente en que un socio, entidad o persona física, hubiera accedido a la vía judicial para defender sus derechos frente a la asociación.</w:t>
      </w:r>
    </w:p>
    <w:p w14:paraId="20A52F8A" w14:textId="77777777" w:rsidR="008D479B" w:rsidRDefault="008D479B" w:rsidP="008D479B">
      <w:pPr>
        <w:pStyle w:val="TextoNormal"/>
      </w:pPr>
    </w:p>
    <w:p w14:paraId="5D49D5D2" w14:textId="77777777" w:rsidR="008D479B" w:rsidRDefault="008D479B" w:rsidP="008D479B">
      <w:pPr>
        <w:pStyle w:val="TextoNormal"/>
      </w:pPr>
      <w:r>
        <w:t>Dicho lo anterior, en su capacidad de autoorganización, como se ha dicho, en sus estatutos y reglas de procedimientos las asociaciones pueden prever como ordinario y necesario hacer uso de los instrumentos internos de resolución de conflictos antes de acudir a la vía judicial. Los motivos pueden ser diversos, como, por ejemplo, evitar el consumo de tiempo y dinero que inevitablemente supone acudir a la vía judicial y evitar, en lo posible, que los problemas internos de la asociación trasciendan al exterior (esto se desprende de las directrices para la resolución de disputas de la Asociación Internacional de Clubes de Leones). Así, lo que resulta contrario al haz de facultades del derecho de asociación es la prohibición absoluta por una asociación de que sus miembros acudan a la justicia y no que lo hagan después de intentar o agotar la vía interna.</w:t>
      </w:r>
    </w:p>
    <w:p w14:paraId="3F1FD627" w14:textId="77777777" w:rsidR="008D479B" w:rsidRDefault="008D479B" w:rsidP="008D479B">
      <w:pPr>
        <w:pStyle w:val="TextoNormal"/>
      </w:pPr>
    </w:p>
    <w:p w14:paraId="599622A5" w14:textId="77777777" w:rsidR="008D479B" w:rsidRDefault="008D479B" w:rsidP="008D479B">
      <w:pPr>
        <w:pStyle w:val="TextoNormal"/>
      </w:pPr>
      <w:r>
        <w:t xml:space="preserve">Tal y como se ha recogido en los antecedentes de esta resolución, la sentencia del Juzgado de Primera Instancia núm. 4 de Gijón desestima la demanda por entender que la acción ejercitada estaba caducada al interponerse la demanda. Es cierto que, </w:t>
      </w:r>
      <w:r w:rsidRPr="008D479B">
        <w:rPr>
          <w:i/>
        </w:rPr>
        <w:t>ad abundantiam</w:t>
      </w:r>
      <w:r>
        <w:t>, en la sentencia se hacen una serie de consideraciones sobre la alegada exclusión estatutaria del derecho de recurso ante la justicia y se pone de manifiesto la debilidad de los argumentos presentados por la asociación recurrente.</w:t>
      </w:r>
    </w:p>
    <w:p w14:paraId="18B796A8" w14:textId="77777777" w:rsidR="008D479B" w:rsidRDefault="008D479B" w:rsidP="008D479B">
      <w:pPr>
        <w:pStyle w:val="TextoNormal"/>
      </w:pPr>
    </w:p>
    <w:p w14:paraId="1902032B" w14:textId="77777777" w:rsidR="008D479B" w:rsidRDefault="008D479B" w:rsidP="008D479B">
      <w:pPr>
        <w:pStyle w:val="TextoNormal"/>
      </w:pPr>
      <w:r>
        <w:t>La sentencia de la Sección Séptima de la Audiencia Provincial de Asturias sí entra a examinar si los estatutos de la asociación internacional prohíben el acceso al recurso de sus miembros y llega a la conclusión de que no lo hacen; más bien al contrario, después de examinar los diferentes documentos y alegaciones, en primer lugar afirma que “debe advertirse que de los estatutos resulta inequívocamente la obligación de los clubs de someter sus disputas internas al procedimiento de solución de conflictos previstos en dicha normativa estatutaria, y en la reglamentación que la desarrolla”; y, en segundo lugar, aunque mezclando las figuras de la conciliación y el arbitraje como señala el Tribunal Supremo en su sentencia de casación, la Audiencia Provincial, concluye “ello tampoco significa que la decisión de los denominados conciliadores no esté sujeta al control judicial, como puede serlo cualquier laudo arbitral, mediante las acciones de revisión o anulación”. Así pues, en los estatutos y sus normas de desarrollo de la LCI se reconoce el derecho de los socios de acudir a la justicia.</w:t>
      </w:r>
    </w:p>
    <w:p w14:paraId="286D4D4B" w14:textId="77777777" w:rsidR="008D479B" w:rsidRDefault="008D479B" w:rsidP="008D479B">
      <w:pPr>
        <w:pStyle w:val="TextoNormal"/>
      </w:pPr>
    </w:p>
    <w:p w14:paraId="641FFC37" w14:textId="77777777" w:rsidR="008D479B" w:rsidRDefault="008D479B" w:rsidP="008D479B">
      <w:pPr>
        <w:pStyle w:val="TextoNormal"/>
      </w:pPr>
      <w:r>
        <w:t>Por último, la sentencia de la Sala de lo Civil del Tribunal Supremo aborda la denuncia de infracción del art. 22 CE e incide, al igual que las sentencias anteriores, en que los estatutos de las asociaciones demandadas establecían que los asociados, en este caso el Club de Leones de Gijón, tenían obligación de acudir al procedimiento interno de resolución de disputas antes de interponer una demanda judicial. En esta línea, el Tribunal Supremo, en la parte final del fundamento de Derecho 3 de su sentencia, afirma “lo relevante es que la causa de la imposición de la sanción no fue que el club demandante impugnara judicialmente los acuerdos de la federación española, sino que incumplió la obligación de acudir previamente a los procedimientos de resolución internos de disputas, y que esta obligación no suponía impedirle la impugnación judicial de los acuerdos de las demandadas”.</w:t>
      </w:r>
    </w:p>
    <w:p w14:paraId="546DBE2C" w14:textId="77777777" w:rsidR="008D479B" w:rsidRDefault="008D479B" w:rsidP="008D479B">
      <w:pPr>
        <w:pStyle w:val="TextoNormal"/>
      </w:pPr>
    </w:p>
    <w:p w14:paraId="4E5DDE1A" w14:textId="77777777" w:rsidR="008D479B" w:rsidRDefault="008D479B" w:rsidP="008D479B">
      <w:pPr>
        <w:pStyle w:val="TextoNormal"/>
      </w:pPr>
      <w:r>
        <w:t xml:space="preserve">Como se acaba de mostrar, las resoluciones impugnadas verificaron que, en efecto, los estatutos de las demandadas establecían que los asociados —fueran estos los distintos clubes de leones, fueran los socios de dichos clubes— tenían obligación de acudir al procedimiento interno de resolución de disputas. Y, aunque en algunos puntos la literalidad de los estatutos y reglas de desarrollo pudiera sugerir que se está excluyendo la posibilidad de acudir a la vía judicial una vez que se haya adoptado la decisión final del procedimiento interno, en las directrices para la resolución de disputas de la Asociación Internacional de Clubes de Leones se afirma con claridad “como una obligación de afiliación, los Lions deben agotar todos los remedios internos antes de recurrir a los tribunales”. Por otra parte, también se prevé una cláusula, que se reproduce en los acuerdos de suspensión y expulsión como se verá en breve, que establece que “todos esos estatutos y reglamentos distritales estarán sujetos a interpretación de acuerdo con las leyes que estén en efecto, tal y como resulte de sus eventuales modificaciones, en el estado de incorporación de la Asociación Internacional de Clubes de Leones”. Así pues, tal y como concluyen la Audiencia Provincial y el Tribunal Supremo en sus resoluciones objeto de este amparo, de acuerdo con las propias normas de la LCI, una hipotética prohibición de acudir a la justicia en España sería superada por una interpretación de los estatutos conforme al derecho de asociación recogido en el art. 22 CE y a las facultades </w:t>
      </w:r>
      <w:r w:rsidRPr="008D479B">
        <w:rPr>
          <w:i/>
        </w:rPr>
        <w:t>inter privatos</w:t>
      </w:r>
      <w:r>
        <w:t xml:space="preserve"> expresamente reconocidas en la LODA.</w:t>
      </w:r>
    </w:p>
    <w:p w14:paraId="613AA90C" w14:textId="77777777" w:rsidR="008D479B" w:rsidRDefault="008D479B" w:rsidP="008D479B">
      <w:pPr>
        <w:pStyle w:val="TextoNormal"/>
      </w:pPr>
    </w:p>
    <w:p w14:paraId="11D49086" w14:textId="77777777" w:rsidR="008D479B" w:rsidRDefault="008D479B" w:rsidP="008D479B">
      <w:pPr>
        <w:pStyle w:val="TextoNormal"/>
      </w:pPr>
      <w:r>
        <w:t xml:space="preserve">En definitiva, las resoluciones impugnadas no vulneraron la faceta </w:t>
      </w:r>
      <w:r w:rsidRPr="008D479B">
        <w:rPr>
          <w:i/>
        </w:rPr>
        <w:t>inter privatos</w:t>
      </w:r>
      <w:r>
        <w:t xml:space="preserve"> del derecho de asociación, puesto que si bien reconocieron que los estatutos de la LCI y de la FCLE podían establecer la obligación de acudir a los procedimientos internos de resolución en ejercicio de la facultad de autoorganización que les reconoce el derecho de asociación del art. 22 CE, también verificaron que dichos estatutos y demás normativa de funcionamiento permitían impugnar judicialmente los acuerdos sociales de forma subsidiaria después de haber agotado los procedimientos de resolución de disputas internos.</w:t>
      </w:r>
    </w:p>
    <w:p w14:paraId="335077A7" w14:textId="77777777" w:rsidR="008D479B" w:rsidRDefault="008D479B" w:rsidP="008D479B">
      <w:pPr>
        <w:pStyle w:val="TextoNormal"/>
      </w:pPr>
    </w:p>
    <w:p w14:paraId="5A1C71BE" w14:textId="77777777" w:rsidR="008D479B" w:rsidRDefault="008D479B" w:rsidP="008D479B">
      <w:pPr>
        <w:pStyle w:val="TextoNormal"/>
      </w:pPr>
      <w:r>
        <w:t>Una vez reconocido que, en efecto, los estatutos y sus normas de desarrollo de la LCI y la FCLE permitían acudir a la justicia de forma subsidiaria tras agotar los mecanismos internos de resolución de disputas, este tribunal debe examinar si, en este caso, la Audiencia Provincial y el Tribunal Supremo en sus sentencias infringieron el derecho de asociación a la hora de valorar si los acuerdos de suspensión y expulsión del club de Gijón habían sido adoptados con una base razonable. Como se ha visto, ambas instancias declararon que los estatutos y demás normas de la LCI imponían la obligación de acudir a los procedimientos internos de resolución de disputas como requisito previo a acceder a la justicia ordinaria; no se trataba, pues, de una condición excluyente. A partir de esta premisa, tanto la Audiencia Provincial de Asturias, sede en Gijón, como el Tribunal Supremo comprobaron que tanto el acuerdo de suspensión como el de expulsión adoptados por la Junta Directiva Internacional de la LCI se produjeron de conformidad con la normativa aplicable. Para ello, llevaron a cabo una atenta lectura de las alegaciones de las partes implicadas y de toda la documentación obrante en la causa. De aquella información se deriva, en efecto, que la LCI actuó aplicando las formas, procedimiento y tiempos previstos en la normativa interna del club. Por ello, ambas jurisdicciones desestimaron la pretensión del Club de Leones de Gijón de tutela de su derecho fundamental de asociación, al entender que los estatutos de la FCLE y la LCI, en el marco de su libertad de organización y funcionamiento interno, establecen un sistema obligatorio de resolución de disputas internas previo al ejercicio de las acciones judiciales, que debe respetarse. Consecuentemente, acudir directamente a la vía judicial sin antes pasar por los procedimientos internos de resolución de disputas previstos por las normas de la LCI y la FCLE supone un incumplimiento de las obligaciones de los socios, en este caso del Club de Leones de Gijón, que, por tanto, es una base razonable para suspender y expulsar a la recurrente de la FLCE y la LCI.</w:t>
      </w:r>
    </w:p>
    <w:p w14:paraId="2A40F168" w14:textId="77777777" w:rsidR="008D479B" w:rsidRDefault="008D479B" w:rsidP="008D479B">
      <w:pPr>
        <w:pStyle w:val="TextoNormal"/>
      </w:pPr>
    </w:p>
    <w:p w14:paraId="032BA6CD" w14:textId="5C62958D" w:rsidR="008D479B" w:rsidRDefault="008D479B" w:rsidP="008D479B">
      <w:pPr>
        <w:pStyle w:val="TextoNormal"/>
      </w:pPr>
      <w:r>
        <w:t xml:space="preserve">Así pues, el Club de Leones de Gijón, cuando recurrió directamente ante la justicia española las decisiones de la Asamblea de la FCLE celebrada en Marbella sin acudir a los instrumentos de resolución internos previstos en los estatutos y demás normas de desarrollo, no ejercía una de las facultades de la dimensión </w:t>
      </w:r>
      <w:r w:rsidRPr="008D479B">
        <w:rPr>
          <w:i/>
        </w:rPr>
        <w:t>inter privatos</w:t>
      </w:r>
      <w:r>
        <w:t xml:space="preserve"> del derecho de asociación, recurrir las decisiones de la asociación ante la justicia ordinaria, sino que estaba incumpliendo sus obligaciones como socio.</w:t>
      </w:r>
    </w:p>
    <w:p w14:paraId="7F2DF6AD" w14:textId="77777777" w:rsidR="008D479B" w:rsidRDefault="008D479B" w:rsidP="008D479B">
      <w:pPr>
        <w:pStyle w:val="TextoNormal"/>
      </w:pPr>
    </w:p>
    <w:p w14:paraId="2C4D8F8E" w14:textId="77777777" w:rsidR="008D479B" w:rsidRDefault="008D479B" w:rsidP="008D479B">
      <w:pPr>
        <w:pStyle w:val="TextoNormalCentrado"/>
        <w:keepNext/>
      </w:pPr>
      <w:r>
        <w:t>FALLO</w:t>
      </w:r>
    </w:p>
    <w:p w14:paraId="151D4BFD" w14:textId="1FF8F14B" w:rsidR="008D479B" w:rsidRDefault="008D479B" w:rsidP="008D479B">
      <w:pPr>
        <w:pStyle w:val="TextoNormalCentrado"/>
        <w:keepNext/>
      </w:pPr>
    </w:p>
    <w:p w14:paraId="0E559B8F" w14:textId="053D6903" w:rsidR="008D479B" w:rsidRDefault="008D479B" w:rsidP="008D479B">
      <w:pPr>
        <w:pStyle w:val="TextoNormal"/>
      </w:pPr>
      <w:r>
        <w:t>En atención a todo lo expuesto, el Tribunal Constitucional, por la autoridad que le confiere la Constitución de la Nación española, ha decidido desestimar el presente recurso de amparo interpuesto por la Asociación Club de Leones de Gijón.</w:t>
      </w:r>
    </w:p>
    <w:p w14:paraId="2C2A5848" w14:textId="77777777" w:rsidR="008D479B" w:rsidRDefault="008D479B" w:rsidP="008D479B">
      <w:pPr>
        <w:pStyle w:val="TextoNormal"/>
      </w:pPr>
    </w:p>
    <w:p w14:paraId="45C64399" w14:textId="77777777" w:rsidR="008D479B" w:rsidRDefault="008D479B" w:rsidP="008D479B">
      <w:pPr>
        <w:pStyle w:val="TextoNormal"/>
      </w:pPr>
      <w:r>
        <w:t>Publíquese esta sentencia en el “Boletín Oficial del Estado”.</w:t>
      </w:r>
    </w:p>
    <w:p w14:paraId="6D8852BB" w14:textId="77777777" w:rsidR="008D479B" w:rsidRDefault="008D479B" w:rsidP="008D479B">
      <w:pPr>
        <w:pStyle w:val="TextoNormal"/>
      </w:pPr>
      <w:r>
        <w:t>Dada en Madrid, a veintitrés de octubre de dos mil veintitrés.</w:t>
      </w:r>
    </w:p>
    <w:p w14:paraId="5E03136A" w14:textId="370CB64E" w:rsidR="008D479B" w:rsidRDefault="008D479B">
      <w:pPr>
        <w:spacing w:after="160" w:line="278" w:lineRule="auto"/>
        <w:rPr>
          <w:rFonts w:ascii="Times New Roman" w:eastAsia="Times New Roman" w:hAnsi="Times New Roman" w:cs="Times New Roman"/>
          <w:sz w:val="24"/>
          <w:szCs w:val="24"/>
          <w:lang w:eastAsia="es-ES"/>
        </w:rPr>
      </w:pPr>
      <w:r>
        <w:br w:type="page"/>
      </w:r>
    </w:p>
    <w:p w14:paraId="59D037C9" w14:textId="77777777" w:rsidR="008D479B" w:rsidRDefault="008D479B" w:rsidP="008D479B">
      <w:pPr>
        <w:pStyle w:val="TtuloResolucin"/>
      </w:pPr>
      <w:bookmarkStart w:id="55" w:name="SENTENCIA_2023_130"/>
      <w:r>
        <w:t>SENTENCIA 130/2023, de 23 de octubre de 2023</w:t>
      </w:r>
    </w:p>
    <w:bookmarkEnd w:id="55"/>
    <w:p w14:paraId="70EDEF31" w14:textId="77777777" w:rsidR="008D479B" w:rsidRDefault="008D479B" w:rsidP="008D479B">
      <w:pPr>
        <w:pStyle w:val="TtuloResolucin"/>
      </w:pPr>
      <w:r>
        <w:t>Sala Segunda</w:t>
      </w:r>
    </w:p>
    <w:p w14:paraId="5525D9C3" w14:textId="77777777" w:rsidR="008D479B" w:rsidRDefault="008D479B" w:rsidP="008D479B">
      <w:pPr>
        <w:pStyle w:val="TtuloBOE"/>
      </w:pPr>
      <w:r>
        <w:t>(BOE núm. 286, de 30 de noviembre de 2023)</w:t>
      </w:r>
    </w:p>
    <w:p w14:paraId="3E8172EC" w14:textId="77777777" w:rsidR="008D479B" w:rsidRDefault="008D479B" w:rsidP="008D479B">
      <w:pPr>
        <w:pStyle w:val="TextoNormalCentrado"/>
      </w:pPr>
      <w:r>
        <w:t>ECLI:ES:TC:2023:130</w:t>
      </w:r>
    </w:p>
    <w:p w14:paraId="6CD97AEE" w14:textId="6E4DECC7" w:rsidR="008D479B" w:rsidRDefault="008D479B" w:rsidP="008D479B">
      <w:pPr>
        <w:pStyle w:val="TextoNormalCentrado"/>
      </w:pPr>
    </w:p>
    <w:p w14:paraId="20963B6E" w14:textId="77777777" w:rsidR="008D479B" w:rsidRDefault="008D479B" w:rsidP="008D479B">
      <w:pPr>
        <w:pStyle w:val="SntesisDescriptiva"/>
      </w:pPr>
      <w:r>
        <w:t>Recurso de amparo 6324-2020. Promovido por don Jeifry Manuel de la Cruz en relación con las resoluciones dictadas por las salas de lo contencioso-administrativo del Tribunal Supremo y del Tribunal Superior de Justicia de Madrid y un juzgado de la capital, que desestimaron su impugnación de la resolución administrativa sancionadora que acordó su expulsión del territorio nacional.</w:t>
      </w:r>
    </w:p>
    <w:p w14:paraId="3BE575CB" w14:textId="20CE2CB7" w:rsidR="008D479B" w:rsidRDefault="008D479B" w:rsidP="008D479B">
      <w:pPr>
        <w:pStyle w:val="SntesisDescriptiva"/>
      </w:pPr>
    </w:p>
    <w:p w14:paraId="01871433" w14:textId="77777777" w:rsidR="008D479B" w:rsidRDefault="008D479B" w:rsidP="008D479B">
      <w:pPr>
        <w:pStyle w:val="SntesisAnaltica"/>
      </w:pPr>
      <w:r>
        <w:t>Vulneración del derecho a la legalidad sancionadora: aplicación irrazonable de la norma sancionadora que, anteponiendo la expulsión a la multa, infringió la garantía material del derecho (STC 47/2023).</w:t>
      </w:r>
    </w:p>
    <w:p w14:paraId="71220BB1" w14:textId="42278787" w:rsidR="008D479B" w:rsidRDefault="008D479B" w:rsidP="008D479B">
      <w:pPr>
        <w:pStyle w:val="SntesisAnaltica"/>
      </w:pPr>
    </w:p>
    <w:p w14:paraId="526DD2DB" w14:textId="5A3EF519" w:rsidR="008D479B" w:rsidRDefault="008D479B" w:rsidP="008D479B">
      <w:pPr>
        <w:pStyle w:val="Extracto"/>
      </w:pPr>
      <w:r>
        <w:t>1.</w:t>
      </w:r>
      <w:r>
        <w:tab/>
        <w:t>Reiteración de doctrina sobre vulneración de los derechos fundamentales a la legalidad sancionadora -garantía material- y a la tutela judicial efectiva (STC 47/2023) [FJ único].</w:t>
      </w:r>
    </w:p>
    <w:p w14:paraId="086FE067" w14:textId="77777777" w:rsidR="008D479B" w:rsidRDefault="008D479B" w:rsidP="008D479B">
      <w:pPr>
        <w:pStyle w:val="Extracto"/>
      </w:pPr>
    </w:p>
    <w:p w14:paraId="77B3537E" w14:textId="0B9BD4D3" w:rsidR="008D479B" w:rsidRDefault="008D479B" w:rsidP="008D479B">
      <w:pPr>
        <w:pStyle w:val="Extracto"/>
      </w:pPr>
      <w:r>
        <w:t>2.</w:t>
      </w:r>
      <w:r>
        <w:tab/>
        <w:t>En materia de situación irregular de nacionales de terceros países en el territorio de un Estado miembro, cuando la normativa nacional imponga o bien una sanción de multa, o bien la expulsión, teniendo en cuenta que esta segunda medida solo puede adoptarse si existen circunstancias agravantes, la autoridad nacional competente no podrá aplicar directamente la Directiva 2008/115/CE para adoptar y hacer cumplir una decisión de retorno aun cuando no existan circunstancias agravantes (SSTJUE de 8 de octubre de 2020, MO c. Subdelegación del Gobierno en Toledo, asunto C-568/19;  y de 3 de marzo de 2022, UN c. Subdelegación del Gobierno en Pontevedra, asunto C-409/20) [FJ único].</w:t>
      </w:r>
    </w:p>
    <w:p w14:paraId="65A1E5B9" w14:textId="77777777" w:rsidR="008D479B" w:rsidRDefault="008D479B" w:rsidP="008D479B">
      <w:pPr>
        <w:pStyle w:val="Extracto"/>
      </w:pPr>
    </w:p>
    <w:p w14:paraId="30551DC9" w14:textId="77777777" w:rsidR="008D479B" w:rsidRDefault="008D479B" w:rsidP="008D479B">
      <w:pPr>
        <w:pStyle w:val="Extracto"/>
      </w:pPr>
    </w:p>
    <w:p w14:paraId="48312BD1" w14:textId="77777777" w:rsidR="008D479B" w:rsidRDefault="008D479B" w:rsidP="008D479B">
      <w:pPr>
        <w:pStyle w:val="TextoNormal"/>
      </w:pPr>
      <w:r>
        <w:t>La Sala Segunda del Tribunal Constitucional, compuesta por la magistrada doña Inmaculada Montalbán Huertas, presidenta, y las magistradas y magistrados doña María Luisa Balaguer Callejón, don Ramón Sáez Valcárcel, don Enrique Arnaldo Alcubilla y doña Laura Díez Bueso, ha pronunciado</w:t>
      </w:r>
    </w:p>
    <w:p w14:paraId="447B01C1" w14:textId="7D51DA50" w:rsidR="008D479B" w:rsidRDefault="008D479B" w:rsidP="008D479B">
      <w:pPr>
        <w:pStyle w:val="TextoNormal"/>
      </w:pPr>
    </w:p>
    <w:p w14:paraId="1807A1B1" w14:textId="77777777" w:rsidR="008D479B" w:rsidRDefault="008D479B" w:rsidP="008D479B">
      <w:pPr>
        <w:pStyle w:val="TextoNormalCentrado"/>
        <w:keepNext/>
      </w:pPr>
      <w:r>
        <w:t>EN NOMBRE DEL REY</w:t>
      </w:r>
    </w:p>
    <w:p w14:paraId="1765DE72" w14:textId="3A1378A2" w:rsidR="008D479B" w:rsidRDefault="008D479B" w:rsidP="008D479B">
      <w:pPr>
        <w:pStyle w:val="TextoNormalCentrado"/>
        <w:keepNext/>
      </w:pPr>
    </w:p>
    <w:p w14:paraId="69DD4069" w14:textId="77777777" w:rsidR="008D479B" w:rsidRDefault="008D479B" w:rsidP="008D479B">
      <w:pPr>
        <w:pStyle w:val="TextoNormalCentrado"/>
        <w:keepNext/>
      </w:pPr>
    </w:p>
    <w:p w14:paraId="7AEF9F82" w14:textId="77777777" w:rsidR="008D479B" w:rsidRDefault="008D479B" w:rsidP="008D479B">
      <w:pPr>
        <w:pStyle w:val="TextoNormal"/>
      </w:pPr>
      <w:r>
        <w:t>la siguiente</w:t>
      </w:r>
    </w:p>
    <w:p w14:paraId="374F1298" w14:textId="6F892224" w:rsidR="008D479B" w:rsidRDefault="008D479B" w:rsidP="008D479B">
      <w:pPr>
        <w:pStyle w:val="TextoNormal"/>
      </w:pPr>
    </w:p>
    <w:p w14:paraId="2DB80F10" w14:textId="77777777" w:rsidR="008D479B" w:rsidRDefault="008D479B" w:rsidP="008D479B">
      <w:pPr>
        <w:pStyle w:val="TextoNormalCentrado"/>
        <w:keepNext/>
      </w:pPr>
      <w:r>
        <w:t>SENTENCIA</w:t>
      </w:r>
    </w:p>
    <w:p w14:paraId="3833761E" w14:textId="294741E7" w:rsidR="008D479B" w:rsidRDefault="008D479B" w:rsidP="008D479B">
      <w:pPr>
        <w:pStyle w:val="TextoNormalCentrado"/>
        <w:keepNext/>
      </w:pPr>
    </w:p>
    <w:p w14:paraId="36C98817" w14:textId="77777777" w:rsidR="008D479B" w:rsidRDefault="008D479B" w:rsidP="008D479B">
      <w:pPr>
        <w:pStyle w:val="TextoNormal"/>
      </w:pPr>
      <w:r>
        <w:t>En el recurso de amparo núm. 6324-2020, promovido por don Jeifry Manuel de la Cruz contra la resolución de fecha 28 de abril de 2017 de la delegada del Gobierno en Madrid, que acordó decretar la expulsión del territorio español del recurrente; contra la sentencia núm. 157/2018, de 12 de junio de 2018 del Juzgado de lo Contencioso-Administrativo núm. 21 de Madrid dictada en el procedimiento abreviado 291-2017, que desestimó el recurso contencioso; contra la sentencia 545/2019 de 26 de julio de 2019 de la Sección Novena de Sala de lo Contencioso-Administrativo del Tribunal Superior de Justicia de Madrid, que desestimó el recurso de apelación núm. 812-2018; y contra las providencias de la Sección Primera de la Sala de lo Contencioso-Administrativo del Tribunal Supremo, de 21 de septiembre de 2020 que acordó la inadmisión a trámite del recurso de casación núm. 7732-2019 y la de 10 de diciembre de 2020 que inadmitió el incidente excepcional de nulidad de actuaciones. Ha comparecido y formulado alegaciones el abogado del Estado y ha intervenido el Ministerio Fiscal. Ha sido ponente la magistrada doña Laura Díez Bueso.</w:t>
      </w:r>
    </w:p>
    <w:p w14:paraId="35775F0A" w14:textId="4FE8F345" w:rsidR="008D479B" w:rsidRDefault="008D479B" w:rsidP="008D479B">
      <w:pPr>
        <w:pStyle w:val="TextoNormal"/>
      </w:pPr>
    </w:p>
    <w:p w14:paraId="3F42AF78" w14:textId="77777777" w:rsidR="008D479B" w:rsidRDefault="008D479B" w:rsidP="008D479B">
      <w:pPr>
        <w:pStyle w:val="TextoNormalNegritaCentrado"/>
        <w:keepNext/>
      </w:pPr>
      <w:r>
        <w:t>I. Antecedentes</w:t>
      </w:r>
    </w:p>
    <w:p w14:paraId="32C622AE" w14:textId="762D3477" w:rsidR="008D479B" w:rsidRDefault="008D479B" w:rsidP="008D479B">
      <w:pPr>
        <w:pStyle w:val="TextoNormalNegritaCentrado"/>
        <w:keepNext/>
      </w:pPr>
    </w:p>
    <w:p w14:paraId="00D7D778" w14:textId="7314EB2D" w:rsidR="008D479B" w:rsidRDefault="008D479B" w:rsidP="008D479B">
      <w:pPr>
        <w:pStyle w:val="TextoNormal"/>
      </w:pPr>
      <w:r w:rsidRPr="008D479B">
        <w:rPr>
          <w:rStyle w:val="NumeroAFNegritaCaracter"/>
        </w:rPr>
        <w:t>1</w:t>
      </w:r>
      <w:r>
        <w:t>. Mediante escrito presentado en este tribunal el 21 de diciembre de 2020, la procuradora de los tribunales doña Bárbara Sánchez Lorente, en nombre y representación de don Jeifry Manuel de la Cruz, bajo la dirección del letrado don David Redondo Artiles solicitó la designación de abogado de oficio con el fin de interponer recurso de amparo contra las resoluciones que se mencionan en el encabezamiento de esta sentencia, habida cuenta de que el letrado firmante no pertenece al turno de oficio; efectuada la correspondiente designación, la procuradora de los tribunales doña Bárbara Sánchez Lorente, actuando en nombre y representación de don Jeifry Manuel de la Cruz, bajo la dirección letrada de don Jorge Izquierdo Freire, presentó el 28 de abril de 2021 escrito en el que formalizaba la demanda de amparo.</w:t>
      </w:r>
    </w:p>
    <w:p w14:paraId="00A724F9" w14:textId="77777777" w:rsidR="008D479B" w:rsidRDefault="008D479B" w:rsidP="008D479B">
      <w:pPr>
        <w:pStyle w:val="TextoNormal"/>
      </w:pPr>
    </w:p>
    <w:p w14:paraId="1DCEBEE2" w14:textId="77777777" w:rsidR="008D479B" w:rsidRDefault="008D479B" w:rsidP="008D479B">
      <w:pPr>
        <w:pStyle w:val="TextoNormal"/>
      </w:pPr>
      <w:r w:rsidRPr="008D479B">
        <w:rPr>
          <w:rStyle w:val="NumeroAFNegritaCaracter"/>
        </w:rPr>
        <w:t>2</w:t>
      </w:r>
      <w:r>
        <w:t>. Los hechos en los que tiene su origen el presente recurso, y relevantes para su resolución, son en síntesis, los siguientes:</w:t>
      </w:r>
    </w:p>
    <w:p w14:paraId="347F88A6" w14:textId="77777777" w:rsidR="008D479B" w:rsidRDefault="008D479B" w:rsidP="008D479B">
      <w:pPr>
        <w:pStyle w:val="TextoNormal"/>
      </w:pPr>
    </w:p>
    <w:p w14:paraId="3C549800" w14:textId="77777777" w:rsidR="008D479B" w:rsidRDefault="008D479B" w:rsidP="008D479B">
      <w:pPr>
        <w:pStyle w:val="TextoNormal"/>
      </w:pPr>
      <w:r>
        <w:t>a) El día 28 de abril de 2017, la Delegación del Gobierno en Madrid dictó resolución decretando la expulsión de territorio nacional y la prohibición de entrada por un período de tres años de don Jeifry Manuel de la Cruz, nacional de República Dominicana, tras la tramitación del oportuno expediente. La resolución de expulsión se basa en la carencia de documentación habilitante de la estancia o residencia en España y, por tanto, en la comisión de la infracción tipificada en los arts. 53.1 a) y 57.1 de la Ley Orgánica 4/2000, de 11 de enero, sobre derechos y libertades de los extranjeros en España y su integración social (LOEx).</w:t>
      </w:r>
    </w:p>
    <w:p w14:paraId="119A37D1" w14:textId="77777777" w:rsidR="008D479B" w:rsidRDefault="008D479B" w:rsidP="008D479B">
      <w:pPr>
        <w:pStyle w:val="TextoNormal"/>
      </w:pPr>
    </w:p>
    <w:p w14:paraId="76F87501" w14:textId="77777777" w:rsidR="008D479B" w:rsidRDefault="008D479B" w:rsidP="008D479B">
      <w:pPr>
        <w:pStyle w:val="TextoNormal"/>
      </w:pPr>
      <w:r>
        <w:t>En la resolución administrativa se expone como antecedente que “en el plazo concedido al efecto se ha presentado escrito de alegaciones, sin que de las manifestaciones contenidas en el mismo, desvirtúen los hechos imputados, ya que en lo referente al arraigo familiar invocado, resultaría paradójico acoger la línea argumental basada en un ensalzamiento de los valores familiares y paternofiliales, cuando precisamente alguna de las conductas observadas son susceptibles de calificarse como delito de malos tratos en el ámbito familiar”.</w:t>
      </w:r>
    </w:p>
    <w:p w14:paraId="02533643" w14:textId="77777777" w:rsidR="008D479B" w:rsidRDefault="008D479B" w:rsidP="008D479B">
      <w:pPr>
        <w:pStyle w:val="TextoNormal"/>
      </w:pPr>
    </w:p>
    <w:p w14:paraId="4AB693E6" w14:textId="77777777" w:rsidR="008D479B" w:rsidRDefault="008D479B" w:rsidP="008D479B">
      <w:pPr>
        <w:pStyle w:val="TextoNormal"/>
      </w:pPr>
      <w:r>
        <w:t>b) Contra la citada resolución administrativa se interpuso recurso contencioso administrativo (procedimiento abreviado núm. 291-2017), con solicitud de suspensión del acto administrativo, del que conoció el Juzgado de lo Contencioso-Administrativo núm. 21 de Madrid. El recurrente en amparo basó su impugnación, en síntesis, en la caducidad del procedimiento, la incorrecta notificación por edictos de la resolución administrativa, la inadecuación de procedimiento y falta de motivación, la existencia de arraigo y la infracción del principio de proporcionalidad al haberse impuesto sanción de expulsión en detrimento de multa.</w:t>
      </w:r>
    </w:p>
    <w:p w14:paraId="254668EE" w14:textId="77777777" w:rsidR="008D479B" w:rsidRDefault="008D479B" w:rsidP="008D479B">
      <w:pPr>
        <w:pStyle w:val="TextoNormal"/>
      </w:pPr>
    </w:p>
    <w:p w14:paraId="73F5FF42" w14:textId="77777777" w:rsidR="008D479B" w:rsidRDefault="008D479B" w:rsidP="008D479B">
      <w:pPr>
        <w:pStyle w:val="TextoNormal"/>
      </w:pPr>
      <w:r>
        <w:t>c) Por auto de 22 de diciembre de 2017, el Juzgado de lo Contencioso-Administrativo núm. 21 de Madrid acordó como medida cautelar la suspensión de la expulsión, por considerar esencialmente que “el actor ha acreditado que ha tenido un hijo nacido en España el 13 de agosto de 2015”.</w:t>
      </w:r>
    </w:p>
    <w:p w14:paraId="3F99C46E" w14:textId="77777777" w:rsidR="008D479B" w:rsidRDefault="008D479B" w:rsidP="008D479B">
      <w:pPr>
        <w:pStyle w:val="TextoNormal"/>
      </w:pPr>
    </w:p>
    <w:p w14:paraId="6BC9B85C" w14:textId="77777777" w:rsidR="008D479B" w:rsidRDefault="008D479B" w:rsidP="008D479B">
      <w:pPr>
        <w:pStyle w:val="TextoNormal"/>
      </w:pPr>
      <w:r>
        <w:t>d) El recurso contencioso administrativo fue desestimado por sentencia 157/2018, de 12 de junio, del Juzgado de lo Contencioso-Administrativo núm. 21 de Madrid, en la que tras descartar la concurrencia de caducidad del expediente administrativo, rechaza el resto de los motivos invocados conforme a los siguientes argumentos: (i) la condición alegada de familiar de residente comunitario (como hijo de nacional española) debe ser reconocida expresamente y, en el presente caso, consta archivada una autorización de residencia temporal por reagrupación familiar (desde el año 2010) y consta caducada una autorización de residencia de familiar comunitario (desde el año 2015), mientras que la incoación de expediente sancionador se produjo el 23 de enero de 2017; (ii) sobre la falta de proporcionalidad de la sanción de expulsión, el juzgado señala que no ha quedado acreditada la convivencia con su hijo nacido el 13 de agosto de 2015, ni que contribuya a su sostenimiento, puesto que el recurrente afirma vivir con su madre y a su cargo; (iii) a ello ha de añadirse que consta un registro por ilícito penal de malos tratos físicos en el ámbito familiar con fecha 15 de marzo de 2016, por lo que, conforme a la Directiva 2008/115/CE del Parlamento Europeo y del Consejo, de 16 de diciembre de 2008, relativa a normas y procedimientos comunes en los Estados miembros para el retorno de los nacionales de terceros países en situación irregular, y a la sentencia del Tribunal de Justicia de la Unión Europea, de 23 de abril de 2015, asunto C-38/14, no procede sustituir la sanción de expulsión por una multa.</w:t>
      </w:r>
    </w:p>
    <w:p w14:paraId="3FD05843" w14:textId="77777777" w:rsidR="008D479B" w:rsidRDefault="008D479B" w:rsidP="008D479B">
      <w:pPr>
        <w:pStyle w:val="TextoNormal"/>
      </w:pPr>
    </w:p>
    <w:p w14:paraId="05932B78" w14:textId="77777777" w:rsidR="008D479B" w:rsidRDefault="008D479B" w:rsidP="008D479B">
      <w:pPr>
        <w:pStyle w:val="TextoNormal"/>
      </w:pPr>
      <w:r>
        <w:t>e) Frente a la anterior resolución, el demandante de amparo planteó recurso de apelación alegando la inadecuación del procedimiento administrativo, la normativa aplicable a la expulsión, la necesidad de dar prioridad al interés del menor y la vida familiar, la defectuosa notificación del acto administrativo y otros relativos a la aplicación de la doctrina de la STJUE de 23 de abril de 2015, asunto C-38/14, sobre la Directiva 2008/115/CE.</w:t>
      </w:r>
    </w:p>
    <w:p w14:paraId="20FEE8C1" w14:textId="77777777" w:rsidR="008D479B" w:rsidRDefault="008D479B" w:rsidP="008D479B">
      <w:pPr>
        <w:pStyle w:val="TextoNormal"/>
      </w:pPr>
    </w:p>
    <w:p w14:paraId="74FB9668" w14:textId="77777777" w:rsidR="008D479B" w:rsidRDefault="008D479B" w:rsidP="008D479B">
      <w:pPr>
        <w:pStyle w:val="TextoNormal"/>
      </w:pPr>
      <w:r>
        <w:t>f) El recurso fue desestimado por sentencia 545/2019, de 26 de julio, de la Sección Novena de la Sala de lo Contencioso-Administrativo del Tribunal Superior de Justicia de Madrid. Para alcanzar este fallo, la sala razona, en primer lugar, sobre la inadecuación del procedimiento, admitiendo que el juzgado pudiera haber incurrido en una imprecisión a la hora de interpretar el motivo alegado que, sin embargo, puede ser corregida en apelación. Así, entiende que la incoación y tramitación del procedimiento administrativo preferente, en vez del ordinario, no implica una ausencia de procedimiento, al margen de que, en todo caso, el recurrente no ha especificado la concreta indefensión material que se le ha podido causar. Por lo demás, su situación de indocumentación podría justificar una apreciación de dificultad de localización que permite la tramitación del procedimiento especial previsto en el art. 63.1 a) LOEx.</w:t>
      </w:r>
    </w:p>
    <w:p w14:paraId="3078A4A5" w14:textId="77777777" w:rsidR="008D479B" w:rsidRDefault="008D479B" w:rsidP="008D479B">
      <w:pPr>
        <w:pStyle w:val="TextoNormal"/>
      </w:pPr>
    </w:p>
    <w:p w14:paraId="6B5278FB" w14:textId="77777777" w:rsidR="008D479B" w:rsidRDefault="008D479B" w:rsidP="008D479B">
      <w:pPr>
        <w:pStyle w:val="TextoNormal"/>
      </w:pPr>
      <w:r>
        <w:t>Por lo que concierne al alegado interés superior del menor y protección de la vida familiar, la sala descarta la infracción denunciada, por no constar la nacionalidad del hijo, ni su residencia actual, ni dato alguno sobre el niño o su madre, como tampoco que sea padre de otra niña. A ello añade que la vida familiar protegida por la Directiva de retorno es la familia nuclear, que no se corresponde con una supuesta convivencia con un ascendiente, extremo que tampoco se acredita. Respecto a la infracción del derecho de defensa y a la presunción de inocencia el órgano judicial constata que, efectivamente, la referencia al registro por malos tratos figura en la resolución administrativa, pero no integra la conducta infractora, sino que se utiliza para contrarrestar las alegaciones sobre arraigo familiar que, en cualquier caso, no están acreditadas, por lo que resultan inocuas para los derechos invocados, al margen de que, a su juicio, la medida de expulsión era igualmente procedente aunque no concurriera otro dato negativo sobre la conducta del recurrente. Así, para la sala, en cumplimiento de la Directiva 2008/115/CE y de conformidad con la STJUE de 23 de abril de 2015, tal y como fueron interpretadas por las sentencias de la Sala de lo Contencioso-Administrativo del Tribunal Supremo de 12 de junio de 2018, 4 de diciembre y 19 de diciembre de 2018, procede la imposición de la sanción de expulsión en los supuestos de estancia irregular, al igual que, por lo que respecta a la aplicación del Real Decreto 240/2007, de 16 de febrero, sobre entrada, libre circulación y residencia en España de ciudadanos de los Estados miembros de la Unión Europea y de otros Estados parte en el Acuerdo sobre el Espacio Económico Europeo, no consta que el recurrente sea ciudadano, ni familiar de ciudadano, de Estado miembro.</w:t>
      </w:r>
    </w:p>
    <w:p w14:paraId="2A425576" w14:textId="77777777" w:rsidR="008D479B" w:rsidRDefault="008D479B" w:rsidP="008D479B">
      <w:pPr>
        <w:pStyle w:val="TextoNormal"/>
      </w:pPr>
    </w:p>
    <w:p w14:paraId="613BF40D" w14:textId="77777777" w:rsidR="008D479B" w:rsidRDefault="008D479B" w:rsidP="008D479B">
      <w:pPr>
        <w:pStyle w:val="TextoNormal"/>
      </w:pPr>
      <w:r>
        <w:t>Finalmente, la sentencia desestima la alegación sobre invalidez de la notificación edictal de la resolución de expulsión, al no apreciar anomalía alguna en los intentos de notificación personal que resultaron infructuosos.</w:t>
      </w:r>
    </w:p>
    <w:p w14:paraId="4B3A3C61" w14:textId="77777777" w:rsidR="008D479B" w:rsidRDefault="008D479B" w:rsidP="008D479B">
      <w:pPr>
        <w:pStyle w:val="TextoNormal"/>
      </w:pPr>
    </w:p>
    <w:p w14:paraId="48612CFB" w14:textId="77777777" w:rsidR="008D479B" w:rsidRDefault="008D479B" w:rsidP="008D479B">
      <w:pPr>
        <w:pStyle w:val="TextoNormal"/>
      </w:pPr>
      <w:r>
        <w:t>g) Preparado por el recurrente recurso de casación contra la sentencia dictada en apelación, fue inadmitido mediante providencia de 21 de septiembre de 2020, de la Sección Primera de la Sala de lo Contencioso-Administrativo del Tribunal Supremo por: “1) incumplimiento de las exigencias que el artículo 89.2 de la LJCA [Ley reguladora de la jurisdicción contencioso-administrativa] impone al escrito de preparación: falta de fundamentación suficiente, con singular referencia al caso, de la concurrencia de los supuestos del art. 88.2 a), c) y f) LJCA —invocados— que permiten apreciar el interés casacional objetivo y la conveniencia de un pronunciamiento de la Sala de lo Contencioso-Administrativo del Tribunal Supremo; y, en todo caso, 2) carencia, en los términos en los que ha sido preparado el recurso, de interés casacional objetivo para la formación de jurisprudencia, dado el casuismo que preside las cuestiones suscitadas, vinculadas a los aspectos circunstanciados del pleito, teniendo en cuenta además que las cuestiones de hecho y su valoración probatoria están excluidas de la casación y que ya existe jurisprudencia consolidada de esta sala, tanto sobre la procedencia de la medida de expulsión en los casos de estancia irregular del artículo 53.1 a) LOEx —sentencias de la Sección Quinta de esta Sala de lo Contencioso-Administrativo del Tribunal Supremo de 12 de junio de 2018, recurso núm. 2958-2017; de 4 de diciembre de 2018, recurso núm. 5819-2017; de 19 de diciembre de 2018, recursos núm. 5248-2017 y 6533-2017 (expresamente citadas por la sentencia recurrida) y muchas otras posteriores— como sobre el alcance de la falta de justificación del inicio del procedimiento previsto en el artículo 63 de la LOEx —sentencias de la Sección Quinta de esta Sala de lo Contencioso-Administrativo del Tribunal Supremo de 2 de julio de 2018, recurso núm. 333-2017; de 28 de enero de 2019, recurso núm. 3964-2017; de 5 de febrero de 2019, recurso núm. 6379-2017; de 24 de septiembre de 2019, recurso núm. 3160-2018, y de 3 de diciembre de 2019, recurso núm. 8030/2018—”.</w:t>
      </w:r>
    </w:p>
    <w:p w14:paraId="628C1F8E" w14:textId="77777777" w:rsidR="008D479B" w:rsidRDefault="008D479B" w:rsidP="008D479B">
      <w:pPr>
        <w:pStyle w:val="TextoNormal"/>
      </w:pPr>
    </w:p>
    <w:p w14:paraId="2C412D26" w14:textId="5223582E" w:rsidR="008D479B" w:rsidRDefault="008D479B" w:rsidP="008D479B">
      <w:pPr>
        <w:pStyle w:val="TextoNormal"/>
      </w:pPr>
      <w:r>
        <w:t>h) Planteado incidente excepcional de nulidad de actuaciones contra la anterior providencia, alegando la vulneración del derecho a la tutela judicial efectiva, en su vertiente de derecho de acceso al recurso y a la motivación de las resoluciones judiciales (art. 24.1 CE), fue inadmitido a trámite por medio de providencia de 10 de diciembre de 2020. En ella, la Sala tras recordar la doctrina constitucional sobre la naturaleza del derecho de acceso al recurso como un derecho de configuración legal, que no se vulnera si se obtiene una resolución judicial motivada que justifique las razones por las que se inadmite un recurso, declara que, en el presente caso, la providencia cumple escrupulosamente con ese canon, al indicar las causas de inadmisión, “sin que la deficiente actuación procesal de la parte al incumplir los requisitos legalmente establecidos para la preparación del recurso de casación sea subsanable, como aquí parece pretenderse, al anunciarse, con ocasión de la formulación del incidente, la intención de aprovechar para hacer un cambio en la redacción de alguno de los motivos invocados en el escrito de preparación”.</w:t>
      </w:r>
    </w:p>
    <w:p w14:paraId="1D373107" w14:textId="77777777" w:rsidR="008D479B" w:rsidRDefault="008D479B" w:rsidP="008D479B">
      <w:pPr>
        <w:pStyle w:val="TextoNormal"/>
      </w:pPr>
    </w:p>
    <w:p w14:paraId="4D46FD0C" w14:textId="77777777" w:rsidR="008D479B" w:rsidRDefault="008D479B" w:rsidP="008D479B">
      <w:pPr>
        <w:pStyle w:val="TextoNormal"/>
      </w:pPr>
      <w:r w:rsidRPr="008D479B">
        <w:rPr>
          <w:rStyle w:val="NumeroAFNegritaCaracter"/>
        </w:rPr>
        <w:t>3</w:t>
      </w:r>
      <w:r>
        <w:t>. La demanda de amparo alega, en primer lugar, que las resoluciones judiciales impugnadas vulneran el derecho a la tutela judicial efectiva (art. 24.1 CE), en su vertiente de derecho de acceso al recurso, por cuanto la interpretación y aplicación de las causas de inadmisión del recurso de casación han sido rigoristas o excesivamente formalistas, además de arbitrarias o manifiestamente irrazonables. A su juicio, el recurso de casación se ajustaba a lo dispuesto en la legislación procesal, con indicación de los motivos de interés casacional y la reseña de las resoluciones judiciales contradictorias que justificaban un pronunciamiento del Tribunal Supremo.</w:t>
      </w:r>
    </w:p>
    <w:p w14:paraId="77E0630C" w14:textId="77777777" w:rsidR="008D479B" w:rsidRDefault="008D479B" w:rsidP="008D479B">
      <w:pPr>
        <w:pStyle w:val="TextoNormal"/>
      </w:pPr>
    </w:p>
    <w:p w14:paraId="2DFBF47E" w14:textId="77777777" w:rsidR="008D479B" w:rsidRDefault="008D479B" w:rsidP="008D479B">
      <w:pPr>
        <w:pStyle w:val="TextoNormal"/>
      </w:pPr>
      <w:r>
        <w:t>La vulneración del derecho a la tutela judicial efectiva ha determinado que el resto de las infracciones constitucionales alegadas en el recurso de casación no hayan sido reparadas. En concreto, la vulneración del derecho a la tutela judicial efectiva (art. 24.1 CE), por error patente en la aplicación de la norma legal, al no haber valorado la existencia de un hijo menor de edad de nacionalidad española, ni haber tratado las circunstancias relativas a la vida privada y familiar del recurrente.</w:t>
      </w:r>
    </w:p>
    <w:p w14:paraId="52673E1B" w14:textId="77777777" w:rsidR="008D479B" w:rsidRDefault="008D479B" w:rsidP="008D479B">
      <w:pPr>
        <w:pStyle w:val="TextoNormal"/>
      </w:pPr>
    </w:p>
    <w:p w14:paraId="5154457E" w14:textId="77777777" w:rsidR="008D479B" w:rsidRDefault="008D479B" w:rsidP="008D479B">
      <w:pPr>
        <w:pStyle w:val="TextoNormal"/>
      </w:pPr>
      <w:r>
        <w:t>En segundo término, indica la vulneración del derecho a la tutela judicial efectiva (art. 24.1 CE) y del principio de legalidad sancionadora (art. 25.1 CE), por haberse aplicado el procedimiento preferente sin haber justificado la concurrencia de alguna de las causas previstas para ello en el art. 63.1 LOEx, y porque la sentencia del Tribunal Superior de Justicia de Madrid procedió a sustituir a la autoridad gubernativa en su deber de motivación sobre la tramitación de ese tipo de procedimiento. A ello añade la vulneración del derecho a un proceso con todas las garantías (art. 24.2 CE), por infracción del marco normativo español [arts. 53.1 a), 55.1 b) y 57 LOEx], ya que la sanción de expulsión solo procede conforme a parámetros de proporcionalidad y de forma motivada.</w:t>
      </w:r>
    </w:p>
    <w:p w14:paraId="384097F1" w14:textId="77777777" w:rsidR="008D479B" w:rsidRDefault="008D479B" w:rsidP="008D479B">
      <w:pPr>
        <w:pStyle w:val="TextoNormal"/>
      </w:pPr>
    </w:p>
    <w:p w14:paraId="571ACFCA" w14:textId="77777777" w:rsidR="008D479B" w:rsidRDefault="008D479B" w:rsidP="008D479B">
      <w:pPr>
        <w:pStyle w:val="TextoNormal"/>
      </w:pPr>
      <w:r>
        <w:t>La demanda alude a la STJUE de 8 de octubre de 2020 que, por la fecha en que fue dictada, no pudo ser invocada en el recurso de casación, pero sí en el incidente excepcional de nulidad de actuaciones, planteado por escrito de 26 de octubre de 2020. Según la demanda, el Tribunal Supremo interpretó que se hacía un cambio en la redacción de uno de los motivos de casación invocados, y desestimó esta pretensión. Considera que la sentencia del Tribunal de Justicia de la Unión Europea debería haber motivado un pronunciamiento del Tribunal Supremo para dejar sin efecto la jurisprudencia existente hasta el momento sobre la aplicación preferente de la sanción de expulsión, expresamente citada en la sentencia del Tribunal Superior de Justicia de Madrid y en la providencia del Tribunal Supremo por la que se inadmitió el recurso de casación.</w:t>
      </w:r>
    </w:p>
    <w:p w14:paraId="0332E41D" w14:textId="77777777" w:rsidR="008D479B" w:rsidRDefault="008D479B" w:rsidP="008D479B">
      <w:pPr>
        <w:pStyle w:val="TextoNormal"/>
      </w:pPr>
    </w:p>
    <w:p w14:paraId="2B0FAA48" w14:textId="77777777" w:rsidR="008D479B" w:rsidRDefault="008D479B" w:rsidP="008D479B">
      <w:pPr>
        <w:pStyle w:val="TextoNormal"/>
      </w:pPr>
      <w:r>
        <w:t>Por último, incide en la infracción de los derechos de defensa y presunción de inocencia, en relación con un proceso con todas las garantías (art. 24.2 CE), porque no se notificó la propuesta de resolución y se introdujo un hecho nuevo, no incluido en la incoación del expediente (un registro por un supuesto ilícito penal consistente en malos tratos físicos en el ámbito familiar), que, además de no estar acreditado mediante sentencia, no pudo ser objeto de alegación en el expediente administrativo sancionador.</w:t>
      </w:r>
    </w:p>
    <w:p w14:paraId="25DEB1F5" w14:textId="77777777" w:rsidR="008D479B" w:rsidRDefault="008D479B" w:rsidP="008D479B">
      <w:pPr>
        <w:pStyle w:val="TextoNormal"/>
      </w:pPr>
    </w:p>
    <w:p w14:paraId="389BA427" w14:textId="3C24B169" w:rsidR="008D479B" w:rsidRDefault="008D479B" w:rsidP="008D479B">
      <w:pPr>
        <w:pStyle w:val="TextoNormal"/>
      </w:pPr>
      <w:r>
        <w:t>Hay que advertir que la exposición de las lesiones alegadas pone de manifiesto que, aunque el recurso se haya dirigido formalmente contra las resoluciones dictadas por los órganos judiciales intervinientes en las distintas fases procesales, algunas de las vulneraciones se atribuyen, en realidad, a una actuación administrativa que los tribunales no habrían reparado, lo que confiere al recurso la naturaleza de mixto [arts. 43 y 44 de la Ley Orgánica del Tribunal Constitucional (LOTC)].</w:t>
      </w:r>
    </w:p>
    <w:p w14:paraId="12A73E48" w14:textId="77777777" w:rsidR="008D479B" w:rsidRDefault="008D479B" w:rsidP="008D479B">
      <w:pPr>
        <w:pStyle w:val="TextoNormal"/>
      </w:pPr>
    </w:p>
    <w:p w14:paraId="7A04ECDF" w14:textId="77777777" w:rsidR="008D479B" w:rsidRDefault="008D479B" w:rsidP="008D479B">
      <w:pPr>
        <w:pStyle w:val="TextoNormal"/>
      </w:pPr>
      <w:r w:rsidRPr="008D479B">
        <w:rPr>
          <w:rStyle w:val="NumeroAFNegritaCaracter"/>
        </w:rPr>
        <w:t>4</w:t>
      </w:r>
      <w:r>
        <w:t>. Por providencia de 8 de marzo de 2022, la Sección Cuarta de este tribunal acordó admitir a trámite el recurso de amparo, apreciando que concurre especial trascendencia constitucional (art. 50.1 LOTC), porque el recurso puede dar ocasión al Tribunal para aclarar o cambiar su doctrina como consecuencia de un cambio en la doctrina de los órganos de garantía encargados de la interpretación de los tratados y acuerdos internacionales a los que se refiere el art. 10.2 CE [STC 155/2009, de 25 de junio, FJ 2 b)].</w:t>
      </w:r>
    </w:p>
    <w:p w14:paraId="62CABC47" w14:textId="77777777" w:rsidR="008D479B" w:rsidRDefault="008D479B" w:rsidP="008D479B">
      <w:pPr>
        <w:pStyle w:val="TextoNormal"/>
      </w:pPr>
    </w:p>
    <w:p w14:paraId="38E602FF" w14:textId="77777777" w:rsidR="008D479B" w:rsidRDefault="008D479B" w:rsidP="008D479B">
      <w:pPr>
        <w:pStyle w:val="TextoNormal"/>
      </w:pPr>
      <w:r>
        <w:t>Por ello, en aplicación de lo dispuesto en el art. 51 LOTC, ordenó dirigir atenta comunicación a la Sección Primera de la Sala de lo Contencioso-Administrativo del Tribunal Supremo, a fin de que, en plazo que no excediera de diez días, remitiera certificación o fotocopia adverada de las actuaciones correspondientes al recurso de casación 7732-2019, al igual que a la Sección Novena de la Sala de lo Contencioso-Administrativo del Tribunal Superior de Justicia de Madrid, para que el mismo plazo remitiera certificación o fotocopia adverada de las actuaciones correspondientes al recurso de apelación 812-2018; a la Delegación del Gobierno en Madrid a fin de que, en igual plazo lo hiciera de las actuaciones correspondientes al expediente en el que se dictó la resolución de 28 de abril de 2017; y al Juzgado de lo Contencioso-Administrativo núm. 21 de Madrid en cuanto a las actuaciones correspondientes al procedimiento abreviado núm. 291-2017, debiendo previamente emplazarse, para que en el plazo de diez días pudieran comparecer, si lo desean, en el recurso de amparo a quienes hubieran sido parte en el procedimiento, excepto la parte recurrente en amparo.</w:t>
      </w:r>
    </w:p>
    <w:p w14:paraId="092672A1" w14:textId="77777777" w:rsidR="008D479B" w:rsidRDefault="008D479B" w:rsidP="008D479B">
      <w:pPr>
        <w:pStyle w:val="TextoNormal"/>
      </w:pPr>
    </w:p>
    <w:p w14:paraId="4ED59515" w14:textId="0D078C5F" w:rsidR="008D479B" w:rsidRDefault="008D479B" w:rsidP="008D479B">
      <w:pPr>
        <w:pStyle w:val="TextoNormal"/>
      </w:pPr>
      <w:r>
        <w:t>Con testimonio de los particulares necesarios, se ordenó formar pieza separada de suspensión para acordar lo procedente.</w:t>
      </w:r>
    </w:p>
    <w:p w14:paraId="38229387" w14:textId="77777777" w:rsidR="008D479B" w:rsidRDefault="008D479B" w:rsidP="008D479B">
      <w:pPr>
        <w:pStyle w:val="TextoNormal"/>
      </w:pPr>
    </w:p>
    <w:p w14:paraId="233C7CC7" w14:textId="628BB4AF" w:rsidR="008D479B" w:rsidRDefault="008D479B" w:rsidP="008D479B">
      <w:pPr>
        <w:pStyle w:val="TextoNormal"/>
      </w:pPr>
      <w:r w:rsidRPr="008D479B">
        <w:rPr>
          <w:rStyle w:val="NumeroAFNegritaCaracter"/>
        </w:rPr>
        <w:t>5</w:t>
      </w:r>
      <w:r>
        <w:t>. La Abogacía del Estado se personó en el proceso de amparo por escrito registrado el 23 de marzo de 2022.</w:t>
      </w:r>
    </w:p>
    <w:p w14:paraId="1730329A" w14:textId="77777777" w:rsidR="008D479B" w:rsidRDefault="008D479B" w:rsidP="008D479B">
      <w:pPr>
        <w:pStyle w:val="TextoNormal"/>
      </w:pPr>
    </w:p>
    <w:p w14:paraId="5FD49D7B" w14:textId="1367B3CF" w:rsidR="008D479B" w:rsidRDefault="008D479B" w:rsidP="008D479B">
      <w:pPr>
        <w:pStyle w:val="TextoNormal"/>
      </w:pPr>
      <w:r w:rsidRPr="008D479B">
        <w:rPr>
          <w:rStyle w:val="NumeroAFNegritaCaracter"/>
        </w:rPr>
        <w:t>6</w:t>
      </w:r>
      <w:r>
        <w:t>. Por providencia de 24 de marzo de 2022, la Sala Segunda de este tribunal no constando en autos la actual situación administrativa del demandante en nuestro país, acordó dirigir oficio a la Delegación del Gobierno de España en la Comunidad de Madrid, a fin de que, con carácter urgente, informara al Tribunal sobre si la expulsión de don Jeifry Manuel de la Cruz, acordada en fecha 28 de abril de 2017 había sido ejecutada y, en su caso, en qué fecha; o sobre los motivos por los que, hasta el momento, no ha sido llevada a efecto.</w:t>
      </w:r>
    </w:p>
    <w:p w14:paraId="536BF92B" w14:textId="77777777" w:rsidR="008D479B" w:rsidRDefault="008D479B" w:rsidP="008D479B">
      <w:pPr>
        <w:pStyle w:val="TextoNormal"/>
      </w:pPr>
    </w:p>
    <w:p w14:paraId="4E95E13E" w14:textId="753CFEF9" w:rsidR="008D479B" w:rsidRDefault="008D479B" w:rsidP="008D479B">
      <w:pPr>
        <w:pStyle w:val="TextoNormal"/>
      </w:pPr>
      <w:r w:rsidRPr="008D479B">
        <w:rPr>
          <w:rStyle w:val="NumeroAFNegritaCaracter"/>
        </w:rPr>
        <w:t>7</w:t>
      </w:r>
      <w:r>
        <w:t>. El 25 de marzo de 2022, la Delegación del Gobierno en Madrid dirigió escrito a este tribunal informando de que el Juzgado de lo Contencioso-Administrativo núm. 21 de Madrid había dictado auto 240/2017, de 22 de diciembre, suspendiendo la resolución administrativa de expulsión, no constando en las aplicaciones informáticas de extranjería de la Delegación del Gobierno en Madrid y en el registro central de extranjeros que se hubiese ejecutado la misma.</w:t>
      </w:r>
    </w:p>
    <w:p w14:paraId="075E09AF" w14:textId="77777777" w:rsidR="008D479B" w:rsidRDefault="008D479B" w:rsidP="008D479B">
      <w:pPr>
        <w:pStyle w:val="TextoNormal"/>
      </w:pPr>
    </w:p>
    <w:p w14:paraId="2CE6425E" w14:textId="4D0349E1" w:rsidR="008D479B" w:rsidRDefault="008D479B" w:rsidP="008D479B">
      <w:pPr>
        <w:pStyle w:val="TextoNormal"/>
      </w:pPr>
      <w:r w:rsidRPr="008D479B">
        <w:rPr>
          <w:rStyle w:val="NumeroAFNegritaCaracter"/>
        </w:rPr>
        <w:t>8</w:t>
      </w:r>
      <w:r>
        <w:t>. El 4 de abril de 2022, la Sala Segunda de este tribunal acordó suspender la ejecución de la resolución de la delegada del Gobierno en Madrid de 28 de abril de 2017, en la que se acuerda la expulsión del recurrente del territorio nacional con la prohibición de entrada por un periodo de tres años, atendiendo al perjuicio irreparable que la no adopción de la suspensión cautelar supondría para el recurrente, toda vez que la ejecución del acuerdo de expulsión determinaría que una eventual concesión posterior del amparo, aparte de poder llegar a resultar ilusoria, le podría ocasionar unos perjuicios de carácter personal, económico y familiar de imposible resarcimiento, aunque el ahora demandante llegara a regresar a España. Se advierte igualmente que no cabe apreciar que dicha suspensión pueda originar una perturbación grave de los intereses generales, ni de los derechos fundamentales o libertades públicas de un tercero, pues, de hecho, la expulsión ha estado suspendida desde el año 2017 por decisión del Juzgado de lo Contencioso-Administrativo núm. 21 de Madrid y tal decisión se ha mantenido a lo largo del tiempo, pero que podría modificarse radicalmente si no se adoptara la medida cautelar solicitada.</w:t>
      </w:r>
    </w:p>
    <w:p w14:paraId="410FB1CC" w14:textId="77777777" w:rsidR="008D479B" w:rsidRDefault="008D479B" w:rsidP="008D479B">
      <w:pPr>
        <w:pStyle w:val="TextoNormal"/>
      </w:pPr>
    </w:p>
    <w:p w14:paraId="27AF7EBE" w14:textId="528F1199" w:rsidR="008D479B" w:rsidRDefault="008D479B" w:rsidP="008D479B">
      <w:pPr>
        <w:pStyle w:val="TextoNormal"/>
      </w:pPr>
      <w:r w:rsidRPr="008D479B">
        <w:rPr>
          <w:rStyle w:val="NumeroAFNegritaCaracter"/>
        </w:rPr>
        <w:t>9</w:t>
      </w:r>
      <w:r>
        <w:t>. Por diligencia de ordenación de 18 de abril de 2022, se acordó tener por personado y parte al abogado del Estado y, a tenor de lo dispuesto en el art. 52.1 LOTC, se resolvió dar vista de las actuaciones recibidas al Ministerio Fiscal y a las partes personadas, por plazo común de veinte días, para que dentro de dicho término pudieran presentar las alegaciones que a su derecho convinieran.</w:t>
      </w:r>
    </w:p>
    <w:p w14:paraId="6ADA7EA0" w14:textId="77777777" w:rsidR="008D479B" w:rsidRDefault="008D479B" w:rsidP="008D479B">
      <w:pPr>
        <w:pStyle w:val="TextoNormal"/>
      </w:pPr>
    </w:p>
    <w:p w14:paraId="26911DCE" w14:textId="121F72A9" w:rsidR="008D479B" w:rsidRDefault="008D479B" w:rsidP="008D479B">
      <w:pPr>
        <w:pStyle w:val="TextoNormal"/>
      </w:pPr>
      <w:r w:rsidRPr="008D479B">
        <w:rPr>
          <w:rStyle w:val="NumeroAFNegritaCaracter"/>
        </w:rPr>
        <w:t>10</w:t>
      </w:r>
      <w:r>
        <w:t>. Por escrito registrado el 17 de mayo de 2022, el demandante don Jeifry Manuel de la Cruz presentó su escrito de alegaciones, remitiéndose a lo expuesto en su escrito de demanda y advirtiendo de la necesidad de aplicar en el presente recurso la doctrina de la sentencia de 8 de octubre de 2020 (por error señala el año 2010) de la Sala Sexta del Tribunal de Justicia de la Unión Europea, en el asunto C-568/19, en la que declara que “la Directiva 2008/115/CE debe interpretarse en el sentido de que, cuando la normativa nacional, en caso de situación irregular de nacionales de terceros países en el territorio de un Estado miembro, imponga, o bien una sanción de multa, o bien la expulsión, teniendo en cuenta que la segunda medida solo puede adoptarse si existen circunstancias agravantes en la persona de dichos nacionales, adicionales a su situación irregular, la autoridad nacional competente no podrá basarse directamente en lo dispuesto en la Directiva para adoptar una decisión de retorno y hacer cumplir dicha decisión aun cuando no existan circunstancias agravantes” (apartado 36). Por consiguiente, a juicio del demandante, procede dictar la nulidad del acto administrativo inicial recurrido que decreta su expulsión, al margen de no haberse tenido en cuenta lo establecido en cuanto a la vida familiar del recurrente a los efectos de la aplicación del art. 5 de la Directiva 2008/115/CE y el traslado de la normativa y jurisprudencia europea a la normativa nacional.</w:t>
      </w:r>
    </w:p>
    <w:p w14:paraId="1F54EED0" w14:textId="77777777" w:rsidR="008D479B" w:rsidRDefault="008D479B" w:rsidP="008D479B">
      <w:pPr>
        <w:pStyle w:val="TextoNormal"/>
      </w:pPr>
    </w:p>
    <w:p w14:paraId="622643F8" w14:textId="77777777" w:rsidR="008D479B" w:rsidRDefault="008D479B" w:rsidP="008D479B">
      <w:pPr>
        <w:pStyle w:val="TextoNormal"/>
      </w:pPr>
      <w:r w:rsidRPr="008D479B">
        <w:rPr>
          <w:rStyle w:val="NumeroAFNegritaCaracter"/>
        </w:rPr>
        <w:t>11</w:t>
      </w:r>
      <w:r>
        <w:t>. El 20 de mayo de 2022 tuvo entrada en este tribunal el escrito de alegaciones presentado por la Abogacía del Estado en el que solicitó, en primer lugar, la inadmisión del recurso de amparo, por entender improcedente el planteamiento de un incidente excepcional de nulidad de actuaciones contra la providencia de 21 de septiembre de 2020, que inadmitió el recurso de casación por falta de interés casacional objetivo. A su juicio, no existe vulneración de derecho fundamental alguno que hipotéticamente hubiera sido causado en origen por la resolución del Tribunal Supremo, por lo que ha de entenderse que el recurso de amparo fue interpuesto de manera extemporánea y debe dar lugar a la inadmisión del recurso de amparo, rechazando por artificiosa, la alegación de falta de motivación que el recurrente le imputa a esta última resolución.</w:t>
      </w:r>
    </w:p>
    <w:p w14:paraId="356093B9" w14:textId="77777777" w:rsidR="008D479B" w:rsidRDefault="008D479B" w:rsidP="008D479B">
      <w:pPr>
        <w:pStyle w:val="TextoNormal"/>
      </w:pPr>
    </w:p>
    <w:p w14:paraId="345F9A83" w14:textId="77777777" w:rsidR="008D479B" w:rsidRDefault="008D479B" w:rsidP="008D479B">
      <w:pPr>
        <w:pStyle w:val="TextoNormal"/>
      </w:pPr>
      <w:r>
        <w:t>En cuanto al fondo, sostiene que nos hallamos ante cuestiones de legalidad ordinaria y que tanto la autoridad administrativa al imponer la sanción de expulsión, como los tribunales al confirmarla, apreciaron que existían circunstancias suficientes que la justificaban. En este sentido, destaca que esa decisión parte simplemente de una operación de subsunción de los hechos en la normativa interna española sobre condición jurídica de los extranjeros [art. 53.1 a) LOEx], que califica de infracción grave, con sanción de expulsión, el encontrarse irregularmente en territorio español, por no haber obtenido la prórroga de estancia, carecer de autorización de residencia o tener caducada más de tres meses la mencionada autorización, y siempre que el interesado no hubiere solicitado la renovación de la misma en el plazo previsto reglamentariamente.</w:t>
      </w:r>
    </w:p>
    <w:p w14:paraId="628BFF85" w14:textId="77777777" w:rsidR="008D479B" w:rsidRDefault="008D479B" w:rsidP="008D479B">
      <w:pPr>
        <w:pStyle w:val="TextoNormal"/>
      </w:pPr>
    </w:p>
    <w:p w14:paraId="3C41607C" w14:textId="77777777" w:rsidR="008D479B" w:rsidRDefault="008D479B" w:rsidP="008D479B">
      <w:pPr>
        <w:pStyle w:val="TextoNormal"/>
      </w:pPr>
      <w:r>
        <w:t>Tampoco cabe entender vulnerado el art. 24 CE en tanto que el recurrente sancionado tuvo la posibilidad de llegar a hacer revisar por el órgano judicial competente la sanción que se le impuso y alegar ante los tribunales los argumentos que aduce. Es decir, su caso fue revisado por la jurisdicción, al igual que no se habría infringido el derecho a la legalidad sancionadora (art. 25.1 CE), pues de conformidad con los arts. 53.1 a), 57.1 y 63 LOEx, se tuvieron en consideración las circunstancias concretas del asunto y el catálogo de infracciones y sanciones que la ley establece, siendo una función exclusivamente jurisdiccional de legalidad ordinaria.</w:t>
      </w:r>
    </w:p>
    <w:p w14:paraId="50EEDC7D" w14:textId="77777777" w:rsidR="008D479B" w:rsidRDefault="008D479B" w:rsidP="008D479B">
      <w:pPr>
        <w:pStyle w:val="TextoNormal"/>
      </w:pPr>
    </w:p>
    <w:p w14:paraId="752A9DA5" w14:textId="77777777" w:rsidR="008D479B" w:rsidRDefault="008D479B" w:rsidP="008D479B">
      <w:pPr>
        <w:pStyle w:val="TextoNormal"/>
      </w:pPr>
      <w:r>
        <w:t>A continuación, el abogado del Estado advierte que el recurso de amparo debería también inadmitirse en sentencia por falta de trascendencia constitucional (art. 50 LOTC en relación con la STC 155/2009, de 25 de junio, FJ 2), ya que no se trata de un recurso que plantee un problema o que afecte a una faceta de un derecho fundamental sobre el que no haya doctrina, pues está basado en una interpretación de los arts. 53.1 a), 57.1, y 63 de la LOEx, y que, como deduce la providencia de inadmisión del Tribunal Supremo, existe una amplia jurisprudencia ordinaria sobre el problema planteado.</w:t>
      </w:r>
    </w:p>
    <w:p w14:paraId="268DCD8A" w14:textId="77777777" w:rsidR="008D479B" w:rsidRDefault="008D479B" w:rsidP="008D479B">
      <w:pPr>
        <w:pStyle w:val="TextoNormal"/>
      </w:pPr>
    </w:p>
    <w:p w14:paraId="3CB93893" w14:textId="77777777" w:rsidR="008D479B" w:rsidRDefault="008D479B" w:rsidP="008D479B">
      <w:pPr>
        <w:pStyle w:val="TextoNormal"/>
      </w:pPr>
      <w:r>
        <w:t>Tampoco se advierten “nuevas realidades” ni “cambios normativos relevantes” para la configuración del derecho fundamental, como sería, supongamos, la supuesta falta de certeza alegada por el recurrente, en cuanto al principio material de legalidad sancionatoria, o bien en cuanto a la pretendida vulneración del derecho a la tutela judicial efectiva del recurrente por causa de la inadmisión del recurso de casación por carencia de interés casacional objetivo por haberse resuelto, como establece la norma, por mera providencia; aspectos que no responden a una nueva aplicación de preceptos modificados de manera reciente y a la vez, en cambio, sí han sido ya tratados por la jurisprudencia, como refleja aquella providencia de 21 de septiembre de 2020, de inadmisión de la casación, dictada por el Tribunal Supremo en relación con aspectos repetitivos sobre la materia; ni se advierte tampoco un cambio de doctrina en los órganos encargados de la interpretación de tratados internacionales en materia de derechos fundamentales en los que España es parte.</w:t>
      </w:r>
    </w:p>
    <w:p w14:paraId="570CA6BF" w14:textId="77777777" w:rsidR="008D479B" w:rsidRDefault="008D479B" w:rsidP="008D479B">
      <w:pPr>
        <w:pStyle w:val="TextoNormal"/>
      </w:pPr>
    </w:p>
    <w:p w14:paraId="7EB86FEF" w14:textId="77777777" w:rsidR="008D479B" w:rsidRDefault="008D479B" w:rsidP="008D479B">
      <w:pPr>
        <w:pStyle w:val="TextoNormal"/>
      </w:pPr>
      <w:r>
        <w:t>Por otro lado, por lo que atañe a la inadmisión del recurso de casación interpuesto por el demandante, la Abogacía del Estado subraya que no se está en presencia de un asunto en el que la pretendida vulneración del derecho fundamental que se denuncia provenga de la ley o de otra disposición de carácter general (arts. 88.2, 89, 90 y 94 LJCA), dado que a la fórmula por la que el legislador ha introducido la inadmisión mediante sola providencia, no cabe imputarle inconstitucionalidad alguna por vulneración del derecho a la tutela judicial efectiva (art. 24 CE) al margen de que el Tribunal Supremo la viene aplicando sin tacha de inconstitucionalidad desde la reforma de la casación en el año 2015.</w:t>
      </w:r>
    </w:p>
    <w:p w14:paraId="3555697F" w14:textId="77777777" w:rsidR="008D479B" w:rsidRDefault="008D479B" w:rsidP="008D479B">
      <w:pPr>
        <w:pStyle w:val="TextoNormal"/>
      </w:pPr>
    </w:p>
    <w:p w14:paraId="735B8A56" w14:textId="77777777" w:rsidR="008D479B" w:rsidRDefault="008D479B" w:rsidP="008D479B">
      <w:pPr>
        <w:pStyle w:val="TextoNormal"/>
      </w:pPr>
      <w:r>
        <w:t>Igualmente descarta que, en este caso concreto, habida cuenta de las resoluciones judiciales recaídas, contenga una reiterada interpretación jurisprudencial de la ley que pudiera considerarse lesiva de los derechos fundamentales contenidos en los arts. 24 y 25 CE, ni que se haya advertido en el seno del proceso y en sus instancias una negativa manifiesta del deber de acatamiento de la doctrina del Tribunal Constitucional, en clara infracción, por tanto, de lo dispuesto en el art. 5 de la Ley Orgánica del Poder Judicial (LOPJ), o lo que es lo mismo, la existencia de una decisión consciente de soslayar la doctrina del Tribunal Constitucional aplicable a un caso como el presente, susceptible de enjuiciamiento por juez o tribunal ordinario (STC 133/2011, de 18 de julio, FJ 3, y 155/2015, de 9 de julio, FJ 2).</w:t>
      </w:r>
    </w:p>
    <w:p w14:paraId="673E0C13" w14:textId="77777777" w:rsidR="008D479B" w:rsidRDefault="008D479B" w:rsidP="008D479B">
      <w:pPr>
        <w:pStyle w:val="TextoNormal"/>
      </w:pPr>
    </w:p>
    <w:p w14:paraId="50044F52" w14:textId="77777777" w:rsidR="008D479B" w:rsidRDefault="008D479B" w:rsidP="008D479B">
      <w:pPr>
        <w:pStyle w:val="TextoNormal"/>
      </w:pPr>
      <w:r>
        <w:t>Por último, en cuanto a que el eventual motivo basado en que el asunto pudiese trascender del caso concreto porque plantee una cuestión jurídica de relevante y general repercusión social o económica o tenga unas consecuencias políticas generales, sostiene la Abogacía del Estado que solo de modo discrecional este tribunal lo apreciaría, pero en este caso no concurre esa potencial y relevante repercusión social o política, siempre en lo que a esas circunstancias hipotéticas explícitamente enumeradas de manera abstracta se refiere.</w:t>
      </w:r>
    </w:p>
    <w:p w14:paraId="21E887C2" w14:textId="77777777" w:rsidR="008D479B" w:rsidRDefault="008D479B" w:rsidP="008D479B">
      <w:pPr>
        <w:pStyle w:val="TextoNormal"/>
      </w:pPr>
    </w:p>
    <w:p w14:paraId="5D7D06CB" w14:textId="30E191ED" w:rsidR="008D479B" w:rsidRDefault="008D479B" w:rsidP="008D479B">
      <w:pPr>
        <w:pStyle w:val="TextoNormal"/>
      </w:pPr>
      <w:r>
        <w:t>Por todo ello solicita que se inadmita en sentencia el recurso de amparo en primer lugar, por razón de su extemporaneidad y subsidiariamente por su falta de trascendencia constitucional. En último término, y también de modo subsidiario, solicita su íntegra desestimación.</w:t>
      </w:r>
    </w:p>
    <w:p w14:paraId="3FCFC0D8" w14:textId="77777777" w:rsidR="008D479B" w:rsidRDefault="008D479B" w:rsidP="008D479B">
      <w:pPr>
        <w:pStyle w:val="TextoNormal"/>
      </w:pPr>
    </w:p>
    <w:p w14:paraId="6D23AFD1" w14:textId="242DE72D" w:rsidR="008D479B" w:rsidRDefault="008D479B" w:rsidP="008D479B">
      <w:pPr>
        <w:pStyle w:val="TextoNormal"/>
      </w:pPr>
      <w:r w:rsidRPr="008D479B">
        <w:rPr>
          <w:rStyle w:val="NumeroAFNegritaCaracter"/>
        </w:rPr>
        <w:t>12</w:t>
      </w:r>
      <w:r>
        <w:t>. Mediante escrito registrado el 9 de junio de 2022, el fiscal interesó dentro del plazo para formular alegaciones, que se acordara reiterar a la Delegación del Gobierno en Madrid la remisión del expediente administrativo en el que se dictó la resolución de expulsión impugnada y, una vez recibidas dichas actuaciones, se diera vista de estas a las partes personadas y al Ministerio Fiscal con nuevo plazo para formular alegaciones.</w:t>
      </w:r>
    </w:p>
    <w:p w14:paraId="78F6B80E" w14:textId="77777777" w:rsidR="008D479B" w:rsidRDefault="008D479B" w:rsidP="008D479B">
      <w:pPr>
        <w:pStyle w:val="TextoNormal"/>
      </w:pPr>
    </w:p>
    <w:p w14:paraId="11A53A91" w14:textId="2F444C0A" w:rsidR="008D479B" w:rsidRDefault="008D479B" w:rsidP="008D479B">
      <w:pPr>
        <w:pStyle w:val="TextoNormal"/>
      </w:pPr>
      <w:r w:rsidRPr="008D479B">
        <w:rPr>
          <w:rStyle w:val="NumeroAFNegritaCaracter"/>
        </w:rPr>
        <w:t>13</w:t>
      </w:r>
      <w:r>
        <w:t>. El 10 de junio de 2022 se dictó diligencia de ordenación acordando dirigir comunicación a la Delegación del Gobierno en Madrid, a fin de que, a la mayor brevedad posible, remitiera copia del expediente administrativo citado, para su examen y formulación, en su caso de nuevas alegaciones.</w:t>
      </w:r>
    </w:p>
    <w:p w14:paraId="4C35E0EA" w14:textId="77777777" w:rsidR="008D479B" w:rsidRDefault="008D479B" w:rsidP="008D479B">
      <w:pPr>
        <w:pStyle w:val="TextoNormal"/>
      </w:pPr>
    </w:p>
    <w:p w14:paraId="561ACBB3" w14:textId="36103DEA" w:rsidR="008D479B" w:rsidRDefault="008D479B" w:rsidP="008D479B">
      <w:pPr>
        <w:pStyle w:val="TextoNormal"/>
      </w:pPr>
      <w:r w:rsidRPr="008D479B">
        <w:rPr>
          <w:rStyle w:val="NumeroAFNegritaCaracter"/>
        </w:rPr>
        <w:t>14</w:t>
      </w:r>
      <w:r>
        <w:t>. El 1 de julio de 2022 se dicta diligencia de ordenación por la que se acuerda dar vista del expediente administrativo recibido en la Secretaría de Justicia de la Sala Segunda de este tribunal, al abogado del Estado y al Ministerio Fiscal, por plazo de veinte días, para presentar nuevas alegaciones si lo estimaran conveniente, o completar las ya formuladas (art. 52.1 LOTC).</w:t>
      </w:r>
    </w:p>
    <w:p w14:paraId="087C7BA4" w14:textId="77777777" w:rsidR="008D479B" w:rsidRDefault="008D479B" w:rsidP="008D479B">
      <w:pPr>
        <w:pStyle w:val="TextoNormal"/>
      </w:pPr>
    </w:p>
    <w:p w14:paraId="23416220" w14:textId="77777777" w:rsidR="008D479B" w:rsidRDefault="008D479B" w:rsidP="008D479B">
      <w:pPr>
        <w:pStyle w:val="TextoNormal"/>
      </w:pPr>
      <w:r w:rsidRPr="008D479B">
        <w:rPr>
          <w:rStyle w:val="NumeroAFNegritaCaracter"/>
        </w:rPr>
        <w:t>15</w:t>
      </w:r>
      <w:r>
        <w:t>. El 27 de julio de 2022, don Jeifry Manuel de la Cruz presentó escrito ratificándose en sus alegaciones y subrayando que con el expediente administrativo remitido por la Delegación del Gobierno en Madrid, se corrobora lo que siempre se ha venido indicando, esto es, que es hijo de española y padre de dos menores españoles con los que convivía y estaban a su cargo, habiendo sido titular de permiso de residencia, primero por reagrupación familiar y luego por familiar de ciudadano comunitario, acreditando arraigo social, laboral y familiar.</w:t>
      </w:r>
    </w:p>
    <w:p w14:paraId="1E8AC2DD" w14:textId="77777777" w:rsidR="008D479B" w:rsidRDefault="008D479B" w:rsidP="008D479B">
      <w:pPr>
        <w:pStyle w:val="TextoNormal"/>
      </w:pPr>
    </w:p>
    <w:p w14:paraId="55C92798" w14:textId="7601A960" w:rsidR="008D479B" w:rsidRDefault="008D479B" w:rsidP="008D479B">
      <w:pPr>
        <w:pStyle w:val="TextoNormal"/>
      </w:pPr>
      <w:r>
        <w:t>Igualmente se comprueba que existía una propuesta de resolución de 27 de enero de 2021 en la que se introducen hechos nuevos como es el de una detención por presunto ilícito de malos tratos que databan del día 15 de marzo de 2016, de cuyo resultado nada se indica en el expediente administrativo y que ni siquiera fue mencionado en su incoación, vulnerando el derecho de defensa y a la presunción de inocencia (art. 24 CE), habiendo quedado sin resolver por el Tribunal Supremo. A todo ello añade que la propuesta de resolución no le fue notificada a los efectos de realizar las oportunas alegaciones frente a las nuevas imputaciones realizadas y que sirvieron de base a los efectos de dictar la resolución que luego fue impugnada.</w:t>
      </w:r>
    </w:p>
    <w:p w14:paraId="7D7C90F0" w14:textId="77777777" w:rsidR="008D479B" w:rsidRDefault="008D479B" w:rsidP="008D479B">
      <w:pPr>
        <w:pStyle w:val="TextoNormal"/>
      </w:pPr>
    </w:p>
    <w:p w14:paraId="6583D925" w14:textId="77777777" w:rsidR="008D479B" w:rsidRDefault="008D479B" w:rsidP="008D479B">
      <w:pPr>
        <w:pStyle w:val="TextoNormal"/>
      </w:pPr>
      <w:r w:rsidRPr="008D479B">
        <w:rPr>
          <w:rStyle w:val="NumeroAFNegritaCaracter"/>
        </w:rPr>
        <w:t>16</w:t>
      </w:r>
      <w:r>
        <w:t>. El Ministerio Fiscal formuló sus alegaciones en escrito presentado el 17 de octubre de 2022, en el que postuló el otorgamiento del amparo solicitado con estimación parcial de las alegaciones.</w:t>
      </w:r>
    </w:p>
    <w:p w14:paraId="1FAC8040" w14:textId="77777777" w:rsidR="008D479B" w:rsidRDefault="008D479B" w:rsidP="008D479B">
      <w:pPr>
        <w:pStyle w:val="TextoNormal"/>
      </w:pPr>
    </w:p>
    <w:p w14:paraId="35BB0C03" w14:textId="77777777" w:rsidR="008D479B" w:rsidRDefault="008D479B" w:rsidP="008D479B">
      <w:pPr>
        <w:pStyle w:val="TextoNormal"/>
      </w:pPr>
      <w:r>
        <w:t xml:space="preserve">Comienza advirtiendo que, aunque desde la perspectiva formal, la demanda de amparo se dirige exclusivamente frente a las dos providencias dictadas por la Sección Primera de la Sala de lo Contencioso-Administrativo del Tribunal Supremo, identificadas en el encabezamiento de esta resolución, en realidad las impugnaciones tienen su origen en la resolución administrativa de expulsión y en la posteriores sentencias del Juzgado de lo Contencioso-Administrativo núm. 21 de Madrid y de la Sección Novena del Tribunal Superior de Justicia de Madrid, por lo que se deben considerar también impugnadas (SSTC 149/2016, de 19 de septiembre, FJ 1, y 84/2018, de 16 de julio, FJ 1). Por otro lado, entiende que la naturaleza del recurso de amparo es mixta, en tanto se imputa autónomamente a las resoluciones del Tribunal Supremo la vulneración del derecho de acceso a los recursos </w:t>
      </w:r>
      <w:r w:rsidRPr="008D479B">
        <w:rPr>
          <w:i/>
        </w:rPr>
        <w:t>ex</w:t>
      </w:r>
      <w:r>
        <w:t xml:space="preserve"> art. 24.1 CE, que se proyecta sobre algunas vulneraciones —así, la eventual falta de motivación de la sentencia de instancia sobre la utilización del procedimiento preferente del art. 63 LOEx, o el error atribuido al Tribunal Superior de Justicia de Madrid en cuanto a la nacionalidad del menor—, que tendrían un carácter autónomo, y a las que se uniría la ausencia de motivación sobre causas que justifican la sanción de expulsión —más allá de la mera estancia irregular—, así como la falta de ponderación de las circunstancias personales y familiares del recurrente —en relación al hijo menor de edad—, lesiones que ya tenían su origen en la propia resolución administrativa, y que ha resultado validada por las posteriores resoluciones judiciales.</w:t>
      </w:r>
    </w:p>
    <w:p w14:paraId="25643FD2" w14:textId="77777777" w:rsidR="008D479B" w:rsidRDefault="008D479B" w:rsidP="008D479B">
      <w:pPr>
        <w:pStyle w:val="TextoNormal"/>
      </w:pPr>
    </w:p>
    <w:p w14:paraId="59208D0B" w14:textId="77777777" w:rsidR="008D479B" w:rsidRDefault="008D479B" w:rsidP="008D479B">
      <w:pPr>
        <w:pStyle w:val="TextoNormal"/>
      </w:pPr>
      <w:r>
        <w:t>Ello no obstante, el fiscal entiende que, en este caso, habida cuenta de las vulneraciones alegadas, resulta más adecuado comenzar por el análisis de las vulneraciones nucleares relativas a la aplicación de la Directiva 2008/115/CE de 16 de diciembre, en relación con el principio de proporcionalidad, dada su mayor viabilidad, y por su efecto anulatorio en caso de su estimación, sin perjuicio de aludir posteriormente a las restantes posibles vulneraciones.</w:t>
      </w:r>
    </w:p>
    <w:p w14:paraId="4C5A36C2" w14:textId="77777777" w:rsidR="008D479B" w:rsidRDefault="008D479B" w:rsidP="008D479B">
      <w:pPr>
        <w:pStyle w:val="TextoNormal"/>
      </w:pPr>
    </w:p>
    <w:p w14:paraId="1E18E3BC" w14:textId="77777777" w:rsidR="008D479B" w:rsidRDefault="008D479B" w:rsidP="008D479B">
      <w:pPr>
        <w:pStyle w:val="TextoNormal"/>
      </w:pPr>
      <w:r>
        <w:t xml:space="preserve">Así, en primer lugar, realiza una sucinta referencia a la legislación aplicable y a la doctrina constitucional sobre derecho a la tutela judicial efectiva producida por la aplicación de la Directiva 2008/115/CE de 16 de diciembre, en relación con el principio de proporcionalidad (con cita de las SSTC 140/2009, de 15 de junio, FJ 3; 131/2016 de 18 de julio, FJ 6, y 151/2021, de 13 de septiembre, FJ 1), de la jurisprudencia del Tribunal Europeo de Derechos Humanos y del Tribunal de Justicia de la Unión Europea, concretamente de las SSTJUE de 23 abril de 2015, </w:t>
      </w:r>
      <w:r w:rsidRPr="008D479B">
        <w:rPr>
          <w:i/>
        </w:rPr>
        <w:t>Subdelegación del Gobierno en Gipuzkoa - Extranjería c. Samir Zaizoune</w:t>
      </w:r>
      <w:r>
        <w:t xml:space="preserve">, asunto C-38/14; de 8 de octubre de 2020, </w:t>
      </w:r>
      <w:r w:rsidRPr="008D479B">
        <w:rPr>
          <w:i/>
        </w:rPr>
        <w:t>MO c</w:t>
      </w:r>
      <w:r>
        <w:t xml:space="preserve">. </w:t>
      </w:r>
      <w:r w:rsidRPr="008D479B">
        <w:rPr>
          <w:i/>
        </w:rPr>
        <w:t>Subdelegación del Gobierno en Toledo</w:t>
      </w:r>
      <w:r>
        <w:t xml:space="preserve">, asunto C-568/19, y de 3 de marzo de 2022, </w:t>
      </w:r>
      <w:r w:rsidRPr="008D479B">
        <w:rPr>
          <w:i/>
        </w:rPr>
        <w:t>UN c. Subdelegación del Gobierno en Pontevedra</w:t>
      </w:r>
      <w:r>
        <w:t xml:space="preserve">, asunto C-409/20, así como de la obligación de respetar el interés superior del niño, STJUE de 11 de marzo de 2021, </w:t>
      </w:r>
      <w:r w:rsidRPr="008D479B">
        <w:rPr>
          <w:i/>
        </w:rPr>
        <w:t>M.A. c. État belge</w:t>
      </w:r>
      <w:r>
        <w:t xml:space="preserve">, asunto C-112/20 y sentencia de la Gran Sala del Tribunal de Justicia de la Unión Europea de 10 de mayo de 2017, </w:t>
      </w:r>
      <w:r w:rsidRPr="008D479B">
        <w:rPr>
          <w:i/>
        </w:rPr>
        <w:t>H.C. Chávez-Vílchez y otros c. Raad van bestuur van de Sociale verzekeringsbank y otros</w:t>
      </w:r>
      <w:r>
        <w:t>, asunto C-133/15.</w:t>
      </w:r>
    </w:p>
    <w:p w14:paraId="6A91C0D4" w14:textId="77777777" w:rsidR="008D479B" w:rsidRDefault="008D479B" w:rsidP="008D479B">
      <w:pPr>
        <w:pStyle w:val="TextoNormal"/>
      </w:pPr>
    </w:p>
    <w:p w14:paraId="4B5A7D14" w14:textId="77777777" w:rsidR="008D479B" w:rsidRDefault="008D479B" w:rsidP="008D479B">
      <w:pPr>
        <w:pStyle w:val="TextoNormal"/>
      </w:pPr>
      <w:r>
        <w:t>A continuación, realiza un seguimiento de la jurisprudencia de la Sala de lo Contencioso-Administrativo del Tribunal Supremo en el que se pone de relieve la evolución conseguida con la asunción de las declaraciones del Tribunal de Justicia de la Unión Europea realizadas en las sentencias más arriba citadas. Así sucede con la STS 198/2022, de 17 de febrero, Sección Quinta, que siguiendo la STS 366/21, de 17 de marzo, sintetiza dicha evolución para posteriormente la STS 528/2022, de 4 de mayo, Sección Quinta, asentar algunas conclusiones sustanciales en relación con el alcance de la STJUE (Sala Tercera) de 3 de marzo de 2022, en el asunto C-409/20. Estas conclusiones son, esencialmente, (i) que la situación de estancia irregular determina, en su caso, la decisión de expulsión y no cabe la posibilidad de sustitución por una sanción de multa; (ii) que 1a expulsión, comprensiva de la decisión de retorno y su ejecución exige, en cada caso y de manera individualizada, la valoración y apreciación de circunstancias agravantes que pongan de manifiesto y justifiquen la proporcionalidad de la medida adoptada, tras la tramitación de un procedimiento con plenas garantías de los derechos de los afectados, conforme exige la jurisprudencia comunitaria; y (iii) que por tales circunstancias de agravación han de considerase las que se han venido apreciando por la jurisprudencia en relación a la gravedad de la mera estancia irregular, bien sean de carácter subjetivo o de carácter objetivo, y que pueden comprender otras de análoga significación.</w:t>
      </w:r>
    </w:p>
    <w:p w14:paraId="04556362" w14:textId="77777777" w:rsidR="008D479B" w:rsidRDefault="008D479B" w:rsidP="008D479B">
      <w:pPr>
        <w:pStyle w:val="TextoNormal"/>
      </w:pPr>
    </w:p>
    <w:p w14:paraId="74988A00" w14:textId="77777777" w:rsidR="008D479B" w:rsidRDefault="008D479B" w:rsidP="008D479B">
      <w:pPr>
        <w:pStyle w:val="TextoNormal"/>
      </w:pPr>
      <w:r>
        <w:t>Seguidamente, tras llevar a cabo una síntesis de los fundamentos de las resoluciones administrativas y judiciales obtenidas por el demandante de amparo, el fiscal subraya el hecho de que cuando se dictó la resolución administrativa de expulsión (28 de abril de 2017) y las resoluciones judiciales de 12 de junio de 2018 y 26 de julio de 2019, resultaba de aplicación la STJUE de 23 de abril de 2015 y aún no se había dictado la STJUE de 8 de octubre de 2020, posterior también a la providencia de inadmisión del recurso de casación por el Tribunal Supremo (de 21 de septiembre de 2020), y escasamente anterior a la providencia de inadmisión del incidente excepcional de nulidad de actuaciones planteado contra aquella (10 de diciembre de 2020). Ahora bien, a su juicio, a tenor de la jurisprudencia reseñada, lo cierto es que en un supuesto como el que nos ocupa, era exigible la aplicación del principio de proporcionalidad a la hora de acordar la expulsión de un extranjero no comunitario y, consecuentemente, una valoración individualizada de aquellas circunstancias que justifican la expulsión (art. 57.1 LOEx), el sacrificio del interés familiar, particularmente del interés del menor [art. 5 a) de la Directiva 2008/115/CE], como se derivaba de las SSTC 140/2009, FJ 3; 131/2016, FJ 6, y 151/2021, FJ 2.</w:t>
      </w:r>
    </w:p>
    <w:p w14:paraId="7D570C7E" w14:textId="77777777" w:rsidR="008D479B" w:rsidRDefault="008D479B" w:rsidP="008D479B">
      <w:pPr>
        <w:pStyle w:val="TextoNormal"/>
      </w:pPr>
    </w:p>
    <w:p w14:paraId="1E184D88" w14:textId="77777777" w:rsidR="008D479B" w:rsidRDefault="008D479B" w:rsidP="008D479B">
      <w:pPr>
        <w:pStyle w:val="TextoNormal"/>
      </w:pPr>
      <w:r>
        <w:t>Sostiene, así, que no constan circunstancias agravantes más allá de la propia estancia irregular del demandante de amparo y que, están documentalmente acreditadas la identidad del menor, su edad —nacido el 13 de agosto de 2015— y su lugar de nacimiento en Madrid, hijo de madre también con nacionalidad española, por lo que debió ponderarse el interés del menor, de conformidad con la STJUE de 11 de marzo de 2022, aunque el progenitor que tenga asumido su cuidado sea distinto al que le afecte la medida de expulsión, pues deben valorarse otras circunstancias para deducir la inexistencia de una relación de dependencia, tales como la edad del hijo, su desarrollo físico, la intensidad de la relación con cada progenitor y el riesgo de separación para su equilibrio emocional. Dado que no hay constancia de ninguna diligencia orientada a comprobar las consecuencias de la decisión de expulsión respecto del hijo menor, sino exclusivamente las circunstancias relativas al recurrente, ha de entenderse, a juicio del fiscal, que la resolución administrativa y las resoluciones judiciales, de acuerdo con la doctrina del Tribunal de Justicia de la Unión Europea, especialmente la asentada en la STJUE de 11 de marzo de 2021, y el art. 5 de la Directiva 2008/115 CE, han vulnerado el derecho a la tutela judicial efectiva, desde la perspectiva de la motivación, al no haber ponderado adecuadamente las circunstancias, conforme al principio de proporcionalidad.</w:t>
      </w:r>
    </w:p>
    <w:p w14:paraId="65ADB689" w14:textId="77777777" w:rsidR="008D479B" w:rsidRDefault="008D479B" w:rsidP="008D479B">
      <w:pPr>
        <w:pStyle w:val="TextoNormal"/>
      </w:pPr>
    </w:p>
    <w:p w14:paraId="669ED918" w14:textId="77777777" w:rsidR="008D479B" w:rsidRDefault="008D479B" w:rsidP="008D479B">
      <w:pPr>
        <w:pStyle w:val="TextoNormal"/>
      </w:pPr>
      <w:r>
        <w:t>A continuación, aun estimándolo innecesario, el Ministerio Fiscal analiza la posible vulneración del derecho a la tutela judicial efectiva (art. 24.1 CE) por la falta de motivación sobre la utilización del procedimiento preferente del art. 63.1 LOEx y, tras examinar la doctrina constitucional aplicable (SSTC 82/2009, de 23 de marzo; 140/2009, de 15 de junio, y 95/2021, de 10 de mayo), concluye que no se ha acreditado que la utilización del procedimiento preferente haya derivado en indefensión para el recurrente pues, efectivamente, se recibió declaración, fue asistido de letrado y, conferido trámite para alegaciones por el mismo acuerdo de incoación, se cumplimentó adecuadamente por escrito de 24 de enero de 2017, no existiendo por tanto una indefensión material con relevancia constitucional.</w:t>
      </w:r>
    </w:p>
    <w:p w14:paraId="21C9C10E" w14:textId="77777777" w:rsidR="008D479B" w:rsidRDefault="008D479B" w:rsidP="008D479B">
      <w:pPr>
        <w:pStyle w:val="TextoNormal"/>
      </w:pPr>
    </w:p>
    <w:p w14:paraId="08AA2986" w14:textId="77777777" w:rsidR="008D479B" w:rsidRDefault="008D479B" w:rsidP="008D479B">
      <w:pPr>
        <w:pStyle w:val="TextoNormal"/>
      </w:pPr>
      <w:r>
        <w:t>Por lo que atañe a la vulneración del derecho de defensa y a la presunción de inocencia en relación con el derecho a un proceso con todas las garantías (art. 24.2 CE) por falta de notificación en la propuesta de resolución de un hecho nuevo no incluido en la incoación, de nuevo tras repasar la doctrina constitucional (SSTC 172/2005, de 20 de junio; 258/2007, de 18 de diciembre; 40/2008, de 10 de marzo, y 41 /2022, de 21 de marzo), concluye que es cierto que en el acuerdo de incoación no figuraba la existencia de un “registro de malos tratos en el ámbito familiar” que, efectivamente, se incorporó a partir de las diligencias realizadas en la tramitación del procedimiento, constando por vez primera en la propuesta de resolución. Ahora bien, a pesar de ello, ni esta resolución ni la posterior resolución sancionadora de 28 de abril de 2017 la consideraron una conducta susceptible de sanción con efectos negativos para el recurrente, pues la decisión de expulsión se fundamenta en la mera estancia irregular del extranjero no comunitario ahora recurrente.</w:t>
      </w:r>
    </w:p>
    <w:p w14:paraId="5A81B292" w14:textId="77777777" w:rsidR="008D479B" w:rsidRDefault="008D479B" w:rsidP="008D479B">
      <w:pPr>
        <w:pStyle w:val="TextoNormal"/>
      </w:pPr>
    </w:p>
    <w:p w14:paraId="21BEFA6F" w14:textId="77777777" w:rsidR="008D479B" w:rsidRDefault="008D479B" w:rsidP="008D479B">
      <w:pPr>
        <w:pStyle w:val="TextoNormal"/>
      </w:pPr>
      <w:r>
        <w:t>Por último, se examina la vulneración del derecho a la tutela judicial efectiva (art. 24.1 CE) que se imputa a la sentencia del Tribunal Superior de Justicia de Madrid al errar acerca de la nacionalidad española del menor, hijo del recurrente, que constaba en la certificación literal de nacimiento, así como en el libro de familia. Para el fiscal, dicho error ha carecido de consecuencias negativas para el recurrente, puesto que la razón de la valoración del interés del menor se fundamenta, no en la consideración de familiar extracomunitario, sino en la ausencia de datos sobre el mismo, así como en la consideración de que la vida familiar objeto de protección preferente para la Directiva es la desarrollada en el seno de la familia nuclear.</w:t>
      </w:r>
    </w:p>
    <w:p w14:paraId="5503BD7A" w14:textId="77777777" w:rsidR="008D479B" w:rsidRDefault="008D479B" w:rsidP="008D479B">
      <w:pPr>
        <w:pStyle w:val="TextoNormal"/>
      </w:pPr>
    </w:p>
    <w:p w14:paraId="2B4854B3" w14:textId="468DD788" w:rsidR="008D479B" w:rsidRDefault="008D479B" w:rsidP="008D479B">
      <w:pPr>
        <w:pStyle w:val="TextoNormal"/>
      </w:pPr>
      <w:r>
        <w:t>En virtud de todo lo expuesto, afirma que resulta procedente el otorgamiento de amparo por vulneración del derecho a la tutela judicial efectiva (art. 24.1 CE) en relación con el principio de legalidad (art. 25 CE), respecto al principio de proporcionalidad (art. 57.1 LOEx), por falta de motivación de la imposición de la sanción de expulsión y de ponderación del interés del menor en aplicación de la Directiva 2008/115/CE, de acuerdo con la doctrina del Tribunal de Justicia de la Unión Europea, pues la falta de argumentación, con ausencia de evaluación de aquellas, aun en parte completada con la expuesta en las resoluciones judiciales posteriores, que la validan, no resulta conforme a la protección constitucional que deriva del art. 24.1 CE. Por ello solicita la anulación de todas las resoluciones objeto de este recurso, tanto la resolución administrativa como las posteriores resoluciones judiciales.</w:t>
      </w:r>
    </w:p>
    <w:p w14:paraId="6A40095A" w14:textId="77777777" w:rsidR="008D479B" w:rsidRDefault="008D479B" w:rsidP="008D479B">
      <w:pPr>
        <w:pStyle w:val="TextoNormal"/>
      </w:pPr>
    </w:p>
    <w:p w14:paraId="4811D50B" w14:textId="2B689A0C" w:rsidR="008D479B" w:rsidRDefault="008D479B" w:rsidP="008D479B">
      <w:pPr>
        <w:pStyle w:val="TextoNormal"/>
      </w:pPr>
      <w:r w:rsidRPr="008D479B">
        <w:rPr>
          <w:rStyle w:val="NumeroAFNegritaCaracter"/>
        </w:rPr>
        <w:t>17</w:t>
      </w:r>
      <w:r>
        <w:t>. El 26 de enero de 2023, el magistrado don César Tolosa Tribiño presentó escrito, conforme al art. 217 LOPJ, en el que comunicaba su voluntad de abstenerse en el enjuiciamiento del presente recurso de amparo, por haber formado parte de la Sección Primera de la Sala de lo Contencioso-Administrativo del Tribunal Supremo, que dictó la providencia de 21 de septiembre de 2020 objeto del presente recurso de amparo, concurriendo por ello la causa de abstención prevista en el art. 219.11 LOPJ, supletoria de la LOTC (art. 80).</w:t>
      </w:r>
    </w:p>
    <w:p w14:paraId="4D9EF393" w14:textId="77777777" w:rsidR="008D479B" w:rsidRDefault="008D479B" w:rsidP="008D479B">
      <w:pPr>
        <w:pStyle w:val="TextoNormal"/>
      </w:pPr>
    </w:p>
    <w:p w14:paraId="3C8C81FF" w14:textId="1688C843" w:rsidR="008D479B" w:rsidRDefault="008D479B" w:rsidP="008D479B">
      <w:pPr>
        <w:pStyle w:val="TextoNormal"/>
      </w:pPr>
      <w:r w:rsidRPr="008D479B">
        <w:rPr>
          <w:rStyle w:val="NumeroAFNegritaCaracter"/>
        </w:rPr>
        <w:t>18</w:t>
      </w:r>
      <w:r>
        <w:t>. Mediante el ATC 178/2023, de 17 de abril, la Sala Segunda estimó justificada la abstención formulada por el magistrado don César Tolosa Tribiño en el recurso de amparo núm. 6324-2020, apartándole definitivamente del referido recurso y de todas sus incidencias.</w:t>
      </w:r>
    </w:p>
    <w:p w14:paraId="37F70FAF" w14:textId="77777777" w:rsidR="008D479B" w:rsidRDefault="008D479B" w:rsidP="008D479B">
      <w:pPr>
        <w:pStyle w:val="TextoNormal"/>
      </w:pPr>
    </w:p>
    <w:p w14:paraId="4CA46863" w14:textId="5A457D59" w:rsidR="008D479B" w:rsidRDefault="008D479B" w:rsidP="008D479B">
      <w:pPr>
        <w:pStyle w:val="TextoNormal"/>
      </w:pPr>
      <w:r w:rsidRPr="008D479B">
        <w:rPr>
          <w:rStyle w:val="NumeroAFNegritaCaracter"/>
        </w:rPr>
        <w:t>19</w:t>
      </w:r>
      <w:r>
        <w:t>. Por providencia de 19 de octubre de 2023 se señaló para la deliberación y votación de la presente sentencia el día 23 del mismo mes y año.</w:t>
      </w:r>
    </w:p>
    <w:p w14:paraId="48DF4F86" w14:textId="77777777" w:rsidR="008D479B" w:rsidRDefault="008D479B" w:rsidP="008D479B">
      <w:pPr>
        <w:pStyle w:val="TextoNormal"/>
      </w:pPr>
    </w:p>
    <w:p w14:paraId="67F8A6CA" w14:textId="77777777" w:rsidR="008D479B" w:rsidRDefault="008D479B" w:rsidP="008D479B">
      <w:pPr>
        <w:pStyle w:val="TextoNormalNegritaCentrado"/>
        <w:keepNext/>
      </w:pPr>
      <w:r>
        <w:t>II. Fundamentos jurídicos</w:t>
      </w:r>
    </w:p>
    <w:p w14:paraId="617D412E" w14:textId="1D3A7DCB" w:rsidR="008D479B" w:rsidRDefault="008D479B" w:rsidP="008D479B">
      <w:pPr>
        <w:pStyle w:val="TextoNormalNegritaCentrado"/>
        <w:keepNext/>
      </w:pPr>
    </w:p>
    <w:p w14:paraId="1C75E4D5" w14:textId="77777777" w:rsidR="008D479B" w:rsidRDefault="008D479B" w:rsidP="008D479B">
      <w:pPr>
        <w:pStyle w:val="TextoNormal"/>
      </w:pPr>
      <w:r w:rsidRPr="008D479B">
        <w:rPr>
          <w:rStyle w:val="TextoNormalNegritaCaracter"/>
        </w:rPr>
        <w:t xml:space="preserve">Único. </w:t>
      </w:r>
      <w:r w:rsidRPr="008D479B">
        <w:rPr>
          <w:i/>
        </w:rPr>
        <w:t>Objeto del recurso y aplicación de la doctrina de la STC 47/2023, de 10 de mayo</w:t>
      </w:r>
    </w:p>
    <w:p w14:paraId="1B27C5CA" w14:textId="77777777" w:rsidR="008D479B" w:rsidRDefault="008D479B" w:rsidP="008D479B">
      <w:pPr>
        <w:pStyle w:val="TextoNormal"/>
      </w:pPr>
    </w:p>
    <w:p w14:paraId="2813246B" w14:textId="77777777" w:rsidR="008D479B" w:rsidRDefault="008D479B" w:rsidP="008D479B">
      <w:pPr>
        <w:pStyle w:val="TextoNormal"/>
      </w:pPr>
      <w:r>
        <w:t>a) El presente recurso de amparo se dirige contra la providencia de 10 de diciembre de 2020, que inadmite el incidente de nulidad de actuaciones planteado, y contra la providencia de 21 de septiembre de 2020, que inadmite el recurso de casación contra la sentencia de 26 de julio de 2019, dictada por la Sección Novena de la Sala de lo Contencioso-Administrativo del Tribunal Superior de Justicia de Madrid, dictadas ambas providencias por la Sección Primera de la Sala de lo Contencioso-Administrativo del Tribunal Supremo.</w:t>
      </w:r>
    </w:p>
    <w:p w14:paraId="32B676D3" w14:textId="77777777" w:rsidR="008D479B" w:rsidRDefault="008D479B" w:rsidP="008D479B">
      <w:pPr>
        <w:pStyle w:val="TextoNormal"/>
      </w:pPr>
    </w:p>
    <w:p w14:paraId="5BF1FFE0" w14:textId="77777777" w:rsidR="008D479B" w:rsidRDefault="008D479B" w:rsidP="008D479B">
      <w:pPr>
        <w:pStyle w:val="TextoNormal"/>
      </w:pPr>
      <w:r>
        <w:t>El recurrente alega, en primer término, la vulneración del derecho a la tutela judicial efectiva (art. 24.1 CE), en su vertiente de derecho de acceso al recurso, al considerar que la interpretación y aplicación de las causas de inadmisión del recurso de casación han sido rigoristas o excesivamente formalistas, además de arbitrarias o manifiestamente irrazonables. A su juicio, su recurso se ajustaba a lo dispuesto en la legislación procesal, con indicación de los motivos de interés casacional y la reseña de las resoluciones judiciales contradictorias que justificaban un pronunciamiento del Tribunal Supremo. En segundo lugar, invoca la vulneración del derecho a la tutela judicial efectiva que, a su entender, ha determinado que el resto de las infracciones constitucionales alegadas en el recurso de casación no hayan sido reparadas. En concreto: (i) el error patente en la aplicación de la norma legal, al no haber valorado la existencia de un hijo menor de edad de nacionalidad española, ni haber tratado las circunstancias relativas a la vida privada y familiar del recurrente; (ii) la vulneración del principio de legalidad sancionadora (art. 25.1 CE), por haberse aplicado el procedimiento preferente sin haber justificado la concurrencia de alguna de las causas previstas para ello en el art. 63.1 LOEx, y porque la sentencia del Tribunal Superior de Justicia de Madrid procedió a sustituir a la autoridad gubernativa en su deber de motivación sobre la tramitación de ese tipo de procedimiento; (iii) la vulneración del derecho a un proceso con todas las garantías (art. 24.2 CE), por infracción del marco normativo español [arts. 53.1 a), 55.1 b) y 57 LOEx], ya que la sanción de expulsión solo procede conforme a parámetros de proporcionalidad y de forma motivada. La demanda alude a la STJUE de 8 de octubre de 2020 que, por su fecha, no pudo ser invocada en el recurso de casación pero que, al parecer, fue invocada expresamente en el incidente de nulidad de actuaciones, planteado por escrito de 26 de octubre de 2020. Según la demanda, el Tribunal Supremo interpretó que se hacía un cambio en la redacción de uno de los motivos de casación invocados y desestimó esta pretensión. Considera que la sentencia del Tribunal de Justicia de la Unión Europea debería haber motivado un pronunciamiento que dejara sin efecto la jurisprudencia existente hasta el momento sobre la aplicación preferente de la sanción de expulsión, expresamente citada en la sentencia del Tribunal Superior de Justicia de Madrid y en la providencia del Tribunal Supremo por la que se inadmitió el recurso de casación; y (iv) la vulneración de los derechos de defensa y presunción de inocencia, en relación con un proceso con todas las garantías (art. 24.2 CE), porque no se le notificó la propuesta de resolución y se introdujo un hecho nuevo no incluido en la incoación del expediente (un registro por un supuesto ilícito penal consistente en malos tratos físicos en el ámbito familiar) que, además de no estar acreditado mediante sentencia, no pudo ser objeto de alegación en el expediente administrativo sancionador.</w:t>
      </w:r>
    </w:p>
    <w:p w14:paraId="7BE13116" w14:textId="77777777" w:rsidR="008D479B" w:rsidRDefault="008D479B" w:rsidP="008D479B">
      <w:pPr>
        <w:pStyle w:val="TextoNormal"/>
      </w:pPr>
    </w:p>
    <w:p w14:paraId="30E3815B" w14:textId="77777777" w:rsidR="008D479B" w:rsidRDefault="008D479B" w:rsidP="008D479B">
      <w:pPr>
        <w:pStyle w:val="TextoNormal"/>
      </w:pPr>
      <w:r>
        <w:t>En atención a estas invocaciones, el presente recurso de amparo debe ser considerado de naturaleza mixta, pues se atribuye a las resoluciones judiciales una vulneración del derecho a la tutela judicial efectiva de carácter autónomo, que va más allá de la mera falta de reparación de las vulneraciones que originariamente se imputan a la administración. En tal sentido, como afirma el Ministerio Fiscal, la imputación que se realiza a las providencias del Tribunal Supremo directamente impugnadas en amparo, en realidad tienen su origen en las resoluciones anteriores y tal como señala, entre otras, las SSTC 149/2016, de 19 de septiembre, FJ 1, y 84/2018, de 16 de julio, FJ 1, cuando se impugna en el recurso de amparo una resolución judicial confirmatoria de otras que han sido lógica y cronológicamente presupuesto de aquella, han de considerarse también recurridas esas precedentes resoluciones. Por ello, aunque la demanda de amparo se dirige formalmente contra las providencias del Tribunal Supremo, la lesión atribuida a las mismas se centra en la vulneración del derecho de acceso a los recursos (art. 24.1 CE), que se proyecta sobre algunas vulneraciones —así, la eventual falta de motivación de la sentencia de instancia sobre la utilización del procedimiento preferente del art. 63 LOEx, o el error imputado al Tribunal Superior de Justicia de Madrid en cuanto a la nacionalidad del menor— que tendrían un carácter autónomo, y a las que se uniría la ausencia de motivación sobre las causas que justifican la sanción de expulsión, así como la falta de ponderación de las circunstancias personales y familiares del recurrente, lesiones que ya tenían su origen en la propia resolución administrativa y que resultó confirmada por las posteriores resoluciones judiciales (STC 21/2010, de 27 de abril, FJ 2). Por consiguiente, a la vista de las vulneraciones alegadas en la demanda, en la medida en que se puede considerar implícitamente recurrida la resolución administrativa de expulsión y visto que en el suplico se solicita su anulación, no existe obstáculo para considerar la naturaleza mixta de los arts. 43.1 y 44.1 LOTC del presente recurso.</w:t>
      </w:r>
    </w:p>
    <w:p w14:paraId="76988651" w14:textId="77777777" w:rsidR="008D479B" w:rsidRDefault="008D479B" w:rsidP="008D479B">
      <w:pPr>
        <w:pStyle w:val="TextoNormal"/>
      </w:pPr>
    </w:p>
    <w:p w14:paraId="058D50F5" w14:textId="77777777" w:rsidR="008D479B" w:rsidRDefault="008D479B" w:rsidP="008D479B">
      <w:pPr>
        <w:pStyle w:val="TextoNormal"/>
      </w:pPr>
      <w:r>
        <w:t>Por su parte, el abogado del Estado solicitó, en primer lugar, la inadmisión del recurso de amparo por extemporáneo, pues al no existir vulneración de derecho fundamental alguno que hubiera sido causado por las resoluciones de inadmisión del recurso de casación, el planteamiento del incidente excepcional de nulidad de actuaciones era improcedente.</w:t>
      </w:r>
    </w:p>
    <w:p w14:paraId="32065007" w14:textId="77777777" w:rsidR="008D479B" w:rsidRDefault="008D479B" w:rsidP="008D479B">
      <w:pPr>
        <w:pStyle w:val="TextoNormal"/>
      </w:pPr>
    </w:p>
    <w:p w14:paraId="71E56130" w14:textId="77777777" w:rsidR="008D479B" w:rsidRDefault="008D479B" w:rsidP="008D479B">
      <w:pPr>
        <w:pStyle w:val="TextoNormal"/>
      </w:pPr>
      <w:r>
        <w:t>En cuanto al fondo, afirma que se trata de cuestiones de legalidad ordinaria y que tanto la autoridad administrativa al imponer la sanción de expulsión como los tribunales al confirmarla, apreciaron que existían circunstancias suficientes que la justificaban, subrayando la inexistencia de indefensión, en tanto el asunto debatido fue revisado por la jurisdicción, al igual que no se habría infringido el derecho a la legalidad sancionadora (art. 25.1 CE) pues de conformidad con los arts. 53.1 a), 57.1 y 63 LOEx se tuvieron en consideración las circunstancias concretas del recurrente.</w:t>
      </w:r>
    </w:p>
    <w:p w14:paraId="15D35730" w14:textId="77777777" w:rsidR="008D479B" w:rsidRDefault="008D479B" w:rsidP="008D479B">
      <w:pPr>
        <w:pStyle w:val="TextoNormal"/>
      </w:pPr>
    </w:p>
    <w:p w14:paraId="6C47DA99" w14:textId="77777777" w:rsidR="008D479B" w:rsidRDefault="008D479B" w:rsidP="008D479B">
      <w:pPr>
        <w:pStyle w:val="TextoNormal"/>
      </w:pPr>
      <w:r>
        <w:t>Por lo demás, no aprecia la trascendencia constitucional del asunto planteado en este recurso, pues no plantea un problema que se pueda incluir en alguno de los supuestos de la STC 155/2009, de 25 de junio, FJ 2.</w:t>
      </w:r>
    </w:p>
    <w:p w14:paraId="7F135E2F" w14:textId="77777777" w:rsidR="008D479B" w:rsidRDefault="008D479B" w:rsidP="008D479B">
      <w:pPr>
        <w:pStyle w:val="TextoNormal"/>
      </w:pPr>
    </w:p>
    <w:p w14:paraId="66D03FB5" w14:textId="77777777" w:rsidR="008D479B" w:rsidRDefault="008D479B" w:rsidP="008D479B">
      <w:pPr>
        <w:pStyle w:val="TextoNormal"/>
      </w:pPr>
      <w:r>
        <w:t>Por todo ello solicita que se inadmita en sentencia el recurso de amparo, en primer lugar, por razón de su extemporaneidad y, subsidiariamente, por su falta de trascendencia constitucional. En último término, y también de modo subsidiario, solicita su íntegra desestimación.</w:t>
      </w:r>
    </w:p>
    <w:p w14:paraId="63892386" w14:textId="77777777" w:rsidR="008D479B" w:rsidRDefault="008D479B" w:rsidP="008D479B">
      <w:pPr>
        <w:pStyle w:val="TextoNormal"/>
      </w:pPr>
    </w:p>
    <w:p w14:paraId="465557DC" w14:textId="77777777" w:rsidR="008D479B" w:rsidRDefault="008D479B" w:rsidP="008D479B">
      <w:pPr>
        <w:pStyle w:val="TextoNormal"/>
      </w:pPr>
      <w:r>
        <w:t>El Ministerio Fiscal, en cambio, entiende procedente el otorgamiento del amparo al recurrente por vulneración del derecho a la tutela judicial efectiva (art. 24.1 CE) en relación con el principio de legalidad (art. 25 CE), respecto al principio de proporcionalidad (art. 57.1 LOEx), por falta de motivación de la imposición de la sanción de expulsión y de ponderación del interés del menor en aplicación de la Directiva 2008/115/CE, de acuerdo con la doctrina del Tribunal de Justicia de la Unión Europea, pues la falta de argumentación no resulta conforme a la protección constitucional que deriva del art. 24.1 CE. Sobre el alcance del amparo advierte que, de acuerdo con la doctrina jurisprudencial, la ausencia de elemento de agravación concurrente con la infracción por mera estancia irregular determina la imposibilidad de acordar la medida de expulsión, sin que resulte posible optar por la sanción de multa (SSTS 337/2022, de 16 de marzo, y 366/2021, de 17 de marzo), por lo que procede anular la resolución administrativa además de las resoluciones judiciales impugnadas, como medio para el restablecimiento de los derechos vulnerados.</w:t>
      </w:r>
    </w:p>
    <w:p w14:paraId="68CCA0A2" w14:textId="77777777" w:rsidR="008D479B" w:rsidRDefault="008D479B" w:rsidP="008D479B">
      <w:pPr>
        <w:pStyle w:val="TextoNormal"/>
      </w:pPr>
    </w:p>
    <w:p w14:paraId="7FA95FE5" w14:textId="77777777" w:rsidR="008D479B" w:rsidRDefault="008D479B" w:rsidP="008D479B">
      <w:pPr>
        <w:pStyle w:val="TextoNormal"/>
      </w:pPr>
      <w:r>
        <w:t xml:space="preserve">b) Como se ha expuesto pormenorizadamente en los antecedentes de esta sentencia, la Abogacía del Estado aduce la extemporaneidad del recurso de amparo al entender que el incidente de nulidad de actuaciones interpuesto por el recurrente en amparo contra la providencia de inadmisión del recurso de casación era manifiestamente improcedente. Aduce que no era precisa la formulación del incidente de nulidad de actuaciones conforme a lo previsto en el art. 241.1 LOPJ, en tanto que las vulneraciones se habrían producido desde la resolución de la Delegación del Gobierno de Madrid de 28 de abril de 2017, y habrían sido denunciadas en instancias anteriores. Alega, asimismo, que el recurso de amparo reitera las mismas alegaciones que en instancias anteriores sin aducir una vulneración adicional de un derecho fundamental más allá de la genérica alusión al art. 24 CE. Todo ello, a su juicio, debería llevar aparejada la inadmisibilidad del recurso de amparo por extemporáneo, ya que la vía judicial previa se cerraba con la providencia de la Sala de lo Contencioso-Administrativo del Tribunal Supremo, de 21 de septiembre de 2020, que inadmitió el recurso de casación núm. 7732-2019 planteado por el recurrente, cuya fecha de notificación marcaba por tanto el </w:t>
      </w:r>
      <w:r w:rsidRPr="008D479B">
        <w:rPr>
          <w:i/>
        </w:rPr>
        <w:t>dies a quo</w:t>
      </w:r>
      <w:r>
        <w:t xml:space="preserve"> del plazo de treinta días para presentar la demanda </w:t>
      </w:r>
      <w:r w:rsidRPr="008D479B">
        <w:rPr>
          <w:i/>
        </w:rPr>
        <w:t>ex</w:t>
      </w:r>
      <w:r>
        <w:t xml:space="preserve"> art. 44.2 LOTC. Habiendo transcurrido dicho plazo, con mucho, al presentar la demanda de amparo, esta ha de ser inadmitida por extemporánea.</w:t>
      </w:r>
    </w:p>
    <w:p w14:paraId="2B28C494" w14:textId="77777777" w:rsidR="008D479B" w:rsidRDefault="008D479B" w:rsidP="008D479B">
      <w:pPr>
        <w:pStyle w:val="TextoNormal"/>
      </w:pPr>
    </w:p>
    <w:p w14:paraId="453DA6C1" w14:textId="77777777" w:rsidR="008D479B" w:rsidRDefault="008D479B" w:rsidP="008D479B">
      <w:pPr>
        <w:pStyle w:val="TextoNormal"/>
      </w:pPr>
      <w:r>
        <w:t>El presente recurso, tal como pone de manifiesto el Ministerio Fiscal, constituye lo que hemos denominado un “recurso de amparo mixto” (arts. 43 y 44 LOTC). Debemos apreciar que se agotó correctamente la vía judicial previa al amparo, tal y como se desprende de la lectura del escrito de incidente de nulidad de actuaciones presentado por el recurrente y de la demanda de amparo. Tras la inadmisión del recurso de casación, el recurrente interpuso incidente de nulidad de actuaciones alegando la vulneración del derecho a la tutela judicial efectiva (art. 24.1 CE), en su vertiente de acceso a los recursos legalmente establecidos. El hecho de que para fundamentar su solicitud de nulidad tuviera que aludir a los argumentos que defendía en el escrito de preparación del recurso, no solo no se antoja impertinente a los efectos de defender su queja de lesión del derecho al recurso (art. 24.1 CE), sino que era algo lógico, pues sin aludir al contenido del recurso que había sido inadmitido mal podía combatir la decisión adoptada en su contra, tal como hemos afirmado en supuestos similares [SSTC 80/2023, de 3 de julio, FJ 2 b), y 86/2023, de 17 de julio, FJ 2 a)].</w:t>
      </w:r>
    </w:p>
    <w:p w14:paraId="6627199B" w14:textId="77777777" w:rsidR="008D479B" w:rsidRDefault="008D479B" w:rsidP="008D479B">
      <w:pPr>
        <w:pStyle w:val="TextoNormal"/>
      </w:pPr>
    </w:p>
    <w:p w14:paraId="25CFAFB0" w14:textId="77777777" w:rsidR="008D479B" w:rsidRDefault="008D479B" w:rsidP="008D479B">
      <w:pPr>
        <w:pStyle w:val="TextoNormal"/>
      </w:pPr>
      <w:r>
        <w:t>Además, en la demanda de amparo se hace referencia a que la providencia de 21 de septiembre de 2020 inadmitió el recurso de casación y, por ello, al entender que se había vulnerado el derecho a la tutela judicial efectiva, se formuló incidente de nulidad de actuaciones, lo que confirmaría el carácter específico de esta queja que solo afectaba a las providencias dictadas por el Tribunal Supremo.</w:t>
      </w:r>
    </w:p>
    <w:p w14:paraId="5A92001C" w14:textId="77777777" w:rsidR="008D479B" w:rsidRDefault="008D479B" w:rsidP="008D479B">
      <w:pPr>
        <w:pStyle w:val="TextoNormal"/>
      </w:pPr>
    </w:p>
    <w:p w14:paraId="78214723" w14:textId="77777777" w:rsidR="008D479B" w:rsidRDefault="008D479B" w:rsidP="008D479B">
      <w:pPr>
        <w:pStyle w:val="TextoNormal"/>
      </w:pPr>
      <w:r>
        <w:t>Puede entenderse, en consecuencia, que junto a la queja en la que formalmente se aduce la vulneración del art. 24.1 CE, en los términos que hemos precisado, imputable a la resolución administrativa y a las resoluciones judiciales en cuanto no repararon la misma, se atribuya, además, una vulneración autónoma del art. 24.1 CE a las providencias de inadmisión del recurso de casación y de inadmisión del incidente de nulidad de actuaciones.</w:t>
      </w:r>
    </w:p>
    <w:p w14:paraId="02D26B39" w14:textId="77777777" w:rsidR="008D479B" w:rsidRDefault="008D479B" w:rsidP="008D479B">
      <w:pPr>
        <w:pStyle w:val="TextoNormal"/>
      </w:pPr>
    </w:p>
    <w:p w14:paraId="338F044F" w14:textId="77777777" w:rsidR="008D479B" w:rsidRDefault="008D479B" w:rsidP="008D479B">
      <w:pPr>
        <w:pStyle w:val="TextoNormal"/>
      </w:pPr>
      <w:r>
        <w:t>En el presente caso, la interposición de un incidente de nulidad contra la resolución que inadmitió el recurso de casación intentado por el recurrente, alegando la vulneración de su derecho a la tutela judicial efectiva (art. 24 CE) de acuerdo con lo afirmado en la STC 145/2015, de 25 de junio, FJ 2, no puede calificarse el incidente de nulidad de actuaciones promovido por el demandante contra la sentencia impugnada como “manifiestamente improcedente”, en el preciso sentido restrictivo que la doctrina de este tribunal viene dando a este concepto (por todas, SSTC 50/1990, de 26 de marzo, FJ 2; 224/1992, de 14 de diciembre, FJ 2; 10/1998, de 13 de enero, FJ 2; 78/2000, de 27 de marzo, FJ 2; 172/2009, de 9 de julio, FJ 2, y 33/2011, de 28 de marzo, FJ 2), con la consecuencia de determinar, en su caso, la extemporaneidad del recurso de amparo.</w:t>
      </w:r>
    </w:p>
    <w:p w14:paraId="2B15ACB1" w14:textId="77777777" w:rsidR="008D479B" w:rsidRDefault="008D479B" w:rsidP="008D479B">
      <w:pPr>
        <w:pStyle w:val="TextoNormal"/>
      </w:pPr>
    </w:p>
    <w:p w14:paraId="7915FD72" w14:textId="77777777" w:rsidR="008D479B" w:rsidRDefault="008D479B" w:rsidP="008D479B">
      <w:pPr>
        <w:pStyle w:val="TextoNormal"/>
      </w:pPr>
      <w:r>
        <w:t>Procede pues descartar el óbice de admisibilidad aducido por el abogado del Estado.</w:t>
      </w:r>
    </w:p>
    <w:p w14:paraId="7ADB608F" w14:textId="77777777" w:rsidR="008D479B" w:rsidRDefault="008D479B" w:rsidP="008D479B">
      <w:pPr>
        <w:pStyle w:val="TextoNormal"/>
      </w:pPr>
    </w:p>
    <w:p w14:paraId="2A2E519D" w14:textId="77777777" w:rsidR="008D479B" w:rsidRDefault="008D479B" w:rsidP="008D479B">
      <w:pPr>
        <w:pStyle w:val="TextoNormal"/>
      </w:pPr>
      <w:r>
        <w:t>c) Respecto de la alegada falta de trascendencia constitucional del recurso de amparo por no concurrir ninguno de los supuestos contemplados en la STC 155/2009, FJ 2, hemos de advertir que la jurisprudencia constitucional ha reiterado que corresponde únicamente al Tribunal apreciar en cada caso, en el momento de admitir a trámite el recurso de amparo, si este tiene especial trascendencia constitucional, de acuerdo con lo exigido por el art. 50.1 LOTC (así, SSTC 155/2020, de 4 de noviembre, FJ 2, o 43/2022, de 21 de marzo, FJ 2). La providencia de admisión dejó establecida como causa de especial trascendencia constitucional que el recurso plantea un problema o afecta a una faceta de un derecho fundamental sobre el que no hay doctrina de este tribunal [STC 155/2009, FJ 2 a)] y puede dar ocasión al Tribunal para aclarar o cambiar su doctrina, ya expuesta —entre otras— en las SSTC 140/2009, de 15 de junio, y 145/2011, de 26 de septiembre, como consecuencia de un cambio en la doctrina de órganos de garantía encargados de la interpretación de los tratados y acuerdos internacionales. En el presente caso, se trataría de analizar la relevancia de las SSTJUE de 23 de abril de 2015, de 8 de octubre de 2020, y la más reciente de 3 de marzo de 2022, a fin de valorar cuál debe ser el canon de control de constitucionalidad exigible en la interpretación y aplicación del Derecho nacional de extranjería, puesto en relación con el Derecho de la Unión Europea, tal y como ha sido interpretado por el Tribunal de Justicia de la Unión Europea.</w:t>
      </w:r>
    </w:p>
    <w:p w14:paraId="1AD03312" w14:textId="77777777" w:rsidR="008D479B" w:rsidRDefault="008D479B" w:rsidP="008D479B">
      <w:pPr>
        <w:pStyle w:val="TextoNormal"/>
      </w:pPr>
    </w:p>
    <w:p w14:paraId="09897CE3" w14:textId="77777777" w:rsidR="008D479B" w:rsidRDefault="008D479B" w:rsidP="008D479B">
      <w:pPr>
        <w:pStyle w:val="TextoNormal"/>
      </w:pPr>
      <w:r>
        <w:t>En consecuencia, este óbice procesal también debe rechazarse.</w:t>
      </w:r>
    </w:p>
    <w:p w14:paraId="6BA98808" w14:textId="77777777" w:rsidR="008D479B" w:rsidRDefault="008D479B" w:rsidP="008D479B">
      <w:pPr>
        <w:pStyle w:val="TextoNormal"/>
      </w:pPr>
    </w:p>
    <w:p w14:paraId="62C0C8D2" w14:textId="77777777" w:rsidR="008D479B" w:rsidRDefault="008D479B" w:rsidP="008D479B">
      <w:pPr>
        <w:pStyle w:val="TextoNormal"/>
      </w:pPr>
      <w:r>
        <w:t>d) La naturaleza mixta del recurso de amparo interpuesto determina que se examine, en primer término, la queja relativa a la vulneración del derecho fundamental a la legalidad sancionadora y del principio de proporcionalidad de la medida de expulsión impuesta al recurrente, que se atribuye a la resolución de la Delegación del Gobierno en Madrid, de 28 de abril de 2017, y a las distintas resoluciones judiciales que la confirmaron. Su eventual estimación facilita una solución más temprana del recurso y haría innecesario el examen de la queja relativa a la vulneración del derecho a un proceso con todas las garantías (SSTC 140/2009, FJ 1, y 131/2016, de 18 de julio, FJ 4).</w:t>
      </w:r>
    </w:p>
    <w:p w14:paraId="247C08BB" w14:textId="77777777" w:rsidR="008D479B" w:rsidRDefault="008D479B" w:rsidP="008D479B">
      <w:pPr>
        <w:pStyle w:val="TextoNormal"/>
      </w:pPr>
    </w:p>
    <w:p w14:paraId="3C67E433" w14:textId="77777777" w:rsidR="008D479B" w:rsidRDefault="008D479B" w:rsidP="008D479B">
      <w:pPr>
        <w:pStyle w:val="TextoNormal"/>
      </w:pPr>
      <w:r>
        <w:t>La queja del recurrente, en los términos que se plantean, coincide con la resuelta en la STC 47/2023, de 10 de mayo, del Pleno, cuya doctrina resulta aplicable al caso, y en la que se reconoció la vulneración del derecho a la legalidad sancionadora (art. 25.1 CE) en un supuesto muy similar de expulsión por mera estancia irregular, que se justificaba en la aplicación directa de las consecuencias de la Directiva de retorno en lugar de aplicar la normativa española de extranjería.</w:t>
      </w:r>
    </w:p>
    <w:p w14:paraId="39886D6D" w14:textId="77777777" w:rsidR="008D479B" w:rsidRDefault="008D479B" w:rsidP="008D479B">
      <w:pPr>
        <w:pStyle w:val="TextoNormal"/>
      </w:pPr>
    </w:p>
    <w:p w14:paraId="72AF5264" w14:textId="77777777" w:rsidR="008D479B" w:rsidRDefault="008D479B" w:rsidP="008D479B">
      <w:pPr>
        <w:pStyle w:val="TextoNormal"/>
      </w:pPr>
      <w:r>
        <w:t>En esta resolución, el Pleno del Tribunal Constitucional expuso la regulación y la jurisprudencia nacional y de la Unión Europea aplicable a las situaciones de estancia irregular de ciudadanos de terceros países no miembros, reflejando la compatibilidad del régimen sancionador previsto en los arts. 53.1 a), 55.1 b) y 3, y 57.1 LOEx —que establecen como regla general una sanción de multa para estas situaciones y la posibilidad de imponer motivadamente una sanción de expulsión, incompatible con la de multa (art. 57.3 LOEx), previo expediente y respetando el principio de proporcionalidad, si se acreditan circunstancias agravantes— con la exigencia general del art. 6.1 de la Directiva 2008/115/CE, que obliga a los Estados miembros a dictar una decisión de retorno contra cualquier nacional de un tercer país que se encuentre en situación irregular en su territorio, sin perjuicio de las excepciones previstas en la propia Directiva.</w:t>
      </w:r>
    </w:p>
    <w:p w14:paraId="428C5C42" w14:textId="77777777" w:rsidR="008D479B" w:rsidRDefault="008D479B" w:rsidP="008D479B">
      <w:pPr>
        <w:pStyle w:val="TextoNormal"/>
      </w:pPr>
    </w:p>
    <w:p w14:paraId="61ACB033" w14:textId="77777777" w:rsidR="008D479B" w:rsidRDefault="008D479B" w:rsidP="008D479B">
      <w:pPr>
        <w:pStyle w:val="TextoNormal"/>
      </w:pPr>
      <w:r>
        <w:t>La STC 47/2023, FJ 4 c), declaró vulnerada la garantía material del derecho a la legalidad sancionadora (art. 25.1 CE) cuando la “administración impuso la sanción de expulsión del art. 57.1 LOEx, luego confirmada judicialmente con una interpretación errónea sobre la eficacia de la Directiva de retorno, a una situación de estancia irregular en la que no consta que concurriera ninguna circunstancia agravante o elemento negativo que la hubiese justificado, ‘en atención al principio de proporcionalidad’, tal y como dicho precepto exige para su aplicación”.</w:t>
      </w:r>
    </w:p>
    <w:p w14:paraId="7FF9C1F0" w14:textId="77777777" w:rsidR="008D479B" w:rsidRDefault="008D479B" w:rsidP="008D479B">
      <w:pPr>
        <w:pStyle w:val="TextoNormal"/>
      </w:pPr>
    </w:p>
    <w:p w14:paraId="6B111A02" w14:textId="77777777" w:rsidR="008D479B" w:rsidRDefault="008D479B" w:rsidP="008D479B">
      <w:pPr>
        <w:pStyle w:val="TextoNormal"/>
      </w:pPr>
      <w:r>
        <w:t>Como se afirma en la citada STC 47/2023, FJ 4 c), “las resoluciones judiciales declararon procedente la expulsión con fundamento en la aplicación directa de lo dispuesto en el art. 6.1 de la Directiva 2008/115/CE y en que la recurrente carecía de arraigo en España. Pero con tal argumentación, los órganos judiciales dejaron de aplicar las consecuencias previstas en la normativa española para las situaciones de estancia irregular, puesto que en nuestro derecho no está prevista la sanción de expulsión para los supuestos de mera estancia irregular de las personas extranjeras en quienes no se aprecie ninguna circunstancia agravante o negativa. Esta interpretación de los tribunales españoles que marginaba la normativa nacional más favorable y que otorgaba un efecto directo inverso a la Directiva de retorno es errónea y contraria a la jurisprudencia del Tribunal de Justicia de la Unión Europea sobre la eficacia de esta clase de normas en los ordenamientos internos. Como señala la STJUE de 8 de octubre de 2020, ‘es preciso recordar que, según reiterada jurisprudencia del Tribunal de Justicia, las directivas no pueden, por sí solas, crear obligaciones a cargo de los particulares, pues los Estados miembros no pueden invocar las disposiciones de las directivas, en su calidad de tales, contra dichas personas’ (apartado 35)”.</w:t>
      </w:r>
    </w:p>
    <w:p w14:paraId="7DF82D46" w14:textId="77777777" w:rsidR="008D479B" w:rsidRDefault="008D479B" w:rsidP="008D479B">
      <w:pPr>
        <w:pStyle w:val="TextoNormal"/>
      </w:pPr>
    </w:p>
    <w:p w14:paraId="2094CAD1" w14:textId="77777777" w:rsidR="008D479B" w:rsidRDefault="008D479B" w:rsidP="008D479B">
      <w:pPr>
        <w:pStyle w:val="TextoNormal"/>
      </w:pPr>
      <w:r>
        <w:t>e) La resolución administrativa y las judiciales objeto del presente recurso se caracterizan por haber justificado la sanción de expulsión de don Jeifry Manuel de la Cruz sin apreciar la concurrencia de circunstancias agravantes o negativas y sin tener en cuenta las circunstancias personales y familiares alegadas por el recurrente que, como han quedado reseñadas en los antecedentes de la presente resolución, eran de una entidad suficiente como para imponer la sanción de multa prevista en nuestro ordenamiento como regla general para los casos como el suyo de estancia irregular en nuestro país.</w:t>
      </w:r>
    </w:p>
    <w:p w14:paraId="26AD0D84" w14:textId="77777777" w:rsidR="008D479B" w:rsidRDefault="008D479B" w:rsidP="008D479B">
      <w:pPr>
        <w:pStyle w:val="TextoNormal"/>
      </w:pPr>
    </w:p>
    <w:p w14:paraId="0D01B2C9" w14:textId="7EFEE9BA" w:rsidR="008D479B" w:rsidRDefault="008D479B" w:rsidP="008D479B">
      <w:pPr>
        <w:pStyle w:val="TextoNormal"/>
      </w:pPr>
      <w:r>
        <w:t>En consecuencia, en aplicación de la doctrina de la STC 47/2023, debe estimarse el recurso [art. 53 a) LOTC] y reconocer que se ha vulnerado el derecho fundamental del recurrente a la legalidad sancionadora (art. 25.1 CE), restableciéndole en su derecho mediante la anulación de las resoluciones impugnadas (art. 55.1 LOTC).</w:t>
      </w:r>
    </w:p>
    <w:p w14:paraId="46AC8FAE" w14:textId="77777777" w:rsidR="008D479B" w:rsidRDefault="008D479B" w:rsidP="008D479B">
      <w:pPr>
        <w:pStyle w:val="TextoNormal"/>
      </w:pPr>
    </w:p>
    <w:p w14:paraId="60457D62" w14:textId="77777777" w:rsidR="008D479B" w:rsidRDefault="008D479B" w:rsidP="008D479B">
      <w:pPr>
        <w:pStyle w:val="TextoNormalCentrado"/>
        <w:keepNext/>
      </w:pPr>
      <w:r>
        <w:t>FALLO</w:t>
      </w:r>
    </w:p>
    <w:p w14:paraId="53F73E51" w14:textId="4F1E80F1" w:rsidR="008D479B" w:rsidRDefault="008D479B" w:rsidP="008D479B">
      <w:pPr>
        <w:pStyle w:val="TextoNormalCentrado"/>
        <w:keepNext/>
      </w:pPr>
    </w:p>
    <w:p w14:paraId="310CFD5E" w14:textId="77777777" w:rsidR="008D479B" w:rsidRDefault="008D479B" w:rsidP="008D479B">
      <w:pPr>
        <w:pStyle w:val="TextoNormal"/>
      </w:pPr>
      <w:r>
        <w:t>En atención a todo lo expuesto, el Tribunal Constitucional, por la autoridad que le confiere la Constitución de la Nación española, ha decidido estimar el recurso de amparo interpuesto por don Jeifry Manuel de la Cruz y, en su virtud:</w:t>
      </w:r>
    </w:p>
    <w:p w14:paraId="51430A24" w14:textId="77777777" w:rsidR="008D479B" w:rsidRDefault="008D479B" w:rsidP="008D479B">
      <w:pPr>
        <w:pStyle w:val="TextoNormal"/>
      </w:pPr>
    </w:p>
    <w:p w14:paraId="1AB0AA30" w14:textId="77777777" w:rsidR="008D479B" w:rsidRDefault="008D479B" w:rsidP="008D479B">
      <w:pPr>
        <w:pStyle w:val="TextoNormal"/>
      </w:pPr>
      <w:r>
        <w:t>1º Reconocer que ha sido vulnerado su derecho fundamental a la legalidad sancionadora (art. 25.1 CE).</w:t>
      </w:r>
    </w:p>
    <w:p w14:paraId="1FF1943B" w14:textId="77777777" w:rsidR="008D479B" w:rsidRDefault="008D479B" w:rsidP="008D479B">
      <w:pPr>
        <w:pStyle w:val="TextoNormal"/>
      </w:pPr>
    </w:p>
    <w:p w14:paraId="3CD750DC" w14:textId="3B30D30E" w:rsidR="008D479B" w:rsidRDefault="008D479B" w:rsidP="008D479B">
      <w:pPr>
        <w:pStyle w:val="TextoNormal"/>
      </w:pPr>
      <w:r>
        <w:t>2º Restablecerle en su derecho y, a tal fin, declarar la nulidad de la resolución de fecha 28 de abril de 2017 de la Delegación del Gobierno en Madrid, que acordó decretar la expulsión del territorio español del recurrente; de la sentencia núm. 157/2018, de 12 de junio de 2018, del Juzgado de lo Contencioso-Administrativo núm. 21 de Madrid dictada en el procedimiento abreviado núm. 291-2017; de la sentencia 545/2019, de 26 de julio de 2019, de la Sección Novena de Sala de lo Contencioso-Administrativo del Tribunal Superior de Justicia de Madrid, y de las providencias de la Sección Primera de la Sala de lo Contencioso-Administrativo del Tribunal Supremo, de 21 de septiembre de 2020 y de 10 de diciembre de 2020 (recurso de casación núm. 7732-2019).</w:t>
      </w:r>
    </w:p>
    <w:p w14:paraId="1AF45BC5" w14:textId="77777777" w:rsidR="008D479B" w:rsidRDefault="008D479B" w:rsidP="008D479B">
      <w:pPr>
        <w:pStyle w:val="TextoNormal"/>
      </w:pPr>
    </w:p>
    <w:p w14:paraId="0F39D291" w14:textId="77777777" w:rsidR="008D479B" w:rsidRDefault="008D479B" w:rsidP="008D479B">
      <w:pPr>
        <w:pStyle w:val="TextoNormal"/>
      </w:pPr>
      <w:r>
        <w:t>Publíquese esta sentencia en el “Boletín Oficial del Estado”.</w:t>
      </w:r>
    </w:p>
    <w:p w14:paraId="64784BED" w14:textId="77777777" w:rsidR="008D479B" w:rsidRDefault="008D479B" w:rsidP="008D479B">
      <w:pPr>
        <w:pStyle w:val="TextoNormal"/>
      </w:pPr>
      <w:r>
        <w:t>Dada en Madrid, a veintitrés de octubre de dos mil veintitrés.</w:t>
      </w:r>
    </w:p>
    <w:p w14:paraId="527EDC8C" w14:textId="67DFB8E7" w:rsidR="008D479B" w:rsidRDefault="008D479B">
      <w:pPr>
        <w:spacing w:after="160" w:line="278" w:lineRule="auto"/>
        <w:rPr>
          <w:rFonts w:ascii="Times New Roman" w:eastAsia="Times New Roman" w:hAnsi="Times New Roman" w:cs="Times New Roman"/>
          <w:sz w:val="24"/>
          <w:szCs w:val="24"/>
          <w:lang w:eastAsia="es-ES"/>
        </w:rPr>
      </w:pPr>
      <w:r>
        <w:br w:type="page"/>
      </w:r>
    </w:p>
    <w:p w14:paraId="0CA04203" w14:textId="77777777" w:rsidR="008D479B" w:rsidRDefault="008D479B" w:rsidP="008D479B">
      <w:pPr>
        <w:pStyle w:val="TtuloResolucin"/>
      </w:pPr>
      <w:bookmarkStart w:id="56" w:name="SENTENCIA_2023_131"/>
      <w:r>
        <w:t>SENTENCIA 131/2023, de 23 de octubre de 2023</w:t>
      </w:r>
    </w:p>
    <w:bookmarkEnd w:id="56"/>
    <w:p w14:paraId="71E9B8D3" w14:textId="77777777" w:rsidR="008D479B" w:rsidRDefault="008D479B" w:rsidP="008D479B">
      <w:pPr>
        <w:pStyle w:val="TtuloResolucin"/>
      </w:pPr>
      <w:r>
        <w:t>Sala Segunda</w:t>
      </w:r>
    </w:p>
    <w:p w14:paraId="3599ACEE" w14:textId="77777777" w:rsidR="008D479B" w:rsidRDefault="008D479B" w:rsidP="008D479B">
      <w:pPr>
        <w:pStyle w:val="TtuloBOE"/>
      </w:pPr>
      <w:r>
        <w:t>(BOE núm. 286, de 30 de noviembre de 2023)</w:t>
      </w:r>
    </w:p>
    <w:p w14:paraId="0994CD9B" w14:textId="77777777" w:rsidR="008D479B" w:rsidRDefault="008D479B" w:rsidP="008D479B">
      <w:pPr>
        <w:pStyle w:val="TextoNormalCentrado"/>
      </w:pPr>
      <w:r>
        <w:t>ECLI:ES:TC:2023:131</w:t>
      </w:r>
    </w:p>
    <w:p w14:paraId="0C8A006F" w14:textId="253F5461" w:rsidR="008D479B" w:rsidRDefault="008D479B" w:rsidP="008D479B">
      <w:pPr>
        <w:pStyle w:val="TextoNormalCentrado"/>
      </w:pPr>
    </w:p>
    <w:p w14:paraId="23A4A432" w14:textId="77777777" w:rsidR="008D479B" w:rsidRDefault="008D479B" w:rsidP="008D479B">
      <w:pPr>
        <w:pStyle w:val="SntesisDescriptiva"/>
      </w:pPr>
      <w:r>
        <w:t>Recurso de amparo 3409-2021. Promovido por doña M.C.I.T., en relación con los autos de la Audiencia Provincial de Almería y un juzgado de primera instancia e instrucción de Vera acordando el sobreseimiento provisional de causa por un delito de abusos sexuales.</w:t>
      </w:r>
    </w:p>
    <w:p w14:paraId="5ABFF891" w14:textId="1CF2A4B0" w:rsidR="008D479B" w:rsidRDefault="008D479B" w:rsidP="008D479B">
      <w:pPr>
        <w:pStyle w:val="SntesisDescriptiva"/>
      </w:pPr>
    </w:p>
    <w:p w14:paraId="3B1BDB70" w14:textId="77777777" w:rsidR="008D479B" w:rsidRDefault="008D479B" w:rsidP="008D479B">
      <w:pPr>
        <w:pStyle w:val="SntesisAnaltica"/>
      </w:pPr>
      <w:r>
        <w:t>Supuesta vulneración de los derechos a la tutela judicial efectiva y a un proceso con todas las garantías: resoluciones judiciales que valoran adecuadamente el interés superior de un menor en la investigación penal. Voto particular.</w:t>
      </w:r>
    </w:p>
    <w:p w14:paraId="6E5E351C" w14:textId="2F2860F1" w:rsidR="008D479B" w:rsidRDefault="008D479B" w:rsidP="008D479B">
      <w:pPr>
        <w:pStyle w:val="SntesisAnaltica"/>
      </w:pPr>
    </w:p>
    <w:p w14:paraId="7A25D143" w14:textId="1DE0D95B" w:rsidR="008D479B" w:rsidRDefault="008D479B" w:rsidP="008D479B">
      <w:pPr>
        <w:pStyle w:val="Extracto"/>
      </w:pPr>
      <w:r>
        <w:t>1.</w:t>
      </w:r>
      <w:r>
        <w:tab/>
        <w:t>La posibilidad de contradicción exige que los órganos jurisdiccionales velen por que en las distintas fases e instancias del proceso las partes posean idénticas posibilidades de alegación y prueba de sus derechos e intereses, y puedan ejercitar su derecho de defensa; esta garantía se manifiesta en la concesión, a todas las partes en el proceso, de las facultades de alegar, probar e intervenir en la prueba ajena para controlar su correcta práctica y contradecirla (SSTC 176/1988 o 76/1999) [FJ 2].</w:t>
      </w:r>
    </w:p>
    <w:p w14:paraId="39A61366" w14:textId="77777777" w:rsidR="008D479B" w:rsidRDefault="008D479B" w:rsidP="008D479B">
      <w:pPr>
        <w:pStyle w:val="Extracto"/>
      </w:pPr>
    </w:p>
    <w:p w14:paraId="2CB7552F" w14:textId="46421030" w:rsidR="008D479B" w:rsidRDefault="008D479B" w:rsidP="008D479B">
      <w:pPr>
        <w:pStyle w:val="Extracto"/>
      </w:pPr>
      <w:r>
        <w:t>2.</w:t>
      </w:r>
      <w:r>
        <w:tab/>
        <w:t>El ejercicio de la acción penal no otorga a sus titulares el derecho material a obtener una condena y a la imposición de una pena, o un derecho incondicionado a la apertura y plena sustanciación del proceso penal, ni tampoco impone a los órganos judiciales la obligación de realizar una investigación más allá de lo necesario, alargando indebidamente la instrucción o el proceso (SSTC 176/2006 o 26/2018) [FJ 2].</w:t>
      </w:r>
    </w:p>
    <w:p w14:paraId="4B315EA5" w14:textId="77777777" w:rsidR="008D479B" w:rsidRDefault="008D479B" w:rsidP="008D479B">
      <w:pPr>
        <w:pStyle w:val="Extracto"/>
      </w:pPr>
    </w:p>
    <w:p w14:paraId="2AB1F4FC" w14:textId="6F2E2CBA" w:rsidR="008D479B" w:rsidRDefault="008D479B" w:rsidP="008D479B">
      <w:pPr>
        <w:pStyle w:val="Extracto"/>
      </w:pPr>
      <w:r>
        <w:t>3.</w:t>
      </w:r>
      <w:r>
        <w:tab/>
        <w:t>La suficiencia y efectividad de la investigación judicial sólo pueden evaluarse valorando las concretas circunstancias de la denuncia y de lo denunciado, así como la gravedad de lo denunciado (SSTC 34/2008 y 26/2018); y se vulnerará el derecho a la tutela judicial efectiva cuando se deniegue o se clausure la instrucción existiendo sospechas razonables de la posible comisión de un delito y tales sospechas sean susceptibles de ser despejadas mediante la investigación [FJ 2].</w:t>
      </w:r>
    </w:p>
    <w:p w14:paraId="3BC3BBC0" w14:textId="77777777" w:rsidR="008D479B" w:rsidRDefault="008D479B" w:rsidP="008D479B">
      <w:pPr>
        <w:pStyle w:val="Extracto"/>
      </w:pPr>
    </w:p>
    <w:p w14:paraId="1B28968E" w14:textId="37C26957" w:rsidR="008D479B" w:rsidRDefault="008D479B" w:rsidP="008D479B">
      <w:pPr>
        <w:pStyle w:val="Extracto"/>
      </w:pPr>
      <w:r>
        <w:t>4.</w:t>
      </w:r>
      <w:r>
        <w:tab/>
        <w:t>No existe un derecho a la práctica ilimitada de la prueba, de manera tal que se imponga la realización de cuantas diligencias de investigación se perciban como posibles o imaginables, propuestas por las partes o practicadas de oficio, particularmente si resulta evidente que el despliegue de mayores diligencias deviene innecesario. Semejante obligación conduciría a instrucciones inútiles en perjuicio del interés general en una gestión racional y eficaz de los recursos de la administración de justicia (SSTC 34/2008 o 153/2013) [FJ 2].</w:t>
      </w:r>
    </w:p>
    <w:p w14:paraId="724F6459" w14:textId="77777777" w:rsidR="008D479B" w:rsidRDefault="008D479B" w:rsidP="008D479B">
      <w:pPr>
        <w:pStyle w:val="Extracto"/>
      </w:pPr>
    </w:p>
    <w:p w14:paraId="560A76A8" w14:textId="43BB3217" w:rsidR="008D479B" w:rsidRDefault="008D479B" w:rsidP="008D479B">
      <w:pPr>
        <w:pStyle w:val="Extracto"/>
      </w:pPr>
      <w:r>
        <w:t>5.</w:t>
      </w:r>
      <w:r>
        <w:tab/>
        <w:t>El Tribunal Europeo de Derechos Humanos, en su sentencia de la Gran Sala de 12 de noviembre de 2013, asunto</w:t>
      </w:r>
      <w:r w:rsidRPr="008D479B">
        <w:rPr>
          <w:i/>
        </w:rPr>
        <w:t xml:space="preserve"> Söderman c. Suecia</w:t>
      </w:r>
      <w:r>
        <w:t>, declara que, en lo que respecta a actos graves como la violación y el abuso sexual de menores, la obligación positiva del Estado en virtud de los arts. 3 y 8 del Convenio europeo de derechos humanos (CEDH) de salvaguardar la integridad física del individuo también puede extenderse a cuestiones relacionadas con la eficacia de la investigación penal, aunque no existe un derecho absoluto a obtener el enjuiciamiento o la condena de una persona concreta cuando no haya habido fallos culpables en el intento de responsabilizar a los autores de delitos penales [FJ 2].</w:t>
      </w:r>
    </w:p>
    <w:p w14:paraId="09E47C95" w14:textId="77777777" w:rsidR="008D479B" w:rsidRDefault="008D479B" w:rsidP="008D479B">
      <w:pPr>
        <w:pStyle w:val="Extracto"/>
      </w:pPr>
    </w:p>
    <w:p w14:paraId="2331E377" w14:textId="51C14DF5" w:rsidR="008D479B" w:rsidRDefault="008D479B" w:rsidP="008D479B">
      <w:pPr>
        <w:pStyle w:val="Extracto"/>
      </w:pPr>
      <w:r>
        <w:t>6.</w:t>
      </w:r>
      <w:r>
        <w:tab/>
        <w:t>Los poderes públicos están obligados a proteger el interés superior de las personas menores de edad en cualesquiera actuaciones que deban entenderse con estas o hayan de afectarles de manera directa o indirecta. Deben procurarlo incluso si ello significa atemperar la rigidez de algunas normas procesales o sacrificar los legítimos intereses y perspectivas de terceros (SSTC 187/1996 o 77/2018) [FJ 3].</w:t>
      </w:r>
    </w:p>
    <w:p w14:paraId="34B94C46" w14:textId="77777777" w:rsidR="008D479B" w:rsidRDefault="008D479B" w:rsidP="008D479B">
      <w:pPr>
        <w:pStyle w:val="Extracto"/>
      </w:pPr>
    </w:p>
    <w:p w14:paraId="50596CA2" w14:textId="2BB168D1" w:rsidR="008D479B" w:rsidRDefault="008D479B" w:rsidP="008D479B">
      <w:pPr>
        <w:pStyle w:val="Extracto"/>
      </w:pPr>
      <w:r>
        <w:t>7.</w:t>
      </w:r>
      <w:r>
        <w:tab/>
        <w:t>La investigación llevada a cabo por el órgano judicial debe ser suficiente y ajustarse al canon reforzado aplicable a las víctimas vulnerables de la violencia que tiene lugar en el seno de la familia (STC 87/2020). Asimismo, no debe limitarse a constatar la existencia de versiones contradictorias entre las partes sino incluir diligencias directamente encaminadas a contrastar la veracidad de tales versiones [FJ 4].</w:t>
      </w:r>
    </w:p>
    <w:p w14:paraId="65631DA3" w14:textId="77777777" w:rsidR="008D479B" w:rsidRDefault="008D479B" w:rsidP="008D479B">
      <w:pPr>
        <w:pStyle w:val="Extracto"/>
      </w:pPr>
    </w:p>
    <w:p w14:paraId="6C69A338" w14:textId="54CB40DA" w:rsidR="008D479B" w:rsidRDefault="008D479B" w:rsidP="008D479B">
      <w:pPr>
        <w:pStyle w:val="Extracto"/>
      </w:pPr>
      <w:r>
        <w:t>8.</w:t>
      </w:r>
      <w:r>
        <w:tab/>
        <w:t>La garantía de contradicción que ampara al acusador particular en fase de instrucción, como principio esencial del proceso penal en aras de garantizar su tutela judicial efectiva, no se ve lesionada si la parte tuvo posibilidad de rebatir la práctica de la prueba [FJ 4].</w:t>
      </w:r>
    </w:p>
    <w:p w14:paraId="1EC8D4D5" w14:textId="77777777" w:rsidR="008D479B" w:rsidRDefault="008D479B" w:rsidP="008D479B">
      <w:pPr>
        <w:pStyle w:val="Extracto"/>
      </w:pPr>
    </w:p>
    <w:p w14:paraId="367F57EE" w14:textId="77777777" w:rsidR="008D479B" w:rsidRDefault="008D479B" w:rsidP="008D479B">
      <w:pPr>
        <w:pStyle w:val="Extracto"/>
      </w:pPr>
    </w:p>
    <w:p w14:paraId="563FA5F7" w14:textId="77777777" w:rsidR="008D479B" w:rsidRDefault="008D479B" w:rsidP="008D479B">
      <w:pPr>
        <w:pStyle w:val="TextoNormal"/>
      </w:pPr>
      <w: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14:paraId="63225A30" w14:textId="486B44EA" w:rsidR="008D479B" w:rsidRDefault="008D479B" w:rsidP="008D479B">
      <w:pPr>
        <w:pStyle w:val="TextoNormal"/>
      </w:pPr>
    </w:p>
    <w:p w14:paraId="688A2A1C" w14:textId="77777777" w:rsidR="008D479B" w:rsidRDefault="008D479B" w:rsidP="008D479B">
      <w:pPr>
        <w:pStyle w:val="TextoNormalCentrado"/>
        <w:keepNext/>
      </w:pPr>
      <w:r>
        <w:t>EN NOMBRE DEL REY</w:t>
      </w:r>
    </w:p>
    <w:p w14:paraId="387E38EA" w14:textId="5D5A3402" w:rsidR="008D479B" w:rsidRDefault="008D479B" w:rsidP="008D479B">
      <w:pPr>
        <w:pStyle w:val="TextoNormalCentrado"/>
        <w:keepNext/>
      </w:pPr>
    </w:p>
    <w:p w14:paraId="64FF09B0" w14:textId="77777777" w:rsidR="008D479B" w:rsidRDefault="008D479B" w:rsidP="008D479B">
      <w:pPr>
        <w:pStyle w:val="TextoNormalCentrado"/>
        <w:keepNext/>
      </w:pPr>
    </w:p>
    <w:p w14:paraId="71F4AA93" w14:textId="77777777" w:rsidR="008D479B" w:rsidRDefault="008D479B" w:rsidP="008D479B">
      <w:pPr>
        <w:pStyle w:val="TextoNormal"/>
      </w:pPr>
      <w:r>
        <w:t>la siguiente</w:t>
      </w:r>
    </w:p>
    <w:p w14:paraId="7C58E16E" w14:textId="78CD2AEC" w:rsidR="008D479B" w:rsidRDefault="008D479B" w:rsidP="008D479B">
      <w:pPr>
        <w:pStyle w:val="TextoNormal"/>
      </w:pPr>
    </w:p>
    <w:p w14:paraId="7AE36DE4" w14:textId="77777777" w:rsidR="008D479B" w:rsidRDefault="008D479B" w:rsidP="008D479B">
      <w:pPr>
        <w:pStyle w:val="TextoNormalCentrado"/>
        <w:keepNext/>
      </w:pPr>
      <w:r>
        <w:t>SENTENCIA</w:t>
      </w:r>
    </w:p>
    <w:p w14:paraId="2A2EA221" w14:textId="5A0E8A7B" w:rsidR="008D479B" w:rsidRDefault="008D479B" w:rsidP="008D479B">
      <w:pPr>
        <w:pStyle w:val="TextoNormalCentrado"/>
        <w:keepNext/>
      </w:pPr>
    </w:p>
    <w:p w14:paraId="7002A291" w14:textId="77777777" w:rsidR="008D479B" w:rsidRDefault="008D479B" w:rsidP="008D479B">
      <w:pPr>
        <w:pStyle w:val="TextoNormal"/>
      </w:pPr>
      <w:r>
        <w:t>En el recurso de amparo núm. 3409-2021, promovido por doña M.C.I.T., representada por la procuradora doña Concepción Hoyos Moliner y asistida por el letrado don José Luis Alabarce Sánchez, contra el auto dictado el 1 de julio de 2020 por el Juzgado de Primera Instancia e Instrucción núm. 3 de Vera, por el que se acordaba el sobreseimiento provisional de las diligencias previas 585-2019, y contra el auto dictado el 26 de marzo de 2021 por la Sección Tercera de la Audiencia Provincial de Almería, por el que se desestimó el recurso de apelación interpuesto contra aquella resolución. Ha comparecido en el procedimiento don D.Z.H., representado por el procurador don Enrique Fernández Aravaca y defendido por el letrado don Francisco Torres Arteaga. Ha intervenido el Ministerio Fiscal. Ha sido ponente la magistrada doña Inmaculada Montalbán Huertas.</w:t>
      </w:r>
    </w:p>
    <w:p w14:paraId="30268C99" w14:textId="11D33E1D" w:rsidR="008D479B" w:rsidRDefault="008D479B" w:rsidP="008D479B">
      <w:pPr>
        <w:pStyle w:val="TextoNormal"/>
      </w:pPr>
    </w:p>
    <w:p w14:paraId="39CF740B" w14:textId="77777777" w:rsidR="008D479B" w:rsidRDefault="008D479B" w:rsidP="008D479B">
      <w:pPr>
        <w:pStyle w:val="TextoNormalNegritaCentrado"/>
        <w:keepNext/>
      </w:pPr>
      <w:r>
        <w:t>I. Antecedentes</w:t>
      </w:r>
    </w:p>
    <w:p w14:paraId="4C2D0E96" w14:textId="7795684E" w:rsidR="008D479B" w:rsidRDefault="008D479B" w:rsidP="008D479B">
      <w:pPr>
        <w:pStyle w:val="TextoNormalNegritaCentrado"/>
        <w:keepNext/>
      </w:pPr>
    </w:p>
    <w:p w14:paraId="080F136E" w14:textId="45690DBF" w:rsidR="008D479B" w:rsidRDefault="008D479B" w:rsidP="008D479B">
      <w:pPr>
        <w:pStyle w:val="TextoNormal"/>
      </w:pPr>
      <w:r w:rsidRPr="008D479B">
        <w:rPr>
          <w:rStyle w:val="NumeroAFNegritaCaracter"/>
        </w:rPr>
        <w:t>1</w:t>
      </w:r>
      <w:r>
        <w:t>. Mediante escrito presentado en el registro de este tribunal el 25 de mayo de 2021, la representación procesal de doña M.C.I.T., interpuso demanda de amparo contra las resoluciones que se citan en el encabezamiento.</w:t>
      </w:r>
    </w:p>
    <w:p w14:paraId="608FDF7E" w14:textId="77777777" w:rsidR="008D479B" w:rsidRDefault="008D479B" w:rsidP="008D479B">
      <w:pPr>
        <w:pStyle w:val="TextoNormal"/>
      </w:pPr>
    </w:p>
    <w:p w14:paraId="781A2743" w14:textId="77777777" w:rsidR="008D479B" w:rsidRDefault="008D479B" w:rsidP="008D479B">
      <w:pPr>
        <w:pStyle w:val="TextoNormal"/>
      </w:pPr>
      <w:r w:rsidRPr="008D479B">
        <w:rPr>
          <w:rStyle w:val="NumeroAFNegritaCaracter"/>
        </w:rPr>
        <w:t>2</w:t>
      </w:r>
      <w:r>
        <w:t>. Los hechos relevantes para resolver el recurso de amparo son los siguientes:</w:t>
      </w:r>
    </w:p>
    <w:p w14:paraId="12E84051" w14:textId="77777777" w:rsidR="008D479B" w:rsidRDefault="008D479B" w:rsidP="008D479B">
      <w:pPr>
        <w:pStyle w:val="TextoNormal"/>
      </w:pPr>
    </w:p>
    <w:p w14:paraId="0D55549B" w14:textId="77777777" w:rsidR="008D479B" w:rsidRDefault="008D479B" w:rsidP="008D479B">
      <w:pPr>
        <w:pStyle w:val="TextoNormal"/>
      </w:pPr>
      <w:r>
        <w:t>a) Denuncia por abusos sexuales sobre menor ante la Guardia Civil y reconocimiento médico: A las 09:30 horas del día 13 de octubre de 2019 doña M.C.I.T., compareció en el cuartel de la Guardia Civil de Garrucha (Almería) con la intención de formular denuncia contra su expareja, don D.Z.H., a quien atribuía la comisión de un delito de abusos sexuales sobre el hijo de ambos, J.Z.I., de cinco años. Los agentes que le atendieron en ese momento le derivaron al hospital La Inmaculada de Huercal Overa (Almería) en ejecución del protocolo para abusos sexuales.</w:t>
      </w:r>
    </w:p>
    <w:p w14:paraId="6D7A93EF" w14:textId="77777777" w:rsidR="008D479B" w:rsidRDefault="008D479B" w:rsidP="008D479B">
      <w:pPr>
        <w:pStyle w:val="TextoNormal"/>
      </w:pPr>
    </w:p>
    <w:p w14:paraId="17035E13" w14:textId="77777777" w:rsidR="008D479B" w:rsidRDefault="008D479B" w:rsidP="008D479B">
      <w:pPr>
        <w:pStyle w:val="TextoNormal"/>
      </w:pPr>
      <w:r>
        <w:t>A las 12:00 horas del mismo día el hijo de doña M.C.I.T., y don D.Z.H., fue examinado en el hospital La Inmaculada por el pediatra de guardia y el médico forense asignado al caso por el instituto de medicina legal de Almería. El forense informó por escrito que “[e]l menor relata tocamientos en sus genitales por parte del padre, no se observan lesiones en el área genital, ni en el resto del organismo. Buen estado psíquico”.</w:t>
      </w:r>
    </w:p>
    <w:p w14:paraId="6D66327D" w14:textId="77777777" w:rsidR="008D479B" w:rsidRDefault="008D479B" w:rsidP="008D479B">
      <w:pPr>
        <w:pStyle w:val="TextoNormal"/>
      </w:pPr>
    </w:p>
    <w:p w14:paraId="6BFE1FE4" w14:textId="77777777" w:rsidR="008D479B" w:rsidRDefault="008D479B" w:rsidP="008D479B">
      <w:pPr>
        <w:pStyle w:val="TextoNormal"/>
      </w:pPr>
      <w:r>
        <w:t xml:space="preserve">b) Denuncia formulada ante la Guardia Civil: A las 10:30 horas del día 14 de octubre de 2019 doña M.C.I.T., compareció nuevamente ante la Guardia Civil de Garrucha a fin de prestar declaración y manifestó que: (i) se encontraba separada del padre de su hijo, don D.Z.H., desde hacía cuatro años, habiéndose establecido por el juzgado de Vera un régimen de visitas entre el padre y el hijo consistente en fines de semana alternos, pero que, </w:t>
      </w:r>
      <w:r w:rsidRPr="008D479B">
        <w:rPr>
          <w:i/>
        </w:rPr>
        <w:t>de facto</w:t>
      </w:r>
      <w:r>
        <w:t xml:space="preserve">, venía cumpliéndose mediante visitas semanales que se llevaban a cabo todos los sábados; (ii) en el transcurso de la visita que don D.Z.H., realizó a su hijo el sábado 12 de octubre en el domicilio materno porque el menor se encontraba enfermo, sorprendió al padre con la mano derecha introducida en el pantalón del niño por la zona de la pierna izquierda, realizándole tocamientos en los genitales, mientras ambos estaban echados en el sofá </w:t>
      </w:r>
      <w:r w:rsidRPr="008D479B">
        <w:rPr>
          <w:i/>
        </w:rPr>
        <w:t>chaise longue</w:t>
      </w:r>
      <w:r>
        <w:t xml:space="preserve"> del salón de la vivienda; (iii) en ese momento gritó “¿qué está pasando aquí?”, ante lo cual don D.Z.H., retiró la mano y el niño contestó “uyyyy … que nos han pillao”, y, tras desplazarse a otra zona del salón, añadió “estamos jugando con la mano del papá”, lo que provocó que don D.Z.H., dirigiera una mirada amenazante al menor, que volvió a insistir “estábamos jugando … y con el pie”; (iv) en el transcurso de esta acción doña M.C.I.T., pudo observar que el niño estaba en estado de erección y trataba de ocultarlo con las manos; (v) tras el incidente subió con su hijo a la planta superior de la vivienda y don D.Z.H., se quedó en el salón, echado en el sofá; (vi) durante la tarde de ese día trató de hacer que su hijo le contase lo que había sucedido, lográndolo finalmente gracias a la ayuda de unos cuentos infantiles para prevenir abusos sexuales a menores que encontró en Internet, relatándole el niño que cuando la declarante entró en el salón “el papá le estaba tocando el pito” y que con la mirada que le echó entendió que no debía decir nada, manifestaciones que ella misma grabó con su teléfono móvil y aportó a la Guardia Civil de Garrucha; (vii) en otro momento de la tarde del mismo día 12 de octubre el niño le contó que el padre le hacía verificar si ella se encontraba en algún lugar cercano desde donde pudiera verlos, preguntando seguidamente “tú ¿cómo lo has sabido?”, y cuando ella respondió que estaba detrás de la puerta al bajar desde la planta de arriba, el niño replicó “si detrás de la puerta no había nadie, ¿cómo lo has sabido?”; (viii) durante esa noche se puso en contacto telefónico con la Fundación Ayuda a Niños y Adolescentes en Riesgo (ANAR), y fueron los profesionales que le atendieron quienes le indicaron que debía formular la correspondiente denuncia, cosa que hizo a la mañana siguiente; (ix) durante la espera en el hospital, al que había sido derivada por la Guardia Civil, el niño volvió a preguntarle “¿es que las otras veces también me has visto?”; (x) ella salió entonces de la consulta para transmitir al agente de la policía judicial que les había acompañado lo que el menor acababa de preguntarle, y cuando el agente preguntó al niño si esto había sucedido más veces, el niño respondió “a lo mejor no, pero creo que sí”.</w:t>
      </w:r>
    </w:p>
    <w:p w14:paraId="0418B95D" w14:textId="77777777" w:rsidR="008D479B" w:rsidRDefault="008D479B" w:rsidP="008D479B">
      <w:pPr>
        <w:pStyle w:val="TextoNormal"/>
      </w:pPr>
    </w:p>
    <w:p w14:paraId="6DB126D8" w14:textId="77777777" w:rsidR="008D479B" w:rsidRDefault="008D479B" w:rsidP="008D479B">
      <w:pPr>
        <w:pStyle w:val="TextoNormal"/>
      </w:pPr>
      <w:r>
        <w:t>c) Auto del juzgado incoando diligencias previas y ordenando la práctica de diligencias: El 28 de octubre de 2019 el Juzgado de Primera Instancia e Instrucción núm. 3 de Vera dictó auto incoando las diligencias previas 585-2019 y acordó, como diligencias de investigación a practicar, la declaración de doña M.C.I.T., con ofrecimiento de acciones, la declaración de don D.Z.H. ,en calidad de investigado, el reconocimiento forense del menor y la incorporación a las actuaciones de la hoja histórico-penal del investigado.</w:t>
      </w:r>
    </w:p>
    <w:p w14:paraId="74C12D72" w14:textId="77777777" w:rsidR="008D479B" w:rsidRDefault="008D479B" w:rsidP="008D479B">
      <w:pPr>
        <w:pStyle w:val="TextoNormal"/>
      </w:pPr>
    </w:p>
    <w:p w14:paraId="237B4107" w14:textId="77777777" w:rsidR="008D479B" w:rsidRDefault="008D479B" w:rsidP="008D479B">
      <w:pPr>
        <w:pStyle w:val="TextoNormal"/>
      </w:pPr>
      <w:r>
        <w:t>d) Declaración de la denunciante: El 30 de octubre de 2019 doña M.C.I.T., prestó declaración en sede judicial y ratificó la prestada ante la Guardia Civil de Garrucha, aclarando que tras decirle su hijo que “estaba jugando con la mano del papá”, ella decidió no decir nada y subirse a la planta superior de la vivienda sola, mientras don D.Z.H., y el niño se echaban la siesta en el salón, aunque ella subía y bajaba para controlar y ver lo que iba pasando, y que fue precisamente durante este intervalo de tiempo que buscó en internet pautas para reaccionar ante la situación, y encontró los cuentos infantiles que facilitaron a su hijo el relato de lo ocurrido.</w:t>
      </w:r>
    </w:p>
    <w:p w14:paraId="535AD9F8" w14:textId="77777777" w:rsidR="008D479B" w:rsidRDefault="008D479B" w:rsidP="008D479B">
      <w:pPr>
        <w:pStyle w:val="TextoNormal"/>
      </w:pPr>
    </w:p>
    <w:p w14:paraId="346D0D82" w14:textId="77777777" w:rsidR="008D479B" w:rsidRDefault="008D479B" w:rsidP="008D479B">
      <w:pPr>
        <w:pStyle w:val="TextoNormal"/>
      </w:pPr>
      <w:r>
        <w:t>e) Declaración del denunciado en calidad de investigado: El 31 de octubre de 2019 don D.Z.H., prestó declaración como investigado en sede judicial, y negó los hechos relatados por doña M.C.I.T. Manifestó que el día 12 de octubre transcurrió sin incidencia o pelea de ninguna clase hasta el momento en que él se dispuso a abandonar la vivienda de doña M.C.I.T. En ese momento se produjo una discusión entre ellos debido a que él reclamaba su derecho a cumplir las visitas en el modo estipulado en la sentencia —con pernocta— y la madre se negaba a ello porque, como consecuencia de una enfermedad crónica que sufre el niño, tiene un sentido de sobreprotección exagerado y considera que él no se encuentra capacitado para tenerlo consigo. Afirmó que en el transcurso de esa discusión él le dijo a doña M.C.I.T., que tomaría las medidas legales oportunas para que se ejecutase la sentencia en sus propios términos, y doña M.C.I.T., respondió que ella tomaría las medidas legales oportunas para que no se llevara al niño.</w:t>
      </w:r>
    </w:p>
    <w:p w14:paraId="227EEA05" w14:textId="77777777" w:rsidR="008D479B" w:rsidRDefault="008D479B" w:rsidP="008D479B">
      <w:pPr>
        <w:pStyle w:val="TextoNormal"/>
      </w:pPr>
    </w:p>
    <w:p w14:paraId="53E353A2" w14:textId="77777777" w:rsidR="008D479B" w:rsidRDefault="008D479B" w:rsidP="008D479B">
      <w:pPr>
        <w:pStyle w:val="TextoNormal"/>
      </w:pPr>
      <w:r>
        <w:t>f) Oficio a la Fundación Márgenes y Vínculos: El 11 de noviembre de 2019 se dictó por el juzgado providencia acordando oficiar a la Fundación Márgenes y Vínculos, encargada por la Junta de Andalucía de desarrollar el programa de evaluación, diagnóstico y tratamiento de menores víctimas de violencia sexual en la provincia de Almería, a fin de que efectuase seguimiento y evaluación del hijo menor de doña M.C.I.T., y don D.Z.H., y, a la vista del mismo, informase acerca de la conveniencia y utilidad de efectuar una prueba preconstituida de exploración del menor.</w:t>
      </w:r>
    </w:p>
    <w:p w14:paraId="1891A9B3" w14:textId="77777777" w:rsidR="008D479B" w:rsidRDefault="008D479B" w:rsidP="008D479B">
      <w:pPr>
        <w:pStyle w:val="TextoNormal"/>
      </w:pPr>
    </w:p>
    <w:p w14:paraId="3AE8B8BC" w14:textId="77777777" w:rsidR="008D479B" w:rsidRDefault="008D479B" w:rsidP="008D479B">
      <w:pPr>
        <w:pStyle w:val="TextoNormal"/>
      </w:pPr>
      <w:r>
        <w:t>g) Personación de doña M.C.I.T., como acusación particular: El 14 de enero de 2020 doña M.C.I.T., solicitó al juzgado el nombramiento de abogado de oficio para su hijo menor, procediendo el Colegio Oficial de Abogados de Almería el mismo día a designar provisionalmente al letrado don Miguel Sánchez Sánchez. El día 20 de enero, el Colegio Oficial de Abogados de Almería comunicó al juzgado la designación de la procuradora doña Isabel María Sáez Alcázar y del letrado don Francisco Campra Madrid para asumir, respectivamente, la representación y defensa de doña M.C.I.T., en la causa.</w:t>
      </w:r>
    </w:p>
    <w:p w14:paraId="66684DAA" w14:textId="77777777" w:rsidR="008D479B" w:rsidRDefault="008D479B" w:rsidP="008D479B">
      <w:pPr>
        <w:pStyle w:val="TextoNormal"/>
      </w:pPr>
    </w:p>
    <w:p w14:paraId="1C44A40C" w14:textId="77777777" w:rsidR="008D479B" w:rsidRDefault="008D479B" w:rsidP="008D479B">
      <w:pPr>
        <w:pStyle w:val="TextoNormal"/>
      </w:pPr>
      <w:r>
        <w:t>h) Informe de la Fundación Márgenes y Vínculos: El 1 de junio de 2020 fue incorporado a la causa el informe de evaluación y diagnóstico elaborado por la Fundación Márgenes y Vínculos. Tras exponer la metodología seguida para su elaboración —que incluyó tres entrevistas con el menor y dos con la madre, todas ellas desarrolladas en febrero de 2020—, hacía una descripción del niño, de su entorno y del relato que hizo de los episodios de violencia sexual infantil durante las entrevistas. Finalmente recogía las siguientes conclusiones: (i) el menor verbalizó durante las sesiones de evaluación haber sufrido tocamientos en el pene por parte de su padre; (ii) el testimonio del menor podía catalogarse de “poco creíble” en relación a los supuestos hechos relatados, atendiendo a la valoración conjunta de los resultados del análisis de contenido basado en criterios (CBCA; Steller y Köehnken, 1989) y del listado de validez; (iii) pese a que en el análisis del testimonio ofrecido por el menor se detectaban elementos centrales, estos presentaban inconsistencias y falta de coherencia que afectaban directamente a la validez del testimonio, a lo que se sumaban factores, como la diferencia en los vínculos de apego hacia sus dos progenitores y el contexto de revelación, que habían podido influir en sus verbalizaciones y la interpretación que hacía de sus experiencias; (iv) J. verbalizaba otros supuestos episodios que, si bien le incomodaban y disgustaban, carecían de características suficientes que resultasen compatibles con violencia sexual; (v) pese a que el menor expresaba enfado ante el hecho de que su padre hubiera mantenido los supuestos tocamientos hacia él, rechazando esta conducta y valorándola negativamente, en el momento de la evaluación no se detectaba sintomatología clínica significativa relacionada directamente con la hallada en la literatura científica sobre violencia sexual; (vi) el testimonio ofrecido por el menor durante la evaluación no resultaba compatible con una situación de violencia sexual. Del informe de la Fundación Márgenes y Vínculos se dio traslado al Ministerio Fiscal y al letrado don Miguel Sánchez Sánchez.</w:t>
      </w:r>
    </w:p>
    <w:p w14:paraId="521880D8" w14:textId="77777777" w:rsidR="008D479B" w:rsidRDefault="008D479B" w:rsidP="008D479B">
      <w:pPr>
        <w:pStyle w:val="TextoNormal"/>
      </w:pPr>
    </w:p>
    <w:p w14:paraId="78D3DBB6" w14:textId="77777777" w:rsidR="008D479B" w:rsidRDefault="008D479B" w:rsidP="008D479B">
      <w:pPr>
        <w:pStyle w:val="TextoNormal"/>
      </w:pPr>
      <w:r>
        <w:t>i) Petición de sobreseimiento del Ministerio Fiscal: Por informe de 17 de junio de 2020 el Ministerio Fiscal interesó el sobreseimiento provisional de la causa al amparo de los arts. 641.2 y 779.1.1 de la Ley de enjuiciamiento criminal (LECrim), por considerar que no quedaba suficientemente acreditada la perpetración de la infracción penal a la vista del referido informe.</w:t>
      </w:r>
    </w:p>
    <w:p w14:paraId="1E866394" w14:textId="77777777" w:rsidR="008D479B" w:rsidRDefault="008D479B" w:rsidP="008D479B">
      <w:pPr>
        <w:pStyle w:val="TextoNormal"/>
      </w:pPr>
    </w:p>
    <w:p w14:paraId="5DF99A44" w14:textId="77777777" w:rsidR="008D479B" w:rsidRDefault="008D479B" w:rsidP="008D479B">
      <w:pPr>
        <w:pStyle w:val="TextoNormal"/>
      </w:pPr>
      <w:r>
        <w:t xml:space="preserve">j) Personación de doña M.C.I.T., con representación y defensa de libre designación: A través de escrito de 8 de junio de 2020, doña M.C.I.T., solicitó formalmente su personación en la causa, designando procurador y letrado de libre elección para asumir su representación y defensa, respectivamente, y el día 29 de junio llevó a cabo la comparecencia </w:t>
      </w:r>
      <w:r w:rsidRPr="008D479B">
        <w:rPr>
          <w:i/>
        </w:rPr>
        <w:t>apud acta</w:t>
      </w:r>
      <w:r>
        <w:t xml:space="preserve"> ante el juzgado para formalizar el poder de representación concedido a tales profesionales. En el mismo acto se dio traslado del informe de la Fundación Márgenes y Vínculos a doña M.C.I.T.</w:t>
      </w:r>
    </w:p>
    <w:p w14:paraId="55FE1744" w14:textId="77777777" w:rsidR="008D479B" w:rsidRDefault="008D479B" w:rsidP="008D479B">
      <w:pPr>
        <w:pStyle w:val="TextoNormal"/>
      </w:pPr>
    </w:p>
    <w:p w14:paraId="227F323B" w14:textId="77777777" w:rsidR="008D479B" w:rsidRDefault="008D479B" w:rsidP="008D479B">
      <w:pPr>
        <w:pStyle w:val="TextoNormal"/>
      </w:pPr>
      <w:r>
        <w:t>k) Auto de sobreseimiento provisional: El 1 de julio de 2020 el Juzgado de Primera Instancia e Instrucción núm. 3 de Vera dictó auto de sobreseimiento provisional y archivo de las diligencias previas 585-2019, al amparo de lo dispuesto en los arts. 641.1 y 779.1.1 LECrim, argumentando que “[d]e lo actuado no aparece debidamente justificada la perpetración del delito que ha dado motivo a la formación de la causa”.</w:t>
      </w:r>
    </w:p>
    <w:p w14:paraId="7241098D" w14:textId="77777777" w:rsidR="008D479B" w:rsidRDefault="008D479B" w:rsidP="008D479B">
      <w:pPr>
        <w:pStyle w:val="TextoNormal"/>
      </w:pPr>
    </w:p>
    <w:p w14:paraId="3CF6CB61" w14:textId="77777777" w:rsidR="008D479B" w:rsidRDefault="008D479B" w:rsidP="008D479B">
      <w:pPr>
        <w:pStyle w:val="TextoNormal"/>
      </w:pPr>
      <w:r>
        <w:t>l) Recurso de reforma y subsidiario de apelación: El 23 de julio se interpuso por la representación procesal de doña M.C.I.T., recurso de reforma y subsidiario de apelación contra el auto de 1 de julio alegando, en síntesis: (i) falta de motivación de la resolución recurrida, absolutamente estándar y estereotipada, que ni siquiera de forma sucinta esgrime los motivos por los que decide acordar el sobreseimiento; (ii) incumplimiento de los presupuestos legales para adoptar la decisión de sobreseimiento provisional al amparo del art. 641.1 LECrim, habida cuenta de que esta decisión se reserva para los supuestos en que, existiendo indicios racionales de criminalidad, no hay expectativas razonables de poder probar la perpetración del hecho criminal al haberse agotado las vías para seguir la instrucción; y en el presente caso no solo no se han agotado las vías para seguir la instrucción, puesto que existen diligencias de investigación útiles y pertinentes que podrían practicarse para esclarecer los hechos denunciados, sino que, además, existe ya suficiente material probatorio en la investigación como para justificar la transformación de la causa en procedimiento abreviado; (iii) vulneración del derecho a la tutela judicial efectiva de la recurrente con quiebra de los principios de inmediación y contradicción respecto del informe pericial elaborado por la Fundación Márgenes y Vínculos, al impedir el sobreseimiento su ratificación en el juicio oral y, con ello, que las partes pudieran someter a preguntas a sus autores. Se solicitaba, en consecuencia, que se revocase el auto impugnado y se dictara en su lugar auto acordando la transformación de las diligencias previas en procedimiento abreviado. Se interesaba también que con carácter previo a la apertura del juicio oral se procediera a la exploración del menor, J.Z.I., mediante prueba preconstituida que fuera llevada luego al plenario, “para evitar la doble victimización del menor”, y a la práctica de pericial de parte, consistente en informe de contraste emitido por experto en abusos sexuales a personas menores de edad, que habrá de ser sometido, como el informe de la fundación antes aludido, a los principios de inmediación y contradicción.</w:t>
      </w:r>
    </w:p>
    <w:p w14:paraId="0881EBA9" w14:textId="77777777" w:rsidR="008D479B" w:rsidRDefault="008D479B" w:rsidP="008D479B">
      <w:pPr>
        <w:pStyle w:val="TextoNormal"/>
      </w:pPr>
    </w:p>
    <w:p w14:paraId="312D0AA4" w14:textId="77777777" w:rsidR="008D479B" w:rsidRDefault="008D479B" w:rsidP="008D479B">
      <w:pPr>
        <w:pStyle w:val="TextoNormal"/>
      </w:pPr>
      <w:r>
        <w:t>m) Auto desestimatorio del recurso de reforma, dictado el 2 de diciembre de 2020 por el Juzgado de Primera Instancia e Instrucción núm. 3 de Vera en base a que, de las diligencias practicadas, no se estima suficientemente justificada la perpetración de los hechos por los siguientes motivos: (i) la aseveración recogida en el informe forense relativa a que el menor refiere tocamientos ha sido elaborada por el propio médico forense, desconociéndose de qué forma y con qué palabras o expresiones relató el menor lo sucedido; (ii) el dictamen elaborado por los técnicos de la Fundación Márgenes y Vínculos (que la resolución transcribe literalmente) determina que “no cabe otorgar plena credibilidad y verosimilitud a las manifestaciones de la denunciante y del propio menor, a la vista de la existencia de incoherencias”; (iii) en la persona del progenitor investigado tampoco concurren circunstancias personales que permitan apreciar indicios de dicho tipo de conductas delictivas, a la vista de que el mismo carece de antecedentes penales y “manifiesta tener problemas con la denunciante para poder tener al menor en su compañía desde que se establecieron judicialmente las medidas paternofiliales, añadiendo que no le permite efectuar pernoctas con el menor y que en su opinión posee un instinto de sobreprotección exagerado debido a una enfermedad que el menor padece”; y (iv) la denunciante también incurre en incoherencias en su testimonio ya que en sede policial afirmó que tras presenciar los hechos se subió con su hijo a la planta superior de la vivienda, y en sede judicial manifestó que en ese momento decidió no decir nada y subir ella sola a la planta superior, mientras padre e hijo se quedaban en el salón echándose la siesta, aunque subía y bajaba para controlar lo que iba pasando.</w:t>
      </w:r>
    </w:p>
    <w:p w14:paraId="581B339F" w14:textId="77777777" w:rsidR="008D479B" w:rsidRDefault="008D479B" w:rsidP="008D479B">
      <w:pPr>
        <w:pStyle w:val="TextoNormal"/>
      </w:pPr>
    </w:p>
    <w:p w14:paraId="192B96AC" w14:textId="77777777" w:rsidR="008D479B" w:rsidRDefault="008D479B" w:rsidP="008D479B">
      <w:pPr>
        <w:pStyle w:val="TextoNormal"/>
      </w:pPr>
      <w:r>
        <w:t>n) Auto resolutorio del recurso de apelación: El recurso de apelación interpuesto con carácter subsidiario fue resuelto por la Sección Tercera de la Audiencia Provincial de Almería mediante auto dictado el 26 de marzo de 2021, que acordó su desestimación y la confirmación de la resolución recurrida por las siguientes razones: (i) la falta de motivación del auto de sobreseimiento provisional de 1 de julio de 2020 quedó subsanada a través del auto resolutorio del recurso de reforma, en que se detallaron minuciosamente las razones de la decisión de sobreseimiento; (ii) concurrencia de los presupuestos legales para la aplicación del sobreseimiento regulado en el art. 641.1 LECrim en relación con el art. 779 LECrim, dado que la instrucción no había permitido acopiar elementos probatorios suficientes para sustentar, siquiera por vía indiciaria, la comisión por el investigado de los delitos que le atribuye la recurrente, juicio que se sustentaba en exactamente las mismas razones expuestas en el auto resolutorio del recurso de reforma, que la Audiencia Provincial transcribió e hizo propias en su resolución.</w:t>
      </w:r>
    </w:p>
    <w:p w14:paraId="091E29C9" w14:textId="77777777" w:rsidR="008D479B" w:rsidRDefault="008D479B" w:rsidP="008D479B">
      <w:pPr>
        <w:pStyle w:val="TextoNormal"/>
      </w:pPr>
    </w:p>
    <w:p w14:paraId="18451956" w14:textId="76BFF1AC" w:rsidR="008D479B" w:rsidRDefault="008D479B" w:rsidP="008D479B">
      <w:pPr>
        <w:pStyle w:val="TextoNormal"/>
      </w:pPr>
      <w:r>
        <w:t xml:space="preserve">En relación con las nuevas diligencias de investigación propuestas por la recurrente, la audiencia adujo, con cita de diversas sentencias de este tribunal, que el </w:t>
      </w:r>
      <w:r w:rsidRPr="008D479B">
        <w:rPr>
          <w:i/>
        </w:rPr>
        <w:t>ius ut procedatur</w:t>
      </w:r>
      <w:r>
        <w:t xml:space="preserve"> que ostentaba el perjudicado personado no equivalía a un derecho absoluto a la apertura y sustanciación del proceso penal, sino tan solo el derecho a obtener una decisión judicial razonada sobre las pretensiones deducidas; de manera que no vulneraría el derecho a la tutela judicial efectiva la resolución que acordase la terminación anticipada del proceso penal, sin apertura de la fase de plenario, cuando se sustentara razonablemente en la concurrencia de los motivos legalmente previstos de sobreseimiento libre o provisional. En el caso concreto, continúa diciendo, “han sido practicadas cuantas diligencias podían contribuir al esclarecimiento de los hechos” y “la instrucción no ha permitido acopiar elementos probatorios suficientes para sustentar siquiera por vía indiciaria la comisión por parte del investigado de los delitos que le atribuye la recurrente”. Conclusión que la sala asienta en la revisión de las actuaciones realizadas, que reitera haciendo hincapié en que las psicólogas autoras del informe no recomiendan un nuevo testimonio del menor, “que podría afectar a su adaptación positiva y despertar en el menor inseguridades y miedos que afecten a su bienestar”.</w:t>
      </w:r>
    </w:p>
    <w:p w14:paraId="7B47ECFD" w14:textId="77777777" w:rsidR="008D479B" w:rsidRDefault="008D479B" w:rsidP="008D479B">
      <w:pPr>
        <w:pStyle w:val="TextoNormal"/>
      </w:pPr>
    </w:p>
    <w:p w14:paraId="709B9791" w14:textId="77777777" w:rsidR="008D479B" w:rsidRDefault="008D479B" w:rsidP="008D479B">
      <w:pPr>
        <w:pStyle w:val="TextoNormal"/>
      </w:pPr>
      <w:r w:rsidRPr="008D479B">
        <w:rPr>
          <w:rStyle w:val="NumeroAFNegritaCaracter"/>
        </w:rPr>
        <w:t>3</w:t>
      </w:r>
      <w:r>
        <w:t>. En la demanda de amparo, la recurrente alega que se han vulnerado su “derecho de defensa y tutela judicial efectiva, con quiebra de los principios de contradicción e inmediación”. Alega en apoyo de dicha afirmación lo siguiente: (i) el auto de sobreseimiento provisional —dictado el 1 de julio por el Juzgado de Primera Instancia e Instrucción núm. 3 de Vera— es una resolución “tipo” que carece de la motivación mínima necesaria para identificar los detalles del caso y las razones concretas por las que se adopta la decisión de archivo, lo que constituye un incumplimiento claro de la doctrina constitucional en materia de motivación de las resoluciones judiciales; (ii) la decisión de sobreseer y archivar el caso se apoya exclusivamente en el informe emitido por la Fundación Márgenes y Vínculos, cuyo contenido se asume íntegramente por las resoluciones judiciales de forma acrítica, lo que supone un desplazamiento de la función de juzgar del juez al perito, contraria a lo dispuesto en el art. 741 LECrim y en la propia Constitución; (iii) se ha incumplido también la obligación de valoración conjunta de la prueba dado que se ignoran los restantes medios de prueba obrantes en las actuaciones —declaración de la propia recurrente que fue testigo directa de los hechos, informe forense y grabación de las manifestaciones del menor incorporada a las actuaciones—, así como las nuevas diligencias de investigación propuestas por la recurrente, que resultaban útiles y pertinentes; (iv) ese informe de la Fundación Márgenes y Vínculos —utilizado como elemento nuclear para justificar la decisión de sobreseimiento y archivo— no ha sido sometido a contradicción de las partes con todas las garantías, señaladamente la garantía de inmediación, dado que la ratificación de los informes periciales está prevista por la LECrim para la fase de juicio oral y las resoluciones recurridas vedan precisamente el acceso a dicha fase, de modo que el incumplimiento del requisito de ratificación de los peritos ante el tribunal sentenciador ha privado a la recurrente (que ostenta la condición de acusadora particular en las diligencias previas) de toda posibilidad de formular preguntas, pedir aclaraciones a los peritos, presentar objeciones a las aseveraciones contenidas en el informe, o presentar, incluso, informe pericial contradictorio en el momento procesal oportuno, lo que “podría dar lugar a la insatisfacción del derecho a la prueba” y constituye una clara vulneración del principio acusatorio y de su derecho a un proceso con todas las garantías; (v) las resoluciones recurridas no tienen en cuenta el principio de protección del interés superior del menor, que en estos casos se concreta en la necesidad de impulsar la investigación y proteger a las víctimas menores, teniendo presente la dificultad intrínseca de probar hechos de esta naturaleza —dada la ausencia de secuelas físicas y la edad (en este caso muy corta) de tales víctimas, y el riesgo de reincidencia en la conducta—, lo cual exige aplicar un componente de máxima cautela en el cumplimiento de las obligaciones de protección que incumben al Estado.</w:t>
      </w:r>
    </w:p>
    <w:p w14:paraId="0CA2D1CE" w14:textId="77777777" w:rsidR="008D479B" w:rsidRDefault="008D479B" w:rsidP="008D479B">
      <w:pPr>
        <w:pStyle w:val="TextoNormal"/>
      </w:pPr>
    </w:p>
    <w:p w14:paraId="0190B46D" w14:textId="0DC1561F" w:rsidR="008D479B" w:rsidRDefault="008D479B" w:rsidP="008D479B">
      <w:pPr>
        <w:pStyle w:val="TextoNormal"/>
      </w:pPr>
      <w:r>
        <w:t>En el suplico de la demanda la recurrente solicita que: (i) se reconozca vulnerado su derecho a la tutela judicial efectiva por falta de motivación del auto de 1 de julio de 2020; (ii) se reconozca vulnerado su derecho a la tutela judicial efectiva, por quiebra de los principios de inmediación y contradicción respecto del informe pericial obrante en autos de la Fundación Márgenes y Vínculos, lo que conlleva necesariamente la continuación de las diligencias previas en procedimiento abreviado; (iii) se declare la nulidad del auto de sobreseimiento provisional dictado el 1 de julio de 2020 por el Juzgado de Primera Instancia e Instrucción núm. 3 de Vera y de la resolución que lo confirma, dictada el 26 de marzo de 2021 por la Sección Tercera de la Audiencia Provincial de Almería; y (iv) se restablezca a la recurrente en la integridad de sus derechos.</w:t>
      </w:r>
    </w:p>
    <w:p w14:paraId="35B12F44" w14:textId="77777777" w:rsidR="008D479B" w:rsidRDefault="008D479B" w:rsidP="008D479B">
      <w:pPr>
        <w:pStyle w:val="TextoNormal"/>
      </w:pPr>
    </w:p>
    <w:p w14:paraId="65408103" w14:textId="551A4168" w:rsidR="008D479B" w:rsidRDefault="008D479B" w:rsidP="008D479B">
      <w:pPr>
        <w:pStyle w:val="TextoNormal"/>
      </w:pPr>
      <w:r w:rsidRPr="008D479B">
        <w:rPr>
          <w:rStyle w:val="NumeroAFNegritaCaracter"/>
        </w:rPr>
        <w:t>4</w:t>
      </w:r>
      <w:r>
        <w:t>. El 4 de abril de 2022 la Sala Primera del Tribunal Constitucional dictó providencia en la que acordó admitir a trámite el recurso de amparo, apreciando que el recurso plantea un problema o afecta a una faceta de un derecho fundamental sobre el que no hay doctrina de este tribunal [STC 155/2009, de 25 de junio, FJ 2 a)]. En la misma providencia se acordó requerir al Juzgado de Primera Instancia e Instrucción núm. 3 de Vera la remisión del testimonio de las actuaciones y el emplazamiento de quienes hubieran sido parte en el procedimiento para que pudiesen comparecer en el plazo de diez días en el proceso de amparo, excepto la parte demandante.</w:t>
      </w:r>
    </w:p>
    <w:p w14:paraId="60421949" w14:textId="77777777" w:rsidR="008D479B" w:rsidRDefault="008D479B" w:rsidP="008D479B">
      <w:pPr>
        <w:pStyle w:val="TextoNormal"/>
      </w:pPr>
    </w:p>
    <w:p w14:paraId="035D4F5B" w14:textId="2DB9FFA5" w:rsidR="008D479B" w:rsidRDefault="008D479B" w:rsidP="008D479B">
      <w:pPr>
        <w:pStyle w:val="TextoNormal"/>
      </w:pPr>
      <w:r w:rsidRPr="008D479B">
        <w:rPr>
          <w:rStyle w:val="NumeroAFNegritaCaracter"/>
        </w:rPr>
        <w:t>5</w:t>
      </w:r>
      <w:r>
        <w:t>. Mediante escrito presentado ante este tribunal el 26 de mayo de 2022, el procurador don Enrique Fernández Aravaca compareció en el procedimiento en nombre y representación de don D.Z.H.</w:t>
      </w:r>
    </w:p>
    <w:p w14:paraId="03D894E0" w14:textId="77777777" w:rsidR="008D479B" w:rsidRDefault="008D479B" w:rsidP="008D479B">
      <w:pPr>
        <w:pStyle w:val="TextoNormal"/>
      </w:pPr>
    </w:p>
    <w:p w14:paraId="31BD29D7" w14:textId="7437323C" w:rsidR="008D479B" w:rsidRDefault="008D479B" w:rsidP="008D479B">
      <w:pPr>
        <w:pStyle w:val="TextoNormal"/>
      </w:pPr>
      <w:r w:rsidRPr="008D479B">
        <w:rPr>
          <w:rStyle w:val="NumeroAFNegritaCaracter"/>
        </w:rPr>
        <w:t>6</w:t>
      </w:r>
      <w:r>
        <w:t>. Por diligencia de ordenación de 27 de mayo de 2022 la Sala Primera del Tribunal tuvo por personado a don D.Z.H., y concedió a la recurrente en amparo, a la parte personada y al Ministerio Fiscal [de conformidad con el art. 52 de la Ley Orgánica del Tribunal Constitucional (LOTC)] el plazo común de veinte días para formular alegaciones.</w:t>
      </w:r>
    </w:p>
    <w:p w14:paraId="7FD0DE44" w14:textId="77777777" w:rsidR="008D479B" w:rsidRDefault="008D479B" w:rsidP="008D479B">
      <w:pPr>
        <w:pStyle w:val="TextoNormal"/>
      </w:pPr>
    </w:p>
    <w:p w14:paraId="16DC5A5F" w14:textId="1E83A104" w:rsidR="008D479B" w:rsidRDefault="008D479B" w:rsidP="008D479B">
      <w:pPr>
        <w:pStyle w:val="TextoNormal"/>
      </w:pPr>
      <w:r w:rsidRPr="008D479B">
        <w:rPr>
          <w:rStyle w:val="NumeroAFNegritaCaracter"/>
        </w:rPr>
        <w:t>7</w:t>
      </w:r>
      <w:r>
        <w:t>. La representación procesal de doña M.C.I.T., presentó escrito de alegaciones el 27 de junio de 2022, reiterando en esencia el contenido de su demanda inicial.</w:t>
      </w:r>
    </w:p>
    <w:p w14:paraId="2CF624F1" w14:textId="77777777" w:rsidR="008D479B" w:rsidRDefault="008D479B" w:rsidP="008D479B">
      <w:pPr>
        <w:pStyle w:val="TextoNormal"/>
      </w:pPr>
    </w:p>
    <w:p w14:paraId="1FED6974" w14:textId="2F7EE1B6" w:rsidR="008D479B" w:rsidRDefault="008D479B" w:rsidP="008D479B">
      <w:pPr>
        <w:pStyle w:val="TextoNormal"/>
      </w:pPr>
      <w:r w:rsidRPr="008D479B">
        <w:rPr>
          <w:rStyle w:val="NumeroAFNegritaCaracter"/>
        </w:rPr>
        <w:t>8</w:t>
      </w:r>
      <w:r>
        <w:t>. La representación procesal de don D.Z.H., presentó escrito de alegaciones el mismo día 27 de junio de 2022, oponiéndose al recurso de amparo por las siguientes razones: (i) no se ha producido vulneración del derecho a la tutela judicial efectiva de la recurrente en amparo por falta de motivación de las resoluciones recurridas ya que, si bien es cierto que el auto dictado por el Juzgado de Primera Instancia e Instrucción núm. 3 de Vera el 1 de julio de 2020 puede ser “poco profuso” en su motivación, no es menos cierto que el auto de 2 de diciembre de 2020 —que resuelve el recurso de reforma interpuesto contra aquel y confirma el sobreseimiento— explica pormenorizadamente los motivos por los que fue adoptada dicha decisión, motivos que el auto dictado el 26 de marzo de 2021 por la Audiencia Provincial de Almería expuso igualmente y confirmó; (ii) tampoco hay vulneración del derecho a un proceso con todas las garantías por quiebra de los principios de contradicción e inmediación, pues no es en la fase de instrucción en la que se interroga a los peritos, sino en la fase de juicio oral, con lo que el cierre del procedimiento en fase de instrucción sin que se haya llevado a cabo una ratificación judicial del informe emitido por la Fundación Márgenes y Vínculos es conforme a derecho; (iii) la decisión de sobreseer el procedimiento en fase de instrucción resulta razonable teniendo en cuenta las contundentes conclusiones del informe de la Fundación Márgenes y Vínculos en cuanto a la falta de credibilidad del menor, sumadas a las contradicciones en que incurrió la propia recurrente en sus declaraciones ante la Guardia Civil y en sede judicial.</w:t>
      </w:r>
    </w:p>
    <w:p w14:paraId="41FB019C" w14:textId="77777777" w:rsidR="008D479B" w:rsidRDefault="008D479B" w:rsidP="008D479B">
      <w:pPr>
        <w:pStyle w:val="TextoNormal"/>
      </w:pPr>
    </w:p>
    <w:p w14:paraId="3BBA9CBA" w14:textId="77777777" w:rsidR="008D479B" w:rsidRDefault="008D479B" w:rsidP="008D479B">
      <w:pPr>
        <w:pStyle w:val="TextoNormal"/>
      </w:pPr>
      <w:r w:rsidRPr="008D479B">
        <w:rPr>
          <w:rStyle w:val="NumeroAFNegritaCaracter"/>
        </w:rPr>
        <w:t>9</w:t>
      </w:r>
      <w:r>
        <w:t>. Mediante escrito de 13 de julio de 2022 el fiscal ante el Tribunal Constitucional interesó el otorgamiento del amparo por vulneración del derecho fundamental de la recurrente en amparo a la tutela judicial efectiva (art. 24.1 CE) y de sus derechos fundamentales a un proceso con todas las garantías y a utilizar los medios de prueba pertinentes para su defensa (art. 24.2 CE).</w:t>
      </w:r>
    </w:p>
    <w:p w14:paraId="11ACAEBA" w14:textId="77777777" w:rsidR="008D479B" w:rsidRDefault="008D479B" w:rsidP="008D479B">
      <w:pPr>
        <w:pStyle w:val="TextoNormal"/>
      </w:pPr>
    </w:p>
    <w:p w14:paraId="33A18BFD" w14:textId="77777777" w:rsidR="008D479B" w:rsidRDefault="008D479B" w:rsidP="008D479B">
      <w:pPr>
        <w:pStyle w:val="TextoNormal"/>
      </w:pPr>
      <w:r>
        <w:t>Tras realizar una síntesis de los hechos que han dado lugar al proceso constitucional y de la doctrina constitucional elaborada en torno al derecho fundamental a la tutela judicial efectiva en su vertiente de derecho de acceso a la jurisdicción mediante el ejercicio de la acción penal, el fiscal concluye que se han vulnerado los derechos fundamentales de la recurrente por cuanto: (i) ninguna de las diligencias de investigación practicadas en la causa ha sido sometida a contradicción de las partes, pese a estar debidamente personados en los autos tanto la recurrente (en calidad de acusación particular) como el denunciado (en calidad de investigado); (ii) esta falta de sometimiento a contradicción resulta relevante habida cuenta de que tanto el informe emitido por el médico forense como el informe emitido por la Fundación Márgenes y Vínculos contenían afirmaciones que hubieran precisado de ratificación, aclaración y desarrollo por parte de sus respectivos autores; (iii) en ningún momento se llegó a resolver de manera expresa acerca de la práctica de las diligencias de investigación que la representación procesal de la recurrente en amparo había propuesto en tiempo y forma; (iv) el auto de sobreseimiento provisional inicial, dictado el 1 de julio de 2020, carece de una mínima fundamentación y la motivación recogida en los autos resolutorios de la reforma y la apelación no es suficiente para restaurar el derecho fundamental lesionado, porque estas resoluciones tampoco dicen nada acerca de las diligencias de investigación solicitadas en tiempo y forma por la recurrente, señaladamente acerca de la exploración del menor, y porque las mismas se basan exclusivamente en los documentos obrantes en autos que no han sido sometidos a las pertinentes ratificaciones y aclaraciones practicadas con arreglo a los principios de contradicción e inmediación.</w:t>
      </w:r>
    </w:p>
    <w:p w14:paraId="044FDBF9" w14:textId="77777777" w:rsidR="008D479B" w:rsidRDefault="008D479B" w:rsidP="008D479B">
      <w:pPr>
        <w:pStyle w:val="TextoNormal"/>
      </w:pPr>
    </w:p>
    <w:p w14:paraId="3329A01C" w14:textId="7D75450B" w:rsidR="008D479B" w:rsidRDefault="008D479B" w:rsidP="008D479B">
      <w:pPr>
        <w:pStyle w:val="TextoNormal"/>
      </w:pPr>
      <w:r>
        <w:t>El fiscal termina su informe interesando que el otorgamiento del amparo se limite a la anulación de las resoluciones recurridas y retroacción de las actuaciones al momento de dictarse la primera de ellas para que las diligencias solicitadas y denegadas indebidamente se practiquen, en primer término, en la propia fase de instrucción de las diligencias previas.</w:t>
      </w:r>
    </w:p>
    <w:p w14:paraId="2E0E9A41" w14:textId="77777777" w:rsidR="008D479B" w:rsidRDefault="008D479B" w:rsidP="008D479B">
      <w:pPr>
        <w:pStyle w:val="TextoNormal"/>
      </w:pPr>
    </w:p>
    <w:p w14:paraId="242DD595" w14:textId="0D677439" w:rsidR="008D479B" w:rsidRDefault="008D479B" w:rsidP="008D479B">
      <w:pPr>
        <w:pStyle w:val="TextoNormal"/>
      </w:pPr>
      <w:r w:rsidRPr="008D479B">
        <w:rPr>
          <w:rStyle w:val="NumeroAFNegritaCaracter"/>
        </w:rPr>
        <w:t>10</w:t>
      </w:r>
      <w:r>
        <w:t>. Por providencia de 19 de octubre de 2023 se señaló para deliberación y votación de la presente sentencia el día 23 del mismo mes y año.</w:t>
      </w:r>
    </w:p>
    <w:p w14:paraId="0D4076C7" w14:textId="77777777" w:rsidR="008D479B" w:rsidRDefault="008D479B" w:rsidP="008D479B">
      <w:pPr>
        <w:pStyle w:val="TextoNormal"/>
      </w:pPr>
    </w:p>
    <w:p w14:paraId="09AF5D3C" w14:textId="77777777" w:rsidR="008D479B" w:rsidRDefault="008D479B" w:rsidP="008D479B">
      <w:pPr>
        <w:pStyle w:val="TextoNormalNegritaCentrado"/>
        <w:keepNext/>
      </w:pPr>
      <w:r>
        <w:t>II. Fundamentos jurídicos</w:t>
      </w:r>
    </w:p>
    <w:p w14:paraId="535A1FA0" w14:textId="437C1145" w:rsidR="008D479B" w:rsidRDefault="008D479B" w:rsidP="008D479B">
      <w:pPr>
        <w:pStyle w:val="TextoNormalNegritaCentrado"/>
        <w:keepNext/>
      </w:pPr>
    </w:p>
    <w:p w14:paraId="700CF282" w14:textId="77777777" w:rsidR="008D479B" w:rsidRDefault="008D479B" w:rsidP="008D479B">
      <w:pPr>
        <w:pStyle w:val="TextoNormal"/>
      </w:pPr>
      <w:r w:rsidRPr="008D479B">
        <w:rPr>
          <w:rStyle w:val="NumeroAFNegritaCaracter"/>
        </w:rPr>
        <w:t>1</w:t>
      </w:r>
      <w:r>
        <w:t xml:space="preserve">. </w:t>
      </w:r>
      <w:r w:rsidRPr="008D479B">
        <w:rPr>
          <w:i/>
        </w:rPr>
        <w:t>Objeto del recurso y orden de enjuiciamiento</w:t>
      </w:r>
    </w:p>
    <w:p w14:paraId="5EF47F39" w14:textId="77777777" w:rsidR="008D479B" w:rsidRDefault="008D479B" w:rsidP="008D479B">
      <w:pPr>
        <w:pStyle w:val="TextoNormal"/>
      </w:pPr>
    </w:p>
    <w:p w14:paraId="44BFDE3A" w14:textId="77777777" w:rsidR="008D479B" w:rsidRDefault="008D479B" w:rsidP="008D479B">
      <w:pPr>
        <w:pStyle w:val="TextoNormal"/>
      </w:pPr>
      <w:r>
        <w:t>a) El objeto del presente recurso de amparo es el auto de 1 de julio de 2020 del Juzgado de Primera Instancia e Instrucción núm. 3 de Vera, que acordó el sobreseimiento provisional de las diligencias previas iniciadas tras denuncia de la recurrente en amparo contra su expareja, por posible delito de abusos sexuales al hijo común de cinco años. También se solicita la anulación del auto de 26 de marzo de 2021, de la Sección Tercera de la Audiencia Provincial de Almería, que confirmó tal decisión. Finalmente, habrá que incluir dentro del objeto del presente recurso el auto dictado por el Juzgado de Primera Instancia e Instrucción núm. 3 de Vera el 2 de diciembre de 2020, por el que se desestimó el recurso de reforma interpuesto contra el auto de 1 de julio de 2020 y se admitió a trámite el recurso subsidiario de apelación, por aplicación de la doctrina, sólidamente establecida por este tribunal, con arreglo a la cual “cuando se impugna en amparo una resolución judicial confirmatoria de otras que han sido lógica y cronológicamente presupuesto de aquélla, han de darse por recurridas también las precedentes resoluciones confirmadas aunque las mismas no lo hayan sido de forma expresa” (SSTC 232/1993, de 12 de julio, FJ 1, y 204/2001, de 15 de octubre, FJ 1).</w:t>
      </w:r>
    </w:p>
    <w:p w14:paraId="67D38EC5" w14:textId="77777777" w:rsidR="008D479B" w:rsidRDefault="008D479B" w:rsidP="008D479B">
      <w:pPr>
        <w:pStyle w:val="TextoNormal"/>
      </w:pPr>
    </w:p>
    <w:p w14:paraId="5F8CDC10" w14:textId="77777777" w:rsidR="008D479B" w:rsidRDefault="008D479B" w:rsidP="008D479B">
      <w:pPr>
        <w:pStyle w:val="TextoNormal"/>
      </w:pPr>
      <w:r>
        <w:t>b) Dada la naturaleza de los hechos se acuerda que la sentencia no incluya los datos de identificación personal del menor, ni de quienes figuran como denunciante y denunciado en las diligencias penales de las partes; y ello en ejercicio de las potestades atribuidas a este tribunal por el art. 86.3 LOTC, en materia de protección de datos de carácter personal en el ámbito de la publicación y difusión de sus resoluciones, así como en aplicación del acuerdo del Pleno de este tribunal de 23 de julio de 2015, por el que se regula la exclusión de los datos de identificación personal en la publicación de las resoluciones jurisdiccionales (“Boletín Oficial del Estado” núm. 178, de 27 de julio de 2015), decisión adoptada en sentencias precedentes tales como las SSTC 66/2022, de 2 de junio, FJ 1, y 38/2023, de 20 de abril, FJ 2, del Pleno.</w:t>
      </w:r>
    </w:p>
    <w:p w14:paraId="5E6710CD" w14:textId="77777777" w:rsidR="008D479B" w:rsidRDefault="008D479B" w:rsidP="008D479B">
      <w:pPr>
        <w:pStyle w:val="TextoNormal"/>
      </w:pPr>
    </w:p>
    <w:p w14:paraId="26CA9631" w14:textId="77777777" w:rsidR="008D479B" w:rsidRDefault="008D479B" w:rsidP="008D479B">
      <w:pPr>
        <w:pStyle w:val="TextoNormal"/>
      </w:pPr>
      <w:r>
        <w:t>c) La demanda del recurso de amparo imputa a los órganos judiciales la vulneración de los derechos fundamentales a la tutela judicial efectiva sin indefensión (art. 24.1 CE) y a un proceso con todas las garantías (art. 24.2 CE) en base a los siguientes motivos: (i) ausencia de motivación del auto de 1 de julio de 2020; (ii) indebido dictado de un auto de sobreseimiento, dada la existencia de indicios incriminatorios, e incumplimiento por los órganos judiciales del principio de protección del interés superior del menor (art. 2 de la Ley Orgánica 1/1996, de 15 de enero, de protección jurídica del menor), al no haber favorecido e impulsado dicha investigación, dada la dificultad de prueba en los delitos de abusos sexuales en casos de ausencia de secuelas físicas y corta edad de los menores; (iii) infracción de los principios de contradicción e inmediación en relación con el informe pericial emitido por la Fundación Márgenes y Vínculos, que no fue ratificado ni sometido a contradicción de las partes al no celebrarse el juicio oral y, sin embargo, resultó decisivo para la decisión de archivo.</w:t>
      </w:r>
    </w:p>
    <w:p w14:paraId="5E4492A2" w14:textId="77777777" w:rsidR="008D479B" w:rsidRDefault="008D479B" w:rsidP="008D479B">
      <w:pPr>
        <w:pStyle w:val="TextoNormal"/>
      </w:pPr>
    </w:p>
    <w:p w14:paraId="51B44FC0" w14:textId="77777777" w:rsidR="008D479B" w:rsidRDefault="008D479B" w:rsidP="008D479B">
      <w:pPr>
        <w:pStyle w:val="TextoNormal"/>
      </w:pPr>
      <w:r>
        <w:t>La representación procesal del investigado se opuso a la estimación del recurso de amparo, por entender que la decisión de sobreseimiento se motivó debidamente en los autos impugnados y que el cierre del procedimiento no lesiona los principios de contradicción e inmediación, ya que es en la fase de juicio oral cuando se interroga a los peritos. Por el contrario, el fiscal interesó el otorgamiento del amparo con diversos argumentos que confluyen en la falta tanto de contradicción respecto de las diligencias de investigación practicadas como de pronunciamiento sobre las propuestas en tiempo y forma por la recurrente.</w:t>
      </w:r>
    </w:p>
    <w:p w14:paraId="5F987BCE" w14:textId="77777777" w:rsidR="008D479B" w:rsidRDefault="008D479B" w:rsidP="008D479B">
      <w:pPr>
        <w:pStyle w:val="TextoNormal"/>
      </w:pPr>
    </w:p>
    <w:p w14:paraId="4CA0BEC8" w14:textId="628913D9" w:rsidR="008D479B" w:rsidRDefault="008D479B" w:rsidP="008D479B">
      <w:pPr>
        <w:pStyle w:val="TextoNormal"/>
      </w:pPr>
      <w:r>
        <w:t>Con la finalidad de responder a las cuestiones constituciones planteadas de una forma ordenada y coherente, el punto de partida será la exposición de la doctrina elaborada por este tribunal en relación con las lesiones iusfundamentales que se aducen, para pasar, seguidamente, al análisis de cada una de las vulneraciones invocadas desde la perspectiva de la doctrina expuesta, siguiendo el mismo orden en que han sido enunciadas.</w:t>
      </w:r>
    </w:p>
    <w:p w14:paraId="76984DFF" w14:textId="77777777" w:rsidR="008D479B" w:rsidRDefault="008D479B" w:rsidP="008D479B">
      <w:pPr>
        <w:pStyle w:val="TextoNormal"/>
      </w:pPr>
    </w:p>
    <w:p w14:paraId="0CC7117C" w14:textId="77777777" w:rsidR="008D479B" w:rsidRDefault="008D479B" w:rsidP="008D479B">
      <w:pPr>
        <w:pStyle w:val="TextoNormal"/>
      </w:pPr>
      <w:r w:rsidRPr="008D479B">
        <w:rPr>
          <w:rStyle w:val="NumeroAFNegritaCaracter"/>
        </w:rPr>
        <w:t>2</w:t>
      </w:r>
      <w:r>
        <w:t xml:space="preserve">. </w:t>
      </w:r>
      <w:r w:rsidRPr="008D479B">
        <w:rPr>
          <w:i/>
        </w:rPr>
        <w:t>Doctrina constitucional relativa al derecho fundamental a la tutela judicial efectiva (art. 24.1 CE) en su doble dimensión de exigencia de motivación de las resoluciones judiciales y derecho a una investigación suficiente y eficaz</w:t>
      </w:r>
    </w:p>
    <w:p w14:paraId="4B99A9BC" w14:textId="77777777" w:rsidR="008D479B" w:rsidRDefault="008D479B" w:rsidP="008D479B">
      <w:pPr>
        <w:pStyle w:val="TextoNormal"/>
      </w:pPr>
    </w:p>
    <w:p w14:paraId="468F45B4" w14:textId="77777777" w:rsidR="008D479B" w:rsidRDefault="008D479B" w:rsidP="008D479B">
      <w:pPr>
        <w:pStyle w:val="TextoNormal"/>
      </w:pPr>
      <w:r>
        <w:t>Como se ha expuesto con mayor detalle en los antecedentes, la recurrente denuncia un doble menoscabo del derecho a la tutela judicial efectiva. De un lado, se habría infringido el art. 24.1 CE en tanto la decisión de sobreseer es inmotivada, queja que atañe a la exigencia de motivación de las resoluciones judiciales como vertiente del derecho a la tutela judicial efectiva. De otro lado, se duele del cierre prematuro del proceso penal, que considera insostenible a la luz de las diligencias practicadas y lesivo de los principios de inmediación y contradicción, vulnerando el derecho de acceso a la jurisdicción penal (art. 24.1 CE) con respeto a las garantías del art. 24.2 CE.</w:t>
      </w:r>
    </w:p>
    <w:p w14:paraId="07E34D67" w14:textId="77777777" w:rsidR="008D479B" w:rsidRDefault="008D479B" w:rsidP="008D479B">
      <w:pPr>
        <w:pStyle w:val="TextoNormal"/>
      </w:pPr>
    </w:p>
    <w:p w14:paraId="7F2313C4" w14:textId="77777777" w:rsidR="008D479B" w:rsidRDefault="008D479B" w:rsidP="008D479B">
      <w:pPr>
        <w:pStyle w:val="TextoNormal"/>
      </w:pPr>
      <w:r>
        <w:t>a) El Tribunal ha reiterado, desde temprana jurisprudencia, que la obligación de motivar las resoluciones judiciales no es solo una exigencia impuesta a los órganos judiciales por el art. 120.3 CE, sino también, y principalmente, un derecho de los intervinientes en el proceso que forma parte del derecho fundamental a la tutela judicial efectiva proclamado por el art. 24.1 CE, que únicamente se satisface si la resolución judicial, de modo explícito o implícito, contiene los elementos de juicio suficientes para que el destinatario y, eventualmente, los órganos encargados de revisar sus decisiones, puedan conocer cuáles han sido los criterios jurídicos que fundamentan la decisión, constituyéndose en una garantía esencial para el justiciable mediante la cual es posible comprobar que la decisión judicial es consecuencia de la aplicación razonada del ordenamiento jurídico y no fruto de la arbitrariedad. Partiendo de ello, podrá considerarse que se vulnera el derecho a la tutela judicial efectiva desde la perspectiva del deber de motivación de las resoluciones judiciales cuando el razonamiento que funda dicha resolución resulte arbitrario, irrazonable o incurso en error patente, ya que no pueden admitirse como decisiones motivadas y razonadas aquellas en que se comprueba que parten de premisas inexistentes o patentemente erróneas o que siguen un desarrollo argumental incurso en quiebras lógicas de tal magnitud que conduzcan a la evidencia de no poder considerarse basadas en ninguna de las razones aducidas [SSTC 87/2022, de 28 de junio, FJ 4 B), y 39/2023, de 8 de mayo, FJ 3, por todas].</w:t>
      </w:r>
    </w:p>
    <w:p w14:paraId="28907114" w14:textId="77777777" w:rsidR="008D479B" w:rsidRDefault="008D479B" w:rsidP="008D479B">
      <w:pPr>
        <w:pStyle w:val="TextoNormal"/>
      </w:pPr>
    </w:p>
    <w:p w14:paraId="5D840AFD" w14:textId="77777777" w:rsidR="008D479B" w:rsidRDefault="008D479B" w:rsidP="008D479B">
      <w:pPr>
        <w:pStyle w:val="TextoNormal"/>
      </w:pPr>
      <w:r>
        <w:t xml:space="preserve">b) El derecho a una investigación judicial suficiente y eficaz, esto es, el derecho a la tutela judicial efectiva en su vertiente de acceso a la jurisdicción mediante el ejercicio de la acción penal, se ha configurado en la doctrina de este tribunal como un </w:t>
      </w:r>
      <w:r w:rsidRPr="008D479B">
        <w:rPr>
          <w:i/>
        </w:rPr>
        <w:t>ius ut procedatur</w:t>
      </w:r>
      <w:r>
        <w:t>; “es decir, no como parte de ningún otro derecho fundamental sustantivo, sino, estrictamente, como manifestación específica del derecho a la jurisdicción (SSTC 31/1996, FFJJ 10 y 11, y 199/1996, FJ 5, […]), que ha de enjuiciarse en sede de amparo constitucional desde la perspectiva del art. 24.1 CE y al que, desde luego, son aplicables las garantías del 24.2” (SSTC 41/1997, de 10 de marzo, FJ 5; 218/1997, de 4 de diciembre, FJ 2, y 26/2018, de 5 de marzo, FJ 3).</w:t>
      </w:r>
    </w:p>
    <w:p w14:paraId="65A850C1" w14:textId="77777777" w:rsidR="008D479B" w:rsidRDefault="008D479B" w:rsidP="008D479B">
      <w:pPr>
        <w:pStyle w:val="TextoNormal"/>
      </w:pPr>
    </w:p>
    <w:p w14:paraId="2D1794FA" w14:textId="77777777" w:rsidR="008D479B" w:rsidRDefault="008D479B" w:rsidP="008D479B">
      <w:pPr>
        <w:pStyle w:val="TextoNormal"/>
      </w:pPr>
      <w:r>
        <w:t>Sus notas características se detallan, entre otras, en las SSTC 87/2020, de 20 de julio, FJ 3, y 53/2022, de 4 de abril, FJ 3, y para resolver el presente caso destacamos las siguientes consideraciones:</w:t>
      </w:r>
    </w:p>
    <w:p w14:paraId="2C5A1401" w14:textId="77777777" w:rsidR="008D479B" w:rsidRDefault="008D479B" w:rsidP="008D479B">
      <w:pPr>
        <w:pStyle w:val="TextoNormal"/>
      </w:pPr>
    </w:p>
    <w:p w14:paraId="3106D835" w14:textId="77777777" w:rsidR="008D479B" w:rsidRDefault="008D479B" w:rsidP="008D479B">
      <w:pPr>
        <w:pStyle w:val="TextoNormal"/>
      </w:pPr>
      <w:r>
        <w:t xml:space="preserve">(i) El querellante o denunciante ostenta, como titular del </w:t>
      </w:r>
      <w:r w:rsidRPr="008D479B">
        <w:rPr>
          <w:i/>
        </w:rPr>
        <w:t>ius ut procedatur</w:t>
      </w:r>
      <w:r>
        <w:t>, el derecho a poner en marcha un proceso penal, a que el mismo se sustancie de conformidad con las reglas del proceso justo y a obtener en él una respuesta razonable y fundada en derecho (SSTC 120/2000, de 10 de mayo, FJ 4, o 12/2006, de 16 de enero, FJ 2). El ejercicio de la acción penal no otorga a sus titulares el derecho material a obtener una condena y a la imposición de una pena, o un derecho incondicionado a la apertura y plena sustanciación del proceso penal, ni tampoco impone a los órganos judiciales la obligación de realizar una investigación más allá de lo necesario, alargando indebidamente la instrucción o el proceso (SSTC 176/2006, de 5 de junio, FFJJ 2 y 4; 34/2008, de 25 de febrero, FJ 2, o 26/2018, de 5 de marzo, FJ 2).</w:t>
      </w:r>
    </w:p>
    <w:p w14:paraId="3C91D624" w14:textId="77777777" w:rsidR="008D479B" w:rsidRDefault="008D479B" w:rsidP="008D479B">
      <w:pPr>
        <w:pStyle w:val="TextoNormal"/>
      </w:pPr>
    </w:p>
    <w:p w14:paraId="0649BF4A" w14:textId="77777777" w:rsidR="008D479B" w:rsidRDefault="008D479B" w:rsidP="008D479B">
      <w:pPr>
        <w:pStyle w:val="TextoNormal"/>
      </w:pPr>
      <w:r>
        <w:t>(ii) La tutela judicial efectiva del denunciante o querellante se verá satisfecha por la resolución judicial que acuerde la terminación anticipada del proceso penal, sin apertura de la fase de plenario, cuando aquella se asiente sobre una razonada y razonable concurrencia de los motivos legalmente previstos para acordar el sobreseimiento, libre o provisional (arts. 637 y 641 LECrim y, dado el caso, art. 779.1.1 LECrim).</w:t>
      </w:r>
    </w:p>
    <w:p w14:paraId="5F991D97" w14:textId="77777777" w:rsidR="008D479B" w:rsidRDefault="008D479B" w:rsidP="008D479B">
      <w:pPr>
        <w:pStyle w:val="TextoNormal"/>
      </w:pPr>
    </w:p>
    <w:p w14:paraId="4A6AFCF9" w14:textId="77777777" w:rsidR="008D479B" w:rsidRDefault="008D479B" w:rsidP="008D479B">
      <w:pPr>
        <w:pStyle w:val="TextoNormal"/>
      </w:pPr>
      <w:r>
        <w:t>(iii) La efectividad del derecho a la tutela judicial coincidirá en estos casos con la suficiencia de la indagación judicial. Dependerá, pues, no solo de que la decisión de sobreseimiento esté motivada y jurídicamente fundada, sino también de que la investigación de lo denunciado haya sido adecuada y efectiva, ya que la tutela que se solicita consiste inicialmente en que se indague sobre lo acaecido. Se trata de una obligación de medios, no de resultados, de modo que es posible que esa investigación adecuada y efectiva, no cumpla plenamente su propósito de averiguación de los hechos e identificación y castigo del culpable.</w:t>
      </w:r>
    </w:p>
    <w:p w14:paraId="5BCD3C76" w14:textId="77777777" w:rsidR="008D479B" w:rsidRDefault="008D479B" w:rsidP="008D479B">
      <w:pPr>
        <w:pStyle w:val="TextoNormal"/>
      </w:pPr>
    </w:p>
    <w:p w14:paraId="41F6F061" w14:textId="77777777" w:rsidR="008D479B" w:rsidRDefault="008D479B" w:rsidP="008D479B">
      <w:pPr>
        <w:pStyle w:val="TextoNormal"/>
      </w:pPr>
      <w:r>
        <w:t>(iv) La suficiencia y efectividad de la investigación solo pueden evaluarse valorando las concretas circunstancias de la denuncia y de lo denunciado, así como la gravedad de lo denunciado y su previa opacidad (SSTC 34/2008, FJ 4, y 26/2018, FJ 3); de tal manera que habrá vulneración del derecho a la tutela judicial efectiva cuando se deniegue o se clausure la instrucción existiendo sospechas razonables de la posible comisión de un delito y tales sospechas sean susceptibles de ser despejadas mediante la investigación. Ahora bien, tampoco existe un derecho a la práctica ilimitada de la prueba, de manera tal que imponga la realización de cuantas diligencias de investigación se perciban como posibles o imaginables, propuestas por las partes o practicadas de oficio, particularmente si resulta evidente que el despliegue de mayores diligencias deviene innecesario. Semejante obligación conduciría a instrucciones inútiles en perjuicio del interés general en una gestión racional y eficaz de los recursos de la administración de justicia (SSTC 34/2008, FJ 6; 63/2010, de 18 de octubre, FJ 2; 131/2012, de 18 de junio, FJ 2, y 153/2013, de 9 de septiembre).</w:t>
      </w:r>
    </w:p>
    <w:p w14:paraId="2CCA6ED4" w14:textId="77777777" w:rsidR="008D479B" w:rsidRDefault="008D479B" w:rsidP="008D479B">
      <w:pPr>
        <w:pStyle w:val="TextoNormal"/>
      </w:pPr>
    </w:p>
    <w:p w14:paraId="6DA333BF" w14:textId="77777777" w:rsidR="008D479B" w:rsidRDefault="008D479B" w:rsidP="008D479B">
      <w:pPr>
        <w:pStyle w:val="TextoNormal"/>
      </w:pPr>
      <w:r>
        <w:t xml:space="preserve">(v) Más específicamente, el Tribunal Europeo de Derechos Humanos, en su sentencia de la Gran Sala de 12 de noviembre de 2013, asunto </w:t>
      </w:r>
      <w:r w:rsidRPr="008D479B">
        <w:rPr>
          <w:i/>
        </w:rPr>
        <w:t>Söderman c. Suecia</w:t>
      </w:r>
      <w:r>
        <w:t>, declara que, en lo que respecta a actos graves como la violación y el abuso sexual de menores, la obligación positiva del Estado en virtud de los arts. 3 y 8 del Convenio europeo de derechos humanos (CEDH) de salvaguardar la integridad física del individuo también puede extenderse a cuestiones relacionadas con la eficacia de la investigación penal, aunque no existe un derecho absoluto a obtener el enjuiciamiento o la condena de una persona concreta cuando no haya habido fallos culpables en el intento de responsabilizar a los autores de delitos penales (§ 83).</w:t>
      </w:r>
    </w:p>
    <w:p w14:paraId="464A1928" w14:textId="77777777" w:rsidR="008D479B" w:rsidRDefault="008D479B" w:rsidP="008D479B">
      <w:pPr>
        <w:pStyle w:val="TextoNormal"/>
      </w:pPr>
    </w:p>
    <w:p w14:paraId="7F455147" w14:textId="77777777" w:rsidR="008D479B" w:rsidRDefault="008D479B" w:rsidP="008D479B">
      <w:pPr>
        <w:pStyle w:val="TextoNormal"/>
      </w:pPr>
      <w:r>
        <w:t xml:space="preserve">En el mismo sentido, en la sentencia de la Gran Sala de 2 de febrero de 2021, asunto </w:t>
      </w:r>
      <w:r w:rsidRPr="008D479B">
        <w:rPr>
          <w:i/>
        </w:rPr>
        <w:t>X y otros c. Bulgaria</w:t>
      </w:r>
      <w:r>
        <w:t>, el Tribunal Europeo afirma, de manera específica, que en los casos en los que los niños pueden haber sido víctimas de abusos sexuales, el cumplimiento de las obligaciones positivas derivadas del art. 3 CEDH requiere, en el contexto de los procedimientos internos, la aplicación efectiva del derecho de los niños a que su interés superior sea una consideración primordial y a que se atienda adecuadamente la vulnerabilidad particular del niño y sus correspondientes necesidades, debiendo interpretarse la obligación procesal del art. 3 del Convenio de llevar a cabo una investigación efectiva a la luz de las obligaciones derivadas de los demás instrumentos internacionales aplicables, y más concretamente del Convenio del Consejo de Europa para la protección de los niños contra la explotación y el abuso sexual, hecho en Lanzarote el 25 de octubre de 2007 y ratificado por el Estado español el 22 de julio de 2010, Convenio de Lanzarote (§ 192).</w:t>
      </w:r>
    </w:p>
    <w:p w14:paraId="7C85ABC7" w14:textId="77777777" w:rsidR="008D479B" w:rsidRDefault="008D479B" w:rsidP="008D479B">
      <w:pPr>
        <w:pStyle w:val="TextoNormal"/>
      </w:pPr>
    </w:p>
    <w:p w14:paraId="64D1B103" w14:textId="77777777" w:rsidR="008D479B" w:rsidRDefault="008D479B" w:rsidP="008D479B">
      <w:pPr>
        <w:pStyle w:val="TextoNormal"/>
      </w:pPr>
      <w:r>
        <w:t xml:space="preserve">c) Este tribunal ha declarado la aplicabilidad al derecho de acción penal —concebido como </w:t>
      </w:r>
      <w:r w:rsidRPr="008D479B">
        <w:rPr>
          <w:i/>
        </w:rPr>
        <w:t>ius ut procedatur</w:t>
      </w:r>
      <w:r>
        <w:t xml:space="preserve"> en los términos que acaban de exponerse— de las garantías recogidas en el art. 24.2 CE (SSTC 41/1997, de 10 de marzo, FJ 5; 218/1997, de 4 de diciembre, FJ 2, y 26/2018, de 5 de marzo, FJ 3). El derecho a la tutela judicial efectiva de la víctima del delito, personada como acusación particular en la causa penal, no se agota o no puede quedar reducido “a un mero impulso del proceso o una mera comparecencia en el mismo, sino que de él derivan con naturalidad y necesidad los derechos relativos a las reglas esenciales del desarrollo del proceso” (SSTC 218/1997, FJ 2; 178/2001, de 17 de septiembre, FJ 3, y 81/2002, de 22 de abril, FJ 2). Entre las garantías que comprende el art. 24 CE para todo proceso penal destacan, por ser principios consustanciales al mismo, las de contradicción e igualdad de armas (STC 178/2001, FJ 3).</w:t>
      </w:r>
    </w:p>
    <w:p w14:paraId="7124FF8B" w14:textId="77777777" w:rsidR="008D479B" w:rsidRDefault="008D479B" w:rsidP="008D479B">
      <w:pPr>
        <w:pStyle w:val="TextoNormal"/>
      </w:pPr>
    </w:p>
    <w:p w14:paraId="22BEED9F" w14:textId="77777777" w:rsidR="008D479B" w:rsidRDefault="008D479B" w:rsidP="008D479B">
      <w:pPr>
        <w:pStyle w:val="TextoNormal"/>
      </w:pPr>
      <w:r>
        <w:t>Interesa aquí destacar que la posibilidad de contradicción es una de las “reglas esenciales del desarrollo del proceso” (SSTC 41/1997, de 10 de marzo; 218/1997, de 4 de diciembre; 138/1999, de 22 de julio, y 91/2000, de 30 de marzo), sin la cual “la idea de juicio justo es una simple quimera” (STC 93/2005, de 18 de abril, FJ 3); y exige que los órganos jurisdiccionales velen por que en las distintas fases e instancias de todo proceso las partes posean idénticas posibilidades de alegación y prueba de sus derechos e intereses, y puedan ejercitar su derecho de defensa; exigencia que rige con especial intensidad en el proceso penal dada la trascendencia de los intereses en juego (SSTC 25/1997, de 11 de febrero, FJ 2; 41/1997, de 10 de marzo; 102/1998, de 18 de mayo, FJ 2; 18/1999, de 22 de febrero, FJ 3; 109/2002, de 6 de mayo, FJ 2, y 12/2006, de 16 de enero, FJ 3). Manifestación específica de esta garantía es que se concedan a todas las partes en el proceso las facultades de alegar, probar e intervenir en la prueba ajena para controlar su correcta práctica y contradecirla (por todas, SSTC 176/1988, de 4 de octubre; 122/1995, de 18 de julio, y 76/1999, de 26 de abril). Cabe recordar que el derecho a utilizar los medios de prueba pertinentes para la defensa de las posiciones de las partes también es una garantía procesal constitucionalizada. En relación con este derecho hemos manifestado que, desde una perspectiva formal, corresponde al litigante la carga de proponer la prueba y explicar razonablemente su conexión con el objeto procesal y su importancia para la decisión del pleito; y al juzgador corresponde, como exigencia simétrica, decidir sobre su admisión o inadmisión y razonar adecuadamente tal decisión, atendiendo a su naturaleza y relación con cuanto se intenta verificar, ya que la ausencia de dicho razonamiento constituiría una arbitrariedad vulneradora del derecho fundamental en cuestión (STC 11/1997, de 27 de enero, FJ 4).</w:t>
      </w:r>
    </w:p>
    <w:p w14:paraId="73E70E96" w14:textId="77777777" w:rsidR="008D479B" w:rsidRDefault="008D479B" w:rsidP="008D479B">
      <w:pPr>
        <w:pStyle w:val="TextoNormal"/>
      </w:pPr>
    </w:p>
    <w:p w14:paraId="6AF18B85" w14:textId="77777777" w:rsidR="008D479B" w:rsidRDefault="008D479B" w:rsidP="008D479B">
      <w:pPr>
        <w:pStyle w:val="TextoNormal"/>
      </w:pPr>
      <w:r>
        <w:t>La inmediación, a la que también apela la recurrente, supone que el juicio y la práctica de la prueba tienen lugar en presencia del órgano judicial competente. En nuestra jurisprudencia sobre el proceso penal, esa garantía procesal se ha contemplado vinculada al derecho a la presunción de inocencia en tanto que requisito de validez de la prueba, que debe tener lugar en el debate contradictorio que en forma oral se desarrolle ante el mismo juez o tribunal que ha de dictar sentencia, de manera que la convicción sobre los hechos enjuiciados se alcance en contacto directo con los medios de prueba aportados a tal fin por las partes. En instrucción, sin embargo, se desarrolla una actividad de investigación, sin duda necesaria para articular la prueba en el juicio y cuya práctica debe respetar todas las formalidades que la Constitución y el ordenamiento procesal establecen, pero no una actividad probatoria propiamente dicha en presencia judicial (por todas, con ulteriores referencias, STC 206/2003, de 1 de diciembre, FJ 2). Tanto es así que hemos admitido conferir valor probatorio a las diligencias sumariales desde el reconocimiento de que en ellas no puede satisfacerse el principio de inmediación, ya que la prueba se anticipa a la fase del plenario, siempre y cuando se colme, entre otros requisitos, la exigencia de contradicción, entendida como posibilidad de contradicción, no de contradicción real y efectiva (entre muchas, SSTC 206/2003, FJ 2; 345/2006, de 11 de diciembre, FJ 3, y 134/2010, de 2 de diciembre, FJ 3).</w:t>
      </w:r>
    </w:p>
    <w:p w14:paraId="54B9D239" w14:textId="77777777" w:rsidR="008D479B" w:rsidRDefault="008D479B" w:rsidP="008D479B">
      <w:pPr>
        <w:pStyle w:val="TextoNormal"/>
      </w:pPr>
    </w:p>
    <w:p w14:paraId="6CC02ABF" w14:textId="77777777" w:rsidR="008D479B" w:rsidRDefault="008D479B" w:rsidP="008D479B">
      <w:pPr>
        <w:pStyle w:val="TextoNormal"/>
      </w:pPr>
      <w:r>
        <w:t xml:space="preserve">Debe subrayarse, por lo demás, que no toda irregularidad u omisión procesal provoca por sí misma indefensión material constitucionalmente relevante. A tal efecto, este tribunal ha exigido reiteradamente que concurran dos circunstancias: por una parte, que la irregularidad, denegación o inejecución de prueba, resulten imputables al órgano judicial; y, por otra, que la irregularidad cometida —o la prueba denegada o no practicada— resulte decisiva en términos de defensa, de suerte que, de no haberse producido tal irregularidad, la resolución final del proceso hubiese podido ser distinta en el sentido de resultar favorable a quien denuncia la infracción del derecho fundamental. Solo en tal caso —comprobado que el fallo del proceso </w:t>
      </w:r>
      <w:r w:rsidRPr="008D479B">
        <w:rPr>
          <w:i/>
        </w:rPr>
        <w:t>a quo</w:t>
      </w:r>
      <w:r>
        <w:t xml:space="preserve"> pudo, tal vez, haber sido otro— podrá apreciarse también el menoscabo efectivo del derecho de quien por este motivo solicita el amparo constitucional (por todas, SSTC 247/2004, de 20 de diciembre, FJ 3; 23/2007, de 12 de febrero, FJ 6; 94/2007, de 7 de mayo, FJ 3; 185/2007, de 10 de septiembre, FJ 2; 240/2007, de 10 de diciembre, FJ 2, y 22/2008, de 31 de enero, FJ 2).</w:t>
      </w:r>
    </w:p>
    <w:p w14:paraId="3ED34EC6" w14:textId="77777777" w:rsidR="008D479B" w:rsidRDefault="008D479B" w:rsidP="008D479B">
      <w:pPr>
        <w:pStyle w:val="TextoNormal"/>
      </w:pPr>
    </w:p>
    <w:p w14:paraId="14F1C29E" w14:textId="091886E4" w:rsidR="008D479B" w:rsidRDefault="008D479B" w:rsidP="008D479B">
      <w:pPr>
        <w:pStyle w:val="TextoNormal"/>
      </w:pPr>
      <w:r>
        <w:t xml:space="preserve">d) “[E]l derecho de acción penal se configura esencialmente como un </w:t>
      </w:r>
      <w:r w:rsidRPr="008D479B">
        <w:rPr>
          <w:i/>
        </w:rPr>
        <w:t>ius ut procedatur</w:t>
      </w:r>
      <w:r>
        <w:t xml:space="preserve">, no como parte de ningún otro derecho fundamental sustantivo. Es, estrictamente, manifestación específica del derecho a la jurisdicción, a enjuiciar en sede de amparo constitucional desde la perspectiva del artículo 24.1 CE, siéndole aplicables las garantías del artículo 24.2 CE (SSTC 41/1997, de 10 de marzo, FJ 5; 218/1997, de 4 de diciembre, FJ 2; 31/1996, de 27 de febrero, FFJJ 10 y 11, o 199/1996, de 3 de diciembre, FJ 5)” (STC 26/2018, FJ 3). En tal medida, el control constitucional queda limitado a enjuiciar si las resoluciones judiciales impugnadas han respetado las garantías de la recurrente, denunciante personada en la causa penal, como manifestación de su </w:t>
      </w:r>
      <w:r w:rsidRPr="008D479B">
        <w:rPr>
          <w:i/>
        </w:rPr>
        <w:t>ius ut procedatur</w:t>
      </w:r>
      <w:r>
        <w:t>, esto es, debe verificarse si la terminación anticipada del procedimiento penal se fundó de forma razonable, no arbitraria ni incursa en error patente, en alguna de las causas legalmente previstas (STC 26/2018, FJ 3).</w:t>
      </w:r>
    </w:p>
    <w:p w14:paraId="29875AE8" w14:textId="77777777" w:rsidR="008D479B" w:rsidRDefault="008D479B" w:rsidP="008D479B">
      <w:pPr>
        <w:pStyle w:val="TextoNormal"/>
      </w:pPr>
    </w:p>
    <w:p w14:paraId="11E066F9" w14:textId="77777777" w:rsidR="008D479B" w:rsidRDefault="008D479B" w:rsidP="008D479B">
      <w:pPr>
        <w:pStyle w:val="TextoNormal"/>
      </w:pPr>
      <w:r w:rsidRPr="008D479B">
        <w:rPr>
          <w:rStyle w:val="NumeroAFNegritaCaracter"/>
        </w:rPr>
        <w:t>3</w:t>
      </w:r>
      <w:r>
        <w:t xml:space="preserve">. </w:t>
      </w:r>
      <w:r w:rsidRPr="008D479B">
        <w:rPr>
          <w:i/>
        </w:rPr>
        <w:t>Protección constitucional de las personas menores de edad</w:t>
      </w:r>
    </w:p>
    <w:p w14:paraId="3956F7F6" w14:textId="77777777" w:rsidR="008D479B" w:rsidRDefault="008D479B" w:rsidP="008D479B">
      <w:pPr>
        <w:pStyle w:val="TextoNormal"/>
      </w:pPr>
    </w:p>
    <w:p w14:paraId="331E38FA" w14:textId="77777777" w:rsidR="008D479B" w:rsidRDefault="008D479B" w:rsidP="008D479B">
      <w:pPr>
        <w:pStyle w:val="TextoNormal"/>
      </w:pPr>
      <w:r>
        <w:t xml:space="preserve">En el presente caso, la doctrina sobre el </w:t>
      </w:r>
      <w:r w:rsidRPr="008D479B">
        <w:rPr>
          <w:i/>
        </w:rPr>
        <w:t>ius ut procedatur</w:t>
      </w:r>
      <w:r>
        <w:t xml:space="preserve"> reseñada, como indican ya las referencias a la jurisprudencia del Tribunal Europeo de Derechos Humanos hechas más arriba, debe ponerse en relación con la protección constitucional de las personas menores de edad y su proyección a la investigación penal de delitos que les conciernen.</w:t>
      </w:r>
    </w:p>
    <w:p w14:paraId="2DB594B3" w14:textId="77777777" w:rsidR="008D479B" w:rsidRDefault="008D479B" w:rsidP="008D479B">
      <w:pPr>
        <w:pStyle w:val="TextoNormal"/>
      </w:pPr>
    </w:p>
    <w:p w14:paraId="2DECC9FC" w14:textId="77777777" w:rsidR="008D479B" w:rsidRDefault="008D479B" w:rsidP="008D479B">
      <w:pPr>
        <w:pStyle w:val="TextoNormal"/>
      </w:pPr>
      <w:r>
        <w:t>Existe una amplia doctrina de este tribunal relativa a la obligación de los poderes públicos de proteger el interés superior de las personas menores de edad en cualesquiera actuaciones que deban entenderse con estas o hayan de afectarles de manera directa o indirecta. Deben procurarlo incluso si ello significa atemperar la rigidez de algunas normas procesales o sacrificar los legítimos intereses y perspectivas de terceros (SSTC 187/1996, de 25 de noviembre, FJ 2, y 77/2018, de 5 de julio, FJ 2).</w:t>
      </w:r>
    </w:p>
    <w:p w14:paraId="52194FCE" w14:textId="77777777" w:rsidR="008D479B" w:rsidRDefault="008D479B" w:rsidP="008D479B">
      <w:pPr>
        <w:pStyle w:val="TextoNormal"/>
      </w:pPr>
    </w:p>
    <w:p w14:paraId="683529E2" w14:textId="77777777" w:rsidR="008D479B" w:rsidRDefault="008D479B" w:rsidP="008D479B">
      <w:pPr>
        <w:pStyle w:val="TextoNormal"/>
      </w:pPr>
      <w:r>
        <w:t>A este mandato de protección se refiere el art. 39.4 CE, que declara lo siguiente: “Los niños gozarán de la protección prevista en los acuerdos internacionales que velan por sus derechos”. Entre estos acuerdos destaca la Convención sobre los derechos del niño, adoptada por la Asamblea General de las Naciones Unidas el 20 de noviembre de 1989. A los preceptos de la Convención remiten —en aplicación del canon interpretativo recogido en el art. 10.2 CE— las SSTC 141/2000, de 29 de mayo, FJ 5, y 64/2019, de 9 de mayo, FJ 4. En esta última declaramos que “[e]l interés superior del menor es la consideración primordial a la que deben atender todas las medidas concernientes a los menores ‘que tomen las instituciones públicas o privadas de bienestar social, los tribunales, las autoridades administrativas o los órganos legislativos’, según el art. 3.1 de la Convención sobre los derechos del niño ratificada por España mediante instrumento de 30 de noviembre de 1990”.</w:t>
      </w:r>
    </w:p>
    <w:p w14:paraId="163DEE38" w14:textId="77777777" w:rsidR="008D479B" w:rsidRDefault="008D479B" w:rsidP="008D479B">
      <w:pPr>
        <w:pStyle w:val="TextoNormal"/>
      </w:pPr>
    </w:p>
    <w:p w14:paraId="26FE31A3" w14:textId="77777777" w:rsidR="008D479B" w:rsidRDefault="008D479B" w:rsidP="008D479B">
      <w:pPr>
        <w:pStyle w:val="TextoNormal"/>
      </w:pPr>
      <w:r>
        <w:t>Los preceptos de la Convención han encontrado desarrollo normativo específico dentro de nuestro ordenamiento jurídico en diversas leyes, entre las que destaca la Ley Orgánica 1/1996, de 15 de enero, de protección jurídica del menor —reformada por la Ley Orgánica 8/2015, de 22 de julio, de modificación del sistema de protección a la infancia y a la adolescencia—, cuya exposición de motivos atribuye al concepto “interés superior del menor” un triple contenido o significación: a) como derecho sustantivo del menor a que cuando se adopte una medida que le concierna sus intereses hayan sido evaluados y, en caso de que haya otros intereses en presencia, se hayan ponderado a la hora de llegar a una solución; b) como principio general interpretativo, que exige que las disposiciones jurídicas sean interpretadas en la forma que mejor responda a los intereses de las personas menores de edad afectadas; y c) como norma o garantía de procedimiento, encaminada a asegurar que la opinión de la persona menor de edad afectada por cualquier procedimiento pueda acceder al mismo por alguna de las vías previstas en la legislación y ser tenida en cuenta a la hora de adoptar la resolución procedente.</w:t>
      </w:r>
    </w:p>
    <w:p w14:paraId="54756AD2" w14:textId="77777777" w:rsidR="008D479B" w:rsidRDefault="008D479B" w:rsidP="008D479B">
      <w:pPr>
        <w:pStyle w:val="TextoNormal"/>
      </w:pPr>
    </w:p>
    <w:p w14:paraId="38256DFE" w14:textId="37FE0770" w:rsidR="008D479B" w:rsidRDefault="008D479B" w:rsidP="008D479B">
      <w:pPr>
        <w:pStyle w:val="TextoNormal"/>
      </w:pPr>
      <w:r>
        <w:t>En relación con la valoración que los órganos judiciales ordinarios realicen en cada caso concreto del interés superior del menor, hemos puesto de manifiesto que “el canon de razonabilidad constitucional deviene más exigente por cuanto que se encuentran implicados valores y principios de indudable relevancia constitucional, al invocarse por el demandante de amparo el principio del interés superior del menor que tiene su proyección constitucional en el art. 39 CE y que se define como rector e inspirador de todas las actuaciones de los poderes públicos, tanto administrativas como judiciales” (SSTC 141/2000, de 29 de mayo, FJ 5; 217/2009, de 14 de diciembre, FJ 5; 127/2013, de 3 de junio, FJ 6, y 138/2014, de 8 de septiembre, FJ 3, entre otras). Y si bien corresponde a los jueces y tribunales ordinarios determinar en cada caso cuál es el interés superior del menor, atendiendo para ello a los criterios generales que establece el art. 2 de la Ley Orgánica de protección jurídica del menor, a este tribunal corresponde, por su parte, examinar la correcta aplicación de aquellos y la ponderación de intereses realizada en mayor beneficio del menor, con el fin de comprobar que no se han lesionado sus derechos fundamentales (STC 221/2002, de 25 de noviembre, FJ 4, y ATC 28/2001, de 1 de febrero).</w:t>
      </w:r>
    </w:p>
    <w:p w14:paraId="17165421" w14:textId="77777777" w:rsidR="008D479B" w:rsidRDefault="008D479B" w:rsidP="008D479B">
      <w:pPr>
        <w:pStyle w:val="TextoNormal"/>
      </w:pPr>
    </w:p>
    <w:p w14:paraId="70BACA42" w14:textId="77777777" w:rsidR="008D479B" w:rsidRDefault="008D479B" w:rsidP="008D479B">
      <w:pPr>
        <w:pStyle w:val="TextoNormal"/>
      </w:pPr>
      <w:r w:rsidRPr="008D479B">
        <w:rPr>
          <w:rStyle w:val="NumeroAFNegritaCaracter"/>
        </w:rPr>
        <w:t>4</w:t>
      </w:r>
      <w:r>
        <w:t xml:space="preserve">. </w:t>
      </w:r>
      <w:r w:rsidRPr="008D479B">
        <w:rPr>
          <w:i/>
        </w:rPr>
        <w:t>Aplicación de la doctrina constitucional al caso concreto</w:t>
      </w:r>
    </w:p>
    <w:p w14:paraId="77047018" w14:textId="77777777" w:rsidR="008D479B" w:rsidRDefault="008D479B" w:rsidP="008D479B">
      <w:pPr>
        <w:pStyle w:val="TextoNormal"/>
      </w:pPr>
    </w:p>
    <w:p w14:paraId="2F04C224" w14:textId="77777777" w:rsidR="008D479B" w:rsidRDefault="008D479B" w:rsidP="008D479B">
      <w:pPr>
        <w:pStyle w:val="TextoNormal"/>
      </w:pPr>
      <w:r>
        <w:t>Expuesta la doctrina constitucional y el canon de enjuiciamiento aplicable procede analizar las distintas quejas deducidas en la demanda de amparo.</w:t>
      </w:r>
    </w:p>
    <w:p w14:paraId="516E15C4" w14:textId="77777777" w:rsidR="008D479B" w:rsidRDefault="008D479B" w:rsidP="008D479B">
      <w:pPr>
        <w:pStyle w:val="TextoNormal"/>
      </w:pPr>
    </w:p>
    <w:p w14:paraId="02BCC168" w14:textId="77777777" w:rsidR="008D479B" w:rsidRDefault="008D479B" w:rsidP="008D479B">
      <w:pPr>
        <w:pStyle w:val="TextoNormal"/>
      </w:pPr>
      <w:r>
        <w:t>a) Vulneración del derecho fundamental a la tutela judicial efectiva (art. 24.1 CE) por infracción de la exigencia de motivación de las resoluciones judiciales</w:t>
      </w:r>
    </w:p>
    <w:p w14:paraId="28CC6DAB" w14:textId="77777777" w:rsidR="008D479B" w:rsidRDefault="008D479B" w:rsidP="008D479B">
      <w:pPr>
        <w:pStyle w:val="TextoNormal"/>
      </w:pPr>
    </w:p>
    <w:p w14:paraId="37DFB474" w14:textId="77777777" w:rsidR="008D479B" w:rsidRDefault="008D479B" w:rsidP="008D479B">
      <w:pPr>
        <w:pStyle w:val="TextoNormal"/>
      </w:pPr>
      <w:r>
        <w:t>Para justificar esta vulneración se aduce en la demanda de amparo que el auto de sobreseimiento provisional y archivo dictado por el Juzgado de Primera Instancia e Instrucción núm. 3 de Vera el 1 de julio de 2020 es una resolución “tipo” que no contiene una mínima concreción fáctica que permita identificar los detalles del caso y decide el sobreseimiento sin motivación alguna. Ello se traduce en un total desconocimiento del proceso lógico jurídico que llevó al juzgado a la decisión de sobreseer provisionalmente el procedimiento, de modo que deja de servir de base a un control de la resolución por medio de recurso.</w:t>
      </w:r>
    </w:p>
    <w:p w14:paraId="40760006" w14:textId="77777777" w:rsidR="008D479B" w:rsidRDefault="008D479B" w:rsidP="008D479B">
      <w:pPr>
        <w:pStyle w:val="TextoNormal"/>
      </w:pPr>
    </w:p>
    <w:p w14:paraId="707D16C6" w14:textId="77777777" w:rsidR="008D479B" w:rsidRDefault="008D479B" w:rsidP="008D479B">
      <w:pPr>
        <w:pStyle w:val="TextoNormal"/>
      </w:pPr>
      <w:r>
        <w:t>Efectivamente, encontramos que la citada resolución se limita a justificar la decisión de sobreseimiento y archivo alegando que “[d]e lo actuado no aparece debidamente justificada la perpetración del delito que ha dado motivo a la formación de la causa”, sin hacer referencia alguna al caso concreto examinado o a los particulares que, de manera específica y en el supuesto analizado, llevaron a tal conclusión.</w:t>
      </w:r>
    </w:p>
    <w:p w14:paraId="63219C72" w14:textId="77777777" w:rsidR="008D479B" w:rsidRDefault="008D479B" w:rsidP="008D479B">
      <w:pPr>
        <w:pStyle w:val="TextoNormal"/>
      </w:pPr>
    </w:p>
    <w:p w14:paraId="1CBE3D5E" w14:textId="77777777" w:rsidR="008D479B" w:rsidRDefault="008D479B" w:rsidP="008D479B">
      <w:pPr>
        <w:pStyle w:val="TextoNormal"/>
      </w:pPr>
      <w:r>
        <w:t>Ahora bien, la insuficiencia en la motivación de esta resolución, puesta de manifiesto por la demandante de amparo en el recurso de reforma y subsidiario de apelación, fue subsanada por los órganos judiciales en las resoluciones que sucesivamente confirmaron la decisión de sobreseimiento y archivo: el auto dictado el 2 de diciembre de 2020 por el mismo juzgado resolviendo el recurso de reforma y el auto dictado por la Sección Tercera de la Audiencia Provincial de Almería el 26 de marzo de 2021, resolutorio del recurso de apelación subsidiario.</w:t>
      </w:r>
    </w:p>
    <w:p w14:paraId="7502D6F5" w14:textId="77777777" w:rsidR="008D479B" w:rsidRDefault="008D479B" w:rsidP="008D479B">
      <w:pPr>
        <w:pStyle w:val="TextoNormal"/>
      </w:pPr>
    </w:p>
    <w:p w14:paraId="121BB83A" w14:textId="77777777" w:rsidR="008D479B" w:rsidRDefault="008D479B" w:rsidP="008D479B">
      <w:pPr>
        <w:pStyle w:val="TextoNormal"/>
      </w:pPr>
      <w:r>
        <w:t>Ambas resoluciones contienen una exposición detallada de los motivos que, atendiendo al caso concreto y al resultado de las diligencias de investigación practicadas en los autos, justifican la decisión de sobreseimiento y archivo. La motivación de estas resoluciones cumple adecuadamente con el canon constitucional exigible. Así, permite conocer de manera clara y directamente referenciada al caso concreto las razones de hecho que justifican la decisión adoptada; tales razones están vinculadas adecuadamente con las normas legales que sirven de fundamento jurídico al sobreseimiento y archivo de la causa; y la conclusión alcanzada en el proceso de subsunción de las razones expuestas en la norma aplicable no puede calificarse de arbitraria o patentemente errónea.</w:t>
      </w:r>
    </w:p>
    <w:p w14:paraId="1412E747" w14:textId="77777777" w:rsidR="008D479B" w:rsidRDefault="008D479B" w:rsidP="008D479B">
      <w:pPr>
        <w:pStyle w:val="TextoNormal"/>
      </w:pPr>
    </w:p>
    <w:p w14:paraId="42ACA477" w14:textId="77777777" w:rsidR="008D479B" w:rsidRDefault="008D479B" w:rsidP="008D479B">
      <w:pPr>
        <w:pStyle w:val="TextoNormal"/>
      </w:pPr>
      <w:r>
        <w:t>No obstan a lo expuesto las alegaciones contenidas en la demanda en cuanto a que la decisión de sobreseer y archivar el caso se apoyó exclusivamente en el informe emitido por la Fundación Márgenes y Vínculos, asumido por las resoluciones judiciales de forma acrítica, ignorándose los restantes medios de prueba obrantes en las actuaciones. La simple lectura de los autos resolutorios de los recursos de reforma y apelación muestra que la decisión de sobreseimiento y archivo se apoyó en una valoración conjunta del resultado de las diligencias de investigación practicadas en autos: (i) el informe emitido por la Fundación Márgenes y Vínculos, al que, de manera razonable, se concedió un peso muy relevante atendidas su autoría —dos psicólogas integradas en un programa específico de evaluación, diagnóstico y tratamiento de menores víctimas de violencia sexual—, y su calidad —se trata de un trabajo minucioso y fundado en criterios y procedimientos aceptados por la comunidad científica—; (ii) la declaración inculpatoria de la denunciante, hoy recurrente en amparo, cuya credibilidad se estimó minorada atendidas las contradicciones que se apreciaban entre la versión de los hechos dada a la Guardia Civil y el relato efectuado en presencia judicial; y (iii) la declaración autoexculpatoria del investigado, a la que se otorgó plena credibilidad, dado que “tampoco concurren [en él] circunstancias personales que permitan apreciar indicios de dicho tipo de conductas delictivas”, carece de antecedentes penales y “manifiesta tener problemas con la denunciante para poder tener al menor en su compañía desde que se establecieron judicialmente las medidas paternofiliales”.</w:t>
      </w:r>
    </w:p>
    <w:p w14:paraId="2D965DCD" w14:textId="77777777" w:rsidR="008D479B" w:rsidRDefault="008D479B" w:rsidP="008D479B">
      <w:pPr>
        <w:pStyle w:val="TextoNormal"/>
      </w:pPr>
    </w:p>
    <w:p w14:paraId="0A514EF3" w14:textId="77777777" w:rsidR="008D479B" w:rsidRDefault="008D479B" w:rsidP="008D479B">
      <w:pPr>
        <w:pStyle w:val="TextoNormal"/>
      </w:pPr>
      <w:r>
        <w:t>b) Vulneración del derecho fundamental a la tutela judicial efectiva (art. 24.1 CE) por insuficiencia de la investigación desarrollada, atendiendo al deber del Estado de proteger el interés superior de las personas menores de edad (art. 39.4 CE)</w:t>
      </w:r>
    </w:p>
    <w:p w14:paraId="175FB470" w14:textId="77777777" w:rsidR="008D479B" w:rsidRDefault="008D479B" w:rsidP="008D479B">
      <w:pPr>
        <w:pStyle w:val="TextoNormal"/>
      </w:pPr>
    </w:p>
    <w:p w14:paraId="46A02AC6" w14:textId="77777777" w:rsidR="008D479B" w:rsidRDefault="008D479B" w:rsidP="008D479B">
      <w:pPr>
        <w:pStyle w:val="TextoNormal"/>
      </w:pPr>
      <w:r>
        <w:t>Se afirma en la demanda de amparo que el derecho fundamental a la tutela judicial efectiva en supuestos de denuncias relativas a abusos sexuales a menores debe ser interpretado de una forma especial, favoreciendo siempre el impulso de la investigación, y que las resoluciones recurridas no tienen en cuenta el principio de protección del interés superior del menor, que en estos casos se concreta en la necesidad de impulsar la investigación y proteger a las víctimas menores, teniendo presente la dificultad intrínseca de probar hechos de esta naturaleza dada la ausencia de secuelas físicas y la edad (en este caso muy corta) de tales víctimas, y el riesgo de reincidencia en la conducta, lo cual exige aplicar un componente de máxima cautela en el cumplimiento de las obligaciones de protección que incumben al Estado.</w:t>
      </w:r>
    </w:p>
    <w:p w14:paraId="51518B6B" w14:textId="77777777" w:rsidR="008D479B" w:rsidRDefault="008D479B" w:rsidP="008D479B">
      <w:pPr>
        <w:pStyle w:val="TextoNormal"/>
      </w:pPr>
    </w:p>
    <w:p w14:paraId="45D31D47" w14:textId="77777777" w:rsidR="008D479B" w:rsidRDefault="008D479B" w:rsidP="008D479B">
      <w:pPr>
        <w:pStyle w:val="TextoNormal"/>
      </w:pPr>
      <w:r>
        <w:t>Esta queja debe desestimarse. La investigación llevada a cabo por la juzgadora fue suficiente y se ajustó al canon reforzado aplicable a las víctimas vulnerables de la violencia que tiene lugar en el seno de la familia, recogido en la citada STC 87/2020, FJ 3 C). La actividad investigadora no se limitó a constatar la existencia de versiones contradictorias entre la madre denunciante y el padre investigado, sino que incluyó otras diligencias directamente encaminadas a contrastar la veracidad de tales versiones, entre ellas y de manera señalada, la petición de una pericia psicológica especializada sobre el menor afectado directamente por los hechos investigados. Esta pericia especializada tenía un doble objeto orientado de manera específica a proteger el interés del menor: uno, llevar a cabo una evaluación de su estado y seguimiento de su evolución, para protegerlo de la denunciada violencia sexual y para proporcionarle la ayuda profesional que pudiera precisar (las psicólogas que se encargaron del caso consideraron que no necesitaba tratamiento al respecto); dos, valorar la conveniencia y utilidad de efectuar una prueba testifical preconstituida, lo que significa que a la juzgadora le preocupaba, antes que la eficacia de la acción penal, la integridad del menor, de cinco años, que debía anteponerse a cualquier otro interés público. El informe fue emitido por una asociación con la que la administración autonómica tenía concertado, en el ámbito de la Audiencia Provincial de Almería, el asesoramiento a jueces y tribunales sobre agresiones sexuales a menores. Lo firmaban dos psicólogas, una encargada del estudio y seguimiento del menor, la otra en funciones de control de la experticia. La simple lectura del informe muestra que se trataba de un trabajo riguroso, profesional y de calidad, en que se indicaban con precisión la metodología del estudio y las técnicas utilizadas, procedimientos aceptados por la comunidad científica para el análisis de credibilidad del testimonio de menores (CBCA). No se detectan contradicciones ni inconsistencias en el mismo.</w:t>
      </w:r>
    </w:p>
    <w:p w14:paraId="433231D5" w14:textId="77777777" w:rsidR="008D479B" w:rsidRDefault="008D479B" w:rsidP="008D479B">
      <w:pPr>
        <w:pStyle w:val="TextoNormal"/>
      </w:pPr>
    </w:p>
    <w:p w14:paraId="6F9281FE" w14:textId="77777777" w:rsidR="008D479B" w:rsidRDefault="008D479B" w:rsidP="008D479B">
      <w:pPr>
        <w:pStyle w:val="TextoNormal"/>
      </w:pPr>
      <w:r>
        <w:t>Esta diligencia, su objeto y la especialidad de los profesionales a los que se dirigía el requerimiento de la jueza es fundamental para entender que el órgano judicial tuvo en cuenta, en primer lugar, el interés superior del menor, antes que el de la acción penal. La queja de la demandante de amparo en este punto debe, por ello, desestimarse.</w:t>
      </w:r>
    </w:p>
    <w:p w14:paraId="119B46BA" w14:textId="77777777" w:rsidR="008D479B" w:rsidRDefault="008D479B" w:rsidP="008D479B">
      <w:pPr>
        <w:pStyle w:val="TextoNormal"/>
      </w:pPr>
    </w:p>
    <w:p w14:paraId="3112FA0E" w14:textId="77777777" w:rsidR="008D479B" w:rsidRDefault="008D479B" w:rsidP="008D479B">
      <w:pPr>
        <w:pStyle w:val="TextoNormal"/>
      </w:pPr>
      <w:r>
        <w:t>c) Vulneración de las garantías constitucionales de inmediación y contradicción y del derecho a usar los medios de prueba pertinentes para la defensa (art. 24.2 CE)</w:t>
      </w:r>
    </w:p>
    <w:p w14:paraId="35AF848A" w14:textId="77777777" w:rsidR="008D479B" w:rsidRDefault="008D479B" w:rsidP="008D479B">
      <w:pPr>
        <w:pStyle w:val="TextoNormal"/>
      </w:pPr>
    </w:p>
    <w:p w14:paraId="32D3A4C4" w14:textId="77777777" w:rsidR="008D479B" w:rsidRDefault="008D479B" w:rsidP="008D479B">
      <w:pPr>
        <w:pStyle w:val="TextoNormal"/>
      </w:pPr>
      <w:r>
        <w:t>Se afirma en la demanda que el informe de la Fundación Márgenes y Vínculos —utilizado como elemento nuclear para justificar la decisión de sobreseimiento y archivo— no ha sido sometido a contradicción de las partes con todas las garantías, señaladamente la garantía de inmediación, dado que la ratificación de los informes periciales está prevista por la Ley de enjuiciamiento criminal para la fase de juicio oral y las resoluciones recurridas vedan precisamente el acceso a dicha fase, con lo que se ha privado a la recurrente (que ostenta la condición de acusadora particular en las diligencias previas) de toda posibilidad de formular preguntas, pedir aclaraciones a los peritos, presentar objeciones a las aseveraciones contenidas en el informe o presentar, incluso, informe pericial contradictorio, lo que constituye una clara vulneración del principio acusatorio y de su derecho a un proceso con todas las garantías.</w:t>
      </w:r>
    </w:p>
    <w:p w14:paraId="40F2DDFD" w14:textId="77777777" w:rsidR="008D479B" w:rsidRDefault="008D479B" w:rsidP="008D479B">
      <w:pPr>
        <w:pStyle w:val="TextoNormal"/>
      </w:pPr>
    </w:p>
    <w:p w14:paraId="044285C9" w14:textId="77777777" w:rsidR="008D479B" w:rsidRDefault="008D479B" w:rsidP="008D479B">
      <w:pPr>
        <w:pStyle w:val="TextoNormal"/>
      </w:pPr>
      <w:r>
        <w:t>También esta queja debe ser desestimada al no apreciarse que la actividad judicial produjera indefensión material a la demandante de amparo. Conviene tener en cuenta en este punto la cronología del proceso. La denuncia se formuló el 14 de octubre de 2019, se incoaron diligencias previas el día 30 de ese mismo mes y la causa fue sobreseída el día 1 de julio de 2020. El 14 de enero de 2020, la denunciante y madre del menor solicitó abogado de oficio para el menor, y al cabo de escasos días fueron nombrados procurador y abogado de oficio que asumieron su representación y defensa en la causa. A partir de ese momento, todas las providencias y diligencias (entre ellas la que acordó la pericia psicológica) le fueron notificadas a través de su procurador, y pudo haber propuesto todas las diligencias de investigación que considerase necesarias o pertinentes.</w:t>
      </w:r>
    </w:p>
    <w:p w14:paraId="01F84B53" w14:textId="77777777" w:rsidR="008D479B" w:rsidRDefault="008D479B" w:rsidP="008D479B">
      <w:pPr>
        <w:pStyle w:val="TextoNormal"/>
      </w:pPr>
    </w:p>
    <w:p w14:paraId="32F8D13A" w14:textId="77777777" w:rsidR="008D479B" w:rsidRDefault="008D479B" w:rsidP="008D479B">
      <w:pPr>
        <w:pStyle w:val="TextoNormal"/>
      </w:pPr>
      <w:r>
        <w:t>En ningún momento la denunciante, constituida ya en acusación particular, solicitó la práctica de diligencias de investigación. No fue hasta un momento posterior, una vez la causa había sido ya sobreseída y archivada que, por la vía del recurso de reforma, solicitó la exploración judicial del menor y la práctica de pericial de contraste, con el añadido de que esa solicitud se hizo desde la premisa de que debía abrirse juicio oral y a efectos de la práctica de la prueba en el plenario, no para introducir elementos opuestos a la decisión de sobreseer, que la recurrente consideraba infundada desde la consideración de que las diligencias ya practicadas aportaban el material incriminatorio preciso para pasar a la siguiente fase procesal. De forma semejante, la recurrente no denuncia en sus recursos de reforma y apelación y tampoco en su recurso de amparo la falta de contradicción en instrucción respecto del informe pericial encargado por el órgano instructor, sino que el sobreseimiento ha impedido que pudiera impugnarlo y rebatirlo en el juicio oral, en el “momento procesal oportuno”, según dice en la demanda de amparo.</w:t>
      </w:r>
    </w:p>
    <w:p w14:paraId="48C0D2FE" w14:textId="77777777" w:rsidR="008D479B" w:rsidRDefault="008D479B" w:rsidP="008D479B">
      <w:pPr>
        <w:pStyle w:val="TextoNormal"/>
      </w:pPr>
    </w:p>
    <w:p w14:paraId="66CB5CF9" w14:textId="77777777" w:rsidR="008D479B" w:rsidRDefault="008D479B" w:rsidP="008D479B">
      <w:pPr>
        <w:pStyle w:val="TextoNormal"/>
      </w:pPr>
      <w:r>
        <w:t>En todo caso, y de conformidad con la doctrina expuesta en el anterior fundamento, los argumentos de la recurrente no pueden ser acogidos. Debe recordarse, de un lado, que la garantía de contradicción que ampara al acusador particular en fase de instrucción como principio esencial del proceso penal en aras de garantizar su tutela judicial efectiva no se ha visto lesionada, pues tuvo posibilidad de rebatir el citado informe, sin que el principio de inmediación se vea lesionado en la realización de la actividad investigadora. De otro lado, las peticiones de que se practicaran nuevas diligencias probatorias —la exploración del menor a través de prueba preconstituida y pericial de parte— fueron rechazadas razonada y razonablemente. En concreto, el auto desestimatorio del recurso de apelación opone la ausencia de elementos probatorios suficientes para sustentar la comisión del delito por el investigado y la recomendación de las psicólogas autoras del informe pericial de no proceder a un nuevo testimonio del menor, que podría afectar a su adaptación positiva y despertar en él inseguridades y miedos que afecten a su bienestar, argumento también destacado en el auto desestimatorio de la reforma.</w:t>
      </w:r>
    </w:p>
    <w:p w14:paraId="6E944BB4" w14:textId="77777777" w:rsidR="008D479B" w:rsidRDefault="008D479B" w:rsidP="008D479B">
      <w:pPr>
        <w:pStyle w:val="TextoNormal"/>
      </w:pPr>
    </w:p>
    <w:p w14:paraId="198E596C" w14:textId="77777777" w:rsidR="008D479B" w:rsidRDefault="008D479B" w:rsidP="008D479B">
      <w:pPr>
        <w:pStyle w:val="TextoNormal"/>
      </w:pPr>
      <w:r>
        <w:t xml:space="preserve">El repaso de lo aducido en el proceso </w:t>
      </w:r>
      <w:r w:rsidRPr="008D479B">
        <w:rPr>
          <w:i/>
        </w:rPr>
        <w:t>a quo</w:t>
      </w:r>
      <w:r>
        <w:t xml:space="preserve"> y en la demanda de amparo revela que esas diligencias de investigación se pidieron, no como diligencias de instrucción en sentido estricto, sino como diligencias complementarias. En otras palabras, la hoy recurrente no solicitó en momento alguno —tampoco lo hace en su demanda de amparo— la reapertura de la fase de instrucción a fin de que se pudiera someter a contradicción el informe pericial ante la jueza instructora y se practicasen, en su caso, las diligencias interesadas y cuantas otras hubieran podido derivar de ellas. Lo solicitado por ella —también en la demanda de amparo— fue la sustitución de la decisión de sobreseimiento y archivo por otra que, manteniendo el cierre de la fase investigadora o de instrucción, diera paso a la fase intermedia del proceso penal, acordando la transformación de la causa en procedimiento abreviado y la celebración de juicio oral (ya con el resultado de la exploración del menor como prueba preconstituida y con un segundo informe pericial propio para contradecir el elaborado durante la instrucción como fuente de prueba), que es cuestión bien distinta. Para atender a tal petición, este tribunal debería realizar una labor de valoración de los resultados de las diligencias desarrolladas durante la instrucción de la causa que corresponde a los órganos de la jurisdicción ordinaria, y queda fuera de la competencia y funciones de esta jurisdicción constitucional. La jurisdicción constitucional podrá, a lo sumo, revisar que la decisión adoptada por los órganos de la jurisdicción ordinaria se asienta sobre una razonada y razonable concurrencia de los motivos legalmente previstos para acordar el sobreseimiento, libre o provisional (arts. 637 y 641 LECrim y, dado el caso, art. 779.1.1 LECrim), requisito que, como ya se ha indicado en el apartado a) de este fundamento jurídico, se cumple en este caso. Esta pretensión debe ser, por ello, desestimada.</w:t>
      </w:r>
    </w:p>
    <w:p w14:paraId="50517444" w14:textId="77777777" w:rsidR="008D479B" w:rsidRDefault="008D479B" w:rsidP="008D479B">
      <w:pPr>
        <w:pStyle w:val="TextoNormal"/>
      </w:pPr>
    </w:p>
    <w:p w14:paraId="59BF32D0" w14:textId="5FE646F8" w:rsidR="008D479B" w:rsidRDefault="008D479B" w:rsidP="008D479B">
      <w:pPr>
        <w:pStyle w:val="TextoNormal"/>
      </w:pPr>
      <w:r>
        <w:t>Como consecuencia de todo lo anteriormente expuesto, procede la íntegra desestimación del recurso de amparo.</w:t>
      </w:r>
    </w:p>
    <w:p w14:paraId="704B8F5D" w14:textId="77777777" w:rsidR="008D479B" w:rsidRDefault="008D479B" w:rsidP="008D479B">
      <w:pPr>
        <w:pStyle w:val="TextoNormal"/>
      </w:pPr>
    </w:p>
    <w:p w14:paraId="1A4F09F5" w14:textId="77777777" w:rsidR="008D479B" w:rsidRDefault="008D479B" w:rsidP="008D479B">
      <w:pPr>
        <w:pStyle w:val="TextoNormalCentrado"/>
        <w:keepNext/>
      </w:pPr>
      <w:r>
        <w:t>FALLO</w:t>
      </w:r>
    </w:p>
    <w:p w14:paraId="17AC7DA0" w14:textId="4F5C12EE" w:rsidR="008D479B" w:rsidRDefault="008D479B" w:rsidP="008D479B">
      <w:pPr>
        <w:pStyle w:val="TextoNormalCentrado"/>
        <w:keepNext/>
      </w:pPr>
    </w:p>
    <w:p w14:paraId="114F2B2A" w14:textId="253795B8" w:rsidR="008D479B" w:rsidRDefault="008D479B" w:rsidP="008D479B">
      <w:pPr>
        <w:pStyle w:val="TextoNormal"/>
      </w:pPr>
      <w:r>
        <w:t>En atención a todo lo expuesto, el Tribunal Constitucional, por la autoridad que le confiere la Constitución de la Nación española, ha decidido desestimar el recurso de amparo interpuesto por doña M.C.I.T.</w:t>
      </w:r>
    </w:p>
    <w:p w14:paraId="61C8EF2E" w14:textId="77777777" w:rsidR="008D479B" w:rsidRDefault="008D479B" w:rsidP="008D479B">
      <w:pPr>
        <w:pStyle w:val="TextoNormal"/>
      </w:pPr>
    </w:p>
    <w:p w14:paraId="4F69DF14" w14:textId="77777777" w:rsidR="008D479B" w:rsidRDefault="008D479B" w:rsidP="008D479B">
      <w:pPr>
        <w:pStyle w:val="TextoNormal"/>
      </w:pPr>
      <w:r>
        <w:t>Publíquese esta sentencia en el “Boletín Oficial del Estado”.</w:t>
      </w:r>
    </w:p>
    <w:p w14:paraId="2EA38B4B" w14:textId="77777777" w:rsidR="008D479B" w:rsidRDefault="008D479B" w:rsidP="008D479B">
      <w:pPr>
        <w:pStyle w:val="TextoNormal"/>
      </w:pPr>
      <w:r>
        <w:t>Dada en Madrid, a veintitrés de octubre de dos mil veintitrés.</w:t>
      </w:r>
    </w:p>
    <w:p w14:paraId="5378B4B3" w14:textId="2B9FDB0F" w:rsidR="008D479B" w:rsidRDefault="008D479B" w:rsidP="008D479B">
      <w:pPr>
        <w:pStyle w:val="ParrafoNormal"/>
      </w:pPr>
    </w:p>
    <w:p w14:paraId="089E1BB3" w14:textId="77777777" w:rsidR="008D479B" w:rsidRDefault="008D479B" w:rsidP="008D479B">
      <w:pPr>
        <w:pStyle w:val="TextoNormalNegritaCentrado"/>
        <w:keepNext/>
      </w:pPr>
      <w:r>
        <w:t>Voto particular que formulan las magistradas doña Inmaculada Montalbán Huertas y doña María Luisa Balaguer Callejón respecto de la sentencia pronunciada en el recurso de amparo núm. 3409-2021</w:t>
      </w:r>
    </w:p>
    <w:p w14:paraId="25C0E550" w14:textId="7429F4B8" w:rsidR="008D479B" w:rsidRDefault="008D479B" w:rsidP="008D479B">
      <w:pPr>
        <w:pStyle w:val="TextoNormalNegritaCentrado"/>
        <w:keepNext/>
      </w:pPr>
    </w:p>
    <w:p w14:paraId="357EB49F" w14:textId="77777777" w:rsidR="008D479B" w:rsidRDefault="008D479B" w:rsidP="008D479B">
      <w:pPr>
        <w:pStyle w:val="TextoNormal"/>
      </w:pPr>
      <w:r>
        <w:t>En el ejercicio de la facultad que nos confiere el artículo 90.2 de la Ley Orgánica del Tribunal Constitucional, y con el máximo respeto a la opinión de la mayoría, formulamos el presente voto particular tanto por discrepar con su fundamentación jurídica como con el fallo desestimatorio de la sentencia. A nuestro juicio, la sentencia aprobada por la mayoría de la Sala realiza un análisis en exceso formalista del asunto sometido a enjuiciamiento y omite pronunciarse acerca de la cuestión de fondo que justificó la admisión a trámite del recurso; esto es, la exhaustividad exigible a la investigación criminal cuando esta afecta a la protección de las personas menores de edad frente a la violencia sexual. Consideramos que, de haberse abordado el asunto desde esta perspectiva, el resultado final habría sido necesariamente estimatorio de las dos quejas de la recurrente en amparo. Tanto por la vulneración de la tutela judicial en el acceso al proceso (art. 24.1 CE), como en el derecho a un proceso con todas las garantías, incluyendo la garantía de contradicción en la fase de instrucción judicial (art. 24.2 CE).</w:t>
      </w:r>
    </w:p>
    <w:p w14:paraId="41D1839E" w14:textId="77777777" w:rsidR="008D479B" w:rsidRDefault="008D479B" w:rsidP="008D479B">
      <w:pPr>
        <w:pStyle w:val="TextoNormal"/>
      </w:pPr>
    </w:p>
    <w:p w14:paraId="66BD3A3A" w14:textId="77777777" w:rsidR="008D479B" w:rsidRDefault="008D479B" w:rsidP="008D479B">
      <w:pPr>
        <w:pStyle w:val="TextoNormal"/>
      </w:pPr>
      <w:r>
        <w:t xml:space="preserve">1. </w:t>
      </w:r>
      <w:r w:rsidRPr="008D479B">
        <w:rPr>
          <w:i/>
        </w:rPr>
        <w:t>Especial trascendencia constitucional del recurso de amparo: canon de constitucionalidad aplicable a la investigación judicial de delitos relacionados con la violencia sexual cometidos sobre personas menores de edad</w:t>
      </w:r>
    </w:p>
    <w:p w14:paraId="4AD1D212" w14:textId="77777777" w:rsidR="008D479B" w:rsidRDefault="008D479B" w:rsidP="008D479B">
      <w:pPr>
        <w:pStyle w:val="TextoNormal"/>
      </w:pPr>
    </w:p>
    <w:p w14:paraId="63FE489E" w14:textId="77777777" w:rsidR="008D479B" w:rsidRDefault="008D479B" w:rsidP="008D479B">
      <w:pPr>
        <w:pStyle w:val="TextoNormal"/>
      </w:pPr>
      <w:r>
        <w:t>La cuestión planteada en este recurso de amparo gozaba de especial trascendencia constitucional (art. 50.1 LOTC) porque ofrecía al Tribunal la ocasión para fijar doctrina sobre un problema o faceta de un derecho fundamental [STC 155/2009, FJ 2 a)], sobre el que la doctrina preexistente resultaba insuficiente; en concreto, la determinación del alcance y exigencias del derecho a la tutela judicial efectiva (art. 24.1 CE), en su dimensión de derecho a una investigación adecuada y eficaz, cuando estaba afectada la protección de las personas menores de edad frente a la violencia sexual.</w:t>
      </w:r>
    </w:p>
    <w:p w14:paraId="5C8C224B" w14:textId="77777777" w:rsidR="008D479B" w:rsidRDefault="008D479B" w:rsidP="008D479B">
      <w:pPr>
        <w:pStyle w:val="TextoNormal"/>
      </w:pPr>
    </w:p>
    <w:p w14:paraId="188823CB" w14:textId="77777777" w:rsidR="008D479B" w:rsidRDefault="008D479B" w:rsidP="008D479B">
      <w:pPr>
        <w:pStyle w:val="TextoNormal"/>
      </w:pPr>
      <w:r>
        <w:t>La necesidad de investigación exhaustiva y eficaz ha sido objeto de amplio tratamiento en la doctrina de este tribunal en supuestos de denuncias por delitos de torturas y tratos inhumanos o degradantes cometidos por las fuerzas y cuerpos de seguridad del Estado (por todas, SSTC 34/2008, de 25 de febrero; 131/2012, de 18 de junio, y 53/2022, de 4 de abril). También nos hemos pronunciado acerca de esta materia cuando se trata de la investigación de hechos relacionados con la violencia de género, cometidos bajo el ámbito de privacidad característico de las relaciones entre particulares unidos por un vínculo familiar y/o afectivo (STC 87/2020, de 20 de julio). No existe, sin embargo, hasta la fecha, ninguna decisión de este tribunal que de modo específico determine el canon constitucionalmente exigible a la investigación judicial cuando lo investigado sean hechos de apariencia delictiva cometidos sobre personas menores de edad.</w:t>
      </w:r>
    </w:p>
    <w:p w14:paraId="45A35162" w14:textId="77777777" w:rsidR="008D479B" w:rsidRDefault="008D479B" w:rsidP="008D479B">
      <w:pPr>
        <w:pStyle w:val="TextoNormal"/>
      </w:pPr>
    </w:p>
    <w:p w14:paraId="329FD235" w14:textId="77777777" w:rsidR="008D479B" w:rsidRDefault="008D479B" w:rsidP="008D479B">
      <w:pPr>
        <w:pStyle w:val="TextoNormal"/>
      </w:pPr>
      <w:r>
        <w:t>En definitiva, el caso sometido a examen ofrecía a este tribunal la ocasión de fijar doctrina sobre el derecho a la tutela judicial efectiva y sus garantías constitucionales en el proceso penal, desde la óptica del principio de protección del interés superior del menor (art. 39 CE).</w:t>
      </w:r>
    </w:p>
    <w:p w14:paraId="6FAE34C6" w14:textId="77777777" w:rsidR="008D479B" w:rsidRDefault="008D479B" w:rsidP="008D479B">
      <w:pPr>
        <w:pStyle w:val="TextoNormal"/>
      </w:pPr>
    </w:p>
    <w:p w14:paraId="460FE039" w14:textId="77777777" w:rsidR="008D479B" w:rsidRDefault="008D479B" w:rsidP="008D479B">
      <w:pPr>
        <w:pStyle w:val="TextoNormal"/>
      </w:pPr>
      <w:r>
        <w:t>La sentencia aprobada por la mayoría hace una somera exposición de la doctrina elaborada por este tribunal en relación con el derecho a la tutela judicial efectiva (art. 24.1 CE), en su dimensión de acceso a la jurisdicción mediante el ejercicio de la acción penal —investigación suficiente y eficaz—, así como acerca de la tutela del interés superior de la persona menor de edad (art. 39 CE). Sin embargo, no conecta ambas doctrinas a efectos de derivar la que, con todo respeto, consideramos era consecuencia lógica de tal proceso: la necesidad de aplicar un canon de exigencia reforzado a la investigación de delitos relacionados con la violencia sexual de los que aparezca como víctima una persona menor de edad. En otras palabras, la sentencia aprobada por la mayoría de la Sala se limita a recordar los reiterados pronunciamientos de este tribunal relativos a la obligación de los poderes públicos de proteger el interés superior de las personas menores de edad, pero no concreta esta obligación genérica en la aplicación de un canon de exigencia reforzado a esta clase de investigaciones.</w:t>
      </w:r>
    </w:p>
    <w:p w14:paraId="776E195C" w14:textId="77777777" w:rsidR="008D479B" w:rsidRDefault="008D479B" w:rsidP="008D479B">
      <w:pPr>
        <w:pStyle w:val="TextoNormal"/>
      </w:pPr>
    </w:p>
    <w:p w14:paraId="58812C77" w14:textId="77777777" w:rsidR="008D479B" w:rsidRDefault="008D479B" w:rsidP="008D479B">
      <w:pPr>
        <w:pStyle w:val="TextoNormal"/>
      </w:pPr>
      <w:r>
        <w:t>Este canon reforzado (deber de investigación suficiente y eficaz) implicaría —en los términos expresados en la STC 87/2020, de 20 de julio, FJ 3 b)— la exigencia de una instrucción que profundizase sobre los hechos denunciados con el fin de descartar toda sospecha fundada de delito lo que, a su vez, requeriría abundar en la investigación allí donde no se hubieran agotado las posibilidades razonables de indagación sobre los hechos de apariencia delictiva, vulnerándose el derecho a la tutela judicial efectiva si el órgano judicial clausurase precipitada o inmotivadamente la investigación penal.</w:t>
      </w:r>
    </w:p>
    <w:p w14:paraId="317B6A32" w14:textId="77777777" w:rsidR="008D479B" w:rsidRDefault="008D479B" w:rsidP="008D479B">
      <w:pPr>
        <w:pStyle w:val="TextoNormal"/>
      </w:pPr>
    </w:p>
    <w:p w14:paraId="16FB6653" w14:textId="77777777" w:rsidR="008D479B" w:rsidRDefault="008D479B" w:rsidP="008D479B">
      <w:pPr>
        <w:pStyle w:val="TextoNormal"/>
      </w:pPr>
      <w:r>
        <w:t xml:space="preserve">Esta es, por lo demás, la doctrina asumida por el Tribunal Europeo de Derechos Humanos en su sentencia de 2 de febrero de 2021, Gran Sala, asunto </w:t>
      </w:r>
      <w:r w:rsidRPr="008D479B">
        <w:rPr>
          <w:i/>
        </w:rPr>
        <w:t>X y otros c. Bulgaria</w:t>
      </w:r>
      <w:r>
        <w:t>. Declara que, en los casos en los que personas menores de edad pueden haber sido víctimas de abusos sexuales, el cumplimiento de las obligaciones positivas derivadas del art. 3 CEDH requiere, en el contexto de los procedimientos internos, la aplicación efectiva del derecho de los niños a que su interés superior sea una consideración primordial y a que se atienda adecuadamente su particular vulnerabilidad y sus correspondientes necesidades, debiendo interpretarse la obligación procesal del art. 3 del Convenio de llevar a cabo una investigación efectiva a la luz de las obligaciones derivadas de los demás instrumentos internacionales aplicables, y más concretamente del Convenio del Consejo de Europa para la protección de los niños contra la explotación y el abuso sexual, hecho en Lanzarote el 25 de octubre de 2007 y ratificado por el Estado español el 22 de julio de 2010, Convenio de Lanzarote, (§ 192).</w:t>
      </w:r>
    </w:p>
    <w:p w14:paraId="6D74A74E" w14:textId="77777777" w:rsidR="008D479B" w:rsidRDefault="008D479B" w:rsidP="008D479B">
      <w:pPr>
        <w:pStyle w:val="TextoNormal"/>
      </w:pPr>
    </w:p>
    <w:p w14:paraId="323856A6" w14:textId="77777777" w:rsidR="008D479B" w:rsidRDefault="008D479B" w:rsidP="008D479B">
      <w:pPr>
        <w:pStyle w:val="TextoNormal"/>
      </w:pPr>
      <w:r>
        <w:t>Esta es también, a nuestro juicio, la conclusión que deriva de forma inevitable de los tratados internacionales en materia de derechos humanos válidamente ratificados por el Estado español, que han de servir como guía para la interpretación de los derechos fundamentales y libertades que la Constitución reconoce (art. 10.2 CE). Entre estos acuerdos destaca la Convención sobre los derechos del niño, adoptada por la Asamblea General de las Naciones Unidas el 20 de noviembre de 1989, cuyo art. 19 recoge expresamente la obligación de los Estados parte de adoptar todas las medidas apropiadas para proteger a las personas menores de edad contra toda forma de perjuicio o abuso físico o mental, descuido o trato negligente, malos tratos o explotación, incluido el abuso sexual. El Convenio de Lanzarote, que viene a desarrollar este mandato en el ámbito del Consejo de Europa, establece, por su parte, art. 30, apartado 1, la obligación de los Estados parte de adoptar “las medidas legislativas y de otro tipo que sean necesarias para garantizar que las investigaciones y actuaciones penales se lleven a cabo en el interés superior del niño y dentro del respeto a sus derechos”; e insiste, art. 30, apartado 5, en la necesidad de que cada parte garantice la investigación y enjuiciamiento efectivos de los delitos tipificados con arreglo al propio Convenio (abusos sexuales, prostitución infantil, delitos relacionados con la pornografía infantil y corrupción de personas menores de edad).</w:t>
      </w:r>
    </w:p>
    <w:p w14:paraId="3F31023B" w14:textId="77777777" w:rsidR="008D479B" w:rsidRDefault="008D479B" w:rsidP="008D479B">
      <w:pPr>
        <w:pStyle w:val="TextoNormal"/>
      </w:pPr>
    </w:p>
    <w:p w14:paraId="74E56615" w14:textId="77777777" w:rsidR="008D479B" w:rsidRDefault="008D479B" w:rsidP="008D479B">
      <w:pPr>
        <w:pStyle w:val="TextoNormal"/>
      </w:pPr>
      <w:r>
        <w:t xml:space="preserve">2. </w:t>
      </w:r>
      <w:r w:rsidRPr="008D479B">
        <w:rPr>
          <w:i/>
        </w:rPr>
        <w:t>Aplicación del canon de constitucionalidad reforzado al supuesto de autos</w:t>
      </w:r>
    </w:p>
    <w:p w14:paraId="1016709E" w14:textId="77777777" w:rsidR="008D479B" w:rsidRDefault="008D479B" w:rsidP="008D479B">
      <w:pPr>
        <w:pStyle w:val="TextoNormal"/>
      </w:pPr>
    </w:p>
    <w:p w14:paraId="734E3BDC" w14:textId="77777777" w:rsidR="008D479B" w:rsidRDefault="008D479B" w:rsidP="008D479B">
      <w:pPr>
        <w:pStyle w:val="TextoNormal"/>
      </w:pPr>
      <w:r>
        <w:t>Si trasladamos al supuesto analizado el canon reforzado de eficiencia exigible a las investigaciones penales que acaba de exponerse, habremos de concluir que en este caso se ha producido la denunciada vulneración del derecho fundamental a la tutela judicial efectiva de la recurrente, en su dimensión de acceso a la jurisdicción mediante el ejercicio de la acción penal (art. 24.1 CE).</w:t>
      </w:r>
    </w:p>
    <w:p w14:paraId="189C35E6" w14:textId="77777777" w:rsidR="008D479B" w:rsidRDefault="008D479B" w:rsidP="008D479B">
      <w:pPr>
        <w:pStyle w:val="TextoNormal"/>
      </w:pPr>
    </w:p>
    <w:p w14:paraId="42C97E41" w14:textId="77777777" w:rsidR="008D479B" w:rsidRDefault="008D479B" w:rsidP="008D479B">
      <w:pPr>
        <w:pStyle w:val="TextoNormal"/>
      </w:pPr>
      <w:r>
        <w:t>Las resoluciones judiciales justifican el cierre anticipado de la instrucción penal con los siguientes argumentos: 1) la falta de credibilidad del menor, afirmada por el informe emitido por la Fundación Márgenes y Vínculos; 2) la falta de credibilidad de la denunciante-testigo, debido a las contradicciones observadas entre sus declaraciones prestadas ante la Guardia Civil y en sede judicial; 3) la plena credibilidad de las declaraciones autoexculpatorias del investigado, dada la ausencia de circunstancias que “permitan apreciar indicios de dicho tipo de conductas”, que se deduce de la ausencia de antecedentes penales y del reproche a la recurrente de generar problemas para que pueda tener al niño en su compañía desde que se establecieron judicialmente las medidas paterno-filiales, ya que “posee un instinto de sobreprotección exagerado”.</w:t>
      </w:r>
    </w:p>
    <w:p w14:paraId="02F0E60E" w14:textId="77777777" w:rsidR="008D479B" w:rsidRDefault="008D479B" w:rsidP="008D479B">
      <w:pPr>
        <w:pStyle w:val="TextoNormal"/>
      </w:pPr>
    </w:p>
    <w:p w14:paraId="5CDB6E6C" w14:textId="77777777" w:rsidR="008D479B" w:rsidRDefault="008D479B" w:rsidP="008D479B">
      <w:pPr>
        <w:pStyle w:val="TextoNormal"/>
      </w:pPr>
      <w:r>
        <w:t>Consideramos que esta motivación no satisface las exigencias derivadas de ese canon reforzado por las razones que se exponen a continuación y que son proyecciones de la doctrina contenida en el anterior apartado.</w:t>
      </w:r>
    </w:p>
    <w:p w14:paraId="3EBEEA15" w14:textId="77777777" w:rsidR="008D479B" w:rsidRDefault="008D479B" w:rsidP="008D479B">
      <w:pPr>
        <w:pStyle w:val="TextoNormal"/>
      </w:pPr>
    </w:p>
    <w:p w14:paraId="1409A559" w14:textId="77777777" w:rsidR="008D479B" w:rsidRDefault="008D479B" w:rsidP="008D479B">
      <w:pPr>
        <w:pStyle w:val="TextoNormal"/>
      </w:pPr>
      <w:r>
        <w:t>(i) Las resoluciones impugnadas no han tomado adecuadamente en consideración la protección del interés superior del menor afectado, interés superior que —aplicando los criterios generales recogidos en el art. 2, apartado 2, letra c) de la Ley Orgánica 1/1996 de protección jurídica del menor— se identifica con “[l]a conveniencia de que su vida y desarrollo tenga lugar en un entorno familiar adecuado y libre de violencia”. Es cierto que el interés superior del menor se valora en el auto dictado por la Audiencia Provincial, pero a los solos efectos de justificar por qué no se considera procedente su exploración judicial. Ese interés superior no se tiene en cuenta, sin embargo, por ninguno de los órganos judiciales a la hora de justificar la decisión de cierre de la investigación y archivo del caso. Esta decisión se adopta sin ponderar en modo alguno la manera en que el sobreseimiento acordado podría afectar a su seguridad y a su desarrollo personal.</w:t>
      </w:r>
    </w:p>
    <w:p w14:paraId="4A1ABDAD" w14:textId="77777777" w:rsidR="008D479B" w:rsidRDefault="008D479B" w:rsidP="008D479B">
      <w:pPr>
        <w:pStyle w:val="TextoNormal"/>
      </w:pPr>
    </w:p>
    <w:p w14:paraId="46CF3522" w14:textId="77777777" w:rsidR="008D479B" w:rsidRDefault="008D479B" w:rsidP="008D479B">
      <w:pPr>
        <w:pStyle w:val="TextoNormal"/>
      </w:pPr>
      <w:r>
        <w:t>En realidad, las resoluciones recurridas resuelven el pleito siguiendo un esquema más propio de la contienda familiar entre dos partes (denunciante-madre, investigado-padre) y obvian, en esa dinámica, que también están en juego, y de modo destacado, los intereses de una tercera persona, que en ese momento contaba con tan solo cinco años; y más específicamente, el interés en asegurarle una adecuada protección frente a eventuales conductas de violencia sexual.</w:t>
      </w:r>
    </w:p>
    <w:p w14:paraId="39EEDE1C" w14:textId="77777777" w:rsidR="008D479B" w:rsidRDefault="008D479B" w:rsidP="008D479B">
      <w:pPr>
        <w:pStyle w:val="TextoNormal"/>
      </w:pPr>
    </w:p>
    <w:p w14:paraId="68A6D465" w14:textId="77777777" w:rsidR="008D479B" w:rsidRDefault="008D479B" w:rsidP="008D479B">
      <w:pPr>
        <w:pStyle w:val="TextoNormal"/>
      </w:pPr>
      <w:r>
        <w:t>(ii) Las resoluciones impugnadas no justifican de manera razonable la suficiencia de la investigación realizada. Se limitan a realizar una valoración del resultado de las diligencias de investigación practicadas hasta ese momento para concluir, de forma liminar, que no cabe considerar suficientemente acreditada la comisión del delito. No explican, sin embargo, los motivos por los que entienden que la investigación está completa y no es pertinente la práctica de otras diligencias de investigación. A ello se suma el hecho de que la propia resolución del juzgado de instrucción de 2 de diciembre de 2020 reconoce que existen todavía algunas dudas o incógnitas que no han podido despejarse, señaladamente las circunstancias en que el menor transmitió al médico forense las manifestaciones incriminatorias que este recoge en su informe. Con esta aseveración es el propio órgano judicial el que pone claramente de manifiesto la existencia de lagunas en la instrucción, susceptibles de ser colmadas a través de nuevas diligencias de investigación, y, por ende, lo incompleto de esta.</w:t>
      </w:r>
    </w:p>
    <w:p w14:paraId="2061AE7B" w14:textId="77777777" w:rsidR="008D479B" w:rsidRDefault="008D479B" w:rsidP="008D479B">
      <w:pPr>
        <w:pStyle w:val="TextoNormal"/>
      </w:pPr>
    </w:p>
    <w:p w14:paraId="4276C10E" w14:textId="77777777" w:rsidR="008D479B" w:rsidRDefault="008D479B" w:rsidP="008D479B">
      <w:pPr>
        <w:pStyle w:val="TextoNormal"/>
      </w:pPr>
      <w:r>
        <w:t>(iii) La naturaleza de los hechos objeto de la investigación judicial —abuso sexual sobre persona menor de edad— y el entorno estrictamente doméstico en que se situó su eventual comisión, traen consigo una mayor dificultad probatoria, que reclama una exigencia adicional de diligencia en la investigación por parte de los órganos judiciales —con la necesaria colaboración de fiscales, policía judicial y equipos técnicos de apoyo— cuya labor de indagación habrá de ser tanto más minuciosa y exhaustiva cuanto mayor sea su dificultad probatoria intrínseca, derivada del entorno de privacidad y de sigilo en que se suelen desenvolver las relaciones personales entre los componentes de un núcleo familiar o afectivo (STC 87/2020, de 20 de julio).</w:t>
      </w:r>
    </w:p>
    <w:p w14:paraId="01E5ED0B" w14:textId="77777777" w:rsidR="008D479B" w:rsidRDefault="008D479B" w:rsidP="008D479B">
      <w:pPr>
        <w:pStyle w:val="TextoNormal"/>
      </w:pPr>
    </w:p>
    <w:p w14:paraId="0D824C38" w14:textId="77777777" w:rsidR="008D479B" w:rsidRDefault="008D479B" w:rsidP="008D479B">
      <w:pPr>
        <w:pStyle w:val="TextoNormal"/>
      </w:pPr>
      <w:r>
        <w:t>(iv) Las resoluciones impugnadas omiten la exigencia adicional de diligencia y exhaustividad en la investigación, y se conforman con las diligencias de investigación ordenadas al inicio del proceso, sin plantearse la posibilidad de practicar otras posibles encaminadas a avanzar en las líneas de investigación abiertas por las ya practicadas, que hubieran podido aportar elementos probatorios útiles y pertinentes al caso. Así, sin entrar a contradecir la decisión de no practicar la exploración del menor por las mismas razones recogidas en el informe de la Fundación Márgenes y Vínculos y acogidas por la Audiencia Provincial, nada se hizo para verificar si realmente existía la grave situación de conflicto familiar puesta de manifiesto por el investigado para justificar las declaraciones de la denunciante (que parece contradictora con el hecho de que las visitas se llevasen a cabo regularmente y sin incidencias relevantes en el domicilio de la madre); tampoco se ha hecho nada para tratar de determinar cuáles fueron las circunstancias en que el menor refirió al médico forense haber sufrido tocamientos de su padre o los detalles de tal manifestación; nada se ha realizado tampoco para tratar de corroborar la veracidad de los detalles de la declaración de la denunciante-testigo (llamada a ANAR, búsqueda en internet de protocolos de actuación en caso de abusos sexuales la tarde de autos, situación que afirma se produjo con el agente de la policía judicial durante la espera hospitalaria); y nada se ha resuelto tampoco acerca de las diligencias de investigación propuestas por la acusación particular encaminadas a contradecir el informe de la Fundación Márgenes y Vínculos.</w:t>
      </w:r>
    </w:p>
    <w:p w14:paraId="12FFE41B" w14:textId="77777777" w:rsidR="008D479B" w:rsidRDefault="008D479B" w:rsidP="008D479B">
      <w:pPr>
        <w:pStyle w:val="TextoNormal"/>
      </w:pPr>
    </w:p>
    <w:p w14:paraId="1C74316B" w14:textId="77777777" w:rsidR="008D479B" w:rsidRDefault="008D479B" w:rsidP="008D479B">
      <w:pPr>
        <w:pStyle w:val="TextoNormal"/>
      </w:pPr>
      <w:r>
        <w:t>En definitiva, hay vulneración del derecho a la tutela judicial efectiva de la recurrente, en su dimensión de acceso a la jurisdicción mediante el ejercicio de la acción penal (art. 24.1 CE), y de su derecho a utilizar los medios de prueba pertinentes a su defensa (art. 24.2 CE) porque las decisiones judiciales de no proseguir con la indagación penal (i) no explican en modo alguno las razones por las que se cierra la investigación en ese momento procesal concreto considerando innecesaria la práctica de nuevas diligencias de investigación, cuando había diligencias que habrían podido resultar útiles y pertinentes; (ii) dejan sin respuesta la petición de diligencias de investigación oportunamente formulada por la recurrente, parte en el proceso judicial (STC 26/2018, de 5 de marzo, FJ 3); y (iii) no responden al deber de investigar sobre los hechos teniendo en cuenta la específica dificultad probatoria derivada de las circunstancias del caso y el interés superior del menor en quedar adecuadamente protegido de cualesquiera situaciones de violencia. Se archivan las actuaciones sin despejar la sospecha fundada sobre los hechos y su relevancia penal, siendo estos susceptibles de una indagación más profunda (SSTC 34/2008, FJ 4; 26/2018, FJ 3, y 87/2020, FJ 4).</w:t>
      </w:r>
    </w:p>
    <w:p w14:paraId="699FED0F" w14:textId="77777777" w:rsidR="008D479B" w:rsidRDefault="008D479B" w:rsidP="008D479B">
      <w:pPr>
        <w:pStyle w:val="TextoNormal"/>
      </w:pPr>
    </w:p>
    <w:p w14:paraId="40EF0B80" w14:textId="77777777" w:rsidR="008D479B" w:rsidRDefault="008D479B" w:rsidP="008D479B">
      <w:pPr>
        <w:pStyle w:val="TextoNormal"/>
      </w:pPr>
      <w:r>
        <w:t>Desde este punto de vista, la sentencia carece de la perspectiva de protección del menor frente a la violencia, que ha de presidir la resolución de todas las cuestiones referidas a situaciones en que se ven comprometidos, de manera prioritaria, los intereses de una persona menor de edad.</w:t>
      </w:r>
    </w:p>
    <w:p w14:paraId="62932816" w14:textId="77777777" w:rsidR="008D479B" w:rsidRDefault="008D479B" w:rsidP="008D479B">
      <w:pPr>
        <w:pStyle w:val="TextoNormal"/>
      </w:pPr>
    </w:p>
    <w:p w14:paraId="3A6EF576" w14:textId="77777777" w:rsidR="008D479B" w:rsidRDefault="008D479B" w:rsidP="008D479B">
      <w:pPr>
        <w:pStyle w:val="TextoNormal"/>
      </w:pPr>
      <w:r>
        <w:t xml:space="preserve">3. </w:t>
      </w:r>
      <w:r w:rsidRPr="008D479B">
        <w:rPr>
          <w:i/>
        </w:rPr>
        <w:t>Vulneración de la garantía de contradicción (art. 24.2 CE)</w:t>
      </w:r>
    </w:p>
    <w:p w14:paraId="13F5FBDC" w14:textId="77777777" w:rsidR="008D479B" w:rsidRDefault="008D479B" w:rsidP="008D479B">
      <w:pPr>
        <w:pStyle w:val="TextoNormal"/>
      </w:pPr>
    </w:p>
    <w:p w14:paraId="62EC63BF" w14:textId="77777777" w:rsidR="008D479B" w:rsidRDefault="008D479B" w:rsidP="008D479B">
      <w:pPr>
        <w:pStyle w:val="TextoNormal"/>
      </w:pPr>
      <w:r>
        <w:t>La sentencia aprobada por la mayoría llega a la conclusión de que la recurrente no ha visto vulnerada la garantía de contradicción al no apreciarse que la actividad judicial le produjera indefensión. Esta conclusión se apoya en los siguientes argumentos: (i) la hoy demandante de amparo no solicitó la práctica de ninguna diligencia de investigación mientras la instrucción se encontraba abierta, pese a que pudo hacerlo al tener nombrado abogado de oficio desde un momento muy anterior a su cierre; (ii) cuando la demandante solicitó la exploración del menor y la pericial de contraste ya se había dictado el auto de sobreseimiento y archivo de la causa, y tal solicitud no tenía por objeto la reapertura de la fase de instrucción, sino la apertura de la fase de juicio oral, por considerar la demandante que las diligencias practicadas aportaban el material incriminatorio preciso para pasar a dicha fase procesal; y (iii) esta misma es la petición deducida en la demanda de amparo y, para atenderla, este tribunal debería realizar una labor de valoración de los resultados de las diligencias desarrolladas durante la instrucción de la causa que corresponde a los órganos de la jurisdicción ordinaria, y queda fuera de la competencia y funciones de esta jurisdicción constitucional.</w:t>
      </w:r>
    </w:p>
    <w:p w14:paraId="30E0FAD1" w14:textId="77777777" w:rsidR="008D479B" w:rsidRDefault="008D479B" w:rsidP="008D479B">
      <w:pPr>
        <w:pStyle w:val="TextoNormal"/>
      </w:pPr>
    </w:p>
    <w:p w14:paraId="1308AFBF" w14:textId="77777777" w:rsidR="008D479B" w:rsidRDefault="008D479B" w:rsidP="008D479B">
      <w:pPr>
        <w:pStyle w:val="TextoNormal"/>
      </w:pPr>
      <w:r>
        <w:t>Pese a que tales argumentos resultan conformes con la doctrina de este tribunal, consideramos, con todos los respetos a la mayoría de la Sala, que era posible —y adecuado en el caso sometido a enjuiciamiento— efectuar un juicio menos formalista y más enfocado en la afectación material del derecho de la recurrente de amparo a un juicio con todas las garantías (art. 24.2 CE), en concreto, la garantía de contradicción, que estimamos sí resultó vulnerada por los órganos judiciales. Así, si bien es cierto que el punto segundo del suplico de la demanda indica que el reconocimiento de la vulneración del derecho a la tutela judicial efectiva de doña M.C.I.T., por quiebra de los principios de inmediación y contradicción, conlleva “innecesariamente [</w:t>
      </w:r>
      <w:r w:rsidRPr="008D479B">
        <w:rPr>
          <w:i/>
        </w:rPr>
        <w:t>sic</w:t>
      </w:r>
      <w:r>
        <w:t>] la continuación de las diligencias previas en procedimiento abreviado”, también lo es que la solicitud que se dirige al Tribunal consiste única y exclusivamente en que “[s]e declare la nulidad de pleno derecho del auto de fecha 1 de julio de 2020, dictado por el Juzgado de Primera Instancia e Instrucción número 3 de Vera, recurrid[o], así como de la posterior resolución que la confirmó, que no es otra que el auto de fecha 26 de marzo de 2021, dictado por la Ilustrísima Audiencia Provincial de Almería, Sección Tercera” (punto tercero del suplico), y que “[s]e restablezca a mi mandante en la integridad de sus derechos, y en particular del derecho a la tutela judicial efectiva” (punto cuarto del suplico). En otras palabras, no se pide al Tribunal que se pronuncie sobre la apertura de juicio oral en la causa, sino tan solo que anule la resolución que acordó el sobreseimiento provisional y archivo de la causa penal, así como aquella que la confirmó, y que restablezca a la recurrente en la integridad de sus derechos. Se deja así abierta al Tribunal la determinación del modo en que debe producirse el restablecimiento de esos derechos fundamentales, caso de estimarse el amparo, lo que nos habría permitido hacer un pronunciamiento anulatorio de las resoluciones recurridas con retroacción de actuaciones al momento anterior a su dictado, sin exceder en modo alguno las competencias y funciones que este tribunal tiene asignadas.</w:t>
      </w:r>
    </w:p>
    <w:p w14:paraId="09FEE2D4" w14:textId="77777777" w:rsidR="008D479B" w:rsidRDefault="008D479B" w:rsidP="008D479B">
      <w:pPr>
        <w:pStyle w:val="TextoNormal"/>
      </w:pPr>
    </w:p>
    <w:p w14:paraId="6979E819" w14:textId="77777777" w:rsidR="008D479B" w:rsidRDefault="008D479B" w:rsidP="008D479B">
      <w:pPr>
        <w:pStyle w:val="TextoNormal"/>
      </w:pPr>
      <w:r>
        <w:t>Consideramos que esta es la resolución que debió adoptarse por los motivos, también expresados durante la deliberación, que pasamos a exponer:</w:t>
      </w:r>
    </w:p>
    <w:p w14:paraId="529AEED1" w14:textId="77777777" w:rsidR="008D479B" w:rsidRDefault="008D479B" w:rsidP="008D479B">
      <w:pPr>
        <w:pStyle w:val="TextoNormal"/>
      </w:pPr>
    </w:p>
    <w:p w14:paraId="1E805BEA" w14:textId="77777777" w:rsidR="008D479B" w:rsidRDefault="008D479B" w:rsidP="008D479B">
      <w:pPr>
        <w:pStyle w:val="TextoNormal"/>
      </w:pPr>
      <w:r>
        <w:t>(i) El elemento clave que determinó el cierre de la instrucción con la conclusión de que no había indicios de delito fue el informe emitido por la Fundación Márgenes y Vínculos. De hecho, el contenido de este informe, literalmente transcrito en los fundamentos jurídicos de las resoluciones judiciales impugnadas, pasó a constituir el grueso de la argumentación jurídica de la decisión de sobreseimiento y archivo de la causa. Pese a la relevancia que tanto el juzgado de instrucción como la Audiencia Provincial atribuyeron a dicho informe, no se concedió a las partes, en concreto a la hoy demandante —entonces denunciante—, la posibilidad de pedir aclaraciones o formular objeciones en los términos previstos por el art. 483 LECrim.</w:t>
      </w:r>
    </w:p>
    <w:p w14:paraId="305C6D21" w14:textId="77777777" w:rsidR="008D479B" w:rsidRDefault="008D479B" w:rsidP="008D479B">
      <w:pPr>
        <w:pStyle w:val="TextoNormal"/>
      </w:pPr>
    </w:p>
    <w:p w14:paraId="5718E9EA" w14:textId="77777777" w:rsidR="008D479B" w:rsidRDefault="008D479B" w:rsidP="008D479B">
      <w:pPr>
        <w:pStyle w:val="TextoNormal"/>
      </w:pPr>
      <w:r>
        <w:t xml:space="preserve">(ii) La falta de sometimiento del informe a contradicción no es imputable a la actuación procesal de la propia demandante de amparo. Es cierto que meses antes a la decisión de archivo, y a petición de la demandante de amparo, se había procedido al nombramiento de abogado y procurador de oficio al menor. En ese momento la causa se encontraba pendiente de la emisión del informe solicitado a la Fundación Márgenes y Vínculos. Cuando el informe se incorporó a la causa, el juzgado dio traslado del mismo por error a un letrado diferente del que tenía asignada la defensa del menor en ese momento. Ello no obstante, la entonces denunciante —hoy recurrente en amparo— tardó escasos días en presentar un escrito interesando su personación en la causa como acusación particular, y nombrando abogado y procurador de libre designación para asumir su defensa y representación. Del mismo modo, la hoy recurrente en amparo acudió al juzgado a formalizar </w:t>
      </w:r>
      <w:r w:rsidRPr="008D479B">
        <w:rPr>
          <w:i/>
        </w:rPr>
        <w:t>apud acta</w:t>
      </w:r>
      <w:r>
        <w:t xml:space="preserve"> la representación conferida a dichos profesionales antes de la fecha señalada por el juzgado al efecto. En ese momento, el 29 de junio de 2020, se dio traslado de todo lo actuado —incluido el informe de la Fundación Márgenes y Vínculos— a los nuevos profesionales designados por doña M.C.I.T. Dos días después se dictó el auto de sobreseimiento y archivo de la causa. En estas circunstancias parece razonable considerar que la primera vía que tuvo la demandante de amparo para reclamar la contradicción del informe fue precisamente la utilizada, el recurso de reforma frente a la resolución de sobreseimiento y archivo.</w:t>
      </w:r>
    </w:p>
    <w:p w14:paraId="39E1BB98" w14:textId="77777777" w:rsidR="008D479B" w:rsidRDefault="008D479B" w:rsidP="008D479B">
      <w:pPr>
        <w:pStyle w:val="TextoNormal"/>
      </w:pPr>
    </w:p>
    <w:p w14:paraId="2E46A354" w14:textId="77777777" w:rsidR="008D479B" w:rsidRDefault="008D479B" w:rsidP="008D479B">
      <w:pPr>
        <w:pStyle w:val="TextoNormal"/>
      </w:pPr>
      <w:r>
        <w:t>(iii) Compartimos lo manifestado por el Ministerio Fiscal en el sentido de que el informe de la Fundación Márgenes y Vínculos contenía afirmaciones que hubieran precisado de ratificación, aclaración y desarrollo por parte de sus autoras. Así encontramos, en primer lugar, que el juzgado había solicitado de la Fundación que “efectuase seguimiento y evaluación del hijo menor de doña M.C.I.T., y don D.Z.H., y, a la vista del mismo, informase acerca de la conveniencia y utilidad de efectuar una prueba preconstituida de exploración del menor”. El informe emitido rebasó de manera patente el objeto de la encomienda y, además de afirmar la inconveniencia de explorar judicialmente al menor, se extendió a la emisión de una opinión negativa en relación con la credibilidad tanto del menor como de la propia denunciante, y favorable a la ampliación del régimen de visitas entre el menor y el padre investigado (que se justifica con argumentos más propios de un pleito civil de familia que de una investigación penal sobre abusos sexuales en que esta cuestión no se ha planteado). Pero además, el informe dejaba abiertas cuestiones muy relevantes que, desde luego, habrían precisado de alguna aclaración, como el hecho de que la incredibilidad del menor se extendiera únicamente al episodio de autos pero no a otros episodios relatados por el niño, entre los que se encontraban algunos que indicaban una cierta carga sexual en la relación paternofilial o la transmisión del padre al hijo de comportamientos de denigración de la madre, rayanos con la violencia de género.</w:t>
      </w:r>
    </w:p>
    <w:p w14:paraId="509778D2" w14:textId="77777777" w:rsidR="008D479B" w:rsidRDefault="008D479B" w:rsidP="008D479B">
      <w:pPr>
        <w:pStyle w:val="TextoNormal"/>
      </w:pPr>
    </w:p>
    <w:p w14:paraId="38635768" w14:textId="77777777" w:rsidR="008D479B" w:rsidRDefault="008D479B" w:rsidP="008D479B">
      <w:pPr>
        <w:pStyle w:val="TextoNormal"/>
      </w:pPr>
      <w:r>
        <w:t>Por estas razones consideramos que la denegación de la posibilidad de someter ese informe, esencial para la continuación del proceso penal, a contradicción de las partes, hecha de forma tácita y sin expresar las razones que la justifican, constituye una vulneración del derecho a un proceso con todas las garantías (art. 24.2 CE), en concreto la garantía de contradicción.</w:t>
      </w:r>
    </w:p>
    <w:p w14:paraId="323EB22B" w14:textId="77777777" w:rsidR="008D479B" w:rsidRDefault="008D479B" w:rsidP="008D479B">
      <w:pPr>
        <w:pStyle w:val="TextoNormal"/>
      </w:pPr>
    </w:p>
    <w:p w14:paraId="6C6AA24A" w14:textId="2A45F1CA" w:rsidR="008D479B" w:rsidRDefault="008D479B" w:rsidP="008D479B">
      <w:pPr>
        <w:pStyle w:val="TextoNormal"/>
      </w:pPr>
      <w:r>
        <w:t>Madrid, a veintitrés de octubre de dos mil veintitrés</w:t>
      </w:r>
    </w:p>
    <w:p w14:paraId="028A1FE2" w14:textId="07F5DCF9" w:rsidR="008D479B" w:rsidRDefault="008D479B">
      <w:pPr>
        <w:spacing w:after="160" w:line="278" w:lineRule="auto"/>
        <w:rPr>
          <w:rFonts w:ascii="Times New Roman" w:eastAsia="Times New Roman" w:hAnsi="Times New Roman" w:cs="Times New Roman"/>
          <w:sz w:val="24"/>
          <w:szCs w:val="24"/>
          <w:lang w:eastAsia="es-ES"/>
        </w:rPr>
      </w:pPr>
      <w:r>
        <w:br w:type="page"/>
      </w:r>
    </w:p>
    <w:p w14:paraId="26DF35A3" w14:textId="77777777" w:rsidR="008D479B" w:rsidRDefault="008D479B" w:rsidP="008D479B">
      <w:pPr>
        <w:pStyle w:val="TtuloResolucin"/>
      </w:pPr>
      <w:bookmarkStart w:id="57" w:name="SENTENCIA_2023_132"/>
      <w:r>
        <w:t>SENTENCIA 132/2023, de 23 de octubre de 2023</w:t>
      </w:r>
    </w:p>
    <w:bookmarkEnd w:id="57"/>
    <w:p w14:paraId="46EAC2D3" w14:textId="77777777" w:rsidR="008D479B" w:rsidRDefault="008D479B" w:rsidP="008D479B">
      <w:pPr>
        <w:pStyle w:val="TtuloResolucin"/>
      </w:pPr>
      <w:r>
        <w:t>Sala Segunda</w:t>
      </w:r>
    </w:p>
    <w:p w14:paraId="43098E17" w14:textId="77777777" w:rsidR="008D479B" w:rsidRDefault="008D479B" w:rsidP="008D479B">
      <w:pPr>
        <w:pStyle w:val="TtuloBOE"/>
      </w:pPr>
      <w:r>
        <w:t>(BOE núm. 286, de 30 de noviembre de 2023)</w:t>
      </w:r>
    </w:p>
    <w:p w14:paraId="286C20D0" w14:textId="77777777" w:rsidR="008D479B" w:rsidRDefault="008D479B" w:rsidP="008D479B">
      <w:pPr>
        <w:pStyle w:val="TextoNormalCentrado"/>
      </w:pPr>
      <w:r>
        <w:t>ECLI:ES:TC:2023:132</w:t>
      </w:r>
    </w:p>
    <w:p w14:paraId="7B84E204" w14:textId="33DFB694" w:rsidR="008D479B" w:rsidRDefault="008D479B" w:rsidP="008D479B">
      <w:pPr>
        <w:pStyle w:val="TextoNormalCentrado"/>
      </w:pPr>
    </w:p>
    <w:p w14:paraId="66FEDD0A" w14:textId="77777777" w:rsidR="008D479B" w:rsidRDefault="008D479B" w:rsidP="008D479B">
      <w:pPr>
        <w:pStyle w:val="SntesisDescriptiva"/>
      </w:pPr>
      <w:r>
        <w:t>Recurso de amparo 5030-2021. Promovido por doña María Concepción Gamarra Ruiz-Clavijo en relación con los acuerdos de la mesa del Congreso de los Diputados que rechazaron la toma en consideración por el Pleno de la proposición de ley relativa a la creación de la Autoridad Independiente de Recuperación Económica y la mejora de la gobernanza de los fondos europeos de recuperación.</w:t>
      </w:r>
    </w:p>
    <w:p w14:paraId="046A87A1" w14:textId="45479A7F" w:rsidR="008D479B" w:rsidRDefault="008D479B" w:rsidP="008D479B">
      <w:pPr>
        <w:pStyle w:val="SntesisDescriptiva"/>
      </w:pPr>
    </w:p>
    <w:p w14:paraId="3AEAF81C" w14:textId="77777777" w:rsidR="008D479B" w:rsidRDefault="008D479B" w:rsidP="008D479B">
      <w:pPr>
        <w:pStyle w:val="SntesisAnaltica"/>
      </w:pPr>
      <w:r>
        <w:t>Supuesta vulneración del derecho al ejercicio del cargo representativo: veto gubernamental a una iniciativa legislativa susceptible de provocar un incremento de créditos presupuestarios (SSTC 34/2018 y 44/2018). Voto particular.</w:t>
      </w:r>
    </w:p>
    <w:p w14:paraId="4BEEBF86" w14:textId="21364B14" w:rsidR="008D479B" w:rsidRDefault="008D479B" w:rsidP="008D479B">
      <w:pPr>
        <w:pStyle w:val="SntesisAnaltica"/>
      </w:pPr>
    </w:p>
    <w:p w14:paraId="5B8E9F2E" w14:textId="2EC8D0EE" w:rsidR="008D479B" w:rsidRDefault="008D479B" w:rsidP="008D479B">
      <w:pPr>
        <w:pStyle w:val="Extracto"/>
      </w:pPr>
      <w:r>
        <w:t>1.</w:t>
      </w:r>
      <w:r>
        <w:tab/>
        <w:t xml:space="preserve">La mesa del Congreso de los Diputados tiene atribuida la función de revisión del ejercicio por el Gobierno de la facultad de veto, </w:t>
      </w:r>
      <w:r w:rsidRPr="008D479B">
        <w:rPr>
          <w:i/>
        </w:rPr>
        <w:t>ex</w:t>
      </w:r>
      <w:r>
        <w:t xml:space="preserve"> artículo 134.6 CE, sobre las proposiciones de ley presentadas por los grupos parlamentarios; y asimismo puede inadmitir una proposición de ley presentada por un grupo parlamentario (SSTC 34/2018 y 44/2018) [FJ 3].</w:t>
      </w:r>
    </w:p>
    <w:p w14:paraId="5BAB69BB" w14:textId="77777777" w:rsidR="008D479B" w:rsidRDefault="008D479B" w:rsidP="008D479B">
      <w:pPr>
        <w:pStyle w:val="Extracto"/>
      </w:pPr>
    </w:p>
    <w:p w14:paraId="69545949" w14:textId="5F38E996" w:rsidR="008D479B" w:rsidRDefault="008D479B" w:rsidP="008D479B">
      <w:pPr>
        <w:pStyle w:val="Extracto"/>
      </w:pPr>
      <w:r>
        <w:t>2.</w:t>
      </w:r>
      <w:r>
        <w:tab/>
        <w:t>Incumbe a las mesas parlamentarias llevar a cabo un control formal, material y reglado -de carácter técnico-jurídico- sobre el ejercicio de la facultad del Gobierno, si bien no puede responder en ningún caso a criterios de oportunidad política (SSTC 34/2018 y 44/2018) [FJ 3].</w:t>
      </w:r>
    </w:p>
    <w:p w14:paraId="5642EAB8" w14:textId="77777777" w:rsidR="008D479B" w:rsidRDefault="008D479B" w:rsidP="008D479B">
      <w:pPr>
        <w:pStyle w:val="Extracto"/>
      </w:pPr>
    </w:p>
    <w:p w14:paraId="3240A931" w14:textId="395662BC" w:rsidR="008D479B" w:rsidRDefault="008D479B" w:rsidP="008D479B">
      <w:pPr>
        <w:pStyle w:val="Extracto"/>
      </w:pPr>
      <w:r>
        <w:t>3.</w:t>
      </w:r>
      <w:r>
        <w:tab/>
        <w:t>Si la Mesa parlamentaria decide mostrar su conformidad al ejercicio de la facultad de veto por parte del Gobierno a la iniciativa legislativa de un grupo parlamentario y, en consecuencia, inadmitirla, su respuesta debe estar formal y materialmente motivada, a fin de que tras ellas no se esconda un juicio sobre la oportunidad política (SSTC 34/2018 y 44/2018) [FJ 3].</w:t>
      </w:r>
    </w:p>
    <w:p w14:paraId="76864D5A" w14:textId="77777777" w:rsidR="008D479B" w:rsidRDefault="008D479B" w:rsidP="008D479B">
      <w:pPr>
        <w:pStyle w:val="Extracto"/>
      </w:pPr>
    </w:p>
    <w:p w14:paraId="0BCC86F1" w14:textId="797DC840" w:rsidR="008D479B" w:rsidRDefault="008D479B" w:rsidP="008D479B">
      <w:pPr>
        <w:pStyle w:val="Extracto"/>
      </w:pPr>
      <w:r>
        <w:t>4.</w:t>
      </w:r>
      <w:r>
        <w:tab/>
        <w:t>La Mesa parlamentaria debe verificar la motivación aportada por el Gobierno, pero sin que le corresponda sustituir al mismo en el enjuiciamiento del impacto presupuestario, sino tan solo constatar que el mismo es real y efectivo, y no una mera hipótesis (STC 34/2018). El margen de apreciación que se le ha reconocido a las mesas parlamentarias se concreta a verificar si el criterio del Gobierno es o no manifiestamente infundado o arbitrario [FJ 4].</w:t>
      </w:r>
    </w:p>
    <w:p w14:paraId="469FA605" w14:textId="77777777" w:rsidR="008D479B" w:rsidRDefault="008D479B" w:rsidP="008D479B">
      <w:pPr>
        <w:pStyle w:val="Extracto"/>
      </w:pPr>
    </w:p>
    <w:p w14:paraId="204EF736" w14:textId="7EB8AEBF" w:rsidR="008D479B" w:rsidRDefault="008D479B" w:rsidP="008D479B">
      <w:pPr>
        <w:pStyle w:val="Extracto"/>
      </w:pPr>
      <w:r>
        <w:t>5.</w:t>
      </w:r>
      <w:r>
        <w:tab/>
        <w:t>La Mesa parlamentaria no puede desplazar el criterio del Gobierno por el suyo o reemplazarlo por el criterio del grupo que presentó la iniciativa pues, en su actuación, la Mesa debe salvaguardar la competencia que, en exclusiva, atribuye el artículo 134.6 CE al Gobierno, de acuerdo con el principio de lealtad institucional que ha de presidir las relaciones entre órganos constitucionales (STC 34/2018) [FJ 4].</w:t>
      </w:r>
    </w:p>
    <w:p w14:paraId="4CDD7B6F" w14:textId="77777777" w:rsidR="008D479B" w:rsidRDefault="008D479B" w:rsidP="008D479B">
      <w:pPr>
        <w:pStyle w:val="Extracto"/>
      </w:pPr>
    </w:p>
    <w:p w14:paraId="795E4AFC" w14:textId="22BAEDFC" w:rsidR="008D479B" w:rsidRDefault="008D479B" w:rsidP="008D479B">
      <w:pPr>
        <w:pStyle w:val="Extracto"/>
      </w:pPr>
      <w:r>
        <w:t>6.</w:t>
      </w:r>
      <w:r>
        <w:tab/>
        <w:t>En su función de calificación, la Mesa parlamentaria debe mantener su posición de equilibrio entre su deber de garantizar los derechos de los parlamentarios ex art. 23 CE y el respeto del principio de lealtad institucional en su relación con el Gobierno, evitando obstaculizar su actuación [FJ 4].</w:t>
      </w:r>
    </w:p>
    <w:p w14:paraId="1647FFA2" w14:textId="77777777" w:rsidR="008D479B" w:rsidRDefault="008D479B" w:rsidP="008D479B">
      <w:pPr>
        <w:pStyle w:val="Extracto"/>
      </w:pPr>
    </w:p>
    <w:p w14:paraId="5EC70AA6" w14:textId="77777777" w:rsidR="008D479B" w:rsidRDefault="008D479B" w:rsidP="008D479B">
      <w:pPr>
        <w:pStyle w:val="Extracto"/>
      </w:pPr>
    </w:p>
    <w:p w14:paraId="2D38537A" w14:textId="77777777" w:rsidR="008D479B" w:rsidRDefault="008D479B" w:rsidP="008D479B">
      <w:pPr>
        <w:pStyle w:val="TextoNormal"/>
      </w:pPr>
      <w: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14:paraId="63E94AAA" w14:textId="0DC72DE5" w:rsidR="008D479B" w:rsidRDefault="008D479B" w:rsidP="008D479B">
      <w:pPr>
        <w:pStyle w:val="TextoNormal"/>
      </w:pPr>
    </w:p>
    <w:p w14:paraId="6D4008F0" w14:textId="77777777" w:rsidR="008D479B" w:rsidRDefault="008D479B" w:rsidP="008D479B">
      <w:pPr>
        <w:pStyle w:val="TextoNormalCentrado"/>
        <w:keepNext/>
      </w:pPr>
      <w:r>
        <w:t>EN NOMBRE DEL REY</w:t>
      </w:r>
    </w:p>
    <w:p w14:paraId="46762A1F" w14:textId="3E3AB50A" w:rsidR="008D479B" w:rsidRDefault="008D479B" w:rsidP="008D479B">
      <w:pPr>
        <w:pStyle w:val="TextoNormalCentrado"/>
        <w:keepNext/>
      </w:pPr>
    </w:p>
    <w:p w14:paraId="419EE076" w14:textId="77777777" w:rsidR="008D479B" w:rsidRDefault="008D479B" w:rsidP="008D479B">
      <w:pPr>
        <w:pStyle w:val="TextoNormalCentrado"/>
        <w:keepNext/>
      </w:pPr>
    </w:p>
    <w:p w14:paraId="4FD875D4" w14:textId="77777777" w:rsidR="008D479B" w:rsidRDefault="008D479B" w:rsidP="008D479B">
      <w:pPr>
        <w:pStyle w:val="TextoNormal"/>
      </w:pPr>
      <w:r>
        <w:t>la siguiente</w:t>
      </w:r>
    </w:p>
    <w:p w14:paraId="187D49EC" w14:textId="1989A054" w:rsidR="008D479B" w:rsidRDefault="008D479B" w:rsidP="008D479B">
      <w:pPr>
        <w:pStyle w:val="TextoNormal"/>
      </w:pPr>
    </w:p>
    <w:p w14:paraId="3DD85A74" w14:textId="77777777" w:rsidR="008D479B" w:rsidRDefault="008D479B" w:rsidP="008D479B">
      <w:pPr>
        <w:pStyle w:val="TextoNormalCentrado"/>
        <w:keepNext/>
      </w:pPr>
      <w:r>
        <w:t>SENTENCIA</w:t>
      </w:r>
    </w:p>
    <w:p w14:paraId="08ACF55F" w14:textId="6E4DE85E" w:rsidR="008D479B" w:rsidRDefault="008D479B" w:rsidP="008D479B">
      <w:pPr>
        <w:pStyle w:val="TextoNormalCentrado"/>
        <w:keepNext/>
      </w:pPr>
    </w:p>
    <w:p w14:paraId="03DF33B4" w14:textId="77777777" w:rsidR="008D479B" w:rsidRDefault="008D479B" w:rsidP="008D479B">
      <w:pPr>
        <w:pStyle w:val="TextoNormal"/>
      </w:pPr>
      <w:r>
        <w:t>En el recurso de amparo núm. 5030-2021, interpuesto por doña María Concepción Gamarra Ruiz-Clavijo, diputada del Congreso de los Diputados y portavoz del Grupo Parlamentario Popular en dicha Cámara, representada por el procurador de los tribunales don Manuel Sánchez-Puelles González-Carvajal, contra el acuerdo de la mesa del Congreso de los Diputados de 20 de abril de 2021, por el que se acordó la no procedencia de la toma en consideración por el Pleno de la proposición de ley relativa a la creación de la Autoridad Independiente de Recuperación Económica y la mejora de la gobernanza de los fondos europeos de recuperación, así como contra el acuerdo de la mesa del Congreso de los Diputados de 18 de mayo de 2021, por el que se desestima la solicitud de reconsideración presentada por la portavoz de dicho grupo parlamentario frente al acuerdo anterior. Ha sido ponente el magistrado don César Tolosa Tribiño.</w:t>
      </w:r>
    </w:p>
    <w:p w14:paraId="3ED01D31" w14:textId="6E350A76" w:rsidR="008D479B" w:rsidRDefault="008D479B" w:rsidP="008D479B">
      <w:pPr>
        <w:pStyle w:val="TextoNormal"/>
      </w:pPr>
    </w:p>
    <w:p w14:paraId="457A995D" w14:textId="77777777" w:rsidR="008D479B" w:rsidRDefault="008D479B" w:rsidP="008D479B">
      <w:pPr>
        <w:pStyle w:val="TextoNormalNegritaCentrado"/>
        <w:keepNext/>
      </w:pPr>
      <w:r>
        <w:t>I. Antecedentes</w:t>
      </w:r>
    </w:p>
    <w:p w14:paraId="5B8643F3" w14:textId="48E99EB6" w:rsidR="008D479B" w:rsidRDefault="008D479B" w:rsidP="008D479B">
      <w:pPr>
        <w:pStyle w:val="TextoNormalNegritaCentrado"/>
        <w:keepNext/>
      </w:pPr>
    </w:p>
    <w:p w14:paraId="0B1B234A" w14:textId="5BE8952D" w:rsidR="008D479B" w:rsidRDefault="008D479B" w:rsidP="008D479B">
      <w:pPr>
        <w:pStyle w:val="TextoNormal"/>
      </w:pPr>
      <w:r w:rsidRPr="008D479B">
        <w:rPr>
          <w:rStyle w:val="NumeroAFNegritaCaracter"/>
        </w:rPr>
        <w:t>1</w:t>
      </w:r>
      <w:r>
        <w:t>. Mediante escrito presentado en este tribunal el 21 de julio de 2021 don Manuel Sánchez-Puelles González-Carvajal, procurador de los tribunales y de doña María Concepción Gamarra Ruiz-Clavijo portavoz del Grupo Parlamentario Popular en el Congreso de los Diputados, formuló demanda de amparo contra los acuerdos de la mesa del Congreso de los Diputados de los que se ha hecho mérito en el encabezamiento.</w:t>
      </w:r>
    </w:p>
    <w:p w14:paraId="64493924" w14:textId="77777777" w:rsidR="008D479B" w:rsidRDefault="008D479B" w:rsidP="008D479B">
      <w:pPr>
        <w:pStyle w:val="TextoNormal"/>
      </w:pPr>
    </w:p>
    <w:p w14:paraId="0B778F45" w14:textId="77777777" w:rsidR="008D479B" w:rsidRDefault="008D479B" w:rsidP="008D479B">
      <w:pPr>
        <w:pStyle w:val="TextoNormal"/>
      </w:pPr>
      <w:r w:rsidRPr="008D479B">
        <w:rPr>
          <w:rStyle w:val="NumeroAFNegritaCaracter"/>
        </w:rPr>
        <w:t>2</w:t>
      </w:r>
      <w:r>
        <w:t>. Los hechos relevantes para la resolución del caso son los que a continuación se reseñan:</w:t>
      </w:r>
    </w:p>
    <w:p w14:paraId="544930D9" w14:textId="77777777" w:rsidR="008D479B" w:rsidRDefault="008D479B" w:rsidP="008D479B">
      <w:pPr>
        <w:pStyle w:val="TextoNormal"/>
      </w:pPr>
    </w:p>
    <w:p w14:paraId="68CA4A61" w14:textId="77777777" w:rsidR="008D479B" w:rsidRDefault="008D479B" w:rsidP="008D479B">
      <w:pPr>
        <w:pStyle w:val="TextoNormal"/>
      </w:pPr>
      <w:r>
        <w:t>a) Con fecha 23 de febrero de 2021, el Grupo Parlamentario Popular del Congreso de los Diputados registró ante la mesa de dicha Cámara la proposición de ley relativa a la creación de la Autoridad Independiente de Recuperación Económica (AIPRE en adelante) y la mejora de la gobernanza de los fondos europeos de recuperación. A los efectos que interesan al presente recurso de amparo conviene indicar que:</w:t>
      </w:r>
    </w:p>
    <w:p w14:paraId="5DBCF8CF" w14:textId="77777777" w:rsidR="008D479B" w:rsidRDefault="008D479B" w:rsidP="008D479B">
      <w:pPr>
        <w:pStyle w:val="TextoNormal"/>
      </w:pPr>
    </w:p>
    <w:p w14:paraId="6498B850" w14:textId="77777777" w:rsidR="008D479B" w:rsidRDefault="008D479B" w:rsidP="008D479B">
      <w:pPr>
        <w:pStyle w:val="TextoNormal"/>
      </w:pPr>
      <w:r>
        <w:t>En el apartado I de la exposición de motivos de la proposición de ley se indica que la misma tiene su razón de ser en el establecimiento de mecanismos que permitan una ejecución ágil, eficaz y eficiente a través de firmes controles que eviten un uso discrecional y partidista de los fondos que integran el paquete de medidas activado por la Unión Europea para ayudar a reparar los daños económicos y sociales que ha provocado la pandemia de coronavirus, activar la recuperación y preparar un futuro mejor para la próxima generación.</w:t>
      </w:r>
    </w:p>
    <w:p w14:paraId="2BEF6996" w14:textId="77777777" w:rsidR="008D479B" w:rsidRDefault="008D479B" w:rsidP="008D479B">
      <w:pPr>
        <w:pStyle w:val="TextoNormal"/>
      </w:pPr>
    </w:p>
    <w:p w14:paraId="22F1C973" w14:textId="77777777" w:rsidR="008D479B" w:rsidRDefault="008D479B" w:rsidP="008D479B">
      <w:pPr>
        <w:pStyle w:val="TextoNormal"/>
      </w:pPr>
      <w:r>
        <w:t>En el apartado II de la exposición de motivos se expone que en el capítulo I se crea una AIPRE que será la encargada en España de fijar prioridades, criterios de reparto y el control de los fondos europeos, con independencia de los avatares presupuestarios y del calendario electoral. Señala que en el capítulo II se definen los principios de coordinación entre la AIPRE y las unidades gestoras responsables de la aplicación práctica de los fondos. Refiere que en el capítulo III se dota a la AIPRE —como responsable último del Mecanismo de recuperación y resiliencia— de estructura, incorporando en bloque, con todos sus efectivos y medios materiales, el centro directivo del Ministerio de Hacienda con competencia en materia de fondos europeos.</w:t>
      </w:r>
    </w:p>
    <w:p w14:paraId="53803BAD" w14:textId="77777777" w:rsidR="008D479B" w:rsidRDefault="008D479B" w:rsidP="008D479B">
      <w:pPr>
        <w:pStyle w:val="TextoNormal"/>
      </w:pPr>
    </w:p>
    <w:p w14:paraId="513028A9" w14:textId="77777777" w:rsidR="008D479B" w:rsidRDefault="008D479B" w:rsidP="008D479B">
      <w:pPr>
        <w:pStyle w:val="TextoNormal"/>
      </w:pPr>
      <w:r>
        <w:t>El art. 1 indica que se crea la AIPRE, como ente de derecho público dotado de personalidad jurídica propia y plena capacidad pública y privada, que ejerce sus funciones con autonomía e independencia funcional respecto de las administraciones públicas. Se le atribuye la interlocución única ante la Unión Europea respecto de la aprobación, gestión y control de los fondos europeos para la recuperación (art. 3) y a efectos puramente organizativos y presupuestarios, la AIPRE se adscribe al Ministerio de Asuntos Económicos y de Transformación Digital (art. 5).</w:t>
      </w:r>
    </w:p>
    <w:p w14:paraId="495AF50D" w14:textId="77777777" w:rsidR="008D479B" w:rsidRDefault="008D479B" w:rsidP="008D479B">
      <w:pPr>
        <w:pStyle w:val="TextoNormal"/>
      </w:pPr>
    </w:p>
    <w:p w14:paraId="580BC306" w14:textId="77777777" w:rsidR="008D479B" w:rsidRDefault="008D479B" w:rsidP="008D479B">
      <w:pPr>
        <w:pStyle w:val="TextoNormal"/>
      </w:pPr>
      <w:r>
        <w:t>El presidente de la AIPRE, será designado, entre personas de reconocido prestigio y experiencia, su cargo es de dedicación exclusiva y al cesar, durante los dos años posteriores, no podrá ejercer actividad profesional alguna relacionada con los fondos gestionados por la AIPRE. Tendrá la consideración de alto cargo, con rango de subsecretario (art. 6). Dispone el art. 7 que el consejo rector de la AIPRE junto con el presidente, es el máximo órgano de la AIPRE, y en el participaran representantes de las distintas administraciones y funcionarios de la Comisión Europea en la figura de observador. “El personal al servicio de la Autoridad Independiente para la Recuperación Económica será, con carácter general, funcionario de carrera de las administraciones públicas. Si bien podrá reservarse un 20 por 100 de plazas a personal laboral procedente de organismos nacionales o internacionales o personal eventual que permita atraer gestores competentes del sector privado, con una trayectoria y experiencia que se pueda contrastar”.</w:t>
      </w:r>
    </w:p>
    <w:p w14:paraId="49EFC7C2" w14:textId="77777777" w:rsidR="008D479B" w:rsidRDefault="008D479B" w:rsidP="008D479B">
      <w:pPr>
        <w:pStyle w:val="TextoNormal"/>
      </w:pPr>
    </w:p>
    <w:p w14:paraId="1288AA11" w14:textId="77777777" w:rsidR="008D479B" w:rsidRDefault="008D479B" w:rsidP="008D479B">
      <w:pPr>
        <w:pStyle w:val="TextoNormal"/>
      </w:pPr>
      <w:r>
        <w:t>A su vez, en el art. 12 se indica que “el centro directivo del Ministerio de Hacienda con competencia en materia de fondos europeos se incorporará en bloque, con todos sus efectivos y medios materiales, a la estructura de la Autoridad Independiente para la Recuperación Económica” y en la disposición final primera se dispone que “Por el Ministerio de Hacienda se llevaran a cabo las modificaciones de créditos oportunas para la dotación presupuestaria de la Autoridad Independiente para la Recuperación Económica incluyendo el traspaso de los medios y del personal de la Secretaría General de Fondos Europeos en bloque”.</w:t>
      </w:r>
    </w:p>
    <w:p w14:paraId="7C23F1F9" w14:textId="77777777" w:rsidR="008D479B" w:rsidRDefault="008D479B" w:rsidP="008D479B">
      <w:pPr>
        <w:pStyle w:val="TextoNormal"/>
      </w:pPr>
    </w:p>
    <w:p w14:paraId="3BDC5612" w14:textId="77777777" w:rsidR="008D479B" w:rsidRDefault="008D479B" w:rsidP="008D479B">
      <w:pPr>
        <w:pStyle w:val="TextoNormal"/>
      </w:pPr>
      <w:r>
        <w:t>b) El 2 de marzo de 2021, la mesa del Congreso de los Diputados admitió a trámite la proposición de ley arriba indicada, traslado la iniciativa al Gobierno a los efectos del art. 126 del Reglamento del Congreso de los Diputados (en adelante RCD) y acordó su publicación en el “Boletín Oficial de las Cortes Generales” (lo que se llevó a efecto en el núm. 151-1, de la Serie B, de 5 de marzo de 2021).</w:t>
      </w:r>
    </w:p>
    <w:p w14:paraId="10F0407A" w14:textId="77777777" w:rsidR="008D479B" w:rsidRDefault="008D479B" w:rsidP="008D479B">
      <w:pPr>
        <w:pStyle w:val="TextoNormal"/>
      </w:pPr>
    </w:p>
    <w:p w14:paraId="5D7D347D" w14:textId="77777777" w:rsidR="008D479B" w:rsidRDefault="008D479B" w:rsidP="008D479B">
      <w:pPr>
        <w:pStyle w:val="TextoNormal"/>
      </w:pPr>
      <w:r>
        <w:t>c) El día 14 de abril del 2021, el Gobierno emitió un informe de impacto presupuestario sobre la proposición de ley en el que manifiesta que la aprobación de la iniciativa legislativa supondría un aumento de los créditos presupuestarios, razón por lo que no presta su conformidad para la tramitación en virtud de lo establecido en el apartado sexto del artículo 134 CE. Concretamente, el Gobierno alega lo siguiente:</w:t>
      </w:r>
    </w:p>
    <w:p w14:paraId="4B677B01" w14:textId="77777777" w:rsidR="008D479B" w:rsidRDefault="008D479B" w:rsidP="008D479B">
      <w:pPr>
        <w:pStyle w:val="TextoNormal"/>
      </w:pPr>
    </w:p>
    <w:p w14:paraId="3BC53099" w14:textId="77777777" w:rsidR="008D479B" w:rsidRDefault="008D479B" w:rsidP="008D479B">
      <w:pPr>
        <w:pStyle w:val="TextoNormal"/>
      </w:pPr>
      <w:r>
        <w:t>“Valoración</w:t>
      </w:r>
    </w:p>
    <w:p w14:paraId="1808C5FF" w14:textId="77777777" w:rsidR="008D479B" w:rsidRDefault="008D479B" w:rsidP="008D479B">
      <w:pPr>
        <w:pStyle w:val="TextoNormal"/>
      </w:pPr>
    </w:p>
    <w:p w14:paraId="2970314A" w14:textId="77777777" w:rsidR="008D479B" w:rsidRDefault="008D479B" w:rsidP="008D479B">
      <w:pPr>
        <w:pStyle w:val="TextoNormal"/>
      </w:pPr>
      <w:r>
        <w:t>Asimilando el coste que podría tener la nueva autoridad que se pretende crear con el coste que supone en su conjunto el también órgano independiente Autoridad Independiente de Responsabilidad Fiscal, se estima que esta medida, en caso de aprobarse, tendría un impacto directo negativo en el presupuesto de gastos del Estado de 9 700 000 euros.</w:t>
      </w:r>
    </w:p>
    <w:p w14:paraId="69265D43" w14:textId="77777777" w:rsidR="008D479B" w:rsidRDefault="008D479B" w:rsidP="008D479B">
      <w:pPr>
        <w:pStyle w:val="TextoNormal"/>
      </w:pPr>
    </w:p>
    <w:p w14:paraId="72266BA7" w14:textId="77777777" w:rsidR="008D479B" w:rsidRDefault="008D479B" w:rsidP="008D479B">
      <w:pPr>
        <w:pStyle w:val="TextoNormal"/>
      </w:pPr>
      <w:r>
        <w:t>Según el artículo 5 de la proposición de ley, a efectos puramente organizativos y presupuestarios, la autoridad se adscribe al Ministerio de Asuntos Económicos y Transformación Digital, sin que esta adscripción afecte en ningún caso a su autonomía e independencia funcional. Por consiguiente, tendría repercusión presupuestaria en:</w:t>
      </w:r>
    </w:p>
    <w:p w14:paraId="6C3FAE08" w14:textId="77777777" w:rsidR="008D479B" w:rsidRDefault="008D479B" w:rsidP="008D479B">
      <w:pPr>
        <w:pStyle w:val="TextoNormal"/>
      </w:pPr>
    </w:p>
    <w:p w14:paraId="5F4DB6C3" w14:textId="77777777" w:rsidR="008D479B" w:rsidRDefault="008D479B" w:rsidP="008D479B">
      <w:pPr>
        <w:pStyle w:val="TextoNormal"/>
      </w:pPr>
      <w:r>
        <w:t>Sección 27: Ministerio de Asuntos Económicos y Transformación Digital (Habría que crear un nuevo programa para el nuevo órgano que se propone). Cabe destacar aquí que, aunque en el artículo 12 de la proposición de ley se establece que ‘el centro directivo del Ministerio de Hacienda con competencia en materia de fondos Europeos se incorporará en bloque, con todos sus efectivos y medios materiales, a la estructura de la Autoridad Independiente para la Recuperación Económica’, dando a entender que el nuevo órgano no tiene por qué generar costes de personal, el artículo 7 del texto prevé que ‘[e]l personal al servicio de la Autoridad Independiente para la Recuperación Económica será, con carácter general, funcionario de carrera de las administraciones públicas. Si bien podrá reservarse un 20 por 100 de plazas a personal laboral procedente de organismos nacionales o internacionales o personal eventual que permita atraer gestores competentes del sector privado, con un trayectoria y experiencia que se pueda contrastar’, lo que puede generar un impacto en el capítulo I.</w:t>
      </w:r>
    </w:p>
    <w:p w14:paraId="3851B44B" w14:textId="77777777" w:rsidR="008D479B" w:rsidRDefault="008D479B" w:rsidP="008D479B">
      <w:pPr>
        <w:pStyle w:val="TextoNormal"/>
      </w:pPr>
    </w:p>
    <w:p w14:paraId="3EDF0FBD" w14:textId="77777777" w:rsidR="008D479B" w:rsidRDefault="008D479B" w:rsidP="008D479B">
      <w:pPr>
        <w:pStyle w:val="TextoNormal"/>
      </w:pPr>
      <w:r>
        <w:t>Por otra parte, y en relación con la financiación de este nuevo órgano, no se especifica la vía de obtención de ingresos que podrán financiar o, al menos coadyuvar a financiar, su actividad.</w:t>
      </w:r>
    </w:p>
    <w:p w14:paraId="53795029" w14:textId="77777777" w:rsidR="008D479B" w:rsidRDefault="008D479B" w:rsidP="008D479B">
      <w:pPr>
        <w:pStyle w:val="TextoNormal"/>
      </w:pPr>
    </w:p>
    <w:p w14:paraId="0E3566E9" w14:textId="77777777" w:rsidR="008D479B" w:rsidRDefault="008D479B" w:rsidP="008D479B">
      <w:pPr>
        <w:pStyle w:val="TextoNormal"/>
      </w:pPr>
      <w:r>
        <w:t>Criterio</w:t>
      </w:r>
    </w:p>
    <w:p w14:paraId="3BDBE99F" w14:textId="77777777" w:rsidR="008D479B" w:rsidRDefault="008D479B" w:rsidP="008D479B">
      <w:pPr>
        <w:pStyle w:val="TextoNormal"/>
      </w:pPr>
    </w:p>
    <w:p w14:paraId="45C6DF93" w14:textId="77777777" w:rsidR="008D479B" w:rsidRDefault="008D479B" w:rsidP="008D479B">
      <w:pPr>
        <w:pStyle w:val="TextoNormal"/>
      </w:pPr>
      <w:r>
        <w:t>Con base en lo expuesto, se considera que la aprobación de la proposición de ley es susceptible de producir en los presupuestos generales del Estado en vigor un aumento de los créditos presupuestarios, por lo que el Gobierno no presta la conformidad para su tramitación en virtud de lo establecido en el artículo 134.6 de la Constitución”.</w:t>
      </w:r>
    </w:p>
    <w:p w14:paraId="20BF1265" w14:textId="77777777" w:rsidR="008D479B" w:rsidRDefault="008D479B" w:rsidP="008D479B">
      <w:pPr>
        <w:pStyle w:val="TextoNormal"/>
      </w:pPr>
    </w:p>
    <w:p w14:paraId="6551A932" w14:textId="77777777" w:rsidR="008D479B" w:rsidRDefault="008D479B" w:rsidP="008D479B">
      <w:pPr>
        <w:pStyle w:val="TextoNormal"/>
      </w:pPr>
      <w:r>
        <w:t>d) Mediante acuerdo de 20 de abril de 2021, la mesa del Congreso acordó que, de conformidad con los artículos 134.6 CE y 126.2 RCD, no procedía acceder a la toma en consideración por el Pleno de la proposición de ley presentada. Asimismo, resolvió comunicar ese acuerdo al grupo parlamentario autor de la iniciativa, al Gobierno y publicarlo en el “Boletín Oficial de las Cortes Generales”. El acuerdo tenía el siguiente tenor literal:</w:t>
      </w:r>
    </w:p>
    <w:p w14:paraId="65E4CFB4" w14:textId="77777777" w:rsidR="008D479B" w:rsidRDefault="008D479B" w:rsidP="008D479B">
      <w:pPr>
        <w:pStyle w:val="TextoNormal"/>
      </w:pPr>
    </w:p>
    <w:p w14:paraId="6250B064" w14:textId="77777777" w:rsidR="008D479B" w:rsidRDefault="008D479B" w:rsidP="008D479B">
      <w:pPr>
        <w:pStyle w:val="TextoNormal"/>
      </w:pPr>
      <w:r>
        <w:t>“Expresada por el Gobierno su disconformidad, en virtud de lo dispuesto en los artículos 134.6 de la Constitución y 126.2 del Reglamento de la Cámara, acordar que no procede la toma en consideración por el Pleno de la citada proposición de ley. Asimismo, comunicar este acuerdo al grupo parlamentario autor de la iniciativa y al Gobierno y publicar en el ‘Boletín Oficial de las Cortes Generales’”.</w:t>
      </w:r>
    </w:p>
    <w:p w14:paraId="2D6B812F" w14:textId="77777777" w:rsidR="008D479B" w:rsidRDefault="008D479B" w:rsidP="008D479B">
      <w:pPr>
        <w:pStyle w:val="TextoNormal"/>
      </w:pPr>
    </w:p>
    <w:p w14:paraId="2C0F3DDF" w14:textId="77777777" w:rsidR="008D479B" w:rsidRDefault="008D479B" w:rsidP="008D479B">
      <w:pPr>
        <w:pStyle w:val="TextoNormal"/>
      </w:pPr>
      <w:r>
        <w:t>e) Por escrito de fecha 26 de abril de 2021, la portavoz del Grupo Parlamentario Popular solicitó la reconsideración del anterior acuerdo.</w:t>
      </w:r>
    </w:p>
    <w:p w14:paraId="311D3803" w14:textId="77777777" w:rsidR="008D479B" w:rsidRDefault="008D479B" w:rsidP="008D479B">
      <w:pPr>
        <w:pStyle w:val="TextoNormal"/>
      </w:pPr>
    </w:p>
    <w:p w14:paraId="02179A43" w14:textId="77777777" w:rsidR="008D479B" w:rsidRDefault="008D479B" w:rsidP="008D479B">
      <w:pPr>
        <w:pStyle w:val="TextoNormal"/>
      </w:pPr>
      <w:r>
        <w:t>En primer lugar, considera que el criterio de disconformidad del Gobierno ha sido admitido por la mesa de la Cámara que acuerda rechazar la toma en consideración de la proposición de ley sin el adecuado análisis de adecuación al art. 134.6 CE.</w:t>
      </w:r>
    </w:p>
    <w:p w14:paraId="4C37B9C3" w14:textId="77777777" w:rsidR="008D479B" w:rsidRDefault="008D479B" w:rsidP="008D479B">
      <w:pPr>
        <w:pStyle w:val="TextoNormal"/>
      </w:pPr>
    </w:p>
    <w:p w14:paraId="22E3ABE1" w14:textId="77777777" w:rsidR="008D479B" w:rsidRDefault="008D479B" w:rsidP="008D479B">
      <w:pPr>
        <w:pStyle w:val="TextoNormal"/>
      </w:pPr>
      <w:r>
        <w:t>El propio informe del Gobierno no afirma expresamente que la aprobación de la proposición de ley suponga un aumento de los créditos, sino que “es susceptible de producir en los presupuestos generales del Estado en vigor un aumento de los créditos presupuestarios”, utilizando el termino jurídico indeterminado “susceptible” que encierra un criterio subjetivo y, por tanto, arbitrario.</w:t>
      </w:r>
    </w:p>
    <w:p w14:paraId="72F2F6AD" w14:textId="77777777" w:rsidR="008D479B" w:rsidRDefault="008D479B" w:rsidP="008D479B">
      <w:pPr>
        <w:pStyle w:val="TextoNormal"/>
      </w:pPr>
    </w:p>
    <w:p w14:paraId="130FC506" w14:textId="77777777" w:rsidR="008D479B" w:rsidRDefault="008D479B" w:rsidP="008D479B">
      <w:pPr>
        <w:pStyle w:val="TextoNormal"/>
      </w:pPr>
      <w:r>
        <w:t>Considera que no es cierto que suponga un incremento en el capítulo I, porque, como establece el art. 12 de la proposición de ley, a cuya literalidad ha de ajustarse el Gobierno para emitir criterio, que la estructura inicial de la autoridad independiente no supone ningún incremento en el capítulo I, ya que se propone la baja en el Ministerio de Hacienda y alta, por adscripción, en el Ministerio de Economía en la misma cuantía; por lo tanto, el impacto presupuestario neto es cero, nulo.</w:t>
      </w:r>
    </w:p>
    <w:p w14:paraId="0CA4A96E" w14:textId="77777777" w:rsidR="008D479B" w:rsidRDefault="008D479B" w:rsidP="008D479B">
      <w:pPr>
        <w:pStyle w:val="TextoNormal"/>
      </w:pPr>
    </w:p>
    <w:p w14:paraId="0FA11B6D" w14:textId="77777777" w:rsidR="008D479B" w:rsidRDefault="008D479B" w:rsidP="008D479B">
      <w:pPr>
        <w:pStyle w:val="TextoNormal"/>
      </w:pPr>
      <w:r>
        <w:t>Afirma, que es cierto que el art. 7 de la proposición de ley dice que “podrá reservarse un 20 % de plazas a personal laboral procedente de organismos nacionales o internacionales o personal eventual que permita atraer gestores competentes del sector privado, con una trayectoria y experiencia que se pueda contrastar”. Pero no se alude a que el texto completo del precepto prevé que “[e]l personal al servicio de la Autoridad Independiente para la Recuperación Económica será, con carácter general, funcionario de carrera de las administraciones públicas”, siendo por tanto residual o potestativa la posibilidad de reserva del 20 por 100 de las plazas. Además, no genera un incremento de los créditos presupuestarios: (i) pues en los presupuestos generales del Estado ya hay una dotación de 173 645 990 € en el capítulo II asignados al propio mecanismo de recuperación y resiliencia en los que encajarían esas contrataciones; y, (ii) el retraso en la llegada de los fondos hace innecesaria la urgencia para llevar a cabo las contrataciones externas.</w:t>
      </w:r>
    </w:p>
    <w:p w14:paraId="1D7F182D" w14:textId="77777777" w:rsidR="008D479B" w:rsidRDefault="008D479B" w:rsidP="008D479B">
      <w:pPr>
        <w:pStyle w:val="TextoNormal"/>
      </w:pPr>
    </w:p>
    <w:p w14:paraId="78EA384E" w14:textId="77777777" w:rsidR="008D479B" w:rsidRDefault="008D479B" w:rsidP="008D479B">
      <w:pPr>
        <w:pStyle w:val="TextoNormal"/>
      </w:pPr>
      <w:r>
        <w:t>Alude al contenido del art. 134.6 CE, entendiendo el veto presupuestario como una facultad que se explica por la necesidad de preservar de los vaivenes políticos un instrumento de tanta trascendencia económico y social, como son los presupuestos del Estado, y reservar al Gobierno esa facultad de ejecutar su propia política económica. Refiere las condiciones que se derivan del art. 126 RCD para el ejercicio del veto presupuestario por el Gobierno, exigiéndose del Gobierno que el mismo se encuentre suficientemente motivado y de la mesa de la Cámara que, recibido el informe, examine el fondo del mismo desde un punto de vista jurídico y en función de ello, adopte el acuerdo. Existen, añade, numerosos precedentes de acuerdos contrarios a la emisión del informe de disconformidad en pasadas legislaturas.</w:t>
      </w:r>
    </w:p>
    <w:p w14:paraId="3DA8D3C0" w14:textId="77777777" w:rsidR="008D479B" w:rsidRDefault="008D479B" w:rsidP="008D479B">
      <w:pPr>
        <w:pStyle w:val="TextoNormal"/>
      </w:pPr>
    </w:p>
    <w:p w14:paraId="7CDC0A8A" w14:textId="77777777" w:rsidR="008D479B" w:rsidRDefault="008D479B" w:rsidP="008D479B">
      <w:pPr>
        <w:pStyle w:val="TextoNormal"/>
      </w:pPr>
      <w:r>
        <w:t>Finalmente, expone que no se produce impacto presupuestario alguno, tratándose de una clara decisión arbitraria del Gobierno que no se ajusta al art. 134.6 CE, sino a los habituales modos de restringir la iniciativa legislativa de los grupos de la oposición.</w:t>
      </w:r>
    </w:p>
    <w:p w14:paraId="6683D9AE" w14:textId="77777777" w:rsidR="008D479B" w:rsidRDefault="008D479B" w:rsidP="008D479B">
      <w:pPr>
        <w:pStyle w:val="TextoNormal"/>
      </w:pPr>
    </w:p>
    <w:p w14:paraId="338B3426" w14:textId="77777777" w:rsidR="008D479B" w:rsidRDefault="008D479B" w:rsidP="008D479B">
      <w:pPr>
        <w:pStyle w:val="TextoNormal"/>
      </w:pPr>
      <w:r>
        <w:t>f) Mediante nuevo acuerdo de 18 de mayo del 2021, la mesa de la Cámara, después de haber oído a la junta de portavoces, decidió desestimar la solicitud de reconsideración presentada, en los siguientes términos:</w:t>
      </w:r>
    </w:p>
    <w:p w14:paraId="394B3499" w14:textId="77777777" w:rsidR="008D479B" w:rsidRDefault="008D479B" w:rsidP="008D479B">
      <w:pPr>
        <w:pStyle w:val="TextoNormal"/>
      </w:pPr>
    </w:p>
    <w:p w14:paraId="15860F5B" w14:textId="77777777" w:rsidR="008D479B" w:rsidRDefault="008D479B" w:rsidP="008D479B">
      <w:pPr>
        <w:pStyle w:val="TextoNormal"/>
      </w:pPr>
      <w:r>
        <w:t>“Resultando que:</w:t>
      </w:r>
    </w:p>
    <w:p w14:paraId="6E2A0EA9" w14:textId="77777777" w:rsidR="008D479B" w:rsidRDefault="008D479B" w:rsidP="008D479B">
      <w:pPr>
        <w:pStyle w:val="TextoNormal"/>
      </w:pPr>
    </w:p>
    <w:p w14:paraId="26B27151" w14:textId="77777777" w:rsidR="008D479B" w:rsidRDefault="008D479B" w:rsidP="008D479B">
      <w:pPr>
        <w:pStyle w:val="TextoNormal"/>
      </w:pPr>
      <w:r>
        <w:t>1º). La iniciativa de referencia fue admitida a trámite por la mesa de la Cámara en su reunión de 2 de marzo de 2021, y, dentro del plazo establecido al efecto, el Gobierno, mediante escrito número de registro 111259, remitió su criterio contrario a su toma en consideración, respecto del cual la mesa de la Cámara, en su reunión de 20 de abril de 2021, acordó lo siguiente: ‘Expresada por el Gobierno su disconformidad, en virtud de lo dispuesto en los artículos 134.6 de la Constitución y 126.2 del Reglamento de la Cámara, acordar que no procede la toma en consideración por el Pleno de la citada proposición de ley’.</w:t>
      </w:r>
    </w:p>
    <w:p w14:paraId="125E53A3" w14:textId="77777777" w:rsidR="008D479B" w:rsidRDefault="008D479B" w:rsidP="008D479B">
      <w:pPr>
        <w:pStyle w:val="TextoNormal"/>
      </w:pPr>
    </w:p>
    <w:p w14:paraId="1B0FFC04" w14:textId="77777777" w:rsidR="008D479B" w:rsidRDefault="008D479B" w:rsidP="008D479B">
      <w:pPr>
        <w:pStyle w:val="TextoNormal"/>
      </w:pPr>
      <w:r>
        <w:t>2º). La mesa de la Cámara, en su reunión de 5 de mayo de 2021, acordó el traslado de la solicitud de reconsideración a la junta de portavoces, a los efectos del artículo 31.2 del Reglamento, trámite de audiencia que, efectivamente, fue evacuado en la reunión de dicha junta de portavoces del día 11 de mayo de 2021.</w:t>
      </w:r>
    </w:p>
    <w:p w14:paraId="7A3C04BD" w14:textId="77777777" w:rsidR="008D479B" w:rsidRDefault="008D479B" w:rsidP="008D479B">
      <w:pPr>
        <w:pStyle w:val="TextoNormal"/>
      </w:pPr>
    </w:p>
    <w:p w14:paraId="1C8447FE" w14:textId="77777777" w:rsidR="008D479B" w:rsidRDefault="008D479B" w:rsidP="008D479B">
      <w:pPr>
        <w:pStyle w:val="TextoNormal"/>
      </w:pPr>
      <w:r>
        <w:t>3º). En la solicitud de reconsideración se alega que la proposición de ley de referencia no tiene impacto presupuestario, siendo así que la disconformidad comunicada por el Gobierno no se ajustaría a derecho, respondiendo, en cambio, una decisión arbitraria basada, en opinión de los recurrentes, en criterios subjetivos.</w:t>
      </w:r>
    </w:p>
    <w:p w14:paraId="0A4653C3" w14:textId="77777777" w:rsidR="008D479B" w:rsidRDefault="008D479B" w:rsidP="008D479B">
      <w:pPr>
        <w:pStyle w:val="TextoNormal"/>
      </w:pPr>
    </w:p>
    <w:p w14:paraId="1D4CAB6B" w14:textId="77777777" w:rsidR="008D479B" w:rsidRDefault="008D479B" w:rsidP="008D479B">
      <w:pPr>
        <w:pStyle w:val="TextoNormal"/>
      </w:pPr>
      <w:r>
        <w:t>Considerando que:</w:t>
      </w:r>
    </w:p>
    <w:p w14:paraId="69A44E56" w14:textId="77777777" w:rsidR="008D479B" w:rsidRDefault="008D479B" w:rsidP="008D479B">
      <w:pPr>
        <w:pStyle w:val="TextoNormal"/>
      </w:pPr>
    </w:p>
    <w:p w14:paraId="1FF5E522" w14:textId="77777777" w:rsidR="008D479B" w:rsidRDefault="008D479B" w:rsidP="008D479B">
      <w:pPr>
        <w:pStyle w:val="TextoNormal"/>
      </w:pPr>
      <w:r>
        <w:t>1º). Los artículos 134.6 de la Constitución y 126.2 del Reglamento del Congreso de los Diputados establecen que la tramitación de las proposiciones de ley que supongan aumento de los créditos o disminución de los ingresos presupuestarios requiere la conformidad del Gobierno, en lo que viene a ser el reconocimiento en favor de este de una facultad para asegurarles un ámbito de acción propia, en los términos señalados por el ATS 14724/2010 en relación con la STC 99/1987.</w:t>
      </w:r>
    </w:p>
    <w:p w14:paraId="1484E48F" w14:textId="77777777" w:rsidR="008D479B" w:rsidRDefault="008D479B" w:rsidP="008D479B">
      <w:pPr>
        <w:pStyle w:val="TextoNormal"/>
      </w:pPr>
    </w:p>
    <w:p w14:paraId="009308C2" w14:textId="77777777" w:rsidR="008D479B" w:rsidRDefault="008D479B" w:rsidP="008D479B">
      <w:pPr>
        <w:pStyle w:val="TextoNormal"/>
      </w:pPr>
      <w:r>
        <w:t>2º). El Gobierno manifestó, en el plazo establecido al efecto en el artículo 126.3 del Reglamento y mediante escrito, su parecer contrario a la tramitación de la citada proposición de ley, por entender que su aprobación supondría un aumento de los créditos presupuestarios.</w:t>
      </w:r>
    </w:p>
    <w:p w14:paraId="2209DCF1" w14:textId="77777777" w:rsidR="008D479B" w:rsidRDefault="008D479B" w:rsidP="008D479B">
      <w:pPr>
        <w:pStyle w:val="TextoNormal"/>
      </w:pPr>
    </w:p>
    <w:p w14:paraId="0A704138" w14:textId="77777777" w:rsidR="008D479B" w:rsidRDefault="008D479B" w:rsidP="008D479B">
      <w:pPr>
        <w:pStyle w:val="TextoNormal"/>
      </w:pPr>
      <w:r>
        <w:t>3º). El Gobierno ha hecho uso de una facultad constitucional y reglamentariamente reconocida, aportando explicación de las razones que, a su juicio, motivan su criterio contrario a la tramitación de la iniciativa.</w:t>
      </w:r>
    </w:p>
    <w:p w14:paraId="268A7501" w14:textId="77777777" w:rsidR="008D479B" w:rsidRDefault="008D479B" w:rsidP="008D479B">
      <w:pPr>
        <w:pStyle w:val="TextoNormal"/>
      </w:pPr>
    </w:p>
    <w:p w14:paraId="134CCA5D" w14:textId="77777777" w:rsidR="008D479B" w:rsidRDefault="008D479B" w:rsidP="008D479B">
      <w:pPr>
        <w:pStyle w:val="TextoNormal"/>
      </w:pPr>
      <w:r>
        <w:t>4º). Sin perjuicio de lo que se señala en el escrito de reconsideración, el Gobierno ha entendido que la aprobación de la proposición de ley de referencia tendría un impacto presupuestario directo, sin que, siguiendo la doctrina del Tribunal Constitucional, la mesa haya realizado una valoración contraria a este criterio.</w:t>
      </w:r>
    </w:p>
    <w:p w14:paraId="76402E90" w14:textId="77777777" w:rsidR="008D479B" w:rsidRDefault="008D479B" w:rsidP="008D479B">
      <w:pPr>
        <w:pStyle w:val="TextoNormal"/>
      </w:pPr>
    </w:p>
    <w:p w14:paraId="418F4F0C" w14:textId="77777777" w:rsidR="008D479B" w:rsidRDefault="008D479B" w:rsidP="008D479B">
      <w:pPr>
        <w:pStyle w:val="TextoNormal"/>
      </w:pPr>
      <w:r>
        <w:t>Conforme a lo señalado por el Tribunal Constitucional en sus sentencias 223 y 242/2006 y 38 y 94/2018, la mesa ha verificado, además del cumplimiento de los requisitos formales, que la disconformidad acordada por el Gobierno está motivada de manera suficiente y no arbitraria, pues concreta, como exige la jurisprudencia constitucional, las cuantías y los conceptos presupuestarios afectados del presupuesto en vigor.</w:t>
      </w:r>
    </w:p>
    <w:p w14:paraId="51A10531" w14:textId="77777777" w:rsidR="008D479B" w:rsidRDefault="008D479B" w:rsidP="008D479B">
      <w:pPr>
        <w:pStyle w:val="TextoNormal"/>
      </w:pPr>
    </w:p>
    <w:p w14:paraId="316F8D2B" w14:textId="77777777" w:rsidR="008D479B" w:rsidRDefault="008D479B" w:rsidP="008D479B">
      <w:pPr>
        <w:pStyle w:val="TextoNormal"/>
      </w:pPr>
      <w:r>
        <w:t>5º). En las ocasiones anteriores en las que el Gobierno manifestó su criterio contrario a la toma en consideración de proposiciones de ley por entender que implicaban un aumento de los créditos o una disminución de los ingresos presupuestarios y la mesa tuvo por bueno tal criterio, esta adopto el mismo acuerdo que el que ahora se cuestiona y cuya reconsideración se solicita.</w:t>
      </w:r>
    </w:p>
    <w:p w14:paraId="2AA14F2F" w14:textId="77777777" w:rsidR="008D479B" w:rsidRDefault="008D479B" w:rsidP="008D479B">
      <w:pPr>
        <w:pStyle w:val="TextoNormal"/>
      </w:pPr>
    </w:p>
    <w:p w14:paraId="4F026785" w14:textId="77777777" w:rsidR="008D479B" w:rsidRDefault="008D479B" w:rsidP="008D479B">
      <w:pPr>
        <w:pStyle w:val="TextoNormal"/>
      </w:pPr>
      <w:r>
        <w:t>6º). Según ha señalado el Tribunal Constitucional, debe tenerse en cuenta que la finalidad de la disconformidad del Gobierno es garantizar la ejecución del programa económico aprobado con la ley de presupuestos (STC 242/2006), así como que las actuaciones de la mesa en este ámbito se enmarcan dentro del ejercicio de una facultad del Gobierno, siendo esta una facultad que debe entenderse como una manifestación más del llamado ‘parlamentarismo racionalizado’.</w:t>
      </w:r>
    </w:p>
    <w:p w14:paraId="7C514EEC" w14:textId="77777777" w:rsidR="008D479B" w:rsidRDefault="008D479B" w:rsidP="008D479B">
      <w:pPr>
        <w:pStyle w:val="TextoNormal"/>
      </w:pPr>
    </w:p>
    <w:p w14:paraId="76A5D4F0" w14:textId="77777777" w:rsidR="008D479B" w:rsidRDefault="008D479B" w:rsidP="008D479B">
      <w:pPr>
        <w:pStyle w:val="TextoNormal"/>
      </w:pPr>
      <w:r>
        <w:t>7º). En todo caso, remitida la disconformidad a la tramitación de la proposición de ley por el órgano legitimado para hacerlo, dentro del plazo establecido al efecto y adjuntando motivación expresa, suficiente y no arbitraria, especificando las partidas del presupuesto en vigor afectadas, no puede la mesa de la Cámara sustituir al Gobierno en el ejercicio de la facultad constitucionalmente y reglamentariamente reconocida.</w:t>
      </w:r>
    </w:p>
    <w:p w14:paraId="7E5BCA48" w14:textId="77777777" w:rsidR="008D479B" w:rsidRDefault="008D479B" w:rsidP="008D479B">
      <w:pPr>
        <w:pStyle w:val="TextoNormal"/>
      </w:pPr>
    </w:p>
    <w:p w14:paraId="07B20554" w14:textId="77777777" w:rsidR="008D479B" w:rsidRDefault="008D479B" w:rsidP="008D479B">
      <w:pPr>
        <w:pStyle w:val="TextoNormal"/>
      </w:pPr>
      <w:r>
        <w:t xml:space="preserve">8º). En definitiva, la prerrogativa se ha ejercido por el órgano legitimado para hacerlo, sin vulneración del </w:t>
      </w:r>
      <w:r w:rsidRPr="008D479B">
        <w:rPr>
          <w:i/>
        </w:rPr>
        <w:t>ius in officium</w:t>
      </w:r>
      <w:r>
        <w:t xml:space="preserve"> de los parlamentarios y dentro del marco del artículo 134.6 de la Constitución, no pudiéndose considerar arbitrario el ejercicio de tal prerrogativa dado que, en los términos de la jurisprudencia del Tribunal Constitucional, ‘la arbitrariedad e irrazonabilidad se producen cuando la motivación es una mera apariencia. Son arbitrarias o irrazonables las resoluciones carentes de razón, dictadas por puro capricho, huérfanas de razones formales o materiales y que, por tanto, resultan mera expresión de voluntad’ (SSTC 215/2006 y 30/2017), lo que no ocurre en este caso, en el que el Gobierno, a juicio de la mesa, ha fundamentado suficientemente su disconformidad.</w:t>
      </w:r>
    </w:p>
    <w:p w14:paraId="6775D688" w14:textId="77777777" w:rsidR="008D479B" w:rsidRDefault="008D479B" w:rsidP="008D479B">
      <w:pPr>
        <w:pStyle w:val="TextoNormal"/>
      </w:pPr>
    </w:p>
    <w:p w14:paraId="7E76D7E9" w14:textId="2EB3FE7E" w:rsidR="008D479B" w:rsidRDefault="008D479B" w:rsidP="008D479B">
      <w:pPr>
        <w:pStyle w:val="TextoNormal"/>
      </w:pPr>
      <w:r>
        <w:t>En consecuencia, la mesa acuerda la desestimación de la solicitud de reconsideración examinada”.</w:t>
      </w:r>
    </w:p>
    <w:p w14:paraId="3868B6B0" w14:textId="77777777" w:rsidR="008D479B" w:rsidRDefault="008D479B" w:rsidP="008D479B">
      <w:pPr>
        <w:pStyle w:val="TextoNormal"/>
      </w:pPr>
    </w:p>
    <w:p w14:paraId="75675943" w14:textId="77777777" w:rsidR="008D479B" w:rsidRDefault="008D479B" w:rsidP="008D479B">
      <w:pPr>
        <w:pStyle w:val="TextoNormal"/>
      </w:pPr>
      <w:r w:rsidRPr="008D479B">
        <w:rPr>
          <w:rStyle w:val="NumeroAFNegritaCaracter"/>
        </w:rPr>
        <w:t>3</w:t>
      </w:r>
      <w:r>
        <w:t>. En su demanda de amparo, el Grupo Parlamentario Popular del Congreso de los Diputados entiende vulnerado el derecho al ejercicio del cargo público parlamentario con los requisitos que señalan las leyes (art. 23.2 CE), en conexión con el derecho de los ciudadanos a participar en los asuntos públicos a través de sus representantes (art. 23.1 CE).</w:t>
      </w:r>
    </w:p>
    <w:p w14:paraId="4051C3C2" w14:textId="77777777" w:rsidR="008D479B" w:rsidRDefault="008D479B" w:rsidP="008D479B">
      <w:pPr>
        <w:pStyle w:val="TextoNormal"/>
      </w:pPr>
    </w:p>
    <w:p w14:paraId="35BF6867" w14:textId="77777777" w:rsidR="008D479B" w:rsidRDefault="008D479B" w:rsidP="008D479B">
      <w:pPr>
        <w:pStyle w:val="TextoNormal"/>
      </w:pPr>
      <w:r>
        <w:t xml:space="preserve">En primer término, se refiere a la doctrina constitucional relativa a la presentación de proposiciones de ley como parte del </w:t>
      </w:r>
      <w:r w:rsidRPr="008D479B">
        <w:rPr>
          <w:i/>
        </w:rPr>
        <w:t>ius in officium</w:t>
      </w:r>
      <w:r>
        <w:t xml:space="preserve"> de los parlamentarios y su conexión con el derecho de los ciudadanos a participar en los asuntos públicos (SSTC 10/2016, de 1 de febrero; FJ 4; 10/2018, de 5 de febrero, FJ 3; 94/2018, de 17 de septiembre, FJ 4, y 53/2021, de 15 de marzo, FJ 3). Seguidamente, trae a colación la distinción entre la facultad de veto presupuestario conferida a los gobiernos y las funciones de control que corresponden a las mesas de los Parlamentos respectivos (SSTC 94/2018, FJ 5, y 17/2019, FJ 3).</w:t>
      </w:r>
    </w:p>
    <w:p w14:paraId="437774D0" w14:textId="77777777" w:rsidR="008D479B" w:rsidRDefault="008D479B" w:rsidP="008D479B">
      <w:pPr>
        <w:pStyle w:val="TextoNormal"/>
      </w:pPr>
    </w:p>
    <w:p w14:paraId="64F2F810" w14:textId="77777777" w:rsidR="008D479B" w:rsidRDefault="008D479B" w:rsidP="008D479B">
      <w:pPr>
        <w:pStyle w:val="TextoNormal"/>
      </w:pPr>
      <w:r>
        <w:t>Afirma que el presente caso guarda similitud con el tratado por la STC 53/2021 en el que resuelve un recurso de amparo planteado por el portavoz del Grupo Parlamentario Podemos en la Asamblea Regional de Murcia.</w:t>
      </w:r>
    </w:p>
    <w:p w14:paraId="5FDDA837" w14:textId="77777777" w:rsidR="008D479B" w:rsidRDefault="008D479B" w:rsidP="008D479B">
      <w:pPr>
        <w:pStyle w:val="TextoNormal"/>
      </w:pPr>
    </w:p>
    <w:p w14:paraId="0F7DFF38" w14:textId="77777777" w:rsidR="008D479B" w:rsidRDefault="008D479B" w:rsidP="008D479B">
      <w:pPr>
        <w:pStyle w:val="TextoNormal"/>
      </w:pPr>
      <w:r>
        <w:t xml:space="preserve">Entiende que el veto del Gobierno se centra en la estimación del gasto que supondría la creación de la AIPRE, aludiendo a que esta medida, en caso de aprobarse, tendría un impacto directo negativo en el presupuesto de gastos del Estado de 9 700 000 €, pero no aporta ninguna aclaración o cálculo que le llevan a cifrar el gasto en dicha cantidad que se encuentra por tanto huérfana de justificación. Reconoce el Gobierno que conforme al art. 12 de la proposición de ley el nuevo órgano no tiene por qué generar costes, pero considera que la previsión del art. 7 de dicha proposición, podría generar eventualmente un impacto en el capítulo I (personal). En abierta contradicción con lo señalado en los arts. 7 y 12 de la proposición, se sustenta el veto en que, en relación con la financiación del nuevo órgano, la proposición no “especifica la vía de obtención de ingresos que podrán financiar o, al menos coadyuvar a financiar, su actividad”. Concluye que no puede considerarse que el Gobierno haya ofrecido una justificación adecuada del ejercicio de su facultad de veto presupuestario </w:t>
      </w:r>
      <w:r w:rsidRPr="008D479B">
        <w:rPr>
          <w:i/>
        </w:rPr>
        <w:t>ex</w:t>
      </w:r>
      <w:r>
        <w:t xml:space="preserve"> art. 134.6 CE. Pues, aunque formalmente ofrece cifras y se refiere al capítulo I del presupuesto, su argumentación está exenta de toda razón que justifique, realmente y no como una mera hipótesis, un aumento del gasto no presupuestado.</w:t>
      </w:r>
    </w:p>
    <w:p w14:paraId="034A7DA5" w14:textId="77777777" w:rsidR="008D479B" w:rsidRDefault="008D479B" w:rsidP="008D479B">
      <w:pPr>
        <w:pStyle w:val="TextoNormal"/>
      </w:pPr>
    </w:p>
    <w:p w14:paraId="4188F7CA" w14:textId="77777777" w:rsidR="008D479B" w:rsidRDefault="008D479B" w:rsidP="008D479B">
      <w:pPr>
        <w:pStyle w:val="TextoNormal"/>
      </w:pPr>
      <w:r>
        <w:t>Por otra parte, las decisiones de la mesa del Congreso de los Diputados aceptan la argumentación del Gobierno. En el acuerdo de 20 de abril de 2021, la mesa del Congreso de los Diputados, se ciñó a señalar: “Expresada por el Gobierno su disconformidad, en virtud de lo dispuesto en los artículos 134.6 de la Constitución y 126.2 del Reglamento de la Cámara, acordar que no procede la toma en consideración por el Pleno de la citada proposición de ley”. Y, en el acuerdo de 18 de mayo de 2021, por el cual se desestimó la solicitud de reconsideración, la mesa de la Cámara se limita a indicar como fundamento de su decisión que considera que el Gobierno ha dado una explicación de su veto motivada de manera suficiente y no arbitraria, pues concretaría, como exige la doctrina constitucional, las cuantías y los conceptos presupuestarios afectados del presupuesto en vigor, obviando que ni los gastos ni las cuantías se fundamentan mínimamente por el Gobierno.</w:t>
      </w:r>
    </w:p>
    <w:p w14:paraId="3A58C43C" w14:textId="77777777" w:rsidR="008D479B" w:rsidRDefault="008D479B" w:rsidP="008D479B">
      <w:pPr>
        <w:pStyle w:val="TextoNormal"/>
      </w:pPr>
    </w:p>
    <w:p w14:paraId="17848C76" w14:textId="77777777" w:rsidR="008D479B" w:rsidRDefault="008D479B" w:rsidP="008D479B">
      <w:pPr>
        <w:pStyle w:val="TextoNormal"/>
      </w:pPr>
      <w:r>
        <w:t>Añade que la mesa desatiende por completo las razones ofrecidas por la portavoz del Grupo Parlamentario Popular en su solicitud de reconsideración. Así, nada se dice acerca de que el aumento de los créditos no se plantea como algo real e indubitado, sino como una mera posibilidad o hipótesis (de optarse, por la reserva del 20 por 100 de plazas a personal laboral o eventual, que tiene carácter residual y potestativo), de forma que el propio Gobierno admite que “el nuevo órgano no tiene por qué generar costes de personal”.</w:t>
      </w:r>
    </w:p>
    <w:p w14:paraId="3D1AD348" w14:textId="77777777" w:rsidR="008D479B" w:rsidRDefault="008D479B" w:rsidP="008D479B">
      <w:pPr>
        <w:pStyle w:val="TextoNormal"/>
      </w:pPr>
    </w:p>
    <w:p w14:paraId="051C22DD" w14:textId="77777777" w:rsidR="008D479B" w:rsidRDefault="008D479B" w:rsidP="008D479B">
      <w:pPr>
        <w:pStyle w:val="TextoNormal"/>
      </w:pPr>
      <w:r>
        <w:t>Tampoco la mesa hizo referencia a la alegación de que la posible reserva de un 20 por 100 de plazas para personal laboral procedente de organismos nacionales o internacionales o personal eventual, no iba a generar un incremento de créditos presupuestarios, por dos razones: La primera es que en los presupuestos generales del Estado ya hay una dotación de 173 645 990 € en el capítulo II asignados al propio mecanismo de recuperación y resiliencia en los que encajarían esas contrataciones. Y, la segunda, por qué el retraso en la llegada de los fondos hace innecesaria la urgencia para llevar a cabo las contrataciones externas, toda vez que la independencia y profesionalidad en la gestión queda garantizada con el nombramiento del presidente de la autoridad que, tal y como se recoge en el artículo 6, “será designado, entre personas de reconocido prestigio y experiencia mínima de diez años de ejercicio profesional en materias presupuestaria, económica y financiera del sector público, valorándose especialmente su independencia y objetividad de criterio”. Por ello, tampoco supondría un incremento del capítulo I. La falta de respuesta a esta última alegación es considerada de particular importancia para evidenciar la vulneración de los derechos de nuestra representada, porque deja sin demostración que la proposición de ley suponga un impacto negativo en los presupuestos vigentes.</w:t>
      </w:r>
    </w:p>
    <w:p w14:paraId="6B6AC783" w14:textId="77777777" w:rsidR="008D479B" w:rsidRDefault="008D479B" w:rsidP="008D479B">
      <w:pPr>
        <w:pStyle w:val="TextoNormal"/>
      </w:pPr>
    </w:p>
    <w:p w14:paraId="2045303D" w14:textId="77777777" w:rsidR="008D479B" w:rsidRDefault="008D479B" w:rsidP="008D479B">
      <w:pPr>
        <w:pStyle w:val="TextoNormal"/>
      </w:pPr>
      <w:r>
        <w:t>No se toman en consideración los argumentos expuestos en el escrito de reconsideración que, de acuerdo con lo dispuesto en el art. 12 de la proposición de ley, ponen de manifiesto que la estructura inicial de la autoridad independiente no supone ningún incremento en el capítulo I, ya que se propone la baja en el Ministerio de Hacienda y alta, por adscripción, en el Ministerio de Economía en la misma cuantía; por lo tanto, el impacto presupuestario neto es nulo.</w:t>
      </w:r>
    </w:p>
    <w:p w14:paraId="6C9E346B" w14:textId="77777777" w:rsidR="008D479B" w:rsidRDefault="008D479B" w:rsidP="008D479B">
      <w:pPr>
        <w:pStyle w:val="TextoNormal"/>
      </w:pPr>
    </w:p>
    <w:p w14:paraId="29E607F6" w14:textId="0C4DCCB5" w:rsidR="008D479B" w:rsidRDefault="008D479B" w:rsidP="008D479B">
      <w:pPr>
        <w:pStyle w:val="TextoNormal"/>
      </w:pPr>
      <w:r>
        <w:t>En definitiva, afirma que en este caso, como en el que resolvió la STC 53/2021, la decisión de la mesa estuvo motivada formalmente, pero no materialmente, lo que ha de dar lugar, como en aquella ocasión, a la estimación del presente recurso de amparo.</w:t>
      </w:r>
    </w:p>
    <w:p w14:paraId="3067E6E6" w14:textId="77777777" w:rsidR="008D479B" w:rsidRDefault="008D479B" w:rsidP="008D479B">
      <w:pPr>
        <w:pStyle w:val="TextoNormal"/>
      </w:pPr>
    </w:p>
    <w:p w14:paraId="4E166101" w14:textId="51FBC9A2" w:rsidR="008D479B" w:rsidRDefault="008D479B" w:rsidP="008D479B">
      <w:pPr>
        <w:pStyle w:val="TextoNormal"/>
      </w:pPr>
      <w:r w:rsidRPr="008D479B">
        <w:rPr>
          <w:rStyle w:val="NumeroAFNegritaCaracter"/>
        </w:rPr>
        <w:t>4</w:t>
      </w:r>
      <w:r>
        <w:t>. Por providencia de 7 de febrero del 2022, la Sección Tercera de la Sala Segunda de este tribunal admitió el recurso de amparo apreciando que concurría en el mismo una especial trascendencia constitucional (art. 50.1 LOTC) porque el asunto suscitado trasciende del caso concreto porque pudiera tener unas consecuencias políticas generales [STC 155/2009, de 25 de junio, FJ 2 g)], y acordó, en aplicación de lo dispuesto en el artículo 51 de la Ley Orgánica del Tribunal Constitucional (LOTC), dirigir atenta comunicación a la presidenta del Congreso de los Diputados, a los efectos de que remitiera certificación o fotocopia adverada de las actuaciones correspondientes a los acuerdos de la mesa impugnados, al tiempo que le emplazaba, concediéndole un plazo de diez días, para que pudieran comparecer, si lo desean, en el recurso de amparo los que hubieran sido parte en el procedimiento, salvo el recurrente en amparo.</w:t>
      </w:r>
    </w:p>
    <w:p w14:paraId="36202A74" w14:textId="77777777" w:rsidR="008D479B" w:rsidRDefault="008D479B" w:rsidP="008D479B">
      <w:pPr>
        <w:pStyle w:val="TextoNormal"/>
      </w:pPr>
    </w:p>
    <w:p w14:paraId="041C2FEA" w14:textId="2C3783CA" w:rsidR="008D479B" w:rsidRDefault="008D479B" w:rsidP="008D479B">
      <w:pPr>
        <w:pStyle w:val="TextoNormal"/>
      </w:pPr>
      <w:r w:rsidRPr="008D479B">
        <w:rPr>
          <w:rStyle w:val="NumeroAFNegritaCaracter"/>
        </w:rPr>
        <w:t>5</w:t>
      </w:r>
      <w:r>
        <w:t>. Por medio de escrito presentado el día 16 de febrero de 2022, la presidenta del Congreso de los Diputados comunicó el acuerdo de la mesa de la Cámara, que ordenó dar traslado a este tribunal de fotocopia adverada de las actuaciones correspondientes, al tiempo que decidía personarse en el procedimiento por medio de la letrada de las Cortes Generales directora de la asesoría jurídica de la Secretaría General de la Cámara, doña Paloma Martínez Santamaría.</w:t>
      </w:r>
    </w:p>
    <w:p w14:paraId="4EF74DC7" w14:textId="77777777" w:rsidR="008D479B" w:rsidRDefault="008D479B" w:rsidP="008D479B">
      <w:pPr>
        <w:pStyle w:val="TextoNormal"/>
      </w:pPr>
    </w:p>
    <w:p w14:paraId="56B4544C" w14:textId="268E58DC" w:rsidR="008D479B" w:rsidRDefault="008D479B" w:rsidP="008D479B">
      <w:pPr>
        <w:pStyle w:val="TextoNormal"/>
      </w:pPr>
      <w:r w:rsidRPr="008D479B">
        <w:rPr>
          <w:rStyle w:val="NumeroAFNegritaCaracter"/>
        </w:rPr>
        <w:t>6</w:t>
      </w:r>
      <w:r>
        <w:t>. Mediante diligencia de ordenación de fecha 21 de febrero de 2022, el Tribunal acordó tener por personado y parte en el procedimiento a la letrada de las Cortes Generales doña Paloma Martínez Santamaría, en nombre y representación de la mesa del Congreso de los Diputados, así como dar vista de las actuaciones recibidas a las partes personadas y al Ministerio Fiscal, por plazo común de veinte días, para que pudieran presentar las alegaciones que estimaran pertinentes, conforme determina el artículo 52.1 LOTC.</w:t>
      </w:r>
    </w:p>
    <w:p w14:paraId="4862BF9F" w14:textId="77777777" w:rsidR="008D479B" w:rsidRDefault="008D479B" w:rsidP="008D479B">
      <w:pPr>
        <w:pStyle w:val="TextoNormal"/>
      </w:pPr>
    </w:p>
    <w:p w14:paraId="3129B956" w14:textId="77777777" w:rsidR="008D479B" w:rsidRDefault="008D479B" w:rsidP="008D479B">
      <w:pPr>
        <w:pStyle w:val="TextoNormal"/>
      </w:pPr>
      <w:r w:rsidRPr="008D479B">
        <w:rPr>
          <w:rStyle w:val="NumeroAFNegritaCaracter"/>
        </w:rPr>
        <w:t>7</w:t>
      </w:r>
      <w:r>
        <w:t>. El día 23 de marzo del 2022 tuvo entrada en el registro general de este tribunal el escrito de alegaciones de la letrada de las Cortes Generales por el que solicita la desestimación del recurso de amparo.</w:t>
      </w:r>
    </w:p>
    <w:p w14:paraId="33EBA002" w14:textId="77777777" w:rsidR="008D479B" w:rsidRDefault="008D479B" w:rsidP="008D479B">
      <w:pPr>
        <w:pStyle w:val="TextoNormal"/>
      </w:pPr>
    </w:p>
    <w:p w14:paraId="58B8DB53" w14:textId="77777777" w:rsidR="008D479B" w:rsidRDefault="008D479B" w:rsidP="008D479B">
      <w:pPr>
        <w:pStyle w:val="TextoNormal"/>
      </w:pPr>
      <w:r>
        <w:t>En primer lugar, examina la doctrina constitucional sobre la cuestión planteada, distinguiendo, con sustento en la STC 53/2021, de 15 de marzo, de la que reproduce parte de su fundamentación, entre la facultad de veto presupuestario conferida a los gobiernos y las funciones de control de las mesas de los parlamentos. Consecuentemente divide el análisis del problema constitucional planteado en dos partes: A) La facultad de veto presupuestario del Gobierno; B) Las facultades de la mesa de control del veto presupuestario.</w:t>
      </w:r>
    </w:p>
    <w:p w14:paraId="3FB74FA8" w14:textId="77777777" w:rsidR="008D479B" w:rsidRDefault="008D479B" w:rsidP="008D479B">
      <w:pPr>
        <w:pStyle w:val="TextoNormal"/>
      </w:pPr>
    </w:p>
    <w:p w14:paraId="2EE67573" w14:textId="77777777" w:rsidR="008D479B" w:rsidRDefault="008D479B" w:rsidP="008D479B">
      <w:pPr>
        <w:pStyle w:val="TextoNormal"/>
      </w:pPr>
      <w:r>
        <w:t>A) En relación con la facultad de veto presupuestario del Gobierno, examina si ha justificado por el Gobierno, de forma correcta, el impacto presupuestario que tendría la creación del organismo objeto de la proposición de ley. Indica que el primer párrafo de la valoración, el Gobierno asimila el coste que podría tener la nueva autoridad que se pretende crear con el coste que supone en su conjunto el también órgano independiente Autoridad Independiente de Responsabilidad Fiscal, estimándose en un impacto directo negativo en el presupuesto de gastos del Estado de 9 700 000 €.</w:t>
      </w:r>
    </w:p>
    <w:p w14:paraId="2D46CB4C" w14:textId="77777777" w:rsidR="008D479B" w:rsidRDefault="008D479B" w:rsidP="008D479B">
      <w:pPr>
        <w:pStyle w:val="TextoNormal"/>
      </w:pPr>
    </w:p>
    <w:p w14:paraId="7A818CAF" w14:textId="77777777" w:rsidR="008D479B" w:rsidRDefault="008D479B" w:rsidP="008D479B">
      <w:pPr>
        <w:pStyle w:val="TextoNormal"/>
      </w:pPr>
      <w:r>
        <w:t>Recuerda que la Autoridad Independiente de Responsabilidad Fiscal fue creada por la Ley Orgánica 6/2013, de 14 de noviembre, como un ente de derecho público dotado de personalidad jurídica propia. Afirma que el Gobierno no da a conocer las razones para asimilar esta autoridad con la que pretende crear la proposición de ley vetada, pero no se puede negar el cierto parecido en cuanto a la naturaleza de ambas instituciones, guardando cierto paralelismo, comparando sus preceptos, la mencionada ley orgánica con la proposición de ley vetada. De modo que “resulta innegable” que el Gobierno ha aportado un dato objetivo, no especulativo ni hipotético, que permite conocer cómo se obtiene la cifra indicada a partir de dicha asimilación entre ambas autoridades. La cifra que se aporta de la Autoridad Independiente de Responsabilidad Fiscal está contemplada en los presupuestos generales del Estado para el año 2021.</w:t>
      </w:r>
    </w:p>
    <w:p w14:paraId="0F36102F" w14:textId="77777777" w:rsidR="008D479B" w:rsidRDefault="008D479B" w:rsidP="008D479B">
      <w:pPr>
        <w:pStyle w:val="TextoNormal"/>
      </w:pPr>
    </w:p>
    <w:p w14:paraId="479F6B22" w14:textId="77777777" w:rsidR="008D479B" w:rsidRDefault="008D479B" w:rsidP="008D479B">
      <w:pPr>
        <w:pStyle w:val="TextoNormal"/>
      </w:pPr>
      <w:r>
        <w:t>Una vez determinado el coste que supondría esta autoridad, identifica la partida presupuestaria afectada, al citar el art. 5 de la proposición de ley, el cual dice que “a efectos puramente organizativos y presupuestarios, la autoridad se adscribe al Ministerio de Asuntos Económicos y Transformación Digital, sin que esta adscripción afecte en ningún caso a su autonomía e independencia funcional.” Y concluye que “por consiguiente, tendría repercusión presupuestaria en: Sección 27: Ministerio de Asuntos Económicas y Transformación Digital (Habría que crear un nuevo programa para el nuevo órgano que se propone)”.</w:t>
      </w:r>
    </w:p>
    <w:p w14:paraId="5D981781" w14:textId="77777777" w:rsidR="008D479B" w:rsidRDefault="008D479B" w:rsidP="008D479B">
      <w:pPr>
        <w:pStyle w:val="TextoNormal"/>
      </w:pPr>
    </w:p>
    <w:p w14:paraId="0272841F" w14:textId="77777777" w:rsidR="008D479B" w:rsidRDefault="008D479B" w:rsidP="008D479B">
      <w:pPr>
        <w:pStyle w:val="TextoNormal"/>
      </w:pPr>
      <w:r>
        <w:t>Con ello se identifica la partida presupuestaria afectada, refiriéndose al presupuesto en vigor y justifica que la medida tiene una “incidencia directa e inmediata” en el mismo, al incrementar los créditos presupuestarios. Quedan así contradichas las afirmaciones de la demanda al aportar una justificación razonable con la comparación efectuada, la sección presupuestaria que se verá afectada y la cuantificación de los gastos que supondría la creación de la nueva entidad.</w:t>
      </w:r>
    </w:p>
    <w:p w14:paraId="75B30E0A" w14:textId="77777777" w:rsidR="008D479B" w:rsidRDefault="008D479B" w:rsidP="008D479B">
      <w:pPr>
        <w:pStyle w:val="TextoNormal"/>
      </w:pPr>
    </w:p>
    <w:p w14:paraId="1D6E5E14" w14:textId="77777777" w:rsidR="008D479B" w:rsidRDefault="008D479B" w:rsidP="008D479B">
      <w:pPr>
        <w:pStyle w:val="TextoNormal"/>
      </w:pPr>
      <w:r>
        <w:t>No es requisito exigido por la jurisprudencia constitucional que el gobierno tenga que dar explicaciones sobre cómo se financiará el incremento presupuestario. Esto enlaza con la censura que hace el Gobierno a la proposición de ley al indicar que “en relación con la financiación de este nuevo órgano, no se especifica la vía de obtención de ingresos que podrán financiar o, al menos coadyuvar a financiar, su actividad”, pues a diferencia de lo que dispone el art. 11 de la Ley Orgánica 6/2013, referente al “régimen económico-financiero y patrimonial”, de la Autoridad Independiente de Responsabilidad Fiscal, la proposición de ley no contiene un artículo paralelo, ni regula ningún ingreso tributario que sirva para su financiación. Se puede entender que ante la falta de regulación el Gobierno se vea obligado a crear un programa nuevo que contemple la financiación del ente.</w:t>
      </w:r>
    </w:p>
    <w:p w14:paraId="7D59A290" w14:textId="77777777" w:rsidR="008D479B" w:rsidRDefault="008D479B" w:rsidP="008D479B">
      <w:pPr>
        <w:pStyle w:val="TextoNormal"/>
      </w:pPr>
    </w:p>
    <w:p w14:paraId="34691B76" w14:textId="77777777" w:rsidR="008D479B" w:rsidRDefault="008D479B" w:rsidP="008D479B">
      <w:pPr>
        <w:pStyle w:val="TextoNormal"/>
      </w:pPr>
      <w:r>
        <w:t xml:space="preserve">Considera que los recursos económicos y financieros son indisociables de la creación de un ente público [arts. 91, 92 d) de la Ley 40/2015, de 1 de octubre], por lo que fácilmente se puede apreciar que la creación de la autoridad independiente debe implicar algún coste y tiene una repercusión presupuestaria </w:t>
      </w:r>
      <w:r w:rsidRPr="008D479B">
        <w:rPr>
          <w:i/>
        </w:rPr>
        <w:t>ex lege</w:t>
      </w:r>
      <w:r>
        <w:t>. La propia disposición final primera de la proposición de ley reconoce que es necesario proveer de dotación presupuestaria a la mencionada autoridad, por lo que admite el impacto presupuestario.</w:t>
      </w:r>
    </w:p>
    <w:p w14:paraId="62B942DB" w14:textId="77777777" w:rsidR="008D479B" w:rsidRDefault="008D479B" w:rsidP="008D479B">
      <w:pPr>
        <w:pStyle w:val="TextoNormal"/>
      </w:pPr>
    </w:p>
    <w:p w14:paraId="0F6B0849" w14:textId="77777777" w:rsidR="008D479B" w:rsidRDefault="008D479B" w:rsidP="008D479B">
      <w:pPr>
        <w:pStyle w:val="TextoNormal"/>
      </w:pPr>
      <w:r>
        <w:t>No se puede aceptar que el impacto presupuestario sea nulo, porque la proposición proponga que se realicen altas y bajas en el presupuesto, en concreto baja en el Ministerio de Hacienda y alta en el Ministerio de Economía en la misma cuantía. Y ello, porque no caben compensaciones que supongan un aumento de créditos y no se correspondan a una misma sección —así lo dispone el art. 133.3 RCD con relación a las enmiendas al proyecto de ley de presupuestos generales del estado—. Además, la doctrina constitucional no alude a la posibilidad de compensación de créditos como mecanismo para justificar un coste cero y evitar el veto presupuestario.</w:t>
      </w:r>
    </w:p>
    <w:p w14:paraId="0E8794D1" w14:textId="77777777" w:rsidR="008D479B" w:rsidRDefault="008D479B" w:rsidP="008D479B">
      <w:pPr>
        <w:pStyle w:val="TextoNormal"/>
      </w:pPr>
    </w:p>
    <w:p w14:paraId="16134AC8" w14:textId="77777777" w:rsidR="008D479B" w:rsidRDefault="008D479B" w:rsidP="008D479B">
      <w:pPr>
        <w:pStyle w:val="TextoNormal"/>
      </w:pPr>
      <w:r>
        <w:t>Apelar a la necesidad de modificación presupuestaria, corrobora la existencia de una mayor necesidad de crédito. La compensación operaría en un momento posterior. Si se aplicara este mecanismo de la compensación de créditos, nunca habría incremento de gastos a los efectos de justificar el veto del Gobierno, pues siempre sería posible encontrar una partida en donde aplicar la baja, imponiendo los grupos parlamentarios al Gobierno, mediante las proposiciones de ley, la obligación de dar de alta y de baja en el presupuesto en vigor, alterando las previsiones de ejecución presupuestaria del Gobierno.</w:t>
      </w:r>
    </w:p>
    <w:p w14:paraId="188558A8" w14:textId="77777777" w:rsidR="008D479B" w:rsidRDefault="008D479B" w:rsidP="008D479B">
      <w:pPr>
        <w:pStyle w:val="TextoNormal"/>
      </w:pPr>
    </w:p>
    <w:p w14:paraId="3631099C" w14:textId="77777777" w:rsidR="008D479B" w:rsidRDefault="008D479B" w:rsidP="008D479B">
      <w:pPr>
        <w:pStyle w:val="TextoNormal"/>
      </w:pPr>
      <w:r>
        <w:t>Añade el Gobierno que la proposición de ley implica un incremento de los gastos de personal, repercutiendo en el capítulo I de los presupuestos generales del Estado, haciendo referencia para ello al segundo párrafo de su art. 7 cuando indica que “[e]l personal al servicio de la Autoridad Independiente para la Recuperación Económica será, con carácter general, funcionario de carrera de las administraciones públicas. Si bien podrá reservarse un 20 % de plazas a personal laboral procedente de organismos nacionales o internacionales o personal eventual que permita atraer gestores competentes del sector privado, con un trayectoria y experiencia que se pueda contrastar”, lo que para el Gobierno puede generar un impacto en el capítulo I.</w:t>
      </w:r>
    </w:p>
    <w:p w14:paraId="4F5B12A4" w14:textId="77777777" w:rsidR="008D479B" w:rsidRDefault="008D479B" w:rsidP="008D479B">
      <w:pPr>
        <w:pStyle w:val="TextoNormal"/>
      </w:pPr>
    </w:p>
    <w:p w14:paraId="5B3186BC" w14:textId="77777777" w:rsidR="008D479B" w:rsidRDefault="008D479B" w:rsidP="008D479B">
      <w:pPr>
        <w:pStyle w:val="TextoNormal"/>
      </w:pPr>
      <w:r>
        <w:t>La explicación de la demanda de que esas contrataciones no suponen un coste porque se pueden incluir dentro de la dotación presupuestaria asignada al capítulo II al propio mecanismo de recuperación y resiliencia, implica admitir que efectivamente las contrataciones tienen un coste, dando la razón al Gobierno. Que la dotación de las contrataciones encaje en un concepto presupuestario no implica que no tengan coste, siendo dudoso que los grupos parlamentarios puedan indicar al Gobierno la forma en la que dotar presupuestariamente las medias, incidiendo en la autonomía de este para ejecutar el presupuesto.</w:t>
      </w:r>
    </w:p>
    <w:p w14:paraId="37E363E4" w14:textId="77777777" w:rsidR="008D479B" w:rsidRDefault="008D479B" w:rsidP="008D479B">
      <w:pPr>
        <w:pStyle w:val="TextoNormal"/>
      </w:pPr>
    </w:p>
    <w:p w14:paraId="4ACF8996" w14:textId="77777777" w:rsidR="008D479B" w:rsidRDefault="008D479B" w:rsidP="008D479B">
      <w:pPr>
        <w:pStyle w:val="TextoNormal"/>
      </w:pPr>
      <w:r>
        <w:t>La Autoridad que pretende crear la proposición de ley supondría una duplicidad organizativa pues el Real Decreto-ley 36/2020 había creado una gobernanza especialmente orientada a facilitar la toma de decisiones y garantizar un control efectivo y auditoria de los fondos y de su regulación resulta que la ejecución de la autoridad a que se refiere la proposición de ley conlleva gastos de personal que han de ser presupuestados. Es por otra parte hipotético que no se deba acudir a un refuerzo de personal por la necesidad de gestionar las ayudas antes de que acabara el presupuesto en vigor, atendido el retraso en la recepción de los fondos. La realidad ha supuesto que ya en el año 2021 se recibieron 19 000 millones de euros.</w:t>
      </w:r>
    </w:p>
    <w:p w14:paraId="61BC59CE" w14:textId="77777777" w:rsidR="008D479B" w:rsidRDefault="008D479B" w:rsidP="008D479B">
      <w:pPr>
        <w:pStyle w:val="TextoNormal"/>
      </w:pPr>
    </w:p>
    <w:p w14:paraId="509C4061" w14:textId="77777777" w:rsidR="008D479B" w:rsidRDefault="008D479B" w:rsidP="008D479B">
      <w:pPr>
        <w:pStyle w:val="TextoNormal"/>
      </w:pPr>
      <w:r>
        <w:t>Finalmente, la utilización del término “susceptible” debe ser considerada en el conjunto del escrito del Gobierno, del que resulta que considera la existencia de un impacto presupuestario.</w:t>
      </w:r>
    </w:p>
    <w:p w14:paraId="69109A0A" w14:textId="77777777" w:rsidR="008D479B" w:rsidRDefault="008D479B" w:rsidP="008D479B">
      <w:pPr>
        <w:pStyle w:val="TextoNormal"/>
      </w:pPr>
    </w:p>
    <w:p w14:paraId="3C2E2E9B" w14:textId="77777777" w:rsidR="008D479B" w:rsidRDefault="008D479B" w:rsidP="008D479B">
      <w:pPr>
        <w:pStyle w:val="TextoNormal"/>
      </w:pPr>
      <w:r>
        <w:t>B) En segundo lugar, en relación con las facultades de la mesa de control del veto del Gobierno.</w:t>
      </w:r>
    </w:p>
    <w:p w14:paraId="7967079E" w14:textId="77777777" w:rsidR="008D479B" w:rsidRDefault="008D479B" w:rsidP="008D479B">
      <w:pPr>
        <w:pStyle w:val="TextoNormal"/>
      </w:pPr>
    </w:p>
    <w:p w14:paraId="67356216" w14:textId="77777777" w:rsidR="008D479B" w:rsidRDefault="008D479B" w:rsidP="008D479B">
      <w:pPr>
        <w:pStyle w:val="TextoNormal"/>
      </w:pPr>
      <w:r>
        <w:t>a) En relación con la verificación de los requisitos formales, basta con verificar que el Gobierno ha dado respuesta expresa, motivada y dentro del plazo estipulado. Indica que el acuerdo de la mesa de 20 de abril de 2021 “da por expresada la disconformidad del Gobierno, lo cual significa que ha considerado que la comunicación del Gobierno cumple con estos requisitos formales”. Sostiene que la mesa aprecia que el Gobierno manifestó, en el plazo establecido al efecto que el art. 126.3 RCD y mediante escrito, su parecer contrario a la tramitación de la proposición de ley citada, y que lo hace de mantera expresa y motivada, por entender que su aprobación supondría un aumento de los créditos presupuestarios, aportando las razones que, a su juicio, motivan su criterio. Es por ello que considera que ha realizado el control formal conforme a la jurisprudencia del Tribunal.</w:t>
      </w:r>
    </w:p>
    <w:p w14:paraId="67672D8E" w14:textId="77777777" w:rsidR="008D479B" w:rsidRDefault="008D479B" w:rsidP="008D479B">
      <w:pPr>
        <w:pStyle w:val="TextoNormal"/>
      </w:pPr>
    </w:p>
    <w:p w14:paraId="724C73E4" w14:textId="77777777" w:rsidR="008D479B" w:rsidRDefault="008D479B" w:rsidP="008D479B">
      <w:pPr>
        <w:pStyle w:val="TextoNormal"/>
      </w:pPr>
      <w:r>
        <w:t>b) En la verificación de los requisitos materiales la mesa únicamente debe controlar que el criterio del Gobierno no sea manifiestamente infundado. Del examen que se ha efectuado del veto presupuestario formulado por el Gobierno no cabe decir que sea manifiestamente infundado o que no haya justificado que el impacto presupuestario sea real y efectivo en el presupuesto vigente. Por tanto, la mesa, no tenía razón o motivo para no admitir la disconformidad del Gobierno. Únicamente cuando a partir de un examen inicial, se desprenda de una manera manifiesta y evidente que el Gobierno ha utilizado un criterio infundado y su disconformidad acordada es arbitraria, la mesa tendrá la obligación de rechazar el criterio del Gobierno.</w:t>
      </w:r>
    </w:p>
    <w:p w14:paraId="783DA61D" w14:textId="77777777" w:rsidR="008D479B" w:rsidRDefault="008D479B" w:rsidP="008D479B">
      <w:pPr>
        <w:pStyle w:val="TextoNormal"/>
      </w:pPr>
    </w:p>
    <w:p w14:paraId="376E3F9F" w14:textId="77777777" w:rsidR="008D479B" w:rsidRDefault="008D479B" w:rsidP="008D479B">
      <w:pPr>
        <w:pStyle w:val="TextoNormal"/>
      </w:pPr>
      <w:r>
        <w:t>La resolución que contesta a la solicitud de reconsideración pone de manifiesto que la mesa ha verificado que la disconformidad acordada por el Gobierno está motivada de manera suficiente y no arbitraria, pues concreta las cuantías y los conceptos presupuestarios afectados del presupuesto en vigor. En consecuencia, la decisión de la mesa no ha sido irrazonable, por lo que se debe defender su actuación.</w:t>
      </w:r>
    </w:p>
    <w:p w14:paraId="55428997" w14:textId="77777777" w:rsidR="008D479B" w:rsidRDefault="008D479B" w:rsidP="008D479B">
      <w:pPr>
        <w:pStyle w:val="TextoNormal"/>
      </w:pPr>
    </w:p>
    <w:p w14:paraId="2664F8FB" w14:textId="02868178" w:rsidR="008D479B" w:rsidRDefault="008D479B" w:rsidP="008D479B">
      <w:pPr>
        <w:pStyle w:val="TextoNormal"/>
      </w:pPr>
      <w:r>
        <w:t xml:space="preserve">En conclusión, con su proceder, la mesa de la Cámara no ha restringido el </w:t>
      </w:r>
      <w:r w:rsidRPr="008D479B">
        <w:rPr>
          <w:i/>
        </w:rPr>
        <w:t>ius in officium</w:t>
      </w:r>
      <w:r>
        <w:t xml:space="preserve"> de los parlamentarios, pues su decisión ha sido expresa, formal y materialmente motivada y adecuada, en aplicación de la jurisprudencia del Tribunal.</w:t>
      </w:r>
    </w:p>
    <w:p w14:paraId="0B9719C0" w14:textId="77777777" w:rsidR="008D479B" w:rsidRDefault="008D479B" w:rsidP="008D479B">
      <w:pPr>
        <w:pStyle w:val="TextoNormal"/>
      </w:pPr>
    </w:p>
    <w:p w14:paraId="3A4D6985" w14:textId="77777777" w:rsidR="008D479B" w:rsidRDefault="008D479B" w:rsidP="008D479B">
      <w:pPr>
        <w:pStyle w:val="TextoNormal"/>
      </w:pPr>
      <w:r w:rsidRPr="008D479B">
        <w:rPr>
          <w:rStyle w:val="NumeroAFNegritaCaracter"/>
        </w:rPr>
        <w:t>8</w:t>
      </w:r>
      <w:r>
        <w:t>. Por escrito de fecha el 11 de abril de 2021 presentó sus alegaciones el Ministerio Fiscal solicitando el otorgamiento del amparo.</w:t>
      </w:r>
    </w:p>
    <w:p w14:paraId="154BC7FC" w14:textId="77777777" w:rsidR="008D479B" w:rsidRDefault="008D479B" w:rsidP="008D479B">
      <w:pPr>
        <w:pStyle w:val="TextoNormal"/>
      </w:pPr>
    </w:p>
    <w:p w14:paraId="0FE50C65" w14:textId="77777777" w:rsidR="008D479B" w:rsidRDefault="008D479B" w:rsidP="008D479B">
      <w:pPr>
        <w:pStyle w:val="TextoNormal"/>
      </w:pPr>
      <w:r>
        <w:t xml:space="preserve">Tras detallar los antecedentes fácticos de los que trae causa presente recurso, delimitar su objeto y sintetizar la doctrina constitucional sobre la integración en el núcleo esencial del </w:t>
      </w:r>
      <w:r w:rsidRPr="008D479B">
        <w:rPr>
          <w:i/>
        </w:rPr>
        <w:t>ius in officium</w:t>
      </w:r>
      <w:r>
        <w:t xml:space="preserve"> la participación de los parlamentarios en la potestad legislativa mediante la presentación de proposiciones de ley, sintetiza la doctrina constitucional sobre el alcance de la potestad que el art. 134.6 CE otorga al Gobierno, mediante la cita de las SSTC 34/2018, FJ 7, y 44/2018, FJ 5 y en relación con las facultades de control del veto presupuestario que asisten a la mesa mediante la referencia a la STC 53/2021, FFJJ 3 y 5.</w:t>
      </w:r>
    </w:p>
    <w:p w14:paraId="1F3906B3" w14:textId="77777777" w:rsidR="008D479B" w:rsidRDefault="008D479B" w:rsidP="008D479B">
      <w:pPr>
        <w:pStyle w:val="TextoNormal"/>
      </w:pPr>
    </w:p>
    <w:p w14:paraId="33204F31" w14:textId="77777777" w:rsidR="008D479B" w:rsidRDefault="008D479B" w:rsidP="008D479B">
      <w:pPr>
        <w:pStyle w:val="TextoNormal"/>
      </w:pPr>
      <w:r>
        <w:t>Observa el Ministerio Fiscal que la mesa del Congreso de los Diputados se ha limitado a valorar la concurrencia de los elementos formales y a afirmar que considera razonada y justificada la disconformidad del Gobierno con la proposición de ley sin llevar a cabo consideración alguna sobre la reconsideración planteada por el recurrente que niega cualquier impacto negativo presupuestario o que ofrece alternativas en caso de que fuere preciso contratar personal laboral como indica el art. 7 de la proposición de ley y por ello imputa al acuerdo de 18 de mayo de 2021 de la mesa que se ha limitado a hacer suyos los argumentos del Gobierno para rechazar la reconsideración.</w:t>
      </w:r>
    </w:p>
    <w:p w14:paraId="60A8D6CB" w14:textId="77777777" w:rsidR="008D479B" w:rsidRDefault="008D479B" w:rsidP="008D479B">
      <w:pPr>
        <w:pStyle w:val="TextoNormal"/>
      </w:pPr>
    </w:p>
    <w:p w14:paraId="1F79630C" w14:textId="77777777" w:rsidR="008D479B" w:rsidRDefault="008D479B" w:rsidP="008D479B">
      <w:pPr>
        <w:pStyle w:val="TextoNormal"/>
      </w:pPr>
      <w:r>
        <w:t>Considera que la mesa no ha ofrecido una explicación razonada a los concretos argumentos ofrecidos por la recurrente, en su escrito de reconsideración, acerca de que la iniciativa legislativa no supone un aumento de créditos presupuestarios. En esencia, en la reconsideración, la recurrente negaba el impacto negativo sobre el presupuesto y traía a colación, como razones de ello, que la nueva autoridad independiente no supone un gasto de personal del capítulo I ya que se trataría de adscribir al Ministerio de Economía la estructura del Ministerio de Hacienda, con competencia en materia de fondos europeos, en la misma cuantía, y que la contratación de personal laboral en un 20 por 100, dado que puede producirse un retraso en el envío de los fondos europeos no generaría un incremento de créditos y a ello sumaba que el mecanismo de recuperación y resiliencia tiene asignada una partida presupuestaria de 173 645 900 € que permitiría financiar dichos gastos.</w:t>
      </w:r>
    </w:p>
    <w:p w14:paraId="4BB5D31D" w14:textId="77777777" w:rsidR="008D479B" w:rsidRDefault="008D479B" w:rsidP="008D479B">
      <w:pPr>
        <w:pStyle w:val="TextoNormal"/>
      </w:pPr>
    </w:p>
    <w:p w14:paraId="33D03A71" w14:textId="77777777" w:rsidR="008D479B" w:rsidRDefault="008D479B" w:rsidP="008D479B">
      <w:pPr>
        <w:pStyle w:val="TextoNormal"/>
      </w:pPr>
      <w:r>
        <w:t>Entiende que la mesa guarda silencio sobre la posibilidad, por una parte, de la solución ofrecida en la reunión de 20 de abril de 2021, por la representante del Grupo Parlamentario Popular que sugirió la posibilidad de financiar los gatos que supone la nueva Autoridad Independiente de Recuperación Económica y su estructura administrativa, mediante transferencia de créditos, pero por otra ninguna mención contiene a la alegación realizada en la reconsideración al acuerdo de 20 de abril de 2021, de la partida presupuestaria que existe en el mecanismo de recuperación y resiliencia, pese a que al mismo se encuentra íntimamente ligada la proposición de ley.</w:t>
      </w:r>
    </w:p>
    <w:p w14:paraId="0D626CA3" w14:textId="77777777" w:rsidR="008D479B" w:rsidRDefault="008D479B" w:rsidP="008D479B">
      <w:pPr>
        <w:pStyle w:val="TextoNormal"/>
      </w:pPr>
    </w:p>
    <w:p w14:paraId="3F6010D0" w14:textId="77777777" w:rsidR="008D479B" w:rsidRDefault="008D479B" w:rsidP="008D479B">
      <w:pPr>
        <w:pStyle w:val="TextoNormal"/>
      </w:pPr>
      <w:r>
        <w:t>Tampoco se pronuncia la mesa sobre la alegación de la recurrente de que la creación de la AIPRE implique un verdadero aumento de gasto de personal porque lo que se propone es la baja de personal en el Ministerio de Hacienda y el alta, por adscripción, en el Ministerio de Economía, en la misma cuantía o, con carácter potestativo, la contratación de personal laboral si fuere necesario, lo que unido a la circunstancia de que se produzca un retraso en la asignación de los fondos de la Unión Europea harían innecesarias contrataciones externas, siendo la respuesta del Gobierno a esta eventualidad que “puede generar un impacto en el capítulo I” por lo que la opción por la reserva del 20 por 100 de plazas a personal laboral o eventual, aparece como algo contingente, sujeto a las necesidades de la Autoridad Independiente para la Recuperación Económica, siendo que la contratación de personal laboral aparece como uno de los elementos principales de la disconformidad del Gobierno a la tramitación en el Pleno de la proposición de ley, aunque el mismo presenta este incremento de gastos del capítulo I como algo probable al declarar “puede generar un impacto en el capítulo I” y no como algo real que produzca impacto negativo en el presupuesto. Mas cuando la recurrente alega que dichos gastos de personal pueden ser financiados por la dotación del capítulo II de los presupuestos asignados al mecanismo de recuperación y resiliencia en los que encajarían las contrataciones.</w:t>
      </w:r>
    </w:p>
    <w:p w14:paraId="1F96534B" w14:textId="77777777" w:rsidR="008D479B" w:rsidRDefault="008D479B" w:rsidP="008D479B">
      <w:pPr>
        <w:pStyle w:val="TextoNormal"/>
      </w:pPr>
    </w:p>
    <w:p w14:paraId="1C5766CE" w14:textId="77777777" w:rsidR="008D479B" w:rsidRDefault="008D479B" w:rsidP="008D479B">
      <w:pPr>
        <w:pStyle w:val="TextoNormal"/>
      </w:pPr>
      <w:r>
        <w:t>Asimismo, frente a la objeción que realiza el Gobierno de que la proposición de ley no especifica la vía de obtención de ingresos que podrán financiar o, al menos, coadyuvar a financiar la actividad, a lo cual la recurrente opone que se halla en contradicción por lo señalado en los arts. 12 y 7 de la proposición, la mesa de la Cámara vuelve a no pronunciarse sobre esta alegación.</w:t>
      </w:r>
    </w:p>
    <w:p w14:paraId="567CA115" w14:textId="77777777" w:rsidR="008D479B" w:rsidRDefault="008D479B" w:rsidP="008D479B">
      <w:pPr>
        <w:pStyle w:val="TextoNormal"/>
      </w:pPr>
    </w:p>
    <w:p w14:paraId="2C5F5944" w14:textId="77777777" w:rsidR="008D479B" w:rsidRDefault="008D479B" w:rsidP="008D479B">
      <w:pPr>
        <w:pStyle w:val="TextoNormal"/>
      </w:pPr>
      <w:r>
        <w:t>Como se ha indicado el Gobierno se ha limitado a establecer de manera genérica el impacto negativo en el presupuesto sin especificar, salvo las referencias al capítulo I y la sección 27 y añadir, “habría que crear un nuevo programa para el nuevo órgano que propone”, las concretas partidas que se ven afectadas.</w:t>
      </w:r>
    </w:p>
    <w:p w14:paraId="00C7A696" w14:textId="77777777" w:rsidR="008D479B" w:rsidRDefault="008D479B" w:rsidP="008D479B">
      <w:pPr>
        <w:pStyle w:val="TextoNormal"/>
      </w:pPr>
    </w:p>
    <w:p w14:paraId="0E179586" w14:textId="77777777" w:rsidR="008D479B" w:rsidRDefault="008D479B" w:rsidP="008D479B">
      <w:pPr>
        <w:pStyle w:val="TextoNormal"/>
      </w:pPr>
      <w:r>
        <w:t>La mesa de la Cámara, al aceptar la justificación dada por el Gobierno al veto presupuestario a la proposición de ley, manifestando su conformidad con la misma, respecto del aumento de créditos que suponía la iniciativa legislativa, ha eludido llevar a cabo su función de control material de aquel veto como le exige la doctrina de este tribunal expuesta. No ha llevado a cabo un análisis de manera efectiva de si la proposición de ley suponía un incremento real y verdadero de créditos presupuestarios, no obstante, las razones y argumentos de la reconsideración de la recurrente sobre por qué la proposición de ley no suponía un incremento de créditos, por lo que el acuerdo impugnado carece de una verdadera motivación material.</w:t>
      </w:r>
    </w:p>
    <w:p w14:paraId="76368BF6" w14:textId="77777777" w:rsidR="008D479B" w:rsidRDefault="008D479B" w:rsidP="008D479B">
      <w:pPr>
        <w:pStyle w:val="TextoNormal"/>
      </w:pPr>
    </w:p>
    <w:p w14:paraId="644F8F48" w14:textId="77777777" w:rsidR="008D479B" w:rsidRDefault="008D479B" w:rsidP="008D479B">
      <w:pPr>
        <w:pStyle w:val="TextoNormal"/>
      </w:pPr>
      <w:r>
        <w:t>La mesa, al aceptar las razones de la disconformidad del Gobierno y considerarlas suficientes, no ha realizado un verdadero control material del veto presupuestario a la proposición de ley y, por tanto, si esta iniciativa legislativa suponía un real y efectivo incremento de créditos.</w:t>
      </w:r>
    </w:p>
    <w:p w14:paraId="2561822C" w14:textId="77777777" w:rsidR="008D479B" w:rsidRDefault="008D479B" w:rsidP="008D479B">
      <w:pPr>
        <w:pStyle w:val="TextoNormal"/>
      </w:pPr>
    </w:p>
    <w:p w14:paraId="70760A41" w14:textId="25F66D12" w:rsidR="008D479B" w:rsidRDefault="008D479B" w:rsidP="008D479B">
      <w:pPr>
        <w:pStyle w:val="TextoNormal"/>
      </w:pPr>
      <w:r>
        <w:t>En consecuencia, los acuerdos de 20 de abril y de 18 de mayo de 2021, contravienen la doctrina de este tribunal sobre el veto presupuestario y vulneran los derechos fundamentales invocados por la recurrente.</w:t>
      </w:r>
    </w:p>
    <w:p w14:paraId="4CBD6016" w14:textId="77777777" w:rsidR="008D479B" w:rsidRDefault="008D479B" w:rsidP="008D479B">
      <w:pPr>
        <w:pStyle w:val="TextoNormal"/>
      </w:pPr>
    </w:p>
    <w:p w14:paraId="04A89E9C" w14:textId="53D9701B" w:rsidR="008D479B" w:rsidRDefault="008D479B" w:rsidP="008D479B">
      <w:pPr>
        <w:pStyle w:val="TextoNormal"/>
      </w:pPr>
      <w:r w:rsidRPr="008D479B">
        <w:rPr>
          <w:rStyle w:val="NumeroAFNegritaCaracter"/>
        </w:rPr>
        <w:t>9</w:t>
      </w:r>
      <w:r>
        <w:t>. Por providencia de 19 de octubre de 2023, se señaló para la deliberación y votación de la presente sentencia el día 23 del mismo mes y año.</w:t>
      </w:r>
    </w:p>
    <w:p w14:paraId="6242155C" w14:textId="77777777" w:rsidR="008D479B" w:rsidRDefault="008D479B" w:rsidP="008D479B">
      <w:pPr>
        <w:pStyle w:val="TextoNormal"/>
      </w:pPr>
    </w:p>
    <w:p w14:paraId="60304142" w14:textId="77777777" w:rsidR="008D479B" w:rsidRDefault="008D479B" w:rsidP="008D479B">
      <w:pPr>
        <w:pStyle w:val="TextoNormalNegritaCentrado"/>
        <w:keepNext/>
      </w:pPr>
      <w:r>
        <w:t>II. Fundamentos jurídicos</w:t>
      </w:r>
    </w:p>
    <w:p w14:paraId="04959648" w14:textId="79B2ECB8" w:rsidR="008D479B" w:rsidRDefault="008D479B" w:rsidP="008D479B">
      <w:pPr>
        <w:pStyle w:val="TextoNormalNegritaCentrado"/>
        <w:keepNext/>
      </w:pPr>
    </w:p>
    <w:p w14:paraId="31C310CC" w14:textId="77777777" w:rsidR="008D479B" w:rsidRDefault="008D479B" w:rsidP="008D479B">
      <w:pPr>
        <w:pStyle w:val="TextoNormal"/>
      </w:pPr>
      <w:r w:rsidRPr="008D479B">
        <w:rPr>
          <w:rStyle w:val="NumeroAFNegritaCaracter"/>
        </w:rPr>
        <w:t>1</w:t>
      </w:r>
      <w:r>
        <w:t xml:space="preserve">. </w:t>
      </w:r>
      <w:r w:rsidRPr="008D479B">
        <w:rPr>
          <w:i/>
        </w:rPr>
        <w:t>Objeto del recurso de amparo y alegaciones de las partes</w:t>
      </w:r>
    </w:p>
    <w:p w14:paraId="6D35F476" w14:textId="77777777" w:rsidR="008D479B" w:rsidRDefault="008D479B" w:rsidP="008D479B">
      <w:pPr>
        <w:pStyle w:val="TextoNormal"/>
      </w:pPr>
    </w:p>
    <w:p w14:paraId="45F06165" w14:textId="77777777" w:rsidR="008D479B" w:rsidRDefault="008D479B" w:rsidP="008D479B">
      <w:pPr>
        <w:pStyle w:val="TextoNormal"/>
      </w:pPr>
      <w:r>
        <w:t>La presente resolución tiene por objeto resolver la impugnación que, con sustento en la vulneración del derecho al ejercicio del cargo público parlamentario (art. 23.2 CE), en conexión con el derecho de los ciudadanos a participar en los asuntos públicos a través de sus representantes (art. 23.1 CE), efectúa el Grupo Parlamentario Popular del Congreso de los Diputados de los acuerdos de la mesa de la Cámara de 20 de abril y 18 de mayo de 2021, por los que respectivamente se acordó: (i) la no procedencia de la toma en consideración por el Pleno de la proposición de ley relativa a la creación de la Autoridad Independiente de Recuperación Económica y la mejora de la gobernanza de los fondos europeos de recuperación; y (ii) desestimar la subsiguiente solicitud de reconsideración presentada por la portavoz de dicho grupo parlamentario, atendida la falta de conformidad del Gobierno para su tramitación en virtud de lo establecido en el art. 134.6 CE.</w:t>
      </w:r>
    </w:p>
    <w:p w14:paraId="5D2C5B25" w14:textId="77777777" w:rsidR="008D479B" w:rsidRDefault="008D479B" w:rsidP="008D479B">
      <w:pPr>
        <w:pStyle w:val="TextoNormal"/>
      </w:pPr>
    </w:p>
    <w:p w14:paraId="65621FA0" w14:textId="77777777" w:rsidR="008D479B" w:rsidRDefault="008D479B" w:rsidP="008D479B">
      <w:pPr>
        <w:pStyle w:val="TextoNormal"/>
      </w:pPr>
      <w:r>
        <w:t>Como se ha expuesto en los antecedentes, el grupo parlamentario recurrente sustenta la vulneración invocada (art. 23 CE) en que el Gobierno no ha justificado el ejercicio de su facultad de veto presupuestario (art. 134.6 CE) y que la mesa ha aceptado la decisión del Gobierno desatendiendo los argumentos expuestos en la solicitud de reconsideración por los que se afirmaba la ausencia de impacto en los presupuestos de la proposición de ley.</w:t>
      </w:r>
    </w:p>
    <w:p w14:paraId="202A15D8" w14:textId="77777777" w:rsidR="008D479B" w:rsidRDefault="008D479B" w:rsidP="008D479B">
      <w:pPr>
        <w:pStyle w:val="TextoNormal"/>
      </w:pPr>
    </w:p>
    <w:p w14:paraId="0EE0CA2A" w14:textId="77777777" w:rsidR="008D479B" w:rsidRDefault="008D479B" w:rsidP="008D479B">
      <w:pPr>
        <w:pStyle w:val="TextoNormal"/>
      </w:pPr>
      <w:r>
        <w:t>El Ministerio Fiscal, con sustento en los argumentos que detalladamente se han expuesto en los antecedentes comparte la posición del recurrente y solicita la estimación de la demanda de amparo.</w:t>
      </w:r>
    </w:p>
    <w:p w14:paraId="1E6666D2" w14:textId="77777777" w:rsidR="008D479B" w:rsidRDefault="008D479B" w:rsidP="008D479B">
      <w:pPr>
        <w:pStyle w:val="TextoNormal"/>
      </w:pPr>
    </w:p>
    <w:p w14:paraId="0D9B9655" w14:textId="77777777" w:rsidR="008D479B" w:rsidRDefault="008D479B" w:rsidP="008D479B">
      <w:pPr>
        <w:pStyle w:val="TextoNormal"/>
      </w:pPr>
      <w:r>
        <w:t>Por su parte, la letrada de las Cortes Generales solicita la desestimación del recurso de amparo al entender que el gobierno ha justificado el coste de la creación de la AIPRE por su paralelismo con la Autoridad Independiente de Responsabilidad Fiscal, así como la repercusión que la misma tendría en los presupuestos generales del Estado, identificando la partida presupuestaria afectada, encontrándose indisociablemente unidos los recursos económicos y financieros a la creación de un ente público. Y, por otra parte, considera que la respuesta de la mesa ha sido expresa y motivada, verificando el cumplimiento de los requisitos formales y la inexistencia de arbitrariedad en la disconformidad del gobierno.</w:t>
      </w:r>
    </w:p>
    <w:p w14:paraId="3035525D" w14:textId="77777777" w:rsidR="008D479B" w:rsidRDefault="008D479B" w:rsidP="008D479B">
      <w:pPr>
        <w:pStyle w:val="TextoNormal"/>
      </w:pPr>
    </w:p>
    <w:p w14:paraId="5EC42FE0" w14:textId="17C607C6" w:rsidR="008D479B" w:rsidRDefault="008D479B" w:rsidP="008D479B">
      <w:pPr>
        <w:pStyle w:val="TextoNormal"/>
      </w:pPr>
      <w:r>
        <w:t>De lo expuesto se deduce que el enjuiciamiento de este tribunal se ha de referir de modo exclusivo a examinar el alcance, el contenido de la fundamentación y la decisión final adoptada por la mesa del Congreso de los Diputados, por ser únicamente sus acuerdos los que han sido impugnados y a los que se circunscribe la demanda. No obstante lo expuesto, también habrá de abordarse el análisis de la previa resolución del Gobierno de la Nación que, en el ejercicio de la facultad que le confiere el artículo 134.6 CE, expresó su disconformidad a la tramitación de la proposición de ley presentada, en la medida en que los acuerdos de la mesa de la Cámara, en el ejercicio de las funciones que le atribuye el artículo 126.2 del Reglamento del Congreso de los Diputados, tomaron, como presupuesto de su labor revisora, el contenido y razonamientos de la resolución del Gobierno.</w:t>
      </w:r>
    </w:p>
    <w:p w14:paraId="5BFEF568" w14:textId="77777777" w:rsidR="008D479B" w:rsidRDefault="008D479B" w:rsidP="008D479B">
      <w:pPr>
        <w:pStyle w:val="TextoNormal"/>
      </w:pPr>
    </w:p>
    <w:p w14:paraId="1347D9F0" w14:textId="77777777" w:rsidR="008D479B" w:rsidRDefault="008D479B" w:rsidP="008D479B">
      <w:pPr>
        <w:pStyle w:val="TextoNormal"/>
      </w:pPr>
      <w:r w:rsidRPr="008D479B">
        <w:rPr>
          <w:rStyle w:val="NumeroAFNegritaCaracter"/>
        </w:rPr>
        <w:t>2</w:t>
      </w:r>
      <w:r>
        <w:t xml:space="preserve">. </w:t>
      </w:r>
      <w:r w:rsidRPr="008D479B">
        <w:rPr>
          <w:i/>
        </w:rPr>
        <w:t>Análisis de la vulneración del derecho fundamental denunciada</w:t>
      </w:r>
    </w:p>
    <w:p w14:paraId="4B5AE6AB" w14:textId="77777777" w:rsidR="008D479B" w:rsidRDefault="008D479B" w:rsidP="008D479B">
      <w:pPr>
        <w:pStyle w:val="TextoNormal"/>
      </w:pPr>
    </w:p>
    <w:p w14:paraId="708CA3BC" w14:textId="77777777" w:rsidR="008D479B" w:rsidRDefault="008D479B" w:rsidP="008D479B">
      <w:pPr>
        <w:pStyle w:val="TextoNormal"/>
      </w:pPr>
      <w:r>
        <w:t xml:space="preserve">Este tribunal ha tenido ocasión de destacar que existe “una conexión directa entre el derecho de los parlamentarios </w:t>
      </w:r>
      <w:r w:rsidRPr="008D479B">
        <w:rPr>
          <w:i/>
        </w:rPr>
        <w:t>ex</w:t>
      </w:r>
      <w:r>
        <w:t xml:space="preserve"> art. 23.2 CE y el que la Constitución atribuye a los ciudadanos a participar en los asuntos públicos (art. 23.1 CE), ‘pues puede decirse que son primordialmente los representantes políticos de los ciudadanos quienes dan efectividad a su derecho a participar en los asuntos públicos. De suerte que el derecho del artículo 23.2 CE, así como, indirectamente, el que el (art. 23.1 CE) reconoce a los ciudadanos, quedaría vacío de contenido, o sería ineficaz, si el representante político se viese privado del mismo o perturbado en su ejercicio’” (SSTC 202/2014, de 15 de diciembre, FJ 3, y 1/2015, de 19 de enero, FJ 3, por todas). En consecuencia, ambos derechos, el del ejercicio del cargo público representativo y el de participación en asuntos públicos de los ciudadanos, deben ser tenidos en cuenta a la hora de enjuiciar la vulneración de derechos fundamentales que se denuncia en el presente recurso de amparo.</w:t>
      </w:r>
    </w:p>
    <w:p w14:paraId="63FB8748" w14:textId="77777777" w:rsidR="008D479B" w:rsidRDefault="008D479B" w:rsidP="008D479B">
      <w:pPr>
        <w:pStyle w:val="TextoNormal"/>
      </w:pPr>
    </w:p>
    <w:p w14:paraId="31AFEF80" w14:textId="77777777" w:rsidR="008D479B" w:rsidRDefault="008D479B" w:rsidP="008D479B">
      <w:pPr>
        <w:pStyle w:val="TextoNormal"/>
      </w:pPr>
      <w:r>
        <w:t>El derecho que atribuye a los parlamentarios el art. 23.2 CE, es un derecho de configuración legal, como resulta del inciso final del propio precepto, de modo que es a los reglamentos parlamentarios, “a los que compete fijar y ordenar los derechos y atribuciones propios de los parlamentarios que, una vez creados, quedan integrados en el estatus propio de su cargo, con la consecuencia de que podrán sus titulares, al amparo del artículo 23.2 CE, reclamar su protección cuando los consideren ilegítimamente constreñidos o ignorados por actos del poder público, incluidos los provenientes del propio órgano en el que se integren [STC 36/2014, de 27 de febrero, FJ 5, y las allí citadas, así como las SSTC 107/2016, de 7 de junio, FJ 4 B) a), y 108/2016, de 7 de junio, FJ 4 B) a)]” (STC 139/2018, de 17 de diciembre, FJ 4).</w:t>
      </w:r>
    </w:p>
    <w:p w14:paraId="6D7FB5EA" w14:textId="77777777" w:rsidR="008D479B" w:rsidRDefault="008D479B" w:rsidP="008D479B">
      <w:pPr>
        <w:pStyle w:val="TextoNormal"/>
      </w:pPr>
    </w:p>
    <w:p w14:paraId="789BF8A1" w14:textId="77777777" w:rsidR="008D479B" w:rsidRDefault="008D479B" w:rsidP="008D479B">
      <w:pPr>
        <w:pStyle w:val="TextoNormal"/>
      </w:pPr>
      <w:r>
        <w:t xml:space="preserve">Debe recordarse que en relación con acuerdos como los adoptados por la mesa del Congreso de los Diputados el 20 de abril y 18 de mayo de 2021, por los que se acuerda la no procedencia de la toma en consideración por el Pleno de la proposición de ley, este tribunal ha venido afirmando que “[l]as proposiciones de ley promovidas por los grupos parlamentarios no solo son una forma —sin duda, la más señalada y expresiva— de participación de los parlamentarios en la potestad legislativa de las Cámaras parlamentarias. Son también un cauce instrumental al servicio de la función representativa característica de todo Parlamento, operando como un instrumento eficaz en manos de los distintos grupos políticos que integran el Pleno de la Cámara, y que les permite obligar a que este se pronuncie acerca de la oportunidad de la iniciativa presentada, forzando a las distintas fuerzas político-parlamentarias a manifestar públicamente su postura y las razones políticas o de otra índole (incluida la eventual inconstitucionalidad de la misma), por las que han decidido apoyar o rechazar la propuesta legislativa sometida a su consideración” (SSTC 124/1995, de 18 de julio, FJ 3). El ejercicio de la función legislativa por los representantes de los ciudadanos constituye, pues, la “máxima expresión del ejercicio de la soberanía popular en el Estado democrático. Puesto que la participación en el ejercicio de dicha función y el desempeño de los derechos y facultades que la acompañan […] constituyen una manifestación constitucionalmente relevante del </w:t>
      </w:r>
      <w:r w:rsidRPr="008D479B">
        <w:rPr>
          <w:i/>
        </w:rPr>
        <w:t>ius in officium</w:t>
      </w:r>
      <w:r>
        <w:t xml:space="preserve"> del representante” (SSTC 10/2016, de 1 de febrero, FJ 4, 10/2018, FJ 3; 94/2018, de 17 de septiembre, FJ 4; 139/2018, FJ 4, y 53/2021, de 15 de marzo, FJ 3), formando parte de su núcleo esencial al incidir de modo directo en el ejercicio de la función parlamentaria.</w:t>
      </w:r>
    </w:p>
    <w:p w14:paraId="597C00DC" w14:textId="77777777" w:rsidR="008D479B" w:rsidRDefault="008D479B" w:rsidP="008D479B">
      <w:pPr>
        <w:pStyle w:val="TextoNormal"/>
      </w:pPr>
    </w:p>
    <w:p w14:paraId="6FF39F0F" w14:textId="07794A67" w:rsidR="008D479B" w:rsidRDefault="008D479B" w:rsidP="008D479B">
      <w:pPr>
        <w:pStyle w:val="TextoNormal"/>
      </w:pPr>
      <w:r>
        <w:t xml:space="preserve">En el caso de autos, la demanda de amparo denuncia precisamente la vulneración del </w:t>
      </w:r>
      <w:r w:rsidRPr="008D479B">
        <w:rPr>
          <w:i/>
        </w:rPr>
        <w:t>ius in officium</w:t>
      </w:r>
      <w:r>
        <w:t xml:space="preserve"> del Grupo Parlamentario Popular, por haber acordado la mesa del Congreso de los Diputados la inadmisión a trámite, como paso previo a su toma en consideración por el Pleno de la Cámara Baja, de la proposición de ley “relativa a la creación de la Autoridad Independiente de Recuperación Económica y la mejora de la gobernanza de los fondos europeos de recuperación”, presentada por el referido grupo parlamentario, por lo que esta decisión incide sobre el núcleo esencial del ejercicio de la función parlamentaria del recurrente y debe llevar, en consecuencia, al enjuiciamiento y toma de decisión sobre la cuestión de fondo que, más adelante, será objeto de atención por este tribunal.</w:t>
      </w:r>
    </w:p>
    <w:p w14:paraId="43086314" w14:textId="77777777" w:rsidR="008D479B" w:rsidRDefault="008D479B" w:rsidP="008D479B">
      <w:pPr>
        <w:pStyle w:val="TextoNormal"/>
      </w:pPr>
    </w:p>
    <w:p w14:paraId="7AC4A5B1" w14:textId="77777777" w:rsidR="008D479B" w:rsidRDefault="008D479B" w:rsidP="008D479B">
      <w:pPr>
        <w:pStyle w:val="TextoNormal"/>
      </w:pPr>
      <w:r w:rsidRPr="008D479B">
        <w:rPr>
          <w:rStyle w:val="NumeroAFNegritaCaracter"/>
        </w:rPr>
        <w:t>3</w:t>
      </w:r>
      <w:r>
        <w:t xml:space="preserve">. </w:t>
      </w:r>
      <w:r w:rsidRPr="008D479B">
        <w:rPr>
          <w:i/>
        </w:rPr>
        <w:t>Las funciones de la mesa del Congreso y la facultad del Gobierno en relación con el “veto presupuestario”</w:t>
      </w:r>
    </w:p>
    <w:p w14:paraId="01999894" w14:textId="77777777" w:rsidR="008D479B" w:rsidRDefault="008D479B" w:rsidP="008D479B">
      <w:pPr>
        <w:pStyle w:val="TextoNormal"/>
      </w:pPr>
    </w:p>
    <w:p w14:paraId="30F74BAF" w14:textId="77777777" w:rsidR="008D479B" w:rsidRDefault="008D479B" w:rsidP="008D479B">
      <w:pPr>
        <w:pStyle w:val="TextoNormal"/>
      </w:pPr>
      <w:r>
        <w:t>Las funciones de la mesa y la facultad del Gobierno en relación con el llamado “veto presupuestario”, han sido expuestas de modo extenso en el fundamento jurídico 5 de las SSTC 94/2018 y 139/2018, dictadas respectivamente por la Sala Segunda y Primera de este tribunal, al que nos debemos remitir en su integridad, siendo conveniente reproducir la parte más estrechamente vinculada con la cuestión ahora planteada:</w:t>
      </w:r>
    </w:p>
    <w:p w14:paraId="3D9B4A56" w14:textId="77777777" w:rsidR="008D479B" w:rsidRDefault="008D479B" w:rsidP="008D479B">
      <w:pPr>
        <w:pStyle w:val="TextoNormal"/>
      </w:pPr>
    </w:p>
    <w:p w14:paraId="0085349D" w14:textId="77777777" w:rsidR="008D479B" w:rsidRDefault="008D479B" w:rsidP="008D479B">
      <w:pPr>
        <w:pStyle w:val="TextoNormal"/>
      </w:pPr>
      <w:r>
        <w:t>“En lo que, de modo específico, se refiere a la facultad de ‘veto’ que el artículo 134.6 CE atribuye al Gobierno, son de destacar los siguientes aspectos:</w:t>
      </w:r>
    </w:p>
    <w:p w14:paraId="656087EE" w14:textId="77777777" w:rsidR="008D479B" w:rsidRDefault="008D479B" w:rsidP="008D479B">
      <w:pPr>
        <w:pStyle w:val="TextoNormal"/>
      </w:pPr>
    </w:p>
    <w:p w14:paraId="59E352FA" w14:textId="77777777" w:rsidR="008D479B" w:rsidRDefault="008D479B" w:rsidP="008D479B">
      <w:pPr>
        <w:pStyle w:val="TextoNormal"/>
      </w:pPr>
      <w:r>
        <w:t>(1) La propia literalidad del precepto constitucional ‘ciñe dicha potestad del Gobierno a los ingresos y gastos que estén efectivamente reflejados en el mismo presupuesto’ [SSTC 34/2018, FJ 7 a), y 44/2018, FJ 5 a)]. ‘La prerrogativa del Ejecutivo a que se refiere el artículo 134.6 CE, cuyo efecto limitador de la actividad misma del Legislativo es evidente, se ciñe a aquellas medidas cuya incidencia sobre el presupuesto del Estado sea real y efectiva. Lo contrario supondría una interpretación extensiva de los límites contenidos en el artículo 134 CE, que hemos reiterado que se refieren solo al presupuesto (por todas, STC 136/2011, de 13 de septiembre, FJ 11)’ [STC 34/2018, FJ 7 a)].</w:t>
      </w:r>
    </w:p>
    <w:p w14:paraId="0B6C1EE3" w14:textId="77777777" w:rsidR="008D479B" w:rsidRDefault="008D479B" w:rsidP="008D479B">
      <w:pPr>
        <w:pStyle w:val="TextoNormal"/>
      </w:pPr>
    </w:p>
    <w:p w14:paraId="645C6742" w14:textId="77777777" w:rsidR="008D479B" w:rsidRDefault="008D479B" w:rsidP="008D479B">
      <w:pPr>
        <w:pStyle w:val="TextoNormal"/>
      </w:pPr>
      <w:r>
        <w:t>(2) En lo que se refiere al alcance temporal del veto presupuestario, ‘la conformidad del Gobierno ha de referirse siempre al presupuesto en vigor en cada momento, en coherencia con el propio principio de anualidad contenido en el mismo artículo, entendiendo por tal tanto el autorizado expresamente como incluso el que ha sido objeto de prórroga presupuestaria (art. 134.4 CE), pues no por ello deja de cumplir la función esencial de vehículo de dirección y orientación de la política económica del Gobierno’ [SSTC 34/2018, FJ 7 b), y 44/2018, FJ 5 b)]. También ha señalado la doctrina de este tribunal que ‘consecuencia de lo anterior es que el veto presupuestario no podrá ejercerse por relación a presupuestos futuros, que aún no han sido elaborados por el Gobierno ni sometidos por tanto al proceso de aprobación regulado en el artículo 134 CE’ [SSTC 34/2018, FJ 7 b), y 44/2018, FJ 5 b)]. En lo que se refiere a los denominados ‘ejercicios plurianuales’, después de reconocer este Tribunal que ‘todo presupuesto está lógica y temporalmente conectado con las cuentas públicas aprobadas en ejercicios anteriores, y con las que se prevé elaborar para los ejercicios futuros’, afirma de modo tajante que ‘sin embargo, tal conexión plurianual no desnaturaliza el carácter anual del presupuesto, por lo que el ejercicio de la potestad del artículo 134.6 CE se restringe, igualmente, a la afectación de una medida al presupuesto del ejercicio en curso’ [SSTC 34/2018, FJ 7 b), y 44/2018, FJ 5 b)].</w:t>
      </w:r>
    </w:p>
    <w:p w14:paraId="32846F89" w14:textId="77777777" w:rsidR="008D479B" w:rsidRDefault="008D479B" w:rsidP="008D479B">
      <w:pPr>
        <w:pStyle w:val="TextoNormal"/>
      </w:pPr>
    </w:p>
    <w:p w14:paraId="403081D2" w14:textId="77777777" w:rsidR="008D479B" w:rsidRDefault="008D479B" w:rsidP="008D479B">
      <w:pPr>
        <w:pStyle w:val="TextoNormal"/>
      </w:pPr>
      <w:r>
        <w:t>(3) Respecto de la motivación que debe contener la resolución del Gobierno cuando haga uso de la facultad de ‘veto’ del artículo 134.6 CE, la doctrina de este tribunal ha declarado que ‘el Gobierno podrá oponerse solo en aquellos casos en los cuales la medida propuesta, enmienda o proposición, incida directamente en el citado presupuesto. La motivación del Gobierno debe expresar tal incidencia, precisando las concretas partidas presupuestarias que se verían afectadas, y teniendo en cuenta que su eventual no conformidad, esto es, el veto presupuestario, tiene una incidencia directa sobre la propia función del Legislativo’ [SSTC 34/2018, FJ 7 c), y 44/2018, FJ 5 c)]. Dispondrá el Gobierno de un amplio margen de apreciación para hacer uso de esta facultad, pero deberá ‘precisar adecuadamente los concretos créditos que se verían directamente afectados, de entre los contenidos en el presupuesto en vigor, habida cuenta que es este el que cumple en cada momento su función instrumental a la propia acción de Gobierno (art. 97 CE)’ [SSTC 34/2018, FJ 7 c), y 44/2018, FJ 5 c)]. Asimismo, esta potestad del Gobierno ‘se vincula y ciñe a los casos en los cuales una proposición de ley tenga incidencia directa e inmediata en el plan presupuestario en vigor, lo que significa, como deriva de la propia literalidad del artículo 134.6 CE, que implique razonablemente un incremento de los créditos o una disminución de los ingresos en el mismo ejercicio presupuestario’ [SSTC 34/2018, FJ 7 c), y 44/2018, FJ 5 c)].</w:t>
      </w:r>
    </w:p>
    <w:p w14:paraId="04E5DCEE" w14:textId="77777777" w:rsidR="008D479B" w:rsidRDefault="008D479B" w:rsidP="008D479B">
      <w:pPr>
        <w:pStyle w:val="TextoNormal"/>
      </w:pPr>
    </w:p>
    <w:p w14:paraId="71D97A11" w14:textId="77777777" w:rsidR="008D479B" w:rsidRDefault="008D479B" w:rsidP="008D479B">
      <w:pPr>
        <w:pStyle w:val="TextoNormal"/>
      </w:pPr>
      <w:r>
        <w:t>b) Las funciones de la mesa del Congreso. En lo que atañe a las atribuciones de la mesa del Congreso de los Diputados, respecto del ejercicio de la facultad que el artículo 134.6 CE reconoce al Gobierno, también las reiteradas SSTC 34/2018 y 44/2018 han establecido la doctrina de este Tribunal que, a modo de síntesis, hemos de destacar a continuación:</w:t>
      </w:r>
    </w:p>
    <w:p w14:paraId="37A99D92" w14:textId="77777777" w:rsidR="008D479B" w:rsidRDefault="008D479B" w:rsidP="008D479B">
      <w:pPr>
        <w:pStyle w:val="TextoNormal"/>
      </w:pPr>
    </w:p>
    <w:p w14:paraId="2DFE95DA" w14:textId="77777777" w:rsidR="008D479B" w:rsidRDefault="008D479B" w:rsidP="008D479B">
      <w:pPr>
        <w:pStyle w:val="TextoNormal"/>
      </w:pPr>
      <w:r>
        <w:t xml:space="preserve">(i) La mesa del Congreso de los Diputados asume, en estos casos, una doble responsabilidad, pues tiene atribuida la función de revisión del ejercicio por el Gobierno de la facultad de veto, </w:t>
      </w:r>
      <w:r w:rsidRPr="008D479B">
        <w:rPr>
          <w:i/>
        </w:rPr>
        <w:t>ex</w:t>
      </w:r>
      <w:r>
        <w:t xml:space="preserve"> artículo 134.6 CE, sobre las proposiciones de ley presentadas por los grupos parlamentarios. Pero la decisión que pueda adoptar, particularmente en los supuestos como el de autos, es que inadmita la proposición de ley presentada por un grupo parlamentario, lo que implica una limitación del </w:t>
      </w:r>
      <w:r w:rsidRPr="008D479B">
        <w:rPr>
          <w:i/>
        </w:rPr>
        <w:t>ius in officium</w:t>
      </w:r>
      <w:r>
        <w:t xml:space="preserve"> protegido constitucionalmente, por tratarse de una iniciativa legislativa que constituye una manifestación genuina de la actividad parlamentaria.</w:t>
      </w:r>
    </w:p>
    <w:p w14:paraId="75C9B501" w14:textId="77777777" w:rsidR="008D479B" w:rsidRDefault="008D479B" w:rsidP="008D479B">
      <w:pPr>
        <w:pStyle w:val="TextoNormal"/>
      </w:pPr>
    </w:p>
    <w:p w14:paraId="25C4E426" w14:textId="77777777" w:rsidR="008D479B" w:rsidRDefault="008D479B" w:rsidP="008D479B">
      <w:pPr>
        <w:pStyle w:val="TextoNormal"/>
      </w:pPr>
      <w:r>
        <w:t>(ii) En lo que se refiere a la primera de las responsabilidades, incumbe a las mesas parlamentarias en general, pero en particular y en relación con este caso a la mesa del Congreso, llevar a cabo un control reglado sobre el ejercicio de la facultad del Gobierno, de carácter técnico-jurídico, si bien no puede responder en ningún caso a criterios de oportunidad política. Por otra parte, se trata de un doble control, formal y material. En lo que respecta al primero de ellos, bastará con verificar que el Gobierno haya dado respuesta expresa y motivada a la remisión de la proposición de ley, a los efectos de mostrar su conformidad o disconformidad, en este último caso a la concurrencia del presupuesto de hecho habilitante (aumento de los créditos o disminución de los ingresos) y que lo haya hecho dentro de plazo, o alternativamente, que dicha respuesta no se haya producido, debiendo obrar entonces en la forma prevista en el artículo 126.3 RCD. […] En lo que se refiere al control material, este Tribunal le ha reconocido a las mesas parlamentarias ‘un margen de aplicación en la interpretación de la legalidad parlamentaria’ [SSTC 242/2006, FJ 4; 34/2018, FJ 4 b), y 44/2018, FJ 3], que se puede llevar a efecto mediante un pronunciamiento de la mesa sobre el carácter manifiestamente infundado del criterio del Gobierno, siempre y cuando resulte evidente, a la luz de la propia motivación aportada por este, que no se ha justificado la afectación de la iniciativa a los ingresos y gastos contenidos en el propio presupuesto que, en cada ejercicio, cumple la función instrumental a la propia acción de Gobierno. En suma, con independencia del tipo de iniciativa o proceso parlamentario, corresponde a este órgano de la Cámara ejercer una limitada función de calificación del criterio del Gobierno, como parte de su función genérica de calificación en relación con los documentos de índole parlamentaria que le remita el Gobierno [SSTC 34/2018, FJ 7 d), y 44/2018, FJ 3]. A partir de esta función de control del trabajo parlamentario, la mesa podrá rechazar la falta de conformidad del Ejecutivo en aquellos casos en los cuales el Gobierno no haya concretado la afectación al presupuesto. En dicho examen, la mesa no puede sustituir la apreciación del Gobierno, sin que tampoco deba, como regla general, obstaculizar el ejercicio de la facultad del Gobierno (STC 242/2006, FJ 6), pues en este caso su actuación debe salvaguardar, además y al mismo tiempo, la competencia que, en exclusiva, atribuye el artículo 134.6 CE al Gobierno, de acuerdo con el principio de lealtad institucional que ha de presidir las relaciones entre órganos constitucionales [STC 34/2018, FJ 7 d)].</w:t>
      </w:r>
    </w:p>
    <w:p w14:paraId="4E5E51EB" w14:textId="77777777" w:rsidR="008D479B" w:rsidRDefault="008D479B" w:rsidP="008D479B">
      <w:pPr>
        <w:pStyle w:val="TextoNormal"/>
      </w:pPr>
    </w:p>
    <w:p w14:paraId="77232B18" w14:textId="05338532" w:rsidR="008D479B" w:rsidRDefault="008D479B" w:rsidP="008D479B">
      <w:pPr>
        <w:pStyle w:val="TextoNormal"/>
      </w:pPr>
      <w:r>
        <w:t>(iii) Por lo que se refiere a la segunda de las responsabilidades, la mesa debe velar por los derechos fundamentales de los parlamentarios, derivados del artículo 23 CE, de tal manera que, en los supuestos como el de autos, en que decida mostrar su conformidad al ejercicio de la facultad de veto por parte del Gobierno a la iniciativa legislativa de un grupo parlamentario, y, en consecuencia inadmitirla, su respuesta ‘puede[n] implicar una limitación del derecho a ejercer la función parlamentaria y, con él, del derecho de participación ciudadana’, por lo que la respuesta debe estar formal y materialmente motivada, ‘a fin de que tras ellas no se esconda un juicio sobre la oportunidad política, en los casos en que ese juicio esté atribuido a la Cámara parlamentaria en el correspondiente trámite de toma en consideración o en el debate plenario’ [STC 34/2018, FJ 4 b), y todas las que allí se citan]”.</w:t>
      </w:r>
    </w:p>
    <w:p w14:paraId="4B571463" w14:textId="77777777" w:rsidR="008D479B" w:rsidRDefault="008D479B" w:rsidP="008D479B">
      <w:pPr>
        <w:pStyle w:val="TextoNormal"/>
      </w:pPr>
    </w:p>
    <w:p w14:paraId="5DA04B0C" w14:textId="77777777" w:rsidR="008D479B" w:rsidRDefault="008D479B" w:rsidP="008D479B">
      <w:pPr>
        <w:pStyle w:val="TextoNormal"/>
      </w:pPr>
      <w:r w:rsidRPr="008D479B">
        <w:rPr>
          <w:rStyle w:val="NumeroAFNegritaCaracter"/>
        </w:rPr>
        <w:t>4</w:t>
      </w:r>
      <w:r>
        <w:t xml:space="preserve">. </w:t>
      </w:r>
      <w:r w:rsidRPr="008D479B">
        <w:rPr>
          <w:i/>
        </w:rPr>
        <w:t>Aplicación de la doctrina al caso concreto</w:t>
      </w:r>
    </w:p>
    <w:p w14:paraId="6DF68829" w14:textId="77777777" w:rsidR="008D479B" w:rsidRDefault="008D479B" w:rsidP="008D479B">
      <w:pPr>
        <w:pStyle w:val="TextoNormal"/>
      </w:pPr>
    </w:p>
    <w:p w14:paraId="594EBAC3" w14:textId="77777777" w:rsidR="008D479B" w:rsidRDefault="008D479B" w:rsidP="008D479B">
      <w:pPr>
        <w:pStyle w:val="TextoNormal"/>
      </w:pPr>
      <w:r>
        <w:t>Como hemos adelantado al delimitar el objeto del recurso, nuestro enjuiciamiento se concreta a verificar el correcto ejercicio de la función de calificación por parte de la mesa del Congreso de los Diputados en relación con la discrepancia manifestada por el Gobierno, al amparo del artículo 134.6 CE, respecto de la tramitación de la proposición de ley de que se trata.</w:t>
      </w:r>
    </w:p>
    <w:p w14:paraId="3FD54F80" w14:textId="77777777" w:rsidR="008D479B" w:rsidRDefault="008D479B" w:rsidP="008D479B">
      <w:pPr>
        <w:pStyle w:val="TextoNormal"/>
      </w:pPr>
    </w:p>
    <w:p w14:paraId="574DAED0" w14:textId="77777777" w:rsidR="008D479B" w:rsidRDefault="008D479B" w:rsidP="008D479B">
      <w:pPr>
        <w:pStyle w:val="TextoNormal"/>
      </w:pPr>
      <w:r>
        <w:t>Del contenido del recurso resulta que la parte recurrente no formula queja alguna respecto del ejercicio de las funciones de control de los elementos formales por parte de la mesa, sino que su objeción se localiza en el necesario control material que, a su juicio, no ha llevado a efecto el órgano parlamentario cuando el Gobierno no ha razonado suficientemente el cumplimiento del presupuesto de hecho que habilita para el ejercicio de aquella facultad de veto; esto es, que la proposición de ley pudiera afectar al presupuesto en vigor, significando un aumento de los créditos o una disminución de los ingresos.</w:t>
      </w:r>
    </w:p>
    <w:p w14:paraId="3C4E38F1" w14:textId="77777777" w:rsidR="008D479B" w:rsidRDefault="008D479B" w:rsidP="008D479B">
      <w:pPr>
        <w:pStyle w:val="TextoNormal"/>
      </w:pPr>
    </w:p>
    <w:p w14:paraId="558D5F9D" w14:textId="77777777" w:rsidR="008D479B" w:rsidRDefault="008D479B" w:rsidP="008D479B">
      <w:pPr>
        <w:pStyle w:val="TextoNormal"/>
      </w:pPr>
      <w:r>
        <w:t>Así planteado el problema conviene insistir en que “la mesa debe verificar la motivación aportada por el Gobierno, pero sin que le corresponda sustituir al mismo en el enjuiciamiento del impacto [presupuestario], sino tan solo constatar que el mismo es real y efectivo, y no una mera hipótesis” [STC 34/2018, FJ 7 d)]. De modo que el margen de apreciación que se le ha reconocido a las mesas parlamentarias se concreta a verificar el carácter manifiestamente infundado o arbitrario del criterio del Gobierno, que se evidencie por no haber justificado la afectación de la iniciativa a los ingresos y gastos contenidos en el propio presupuesto.</w:t>
      </w:r>
    </w:p>
    <w:p w14:paraId="4957BF17" w14:textId="77777777" w:rsidR="008D479B" w:rsidRDefault="008D479B" w:rsidP="008D479B">
      <w:pPr>
        <w:pStyle w:val="TextoNormal"/>
      </w:pPr>
    </w:p>
    <w:p w14:paraId="78D83A06" w14:textId="77777777" w:rsidR="008D479B" w:rsidRDefault="008D479B" w:rsidP="008D479B">
      <w:pPr>
        <w:pStyle w:val="TextoNormal"/>
      </w:pPr>
      <w:r>
        <w:t>Ahora bien, la mesa no puede desplazar el criterio del Gobierno por el suyo o reemplazarlo por el criterio del grupo que presentó la iniciativa, pues en su actuación la mesa “debe salvaguardar, además y al mismo tiempo, la competencia que, en exclusiva, atribuye el artículo 134.6 CE al Gobierno, de acuerdo con el principio de lealtad institucional que ha de presidir las relaciones entre órganos constitucionales” [STC 34/2018, FJ 7 d)].</w:t>
      </w:r>
    </w:p>
    <w:p w14:paraId="4B7EA6EE" w14:textId="77777777" w:rsidR="008D479B" w:rsidRDefault="008D479B" w:rsidP="008D479B">
      <w:pPr>
        <w:pStyle w:val="TextoNormal"/>
      </w:pPr>
    </w:p>
    <w:p w14:paraId="3E03E3C2" w14:textId="77777777" w:rsidR="008D479B" w:rsidRDefault="008D479B" w:rsidP="008D479B">
      <w:pPr>
        <w:pStyle w:val="TextoNormal"/>
      </w:pPr>
      <w:r>
        <w:t>Examinados los argumentos por los que el Gobierno manifestó la falta de conformidad en la tramitación de la iniciativa, resulta que el Ejecutivo estimó el impacto directo negativo que la creación de la AIPRE podía tener en 9 700 000 € basándose en el coste presupuestado que tiene la Autoridad Independiente de Responsabilidad Fiscal e identificó, a la vista de su adscripción al Ministerio de Asuntos Económicos y Transformación Digital, la incidencia que dicha autoridad tendría en la “Sección 27: Ministerio de Asuntos Económicos y Transformación Digital”, esto es, en el presupuesto de gastos, y consiguientemente indicó que debería crearse un nuevo programa para la AIPRE en dicha sección. El Gobierno descarta que la incorporación en bloque del centro directivo del Ministerio de Hacienda con competencia en materia de fondos Europeos, con todos sus efectivos y medios materiales, a la estructura de la Autoridad Independiente para la Recuperación Económica, evite la generación de costes de personal, pues el propio art. 7 de la proposición de ley prevé que podrá reservarse un 20 por 100 de plazas a personal laboral, lo que puede generar un impacto en el capítulo I.</w:t>
      </w:r>
    </w:p>
    <w:p w14:paraId="1EA6D01C" w14:textId="77777777" w:rsidR="008D479B" w:rsidRDefault="008D479B" w:rsidP="008D479B">
      <w:pPr>
        <w:pStyle w:val="TextoNormal"/>
      </w:pPr>
    </w:p>
    <w:p w14:paraId="615D1F8D" w14:textId="77777777" w:rsidR="008D479B" w:rsidRDefault="008D479B" w:rsidP="008D479B">
      <w:pPr>
        <w:pStyle w:val="TextoNormal"/>
      </w:pPr>
      <w:r>
        <w:t>Para la mesa del Congreso de los Diputados, el Gobierno ha hecho uso de una facultad constitucional y reglamentariamente reconocida, aportando explicación de las razones que, a su juicio, motivan su criterio contrario a la tramitación de la iniciativa, al entender que la aprobación de la proposición de ley de referencia tendría un impacto presupuestario directo. Añade que la disconformidad acordada por el Gobierno está motivada de manera suficiente y no arbitraria, pues concreta, como exige la jurisprudencia constitucional, las cuantías y los conceptos presupuestarios afectados del presupuesto en vigor. Destaca el acuerdo de la mesa, que la finalidad de la disconformidad del Gobierno es garantizar la ejecución del programa económico aprobado con la ley de presupuestos (STC 242/2006), así como que las actuaciones de la mesa en este ámbito se enmarcan dentro del ejercicio de una facultad del Gobierno, siendo esta una facultad que debe entenderse como una manifestación más del llamado “parlamentarismo racionalizado”. Añade que una vez remitida la disconformidad a la tramitación de la proposición de ley por el órgano legitimado para hacerlo, dentro del plazo establecido al efecto y adjuntando motivación expresa, suficiente y no arbitraria, especificando las partidas del presupuesto en vigor afectadas, no puede la mesa de la Cámara sustituir al Gobierno en el ejercicio de la facultad constitucionalmente y reglamentariamente reconocida, pues, a juicio de la mesa, no puede calificarse su ejercicio de arbitrario al haber fundamentado suficientemente su disconformidad.</w:t>
      </w:r>
    </w:p>
    <w:p w14:paraId="59BA2328" w14:textId="77777777" w:rsidR="008D479B" w:rsidRDefault="008D479B" w:rsidP="008D479B">
      <w:pPr>
        <w:pStyle w:val="TextoNormal"/>
      </w:pPr>
    </w:p>
    <w:p w14:paraId="2C349D78" w14:textId="77777777" w:rsidR="008D479B" w:rsidRDefault="008D479B" w:rsidP="008D479B">
      <w:pPr>
        <w:pStyle w:val="TextoNormal"/>
      </w:pPr>
      <w:r>
        <w:t>Llegados a este punto es posible afirmar que el Gobierno ha justificado de modo explícito la adecuada conexión que existe entre la creación de la AIPRE que la proposición de ley prevé y los gastos presupuestarios, sin que la misma se base en una hipótesis. En efecto, la afectación merece ser calificada de directa e inmediata, pues como indica el Gobierno, obliga a la creación de un nuevo programa en el presupuesto de gastos en la “Sección 27” del ministerio al que dicho ente de derecho público quedará adscrito. Por otra parte, determina la necesidad de ampliar el crédito al capítulo I referido a los gastos de personal, en tanto que el propio art. 7 de la proposición de ley prevé la posibilidad de reservar un 20 por 100 de las plazas del personal al servicio de la AIPRE a personal que no sea funcionario de carrera, sino laboral permitiendo así atraer a gestores competentes del sector privado.</w:t>
      </w:r>
    </w:p>
    <w:p w14:paraId="3858234F" w14:textId="77777777" w:rsidR="008D479B" w:rsidRDefault="008D479B" w:rsidP="008D479B">
      <w:pPr>
        <w:pStyle w:val="TextoNormal"/>
      </w:pPr>
    </w:p>
    <w:p w14:paraId="021A94B5" w14:textId="77777777" w:rsidR="008D479B" w:rsidRDefault="008D479B" w:rsidP="008D479B">
      <w:pPr>
        <w:pStyle w:val="TextoNormal"/>
      </w:pPr>
      <w:r>
        <w:t>Esa afectación directa al presupuesto en la que justifica su disconformidad con la tramitación de la iniciativa legislativa es coherente con la propia disposición final primera de la proposición de ley cuando dispone que por el Ministerio de Hacienda se llevaran a cabo las modificaciones de créditos oportunas para la dotación presupuestaria de la Autoridad Independiente para la Recuperación Económica y coherente con la propia creación de un ente de derecho público, con personalidad jurídica propia, a cuyo frente se sitúa el presidente que tendrá la consideración de alto cargo, con rango de subsecretario.</w:t>
      </w:r>
    </w:p>
    <w:p w14:paraId="130D2F1B" w14:textId="77777777" w:rsidR="008D479B" w:rsidRDefault="008D479B" w:rsidP="008D479B">
      <w:pPr>
        <w:pStyle w:val="TextoNormal"/>
      </w:pPr>
    </w:p>
    <w:p w14:paraId="41630A17" w14:textId="77777777" w:rsidR="008D479B" w:rsidRDefault="008D479B" w:rsidP="008D479B">
      <w:pPr>
        <w:pStyle w:val="TextoNormal"/>
      </w:pPr>
      <w:r>
        <w:t>Por ello puede afirmarse que el acuerdo de la mesa —cuando considera que el Gobierno con una motivación suficiente y no arbitraria, ha aportado explicación de las razones por las que entiende que la iniciativa tendría impacto presupuestario directo, especificando las partidas del presupuesto en vigor que resulten afectadas—, ha verificado correctamente y de modo adecuado la función de control que le corresponde a la hora de valorar las disconformidades del Gobierno en la tramitación de iniciativas parlamentarias. De modo que la mesa no se ha limitado a aceptar sin más la disconformidad del Gobierno, sino que ha verificado lo que no es sino un control reglado, de naturaleza técnico-jurídica, alejado de cualquier juicio de oportunidad política, sin que —como pretende el grupo parlamentario recurrente—, le hubiera sido posible sustituir el criterio del Gobierno por el sostenido por el demandante de amparo.</w:t>
      </w:r>
    </w:p>
    <w:p w14:paraId="48864DA7" w14:textId="77777777" w:rsidR="008D479B" w:rsidRDefault="008D479B" w:rsidP="008D479B">
      <w:pPr>
        <w:pStyle w:val="TextoNormal"/>
      </w:pPr>
    </w:p>
    <w:p w14:paraId="32F95600" w14:textId="77777777" w:rsidR="008D479B" w:rsidRDefault="008D479B" w:rsidP="008D479B">
      <w:pPr>
        <w:pStyle w:val="TextoNormal"/>
      </w:pPr>
      <w:r>
        <w:t>Por tanto, atendida la argumentación del Gobierno y la contenida en los acuerdos del órgano de la Cámara, puede afirmarse que la mesa se ha limitado, como le corresponde, a comprobar que el veto ejercido es efectivamente de índole presupuestaria. Esto es, ha constatado que el Gobierno ha justificado el cumplimiento de los requisitos del artículo 134.6 CE, y que concurre el requisito material contenido en la norma constitucional, esto es, la disminución de los ingresos o el aumento de los créditos presupuestarios. En definitiva, conforme a la doctrina de este tribunal la mesa ha comprobado la motivación ofrecida por el Gobierno para asegurarse de que existe una afectación presupuestaria “real y efectiva”, evitando realizar una valoración propia o alternativa —como la pretendida por los recurrentes—, pues de hacerlo hubiera incurrido en una injerencia en las funciones del Ejecutivo.</w:t>
      </w:r>
    </w:p>
    <w:p w14:paraId="18EF0032" w14:textId="77777777" w:rsidR="008D479B" w:rsidRDefault="008D479B" w:rsidP="008D479B">
      <w:pPr>
        <w:pStyle w:val="TextoNormal"/>
      </w:pPr>
    </w:p>
    <w:p w14:paraId="6D2339D5" w14:textId="7BC93FCF" w:rsidR="008D479B" w:rsidRDefault="008D479B" w:rsidP="008D479B">
      <w:pPr>
        <w:pStyle w:val="TextoNormal"/>
      </w:pPr>
      <w:r>
        <w:t xml:space="preserve">En suma, en su función de calificación, la mesa ha discurrido sin tacha constitucional por el estrecho margen que le permite la posición de equilibrio que debe mantener entre su deber de garantizar los derechos de los parlamentarios </w:t>
      </w:r>
      <w:r w:rsidRPr="008D479B">
        <w:rPr>
          <w:i/>
        </w:rPr>
        <w:t>ex</w:t>
      </w:r>
      <w:r>
        <w:t xml:space="preserve"> art. 23 CE y el respeto del principio de lealtad institucional en su relación con el Gobierno evitando obstaculizar su actuación y por consiguiente, la demanda de amparo debe ser desestimada.</w:t>
      </w:r>
    </w:p>
    <w:p w14:paraId="48E782F5" w14:textId="77777777" w:rsidR="008D479B" w:rsidRDefault="008D479B" w:rsidP="008D479B">
      <w:pPr>
        <w:pStyle w:val="TextoNormal"/>
      </w:pPr>
    </w:p>
    <w:p w14:paraId="1E0D3342" w14:textId="77777777" w:rsidR="008D479B" w:rsidRDefault="008D479B" w:rsidP="008D479B">
      <w:pPr>
        <w:pStyle w:val="TextoNormalCentrado"/>
        <w:keepNext/>
      </w:pPr>
      <w:r>
        <w:t>FALLO</w:t>
      </w:r>
    </w:p>
    <w:p w14:paraId="7E64911A" w14:textId="731F97BD" w:rsidR="008D479B" w:rsidRDefault="008D479B" w:rsidP="008D479B">
      <w:pPr>
        <w:pStyle w:val="TextoNormalCentrado"/>
        <w:keepNext/>
      </w:pPr>
    </w:p>
    <w:p w14:paraId="39394DA3" w14:textId="2D060143" w:rsidR="008D479B" w:rsidRDefault="008D479B" w:rsidP="008D479B">
      <w:pPr>
        <w:pStyle w:val="TextoNormal"/>
      </w:pPr>
      <w:r>
        <w:t>En atención a todo lo expuesto, el Tribunal Constitucional, por la autoridad que le confiere la Constitución de la Nación española, ha decidido desestimar el recurso de amparo interpuesto por doña María Concepción Gamarra Ruiz-Clavijo, portavoz del Grupo Parlamentario Popular en el Congreso de los Diputados, contra los acuerdos de la mesa del Congreso de los Diputados de 20 de abril y de 18 de mayo de 2021.</w:t>
      </w:r>
    </w:p>
    <w:p w14:paraId="5DD8E897" w14:textId="77777777" w:rsidR="008D479B" w:rsidRDefault="008D479B" w:rsidP="008D479B">
      <w:pPr>
        <w:pStyle w:val="TextoNormal"/>
      </w:pPr>
    </w:p>
    <w:p w14:paraId="704637EF" w14:textId="77777777" w:rsidR="008D479B" w:rsidRDefault="008D479B" w:rsidP="008D479B">
      <w:pPr>
        <w:pStyle w:val="TextoNormal"/>
      </w:pPr>
      <w:r>
        <w:t>Publíquese esta sentencia en el “Boletín Oficial del Estado”.</w:t>
      </w:r>
    </w:p>
    <w:p w14:paraId="3CCEF0DE" w14:textId="77777777" w:rsidR="008D479B" w:rsidRDefault="008D479B" w:rsidP="008D479B">
      <w:pPr>
        <w:pStyle w:val="TextoNormal"/>
      </w:pPr>
      <w:r>
        <w:t>Dada en Madrid, a veintitrés de octubre de dos mil veintitrés.</w:t>
      </w:r>
    </w:p>
    <w:p w14:paraId="2938103F" w14:textId="50DCAC68" w:rsidR="008D479B" w:rsidRDefault="008D479B" w:rsidP="008D479B">
      <w:pPr>
        <w:pStyle w:val="ParrafoNormal"/>
      </w:pPr>
    </w:p>
    <w:p w14:paraId="00C0C597" w14:textId="77777777" w:rsidR="008D479B" w:rsidRDefault="008D479B" w:rsidP="008D479B">
      <w:pPr>
        <w:pStyle w:val="TextoNormalNegritaCentrado"/>
        <w:keepNext/>
      </w:pPr>
      <w:r>
        <w:t>Voto particular que formula el magistrado don Enrique Arnaldo Alcubilla a la sentencia dictada en el recurso de amparo núm. 5030-2021</w:t>
      </w:r>
    </w:p>
    <w:p w14:paraId="016A8857" w14:textId="6EFD26A7" w:rsidR="008D479B" w:rsidRDefault="008D479B" w:rsidP="008D479B">
      <w:pPr>
        <w:pStyle w:val="TextoNormalNegritaCentrado"/>
        <w:keepNext/>
      </w:pPr>
    </w:p>
    <w:p w14:paraId="21B50AA1" w14:textId="77777777" w:rsidR="008D479B" w:rsidRDefault="008D479B" w:rsidP="008D479B">
      <w:pPr>
        <w:pStyle w:val="TextoNormal"/>
      </w:pPr>
      <w:r>
        <w:t>En el ejercicio de la facultad que me confiere el artículo 90.2 de la Ley Orgánica del Tribunal Constitucional (LOTC), y con respeto a la opinión de la mayoría de la Sala, formulo el presente voto particular por discrepar de la fundamentación y del fallo de la sentencia recaída en el recurso de amparo núm. 5030-2021, el cual debió ser estimado, declarando haberse producido la vulneración del derecho de los parlamentarios recurrentes al acceso y al ejercicio del cargo público representativo en condiciones de igualdad (art. 23.2 CE), en conexión con el derecho de los ciudadanos a participar en los asuntos públicos a través de sus representantes (art. 23.1 CE).</w:t>
      </w:r>
    </w:p>
    <w:p w14:paraId="06F7D90D" w14:textId="77777777" w:rsidR="008D479B" w:rsidRDefault="008D479B" w:rsidP="008D479B">
      <w:pPr>
        <w:pStyle w:val="TextoNormal"/>
      </w:pPr>
    </w:p>
    <w:p w14:paraId="74919F73" w14:textId="77777777" w:rsidR="008D479B" w:rsidRDefault="008D479B" w:rsidP="008D479B">
      <w:pPr>
        <w:pStyle w:val="TextoNormal"/>
      </w:pPr>
      <w:r>
        <w:t>1. Los antecedentes relevantes para el caso: el objeto de la proposición de ley</w:t>
      </w:r>
    </w:p>
    <w:p w14:paraId="1A7DC262" w14:textId="77777777" w:rsidR="008D479B" w:rsidRDefault="008D479B" w:rsidP="008D479B">
      <w:pPr>
        <w:pStyle w:val="TextoNormal"/>
      </w:pPr>
    </w:p>
    <w:p w14:paraId="09E10D27" w14:textId="77777777" w:rsidR="008D479B" w:rsidRDefault="008D479B" w:rsidP="008D479B">
      <w:pPr>
        <w:pStyle w:val="TextoNormal"/>
      </w:pPr>
      <w:r>
        <w:t>La portavoz del grupo parlamentario popular en el Congreso de los Diputados presentó una proposición de ley de creación de la Autoridad Independiente de Recuperación Económica y la mejora de la gobernanza de los fondos europeos de recuperación. El Gobierno formuló su disconformidad respecto de la toma en consideración de la proposición de ley, por considerar que “la aprobación de la proposición de ley es susceptible de producir en los presupuestos generales del Estado en vigor un aumento de los créditos presupuestarios”. A la vista del anterior criterio la mesa del Congreso de los Diputados adoptó el acuerdo, de improcedencia de someterla al debate de toma en consideración por el Pleno de la referida proposición de ley, decisión confirmada por nuevo acuerdo de la mesa, que desestima la solicitud de reconsideración presentada por la portavoz frente al acuerdo anterior.</w:t>
      </w:r>
    </w:p>
    <w:p w14:paraId="4B40B197" w14:textId="77777777" w:rsidR="008D479B" w:rsidRDefault="008D479B" w:rsidP="008D479B">
      <w:pPr>
        <w:pStyle w:val="TextoNormal"/>
      </w:pPr>
    </w:p>
    <w:p w14:paraId="2228EEA4" w14:textId="77777777" w:rsidR="008D479B" w:rsidRDefault="008D479B" w:rsidP="008D479B">
      <w:pPr>
        <w:pStyle w:val="TextoNormal"/>
      </w:pPr>
      <w:r>
        <w:t>2. La doctrina constitucional sobre el veto presupuestario gubernamental</w:t>
      </w:r>
    </w:p>
    <w:p w14:paraId="1E3E59C4" w14:textId="77777777" w:rsidR="008D479B" w:rsidRDefault="008D479B" w:rsidP="008D479B">
      <w:pPr>
        <w:pStyle w:val="TextoNormal"/>
      </w:pPr>
    </w:p>
    <w:p w14:paraId="41B501D0" w14:textId="77777777" w:rsidR="008D479B" w:rsidRDefault="008D479B" w:rsidP="008D479B">
      <w:pPr>
        <w:pStyle w:val="TextoNormal"/>
      </w:pPr>
      <w:r>
        <w:t>Dado lo discutido en el presente proceso de amparo, lo que resulta relevante es la doctrina constitucional acerca de las funciones de control del veto presupuestario del Gobierno que corresponden a la mesa del Congreso de los Diputados (art. 134.6 CE y art. 126.2 RCD). Dicha doctrina —que es reciente y cercana en el tiempo porque el Gobierno ha hecho un uso muy contenido de esta facultad hasta la IX legislatura— ha destacado que se trata de un doble control reglado, en las vertientes formal y material. En lo que respecta al control formal, basta con que la mesa verifique que el Gobierno ha dado respuesta expresa y motivada, dentro de plazo, a la remisión de la proposición de ley, a los efectos de mostrar su disconformidad, en su caso, en cuanto a la concurrencia del presupuesto de hecho habilitante (aumento de los créditos o disminución de los ingresos). En lo que se refiere al control material, la mesa debe verificar la motivación aportada por el Gobierno, pero sin que le corresponda sustituir al mismo en el enjuiciamiento del impacto, sino tan solo constatar que el mismo es real y efectivo, y no una mera hipótesis. Eso obliga a tener en cuenta que la doctrina de este tribunal también ha declarado que el Gobierno podrá oponer su veto solo en aquellos casos en los cuales una proposición de ley tenga incidencia directa e inmediata en el presupuesto vigente. La motivación del Gobierno debe expresar tal incidencia, precisando las concretas partidas presupuestarias que se verían afectadas, teniendo en cuenta que el veto presupuestario tiene una incidencia directa sobre la propia función del legislativo.</w:t>
      </w:r>
    </w:p>
    <w:p w14:paraId="7BB58F72" w14:textId="77777777" w:rsidR="008D479B" w:rsidRDefault="008D479B" w:rsidP="008D479B">
      <w:pPr>
        <w:pStyle w:val="TextoNormal"/>
      </w:pPr>
    </w:p>
    <w:p w14:paraId="0ED081B4" w14:textId="77777777" w:rsidR="008D479B" w:rsidRDefault="008D479B" w:rsidP="008D479B">
      <w:pPr>
        <w:pStyle w:val="TextoNormal"/>
      </w:pPr>
      <w:r>
        <w:t>Esta exigencia de especial rigor al Gobierno se puede definir, en términos tan repetidos en la doctrina de este Tribunal Constitucional, en otras sentencias que resuelven amparos no parlamentarios, como de motivación reforzada en cuanto el veto gubernamental al debate parlamentario de una proposición de ley tiene alcance impeditivo, es decir comporta su exclusión de la inclusión en un orden del día para que sea sometida deliberación y, en su caso, votación. Por la misma razón la mesa de la Cámara ha de ser exigente en la comprobación de las razones aportadas por el Gobierno para evitar desviaciones indeseables en la configuración constitucional de las facultades del Gobierno en relación con las iniciativas parlamentarias.</w:t>
      </w:r>
    </w:p>
    <w:p w14:paraId="2ED4FB82" w14:textId="77777777" w:rsidR="008D479B" w:rsidRDefault="008D479B" w:rsidP="008D479B">
      <w:pPr>
        <w:pStyle w:val="TextoNormal"/>
      </w:pPr>
    </w:p>
    <w:p w14:paraId="7F5823B6" w14:textId="77777777" w:rsidR="008D479B" w:rsidRDefault="008D479B" w:rsidP="008D479B">
      <w:pPr>
        <w:pStyle w:val="TextoNormal"/>
      </w:pPr>
      <w:r>
        <w:t>3. La correcta aplicación de la doctrina constitucional al presente caso hubiera conducido a la estimación del recurso de amparo</w:t>
      </w:r>
    </w:p>
    <w:p w14:paraId="1B5784ED" w14:textId="77777777" w:rsidR="008D479B" w:rsidRDefault="008D479B" w:rsidP="008D479B">
      <w:pPr>
        <w:pStyle w:val="TextoNormal"/>
      </w:pPr>
    </w:p>
    <w:p w14:paraId="7519689A" w14:textId="77777777" w:rsidR="008D479B" w:rsidRDefault="008D479B" w:rsidP="008D479B">
      <w:pPr>
        <w:pStyle w:val="TextoNormal"/>
      </w:pPr>
      <w:r>
        <w:t>La sentencia de la que discrepo da por buena la afirmación de la mesa del Congreso, que dice haber verificado el cumplimiento de los requisitos exigibles a la expresión del veto presupuestario. De ser así, ello supondría que la mesa, tal como exige la doctrina constitucional, habría apreciado que el Gobierno ha proporcionado una motivación suficiente y no arbitraria de su veto, con concreción de las cuantías y los conceptos presupuestarios afectados del presupuesto en vigor.</w:t>
      </w:r>
    </w:p>
    <w:p w14:paraId="1BEEFA6B" w14:textId="77777777" w:rsidR="008D479B" w:rsidRDefault="008D479B" w:rsidP="008D479B">
      <w:pPr>
        <w:pStyle w:val="TextoNormal"/>
      </w:pPr>
    </w:p>
    <w:p w14:paraId="40DB7542" w14:textId="77777777" w:rsidR="008D479B" w:rsidRDefault="008D479B" w:rsidP="008D479B">
      <w:pPr>
        <w:pStyle w:val="TextoNormal"/>
      </w:pPr>
      <w:r>
        <w:t>Sin embargo, a mi entender, lo que realmente ha sucedido en el presente caso es que la mesa se limita a constatar que hay una contestación formal en la que “el gobierno ha entendido que la aprobación de la proposición de referencia tendría un impacto presupuestario directo”, para luego afirmar que la disconformidad del Gobierno está motivada “de manera suficiente y no arbitraria, pues concreta, como exige la jurisprudencia constitucional, las cuantías y los conceptos presupuestarios afectados del presupuesto en vigor”. Es decir, la mesa de la Cámara se limita a aceptar y asumir acríticamente la respuesta gubernamental y para ello recurre a una fórmula de expresión rituaria no entrando en el examen detallado de las razones aportadas por el Gobierno.</w:t>
      </w:r>
    </w:p>
    <w:p w14:paraId="0EC24E63" w14:textId="77777777" w:rsidR="008D479B" w:rsidRDefault="008D479B" w:rsidP="008D479B">
      <w:pPr>
        <w:pStyle w:val="TextoNormal"/>
      </w:pPr>
    </w:p>
    <w:p w14:paraId="64BC8DAC" w14:textId="77777777" w:rsidR="008D479B" w:rsidRDefault="008D479B" w:rsidP="008D479B">
      <w:pPr>
        <w:pStyle w:val="TextoNormal"/>
      </w:pPr>
      <w:r>
        <w:t>Es evidente que la adecuada valoración de esta respuesta del órgano parlamentario exige, examinar en esas razones aportadas por el Gobierno para denegar la tramitación de la proposición de ley en cuestión.</w:t>
      </w:r>
    </w:p>
    <w:p w14:paraId="35F634F1" w14:textId="77777777" w:rsidR="008D479B" w:rsidRDefault="008D479B" w:rsidP="008D479B">
      <w:pPr>
        <w:pStyle w:val="TextoNormal"/>
      </w:pPr>
    </w:p>
    <w:p w14:paraId="4452A8A8" w14:textId="77777777" w:rsidR="008D479B" w:rsidRDefault="008D479B" w:rsidP="008D479B">
      <w:pPr>
        <w:pStyle w:val="TextoNormal"/>
      </w:pPr>
      <w:r>
        <w:t>Resumidamente, las razones para oponerse a la tramitación de la proposición de ley son las siguientes: (a) La iniciativa pretende crear una autoridad independiente; (b) El impacto directo negativo en los presupuestos generales del Estado se estima en 9 700 000 €, asimilando este importe al del coste actual de la Autoridad Independiente de Responsabilidad Fiscal; (c) Se trata de la creación de un organismo que se adscribiría (art. 5 de la proposición de ley) a un departamento distinto del que hasta ahora viene aplicando los fondos existentes (el Ministerio de Hacienda), por lo que entonces la repercusión sería en la “Sección 27: Ministerio de Asuntos Económicos y Transformación Digital” y habría de crearse un programa para el nuevo organismo; (d) El centro directivo de Hacienda sobre fondos de la Unión Europea se incorporaría en bloque a la nueva autoridad independiente, con todo su personal y material, con lo cual la proposición de ley da a entender que el nuevo organismo no tiene por qué generar costes de personal. Podría tener impacto negativo en el capítulo I la cobertura de la reserva del 20 por 100 de plazas a personal laboral procedente de organismos nacionales o internacionales o personal eventual; (e) No se especifica la vía con que financiar la actividad del nuevo organismo, o al menos coadyuvar a financiarla. Esta motivación que se acaba de resumir se considera por la mesa del Congreso y, a su vez, por la sentencia, como “suficiente y no arbitraria”.</w:t>
      </w:r>
    </w:p>
    <w:p w14:paraId="1D664E7E" w14:textId="77777777" w:rsidR="008D479B" w:rsidRDefault="008D479B" w:rsidP="008D479B">
      <w:pPr>
        <w:pStyle w:val="TextoNormal"/>
      </w:pPr>
    </w:p>
    <w:p w14:paraId="05E12C85" w14:textId="77777777" w:rsidR="008D479B" w:rsidRDefault="008D479B" w:rsidP="008D479B">
      <w:pPr>
        <w:pStyle w:val="TextoNormal"/>
      </w:pPr>
      <w:r>
        <w:t>Sin embargo, creo que un atento examen de la respuesta del Gobierno para oponer su veto presupuestario no permite llegar a la conclusión a la que llega la sentencia, y con ello a la desestimación del recurso. Y no lo permite porque, como expongo a continuación, tal respuesta no puede considerarse suficientemente fundada atendiendo a criterios materiales.</w:t>
      </w:r>
    </w:p>
    <w:p w14:paraId="7BD1B652" w14:textId="77777777" w:rsidR="008D479B" w:rsidRDefault="008D479B" w:rsidP="008D479B">
      <w:pPr>
        <w:pStyle w:val="TextoNormal"/>
      </w:pPr>
    </w:p>
    <w:p w14:paraId="6A84CC3A" w14:textId="77777777" w:rsidR="008D479B" w:rsidRDefault="008D479B" w:rsidP="008D479B">
      <w:pPr>
        <w:pStyle w:val="TextoNormal"/>
      </w:pPr>
      <w:r>
        <w:t>De las razones que aporta el Gobierno estimo que no pueden tomarse en consideración la relativa a la creación de un nuevo ente, ya que el que se trate de un ente desea condición nada dice sobre su impacto presupuestario, que es lo aquí relevante, ni tampoco la referente a la falta de previsión de medios alternativos de financiación, puesto que lo determinante no es que la entidad a crear disponga de medios propios de financiación, sino que no tenga impacto en el gasto presupuestado en ese ejercicio, lo que no es necesariamente lo mismo.</w:t>
      </w:r>
    </w:p>
    <w:p w14:paraId="06815D42" w14:textId="77777777" w:rsidR="008D479B" w:rsidRDefault="008D479B" w:rsidP="008D479B">
      <w:pPr>
        <w:pStyle w:val="TextoNormal"/>
      </w:pPr>
    </w:p>
    <w:p w14:paraId="4DC42AA1" w14:textId="77777777" w:rsidR="008D479B" w:rsidRDefault="008D479B" w:rsidP="008D479B">
      <w:pPr>
        <w:pStyle w:val="TextoNormal"/>
      </w:pPr>
      <w:r>
        <w:t>En cuanto a las restantes no creo que puedan tenerse por una justificación suficiente.</w:t>
      </w:r>
    </w:p>
    <w:p w14:paraId="2EBEFC43" w14:textId="77777777" w:rsidR="008D479B" w:rsidRDefault="008D479B" w:rsidP="008D479B">
      <w:pPr>
        <w:pStyle w:val="TextoNormal"/>
      </w:pPr>
    </w:p>
    <w:p w14:paraId="2E59E662" w14:textId="77777777" w:rsidR="008D479B" w:rsidRDefault="008D479B" w:rsidP="008D479B">
      <w:pPr>
        <w:pStyle w:val="TextoNormal"/>
      </w:pPr>
      <w:r>
        <w:t>La relativa a la equiparación con la AIREF, no puede tenerse por tal. No puede sostenerse que el Gobierno cifre el impacto directo negativo en 9 700 000 € y que lo haga sin aportar aclaración o cálculo que le lleve a adoptar esa cifra. Lo hace simplemente porque, sin mayor explicación, decide asimilar el organismo propuesto a la AIREF, sin que en ningún momento razone el fundamento de tal asimilación, cuando lo cierto es que la AIREF desempeña unas funciones (elaboración de informes, opiniones y estudios) que solo en parte coinciden con las del organismo cuya creación se propone. Pero lo relevante, en todo caso, es que el Gobierno no expone las razones por las que asimila la AIREF con el nuevo organismo. Se limita a suponer, sin explicarlo, que este nuevo organismo es, en términos de coste, como la AIREF.</w:t>
      </w:r>
    </w:p>
    <w:p w14:paraId="6770A060" w14:textId="77777777" w:rsidR="008D479B" w:rsidRDefault="008D479B" w:rsidP="008D479B">
      <w:pPr>
        <w:pStyle w:val="TextoNormal"/>
      </w:pPr>
    </w:p>
    <w:p w14:paraId="2BDD3BFD" w14:textId="77777777" w:rsidR="008D479B" w:rsidRDefault="008D479B" w:rsidP="008D479B">
      <w:pPr>
        <w:pStyle w:val="TextoNormal"/>
      </w:pPr>
      <w:r>
        <w:t>La referente a los cambios presupuestarios que habría que abordar confunde dos cosas que son conceptualmente diferentes. Una es la necesidad de modificar la estructura del presupuesto, con la creación en ese presupuesto de una nueva sección, y otra distinta que dicha modificación en la estructura del presupuesto suponga de suyo e inevitablemente un incremento de gasto. El Gobierno explica lo primero, pero no lo segundo, esto es, que la necesaria modificación presupuestaria suponga incremento de gasto. Y eso es lo que debería haber hecho para justificar el veto.</w:t>
      </w:r>
    </w:p>
    <w:p w14:paraId="4C81A771" w14:textId="77777777" w:rsidR="008D479B" w:rsidRDefault="008D479B" w:rsidP="008D479B">
      <w:pPr>
        <w:pStyle w:val="TextoNormal"/>
      </w:pPr>
    </w:p>
    <w:p w14:paraId="403FC69D" w14:textId="77777777" w:rsidR="008D479B" w:rsidRDefault="008D479B" w:rsidP="008D479B">
      <w:pPr>
        <w:pStyle w:val="TextoNormal"/>
      </w:pPr>
      <w:r>
        <w:t>La razón restante se centra en el supuesto incremento de los gastos de personal, pero tal razonamiento obvia dos elementos que derivan de la proposición de ley propuesta. El primero es que la misma persigue el traspaso en bloque al nuevo organismo del centro directivo de Hacienda sobre fondos de la Unión Europea que se incorporaría en bloque a la nueva autoridad independiente, con todo su personal y material, con lo cual se sobrentiende que el nuevo organismo no tiene por qué generar costes de personal (de hecho, el Gobierno guarda silencio sobre este aspecto). Lo que destaca el Gobierno es que podría tener impacto negativo en el capítulo I de los presupuestos la cobertura de la reserva del 20 por 100 de plazas a personal laboral procedente de organismos nacionales o internacionales o personal eventual; pero eso es, en este momento, una mera posibilidad a disposición del organismo, no una obligación que deba ser cumplida y que, como tal posibilidad, está condicionada a la existencia de dotación suficiente en el capítulo I. Es decir, la previsión bien puede interpretarse al contrario de la que el Gobierno la entiende. Solo es posible reservar esas plazas cuando exista dotación presupuestaria, o, lo que es lo mismo, no que hay que crear la dotación para hacer frente a una necesidad de cubrir plazas que, en este momento, es solamente hipotética.</w:t>
      </w:r>
    </w:p>
    <w:p w14:paraId="1DFA03A7" w14:textId="77777777" w:rsidR="008D479B" w:rsidRDefault="008D479B" w:rsidP="008D479B">
      <w:pPr>
        <w:pStyle w:val="TextoNormal"/>
      </w:pPr>
    </w:p>
    <w:p w14:paraId="31C70C21" w14:textId="77777777" w:rsidR="008D479B" w:rsidRDefault="008D479B" w:rsidP="008D479B">
      <w:pPr>
        <w:pStyle w:val="TextoNormal"/>
      </w:pPr>
      <w:r>
        <w:t>En suma, la decisión de inadmisión de la iniciativa legislativa adoptada por la mesa del Congreso no puede considerarse mínimamente motivada, toda vez que, a la vista de las razones ofrecidas por el Gobierno, la mesa no ha realizado el adecuado control sobre la suficiencia y razonabilidad del veto ejercido por el Ejecutivo: ha optado por entender que tales razones eran suficientes y no arbitrarias, cuando, a mi juicio, no eran ni lo uno ni lo otro, y una somera consideración de las mismas pudiera haberla conducido a otra interpretación.</w:t>
      </w:r>
    </w:p>
    <w:p w14:paraId="0E3DCBFB" w14:textId="77777777" w:rsidR="008D479B" w:rsidRDefault="008D479B" w:rsidP="008D479B">
      <w:pPr>
        <w:pStyle w:val="TextoNormal"/>
      </w:pPr>
    </w:p>
    <w:p w14:paraId="3430EDBC" w14:textId="77777777" w:rsidR="008D479B" w:rsidRDefault="008D479B" w:rsidP="008D479B">
      <w:pPr>
        <w:pStyle w:val="TextoNormal"/>
      </w:pPr>
      <w:r>
        <w:t xml:space="preserve">Con esa decisión la mesa también ha olvidado la función de garantía de los derechos de los miembros de la Cámara, en especial de aquellos que integran la minoría parlamentaria, en cuanto que permite una extensión del veto gubernamental </w:t>
      </w:r>
      <w:r w:rsidRPr="008D479B">
        <w:rPr>
          <w:i/>
        </w:rPr>
        <w:t>ex</w:t>
      </w:r>
      <w:r>
        <w:t xml:space="preserve"> art. 134.6 CE más allá de los límites que derivan de la correcta aplicación de la doctrina constitucional.</w:t>
      </w:r>
    </w:p>
    <w:p w14:paraId="7CE14C24" w14:textId="77777777" w:rsidR="008D479B" w:rsidRDefault="008D479B" w:rsidP="008D479B">
      <w:pPr>
        <w:pStyle w:val="TextoNormal"/>
      </w:pPr>
    </w:p>
    <w:p w14:paraId="34B3CBCF" w14:textId="77777777" w:rsidR="008D479B" w:rsidRDefault="008D479B" w:rsidP="008D479B">
      <w:pPr>
        <w:pStyle w:val="TextoNormal"/>
      </w:pPr>
      <w:r>
        <w:t>Y ha obviado también que, conforme al art. 126 RCD, existen otras alternativas en la tramitación de una proposición de ley que, sin hurtar el siempre deseable debate parlamentario, permiten al Gobierno exponer su criterio al respecto y a la Cámara decidir en última instancia sobre la continuidad o no de la proposición de ley.</w:t>
      </w:r>
    </w:p>
    <w:p w14:paraId="0CFCDB85" w14:textId="77777777" w:rsidR="008D479B" w:rsidRDefault="008D479B" w:rsidP="008D479B">
      <w:pPr>
        <w:pStyle w:val="TextoNormal"/>
      </w:pPr>
    </w:p>
    <w:p w14:paraId="364A9F53" w14:textId="77777777" w:rsidR="008D479B" w:rsidRDefault="008D479B" w:rsidP="008D479B">
      <w:pPr>
        <w:pStyle w:val="TextoNormal"/>
      </w:pPr>
      <w:r>
        <w:t>En consecuencia, nuestra sentencia debería haberlo apreciado así, declarando que los acuerdos de la mesa impugnados en amparo vulneraron el derecho de participación política de los diputados recurrentes, en relación con el derecho de los ciudadanos a participar en los asuntos públicos por medio de sus representantes.</w:t>
      </w:r>
    </w:p>
    <w:p w14:paraId="0D7A1AB7" w14:textId="77777777" w:rsidR="008D479B" w:rsidRDefault="008D479B" w:rsidP="008D479B">
      <w:pPr>
        <w:pStyle w:val="TextoNormal"/>
      </w:pPr>
    </w:p>
    <w:p w14:paraId="0F2CC1A2" w14:textId="77777777" w:rsidR="008D479B" w:rsidRDefault="008D479B" w:rsidP="008D479B">
      <w:pPr>
        <w:pStyle w:val="TextoNormal"/>
      </w:pPr>
      <w:r>
        <w:t>Por tales razones emito este voto particular.</w:t>
      </w:r>
    </w:p>
    <w:p w14:paraId="6A360CD0" w14:textId="77777777" w:rsidR="008D479B" w:rsidRDefault="008D479B" w:rsidP="008D479B">
      <w:pPr>
        <w:pStyle w:val="TextoNormal"/>
      </w:pPr>
    </w:p>
    <w:p w14:paraId="7F8B6DFE" w14:textId="44768352" w:rsidR="008D479B" w:rsidRDefault="008D479B" w:rsidP="008D479B">
      <w:pPr>
        <w:pStyle w:val="TextoNormal"/>
      </w:pPr>
      <w:r>
        <w:t>Madrid, a veintitrés de octubre de dos mil veintitrés.</w:t>
      </w:r>
    </w:p>
    <w:p w14:paraId="29CF7496" w14:textId="16B86A2C" w:rsidR="008D479B" w:rsidRDefault="008D479B">
      <w:pPr>
        <w:spacing w:after="160" w:line="278" w:lineRule="auto"/>
        <w:rPr>
          <w:rFonts w:ascii="Times New Roman" w:eastAsia="Times New Roman" w:hAnsi="Times New Roman" w:cs="Times New Roman"/>
          <w:sz w:val="24"/>
          <w:szCs w:val="24"/>
          <w:lang w:eastAsia="es-ES"/>
        </w:rPr>
      </w:pPr>
      <w:r>
        <w:br w:type="page"/>
      </w:r>
    </w:p>
    <w:p w14:paraId="2081C6F1" w14:textId="77777777" w:rsidR="008D479B" w:rsidRDefault="008D479B" w:rsidP="008D479B">
      <w:pPr>
        <w:pStyle w:val="TtuloResolucin"/>
      </w:pPr>
      <w:bookmarkStart w:id="58" w:name="SENTENCIA_2023_133"/>
      <w:r>
        <w:t>SENTENCIA 133/2023, de 23 de octubre de 2023</w:t>
      </w:r>
    </w:p>
    <w:bookmarkEnd w:id="58"/>
    <w:p w14:paraId="01219CEB" w14:textId="77777777" w:rsidR="008D479B" w:rsidRDefault="008D479B" w:rsidP="008D479B">
      <w:pPr>
        <w:pStyle w:val="TtuloResolucin"/>
      </w:pPr>
      <w:r>
        <w:t>Sala Segunda</w:t>
      </w:r>
    </w:p>
    <w:p w14:paraId="6CCC12D1" w14:textId="77777777" w:rsidR="008D479B" w:rsidRDefault="008D479B" w:rsidP="008D479B">
      <w:pPr>
        <w:pStyle w:val="TtuloBOE"/>
      </w:pPr>
      <w:r>
        <w:t>(BOE núm. 286, de 30 de noviembre de 2023)</w:t>
      </w:r>
    </w:p>
    <w:p w14:paraId="3D7FBF12" w14:textId="77777777" w:rsidR="008D479B" w:rsidRDefault="008D479B" w:rsidP="008D479B">
      <w:pPr>
        <w:pStyle w:val="TextoNormalCentrado"/>
      </w:pPr>
      <w:r>
        <w:t>ECLI:ES:TC:2023:133</w:t>
      </w:r>
    </w:p>
    <w:p w14:paraId="0DE0AD9F" w14:textId="7F716D6C" w:rsidR="008D479B" w:rsidRDefault="008D479B" w:rsidP="008D479B">
      <w:pPr>
        <w:pStyle w:val="TextoNormalCentrado"/>
      </w:pPr>
    </w:p>
    <w:p w14:paraId="4BC83F84" w14:textId="77777777" w:rsidR="008D479B" w:rsidRDefault="008D479B" w:rsidP="008D479B">
      <w:pPr>
        <w:pStyle w:val="SntesisDescriptiva"/>
      </w:pPr>
      <w:r>
        <w:t>Recurso de amparo 5658-2021. Promovido por don Javier Ignacio Maroto Aranzábal y doña Salomé Pradas Ten en relación con las resoluciones de la presidenta y la mesa del Senado que dieron por cumplimentado el requisito de promesa o juramento de acatamiento de la Constitución por distintos senadores.</w:t>
      </w:r>
    </w:p>
    <w:p w14:paraId="4F5B796A" w14:textId="5A034DB0" w:rsidR="008D479B" w:rsidRDefault="008D479B" w:rsidP="008D479B">
      <w:pPr>
        <w:pStyle w:val="SntesisDescriptiva"/>
      </w:pPr>
    </w:p>
    <w:p w14:paraId="0DD30514" w14:textId="77777777" w:rsidR="008D479B" w:rsidRDefault="008D479B" w:rsidP="008D479B">
      <w:pPr>
        <w:pStyle w:val="SntesisAnaltica"/>
      </w:pPr>
      <w:r>
        <w:t>Supuesta vulneración del derecho de representación política: STC 65/2023 (ausencia de acreditación de la incidencia, por la aceptación de las veintinueve fórmulas de acatamiento controvertidas, en la función representativa de los parlamentarios recurrentes). Voto particular.</w:t>
      </w:r>
    </w:p>
    <w:p w14:paraId="4AE70724" w14:textId="3F6E8437" w:rsidR="008D479B" w:rsidRDefault="008D479B" w:rsidP="008D479B">
      <w:pPr>
        <w:pStyle w:val="SntesisAnaltica"/>
      </w:pPr>
    </w:p>
    <w:p w14:paraId="12199BCF" w14:textId="7B7B02BA" w:rsidR="008D479B" w:rsidRDefault="008D479B" w:rsidP="008D479B">
      <w:pPr>
        <w:pStyle w:val="Extracto"/>
      </w:pPr>
      <w:r>
        <w:t>1.</w:t>
      </w:r>
      <w:r>
        <w:tab/>
        <w:t>Las distintas fórmulas de acatamiento de la Constitución no afectan al núcleo esencial del derecho al ejercicio de las funciones representativas de los parlamentarios (STC 65/2023) [FJ 2].</w:t>
      </w:r>
    </w:p>
    <w:p w14:paraId="4B03FFEC" w14:textId="77777777" w:rsidR="008D479B" w:rsidRDefault="008D479B" w:rsidP="008D479B">
      <w:pPr>
        <w:pStyle w:val="Extracto"/>
      </w:pPr>
    </w:p>
    <w:p w14:paraId="3E84A795" w14:textId="77777777" w:rsidR="008D479B" w:rsidRDefault="008D479B" w:rsidP="008D479B">
      <w:pPr>
        <w:pStyle w:val="Extracto"/>
      </w:pPr>
    </w:p>
    <w:p w14:paraId="6C57646F" w14:textId="77777777" w:rsidR="008D479B" w:rsidRDefault="008D479B" w:rsidP="008D479B">
      <w:pPr>
        <w:pStyle w:val="TextoNormal"/>
      </w:pPr>
      <w: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14:paraId="4E9DADD1" w14:textId="3E62B8C6" w:rsidR="008D479B" w:rsidRDefault="008D479B" w:rsidP="008D479B">
      <w:pPr>
        <w:pStyle w:val="TextoNormal"/>
      </w:pPr>
    </w:p>
    <w:p w14:paraId="440835CD" w14:textId="77777777" w:rsidR="008D479B" w:rsidRDefault="008D479B" w:rsidP="008D479B">
      <w:pPr>
        <w:pStyle w:val="TextoNormalCentrado"/>
        <w:keepNext/>
      </w:pPr>
      <w:r>
        <w:t>EN NOMBRE DEL REY</w:t>
      </w:r>
    </w:p>
    <w:p w14:paraId="09B64923" w14:textId="31206D27" w:rsidR="008D479B" w:rsidRDefault="008D479B" w:rsidP="008D479B">
      <w:pPr>
        <w:pStyle w:val="TextoNormalCentrado"/>
        <w:keepNext/>
      </w:pPr>
    </w:p>
    <w:p w14:paraId="785EDC62" w14:textId="77777777" w:rsidR="008D479B" w:rsidRDefault="008D479B" w:rsidP="008D479B">
      <w:pPr>
        <w:pStyle w:val="TextoNormalCentrado"/>
        <w:keepNext/>
      </w:pPr>
    </w:p>
    <w:p w14:paraId="202C6F6B" w14:textId="77777777" w:rsidR="008D479B" w:rsidRDefault="008D479B" w:rsidP="008D479B">
      <w:pPr>
        <w:pStyle w:val="TextoNormal"/>
      </w:pPr>
      <w:r>
        <w:t>la siguiente</w:t>
      </w:r>
    </w:p>
    <w:p w14:paraId="7BF3F99E" w14:textId="59BC1988" w:rsidR="008D479B" w:rsidRDefault="008D479B" w:rsidP="008D479B">
      <w:pPr>
        <w:pStyle w:val="TextoNormal"/>
      </w:pPr>
    </w:p>
    <w:p w14:paraId="37CD4EA7" w14:textId="77777777" w:rsidR="008D479B" w:rsidRDefault="008D479B" w:rsidP="008D479B">
      <w:pPr>
        <w:pStyle w:val="TextoNormalCentrado"/>
        <w:keepNext/>
      </w:pPr>
      <w:r>
        <w:t>SENTENCIA</w:t>
      </w:r>
    </w:p>
    <w:p w14:paraId="0D8924A3" w14:textId="614F3C68" w:rsidR="008D479B" w:rsidRDefault="008D479B" w:rsidP="008D479B">
      <w:pPr>
        <w:pStyle w:val="TextoNormalCentrado"/>
        <w:keepNext/>
      </w:pPr>
    </w:p>
    <w:p w14:paraId="1B8F95B4" w14:textId="77777777" w:rsidR="008D479B" w:rsidRDefault="008D479B" w:rsidP="008D479B">
      <w:pPr>
        <w:pStyle w:val="TextoNormal"/>
      </w:pPr>
      <w:r>
        <w:t>En el recurso de amparo 5658-2021, promovido por el procurador de los tribunales don Manuel Sánchez-Puelles y González de Carvajal, en representación de don Javier Ignacio Maroto Aranzábal y doña Salomé Pradas Ten, contra el acuerdo de 25 de mayo de 2021 de la presidenta del Senado que tuvo por cumplimentado el requisito de promesa o juramento de acatamiento de la Constitución por los senadores doña Adelina Escandell Grases, don Josep Maria Reniu Vilamala, don Josep Lluís Cleries i Gonzàlez, doña Assumpció Castellví Auví y don Pau Furriol Fornells, así como contra los acuerdos de la mesa del Senado de 1 y 7 de junio de 2021 que desestiman las solicitud de revisión y la posterior solicitud de reconsideración de las fórmulas de acatamiento de la Constitución utilizadas por los senadores doña Adelina Escandell Grases y don Josep Maria Reniu Vilamala y contra los acuerdos de la mesa del Senado de 7 de junio de 2021 y de 21 de julio de 2021 por los que se desestiman la solicitud de revisión y posterior reconsideración de las actas notariales de acatamiento presentadas por los senadores don Josep Lluís Cleries i Gonzàlez, doña Assumpció Castellví Auví y don Pau Furriol Fornells. Han comparecido el Senado, los senadores doña Assumpció Castellví Auví, don Josep Lluís Cleries i Gonzàlez, don José María Cervera Pinart, doña María Teresa Riverso Segalas, don Jacobo González-Robato Perote, don José Manuel Marín Gascón, doña Yolanda Melero Palomares, don Pau Furriol Fornells y don Josep Maria Reniu Vilamala. Ha intervenido el Ministerio Fiscal. Ha sido ponente la magistrada doña Laura Díez Bueso.</w:t>
      </w:r>
    </w:p>
    <w:p w14:paraId="00D4A43C" w14:textId="71105B68" w:rsidR="008D479B" w:rsidRDefault="008D479B" w:rsidP="008D479B">
      <w:pPr>
        <w:pStyle w:val="TextoNormal"/>
      </w:pPr>
    </w:p>
    <w:p w14:paraId="57EC18A0" w14:textId="77777777" w:rsidR="008D479B" w:rsidRDefault="008D479B" w:rsidP="008D479B">
      <w:pPr>
        <w:pStyle w:val="TextoNormalNegritaCentrado"/>
        <w:keepNext/>
      </w:pPr>
      <w:r>
        <w:t>I. Antecedentes</w:t>
      </w:r>
    </w:p>
    <w:p w14:paraId="55D3F368" w14:textId="3F2DB7AC" w:rsidR="008D479B" w:rsidRDefault="008D479B" w:rsidP="008D479B">
      <w:pPr>
        <w:pStyle w:val="TextoNormalNegritaCentrado"/>
        <w:keepNext/>
      </w:pPr>
    </w:p>
    <w:p w14:paraId="5456B92D" w14:textId="414F20E0" w:rsidR="008D479B" w:rsidRDefault="008D479B" w:rsidP="008D479B">
      <w:pPr>
        <w:pStyle w:val="TextoNormal"/>
      </w:pPr>
      <w:r w:rsidRPr="008D479B">
        <w:rPr>
          <w:rStyle w:val="NumeroAFNegritaCaracter"/>
        </w:rPr>
        <w:t>1</w:t>
      </w:r>
      <w:r>
        <w:t>. Don Javier Ignacio Maroto Aranzábal senador designado por las Cortes de Castilla y León en la XIV Legislatura y portavoz del Grupo Parlamentario Popular en el Senado y de doña Salomé Pradas Ten, senadora electa por la circunscripción de Castellón en la misma legislatura y portavoz adjunta del mismo grupo, bajo la dirección del letrado don Alberto Durán Ruiz de Huidobro, interpusieron recurso de amparo contra los acuerdos parlamentarios mencionados en el encabezamiento de esta sentencia mediante escrito registrado en este tribunal el 7 de septiembre de 2021.</w:t>
      </w:r>
    </w:p>
    <w:p w14:paraId="6E2A0A74" w14:textId="77777777" w:rsidR="008D479B" w:rsidRDefault="008D479B" w:rsidP="008D479B">
      <w:pPr>
        <w:pStyle w:val="TextoNormal"/>
      </w:pPr>
    </w:p>
    <w:p w14:paraId="4DD85DF8" w14:textId="77777777" w:rsidR="008D479B" w:rsidRDefault="008D479B" w:rsidP="008D479B">
      <w:pPr>
        <w:pStyle w:val="TextoNormal"/>
      </w:pPr>
      <w:r w:rsidRPr="008D479B">
        <w:rPr>
          <w:rStyle w:val="NumeroAFNegritaCaracter"/>
        </w:rPr>
        <w:t>2</w:t>
      </w:r>
      <w:r>
        <w:t>. El recurso tiene su origen en los siguientes antecedentes:</w:t>
      </w:r>
    </w:p>
    <w:p w14:paraId="27BC59F9" w14:textId="77777777" w:rsidR="008D479B" w:rsidRDefault="008D479B" w:rsidP="008D479B">
      <w:pPr>
        <w:pStyle w:val="TextoNormal"/>
      </w:pPr>
    </w:p>
    <w:p w14:paraId="666F74FE" w14:textId="77777777" w:rsidR="008D479B" w:rsidRDefault="008D479B" w:rsidP="008D479B">
      <w:pPr>
        <w:pStyle w:val="TextoNormal"/>
      </w:pPr>
      <w:r>
        <w:t>a) En la sesión plenaria del 25 de mayo de 2021, la presidenta del Senado, de conformidad con lo dispuesto en el artículo 12 del Reglamento del Senado (en adelante, RS), dio cuenta a la Cámara de que cinco senadores habían prestado acatamiento a la Constitución mediante documento notarial y “(e)n consecuencia, han adquirido la condición plena de senadores y senadoras”.</w:t>
      </w:r>
    </w:p>
    <w:p w14:paraId="510736F4" w14:textId="77777777" w:rsidR="008D479B" w:rsidRDefault="008D479B" w:rsidP="008D479B">
      <w:pPr>
        <w:pStyle w:val="TextoNormal"/>
      </w:pPr>
    </w:p>
    <w:p w14:paraId="76B1B101" w14:textId="77777777" w:rsidR="008D479B" w:rsidRDefault="008D479B" w:rsidP="008D479B">
      <w:pPr>
        <w:pStyle w:val="TextoNormal"/>
      </w:pPr>
      <w:r>
        <w:t>En lo que aquí interesa, el senador don Josep Lluís Cleries Gonzàlez presentó acta de manifestaciones, formalizada el 14 de mayo de 2021, ante el notario de Barcelona don Joan Carles Ollé Favaró, en la que manifestó: “Que promete acatar la Constitución por imperativo legal. Por fidelidad al pueblo de Catalunya, al mandato del 1 de octubre y por la libertad de los presos políticos y exiliados”.</w:t>
      </w:r>
    </w:p>
    <w:p w14:paraId="515CC341" w14:textId="77777777" w:rsidR="008D479B" w:rsidRDefault="008D479B" w:rsidP="008D479B">
      <w:pPr>
        <w:pStyle w:val="TextoNormal"/>
      </w:pPr>
    </w:p>
    <w:p w14:paraId="326A84C4" w14:textId="77777777" w:rsidR="008D479B" w:rsidRDefault="008D479B" w:rsidP="008D479B">
      <w:pPr>
        <w:pStyle w:val="TextoNormal"/>
      </w:pPr>
      <w:r>
        <w:t>La senadora doña Assumpció Castellvi Auví presentó acta de manifestaciones, formalizada el 14 de mayo de 2021, ante el notario de Barcelona don Joan Carles Ollé Favaró, en la que manifestó: “Que promete acatar la Constitución por imperativo legal. Por fidelidad al pueblo de Catalunya, al mandato del 1 de octubre y por la libertad de los presos políticos y exiliados”.</w:t>
      </w:r>
    </w:p>
    <w:p w14:paraId="7247384C" w14:textId="77777777" w:rsidR="008D479B" w:rsidRDefault="008D479B" w:rsidP="008D479B">
      <w:pPr>
        <w:pStyle w:val="TextoNormal"/>
      </w:pPr>
    </w:p>
    <w:p w14:paraId="4E73247D" w14:textId="77777777" w:rsidR="008D479B" w:rsidRDefault="008D479B" w:rsidP="008D479B">
      <w:pPr>
        <w:pStyle w:val="TextoNormal"/>
      </w:pPr>
      <w:r>
        <w:t>El senador don Pau Furriol Fornells presentó acta de manifestaciones formalizada el 19 de mayo de 2021 ante la notaria de Barcelona doña Berta García Prieto, en la que manifestó: “Que bajo juramento de fidelidad al pueblo de Catalunya y al Parlament de Catalunya: Declaro: Que por la libertad de las presas y presos políticos catalanes, por el retorno de los exiliados y exiliadas hasta la constitución de la república catalana, por imperativo legal, prometo acatar la Constitución”.</w:t>
      </w:r>
    </w:p>
    <w:p w14:paraId="1D831896" w14:textId="77777777" w:rsidR="008D479B" w:rsidRDefault="008D479B" w:rsidP="008D479B">
      <w:pPr>
        <w:pStyle w:val="TextoNormal"/>
      </w:pPr>
    </w:p>
    <w:p w14:paraId="2EDD0BD5" w14:textId="77777777" w:rsidR="008D479B" w:rsidRDefault="008D479B" w:rsidP="008D479B">
      <w:pPr>
        <w:pStyle w:val="TextoNormal"/>
      </w:pPr>
      <w:r>
        <w:t>En esa misma sesión plenaria de 25 de mayo de 2021, la presidenta del Senado procedió a solicitar el juramento o promesa de acatamiento de la Constitución de la senadora doña Adelina Escandell Grases y del senador don Josep Maria Reniu Vilamala.</w:t>
      </w:r>
    </w:p>
    <w:p w14:paraId="515A68FB" w14:textId="77777777" w:rsidR="008D479B" w:rsidRDefault="008D479B" w:rsidP="008D479B">
      <w:pPr>
        <w:pStyle w:val="TextoNormal"/>
      </w:pPr>
    </w:p>
    <w:p w14:paraId="58047481" w14:textId="77777777" w:rsidR="008D479B" w:rsidRDefault="008D479B" w:rsidP="008D479B">
      <w:pPr>
        <w:pStyle w:val="TextoNormal"/>
      </w:pPr>
      <w:r>
        <w:t>Según consta en el Diario de Sesiones del Senado de ese día (núm. 53, de 25 de mayo de 2021), a la pregunta de la presidenta “¿juráis o prometéis acatar la Constitución?”, la senadora Escandell Grases respondió “Per la llibertat de les preses i presos polítics, pel retorn de les persones exiliades, mentre no arribem a la constitució de la república catalana, per imperatiu legal, prometo”. Tras lo cual la presidenta del Senado tuvo por prestado el acatamiento de la Constitución y por adquirida plenamente la condición de senadora.</w:t>
      </w:r>
    </w:p>
    <w:p w14:paraId="300E7B33" w14:textId="77777777" w:rsidR="008D479B" w:rsidRDefault="008D479B" w:rsidP="008D479B">
      <w:pPr>
        <w:pStyle w:val="TextoNormal"/>
      </w:pPr>
    </w:p>
    <w:p w14:paraId="195EFAF0" w14:textId="77777777" w:rsidR="008D479B" w:rsidRDefault="008D479B" w:rsidP="008D479B">
      <w:pPr>
        <w:pStyle w:val="TextoNormal"/>
      </w:pPr>
      <w:r>
        <w:t>Acto seguido, a idéntica pregunta de la presidenta del Senado, el senador Reniu Vilamala contestó “Per la llibertat de les preses i presos polítics, pel retorn de les persones exiliades, fins a la constitució de la república catalana, per imperatiu legal, sí prometo”. Tras lo cual la presidenta del Senado tuvo por prestado el acatamiento de la Constitución y por adquirida plenamente la condición de senador.</w:t>
      </w:r>
    </w:p>
    <w:p w14:paraId="44E99ACB" w14:textId="77777777" w:rsidR="008D479B" w:rsidRDefault="008D479B" w:rsidP="008D479B">
      <w:pPr>
        <w:pStyle w:val="TextoNormal"/>
      </w:pPr>
    </w:p>
    <w:p w14:paraId="6464D0D4" w14:textId="77777777" w:rsidR="008D479B" w:rsidRDefault="008D479B" w:rsidP="008D479B">
      <w:pPr>
        <w:pStyle w:val="TextoNormal"/>
      </w:pPr>
      <w:r>
        <w:t>b) El día 27 de mayo de 2021, el senador don Javier Ignacio Maroto Aranzábal, portavoz del Grupo Parlamentario Popular en el Senado, presentó un escrito dirigido a la mesa del Senado en que, considerando que los acatamientos de la senadora Escandell Grases y del senador Reniu Vilamala iban seguidos de condiciones que viciaban de nulidad dicho acatamiento, solicitaba: “Que se proceda a la revisión de estas dos respuestas formuladas a la pregunta realizada por la presidenta del Senado de acatamiento de la Constitución, para establecer si dichos senadores han expresado de forma clara e inequívoca su voluntad de acatar la Constitución e invalide aquellas que no cumplan el artículo 11.3 del Reglamento del Senado”.</w:t>
      </w:r>
    </w:p>
    <w:p w14:paraId="0F204499" w14:textId="77777777" w:rsidR="008D479B" w:rsidRDefault="008D479B" w:rsidP="008D479B">
      <w:pPr>
        <w:pStyle w:val="TextoNormal"/>
      </w:pPr>
    </w:p>
    <w:p w14:paraId="3F9A88AC" w14:textId="77777777" w:rsidR="008D479B" w:rsidRDefault="008D479B" w:rsidP="008D479B">
      <w:pPr>
        <w:pStyle w:val="TextoNormal"/>
      </w:pPr>
      <w:r>
        <w:t>c) El 1 de junio de 2021, la mesa del Senado acordó: “Desestimar, por mayoría, la solicitud ya que, de conformidad con lo previsto en el artículo 11.3 del Reglamento del Senado, interpretado según la jurisprudencia establecida en la Sentencia del Tribunal Constitucional 74/1991, de 8 de abril, y siguiendo los precedentes obrantes en la Cámara, no procede la revisión de las fórmulas de acatamiento a la Constitución utilizadas por cada uno de los senadores, y comunicar este acuerdo a su autor, informándole de que, frente al mismo, podrá solicitar su reconsideración, de conformidad con lo previsto en el artículo 36.2 del Reglamento del Senado”.</w:t>
      </w:r>
    </w:p>
    <w:p w14:paraId="32F465F2" w14:textId="77777777" w:rsidR="008D479B" w:rsidRDefault="008D479B" w:rsidP="008D479B">
      <w:pPr>
        <w:pStyle w:val="TextoNormal"/>
      </w:pPr>
    </w:p>
    <w:p w14:paraId="51D87509" w14:textId="77777777" w:rsidR="008D479B" w:rsidRDefault="008D479B" w:rsidP="008D479B">
      <w:pPr>
        <w:pStyle w:val="TextoNormal"/>
      </w:pPr>
      <w:r>
        <w:t>Solicitada la reconsideración mediante escrito de 3 de junio de 2021, la misma fue desestimada por acuerdo de la mesa de 7 de junio de 2021 con el siguiente tenor: “Desestimar, por mayoría, la solicitud ya que se pide la reconsideración de un acuerdo motivado de la mesa sin expresar las razones de la misma, y comunicar este acuerdo a su autor”.</w:t>
      </w:r>
    </w:p>
    <w:p w14:paraId="6ADABCE8" w14:textId="77777777" w:rsidR="008D479B" w:rsidRDefault="008D479B" w:rsidP="008D479B">
      <w:pPr>
        <w:pStyle w:val="TextoNormal"/>
      </w:pPr>
    </w:p>
    <w:p w14:paraId="2FC3122A" w14:textId="77777777" w:rsidR="008D479B" w:rsidRDefault="008D479B" w:rsidP="008D479B">
      <w:pPr>
        <w:pStyle w:val="TextoNormal"/>
      </w:pPr>
      <w:r>
        <w:t>d) Mediante escrito de 3 de junio de 2021 dirigido a la mesa del Senado, el senador don Javier Ignacio Maroto Aranzábal, portavoz del Grupo Parlamentario Popular, solicitó que se revisaran las actas notariales de acatamiento presentadas por la senadora doña Assumpció Castellví Auví y los senadores don Josep Lluís Cleries i Gonzàlez y don Pau Furriols Fornells “para establecer si dichos senadores han expresado de forma clara e inequívoca su voluntad de acatar la Constitución e invalide aquellas que no cumplan el artículo 11.3 del Reglamento del Senado”.</w:t>
      </w:r>
    </w:p>
    <w:p w14:paraId="367B375B" w14:textId="77777777" w:rsidR="008D479B" w:rsidRDefault="008D479B" w:rsidP="008D479B">
      <w:pPr>
        <w:pStyle w:val="TextoNormal"/>
      </w:pPr>
    </w:p>
    <w:p w14:paraId="389C237B" w14:textId="77777777" w:rsidR="008D479B" w:rsidRDefault="008D479B" w:rsidP="008D479B">
      <w:pPr>
        <w:pStyle w:val="TextoNormal"/>
      </w:pPr>
      <w:r>
        <w:t>e) El 7 de junio de 2021, la mesa del Senado acordó: “Desestimar, por mayoría, la solicitud ya que, de conformidad con lo previsto en el artículo 11.3 del Reglamento del Senado, interpretado según la jurisprudencia establecida en la sentencia del Tribunal Constitucional 74/1991, de 8 de abril, y siguiendo los precedentes obrantes en la Cámara, no procede la revisión de las fórmulas de acatamiento a la Constitución utilizadas por cada uno de los senadores, y comunicar este acuerdo a su autor, informándole de que, frente al mismo, podrá solicitar su reconsideración, de conformidad con lo previsto en el artículo 36.2 del Reglamento del Senado”.</w:t>
      </w:r>
    </w:p>
    <w:p w14:paraId="6DE4BD23" w14:textId="77777777" w:rsidR="008D479B" w:rsidRDefault="008D479B" w:rsidP="008D479B">
      <w:pPr>
        <w:pStyle w:val="TextoNormal"/>
      </w:pPr>
    </w:p>
    <w:p w14:paraId="768F103A" w14:textId="24EC1DB8" w:rsidR="008D479B" w:rsidRDefault="008D479B" w:rsidP="008D479B">
      <w:pPr>
        <w:pStyle w:val="TextoNormal"/>
      </w:pPr>
      <w:r>
        <w:t>Solicitada la reconsideración mediante escrito de 8 de junio de 2021, la misma fue desestimada por acuerdo de la mesa de 21 de julio de 2021 con el siguiente tenor: “Desestimar, por mayoría, la solicitud ya que se pide la reconsideración de un acuerdo motivado de la mesa sin expresar las razones de la misma, y comunicar este acuerdo a su autor”.</w:t>
      </w:r>
    </w:p>
    <w:p w14:paraId="64E76E97" w14:textId="77777777" w:rsidR="008D479B" w:rsidRDefault="008D479B" w:rsidP="008D479B">
      <w:pPr>
        <w:pStyle w:val="TextoNormal"/>
      </w:pPr>
    </w:p>
    <w:p w14:paraId="07D7D037" w14:textId="77777777" w:rsidR="008D479B" w:rsidRDefault="008D479B" w:rsidP="008D479B">
      <w:pPr>
        <w:pStyle w:val="TextoNormal"/>
      </w:pPr>
      <w:r w:rsidRPr="008D479B">
        <w:rPr>
          <w:rStyle w:val="NumeroAFNegritaCaracter"/>
        </w:rPr>
        <w:t>3</w:t>
      </w:r>
      <w:r>
        <w:t>. Los senadores demandantes de amparo solicitan que se estime su recurso por vulneración de sus derechos a la representación política (art. 23 CE) y a la igualdad (art. 14 CE), para cuyo restablecimiento consideran necesario la declaración de nulidad de los acuerdos parlamentarios impugnados, teniendo por no acreditado el requisito de juramento o promesa de la Constitución en relación con los casos impugnados, declarando que procede no tener por adquirida la plenitud de derechos y perfeccionada la condición de senadores de doña Assumpció Castellví Auví, don Josep Lluís Cleries i Gonzàlez, don Pau Furriols Fornells, doña Adelina Escandell Grases y del senador don Josep Maria Reniu Vilamala, en los términos del art. 12 RS.</w:t>
      </w:r>
    </w:p>
    <w:p w14:paraId="3812733E" w14:textId="77777777" w:rsidR="008D479B" w:rsidRDefault="008D479B" w:rsidP="008D479B">
      <w:pPr>
        <w:pStyle w:val="TextoNormal"/>
      </w:pPr>
    </w:p>
    <w:p w14:paraId="7F075569" w14:textId="77777777" w:rsidR="008D479B" w:rsidRDefault="008D479B" w:rsidP="008D479B">
      <w:pPr>
        <w:pStyle w:val="TextoNormal"/>
      </w:pPr>
      <w:r>
        <w:t>Los demandantes de amparo contextualizan la fórmula empleada por la senadora en el “[p]roceso de ruptura con el orden constitucional en Cataluña en los meses de septiembre y octubre de 2017” y la sentencia de la Sala Segunda del Tribunal Supremo núm. 459/2019, por la que se dictó condena de los acusados por delitos de desobediencia, sedición, y de sedición en concurso medial con un delito de malversación agravado por la cuantía para diversos acusados. Afirman que la existencia de este fallo, a partir de octubre de 2019 es una cuestión novedosa que no concurría en la Legislatura XIII y que conlleva que la afirmación acerca de la existencia de “presos políticos” no se sostenga ni política, ni jurídicamente y suponga un claro desacato a la Constitución, ya que la sentencia fija penas en función de la consumación de delitos que han quedado acreditados para el Tribunal Supremo.</w:t>
      </w:r>
    </w:p>
    <w:p w14:paraId="481246CE" w14:textId="77777777" w:rsidR="008D479B" w:rsidRDefault="008D479B" w:rsidP="008D479B">
      <w:pPr>
        <w:pStyle w:val="TextoNormal"/>
      </w:pPr>
    </w:p>
    <w:p w14:paraId="3811F9E0" w14:textId="77777777" w:rsidR="008D479B" w:rsidRDefault="008D479B" w:rsidP="008D479B">
      <w:pPr>
        <w:pStyle w:val="TextoNormal"/>
      </w:pPr>
      <w:r>
        <w:t>Afirman que la fórmula utilizada para acatar la Constitución supone un ataque frontal al art. 117.3 CE, pues que unos senadores pretendan que su acatamiento a la Constitución española incluya la expresión de “presos políticos”, imputando al Estado español que mantiene a personas en la cárcel por opiniones políticas cuando esos presos han sido efectivamente condenados por el más alto tribunal español, solo expresa su manifiesta rebeldía contra la Constitución y el ordenamiento jurídico vigente.</w:t>
      </w:r>
    </w:p>
    <w:p w14:paraId="6CDA3CC9" w14:textId="77777777" w:rsidR="008D479B" w:rsidRDefault="008D479B" w:rsidP="008D479B">
      <w:pPr>
        <w:pStyle w:val="TextoNormal"/>
      </w:pPr>
    </w:p>
    <w:p w14:paraId="6C11A7C9" w14:textId="77777777" w:rsidR="008D479B" w:rsidRDefault="008D479B" w:rsidP="008D479B">
      <w:pPr>
        <w:pStyle w:val="TextoNormal"/>
      </w:pPr>
      <w:r>
        <w:t>Añaden que la fórmula empleada es la expresión de un compromiso jurídico de vulnerar el orden constitucional con el que transforman el trámite formal de juramento o promesa de acatar la Constitución en un trámite de juramento o promesa de acatar el mandato democrático del 1 de octubre, de fidelidad a la república catalana y al pueblo de Cataluña, de lealtad a los presos y exiliados políticos. Es decir, se produce una sustitución: se sustituye el juramento o promesa de acatar la Constitución por el juramento o promesa de acatar el mandato democrático del 1 de octubre y la fidelidad a la república catalana, como Estado independiente y soberano, social y democrático de Derecho, como así se define en la declaración unilateral de independencia, de 27 de octubre de 2017.</w:t>
      </w:r>
    </w:p>
    <w:p w14:paraId="57115176" w14:textId="77777777" w:rsidR="008D479B" w:rsidRDefault="008D479B" w:rsidP="008D479B">
      <w:pPr>
        <w:pStyle w:val="TextoNormal"/>
      </w:pPr>
    </w:p>
    <w:p w14:paraId="56E01BEF" w14:textId="77777777" w:rsidR="008D479B" w:rsidRDefault="008D479B" w:rsidP="008D479B">
      <w:pPr>
        <w:pStyle w:val="TextoNormal"/>
      </w:pPr>
      <w:r>
        <w:t>Dichas expresiones no quedan amparadas por la libertad de expresión. En el propio contenido del acto de acatamiento de la Constitución emerge el compromiso jurídico de vulnerarla. Una eventual admisión de fórmulas de acatamiento de la Constitución que contengan —que lleven aparejado— el compromiso jurídico de vulnerar la Constitución, utilizando la violencia, la fuerza o las vías de hecho no solo supondría vaciar de contenido el acto de acatamiento de la Constitución. Añaden que no consta que el presidente comprendiera plenamente la expresión utilizada al manifestarse en lengua catalana.</w:t>
      </w:r>
    </w:p>
    <w:p w14:paraId="02D4CD5E" w14:textId="77777777" w:rsidR="008D479B" w:rsidRDefault="008D479B" w:rsidP="008D479B">
      <w:pPr>
        <w:pStyle w:val="TextoNormal"/>
      </w:pPr>
    </w:p>
    <w:p w14:paraId="4B366572" w14:textId="77777777" w:rsidR="008D479B" w:rsidRDefault="008D479B" w:rsidP="008D479B">
      <w:pPr>
        <w:pStyle w:val="TextoNormal"/>
      </w:pPr>
      <w:r>
        <w:t>Entienden que la admisión como senadores de pleno derecho a senadores electos que no han cumplido el requisito de juramento o promesa de acatar la Constitución afecta a la correcta composición del Senado como órgano constitucional de representación colectiva del pueblo español, sin que pueda separarse la representación individual del parlamentario (art. 23.2 CE), de la representación colectiva de la Cámara.</w:t>
      </w:r>
    </w:p>
    <w:p w14:paraId="7882C61A" w14:textId="77777777" w:rsidR="008D479B" w:rsidRDefault="008D479B" w:rsidP="008D479B">
      <w:pPr>
        <w:pStyle w:val="TextoNormal"/>
      </w:pPr>
    </w:p>
    <w:p w14:paraId="010C4EB4" w14:textId="77777777" w:rsidR="008D479B" w:rsidRDefault="008D479B" w:rsidP="008D479B">
      <w:pPr>
        <w:pStyle w:val="TextoNormal"/>
      </w:pPr>
      <w:r>
        <w:t>Argumentan que una inadecuada composición del Senado afecta al régimen de mayorías y minorías del Senado: a la configuración de las mayorías simples, de la mayoría absoluta y de otras mayorías cualificadas como la de tres quintos de los miembros de la Cámara. Esto es, afecta consecuentemente al ejercicio de las funciones legislativas, presupuestarias y de control, así como en las demás competencias que la Constitución atribuye al Senado.</w:t>
      </w:r>
    </w:p>
    <w:p w14:paraId="7741F19A" w14:textId="77777777" w:rsidR="008D479B" w:rsidRDefault="008D479B" w:rsidP="008D479B">
      <w:pPr>
        <w:pStyle w:val="TextoNormal"/>
      </w:pPr>
    </w:p>
    <w:p w14:paraId="21048FE0" w14:textId="77777777" w:rsidR="008D479B" w:rsidRDefault="008D479B" w:rsidP="008D479B">
      <w:pPr>
        <w:pStyle w:val="TextoNormal"/>
      </w:pPr>
      <w:r>
        <w:t>Consideran que se ha infringido el requisito de juramento o promesa de acatar la Constitución previsto en el arts. 108.8 de la Ley Orgánica de régimen electoral general (en adelante, LOREG) y en el art. 11 RS cuya exigencia es conforme con la doctrina constitucional, de tal modo que la fórmula utilizada no vacíe, limite o condiciones el sentido propio de la exigencia para adquirir la condición de diputado o senador. Señala que no es posible acatar la Constitución si en el mismo acto de promesa o juramento se niega la soberanía que de la misma dimana, al aludirse a una soberanía distinta, la catalana, que se considera superior y a la cual se presta fidelidad con prioridad o se firma jurar por una inexistente república, que no es más que la aspiración de partidos políticos o agrupaciones que provocaron su declaración unilateral en ruptura con el orden constitucional.</w:t>
      </w:r>
    </w:p>
    <w:p w14:paraId="54F92F55" w14:textId="77777777" w:rsidR="008D479B" w:rsidRDefault="008D479B" w:rsidP="008D479B">
      <w:pPr>
        <w:pStyle w:val="TextoNormal"/>
      </w:pPr>
    </w:p>
    <w:p w14:paraId="0AF2C178" w14:textId="77777777" w:rsidR="008D479B" w:rsidRDefault="008D479B" w:rsidP="008D479B">
      <w:pPr>
        <w:pStyle w:val="TextoNormal"/>
      </w:pPr>
      <w:r>
        <w:t>Indican que se ha producido una infracción del derecho fundamental de los recurrentes, porque la función de representación del senador no constituye sino una fracción de un “todo” que lo trasciende y del que no puede desligarse, siendo así que la representación individual del senador es una porción de la representación colectiva de la soberanía nacional de la Cámara, sin la cual carece de sentido la representación individual. Añade que la infracción de la legalidad ha supuesto el desconocimiento de la igualdad entre representantes que han llevado a cabo el juramento o promesa y senadores que no han cumplido dicha exigencia.</w:t>
      </w:r>
    </w:p>
    <w:p w14:paraId="556AA782" w14:textId="77777777" w:rsidR="008D479B" w:rsidRDefault="008D479B" w:rsidP="008D479B">
      <w:pPr>
        <w:pStyle w:val="TextoNormal"/>
      </w:pPr>
    </w:p>
    <w:p w14:paraId="408AD6F2" w14:textId="77777777" w:rsidR="008D479B" w:rsidRDefault="008D479B" w:rsidP="008D479B">
      <w:pPr>
        <w:pStyle w:val="TextoNormal"/>
      </w:pPr>
      <w:r>
        <w:t>Refieren que avalar dichas fórmulas supondría avalar la falta de control y responsabilidad de la Presidencia del Senado ante la arbitraria y deliberada inaplicación de la doctrina constitucional.</w:t>
      </w:r>
    </w:p>
    <w:p w14:paraId="1EA55D66" w14:textId="77777777" w:rsidR="008D479B" w:rsidRDefault="008D479B" w:rsidP="008D479B">
      <w:pPr>
        <w:pStyle w:val="TextoNormal"/>
      </w:pPr>
    </w:p>
    <w:p w14:paraId="5723A079" w14:textId="77777777" w:rsidR="008D479B" w:rsidRDefault="008D479B" w:rsidP="008D479B">
      <w:pPr>
        <w:pStyle w:val="TextoNormal"/>
      </w:pPr>
      <w:r>
        <w:t>En relación con el derecho a la igualdad y no discriminación (art. 14 CE), los demandantes de amparo lo entienden vulnerado porque mientras que estos, y la mayoría de los senadores, han llevado a cabo el juramento o promesa de acatamiento de la Constitución sin desbordar los requisitos de la jurisprudencia constitucional, otros senadores electos han podido perfeccionar su condición de senadores, devengando derechos económicos y participando en el ejercicio de las funciones constitucionales de la Cámara, sin haber procedido a llevar a cabo el juramento o promesa de acatar la Constitución.</w:t>
      </w:r>
    </w:p>
    <w:p w14:paraId="282BA2BF" w14:textId="77777777" w:rsidR="008D479B" w:rsidRDefault="008D479B" w:rsidP="008D479B">
      <w:pPr>
        <w:pStyle w:val="TextoNormal"/>
      </w:pPr>
    </w:p>
    <w:p w14:paraId="639F07FF" w14:textId="509FE943" w:rsidR="008D479B" w:rsidRDefault="008D479B" w:rsidP="008D479B">
      <w:pPr>
        <w:pStyle w:val="TextoNormal"/>
      </w:pPr>
      <w:r>
        <w:t>Los demandantes de amparo afirman que el recurso cuenta con especial transcendencia constitucional en los términos enunciados en la STC 155/2009, de 25 de junio, FJ 2, entre otras razones porque (i) el recurso da ocasión al tribunal para aclarar o cambiar su doctrina como consecuencia del surgimiento de nuevas realidades sociales, en relación con la utilización de fórmulas directamente incompatibles con la Constitución; (ii) el recurso trasciende el caso concreto porque plantea una cuestión jurídica de relevante y general repercusión económica, por su naturaleza parlamentaria y por afectar a la composición del Senado; y (iii) porque el recurso plantea un problema o una faceta de un derecho fundamental susceptible de amparo sobre los que no existe doctrina constitucional.</w:t>
      </w:r>
    </w:p>
    <w:p w14:paraId="0D2E2B9C" w14:textId="77777777" w:rsidR="008D479B" w:rsidRDefault="008D479B" w:rsidP="008D479B">
      <w:pPr>
        <w:pStyle w:val="TextoNormal"/>
      </w:pPr>
    </w:p>
    <w:p w14:paraId="5578123C" w14:textId="7FDD08CB" w:rsidR="008D479B" w:rsidRDefault="008D479B" w:rsidP="008D479B">
      <w:pPr>
        <w:pStyle w:val="TextoNormal"/>
      </w:pPr>
      <w:r w:rsidRPr="008D479B">
        <w:rPr>
          <w:rStyle w:val="NumeroAFNegritaCaracter"/>
        </w:rPr>
        <w:t>4</w:t>
      </w:r>
      <w:r>
        <w:t>. La Sección Cuarta del Tribunal Constitucional, por providencia de 25 de enero de 2022, acordó admitir a trámite el recurso de amparo, al apreciar que concurre en el mismo una especial trascendencia constitucional (art. 50.1 de la Ley Orgánica del Tribunal Constitucional: LOTC) porque el recurso puede dar ocasión al Tribunal para aclarar o cambiar su doctrina, como consecuencia del surgimiento de nuevas realidades sociales [STC 155/2009, FJ 2 b)] y porque el asunto suscitado trasciende del caso concreto porque pudiera tener unas consecuencias políticas generales [STC 155/2009, FJ 2 g)]; dirigir atenta comunicación al Senado, a fin de que remitiera certificación o fotocopia adverada de las actuaciones y emplazamiento a quienes hubieran sido parte en el procedimiento para que pudieran comparecer en el recurso de amparo.</w:t>
      </w:r>
    </w:p>
    <w:p w14:paraId="78C21235" w14:textId="77777777" w:rsidR="008D479B" w:rsidRDefault="008D479B" w:rsidP="008D479B">
      <w:pPr>
        <w:pStyle w:val="TextoNormal"/>
      </w:pPr>
    </w:p>
    <w:p w14:paraId="49D2F6E4" w14:textId="77777777" w:rsidR="008D479B" w:rsidRDefault="008D479B" w:rsidP="008D479B">
      <w:pPr>
        <w:pStyle w:val="TextoNormal"/>
      </w:pPr>
      <w:r w:rsidRPr="008D479B">
        <w:rPr>
          <w:rStyle w:val="NumeroAFNegritaCaracter"/>
        </w:rPr>
        <w:t>5</w:t>
      </w:r>
      <w:r>
        <w:t>. La Secretaría de Justicia de la Sala Segunda del Tribunal, por diligencia de ordenación de 23 de febrero de 2023, acordó tener por personado y parte en el procedimiento a la letrada de las Cortes Generales, doña Isabel María Abellán Matesanz, en representación del Senado; al procurador de los tribunales don Carlos Ricardo Estévez Sanz, en nombre y representación de doña Assumpció Castellví Auví, don Josep Lluís Cleries i Gonzàlez, don José María Cervera Pinart y de doña María Teresa Riverso Segalas; a la procuradora de los tribunales doña María del Pilar Hidalgo López, en nombre y representación de don Jacobo González-Robato Perote, don José Manuel Marín Gascón y doña Yolanda Melero Palomares; al procurador de los tribunales don Emilio Martínez Benitez, en nombre y representación de don Pau Furriol Fornells y don Josep Maria Reniu Vilamala.</w:t>
      </w:r>
    </w:p>
    <w:p w14:paraId="342B61C8" w14:textId="77777777" w:rsidR="008D479B" w:rsidRDefault="008D479B" w:rsidP="008D479B">
      <w:pPr>
        <w:pStyle w:val="TextoNormal"/>
      </w:pPr>
    </w:p>
    <w:p w14:paraId="1457DB99" w14:textId="2C367E79" w:rsidR="008D479B" w:rsidRDefault="008D479B" w:rsidP="008D479B">
      <w:pPr>
        <w:pStyle w:val="TextoNormal"/>
      </w:pPr>
      <w:r>
        <w:t>En la misma diligencia de ordenación se acordó, en aplicación de lo dispuesto en el artículo 52 LOTC, dar traslado para alegaciones a las partes personadas y al Ministerio Fiscal, por un plazo común de veinte días.</w:t>
      </w:r>
    </w:p>
    <w:p w14:paraId="7E2232F5" w14:textId="77777777" w:rsidR="008D479B" w:rsidRDefault="008D479B" w:rsidP="008D479B">
      <w:pPr>
        <w:pStyle w:val="TextoNormal"/>
      </w:pPr>
    </w:p>
    <w:p w14:paraId="64FE7B81" w14:textId="77777777" w:rsidR="008D479B" w:rsidRDefault="008D479B" w:rsidP="008D479B">
      <w:pPr>
        <w:pStyle w:val="TextoNormal"/>
      </w:pPr>
      <w:r w:rsidRPr="008D479B">
        <w:rPr>
          <w:rStyle w:val="NumeroAFNegritaCaracter"/>
        </w:rPr>
        <w:t>6</w:t>
      </w:r>
      <w:r>
        <w:t>. El Senado, mediante escrito registrado el 22 de marzo de 2022, presentó sus alegaciones solicitando la inadmisión del recurso de amparo por la defectuosa delimitación de su objeto, falta de legitimación o de capacidad activa de los recurrentes y falta de invocación en la vía parlamentaria del derecho fundamental. Y, subsidiariamente la desestimación de la demanda al no haberse producido la vulneración del derecho de participación política en relación con el de representación (art. 23.1 y 2 CE) ni del principio de igualdad (art. 14 CE).</w:t>
      </w:r>
    </w:p>
    <w:p w14:paraId="332C7BCF" w14:textId="77777777" w:rsidR="008D479B" w:rsidRDefault="008D479B" w:rsidP="008D479B">
      <w:pPr>
        <w:pStyle w:val="TextoNormal"/>
      </w:pPr>
    </w:p>
    <w:p w14:paraId="1C5914F3" w14:textId="77777777" w:rsidR="008D479B" w:rsidRDefault="008D479B" w:rsidP="008D479B">
      <w:pPr>
        <w:pStyle w:val="TextoNormal"/>
      </w:pPr>
      <w:r>
        <w:t>Indica que los actos del presidente de la Cámara en materia de acatamiento son firmes y que “no cabe considerar(los) en modo alguno actos de trámite”, tal y como confirmó este tribunal en la STC 119/1990, de 21 de junio, FJ 1, por lo que el acuerdo que se recurre en realidad es el de la presidenta del Senado de 15 de febrero de 2022 y no los posteriores de 1 y 7 de junio de 2021 y de 21 de julio de 2021 de la mesa, cuya competencia para rectificar la actuación del presidente en relación con los acatamientos es más que discutible.</w:t>
      </w:r>
    </w:p>
    <w:p w14:paraId="3A73BEB9" w14:textId="77777777" w:rsidR="008D479B" w:rsidRDefault="008D479B" w:rsidP="008D479B">
      <w:pPr>
        <w:pStyle w:val="TextoNormal"/>
      </w:pPr>
    </w:p>
    <w:p w14:paraId="26845357" w14:textId="77777777" w:rsidR="008D479B" w:rsidRDefault="008D479B" w:rsidP="008D479B">
      <w:pPr>
        <w:pStyle w:val="TextoNormal"/>
      </w:pPr>
      <w:r>
        <w:t>Destaca que el objeto del recurso interno no fue impugnar determinados acatamientos sino de comprobar o verificar que todos los senadores habían expresado de forma clara e inequívoca su voluntad de acatar la Constitución, para, en caso de respuesta negativa, invalidar los acatamientos. Sin embargo, en la demanda de amparo los recurrentes van mucho más allá, solicitando expresamente que se revoque la condición de senadores de los declarantes.</w:t>
      </w:r>
    </w:p>
    <w:p w14:paraId="2222459D" w14:textId="77777777" w:rsidR="008D479B" w:rsidRDefault="008D479B" w:rsidP="008D479B">
      <w:pPr>
        <w:pStyle w:val="TextoNormal"/>
      </w:pPr>
    </w:p>
    <w:p w14:paraId="58EC44F6" w14:textId="77777777" w:rsidR="008D479B" w:rsidRDefault="008D479B" w:rsidP="008D479B">
      <w:pPr>
        <w:pStyle w:val="TextoNormal"/>
      </w:pPr>
      <w:r>
        <w:t>En relación con la legitimación, refiere que no está expresamente atribuida en el reglamento la iniciativa del portavoz del grupo parlamentario para impugnar dicha actuación, porque no puede presumirse sin más que represente la voluntad de todos y cada uno de los miembros del grupo parlamentario (STC 24/2020, de 13 de febrero, FJ 4). Si bien, es una circunstancia meramente adjetiva y carente de consecuencias jurídicas en tanto que puede acogerse la tesis de que los senadores recurrentes actúan de forma individual y en su propio nombre (STC 98/2009, de 27 de abril, FJ 3). Aun así, afirma que los senadores recurrentes no son “persona directamente afectada” a los efectos del art. 46.1 a) LOTC, pese a que se pueda admitir el interés legitimador de los recurrentes, en cuanto senadores individuales (art. 162 CE, por error indica LOTC).</w:t>
      </w:r>
    </w:p>
    <w:p w14:paraId="5C39BCF0" w14:textId="77777777" w:rsidR="008D479B" w:rsidRDefault="008D479B" w:rsidP="008D479B">
      <w:pPr>
        <w:pStyle w:val="TextoNormal"/>
      </w:pPr>
    </w:p>
    <w:p w14:paraId="6484E050" w14:textId="77777777" w:rsidR="008D479B" w:rsidRDefault="008D479B" w:rsidP="008D479B">
      <w:pPr>
        <w:pStyle w:val="TextoNormal"/>
      </w:pPr>
      <w:r>
        <w:t>Considera que concurre la falta de invocación del derecho lesionado en el procedimiento parlamentario previo [art. 44.1 c) LOTC], pues los recurrentes en ningún momento durante la sesión plenaria del 15 de febrero de 2022, en la que se realizó el acatamiento de la Constitución, tomaron la palabra para alegar la lesión de sus derechos fundamentales, ni tampoco invocaron sus derechos en la solicitud de revisión y reconsideración formuladas, siendo por primera vez en el recurso de amparo donde se invocan.</w:t>
      </w:r>
    </w:p>
    <w:p w14:paraId="498783C3" w14:textId="77777777" w:rsidR="008D479B" w:rsidRDefault="008D479B" w:rsidP="008D479B">
      <w:pPr>
        <w:pStyle w:val="TextoNormal"/>
      </w:pPr>
    </w:p>
    <w:p w14:paraId="040E208C" w14:textId="77777777" w:rsidR="008D479B" w:rsidRDefault="008D479B" w:rsidP="008D479B">
      <w:pPr>
        <w:pStyle w:val="TextoNormal"/>
      </w:pPr>
      <w:r>
        <w:t>A continuación, rechaza que se haya producido una vulneración de los derechos invocados. Indica que la vulneración del derecho fundamental debe ser efectiva y no viene determinadas por la simple conculcación de las normas reglamentarias. Expone los precedentes del Senado a través de los diarios de sesiones de la Legislatura XIV y de las precedentes XIII, XII y XI, e indica que, con independencia de su valor normativo, de no haberse seguido tales precedentes en relación con la senadora hubiera supuesto una diferencia de trato, que como tal fue argumento esencial en la STC 119/1990. Añade, tras afirmar que no existe previsión normativa en el Reglamento de la Cámara que ampare el eventual control material de los acatamientos que pudiera hacer la mesa, que la motivación de los acuerdos de la mesa que desestimaron la solicitud de revisión no vulneró los derechos de los recurrentes.</w:t>
      </w:r>
    </w:p>
    <w:p w14:paraId="72C16C55" w14:textId="77777777" w:rsidR="008D479B" w:rsidRDefault="008D479B" w:rsidP="008D479B">
      <w:pPr>
        <w:pStyle w:val="TextoNormal"/>
      </w:pPr>
    </w:p>
    <w:p w14:paraId="39E5B9B7" w14:textId="77777777" w:rsidR="008D479B" w:rsidRDefault="008D479B" w:rsidP="008D479B">
      <w:pPr>
        <w:pStyle w:val="TextoNormal"/>
      </w:pPr>
      <w:r>
        <w:t>Refiere que, en contra de lo indicado por los recurrentes, no se aprecia en las fórmulas empleadas por los senadores un “compromiso” —ni siquiera una voluntad— de vulnerar la Constitución ni de romper el orden constitucional, sin perjuicio de la posibilidad de alcanzar las metas mencionadas por los propios cauces que ofrece la norma fundamental. Considera que la presidenta del Senado al aceptar las fórmulas empleadas estaba cumpliendo de forma escrupulosa con la interpretación que del art. 11.3 RS ha hecho este tribunal en diversas sentencias y, específicamente, en la tan citada STC 74/1991, de 8 de abril, pues de lo contrario habría vulnerado el derecho fundamental de los senadores.</w:t>
      </w:r>
    </w:p>
    <w:p w14:paraId="0715015B" w14:textId="77777777" w:rsidR="008D479B" w:rsidRDefault="008D479B" w:rsidP="008D479B">
      <w:pPr>
        <w:pStyle w:val="TextoNormal"/>
      </w:pPr>
    </w:p>
    <w:p w14:paraId="1A141255" w14:textId="77777777" w:rsidR="008D479B" w:rsidRDefault="008D479B" w:rsidP="008D479B">
      <w:pPr>
        <w:pStyle w:val="TextoNormal"/>
      </w:pPr>
      <w:r>
        <w:t>Sostiene que no consta que la presidenta del Senado no comprendiera la fórmula utilizada por los senadores y en todo caso la expresión “sí, prometo” es idéntica en catalán y castellano, habiendo sido la utilización de la lengua catalana en el acto de acatamiento habitual en las legislaturas precedentes.</w:t>
      </w:r>
    </w:p>
    <w:p w14:paraId="7714D7E9" w14:textId="77777777" w:rsidR="008D479B" w:rsidRDefault="008D479B" w:rsidP="008D479B">
      <w:pPr>
        <w:pStyle w:val="TextoNormal"/>
      </w:pPr>
    </w:p>
    <w:p w14:paraId="1EBF7525" w14:textId="77777777" w:rsidR="008D479B" w:rsidRDefault="008D479B" w:rsidP="008D479B">
      <w:pPr>
        <w:pStyle w:val="TextoNormal"/>
      </w:pPr>
      <w:r>
        <w:t>Considera que no existe, a tenor de la doctrina constitucional expuesta en la STC 10/1983, de 21 de febrero, una representación individual o propia de cada representante, sino, por el contrario, una representación conjunta de todos los ciudadanos “unidad de voluntad”, porque, como dicta nuestra norma fundamental: “Las Cortes Generales representan al pueblo español” (art. 66 CE).</w:t>
      </w:r>
    </w:p>
    <w:p w14:paraId="7319799A" w14:textId="77777777" w:rsidR="008D479B" w:rsidRDefault="008D479B" w:rsidP="008D479B">
      <w:pPr>
        <w:pStyle w:val="TextoNormal"/>
      </w:pPr>
    </w:p>
    <w:p w14:paraId="7128D5FC" w14:textId="335B0CBF" w:rsidR="008D479B" w:rsidRDefault="008D479B" w:rsidP="008D479B">
      <w:pPr>
        <w:pStyle w:val="TextoNormal"/>
      </w:pPr>
      <w:r>
        <w:t>Finalmente refiere que no existió trato desigual pues todos los senadores acataron la Constitución.</w:t>
      </w:r>
    </w:p>
    <w:p w14:paraId="1CA08456" w14:textId="77777777" w:rsidR="008D479B" w:rsidRDefault="008D479B" w:rsidP="008D479B">
      <w:pPr>
        <w:pStyle w:val="TextoNormal"/>
      </w:pPr>
    </w:p>
    <w:p w14:paraId="5F3FD3FC" w14:textId="77777777" w:rsidR="008D479B" w:rsidRDefault="008D479B" w:rsidP="008D479B">
      <w:pPr>
        <w:pStyle w:val="TextoNormal"/>
      </w:pPr>
      <w:r w:rsidRPr="008D479B">
        <w:rPr>
          <w:rStyle w:val="NumeroAFNegritaCaracter"/>
        </w:rPr>
        <w:t>7</w:t>
      </w:r>
      <w:r>
        <w:t>. Con fecha 25 de marzo de 2022, el procurador de los tribunales don Emilio Martínez Benítez, en representación de don Pau Furriol Fornells y don Josep Maria Reniu Vilamala, solicitó al tribunal que se declare incompetente para resolver el recurso y, subsidiariamente, que se inadmita la demanda de amparo en relación con todos los acuerdos o únicamente respecto de los acuerdos de la mesa y, finalmente, que se desestime el recurso de amparo en su totalidad.</w:t>
      </w:r>
    </w:p>
    <w:p w14:paraId="57B598D9" w14:textId="77777777" w:rsidR="008D479B" w:rsidRDefault="008D479B" w:rsidP="008D479B">
      <w:pPr>
        <w:pStyle w:val="TextoNormal"/>
      </w:pPr>
    </w:p>
    <w:p w14:paraId="45E646DB" w14:textId="77777777" w:rsidR="008D479B" w:rsidRDefault="008D479B" w:rsidP="008D479B">
      <w:pPr>
        <w:pStyle w:val="TextoNormal"/>
      </w:pPr>
      <w:r>
        <w:t>Considera que debe inadmitirse el recurso de amparo en relación con los acuerdos de la mesa pues el acto de la presidenta del Senado relativo a la promesa o juramento es firme y no revisable, según se desprende de la STC 74/1991, de 8 de abril.</w:t>
      </w:r>
    </w:p>
    <w:p w14:paraId="6181795A" w14:textId="77777777" w:rsidR="008D479B" w:rsidRDefault="008D479B" w:rsidP="008D479B">
      <w:pPr>
        <w:pStyle w:val="TextoNormal"/>
      </w:pPr>
    </w:p>
    <w:p w14:paraId="2D4E9740" w14:textId="77777777" w:rsidR="008D479B" w:rsidRDefault="008D479B" w:rsidP="008D479B">
      <w:pPr>
        <w:pStyle w:val="TextoNormal"/>
      </w:pPr>
      <w:r>
        <w:t>Además, solicita que el tribunal se declare incompetente para conocer del recurso. Entienden que el recurso de amparo no se dirige contra una decisión de la Presidencia que niega la condición plena de miembro de la Cámara, por lo que los recurrentes no se ven afectados en su derecho y abusan del recurso de amparo pretendiendo que el Tribunal Constitucional amplíe sus competencias y ejerza el margen de apreciación que le corresponde a la Presidencia del Senado.</w:t>
      </w:r>
    </w:p>
    <w:p w14:paraId="060D9879" w14:textId="77777777" w:rsidR="008D479B" w:rsidRDefault="008D479B" w:rsidP="008D479B">
      <w:pPr>
        <w:pStyle w:val="TextoNormal"/>
      </w:pPr>
    </w:p>
    <w:p w14:paraId="3B93494D" w14:textId="77777777" w:rsidR="008D479B" w:rsidRDefault="008D479B" w:rsidP="008D479B">
      <w:pPr>
        <w:pStyle w:val="TextoNormal"/>
      </w:pPr>
      <w:r>
        <w:t>Al no existir derechos fundamentales vulnerados, el recurso de amparo debe inadmitirse por falta de legitimación de los recurrentes [art. 46.1 a) LOTC], pues en todos los casos en que el Tribunal Constitucional ha dictado sentencia en relación con la exigencia de acatamiento el titular del derecho era la persona a la que se le denegaba el acceso al cargo (SSTC 101/1983, de 18 de noviembre; 8/1985, de 25 de enero; 122/1983, de 16 de diciembre; 119/1990, de 21 de junio, y 74/1991, de 8 de abril). Con referencia al auto del Tribunal General (Sala Sexta) de 19 de noviembre de 2020 dictado en el asunto, T-32/20, sostiene que no afecta a los derechos de los diputados recurrentes la decisión de la Presidencia de la Cámara de aceptar el juramento o promesa, pues estos no pueden arrogarse como contenido de sus derechos aquello que concierne al Parlamento.</w:t>
      </w:r>
    </w:p>
    <w:p w14:paraId="0BBC2B51" w14:textId="77777777" w:rsidR="008D479B" w:rsidRDefault="008D479B" w:rsidP="008D479B">
      <w:pPr>
        <w:pStyle w:val="TextoNormal"/>
      </w:pPr>
    </w:p>
    <w:p w14:paraId="2288F4F7" w14:textId="77777777" w:rsidR="008D479B" w:rsidRDefault="008D479B" w:rsidP="008D479B">
      <w:pPr>
        <w:pStyle w:val="TextoNormal"/>
      </w:pPr>
      <w:r>
        <w:t>Cuestiona la especial trascendencia constitucional del recurso. En este sentido considera que, al identificar los motivos de especial trascendencia constitucional que justifican la admisión de la demanda de amparo, la providencia de 25 de enero de 2022 incurre en falta de motivación, al no argumentar cuál es la novedad de la realidad social que determina la especial trascendencia constitucional, y afirman que tampoco concurren las “consecuencias políticas generales”.</w:t>
      </w:r>
    </w:p>
    <w:p w14:paraId="2815B716" w14:textId="77777777" w:rsidR="008D479B" w:rsidRDefault="008D479B" w:rsidP="008D479B">
      <w:pPr>
        <w:pStyle w:val="TextoNormal"/>
      </w:pPr>
    </w:p>
    <w:p w14:paraId="4F519EAC" w14:textId="77777777" w:rsidR="008D479B" w:rsidRDefault="008D479B" w:rsidP="008D479B">
      <w:pPr>
        <w:pStyle w:val="TextoNormal"/>
      </w:pPr>
      <w:r>
        <w:t>En cuanto al fondo del asunto, sostiene que no se pueden considerar contrarias a la Constitución las fórmulas de acatamiento, al estar pendientes ante el Tribunal Europeo de Derechos Humanos los recursos interpuestos contra las sentencias de este Tribunal Constitucional “en relación con algunos de los presos y presas políticos a los que se refiere la fórmula de promesa utilizada por mis mandantes”. Partiendo de la consideración de que la nuestra no es una democracia militante ni tampoco exige adhesión ideológica a la misma, afirman que el requisito de juramento o promesa de acatamiento de la constitución no puede exigirse con un formalismo y rigorismo tales que vulneren el derecho fundamental de los apartados 1 y 2 del art. 23 CE, en especial en relación con el respeto al pluralismo político (art. 1.1 CE), a la libertad ideológica (art. 16.1 CE) y a la libertad de expresión [art. 20.1 a) CE].</w:t>
      </w:r>
    </w:p>
    <w:p w14:paraId="1EB36ECB" w14:textId="77777777" w:rsidR="008D479B" w:rsidRDefault="008D479B" w:rsidP="008D479B">
      <w:pPr>
        <w:pStyle w:val="TextoNormal"/>
      </w:pPr>
    </w:p>
    <w:p w14:paraId="3789C2A3" w14:textId="64AE1A2A" w:rsidR="008D479B" w:rsidRDefault="008D479B" w:rsidP="008D479B">
      <w:pPr>
        <w:pStyle w:val="TextoNormal"/>
      </w:pPr>
      <w:r>
        <w:t xml:space="preserve">Finalmente considera que los recurrentes no pretenden —en su </w:t>
      </w:r>
      <w:r w:rsidRPr="008D479B">
        <w:rPr>
          <w:i/>
        </w:rPr>
        <w:t>petitum</w:t>
      </w:r>
      <w:r>
        <w:t>— que se les declare vulnerado sus derechos fundamentales (arts. 23.2 y 14 CE).</w:t>
      </w:r>
    </w:p>
    <w:p w14:paraId="48DC9869" w14:textId="77777777" w:rsidR="008D479B" w:rsidRDefault="008D479B" w:rsidP="008D479B">
      <w:pPr>
        <w:pStyle w:val="TextoNormal"/>
      </w:pPr>
    </w:p>
    <w:p w14:paraId="6C4F1714" w14:textId="77777777" w:rsidR="008D479B" w:rsidRDefault="008D479B" w:rsidP="008D479B">
      <w:pPr>
        <w:pStyle w:val="TextoNormal"/>
      </w:pPr>
      <w:r w:rsidRPr="008D479B">
        <w:rPr>
          <w:rStyle w:val="NumeroAFNegritaCaracter"/>
        </w:rPr>
        <w:t>8</w:t>
      </w:r>
      <w:r>
        <w:t>. El 26 de marzo de 2022, la procuradora de los tribunales de doña María del Pilar Hidalgo López, en nombre y representación de don Jacobo González-Robato Perote, don José Manuel Marín Gascón y doña Yolanda Melero Palomares, solicitó la estimación del recurso de amparo.</w:t>
      </w:r>
    </w:p>
    <w:p w14:paraId="65DCAAEC" w14:textId="77777777" w:rsidR="008D479B" w:rsidRDefault="008D479B" w:rsidP="008D479B">
      <w:pPr>
        <w:pStyle w:val="TextoNormal"/>
      </w:pPr>
    </w:p>
    <w:p w14:paraId="71754229" w14:textId="77777777" w:rsidR="008D479B" w:rsidRDefault="008D479B" w:rsidP="008D479B">
      <w:pPr>
        <w:pStyle w:val="TextoNormal"/>
      </w:pPr>
      <w:r>
        <w:t>Con cita de la doctrina constitucional formada en relación con las fórmulas de juramento o promesa del deber de acatar la Constitución, entienden que la fórmula utilizada debe contextualizarse en el marco del “procés” y las sentencias dictadas por el Tribunal Constitucional y por el Tribunal Supremo, para concluir que las fórmulas empleadas por los senadores a que se refiere la demanda de amparo vaciaron de contenido el acto de acatamiento, por lo que no pueden ser reconocidas como válidas para la adquisición plena de la condición de senadores a quienes las utilizaron.</w:t>
      </w:r>
    </w:p>
    <w:p w14:paraId="2BF2038E" w14:textId="77777777" w:rsidR="008D479B" w:rsidRDefault="008D479B" w:rsidP="008D479B">
      <w:pPr>
        <w:pStyle w:val="TextoNormal"/>
      </w:pPr>
    </w:p>
    <w:p w14:paraId="61165E92" w14:textId="77777777" w:rsidR="008D479B" w:rsidRDefault="008D479B" w:rsidP="008D479B">
      <w:pPr>
        <w:pStyle w:val="TextoNormal"/>
      </w:pPr>
      <w:r>
        <w:t xml:space="preserve">Indica que la aceptación de la fórmula empleada por la senadora de juramento o promesa del deber de acatar la Constitución determinó que el Senado estuviera formado por personas que legítimamente no tienen la condición de senador y vulneró el núcleo esencial del </w:t>
      </w:r>
      <w:r w:rsidRPr="008D479B">
        <w:rPr>
          <w:i/>
        </w:rPr>
        <w:t>ius in officium</w:t>
      </w:r>
      <w:r>
        <w:t xml:space="preserve"> de “mis representados”, al incumplirse las reglas de acceso a la condición de senador. A su juicio, resulta evidente que la presidenta del Senado tenía la obligación de impedir que, en la expresión del acatamiento a la Constitución, como requisito formal en el que los señores senadores asumen el relevante compromiso de acatar las reglas del juego democrático, se introdujeran expresiones que no solo desvirtuaban por completo el supuesto acatamiento, sino que tenían por única finalidad dar continuidad a iniciativas que, por la vía de los hechos, pretendían una ruptura completa del marco constitucional.</w:t>
      </w:r>
    </w:p>
    <w:p w14:paraId="00A84F08" w14:textId="77777777" w:rsidR="008D479B" w:rsidRDefault="008D479B" w:rsidP="008D479B">
      <w:pPr>
        <w:pStyle w:val="TextoNormal"/>
      </w:pPr>
    </w:p>
    <w:p w14:paraId="2E151797" w14:textId="54727E6E" w:rsidR="008D479B" w:rsidRDefault="008D479B" w:rsidP="008D479B">
      <w:pPr>
        <w:pStyle w:val="TextoNormal"/>
      </w:pPr>
      <w:r>
        <w:t>Esta irregular conformación de la Cámara afecta a las funciones básicas de la misma, dando plena participación en los debates, en las votaciones, en la tramitación y aprobación de leyes, y en las decisiones internas de la Cámara, a quienes no deberían encontrarse en el pleno ejercicio del cargo representativo al no haber cumplido con el requisito mínimo inexcusable de aceptar previamente esas reglas insoslayables de la democracia. Por ello, concluyen que es indudable la vulneración del derecho a la participación recogido en el artículo 23 CE de los senadores recurrentes.</w:t>
      </w:r>
    </w:p>
    <w:p w14:paraId="2A6FCA33" w14:textId="77777777" w:rsidR="008D479B" w:rsidRDefault="008D479B" w:rsidP="008D479B">
      <w:pPr>
        <w:pStyle w:val="TextoNormal"/>
      </w:pPr>
    </w:p>
    <w:p w14:paraId="456C1CD4" w14:textId="77777777" w:rsidR="008D479B" w:rsidRDefault="008D479B" w:rsidP="008D479B">
      <w:pPr>
        <w:pStyle w:val="TextoNormal"/>
      </w:pPr>
      <w:r w:rsidRPr="008D479B">
        <w:rPr>
          <w:rStyle w:val="NumeroAFNegritaCaracter"/>
        </w:rPr>
        <w:t>9</w:t>
      </w:r>
      <w:r>
        <w:t>. El Ministerio Fiscal, mediante escrito registrado el 8 de abril de 2022, presentó sus alegaciones interesando la inadmisión del recurso de amparo y, subsidiariamente, su desestimación.</w:t>
      </w:r>
    </w:p>
    <w:p w14:paraId="4FDDEB4F" w14:textId="77777777" w:rsidR="008D479B" w:rsidRDefault="008D479B" w:rsidP="008D479B">
      <w:pPr>
        <w:pStyle w:val="TextoNormal"/>
      </w:pPr>
    </w:p>
    <w:p w14:paraId="15BA8060" w14:textId="77777777" w:rsidR="008D479B" w:rsidRDefault="008D479B" w:rsidP="008D479B">
      <w:pPr>
        <w:pStyle w:val="TextoNormal"/>
      </w:pPr>
      <w:r>
        <w:t xml:space="preserve">El Ministerio Fiscal rechaza la inadmisión </w:t>
      </w:r>
      <w:r w:rsidRPr="008D479B">
        <w:rPr>
          <w:i/>
        </w:rPr>
        <w:t>a limine</w:t>
      </w:r>
      <w:r>
        <w:t xml:space="preserve"> del recurso de amparo por falta de legitimación de los demandantes. Entiende que, habida cuenta de que los dos derechos fundamentales que invocan y, en particular, el del artículo 23 CE, son de titularidad individual, no parece existir obstáculo alguno en el plano de la legitimación procesal de los recurrentes, como titulares de un interés legítimo individual y en cuanto puedan considerarse afectados por los acuerdos que impugnan. Afirman que la lesión del artículo 23 CE se alega en conexión inmediata con determinados actos parlamentarios, por lo que la cuestión planteada se proyecta sobre el alcance de un derecho fundamental y no resulta posible pronunciarse con carácter preliminar sobre la inexistencia de la vulneración alegada.</w:t>
      </w:r>
    </w:p>
    <w:p w14:paraId="3BA1EFA8" w14:textId="77777777" w:rsidR="008D479B" w:rsidRDefault="008D479B" w:rsidP="008D479B">
      <w:pPr>
        <w:pStyle w:val="TextoNormal"/>
      </w:pPr>
    </w:p>
    <w:p w14:paraId="62D30817" w14:textId="77777777" w:rsidR="008D479B" w:rsidRDefault="008D479B" w:rsidP="008D479B">
      <w:pPr>
        <w:pStyle w:val="TextoNormal"/>
      </w:pPr>
      <w:r>
        <w:t>Por otro lado, indica que no consta que se haya invocado en vía parlamentaria la vulneración de los derechos fundamentales alegados en el recurso de amparo, para el caso de que la vía de impugnación —revisión y reconsideración ante la mesa del Senado— se considere útil y necesaria.</w:t>
      </w:r>
    </w:p>
    <w:p w14:paraId="3A2E7953" w14:textId="77777777" w:rsidR="008D479B" w:rsidRDefault="008D479B" w:rsidP="008D479B">
      <w:pPr>
        <w:pStyle w:val="TextoNormal"/>
      </w:pPr>
    </w:p>
    <w:p w14:paraId="1E62931E" w14:textId="77777777" w:rsidR="008D479B" w:rsidRDefault="008D479B" w:rsidP="008D479B">
      <w:pPr>
        <w:pStyle w:val="TextoNormal"/>
      </w:pPr>
      <w:r>
        <w:t xml:space="preserve">El Ministerio Fiscal rechaza el reproche que los recurrentes fundamentan en la posible falta de conocimiento del catalán por la presidenta del Senado, pues la respuesta dada a la pregunta de la Presidencia fue inequívoca y en términos iguales a los que se emplearían en castellano, sin que quepa establecer una presunción </w:t>
      </w:r>
      <w:r w:rsidRPr="008D479B">
        <w:rPr>
          <w:i/>
        </w:rPr>
        <w:t>iuris tantum</w:t>
      </w:r>
      <w:r>
        <w:t xml:space="preserve"> de desacierto en la decisión del presidente del Senado.</w:t>
      </w:r>
    </w:p>
    <w:p w14:paraId="4DCF5CBE" w14:textId="77777777" w:rsidR="008D479B" w:rsidRDefault="008D479B" w:rsidP="008D479B">
      <w:pPr>
        <w:pStyle w:val="TextoNormal"/>
      </w:pPr>
    </w:p>
    <w:p w14:paraId="182252C5" w14:textId="77777777" w:rsidR="008D479B" w:rsidRDefault="008D479B" w:rsidP="008D479B">
      <w:pPr>
        <w:pStyle w:val="TextoNormal"/>
      </w:pPr>
      <w:r>
        <w:t>Añade que la valoración que los recurrentes realizan del contenido y alcance de las expresiones utilizadas por los senadores referidos en la demanda de amparo se basa en una interpretación subjetiva o en juicios de intenciones, que no pueden desplazar el criterio de los órganos competentes del Senado. La fórmula utilizada incluye la afirmación explicita y formal de acatamiento (sí, prometo). Entiende que las valoraciones en las que se apoyan los recurrentes son fácilmente reversibles, por lo que las mismas no son suficientes ni idóneas para considerar contrarias a derecho las decisiones que impugnan.</w:t>
      </w:r>
    </w:p>
    <w:p w14:paraId="37881573" w14:textId="77777777" w:rsidR="008D479B" w:rsidRDefault="008D479B" w:rsidP="008D479B">
      <w:pPr>
        <w:pStyle w:val="TextoNormal"/>
      </w:pPr>
    </w:p>
    <w:p w14:paraId="619079CE" w14:textId="77777777" w:rsidR="008D479B" w:rsidRDefault="008D479B" w:rsidP="008D479B">
      <w:pPr>
        <w:pStyle w:val="TextoNormal"/>
      </w:pPr>
      <w:r>
        <w:t>Afirma por otra parte que la incorrecta conformación de la composición de las Cámaras no ocasiona una efectiva o potencial limitación de sus propios derechos a ejercer la representación política. Tampoco cabe invocar la igualdad para oponerse al reconocimiento público del derecho fundamental ajeno. Señala que los parlamentarios invocan la mera privación de una consecuencia objetiva —en realidad un efecto colateral para ellos potencialmente ventajoso— que derivaría de la restricción del ejercicio del derecho de otros senadores. Se edifica un derecho propio con materiales procedentes de la restricción de otros derechos.</w:t>
      </w:r>
    </w:p>
    <w:p w14:paraId="06D6C114" w14:textId="77777777" w:rsidR="008D479B" w:rsidRDefault="008D479B" w:rsidP="008D479B">
      <w:pPr>
        <w:pStyle w:val="TextoNormal"/>
      </w:pPr>
    </w:p>
    <w:p w14:paraId="0C1FA836" w14:textId="2D0A8D37" w:rsidR="008D479B" w:rsidRDefault="008D479B" w:rsidP="008D479B">
      <w:pPr>
        <w:pStyle w:val="TextoNormal"/>
      </w:pPr>
      <w:r>
        <w:t>Por último, considera que al invocar el principio de igualdad (art. 14 CE) la demanda se limita a reiterar los mismos argumentos en los que apoya la supuesta vulneración del art. 23 CE.</w:t>
      </w:r>
    </w:p>
    <w:p w14:paraId="6CF4E1B8" w14:textId="77777777" w:rsidR="008D479B" w:rsidRDefault="008D479B" w:rsidP="008D479B">
      <w:pPr>
        <w:pStyle w:val="TextoNormal"/>
      </w:pPr>
    </w:p>
    <w:p w14:paraId="30BE139D" w14:textId="07032DE1" w:rsidR="008D479B" w:rsidRDefault="008D479B" w:rsidP="008D479B">
      <w:pPr>
        <w:pStyle w:val="TextoNormal"/>
      </w:pPr>
      <w:r w:rsidRPr="008D479B">
        <w:rPr>
          <w:rStyle w:val="NumeroAFNegritaCaracter"/>
        </w:rPr>
        <w:t>10</w:t>
      </w:r>
      <w:r>
        <w:t>. Los demandantes de amparo no han presentado alegaciones. Tampoco lo ha hecho la representación procesal de doña Assumpció Castellví Auví, don Josep Lluís Cleries i Gonzàlez, don José María Cervera Pinart y de doña María Teresa Riverso Segalas.</w:t>
      </w:r>
    </w:p>
    <w:p w14:paraId="4A26D3B0" w14:textId="77777777" w:rsidR="008D479B" w:rsidRDefault="008D479B" w:rsidP="008D479B">
      <w:pPr>
        <w:pStyle w:val="TextoNormal"/>
      </w:pPr>
    </w:p>
    <w:p w14:paraId="1BE92F89" w14:textId="5BD14ED8" w:rsidR="008D479B" w:rsidRDefault="008D479B" w:rsidP="008D479B">
      <w:pPr>
        <w:pStyle w:val="TextoNormal"/>
      </w:pPr>
      <w:r w:rsidRPr="008D479B">
        <w:rPr>
          <w:rStyle w:val="NumeroAFNegritaCaracter"/>
        </w:rPr>
        <w:t>11</w:t>
      </w:r>
      <w:r>
        <w:t>. Por providencia de 19 de octubre de 2023, se señaló para deliberación y votación de la presente sentencia el día 23 del mismo mes y año.</w:t>
      </w:r>
    </w:p>
    <w:p w14:paraId="0223CE78" w14:textId="77777777" w:rsidR="008D479B" w:rsidRDefault="008D479B" w:rsidP="008D479B">
      <w:pPr>
        <w:pStyle w:val="TextoNormal"/>
      </w:pPr>
    </w:p>
    <w:p w14:paraId="69AA55EE" w14:textId="77777777" w:rsidR="008D479B" w:rsidRDefault="008D479B" w:rsidP="008D479B">
      <w:pPr>
        <w:pStyle w:val="TextoNormalNegritaCentrado"/>
        <w:keepNext/>
      </w:pPr>
      <w:r>
        <w:t>II. Fundamentos jurídicos</w:t>
      </w:r>
    </w:p>
    <w:p w14:paraId="51174416" w14:textId="049BD796" w:rsidR="008D479B" w:rsidRDefault="008D479B" w:rsidP="008D479B">
      <w:pPr>
        <w:pStyle w:val="TextoNormalNegritaCentrado"/>
        <w:keepNext/>
      </w:pPr>
    </w:p>
    <w:p w14:paraId="0E9B8330" w14:textId="77777777" w:rsidR="008D479B" w:rsidRDefault="008D479B" w:rsidP="008D479B">
      <w:pPr>
        <w:pStyle w:val="TextoNormal"/>
      </w:pPr>
      <w:r w:rsidRPr="008D479B">
        <w:rPr>
          <w:rStyle w:val="NumeroAFNegritaCaracter"/>
        </w:rPr>
        <w:t>1</w:t>
      </w:r>
      <w:r>
        <w:t xml:space="preserve">. </w:t>
      </w:r>
      <w:r w:rsidRPr="008D479B">
        <w:rPr>
          <w:i/>
        </w:rPr>
        <w:t>Objeto del recurso</w:t>
      </w:r>
    </w:p>
    <w:p w14:paraId="6CB3336A" w14:textId="77777777" w:rsidR="008D479B" w:rsidRDefault="008D479B" w:rsidP="008D479B">
      <w:pPr>
        <w:pStyle w:val="TextoNormal"/>
      </w:pPr>
    </w:p>
    <w:p w14:paraId="3D673401" w14:textId="12205AF5" w:rsidR="008D479B" w:rsidRDefault="008D479B" w:rsidP="008D479B">
      <w:pPr>
        <w:pStyle w:val="TextoNormal"/>
      </w:pPr>
      <w:r>
        <w:t>El objeto del presente recurso de amparo es determinar si se ha vulnerado el derecho de representación política (art. 23.2 CE) de los senadores demandantes en amparo por el acuerdo de la presidenta del Senado, adoptado en la sesión plenaria de 25 de mayo de 2021, de tener por debidamente prestado el juramento o promesa de acatamiento de la Constitución y, por tanto, adquirida la condición plena de senadores de aquellos cinco representantes que utilizaron fórmulas de acatamiento añadidas a la expresión “sí juro” o “sí prometo” que, a juicio de los demandantes, expresan convicciones incompatibles con el contenido de la Constitución.</w:t>
      </w:r>
    </w:p>
    <w:p w14:paraId="14CCF630" w14:textId="77777777" w:rsidR="008D479B" w:rsidRDefault="008D479B" w:rsidP="008D479B">
      <w:pPr>
        <w:pStyle w:val="TextoNormal"/>
      </w:pPr>
    </w:p>
    <w:p w14:paraId="476D6A64" w14:textId="77777777" w:rsidR="008D479B" w:rsidRDefault="008D479B" w:rsidP="008D479B">
      <w:pPr>
        <w:pStyle w:val="TextoNormal"/>
      </w:pPr>
      <w:r w:rsidRPr="008D479B">
        <w:rPr>
          <w:rStyle w:val="NumeroAFNegritaCaracter"/>
        </w:rPr>
        <w:t>2</w:t>
      </w:r>
      <w:r>
        <w:t xml:space="preserve">. </w:t>
      </w:r>
      <w:r w:rsidRPr="008D479B">
        <w:rPr>
          <w:i/>
        </w:rPr>
        <w:t>Cuestiones previas</w:t>
      </w:r>
    </w:p>
    <w:p w14:paraId="09C7A828" w14:textId="77777777" w:rsidR="008D479B" w:rsidRDefault="008D479B" w:rsidP="008D479B">
      <w:pPr>
        <w:pStyle w:val="TextoNormal"/>
      </w:pPr>
    </w:p>
    <w:p w14:paraId="2492EA74" w14:textId="77777777" w:rsidR="008D479B" w:rsidRDefault="008D479B" w:rsidP="008D479B">
      <w:pPr>
        <w:pStyle w:val="TextoNormal"/>
      </w:pPr>
      <w:r>
        <w:t>Las partes que han comparecido en el presente recurso de amparo han planteado una serie de cuestiones previas que es preciso examinar antes de resolver el fondo del asunto.</w:t>
      </w:r>
    </w:p>
    <w:p w14:paraId="3090D6F8" w14:textId="77777777" w:rsidR="008D479B" w:rsidRDefault="008D479B" w:rsidP="008D479B">
      <w:pPr>
        <w:pStyle w:val="TextoNormal"/>
      </w:pPr>
    </w:p>
    <w:p w14:paraId="2B892009" w14:textId="77777777" w:rsidR="008D479B" w:rsidRDefault="008D479B" w:rsidP="008D479B">
      <w:pPr>
        <w:pStyle w:val="TextoNormal"/>
      </w:pPr>
      <w:r>
        <w:t>(i) En primer lugar, el Tribunal es competente para conocer de la presente impugnación, tal como ya se dejó sentado en el fundamento jurídico 2 (i) de la STC 65/2023, de 6 de junio, y se reiteró en la STC 125/2023, de 27 de septiembre, FJ 1 (iii). Y, conforme a la mencionada STC 65/2023, FJ 1, no puede apreciarse la pérdida de objeto sobrevenida alegada por algunas de las partes comparecidas en este procedimiento.</w:t>
      </w:r>
    </w:p>
    <w:p w14:paraId="52611585" w14:textId="77777777" w:rsidR="008D479B" w:rsidRDefault="008D479B" w:rsidP="008D479B">
      <w:pPr>
        <w:pStyle w:val="TextoNormal"/>
      </w:pPr>
    </w:p>
    <w:p w14:paraId="26A9768B" w14:textId="77777777" w:rsidR="008D479B" w:rsidRDefault="008D479B" w:rsidP="008D479B">
      <w:pPr>
        <w:pStyle w:val="TextoNormal"/>
      </w:pPr>
      <w:r>
        <w:t>(ii) En segundo lugar, por remisión a lo decidido en la STC 125/2023, FJ 1 (ii), procede descartar la cuestión relativa al agotamiento del procedimiento parlamentario. En íntima conexión con esta cuestión, y por las mismas razones que señalamos entonces, ha de añadirse ahora que la falta de invocación de los derechos fundamentales en las solicitudes de revisión y reconsideración dirigidas a la mesa no puede erigirse en óbice procesal determinante de la inadmisibilidad del recurso de amparo.</w:t>
      </w:r>
    </w:p>
    <w:p w14:paraId="7680DA7B" w14:textId="77777777" w:rsidR="008D479B" w:rsidRDefault="008D479B" w:rsidP="008D479B">
      <w:pPr>
        <w:pStyle w:val="TextoNormal"/>
      </w:pPr>
    </w:p>
    <w:p w14:paraId="60C71979" w14:textId="77777777" w:rsidR="008D479B" w:rsidRDefault="008D479B" w:rsidP="008D479B">
      <w:pPr>
        <w:pStyle w:val="TextoNormal"/>
      </w:pPr>
      <w:r>
        <w:t>(iii) Por otra parte, la remisión a lo decidido en la STC 65/2023, FJ 2 (ii), y en la STC 125/2023, FJ 1 (iv), permite descartar la alegación de que los recurrentes carecen de legitimación activa por no ser directamente afectados por los actos parlamentarios impugnados en este proceso.</w:t>
      </w:r>
    </w:p>
    <w:p w14:paraId="31142129" w14:textId="77777777" w:rsidR="008D479B" w:rsidRDefault="008D479B" w:rsidP="008D479B">
      <w:pPr>
        <w:pStyle w:val="TextoNormal"/>
      </w:pPr>
    </w:p>
    <w:p w14:paraId="7C238268" w14:textId="77777777" w:rsidR="008D479B" w:rsidRDefault="008D479B" w:rsidP="008D479B">
      <w:pPr>
        <w:pStyle w:val="TextoNormal"/>
      </w:pPr>
      <w:r>
        <w:t>(iv) También por remisión a la STC 65/2023, FJ 2 (iii), ha de desestimarse la alegación relativa a que el recurso carece de especial trascendencia constitucional, reiterando que se trata de un requisito de admisibilidad que es apreciado por el Tribunal en cada caso en el momento de admitir a trámite el recurso de amparo, y que “resulta necesario aclarar cuál es la posibilidad y alcance de control constitucional a desarrollar a través de la jurisdicción de amparo cuando dicha decisión es favorable a la plena adquisición de la condición de representante político y es impugnada por otros representantes, que es el supuesto que se plantea en este recurso de amparo”.</w:t>
      </w:r>
    </w:p>
    <w:p w14:paraId="5E37B79B" w14:textId="77777777" w:rsidR="008D479B" w:rsidRDefault="008D479B" w:rsidP="008D479B">
      <w:pPr>
        <w:pStyle w:val="TextoNormal"/>
      </w:pPr>
    </w:p>
    <w:p w14:paraId="16B2D256" w14:textId="7B71C343" w:rsidR="008D479B" w:rsidRDefault="008D479B" w:rsidP="008D479B">
      <w:pPr>
        <w:pStyle w:val="TextoNormal"/>
      </w:pPr>
      <w:r>
        <w:t>(v) Por último, por las razones ya señaladas en el fundamento jurídico 1 de la STC 65/2023, el Tribunal considera que la invocación que hacen los demandantes de amparo del art. 14 CE, fundamentada en que se ha dispensado un tratamiento diferenciado entre los senadores que habrían cumplido debidamente la exigencia del requisito de acatamiento a la Constitución y los que no, carece de autonomía respecto de la invocación del art. 23 CE y debe reconducirse a esta.</w:t>
      </w:r>
    </w:p>
    <w:p w14:paraId="411AC7B7" w14:textId="77777777" w:rsidR="008D479B" w:rsidRDefault="008D479B" w:rsidP="008D479B">
      <w:pPr>
        <w:pStyle w:val="TextoNormal"/>
      </w:pPr>
    </w:p>
    <w:p w14:paraId="646FFA70" w14:textId="77777777" w:rsidR="008D479B" w:rsidRDefault="008D479B" w:rsidP="008D479B">
      <w:pPr>
        <w:pStyle w:val="TextoNormal"/>
      </w:pPr>
      <w:r w:rsidRPr="008D479B">
        <w:rPr>
          <w:rStyle w:val="NumeroAFNegritaCaracter"/>
        </w:rPr>
        <w:t>3</w:t>
      </w:r>
      <w:r>
        <w:t xml:space="preserve">. </w:t>
      </w:r>
      <w:r w:rsidRPr="008D479B">
        <w:rPr>
          <w:i/>
        </w:rPr>
        <w:t>Aplicación de la doctrina constitucional expuesta en la STC 65/2023, de 6 de junio</w:t>
      </w:r>
    </w:p>
    <w:p w14:paraId="6D78D6A5" w14:textId="77777777" w:rsidR="008D479B" w:rsidRDefault="008D479B" w:rsidP="008D479B">
      <w:pPr>
        <w:pStyle w:val="TextoNormal"/>
      </w:pPr>
    </w:p>
    <w:p w14:paraId="4BF94C06" w14:textId="5E225EB1" w:rsidR="008D479B" w:rsidRDefault="008D479B" w:rsidP="008D479B">
      <w:pPr>
        <w:pStyle w:val="TextoNormal"/>
      </w:pPr>
      <w:r>
        <w:t xml:space="preserve">La cuestión de fondo planteada en el presente recurso de amparo coincide con la resuelta en la STC 65/2023, de 6 de junio, por lo que debemos remitirnos a su fundamento jurídico 3 —relativo a la doctrina constitucional sobre el derecho de representación política (art. 23.2 CE) y su proyección a las decisiones de los órganos de las Cámaras parlamentarias, sobre el ejercicio del </w:t>
      </w:r>
      <w:r w:rsidRPr="008D479B">
        <w:rPr>
          <w:i/>
        </w:rPr>
        <w:t>ius in officium</w:t>
      </w:r>
      <w:r>
        <w:t xml:space="preserve"> de parlamentarios distintos de los demandantes de amparo—; y fundamento jurídico 4 —en el que aplicamos dicha jurisprudencia al </w:t>
      </w:r>
      <w:r w:rsidRPr="008D479B">
        <w:rPr>
          <w:i/>
        </w:rPr>
        <w:t>ius in officium</w:t>
      </w:r>
      <w:r>
        <w:t xml:space="preserve"> de los demandantes y desestimamos el recurso de amparo, al concluir que “[la fórmula] de acatamiento que los demandantes consideran contrarias a la legalidad parlamentaria […] no afecta al derecho de estos últimos a ejercer también en plenitud sus funciones parlamentarias de acuerdo con las previsiones legales, que no se ve restringido en ningún momento. Esto es lo determinante para que este tribunal aprecie que los demandantes de amparo no han identificado ningún concreto derecho o facultad conformador de su estatuto legal […] que haya quedado limitado o afectado por la decisión parlamentaria impugnada en este amparo que permita considerar que se ha visto afectado su derecho de representación política reconocido en el art. 23.2 CE”.</w:t>
      </w:r>
    </w:p>
    <w:p w14:paraId="3B0A845D" w14:textId="77777777" w:rsidR="008D479B" w:rsidRDefault="008D479B" w:rsidP="008D479B">
      <w:pPr>
        <w:pStyle w:val="TextoNormal"/>
      </w:pPr>
    </w:p>
    <w:p w14:paraId="34D05D0E" w14:textId="77777777" w:rsidR="008D479B" w:rsidRDefault="008D479B" w:rsidP="008D479B">
      <w:pPr>
        <w:pStyle w:val="TextoNormalCentrado"/>
        <w:keepNext/>
      </w:pPr>
      <w:r>
        <w:t>FALLO</w:t>
      </w:r>
    </w:p>
    <w:p w14:paraId="067FEAEA" w14:textId="7463D431" w:rsidR="008D479B" w:rsidRDefault="008D479B" w:rsidP="008D479B">
      <w:pPr>
        <w:pStyle w:val="TextoNormalCentrado"/>
        <w:keepNext/>
      </w:pPr>
    </w:p>
    <w:p w14:paraId="0C2BE9E3" w14:textId="0BB85DFE" w:rsidR="008D479B" w:rsidRDefault="008D479B" w:rsidP="008D479B">
      <w:pPr>
        <w:pStyle w:val="TextoNormal"/>
      </w:pPr>
      <w:r>
        <w:t>En atención a todo lo expuesto, el Tribunal Constitucional, por la autoridad que le confiere la Constitución de la Nación española, ha decidido desestimar el recurso de amparo interpuesto por don Javier Ignacio Maroto Aranzábal y doña Salomé Pradas Ten.</w:t>
      </w:r>
    </w:p>
    <w:p w14:paraId="3ADC3D91" w14:textId="77777777" w:rsidR="008D479B" w:rsidRDefault="008D479B" w:rsidP="008D479B">
      <w:pPr>
        <w:pStyle w:val="TextoNormal"/>
      </w:pPr>
    </w:p>
    <w:p w14:paraId="2CAF6DF2" w14:textId="77777777" w:rsidR="008D479B" w:rsidRDefault="008D479B" w:rsidP="008D479B">
      <w:pPr>
        <w:pStyle w:val="TextoNormal"/>
      </w:pPr>
      <w:r>
        <w:t>Publíquese esta sentencia en el “Boletín Oficial del Estado”.</w:t>
      </w:r>
    </w:p>
    <w:p w14:paraId="2F490108" w14:textId="77777777" w:rsidR="008D479B" w:rsidRDefault="008D479B" w:rsidP="008D479B">
      <w:pPr>
        <w:pStyle w:val="TextoNormal"/>
      </w:pPr>
      <w:r>
        <w:t>Dada en Madrid, a veintitrés de octubre de dos mil veintitrés.</w:t>
      </w:r>
    </w:p>
    <w:p w14:paraId="6AA8ED9E" w14:textId="6119A12C" w:rsidR="008D479B" w:rsidRDefault="008D479B" w:rsidP="008D479B">
      <w:pPr>
        <w:pStyle w:val="ParrafoNormal"/>
      </w:pPr>
    </w:p>
    <w:p w14:paraId="184F3063" w14:textId="77777777" w:rsidR="008D479B" w:rsidRDefault="008D479B" w:rsidP="008D479B">
      <w:pPr>
        <w:pStyle w:val="TextoNormalNegritaCentrado"/>
        <w:keepNext/>
      </w:pPr>
      <w:r>
        <w:t>Voto particular que formulan los magistrados don Enrique Arnaldo Alcubilla y don César Tolosa Tribiño a la sentencia dictada en el recurso de amparo núm. 5658-2021</w:t>
      </w:r>
    </w:p>
    <w:p w14:paraId="69829CA0" w14:textId="52BF849C" w:rsidR="008D479B" w:rsidRDefault="008D479B" w:rsidP="008D479B">
      <w:pPr>
        <w:pStyle w:val="TextoNormalNegritaCentrado"/>
        <w:keepNext/>
      </w:pPr>
    </w:p>
    <w:p w14:paraId="70B8BD92" w14:textId="77777777" w:rsidR="008D479B" w:rsidRDefault="008D479B" w:rsidP="008D479B">
      <w:pPr>
        <w:pStyle w:val="TextoNormal"/>
      </w:pPr>
      <w:r>
        <w:t>En el ejercicio de la facultad que nos confiere el artículo 90.2 de la Ley Orgánica del Tribunal Constitucional, y con respeto a la opinión de la mayoría de la Sala, formulamos el presente voto particular por discrepar de la fundamentación y del fallo de la sentencia recaída en el recurso de amparo núm. 5658-2021, que debió ser estimado, declarando haberse producido la vulneración del derecho de los parlamentarios recurrentes al acceso y al ejercicio del cargo público representativo en condiciones de igualdad (art. 23.2 CE), así como la vulneración del derecho de los ciudadanos a participar en los asuntos públicos a través de sus representantes (art. 23.1 CE).</w:t>
      </w:r>
    </w:p>
    <w:p w14:paraId="09EE732C" w14:textId="77777777" w:rsidR="008D479B" w:rsidRDefault="008D479B" w:rsidP="008D479B">
      <w:pPr>
        <w:pStyle w:val="TextoNormal"/>
      </w:pPr>
    </w:p>
    <w:p w14:paraId="2CB8B534" w14:textId="77777777" w:rsidR="008D479B" w:rsidRDefault="008D479B" w:rsidP="008D479B">
      <w:pPr>
        <w:pStyle w:val="TextoNormal"/>
      </w:pPr>
      <w:r>
        <w:t>Las razones de la discrepancia quedaron detalladamente expuestas en el voto particular formulado a la STC 65/2023, de 6 de junio, de la que la presente resolución es aplicación, por lo que hemos de remitirnos ahora a dicho voto particular en su totalidad.</w:t>
      </w:r>
    </w:p>
    <w:p w14:paraId="07514C7D" w14:textId="77777777" w:rsidR="008D479B" w:rsidRDefault="008D479B" w:rsidP="008D479B">
      <w:pPr>
        <w:pStyle w:val="TextoNormal"/>
      </w:pPr>
    </w:p>
    <w:p w14:paraId="544504DF" w14:textId="54F012FA" w:rsidR="008D479B" w:rsidRDefault="008D479B" w:rsidP="008D479B">
      <w:pPr>
        <w:pStyle w:val="TextoNormal"/>
      </w:pPr>
      <w:r>
        <w:t>Madrid, a veintitrés de octubre de dos mil veintitrés.</w:t>
      </w:r>
    </w:p>
    <w:p w14:paraId="52685C4C" w14:textId="08A99FF0" w:rsidR="008D479B" w:rsidRDefault="008D479B">
      <w:pPr>
        <w:spacing w:after="160" w:line="278" w:lineRule="auto"/>
        <w:rPr>
          <w:rFonts w:ascii="Times New Roman" w:eastAsia="Times New Roman" w:hAnsi="Times New Roman" w:cs="Times New Roman"/>
          <w:sz w:val="24"/>
          <w:szCs w:val="24"/>
          <w:lang w:eastAsia="es-ES"/>
        </w:rPr>
      </w:pPr>
      <w:r>
        <w:br w:type="page"/>
      </w:r>
    </w:p>
    <w:p w14:paraId="78CC993E" w14:textId="77777777" w:rsidR="008D479B" w:rsidRDefault="008D479B" w:rsidP="008D479B">
      <w:pPr>
        <w:pStyle w:val="TtuloResolucin"/>
      </w:pPr>
      <w:bookmarkStart w:id="59" w:name="SENTENCIA_2023_134"/>
      <w:r>
        <w:t>SENTENCIA 134/2023, de 23 de octubre de 2023</w:t>
      </w:r>
    </w:p>
    <w:bookmarkEnd w:id="59"/>
    <w:p w14:paraId="3CAD4A20" w14:textId="77777777" w:rsidR="008D479B" w:rsidRDefault="008D479B" w:rsidP="008D479B">
      <w:pPr>
        <w:pStyle w:val="TtuloResolucin"/>
      </w:pPr>
      <w:r>
        <w:t>Sala Segunda</w:t>
      </w:r>
    </w:p>
    <w:p w14:paraId="345BDB05" w14:textId="77777777" w:rsidR="008D479B" w:rsidRDefault="008D479B" w:rsidP="008D479B">
      <w:pPr>
        <w:pStyle w:val="TtuloBOE"/>
      </w:pPr>
      <w:r>
        <w:t>(BOE núm. 286, de 30 de noviembre de 2023)</w:t>
      </w:r>
    </w:p>
    <w:p w14:paraId="0E20FF83" w14:textId="77777777" w:rsidR="008D479B" w:rsidRDefault="008D479B" w:rsidP="008D479B">
      <w:pPr>
        <w:pStyle w:val="TextoNormalCentrado"/>
      </w:pPr>
      <w:r>
        <w:t>ECLI:ES:TC:2023:134</w:t>
      </w:r>
    </w:p>
    <w:p w14:paraId="41A6B43A" w14:textId="335CE745" w:rsidR="008D479B" w:rsidRDefault="008D479B" w:rsidP="008D479B">
      <w:pPr>
        <w:pStyle w:val="TextoNormalCentrado"/>
      </w:pPr>
    </w:p>
    <w:p w14:paraId="09D41121" w14:textId="77777777" w:rsidR="008D479B" w:rsidRDefault="008D479B" w:rsidP="008D479B">
      <w:pPr>
        <w:pStyle w:val="SntesisDescriptiva"/>
      </w:pPr>
      <w:r>
        <w:t>Recurso de amparo 8144-2021. Promovido por don Juan Carlos Ángel Bernal en relación con las resoluciones dictadas por la Audiencia Provincial de Murcia en procedimiento hipotecario.</w:t>
      </w:r>
    </w:p>
    <w:p w14:paraId="5C779654" w14:textId="72CEFD30" w:rsidR="008D479B" w:rsidRDefault="008D479B" w:rsidP="008D479B">
      <w:pPr>
        <w:pStyle w:val="SntesisDescriptiva"/>
      </w:pPr>
    </w:p>
    <w:p w14:paraId="75C82F9F" w14:textId="77777777" w:rsidR="008D479B" w:rsidRDefault="008D479B" w:rsidP="008D479B">
      <w:pPr>
        <w:pStyle w:val="SntesisAnaltica"/>
      </w:pPr>
      <w:r>
        <w:t>Vulneración del derecho a la tutela judicial efectiva (acceso al recurso): inadmisión carente de motivación de un incidente de nulidad de actuaciones en el que se denunciaba la desatención de la doctrina constitucional y la jurisprudencia del Tribunal de Justicia de la Unión Europea (STC 102/2020).</w:t>
      </w:r>
    </w:p>
    <w:p w14:paraId="39EB32BA" w14:textId="6F178EA5" w:rsidR="008D479B" w:rsidRDefault="008D479B" w:rsidP="008D479B">
      <w:pPr>
        <w:pStyle w:val="SntesisAnaltica"/>
      </w:pPr>
    </w:p>
    <w:p w14:paraId="25223BDB" w14:textId="3293431A" w:rsidR="008D479B" w:rsidRDefault="008D479B" w:rsidP="008D479B">
      <w:pPr>
        <w:pStyle w:val="Extracto"/>
      </w:pPr>
      <w:r>
        <w:t>1.</w:t>
      </w:r>
      <w:r>
        <w:tab/>
        <w:t>El incidente de nulidad de actuaciones asume una función esencial de tutela y defensa de los derechos fundamentales; constituye un instrumento procesal que, en la vía de la jurisdicción ordinaria, puede remediar aquellas lesiones de derechos fundamentales que no hayan podido denunciarse antes de recaer resolución que ponga fin al proceso y siempre que dicha resolución no sea susceptible de recurso ordinario ni extraordinario (STC 102/2020) [FJ 3].</w:t>
      </w:r>
    </w:p>
    <w:p w14:paraId="55283C83" w14:textId="77777777" w:rsidR="008D479B" w:rsidRDefault="008D479B" w:rsidP="008D479B">
      <w:pPr>
        <w:pStyle w:val="Extracto"/>
      </w:pPr>
    </w:p>
    <w:p w14:paraId="2003169F" w14:textId="3187A17D" w:rsidR="008D479B" w:rsidRDefault="008D479B" w:rsidP="008D479B">
      <w:pPr>
        <w:pStyle w:val="Extracto"/>
      </w:pPr>
      <w:r>
        <w:t>2.</w:t>
      </w:r>
      <w:r>
        <w:tab/>
        <w:t>El órgano judicial debe realizar una interpretación no restrictiva de los motivos de inadmisión del incidente de nulidad de actuaciones, tramitarlo y motivar suficientemente su decisión [FJ 3].</w:t>
      </w:r>
    </w:p>
    <w:p w14:paraId="45CF238C" w14:textId="77777777" w:rsidR="008D479B" w:rsidRDefault="008D479B" w:rsidP="008D479B">
      <w:pPr>
        <w:pStyle w:val="Extracto"/>
      </w:pPr>
    </w:p>
    <w:p w14:paraId="5790CA9C" w14:textId="3490956F" w:rsidR="008D479B" w:rsidRDefault="008D479B" w:rsidP="008D479B">
      <w:pPr>
        <w:pStyle w:val="Extracto"/>
      </w:pPr>
      <w:r>
        <w:t>3.</w:t>
      </w:r>
      <w:r>
        <w:tab/>
        <w:t xml:space="preserve">Las decisiones de inadmisión del incidente de nulidad de actuaciones cuando es procedente su planteamiento implican la preterición del mecanismo de tutela ante la jurisdicción ordinaria (SSTC 9/2014 y 102/2020), incurriendo así en una vulneración del derecho a la tutela judicial efectiva sin indefensión </w:t>
      </w:r>
      <w:r w:rsidRPr="008D479B">
        <w:rPr>
          <w:i/>
        </w:rPr>
        <w:t>ex</w:t>
      </w:r>
      <w:r>
        <w:t xml:space="preserve"> art. 24.1 CE [FJ 3].</w:t>
      </w:r>
    </w:p>
    <w:p w14:paraId="02B47193" w14:textId="77777777" w:rsidR="008D479B" w:rsidRDefault="008D479B" w:rsidP="008D479B">
      <w:pPr>
        <w:pStyle w:val="Extracto"/>
      </w:pPr>
    </w:p>
    <w:p w14:paraId="4287EB2D" w14:textId="77777777" w:rsidR="008D479B" w:rsidRDefault="008D479B" w:rsidP="008D479B">
      <w:pPr>
        <w:pStyle w:val="Extracto"/>
      </w:pPr>
    </w:p>
    <w:p w14:paraId="1783F235" w14:textId="77777777" w:rsidR="008D479B" w:rsidRDefault="008D479B" w:rsidP="008D479B">
      <w:pPr>
        <w:pStyle w:val="TextoNormal"/>
      </w:pPr>
      <w: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14:paraId="41103F9B" w14:textId="66564AE4" w:rsidR="008D479B" w:rsidRDefault="008D479B" w:rsidP="008D479B">
      <w:pPr>
        <w:pStyle w:val="TextoNormal"/>
      </w:pPr>
    </w:p>
    <w:p w14:paraId="2501CA63" w14:textId="77777777" w:rsidR="008D479B" w:rsidRDefault="008D479B" w:rsidP="008D479B">
      <w:pPr>
        <w:pStyle w:val="TextoNormalCentrado"/>
        <w:keepNext/>
      </w:pPr>
      <w:r>
        <w:t>EN NOMBRE DEL REY</w:t>
      </w:r>
    </w:p>
    <w:p w14:paraId="1473FC48" w14:textId="40A214B9" w:rsidR="008D479B" w:rsidRDefault="008D479B" w:rsidP="008D479B">
      <w:pPr>
        <w:pStyle w:val="TextoNormalCentrado"/>
        <w:keepNext/>
      </w:pPr>
    </w:p>
    <w:p w14:paraId="218259C7" w14:textId="77777777" w:rsidR="008D479B" w:rsidRDefault="008D479B" w:rsidP="008D479B">
      <w:pPr>
        <w:pStyle w:val="TextoNormalCentrado"/>
        <w:keepNext/>
      </w:pPr>
    </w:p>
    <w:p w14:paraId="637D6F23" w14:textId="77777777" w:rsidR="008D479B" w:rsidRDefault="008D479B" w:rsidP="008D479B">
      <w:pPr>
        <w:pStyle w:val="TextoNormal"/>
      </w:pPr>
      <w:r>
        <w:t>la siguiente</w:t>
      </w:r>
    </w:p>
    <w:p w14:paraId="5043EE50" w14:textId="591A5D62" w:rsidR="008D479B" w:rsidRDefault="008D479B" w:rsidP="008D479B">
      <w:pPr>
        <w:pStyle w:val="TextoNormal"/>
      </w:pPr>
    </w:p>
    <w:p w14:paraId="3ACC6070" w14:textId="77777777" w:rsidR="008D479B" w:rsidRDefault="008D479B" w:rsidP="008D479B">
      <w:pPr>
        <w:pStyle w:val="TextoNormalCentrado"/>
        <w:keepNext/>
      </w:pPr>
      <w:r>
        <w:t>SENTENCIA</w:t>
      </w:r>
    </w:p>
    <w:p w14:paraId="4F124A47" w14:textId="0BB85CCA" w:rsidR="008D479B" w:rsidRDefault="008D479B" w:rsidP="008D479B">
      <w:pPr>
        <w:pStyle w:val="TextoNormalCentrado"/>
        <w:keepNext/>
      </w:pPr>
    </w:p>
    <w:p w14:paraId="76EAC3E1" w14:textId="77777777" w:rsidR="008D479B" w:rsidRDefault="008D479B" w:rsidP="008D479B">
      <w:pPr>
        <w:pStyle w:val="TextoNormal"/>
      </w:pPr>
      <w:r>
        <w:t>En el recurso de amparo núm. 8144-2021, promovido por don Juan Carlos Ángel Bernal, representado por la procuradora de los tribunales doña Isabel Núñez Zamorano y bajo la dirección del letrado don Carlos Francisco García Gil, contra la providencia de fecha 28 de octubre de 2021, dictada por la Sección Quinta de la Audiencia Provincial de Murcia, por la que se inadmite el incidente excepcional de nulidad de actuaciones formulado frente al auto de 8 de junio de 2021. Ha sido parte la entidad Cajamar Caja Rural, Sociedad Cooperativa de Crédito, representada por el procurador de los tribunales don Ignacio María Batllo Ripoll. Ha intervenido el Ministerio Fiscal. Ha sido ponente la magistrada doña Laura Díez Bueso.</w:t>
      </w:r>
    </w:p>
    <w:p w14:paraId="0035878A" w14:textId="1D378B61" w:rsidR="008D479B" w:rsidRDefault="008D479B" w:rsidP="008D479B">
      <w:pPr>
        <w:pStyle w:val="TextoNormal"/>
      </w:pPr>
    </w:p>
    <w:p w14:paraId="49CDB552" w14:textId="77777777" w:rsidR="008D479B" w:rsidRDefault="008D479B" w:rsidP="008D479B">
      <w:pPr>
        <w:pStyle w:val="TextoNormalNegritaCentrado"/>
        <w:keepNext/>
      </w:pPr>
      <w:r>
        <w:t>I. Antecedentes</w:t>
      </w:r>
    </w:p>
    <w:p w14:paraId="62A04D36" w14:textId="3ABEEE6E" w:rsidR="008D479B" w:rsidRDefault="008D479B" w:rsidP="008D479B">
      <w:pPr>
        <w:pStyle w:val="TextoNormalNegritaCentrado"/>
        <w:keepNext/>
      </w:pPr>
    </w:p>
    <w:p w14:paraId="01FDA93D" w14:textId="1AFEA123" w:rsidR="008D479B" w:rsidRDefault="008D479B" w:rsidP="008D479B">
      <w:pPr>
        <w:pStyle w:val="TextoNormal"/>
      </w:pPr>
      <w:r w:rsidRPr="008D479B">
        <w:rPr>
          <w:rStyle w:val="NumeroAFNegritaCaracter"/>
        </w:rPr>
        <w:t>1</w:t>
      </w:r>
      <w:r>
        <w:t>. El 22 de diciembre de 2021, don Juan Carlos Ángel Bernal, representado por la procuradora de los tribunales doña Isabel Núñez Zamorano y bajo la dirección del letrado don Carlos Francisco García Gil, interpuso recurso de amparo contra la resolución mencionada en el encabezamiento de esta sentencia.</w:t>
      </w:r>
    </w:p>
    <w:p w14:paraId="68B03813" w14:textId="77777777" w:rsidR="008D479B" w:rsidRDefault="008D479B" w:rsidP="008D479B">
      <w:pPr>
        <w:pStyle w:val="TextoNormal"/>
      </w:pPr>
    </w:p>
    <w:p w14:paraId="7165C42F" w14:textId="77777777" w:rsidR="008D479B" w:rsidRDefault="008D479B" w:rsidP="008D479B">
      <w:pPr>
        <w:pStyle w:val="TextoNormal"/>
      </w:pPr>
      <w:r w:rsidRPr="008D479B">
        <w:rPr>
          <w:rStyle w:val="NumeroAFNegritaCaracter"/>
        </w:rPr>
        <w:t>2</w:t>
      </w:r>
      <w:r>
        <w:t>. Los hechos relevantes para resolver el presente recurso de amparo son los siguientes:</w:t>
      </w:r>
    </w:p>
    <w:p w14:paraId="50B662E3" w14:textId="77777777" w:rsidR="008D479B" w:rsidRDefault="008D479B" w:rsidP="008D479B">
      <w:pPr>
        <w:pStyle w:val="TextoNormal"/>
      </w:pPr>
    </w:p>
    <w:p w14:paraId="35C964C2" w14:textId="77777777" w:rsidR="008D479B" w:rsidRDefault="008D479B" w:rsidP="008D479B">
      <w:pPr>
        <w:pStyle w:val="TextoNormal"/>
      </w:pPr>
      <w:r>
        <w:t xml:space="preserve">a) Con fecha de 13 de enero de 2020, el Juzgado de Primera Instancia núm. 5 de Cartagena dictó auto declarando la nulidad de la cláusula de vencimiento anticipado que constaba en la escritura pública de préstamo con garantía hipotecaria, que había servido de base para la incoación del procedimiento de ejecución hipotecaria que, con núm. 199-2016, venía tramitándose ante ese órgano jurisdiccional a instancia de la entidad bancaria Cajamar contra el ahora demandante de amparo. En este sentido, razona el juzgado que “la cláusula de vencimiento anticipado pactada es nula de pleno derecho [pues] según la misma el acreedor tendría derecho a exigir el vencimiento anticipado de la obligación, y con ella el cumplimiento íntegro de la obligación, sin el beneficio del plazo, cuando el deudor dejare de atender total o parcialmente su obligación de pago, incluso con el impago de una sola cuota. Las cláusulas así redactadas han sido declaradas nulas por abusivas por el Tribunal de Justicia de la Unión Europea en su sentencia del caso </w:t>
      </w:r>
      <w:r w:rsidRPr="008D479B">
        <w:rPr>
          <w:i/>
        </w:rPr>
        <w:t>Aziz</w:t>
      </w:r>
      <w:r>
        <w:t>, de 14 de marzo de 2013, y por el Tribunal Supremo en su sentencia de 23 de diciembre de 2015. Como dice el Tribunal Supremo la cláusula predispuesta por el banco demandado no supera los estándares exigibles, pues no modula la gravedad del incumplimiento en función de la duración y cuantía del préstamo, no permite al consumidor evitar su aplicación mediante una conducta diligente de reparación y posibilita la resolución del préstamo por el incumplimiento de un solo plazo”.</w:t>
      </w:r>
    </w:p>
    <w:p w14:paraId="36720A91" w14:textId="77777777" w:rsidR="008D479B" w:rsidRDefault="008D479B" w:rsidP="008D479B">
      <w:pPr>
        <w:pStyle w:val="TextoNormal"/>
      </w:pPr>
    </w:p>
    <w:p w14:paraId="52D8C093" w14:textId="77777777" w:rsidR="008D479B" w:rsidRDefault="008D479B" w:rsidP="008D479B">
      <w:pPr>
        <w:pStyle w:val="TextoNormal"/>
      </w:pPr>
      <w:r>
        <w:t>A ello se suma que “[e]l contrato de préstamo hipotecario no puede subsistir si se suprime la cláusula de vencimiento anticipado, así lo considera la STJUE de 26 de marzo de 2019 por el deterioro de la posición procesal del consumidor, concretamente afirma que expone al consumidor a situaciones especialmente indeseables, así consta en el fallo”.</w:t>
      </w:r>
    </w:p>
    <w:p w14:paraId="74F16662" w14:textId="77777777" w:rsidR="008D479B" w:rsidRDefault="008D479B" w:rsidP="008D479B">
      <w:pPr>
        <w:pStyle w:val="TextoNormal"/>
      </w:pPr>
    </w:p>
    <w:p w14:paraId="3D70E72F" w14:textId="77777777" w:rsidR="008D479B" w:rsidRDefault="008D479B" w:rsidP="008D479B">
      <w:pPr>
        <w:pStyle w:val="TextoNormal"/>
      </w:pPr>
      <w:r>
        <w:t>Y que, “[c]onforme ha declarado nuestra Audiencia [la Audiencia Provincial de Murcia], en aquellos procedimientos de ejecución iniciados antes de la entrada de en vigor de la Ley 1/2013 procede el inmediato sobreseimiento de las mismas. Para las que se incoaron con posterioridad a la entrada en vigor de Ley 1/2013, procede valorar el alcance del incumplimiento del ejecutado al amparo del artículo 24 de la Ley reguladora de los contratos de crédito inmobiliario —LCCI—. La razón de esta integración está en el fallo de la sentencia del TJUE de 26 de marzo de 2019 [según la cual] los artículos 6 y 7 de la Directiva 93/13/CEE del Consejo, de 5 de abril de 1993 […] no se oponen a que el juez nacional ponga remedio a la unidad de tal cláusula abusiva substituyéndola por la nueva redacción de la disposición legal que inspiró dicha cláusula, aplicable en caso de convenio entre las partes del contrato, siempre que el contrato de préstamo hipotecario en cuestión no pueda subsistir en caso de supresión de la citada cláusula abusiva y la duración del contrato en su conjunto exponga al consumidor a consecuencias especialmente perjudiciales”.</w:t>
      </w:r>
    </w:p>
    <w:p w14:paraId="571E8DEB" w14:textId="77777777" w:rsidR="008D479B" w:rsidRDefault="008D479B" w:rsidP="008D479B">
      <w:pPr>
        <w:pStyle w:val="TextoNormal"/>
      </w:pPr>
    </w:p>
    <w:p w14:paraId="19C8ACE1" w14:textId="77777777" w:rsidR="008D479B" w:rsidRDefault="008D479B" w:rsidP="008D479B">
      <w:pPr>
        <w:pStyle w:val="TextoNormal"/>
      </w:pPr>
      <w:r>
        <w:t>Esto es, se afirma en dicho auto, “[d]eberá valorarse si el profesional y predisponente, al dar por vencido el contrato, actuó de forma correcta o lo hizo en grave perjuicio del consumidor sin causa suficiente. Para ello habrá de tenerse en cuenta si el incumplimiento del consumidor era suficientemente grave, y si se trató por el empresario de poner remedio al incumplimiento antes de instar la demanda”.</w:t>
      </w:r>
    </w:p>
    <w:p w14:paraId="1ABD7F5E" w14:textId="77777777" w:rsidR="008D479B" w:rsidRDefault="008D479B" w:rsidP="008D479B">
      <w:pPr>
        <w:pStyle w:val="TextoNormal"/>
      </w:pPr>
    </w:p>
    <w:p w14:paraId="0D186C0E" w14:textId="77777777" w:rsidR="008D479B" w:rsidRDefault="008D479B" w:rsidP="008D479B">
      <w:pPr>
        <w:pStyle w:val="TextoNormal"/>
      </w:pPr>
      <w:r>
        <w:t>A tales efectos, continúa dicho razonamiento, “[r]esulta conveniente exponer la regulación del vencimiento anticipado actual [en el art. 24.1 LCCI] y que en principio no resulta directamente aplicable a este litigio, por haberse planteado la demanda de ejecución con anterioridad a la existencia de la norma y, porque así lo dispone su disposición transitoria primera punto 4 de la Ley de crédito inmobiliario”.</w:t>
      </w:r>
    </w:p>
    <w:p w14:paraId="07E0F4E6" w14:textId="77777777" w:rsidR="008D479B" w:rsidRDefault="008D479B" w:rsidP="008D479B">
      <w:pPr>
        <w:pStyle w:val="TextoNormal"/>
      </w:pPr>
    </w:p>
    <w:p w14:paraId="7ACA562A" w14:textId="77777777" w:rsidR="008D479B" w:rsidRDefault="008D479B" w:rsidP="008D479B">
      <w:pPr>
        <w:pStyle w:val="TextoNormal"/>
      </w:pPr>
      <w:r>
        <w:t>Pues bien, sentado lo precedente, el auto de instancia concluye que “[e]n este caso no ha existido, al tiempo de la demanda de ejecución, concretamente debe estarse a la liquidación del saldo, un incumplimiento de la entidad a la que se refiere el artículo 24 antes transpuesto [del que se sirve como criterio orientativo]. Los impagos son inferiores a dichos límites temporales o porcentuales. Por lo que procede declarar la nulidad absoluta de la cláusula de vencimiento anticipado pactada, y con ello el archivo y sobreseimiento del presente procedimiento de ejecución hipotecaria”.</w:t>
      </w:r>
    </w:p>
    <w:p w14:paraId="40A4734E" w14:textId="77777777" w:rsidR="008D479B" w:rsidRDefault="008D479B" w:rsidP="008D479B">
      <w:pPr>
        <w:pStyle w:val="TextoNormal"/>
      </w:pPr>
    </w:p>
    <w:p w14:paraId="181105DE" w14:textId="77777777" w:rsidR="008D479B" w:rsidRDefault="008D479B" w:rsidP="008D479B">
      <w:pPr>
        <w:pStyle w:val="TextoNormal"/>
      </w:pPr>
      <w:r>
        <w:t>A mayor abundamiento, se añade, “debe apuntarse que la nueva Ley sobre crédito inmobiliario, también exige que, con carácter previo a exigir el cumplimiento íntegro de la deuda pendiente, se haya requerido de pago al prestatario concediéndole un plazo de al menos un mes para su cumplimiento y advirtiéndole de que, de no ser atendido, reclamará el reembolso total adeudado del préstamo coma el artículo 24.1 c) Ley de crédito inmobiliario”.</w:t>
      </w:r>
    </w:p>
    <w:p w14:paraId="0206BB3F" w14:textId="77777777" w:rsidR="008D479B" w:rsidRDefault="008D479B" w:rsidP="008D479B">
      <w:pPr>
        <w:pStyle w:val="TextoNormal"/>
      </w:pPr>
    </w:p>
    <w:p w14:paraId="40665773" w14:textId="77777777" w:rsidR="008D479B" w:rsidRDefault="008D479B" w:rsidP="008D479B">
      <w:pPr>
        <w:pStyle w:val="TextoNormal"/>
      </w:pPr>
      <w:r>
        <w:t>b) Contra dicho auto, la entidad ejecutante interpuso recurso de apelación, que fue resuelto por auto, de fecha 8 de junio de 2021, de la Sección Quinta de la Audiencia Provincial de Murcia, revocando el auto de primera instancia y acordando la continuación de la ejecución hipotecaria. La Sala, tras rememorar los precedentes jurisprudenciales aplicables al caso, en especial, la STJUE de 26 de marzo de 2019 y la sentencia del Pleno de la Sala Primera del Tribunal Supremo núm. 463/2019, de 11 de septiembre, entiende justificado el ejercicio de la facultad de vencimiento anticipado del contrato de préstamo por incumplimiento grave del deudor, atendiendo a las pautas y orientaciones jurisprudenciales expuestas en la sentencia del Tribunal Supremo citada, a saber:</w:t>
      </w:r>
    </w:p>
    <w:p w14:paraId="752F9EC6" w14:textId="77777777" w:rsidR="008D479B" w:rsidRDefault="008D479B" w:rsidP="008D479B">
      <w:pPr>
        <w:pStyle w:val="TextoNormal"/>
      </w:pPr>
    </w:p>
    <w:p w14:paraId="5D25F20D" w14:textId="77777777" w:rsidR="008D479B" w:rsidRDefault="008D479B" w:rsidP="008D479B">
      <w:pPr>
        <w:pStyle w:val="TextoNormal"/>
      </w:pPr>
      <w:r>
        <w:t>“a) Los procesos en que, con anterioridad a la entrada en vigor de la Ley 1/2013, se dio por vencido el préstamo por aplicación de una cláusula contractual reputada nula, deberán ser sobreseídos sin más trámite.</w:t>
      </w:r>
    </w:p>
    <w:p w14:paraId="5B2A8B57" w14:textId="77777777" w:rsidR="008D479B" w:rsidRDefault="008D479B" w:rsidP="008D479B">
      <w:pPr>
        <w:pStyle w:val="TextoNormal"/>
      </w:pPr>
    </w:p>
    <w:p w14:paraId="72C0C5E1" w14:textId="77777777" w:rsidR="008D479B" w:rsidRDefault="008D479B" w:rsidP="008D479B">
      <w:pPr>
        <w:pStyle w:val="TextoNormal"/>
      </w:pPr>
      <w:r>
        <w:t>b) Los procesos en que, con posterioridad a la entrada en vigor de la Ley 1/2013, se dio por vencido el préstamo por aplicación de una cláusula contractual reputada nula, y el incumplimiento del deudor no reúna los requisitos de gravedad y proporcionalidad antes expuestos, deberían ser igualmente sobreseídos.</w:t>
      </w:r>
    </w:p>
    <w:p w14:paraId="4C987FE8" w14:textId="77777777" w:rsidR="008D479B" w:rsidRDefault="008D479B" w:rsidP="008D479B">
      <w:pPr>
        <w:pStyle w:val="TextoNormal"/>
      </w:pPr>
    </w:p>
    <w:p w14:paraId="4140F8CA" w14:textId="77777777" w:rsidR="008D479B" w:rsidRDefault="008D479B" w:rsidP="008D479B">
      <w:pPr>
        <w:pStyle w:val="TextoNormal"/>
      </w:pPr>
      <w:r>
        <w:t>c) Los procesos referidos en el apartado anterior, en que el incumplimiento del deudor revista la gravedad prevista en la LCCI, podrán continuar su tramitación”.</w:t>
      </w:r>
    </w:p>
    <w:p w14:paraId="1C998A31" w14:textId="77777777" w:rsidR="008D479B" w:rsidRDefault="008D479B" w:rsidP="008D479B">
      <w:pPr>
        <w:pStyle w:val="TextoNormal"/>
      </w:pPr>
    </w:p>
    <w:p w14:paraId="309ECC66" w14:textId="77777777" w:rsidR="008D479B" w:rsidRDefault="008D479B" w:rsidP="008D479B">
      <w:pPr>
        <w:pStyle w:val="TextoNormal"/>
      </w:pPr>
      <w:r>
        <w:t>El presente caso se considera subsumible en el apartado c), debiendo, por consiguiente, seguirse la tramitación del procedimiento de ejecución, toda vez que se trata:</w:t>
      </w:r>
    </w:p>
    <w:p w14:paraId="3A8A993B" w14:textId="77777777" w:rsidR="008D479B" w:rsidRDefault="008D479B" w:rsidP="008D479B">
      <w:pPr>
        <w:pStyle w:val="TextoNormal"/>
      </w:pPr>
    </w:p>
    <w:p w14:paraId="78905BBD" w14:textId="77777777" w:rsidR="008D479B" w:rsidRDefault="008D479B" w:rsidP="008D479B">
      <w:pPr>
        <w:pStyle w:val="TextoNormal"/>
      </w:pPr>
      <w:r>
        <w:t>“a) [De un] [p]roceso en que, con posterioridad a la entrada en vigor de la Ley 1/2013 (15 de mayo de 2013), se dio por vencido el préstamo con garantía hipotecaria (el acta de fijación de saldo es de 23 de marzo de 2016) por aplicación de la referida cláusula contractual (novena) y en base al impago de seis plazos mensuales […], ascendiendo la cuantía de las cuotas adeudadas (capital e intereses remuneratorios), a la cantidad de 2140,86 €;</w:t>
      </w:r>
    </w:p>
    <w:p w14:paraId="3B39C02C" w14:textId="77777777" w:rsidR="008D479B" w:rsidRDefault="008D479B" w:rsidP="008D479B">
      <w:pPr>
        <w:pStyle w:val="TextoNormal"/>
      </w:pPr>
    </w:p>
    <w:p w14:paraId="184FECB8" w14:textId="77777777" w:rsidR="008D479B" w:rsidRDefault="008D479B" w:rsidP="008D479B">
      <w:pPr>
        <w:pStyle w:val="TextoNormal"/>
      </w:pPr>
      <w:r>
        <w:t>b) Tales cuotas vencidas y no satisfechas son las correspondientes al periodo comprendido entre octubre de 2015 y marzo de 2016;</w:t>
      </w:r>
    </w:p>
    <w:p w14:paraId="1F5452E0" w14:textId="77777777" w:rsidR="008D479B" w:rsidRDefault="008D479B" w:rsidP="008D479B">
      <w:pPr>
        <w:pStyle w:val="TextoNormal"/>
      </w:pPr>
    </w:p>
    <w:p w14:paraId="46909883" w14:textId="77777777" w:rsidR="008D479B" w:rsidRDefault="008D479B" w:rsidP="008D479B">
      <w:pPr>
        <w:pStyle w:val="TextoNormal"/>
      </w:pPr>
      <w:r>
        <w:t>c) La mora se produce, pues, en la primera mitad (casi al principio) de la duración del préstamo y la cuantía de las cuotas vencidas y no satisfechas, no llega a 12 y excede del 3 por 100 de la cuantía del capital concedido (2140,86 € equivalen a más del 4,5 por 100 de 46 000 €), que se prevén en el citado art. 24 LCCI para que el prestatario pierda el derecho al plazo y se produzca el vencimiento anticipado en el supuesto que aquí concurre de la mora producida dentro de la primera mitad de duración del préstamo”.</w:t>
      </w:r>
    </w:p>
    <w:p w14:paraId="57A377DD" w14:textId="77777777" w:rsidR="008D479B" w:rsidRDefault="008D479B" w:rsidP="008D479B">
      <w:pPr>
        <w:pStyle w:val="TextoNormal"/>
      </w:pPr>
    </w:p>
    <w:p w14:paraId="6D79512D" w14:textId="77777777" w:rsidR="008D479B" w:rsidRDefault="008D479B" w:rsidP="008D479B">
      <w:pPr>
        <w:pStyle w:val="TextoNormal"/>
      </w:pPr>
      <w:r>
        <w:t>En consecuencia, entiende que, valorando ese conjunto de datos, el vencimiento anticipado reúne los requisitos de gravedad y proporcionalidad exigidos, advirtiendo, por lo demás, que tampoco comparte el auto apelado en cuanto aplica lo previsto en el art. 24.1 c) LCCI, pues según su disposición transitoria primera, apartado 4, “no será de aplicación este artículo a los contratos cuyo vencimiento anticipado se hubiera producido con anterioridad a la entrada en vigor de esta Ley, se hubiese instado o no un procedimiento de ejecución hipotecaria para hacerlo efectivo, y estuviera este suspendido o no”.</w:t>
      </w:r>
    </w:p>
    <w:p w14:paraId="535BD44C" w14:textId="77777777" w:rsidR="008D479B" w:rsidRDefault="008D479B" w:rsidP="008D479B">
      <w:pPr>
        <w:pStyle w:val="TextoNormal"/>
      </w:pPr>
    </w:p>
    <w:p w14:paraId="42B64511" w14:textId="77777777" w:rsidR="008D479B" w:rsidRDefault="008D479B" w:rsidP="008D479B">
      <w:pPr>
        <w:pStyle w:val="TextoNormal"/>
      </w:pPr>
      <w:r>
        <w:t xml:space="preserve">c) El demandante de amparo planteó incidente excepcional de nulidad de actuaciones, por vulneración del derecho fundamental a la tutela judicial efectiva (arts. 24.1 CE), en relación con los artículos 9.3, 10.1 y 96.1 CE, así como los arts. 6 y 8 del Convenio europeo de derechos humanos (CEDH), 14 y 17 del Pacto internacional de derechos civiles y políticos (PIDCP) y 47 de la Carta de los derechos fundamentales de la Unión Europea (CDFUE), invocando el principio de primacía del Derecho de la Unión, con cita de los pronunciamientos contenidos en la sentencia de la Gran Sala del Tribunal de Justicia de la Unión Europea, de 26 de marzo de 2019, así como en la de 26 de enero de 2017, </w:t>
      </w:r>
      <w:r w:rsidRPr="008D479B">
        <w:rPr>
          <w:i/>
        </w:rPr>
        <w:t>Banco Primus, S.A., c. Jesús Gutiérrez García</w:t>
      </w:r>
      <w:r>
        <w:t xml:space="preserve"> (asunto C-421/14). Considera el demandante que el incumplimiento del deudor por el impago de seis cuotas mensuales, por importe de 2140,86 €, no puede ser considerado grave en los términos previstos en la LCCI, pues, según se objeta, “[n]os encontramos ante un préstamo de refinanciación, y en ningún caso puede tildarse tal cuantía como un incumplimiento grave de sus obligaciones deudoras, aún a pesar del porcentaje, más cuando ha quedado manifiestamente clara la mala fe con que ha actuado la entidad bancaria”.</w:t>
      </w:r>
    </w:p>
    <w:p w14:paraId="27DC0ED9" w14:textId="77777777" w:rsidR="008D479B" w:rsidRDefault="008D479B" w:rsidP="008D479B">
      <w:pPr>
        <w:pStyle w:val="TextoNormal"/>
      </w:pPr>
    </w:p>
    <w:p w14:paraId="59EB5673" w14:textId="38F38362" w:rsidR="008D479B" w:rsidRDefault="008D479B" w:rsidP="008D479B">
      <w:pPr>
        <w:pStyle w:val="TextoNormal"/>
      </w:pPr>
      <w:r>
        <w:t>d) Mediante providencia de fecha 3 de junio de 2019, se inadmite el incidente excepcional de nulidad de actuaciones con la siguiente motivación: “Dada cuenta; el anterior escrito presentado por la procuradora Doña Isabel Núñez Zamorano en nombre y representación de Juan Carlos Ángel Bernal, únase al presente recurso; y, visto su contenido no ha lugar a la admisión del incidente excepcional de nulidad de actuaciones que se promueve por no fundamentar jurídicamente su pretensión ni alegar motivo bastante para ello al amparo de los arts. 238 y ss de la LOPJ [Ley Orgánica del Poder Judicial]”.</w:t>
      </w:r>
    </w:p>
    <w:p w14:paraId="46210370" w14:textId="77777777" w:rsidR="008D479B" w:rsidRDefault="008D479B" w:rsidP="008D479B">
      <w:pPr>
        <w:pStyle w:val="TextoNormal"/>
      </w:pPr>
    </w:p>
    <w:p w14:paraId="64381767" w14:textId="77777777" w:rsidR="008D479B" w:rsidRDefault="008D479B" w:rsidP="008D479B">
      <w:pPr>
        <w:pStyle w:val="TextoNormal"/>
      </w:pPr>
      <w:r w:rsidRPr="008D479B">
        <w:rPr>
          <w:rStyle w:val="NumeroAFNegritaCaracter"/>
        </w:rPr>
        <w:t>3</w:t>
      </w:r>
      <w:r>
        <w:t>. El demandante atribuye a la providencia impugnada la vulneración del derecho a la tutela judicial efectiva (art. 24.1 CE), en su vertiente como derecho a una resolución motivada y fundada en derecho, en relación con el art. 47 CDFUE, interesando su nulidad y la retroacción de las actuaciones al momento anterior al dictado de dicha resolución.</w:t>
      </w:r>
    </w:p>
    <w:p w14:paraId="6EC169E3" w14:textId="77777777" w:rsidR="008D479B" w:rsidRDefault="008D479B" w:rsidP="008D479B">
      <w:pPr>
        <w:pStyle w:val="TextoNormal"/>
      </w:pPr>
    </w:p>
    <w:p w14:paraId="087D716C" w14:textId="0D5E7502" w:rsidR="008D479B" w:rsidRDefault="008D479B" w:rsidP="008D479B">
      <w:pPr>
        <w:pStyle w:val="TextoNormal"/>
      </w:pPr>
      <w:r>
        <w:t>En el otrosí digo del escrito de interposición del recurso amparo se solicitó la suspensión del procedimiento de ejecución hipotecaria núm. 199-2016, seguido ante el Juzgado de Primera Instancia núm. 5 de Cartagena, mientras se resuelve este recurso.</w:t>
      </w:r>
    </w:p>
    <w:p w14:paraId="61DA2AC3" w14:textId="77777777" w:rsidR="008D479B" w:rsidRDefault="008D479B" w:rsidP="008D479B">
      <w:pPr>
        <w:pStyle w:val="TextoNormal"/>
      </w:pPr>
    </w:p>
    <w:p w14:paraId="75009684" w14:textId="012C9361" w:rsidR="008D479B" w:rsidRDefault="008D479B" w:rsidP="008D479B">
      <w:pPr>
        <w:pStyle w:val="TextoNormal"/>
      </w:pPr>
      <w:r w:rsidRPr="008D479B">
        <w:rPr>
          <w:rStyle w:val="NumeroAFNegritaCaracter"/>
        </w:rPr>
        <w:t>4</w:t>
      </w:r>
      <w:r>
        <w:t>. Por providencia de 10 de octubre de 2022, la Sección Cuarta de este tribunal acordó admitir a trámite el recurso, apreciando que reviste especial trascendencia constitucional [art. 50.1 de la Ley Orgánica del Tribunal Constitucional (LOTC)] pues el asunto suscitado trasciende el caso concreto porque plantea una cuestión jurídica de relevante y general repercusión social o económica [STC 155/2009, de 25 de junio, FJ 2 g)]. Acordó igualmente dirigir atenta comunicación a la Sección Quinta de la Audiencia Provincial de Murcia a fin de que remitiera testimonio íntegro de las actuaciones correspondientes al recurso de apelación núm. 149-2020; y al Juzgado de Primera Instancia núm. 5 de Cartagena para que remitiera testimonio de las actuaciones correspondientes al procedimiento de ejecución hipotecaria núm. 199-2016; debiendo previamente emplazarse, para que en el plazo de diez días pudieran comparecer en el recurso de amparo, a quienes hubieran sido parte en el procedimiento, excepto a la parte recurrente en amparo.</w:t>
      </w:r>
    </w:p>
    <w:p w14:paraId="7E25A70C" w14:textId="77777777" w:rsidR="008D479B" w:rsidRDefault="008D479B" w:rsidP="008D479B">
      <w:pPr>
        <w:pStyle w:val="TextoNormal"/>
      </w:pPr>
    </w:p>
    <w:p w14:paraId="10540BCE" w14:textId="0740FE62" w:rsidR="008D479B" w:rsidRDefault="008D479B" w:rsidP="008D479B">
      <w:pPr>
        <w:pStyle w:val="TextoNormal"/>
      </w:pPr>
      <w:r w:rsidRPr="008D479B">
        <w:rPr>
          <w:rStyle w:val="NumeroAFNegritaCaracter"/>
        </w:rPr>
        <w:t>5</w:t>
      </w:r>
      <w:r>
        <w:t>. En esa misma fecha la Sección Cuarta acordó la formación de pieza separada para la tramitación del incidente sobre suspensión de las actuaciones del procedimiento de ejecución, concediendo un plazo común de tres días a la parte recurrente y al Ministerio Fiscal para que aleguen lo que estimaran pertinente.</w:t>
      </w:r>
    </w:p>
    <w:p w14:paraId="31FAB031" w14:textId="77777777" w:rsidR="008D479B" w:rsidRDefault="008D479B" w:rsidP="008D479B">
      <w:pPr>
        <w:pStyle w:val="TextoNormal"/>
      </w:pPr>
    </w:p>
    <w:p w14:paraId="11578FD5" w14:textId="76D068DB" w:rsidR="008D479B" w:rsidRDefault="008D479B" w:rsidP="008D479B">
      <w:pPr>
        <w:pStyle w:val="TextoNormal"/>
      </w:pPr>
      <w:r w:rsidRPr="008D479B">
        <w:rPr>
          <w:rStyle w:val="NumeroAFNegritaCaracter"/>
        </w:rPr>
        <w:t>6</w:t>
      </w:r>
      <w:r>
        <w:t>. El 17 de octubre, don Juan Carlos Ángel Bernal presentó alegaciones a la solicitud de suspensión del procedimiento de ejecución, considerando procedente dicha solicitud, “toda vez que, de no ser acordada por el Tribunal, se procederá al señalamiento del lanzamiento, sin tiempo material para ejercitar los derechos e intereses que asisten a mi representado, toda vez que el procedimiento se considera vivo, mientras que el deudor permanezca habitando la vivienda. Ello provocaría una situación difícilmente reversible, que produciría la pérdida de su finalidad, al presente recurso de amparo. A mayor abundamiento, en el momento procesal que nos encontramos, la suspensión no entrañaría perturbación grave a un interés constitucionalmente protegido o a los derechos fundamentales o libertades públicas de un tercero”.</w:t>
      </w:r>
    </w:p>
    <w:p w14:paraId="0610A1A9" w14:textId="77777777" w:rsidR="008D479B" w:rsidRDefault="008D479B" w:rsidP="008D479B">
      <w:pPr>
        <w:pStyle w:val="TextoNormal"/>
      </w:pPr>
    </w:p>
    <w:p w14:paraId="4529FB0E" w14:textId="39732B66" w:rsidR="008D479B" w:rsidRDefault="008D479B" w:rsidP="008D479B">
      <w:pPr>
        <w:pStyle w:val="TextoNormal"/>
      </w:pPr>
      <w:r w:rsidRPr="008D479B">
        <w:rPr>
          <w:rStyle w:val="NumeroAFNegritaCaracter"/>
        </w:rPr>
        <w:t>7</w:t>
      </w:r>
      <w:r>
        <w:t>. El Ministerio Fiscal formuló el 10 de noviembre de 2022 alegaciones a la suspensión del procedimiento de ejecución, manifestando su disconformidad, estimando procedente, por el contrario, que se acordara la medida cautelar de anotación preventiva de la demanda de amparo en el registro de la propiedad.</w:t>
      </w:r>
    </w:p>
    <w:p w14:paraId="57DBC8A8" w14:textId="77777777" w:rsidR="008D479B" w:rsidRDefault="008D479B" w:rsidP="008D479B">
      <w:pPr>
        <w:pStyle w:val="TextoNormal"/>
      </w:pPr>
    </w:p>
    <w:p w14:paraId="14C99F4A" w14:textId="15F08891" w:rsidR="008D479B" w:rsidRDefault="008D479B" w:rsidP="008D479B">
      <w:pPr>
        <w:pStyle w:val="TextoNormal"/>
      </w:pPr>
      <w:r w:rsidRPr="008D479B">
        <w:rPr>
          <w:rStyle w:val="NumeroAFNegritaCaracter"/>
        </w:rPr>
        <w:t>8</w:t>
      </w:r>
      <w:r>
        <w:t>. Con fecha 16 de noviembre de 2022 se personó en las actuaciones la entidad crediticia Cajamar Caja Rural, Sociedad Cooperativa de Crédito, representada por el procurador de los tribunales don Ignacio María Batllo Ripoll.</w:t>
      </w:r>
    </w:p>
    <w:p w14:paraId="5A19FD1B" w14:textId="77777777" w:rsidR="008D479B" w:rsidRDefault="008D479B" w:rsidP="008D479B">
      <w:pPr>
        <w:pStyle w:val="TextoNormal"/>
      </w:pPr>
    </w:p>
    <w:p w14:paraId="23E1E332" w14:textId="5582DC2C" w:rsidR="008D479B" w:rsidRDefault="008D479B" w:rsidP="008D479B">
      <w:pPr>
        <w:pStyle w:val="TextoNormal"/>
      </w:pPr>
      <w:r w:rsidRPr="008D479B">
        <w:rPr>
          <w:rStyle w:val="NumeroAFNegritaCaracter"/>
        </w:rPr>
        <w:t>9</w:t>
      </w:r>
      <w:r>
        <w:t>. El 28 de noviembre de 2022, la Sala Segunda del Tribunal Constitucional dictó el auto 170/2022, desestimando la medida cautelar de suspensión del procedimiento y acordando la anotación preventiva de la demanda en el registro de la propiedad, considerando que “no es posible afirmar que la eventual continuación del curso del procedimiento judicial provoque por sí solo un perjuicio determinante de la pérdida de la finalidad del presente recurso de amparo, que es el elemento a tener en cuenta en este trámite. Por el contrario, el Tribunal entiende que las circunstancias que presenta el supuesto sometido a consideración llevan a estimar la procedencia de acordar, de modo alternativo, la medida cautelar de anotación preventiva de la demanda de amparo en el registro de la propiedad, en cuanto se reputa medida idónea para evitar el perjuicio derivado de que una hipotética adquisición del bien por tercero lo hiciera irreivindicable; situación a la que se hace referencia genérica en el escrito de alegaciones presentado en esta pieza”.</w:t>
      </w:r>
    </w:p>
    <w:p w14:paraId="377B0158" w14:textId="77777777" w:rsidR="008D479B" w:rsidRDefault="008D479B" w:rsidP="008D479B">
      <w:pPr>
        <w:pStyle w:val="TextoNormal"/>
      </w:pPr>
    </w:p>
    <w:p w14:paraId="6D427C26" w14:textId="16209139" w:rsidR="008D479B" w:rsidRDefault="008D479B" w:rsidP="008D479B">
      <w:pPr>
        <w:pStyle w:val="TextoNormal"/>
      </w:pPr>
      <w:r w:rsidRPr="008D479B">
        <w:rPr>
          <w:rStyle w:val="NumeroAFNegritaCaracter"/>
        </w:rPr>
        <w:t>10</w:t>
      </w:r>
      <w:r>
        <w:t>. El 19 de diciembre de 2022 se acordó por la Sección Cuarta tener por personado en el procedimiento al procurador don Ignacio María Batllo Ripoll, en nombre y representación de Cajamar Caja Rural, Sociedad Cooperativa de Crédito; así como dar vista de las actuaciones a las partes personadas y al Ministerio Fiscal por plazo común de veinte días, dentro de los cuales podrán presentar las alegaciones que estimen pertinentes.</w:t>
      </w:r>
    </w:p>
    <w:p w14:paraId="348F8560" w14:textId="77777777" w:rsidR="008D479B" w:rsidRDefault="008D479B" w:rsidP="008D479B">
      <w:pPr>
        <w:pStyle w:val="TextoNormal"/>
      </w:pPr>
    </w:p>
    <w:p w14:paraId="706B9E77" w14:textId="2108C626" w:rsidR="008D479B" w:rsidRDefault="008D479B" w:rsidP="008D479B">
      <w:pPr>
        <w:pStyle w:val="TextoNormal"/>
      </w:pPr>
      <w:r w:rsidRPr="008D479B">
        <w:rPr>
          <w:rStyle w:val="NumeroAFNegritaCaracter"/>
        </w:rPr>
        <w:t>11</w:t>
      </w:r>
      <w:r>
        <w:t>. Por diligencia de ordenación de 19 de enero de 2023 se puso en conocimiento de las partes personadas y del Ministerio Fiscal el acuerdo del Pleno del Tribunal Constitucional de 17 de enero de 2023, en virtud del cual el presente recurso de amparo fue turnado a la Sección Tercera del Tribunal.</w:t>
      </w:r>
    </w:p>
    <w:p w14:paraId="53D514CA" w14:textId="77777777" w:rsidR="008D479B" w:rsidRDefault="008D479B" w:rsidP="008D479B">
      <w:pPr>
        <w:pStyle w:val="TextoNormal"/>
      </w:pPr>
    </w:p>
    <w:p w14:paraId="6CF4A430" w14:textId="75A4F96D" w:rsidR="008D479B" w:rsidRDefault="008D479B" w:rsidP="008D479B">
      <w:pPr>
        <w:pStyle w:val="TextoNormal"/>
      </w:pPr>
      <w:r w:rsidRPr="008D479B">
        <w:rPr>
          <w:rStyle w:val="NumeroAFNegritaCaracter"/>
        </w:rPr>
        <w:t>12</w:t>
      </w:r>
      <w:r>
        <w:t>. La entidad Cajamar Caja Rural, Sociedad Cooperativa de Crédito, se opuso a la estimación del recurso de amparo por escrito registrado el 9 de enero de 2023, alegando como óbice procesal la falta de especial trascendencia constitucional del recurso; así como, respecto al fondo, considerando debidamente motivada la inadmisión del incidente excepcional de nulidad de actuaciones.</w:t>
      </w:r>
    </w:p>
    <w:p w14:paraId="3F5B2B37" w14:textId="77777777" w:rsidR="008D479B" w:rsidRDefault="008D479B" w:rsidP="008D479B">
      <w:pPr>
        <w:pStyle w:val="TextoNormal"/>
      </w:pPr>
    </w:p>
    <w:p w14:paraId="426310B5" w14:textId="77777777" w:rsidR="008D479B" w:rsidRDefault="008D479B" w:rsidP="008D479B">
      <w:pPr>
        <w:pStyle w:val="TextoNormal"/>
      </w:pPr>
      <w:r w:rsidRPr="008D479B">
        <w:rPr>
          <w:rStyle w:val="NumeroAFNegritaCaracter"/>
        </w:rPr>
        <w:t>13</w:t>
      </w:r>
      <w:r>
        <w:t>. El Ministerio Fiscal presentó su escrito de alegaciones ante este tribunal el día 8 de febrero de 2023, solicitando la estimación del recurso de amparo.</w:t>
      </w:r>
    </w:p>
    <w:p w14:paraId="18D50DCD" w14:textId="77777777" w:rsidR="008D479B" w:rsidRDefault="008D479B" w:rsidP="008D479B">
      <w:pPr>
        <w:pStyle w:val="TextoNormal"/>
      </w:pPr>
    </w:p>
    <w:p w14:paraId="1CD06170" w14:textId="77777777" w:rsidR="008D479B" w:rsidRDefault="008D479B" w:rsidP="008D479B">
      <w:pPr>
        <w:pStyle w:val="TextoNormal"/>
      </w:pPr>
      <w:r>
        <w:t>Tras compendiar los acontecimientos procesales que considera de interés al caso y concretar los aspectos más relevantes de la pretensión del demandante, el fiscal señala que el objeto del presente recurso consiste en dilucidar si la providencia de inadmisión del incidente excepcional de nulidad de actuaciones se encontraba debidamente motivada a la luz de la doctrina constitucional sobre el control de las resoluciones judiciales en esta materia [STC 151/2022, de 30 de noviembre, FJ 4 c)].</w:t>
      </w:r>
    </w:p>
    <w:p w14:paraId="2BE8CC3E" w14:textId="77777777" w:rsidR="008D479B" w:rsidRDefault="008D479B" w:rsidP="008D479B">
      <w:pPr>
        <w:pStyle w:val="TextoNormal"/>
      </w:pPr>
    </w:p>
    <w:p w14:paraId="33F85A75" w14:textId="4D43CB34" w:rsidR="008D479B" w:rsidRDefault="008D479B" w:rsidP="008D479B">
      <w:pPr>
        <w:pStyle w:val="TextoNormal"/>
      </w:pPr>
      <w:r>
        <w:t xml:space="preserve">Destaca el Ministerio Fiscal la parquedad de la motivación contenida en la providencia impugnada, que acuerda la inadmisión del incidente de nulidad “por no fundamentar jurídicamente su pretensión ni alegar motivo bastante para ello al amparo de los arts. 238 y ss. de la LOPJ”, considerando que “[l]a alusión genérica al incumplimiento de los requisitos del art. 238 y ss. LOPJ […] no permite saber sobre qué presupuestos legales se ha producido la inadmisión </w:t>
      </w:r>
      <w:r w:rsidRPr="008D479B">
        <w:rPr>
          <w:i/>
        </w:rPr>
        <w:t>a limine</w:t>
      </w:r>
      <w:r>
        <w:t xml:space="preserve"> del incidente de nulidad de actuaciones, ni da respuesta al mismo”. De donde concluye que “[l]a providencia que inadmite el incidente de nulidad de actuaciones planteado por el recurrente es una resolución judicial inmotivada, que no expresa la razón formal que justifica la inadmisión, no la pone en relación con una causa legal aducida —la vulneración del derecho a la tutela judicial efectiva consagrada en el art. 24.1 CE— y con la regulación legal del incidente en la LOPJ”, lo que supone una infracción del derecho a la tutela judicial efectiva sin indefensión (art. 24.1 CE), siendo procedente conceder el amparo solicitado.</w:t>
      </w:r>
    </w:p>
    <w:p w14:paraId="2E396D2F" w14:textId="77777777" w:rsidR="008D479B" w:rsidRDefault="008D479B" w:rsidP="008D479B">
      <w:pPr>
        <w:pStyle w:val="TextoNormal"/>
      </w:pPr>
    </w:p>
    <w:p w14:paraId="67B4B87B" w14:textId="1B163881" w:rsidR="008D479B" w:rsidRDefault="008D479B" w:rsidP="008D479B">
      <w:pPr>
        <w:pStyle w:val="TextoNormal"/>
      </w:pPr>
      <w:r w:rsidRPr="008D479B">
        <w:rPr>
          <w:rStyle w:val="NumeroAFNegritaCaracter"/>
        </w:rPr>
        <w:t>14</w:t>
      </w:r>
      <w:r>
        <w:t>. Por providencia de 19 de octubre de 2023, se señaló para votación y fallo del presente recurso el día 23 del mismo mes y año.</w:t>
      </w:r>
    </w:p>
    <w:p w14:paraId="2A356119" w14:textId="77777777" w:rsidR="008D479B" w:rsidRDefault="008D479B" w:rsidP="008D479B">
      <w:pPr>
        <w:pStyle w:val="TextoNormal"/>
      </w:pPr>
    </w:p>
    <w:p w14:paraId="52F746C2" w14:textId="77777777" w:rsidR="008D479B" w:rsidRDefault="008D479B" w:rsidP="008D479B">
      <w:pPr>
        <w:pStyle w:val="TextoNormalNegritaCentrado"/>
        <w:keepNext/>
      </w:pPr>
      <w:r>
        <w:t>II. Fundamentos jurídicos</w:t>
      </w:r>
    </w:p>
    <w:p w14:paraId="5147FC2D" w14:textId="51A21B1F" w:rsidR="008D479B" w:rsidRDefault="008D479B" w:rsidP="008D479B">
      <w:pPr>
        <w:pStyle w:val="TextoNormalNegritaCentrado"/>
        <w:keepNext/>
      </w:pPr>
    </w:p>
    <w:p w14:paraId="66514997" w14:textId="77777777" w:rsidR="008D479B" w:rsidRDefault="008D479B" w:rsidP="008D479B">
      <w:pPr>
        <w:pStyle w:val="TextoNormal"/>
      </w:pPr>
      <w:r w:rsidRPr="008D479B">
        <w:rPr>
          <w:rStyle w:val="NumeroAFNegritaCaracter"/>
        </w:rPr>
        <w:t>1</w:t>
      </w:r>
      <w:r>
        <w:t xml:space="preserve">. </w:t>
      </w:r>
      <w:r w:rsidRPr="008D479B">
        <w:rPr>
          <w:i/>
        </w:rPr>
        <w:t>Objeto del recurso de amparo y pretensiones de las partes</w:t>
      </w:r>
    </w:p>
    <w:p w14:paraId="0DF1BDE7" w14:textId="77777777" w:rsidR="008D479B" w:rsidRDefault="008D479B" w:rsidP="008D479B">
      <w:pPr>
        <w:pStyle w:val="TextoNormal"/>
      </w:pPr>
    </w:p>
    <w:p w14:paraId="15FF013C" w14:textId="77777777" w:rsidR="008D479B" w:rsidRDefault="008D479B" w:rsidP="008D479B">
      <w:pPr>
        <w:pStyle w:val="TextoNormal"/>
      </w:pPr>
      <w:r>
        <w:t>La demanda de amparo impugna la providencia dictada por la Sección Quinta de la Audiencia Provincial de Murcia con fecha 28 de octubre de 2021, por la que se inadmite el incidente excepcional de nulidad de actuaciones planteado por el ahora recurrente. El recurrente atribuye a dicha resolución la vulneración de su derecho a la tutela judicial efectiva (art. 24.1 CE), en su vertiente como derecho a una resolución motivada y fundada en derecho, al no justificarse siquiera de modo somero el sentido de dicha resolución.</w:t>
      </w:r>
    </w:p>
    <w:p w14:paraId="767A93D3" w14:textId="77777777" w:rsidR="008D479B" w:rsidRDefault="008D479B" w:rsidP="008D479B">
      <w:pPr>
        <w:pStyle w:val="TextoNormal"/>
      </w:pPr>
    </w:p>
    <w:p w14:paraId="6E96F131" w14:textId="77777777" w:rsidR="008D479B" w:rsidRDefault="008D479B" w:rsidP="008D479B">
      <w:pPr>
        <w:pStyle w:val="TextoNormal"/>
      </w:pPr>
      <w:r>
        <w:t>En sus alegaciones, la mercantil Cajamar Caja Rural, Sociedad Cooperativa de Crédito, manifiesta su oposición a la estimación del recurso aduciendo, desde la perspectiva de los óbices, la falta de especial trascendencia constitucional del recurso, al mismo tiempo que considera la resolución recurrida debidamente motivada.</w:t>
      </w:r>
    </w:p>
    <w:p w14:paraId="09616F94" w14:textId="77777777" w:rsidR="008D479B" w:rsidRDefault="008D479B" w:rsidP="008D479B">
      <w:pPr>
        <w:pStyle w:val="TextoNormal"/>
      </w:pPr>
    </w:p>
    <w:p w14:paraId="1357F5A3" w14:textId="44B73C5F" w:rsidR="008D479B" w:rsidRDefault="008D479B" w:rsidP="008D479B">
      <w:pPr>
        <w:pStyle w:val="TextoNormal"/>
      </w:pPr>
      <w:r>
        <w:t>El Ministerio Fiscal se revela favorable a la estimación del recurso, participando de la tesis principal del recurrente, esto es, la falta de motivación de la providencia impugnada, infringiendo el derecho a la tutela judicial efectiva del recurrente (art. 24.1 CE).</w:t>
      </w:r>
    </w:p>
    <w:p w14:paraId="79B858D8" w14:textId="77777777" w:rsidR="008D479B" w:rsidRDefault="008D479B" w:rsidP="008D479B">
      <w:pPr>
        <w:pStyle w:val="TextoNormal"/>
      </w:pPr>
    </w:p>
    <w:p w14:paraId="05E060FE" w14:textId="77777777" w:rsidR="008D479B" w:rsidRDefault="008D479B" w:rsidP="008D479B">
      <w:pPr>
        <w:pStyle w:val="TextoNormal"/>
      </w:pPr>
      <w:r w:rsidRPr="008D479B">
        <w:rPr>
          <w:rStyle w:val="NumeroAFNegritaCaracter"/>
        </w:rPr>
        <w:t>2</w:t>
      </w:r>
      <w:r>
        <w:t xml:space="preserve">. </w:t>
      </w:r>
      <w:r w:rsidRPr="008D479B">
        <w:rPr>
          <w:i/>
        </w:rPr>
        <w:t>Rechazo de los óbices formulados</w:t>
      </w:r>
    </w:p>
    <w:p w14:paraId="69E56AEE" w14:textId="77777777" w:rsidR="008D479B" w:rsidRDefault="008D479B" w:rsidP="008D479B">
      <w:pPr>
        <w:pStyle w:val="TextoNormal"/>
      </w:pPr>
    </w:p>
    <w:p w14:paraId="79CC4A2A" w14:textId="77777777" w:rsidR="008D479B" w:rsidRDefault="008D479B" w:rsidP="008D479B">
      <w:pPr>
        <w:pStyle w:val="TextoNormal"/>
      </w:pPr>
      <w:r>
        <w:t>Denuncia la mercantil Cajamar Caja Rural, Sociedad Cooperativa de Crédito, la falta de especial trascendencia constitucional del recurso, si bien se identifica tal con la negativa manifiesta del deber de acatamiento de la doctrina de este tribunal, prevista en la letra f) del fundamento jurídico 2 de la STC 155/2009, de 25 de junio, cuando la justificación, en verdad formulada, comporta, más bien, el que el recurso trasciende del caso concreto porque plantea una cuestión jurídica de general y relevante repercusión social y económica, inscribible en la hipótesis prevista en la letra g) del fundamento jurídico 2 de la STC 155/2009, al suponer la vulneración del derecho fundamental a la tutela judicial efectiva por falta de motivación un incumplimiento del principio de primacía del Derecho de la Unión.</w:t>
      </w:r>
    </w:p>
    <w:p w14:paraId="753D13B7" w14:textId="77777777" w:rsidR="008D479B" w:rsidRDefault="008D479B" w:rsidP="008D479B">
      <w:pPr>
        <w:pStyle w:val="TextoNormal"/>
      </w:pPr>
    </w:p>
    <w:p w14:paraId="4F816B09" w14:textId="77777777" w:rsidR="008D479B" w:rsidRDefault="008D479B" w:rsidP="008D479B">
      <w:pPr>
        <w:pStyle w:val="TextoNormal"/>
      </w:pPr>
      <w:r>
        <w:t>Como recientemente rememorábamos en la STC 122/2022, de 10 de octubre, “la especial trascendencia constitucional del recurso de amparo constituye un requisito sustantivo que es objeto de valoración por este tribunal en el trámite de admisión del recurso. En consecuencia, corresponde únicamente al Tribunal Constitucional apreciar en cada caso, al decidir sobre la admisión a trámite de la demanda de amparo, si concurre o no ese requisito material, esto es, si el contenido del recurso justifica una decisión sobre el fondo, atendiendo a los criterios establecidos en el art. 50.1 b) LOTC (entre otras muchas, SSTC 155/2009, de 25 de junio, FJ 2; 126/2013, de 3 de junio, FJ 2; 9/2015, de 2 de febrero, FJ 3; 143/2016, de 19 de septiembre, FJ 2; 166/2016, de 6 de octubre, FJ 2, y 136/2017, de 27 de noviembre, FJ 2)” (FJ 2).</w:t>
      </w:r>
    </w:p>
    <w:p w14:paraId="56A72204" w14:textId="77777777" w:rsidR="008D479B" w:rsidRDefault="008D479B" w:rsidP="008D479B">
      <w:pPr>
        <w:pStyle w:val="TextoNormal"/>
      </w:pPr>
    </w:p>
    <w:p w14:paraId="13548386" w14:textId="77777777" w:rsidR="008D479B" w:rsidRDefault="008D479B" w:rsidP="008D479B">
      <w:pPr>
        <w:pStyle w:val="TextoNormal"/>
      </w:pPr>
      <w:r>
        <w:t>En el presente caso, el Tribunal entendió que procedía la admisión a trámite de la demanda de amparo estimando el motivo aducido por el recurrente al apreciar que el asunto suscitado trascendía el caso concreto porque planteaba una cuestión jurídica de relevante y general repercusión social o económica [STC 155/2009, FJ 2 g)], vinculada al principio de primacía del Derecho de la Unión. No advertimos que concurran razones para revisar ahora esa apreciación.</w:t>
      </w:r>
    </w:p>
    <w:p w14:paraId="25FEEDB3" w14:textId="77777777" w:rsidR="008D479B" w:rsidRDefault="008D479B" w:rsidP="008D479B">
      <w:pPr>
        <w:pStyle w:val="TextoNormal"/>
      </w:pPr>
    </w:p>
    <w:p w14:paraId="09DA8FC5" w14:textId="384F322F" w:rsidR="008D479B" w:rsidRDefault="008D479B" w:rsidP="008D479B">
      <w:pPr>
        <w:pStyle w:val="TextoNormal"/>
      </w:pPr>
      <w:r>
        <w:t>Así pues, este requisito para la admisión del recurso de amparo ha de entenderse cumplido, lo que determina el rechazo del óbice que alega la mercantil Cajamar Caja Rural.</w:t>
      </w:r>
    </w:p>
    <w:p w14:paraId="616B37E7" w14:textId="77777777" w:rsidR="008D479B" w:rsidRDefault="008D479B" w:rsidP="008D479B">
      <w:pPr>
        <w:pStyle w:val="TextoNormal"/>
      </w:pPr>
    </w:p>
    <w:p w14:paraId="10B02D14" w14:textId="77777777" w:rsidR="008D479B" w:rsidRDefault="008D479B" w:rsidP="008D479B">
      <w:pPr>
        <w:pStyle w:val="TextoNormal"/>
      </w:pPr>
      <w:r w:rsidRPr="008D479B">
        <w:rPr>
          <w:rStyle w:val="NumeroAFNegritaCaracter"/>
        </w:rPr>
        <w:t>3</w:t>
      </w:r>
      <w:r>
        <w:t xml:space="preserve">. </w:t>
      </w:r>
      <w:r w:rsidRPr="008D479B">
        <w:rPr>
          <w:i/>
        </w:rPr>
        <w:t>Doctrina constitucional sobre el incidente excepcional de nulidad de actuaciones</w:t>
      </w:r>
    </w:p>
    <w:p w14:paraId="0592AA25" w14:textId="77777777" w:rsidR="008D479B" w:rsidRDefault="008D479B" w:rsidP="008D479B">
      <w:pPr>
        <w:pStyle w:val="TextoNormal"/>
      </w:pPr>
    </w:p>
    <w:p w14:paraId="4B429CD9" w14:textId="77777777" w:rsidR="008D479B" w:rsidRDefault="008D479B" w:rsidP="008D479B">
      <w:pPr>
        <w:pStyle w:val="TextoNormal"/>
      </w:pPr>
      <w:r>
        <w:t>Este tribunal se ha manifestado reiteradamente acerca de la relevancia constitucional del incidente excepcional de nulidad de actuaciones tras la reforma de la Ley Orgánica del Tribunal Constitucional operada en virtud de la Ley Orgánica 6/2007, de 24 de mayo, como mecanismo de salvaguarda de los derechos y libertades fundamentales ante la jurisdicción ordinaria.</w:t>
      </w:r>
    </w:p>
    <w:p w14:paraId="6269B37C" w14:textId="77777777" w:rsidR="008D479B" w:rsidRDefault="008D479B" w:rsidP="008D479B">
      <w:pPr>
        <w:pStyle w:val="TextoNormal"/>
      </w:pPr>
    </w:p>
    <w:p w14:paraId="67E6ABFC" w14:textId="77777777" w:rsidR="008D479B" w:rsidRDefault="008D479B" w:rsidP="008D479B">
      <w:pPr>
        <w:pStyle w:val="TextoNormal"/>
      </w:pPr>
      <w:r>
        <w:t>Dicha reforma, como rememorábamos en la STC 102/2020, de 21 de septiembre, “otorga un especial protagonismo a los tribunales ordinarios, acentuando su función como primeros garantes de los derechos fundamentales en el ordenamiento jurídico […] con el fin de lograr que la tutela y defensa de esos derechos por parte del Tribunal Constitucional sea realmente subsidiaria […]. De esta forma, el incidente de nulidad de actuaciones asume, tras la configuración del nuevo amparo constitucional, una función esencial de tutela y defensa de los derechos fundamentales que puede y debe ser controlada por este tribunal cuando las hipotéticas lesiones autónomas que en él se produzcan tengan ‘especial trascendencia constitucional’, sin que pueda considerarse como un mero trámite formal previo al amparo constitucional, sino como un verdadero instrumento procesal que, en la vía de la jurisdicción ordinaria, podrá remediar aquellas lesiones de derechos fundamentales que no hayan podido denunciarse antes de recaer resolución que ponga fin al proceso y siempre que dicha resolución no sea susceptible de recurso ordinario ni extraordinario (por todas, SSTC 153/2012, de 16 de julio, FJ 3, y 65/2016, de 11 de abril, FJ 5). Ello nos ha llevado a afirmar que, para evitar que el recurrente quede sin ningún tipo de protección en aquellos casos en los que las vulneraciones en las que supuestamente incurriera la resolución impugnada a través del incidente de nulidad de actuaciones carecieran de trascendencia constitucional, el órgano judicial debe realizar una interpretación no restrictiva de los motivos de inadmisión, tramitar el incidente y motivar, en cualquier caso, suficientemente su decisión, pues las decisiones de inadmisión del incidente de nulidad de actuaciones cuando es procedente su planteamiento implican la preterición del mecanismo de tutela ante la jurisdicción ordinaria (STC 9/2014, de 27 de enero, FJ 3)” (FJ 4).</w:t>
      </w:r>
    </w:p>
    <w:p w14:paraId="77F0D390" w14:textId="77777777" w:rsidR="008D479B" w:rsidRDefault="008D479B" w:rsidP="008D479B">
      <w:pPr>
        <w:pStyle w:val="TextoNormal"/>
      </w:pPr>
    </w:p>
    <w:p w14:paraId="36D53763" w14:textId="4BE72B4A" w:rsidR="008D479B" w:rsidRDefault="008D479B" w:rsidP="008D479B">
      <w:pPr>
        <w:pStyle w:val="TextoNormal"/>
      </w:pPr>
      <w:r>
        <w:t>Además de lo anterior, también recordábamos en dicha sentencia que “a pesar de que el incidente de nulidad de actuaciones no constituye un recurso en sentido estricto, es un cauce procesal que, al tener por objeto la revisión de resoluciones o actuaciones procesales, debe ser enjuiciado desde el canon propio del derecho de acceso al recurso legalmente establecido (SSTC 57/2006, de 27 de febrero, y 157/2009, de 25 de junio, FJ 2). Por ello el Tribunal se ha de limitar a comprobar si la resolución de inadmisión está motivada y si ha incurrido o no en error material patente, en arbitrariedad o en manifiesta irrazonabilidad lógica, evitando toda ponderación acerca de su corrección jurídica (SSTC 258/2000, de 30 de octubre, FJ 2; 314/2005, de 12 de diciembre, FJ 3; 57/2006, de 27 de febrero, FJ 3; 22/2007, de 12 de febrero, FJ 4, y 9/2014, de 27 de enero, FJ 5)” (</w:t>
      </w:r>
      <w:r w:rsidRPr="008D479B">
        <w:rPr>
          <w:i/>
        </w:rPr>
        <w:t>ibidem</w:t>
      </w:r>
      <w:r>
        <w:t>).</w:t>
      </w:r>
    </w:p>
    <w:p w14:paraId="5AE544EB" w14:textId="77777777" w:rsidR="008D479B" w:rsidRDefault="008D479B" w:rsidP="008D479B">
      <w:pPr>
        <w:pStyle w:val="TextoNormal"/>
      </w:pPr>
    </w:p>
    <w:p w14:paraId="49F3A07F" w14:textId="77777777" w:rsidR="008D479B" w:rsidRDefault="008D479B" w:rsidP="008D479B">
      <w:pPr>
        <w:pStyle w:val="TextoNormal"/>
      </w:pPr>
      <w:r w:rsidRPr="008D479B">
        <w:rPr>
          <w:rStyle w:val="NumeroAFNegritaCaracter"/>
        </w:rPr>
        <w:t>4</w:t>
      </w:r>
      <w:r>
        <w:t xml:space="preserve">. </w:t>
      </w:r>
      <w:r w:rsidRPr="008D479B">
        <w:rPr>
          <w:i/>
        </w:rPr>
        <w:t>Aplicación de la doctrina al caso</w:t>
      </w:r>
    </w:p>
    <w:p w14:paraId="7CD81989" w14:textId="77777777" w:rsidR="008D479B" w:rsidRDefault="008D479B" w:rsidP="008D479B">
      <w:pPr>
        <w:pStyle w:val="TextoNormal"/>
      </w:pPr>
    </w:p>
    <w:p w14:paraId="3D457892" w14:textId="77777777" w:rsidR="008D479B" w:rsidRDefault="008D479B" w:rsidP="008D479B">
      <w:pPr>
        <w:pStyle w:val="TextoNormal"/>
      </w:pPr>
      <w:r>
        <w:t xml:space="preserve">En el escrito de planteamiento del incidente excepcional de nulidad de actuaciones el demandante de amparo expone al órgano judicial los siguientes extremos: (i) la vulneración del derecho a la tutela judicial efectiva que se entiende producida por el auto de apelación, aduciendo la infracción del art. 24.1 CE, en relación con los arts. 9.3, 10.1 y 96.1 CE, y en conexión inmediata con los arts. 6 y 8 CEDH y los arts. 14 y 17 PIDCP y art. 47 CDFUE; (ii) una profusa relación de jurisprudencia del Tribunal de Justicia de la Unión Europea, del Tribunal Supremo y de este tribunal en materia de nulidad de cláusulas abusivas y aplicación de la normativa europea y nacional protectora de los consumidores; (iii) una reflexión sobre el principio de primacía de Derecho de la Unión, partiendo de la doctrina emanada del Tribunal de Justicia de la Unión Europea en la sentencia de 9 de marzo de 1978, el conocido asunto </w:t>
      </w:r>
      <w:r w:rsidRPr="008D479B">
        <w:rPr>
          <w:i/>
        </w:rPr>
        <w:t>Simmenthal</w:t>
      </w:r>
      <w:r>
        <w:t>; y (iv) la aplicación al caso de dicha doctrina y la vulneración cometida al decidir la Sección Quinta de la Audiencia Provincial de Murcia continuar con el procedimiento de ejecución.</w:t>
      </w:r>
    </w:p>
    <w:p w14:paraId="0BFB6E5F" w14:textId="77777777" w:rsidR="008D479B" w:rsidRDefault="008D479B" w:rsidP="008D479B">
      <w:pPr>
        <w:pStyle w:val="TextoNormal"/>
      </w:pPr>
    </w:p>
    <w:p w14:paraId="7A6507CD" w14:textId="77777777" w:rsidR="008D479B" w:rsidRDefault="008D479B" w:rsidP="008D479B">
      <w:pPr>
        <w:pStyle w:val="TextoNormal"/>
      </w:pPr>
      <w:r>
        <w:t>Frente a tal despliegue argumental, en la providencia impugnada el tribunal se limita a inadmitir el incidente de nulidad, literal y escuetamente, “por no fundamentar jurídicamente su pretensión ni alegar motivo bastante para ello al amparo de los arts. 238 y ss. de la LOPJ”. No cabe sino considerar semejante decisión inmotivada, pues no permite conocer los presupuestos legales a que obedece, con el reprochable efecto de dejar imprejuzgada la lesión constitucional denunciada por el ahora recurrente. En tales circunstancias, el incidente excepcional de nulidad de actuaciones no cumple la función de tutela y defensa de los derechos fundamentales que tiene asignada de acuerdo con la doctrina expuesta, toda vez que, como antes expusimos, “las decisiones de inadmisión del incidente de nulidad de actuaciones cuando es procedente su planteamiento implican la preterición del mecanismo de tutela [de los derechos fundamentales] ante la jurisdicción ordinaria” (STC 9/2014, de 27 de enero, FJ 3). El tribunal incurre, por consiguiente, en una vulneración del derecho a la tutela judicial efectiva sin indefensión (art. 24.1 CE) en los términos revelados.</w:t>
      </w:r>
    </w:p>
    <w:p w14:paraId="600F9302" w14:textId="77777777" w:rsidR="008D479B" w:rsidRDefault="008D479B" w:rsidP="008D479B">
      <w:pPr>
        <w:pStyle w:val="TextoNormal"/>
      </w:pPr>
    </w:p>
    <w:p w14:paraId="7CC2E937" w14:textId="50878E64" w:rsidR="008D479B" w:rsidRDefault="008D479B" w:rsidP="008D479B">
      <w:pPr>
        <w:pStyle w:val="TextoNormal"/>
      </w:pPr>
      <w:r>
        <w:t>Todo lo expuesto determina la estimación del presente recurso de amparo, por haberse vulnerado el derecho fundamental de la recurrente a la tutela judicial efectiva (art. 24.1 CE).</w:t>
      </w:r>
    </w:p>
    <w:p w14:paraId="54FC4D85" w14:textId="77777777" w:rsidR="008D479B" w:rsidRDefault="008D479B" w:rsidP="008D479B">
      <w:pPr>
        <w:pStyle w:val="TextoNormal"/>
      </w:pPr>
    </w:p>
    <w:p w14:paraId="0E54ACD9" w14:textId="77777777" w:rsidR="008D479B" w:rsidRDefault="008D479B" w:rsidP="008D479B">
      <w:pPr>
        <w:pStyle w:val="TextoNormalCentrado"/>
        <w:keepNext/>
      </w:pPr>
      <w:r>
        <w:t>FALLO</w:t>
      </w:r>
    </w:p>
    <w:p w14:paraId="447D7A23" w14:textId="1CC3605E" w:rsidR="008D479B" w:rsidRDefault="008D479B" w:rsidP="008D479B">
      <w:pPr>
        <w:pStyle w:val="TextoNormalCentrado"/>
        <w:keepNext/>
      </w:pPr>
    </w:p>
    <w:p w14:paraId="2885DF84" w14:textId="77777777" w:rsidR="008D479B" w:rsidRDefault="008D479B" w:rsidP="008D479B">
      <w:pPr>
        <w:pStyle w:val="TextoNormal"/>
      </w:pPr>
      <w:r>
        <w:t>En atención a todo lo expuesto, el Tribunal Constitucional, por la autoridad que le confiere la Constitución de la Nación española, ha decidido otorgar el amparo a don Juan Carlos Ángel Bernal y, en consecuencia:</w:t>
      </w:r>
    </w:p>
    <w:p w14:paraId="50A30B5B" w14:textId="77777777" w:rsidR="008D479B" w:rsidRDefault="008D479B" w:rsidP="008D479B">
      <w:pPr>
        <w:pStyle w:val="TextoNormal"/>
      </w:pPr>
    </w:p>
    <w:p w14:paraId="5A2BA01E" w14:textId="77777777" w:rsidR="008D479B" w:rsidRDefault="008D479B" w:rsidP="008D479B">
      <w:pPr>
        <w:pStyle w:val="TextoNormal"/>
      </w:pPr>
      <w:r>
        <w:t>1º Declarar que ha sido vulnerado su derecho a la tutela judicial efectiva sin indefensión (art. 24.1 CE), en su dimensión de derecho a una resolución motivada y fundada en Derecho.</w:t>
      </w:r>
    </w:p>
    <w:p w14:paraId="666ACADF" w14:textId="77777777" w:rsidR="008D479B" w:rsidRDefault="008D479B" w:rsidP="008D479B">
      <w:pPr>
        <w:pStyle w:val="TextoNormal"/>
      </w:pPr>
    </w:p>
    <w:p w14:paraId="25067ED1" w14:textId="77777777" w:rsidR="008D479B" w:rsidRDefault="008D479B" w:rsidP="008D479B">
      <w:pPr>
        <w:pStyle w:val="TextoNormal"/>
      </w:pPr>
      <w:r>
        <w:t>2º Restablecer al recurrente en su derecho y, a tal efecto, anular la providencia de 28 de octubre de 2021, dictada por la Sección Quinta de la Audiencia Provincial de Murcia, y todo lo actuado en dicho procedimiento desde esa resolución.</w:t>
      </w:r>
    </w:p>
    <w:p w14:paraId="62B4B78D" w14:textId="77777777" w:rsidR="008D479B" w:rsidRDefault="008D479B" w:rsidP="008D479B">
      <w:pPr>
        <w:pStyle w:val="TextoNormal"/>
      </w:pPr>
    </w:p>
    <w:p w14:paraId="04B65732" w14:textId="7AD259FE" w:rsidR="008D479B" w:rsidRDefault="008D479B" w:rsidP="008D479B">
      <w:pPr>
        <w:pStyle w:val="TextoNormal"/>
      </w:pPr>
      <w:r>
        <w:t>3º Retrotraer las actuaciones al momento inmediatamente anterior a que se pronunciara la providencia de 28 de octubre de 2021, a fin de que se resuelva lo procedente de forma respetuosa con el derecho fundamental vulnerado.</w:t>
      </w:r>
    </w:p>
    <w:p w14:paraId="30762743" w14:textId="77777777" w:rsidR="008D479B" w:rsidRDefault="008D479B" w:rsidP="008D479B">
      <w:pPr>
        <w:pStyle w:val="TextoNormal"/>
      </w:pPr>
    </w:p>
    <w:p w14:paraId="3F5AACEB" w14:textId="77777777" w:rsidR="008D479B" w:rsidRDefault="008D479B" w:rsidP="008D479B">
      <w:pPr>
        <w:pStyle w:val="TextoNormal"/>
      </w:pPr>
      <w:r>
        <w:t>Publíquese esta sentencia en el “Boletín Oficial del Estado”.</w:t>
      </w:r>
    </w:p>
    <w:p w14:paraId="20B9E83E" w14:textId="77777777" w:rsidR="008D479B" w:rsidRDefault="008D479B" w:rsidP="008D479B">
      <w:pPr>
        <w:pStyle w:val="TextoNormal"/>
      </w:pPr>
      <w:r>
        <w:t>Dada en Madrid, a veintitrés de octubre de dos mil veintitrés.</w:t>
      </w:r>
    </w:p>
    <w:p w14:paraId="3F95C454" w14:textId="6F999ECF" w:rsidR="008D479B" w:rsidRDefault="008D479B">
      <w:pPr>
        <w:spacing w:after="160" w:line="278" w:lineRule="auto"/>
        <w:rPr>
          <w:rFonts w:ascii="Times New Roman" w:eastAsia="Times New Roman" w:hAnsi="Times New Roman" w:cs="Times New Roman"/>
          <w:sz w:val="24"/>
          <w:szCs w:val="24"/>
          <w:lang w:eastAsia="es-ES"/>
        </w:rPr>
      </w:pPr>
      <w:r>
        <w:br w:type="page"/>
      </w:r>
    </w:p>
    <w:p w14:paraId="53865A72" w14:textId="77777777" w:rsidR="008D479B" w:rsidRDefault="008D479B" w:rsidP="008D479B">
      <w:pPr>
        <w:pStyle w:val="TtuloResolucin"/>
      </w:pPr>
      <w:bookmarkStart w:id="60" w:name="SENTENCIA_2023_135"/>
      <w:r>
        <w:t>SENTENCIA 135/2023, de 23 de octubre de 2023</w:t>
      </w:r>
    </w:p>
    <w:bookmarkEnd w:id="60"/>
    <w:p w14:paraId="7FDB98ED" w14:textId="77777777" w:rsidR="008D479B" w:rsidRDefault="008D479B" w:rsidP="008D479B">
      <w:pPr>
        <w:pStyle w:val="TtuloResolucin"/>
      </w:pPr>
      <w:r>
        <w:t>Sala Segunda</w:t>
      </w:r>
    </w:p>
    <w:p w14:paraId="13C05D9B" w14:textId="77777777" w:rsidR="008D479B" w:rsidRDefault="008D479B" w:rsidP="008D479B">
      <w:pPr>
        <w:pStyle w:val="TtuloBOE"/>
      </w:pPr>
      <w:r>
        <w:t>(BOE núm. 286, de 30 de noviembre de 2023)</w:t>
      </w:r>
    </w:p>
    <w:p w14:paraId="2464EEBA" w14:textId="77777777" w:rsidR="008D479B" w:rsidRDefault="008D479B" w:rsidP="008D479B">
      <w:pPr>
        <w:pStyle w:val="TextoNormalCentrado"/>
      </w:pPr>
      <w:r>
        <w:t>ECLI:ES:TC:2023:135</w:t>
      </w:r>
    </w:p>
    <w:p w14:paraId="3A25C001" w14:textId="5543C838" w:rsidR="008D479B" w:rsidRDefault="008D479B" w:rsidP="008D479B">
      <w:pPr>
        <w:pStyle w:val="TextoNormalCentrado"/>
      </w:pPr>
    </w:p>
    <w:p w14:paraId="04BA9180" w14:textId="77777777" w:rsidR="008D479B" w:rsidRDefault="008D479B" w:rsidP="008D479B">
      <w:pPr>
        <w:pStyle w:val="SntesisDescriptiva"/>
      </w:pPr>
      <w:r>
        <w:t>Recurso de amparo 3293-2022. Promovido por don Javier Ignacio Maroto Aranzábal y doña Salomé Pradas Ten en relación con las resoluciones del presidente y la mesa del Senado que dieron por cumplimentado el requisito de promesa o juramento de acatamiento de la Constitución por distintos senadores.</w:t>
      </w:r>
    </w:p>
    <w:p w14:paraId="28510C23" w14:textId="0E5C4472" w:rsidR="008D479B" w:rsidRDefault="008D479B" w:rsidP="008D479B">
      <w:pPr>
        <w:pStyle w:val="SntesisDescriptiva"/>
      </w:pPr>
    </w:p>
    <w:p w14:paraId="619D89F6" w14:textId="77777777" w:rsidR="008D479B" w:rsidRDefault="008D479B" w:rsidP="008D479B">
      <w:pPr>
        <w:pStyle w:val="SntesisAnaltica"/>
      </w:pPr>
      <w:r>
        <w:t>Supuesta vulneración del derecho de representación política: STC 65/2023 (ausencia de acreditación de la incidencia, por la aceptación de las veintinueve fórmulas de acatamiento controvertidas, en la función representativa de los parlamentarios recurrentes). Voto particular.</w:t>
      </w:r>
    </w:p>
    <w:p w14:paraId="121B5B51" w14:textId="7140E4FC" w:rsidR="008D479B" w:rsidRDefault="008D479B" w:rsidP="008D479B">
      <w:pPr>
        <w:pStyle w:val="SntesisAnaltica"/>
      </w:pPr>
    </w:p>
    <w:p w14:paraId="51C2B67F" w14:textId="35E00645" w:rsidR="008D479B" w:rsidRDefault="008D479B" w:rsidP="008D479B">
      <w:pPr>
        <w:pStyle w:val="Extracto"/>
      </w:pPr>
      <w:r>
        <w:t>1.</w:t>
      </w:r>
      <w:r>
        <w:tab/>
        <w:t>Las distintas fórmulas de acatamiento de la Constitución no afectan al núcleo esencial del derecho al ejercicio de las funciones representativas de los parlamentarios (STC 65/2023) [FJ 2].</w:t>
      </w:r>
    </w:p>
    <w:p w14:paraId="0F50D8FB" w14:textId="77777777" w:rsidR="008D479B" w:rsidRDefault="008D479B" w:rsidP="008D479B">
      <w:pPr>
        <w:pStyle w:val="Extracto"/>
      </w:pPr>
    </w:p>
    <w:p w14:paraId="553B6AAA" w14:textId="77777777" w:rsidR="008D479B" w:rsidRDefault="008D479B" w:rsidP="008D479B">
      <w:pPr>
        <w:pStyle w:val="Extracto"/>
      </w:pPr>
    </w:p>
    <w:p w14:paraId="60EC99D5" w14:textId="77777777" w:rsidR="008D479B" w:rsidRDefault="008D479B" w:rsidP="008D479B">
      <w:pPr>
        <w:pStyle w:val="TextoNormal"/>
      </w:pPr>
      <w: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14:paraId="09AB84D7" w14:textId="5AB15A93" w:rsidR="008D479B" w:rsidRDefault="008D479B" w:rsidP="008D479B">
      <w:pPr>
        <w:pStyle w:val="TextoNormal"/>
      </w:pPr>
    </w:p>
    <w:p w14:paraId="14342719" w14:textId="77777777" w:rsidR="008D479B" w:rsidRDefault="008D479B" w:rsidP="008D479B">
      <w:pPr>
        <w:pStyle w:val="TextoNormalCentrado"/>
        <w:keepNext/>
      </w:pPr>
      <w:r>
        <w:t>EN NOMBRE DEL REY</w:t>
      </w:r>
    </w:p>
    <w:p w14:paraId="0EC35EA9" w14:textId="7813370F" w:rsidR="008D479B" w:rsidRDefault="008D479B" w:rsidP="008D479B">
      <w:pPr>
        <w:pStyle w:val="TextoNormalCentrado"/>
        <w:keepNext/>
      </w:pPr>
    </w:p>
    <w:p w14:paraId="59F8AF46" w14:textId="77777777" w:rsidR="008D479B" w:rsidRDefault="008D479B" w:rsidP="008D479B">
      <w:pPr>
        <w:pStyle w:val="TextoNormalCentrado"/>
        <w:keepNext/>
      </w:pPr>
    </w:p>
    <w:p w14:paraId="10DE5FCF" w14:textId="77777777" w:rsidR="008D479B" w:rsidRDefault="008D479B" w:rsidP="008D479B">
      <w:pPr>
        <w:pStyle w:val="TextoNormal"/>
      </w:pPr>
      <w:r>
        <w:t>la siguiente</w:t>
      </w:r>
    </w:p>
    <w:p w14:paraId="35FC100E" w14:textId="2200B9A3" w:rsidR="008D479B" w:rsidRDefault="008D479B" w:rsidP="008D479B">
      <w:pPr>
        <w:pStyle w:val="TextoNormal"/>
      </w:pPr>
    </w:p>
    <w:p w14:paraId="700F8B74" w14:textId="77777777" w:rsidR="008D479B" w:rsidRDefault="008D479B" w:rsidP="008D479B">
      <w:pPr>
        <w:pStyle w:val="TextoNormalCentrado"/>
        <w:keepNext/>
      </w:pPr>
      <w:r>
        <w:t>SENTENCIA</w:t>
      </w:r>
    </w:p>
    <w:p w14:paraId="7FC40E03" w14:textId="1F5A8E3D" w:rsidR="008D479B" w:rsidRDefault="008D479B" w:rsidP="008D479B">
      <w:pPr>
        <w:pStyle w:val="TextoNormalCentrado"/>
        <w:keepNext/>
      </w:pPr>
    </w:p>
    <w:p w14:paraId="09B88A8F" w14:textId="77777777" w:rsidR="008D479B" w:rsidRDefault="008D479B" w:rsidP="008D479B">
      <w:pPr>
        <w:pStyle w:val="TextoNormal"/>
      </w:pPr>
      <w:r>
        <w:t>En el recurso de amparo núm. 3293-2022, promovido por el procurador de los tribunales don Manuel Sánchez-Puelles y González Carvajal en representación de don Javier Ignacio Maroto Aranzábal y de doña Salomé Pradas Ten contra el acuerdo de 15 de febrero de 2022 del presidente del Senado que tuvo por cumplimentado por la senadora doña Vanessa Callau Miñarro el requisito de promesa o juramento de acatamiento de la Constitución y los acuerdos de la mesa del Senado de 8 y de 15 de marzo de 2022 por los que se desestimó la solicitud de revisión y posterior solicitud de reconsideración del primero. Ha intervenido el Ministerio Fiscal y los senadores del partido político Vox don José Manuel Marín Gascón, doña Yolanda Merelo Palomares y doña María José Rodríguez de Millán Parro. Ha sido ponente el magistrado don César Tolosa Tribiño.</w:t>
      </w:r>
    </w:p>
    <w:p w14:paraId="6DF83AA1" w14:textId="27588379" w:rsidR="008D479B" w:rsidRDefault="008D479B" w:rsidP="008D479B">
      <w:pPr>
        <w:pStyle w:val="TextoNormal"/>
      </w:pPr>
    </w:p>
    <w:p w14:paraId="07308D2E" w14:textId="77777777" w:rsidR="008D479B" w:rsidRDefault="008D479B" w:rsidP="008D479B">
      <w:pPr>
        <w:pStyle w:val="TextoNormalNegritaCentrado"/>
        <w:keepNext/>
      </w:pPr>
      <w:r>
        <w:t>I. Antecedentes</w:t>
      </w:r>
    </w:p>
    <w:p w14:paraId="5977B0A7" w14:textId="5FC0EC27" w:rsidR="008D479B" w:rsidRDefault="008D479B" w:rsidP="008D479B">
      <w:pPr>
        <w:pStyle w:val="TextoNormalNegritaCentrado"/>
        <w:keepNext/>
      </w:pPr>
    </w:p>
    <w:p w14:paraId="31C1C5B4" w14:textId="35F5A91A" w:rsidR="008D479B" w:rsidRDefault="008D479B" w:rsidP="008D479B">
      <w:pPr>
        <w:pStyle w:val="TextoNormal"/>
      </w:pPr>
      <w:r w:rsidRPr="008D479B">
        <w:rPr>
          <w:rStyle w:val="NumeroAFNegritaCaracter"/>
        </w:rPr>
        <w:t>1</w:t>
      </w:r>
      <w:r>
        <w:t>. Don Javier Ignacio Maroto Aranzábal, senador designado por las Cortes de Castilla y León en la XIV Legislatura y portavoz del Grupo Parlamentario Popular en el Senado, y doña Salomé Pradas Ten, senadora electa por la circunscripción de Castellón en la misma legislatura y portavoz adjunta del mismo grupo parlamentario, bajo la dirección del letrado don Alberto Durán Ruiz de Huidobro, interpusieron recurso de amparo contra los acuerdos parlamentarios mencionados en el encabezamiento de esta sentencia mediante escrito registrado en este tribunal el 10 de mayo de 2022.</w:t>
      </w:r>
    </w:p>
    <w:p w14:paraId="3C7BF53B" w14:textId="77777777" w:rsidR="008D479B" w:rsidRDefault="008D479B" w:rsidP="008D479B">
      <w:pPr>
        <w:pStyle w:val="TextoNormal"/>
      </w:pPr>
    </w:p>
    <w:p w14:paraId="10636F1E" w14:textId="77777777" w:rsidR="008D479B" w:rsidRDefault="008D479B" w:rsidP="008D479B">
      <w:pPr>
        <w:pStyle w:val="TextoNormal"/>
      </w:pPr>
      <w:r w:rsidRPr="008D479B">
        <w:rPr>
          <w:rStyle w:val="NumeroAFNegritaCaracter"/>
        </w:rPr>
        <w:t>2</w:t>
      </w:r>
      <w:r>
        <w:t>. El recurso tiene su origen en los siguientes antecedentes:</w:t>
      </w:r>
    </w:p>
    <w:p w14:paraId="1982FABE" w14:textId="77777777" w:rsidR="008D479B" w:rsidRDefault="008D479B" w:rsidP="008D479B">
      <w:pPr>
        <w:pStyle w:val="TextoNormal"/>
      </w:pPr>
    </w:p>
    <w:p w14:paraId="562B4936" w14:textId="77777777" w:rsidR="008D479B" w:rsidRDefault="008D479B" w:rsidP="008D479B">
      <w:pPr>
        <w:pStyle w:val="TextoNormal"/>
      </w:pPr>
      <w:r>
        <w:t>a) El presidente del Senado, en la sesión plenaria celebrada el 15 de febrero de 2022, procedió a solicitar el juramento o promesa de acatamiento de la Constitución de la senadora doña Vanessa Callau Miñarro, de conformidad con el art. 12 del Reglamento del Senado (RS).</w:t>
      </w:r>
    </w:p>
    <w:p w14:paraId="208C81C0" w14:textId="77777777" w:rsidR="008D479B" w:rsidRDefault="008D479B" w:rsidP="008D479B">
      <w:pPr>
        <w:pStyle w:val="TextoNormal"/>
      </w:pPr>
    </w:p>
    <w:p w14:paraId="5BEB1E3D" w14:textId="77777777" w:rsidR="008D479B" w:rsidRDefault="008D479B" w:rsidP="008D479B">
      <w:pPr>
        <w:pStyle w:val="TextoNormal"/>
      </w:pPr>
      <w:r>
        <w:t>Consta en el “Diario de Sesiones del Senado” de ese día que en la solicitud de juramento el presidente intervino para indicar: “Procede el acatamiento de la Constitución de la excelentísima señora doña Vanessa Callau Miñarro. ¿Juráis o prometéis acatar la Constitución?”. A la pregunta, contestó doña Vanessa Callau Miñarro: “Per a defensar el poble de Catalunya, pel retorn de les persones exiliades i fins a la constitució de la república catalana, sí, prometo, per imperatiu legal”. Tras ello, el presidente del Senado tuvo por prestado el acatamiento a la Constitución y por adquirida plenamente la condición de senadora de la referida señora (“Diario de Sesiones del Senado”, núm. 79, de 15 de febrero).</w:t>
      </w:r>
    </w:p>
    <w:p w14:paraId="5D3E8EF7" w14:textId="77777777" w:rsidR="008D479B" w:rsidRDefault="008D479B" w:rsidP="008D479B">
      <w:pPr>
        <w:pStyle w:val="TextoNormal"/>
      </w:pPr>
    </w:p>
    <w:p w14:paraId="70F14FC8" w14:textId="77777777" w:rsidR="008D479B" w:rsidRDefault="008D479B" w:rsidP="008D479B">
      <w:pPr>
        <w:pStyle w:val="TextoNormal"/>
      </w:pPr>
      <w:r>
        <w:t>b) El 3 de marzo de 2022, el senador don Javier Maroto Aranzábal, portavoz del Grupo Parlamentario Popular en el Senado, presentó un escrito en el que solicitaba que se procediera a revisar la respuesta formulada a la pregunta realizada de acatamiento a la Constitución, para establecer si dicha senadora ha expresado de forma clara e inequívoca su voluntad de acatar la Constitución o la invalide si no cumple con el art. 11.3 RS. Argumentaba a tal fin:</w:t>
      </w:r>
    </w:p>
    <w:p w14:paraId="1D2DCDA9" w14:textId="77777777" w:rsidR="008D479B" w:rsidRDefault="008D479B" w:rsidP="008D479B">
      <w:pPr>
        <w:pStyle w:val="TextoNormal"/>
      </w:pPr>
    </w:p>
    <w:p w14:paraId="43563FDF" w14:textId="77777777" w:rsidR="008D479B" w:rsidRDefault="008D479B" w:rsidP="008D479B">
      <w:pPr>
        <w:pStyle w:val="TextoNormal"/>
      </w:pPr>
      <w:r>
        <w:t>“Que en el Pleno del Senado de 15 de febrero de 2022, tomó posesión del acta de senadora, doña Vanessa Callau Miñarro, senadora electa por Tarragona.</w:t>
      </w:r>
    </w:p>
    <w:p w14:paraId="6240CB0B" w14:textId="77777777" w:rsidR="008D479B" w:rsidRDefault="008D479B" w:rsidP="008D479B">
      <w:pPr>
        <w:pStyle w:val="TextoNormal"/>
      </w:pPr>
    </w:p>
    <w:p w14:paraId="073A1BB6" w14:textId="77777777" w:rsidR="008D479B" w:rsidRDefault="008D479B" w:rsidP="008D479B">
      <w:pPr>
        <w:pStyle w:val="TextoNormal"/>
      </w:pPr>
      <w:r>
        <w:t>En dicha sesión, el presidente del Senado tomó promesa o juramento de acatamiento a la Constitución a la nueva senadora.</w:t>
      </w:r>
    </w:p>
    <w:p w14:paraId="1CE2DB47" w14:textId="77777777" w:rsidR="008D479B" w:rsidRDefault="008D479B" w:rsidP="008D479B">
      <w:pPr>
        <w:pStyle w:val="TextoNormal"/>
      </w:pPr>
    </w:p>
    <w:p w14:paraId="0ED69B85" w14:textId="77777777" w:rsidR="008D479B" w:rsidRDefault="008D479B" w:rsidP="008D479B">
      <w:pPr>
        <w:pStyle w:val="TextoNormal"/>
      </w:pPr>
      <w:r>
        <w:t>De acuerdo con lo dispuesto en el Reglamento del Senado, los senadores deben realizar el acatamiento bajo la fórmula “sí, juro” o “sí, prometo”.</w:t>
      </w:r>
    </w:p>
    <w:p w14:paraId="0B10DF74" w14:textId="77777777" w:rsidR="008D479B" w:rsidRDefault="008D479B" w:rsidP="008D479B">
      <w:pPr>
        <w:pStyle w:val="TextoNormal"/>
      </w:pPr>
    </w:p>
    <w:p w14:paraId="0A4D6D49" w14:textId="77777777" w:rsidR="008D479B" w:rsidRDefault="008D479B" w:rsidP="008D479B">
      <w:pPr>
        <w:pStyle w:val="TextoNormal"/>
      </w:pPr>
      <w:r>
        <w:t>Dicho acatamiento a la Constitución es requisito indispensable para perfeccionar su condición de senador, tal y como recoge el artículo 12.1 b) del Reglamento del Senado.</w:t>
      </w:r>
    </w:p>
    <w:p w14:paraId="06226CA0" w14:textId="77777777" w:rsidR="008D479B" w:rsidRDefault="008D479B" w:rsidP="008D479B">
      <w:pPr>
        <w:pStyle w:val="TextoNormal"/>
      </w:pPr>
    </w:p>
    <w:p w14:paraId="46988A83" w14:textId="77777777" w:rsidR="008D479B" w:rsidRDefault="008D479B" w:rsidP="008D479B">
      <w:pPr>
        <w:pStyle w:val="TextoNormal"/>
      </w:pPr>
      <w:r>
        <w:t>En la citada sesión, la senadora Vanessa Callau Miñarro no pronunció una declaración clara e inequívoca de acatamiento a la Constitución, tal y como recoge el Reglamento del Senado, sino que lo hizo utilizando una fórmula diferente, seguida de condiciones de tal naturaleza que vician de nulidad dicho acatamiento.</w:t>
      </w:r>
    </w:p>
    <w:p w14:paraId="479C101C" w14:textId="77777777" w:rsidR="008D479B" w:rsidRDefault="008D479B" w:rsidP="008D479B">
      <w:pPr>
        <w:pStyle w:val="TextoNormal"/>
      </w:pPr>
    </w:p>
    <w:p w14:paraId="782AFF45" w14:textId="77777777" w:rsidR="008D479B" w:rsidRDefault="008D479B" w:rsidP="008D479B">
      <w:pPr>
        <w:pStyle w:val="TextoNormal"/>
      </w:pPr>
      <w:r>
        <w:t>La señora Callau Miñarro juró de la siguiente forma: ‘Per a defensar el poble de Catalunya, pel retorn de les persones exiliades i fins a la constitució de la república catalana. Sí, prometo, por imperativo legal’ (para defender al pueblo de Cataluña, para el retorno de las personas exiliadas y hasta la constitución de la república catalana. Sí prometo, por imperativo legal). Dicha fórmula fue aceptada por el presidente, a pesar de tratarse de una fórmula de acatamiento que limitaba, condicionaba o eludía el juramento o promesa de acatar la Constitución”.</w:t>
      </w:r>
    </w:p>
    <w:p w14:paraId="3FFFF794" w14:textId="77777777" w:rsidR="008D479B" w:rsidRDefault="008D479B" w:rsidP="008D479B">
      <w:pPr>
        <w:pStyle w:val="TextoNormal"/>
      </w:pPr>
    </w:p>
    <w:p w14:paraId="2BE829BC" w14:textId="77777777" w:rsidR="008D479B" w:rsidRDefault="008D479B" w:rsidP="008D479B">
      <w:pPr>
        <w:pStyle w:val="TextoNormal"/>
      </w:pPr>
      <w:r>
        <w:t>c) El 8 de marzo de 2022 la mesa del Senado dictó el siguiente acuerdo:</w:t>
      </w:r>
    </w:p>
    <w:p w14:paraId="01430AC0" w14:textId="77777777" w:rsidR="008D479B" w:rsidRDefault="008D479B" w:rsidP="008D479B">
      <w:pPr>
        <w:pStyle w:val="TextoNormal"/>
      </w:pPr>
    </w:p>
    <w:p w14:paraId="64D22D5B" w14:textId="77777777" w:rsidR="008D479B" w:rsidRDefault="008D479B" w:rsidP="008D479B">
      <w:pPr>
        <w:pStyle w:val="TextoNormal"/>
      </w:pPr>
      <w:r>
        <w:t>“Desestimar, por mayoría, la solicitud ya que, de conformidad con lo previsto en el artículo 11.3 del Reglamento del Senado, interpretado según la jurisprudencia establecida en la sentencia del Tribunal Constitucional 74/1991, de 8 de abril, y siguiendo los precedentes obrantes en la Cámara, no procede la revisión de la fórmula de acatamiento a la Constitución utilizada por la senadora, y comunicar este acuerdo a su autor, informándole de que, frente al mismo, podrá solicitar su reconsideración, de conformidad con lo previsto en el artículo 36.2 del Reglamento del Senado”.</w:t>
      </w:r>
    </w:p>
    <w:p w14:paraId="4D90BAE5" w14:textId="77777777" w:rsidR="008D479B" w:rsidRDefault="008D479B" w:rsidP="008D479B">
      <w:pPr>
        <w:pStyle w:val="TextoNormal"/>
      </w:pPr>
    </w:p>
    <w:p w14:paraId="7FA3C34D" w14:textId="77777777" w:rsidR="008D479B" w:rsidRDefault="008D479B" w:rsidP="008D479B">
      <w:pPr>
        <w:pStyle w:val="TextoNormal"/>
      </w:pPr>
      <w:r>
        <w:t>d) Mediante escrito de fecha 9 de marzo de 2022, don Javier Maroto presentó la solicitud de reconsideración del anterior acuerdo en los siguientes términos:</w:t>
      </w:r>
    </w:p>
    <w:p w14:paraId="33388AC5" w14:textId="77777777" w:rsidR="008D479B" w:rsidRDefault="008D479B" w:rsidP="008D479B">
      <w:pPr>
        <w:pStyle w:val="TextoNormal"/>
      </w:pPr>
    </w:p>
    <w:p w14:paraId="4262835A" w14:textId="77777777" w:rsidR="008D479B" w:rsidRDefault="008D479B" w:rsidP="008D479B">
      <w:pPr>
        <w:pStyle w:val="TextoNormal"/>
      </w:pPr>
      <w:r>
        <w:t>“Que habiendo recibido notificación del acuerdo de la mesa del pasado día 8 de marzo, con número de registro 21 696 y fecha 9 de marzo de 2022, desestimando la revisión de la fórmula de acatamiento a la Constitución utilizada por la senadora doña Vanessa Callau Miñarro, y la invalidación de la misma si no cumple el artículo 11.3 del Reglamento del Senado, por medio del presente escrito solicita la reconsideración del mismo de acuerdo con lo previsto en el artículo 36.2 del Reglamento del Senado”.</w:t>
      </w:r>
    </w:p>
    <w:p w14:paraId="70CBF1DD" w14:textId="77777777" w:rsidR="008D479B" w:rsidRDefault="008D479B" w:rsidP="008D479B">
      <w:pPr>
        <w:pStyle w:val="TextoNormal"/>
      </w:pPr>
    </w:p>
    <w:p w14:paraId="751FC85C" w14:textId="43E8C627" w:rsidR="008D479B" w:rsidRDefault="008D479B" w:rsidP="008D479B">
      <w:pPr>
        <w:pStyle w:val="TextoNormal"/>
      </w:pPr>
      <w:r>
        <w:t>e) Por acuerdo de la mesa del Senado de 15 de marzo de 2022 se desestimó, por mayoría, la solicitud ya que se pide la reconsideración de un acuerdo motivado de la mesa sin expresar las razones de la misma.</w:t>
      </w:r>
    </w:p>
    <w:p w14:paraId="1EF2CA5B" w14:textId="77777777" w:rsidR="008D479B" w:rsidRDefault="008D479B" w:rsidP="008D479B">
      <w:pPr>
        <w:pStyle w:val="TextoNormal"/>
      </w:pPr>
    </w:p>
    <w:p w14:paraId="0F599EA7" w14:textId="77777777" w:rsidR="008D479B" w:rsidRDefault="008D479B" w:rsidP="008D479B">
      <w:pPr>
        <w:pStyle w:val="TextoNormal"/>
      </w:pPr>
      <w:r w:rsidRPr="008D479B">
        <w:rPr>
          <w:rStyle w:val="NumeroAFNegritaCaracter"/>
        </w:rPr>
        <w:t>3</w:t>
      </w:r>
      <w:r>
        <w:t>. Los senadores demandantes de amparo solicitan que se estime el recurso por vulneración de su derecho a la representación política (art. 23 CE) y a la igualdad (art. 14 CE) para cuyo restablecimiento consideran necesario la declaración de nulidad de los acuerdos parlamentarios impugnados, teniendo por no acreditado el requisito de juramento o promesa de acatamiento de la Constitución en relación con el caso impugnado, declarando que procede no tener por adquirida la plenitud de derechos y perfeccionada su condición de senadora a doña Vanessa Callau en los términos del art. 12 RS.</w:t>
      </w:r>
    </w:p>
    <w:p w14:paraId="2E067ED8" w14:textId="77777777" w:rsidR="008D479B" w:rsidRDefault="008D479B" w:rsidP="008D479B">
      <w:pPr>
        <w:pStyle w:val="TextoNormal"/>
      </w:pPr>
    </w:p>
    <w:p w14:paraId="53860F17" w14:textId="77777777" w:rsidR="008D479B" w:rsidRDefault="008D479B" w:rsidP="008D479B">
      <w:pPr>
        <w:pStyle w:val="TextoNormal"/>
      </w:pPr>
      <w:r>
        <w:t>Los demandantes de amparo contextualizan la fórmula empleada por la senadora en el “proceso de ruptura con el orden constitucional en Cataluña en los meses de septiembre y octubre de 2017” y la sentencia de la Sala de lo Penal del Tribunal Supremo núm. 459/2019, por la que se dictó la condena de los acusados por delitos de desobediencia, de sedición, y de sedición en concurso medial con un delito de malversación agravado por la cuantía para diversos acusados. Afirman que la existencia de este fallo, a partir de octubre de 2019 es una cuestión novedosa que no concurría en la XIII Legislatura y que conlleva que la afirmación acerca de la existencia de “presos políticos” no se sostenga ni política, ni jurídicamente y suponga un claro desacato a la Constitución, ya que la sentencia fija penas en función de la consumación de delitos que han quedado acreditados para el Tribunal Supremo.</w:t>
      </w:r>
    </w:p>
    <w:p w14:paraId="1A8B481B" w14:textId="77777777" w:rsidR="008D479B" w:rsidRDefault="008D479B" w:rsidP="008D479B">
      <w:pPr>
        <w:pStyle w:val="TextoNormal"/>
      </w:pPr>
    </w:p>
    <w:p w14:paraId="37D53F66" w14:textId="77777777" w:rsidR="008D479B" w:rsidRDefault="008D479B" w:rsidP="008D479B">
      <w:pPr>
        <w:pStyle w:val="TextoNormal"/>
      </w:pPr>
      <w:r>
        <w:t>Afirman que la fórmula utilizada para acatar la Constitución supone un ataque frontal al art. 117.3 CE, pues que unos senadores pretendan que su acatamiento a la Constitución española incluya la expresión de “presos políticos”, imputando al Estado español que mantiene a personas en la cárcel por opiniones políticas cuando esos presos han sido efectivamente condenados por el más alto tribunal español, solo expresa su manifiesta rebeldía contra la Constitución y el ordenamiento jurídico vigente.</w:t>
      </w:r>
    </w:p>
    <w:p w14:paraId="6922AB53" w14:textId="77777777" w:rsidR="008D479B" w:rsidRDefault="008D479B" w:rsidP="008D479B">
      <w:pPr>
        <w:pStyle w:val="TextoNormal"/>
      </w:pPr>
    </w:p>
    <w:p w14:paraId="45BDE974" w14:textId="77777777" w:rsidR="008D479B" w:rsidRDefault="008D479B" w:rsidP="008D479B">
      <w:pPr>
        <w:pStyle w:val="TextoNormal"/>
      </w:pPr>
      <w:r>
        <w:t>Añaden que la fórmula empleada es la expresión de un compromiso jurídico de vulnerar el orden constitucional con el que transforman el trámite formal de juramento o promesa de acatar la Constitución en un trámite de juramento o promesa de acatar el mandato democrático del 1 de octubre, de fidelidad a la república catalana y al pueblo de Cataluña, de lealtad a los presos y exiliados políticos. Es decir, se produce una sustitución: se sustituye el juramento o promesa de acatar la Constitución por el juramento o promesa de acatar el mandato democrático del 1 de octubre y la fidelidad a la república catalana, como Estado independiente y soberano, social y democrático de Derecho, como así se define en la declaración unilateral de independencia, de 27 de octubre de 2017.</w:t>
      </w:r>
    </w:p>
    <w:p w14:paraId="42D3EF0B" w14:textId="77777777" w:rsidR="008D479B" w:rsidRDefault="008D479B" w:rsidP="008D479B">
      <w:pPr>
        <w:pStyle w:val="TextoNormal"/>
      </w:pPr>
    </w:p>
    <w:p w14:paraId="295596C1" w14:textId="77777777" w:rsidR="008D479B" w:rsidRDefault="008D479B" w:rsidP="008D479B">
      <w:pPr>
        <w:pStyle w:val="TextoNormal"/>
      </w:pPr>
      <w:r>
        <w:t>Dichas expresiones no quedan amparadas por la libertad de expresión. En el propio contenido del acto de acatamiento de la Constitución emerge el compromiso jurídico de vulnerarla. Una eventual admisión de fórmulas de acatamiento de la Constitución que contengan —que lleven aparejado— el compromiso jurídico de vulnerar la Constitución, utilizando la violencia, la fuerza o las vías de hecho no solo supondría vaciar de contenido el acto de acatamiento de la Constitución. Añaden que no consta que el presidente comprendiera plenamente la expresión utilizada al manifestarse en lengua catalana.</w:t>
      </w:r>
    </w:p>
    <w:p w14:paraId="3A44DC8C" w14:textId="77777777" w:rsidR="008D479B" w:rsidRDefault="008D479B" w:rsidP="008D479B">
      <w:pPr>
        <w:pStyle w:val="TextoNormal"/>
      </w:pPr>
    </w:p>
    <w:p w14:paraId="2142ECC1" w14:textId="77777777" w:rsidR="008D479B" w:rsidRDefault="008D479B" w:rsidP="008D479B">
      <w:pPr>
        <w:pStyle w:val="TextoNormal"/>
      </w:pPr>
      <w:r>
        <w:t>Entienden que la admisión como senadores de pleno derecho a senadores electos que no han cumplido el requisito de juramento o promesa de acatar la Constitución afecta a la correcta composición del Senado como órgano constitucional de representación colectiva del pueblo español, sin que pueda separarse la representación individual del parlamentario (art. 23.2 CE), de la representación colectiva de la Cámara.</w:t>
      </w:r>
    </w:p>
    <w:p w14:paraId="4210911A" w14:textId="77777777" w:rsidR="008D479B" w:rsidRDefault="008D479B" w:rsidP="008D479B">
      <w:pPr>
        <w:pStyle w:val="TextoNormal"/>
      </w:pPr>
    </w:p>
    <w:p w14:paraId="09BDD4EB" w14:textId="77777777" w:rsidR="008D479B" w:rsidRDefault="008D479B" w:rsidP="008D479B">
      <w:pPr>
        <w:pStyle w:val="TextoNormal"/>
      </w:pPr>
      <w:r>
        <w:t>Argumentan que una inadecuada composición del Senado afecta al régimen de mayorías y minorías del Senado: a la configuración de las mayorías simples, de la mayoría absoluta y de otras mayorías cualificadas como la de tres quintos de los miembros de la Cámara. Esto es, afecta consecuentemente al ejercicio de las funciones legislativas, presupuestarias y de control, así como en las demás competencias que la Constitución atribuye al Senado.</w:t>
      </w:r>
    </w:p>
    <w:p w14:paraId="12171308" w14:textId="77777777" w:rsidR="008D479B" w:rsidRDefault="008D479B" w:rsidP="008D479B">
      <w:pPr>
        <w:pStyle w:val="TextoNormal"/>
      </w:pPr>
    </w:p>
    <w:p w14:paraId="490489DD" w14:textId="77777777" w:rsidR="008D479B" w:rsidRDefault="008D479B" w:rsidP="008D479B">
      <w:pPr>
        <w:pStyle w:val="TextoNormal"/>
      </w:pPr>
      <w:r>
        <w:t>Considera que se ha infringido el requisito de juramento o promesa de acatar la Constitución previsto en el art. 108.8 de la Ley Orgánica del régimen electoral general (LOREG) y en el art. 11 RS cuya exigencia es conforme con la doctrina constitucional, de tal modo que la fórmula utilizada no vacíe, limite o condiciones el sentido propio de la exigencia para adquirir la condición de diputado o senador. Señala que no es posible acatar la Constitución si en el mismo acto de promesa o juramento se niega la soberanía que de la misma dimana, al aludirse a una soberanía distinta, la catalana, que se considera superior y a la cual se presta fidelidad con prioridad o se firma jurar por una inexistente república, que no es más que la aspiración de partidos políticos o agrupaciones que provocaron su declaración unilateral en ruptura con el orden constitucional.</w:t>
      </w:r>
    </w:p>
    <w:p w14:paraId="34D8A8D0" w14:textId="77777777" w:rsidR="008D479B" w:rsidRDefault="008D479B" w:rsidP="008D479B">
      <w:pPr>
        <w:pStyle w:val="TextoNormal"/>
      </w:pPr>
    </w:p>
    <w:p w14:paraId="17ABA397" w14:textId="77777777" w:rsidR="008D479B" w:rsidRDefault="008D479B" w:rsidP="008D479B">
      <w:pPr>
        <w:pStyle w:val="TextoNormal"/>
      </w:pPr>
      <w:r>
        <w:t>Indica que se ha producido una infracción del derecho fundamental de los recurrentes, porque la función de representación del diputado no constituye sino una fracción de un “todo” que lo trasciende y del que no puede desligarse, siendo así que la representación individual del senador es una porción de la representación colectiva de la soberanía nacional de la Cámara, sin la cual carece de sentido la representación individual. Añade que la infracción de la legalidad ha supuesto el desconocimiento de la igualdad entre representantes que han llevado a cabo el juramento o promesa y senadores que no han cumplido dicha exigencia.</w:t>
      </w:r>
    </w:p>
    <w:p w14:paraId="20BA5F75" w14:textId="77777777" w:rsidR="008D479B" w:rsidRDefault="008D479B" w:rsidP="008D479B">
      <w:pPr>
        <w:pStyle w:val="TextoNormal"/>
      </w:pPr>
    </w:p>
    <w:p w14:paraId="3E4FF550" w14:textId="77777777" w:rsidR="008D479B" w:rsidRDefault="008D479B" w:rsidP="008D479B">
      <w:pPr>
        <w:pStyle w:val="TextoNormal"/>
      </w:pPr>
      <w:r>
        <w:t>Refiere que avalar dichas fórmulas supondría avalar la falta de control y responsabilidad de la Presidencia del Senado ante la arbitraria y deliberada inaplicación de la doctrina constitucional.</w:t>
      </w:r>
    </w:p>
    <w:p w14:paraId="632B8461" w14:textId="77777777" w:rsidR="008D479B" w:rsidRDefault="008D479B" w:rsidP="008D479B">
      <w:pPr>
        <w:pStyle w:val="TextoNormal"/>
      </w:pPr>
    </w:p>
    <w:p w14:paraId="202A7B12" w14:textId="628CE4FF" w:rsidR="008D479B" w:rsidRDefault="008D479B" w:rsidP="008D479B">
      <w:pPr>
        <w:pStyle w:val="TextoNormal"/>
      </w:pPr>
      <w:r>
        <w:t>Los demandantes de amparo afirman que el recurso cuenta con especial transcendencia constitucional en los términos enunciados en la STC 155/2009, de 25 de junio, FJ 2, entre otras razones, porque (i) puede dar ocasión al Tribunal para aclarar o cambiar su doctrina relativa al acatamiento de la Constitución en atención a la utilización de fórmulas directamente incompatibles con la Constitución; y (ii) plantea una cuestión jurídica de relevante y general repercusión social o económica por su naturaleza parlamentaria y por afectar a la composición del Senado.</w:t>
      </w:r>
    </w:p>
    <w:p w14:paraId="16ECEC39" w14:textId="77777777" w:rsidR="008D479B" w:rsidRDefault="008D479B" w:rsidP="008D479B">
      <w:pPr>
        <w:pStyle w:val="TextoNormal"/>
      </w:pPr>
    </w:p>
    <w:p w14:paraId="1AAA876F" w14:textId="0EF58A14" w:rsidR="008D479B" w:rsidRDefault="008D479B" w:rsidP="008D479B">
      <w:pPr>
        <w:pStyle w:val="TextoNormal"/>
      </w:pPr>
      <w:r w:rsidRPr="008D479B">
        <w:rPr>
          <w:rStyle w:val="NumeroAFNegritaCaracter"/>
        </w:rPr>
        <w:t>4</w:t>
      </w:r>
      <w:r>
        <w:t>. La Sección Tercera del Tribunal, por providencia de 28 de noviembre de 2022, acordó admitir a trámite el recurso de amparo, al apreciar que concurre en el mismo una especial trascendencia constitucional [art. 50.1 de la Ley Orgánica del Tribunal Constitucional (LOTC)] porque el recurso puede dar ocasión al Tribunal para aclarar o cambiar su doctrina, como consecuencia del surgimiento de nuevas realidades sociales [STC 155/2009, FJ 2 b)] y porque el asunto suscitado trasciende del caso concreto porque pudiera tener unas consecuencias políticas generales [STC 155/2009, FJ 2 g)]; dirigir atenta comunicación al Senado, a fin de que remitiera certificación o fotocopia adverada de las actuaciones y emplazamiento a quienes hubieran sido parte en el procedimiento para que pudieran comparecer en el recurso de amparo.</w:t>
      </w:r>
    </w:p>
    <w:p w14:paraId="401C8CE3" w14:textId="77777777" w:rsidR="008D479B" w:rsidRDefault="008D479B" w:rsidP="008D479B">
      <w:pPr>
        <w:pStyle w:val="TextoNormal"/>
      </w:pPr>
    </w:p>
    <w:p w14:paraId="4AE23626" w14:textId="6119B7EA" w:rsidR="008D479B" w:rsidRDefault="008D479B" w:rsidP="008D479B">
      <w:pPr>
        <w:pStyle w:val="TextoNormal"/>
      </w:pPr>
      <w:r w:rsidRPr="008D479B">
        <w:rPr>
          <w:rStyle w:val="NumeroAFNegritaCaracter"/>
        </w:rPr>
        <w:t>5</w:t>
      </w:r>
      <w:r>
        <w:t>. La Secretaría de Justicia de la Sala Segunda del Tribunal, por diligencia de ordenación de 14 de marzo de 2023, acordó tener por personado y parte a la letrada de las Cortes Generales, doña Isabel María Abellán Matesanz, al procurador don Emilio Martínez Benítez en nombre y representación de doña Vanessa Callau Miñarro y a la procuradora doña María del Pilar Hidalgo López en nombre y representación de los senadores del partido político Vox, don José Manuel Marín Gascón, doña Yolanda Merelo Palomares y doña María José Rodríguez de Millán Parro, acordándose entender con ellos, esta y las sucesivas diligencias en modo y forma legal, y darles vista de las actuaciones a fin de que, conforme con lo previsto en el art. 52.1 LOTC, pudieran presentar alegaciones.</w:t>
      </w:r>
    </w:p>
    <w:p w14:paraId="5C4C341B" w14:textId="77777777" w:rsidR="008D479B" w:rsidRDefault="008D479B" w:rsidP="008D479B">
      <w:pPr>
        <w:pStyle w:val="TextoNormal"/>
      </w:pPr>
    </w:p>
    <w:p w14:paraId="5E79DBF7" w14:textId="77777777" w:rsidR="008D479B" w:rsidRDefault="008D479B" w:rsidP="008D479B">
      <w:pPr>
        <w:pStyle w:val="TextoNormal"/>
      </w:pPr>
      <w:r w:rsidRPr="008D479B">
        <w:rPr>
          <w:rStyle w:val="NumeroAFNegritaCaracter"/>
        </w:rPr>
        <w:t>6</w:t>
      </w:r>
      <w:r>
        <w:t>. El Senado, mediante escrito registrado el 22 de marzo de 2023, presentó sus alegaciones solicitando la inadmisión del recurso de amparo por la defectuosa delimitación de su objeto, falta de legitimación o de capacidad activa de los recurrentes y falta de invocación en la vía parlamentaria del derecho fundamental. Y, subsidiariamente, la desestimación de la demanda al no haberse producido la vulneración del derecho de participación política en relación con el de representación (art. 23.1 y 2 CE) ni del principio de igualdad (art. 14 CE).</w:t>
      </w:r>
    </w:p>
    <w:p w14:paraId="71801420" w14:textId="77777777" w:rsidR="008D479B" w:rsidRDefault="008D479B" w:rsidP="008D479B">
      <w:pPr>
        <w:pStyle w:val="TextoNormal"/>
      </w:pPr>
    </w:p>
    <w:p w14:paraId="50D0E891" w14:textId="77777777" w:rsidR="008D479B" w:rsidRDefault="008D479B" w:rsidP="008D479B">
      <w:pPr>
        <w:pStyle w:val="TextoNormal"/>
      </w:pPr>
      <w:r>
        <w:t>Indica que los actos del presidente de la Cámara en materia de acatamiento son firmes y que “no cabe considerar[los] en modo alguno actos de trámite”, tal y como confirmó este tribunal en la STC 119/1990, de 21 de junio, FJ 1, por lo que el acuerdo que se recurre en realidad es el del presidente del Senado de 15 de febrero de 2022 y no los posteriores de 8 y 15 de febrero de 2022 de la mesa, cuya competencia para rectificar la actuación del presidente en relación con los acatamientos es más que discutible.</w:t>
      </w:r>
    </w:p>
    <w:p w14:paraId="61D0D049" w14:textId="77777777" w:rsidR="008D479B" w:rsidRDefault="008D479B" w:rsidP="008D479B">
      <w:pPr>
        <w:pStyle w:val="TextoNormal"/>
      </w:pPr>
    </w:p>
    <w:p w14:paraId="0388AC3E" w14:textId="77777777" w:rsidR="008D479B" w:rsidRDefault="008D479B" w:rsidP="008D479B">
      <w:pPr>
        <w:pStyle w:val="TextoNormal"/>
      </w:pPr>
      <w:r>
        <w:t>Destaca que el objeto del recurso interno no fue impugnar determinado acatamiento sino comprobar o verificar que la senadora había expresado, de forma clara e inequívoca, su voluntad de acatar la Constitución para, en caso de respuesta negativa, invalidar el acatamiento. Sin embargo, en la demanda de amparo los recurrentes van mucho más allá, solicitando expresamente que se revoque la condición de senadora de la declarante.</w:t>
      </w:r>
    </w:p>
    <w:p w14:paraId="372E81FE" w14:textId="77777777" w:rsidR="008D479B" w:rsidRDefault="008D479B" w:rsidP="008D479B">
      <w:pPr>
        <w:pStyle w:val="TextoNormal"/>
      </w:pPr>
    </w:p>
    <w:p w14:paraId="01FFF769" w14:textId="77777777" w:rsidR="008D479B" w:rsidRDefault="008D479B" w:rsidP="008D479B">
      <w:pPr>
        <w:pStyle w:val="TextoNormal"/>
      </w:pPr>
      <w:r>
        <w:t>En relación con la legitimación, refiere que no está expresamente atribuida en el reglamento la iniciativa del portavoz del grupo parlamentario para impugnar dicha actuación, porque no puede presumirse sin más que represente la voluntad de todos y cada uno de los miembros del grupo parlamentario (STC 24/2020, de 13 de febrero, FJ 4), si bien es una circunstancia meramente adjetiva y carente de consecuencias jurídicas en tanto que puede acogerse la tesis de que los senadores recurrentes actúan de forma individual y en su propio nombre (STC 98/2009, de 27 de abril, FJ 3). Aun así, afirma que los senadores recurrentes no son “persona directamente afectada” a los efectos del art. 46.1 a) LOTC, pese a que se pueda admitir el interés legitimador de los recurrentes, en cuanto senadores individuales (art. 162 CE, por error indica LOTC).</w:t>
      </w:r>
    </w:p>
    <w:p w14:paraId="012748DD" w14:textId="77777777" w:rsidR="008D479B" w:rsidRDefault="008D479B" w:rsidP="008D479B">
      <w:pPr>
        <w:pStyle w:val="TextoNormal"/>
      </w:pPr>
    </w:p>
    <w:p w14:paraId="6D4048B1" w14:textId="77777777" w:rsidR="008D479B" w:rsidRDefault="008D479B" w:rsidP="008D479B">
      <w:pPr>
        <w:pStyle w:val="TextoNormal"/>
      </w:pPr>
      <w:r>
        <w:t>Considera que concurre la falta de invocación del derecho lesionado en el procedimiento parlamentario previo [art. 44.1 c) LOTC], pues los recurrentes en ningún momento durante la sesión plenaria de 15 de febrero de 2022, en la que se realizó el acatamiento de la Constitución por la senadora Callau Miñarro, tomaron la palabra para alegar la lesión de sus derechos fundamentales, ni tampoco invocaron sus derechos en las solicitudes de revisión y reconsideración formuladas, siendo por primera vez en el recurso de amparo donde se invocan.</w:t>
      </w:r>
    </w:p>
    <w:p w14:paraId="4B2B7ABF" w14:textId="77777777" w:rsidR="008D479B" w:rsidRDefault="008D479B" w:rsidP="008D479B">
      <w:pPr>
        <w:pStyle w:val="TextoNormal"/>
      </w:pPr>
    </w:p>
    <w:p w14:paraId="307EAAF9" w14:textId="77777777" w:rsidR="008D479B" w:rsidRDefault="008D479B" w:rsidP="008D479B">
      <w:pPr>
        <w:pStyle w:val="TextoNormal"/>
      </w:pPr>
      <w:r>
        <w:t>A continuación, rechaza que se haya producido una vulneración de los derechos invocados. Indica que la vulneración del derecho fundamental debe ser efectiva y no viene determinada por la simple conculcación de las normas reglamentarias. Expone los precedentes del Senado a través de los diarios de sesiones de la XIV Legislatura y de las precedentes XIII, XII y XI, e indica que, con independencia de su valor normativo, de no haberse seguido tales precedentes en relación con la senadora hubiera supuesto una diferencia de trato, que como tal fue argumento esencial en la STC 119/1990. Añade, tras afirmar que no existe previsión normativa en el Reglamento de la Cámara que ampare el eventual control material de los acatamientos que pudiera hacer la mesa, que la motivación de los acuerdos de la mesa que desestimaron la solicitud de revisión no vulneró los derechos de los recurrentes.</w:t>
      </w:r>
    </w:p>
    <w:p w14:paraId="5BF02C5E" w14:textId="77777777" w:rsidR="008D479B" w:rsidRDefault="008D479B" w:rsidP="008D479B">
      <w:pPr>
        <w:pStyle w:val="TextoNormal"/>
      </w:pPr>
    </w:p>
    <w:p w14:paraId="75816189" w14:textId="77777777" w:rsidR="008D479B" w:rsidRDefault="008D479B" w:rsidP="008D479B">
      <w:pPr>
        <w:pStyle w:val="TextoNormal"/>
      </w:pPr>
      <w:r>
        <w:t>Refiere que, en contra de lo indicado por los recurrentes, no se aprecia en la fórmula empleada por la senadora señora Callau un “compromiso” —ni siquiera una voluntad— de vulnerar la Constitución ni de romper el orden constitucional, sin perjuicio de la posibilidad de alcanzar las metas mencionadas por los propios cauces que ofrece la Norma Fundamental. Considera que el presidente del Senado al aceptar la fórmula empleada estaba cumpliendo de forma escrupulosa con la interpretación que del artículo 11.3 RS ha hecho este tribunal en diversas sentencias y, específicamente, en la tan citada STC 74/1991, de 8 de abril, pues de lo contrario habría vulnerado el derecho fundamental de la senadora.</w:t>
      </w:r>
    </w:p>
    <w:p w14:paraId="13469CB1" w14:textId="77777777" w:rsidR="008D479B" w:rsidRDefault="008D479B" w:rsidP="008D479B">
      <w:pPr>
        <w:pStyle w:val="TextoNormal"/>
      </w:pPr>
    </w:p>
    <w:p w14:paraId="16517AB1" w14:textId="77777777" w:rsidR="008D479B" w:rsidRDefault="008D479B" w:rsidP="008D479B">
      <w:pPr>
        <w:pStyle w:val="TextoNormal"/>
      </w:pPr>
      <w:r>
        <w:t>Sostiene que no consta que el presidente del Senado no comprendiera la fórmula utilizada por la senadora y en todo caso la expresión “sí prometo” es idéntica en catalán y castellano, habiendo sido la utilización de la lengua catalana en el acto de acatamiento habitual en las legislaturas precedentes.</w:t>
      </w:r>
    </w:p>
    <w:p w14:paraId="7DD9E3BD" w14:textId="77777777" w:rsidR="008D479B" w:rsidRDefault="008D479B" w:rsidP="008D479B">
      <w:pPr>
        <w:pStyle w:val="TextoNormal"/>
      </w:pPr>
    </w:p>
    <w:p w14:paraId="1B3D50D2" w14:textId="77777777" w:rsidR="008D479B" w:rsidRDefault="008D479B" w:rsidP="008D479B">
      <w:pPr>
        <w:pStyle w:val="TextoNormal"/>
      </w:pPr>
      <w:r>
        <w:t>Afirma que la composición de la Cámara fue correcta porque todos los senadores cumplieron con la obligación de prestar acatamiento a la Constitución, habiendo quedado viciada la composición de la Cámara de no haberse aceptado la condición de senadora de la señora Callau.</w:t>
      </w:r>
    </w:p>
    <w:p w14:paraId="64212DF4" w14:textId="77777777" w:rsidR="008D479B" w:rsidRDefault="008D479B" w:rsidP="008D479B">
      <w:pPr>
        <w:pStyle w:val="TextoNormal"/>
      </w:pPr>
    </w:p>
    <w:p w14:paraId="2CCA1B58" w14:textId="77777777" w:rsidR="008D479B" w:rsidRDefault="008D479B" w:rsidP="008D479B">
      <w:pPr>
        <w:pStyle w:val="TextoNormal"/>
      </w:pPr>
      <w:r>
        <w:t>Considera que no existe, a tenor de la doctrina constitucional expuesta en la STC 10/1983, de 21 de febrero, una representación individual o propia de cada representante sino, por el contrario, una representación conjunta de todos los ciudadanos (“unidad de voluntad”) porque, como dicta nuestra Norma Fundamental: “Las Cortes Generales representan al pueblo español” (art. 66 CE).</w:t>
      </w:r>
    </w:p>
    <w:p w14:paraId="56C34CCD" w14:textId="77777777" w:rsidR="008D479B" w:rsidRDefault="008D479B" w:rsidP="008D479B">
      <w:pPr>
        <w:pStyle w:val="TextoNormal"/>
      </w:pPr>
    </w:p>
    <w:p w14:paraId="77C7BF40" w14:textId="1D6638A7" w:rsidR="008D479B" w:rsidRDefault="008D479B" w:rsidP="008D479B">
      <w:pPr>
        <w:pStyle w:val="TextoNormal"/>
      </w:pPr>
      <w:r>
        <w:t>Finalmente, refiere que no existió trato desigual pues todos los senadores acataron la Constitución.</w:t>
      </w:r>
    </w:p>
    <w:p w14:paraId="6AE50E98" w14:textId="77777777" w:rsidR="008D479B" w:rsidRDefault="008D479B" w:rsidP="008D479B">
      <w:pPr>
        <w:pStyle w:val="TextoNormal"/>
      </w:pPr>
    </w:p>
    <w:p w14:paraId="421946E1" w14:textId="5EC0EFFE" w:rsidR="008D479B" w:rsidRDefault="008D479B" w:rsidP="008D479B">
      <w:pPr>
        <w:pStyle w:val="TextoNormal"/>
      </w:pPr>
      <w:r w:rsidRPr="008D479B">
        <w:rPr>
          <w:rStyle w:val="NumeroAFNegritaCaracter"/>
        </w:rPr>
        <w:t>7</w:t>
      </w:r>
      <w:r>
        <w:t>. Los demandantes de amparo mediante escrito registrado el 23 de marzo de 2023 se ratificaron en las alegaciones formuladas en el escrito inicial de demanda.</w:t>
      </w:r>
    </w:p>
    <w:p w14:paraId="324372D2" w14:textId="77777777" w:rsidR="008D479B" w:rsidRDefault="008D479B" w:rsidP="008D479B">
      <w:pPr>
        <w:pStyle w:val="TextoNormal"/>
      </w:pPr>
    </w:p>
    <w:p w14:paraId="2FE7508B" w14:textId="77777777" w:rsidR="008D479B" w:rsidRDefault="008D479B" w:rsidP="008D479B">
      <w:pPr>
        <w:pStyle w:val="TextoNormal"/>
      </w:pPr>
      <w:r w:rsidRPr="008D479B">
        <w:rPr>
          <w:rStyle w:val="NumeroAFNegritaCaracter"/>
        </w:rPr>
        <w:t>8</w:t>
      </w:r>
      <w:r>
        <w:t>. El procurador de los tribunales don Emilio Martínez Benítez en representación de doña Vanessa Callau Miñarro, asistida del abogado don Marc Marsal i Ferret, solicitó que el Tribunal se declare incompetente para resolver el recurso de amparo y subsidiariamente que se inadmita la demanda en relación con todos los acuerdos o únicamente respecto de los acuerdos de la mesa y finalmente la desestimación de la totalidad del recurso de amparo.</w:t>
      </w:r>
    </w:p>
    <w:p w14:paraId="05E0DD0F" w14:textId="77777777" w:rsidR="008D479B" w:rsidRDefault="008D479B" w:rsidP="008D479B">
      <w:pPr>
        <w:pStyle w:val="TextoNormal"/>
      </w:pPr>
    </w:p>
    <w:p w14:paraId="11275353" w14:textId="77777777" w:rsidR="008D479B" w:rsidRDefault="008D479B" w:rsidP="008D479B">
      <w:pPr>
        <w:pStyle w:val="TextoNormal"/>
      </w:pPr>
      <w:r>
        <w:t>Comienza sus alegaciones reproduciendo la fórmula utilizada, destacando que en la misma no se incluye la expresión “presos políticos” o “por la libertad de los presos políticos” ni se refiere al “mandato del 1 de octubre”. Afirma que no está acreditado que el presidente del Senado no comprendiera el juramento. Y sostiene que el significado del término exiliado comprende a los que viven fuera de su patria voluntariamente o por fuerza.</w:t>
      </w:r>
    </w:p>
    <w:p w14:paraId="1D4F00C4" w14:textId="77777777" w:rsidR="008D479B" w:rsidRDefault="008D479B" w:rsidP="008D479B">
      <w:pPr>
        <w:pStyle w:val="TextoNormal"/>
      </w:pPr>
    </w:p>
    <w:p w14:paraId="2D723BC4" w14:textId="77777777" w:rsidR="008D479B" w:rsidRDefault="008D479B" w:rsidP="008D479B">
      <w:pPr>
        <w:pStyle w:val="TextoNormal"/>
      </w:pPr>
      <w:r>
        <w:t>Debe inadmitirse el recurso de amparo en relación con los acuerdos de la mesa pues el acto del presidente del Senado relativo a la promesa o juramento es firme y no revisable (STC 74/1991, de 8 de abril). Además, no se trata de una decisión de la Presidencia que niega la condición plena de miembro de la Cámara, por lo que los recurrentes no se ven afectados en su derecho y abusan del recurso de amparo pretendiendo que el Tribunal Constitucional amplíe sus competencias y ejerza el margen de apreciación que le corresponde a la Presidencia del Senado.</w:t>
      </w:r>
    </w:p>
    <w:p w14:paraId="4309EE7C" w14:textId="77777777" w:rsidR="008D479B" w:rsidRDefault="008D479B" w:rsidP="008D479B">
      <w:pPr>
        <w:pStyle w:val="TextoNormal"/>
      </w:pPr>
    </w:p>
    <w:p w14:paraId="408E758D" w14:textId="77777777" w:rsidR="008D479B" w:rsidRDefault="008D479B" w:rsidP="008D479B">
      <w:pPr>
        <w:pStyle w:val="TextoNormal"/>
      </w:pPr>
      <w:r>
        <w:t>Al no existir derechos fundamentales vulnerados el recurso de amparo debe inadmitirse por falta de legitimación de los recurrentes [art. 46.1 a) LOTC], pues en todos los casos en que el Tribunal Constitucional ha dictado sentencia en relación con la exigencia de acatamiento el titular del derecho era la persona a la que se le denegaba el acceso al cargo (SSTC 101/1983, de 18 de noviembre; 122/1983, de 16 de diciembre; 8/1985, de 25 de enero; 119/1990, de 21 de junio, y 74/1991, de 8 de abril). Con referencia al auto del Tribunal General (Sala Sexta) de 19 de noviembre de 2020 dictado en el asunto, T-32/20, sostiene que no afecta a los derechos de los diputados recurrentes la decisión de la Presidencia de la Cámara de aceptar el juramento o promesa, pues estos no pueden arrogarse como contenido de sus derechos aquello que concierne al Parlamento.</w:t>
      </w:r>
    </w:p>
    <w:p w14:paraId="282C4BC3" w14:textId="77777777" w:rsidR="008D479B" w:rsidRDefault="008D479B" w:rsidP="008D479B">
      <w:pPr>
        <w:pStyle w:val="TextoNormal"/>
      </w:pPr>
    </w:p>
    <w:p w14:paraId="1CAE3026" w14:textId="77777777" w:rsidR="008D479B" w:rsidRDefault="008D479B" w:rsidP="008D479B">
      <w:pPr>
        <w:pStyle w:val="TextoNormal"/>
      </w:pPr>
      <w:r>
        <w:t>Considera que en la identificación del motivo de especial trascendencia constitucional que ha motivado la admisión de la demanda de amparo la providencia incurre en falta de motivación al no argumentar cual es la “novedad” de la realidad social que determina la especial trascendencia constitucional y afirma que no concurren tampoco las “consecuencias políticas generales”.</w:t>
      </w:r>
    </w:p>
    <w:p w14:paraId="1A0C1BED" w14:textId="77777777" w:rsidR="008D479B" w:rsidRDefault="008D479B" w:rsidP="008D479B">
      <w:pPr>
        <w:pStyle w:val="TextoNormal"/>
      </w:pPr>
    </w:p>
    <w:p w14:paraId="39FC9D6F" w14:textId="77777777" w:rsidR="008D479B" w:rsidRDefault="008D479B" w:rsidP="008D479B">
      <w:pPr>
        <w:pStyle w:val="TextoNormal"/>
      </w:pPr>
      <w:r>
        <w:t>Entiende que no puede considerarse contrario a la Constitución desear el retorno de “aquellos exiliados (voluntarios o forzosos)” a los que se les imputaba el desproporcionado y desfasado delito de sedición, derogado por el legislador, pues se incurriría en censura contraria a los arts. 20.2 y 1.1 CE. No existe una democracia militante, ni se exige adhesión ideológica a la misma, por lo que no se puede exigir el requisito del juramento o promesa de acatamiento de la Constitución de un modo formalista y rigorista que vulneraría el derecho fundamental de los apartados 1 y 2 del art. 23 CE, en especial en relación con el respeto al pluralismo político (art. 1.1 CE), a la libertad ideológica (art. 16.1 CE) y a la libertad de expresión [art. 20.1 a) CE].</w:t>
      </w:r>
    </w:p>
    <w:p w14:paraId="7E77592D" w14:textId="77777777" w:rsidR="008D479B" w:rsidRDefault="008D479B" w:rsidP="008D479B">
      <w:pPr>
        <w:pStyle w:val="TextoNormal"/>
      </w:pPr>
    </w:p>
    <w:p w14:paraId="5C8A85C6" w14:textId="30D763EE" w:rsidR="008D479B" w:rsidRDefault="008D479B" w:rsidP="008D479B">
      <w:pPr>
        <w:pStyle w:val="TextoNormal"/>
      </w:pPr>
      <w:r>
        <w:t xml:space="preserve">Finalmente, considera que los recurrentes no pretenden —en su </w:t>
      </w:r>
      <w:r w:rsidRPr="008D479B">
        <w:rPr>
          <w:i/>
        </w:rPr>
        <w:t>petitum</w:t>
      </w:r>
      <w:r>
        <w:t>— que se declaren vulnerados sus derechos fundamentales (arts. 23.2 y 14 CE).</w:t>
      </w:r>
    </w:p>
    <w:p w14:paraId="696A2BCE" w14:textId="77777777" w:rsidR="008D479B" w:rsidRDefault="008D479B" w:rsidP="008D479B">
      <w:pPr>
        <w:pStyle w:val="TextoNormal"/>
      </w:pPr>
    </w:p>
    <w:p w14:paraId="7C8CE15F" w14:textId="77777777" w:rsidR="008D479B" w:rsidRDefault="008D479B" w:rsidP="008D479B">
      <w:pPr>
        <w:pStyle w:val="TextoNormal"/>
      </w:pPr>
      <w:r w:rsidRPr="008D479B">
        <w:rPr>
          <w:rStyle w:val="NumeroAFNegritaCaracter"/>
        </w:rPr>
        <w:t>9</w:t>
      </w:r>
      <w:r>
        <w:t>. Mediante escrito registrado el 11 de abril de 2023, la procuradora de los tribunales doña María del Pilar Hidalgo López, en nombre y representación de los senadores del partido político Vox don José Manuel Marín Gascón, doña Yolanda Merelo Palomares y doña María José Rodríguez de Millán Parro, solicitó la estimación de la demanda de amparo.</w:t>
      </w:r>
    </w:p>
    <w:p w14:paraId="2AA333BF" w14:textId="77777777" w:rsidR="008D479B" w:rsidRDefault="008D479B" w:rsidP="008D479B">
      <w:pPr>
        <w:pStyle w:val="TextoNormal"/>
      </w:pPr>
    </w:p>
    <w:p w14:paraId="1C25532B" w14:textId="77777777" w:rsidR="008D479B" w:rsidRDefault="008D479B" w:rsidP="008D479B">
      <w:pPr>
        <w:pStyle w:val="TextoNormal"/>
      </w:pPr>
      <w:r>
        <w:t>Con cita de la doctrina constitucional en relación con las fórmulas de juramento o promesa del deber de acatar la Constitución, entienden que la fórmula utilizada debe contextualizarse en el marco del “procés” y las sentencias dictadas por el Tribunal Constitucional y por el Tribunal Supremo, para concluir que la fórmula empleada por la señora Vanessa Callau Miñarro de ningún modo satisfizo el requisito formal de acatamiento de la Constitución para la adquisición plena de la condición de senadora.</w:t>
      </w:r>
    </w:p>
    <w:p w14:paraId="5FB30EC0" w14:textId="77777777" w:rsidR="008D479B" w:rsidRDefault="008D479B" w:rsidP="008D479B">
      <w:pPr>
        <w:pStyle w:val="TextoNormal"/>
      </w:pPr>
    </w:p>
    <w:p w14:paraId="59C7ABB7" w14:textId="77777777" w:rsidR="008D479B" w:rsidRDefault="008D479B" w:rsidP="008D479B">
      <w:pPr>
        <w:pStyle w:val="TextoNormal"/>
      </w:pPr>
      <w:r>
        <w:t xml:space="preserve">Indica que la aceptación de la fórmula empleada por la senadora de juramento o promesa del deber de acatar la Constitución determinó que el Senado estuviera formado por personas que legítimamente no tienen la condición de senador y vulneró el núcleo esencial del </w:t>
      </w:r>
      <w:r w:rsidRPr="008D479B">
        <w:rPr>
          <w:i/>
        </w:rPr>
        <w:t>ius in officium</w:t>
      </w:r>
      <w:r>
        <w:t xml:space="preserve"> de “mis representados”, al incumplirse las reglas de acceso a la condición de senador.</w:t>
      </w:r>
    </w:p>
    <w:p w14:paraId="6F50CA64" w14:textId="77777777" w:rsidR="008D479B" w:rsidRDefault="008D479B" w:rsidP="008D479B">
      <w:pPr>
        <w:pStyle w:val="TextoNormal"/>
      </w:pPr>
    </w:p>
    <w:p w14:paraId="7E1F924F" w14:textId="77777777" w:rsidR="008D479B" w:rsidRDefault="008D479B" w:rsidP="008D479B">
      <w:pPr>
        <w:pStyle w:val="TextoNormal"/>
      </w:pPr>
      <w:r>
        <w:t>Resulta evidente que el presidente del Senado tenía la obligación de impedir que, en la expresión del acatamiento a la Constitución, como requisito formal en el que los señores senadores asumen el relevante compromiso de acatar las reglas del juego democrático, se introdujeran expresiones que no solo desvirtuaban por completo el supuesto acatamiento, sino que tenían por única finalidad dar continuidad a iniciativas que, por la vía de los hechos, pretendían una ruptura completa del marco constitucional.</w:t>
      </w:r>
    </w:p>
    <w:p w14:paraId="6667716B" w14:textId="77777777" w:rsidR="008D479B" w:rsidRDefault="008D479B" w:rsidP="008D479B">
      <w:pPr>
        <w:pStyle w:val="TextoNormal"/>
      </w:pPr>
    </w:p>
    <w:p w14:paraId="37F0FA48" w14:textId="15528CE6" w:rsidR="008D479B" w:rsidRDefault="008D479B" w:rsidP="008D479B">
      <w:pPr>
        <w:pStyle w:val="TextoNormal"/>
      </w:pPr>
      <w:r>
        <w:t>Esta irregular conformación de la Cámara afecta a las funciones básicas de la misma, dando plena participación en los debates, en las votaciones, en la tramitación y aprobación de leyes, y en las decisiones internas de la Cámara a quienes no deberían encontrarse en el pleno ejercicio del cargo representativo al no haber cumplido con el requisito mínimo inexcusable de aceptar previamente esas reglas insoslayables de la democracia.</w:t>
      </w:r>
    </w:p>
    <w:p w14:paraId="2142729C" w14:textId="77777777" w:rsidR="008D479B" w:rsidRDefault="008D479B" w:rsidP="008D479B">
      <w:pPr>
        <w:pStyle w:val="TextoNormal"/>
      </w:pPr>
    </w:p>
    <w:p w14:paraId="2F5AE274" w14:textId="77777777" w:rsidR="008D479B" w:rsidRDefault="008D479B" w:rsidP="008D479B">
      <w:pPr>
        <w:pStyle w:val="TextoNormal"/>
      </w:pPr>
      <w:r w:rsidRPr="008D479B">
        <w:rPr>
          <w:rStyle w:val="NumeroAFNegritaCaracter"/>
        </w:rPr>
        <w:t>10</w:t>
      </w:r>
      <w:r>
        <w:t>. El Ministerio Fiscal, mediante escrito registrado el 26 de abril de 2023, presentó sus alegaciones interesando la inadmisión del recurso de amparo y subsidiariamente su desestimación.</w:t>
      </w:r>
    </w:p>
    <w:p w14:paraId="57D787D6" w14:textId="77777777" w:rsidR="008D479B" w:rsidRDefault="008D479B" w:rsidP="008D479B">
      <w:pPr>
        <w:pStyle w:val="TextoNormal"/>
      </w:pPr>
    </w:p>
    <w:p w14:paraId="16442D95" w14:textId="77777777" w:rsidR="008D479B" w:rsidRDefault="008D479B" w:rsidP="008D479B">
      <w:pPr>
        <w:pStyle w:val="TextoNormal"/>
      </w:pPr>
      <w:r>
        <w:t>El Ministerio Fiscal considera que, en tanto que el recurso de amparo aparece interpuesto por quienes tienen la condición de senadores y el derecho invocado es de titularidad individual, se excluye cualquier problema de legitimación y, aunque el derecho concernido no puede ser el contenido en el art. 23.1 CE, las referencias que se efectúan al art. 23.2 CE y la estrecha vinculación entre ambos despejan cualquier problema que pudiera afectar a la legitimación de los recurrentes.</w:t>
      </w:r>
    </w:p>
    <w:p w14:paraId="0D828DAA" w14:textId="77777777" w:rsidR="008D479B" w:rsidRDefault="008D479B" w:rsidP="008D479B">
      <w:pPr>
        <w:pStyle w:val="TextoNormal"/>
      </w:pPr>
    </w:p>
    <w:p w14:paraId="16DB9A72" w14:textId="77777777" w:rsidR="008D479B" w:rsidRDefault="008D479B" w:rsidP="008D479B">
      <w:pPr>
        <w:pStyle w:val="TextoNormal"/>
      </w:pPr>
      <w:r>
        <w:t>Indica que no consta que se haya invocado en vía parlamentaria la vulneración de los derechos fundamentales alegados en el recurso de amparo, para el caso de que la vía de impugnación —revisión y reconsideración ante la mesa del Senado— se considere útil y necesaria.</w:t>
      </w:r>
    </w:p>
    <w:p w14:paraId="5D60A55F" w14:textId="77777777" w:rsidR="008D479B" w:rsidRDefault="008D479B" w:rsidP="008D479B">
      <w:pPr>
        <w:pStyle w:val="TextoNormal"/>
      </w:pPr>
    </w:p>
    <w:p w14:paraId="1E7882C4" w14:textId="77777777" w:rsidR="008D479B" w:rsidRDefault="008D479B" w:rsidP="008D479B">
      <w:pPr>
        <w:pStyle w:val="TextoNormal"/>
      </w:pPr>
      <w:r>
        <w:t xml:space="preserve">El Ministerio Fiscal rechaza el reproche que los recurrentes fundamentan en la posible falta de conocimiento del idioma por el presidente del Senado, pues la respuesta dada a la pregunta de la Presidencia fue inequívoca y en términos iguales a los que se emplearían en castellano, sin que quepa establecer una presunción </w:t>
      </w:r>
      <w:r w:rsidRPr="008D479B">
        <w:rPr>
          <w:i/>
        </w:rPr>
        <w:t>iuris tantum</w:t>
      </w:r>
      <w:r>
        <w:t xml:space="preserve"> de desacierto en la decisión del presidente del Senado.</w:t>
      </w:r>
    </w:p>
    <w:p w14:paraId="1EC6F1F1" w14:textId="77777777" w:rsidR="008D479B" w:rsidRDefault="008D479B" w:rsidP="008D479B">
      <w:pPr>
        <w:pStyle w:val="TextoNormal"/>
      </w:pPr>
    </w:p>
    <w:p w14:paraId="5FB09920" w14:textId="77777777" w:rsidR="008D479B" w:rsidRDefault="008D479B" w:rsidP="008D479B">
      <w:pPr>
        <w:pStyle w:val="TextoNormal"/>
      </w:pPr>
      <w:r>
        <w:t>Añade que la valoración que los recurrentes realizan del contenido y alcance de las expresiones utilizadas por la señora Callau se basa en una interpretación subjetiva o en juicios de intenciones, que no pueden desplazar el criterio de los órganos competentes del Senado. La fórmula utilizada incluye la afirmación explícita y formal de acatamiento (sí prometo). Entiende que las valoraciones en las que se apoyan los recurrentes son fácilmente reversibles, por lo que las mismas no son suficientes ni idóneas para considerar contrarias a derecho las decisiones que impugnan.</w:t>
      </w:r>
    </w:p>
    <w:p w14:paraId="3DDB5CC4" w14:textId="77777777" w:rsidR="008D479B" w:rsidRDefault="008D479B" w:rsidP="008D479B">
      <w:pPr>
        <w:pStyle w:val="TextoNormal"/>
      </w:pPr>
    </w:p>
    <w:p w14:paraId="636600AA" w14:textId="77777777" w:rsidR="008D479B" w:rsidRDefault="008D479B" w:rsidP="008D479B">
      <w:pPr>
        <w:pStyle w:val="TextoNormal"/>
      </w:pPr>
      <w:r>
        <w:t>Un pretendido control material, como el que parecen promover los demandantes, del compromiso constitucional de cada senador atendiendo a su forma de exteriorización, además de generar consecuencias políticas potenciales de conversión en fuerzas extraparlamentarias de todas las organizaciones políticas que no compartan el contenido material de la Constitución, sería difícilmente conciliable con la doctrina de la no militancia.</w:t>
      </w:r>
    </w:p>
    <w:p w14:paraId="0693CB6A" w14:textId="77777777" w:rsidR="008D479B" w:rsidRDefault="008D479B" w:rsidP="008D479B">
      <w:pPr>
        <w:pStyle w:val="TextoNormal"/>
      </w:pPr>
    </w:p>
    <w:p w14:paraId="2283523B" w14:textId="77777777" w:rsidR="008D479B" w:rsidRDefault="008D479B" w:rsidP="008D479B">
      <w:pPr>
        <w:pStyle w:val="TextoNormal"/>
      </w:pPr>
      <w:r>
        <w:t>Afirma que, si en nuestro ordenamiento constitucional no tiene cabida un modelo de democracia militante, ese objetivo de integración impone por coherencia un criterio muy restrictivo a la hora de delimitar, no el efecto excluyente del requisito formal, cuyo valor significativo ha sido confirmado por el Tribunal al declararlo conforme a la Constitución, sino el sentido que es propio de ese requisito. Esto es, distinguir situaciones en las que dicho acatamiento formal pueda eventualmente ir acompañado de manifestaciones de contenido y alcance netamente político, generador o incluso directa y deliberadamente provocador, de aquellos otros supuestos en que se formula una declaración claramente equivalente a una negativa abierta a acatar la Constitución.</w:t>
      </w:r>
    </w:p>
    <w:p w14:paraId="62297D87" w14:textId="77777777" w:rsidR="008D479B" w:rsidRDefault="008D479B" w:rsidP="008D479B">
      <w:pPr>
        <w:pStyle w:val="TextoNormal"/>
      </w:pPr>
    </w:p>
    <w:p w14:paraId="1498DA6B" w14:textId="77777777" w:rsidR="008D479B" w:rsidRDefault="008D479B" w:rsidP="008D479B">
      <w:pPr>
        <w:pStyle w:val="TextoNormal"/>
      </w:pPr>
      <w:r>
        <w:t>Afirma por otra parte que la incorrecta conformación de la composición de las Cámaras no ocasiona una efectiva o potencial limitación de sus propios derechos a ejercer la representación política. Tampoco cabe invocar la igualdad para oponerse al reconocimiento público del derecho fundamental ajeno. Señala que los parlamentarios invocan la mera privación de una consecuencia objetiva —en realidad un efecto colateral para ellos potencialmente ventajoso— que derivaría de la restricción del ejercicio del derecho de otros senadores. Se edifica un derecho propio con materiales procedentes de la restricción de otros derechos.</w:t>
      </w:r>
    </w:p>
    <w:p w14:paraId="649E1009" w14:textId="77777777" w:rsidR="008D479B" w:rsidRDefault="008D479B" w:rsidP="008D479B">
      <w:pPr>
        <w:pStyle w:val="TextoNormal"/>
      </w:pPr>
    </w:p>
    <w:p w14:paraId="10CDCC2E" w14:textId="2EEF413D" w:rsidR="008D479B" w:rsidRDefault="008D479B" w:rsidP="008D479B">
      <w:pPr>
        <w:pStyle w:val="TextoNormal"/>
      </w:pPr>
      <w:r>
        <w:t>Por último, considera que al invocar el principio de igualdad (art. 14 CE) la demanda se limita a reiterar los mismos argumentos en los que apoya la supuesta vulneración del art. 23 CE.</w:t>
      </w:r>
    </w:p>
    <w:p w14:paraId="2FF7334C" w14:textId="77777777" w:rsidR="008D479B" w:rsidRDefault="008D479B" w:rsidP="008D479B">
      <w:pPr>
        <w:pStyle w:val="TextoNormal"/>
      </w:pPr>
    </w:p>
    <w:p w14:paraId="3F992567" w14:textId="713CB48F" w:rsidR="008D479B" w:rsidRDefault="008D479B" w:rsidP="008D479B">
      <w:pPr>
        <w:pStyle w:val="TextoNormal"/>
      </w:pPr>
      <w:r w:rsidRPr="008D479B">
        <w:rPr>
          <w:rStyle w:val="NumeroAFNegritaCaracter"/>
        </w:rPr>
        <w:t>11</w:t>
      </w:r>
      <w:r>
        <w:t>. Por providencia de 19 de octubre de 2023 se señaló para deliberación y votación de la presente sentencia el día 23 del mismo mes y año.</w:t>
      </w:r>
    </w:p>
    <w:p w14:paraId="185C1528" w14:textId="77777777" w:rsidR="008D479B" w:rsidRDefault="008D479B" w:rsidP="008D479B">
      <w:pPr>
        <w:pStyle w:val="TextoNormal"/>
      </w:pPr>
    </w:p>
    <w:p w14:paraId="71797BB0" w14:textId="77777777" w:rsidR="008D479B" w:rsidRDefault="008D479B" w:rsidP="008D479B">
      <w:pPr>
        <w:pStyle w:val="TextoNormalNegritaCentrado"/>
        <w:keepNext/>
      </w:pPr>
      <w:r>
        <w:t>II. Fundamentos jurídicos</w:t>
      </w:r>
    </w:p>
    <w:p w14:paraId="7FE5D051" w14:textId="2E759FA0" w:rsidR="008D479B" w:rsidRDefault="008D479B" w:rsidP="008D479B">
      <w:pPr>
        <w:pStyle w:val="TextoNormalNegritaCentrado"/>
        <w:keepNext/>
      </w:pPr>
    </w:p>
    <w:p w14:paraId="596EECE2" w14:textId="77777777" w:rsidR="008D479B" w:rsidRDefault="008D479B" w:rsidP="008D479B">
      <w:pPr>
        <w:pStyle w:val="TextoNormal"/>
      </w:pPr>
      <w:r w:rsidRPr="008D479B">
        <w:rPr>
          <w:rStyle w:val="NumeroAFNegritaCaracter"/>
        </w:rPr>
        <w:t>1</w:t>
      </w:r>
      <w:r>
        <w:t xml:space="preserve">. </w:t>
      </w:r>
      <w:r w:rsidRPr="008D479B">
        <w:rPr>
          <w:i/>
        </w:rPr>
        <w:t>Objeto del recurso</w:t>
      </w:r>
    </w:p>
    <w:p w14:paraId="19D4DFAB" w14:textId="77777777" w:rsidR="008D479B" w:rsidRDefault="008D479B" w:rsidP="008D479B">
      <w:pPr>
        <w:pStyle w:val="TextoNormal"/>
      </w:pPr>
    </w:p>
    <w:p w14:paraId="229088D2" w14:textId="713D8383" w:rsidR="008D479B" w:rsidRDefault="008D479B" w:rsidP="008D479B">
      <w:pPr>
        <w:pStyle w:val="TextoNormal"/>
      </w:pPr>
      <w:r>
        <w:t>El objeto del presente recurso es determinar si —como sostienen los recurrentes— el acuerdo del presidente del Senado, adoptado en la sesión plenaria celebrada el 15 de febrero de 2022, de tener por debidamente prestado el juramento o promesa de acatamiento de la Constitución de doña Vanessa Callau Miñarro y, por tanto, por adquirida la condición plena de senadora pese a que utilizó una fórmula de acatamiento añadida a la expresión “sí juro o prometo”, ha vulnerado el derecho de representación política (art. 23 CE) de los senadores demandantes de amparo.</w:t>
      </w:r>
    </w:p>
    <w:p w14:paraId="5D141F52" w14:textId="77777777" w:rsidR="008D479B" w:rsidRDefault="008D479B" w:rsidP="008D479B">
      <w:pPr>
        <w:pStyle w:val="TextoNormal"/>
      </w:pPr>
    </w:p>
    <w:p w14:paraId="1513976C" w14:textId="77777777" w:rsidR="008D479B" w:rsidRDefault="008D479B" w:rsidP="008D479B">
      <w:pPr>
        <w:pStyle w:val="TextoNormal"/>
      </w:pPr>
      <w:r w:rsidRPr="008D479B">
        <w:rPr>
          <w:rStyle w:val="NumeroAFNegritaCaracter"/>
        </w:rPr>
        <w:t>2</w:t>
      </w:r>
      <w:r>
        <w:t xml:space="preserve">. </w:t>
      </w:r>
      <w:r w:rsidRPr="008D479B">
        <w:rPr>
          <w:i/>
        </w:rPr>
        <w:t>Aplicación de la doctrina constitucional expuesta en la STC 65/2023, de 6 de junio</w:t>
      </w:r>
    </w:p>
    <w:p w14:paraId="69AFE50E" w14:textId="77777777" w:rsidR="008D479B" w:rsidRDefault="008D479B" w:rsidP="008D479B">
      <w:pPr>
        <w:pStyle w:val="TextoNormal"/>
      </w:pPr>
    </w:p>
    <w:p w14:paraId="41138A0C" w14:textId="18F99CE0" w:rsidR="008D479B" w:rsidRDefault="008D479B" w:rsidP="008D479B">
      <w:pPr>
        <w:pStyle w:val="TextoNormal"/>
      </w:pPr>
      <w:r>
        <w:t xml:space="preserve">La cuestión de fondo planteada en el presente recurso de amparo coincide con la resuelta en la STC 65/2023, de 6 de junio, por lo que debemos remitirnos a su fundamento jurídico 2, relativo a la desestimación de las causas de inadmisión alegadas; a su fundamento jurídico 3, relativo a la doctrina constitucional sobre el derecho de representación política (art. 23.2 CE) y su proyección a las decisiones de los órganos parlamentarios sobre el ejercicio del </w:t>
      </w:r>
      <w:r w:rsidRPr="008D479B">
        <w:rPr>
          <w:i/>
        </w:rPr>
        <w:t>ius in officium</w:t>
      </w:r>
      <w:r>
        <w:t xml:space="preserve"> de parlamentarios distintos de los demandantes de amparo; y a su FJ 4, en el que aplicamos dicha jurisprudencia al </w:t>
      </w:r>
      <w:r w:rsidRPr="008D479B">
        <w:rPr>
          <w:i/>
        </w:rPr>
        <w:t>ius in officium</w:t>
      </w:r>
      <w:r>
        <w:t xml:space="preserve"> de los demandantes y desestimamos el recurso de amparo, al concluir que “[la fórmula] de acatamiento que los demandantes consideran contrarias a la legalidad parlamentaria […] no afecta al derecho de estos últimos a ejercer también en plenitud sus funciones parlamentarias de acuerdo con las previsiones legales, que no se ve restringido en ningún momento. Esto es lo determinante para que este tribunal aprecie que los demandantes de amparo no han identificado ningún concreto derecho o facultad conformador de su estatuto legal […] que haya quedado limitado o afectado por la decisión parlamentaria impugnada en este amparo que permita considerar que se ha visto afectado su derecho de representación política reconocido en el art. 23.2 CE”.</w:t>
      </w:r>
    </w:p>
    <w:p w14:paraId="242FC1DC" w14:textId="77777777" w:rsidR="008D479B" w:rsidRDefault="008D479B" w:rsidP="008D479B">
      <w:pPr>
        <w:pStyle w:val="TextoNormal"/>
      </w:pPr>
    </w:p>
    <w:p w14:paraId="46FF0993" w14:textId="77777777" w:rsidR="008D479B" w:rsidRDefault="008D479B" w:rsidP="008D479B">
      <w:pPr>
        <w:pStyle w:val="TextoNormalCentrado"/>
        <w:keepNext/>
      </w:pPr>
      <w:r>
        <w:t>FALLO</w:t>
      </w:r>
    </w:p>
    <w:p w14:paraId="6EF0A19E" w14:textId="207516F9" w:rsidR="008D479B" w:rsidRDefault="008D479B" w:rsidP="008D479B">
      <w:pPr>
        <w:pStyle w:val="TextoNormalCentrado"/>
        <w:keepNext/>
      </w:pPr>
    </w:p>
    <w:p w14:paraId="71C1DB74" w14:textId="350CEBB9" w:rsidR="008D479B" w:rsidRDefault="008D479B" w:rsidP="008D479B">
      <w:pPr>
        <w:pStyle w:val="TextoNormal"/>
      </w:pPr>
      <w:r>
        <w:t>En atención a todo lo expuesto, el Tribunal Constitucional, por la autoridad que le confiere la Constitución de la Nación española, ha decidido desestimar el recurso de amparo interpuesto por don Javier Ignacio Maroto Aranzábal y doña Salomé Pradas Ten.</w:t>
      </w:r>
    </w:p>
    <w:p w14:paraId="0532FD2C" w14:textId="77777777" w:rsidR="008D479B" w:rsidRDefault="008D479B" w:rsidP="008D479B">
      <w:pPr>
        <w:pStyle w:val="TextoNormal"/>
      </w:pPr>
    </w:p>
    <w:p w14:paraId="51D1CE41" w14:textId="77777777" w:rsidR="008D479B" w:rsidRDefault="008D479B" w:rsidP="008D479B">
      <w:pPr>
        <w:pStyle w:val="TextoNormal"/>
      </w:pPr>
      <w:r>
        <w:t>Publíquese esta sentencia en el “Boletín Oficial del Estado”.</w:t>
      </w:r>
    </w:p>
    <w:p w14:paraId="233179EF" w14:textId="77777777" w:rsidR="008D479B" w:rsidRDefault="008D479B" w:rsidP="008D479B">
      <w:pPr>
        <w:pStyle w:val="TextoNormal"/>
      </w:pPr>
      <w:r>
        <w:t>Dada en Madrid, a veintitrés de octubre de dos mil veintitrés.</w:t>
      </w:r>
    </w:p>
    <w:p w14:paraId="4AE0A6DE" w14:textId="78E27864" w:rsidR="008D479B" w:rsidRDefault="008D479B" w:rsidP="008D479B">
      <w:pPr>
        <w:pStyle w:val="ParrafoNormal"/>
      </w:pPr>
    </w:p>
    <w:p w14:paraId="413A92B2" w14:textId="77777777" w:rsidR="008D479B" w:rsidRDefault="008D479B" w:rsidP="008D479B">
      <w:pPr>
        <w:pStyle w:val="TextoNormalNegritaCentrado"/>
        <w:keepNext/>
      </w:pPr>
      <w:r>
        <w:t>Voto particular que formulan los magistrados don Enrique Arnaldo Alcubilla y don César Tolosa Tribiño a la sentencia dictada en el recurso de amparo núm. 3293-2022</w:t>
      </w:r>
    </w:p>
    <w:p w14:paraId="3286A1BD" w14:textId="71F78F1F" w:rsidR="008D479B" w:rsidRDefault="008D479B" w:rsidP="008D479B">
      <w:pPr>
        <w:pStyle w:val="TextoNormalNegritaCentrado"/>
        <w:keepNext/>
      </w:pPr>
    </w:p>
    <w:p w14:paraId="44F8A563" w14:textId="77777777" w:rsidR="008D479B" w:rsidRDefault="008D479B" w:rsidP="008D479B">
      <w:pPr>
        <w:pStyle w:val="TextoNormal"/>
      </w:pPr>
      <w:r>
        <w:t>En el ejercicio de la facultad que nos confiere el artículo 90.2 de la Ley Orgánica del Tribunal Constitucional (LOTC), y con respeto a la opinión de la mayoría de la Sala, formulamos el presente voto particular por discrepar de la fundamentación y del fallo de la sentencia recaída en el recurso de amparo núm. 3293-2022, que debió ser estimado, declarando haberse producido la vulneración del derecho de los parlamentarios recurrentes al acceso y al ejercicio del cargo público representativo en condiciones de igualdad (art. 23.2 CE), así como la vulneración del derecho de los ciudadanos a participar en los asuntos públicos a través de sus representantes (art. 23.1 CE).</w:t>
      </w:r>
    </w:p>
    <w:p w14:paraId="66B4542F" w14:textId="77777777" w:rsidR="008D479B" w:rsidRDefault="008D479B" w:rsidP="008D479B">
      <w:pPr>
        <w:pStyle w:val="TextoNormal"/>
      </w:pPr>
    </w:p>
    <w:p w14:paraId="5B5FB6B0" w14:textId="77777777" w:rsidR="008D479B" w:rsidRDefault="008D479B" w:rsidP="008D479B">
      <w:pPr>
        <w:pStyle w:val="TextoNormal"/>
      </w:pPr>
      <w:r>
        <w:t>Las razones de la discrepancia quedaron detalladamente expuestas en el voto particular formulado a la STC 65/2023, de 6 de junio, de la que la presente resolución es aplicación, por lo que hemos de remitirnos ahora a dicho voto particular en su totalidad.</w:t>
      </w:r>
    </w:p>
    <w:p w14:paraId="7C757E2F" w14:textId="77777777" w:rsidR="008D479B" w:rsidRDefault="008D479B" w:rsidP="008D479B">
      <w:pPr>
        <w:pStyle w:val="TextoNormal"/>
      </w:pPr>
    </w:p>
    <w:p w14:paraId="6F204195" w14:textId="4276DE77" w:rsidR="008D479B" w:rsidRDefault="008D479B" w:rsidP="008D479B">
      <w:pPr>
        <w:pStyle w:val="TextoNormal"/>
      </w:pPr>
      <w:r>
        <w:t>Madrid, a veintitrés de octubre de dos mil veintitrés.</w:t>
      </w:r>
    </w:p>
    <w:p w14:paraId="18748DAD" w14:textId="4A6BEA1B" w:rsidR="008D479B" w:rsidRDefault="008D479B">
      <w:pPr>
        <w:spacing w:after="160" w:line="278" w:lineRule="auto"/>
        <w:rPr>
          <w:rFonts w:ascii="Times New Roman" w:eastAsia="Times New Roman" w:hAnsi="Times New Roman" w:cs="Times New Roman"/>
          <w:sz w:val="24"/>
          <w:szCs w:val="24"/>
          <w:lang w:eastAsia="es-ES"/>
        </w:rPr>
      </w:pPr>
      <w:r>
        <w:br w:type="page"/>
      </w:r>
    </w:p>
    <w:p w14:paraId="72407FA3" w14:textId="77777777" w:rsidR="008D479B" w:rsidRDefault="008D479B" w:rsidP="008D479B">
      <w:pPr>
        <w:pStyle w:val="TtuloResolucin"/>
      </w:pPr>
      <w:bookmarkStart w:id="61" w:name="SENTENCIA_2023_136"/>
      <w:r>
        <w:t>SENTENCIA 136/2023, de 23 de octubre de 2023</w:t>
      </w:r>
    </w:p>
    <w:bookmarkEnd w:id="61"/>
    <w:p w14:paraId="4D5756E1" w14:textId="77777777" w:rsidR="008D479B" w:rsidRDefault="008D479B" w:rsidP="008D479B">
      <w:pPr>
        <w:pStyle w:val="TtuloResolucin"/>
      </w:pPr>
      <w:r>
        <w:t>Sala Primera</w:t>
      </w:r>
    </w:p>
    <w:p w14:paraId="6F471C91" w14:textId="77777777" w:rsidR="008D479B" w:rsidRDefault="008D479B" w:rsidP="008D479B">
      <w:pPr>
        <w:pStyle w:val="TtuloBOE"/>
      </w:pPr>
      <w:r>
        <w:t>(BOE núm. 286, de 30 de noviembre de 2023)</w:t>
      </w:r>
    </w:p>
    <w:p w14:paraId="65C3BC3E" w14:textId="77777777" w:rsidR="008D479B" w:rsidRDefault="008D479B" w:rsidP="008D479B">
      <w:pPr>
        <w:pStyle w:val="TextoNormalCentrado"/>
      </w:pPr>
      <w:r>
        <w:t>ECLI:ES:TC:2023:136</w:t>
      </w:r>
    </w:p>
    <w:p w14:paraId="5F7C07D5" w14:textId="3445686C" w:rsidR="008D479B" w:rsidRDefault="008D479B" w:rsidP="008D479B">
      <w:pPr>
        <w:pStyle w:val="TextoNormalCentrado"/>
      </w:pPr>
    </w:p>
    <w:p w14:paraId="502B1808" w14:textId="77777777" w:rsidR="008D479B" w:rsidRDefault="008D479B" w:rsidP="008D479B">
      <w:pPr>
        <w:pStyle w:val="SntesisDescriptiva"/>
      </w:pPr>
      <w:r>
        <w:t>Recurso de amparo 5402-2022. Promovido por don Constantin Apreutesei en relación con los autos de la Audiencia Provincial de Málaga y un juzgado de instrucción de Marbella acordando el mantenimiento de la medida cautelar de prisión provisional.</w:t>
      </w:r>
    </w:p>
    <w:p w14:paraId="3F86C3A1" w14:textId="300BCFAE" w:rsidR="008D479B" w:rsidRDefault="008D479B" w:rsidP="008D479B">
      <w:pPr>
        <w:pStyle w:val="SntesisDescriptiva"/>
      </w:pPr>
    </w:p>
    <w:p w14:paraId="78508AB2" w14:textId="77777777" w:rsidR="008D479B" w:rsidRDefault="008D479B" w:rsidP="008D479B">
      <w:pPr>
        <w:pStyle w:val="SntesisAnaltica"/>
      </w:pPr>
      <w:r>
        <w:t>Vulneración del derecho a la libertad personal: resoluciones judiciales que no computan el período de privación de libertad transcurrido en Rumanía en cumplimiento de una orden europea de detención y entrega expedida por las autoridades judiciales españolas (STC 143/2022).</w:t>
      </w:r>
    </w:p>
    <w:p w14:paraId="6854AFD4" w14:textId="1B2868FE" w:rsidR="008D479B" w:rsidRDefault="008D479B" w:rsidP="008D479B">
      <w:pPr>
        <w:pStyle w:val="SntesisAnaltica"/>
      </w:pPr>
    </w:p>
    <w:p w14:paraId="3D84DF48" w14:textId="18D06F3C" w:rsidR="008D479B" w:rsidRDefault="008D479B" w:rsidP="008D479B">
      <w:pPr>
        <w:pStyle w:val="Extracto"/>
      </w:pPr>
      <w:r>
        <w:t>1.</w:t>
      </w:r>
      <w:r>
        <w:tab/>
        <w:t>Reiteración de doctrina establecida en la STC 143/2022, que enumera los principios a tener en cuenta a la hora de determinar el cómputo de los periodos de privación de libertad en el extranjero como consecuencia de decisiones adoptadas por los órganos judiciales españoles: (i) el principio de</w:t>
      </w:r>
      <w:r w:rsidRPr="008D479B">
        <w:rPr>
          <w:i/>
        </w:rPr>
        <w:t xml:space="preserve"> favor libertatis </w:t>
      </w:r>
      <w:r>
        <w:t xml:space="preserve">o </w:t>
      </w:r>
      <w:r w:rsidRPr="008D479B">
        <w:rPr>
          <w:i/>
        </w:rPr>
        <w:t>in dubio pro libertate</w:t>
      </w:r>
      <w:r>
        <w:t>; (ii) la exigencia de una certeza o previsibilidad sobre la duración de la medida y (iii) la necesidad de computar los plazos de prisión provisional desde la fecha en la que la privación de libertad se hizo efectiva, de tal manera que aquellos no pueden ser concebidos como plazos meramente formales sino como de tiempo efectivo de privación efectiva de libertad [FJ 5].</w:t>
      </w:r>
    </w:p>
    <w:p w14:paraId="5BA762C5" w14:textId="77777777" w:rsidR="008D479B" w:rsidRDefault="008D479B" w:rsidP="008D479B">
      <w:pPr>
        <w:pStyle w:val="Extracto"/>
      </w:pPr>
    </w:p>
    <w:p w14:paraId="6C2453A8" w14:textId="479CA87F" w:rsidR="008D479B" w:rsidRDefault="008D479B" w:rsidP="008D479B">
      <w:pPr>
        <w:pStyle w:val="Extracto"/>
      </w:pPr>
      <w:r>
        <w:t>2.</w:t>
      </w:r>
      <w:r>
        <w:tab/>
        <w:t>Resulta injustificadamente restrictiva del derecho a la libertad, una decisión judicial en la que se atribuye en exclusiva al demandante las consecuencias derivadas de un periodo de privación de libertad, cuando las autoridades tardan en tramitar y resolver un proceso de extradición [FJ 5].</w:t>
      </w:r>
    </w:p>
    <w:p w14:paraId="68BF69D0" w14:textId="77777777" w:rsidR="008D479B" w:rsidRDefault="008D479B" w:rsidP="008D479B">
      <w:pPr>
        <w:pStyle w:val="Extracto"/>
      </w:pPr>
    </w:p>
    <w:p w14:paraId="6B9A8113" w14:textId="2156ABFE" w:rsidR="008D479B" w:rsidRDefault="008D479B" w:rsidP="008D479B">
      <w:pPr>
        <w:pStyle w:val="Extracto"/>
      </w:pPr>
      <w:r>
        <w:t>3.</w:t>
      </w:r>
      <w:r>
        <w:tab/>
        <w:t>No resulta razonable, ni soporta un juicio metodológico profundo, una interpretación que permita a los órganos jurisdiccionales españoles desligarse de la propia realidad jurídica creada, y mantenida, por ellos (STC 32/2023) [FJ 5].</w:t>
      </w:r>
    </w:p>
    <w:p w14:paraId="455E9FD5" w14:textId="77777777" w:rsidR="008D479B" w:rsidRDefault="008D479B" w:rsidP="008D479B">
      <w:pPr>
        <w:pStyle w:val="Extracto"/>
      </w:pPr>
    </w:p>
    <w:p w14:paraId="157244EE" w14:textId="77777777" w:rsidR="008D479B" w:rsidRDefault="008D479B" w:rsidP="008D479B">
      <w:pPr>
        <w:pStyle w:val="Extracto"/>
      </w:pPr>
    </w:p>
    <w:p w14:paraId="731573AD" w14:textId="77777777" w:rsidR="008D479B" w:rsidRDefault="008D479B" w:rsidP="008D479B">
      <w:pPr>
        <w:pStyle w:val="TextoNormal"/>
      </w:pPr>
      <w:r>
        <w:t>La Sala Primera del Tribunal Constitucional, compuesta por el magistrado don Cándido Conde-Pumpido Tourón, presidente, y los magistrados y magistradas don Ricardo Enríquez Sancho, doña Concepción Espejel Jorquera, doña María Luisa Segoviano Astaburuaga y don Juan Carlos Campo Moreno, ha pronunciado</w:t>
      </w:r>
    </w:p>
    <w:p w14:paraId="19566C09" w14:textId="4A9FE4B3" w:rsidR="008D479B" w:rsidRDefault="008D479B" w:rsidP="008D479B">
      <w:pPr>
        <w:pStyle w:val="TextoNormal"/>
      </w:pPr>
    </w:p>
    <w:p w14:paraId="2BF4917B" w14:textId="77777777" w:rsidR="008D479B" w:rsidRDefault="008D479B" w:rsidP="008D479B">
      <w:pPr>
        <w:pStyle w:val="TextoNormalCentrado"/>
        <w:keepNext/>
      </w:pPr>
      <w:r>
        <w:t>EN NOMBRE DEL REY</w:t>
      </w:r>
    </w:p>
    <w:p w14:paraId="647498C7" w14:textId="6815EB66" w:rsidR="008D479B" w:rsidRDefault="008D479B" w:rsidP="008D479B">
      <w:pPr>
        <w:pStyle w:val="TextoNormalCentrado"/>
        <w:keepNext/>
      </w:pPr>
    </w:p>
    <w:p w14:paraId="58C5A3EE" w14:textId="77777777" w:rsidR="008D479B" w:rsidRDefault="008D479B" w:rsidP="008D479B">
      <w:pPr>
        <w:pStyle w:val="TextoNormalCentrado"/>
        <w:keepNext/>
      </w:pPr>
    </w:p>
    <w:p w14:paraId="6C0E372C" w14:textId="77777777" w:rsidR="008D479B" w:rsidRDefault="008D479B" w:rsidP="008D479B">
      <w:pPr>
        <w:pStyle w:val="TextoNormal"/>
      </w:pPr>
      <w:r>
        <w:t>la siguiente</w:t>
      </w:r>
    </w:p>
    <w:p w14:paraId="1912E7E3" w14:textId="0556BFF1" w:rsidR="008D479B" w:rsidRDefault="008D479B" w:rsidP="008D479B">
      <w:pPr>
        <w:pStyle w:val="TextoNormal"/>
      </w:pPr>
    </w:p>
    <w:p w14:paraId="13D2A39F" w14:textId="77777777" w:rsidR="008D479B" w:rsidRDefault="008D479B" w:rsidP="008D479B">
      <w:pPr>
        <w:pStyle w:val="TextoNormalCentrado"/>
        <w:keepNext/>
      </w:pPr>
      <w:r>
        <w:t>SENTENCIA</w:t>
      </w:r>
    </w:p>
    <w:p w14:paraId="51A1CEC8" w14:textId="4786A772" w:rsidR="008D479B" w:rsidRDefault="008D479B" w:rsidP="008D479B">
      <w:pPr>
        <w:pStyle w:val="TextoNormalCentrado"/>
        <w:keepNext/>
      </w:pPr>
    </w:p>
    <w:p w14:paraId="346815D7" w14:textId="77777777" w:rsidR="008D479B" w:rsidRDefault="008D479B" w:rsidP="008D479B">
      <w:pPr>
        <w:pStyle w:val="TextoNormal"/>
      </w:pPr>
      <w:r>
        <w:t>En el recurso de amparo núm. 5402-2022, promovido por don Constantin Apreutesei, representado por el procurador de los tribunales don David Lara Martín, bajo la dirección del letrado don Miguel Domínguez Puertas, contra el auto de 1 de junio de 2022, dictado por el Juzgado de Instrucción núm. 1 de Marbella, que acuerda la prórroga de la prisión provisional comunicada y sin fianza del recurrente, y contra el auto de 7 de julio de 2022, dictado por la Sección Novena de la Audiencia Provincial de Málaga, por el que se desestima el recurso de apelación interpuesto contra el anterior. Ha intervenido el Ministerio Fiscal. Se ha personado el procurador de los tribunales don Salvador Luque Infante, en nombre y representación de don Andrei Dumitri Liviu, bajo la dirección letrada de don Jesús Sarmiento López. Ha sido ponente la magistrada doña Concepción Espejel Jorquera.</w:t>
      </w:r>
    </w:p>
    <w:p w14:paraId="487D8DE3" w14:textId="7C99D407" w:rsidR="008D479B" w:rsidRDefault="008D479B" w:rsidP="008D479B">
      <w:pPr>
        <w:pStyle w:val="TextoNormal"/>
      </w:pPr>
    </w:p>
    <w:p w14:paraId="38BC2862" w14:textId="77777777" w:rsidR="008D479B" w:rsidRDefault="008D479B" w:rsidP="008D479B">
      <w:pPr>
        <w:pStyle w:val="TextoNormalNegritaCentrado"/>
        <w:keepNext/>
      </w:pPr>
      <w:r>
        <w:t>I. Antecedentes</w:t>
      </w:r>
    </w:p>
    <w:p w14:paraId="6D6C58EC" w14:textId="709C56D5" w:rsidR="008D479B" w:rsidRDefault="008D479B" w:rsidP="008D479B">
      <w:pPr>
        <w:pStyle w:val="TextoNormalNegritaCentrado"/>
        <w:keepNext/>
      </w:pPr>
    </w:p>
    <w:p w14:paraId="350C0EA4" w14:textId="057F683C" w:rsidR="008D479B" w:rsidRDefault="008D479B" w:rsidP="008D479B">
      <w:pPr>
        <w:pStyle w:val="TextoNormal"/>
      </w:pPr>
      <w:r w:rsidRPr="008D479B">
        <w:rPr>
          <w:rStyle w:val="NumeroAFNegritaCaracter"/>
        </w:rPr>
        <w:t>1</w:t>
      </w:r>
      <w:r>
        <w:t>. El procurador de los tribunales, don David Lara Martín, en nombre y representación de don Constantin Apreutesei, interpuso recurso de amparo contra las resoluciones judiciales que se mencionan en el encabezamiento de esta sentencia mediante escrito registrado en este tribunal el 21 de julio de 2022.</w:t>
      </w:r>
    </w:p>
    <w:p w14:paraId="2484F34B" w14:textId="77777777" w:rsidR="008D479B" w:rsidRDefault="008D479B" w:rsidP="008D479B">
      <w:pPr>
        <w:pStyle w:val="TextoNormal"/>
      </w:pPr>
    </w:p>
    <w:p w14:paraId="7C139CA5" w14:textId="77777777" w:rsidR="008D479B" w:rsidRDefault="008D479B" w:rsidP="008D479B">
      <w:pPr>
        <w:pStyle w:val="TextoNormal"/>
      </w:pPr>
      <w:r w:rsidRPr="008D479B">
        <w:rPr>
          <w:rStyle w:val="NumeroAFNegritaCaracter"/>
        </w:rPr>
        <w:t>2</w:t>
      </w:r>
      <w:r>
        <w:t>. El recurso tiene su origen en los siguientes antecedentes:</w:t>
      </w:r>
    </w:p>
    <w:p w14:paraId="58428A3A" w14:textId="77777777" w:rsidR="008D479B" w:rsidRDefault="008D479B" w:rsidP="008D479B">
      <w:pPr>
        <w:pStyle w:val="TextoNormal"/>
      </w:pPr>
    </w:p>
    <w:p w14:paraId="49D36071" w14:textId="77777777" w:rsidR="008D479B" w:rsidRDefault="008D479B" w:rsidP="008D479B">
      <w:pPr>
        <w:pStyle w:val="TextoNormal"/>
      </w:pPr>
      <w:r>
        <w:t xml:space="preserve">a) En fecha 4 de febrero de 2020, el Juzgado de Instrucción núm. 1 de Marbella dictó un auto por el que acordó, previa solicitud en tal sentido del Ministerio Fiscal, la emisión de una orden europea de detención y entrega para el ejercicio de acciones penales contra el ahora recurrente, de nacionalidad rumana, conforme a lo dispuesto en la Ley 23/2014, de 20 de noviembre, de reconocimiento mutuo de resoluciones penales en la Unión Europea. En apretada síntesis, se puede señalar que el origen de esta orden se sitúa en el marco de las diligencias previas núm. 2180-2019 (posteriormente transformadas en el procedimiento del Tribunal del Jurado núm. 1-2021) seguidas por los delitos de asesinato y asesinato en grado de tentativa [arts. 139 y 16 del Código penal (CP)] contra varias personas, entre las que se encuentra el recurrente como uno de los presuntos autores materiales de los hechos, en función de los elementos indiciarios recabados en ese procedimiento y que se exponen ampliamente en la citada resolución. En cuanto a la finalidad concreta pretendida con la medida acordada, el juzgado señala que “existe un alto riesgo de fuga dada la penalidad de los tipos que se imputan, junto con la condición de ciudadano extranjero de los investigados debiendo destacar que los mismos no han podido ser localizados hasta la fecha, por lo que dicho riesgo de fuga es plenamente concurrente en este momento” (FJ 3, </w:t>
      </w:r>
      <w:r w:rsidRPr="008D479B">
        <w:rPr>
          <w:i/>
        </w:rPr>
        <w:t>in fine</w:t>
      </w:r>
      <w:r>
        <w:t>); a lo que se añade que es “posible que el paradero de los investigados se halle en Rumanía, dada su nacionalidad” (FJ 5).</w:t>
      </w:r>
    </w:p>
    <w:p w14:paraId="05B22290" w14:textId="77777777" w:rsidR="008D479B" w:rsidRDefault="008D479B" w:rsidP="008D479B">
      <w:pPr>
        <w:pStyle w:val="TextoNormal"/>
      </w:pPr>
    </w:p>
    <w:p w14:paraId="64958B5F" w14:textId="77777777" w:rsidR="008D479B" w:rsidRDefault="008D479B" w:rsidP="008D479B">
      <w:pPr>
        <w:pStyle w:val="TextoNormal"/>
      </w:pPr>
      <w:r>
        <w:t>Esta resolución fue posteriormente reiterada, en sus propios términos, por otro auto de 19 de mayo de 2020, una vez subsanado el defecto apreciado por las autoridades rumanas mediante el dictado simultáneo de otro auto de la misma fecha, por el que se acordó la medida cautelar de prisión provisional comunicada y sin fianza contra el recurrente, y la consiguiente expedición de las correspondientes requisitorias nacionales.</w:t>
      </w:r>
    </w:p>
    <w:p w14:paraId="129708D5" w14:textId="77777777" w:rsidR="008D479B" w:rsidRDefault="008D479B" w:rsidP="008D479B">
      <w:pPr>
        <w:pStyle w:val="TextoNormal"/>
      </w:pPr>
    </w:p>
    <w:p w14:paraId="3D1EB74B" w14:textId="77777777" w:rsidR="008D479B" w:rsidRDefault="008D479B" w:rsidP="008D479B">
      <w:pPr>
        <w:pStyle w:val="TextoNormal"/>
      </w:pPr>
      <w:r>
        <w:t>b) Según consta en las actuaciones, y en ejecución de la citada orden, el ahora recurrente fue detenido el día 22 de mayo de 2020 en la ciudad rumana de Uricani. En el marco del procedimiento previsto en la legislación de Rumanía para la ejecución de las órdenes europeas de detención y entrega (Ley núm. 302/2004), el Tribunal de Apelación de Alba Iula dictó en fecha 2 de junio de 2020 una resolución en la que acordó, en lo que ahora interesa, lo siguiente: en primer lugar, “la ejecución” de la orden emitida por el juzgado de Marbella; en segundo lugar, constatar que el recurrente fue “detenido de manera preventiva del día 22 de mayo de 2020 hasta el 2 de junio de 2020, con el fin de ejecutar su entrega”; en tercer lugar, acordar la “detención del interesado por un periodo de treinta días con el fin de proceder a su entrega a las autoridades judiciales del estado demandante, a partir del 2 de junio de 2020 y hasta el 1 de julio de 2020”, dejando sin efecto al mismo tiempo el arresto preventivo hasta entonces vigente. Esta resolución quedó firme el 18 de junio de 2020, tras la desestimación del correspondiente recurso interpuesto ante el Tribunal Superior de Casación y Justicia (Sección Penal). Finalmente, el recurrente fue puesto a disposición del Juzgado de Instrucción núm. 1 de Marbella el día 7 de agosto de 2020, decretándose en esa fecha su prisión provisional comunicada y sin fianza, al existir “un alto riesgo de fuga dada la penalidad y gravedad de los tipos que se imputan, junto con la condición de ciudadano extranjero del investigado, debiendo destacar que carece de arraigo en España pudiendo sustraerse a la acción de la justicia dada la gravedad de la pena que en su día podría imponérsele”.</w:t>
      </w:r>
    </w:p>
    <w:p w14:paraId="3A1F9FE8" w14:textId="77777777" w:rsidR="008D479B" w:rsidRDefault="008D479B" w:rsidP="008D479B">
      <w:pPr>
        <w:pStyle w:val="TextoNormal"/>
      </w:pPr>
    </w:p>
    <w:p w14:paraId="413835AA" w14:textId="77777777" w:rsidR="008D479B" w:rsidRDefault="008D479B" w:rsidP="008D479B">
      <w:pPr>
        <w:pStyle w:val="TextoNormal"/>
      </w:pPr>
      <w:r>
        <w:t>c) En fecha 9 de mayo de 2022, el recurrente remitió al juzgado un escrito, elaborado de su puño y letra, en el que solicitaba su puesta en libertad, alegando que el plazo máximo de dos años de prisión había expirado desde el día 4 de mayo de 2022, toda vez que le era de abono el periodo de privación de libertad sufrido previamente en Rumanía, aportando copia de la STC 147/2000, de 29 de mayo. Esta petición tuvo entrada en el juzgado en fecha 14 de mayo de 2022, y tras informe en tal sentido del Ministerio Fiscal, fue desestimada por auto de 24 de mayo de 2022, en el que no se hace referencia alguna a la cuestión planteada por el ahora recurrente.</w:t>
      </w:r>
    </w:p>
    <w:p w14:paraId="6576DC57" w14:textId="77777777" w:rsidR="008D479B" w:rsidRDefault="008D479B" w:rsidP="008D479B">
      <w:pPr>
        <w:pStyle w:val="TextoNormal"/>
      </w:pPr>
    </w:p>
    <w:p w14:paraId="3D383D39" w14:textId="77777777" w:rsidR="008D479B" w:rsidRDefault="008D479B" w:rsidP="008D479B">
      <w:pPr>
        <w:pStyle w:val="TextoNormal"/>
      </w:pPr>
      <w:r>
        <w:t>d) El 1 de junio de 2022, previa solicitud del Ministerio Fiscal y tras la celebración de la comparecencia prevista en el art. 505 de la Ley de enjuiciamiento criminal (LECrim), el Juzgado de Instrucción núm. 1 de Marbella acordó la prórroga de la medida cautelar de prisión decretada sobre el recurrente, conforme a lo dispuesto en los arts. 503 y 504 LECrim, al entender que no habían variado las circunstancias que se tuvieron en cuenta para acordar la citada medida. A lo que se añadió que, “pese a que el investigado manifiesta que no tiene intención de huir, no ofrecen credibilidad sus palabras porque lo cierto es que hubo de dictar una OEI para que fuera hallado, dado que había huido de España”.</w:t>
      </w:r>
    </w:p>
    <w:p w14:paraId="37632BDE" w14:textId="77777777" w:rsidR="008D479B" w:rsidRDefault="008D479B" w:rsidP="008D479B">
      <w:pPr>
        <w:pStyle w:val="TextoNormal"/>
      </w:pPr>
    </w:p>
    <w:p w14:paraId="0AA6E113" w14:textId="77777777" w:rsidR="008D479B" w:rsidRDefault="008D479B" w:rsidP="008D479B">
      <w:pPr>
        <w:pStyle w:val="TextoNormal"/>
      </w:pPr>
      <w:r>
        <w:t>e) Interpuesto recurso de apelación fue desestimado por auto de 7 de julio de 2022, dictado por la Sección Novena de la Audiencia Provincial de Málaga. En el escrito de recurso se alegó expresamente el derecho a la libertad personal, al entender que la expiración del plazo máximo de prisión provisional se había producido, al menos, desde el día 22 de mayo de 2022, puesto que era computable el periodo de privación de libertad sufrido previamente en Rumanía para la ejecución de la orden europea de detención y entrega, con cita y reseña expresa de la STC 147/2000.</w:t>
      </w:r>
    </w:p>
    <w:p w14:paraId="2CE0F49B" w14:textId="77777777" w:rsidR="008D479B" w:rsidRDefault="008D479B" w:rsidP="008D479B">
      <w:pPr>
        <w:pStyle w:val="TextoNormal"/>
      </w:pPr>
    </w:p>
    <w:p w14:paraId="21670454" w14:textId="1EF2EA02" w:rsidR="008D479B" w:rsidRDefault="008D479B" w:rsidP="008D479B">
      <w:pPr>
        <w:pStyle w:val="TextoNormal"/>
      </w:pPr>
      <w:r>
        <w:t>En su resolución, la Audiencia aborda la cuestión planteada por el recurrente señalando, en primer lugar, que la STC 147/2000 no es aplicable a este caso, puesto que se dictó en un asunto de extradición pasiva, no de orden europea de detención y entrega; en segundo lugar, y con reproducción parcial de la STC 95/2007, de 7 de mayo (FJ 6) —en la que se hace referencia a la STC 99/2006, de 27 de marzo, FFJJ 3y 4, y a la Ley 3/2003, de 14 de marzo, sobre la orden europea de detención y entrega—, afirma que el plazo de prisión provisional debe computarse desde el 7 de agosto de 2020, dado que la privación de libertad anterior “se correspondía con el que las autoridades rumanas tenían conforme a la regulación de la orden europea de detención y no es en modo alguno actual periodo de prisión provisional para su cómputo”. Tras lo cual recalca que “en este supuesto la instructora contaba con plazo hasta el 6 de agosto de 2022 para dictar la prórroga”.</w:t>
      </w:r>
    </w:p>
    <w:p w14:paraId="19BA5EED" w14:textId="77777777" w:rsidR="008D479B" w:rsidRDefault="008D479B" w:rsidP="008D479B">
      <w:pPr>
        <w:pStyle w:val="TextoNormal"/>
      </w:pPr>
    </w:p>
    <w:p w14:paraId="15C7883E" w14:textId="77777777" w:rsidR="008D479B" w:rsidRDefault="008D479B" w:rsidP="008D479B">
      <w:pPr>
        <w:pStyle w:val="TextoNormal"/>
      </w:pPr>
      <w:r w:rsidRPr="008D479B">
        <w:rPr>
          <w:rStyle w:val="NumeroAFNegritaCaracter"/>
        </w:rPr>
        <w:t>3</w:t>
      </w:r>
      <w:r>
        <w:t>. La demanda alega formalmente la vulneración del “derecho a la tutela judicial efectiva (art. 24.1 CE), en relación con los derechos a la libertad personal (art. 17 CE) y a la legalidad penal, y a un proceso con todas las garantías (art. 24.2 CE)”. Tras exponer los antecedentes que consideró de interés, el recurrente afirma que el cómputo del plazo de prisión provisional debía iniciarse desde el 22 de mayo de 2020, fecha de su privación de libertad para ejecutar la orden europea de detención y entrega, con cita de lo dispuesto en el art. 504.5 LECrim. En este caso, la prórroga se ha dictado en fecha 1 de junio de 2022 y, por lo tanto, de forma extemporánea, lo que supone una vulneración de los derechos alegados, invocando, a tal efecto, varias sentencias de este tribunal (entre otras, las SSTC 37/1996, de 11 de marzo; 234/1998, de 1 de diciembre; 71/2000 y 72/2000, de 13 de marzo, y 22/2004, de 23 de febrero).</w:t>
      </w:r>
    </w:p>
    <w:p w14:paraId="180C1173" w14:textId="77777777" w:rsidR="008D479B" w:rsidRDefault="008D479B" w:rsidP="008D479B">
      <w:pPr>
        <w:pStyle w:val="TextoNormal"/>
      </w:pPr>
    </w:p>
    <w:p w14:paraId="51301F49" w14:textId="77777777" w:rsidR="008D479B" w:rsidRDefault="008D479B" w:rsidP="008D479B">
      <w:pPr>
        <w:pStyle w:val="TextoNormal"/>
      </w:pPr>
      <w:r>
        <w:t>La demanda se dirige formalmente contra las dos resoluciones mencionadas en el encabezamiento.</w:t>
      </w:r>
    </w:p>
    <w:p w14:paraId="64998F3C" w14:textId="77777777" w:rsidR="008D479B" w:rsidRDefault="008D479B" w:rsidP="008D479B">
      <w:pPr>
        <w:pStyle w:val="TextoNormal"/>
      </w:pPr>
    </w:p>
    <w:p w14:paraId="13C95CB4" w14:textId="3E47A830" w:rsidR="008D479B" w:rsidRDefault="008D479B" w:rsidP="008D479B">
      <w:pPr>
        <w:pStyle w:val="TextoNormal"/>
      </w:pPr>
      <w:r>
        <w:t>El recurrente justifica la especial trascendencia constitucional del recurso por la necesidad de que el Tribunal se pronuncie sobre un supuesto de hecho como el planteado, lo que podría entenderse como la invocación del motivo recogido en el apartado a) del fundamento jurídico 2 de la STC 155/2009, de 25 de junio.</w:t>
      </w:r>
    </w:p>
    <w:p w14:paraId="0D443F63" w14:textId="77777777" w:rsidR="008D479B" w:rsidRDefault="008D479B" w:rsidP="008D479B">
      <w:pPr>
        <w:pStyle w:val="TextoNormal"/>
      </w:pPr>
    </w:p>
    <w:p w14:paraId="5E9B6ED0" w14:textId="77777777" w:rsidR="008D479B" w:rsidRDefault="008D479B" w:rsidP="008D479B">
      <w:pPr>
        <w:pStyle w:val="TextoNormal"/>
      </w:pPr>
      <w:r w:rsidRPr="008D479B">
        <w:rPr>
          <w:rStyle w:val="NumeroAFNegritaCaracter"/>
        </w:rPr>
        <w:t>4</w:t>
      </w:r>
      <w:r>
        <w:t>. Por medio de providencia de 6 de marzo de 2023, la Sección Primera de este tribunal acordó la admisión a trámite del recurso, apreciando que concurre en el mismo una especial trascendencia constitucional [art. 50.1 de la Ley Orgánica del Tribunal Constitucional (LOTC)] porque plantea un problema o afecta a una faceta de un derecho fundamental sobre el que no hay doctrina de este tribunal [STC 155/2009, FJ 2 a)]. En la misma resolución se acordó recabar de la Sección Novena de la Audiencia Provincial de Málaga y del Juzgado de Instrucción núm. 1 de Marbella la certificación o fotocopia adverada de las actuaciones correspondientes a los procedimientos en los que fueron dictadas las resoluciones impugnadas, instando del juzgado que, previamente, emplazara a quienes hubieran sido parte en el procedimiento, excepto la parte recurrente en amparo para que, si lo desearan, pudieran comparecer ante este tribunal.</w:t>
      </w:r>
    </w:p>
    <w:p w14:paraId="1D708C15" w14:textId="77777777" w:rsidR="008D479B" w:rsidRDefault="008D479B" w:rsidP="008D479B">
      <w:pPr>
        <w:pStyle w:val="TextoNormal"/>
      </w:pPr>
    </w:p>
    <w:p w14:paraId="58817D3D" w14:textId="59F8133A" w:rsidR="008D479B" w:rsidRDefault="008D479B" w:rsidP="008D479B">
      <w:pPr>
        <w:pStyle w:val="TextoNormal"/>
      </w:pPr>
      <w:r>
        <w:t>Tras comparecencia a tal fin, se tuvo por personado y parte al procurador de los tribunales don Salvador Luque Infante, en nombre y representación de don Andrei Dumitri Liviu, bajo la dirección letrada de don Jesús Sarmiento López. Y, en la misma providencia de 8 de junio de 2023, se acordó dar traslado a las partes para alegaciones, conforme a lo dispuesto en el art. 52.1 LOTC.</w:t>
      </w:r>
    </w:p>
    <w:p w14:paraId="1EB0E243" w14:textId="77777777" w:rsidR="008D479B" w:rsidRDefault="008D479B" w:rsidP="008D479B">
      <w:pPr>
        <w:pStyle w:val="TextoNormal"/>
      </w:pPr>
    </w:p>
    <w:p w14:paraId="490D67E1" w14:textId="77777777" w:rsidR="008D479B" w:rsidRDefault="008D479B" w:rsidP="008D479B">
      <w:pPr>
        <w:pStyle w:val="TextoNormal"/>
      </w:pPr>
      <w:r w:rsidRPr="008D479B">
        <w:rPr>
          <w:rStyle w:val="NumeroAFNegritaCaracter"/>
        </w:rPr>
        <w:t>5</w:t>
      </w:r>
      <w:r>
        <w:t>. En fecha 26 de julio de 2023 tuvo entrada en este tribunal el escrito de alegaciones del Ministerio Fiscal, en el que interesó la estimación del recurso y, en su virtud, que se declare la vulneración del derecho a la libertad personal del recurrente (art. 17.1 CE), y a la tutela judicial efectiva (art. 24.1 CE), con la consiguiente declaración de nulidad de las resoluciones impugnadas y la remisión del procedimiento al Juzgado de Instrucción núm. 1 de Marbella para que se dicte una nueva resolución que sea respetuosa con el derecho fundamental reconocido.</w:t>
      </w:r>
    </w:p>
    <w:p w14:paraId="7F639D14" w14:textId="77777777" w:rsidR="008D479B" w:rsidRDefault="008D479B" w:rsidP="008D479B">
      <w:pPr>
        <w:pStyle w:val="TextoNormal"/>
      </w:pPr>
    </w:p>
    <w:p w14:paraId="2E4F7CA4" w14:textId="77777777" w:rsidR="008D479B" w:rsidRDefault="008D479B" w:rsidP="008D479B">
      <w:pPr>
        <w:pStyle w:val="TextoNormal"/>
      </w:pPr>
      <w:r>
        <w:t>En su informe, la fiscal ante el Tribunal Constitucional hace constar los antecedentes que entiende de interés, para luego formular una serie de consideraciones generales de carácter procesal, entre las que destaca el cumplimiento del requisito de la previa invocación de los derechos fundamentales ahora alegados, por la remisión que se hace en la demanda a la STC 147/2000, y en aplicación de la doctrina antiformalista expuesta en las SSTC 128/2014, de 21 de julio, FJ 2, y 2/2015, de 19 de enero, FJ 1.</w:t>
      </w:r>
    </w:p>
    <w:p w14:paraId="10430450" w14:textId="77777777" w:rsidR="008D479B" w:rsidRDefault="008D479B" w:rsidP="008D479B">
      <w:pPr>
        <w:pStyle w:val="TextoNormal"/>
      </w:pPr>
    </w:p>
    <w:p w14:paraId="2A355AF6" w14:textId="77777777" w:rsidR="008D479B" w:rsidRDefault="008D479B" w:rsidP="008D479B">
      <w:pPr>
        <w:pStyle w:val="TextoNormal"/>
      </w:pPr>
      <w:r>
        <w:t xml:space="preserve">Tras hacer una breve referencia a la normativa aplicable y, de forma señalada, a lo dispuesto en el art. 45 de la Ley 23/2014, de 20 de noviembre, de reconocimiento mutuo de resoluciones penales en la Unión Europea, la fiscal expone de forma exhaustiva la doctrina constitucional que considera aplicable. En concreto, hace una amplia reseña de la STC 143/2022, de 14 de noviembre, en la que se compilan las garantías de protección del derecho a la libertad personal reconocido en el art. 17 CE. Así, se hace referencia al principio de legalidad que opera como habilitación y límite de su privación; al principio </w:t>
      </w:r>
      <w:r w:rsidRPr="008D479B">
        <w:rPr>
          <w:i/>
        </w:rPr>
        <w:t>favor libertatis</w:t>
      </w:r>
      <w:r>
        <w:t xml:space="preserve"> que debe tenerse en cuenta en la interpretación y aplicación de las normas que regulan la prisión provisional; a los plazos máximos de duración de la medida que operan como garantía del derecho; y a la consecuencia derivada del incumplimiento de esos plazos, que implica la vulneración del derecho. A continuación, se aborda la doctrina específica sobre el derecho a la libertad personal en los procesos extradicionales, activos y pasivos, con una expresa referencia a la evolución producida a partir de la STC 113/2022, de 26 de septiembre, y a la utilización como criterio interpretativo de lo dispuesto en el artículo 45 de la Ley 23/2014; finalizando este apartado con una mención al deber de motivación reforzada de las resoluciones judiciales que afectan a la libertad personal, con cita y reseña parcial de la STC 29/2019, de 28 de febrero (FJ 3).</w:t>
      </w:r>
    </w:p>
    <w:p w14:paraId="057103CF" w14:textId="77777777" w:rsidR="008D479B" w:rsidRDefault="008D479B" w:rsidP="008D479B">
      <w:pPr>
        <w:pStyle w:val="TextoNormal"/>
      </w:pPr>
    </w:p>
    <w:p w14:paraId="1C316A5C" w14:textId="77777777" w:rsidR="008D479B" w:rsidRDefault="008D479B" w:rsidP="008D479B">
      <w:pPr>
        <w:pStyle w:val="TextoNormal"/>
      </w:pPr>
      <w:r>
        <w:t>Entrando en el fondo del asunto, la fiscal entiende que, en primer lugar, debe analizarse la vulneración del derecho a la libertad personal puesto que, de acogerse esta pretensión, daría lugar a la estimación del recurso. Y, a tal efecto, el Ministerio Fiscal constata que el recurrente estuvo privado de libertad hasta un total de setenta y siete días antes de ser puesto a disposición judicial en España, y que ese periodo de tiempo no fue computado a los efectos de establecer los plazos máximos de duración de la prisión provisional. Además, señala que la resolución de la audiencia no hace referencia alguna a que la Ley 3/2003, citada en su auto, había sido derogada por la Ley 23/2014, cuyo artículo 45 no deja lugar a dudas sobre el necesario cómputo del periodo de privación de libertad sufrido en el país donde se ha producido la detención para la fijación de los plazos máximos de duración de la prisión provisional. Una interpretación de ese precepto que, además de responder al sentido propio de sus palabras, es conforme con la doctrina expuesta en la STC 113/2022, porque la actuación de las autoridades rumanas ha sido consecuencia directa de la solicitud formulada por la autoridad judicial española.</w:t>
      </w:r>
    </w:p>
    <w:p w14:paraId="17FF3B50" w14:textId="77777777" w:rsidR="008D479B" w:rsidRDefault="008D479B" w:rsidP="008D479B">
      <w:pPr>
        <w:pStyle w:val="TextoNormal"/>
      </w:pPr>
    </w:p>
    <w:p w14:paraId="235D1A63" w14:textId="39661787" w:rsidR="008D479B" w:rsidRDefault="008D479B" w:rsidP="008D479B">
      <w:pPr>
        <w:pStyle w:val="TextoNormal"/>
      </w:pPr>
      <w:r>
        <w:t>Por todo ello, la fiscal considera que la prórroga de la prisión provisional se acordó sin una cobertura legal suficiente, por haberse ya superado el plazo inicial previsto en la ley, lo que supone la infracción del principio de legalidad que opera como una de las garantías del derecho a la libertad y que, en consecuencia, determina su vulneración. Además, entiende que las resoluciones impugnadas tampoco satisfacen el canon de motivación reforzada exigible en estos casos, lo que supone igualmente una vulneración del derecho a la tutela judicial efectiva, en su vertiente de derecho a obtener una resolución motivada y fundada en Derecho. En cuanto a los efectos de la estimación del recurso de amparo, el Ministerio Fiscal se remite a lo acordado en el fundamento jurídico 7 de la STC 143/2022.</w:t>
      </w:r>
    </w:p>
    <w:p w14:paraId="7699166E" w14:textId="77777777" w:rsidR="008D479B" w:rsidRDefault="008D479B" w:rsidP="008D479B">
      <w:pPr>
        <w:pStyle w:val="TextoNormal"/>
      </w:pPr>
    </w:p>
    <w:p w14:paraId="5EB35C44" w14:textId="21E793FE" w:rsidR="008D479B" w:rsidRDefault="008D479B" w:rsidP="008D479B">
      <w:pPr>
        <w:pStyle w:val="TextoNormal"/>
      </w:pPr>
      <w:r w:rsidRPr="008D479B">
        <w:rPr>
          <w:rStyle w:val="NumeroAFNegritaCaracter"/>
        </w:rPr>
        <w:t>6</w:t>
      </w:r>
      <w:r>
        <w:t>. Por diligencia del secretario de justicia de 27 de julio de 2023 se hizo constar que las partes personadas no habían formulado alegaciones, quedando el recurso concluso y pendiente para deliberación y fallo cuando por turno corresponda.</w:t>
      </w:r>
    </w:p>
    <w:p w14:paraId="49E2CE0A" w14:textId="77777777" w:rsidR="008D479B" w:rsidRDefault="008D479B" w:rsidP="008D479B">
      <w:pPr>
        <w:pStyle w:val="TextoNormal"/>
      </w:pPr>
    </w:p>
    <w:p w14:paraId="3AC8A332" w14:textId="3E297DEB" w:rsidR="008D479B" w:rsidRDefault="008D479B" w:rsidP="008D479B">
      <w:pPr>
        <w:pStyle w:val="TextoNormal"/>
      </w:pPr>
      <w:r w:rsidRPr="008D479B">
        <w:rPr>
          <w:rStyle w:val="NumeroAFNegritaCaracter"/>
        </w:rPr>
        <w:t>7</w:t>
      </w:r>
      <w:r>
        <w:t>. Por medio de providencia de 19 de octubre de 2023, se señaló para la deliberación y votación de la presente sentencia el día 23 del mismo mes y año.</w:t>
      </w:r>
    </w:p>
    <w:p w14:paraId="53124296" w14:textId="77777777" w:rsidR="008D479B" w:rsidRDefault="008D479B" w:rsidP="008D479B">
      <w:pPr>
        <w:pStyle w:val="TextoNormal"/>
      </w:pPr>
    </w:p>
    <w:p w14:paraId="7B1F8BFF" w14:textId="77777777" w:rsidR="008D479B" w:rsidRDefault="008D479B" w:rsidP="008D479B">
      <w:pPr>
        <w:pStyle w:val="TextoNormalNegritaCentrado"/>
        <w:keepNext/>
      </w:pPr>
      <w:r>
        <w:t>II. Fundamentos jurídicos</w:t>
      </w:r>
    </w:p>
    <w:p w14:paraId="2A2BA563" w14:textId="67747E56" w:rsidR="008D479B" w:rsidRDefault="008D479B" w:rsidP="008D479B">
      <w:pPr>
        <w:pStyle w:val="TextoNormalNegritaCentrado"/>
        <w:keepNext/>
      </w:pPr>
    </w:p>
    <w:p w14:paraId="5F99EEEA" w14:textId="77777777" w:rsidR="008D479B" w:rsidRDefault="008D479B" w:rsidP="008D479B">
      <w:pPr>
        <w:pStyle w:val="TextoNormal"/>
      </w:pPr>
      <w:r w:rsidRPr="008D479B">
        <w:rPr>
          <w:rStyle w:val="NumeroAFNegritaCaracter"/>
        </w:rPr>
        <w:t>1</w:t>
      </w:r>
      <w:r>
        <w:t xml:space="preserve">. </w:t>
      </w:r>
      <w:r w:rsidRPr="008D479B">
        <w:rPr>
          <w:i/>
        </w:rPr>
        <w:t>Objeto del recurso y pretensiones de las partes</w:t>
      </w:r>
    </w:p>
    <w:p w14:paraId="6252CEEE" w14:textId="77777777" w:rsidR="008D479B" w:rsidRDefault="008D479B" w:rsidP="008D479B">
      <w:pPr>
        <w:pStyle w:val="TextoNormal"/>
      </w:pPr>
    </w:p>
    <w:p w14:paraId="27EE7CB4" w14:textId="77777777" w:rsidR="008D479B" w:rsidRDefault="008D479B" w:rsidP="008D479B">
      <w:pPr>
        <w:pStyle w:val="TextoNormal"/>
      </w:pPr>
      <w:r>
        <w:t>El presente recurso de amparo tiene por objeto determinar si las resoluciones dictadas por el Juzgado de Instrucción núm. 1 de Marbella y por la Sección Novena de la Audiencia Provincial de Málaga han vulnerado los derechos invocados por el recurrente y, más concretamente, los derechos a la libertad personal (art. 17.1 CE) y a la tutela judicial efectiva (art. 24.1 CE), en su vertiente de derecho a obtener una resolución motivada y fundada en Derecho. El resto de los derechos alegados en la demanda (arts. 24.2 y 25.1 CE) no han sido objeto de un mínimo desarrollo argumental por parte del recurrente, incumpliendo con ello la carga de proporcionar la fundamentación fáctica y jurídica que razonablemente cabe esperar y que se integra en el deber de colaborar con la jurisdicción constitucional, a la que no corresponde reconstruir de oficio las demandas ni suplir los razonamientos de las partes (ver, entre otras, STC 91/2000, de 30 de marzo, FJ 9).</w:t>
      </w:r>
    </w:p>
    <w:p w14:paraId="4E497308" w14:textId="77777777" w:rsidR="008D479B" w:rsidRDefault="008D479B" w:rsidP="008D479B">
      <w:pPr>
        <w:pStyle w:val="TextoNormal"/>
      </w:pPr>
    </w:p>
    <w:p w14:paraId="687CD8B2" w14:textId="77777777" w:rsidR="008D479B" w:rsidRDefault="008D479B" w:rsidP="008D479B">
      <w:pPr>
        <w:pStyle w:val="TextoNormal"/>
      </w:pPr>
      <w:r>
        <w:t>Según la demanda, las resoluciones impugnadas habrían supuesto una vulneración de aquellos derechos, al no haber tenido en cuenta el periodo de tiempo en que estuvo privado de libertad en Rumanía para la ejecución de la orden europea de detención y entrega acordada por las autoridades judiciales de España, a los efectos de su cómputo para la fijación de los plazos máximos de prisión provisional en nuestro país. Como consecuencia de ello, la prórroga de la prisión se habría producido de forma extemporánea, es decir, una vez expirado el plazo máximo inicial previsto en la Ley de enjuiciamiento criminal para la duración de la medida.</w:t>
      </w:r>
    </w:p>
    <w:p w14:paraId="351C952F" w14:textId="77777777" w:rsidR="008D479B" w:rsidRDefault="008D479B" w:rsidP="008D479B">
      <w:pPr>
        <w:pStyle w:val="TextoNormal"/>
      </w:pPr>
    </w:p>
    <w:p w14:paraId="3AF64CA5" w14:textId="2493FF52" w:rsidR="008D479B" w:rsidRDefault="008D479B" w:rsidP="008D479B">
      <w:pPr>
        <w:pStyle w:val="TextoNormal"/>
      </w:pPr>
      <w:r>
        <w:t>El Ministerio Fiscal solicita la estimación del recurso, en los términos ya expuestos.</w:t>
      </w:r>
    </w:p>
    <w:p w14:paraId="69CC8D38" w14:textId="77777777" w:rsidR="008D479B" w:rsidRDefault="008D479B" w:rsidP="008D479B">
      <w:pPr>
        <w:pStyle w:val="TextoNormal"/>
      </w:pPr>
    </w:p>
    <w:p w14:paraId="3E85AE81" w14:textId="77777777" w:rsidR="008D479B" w:rsidRDefault="008D479B" w:rsidP="008D479B">
      <w:pPr>
        <w:pStyle w:val="TextoNormal"/>
      </w:pPr>
      <w:r w:rsidRPr="008D479B">
        <w:rPr>
          <w:rStyle w:val="NumeroAFNegritaCaracter"/>
        </w:rPr>
        <w:t>2</w:t>
      </w:r>
      <w:r>
        <w:t xml:space="preserve">. </w:t>
      </w:r>
      <w:r w:rsidRPr="008D479B">
        <w:rPr>
          <w:i/>
        </w:rPr>
        <w:t>Especial trascendencia constitucional del recurso</w:t>
      </w:r>
    </w:p>
    <w:p w14:paraId="588DCE40" w14:textId="77777777" w:rsidR="008D479B" w:rsidRDefault="008D479B" w:rsidP="008D479B">
      <w:pPr>
        <w:pStyle w:val="TextoNormal"/>
      </w:pPr>
    </w:p>
    <w:p w14:paraId="7127597B" w14:textId="77777777" w:rsidR="008D479B" w:rsidRDefault="008D479B" w:rsidP="008D479B">
      <w:pPr>
        <w:pStyle w:val="TextoNormal"/>
      </w:pPr>
      <w:r>
        <w:t xml:space="preserve">Las precisiones que siguen a continuación se formulan en salvaguarda del principio de seguridad jurídica que, conforme a la sentencia del Tribunal Europeo de Derechos Humanos de 20 de enero de 2015, dictada en el asunto </w:t>
      </w:r>
      <w:r w:rsidRPr="008D479B">
        <w:rPr>
          <w:i/>
        </w:rPr>
        <w:t>Arribas Antón c. España</w:t>
      </w:r>
      <w:r>
        <w:t>, § 46, exige explicitar, no solo los criterios de definición del requisito material de la especial trascendencia constitucional (como ya hiciera la STC 155/2009, de 25 de junio, FJ 2), “sino también su aplicación en los asuntos que se admiten a trámite, con el fin de asegurar con ello una buena administración de la Justicia” (por todas, STC 194/2015, de 21 de septiembre, FJ 2).</w:t>
      </w:r>
    </w:p>
    <w:p w14:paraId="68D5CC3F" w14:textId="77777777" w:rsidR="008D479B" w:rsidRDefault="008D479B" w:rsidP="008D479B">
      <w:pPr>
        <w:pStyle w:val="TextoNormal"/>
      </w:pPr>
    </w:p>
    <w:p w14:paraId="71C6F7BD" w14:textId="77777777" w:rsidR="008D479B" w:rsidRDefault="008D479B" w:rsidP="008D479B">
      <w:pPr>
        <w:pStyle w:val="TextoNormal"/>
      </w:pPr>
      <w:r>
        <w:t>En el presente caso, este tribunal acordó la admisión a trámite del recurso (art. 50.1 LOTC), porque “plantea un problema o afecta a una faceta de un derecho fundamental sobre el que no hay doctrina de este tribunal [STC 155/2009, FJ 2 a)]”.</w:t>
      </w:r>
    </w:p>
    <w:p w14:paraId="1BD62125" w14:textId="77777777" w:rsidR="008D479B" w:rsidRDefault="008D479B" w:rsidP="008D479B">
      <w:pPr>
        <w:pStyle w:val="TextoNormal"/>
      </w:pPr>
    </w:p>
    <w:p w14:paraId="036592C5" w14:textId="77777777" w:rsidR="008D479B" w:rsidRDefault="008D479B" w:rsidP="008D479B">
      <w:pPr>
        <w:pStyle w:val="TextoNormal"/>
      </w:pPr>
      <w:r>
        <w:t>En efecto, hasta el momento no se ha dictado ninguna resolución en la que se aborde la cuestión ahora invocada por el recurrente, consistente en la procedencia de computar como periodo de prisión provisional en España el tiempo de privación de libertad acordada en el país que debe ejecutar una orden europea de detención y entrega emitida por la autoridad judicial española.</w:t>
      </w:r>
    </w:p>
    <w:p w14:paraId="51F7BF17" w14:textId="77777777" w:rsidR="008D479B" w:rsidRDefault="008D479B" w:rsidP="008D479B">
      <w:pPr>
        <w:pStyle w:val="TextoNormal"/>
      </w:pPr>
    </w:p>
    <w:p w14:paraId="66844043" w14:textId="28159FD1" w:rsidR="008D479B" w:rsidRDefault="008D479B" w:rsidP="008D479B">
      <w:pPr>
        <w:pStyle w:val="TextoNormal"/>
      </w:pPr>
      <w:r>
        <w:t>Este tribunal ha tenido la oportunidad de abordar materias tangencialmente similares en la STC 8/1990, de 18 de enero, los AATC 189/2005, de 9 de mayo, y 212/2005, de 12 de mayo, así como en las SSTC 143/2022, de 14 de noviembre, y 32/2023, de 17 de abril. Sin embargo, todas ellas analizan la normativa sobre extradición, pero no sobre la orden europea de detención y entrega que, como se verá, presenta algunas singularidades en su fundamento y regulación, lo que justifica un pronunciamiento de este tribunal.</w:t>
      </w:r>
    </w:p>
    <w:p w14:paraId="181A30B5" w14:textId="77777777" w:rsidR="008D479B" w:rsidRDefault="008D479B" w:rsidP="008D479B">
      <w:pPr>
        <w:pStyle w:val="TextoNormal"/>
      </w:pPr>
    </w:p>
    <w:p w14:paraId="108D13A5" w14:textId="77777777" w:rsidR="008D479B" w:rsidRDefault="008D479B" w:rsidP="008D479B">
      <w:pPr>
        <w:pStyle w:val="TextoNormal"/>
      </w:pPr>
      <w:r w:rsidRPr="008D479B">
        <w:rPr>
          <w:rStyle w:val="NumeroAFNegritaCaracter"/>
        </w:rPr>
        <w:t>3</w:t>
      </w:r>
      <w:r>
        <w:t xml:space="preserve">. </w:t>
      </w:r>
      <w:r w:rsidRPr="008D479B">
        <w:rPr>
          <w:i/>
        </w:rPr>
        <w:t>Orden de enjuiciamiento de las quejas</w:t>
      </w:r>
    </w:p>
    <w:p w14:paraId="5C715338" w14:textId="77777777" w:rsidR="008D479B" w:rsidRDefault="008D479B" w:rsidP="008D479B">
      <w:pPr>
        <w:pStyle w:val="TextoNormal"/>
      </w:pPr>
    </w:p>
    <w:p w14:paraId="74BF3604" w14:textId="5F1F54B9" w:rsidR="008D479B" w:rsidRDefault="008D479B" w:rsidP="008D479B">
      <w:pPr>
        <w:pStyle w:val="TextoNormal"/>
      </w:pPr>
      <w:r>
        <w:t>Desde el punto de vista metodológico, el análisis de las vulneraciones alegadas en la demanda ha de comenzar por el invocado derecho a la libertad personal (art. 17.1 CE), dado que, en el esquema propuesto por el recurrente, la estimación de este motivo llevaría implícita la vulneración del derecho a la tutela judicial efectiva, ya que la superación de los plazos máximos de prisión provisional no podría ser disociada de una eventual interpretación de la norma irrazonable o incursa en error patente (ver, por todas, STC 61/2021, de 15 de marzo, FJ 4), quebrantándose con ello una de las garantías constitucionalmente establecidas como instrumento de protección del derecho a la libertad, como es el principio de legalidad (SSTC 99/2006, de 27 de marzo, FJ 4; 95/2007, de 7 de mayo, FJ 5, y 29/2019, de 28 de febrero, FJ 3).</w:t>
      </w:r>
    </w:p>
    <w:p w14:paraId="7CFB64DA" w14:textId="77777777" w:rsidR="008D479B" w:rsidRDefault="008D479B" w:rsidP="008D479B">
      <w:pPr>
        <w:pStyle w:val="TextoNormal"/>
      </w:pPr>
    </w:p>
    <w:p w14:paraId="3AF74A69" w14:textId="77777777" w:rsidR="008D479B" w:rsidRDefault="008D479B" w:rsidP="008D479B">
      <w:pPr>
        <w:pStyle w:val="TextoNormal"/>
      </w:pPr>
      <w:r w:rsidRPr="008D479B">
        <w:rPr>
          <w:rStyle w:val="NumeroAFNegritaCaracter"/>
        </w:rPr>
        <w:t>4</w:t>
      </w:r>
      <w:r>
        <w:t xml:space="preserve">. </w:t>
      </w:r>
      <w:r w:rsidRPr="008D479B">
        <w:rPr>
          <w:i/>
        </w:rPr>
        <w:t>Normativa aplicable</w:t>
      </w:r>
    </w:p>
    <w:p w14:paraId="4566FCC3" w14:textId="77777777" w:rsidR="008D479B" w:rsidRDefault="008D479B" w:rsidP="008D479B">
      <w:pPr>
        <w:pStyle w:val="TextoNormal"/>
      </w:pPr>
    </w:p>
    <w:p w14:paraId="4AA8B0DF" w14:textId="77777777" w:rsidR="008D479B" w:rsidRDefault="008D479B" w:rsidP="008D479B">
      <w:pPr>
        <w:pStyle w:val="TextoNormal"/>
      </w:pPr>
      <w:r>
        <w:t>Como se expuso ampliamente en la STC 132/2020, de 23 de septiembre (FJ 4), la “orden europea de detención y entrega y la extradición coinciden en su finalidad, siendo esta la entrega a un tercer país de una persona, bien para proceder a su enjuiciamiento, bien para el cumplimiento de una condena impuesta por sentencia judicial firme. Ambos instrumentos de cooperación jurídica internacional responden a demandas de auxilio judicial. Pero uno y otro se basan en distintos principios jurídicos ajustándose a distintos procedimientos, ya que la tramitación que desarrollan los tratados o las normas nacionales o europeas para proceder a la entrega, en uno y otro caso, son manifestación procesal de los principios en que cada uno de ellos se sustenta.</w:t>
      </w:r>
    </w:p>
    <w:p w14:paraId="53A9C785" w14:textId="77777777" w:rsidR="008D479B" w:rsidRDefault="008D479B" w:rsidP="008D479B">
      <w:pPr>
        <w:pStyle w:val="TextoNormal"/>
      </w:pPr>
    </w:p>
    <w:p w14:paraId="5FB2347C" w14:textId="77777777" w:rsidR="008D479B" w:rsidRDefault="008D479B" w:rsidP="008D479B">
      <w:pPr>
        <w:pStyle w:val="TextoNormal"/>
      </w:pPr>
      <w:r>
        <w:t>a) La extradición es un instrumento de auxilio jurisdiccional internacional (STC 222/1997, de 4 de diciembre, FJ 8), cuya finalidad es reducir los espacios de impunidad que pudieran beneficiar a quienes evaden la acción de la justicia penal de un Estado concreto. […] Desde la perspectiva constitucional, el procedimiento de extradición se ve condicionado por el respeto al principio básico de legalidad extradicional, que actúa a su vez como garantía esencial del proceso extraditorio al exigir que ‘la entrega venga autorizada por alguna de las disposiciones que menciona el art. 13.3 CE: tratado o ley, atendiendo al principio de reciprocidad’ (SSTC 141/1998, de 29 de junio, FJ 4).</w:t>
      </w:r>
    </w:p>
    <w:p w14:paraId="23922E38" w14:textId="77777777" w:rsidR="008D479B" w:rsidRDefault="008D479B" w:rsidP="008D479B">
      <w:pPr>
        <w:pStyle w:val="TextoNormal"/>
      </w:pPr>
    </w:p>
    <w:p w14:paraId="41FE204D" w14:textId="77777777" w:rsidR="008D479B" w:rsidRDefault="008D479B" w:rsidP="008D479B">
      <w:pPr>
        <w:pStyle w:val="TextoNormal"/>
      </w:pPr>
      <w:r>
        <w:t>[…]</w:t>
      </w:r>
    </w:p>
    <w:p w14:paraId="6106470B" w14:textId="77777777" w:rsidR="008D479B" w:rsidRDefault="008D479B" w:rsidP="008D479B">
      <w:pPr>
        <w:pStyle w:val="TextoNormal"/>
      </w:pPr>
    </w:p>
    <w:p w14:paraId="6D6929BA" w14:textId="77777777" w:rsidR="008D479B" w:rsidRDefault="008D479B" w:rsidP="008D479B">
      <w:pPr>
        <w:pStyle w:val="TextoNormal"/>
      </w:pPr>
      <w:r>
        <w:t xml:space="preserve">b) La orden de detención europea, por su parte, se identifica como mecanismo de cooperación judicial sin intermediación ejecutiva entre los Estados miembros de la Unión Europea, dentro del marco de un espacio de libertad, seguridad y justicia sin fronteras (art. 3.2 Tratado de la Unión Europea). Tal y como establece el considerando quinto de la Decisión Marco 2002/584/JAI, relativa a la orden de detención europea, siendo objetivo de la Unión llegar a ser un espacio de libertad, seguridad y justicia, ha de suprimirse la extradición entre los Estados miembros y sustituirse por un sistema de entrega entre autoridades judiciales, reemplazando el previo modelo de relaciones de cooperación por un sistema de libre circulación de decisiones judiciales en materia penal, tanto previas a la sentencia como definitivas. En la sentencia de 5 de abril de 2016, el Tribunal de Justicia de la Unión recuerda que la ‘Decisión Marco pretende, a través del establecimiento de un nuevo sistema simplificado y más eficaz de entrega de personas condenadas o sospechosas de haber infringido la ley penal, facilitar y acelerar la cooperación judicial para contribuir a que se logre el objetivo atribuido a la Unión de llegar a ser un espacio de libertad, seguridad y justicia basado en el grado de confianza elevado que debe existir entre los estados miembros’ (STJUE de 5 de abril de 2016, asuntos acumulados </w:t>
      </w:r>
      <w:r w:rsidRPr="008D479B">
        <w:rPr>
          <w:i/>
        </w:rPr>
        <w:t>Aranyosi y Căldăraru</w:t>
      </w:r>
      <w:r>
        <w:t>, C-404/15 y C-659/15, apartado 76).</w:t>
      </w:r>
    </w:p>
    <w:p w14:paraId="2B80B6DA" w14:textId="77777777" w:rsidR="008D479B" w:rsidRDefault="008D479B" w:rsidP="008D479B">
      <w:pPr>
        <w:pStyle w:val="TextoNormal"/>
      </w:pPr>
    </w:p>
    <w:p w14:paraId="0CA43BA0" w14:textId="77777777" w:rsidR="008D479B" w:rsidRDefault="008D479B" w:rsidP="008D479B">
      <w:pPr>
        <w:pStyle w:val="TextoNormal"/>
      </w:pPr>
      <w:r>
        <w:t xml:space="preserve">En el ámbito del Derecho penal este nuevo modelo de relaciones entre Estados se concreta en el principio de reconocimiento mutuo […] [que] ‘descansa a su vez en la confianza recíproca entre los Estados miembros en que sus respectivos ordenamientos jurídicos nacionales están en condiciones de proporcionar una protección equivalente y efectiva de los derechos fundamentales reconocidos en el ámbito de la Unión, en particular en la Carta de los Derechos Fundamentales de la Unión Europea’ (STJUE de 1 de junio de 2016, asunto </w:t>
      </w:r>
      <w:r w:rsidRPr="008D479B">
        <w:rPr>
          <w:i/>
        </w:rPr>
        <w:t>Niculaie Aurel Bob-Dogi</w:t>
      </w:r>
      <w:r>
        <w:t>, C-241/15, apartado 33, y jurisprudencia allí citada)”.</w:t>
      </w:r>
    </w:p>
    <w:p w14:paraId="1E1B69CA" w14:textId="77777777" w:rsidR="008D479B" w:rsidRDefault="008D479B" w:rsidP="008D479B">
      <w:pPr>
        <w:pStyle w:val="TextoNormal"/>
      </w:pPr>
    </w:p>
    <w:p w14:paraId="551C22DB" w14:textId="77777777" w:rsidR="008D479B" w:rsidRDefault="008D479B" w:rsidP="008D479B">
      <w:pPr>
        <w:pStyle w:val="TextoNormal"/>
      </w:pPr>
      <w:r>
        <w:t>La diferencia de fundamento entre ambos instrumentos de cooperación internacional y, señaladamente, el carácter eminentemente casuístico que puede presentar la figura de la extradición, en la que juega un papel esencial la existencia de tratados bilaterales o las relaciones de reciprocidad, determina la existencia de diferencias significativas en su regulación. En lo que ahora interesa, ni los arts. 824 y ss. LECrim, que regulan el procedimiento para la extradición activa, ni la Ley 4/1985, de 21 de marzo, de extradición pasiva, contemplan norma alguna sobre el cómputo de los periodos de privación de libertad sufridos en el marco de la ejecución de este tipo de instrumentos. No ocurre lo mismo con la orden europea de detención y entrega.</w:t>
      </w:r>
    </w:p>
    <w:p w14:paraId="3B200AE1" w14:textId="77777777" w:rsidR="008D479B" w:rsidRDefault="008D479B" w:rsidP="008D479B">
      <w:pPr>
        <w:pStyle w:val="TextoNormal"/>
      </w:pPr>
    </w:p>
    <w:p w14:paraId="20AC3EBF" w14:textId="77777777" w:rsidR="008D479B" w:rsidRDefault="008D479B" w:rsidP="008D479B">
      <w:pPr>
        <w:pStyle w:val="TextoNormal"/>
      </w:pPr>
      <w:r>
        <w:t>En efecto, la citada Decisión Marco 2002/584/JAI fue incorporada por primera vez a nuestro Derecho por la Ley 3/2003, de 14 de marzo, sobre la orden europea de detención y entrega; y, en la actualidad, este instrumento de cooperación se encuentra regulado en la Ley 23/2014, de 20 de noviembre, de reconocimiento mutuo de resoluciones penales en la Unión Europea, que derogó expresamente la anterior (según establece su disposición derogatoria única).</w:t>
      </w:r>
    </w:p>
    <w:p w14:paraId="32C91522" w14:textId="77777777" w:rsidR="008D479B" w:rsidRDefault="008D479B" w:rsidP="008D479B">
      <w:pPr>
        <w:pStyle w:val="TextoNormal"/>
      </w:pPr>
    </w:p>
    <w:p w14:paraId="48DCBBD5" w14:textId="77777777" w:rsidR="008D479B" w:rsidRDefault="008D479B" w:rsidP="008D479B">
      <w:pPr>
        <w:pStyle w:val="TextoNormal"/>
      </w:pPr>
      <w:r>
        <w:t>Pues bien, en coherencia con lo dispuesto en el art. 26 de la Decisión Marco 2002/584/JAI, el art. 45.1 de la Ley 23/2014 establece, literalmente, que la “autoridad judicial española deducirá del período máximo de prisión preventiva cualquier período de privación de libertad que haya sufrido el reclamado derivado de la ejecución de una orden europea de detención y entrega”.</w:t>
      </w:r>
    </w:p>
    <w:p w14:paraId="521C812F" w14:textId="77777777" w:rsidR="008D479B" w:rsidRDefault="008D479B" w:rsidP="008D479B">
      <w:pPr>
        <w:pStyle w:val="TextoNormal"/>
      </w:pPr>
    </w:p>
    <w:p w14:paraId="13E41AE3" w14:textId="77777777" w:rsidR="008D479B" w:rsidRDefault="008D479B" w:rsidP="008D479B">
      <w:pPr>
        <w:pStyle w:val="TextoNormal"/>
      </w:pPr>
      <w:r>
        <w:t>Este precepto, a su vez, guarda una necesaria correlación con la normativa específica sobre la prisión provisional recogida en la Ley de enjuiciamiento criminal, cuyo art. 504.5 establece que: “para el cómputo de los plazos [máximos] establecidos en este artículo se tendrá en cuenta el tiempo que el investigado o encausado hubiera estado detenido o sometido a prisión provisional por la misma causa. Se excluirá, sin embargo, de aquel cómputo el tiempo en que la causa sufriere dilaciones no imputables a la administración de justicia”.</w:t>
      </w:r>
    </w:p>
    <w:p w14:paraId="58D9AEFA" w14:textId="77777777" w:rsidR="008D479B" w:rsidRDefault="008D479B" w:rsidP="008D479B">
      <w:pPr>
        <w:pStyle w:val="TextoNormal"/>
      </w:pPr>
    </w:p>
    <w:p w14:paraId="199DEE8B" w14:textId="321A889C" w:rsidR="008D479B" w:rsidRDefault="008D479B" w:rsidP="008D479B">
      <w:pPr>
        <w:pStyle w:val="TextoNormal"/>
      </w:pPr>
      <w:r>
        <w:t>En este contexto normativo ha de ponderarse la eventual vulneración del derecho a la libertad (art. 17.1 CE) ahora analizado.</w:t>
      </w:r>
    </w:p>
    <w:p w14:paraId="3A50CDB9" w14:textId="77777777" w:rsidR="008D479B" w:rsidRDefault="008D479B" w:rsidP="008D479B">
      <w:pPr>
        <w:pStyle w:val="TextoNormal"/>
      </w:pPr>
    </w:p>
    <w:p w14:paraId="3FBC02C4" w14:textId="77777777" w:rsidR="008D479B" w:rsidRDefault="008D479B" w:rsidP="008D479B">
      <w:pPr>
        <w:pStyle w:val="TextoNormal"/>
      </w:pPr>
      <w:r w:rsidRPr="008D479B">
        <w:rPr>
          <w:rStyle w:val="NumeroAFNegritaCaracter"/>
        </w:rPr>
        <w:t>5</w:t>
      </w:r>
      <w:r>
        <w:t xml:space="preserve">. </w:t>
      </w:r>
      <w:r w:rsidRPr="008D479B">
        <w:rPr>
          <w:i/>
        </w:rPr>
        <w:t>El derecho a la libertad en el ámbito del procedimiento para la ejecución de una orden europea de detención y entrega</w:t>
      </w:r>
    </w:p>
    <w:p w14:paraId="13886375" w14:textId="77777777" w:rsidR="008D479B" w:rsidRDefault="008D479B" w:rsidP="008D479B">
      <w:pPr>
        <w:pStyle w:val="TextoNormal"/>
      </w:pPr>
    </w:p>
    <w:p w14:paraId="72E70719" w14:textId="77777777" w:rsidR="008D479B" w:rsidRDefault="008D479B" w:rsidP="008D479B">
      <w:pPr>
        <w:pStyle w:val="TextoNormal"/>
      </w:pPr>
      <w:r>
        <w:t>Este tribunal cuenta con un cuerpo de doctrina sobre el derecho a la libertad personal (at. 17 CE) que, en lo que puede ser de interés para la resolución de este caso, puede sistematizarse en dos grandes bloques: el que afecta a la medida cautelar de prisión provisional y el que se refiere a los instrumentos de cooperación internacional.</w:t>
      </w:r>
    </w:p>
    <w:p w14:paraId="6B5358A5" w14:textId="77777777" w:rsidR="008D479B" w:rsidRDefault="008D479B" w:rsidP="008D479B">
      <w:pPr>
        <w:pStyle w:val="TextoNormal"/>
      </w:pPr>
    </w:p>
    <w:p w14:paraId="1C969E96" w14:textId="77777777" w:rsidR="008D479B" w:rsidRDefault="008D479B" w:rsidP="008D479B">
      <w:pPr>
        <w:pStyle w:val="TextoNormal"/>
      </w:pPr>
      <w:r>
        <w:t>a) El derecho a la libertad personal (art. 17 CE) y su privación a través de la medida cautelar de prisión provisional</w:t>
      </w:r>
    </w:p>
    <w:p w14:paraId="3ADC5CBC" w14:textId="77777777" w:rsidR="008D479B" w:rsidRDefault="008D479B" w:rsidP="008D479B">
      <w:pPr>
        <w:pStyle w:val="TextoNormal"/>
      </w:pPr>
    </w:p>
    <w:p w14:paraId="3E0B6690" w14:textId="77777777" w:rsidR="008D479B" w:rsidRDefault="008D479B" w:rsidP="008D479B">
      <w:pPr>
        <w:pStyle w:val="TextoNormal"/>
      </w:pPr>
      <w:r>
        <w:t>Como se expuso en la STC 32/2023, de 17 de abril (FJ 3), con remisión a la STC 143/2022, de 14 de noviembre (FJ 4), los principales elementos de esa doctrina se pueden sintetizar de la siguiente manera:</w:t>
      </w:r>
    </w:p>
    <w:p w14:paraId="4D3E0072" w14:textId="77777777" w:rsidR="008D479B" w:rsidRDefault="008D479B" w:rsidP="008D479B">
      <w:pPr>
        <w:pStyle w:val="TextoNormal"/>
      </w:pPr>
    </w:p>
    <w:p w14:paraId="50F36FBC" w14:textId="77777777" w:rsidR="008D479B" w:rsidRDefault="008D479B" w:rsidP="008D479B">
      <w:pPr>
        <w:pStyle w:val="TextoNormal"/>
      </w:pPr>
      <w:r>
        <w:t>(i) Principio de legalidad</w:t>
      </w:r>
    </w:p>
    <w:p w14:paraId="29DE1AC9" w14:textId="77777777" w:rsidR="008D479B" w:rsidRDefault="008D479B" w:rsidP="008D479B">
      <w:pPr>
        <w:pStyle w:val="TextoNormal"/>
      </w:pPr>
    </w:p>
    <w:p w14:paraId="62B6F702" w14:textId="77777777" w:rsidR="008D479B" w:rsidRDefault="008D479B" w:rsidP="008D479B">
      <w:pPr>
        <w:pStyle w:val="TextoNormal"/>
      </w:pPr>
      <w:r>
        <w:t>Como hemos señalado, “uno de los principios a tener en cuenta de cara a la adopción de la medida cautelar de prisión provisional [es] el principio de legalidad, que opera como elemento habilitante de la privación de libertad y como fuente de limitación del plazo máximo de duración de la medida cautelar, ‘razón por la cual este tribunal ha declarado reiteradamente que la superación de los plazos máximos legalmente previstos supone una limitación desproporcionada de aquel derecho y, en consecuencia, su vulneración (entre otras, SSTC 99/2006, de 27 de marzo, y 95/2007, de 7 de mayo)’ (STC 29/2019, de 28 de febrero, FJ 3) […]. Nuestra jurisprudencia ha considerado también que la exigencia general de habilitación legal supone que la decisión judicial de decretar, mantener o prorrogar la prisión provisional ha de estar prevista en uno de los supuestos legales (uno de los ‘casos’ a que se refiere el art. 17.1 CE) y que ha de adoptarse mediante el procedimiento legalmente regulado (en la ‘forma’ mencionada en el mismo precepto constitucional). De ahí que se haya reiterado que el derecho a la libertad personal puede verse lesionado tanto cuando se actúa bajo la cobertura improcedente de la ley como contra lo que la ley dispone (así, SSTC 305/2000, de 11 de diciembre, FJ 3; 210/2013, de 16 de diciembre, FJ 2, y 217/2015, de 22 de octubre, FJ 2)’ (STC 29/2019, de 28 de febrero, FJ 3)”.</w:t>
      </w:r>
    </w:p>
    <w:p w14:paraId="418D697A" w14:textId="77777777" w:rsidR="008D479B" w:rsidRDefault="008D479B" w:rsidP="008D479B">
      <w:pPr>
        <w:pStyle w:val="TextoNormal"/>
      </w:pPr>
    </w:p>
    <w:p w14:paraId="4A879B3B" w14:textId="77777777" w:rsidR="008D479B" w:rsidRDefault="008D479B" w:rsidP="008D479B">
      <w:pPr>
        <w:pStyle w:val="TextoNormal"/>
      </w:pPr>
      <w:r>
        <w:t xml:space="preserve">(ii) Principio de </w:t>
      </w:r>
      <w:r w:rsidRPr="008D479B">
        <w:rPr>
          <w:i/>
        </w:rPr>
        <w:t>favor libertatis</w:t>
      </w:r>
      <w:r>
        <w:t xml:space="preserve"> o de </w:t>
      </w:r>
      <w:r w:rsidRPr="008D479B">
        <w:rPr>
          <w:i/>
        </w:rPr>
        <w:t>in dubio pro libertate</w:t>
      </w:r>
    </w:p>
    <w:p w14:paraId="6F910155" w14:textId="77777777" w:rsidR="008D479B" w:rsidRDefault="008D479B" w:rsidP="008D479B">
      <w:pPr>
        <w:pStyle w:val="TextoNormal"/>
      </w:pPr>
    </w:p>
    <w:p w14:paraId="3E0FC400" w14:textId="77777777" w:rsidR="008D479B" w:rsidRDefault="008D479B" w:rsidP="008D479B">
      <w:pPr>
        <w:pStyle w:val="TextoNormal"/>
      </w:pPr>
      <w:r>
        <w:t>Conforme a estos principios, “la interpretación y aplicación de las normas reguladoras de la medida de prisión provisional ‘deben hacerse con carácter restrictivo y a favor del derecho fundamental que tales normas restringen, lo cual ha de conducir a la elección y aplicación, en caso de duda, de la norma menos restrictiva de libertad’ (SSTC 88/1988, de 9 de mayo, FJ 1; 98/2002, de 29 de abril, FJ 3, y 95/2007, de 7 de mayo, FJ 4)”.</w:t>
      </w:r>
    </w:p>
    <w:p w14:paraId="72DA8EFD" w14:textId="77777777" w:rsidR="008D479B" w:rsidRDefault="008D479B" w:rsidP="008D479B">
      <w:pPr>
        <w:pStyle w:val="TextoNormal"/>
      </w:pPr>
    </w:p>
    <w:p w14:paraId="032C47C6" w14:textId="77777777" w:rsidR="008D479B" w:rsidRDefault="008D479B" w:rsidP="008D479B">
      <w:pPr>
        <w:pStyle w:val="TextoNormal"/>
      </w:pPr>
      <w:r>
        <w:t>(iii) La duración de los plazos máximos como garantía del derecho a la libertad</w:t>
      </w:r>
    </w:p>
    <w:p w14:paraId="68D85FD4" w14:textId="77777777" w:rsidR="008D479B" w:rsidRDefault="008D479B" w:rsidP="008D479B">
      <w:pPr>
        <w:pStyle w:val="TextoNormal"/>
      </w:pPr>
    </w:p>
    <w:p w14:paraId="26A62085" w14:textId="77777777" w:rsidR="008D479B" w:rsidRDefault="008D479B" w:rsidP="008D479B">
      <w:pPr>
        <w:pStyle w:val="TextoNormal"/>
      </w:pPr>
      <w:r>
        <w:t>Para este tribunal, “la limitación del plazo máximo de duración de la medida de prisión provisional opera como mecanismo de garantía evitando que alcance una duración excesiva, que dependa de causas ajenas e inciertas a la persona juzgada, y con el objetivo de que quien se somete a aquella tenga una expectativa concreta sobre su extensión y finalización. La razón de esta última exigencia, como recuerda la STC 95/2007, de 7 de mayo, ‘encuentra su último fundamento en la seguridad jurídica de los ciudadanos […]. Al mismo tiempo, este precepto pretende evitar la lentitud de la justicia en los procesos penales, de modo que la determinación de un plazo legal para la prisión provisional sirva de acicate a los órganos judiciales para que aceleren la instrucción y el enjuiciamiento de las causas penales con preso (SSTC 8/1990, de 18 de enero, FJ 4; 206/1991, de 30 de octubre, FJ 4)’(FJ 5).</w:t>
      </w:r>
    </w:p>
    <w:p w14:paraId="2EBDFA9B" w14:textId="77777777" w:rsidR="008D479B" w:rsidRDefault="008D479B" w:rsidP="008D479B">
      <w:pPr>
        <w:pStyle w:val="TextoNormal"/>
      </w:pPr>
    </w:p>
    <w:p w14:paraId="48956324" w14:textId="77777777" w:rsidR="008D479B" w:rsidRDefault="008D479B" w:rsidP="008D479B">
      <w:pPr>
        <w:pStyle w:val="TextoNormal"/>
      </w:pPr>
      <w:r>
        <w:t>El respeto a los plazos legales máximos iniciales y de prórroga de la prisión provisional, establecidos en el art. 504, párrafo cuarto LECrim, constituye, por lo tanto, un mandato constitucional, de forma que la superación de aquellos conllevaría una limitación desproporcionada del derecho a la libertad y, en consecuencia, su vulneración (por todas, SSTC 98/1998, de 4 de mayo, FJ 2; 142/1998, de 29 de junio, FJ 3; 234/1998, de 1 de diciembre, FJ 2; 19/1999, de 22 de febrero, FJ 4; 71/2000, de 13 de marzo, FJ 5; 72/2000, de 13 de marzo, FJ 6; 305/2000, de 11 de diciembre, FJ 4; 28/2001, de 29 de enero, FJ 4). Por ello mismo, este tribunal ha censurado en numerosas resoluciones decisiones judiciales consistentes en prorrogar el plazo de prisión provisional (art. 504.2 LECrim) después de que el plazo inicial haya expirado, pues la lesión en que consiste el incumplimiento del plazo no se subsana por el extemporáneo acuerdo de prórroga una vez finalizado aquel (en este sentido, SSTC 56/1997, de 17 de marzo; 234/1998, de 1 de diciembre; 305/2000, de 11 de diciembre, y 98/2002, de 29 de abril)”.</w:t>
      </w:r>
    </w:p>
    <w:p w14:paraId="4BD079BF" w14:textId="77777777" w:rsidR="008D479B" w:rsidRDefault="008D479B" w:rsidP="008D479B">
      <w:pPr>
        <w:pStyle w:val="TextoNormal"/>
      </w:pPr>
    </w:p>
    <w:p w14:paraId="50C00FBE" w14:textId="77777777" w:rsidR="008D479B" w:rsidRDefault="008D479B" w:rsidP="008D479B">
      <w:pPr>
        <w:pStyle w:val="TextoNormal"/>
      </w:pPr>
      <w:r>
        <w:t>A modo de síntesis, de lo anteriormente expuesto “cabe extraer tres criterios jurisprudenciales esenciales que deben regir en toda adopción de la medida cautelar de prisión provisional: (i) en primer lugar, que la excepcionalidad de esta medida impone una interpretación restrictiva de las normas reguladoras de aquella y en el sentido más favorable al derecho a la libertad (</w:t>
      </w:r>
      <w:r w:rsidRPr="008D479B">
        <w:rPr>
          <w:i/>
        </w:rPr>
        <w:t>favor libertatis</w:t>
      </w:r>
      <w:r>
        <w:t>); (ii) en segundo lugar, que del primero de los fundamentos de la exigencia de un plazo máximo de duración de la medida (garantizar la seguridad jurídica) se deriva, a su vez, una exigencia de certeza en el cómputo del mismo, que lleva a la exclusión de los ‘elementos inciertos’, que pueden conducir al ‘desbordamiento del plazo razonable’, conectándose de este modo la exigencia de certeza con la del ‘plazo razonable’; (iii) en tercer lugar, que del otro criterio en que se fundamenta el establecimiento del plazo máximo (evitar dilaciones indebidas) se deriva la necesidad de valorar, junto a la complejidad de la causa, tanto la actuación de los órganos judiciales como la conducta del recurrente a la hora de determinar si las dilaciones producidas pueden o no excluirse del cómputo del plazo, criterios que coinciden con los empleados para determinar si nos encontramos o no ante un ‘plazo razonable’”.</w:t>
      </w:r>
    </w:p>
    <w:p w14:paraId="00664800" w14:textId="77777777" w:rsidR="008D479B" w:rsidRDefault="008D479B" w:rsidP="008D479B">
      <w:pPr>
        <w:pStyle w:val="TextoNormal"/>
      </w:pPr>
    </w:p>
    <w:p w14:paraId="5BE2999E" w14:textId="77777777" w:rsidR="008D479B" w:rsidRDefault="008D479B" w:rsidP="008D479B">
      <w:pPr>
        <w:pStyle w:val="TextoNormal"/>
      </w:pPr>
      <w:r>
        <w:t>b) El derecho a la libertad personal (art. 17 CE) en la ejecución de los procesos extradicionales y de orden europea de detención y entrega</w:t>
      </w:r>
    </w:p>
    <w:p w14:paraId="79780B03" w14:textId="77777777" w:rsidR="008D479B" w:rsidRDefault="008D479B" w:rsidP="008D479B">
      <w:pPr>
        <w:pStyle w:val="TextoNormal"/>
      </w:pPr>
    </w:p>
    <w:p w14:paraId="5A3DEC0A" w14:textId="77777777" w:rsidR="008D479B" w:rsidRDefault="008D479B" w:rsidP="008D479B">
      <w:pPr>
        <w:pStyle w:val="TextoNormal"/>
      </w:pPr>
      <w:r>
        <w:t>Como se expone en la ya citada STC 32/2023, de 17 de abril, FJ 4, con remisión a la STC 143/2022, de 14 de noviembre (FJ 5), este tribunal ha ido evolucionando progresivamente en su doctrina sobre la naturaleza, régimen y duración de las medidas cautelares privativas de libertad dictadas con ocasión de la ejecución de este tipo de instrumentos de cooperación internacional.</w:t>
      </w:r>
    </w:p>
    <w:p w14:paraId="399BAFA4" w14:textId="77777777" w:rsidR="008D479B" w:rsidRDefault="008D479B" w:rsidP="008D479B">
      <w:pPr>
        <w:pStyle w:val="TextoNormal"/>
      </w:pPr>
    </w:p>
    <w:p w14:paraId="7FC517B3" w14:textId="77777777" w:rsidR="008D479B" w:rsidRDefault="008D479B" w:rsidP="008D479B">
      <w:pPr>
        <w:pStyle w:val="TextoNormal"/>
      </w:pPr>
      <w:r>
        <w:t>Tras afirmar inicialmente la sustancial diferencia entre la prisión provisional decretada para garantizar la exigencia de una responsabilidad penal y la acordada en cumplimiento de las garantías previstas en un proceso dirigido exclusivamente a resolver sobre una petición de auxilio internacional (ATC 118/2003, de 8 de abril, FJ 2), también se ha señalado que “la aplicación supletoria de las normas sobre determinación del límite máximo de prisión provisional y la exigencia de que aquella se encuentre sujeta ‘a un plazo razonable’ de conformidad con lo previsto en los arts. 5.3 del Convenio europeo de derechos humanos (art. 5.3 CEDH) y 9.3 del Pacto internacional de derechos civiles y políticos”, ha justificado “que este tribunal haya estimado vulneradoras del art. 17.4 CE supuestos de interpretaciones que no solamente se alejaban de estas exigencias sino que, además, hacían depender el referido plazo máximo de elementos inciertos contrarios a la seguridad jurídica del propio privado de libertad (STC 143/2022, de 14 de noviembre, FJ 5; con cita de la SSTC 147/2000, de 29 de mayo; 71/2000, de 13 de marzo, y 72/2000, de 13 de marzo)”.</w:t>
      </w:r>
    </w:p>
    <w:p w14:paraId="5B606438" w14:textId="77777777" w:rsidR="008D479B" w:rsidRDefault="008D479B" w:rsidP="008D479B">
      <w:pPr>
        <w:pStyle w:val="TextoNormal"/>
      </w:pPr>
    </w:p>
    <w:p w14:paraId="40FE0FAE" w14:textId="77777777" w:rsidR="008D479B" w:rsidRDefault="008D479B" w:rsidP="008D479B">
      <w:pPr>
        <w:pStyle w:val="TextoNormal"/>
      </w:pPr>
      <w:r>
        <w:t>En el caso de la extradición activa, la doctrina inicial plasmada en la STC 8/1990, de 18 de enero, FJ 5, y en los AATC 189/2005, de 9 de mayo, y 212/2005, de 12 de mayo, consideraba que la previsión legal establecida ahora en el art. 504.5 LECrim (antes art. 504.6 LECrim), “amparaba constitucionalmente interpretaciones judiciales que giraban sobre la idea de que el periodo de privación de libertad sufrido en el extranjero como consecuencia de un proceso extradicional no computaba a los efectos del plazo del art. 504.2 LECrim siempre que aquel hubiera sido necesario dada la actuación del propio encausado”, lo que apuntaba a una labor ponderativa sobre la base de criterios interpretativos como el del “plazo razonable”, en los que debe valorarse “la complejidad de la causa, la actividad desplegada por el órgano judicial y el comportamiento del recurrente”.</w:t>
      </w:r>
    </w:p>
    <w:p w14:paraId="0691FF8F" w14:textId="77777777" w:rsidR="008D479B" w:rsidRDefault="008D479B" w:rsidP="008D479B">
      <w:pPr>
        <w:pStyle w:val="TextoNormal"/>
      </w:pPr>
    </w:p>
    <w:p w14:paraId="39523730" w14:textId="77777777" w:rsidR="008D479B" w:rsidRDefault="008D479B" w:rsidP="008D479B">
      <w:pPr>
        <w:pStyle w:val="TextoNormal"/>
      </w:pPr>
      <w:r>
        <w:t xml:space="preserve">Posteriormente, y debido —precisamente— al análisis casuístico de la conducta del encausado, se concedió el amparo en el supuesto contemplado en la STC 143/2022, de 14 de noviembre. En esta resolución (FJ 6) se afirma que “la aplicación indiscriminada de la citada doctrina [sentada en los AATC 189/2005, de 9 de mayo; 212/2005, de 12 de mayo, y STC 8/1990, de 18 de enero] a todos los procesos extradicionales […] conllevaría </w:t>
      </w:r>
      <w:r w:rsidRPr="008D479B">
        <w:rPr>
          <w:i/>
        </w:rPr>
        <w:t>ipso iure</w:t>
      </w:r>
      <w:r>
        <w:t xml:space="preserve"> una eliminación, desde la perspectiva del art. 504.2 LECrim, de todo el periodo de privación de libertad sufrido en el extranjero por un reclamado en virtud de un proceso de extradición activa, siendo indiferente, por lo tanto, si aquel fue consecuencia inexorable de una fuga o actuación rebelde del mismo, o, por el contrario, […], si el referido procedimiento de cooperación judicial internacional no fue provocado por su actuación extraprocesal”. Siendo este tribunal consciente de que corresponde al legislador determinar los plazos máximos para la prisión provisional, que también han de regir en los procesos de extradición, no puede ser “aceptable una interpretación […] en la que no concurriendo una actitud obstruccionista o desobediente por parte del sometido a un proceso de extradición [como era el caso] se permita eludir, o ignorar, el periodo privativo de libertad sufrido como consecuencia de aquel a través de una interpretación excesivamente abierta, flexible e imprevisible del apartado 5 del art. 504 LECrim”.</w:t>
      </w:r>
    </w:p>
    <w:p w14:paraId="27CDA79B" w14:textId="77777777" w:rsidR="008D479B" w:rsidRDefault="008D479B" w:rsidP="008D479B">
      <w:pPr>
        <w:pStyle w:val="TextoNormal"/>
      </w:pPr>
    </w:p>
    <w:p w14:paraId="3DCE721A" w14:textId="77777777" w:rsidR="008D479B" w:rsidRDefault="008D479B" w:rsidP="008D479B">
      <w:pPr>
        <w:pStyle w:val="TextoNormal"/>
      </w:pPr>
      <w:r>
        <w:t xml:space="preserve">Esta interpretación se apoyaba, además, en otros argumentos adicionales recogidos en ese mismo pronunciamiento. Así, el principio </w:t>
      </w:r>
      <w:r w:rsidRPr="008D479B">
        <w:rPr>
          <w:i/>
        </w:rPr>
        <w:t>favor libertatis</w:t>
      </w:r>
      <w:r>
        <w:t>, la eliminación de elementos de incertidumbre sobre la duración de la medida, o el carácter material y efectivo de la privación de libertad vinculada a la decisión del tribunal emisor. Pero, de entre todos ellos destaca, a los efectos de este recurso, la referencia a lo dispuesto en el art. 45.1 de la Ley 23/2014, de 20 de noviembre, de reconocimiento mutuo de resoluciones penales en la Unión Europea. Así, por un lado, se consideraba que las normas y garantías reguladoras del instituto de la orden europea de detención y entrega no pueden trasponerse sin más a los procedimientos de extradición regulados por los convenios internacionales correspondientes o, subsidiariamente, por la Ley de extradición pasiva “pues el rigor de los tribunales ordinarios a la hora de revisar las decisiones de extradición no puede ser el mismo cuando se proyecta sobre una extradición como cuando lo hacen sobre una orden europea de detención y entrega, de la misma manera que este rigor tampoco puede ser el mismo cuando la cuestión examinada versa ‘sobre una extradición ejecutiva o sobre una extradición procesal; o cuando existe un tratado de extradición con el país solicitante frente a los supuestos en que no existen esos vínculos convencionales (SSTC 102/2000, de 10 de abril, FJ 8; 181/2004, de 2 de noviembre, FJ 10, y 232/2012, de 10 de diciembre, FJ 4); pudiendo variar, asimismo, en función de si el país solicitante se integra o no en el Consejo de Europa’ (STC 132/2020, de 23 de septiembre, FJ 4)”. No obstante, “ante la ausencia de regulación legal al efecto, la existencia de una norma aplicable al caso, que regule una institución análoga, [supone] un criterio interpretativo a tener en cuenta por los órganos judiciales españoles especialmente cuando, como es el caso, afecta un valor objetivo y preponderante en ambos sistemas”, como es el derecho a la libertad personal (STC 143/2022, de 14 de noviembre, FJ 6). Por lo tanto, la existencia de una norma concreta en la regulación de la orden europea de detención y entrega podía ser utilizada como criterio orientador para la interpretación de las normas sobre prisión provisional aplicadas a la ejecución de un proceso extradicional.</w:t>
      </w:r>
    </w:p>
    <w:p w14:paraId="6C9D5D9E" w14:textId="77777777" w:rsidR="008D479B" w:rsidRDefault="008D479B" w:rsidP="008D479B">
      <w:pPr>
        <w:pStyle w:val="TextoNormal"/>
      </w:pPr>
    </w:p>
    <w:p w14:paraId="5794BAB2" w14:textId="77777777" w:rsidR="008D479B" w:rsidRDefault="008D479B" w:rsidP="008D479B">
      <w:pPr>
        <w:pStyle w:val="TextoNormal"/>
      </w:pPr>
      <w:r>
        <w:t xml:space="preserve">Dando un paso más en esta evolución, la STC 32/2023, de 17 de abril, FJ 5, reiteraba, con vocación de generalidad, los principios —ya avanzados en el fundamento jurídico 6 de la STC 143/2022, de 14 de noviembre— que han de tenerse en cuenta a la hora de determinar el cómputo de los periodos de privación de libertad en el extranjero como consecuencia de decisiones adoptadas por los órganos judiciales españoles: «(i) el principio de </w:t>
      </w:r>
      <w:r w:rsidRPr="008D479B">
        <w:rPr>
          <w:i/>
        </w:rPr>
        <w:t>favor libertatis</w:t>
      </w:r>
      <w:r>
        <w:t xml:space="preserve"> (SSTC 32/1987, de 12 de marzo; 34/1987, de 12 de marzo; 115/1987, de 7 de julio, y 37/1996, de 11 de marzo) o </w:t>
      </w:r>
      <w:r w:rsidRPr="008D479B">
        <w:rPr>
          <w:i/>
        </w:rPr>
        <w:t>in dubio pro libertate</w:t>
      </w:r>
      <w:r>
        <w:t xml:space="preserve"> (STC 117/1987, de 8 de julio) en virtud del cual la interpretación de las normas que regulan los motivos, condiciones y duración de las medidas privativas de libertad “debe hacerse con carácter restrictivo y a favor del derecho fundamental a la libertad” (STC 88/1988, de 9 de mayo, FJ 1); (ii) la exigencia de una certeza o previsibilidad sobre la duración de la medida, de tal manera que deben quedar excluidos eventos ajenos a la propia medida cautelar (SSTC 19/1999, de 22 de febrero, FJ 5, y 71/2000, de 13 de marzo, FFJJ 5 y 6) como elementos inciertos “que puedan conducir al ‘desbordamiento del plazo razonable’, conectándose de este modo la exigencia de certeza con la del ‘plazo razonable’ (por todas, STC 98/2002, de 29 de abril, FJ 5)’ (STC 95/2007, de 7 de mayo, FJ 5)”; y (iii) la necesidad de computar los plazos de prisión provisional desde la fecha en la que la privación de libertad se hizo efectiva, de tal manera que aquellos no pueden ser concebidos como plazos formales sino como de tiempo efectivo de privación efectiva de libertad, “razón por la cual dichos plazos han de computarse desde la fecha en que dicha restricción de la libertad se hará efectiva’ (STC 16/2005, de 1 febrero, FJ 4)”».</w:t>
      </w:r>
    </w:p>
    <w:p w14:paraId="2EC82F68" w14:textId="77777777" w:rsidR="008D479B" w:rsidRDefault="008D479B" w:rsidP="008D479B">
      <w:pPr>
        <w:pStyle w:val="TextoNormal"/>
      </w:pPr>
    </w:p>
    <w:p w14:paraId="1CFDFEE8" w14:textId="77777777" w:rsidR="008D479B" w:rsidRDefault="008D479B" w:rsidP="008D479B">
      <w:pPr>
        <w:pStyle w:val="TextoNormal"/>
      </w:pPr>
      <w:r>
        <w:t xml:space="preserve">Conforme a esos principios, la STC 32/2023, FJ 5, considera que “la interpretación consistente en no computar la efectiva privación de libertad acaecida en el extranjero carece de cobertura legal. El art. 17.4 CE exige que la ley determine el plazo máximo para la prisión provisional […] exigencia [que] es válida para cualquier tipo de proceso en el que se imponga una medida que materialmente constituye una prisión provisional […] y [que], por lo tanto, rige también en el proceso de extradición”, por lo que corresponde “al legislador, y no a los tribunales ordinarios, la posibilidad de establecer cualquier tipo de prórroga adicional, prolongación o suspensión” de la privación de libertad. Además, “el Estado no puede desvincularse de una situación jurídica que, aunque acaecida en territorio extranjero, tiene como origen y causa determinante una decisión adoptada por los órganos jurisdiccionales españoles”, lo que se ha afirmado expresamente en la STC 113/2022, de 26 de septiembre (FJ 3) como consecuencia del análisis de la posible responsabilidad patrimonial del Estado por una medida de prisión provisional adoptada por Reino Unido en ejecución de una orden europea de detención y entrega emitida por las autoridades españolas. De hecho, la STC 32/2023 (FJ 5) recuerda que la norma específica sobre el cómputo del plazo de privación de libertad sufrido en el país destinatario de la orden europea de detención y entrega (art. 45 de la Ley 23/2014) debe ser considerada como “criterio interpretativo” que ha de ser aplicado a instituciones análogas o que responden a la misma finalidad, como es el proceso de extradición, ante una eventual ausencia de regulación legal, en virtud de una “interpretación sistemática y en atención a los derechos fundamentales en juego (art. 17 CE)”. La misma STC 32/2023 (FJ 5) añade que una interpretación como la sostenida en las resoluciones impugnadas en ese caso “supone establecer un factor de incertidumbre —elemento ajeno, incierto, no previsto legalmente y, asimismo, imprevisible para el recurrente— en la duración de la medida cautelar, lo que, a su vez, se traduce en un menoscabo de la legítima expectativa que el propio demandante tiene sobre su extensión y finalización”, en línea con la doctrina del Tribunal Europeo de Derechos Humanos sobre las garantías de precisión de las normas reguladoras de la privación de libertad (SSTEDH de 28 de marzo de 2000, asunto </w:t>
      </w:r>
      <w:r w:rsidRPr="008D479B">
        <w:rPr>
          <w:i/>
        </w:rPr>
        <w:t>Baranowski c. Polonia</w:t>
      </w:r>
      <w:r>
        <w:t xml:space="preserve">, § 50-58; de 23 de febrero de 2012, asunto </w:t>
      </w:r>
      <w:r w:rsidRPr="008D479B">
        <w:rPr>
          <w:i/>
        </w:rPr>
        <w:t>Creanga c. Rumanía</w:t>
      </w:r>
      <w:r>
        <w:t xml:space="preserve">, § 120, y de 15 de diciembre de 2016, asunto </w:t>
      </w:r>
      <w:r w:rsidRPr="008D479B">
        <w:rPr>
          <w:i/>
        </w:rPr>
        <w:t>Khlaifia and others c. Italia</w:t>
      </w:r>
      <w:r>
        <w:t xml:space="preserve">, § 92); además de ser “diametralmente opuesta al principio de </w:t>
      </w:r>
      <w:r w:rsidRPr="008D479B">
        <w:rPr>
          <w:i/>
        </w:rPr>
        <w:t>favor libertatis</w:t>
      </w:r>
      <w:r>
        <w:t xml:space="preserve"> […] </w:t>
      </w:r>
      <w:r w:rsidRPr="008D479B">
        <w:rPr>
          <w:i/>
        </w:rPr>
        <w:t>o in dubio pro liberta</w:t>
      </w:r>
      <w:r>
        <w:t>te”.</w:t>
      </w:r>
    </w:p>
    <w:p w14:paraId="559F1820" w14:textId="77777777" w:rsidR="008D479B" w:rsidRDefault="008D479B" w:rsidP="008D479B">
      <w:pPr>
        <w:pStyle w:val="TextoNormal"/>
      </w:pPr>
    </w:p>
    <w:p w14:paraId="1600EF85" w14:textId="77777777" w:rsidR="008D479B" w:rsidRDefault="008D479B" w:rsidP="008D479B">
      <w:pPr>
        <w:pStyle w:val="TextoNormal"/>
      </w:pPr>
      <w:r>
        <w:t>En definitiva, y aunque la propia STC 32/2023 finalizaba admitiendo la posibilidad de “valorar las circunstancias de cada caso concreto”, concluye que “resulta injustificadamente restrictiva de este derecho [a la libertad] una decisión […] en la que se atribuye en exclusiva al demandante las consecuencias derivadas de un periodo de […] privación de libertad en que las autoridades […] tardaron en tramitar y resolver el correspondiente proceso de extradición”. Dicho de otra forma, “no resulta razonable —ni soporta un juicio metodológico profundo— una interpretación como la efectuada en este caso que permita a los órganos jurisdiccionales españoles desligarse de la propia realidad jurídica creada, y mantenida, por ellos”.</w:t>
      </w:r>
    </w:p>
    <w:p w14:paraId="19FFD48B" w14:textId="77777777" w:rsidR="008D479B" w:rsidRDefault="008D479B" w:rsidP="008D479B">
      <w:pPr>
        <w:pStyle w:val="TextoNormal"/>
      </w:pPr>
    </w:p>
    <w:p w14:paraId="62201D43" w14:textId="31EEFBF1" w:rsidR="008D479B" w:rsidRDefault="008D479B" w:rsidP="008D479B">
      <w:pPr>
        <w:pStyle w:val="TextoNormal"/>
      </w:pPr>
      <w:r>
        <w:t xml:space="preserve">De todo lo anterior se desprende que la regulación sobre la privación de libertad motivada por la ejecución de cualquiera de los instrumentos de cooperación internacional y, señaladamente, de la orden europea de detención y entrega, ha de ser interpretada y aplicada en el marco de los parámetros generales establecidos en nuestra doctrina sobre el derecho a la libertad y su privación a través de la medida cautelar de prisión provisional. En consecuencia, los principios de legalidad y de </w:t>
      </w:r>
      <w:r w:rsidRPr="008D479B">
        <w:rPr>
          <w:i/>
        </w:rPr>
        <w:t>favor libertatis</w:t>
      </w:r>
      <w:r>
        <w:t xml:space="preserve"> han de presidir la interpretación y aplicación práctica de estas normas, en cuanto afectan directamente no solo a un derecho fundamental (art. 17 CE) sino a un principio o valor superior del ordenamiento jurídico (art. 1.1. CE). De manera que, cuando exista una previsión normativa concreta que regule el cómputo de los plazos de duración máxima de la prisión provisional en un determinado instrumento de cooperación, habrá de estarse a lo dispuesto en esa norma, como ocurre con la orden europea de detención y entrega. Mientras que, cuando no exista previsión concreta, como ocurre con los procesos de extradición, la aplicación supletoria de lo dispuesto en el art. 504.5 LECrim únicamente podrá permitir, de forma excepcional y debidamente motivada, la exclusión de aquellos periodos de tiempo de privación de libertad que no sean atribuibles a dilaciones provocadas por la administración de justicia, sino que puedan ser atribuidos, en exclusiva, a la conducta obstruccionista o dilatoria del afectado, o que no hayan sido directamente provocados por la propia aplicación del instrumento de cooperación concreto.</w:t>
      </w:r>
    </w:p>
    <w:p w14:paraId="25AA883B" w14:textId="77777777" w:rsidR="008D479B" w:rsidRDefault="008D479B" w:rsidP="008D479B">
      <w:pPr>
        <w:pStyle w:val="TextoNormal"/>
      </w:pPr>
    </w:p>
    <w:p w14:paraId="43FF8D95" w14:textId="77777777" w:rsidR="008D479B" w:rsidRDefault="008D479B" w:rsidP="008D479B">
      <w:pPr>
        <w:pStyle w:val="TextoNormal"/>
      </w:pPr>
      <w:r w:rsidRPr="008D479B">
        <w:rPr>
          <w:rStyle w:val="NumeroAFNegritaCaracter"/>
        </w:rPr>
        <w:t>6</w:t>
      </w:r>
      <w:r>
        <w:t xml:space="preserve">. </w:t>
      </w:r>
      <w:r w:rsidRPr="008D479B">
        <w:rPr>
          <w:i/>
        </w:rPr>
        <w:t>Resolución de la queja</w:t>
      </w:r>
    </w:p>
    <w:p w14:paraId="6E6F2BE8" w14:textId="77777777" w:rsidR="008D479B" w:rsidRDefault="008D479B" w:rsidP="008D479B">
      <w:pPr>
        <w:pStyle w:val="TextoNormal"/>
      </w:pPr>
    </w:p>
    <w:p w14:paraId="09D1EDA0" w14:textId="77777777" w:rsidR="008D479B" w:rsidRDefault="008D479B" w:rsidP="008D479B">
      <w:pPr>
        <w:pStyle w:val="TextoNormal"/>
      </w:pPr>
      <w:r>
        <w:t>La mera constatación de los elementos fácticos que se desprenden de las actuaciones, junto a la normativa aplicable y a la doctrina constitucional que se acaba de exponer, han de conducir necesariamente a la estimación del presente recurso de amparo, tal y como propone el Ministerio Fiscal en su exhaustivo informe.</w:t>
      </w:r>
    </w:p>
    <w:p w14:paraId="6FD3BDE3" w14:textId="77777777" w:rsidR="008D479B" w:rsidRDefault="008D479B" w:rsidP="008D479B">
      <w:pPr>
        <w:pStyle w:val="TextoNormal"/>
      </w:pPr>
    </w:p>
    <w:p w14:paraId="28C803F5" w14:textId="77777777" w:rsidR="008D479B" w:rsidRDefault="008D479B" w:rsidP="008D479B">
      <w:pPr>
        <w:pStyle w:val="TextoNormal"/>
      </w:pPr>
      <w:r>
        <w:t xml:space="preserve">En efecto, son datos no controvertidos que, como consecuencia de la orden europea de detención y entrega emitida por el Juzgado de Instrucción núm. 1 de Marbella, el ahora recurrente fue privado de libertad en Rumanía desde el 22 de mayo de 2020, según consta en la documentación oficial remitida por ese país (cualquier fecha anterior alegada por el recurrente no ha resultado acreditada), siendo finalmente puesto a disposición judicial en España en fecha 7 de agosto de 2020, día en que se acordó su prisión provisional comunicada y sin fianza. Que, en fecha 14 de mayo de 2022 se recibió en el juzgado una petición de libertad firmada de puño y letra por el recurrente, en la que ponía de manifiesto la expiración del plazo máximo de dos años de prisión provisional previsto en la Ley de enjuiciamiento criminal. Que el juzgado desestimó la petición de libertad por auto de 24 de mayo de 2022, sin hacer referencia alguna a la cuestión planteada. Que, interpuesto recurso de apelación, con invocación expresa del derecho a la libertad personal (art. 17 CE), la Audiencia Provincial desestimó el recurso mediante la remisión a una doctrina de este tribunal (STC 95/2007, de 7 de mayo) en la que se aplicaba una norma ya derogada, y sin mención a la vigente Ley 23/2014, de 20 de noviembre, de reconocimiento mutuo de las resoluciones penales en la Unión Europea. Tampoco resulta controvertido que, teniendo en cuenta el motivo de la prisión provisional decretada, consistente en el riesgo de fuga [art. 503.1.3 a) LECrim], así como la pena señalada al delito atribuido al recurrente (superior a tres años de prisión, </w:t>
      </w:r>
      <w:r w:rsidRPr="008D479B">
        <w:rPr>
          <w:i/>
        </w:rPr>
        <w:t>ex</w:t>
      </w:r>
      <w:r>
        <w:t xml:space="preserve"> art. 139 CP), el plazo máximo de duración de la prisión preventiva era de dos años, prorrogables por otros dos (art. 504.2 LECrim).</w:t>
      </w:r>
    </w:p>
    <w:p w14:paraId="418B3544" w14:textId="77777777" w:rsidR="008D479B" w:rsidRDefault="008D479B" w:rsidP="008D479B">
      <w:pPr>
        <w:pStyle w:val="TextoNormal"/>
      </w:pPr>
    </w:p>
    <w:p w14:paraId="1DA727A9" w14:textId="77777777" w:rsidR="008D479B" w:rsidRDefault="008D479B" w:rsidP="008D479B">
      <w:pPr>
        <w:pStyle w:val="TextoNormal"/>
      </w:pPr>
      <w:r>
        <w:t>Con estos antecedentes fácticos, se debe recordar, ante todo, lo dispuesto en el art. 17.1 CE, cuando señala que “[n]adie puede ser privado de su libertad, sino […] en los casos y en la forma previstos en la ley”, y el mismo art. 17, en su apartado 4, recoge expresamente que el plazo máximo de duración de la prisión provisional se determinará “por ley”. De esta forma, la legalidad se configura constitucionalmente como presupuesto habilitante (“en los casos y en la forma”) y como límite a cualquier privación de libertad y, señaladamente, al “plazo máximo de duración” de la prisión provisional. Por ello, la primera garantía del derecho a la libertad es su sujeción a la legalidad, de manera que la superación de los plazos máximos legalmente previstos supone una limitación desproporcionada de aquel derecho y, en consecuencia, su vulneración, ya que el incumplimiento del plazo máximo no puede subsanarse mediante una prórroga extemporánea de la privación de libertad que, como tal, carecería de base legal habilitante.</w:t>
      </w:r>
    </w:p>
    <w:p w14:paraId="6812F0DA" w14:textId="77777777" w:rsidR="008D479B" w:rsidRDefault="008D479B" w:rsidP="008D479B">
      <w:pPr>
        <w:pStyle w:val="TextoNormal"/>
      </w:pPr>
    </w:p>
    <w:p w14:paraId="7BE3127D" w14:textId="77777777" w:rsidR="008D479B" w:rsidRDefault="008D479B" w:rsidP="008D479B">
      <w:pPr>
        <w:pStyle w:val="TextoNormal"/>
      </w:pPr>
      <w:r>
        <w:t>Sentado lo anterior, la cuestión a dilucidar es si resulta constitucionalmente admisible que, en un caso como el planteado, el tiempo de privación de libertad soportado por el recurrente como consecuencia de la ejecución en Rumanía de la orden europea de detención emitida por el juzgado de Marbella no haya sido computado a los efectos de establecer el plazo máximo inicial de la prisión provisional. Si no fuera admisible en términos constitucionales, la prórroga habría sido acordada una vez expirado ese plazo y, por tanto, sin base legal habilitante para ello, con la consiguiente vulneración del derecho a la libertad del recurrente (art. 17.1 y 4 CE).</w:t>
      </w:r>
    </w:p>
    <w:p w14:paraId="02317319" w14:textId="77777777" w:rsidR="008D479B" w:rsidRDefault="008D479B" w:rsidP="008D479B">
      <w:pPr>
        <w:pStyle w:val="TextoNormal"/>
      </w:pPr>
    </w:p>
    <w:p w14:paraId="7A4255EC" w14:textId="77777777" w:rsidR="008D479B" w:rsidRDefault="008D479B" w:rsidP="008D479B">
      <w:pPr>
        <w:pStyle w:val="TextoNormal"/>
      </w:pPr>
      <w:r>
        <w:t xml:space="preserve">La respuesta a esta cuestión viene dada por lo dispuesto en el art. 45.1 de la Ley 23/2014, de 20 de noviembre, de reconocimiento mutuo de resoluciones penales en la Unión Europea. Ese precepto contempla este supuesto de forma específica, y establece que “la autoridad judicial española deducirá del período máximo de prisión preventiva cualquier período de privación de libertad que haya sufrido el reclamado derivado de la ejecución de una orden europea de detención y entrega”. Existe, por tanto, una previsión normativa que regula de forma concreta un supuesto como el planteado, y que exige el cómputo de la privación de libertad sufrida por el reclamado como consecuencia de la ejecución de la orden europea, a los efectos del cálculo del plazo máximo de prisión provisional en España. Una exigencia que, además, no está sujeta a condición alguna, por lo que la introducción de cualquier elemento de valoración ponderativa de circunstancias o factores que puedan impedir la aplicación pura y simple de la norma aparece huérfana de cualquier apoyo normativo y, en consecuencia, resulta contraria a los principios de legalidad y de </w:t>
      </w:r>
      <w:r w:rsidRPr="008D479B">
        <w:rPr>
          <w:i/>
        </w:rPr>
        <w:t>favor libertatis</w:t>
      </w:r>
      <w:r>
        <w:t xml:space="preserve"> que deben presidir la interpretación y aplicación de las normas sobre privación de libertad, por mandato constitucional.</w:t>
      </w:r>
    </w:p>
    <w:p w14:paraId="084A12D6" w14:textId="77777777" w:rsidR="008D479B" w:rsidRDefault="008D479B" w:rsidP="008D479B">
      <w:pPr>
        <w:pStyle w:val="TextoNormal"/>
      </w:pPr>
    </w:p>
    <w:p w14:paraId="0C64C2D9" w14:textId="77777777" w:rsidR="008D479B" w:rsidRDefault="008D479B" w:rsidP="008D479B">
      <w:pPr>
        <w:pStyle w:val="TextoNormal"/>
      </w:pPr>
      <w:r>
        <w:t xml:space="preserve">Frente a la claridad de la Ley 23/2014, el juzgado de instrucción omitió toda referencia a la cuestión planteada personalmente por el recurrente, y la audiencia provincial introdujo elementos de ponderación que, al menos, pueden calificarse como incursos en </w:t>
      </w:r>
      <w:r w:rsidRPr="008D479B">
        <w:rPr>
          <w:i/>
        </w:rPr>
        <w:t>error iuris</w:t>
      </w:r>
      <w:r>
        <w:t>, al mencionar una doctrina constitucional basada en una norma derogada.</w:t>
      </w:r>
    </w:p>
    <w:p w14:paraId="1087CBB5" w14:textId="77777777" w:rsidR="008D479B" w:rsidRDefault="008D479B" w:rsidP="008D479B">
      <w:pPr>
        <w:pStyle w:val="TextoNormal"/>
      </w:pPr>
    </w:p>
    <w:p w14:paraId="23671025" w14:textId="77777777" w:rsidR="008D479B" w:rsidRDefault="008D479B" w:rsidP="008D479B">
      <w:pPr>
        <w:pStyle w:val="TextoNormal"/>
      </w:pPr>
      <w:r>
        <w:t>Es cierto que, en ese momento, no se habían dictado las SSTC 113/2022, de 26 de septiembre, y 143/2022, de 14 de noviembre, que fueron aprobadas y publicadas incluso con posterioridad a la presentación de esta demanda, por lo que tampoco pudieron ser invocadas por el recurrente. Sin embargo, ello no puede obviar que, en el momento de dictarse las resoluciones impugnadas, estaba vigente la Ley 23/2014, de 20 de noviembre, de reconocimiento mutuo de resoluciones penales en la Unión Europea, a la que se hace expresa referencia en los autos de 4 de febrero y de 19 de mayo de 2020, por los que se acordó la emisión de la orden europea de detención y entrega y la simultánea orden de prisión provisional contra el recurrente, luego confirmada por el auto de 7 de agosto de 2020 y prorrogada por el auto de 1 de junio de 2022.</w:t>
      </w:r>
    </w:p>
    <w:p w14:paraId="7C57F5A8" w14:textId="77777777" w:rsidR="008D479B" w:rsidRDefault="008D479B" w:rsidP="008D479B">
      <w:pPr>
        <w:pStyle w:val="TextoNormal"/>
      </w:pPr>
    </w:p>
    <w:p w14:paraId="6FE3EA71" w14:textId="77777777" w:rsidR="008D479B" w:rsidRDefault="008D479B" w:rsidP="008D479B">
      <w:pPr>
        <w:pStyle w:val="TextoNormal"/>
      </w:pPr>
      <w:r>
        <w:t xml:space="preserve">La claridad del texto de la Ley 23/2014 no permite considerar como razonable cualquier otra interpretación que conlleve un resultado distinto del establecido en la norma, en la que no se contempla excepción o valoración alguna de otros parámetros distintos a lo que es el tiempo de privación efectiva de libertad sufrido para la ejecución de la orden. De hecho, como ya se expuso, la Ley 23/2014 sirve como criterio orientativo para la resolución de este tipo de supuestos en los procedimientos de extradición. De lo que puede inferirse que, con más motivo, esa norma concreta no puede ser obviada cuando se aborda el supuesto de hecho previsto en esa misma norma. El mandato de la ley es incondicional. Por ello, una interpretación que contemple la valoración de otros elementos ponderativos supone introducir un factor de imprevisibilidad que resulta contrario a los principios de legalidad y de </w:t>
      </w:r>
      <w:r w:rsidRPr="008D479B">
        <w:rPr>
          <w:i/>
        </w:rPr>
        <w:t>favor libertatis</w:t>
      </w:r>
      <w:r>
        <w:t>, lo que, a su vez, determina la vulneración del derecho a la libertad reconoció en el art. 17.1 y 4 CE.</w:t>
      </w:r>
    </w:p>
    <w:p w14:paraId="1A057DB6" w14:textId="77777777" w:rsidR="008D479B" w:rsidRDefault="008D479B" w:rsidP="008D479B">
      <w:pPr>
        <w:pStyle w:val="TextoNormal"/>
      </w:pPr>
    </w:p>
    <w:p w14:paraId="25D39896" w14:textId="77777777" w:rsidR="008D479B" w:rsidRDefault="008D479B" w:rsidP="008D479B">
      <w:pPr>
        <w:pStyle w:val="TextoNormal"/>
      </w:pPr>
      <w:r>
        <w:t>En el presente caso, el cómputo del plazo inicial de dos años de la medida cautelar de prisión provisional decretada sobre el recurrente debía empezar desde el día en que fue privado de libertad, de forma real y efectiva, como consecuencia de la ejecución de la orden europea de detención y entrega, es decir, desde el día 22 de mayo de 2020. En consecuencia, ese plazo inicial expiraba el 22 de mayo de 2022. De esta forma, la prórroga de la prisión acordada el 1 de junio de 2022 se hizo sin cobertura legal, dado que el plazo inicial ya había expirado con anterioridad. Una prórroga no puede subsanar lo que, materialmente, ya ha provocado una vulneración de un derecho fundamental, porque solo se puede prorrogar aquello que parte de una previa situación de legalidad. La lesión fue generada por el auto de 1 de junio de 2022, y no fue reparada por la Audiencia Provincial en el ulterior recurso de apelación, que fue indebidamente desestimado por el auto de 7 de julio de 2022.</w:t>
      </w:r>
    </w:p>
    <w:p w14:paraId="047FD00F" w14:textId="77777777" w:rsidR="008D479B" w:rsidRDefault="008D479B" w:rsidP="008D479B">
      <w:pPr>
        <w:pStyle w:val="TextoNormal"/>
      </w:pPr>
    </w:p>
    <w:p w14:paraId="19F8F636" w14:textId="628A1A15" w:rsidR="008D479B" w:rsidRDefault="008D479B" w:rsidP="008D479B">
      <w:pPr>
        <w:pStyle w:val="TextoNormal"/>
      </w:pPr>
      <w:r>
        <w:t>En virtud de todo lo anterior, las resoluciones judiciales impugnadas han vulnerado del derecho a la libertad del recurrente (art. 17.1 y 4 CE), dado que resulta constitucionalmente rechazable, en atención al valor prevalente del derecho a la libertad y el respeto a los principios de legalidad, excepcionalidad y limitación temporal de la medida cautelar de prisión provisional, la exclusión del cómputo de esta medida cautelar del periodo de privación de libertad sufrido en territorio rumano como consecuencia de la emisión, por las autoridades españolas, de la orden europea de detención y entrega.</w:t>
      </w:r>
    </w:p>
    <w:p w14:paraId="0BB61FC2" w14:textId="77777777" w:rsidR="008D479B" w:rsidRDefault="008D479B" w:rsidP="008D479B">
      <w:pPr>
        <w:pStyle w:val="TextoNormal"/>
      </w:pPr>
    </w:p>
    <w:p w14:paraId="16D7B4EC" w14:textId="77777777" w:rsidR="008D479B" w:rsidRDefault="008D479B" w:rsidP="008D479B">
      <w:pPr>
        <w:pStyle w:val="TextoNormal"/>
      </w:pPr>
      <w:r w:rsidRPr="008D479B">
        <w:rPr>
          <w:rStyle w:val="NumeroAFNegritaCaracter"/>
        </w:rPr>
        <w:t>7</w:t>
      </w:r>
      <w:r>
        <w:t xml:space="preserve">. </w:t>
      </w:r>
      <w:r w:rsidRPr="008D479B">
        <w:rPr>
          <w:i/>
        </w:rPr>
        <w:t>Efectos de la estimación del amparo</w:t>
      </w:r>
    </w:p>
    <w:p w14:paraId="1A6DFD7D" w14:textId="77777777" w:rsidR="008D479B" w:rsidRDefault="008D479B" w:rsidP="008D479B">
      <w:pPr>
        <w:pStyle w:val="TextoNormal"/>
      </w:pPr>
    </w:p>
    <w:p w14:paraId="744C6C82" w14:textId="6A73812D" w:rsidR="008D479B" w:rsidRDefault="008D479B" w:rsidP="008D479B">
      <w:pPr>
        <w:pStyle w:val="TextoNormal"/>
      </w:pPr>
      <w:r>
        <w:t>De conformidad con el criterio expuesto en la STC 143/2022, de 14 de noviembre (FJ 7), la constatación de la vulneración del derecho a la libertad (art. 17.1 y 4 CE) conlleva la declaración de nulidad de las resoluciones impugnadas, de la que no se sigue necesariamente la inmediata puesta en libertad del recurrente en amparo. Como es doctrina consolidada de este tribunal (SSTC 88/1988, de 9 de mayo, FJ 2; 56/1997, de 17 de marzo, FJ 12; 142/1998, FJ 4; 234/1998, FJ 3; 19/1999, de 22 de febrero, FJ 6; 71/2000, de 13 de marzo, FJ 8; 231/2000, de 2 de octubre, FJ 7; 272/2000, de 13 de noviembre, FJ 4; 28/2001, de 29 de enero, FJ 8; 142/2002, de 17 de junio, FJ 5, y 22/2004, de 23 de febrero, FJ 6) no es competencia de esta jurisdicción adoptar la decisión sobre el alzamiento o el mantenimiento de las medidas cautelares personales en el proceso penal, de modo que cumple devolver el procedimiento al órgano de la jurisdicción competente para que resuelva sobre este extremo de forma respetuosa con el derecho invocado en el recurso de amparo.</w:t>
      </w:r>
    </w:p>
    <w:p w14:paraId="78C5A986" w14:textId="77777777" w:rsidR="008D479B" w:rsidRDefault="008D479B" w:rsidP="008D479B">
      <w:pPr>
        <w:pStyle w:val="TextoNormal"/>
      </w:pPr>
    </w:p>
    <w:p w14:paraId="4481D127" w14:textId="77777777" w:rsidR="008D479B" w:rsidRDefault="008D479B" w:rsidP="008D479B">
      <w:pPr>
        <w:pStyle w:val="TextoNormalCentrado"/>
        <w:keepNext/>
      </w:pPr>
      <w:r>
        <w:t>FALLO</w:t>
      </w:r>
    </w:p>
    <w:p w14:paraId="3344D156" w14:textId="721FAECD" w:rsidR="008D479B" w:rsidRDefault="008D479B" w:rsidP="008D479B">
      <w:pPr>
        <w:pStyle w:val="TextoNormalCentrado"/>
        <w:keepNext/>
      </w:pPr>
    </w:p>
    <w:p w14:paraId="24C76D31" w14:textId="77777777" w:rsidR="008D479B" w:rsidRDefault="008D479B" w:rsidP="008D479B">
      <w:pPr>
        <w:pStyle w:val="TextoNormal"/>
      </w:pPr>
      <w:r>
        <w:t>En atención a todo lo expuesto, el Tribunal Constitucional, por la autoridad que le confiere la Constitución de la Nación española, ha decidido estimar el recurso de amparo interpuesto por don Constantin Apreutesei y, en su virtud:</w:t>
      </w:r>
    </w:p>
    <w:p w14:paraId="5E5ED7CD" w14:textId="77777777" w:rsidR="008D479B" w:rsidRDefault="008D479B" w:rsidP="008D479B">
      <w:pPr>
        <w:pStyle w:val="TextoNormal"/>
      </w:pPr>
    </w:p>
    <w:p w14:paraId="088A0B5C" w14:textId="77777777" w:rsidR="008D479B" w:rsidRDefault="008D479B" w:rsidP="008D479B">
      <w:pPr>
        <w:pStyle w:val="TextoNormal"/>
      </w:pPr>
      <w:r>
        <w:t>1º Declarar que ha sido vulnerado su derecho fundamental a la libertad personal (art. 17.1 CE).</w:t>
      </w:r>
    </w:p>
    <w:p w14:paraId="37F6DE5D" w14:textId="77777777" w:rsidR="008D479B" w:rsidRDefault="008D479B" w:rsidP="008D479B">
      <w:pPr>
        <w:pStyle w:val="TextoNormal"/>
      </w:pPr>
    </w:p>
    <w:p w14:paraId="787D4144" w14:textId="77777777" w:rsidR="008D479B" w:rsidRDefault="008D479B" w:rsidP="008D479B">
      <w:pPr>
        <w:pStyle w:val="TextoNormal"/>
      </w:pPr>
      <w:r>
        <w:t>2º Restablecerlo en su derecho y, a tal fin, declarar la nulidad del auto de 1 de junio de 2022, dictado por el Juzgado de Instrucción núm. 1 de Marbella (procedimiento del Tribunal del Jurado núm. 1-2021), y del auto de 7 de julio de 2022, dictado por la Sección Novena de la Audiencia Provincial de Málaga (rollo de sala núm. 565-2022).</w:t>
      </w:r>
    </w:p>
    <w:p w14:paraId="775020BF" w14:textId="77777777" w:rsidR="008D479B" w:rsidRDefault="008D479B" w:rsidP="008D479B">
      <w:pPr>
        <w:pStyle w:val="TextoNormal"/>
      </w:pPr>
    </w:p>
    <w:p w14:paraId="09509DC2" w14:textId="591DFB5D" w:rsidR="008D479B" w:rsidRDefault="008D479B" w:rsidP="008D479B">
      <w:pPr>
        <w:pStyle w:val="TextoNormal"/>
      </w:pPr>
      <w:r>
        <w:t>3º Retrotraer el procedimiento al momento inmediatamente anterior al de dictarse la primera de las resoluciones anuladas, para que el órgano judicial pronuncie una nueva resolución que sea respetuosa con el derecho fundamental reconocido.</w:t>
      </w:r>
    </w:p>
    <w:p w14:paraId="50A5603B" w14:textId="77777777" w:rsidR="008D479B" w:rsidRDefault="008D479B" w:rsidP="008D479B">
      <w:pPr>
        <w:pStyle w:val="TextoNormal"/>
      </w:pPr>
    </w:p>
    <w:p w14:paraId="0BFDD09B" w14:textId="77777777" w:rsidR="008D479B" w:rsidRDefault="008D479B" w:rsidP="008D479B">
      <w:pPr>
        <w:pStyle w:val="TextoNormal"/>
      </w:pPr>
      <w:r>
        <w:t>Publíquese esta sentencia en el “Boletín Oficial del Estado”.</w:t>
      </w:r>
    </w:p>
    <w:p w14:paraId="4C3AF74A" w14:textId="77777777" w:rsidR="008D479B" w:rsidRDefault="008D479B" w:rsidP="008D479B">
      <w:pPr>
        <w:pStyle w:val="TextoNormal"/>
      </w:pPr>
      <w:r>
        <w:t>Dada en Madrid, a veintitrés de octubre de dos mil veintitrés.</w:t>
      </w:r>
    </w:p>
    <w:p w14:paraId="2E830E77" w14:textId="74CEA6F2" w:rsidR="008D479B" w:rsidRDefault="008D479B">
      <w:pPr>
        <w:spacing w:after="160" w:line="278" w:lineRule="auto"/>
        <w:rPr>
          <w:rFonts w:ascii="Times New Roman" w:eastAsia="Times New Roman" w:hAnsi="Times New Roman" w:cs="Times New Roman"/>
          <w:sz w:val="24"/>
          <w:szCs w:val="24"/>
          <w:lang w:eastAsia="es-ES"/>
        </w:rPr>
      </w:pPr>
      <w:r>
        <w:br w:type="page"/>
      </w:r>
    </w:p>
    <w:p w14:paraId="402D3371" w14:textId="77777777" w:rsidR="008D479B" w:rsidRDefault="008D479B" w:rsidP="008D479B">
      <w:pPr>
        <w:pStyle w:val="TtuloResolucin"/>
      </w:pPr>
      <w:bookmarkStart w:id="62" w:name="SENTENCIA_2023_137"/>
      <w:r>
        <w:t>SENTENCIA 137/2023, de 23 de octubre de 2023</w:t>
      </w:r>
    </w:p>
    <w:bookmarkEnd w:id="62"/>
    <w:p w14:paraId="50B1FB33" w14:textId="77777777" w:rsidR="008D479B" w:rsidRDefault="008D479B" w:rsidP="008D479B">
      <w:pPr>
        <w:pStyle w:val="TtuloResolucin"/>
      </w:pPr>
      <w:r>
        <w:t>Sala Primera</w:t>
      </w:r>
    </w:p>
    <w:p w14:paraId="4261AD42" w14:textId="77777777" w:rsidR="008D479B" w:rsidRDefault="008D479B" w:rsidP="008D479B">
      <w:pPr>
        <w:pStyle w:val="TtuloBOE"/>
      </w:pPr>
      <w:r>
        <w:t>(BOE núm. 286, de 30 de noviembre de 2023)</w:t>
      </w:r>
    </w:p>
    <w:p w14:paraId="62A3146D" w14:textId="77777777" w:rsidR="008D479B" w:rsidRDefault="008D479B" w:rsidP="008D479B">
      <w:pPr>
        <w:pStyle w:val="TextoNormalCentrado"/>
      </w:pPr>
      <w:r>
        <w:t>ECLI:ES:TC:2023:137</w:t>
      </w:r>
    </w:p>
    <w:p w14:paraId="1F0F36CF" w14:textId="25B66DE8" w:rsidR="008D479B" w:rsidRDefault="008D479B" w:rsidP="008D479B">
      <w:pPr>
        <w:pStyle w:val="TextoNormalCentrado"/>
      </w:pPr>
    </w:p>
    <w:p w14:paraId="272012C3" w14:textId="77777777" w:rsidR="008D479B" w:rsidRDefault="008D479B" w:rsidP="008D479B">
      <w:pPr>
        <w:pStyle w:val="SntesisDescriptiva"/>
      </w:pPr>
      <w:r>
        <w:t>Recurso de amparo 5529-2022. Promovido por don Abderrahim Quih en relación con las resoluciones dictadas por un juzgado de primera instancia en procedimiento de alimentos, guarda y custodia y visitas.</w:t>
      </w:r>
    </w:p>
    <w:p w14:paraId="313C442A" w14:textId="700FBF05" w:rsidR="008D479B" w:rsidRDefault="008D479B" w:rsidP="008D479B">
      <w:pPr>
        <w:pStyle w:val="SntesisDescriptiva"/>
      </w:pPr>
    </w:p>
    <w:p w14:paraId="04392809" w14:textId="77777777" w:rsidR="008D479B" w:rsidRDefault="008D479B" w:rsidP="008D479B">
      <w:pPr>
        <w:pStyle w:val="SntesisAnaltica"/>
      </w:pPr>
      <w:r>
        <w:t>Vulneración del derecho a la tutela judicial sin indefensión: emplazamiento edictal del demandado sin agotar las posibilidades de comunicación personal en el domicilio que obraba en las actuaciones.</w:t>
      </w:r>
    </w:p>
    <w:p w14:paraId="4309FA1D" w14:textId="70CD04AC" w:rsidR="008D479B" w:rsidRDefault="008D479B" w:rsidP="008D479B">
      <w:pPr>
        <w:pStyle w:val="SntesisAnaltica"/>
      </w:pPr>
    </w:p>
    <w:p w14:paraId="5BD12DE9" w14:textId="57A89C4D" w:rsidR="008D479B" w:rsidRDefault="008D479B" w:rsidP="008D479B">
      <w:pPr>
        <w:pStyle w:val="Extracto"/>
      </w:pPr>
      <w:r>
        <w:t>1.</w:t>
      </w:r>
      <w:r>
        <w:tab/>
        <w:t>La falta de emplazamiento del demandado, cuando hubiera sido factible verificarlo, le genera un perjuicio real y efectivo en sus posibilidades de defensa, salvo que hubiera tenido conocimiento extraprocesal de la causa judicial tramitada supuestamente sin su conocimiento. Este conocimiento extraprocesal, sin embargo, no puede fundarse sin más en una presunción cimentada en simples conjeturas, sino que el órgano judicial debe acreditarlo suficientemente para no incurrir en la tacha de indefensión (STC 136/2014) [FJ 2].</w:t>
      </w:r>
    </w:p>
    <w:p w14:paraId="45DADE21" w14:textId="77777777" w:rsidR="008D479B" w:rsidRDefault="008D479B" w:rsidP="008D479B">
      <w:pPr>
        <w:pStyle w:val="Extracto"/>
      </w:pPr>
    </w:p>
    <w:p w14:paraId="253EA6CB" w14:textId="3C5F4F9E" w:rsidR="008D479B" w:rsidRDefault="008D479B" w:rsidP="008D479B">
      <w:pPr>
        <w:pStyle w:val="Extracto"/>
      </w:pPr>
      <w:r>
        <w:t>2.</w:t>
      </w:r>
      <w:r>
        <w:tab/>
        <w:t>En aquellos supuestos en que el domicilio del demandado se encuentre en el extranjero, el órgano judicial debe practicar el emplazamiento de aquel en el domicilio situado fuera del territorio nacional que conste en las actuaciones (SSTC 150/2016 o 268/2000) [FJ 2].</w:t>
      </w:r>
    </w:p>
    <w:p w14:paraId="166520AA" w14:textId="77777777" w:rsidR="008D479B" w:rsidRDefault="008D479B" w:rsidP="008D479B">
      <w:pPr>
        <w:pStyle w:val="Extracto"/>
      </w:pPr>
    </w:p>
    <w:p w14:paraId="442EDFDC" w14:textId="554EDEA7" w:rsidR="008D479B" w:rsidRDefault="008D479B" w:rsidP="008D479B">
      <w:pPr>
        <w:pStyle w:val="Extracto"/>
      </w:pPr>
      <w:r>
        <w:t>3.</w:t>
      </w:r>
      <w:r>
        <w:tab/>
        <w:t>El órgano judicial no debe practicar el emplazamiento del demandado por edictos, sin haber agotado el juez previamente los instrumentos de búsqueda a su alcance (SSTC 143/1998 o 26/2020) [FJ 2].</w:t>
      </w:r>
    </w:p>
    <w:p w14:paraId="6C992A8B" w14:textId="77777777" w:rsidR="008D479B" w:rsidRDefault="008D479B" w:rsidP="008D479B">
      <w:pPr>
        <w:pStyle w:val="Extracto"/>
      </w:pPr>
    </w:p>
    <w:p w14:paraId="2A19839B" w14:textId="77777777" w:rsidR="008D479B" w:rsidRDefault="008D479B" w:rsidP="008D479B">
      <w:pPr>
        <w:pStyle w:val="Extracto"/>
      </w:pPr>
    </w:p>
    <w:p w14:paraId="42E66EB8" w14:textId="77777777" w:rsidR="008D479B" w:rsidRDefault="008D479B" w:rsidP="008D479B">
      <w:pPr>
        <w:pStyle w:val="TextoNormal"/>
      </w:pPr>
      <w:r>
        <w:t>La Sala Primera del Tribunal Constitucional, compuesta por el magistrado don Cándido Conde-Pumpido Tourón, presidente, y los magistrados y magistradas don Ricardo Enríquez Sancho, doña Concepción Espejel Jorquera, doña María Luisa Segoviano Astaburuaga y don Juan Carlos Campo Moreno, ha pronunciado</w:t>
      </w:r>
    </w:p>
    <w:p w14:paraId="716653AD" w14:textId="3CD49860" w:rsidR="008D479B" w:rsidRDefault="008D479B" w:rsidP="008D479B">
      <w:pPr>
        <w:pStyle w:val="TextoNormal"/>
      </w:pPr>
    </w:p>
    <w:p w14:paraId="73C2F1B4" w14:textId="77777777" w:rsidR="008D479B" w:rsidRDefault="008D479B" w:rsidP="008D479B">
      <w:pPr>
        <w:pStyle w:val="TextoNormalCentrado"/>
        <w:keepNext/>
      </w:pPr>
      <w:r>
        <w:t>EN NOMBRE DEL REY</w:t>
      </w:r>
    </w:p>
    <w:p w14:paraId="7F8BEB94" w14:textId="35D97DFC" w:rsidR="008D479B" w:rsidRDefault="008D479B" w:rsidP="008D479B">
      <w:pPr>
        <w:pStyle w:val="TextoNormalCentrado"/>
        <w:keepNext/>
      </w:pPr>
    </w:p>
    <w:p w14:paraId="049E7DEF" w14:textId="77777777" w:rsidR="008D479B" w:rsidRDefault="008D479B" w:rsidP="008D479B">
      <w:pPr>
        <w:pStyle w:val="TextoNormalCentrado"/>
        <w:keepNext/>
      </w:pPr>
    </w:p>
    <w:p w14:paraId="308210F2" w14:textId="77777777" w:rsidR="008D479B" w:rsidRDefault="008D479B" w:rsidP="008D479B">
      <w:pPr>
        <w:pStyle w:val="TextoNormal"/>
      </w:pPr>
      <w:r>
        <w:t>la siguiente</w:t>
      </w:r>
    </w:p>
    <w:p w14:paraId="7F609C05" w14:textId="384E5790" w:rsidR="008D479B" w:rsidRDefault="008D479B" w:rsidP="008D479B">
      <w:pPr>
        <w:pStyle w:val="TextoNormal"/>
      </w:pPr>
    </w:p>
    <w:p w14:paraId="65A6AD1E" w14:textId="77777777" w:rsidR="008D479B" w:rsidRDefault="008D479B" w:rsidP="008D479B">
      <w:pPr>
        <w:pStyle w:val="TextoNormalCentrado"/>
        <w:keepNext/>
      </w:pPr>
      <w:r>
        <w:t>SENTENCIA</w:t>
      </w:r>
    </w:p>
    <w:p w14:paraId="1DE3F6EA" w14:textId="4D844061" w:rsidR="008D479B" w:rsidRDefault="008D479B" w:rsidP="008D479B">
      <w:pPr>
        <w:pStyle w:val="TextoNormalCentrado"/>
        <w:keepNext/>
      </w:pPr>
    </w:p>
    <w:p w14:paraId="3DD2FF95" w14:textId="77777777" w:rsidR="008D479B" w:rsidRDefault="008D479B" w:rsidP="008D479B">
      <w:pPr>
        <w:pStyle w:val="TextoNormal"/>
      </w:pPr>
      <w:r>
        <w:t>En el recurso de amparo núm. 5529-2022, interpuesto por el procurador de los tribunales don Jaime Tuero de la Cerra, en nombre y representación de don Abderrahim Quih, bajo la dirección técnica de la letrada doña Mercedes de la Vega Ysasi-Ysasmendi, contra el auto núm. 230/2022, de 10 de junio del Juzgado de Primera Instancia e Instrucción núm. 2 de Avilés, y contra la sentencia núm. 126/2017, de 7 de junio, del mismo juzgado, dictados en el procedimiento de alimentos, guarda y custodia y visitas núm. 629-2016. Ha intervenido el Ministerio Fiscal. Ha sido parte doña Desirée Artidiello Gómez. Ha sido ponente el presidente del Tribunal Constitucional don Cándido Conde-Pumpido Tourón.</w:t>
      </w:r>
    </w:p>
    <w:p w14:paraId="6DAD399E" w14:textId="2BC19DE4" w:rsidR="008D479B" w:rsidRDefault="008D479B" w:rsidP="008D479B">
      <w:pPr>
        <w:pStyle w:val="TextoNormal"/>
      </w:pPr>
    </w:p>
    <w:p w14:paraId="2B2430E9" w14:textId="77777777" w:rsidR="008D479B" w:rsidRDefault="008D479B" w:rsidP="008D479B">
      <w:pPr>
        <w:pStyle w:val="TextoNormalNegritaCentrado"/>
        <w:keepNext/>
      </w:pPr>
      <w:r>
        <w:t>I. Antecedentes</w:t>
      </w:r>
    </w:p>
    <w:p w14:paraId="38E41AEF" w14:textId="21EA0DE8" w:rsidR="008D479B" w:rsidRDefault="008D479B" w:rsidP="008D479B">
      <w:pPr>
        <w:pStyle w:val="TextoNormalNegritaCentrado"/>
        <w:keepNext/>
      </w:pPr>
    </w:p>
    <w:p w14:paraId="1EFFD9F9" w14:textId="0979BF49" w:rsidR="008D479B" w:rsidRDefault="008D479B" w:rsidP="008D479B">
      <w:pPr>
        <w:pStyle w:val="TextoNormal"/>
      </w:pPr>
      <w:r w:rsidRPr="008D479B">
        <w:rPr>
          <w:rStyle w:val="NumeroAFNegritaCaracter"/>
        </w:rPr>
        <w:t>1</w:t>
      </w:r>
      <w:r>
        <w:t>. Don Abderrahim Quih, representado por el procurador de los tribunales don Jaime Tuero de la Cerra, por escrito que tuvo entrada en el registro de este tribunal el día 27 de julio de 2022, ha interpuesto recurso de amparo contra las resoluciones reseñadas en el encabezamiento de la presente resolución.</w:t>
      </w:r>
    </w:p>
    <w:p w14:paraId="485E98C4" w14:textId="77777777" w:rsidR="008D479B" w:rsidRDefault="008D479B" w:rsidP="008D479B">
      <w:pPr>
        <w:pStyle w:val="TextoNormal"/>
      </w:pPr>
    </w:p>
    <w:p w14:paraId="387F9BBA" w14:textId="77777777" w:rsidR="008D479B" w:rsidRDefault="008D479B" w:rsidP="008D479B">
      <w:pPr>
        <w:pStyle w:val="TextoNormal"/>
      </w:pPr>
      <w:r w:rsidRPr="008D479B">
        <w:rPr>
          <w:rStyle w:val="NumeroAFNegritaCaracter"/>
        </w:rPr>
        <w:t>2</w:t>
      </w:r>
      <w:r>
        <w:t>. Los hechos de los que trae causa la demanda de amparo son, en síntesis, los siguientes:</w:t>
      </w:r>
    </w:p>
    <w:p w14:paraId="3BD7EBFD" w14:textId="77777777" w:rsidR="008D479B" w:rsidRDefault="008D479B" w:rsidP="008D479B">
      <w:pPr>
        <w:pStyle w:val="TextoNormal"/>
      </w:pPr>
    </w:p>
    <w:p w14:paraId="3E835B77" w14:textId="77777777" w:rsidR="008D479B" w:rsidRDefault="008D479B" w:rsidP="008D479B">
      <w:pPr>
        <w:pStyle w:val="TextoNormal"/>
      </w:pPr>
      <w:r>
        <w:t>a) Doña Desirée Artidiello Gómez presentó el 28 de diciembre de 2016 en la oficina de reparto de los juzgados de Avilés demanda en la que solicitaba la adopción de determinadas medidas sobre guarda y custodia, régimen de visitas y alimentos de las dos hijas menores de edad, nacidas en los años 2010 y 2011, que tenía con el ahora recurrente en amparo, con el que ya no convivía.</w:t>
      </w:r>
    </w:p>
    <w:p w14:paraId="7675363C" w14:textId="77777777" w:rsidR="008D479B" w:rsidRDefault="008D479B" w:rsidP="008D479B">
      <w:pPr>
        <w:pStyle w:val="TextoNormal"/>
      </w:pPr>
    </w:p>
    <w:p w14:paraId="00127C15" w14:textId="77777777" w:rsidR="008D479B" w:rsidRDefault="008D479B" w:rsidP="008D479B">
      <w:pPr>
        <w:pStyle w:val="TextoNormal"/>
      </w:pPr>
      <w:r>
        <w:t>En su encabezamiento se indicaba como domicilio del demandado a efectos de citaciones una dirección de Avilés (calle Llano Ponte 6, 2 centro), y, subsidiariamente, como lugar de trabajo, el domicilio social de NH Hoteles (calle Santa Engracia 120 de Madrid, CP 28003).</w:t>
      </w:r>
    </w:p>
    <w:p w14:paraId="7FBC69A3" w14:textId="77777777" w:rsidR="008D479B" w:rsidRDefault="008D479B" w:rsidP="008D479B">
      <w:pPr>
        <w:pStyle w:val="TextoNormal"/>
      </w:pPr>
    </w:p>
    <w:p w14:paraId="667A8EB2" w14:textId="77777777" w:rsidR="008D479B" w:rsidRDefault="008D479B" w:rsidP="008D479B">
      <w:pPr>
        <w:pStyle w:val="TextoNormal"/>
      </w:pPr>
      <w:r>
        <w:t>En el escrito solicitaba que, quedando la patria potestad compartida por ambos progenitores, se le atribuyera a la demandante la custodia de ambas menores, que no se fijase un régimen de visitas semanales ni de fines de semana para el padre “dado que generalmente presta sus servicios fuera de Asturias” y que se fijase un determinado reparto de periodos vacacionales, así como la imposición al padre de la obligación de satisfacer una pensión de alimentos de un importe mensual de 250 € por cada hija. Como prueba documental se solicitaba la remisión de atento oficio a NH Hoteles para que certificase salario mensual y pagas extras que percibiera el demandado, haciendo mención a su número de pasaporte.</w:t>
      </w:r>
    </w:p>
    <w:p w14:paraId="3BCDD73F" w14:textId="77777777" w:rsidR="008D479B" w:rsidRDefault="008D479B" w:rsidP="008D479B">
      <w:pPr>
        <w:pStyle w:val="TextoNormal"/>
      </w:pPr>
    </w:p>
    <w:p w14:paraId="3C0939B1" w14:textId="77777777" w:rsidR="008D479B" w:rsidRDefault="008D479B" w:rsidP="008D479B">
      <w:pPr>
        <w:pStyle w:val="TextoNormal"/>
      </w:pPr>
      <w:r>
        <w:t>Entre los documentos que se adjuntaban con la demanda se encontraban las certificaciones literales de nacimiento de las dos hijas, expedidas por el registro civil de Oviedo, en las que constaba el domicilio de ambos progenitores. En ambas figuraba que el domicilio del padre, de nacionalidad holandesa, estaba en Utrecht, Países Bajos (calle Mierikswortelstraat 28).</w:t>
      </w:r>
    </w:p>
    <w:p w14:paraId="46FED9C3" w14:textId="77777777" w:rsidR="008D479B" w:rsidRDefault="008D479B" w:rsidP="008D479B">
      <w:pPr>
        <w:pStyle w:val="TextoNormal"/>
      </w:pPr>
    </w:p>
    <w:p w14:paraId="62D0CB0A" w14:textId="77777777" w:rsidR="008D479B" w:rsidRDefault="008D479B" w:rsidP="008D479B">
      <w:pPr>
        <w:pStyle w:val="TextoNormal"/>
      </w:pPr>
      <w:r>
        <w:t>b) La demanda fue turnada al Juzgado de Primera Instancia e Instrucción núm. 2 de Avilés, que la admitió a trámite mediante decreto de 10 de enero de 2017, dando lugar al juicio verbal especial sobre medidas de familia núm. 629-2016.</w:t>
      </w:r>
    </w:p>
    <w:p w14:paraId="4683F024" w14:textId="77777777" w:rsidR="008D479B" w:rsidRDefault="008D479B" w:rsidP="008D479B">
      <w:pPr>
        <w:pStyle w:val="TextoNormal"/>
      </w:pPr>
    </w:p>
    <w:p w14:paraId="211C91B9" w14:textId="77777777" w:rsidR="008D479B" w:rsidRDefault="008D479B" w:rsidP="008D479B">
      <w:pPr>
        <w:pStyle w:val="TextoNormal"/>
      </w:pPr>
      <w:r>
        <w:t>El día 13 de enero de 2017 el juzgado ordenó el emplazamiento del actor en el primer domicilio designado en la demanda, la dirección de Avilés, diligencia que resultó infructuosa, haciéndose constar en la cédula lo siguiente: “No se puede confirmar, tras las averiguaciones realizadas, si dicha/s persona/s vive/n o trabaja/n en dicho lugar, y no constando nombres en el buzón del domicilio señalado”. El 20 de enero de 2017 se practicó un segundo intento, igualmente infructuoso, haciéndose constar adicionalmente en la cédula que “solo existe el piso 2, no 2 centro”. El 26 de enero de 2017 el servicio común extendió diligencia negativa al no ser hallada por dos veces en su domicilio la persona interesada, y no haber comparecido en las oficinas del servicio tras los avisos que en ambas ocasiones se le habían dejado.</w:t>
      </w:r>
    </w:p>
    <w:p w14:paraId="417DFC09" w14:textId="77777777" w:rsidR="008D479B" w:rsidRDefault="008D479B" w:rsidP="008D479B">
      <w:pPr>
        <w:pStyle w:val="TextoNormal"/>
      </w:pPr>
    </w:p>
    <w:p w14:paraId="75FE6DE4" w14:textId="77777777" w:rsidR="008D479B" w:rsidRDefault="008D479B" w:rsidP="008D479B">
      <w:pPr>
        <w:pStyle w:val="TextoNormal"/>
      </w:pPr>
      <w:r>
        <w:t>c) Por diligencia de ordenación de 27 de enero de 2017 el juzgado acordó intentar el emplazamiento en el otro domicilio aportado junto al escrito de demanda, remitiéndose la cédula por correo certificado a la sede de NH Hoteles, sita en la calle Santa Engracia 120 de Madrid. La carta fue recogida por una persona de la empresa que firmó el acuse de recibo el 2 de febrero de 2017. Por diligencia de ordenación de 15 de febrero de 2017 el juzgado tuvo por emplazado al actor en la fecha del acuse de recibo y dispuso estar a la espera del transcurso del plazo conferido.</w:t>
      </w:r>
    </w:p>
    <w:p w14:paraId="4A05D645" w14:textId="77777777" w:rsidR="008D479B" w:rsidRDefault="008D479B" w:rsidP="008D479B">
      <w:pPr>
        <w:pStyle w:val="TextoNormal"/>
      </w:pPr>
    </w:p>
    <w:p w14:paraId="466575C6" w14:textId="77777777" w:rsidR="008D479B" w:rsidRDefault="008D479B" w:rsidP="008D479B">
      <w:pPr>
        <w:pStyle w:val="TextoNormal"/>
      </w:pPr>
      <w:r>
        <w:t>d) Por diligencia de ordenación de 14 de marzo de 2017 el juzgado acordó, no habiendo comparecido el demandado dentro del plazo para contestar a la demanda, declararle en situación de rebeldía procesal, en virtud del art. 496.1 de la Ley de enjuiciamiento civil (LEC), y ordenar que dicha resolución se le notificase por correo certificado con acuse de recibo, conforme a lo dispuesto en el art. 497.1 LEC. Convocaba asimismo a las partes para la celebración de la vista principal del juicio para el día 4 de mayo de 2017, a las 12:00 horas. Esta diligencia de ordenación fue remitida por correo certificado a la sede de NH Hoteles en Madrid, siendo devuelta la comunicación con acuse de recibo de 17 de marzo de 2017 por destinatario desconocido.</w:t>
      </w:r>
    </w:p>
    <w:p w14:paraId="42C33576" w14:textId="77777777" w:rsidR="008D479B" w:rsidRDefault="008D479B" w:rsidP="008D479B">
      <w:pPr>
        <w:pStyle w:val="TextoNormal"/>
      </w:pPr>
    </w:p>
    <w:p w14:paraId="4790C7F8" w14:textId="77777777" w:rsidR="008D479B" w:rsidRDefault="008D479B" w:rsidP="008D479B">
      <w:pPr>
        <w:pStyle w:val="TextoNormal"/>
      </w:pPr>
      <w:r>
        <w:t>El juzgado dictó sendas diligencias de ordenación, el 30 de marzo y el 18 de abril de 2017, en las que requirió a la parte actora para que, visto el resultado infructuoso de la anterior notificación, facilitase un nuevo domicilio del demandado, o instase lo que estimase oportuno. La representación procesal de la parte demandante en escritos de 11 de abril y 25 de abril de 2017 insistió en que se intentase el emplazamiento en la sede social de NH Hoteles en Madrid, por ser la empresa en la que prestaba sus servicios.</w:t>
      </w:r>
    </w:p>
    <w:p w14:paraId="7633EF2E" w14:textId="77777777" w:rsidR="008D479B" w:rsidRDefault="008D479B" w:rsidP="008D479B">
      <w:pPr>
        <w:pStyle w:val="TextoNormal"/>
      </w:pPr>
    </w:p>
    <w:p w14:paraId="6DDBC76B" w14:textId="77777777" w:rsidR="008D479B" w:rsidRDefault="008D479B" w:rsidP="008D479B">
      <w:pPr>
        <w:pStyle w:val="TextoNormal"/>
      </w:pPr>
      <w:r>
        <w:t>e) Por diligencia de ordenación de 3 de mayo de 2017 el juzgado suspendió la vista señalada para el día siguiente y acordó efectuar una averiguación domiciliaria, mediante consulta al punto neutro judicial, con los datos que le había suministrado NH Hoteles, al contestar al oficio en el que se requería certificación de salarios percibidos por el demandado. Comoquiera que lo que aportó la empresa fue el NIE de otro empleado con el mismo nombre que el actor, la diligencia resultó inconducente.</w:t>
      </w:r>
    </w:p>
    <w:p w14:paraId="3EBFE1FE" w14:textId="77777777" w:rsidR="008D479B" w:rsidRDefault="008D479B" w:rsidP="008D479B">
      <w:pPr>
        <w:pStyle w:val="TextoNormal"/>
      </w:pPr>
    </w:p>
    <w:p w14:paraId="07105CFB" w14:textId="77777777" w:rsidR="008D479B" w:rsidRDefault="008D479B" w:rsidP="008D479B">
      <w:pPr>
        <w:pStyle w:val="TextoNormal"/>
      </w:pPr>
      <w:r>
        <w:t>f) La parte demandante presentó un nuevo escrito el 9 de mayo de 2017 en el que advertía al juzgado del error en que había incurrido la empresa al identificar al trabajador y le informaba de que el demandado prestaba sus servicios desde el año 2005 para NH Hoteles, con un contrato de carácter indefinido, en el NH City en la ciudad de Ámsterdam. Solicitaba que se procediera a emplazar nuevamente al actor en el domicilio social de la empresa en Madrid. Acompañaba una imagen escaneada del contrato de trabajo en el que figuraban las respectivas direcciones de la empresa, “NH City Centre, Spuistraat 288-292, 1012 VX Amsterdam”, y del empleado, en la ciudad de Utrecht (coincidente con la que figuraba en las certificaciones literales de nacimiento de las hijas).</w:t>
      </w:r>
    </w:p>
    <w:p w14:paraId="355CB03C" w14:textId="77777777" w:rsidR="008D479B" w:rsidRDefault="008D479B" w:rsidP="008D479B">
      <w:pPr>
        <w:pStyle w:val="TextoNormal"/>
      </w:pPr>
    </w:p>
    <w:p w14:paraId="2CA7AD6F" w14:textId="77777777" w:rsidR="008D479B" w:rsidRDefault="008D479B" w:rsidP="008D479B">
      <w:pPr>
        <w:pStyle w:val="TextoNormal"/>
      </w:pPr>
      <w:r>
        <w:t>g) Por diligencia de ordenación de 18 de mayo de 2017 se unió este escrito a los autos y se declaró no haber lugar a intentar nuevamente las notificaciones a través de NH Hoteles Madrid, porque ya constaba devuelta la notificación intentada en esa dirección por resultar desconocido su destinatario. Añadía que “[h]abiendo pues resultado negativas las gestiones realizadas para conocer el domicilio o residencia actual de la parte demandada, y de conformidad con lo establecido en los arts. 156.4 y 164 de la LEC”, procedía notificarle las diligencias de ordenación de 14 de marzo y 3 de mayo de 2017 por medio de edicto. El edicto fue fijado en el tablón de anuncios del juzgado el día 18 de mayo de 2017, donde permaneció hasta el día 1 de junio de 2017, en que fue retirado. El proceso continuó su curso en rebeldía del demandado hasta su conclusión por sentencia núm. 126/2017, de 7 de junio, en la que el juzgado estimó la demanda interpuesta por doña Desirée Artidiello Gómez. La sentencia fue notificada al actor por edicto publicado en el “Boletín Oficial del Principado de Asturias” núm. 140, de 18 de junio de 2018. Por diligencia de ordenación de 19 de noviembre de 2018 se declaró su firmeza.</w:t>
      </w:r>
    </w:p>
    <w:p w14:paraId="41494CAC" w14:textId="77777777" w:rsidR="008D479B" w:rsidRDefault="008D479B" w:rsidP="008D479B">
      <w:pPr>
        <w:pStyle w:val="TextoNormal"/>
      </w:pPr>
    </w:p>
    <w:p w14:paraId="33826A90" w14:textId="77777777" w:rsidR="008D479B" w:rsidRDefault="008D479B" w:rsidP="008D479B">
      <w:pPr>
        <w:pStyle w:val="TextoNormal"/>
      </w:pPr>
      <w:r>
        <w:t>h) El actor se personó en el procedimiento mediante escrito presentado el 11 de noviembre de 2021, firmado por abogada y procurador, personación que le fue admitida por diligencia de ordenación de 25 de noviembre de 2021. El 28 de diciembre de 2021 presentó por medio de su representación procesal escrito en el que, invocando los arts. 228 LEC y 241 de la Ley Orgánica del Poder Judicial (LOPJ), interesó la nulidad de las actuaciones con reposición de las mismas al momento anterior a su emplazamiento, alegando que se había vulnerado su derecho a la tutela judicial efectiva sin indefensión del art. 24.1 CE como consecuencia de habérsele notificado todas las actuaciones judiciales por vía edictal, sin haberse efectuado una comprobación de su verdadero domicilio, tal y como exige la doctrina constitucional, de la que cita varios pronunciamientos. Como fundamento fáctico de su pretensión aducía que no había tenido conocimiento del procedimiento y de la sentencia hasta el día 20 de octubre de 2021, en que le fue notificado en su domicilio de Utrecht el título ejecutivo europeo de fecha 29 de septiembre de 2021, que había sido expedido a instancia de la parte demandante. Alegaba que su domicilio siempre había estado en Utrecht, que la demandante lo conocía porque habían convivido en él, y que había existido mala fe de su parte al designar una dirección en Avilés, en la que el actor no había vivido nunca, y la sede de la empresa NH en Madrid, en la que no pudieron dar razón del actor (proporcionaron al juzgado los datos de otro trabajador con el mismo nombre). Cuando la demandante finalmente informó al juzgado de que el actor prestaba sus servicios en NH de Ámsterdam, el juzgado dictó la diligencia de ordenación de 18 de mayo de 2017 en la que acordó notificarle las resoluciones judiciales por medio de edictos, sin hacer ninguna otra averiguación, dándose publicidad a los edictos en el tablón de anuncios del órgano judicial. Considera que es significativo que la parte demandante sí hubiera mostrado su pleno conocimiento del domicilio del actor en Utrecht a la hora de notificarle la demanda de ejecución por impago de los alimentos fijados en la sentencia. Acompaña varios documentos en los que figuran su dirección de trabajo en Ámsterdam, y la de su domicilio en Utrecht, constando “Ibisdreef 430, 3564 RR”, en los documentos más recientes, y “Mierikswolterstraat 28” en los anteriores.</w:t>
      </w:r>
    </w:p>
    <w:p w14:paraId="61F780B1" w14:textId="77777777" w:rsidR="008D479B" w:rsidRDefault="008D479B" w:rsidP="008D479B">
      <w:pPr>
        <w:pStyle w:val="TextoNormal"/>
      </w:pPr>
    </w:p>
    <w:p w14:paraId="1D55F304" w14:textId="77777777" w:rsidR="008D479B" w:rsidRDefault="008D479B" w:rsidP="008D479B">
      <w:pPr>
        <w:pStyle w:val="TextoNormal"/>
      </w:pPr>
      <w:r>
        <w:t>i) Por diligencia de ordenación de 19 de enero de 2022 se acordó, en virtud del art. 228.2, inciso segundo de la Ley de enjuiciamiento civil, no dar trámite al escrito de promoción del incidente de nulidad de actuaciones porque habían transcurrido más de cinco años desde la notificación de la sentencia. La representación procesal del actor interpuso recurso de reposición que fue admitido y estimado por decreto de 4 de marzo de 2022, que ordenó dejar sin efecto la resolución recurrida y dar traslado de las actuaciones al titular del juzgado para que se pronunciase sobre su admisión.</w:t>
      </w:r>
    </w:p>
    <w:p w14:paraId="3609D6C6" w14:textId="77777777" w:rsidR="008D479B" w:rsidRDefault="008D479B" w:rsidP="008D479B">
      <w:pPr>
        <w:pStyle w:val="TextoNormal"/>
      </w:pPr>
    </w:p>
    <w:p w14:paraId="4E83A2BA" w14:textId="476A6591" w:rsidR="008D479B" w:rsidRDefault="008D479B" w:rsidP="008D479B">
      <w:pPr>
        <w:pStyle w:val="TextoNormal"/>
      </w:pPr>
      <w:r>
        <w:t>j) Admitido a trámite y sustanciado el incidente de nulidad de actuaciones, el juzgado lo desestimó por auto núm. 230/2022, de 10 de junio, que se fundó en que se habían agotado los medios legales de emplazamiento y notificación, partiendo de los datos que proporcionó la parte actora, y que se habían realizado gestiones de averiguación domiciliaria que resultaron infructuosas, por lo que la declaración de rebeldía del demandado fue procesalmente correcta.</w:t>
      </w:r>
    </w:p>
    <w:p w14:paraId="151E4F78" w14:textId="77777777" w:rsidR="008D479B" w:rsidRDefault="008D479B" w:rsidP="008D479B">
      <w:pPr>
        <w:pStyle w:val="TextoNormal"/>
      </w:pPr>
    </w:p>
    <w:p w14:paraId="36C955F5" w14:textId="77777777" w:rsidR="008D479B" w:rsidRDefault="008D479B" w:rsidP="008D479B">
      <w:pPr>
        <w:pStyle w:val="TextoNormal"/>
      </w:pPr>
      <w:r w:rsidRPr="008D479B">
        <w:rPr>
          <w:rStyle w:val="NumeroAFNegritaCaracter"/>
        </w:rPr>
        <w:t>3</w:t>
      </w:r>
      <w:r>
        <w:t>. El recurrente aduce en su demanda de amparo que se ha vulnerado su derecho a la tutela judicial efectiva sin indefensión del art. 24.1 CE, así como el derecho a un proceso con todas las garantías del art. 24.2 CE, porque el juzgado de primera instancia hizo dos intentos de citación infructuosos, el primero, en un domicilio de Avilés en el que nunca había residido y que la demandante, que sabía que residía en Utrecht, proporcionó de mala fe, y el segundo en la sede de la cadena hotelera NH, en la calle Santa Engracia de Madrid, siendo NH la empresa para la que ciertamente trabaja el actor, pero no en su sede de Madrid, sino en Ámsterdam. Tras el resultado negativo de esta diligencia se dio cuenta a la demandante para que manifestase lo que tuviera por conveniente, momento en el que esta reveló que el actor prestaba sus servicios en la cadena NH en Ámsterdam, pese a lo cual el juzgado dictó la diligencia de ordenación el 18 de mayo de 2017 por la que se acordó notificar a la parte demandada por edictos, sin hacer ninguna otra averiguación. Aduce que con esta conducta procesal se ha infringido constante doctrina constitucional que establece que cuando del examen de los autos, de la documentación aportada o de cualquier otro dato, sea factible practicar de forma personal los actos de comunicación procesal con el demandado, debe intentarse esa forma de notificación antes de acudir a la notificación por edictos, para asegurar que quien es parte en un proceso judicial o pueda resultar afectado por las resoluciones que en él se dicten, llegue a tener conocimiento efectivo de su existencia y tenga, de este modo, la oportunidad de ejercer el derecho de defensa que le garantiza el art. 24.1 CE (cita brevemente las SSTC 65/2000, de 13 de marzo; 232/2000, de 2 de octubre; 254/2000, de 30 de octubre; 268/2000, de 13 de noviembre; 77/2001, de 26 de marzo, y 216/2002, de 25 de noviembre, así como algunos pronunciamientos del Tribunal Supremo).</w:t>
      </w:r>
    </w:p>
    <w:p w14:paraId="68EAAE15" w14:textId="77777777" w:rsidR="008D479B" w:rsidRDefault="008D479B" w:rsidP="008D479B">
      <w:pPr>
        <w:pStyle w:val="TextoNormal"/>
      </w:pPr>
    </w:p>
    <w:p w14:paraId="6BC681C2" w14:textId="44DA2A42" w:rsidR="008D479B" w:rsidRDefault="008D479B" w:rsidP="008D479B">
      <w:pPr>
        <w:pStyle w:val="TextoNormal"/>
      </w:pPr>
      <w:r>
        <w:t>En el suplico interesaba la declaración de nulidad del auto de 10 de junio de 2022 y de la sentencia de 7 de junio de 2017.</w:t>
      </w:r>
    </w:p>
    <w:p w14:paraId="46D2BD3B" w14:textId="77777777" w:rsidR="008D479B" w:rsidRDefault="008D479B" w:rsidP="008D479B">
      <w:pPr>
        <w:pStyle w:val="TextoNormal"/>
      </w:pPr>
    </w:p>
    <w:p w14:paraId="5D04BAA9" w14:textId="7178D222" w:rsidR="008D479B" w:rsidRDefault="008D479B" w:rsidP="008D479B">
      <w:pPr>
        <w:pStyle w:val="TextoNormal"/>
      </w:pPr>
      <w:r w:rsidRPr="008D479B">
        <w:rPr>
          <w:rStyle w:val="NumeroAFNegritaCaracter"/>
        </w:rPr>
        <w:t>4</w:t>
      </w:r>
      <w:r>
        <w:t>. Por diligencia de ordenación de la Secretaría de Justicia de la Sección Tercera de este tribunal de 8 de septiembre de 2022 se solicitó del Juzgado de Primera Instancia núm. 2 de Avilés la remisión de las actuaciones relativas al procedimiento de familia núm. 629-2016. Las actuaciones se recibieron en este tribunal el día 11 de octubre de 2022.</w:t>
      </w:r>
    </w:p>
    <w:p w14:paraId="19EF2A8B" w14:textId="77777777" w:rsidR="008D479B" w:rsidRDefault="008D479B" w:rsidP="008D479B">
      <w:pPr>
        <w:pStyle w:val="TextoNormal"/>
      </w:pPr>
    </w:p>
    <w:p w14:paraId="686DA3D9" w14:textId="77777777" w:rsidR="008D479B" w:rsidRDefault="008D479B" w:rsidP="008D479B">
      <w:pPr>
        <w:pStyle w:val="TextoNormal"/>
      </w:pPr>
      <w:r w:rsidRPr="008D479B">
        <w:rPr>
          <w:rStyle w:val="NumeroAFNegritaCaracter"/>
        </w:rPr>
        <w:t>5</w:t>
      </w:r>
      <w:r>
        <w:t>. Mediante escrito presentado el 16 de diciembre de 2022, la procuradora de los tribunales doña Marta Barthe García de Castro, actuando en representación de doña Desirée Artidiello Gómez, manifestó su voluntad de personarse en el procedimiento, solicitando que se entendieran con ella las sucesivas diligencias bajo la dirección letrada de don Gabriel Giraudo Fernández. Por providencia de 19 de diciembre de 2022 la Sección Tercera de este tribunal inadmitió la personación solicitada por estar pendiente de admisión el recurso de amparo.</w:t>
      </w:r>
    </w:p>
    <w:p w14:paraId="47180A15" w14:textId="77777777" w:rsidR="008D479B" w:rsidRDefault="008D479B" w:rsidP="008D479B">
      <w:pPr>
        <w:pStyle w:val="TextoNormal"/>
      </w:pPr>
    </w:p>
    <w:p w14:paraId="346DD00E" w14:textId="44DBEE70" w:rsidR="008D479B" w:rsidRDefault="008D479B" w:rsidP="008D479B">
      <w:pPr>
        <w:pStyle w:val="TextoNormal"/>
      </w:pPr>
      <w:r>
        <w:t>Mediante escrito presentado el 4 de enero de 2023, la misma procuradora, en la misma representación, bajo la misma dirección letrada, solicitó nuevamente personarse en el procedimiento, acompañando en esta ocasión copia de la diligencia de ordenación de 23 de diciembre de 2022 del Juzgado de Primera Instancia núm. 2 de Avilés que le otorgaba plazo de diez días para comparecer en el mismo. La Sección Primera de este tribunal por diligencia de ordenación de 7 de febrero de 2023 tuvo por recibido el anterior escrito, lo unió a las actuaciones y reiteró lo acordado en la providencia de 19 de diciembre de 2022 de inadmisión de la personación al estar el recurso de amparo pendiente de decisión sobre su admisión.</w:t>
      </w:r>
    </w:p>
    <w:p w14:paraId="597D856F" w14:textId="77777777" w:rsidR="008D479B" w:rsidRDefault="008D479B" w:rsidP="008D479B">
      <w:pPr>
        <w:pStyle w:val="TextoNormal"/>
      </w:pPr>
    </w:p>
    <w:p w14:paraId="7FE3EAEF" w14:textId="7DB2AECD" w:rsidR="008D479B" w:rsidRDefault="008D479B" w:rsidP="008D479B">
      <w:pPr>
        <w:pStyle w:val="TextoNormal"/>
      </w:pPr>
      <w:r w:rsidRPr="008D479B">
        <w:rPr>
          <w:rStyle w:val="NumeroAFNegritaCaracter"/>
        </w:rPr>
        <w:t>6</w:t>
      </w:r>
      <w:r>
        <w:t>. Por diligencia de ordenación de la Sección Primera de este tribunal de 24 de marzo de 2023 se hizo constar que en virtud del acuerdo adoptado por el Pleno del Tribunal Constitucional el día 17 de enero de 2023, publicado en el “BOE” de 19 de enero, el presente recurso de amparo había sido turnado a la Sección Primera de la Sala Primera del Tribunal Constitucional, “lo que se pone en conocimiento de las partes y el Ministerio Fiscal a los efectos oportunos”.</w:t>
      </w:r>
    </w:p>
    <w:p w14:paraId="6635C7DD" w14:textId="77777777" w:rsidR="008D479B" w:rsidRDefault="008D479B" w:rsidP="008D479B">
      <w:pPr>
        <w:pStyle w:val="TextoNormal"/>
      </w:pPr>
    </w:p>
    <w:p w14:paraId="3ED7E4D6" w14:textId="696F643D" w:rsidR="008D479B" w:rsidRDefault="008D479B" w:rsidP="008D479B">
      <w:pPr>
        <w:pStyle w:val="TextoNormal"/>
      </w:pPr>
      <w:r w:rsidRPr="008D479B">
        <w:rPr>
          <w:rStyle w:val="NumeroAFNegritaCaracter"/>
        </w:rPr>
        <w:t>7</w:t>
      </w:r>
      <w:r>
        <w:t>. La Sección Primera de este tribunal por providencia de 22 de mayo de 2023 acordó admitir a trámite el recurso de amparo, apreciando que concurre en el mismo una especial trascendencia constitucional ]art. 50.1 de la Ley Orgánica del Tribunal Constitucional (LOTC)] como consecuencia de que el órgano judicial pudiera haber incurrido en una negativa manifiesta del deber de acatamiento de la doctrina de este tribunal [STC 155/2019, de 25 de junio, FJ 2 f)], y, por ello, en aplicación de lo dispuesto en el art. 51 LOTC, constando remitidas las actuaciones por el Juzgado de Primera Instancia e Instrucción núm. 2 de Avilés, acordó dirigir atenta comunicación al mismo para que emplazase, en el plazo de diez días, a quienes hubieran sido parte en el procedimiento núm. 629-2016, excepto la parte recurrente en amparo, para que pudieran comparecer, si lo deseaban, en el recurso de amparo reseñado.</w:t>
      </w:r>
    </w:p>
    <w:p w14:paraId="580D2FE7" w14:textId="77777777" w:rsidR="008D479B" w:rsidRDefault="008D479B" w:rsidP="008D479B">
      <w:pPr>
        <w:pStyle w:val="TextoNormal"/>
      </w:pPr>
    </w:p>
    <w:p w14:paraId="775B37EB" w14:textId="50CD17AB" w:rsidR="008D479B" w:rsidRDefault="008D479B" w:rsidP="008D479B">
      <w:pPr>
        <w:pStyle w:val="TextoNormal"/>
      </w:pPr>
      <w:r w:rsidRPr="008D479B">
        <w:rPr>
          <w:rStyle w:val="NumeroAFNegritaCaracter"/>
        </w:rPr>
        <w:t>8</w:t>
      </w:r>
      <w:r>
        <w:t>. El 24 de mayo de 2023, se recibieron en este tribunal sendos escritos de las procuradoras de los tribunales doña Marta Barthe García de Castro, y doña Nuria Arnaiz Llana, en los que manifestaban su voluntad de personarse en el presente procedimiento constitucional, en representación de doña Desirée Artidiello Gómez, solicitando que se entendieran con ellas las sucesivas diligencias, bajo la dirección letrada de don Gabriel Giraudo Fernández. Por diligencia de ordenación de la Sección Primera de este tribunal de 19 de junio de 2023, se concedió a las procuradoras un plazo de diez días para que informasen de cuál de ellas ostentaría la representación. Por escrito presentado el 13 de julio de 2023, doña Marta Barthe García de Castro manifestó que no continuaría con la representación.</w:t>
      </w:r>
    </w:p>
    <w:p w14:paraId="34349B3E" w14:textId="77777777" w:rsidR="008D479B" w:rsidRDefault="008D479B" w:rsidP="008D479B">
      <w:pPr>
        <w:pStyle w:val="TextoNormal"/>
      </w:pPr>
    </w:p>
    <w:p w14:paraId="358239B7" w14:textId="5C50D0B0" w:rsidR="008D479B" w:rsidRDefault="008D479B" w:rsidP="008D479B">
      <w:pPr>
        <w:pStyle w:val="TextoNormal"/>
      </w:pPr>
      <w:r w:rsidRPr="008D479B">
        <w:rPr>
          <w:rStyle w:val="NumeroAFNegritaCaracter"/>
        </w:rPr>
        <w:t>9</w:t>
      </w:r>
      <w:r>
        <w:t>. Por diligencia de ordenación de la Sección Primera de este tribunal de 14 de julio de 2023 se tuvo por personada y parte a la procuradora de los tribunales doña Nuria Arnaiz Llana en nombre y representación de doña Desirée Artidiello Gómez, y a tenor de lo dispuesto en el art. 52 LOTC se dio vista de las actuaciones del presente recurso de amparo, por un plazo de diez días, al Ministerio Fiscal y a las partes personadas para que en dicho término pudieran presentar las alegaciones que a su derecho conviniera.</w:t>
      </w:r>
    </w:p>
    <w:p w14:paraId="223C6DF0" w14:textId="77777777" w:rsidR="008D479B" w:rsidRDefault="008D479B" w:rsidP="008D479B">
      <w:pPr>
        <w:pStyle w:val="TextoNormal"/>
      </w:pPr>
    </w:p>
    <w:p w14:paraId="09111EDE" w14:textId="70D9EF48" w:rsidR="008D479B" w:rsidRDefault="008D479B" w:rsidP="008D479B">
      <w:pPr>
        <w:pStyle w:val="TextoNormal"/>
      </w:pPr>
      <w:r w:rsidRPr="008D479B">
        <w:rPr>
          <w:rStyle w:val="NumeroAFNegritaCaracter"/>
        </w:rPr>
        <w:t>10</w:t>
      </w:r>
      <w:r>
        <w:t>. Por escrito presentado el 20 de julio de 2023, la representación procesal del demandante presentó escrito de alegaciones en el que se ratificaba íntegramente en la demanda de amparo.</w:t>
      </w:r>
    </w:p>
    <w:p w14:paraId="4C306965" w14:textId="77777777" w:rsidR="008D479B" w:rsidRDefault="008D479B" w:rsidP="008D479B">
      <w:pPr>
        <w:pStyle w:val="TextoNormal"/>
      </w:pPr>
    </w:p>
    <w:p w14:paraId="03C21E7E" w14:textId="001F0B99" w:rsidR="008D479B" w:rsidRDefault="008D479B" w:rsidP="008D479B">
      <w:pPr>
        <w:pStyle w:val="TextoNormal"/>
      </w:pPr>
      <w:r w:rsidRPr="008D479B">
        <w:rPr>
          <w:rStyle w:val="NumeroAFNegritaCaracter"/>
        </w:rPr>
        <w:t>11</w:t>
      </w:r>
      <w:r>
        <w:t>. Por escrito presentado el 14 de septiembre de 2023, la representación procesal de doña Desirée Artidiello Gómez presentó alegaciones en las que interesó la desestimación del recurso de amparo por entender que no se había vulnerado derecho fundamental alguno del actor. Aduce que ante la imposibilidad de verificar su emplazamiento de manera personal en el último domicilio que tuvo en España y en el domicilio de la empresa para la que prestaba sus servicios, se optó por notificarle por medio de edictos. Afirma que se agotaron los medios legales de emplazamiento y notificación y se ejecutaron gestiones de averiguación. Sugiere que es significativo que el actor, tras solicitar este amparo, haya presentado una demanda de modificación de medidas que ya ha sido resuelta en sentencia de 1 de junio de 2023.</w:t>
      </w:r>
    </w:p>
    <w:p w14:paraId="775448EA" w14:textId="77777777" w:rsidR="008D479B" w:rsidRDefault="008D479B" w:rsidP="008D479B">
      <w:pPr>
        <w:pStyle w:val="TextoNormal"/>
      </w:pPr>
    </w:p>
    <w:p w14:paraId="7C38FB64" w14:textId="77777777" w:rsidR="008D479B" w:rsidRDefault="008D479B" w:rsidP="008D479B">
      <w:pPr>
        <w:pStyle w:val="TextoNormal"/>
      </w:pPr>
      <w:r w:rsidRPr="008D479B">
        <w:rPr>
          <w:rStyle w:val="NumeroAFNegritaCaracter"/>
        </w:rPr>
        <w:t>12</w:t>
      </w:r>
      <w:r>
        <w:t>. Por escrito presentado el 20 de septiembre de 2023, el fiscal ante el Tribunal Constitucional presentó alegaciones en las que solicitó que se otorgase el amparo a don Abderrahim Quih, que se declarase la vulneración de su derecho fundamental a la tutela judicial efectiva sin indefensión (art. 24.1 CE), y por ello la nulidad del auto de 10 de junio de 2022 y de la sentencia de 7 de junio de 2017 dictados por el Juzgado de Primera Instancia núm. 2 de Avilés, y que se retrotrajera el procedimiento al momento anterior al dictado de la diligencia de ordenación de 14 de marzo de 2017, que declaró al demandado en situación de rebeldía, para que se lleve a cabo su emplazamiento de una forma respetuosa del derecho fundamental reconocido.</w:t>
      </w:r>
    </w:p>
    <w:p w14:paraId="797DE0A2" w14:textId="77777777" w:rsidR="008D479B" w:rsidRDefault="008D479B" w:rsidP="008D479B">
      <w:pPr>
        <w:pStyle w:val="TextoNormal"/>
      </w:pPr>
    </w:p>
    <w:p w14:paraId="4BBAE44D" w14:textId="77777777" w:rsidR="008D479B" w:rsidRDefault="008D479B" w:rsidP="008D479B">
      <w:pPr>
        <w:pStyle w:val="TextoNormal"/>
      </w:pPr>
      <w:r>
        <w:t>El fiscal, tras comprobar la concurrencia de los requisitos de admisibilidad del recurso de amparo, recapitula la doctrina constitucional sobre la obligación de los órganos judiciales de verificar diligentemente los datos de la parte demandada obrantes en las actuaciones y de agotar los medios de averiguación de su domicilio, antes de acudir a la vía edictal para proceder a su notificación y emplazamiento, deteniéndose en particular en las exigencias recogidas en las SSTC 136/2014, de 8 de septiembre, FJ 2, y 125/2020, de 21 de septiembre.</w:t>
      </w:r>
    </w:p>
    <w:p w14:paraId="1DFEB5E9" w14:textId="77777777" w:rsidR="008D479B" w:rsidRDefault="008D479B" w:rsidP="008D479B">
      <w:pPr>
        <w:pStyle w:val="TextoNormal"/>
      </w:pPr>
    </w:p>
    <w:p w14:paraId="412355D4" w14:textId="2DC11A16" w:rsidR="008D479B" w:rsidRDefault="008D479B" w:rsidP="008D479B">
      <w:pPr>
        <w:pStyle w:val="TextoNormal"/>
      </w:pPr>
      <w:r>
        <w:t>Entrando en el examen del caso, el fiscal aduce, en primer lugar, que la mala fe de la parte demandante al suministrar en su escrito inicial los datos de identidad del demandado, conforme exige el art. 155.2 párrafo segundo LEC, en el caso de que hubiera existido, sería irrelevante para la resolución del recurso de amparo, pues según el art. 44.1 LOTC lo decisivo es que la vulneración del derecho fundamental haya derivado de un acto u omisión del órgano judicial. Considera que, a la vista de la doctrina constitucional citada, el juzgado de primera instancia es responsable de tal vulneración, pues desde el inicio del procedimiento, en las certificaciones literales de nacimiento de las dos hijas menores de edad que se acompañaron a la demanda, existió constancia del domicilio del actor en Utrecht, domicilio que nuevamente aparece cuando la parte demandante informó al juzgado de que el demandado, desde el año 2005, tenía un contrato indefinido de trabajo con NH Hoteles de Ámsterdam. En este caso, por lo tanto, ni tan siquiera hubiera sido necesario realizar diligencias de averiguación. Por otra parte, no consta que el actor hubiera tenido conocimiento extraprocesal de la existencia del procedimiento antes de que interpusiera el incidente de nulidad de actuaciones. La conclusión que se alcanza es que el ahora recurrente en amparo sufrió una situación de indefensión material pues el procedimiento se desarrolló hasta su conclusión sin su conocimiento ni participación.</w:t>
      </w:r>
    </w:p>
    <w:p w14:paraId="35C275CC" w14:textId="77777777" w:rsidR="008D479B" w:rsidRDefault="008D479B" w:rsidP="008D479B">
      <w:pPr>
        <w:pStyle w:val="TextoNormal"/>
      </w:pPr>
    </w:p>
    <w:p w14:paraId="7B278C1F" w14:textId="373777BA" w:rsidR="008D479B" w:rsidRDefault="008D479B" w:rsidP="008D479B">
      <w:pPr>
        <w:pStyle w:val="TextoNormal"/>
      </w:pPr>
      <w:r w:rsidRPr="008D479B">
        <w:rPr>
          <w:rStyle w:val="NumeroAFNegritaCaracter"/>
        </w:rPr>
        <w:t>13</w:t>
      </w:r>
      <w:r>
        <w:t>. Por providencia de 19 de octubre de 2023, se señaló para deliberación y votación de la presente sentencia el día 23 del mismo mes y año.</w:t>
      </w:r>
    </w:p>
    <w:p w14:paraId="18300F90" w14:textId="77777777" w:rsidR="008D479B" w:rsidRDefault="008D479B" w:rsidP="008D479B">
      <w:pPr>
        <w:pStyle w:val="TextoNormal"/>
      </w:pPr>
    </w:p>
    <w:p w14:paraId="54D139BB" w14:textId="77777777" w:rsidR="008D479B" w:rsidRDefault="008D479B" w:rsidP="008D479B">
      <w:pPr>
        <w:pStyle w:val="TextoNormalNegritaCentrado"/>
        <w:keepNext/>
      </w:pPr>
      <w:r>
        <w:t>II. Fundamentos jurídicos</w:t>
      </w:r>
    </w:p>
    <w:p w14:paraId="3AF6FB04" w14:textId="3008988E" w:rsidR="008D479B" w:rsidRDefault="008D479B" w:rsidP="008D479B">
      <w:pPr>
        <w:pStyle w:val="TextoNormalNegritaCentrado"/>
        <w:keepNext/>
      </w:pPr>
    </w:p>
    <w:p w14:paraId="05DD72F7" w14:textId="77777777" w:rsidR="008D479B" w:rsidRDefault="008D479B" w:rsidP="008D479B">
      <w:pPr>
        <w:pStyle w:val="TextoNormal"/>
      </w:pPr>
      <w:r w:rsidRPr="008D479B">
        <w:rPr>
          <w:rStyle w:val="NumeroAFNegritaCaracter"/>
        </w:rPr>
        <w:t>1</w:t>
      </w:r>
      <w:r>
        <w:t xml:space="preserve">. </w:t>
      </w:r>
      <w:r w:rsidRPr="008D479B">
        <w:rPr>
          <w:i/>
        </w:rPr>
        <w:t>Objeto del recurso y posiciones de las partes</w:t>
      </w:r>
    </w:p>
    <w:p w14:paraId="0259CB4F" w14:textId="77777777" w:rsidR="008D479B" w:rsidRDefault="008D479B" w:rsidP="008D479B">
      <w:pPr>
        <w:pStyle w:val="TextoNormal"/>
      </w:pPr>
    </w:p>
    <w:p w14:paraId="1031CC81" w14:textId="77777777" w:rsidR="008D479B" w:rsidRDefault="008D479B" w:rsidP="008D479B">
      <w:pPr>
        <w:pStyle w:val="TextoNormal"/>
      </w:pPr>
      <w:r>
        <w:t>El presente recurso de amparo tiene por objeto la impugnación del auto de 10 de junio de 2022 dictado por el Juzgado de Primera Instancia e Instrucción núm. 2 de Avilés, que desestimó el incidente excepcional de nulidad de actuaciones interpuesto por el recurrente en el procedimiento de alimentos, guarda y custodia y visitas núm. 629-2016.</w:t>
      </w:r>
    </w:p>
    <w:p w14:paraId="63B94543" w14:textId="77777777" w:rsidR="008D479B" w:rsidRDefault="008D479B" w:rsidP="008D479B">
      <w:pPr>
        <w:pStyle w:val="TextoNormal"/>
      </w:pPr>
    </w:p>
    <w:p w14:paraId="782FAA7B" w14:textId="77777777" w:rsidR="008D479B" w:rsidRDefault="008D479B" w:rsidP="008D479B">
      <w:pPr>
        <w:pStyle w:val="TextoNormal"/>
      </w:pPr>
      <w:r>
        <w:t>El demandante aduce que el juzgado ha vulnerado su derecho fundamental a la tutela judicial efectiva (art. 24.1 CE) en su vertiente de interdicción de la indefensión, porque le declaró en situación de rebeldía y ordenó la notificación de las resoluciones judiciales por vía edictal, tras haber intentado infructuosamente su emplazamiento en las dos direcciones que la demandante proporcionó en su escrito de demanda, obviando que tras el resultado negativo de estas diligencias se dio cuenta a la demandante para que manifestase lo que tuviera por conveniente, momento en el que esta reveló que el actor prestaba sus servicios en la cadena NH en Ámsterdam, pese a lo cual el juzgado dictó la diligencia de ordenación el 18 de mayo de 2017 por la que se acordó notificar a la parte demandada por edictos, sin hacer ninguna otra averiguación.</w:t>
      </w:r>
    </w:p>
    <w:p w14:paraId="03386DAA" w14:textId="77777777" w:rsidR="008D479B" w:rsidRDefault="008D479B" w:rsidP="008D479B">
      <w:pPr>
        <w:pStyle w:val="TextoNormal"/>
      </w:pPr>
    </w:p>
    <w:p w14:paraId="4AE52C86" w14:textId="77777777" w:rsidR="008D479B" w:rsidRDefault="008D479B" w:rsidP="008D479B">
      <w:pPr>
        <w:pStyle w:val="TextoNormal"/>
      </w:pPr>
      <w:r>
        <w:t>La representación procesal de doña Desirée Artidiello Gómez ha interesado la desestimación de la demanda de amparo. Aduce que se intentó el emplazamiento del actor en el último domicilio que tuvo en España y en el domicilio de la empresa para la que prestaba sus servicios, y que se ejecutaron además gestiones de averiguación, por lo que la vía edictal fue correctamente utilizada.</w:t>
      </w:r>
    </w:p>
    <w:p w14:paraId="2ED66AF8" w14:textId="77777777" w:rsidR="008D479B" w:rsidRDefault="008D479B" w:rsidP="008D479B">
      <w:pPr>
        <w:pStyle w:val="TextoNormal"/>
      </w:pPr>
    </w:p>
    <w:p w14:paraId="429B0E58" w14:textId="379E081D" w:rsidR="008D479B" w:rsidRDefault="008D479B" w:rsidP="008D479B">
      <w:pPr>
        <w:pStyle w:val="TextoNormal"/>
      </w:pPr>
      <w:r>
        <w:t>El fiscal ante el Tribunal Constitucional en su escrito de alegaciones ha interesado la estimación de la demanda de amparo. Aduce que el juzgado es responsable de la situación de indefensión en que quedó el actor porque existiendo constancia en las actuaciones de que tenía su domicilio en la ciudad holandesa de Utrecht, no adoptó ninguna diligencia para intentar su emplazamiento en el mismo, optando por la notificación edictal y la prosecución del procedimiento.</w:t>
      </w:r>
    </w:p>
    <w:p w14:paraId="494A6E82" w14:textId="77777777" w:rsidR="008D479B" w:rsidRDefault="008D479B" w:rsidP="008D479B">
      <w:pPr>
        <w:pStyle w:val="TextoNormal"/>
      </w:pPr>
    </w:p>
    <w:p w14:paraId="44061DCA" w14:textId="77777777" w:rsidR="008D479B" w:rsidRDefault="008D479B" w:rsidP="008D479B">
      <w:pPr>
        <w:pStyle w:val="TextoNormal"/>
      </w:pPr>
      <w:r w:rsidRPr="008D479B">
        <w:rPr>
          <w:rStyle w:val="NumeroAFNegritaCaracter"/>
        </w:rPr>
        <w:t>2</w:t>
      </w:r>
      <w:r>
        <w:t xml:space="preserve">. </w:t>
      </w:r>
      <w:r w:rsidRPr="008D479B">
        <w:rPr>
          <w:i/>
        </w:rPr>
        <w:t>Doctrina constitucional sobre los actos de comunicación</w:t>
      </w:r>
    </w:p>
    <w:p w14:paraId="701C3E0A" w14:textId="77777777" w:rsidR="008D479B" w:rsidRDefault="008D479B" w:rsidP="008D479B">
      <w:pPr>
        <w:pStyle w:val="TextoNormal"/>
      </w:pPr>
    </w:p>
    <w:p w14:paraId="757C8D0D" w14:textId="77777777" w:rsidR="008D479B" w:rsidRDefault="008D479B" w:rsidP="008D479B">
      <w:pPr>
        <w:pStyle w:val="TextoNormal"/>
      </w:pPr>
      <w:r>
        <w:t>Este tribunal ha declarado reiteradamente que los actos de comunicación tienen una importancia crucial para la correcta constitución de la relación jurídico procesal en orden a garantizar el derecho de defensa reconocido en el art. 24 CE, que implica la posibilidad de un juicio contradictorio en el que las partes puedan hacer valer sus derechos e intereses legítimos (por todas, STC 20/2021, de 15 de febrero, FJ 2).</w:t>
      </w:r>
    </w:p>
    <w:p w14:paraId="0E092DDD" w14:textId="77777777" w:rsidR="008D479B" w:rsidRDefault="008D479B" w:rsidP="008D479B">
      <w:pPr>
        <w:pStyle w:val="TextoNormal"/>
      </w:pPr>
    </w:p>
    <w:p w14:paraId="45FF827B" w14:textId="77777777" w:rsidR="008D479B" w:rsidRDefault="008D479B" w:rsidP="008D479B">
      <w:pPr>
        <w:pStyle w:val="TextoNormal"/>
      </w:pPr>
      <w:r>
        <w:t>El régimen procesal de emplazamientos, citaciones y notificaciones a las partes de los distintos actos procesales que tienen lugar en un procedimiento judicial constituye “un instrumento capital de esa correcta constitución de la relación jurídico procesal” indispensable para garantizar los indisponibles principios de contradicción e igualdad de armas entre las partes del litigio, por lo que “la falta o deficiente realización del emplazamiento a quien ha de ser o puede ser parte en el proceso coloca al interesado en una situación de indefensión, lo que vulnera el referido derecho fundamental (SSTC 219/1999, de 29 de noviembre, FJ 2, y 128/2000, de 16 de mayo, FJ 5). Ello implica que el órgano judicial tiene no solo el deber de velar por la correcta ejecución de los actos de comunicación procesal, sino también el de asegurarse de que dichos actos sirven a su propósito de garantizar que la parte sea oída en el proceso” (STC 200/2016, de 28 de noviembre, FJ 4). De ahí que sea exigible de los órganos judiciales un especial deber de diligencia en su realización que asegure, en la medida de lo posible, su recepción por parte de los destinatarios, para darles la oportunidad de defender sus derechos e intereses y evitar su indefensión (por todas, STC 91/2022, de 11 de julio, FJ 3).</w:t>
      </w:r>
    </w:p>
    <w:p w14:paraId="316BD8DA" w14:textId="77777777" w:rsidR="008D479B" w:rsidRDefault="008D479B" w:rsidP="008D479B">
      <w:pPr>
        <w:pStyle w:val="TextoNormal"/>
      </w:pPr>
    </w:p>
    <w:p w14:paraId="65B4F3AD" w14:textId="77777777" w:rsidR="008D479B" w:rsidRDefault="008D479B" w:rsidP="008D479B">
      <w:pPr>
        <w:pStyle w:val="TextoNormal"/>
      </w:pPr>
      <w:r>
        <w:t>La importancia de la correcta realización de los actos de comunicación procesal se acentúa cuando se trata del emplazamiento, citación o notificación de quien debe o puede ser parte en el procedimiento, porque en este caso el acto de comunicación es el instrumento que permite su defensa en el juicio. En efecto, en este caso la omisión o defectuosa realización del acto de comunicación procesal coloca al interesado en situación de indefensión, a menos que la falta de comunicación sea imputable a la propia conducta del afectado que, voluntaria o negligentemente, se haya situado al margen del proceso (por todas, STC 20/2021, FJ 2). Por este motivo, venimos insistiendo en la necesidad de que, en la medida de lo posible, el emplazamiento de los afectados se lleve a cabo de manera personal limitando el empleo de la notificación por medio de edictos a aquellos supuestos en los que, tras haberse intentado la averiguación del domicilio, no se tenga constancia de este. El emplazamiento edictal es, por ello, un “remedio último de carácter supletorio y excepcional que requiere el agotamiento previo de las modalidades aptas para asegurar en el mayor grado posible la recepción de la notificación por su destinatario” (STC 82/2019, de 17 de junio, FJ 3). Un remedio que debiera limitarse a “aquellos supuestos en los que no conste el domicilio de quien haya de ser emplazado o bien se ignore su paradero (SSTC 141/1989, de 20 de julio, y 36/1987, de 25 de marzo, entre otras)” (STC 295/2005, de 21 de noviembre, FJ 3).</w:t>
      </w:r>
    </w:p>
    <w:p w14:paraId="7E452F1E" w14:textId="77777777" w:rsidR="008D479B" w:rsidRDefault="008D479B" w:rsidP="008D479B">
      <w:pPr>
        <w:pStyle w:val="TextoNormal"/>
      </w:pPr>
    </w:p>
    <w:p w14:paraId="190F2CFE" w14:textId="77777777" w:rsidR="008D479B" w:rsidRDefault="008D479B" w:rsidP="008D479B">
      <w:pPr>
        <w:pStyle w:val="TextoNormal"/>
      </w:pPr>
      <w:r>
        <w:t>También hemos declarado, con carácter general, que cuando del examen de los autos o de la documentación aportada por las partes se deduzca la existencia de un domicilio que haga factible la notificación personal al demandado, esta debe intentarse antes de acudir a la notificación por edictos [SSTC 40/2005, de 28 de febrero, FJ 2; 293/2005, de 21 de noviembre, FJ 2; 245/2006, de 24 de julio, FJ 2;122/2013, de 20 de mayo, FJ 3; 125/2020, de 21 de septiembre, FJ 2 b), y 27/2023, de 17 de abril, FJ 2]. Es más, incluso cuando no conste ese domicilio en las actuaciones, el órgano judicial deberá realizar otras gestiones en orden a la averiguación del domicilio real del demandado, siempre que ello no suponga exigirle una desmedida actividad investigadora (por todas, STC 181/2021, de 25 de octubre, FJ 2).</w:t>
      </w:r>
    </w:p>
    <w:p w14:paraId="3C0B823D" w14:textId="77777777" w:rsidR="008D479B" w:rsidRDefault="008D479B" w:rsidP="008D479B">
      <w:pPr>
        <w:pStyle w:val="TextoNormal"/>
      </w:pPr>
    </w:p>
    <w:p w14:paraId="5806BBAE" w14:textId="77777777" w:rsidR="008D479B" w:rsidRDefault="008D479B" w:rsidP="008D479B">
      <w:pPr>
        <w:pStyle w:val="TextoNormal"/>
      </w:pPr>
      <w:r>
        <w:t>La falta de emplazamiento del demandado, cuando hubiera sido factible verificarlo, le genera un perjuicio real y efectivo en sus posibilidades de defensa, salvo que hubiera tenido conocimiento extraprocesal de la causa judicial tramitada supuestamente sin su conocimiento, supuesto en el que quedaría vacía de contenido constitucional su queja. Este conocimiento extraprocesal, sin embargo, “no puede fundarse sin más en una presunción cimentada en simples conjeturas, sino que debe acreditarse suficientemente para que surta su efecto invalidante de la tacha de indefensión, pues lo presumido es, justamente, el desconocimiento del proceso si así se alega ... afirmaciones compatibles con que, como también hemos recordado, del examen de las actuaciones pueda inferirse de manera suficiente y razonada que tuvo o hubo de haber tenido un conocimiento extraprocesal de la pendencia del litigio o que no podía ignorar su existencia” (STC 136/2014, de 8 de septiembre, FJ 3, y las citadas en la misma).</w:t>
      </w:r>
    </w:p>
    <w:p w14:paraId="5DFCFF40" w14:textId="77777777" w:rsidR="008D479B" w:rsidRDefault="008D479B" w:rsidP="008D479B">
      <w:pPr>
        <w:pStyle w:val="TextoNormal"/>
      </w:pPr>
    </w:p>
    <w:p w14:paraId="541DF0D2" w14:textId="31B4897D" w:rsidR="008D479B" w:rsidRDefault="008D479B" w:rsidP="008D479B">
      <w:pPr>
        <w:pStyle w:val="TextoNormal"/>
      </w:pPr>
      <w:r>
        <w:t>Como última precisión, cabe destacar que “en aquellos supuestos en que el domicilio del demandado se encontraba en el extranjero, el Tribunal Constitucional ha mantenido esta misma doctrina, otorgando el amparo tanto en los casos en que el órgano judicial no había practicado el emplazamiento de aquel en el domicilio situado fuera del territorio nacional, que constaba en las actuaciones (SSTC 150/2016 de 19 de septiembre; 151/2016, de 19 de septiembre; 6/2017, de 16 de enero, y 268/2000, de 13 de noviembre), como en aquellos otros en que el demandado había sido emplazado por edictos, sin haber agotado el juez previamente los instrumentos de búsqueda a su alcance (STC 143/1998, de 30 de junio)” (STC 26/2020, de 24 de febrero, FJ 4, con cita de la STC 50/2017, de 8 de mayo, FJ 3).</w:t>
      </w:r>
    </w:p>
    <w:p w14:paraId="2B10EC41" w14:textId="77777777" w:rsidR="008D479B" w:rsidRDefault="008D479B" w:rsidP="008D479B">
      <w:pPr>
        <w:pStyle w:val="TextoNormal"/>
      </w:pPr>
    </w:p>
    <w:p w14:paraId="2E1E7CCB" w14:textId="77777777" w:rsidR="008D479B" w:rsidRDefault="008D479B" w:rsidP="008D479B">
      <w:pPr>
        <w:pStyle w:val="TextoNormal"/>
      </w:pPr>
      <w:r w:rsidRPr="008D479B">
        <w:rPr>
          <w:rStyle w:val="NumeroAFNegritaCaracter"/>
        </w:rPr>
        <w:t>3</w:t>
      </w:r>
      <w:r>
        <w:t xml:space="preserve">. </w:t>
      </w:r>
      <w:r w:rsidRPr="008D479B">
        <w:rPr>
          <w:i/>
        </w:rPr>
        <w:t>Aplicación de la doctrina</w:t>
      </w:r>
    </w:p>
    <w:p w14:paraId="1F83DC77" w14:textId="77777777" w:rsidR="008D479B" w:rsidRDefault="008D479B" w:rsidP="008D479B">
      <w:pPr>
        <w:pStyle w:val="TextoNormal"/>
      </w:pPr>
    </w:p>
    <w:p w14:paraId="0D7E8921" w14:textId="77777777" w:rsidR="008D479B" w:rsidRDefault="008D479B" w:rsidP="008D479B">
      <w:pPr>
        <w:pStyle w:val="TextoNormal"/>
      </w:pPr>
      <w:r>
        <w:t>Como ya se ha expuesto con mayor detalle en los antecedentes de hecho de esta resolución, el órgano judicial, tras admitir a trámite la demanda de medidas familiares respecto de sus dos hijas menores de edad, promovida por doña Desirée Artidiello Gómez, intentó el emplazamiento de la parte demandada, el ahora recurrente en amparo, en las dos direcciones que se indicaban en el escrito iniciador, tratándose la primera de una dirección en Avilés, que figuraba en el encabezamiento del escrito iniciador como domicilio del actor, y la segunda, propuesta subsidiariamente, la correspondiente a la sede social de la empresa NH Hoteles en Madrid.</w:t>
      </w:r>
    </w:p>
    <w:p w14:paraId="4B3BF51D" w14:textId="77777777" w:rsidR="008D479B" w:rsidRDefault="008D479B" w:rsidP="008D479B">
      <w:pPr>
        <w:pStyle w:val="TextoNormal"/>
      </w:pPr>
    </w:p>
    <w:p w14:paraId="31C57855" w14:textId="77777777" w:rsidR="008D479B" w:rsidRDefault="008D479B" w:rsidP="008D479B">
      <w:pPr>
        <w:pStyle w:val="TextoNormal"/>
      </w:pPr>
      <w:r>
        <w:t>El órgano judicial intentó el emplazamiento personal del actor en la dirección de Avilés, en la que no fue localizado por el servicio común de notificaciones tras verificar dos intentos y dejar aviso, y lo intentó de nuevo, por correo ordinario, en la sede social de la empresa NH Hoteles de Madrid, en la que la comunicación fue recogida por una empleada que firmó el acuse de recibo el día 2 de febrero de 2017. El juzgado tuvo por emplazado al actor en dicha fecha (diligencia de ordenación de 15 de febrero de 2017) y le declaró en rebeldía por diligencia de ordenación de 14 de marzo de 2017, por haber transcurrido el plazo de contestación de la demanda, diligencia que intentó notificar en la sede de NH Hoteles de Madrid, sin éxito —en esta ocasión el sobre fue devuelto por destinatario desconocido— tras de lo cual dictó diligencia de ordenación de 18 de mayo de 2017 en la que acordó su notificación por edicto, fijado en el tablón de anuncios del juzgado entre el 18 de mayo y el 1 de junio de 2017. El procedimiento siguió su curso hasta la sentencia de 7 de junio de 2017, que estimó íntegramente las pretensiones de la parte demandante, y que le fue notificada al actor por edicto publicado en el “Boletín Oficial del Principado de Asturias” el 18 de junio de 2018.</w:t>
      </w:r>
    </w:p>
    <w:p w14:paraId="252D1C96" w14:textId="77777777" w:rsidR="008D479B" w:rsidRDefault="008D479B" w:rsidP="008D479B">
      <w:pPr>
        <w:pStyle w:val="TextoNormal"/>
      </w:pPr>
    </w:p>
    <w:p w14:paraId="0A4AF6C3" w14:textId="77777777" w:rsidR="008D479B" w:rsidRDefault="008D479B" w:rsidP="008D479B">
      <w:pPr>
        <w:pStyle w:val="TextoNormal"/>
      </w:pPr>
      <w:r>
        <w:t>A la vista de lo expuesto, hemos de convenir con el Ministerio Fiscal en que el juzgado, al proceder de este modo, no tomó en consideración que en las actuaciones había constancia de que el actor, al firmar el contrato de trabajo y al expedirse las certificaciones literales de nacimiento de sus dos hijas, residía en la ciudad de Utrecht, en una dirección que aparecía documentada en elementos que obraban en el procedimiento porque habían sido aportados por la parte demandante. También aparecía la sede social de la empresa para la que trabajaba en Ámsterdam. Por lo tanto, aunque estas direcciones no hubieran sido propuestas por la parte demandante en su escrito iniciador a efectos de emplazamiento o citación, como exige el art. 155.2 LEC, se trataba, en cualquier caso, de datos que por su inmediatez resultaban accesibles al conocimiento del juzgado, sin necesidad de desplegar una desmedida actividad investigadora, y que hacían factible, a partir de los mismos, intentar la transmisión del documento judicial o la averiguación del domicilio actual por los mecanismos de cooperación judicial internacional disponibles, como sería el previsto en el Reglamento (CE) 1393/2007, del Parlamento Europeo y del Consejo, de 13 de noviembre de 2007, relativo a la notificación y al traslado en los Estados miembros de documentos judiciales y extrajudiciales en materia civil o mercantil (STC 26/2020, de 24 de febrero, FJ 4).</w:t>
      </w:r>
    </w:p>
    <w:p w14:paraId="2ADA3FD2" w14:textId="77777777" w:rsidR="008D479B" w:rsidRDefault="008D479B" w:rsidP="008D479B">
      <w:pPr>
        <w:pStyle w:val="TextoNormal"/>
      </w:pPr>
    </w:p>
    <w:p w14:paraId="46EAE4B2" w14:textId="77777777" w:rsidR="008D479B" w:rsidRDefault="008D479B" w:rsidP="008D479B">
      <w:pPr>
        <w:pStyle w:val="TextoNormal"/>
      </w:pPr>
      <w:r>
        <w:t>Al omitir el juzgado toda diligencia para intentar la comunicación procesal por esta vía y optar en la diligencia de ordenación de 28 de mayo de 2017 por la notificación por edictos y la prosecución del procedimiento, con una escueta referencia al fracaso de los intentos de notificación anteriores y al desconocimiento del domicilio o residencia “actual” de la parte demandada, ignoró la doctrina constitucional que determina que cuando del examen de los autos o de la documentación aportada por las partes se deduzca la existencia de un domicilio que haga factible la notificación personal al demandado, esta debe intentarse antes de acudir a la notificación por edictos (por todas, STC 27/2023, de 17 de abril, FJ 2).</w:t>
      </w:r>
    </w:p>
    <w:p w14:paraId="0C1AED4A" w14:textId="77777777" w:rsidR="008D479B" w:rsidRDefault="008D479B" w:rsidP="008D479B">
      <w:pPr>
        <w:pStyle w:val="TextoNormal"/>
      </w:pPr>
    </w:p>
    <w:p w14:paraId="095944EE" w14:textId="77777777" w:rsidR="008D479B" w:rsidRDefault="008D479B" w:rsidP="008D479B">
      <w:pPr>
        <w:pStyle w:val="TextoNormal"/>
      </w:pPr>
      <w:r>
        <w:t xml:space="preserve">Se trata de una omisión determinante de la defectuosa constitución de la relación jurídico-procesal, que en este caso redundó en indefensión material del actor, pues al proseguirse el trámite del procedimiento </w:t>
      </w:r>
      <w:r w:rsidRPr="008D479B">
        <w:rPr>
          <w:i/>
        </w:rPr>
        <w:t>inaudita parte</w:t>
      </w:r>
      <w:r>
        <w:t xml:space="preserve"> no pudo contestar a la demanda, formular alegaciones, proponer prueba, ni comparecer en la vista principal en defensa de su legítimo interés, inequívocamente comprometido en un juicio cuyo objeto era fijar las medidas relativas a la custodia, régimen de visitas, vacaciones y pensión de alimentos de sus dos hijas menores de edad.</w:t>
      </w:r>
    </w:p>
    <w:p w14:paraId="26AC7567" w14:textId="77777777" w:rsidR="008D479B" w:rsidRDefault="008D479B" w:rsidP="008D479B">
      <w:pPr>
        <w:pStyle w:val="TextoNormal"/>
      </w:pPr>
    </w:p>
    <w:p w14:paraId="58CA21A9" w14:textId="77777777" w:rsidR="008D479B" w:rsidRDefault="008D479B" w:rsidP="008D479B">
      <w:pPr>
        <w:pStyle w:val="TextoNormal"/>
      </w:pPr>
      <w:r>
        <w:t>Finalmente, al pronunciar el auto de 10 de junio de 2022 por el que desestimó el incidente excepcional de nulidad de actuaciones promovido por el actor, el órgano judicial hizo gala de una motivación más aparente que real, pues eludió la cuestión principal y se limitó a argumentar que había agotado los medios legales de emplazamiento y notificación, partiendo de los datos que proporcionó la parte actora, y que había realizado gestiones de averiguación domiciliaria que resultaron infructuosas. Desaprovechó así la oportunidad que le brindaba este remedio procesal, que venía acompañado de abundante documentación aportada por el actor en la que figuraba su dirección de trabajo en Ámsterdam y los domicilios que había tenido en Utrecht, para reparar la indefensión que le había ocasionado con su anterior pasividad, lo que confirma su falta de diligencia para verificar de una manera efectiva el emplazamiento del demandado (STC 126/2006, de 24 de abril, FJ 4).</w:t>
      </w:r>
    </w:p>
    <w:p w14:paraId="36C96265" w14:textId="77777777" w:rsidR="008D479B" w:rsidRDefault="008D479B" w:rsidP="008D479B">
      <w:pPr>
        <w:pStyle w:val="TextoNormal"/>
      </w:pPr>
    </w:p>
    <w:p w14:paraId="00A84080" w14:textId="77777777" w:rsidR="008D479B" w:rsidRDefault="008D479B" w:rsidP="008D479B">
      <w:pPr>
        <w:pStyle w:val="TextoNormal"/>
      </w:pPr>
      <w:r>
        <w:t>No se aprecia, por lo demás, ningún elemento en el supuesto planteado que permita acreditar de modo fehaciente que el actor hubiera tenido un conocimiento extraprocesal de la existencia del procedimiento de familia anterior al momento que indicó al personarse para promover el incidente de nulidad de actuaciones: el de la notificación en su domicilio de Utrecht del título ejecutivo europeo que había sido expedido el 29 de septiembre de 2021 por el juzgado, a instancia de la parte demandante, para reclamarle el pago de las pensiones por alimentos que habían sido fijadas en la sentencia.</w:t>
      </w:r>
    </w:p>
    <w:p w14:paraId="2C480857" w14:textId="77777777" w:rsidR="008D479B" w:rsidRDefault="008D479B" w:rsidP="008D479B">
      <w:pPr>
        <w:pStyle w:val="TextoNormal"/>
      </w:pPr>
    </w:p>
    <w:p w14:paraId="2BB603AE" w14:textId="3452ADB8" w:rsidR="008D479B" w:rsidRDefault="008D479B" w:rsidP="008D479B">
      <w:pPr>
        <w:pStyle w:val="TextoNormal"/>
      </w:pPr>
      <w:r>
        <w:t>Las precedentes consideraciones han de conducir a otorgar el amparo solicitado y a restablecer al demandante en el derecho vulnerado, lo que requiere, para remediar con total efectividad la lesión producida (SSTC 76/2006, de 13 de marzo, FJ 5, y 304/2006, de 23 de octubre, FJ 4), y de acuerdo con lo solicitado por el fiscal, la anulación no solo del auto y de la sentencia formalmente designados en la demanda de amparo como objeto de impugnación, sino también de todas las actuaciones correspondientes al procedimiento antecedente, retrotrayéndolas al momento anterior en que se dictó la resolución que le declaró en situación de rebeldía el 14 de marzo de 2017, pues, de acuerdo con una reiterada doctrina de este tribunal, “cuando se impugna en el recurso de amparo una resolución judicial confirmatoria de otras que han sido lógica y cronológicamente presupuesto de aquella, han de entenderse también recurridas esas precedentes resoluciones judiciales confirmadas” (por todas, SSTC 40/2009, de 9 de febrero, FJ 2, y 93/2009, de 20 de abril, FJ 5).</w:t>
      </w:r>
    </w:p>
    <w:p w14:paraId="293F2ABB" w14:textId="77777777" w:rsidR="008D479B" w:rsidRDefault="008D479B" w:rsidP="008D479B">
      <w:pPr>
        <w:pStyle w:val="TextoNormal"/>
      </w:pPr>
    </w:p>
    <w:p w14:paraId="7C70B67E" w14:textId="77777777" w:rsidR="008D479B" w:rsidRDefault="008D479B" w:rsidP="008D479B">
      <w:pPr>
        <w:pStyle w:val="TextoNormalCentrado"/>
        <w:keepNext/>
      </w:pPr>
      <w:r>
        <w:t>FALLO</w:t>
      </w:r>
    </w:p>
    <w:p w14:paraId="64D4394E" w14:textId="3CA7623E" w:rsidR="008D479B" w:rsidRDefault="008D479B" w:rsidP="008D479B">
      <w:pPr>
        <w:pStyle w:val="TextoNormalCentrado"/>
        <w:keepNext/>
      </w:pPr>
    </w:p>
    <w:p w14:paraId="7AF036A0" w14:textId="77777777" w:rsidR="008D479B" w:rsidRDefault="008D479B" w:rsidP="008D479B">
      <w:pPr>
        <w:pStyle w:val="TextoNormal"/>
      </w:pPr>
      <w:r>
        <w:t>En atención a todo lo expuesto, el Tribunal Constitucional, por la autoridad que le confiere la Constitución de la Nación española, ha decidido otorgar el amparo a don Abderrahim Quih y, en consecuencia:</w:t>
      </w:r>
    </w:p>
    <w:p w14:paraId="1C6D483B" w14:textId="77777777" w:rsidR="008D479B" w:rsidRDefault="008D479B" w:rsidP="008D479B">
      <w:pPr>
        <w:pStyle w:val="TextoNormal"/>
      </w:pPr>
    </w:p>
    <w:p w14:paraId="4B523010" w14:textId="77777777" w:rsidR="008D479B" w:rsidRDefault="008D479B" w:rsidP="008D479B">
      <w:pPr>
        <w:pStyle w:val="TextoNormal"/>
      </w:pPr>
      <w:r>
        <w:t>1º Declarar que ha sido vulnerado su derecho a la tutela judicial efectiva sin indefensión (art. 24.1 CE).</w:t>
      </w:r>
    </w:p>
    <w:p w14:paraId="5551BC35" w14:textId="77777777" w:rsidR="008D479B" w:rsidRDefault="008D479B" w:rsidP="008D479B">
      <w:pPr>
        <w:pStyle w:val="TextoNormal"/>
      </w:pPr>
    </w:p>
    <w:p w14:paraId="089C5537" w14:textId="77777777" w:rsidR="008D479B" w:rsidRDefault="008D479B" w:rsidP="008D479B">
      <w:pPr>
        <w:pStyle w:val="TextoNormal"/>
      </w:pPr>
      <w:r>
        <w:t>2º Restablecer su derecho y, a tal efecto, anular el auto núm. 230/2022, de 10 de junio, y la sentencia núm. 126/2017, de 7 de junio, dictados por el Juzgado de Primera Instancia e Instrucción núm. 2 de Avilés en el procedimiento de alimentos, guarda y custodia y visitas núm. 629-2016, y de todo lo actuado en dicho procedimiento desde la diligencia de ordenación de 14 de marzo de 2017 que le declaró en rebeldía.</w:t>
      </w:r>
    </w:p>
    <w:p w14:paraId="24D4B1A1" w14:textId="77777777" w:rsidR="008D479B" w:rsidRDefault="008D479B" w:rsidP="008D479B">
      <w:pPr>
        <w:pStyle w:val="TextoNormal"/>
      </w:pPr>
    </w:p>
    <w:p w14:paraId="7D6537C4" w14:textId="7081EA89" w:rsidR="008D479B" w:rsidRDefault="008D479B" w:rsidP="008D479B">
      <w:pPr>
        <w:pStyle w:val="TextoNormal"/>
      </w:pPr>
      <w:r>
        <w:t>3º Retrotraer las actuaciones al momento inmediatamente anterior a que se pronunciara la diligencia de ordenación de 14 de marzo de 2017, a fin de que resuelva lo procedente de forma respetuosa con el derecho fundamental vulnerado.</w:t>
      </w:r>
    </w:p>
    <w:p w14:paraId="45F92988" w14:textId="77777777" w:rsidR="008D479B" w:rsidRDefault="008D479B" w:rsidP="008D479B">
      <w:pPr>
        <w:pStyle w:val="TextoNormal"/>
      </w:pPr>
    </w:p>
    <w:p w14:paraId="4BBFC694" w14:textId="77777777" w:rsidR="008D479B" w:rsidRDefault="008D479B" w:rsidP="008D479B">
      <w:pPr>
        <w:pStyle w:val="TextoNormal"/>
      </w:pPr>
      <w:r>
        <w:t>Publíquese esta sentencia en el “Boletín Oficial del Estado”.</w:t>
      </w:r>
    </w:p>
    <w:p w14:paraId="75B5E9CD" w14:textId="77777777" w:rsidR="008D479B" w:rsidRDefault="008D479B" w:rsidP="008D479B">
      <w:pPr>
        <w:pStyle w:val="TextoNormal"/>
      </w:pPr>
      <w:r>
        <w:t>Dada en Madrid, a veintitrés de octubre de dos mil veintitrés.</w:t>
      </w:r>
    </w:p>
    <w:p w14:paraId="05DE56DC" w14:textId="3DB6E37B" w:rsidR="008D479B" w:rsidRDefault="008D479B">
      <w:pPr>
        <w:spacing w:after="160" w:line="278" w:lineRule="auto"/>
        <w:rPr>
          <w:rFonts w:ascii="Times New Roman" w:eastAsia="Times New Roman" w:hAnsi="Times New Roman" w:cs="Times New Roman"/>
          <w:sz w:val="24"/>
          <w:szCs w:val="24"/>
          <w:lang w:eastAsia="es-ES"/>
        </w:rPr>
      </w:pPr>
      <w:r>
        <w:br w:type="page"/>
      </w:r>
    </w:p>
    <w:p w14:paraId="139CBA94" w14:textId="77777777" w:rsidR="008D479B" w:rsidRDefault="008D479B" w:rsidP="008D479B">
      <w:pPr>
        <w:pStyle w:val="TtuloResolucin"/>
      </w:pPr>
      <w:bookmarkStart w:id="63" w:name="SENTENCIA_2023_138"/>
      <w:r>
        <w:t>SENTENCIA 138/2023, de 23 de octubre de 2023</w:t>
      </w:r>
    </w:p>
    <w:bookmarkEnd w:id="63"/>
    <w:p w14:paraId="3E6DC00D" w14:textId="77777777" w:rsidR="008D479B" w:rsidRDefault="008D479B" w:rsidP="008D479B">
      <w:pPr>
        <w:pStyle w:val="TtuloResolucin"/>
      </w:pPr>
      <w:r>
        <w:t>Sala Primera</w:t>
      </w:r>
    </w:p>
    <w:p w14:paraId="1F429607" w14:textId="77777777" w:rsidR="008D479B" w:rsidRDefault="008D479B" w:rsidP="008D479B">
      <w:pPr>
        <w:pStyle w:val="TtuloBOE"/>
      </w:pPr>
      <w:r>
        <w:t>(BOE núm. 286, de 30 de noviembre de 2023)</w:t>
      </w:r>
    </w:p>
    <w:p w14:paraId="2B952048" w14:textId="77777777" w:rsidR="008D479B" w:rsidRDefault="008D479B" w:rsidP="008D479B">
      <w:pPr>
        <w:pStyle w:val="TextoNormalCentrado"/>
      </w:pPr>
      <w:r>
        <w:t>ECLI:ES:TC:2023:138</w:t>
      </w:r>
    </w:p>
    <w:p w14:paraId="1C5D8045" w14:textId="4A0E8F1D" w:rsidR="008D479B" w:rsidRDefault="008D479B" w:rsidP="008D479B">
      <w:pPr>
        <w:pStyle w:val="TextoNormalCentrado"/>
      </w:pPr>
    </w:p>
    <w:p w14:paraId="551EA41E" w14:textId="77777777" w:rsidR="008D479B" w:rsidRDefault="008D479B" w:rsidP="008D479B">
      <w:pPr>
        <w:pStyle w:val="SntesisDescriptiva"/>
      </w:pPr>
      <w:r>
        <w:t>Recurso de amparo 6255-2022. Promovido por Penrei Inversiones, S.L., en relación con las resoluciones dictadas por un juzgado de primera instancia e instrucción de Lorca en procedimiento de ejecución hipotecaria.</w:t>
      </w:r>
    </w:p>
    <w:p w14:paraId="50683CFB" w14:textId="49F8493E" w:rsidR="008D479B" w:rsidRDefault="008D479B" w:rsidP="008D479B">
      <w:pPr>
        <w:pStyle w:val="SntesisDescriptiva"/>
      </w:pPr>
    </w:p>
    <w:p w14:paraId="5AA648A1" w14:textId="77777777" w:rsidR="008D479B" w:rsidRDefault="008D479B" w:rsidP="008D479B">
      <w:pPr>
        <w:pStyle w:val="SntesisAnaltica"/>
      </w:pPr>
      <w:r>
        <w:t>Vulneración del derecho a la tutela judicial efectiva: STC 40/2020 [inadecuada utilización de la dirección electrónica habilitada como cauce de comunicación del primer emplazamiento procesal (SSTC 6/2019 y 47/2019) e inadmisión de la oposición a la ejecución resultante de la confusión del deber de las personas jurídicas de relacionarse con la administración de justicia por medio de comunicaciones electrónicas con la regulación del primer emplazamiento en los procesos civiles].</w:t>
      </w:r>
    </w:p>
    <w:p w14:paraId="36A61ACB" w14:textId="5711A2FB" w:rsidR="008D479B" w:rsidRDefault="008D479B" w:rsidP="008D479B">
      <w:pPr>
        <w:pStyle w:val="SntesisAnaltica"/>
      </w:pPr>
    </w:p>
    <w:p w14:paraId="5A17A544" w14:textId="2EEFC089" w:rsidR="008D479B" w:rsidRDefault="008D479B" w:rsidP="008D479B">
      <w:pPr>
        <w:pStyle w:val="Extracto"/>
      </w:pPr>
      <w:r>
        <w:t>1.</w:t>
      </w:r>
      <w:r>
        <w:tab/>
        <w:t>Se reitera doctrina constitucional sobre la inadecuada utilización de la dirección electrónica habilitada como cauce de comunicación del primer emplazamiento, que ha de ser realizado mediante correo certificado con acuse de recibo en el domicilio del destinatario, de conformidad con los artículos 155.1 y 273.4 LEC (SSTC 6/2019, 47/2019 y 40/2020) [FJ Único].</w:t>
      </w:r>
    </w:p>
    <w:p w14:paraId="01723FD8" w14:textId="77777777" w:rsidR="008D479B" w:rsidRDefault="008D479B" w:rsidP="008D479B">
      <w:pPr>
        <w:pStyle w:val="Extracto"/>
      </w:pPr>
    </w:p>
    <w:p w14:paraId="28DC479D" w14:textId="77777777" w:rsidR="008D479B" w:rsidRDefault="008D479B" w:rsidP="008D479B">
      <w:pPr>
        <w:pStyle w:val="Extracto"/>
      </w:pPr>
    </w:p>
    <w:p w14:paraId="4A0E0C7D" w14:textId="77777777" w:rsidR="008D479B" w:rsidRDefault="008D479B" w:rsidP="008D479B">
      <w:pPr>
        <w:pStyle w:val="TextoNormal"/>
      </w:pPr>
      <w:r>
        <w:t>La Sala Primera del Tribunal Constitucional, compuesta por el magistrado don Cándido Conde-Pumpido Tourón, presidente, y los magistrados y magistradas don Ricardo Enríquez Sancho, doña Concepción Espejel Jorquera, doña María Luisa Segoviano Astaburuaga y don Juan Carlos Campo Moreno, ha pronunciado</w:t>
      </w:r>
    </w:p>
    <w:p w14:paraId="0850DCAA" w14:textId="7FDFDC29" w:rsidR="008D479B" w:rsidRDefault="008D479B" w:rsidP="008D479B">
      <w:pPr>
        <w:pStyle w:val="TextoNormal"/>
      </w:pPr>
    </w:p>
    <w:p w14:paraId="35CAFBB8" w14:textId="77777777" w:rsidR="008D479B" w:rsidRDefault="008D479B" w:rsidP="008D479B">
      <w:pPr>
        <w:pStyle w:val="TextoNormalCentrado"/>
        <w:keepNext/>
      </w:pPr>
      <w:r>
        <w:t>EN NOMBRE DEL REY</w:t>
      </w:r>
    </w:p>
    <w:p w14:paraId="7053BE03" w14:textId="57AD7E16" w:rsidR="008D479B" w:rsidRDefault="008D479B" w:rsidP="008D479B">
      <w:pPr>
        <w:pStyle w:val="TextoNormalCentrado"/>
        <w:keepNext/>
      </w:pPr>
    </w:p>
    <w:p w14:paraId="517EA8EF" w14:textId="77777777" w:rsidR="008D479B" w:rsidRDefault="008D479B" w:rsidP="008D479B">
      <w:pPr>
        <w:pStyle w:val="TextoNormalCentrado"/>
        <w:keepNext/>
      </w:pPr>
    </w:p>
    <w:p w14:paraId="1F4849BB" w14:textId="77777777" w:rsidR="008D479B" w:rsidRDefault="008D479B" w:rsidP="008D479B">
      <w:pPr>
        <w:pStyle w:val="TextoNormal"/>
      </w:pPr>
      <w:r>
        <w:t>la siguiente</w:t>
      </w:r>
    </w:p>
    <w:p w14:paraId="7B1957C8" w14:textId="164990E4" w:rsidR="008D479B" w:rsidRDefault="008D479B" w:rsidP="008D479B">
      <w:pPr>
        <w:pStyle w:val="TextoNormal"/>
      </w:pPr>
    </w:p>
    <w:p w14:paraId="0DAFA666" w14:textId="77777777" w:rsidR="008D479B" w:rsidRDefault="008D479B" w:rsidP="008D479B">
      <w:pPr>
        <w:pStyle w:val="TextoNormalCentrado"/>
        <w:keepNext/>
      </w:pPr>
      <w:r>
        <w:t>SENTENCIA</w:t>
      </w:r>
    </w:p>
    <w:p w14:paraId="6F97676D" w14:textId="1E67C2FA" w:rsidR="008D479B" w:rsidRDefault="008D479B" w:rsidP="008D479B">
      <w:pPr>
        <w:pStyle w:val="TextoNormalCentrado"/>
        <w:keepNext/>
      </w:pPr>
    </w:p>
    <w:p w14:paraId="3A6E26C6" w14:textId="77777777" w:rsidR="008D479B" w:rsidRDefault="008D479B" w:rsidP="008D479B">
      <w:pPr>
        <w:pStyle w:val="TextoNormal"/>
      </w:pPr>
      <w:r>
        <w:t>En el recurso de amparo núm. 6255-2022, promovido por Penrei Inversiones, S.L., contra el auto firmado el 7 de julio de 2022, dictado por el Juzgado de Primera Instancia e Instrucción núm. 4 de Lorca, en el procedimiento de ejecución hipotecaria 355-2018, que confirmó en reposición el auto de 14 de noviembre de 2018 que inadmitió por razón de extemporaneidad su escrito de oposición a la ejecución. Ha intervenido el Ministerio Fiscal. Se ha personado la entidad mercantil Pera Assets Designated Activity Company en calidad de sucesora procesal de la entidad financiera ejecutante, personación que le ha sido admitida a los solos efectos de formular alegaciones. Ha sido ponente el presidente de este tribunal, don Cándido Conde-Pumpido Tourón.</w:t>
      </w:r>
    </w:p>
    <w:p w14:paraId="00EB9315" w14:textId="34C310F4" w:rsidR="008D479B" w:rsidRDefault="008D479B" w:rsidP="008D479B">
      <w:pPr>
        <w:pStyle w:val="TextoNormal"/>
      </w:pPr>
    </w:p>
    <w:p w14:paraId="63B045B5" w14:textId="77777777" w:rsidR="008D479B" w:rsidRDefault="008D479B" w:rsidP="008D479B">
      <w:pPr>
        <w:pStyle w:val="TextoNormalNegritaCentrado"/>
        <w:keepNext/>
      </w:pPr>
      <w:r>
        <w:t>I. Antecedentes</w:t>
      </w:r>
    </w:p>
    <w:p w14:paraId="737C4811" w14:textId="01E5B07C" w:rsidR="008D479B" w:rsidRDefault="008D479B" w:rsidP="008D479B">
      <w:pPr>
        <w:pStyle w:val="TextoNormalNegritaCentrado"/>
        <w:keepNext/>
      </w:pPr>
    </w:p>
    <w:p w14:paraId="1AB56B7A" w14:textId="4CB9CECC" w:rsidR="008D479B" w:rsidRDefault="008D479B" w:rsidP="008D479B">
      <w:pPr>
        <w:pStyle w:val="TextoNormal"/>
      </w:pPr>
      <w:r w:rsidRPr="008D479B">
        <w:rPr>
          <w:rStyle w:val="NumeroAFNegritaCaracter"/>
        </w:rPr>
        <w:t>1</w:t>
      </w:r>
      <w:r>
        <w:t>. Mediante escrito presentado en el registro general de este tribunal el 22 de septiembre de 2022, la procuradora de los tribunales doña Blanca Berriatúa Horta, en nombre y representación de Penrei Inversiones, S.L., bajo la dirección técnica de la letrada doña Anju Nirvala Benavent Rodríguez, ha interpuesto recurso de amparo contra las resoluciones reseñadas en el encabezamiento de la presente resolución.</w:t>
      </w:r>
    </w:p>
    <w:p w14:paraId="09E5CC8A" w14:textId="77777777" w:rsidR="008D479B" w:rsidRDefault="008D479B" w:rsidP="008D479B">
      <w:pPr>
        <w:pStyle w:val="TextoNormal"/>
      </w:pPr>
    </w:p>
    <w:p w14:paraId="1BDD8DFE" w14:textId="77777777" w:rsidR="008D479B" w:rsidRDefault="008D479B" w:rsidP="008D479B">
      <w:pPr>
        <w:pStyle w:val="TextoNormal"/>
      </w:pPr>
      <w:r w:rsidRPr="008D479B">
        <w:rPr>
          <w:rStyle w:val="NumeroAFNegritaCaracter"/>
        </w:rPr>
        <w:t>2</w:t>
      </w:r>
      <w:r>
        <w:t>. Los hechos de los que trae causa la demanda de amparo son, en síntesis, los siguientes:</w:t>
      </w:r>
    </w:p>
    <w:p w14:paraId="29DB82F6" w14:textId="77777777" w:rsidR="008D479B" w:rsidRDefault="008D479B" w:rsidP="008D479B">
      <w:pPr>
        <w:pStyle w:val="TextoNormal"/>
      </w:pPr>
    </w:p>
    <w:p w14:paraId="6453F936" w14:textId="77777777" w:rsidR="008D479B" w:rsidRDefault="008D479B" w:rsidP="008D479B">
      <w:pPr>
        <w:pStyle w:val="TextoNormal"/>
      </w:pPr>
      <w:r>
        <w:t>a) Banco Sabadell, S.A., interpuso demanda de ejecución hipotecaria sobre la finca inscrita con el núm. 43 503 en el Registro de la Propiedad núm. 3 de Lorca, contra Euroinversiones Inmobiliarias Costa Sur, S.L., como prestataria e hipotecante, y Penrei Inversiones, S.L., como titular de un derecho de uso sobre el inmueble hipotecado, en reclamación del pago de determinadas cantidades, en virtud de contrato de préstamo con garantía hipotecaria de 17 de noviembre de 2005.</w:t>
      </w:r>
    </w:p>
    <w:p w14:paraId="19A803A7" w14:textId="77777777" w:rsidR="008D479B" w:rsidRDefault="008D479B" w:rsidP="008D479B">
      <w:pPr>
        <w:pStyle w:val="TextoNormal"/>
      </w:pPr>
    </w:p>
    <w:p w14:paraId="3D4A7922" w14:textId="77777777" w:rsidR="008D479B" w:rsidRDefault="008D479B" w:rsidP="008D479B">
      <w:pPr>
        <w:pStyle w:val="TextoNormal"/>
      </w:pPr>
      <w:r>
        <w:t>La demanda fue turnada al Juzgado de Primera Instancia e Instrucción núm. 4 de Lorca, que la admitió a trámite por auto de 26 de junio de 2018, en el que ordenó el despacho de la ejecución y el requerimiento de pago a ambas ejecutadas, dando lugar al procedimiento de ejecución hipotecaria núm. 355-2018.</w:t>
      </w:r>
    </w:p>
    <w:p w14:paraId="7B6D1ED1" w14:textId="77777777" w:rsidR="008D479B" w:rsidRDefault="008D479B" w:rsidP="008D479B">
      <w:pPr>
        <w:pStyle w:val="TextoNormal"/>
      </w:pPr>
    </w:p>
    <w:p w14:paraId="61555E9D" w14:textId="77777777" w:rsidR="008D479B" w:rsidRDefault="008D479B" w:rsidP="008D479B">
      <w:pPr>
        <w:pStyle w:val="TextoNormal"/>
      </w:pPr>
      <w:r>
        <w:t>b) El 3 de julio de 2018 el servicio de notificaciones electrónicas de la Fábrica Nacional de Moneda y Timbre remitió un correo al buzón de la dirección electrónica habilitada de la ahora demandante de amparo que le avisaba de la existencia de una notificación, relativa al asunto “Jdo. 1 Inst. e Instr. N 4 de Lorca EJH/0000355/2018”, a la que podría acceder en el periodo comprendido entre los días 3 de julio y 18 de agosto de 2018 por medio del enlace a la página web que incluía. Personal de la empresa accedió a la página web y descargó la notificación y su documentación adjunta el 3 de agosto de 2018, conforme consta en certificado electrónico de la Fábrica Nacional de Moneda y Timbre.</w:t>
      </w:r>
    </w:p>
    <w:p w14:paraId="747375A0" w14:textId="77777777" w:rsidR="008D479B" w:rsidRDefault="008D479B" w:rsidP="008D479B">
      <w:pPr>
        <w:pStyle w:val="TextoNormal"/>
      </w:pPr>
    </w:p>
    <w:p w14:paraId="79F4A511" w14:textId="77777777" w:rsidR="008D479B" w:rsidRDefault="008D479B" w:rsidP="008D479B">
      <w:pPr>
        <w:pStyle w:val="TextoNormal"/>
      </w:pPr>
      <w:r>
        <w:t>c) El 31 de agosto de 2018 la demandante de amparo presentó escrito de oposición al despacho de la ejecución. La otra ejecutada, Euroinversiones Inmobiliarias Costa Sur, S.L., presentó escrito de oposición el 3 de septiembre de 2018. El juzgado las inadmitió por auto de 14 de noviembre de 2018 por considerarlas extemporáneas. El juzgado invoca la improrrogabilidad de los plazos procesales [art. 134 de la Ley de enjuiciamiento civil (LEC)], la preclusión de los trámites no realizados en plazo (art. 136 LEC), y el plazo de diez días fijado en el art. 695 LEC para oponerse al despacho de la ejecución, a contar desde el siguiente a la notificación del auto y del decreto, de lo que concluye que “[c]onstando en el presente supuesto que la parte ejecutada se ha opuesto una vez transcurrido el plazo que legalmente se le otorga, debe ser inadmitida su oposición por extemporánea, de conformidad con lo establecido en los preceptos citados”.</w:t>
      </w:r>
    </w:p>
    <w:p w14:paraId="355C276C" w14:textId="77777777" w:rsidR="008D479B" w:rsidRDefault="008D479B" w:rsidP="008D479B">
      <w:pPr>
        <w:pStyle w:val="TextoNormal"/>
      </w:pPr>
    </w:p>
    <w:p w14:paraId="51E77ECF" w14:textId="77777777" w:rsidR="008D479B" w:rsidRDefault="008D479B" w:rsidP="008D479B">
      <w:pPr>
        <w:pStyle w:val="TextoNormal"/>
      </w:pPr>
      <w:r>
        <w:t>d) Penrei Inversiones, S.L., interpuso recurso de reposición en el que alegó la vulneración del art. 24 CE. Argumentó que la notificación y requerimiento de pago fueron efectivos cuando accedió a su contenido, en el mes de agosto, por lo que el término de diez días no había vencido cuando presentó el escrito de oposición a la ejecución.</w:t>
      </w:r>
    </w:p>
    <w:p w14:paraId="376CF075" w14:textId="77777777" w:rsidR="008D479B" w:rsidRDefault="008D479B" w:rsidP="008D479B">
      <w:pPr>
        <w:pStyle w:val="TextoNormal"/>
      </w:pPr>
    </w:p>
    <w:p w14:paraId="09D670D1" w14:textId="49853004" w:rsidR="008D479B" w:rsidRDefault="008D479B" w:rsidP="008D479B">
      <w:pPr>
        <w:pStyle w:val="TextoNormal"/>
      </w:pPr>
      <w:r>
        <w:t>e) El recurso de reposición fue desestimado por auto del juzgado que no lleva fecha, pero que aparece firmado electrónicamente el 7 de julio de 2022, y que, aunque solo hace mención a Euroinversiones Inmobiliarias Costa Sur, S.L., le fue notificado a Penrei Inversiones, S.L., el 11 de julio del mismo año. La resolución insiste en que la oposición a la ejecución se presentó fuera de plazo y lo funda en la obligatoriedad del uso de los medios electrónicos en las comunicaciones con el juzgado, en que la comunicación se envió a la dirección electrónica habilitada, y en la aplicación del art. 162 LEC. Argumenta, en síntesis, que lo relevante no es la fecha en que la ejecutada accedió a la notificación, sino la fecha en que se puso a su disposición, pues de lo contrario se estaría dejando al arbitrio de las partes obligadas a utilizar el sistema electrónico de comunicaciones el cumplimiento de los plazos procesales dispuesto en la normativa, de modo que habiendo transcurrido más de tres días sin que hubiera accedido al contenido y sin que hubiera justificado la imposibilidad de acceder al sistema, el auto recurrido, al inadmitir un escrito que fue presentado fuera de plazo cuando ya había precluido la posibilidad de hacerlo, fue ajustado a derecho. Indica el auto finalmente que contra el mismo “no cabe recurso alguno, sin perjuicio de reproducir la cuestión objeto de la reposición al recurrir, si fuera posible, la resolución definitiva (artículo 454 de la LEC)”.</w:t>
      </w:r>
    </w:p>
    <w:p w14:paraId="4D4BB7B1" w14:textId="77777777" w:rsidR="008D479B" w:rsidRDefault="008D479B" w:rsidP="008D479B">
      <w:pPr>
        <w:pStyle w:val="TextoNormal"/>
      </w:pPr>
    </w:p>
    <w:p w14:paraId="712ABA5E" w14:textId="718FB77D" w:rsidR="008D479B" w:rsidRDefault="008D479B" w:rsidP="008D479B">
      <w:pPr>
        <w:pStyle w:val="TextoNormal"/>
      </w:pPr>
      <w:r w:rsidRPr="008D479B">
        <w:rPr>
          <w:rStyle w:val="NumeroAFNegritaCaracter"/>
        </w:rPr>
        <w:t>3</w:t>
      </w:r>
      <w:r>
        <w:t>. En la demanda de amparo se alega que se ha vulnerado el derecho de Penrei Inversiones, S.L., a la tutela judicial efectiva sin indefensión (art. 24.1 CE), porque al no habérsele notificado personalmente la demanda de ejecución hipotecaria, y al haberse otorgado efectos a la remisión a su dirección electrónica habilitada de un correo electrónico que carece de los requisitos legales exigibles al emplazamiento y primera notificación al demandado, se le ha impedido ejercitar su derecho de oposición en dicho procedimiento. Esta cuestión ha sido resuelta en reiteradas ocasiones por el Tribunal Constitucional, en recursos de amparo, algunos de los cuales fueron interpuestos por la actora, generándose una doctrina constitucional a partir de la STC 40/2020, de 27 de febrero, que establece claramente que el emplazamiento y primera citación del demandado o ejecutado debe cumplir las exigencias del art. 155 LEC, es decir, debe hacerse de forma personal, en papel y en su domicilio, pues de lo contrario se estaría vulnerando su derecho a la tutela judicial efectiva sin indefensión. Solicita por ello que se dicte sentencia en la que se reconozca la vulneración producida y se declare la nulidad de los dos autos impugnados, así como que se acuerde la retroacción de las actuaciones al momento previo a realizarse la notificación a través de la sede electrónica judicial a fin de que se realice el primer emplazamiento con cumplimiento de las exigencias legales y constitucionales. Por otrosí solicita la suspensión cautelar del procedimiento de ejecución hipotecaria hasta tanto se resolviera el recurso de amparo.</w:t>
      </w:r>
    </w:p>
    <w:p w14:paraId="73F269BC" w14:textId="77777777" w:rsidR="008D479B" w:rsidRDefault="008D479B" w:rsidP="008D479B">
      <w:pPr>
        <w:pStyle w:val="TextoNormal"/>
      </w:pPr>
    </w:p>
    <w:p w14:paraId="6A8DEEAA" w14:textId="3130AE96" w:rsidR="008D479B" w:rsidRDefault="008D479B" w:rsidP="008D479B">
      <w:pPr>
        <w:pStyle w:val="TextoNormal"/>
      </w:pPr>
      <w:r w:rsidRPr="008D479B">
        <w:rPr>
          <w:rStyle w:val="NumeroAFNegritaCaracter"/>
        </w:rPr>
        <w:t>4</w:t>
      </w:r>
      <w:r>
        <w:t>. Por diligencia de ordenación de 27 de septiembre de 2022 de la Secretaría de Justicia de la Sección Tercera de este tribunal, se tuvo por recibido el escrito de interposición del recurso de amparo y sus documentos adjuntos, y se acordó reclamar del Juzgado de Primera Instancia e Instrucción núm. 4 de Lorca las actuaciones correspondientes al procedimiento de ejecución hipotecaria núm. 355-2018.</w:t>
      </w:r>
    </w:p>
    <w:p w14:paraId="13AEB7BD" w14:textId="77777777" w:rsidR="008D479B" w:rsidRDefault="008D479B" w:rsidP="008D479B">
      <w:pPr>
        <w:pStyle w:val="TextoNormal"/>
      </w:pPr>
    </w:p>
    <w:p w14:paraId="0D3C69D3" w14:textId="65DD410B" w:rsidR="008D479B" w:rsidRDefault="008D479B" w:rsidP="008D479B">
      <w:pPr>
        <w:pStyle w:val="TextoNormal"/>
      </w:pPr>
      <w:r w:rsidRPr="008D479B">
        <w:rPr>
          <w:rStyle w:val="NumeroAFNegritaCaracter"/>
        </w:rPr>
        <w:t>5</w:t>
      </w:r>
      <w:r>
        <w:t>. Por diligencia de ordenación de 20 de enero de 2023 de la Secretaría de Justicia de la Sección Primera de este tribunal se puso de manifiesto que en virtud del acuerdo adoptado por el Pleno del Tribunal Constitucional el día 17 de enero de 2023, publicado en el “BOE” de 19 de enero, el presente recurso de amparo había sido turnado a la Sección Primera de la Sala Primera del Tribunal Constitucional, lo que se ponía en conocimiento de las partes y del Ministerio Fiscal a los efectos oportunos.</w:t>
      </w:r>
    </w:p>
    <w:p w14:paraId="6B3C15AD" w14:textId="77777777" w:rsidR="008D479B" w:rsidRDefault="008D479B" w:rsidP="008D479B">
      <w:pPr>
        <w:pStyle w:val="TextoNormal"/>
      </w:pPr>
    </w:p>
    <w:p w14:paraId="75D53413" w14:textId="2E5AD507" w:rsidR="008D479B" w:rsidRDefault="008D479B" w:rsidP="008D479B">
      <w:pPr>
        <w:pStyle w:val="TextoNormal"/>
      </w:pPr>
      <w:r w:rsidRPr="008D479B">
        <w:rPr>
          <w:rStyle w:val="NumeroAFNegritaCaracter"/>
        </w:rPr>
        <w:t>6</w:t>
      </w:r>
      <w:r>
        <w:t>. La Sección Primera de este tribunal, por providencia de 19 de junio de 2023, acordó admitir a trámite el recurso de amparo apreciando que concurre en el mismo una especial trascendencia constitucional [art. 50.1 de la Ley Orgánica del Tribunal Constitucional (LOTC)] como consecuencia de que el órgano judicial pudiera haber incurrido en una negativa manifiesta del deber de acatamiento de la doctrina de este tribunal [STC 155/2009, de 25 de junio, FJ 2 f)]. Ordenó por ello dirigir atenta comunicación al Juzgado de Primera Instancia e Instrucción núm. 4 de Lorca a fin de que se emplazase, en el plazo de diez días, para que pudieran comparecer, si lo deseaban, en el recurso de amparo, a quienes hubieran sido parte en el procedimiento, excepto la parte recurrente en amparo.</w:t>
      </w:r>
    </w:p>
    <w:p w14:paraId="5E45F320" w14:textId="77777777" w:rsidR="008D479B" w:rsidRDefault="008D479B" w:rsidP="008D479B">
      <w:pPr>
        <w:pStyle w:val="TextoNormal"/>
      </w:pPr>
    </w:p>
    <w:p w14:paraId="44CBB026" w14:textId="77777777" w:rsidR="008D479B" w:rsidRDefault="008D479B" w:rsidP="008D479B">
      <w:pPr>
        <w:pStyle w:val="TextoNormal"/>
      </w:pPr>
      <w:r w:rsidRPr="008D479B">
        <w:rPr>
          <w:rStyle w:val="NumeroAFNegritaCaracter"/>
        </w:rPr>
        <w:t>7</w:t>
      </w:r>
      <w:r>
        <w:t>. Por diligencia de ordenación de la Secretaría de Justicia de la Sección Primera de este tribunal de 19 de junio de 2023, se acordó formar pieza separada de suspensión y, de conformidad con lo prevenido en el art. 56 LOTC, conceder un plazo común de tres días al Ministerio Fiscal y a la solicitante de amparo, para que dentro de dicho término alegaran lo que estimaren pertinente en relación con la petición de suspensión.</w:t>
      </w:r>
    </w:p>
    <w:p w14:paraId="667559B5" w14:textId="77777777" w:rsidR="008D479B" w:rsidRDefault="008D479B" w:rsidP="008D479B">
      <w:pPr>
        <w:pStyle w:val="TextoNormal"/>
      </w:pPr>
    </w:p>
    <w:p w14:paraId="7CEA6D1A" w14:textId="77777777" w:rsidR="008D479B" w:rsidRDefault="008D479B" w:rsidP="008D479B">
      <w:pPr>
        <w:pStyle w:val="TextoNormal"/>
      </w:pPr>
      <w:r>
        <w:t>Por escrito registrado el 27 de junio de 2023, la demandante de amparo presentó alegaciones en la pieza separada ratificando su petición de suspensión del procedimiento de ejecución hipotecaria. Adujo que en caso de continuar el procedimiento con celebración de subasta y eventual adjudicación del bien hipotecado a terceros, o a la propia ejecutante, se crearía una situación difícilmente reversible y el recurso de amparo perdería su finalidad.</w:t>
      </w:r>
    </w:p>
    <w:p w14:paraId="6914F767" w14:textId="77777777" w:rsidR="008D479B" w:rsidRDefault="008D479B" w:rsidP="008D479B">
      <w:pPr>
        <w:pStyle w:val="TextoNormal"/>
      </w:pPr>
    </w:p>
    <w:p w14:paraId="6479E0EC" w14:textId="77777777" w:rsidR="008D479B" w:rsidRDefault="008D479B" w:rsidP="008D479B">
      <w:pPr>
        <w:pStyle w:val="TextoNormal"/>
      </w:pPr>
      <w:r>
        <w:t>Por escrito registrado el 7 de julio de 2023 el Ministerio Fiscal presentó alegaciones en la pieza en el que se opuso a la suspensión porque la solicitante no había cumplido con la carga de alegar y justificar los perjuicios irreparables que se le pudieran ocasionar, no habiendo constancia de que la situación actual del procedimiento supusiera un riesgo inminente de desposesión del bien hipotecado. Se pronunciaba, en cambio, a favor de que el tribunal acordara de oficio, si lo estimaba oportuno, la anotación preventiva de la demanda en el registro de la propiedad, a tenor de lo previsto en el art. 56.3 LOTC, siempre que el estado de las actuaciones lo permitiera, para no perjudicar los derechos de los terceros de buena fe.</w:t>
      </w:r>
    </w:p>
    <w:p w14:paraId="242659F4" w14:textId="77777777" w:rsidR="008D479B" w:rsidRDefault="008D479B" w:rsidP="008D479B">
      <w:pPr>
        <w:pStyle w:val="TextoNormal"/>
      </w:pPr>
    </w:p>
    <w:p w14:paraId="094675A4" w14:textId="6689526E" w:rsidR="008D479B" w:rsidRDefault="008D479B" w:rsidP="008D479B">
      <w:pPr>
        <w:pStyle w:val="TextoNormal"/>
      </w:pPr>
      <w:r>
        <w:t>Por ATC 370/2023, de 17 de julio, la Sala Primera de este tribunal denegó la suspensión cautelar solicitada del procedimiento de ejecución, si bien acordó que se practicase la anotación preventiva de la demanda de amparo en el registro de la propiedad, en relación con el inmueble a que se refieren las presentes actuaciones, a cuyo efecto correspondía al referido juzgado expedir el mandamiento oportuno.</w:t>
      </w:r>
    </w:p>
    <w:p w14:paraId="6156C6EF" w14:textId="77777777" w:rsidR="008D479B" w:rsidRDefault="008D479B" w:rsidP="008D479B">
      <w:pPr>
        <w:pStyle w:val="TextoNormal"/>
      </w:pPr>
    </w:p>
    <w:p w14:paraId="74609A8C" w14:textId="77777777" w:rsidR="008D479B" w:rsidRDefault="008D479B" w:rsidP="008D479B">
      <w:pPr>
        <w:pStyle w:val="TextoNormal"/>
      </w:pPr>
      <w:r w:rsidRPr="008D479B">
        <w:rPr>
          <w:rStyle w:val="NumeroAFNegritaCaracter"/>
        </w:rPr>
        <w:t>8</w:t>
      </w:r>
      <w:r>
        <w:t>. Por escrito registrado el día 18 de julio de 2023, la procuradora de los tribunales doña María Claudia Munteanu, actuando en nombre y representación de la entidad mercantil Pera Assets Designated Activity Company, bajo la dirección técnica de la letrada doña Inmaculada García Linero, manifestó lo siguiente:</w:t>
      </w:r>
    </w:p>
    <w:p w14:paraId="179C22ED" w14:textId="77777777" w:rsidR="008D479B" w:rsidRDefault="008D479B" w:rsidP="008D479B">
      <w:pPr>
        <w:pStyle w:val="TextoNormal"/>
      </w:pPr>
    </w:p>
    <w:p w14:paraId="5F87E778" w14:textId="77777777" w:rsidR="008D479B" w:rsidRDefault="008D479B" w:rsidP="008D479B">
      <w:pPr>
        <w:pStyle w:val="TextoNormal"/>
      </w:pPr>
      <w:r>
        <w:t>Que el 23 de julio de 2019, ante el notario de Madrid don Carlos de Alcocer Torra, la entidad Banco Sabadell, S.A., y la sociedad Pera Assets Designated Activity Company suscribieron la correspondiente escritura de cesión onerosa de créditos hipotecarios, por medio del cual Banco Sabadell, S.A., vendió y se obligó a transmitir a Pera Assets Designated Activity Company la titularidad legítima de determinados créditos con origen en operaciones en la presente ejecutada por la cedente (Banco Sabadell, S.A.).</w:t>
      </w:r>
    </w:p>
    <w:p w14:paraId="3D4764CB" w14:textId="77777777" w:rsidR="008D479B" w:rsidRDefault="008D479B" w:rsidP="008D479B">
      <w:pPr>
        <w:pStyle w:val="TextoNormal"/>
      </w:pPr>
    </w:p>
    <w:p w14:paraId="1BCE8E0C" w14:textId="77777777" w:rsidR="008D479B" w:rsidRDefault="008D479B" w:rsidP="008D479B">
      <w:pPr>
        <w:pStyle w:val="TextoNormal"/>
      </w:pPr>
      <w:r>
        <w:t>Que mediante diligencia de ordenación de fecha 28 de junio de 2023, el Juzgado de Primera Instancia e Instrucción núm. 4 de Lorca emplazó a esta parte para comparecer ante este tribunal a donde se acordó remitir las actuaciones para sustanciar el recurso de amparo núm. 6255-2022, instado por Penrei Inversiones, S.L., contra el auto, dictado por dicho juzgado, en el procedimiento seguido bajo el número 355-2018.</w:t>
      </w:r>
    </w:p>
    <w:p w14:paraId="5C1DA69C" w14:textId="77777777" w:rsidR="008D479B" w:rsidRDefault="008D479B" w:rsidP="008D479B">
      <w:pPr>
        <w:pStyle w:val="TextoNormal"/>
      </w:pPr>
    </w:p>
    <w:p w14:paraId="71280C56" w14:textId="042CEF37" w:rsidR="008D479B" w:rsidRDefault="008D479B" w:rsidP="008D479B">
      <w:pPr>
        <w:pStyle w:val="TextoNormal"/>
      </w:pPr>
      <w:r>
        <w:t>Que en virtud de dicho emplazamiento, haciendo uso del poder adjunto y cumpliendo las instrucciones de su mandante, Pera Assets Designated Activity Company, se personaba en nombre de la misma en el mencionado recurso a fin de sostener los derechos que le asistían, solicitando al propio tiempo se le tuviera por parte en tiempo y forma y se mandasen entender con ella en tal representación las diligencias sucesivas, bajo la dirección técnica de la ya mencionada letrada, en concepto de recurrido en amparo.</w:t>
      </w:r>
    </w:p>
    <w:p w14:paraId="51F59147" w14:textId="77777777" w:rsidR="008D479B" w:rsidRDefault="008D479B" w:rsidP="008D479B">
      <w:pPr>
        <w:pStyle w:val="TextoNormal"/>
      </w:pPr>
    </w:p>
    <w:p w14:paraId="2E5543F7" w14:textId="77777777" w:rsidR="008D479B" w:rsidRDefault="008D479B" w:rsidP="008D479B">
      <w:pPr>
        <w:pStyle w:val="TextoNormal"/>
      </w:pPr>
      <w:r w:rsidRPr="008D479B">
        <w:rPr>
          <w:rStyle w:val="NumeroAFNegritaCaracter"/>
        </w:rPr>
        <w:t>9</w:t>
      </w:r>
      <w:r>
        <w:t>. Por diligencia de ordenación de la Secretaría de Justicia de la Sección Primera de este tribunal de 26 de julio de 2023, se tuvieron por recibidos los testimonios de las actuaciones, y el escrito de la procuradora doña María Claudia Munteanu, a quien se tuvo por personada y parte en nombre y representación de Pera Assets Designated Activity Company.</w:t>
      </w:r>
    </w:p>
    <w:p w14:paraId="32C45EBB" w14:textId="77777777" w:rsidR="008D479B" w:rsidRDefault="008D479B" w:rsidP="008D479B">
      <w:pPr>
        <w:pStyle w:val="TextoNormal"/>
      </w:pPr>
    </w:p>
    <w:p w14:paraId="4758F505" w14:textId="009ECF05" w:rsidR="008D479B" w:rsidRDefault="008D479B" w:rsidP="008D479B">
      <w:pPr>
        <w:pStyle w:val="TextoNormal"/>
      </w:pPr>
      <w:r>
        <w:t>Se acordó asimismo, a tenor de lo dispuesto en el art. 52 LOTC, dar vista de todas las actuaciones del presente recurso de amparo, en la Secretaría de la Sala, por un plazo común de veinte días, al Ministerio Fiscal y a las partes personadas, para que dentro de dicho término pudieran presentar las alegaciones que a su derecho conviniera, al tiempo que se requirió, de conformidad con el art. 83 LOTC, a las partes personadas para que dentro del mismo plazo alegaran lo que a su derecho conviniera sobre la acumulación del presente recurso al recurso de amparo núm. 6215-2022 que se tramitaba en la Sala Segunda de este tribunal.</w:t>
      </w:r>
    </w:p>
    <w:p w14:paraId="1A3A20CD" w14:textId="77777777" w:rsidR="008D479B" w:rsidRDefault="008D479B" w:rsidP="008D479B">
      <w:pPr>
        <w:pStyle w:val="TextoNormal"/>
      </w:pPr>
    </w:p>
    <w:p w14:paraId="50C71444" w14:textId="77777777" w:rsidR="008D479B" w:rsidRDefault="008D479B" w:rsidP="008D479B">
      <w:pPr>
        <w:pStyle w:val="TextoNormal"/>
      </w:pPr>
      <w:r w:rsidRPr="008D479B">
        <w:rPr>
          <w:rStyle w:val="NumeroAFNegritaCaracter"/>
        </w:rPr>
        <w:t>10</w:t>
      </w:r>
      <w:r>
        <w:t>. Por escrito presentado el 20 de septiembre de 2023, el Ministerio Fiscal formuló alegaciones en las que:</w:t>
      </w:r>
    </w:p>
    <w:p w14:paraId="33EEAF8D" w14:textId="77777777" w:rsidR="008D479B" w:rsidRDefault="008D479B" w:rsidP="008D479B">
      <w:pPr>
        <w:pStyle w:val="TextoNormal"/>
      </w:pPr>
    </w:p>
    <w:p w14:paraId="2F8EC00A" w14:textId="77777777" w:rsidR="008D479B" w:rsidRDefault="008D479B" w:rsidP="008D479B">
      <w:pPr>
        <w:pStyle w:val="TextoNormal"/>
      </w:pPr>
      <w:r>
        <w:t>(i) Se pronunció a favor de la acumulación del presente recurso de amparo al recurso de amparo núm. 6215-2022, interpuesto por Euroinversiones Inmobiliarias, S.L., por considerar que concurren los requisitos exigidos en el art. 83 LOTC, dado que en ambos se impugnan las mismas resoluciones judiciales y se formula la misma pretensión, que se declare la vulneración del derecho fundamental a la tutela judicial efectiva del art. 24.1 CE por una actuación idéntica del juzgado, la de efectuar la notificación y emplazamiento de cada una de las codemandadas en el procedimiento de ejecución hipotecaria por medio de la dirección electrónica habilitada. Cita, a estos efectos, como precedente el ATC 25/2021, de 15 de marzo, que en un supuesto semejante acordó la acumulación de dos recursos de amparo interpuestos respectivamente por las mismas sociedades y bajo la misma dirección letrada.</w:t>
      </w:r>
    </w:p>
    <w:p w14:paraId="0AB95022" w14:textId="77777777" w:rsidR="008D479B" w:rsidRDefault="008D479B" w:rsidP="008D479B">
      <w:pPr>
        <w:pStyle w:val="TextoNormal"/>
      </w:pPr>
    </w:p>
    <w:p w14:paraId="6C463D98" w14:textId="77777777" w:rsidR="008D479B" w:rsidRDefault="008D479B" w:rsidP="008D479B">
      <w:pPr>
        <w:pStyle w:val="TextoNormal"/>
      </w:pPr>
      <w:r>
        <w:t>(ii) Se remitió, en cuanto a la pretensión de fondo, a las alegaciones que había evacuado previamente en el trámite del art. 52.1 LOTC del citado recurso de amparo 6215-2022, favorables a su estimación y conforme a lo alegado, solicitó una sentencia en la que se reconociese que se había vulnerado el derecho fundamental de la demandante a la tutela judicial efectiva sin padecer indefensión (art. 24.1 CE), que se declarase la nulidad de los autos de 7 de julio de 2022 y 14 de noviembre de 2018, dictados por el Juzgado de Primera Instancia e Instrucción núm. 4 de Lorca en el procedimiento de ejecución hipotecaria núm. 355-2018, así como la nulidad de las actuaciones realizadas a partir del emplazamiento de la entidad recurrente a través de la dirección electrónica habilitada, y que se retrotrajeran las actuaciones al momento inmediatamente anterior para que se llevase a cabo el emplazamiento de forma que resultase respetuosa del derecho fundamental reconocido.</w:t>
      </w:r>
    </w:p>
    <w:p w14:paraId="24379AA0" w14:textId="77777777" w:rsidR="008D479B" w:rsidRDefault="008D479B" w:rsidP="008D479B">
      <w:pPr>
        <w:pStyle w:val="TextoNormal"/>
      </w:pPr>
    </w:p>
    <w:p w14:paraId="06C3887D" w14:textId="77777777" w:rsidR="008D479B" w:rsidRDefault="008D479B" w:rsidP="008D479B">
      <w:pPr>
        <w:pStyle w:val="TextoNormal"/>
      </w:pPr>
      <w:r>
        <w:t>En las alegaciones de referencia consideró el fiscal que aquel recurso era uno más de los recursos que componen la serie de los interpuestos por Euroinversiones Inmobiliarias Costa Sur, S.L., y Penrei Inversiones, S.L., frente a diversos autos dictados en procedimientos hipotecarios tramitados por diferentes juzgados de primera instancia de Lorca, por idénticas vulneraciones, la mayoría de los cuales ya han sido resueltos por el tribunal, en concreto en la sentencia del Pleno 40/2020, de 27 de febrero, y las SSTC 43/2020, de 9 de marzo, y 103/2021, de 10 de mayo.</w:t>
      </w:r>
    </w:p>
    <w:p w14:paraId="426B792E" w14:textId="77777777" w:rsidR="008D479B" w:rsidRDefault="008D479B" w:rsidP="008D479B">
      <w:pPr>
        <w:pStyle w:val="TextoNormal"/>
      </w:pPr>
    </w:p>
    <w:p w14:paraId="500A7932" w14:textId="383267CE" w:rsidR="008D479B" w:rsidRDefault="008D479B" w:rsidP="008D479B">
      <w:pPr>
        <w:pStyle w:val="TextoNormal"/>
      </w:pPr>
      <w:r>
        <w:t>La problemática suscitada en dicha serie de recursos consiste en la vulneración del derecho a la tutela judicial efectiva por la inadecuada utilización de la dirección electrónica habilitada como cauce de comunicación del primer emplazamiento procesal e inadmisión de la oposición a la ejecución resultante de la confusión del deber de las personas jurídicas de relacionarse con la administración de justicia por medio de comunicaciones electrónicas con la regulación del primer emplazamiento en los procesos civiles, y es idéntica a la suscitada en este amparo. Afirmaba el fiscal que no era necesario realizar mayor esfuerzo argumentativo en un recurso que supone uno más de la serie y que procedía aplicar la doctrina constitucional expuesta.</w:t>
      </w:r>
    </w:p>
    <w:p w14:paraId="27918307" w14:textId="77777777" w:rsidR="008D479B" w:rsidRDefault="008D479B" w:rsidP="008D479B">
      <w:pPr>
        <w:pStyle w:val="TextoNormal"/>
      </w:pPr>
    </w:p>
    <w:p w14:paraId="7BAE03CB" w14:textId="77777777" w:rsidR="008D479B" w:rsidRDefault="008D479B" w:rsidP="008D479B">
      <w:pPr>
        <w:pStyle w:val="TextoNormal"/>
      </w:pPr>
      <w:r w:rsidRPr="008D479B">
        <w:rPr>
          <w:rStyle w:val="NumeroAFNegritaCaracter"/>
        </w:rPr>
        <w:t>11</w:t>
      </w:r>
      <w:r>
        <w:t>. Por escrito presentado el 26 de septiembre de 2023 la actora formuló alegaciones en las que ratificó la pretensión y fundamentos esgrimidos en su demanda de amparo. En el escrito se citan como precedentes relevantes las SSTC 40/2020, de 27 de febrero, y 43/2020, de 9 de marzo, que declararon que emplazar a la parte demandada en un procedimiento de ejecución hipotecaria por medio del servicio de notificaciones electrónicas y dirección electrónica habilitada de la Fábrica Nacional de Moneda y Timbre, en lugar de cumplir los requisitos exigidos en el art. 155.1 LEC, es decir, emplazamiento personal, en su domicilio social y con entrega en papel de la documentación necesaria, representa una vulneración de su derecho a la tutela judicial efectiva.</w:t>
      </w:r>
    </w:p>
    <w:p w14:paraId="3C267C3B" w14:textId="77777777" w:rsidR="008D479B" w:rsidRDefault="008D479B" w:rsidP="008D479B">
      <w:pPr>
        <w:pStyle w:val="TextoNormal"/>
      </w:pPr>
    </w:p>
    <w:p w14:paraId="391DEE7A" w14:textId="53E20281" w:rsidR="008D479B" w:rsidRDefault="008D479B" w:rsidP="008D479B">
      <w:pPr>
        <w:pStyle w:val="TextoNormal"/>
      </w:pPr>
      <w:r>
        <w:t>En escrito adjunto la actora manifestó que dejaba al criterio del propio tribunal adoptar la decisión que considerase oportuna sobre acumulación del presente recurso al recurso núm. 6215-2022.</w:t>
      </w:r>
    </w:p>
    <w:p w14:paraId="72E1EFD4" w14:textId="77777777" w:rsidR="008D479B" w:rsidRDefault="008D479B" w:rsidP="008D479B">
      <w:pPr>
        <w:pStyle w:val="TextoNormal"/>
      </w:pPr>
    </w:p>
    <w:p w14:paraId="6D6C3C55" w14:textId="5A06F03C" w:rsidR="008D479B" w:rsidRDefault="008D479B" w:rsidP="008D479B">
      <w:pPr>
        <w:pStyle w:val="TextoNormal"/>
      </w:pPr>
      <w:r w:rsidRPr="008D479B">
        <w:rPr>
          <w:rStyle w:val="NumeroAFNegritaCaracter"/>
        </w:rPr>
        <w:t>12</w:t>
      </w:r>
      <w:r>
        <w:t>. Por diligencia de 29 de septiembre de 2023 se hizo constar la recepción de los escritos de alegaciones del Ministerio Fiscal y la parte demandante relativos al trámite del art. 52 LOTC y a la acumulación de procedimientos. No consta la presentación de escrito de alegaciones por parte de la entidad Pera Assets Designated Activity Company.</w:t>
      </w:r>
    </w:p>
    <w:p w14:paraId="132A15A4" w14:textId="77777777" w:rsidR="008D479B" w:rsidRDefault="008D479B" w:rsidP="008D479B">
      <w:pPr>
        <w:pStyle w:val="TextoNormal"/>
      </w:pPr>
    </w:p>
    <w:p w14:paraId="4C134BB3" w14:textId="4DC9511C" w:rsidR="008D479B" w:rsidRDefault="008D479B" w:rsidP="008D479B">
      <w:pPr>
        <w:pStyle w:val="TextoNormal"/>
      </w:pPr>
      <w:r w:rsidRPr="008D479B">
        <w:rPr>
          <w:rStyle w:val="NumeroAFNegritaCaracter"/>
        </w:rPr>
        <w:t>13</w:t>
      </w:r>
      <w:r>
        <w:t>. Por STC 122/2023, de 25 de septiembre, dictada por la Sala Segunda de este tribunal, se estimó el recurso de amparo núm. 6215-2022 interpuesto por la entidad mercantil Euroinversiones Inmobiliarias Costa Sur, S.L., en calidad de codemandada en el mismo procedimiento de ejecución hipotecaria.</w:t>
      </w:r>
    </w:p>
    <w:p w14:paraId="1A5FFFB7" w14:textId="77777777" w:rsidR="008D479B" w:rsidRDefault="008D479B" w:rsidP="008D479B">
      <w:pPr>
        <w:pStyle w:val="TextoNormal"/>
      </w:pPr>
    </w:p>
    <w:p w14:paraId="42998755" w14:textId="16E99C53" w:rsidR="008D479B" w:rsidRDefault="008D479B" w:rsidP="008D479B">
      <w:pPr>
        <w:pStyle w:val="TextoNormal"/>
      </w:pPr>
      <w:r w:rsidRPr="008D479B">
        <w:rPr>
          <w:rStyle w:val="NumeroAFNegritaCaracter"/>
        </w:rPr>
        <w:t>14</w:t>
      </w:r>
      <w:r>
        <w:t>. Por providencia de 19 de octubre de 2023, se señaló para deliberación y votación de la presente sentencia el día 23 del mismo mes y año.</w:t>
      </w:r>
    </w:p>
    <w:p w14:paraId="0C239638" w14:textId="77777777" w:rsidR="008D479B" w:rsidRDefault="008D479B" w:rsidP="008D479B">
      <w:pPr>
        <w:pStyle w:val="TextoNormal"/>
      </w:pPr>
    </w:p>
    <w:p w14:paraId="42CB4818" w14:textId="77777777" w:rsidR="008D479B" w:rsidRDefault="008D479B" w:rsidP="008D479B">
      <w:pPr>
        <w:pStyle w:val="TextoNormalNegritaCentrado"/>
        <w:keepNext/>
      </w:pPr>
      <w:r>
        <w:t>II. Fundamentos jurídicos</w:t>
      </w:r>
    </w:p>
    <w:p w14:paraId="4AE5CB59" w14:textId="6CB6FB15" w:rsidR="008D479B" w:rsidRDefault="008D479B" w:rsidP="008D479B">
      <w:pPr>
        <w:pStyle w:val="TextoNormalNegritaCentrado"/>
        <w:keepNext/>
      </w:pPr>
    </w:p>
    <w:p w14:paraId="41E309B2" w14:textId="77777777" w:rsidR="008D479B" w:rsidRDefault="008D479B" w:rsidP="008D479B">
      <w:pPr>
        <w:pStyle w:val="TextoNormal"/>
      </w:pPr>
      <w:r w:rsidRPr="008D479B">
        <w:rPr>
          <w:rStyle w:val="TextoNormalNegritaCaracter"/>
        </w:rPr>
        <w:t xml:space="preserve">Único. </w:t>
      </w:r>
      <w:r w:rsidRPr="008D479B">
        <w:rPr>
          <w:i/>
        </w:rPr>
        <w:t>Aplicación de la doctrina sentada por las SSTC 6/2019, de 17 de enero; 47/2019, de 8 de abril, y 40/2020, de 27 de febrero</w:t>
      </w:r>
    </w:p>
    <w:p w14:paraId="65EAE9AC" w14:textId="77777777" w:rsidR="008D479B" w:rsidRDefault="008D479B" w:rsidP="008D479B">
      <w:pPr>
        <w:pStyle w:val="TextoNormal"/>
      </w:pPr>
    </w:p>
    <w:p w14:paraId="33D78D9E" w14:textId="77777777" w:rsidR="008D479B" w:rsidRDefault="008D479B" w:rsidP="008D479B">
      <w:pPr>
        <w:pStyle w:val="TextoNormal"/>
      </w:pPr>
      <w:r>
        <w:t>La presente demanda se integra en la serie de recursos de amparo interpuestos por dos entidades, una de ellas la aquí recurrente, demandadas en procesos de ejecución hipotecaria seguidos ante diversos juzgados de primera instancia de Lorca, los cuales, tras efectuar el primer emplazamiento por vía electrónica a través del servicio de notificaciones electrónicas y de dirección electrónica habilitada de la Fábrica Nacional de Moneda y Timbre, han inadmitido a trámite en los diferentes procedimientos los escritos de oposición a la ejecución presentados por aquellas, al considerarlos extemporáneos mediante un cómputo de plazo realizado con arreglo a normas del procedimiento administrativo común.</w:t>
      </w:r>
    </w:p>
    <w:p w14:paraId="6E6DEDD0" w14:textId="77777777" w:rsidR="008D479B" w:rsidRDefault="008D479B" w:rsidP="008D479B">
      <w:pPr>
        <w:pStyle w:val="TextoNormal"/>
      </w:pPr>
    </w:p>
    <w:p w14:paraId="74C0D43E" w14:textId="77777777" w:rsidR="008D479B" w:rsidRDefault="008D479B" w:rsidP="008D479B">
      <w:pPr>
        <w:pStyle w:val="TextoNormal"/>
      </w:pPr>
      <w:r>
        <w:t>En concreto, en el presente recurso la entidad Penrei Inversiones, S.L., impugna los autos del Juzgado de Primera Instancia e Instrucción núm. 4 de Lorca, de 14 de noviembre de 2018 y de 7 de julio de 2022, recaídos en el proceso hipotecario núm. 355-2018.</w:t>
      </w:r>
    </w:p>
    <w:p w14:paraId="767B380E" w14:textId="77777777" w:rsidR="008D479B" w:rsidRDefault="008D479B" w:rsidP="008D479B">
      <w:pPr>
        <w:pStyle w:val="TextoNormal"/>
      </w:pPr>
    </w:p>
    <w:p w14:paraId="7126FD79" w14:textId="77777777" w:rsidR="008D479B" w:rsidRDefault="008D479B" w:rsidP="008D479B">
      <w:pPr>
        <w:pStyle w:val="TextoNormal"/>
      </w:pPr>
      <w:r>
        <w:t>La demanda de amparo alega la vulneración del derecho fundamental a la tutela judicial efectiva (art. 24.1 CE), en sus vertientes de derecho a no padecer indefensión y a obtener una resolución fundada en Derecho, al no haberse efectuado aquel emplazamiento de manera personal y con entrega en papel de la documentación correspondiente, tal y como establecen las normas de la Ley de enjuiciamiento civil. El Ministerio Fiscal, por su parte, interesa la estimación del amparo por el primer motivo, mientras que la entidad recurrida no ha efectuado alegaciones.</w:t>
      </w:r>
    </w:p>
    <w:p w14:paraId="74DA37FC" w14:textId="77777777" w:rsidR="008D479B" w:rsidRDefault="008D479B" w:rsidP="008D479B">
      <w:pPr>
        <w:pStyle w:val="TextoNormal"/>
      </w:pPr>
    </w:p>
    <w:p w14:paraId="6DCE68AC" w14:textId="77777777" w:rsidR="008D479B" w:rsidRDefault="008D479B" w:rsidP="008D479B">
      <w:pPr>
        <w:pStyle w:val="TextoNormal"/>
      </w:pPr>
      <w:r>
        <w:t>Planteado en estos términos el debate, debe indicarse que el Pleno de este tribunal ha dictado, como afirma en trámite de alegaciones la recurrente en amparo y subraya el Ministerio Fiscal, la STC 40/2020, de 27 de febrero, en la que tuvo la oportunidad de resolver el recurso de amparo cabecera de esta serie, promovido contra dos autos de coincidente contenido con los que ahora se impugnan, y donde dio respuesta a los mismos argumentos que defienden aquí las partes, con fallo estimatorio de la demanda. Descartada aquí la concurrencia de algún elemento distintivo que obligue a una fundamentación o resultado distinto a lo declarado entonces, es obligado que nos remitamos a la fundamentación de la citada STC 40/2020 y consiguientemente estimar el presente recurso de amparo por vulneración de su derecho fundamental a la tutela judicial efectiva sin padecer indefensión (art. 24.1 CE), con reconocimiento de tal derecho.</w:t>
      </w:r>
    </w:p>
    <w:p w14:paraId="6A9E5183" w14:textId="77777777" w:rsidR="008D479B" w:rsidRDefault="008D479B" w:rsidP="008D479B">
      <w:pPr>
        <w:pStyle w:val="TextoNormal"/>
      </w:pPr>
    </w:p>
    <w:p w14:paraId="11138F12" w14:textId="51321F84" w:rsidR="008D479B" w:rsidRDefault="008D479B" w:rsidP="008D479B">
      <w:pPr>
        <w:pStyle w:val="TextoNormal"/>
      </w:pPr>
      <w:r>
        <w:t xml:space="preserve">Por ello procede acordar la nulidad de los autos impugnados y de todo lo actuado en el procedimiento hipotecario </w:t>
      </w:r>
      <w:r w:rsidRPr="008D479B">
        <w:rPr>
          <w:i/>
        </w:rPr>
        <w:t>a quo</w:t>
      </w:r>
      <w:r>
        <w:t xml:space="preserve"> desde el momento en que se proveyó a su emplazamiento a través de la dirección electrónica habilitada, con retroacción de las actuaciones para que el juzgado practique dicho emplazamiento en los términos exigidos por la ley (arts. 155.1 y 273.4 LEC), de manera respetuosa con el derecho fundamental de la demandante.</w:t>
      </w:r>
    </w:p>
    <w:p w14:paraId="33B8486C" w14:textId="77777777" w:rsidR="008D479B" w:rsidRDefault="008D479B" w:rsidP="008D479B">
      <w:pPr>
        <w:pStyle w:val="TextoNormal"/>
      </w:pPr>
    </w:p>
    <w:p w14:paraId="5D12B247" w14:textId="77777777" w:rsidR="008D479B" w:rsidRDefault="008D479B" w:rsidP="008D479B">
      <w:pPr>
        <w:pStyle w:val="TextoNormalCentrado"/>
        <w:keepNext/>
      </w:pPr>
      <w:r>
        <w:t>FALLO</w:t>
      </w:r>
    </w:p>
    <w:p w14:paraId="246B9BD8" w14:textId="4F467566" w:rsidR="008D479B" w:rsidRDefault="008D479B" w:rsidP="008D479B">
      <w:pPr>
        <w:pStyle w:val="TextoNormalCentrado"/>
        <w:keepNext/>
      </w:pPr>
    </w:p>
    <w:p w14:paraId="59584E57" w14:textId="77777777" w:rsidR="008D479B" w:rsidRDefault="008D479B" w:rsidP="008D479B">
      <w:pPr>
        <w:pStyle w:val="TextoNormal"/>
      </w:pPr>
      <w:r>
        <w:t>En atención a todo lo expuesto, el Tribunal Constitucional, por la autoridad que le confiere la Constitución de la Nación española, ha decidido:</w:t>
      </w:r>
    </w:p>
    <w:p w14:paraId="590DCEF3" w14:textId="77777777" w:rsidR="008D479B" w:rsidRDefault="008D479B" w:rsidP="008D479B">
      <w:pPr>
        <w:pStyle w:val="TextoNormal"/>
      </w:pPr>
    </w:p>
    <w:p w14:paraId="1F87AE8D" w14:textId="77777777" w:rsidR="008D479B" w:rsidRDefault="008D479B" w:rsidP="008D479B">
      <w:pPr>
        <w:pStyle w:val="TextoNormal"/>
      </w:pPr>
      <w:r>
        <w:t>1º Estimar la demanda presentada por Penrei Inversiones, S.L., por vulneración de su derecho fundamental a la tutela judicial efectiva sin padecer indefensión (art. 24.1 CE), con reconocimiento de tal derecho.</w:t>
      </w:r>
    </w:p>
    <w:p w14:paraId="3F6DB295" w14:textId="77777777" w:rsidR="008D479B" w:rsidRDefault="008D479B" w:rsidP="008D479B">
      <w:pPr>
        <w:pStyle w:val="TextoNormal"/>
      </w:pPr>
    </w:p>
    <w:p w14:paraId="22FE199E" w14:textId="77777777" w:rsidR="008D479B" w:rsidRDefault="008D479B" w:rsidP="008D479B">
      <w:pPr>
        <w:pStyle w:val="TextoNormal"/>
      </w:pPr>
      <w:r>
        <w:t>2º Declarar la nulidad de los autos de 14 de noviembre de 2018 y de 7 de julio de 2022, dictados por el Juzgado de Primera Instancia e Instrucción núm. 4 de Lorca en el proceso de ejecución hipotecaria núm. 355-2018, así como la nulidad de las actuaciones realizadas a partir del emplazamiento de la entidad recurrente a través de la dirección electrónica habilitada.</w:t>
      </w:r>
    </w:p>
    <w:p w14:paraId="18B56BDE" w14:textId="77777777" w:rsidR="008D479B" w:rsidRDefault="008D479B" w:rsidP="008D479B">
      <w:pPr>
        <w:pStyle w:val="TextoNormal"/>
      </w:pPr>
    </w:p>
    <w:p w14:paraId="7C3EC680" w14:textId="4D17FC94" w:rsidR="008D479B" w:rsidRDefault="008D479B" w:rsidP="008D479B">
      <w:pPr>
        <w:pStyle w:val="TextoNormal"/>
      </w:pPr>
      <w:r>
        <w:t>3º Retrotraer el procedimiento al momento inmediatamente anterior al de efectuarse el emplazamiento de la demandada, debiendo llevarse a cabo de nuevo este último por el Juzgado de Primera Instancia e Instrucción núm. 4 de Lorca de forma que resulte respetuosa con el derecho fundamental reconocido.</w:t>
      </w:r>
    </w:p>
    <w:p w14:paraId="69A3402B" w14:textId="77777777" w:rsidR="008D479B" w:rsidRDefault="008D479B" w:rsidP="008D479B">
      <w:pPr>
        <w:pStyle w:val="TextoNormal"/>
      </w:pPr>
    </w:p>
    <w:p w14:paraId="5412C70B" w14:textId="77777777" w:rsidR="008D479B" w:rsidRDefault="008D479B" w:rsidP="008D479B">
      <w:pPr>
        <w:pStyle w:val="TextoNormal"/>
      </w:pPr>
      <w:r>
        <w:t>Publíquese esta sentencia en el “Boletín Oficial del Estado”.</w:t>
      </w:r>
    </w:p>
    <w:p w14:paraId="701F37F6" w14:textId="77777777" w:rsidR="008D479B" w:rsidRDefault="008D479B" w:rsidP="008D479B">
      <w:pPr>
        <w:pStyle w:val="TextoNormal"/>
      </w:pPr>
      <w:r>
        <w:t>Dada en Madrid, a veintitrés de octubre de dos mil veintitrés.</w:t>
      </w:r>
    </w:p>
    <w:p w14:paraId="7F22B6AE" w14:textId="71C73382" w:rsidR="008D479B" w:rsidRDefault="008D479B">
      <w:pPr>
        <w:spacing w:after="160" w:line="278" w:lineRule="auto"/>
        <w:rPr>
          <w:rFonts w:ascii="Times New Roman" w:eastAsia="Times New Roman" w:hAnsi="Times New Roman" w:cs="Times New Roman"/>
          <w:sz w:val="24"/>
          <w:szCs w:val="24"/>
          <w:lang w:eastAsia="es-ES"/>
        </w:rPr>
      </w:pPr>
      <w:r>
        <w:br w:type="page"/>
      </w:r>
    </w:p>
    <w:p w14:paraId="2AAC121D" w14:textId="77777777" w:rsidR="008D479B" w:rsidRDefault="008D479B" w:rsidP="008D479B">
      <w:pPr>
        <w:pStyle w:val="TtuloResolucin"/>
      </w:pPr>
      <w:bookmarkStart w:id="64" w:name="SENTENCIA_2023_139"/>
      <w:r>
        <w:t>SENTENCIA 139/2023, de 24 de octubre de 2023</w:t>
      </w:r>
    </w:p>
    <w:bookmarkEnd w:id="64"/>
    <w:p w14:paraId="443D0C68" w14:textId="77777777" w:rsidR="008D479B" w:rsidRDefault="008D479B" w:rsidP="008D479B">
      <w:pPr>
        <w:pStyle w:val="TtuloResolucin"/>
      </w:pPr>
      <w:r>
        <w:t>Pleno</w:t>
      </w:r>
    </w:p>
    <w:p w14:paraId="62E92E09" w14:textId="77777777" w:rsidR="008D479B" w:rsidRDefault="008D479B" w:rsidP="008D479B">
      <w:pPr>
        <w:pStyle w:val="TtuloBOE"/>
      </w:pPr>
      <w:r>
        <w:t>(BOE núm. 286, de 30 de noviembre de 2023)</w:t>
      </w:r>
    </w:p>
    <w:p w14:paraId="14C4A5FB" w14:textId="77777777" w:rsidR="008D479B" w:rsidRDefault="008D479B" w:rsidP="008D479B">
      <w:pPr>
        <w:pStyle w:val="TextoNormalCentrado"/>
      </w:pPr>
      <w:r>
        <w:t>ECLI:ES:TC:2023:139</w:t>
      </w:r>
    </w:p>
    <w:p w14:paraId="3035020C" w14:textId="7C9C570E" w:rsidR="008D479B" w:rsidRDefault="008D479B" w:rsidP="008D479B">
      <w:pPr>
        <w:pStyle w:val="TextoNormalCentrado"/>
      </w:pPr>
    </w:p>
    <w:p w14:paraId="4003C92A" w14:textId="77777777" w:rsidR="008D479B" w:rsidRDefault="008D479B" w:rsidP="008D479B">
      <w:pPr>
        <w:pStyle w:val="SntesisDescriptiva"/>
      </w:pPr>
      <w:r>
        <w:t>Recurso de amparo 4881-2019. Promovido por doña María Adán de la Paz y otros en relación con las resoluciones de la presidenta y la mesa del Congreso de los Diputados que dieron por cumplimentado el requisito de promesa o juramento de acatamiento de la Constitución por todos los diputados.</w:t>
      </w:r>
    </w:p>
    <w:p w14:paraId="65B495A2" w14:textId="537B65F8" w:rsidR="008D479B" w:rsidRDefault="008D479B" w:rsidP="008D479B">
      <w:pPr>
        <w:pStyle w:val="SntesisDescriptiva"/>
      </w:pPr>
    </w:p>
    <w:p w14:paraId="2EBCFE9F" w14:textId="77777777" w:rsidR="008D479B" w:rsidRDefault="008D479B" w:rsidP="008D479B">
      <w:pPr>
        <w:pStyle w:val="SntesisAnaltica"/>
      </w:pPr>
      <w:r>
        <w:t>Supuesta vulneración del derecho de representación política: STC 65/2023 (ausencia de acreditación de la incidencia, por la aceptación de las veintinueve fórmulas de acatamiento controvertidas, en la función representativa de los parlamentarios recurrentes). Voto particular.</w:t>
      </w:r>
    </w:p>
    <w:p w14:paraId="5C2D3451" w14:textId="368BDD7E" w:rsidR="008D479B" w:rsidRDefault="008D479B" w:rsidP="008D479B">
      <w:pPr>
        <w:pStyle w:val="SntesisAnaltica"/>
      </w:pPr>
    </w:p>
    <w:p w14:paraId="5D5CF05A" w14:textId="517D9DD6" w:rsidR="008D479B" w:rsidRDefault="008D479B" w:rsidP="008D479B">
      <w:pPr>
        <w:pStyle w:val="Extracto"/>
      </w:pPr>
      <w:r>
        <w:t>1.</w:t>
      </w:r>
      <w:r>
        <w:tab/>
        <w:t>Las distintas fórmulas de acatamiento de la Constitución no afectan al núcleo esencial del derecho al ejercicio de las funciones representativas de los parlamentarios (STC 65/2023) [FJ 3].</w:t>
      </w:r>
    </w:p>
    <w:p w14:paraId="0277F771" w14:textId="77777777" w:rsidR="008D479B" w:rsidRDefault="008D479B" w:rsidP="008D479B">
      <w:pPr>
        <w:pStyle w:val="Extracto"/>
      </w:pPr>
    </w:p>
    <w:p w14:paraId="23F5E74F" w14:textId="77777777" w:rsidR="008D479B" w:rsidRDefault="008D479B" w:rsidP="008D479B">
      <w:pPr>
        <w:pStyle w:val="Extracto"/>
      </w:pPr>
    </w:p>
    <w:p w14:paraId="32D50BB5" w14:textId="77777777" w:rsidR="008D479B" w:rsidRDefault="008D479B" w:rsidP="008D479B">
      <w:pPr>
        <w:pStyle w:val="TextoNormal"/>
      </w:pPr>
      <w:r>
        <w:t>El Pleno del Tribunal Constitucional, compuesto por el magistrado don Cándido Conde-Pumpido Tourón, presidente, y las magistradas y magistrados doña Inmaculada Montalbán Huertas, don Ricardo Enríquez Sancho, don Ramón Sáez Valcárcel, don Enrique Arnaldo Alcubilla, doña Concepción Espejel Jorquera, doña María Luisa Segoviano Astaburuaga, don César Tolosa Tribiño, y doña Laura Díez Bueso, ha pronunciado</w:t>
      </w:r>
    </w:p>
    <w:p w14:paraId="393963F5" w14:textId="018051F6" w:rsidR="008D479B" w:rsidRDefault="008D479B" w:rsidP="008D479B">
      <w:pPr>
        <w:pStyle w:val="TextoNormal"/>
      </w:pPr>
    </w:p>
    <w:p w14:paraId="54B046BE" w14:textId="77777777" w:rsidR="008D479B" w:rsidRDefault="008D479B" w:rsidP="008D479B">
      <w:pPr>
        <w:pStyle w:val="TextoNormalCentrado"/>
        <w:keepNext/>
      </w:pPr>
      <w:r>
        <w:t>EN NOMBRE DEL REY</w:t>
      </w:r>
    </w:p>
    <w:p w14:paraId="22CD9590" w14:textId="43EF76E0" w:rsidR="008D479B" w:rsidRDefault="008D479B" w:rsidP="008D479B">
      <w:pPr>
        <w:pStyle w:val="TextoNormalCentrado"/>
        <w:keepNext/>
      </w:pPr>
    </w:p>
    <w:p w14:paraId="7640FDAA" w14:textId="77777777" w:rsidR="008D479B" w:rsidRDefault="008D479B" w:rsidP="008D479B">
      <w:pPr>
        <w:pStyle w:val="TextoNormalCentrado"/>
        <w:keepNext/>
      </w:pPr>
    </w:p>
    <w:p w14:paraId="6E75700D" w14:textId="77777777" w:rsidR="008D479B" w:rsidRDefault="008D479B" w:rsidP="008D479B">
      <w:pPr>
        <w:pStyle w:val="TextoNormal"/>
      </w:pPr>
      <w:r>
        <w:t>la siguiente</w:t>
      </w:r>
    </w:p>
    <w:p w14:paraId="1AB3836A" w14:textId="73C52DA8" w:rsidR="008D479B" w:rsidRDefault="008D479B" w:rsidP="008D479B">
      <w:pPr>
        <w:pStyle w:val="TextoNormal"/>
      </w:pPr>
    </w:p>
    <w:p w14:paraId="7E92D0A8" w14:textId="77777777" w:rsidR="008D479B" w:rsidRDefault="008D479B" w:rsidP="008D479B">
      <w:pPr>
        <w:pStyle w:val="TextoNormalCentrado"/>
        <w:keepNext/>
      </w:pPr>
      <w:r>
        <w:t>SENTENCIA</w:t>
      </w:r>
    </w:p>
    <w:p w14:paraId="6462BE8D" w14:textId="3B3515D1" w:rsidR="008D479B" w:rsidRDefault="008D479B" w:rsidP="008D479B">
      <w:pPr>
        <w:pStyle w:val="TextoNormalCentrado"/>
        <w:keepNext/>
      </w:pPr>
    </w:p>
    <w:p w14:paraId="468A924E" w14:textId="77777777" w:rsidR="008D479B" w:rsidRDefault="008D479B" w:rsidP="008D479B">
      <w:pPr>
        <w:pStyle w:val="TextoNormalCentrado"/>
        <w:keepNext/>
      </w:pPr>
      <w:r>
        <w:t>En el recurso de amparo 4881-2019, promovido por doña María Adán de la Paz, doña María Luisa Alonso García, doña Inés Arrimadas García, doña María Dolores Arteaga Espinosa, don Edmundo Bal Francés, don José Antonio Bartolomé Cachón, doña María José Calderón Díaz, don Eduardo Calvo García, don Pablo Emérito Cambronero Piqueras, don Francisco Javier Cano Leal, don Francisco Javier de la Torre Díaz, don Fernando Tomás de Páramo Gómez, don Marcos de Quinto Romero, don Sergio del Campo Estáun, don Guillermo Díaz Gómez, doña María Victoria Domínguez Paredes, don José María Espejo-Saavedra Conesa, don Justo Fernández González, don Francisco Javier Fernández-Bravo García, don Miguel Ángel Garaulet Rodríguez, doña Laura Sara Giménez Giménez, don Juan Carlos Girauta Vidal, don Marcial Gómez Balsera, don Rodrigo Gómez García, don Rubén Gómez González, doña Lourdes Guillén Figuerola, don Miguel Ángel Gutiérrez Vivas, don Carlos Juan Hermoso Ayuso, don Manuel Hernández Muñoz, don Roberto Hernández Blázquez, don Francisco Javier Hervías Chirosa, doña María Sandra Julià Julià, don Ignacio López-Bas Valero, doña Marta Martín Llaguno, don José Luis Martínez González, doña María del Carmen Martínez Granados, doña Soraya Mayo Alonso, doña Caridad Mejías Sánchez, don Juan Mesquida Ferrando, doña María Virginia Millán Salmerón, don José Antonio Mirón Canelo, don Joaquín Francisco Moreno Latorre, doña María Amparo Moya Sanz, doña María Muñoz Vidal, doña Aurora Nacarino-Brabo Jiménez, doña Beatriz María Pino Ocampo, don José Ignacio Prendes Prendes, don Saúl Ramírez Freire, doña Patricia Isaura Reyes Rivera, doña Irene Rivera Andrés, doña Marta María Rivera de la Cruz, don Alberto Carlos Rivera Díaz, don Enrique Víctor Rivero Ortega, doña Melisa Rodríguez Hernández, doña María de los Ángeles Rosado Peinado, don Vicente Ten Oliver y don José Manuel Villegas Pérez, contra el acuerdo de la mesa del Congreso de los Diputados de 20 de junio de 2019 por el que se desestima la solicitud de reconsideración del acuerdo de 23 de mayo de 2019, por el que se declara que no procede la revisión del acuerdo de la presidenta del Congreso de los Diputados de 21 de mayo de 2019, que tuvo por cumplimentado por todos los diputados el requisito de promesa o juramento de acatamiento de la Constitución.</w:t>
      </w:r>
    </w:p>
    <w:p w14:paraId="37694480" w14:textId="77777777" w:rsidR="008D479B" w:rsidRDefault="008D479B" w:rsidP="008D479B">
      <w:pPr>
        <w:pStyle w:val="TextoNormalCentrado"/>
        <w:keepNext/>
      </w:pPr>
    </w:p>
    <w:p w14:paraId="30638108" w14:textId="77777777" w:rsidR="008D479B" w:rsidRDefault="008D479B" w:rsidP="008D479B">
      <w:pPr>
        <w:pStyle w:val="TextoNormal"/>
      </w:pPr>
      <w:r>
        <w:t>Han comparecido el Congreso de los Diputados, doña Ana Belén Fernández Casero, doña Adriana Lastra Fernández, don Guillermo Antonio Meijón Couselo, doña Susana Ros Martínez, don Felipe Jesús Sicilia Alférez, don Rafael Simancas Simancas, don José Zaragoza Alonso, don Santiago Abascal Conde, don Jaume Asens Llodrá, doña Ione Belarra Urteaga, don Ismael Cortés Gómez, don Juan Antonio Delgado Ramos, doña Yolanda Díaz Pérez, don Pablo Echenique Robba, doña María Gloria Elizo Serrano, doña Sofía Fernández Castañón, doña Isabel Franco Carmona, doña María Freixanet Mateo, don Alejandro García Orta, doña María del Mar García Puig, doña Eva García Sempere, doña Pilar Garrido Gutiérrez, don Alberto Garzón Espinosa, don Antonio Gómez-Reino Varela, doña Miren Gorrotxategui Axurmendi, don Txema Guijarro García, don Pedro Antonio Honrubia Hurtado, don Pablo Iglesias Turrión, doña Antonia Jover Díaz, don Juan Antonio López de Uralde Garmendia, doña Roser Maestro Moliner, doña María Márquez Guerrero, don Rafael Mayoral Perales, don Joan Mena Arca, doña Irene María Montero Gil, doña Lucía Muñoz Dalda, doña María Teresa Pérez Diaz, doña Mercedes Pérez Merino, don Gerardo Pisarello Prados, doña María del Carmen Pita Cárdenes, don Alberto Rodríguez Rodríguez, doña Marisa Saavedra Muñoz, don Javier Sánchez Serna, don Enrique Fernando Santiago Romero, don Roberto Uriarte Torrealday, doña Marina Velarde Gómez, doña Noelia Vera Ruiz-Huerta, doña Aina Vidal Sáez, don Oriol Junqueras i Vies, doña Inés Granollers i Cunillera, don Francesc Xavier Eritja i Ciuró, doña Norma Pujol i Farré, doña Marta Rosique i Saltor, doña Carolina Telechea i Lozano, doña Laia Cañigueral i Olivé, don Joan Josep Nuet i Pujals, don Gerard Gómez del Moral i Fuster, don Joan Margall i Sastre, doña Montserrat Bassa i Coll, don Joan Capdevilla i Esteve, don Jordi Salvador i Duch, doña María Carvalho Dantas, don Gabriel Rufián Romero y don Sergi Miquel i Valenti. Ha intervenido el Ministerio Fiscal. Ha sido ponente la magistrada doña Laura Díez Bueso.</w:t>
      </w:r>
    </w:p>
    <w:p w14:paraId="1648E9AF" w14:textId="08473FB4" w:rsidR="008D479B" w:rsidRDefault="008D479B" w:rsidP="008D479B">
      <w:pPr>
        <w:pStyle w:val="TextoNormal"/>
      </w:pPr>
    </w:p>
    <w:p w14:paraId="420BE649" w14:textId="77777777" w:rsidR="008D479B" w:rsidRDefault="008D479B" w:rsidP="008D479B">
      <w:pPr>
        <w:pStyle w:val="TextoNormalNegritaCentrado"/>
        <w:keepNext/>
      </w:pPr>
      <w:r>
        <w:t>I. Antecedentes</w:t>
      </w:r>
    </w:p>
    <w:p w14:paraId="4ADB61C0" w14:textId="5D41D818" w:rsidR="008D479B" w:rsidRDefault="008D479B" w:rsidP="008D479B">
      <w:pPr>
        <w:pStyle w:val="TextoNormalNegritaCentrado"/>
        <w:keepNext/>
      </w:pPr>
    </w:p>
    <w:p w14:paraId="5EFE6269" w14:textId="6A4F0B84" w:rsidR="008D479B" w:rsidRDefault="008D479B" w:rsidP="008D479B">
      <w:pPr>
        <w:pStyle w:val="TextoNormal"/>
      </w:pPr>
      <w:r w:rsidRPr="008D479B">
        <w:rPr>
          <w:rStyle w:val="NumeroAFNegritaCaracter"/>
        </w:rPr>
        <w:t>1</w:t>
      </w:r>
      <w:r>
        <w:t>. Mediante escrito registrado el 31 de julio de 2019, los diputados del Grupo Parlamentario Ciudadanos citados en el encabezamiento, representados por el procurador de los tribunales don José Luis García Guardia y bajo la dirección letrada de doña Laura Sara Giménez Giménez, interpusieron recurso de amparo contra el acuerdo de la mesa del Congreso de los Diputados de 20 de junio de 2019 que desestima la solicitud de reconsideración del acuerdo de 23 de mayo de 2019, por el que se resolvió que no procede la revisión del acuerdo de la presidenta del Congreso de los Diputados de 21 de mayo de 2019 que tuvo por cumplimentado por todos los diputados el requisito de promesa o juramento de acatamiento de la Constitución.</w:t>
      </w:r>
    </w:p>
    <w:p w14:paraId="5BA93D66" w14:textId="77777777" w:rsidR="008D479B" w:rsidRDefault="008D479B" w:rsidP="008D479B">
      <w:pPr>
        <w:pStyle w:val="TextoNormal"/>
      </w:pPr>
    </w:p>
    <w:p w14:paraId="470C93D4" w14:textId="77777777" w:rsidR="008D479B" w:rsidRDefault="008D479B" w:rsidP="008D479B">
      <w:pPr>
        <w:pStyle w:val="TextoNormal"/>
      </w:pPr>
      <w:r w:rsidRPr="008D479B">
        <w:rPr>
          <w:rStyle w:val="NumeroAFNegritaCaracter"/>
        </w:rPr>
        <w:t>2</w:t>
      </w:r>
      <w:r>
        <w:t>. El recurso tiene su origen en los siguientes antecedentes:</w:t>
      </w:r>
    </w:p>
    <w:p w14:paraId="59BEA2E6" w14:textId="77777777" w:rsidR="008D479B" w:rsidRDefault="008D479B" w:rsidP="008D479B">
      <w:pPr>
        <w:pStyle w:val="TextoNormal"/>
      </w:pPr>
    </w:p>
    <w:p w14:paraId="44025B84" w14:textId="77777777" w:rsidR="008D479B" w:rsidRDefault="008D479B" w:rsidP="008D479B">
      <w:pPr>
        <w:pStyle w:val="TextoNormal"/>
      </w:pPr>
      <w:r>
        <w:t>a) El día 21 de mayo de 2019 tuvo lugar la sesión constitutiva del Congreso de los Diputados de la XIII legislatura. De acuerdo con lo previsto en el Reglamento del Congreso de los Diputados (RCD), en dicha sesión constitutiva y tras la elección de los miembros de la mesa, la presidenta del Congreso solicitó a los diputados y diputadas electos el juramento o promesa de acatar la Constitución, tal y como recogen los artículos 108.8 de la Ley Orgánica 5/1985, de 19 de junio, del régimen electoral general (LOREG), el art. 4.1 RCD y la resolución de la Presidencia de 30 de noviembre de 1989. La presidenta, tras la contestación de cada diputado y diputada a la pregunta “¿juráis o prometéis acatar la Constitución?” a través de distintas fórmulas, acordó que “[t]odas las señoras y señores diputados que han contestado al llamamiento han adquirido la condición plena de diputados y diputadas”.</w:t>
      </w:r>
    </w:p>
    <w:p w14:paraId="55B7D022" w14:textId="77777777" w:rsidR="008D479B" w:rsidRDefault="008D479B" w:rsidP="008D479B">
      <w:pPr>
        <w:pStyle w:val="TextoNormal"/>
      </w:pPr>
    </w:p>
    <w:p w14:paraId="4B0523AC" w14:textId="77777777" w:rsidR="008D479B" w:rsidRDefault="008D479B" w:rsidP="008D479B">
      <w:pPr>
        <w:pStyle w:val="TextoNormal"/>
      </w:pPr>
      <w:r>
        <w:t>Ante la intervención del diputado señor Rivera Díaz por una cuestión de orden, llamando la atención sobre la validez de algunas de las fórmulas de juramento o promesa utilizadas, la presidenta afirmó que “todas las fórmulas de acatamiento han sido respetuosas con el artículo 4 del Reglamento y con la jurisprudencia del Tribunal Constitucional (protestas), puesto que no es la primera vez que se utilizan fórmulas distintas o estrictas. Tenemos jurisprudencia del Tribunal Constitucional —concretamente, la sentencia 119/1990— y, por tanto, no se ha mermado la esencia del acatamiento (aplausos), que es el compromiso de respeto a la Constitución. Y esta Presidencia será ejercida para que en todo momento haya respeto a la Constitución, respeto a la ley y respeto al otro” (“Diario de Sesiones del Congreso de los Diputados”. Pleno y Diputación Permanente, núm. 1, de 21 de mayo de 2019).</w:t>
      </w:r>
    </w:p>
    <w:p w14:paraId="046769D1" w14:textId="77777777" w:rsidR="008D479B" w:rsidRDefault="008D479B" w:rsidP="008D479B">
      <w:pPr>
        <w:pStyle w:val="TextoNormal"/>
      </w:pPr>
    </w:p>
    <w:p w14:paraId="2AEE2C18" w14:textId="77777777" w:rsidR="008D479B" w:rsidRDefault="008D479B" w:rsidP="008D479B">
      <w:pPr>
        <w:pStyle w:val="TextoNormal"/>
      </w:pPr>
      <w:r>
        <w:t>b) El día 22 de mayo de 2019, los diputados del grupo parlamentario Ciudadanos presentaron un escrito dirigido a la mesa del Congreso de los Diputados, solicitando la revisión de todas las fórmulas utilizadas para prometer o jurar la Constitución, por entender que algunos diputados y diputadas no emitieron una respuesta clara e inequívoca a la pregunta formulada por la presidenta del Congreso de los Diputados “¿juráis o prometéis acatar la Constitución?” y que, por lo tanto, sus respuestas no podían considerarse válidas para cumplir el requisito imprescindible para la adquisición plena de la condición de diputado.</w:t>
      </w:r>
    </w:p>
    <w:p w14:paraId="3CD83FE9" w14:textId="77777777" w:rsidR="008D479B" w:rsidRDefault="008D479B" w:rsidP="008D479B">
      <w:pPr>
        <w:pStyle w:val="TextoNormal"/>
      </w:pPr>
    </w:p>
    <w:p w14:paraId="6F9500C8" w14:textId="77777777" w:rsidR="008D479B" w:rsidRDefault="008D479B" w:rsidP="008D479B">
      <w:pPr>
        <w:pStyle w:val="TextoNormal"/>
      </w:pPr>
      <w:r>
        <w:t>c) Por acuerdo de 23 de mayo de 2019 la mesa del Congreso de los Diputados comunicó que “no procede la revisión de las decisiones de la Presidencia en el ejercicio de sus funciones de dirección del Pleno y restantes atribuidas por el artículo 32 del Reglamento”.</w:t>
      </w:r>
    </w:p>
    <w:p w14:paraId="73699D50" w14:textId="77777777" w:rsidR="008D479B" w:rsidRDefault="008D479B" w:rsidP="008D479B">
      <w:pPr>
        <w:pStyle w:val="TextoNormal"/>
      </w:pPr>
    </w:p>
    <w:p w14:paraId="130EEBCF" w14:textId="58C08BFF" w:rsidR="008D479B" w:rsidRDefault="008D479B" w:rsidP="008D479B">
      <w:pPr>
        <w:pStyle w:val="TextoNormal"/>
      </w:pPr>
      <w:r>
        <w:t>d) Con fecha 4 de junio de 2019, los diputados del grupo parlamentario Ciudadanos solicitaron la reconsideración del citado acuerdo de la mesa. Esta solicitud fue desestimada por resolución de la mesa de 20 de junio de 2019. En dicho acuerdo se razona en síntesis: (i) que corresponde a la Presidencia del Congreso valorar la validez de las fórmulas de acatamiento empleadas, siendo de aplicación el principio de inmediatez a la hora de adoptar decisiones en el curso de la sesión plenaria; (ii) que no cabe la revisión de las decisiones adoptadas por la Presidencia en este ámbito, que son firmes; (iii) que con la excepción de los casos ante el Tribunal Constitucional en la IV legislatura (de los que dimanan las SSTC 119/1990, de 21 de junio, y 74/1991, de 8 de abril), nunca se ha cuestionado la validez de las fórmulas empleadas, a pesar de que existen múltiples precedentes desde la XI legislatura de juramentos o promesas por “imperativo legal” u otras fórmulas diversas, algunas de ellas coincidentes con las discutidas; y (iv) que en el acto de juramento o promesa de acatamientos a la Constitución de los diputados electos al Parlamento Europeo que tuvo lugar ante la Junta Electoral Central el 17 de junio de 2019, se emplearon fórmulas coincidentes con las impugnadas, que fueron aceptadas por el referido órgano.</w:t>
      </w:r>
    </w:p>
    <w:p w14:paraId="204A59C8" w14:textId="77777777" w:rsidR="008D479B" w:rsidRDefault="008D479B" w:rsidP="008D479B">
      <w:pPr>
        <w:pStyle w:val="TextoNormal"/>
      </w:pPr>
    </w:p>
    <w:p w14:paraId="2A2E389B" w14:textId="77777777" w:rsidR="008D479B" w:rsidRDefault="008D479B" w:rsidP="008D479B">
      <w:pPr>
        <w:pStyle w:val="TextoNormal"/>
      </w:pPr>
      <w:r w:rsidRPr="008D479B">
        <w:rPr>
          <w:rStyle w:val="NumeroAFNegritaCaracter"/>
        </w:rPr>
        <w:t>3</w:t>
      </w:r>
      <w:r>
        <w:t>. Los diputados demandantes de amparo solicitan que se estime el recurso de amparo planteado por vulneración de su derecho a la representación política (art. 23 CE), para cuyo restablecimiento estiman preciso declarar la nulidad de los acuerdos recurridos y “(r)etrotraer las actuaciones hasta el momento anterior a la manifestación por los diputados relacionados en el párrafo noveno del apartado sexto de este escrito de su sedicente acatamiento a la Constitución a los efectos de que vuelvan a tener la oportunidad de cumplir con el requisito de los artículos 4 y 20 del Reglamento del Congreso, conforme a la doctrina constitucional y los términos de este escrito. Mientras tanto, se habrá de considerar que no disfrutan en plenitud de la condición de diputados a los efectos del ejercicio de sus derechos y prerrogativas, en los términos de los artículos 4 y 20 del Reglamento de la Cámara”.</w:t>
      </w:r>
    </w:p>
    <w:p w14:paraId="53ABAECF" w14:textId="77777777" w:rsidR="008D479B" w:rsidRDefault="008D479B" w:rsidP="008D479B">
      <w:pPr>
        <w:pStyle w:val="TextoNormal"/>
      </w:pPr>
    </w:p>
    <w:p w14:paraId="006A9336" w14:textId="77777777" w:rsidR="008D479B" w:rsidRDefault="008D479B" w:rsidP="008D479B">
      <w:pPr>
        <w:pStyle w:val="TextoNormal"/>
      </w:pPr>
      <w:r>
        <w:t xml:space="preserve">Tras hacer una exposición de la jurisprudencia constitucional sobre el derecho a la representación política, alegan que los acuerdos impugnados han infringido la normativa sobre la fórmula de acatamiento de la Constitución, lesionando con ello el núcleo de ese derecho fundamental. Argumenta el recurso de amparo que los acuerdos recurridos han lesionado el </w:t>
      </w:r>
      <w:r w:rsidRPr="008D479B">
        <w:rPr>
          <w:i/>
        </w:rPr>
        <w:t>ius in officium</w:t>
      </w:r>
      <w:r>
        <w:t xml:space="preserve"> de los demandantes, considerando que dichos acuerdos impiden o coartan ilegítimamente la práctica del </w:t>
      </w:r>
      <w:r w:rsidRPr="008D479B">
        <w:rPr>
          <w:i/>
        </w:rPr>
        <w:t>ius in officium</w:t>
      </w:r>
      <w:r>
        <w:t xml:space="preserve"> de los diputados recurrentes y contrarían la naturaleza de la representación o la igualdad de los representantes, desde el momento en que los diputados han accedido al disfrute de los derechos y prerrogativas del cargo con infracción del Reglamento del Congreso de los Diputados.</w:t>
      </w:r>
    </w:p>
    <w:p w14:paraId="3633FD0F" w14:textId="77777777" w:rsidR="008D479B" w:rsidRDefault="008D479B" w:rsidP="008D479B">
      <w:pPr>
        <w:pStyle w:val="TextoNormal"/>
      </w:pPr>
    </w:p>
    <w:p w14:paraId="46CE1D48" w14:textId="77777777" w:rsidR="008D479B" w:rsidRDefault="008D479B" w:rsidP="008D479B">
      <w:pPr>
        <w:pStyle w:val="TextoNormal"/>
      </w:pPr>
      <w:r>
        <w:t>Tras efectuar una serie de consideraciones acerca de la variedad de fórmulas de acatamiento de la Constitución, la demanda señala que noventa y nueve diputados se separaron de la fórmula consignada en la resolución de la Presidencia del Congreso de 30 de noviembre de 1989. Hacen hincapié en veintiún diputados que, a juicio de los recurrentes, no solo se separaron de la fórmula prescrita sino que ni siquiera habían cumplido la exigencia de una clara manifestación de la voluntad de acatar la Constitución, en los términos flexibles que admite la doctrina constitucional. Las fórmulas controvertidas —enumeradas en el párrafo 9 del fundamento de derecho sexto del recurso de amparo, al que remite el suplico de la demanda— son las siguientes:</w:t>
      </w:r>
    </w:p>
    <w:p w14:paraId="59927751" w14:textId="77777777" w:rsidR="008D479B" w:rsidRDefault="008D479B" w:rsidP="008D479B">
      <w:pPr>
        <w:pStyle w:val="TextoNormal"/>
      </w:pPr>
    </w:p>
    <w:p w14:paraId="69046287" w14:textId="77777777" w:rsidR="008D479B" w:rsidRDefault="008D479B" w:rsidP="008D479B">
      <w:pPr>
        <w:pStyle w:val="TextoNormal"/>
      </w:pPr>
      <w:r>
        <w:t>«- Señora Bassa Coll: “Per la llibertat de les preses i exiliades polítiques, per la república catalana i per imperatiu legal, sí, prometo”;</w:t>
      </w:r>
    </w:p>
    <w:p w14:paraId="3170FDAF" w14:textId="77777777" w:rsidR="008D479B" w:rsidRDefault="008D479B" w:rsidP="008D479B">
      <w:pPr>
        <w:pStyle w:val="TextoNormal"/>
      </w:pPr>
    </w:p>
    <w:p w14:paraId="42D454DF" w14:textId="77777777" w:rsidR="008D479B" w:rsidRDefault="008D479B" w:rsidP="008D479B">
      <w:pPr>
        <w:pStyle w:val="TextoNormal"/>
      </w:pPr>
      <w:r>
        <w:t>- Señora Borrás Castanyer: “Amb lleialtat al mandat democratic del 1 d’octubre i al poble catala, per la llibertat deis presos i exiliats; per imperatiu legal, ha prometo”;</w:t>
      </w:r>
    </w:p>
    <w:p w14:paraId="40D0D93A" w14:textId="77777777" w:rsidR="008D479B" w:rsidRDefault="008D479B" w:rsidP="008D479B">
      <w:pPr>
        <w:pStyle w:val="TextoNormal"/>
      </w:pPr>
    </w:p>
    <w:p w14:paraId="1FDBB5E3" w14:textId="77777777" w:rsidR="008D479B" w:rsidRDefault="008D479B" w:rsidP="008D479B">
      <w:pPr>
        <w:pStyle w:val="TextoNormal"/>
      </w:pPr>
      <w:r>
        <w:t>- Señora Cañigueral Olivé: “Per la llibertat de les preses i exiliades polítiques, perla república catalana i per imperatiu legal, sí, prometo”;</w:t>
      </w:r>
    </w:p>
    <w:p w14:paraId="2F2D5370" w14:textId="77777777" w:rsidR="008D479B" w:rsidRDefault="008D479B" w:rsidP="008D479B">
      <w:pPr>
        <w:pStyle w:val="TextoNormal"/>
      </w:pPr>
    </w:p>
    <w:p w14:paraId="463BCF55" w14:textId="77777777" w:rsidR="008D479B" w:rsidRDefault="008D479B" w:rsidP="008D479B">
      <w:pPr>
        <w:pStyle w:val="TextoNormal"/>
      </w:pPr>
      <w:r>
        <w:t>- Señor Capdevilla i Esteve: “Per la república catalana, pels preses i pels exiliades, per imperatiu legal, juro”;</w:t>
      </w:r>
    </w:p>
    <w:p w14:paraId="7B24C4AC" w14:textId="77777777" w:rsidR="008D479B" w:rsidRDefault="008D479B" w:rsidP="008D479B">
      <w:pPr>
        <w:pStyle w:val="TextoNormal"/>
      </w:pPr>
    </w:p>
    <w:p w14:paraId="32513A4D" w14:textId="77777777" w:rsidR="008D479B" w:rsidRDefault="008D479B" w:rsidP="008D479B">
      <w:pPr>
        <w:pStyle w:val="TextoNormal"/>
      </w:pPr>
      <w:r>
        <w:t>- Señora Carvalho Dantas: “Contra el racismo, por el ‘no pasarán’, por la libertad de las presas y las exiliadas catalanas, por la república catalana y por imperativo legal, sí, prometo. No pasarán”;</w:t>
      </w:r>
    </w:p>
    <w:p w14:paraId="4D6FEAFB" w14:textId="77777777" w:rsidR="008D479B" w:rsidRDefault="008D479B" w:rsidP="008D479B">
      <w:pPr>
        <w:pStyle w:val="TextoNormal"/>
      </w:pPr>
    </w:p>
    <w:p w14:paraId="23CE17D7" w14:textId="77777777" w:rsidR="008D479B" w:rsidRDefault="008D479B" w:rsidP="008D479B">
      <w:pPr>
        <w:pStyle w:val="TextoNormal"/>
      </w:pPr>
      <w:r>
        <w:t>- Señor Eritja Ciuró: “Perla llibertat de les preses i exiliades polítiques per la república catalana i per imperatiu legal, sí, prometo”;</w:t>
      </w:r>
    </w:p>
    <w:p w14:paraId="14E4B3FD" w14:textId="77777777" w:rsidR="008D479B" w:rsidRDefault="008D479B" w:rsidP="008D479B">
      <w:pPr>
        <w:pStyle w:val="TextoNormal"/>
      </w:pPr>
    </w:p>
    <w:p w14:paraId="4FC01664" w14:textId="77777777" w:rsidR="008D479B" w:rsidRDefault="008D479B" w:rsidP="008D479B">
      <w:pPr>
        <w:pStyle w:val="TextoNormal"/>
      </w:pPr>
      <w:r>
        <w:t>- Señor Gómez del Moral Ruster: “Per la llibertat d’expressió, per la llibertat de les preses polítiques i perla república catalana, per imperatiu legal, sí, prometo”;</w:t>
      </w:r>
    </w:p>
    <w:p w14:paraId="6E4E03EE" w14:textId="77777777" w:rsidR="008D479B" w:rsidRDefault="008D479B" w:rsidP="008D479B">
      <w:pPr>
        <w:pStyle w:val="TextoNormal"/>
      </w:pPr>
    </w:p>
    <w:p w14:paraId="5D6E9244" w14:textId="77777777" w:rsidR="008D479B" w:rsidRDefault="008D479B" w:rsidP="008D479B">
      <w:pPr>
        <w:pStyle w:val="TextoNormal"/>
      </w:pPr>
      <w:r>
        <w:t>- Señora Granollers Cunillera: “Per la llibertat ... de les exiliats i preses polítiques, perla república catalana, per imperatiu legal, sí, prometo”;</w:t>
      </w:r>
    </w:p>
    <w:p w14:paraId="4CD884AA" w14:textId="77777777" w:rsidR="008D479B" w:rsidRDefault="008D479B" w:rsidP="008D479B">
      <w:pPr>
        <w:pStyle w:val="TextoNormal"/>
      </w:pPr>
    </w:p>
    <w:p w14:paraId="52E4151E" w14:textId="77777777" w:rsidR="008D479B" w:rsidRDefault="008D479B" w:rsidP="008D479B">
      <w:pPr>
        <w:pStyle w:val="TextoNormal"/>
      </w:pPr>
      <w:r>
        <w:t>- Señor Junqueras Vies: “Desde el compromiso republicano, como preso político y por imperativo legal, sí, prometo”;</w:t>
      </w:r>
    </w:p>
    <w:p w14:paraId="272CD88F" w14:textId="77777777" w:rsidR="008D479B" w:rsidRDefault="008D479B" w:rsidP="008D479B">
      <w:pPr>
        <w:pStyle w:val="TextoNormal"/>
      </w:pPr>
    </w:p>
    <w:p w14:paraId="0CAA495E" w14:textId="77777777" w:rsidR="008D479B" w:rsidRDefault="008D479B" w:rsidP="008D479B">
      <w:pPr>
        <w:pStyle w:val="TextoNormal"/>
      </w:pPr>
      <w:r>
        <w:t>- Señor Margall Sastre: “Perla llibertat deis presos ... sí, prometo”;</w:t>
      </w:r>
    </w:p>
    <w:p w14:paraId="0D09506A" w14:textId="77777777" w:rsidR="008D479B" w:rsidRDefault="008D479B" w:rsidP="008D479B">
      <w:pPr>
        <w:pStyle w:val="TextoNormal"/>
      </w:pPr>
    </w:p>
    <w:p w14:paraId="7FD03DAE" w14:textId="77777777" w:rsidR="008D479B" w:rsidRDefault="008D479B" w:rsidP="008D479B">
      <w:pPr>
        <w:pStyle w:val="TextoNormal"/>
      </w:pPr>
      <w:r>
        <w:t>- Señor Miguel i Valentí: “Lieialtat al mandat democratic de 1’1 d’octubre i al poble cata la ... Sí, prometo”;</w:t>
      </w:r>
    </w:p>
    <w:p w14:paraId="5F1406FA" w14:textId="77777777" w:rsidR="008D479B" w:rsidRDefault="008D479B" w:rsidP="008D479B">
      <w:pPr>
        <w:pStyle w:val="TextoNormal"/>
      </w:pPr>
    </w:p>
    <w:p w14:paraId="61CF38E3" w14:textId="77777777" w:rsidR="008D479B" w:rsidRDefault="008D479B" w:rsidP="008D479B">
      <w:pPr>
        <w:pStyle w:val="TextoNormal"/>
      </w:pPr>
      <w:r>
        <w:t>- Señora Nogueras i Camero: “Per la llibertat deis presos polítics ... per imperatiu legal, sí, prometo”;</w:t>
      </w:r>
    </w:p>
    <w:p w14:paraId="01E44B94" w14:textId="77777777" w:rsidR="008D479B" w:rsidRDefault="008D479B" w:rsidP="008D479B">
      <w:pPr>
        <w:pStyle w:val="TextoNormal"/>
      </w:pPr>
    </w:p>
    <w:p w14:paraId="4F0509AE" w14:textId="77777777" w:rsidR="008D479B" w:rsidRDefault="008D479B" w:rsidP="008D479B">
      <w:pPr>
        <w:pStyle w:val="TextoNormal"/>
      </w:pPr>
      <w:r>
        <w:t>- Señor Nuet Pujals: “Por la libertad de las presas políticas y exiliadas, por la república, sí, prometo”;</w:t>
      </w:r>
    </w:p>
    <w:p w14:paraId="3C134AB3" w14:textId="77777777" w:rsidR="008D479B" w:rsidRDefault="008D479B" w:rsidP="008D479B">
      <w:pPr>
        <w:pStyle w:val="TextoNormal"/>
      </w:pPr>
    </w:p>
    <w:p w14:paraId="7CDAD5D0" w14:textId="77777777" w:rsidR="008D479B" w:rsidRDefault="008D479B" w:rsidP="008D479B">
      <w:pPr>
        <w:pStyle w:val="TextoNormal"/>
      </w:pPr>
      <w:r>
        <w:t>- Señora Pujol i Farré: “Per la llibertat de les preses polítiques i exiliades, perla república catalana, per imperatiu legal, sí, prometo”;</w:t>
      </w:r>
    </w:p>
    <w:p w14:paraId="0C5EF94C" w14:textId="77777777" w:rsidR="008D479B" w:rsidRDefault="008D479B" w:rsidP="008D479B">
      <w:pPr>
        <w:pStyle w:val="TextoNormal"/>
      </w:pPr>
    </w:p>
    <w:p w14:paraId="4195B0E5" w14:textId="77777777" w:rsidR="008D479B" w:rsidRDefault="008D479B" w:rsidP="008D479B">
      <w:pPr>
        <w:pStyle w:val="TextoNormal"/>
      </w:pPr>
      <w:r>
        <w:t>- Señora Rosique i Saltar: “Per la república de les països catalans, per la llibertat de les preses i exiliades polítiques, per imperatiu legal, sí, prometo”;</w:t>
      </w:r>
    </w:p>
    <w:p w14:paraId="4C8E3923" w14:textId="77777777" w:rsidR="008D479B" w:rsidRDefault="008D479B" w:rsidP="008D479B">
      <w:pPr>
        <w:pStyle w:val="TextoNormal"/>
      </w:pPr>
    </w:p>
    <w:p w14:paraId="18F66B5D" w14:textId="77777777" w:rsidR="008D479B" w:rsidRDefault="008D479B" w:rsidP="008D479B">
      <w:pPr>
        <w:pStyle w:val="TextoNormal"/>
      </w:pPr>
      <w:r>
        <w:t>- Señor Rufian Romero: “Por la libertad de los presos y exiliados políticos, por la república catalana, sí, prometo”;</w:t>
      </w:r>
    </w:p>
    <w:p w14:paraId="47A7E563" w14:textId="77777777" w:rsidR="008D479B" w:rsidRDefault="008D479B" w:rsidP="008D479B">
      <w:pPr>
        <w:pStyle w:val="TextoNormal"/>
      </w:pPr>
    </w:p>
    <w:p w14:paraId="1FC7EB27" w14:textId="77777777" w:rsidR="008D479B" w:rsidRDefault="008D479B" w:rsidP="008D479B">
      <w:pPr>
        <w:pStyle w:val="TextoNormal"/>
      </w:pPr>
      <w:r>
        <w:t>- Señor Rull Andreu: “Coma pres polític i amb lleialtat al mandat pacífic i democrátic de 1’1 d’octubre i al poble de Catalunya, per imperatiu legal, sí, prometo”;</w:t>
      </w:r>
    </w:p>
    <w:p w14:paraId="13A705DB" w14:textId="77777777" w:rsidR="008D479B" w:rsidRDefault="008D479B" w:rsidP="008D479B">
      <w:pPr>
        <w:pStyle w:val="TextoNormal"/>
      </w:pPr>
    </w:p>
    <w:p w14:paraId="7422BC8B" w14:textId="77777777" w:rsidR="008D479B" w:rsidRDefault="008D479B" w:rsidP="008D479B">
      <w:pPr>
        <w:pStyle w:val="TextoNormal"/>
      </w:pPr>
      <w:r>
        <w:t>- Señor Salvador i Duch: “Perla llibertat de les presos i exiliats polítics i fins la proclamació de la república catalana, sí, prometo”;</w:t>
      </w:r>
    </w:p>
    <w:p w14:paraId="109A0BC8" w14:textId="77777777" w:rsidR="008D479B" w:rsidRDefault="008D479B" w:rsidP="008D479B">
      <w:pPr>
        <w:pStyle w:val="TextoNormal"/>
      </w:pPr>
    </w:p>
    <w:p w14:paraId="45601DB7" w14:textId="77777777" w:rsidR="008D479B" w:rsidRDefault="008D479B" w:rsidP="008D479B">
      <w:pPr>
        <w:pStyle w:val="TextoNormal"/>
      </w:pPr>
      <w:r>
        <w:t>- Señor Sánchez Picanyol: “Des del compromís demandat i amb la lleialtat al mandat de 1’1 d’octubre, coma pres polític, sí prometo”;</w:t>
      </w:r>
    </w:p>
    <w:p w14:paraId="05010E4A" w14:textId="77777777" w:rsidR="008D479B" w:rsidRDefault="008D479B" w:rsidP="008D479B">
      <w:pPr>
        <w:pStyle w:val="TextoNormal"/>
      </w:pPr>
    </w:p>
    <w:p w14:paraId="762F34DF" w14:textId="77777777" w:rsidR="008D479B" w:rsidRDefault="008D479B" w:rsidP="008D479B">
      <w:pPr>
        <w:pStyle w:val="TextoNormal"/>
      </w:pPr>
      <w:r>
        <w:t>- Señora Telechea i Lozano: “Per la llibertat de les preses exiliades polítiques i fins la república catalans, sí, prometo”;</w:t>
      </w:r>
    </w:p>
    <w:p w14:paraId="50BD71EA" w14:textId="77777777" w:rsidR="008D479B" w:rsidRDefault="008D479B" w:rsidP="008D479B">
      <w:pPr>
        <w:pStyle w:val="TextoNormal"/>
      </w:pPr>
    </w:p>
    <w:p w14:paraId="29A9E3ED" w14:textId="77777777" w:rsidR="008D479B" w:rsidRDefault="008D479B" w:rsidP="008D479B">
      <w:pPr>
        <w:pStyle w:val="TextoNormal"/>
      </w:pPr>
      <w:r>
        <w:t>- Señor Turull Negre: “Com a pres polític amb lleialtat al mandat pacífic i democratic de 1’1 d’octubre i al poble de Catalunya, per imperatiu legal, prometo”».</w:t>
      </w:r>
    </w:p>
    <w:p w14:paraId="27DE8021" w14:textId="77777777" w:rsidR="008D479B" w:rsidRDefault="008D479B" w:rsidP="008D479B">
      <w:pPr>
        <w:pStyle w:val="TextoNormal"/>
      </w:pPr>
    </w:p>
    <w:p w14:paraId="63D86907" w14:textId="77777777" w:rsidR="008D479B" w:rsidRDefault="008D479B" w:rsidP="008D479B">
      <w:pPr>
        <w:pStyle w:val="TextoNormal"/>
      </w:pPr>
      <w:r>
        <w:t xml:space="preserve">Los demandantes de amparo consideran que los acuerdos que dieron por válidas las formas de acatamiento que acaban de transcribirse han incumplido los artículos 4 y 20 RCD. En consecuencia, afirma la demanda que los acuerdos recurridos “impiden o coartan ilegítimamente la práctica del </w:t>
      </w:r>
      <w:r w:rsidRPr="008D479B">
        <w:rPr>
          <w:i/>
        </w:rPr>
        <w:t>ius in officium</w:t>
      </w:r>
      <w:r>
        <w:t xml:space="preserve"> de los diputados recurrentes y, además, contrarían la naturaleza de la representación o la igualdad de los representantes, desde el momento en que, por un lado, (i) impiden o coartan ilegítimamente las facultades de la representación de los diputados recurrentes porque los diputados incumplidores del Reglamento se podrían integrar en mayorías que frustrarían el éxito de sus iniciativas; y (ii) porque, al igualar los diputados que han accedido legalmente con los que lo han hecho de manera ilegal, iguala, también, la representación, lo que le afecta a su naturaleza jurídico-constitucional; no cabe la representación en contra de la Ley; o es dentro de la Ley o no es representación. En última instancia, consagraría una representación en contra de la Ley que no está contemplada en la Constitución (art. 23.2). Además, ha habilitado a ciertos diputados un ámbito de acción política y de actuación ante la Cámara, sin posibilidad de réplica o debate por los demás, en detrimento de los diputados que se limitaron a cumplir escrupulosamente con lo establecido en el Reglamento y en la Resolución de la Presidencia del Congreso, de 30 de noviembre de 1989. Esta posibilidad lesiona el derecho a la representación de los ciudadanos, tanto como el derecho de los representantes a que las funciones habilitadas por el Reglamento se ejerzan conforme a la Ley y que solo, también, conforme a la Ley, se vean impedidas mediante el ejercicio de las facultades y las mayorías contempladas en los Reglamentos”.</w:t>
      </w:r>
    </w:p>
    <w:p w14:paraId="00D83EFC" w14:textId="77777777" w:rsidR="008D479B" w:rsidRDefault="008D479B" w:rsidP="008D479B">
      <w:pPr>
        <w:pStyle w:val="TextoNormal"/>
      </w:pPr>
    </w:p>
    <w:p w14:paraId="76CA2904" w14:textId="2F52701A" w:rsidR="008D479B" w:rsidRDefault="008D479B" w:rsidP="008D479B">
      <w:pPr>
        <w:pStyle w:val="TextoNormal"/>
      </w:pPr>
      <w:r>
        <w:t>Entienden los demandantes de amparo que su recurso goza de especial trascendencia constitucional porque el asunto trasciende el caso concreto y podría tener consecuencias políticas generales, en cuanto que la estimación del recurso implicaría que numerosos diputados no han tomado posesión conforme al reglamento de la Cámara. Aluden también a la especial naturaleza del recurso de amparo parlamentario. Y, en fin, añaden que el recurso daría ocasión al Tribunal Constitucional para aclarar su doctrina en relación con la constitucionalidad del uso de diversas fórmulas de acatamiento.</w:t>
      </w:r>
    </w:p>
    <w:p w14:paraId="7C95C75E" w14:textId="77777777" w:rsidR="008D479B" w:rsidRDefault="008D479B" w:rsidP="008D479B">
      <w:pPr>
        <w:pStyle w:val="TextoNormal"/>
      </w:pPr>
    </w:p>
    <w:p w14:paraId="170E969A" w14:textId="77777777" w:rsidR="008D479B" w:rsidRDefault="008D479B" w:rsidP="008D479B">
      <w:pPr>
        <w:pStyle w:val="TextoNormal"/>
      </w:pPr>
      <w:r w:rsidRPr="008D479B">
        <w:rPr>
          <w:rStyle w:val="NumeroAFNegritaCaracter"/>
        </w:rPr>
        <w:t>4</w:t>
      </w:r>
      <w:r>
        <w:t>. Mediante providencia de 9 de septiembre de 2020, el Pleno acordó recabar para sí el conocimiento del recurso de amparo. En la misma resolución se acordó su admisión a trámite, apreciando que concurre en el mismo una especial trascendencia constitucional [art. 50.1 de la Ley Orgánica del Tribunal Constitucional (LOTC)] porque el recurso puede dar ocasión al Tribunal para aclarar o cambiar su doctrina, como consecuencia del surgimiento de nuevas realidades sociales [STC 155/2009, de 25 de junio, FJ 2 b)] y porque el asunto suscitado trasciende del caso concreto porque pudiera tener unas consecuencias políticas generales [STC 155/2009, FJ 2 g)].</w:t>
      </w:r>
    </w:p>
    <w:p w14:paraId="11D4DB05" w14:textId="77777777" w:rsidR="008D479B" w:rsidRDefault="008D479B" w:rsidP="008D479B">
      <w:pPr>
        <w:pStyle w:val="TextoNormal"/>
      </w:pPr>
    </w:p>
    <w:p w14:paraId="55D0E16D" w14:textId="09245830" w:rsidR="008D479B" w:rsidRDefault="008D479B" w:rsidP="008D479B">
      <w:pPr>
        <w:pStyle w:val="TextoNormal"/>
      </w:pPr>
      <w:r>
        <w:t>Asimismo, convino dirigir atenta comunicación al Congreso de los Diputados, a fin de que, en plazo que no excediera de los diez días, remitiera certificación o fotocopia adverada de las actuaciones correspondientes a la adopción de las resoluciones impugnadas. Adicionalmente, instó a la Cámara a emplazar a quienes hubieran sido parte en el procedimiento, excepto la parte recurrente en amparo, para que, en el plazo de diez días, pudieran comparecer en el recurso de amparo.</w:t>
      </w:r>
    </w:p>
    <w:p w14:paraId="0D4A6B22" w14:textId="77777777" w:rsidR="008D479B" w:rsidRDefault="008D479B" w:rsidP="008D479B">
      <w:pPr>
        <w:pStyle w:val="TextoNormal"/>
      </w:pPr>
    </w:p>
    <w:p w14:paraId="7819D238" w14:textId="77777777" w:rsidR="008D479B" w:rsidRDefault="008D479B" w:rsidP="008D479B">
      <w:pPr>
        <w:pStyle w:val="TextoNormal"/>
      </w:pPr>
      <w:r w:rsidRPr="008D479B">
        <w:rPr>
          <w:rStyle w:val="NumeroAFNegritaCaracter"/>
        </w:rPr>
        <w:t>5</w:t>
      </w:r>
      <w:r>
        <w:t>. La Secretaría de Justicia del Pleno, por diligencia de ordenación de 24 de noviembre de 2020, tuvo por recibido testimonio de las actuaciones y por personados:</w:t>
      </w:r>
    </w:p>
    <w:p w14:paraId="25D8E798" w14:textId="77777777" w:rsidR="008D479B" w:rsidRDefault="008D479B" w:rsidP="008D479B">
      <w:pPr>
        <w:pStyle w:val="TextoNormal"/>
      </w:pPr>
    </w:p>
    <w:p w14:paraId="4D7AD7AA" w14:textId="77777777" w:rsidR="008D479B" w:rsidRDefault="008D479B" w:rsidP="008D479B">
      <w:pPr>
        <w:pStyle w:val="TextoNormal"/>
      </w:pPr>
      <w:r>
        <w:t>(i) Al Congreso de los Diputados, que presentó escrito en ese sentido el 18 de septiembre de 2020.</w:t>
      </w:r>
    </w:p>
    <w:p w14:paraId="18812A65" w14:textId="77777777" w:rsidR="008D479B" w:rsidRDefault="008D479B" w:rsidP="008D479B">
      <w:pPr>
        <w:pStyle w:val="TextoNormal"/>
      </w:pPr>
    </w:p>
    <w:p w14:paraId="69D1A762" w14:textId="77777777" w:rsidR="008D479B" w:rsidRDefault="008D479B" w:rsidP="008D479B">
      <w:pPr>
        <w:pStyle w:val="TextoNormal"/>
      </w:pPr>
      <w:r>
        <w:t>(ii) A la procuradora de los tribunales doña Virginia Aragón Segura, que presentó escrito de personación el 30 de septiembre de 2020, en nombre y representación de doña Ana Belén Fernández Casero, doña Adriana Lastra Fernández, don Guillermo Antonio Meijón Couselo, doña Susana Ros Martínez, don Felipe Jesús Sicilia Alférez, don Rafael Simancas Simancas y don José Zaragoza Alonso.</w:t>
      </w:r>
    </w:p>
    <w:p w14:paraId="0477E0E7" w14:textId="77777777" w:rsidR="008D479B" w:rsidRDefault="008D479B" w:rsidP="008D479B">
      <w:pPr>
        <w:pStyle w:val="TextoNormal"/>
      </w:pPr>
    </w:p>
    <w:p w14:paraId="70809F29" w14:textId="77777777" w:rsidR="008D479B" w:rsidRDefault="008D479B" w:rsidP="008D479B">
      <w:pPr>
        <w:pStyle w:val="TextoNormal"/>
      </w:pPr>
      <w:r>
        <w:t>(iii) Al procurador de los tribunales don Antonio Ortega Fuentes, que presentó escrito de personación el 2 de octubre de 2020, en nombre y representación de don Santiago Abascal Conde.</w:t>
      </w:r>
    </w:p>
    <w:p w14:paraId="3313E224" w14:textId="77777777" w:rsidR="008D479B" w:rsidRDefault="008D479B" w:rsidP="008D479B">
      <w:pPr>
        <w:pStyle w:val="TextoNormal"/>
      </w:pPr>
    </w:p>
    <w:p w14:paraId="5C37DFA0" w14:textId="77777777" w:rsidR="008D479B" w:rsidRDefault="008D479B" w:rsidP="008D479B">
      <w:pPr>
        <w:pStyle w:val="TextoNormal"/>
      </w:pPr>
      <w:r>
        <w:t>(iv) Al procurador de los tribunales don José Miguel Martínez-Fresneda Gambra, que presentó escrito de personación el 2 de octubre de 2020, en nombre y representación de don Jaume Asens Llodrá, doña Ione Belarra Urteaga, don Ismael Cortés Gómez, don Juan Antonio Delgado Ramos, doña Yolanda Díaz Pérez, don Pablo Echenique Robba, doña María Gloria Elizo Serrano, doña Sofía Fernández Castañón, doña Isabel Franco Carmona, doña María Freixanet Mateo, don Alejandro García Orta, doña María del Mar García Puig, doña Eva García Sempere, doña Pilar Garrido Gutiérrez, don Alberto Garzón Espinosa, don Antonio Gómez-Reino Varela, doña Miren Gorrotxategui Axurmendi, don Txema Guijarro García, don Pedro Antonio Honrubia Hurtado, don Pablo Iglesias Turrión, doña Antonia Jover Díaz, don Juan Antonio López de Uralde Garmendia, doña Roser Maestro Moliner, doña María Márquez Guerrero, don Rafael Mayoral Perales, don Joan Mena Arca, doña Irene María Montero Gil, doña Lucía Muñoz Dalda, doña María Teresa Pérez Diaz, doña Mercedes Pérez Merino, don Gerardo Pisarello Prados, doña María del Carmen Pita Cárdenes, don Alberto Rodríguez Rodríguez, doña Marisa Saavedra Muñoz, don Javier Sánchez Serna, don Enrique Fernando Santiago Romero, don Roberto Uriarte Torrealday, doña Marina Velarde Gómez, doña Noelia Vera Ruiz-Huerta y doña Aina Vidal Sáez.</w:t>
      </w:r>
    </w:p>
    <w:p w14:paraId="796AFC1F" w14:textId="77777777" w:rsidR="008D479B" w:rsidRDefault="008D479B" w:rsidP="008D479B">
      <w:pPr>
        <w:pStyle w:val="TextoNormal"/>
      </w:pPr>
    </w:p>
    <w:p w14:paraId="6AD1D0B8" w14:textId="77777777" w:rsidR="008D479B" w:rsidRDefault="008D479B" w:rsidP="008D479B">
      <w:pPr>
        <w:pStyle w:val="TextoNormal"/>
      </w:pPr>
      <w:r>
        <w:t>(v) Al procurador de los tribunales don Emilio Martínez Benítez, que presentó escrito de personación el 6 de octubre de 2020, en nombre y representación de don Oriol Junqueras i Vies, doña Inés Granollers i Cunillera, don Francesc Xavier Eritja i Ciuró, doña Norma Pujol i Farré, doña Marta Rosique i Saltor, doña Carolina Telechea i Lozano, doña Laia Cañigueral i Olivé, don Joan Josep Nuet i Pujals, don Gerard Gómez del Moral i Fuster, don Joan Margall i Sastre y doña Montserrat Bassa i Coll.</w:t>
      </w:r>
    </w:p>
    <w:p w14:paraId="73D07658" w14:textId="77777777" w:rsidR="008D479B" w:rsidRDefault="008D479B" w:rsidP="008D479B">
      <w:pPr>
        <w:pStyle w:val="TextoNormal"/>
      </w:pPr>
    </w:p>
    <w:p w14:paraId="4B128D52" w14:textId="77777777" w:rsidR="008D479B" w:rsidRDefault="008D479B" w:rsidP="008D479B">
      <w:pPr>
        <w:pStyle w:val="TextoNormal"/>
      </w:pPr>
      <w:r>
        <w:t>(vi) Al procurador de los tribunales don Emilio Martínez Benítez, que presentó escrito de personación el 8 de octubre de 2020, en nombre y representación de don Joan Capdevila i Esteve, don Jordi Salvador i Duch y doña María Carvalho Dantas.</w:t>
      </w:r>
    </w:p>
    <w:p w14:paraId="058F9940" w14:textId="77777777" w:rsidR="008D479B" w:rsidRDefault="008D479B" w:rsidP="008D479B">
      <w:pPr>
        <w:pStyle w:val="TextoNormal"/>
      </w:pPr>
    </w:p>
    <w:p w14:paraId="2B68AD50" w14:textId="77777777" w:rsidR="008D479B" w:rsidRDefault="008D479B" w:rsidP="008D479B">
      <w:pPr>
        <w:pStyle w:val="TextoNormal"/>
      </w:pPr>
      <w:r>
        <w:t>(vii) Al procurador de los tribunales don Emilio Martínez Benítez, que presentó escrito de personación el 15 de octubre de 2020, en nombre y representación de don Gabriel Rufián Romero.</w:t>
      </w:r>
    </w:p>
    <w:p w14:paraId="10893D9F" w14:textId="77777777" w:rsidR="008D479B" w:rsidRDefault="008D479B" w:rsidP="008D479B">
      <w:pPr>
        <w:pStyle w:val="TextoNormal"/>
      </w:pPr>
    </w:p>
    <w:p w14:paraId="4DC46F90" w14:textId="36B5A8BC" w:rsidR="008D479B" w:rsidRDefault="008D479B" w:rsidP="008D479B">
      <w:pPr>
        <w:pStyle w:val="TextoNormal"/>
      </w:pPr>
      <w:r>
        <w:t>En la misma diligencia de ordenación se acordó, en aplicación de lo dispuesto en el artículo 52 LOTC, dar traslado para alegaciones a las partes personadas y al Ministerio Fiscal, por un plazo común de veinte días.</w:t>
      </w:r>
    </w:p>
    <w:p w14:paraId="787DB248" w14:textId="77777777" w:rsidR="008D479B" w:rsidRDefault="008D479B" w:rsidP="008D479B">
      <w:pPr>
        <w:pStyle w:val="TextoNormal"/>
      </w:pPr>
    </w:p>
    <w:p w14:paraId="1CD7CA66" w14:textId="77777777" w:rsidR="008D479B" w:rsidRDefault="008D479B" w:rsidP="008D479B">
      <w:pPr>
        <w:pStyle w:val="TextoNormal"/>
      </w:pPr>
      <w:r w:rsidRPr="008D479B">
        <w:rPr>
          <w:rStyle w:val="NumeroAFNegritaCaracter"/>
        </w:rPr>
        <w:t>6</w:t>
      </w:r>
      <w:r>
        <w:t>. Mediante escrito presentado el 28 de diciembre de 2020, el Congreso de los Diputados presentó sus alegaciones solicitando la desestimación del recurso de amparo. Las alegaciones de la Cámara coinciden, sustancialmente, con las presentadas en el recurso de amparo núm. 4577-2019, resuelto por la STC 65/2023, de 6 de junio (“BOE” núm. 167, de 14 de julio de 2023).</w:t>
      </w:r>
    </w:p>
    <w:p w14:paraId="46D05E40" w14:textId="77777777" w:rsidR="008D479B" w:rsidRDefault="008D479B" w:rsidP="008D479B">
      <w:pPr>
        <w:pStyle w:val="TextoNormal"/>
      </w:pPr>
    </w:p>
    <w:p w14:paraId="59A0CC25" w14:textId="77777777" w:rsidR="008D479B" w:rsidRDefault="008D479B" w:rsidP="008D479B">
      <w:pPr>
        <w:pStyle w:val="TextoNormal"/>
      </w:pPr>
      <w:r>
        <w:t>El Congreso de los Diputados argumenta:</w:t>
      </w:r>
    </w:p>
    <w:p w14:paraId="7760E4A6" w14:textId="77777777" w:rsidR="008D479B" w:rsidRDefault="008D479B" w:rsidP="008D479B">
      <w:pPr>
        <w:pStyle w:val="TextoNormal"/>
      </w:pPr>
    </w:p>
    <w:p w14:paraId="3E6790A6" w14:textId="77777777" w:rsidR="008D479B" w:rsidRDefault="008D479B" w:rsidP="008D479B">
      <w:pPr>
        <w:pStyle w:val="TextoNormal"/>
      </w:pPr>
      <w:r>
        <w:t>(i) Que los demandantes carecen de legitimación para la interposición del recurso de amparo, ya que los actos impugnados no afectan de forma directa a la esfera de sus intereses o derechos, pues no existe un derecho fundamental a que el resto de los diputados presten su acatamiento en una forma o con unas palabras determinadas, y que la circunstancia de que un diputado acate o no, en nada repercute en la esfera de intereses de los demás diputados. El recurso de amparo es un instrumento para reparar la lesión de derechos en la propia esfera personal, siendo un presupuesto que tal esfera personal quede afectada, lo que no sucede en este caso.</w:t>
      </w:r>
    </w:p>
    <w:p w14:paraId="780867D5" w14:textId="77777777" w:rsidR="008D479B" w:rsidRDefault="008D479B" w:rsidP="008D479B">
      <w:pPr>
        <w:pStyle w:val="TextoNormal"/>
      </w:pPr>
    </w:p>
    <w:p w14:paraId="016FDA42" w14:textId="77777777" w:rsidR="008D479B" w:rsidRDefault="008D479B" w:rsidP="008D479B">
      <w:pPr>
        <w:pStyle w:val="TextoNormal"/>
      </w:pPr>
      <w:r>
        <w:t>(ii) La demanda parece plantear que la fórmula del juramento, tal y como se define reglamentariamente, es recurrible en sí, ya que permite la existencia de adiciones o matizaciones que la convierten en una fórmula inconstitucional. Pero este planteamiento puede entenderse como una impugnación de una norma con rango de ley (el art. 20.1.3 RCD), y no como una contestación al acuerdo de la Presidencia y, por tanto, no sería objeto idóneo del presente recurso de amparo, sino de un eventual recurso de inconstitucionalidad.</w:t>
      </w:r>
    </w:p>
    <w:p w14:paraId="27D49511" w14:textId="77777777" w:rsidR="008D479B" w:rsidRDefault="008D479B" w:rsidP="008D479B">
      <w:pPr>
        <w:pStyle w:val="TextoNormal"/>
      </w:pPr>
    </w:p>
    <w:p w14:paraId="609528B4" w14:textId="77777777" w:rsidR="008D479B" w:rsidRDefault="008D479B" w:rsidP="008D479B">
      <w:pPr>
        <w:pStyle w:val="TextoNormal"/>
      </w:pPr>
      <w:r>
        <w:t>(iii) No se ha producido un adecuado agotamiento de la vía previa, porque los acuerdos de la Presidencia del Congreso en materia de acatamiento no son actos de trámite (STC 119/1990) sino que se trata de actos firmes por lo que no hay un recurso interno ante la mesa de la Cámara, que carece de competencia para revisar estas decisiones presidenciales. En consecuencia, el objeto de este recurso sería solo el acuerdo de la presidenta de 21 de mayo de 2019 y no los acuerdos de la mesa de 23 de mayo de 2019 y de 20 de junio de 2019.</w:t>
      </w:r>
    </w:p>
    <w:p w14:paraId="30B41361" w14:textId="77777777" w:rsidR="008D479B" w:rsidRDefault="008D479B" w:rsidP="008D479B">
      <w:pPr>
        <w:pStyle w:val="TextoNormal"/>
      </w:pPr>
    </w:p>
    <w:p w14:paraId="05F6F80F" w14:textId="77777777" w:rsidR="008D479B" w:rsidRDefault="008D479B" w:rsidP="008D479B">
      <w:pPr>
        <w:pStyle w:val="TextoNormal"/>
      </w:pPr>
      <w:r>
        <w:t>(iv) La demanda está deficientemente planteada, faltándole claridad y precisión, por lo que infringiría el art. 49.1 LOTC. La razón es la confusión entre el objeto del recurso y la exposición de la demanda respecto de las fórmulas de juramento utilizadas, porque no se sabe si se impugnan todas las fórmulas (a todas ellas sin distinción hace referencia la resolución de la Presidencia a que quedaría circunscrito el recurso de amparo) o solo las veintiuna individualizadas en el escrito de demanda.</w:t>
      </w:r>
    </w:p>
    <w:p w14:paraId="33D5B468" w14:textId="77777777" w:rsidR="008D479B" w:rsidRDefault="008D479B" w:rsidP="008D479B">
      <w:pPr>
        <w:pStyle w:val="TextoNormal"/>
      </w:pPr>
    </w:p>
    <w:p w14:paraId="693A51E4" w14:textId="77777777" w:rsidR="008D479B" w:rsidRDefault="008D479B" w:rsidP="008D479B">
      <w:pPr>
        <w:pStyle w:val="TextoNormal"/>
      </w:pPr>
      <w:r>
        <w:t>(v) Respecto de las fórmulas de acatamiento de la Constitución, el escrito de alegaciones realiza una síntesis de su significado, su regulación legal, las prácticas parlamentarias y de la Junta Electoral Central, la jurisprudencia constitucional (con cita de las SSTC 101/1983, de 18 de noviembre; 122/1983, de 16 de diciembre; 119/1990, y 74/1991) y la jurisprudencia del Tribunal de Justicia de la Unión Europea (STJUE Gran Sala, de 19 de diciembre de 2019, asunto C-502/19), poniendo de manifiesto que (i) el uso por los diputados, en el momento del acatamiento de la Constitución, de palabras expresivas del ideario político propio podrá considerarse improcedente, inoportuno o incluso inadecuado o irrespetuoso, pero debe entenderse que queda amparado por el valor superior del pluralismo político (art. 1.1 CE), la libertad ideológica (art. 16.1 CE), la libertad de expresión [art. 20.1 a) CE] y la prohibición de censura (art. 20.2 CE), en el marco del derecho a participar en los asuntos públicos (art. 23.2 CE) y a acceder a las funciones y cargos públicos (art. 23.1 CE); (ii) la libertad de expresión tiene una aplicación concreta en el caso del acatamiento, la expresión de las manifestaciones políticas en que se traducen no tiene efecto invalidante o condicionante sobre la voluntad de acatar la Constitución; ninguno de los diputados utilizó fórmulas lingüísticas condicionadas o de excepción, que serían las fórmulas cuyo uso dejaría vacío de contenido el acatamiento, por lo que la intención de acatar ha sido manifestada válidamente, acompañada de declaraciones políticas significativas que hacen patente el vínculo representativo con los electores; (iii) la democracia española no es una democracia militante, de modo que no es exigible que en el acatamiento se tenga que manifestar que se profesan los ideales encarnados en la Constitución, que se está de acuerdo con la Constitución, porque el acatamiento es solo un requisito formal; además la Presidencia no tiene capacidad de imposición de una fórmula, ni capacidad de revisión de las expresiones que las personas electas añaden a la fórmula de “sí, juro” o “sí, prometo”, solo que efectivamente se haya pronunciado, que es lo único que exige el Reglamento y su norma de desarrollo.</w:t>
      </w:r>
    </w:p>
    <w:p w14:paraId="14C21842" w14:textId="77777777" w:rsidR="008D479B" w:rsidRDefault="008D479B" w:rsidP="008D479B">
      <w:pPr>
        <w:pStyle w:val="TextoNormal"/>
      </w:pPr>
    </w:p>
    <w:p w14:paraId="2F1DC772" w14:textId="2B1C662D" w:rsidR="008D479B" w:rsidRDefault="008D479B" w:rsidP="008D479B">
      <w:pPr>
        <w:pStyle w:val="TextoNormal"/>
      </w:pPr>
      <w:r>
        <w:t>(vi) Los acuerdos impugnados no vulneran el art. 23 CE, ya que este precepto garantiza el ejercicio de la función representativa, pero no incluye el hipotético derecho de los diputados demandantes a que la Cámara tenga una determinada composición o a que, en función de ello, los resultados de las votaciones sean unos u otros, por lo que el hecho de que unos diputados hayan adquirido su condición plena en nada afecta al derecho del art. 23 CE de los demandantes, puesto que el ejercicio de su función representativa solo depende de que ellos mismos adquieran plenamente su condición, no de que lo hagan los demás ni tampoco el que la Cámara debiera tener una composición distinta porque no se debería incluir a los diputados que supuestamente no han cumplido debidamente el requisito, pues sus derechos se pueden ejercer con independencia de quiénes sean los miembros de esa Cámara en cada momento.</w:t>
      </w:r>
    </w:p>
    <w:p w14:paraId="419930EC" w14:textId="77777777" w:rsidR="008D479B" w:rsidRDefault="008D479B" w:rsidP="008D479B">
      <w:pPr>
        <w:pStyle w:val="TextoNormal"/>
      </w:pPr>
    </w:p>
    <w:p w14:paraId="2744C476" w14:textId="77777777" w:rsidR="008D479B" w:rsidRDefault="008D479B" w:rsidP="008D479B">
      <w:pPr>
        <w:pStyle w:val="TextoNormal"/>
      </w:pPr>
      <w:r w:rsidRPr="008D479B">
        <w:rPr>
          <w:rStyle w:val="NumeroAFNegritaCaracter"/>
        </w:rPr>
        <w:t>7</w:t>
      </w:r>
      <w:r>
        <w:t>. Mediante escrito presentado el 28 de diciembre de 2020, el procurador de los tribunales don Antonio Ortega Fuentes, en el ejercicio de la representación que tiene acreditada, presentó alegaciones al recurso de amparo, interesando su estimación.</w:t>
      </w:r>
    </w:p>
    <w:p w14:paraId="4E5E7442" w14:textId="77777777" w:rsidR="008D479B" w:rsidRDefault="008D479B" w:rsidP="008D479B">
      <w:pPr>
        <w:pStyle w:val="TextoNormal"/>
      </w:pPr>
    </w:p>
    <w:p w14:paraId="0FE8E8A9" w14:textId="60CA1BDB" w:rsidR="008D479B" w:rsidRDefault="008D479B" w:rsidP="008D479B">
      <w:pPr>
        <w:pStyle w:val="TextoNormal"/>
      </w:pPr>
      <w:r>
        <w:t xml:space="preserve">En su escrito afirma que la plena adquisición de la condición de diputado exige el requisito formal de acatamiento de la Constitución y que, de acuerdo con la doctrina constitucional que invoca, no basta con efectuarlo siguiendo la fórmula ritual, sino que además no puede ir acompañado de cláusulas o expresiones que vacíen, limiten o condicionen su sentido propio. Razona que las fórmulas de supuesto acatamiento aludidas en la demanda de amparo son contrarias a la doctrina constitucional, en cuanto que vacían por completo de contenido el acto de acatamiento. Acto seguido defiende que el incumplimiento del deber de acatamiento en los términos expuestos lesionó el núcleo esencial, su derecho de participación política </w:t>
      </w:r>
      <w:r w:rsidRPr="008D479B">
        <w:rPr>
          <w:i/>
        </w:rPr>
        <w:t>ex</w:t>
      </w:r>
      <w:r>
        <w:t xml:space="preserve"> art. 23.2 CE, así como el de los diputados recurrentes en amparo. A su juicio, otorgar la condición de diputados a quienes no habían cumplido con el requisito esencial de acatamiento de las reglas insoslayables del juego democrático supuso una inconstitucional formación de la Cámara, lesionando el núcleo esencial del </w:t>
      </w:r>
      <w:r w:rsidRPr="008D479B">
        <w:rPr>
          <w:i/>
        </w:rPr>
        <w:t>ius in officium</w:t>
      </w:r>
      <w:r>
        <w:t>.</w:t>
      </w:r>
    </w:p>
    <w:p w14:paraId="1EEF477C" w14:textId="77777777" w:rsidR="008D479B" w:rsidRDefault="008D479B" w:rsidP="008D479B">
      <w:pPr>
        <w:pStyle w:val="TextoNormal"/>
      </w:pPr>
    </w:p>
    <w:p w14:paraId="198E727E" w14:textId="77777777" w:rsidR="008D479B" w:rsidRDefault="008D479B" w:rsidP="008D479B">
      <w:pPr>
        <w:pStyle w:val="TextoNormal"/>
      </w:pPr>
      <w:r w:rsidRPr="008D479B">
        <w:rPr>
          <w:rStyle w:val="NumeroAFNegritaCaracter"/>
        </w:rPr>
        <w:t>8</w:t>
      </w:r>
      <w:r>
        <w:t>. Con fecha 29 de diciembre de 2020, la procuradora de los tribunales doña Virginia Aragón Segura, en el ejercicio de la representación que tiene acreditada, presentó alegaciones solicitando la desestimación del recurso de amparo.</w:t>
      </w:r>
    </w:p>
    <w:p w14:paraId="70193BA0" w14:textId="77777777" w:rsidR="008D479B" w:rsidRDefault="008D479B" w:rsidP="008D479B">
      <w:pPr>
        <w:pStyle w:val="TextoNormal"/>
      </w:pPr>
    </w:p>
    <w:p w14:paraId="110C7943" w14:textId="77777777" w:rsidR="008D479B" w:rsidRDefault="008D479B" w:rsidP="008D479B">
      <w:pPr>
        <w:pStyle w:val="TextoNormal"/>
      </w:pPr>
      <w:r>
        <w:t xml:space="preserve">Esta parte alega que los diputados recurrentes carecen de legitimación activa, ya que, de acuerdo con los arts. 42 y 46.1 a) LOTC, solo los parlamentarios directamente afectados por actos sin valor de ley emanados de las Cortes pueden recurrirlos en amparo si consideran que dichos actos han vulnerado alguno de sus derechos fundamentales, por lo que no pueden recurrir decisiones que afectan directamente a otros diputados aunque las consideren erróneas, que es lo que sucede en este caso en que los demandantes de amparo están discutiendo la adquisición de la condición plena de otros diputados por no hacerse de acuerdo con la normativa parlamentaria. A esos efectos, incide en que cuando se ha acudido en amparo por considerar que había sido interpretado indebidamente el reglamento para conceder determinados derechos a otros parlamentarios, el Tribunal Constitucional ha desestimado el recurso de amparo por falta de legitimación activa (ATC 262/2007, de 25 de mayo), y destaca que para considerar que los diputados recurrentes han visto vulnerado su derecho fundamental, los órganos de la Cámara deberían haberles limitado directamente un derecho perteneciente a su </w:t>
      </w:r>
      <w:r w:rsidRPr="008D479B">
        <w:rPr>
          <w:i/>
        </w:rPr>
        <w:t>ius in officium</w:t>
      </w:r>
      <w:r>
        <w:t>, recogido en el Reglamento del Congreso, que formara parte del núcleo de la función parlamentaria representativa, lo que no ocurre en este caso. Así, esta parte señala que no se puede compartir la pretensión de los recurrentes relativa a que la plenitud de su derecho fundamental solo se hubiera podido conformar en una cámara en la que unos diputados no hubieran podido conseguir la condición plena de diputados, ya que ello es pretender que el desarrollo adecuado del art. 23 CE de unos diputados depende de que otros diputados electos no puedan alcanzar su condición plena, lo que es contrario a la jurisprudencia constitucional. También cita la providencia del Tribunal Constitucional por la que se inadmite el recurso de amparo núm. 297-2017, interpuesto por diputados del grupo parlamentario Popular en el Parlamento Vasco contra la decisión de la mesa de edad de dicha Cámara que había aceptado que los parlamentarios no tuvieran que acatar la Constitución para adquirir la condición plena, en que se afirmó que esa decisión no lesionó el derecho del resto de los parlamentarios.</w:t>
      </w:r>
    </w:p>
    <w:p w14:paraId="32B0C12F" w14:textId="77777777" w:rsidR="008D479B" w:rsidRDefault="008D479B" w:rsidP="008D479B">
      <w:pPr>
        <w:pStyle w:val="TextoNormal"/>
      </w:pPr>
    </w:p>
    <w:p w14:paraId="04C289FE" w14:textId="44EEBE75" w:rsidR="008D479B" w:rsidRDefault="008D479B" w:rsidP="008D479B">
      <w:pPr>
        <w:pStyle w:val="TextoNormal"/>
      </w:pPr>
      <w:r>
        <w:t>Esta parte, en todo caso, afirma la validez de la interpretación que hizo la presidenta del Congreso de la normativa parlamentarias, en virtud de la cual todas las fórmulas utilizadas en el trámite previsto en el art. 20.1.3 RCD en la sesión de apertura de la XIII Legislatura, incluidas las que los recurrentes consideran inválidas, fueron acordes al ordenamiento jurídico y con los precedentes parlamentarios, ya que (i) la obligación de los parlamentarios de jurar o prometer el acatamiento de la Constitución en el momento de tomar posesión no es un requisito para acceder a la condición de diputado o senador (SSTC 119/1990, FJ 4, y 74/1991, FJ 2) sino para el ejercicio de las funciones propias de tal condición que, en ningún caso, puede convertirse en una carga desproporcionada para el titular del derecho ni restringir el mismo de forma constitucionalmente intolerable; y (ii) el acatamiento ha de servir para expresar una voluntad de cumplimiento pleno e incondicional de la Constitución, con independencia de las causas o motivaciones que cada parlamentario puede tener para acatar dicha norma, que es lo que sucede en estos casos en que las fórmulas de acatamiento objeto de disputa expresan distintas motivaciones, algunas incompatibles con nuestro texto constitucional, pero que no condicionan el acatamiento a la Constitución a la satisfacción de aquellas, ni lo limitan material, territorial o temporalmente.</w:t>
      </w:r>
    </w:p>
    <w:p w14:paraId="1BB94606" w14:textId="77777777" w:rsidR="008D479B" w:rsidRDefault="008D479B" w:rsidP="008D479B">
      <w:pPr>
        <w:pStyle w:val="TextoNormal"/>
      </w:pPr>
    </w:p>
    <w:p w14:paraId="03E6BD2B" w14:textId="77777777" w:rsidR="008D479B" w:rsidRDefault="008D479B" w:rsidP="008D479B">
      <w:pPr>
        <w:pStyle w:val="TextoNormal"/>
      </w:pPr>
      <w:r w:rsidRPr="008D479B">
        <w:rPr>
          <w:rStyle w:val="NumeroAFNegritaCaracter"/>
        </w:rPr>
        <w:t>9</w:t>
      </w:r>
      <w:r>
        <w:t>. El 30 de diciembre de 2020 el procurador de los tribunales don Emilio Martínez Benítez, en el ejercicio de la representación que tiene acreditada, presentó alegaciones solicitando que el tribunal declare (i) la pérdida de objeto respecto de don Joan Josep Nuet i Pujals; (ii) la inadmisión del recurso respecto de las resoluciones de la mesa; (iii) la incompetencia del Tribunal para conocer del proceso y, subsidiariamente (iv) la inadmisión o desestimación del recurso.</w:t>
      </w:r>
    </w:p>
    <w:p w14:paraId="3544C61C" w14:textId="77777777" w:rsidR="008D479B" w:rsidRDefault="008D479B" w:rsidP="008D479B">
      <w:pPr>
        <w:pStyle w:val="TextoNormal"/>
      </w:pPr>
    </w:p>
    <w:p w14:paraId="1D0FD4F5" w14:textId="77777777" w:rsidR="008D479B" w:rsidRDefault="008D479B" w:rsidP="008D479B">
      <w:pPr>
        <w:pStyle w:val="TextoNormal"/>
      </w:pPr>
      <w:r>
        <w:t>(i) Se solicita se declare la pérdida de objeto del recurso respecto de don Joan Josep Nuet i Pujals, al no ostentar ya la condición de miembro del Congreso de los Diputados.</w:t>
      </w:r>
    </w:p>
    <w:p w14:paraId="7E7B3975" w14:textId="77777777" w:rsidR="008D479B" w:rsidRDefault="008D479B" w:rsidP="008D479B">
      <w:pPr>
        <w:pStyle w:val="TextoNormal"/>
      </w:pPr>
    </w:p>
    <w:p w14:paraId="6A63B502" w14:textId="77777777" w:rsidR="008D479B" w:rsidRDefault="008D479B" w:rsidP="008D479B">
      <w:pPr>
        <w:pStyle w:val="TextoNormal"/>
      </w:pPr>
      <w:r>
        <w:t>(ii) Se solicita se inadmita el recurso respecto de los acuerdos de la mesa impugnados en la medida en que de la STC 74/1991 se desprende claramente que el acto de la Presidencia de la institución relativo a la promesa o juramento de acatamiento de la Constitución no es un acto revisable por la correspondiente mesa y, por tanto, no corresponde solicitar a la mesa la revisión de dicho acto ni, denegada la misma, la reconsideración de dicha decisión. Por ello, concluye que estos últimos actos no son recurribles en amparo.</w:t>
      </w:r>
    </w:p>
    <w:p w14:paraId="1856D3B7" w14:textId="77777777" w:rsidR="008D479B" w:rsidRDefault="008D479B" w:rsidP="008D479B">
      <w:pPr>
        <w:pStyle w:val="TextoNormal"/>
      </w:pPr>
    </w:p>
    <w:p w14:paraId="07340644" w14:textId="77777777" w:rsidR="008D479B" w:rsidRDefault="008D479B" w:rsidP="008D479B">
      <w:pPr>
        <w:pStyle w:val="TextoNormal"/>
      </w:pPr>
      <w:r>
        <w:t>(iii) Esta parte sostiene que el Tribunal Constitucional es incompetente para conocer de este procedimiento por no ser su objeto el propio de un recurso de amparo, ya que lo cuestionado es el margen de apreciación de la Presidencia de la Cámara para valorar el carácter ajustado o no a la Constitución y a la doctrina constitucional de la fórmula de promesa o juramento de la Constitución, margen de apreciación que ha sido reconocido de forma expresa en la STC 74/1991, FJ 4, y que se encuentra dentro de las competencias que el reglamento de la Cámara otorga a la Presidencia; por lo que los recurrentes pretenden formalizar un impropio recurso de inconstitucionalidad o un encubierto e impropio conflicto de órganos constitucionales.</w:t>
      </w:r>
    </w:p>
    <w:p w14:paraId="627D80A4" w14:textId="77777777" w:rsidR="008D479B" w:rsidRDefault="008D479B" w:rsidP="008D479B">
      <w:pPr>
        <w:pStyle w:val="TextoNormal"/>
      </w:pPr>
    </w:p>
    <w:p w14:paraId="0C8B0BC9" w14:textId="77777777" w:rsidR="008D479B" w:rsidRDefault="008D479B" w:rsidP="008D479B">
      <w:pPr>
        <w:pStyle w:val="TextoNormal"/>
      </w:pPr>
      <w:r>
        <w:t>(iv) La parte solicita la inadmisión o desestimación del recurso de amparo por ausencia de legitimación de los recurrentes al no existir derecho fundamental alguno vulnerado que asista a los recurrentes [arts. 46.1 a) y 42 LOTC]. Se afirma que todas las sentencias constitucionales dictadas en relación con el trámite de acatamiento (SSTC 101/1983, 8/1985, 122/1983, 119/1990 y 74/1991) establecen que el titular del derecho es la persona a la que se deniega el acceso al cargo.</w:t>
      </w:r>
    </w:p>
    <w:p w14:paraId="0855FBA2" w14:textId="77777777" w:rsidR="008D479B" w:rsidRDefault="008D479B" w:rsidP="008D479B">
      <w:pPr>
        <w:pStyle w:val="TextoNormal"/>
      </w:pPr>
    </w:p>
    <w:p w14:paraId="34C6CD35" w14:textId="77777777" w:rsidR="008D479B" w:rsidRDefault="008D479B" w:rsidP="008D479B">
      <w:pPr>
        <w:pStyle w:val="TextoNormal"/>
      </w:pPr>
      <w:r>
        <w:t>Se afirma también que la configuración de la promesa o juramento del acatamiento de la Constitución como un requisito o un límite al derecho fundamental del art. 23.2 CE impide por su propia naturaleza que la exigencia de su cumplimiento pueda considerarse como integrante del derecho fundamental de terceros diputados. También destaca que el Tribunal General de la Unión Europea (auto de 19 de noviembre de 2020 dictado en el asunto T-32/20), ha considerado que terceros parlamentarios europeos carecían de legitimación activa para impugnar la decisión del Parlamento Europeo de admitir como parlamentarios europeos a determinados electos al considerar que la no exigencia del requisito de promesa o juramento de la Constitución para acceder a la condición plena de parlamentarios no afecta la situación jurídica propia de los recurrentes, quienes no pueden arrogarse como contenido de sus derechos aquello que concierne al Parlamento como institución.</w:t>
      </w:r>
    </w:p>
    <w:p w14:paraId="2BF46F26" w14:textId="77777777" w:rsidR="008D479B" w:rsidRDefault="008D479B" w:rsidP="008D479B">
      <w:pPr>
        <w:pStyle w:val="TextoNormal"/>
      </w:pPr>
    </w:p>
    <w:p w14:paraId="3AD5CAFF" w14:textId="36BF642E" w:rsidR="008D479B" w:rsidRDefault="008D479B" w:rsidP="008D479B">
      <w:pPr>
        <w:pStyle w:val="TextoNormal"/>
      </w:pPr>
      <w:r>
        <w:t>(v) Por último, alega que las fórmulas utilizadas cumplen con los requisitos establecidos ya que, la jurisprudencia constitucional ha reiterado que la Constitución no consagra una democracia militante ni exige una adhesión ideológica a la misma, por lo que el requisito de juramento o promesa de acatamiento de la Constitución no puede exigirse con un formalismo y rigorismo tales que vulneren el derecho fundamental del art. 23.2 CE, y en este caso dichas formulas no vacían de contenido, limitan “ni desnaturalizan” el acatamiento.</w:t>
      </w:r>
    </w:p>
    <w:p w14:paraId="455EF41A" w14:textId="77777777" w:rsidR="008D479B" w:rsidRDefault="008D479B" w:rsidP="008D479B">
      <w:pPr>
        <w:pStyle w:val="TextoNormal"/>
      </w:pPr>
    </w:p>
    <w:p w14:paraId="75E672AA" w14:textId="77777777" w:rsidR="008D479B" w:rsidRDefault="008D479B" w:rsidP="008D479B">
      <w:pPr>
        <w:pStyle w:val="TextoNormal"/>
      </w:pPr>
      <w:r w:rsidRPr="008D479B">
        <w:rPr>
          <w:rStyle w:val="NumeroAFNegritaCaracter"/>
        </w:rPr>
        <w:t>10</w:t>
      </w:r>
      <w:r>
        <w:t>. Por escrito registrado en fecha 30 de diciembre de 2020, el procurador de los tribunales don José Miguel Martínez-Fresneda Gambra, en el ejercicio de la representación que tiene acreditada, formuló alegaciones solicitando que se inadmita o desestime el recurso de amparo.</w:t>
      </w:r>
    </w:p>
    <w:p w14:paraId="704F4548" w14:textId="77777777" w:rsidR="008D479B" w:rsidRDefault="008D479B" w:rsidP="008D479B">
      <w:pPr>
        <w:pStyle w:val="TextoNormal"/>
      </w:pPr>
    </w:p>
    <w:p w14:paraId="3B22AE93" w14:textId="77777777" w:rsidR="008D479B" w:rsidRDefault="008D479B" w:rsidP="008D479B">
      <w:pPr>
        <w:pStyle w:val="TextoNormal"/>
      </w:pPr>
      <w:r>
        <w:t xml:space="preserve">Esta parte alega que concurren como causas de inadmisión del recurso las siguientes: (i) la carencia de su especial transcendencia constitucional, ya que ante la disolución de las Cámaras y la celebración de nuevas elecciones, no existe necesidad alguna del pronunciamiento sobre el fondo del asunto, que en todo caso afectaría al ejercicio de derechos de los diputados de la XIII Legislatura, por lo que carece de efectos generales, al haberse ya pronunciado el Tribunal en otras ocasiones sobre este asunto; (ii) la manifiesta inexistencia de afectación a algún derecho fundamental de los recurrentes que no llegan a acreditar de qué forma les afecta en el ejercicio de la plenitud de sus derechos de representación política o a la igualdad los acuerdos impugnados; (iii) los acuerdos de la mesa impugnados no son actos recurribles en vía de amparo, ya que la inadmisión a trámite de las peticiones que los ahora recurrentes formularon en vía parlamentaria lo fue por la improcedencia de la revisión de las decisiones de la presidenta, sin que esto afecte a derechos fundamentales, como tampoco lo son la admisión por la presidenta de la validez de la fórmula elegida por los diputados en la sesión constitutiva, ya que el mismo es un acto firme y definitivo que no supone la vulneración de los derechos fundamentales del resto de diputados; (iv) la pérdida sobrevenida de objeto, ya que las pretensiones deducidas son de contenido material imposible al haber decaído la XIII Legislatura; y (v) la STJUE de 19 de diciembre de 2019, ha establecido que no existe un requisito de juramento o promesa de acatar la Constitución para la plena adquisición de la condición de diputado o diputada, que también sería contraria a la doctrina establecida por la STEDH de 2 de marzo de 1987, asunto </w:t>
      </w:r>
      <w:r w:rsidRPr="008D479B">
        <w:rPr>
          <w:i/>
        </w:rPr>
        <w:t>Mathieu-Mohin y Clerfayt c. Bélgica</w:t>
      </w:r>
      <w:r>
        <w:t>.</w:t>
      </w:r>
    </w:p>
    <w:p w14:paraId="7FF7EA42" w14:textId="77777777" w:rsidR="008D479B" w:rsidRDefault="008D479B" w:rsidP="008D479B">
      <w:pPr>
        <w:pStyle w:val="TextoNormal"/>
      </w:pPr>
    </w:p>
    <w:p w14:paraId="08670E25" w14:textId="78E83B15" w:rsidR="008D479B" w:rsidRDefault="008D479B" w:rsidP="008D479B">
      <w:pPr>
        <w:pStyle w:val="TextoNormal"/>
      </w:pPr>
      <w:r>
        <w:t>Esta parte, subsidiariamente, argumenta en cuanto al fondo que no ha existido lesión del art. 23.2 CE, ya que la normativa parlamentaria no exige que el juramento o promesa de acatamiento a la Constitución deba cumplir con ningún requisito adicional de adhesión a un determinado postulado ideológico, ni se atribuye a la Presidencia de la Cámara la facultad de revisar la constitucionalidad de las distintas modalidades de promesa o juramento, ni a la mesa su revisión; estando amparadas por la libre expresión de la pluralidad política las fórmulas de acatamiento impugnadas.</w:t>
      </w:r>
    </w:p>
    <w:p w14:paraId="3B650D06" w14:textId="77777777" w:rsidR="008D479B" w:rsidRDefault="008D479B" w:rsidP="008D479B">
      <w:pPr>
        <w:pStyle w:val="TextoNormal"/>
      </w:pPr>
    </w:p>
    <w:p w14:paraId="6F2B612D" w14:textId="77777777" w:rsidR="008D479B" w:rsidRDefault="008D479B" w:rsidP="008D479B">
      <w:pPr>
        <w:pStyle w:val="TextoNormal"/>
      </w:pPr>
      <w:r w:rsidRPr="008D479B">
        <w:rPr>
          <w:rStyle w:val="NumeroAFNegritaCaracter"/>
        </w:rPr>
        <w:t>11</w:t>
      </w:r>
      <w:r>
        <w:t>. El Ministerio Fiscal presentó sus alegaciones el 25 de enero de 2021, interesando la desestimación del presente recurso de amparo.</w:t>
      </w:r>
    </w:p>
    <w:p w14:paraId="0E59401C" w14:textId="77777777" w:rsidR="008D479B" w:rsidRDefault="008D479B" w:rsidP="008D479B">
      <w:pPr>
        <w:pStyle w:val="TextoNormal"/>
      </w:pPr>
    </w:p>
    <w:p w14:paraId="63AD8111" w14:textId="77777777" w:rsidR="008D479B" w:rsidRDefault="008D479B" w:rsidP="008D479B">
      <w:pPr>
        <w:pStyle w:val="TextoNormal"/>
      </w:pPr>
      <w:r>
        <w:t>El Ministerio Fiscal considera que (i) el recurso no ha perdido objeto a pesar de haber finalizado la XIII Legislatura en la que se adoptaron los acuerdos impugnados, sin perjuicio del alcance que pudiera tener un eventual pronunciamiento estimatorio del recurso; (ii) los demandantes de amparo tienen legitimación para recurrir al haber intervenido en el proceso de impugnación parlamentario previo al presente recurso de amparo y ser titulares de los derechos fundamentales invocados, lo que les confiere un interés legítimo en su defensa frente a los acuerdos parlamentarios que consideran que han lesionado dichos derechos. A esos efectos, destaca que existe “un interés legítimo de los recurrentes en que el acceso a1 cargo parlamentario y su perfeccionamiento se produzca con observancia de la normativa que regula el procedimiento para ello y que el desempeño de la función parlamentaria, para la que habilita la adquisición plena del cargo, se produzca con una Cámara debidamente constituida por los diputados que han perfeccionado debidamente el cargo parlamentario, en la que la formación de la voluntad de la Cámara para adoptar acuerdos responda a las mayorías parlamentarias constituidas por los miembros de pleno derecho”.</w:t>
      </w:r>
    </w:p>
    <w:p w14:paraId="55D30482" w14:textId="77777777" w:rsidR="008D479B" w:rsidRDefault="008D479B" w:rsidP="008D479B">
      <w:pPr>
        <w:pStyle w:val="TextoNormal"/>
      </w:pPr>
    </w:p>
    <w:p w14:paraId="119C5680" w14:textId="77777777" w:rsidR="008D479B" w:rsidRDefault="008D479B" w:rsidP="008D479B">
      <w:pPr>
        <w:pStyle w:val="TextoNormal"/>
      </w:pPr>
      <w:r>
        <w:t xml:space="preserve">El Ministerio Fiscal, por lo que respecta al cumplimiento de la normativa parlamentaria, tras exponer la jurisprudencia constitucional sobre la fórmula de acatamiento de la Constitución por los cargos electos establecida en las SSTC 101/1983, de 18 de noviembre; 122/1983, de 16 de diciembre; 119/1990, de 21 de junio, y 74/1991, de 8 de abril, y señalar que en aquellos recursos lo impugnado eran decisiones en que se denegó la plena adquisición del cargo parlamentario, argumenta que, partiendo del principio de autonomía parlamentaria y del margen de apreciación que debe reconocerse a los órganos rectores en el desempeño de las funciones que tienen asignadas por los reglamentos, los acuerdos impugnados no han vulnerado el derecho fundamental a la representación política, ya que “están debidamente sustentados, con una motivación que no cabe entender que sea claramente contraria a la norma reglamentaria o arbitraria”. A juicio del Ministerio Fiscal, las fórmulas de acatamiento utilizadas deben ser valoradas objetivamente y bajo el principio </w:t>
      </w:r>
      <w:r w:rsidRPr="008D479B">
        <w:rPr>
          <w:i/>
        </w:rPr>
        <w:t>favor libertatis</w:t>
      </w:r>
      <w:r>
        <w:t xml:space="preserve"> y, en ese sentido, afirma que la interpretación que los demandantes hacen del significado de las expresiones utilizadas no puede prevalecer frente a la valoración que han realizado los órganos parlamentarios, en el marco de sus atribuciones y de acuerdo con el margen de apreciación que le corresponde, que consideraron que las fórmulas empleadas no privaban al requisito de acatamiento de toda virtualidad y significado.</w:t>
      </w:r>
    </w:p>
    <w:p w14:paraId="1D198C96" w14:textId="77777777" w:rsidR="008D479B" w:rsidRDefault="008D479B" w:rsidP="008D479B">
      <w:pPr>
        <w:pStyle w:val="TextoNormal"/>
      </w:pPr>
    </w:p>
    <w:p w14:paraId="69CA3161" w14:textId="5AE10BF1" w:rsidR="008D479B" w:rsidRDefault="008D479B" w:rsidP="008D479B">
      <w:pPr>
        <w:pStyle w:val="TextoNormal"/>
      </w:pPr>
      <w:r>
        <w:t>Estas consideraciones llevan al Ministerio Fiscal a rechazar que concurra la vulneración alegada del art. 23 CE al concluir que no puede estimar que los actos impugnados hayan infringido la normativa reglamentaria que regula el acceso al cargo parlamentario en condiciones de igualdad.</w:t>
      </w:r>
    </w:p>
    <w:p w14:paraId="795F7DF5" w14:textId="77777777" w:rsidR="008D479B" w:rsidRDefault="008D479B" w:rsidP="008D479B">
      <w:pPr>
        <w:pStyle w:val="TextoNormal"/>
      </w:pPr>
    </w:p>
    <w:p w14:paraId="6A1AB3D0" w14:textId="15BBF42B" w:rsidR="008D479B" w:rsidRDefault="008D479B" w:rsidP="008D479B">
      <w:pPr>
        <w:pStyle w:val="TextoNormal"/>
      </w:pPr>
      <w:r w:rsidRPr="008D479B">
        <w:rPr>
          <w:rStyle w:val="NumeroAFNegritaCaracter"/>
        </w:rPr>
        <w:t>12</w:t>
      </w:r>
      <w:r>
        <w:t>. Mediante escrito registrado el 18 de enero de 2021, el procurador de los tribunales don Federico Ortiz-Cañavate Levenfield se personó en nombre y representación de don Sergi Miquel i Valenti. Una vez subsanada la inicialmente advertida falta de acreditación de la representación, por diligencia de ordenación de 2 de febrero de 2021 se le tuvo por personado y parte en el procedimiento, concediéndole plazo de veinte días para formular alegaciones, sin haberlo verificado.</w:t>
      </w:r>
    </w:p>
    <w:p w14:paraId="2B898F9B" w14:textId="77777777" w:rsidR="008D479B" w:rsidRDefault="008D479B" w:rsidP="008D479B">
      <w:pPr>
        <w:pStyle w:val="TextoNormal"/>
      </w:pPr>
    </w:p>
    <w:p w14:paraId="3CB21CE8" w14:textId="180BB8F7" w:rsidR="008D479B" w:rsidRDefault="008D479B" w:rsidP="008D479B">
      <w:pPr>
        <w:pStyle w:val="TextoNormal"/>
      </w:pPr>
      <w:r w:rsidRPr="008D479B">
        <w:rPr>
          <w:rStyle w:val="NumeroAFNegritaCaracter"/>
        </w:rPr>
        <w:t>13</w:t>
      </w:r>
      <w:r>
        <w:t>. Los demandantes de amparo no han presentado alegaciones.</w:t>
      </w:r>
    </w:p>
    <w:p w14:paraId="2E736941" w14:textId="77777777" w:rsidR="008D479B" w:rsidRDefault="008D479B" w:rsidP="008D479B">
      <w:pPr>
        <w:pStyle w:val="TextoNormal"/>
      </w:pPr>
    </w:p>
    <w:p w14:paraId="4DC62382" w14:textId="454CFE21" w:rsidR="008D479B" w:rsidRDefault="008D479B" w:rsidP="008D479B">
      <w:pPr>
        <w:pStyle w:val="TextoNormal"/>
      </w:pPr>
      <w:r w:rsidRPr="008D479B">
        <w:rPr>
          <w:rStyle w:val="NumeroAFNegritaCaracter"/>
        </w:rPr>
        <w:t>14</w:t>
      </w:r>
      <w:r>
        <w:t>. El Pleno del Tribunal, por ATC 29/2023, de 7 de febrero, aceptó la abstención formulada por el magistrado don Juan Carlos Campo Moreno en el presente recurso de amparo, apartándole definitivamente de su conocimiento y de todas sus incidencias.</w:t>
      </w:r>
    </w:p>
    <w:p w14:paraId="57C1A38F" w14:textId="77777777" w:rsidR="008D479B" w:rsidRDefault="008D479B" w:rsidP="008D479B">
      <w:pPr>
        <w:pStyle w:val="TextoNormal"/>
      </w:pPr>
    </w:p>
    <w:p w14:paraId="05D984F3" w14:textId="04CE0026" w:rsidR="008D479B" w:rsidRDefault="008D479B" w:rsidP="008D479B">
      <w:pPr>
        <w:pStyle w:val="TextoNormal"/>
      </w:pPr>
      <w:r w:rsidRPr="008D479B">
        <w:rPr>
          <w:rStyle w:val="NumeroAFNegritaCaracter"/>
        </w:rPr>
        <w:t>15</w:t>
      </w:r>
      <w:r>
        <w:t>. Por providencia de 24 de octubre de 2023, se señaló ese mismo día para la deliberación y votación de la presente sentencia.</w:t>
      </w:r>
    </w:p>
    <w:p w14:paraId="0817C61B" w14:textId="77777777" w:rsidR="008D479B" w:rsidRDefault="008D479B" w:rsidP="008D479B">
      <w:pPr>
        <w:pStyle w:val="TextoNormal"/>
      </w:pPr>
    </w:p>
    <w:p w14:paraId="2230D034" w14:textId="77777777" w:rsidR="008D479B" w:rsidRDefault="008D479B" w:rsidP="008D479B">
      <w:pPr>
        <w:pStyle w:val="TextoNormalNegritaCentrado"/>
        <w:keepNext/>
      </w:pPr>
      <w:r>
        <w:t>II. Fundamentos jurídicos</w:t>
      </w:r>
    </w:p>
    <w:p w14:paraId="10B5804B" w14:textId="1E078973" w:rsidR="008D479B" w:rsidRDefault="008D479B" w:rsidP="008D479B">
      <w:pPr>
        <w:pStyle w:val="TextoNormalNegritaCentrado"/>
        <w:keepNext/>
      </w:pPr>
    </w:p>
    <w:p w14:paraId="5C0A6C34" w14:textId="77777777" w:rsidR="008D479B" w:rsidRDefault="008D479B" w:rsidP="008D479B">
      <w:pPr>
        <w:pStyle w:val="TextoNormal"/>
      </w:pPr>
      <w:r w:rsidRPr="008D479B">
        <w:rPr>
          <w:rStyle w:val="NumeroAFNegritaCaracter"/>
        </w:rPr>
        <w:t>1</w:t>
      </w:r>
      <w:r>
        <w:t xml:space="preserve">. </w:t>
      </w:r>
      <w:r w:rsidRPr="008D479B">
        <w:rPr>
          <w:i/>
        </w:rPr>
        <w:t>Objeto del recurso</w:t>
      </w:r>
    </w:p>
    <w:p w14:paraId="0FB6CBE6" w14:textId="77777777" w:rsidR="008D479B" w:rsidRDefault="008D479B" w:rsidP="008D479B">
      <w:pPr>
        <w:pStyle w:val="TextoNormal"/>
      </w:pPr>
    </w:p>
    <w:p w14:paraId="1CF0422A" w14:textId="77777777" w:rsidR="008D479B" w:rsidRDefault="008D479B" w:rsidP="008D479B">
      <w:pPr>
        <w:pStyle w:val="TextoNormal"/>
      </w:pPr>
      <w:r>
        <w:t>El objeto del presente recurso de amparo es determinar si se ha vulnerado el derecho de representación política (art. 23.2 CE) de los diputados demandantes de amparo por el acuerdo de la presidenta del Congreso de los Diputados, adoptado en la sesión constitutiva de la XIII Legislatura de 21 de mayo de 2019, de tener por debidamente prestado el juramento o promesa de acatamiento de la Constitución y, por tanto, adquirida la condición plena de diputados y diputadas de aquellos veintiún representantes que utilizaron fórmulas de acatamiento de la Constitución añadidas a la expresión “sí juro” o “sí prometo”. Por tanto, aunque el acuerdo de la Presidencia fue que “[t]odas las señoras y señores diputados que han contestado al llamamiento han adquirido la condición plena de diputados y diputadas”, el objeto de este recurso queda limitado a esa decisión en lo que concierne a los veintiún diputados cuyas fórmulas de acatamiento han sido objeto de impugnación en la demanda de amparo, por considerar los demandantes de amparo que, o bien expresan convicciones incompatibles con el contenido de la Constitución, o bien resultaron ininteligibles, impidiendo valorar la certeza de la incondicionalidad y plenitud del acatamiento.</w:t>
      </w:r>
    </w:p>
    <w:p w14:paraId="1A15967D" w14:textId="77777777" w:rsidR="008D479B" w:rsidRDefault="008D479B" w:rsidP="008D479B">
      <w:pPr>
        <w:pStyle w:val="TextoNormal"/>
      </w:pPr>
    </w:p>
    <w:p w14:paraId="0B976B67" w14:textId="07EC4F2E" w:rsidR="008D479B" w:rsidRDefault="008D479B" w:rsidP="008D479B">
      <w:pPr>
        <w:pStyle w:val="TextoNormal"/>
      </w:pPr>
      <w:r>
        <w:t>Tal y como se estableció ya en la STC 65/2023 para el supuesto allí planteado, los acuerdos de la mesa del Congreso de los Diputados, de 23 de mayo de 2019, por el que se declara que no procede la revisión del acuerdo de la presidenta, y de 20 de junio de 2019, por el que se desestima la solicitud de reconsideración del anterior acuerdo de la mesa, “forman parte del objeto del presente recurso en cuanto decisiones adoptadas en pretensión de los recurrentes de agotar la vía parlamentaria que, además, al menos en lo que se refiere al acuerdo de la mesa de 20 de junio de 2019, no se limitó a rechazar la posibilidad de revisión del acuerdo de la presidenta por falta de previsión reglamentaria al efecto sino que incluyó una extensa motivación sobre las razones de fondo para confirmar la legalidad de la decisión de la presidenta. No lo son, sin embargo, en tanto que decisiones que consideran que no existe vía reglamentaria que habilite a la mesa para revisar la decisión de la presidenta, ya que en la demanda de amparo no se controvierte (en el mismo sentido, STC 25/2023, de 17 de abril, FJ 2)” (FJ 1).</w:t>
      </w:r>
    </w:p>
    <w:p w14:paraId="79AAC197" w14:textId="77777777" w:rsidR="008D479B" w:rsidRDefault="008D479B" w:rsidP="008D479B">
      <w:pPr>
        <w:pStyle w:val="TextoNormal"/>
      </w:pPr>
    </w:p>
    <w:p w14:paraId="540645F5" w14:textId="77777777" w:rsidR="008D479B" w:rsidRDefault="008D479B" w:rsidP="008D479B">
      <w:pPr>
        <w:pStyle w:val="TextoNormal"/>
      </w:pPr>
      <w:r w:rsidRPr="008D479B">
        <w:rPr>
          <w:rStyle w:val="NumeroAFNegritaCaracter"/>
        </w:rPr>
        <w:t>2</w:t>
      </w:r>
      <w:r>
        <w:t xml:space="preserve">. </w:t>
      </w:r>
      <w:r w:rsidRPr="008D479B">
        <w:rPr>
          <w:i/>
        </w:rPr>
        <w:t>Cuestiones previas</w:t>
      </w:r>
    </w:p>
    <w:p w14:paraId="6EA7B367" w14:textId="77777777" w:rsidR="008D479B" w:rsidRDefault="008D479B" w:rsidP="008D479B">
      <w:pPr>
        <w:pStyle w:val="TextoNormal"/>
      </w:pPr>
    </w:p>
    <w:p w14:paraId="68897D2B" w14:textId="77777777" w:rsidR="008D479B" w:rsidRDefault="008D479B" w:rsidP="008D479B">
      <w:pPr>
        <w:pStyle w:val="TextoNormal"/>
      </w:pPr>
      <w:r>
        <w:t>Las partes que han comparecido en el presente recurso de amparo han planteado una serie de cuestiones previas que es preciso examinar antes de resolver el fondo del asunto.</w:t>
      </w:r>
    </w:p>
    <w:p w14:paraId="28986C5B" w14:textId="77777777" w:rsidR="008D479B" w:rsidRDefault="008D479B" w:rsidP="008D479B">
      <w:pPr>
        <w:pStyle w:val="TextoNormal"/>
      </w:pPr>
    </w:p>
    <w:p w14:paraId="1BD3DDF5" w14:textId="77777777" w:rsidR="008D479B" w:rsidRDefault="008D479B" w:rsidP="008D479B">
      <w:pPr>
        <w:pStyle w:val="TextoNormal"/>
      </w:pPr>
      <w:r>
        <w:t>(i) En primer lugar, el Tribunal es competente para conocer de la presente impugnación, tal como ya se dejó sentado en el fundamento jurídico 2 i) de la STC 65/2023, de 6 de junio, y se reiteró en la STC 125/2023, de 27 de septiembre, FJ 1 iii). Y, conforme a la mencionada STC 65/2023, FJ 1, no puede apreciarse la pérdida de objeto sobrevenida alegada por algunas de las partes comparecidas en este procedimiento.</w:t>
      </w:r>
    </w:p>
    <w:p w14:paraId="7997F89C" w14:textId="77777777" w:rsidR="008D479B" w:rsidRDefault="008D479B" w:rsidP="008D479B">
      <w:pPr>
        <w:pStyle w:val="TextoNormal"/>
      </w:pPr>
    </w:p>
    <w:p w14:paraId="4D761B0D" w14:textId="77777777" w:rsidR="008D479B" w:rsidRDefault="008D479B" w:rsidP="008D479B">
      <w:pPr>
        <w:pStyle w:val="TextoNormal"/>
      </w:pPr>
      <w:r>
        <w:t>(ii) Por otra parte, la remisión a lo decidido en la STC 65/2023, FJ 2 ii), y en la STC 125/2023, FJ 1 iv), permite descartar la alegación de que los recurrentes carecen de legitimación activa por no ser directamente afectados por los actos parlamentarios impugnados en este proceso.</w:t>
      </w:r>
    </w:p>
    <w:p w14:paraId="4C2F6111" w14:textId="77777777" w:rsidR="008D479B" w:rsidRDefault="008D479B" w:rsidP="008D479B">
      <w:pPr>
        <w:pStyle w:val="TextoNormal"/>
      </w:pPr>
    </w:p>
    <w:p w14:paraId="54EB746C" w14:textId="7D25F8E8" w:rsidR="008D479B" w:rsidRDefault="008D479B" w:rsidP="008D479B">
      <w:pPr>
        <w:pStyle w:val="TextoNormal"/>
      </w:pPr>
      <w:r>
        <w:t>(iii) Finalmente, por remisión a la STC 65/2023, FJ 2 iii), ha de desestimarse la alegación relativa a que el recurso carece de especial trascendencia constitucional, reiterando que se trata de un requisito de admisibilidad que es apreciado por el Tribunal en cada caso en el momento de admitir a trámite el recurso de amparo, y que “resulta necesario aclarar cuál es la posibilidad y alcance de control constitucional a desarrollar a través de la jurisdicción de amparo cuando dicha decisión es favorable a la plena adquisición de la condición de representante político y es impugnada por otros representantes, que es el supuesto que se plantea en este recurso de amparo”.</w:t>
      </w:r>
    </w:p>
    <w:p w14:paraId="63C46673" w14:textId="77777777" w:rsidR="008D479B" w:rsidRDefault="008D479B" w:rsidP="008D479B">
      <w:pPr>
        <w:pStyle w:val="TextoNormal"/>
      </w:pPr>
    </w:p>
    <w:p w14:paraId="19464CDC" w14:textId="77777777" w:rsidR="008D479B" w:rsidRDefault="008D479B" w:rsidP="008D479B">
      <w:pPr>
        <w:pStyle w:val="TextoNormal"/>
      </w:pPr>
      <w:r w:rsidRPr="008D479B">
        <w:rPr>
          <w:rStyle w:val="NumeroAFNegritaCaracter"/>
        </w:rPr>
        <w:t>3</w:t>
      </w:r>
      <w:r>
        <w:t xml:space="preserve">. </w:t>
      </w:r>
      <w:r w:rsidRPr="008D479B">
        <w:rPr>
          <w:i/>
        </w:rPr>
        <w:t>Aplicación de la doctrina constitucional expuesta en la STC 65/2023, de 6 de junio</w:t>
      </w:r>
    </w:p>
    <w:p w14:paraId="3479E4B1" w14:textId="77777777" w:rsidR="008D479B" w:rsidRDefault="008D479B" w:rsidP="008D479B">
      <w:pPr>
        <w:pStyle w:val="TextoNormal"/>
      </w:pPr>
    </w:p>
    <w:p w14:paraId="5D8F3517" w14:textId="2F66EA29" w:rsidR="008D479B" w:rsidRDefault="008D479B" w:rsidP="008D479B">
      <w:pPr>
        <w:pStyle w:val="TextoNormal"/>
      </w:pPr>
      <w:r>
        <w:t xml:space="preserve">La cuestión de fondo planteada en el presente recurso de amparo coincide con la resuelta en la STC 65/2023, de 6 de junio, por lo que debemos remitirnos a su fundamento jurídico 3, relativo a la doctrina constitucional sobre el derecho de representación política (art. 23.2 CE) y su proyección a las decisiones de los órganos de las Cámaras parlamentarias, sobre el ejercicio del </w:t>
      </w:r>
      <w:r w:rsidRPr="008D479B">
        <w:rPr>
          <w:i/>
        </w:rPr>
        <w:t>ius in officium</w:t>
      </w:r>
      <w:r>
        <w:t xml:space="preserve"> de parlamentarios distintos de los demandantes de amparo; y a su fundamento jurídico 4, en el que aplicamos dicha jurisprudencia al </w:t>
      </w:r>
      <w:r w:rsidRPr="008D479B">
        <w:rPr>
          <w:i/>
        </w:rPr>
        <w:t>ius in officium</w:t>
      </w:r>
      <w:r>
        <w:t xml:space="preserve"> de los demandantes y desestimamos el recurso de amparo, al concluir que “[las fórmulas] de acatamiento que los demandantes consideran contrarias a la legalidad parlamentaria […] no afecta al derecho de estos últimos a ejercer también en plenitud sus funciones parlamentarias de acuerdo con las previsiones legales, que no se ve restringido en ningún momento. Esto es lo determinante para que este tribunal aprecie que los demandantes de amparo no han identificado ningún concreto derecho o facultad conformador de su estatuto legal […] que haya quedado limitado o afectado por la decisión parlamentaria impugnada en este amparo que permita considerar que se ha visto afectado su derecho de representación política reconocido en el art. 23.2 CE”.</w:t>
      </w:r>
    </w:p>
    <w:p w14:paraId="07E9254A" w14:textId="77777777" w:rsidR="008D479B" w:rsidRDefault="008D479B" w:rsidP="008D479B">
      <w:pPr>
        <w:pStyle w:val="TextoNormal"/>
      </w:pPr>
    </w:p>
    <w:p w14:paraId="18893F7F" w14:textId="77777777" w:rsidR="008D479B" w:rsidRDefault="008D479B" w:rsidP="008D479B">
      <w:pPr>
        <w:pStyle w:val="TextoNormalCentrado"/>
        <w:keepNext/>
      </w:pPr>
      <w:r>
        <w:t>FALLO</w:t>
      </w:r>
    </w:p>
    <w:p w14:paraId="6A0EE1A1" w14:textId="57F2CC02" w:rsidR="008D479B" w:rsidRDefault="008D479B" w:rsidP="008D479B">
      <w:pPr>
        <w:pStyle w:val="TextoNormalCentrado"/>
        <w:keepNext/>
      </w:pPr>
    </w:p>
    <w:p w14:paraId="05097FF4" w14:textId="02529214" w:rsidR="008D479B" w:rsidRDefault="008D479B" w:rsidP="008D479B">
      <w:pPr>
        <w:pStyle w:val="TextoNormal"/>
      </w:pPr>
      <w:r>
        <w:t>En atención a todo lo expuesto, el Tribunal Constitucional, por la autoridad que le confiere la Constitución de la Nación española, ha decidido desestimar el recurso de amparo interpuesto por doña María Adán de la Paz y otros cincuenta y seis diputados y diputadas.</w:t>
      </w:r>
    </w:p>
    <w:p w14:paraId="79102BE7" w14:textId="77777777" w:rsidR="008D479B" w:rsidRDefault="008D479B" w:rsidP="008D479B">
      <w:pPr>
        <w:pStyle w:val="TextoNormal"/>
      </w:pPr>
    </w:p>
    <w:p w14:paraId="6B006A5D" w14:textId="77777777" w:rsidR="008D479B" w:rsidRDefault="008D479B" w:rsidP="008D479B">
      <w:pPr>
        <w:pStyle w:val="TextoNormal"/>
      </w:pPr>
      <w:r>
        <w:t>Publíquese esta sentencia en el “Boletín Oficial del Estado”.</w:t>
      </w:r>
    </w:p>
    <w:p w14:paraId="5A641028" w14:textId="77777777" w:rsidR="008D479B" w:rsidRDefault="008D479B" w:rsidP="008D479B">
      <w:pPr>
        <w:pStyle w:val="TextoNormal"/>
      </w:pPr>
      <w:r>
        <w:t>Dada en Madrid, a veinticuatro de octubre de dos mil veintitrés.</w:t>
      </w:r>
    </w:p>
    <w:p w14:paraId="2070725B" w14:textId="09FD6DA5" w:rsidR="008D479B" w:rsidRDefault="008D479B" w:rsidP="008D479B">
      <w:pPr>
        <w:pStyle w:val="ParrafoNormal"/>
      </w:pPr>
    </w:p>
    <w:p w14:paraId="18958930" w14:textId="77777777" w:rsidR="008D479B" w:rsidRDefault="008D479B" w:rsidP="008D479B">
      <w:pPr>
        <w:pStyle w:val="TextoNormalNegritaCentrado"/>
        <w:keepNext/>
      </w:pPr>
      <w:r>
        <w:t>Voto particular que formulan los magistrados don Ricardo Enríquez Sancho y don Enrique Arnaldo Alcubilla, la magistrada doña Concepción Espejel Jorquera y el magistrado don César Tolosa Tribiño a la sentencia dictada en el recurso de amparo núm. 4881-2019</w:t>
      </w:r>
    </w:p>
    <w:p w14:paraId="131FF707" w14:textId="5EEF2CC6" w:rsidR="008D479B" w:rsidRDefault="008D479B" w:rsidP="008D479B">
      <w:pPr>
        <w:pStyle w:val="TextoNormalNegritaCentrado"/>
        <w:keepNext/>
      </w:pPr>
    </w:p>
    <w:p w14:paraId="5C3FE131" w14:textId="77777777" w:rsidR="008D479B" w:rsidRDefault="008D479B" w:rsidP="008D479B">
      <w:pPr>
        <w:pStyle w:val="TextoNormal"/>
      </w:pPr>
      <w:r>
        <w:t>En el ejercicio de la facultad que nos confiere el artículo 90.2 de la Ley Orgánica del Tribunal Constitucional, y con respeto a la opinión de la mayoría del Pleno, formulamos el presente voto particular por discrepar de la fundamentación y del fallo de la sentencia recaída en el recurso de amparo núm. 4881-2019, que debió ser estimado, declarando haberse producido la vulneración del derecho de los parlamentarios recurrentes al acceso y al ejercicio del cargo público representativo en condiciones de igualdad (art. 23.2 CE), así como la vulneración del derecho de los ciudadanos a participar en los asuntos públicos a través de sus representantes (art. 23.1 CE).</w:t>
      </w:r>
    </w:p>
    <w:p w14:paraId="6B9AA67C" w14:textId="77777777" w:rsidR="008D479B" w:rsidRDefault="008D479B" w:rsidP="008D479B">
      <w:pPr>
        <w:pStyle w:val="TextoNormal"/>
      </w:pPr>
    </w:p>
    <w:p w14:paraId="11033D03" w14:textId="77777777" w:rsidR="008D479B" w:rsidRDefault="008D479B" w:rsidP="008D479B">
      <w:pPr>
        <w:pStyle w:val="TextoNormal"/>
      </w:pPr>
      <w:r>
        <w:t>Las razones de la discrepancia quedaron detalladamente expuestas en el voto particular formulado a la STC 65/2023, de 6 de junio, de la que la presente resolución es aplicación, por lo que hemos de remitirnos ahora a dicho voto particular en su totalidad.</w:t>
      </w:r>
    </w:p>
    <w:p w14:paraId="2760257C" w14:textId="77777777" w:rsidR="008D479B" w:rsidRDefault="008D479B" w:rsidP="008D479B">
      <w:pPr>
        <w:pStyle w:val="TextoNormal"/>
      </w:pPr>
    </w:p>
    <w:p w14:paraId="7CECCD0F" w14:textId="2E8ACCDB" w:rsidR="008D479B" w:rsidRDefault="008D479B" w:rsidP="008D479B">
      <w:pPr>
        <w:pStyle w:val="TextoNormal"/>
      </w:pPr>
      <w:r>
        <w:t>Madrid, a veinticuatro de octubre de dos mil veintitrés.</w:t>
      </w:r>
    </w:p>
    <w:p w14:paraId="77A8DCDF" w14:textId="242E5F88" w:rsidR="008D479B" w:rsidRDefault="008D479B">
      <w:pPr>
        <w:spacing w:after="160" w:line="278" w:lineRule="auto"/>
        <w:rPr>
          <w:rFonts w:ascii="Times New Roman" w:eastAsia="Times New Roman" w:hAnsi="Times New Roman" w:cs="Times New Roman"/>
          <w:sz w:val="24"/>
          <w:szCs w:val="24"/>
          <w:lang w:eastAsia="es-ES"/>
        </w:rPr>
      </w:pPr>
      <w:r>
        <w:br w:type="page"/>
      </w:r>
    </w:p>
    <w:p w14:paraId="003081F8" w14:textId="77777777" w:rsidR="008D479B" w:rsidRDefault="008D479B" w:rsidP="008D479B">
      <w:pPr>
        <w:pStyle w:val="TtuloResolucin"/>
      </w:pPr>
      <w:bookmarkStart w:id="65" w:name="SENTENCIA_2023_140"/>
      <w:r>
        <w:t>SENTENCIA 140/2023, de 24 de octubre de 2023</w:t>
      </w:r>
    </w:p>
    <w:bookmarkEnd w:id="65"/>
    <w:p w14:paraId="0D44AFDD" w14:textId="77777777" w:rsidR="008D479B" w:rsidRDefault="008D479B" w:rsidP="008D479B">
      <w:pPr>
        <w:pStyle w:val="TtuloResolucin"/>
      </w:pPr>
      <w:r>
        <w:t>Pleno</w:t>
      </w:r>
    </w:p>
    <w:p w14:paraId="35E845D8" w14:textId="77777777" w:rsidR="008D479B" w:rsidRDefault="008D479B" w:rsidP="008D479B">
      <w:pPr>
        <w:pStyle w:val="TtuloBOE"/>
      </w:pPr>
      <w:r>
        <w:t>(BOE núm. 286, de 30 de noviembre de 2023)</w:t>
      </w:r>
    </w:p>
    <w:p w14:paraId="1FAA960E" w14:textId="77777777" w:rsidR="008D479B" w:rsidRDefault="008D479B" w:rsidP="008D479B">
      <w:pPr>
        <w:pStyle w:val="TextoNormalCentrado"/>
      </w:pPr>
      <w:r>
        <w:t>ECLI:ES:TC:2023:140</w:t>
      </w:r>
    </w:p>
    <w:p w14:paraId="7978B521" w14:textId="26C99D77" w:rsidR="008D479B" w:rsidRDefault="008D479B" w:rsidP="008D479B">
      <w:pPr>
        <w:pStyle w:val="TextoNormalCentrado"/>
      </w:pPr>
    </w:p>
    <w:p w14:paraId="75930129" w14:textId="77777777" w:rsidR="008D479B" w:rsidRDefault="008D479B" w:rsidP="008D479B">
      <w:pPr>
        <w:pStyle w:val="SntesisDescriptiva"/>
      </w:pPr>
      <w:r>
        <w:t>Recurso de amparo 4952-2019. Promovido por don Javier Ignacio Maroto Aranzábal y doña Salomé Pradas Ten en relación con las resoluciones del presidente y la mesa del Senado que dieron por cumplimentado el requisito de promesa o juramento de acatamiento de la Constitución por todos los senadores.</w:t>
      </w:r>
    </w:p>
    <w:p w14:paraId="24C8C1BE" w14:textId="2EE72C16" w:rsidR="008D479B" w:rsidRDefault="008D479B" w:rsidP="008D479B">
      <w:pPr>
        <w:pStyle w:val="SntesisDescriptiva"/>
      </w:pPr>
    </w:p>
    <w:p w14:paraId="280CB238" w14:textId="77777777" w:rsidR="008D479B" w:rsidRDefault="008D479B" w:rsidP="008D479B">
      <w:pPr>
        <w:pStyle w:val="SntesisAnaltica"/>
      </w:pPr>
      <w:r>
        <w:t>Supuesta vulneración del derecho de representación política: STC 65/2023 (ausencia de acreditación de la incidencia, por la aceptación de las veintinueve fórmulas de acatamiento controvertidas, en la función representativa de los parlamentarios recurrentes). Voto particular.</w:t>
      </w:r>
    </w:p>
    <w:p w14:paraId="7FCDA77D" w14:textId="7041D170" w:rsidR="008D479B" w:rsidRDefault="008D479B" w:rsidP="008D479B">
      <w:pPr>
        <w:pStyle w:val="SntesisAnaltica"/>
      </w:pPr>
    </w:p>
    <w:p w14:paraId="4032F12A" w14:textId="7D5AA967" w:rsidR="008D479B" w:rsidRDefault="008D479B" w:rsidP="008D479B">
      <w:pPr>
        <w:pStyle w:val="Extracto"/>
      </w:pPr>
      <w:r>
        <w:t>1.</w:t>
      </w:r>
      <w:r>
        <w:tab/>
        <w:t>Las distintas fórmulas de acatamiento de la Constitución no afectan al núcleo esencial del derecho al ejercicio de las funciones representativas de los parlamentarios (STC 65/2023) [FJ 3].</w:t>
      </w:r>
    </w:p>
    <w:p w14:paraId="1D45DC57" w14:textId="77777777" w:rsidR="008D479B" w:rsidRDefault="008D479B" w:rsidP="008D479B">
      <w:pPr>
        <w:pStyle w:val="Extracto"/>
      </w:pPr>
    </w:p>
    <w:p w14:paraId="78530115" w14:textId="77777777" w:rsidR="008D479B" w:rsidRDefault="008D479B" w:rsidP="008D479B">
      <w:pPr>
        <w:pStyle w:val="Extracto"/>
      </w:pPr>
    </w:p>
    <w:p w14:paraId="5E7FD594" w14:textId="77777777" w:rsidR="008D479B" w:rsidRDefault="008D479B" w:rsidP="008D479B">
      <w:pPr>
        <w:pStyle w:val="TextoNormal"/>
      </w:pPr>
      <w:r>
        <w:t>El Pleno del Tribunal Constitucional, compuesto por el magistrado don Cándido Conde-Pumpido Tourón, presidente, y las magistradas y magistrados doña Inmaculada Montalbán Huertas, don Ricardo Enríquez Sancho, don Ramón Sáez Valcárcel, don Enrique Arnaldo Alcubilla, doña Concepción Espejel Jorquera, doña María Luisa Segoviano Astaburuaga, don César Tolosa Tribiño, don Juan Carlos Campo Moreno y doña Laura Díez Bueso, ha pronunciado</w:t>
      </w:r>
    </w:p>
    <w:p w14:paraId="553A5982" w14:textId="281C3DE9" w:rsidR="008D479B" w:rsidRDefault="008D479B" w:rsidP="008D479B">
      <w:pPr>
        <w:pStyle w:val="TextoNormal"/>
      </w:pPr>
    </w:p>
    <w:p w14:paraId="29D68816" w14:textId="77777777" w:rsidR="008D479B" w:rsidRDefault="008D479B" w:rsidP="008D479B">
      <w:pPr>
        <w:pStyle w:val="TextoNormalCentrado"/>
        <w:keepNext/>
      </w:pPr>
      <w:r>
        <w:t>EN NOMBRE DEL REY</w:t>
      </w:r>
    </w:p>
    <w:p w14:paraId="0A65B63A" w14:textId="7B0C81A5" w:rsidR="008D479B" w:rsidRDefault="008D479B" w:rsidP="008D479B">
      <w:pPr>
        <w:pStyle w:val="TextoNormalCentrado"/>
        <w:keepNext/>
      </w:pPr>
    </w:p>
    <w:p w14:paraId="053F25A6" w14:textId="77777777" w:rsidR="008D479B" w:rsidRDefault="008D479B" w:rsidP="008D479B">
      <w:pPr>
        <w:pStyle w:val="TextoNormalCentrado"/>
        <w:keepNext/>
      </w:pPr>
    </w:p>
    <w:p w14:paraId="4992F72D" w14:textId="77777777" w:rsidR="008D479B" w:rsidRDefault="008D479B" w:rsidP="008D479B">
      <w:pPr>
        <w:pStyle w:val="TextoNormal"/>
      </w:pPr>
      <w:r>
        <w:t>la siguiente</w:t>
      </w:r>
    </w:p>
    <w:p w14:paraId="0C5081A1" w14:textId="0789B936" w:rsidR="008D479B" w:rsidRDefault="008D479B" w:rsidP="008D479B">
      <w:pPr>
        <w:pStyle w:val="TextoNormal"/>
      </w:pPr>
    </w:p>
    <w:p w14:paraId="41143836" w14:textId="77777777" w:rsidR="008D479B" w:rsidRDefault="008D479B" w:rsidP="008D479B">
      <w:pPr>
        <w:pStyle w:val="TextoNormalCentrado"/>
        <w:keepNext/>
      </w:pPr>
      <w:r>
        <w:t>SENTENCIA</w:t>
      </w:r>
    </w:p>
    <w:p w14:paraId="109CED62" w14:textId="6F4B915B" w:rsidR="008D479B" w:rsidRDefault="008D479B" w:rsidP="008D479B">
      <w:pPr>
        <w:pStyle w:val="TextoNormalCentrado"/>
        <w:keepNext/>
      </w:pPr>
    </w:p>
    <w:p w14:paraId="0184B135" w14:textId="77777777" w:rsidR="008D479B" w:rsidRDefault="008D479B" w:rsidP="008D479B">
      <w:pPr>
        <w:pStyle w:val="TextoNormal"/>
      </w:pPr>
      <w:r>
        <w:t>En el recurso de amparo núm. 4952-2019 promovido por don Javier Ignacio Maroto Aranzábal y por doña Salomé Pradas Ten, ambos integrantes del Grupo Parlamentario Popular en el Senado, contra el acuerdo de la mesa del Senado de 18 de junio de 2019 por el que se desestima la solicitud de reconsideración del acuerdo de 29 de mayo de 2019, por el que se declara que no procede la revisión del acuerdo del presidente del Senado de 21 de mayo de 2019, que tuvo por cumplimentado por todos los senadores presentes el requisito de promesa o juramento de acatamiento de la Constitución. Han comparecido el Senado y los senadores don Francisco Javier Aragón Ariza, doña Mercedes Berenguer Llorens, doña María Fernández Álvarez, don Ander Gil García, don Antonio Julián Rodríguez Esquerdo, doña Riansares Serrano Morales, don Raül Romeva i Rueda, don Josep Quintana i Caralt, doña Laura Castel i Fort, don Miquel Caminal i Cerdà, don Josep Rufà i Gracia, doña Ana María Surra Spadea, don Bernat Picornell i Grenzner, don Miquel Josep Aubà i Fleix, doña Elisenda Pérez i Esteve, don Xavier Castellana i Gamisans, doña Mirella Cortes i Gés, doña Sara Bailac i Ardanuy y don Jordi Martí i Deulofeu. Ha intervenido el Ministerio Fiscal. Ha sido ponente el magistrado don Enrique Arnaldo Alcubilla.</w:t>
      </w:r>
    </w:p>
    <w:p w14:paraId="16FF5D5C" w14:textId="0344CD4D" w:rsidR="008D479B" w:rsidRDefault="008D479B" w:rsidP="008D479B">
      <w:pPr>
        <w:pStyle w:val="TextoNormal"/>
      </w:pPr>
    </w:p>
    <w:p w14:paraId="7D59995E" w14:textId="77777777" w:rsidR="008D479B" w:rsidRDefault="008D479B" w:rsidP="008D479B">
      <w:pPr>
        <w:pStyle w:val="TextoNormalNegritaCentrado"/>
        <w:keepNext/>
      </w:pPr>
      <w:r>
        <w:t>I. Antecedentes</w:t>
      </w:r>
    </w:p>
    <w:p w14:paraId="78CEE361" w14:textId="33F5F235" w:rsidR="008D479B" w:rsidRDefault="008D479B" w:rsidP="008D479B">
      <w:pPr>
        <w:pStyle w:val="TextoNormalNegritaCentrado"/>
        <w:keepNext/>
      </w:pPr>
    </w:p>
    <w:p w14:paraId="68F968A2" w14:textId="1BB42DFB" w:rsidR="008D479B" w:rsidRDefault="008D479B" w:rsidP="008D479B">
      <w:pPr>
        <w:pStyle w:val="TextoNormal"/>
      </w:pPr>
      <w:r w:rsidRPr="008D479B">
        <w:rPr>
          <w:rStyle w:val="NumeroAFNegritaCaracter"/>
        </w:rPr>
        <w:t>1</w:t>
      </w:r>
      <w:r>
        <w:t>. Mediante escrito registrado en este tribunal el 9 de agosto de 2019 don Javier Ignacio Maroto Aranzábal y doña Salomé Pradas Ten, ambos integrantes del Grupo Parlamentario Popular en el Senado, interpusieron recurso de amparo contra el acuerdo de la mesa del Senado de 18 de junio de 2019 por el que se desestima la solicitud de reconsideración del acuerdo de 29 de mayo de 2019, por el que se declara que no procede la revisión del acuerdo del presidente del Senado de 21 de mayo de 2019 que, en la sesión constitutiva del Senado en la XIII Legislatura, tuvo por cumplimentado por todos los senadores presentes el requisito de promesa o juramento de acatamiento de la Constitución.</w:t>
      </w:r>
    </w:p>
    <w:p w14:paraId="4D22E862" w14:textId="77777777" w:rsidR="008D479B" w:rsidRDefault="008D479B" w:rsidP="008D479B">
      <w:pPr>
        <w:pStyle w:val="TextoNormal"/>
      </w:pPr>
    </w:p>
    <w:p w14:paraId="6164883E" w14:textId="77777777" w:rsidR="008D479B" w:rsidRDefault="008D479B" w:rsidP="008D479B">
      <w:pPr>
        <w:pStyle w:val="TextoNormal"/>
      </w:pPr>
      <w:r w:rsidRPr="008D479B">
        <w:rPr>
          <w:rStyle w:val="NumeroAFNegritaCaracter"/>
        </w:rPr>
        <w:t>2</w:t>
      </w:r>
      <w:r>
        <w:t>. Los hechos en que se fundamenta la demanda de amparo son los que seguidamente se relacionan:</w:t>
      </w:r>
    </w:p>
    <w:p w14:paraId="68890744" w14:textId="77777777" w:rsidR="008D479B" w:rsidRDefault="008D479B" w:rsidP="008D479B">
      <w:pPr>
        <w:pStyle w:val="TextoNormal"/>
      </w:pPr>
    </w:p>
    <w:p w14:paraId="334D37F0" w14:textId="77777777" w:rsidR="008D479B" w:rsidRDefault="008D479B" w:rsidP="008D479B">
      <w:pPr>
        <w:pStyle w:val="TextoNormal"/>
      </w:pPr>
      <w:r>
        <w:t>a) El día 21 de mayo de 2019 tuvo lugar la sesión constitutiva del Senado en la XIII Legislatura, con arreglo a lo establecido en el Reglamento del Senado (RS). En esa sesión constitutiva, después de la formación de la mesa de edad y de la elección de la mesa del Senado, el presidente del Senado solicitó a los demás senadores electos el juramento o promesa de acatamiento de la Constitución tal y como recogen los arts. 108.8 de la Ley Orgánica 5/1985, de 19 de junio, del régimen electoral general (LOREG) y 11.3 RS. El presidente, tras la contestación de cada senador, a través de distintas fórmulas, a la pregunta “¿Juráis o prometéis acatar la Constitución?” acordó que “todos los que han prestado acatamiento a la Constitución han adquirido la condición plena de senadores”.</w:t>
      </w:r>
    </w:p>
    <w:p w14:paraId="0A7E7793" w14:textId="77777777" w:rsidR="008D479B" w:rsidRDefault="008D479B" w:rsidP="008D479B">
      <w:pPr>
        <w:pStyle w:val="TextoNormal"/>
      </w:pPr>
    </w:p>
    <w:p w14:paraId="77E9B8A6" w14:textId="77777777" w:rsidR="008D479B" w:rsidRDefault="008D479B" w:rsidP="008D479B">
      <w:pPr>
        <w:pStyle w:val="TextoNormal"/>
      </w:pPr>
      <w:r>
        <w:t>b) El portavoz del Grupo Parlamentario Popular en el Senado elevó el día 23 de mayo de 2019 un escrito a la mesa del Senado solicitando la revisión de todas las fórmulas utilizadas para prometer o jurar acatar la Constitución, al entender que algunos senadores no emitieron una respuesta clara e inequívoca al respecto y no respetaron lo previsto en el Reglamento.</w:t>
      </w:r>
    </w:p>
    <w:p w14:paraId="0FF841F2" w14:textId="77777777" w:rsidR="008D479B" w:rsidRDefault="008D479B" w:rsidP="008D479B">
      <w:pPr>
        <w:pStyle w:val="TextoNormal"/>
      </w:pPr>
    </w:p>
    <w:p w14:paraId="4B2189AF" w14:textId="77777777" w:rsidR="008D479B" w:rsidRDefault="008D479B" w:rsidP="008D479B">
      <w:pPr>
        <w:pStyle w:val="TextoNormal"/>
      </w:pPr>
      <w:r>
        <w:t>c) El 29 de mayo de 2019 la mesa del Senado comunicó el acuerdo en cuya virtud “de conformidad con lo previsto en el artículo 11.3 del Reglamento del Senado, interpretado según la jurisprudencia establecida en la sentencia del Tribunal Constitucional 74/1991, de 8 de abril, y siguiendo los precedentes obrantes en la Cámara, no procede la revisión de las fórmulas de acatamiento a la Constitución utilizadas por cada uno de los senadores”.</w:t>
      </w:r>
    </w:p>
    <w:p w14:paraId="39F0BF52" w14:textId="77777777" w:rsidR="008D479B" w:rsidRDefault="008D479B" w:rsidP="008D479B">
      <w:pPr>
        <w:pStyle w:val="TextoNormal"/>
      </w:pPr>
    </w:p>
    <w:p w14:paraId="364E78FC" w14:textId="77777777" w:rsidR="008D479B" w:rsidRDefault="008D479B" w:rsidP="008D479B">
      <w:pPr>
        <w:pStyle w:val="TextoNormal"/>
      </w:pPr>
      <w:r>
        <w:t>d) El 11 de junio de 2019 el portavoz del Grupo Parlamentario Popular en el Senado dirigió a la mesa una solicitud de reconsideración del citado acuerdo de 29 de mayo de 2019, con la finalidad de que se procediera a la revisión de todas y cada una de las fórmulas utilizadas para acatar la Constitución, con el objeto de comprobar si los términos utilizados y las respuestas ofrecidas se ajustaban a la legalidad.</w:t>
      </w:r>
    </w:p>
    <w:p w14:paraId="19C1AB7C" w14:textId="77777777" w:rsidR="008D479B" w:rsidRDefault="008D479B" w:rsidP="008D479B">
      <w:pPr>
        <w:pStyle w:val="TextoNormal"/>
      </w:pPr>
    </w:p>
    <w:p w14:paraId="7B8BA689" w14:textId="017655B8" w:rsidR="008D479B" w:rsidRDefault="008D479B" w:rsidP="008D479B">
      <w:pPr>
        <w:pStyle w:val="TextoNormal"/>
      </w:pPr>
      <w:r>
        <w:t>e) La solicitud de reconsideración fue desestimada por acuerdo de la mesa del Senado de 18 de junio de 2019. En el acuerdo se argumenta que el Senado solo debe atender a su Reglamento en lo que atañe al juramento o promesa de acatamiento de la Constitución por parte de los senadores y no a otras disposiciones. Indica también que la doctrina constitucional sobre este asunto afirma la prevalencia de los derechos de participación y representación amparados por el artículo 23.2 de la Constitución “sobre una exigencia formalista o rigorista” de los requisitos establecidos para su ejercicio, como pudiera ser el contemplado en el citado art. 11.3 RS, por lo que vienen aceptándose en sucesivas legislaturas fórmulas de acatamiento con un contenido diferente del previsto expresamente en el citado Reglamento del Senado siempre que, en todo caso, se afirme dicho acatamiento.</w:t>
      </w:r>
    </w:p>
    <w:p w14:paraId="61693F38" w14:textId="77777777" w:rsidR="008D479B" w:rsidRDefault="008D479B" w:rsidP="008D479B">
      <w:pPr>
        <w:pStyle w:val="TextoNormal"/>
      </w:pPr>
    </w:p>
    <w:p w14:paraId="752412B9" w14:textId="77777777" w:rsidR="008D479B" w:rsidRDefault="008D479B" w:rsidP="008D479B">
      <w:pPr>
        <w:pStyle w:val="TextoNormal"/>
      </w:pPr>
      <w:r w:rsidRPr="008D479B">
        <w:rPr>
          <w:rStyle w:val="NumeroAFNegritaCaracter"/>
        </w:rPr>
        <w:t>3</w:t>
      </w:r>
      <w:r>
        <w:t>. La demanda de amparo, tras reproducir algunas de las fórmulas de juramento o promesa empleadas indicando que algunas de ellas entran en contradicción con el juramento o promesa de acatar la Constitución, señala que se ha vulnerado el derecho fundamental a la representación política del art. 23.1 CE y el principio de igualdad y no discriminación del art. 14 CE por tener por cumplimentado por todos los senadores el requisito de promesa o juramento de acatamiento de la Constitución, afirmando la adquisición de la condición plena de parlamentario a senadores electos que no han cumplido el requisito establecido en el art. 11 RS.</w:t>
      </w:r>
    </w:p>
    <w:p w14:paraId="0992EC01" w14:textId="77777777" w:rsidR="008D479B" w:rsidRDefault="008D479B" w:rsidP="008D479B">
      <w:pPr>
        <w:pStyle w:val="TextoNormal"/>
      </w:pPr>
    </w:p>
    <w:p w14:paraId="00B34890" w14:textId="77777777" w:rsidR="008D479B" w:rsidRDefault="008D479B" w:rsidP="008D479B">
      <w:pPr>
        <w:pStyle w:val="TextoNormal"/>
      </w:pPr>
      <w:r>
        <w:t>Los recurrentes identifican en la demanda las expresiones o fórmulas utilizadas por diecisiete senadores que se recogen en el “Diario de Sesiones”, como fórmulas que no podían admitirse para el cumplimiento del requisito de acatamiento de la Constitución. Asimismo, identifican doce senadores que, al haber utilizado expresiones o manifestaciones en euskera, que no se transcriben totalmente en el diario de sesiones, no consta que el presidente del Senado hubiera podido comprender lo manifestado por los mismos al prestar el acatamiento y decidir sobre el debido cumplimiento del requisito del acatamiento a la Constitución.</w:t>
      </w:r>
    </w:p>
    <w:p w14:paraId="30507052" w14:textId="77777777" w:rsidR="008D479B" w:rsidRDefault="008D479B" w:rsidP="008D479B">
      <w:pPr>
        <w:pStyle w:val="TextoNormal"/>
      </w:pPr>
    </w:p>
    <w:p w14:paraId="38E39700" w14:textId="77777777" w:rsidR="008D479B" w:rsidRDefault="008D479B" w:rsidP="008D479B">
      <w:pPr>
        <w:pStyle w:val="TextoNormal"/>
      </w:pPr>
      <w:r>
        <w:t>a) Por un lado, se alega que las fórmulas empleadas por algunos senadores electos van más allá del mero incumplimiento de la obligación de juramento o promesa de acatar la Constitución, puesto que significan el juramento o promesa de vulnerar la Constitución, promoviendo un proceso de ruptura del orden constitucional. Lo que se lleva a cabo en la práctica es transformar un instrumento de integración y de defensa de la Constitución en un compromiso jurídico de vulnerar el orden constitucional. Se sustituye el juramento o promesa de acatar la Constitución por el juramento o promesa de acatar el mandato democrático del 1 de octubre y la fidelidad a la república catalana, como estado independiente y soberano, social y democrático de Derecho, como así se define en la declaración unilateral de independencia, de 27 de octubre de 2017. Señala que en el “Diario de Sesiones” se recogen algunas de las fórmulas de juramento o promesa utilizadas por los senadores electos que entran en contradicción con el juramento o promesa de acatar la Constitución por ser incompatibles con el contenido de la Constitución cuya legitimidad o carácter democrático rechazan y por expresar el compromiso de alcanzar objetivos políticos al margen y soslayando el ordenamiento constitucional, no existiendo en ningún caso certeza de incondicionalidad del juramento o promesa.</w:t>
      </w:r>
    </w:p>
    <w:p w14:paraId="302F19CE" w14:textId="77777777" w:rsidR="008D479B" w:rsidRDefault="008D479B" w:rsidP="008D479B">
      <w:pPr>
        <w:pStyle w:val="TextoNormal"/>
      </w:pPr>
    </w:p>
    <w:p w14:paraId="38A898F1" w14:textId="77777777" w:rsidR="008D479B" w:rsidRDefault="008D479B" w:rsidP="008D479B">
      <w:pPr>
        <w:pStyle w:val="TextoNormal"/>
      </w:pPr>
      <w:r>
        <w:t>Por todo ello se vulneraria tanto el derecho fundamental a la representación política de los recurrentes (art. 23.1 CE) como el principio de igualdad (art. 14 CE).</w:t>
      </w:r>
    </w:p>
    <w:p w14:paraId="1E20F5C0" w14:textId="77777777" w:rsidR="008D479B" w:rsidRDefault="008D479B" w:rsidP="008D479B">
      <w:pPr>
        <w:pStyle w:val="TextoNormal"/>
      </w:pPr>
    </w:p>
    <w:p w14:paraId="42A38036" w14:textId="77777777" w:rsidR="008D479B" w:rsidRDefault="008D479B" w:rsidP="008D479B">
      <w:pPr>
        <w:pStyle w:val="TextoNormal"/>
      </w:pPr>
      <w:r>
        <w:t>b) El uso de fórmulas de juramento o promesa, empleando las lenguas cooficiales de las comunidades autónomas que el presidente del Senado no tiene obligación de conocer, impide que el presidente del Senado pueda dar cumplimiento efectivo a lo previsto en el art. 11 RS, por lo que no podía dictar el acuerdo en la sesión constitutiva del Senado, por el que tiene por cumplimentado por todos los senadores presentes el requisito de promesa o juramento de acatamiento de la Constitución y que concede la condición plena de senadores. Solo el conocimiento y comprensión íntegros de la fórmula utilizada permitirá descartar el que en la fórmula en cuestión hayan sido introducidas “cláusulas o expresiones que de una u otra forma vacíen, limiten o condicionen su sentido propio”.</w:t>
      </w:r>
    </w:p>
    <w:p w14:paraId="1468324D" w14:textId="77777777" w:rsidR="008D479B" w:rsidRDefault="008D479B" w:rsidP="008D479B">
      <w:pPr>
        <w:pStyle w:val="TextoNormal"/>
      </w:pPr>
    </w:p>
    <w:p w14:paraId="2B3A301C" w14:textId="77777777" w:rsidR="008D479B" w:rsidRDefault="008D479B" w:rsidP="008D479B">
      <w:pPr>
        <w:pStyle w:val="TextoNormal"/>
      </w:pPr>
      <w:r>
        <w:t>c) La conclusión de lo anteriormente expuesto es la inadecuada composición del Senado, lo que afecta a la naturaleza de la representación y a las funciones que la Cámara tiene encomendadas, ya que no es posible separar la representación individual del parlamentario de la representación colectiva de la Cámara.</w:t>
      </w:r>
    </w:p>
    <w:p w14:paraId="2CD32006" w14:textId="77777777" w:rsidR="008D479B" w:rsidRDefault="008D479B" w:rsidP="008D479B">
      <w:pPr>
        <w:pStyle w:val="TextoNormal"/>
      </w:pPr>
    </w:p>
    <w:p w14:paraId="1357D3F0" w14:textId="77777777" w:rsidR="008D479B" w:rsidRDefault="008D479B" w:rsidP="008D479B">
      <w:pPr>
        <w:pStyle w:val="TextoNormal"/>
      </w:pPr>
      <w:r>
        <w:t>d) Se alega también que las resoluciones recurridas son contrarias a la legalidad vigente, en especial a los arts. 108 LOREG y 11 RS, de los que se deriva que para tomar posesión de un cargo representativo se exige prestar juramento o promesa de acatamiento a la Constitución, lo que es condición imprescindible para la adquisición en plenitud de la condición de parlamentario, tal como deriva de la STC 119/1990, de 21 de junio, y de la STC 74/1991, de 8 de abril, entre otras citadas. Sentada la plena aplicabilidad y exigibilidad de este requisito, no cabe una interpretación laxa del mismo o, lo que es lo mismo, no cabe que la fórmula utilizada vacíe de contenido su sentido propio. Los acuerdos impugnados conculcan la legalidad parlamentaria en la medida en que amparan la adquisición de la plena condición de senador por senadores electos que no han cumplimentado el requisito esencial previsto en la LOREG y en el Reglamento de la Cámara, pues, dadas las fórmulas utilizadas, es ciertamente complejo entender producido el acatamiento requerido. Indica que las fórmulas que se cuestionan en este recurso de amparo no solo expresan convicciones incompatibles con el contenido de la Constitución sino que, por sí mismas o por su trasfondo, revelan el rechazo o la directa voluntad de llevar a cabo esa oposición por vías ajenas al ordenamiento constitucional. Se trata de fórmulas que por su claridad revelan dicha voluntad o aquellas en las que la ya de por sí dudosa fórmula escogida se acompaña del hecho de haber participado su emisor en acciones dirigidas a subvertir el orden constitucional.</w:t>
      </w:r>
    </w:p>
    <w:p w14:paraId="27BAA4B8" w14:textId="77777777" w:rsidR="008D479B" w:rsidRDefault="008D479B" w:rsidP="008D479B">
      <w:pPr>
        <w:pStyle w:val="TextoNormal"/>
      </w:pPr>
    </w:p>
    <w:p w14:paraId="705B9346" w14:textId="77777777" w:rsidR="008D479B" w:rsidRDefault="008D479B" w:rsidP="008D479B">
      <w:pPr>
        <w:pStyle w:val="TextoNormal"/>
      </w:pPr>
      <w:r>
        <w:t>Ese incumplimiento de la legalidad genera, a su vez, una vulneración del art. 23.1 CE, ya que se trata de actos que contrarían tanto la naturaleza de la representación, al afectar a la adecuada conformación del Senado, como a la igualdad de los representantes, pues la mayoría de ellos han procedido a llevar a cabo el requisito del juramento o promesa sin desbordar los límites fijados por la doctrina constitucional y resulta que quienes no lo han hecho así pueden ejercer su cargo de la misma manera que lo ejercen quienes han respetado de manera clara el mandato constitucional.</w:t>
      </w:r>
    </w:p>
    <w:p w14:paraId="6D0B2ACE" w14:textId="77777777" w:rsidR="008D479B" w:rsidRDefault="008D479B" w:rsidP="008D479B">
      <w:pPr>
        <w:pStyle w:val="TextoNormal"/>
      </w:pPr>
    </w:p>
    <w:p w14:paraId="4AB5D7BE" w14:textId="7C97344C" w:rsidR="008D479B" w:rsidRDefault="008D479B" w:rsidP="008D479B">
      <w:pPr>
        <w:pStyle w:val="TextoNormal"/>
      </w:pPr>
      <w:r>
        <w:t>e) El escrito de interposición del recurso de amparo justifica la especial trascendencia constitucional del mismo en el hecho de que da ocasión al Tribunal Constitucional para aclarar o cambiar su doctrina como consecuencia del surgimiento de nuevas realidades sociales y también en que el recurso trasciende el caso concreto porque plantea una cuestión jurídica de relevante y general repercusión social o económica, a la vez que plantea un problema o una faceta de un derecho fundamental susceptible de amparo sobre el que no hay doctrina del Tribunal Constitucional.</w:t>
      </w:r>
    </w:p>
    <w:p w14:paraId="5068B8A8" w14:textId="77777777" w:rsidR="008D479B" w:rsidRDefault="008D479B" w:rsidP="008D479B">
      <w:pPr>
        <w:pStyle w:val="TextoNormal"/>
      </w:pPr>
    </w:p>
    <w:p w14:paraId="17EE783D" w14:textId="77777777" w:rsidR="008D479B" w:rsidRDefault="008D479B" w:rsidP="008D479B">
      <w:pPr>
        <w:pStyle w:val="TextoNormal"/>
      </w:pPr>
      <w:r w:rsidRPr="008D479B">
        <w:rPr>
          <w:rStyle w:val="NumeroAFNegritaCaracter"/>
        </w:rPr>
        <w:t>4</w:t>
      </w:r>
      <w:r>
        <w:t>. El Pleno, por providencia de 9 de septiembre de 2020, acordó recabar para sí el conocimiento del presente recurso de amparo y admitirlo a trámite apreciando que concurre en el mismo una especial trascendencia constitucional [art. 50.1 de la Ley Orgánica del Tribunal Constitucional (LOTC)] porque el recurso puede dar ocasión al Tribunal para aclarar o cambiar su doctrina, como consecuencia del surgimiento de nuevas realidades sociales [STC 155/2009, de 25 de junio, FJ 2 b)] y porque el asunto suscitado trasciende del caso concreto porque pudiera tener unas consecuencias políticas generales [STC 155/2009, FJ 2 g)].</w:t>
      </w:r>
    </w:p>
    <w:p w14:paraId="109074DD" w14:textId="77777777" w:rsidR="008D479B" w:rsidRDefault="008D479B" w:rsidP="008D479B">
      <w:pPr>
        <w:pStyle w:val="TextoNormal"/>
      </w:pPr>
    </w:p>
    <w:p w14:paraId="5A9358E9" w14:textId="543DAE49" w:rsidR="008D479B" w:rsidRDefault="008D479B" w:rsidP="008D479B">
      <w:pPr>
        <w:pStyle w:val="TextoNormal"/>
      </w:pPr>
      <w:r>
        <w:t>En aplicación de lo dispuesto en el art. 51 LOTC, se acordó también dirigir atenta comunicación al Senado a fin de que, en plazo que no exceda de diez días, remita certificación o fotocopia adverada de las actuaciones correspondientes a los acuerdos de la mesa del Senado de 18 de junio y de 29 de mayo de 2019 y al acuerdo del presidente del Senado de 21 de mayo de 2019; debiendo previamente emplazarse a quienes hubieran sido parte en el procedimiento, excepto la parte recurrente en amparo, para que en el plazo de diez días puedan comparecer, si lo desean, en el recurso de amparo.</w:t>
      </w:r>
    </w:p>
    <w:p w14:paraId="7A931B9C" w14:textId="77777777" w:rsidR="008D479B" w:rsidRDefault="008D479B" w:rsidP="008D479B">
      <w:pPr>
        <w:pStyle w:val="TextoNormal"/>
      </w:pPr>
    </w:p>
    <w:p w14:paraId="1958F2C2" w14:textId="77777777" w:rsidR="008D479B" w:rsidRDefault="008D479B" w:rsidP="008D479B">
      <w:pPr>
        <w:pStyle w:val="TextoNormal"/>
      </w:pPr>
      <w:r w:rsidRPr="008D479B">
        <w:rPr>
          <w:rStyle w:val="NumeroAFNegritaCaracter"/>
        </w:rPr>
        <w:t>5</w:t>
      </w:r>
      <w:r>
        <w:t>. La Secretaría de Justicia del Pleno del Tribunal, por diligencia de ordenación de 24 de noviembre de 2020, tuvo por recibido el testimonio de las actuaciones, y por personados y parte en el procedimiento al Senado; a la procuradora doña Virginia Aragón Segura, en representación de don Francisco Javier Aragón Ariza, doña Mercedes Berenguer Llorens, doña María Fernández Álvarez, don Ander Gil García, don Antonio Julián Rodríguez Esquerdo y doña Riansares Serrano Morales, todos ellos senadores del Grupo Parlamentario Socialista; al procurador don Emilio Martínez Benítez en representación de don Raül Romeva i Rueda, don Josep Quintana i Caralt, doña Laura Castel i Fort, don Miquel Caminal i Cerdà, don Josep Rufà i Gracia, doña Ana María Surra Spadea, don Bernat Picornell i Grenzner, don Miquel Josep Aubà i Fleix, doña Elisenda Pérez i Esteve, don Xavier Castellana i Gamisans y doña Mirella Cortes i Gés; y al mismo procurador don Emilio Martínez Benítez, en representación de doña Sara Bailac i Ardanuy y don Jordi Martí i Deulofeu.</w:t>
      </w:r>
    </w:p>
    <w:p w14:paraId="508E4219" w14:textId="77777777" w:rsidR="008D479B" w:rsidRDefault="008D479B" w:rsidP="008D479B">
      <w:pPr>
        <w:pStyle w:val="TextoNormal"/>
      </w:pPr>
    </w:p>
    <w:p w14:paraId="57BBDCA9" w14:textId="6DC85BA9" w:rsidR="008D479B" w:rsidRDefault="008D479B" w:rsidP="008D479B">
      <w:pPr>
        <w:pStyle w:val="TextoNormal"/>
      </w:pPr>
      <w:r>
        <w:t>Y en aplicación de lo dispuesto en el artículo 52 LOTC dio vista de todas las actuaciones del presente recurso de amparo, en la Secretaría del Pleno, por un plazo común de veinte días, al Ministerio Fiscal y a las partes personadas para que, dentro de dicho término, presentasen las alegaciones que a su derecho convenga.</w:t>
      </w:r>
    </w:p>
    <w:p w14:paraId="26BE88EC" w14:textId="77777777" w:rsidR="008D479B" w:rsidRDefault="008D479B" w:rsidP="008D479B">
      <w:pPr>
        <w:pStyle w:val="TextoNormal"/>
      </w:pPr>
    </w:p>
    <w:p w14:paraId="0D5E2252" w14:textId="77777777" w:rsidR="008D479B" w:rsidRDefault="008D479B" w:rsidP="008D479B">
      <w:pPr>
        <w:pStyle w:val="TextoNormal"/>
      </w:pPr>
      <w:r w:rsidRPr="008D479B">
        <w:rPr>
          <w:rStyle w:val="NumeroAFNegritaCaracter"/>
        </w:rPr>
        <w:t>6</w:t>
      </w:r>
      <w:r>
        <w:t>. Las alegaciones del Senado se registraron en este tribunal el día 16 de diciembre de 2020.</w:t>
      </w:r>
    </w:p>
    <w:p w14:paraId="0802F79E" w14:textId="77777777" w:rsidR="008D479B" w:rsidRDefault="008D479B" w:rsidP="008D479B">
      <w:pPr>
        <w:pStyle w:val="TextoNormal"/>
      </w:pPr>
    </w:p>
    <w:p w14:paraId="44C85FC9" w14:textId="77777777" w:rsidR="008D479B" w:rsidRDefault="008D479B" w:rsidP="008D479B">
      <w:pPr>
        <w:pStyle w:val="TextoNormal"/>
      </w:pPr>
      <w:r>
        <w:t>En ellas, tras exponer los antecedentes de hecho del recurso, señala que no existe formalmente un acuerdo del presidente del Senado de 21 de mayo de 2019, ya que lo que se califica como tal es la declaración del presidente dando validez a los actos de acatamiento de la Constitución realizados por todos los senadores presentes, con lo que lo que se califica como lesivo de derechos fundamentales es la propia constitución de la Cámara.</w:t>
      </w:r>
    </w:p>
    <w:p w14:paraId="2B4EC137" w14:textId="77777777" w:rsidR="008D479B" w:rsidRDefault="008D479B" w:rsidP="008D479B">
      <w:pPr>
        <w:pStyle w:val="TextoNormal"/>
      </w:pPr>
    </w:p>
    <w:p w14:paraId="3436B4A1" w14:textId="77777777" w:rsidR="008D479B" w:rsidRDefault="008D479B" w:rsidP="008D479B">
      <w:pPr>
        <w:pStyle w:val="TextoNormal"/>
      </w:pPr>
      <w:r>
        <w:t>a) El Senado argumenta la existencia de diversos óbices procesales.</w:t>
      </w:r>
    </w:p>
    <w:p w14:paraId="2319A714" w14:textId="77777777" w:rsidR="008D479B" w:rsidRDefault="008D479B" w:rsidP="008D479B">
      <w:pPr>
        <w:pStyle w:val="TextoNormal"/>
      </w:pPr>
    </w:p>
    <w:p w14:paraId="1B123064" w14:textId="77777777" w:rsidR="008D479B" w:rsidRDefault="008D479B" w:rsidP="008D479B">
      <w:pPr>
        <w:pStyle w:val="TextoNormal"/>
      </w:pPr>
      <w:r>
        <w:t xml:space="preserve">En primer lugar, que los recurrentes carecen de legitimación para la interposición del recurso de amparo. Ninguno de los dos senadores recurrentes eran los autores de la solicitud de revisión ni de la solicitud de reconsideración, escritos ambos firmados por el señor Cosidó Gutiérrez, en su condición de senador por Castilla y León el primero y como portavoz del Grupo Parlamentario Popular el segundo. Dicho senador había perdido esa condición en la fecha de la interposición del recurso de amparo. Y el señor Maroto Aranzábal, uno de los demandantes de amparo, no era senador el 21 de mayo de 2019, en la sesión constitutiva de la Cámara, condición que adquirió tras su designación por las Cortes de Castilla y León el día 24 de julio de 2019. El Senado se planeta si la representación que ostentan los senadores recurrentes es a título individual o como portavoces del grupo parlamentario, condición que ostentaban en el momento de interponer el recurso. El Senado niega que, pese a la doctrina del </w:t>
      </w:r>
      <w:r w:rsidRPr="008D479B">
        <w:rPr>
          <w:i/>
        </w:rPr>
        <w:t>favor actionis</w:t>
      </w:r>
      <w:r>
        <w:t>, la iniciativa de interponer un recurso de amparo parlamentario como el presente, en el que se discute la constitución del Senado antes de que se hayan formado los grupos parlamentarios y en relación con declaraciones personalísimas como las propias del acatamiento, corresponda a los portavoces del grupo. La letrada del Senado entiende, por tanto, que la capacidad para recurrir corresponde a cada uno de los senadores que participaron en la sesión constitutiva y, caso de querer que otra persona asuma su defensa, esa voluntad debería constar de forma indubitada, lo que no ocurre aquí. Si se considera que los senadores firmantes del recurso actúan en su propio nombre, se constata una falta de identidad entre quien actuó en el ámbito parlamentario y quienes ahora interponen la demanda de amparo. Ninguno de los dos actuó en tiempo y forma en la vía parlamentaria, ya que esa vía fue utilizada por quien entonces era el portavoz del grupo, pero que no ha interpuesto el recurso de amparo. En especial, no puede tenerse por persona directamente afectada al señor Maroto Aranzábal que, pese a ser el portavoz del grupo en el momento de la interposición del recurso, no era senador en la sesión constitutiva de la Cámara. En consecuencia, ninguno de los dos promotores del recurso puede tenerse por persona directamente afectada en los términos del art. 46.1 a) LOTC.</w:t>
      </w:r>
    </w:p>
    <w:p w14:paraId="0F5C0E78" w14:textId="77777777" w:rsidR="008D479B" w:rsidRDefault="008D479B" w:rsidP="008D479B">
      <w:pPr>
        <w:pStyle w:val="TextoNormal"/>
      </w:pPr>
    </w:p>
    <w:p w14:paraId="63E18920" w14:textId="77777777" w:rsidR="008D479B" w:rsidRDefault="008D479B" w:rsidP="008D479B">
      <w:pPr>
        <w:pStyle w:val="TextoNormal"/>
      </w:pPr>
      <w:r>
        <w:t>El Senado argumenta también la falta de agotamiento de la vía parlamentaria previa, ya que los demandantes de amparo no fueron parte en las impugnaciones de los acuerdos ahora recurridos. También se alega la falta de invocación del derecho lesionado en el procedimiento parlamentario previo, por cuanto en los escritos de revisión y reconsideración se afirma vulnerado el Reglamento del Senado con relación a la adquisición de la condición de senador, sin mención alguna a los arts. 23.1 y 14 CE que ahora se afirman vulnerados. Finalmente, se sostiene la pérdida sobrevenida de objeto del recurso por la finalización de la legislatura, así como la inviabilidad del recurso.</w:t>
      </w:r>
    </w:p>
    <w:p w14:paraId="388EF73E" w14:textId="77777777" w:rsidR="008D479B" w:rsidRDefault="008D479B" w:rsidP="008D479B">
      <w:pPr>
        <w:pStyle w:val="TextoNormal"/>
      </w:pPr>
    </w:p>
    <w:p w14:paraId="56D24552" w14:textId="77777777" w:rsidR="008D479B" w:rsidRDefault="008D479B" w:rsidP="008D479B">
      <w:pPr>
        <w:pStyle w:val="TextoNormal"/>
      </w:pPr>
      <w:r>
        <w:t>b) En cuanto al fondo del asunto, la letrada del Senado resume la doctrina constitucional sobre los derechos que se entienden vulnerados, así como los motivos alegados por la mesa de la Cámara para denegar la revisión de los acatamientos que se basan tanto en la interpretación del art. 11.3 RS que deriva de la STC 74/1991 como en los precedentes obrantes en la Cámara y en el principio de autonomía normativa de la misma.</w:t>
      </w:r>
    </w:p>
    <w:p w14:paraId="122B6E88" w14:textId="77777777" w:rsidR="008D479B" w:rsidRDefault="008D479B" w:rsidP="008D479B">
      <w:pPr>
        <w:pStyle w:val="TextoNormal"/>
      </w:pPr>
    </w:p>
    <w:p w14:paraId="3C93E7F2" w14:textId="77777777" w:rsidR="008D479B" w:rsidRDefault="008D479B" w:rsidP="008D479B">
      <w:pPr>
        <w:pStyle w:val="TextoNormal"/>
      </w:pPr>
      <w:r>
        <w:t>Sobre el primer motivo de impugnación, relativo a la vulneración de los derechos reconocidos en los arts. 23.1 y 14 CE por la admisión por el presidente del Senado de fórmulas que transforman el deber de acatamiento de la Constitución “en un compromiso jurídico de vulnerar el orden constitucional”, la letrada del Senado sostiene que del art. 23 CE no puede derivarse un derecho fundamental de unos senadores a que otros pronuncien la fórmula de acatamiento a la Constitución de una determinada manera, con el argumento de que esa es la única fórmula válida. También señala la existencia de doctrina constitucional que ha dado validez a fórmulas diversas de acatamiento de la Constitución, siempre que, con una interpretación flexible y no rigorista, sean claras e inequívocas y no se encuentren condicionadas, lo que ha sucedido en el caso, ya que en todos los cuestionados se incluye la fórmula “sí prometo”, con independencia de que junto a ello se exprese una posición ideológica determinada. De no haberse admitido dichas fórmulas, el presidente del Senado habría vulnerado el derecho de participación política de los senadores afectados, por el mero incumplimiento de una obligación formal.</w:t>
      </w:r>
    </w:p>
    <w:p w14:paraId="62E90F8A" w14:textId="77777777" w:rsidR="008D479B" w:rsidRDefault="008D479B" w:rsidP="008D479B">
      <w:pPr>
        <w:pStyle w:val="TextoNormal"/>
      </w:pPr>
    </w:p>
    <w:p w14:paraId="282062C1" w14:textId="77777777" w:rsidR="008D479B" w:rsidRDefault="008D479B" w:rsidP="008D479B">
      <w:pPr>
        <w:pStyle w:val="TextoNormal"/>
      </w:pPr>
      <w:r>
        <w:t>En cuanto al segundo motivo de impugnación, la vulneración de los derechos reconocidos en los arts. 23.1 y 14 CE por la admisión por el presidente del Senado de “cualquier” expresión de acatamiento sin comprenderla, el Senado sostiene que los recurrentes únicamente cuestionan las formas de acatamiento en euskera y señala también que no consta que el presidente del Senado no comprendiera las fórmulas de acatamiento y que, además, no era necesaria la comprensión íntegra de la fórmula de acatamiento dada la traducción inmediata que se hizo por los propios senadores. La letrada del Senado también recuerda que la sesión constitutiva es una de las ocasiones en las que está permitido el uso de las lenguas cooficiales e insiste en la idea de que el empleo de esas fórmulas de acatamiento a la Constitución no vulnera derechos de los ahora recurrentes en amparo.</w:t>
      </w:r>
    </w:p>
    <w:p w14:paraId="33043517" w14:textId="77777777" w:rsidR="008D479B" w:rsidRDefault="008D479B" w:rsidP="008D479B">
      <w:pPr>
        <w:pStyle w:val="TextoNormal"/>
      </w:pPr>
    </w:p>
    <w:p w14:paraId="6208EFCD" w14:textId="77777777" w:rsidR="008D479B" w:rsidRDefault="008D479B" w:rsidP="008D479B">
      <w:pPr>
        <w:pStyle w:val="TextoNormal"/>
      </w:pPr>
      <w:r>
        <w:t>Respecto al tercer motivo de amparo, relacionado con la denuncia de vulneración del art. 23.1 CE por la inadecuada composición del Senado originada por el acuerdo del presidente “que concede la condición de senadores de pleno derecho sin cumplir los requisitos de juramento o promesa de acatar la Constitución”, la letrada del Senado niega la premisa de la que parte la vulneración. Sostiene que todos los senadores cumplieron con su obligación de acatamiento a la Constitución, con lo que no existe composición viciada. Tampoco puede entenderse vulnerado el derecho fundamental al pleno ejercicio de la función representativa del art. 23.1 CE, por la infracción de la LOREG y del Reglamento del Senado, cuando lo que ha sucedido es que en cumplimiento estricto de tales preceptos se declararon válidas las fórmulas de acatamiento pronunciadas en la sesión constitutiva del Senado, las cuales no pueden ser cuestionadas por las convicciones o manifestaciones políticas de los senadores que las prestaron.</w:t>
      </w:r>
    </w:p>
    <w:p w14:paraId="57179CD1" w14:textId="77777777" w:rsidR="008D479B" w:rsidRDefault="008D479B" w:rsidP="008D479B">
      <w:pPr>
        <w:pStyle w:val="TextoNormal"/>
      </w:pPr>
    </w:p>
    <w:p w14:paraId="3019CFDD" w14:textId="3C364CE9" w:rsidR="008D479B" w:rsidRDefault="008D479B" w:rsidP="008D479B">
      <w:pPr>
        <w:pStyle w:val="TextoNormal"/>
      </w:pPr>
      <w:r>
        <w:t>Finalmente, en cuanto al motivo relativo a la vulneración del derecho a la igualdad y no discriminación, la letrada del Senado sostiene que su mención es superflua y que no se pudo haber producido ninguna vulneración, desde el momento en que todos los senadores acataron la Constitución, cumpliendo todos ellos con el requisito necesario para adquirir la plena condición del cargo en condiciones de igualdad.</w:t>
      </w:r>
    </w:p>
    <w:p w14:paraId="226F10CF" w14:textId="77777777" w:rsidR="008D479B" w:rsidRDefault="008D479B" w:rsidP="008D479B">
      <w:pPr>
        <w:pStyle w:val="TextoNormal"/>
      </w:pPr>
    </w:p>
    <w:p w14:paraId="71788E34" w14:textId="38F45927" w:rsidR="008D479B" w:rsidRDefault="008D479B" w:rsidP="008D479B">
      <w:pPr>
        <w:pStyle w:val="TextoNormal"/>
      </w:pPr>
      <w:r w:rsidRPr="008D479B">
        <w:rPr>
          <w:rStyle w:val="NumeroAFNegritaCaracter"/>
        </w:rPr>
        <w:t>7</w:t>
      </w:r>
      <w:r>
        <w:t>. Los demandantes de amparo se ratificaron en el contenido de su demanda por escrito registrado el día 29 de diciembre de 2020.</w:t>
      </w:r>
    </w:p>
    <w:p w14:paraId="3926882E" w14:textId="77777777" w:rsidR="008D479B" w:rsidRDefault="008D479B" w:rsidP="008D479B">
      <w:pPr>
        <w:pStyle w:val="TextoNormal"/>
      </w:pPr>
    </w:p>
    <w:p w14:paraId="3A89B2AE" w14:textId="77777777" w:rsidR="008D479B" w:rsidRDefault="008D479B" w:rsidP="008D479B">
      <w:pPr>
        <w:pStyle w:val="TextoNormal"/>
      </w:pPr>
      <w:r w:rsidRPr="008D479B">
        <w:rPr>
          <w:rStyle w:val="NumeroAFNegritaCaracter"/>
        </w:rPr>
        <w:t>8</w:t>
      </w:r>
      <w:r>
        <w:t>. La representación procesal de los senadores don Francisco Javier Aragón Ariza, doña Mercedes Berenguer Llorens, doña María Fernández Álvarez, don Ander Gil García, don Antonio Julián Rodríguez Esquerdo y doña Riansares Serrano Morales interesó la desestimación del recurso de amparo por escrito que tuvo entrada en este tribunal el día 29 de diciembre de 2020.</w:t>
      </w:r>
    </w:p>
    <w:p w14:paraId="2C7A38CD" w14:textId="77777777" w:rsidR="008D479B" w:rsidRDefault="008D479B" w:rsidP="008D479B">
      <w:pPr>
        <w:pStyle w:val="TextoNormal"/>
      </w:pPr>
    </w:p>
    <w:p w14:paraId="12437220" w14:textId="77777777" w:rsidR="008D479B" w:rsidRDefault="008D479B" w:rsidP="008D479B">
      <w:pPr>
        <w:pStyle w:val="TextoNormal"/>
      </w:pPr>
      <w:r>
        <w:t>Señalan en primer lugar que la demanda de amparo es, en realidad, un contra-amparo, pues la regulación de la LOTC impide que unos parlamentarios puedan recurrir decisiones que afectan directamente a otros parlamentarios, por mucho que puedan parecerles discutibles desde un punto de vista constitucional. Se requiere necesariamente que el acto cuestionado le haya afectado en algún derecho fundamental, lo que no sucede aquí. Los senadores recurrentes están cuestionando la adquisición de la condición plena de senadores de otros integrantes de la Cámara, lo que hace que no se vea afectado el derecho fundamental al ejercicio de cargo público en condiciones de igualdad de los recurrentes (con cita del ATC 262/2007, de 25 de mayo). Esta parte señala que no se puede compartir la pretensión de los recurrentes relativa a que la plenitud de su derecho fundamental solo se hubiera podido conformar en una Cámara en la que unos senadores no hubieran podido conseguir la condición plena de senadores, ya que ello es pretender que el desarrollo adecuado del art. 23 CE de unos senadores depende de que otros senadores electos no puedan alcanzar su condición plena, lo que es contrario a la doctrina constitucional. También se cita la providencia del Tribunal Constitucional por la que se inadmite el recurso de amparo núm. 297-2017, interpuesto por diputados del Grupo Parlamentario Popular en el Parlamento Vasco contra la decisión de la mesa de edad de dicha Cámara que había aceptado que los parlamentarios no tuvieran que acatar la Constitución para adquirir la condición plena, en que se afirmó que esa decisión no lesionó el derecho del resto de los parlamentarios. Se descarta que resulte afectado el derecho a la igualdad, que debe quedar subsumido en la invocación del art. 23.2 CE, ya que este es un ejemplo de “discriminación por indiferenciación” que no supone atentar contra el principio de igualdad.</w:t>
      </w:r>
    </w:p>
    <w:p w14:paraId="3B194876" w14:textId="77777777" w:rsidR="008D479B" w:rsidRDefault="008D479B" w:rsidP="008D479B">
      <w:pPr>
        <w:pStyle w:val="TextoNormal"/>
      </w:pPr>
    </w:p>
    <w:p w14:paraId="269B5E62" w14:textId="3DA792D4" w:rsidR="008D479B" w:rsidRDefault="008D479B" w:rsidP="008D479B">
      <w:pPr>
        <w:pStyle w:val="TextoNormal"/>
      </w:pPr>
      <w:r>
        <w:t>En todo caso, se afirma la validez de la interpretación de la normativa parlamentaria que hizo el presidente del Senado, en virtud de la cual todas las fórmulas utilizadas en el trámite previsto en el art. 11 RS en la sesión de apertura de la XIII Legislatura, incluidas las que los recurrentes consideran inválidas, fueron acordes al ordenamiento jurídico y con los precedentes parlamentarios, ya que (i) la obligación de los parlamentarios de jurar o prometer el acatamiento de la Constitución en el momento de tomar posesión no es un requisito para acceder a la condición de diputado o senador (SSTC 119/1990, FJ 4, y 74/1991, FJ 2), sino para el ejercicio de las funciones propias de tal condición que, en ningún caso, puede convertirse en una carga desproporcionada para el titular del derecho ni restringir el mismo de forma constitucionalmente intolerable; y (ii) el acatamiento ha de servir para expresar una voluntad de cumplimiento pleno e incondicional de la Constitución, con independencia de las causas o motivaciones que cada parlamentario puede tener para acatar dicha norma, que es lo que sucede en estos casos en que las fórmulas de acatamiento objeto de disputa expresan distintas motivaciones, algunas incompatibles con nuestro texto constitucional, pero que no condicionan el acatamiento a la Constitución a la satisfacción de aquellas, ni lo limitan material, territorial o temporalmente.</w:t>
      </w:r>
    </w:p>
    <w:p w14:paraId="25BA1C2D" w14:textId="77777777" w:rsidR="008D479B" w:rsidRDefault="008D479B" w:rsidP="008D479B">
      <w:pPr>
        <w:pStyle w:val="TextoNormal"/>
      </w:pPr>
    </w:p>
    <w:p w14:paraId="577C8B4A" w14:textId="77777777" w:rsidR="008D479B" w:rsidRDefault="008D479B" w:rsidP="008D479B">
      <w:pPr>
        <w:pStyle w:val="TextoNormal"/>
      </w:pPr>
      <w:r w:rsidRPr="008D479B">
        <w:rPr>
          <w:rStyle w:val="NumeroAFNegritaCaracter"/>
        </w:rPr>
        <w:t>9</w:t>
      </w:r>
      <w:r>
        <w:t>. La representación procesal de los senadores don Raül Romeva i Rueda, don Josep Quintana i Caralt, doña Laura Castel i Fort, don Miquel Caminal i Cerdà, don Josep Rufà i Gracia, doña Ana María Surra Spadea, don Bernat Picornell i Grenzner, don Miquel Josep Aubà i Fleix, doña Elisenda Pérez i Esteve, don Xavier Castellana i Gamisans, doña Mirella Cortes i Gés, doña Sara Bailac i Ardanuy y don Jordi Martí i Deulofeu formuló sus alegaciones por escrito registrado el día 30 de diciembre de 2020.</w:t>
      </w:r>
    </w:p>
    <w:p w14:paraId="58DFFE02" w14:textId="77777777" w:rsidR="008D479B" w:rsidRDefault="008D479B" w:rsidP="008D479B">
      <w:pPr>
        <w:pStyle w:val="TextoNormal"/>
      </w:pPr>
    </w:p>
    <w:p w14:paraId="61E48128" w14:textId="77777777" w:rsidR="008D479B" w:rsidRDefault="008D479B" w:rsidP="008D479B">
      <w:pPr>
        <w:pStyle w:val="TextoNormal"/>
      </w:pPr>
      <w:r>
        <w:t>Alega en primer lugar la pérdida de objeto del procedimiento ya que el recurso tiene por objeto los acuerdos de la Presidencia de la Cámara y de su mesa relativos a la fórmula de promesa o juramento empleada para el acceso a la condición plena de miembros de dicha Cámara en la XIII legislatura, legislatura ya finalizada, por lo que la estimación del recurso de amparo supondría la pérdida retroactiva de la condición plena de miembro de la Cámara sin posibilidad de subsanación de dicha circunstancia, lo que sería contrario al art. 23 CE.</w:t>
      </w:r>
    </w:p>
    <w:p w14:paraId="0D8139FA" w14:textId="77777777" w:rsidR="008D479B" w:rsidRDefault="008D479B" w:rsidP="008D479B">
      <w:pPr>
        <w:pStyle w:val="TextoNormal"/>
      </w:pPr>
    </w:p>
    <w:p w14:paraId="12E97EB0" w14:textId="77777777" w:rsidR="008D479B" w:rsidRDefault="008D479B" w:rsidP="008D479B">
      <w:pPr>
        <w:pStyle w:val="TextoNormal"/>
      </w:pPr>
      <w:r>
        <w:t>Afirma que el Tribunal Constitucional es incompetente para conocer de este procedimiento por no ser su objeto el propio de un recurso de amparo, ya que lo cuestionado es el margen de apreciación de la Presidencia de la Cámara para valorar el carácter ajustado o no a la Constitución y a la doctrina constitucional de la fórmula de promesa o juramento de la Constitución, margen de apreciación que ha sido reconocido de forma expresa en la STC 74/1991, FJ 4, y que se encuentra dentro de las competencias que el reglamento de la Cámara otorga a la Presidencia; por lo que los recurrentes pretenden formalizar un impropio recurso de inconstitucionalidad o un encubierto e impropio conflicto de órganos constitucionales.</w:t>
      </w:r>
    </w:p>
    <w:p w14:paraId="049F907B" w14:textId="77777777" w:rsidR="008D479B" w:rsidRDefault="008D479B" w:rsidP="008D479B">
      <w:pPr>
        <w:pStyle w:val="TextoNormal"/>
      </w:pPr>
    </w:p>
    <w:p w14:paraId="672DF675" w14:textId="77777777" w:rsidR="008D479B" w:rsidRDefault="008D479B" w:rsidP="008D479B">
      <w:pPr>
        <w:pStyle w:val="TextoNormal"/>
      </w:pPr>
      <w:r>
        <w:t>Sostiene también que los demandantes de amparo carecen de legitimación para la interposición del recurso [arts. 46.1 a) y 42 LOTC], por lo que tiene que inadmitirse o, subsidiariamente, desestimarse. Afirma que la configuración de la promesa o juramento del acatamiento de la Constitución como un requisito o un límite al derecho fundamental del art. 23.2 CE impide por su propia naturaleza que la exigencia de su cumplimiento pueda considerarse como integrante del derecho fundamental de terceros diputados. También destaca que el Tribunal General de la Unión Europea, en auto de 19 de noviembre de 2020 dictado en el asunto T-32/20, ha considerado que terceros parlamentarios europeos carecían de legitimación activa para impugnar la decisión del Parlamento Europeo de admitir como parlamentarios europeos a determinados electos, al considerar que la no exigencia del requisito de promesa o juramento de la Constitución para acceder a la condición plena de parlamentarios no afecta la situación jurídica propia de los recurrentes, quienes no pueden arrogarse como contenido de sus derechos aquello que concierne al Parlamento como institución. Niega, igualmente, que se haya visto afectado el derecho a la igualdad de los demandantes de amparo, puesto que no han sido privados de su acceso al cargo o de su ejercicio, como tampoco lo habrían sido de haber utilizado ellos mismos una fórmula de juramento o promesa de la constitución como las utilizadas por los otros diputados.</w:t>
      </w:r>
    </w:p>
    <w:p w14:paraId="74E21070" w14:textId="77777777" w:rsidR="008D479B" w:rsidRDefault="008D479B" w:rsidP="008D479B">
      <w:pPr>
        <w:pStyle w:val="TextoNormal"/>
      </w:pPr>
    </w:p>
    <w:p w14:paraId="2B903CF6" w14:textId="77777777" w:rsidR="008D479B" w:rsidRDefault="008D479B" w:rsidP="008D479B">
      <w:pPr>
        <w:pStyle w:val="TextoNormal"/>
      </w:pPr>
      <w:r>
        <w:t>Por último, se alega que las fórmulas utilizadas cumplen con los requisitos establecidos ya que la doctrina constitucional ha reiterado que la Constitución no consagra una democracia militante ni exige una adhesión ideológica a la misma, por lo que el requisito de juramento o promesa de acatamiento de la Constitución no puede exigirse con un formalismo y rigorismo tales que vulneren el derecho fundamental del art. 23.2 CE, y en este caso dichas formulas no vacían de contenido, limitan “ni desnaturalizan” el acatamiento.</w:t>
      </w:r>
    </w:p>
    <w:p w14:paraId="523275EA" w14:textId="77777777" w:rsidR="008D479B" w:rsidRDefault="008D479B" w:rsidP="008D479B">
      <w:pPr>
        <w:pStyle w:val="TextoNormal"/>
      </w:pPr>
    </w:p>
    <w:p w14:paraId="3E279551" w14:textId="3118E9EC" w:rsidR="008D479B" w:rsidRDefault="008D479B" w:rsidP="008D479B">
      <w:pPr>
        <w:pStyle w:val="TextoNormal"/>
      </w:pPr>
      <w:r>
        <w:t>En un escrito posterior, registrado el 21 de enero de 2023 solicitó que se decretase la terminación del proceso y su archivo por carencia sobrevenida del objeto procesal en relación con el señor Miquel Josep Aubà i Fleix, al haber finalizado su mandato como senador por defunción.</w:t>
      </w:r>
    </w:p>
    <w:p w14:paraId="6A2E530A" w14:textId="77777777" w:rsidR="008D479B" w:rsidRDefault="008D479B" w:rsidP="008D479B">
      <w:pPr>
        <w:pStyle w:val="TextoNormal"/>
      </w:pPr>
    </w:p>
    <w:p w14:paraId="1553E334" w14:textId="77777777" w:rsidR="008D479B" w:rsidRDefault="008D479B" w:rsidP="008D479B">
      <w:pPr>
        <w:pStyle w:val="TextoNormal"/>
      </w:pPr>
      <w:r w:rsidRPr="008D479B">
        <w:rPr>
          <w:rStyle w:val="NumeroAFNegritaCaracter"/>
        </w:rPr>
        <w:t>10</w:t>
      </w:r>
      <w:r>
        <w:t>. El Ministerio Fiscal, mediante escrito registrado el 28 de enero de 2021, presentó sus alegaciones interesando la desestimación del presente recurso de amparo.</w:t>
      </w:r>
    </w:p>
    <w:p w14:paraId="0630AEC6" w14:textId="77777777" w:rsidR="008D479B" w:rsidRDefault="008D479B" w:rsidP="008D479B">
      <w:pPr>
        <w:pStyle w:val="TextoNormal"/>
      </w:pPr>
    </w:p>
    <w:p w14:paraId="42163DA7" w14:textId="77777777" w:rsidR="008D479B" w:rsidRDefault="008D479B" w:rsidP="008D479B">
      <w:pPr>
        <w:pStyle w:val="TextoNormal"/>
      </w:pPr>
      <w:r>
        <w:t>El Ministerio Fiscal considera que (i) el recurso no ha perdido objeto a pesar de haber finalizado la XIII Legislatura en la que se adoptaron los acuerdos impugnados, sin perjuicio del alcance que pudiera tener un eventual pronunciamiento estimatorio del recurso; (ii) los demandantes de amparo tienen legitimación para recurrir, al haber intervenido en el proceso de impugnación parlamentario previo al presente recurso de amparo y ser titulares de los derechos fundamentales invocados, lo que les confiere un interés legítimo en su defensa frente a los acuerdos parlamentarios que consideran que han lesionado dichos derechos. A esos efectos, destaca que existe un interés legítimo de los recurrentes en que el acceso al cargo parlamentario y su perfeccionamiento se produzca con observancia de la normativa que regula el procedimiento para ello y que el desempeño de la función parlamentaria, para la que habilita la adquisición plena del cargo, se produzca con una Cámara debidamente constituida.</w:t>
      </w:r>
    </w:p>
    <w:p w14:paraId="6B1435B4" w14:textId="77777777" w:rsidR="008D479B" w:rsidRDefault="008D479B" w:rsidP="008D479B">
      <w:pPr>
        <w:pStyle w:val="TextoNormal"/>
      </w:pPr>
    </w:p>
    <w:p w14:paraId="71D233E5" w14:textId="77777777" w:rsidR="008D479B" w:rsidRDefault="008D479B" w:rsidP="008D479B">
      <w:pPr>
        <w:pStyle w:val="TextoNormal"/>
      </w:pPr>
      <w:r>
        <w:t>El Ministerio Fiscal, por lo que respecta al cumplimiento de la normativa parlamentaria, tras exponer la doctrina constitucional sobre la fórmula de acatamiento de la Constitución por los cargos electos establecida en las SSTC 101/1983, de 18 de noviembre; 122/1983, de 16 de diciembre; 119/1990, de 21 de junio, y 74/1991, de 8 de abril, y señalar que en aquellos recursos lo impugnado eran decisiones en que se denegó la plena adquisición del cargo parlamentario, argumenta que el Tribunal rechazó que el cumplimiento del requisito del acatamiento de la Constitución se exija de una manera rigorista o exageradamente formalista, contradiciendo la naturaleza del cargo parlamentario, también va a poner de manifiesto que eso no implica qué deba entenderse como la ausencia de todo formalismo o ritual en su cumplimiento.</w:t>
      </w:r>
    </w:p>
    <w:p w14:paraId="1CFAA152" w14:textId="77777777" w:rsidR="008D479B" w:rsidRDefault="008D479B" w:rsidP="008D479B">
      <w:pPr>
        <w:pStyle w:val="TextoNormal"/>
      </w:pPr>
    </w:p>
    <w:p w14:paraId="60670A4C" w14:textId="77777777" w:rsidR="008D479B" w:rsidRDefault="008D479B" w:rsidP="008D479B">
      <w:pPr>
        <w:pStyle w:val="TextoNormal"/>
      </w:pPr>
      <w:r>
        <w:t>Por lo que se refiere a los supuestos que los demandantes relacionan en la demanda como aquellos en los que no consta que el presidente de la Cámara pudiera comprender las expresiones utilizadas “entendemos no pueden ser objeto de control de constitucionalidad por el Tribunal al tratarse de una cuestión fáctica sobre la que no corresponde al mismo pronunciarse, relativa a qué fue lo que se dijo o pronunció en tales casos y si el presidente del Senado pudo o no captar o comprender las expresiones empleadas y valorar su adecuación para entender cumplido el requisito del acatamiento”.</w:t>
      </w:r>
    </w:p>
    <w:p w14:paraId="47C6F37B" w14:textId="77777777" w:rsidR="008D479B" w:rsidRDefault="008D479B" w:rsidP="008D479B">
      <w:pPr>
        <w:pStyle w:val="TextoNormal"/>
      </w:pPr>
    </w:p>
    <w:p w14:paraId="12958C93" w14:textId="413DE324" w:rsidR="008D479B" w:rsidRDefault="008D479B" w:rsidP="008D479B">
      <w:pPr>
        <w:pStyle w:val="TextoNormal"/>
      </w:pPr>
      <w:r>
        <w:t xml:space="preserve">En cuanto a los casos en los que al prestar el acatamiento a la Constitución los senadores y senadoras contestaron añadiendo a la contestación formularia “sí prometo”, expresiones no previstas por el art. 11.3 RS, la fiscal considera que, partiendo del principio de autonomía parlamentaria y del margen de apreciación que debe reconocerse a los órganos rectores en el desempeño de las funciones que tienen asignadas por los reglamentos, los acuerdos impugnados no han vulnerado el derecho fundamental a la representación política, ya que “están debidamente sustentados, con una motivación que no cabe entender que sea claramente contraria a la norma reglamentaria o arbitraria”, pues las fórmulas de acatamiento utilizadas “si bien puede interpretarse que introducen limitaciones o variaciones respecto de un acatamiento claro e inequívoco, solo cabe estimar que, realmente, desnaturalizaron y privaron al acatamiento prestado que se concreta en la manifestación del ‘sí prometo’ o ‘sí juro’, de su significado propio, si se hace una interpretación de la fórmula empleada que, en lugar de estar regida por el principio </w:t>
      </w:r>
      <w:r w:rsidRPr="008D479B">
        <w:rPr>
          <w:i/>
        </w:rPr>
        <w:t>favor libertatis</w:t>
      </w:r>
      <w:r>
        <w:t>, para permitir la efectividad del derecho fundamental al cargo de representación política, acude a una valoración del propósito que animó a los diputados que emplearon tales expresiones, conectando las mismas con los actos en los que se concretó el denominado ‘proceso de ruptura’, para estimar que dichas expresiones respondían a una voluntad de mantener el rechazo de los mecanismos constitucionales para hacer efectivas las aspiraciones políticas que se defienden”. Se añade que la valoración o interpretación que los demandantes hacen del significado de tales expresiones y de la voluntad de los recurrentes que subyace en las mismas, no puede prevalecer ni reemplazar a la interpretación y valoración que de esas expresiones han realizado los órganos parlamentarios, en el marco de sus atribuciones y de acuerdo con el margen de apreciación que les es reconocible, al admitir que se había cumplimentado el requisito del acatamiento, con fundamento en la doctrina constitucional. Estas consideraciones llevan al Ministerio Fiscal a rechazar que concurra la vulneración alegada del art. 23 CE al concluir que no puede estimar que los actos impugnados hayan infringido la normativa reglamentaria que regula el acceso al cargo parlamentario en condiciones de igualdad.</w:t>
      </w:r>
    </w:p>
    <w:p w14:paraId="6DCB2330" w14:textId="77777777" w:rsidR="008D479B" w:rsidRDefault="008D479B" w:rsidP="008D479B">
      <w:pPr>
        <w:pStyle w:val="TextoNormal"/>
      </w:pPr>
    </w:p>
    <w:p w14:paraId="370BDBE2" w14:textId="5CFF40DF" w:rsidR="008D479B" w:rsidRDefault="008D479B" w:rsidP="008D479B">
      <w:pPr>
        <w:pStyle w:val="TextoNormal"/>
      </w:pPr>
      <w:r w:rsidRPr="008D479B">
        <w:rPr>
          <w:rStyle w:val="NumeroAFNegritaCaracter"/>
        </w:rPr>
        <w:t>11</w:t>
      </w:r>
      <w:r>
        <w:t>. Por providencia de 24 de octubre de 2023, se señaló ese mismo día para la deliberación y votación de la presente sentencia.</w:t>
      </w:r>
    </w:p>
    <w:p w14:paraId="102AABF5" w14:textId="77777777" w:rsidR="008D479B" w:rsidRDefault="008D479B" w:rsidP="008D479B">
      <w:pPr>
        <w:pStyle w:val="TextoNormal"/>
      </w:pPr>
    </w:p>
    <w:p w14:paraId="2008F946" w14:textId="77777777" w:rsidR="008D479B" w:rsidRDefault="008D479B" w:rsidP="008D479B">
      <w:pPr>
        <w:pStyle w:val="TextoNormalNegritaCentrado"/>
        <w:keepNext/>
      </w:pPr>
      <w:r>
        <w:t>II. Fundamentos jurídicos</w:t>
      </w:r>
    </w:p>
    <w:p w14:paraId="18040B91" w14:textId="6E3C72B2" w:rsidR="008D479B" w:rsidRDefault="008D479B" w:rsidP="008D479B">
      <w:pPr>
        <w:pStyle w:val="TextoNormalNegritaCentrado"/>
        <w:keepNext/>
      </w:pPr>
    </w:p>
    <w:p w14:paraId="7DE290CD" w14:textId="77777777" w:rsidR="008D479B" w:rsidRDefault="008D479B" w:rsidP="008D479B">
      <w:pPr>
        <w:pStyle w:val="TextoNormal"/>
      </w:pPr>
      <w:r w:rsidRPr="008D479B">
        <w:rPr>
          <w:rStyle w:val="NumeroAFNegritaCaracter"/>
        </w:rPr>
        <w:t>1</w:t>
      </w:r>
      <w:r>
        <w:t xml:space="preserve">. </w:t>
      </w:r>
      <w:r w:rsidRPr="008D479B">
        <w:rPr>
          <w:i/>
        </w:rPr>
        <w:t>Objeto del recurso</w:t>
      </w:r>
    </w:p>
    <w:p w14:paraId="0385BB6C" w14:textId="77777777" w:rsidR="008D479B" w:rsidRDefault="008D479B" w:rsidP="008D479B">
      <w:pPr>
        <w:pStyle w:val="TextoNormal"/>
      </w:pPr>
    </w:p>
    <w:p w14:paraId="0C7B3A57" w14:textId="77777777" w:rsidR="008D479B" w:rsidRDefault="008D479B" w:rsidP="008D479B">
      <w:pPr>
        <w:pStyle w:val="TextoNormal"/>
      </w:pPr>
      <w:r>
        <w:t>El objeto del presente recurso de amparo es el acuerdo de la mesa del Senado de 18 de junio de 2019, por el que se desestima la solicitud de reconsideración del acuerdo de 29 de mayo de 2019, por el que se declara que no procede la revisión del acuerdo del presidente del Senado de 21 de mayo de 2019 que, en la sesión constitutiva del Senado, tuvo por cumplimentado por todos los senadores presentes el requisito de promesa o juramento de acatamiento de la Constitución.</w:t>
      </w:r>
    </w:p>
    <w:p w14:paraId="50861BC2" w14:textId="77777777" w:rsidR="008D479B" w:rsidRDefault="008D479B" w:rsidP="008D479B">
      <w:pPr>
        <w:pStyle w:val="TextoNormal"/>
      </w:pPr>
    </w:p>
    <w:p w14:paraId="5086FD43" w14:textId="5AC46115" w:rsidR="008D479B" w:rsidRDefault="008D479B" w:rsidP="008D479B">
      <w:pPr>
        <w:pStyle w:val="TextoNormal"/>
      </w:pPr>
      <w:r>
        <w:t>Tal y como se estableció en la STC 65/2023 para el supuesto allí planteado, aunque el acuerdo de la Presidencia fue que “todos los que han prestado acatamiento a la Constitución han adquirido la condición plena de senadores”, el objeto del presente recurso queda limitado a la decisión transcrita en lo que concierne a los senadores cuyas fórmulas de acatamiento han sido objeto de impugnación en la demanda de amparo. En tal sentido, los recurrentes, pertenecientes al Grupo Parlamentario Popular en el Senado, alegan que algunos de los senadores que utilizaron fórmulas para el acatamiento de la Constitución, distintas a la reglamentariamente establecida en el art. 11.3 RS, y al menos diecisiete de esos senadores, utilizaron fórmulas o expresiones incompatibles con la Constitución. Por otra parte, también sostienen que doce senadores utilizaron, al prestar el requisito de acatamiento, expresiones en euskera cuya plena traducción no se recogió en el “Diario de Sesiones”, no constando que el presidente de la Cámara comprendiera lo manifestado por los senadores. Los recurrentes alegan que las decisiones impugnadas, en relación con las fórmulas de acatamiento que se acaban de mencionar, han vulnerado el derecho de representación política reconocido en el art. 23.l y 2 CE y el derecho de igualdad y no discriminación del art 14 CE.</w:t>
      </w:r>
    </w:p>
    <w:p w14:paraId="6E5C1BD9" w14:textId="77777777" w:rsidR="008D479B" w:rsidRDefault="008D479B" w:rsidP="008D479B">
      <w:pPr>
        <w:pStyle w:val="TextoNormal"/>
      </w:pPr>
    </w:p>
    <w:p w14:paraId="5D9E3FDC" w14:textId="77777777" w:rsidR="008D479B" w:rsidRDefault="008D479B" w:rsidP="008D479B">
      <w:pPr>
        <w:pStyle w:val="TextoNormal"/>
      </w:pPr>
      <w:r w:rsidRPr="008D479B">
        <w:rPr>
          <w:rStyle w:val="NumeroAFNegritaCaracter"/>
        </w:rPr>
        <w:t>2</w:t>
      </w:r>
      <w:r>
        <w:t xml:space="preserve">. </w:t>
      </w:r>
      <w:r w:rsidRPr="008D479B">
        <w:rPr>
          <w:i/>
        </w:rPr>
        <w:t>Cuestiones previas</w:t>
      </w:r>
    </w:p>
    <w:p w14:paraId="1FD68029" w14:textId="77777777" w:rsidR="008D479B" w:rsidRDefault="008D479B" w:rsidP="008D479B">
      <w:pPr>
        <w:pStyle w:val="TextoNormal"/>
      </w:pPr>
    </w:p>
    <w:p w14:paraId="194CE1EB" w14:textId="77777777" w:rsidR="008D479B" w:rsidRDefault="008D479B" w:rsidP="008D479B">
      <w:pPr>
        <w:pStyle w:val="TextoNormal"/>
      </w:pPr>
      <w:r>
        <w:t>En las alegaciones de las partes que han comparecido en el presente recurso se han planteado una serie de cuestiones previas que es necesario examinar antes de resolver el fondo del asunto planteado.</w:t>
      </w:r>
    </w:p>
    <w:p w14:paraId="19579B27" w14:textId="77777777" w:rsidR="008D479B" w:rsidRDefault="008D479B" w:rsidP="008D479B">
      <w:pPr>
        <w:pStyle w:val="TextoNormal"/>
      </w:pPr>
    </w:p>
    <w:p w14:paraId="6B8F4F04" w14:textId="77777777" w:rsidR="008D479B" w:rsidRDefault="008D479B" w:rsidP="008D479B">
      <w:pPr>
        <w:pStyle w:val="TextoNormal"/>
      </w:pPr>
      <w:r>
        <w:t>En primer lugar, el Tribunal es competente para conocer de la presente impugnación, tal como ya se dejó sentado en el FJ 2 i) de la STC 65/2023, de 6 de junio, y se reiteró en la STC 125/2023, de 27 de septiembre, FJ 1 iii). Y, conforme a la mencionada STC 65/2023, FJ 1, no puede apreciarse la pérdida de objeto sobrevenida alegada por algunas de las partes comparecidas en este procedimiento.</w:t>
      </w:r>
    </w:p>
    <w:p w14:paraId="23181810" w14:textId="77777777" w:rsidR="008D479B" w:rsidRDefault="008D479B" w:rsidP="008D479B">
      <w:pPr>
        <w:pStyle w:val="TextoNormal"/>
      </w:pPr>
    </w:p>
    <w:p w14:paraId="4ACE08CB" w14:textId="77777777" w:rsidR="008D479B" w:rsidRDefault="008D479B" w:rsidP="008D479B">
      <w:pPr>
        <w:pStyle w:val="TextoNormal"/>
      </w:pPr>
      <w:r>
        <w:t>En segundo lugar, la remisión a lo decidido en la STC 65/2023, FJ 2 ii), y en la STC 125/2023, FJ 1 iv), permite descartar la alegación de que los recurrentes carecen de legitimación activa por no ser directamente afectados por los actos parlamentarios impugnados en este proceso. Tampoco procede tomar en consideración la cuestión relativa al agotamiento del procedimiento parlamentario previo, esta vez por remisión a la STC 125/2023, FJ 1 ii).</w:t>
      </w:r>
    </w:p>
    <w:p w14:paraId="35A046D9" w14:textId="77777777" w:rsidR="008D479B" w:rsidRDefault="008D479B" w:rsidP="008D479B">
      <w:pPr>
        <w:pStyle w:val="TextoNormal"/>
      </w:pPr>
    </w:p>
    <w:p w14:paraId="085EE5F8" w14:textId="5B913CE4" w:rsidR="008D479B" w:rsidRDefault="008D479B" w:rsidP="008D479B">
      <w:pPr>
        <w:pStyle w:val="TextoNormal"/>
      </w:pPr>
      <w:r>
        <w:t>Finalmente, por las razones ya señaladas en el FJ 1 de la STC 65/2023, el Tribunal considera que la invocación que hacen los demandantes de amparo del art. 14 CE, fundamentada en que se ha dispensado un tratamiento diferenciado entre los senadores que habrían cumplido debidamente la exigencia del requisito de acatamiento de la Constitución y los que no, carece de autonomía respecto de la invocación del art. 23 CE y debe reconducirse a esta.</w:t>
      </w:r>
    </w:p>
    <w:p w14:paraId="5CE6EB16" w14:textId="77777777" w:rsidR="008D479B" w:rsidRDefault="008D479B" w:rsidP="008D479B">
      <w:pPr>
        <w:pStyle w:val="TextoNormal"/>
      </w:pPr>
    </w:p>
    <w:p w14:paraId="68BE94F0" w14:textId="77777777" w:rsidR="008D479B" w:rsidRDefault="008D479B" w:rsidP="008D479B">
      <w:pPr>
        <w:pStyle w:val="TextoNormal"/>
      </w:pPr>
      <w:r w:rsidRPr="008D479B">
        <w:rPr>
          <w:rStyle w:val="NumeroAFNegritaCaracter"/>
        </w:rPr>
        <w:t>3</w:t>
      </w:r>
      <w:r>
        <w:t xml:space="preserve">. </w:t>
      </w:r>
      <w:r w:rsidRPr="008D479B">
        <w:rPr>
          <w:i/>
        </w:rPr>
        <w:t>Aplicación de la doctrina constitucional expuesta en la STC 65/2023, de 6 de junio</w:t>
      </w:r>
    </w:p>
    <w:p w14:paraId="1C000DD1" w14:textId="77777777" w:rsidR="008D479B" w:rsidRDefault="008D479B" w:rsidP="008D479B">
      <w:pPr>
        <w:pStyle w:val="TextoNormal"/>
      </w:pPr>
    </w:p>
    <w:p w14:paraId="1A804C95" w14:textId="6A11989A" w:rsidR="008D479B" w:rsidRDefault="008D479B" w:rsidP="008D479B">
      <w:pPr>
        <w:pStyle w:val="TextoNormal"/>
      </w:pPr>
      <w:r>
        <w:t xml:space="preserve">La cuestión de fondo planteada en el presente recurso coincide con la resuelta en la STC 65/2023, de 6 de junio, por lo que debemos remitirnos a su fundamento jurídico 3, relativo a la doctrina constitucional sobre el derecho de representación política (art. 23.2 CE) y su proyección a las decisiones de los órganos de las Cámaras parlamentarias, sobre el ejercicio del </w:t>
      </w:r>
      <w:r w:rsidRPr="008D479B">
        <w:rPr>
          <w:i/>
        </w:rPr>
        <w:t>ius in officium</w:t>
      </w:r>
      <w:r>
        <w:t xml:space="preserve"> de parlamentarios distintos de los demandantes de amparo; y a su fundamento jurídico 4, en el que aplicamos dicha jurisprudencia al </w:t>
      </w:r>
      <w:r w:rsidRPr="008D479B">
        <w:rPr>
          <w:i/>
        </w:rPr>
        <w:t>ius in officium</w:t>
      </w:r>
      <w:r>
        <w:t xml:space="preserve"> de los demandantes y desestimamos el recurso de amparo, al concluir que “[las fórmulas] de acatamiento que los demandantes consideran contrarias a la legalidad parlamentaria […] no afecta al derecho de estos últimos a ejercer también en plenitud sus funciones parlamentarias de acuerdo con las previsiones legales, que no se ve restringido en ningún momento. Esto es lo determinante para que este tribunal aprecie que los demandantes de amparo no han identificado ningún concreto derecho o facultad conformador de su estatuto legal […] que haya quedado limitado o afectado por la decisión parlamentaria impugnada en este amparo que permita considerar que se ha visto afectado su derecho de representación política reconocido en el art. 23.2 CE”.</w:t>
      </w:r>
    </w:p>
    <w:p w14:paraId="7F3F5EB2" w14:textId="77777777" w:rsidR="008D479B" w:rsidRDefault="008D479B" w:rsidP="008D479B">
      <w:pPr>
        <w:pStyle w:val="TextoNormal"/>
      </w:pPr>
    </w:p>
    <w:p w14:paraId="14465784" w14:textId="77777777" w:rsidR="008D479B" w:rsidRDefault="008D479B" w:rsidP="008D479B">
      <w:pPr>
        <w:pStyle w:val="TextoNormalCentrado"/>
        <w:keepNext/>
      </w:pPr>
      <w:r>
        <w:t>FALLO</w:t>
      </w:r>
    </w:p>
    <w:p w14:paraId="314049A3" w14:textId="0A55AFCF" w:rsidR="008D479B" w:rsidRDefault="008D479B" w:rsidP="008D479B">
      <w:pPr>
        <w:pStyle w:val="TextoNormalCentrado"/>
        <w:keepNext/>
      </w:pPr>
    </w:p>
    <w:p w14:paraId="118F9E3E" w14:textId="67DC948B" w:rsidR="008D479B" w:rsidRDefault="008D479B" w:rsidP="008D479B">
      <w:pPr>
        <w:pStyle w:val="TextoNormal"/>
      </w:pPr>
      <w:r>
        <w:t>En atención a todo lo expuesto, el Tribunal Constitucional, por la autoridad que le confiere la Constitución de la Nación española, ha decidido desestimar el recurso de amparo interpuesto por don Javier Ignacio Maroto Aranzábal y por doña Salomé Pradas Ten.</w:t>
      </w:r>
    </w:p>
    <w:p w14:paraId="49952848" w14:textId="77777777" w:rsidR="008D479B" w:rsidRDefault="008D479B" w:rsidP="008D479B">
      <w:pPr>
        <w:pStyle w:val="TextoNormal"/>
      </w:pPr>
    </w:p>
    <w:p w14:paraId="4ABA931F" w14:textId="77777777" w:rsidR="008D479B" w:rsidRDefault="008D479B" w:rsidP="008D479B">
      <w:pPr>
        <w:pStyle w:val="TextoNormal"/>
      </w:pPr>
      <w:r>
        <w:t>Publíquese esta sentencia en el “Boletín Oficial del Estado”.</w:t>
      </w:r>
    </w:p>
    <w:p w14:paraId="1F1C9E35" w14:textId="77777777" w:rsidR="008D479B" w:rsidRDefault="008D479B" w:rsidP="008D479B">
      <w:pPr>
        <w:pStyle w:val="TextoNormal"/>
      </w:pPr>
      <w:r>
        <w:t>Dada en Madrid, a veinticuatro de octubre de dos mil veintitrés.</w:t>
      </w:r>
    </w:p>
    <w:p w14:paraId="32B67AC4" w14:textId="72AAD790" w:rsidR="008D479B" w:rsidRDefault="008D479B" w:rsidP="008D479B">
      <w:pPr>
        <w:pStyle w:val="ParrafoNormal"/>
      </w:pPr>
    </w:p>
    <w:p w14:paraId="6F9B9633" w14:textId="77777777" w:rsidR="008D479B" w:rsidRDefault="008D479B" w:rsidP="008D479B">
      <w:pPr>
        <w:pStyle w:val="TextoNormalNegritaCentrado"/>
        <w:keepNext/>
      </w:pPr>
      <w:r>
        <w:t>Voto particular que formulan los magistrados don Ricardo Enríquez Sancho y don Enrique Arnaldo Alcubilla, la magistrada doña Concepción Espejel Jorquera y el magistrado don César Tolosa Tribiño a la sentencia dictada en el recurso de amparo núm. 4952-2019</w:t>
      </w:r>
    </w:p>
    <w:p w14:paraId="28BB5F4D" w14:textId="425C7259" w:rsidR="008D479B" w:rsidRDefault="008D479B" w:rsidP="008D479B">
      <w:pPr>
        <w:pStyle w:val="TextoNormalNegritaCentrado"/>
        <w:keepNext/>
      </w:pPr>
    </w:p>
    <w:p w14:paraId="666EDD12" w14:textId="77777777" w:rsidR="008D479B" w:rsidRDefault="008D479B" w:rsidP="008D479B">
      <w:pPr>
        <w:pStyle w:val="TextoNormal"/>
      </w:pPr>
      <w:r>
        <w:t>En la sentencia de la que discrepamos los magistrados arriba referenciados, uno de nosotros figura como ponente, y ello por cuanto hemos debido asumir el criterio de la mayoría del Tribunal y así reflejarlo en esta sentencia de remisión a la STC 65/2023, de 6 de junio.</w:t>
      </w:r>
    </w:p>
    <w:p w14:paraId="6A5B7DC6" w14:textId="77777777" w:rsidR="008D479B" w:rsidRDefault="008D479B" w:rsidP="008D479B">
      <w:pPr>
        <w:pStyle w:val="TextoNormal"/>
      </w:pPr>
    </w:p>
    <w:p w14:paraId="2B3CA102" w14:textId="77777777" w:rsidR="008D479B" w:rsidRDefault="008D479B" w:rsidP="008D479B">
      <w:pPr>
        <w:pStyle w:val="TextoNormal"/>
      </w:pPr>
      <w:r>
        <w:t>En el ejercicio de la facultad que nos confiere el artículo 90.2 de la Ley Orgánica del Tribunal Constitucional, y con respeto a la opinión de la mayoría del Pleno, formulamos el presente voto particular por discrepar de la fundamentación y del fallo de la sentencia recaída en el recurso de amparo núm. 4952-2019, que debió ser estimado, declarando haberse producido la vulneración del derecho de los parlamentarios recurrentes al acceso y al ejercicio del cargo público representativo en condiciones de igualdad (art. 23.2 CE), así como la vulneración del derecho de los ciudadanos a participar en los asuntos públicos a través de sus representantes (art. 23.1 CE).</w:t>
      </w:r>
    </w:p>
    <w:p w14:paraId="347E0072" w14:textId="77777777" w:rsidR="008D479B" w:rsidRDefault="008D479B" w:rsidP="008D479B">
      <w:pPr>
        <w:pStyle w:val="TextoNormal"/>
      </w:pPr>
    </w:p>
    <w:p w14:paraId="5B34E50D" w14:textId="77777777" w:rsidR="008D479B" w:rsidRDefault="008D479B" w:rsidP="008D479B">
      <w:pPr>
        <w:pStyle w:val="TextoNormal"/>
      </w:pPr>
      <w:r>
        <w:t>Las razones de la discrepancia quedaron detalladamente expuestas en el voto particular formulado a la STC 65/2023, de 6 de junio, de la que la presente resolución es aplicación, por lo que hemos de remitirnos ahora a dicho voto particular en su totalidad.</w:t>
      </w:r>
    </w:p>
    <w:p w14:paraId="2931EEA8" w14:textId="77777777" w:rsidR="008D479B" w:rsidRDefault="008D479B" w:rsidP="008D479B">
      <w:pPr>
        <w:pStyle w:val="TextoNormal"/>
      </w:pPr>
    </w:p>
    <w:p w14:paraId="63DEB3F4" w14:textId="7B9D5B99" w:rsidR="008D479B" w:rsidRDefault="008D479B" w:rsidP="008D479B">
      <w:pPr>
        <w:pStyle w:val="TextoNormal"/>
      </w:pPr>
      <w:r>
        <w:t>Madrid, a veinticuatro de octubre de dos mil veintitrés.</w:t>
      </w:r>
    </w:p>
    <w:p w14:paraId="6CED93A8" w14:textId="714689AA" w:rsidR="008D479B" w:rsidRDefault="008D479B">
      <w:pPr>
        <w:spacing w:after="160" w:line="278" w:lineRule="auto"/>
        <w:rPr>
          <w:rFonts w:ascii="Times New Roman" w:eastAsia="Times New Roman" w:hAnsi="Times New Roman" w:cs="Times New Roman"/>
          <w:sz w:val="24"/>
          <w:szCs w:val="24"/>
          <w:lang w:eastAsia="es-ES"/>
        </w:rPr>
      </w:pPr>
      <w:r>
        <w:br w:type="page"/>
      </w:r>
    </w:p>
    <w:p w14:paraId="395887D6" w14:textId="77777777" w:rsidR="008D479B" w:rsidRDefault="008D479B" w:rsidP="008D479B">
      <w:pPr>
        <w:pStyle w:val="TtuloResolucin"/>
      </w:pPr>
      <w:bookmarkStart w:id="66" w:name="SENTENCIA_2023_141"/>
      <w:r>
        <w:t>SENTENCIA 141/2023, de 24 de octubre de 2023</w:t>
      </w:r>
    </w:p>
    <w:bookmarkEnd w:id="66"/>
    <w:p w14:paraId="0D665F64" w14:textId="77777777" w:rsidR="008D479B" w:rsidRDefault="008D479B" w:rsidP="008D479B">
      <w:pPr>
        <w:pStyle w:val="TtuloResolucin"/>
      </w:pPr>
      <w:r>
        <w:t>Pleno</w:t>
      </w:r>
    </w:p>
    <w:p w14:paraId="785C68C6" w14:textId="77777777" w:rsidR="008D479B" w:rsidRDefault="008D479B" w:rsidP="008D479B">
      <w:pPr>
        <w:pStyle w:val="TtuloBOE"/>
      </w:pPr>
      <w:r>
        <w:t>(BOE núm. 286, de 30 de noviembre de 2023)</w:t>
      </w:r>
    </w:p>
    <w:p w14:paraId="16857933" w14:textId="77777777" w:rsidR="008D479B" w:rsidRDefault="008D479B" w:rsidP="008D479B">
      <w:pPr>
        <w:pStyle w:val="TextoNormalCentrado"/>
      </w:pPr>
      <w:r>
        <w:t>ECLI:ES:TC:2023:141</w:t>
      </w:r>
    </w:p>
    <w:p w14:paraId="1D9605E1" w14:textId="1F6C3DA4" w:rsidR="008D479B" w:rsidRDefault="008D479B" w:rsidP="008D479B">
      <w:pPr>
        <w:pStyle w:val="TextoNormalCentrado"/>
      </w:pPr>
    </w:p>
    <w:p w14:paraId="7187B9A7" w14:textId="77777777" w:rsidR="008D479B" w:rsidRDefault="008D479B" w:rsidP="008D479B">
      <w:pPr>
        <w:pStyle w:val="SntesisDescriptiva"/>
      </w:pPr>
      <w:r>
        <w:t>Recurso de amparo 1314-2020. Promovido por don Javier Ignacio Maroto Aranzábal y doña Salomé Pradas Ten en relación con las resoluciones de la presidenta y la mesa del Senado que dieron por cumplimentado el requisito de promesa o juramento de acatamiento de la Constitución por todos los senadores.</w:t>
      </w:r>
    </w:p>
    <w:p w14:paraId="34C10F4C" w14:textId="2D9CC03D" w:rsidR="008D479B" w:rsidRDefault="008D479B" w:rsidP="008D479B">
      <w:pPr>
        <w:pStyle w:val="SntesisDescriptiva"/>
      </w:pPr>
    </w:p>
    <w:p w14:paraId="045B2755" w14:textId="77777777" w:rsidR="008D479B" w:rsidRDefault="008D479B" w:rsidP="008D479B">
      <w:pPr>
        <w:pStyle w:val="SntesisAnaltica"/>
      </w:pPr>
      <w:r>
        <w:t>Supuesta vulneración del derecho de representación política: STC 65/2023 (ausencia de acreditación de la incidencia, por la aceptación de las veintinueve fórmulas de acatamiento controvertidas, en la función representativa de los parlamentarios recurrentes). Voto particular.</w:t>
      </w:r>
    </w:p>
    <w:p w14:paraId="2D2A813E" w14:textId="5156A740" w:rsidR="008D479B" w:rsidRDefault="008D479B" w:rsidP="008D479B">
      <w:pPr>
        <w:pStyle w:val="SntesisAnaltica"/>
      </w:pPr>
    </w:p>
    <w:p w14:paraId="6FA1AFD2" w14:textId="28E30E44" w:rsidR="008D479B" w:rsidRDefault="008D479B" w:rsidP="008D479B">
      <w:pPr>
        <w:pStyle w:val="Extracto"/>
      </w:pPr>
      <w:r>
        <w:t>1.</w:t>
      </w:r>
      <w:r>
        <w:tab/>
        <w:t>Las distintas fórmulas de acatamiento de la Constitución no afectan al núcleo esencial del derecho al ejercicio de las funciones representativas de los parlamentarios (STC 65/2023) [FJ 2].</w:t>
      </w:r>
    </w:p>
    <w:p w14:paraId="08C3E6C3" w14:textId="77777777" w:rsidR="008D479B" w:rsidRDefault="008D479B" w:rsidP="008D479B">
      <w:pPr>
        <w:pStyle w:val="Extracto"/>
      </w:pPr>
    </w:p>
    <w:p w14:paraId="4F4F8338" w14:textId="77777777" w:rsidR="008D479B" w:rsidRDefault="008D479B" w:rsidP="008D479B">
      <w:pPr>
        <w:pStyle w:val="Extracto"/>
      </w:pPr>
    </w:p>
    <w:p w14:paraId="4D7C4ECA" w14:textId="77777777" w:rsidR="008D479B" w:rsidRDefault="008D479B" w:rsidP="008D479B">
      <w:pPr>
        <w:pStyle w:val="TextoNormal"/>
      </w:pPr>
      <w:r>
        <w:t>El Pleno del Tribunal Constitucional, compuesto por los magistrados y magistradas don Cándido Conde-Pumpido Tourón, presidente, doña Inmaculada Montalbán Huertas, don Ricardo Enríquez Sancho, don Ramón Sáez Valcárcel, don Enrique Arnaldo Alcubilla, doña Concepción Espejel Jorquera, doña María Luisa Segoviano Astaburuaga, don César Tolosa Tribiño, don Juan Carlos Campo Moreno y doña Laura Díez Bueso, ha pronunciado</w:t>
      </w:r>
    </w:p>
    <w:p w14:paraId="4DCB4D44" w14:textId="7CC2852F" w:rsidR="008D479B" w:rsidRDefault="008D479B" w:rsidP="008D479B">
      <w:pPr>
        <w:pStyle w:val="TextoNormal"/>
      </w:pPr>
    </w:p>
    <w:p w14:paraId="0AA3EDCA" w14:textId="77777777" w:rsidR="008D479B" w:rsidRDefault="008D479B" w:rsidP="008D479B">
      <w:pPr>
        <w:pStyle w:val="TextoNormalCentrado"/>
        <w:keepNext/>
      </w:pPr>
      <w:r>
        <w:t>EN NOMBRE DEL REY</w:t>
      </w:r>
    </w:p>
    <w:p w14:paraId="1A911773" w14:textId="4B3D52F2" w:rsidR="008D479B" w:rsidRDefault="008D479B" w:rsidP="008D479B">
      <w:pPr>
        <w:pStyle w:val="TextoNormalCentrado"/>
        <w:keepNext/>
      </w:pPr>
    </w:p>
    <w:p w14:paraId="0DC0DCAD" w14:textId="77777777" w:rsidR="008D479B" w:rsidRDefault="008D479B" w:rsidP="008D479B">
      <w:pPr>
        <w:pStyle w:val="TextoNormalCentrado"/>
        <w:keepNext/>
      </w:pPr>
    </w:p>
    <w:p w14:paraId="1F71C912" w14:textId="77777777" w:rsidR="008D479B" w:rsidRDefault="008D479B" w:rsidP="008D479B">
      <w:pPr>
        <w:pStyle w:val="TextoNormal"/>
      </w:pPr>
      <w:r>
        <w:t>la siguiente</w:t>
      </w:r>
    </w:p>
    <w:p w14:paraId="2539C513" w14:textId="344A3F79" w:rsidR="008D479B" w:rsidRDefault="008D479B" w:rsidP="008D479B">
      <w:pPr>
        <w:pStyle w:val="TextoNormal"/>
      </w:pPr>
    </w:p>
    <w:p w14:paraId="28BE2DA8" w14:textId="77777777" w:rsidR="008D479B" w:rsidRDefault="008D479B" w:rsidP="008D479B">
      <w:pPr>
        <w:pStyle w:val="TextoNormalCentrado"/>
        <w:keepNext/>
      </w:pPr>
      <w:r>
        <w:t>SENTENCIA</w:t>
      </w:r>
    </w:p>
    <w:p w14:paraId="7A3E2E1A" w14:textId="3E7BA6E3" w:rsidR="008D479B" w:rsidRDefault="008D479B" w:rsidP="008D479B">
      <w:pPr>
        <w:pStyle w:val="TextoNormalCentrado"/>
        <w:keepNext/>
      </w:pPr>
    </w:p>
    <w:p w14:paraId="0DE4FCBF" w14:textId="77777777" w:rsidR="008D479B" w:rsidRDefault="008D479B" w:rsidP="008D479B">
      <w:pPr>
        <w:pStyle w:val="TextoNormal"/>
      </w:pPr>
      <w:r>
        <w:t>En el recurso de amparo núm. 1314-2020, promovido por el procurador de los tribunales don Manuel Sánchez-Puelles y González-Carvajal en representación de don Javier Ignacio Maroto Aranzábal y de doña Salomé Pradas Ten contra el acuerdo de la presidenta del Senado de 3 de diciembre de 2019 que tuvo por cumplimentado por todos los senadores el requisito de promesa o juramento de acatamiento de la Constitución, y el acuerdo de la mesa del Senado de 12 de diciembre de 2019, que desestimó la solicitud de revisión de las fórmulas de acatamiento utilizadas por los senadores en la sesión constitutiva de dicha Cámara. Han intervenido el Ministerio Fiscal, el Senado y los senadores don José Manuel Marín Gascón, doña Laura Castel i Fort, don Miquel Caminal i Cerdà, don Josep Rufà i Gràcia, doña Ana Maria Surra Spadea, don Bernat Picornell i Grenzner, don Miquel Josep Aubà i Fleix, don Xavier Castellana i Gamisans, don Robert Masih Nahar, don Francisco Javier Aragón Ariza, doña Mercedes Berenguer Llorens, doña María Fernández Álvarez, don Ander Gil García, don Antonio Julián Rodríguez Esquerdo, doña Riansares Serrano Morales, doña Idurre Bideguren Gabatnxo, don Gorka Elejebarreta Díaz, doña Mirella Cortès i Gès, doña Sara Bailac i Ardanuy, don Jordi Martí i Deulofeu, doña Elisenda Perez i Esteve y doña Adelina Escanell i Grases. Ha sido ponente el magistrado don Ricardo Enríquez Sancho.</w:t>
      </w:r>
    </w:p>
    <w:p w14:paraId="5F790105" w14:textId="452A96B8" w:rsidR="008D479B" w:rsidRDefault="008D479B" w:rsidP="008D479B">
      <w:pPr>
        <w:pStyle w:val="TextoNormal"/>
      </w:pPr>
    </w:p>
    <w:p w14:paraId="17F524B6" w14:textId="77777777" w:rsidR="008D479B" w:rsidRDefault="008D479B" w:rsidP="008D479B">
      <w:pPr>
        <w:pStyle w:val="TextoNormalNegritaCentrado"/>
        <w:keepNext/>
      </w:pPr>
      <w:r>
        <w:t>I. Antecedentes</w:t>
      </w:r>
    </w:p>
    <w:p w14:paraId="59F33EBF" w14:textId="63BAFFD3" w:rsidR="008D479B" w:rsidRDefault="008D479B" w:rsidP="008D479B">
      <w:pPr>
        <w:pStyle w:val="TextoNormalNegritaCentrado"/>
        <w:keepNext/>
      </w:pPr>
    </w:p>
    <w:p w14:paraId="7B86ECF3" w14:textId="4E9F19F0" w:rsidR="008D479B" w:rsidRDefault="008D479B" w:rsidP="008D479B">
      <w:pPr>
        <w:pStyle w:val="TextoNormal"/>
      </w:pPr>
      <w:r w:rsidRPr="008D479B">
        <w:rPr>
          <w:rStyle w:val="NumeroAFNegritaCaracter"/>
        </w:rPr>
        <w:t>1</w:t>
      </w:r>
      <w:r>
        <w:t>. Don Javier Ignacio Maroto Aranzábal senador designado por las Cortes de Castilla y León en la XIV Legislatura y portavoz del Grupo Parlamentario Popular en el Senado y doña Salomé Pradas Ten, senadora electa por la circunscripción de Castellón en la misma legislatura y portavoz adjunta del mismo grupo, bajo la dirección del letrado don Alberto Durán Ruiz de Huidobro, interpusieron recurso de amparo contra los acuerdos parlamentarios mencionados en el encabezamiento de esta sentencia mediante escrito registrado en este tribunal el 2 de marzo de 2020.</w:t>
      </w:r>
    </w:p>
    <w:p w14:paraId="12A826C9" w14:textId="77777777" w:rsidR="008D479B" w:rsidRDefault="008D479B" w:rsidP="008D479B">
      <w:pPr>
        <w:pStyle w:val="TextoNormal"/>
      </w:pPr>
    </w:p>
    <w:p w14:paraId="0C7107A2" w14:textId="77777777" w:rsidR="008D479B" w:rsidRDefault="008D479B" w:rsidP="008D479B">
      <w:pPr>
        <w:pStyle w:val="TextoNormal"/>
      </w:pPr>
      <w:r w:rsidRPr="008D479B">
        <w:rPr>
          <w:rStyle w:val="NumeroAFNegritaCaracter"/>
        </w:rPr>
        <w:t>2</w:t>
      </w:r>
      <w:r>
        <w:t>. El recurso tiene su origen en los siguientes antecedentes:</w:t>
      </w:r>
    </w:p>
    <w:p w14:paraId="66F4DD82" w14:textId="77777777" w:rsidR="008D479B" w:rsidRDefault="008D479B" w:rsidP="008D479B">
      <w:pPr>
        <w:pStyle w:val="TextoNormal"/>
      </w:pPr>
    </w:p>
    <w:p w14:paraId="50F7FD3E" w14:textId="77777777" w:rsidR="008D479B" w:rsidRDefault="008D479B" w:rsidP="008D479B">
      <w:pPr>
        <w:pStyle w:val="TextoNormal"/>
      </w:pPr>
      <w:r>
        <w:t>a) El 3 de diciembre de 2019 tuvo lugar la sesión plenaria constitutiva de la XIV Legislatura del Senado. Según consta en el diario de sesiones de la Cámara, núm. 1 del 3 de diciembre de 2019, “Junta preparatoria y Sesión constitutiva”, que se aporta con la demanda, en el punto 1.7 del Orden del día figura lo relativo al acto de juramento o promesa de acatamiento a la Constitución.</w:t>
      </w:r>
    </w:p>
    <w:p w14:paraId="253EEE81" w14:textId="77777777" w:rsidR="008D479B" w:rsidRDefault="008D479B" w:rsidP="008D479B">
      <w:pPr>
        <w:pStyle w:val="TextoNormal"/>
      </w:pPr>
    </w:p>
    <w:p w14:paraId="1E283C82" w14:textId="77777777" w:rsidR="008D479B" w:rsidRDefault="008D479B" w:rsidP="008D479B">
      <w:pPr>
        <w:pStyle w:val="TextoNormal"/>
      </w:pPr>
      <w:r>
        <w:t>Tras haberlo hecho la presidenta electa, intervino el senador señor Maroto Aranzábal del Grupo Parlamentario Popular para manifestar lo que sigue:</w:t>
      </w:r>
    </w:p>
    <w:p w14:paraId="62FA03C7" w14:textId="77777777" w:rsidR="008D479B" w:rsidRDefault="008D479B" w:rsidP="008D479B">
      <w:pPr>
        <w:pStyle w:val="TextoNormal"/>
      </w:pPr>
    </w:p>
    <w:p w14:paraId="168ED762" w14:textId="77777777" w:rsidR="008D479B" w:rsidRDefault="008D479B" w:rsidP="008D479B">
      <w:pPr>
        <w:pStyle w:val="TextoNormal"/>
      </w:pPr>
      <w:r>
        <w:t>“En primer lugar, enhorabuena en nombre de mi grupo. Por una cuestión de Reglamento, y precisamente en observancia de su propia intervención, el Grupo Popular solicita que sea consciente de que el artículo 11.3 de nuestro Reglamento exige lo que usted ha dicho: que los acatamientos se realicen bajo la fórmula de ‘sí, prometo’ o ‘sí, juro’, exclusivamente; y, dado que en otras ocasiones hemos observado otras expresiones fuera del Reglamento, le pedimos que atienda (protestas) al cumplimiento del Reglamento, en su condición de presidenta”.</w:t>
      </w:r>
    </w:p>
    <w:p w14:paraId="18D0145B" w14:textId="77777777" w:rsidR="008D479B" w:rsidRDefault="008D479B" w:rsidP="008D479B">
      <w:pPr>
        <w:pStyle w:val="TextoNormal"/>
      </w:pPr>
    </w:p>
    <w:p w14:paraId="61AEA18C" w14:textId="77777777" w:rsidR="008D479B" w:rsidRDefault="008D479B" w:rsidP="008D479B">
      <w:pPr>
        <w:pStyle w:val="TextoNormal"/>
      </w:pPr>
      <w:r>
        <w:t>La señora presidenta respondió:</w:t>
      </w:r>
    </w:p>
    <w:p w14:paraId="3AEA215E" w14:textId="77777777" w:rsidR="008D479B" w:rsidRDefault="008D479B" w:rsidP="008D479B">
      <w:pPr>
        <w:pStyle w:val="TextoNormal"/>
      </w:pPr>
    </w:p>
    <w:p w14:paraId="422F3EFF" w14:textId="77777777" w:rsidR="008D479B" w:rsidRDefault="008D479B" w:rsidP="008D479B">
      <w:pPr>
        <w:pStyle w:val="TextoNormal"/>
      </w:pPr>
      <w:r>
        <w:t>“En relación con la cuestión que plantea en esta sesión, la mesa de la Diputación Permanente examinó en el día de ayer su escrito sobre fórmulas de acatamiento a la Constitución; y, como bien sabe, esto ya se resolvió en la anterior legislatura; recuerde que hubo unos acuerdos adoptados por la mesa de esta Cámara y que se resolvió que dichas fórmulas en ningún momento suponen una contravención a la Constitución ni al Reglamento (rumores) ni a lo dispuesto —silencio, por favor— en la sentencia 74/1991 del Tribunal Constitucional (aplausos). Por lo tanto, esta Presidencia, a quien corresponde la interpretación del Reglamento, como dispone esta misma norma, comparte el criterio que le acabo de señalar, por lo que no habrá más debate. Como sabe, el artículo 90 determina que no habrá debate en este caso. Muchas gracias”.</w:t>
      </w:r>
    </w:p>
    <w:p w14:paraId="2CFA8033" w14:textId="77777777" w:rsidR="008D479B" w:rsidRDefault="008D479B" w:rsidP="008D479B">
      <w:pPr>
        <w:pStyle w:val="TextoNormal"/>
      </w:pPr>
    </w:p>
    <w:p w14:paraId="7BC50A31" w14:textId="77777777" w:rsidR="008D479B" w:rsidRDefault="008D479B" w:rsidP="008D479B">
      <w:pPr>
        <w:pStyle w:val="TextoNormal"/>
      </w:pPr>
      <w:r>
        <w:t>A continuación, la presidenta se dirigió a los restantes senadores formulándoles la pregunta “¿[j]uráis o prometéis acatar la Constitución?”. Constan en el “Diario de Sesiones del Senado” las siguientes respuestas extractadas en la demanda:</w:t>
      </w:r>
    </w:p>
    <w:p w14:paraId="1180F6BC" w14:textId="77777777" w:rsidR="008D479B" w:rsidRDefault="008D479B" w:rsidP="008D479B">
      <w:pPr>
        <w:pStyle w:val="TextoNormal"/>
      </w:pPr>
    </w:p>
    <w:p w14:paraId="1C61D621" w14:textId="77777777" w:rsidR="008D479B" w:rsidRDefault="008D479B" w:rsidP="008D479B">
      <w:pPr>
        <w:pStyle w:val="TextoNormal"/>
      </w:pPr>
      <w:r>
        <w:t>“El señor Aubà Fleix: Per la llibertat dels presos polítics, pel retorn dels exiliats, fins la constitució de la república catalana, per imperatiu legal, sí, prometo.</w:t>
      </w:r>
    </w:p>
    <w:p w14:paraId="4004F92D" w14:textId="77777777" w:rsidR="008D479B" w:rsidRDefault="008D479B" w:rsidP="008D479B">
      <w:pPr>
        <w:pStyle w:val="TextoNormal"/>
      </w:pPr>
    </w:p>
    <w:p w14:paraId="3066246D" w14:textId="77777777" w:rsidR="008D479B" w:rsidRDefault="008D479B" w:rsidP="008D479B">
      <w:pPr>
        <w:pStyle w:val="TextoNormal"/>
      </w:pPr>
      <w:r>
        <w:t>La señora Bailac Ardanuy: Per la llibertat de les preses polítiques, el retorn de les exiliades, fins a la constitució de la republicana catalana, per imperatiu legal, sí, prometo.</w:t>
      </w:r>
    </w:p>
    <w:p w14:paraId="0F274979" w14:textId="77777777" w:rsidR="008D479B" w:rsidRDefault="008D479B" w:rsidP="008D479B">
      <w:pPr>
        <w:pStyle w:val="TextoNormal"/>
      </w:pPr>
    </w:p>
    <w:p w14:paraId="692D2927" w14:textId="77777777" w:rsidR="008D479B" w:rsidRDefault="008D479B" w:rsidP="008D479B">
      <w:pPr>
        <w:pStyle w:val="TextoNormal"/>
      </w:pPr>
      <w:r>
        <w:t>El señor Caminal Cerdà: Per la llibertat dels presos i preses polítiques, dels exiliats i exiliades, per arribar de la constitució de la república catalana, i per imperatiu legal, sí, prometo.</w:t>
      </w:r>
    </w:p>
    <w:p w14:paraId="3FF174DB" w14:textId="77777777" w:rsidR="008D479B" w:rsidRDefault="008D479B" w:rsidP="008D479B">
      <w:pPr>
        <w:pStyle w:val="TextoNormal"/>
      </w:pPr>
    </w:p>
    <w:p w14:paraId="515F46E6" w14:textId="77777777" w:rsidR="008D479B" w:rsidRDefault="008D479B" w:rsidP="008D479B">
      <w:pPr>
        <w:pStyle w:val="TextoNormal"/>
      </w:pPr>
      <w:r>
        <w:t>La señora Castel Fort: Per la llibertat dels presos i les preses polítiques catalanes, per el retorn de les exiliades i els exiliats polítics catalans i fins a la constitució de la república catalana, i per imperatiu legal, sí, prometo.</w:t>
      </w:r>
    </w:p>
    <w:p w14:paraId="75A3394D" w14:textId="77777777" w:rsidR="008D479B" w:rsidRDefault="008D479B" w:rsidP="008D479B">
      <w:pPr>
        <w:pStyle w:val="TextoNormal"/>
      </w:pPr>
    </w:p>
    <w:p w14:paraId="300A545D" w14:textId="77777777" w:rsidR="008D479B" w:rsidRDefault="008D479B" w:rsidP="008D479B">
      <w:pPr>
        <w:pStyle w:val="TextoNormal"/>
      </w:pPr>
      <w:r>
        <w:t>El señor Castellana Gamisans: Per la llibertat dels presos i preses polítiques, el retorn deis exiliats i exiliades, fins a la constitució de la república catalana, i per imperatiu legal, sí, prometo.</w:t>
      </w:r>
    </w:p>
    <w:p w14:paraId="6EDEE6F0" w14:textId="77777777" w:rsidR="008D479B" w:rsidRDefault="008D479B" w:rsidP="008D479B">
      <w:pPr>
        <w:pStyle w:val="TextoNormal"/>
      </w:pPr>
    </w:p>
    <w:p w14:paraId="5DB6D4DA" w14:textId="77777777" w:rsidR="008D479B" w:rsidRDefault="008D479B" w:rsidP="008D479B">
      <w:pPr>
        <w:pStyle w:val="TextoNormal"/>
      </w:pPr>
      <w:r>
        <w:t>La señora Cortés Gès: Per la llibertat de les preses i presos polítics catalans, pel retorn dels exiliats i les exiliades fins la constitució de la república catalana, per imperatiu legal, prometo.</w:t>
      </w:r>
    </w:p>
    <w:p w14:paraId="7A570E0E" w14:textId="77777777" w:rsidR="008D479B" w:rsidRDefault="008D479B" w:rsidP="008D479B">
      <w:pPr>
        <w:pStyle w:val="TextoNormal"/>
      </w:pPr>
    </w:p>
    <w:p w14:paraId="053618AC" w14:textId="77777777" w:rsidR="008D479B" w:rsidRDefault="008D479B" w:rsidP="008D479B">
      <w:pPr>
        <w:pStyle w:val="TextoNormal"/>
      </w:pPr>
      <w:r>
        <w:t>La señora Escandell Grases: Per la llibertat de les preses i presos polítics catalans, pel retorn de les persones exiliades, mente no arribem a constituir la república catalana, per imperatiu legal, sí, prometo.</w:t>
      </w:r>
    </w:p>
    <w:p w14:paraId="1D46FC8F" w14:textId="77777777" w:rsidR="008D479B" w:rsidRDefault="008D479B" w:rsidP="008D479B">
      <w:pPr>
        <w:pStyle w:val="TextoNormal"/>
      </w:pPr>
    </w:p>
    <w:p w14:paraId="51C0B50F" w14:textId="77777777" w:rsidR="008D479B" w:rsidRDefault="008D479B" w:rsidP="008D479B">
      <w:pPr>
        <w:pStyle w:val="TextoNormal"/>
      </w:pPr>
      <w:r>
        <w:t>El señor Martí Deulofeu: Per la llibertat dels presos y preses polítiques, el retorn dels exiliats i exiliades i fins a la constitució de la república catalana, per imperatiu, sí, prometo.</w:t>
      </w:r>
    </w:p>
    <w:p w14:paraId="2D02A886" w14:textId="77777777" w:rsidR="008D479B" w:rsidRDefault="008D479B" w:rsidP="008D479B">
      <w:pPr>
        <w:pStyle w:val="TextoNormal"/>
      </w:pPr>
    </w:p>
    <w:p w14:paraId="7C2D7925" w14:textId="77777777" w:rsidR="008D479B" w:rsidRDefault="008D479B" w:rsidP="008D479B">
      <w:pPr>
        <w:pStyle w:val="TextoNormal"/>
      </w:pPr>
      <w:r>
        <w:t>El señor Masih Nahar: Per la llibertat dels presos i preses polítiques, el retorn dels exiliats i exiliades, fins a la constitució de la república catalana, per imperatiu legal, sí, prometo.</w:t>
      </w:r>
    </w:p>
    <w:p w14:paraId="07F229B2" w14:textId="77777777" w:rsidR="008D479B" w:rsidRDefault="008D479B" w:rsidP="008D479B">
      <w:pPr>
        <w:pStyle w:val="TextoNormal"/>
      </w:pPr>
    </w:p>
    <w:p w14:paraId="788C450A" w14:textId="77777777" w:rsidR="008D479B" w:rsidRDefault="008D479B" w:rsidP="008D479B">
      <w:pPr>
        <w:pStyle w:val="TextoNormal"/>
      </w:pPr>
      <w:r>
        <w:t>La señora Pérez Esteve: Per la llibertat dels presos i preses polítiques, el retorn dels exiliats i exiliades, fins a la constitució de la república catalana, per imperatiu legal, sí, prometo.</w:t>
      </w:r>
    </w:p>
    <w:p w14:paraId="43AC5287" w14:textId="77777777" w:rsidR="008D479B" w:rsidRDefault="008D479B" w:rsidP="008D479B">
      <w:pPr>
        <w:pStyle w:val="TextoNormal"/>
      </w:pPr>
    </w:p>
    <w:p w14:paraId="51640F0D" w14:textId="77777777" w:rsidR="008D479B" w:rsidRDefault="008D479B" w:rsidP="008D479B">
      <w:pPr>
        <w:pStyle w:val="TextoNormal"/>
      </w:pPr>
      <w:r>
        <w:t>El señor Picornell Grenzner: Per la llibertat de les preses polítiques, el retorn de les exiliades, fins a la constitució de la república catalana, per imperatiu legal, sí, prometo.</w:t>
      </w:r>
    </w:p>
    <w:p w14:paraId="1C082AFC" w14:textId="77777777" w:rsidR="008D479B" w:rsidRDefault="008D479B" w:rsidP="008D479B">
      <w:pPr>
        <w:pStyle w:val="TextoNormal"/>
      </w:pPr>
    </w:p>
    <w:p w14:paraId="59D9A874" w14:textId="77777777" w:rsidR="008D479B" w:rsidRDefault="008D479B" w:rsidP="008D479B">
      <w:pPr>
        <w:pStyle w:val="TextoNormal"/>
      </w:pPr>
      <w:r>
        <w:t>El señor Rufà Gràcia: Per la llibertat dels presos i preses polítiques, pel retorn dels exiliats politic, fins la constitució de la república catalana, per imperatiu legal, sí, prometo.</w:t>
      </w:r>
    </w:p>
    <w:p w14:paraId="08CB3E00" w14:textId="77777777" w:rsidR="008D479B" w:rsidRDefault="008D479B" w:rsidP="008D479B">
      <w:pPr>
        <w:pStyle w:val="TextoNormal"/>
      </w:pPr>
    </w:p>
    <w:p w14:paraId="1632A604" w14:textId="77777777" w:rsidR="008D479B" w:rsidRDefault="008D479B" w:rsidP="008D479B">
      <w:pPr>
        <w:pStyle w:val="TextoNormal"/>
      </w:pPr>
      <w:r>
        <w:t>La señora Surra Spadea: Por la libertad de los y las presas políticas, por el retorno de los y las exiliadas, por imperativo legal y hasta la constitución de la república catalana, sí, prometo.</w:t>
      </w:r>
    </w:p>
    <w:p w14:paraId="183FE45D" w14:textId="77777777" w:rsidR="008D479B" w:rsidRDefault="008D479B" w:rsidP="008D479B">
      <w:pPr>
        <w:pStyle w:val="TextoNormal"/>
      </w:pPr>
    </w:p>
    <w:p w14:paraId="649F4930" w14:textId="77777777" w:rsidR="008D479B" w:rsidRDefault="008D479B" w:rsidP="008D479B">
      <w:pPr>
        <w:pStyle w:val="TextoNormal"/>
      </w:pPr>
      <w:r>
        <w:t>El señor Vidal Matas: Per imperatiu legal, sense renunciar al dret a l’autodeterminació i per lleialtat als pobles de Mallorca, Menorca, Eivissa y Formentera, sí, prometo.</w:t>
      </w:r>
    </w:p>
    <w:p w14:paraId="7CD6FB60" w14:textId="77777777" w:rsidR="008D479B" w:rsidRDefault="008D479B" w:rsidP="008D479B">
      <w:pPr>
        <w:pStyle w:val="TextoNormal"/>
      </w:pPr>
    </w:p>
    <w:p w14:paraId="038FF4E2" w14:textId="77777777" w:rsidR="008D479B" w:rsidRDefault="008D479B" w:rsidP="008D479B">
      <w:pPr>
        <w:pStyle w:val="TextoNormal"/>
      </w:pPr>
      <w:r>
        <w:t>La señora Bideguren Gabantxo: Bai, legeak hala behartuta eta euskal errepublika lortu arte hitza ematen dut.</w:t>
      </w:r>
    </w:p>
    <w:p w14:paraId="01C17755" w14:textId="77777777" w:rsidR="008D479B" w:rsidRDefault="008D479B" w:rsidP="008D479B">
      <w:pPr>
        <w:pStyle w:val="TextoNormal"/>
      </w:pPr>
    </w:p>
    <w:p w14:paraId="30ABC738" w14:textId="77777777" w:rsidR="008D479B" w:rsidRDefault="008D479B" w:rsidP="008D479B">
      <w:pPr>
        <w:pStyle w:val="TextoNormal"/>
      </w:pPr>
      <w:r>
        <w:t>El señor Elejabarreta Díaz: Bai, legeak behartuta eta euskal errepublika lortu arte hitza ematen dut.</w:t>
      </w:r>
    </w:p>
    <w:p w14:paraId="17BEA4CC" w14:textId="77777777" w:rsidR="008D479B" w:rsidRDefault="008D479B" w:rsidP="008D479B">
      <w:pPr>
        <w:pStyle w:val="TextoNormal"/>
      </w:pPr>
    </w:p>
    <w:p w14:paraId="266EBA92" w14:textId="77777777" w:rsidR="008D479B" w:rsidRDefault="008D479B" w:rsidP="008D479B">
      <w:pPr>
        <w:pStyle w:val="TextoNormal"/>
      </w:pPr>
      <w:r>
        <w:t>El señor Uribe-Etxebarria Apalategui: Legeak behartuta nire nahiaren aurka. Sí, prometo”.</w:t>
      </w:r>
    </w:p>
    <w:p w14:paraId="4DD8A5DF" w14:textId="77777777" w:rsidR="008D479B" w:rsidRDefault="008D479B" w:rsidP="008D479B">
      <w:pPr>
        <w:pStyle w:val="TextoNormal"/>
      </w:pPr>
    </w:p>
    <w:p w14:paraId="789E3BFB" w14:textId="77777777" w:rsidR="008D479B" w:rsidRDefault="008D479B" w:rsidP="008D479B">
      <w:pPr>
        <w:pStyle w:val="TextoNormal"/>
      </w:pPr>
      <w:r>
        <w:t>Una vez acabado el trámite y tras unas palabras dirigidas a los miembros de la Cámara, la p residenta declaró: “El Senado ha quedado definitivamente constituido”.</w:t>
      </w:r>
    </w:p>
    <w:p w14:paraId="0AB1E27A" w14:textId="77777777" w:rsidR="008D479B" w:rsidRDefault="008D479B" w:rsidP="008D479B">
      <w:pPr>
        <w:pStyle w:val="TextoNormal"/>
      </w:pPr>
    </w:p>
    <w:p w14:paraId="5D127AD0" w14:textId="77777777" w:rsidR="008D479B" w:rsidRDefault="008D479B" w:rsidP="008D479B">
      <w:pPr>
        <w:pStyle w:val="TextoNormal"/>
      </w:pPr>
      <w:r>
        <w:t xml:space="preserve">b) El 5 de diciembre de 2019 quedó registrado un escrito del Grupo Parlamentario Popular en el Senado, firmado por su portavoz, dirigido a la mesa de la Cámara, en el que se solicitaba a la mesa, se procediera “a la revisión, una a una, de las respuestas formuladas a la pregunta realizada por la presidenta del Senado de acatamiento de la Constitución, para establecer si cada senador ha expresado de forma clara e inequívoca su voluntad de acatar la Constitución e invalide aquellas que no cumplan el artículo 11.3 del Reglamento del Senado”. </w:t>
      </w:r>
    </w:p>
    <w:p w14:paraId="4400D2D6" w14:textId="77777777" w:rsidR="008D479B" w:rsidRDefault="008D479B" w:rsidP="008D479B">
      <w:pPr>
        <w:pStyle w:val="TextoNormal"/>
      </w:pPr>
      <w:r>
        <w:t>c) Con fecha 12 de diciembre de 2019, la mesa del Senado adoptó el siguiente acuerdo, que aparece suscrito por la presidenta:</w:t>
      </w:r>
    </w:p>
    <w:p w14:paraId="516A594B" w14:textId="77777777" w:rsidR="008D479B" w:rsidRDefault="008D479B" w:rsidP="008D479B">
      <w:pPr>
        <w:pStyle w:val="TextoNormal"/>
      </w:pPr>
    </w:p>
    <w:p w14:paraId="7BAB5A40" w14:textId="7220AC44" w:rsidR="008D479B" w:rsidRDefault="008D479B" w:rsidP="008D479B">
      <w:pPr>
        <w:pStyle w:val="TextoNormal"/>
      </w:pPr>
      <w:r>
        <w:t>“Desestimar, por mayoría, la solicitud ya que, de conformidad con lo previsto en el artículo 11.3 del Reglamento del Senado, interpretado según la jurisprudencia establecida en la Sentencia del Tribunal Constitucional 74/1991, de 8 de abril, y siguiendo los precedentes obrantes en la Cámara, no procede la revisión de las fórmulas de acatamiento a la Constitución utilizadas por cada uno de los Senadores, y comunicar este acuerdo a su autor, informándole de que, frente al mismo, podrá solicitar su reconsideración de conformidad con lo previsto en el artículo 36.2 del Reglamento del Senado”.</w:t>
      </w:r>
    </w:p>
    <w:p w14:paraId="71C3D902" w14:textId="77777777" w:rsidR="008D479B" w:rsidRDefault="008D479B" w:rsidP="008D479B">
      <w:pPr>
        <w:pStyle w:val="TextoNormal"/>
      </w:pPr>
    </w:p>
    <w:p w14:paraId="08768418" w14:textId="77777777" w:rsidR="008D479B" w:rsidRDefault="008D479B" w:rsidP="008D479B">
      <w:pPr>
        <w:pStyle w:val="TextoNormal"/>
      </w:pPr>
      <w:r w:rsidRPr="008D479B">
        <w:rPr>
          <w:rStyle w:val="NumeroAFNegritaCaracter"/>
        </w:rPr>
        <w:t>3</w:t>
      </w:r>
      <w:r>
        <w:t>. Los senadores demandantes de amparo solicitan que se estime el recurso por vulneración de su derecho a la representación política (art. 23 CE) y a la igualdad (art. 14 CE) para cuyo restablecimiento consideran necesario la declaración de nulidad de los acuerdos parlamentarios impugnados, teniendo por no acreditado el requisito de juramento o promesa de acatamiento de la Constitución en relación con los casos reseñados, declarando que procede no tener por adquirida la plenitud de derechos y perfeccionada su condición de senadores electos a los parlamentarios aludidos en los términos del art. 12 del Reglamento del Senado (RS).</w:t>
      </w:r>
    </w:p>
    <w:p w14:paraId="7C84676D" w14:textId="77777777" w:rsidR="008D479B" w:rsidRDefault="008D479B" w:rsidP="008D479B">
      <w:pPr>
        <w:pStyle w:val="TextoNormal"/>
      </w:pPr>
    </w:p>
    <w:p w14:paraId="75E5C176" w14:textId="77777777" w:rsidR="008D479B" w:rsidRDefault="008D479B" w:rsidP="008D479B">
      <w:pPr>
        <w:pStyle w:val="TextoNormal"/>
      </w:pPr>
      <w:r>
        <w:t>Los demandantes de amparo contextualizan la fórmula empleada por la senadora en el “proceso de ruptura con el orden constitucional en Cataluña en los meses de septiembre y octubre de 2017” y la sentencia de la Sala Segunda del Tribunal Supremo núm. 459/2019, por la que se dictó condena de los acusados por delitos de desobediencia y sedición, en concurso medial con un delito de malversación agravado por la cuantía para diversos acusados. Afirman que la existencia de este fallo, a partir de octubre de 2019 es una cuestión novedosa que no concurría en la Legislatura XIII y que conlleva que la afirmación acerca de la existencia de “presos políticos” no se sostenga ni política, ni jurídicamente y suponga un claro desacato a la Constitución, ya que la sentencia fija penas en función de la consumación de delitos que han quedado acreditados para el Tribunal Supremo.</w:t>
      </w:r>
    </w:p>
    <w:p w14:paraId="323909E9" w14:textId="77777777" w:rsidR="008D479B" w:rsidRDefault="008D479B" w:rsidP="008D479B">
      <w:pPr>
        <w:pStyle w:val="TextoNormal"/>
      </w:pPr>
    </w:p>
    <w:p w14:paraId="0FBE4A6C" w14:textId="77777777" w:rsidR="008D479B" w:rsidRDefault="008D479B" w:rsidP="008D479B">
      <w:pPr>
        <w:pStyle w:val="TextoNormal"/>
      </w:pPr>
      <w:r>
        <w:t>Afirman que la fórmula utilizada para acatar la Constitución supone un ataque frontal al art. 117.3 CE y desvirtúa el acatamiento de la Constitución exigido en el art. 11 RS. En lugar de acatar la Constitución se afirma la voluntad política de subvertirla. Diferencia así estos casos de otros, que cita, en los que las expresiones utilizadas por los senadores, a pesar de apartarse del “sí, juro” o “sí, prometo” exigidos por el art. 11.3 RS no entran en contradicción con el juramento o promesa de acatar la Constitución (aquellos que juraron o prometieron “por el equilibrio territorial”, “por España”, “por los derechos humanos, [y] por la justicia climática”).</w:t>
      </w:r>
    </w:p>
    <w:p w14:paraId="4EDFF8E8" w14:textId="77777777" w:rsidR="008D479B" w:rsidRDefault="008D479B" w:rsidP="008D479B">
      <w:pPr>
        <w:pStyle w:val="TextoNormal"/>
      </w:pPr>
    </w:p>
    <w:p w14:paraId="091DF529" w14:textId="77777777" w:rsidR="008D479B" w:rsidRDefault="008D479B" w:rsidP="008D479B">
      <w:pPr>
        <w:pStyle w:val="TextoNormal"/>
      </w:pPr>
      <w:r>
        <w:t>La demanda cita además tres casos (senadores Bideguren Gabantxo, Elejabarrieta Díaz y Uribe-Etxebearría Apalategui) en que la respuesta se formuló en euskera que la presidenta del Senado no tiene la obligación de conocer, por lo que no se pudo dar cumplimiento efectivo al citado art. 12 RS.</w:t>
      </w:r>
    </w:p>
    <w:p w14:paraId="516680C8" w14:textId="77777777" w:rsidR="008D479B" w:rsidRDefault="008D479B" w:rsidP="008D479B">
      <w:pPr>
        <w:pStyle w:val="TextoNormal"/>
      </w:pPr>
    </w:p>
    <w:p w14:paraId="32847B25" w14:textId="77777777" w:rsidR="008D479B" w:rsidRDefault="008D479B" w:rsidP="008D479B">
      <w:pPr>
        <w:pStyle w:val="TextoNormal"/>
      </w:pPr>
      <w:r>
        <w:t>Los demandantes argumentan que la admisión como senadores de pleno derecho a senadores electos que no han cumplido el requisito de juramento o promesa de acatar la Constitución afecta a la correcta composición del Senado como órgano constitucional de representación colectiva del pueblo español, sin que pueda separarse la representación individual del parlamentario (art. 23.2 CE), de la representación colectiva de la Cámara.</w:t>
      </w:r>
    </w:p>
    <w:p w14:paraId="65E06AA2" w14:textId="77777777" w:rsidR="008D479B" w:rsidRDefault="008D479B" w:rsidP="008D479B">
      <w:pPr>
        <w:pStyle w:val="TextoNormal"/>
      </w:pPr>
    </w:p>
    <w:p w14:paraId="6C5EF97F" w14:textId="77777777" w:rsidR="008D479B" w:rsidRDefault="008D479B" w:rsidP="008D479B">
      <w:pPr>
        <w:pStyle w:val="TextoNormal"/>
      </w:pPr>
      <w:r>
        <w:t>Añaden que una inadecuada composición del Senado afecta al régimen de mayorías y minorías del Senado: a la configuración de las mayorías simples, de la mayoría absoluta y de otras mayorías cualificadas como la de tres quintos de los miembros de la Cámara. Esto es, afecta consecuentemente al ejercicio de las funciones legislativas, presupuestarias y de control, así como en las demás competencias que la Constitución atribuye al Senado.</w:t>
      </w:r>
    </w:p>
    <w:p w14:paraId="31D4CA0B" w14:textId="77777777" w:rsidR="008D479B" w:rsidRDefault="008D479B" w:rsidP="008D479B">
      <w:pPr>
        <w:pStyle w:val="TextoNormal"/>
      </w:pPr>
    </w:p>
    <w:p w14:paraId="556431DA" w14:textId="77777777" w:rsidR="008D479B" w:rsidRDefault="008D479B" w:rsidP="008D479B">
      <w:pPr>
        <w:pStyle w:val="TextoNormal"/>
      </w:pPr>
      <w:r>
        <w:t>Consideran que se ha infringido el requisito de juramento o promesa de acatar la Constitución previsto en el art. 108.8 de la Ley Orgánica de régimen electoral general y en el art. 11 RS cuya exigencia es conforme con la doctrina constitucional, de tal modo que la fórmula utilizada no vacíe, limite o condiciones el sentido propio de la exigencia para adquirir la condición de diputado o senador. Señalan que no es posible acatar la Constitución si en el mismo acto de promesa o juramento se niega la soberanía que de la misma dimana, al aludirse a una soberanía distinta, la catalana, que se considera superior y a la cual se presta fidelidad con prioridad o se firma jurar por una inexistente república, que no es más que la aspiración de partidos políticos o agrupaciones que provocaron su declaración unilateral en ruptura con el orden constitucional.</w:t>
      </w:r>
    </w:p>
    <w:p w14:paraId="4FCDEDB3" w14:textId="77777777" w:rsidR="008D479B" w:rsidRDefault="008D479B" w:rsidP="008D479B">
      <w:pPr>
        <w:pStyle w:val="TextoNormal"/>
      </w:pPr>
    </w:p>
    <w:p w14:paraId="39E0C681" w14:textId="77777777" w:rsidR="008D479B" w:rsidRDefault="008D479B" w:rsidP="008D479B">
      <w:pPr>
        <w:pStyle w:val="TextoNormal"/>
      </w:pPr>
      <w:r>
        <w:t>Indican que se ha producido una infracción del derecho fundamental de los recurrentes, porque la función de representación del diputado no constituye sino una fracción de un “todo” que lo trasciende y del que no puede desligarse, siendo así que la representación individual del senador es una porción de la representación colectiva de la soberanía nacional de la Cámara, sin la cual carece de sentido la representación individual. Añaden que la infracción de la legalidad ha supuesto el desconocimiento de la igualdad entre representantes que han llevado a cabo el juramento o promesa y senadores que no han cumplido dicha exigencia.</w:t>
      </w:r>
    </w:p>
    <w:p w14:paraId="58CF08A6" w14:textId="77777777" w:rsidR="008D479B" w:rsidRDefault="008D479B" w:rsidP="008D479B">
      <w:pPr>
        <w:pStyle w:val="TextoNormal"/>
      </w:pPr>
    </w:p>
    <w:p w14:paraId="5A7E933F" w14:textId="77777777" w:rsidR="008D479B" w:rsidRDefault="008D479B" w:rsidP="008D479B">
      <w:pPr>
        <w:pStyle w:val="TextoNormal"/>
      </w:pPr>
      <w:r>
        <w:t>Refieren que avalar dichas fórmulas supondría avalar la falta de control y responsabilidad de la Presidencia del Senado ante la arbitraria y deliberada inaplicación de la doctrina constitucional.</w:t>
      </w:r>
    </w:p>
    <w:p w14:paraId="7233AF8E" w14:textId="77777777" w:rsidR="008D479B" w:rsidRDefault="008D479B" w:rsidP="008D479B">
      <w:pPr>
        <w:pStyle w:val="TextoNormal"/>
      </w:pPr>
    </w:p>
    <w:p w14:paraId="391C5B13" w14:textId="55D9435B" w:rsidR="008D479B" w:rsidRDefault="008D479B" w:rsidP="008D479B">
      <w:pPr>
        <w:pStyle w:val="TextoNormal"/>
      </w:pPr>
      <w:r>
        <w:t>Los demandantes de amparo afirman que el recurso cuenta con especial transcendencia constitucional en los términos enunciados en la STC 155/2009, de 25 de junio, FJ 2, entre otras razones, porque (i) puede dar ocasión al tribunal para aclarar o cambiar su doctrina relativa al acatamiento de la Constitución en atención a la utilización de fórmulas directamente incompatibles con la Constitución; (ii) plantea una cuestión jurídica de relevante y general repercusión social o económica por su naturaleza parlamentaria y por afectar a la composición del Senado; y (iii) plantea un problema o una faceta del derecho susceptible de amparo constitucional sobre el que no existe doctrina del Tribunal.</w:t>
      </w:r>
    </w:p>
    <w:p w14:paraId="2E5F836D" w14:textId="77777777" w:rsidR="008D479B" w:rsidRDefault="008D479B" w:rsidP="008D479B">
      <w:pPr>
        <w:pStyle w:val="TextoNormal"/>
      </w:pPr>
    </w:p>
    <w:p w14:paraId="6FAF132A" w14:textId="056F3C72" w:rsidR="008D479B" w:rsidRDefault="008D479B" w:rsidP="008D479B">
      <w:pPr>
        <w:pStyle w:val="TextoNormal"/>
      </w:pPr>
      <w:r w:rsidRPr="008D479B">
        <w:rPr>
          <w:rStyle w:val="NumeroAFNegritaCaracter"/>
        </w:rPr>
        <w:t>4</w:t>
      </w:r>
      <w:r>
        <w:t>. El Pleno del Tribunal, por providencia de 20 de abril de 2021, acordó, a propuesta de tres magistrados, recabar para sí el conocimiento del presente recurso de amparo, admitirlo a trámite al apreciar que concurre en el mismo una especial trascendencia constitucional (art. 50.1 de la Ley Orgánica del Tribunal Constitucional: LOTC) porque el recurso puede dar ocasión al Tribunal para aclarar o cambiar su doctrina, como consecuencia del surgimiento de nuevas realidades sociales [STC 155/2009, FJ 2 b)] y porque el asunto suscitado trasciende del caso concreto porque pudiera tener unas consecuencias políticas generales [STC 155/2009, FJ 2 g)]; dirigir atenta comunicación al Senado, a fin de que remitiera certificación o fotocopia adverada de las actuaciones y emplazamiento a quienes hubieran sido parte en el procedimiento para que pudieran comparecer en el recurso de amparo.</w:t>
      </w:r>
    </w:p>
    <w:p w14:paraId="088F1DCA" w14:textId="77777777" w:rsidR="008D479B" w:rsidRDefault="008D479B" w:rsidP="008D479B">
      <w:pPr>
        <w:pStyle w:val="TextoNormal"/>
      </w:pPr>
    </w:p>
    <w:p w14:paraId="5CD6D84F" w14:textId="078A3FB3" w:rsidR="008D479B" w:rsidRDefault="008D479B" w:rsidP="008D479B">
      <w:pPr>
        <w:pStyle w:val="TextoNormal"/>
      </w:pPr>
      <w:r w:rsidRPr="008D479B">
        <w:rPr>
          <w:rStyle w:val="NumeroAFNegritaCaracter"/>
        </w:rPr>
        <w:t>5</w:t>
      </w:r>
      <w:r>
        <w:t>. La Secretaría de Justicia de la Sala Segunda del Tribunal, por diligencia de ordenación de 5 de julio de 2021, acordó tener por personado y parte al Senado y a los senadores don José Manuel Marín Gascón, doña Laura Castel i Fort, don Miquel Caminal i Cerdà, don Josep Rufà i Gràcia, doña Ana Maria Surra Spadea, don Bernat Picornell i Grenzner, don Miquel Josep Aubà i Fleix, don Xavier Castellana i Gamisans , don Robert Masih Nahar, don Francisco Javier Aragón Ariza, doña Mercedes Berenguer Llorens, doña María Fernández Álvarez, don Ander Gil García, don Antonio Julián Rodríguez Esquerdo, doña Riansares Serrano Morales, doña Idurre Bideguren Gabatnxo, don Gorka Elejebarreta Díaz, doña Mirella Cortès i Gès, doña Sara Bailac i Ardanuy, don Jordi Martí i Deulofeu, doña Elisenda Perez i Esteve y doña Adelina Escanell i Grases, acordándose darles vista de las actuaciones a fin de que, conforme con lo previsto en el art. 52.1 LOTC, pudieran presentar alegaciones.</w:t>
      </w:r>
    </w:p>
    <w:p w14:paraId="55BE70E5" w14:textId="77777777" w:rsidR="008D479B" w:rsidRDefault="008D479B" w:rsidP="008D479B">
      <w:pPr>
        <w:pStyle w:val="TextoNormal"/>
      </w:pPr>
    </w:p>
    <w:p w14:paraId="4F2D340A" w14:textId="77777777" w:rsidR="008D479B" w:rsidRDefault="008D479B" w:rsidP="008D479B">
      <w:pPr>
        <w:pStyle w:val="TextoNormal"/>
      </w:pPr>
      <w:r w:rsidRPr="008D479B">
        <w:rPr>
          <w:rStyle w:val="NumeroAFNegritaCaracter"/>
        </w:rPr>
        <w:t>6</w:t>
      </w:r>
      <w:r>
        <w:t>. El Senado, mediante escrito registrado el 22 de julio de 2021, presentó sus alegaciones solicitando la inadmisión del recurso de amparo por la defectuosa delimitación de su objeto, falta de legitimación o de capacidad activa de los recurrentes y falta de invocación en la vía parlamentaria del derecho fundamental, y, subsidiariamente, la desestimación de la demanda al no haberse producido la vulneración del derecho de participación política en relación con el de representación (art. 23.1 y 2 CE) ni del principio de igualdad (art. 14 CE).</w:t>
      </w:r>
    </w:p>
    <w:p w14:paraId="6495B1D6" w14:textId="77777777" w:rsidR="008D479B" w:rsidRDefault="008D479B" w:rsidP="008D479B">
      <w:pPr>
        <w:pStyle w:val="TextoNormal"/>
      </w:pPr>
    </w:p>
    <w:p w14:paraId="14BEDD5F" w14:textId="77777777" w:rsidR="008D479B" w:rsidRDefault="008D479B" w:rsidP="008D479B">
      <w:pPr>
        <w:pStyle w:val="TextoNormal"/>
      </w:pPr>
      <w:r>
        <w:t>Indica que los actos del presidente de la Cámara en materia de acatamiento son firmes y que “no cabe considerar(los) en modo alguno actos de trámite”, tal y como confirmó ese Tribunal en la STC 119/1990, de 21 de junio, FJ 1, por lo que el acuerdo que se recurre en realidad es el de la presidenta del Senado de 3 de diciembre de 2019 y no el posterior de 12 de diciembre de la mesa, cuya competencia para rectificar la actuación del presidente en relación con los acatamientos es más que discutible.</w:t>
      </w:r>
    </w:p>
    <w:p w14:paraId="0A7CC7F2" w14:textId="77777777" w:rsidR="008D479B" w:rsidRDefault="008D479B" w:rsidP="008D479B">
      <w:pPr>
        <w:pStyle w:val="TextoNormal"/>
      </w:pPr>
    </w:p>
    <w:p w14:paraId="378B579C" w14:textId="77777777" w:rsidR="008D479B" w:rsidRDefault="008D479B" w:rsidP="008D479B">
      <w:pPr>
        <w:pStyle w:val="TextoNormal"/>
      </w:pPr>
      <w:r>
        <w:t>Destaca que el objeto del recurso interno no fue impugnar determinado acatamiento sino comprobar o verificar que los senadores indicados en la demanda habían expresado, de forma clara e inequívoca, su voluntad de acatar la Constitución, para, en caso de respuesta negativa, invalidar el acatamiento. Siendo ello así, era necesaria una solicitud de reconsideración conforme al art. 36.2 RS que no se ha llegado a formular.</w:t>
      </w:r>
    </w:p>
    <w:p w14:paraId="3A968AA3" w14:textId="77777777" w:rsidR="008D479B" w:rsidRDefault="008D479B" w:rsidP="008D479B">
      <w:pPr>
        <w:pStyle w:val="TextoNormal"/>
      </w:pPr>
    </w:p>
    <w:p w14:paraId="4C4F855C" w14:textId="77777777" w:rsidR="008D479B" w:rsidRDefault="008D479B" w:rsidP="008D479B">
      <w:pPr>
        <w:pStyle w:val="TextoNormal"/>
      </w:pPr>
      <w:r>
        <w:t>En relación con la legitimación, refiere que no está expresamente atribuida en el reglamento la iniciativa del portavoz del grupo parlamentario para impugnar dicha actuación, porque no puede presumirse sin más que represente la voluntad de todos y cada uno de los miembros del grupo parlamentario (STC 24/2020, de 13 de febrero, FJ 4). Si bien, es una circunstancia meramente adjetiva y carente de consecuencias jurídicas en tanto que puede acogerse la tesis de que los senadores recurrentes actúan de forma individual y en su propio nombre (STC 98/2009, de 27 de abril, FJ 3). Aun así, afirma que los senadores recurrentes no son “persona directamente afectada” a los efectos del art. 46.1 a) LOTC, pese a que se pueda admitir el interés legitimador de los recurrentes, en cuanto senadores individuales (art. 162 CE, por error indica LOTC).</w:t>
      </w:r>
    </w:p>
    <w:p w14:paraId="45AFDC51" w14:textId="77777777" w:rsidR="008D479B" w:rsidRDefault="008D479B" w:rsidP="008D479B">
      <w:pPr>
        <w:pStyle w:val="TextoNormal"/>
      </w:pPr>
    </w:p>
    <w:p w14:paraId="6155E03D" w14:textId="77777777" w:rsidR="008D479B" w:rsidRDefault="008D479B" w:rsidP="008D479B">
      <w:pPr>
        <w:pStyle w:val="TextoNormal"/>
      </w:pPr>
      <w:r>
        <w:t>Considera que concurre la falta de invocación del derecho lesionado en el procedimiento parlamentario previo [art. 44.1 c) LOTC], pues los recurrentes en ningún momento durante la sesión plenaria de 3 de diciembre de 2019 ni en su posterior solicitud de revisión alegaron la lesión de sus derechos fundamentales, siendo por primera vez en el recurso de amparo donde se invocan.</w:t>
      </w:r>
    </w:p>
    <w:p w14:paraId="2AD27D6C" w14:textId="77777777" w:rsidR="008D479B" w:rsidRDefault="008D479B" w:rsidP="008D479B">
      <w:pPr>
        <w:pStyle w:val="TextoNormal"/>
      </w:pPr>
    </w:p>
    <w:p w14:paraId="4BBA0903" w14:textId="77777777" w:rsidR="008D479B" w:rsidRDefault="008D479B" w:rsidP="008D479B">
      <w:pPr>
        <w:pStyle w:val="TextoNormal"/>
      </w:pPr>
      <w:r>
        <w:t>A continuación, rechaza que se haya producido una vulneración de los derechos invocados. Indica que la vulneración del derecho fundamental debe ser efectiva y no viene determinadas por la simple conculcación de las normas reglamentarias. Expone los precedentes del Senado a través de los diarios de sesiones de las Legislaturas XIII, XII y XI, e indica que, con independencia de su valor normativo, de no haberse seguido tales precedentes se hubiera producido una diferencia de trato, que como tal fue argumento esencial en la STC 119/1990.</w:t>
      </w:r>
    </w:p>
    <w:p w14:paraId="6D9002CB" w14:textId="77777777" w:rsidR="008D479B" w:rsidRDefault="008D479B" w:rsidP="008D479B">
      <w:pPr>
        <w:pStyle w:val="TextoNormal"/>
      </w:pPr>
    </w:p>
    <w:p w14:paraId="659E5FE6" w14:textId="77777777" w:rsidR="008D479B" w:rsidRDefault="008D479B" w:rsidP="008D479B">
      <w:pPr>
        <w:pStyle w:val="TextoNormal"/>
      </w:pPr>
      <w:r>
        <w:t>Añade que el art. 23 no reconoce el derecho fundamental de unos senadores a que otros ejerzan el suyo de determinada manera; que todas las fórmulas terminaron con el fórmula exigida “sí, prometo”; que las afirmaciones sobre la “república catalana” o “el mandato del 1 de octubre” representan aspiraciones legítimas en una democracia no militante como la establecida en la Constitución de 1978; que deben entenderse en el marco de la libertad ideológica; y que la doctrina constitucional impone una intervención no excesivamente rigorista o formalista. Y, en fin, que, de no haber reconocido la condición de senadores de los parlamentarios implicados, la presidenta estaría vulnerando el derecho fundamental de estos últimos a la participación política. El juramento o promesa es una obligación formal que se impone a los parlamentarios, pero no permite a la presidenta ni a la mesa efectuar un control material de dicho acto que vaya más allá de la confirmación de la fórmula “sí, juro” o “sí, prometo”, como pretenden los recurrentes.</w:t>
      </w:r>
    </w:p>
    <w:p w14:paraId="191B695D" w14:textId="77777777" w:rsidR="008D479B" w:rsidRDefault="008D479B" w:rsidP="008D479B">
      <w:pPr>
        <w:pStyle w:val="TextoNormal"/>
      </w:pPr>
    </w:p>
    <w:p w14:paraId="05C2E808" w14:textId="77777777" w:rsidR="008D479B" w:rsidRDefault="008D479B" w:rsidP="008D479B">
      <w:pPr>
        <w:pStyle w:val="TextoNormal"/>
      </w:pPr>
      <w:r>
        <w:t>Sobre las manifestaciones efectuadas en euskera, dice que no consta que la presidenta no las comprendiera, y que bastaba con conocer la expresión “Ematen dut” “sí, prometo” para tener por perfeccionada la condición de senador. Por último, señala que esas palabras se pronunciaron, aunque fuera en euskera, por lo que el trámite se cumplimentó efectivamente, y que se acompañaron de traducciones proporcionadas por los propios senadores implicados como consta en el diario de sesiones. En definitiva, la presidenta estuvo en condiciones de apreciar que el acatamiento había tenido lugar, y la fórmula en euskera no desvirtúa el ritual.</w:t>
      </w:r>
    </w:p>
    <w:p w14:paraId="006BC77D" w14:textId="77777777" w:rsidR="008D479B" w:rsidRDefault="008D479B" w:rsidP="008D479B">
      <w:pPr>
        <w:pStyle w:val="TextoNormal"/>
      </w:pPr>
    </w:p>
    <w:p w14:paraId="48CF0AB7" w14:textId="77777777" w:rsidR="008D479B" w:rsidRDefault="008D479B" w:rsidP="008D479B">
      <w:pPr>
        <w:pStyle w:val="TextoNormal"/>
      </w:pPr>
      <w:r>
        <w:t>Afirma que la composición de la Cámara fue correcta porque todos los senadores cumplieron con la obligación de prestar acatamiento a la Constitución, habiendo quedado viciada la composición de la Cámara de no haberse aceptado la condición de senadores de los parlamentarios aludidos en el recurso.</w:t>
      </w:r>
    </w:p>
    <w:p w14:paraId="6BB0EA36" w14:textId="77777777" w:rsidR="008D479B" w:rsidRDefault="008D479B" w:rsidP="008D479B">
      <w:pPr>
        <w:pStyle w:val="TextoNormal"/>
      </w:pPr>
    </w:p>
    <w:p w14:paraId="64D243C1" w14:textId="77777777" w:rsidR="008D479B" w:rsidRDefault="008D479B" w:rsidP="008D479B">
      <w:pPr>
        <w:pStyle w:val="TextoNormal"/>
      </w:pPr>
      <w:r>
        <w:t>Considera que no existe, a tenor de la doctrina constitucional expuesta en la STC 10/1983, de 21 de febrero, una representación individual o propia de cada representante, sino, por el contrario, una representación conjunta de todos los ciudadanos “unidad de voluntad”, porque, como dicta nuestra Norma Fundamental: “Las Cortes Generales representan al pueblo español” (art. 66 CE).</w:t>
      </w:r>
    </w:p>
    <w:p w14:paraId="0E26AE72" w14:textId="77777777" w:rsidR="008D479B" w:rsidRDefault="008D479B" w:rsidP="008D479B">
      <w:pPr>
        <w:pStyle w:val="TextoNormal"/>
      </w:pPr>
    </w:p>
    <w:p w14:paraId="75F99CE3" w14:textId="5E14FC08" w:rsidR="008D479B" w:rsidRDefault="008D479B" w:rsidP="008D479B">
      <w:pPr>
        <w:pStyle w:val="TextoNormal"/>
      </w:pPr>
      <w:r>
        <w:t>Finalmente refiere que no existió trato desigual pues todos los senadores acataron la Constitución.</w:t>
      </w:r>
    </w:p>
    <w:p w14:paraId="691E0030" w14:textId="77777777" w:rsidR="008D479B" w:rsidRDefault="008D479B" w:rsidP="008D479B">
      <w:pPr>
        <w:pStyle w:val="TextoNormal"/>
      </w:pPr>
    </w:p>
    <w:p w14:paraId="1F8E6F68" w14:textId="2CE253B5" w:rsidR="008D479B" w:rsidRDefault="008D479B" w:rsidP="008D479B">
      <w:pPr>
        <w:pStyle w:val="TextoNormal"/>
      </w:pPr>
      <w:r w:rsidRPr="008D479B">
        <w:rPr>
          <w:rStyle w:val="NumeroAFNegritaCaracter"/>
        </w:rPr>
        <w:t>7</w:t>
      </w:r>
      <w:r>
        <w:t>. Mediante escrito presentado el 2 de septiembre de 2021, el procurador de los tribunales don Javier Cuevas Rivas formuló sus alegaciones en representación de doña Idurre Bideguren Gabatnxo y don Gorka Elejebarreta Díaz. Resumidamente, recuerdan que la Constitución de 1978 no establece un modelo de democracia militante, y que la STC 74/1991 impone la interpretación flexible, no rigorista, no ritualista, finalista e integradora de las fórmulas de acatamiento. Desgranando los elementos de las fórmulas empleadas: (i) sí, prometo; (ii) por imperativo legal; (iii) hasta la creación de la república vasca; le parece que se ajusta a la doctrina precitada.</w:t>
      </w:r>
    </w:p>
    <w:p w14:paraId="2893A4A9" w14:textId="77777777" w:rsidR="008D479B" w:rsidRDefault="008D479B" w:rsidP="008D479B">
      <w:pPr>
        <w:pStyle w:val="TextoNormal"/>
      </w:pPr>
    </w:p>
    <w:p w14:paraId="5946331E" w14:textId="0D92EFF1" w:rsidR="008D479B" w:rsidRDefault="008D479B" w:rsidP="008D479B">
      <w:pPr>
        <w:pStyle w:val="TextoNormal"/>
      </w:pPr>
      <w:r w:rsidRPr="008D479B">
        <w:rPr>
          <w:rStyle w:val="NumeroAFNegritaCaracter"/>
        </w:rPr>
        <w:t>8</w:t>
      </w:r>
      <w:r>
        <w:t>. El mismo día 2 de septiembre de 2021 formuló sus alegaciones el procurador de los tribunales don Emilio Martínez Benítez en representación de Laura Castel i Fort, don Miquel Caminal i Cerdà, don Josep Rufà i Gràcia, doña Ana Maria Surra Spadea, don Bernat Picornell i Grenzner, don Miquel Josep Aubà i Fleix, don Xavier Castellana i Gamisans, don Robert Masih Nahar, doña Mirella Cortès i Gès, doña Sara Bailac i Ardanuy, don Jordi Martí i Deulofeu, doña Elisenda Perez i Esteve y doña Adelina Escanell i Grases. Resumidamente, solicita la declaración de pérdida de objeto del amparo en relación con el senador don Bernat Picornell i Grenzner, que ya no ostenta tal condición, y la inadmisión del recurso en lo demás por no ser los actos recurridos susceptibles de recurso de amparo y por ausencia de legitimación de los recurrentes. Subsidiariamente, solicita la desestimación por pretender el recurso imponer un formalismo excesivo en detrimento de la protección de los derechos fundamentales, y un “acatamiento” que no está previsto en la Constitución ni en las leyes.</w:t>
      </w:r>
    </w:p>
    <w:p w14:paraId="2FC5A506" w14:textId="77777777" w:rsidR="008D479B" w:rsidRDefault="008D479B" w:rsidP="008D479B">
      <w:pPr>
        <w:pStyle w:val="TextoNormal"/>
      </w:pPr>
    </w:p>
    <w:p w14:paraId="01B9DC6C" w14:textId="13AC2062" w:rsidR="008D479B" w:rsidRDefault="008D479B" w:rsidP="008D479B">
      <w:pPr>
        <w:pStyle w:val="TextoNormal"/>
      </w:pPr>
      <w:r w:rsidRPr="008D479B">
        <w:rPr>
          <w:rStyle w:val="NumeroAFNegritaCaracter"/>
        </w:rPr>
        <w:t>9</w:t>
      </w:r>
      <w:r>
        <w:t>. El mismo día 2 de septiembre de 2021 presentó sus alegaciones la procuradora de los tribunales doña Virginia Aragón Segura en nombre y representación de don Francisco Javier Aragón Ariza, doña Mercedes Berenguer Llorens, doña María Fernández Álvarez, don Ander Gil García, don Antonio Julián Rodríguez Esquerdo y doña Riansares Serrano Morales. Solicitan igualmente la desestimación del recurso de amparo argumentando que se interpone contra un acto no firme que además constituye un “contra-amparo” que encubre dudas sobre la constitucionalidad del acto impugnado, pero sin que este haya afectado a los derechos de los senadores recurrentes. Por lo que respecta a la alegada vulneración del art. 14 CE, el recurso encubre una “discriminación por indiferenciación” que no vulnera el indicado precepto constitucional. Finalmente, si el Tribunal entrara a considerar el fondo del asunto, le parece que el principio de proporcionalidad ampara la interpretación del art. 11 RS efectuada por la presidenta y la mesa del Senado en una democracia no militante como la española.</w:t>
      </w:r>
    </w:p>
    <w:p w14:paraId="6C349405" w14:textId="77777777" w:rsidR="008D479B" w:rsidRDefault="008D479B" w:rsidP="008D479B">
      <w:pPr>
        <w:pStyle w:val="TextoNormal"/>
      </w:pPr>
    </w:p>
    <w:p w14:paraId="28E82A4B" w14:textId="006B7DAB" w:rsidR="008D479B" w:rsidRDefault="008D479B" w:rsidP="008D479B">
      <w:pPr>
        <w:pStyle w:val="TextoNormal"/>
      </w:pPr>
      <w:r w:rsidRPr="008D479B">
        <w:rPr>
          <w:rStyle w:val="NumeroAFNegritaCaracter"/>
        </w:rPr>
        <w:t>10</w:t>
      </w:r>
      <w:r>
        <w:t>. Mediante escrito registrado el 6 de septiembre de 2021, la procuradora de los tribunales doña María del Pilar Hidalgo López en nombre y representación del senador don José Manuel Marín Gascón solicitó la estimación de la demanda de amparo. Con cita de la doctrina constitucional formada en relación con las fórmulas de juramento o promesa del deber de acatar la Constitución, entiende que la fórmula utilizada debe contextualizarse en el marco del “procés” y las sentencias dictadas por el Tribunal Constitucional y por el Tribunal Supremo, para concluir que las fórmulas empleadas por los senadores aludidos de ningún modo fueron conformes con el requisito formal de acatamiento de la Constitución para la adquisición plena de la condición de senador. Y por lo que respecta a las fórmulas en euskera, le parece que no se formularon con la solemnidad requerida por la trascendencia de la función que se va a desempeñar, y que no consta que la presidenta entendiera las citadas expresiones. Con cita de abundante doctrina constitucional considera que la adquisición de la condición de senadores de los parlamentarios implicados vulneró los arts. 14 y 23 CE.</w:t>
      </w:r>
    </w:p>
    <w:p w14:paraId="1C9F9948" w14:textId="77777777" w:rsidR="008D479B" w:rsidRDefault="008D479B" w:rsidP="008D479B">
      <w:pPr>
        <w:pStyle w:val="TextoNormal"/>
      </w:pPr>
    </w:p>
    <w:p w14:paraId="696B2DAA" w14:textId="77777777" w:rsidR="008D479B" w:rsidRDefault="008D479B" w:rsidP="008D479B">
      <w:pPr>
        <w:pStyle w:val="TextoNormal"/>
      </w:pPr>
      <w:r w:rsidRPr="008D479B">
        <w:rPr>
          <w:rStyle w:val="NumeroAFNegritaCaracter"/>
        </w:rPr>
        <w:t>11</w:t>
      </w:r>
      <w:r>
        <w:t>. El Ministerio Fiscal, mediante escrito registrado el 5 de octubre de 2021, presentó sus alegaciones interesando la inadmisión del recurso de amparo y subsidiariamente su desestimación.</w:t>
      </w:r>
    </w:p>
    <w:p w14:paraId="2613BDF5" w14:textId="77777777" w:rsidR="008D479B" w:rsidRDefault="008D479B" w:rsidP="008D479B">
      <w:pPr>
        <w:pStyle w:val="TextoNormal"/>
      </w:pPr>
    </w:p>
    <w:p w14:paraId="6E13FC66" w14:textId="77777777" w:rsidR="008D479B" w:rsidRDefault="008D479B" w:rsidP="008D479B">
      <w:pPr>
        <w:pStyle w:val="TextoNormal"/>
      </w:pPr>
      <w:r>
        <w:t>El Fiscal considera que en tanto que el recurso de amparo aparece interpuesto por quienes tienen la condición de senadores y el derecho invocado es de titularidad individual excluye cualquier problema de legitimación y aunque el derecho concernido no puede ser el contenido en el art. 23.1 CE, las referencias que se efectúan al art. 23.2 CE y la estrecha vinculación entre ambos, despeja cualquier problema que pudiera afectar a la legitimación de los recurrentes. En cambio, le parece que al no haberse invocado en vía parlamentaria la vulneración de los derechos fundamentales alegados en el recurso de amparo y no haber empleado los recurrentes la preceptiva vía intraparlamentaria antes de acudir al Tribunal Constitucional, el recurso debe ser inadmitido.</w:t>
      </w:r>
    </w:p>
    <w:p w14:paraId="55EDE4F7" w14:textId="77777777" w:rsidR="008D479B" w:rsidRDefault="008D479B" w:rsidP="008D479B">
      <w:pPr>
        <w:pStyle w:val="TextoNormal"/>
      </w:pPr>
    </w:p>
    <w:p w14:paraId="488E3C3F" w14:textId="77777777" w:rsidR="008D479B" w:rsidRDefault="008D479B" w:rsidP="008D479B">
      <w:pPr>
        <w:pStyle w:val="TextoNormal"/>
      </w:pPr>
      <w:r>
        <w:t>Sobre el fondo de las lesiones denunciadas, el fiscal argumenta que el recurso se basa en la infracción de normas reglamentarias y legales que no representa una vulneración de los derechos fundamentales invocados. Subraya que todas las expresiones empleadas incluyeron la fórmula de acatamiento, y que los juicios de intenciones que contiene el recurso de amparo pueden compartirse o no políticamente, pero que jurídico-constitucionalmente no pueden suplantar el criterio de los órganos de gobierno de la Cámara, dentro del respeto a su autonomía.</w:t>
      </w:r>
    </w:p>
    <w:p w14:paraId="7D5C6494" w14:textId="77777777" w:rsidR="008D479B" w:rsidRDefault="008D479B" w:rsidP="008D479B">
      <w:pPr>
        <w:pStyle w:val="TextoNormal"/>
      </w:pPr>
    </w:p>
    <w:p w14:paraId="7D0677C9" w14:textId="77777777" w:rsidR="008D479B" w:rsidRDefault="008D479B" w:rsidP="008D479B">
      <w:pPr>
        <w:pStyle w:val="TextoNormal"/>
      </w:pPr>
      <w:r>
        <w:t>Un pretendido control material, como el que parecen promover los demandantes, del compromiso constitucional de cada senador atendiendo a su forma de exteriorización, además de generar consecuencias políticas potenciales de conversión en fuerzas extraparlamentarias de todas las organizaciones políticas que no compartan el contenido material de la Constitución, sería difícilmente conciliable con la doctrina de la no militancia.</w:t>
      </w:r>
    </w:p>
    <w:p w14:paraId="165CB015" w14:textId="77777777" w:rsidR="008D479B" w:rsidRDefault="008D479B" w:rsidP="008D479B">
      <w:pPr>
        <w:pStyle w:val="TextoNormal"/>
      </w:pPr>
    </w:p>
    <w:p w14:paraId="6BC5EDB5" w14:textId="77777777" w:rsidR="008D479B" w:rsidRDefault="008D479B" w:rsidP="008D479B">
      <w:pPr>
        <w:pStyle w:val="TextoNormal"/>
      </w:pPr>
      <w:r>
        <w:t>Afirma que, si en nuestro ordenamiento constitucional no tiene cabida un modelo de democracia militante, ese objetivo de integración impone por coherencia un criterio muy restrictivo a la hora de delimitar, no el efecto excluyente del requisito formal, cuyo valor significativo ha sido confirmado por el tribunal al declararlo conforme a la Constitución, sino el sentido que es propio de ese requisito. Esto es, distinguir situaciones en las que dicho acatamiento formal pueda eventualmente ir acompañado de manifestaciones de contenido y alcance netamente político, generador o incluso directa y deliberadamente provocador, de aquellos otros supuestos en que se fórmula una declaración claramente equivalente a una negativa abierta a acatar la Constitución.</w:t>
      </w:r>
    </w:p>
    <w:p w14:paraId="7D2F52A6" w14:textId="77777777" w:rsidR="008D479B" w:rsidRDefault="008D479B" w:rsidP="008D479B">
      <w:pPr>
        <w:pStyle w:val="TextoNormal"/>
      </w:pPr>
    </w:p>
    <w:p w14:paraId="60B7B2EC" w14:textId="77777777" w:rsidR="008D479B" w:rsidRDefault="008D479B" w:rsidP="008D479B">
      <w:pPr>
        <w:pStyle w:val="TextoNormal"/>
      </w:pPr>
      <w:r>
        <w:t>Afirma por otra parte que la incorrecta conformación de la composición de las Cámaras no ocasiona una efectiva o potencial limitación de sus propios derechos a ejercer la representación política. Tampoco cabe invocar la igualdad para oponerse al reconocimiento público del derecho fundamental ajeno. Señala que los parlamentarios invocan la mera privación de una consecuencia objetiva —en realidad un efecto colateral para ellos potencialmente ventajoso— que derivaría de la restricción del ejercicio del derecho de otros senadores. Se edifica un derecho propio con materiales procedentes de la restricción de otros derechos.</w:t>
      </w:r>
    </w:p>
    <w:p w14:paraId="0304F898" w14:textId="77777777" w:rsidR="008D479B" w:rsidRDefault="008D479B" w:rsidP="008D479B">
      <w:pPr>
        <w:pStyle w:val="TextoNormal"/>
      </w:pPr>
    </w:p>
    <w:p w14:paraId="658ACAFC" w14:textId="70C17F5D" w:rsidR="008D479B" w:rsidRDefault="008D479B" w:rsidP="008D479B">
      <w:pPr>
        <w:pStyle w:val="TextoNormal"/>
      </w:pPr>
      <w:r>
        <w:t>Por último, considera que al invocar el principio de igualdad (art. 14 CE) la demanda se limita a reiterar los mismos argumentos en los que apoya la supuesta vulneración del art. 23 CE.</w:t>
      </w:r>
    </w:p>
    <w:p w14:paraId="1467B736" w14:textId="77777777" w:rsidR="008D479B" w:rsidRDefault="008D479B" w:rsidP="008D479B">
      <w:pPr>
        <w:pStyle w:val="TextoNormal"/>
      </w:pPr>
    </w:p>
    <w:p w14:paraId="27724218" w14:textId="655E47EA" w:rsidR="008D479B" w:rsidRDefault="008D479B" w:rsidP="008D479B">
      <w:pPr>
        <w:pStyle w:val="TextoNormal"/>
      </w:pPr>
      <w:r w:rsidRPr="008D479B">
        <w:rPr>
          <w:rStyle w:val="NumeroAFNegritaCaracter"/>
        </w:rPr>
        <w:t>12</w:t>
      </w:r>
      <w:r>
        <w:t>. Por providencia de 24 de octubre de 2023 se señaló ese mismo día para la deliberación y votación de la presente sentencia.</w:t>
      </w:r>
    </w:p>
    <w:p w14:paraId="484E179E" w14:textId="77777777" w:rsidR="008D479B" w:rsidRDefault="008D479B" w:rsidP="008D479B">
      <w:pPr>
        <w:pStyle w:val="TextoNormal"/>
      </w:pPr>
    </w:p>
    <w:p w14:paraId="09ED8680" w14:textId="77777777" w:rsidR="008D479B" w:rsidRDefault="008D479B" w:rsidP="008D479B">
      <w:pPr>
        <w:pStyle w:val="TextoNormalNegritaCentrado"/>
        <w:keepNext/>
      </w:pPr>
      <w:r>
        <w:t>II. Fundamentos jurídicos</w:t>
      </w:r>
    </w:p>
    <w:p w14:paraId="783D1500" w14:textId="5A5BAC4A" w:rsidR="008D479B" w:rsidRDefault="008D479B" w:rsidP="008D479B">
      <w:pPr>
        <w:pStyle w:val="TextoNormalNegritaCentrado"/>
        <w:keepNext/>
      </w:pPr>
    </w:p>
    <w:p w14:paraId="5BA47BB9" w14:textId="77777777" w:rsidR="008D479B" w:rsidRDefault="008D479B" w:rsidP="008D479B">
      <w:pPr>
        <w:pStyle w:val="TextoNormal"/>
      </w:pPr>
      <w:r w:rsidRPr="008D479B">
        <w:rPr>
          <w:rStyle w:val="NumeroAFNegritaCaracter"/>
        </w:rPr>
        <w:t>1</w:t>
      </w:r>
      <w:r>
        <w:t xml:space="preserve">. </w:t>
      </w:r>
      <w:r w:rsidRPr="008D479B">
        <w:rPr>
          <w:i/>
        </w:rPr>
        <w:t>Objeto del recurso</w:t>
      </w:r>
    </w:p>
    <w:p w14:paraId="26EABF7D" w14:textId="77777777" w:rsidR="008D479B" w:rsidRDefault="008D479B" w:rsidP="008D479B">
      <w:pPr>
        <w:pStyle w:val="TextoNormal"/>
      </w:pPr>
    </w:p>
    <w:p w14:paraId="75ACC789" w14:textId="28CE11F5" w:rsidR="008D479B" w:rsidRDefault="008D479B" w:rsidP="008D479B">
      <w:pPr>
        <w:pStyle w:val="TextoNormal"/>
      </w:pPr>
      <w:r>
        <w:t>El objeto del presente recurso de amparo consiste en resolver si el derecho de representación política (art. 23.2 CE) de los senadores demandantes de amparo ha resultado vulnerado por el acuerdo de la presidenta del Senado adoptado en la sesión constitutiva de la XIV Legislatura celebrada el 3 de diciembre de 2019 que tuvo por debidamente prestado el juramento o promesa de acatamiento de la Constitución efectuado por los diecisiete senadores citados en la demanda y en el antecedente 2 de esta sentencia, con la consecuente adquisición de la condición plena de senadores.</w:t>
      </w:r>
    </w:p>
    <w:p w14:paraId="32938865" w14:textId="77777777" w:rsidR="008D479B" w:rsidRDefault="008D479B" w:rsidP="008D479B">
      <w:pPr>
        <w:pStyle w:val="TextoNormal"/>
      </w:pPr>
    </w:p>
    <w:p w14:paraId="403A54C3" w14:textId="77777777" w:rsidR="008D479B" w:rsidRDefault="008D479B" w:rsidP="008D479B">
      <w:pPr>
        <w:pStyle w:val="TextoNormal"/>
      </w:pPr>
      <w:r w:rsidRPr="008D479B">
        <w:rPr>
          <w:rStyle w:val="NumeroAFNegritaCaracter"/>
        </w:rPr>
        <w:t>2</w:t>
      </w:r>
      <w:r>
        <w:t xml:space="preserve">. </w:t>
      </w:r>
      <w:r w:rsidRPr="008D479B">
        <w:rPr>
          <w:i/>
        </w:rPr>
        <w:t>Cuestiones previas</w:t>
      </w:r>
    </w:p>
    <w:p w14:paraId="6375312A" w14:textId="77777777" w:rsidR="008D479B" w:rsidRDefault="008D479B" w:rsidP="008D479B">
      <w:pPr>
        <w:pStyle w:val="TextoNormal"/>
      </w:pPr>
    </w:p>
    <w:p w14:paraId="31FC1928" w14:textId="754308C6" w:rsidR="008D479B" w:rsidRDefault="008D479B" w:rsidP="008D479B">
      <w:pPr>
        <w:pStyle w:val="TextoNormal"/>
      </w:pPr>
      <w:r>
        <w:t>Las solicitudes de inadmisión formuladas por el Senado, el Ministerio Fiscal y el resto de las partes comparecidas deben ser desestimadas por las razones expuestas en la STC 65/2023, de 6 de junio, FJ 2, y STC 125/2023, FJ 1, con objeto análogo al presente recurso de amparo.</w:t>
      </w:r>
    </w:p>
    <w:p w14:paraId="55F70A46" w14:textId="77777777" w:rsidR="008D479B" w:rsidRDefault="008D479B" w:rsidP="008D479B">
      <w:pPr>
        <w:pStyle w:val="TextoNormal"/>
      </w:pPr>
    </w:p>
    <w:p w14:paraId="4103B03B" w14:textId="77777777" w:rsidR="008D479B" w:rsidRDefault="008D479B" w:rsidP="008D479B">
      <w:pPr>
        <w:pStyle w:val="TextoNormal"/>
      </w:pPr>
      <w:r w:rsidRPr="008D479B">
        <w:rPr>
          <w:rStyle w:val="NumeroAFNegritaCaracter"/>
        </w:rPr>
        <w:t>3</w:t>
      </w:r>
      <w:r>
        <w:t xml:space="preserve">. </w:t>
      </w:r>
      <w:r w:rsidRPr="008D479B">
        <w:rPr>
          <w:i/>
        </w:rPr>
        <w:t>Aplicación de la doctrina constitucional expuesta en la STC 65/2023, de 6 de junio</w:t>
      </w:r>
    </w:p>
    <w:p w14:paraId="4152B23D" w14:textId="77777777" w:rsidR="008D479B" w:rsidRDefault="008D479B" w:rsidP="008D479B">
      <w:pPr>
        <w:pStyle w:val="TextoNormal"/>
      </w:pPr>
    </w:p>
    <w:p w14:paraId="4019C625" w14:textId="717D1AD7" w:rsidR="008D479B" w:rsidRDefault="008D479B" w:rsidP="008D479B">
      <w:pPr>
        <w:pStyle w:val="TextoNormal"/>
      </w:pPr>
      <w:r>
        <w:t xml:space="preserve">La cuestión de fondo planteada en el presente recurso coincide con la resuelta en la STC 65/2023, de 6 de junio, por lo que debemos remitirnos a su fundamento jurídico 3, relativo a la doctrina constitucional sobre el derecho de representación política (art. 23.2 CE) y su proyección a las decisiones de los órganos de las Cámaras parlamentarias, sobre el ejercicio del </w:t>
      </w:r>
      <w:r w:rsidRPr="008D479B">
        <w:rPr>
          <w:i/>
        </w:rPr>
        <w:t>ius in officium</w:t>
      </w:r>
      <w:r>
        <w:t xml:space="preserve"> de parlamentarios distintos de los demandantes de amparo; y a su fundamento jurídico 4, en el que aplicamos dicha jurisprudencia al </w:t>
      </w:r>
      <w:r w:rsidRPr="008D479B">
        <w:rPr>
          <w:i/>
        </w:rPr>
        <w:t>ius in officium</w:t>
      </w:r>
      <w:r>
        <w:t xml:space="preserve"> de los demandantes y desestimamos el recurso de amparo, al concluir que “[las fórmulas] de acatamiento que los demandantes consideran contrarias a la legalidad parlamentaria […] no afecta al derecho de estos últimos a ejercer también en plenitud sus funciones parlamentarias de acuerdo con las previsiones legales, que no se ve restringido en ningún momento. Esto es lo determinante para que este tribunal aprecie que los demandantes de amparo no han identificado ningún concreto derecho o facultad conformador de su estatuto legal […] que haya quedado limitado o afectado por la decisión parlamentaria impugnada en este amparo que permita considerar que se ha visto afectado su derecho de representación política reconocido en el art. 23.2 CE”.</w:t>
      </w:r>
    </w:p>
    <w:p w14:paraId="0E0DACC7" w14:textId="77777777" w:rsidR="008D479B" w:rsidRDefault="008D479B" w:rsidP="008D479B">
      <w:pPr>
        <w:pStyle w:val="TextoNormal"/>
      </w:pPr>
    </w:p>
    <w:p w14:paraId="3C0CC732" w14:textId="77777777" w:rsidR="008D479B" w:rsidRDefault="008D479B" w:rsidP="008D479B">
      <w:pPr>
        <w:pStyle w:val="TextoNormalCentrado"/>
        <w:keepNext/>
      </w:pPr>
      <w:r>
        <w:t>FALLO</w:t>
      </w:r>
    </w:p>
    <w:p w14:paraId="3EAB0D62" w14:textId="432D4DC1" w:rsidR="008D479B" w:rsidRDefault="008D479B" w:rsidP="008D479B">
      <w:pPr>
        <w:pStyle w:val="TextoNormalCentrado"/>
        <w:keepNext/>
      </w:pPr>
    </w:p>
    <w:p w14:paraId="592CEA7E" w14:textId="2B2CC39C" w:rsidR="008D479B" w:rsidRDefault="008D479B" w:rsidP="008D479B">
      <w:pPr>
        <w:pStyle w:val="TextoNormal"/>
      </w:pPr>
      <w:r>
        <w:t>En atención a todo lo expuesto, el Tribunal Constitucional, por la autoridad que le confiere la Constitución de la Nación española, ha decidido desestimar el recurso de amparo interpuesto por don Javier Ignacio Maroto Aranzábal y doña Salomé Pradas Ten.</w:t>
      </w:r>
    </w:p>
    <w:p w14:paraId="43166D66" w14:textId="77777777" w:rsidR="008D479B" w:rsidRDefault="008D479B" w:rsidP="008D479B">
      <w:pPr>
        <w:pStyle w:val="TextoNormal"/>
      </w:pPr>
    </w:p>
    <w:p w14:paraId="559A7923" w14:textId="77777777" w:rsidR="008D479B" w:rsidRDefault="008D479B" w:rsidP="008D479B">
      <w:pPr>
        <w:pStyle w:val="TextoNormal"/>
      </w:pPr>
      <w:r>
        <w:t>Publíquese esta sentencia en el “Boletín Oficial del Estado”.</w:t>
      </w:r>
    </w:p>
    <w:p w14:paraId="29334EA3" w14:textId="77777777" w:rsidR="008D479B" w:rsidRDefault="008D479B" w:rsidP="008D479B">
      <w:pPr>
        <w:pStyle w:val="TextoNormal"/>
      </w:pPr>
      <w:r>
        <w:t>Dada en Madrid, a veinticuatro de octubre de dos mil veintitrés.</w:t>
      </w:r>
    </w:p>
    <w:p w14:paraId="2C8B7444" w14:textId="22260FA7" w:rsidR="008D479B" w:rsidRDefault="008D479B" w:rsidP="008D479B">
      <w:pPr>
        <w:pStyle w:val="ParrafoNormal"/>
      </w:pPr>
    </w:p>
    <w:p w14:paraId="193C8D46" w14:textId="77777777" w:rsidR="008D479B" w:rsidRDefault="008D479B" w:rsidP="008D479B">
      <w:pPr>
        <w:pStyle w:val="TextoNormalNegritaCentrado"/>
        <w:keepNext/>
      </w:pPr>
      <w:r>
        <w:t>Voto particular que formulan los magistrados don Ricardo Enríquez Sancho y don Enrique Arnaldo Alcubilla, la magistrada doña Concepción Espejel Jorquera y el magistrado don César Tolosa Tribiño a la sentencia dictada en el recurso de amparo núm. 1314-2020</w:t>
      </w:r>
    </w:p>
    <w:p w14:paraId="1C3E1AEC" w14:textId="0E3B6FCC" w:rsidR="008D479B" w:rsidRDefault="008D479B" w:rsidP="008D479B">
      <w:pPr>
        <w:pStyle w:val="TextoNormalNegritaCentrado"/>
        <w:keepNext/>
      </w:pPr>
    </w:p>
    <w:p w14:paraId="29BFFC53" w14:textId="77777777" w:rsidR="008D479B" w:rsidRDefault="008D479B" w:rsidP="008D479B">
      <w:pPr>
        <w:pStyle w:val="TextoNormal"/>
      </w:pPr>
      <w:r>
        <w:t>En la sentencia de la que discrepamos los magistrados arriba referenciados uno de nosotros figura como ponente, y ello por cuanto hemos debido asumir el criterio de la mayoría del Tribunal y así reflejarlo en esta sentencia de remisión a las STC 65/2023, de 6 de junio.</w:t>
      </w:r>
    </w:p>
    <w:p w14:paraId="399A4A22" w14:textId="77777777" w:rsidR="008D479B" w:rsidRDefault="008D479B" w:rsidP="008D479B">
      <w:pPr>
        <w:pStyle w:val="TextoNormal"/>
      </w:pPr>
    </w:p>
    <w:p w14:paraId="1A394873" w14:textId="77777777" w:rsidR="008D479B" w:rsidRDefault="008D479B" w:rsidP="008D479B">
      <w:pPr>
        <w:pStyle w:val="TextoNormal"/>
      </w:pPr>
      <w:r>
        <w:t>En el ejercicio de la facultad que nos confiere el artículo 90.2 de la Ley Orgánica del Tribunal Constitucional, y con respeto a la opinión de la mayoría del Pleno, formulamos el presente voto particular por discrepar de la fundamentación y del fallo de la sentencia recaída en el recurso de amparo núm. 1314-2020, que debió ser estimado, declarando haberse producido la vulneración del derecho de los parlamentarios recurrentes al acceso y al ejercicio del cargo público representativo en condiciones de igualdad (art. 23.2 CE), así como la vulneración del derecho de los ciudadanos a participar en los asuntos públicos a través de sus representantes (art. 23.1 CE).</w:t>
      </w:r>
    </w:p>
    <w:p w14:paraId="023B2BA4" w14:textId="77777777" w:rsidR="008D479B" w:rsidRDefault="008D479B" w:rsidP="008D479B">
      <w:pPr>
        <w:pStyle w:val="TextoNormal"/>
      </w:pPr>
    </w:p>
    <w:p w14:paraId="5A76EB38" w14:textId="77777777" w:rsidR="008D479B" w:rsidRDefault="008D479B" w:rsidP="008D479B">
      <w:pPr>
        <w:pStyle w:val="TextoNormal"/>
      </w:pPr>
      <w:r>
        <w:t>Las razones de la discrepancia quedaron detalladamente expuestas en el voto particular formulado a la STC 65/2023, de 6 de junio, de la que la presente resolución es aplicación, por lo que hemos de remitirnos ahora a dicho voto particular en su totalidad.</w:t>
      </w:r>
    </w:p>
    <w:p w14:paraId="417B0A19" w14:textId="77777777" w:rsidR="008D479B" w:rsidRDefault="008D479B" w:rsidP="008D479B">
      <w:pPr>
        <w:pStyle w:val="TextoNormal"/>
      </w:pPr>
    </w:p>
    <w:p w14:paraId="21123271" w14:textId="283F35FA" w:rsidR="008D479B" w:rsidRDefault="008D479B" w:rsidP="008D479B">
      <w:pPr>
        <w:pStyle w:val="TextoNormal"/>
      </w:pPr>
      <w:r>
        <w:t>Madrid, a veinticuatro de octubre de dos mil veintitrés.</w:t>
      </w:r>
    </w:p>
    <w:p w14:paraId="41E6BF63" w14:textId="4C4914D4" w:rsidR="008D479B" w:rsidRDefault="008D479B">
      <w:pPr>
        <w:spacing w:after="160" w:line="278" w:lineRule="auto"/>
        <w:rPr>
          <w:rFonts w:ascii="Times New Roman" w:eastAsia="Times New Roman" w:hAnsi="Times New Roman" w:cs="Times New Roman"/>
          <w:sz w:val="24"/>
          <w:szCs w:val="24"/>
          <w:lang w:eastAsia="es-ES"/>
        </w:rPr>
      </w:pPr>
      <w:r>
        <w:br w:type="page"/>
      </w:r>
    </w:p>
    <w:p w14:paraId="6B21FF19" w14:textId="77777777" w:rsidR="008D479B" w:rsidRDefault="008D479B" w:rsidP="008D479B">
      <w:pPr>
        <w:pStyle w:val="TtuloResolucin"/>
      </w:pPr>
      <w:bookmarkStart w:id="67" w:name="SENTENCIA_2023_142"/>
      <w:r>
        <w:t>SENTENCIA 142/2023, de 24 de octubre de 2023</w:t>
      </w:r>
    </w:p>
    <w:bookmarkEnd w:id="67"/>
    <w:p w14:paraId="54F05B02" w14:textId="77777777" w:rsidR="008D479B" w:rsidRDefault="008D479B" w:rsidP="008D479B">
      <w:pPr>
        <w:pStyle w:val="TtuloResolucin"/>
      </w:pPr>
      <w:r>
        <w:t>Pleno</w:t>
      </w:r>
    </w:p>
    <w:p w14:paraId="4A06C926" w14:textId="77777777" w:rsidR="008D479B" w:rsidRDefault="008D479B" w:rsidP="008D479B">
      <w:pPr>
        <w:pStyle w:val="TtuloBOE"/>
      </w:pPr>
      <w:r>
        <w:t>(BOE núm. 286, de 30 de noviembre de 2023)</w:t>
      </w:r>
    </w:p>
    <w:p w14:paraId="262B84BE" w14:textId="77777777" w:rsidR="008D479B" w:rsidRDefault="008D479B" w:rsidP="008D479B">
      <w:pPr>
        <w:pStyle w:val="TextoNormalCentrado"/>
      </w:pPr>
      <w:r>
        <w:t>ECLI:ES:TC:2023:142</w:t>
      </w:r>
    </w:p>
    <w:p w14:paraId="4B426FD8" w14:textId="4EC9937A" w:rsidR="008D479B" w:rsidRDefault="008D479B" w:rsidP="008D479B">
      <w:pPr>
        <w:pStyle w:val="TextoNormalCentrado"/>
      </w:pPr>
    </w:p>
    <w:p w14:paraId="50FAE90B" w14:textId="77777777" w:rsidR="008D479B" w:rsidRDefault="008D479B" w:rsidP="008D479B">
      <w:pPr>
        <w:pStyle w:val="SntesisDescriptiva"/>
      </w:pPr>
      <w:r>
        <w:t>Recurso de amparo 2001-2020. Promovido por doña Cayetana Álvarez de Toledo Peralta-Ramos y otros en relación con las resoluciones de la presidenta y la mesa del Congreso de los Diputados que dieron por cumplimentado el requisito de promesa o juramento de acatamiento de la Constitución por todos los diputados.</w:t>
      </w:r>
    </w:p>
    <w:p w14:paraId="58A2E524" w14:textId="5CA2148A" w:rsidR="008D479B" w:rsidRDefault="008D479B" w:rsidP="008D479B">
      <w:pPr>
        <w:pStyle w:val="SntesisDescriptiva"/>
      </w:pPr>
    </w:p>
    <w:p w14:paraId="04B6D600" w14:textId="77777777" w:rsidR="008D479B" w:rsidRDefault="008D479B" w:rsidP="008D479B">
      <w:pPr>
        <w:pStyle w:val="SntesisAnaltica"/>
      </w:pPr>
      <w:r>
        <w:t>Supuesta vulneración del derecho de representación política: STC 65/2023 (ausencia de acreditación de la incidencia, por la aceptación de las veintinueve fórmulas de acatamiento controvertidas, en la función representativa de los parlamentarios recurrentes). Voto particular.</w:t>
      </w:r>
    </w:p>
    <w:p w14:paraId="048C6F28" w14:textId="49DB7F7E" w:rsidR="008D479B" w:rsidRDefault="008D479B" w:rsidP="008D479B">
      <w:pPr>
        <w:pStyle w:val="SntesisAnaltica"/>
      </w:pPr>
    </w:p>
    <w:p w14:paraId="6D16382E" w14:textId="08761DE6" w:rsidR="008D479B" w:rsidRDefault="008D479B" w:rsidP="008D479B">
      <w:pPr>
        <w:pStyle w:val="Extracto"/>
      </w:pPr>
      <w:r>
        <w:t>1.</w:t>
      </w:r>
      <w:r>
        <w:tab/>
        <w:t>Las distintas fórmulas de acatamiento de la Constitución no afectan al núcleo esencial del derecho al ejercicio de las funciones representativas de los parlamentarios (STC 65/2023) [FJ 3].</w:t>
      </w:r>
    </w:p>
    <w:p w14:paraId="745CC3BC" w14:textId="77777777" w:rsidR="008D479B" w:rsidRDefault="008D479B" w:rsidP="008D479B">
      <w:pPr>
        <w:pStyle w:val="Extracto"/>
      </w:pPr>
    </w:p>
    <w:p w14:paraId="68CE3540" w14:textId="77777777" w:rsidR="008D479B" w:rsidRDefault="008D479B" w:rsidP="008D479B">
      <w:pPr>
        <w:pStyle w:val="Extracto"/>
      </w:pPr>
    </w:p>
    <w:p w14:paraId="4EE17ED1" w14:textId="77777777" w:rsidR="008D479B" w:rsidRDefault="008D479B" w:rsidP="008D479B">
      <w:pPr>
        <w:pStyle w:val="TextoNormal"/>
      </w:pPr>
      <w:r>
        <w:t>El Pleno del Tribunal Constitucional, compuesto por el magistrado don Cándido Conde-Pumpido Tourón, presidente, y las magistradas y magistrados doña Inmaculada Montalbán Huertas, don Ricardo Enríquez Sancho, don Ramón Sáez Valcárcel, don Enrique Arnaldo Alcubilla, doña Concepción Espejel Jorquera, doña María Luisa Segoviano Astaburuaga, don César Tolosa Tribiño y doña Laura Díez Bueso, ha pronunciado</w:t>
      </w:r>
    </w:p>
    <w:p w14:paraId="598D07F3" w14:textId="729B6794" w:rsidR="008D479B" w:rsidRDefault="008D479B" w:rsidP="008D479B">
      <w:pPr>
        <w:pStyle w:val="TextoNormal"/>
      </w:pPr>
    </w:p>
    <w:p w14:paraId="78C57242" w14:textId="77777777" w:rsidR="008D479B" w:rsidRDefault="008D479B" w:rsidP="008D479B">
      <w:pPr>
        <w:pStyle w:val="TextoNormalCentrado"/>
        <w:keepNext/>
      </w:pPr>
      <w:r>
        <w:t>EN NOMBRE DEL REY</w:t>
      </w:r>
    </w:p>
    <w:p w14:paraId="2360FDDF" w14:textId="5AF80ADC" w:rsidR="008D479B" w:rsidRDefault="008D479B" w:rsidP="008D479B">
      <w:pPr>
        <w:pStyle w:val="TextoNormalCentrado"/>
        <w:keepNext/>
      </w:pPr>
    </w:p>
    <w:p w14:paraId="7F502250" w14:textId="77777777" w:rsidR="008D479B" w:rsidRDefault="008D479B" w:rsidP="008D479B">
      <w:pPr>
        <w:pStyle w:val="TextoNormalCentrado"/>
        <w:keepNext/>
      </w:pPr>
    </w:p>
    <w:p w14:paraId="73D95526" w14:textId="77777777" w:rsidR="008D479B" w:rsidRDefault="008D479B" w:rsidP="008D479B">
      <w:pPr>
        <w:pStyle w:val="TextoNormal"/>
      </w:pPr>
      <w:r>
        <w:t>la siguiente</w:t>
      </w:r>
    </w:p>
    <w:p w14:paraId="39A845B8" w14:textId="07877D29" w:rsidR="008D479B" w:rsidRDefault="008D479B" w:rsidP="008D479B">
      <w:pPr>
        <w:pStyle w:val="TextoNormal"/>
      </w:pPr>
    </w:p>
    <w:p w14:paraId="2976C23E" w14:textId="77777777" w:rsidR="008D479B" w:rsidRDefault="008D479B" w:rsidP="008D479B">
      <w:pPr>
        <w:pStyle w:val="TextoNormalCentrado"/>
        <w:keepNext/>
      </w:pPr>
      <w:r>
        <w:t>SENTENCIA</w:t>
      </w:r>
    </w:p>
    <w:p w14:paraId="13CDB354" w14:textId="5565478D" w:rsidR="008D479B" w:rsidRDefault="008D479B" w:rsidP="008D479B">
      <w:pPr>
        <w:pStyle w:val="TextoNormalCentrado"/>
        <w:keepNext/>
      </w:pPr>
    </w:p>
    <w:p w14:paraId="7B748E77" w14:textId="77777777" w:rsidR="008D479B" w:rsidRDefault="008D479B" w:rsidP="008D479B">
      <w:pPr>
        <w:pStyle w:val="TextoNormal"/>
      </w:pPr>
      <w:r>
        <w:t>En el recurso de amparo núm. 2001-2020, promovido por doña Cayetana Álvarez de Toledo Peralta-Ramos, don Guillermo Mariscal Anaya, doña Isabel Borrego Cortés, doña María Sandra Moneo Díez, doña Macarena Montesinos de Miguel, don Carlos Rojas García, y don Mario Garcés Sanagustín, diputados del Grupo Parlamentario Popular en el Congreso de los Diputados, contra los siguientes actos parlamentarios: (i) el acuerdo de la presidenta del Congreso de los Diputados, adoptado durante y al finalizar la sesión constitutiva de la XIV Legislatura celebrada el 3 de diciembre de 2019, teniendo por correctamente realizada la fórmula de juramento o promesa de acatamiento del cargo de, en concreto, veintinueve miembros electos de la Cámara respecto de los cuales los recurrentes consideran que no se han cumplido los requisitos para su validez; (ii) el acuerdo de la mesa del Congreso de los Diputados, de 13 de diciembre de 2019, que denegó su competencia para el control de la decisión adoptada por la presidenta en la sesión constitutiva; y (iii) el acuerdo de la misma mesa del Congreso de los Diputados, de 23 de enero de 2020, que desestimó el recurso de reconsideración promovido por los parlamentarios recurrentes contra la anterior resolución de la mesa. Han comparecido: la letrada de las Cortes Generales doña Paloma Martínez Santa María, en nombre y representación del Congreso de los Diputados; y con su propia representación procesal y defensa jurídica, don Agustín Almodóbar Barceló y otros setenta y ocho diputados del Grupo Parlamentario Popular en el Congreso de los Diputados; doña Inés Granollers i Cunillera y otros siete diputados; don Jaume Asens Llodrà y otros treinta y cuatro diputados del Grupo Parlamentario Confederal de Unidas Podemos-En Comú Podem-Galicia en Común en el Congreso de los Diputados; doña Ana Belén Fernández Casero y otros seis diputados del Grupo Parlamentario Socialista en el Congreso de los Diputados; doña Mireia Vehí Cantenys y don Albert Botran Pahissa; doña Concepción Cañadell Salvia; don Joan Josep Nuet i Pujals; doña Mercedes Aizpurúa Arzallus y otros cuatro diputados; doña María Teresa Rivero Segalàs y otros cinco diputados; doña Marta Rosique i Saltor y doña Carolina Telechea i Lozano; don Genís Boadella i Esteve; y don Gabriel Rufián Romero. Ha intervenido el Ministerio Fiscal. Ha sido ponente el magistrado don Ricardo Enríquez Sancho.</w:t>
      </w:r>
    </w:p>
    <w:p w14:paraId="3BF189F1" w14:textId="6FADD941" w:rsidR="008D479B" w:rsidRDefault="008D479B" w:rsidP="008D479B">
      <w:pPr>
        <w:pStyle w:val="TextoNormal"/>
      </w:pPr>
    </w:p>
    <w:p w14:paraId="3067BFF9" w14:textId="77777777" w:rsidR="008D479B" w:rsidRDefault="008D479B" w:rsidP="008D479B">
      <w:pPr>
        <w:pStyle w:val="TextoNormalNegritaCentrado"/>
        <w:keepNext/>
      </w:pPr>
      <w:r>
        <w:t>I. Antecedentes</w:t>
      </w:r>
    </w:p>
    <w:p w14:paraId="1D543105" w14:textId="41E95B7E" w:rsidR="008D479B" w:rsidRDefault="008D479B" w:rsidP="008D479B">
      <w:pPr>
        <w:pStyle w:val="TextoNormalNegritaCentrado"/>
        <w:keepNext/>
      </w:pPr>
    </w:p>
    <w:p w14:paraId="147E6D7B" w14:textId="2AC85435" w:rsidR="008D479B" w:rsidRDefault="008D479B" w:rsidP="008D479B">
      <w:pPr>
        <w:pStyle w:val="TextoNormal"/>
      </w:pPr>
      <w:r w:rsidRPr="008D479B">
        <w:rPr>
          <w:rStyle w:val="NumeroAFNegritaCaracter"/>
        </w:rPr>
        <w:t>1</w:t>
      </w:r>
      <w:r>
        <w:t>. El día 23 de abril de 2020, el procurador de los tribunales don Manuel Sánchez- Puelles González-Carvajal, actuando en nombre y representación de doña Cayetana Álvarez de Toledo Peralta-Ramos, don Guillermo Mariscal Anaya, doña Isabel Borrego Cortés, doña María Sandra Moneo Díez, doña Macarena Montesinos de Miguel, don Carlos Rojas García, y don Mario Garcés Sanagustín, diputados del Grupo Parlamentario Popular en el Congreso de los Diputados interpuso recurso de amparo contra los acuerdos parlamentarios mencionados en el encabezamiento de esta sentencia.</w:t>
      </w:r>
    </w:p>
    <w:p w14:paraId="2CAD0FD4" w14:textId="77777777" w:rsidR="008D479B" w:rsidRDefault="008D479B" w:rsidP="008D479B">
      <w:pPr>
        <w:pStyle w:val="TextoNormal"/>
      </w:pPr>
    </w:p>
    <w:p w14:paraId="2117E0B7" w14:textId="77777777" w:rsidR="008D479B" w:rsidRDefault="008D479B" w:rsidP="008D479B">
      <w:pPr>
        <w:pStyle w:val="TextoNormal"/>
      </w:pPr>
      <w:r w:rsidRPr="008D479B">
        <w:rPr>
          <w:rStyle w:val="NumeroAFNegritaCaracter"/>
        </w:rPr>
        <w:t>2</w:t>
      </w:r>
      <w:r>
        <w:t>. El recurso tiene su origen en los siguientes antecedentes:</w:t>
      </w:r>
    </w:p>
    <w:p w14:paraId="2A4CADDE" w14:textId="77777777" w:rsidR="008D479B" w:rsidRDefault="008D479B" w:rsidP="008D479B">
      <w:pPr>
        <w:pStyle w:val="TextoNormal"/>
      </w:pPr>
    </w:p>
    <w:p w14:paraId="3E06DB4A" w14:textId="77777777" w:rsidR="008D479B" w:rsidRDefault="008D479B" w:rsidP="008D479B">
      <w:pPr>
        <w:pStyle w:val="TextoNormal"/>
      </w:pPr>
      <w:r>
        <w:t>a) El día 3 de diciembre de 2019 tuvo lugar la sesión plenaria constitutiva de la XIV Legislatura del Congreso de los Diputados. Una vez nombrados los miembros de la mesa, se procedió por la presidenta de la Cámara a tomar el juramento o promesa de acatamiento de la Constitución de todos sus miembros, “en los términos previstos en el Reglamento de la misma y en la resolución de la Presidencia de 30 de noviembre de 1989”. Tras expresar la presidenta dicho acatamiento, y tomar juramento o promesa a los integrantes de la mesa, pasó a hacerlo con los demás diputados de la Cámara.</w:t>
      </w:r>
    </w:p>
    <w:p w14:paraId="2A4EF994" w14:textId="77777777" w:rsidR="008D479B" w:rsidRDefault="008D479B" w:rsidP="008D479B">
      <w:pPr>
        <w:pStyle w:val="TextoNormal"/>
      </w:pPr>
    </w:p>
    <w:p w14:paraId="11F4C8D7" w14:textId="77777777" w:rsidR="008D479B" w:rsidRDefault="008D479B" w:rsidP="008D479B">
      <w:pPr>
        <w:pStyle w:val="TextoNormal"/>
      </w:pPr>
      <w:r>
        <w:t>b) El día 5 de diciembre de 2019 quedó registrado un escrito del Grupo Parlamentario Popular en el Congreso de los Diputados, firmado por su portavoz, dirigido a la mesa de la Cámara. En él se hace referencia, en primer lugar, a una carta enviada el 28 de noviembre de 2019 —sin haber concluido la XIII Legislatura— a la presidenta del Congreso y de la Diputación Permanente, en la que, en lo que aquí importa, le pedía: (i) que facilitara a los diputados electos la normativa aplicable para la adquisición de la condición plena de diputado; (ii) dispusiera lo necesario para que la Presidencia entrante pudiera valorar las fórmulas de acatamiento exigibles e informara a la persona designada que procediera a tomar juramento a todos los diputados, debiendo resolver si la fórmula utilizada por cada uno de ellos se ajustaba o no a las exigencias legales; y (iii) que la presidenta saliente proveyera para garantizar “los medios necesarios, tanto personales como técnicos, con el fin de que quede garantizada la completa constancia documental de la sesión”. A pesar de lo solicitado, sigue diciendo el escrito, durante la sesión constitutiva de la XIV Legislatura el 3 de diciembre de 2019, la presidenta designada procedió a tomar juramento o promesa a los diputados electos, y “muchos de ellos utilizaron fórmulas que a juicio del Grupo Popular fueron contrarias a derecho por no respetar ni la legislación vigente, ni el Reglamento de la Cámara, ni la resolución de la Presidencia de 1989, ni la jurisprudencia constitucional existente”. Esto motivó —continúa explicando el escrito— una intervención crítica del diputado del Grupo Parlamentario Popular, señor Pablo Casado, que fue respondido por la señora presidenta diciendo que todos los diputados habían adquirido la condición plena del cargo. El escrito concluía solicitando a la mesa, entre otras medidas, que revisara “todas y cada una de las intervenciones que se apartaron de la fórmula ritual y legal establecida del ‘sí, juro’ o ‘sí, prometo’, acordando la no adquisición de la condición plena de diputados a quienes utilizaron fórmulas que, en clara transgresión de la ley y la jurisprudencia constitucional, vaciaron de contenido o incluyeron elementos limitativos o condicionales al puro, simple y necesario acto de acatamiento de la Constitución”.</w:t>
      </w:r>
    </w:p>
    <w:p w14:paraId="2CD3BC73" w14:textId="77777777" w:rsidR="008D479B" w:rsidRDefault="008D479B" w:rsidP="008D479B">
      <w:pPr>
        <w:pStyle w:val="TextoNormal"/>
      </w:pPr>
    </w:p>
    <w:p w14:paraId="36A75C96" w14:textId="77777777" w:rsidR="008D479B" w:rsidRDefault="008D479B" w:rsidP="008D479B">
      <w:pPr>
        <w:pStyle w:val="TextoNormal"/>
      </w:pPr>
      <w:r>
        <w:t>c) El día 13 de diciembre de 2019, la mesa del Congreso de los Diputados adoptó el siguiente acuerdo, que aparece suscrito por la presidenta:</w:t>
      </w:r>
    </w:p>
    <w:p w14:paraId="4FA6867A" w14:textId="77777777" w:rsidR="008D479B" w:rsidRDefault="008D479B" w:rsidP="008D479B">
      <w:pPr>
        <w:pStyle w:val="TextoNormal"/>
      </w:pPr>
    </w:p>
    <w:p w14:paraId="421403F9" w14:textId="77777777" w:rsidR="008D479B" w:rsidRDefault="008D479B" w:rsidP="008D479B">
      <w:pPr>
        <w:pStyle w:val="TextoNormal"/>
      </w:pPr>
      <w:r>
        <w:t>“1. En relación con las solicitudes de que se acuerde la transcripción completa de la parte de la sesión constitutiva del Congreso de los Diputados relativa al juramento o promesa de acatamiento de la Constitución y de que dicha transcripción se incorpore al ‘Diario de Sesiones’, comunicar al autor del presente escrito que, de acuerdo con los precedentes existentes desde la XI Legislatura, el acta taquigráfica correspondiente, de la que no obstante se le da traslado, se adjunta como anexo al acta de la sesión plenaria de 3 de diciembre de 2019. Asimismo, dar traslado de los anexos a las actas de las sesiones constitutivas de la XII y XIII Legislaturas y solicitar de la Junta Electoral Central copia de las actas correspondientes a las sesiones de 13 de junio de 2014 y 17 de junio de 2019, para su posterior traslado.</w:t>
      </w:r>
    </w:p>
    <w:p w14:paraId="522D6148" w14:textId="77777777" w:rsidR="008D479B" w:rsidRDefault="008D479B" w:rsidP="008D479B">
      <w:pPr>
        <w:pStyle w:val="TextoNormal"/>
      </w:pPr>
    </w:p>
    <w:p w14:paraId="6492E737" w14:textId="77777777" w:rsidR="008D479B" w:rsidRDefault="008D479B" w:rsidP="008D479B">
      <w:pPr>
        <w:pStyle w:val="TextoNormal"/>
      </w:pPr>
      <w:r>
        <w:t>2. En relación con la solicitud de que se evalúe si las fórmulas de acatamiento empleadas en dicha sesión son conformes con el ordenamiento jurídico y válidas para adquirir la condición de diputado, comunicar al autor del presente escrito que no procede la revisión de las decisiones de la Presidencia en el ejercicio de sus funciones de dirección del Pleno y restantes atribuidas por el artículo 32 del Reglamento”.</w:t>
      </w:r>
    </w:p>
    <w:p w14:paraId="5B24614D" w14:textId="77777777" w:rsidR="008D479B" w:rsidRDefault="008D479B" w:rsidP="008D479B">
      <w:pPr>
        <w:pStyle w:val="TextoNormal"/>
      </w:pPr>
    </w:p>
    <w:p w14:paraId="18F464D1" w14:textId="77777777" w:rsidR="008D479B" w:rsidRDefault="008D479B" w:rsidP="008D479B">
      <w:pPr>
        <w:pStyle w:val="TextoNormal"/>
      </w:pPr>
      <w:r>
        <w:t>d) El día 19 de diciembre de 2019, el Grupo Parlamentario Popular en el Congreso de los Diputados, a través de su portavoz, dirigió a la mesa de la Cámara un escrito solicitando la reconsideración del acuerdo de 13 de diciembre de 2019, con reiteración de lo ya expuesto en su anterior escrito de 5 de diciembre de 2019.</w:t>
      </w:r>
    </w:p>
    <w:p w14:paraId="28A7C6E3" w14:textId="77777777" w:rsidR="008D479B" w:rsidRDefault="008D479B" w:rsidP="008D479B">
      <w:pPr>
        <w:pStyle w:val="TextoNormal"/>
      </w:pPr>
    </w:p>
    <w:p w14:paraId="7B1B385C" w14:textId="77777777" w:rsidR="008D479B" w:rsidRDefault="008D479B" w:rsidP="008D479B">
      <w:pPr>
        <w:pStyle w:val="TextoNormal"/>
      </w:pPr>
      <w:r>
        <w:t>e) El día 23 de enero de 2020, la mesa de la Cámara, tras oír a la junta de portavoces, acordó desestimar la solicitud de reconsideración examinada. Se reproducen a continuación los párrafos más relevantes de los fundamentos jurídicos (considerandos) de dicho acuerdo:</w:t>
      </w:r>
    </w:p>
    <w:p w14:paraId="742822FE" w14:textId="77777777" w:rsidR="008D479B" w:rsidRDefault="008D479B" w:rsidP="008D479B">
      <w:pPr>
        <w:pStyle w:val="TextoNormal"/>
      </w:pPr>
    </w:p>
    <w:p w14:paraId="5A0781FD" w14:textId="77777777" w:rsidR="008D479B" w:rsidRDefault="008D479B" w:rsidP="008D479B">
      <w:pPr>
        <w:pStyle w:val="TextoNormal"/>
      </w:pPr>
      <w:r>
        <w:t>«2) El hecho de que no se identifiquen en el “Diario de Sesiones” de manera individualizada las concretas fórmulas de acatamiento empleadas por cada diputado no se trata de una costumbre contraria al artículo 96 del Reglamento y, en cambio, responde a una práctica interna de la Secretaría General, que se sigue desde la VIII Legislatura, y que no había suscitado, hasta el momento, oposición alguna.</w:t>
      </w:r>
    </w:p>
    <w:p w14:paraId="7EECF493" w14:textId="77777777" w:rsidR="008D479B" w:rsidRDefault="008D479B" w:rsidP="008D479B">
      <w:pPr>
        <w:pStyle w:val="TextoNormal"/>
      </w:pPr>
    </w:p>
    <w:p w14:paraId="350C2D70" w14:textId="77777777" w:rsidR="008D479B" w:rsidRDefault="008D479B" w:rsidP="008D479B">
      <w:pPr>
        <w:pStyle w:val="TextoNormal"/>
      </w:pPr>
      <w:r>
        <w:t>Así, desde la II a la VII Legislaturas, los “Diarios de Sesiones” correspondientes a las sesiones constitutivas recogían una relación de diputados organizada por categorías, en función de la fórmula de acatamiento empleada.</w:t>
      </w:r>
    </w:p>
    <w:p w14:paraId="10158E9A" w14:textId="77777777" w:rsidR="008D479B" w:rsidRDefault="008D479B" w:rsidP="008D479B">
      <w:pPr>
        <w:pStyle w:val="TextoNormal"/>
      </w:pPr>
    </w:p>
    <w:p w14:paraId="53F5B1E1" w14:textId="77777777" w:rsidR="008D479B" w:rsidRDefault="008D479B" w:rsidP="008D479B">
      <w:pPr>
        <w:pStyle w:val="TextoNormal"/>
      </w:pPr>
      <w:r>
        <w:t>Desde la VIII Legislatura se deja de incluir esta relación y simplemente se hace constar en el “Diario de Sesiones” que “Por los secretarios de la mesa se procede a dar lectura de la lista de señoras y señores diputados electos, quienes juran o prometen la Constitución o lo hacen por imperativo legal. A continuación se procede por los secretarios de la mesa a dar lectura de los miembros del Gobierno en funciones, diputados electos, quienes juran o prometen la Constitución”. Se ha de tener en cuenta que en la página web de la Cámara está disponible el archivo audiovisual de todas las sesiones constitutivas desde la IX Legislatura.</w:t>
      </w:r>
    </w:p>
    <w:p w14:paraId="426DCDD8" w14:textId="77777777" w:rsidR="008D479B" w:rsidRDefault="008D479B" w:rsidP="008D479B">
      <w:pPr>
        <w:pStyle w:val="TextoNormal"/>
      </w:pPr>
    </w:p>
    <w:p w14:paraId="0690338C" w14:textId="77777777" w:rsidR="008D479B" w:rsidRDefault="008D479B" w:rsidP="008D479B">
      <w:pPr>
        <w:pStyle w:val="TextoNormal"/>
      </w:pPr>
      <w:r>
        <w:t>A partir de la XI Legislatura se mantiene est[a] práctica, si bien, y ante la diversidad de las fórmulas de acatamiento a la Constitución empleadas, el tenor que refleja el “Diario de Sesiones” es el siguiente: “Por los secretarios de la mesa se procede a dar lectura de la lista de las señoras y los señores diputados electos, quienes juran, prometen o lo hacen utilizando otras fórmulas de acatamiento a la Constitución. A continuación, también por los secretarios de la mesa, se procede a dar lectura de los miembros del Gobierno en funciones, diputados electos, quienes juran o prometen la Constitución”. Adicionalmente, desde esta legislatura, se anexa al acta de la sesión constitutiva un documento en el que se recogen de forma individualizada las fórmulas de acatamiento utilizadas, previo el visionado del vídeo de la sesión que, como se ha señalado, está disponible para el público en general en la página web de la Cámara.</w:t>
      </w:r>
    </w:p>
    <w:p w14:paraId="22A0F80B" w14:textId="77777777" w:rsidR="008D479B" w:rsidRDefault="008D479B" w:rsidP="008D479B">
      <w:pPr>
        <w:pStyle w:val="TextoNormal"/>
      </w:pPr>
    </w:p>
    <w:p w14:paraId="63BB8166" w14:textId="77777777" w:rsidR="008D479B" w:rsidRDefault="008D479B" w:rsidP="008D479B">
      <w:pPr>
        <w:pStyle w:val="TextoNormal"/>
      </w:pPr>
      <w:r>
        <w:t xml:space="preserve">Afirmado lo anterior, es preciso poner de relieve, además, que los “Diarios de Sesiones” no son el instrumento reglamentario para dar fe de las sesiones de conformidad con el artículo 65 del Reglamento. Es el acta de la sesión plenaria, a la que, como se ha señalado, se anexan desde la XI Legislatura las fórmulas concretas empleadas por cada diputado, la que cumple esta función. El “Diario de Sesiones” es un instrumento para la publicidad de los trabajos del Congreso, de conformidad con el capítulo séptimo del título IV del Reglamento. Dicha publicidad se ve ampliada con los vídeos de cada sesión, que están disponibles en la página web. Por otro lado, es necesario señalar que los “Diarios de Sesiones” recogen lo que los redactores, taquígrafos y estenotipistas toman </w:t>
      </w:r>
      <w:r w:rsidRPr="008D479B">
        <w:rPr>
          <w:i/>
        </w:rPr>
        <w:t>in situ</w:t>
      </w:r>
      <w:r>
        <w:t xml:space="preserve"> de lo que en el hemiciclo acontece, no siendo infrecuente que en el citado diario aparezcan expresiones como “palabras que no se perciben”.</w:t>
      </w:r>
    </w:p>
    <w:p w14:paraId="1D02A4B4" w14:textId="77777777" w:rsidR="008D479B" w:rsidRDefault="008D479B" w:rsidP="008D479B">
      <w:pPr>
        <w:pStyle w:val="TextoNormal"/>
      </w:pPr>
    </w:p>
    <w:p w14:paraId="4234FFA0" w14:textId="77777777" w:rsidR="008D479B" w:rsidRDefault="008D479B" w:rsidP="008D479B">
      <w:pPr>
        <w:pStyle w:val="TextoNormal"/>
      </w:pPr>
      <w:r>
        <w:t>3) Por lo demás, es preciso poner de relieve que el juicio acerca de la validez del acto de acatamiento a la Constitución le corresponde en exclusiva a la Presidencia de la Cámara y en ningún caso a la mesa, como pretenden los recurrentes. Puesto que, de una parte, el acto de acatamiento, tal y como se prevé en el artículo 4 del Reglamento y en la resolución de la Presidencia, de 30 de noviembre de 1989, sobre la forma en que se ha de prestar el juramento o promesa de acatamiento a la Constitución previsto en los artículos 4 y 20 del Reglamento de la Cámara, es un acto recepticio en el que participan únicamente dos sujetos, el presidente y el diputado. Y así lo ha entendido el Tribunal Constitucional que, en su sentencia 74/1991, de 8 de abril, FJ 5, señala que “[...] en cuanto a la fórmula de realización del juramento, contiene dos fases, una de pregunta (‘¿juráis o prometéis acatar la Constitución?’), lo que se hizo en este caso por el presidente del Senado, y una segunda parte en la que el senador electo se acerca a la Presidencia para hacer la declaración y ha de contestar ‘sí, juro’ o ‘sí, prometo’”.</w:t>
      </w:r>
    </w:p>
    <w:p w14:paraId="4AAFBFD1" w14:textId="77777777" w:rsidR="008D479B" w:rsidRDefault="008D479B" w:rsidP="008D479B">
      <w:pPr>
        <w:pStyle w:val="TextoNormal"/>
      </w:pPr>
    </w:p>
    <w:p w14:paraId="49110BED" w14:textId="77777777" w:rsidR="008D479B" w:rsidRDefault="008D479B" w:rsidP="008D479B">
      <w:pPr>
        <w:pStyle w:val="TextoNormal"/>
      </w:pPr>
      <w:r>
        <w:t>Adicionalmente, y a mayor abundamiento, de acuerdo con las competencias que el artículo 32 del Reglamento atribuye a la Presidencia, es a esta a la que le corresponde la función de dirección del Pleno; función que, en contra de lo que sostienen los recurrentes, no puede quedar reducida a la literalidad del precepto reglamentario, sino que ha de interpretarse de forma sistemática […].</w:t>
      </w:r>
    </w:p>
    <w:p w14:paraId="533C2769" w14:textId="77777777" w:rsidR="008D479B" w:rsidRDefault="008D479B" w:rsidP="008D479B">
      <w:pPr>
        <w:pStyle w:val="TextoNormal"/>
      </w:pPr>
    </w:p>
    <w:p w14:paraId="52CF3D03" w14:textId="77777777" w:rsidR="008D479B" w:rsidRDefault="008D479B" w:rsidP="008D479B">
      <w:pPr>
        <w:pStyle w:val="TextoNormal"/>
      </w:pPr>
      <w:r>
        <w:t>En relación con el supuesto que nos ocupa, es la Presidencia, en definitiva, la que debe valorar, en el marco del artículo 20 del Reglamento, si, con la fórmula empleada, el diputado ha acatado válidamente la Constitución, en una interpretación que, insistimos, solo a ella le corresponde, de conformidad con lo dispuesto en el citado artículo 32.</w:t>
      </w:r>
    </w:p>
    <w:p w14:paraId="6EC82BBE" w14:textId="77777777" w:rsidR="008D479B" w:rsidRDefault="008D479B" w:rsidP="008D479B">
      <w:pPr>
        <w:pStyle w:val="TextoNormal"/>
      </w:pPr>
    </w:p>
    <w:p w14:paraId="46D59111" w14:textId="77777777" w:rsidR="008D479B" w:rsidRDefault="008D479B" w:rsidP="008D479B">
      <w:pPr>
        <w:pStyle w:val="TextoNormal"/>
      </w:pPr>
      <w:r>
        <w:t>Así se deduce, por lo demás, de los únicos precedentes que existen en la Cámara de interpretación expresa por la Presidencia de la validez de las fórmulas de acatamiento empleadas».</w:t>
      </w:r>
    </w:p>
    <w:p w14:paraId="32DE429B" w14:textId="77777777" w:rsidR="008D479B" w:rsidRDefault="008D479B" w:rsidP="008D479B">
      <w:pPr>
        <w:pStyle w:val="TextoNormal"/>
      </w:pPr>
    </w:p>
    <w:p w14:paraId="49DADC7B" w14:textId="77777777" w:rsidR="008D479B" w:rsidRDefault="008D479B" w:rsidP="008D479B">
      <w:pPr>
        <w:pStyle w:val="TextoNormal"/>
      </w:pPr>
      <w:r>
        <w:t>Se citan a continuación los casos de los parlamentarios que promovieron el recurso de amparo resuelto por la STC 119/1990, de 21 de junio, y la respuesta dada por la presidenta de la Cámara a un diputado en la sesión constitutiva de la XIII Legislatura, con cita de nuevo de la STC 119/1990, ocasión esta última en la que se denegó la reconsideración entonces pedida. Prosigue diciendo el texto del acuerdo:</w:t>
      </w:r>
    </w:p>
    <w:p w14:paraId="4FB00781" w14:textId="77777777" w:rsidR="008D479B" w:rsidRDefault="008D479B" w:rsidP="008D479B">
      <w:pPr>
        <w:pStyle w:val="TextoNormal"/>
      </w:pPr>
    </w:p>
    <w:p w14:paraId="5F0F6CAC" w14:textId="77777777" w:rsidR="008D479B" w:rsidRDefault="008D479B" w:rsidP="008D479B">
      <w:pPr>
        <w:pStyle w:val="TextoNormal"/>
      </w:pPr>
      <w:r>
        <w:t>“No cabe, como pretenden los recurrentes, cuestionar la decisión de la Presidencia sobre la base de que el acta taquigráfica no refleja, por diversas razones, algunas de las fórmulas empleadas, puesto que esto supondría tanto como desconocer la propia capacidad de quien, en ese momento, ostentaba la dirección del Pleno, siendo así que, además, en los casos en los que las fórmulas empleadas no se recogen en el acta taquigráfica por no haberse podido percibir, no parece que se pueda imponer a quien estaba en ese momento prestando juramento o promesa de acatamiento, y a quien se le ha de presumir la voluntad de acatar en tanto que estaba respondiendo al interrogante de la Presidencia al respecto, las consecuencias negativas que se derivarían de un acatamiento inválido, que traería causa, por lo demás, de una circunstancia que no le es imputable.</w:t>
      </w:r>
    </w:p>
    <w:p w14:paraId="528A5658" w14:textId="77777777" w:rsidR="008D479B" w:rsidRDefault="008D479B" w:rsidP="008D479B">
      <w:pPr>
        <w:pStyle w:val="TextoNormal"/>
      </w:pPr>
    </w:p>
    <w:p w14:paraId="17A4E6A7" w14:textId="77777777" w:rsidR="008D479B" w:rsidRDefault="008D479B" w:rsidP="008D479B">
      <w:pPr>
        <w:pStyle w:val="TextoNormal"/>
      </w:pPr>
      <w:r>
        <w:t>4) Adicionalmente, debe tenerse en cuenta que no cabe la revisión de las decisiones adoptadas por la Presidencia en este ámbito.</w:t>
      </w:r>
    </w:p>
    <w:p w14:paraId="7AF9D5FB" w14:textId="77777777" w:rsidR="008D479B" w:rsidRDefault="008D479B" w:rsidP="008D479B">
      <w:pPr>
        <w:pStyle w:val="TextoNormal"/>
      </w:pPr>
    </w:p>
    <w:p w14:paraId="67E03432" w14:textId="77777777" w:rsidR="008D479B" w:rsidRDefault="008D479B" w:rsidP="008D479B">
      <w:pPr>
        <w:pStyle w:val="TextoNormal"/>
      </w:pPr>
      <w:r>
        <w:t>[…]</w:t>
      </w:r>
    </w:p>
    <w:p w14:paraId="59665318" w14:textId="77777777" w:rsidR="008D479B" w:rsidRDefault="008D479B" w:rsidP="008D479B">
      <w:pPr>
        <w:pStyle w:val="TextoNormal"/>
      </w:pPr>
    </w:p>
    <w:p w14:paraId="50F97AAC" w14:textId="77777777" w:rsidR="008D479B" w:rsidRDefault="008D479B" w:rsidP="008D479B">
      <w:pPr>
        <w:pStyle w:val="TextoNormal"/>
      </w:pPr>
      <w:r>
        <w:t>En definitiva, de esta ausencia de recurso interno no cabe inferir, como pretenden los recurrentes, una supuesta arbitrariedad, en los términos en que la misma ha sido definida por el Tribunal Constitucional, para quien ‘la arbitrariedad e irrazonabilidad se producen cuando la motivación es una mera apariencia. Son arbitrarias o irrazonables las resoluciones carentes de razón, dictadas por puro capricho, huérfanas de razones formales o materiales y que, por tanto, resultan mera expresión de voluntad’ (SSTC 215/2006 y 30/2017). Lo que no ocurre en este caso, en el que la Presidencia motivó su decisión, tal y como consta en el ‘Diario de Sesiones’ antes citado.</w:t>
      </w:r>
    </w:p>
    <w:p w14:paraId="0029E56B" w14:textId="77777777" w:rsidR="008D479B" w:rsidRDefault="008D479B" w:rsidP="008D479B">
      <w:pPr>
        <w:pStyle w:val="TextoNormal"/>
      </w:pPr>
    </w:p>
    <w:p w14:paraId="1A667471" w14:textId="77777777" w:rsidR="008D479B" w:rsidRDefault="008D479B" w:rsidP="008D479B">
      <w:pPr>
        <w:pStyle w:val="TextoNormal"/>
      </w:pPr>
      <w:r>
        <w:t>5) No es posible disociar la eventual revisión de las decisiones de la Presidencia adoptadas a este respecto, del control que se pretende realizar del acto de acatamiento a la Constitución, y ello, dada la naturaleza recepticia de este a la que se ha hecho referencia anteriormente.</w:t>
      </w:r>
    </w:p>
    <w:p w14:paraId="44FA7B3B" w14:textId="77777777" w:rsidR="008D479B" w:rsidRDefault="008D479B" w:rsidP="008D479B">
      <w:pPr>
        <w:pStyle w:val="TextoNormal"/>
      </w:pPr>
    </w:p>
    <w:p w14:paraId="45C91AD0" w14:textId="77777777" w:rsidR="008D479B" w:rsidRDefault="008D479B" w:rsidP="008D479B">
      <w:pPr>
        <w:pStyle w:val="TextoNormal"/>
      </w:pPr>
      <w:r>
        <w:t>6) Por último, y sin perjuicio de la relevancia del acto de acatamiento en sí mismo considerado, su trascendencia constitucional, en tanto que requisito previo a la adquisición de la condición plena de diputado, ha de cohonestarse con el necesario respeto al derecho fundamental consagrado en el artículo 23 de la Constitución, y que, en este contexto, la Presidencia actuó conforme a Derecho al considerar válidas todas las fórmulas de acatamiento empleadas, de acuerdo con la interpretación que de aquel ha hecho a estos efectos el Tribunal Constitucional”.</w:t>
      </w:r>
    </w:p>
    <w:p w14:paraId="2A34D002" w14:textId="77777777" w:rsidR="008D479B" w:rsidRDefault="008D479B" w:rsidP="008D479B">
      <w:pPr>
        <w:pStyle w:val="TextoNormal"/>
      </w:pPr>
    </w:p>
    <w:p w14:paraId="5655E3C4" w14:textId="77777777" w:rsidR="008D479B" w:rsidRDefault="008D479B" w:rsidP="008D479B">
      <w:pPr>
        <w:pStyle w:val="TextoNormal"/>
      </w:pPr>
      <w:r>
        <w:t>A continuación, el texto del acuerdo reproduce pasajes de las SSTC 119/1990, FJ 7, y 74/1991, FFJJ 5 y 6, en relación con el acto parlamentario de acatamiento a la Constitución y la interpretación de los derechos fundamentales reconocidos en el art. 23.2 CE, destacando que el Tribunal “ha admitido que cabe el uso de fórmulas que, al tradicional sí, juro o sí, prometo, añaden otras expresiones, siempre y cuando las mismas tengan ‘un sentido modal o causal’, en tanto que ello ‘no implica condición, reserva, ni limitación alguna’ (STC 119/1990, de 21 de junio, FJ 7).</w:t>
      </w:r>
    </w:p>
    <w:p w14:paraId="50B2BBB2" w14:textId="77777777" w:rsidR="008D479B" w:rsidRDefault="008D479B" w:rsidP="008D479B">
      <w:pPr>
        <w:pStyle w:val="TextoNormal"/>
      </w:pPr>
    </w:p>
    <w:p w14:paraId="43DEAD2A" w14:textId="77777777" w:rsidR="008D479B" w:rsidRDefault="008D479B" w:rsidP="008D479B">
      <w:pPr>
        <w:pStyle w:val="TextoNormal"/>
      </w:pPr>
      <w:r>
        <w:t>Asimismo, y en todo caso, se ha de tener en cuenta que, por un lado, con la única excepción de los precedentes antes citados correspondientes a la IV y XIII Legislaturas, nunca se ha cuestionado, ni por la Presidencia en el momento del acatamiento, ni por ningún grupo parlamentario con posterioridad, la validez de las fórmulas empleadas. Y ello, aun cuando existen múltiples precedentes de acatamiento tanto por imperativo legal como, desde la XI Legislatura, utilizando fórmulas de muy diversa naturaleza, en algunos casos coincidentes con las que ahora se discuten y que, además, no se corresponden con la totalidad de los que, en la sesión constitutiva del pasado 3 de diciembre, se apartaron de la fórmula tradicional del sí, juro o sí, prometo. Todo ello, como se puede apreciar en los ‘Diarios de Sesiones’ y, en su caso, en las actas taquigráficas que acompañan a las actas de las sesiones constitutivas, de las que se le dio traslado.</w:t>
      </w:r>
    </w:p>
    <w:p w14:paraId="09F263B1" w14:textId="77777777" w:rsidR="008D479B" w:rsidRDefault="008D479B" w:rsidP="008D479B">
      <w:pPr>
        <w:pStyle w:val="TextoNormal"/>
      </w:pPr>
    </w:p>
    <w:p w14:paraId="51E0AF35" w14:textId="77777777" w:rsidR="008D479B" w:rsidRDefault="008D479B" w:rsidP="008D479B">
      <w:pPr>
        <w:pStyle w:val="TextoNormal"/>
      </w:pPr>
      <w:r>
        <w:t>Por otro lado, ha de tenerse en cuenta también, que el 17 de junio de 2019 tuvo lugar, ante la Junta Electoral Central, el acto de juramento o promesa de acatamiento a la Constitución de los diputados electos en las elecciones al Parlamento Europeo convocadas por Real Decreto 206/2019, de 1 de abril, en el curso del cual se emplearon fórmulas coincidentes con las que ahora se cuestionan, habiendo sido consideradas válidas por la Junta Electoral Central.</w:t>
      </w:r>
    </w:p>
    <w:p w14:paraId="455F193E" w14:textId="77777777" w:rsidR="008D479B" w:rsidRDefault="008D479B" w:rsidP="008D479B">
      <w:pPr>
        <w:pStyle w:val="TextoNormal"/>
      </w:pPr>
    </w:p>
    <w:p w14:paraId="221E57FE" w14:textId="0E3BE65E" w:rsidR="008D479B" w:rsidRDefault="008D479B" w:rsidP="008D479B">
      <w:pPr>
        <w:pStyle w:val="TextoNormal"/>
      </w:pPr>
      <w:r>
        <w:t>En consecuencia, la mesa acuerda desestimar la solicitud de reconsideración examinada”.</w:t>
      </w:r>
    </w:p>
    <w:p w14:paraId="6EB65958" w14:textId="77777777" w:rsidR="008D479B" w:rsidRDefault="008D479B" w:rsidP="008D479B">
      <w:pPr>
        <w:pStyle w:val="TextoNormal"/>
      </w:pPr>
    </w:p>
    <w:p w14:paraId="30852C4B" w14:textId="77777777" w:rsidR="008D479B" w:rsidRDefault="008D479B" w:rsidP="008D479B">
      <w:pPr>
        <w:pStyle w:val="TextoNormal"/>
      </w:pPr>
      <w:r w:rsidRPr="008D479B">
        <w:rPr>
          <w:rStyle w:val="NumeroAFNegritaCaracter"/>
        </w:rPr>
        <w:t>3</w:t>
      </w:r>
      <w:r>
        <w:t>. La demanda de amparo se articula en dos motivos de impugnación:</w:t>
      </w:r>
    </w:p>
    <w:p w14:paraId="4015D4E7" w14:textId="77777777" w:rsidR="008D479B" w:rsidRDefault="008D479B" w:rsidP="008D479B">
      <w:pPr>
        <w:pStyle w:val="TextoNormal"/>
      </w:pPr>
    </w:p>
    <w:p w14:paraId="220CFD43" w14:textId="77777777" w:rsidR="008D479B" w:rsidRDefault="008D479B" w:rsidP="008D479B">
      <w:pPr>
        <w:pStyle w:val="TextoNormal"/>
      </w:pPr>
      <w:r>
        <w:t>a) Primer motivo: “Vulneración del derecho fundamental de mis mandantes al pleno ejercicio de la función representativa (art. 23.1 CE)”:</w:t>
      </w:r>
    </w:p>
    <w:p w14:paraId="6B35D20A" w14:textId="77777777" w:rsidR="008D479B" w:rsidRDefault="008D479B" w:rsidP="008D479B">
      <w:pPr>
        <w:pStyle w:val="TextoNormal"/>
      </w:pPr>
    </w:p>
    <w:p w14:paraId="30B46273" w14:textId="77777777" w:rsidR="008D479B" w:rsidRDefault="008D479B" w:rsidP="008D479B">
      <w:pPr>
        <w:pStyle w:val="TextoNormal"/>
      </w:pPr>
      <w:r>
        <w:t xml:space="preserve">Tras indicar que la doctrina constitucional comprende en este derecho fundamental no solamente la fase estricta de acceso sino también el derecho a la permanencia en el cargo conforme a la ley y también a su ejercicio de manera plena, afirma el escrito que este último aspecto ha quedado afectado por los actos recurridos, al infringir lo dispuesto en el art. 108.8 de la Ley Orgánica 5/1985, de 19 de junio, del régimen electoral general (LOREG) y el art. 4.1 del Reglamento de la Cámara, así como la resolución de la Presidencia del Congreso de los Diputados, de 30 de noviembre de 1989, sobre la forma en que ha de prestarse el juramento o promesa de acatamiento de la Constitución. Que ha quedado “alterada la composición del Congreso de los Diputados como consecuencia de la admisión en su seno de quienes no han cumplido con los requisitos legalmente establecidos para la plena adquisición de su condición de diputados”, lo que a su vez trae consigo que “queda nítida e ilegítimamente alterada la posición relativa de quienes sí han cumplido con exactitud con sus obligaciones constitucionales”. Se señala que el acto de juramento o promesa de acatamiento de la Constitución “se configura como un presupuesto </w:t>
      </w:r>
      <w:r w:rsidRPr="008D479B">
        <w:rPr>
          <w:i/>
        </w:rPr>
        <w:t>sine qua non</w:t>
      </w:r>
      <w:r>
        <w:t xml:space="preserve"> para la adquisición de la ‘plenitud’ de la condición de parlamentario (STC 74/1991, de 8 de abril, FJ 4), en el sentido de adquirir ‘las funciones propias de tal condición y, con ellas, de los derechos y prerrogativas anexos’ (STC 119/1990, de 21 de junio, FJ 4)”. A continuación, la demanda hace un resumen de los aspectos que considera más destacados de la jurisprudencia del Tribunal sobre el acto parlamentario de acatamiento de la Constitución, trazando una “línea roja” en la interpretación del requisito y es que las fórmulas que se utilicen no “vacíen, limiten o condicionen su sentido propio, sea cual fuese la justificación invocada para ello”. Este límite sin embargo ha sido rebasado al adquirir la plena condición de diputados algunos electos que no han cumplido con el requisito, en concreto veintinueve personas y treinta fórmulas utilizadas, reproduciendo la demanda las que figuran en el anexo al acta de la sesión constitutiva de 3 de diciembre de 2019; ordenándolas en tres grupos, con identificación de los diputados que incurren en alguna de esas situaciones irregulares:</w:t>
      </w:r>
    </w:p>
    <w:p w14:paraId="6F9C0693" w14:textId="77777777" w:rsidR="008D479B" w:rsidRDefault="008D479B" w:rsidP="008D479B">
      <w:pPr>
        <w:pStyle w:val="TextoNormal"/>
      </w:pPr>
    </w:p>
    <w:p w14:paraId="5FDCDFE8" w14:textId="77777777" w:rsidR="008D479B" w:rsidRDefault="008D479B" w:rsidP="008D479B">
      <w:pPr>
        <w:pStyle w:val="TextoNormal"/>
      </w:pPr>
      <w:r>
        <w:t>“A. Fórmulas que expresan convicciones incompatibles con el contenido de la Constitución cuya legitimidad o carácter democrático rechazan”: “Per la llibertat dels presos polítics i per la república catalana i per imperatiu legal, sí prometo”; “Amb llealtat priera u última a la soberanía del poble catalá i per imperatiu legal, sí prometo”; “Per la llibertat dels presos polítics i per la república catalana i per imperatiu legal, sí juro”; “Por la libertad de las presas políticas, por las repúblicas y por imperativo legal, sí, prometo”; “Per la llibertat dels presos polítics, pels exiliats polítics i per la república catalana, per imperatiu legal, sí, prometo”.</w:t>
      </w:r>
    </w:p>
    <w:p w14:paraId="480FF82F" w14:textId="77777777" w:rsidR="008D479B" w:rsidRDefault="008D479B" w:rsidP="008D479B">
      <w:pPr>
        <w:pStyle w:val="TextoNormal"/>
      </w:pPr>
    </w:p>
    <w:p w14:paraId="31B5FE7C" w14:textId="77777777" w:rsidR="008D479B" w:rsidRDefault="008D479B" w:rsidP="008D479B">
      <w:pPr>
        <w:pStyle w:val="TextoNormal"/>
      </w:pPr>
      <w:r>
        <w:t>“B. Fórmulas ininteligibles o incompletas, que impiden la certeza de la incondicionalidad y plenitud del juramento o promesa de acatamiento”: “Bai, legeak behartuta, Euskal Errepublika sortu arte hitza ematem dut”; y palabras en castellano que no se perciben […].</w:t>
      </w:r>
    </w:p>
    <w:p w14:paraId="036FBBA3" w14:textId="77777777" w:rsidR="008D479B" w:rsidRDefault="008D479B" w:rsidP="008D479B">
      <w:pPr>
        <w:pStyle w:val="TextoNormal"/>
      </w:pPr>
    </w:p>
    <w:p w14:paraId="0184244E" w14:textId="77777777" w:rsidR="008D479B" w:rsidRDefault="008D479B" w:rsidP="008D479B">
      <w:pPr>
        <w:pStyle w:val="TextoNormal"/>
      </w:pPr>
      <w:r>
        <w:t>“C. Fórmulas que expresan convicciones incompatibles con el contenido de la Constitución, revelándose en sí mismas o por el trasfondo el no rechazo —o la directa voluntad—de llevarlas a cabo por vías ajenas al ordenamiento constitucional”: “Per llealtat al poble de Catalunya i al mandat del 1 d’octubre per la llibertat dels presos polítics i per imperatiu legal, sí prometo”; “Contra el fascismo, el franquismo y el racismo, per la llibertat dels presos polítics i per la república catalana… i per imperatiu legal, sí prometo (protestas), pels exiliats polítics”; “Amb llealtat del mandat del 1 d’octubre i del poble de Catalunya… per la llibertat dels presos polítics… i per imperatiu legal, sí, prometo”.</w:t>
      </w:r>
    </w:p>
    <w:p w14:paraId="2B9E48CA" w14:textId="77777777" w:rsidR="008D479B" w:rsidRDefault="008D479B" w:rsidP="008D479B">
      <w:pPr>
        <w:pStyle w:val="TextoNormal"/>
      </w:pPr>
    </w:p>
    <w:p w14:paraId="08CC0834" w14:textId="77777777" w:rsidR="008D479B" w:rsidRDefault="008D479B" w:rsidP="008D479B">
      <w:pPr>
        <w:pStyle w:val="TextoNormal"/>
      </w:pPr>
      <w:r>
        <w:t>Sobre la existencia de precedentes en legislaturas anteriores, se dice en la demanda que “no guarda vinculación alguna con la legalidad de una práctica la inexistencia de impugnación previa, ni se produce convalidación alguna de lo ilegal con causa en dicho aspecto […]. Asimismo, en relación con la referencia a la Legislatura XI, llama la atención tanto lo reciente de la misma (diciembre de 2015) como, por lo demás, el hecho de que en la toma de posesión de los parlamentarios integrantes de la misma, no se había producido el proceso de ruptura del orden constitucional en Cataluña, con posterioridad al cual determinadas afirmaciones no pueden sino entenderse desde el nuevo prisma emanado de la referida crisis constitucional […]; cualquier mención a la república catalana podía entenderse anteriormente como mera ‘aspiración política’, siendo más discutible en la actualidad, tras su ‘declaración’ el día 27 de octubre de 2017, la compatibilidad de su mención en el juramento con el pleno acatamiento de la única soberanía reconocida por la Constitución española: la del pueblo español”.</w:t>
      </w:r>
    </w:p>
    <w:p w14:paraId="009F9BB3" w14:textId="77777777" w:rsidR="008D479B" w:rsidRDefault="008D479B" w:rsidP="008D479B">
      <w:pPr>
        <w:pStyle w:val="TextoNormal"/>
      </w:pPr>
    </w:p>
    <w:p w14:paraId="5FAE7A9E" w14:textId="77777777" w:rsidR="008D479B" w:rsidRDefault="008D479B" w:rsidP="008D479B">
      <w:pPr>
        <w:pStyle w:val="TextoNormal"/>
      </w:pPr>
      <w:r>
        <w:t xml:space="preserve">Prosigue afirmando la demanda que tales actuaciones, además de no respetar la legalidad parlamentaria, comportan una vulneración del derecho fundamental “al ejercicio del cargo representativo </w:t>
      </w:r>
      <w:r w:rsidRPr="008D479B">
        <w:rPr>
          <w:i/>
        </w:rPr>
        <w:t>ex</w:t>
      </w:r>
      <w:r>
        <w:t xml:space="preserve"> art. 23.1 CE”, partiendo de la doctrina constitucional (se citan las SSTC 17/2019, de 11 de febrero, y 27/2018, de 5 de marzo) según la cual ello puede suceder, entre otras situaciones: (i) si los órganos de las asambleas adoptan actos que contraríen la naturaleza de la representación y (ii) si los órganos de las asambleas adoptan actos que contraríen la igualdad de los representantes. En cuanto a la primera de ellas (contradecir la naturaleza de la representación), alega la demanda que “las infracciones en que incurren las resoluciones han afectado a la conformación del órgano representativo, el Congreso de los Diputados, sin cuya recta y adecuada composición —en cumplimiento, por tanto, de los requisitos legales pertinentes— no es posible el ejercicio real, ‘puro’ y en plenitud del derecho fundamental a la representación política </w:t>
      </w:r>
      <w:r w:rsidRPr="008D479B">
        <w:rPr>
          <w:i/>
        </w:rPr>
        <w:t>ex</w:t>
      </w:r>
      <w:r>
        <w:t xml:space="preserve"> artículo 23.2 CE. Resulta evidente que la atribución plena de la condición de diputado a quienes no han cumplimentado los requisitos legales exigidos para ello altera la legítima composición de la Cámara, minorando el peso relativo que correspondería a los parlamentarios electos que sí han perfeccionado correctamente su mandato”. Añade que “[n]o existe, en definitiva, representación individual del parlamentario sin la representación general del Parlamento, sin la cual carece tanto de sentido como de entidad jurídica y política”. Respecto a que la lesión haya sido causada por actos que contraríen la igualdad de los representantes, se identifica como término de comparación, de un lado, a aquellos diputados que formalizaron el trámite sin desbordar los límites de la doctrina constitucional, como es el caso de los recurrentes, y de otro lado a los veintinueve diputados que han “obtenido la plenitud de sus derechos como parlamentarios”, empleando fórmulas que incurren en algunos de los tres defectos esenciales que ya se han identificado. Esta circunstancia, se adelanta, constituye objeto de la segunda queja de la demanda por vulneración del “art. 14 CE”, no aplicando los actos impugnados, aunque la invoquen parcialmente, la jurisprudencia de este tribunal; además de que no puede sostenerse la falta de control de la Presidencia del Congreso en un aspecto esencial “como es el acceso a la función representativa y la propia conformación de la Cámara representativa”.</w:t>
      </w:r>
    </w:p>
    <w:p w14:paraId="5A214312" w14:textId="77777777" w:rsidR="008D479B" w:rsidRDefault="008D479B" w:rsidP="008D479B">
      <w:pPr>
        <w:pStyle w:val="TextoNormal"/>
      </w:pPr>
    </w:p>
    <w:p w14:paraId="6981AEA3" w14:textId="77777777" w:rsidR="008D479B" w:rsidRDefault="008D479B" w:rsidP="008D479B">
      <w:pPr>
        <w:pStyle w:val="TextoNormal"/>
      </w:pPr>
      <w:r>
        <w:t>b) Segundo motivo: “Vulneración del derecho fundamental de mis mandantes a la igualdad y no discriminación del artículo 14 CE”:</w:t>
      </w:r>
    </w:p>
    <w:p w14:paraId="68C9D878" w14:textId="77777777" w:rsidR="008D479B" w:rsidRDefault="008D479B" w:rsidP="008D479B">
      <w:pPr>
        <w:pStyle w:val="TextoNormal"/>
      </w:pPr>
    </w:p>
    <w:p w14:paraId="732001B7" w14:textId="77777777" w:rsidR="008D479B" w:rsidRDefault="008D479B" w:rsidP="008D479B">
      <w:pPr>
        <w:pStyle w:val="TextoNormal"/>
      </w:pPr>
      <w:r>
        <w:t xml:space="preserve">Enlaza la demanda con el hilo argumental con que terminaba el motivo anterior, repitiendo los términos de lo que entiende como una discriminación entre los diputados —entre los que se incluyen los recurrentes que cumplieron escrupulosa y estrictamente con el acto de acatamiento de la Constitución Española—, y los que no lo hicieron así, los veintinueve diputados anteriormente reseñados. Se aduce por ello la violación del derecho a la igualdad entre diputados electos, y del derecho a la no discriminación del art. 14 CE. Se cita como doctrina general del derecho a la igualdad la STC 76/1990, de 26 de abril, FJ 4 a), y se reitera que la desigualdad se produce “permitiendo que los diputados electos que emiten juramento o promesa sin acatar el cumplimiento de la Carta Magna puedan ejercer su cargo de la misma manera que lo ejercen los diputados que sí han respetado de manera clara el contenido de la Constitución”. Citan asimismo los demandantes las SSTC 181/2000, de 29 de junio, FJ 10, y 144/1988, de 12 de julio, FJ 1, sobre el derecho a la igualdad, y terminan diciendo que “es claro que, junto a la vulneración del derecho a la representación política de mis mandantes </w:t>
      </w:r>
      <w:r w:rsidRPr="008D479B">
        <w:rPr>
          <w:i/>
        </w:rPr>
        <w:t>ex</w:t>
      </w:r>
      <w:r>
        <w:t xml:space="preserve"> artículo 23.1 CE, se ha producido asimismo la vulneración del derecho fundamental a la igualdad y no discriminación, en este caso entre parlamentarios, debiendo mis mandantes ser reintegrados en su derecho fundamental”.</w:t>
      </w:r>
    </w:p>
    <w:p w14:paraId="3B2F622B" w14:textId="77777777" w:rsidR="008D479B" w:rsidRDefault="008D479B" w:rsidP="008D479B">
      <w:pPr>
        <w:pStyle w:val="TextoNormal"/>
      </w:pPr>
    </w:p>
    <w:p w14:paraId="4336104E" w14:textId="77777777" w:rsidR="008D479B" w:rsidRDefault="008D479B" w:rsidP="008D479B">
      <w:pPr>
        <w:pStyle w:val="TextoNormal"/>
      </w:pPr>
      <w:r>
        <w:t xml:space="preserve">c) En el apartado de la justificación del requisito de la especial trascendencia constitucional [arts. 49.1 y 50.1 b) de la Ley Orgánica del Tribunal Constitucional (LOTC)], el escrito de demanda alegó tres causas: (i) “El recurso da ocasión al Tribunal Constitucional para aclarar o modificar su doctrina como consecuencia del surgimiento de nuevas realidades sociales (STC 26/2011, de 14 de marzo)”, en concreto “su doctrina relativa al requisito de acatamiento de la Constitución como </w:t>
      </w:r>
      <w:r w:rsidRPr="008D479B">
        <w:rPr>
          <w:i/>
        </w:rPr>
        <w:t>conditio sine qua non</w:t>
      </w:r>
      <w:r>
        <w:t xml:space="preserve"> para la adquisición de la plenitud de la condición de parlamentario”; (ii) “El recurso trasciende el caso concreto porque plantea una cuestión jurídica de relevante y general repercusión social o económica (STC 155/2009, de 25 de junio) […] y ello por cuanto nos encontramos ante la necesidad de pronunciamiento de este Tribunal Constitucional […] respecto de una serie de vicios flagrantes y claros en la propia conformación del órgano representativo de la Soberanía Nacional: el Congreso de los Diputados”; y (iii) “El recurso plantea un problema o una faceta de un derecho fundamental susceptible de amparo sobre el que no existe doctrina del Tribunal Constitucional […]”,en relación con el “derecho fundamental a la representación política </w:t>
      </w:r>
      <w:r w:rsidRPr="008D479B">
        <w:rPr>
          <w:i/>
        </w:rPr>
        <w:t>ex</w:t>
      </w:r>
      <w:r>
        <w:t xml:space="preserve"> artículo 23.1 CE”.</w:t>
      </w:r>
    </w:p>
    <w:p w14:paraId="381AF23E" w14:textId="77777777" w:rsidR="008D479B" w:rsidRDefault="008D479B" w:rsidP="008D479B">
      <w:pPr>
        <w:pStyle w:val="TextoNormal"/>
      </w:pPr>
    </w:p>
    <w:p w14:paraId="498986E3" w14:textId="1DADCD45" w:rsidR="008D479B" w:rsidRDefault="008D479B" w:rsidP="008D479B">
      <w:pPr>
        <w:pStyle w:val="TextoNormal"/>
      </w:pPr>
      <w:r>
        <w:t>d) El suplico de la demanda pide que se dicte sentencia por este tribunal que otorgue el amparo solicitado, declarando vulnerados por los actos recurridos “los derechos fundamentales de mis mandantes a la representación política (art. 23.1 CE) y a la igualdad y no discriminación (art. 14 CE), restableciendo a mis mandantes en dichos derechos fundamentales, revocando los referidos acuerdos y teniendo por no acreditado el requisito de juramento o promesa de acatamiento de la Constitución en relación con los veintinueve casos reseñados, declarando que procede no tener por adquirida la plenitud de derechos, en términos del artículo 20.1.3 RCD [Reglamento del Congreso de los Diputados], en relación con los referidos diputados electos hasta la prestación por los mismos de nueva promesa o juramento de acatar la Constitución compatible con la doctrina de este Tribunal Constitucional”.</w:t>
      </w:r>
    </w:p>
    <w:p w14:paraId="6E21A4CC" w14:textId="77777777" w:rsidR="008D479B" w:rsidRDefault="008D479B" w:rsidP="008D479B">
      <w:pPr>
        <w:pStyle w:val="TextoNormal"/>
      </w:pPr>
    </w:p>
    <w:p w14:paraId="1836E981" w14:textId="19B95697" w:rsidR="008D479B" w:rsidRDefault="008D479B" w:rsidP="008D479B">
      <w:pPr>
        <w:pStyle w:val="TextoNormal"/>
      </w:pPr>
      <w:r w:rsidRPr="008D479B">
        <w:rPr>
          <w:rStyle w:val="NumeroAFNegritaCaracter"/>
        </w:rPr>
        <w:t>4</w:t>
      </w:r>
      <w:r>
        <w:t>. El Pleno del Tribunal dictó providencia el día 20 de abril de 2021 resolviendo lo siguiente: (i) “conforme establece el artículo 10.1 n) LOTC, a propuesta de tres magistrados, acuerda recabar para sí el conocimiento del recurso de amparo que se tramita en la Sala Segunda de este tribunal bajo el número 2001-2020”; (ii) “admitirlo a trámite, apreciando que concurre en el mismo una especial trascendencia constitucional (art. 50.1 LOTC) porque el recurso puede dar ocasión al Tribunal para aclarar o cambiar su doctrina, como consecuencia del surgimiento de nuevas realidades sociales [STC 155/2009, FJ 2 b)] y porque el asunto suscitado trasciende del caso concreto porque pudiera tener unas consecuencias políticas generales [STC 155/2009, FJ 2 g)]”; (iii) de acuerdo con lo dispuesto en el art. 51 LOTC, dirigir atenta comunicación al Congreso de los Diputados a fin de que en plazo que no excediera de diez días, remitiese certificación o fotocopia adverada de las actuaciones correspondientes a los acuerdos impugnados; y (iv) “debiendo previamente emplazar a quienes hubieran sido parte en el procedimiento, excepto la parte recurrente en amparo, para que en el plazo de diez días, puedan comparecer, si lo desean, en el recurso de amparo”.</w:t>
      </w:r>
    </w:p>
    <w:p w14:paraId="65E222A7" w14:textId="77777777" w:rsidR="008D479B" w:rsidRDefault="008D479B" w:rsidP="008D479B">
      <w:pPr>
        <w:pStyle w:val="TextoNormal"/>
      </w:pPr>
    </w:p>
    <w:p w14:paraId="4B660BC1" w14:textId="77777777" w:rsidR="008D479B" w:rsidRDefault="008D479B" w:rsidP="008D479B">
      <w:pPr>
        <w:pStyle w:val="TextoNormal"/>
      </w:pPr>
      <w:r w:rsidRPr="008D479B">
        <w:rPr>
          <w:rStyle w:val="NumeroAFNegritaCaracter"/>
        </w:rPr>
        <w:t>5</w:t>
      </w:r>
      <w:r>
        <w:t>. La Secretaría de Justicia del Pleno de este tribunal dictó una diligencia de ordenación el día 5 de julio de 2021 del siguiente tenor:</w:t>
      </w:r>
    </w:p>
    <w:p w14:paraId="68D42D97" w14:textId="77777777" w:rsidR="008D479B" w:rsidRDefault="008D479B" w:rsidP="008D479B">
      <w:pPr>
        <w:pStyle w:val="TextoNormal"/>
      </w:pPr>
    </w:p>
    <w:p w14:paraId="4308D77B" w14:textId="77777777" w:rsidR="008D479B" w:rsidRDefault="008D479B" w:rsidP="008D479B">
      <w:pPr>
        <w:pStyle w:val="TextoNormal"/>
      </w:pPr>
      <w:r>
        <w:t>“En el asunto reseñado se tiene por recibido el testimonio de las actuaciones solicitadas del Congreso de los Diputados y se acuerda:</w:t>
      </w:r>
    </w:p>
    <w:p w14:paraId="2DAE6846" w14:textId="77777777" w:rsidR="008D479B" w:rsidRDefault="008D479B" w:rsidP="008D479B">
      <w:pPr>
        <w:pStyle w:val="TextoNormal"/>
      </w:pPr>
    </w:p>
    <w:p w14:paraId="1F33EE45" w14:textId="77777777" w:rsidR="008D479B" w:rsidRDefault="008D479B" w:rsidP="008D479B">
      <w:pPr>
        <w:pStyle w:val="TextoNormal"/>
      </w:pPr>
      <w:r>
        <w:t>1) Tener por personado y parte en el procedimiento a la letrada de las Cortes Generales doña Paloma Martínez Santa María, en nombre y representación del Congreso de los Diputados.</w:t>
      </w:r>
    </w:p>
    <w:p w14:paraId="4A5219CF" w14:textId="77777777" w:rsidR="008D479B" w:rsidRDefault="008D479B" w:rsidP="008D479B">
      <w:pPr>
        <w:pStyle w:val="TextoNormal"/>
      </w:pPr>
    </w:p>
    <w:p w14:paraId="4D9DBCBE" w14:textId="77777777" w:rsidR="008D479B" w:rsidRDefault="008D479B" w:rsidP="008D479B">
      <w:pPr>
        <w:pStyle w:val="TextoNormal"/>
      </w:pPr>
      <w:r>
        <w:t>2) Tener por personado y parte en el procedimiento al procurador don Manuel Sánchez-Puelles y González-Carvajal, en nombre y representación de don Agustín Almodóbar Barceló y otros setenta y ocho diputados del Grupo Parlamentario Popular en el Congreso.</w:t>
      </w:r>
    </w:p>
    <w:p w14:paraId="465CFACC" w14:textId="77777777" w:rsidR="008D479B" w:rsidRDefault="008D479B" w:rsidP="008D479B">
      <w:pPr>
        <w:pStyle w:val="TextoNormal"/>
      </w:pPr>
    </w:p>
    <w:p w14:paraId="588F97C3" w14:textId="77777777" w:rsidR="008D479B" w:rsidRDefault="008D479B" w:rsidP="008D479B">
      <w:pPr>
        <w:pStyle w:val="TextoNormal"/>
      </w:pPr>
      <w:r>
        <w:t>3) Tener por personado y parte en el procedimiento al procurador don Emilio Martínez Benítez, en nombre y representación de doña Inés Granollers i Cunillera y otros siete.</w:t>
      </w:r>
    </w:p>
    <w:p w14:paraId="6D87900B" w14:textId="77777777" w:rsidR="008D479B" w:rsidRDefault="008D479B" w:rsidP="008D479B">
      <w:pPr>
        <w:pStyle w:val="TextoNormal"/>
      </w:pPr>
    </w:p>
    <w:p w14:paraId="0EFE603D" w14:textId="77777777" w:rsidR="008D479B" w:rsidRDefault="008D479B" w:rsidP="008D479B">
      <w:pPr>
        <w:pStyle w:val="TextoNormal"/>
      </w:pPr>
      <w:r>
        <w:t>4) Tener por personado y parte en el procedimiento al procurador don José Miguel Martínez-Fresneda Gambra, en nombre y representación de don Jaume Asens Llodrá y treinta y cuatro más.</w:t>
      </w:r>
    </w:p>
    <w:p w14:paraId="638EEEC3" w14:textId="77777777" w:rsidR="008D479B" w:rsidRDefault="008D479B" w:rsidP="008D479B">
      <w:pPr>
        <w:pStyle w:val="TextoNormal"/>
      </w:pPr>
    </w:p>
    <w:p w14:paraId="3ED329A8" w14:textId="77777777" w:rsidR="008D479B" w:rsidRDefault="008D479B" w:rsidP="008D479B">
      <w:pPr>
        <w:pStyle w:val="TextoNormal"/>
      </w:pPr>
      <w:r>
        <w:t>5) Tener por personado y parte en el procedimiento a la procuradora doña Virginia Aragón Segura, en nombre y representación de doña Ana Belén Fernández Casero y otros seis diputados del Grupo Parlamentario Socialista.</w:t>
      </w:r>
    </w:p>
    <w:p w14:paraId="6BDEA819" w14:textId="77777777" w:rsidR="008D479B" w:rsidRDefault="008D479B" w:rsidP="008D479B">
      <w:pPr>
        <w:pStyle w:val="TextoNormal"/>
      </w:pPr>
    </w:p>
    <w:p w14:paraId="545BFB90" w14:textId="77777777" w:rsidR="008D479B" w:rsidRDefault="008D479B" w:rsidP="008D479B">
      <w:pPr>
        <w:pStyle w:val="TextoNormal"/>
      </w:pPr>
      <w:r>
        <w:t>6) Tener por personado y parte en el procedimiento a la procuradora doña Isabel Afonso Rodríguez, en nombre y representación de doña Mireia Vehí Cantenys y don Albert Botran Pahissa.</w:t>
      </w:r>
    </w:p>
    <w:p w14:paraId="000A6955" w14:textId="77777777" w:rsidR="008D479B" w:rsidRDefault="008D479B" w:rsidP="008D479B">
      <w:pPr>
        <w:pStyle w:val="TextoNormal"/>
      </w:pPr>
    </w:p>
    <w:p w14:paraId="314B67A0" w14:textId="77777777" w:rsidR="008D479B" w:rsidRDefault="008D479B" w:rsidP="008D479B">
      <w:pPr>
        <w:pStyle w:val="TextoNormal"/>
      </w:pPr>
      <w:r>
        <w:t>7) Tener por personado y parte en el procedimiento al procurador don Federico Ortiz-Cañavate Levenfeld, en nombre y representación de doña Concepción Cañadell Salvia.</w:t>
      </w:r>
    </w:p>
    <w:p w14:paraId="23074ABD" w14:textId="77777777" w:rsidR="008D479B" w:rsidRDefault="008D479B" w:rsidP="008D479B">
      <w:pPr>
        <w:pStyle w:val="TextoNormal"/>
      </w:pPr>
    </w:p>
    <w:p w14:paraId="478C2E4C" w14:textId="77777777" w:rsidR="008D479B" w:rsidRDefault="008D479B" w:rsidP="008D479B">
      <w:pPr>
        <w:pStyle w:val="TextoNormal"/>
      </w:pPr>
      <w:r>
        <w:t>8) Tener por personado y parte en el procedimiento al procurador don Emilio Martínez Benítez, en nombre y representación de don Joan Josep Nuet i Pujals.</w:t>
      </w:r>
    </w:p>
    <w:p w14:paraId="0A4525D7" w14:textId="77777777" w:rsidR="008D479B" w:rsidRDefault="008D479B" w:rsidP="008D479B">
      <w:pPr>
        <w:pStyle w:val="TextoNormal"/>
      </w:pPr>
    </w:p>
    <w:p w14:paraId="5C143BC2" w14:textId="77777777" w:rsidR="008D479B" w:rsidRDefault="008D479B" w:rsidP="008D479B">
      <w:pPr>
        <w:pStyle w:val="TextoNormal"/>
      </w:pPr>
      <w:r>
        <w:t>9) Tener por personado y parte en el procedimiento al procurador don Javier Cuevas Rivas, en nombre y representación de doña Mercedes Aizpurúa Arzallus y cuatro más.</w:t>
      </w:r>
    </w:p>
    <w:p w14:paraId="744B52E5" w14:textId="77777777" w:rsidR="008D479B" w:rsidRDefault="008D479B" w:rsidP="008D479B">
      <w:pPr>
        <w:pStyle w:val="TextoNormal"/>
      </w:pPr>
    </w:p>
    <w:p w14:paraId="1BE716A6" w14:textId="77777777" w:rsidR="008D479B" w:rsidRDefault="008D479B" w:rsidP="008D479B">
      <w:pPr>
        <w:pStyle w:val="TextoNormal"/>
      </w:pPr>
      <w:r>
        <w:t>10) Tener por personado y parte en el procedimiento al procurador don Carlos Ricardo Estévez Sanz, en nombre y representación de doña María Teresa Rivero Segalàs y cinco más.</w:t>
      </w:r>
    </w:p>
    <w:p w14:paraId="7940381A" w14:textId="77777777" w:rsidR="008D479B" w:rsidRDefault="008D479B" w:rsidP="008D479B">
      <w:pPr>
        <w:pStyle w:val="TextoNormal"/>
      </w:pPr>
    </w:p>
    <w:p w14:paraId="5ACC9EA2" w14:textId="77777777" w:rsidR="008D479B" w:rsidRDefault="008D479B" w:rsidP="008D479B">
      <w:pPr>
        <w:pStyle w:val="TextoNormal"/>
      </w:pPr>
      <w:r>
        <w:t>11) Tener por personado y parte en el procedimiento al procurador don Emilio Martínez Benítez, en nombre y representación de doña Marta Rosique i Saltor y doña Carolina Telechea i Lozano.</w:t>
      </w:r>
    </w:p>
    <w:p w14:paraId="3C07940E" w14:textId="77777777" w:rsidR="008D479B" w:rsidRDefault="008D479B" w:rsidP="008D479B">
      <w:pPr>
        <w:pStyle w:val="TextoNormal"/>
      </w:pPr>
    </w:p>
    <w:p w14:paraId="4B041353" w14:textId="77777777" w:rsidR="008D479B" w:rsidRDefault="008D479B" w:rsidP="008D479B">
      <w:pPr>
        <w:pStyle w:val="TextoNormal"/>
      </w:pPr>
      <w:r>
        <w:t>12) Tener por personado y parte en el procedimiento al procurador don Federico Ortiz-Cañavate Levenfeld, en nombre y representación de don Genís Boadella i Esteve.</w:t>
      </w:r>
    </w:p>
    <w:p w14:paraId="4A9784C1" w14:textId="77777777" w:rsidR="008D479B" w:rsidRDefault="008D479B" w:rsidP="008D479B">
      <w:pPr>
        <w:pStyle w:val="TextoNormal"/>
      </w:pPr>
    </w:p>
    <w:p w14:paraId="7A4E4FB3" w14:textId="77777777" w:rsidR="008D479B" w:rsidRDefault="008D479B" w:rsidP="008D479B">
      <w:pPr>
        <w:pStyle w:val="TextoNormal"/>
      </w:pPr>
      <w:r>
        <w:t>13) Tener por personado y parte en el procedimiento al procurador don Emilio Martínez Benítez, en nombre y representación de don Gabriel Rufián Romero.</w:t>
      </w:r>
    </w:p>
    <w:p w14:paraId="29D6C0CE" w14:textId="77777777" w:rsidR="008D479B" w:rsidRDefault="008D479B" w:rsidP="008D479B">
      <w:pPr>
        <w:pStyle w:val="TextoNormal"/>
      </w:pPr>
    </w:p>
    <w:p w14:paraId="6A1678E0" w14:textId="1CF7738C" w:rsidR="008D479B" w:rsidRDefault="008D479B" w:rsidP="008D479B">
      <w:pPr>
        <w:pStyle w:val="TextoNormal"/>
      </w:pPr>
      <w:r>
        <w:t>14) Dar vista de todas las actuaciones del presente recurso de amparo, por un plazo común de veinte días, al Ministerio Fiscal y a las partes personadas, para que dentro de dicho término puedan presentar las alegaciones que a su derecho convenga, de conformidad con lo dispuesto en el artículo 52 LOTC”.</w:t>
      </w:r>
    </w:p>
    <w:p w14:paraId="3453F3A5" w14:textId="77777777" w:rsidR="008D479B" w:rsidRDefault="008D479B" w:rsidP="008D479B">
      <w:pPr>
        <w:pStyle w:val="TextoNormal"/>
      </w:pPr>
    </w:p>
    <w:p w14:paraId="1E7AFFD5" w14:textId="77777777" w:rsidR="008D479B" w:rsidRDefault="008D479B" w:rsidP="008D479B">
      <w:pPr>
        <w:pStyle w:val="TextoNormal"/>
      </w:pPr>
      <w:r w:rsidRPr="008D479B">
        <w:rPr>
          <w:rStyle w:val="NumeroAFNegritaCaracter"/>
        </w:rPr>
        <w:t>6</w:t>
      </w:r>
      <w:r>
        <w:t>. El día 1 de septiembre de 2021 la letrada de las Cortes Generales, con la representación que ostenta del Congreso de los Diputados, presentó sus alegaciones en el registro de este tribunal, interesando la denegación del recurso de amparo.</w:t>
      </w:r>
    </w:p>
    <w:p w14:paraId="18615816" w14:textId="77777777" w:rsidR="008D479B" w:rsidRDefault="008D479B" w:rsidP="008D479B">
      <w:pPr>
        <w:pStyle w:val="TextoNormal"/>
      </w:pPr>
    </w:p>
    <w:p w14:paraId="18644902" w14:textId="77777777" w:rsidR="008D479B" w:rsidRDefault="008D479B" w:rsidP="008D479B">
      <w:pPr>
        <w:pStyle w:val="TextoNormal"/>
      </w:pPr>
      <w:r>
        <w:t>Aduce ante todo diversas objeciones procesales: (i) la falta de legitimación de los recurrentes porque “el acto de la presidenta del Congreso que se recurre no afecta de forma directa a la esfera de sus intereses o derechos” y no existe “un derecho fundamental a que el resto de los diputados presten su acatamiento en una forma o con unas palabras determinadas”, por tanto no hay afectación individual de los recurrentes; (ii) en segundo lugar entiende la letrada que el objeto de esta impugnación no es el acuerdo adoptado por la presidenta el 3 de diciembre de 2019, sino el art. 20.1.3 del Reglamento del Congreso de los Diputados y la resolución de la Presidencia de 30 de noviembre de 1989, lo que es más propio de un recurso de inconstitucionalidad que de un proceso de amparo; (iii) sostiene asimismo que la demanda es extemporánea porque el recurso de reconsideración interpuesto ante la mesa era improcedente, agotándose así de manera defectuosa la vía previa al amparo: el acuerdo de la presidenta era directamente recurrible ante este tribunal y de hecho es solo este último acto, y no los acordados por la mesa, el que constituye objeto de este recurso; y (iv) también de índole procesal es la crítica que se formula a la demanda de amparo por falta de determinación de la petición que en ella se deduce, así no queda claro si se impugna la fórmula de acatamiento utilizada por los veintinueve diputados que se mencionan, o la de todos los realizados en aquella sesión constitutiva de la XIV Legislatura.</w:t>
      </w:r>
    </w:p>
    <w:p w14:paraId="054783DE" w14:textId="77777777" w:rsidR="008D479B" w:rsidRDefault="008D479B" w:rsidP="008D479B">
      <w:pPr>
        <w:pStyle w:val="TextoNormal"/>
      </w:pPr>
    </w:p>
    <w:p w14:paraId="07814C55" w14:textId="77777777" w:rsidR="008D479B" w:rsidRDefault="008D479B" w:rsidP="008D479B">
      <w:pPr>
        <w:pStyle w:val="TextoNormal"/>
      </w:pPr>
      <w:r>
        <w:t>En cuanto a los motivos materiales, la letrada de las Cortes Generales, tras unas consideraciones sobre la normativa reguladora del trámite de acatamiento por juramento o promesa de la Constitución en el Congreso de los Diputados y la doctrina constitucional en la materia, junto con cita de la sentencia del Tribunal de Justicia de la Unión Europea de 19 de diciembre de 2019, se refiere a lo que ha sido la práctica parlamentaria desde la V Legislatura en el Congreso de los Diputados, refiriéndose luego al Senado y al Parlamento Europeo, para luego centrar el debate diciendo que la expresión ‘por imperativo legal’, objeto del análisis de la STC 119/1990, aunque se ha ampliado con nuevos contenidos o, en su lugar, se usan nuevas expresiones en las legislaturas posteriores, sigue siendo válido el razonamiento contenida en aquella sentencia, que pondera la condición representativa de los diputados, el valor superior del pluralismo político y de la libertad ideológica y de expresión, aunque pueda considerarse “improcedente, inoportuno o incluso inadecuado o irrespetuoso, por quien sostiene otras ideas o principios políticos”. Afirma que debe otorgarse protección preferente a la libertad de expresión, sin que pueda hablarse en este caso de “condicionalidad ni de pretensión de transformación del orden jurídico por medios ilegales”, y que “[e]n cualquier caso, todas esas declaraciones quedarían amparadas debido al carácter no militante de nuestra democracia”. Las tres categorías de fórmulas inadmisibles que enuncia la demanda “no tienen ningún apoyo legal o reglamentario”, ni las normas otorgan a la presidencia de la Cámara “un control de constitucionalidad sobre el contenido de las fórmulas de acatamiento”.</w:t>
      </w:r>
    </w:p>
    <w:p w14:paraId="48A144D5" w14:textId="77777777" w:rsidR="008D479B" w:rsidRDefault="008D479B" w:rsidP="008D479B">
      <w:pPr>
        <w:pStyle w:val="TextoNormal"/>
      </w:pPr>
    </w:p>
    <w:p w14:paraId="6633BC03" w14:textId="1F671B37" w:rsidR="008D479B" w:rsidRDefault="008D479B" w:rsidP="008D479B">
      <w:pPr>
        <w:pStyle w:val="TextoNormal"/>
      </w:pPr>
      <w:r>
        <w:t>Finalmente, el escrito de la letrada de las Cortes Generales afirma que tampoco existe la vulneración del derecho a la igualdad que plantea la demanda de amparo, art. 23 CE en relación con el art. 14 CE, “puesto que el ejercicio de su función representativa solo depende de que ellos mismos adquieran plenamente su condición, no de que lo hagan o dejen de hacer los demás”, además de que el trámite de acatamiento de la Constitución “no supone en sí ejercicio de la función, sino condición previa […] del citado ejercicio”. Tampoco la presidenta ha discriminado a nadie dada la flexibilidad que mostró durante el acto ya que “todas las intervenciones han sido toleradas”. Entiende que lo que postulan los recurrentes es restrictivo de la libertad de expresión de los diputados, y en todo caso no han estado aquellos, sujetos “a condiciones o requisitos jurídicamente diferentes que los demás no hayan tenido”.</w:t>
      </w:r>
    </w:p>
    <w:p w14:paraId="7C6B3741" w14:textId="77777777" w:rsidR="008D479B" w:rsidRDefault="008D479B" w:rsidP="008D479B">
      <w:pPr>
        <w:pStyle w:val="TextoNormal"/>
      </w:pPr>
    </w:p>
    <w:p w14:paraId="2F5F2654" w14:textId="77777777" w:rsidR="008D479B" w:rsidRDefault="008D479B" w:rsidP="008D479B">
      <w:pPr>
        <w:pStyle w:val="TextoNormal"/>
      </w:pPr>
      <w:r w:rsidRPr="008D479B">
        <w:rPr>
          <w:rStyle w:val="NumeroAFNegritaCaracter"/>
        </w:rPr>
        <w:t>7</w:t>
      </w:r>
      <w:r>
        <w:t>. El día 2 de septiembre de 2021 presentaron sus alegaciones doña Ana Belén Fernández Casero y otros seis diputados del Grupo Parlamentario Socialista en el Congreso de los Diputados, actuando bajo la representación de la procuradora ya designada y ejerciendo su defensa el abogado don Alberto Cachinero Capitán, por el que interesaron la desestimación de la demanda de amparo. Como objeción procesal se aduce que los diputados recurrentes no tienen legitimación para interponer este amparo, pues “ningún diputado o grupo parlamentario que no sea aquel sobre el que se proyecta la actuación de los órganos directivos de la Cámara se puede ver directamente afectado en la vulneración de sus derechos fundamentales por dicha actuación”. En realidad lo que plantean los recurrentes, dicen, es lo que la jurisprudencia de este Tribunal Constitucional llama un “contra-amparo”, esto es, la petición de revisar decisiones que reconocen derechos a terceros, y que la misma jurisprudencia considera no cabe ser deducida.</w:t>
      </w:r>
    </w:p>
    <w:p w14:paraId="0253D669" w14:textId="77777777" w:rsidR="008D479B" w:rsidRDefault="008D479B" w:rsidP="008D479B">
      <w:pPr>
        <w:pStyle w:val="TextoNormal"/>
      </w:pPr>
    </w:p>
    <w:p w14:paraId="2B830094" w14:textId="77777777" w:rsidR="008D479B" w:rsidRDefault="008D479B" w:rsidP="008D479B">
      <w:pPr>
        <w:pStyle w:val="TextoNormal"/>
      </w:pPr>
      <w:r>
        <w:t>Ya respecto del fondo, niega el escrito de alegaciones que se haya producido la vulneración del derecho fundamental al ejercicio de la función representativa de los recurrentes; antes bien, los derechos del art. 23 CE de algunos diputados electos se vería gravemente limitado si, “tras el procedimiento electoral, fueran excluidos de dicha representación”, además de que sería contrario a la jurisprudencia del Tribunal Constitucional, el cual ya se ha pronunciado sobre un caso similar al presente (cita una providencia de inadmisión recaída en un recurso de amparo). Discrepa el escrito de alegaciones con la tesis de los recurrentes de no haber podido ejercer con plenitud sus funciones, pues ninguna de sus facultades se vio afectada; y se hace cita de la STJUE de 19 de diciembre de 2019 respecto del Parlamento Europeo y la obtención de las prerrogativas parlamentarias de sus miembros sin tener que esperar a cumplir requisitos formales.</w:t>
      </w:r>
    </w:p>
    <w:p w14:paraId="0769FD86" w14:textId="77777777" w:rsidR="008D479B" w:rsidRDefault="008D479B" w:rsidP="008D479B">
      <w:pPr>
        <w:pStyle w:val="TextoNormal"/>
      </w:pPr>
    </w:p>
    <w:p w14:paraId="332EFCB5" w14:textId="398ACD6E" w:rsidR="008D479B" w:rsidRDefault="008D479B" w:rsidP="008D479B">
      <w:pPr>
        <w:pStyle w:val="TextoNormal"/>
      </w:pPr>
      <w:r>
        <w:t xml:space="preserve">Alegan luego los diputados personados que los actos impugnados no vulneran el derecho a la igualdad y a la no discriminación (art. 14 CE) de los recurrentes, denuncia que en todo caso debió subsumirse en la del art. 23.2 CE y conlleva un ejemplo de “discriminación por indiferenciación” (que se tratara igual a los recurrentes que a otros diputados que no se hallaban en su misma posición), que la doctrina constitucional no considera lesión de aquel derecho fundamental (con cita de la STC 117/2006, de 24 de abril, FJ 2, y otras anteriores). De otro lado, se alega en el escrito que de la jurisprudencia de este tribunal (con cita de las SSTC 119/1990, FJ 4, y 74/1991, FJ 2) se desprende que el requisito de acatamiento de la Constitución “en ningún caso puede convertirse en una carga desproporcionada para el titular del derecho o que restrinja el ejercicio del mismo de forma constitucionalmente intolerable”. Añade que “la presidenta de la XII Legislatura, perteneciente al mismo grupo que los recurrentes, el 12 de junio de 2018, interpretó que fórmulas de acatamiento donde se hacía referencia a la libertad de los presos políticos, esto es, donde se hacía referencia a las consecuencias del 1 de octubre de 2017, eran válidas. Y ese precedente fue el que siguió, desde nuestro punto de vista acertadamente, la Presidencia tanto en la XIII como en la XIV Legislatura”; lo que a su vez conecta con el principio recogido en la doctrina de este tribunal de que nuestro ordenamiento jurídico no contempla una democracia militante. Consideran asimismo los alegantes que otro argumento en favor de una interpretación flexible o antiformalista del requisito es evitar </w:t>
      </w:r>
      <w:r w:rsidRPr="008D479B">
        <w:rPr>
          <w:i/>
        </w:rPr>
        <w:t>ex</w:t>
      </w:r>
      <w:r>
        <w:t xml:space="preserve"> art. 9.3 CE una situación de inseguridad jurídica “de consecuencias desfavorables para los diputados que emplearon las fórmulas que los recurrentes consideran inadmisibles”.</w:t>
      </w:r>
    </w:p>
    <w:p w14:paraId="67E8359C" w14:textId="77777777" w:rsidR="008D479B" w:rsidRDefault="008D479B" w:rsidP="008D479B">
      <w:pPr>
        <w:pStyle w:val="TextoNormal"/>
      </w:pPr>
    </w:p>
    <w:p w14:paraId="6C0F6BF1" w14:textId="5D914739" w:rsidR="008D479B" w:rsidRDefault="008D479B" w:rsidP="008D479B">
      <w:pPr>
        <w:pStyle w:val="TextoNormal"/>
      </w:pPr>
      <w:r w:rsidRPr="008D479B">
        <w:rPr>
          <w:rStyle w:val="NumeroAFNegritaCaracter"/>
        </w:rPr>
        <w:t>8</w:t>
      </w:r>
      <w:r>
        <w:t>. También el día 2 de septiembre de 2021 presentaron sus alegaciones doña Mercedes Aizpurúa Arzallus y otros cuatro diputados, actuando bajo la representación del procurador ya designado y ejercitando su defensa el abogado don Íñigo Iruin Sanz, por el que interesaron se dictase sentencia desestimando el recurso de amparo. Señalan en primer lugar que a partir de la STC 48/2003, de 12 de marzo y en otras posteriores, este tribunal ha afirmado que en nuestro ordenamiento no tiene cabida un modelo de democracia militante. Tras esta cita sigue luego la de las SSTC 119/1990 y 74/1991, lo que para ellos supone que se impone una interpretación flexible, no rigorista ni ritualista e integradora del requisito, y que “lo decisivo es que el acatamiento de la Constitución ‘haya sido incondicional y pleno’” (STC 74/1991, FJ 5). No ha habido infracción de la legalidad vigente en las resoluciones recurridas, no hubo fórmulas incompletas o ininteligibles pues se tradujeron al castellano, y ya habían sido utilizadas por los diputados electos “de Euskal Herria Bildu en la sesión constitutiva de la XIII Legislatura”. En consecuencia, tampoco se pudo vulnerar el derecho fundamental del art. 23.1 CE de los recurrentes. “Y por la misma razón, queda sin contenido para mis representados/as el segundo motivo de amparo referido a la vulneración al derecho a la igualdad y no discriminación del artículo 14 CE”.</w:t>
      </w:r>
    </w:p>
    <w:p w14:paraId="52AAA377" w14:textId="77777777" w:rsidR="008D479B" w:rsidRDefault="008D479B" w:rsidP="008D479B">
      <w:pPr>
        <w:pStyle w:val="TextoNormal"/>
      </w:pPr>
    </w:p>
    <w:p w14:paraId="06658557" w14:textId="5EB631F2" w:rsidR="008D479B" w:rsidRDefault="008D479B" w:rsidP="008D479B">
      <w:pPr>
        <w:pStyle w:val="TextoNormal"/>
      </w:pPr>
      <w:r w:rsidRPr="008D479B">
        <w:rPr>
          <w:rStyle w:val="NumeroAFNegritaCaracter"/>
        </w:rPr>
        <w:t>9</w:t>
      </w:r>
      <w:r>
        <w:t xml:space="preserve">. En la misma fecha se presentó escrito de alegaciones por doña Mireia Vehí Cantenys y don Albert Botran Pahissa, actuando bajo la representación de la procuradora ya designada y ejerciendo su defensa el abogado don Benet Salellas i Vilar, por el que interesaron una sentencia que deniegue el amparo solicitado, “ratificando el correcto acceso al cargo de los diputados objeto del presente recurso”; y en caso de ser otorgado el amparo que se tuvieran por formuladas sus alegaciones, que “fundarían una posterior demanda ante el Tribunal Europeo de Derechos Humanos”. Se alega en primer lugar que los recurrentes han hecho una incorrecta “aplicación” de la doctrina constitucional, intentando reabrir un debate ya resuelto por las SSTC 119/1990 y 74/1991, las cuales declararon que no debe imponerse un formalismo rígido en cuanto al trámite de juramento o promesa de acatamiento de la Constitución. Que los recurrentes efectúan una indebida comparación entre aquel requisito que es formalista </w:t>
      </w:r>
      <w:r w:rsidRPr="008D479B">
        <w:rPr>
          <w:i/>
        </w:rPr>
        <w:t>ex lege</w:t>
      </w:r>
      <w:r>
        <w:t>, y el ejercicio nuclear del derecho fundamental a la participación política del art. 23 CE, al tiempo de que aquellos prescinden de que se trata de un derecho de configuración legal. Lo que vulneraría el núcleo del mencionado derecho fundamental sería que a los diputados alegantes se les negase el acceso a su escaño para expresar libremente sus ideas por las cuales han sido democráticamente escogidos; así como sus derechos a la libertad ideológica (art. 16.1 CE), los principios de pluralismo político, democracia e inviolabilidad parlamentaria.</w:t>
      </w:r>
    </w:p>
    <w:p w14:paraId="39068C0E" w14:textId="77777777" w:rsidR="008D479B" w:rsidRDefault="008D479B" w:rsidP="008D479B">
      <w:pPr>
        <w:pStyle w:val="TextoNormal"/>
      </w:pPr>
    </w:p>
    <w:p w14:paraId="3726EA7A" w14:textId="1433D562" w:rsidR="008D479B" w:rsidRDefault="008D479B" w:rsidP="008D479B">
      <w:pPr>
        <w:pStyle w:val="TextoNormal"/>
      </w:pPr>
      <w:r w:rsidRPr="008D479B">
        <w:rPr>
          <w:rStyle w:val="NumeroAFNegritaCaracter"/>
        </w:rPr>
        <w:t>10</w:t>
      </w:r>
      <w:r>
        <w:t xml:space="preserve">. Todavía el día 2 de septiembre de 2021 presentó su escrito de alegaciones doña Inés Granollers Cudillera, otros diez diputados y un ex diputado, actuando bajo la representación del procurador ya designado y ejerciendo su defensa el abogado don Marc Marsal i Ferret, por el que interesaron de este tribunal los siguientes pronunciamientos: (i) “[d]eclararse incompetente para la resolución del recurso de amparo”; (ii) “[s]ubsidiariamente […] declarar la finalización del procedimiento por pérdida de objeto en relación con el diputado Joan Josep Nuet”; (iii) en defecto de lo anterior, “inadmitir en su totalidad” el recurso “o subsidiariamente, inadmitirlo en relación únicamente con los acuerdos de la mesa”; y (iv) como último pedimento subsidiario, “desestimar en su totalidad el recurso de amparo interpuesto de contrario”. En desarrollo de estas peticiones se fundamenta: (i) que debe tenerse por finalizado el presente procedimiento, por pérdida de objeto, en relación con don Joan Josep Nuet i Pujals, quien ya no ostenta la condición de miembro del Congreso de los Diputados a raíz de la sentencia 301/2021, de 8 de abril, de la Sala de lo Penal del Tribunal Supremo, dictada en la causa especial núm. 20011-2020 (y en la que fue condenado como autor penalmente responsable de un delito de desobediencia grave, entre otras, a la pena de inhabilitación especial para el ejercicio de cargos públicos electivos “ya sean de ámbito estatal, autonómico o local”, por tiempo de ocho meses); de no apreciarse la pérdida de objeto y si se estimase el amparo, añaden, ello supondría la “pérdida retroactiva de la condición plena de miembro de la Cámara sin posibilidad de enmienda alguna o subsanación” de esta persona; (ii) a continuación se postula en el escrito de alegaciones que debe declararse la inadmisión del recurso por no ser recurrible en amparo el acuerdo de la presidenta de la Cámara ni ser este un acto revisable por la mesa, de modo que el recurso también debe inadmitirse respecto de los acuerdos dictados por dicho órgano; (iii) asimismo se objeta que “por la errónea vía del recurso de amparo, los recurrentes pretenden en realidad formalizar de manera encubierta un impropio recurso de inconstitucionalidad contra las competencias de la Presidencia (y contra el Reglamento de la Cámara) o un encubierto e impropio conflicto de órganos constitucionales” para que lo resuelva este tribunal, motivo por el cual este último debe declararse incompetente, al no tener el objeto propio de un recurso de amparo; (iv) el recurso debe inadmitirse asimismo por “ausencia de legitimación [de los recurrentes] al no existir derecho fundamental alguno vulnerado”, puesto que “no puede formar parte del derecho fundamental de los apartados 1 y 2 del art. 23 CE un supuesto derecho a exigir a otros que cumplan el requisito de una determinada forma o con un determinado contenido”; ni el acto de acatamiento forma parte del núcleo esencial de los derechos del art. 23 CE; en todo caso nadie ha impedido el acceso al cargo de los recurrentes; (v) este tribunal “no puede considerar contraria a la promesa o juramento de acatamiento de la Constitución la expresión ‘por la libertad de los presos políticos’ sin previamente haber resuelto los recursos de amparo de los señores Junqueras y Romeva, concurriendo un supuesto de prejudicialidad constitucional homogénea que requiere de la previa resolución de dichos recursos de amparo con anterioridad a la resolución del presente recurso”; (vi) para los alegantes, “denunciar la existencia de presos políticos es la auténtica defensa del Estado democrático y de Derecho”; (vii) en todo caso, “no se han vulnerado los derechos fundamentales de los recurrentes y las fórmulas de juramento o promesa de acatamiento de la Constitución de mis representados cumplen con los requisitos establecidos”, remitiéndose a lo ya expuesto y a que conforme a la jurisprudencia constitucional nuestro ordenamiento no consagra un modelo de democracia militante; y (viii) finalmente, se alega que “en la demanda de amparo no se formula pretensión alguna en relación con el apartado 2 del art. 23 CE (ni considerado individualmente ni en relación con el art. 14 CE)”, por lo que nada hay que resolver en este punto y si lo hiciera este tribunal incurriría en “incongruencia </w:t>
      </w:r>
      <w:r w:rsidRPr="008D479B">
        <w:rPr>
          <w:i/>
        </w:rPr>
        <w:t>extra petita</w:t>
      </w:r>
      <w:r>
        <w:t>”.</w:t>
      </w:r>
    </w:p>
    <w:p w14:paraId="11FB35AE" w14:textId="77777777" w:rsidR="008D479B" w:rsidRDefault="008D479B" w:rsidP="008D479B">
      <w:pPr>
        <w:pStyle w:val="TextoNormal"/>
      </w:pPr>
    </w:p>
    <w:p w14:paraId="5ACAA7EA" w14:textId="6A686B93" w:rsidR="008D479B" w:rsidRDefault="008D479B" w:rsidP="008D479B">
      <w:pPr>
        <w:pStyle w:val="TextoNormal"/>
      </w:pPr>
      <w:r w:rsidRPr="008D479B">
        <w:rPr>
          <w:rStyle w:val="NumeroAFNegritaCaracter"/>
        </w:rPr>
        <w:t>11</w:t>
      </w:r>
      <w:r>
        <w:t>. El día 3 de septiembre de 2021 presentaron su escrito doña María Teresa Rivero Segalàs y otros cinco diputados, actuando bajo la representación del procurador ya designado y ejerciendo su defensa el abogado don Gonzalo Boye Tuset, por el que interesaron se tuvieran por efectuadas las alegaciones siguientes: (i) las fórmulas utilizadas por los alegantes “son plenamente conformes a derecho, tratándose esta de una cuestión ya resuelta por el Tribunal Constitucional”. Tras citar las normas pertinentes (art. 180.8 de la Ley Orgánica del régimen electoral general (LOREG); art. 4.1 del Reglamento del Congreso de los Diputados; resolución de la Presidencia de la Cámara de 30 de noviembre de 1989) y la STC 119/1990, se afirma que si bien es cierto que las manifestaciones efectuadas durante aquel trámite por los alegantes “derivan de la ideología política de cada uno de ellos”, tratándose de diputados legítimamente elegidos no se les puede privar de esa condición “por no comulgar con las fórmulas de acatamiento pretendidas por los recurrentes”. Por otro lado, en cuanto a las fórmulas (respuestas) que no pudieron ser recogidas en el acta de la sesión, ello “no implica, en ningún caso, que dichas fórmulas no deban considerarse válidamente prestadas” por motivos ajenos a esos diputados; la presidenta dijo en ese momento que habían obtenido plenamente la condición de dicho cargo, y como ha señalado la mesa en su reunión de 23 de enero de 2020, el principio de inmediatez es el que prima; no se puede cuestionar la autoridad de quien en ese momento dirige el Pleno de la Cámara. Este tribunal, además, ha avalado el uso de fórmulas alternativas a la recogida en la resolución de 30 de noviembre de 1989; (ii) en segundo lugar, se afirma que no se ha producido la vulneración de los derechos fundamentales que invocan los recurrentes, quienes pretenden “modificar la composición del Congreso de los Diputados en contra de la voluntad popular previamente expresada en las urnas”; (iii) tampoco se ha vulnerado el derecho de igualdad de los demandantes de amparo, conforme al contenido esencial de este derecho que enuncia la doctrina constitucional; todos los diputados electos “han acatado el cumplimiento [de] la Carta Magna y, en consecuencia, han adquirido la plena condición de diputados”.</w:t>
      </w:r>
    </w:p>
    <w:p w14:paraId="20084F52" w14:textId="77777777" w:rsidR="008D479B" w:rsidRDefault="008D479B" w:rsidP="008D479B">
      <w:pPr>
        <w:pStyle w:val="TextoNormal"/>
      </w:pPr>
    </w:p>
    <w:p w14:paraId="67EA9BFF" w14:textId="77777777" w:rsidR="008D479B" w:rsidRDefault="008D479B" w:rsidP="008D479B">
      <w:pPr>
        <w:pStyle w:val="TextoNormal"/>
      </w:pPr>
      <w:r w:rsidRPr="008D479B">
        <w:rPr>
          <w:rStyle w:val="NumeroAFNegritaCaracter"/>
        </w:rPr>
        <w:t>12</w:t>
      </w:r>
      <w:r>
        <w:t xml:space="preserve">. El mismo día 3 de septiembre de 2021 presentó escrito de alegaciones don Jaume Assens Llodrá y otros treinta y cuatro diputados del Grupo Parlamentario de Unidas Podemos-En Comú Podem-Galicia en Común, actuando bajo la representación del procurador ya designado y ejerciendo su defensa el abogado don Juan Moreno Redondo, por el que interesaron la “íntegra desestimación del recurso de amparo presentado de contrario”. Se formulan para ello estas alegaciones: (i) la primera es que “[n]inguno de los ahora recurrentes alegó </w:t>
      </w:r>
      <w:r w:rsidRPr="008D479B">
        <w:rPr>
          <w:i/>
        </w:rPr>
        <w:t>in voce</w:t>
      </w:r>
      <w:r>
        <w:t xml:space="preserve"> vulneración de derecho fundamental alguno ante la decisión de la presidenta. Tampoco lo hizo el diputado don Pablo Casado Blanco, que no recurre en amparo”; omisión así insubsanable e impeditiva de que la presidenta de la Cámara, conforme al principio de inmediatez y oralidad, se hubiera podido pronunciar en aquel mismo momento sobre la supuesta lesión del derecho fundamental. Estamos ante un derecho personalísimo por lo que al no interponer la demanda el indicado diputado esta debe decaer, siendo que tampoco hizo uso de la palabra entonces la diputada firmante en primer lugar de la demanda. No se agotó la vía previa y se frustró la subsidiariedad del recurso de amparo; (ii) por la misma circunstancia que se acaba de exponer, los recurrentes no tienen legitimación para interponer este amparo porque los derechos de los arts. 14 y 23.1 CE no se ejercitan de forma colegiada sino individualizada, y ninguno de los firmantes de la demanda denunciaron su vulneración; (iii) se aduce también que la demanda “carece de especial trascendencia constitucional” toda vez que “el Tribunal Constitucional ya se ha pronunciado en otras ocasiones sobre el asunto que plantean los demandantes”, la demanda además no ha explicado cuáles son las “nuevas realidades sociales” que pueden justificar un tratamiento distinto sobre hechos similares a los enjuiciados en las SSTC 119/1990 y 74/1991 y en todo caso no lo son los sucedidos en el mes de octubre de 2017 en Cataluña; tampoco se ha atendido a la práctica de legislaturas anteriores. Los recurrentes vierten más bien afirmaciones políticas sobre las que no debe pronunciarse este tribunal, y no se perciben en las fórmulas de juramento y promesa utilizadas unas consecuencias políticas generales en el sentido de la STC 155/2009, FJ 2 g); (iv) en todo caso después de la STJUE de 19 de diciembre de 2019, el Tribunal de Justicia de la Unión Europea “dejó establecida de manera rotunda que en el Estado Democrático la condición de parlamentario se adquiere por el voto de los ciudadanos”; (v) “las resoluciones de la mesa impugnadas no son actos recurribles en vía de amparo”, pues la mesa no puede controlar las decisiones de la Presidencia en ejercicio de sus propias facultades constitucionales y que en este caso reviste acto firme y definitivo, tal y como la mesa explicó en la resolución desestimando el recurso de reconsideración de los recurrentes.</w:t>
      </w:r>
    </w:p>
    <w:p w14:paraId="06B6630F" w14:textId="77777777" w:rsidR="008D479B" w:rsidRDefault="008D479B" w:rsidP="008D479B">
      <w:pPr>
        <w:pStyle w:val="TextoNormal"/>
      </w:pPr>
    </w:p>
    <w:p w14:paraId="66AB232B" w14:textId="68FBA03A" w:rsidR="008D479B" w:rsidRDefault="008D479B" w:rsidP="008D479B">
      <w:pPr>
        <w:pStyle w:val="TextoNormal"/>
      </w:pPr>
      <w:r>
        <w:t>Ya en cuanto al fondo, los alegantes entienden que las fórmulas utilizadas son expresión de la pluralidad política y no suponen cuestionar la Constitución; es un acto formal que “no implica adhesión ideológica al texto fundamental y así debe mantenerse en aras a permitir que los proyectos políticos, también los de carácter secesionista, puedan participar del sistema electoral”; con cita de las SSTC 119/1990 y 74/1991. Respecto de aquellas respuestas que no se habrían escuchado por la presidenta, dicen los alegantes que esta última manifestó que todas eran respetuosas con el Reglamento, por lo que de un fallo en el equipo taquigráfico de la Cámara no pueden derivarse consecuencias tan graves como la privación a los diputados concernidos del acceso al cargo público. No se consideran contrarias a la Constitución tampoco las respuestas relativas a los presos políticos o al mandato del 1 de octubre.</w:t>
      </w:r>
    </w:p>
    <w:p w14:paraId="37ED35C8" w14:textId="77777777" w:rsidR="008D479B" w:rsidRDefault="008D479B" w:rsidP="008D479B">
      <w:pPr>
        <w:pStyle w:val="TextoNormal"/>
      </w:pPr>
    </w:p>
    <w:p w14:paraId="4D5CB9E8" w14:textId="77777777" w:rsidR="008D479B" w:rsidRDefault="008D479B" w:rsidP="008D479B">
      <w:pPr>
        <w:pStyle w:val="TextoNormal"/>
      </w:pPr>
      <w:r w:rsidRPr="008D479B">
        <w:rPr>
          <w:rStyle w:val="NumeroAFNegritaCaracter"/>
        </w:rPr>
        <w:t>13</w:t>
      </w:r>
      <w:r>
        <w:t>. Con fecha 30 de septiembre de 2021, el fiscal ante este tribunal presentó sus alegaciones por escrito interesando la inadmisión del recurso de amparo por los motivos que se vierten en el mismo, y subsidiariamente su desestimación. Así, en primer lugar, respecto del cumplimiento de los presupuestos y requisitos de procedibilidad del recurso de amparo, considera que en tanto que el recurso de amparo aparece interpuesto por quienes tienen la condición de diputados y el derecho invocado es de titularidad individual excluye cualquier problema de legitimación; incluso aunque el derecho concernido no puede ser el contenido en el art. 23.1 CE, dadas las referencias que se efectúan en la demanda al art. 23.2 CE y la estrecha vinculación entre ambos derechos.</w:t>
      </w:r>
    </w:p>
    <w:p w14:paraId="48B52118" w14:textId="77777777" w:rsidR="008D479B" w:rsidRDefault="008D479B" w:rsidP="008D479B">
      <w:pPr>
        <w:pStyle w:val="TextoNormal"/>
      </w:pPr>
    </w:p>
    <w:p w14:paraId="2C99F4C9" w14:textId="77777777" w:rsidR="008D479B" w:rsidRDefault="008D479B" w:rsidP="008D479B">
      <w:pPr>
        <w:pStyle w:val="TextoNormal"/>
      </w:pPr>
      <w:r>
        <w:t>Indica asimismo que frente a la duda provocada por el silencio de la normativa aplicable, de si pueden considerarse como recursos manifiestamente improcedentes los promovidos por los recurrentes, primero el de revisión de la decisión de la presidenta ante la mesa, y después el recurso de reconsideración contra la negativa de esta última a efectuar aquel control, debe prevalecer la validez de esas impugnaciones desde un planteamiento “</w:t>
      </w:r>
      <w:r w:rsidRPr="008D479B">
        <w:rPr>
          <w:i/>
        </w:rPr>
        <w:t>pro actione</w:t>
      </w:r>
      <w:r>
        <w:t xml:space="preserve"> y a la luz del principio de autonomía parlamentaria”, puesto que al haber dado la mesa una respuesta de fondo a los argumentos de los recurrentes al rechazar su recurso de reconsideración, las convirtió en “vías de impugnación idóneas”. Sin embargo, prosigue diciendo el fiscal, “los recurrentes no han aprovechado ese cauce para defender debidamente su derecho, de modo que fuera factible dicha reparación en sede parlamentaria, y por tanto no han ajustado su actuación a las exigencias del principio de subsidiariedad del amparo, dando lugar con ello, por infracción de la regla de subsidiariedad, a un motivo de inadmisión </w:t>
      </w:r>
      <w:r w:rsidRPr="008D479B">
        <w:rPr>
          <w:i/>
        </w:rPr>
        <w:t>a limine</w:t>
      </w:r>
      <w:r>
        <w:t xml:space="preserve"> del recurso”.</w:t>
      </w:r>
    </w:p>
    <w:p w14:paraId="104607A5" w14:textId="77777777" w:rsidR="008D479B" w:rsidRDefault="008D479B" w:rsidP="008D479B">
      <w:pPr>
        <w:pStyle w:val="TextoNormal"/>
      </w:pPr>
    </w:p>
    <w:p w14:paraId="4F456615" w14:textId="77777777" w:rsidR="008D479B" w:rsidRDefault="008D479B" w:rsidP="008D479B">
      <w:pPr>
        <w:pStyle w:val="TextoNormal"/>
      </w:pPr>
      <w:r>
        <w:t xml:space="preserve">Ya en cuanto al fondo de los motivos de la demanda, alega el fiscal la “inexistencia de la infracción de las normas legales y la jurisprudencia constitucional que rigen el acto de acatamiento constitucional de los diputados electos”, señalando que debe distinguirse entre los distintos grupos de respuestas cuestionadas por los recurrentes: (i) empezando por aquellas donde se denuncia que algunas resultan ininteligibles o incompletas lo que impiden la certeza de la plenitud del juramento o promesa, ha de estarse a lo argumentado por la mesa del Congreso de los Diputados en su resolución de 23 de enero de 2020, en el sentido de que el acto de acatamiento de la Constitución corresponde a la Presidencia de la Cámara, por lo que no cabe cuestionar lo expresado por esta actuando bajo el principio de inmediatez y de autonomía parlamentaria, solo por una falta de su reflejo taquigráfico, ni cabe establecer una presunción </w:t>
      </w:r>
      <w:r w:rsidRPr="008D479B">
        <w:rPr>
          <w:i/>
        </w:rPr>
        <w:t>iuris tantum</w:t>
      </w:r>
      <w:r>
        <w:t xml:space="preserve"> de desacierto de la decisión del órgano competente solo porque el diputado se expresase en castellano o euskera o los recurrentes no pudieran escucharlo.</w:t>
      </w:r>
    </w:p>
    <w:p w14:paraId="641D800E" w14:textId="77777777" w:rsidR="008D479B" w:rsidRDefault="008D479B" w:rsidP="008D479B">
      <w:pPr>
        <w:pStyle w:val="TextoNormal"/>
      </w:pPr>
    </w:p>
    <w:p w14:paraId="67C17C5F" w14:textId="77777777" w:rsidR="008D479B" w:rsidRDefault="008D479B" w:rsidP="008D479B">
      <w:pPr>
        <w:pStyle w:val="TextoNormal"/>
      </w:pPr>
      <w:r>
        <w:t xml:space="preserve">Añade luego que la valoración que los recurrentes realizan del contenido y alcance de las expresiones utilizadas por algunos diputados, que a su vez la demanda clasifica en dos grupos similares (las que expresan convicciones incompatibles con el contenido de la Constitución cuya legitimidad o carácter democrático rechazan, y las que expresan convicciones incompatibles con la Constitución, que se desean llevar a cabo por vías ajenas al ordenamiento constitucional), si bien incluyen expresiones “que introducen limitaciones o variaciones respecto de un acatamiento claro e inequívoco […] del ‘sí prometo’ o ‘sí juro’”, ha de hacerse una interpretación de ellas bajo el principio del </w:t>
      </w:r>
      <w:r w:rsidRPr="008D479B">
        <w:rPr>
          <w:i/>
        </w:rPr>
        <w:t>favor libertatis</w:t>
      </w:r>
      <w:r>
        <w:t>, para “permitir la efectividad del derecho fundamental al cargo de representación política”, una vez dichos electos “han cumplimentado —por más que sea, hay que insistir, formalmente— los requisitos reglamentarios para ejercer su cargo”.</w:t>
      </w:r>
    </w:p>
    <w:p w14:paraId="52238962" w14:textId="77777777" w:rsidR="008D479B" w:rsidRDefault="008D479B" w:rsidP="008D479B">
      <w:pPr>
        <w:pStyle w:val="TextoNormal"/>
      </w:pPr>
    </w:p>
    <w:p w14:paraId="623421E9" w14:textId="77777777" w:rsidR="008D479B" w:rsidRDefault="008D479B" w:rsidP="008D479B">
      <w:pPr>
        <w:pStyle w:val="TextoNormal"/>
      </w:pPr>
      <w:r>
        <w:t>Un pretendido control material, como el que según el fiscal parecen promover los demandantes, del compromiso constitucional de cada diputado atendiendo a su forma de exteriorización, además de generar consecuencias políticas potenciales de conversión en fuerzas extraparlamentarias de todas las organizaciones políticas que no compartan el contenido material de la Constitución, sería difícilmente conciliable con la doctrina de la no militancia.</w:t>
      </w:r>
    </w:p>
    <w:p w14:paraId="4ABC8E1F" w14:textId="77777777" w:rsidR="008D479B" w:rsidRDefault="008D479B" w:rsidP="008D479B">
      <w:pPr>
        <w:pStyle w:val="TextoNormal"/>
      </w:pPr>
    </w:p>
    <w:p w14:paraId="76C4CA2D" w14:textId="77777777" w:rsidR="008D479B" w:rsidRDefault="008D479B" w:rsidP="008D479B">
      <w:pPr>
        <w:pStyle w:val="TextoNormal"/>
      </w:pPr>
      <w:r>
        <w:t>Afirma por otra parte el escrito de alegaciones que la incorrecta conformación de la composición de las Cámaras no ocasiona una efectiva o potencial limitación de sus propios derechos a ejercer la representación política. Tampoco cabe invocar la igualdad para oponerse al reconocimiento público del derecho fundamental ajeno. Señala que los parlamentarios invocan la mera privación de una consecuencia objetiva —en realidad un efecto colateral para ellos potencialmente ventajoso— que derivaría de la restricción del ejercicio del derecho de otros diputados. Se edifica un derecho propio con materiales procedentes de la restricción de otros derechos.</w:t>
      </w:r>
    </w:p>
    <w:p w14:paraId="1B5AFEAF" w14:textId="77777777" w:rsidR="008D479B" w:rsidRDefault="008D479B" w:rsidP="008D479B">
      <w:pPr>
        <w:pStyle w:val="TextoNormal"/>
      </w:pPr>
    </w:p>
    <w:p w14:paraId="68A44788" w14:textId="6C1B6B94" w:rsidR="008D479B" w:rsidRDefault="008D479B" w:rsidP="008D479B">
      <w:pPr>
        <w:pStyle w:val="TextoNormal"/>
      </w:pPr>
      <w:r>
        <w:t>Por último, considera el fiscal ante este tribunal que la demanda al invocar el principio de igualdad (art. 14 CE), esta se limita a reiterar los mismos argumentos en los que apoya la supuesta vulneración del art. 23 CE.</w:t>
      </w:r>
    </w:p>
    <w:p w14:paraId="21A974D0" w14:textId="77777777" w:rsidR="008D479B" w:rsidRDefault="008D479B" w:rsidP="008D479B">
      <w:pPr>
        <w:pStyle w:val="TextoNormal"/>
      </w:pPr>
    </w:p>
    <w:p w14:paraId="132158CA" w14:textId="3A74EE7F" w:rsidR="008D479B" w:rsidRDefault="008D479B" w:rsidP="008D479B">
      <w:pPr>
        <w:pStyle w:val="TextoNormal"/>
      </w:pPr>
      <w:r w:rsidRPr="008D479B">
        <w:rPr>
          <w:rStyle w:val="NumeroAFNegritaCaracter"/>
        </w:rPr>
        <w:t>14</w:t>
      </w:r>
      <w:r>
        <w:t>. El día 1 de octubre de 2021, la Secretaría de Justicia del Pleno del Tribunal dictó la siguiente diligencia: “Para hacer constar que dentro del plazo conferido en la diligencia de ordenación de 5 de julio de 2021 han formulado escrito de alegaciones la letrada de las Cortes Generales, en nombre y representación del Congreso de los Diputados; la procuradora doña Virginia Aragón Segura, en nombre y representación de doña Ana Belén Fernández Casero y otros seis diputados del Grupo Parlamentario Socialista; el procurador don Javier Cuevas Rivas, en nombre y representación de doña Mercedes Aizpurúa Arzallus y otros cuatro; la procuradora doña Isabel Afonso Rodríguez, en nombre y representación de doña Mireia Vehí Cantenys y don Albert Botran Pahissa; el procurador don Emilio Martínez Benítez, en nombre y representación de doña Inés Granollers i Cunillera y once más; el procurador don Carlos Ricardo Estévez Sanz, en nombre y representación de doña María Teresa Rivero Segalàs y otros cinco; el procurador don José Miguel Martínez-Fresneda, en nombre y representación de don Jaume Assens Llodrá y otros treinta y cuatro diputados; y el Ministerio Fiscal. Así mismo, se hace constar que con fecha 16 de septiembre de 2021 el procurador señor Cuevas Rivas presentó nuevo escrito aportando CD como complemento a su anterior escrito de alegaciones. Se han personado también pero no han formulado alegaciones el procurador don Manuel Sánchez-Puelles y González-Carvajal, en nombre y representación de don Agustín Almodóbar Barceló y otros setenta y ocho diputados del Grupo Parlamentario Popular; el procurador don Federico Ortiz-Cañavate Levenfeld, en nombre y representación de doña Concepción Cañadell Salvia; y el mismo procurador señor Ortiz-Cañavate Levenfeld, en nombre y representación de don Genís Boadella i Esteve; quedando el presente recurso de amparo pendiente para deliberación cuando por turno corresponda, sin perjuicio de lo dispuesto en el art. 84 LOTC”.</w:t>
      </w:r>
    </w:p>
    <w:p w14:paraId="78E92F12" w14:textId="77777777" w:rsidR="008D479B" w:rsidRDefault="008D479B" w:rsidP="008D479B">
      <w:pPr>
        <w:pStyle w:val="TextoNormal"/>
      </w:pPr>
    </w:p>
    <w:p w14:paraId="332B8B5A" w14:textId="77777777" w:rsidR="008D479B" w:rsidRDefault="008D479B" w:rsidP="008D479B">
      <w:pPr>
        <w:pStyle w:val="TextoNormal"/>
      </w:pPr>
      <w:r w:rsidRPr="008D479B">
        <w:rPr>
          <w:rStyle w:val="NumeroAFNegritaCaracter"/>
        </w:rPr>
        <w:t>15</w:t>
      </w:r>
      <w:r>
        <w:t>. Por ATC 29/2023, de 7 de febrero, del Pleno de este tribunal, se acordó estimar justificada la abstención formulada por el magistrado don Juan Carlos Campo Moreno, apartándole definitivamente del conocimiento, entre otros recursos de amparo avocados al Pleno, del presente recurso 2001-2020, “así como de todas sus incidencias”.</w:t>
      </w:r>
    </w:p>
    <w:p w14:paraId="60632730" w14:textId="77777777" w:rsidR="008D479B" w:rsidRDefault="008D479B" w:rsidP="008D479B">
      <w:pPr>
        <w:pStyle w:val="TextoNormal"/>
      </w:pPr>
    </w:p>
    <w:p w14:paraId="6D28AF26" w14:textId="668C091E" w:rsidR="008D479B" w:rsidRDefault="008D479B" w:rsidP="008D479B">
      <w:pPr>
        <w:pStyle w:val="TextoNormal"/>
      </w:pPr>
      <w:r>
        <w:t>Con fecha 14 de febrero de 2023, la Secretaría de Justicia del Pleno del Tribunal dictó diligencia por la que: “Se tiene por recibido, debidamente firmado, el auto de fecha 7 de febrero de 2023, dictado en el presente recurso, cuyo original se une al recurso de amparo avocado núm. 4577-2019, quedando testimonio en las presentes actuaciones, y se procede a su notificación a las partes y al Ministerio Fiscal”.</w:t>
      </w:r>
    </w:p>
    <w:p w14:paraId="2362D336" w14:textId="77777777" w:rsidR="008D479B" w:rsidRDefault="008D479B" w:rsidP="008D479B">
      <w:pPr>
        <w:pStyle w:val="TextoNormal"/>
      </w:pPr>
    </w:p>
    <w:p w14:paraId="34C84140" w14:textId="017C118A" w:rsidR="008D479B" w:rsidRDefault="008D479B" w:rsidP="008D479B">
      <w:pPr>
        <w:pStyle w:val="TextoNormal"/>
      </w:pPr>
      <w:r w:rsidRPr="008D479B">
        <w:rPr>
          <w:rStyle w:val="NumeroAFNegritaCaracter"/>
        </w:rPr>
        <w:t>16</w:t>
      </w:r>
      <w:r>
        <w:t>. Por providencia de 24 de octubre de 2023, se señaló ese mismo día para la deliberación y votación de la presente sentencia.</w:t>
      </w:r>
    </w:p>
    <w:p w14:paraId="5D729EE7" w14:textId="77777777" w:rsidR="008D479B" w:rsidRDefault="008D479B" w:rsidP="008D479B">
      <w:pPr>
        <w:pStyle w:val="TextoNormal"/>
      </w:pPr>
    </w:p>
    <w:p w14:paraId="632F81C6" w14:textId="77777777" w:rsidR="008D479B" w:rsidRDefault="008D479B" w:rsidP="008D479B">
      <w:pPr>
        <w:pStyle w:val="TextoNormalNegritaCentrado"/>
        <w:keepNext/>
      </w:pPr>
      <w:r>
        <w:t>II. Fundamentos jurídicos</w:t>
      </w:r>
    </w:p>
    <w:p w14:paraId="6946FF8F" w14:textId="63C6F846" w:rsidR="008D479B" w:rsidRDefault="008D479B" w:rsidP="008D479B">
      <w:pPr>
        <w:pStyle w:val="TextoNormalNegritaCentrado"/>
        <w:keepNext/>
      </w:pPr>
    </w:p>
    <w:p w14:paraId="6004A5E5" w14:textId="77777777" w:rsidR="008D479B" w:rsidRDefault="008D479B" w:rsidP="008D479B">
      <w:pPr>
        <w:pStyle w:val="TextoNormal"/>
      </w:pPr>
      <w:r w:rsidRPr="008D479B">
        <w:rPr>
          <w:rStyle w:val="NumeroAFNegritaCaracter"/>
        </w:rPr>
        <w:t>1</w:t>
      </w:r>
      <w:r>
        <w:t xml:space="preserve">. </w:t>
      </w:r>
      <w:r w:rsidRPr="008D479B">
        <w:rPr>
          <w:i/>
        </w:rPr>
        <w:t>Objeto del recurso</w:t>
      </w:r>
    </w:p>
    <w:p w14:paraId="6A4DD674" w14:textId="77777777" w:rsidR="008D479B" w:rsidRDefault="008D479B" w:rsidP="008D479B">
      <w:pPr>
        <w:pStyle w:val="TextoNormal"/>
      </w:pPr>
    </w:p>
    <w:p w14:paraId="1822B540" w14:textId="4F38E43A" w:rsidR="008D479B" w:rsidRDefault="008D479B" w:rsidP="008D479B">
      <w:pPr>
        <w:pStyle w:val="TextoNormal"/>
      </w:pPr>
      <w:r>
        <w:t>El objeto del presente recurso de amparo es el acuerdo de la presidenta del Congreso de los Diputados que tuvo por correctamente realizada la fórmula de juramento o promesa de acatamiento del cargo de la Constitución Española realizado por veintinueve diputados durante la sesión constitutiva de la XIV Legislatura en dicha Cámara el 3 de diciembre de 2019, y los posteriores acuerdos de la mesa del Congreso de los Diputados que denegaron el control de aquel acto. Defienden los recurrentes que tal actuación amén de conculcar la legalidad parlamentaria y la doctrina constitucional aplicable a dicho trámite, ha afectado al núcleo de su función representativa (art. 23, apartados 1 y 2 CE). Frente a esta pretensión han formulado a su vez alegaciones discrepantes la letrada de las Cortes Generales, en representación del Congreso de los Diputados; los diputados que se mencionan en los antecedentes 7 a 12 inclusive de esta sentencia, y el fiscal ante este tribunal, interesando algunos la inadmisión del recurso y en todo caso que fuera desestimado.</w:t>
      </w:r>
    </w:p>
    <w:p w14:paraId="7558587C" w14:textId="77777777" w:rsidR="008D479B" w:rsidRDefault="008D479B" w:rsidP="008D479B">
      <w:pPr>
        <w:pStyle w:val="TextoNormal"/>
      </w:pPr>
    </w:p>
    <w:p w14:paraId="2C1F357E" w14:textId="77777777" w:rsidR="008D479B" w:rsidRDefault="008D479B" w:rsidP="008D479B">
      <w:pPr>
        <w:pStyle w:val="TextoNormal"/>
      </w:pPr>
      <w:r w:rsidRPr="008D479B">
        <w:rPr>
          <w:rStyle w:val="NumeroAFNegritaCaracter"/>
        </w:rPr>
        <w:t>2</w:t>
      </w:r>
      <w:r>
        <w:t xml:space="preserve">. </w:t>
      </w:r>
      <w:r w:rsidRPr="008D479B">
        <w:rPr>
          <w:i/>
        </w:rPr>
        <w:t>Cuestiones previas</w:t>
      </w:r>
    </w:p>
    <w:p w14:paraId="64820B0B" w14:textId="77777777" w:rsidR="008D479B" w:rsidRDefault="008D479B" w:rsidP="008D479B">
      <w:pPr>
        <w:pStyle w:val="TextoNormal"/>
      </w:pPr>
    </w:p>
    <w:p w14:paraId="00C62FD0" w14:textId="77777777" w:rsidR="008D479B" w:rsidRDefault="008D479B" w:rsidP="008D479B">
      <w:pPr>
        <w:pStyle w:val="TextoNormal"/>
      </w:pPr>
      <w:r>
        <w:t>a) En la STC 65/2023, de 6 de junio, FJ 1, se han desestimado ya algunos de los óbices de inadmisión del recurso planteados por la letrada de las Cortes Generales, los diputados que presentaron alegaciones en el trámite del art. 52 LOTC, y el fiscal ante este tribunal. Nos referimos a la inadmisión por falta de legitimación de los recurrentes y por falta de especial trascendencia constitucional del recurso, mientras que otras se hallan directamente vinculadas al fondo (no haberse alegado la vulneración de derechos fundamentales, o pretenderse un recurso encubierto de inconstitucionalidad).</w:t>
      </w:r>
    </w:p>
    <w:p w14:paraId="78949041" w14:textId="77777777" w:rsidR="008D479B" w:rsidRDefault="008D479B" w:rsidP="008D479B">
      <w:pPr>
        <w:pStyle w:val="TextoNormal"/>
      </w:pPr>
    </w:p>
    <w:p w14:paraId="0C03D851" w14:textId="77777777" w:rsidR="008D479B" w:rsidRDefault="008D479B" w:rsidP="008D479B">
      <w:pPr>
        <w:pStyle w:val="TextoNormal"/>
      </w:pPr>
      <w:r>
        <w:t>b) Respecto de la solicitud de inadmisión por defecto de agotamiento del procedimiento parlamentario previo a la interposición de la demanda de amparo, planteado por la letrada de las Cortes Generales, los treinta y cinco diputados del Grupo Parlamentario de Unidas Podemos-En Comú Podem-Galicia en Común, y el fiscal ante este tribunal, si bien no fue resuelta en la citada STC 65/2023, FJ 2, al que nos hemos remitido para la desestimación de las otras causas de inadmisión alegadas, sin embargo sí se desestimaron en la STC 125/2023, de 27 de septiembre, en su FJ 1, perteneciente a esta misma serie y al que nos remitimos.</w:t>
      </w:r>
    </w:p>
    <w:p w14:paraId="1127FD93" w14:textId="77777777" w:rsidR="008D479B" w:rsidRDefault="008D479B" w:rsidP="008D479B">
      <w:pPr>
        <w:pStyle w:val="TextoNormal"/>
      </w:pPr>
    </w:p>
    <w:p w14:paraId="27FFEDA3" w14:textId="75D2D90E" w:rsidR="008D479B" w:rsidRDefault="008D479B" w:rsidP="008D479B">
      <w:pPr>
        <w:pStyle w:val="TextoNormal"/>
      </w:pPr>
      <w:r>
        <w:t>c) Y por último, sobre la petición de que se declare la pérdida de objeto del recurso con relación a don Joan Josep Nuet i Pujals, por dejar de ostentar la condición de diputado en la XIV Legislatura, no cabe acceder a tal pretensión porque, como ya expresara este tribunal en la citada STC 65/2023, FJ 1, a propósito de una solicitud de naturaleza en parte similar por haber decaído ya la legislatura respectiva, debiendo atenderse a lo interesado por los recurrentes esto “no impide que perviva, aunque sea a los meros efectos declarativos, la invocación de un derecho fundamental frente a un acto sin valor de ley de un órgano de una cámara legislativa que debe ser objeto de análisis por este tribunal”.</w:t>
      </w:r>
    </w:p>
    <w:p w14:paraId="4241D0AA" w14:textId="77777777" w:rsidR="008D479B" w:rsidRDefault="008D479B" w:rsidP="008D479B">
      <w:pPr>
        <w:pStyle w:val="TextoNormal"/>
      </w:pPr>
    </w:p>
    <w:p w14:paraId="1BE3D8BA" w14:textId="77777777" w:rsidR="008D479B" w:rsidRDefault="008D479B" w:rsidP="008D479B">
      <w:pPr>
        <w:pStyle w:val="TextoNormal"/>
      </w:pPr>
      <w:r w:rsidRPr="008D479B">
        <w:rPr>
          <w:rStyle w:val="NumeroAFNegritaCaracter"/>
        </w:rPr>
        <w:t>3</w:t>
      </w:r>
      <w:r>
        <w:t xml:space="preserve">. </w:t>
      </w:r>
      <w:r w:rsidRPr="008D479B">
        <w:rPr>
          <w:i/>
        </w:rPr>
        <w:t>Aplicación de la doctrina constitucional expuesta en la STC 65/2023, de 6 de junio</w:t>
      </w:r>
    </w:p>
    <w:p w14:paraId="42F1FD6B" w14:textId="77777777" w:rsidR="008D479B" w:rsidRDefault="008D479B" w:rsidP="008D479B">
      <w:pPr>
        <w:pStyle w:val="TextoNormal"/>
      </w:pPr>
    </w:p>
    <w:p w14:paraId="7222F2D5" w14:textId="0B00C2A0" w:rsidR="008D479B" w:rsidRDefault="008D479B" w:rsidP="008D479B">
      <w:pPr>
        <w:pStyle w:val="TextoNormal"/>
      </w:pPr>
      <w:r>
        <w:t xml:space="preserve">La cuestión de fondo planteada en el presente recurso coincide con la resuelta en la STC 65/2023, por lo que debemos remitirnos a su fundamento jurídico 3, relativo a la doctrina constitucional sobre el derecho de representación política (art. 23.2 CE) y su proyección a las decisiones de los órganos de las cámaras parlamentarias, sobre el ejercicio del </w:t>
      </w:r>
      <w:r w:rsidRPr="008D479B">
        <w:rPr>
          <w:i/>
        </w:rPr>
        <w:t>ius in officium</w:t>
      </w:r>
      <w:r>
        <w:t xml:space="preserve"> de parlamentarios distintos de los demandantes de amparo; y a su fundamento jurídico 4, en el que aplicamos dicha jurisprudencia al </w:t>
      </w:r>
      <w:r w:rsidRPr="008D479B">
        <w:rPr>
          <w:i/>
        </w:rPr>
        <w:t>ius in officium</w:t>
      </w:r>
      <w:r>
        <w:t xml:space="preserve"> de los demandantes y desestimamos el recurso de amparo, al concluir que “[las fórmulas] de acatamiento que los demandantes consideran contrarias a la legalidad parlamentaria […] no afecta al derecho de estos últimos a ejercer también en plenitud sus funciones parlamentarias de acuerdo con las previsiones legales, que no se ve restringido en ningún momento. Esto es lo determinante para que este tribunal aprecie que los demandantes de amparo no han identificado ningún concreto derecho o facultad conformador de su estatuto legal […] que haya quedado limitado o afectado por la decisión parlamentaria impugnada en este amparo que permita considerar que se ha visto afectado su derecho de representación política reconocido en el art. 23.2 CE”.</w:t>
      </w:r>
    </w:p>
    <w:p w14:paraId="59A9741C" w14:textId="77777777" w:rsidR="008D479B" w:rsidRDefault="008D479B" w:rsidP="008D479B">
      <w:pPr>
        <w:pStyle w:val="TextoNormal"/>
      </w:pPr>
    </w:p>
    <w:p w14:paraId="5E63A819" w14:textId="77777777" w:rsidR="008D479B" w:rsidRDefault="008D479B" w:rsidP="008D479B">
      <w:pPr>
        <w:pStyle w:val="TextoNormalCentrado"/>
        <w:keepNext/>
      </w:pPr>
      <w:r>
        <w:t>FALLO</w:t>
      </w:r>
    </w:p>
    <w:p w14:paraId="0412DC23" w14:textId="6293E276" w:rsidR="008D479B" w:rsidRDefault="008D479B" w:rsidP="008D479B">
      <w:pPr>
        <w:pStyle w:val="TextoNormalCentrado"/>
        <w:keepNext/>
      </w:pPr>
    </w:p>
    <w:p w14:paraId="4C7F8A09" w14:textId="39A0070B" w:rsidR="008D479B" w:rsidRDefault="008D479B" w:rsidP="008D479B">
      <w:pPr>
        <w:pStyle w:val="TextoNormal"/>
      </w:pPr>
      <w:r>
        <w:t>En atención a todo lo expuesto, el Tribunal Constitucional, por la autoridad que le confiere la Constitución de la Nación española, ha decidido desestimar el recurso de amparo interpuesto por doña Cayetana Álvarez de Toledo Peralta-Ramos, don Guillermo Mariscal Anaya, doña Isabel Borrego Cortés, doña María Sandra Moneo Díez, doña Macarena Montesinos de Miguel, don Carlos Rojas García y don Mario Garcés Sanagustín, diputados del Grupo Parlamentario Popular en el Congreso de los Diputados.</w:t>
      </w:r>
    </w:p>
    <w:p w14:paraId="320A71B3" w14:textId="77777777" w:rsidR="008D479B" w:rsidRDefault="008D479B" w:rsidP="008D479B">
      <w:pPr>
        <w:pStyle w:val="TextoNormal"/>
      </w:pPr>
    </w:p>
    <w:p w14:paraId="347B5103" w14:textId="77777777" w:rsidR="008D479B" w:rsidRDefault="008D479B" w:rsidP="008D479B">
      <w:pPr>
        <w:pStyle w:val="TextoNormal"/>
      </w:pPr>
      <w:r>
        <w:t>Publíquese esta sentencia en el “Boletín Oficial del Estado”.</w:t>
      </w:r>
    </w:p>
    <w:p w14:paraId="144EEF45" w14:textId="77777777" w:rsidR="008D479B" w:rsidRDefault="008D479B" w:rsidP="008D479B">
      <w:pPr>
        <w:pStyle w:val="TextoNormal"/>
      </w:pPr>
      <w:r>
        <w:t>Dada en Madrid, a veinticuatro de octubre de dos mil veintitrés.</w:t>
      </w:r>
    </w:p>
    <w:p w14:paraId="2BDBDE85" w14:textId="79DFA878" w:rsidR="008D479B" w:rsidRDefault="008D479B" w:rsidP="008D479B">
      <w:pPr>
        <w:pStyle w:val="ParrafoNormal"/>
      </w:pPr>
    </w:p>
    <w:p w14:paraId="1CE51C5E" w14:textId="77777777" w:rsidR="008D479B" w:rsidRDefault="008D479B" w:rsidP="008D479B">
      <w:pPr>
        <w:pStyle w:val="TextoNormalNegritaCentrado"/>
        <w:keepNext/>
      </w:pPr>
      <w:r>
        <w:t>Voto particular que formulan los magistrados don Ricardo Enríquez Sancho y don Enrique Arnaldo Alcubilla, la magistrada doña Concepción Espejel Jorquera y el magistrado don César Tolosa Tribiño a la sentencia dictada en el recurso de amparo núm. 2001-2020</w:t>
      </w:r>
    </w:p>
    <w:p w14:paraId="6A034957" w14:textId="6FCCBFC0" w:rsidR="008D479B" w:rsidRDefault="008D479B" w:rsidP="008D479B">
      <w:pPr>
        <w:pStyle w:val="TextoNormalNegritaCentrado"/>
        <w:keepNext/>
      </w:pPr>
    </w:p>
    <w:p w14:paraId="372B1A7F" w14:textId="77777777" w:rsidR="008D479B" w:rsidRDefault="008D479B" w:rsidP="008D479B">
      <w:pPr>
        <w:pStyle w:val="TextoNormal"/>
      </w:pPr>
      <w:r>
        <w:t>En la sentencia de la que discrepamos los magistrados arriba referenciados uno de nosotros figura como ponente, y ello por cuanto hemos debido asumir el criterio de la mayoría del Tribunal y así reflejarlo en esta sentencia de remisión a la STC 65/2023, de 6 de junio.</w:t>
      </w:r>
    </w:p>
    <w:p w14:paraId="37EEE9BF" w14:textId="77777777" w:rsidR="008D479B" w:rsidRDefault="008D479B" w:rsidP="008D479B">
      <w:pPr>
        <w:pStyle w:val="TextoNormal"/>
      </w:pPr>
    </w:p>
    <w:p w14:paraId="76FE3D70" w14:textId="77777777" w:rsidR="008D479B" w:rsidRDefault="008D479B" w:rsidP="008D479B">
      <w:pPr>
        <w:pStyle w:val="TextoNormal"/>
      </w:pPr>
      <w:r>
        <w:t>En el ejercicio de la facultad que nos confiere el artículo 90.2 de la Ley Orgánica del Tribunal Constitucional, y con respeto a la opinión de la mayoría del Pleno, formulamos el presente voto particular por discrepar de la fundamentación y del fallo de la sentencia recaída en el recurso de amparo núm. 2001-2020, que debió ser estimado, declarando haberse producido la vulneración del derecho de los parlamentarios recurrentes al acceso y al ejercicio del cargo público representativo en condiciones de igualdad (art. 23.2 CE), así como la vulneración del derecho de los ciudadanos a participar en los asuntos públicos a través de sus representantes (art. 23.1 CE).</w:t>
      </w:r>
    </w:p>
    <w:p w14:paraId="05E717AD" w14:textId="77777777" w:rsidR="008D479B" w:rsidRDefault="008D479B" w:rsidP="008D479B">
      <w:pPr>
        <w:pStyle w:val="TextoNormal"/>
      </w:pPr>
    </w:p>
    <w:p w14:paraId="22111689" w14:textId="77777777" w:rsidR="008D479B" w:rsidRDefault="008D479B" w:rsidP="008D479B">
      <w:pPr>
        <w:pStyle w:val="TextoNormal"/>
      </w:pPr>
      <w:r>
        <w:t>Las razones de la discrepancia quedaron detalladamente expuestas en el voto particular formulado a la STC 65/2023, de 6 de junio, de la que la presente resolución es aplicación, por lo que hemos de remitirnos ahora a dicho voto particular en su totalidad.</w:t>
      </w:r>
    </w:p>
    <w:p w14:paraId="3027C2CB" w14:textId="77777777" w:rsidR="008D479B" w:rsidRDefault="008D479B" w:rsidP="008D479B">
      <w:pPr>
        <w:pStyle w:val="TextoNormal"/>
      </w:pPr>
    </w:p>
    <w:p w14:paraId="0D23E41E" w14:textId="0068C5BC" w:rsidR="008D479B" w:rsidRDefault="008D479B" w:rsidP="008D479B">
      <w:pPr>
        <w:pStyle w:val="TextoNormal"/>
      </w:pPr>
      <w:r>
        <w:t>Madrid, a veinticuatro de octubre de dos mil veintitrés.</w:t>
      </w:r>
    </w:p>
    <w:p w14:paraId="2EFCA2AF" w14:textId="2CF9E88B" w:rsidR="008D479B" w:rsidRDefault="008D479B">
      <w:pPr>
        <w:spacing w:after="160" w:line="278" w:lineRule="auto"/>
        <w:rPr>
          <w:rFonts w:ascii="Times New Roman" w:eastAsia="Times New Roman" w:hAnsi="Times New Roman" w:cs="Times New Roman"/>
          <w:sz w:val="24"/>
          <w:szCs w:val="24"/>
          <w:lang w:eastAsia="es-ES"/>
        </w:rPr>
      </w:pPr>
      <w:r>
        <w:br w:type="page"/>
      </w:r>
    </w:p>
    <w:p w14:paraId="4887517E" w14:textId="77777777" w:rsidR="008D479B" w:rsidRDefault="008D479B" w:rsidP="008D479B">
      <w:pPr>
        <w:pStyle w:val="TtuloResolucin"/>
      </w:pPr>
      <w:bookmarkStart w:id="68" w:name="SENTENCIA_2023_143"/>
      <w:r>
        <w:t>SENTENCIA 143/2023, de 24 de octubre de 2023</w:t>
      </w:r>
    </w:p>
    <w:bookmarkEnd w:id="68"/>
    <w:p w14:paraId="4AB97519" w14:textId="77777777" w:rsidR="008D479B" w:rsidRDefault="008D479B" w:rsidP="008D479B">
      <w:pPr>
        <w:pStyle w:val="TtuloResolucin"/>
      </w:pPr>
      <w:r>
        <w:t>Pleno</w:t>
      </w:r>
    </w:p>
    <w:p w14:paraId="28D47C0D" w14:textId="77777777" w:rsidR="008D479B" w:rsidRDefault="008D479B" w:rsidP="008D479B">
      <w:pPr>
        <w:pStyle w:val="TtuloBOE"/>
      </w:pPr>
      <w:r>
        <w:t>(BOE núm. 286, de 30 de noviembre de 2023)</w:t>
      </w:r>
    </w:p>
    <w:p w14:paraId="55000ADF" w14:textId="77777777" w:rsidR="008D479B" w:rsidRDefault="008D479B" w:rsidP="008D479B">
      <w:pPr>
        <w:pStyle w:val="TextoNormalCentrado"/>
      </w:pPr>
      <w:r>
        <w:t>ECLI:ES:TC:2023:143</w:t>
      </w:r>
    </w:p>
    <w:p w14:paraId="10E1A3E1" w14:textId="3B58B40C" w:rsidR="008D479B" w:rsidRDefault="008D479B" w:rsidP="008D479B">
      <w:pPr>
        <w:pStyle w:val="TextoNormalCentrado"/>
      </w:pPr>
    </w:p>
    <w:p w14:paraId="27F5374A" w14:textId="77777777" w:rsidR="008D479B" w:rsidRDefault="008D479B" w:rsidP="008D479B">
      <w:pPr>
        <w:pStyle w:val="SntesisDescriptiva"/>
      </w:pPr>
      <w:r>
        <w:t>Recurso de inconstitucionalidad 874-2022. Interpuesto por más de cincuenta diputados del Grupo Parlamentario Vox en el Congreso de los Diputados en relación con diversos preceptos de la Ley de las Corts Valencianes 5/2021, de 5 de noviembre, reguladora del fondo de cooperación municipal de los municipios y entidades locales menores de la Comunitat Valenciana.</w:t>
      </w:r>
    </w:p>
    <w:p w14:paraId="6D047965" w14:textId="4BF598D6" w:rsidR="008D479B" w:rsidRDefault="008D479B" w:rsidP="008D479B">
      <w:pPr>
        <w:pStyle w:val="SntesisDescriptiva"/>
      </w:pPr>
    </w:p>
    <w:p w14:paraId="0EEE0A9C" w14:textId="77777777" w:rsidR="008D479B" w:rsidRDefault="008D479B" w:rsidP="008D479B">
      <w:pPr>
        <w:pStyle w:val="SntesisAnaltica"/>
      </w:pPr>
      <w:r>
        <w:t>Principio de autonomía local (autonomía provincial): pérdida sobrevenida de objeto del proceso constitucional referido a los preceptos legales que establecen las reglas de distribución del fondo de cooperación municipal y prevén el requerimiento al presidente de la diputación provincial para que se respeten las directrices de coordinación del plan sectorial de financiación del fondo (STC 124/2023); constitucionalidad de las restantes previsiones legales autonómicas. Votos particulares.</w:t>
      </w:r>
    </w:p>
    <w:p w14:paraId="65249076" w14:textId="58AD644F" w:rsidR="008D479B" w:rsidRDefault="008D479B" w:rsidP="008D479B">
      <w:pPr>
        <w:pStyle w:val="SntesisAnaltica"/>
      </w:pPr>
    </w:p>
    <w:p w14:paraId="739DAE3F" w14:textId="25D5B95F" w:rsidR="008D479B" w:rsidRDefault="008D479B" w:rsidP="008D479B">
      <w:pPr>
        <w:pStyle w:val="Extracto"/>
      </w:pPr>
      <w:r>
        <w:t>1.</w:t>
      </w:r>
      <w:r>
        <w:tab/>
        <w:t>La posibilidad de establecer líneas específicas del fondo de cooperación municipal, complementarias de la general, no vulnera la autonomía de las diputaciones provinciales si dichas líneas específicas se someten a las condiciones exigidas para considerar constitucional la línea general del fondo de cooperación municipal (STC 124/2023). En concreto, es preciso que dichas líneas específicas se integren en el plan sectorial anual, siguiendo el mismo proceso participativo y sin que puedan suponer una obligación financiera de las diputaciones provinciales que ponga en riesgo su autonomía presupuestaria [FJ 3].</w:t>
      </w:r>
    </w:p>
    <w:p w14:paraId="7DC0F710" w14:textId="77777777" w:rsidR="008D479B" w:rsidRDefault="008D479B" w:rsidP="008D479B">
      <w:pPr>
        <w:pStyle w:val="Extracto"/>
      </w:pPr>
    </w:p>
    <w:p w14:paraId="34E8854D" w14:textId="00CEE900" w:rsidR="008D479B" w:rsidRDefault="008D479B" w:rsidP="008D479B">
      <w:pPr>
        <w:pStyle w:val="Extracto"/>
      </w:pPr>
      <w:r>
        <w:t>2.</w:t>
      </w:r>
      <w:r>
        <w:tab/>
        <w:t>El legislador debe graduar el alcance o intensidad de la coordinación, en función de la relación entre los intereses locales y supralocales o comunitarios existente; y ello tomando en consideración la obligación de participación de las diputaciones en la dotación financiera del fondo de cooperación municipal, a concretar en cada plan sectorial anual, sin que pueda ponerse en entredicho su capacidad de decisión autónoma en materia presupuestaria [FJ 3].</w:t>
      </w:r>
    </w:p>
    <w:p w14:paraId="09867780" w14:textId="77777777" w:rsidR="008D479B" w:rsidRDefault="008D479B" w:rsidP="008D479B">
      <w:pPr>
        <w:pStyle w:val="Extracto"/>
      </w:pPr>
    </w:p>
    <w:p w14:paraId="3D23A754" w14:textId="1BD72583" w:rsidR="008D479B" w:rsidRDefault="008D479B" w:rsidP="008D479B">
      <w:pPr>
        <w:pStyle w:val="Extracto"/>
      </w:pPr>
      <w:r>
        <w:t>3.</w:t>
      </w:r>
      <w:r>
        <w:tab/>
        <w:t>No es legítima la utilización del recurso de inconstitucionalidad con la finalidad de obtener declaraciones preventivas o previsoras ante eventuales agravios (STC 36/2022) [FJ 3].</w:t>
      </w:r>
    </w:p>
    <w:p w14:paraId="0F16B272" w14:textId="77777777" w:rsidR="008D479B" w:rsidRDefault="008D479B" w:rsidP="008D479B">
      <w:pPr>
        <w:pStyle w:val="Extracto"/>
      </w:pPr>
    </w:p>
    <w:p w14:paraId="4B9B6797" w14:textId="77777777" w:rsidR="008D479B" w:rsidRDefault="008D479B" w:rsidP="008D479B">
      <w:pPr>
        <w:pStyle w:val="Extracto"/>
      </w:pPr>
    </w:p>
    <w:p w14:paraId="4033BCF2" w14:textId="77777777" w:rsidR="008D479B" w:rsidRDefault="008D479B" w:rsidP="008D479B">
      <w:pPr>
        <w:pStyle w:val="TextoNormal"/>
      </w:pPr>
      <w:r>
        <w:t>El Pleno del Tribunal Constitucional, compuesto por el magistrado don Cándido Conde-Pumpido Tourón, presidente, y las magistradas y magistrados doña Inmaculada Montalbán Huertas, don Ricardo Enríquez Sancho, don Ramón Sáez Valcárcel, don Enrique Arnaldo Alcubilla, doña Concepción Espejel Jorquera, doña María Luisa Segoviano Astaburuaga, don César Tolosa Tribiño, don Juan Carlos Campo Moreno y doña Laura Díez Bueso, ha pronunciado</w:t>
      </w:r>
    </w:p>
    <w:p w14:paraId="2E075A63" w14:textId="450A88ED" w:rsidR="008D479B" w:rsidRDefault="008D479B" w:rsidP="008D479B">
      <w:pPr>
        <w:pStyle w:val="TextoNormal"/>
      </w:pPr>
    </w:p>
    <w:p w14:paraId="65AA4A4C" w14:textId="77777777" w:rsidR="008D479B" w:rsidRDefault="008D479B" w:rsidP="008D479B">
      <w:pPr>
        <w:pStyle w:val="TextoNormalCentrado"/>
        <w:keepNext/>
      </w:pPr>
      <w:r>
        <w:t>EN NOMBRE DEL REY</w:t>
      </w:r>
    </w:p>
    <w:p w14:paraId="79D7835A" w14:textId="5BD7176B" w:rsidR="008D479B" w:rsidRDefault="008D479B" w:rsidP="008D479B">
      <w:pPr>
        <w:pStyle w:val="TextoNormalCentrado"/>
        <w:keepNext/>
      </w:pPr>
    </w:p>
    <w:p w14:paraId="4F0DDC67" w14:textId="77777777" w:rsidR="008D479B" w:rsidRDefault="008D479B" w:rsidP="008D479B">
      <w:pPr>
        <w:pStyle w:val="TextoNormalCentrado"/>
        <w:keepNext/>
      </w:pPr>
    </w:p>
    <w:p w14:paraId="7D69F1EB" w14:textId="77777777" w:rsidR="008D479B" w:rsidRDefault="008D479B" w:rsidP="008D479B">
      <w:pPr>
        <w:pStyle w:val="TextoNormal"/>
      </w:pPr>
      <w:r>
        <w:t>la siguiente</w:t>
      </w:r>
    </w:p>
    <w:p w14:paraId="48C308F8" w14:textId="7D3BE26A" w:rsidR="008D479B" w:rsidRDefault="008D479B" w:rsidP="008D479B">
      <w:pPr>
        <w:pStyle w:val="TextoNormal"/>
      </w:pPr>
    </w:p>
    <w:p w14:paraId="6E6C79EC" w14:textId="77777777" w:rsidR="008D479B" w:rsidRDefault="008D479B" w:rsidP="008D479B">
      <w:pPr>
        <w:pStyle w:val="TextoNormalCentrado"/>
        <w:keepNext/>
      </w:pPr>
      <w:r>
        <w:t>SENTENCIA</w:t>
      </w:r>
    </w:p>
    <w:p w14:paraId="61626E3D" w14:textId="182C169E" w:rsidR="008D479B" w:rsidRDefault="008D479B" w:rsidP="008D479B">
      <w:pPr>
        <w:pStyle w:val="TextoNormalCentrado"/>
        <w:keepNext/>
      </w:pPr>
    </w:p>
    <w:p w14:paraId="188FEFA2" w14:textId="77777777" w:rsidR="008D479B" w:rsidRDefault="008D479B" w:rsidP="008D479B">
      <w:pPr>
        <w:pStyle w:val="TextoNormal"/>
      </w:pPr>
      <w:r>
        <w:t>En el recurso de inconstitucionalidad núm. 874-2022 promovido por más de cincuenta diputados del Grupo Parlamentario Vox en el Congreso de los Diputados, contra los arts. 2.2; 5.1, 2, 5 y 6; 7 a); 8; 9.1; 11.1 d) y 2 e) tercer guion y la disposición final primera de la Ley de las Corts Valencianes 5/2021, de 5 de noviembre, reguladora del fondo de cooperación municipal de los municipios y entidades locales menores de la Comunitat Valenciana. Han comparecido y formulado alegaciones el letrado de las Corts Valencianes y la Abogacía General de la Generalitat Valenciana. Ha sido ponente el magistrado don Cándido Conde-Pumpido Tourón.</w:t>
      </w:r>
    </w:p>
    <w:p w14:paraId="741001AB" w14:textId="4D56DE03" w:rsidR="008D479B" w:rsidRDefault="008D479B" w:rsidP="008D479B">
      <w:pPr>
        <w:pStyle w:val="TextoNormal"/>
      </w:pPr>
    </w:p>
    <w:p w14:paraId="3D581AB1" w14:textId="77777777" w:rsidR="008D479B" w:rsidRDefault="008D479B" w:rsidP="008D479B">
      <w:pPr>
        <w:pStyle w:val="TextoNormalNegritaCentrado"/>
        <w:keepNext/>
      </w:pPr>
      <w:r>
        <w:t>I. Antecedentes</w:t>
      </w:r>
    </w:p>
    <w:p w14:paraId="19B260C5" w14:textId="6B372374" w:rsidR="008D479B" w:rsidRDefault="008D479B" w:rsidP="008D479B">
      <w:pPr>
        <w:pStyle w:val="TextoNormalNegritaCentrado"/>
        <w:keepNext/>
      </w:pPr>
    </w:p>
    <w:p w14:paraId="082E7DE9" w14:textId="77777777" w:rsidR="008D479B" w:rsidRDefault="008D479B" w:rsidP="008D479B">
      <w:pPr>
        <w:pStyle w:val="TextoNormal"/>
      </w:pPr>
      <w:r w:rsidRPr="008D479B">
        <w:rPr>
          <w:rStyle w:val="NumeroAFNegritaCaracter"/>
        </w:rPr>
        <w:t>1</w:t>
      </w:r>
      <w:r>
        <w:t>. Mediante escrito registrado en este tribunal el 9 de febrero de 2022, el procurador de los tribunales don Antonio Ortega Fuentes, en nombre y representación de cincuenta y dos diputados y diputadas del Grupo Parlamentario Vox en el Congreso de los Diputados, y don Juan José Aizcorbe Torra, en su condición de comisionado, ha interpuesto recurso de inconstitucionalidad contra los arts. 2.2; 5.1, 2, 5 y 6; 7 a); 8; 9.1; 11.1 d) y 2 e) tercer guion y la disposición final primera de la Ley de las Corts Valencianes 5/2021, de 5 de noviembre, reguladora del fondo de cooperación municipal de los municipios y entidades locales menores de la Comunitat Valenciana (en adelante, Ley 5/2021), publicada en el “Diari Oficial de la Generalitat Valenciana” núm. 9212, de 10 de noviembre de 2021, y en el “Boletín Oficial del Estado” núm. 312, de 29 de diciembre de 2021.</w:t>
      </w:r>
    </w:p>
    <w:p w14:paraId="0E89C2B6" w14:textId="77777777" w:rsidR="008D479B" w:rsidRDefault="008D479B" w:rsidP="008D479B">
      <w:pPr>
        <w:pStyle w:val="TextoNormal"/>
      </w:pPr>
    </w:p>
    <w:p w14:paraId="47A5B5FD" w14:textId="77777777" w:rsidR="008D479B" w:rsidRDefault="008D479B" w:rsidP="008D479B">
      <w:pPr>
        <w:pStyle w:val="TextoNormal"/>
      </w:pPr>
      <w:r>
        <w:t>Los preceptos impugnados son del siguiente tenor:</w:t>
      </w:r>
    </w:p>
    <w:p w14:paraId="2956BF44" w14:textId="77777777" w:rsidR="008D479B" w:rsidRDefault="008D479B" w:rsidP="008D479B">
      <w:pPr>
        <w:pStyle w:val="TextoNormal"/>
      </w:pPr>
    </w:p>
    <w:p w14:paraId="5E7A4669" w14:textId="77777777" w:rsidR="008D479B" w:rsidRDefault="008D479B" w:rsidP="008D479B">
      <w:pPr>
        <w:pStyle w:val="TextoNormal"/>
      </w:pPr>
      <w:r>
        <w:t>“Artículo 2. Fines y principios del fondo de cooperación municipal</w:t>
      </w:r>
    </w:p>
    <w:p w14:paraId="606D2BB3" w14:textId="77777777" w:rsidR="008D479B" w:rsidRDefault="008D479B" w:rsidP="008D479B">
      <w:pPr>
        <w:pStyle w:val="TextoNormal"/>
      </w:pPr>
    </w:p>
    <w:p w14:paraId="42CB7055" w14:textId="77777777" w:rsidR="008D479B" w:rsidRDefault="008D479B" w:rsidP="008D479B">
      <w:pPr>
        <w:pStyle w:val="TextoNormal"/>
      </w:pPr>
      <w:r>
        <w:t>[…]</w:t>
      </w:r>
    </w:p>
    <w:p w14:paraId="74A9C0ED" w14:textId="77777777" w:rsidR="008D479B" w:rsidRDefault="008D479B" w:rsidP="008D479B">
      <w:pPr>
        <w:pStyle w:val="TextoNormal"/>
      </w:pPr>
    </w:p>
    <w:p w14:paraId="4D438284" w14:textId="77777777" w:rsidR="008D479B" w:rsidRDefault="008D479B" w:rsidP="008D479B">
      <w:pPr>
        <w:pStyle w:val="TextoNormal"/>
      </w:pPr>
      <w:r>
        <w:t>2. Se declara de interés general de la Comunitat Valenciana, de conformidad con el apartado 3 del artículo 66 del Estatuto de Autonomía de la Comunitat Valenciana, las funciones de asistencia y cooperación jurídica, económica y técnica de las diputaciones provinciales a los municipios, al objeto de la participación de las diputaciones provinciales en la financiación básica de los municipios de la Comunitat Valenciana a través del fondo de cooperación municipal de la Comunitat Valenciana”.</w:t>
      </w:r>
    </w:p>
    <w:p w14:paraId="4BF27769" w14:textId="77777777" w:rsidR="008D479B" w:rsidRDefault="008D479B" w:rsidP="008D479B">
      <w:pPr>
        <w:pStyle w:val="TextoNormal"/>
      </w:pPr>
    </w:p>
    <w:p w14:paraId="5180EA10" w14:textId="77777777" w:rsidR="008D479B" w:rsidRDefault="008D479B" w:rsidP="008D479B">
      <w:pPr>
        <w:pStyle w:val="TextoNormal"/>
      </w:pPr>
      <w:r>
        <w:t>“Artículo 5. El plan sectorial de financiación básica del fondo de cooperación municipal</w:t>
      </w:r>
    </w:p>
    <w:p w14:paraId="75B2A1F0" w14:textId="77777777" w:rsidR="008D479B" w:rsidRDefault="008D479B" w:rsidP="008D479B">
      <w:pPr>
        <w:pStyle w:val="TextoNormal"/>
      </w:pPr>
    </w:p>
    <w:p w14:paraId="67A2FE77" w14:textId="77777777" w:rsidR="008D479B" w:rsidRDefault="008D479B" w:rsidP="008D479B">
      <w:pPr>
        <w:pStyle w:val="TextoNormal"/>
      </w:pPr>
      <w:r>
        <w:t>1. Con la obligación de fijar un sistema estable y permanente de financiación de la Generalitat y las diputaciones provinciales a los municipios y las entidades locales menores que prestan servicios públicos esenciales desde la proximidad, y con el fin de garantizar la cobertura de las necesidades básicas de la ciudadanía en el marco de sus competencias, el Consell de la Generalitat, como órgano de coordinación, deberá aprobar durante el primer semestre de cada ejercicio, con la participación de la comisión de colaboración y coordinación prevista en esta ley, el plan sectorial de financiación básica del fondo de cooperación municipal para el siguiente ejercicio.</w:t>
      </w:r>
    </w:p>
    <w:p w14:paraId="3CA842F1" w14:textId="77777777" w:rsidR="008D479B" w:rsidRDefault="008D479B" w:rsidP="008D479B">
      <w:pPr>
        <w:pStyle w:val="TextoNormal"/>
      </w:pPr>
    </w:p>
    <w:p w14:paraId="4847574E" w14:textId="77777777" w:rsidR="008D479B" w:rsidRDefault="008D479B" w:rsidP="008D479B">
      <w:pPr>
        <w:pStyle w:val="TextoNormal"/>
      </w:pPr>
      <w:r>
        <w:t>2. El plan sectorial de financiación básica del fondo de cooperación municipal, en el que participarán las diputaciones provinciales con la finalidad de armonizar los intereses públicos afectados a través de la comisión de colaboración y coordinación del fondo de cooperación municipal, contendrá, conforme a los datos oficiales a uno de enero del ejercicio en que se apruebe dicho plan, un análisis de la situación de financiación de los municipios y las entidades locales menores de la Comunitat Valenciana, la fijación de los objetivos y de las prioridades estratégicas de esta acción pública, la determinación de las cuantías globales a aportar por la Generalitat y cada diputación provincial y el resto de directrices de coordinación necesarias que se puedan prever reglamentariamente.</w:t>
      </w:r>
    </w:p>
    <w:p w14:paraId="69F4B552" w14:textId="77777777" w:rsidR="008D479B" w:rsidRDefault="008D479B" w:rsidP="008D479B">
      <w:pPr>
        <w:pStyle w:val="TextoNormal"/>
      </w:pPr>
    </w:p>
    <w:p w14:paraId="1926CD85" w14:textId="77777777" w:rsidR="008D479B" w:rsidRDefault="008D479B" w:rsidP="008D479B">
      <w:pPr>
        <w:pStyle w:val="TextoNormal"/>
      </w:pPr>
      <w:r>
        <w:t>[…]</w:t>
      </w:r>
    </w:p>
    <w:p w14:paraId="255FB38F" w14:textId="77777777" w:rsidR="008D479B" w:rsidRDefault="008D479B" w:rsidP="008D479B">
      <w:pPr>
        <w:pStyle w:val="TextoNormal"/>
      </w:pPr>
    </w:p>
    <w:p w14:paraId="03258838" w14:textId="77777777" w:rsidR="008D479B" w:rsidRDefault="008D479B" w:rsidP="008D479B">
      <w:pPr>
        <w:pStyle w:val="TextoNormal"/>
      </w:pPr>
      <w:r>
        <w:t>5. Las diputaciones provinciales, antes de la aprobación de sus proyectos de presupuesto, los pondrán en conocimiento del departamento competente en régimen local, que, en un plazo de quince días, podrá manifestar las objeciones respecto a aquellas previsiones presupuestarias que supongan infracción de las directrices de coordinación.</w:t>
      </w:r>
    </w:p>
    <w:p w14:paraId="373F6290" w14:textId="77777777" w:rsidR="008D479B" w:rsidRDefault="008D479B" w:rsidP="008D479B">
      <w:pPr>
        <w:pStyle w:val="TextoNormal"/>
      </w:pPr>
    </w:p>
    <w:p w14:paraId="2185A4F5" w14:textId="77777777" w:rsidR="008D479B" w:rsidRDefault="008D479B" w:rsidP="008D479B">
      <w:pPr>
        <w:pStyle w:val="TextoNormal"/>
      </w:pPr>
      <w:r>
        <w:t>Transcurrido dicho plazo sin que se manifiesten objeciones u observaciones, se entenderá evacuado dicho trámite, en el sentido de que el departamento competente en régimen local no aprecia infracción de las directrices de coordinación.</w:t>
      </w:r>
    </w:p>
    <w:p w14:paraId="2BBC103E" w14:textId="77777777" w:rsidR="008D479B" w:rsidRDefault="008D479B" w:rsidP="008D479B">
      <w:pPr>
        <w:pStyle w:val="TextoNormal"/>
      </w:pPr>
    </w:p>
    <w:p w14:paraId="57C5DEAD" w14:textId="77777777" w:rsidR="008D479B" w:rsidRDefault="008D479B" w:rsidP="008D479B">
      <w:pPr>
        <w:pStyle w:val="TextoNormal"/>
      </w:pPr>
      <w:r>
        <w:t>Si se produjeran reparos, en los términos del artículo anterior, se pondrán de manifiesto a las diputaciones interesadas para que sean tenidas en cuenta en la aprobación de sus proyectos de presupuesto.</w:t>
      </w:r>
    </w:p>
    <w:p w14:paraId="5A8391E0" w14:textId="77777777" w:rsidR="008D479B" w:rsidRDefault="008D479B" w:rsidP="008D479B">
      <w:pPr>
        <w:pStyle w:val="TextoNormal"/>
      </w:pPr>
    </w:p>
    <w:p w14:paraId="328BE056" w14:textId="77777777" w:rsidR="008D479B" w:rsidRDefault="008D479B" w:rsidP="008D479B">
      <w:pPr>
        <w:pStyle w:val="TextoNormal"/>
      </w:pPr>
      <w:r>
        <w:t>6. Sin perjuicio de las facultades de impugnación atribuidas a la comunidad autónoma por la legislación vigente en relación con los actos y los acuerdos de las diputaciones provinciales que infrinjan las normas y las obligaciones derivadas de esta ley, el Consell, en aplicación del artículo 66 del Estatuto de Autonomía de la Comunitat Valenciana, podrá requerir a la persona titular de la presidencia de la diputación de que se trate, cuando advierta que dichas infracciones se han cometido, a que respeten las directrices de coordinación, con indicación de las rectificaciones o subsanaciones que procedan”.</w:t>
      </w:r>
    </w:p>
    <w:p w14:paraId="59B5FFC8" w14:textId="77777777" w:rsidR="008D479B" w:rsidRDefault="008D479B" w:rsidP="008D479B">
      <w:pPr>
        <w:pStyle w:val="TextoNormal"/>
      </w:pPr>
    </w:p>
    <w:p w14:paraId="663875D2" w14:textId="77777777" w:rsidR="008D479B" w:rsidRDefault="008D479B" w:rsidP="008D479B">
      <w:pPr>
        <w:pStyle w:val="TextoNormal"/>
      </w:pPr>
      <w:r>
        <w:t>“Artículo 7. Reglas de distribución</w:t>
      </w:r>
    </w:p>
    <w:p w14:paraId="4B935912" w14:textId="77777777" w:rsidR="008D479B" w:rsidRDefault="008D479B" w:rsidP="008D479B">
      <w:pPr>
        <w:pStyle w:val="TextoNormal"/>
      </w:pPr>
    </w:p>
    <w:p w14:paraId="34D15DD3" w14:textId="77777777" w:rsidR="008D479B" w:rsidRDefault="008D479B" w:rsidP="008D479B">
      <w:pPr>
        <w:pStyle w:val="TextoNormal"/>
      </w:pPr>
      <w:r>
        <w:t>La asignación de los recursos económicos que correspondan a cada entidad beneficiaria se efectuará mediante criterios objetivos que serán objeto de desarrollo reglamentario mediante decreto del Consell, de conformidad con las siguientes reglas de distribución:</w:t>
      </w:r>
    </w:p>
    <w:p w14:paraId="7EC98B79" w14:textId="77777777" w:rsidR="008D479B" w:rsidRDefault="008D479B" w:rsidP="008D479B">
      <w:pPr>
        <w:pStyle w:val="TextoNormal"/>
      </w:pPr>
    </w:p>
    <w:p w14:paraId="45ACA472" w14:textId="77777777" w:rsidR="008D479B" w:rsidRDefault="008D479B" w:rsidP="008D479B">
      <w:pPr>
        <w:pStyle w:val="TextoNormal"/>
      </w:pPr>
      <w:r>
        <w:t>a) Anualmente el departamento competente en administración local asignará una cantidad fija por cada uno de los municipios y las entidades locales menores.</w:t>
      </w:r>
    </w:p>
    <w:p w14:paraId="6B75ED44" w14:textId="77777777" w:rsidR="008D479B" w:rsidRDefault="008D479B" w:rsidP="008D479B">
      <w:pPr>
        <w:pStyle w:val="TextoNormal"/>
      </w:pPr>
    </w:p>
    <w:p w14:paraId="2515A8FF" w14:textId="77777777" w:rsidR="008D479B" w:rsidRDefault="008D479B" w:rsidP="008D479B">
      <w:pPr>
        <w:pStyle w:val="TextoNormal"/>
      </w:pPr>
      <w:r>
        <w:t>[…]”.</w:t>
      </w:r>
    </w:p>
    <w:p w14:paraId="02C48121" w14:textId="77777777" w:rsidR="008D479B" w:rsidRDefault="008D479B" w:rsidP="008D479B">
      <w:pPr>
        <w:pStyle w:val="TextoNormal"/>
      </w:pPr>
    </w:p>
    <w:p w14:paraId="0AFF5E44" w14:textId="77777777" w:rsidR="008D479B" w:rsidRDefault="008D479B" w:rsidP="008D479B">
      <w:pPr>
        <w:pStyle w:val="TextoNormal"/>
      </w:pPr>
      <w:r>
        <w:t>“Artículo 8. Participación de las diputaciones provinciales</w:t>
      </w:r>
    </w:p>
    <w:p w14:paraId="24FB1A32" w14:textId="77777777" w:rsidR="008D479B" w:rsidRDefault="008D479B" w:rsidP="008D479B">
      <w:pPr>
        <w:pStyle w:val="TextoNormal"/>
      </w:pPr>
    </w:p>
    <w:p w14:paraId="348C7D56" w14:textId="77777777" w:rsidR="008D479B" w:rsidRDefault="008D479B" w:rsidP="008D479B">
      <w:pPr>
        <w:pStyle w:val="TextoNormal"/>
      </w:pPr>
      <w:r>
        <w:t>1. Las diputaciones de Alicante, Castellón y Valencia, como entidades locales de la Comunitat Valenciana, en el ejercicio de sus competencias propias, participarán, a través de sus presupuestos anuales, en el fondo de cooperación municipal incondicionado de la Comunitat Valenciana, mediante las aportaciones dinerarias previstas en el artículo 2.2 de la Ley 38/2003, de 17 de noviembre, general de subvenciones.</w:t>
      </w:r>
    </w:p>
    <w:p w14:paraId="002C068B" w14:textId="77777777" w:rsidR="008D479B" w:rsidRDefault="008D479B" w:rsidP="008D479B">
      <w:pPr>
        <w:pStyle w:val="TextoNormal"/>
      </w:pPr>
    </w:p>
    <w:p w14:paraId="40185EA9" w14:textId="77777777" w:rsidR="008D479B" w:rsidRDefault="008D479B" w:rsidP="008D479B">
      <w:pPr>
        <w:pStyle w:val="TextoNormal"/>
      </w:pPr>
      <w:r>
        <w:t>2. Las diputaciones provinciales, o sus administraciones públicas dependientes, proveerán de los recursos propios y adecuados a los objetivos del fondo las dotaciones aprobadas en el plan sectorial de financiación básica del fondo de cooperación municipal para transferir a los municipios y las entidades locales menores de su provincia, distribuyendo las cuantías correspondientes en su respectivo ámbito provincial y utilizando las mismas reglas de distribución, de conformidad con el principio de equidad territorial, con el objeto de garantizar que toda la ciudadanía reciba un nivel mínimo de prestaciones en los servicios públicos locales”.</w:t>
      </w:r>
    </w:p>
    <w:p w14:paraId="153855D3" w14:textId="77777777" w:rsidR="008D479B" w:rsidRDefault="008D479B" w:rsidP="008D479B">
      <w:pPr>
        <w:pStyle w:val="TextoNormal"/>
      </w:pPr>
    </w:p>
    <w:p w14:paraId="3BEB63CA" w14:textId="77777777" w:rsidR="008D479B" w:rsidRDefault="008D479B" w:rsidP="008D479B">
      <w:pPr>
        <w:pStyle w:val="TextoNormal"/>
      </w:pPr>
      <w:r>
        <w:t>“Artículo 9. Líneas específicas del fondo de cooperación municipal</w:t>
      </w:r>
    </w:p>
    <w:p w14:paraId="10E55E85" w14:textId="77777777" w:rsidR="008D479B" w:rsidRDefault="008D479B" w:rsidP="008D479B">
      <w:pPr>
        <w:pStyle w:val="TextoNormal"/>
      </w:pPr>
    </w:p>
    <w:p w14:paraId="5D9806C4" w14:textId="77777777" w:rsidR="008D479B" w:rsidRDefault="008D479B" w:rsidP="008D479B">
      <w:pPr>
        <w:pStyle w:val="TextoNormal"/>
      </w:pPr>
      <w:r>
        <w:t>1. Con carácter complementario a la línea general del fondo de cooperación municipal regulada mediante esta ley, se podrán establecer mediante decreto otras líneas específicas de este fondo de cooperación municipal, que deberán tener naturaleza incondicionada y no finalista, con objeto de financiar globalmente las actividades y los servicios de las entidades beneficiarias. Estas líneas específicas serán compatibles con la percepción de las aportaciones de la línea general del fondo de cooperación municipal”.</w:t>
      </w:r>
    </w:p>
    <w:p w14:paraId="7437F98A" w14:textId="77777777" w:rsidR="008D479B" w:rsidRDefault="008D479B" w:rsidP="008D479B">
      <w:pPr>
        <w:pStyle w:val="TextoNormal"/>
      </w:pPr>
    </w:p>
    <w:p w14:paraId="139442E5" w14:textId="77777777" w:rsidR="008D479B" w:rsidRDefault="008D479B" w:rsidP="008D479B">
      <w:pPr>
        <w:pStyle w:val="TextoNormal"/>
      </w:pPr>
      <w:r>
        <w:t>“Artículo 11. Composición y funcionamiento de la comisión de colaboración y coordinación</w:t>
      </w:r>
    </w:p>
    <w:p w14:paraId="066809A5" w14:textId="77777777" w:rsidR="008D479B" w:rsidRDefault="008D479B" w:rsidP="008D479B">
      <w:pPr>
        <w:pStyle w:val="TextoNormal"/>
      </w:pPr>
    </w:p>
    <w:p w14:paraId="122390F6" w14:textId="77777777" w:rsidR="008D479B" w:rsidRDefault="008D479B" w:rsidP="008D479B">
      <w:pPr>
        <w:pStyle w:val="TextoNormal"/>
      </w:pPr>
      <w:r>
        <w:t>1. La comisión de colaboración y coordinación del fondo de cooperación municipal de la Comunitat Valenciana se integra, en primer lugar, por los siguientes miembros:</w:t>
      </w:r>
    </w:p>
    <w:p w14:paraId="48853C39" w14:textId="77777777" w:rsidR="008D479B" w:rsidRDefault="008D479B" w:rsidP="008D479B">
      <w:pPr>
        <w:pStyle w:val="TextoNormal"/>
      </w:pPr>
    </w:p>
    <w:p w14:paraId="33369F0C" w14:textId="77777777" w:rsidR="008D479B" w:rsidRDefault="008D479B" w:rsidP="008D479B">
      <w:pPr>
        <w:pStyle w:val="TextoNormal"/>
      </w:pPr>
      <w:r>
        <w:t>[…]</w:t>
      </w:r>
    </w:p>
    <w:p w14:paraId="436AFC91" w14:textId="77777777" w:rsidR="008D479B" w:rsidRDefault="008D479B" w:rsidP="008D479B">
      <w:pPr>
        <w:pStyle w:val="TextoNormal"/>
      </w:pPr>
    </w:p>
    <w:p w14:paraId="2E44A949" w14:textId="77777777" w:rsidR="008D479B" w:rsidRDefault="008D479B" w:rsidP="008D479B">
      <w:pPr>
        <w:pStyle w:val="TextoNormal"/>
      </w:pPr>
      <w:r>
        <w:t>d) Vicepresidencias terceras: las personas titulares de las presidencias de las diputaciones provinciales, o las personas que designen para su sustitución.</w:t>
      </w:r>
    </w:p>
    <w:p w14:paraId="13F8EA29" w14:textId="77777777" w:rsidR="008D479B" w:rsidRDefault="008D479B" w:rsidP="008D479B">
      <w:pPr>
        <w:pStyle w:val="TextoNormal"/>
      </w:pPr>
    </w:p>
    <w:p w14:paraId="47ED0C66" w14:textId="77777777" w:rsidR="008D479B" w:rsidRDefault="008D479B" w:rsidP="008D479B">
      <w:pPr>
        <w:pStyle w:val="TextoNormal"/>
      </w:pPr>
      <w:r>
        <w:t>2. Asimismo, también se integran como personas miembros de esta comisión las siguientes vocalías:</w:t>
      </w:r>
    </w:p>
    <w:p w14:paraId="0DDBA67B" w14:textId="77777777" w:rsidR="008D479B" w:rsidRDefault="008D479B" w:rsidP="008D479B">
      <w:pPr>
        <w:pStyle w:val="TextoNormal"/>
      </w:pPr>
    </w:p>
    <w:p w14:paraId="7CD5BF82" w14:textId="77777777" w:rsidR="008D479B" w:rsidRDefault="008D479B" w:rsidP="008D479B">
      <w:pPr>
        <w:pStyle w:val="TextoNormal"/>
      </w:pPr>
      <w:r>
        <w:t>[…]</w:t>
      </w:r>
    </w:p>
    <w:p w14:paraId="186711B7" w14:textId="77777777" w:rsidR="008D479B" w:rsidRDefault="008D479B" w:rsidP="008D479B">
      <w:pPr>
        <w:pStyle w:val="TextoNormal"/>
      </w:pPr>
    </w:p>
    <w:p w14:paraId="29F14B1A" w14:textId="77777777" w:rsidR="008D479B" w:rsidRDefault="008D479B" w:rsidP="008D479B">
      <w:pPr>
        <w:pStyle w:val="TextoNormal"/>
      </w:pPr>
      <w:r>
        <w:t>e) Por parte de la Federación Valenciana de Municipios y Provincias:</w:t>
      </w:r>
    </w:p>
    <w:p w14:paraId="6F80400F" w14:textId="77777777" w:rsidR="008D479B" w:rsidRDefault="008D479B" w:rsidP="008D479B">
      <w:pPr>
        <w:pStyle w:val="TextoNormal"/>
      </w:pPr>
    </w:p>
    <w:p w14:paraId="2A80E382" w14:textId="77777777" w:rsidR="008D479B" w:rsidRDefault="008D479B" w:rsidP="008D479B">
      <w:pPr>
        <w:pStyle w:val="TextoNormal"/>
      </w:pPr>
      <w:r>
        <w:t>[…]</w:t>
      </w:r>
    </w:p>
    <w:p w14:paraId="232A7CE6" w14:textId="77777777" w:rsidR="008D479B" w:rsidRDefault="008D479B" w:rsidP="008D479B">
      <w:pPr>
        <w:pStyle w:val="TextoNormal"/>
      </w:pPr>
    </w:p>
    <w:p w14:paraId="7A0C98FB" w14:textId="77777777" w:rsidR="008D479B" w:rsidRDefault="008D479B" w:rsidP="008D479B">
      <w:pPr>
        <w:pStyle w:val="TextoNormal"/>
      </w:pPr>
      <w:r>
        <w:t>– Una persona representante y designada por cada una de las diputaciones provinciales, que ostente las responsabilidades en materia de hacienda”.</w:t>
      </w:r>
    </w:p>
    <w:p w14:paraId="0516891A" w14:textId="77777777" w:rsidR="008D479B" w:rsidRDefault="008D479B" w:rsidP="008D479B">
      <w:pPr>
        <w:pStyle w:val="TextoNormal"/>
      </w:pPr>
    </w:p>
    <w:p w14:paraId="656F2FE7" w14:textId="77777777" w:rsidR="008D479B" w:rsidRDefault="008D479B" w:rsidP="008D479B">
      <w:pPr>
        <w:pStyle w:val="TextoNormal"/>
      </w:pPr>
      <w:r>
        <w:t>“Disposición final primera. Rango reglamentario</w:t>
      </w:r>
    </w:p>
    <w:p w14:paraId="54ABE825" w14:textId="77777777" w:rsidR="008D479B" w:rsidRDefault="008D479B" w:rsidP="008D479B">
      <w:pPr>
        <w:pStyle w:val="TextoNormal"/>
      </w:pPr>
    </w:p>
    <w:p w14:paraId="390EDC76" w14:textId="61F5AFFA" w:rsidR="008D479B" w:rsidRDefault="008D479B" w:rsidP="008D479B">
      <w:pPr>
        <w:pStyle w:val="TextoNormal"/>
      </w:pPr>
      <w:r>
        <w:t>La composición de la comisión de colaboración y coordinación del fondo de cooperación municipal de la Comunitat Valenciana, que se regula en el artículo 11, es de rango reglamentario”.</w:t>
      </w:r>
    </w:p>
    <w:p w14:paraId="5346A678" w14:textId="77777777" w:rsidR="008D479B" w:rsidRDefault="008D479B" w:rsidP="008D479B">
      <w:pPr>
        <w:pStyle w:val="TextoNormal"/>
      </w:pPr>
    </w:p>
    <w:p w14:paraId="0EEE79FE" w14:textId="77777777" w:rsidR="008D479B" w:rsidRDefault="008D479B" w:rsidP="008D479B">
      <w:pPr>
        <w:pStyle w:val="TextoNormal"/>
      </w:pPr>
      <w:r w:rsidRPr="008D479B">
        <w:rPr>
          <w:rStyle w:val="NumeroAFNegritaCaracter"/>
        </w:rPr>
        <w:t>2</w:t>
      </w:r>
      <w:r>
        <w:t>. Los motivos que fundamentan el recurso de inconstitucionalidad, sucintamente expuestos, son los siguientes:</w:t>
      </w:r>
    </w:p>
    <w:p w14:paraId="1366A336" w14:textId="77777777" w:rsidR="008D479B" w:rsidRDefault="008D479B" w:rsidP="008D479B">
      <w:pPr>
        <w:pStyle w:val="TextoNormal"/>
      </w:pPr>
    </w:p>
    <w:p w14:paraId="0DB512BC" w14:textId="77777777" w:rsidR="008D479B" w:rsidRDefault="008D479B" w:rsidP="008D479B">
      <w:pPr>
        <w:pStyle w:val="TextoNormal"/>
      </w:pPr>
      <w:r>
        <w:t>a) La demanda comienza exponiendo el contenido del preámbulo de la Ley 5/2021 e identificando cuáles son los preceptos objeto de impugnación. Los recurrentes señalan, con carácter general, que los mismos “vulneran la garantía constitucional de la autonomía provincial reconocida en los arts. 137 CE y 141 CE, así como la configuración legal que de esa autonomía ha realizado el legislador básico estatal en los arts. 7.2, 10.2, 36.1 y 59 de la Ley 7/1985, de 2 de abril, reguladora de las bases del régimen local (LBRL). Igualmente se considera vulnerada la autonomía y la suficiencia financiera de las diputaciones provinciales recogida en el art. 142 CE”.</w:t>
      </w:r>
    </w:p>
    <w:p w14:paraId="6CBD3E21" w14:textId="77777777" w:rsidR="008D479B" w:rsidRDefault="008D479B" w:rsidP="008D479B">
      <w:pPr>
        <w:pStyle w:val="TextoNormal"/>
      </w:pPr>
    </w:p>
    <w:p w14:paraId="04DB1C1E" w14:textId="77777777" w:rsidR="008D479B" w:rsidRDefault="008D479B" w:rsidP="008D479B">
      <w:pPr>
        <w:pStyle w:val="TextoNormal"/>
      </w:pPr>
      <w:r>
        <w:t>b) A continuación, la demanda sintetiza la doctrina constitucional sobre el significado y alcance de la autonomía local, en especial la autonomía y suficiencia financiera de las diputaciones provinciales, basándose, fundamentalmente, en lo expuesto en la STC 82/2020, de 15 de julio. A la luz de la misma, sostienen que “a la hora de asignar o suprimir competencias locales al amparo de sus atribuciones estatutarias, la comunidad autónoma debe respetar las bases del régimen local [SSTC 214/1989, FJ 3 a); 159/2001, FJ 4, 121/2012, de 5 de junio, FJ 7], además de la garantía constitucional de la autonomía local y la regulación que a este respecto pueda eventualmente incluir su propio estatuto de autonomía, salvo que fuera incompatible con aquellas bases (SSTC 31/2010, FJ 36; 103/2013, FJ 4)” (FJ 5). Recuerdan que, igualmente, se reconoce la competencia autonómica para coordinar las diputaciones provinciales, estableciendo una serie de condiciones para su ejercicio, dada la posible afectación que dicha coordinación puede suponer a la capacidad de decisión de estas en un ámbito que les ha sido atribuido legalmente (STC 82/2020, FJ 6).</w:t>
      </w:r>
    </w:p>
    <w:p w14:paraId="75C33750" w14:textId="77777777" w:rsidR="008D479B" w:rsidRDefault="008D479B" w:rsidP="008D479B">
      <w:pPr>
        <w:pStyle w:val="TextoNormal"/>
      </w:pPr>
    </w:p>
    <w:p w14:paraId="048BA3E4" w14:textId="77777777" w:rsidR="008D479B" w:rsidRDefault="008D479B" w:rsidP="008D479B">
      <w:pPr>
        <w:pStyle w:val="TextoNormal"/>
      </w:pPr>
      <w:r>
        <w:t>Los recurrentes derivan de la citada doctrina constitucional las siguientes conclusiones: (i) la capacidad de intervención de los distintos entes locales en los asuntos que les afectan debe ser tanto más relevante y decisiva cuanto mayor sea el saldo favorable a sus intereses en un determinado ámbito; y (ii) el legislador sectorial, atendiendo, en este caso, a intereses de alcance supralocal, puede conferir a instancias políticas supramunicipales (por ejemplo, cabildos, consejos insulares, diputaciones o comunidades autónomas) mecanismos de intervención sobre el ámbito competencial local que limiten la autonomía municipal [STC 107/2017, de 21 de septiembre, FJ 3 c)], o en su caso que limiten la autonomía provincial, pero siempre que la previsión de tales mecanismos se condicione al cumplimiento de una serie de condiciones y requisitos.</w:t>
      </w:r>
    </w:p>
    <w:p w14:paraId="3738158F" w14:textId="77777777" w:rsidR="008D479B" w:rsidRDefault="008D479B" w:rsidP="008D479B">
      <w:pPr>
        <w:pStyle w:val="TextoNormal"/>
      </w:pPr>
    </w:p>
    <w:p w14:paraId="0CC5CEEB" w14:textId="77777777" w:rsidR="008D479B" w:rsidRDefault="008D479B" w:rsidP="008D479B">
      <w:pPr>
        <w:pStyle w:val="TextoNormal"/>
      </w:pPr>
      <w:r>
        <w:t>En lo que respecta a la facultad de coordinación de las actividades de los entes locales por el Estado o las comunidades autónomas [que, en el caso de la Comunitat Valenciana, viene prevista en el artículo 66.3 del Estatuto de Autonomía de la Comunitat Valenciana (EAV)], recuerdan los recurrentes que, según este tribunal, dicha facultad “se orienta a flexibilizar y prevenir disfunciones derivadas del propio sistema de distribución de competencias, aunque sin alterar, en ninguno de los casos la titularidad y el ejercicio de las competencias propias de los entes en relación” (STC 82/2020). Además, existen ciertos límites a la facultad de coordinación por posible afectación de la autonomía local que se traducen en una doble exigencia constitucional de predeterminación (STC 11/2016, de 1 de febrero) y proporcionalidad (STC 154/2015, de 9 de julio).</w:t>
      </w:r>
    </w:p>
    <w:p w14:paraId="5DB2B41A" w14:textId="77777777" w:rsidR="008D479B" w:rsidRDefault="008D479B" w:rsidP="008D479B">
      <w:pPr>
        <w:pStyle w:val="TextoNormal"/>
      </w:pPr>
    </w:p>
    <w:p w14:paraId="2B69D686" w14:textId="77777777" w:rsidR="008D479B" w:rsidRDefault="008D479B" w:rsidP="008D479B">
      <w:pPr>
        <w:pStyle w:val="TextoNormal"/>
      </w:pPr>
      <w:r>
        <w:t>Con cita nuevamente de la STC 82/2020, FJ 7, la demanda expone que la autonomía y suficiencia financiera local presenta dos vertientes: principio de suficiencia de ingresos (responsabilidad del Estado y las comunidades autónomas) y autonomía de gasto. En cuanto a la primera, en relación con las diputaciones provinciales, sirve para garantizar que estas puedan cumplir adecuadamente con su función nuclear de asistencia y cooperación económica a los municipios, especialmente, los de menor capacidad económica y de gestión. Por su parte, la autonomía de gasto se ha de entender como la capacidad genérica de determinar y ordenar, bajo la propia responsabilidad, los gastos necesarios para el ejercicio de sus competencias, pudiendo ser restringida por el Estado y las comunidades autónomas, pero siempre que dicha restricción se lleve a cabo dentro de los límites establecidos en el bloque de la constitucionalidad (STC 109/1998, de 21 de mayo, FJ 10).</w:t>
      </w:r>
    </w:p>
    <w:p w14:paraId="3B31EB1F" w14:textId="77777777" w:rsidR="008D479B" w:rsidRDefault="008D479B" w:rsidP="008D479B">
      <w:pPr>
        <w:pStyle w:val="TextoNormal"/>
      </w:pPr>
    </w:p>
    <w:p w14:paraId="3DE17A5D" w14:textId="77777777" w:rsidR="008D479B" w:rsidRDefault="008D479B" w:rsidP="008D479B">
      <w:pPr>
        <w:pStyle w:val="TextoNormal"/>
      </w:pPr>
      <w:r>
        <w:t xml:space="preserve">Sostienen los recurrentes que la Ley 5/2021 incumple la doctrina constitucional expuesta pues, atendiendo a lo que la misma prescribe, resulta contrario a la Constitución que, para justificar el correcto ejercicio de su potestad de coordinación, se limite a invocar la concurrencia de imprecisos intereses comunitarios —obligación constitucional de garantizar la suficiencia financiera a los ayuntamientos— para permitir “una intensa determinación del alcance de la coordinación” mediante la imposición a las diputaciones provinciales de la obligación de financiar obligatoria y perpetuamente el fondo de cooperación municipal. Tal falta de predeterminación conduce a una ausencia de graduación del alcance de la coordinación, incumpliéndose la ineludible proporcionalidad que exige valorar correctamente la relación existente entre intereses locales y supralocales. La demanda afirma que resulta inadmisible que la Ley 5/2021 trate de justificar la limitación de la autonomía de las diputaciones provinciales en perseguir garantizar la configuración de un núcleo homogéneo de derechos prestacionales de los municipios, pues el Estado, aun cuando quepa apreciar materia de alcance autonómico, ha habilitado directamente la competencia provincial de asistencia y cooperación de los municipios y de coordinación de los servicios municipales. De la doctrina constitucional se deduce claramente el carácter básico, </w:t>
      </w:r>
      <w:r w:rsidRPr="008D479B">
        <w:rPr>
          <w:i/>
        </w:rPr>
        <w:t>ex</w:t>
      </w:r>
      <w:r>
        <w:t xml:space="preserve"> art. 149.1.18 CE, de las competencias provinciales que recogen los arts. 36.1 a) y b) y 59 LBRL; legislación básica estatal que, en definitiva, desarrolla “el apoyo a los municipios” como “núcleo” de la actividad de la provincia, en cuanto entidad local determinada por la agrupación de municipios (art. 141.1 CE) y que sufre una grave injerencia por los preceptos impugnados que, de manera innegable, compromete la autonomía provincial constitucionalmente garantizada (arts. 137 y 141 CE). En esta misma línea, recuerdan los recurrentes que este tribunal, en reiterada doctrina, ha afirmado sin ambages que “el papel de las diputaciones que garantiza la CE y la normativa básica estatal viene fundamentalmente constituido por la función de relevancia constitucional de asistencia y cooperación municipal en sus diversos grados y ámbitos a fin de garantizar debidamente los principios de solidaridad y equilibrio intermunicipales, siendo dicha función provincial el núcleo indestructible de las competencias de las diputaciones sin que la misma pueda resultar esencialmente afectada por la comunidad autónoma respectiva”.</w:t>
      </w:r>
    </w:p>
    <w:p w14:paraId="01E48E63" w14:textId="77777777" w:rsidR="008D479B" w:rsidRDefault="008D479B" w:rsidP="008D479B">
      <w:pPr>
        <w:pStyle w:val="TextoNormal"/>
      </w:pPr>
    </w:p>
    <w:p w14:paraId="757DD865" w14:textId="77777777" w:rsidR="008D479B" w:rsidRDefault="008D479B" w:rsidP="008D479B">
      <w:pPr>
        <w:pStyle w:val="TextoNormal"/>
      </w:pPr>
      <w:r>
        <w:t>Concluye la demanda recordando cómo se regulaba anteriormente el fondo de cooperación municipal incondicionado de la Comunitat Valenciana (Decreto del Consell 51/2017, de 7 de abril), aprobado en desarrollo de lo previsto en el art. 201 de la Ley de las Corts Valencianes 8/2010, de 23 de junio, de régimen local de la Comunitat Valenciana). Dicha regulación preveía que la participación de las diputaciones provinciales se llevara a cabo mediante un acuerdo de adhesión voluntaria a este fondo, lo que resultaba acorde, a juicio de los recurrentes, con la Constitución, en tanto las funciones de coordinación que en tal supuesto se ejercían respetaban no solo el ámbito competencial respectivo y su compatibilidad con la autonomía de las entidades locales, como impone el art. 10.1 y 4 LBRL, sino también, muy especialmente, la exigencia de voluntariedad establecida en el art. 57.1 LBRL.</w:t>
      </w:r>
    </w:p>
    <w:p w14:paraId="7121BBDD" w14:textId="77777777" w:rsidR="008D479B" w:rsidRDefault="008D479B" w:rsidP="008D479B">
      <w:pPr>
        <w:pStyle w:val="TextoNormal"/>
      </w:pPr>
    </w:p>
    <w:p w14:paraId="712D3A43" w14:textId="77777777" w:rsidR="008D479B" w:rsidRDefault="008D479B" w:rsidP="008D479B">
      <w:pPr>
        <w:pStyle w:val="TextoNormal"/>
      </w:pPr>
      <w:r>
        <w:t>c) La demanda examina, a continuación, cada uno de los preceptos objeto de impugnación, exponiendo los motivos por los que considera que incurren en una tacha de inconstitucionalidad.</w:t>
      </w:r>
    </w:p>
    <w:p w14:paraId="634E1DE1" w14:textId="77777777" w:rsidR="008D479B" w:rsidRDefault="008D479B" w:rsidP="008D479B">
      <w:pPr>
        <w:pStyle w:val="TextoNormal"/>
      </w:pPr>
    </w:p>
    <w:p w14:paraId="7ECA915F" w14:textId="77777777" w:rsidR="008D479B" w:rsidRDefault="008D479B" w:rsidP="008D479B">
      <w:pPr>
        <w:pStyle w:val="TextoNormal"/>
      </w:pPr>
      <w:r>
        <w:t>(i) El art. 2.2 declara de interés general comunitario “las funciones de asistencia y cooperación jurídica, económica y técnica de las diputaciones provinciales a los municipios”, para precisar a continuación que el objeto de dicha declaración no es otro que el de “la participación de las diputaciones provinciales en la financiación básica de los municipios de la Comunitat Valenciana a través del fondo de cooperación municipal de la Comunitat Valenciana”. Sostienen los recurrentes que “tal declaración de interés general comunitario afecta, vaciándola, a la competencia material más trascendente que la legislación básica atribuye a las diputaciones provinciales”. Esa traslación en bloque, general e indiscriminada, de dicha competencia prevista en el art. 36.1 b) LBRL resulta incompatible con la autonomía provincial, al suponer “una grave inobservancia de la normativa básica que imposibilita el correcto ejercicio de las competencias provinciales con el que las diputaciones persiguen alcanzar los fines propios y específicos de la provincia”. Además, también conlleva una vulneración de las competencias instrumentales de coordinación y cooperación previstas en los apartados a) y d) del referido art. 36.1 LBRL. De esa forma, se sitúa a las diputaciones en una posición de subordinación o dependencia cuasi jerárquica de la comunidad autónoma, en cuanto que se introduce un control de oportunidad genérico en relación con la práctica totalidad de las competencias propias de aquellas. Dicho de otro modo, “se somete realmente a coordinación toda la actuación de las diputaciones relacionada con los municipios, desconfigurando […] la delimitación concreta del régimen local autónomo que resulta de aplicación directa en todo el territorio nacional. Además, se vulnera igualmente el carácter tasado que para la coordinación resulta […] tanto del art. 59 LBRL como del art. 66.3 del EACV”. Por otra parte, el precepto objeto de recurso hace devenir inútil el instrumento que para la efectividad de las competencias materiales de la diputación relacionadas en las letras a), b) y c) del art. 36.1 LBRL, prevé el apartado 2 de ese mismo precepto básico, cual es la aprobación anual de un “plan provincial de cooperación a las obras y servicios de competencia municipal”, que podrá financiarse “con medios propios de la diputación o entidad equivalente, las aportaciones municipales y las subvenciones que acuerden la comunidad autónoma y el Estado con cargo a sus respectivos presupuestos”. Por otro lado, tampoco se cumplen el resto de exigencias materialmente básicas que para la constitucionalidad de dicha coordinación continúa exigiendo el mismo art. 59 LBRL (que la coordinación se realice “mediante la definición concreta y en relación con una materia, servicio o competencia determinados de los intereses generales o comunitarios” —apartado 1—, y que la ley precise, en todo caso, “con el suficiente grado de detalle, las condiciones y los límites de la coordinación […]” —apartado 2—). En definitiva, la Ley 5/2021 ignora, a juicio de los recurrentes, las exigencias de predeterminación normativa y proporcionalidad que la jurisprudencia constitucional impone a la coordinación.</w:t>
      </w:r>
    </w:p>
    <w:p w14:paraId="49AEB066" w14:textId="77777777" w:rsidR="008D479B" w:rsidRDefault="008D479B" w:rsidP="008D479B">
      <w:pPr>
        <w:pStyle w:val="TextoNormal"/>
      </w:pPr>
    </w:p>
    <w:p w14:paraId="000F9CDC" w14:textId="77777777" w:rsidR="008D479B" w:rsidRDefault="008D479B" w:rsidP="008D479B">
      <w:pPr>
        <w:pStyle w:val="TextoNormal"/>
      </w:pPr>
      <w:r>
        <w:t>(ii) El art. 5 regula el plan sectorial de financiación básica del fondo de cooperación municipal. Este plan, en tanto realiza la función coordinadora que a la comunidad autónoma atribuye el art. 2.2 de la Ley 5/2021, imponiendo su financiación a cargo de las diputaciones valencianas, tampoco se acomoda —según los recurrentes— a la exigencia del legislador estatal básico plasmada en el art. 10.3 LBRL, a cuyo tenor: “las funciones de coordinación no afectarán en ningún caso a la autonomía de las entidades locales”.</w:t>
      </w:r>
    </w:p>
    <w:p w14:paraId="3A06C445" w14:textId="77777777" w:rsidR="008D479B" w:rsidRDefault="008D479B" w:rsidP="008D479B">
      <w:pPr>
        <w:pStyle w:val="TextoNormal"/>
      </w:pPr>
    </w:p>
    <w:p w14:paraId="407DF7C7" w14:textId="77777777" w:rsidR="008D479B" w:rsidRDefault="008D479B" w:rsidP="008D479B">
      <w:pPr>
        <w:pStyle w:val="TextoNormal"/>
      </w:pPr>
      <w:r>
        <w:t>El apartado 1 de este precepto viene a refrendar la inconstitucionalidad denunciada de vulneración de la autonomía provincial por vaciamiento de las competencias provinciales, al declarar expresamente la obligación de “fijar un sistema estable y permanente de financiación” sobre las diputaciones provinciales.</w:t>
      </w:r>
    </w:p>
    <w:p w14:paraId="39E0BA96" w14:textId="77777777" w:rsidR="008D479B" w:rsidRDefault="008D479B" w:rsidP="008D479B">
      <w:pPr>
        <w:pStyle w:val="TextoNormal"/>
      </w:pPr>
    </w:p>
    <w:p w14:paraId="0F1F8F06" w14:textId="77777777" w:rsidR="008D479B" w:rsidRDefault="008D479B" w:rsidP="008D479B">
      <w:pPr>
        <w:pStyle w:val="TextoNormal"/>
      </w:pPr>
      <w:r>
        <w:t>El apartado 2 tampoco precisa los detalles que permitan garantizar que en la participación de las diputaciones provinciales en el plan sectorial de financiación básica del fondo se asegure a aquellas los márgenes decisorios tendencialmente correlativos a la intensidad de los intereses provinciales implicados. La generalidad de los términos en los que se redacta dicho apartado 2 en referencia al contenido del plan adolece de tal grado de indeterminación que, en abstracto, admite que la coordinación se concrete en el ejercicio de facultades virtualmente autoatribuidas, esto es, que el alcance del “cierto poder de dirección” que implica la coordinación sea decidido por la propia comunidad autónoma y pueda así optar por desarrollar tal técnica de coordinación de manera incompatible con la autonomía provincial. Además, pese a encontrarse comprometidos intereses provinciales de enorme importancia, la capacidad de intervención de las diputaciones se halla muy lejos de resultar “relevante y decisiva” en la elaboración del plan sectorial de financiación, incumpliéndose igualmente la doble exigencia constitucional de predeterminación y proporcionalidad.</w:t>
      </w:r>
    </w:p>
    <w:p w14:paraId="50D37E74" w14:textId="77777777" w:rsidR="008D479B" w:rsidRDefault="008D479B" w:rsidP="008D479B">
      <w:pPr>
        <w:pStyle w:val="TextoNormal"/>
      </w:pPr>
    </w:p>
    <w:p w14:paraId="33A9F840" w14:textId="77777777" w:rsidR="008D479B" w:rsidRDefault="008D479B" w:rsidP="008D479B">
      <w:pPr>
        <w:pStyle w:val="TextoNormal"/>
      </w:pPr>
      <w:r>
        <w:t>Los mecanismos disuasorios que establecen los apartados 5 y 6 ponen claramente en riesgo la autonomía provincial al quedar la diputación provincial vinculada a recoger de manera obligatoria en sus proyectos de presupuesto las correspondientes directrices de coordinación, y perder con ello todo margen de opción en sus decisiones de gasto, produciéndose, por tanto, una lesión de la autonomía provincial en su vertiente de autonomía presupuestaria, con vulneración de los arts. 137 y 142 CE.</w:t>
      </w:r>
    </w:p>
    <w:p w14:paraId="5A32F86A" w14:textId="77777777" w:rsidR="008D479B" w:rsidRDefault="008D479B" w:rsidP="008D479B">
      <w:pPr>
        <w:pStyle w:val="TextoNormal"/>
      </w:pPr>
    </w:p>
    <w:p w14:paraId="3D3D5EA4" w14:textId="77777777" w:rsidR="008D479B" w:rsidRDefault="008D479B" w:rsidP="008D479B">
      <w:pPr>
        <w:pStyle w:val="TextoNormal"/>
      </w:pPr>
      <w:r>
        <w:t>En definitiva, según los recurrentes, los cuestionados apartados del art. 5 anulan la libre capacidad de decisión político-administrativa que han de conservar las diputaciones provinciales para participar proporcionalmente en la configuración de cuál sea su aportación al plan sectorial.</w:t>
      </w:r>
    </w:p>
    <w:p w14:paraId="09F43301" w14:textId="77777777" w:rsidR="008D479B" w:rsidRDefault="008D479B" w:rsidP="008D479B">
      <w:pPr>
        <w:pStyle w:val="TextoNormal"/>
      </w:pPr>
    </w:p>
    <w:p w14:paraId="493FBF75" w14:textId="77777777" w:rsidR="008D479B" w:rsidRDefault="008D479B" w:rsidP="008D479B">
      <w:pPr>
        <w:pStyle w:val="TextoNormal"/>
      </w:pPr>
      <w:r>
        <w:t>(iii) En relación con el art. 7, alegan los recurrentes que del mismo resulta que será únicamente la Comunitat Valenciana la que intervenga en la asignación de los recursos económicos que correspondan a las entidades beneficiarias, reservando a un futuro decreto autonómico la fijación de los “criterios objetivos” para llevar a cabo tal asignación, con lo que, además de ignorar absolutamente la obligada predeterminación legal por permitir tal remisión reglamentaria, quebranta igualmente la exigencia constitucional de proporcionalidad al eliminar toda intervención de las diputaciones provinciales en dicha tarea de asignación económica, vulnerándose en definitiva la autonomía provincial que consagra la Constitución.</w:t>
      </w:r>
    </w:p>
    <w:p w14:paraId="0C4F4C2E" w14:textId="77777777" w:rsidR="008D479B" w:rsidRDefault="008D479B" w:rsidP="008D479B">
      <w:pPr>
        <w:pStyle w:val="TextoNormal"/>
      </w:pPr>
    </w:p>
    <w:p w14:paraId="0086A029" w14:textId="77777777" w:rsidR="008D479B" w:rsidRDefault="008D479B" w:rsidP="008D479B">
      <w:pPr>
        <w:pStyle w:val="TextoNormal"/>
      </w:pPr>
      <w:r>
        <w:t>(iv) El art. 8 integra, en conexión con el precitado art. 2.2, toda forma de cooperación económica en las actividades, obras y servicios municipales que supone el plan sectorial, por cuanto dicho plan no se limita a canalizar determinadas manifestaciones en que se proyecta la cooperación económica de las diputaciones con los municipios, sino que tal instrumento viene a absorber íntegramente la función de cooperación económica, lesionándose así gravemente la autonomía provincial. La imposición a las diputaciones provinciales por el precepto impugnado de una participación económica obligatoria en el fondo de cooperación municipal, en tanto supone una transferencia de recursos de una hacienda territorial a otra, impuesta unilateralmente por una de ellas, implica una alteración de los ingresos o recursos financieros de la hacienda propia del ente territorial al que se impone la transferencia de fondos, lo que supone incidir en el instrumento indispensable para el ejercicio de sus competencias propias o, lo que es igual, en el ámbito de su autonomía financiera. Además, al imponer a las diputaciones provinciales la transferencia anual de un porcentaje actualizable de sus ingresos a favor del fondo, se condiciona, al mismo tiempo, indirectamente, la capacidad de aquellas de decidir libremente sobre el destino de sus recursos o ingresos, lo que supone una inconstitucional incidencia en su capacidad de gasto público.</w:t>
      </w:r>
    </w:p>
    <w:p w14:paraId="6B166356" w14:textId="77777777" w:rsidR="008D479B" w:rsidRDefault="008D479B" w:rsidP="008D479B">
      <w:pPr>
        <w:pStyle w:val="TextoNormal"/>
      </w:pPr>
    </w:p>
    <w:p w14:paraId="4378EEC2" w14:textId="77777777" w:rsidR="008D479B" w:rsidRDefault="008D479B" w:rsidP="008D479B">
      <w:pPr>
        <w:pStyle w:val="TextoNormal"/>
      </w:pPr>
      <w:r>
        <w:t>(v) El art. 9 introduce la posibilidad, asimismo con carácter genérico, de establecer mediante decreto, “[c]on carácter complementario a la línea general del fondo de cooperación municipal”, “otras líneas específicas de este fondo” con objeto de “financiar globalmente las actividades y los servicios de las entidades beneficiarias”. De este modo, según los recurrentes, ahonda en la vulneración de la autonomía provincial denunciada en cuanto permite que se impongan a las diputaciones, por vía reglamentaria, nuevas cargas financieras complementarias a las ya exigidas a través de las aportaciones a la línea general del fondo, vulnerándose por tanto los arts. 59.2 LBRL y 66.3 EACV. Esta posibilidad de imponer reglamentariamente la financiación obligatoria de nuevas líneas específicas del fondo de cooperación municipal, además de incidir en la vulneración de las exigencias constitucionales de predeterminación y proporcionalidad, deja a las diputaciones sin espacio real de maniobra para configurar su aportación al plan sectorial de financiación, anulando por completo su capacidad de decisión político administrativa, al prescindirse del marco de libre decisión que implica la potestad presupuestaria de ente local. En definitiva, suprimido el carácter voluntario o consentido que con anterioridad se atribuía a la participación de las provincias en el fondo (disposición derogatoria única de la Ley 5/2021), se pasa a diseñar una inconstitucional fórmula imperativa de coordinación mediante la participación financiera obligatoria de las diputaciones provinciales (art. 8), de carácter abierto e indefinido al permitirse su ampliación por vía reglamentaria (art. 9).</w:t>
      </w:r>
    </w:p>
    <w:p w14:paraId="03DF87CE" w14:textId="77777777" w:rsidR="008D479B" w:rsidRDefault="008D479B" w:rsidP="008D479B">
      <w:pPr>
        <w:pStyle w:val="TextoNormal"/>
      </w:pPr>
    </w:p>
    <w:p w14:paraId="3AE414A8" w14:textId="77777777" w:rsidR="008D479B" w:rsidRDefault="008D479B" w:rsidP="008D479B">
      <w:pPr>
        <w:pStyle w:val="TextoNormal"/>
      </w:pPr>
      <w:r>
        <w:t>(vi) El art. 11 es igualmente inconstitucional en la medida en que ignora absolutamente la exigencia de proporcionalidad en la composición que diseña de la comisión de colaboración y coordinación del fondo. Se afirma en la demanda que en dicho precepto a los representantes de las diputaciones únicamente se les reserva, en la composición de la comisión, la Vicepresidencia Tercera [apartado 1 d)] e integrar, junto a otros representantes, una última vocalía que se asigna genéricamente a la Federación Valenciana de Municipios y Provincias [apartado 2 e) tercer guion], lo que convertiría en ilusoria la efectiva participación de las diputaciones en la elaboración del plan sectorial de financiación.</w:t>
      </w:r>
    </w:p>
    <w:p w14:paraId="26083DB9" w14:textId="77777777" w:rsidR="008D479B" w:rsidRDefault="008D479B" w:rsidP="008D479B">
      <w:pPr>
        <w:pStyle w:val="TextoNormal"/>
      </w:pPr>
    </w:p>
    <w:p w14:paraId="74926F0B" w14:textId="77777777" w:rsidR="008D479B" w:rsidRDefault="008D479B" w:rsidP="008D479B">
      <w:pPr>
        <w:pStyle w:val="TextoNormal"/>
      </w:pPr>
      <w:r>
        <w:t>(vii) Por último, la disposición final primera posibilita, al atribuir mero rango reglamentario a la composición de la comisión, que el Consell pueda minorar en cualquier momento, e incluso suprimir, la preceptiva presencia de las diputaciones provinciales en el “órgano de participación encargado de la implementación, el seguimiento y el control de la ejecución anual del fondo de cooperación municipal de la Comunitat Valenciana” (art. 10 de la Ley 5/2021), privándoles, así, de participar en las funciones que a dicha comisión atribuye el art. 12 de la Ley 5/2021. Se desconocería así la garantía constitucional de la autonomía provincial (arts. 137 y 141 CE), pues al atribuirse a la Comunitat Valenciana una competencia ejecutiva que desborda las bases del régimen local, se vacía el núcleo esencial de dicha autonomía y se vulneran consecuentemente las competencias de las provincias, cuyo ámbito competencial propio queda reformulado.</w:t>
      </w:r>
    </w:p>
    <w:p w14:paraId="0CB270D6" w14:textId="77777777" w:rsidR="008D479B" w:rsidRDefault="008D479B" w:rsidP="008D479B">
      <w:pPr>
        <w:pStyle w:val="TextoNormal"/>
      </w:pPr>
    </w:p>
    <w:p w14:paraId="6E3D07C3" w14:textId="349F7EBC" w:rsidR="008D479B" w:rsidRDefault="008D479B" w:rsidP="008D479B">
      <w:pPr>
        <w:pStyle w:val="TextoNormal"/>
      </w:pPr>
      <w:r>
        <w:t>Concluyen los recurrentes solicitando que se dicte sentencia por la que se estime íntegramente la demanda y, en consecuencia, se declare la inconstitucionalidad y nulidad de los preceptos impugnados.</w:t>
      </w:r>
    </w:p>
    <w:p w14:paraId="224875F5" w14:textId="77777777" w:rsidR="008D479B" w:rsidRDefault="008D479B" w:rsidP="008D479B">
      <w:pPr>
        <w:pStyle w:val="TextoNormal"/>
      </w:pPr>
    </w:p>
    <w:p w14:paraId="0B776148" w14:textId="2FC8BD0B" w:rsidR="008D479B" w:rsidRDefault="008D479B" w:rsidP="008D479B">
      <w:pPr>
        <w:pStyle w:val="TextoNormal"/>
      </w:pPr>
      <w:r w:rsidRPr="008D479B">
        <w:rPr>
          <w:rStyle w:val="NumeroAFNegritaCaracter"/>
        </w:rPr>
        <w:t>3</w:t>
      </w:r>
      <w:r>
        <w:t>. Por providencia de 11 de marzo de 2022, el Pleno, a propuesta de la Sección Segunda, acordó admitir a trámite el recurso y dar traslado de la demanda y los documentos presentados, conforme establece el art. 34 de la Ley Orgánica del Tribunal Constitucional (LOTC), al Congreso de los Diputados y al Senado, por conducto de sus presidentes, y al Gobierno, por conducto de la ministra de Justicia, así como a las Corts Valencianes y al Consell de la Generalitat, por conducto de sus presidentes, al objeto de que, en el plazo de quince días, pudieran personarse en el procedimiento y formular las alegaciones que estimaren convenientes. Asimismo, se acordó publicar la incoación del procedimiento en el “Boletín Oficial del Estado”, lo que se verificó en el núm. 66, de 18 de marzo de 2022, y en el “Diari Oficial de la Generalitat Valenciana”, lo que tuvo lugar en el núm. 9308, de 29 de marzo de 2022.</w:t>
      </w:r>
    </w:p>
    <w:p w14:paraId="504E187A" w14:textId="77777777" w:rsidR="008D479B" w:rsidRDefault="008D479B" w:rsidP="008D479B">
      <w:pPr>
        <w:pStyle w:val="TextoNormal"/>
      </w:pPr>
    </w:p>
    <w:p w14:paraId="3088934D" w14:textId="2DEF8593" w:rsidR="008D479B" w:rsidRDefault="008D479B" w:rsidP="008D479B">
      <w:pPr>
        <w:pStyle w:val="TextoNormal"/>
      </w:pPr>
      <w:r w:rsidRPr="008D479B">
        <w:rPr>
          <w:rStyle w:val="NumeroAFNegritaCaracter"/>
        </w:rPr>
        <w:t>4</w:t>
      </w:r>
      <w:r>
        <w:t>. Mediante escritos registrados el 24 de marzo de 2022, la presidenta del Congreso de los Diputados y el presidente del Senado comunicaron, respectivamente, el acuerdo de personación de ambas cámaras y ofreciendo su colaboración a los efectos del art. 88.1 LOTC.</w:t>
      </w:r>
    </w:p>
    <w:p w14:paraId="411B6EBB" w14:textId="77777777" w:rsidR="008D479B" w:rsidRDefault="008D479B" w:rsidP="008D479B">
      <w:pPr>
        <w:pStyle w:val="TextoNormal"/>
      </w:pPr>
    </w:p>
    <w:p w14:paraId="7A41A595" w14:textId="438C2D98" w:rsidR="008D479B" w:rsidRDefault="008D479B" w:rsidP="008D479B">
      <w:pPr>
        <w:pStyle w:val="TextoNormal"/>
      </w:pPr>
      <w:r w:rsidRPr="008D479B">
        <w:rPr>
          <w:rStyle w:val="NumeroAFNegritaCaracter"/>
        </w:rPr>
        <w:t>5</w:t>
      </w:r>
      <w:r>
        <w:t>. Por escrito registrado en el Tribunal el 30 de marzo de 2022, el abogado del Estado manifiesta que no va a formular alegaciones en el presente procedimiento y que se persona a los efectos de que en su día se le notifiquen las resoluciones que en él se dicten.</w:t>
      </w:r>
    </w:p>
    <w:p w14:paraId="58DE9240" w14:textId="77777777" w:rsidR="008D479B" w:rsidRDefault="008D479B" w:rsidP="008D479B">
      <w:pPr>
        <w:pStyle w:val="TextoNormal"/>
      </w:pPr>
    </w:p>
    <w:p w14:paraId="1C5869AB" w14:textId="77777777" w:rsidR="008D479B" w:rsidRDefault="008D479B" w:rsidP="008D479B">
      <w:pPr>
        <w:pStyle w:val="TextoNormal"/>
      </w:pPr>
      <w:r w:rsidRPr="008D479B">
        <w:rPr>
          <w:rStyle w:val="NumeroAFNegritaCaracter"/>
        </w:rPr>
        <w:t>6</w:t>
      </w:r>
      <w:r>
        <w:t>. El 12 de abril de 2022 tuvo entrada en el registro general de este tribunal escrito de la Secretaría General de las Corts Valencianes designando la funcionaria a efectos de notificaciones de cualesquiera naturaleza administrativa y parlamentaria En el mismo trámite, el letrado de las Corts Valencianes procede a realizar las alegaciones, que coinciden sustancialmente con las presentadas frente al recurso de inconstitucionalidad núm. 614-2022, en tanto que los motivos de impugnación son, básicamente, los mismos, todos ellos relacionados con la supuesta vulneración de la autonomía provincial. No obstante, en relación con aquellos preceptos que no se impugnaron en el recurso núm. 614-2022, pero sí en el presente recurso [artículos 9.1; 11.1 d) y 2 e) tercer guion, y disposición final primera], se formulan las correspondientes alegaciones específicas. En concreto, las alegaciones de las Corts Valencianes se centran en los siguientes aspectos:</w:t>
      </w:r>
    </w:p>
    <w:p w14:paraId="09B85012" w14:textId="77777777" w:rsidR="008D479B" w:rsidRDefault="008D479B" w:rsidP="008D479B">
      <w:pPr>
        <w:pStyle w:val="TextoNormal"/>
      </w:pPr>
    </w:p>
    <w:p w14:paraId="2A46566A" w14:textId="77777777" w:rsidR="008D479B" w:rsidRDefault="008D479B" w:rsidP="008D479B">
      <w:pPr>
        <w:pStyle w:val="TextoNormal"/>
      </w:pPr>
      <w:r>
        <w:t>a) La financiación local se engloba dentro de la competencia exclusiva en materia de régimen local asumida por la Comunitat Valenciana en el art. 49.1.8 EACV (sin perjuicio de lo dispuesto en el art. 149.1.18 CE). Expresamente, el art. 64.3 EACV contempla la existencia de un “fondo de cooperación municipal”. En desarrollo de las previsiones estatutarias, se aprobó la Ley de las Corts Valencianes 8/2010, de 23 de junio, de régimen local de la Comunitat Valenciana, cuyo art. 201 regulaba la creación y contenido de dicho fondo; precepto reglamentariamente desarrollado mediante el Decreto 51/2017, de 7 de abril, del Consell, con el fin de “garantizar la suficiencia financiera de las entidades locales de la Comunitat Valenciana y potenciar su autonomía local sobre la base del principio de subsidiariedad, financiando globalmente su actividad”. En el art. 8 del Decreto 51/2017 se contempla la participación de las diputaciones provinciales en dicho fondo en términos de voluntariedad, esto es, el mismo se nutría de las asignaciones aportadas por la Generalitat y las de aquellas diputaciones que desearan integrarse en él, tal y como hicieron las de Castellón y Valencia. Tanto el referido art. 201 de la Ley 8/2010, como el Decreto 51/2017, han sido derogados por la ley impugnada (excepto el capítulo II de este último, que regula el fondo de cooperación municipal, en lo que no se oponga a la nueva ley).</w:t>
      </w:r>
    </w:p>
    <w:p w14:paraId="006F226A" w14:textId="77777777" w:rsidR="008D479B" w:rsidRDefault="008D479B" w:rsidP="008D479B">
      <w:pPr>
        <w:pStyle w:val="TextoNormal"/>
      </w:pPr>
    </w:p>
    <w:p w14:paraId="0545A37E" w14:textId="77777777" w:rsidR="008D479B" w:rsidRDefault="008D479B" w:rsidP="008D479B">
      <w:pPr>
        <w:pStyle w:val="TextoNormal"/>
      </w:pPr>
      <w:r>
        <w:t>El legislador autonómico ha decidido reformar el sistema de financiación local para fortalecer el nivel básico, el municipal, que es donde radica el poder político y la representación democrática más próxima a la ciudadanía, y dotarlo de mayor estabilidad. Entre otras cosas, se contempla ahora el fondo de cooperación municipal con una naturaleza no finalista, sin que se condicione el destino u objetivo concreto al que deban dedicarse los recursos económicos que reciban de él los municipios y las entidades locales menores para financiar las actividades y servicios que competencialmente les corresponden. Dicho proceder se articula a través de un “plan sectorial de financiación básica”, en el que participan la Generalitat y las diputaciones provinciales, que debe de aprobar el Consell de la Generalitat con la participación de la comisión de colaboración y coordinación del fondo de cooperación municipal (art. 5 de la Ley 5/2021). Entre los integrantes de dicha comisión, un tercio pertenece a la administración provincial. La ley prevé que las diputaciones aporten de sus presupuestos anuales los recursos adecuados al cumplimiento del plan sectorial del fondo (art. 5) y que la asignación de recursos a cada municipio se realice con criterios objetivos (art. 7), correspondiendo a la comisión de colaboración y coordinación del fondo la implementación, seguimiento y control de la ejecución del plan anual (art. 10). Además, la Ley 5/2021 establece diversos mecanismos de coordinación y cooperación interadministrativa para que todos los municipios cuenten con la misma financiación básica con independencia de la provincia en que se encuentren.</w:t>
      </w:r>
    </w:p>
    <w:p w14:paraId="4FC883E3" w14:textId="77777777" w:rsidR="008D479B" w:rsidRDefault="008D479B" w:rsidP="008D479B">
      <w:pPr>
        <w:pStyle w:val="TextoNormal"/>
      </w:pPr>
    </w:p>
    <w:p w14:paraId="4867160A" w14:textId="77777777" w:rsidR="008D479B" w:rsidRDefault="008D479B" w:rsidP="008D479B">
      <w:pPr>
        <w:pStyle w:val="TextoNormal"/>
      </w:pPr>
      <w:r>
        <w:t>b) Las competencias locales vienen determinadas en el marco de la Ley reguladora de las bases del régimen local, cuyo art. 25.2 establece las materias sobre las que el municipio ejercerá en todo caso competencias propias, en los términos de la legislación del Estado y de las comunidades autónomas. Dichas “competencias municipales en las materias enunciadas en este artículo se determinarán por ley debiendo evaluar la conveniencia de la implantación de servicios locales conforme a los principios de descentralización, eficiencia, estabilidad y sostenibilidad financiera” (apartado 3). Por su parte, según el art. 36.1 b) LBRL, son competencias propias de las diputaciones provinciales, “en todo caso”, “[l]a asistencia y cooperación jurídica, económica y técnica a los municipios, especialmente los de menor capacidad económica y de gestión” (con cita de la STC 41/2016, FJ 9).</w:t>
      </w:r>
    </w:p>
    <w:p w14:paraId="710F73BA" w14:textId="77777777" w:rsidR="008D479B" w:rsidRDefault="008D479B" w:rsidP="008D479B">
      <w:pPr>
        <w:pStyle w:val="TextoNormal"/>
      </w:pPr>
    </w:p>
    <w:p w14:paraId="1376D44A" w14:textId="77777777" w:rsidR="008D479B" w:rsidRDefault="008D479B" w:rsidP="008D479B">
      <w:pPr>
        <w:pStyle w:val="TextoNormal"/>
      </w:pPr>
      <w:r>
        <w:t>En esta misma línea, la Ley 8/2010, de 23 de junio, de régimen local de la Comunitat Valenciana, dispone que entre los fines propios y específicos de la provincia se encuentran “la cooperación al establecimiento de los servicios municipales obligatorios, para garantizar su prestación integral y adecuada en todo el territorio de la provincia” [art. 48.2 a)]. Y que son competencias propias de las diputaciones provinciales las que le atribuya la legislación básica de régimen local y demás leyes del Estado y de la Comunitat Valenciana en los diferentes sectores de la acción pública y, en todo caso, “[p]restar asistencia y cooperación jurídica, económica y técnica a los municipios y otras entidades locales, especialmente a las de menor capacidad económica y de gestión” [art. 50.1 a) de la Ley 8/2010].</w:t>
      </w:r>
    </w:p>
    <w:p w14:paraId="29FE6BEC" w14:textId="77777777" w:rsidR="008D479B" w:rsidRDefault="008D479B" w:rsidP="008D479B">
      <w:pPr>
        <w:pStyle w:val="TextoNormal"/>
      </w:pPr>
    </w:p>
    <w:p w14:paraId="213A9F75" w14:textId="77777777" w:rsidR="008D479B" w:rsidRDefault="008D479B" w:rsidP="008D479B">
      <w:pPr>
        <w:pStyle w:val="TextoNormal"/>
      </w:pPr>
      <w:r>
        <w:t xml:space="preserve">A tales efectos, el letrado de las Corts Valencianes recuerda las facultades de coordinación de la actividad de la administración local que corresponde a las comunidades autónomas, </w:t>
      </w:r>
      <w:r w:rsidRPr="008D479B">
        <w:rPr>
          <w:i/>
        </w:rPr>
        <w:t>ex</w:t>
      </w:r>
      <w:r>
        <w:t xml:space="preserve"> arts. 10.2 y 59 LBRL. Así, se menciona la Ley de las Corts Valencianes 2/1983, de 4 de octubre, por la que se declaran de interés general para la Comunitat Valenciana determinadas funciones propias de las diputaciones provinciales, que incluyó entre dichas funciones la de “[c]ooperación y asistencia jurídica, económica y técnica a los municipios” [art. 2.1 g)], asumiendo la Comunitat Valenciana la coordinación de dichas funciones provinciales cuando “afecte a servicios o competencias propios de la Comunitat Valenciana” [art. 2.2 b)]. Y se trae a colación la STC 27/1987, de 27 de febrero, que declaró que “no es correcto afirmar que se haya producido con ello un vaciamiento competencial de la autonomía provincial, pues la coordinación no entraña la sustracción de competencias propias de las entidades coordinadas, sino que implica tan solo un límite al ejercicio de las mismas, límite que únicamente se produce, respecto de las materias indicadas en el mencionado art. 2, en los supuestos establecidos en el apartado 2 del mismo en conexión con el art. 10.2 de la Ley estatal 7/1985”. Igualmente se recoge la doctrina establecida en la STC 109/1998, de 21 de mayo, en relación con el carácter no absoluto de la garantía institucional de la autonomía local y los límites a la autonomía financiera local; subrayándose que resulta clave para apreciar la regularidad o no en el ejercicio de la facultad de coordinación por parte de la administración autonómica el hecho de que esta se articule a través de un plan de actuación en el que participen las diputaciones provinciales y los municipios, tal y como se hace en la ley impugnada. Y se concluye, con apoyo en la doctrina fijada en la STC 82/2020, FJ 9, que la Comunitat Valenciana tiene la potestad de coordinación de las diputaciones provinciales, también en la vertiente económica del gasto, siempre que se realice a través de planes sectoriales en los que aquellas participen, lo que sin duda se ha contemplado en la ley ahora impugnada.</w:t>
      </w:r>
    </w:p>
    <w:p w14:paraId="75AF4E6F" w14:textId="77777777" w:rsidR="008D479B" w:rsidRDefault="008D479B" w:rsidP="008D479B">
      <w:pPr>
        <w:pStyle w:val="TextoNormal"/>
      </w:pPr>
    </w:p>
    <w:p w14:paraId="5F9E4B33" w14:textId="77777777" w:rsidR="008D479B" w:rsidRDefault="008D479B" w:rsidP="008D479B">
      <w:pPr>
        <w:pStyle w:val="TextoNormal"/>
      </w:pPr>
      <w:r>
        <w:t>c) Por lo que se refiere al análisis de la constitucionalidad de cada uno de los preceptos impugnados, siguiendo la sistemática del propio recurso, sostiene la representación procesal de las Corts Valencianes lo siguiente:</w:t>
      </w:r>
    </w:p>
    <w:p w14:paraId="65720815" w14:textId="77777777" w:rsidR="008D479B" w:rsidRDefault="008D479B" w:rsidP="008D479B">
      <w:pPr>
        <w:pStyle w:val="TextoNormal"/>
      </w:pPr>
    </w:p>
    <w:p w14:paraId="3E3FA08F" w14:textId="77777777" w:rsidR="008D479B" w:rsidRDefault="008D479B" w:rsidP="008D479B">
      <w:pPr>
        <w:pStyle w:val="TextoNormal"/>
      </w:pPr>
      <w:r>
        <w:t>(i) La posibilidad de declarar de interés general de la Comunitat Valenciana, como hace el art. 2.2, las funciones de asistencia y cooperación jurídica, económica y técnica de las diputaciones provinciales a los municipios, está fuera de toda duda, habida cuenta de la doctrina constitucional recaída en la materia (SSTC 27/1987 y 82/2020, ambas relativas a sendas leyes valencianas en las que se declaró la regularidad de tal proceder).</w:t>
      </w:r>
    </w:p>
    <w:p w14:paraId="43BC7EE5" w14:textId="77777777" w:rsidR="008D479B" w:rsidRDefault="008D479B" w:rsidP="008D479B">
      <w:pPr>
        <w:pStyle w:val="TextoNormal"/>
      </w:pPr>
    </w:p>
    <w:p w14:paraId="602DB43C" w14:textId="77777777" w:rsidR="008D479B" w:rsidRDefault="008D479B" w:rsidP="008D479B">
      <w:pPr>
        <w:pStyle w:val="TextoNormal"/>
      </w:pPr>
      <w:r>
        <w:t>(ii) En relación con el art. 5, y más en concreto con su apartado 1, se afirma que no ofrece tacha de inconstitucionalidad alguna. Nada oponen los recurrentes a la existencia del fondo, ni a las finalidades por él perseguidas, ni siquiera a la participación de las diputaciones provinciales en él (solo a que esta sea obligatoria). Que se integre a dichas administraciones provinciales en el fondo de cooperación municipal no solo resulta pacífico a la luz del marco competencial de aplicación, sino que han estado integradas en él desde la Ley de régimen local de la Comunitat Valenciana de 2010. Y que ese fondo de cooperación se estructure a través de un plan sectorial anual no es sino consecuencia de la necesidad de realizar la coordinación y cooperación a través de una planificación en la que participen todas las administraciones implicadas, como ha venido exigiendo en su jurisprudencia este tribunal. Según la representación procesal de las Corts Valencianes, la incidencia en la capacidad de gasto de las diputaciones provinciales es viable conforme a la STC 109/1998, y además se ha de tener en cuenta que ello se hace tras el proceso participativo de las corporaciones locales, que también está previsto en la elaboración del plan sectorial anual a través de la comisión de colaboración y coordinación del fondo de cooperación municipal regulada en el art. 11 de la ley recurrida, en la que seis de sus dieciocho miembros representan a las diputaciones provinciales; lo que se ajusta a la doctrina establecida en la STC 101/2017, de 20 de julio, FJ 5.</w:t>
      </w:r>
    </w:p>
    <w:p w14:paraId="42A155E4" w14:textId="77777777" w:rsidR="008D479B" w:rsidRDefault="008D479B" w:rsidP="008D479B">
      <w:pPr>
        <w:pStyle w:val="TextoNormal"/>
      </w:pPr>
    </w:p>
    <w:p w14:paraId="6E680965" w14:textId="77777777" w:rsidR="008D479B" w:rsidRDefault="008D479B" w:rsidP="008D479B">
      <w:pPr>
        <w:pStyle w:val="TextoNormal"/>
      </w:pPr>
      <w:r>
        <w:t>Tampoco cabe reproche alguno de constitucionalidad por lo que se refiere al apartado 2 del artículo 5. Este precepto solamente prevé que las diputaciones provinciales participen en el plan sectorial, algo que está en la línea mantenida por el Tribunal Constitucional de exigir la participación de los entes implicados en la coordinación a realizar por la comunidad autónoma, por lo que tampoco cabe reproche alguno de constitucionalidad.</w:t>
      </w:r>
    </w:p>
    <w:p w14:paraId="52E7DAA1" w14:textId="77777777" w:rsidR="008D479B" w:rsidRDefault="008D479B" w:rsidP="008D479B">
      <w:pPr>
        <w:pStyle w:val="TextoNormal"/>
      </w:pPr>
    </w:p>
    <w:p w14:paraId="2E39A5C2" w14:textId="77777777" w:rsidR="008D479B" w:rsidRDefault="008D479B" w:rsidP="008D479B">
      <w:pPr>
        <w:pStyle w:val="TextoNormal"/>
      </w:pPr>
      <w:r>
        <w:t>En cuanto al art. 5.5, la previsión que contiene es consecuencia de la facultad de coordinación de la administración autonómica que contempla la ley, por lo que no hay duda alguna de su constitucionalidad. Y respecto del art. 5.6, se reitera lo expuesto, en cuanto su finalidad no es otra que tratar de hacer realidad la coordinación que ha de ejercer la comunidad autónoma.</w:t>
      </w:r>
    </w:p>
    <w:p w14:paraId="260ACE23" w14:textId="77777777" w:rsidR="008D479B" w:rsidRDefault="008D479B" w:rsidP="008D479B">
      <w:pPr>
        <w:pStyle w:val="TextoNormal"/>
      </w:pPr>
    </w:p>
    <w:p w14:paraId="38DC10BE" w14:textId="77777777" w:rsidR="008D479B" w:rsidRDefault="008D479B" w:rsidP="008D479B">
      <w:pPr>
        <w:pStyle w:val="TextoNormal"/>
      </w:pPr>
      <w:r>
        <w:t>(iii) La impugnación de la letra a) del art. 7 desconoce que esta prescripción, como las demás de este mismo artículo, tiene la lógica interna del sistema que se ha aprobado: objetivar el sistema de financiación de las administraciones municipales, de forma que estas sepan con qué medios cuentan para ejercer sus competencias propias, decidiendo libremente cómo las ejercen. Con el sistema diseñado por la ley, serán los ayuntamientos los que, conociendo los ingresos que les corresponden como financiación, decidan cómo ejercer en concreto sus competencias, sin tener que postergar sus políticas públicas propias en detrimento de los fines que fije en sus subvenciones la diputación de la provincia en que estén situados.</w:t>
      </w:r>
    </w:p>
    <w:p w14:paraId="263D7DBF" w14:textId="77777777" w:rsidR="008D479B" w:rsidRDefault="008D479B" w:rsidP="008D479B">
      <w:pPr>
        <w:pStyle w:val="TextoNormal"/>
      </w:pPr>
    </w:p>
    <w:p w14:paraId="14542636" w14:textId="77777777" w:rsidR="008D479B" w:rsidRDefault="008D479B" w:rsidP="008D479B">
      <w:pPr>
        <w:pStyle w:val="TextoNormal"/>
      </w:pPr>
      <w:r>
        <w:t>Objetivar los criterios para asignar las cuantías concretas que corresponden a cada municipio como financiación del fondo de cooperación, fijado globalmente en el plan sectorial anual (previa audiencia de las diputaciones provinciales), no solo no resulta inconstitucional, en opinión del letrado de las Corts Valencianes, sino que, por el contrario, es lo más acorde con el respeto de la autonomía municipal, por lo que se ha de rechazar la impugnación del art. 7. Igualmente se ha de rechazar la alegación de que el precepto quebranta la exigencia constitucional de proporcionalidad “al eliminar toda intervención de las diputaciones provinciales en dicha tarea de asignación económica”; las diputaciones provinciales participan con seis representantes en un órgano colegiado de dieciocho miembros para diseñar el plan sectorial de financiación básica del fondo de cooperación municipal, por lo que no cabe más que reiterar la regularidad constitucional de la opción adoptada por el legislador valenciano.</w:t>
      </w:r>
    </w:p>
    <w:p w14:paraId="76E30AC5" w14:textId="77777777" w:rsidR="008D479B" w:rsidRDefault="008D479B" w:rsidP="008D479B">
      <w:pPr>
        <w:pStyle w:val="TextoNormal"/>
      </w:pPr>
    </w:p>
    <w:p w14:paraId="2DA36088" w14:textId="77777777" w:rsidR="008D479B" w:rsidRDefault="008D479B" w:rsidP="008D479B">
      <w:pPr>
        <w:pStyle w:val="TextoNormal"/>
      </w:pPr>
      <w:r>
        <w:t>(iv) El art. 8 viene a concretar, respecto de las diputaciones provinciales, el esquema diseñado por la ley: la asignación de cuantías presupuestarias incondicionadas a los municipios, para que estos ejerzan sus competencias de forma autónoma, excluyéndose dichas cuantías del régimen de subvención de las diputaciones provinciales, con la finalidad de que no sean estas administraciones las que fijen los objetivos a perseguir por los municipios. De este modo, las diputaciones provinciales aportarán a los municipios de su ámbito geográfico los recursos previstos en el plan sectorial de financiación básica del fondo de cooperación municipal, en cuyo diseño habrán participado a través de la comisión creada al efecto en el art. 11 de la ley, por lo que no se puede apreciar tacha de inconstitucionalidad alguna a la luz de la doctrina constitucional anteriormente reseñada.</w:t>
      </w:r>
    </w:p>
    <w:p w14:paraId="73F7E0C2" w14:textId="77777777" w:rsidR="008D479B" w:rsidRDefault="008D479B" w:rsidP="008D479B">
      <w:pPr>
        <w:pStyle w:val="TextoNormal"/>
      </w:pPr>
    </w:p>
    <w:p w14:paraId="044E1099" w14:textId="77777777" w:rsidR="008D479B" w:rsidRDefault="008D479B" w:rsidP="008D479B">
      <w:pPr>
        <w:pStyle w:val="TextoNormal"/>
      </w:pPr>
      <w:r>
        <w:t>(v) El art. 9.1, relativo a las líneas específicas del fondo de cooperación municipal, de naturaleza incondicionada y no finalista, a establecer mediante decreto, y que serán compatibles con la percepción de las aportaciones de la línea general del fondo, es objeto de impugnación al entender los recurrentes que permite la imposición a las diputaciones provinciales de nuevas cargas financieras por vía reglamentaria, “anulando por completo su capacidad de decisión político-administrativa”. Argumenta la representación procesal de las Corts Valencianes que el hecho de que se contemplen con carácter eventual otras líneas del fondo de cooperación municipal no hace sino confirmar que deberán seguir el mismo proceso participativo que el resto de las que integren el fondo, integrándose en el plan sectorial anual elaborado con la participación de las diputaciones provinciales, por lo que tampoco en relación con ella se aprecia tacha alguna de inconstitucionalidad.</w:t>
      </w:r>
    </w:p>
    <w:p w14:paraId="32A82DA4" w14:textId="77777777" w:rsidR="008D479B" w:rsidRDefault="008D479B" w:rsidP="008D479B">
      <w:pPr>
        <w:pStyle w:val="TextoNormal"/>
      </w:pPr>
    </w:p>
    <w:p w14:paraId="4437B0AA" w14:textId="77777777" w:rsidR="008D479B" w:rsidRDefault="008D479B" w:rsidP="008D479B">
      <w:pPr>
        <w:pStyle w:val="TextoNormal"/>
      </w:pPr>
      <w:r>
        <w:t>(vi) En lo que atañe a la impugnación conjunta que se hace del art. 11.1 d) y 2 e) tercer guion, relativo a la composición y funcionamiento de la comisión de colaboración y coordinación, y de la disposición final tercera, que dispone que la composición de dicho órgano es de rango reglamentario, la argumentación de los recurrentes es, a juicio del letrado de las Corts, escueta y errónea.</w:t>
      </w:r>
    </w:p>
    <w:p w14:paraId="2592302D" w14:textId="77777777" w:rsidR="008D479B" w:rsidRDefault="008D479B" w:rsidP="008D479B">
      <w:pPr>
        <w:pStyle w:val="TextoNormal"/>
      </w:pPr>
    </w:p>
    <w:p w14:paraId="73730E1F" w14:textId="77777777" w:rsidR="008D479B" w:rsidRDefault="008D479B" w:rsidP="008D479B">
      <w:pPr>
        <w:pStyle w:val="TextoNormal"/>
      </w:pPr>
      <w:r>
        <w:t>Del art. 11 se deriva que en la susodicha comisión están integrados con derecho de voto dieciocho personas, y un tercio de ellas, seis, representan a la administración provincial: dos representantes de cada una de las tres diputaciones provinciales de la Comunitat Valenciana, en concreto, sus presidentes y los responsables respectivos de hacienda de cada una de ellas. Por lo que no se puede compartir la tacha de inconstitucionalidad que se hace en el recurso a este respecto.</w:t>
      </w:r>
    </w:p>
    <w:p w14:paraId="1413FFA0" w14:textId="77777777" w:rsidR="008D479B" w:rsidRDefault="008D479B" w:rsidP="008D479B">
      <w:pPr>
        <w:pStyle w:val="TextoNormal"/>
      </w:pPr>
    </w:p>
    <w:p w14:paraId="63DE981C" w14:textId="77777777" w:rsidR="008D479B" w:rsidRDefault="008D479B" w:rsidP="008D479B">
      <w:pPr>
        <w:pStyle w:val="TextoNormal"/>
      </w:pPr>
      <w:r>
        <w:t>Por otra parte, en relación con la disposición final primera los recurrentes pretenden instar una declaración de inconstitucionalidad “preventiva”. Se alega que lo que se persigue con estas cláusulas deslegalizadoras es otorgar mayor flexibilidad a algunos preceptos legales con la finalidad de ajustar su contenido a cambios en la organización interna de la administración por reasignación de competencias y cuestiones análogas, y no vaciar de contenido las prescripciones legales por esa vía indirecta, como lo sería privar de representación a las diputaciones provinciales. Y en el caso de que así se hiciera en el futuro lo que procederá es impugnar la norma en cuestión.</w:t>
      </w:r>
    </w:p>
    <w:p w14:paraId="251A1E2E" w14:textId="77777777" w:rsidR="008D479B" w:rsidRDefault="008D479B" w:rsidP="008D479B">
      <w:pPr>
        <w:pStyle w:val="TextoNormal"/>
      </w:pPr>
    </w:p>
    <w:p w14:paraId="50BE0E0A" w14:textId="76048AC6" w:rsidR="008D479B" w:rsidRDefault="008D479B" w:rsidP="008D479B">
      <w:pPr>
        <w:pStyle w:val="TextoNormal"/>
      </w:pPr>
      <w:r>
        <w:t>En definitiva, por todos los motivos expuestos, el letrado de las Corts Valencianes solicita que se dicte sentencia desestimatoria del recurso de inconstitucionalidad.</w:t>
      </w:r>
    </w:p>
    <w:p w14:paraId="448A8E58" w14:textId="77777777" w:rsidR="008D479B" w:rsidRDefault="008D479B" w:rsidP="008D479B">
      <w:pPr>
        <w:pStyle w:val="TextoNormal"/>
      </w:pPr>
    </w:p>
    <w:p w14:paraId="0655583E" w14:textId="77777777" w:rsidR="008D479B" w:rsidRDefault="008D479B" w:rsidP="008D479B">
      <w:pPr>
        <w:pStyle w:val="TextoNormal"/>
      </w:pPr>
      <w:r w:rsidRPr="008D479B">
        <w:rPr>
          <w:rStyle w:val="NumeroAFNegritaCaracter"/>
        </w:rPr>
        <w:t>7</w:t>
      </w:r>
      <w:r>
        <w:t>. El 13 de abril de 2022, tuvo entrada en el registro general de este tribunal escrito de la Abogacía General de la Generalitat Valenciana, en el que se formulan las siguientes alegaciones, de forma conjunta con las relativas al recurso de inconstitucionalidad núm. 614-2022.</w:t>
      </w:r>
    </w:p>
    <w:p w14:paraId="57AFBB92" w14:textId="77777777" w:rsidR="008D479B" w:rsidRDefault="008D479B" w:rsidP="008D479B">
      <w:pPr>
        <w:pStyle w:val="TextoNormal"/>
      </w:pPr>
    </w:p>
    <w:p w14:paraId="450C0009" w14:textId="77777777" w:rsidR="008D479B" w:rsidRDefault="008D479B" w:rsidP="008D479B">
      <w:pPr>
        <w:pStyle w:val="TextoNormal"/>
      </w:pPr>
      <w:r>
        <w:t>a) El escrito de alegaciones del abogado de la Generalitat Valenciana comienza afirmando, tras citar la doctrina del Tribunal Constitucional en materia de autonomía provincial (SSTC 4/1981, de 2 de febrero; 32/1981, de 28 de julio; 82/1982, de 21 de diciembre; 27/1987, de 27 de febrero; 214/1989, de 21 de diciembre; 159/2001, de 5 de julio; 121/2012, de 5 de junio; 41/2016, de 3 de marzo, y 82/2020, de 15 de julio), que basta una lectura somera de los artículos impugnados de la Ley 5/2021, reguladora del fondo de cooperación municipal de los municipios y entidades locales menores de la Comunitat Valenciana, para darse cuenta de que bajo ninguna óptica interpretativa se deja a las diputaciones vacantes de funciones, conservando tras la publicación de esta ley su plena operatividad.</w:t>
      </w:r>
    </w:p>
    <w:p w14:paraId="1DB8E507" w14:textId="77777777" w:rsidR="008D479B" w:rsidRDefault="008D479B" w:rsidP="008D479B">
      <w:pPr>
        <w:pStyle w:val="TextoNormal"/>
      </w:pPr>
    </w:p>
    <w:p w14:paraId="6B83E8EB" w14:textId="77777777" w:rsidR="008D479B" w:rsidRDefault="008D479B" w:rsidP="008D479B">
      <w:pPr>
        <w:pStyle w:val="TextoNormal"/>
      </w:pPr>
      <w:r>
        <w:t>b) La ley impugnada tampoco contiene disposición alguna que contravenga la normativa estatal básica en materia de régimen local, ya que lo que concibe es un desarrollo pormenorizado de la normativa autonómica que forma el bloque de constitucionalidad, siendo plenamente constitucional y respetuosa con las competencias del Estado. En efecto, la Ley 5/2021 desarrolla el apartado 3 del art. 64 EACV y sustituye al art. 201 de la Ley 8/2010, de 23 de junio, de régimen local de la Comunitat Valenciana, que ya previó la existencia del fondo que ahora se detalla en la Ley 5/2021.</w:t>
      </w:r>
    </w:p>
    <w:p w14:paraId="0493AB3A" w14:textId="77777777" w:rsidR="008D479B" w:rsidRDefault="008D479B" w:rsidP="008D479B">
      <w:pPr>
        <w:pStyle w:val="TextoNormal"/>
      </w:pPr>
    </w:p>
    <w:p w14:paraId="1D0DC17B" w14:textId="77777777" w:rsidR="008D479B" w:rsidRDefault="008D479B" w:rsidP="008D479B">
      <w:pPr>
        <w:pStyle w:val="TextoNormal"/>
      </w:pPr>
      <w:r>
        <w:t>c) El abogado de la Generalitat rechaza el reparo de que no existe un interés público que sustente la actividad de coordinación que el cuestionado fondo pretende. Con anterioridad a la Ley 5/2021 las cantidades que los municipios recibían del fondo de cooperación eran notoriamente desiguales dependiendo de la provincia a la que pertenecieran, porque mientras que la aportación de la Generalitat al fondo era equitativa, las aportaciones de las diputaciones eran discordantes. Ello se tradujo, de una forma clara, en una desigualdad de los ciudadanos en el acceso a los servicios públicos financiados con el fondo de cooperación, lo que justifica la implementación de una medida de coordinación destinada a corregir dichas disfuncionalidades. En consecuencia, según la Generalitat Valenciana, sí existe un interés general como el exigido en el apartado 3 del art. 66 EACV, interés que justifica la coordinación por parte de la Generalitat de las aportaciones de las diputaciones al fondo creado por la Ley 5/2021.</w:t>
      </w:r>
    </w:p>
    <w:p w14:paraId="0FAE6068" w14:textId="77777777" w:rsidR="008D479B" w:rsidRDefault="008D479B" w:rsidP="008D479B">
      <w:pPr>
        <w:pStyle w:val="TextoNormal"/>
      </w:pPr>
    </w:p>
    <w:p w14:paraId="5E14CA5E" w14:textId="77777777" w:rsidR="008D479B" w:rsidRDefault="008D479B" w:rsidP="008D479B">
      <w:pPr>
        <w:pStyle w:val="TextoNormal"/>
      </w:pPr>
      <w:r>
        <w:t>d) Se argumenta por los recurrentes que la actividad de coordinación debe regirse por los mismos principios y reglas que en materia de ingresos y gastos públicos establecen las normas estatales para coordinar, y ponen como ejemplo tanto la Ley reguladora de las bases de régimen local como el texto refundido de la Ley reguladora de las haciendas locales, que crean mecanismos de financiación de servicios públicos análogos. Sin embargo, según el abogado de la Generalitat, se olvida que dichos mecanismos, como el contemplado en el Real Decreto Legislativo 2/2004, no se refieren a fondos de cooperación, sino a un fondo complementario de financiación, cuyos fines y objetivos no tienen relación alguna con el fondo regulado en la Ley 5/2021. Además, el hecho de que la normativa básica del Estado cree y regule unos mecanismos de coordinación, no limita la creación de otros por las comunidades autónomas que sean necesarios y adecuados a la realidad provincial de cada comunidad autónoma. La creación de mecanismos de cooperación adaptados a la realidad de cada comunidad autónoma corresponderá al legislativo de la correspondiente autonomía, en base a las peculiaridades territoriales y poblacionales de la comunidad correspondiente. Y se apoya, a tal efecto, en lo afirmado por este tribunal en las SSTC 82/2020, de 15 de julio, FJ 5, y 154/2015, de 9 de julio, FJ 6. En definitiva, según el abogado de la Generalitat, la coordinación se orienta a flexibilizar y prevenir disfunciones derivadas del propio sistema de distribución de competencias y debe graduarse en función de los intereses locales o supralocales presentes, pudiendo tener un ámbito estatal y otro autonómico, distinto del estatal y adaptado a la realidad correspondiente a los intereses locales y supralocales existentes en la concreta comunidad autónoma.</w:t>
      </w:r>
    </w:p>
    <w:p w14:paraId="61714281" w14:textId="77777777" w:rsidR="008D479B" w:rsidRDefault="008D479B" w:rsidP="008D479B">
      <w:pPr>
        <w:pStyle w:val="TextoNormal"/>
      </w:pPr>
    </w:p>
    <w:p w14:paraId="63021F8E" w14:textId="77777777" w:rsidR="008D479B" w:rsidRDefault="008D479B" w:rsidP="008D479B">
      <w:pPr>
        <w:pStyle w:val="TextoNormal"/>
      </w:pPr>
      <w:r>
        <w:t>e) Igualmente, se descarta la objeción relativa a la existencia de mecanismos menos lesivos para equiparar las aportaciones de las diputaciones provinciales a la financiación de un nivel mínimo de servicios públicos. Sostiene el abogado de la Generalitat que la Ley 5/2021 tiene la finalidad de conseguir una financiación equitativa de los servicios públicos locales básicos en todos los municipios de la Comunitat Valenciana, para lo que obliga a las diputaciones provinciales a participar presupuestariamente en el fondo y a cumplir, a través de sus presupuestos anuales, con los objetivos básicos anuales que garanticen que toda la ciudadanía reciba un nivel mínimo de prestaciones en los servicios públicos locales. Es, por ello, que desde el punto de vista de la coordinación de la financiación de servicios públicos locales, las únicas medidas posibles son las previstas en la Ley 5/2021: esto es, la obligación de contribuir al fondo de cooperación municipal y de financiar presupuestariamente determinados servicios públicos. La alternativa menos lesiva era la existente con anterioridad a la Ley 5/2021, que establecía una participación voluntaria en dicho fondo creado por el art. 64 EACV, pero se demostró ineficaz y aquejó falta de equidad y de coherencia interadministrativa. De ahí que resultase necesario pasar de la voluntariedad a la obligatoriedad, más proporcional y adecuada de acuerdo con lo fijado por la STC 82/2020 de 15 de julio, FJ 6.</w:t>
      </w:r>
    </w:p>
    <w:p w14:paraId="76C851D3" w14:textId="77777777" w:rsidR="008D479B" w:rsidRDefault="008D479B" w:rsidP="008D479B">
      <w:pPr>
        <w:pStyle w:val="TextoNormal"/>
      </w:pPr>
    </w:p>
    <w:p w14:paraId="15115BC1" w14:textId="77777777" w:rsidR="008D479B" w:rsidRDefault="008D479B" w:rsidP="008D479B">
      <w:pPr>
        <w:pStyle w:val="TextoNormal"/>
      </w:pPr>
      <w:r>
        <w:t>f) El abogado de la Generalitat no comparte tampoco el argumento de que la Ley 5/2021 extermina la autonomía financiera de las diputaciones provinciales al impedirles configurar sus presupuestos en base a sus decisiones sobre ingresos y desembolsos públicos. La aportación al fondo y la predeterminación presupuestaria de determinados gastos no afecta a la totalidad del presupuesto sino a una parte de este, quedando el restante enmarcado en la autonomía decisoria de las diputaciones. Además, el apartado 2 del art. 5 prevé la participación activa de las diputaciones en el plan sectorial de financiación básica del fondo de cooperación municipal garantizando que su voluntad presupuestaria servirá para la configuración final del fondo, por lo que no puede afirmarse que la ley priva a las diputaciones de su autonomía financiera pues, por un lado, la participación en el fondo es limitada y, por otro, su ámbito decisorio se extiende al propio fondo.</w:t>
      </w:r>
    </w:p>
    <w:p w14:paraId="65DF91B5" w14:textId="77777777" w:rsidR="008D479B" w:rsidRDefault="008D479B" w:rsidP="008D479B">
      <w:pPr>
        <w:pStyle w:val="TextoNormal"/>
      </w:pPr>
    </w:p>
    <w:p w14:paraId="54C17A06" w14:textId="77777777" w:rsidR="008D479B" w:rsidRDefault="008D479B" w:rsidP="008D479B">
      <w:pPr>
        <w:pStyle w:val="TextoNormal"/>
      </w:pPr>
      <w:r>
        <w:t>g) Finalmente, por lo que se refiere a la exigencia de que la limitación de la autonomía provincial esté suficientemente predeterminada por la ley, el abogado de la Generalitat recuerda lo afirmado por la STC 111/2016, de 9 de junio, relativa a la Ley 27/2013, de racionalización y sostenibilidad de la administración local, para acabar concluyendo que la predeterminación y concreción de la Ley 5/2021 es muy superior a la de esta, declarada constitucional en este aspecto por el Tribunal Constitucional. El grado de predeterminación de la limitación previsto en la ley impugnada es, según el abogado de la Generalitat, muy superior al exigido de ordinario por la jurisprudencia del máximo intérprete de la Constitución, con lo que, en su opinión, se cumplen los cánones exigidos tanto por el Tribunal Constitucional como por el art. 59 LBRL.</w:t>
      </w:r>
    </w:p>
    <w:p w14:paraId="651C3DBE" w14:textId="77777777" w:rsidR="008D479B" w:rsidRDefault="008D479B" w:rsidP="008D479B">
      <w:pPr>
        <w:pStyle w:val="TextoNormal"/>
      </w:pPr>
    </w:p>
    <w:p w14:paraId="5CDECDA8" w14:textId="272786A7" w:rsidR="008D479B" w:rsidRDefault="008D479B" w:rsidP="008D479B">
      <w:pPr>
        <w:pStyle w:val="TextoNormal"/>
      </w:pPr>
      <w:r>
        <w:t>En conclusión, cabe entender que la Ley 5/2021, de 5 de noviembre, reguladora del fondo de cooperación municipal de los municipios y entidades locales menores de la Comunitat Valenciana, cumple con los requisitos exigidos por la legislación básica y por la doctrina del Tribunal Constitucional al obedecer a un interés público comprobado, ser proporcional, estar suficientemente predeterminada y ejecutarse mediante un planeamiento sectorial previo (con cita de la STC 82/2020, FJ 6).</w:t>
      </w:r>
    </w:p>
    <w:p w14:paraId="77F17E42" w14:textId="77777777" w:rsidR="008D479B" w:rsidRDefault="008D479B" w:rsidP="008D479B">
      <w:pPr>
        <w:pStyle w:val="TextoNormal"/>
      </w:pPr>
    </w:p>
    <w:p w14:paraId="4CD0C738" w14:textId="00778E35" w:rsidR="008D479B" w:rsidRDefault="008D479B" w:rsidP="008D479B">
      <w:pPr>
        <w:pStyle w:val="TextoNormal"/>
      </w:pPr>
      <w:r w:rsidRPr="008D479B">
        <w:rPr>
          <w:rStyle w:val="NumeroAFNegritaCaracter"/>
        </w:rPr>
        <w:t>8</w:t>
      </w:r>
      <w:r>
        <w:t>. Mediante providencia de 24 de octubre de 2023, se acordó señalar ese mismo día para la deliberación y votación de la presente sentencia.</w:t>
      </w:r>
    </w:p>
    <w:p w14:paraId="1575AC74" w14:textId="77777777" w:rsidR="008D479B" w:rsidRDefault="008D479B" w:rsidP="008D479B">
      <w:pPr>
        <w:pStyle w:val="TextoNormal"/>
      </w:pPr>
    </w:p>
    <w:p w14:paraId="1FC158E2" w14:textId="77777777" w:rsidR="008D479B" w:rsidRDefault="008D479B" w:rsidP="008D479B">
      <w:pPr>
        <w:pStyle w:val="TextoNormalNegritaCentrado"/>
        <w:keepNext/>
      </w:pPr>
      <w:r>
        <w:t>II. Fundamentos jurídicos</w:t>
      </w:r>
    </w:p>
    <w:p w14:paraId="7D4EA2F3" w14:textId="4CCE41DB" w:rsidR="008D479B" w:rsidRDefault="008D479B" w:rsidP="008D479B">
      <w:pPr>
        <w:pStyle w:val="TextoNormalNegritaCentrado"/>
        <w:keepNext/>
      </w:pPr>
    </w:p>
    <w:p w14:paraId="7B591C2F" w14:textId="77777777" w:rsidR="008D479B" w:rsidRDefault="008D479B" w:rsidP="008D479B">
      <w:pPr>
        <w:pStyle w:val="TextoNormal"/>
      </w:pPr>
      <w:r w:rsidRPr="008D479B">
        <w:rPr>
          <w:rStyle w:val="NumeroAFNegritaCaracter"/>
        </w:rPr>
        <w:t>1</w:t>
      </w:r>
      <w:r>
        <w:t xml:space="preserve">. </w:t>
      </w:r>
      <w:r w:rsidRPr="008D479B">
        <w:rPr>
          <w:i/>
        </w:rPr>
        <w:t>Objeto del recurso de inconstitucionalidad y posiciones de las partes</w:t>
      </w:r>
    </w:p>
    <w:p w14:paraId="70FAD818" w14:textId="77777777" w:rsidR="008D479B" w:rsidRDefault="008D479B" w:rsidP="008D479B">
      <w:pPr>
        <w:pStyle w:val="TextoNormal"/>
      </w:pPr>
    </w:p>
    <w:p w14:paraId="03E3AE31" w14:textId="77777777" w:rsidR="008D479B" w:rsidRDefault="008D479B" w:rsidP="008D479B">
      <w:pPr>
        <w:pStyle w:val="TextoNormal"/>
      </w:pPr>
      <w:r>
        <w:t>El presente recurso de inconstitucionalidad ha sido interpuesto por cincuenta y dos diputados y diputadas del Grupo Parlamentario Vox en el Congreso de los Diputados contra los arts. 2.2; 5.1, 2, 5 y 6; 7 a); 8; 9.1; 11.1 d) y 2 e) tercer guion y la disposición final primera de la Ley de las Corts Valencianes 5/2021, de 5 de noviembre, reguladora del fondo de cooperación municipal de los municipios y entidades locales menores de la Comunitat Valenciana.</w:t>
      </w:r>
    </w:p>
    <w:p w14:paraId="606C4749" w14:textId="77777777" w:rsidR="008D479B" w:rsidRDefault="008D479B" w:rsidP="008D479B">
      <w:pPr>
        <w:pStyle w:val="TextoNormal"/>
      </w:pPr>
    </w:p>
    <w:p w14:paraId="533A8926" w14:textId="6703B841" w:rsidR="008D479B" w:rsidRDefault="008D479B" w:rsidP="008D479B">
      <w:pPr>
        <w:pStyle w:val="TextoNormal"/>
      </w:pPr>
      <w:r>
        <w:t>Como se ha expuesto en los antecedentes, los recurrentes consideran que los preceptos impugnados vulneran la garantía constitucional de la autonomía provincial reconocida en los arts. 137 y 141 CE, así como la configuración legal que de esa autonomía ha realizado el legislador básico estatal en los arts. 7.2, 10.2, 36.1 y 59 LBRL. Igualmente entienden vulnerada la autonomía y suficiencia financiera de las diputaciones provinciales consagrada en el art. 142 CE. Por su parte, tanto el letrado de las Corts Valencianes como la Abogacía General de la Generalitat Valenciana defienden la plena constitucionalidad de la norma.</w:t>
      </w:r>
    </w:p>
    <w:p w14:paraId="36273F50" w14:textId="77777777" w:rsidR="008D479B" w:rsidRDefault="008D479B" w:rsidP="008D479B">
      <w:pPr>
        <w:pStyle w:val="TextoNormal"/>
      </w:pPr>
    </w:p>
    <w:p w14:paraId="015F7BF9" w14:textId="77777777" w:rsidR="008D479B" w:rsidRDefault="008D479B" w:rsidP="008D479B">
      <w:pPr>
        <w:pStyle w:val="TextoNormal"/>
      </w:pPr>
      <w:r w:rsidRPr="008D479B">
        <w:rPr>
          <w:rStyle w:val="NumeroAFNegritaCaracter"/>
        </w:rPr>
        <w:t>2</w:t>
      </w:r>
      <w:r>
        <w:t xml:space="preserve">. </w:t>
      </w:r>
      <w:r w:rsidRPr="008D479B">
        <w:rPr>
          <w:i/>
        </w:rPr>
        <w:t>Consideraciones previas sobre la delimitación del objeto del recurso</w:t>
      </w:r>
    </w:p>
    <w:p w14:paraId="3FAB4B77" w14:textId="77777777" w:rsidR="008D479B" w:rsidRDefault="008D479B" w:rsidP="008D479B">
      <w:pPr>
        <w:pStyle w:val="TextoNormal"/>
      </w:pPr>
    </w:p>
    <w:p w14:paraId="7A10268A" w14:textId="77777777" w:rsidR="008D479B" w:rsidRDefault="008D479B" w:rsidP="008D479B">
      <w:pPr>
        <w:pStyle w:val="TextoNormal"/>
      </w:pPr>
      <w:r>
        <w:t>a) En primer lugar, este tribunal ya ha resuelto en la STC 124/2023, de 26 de septiembre, el recurso de inconstitucionalidad núm. 614-2022, interpuesto por más de cincuenta diputados y diputadas del Grupo Parlamentario Popular en el Congreso de los Diputados, contra varios preceptos de la Ley de las Corts Valencianes 5/2021, de 5 de noviembre, reguladora del fondo de cooperación municipal de los municipios y entidades locales menores de la Comunitat Valenciana.</w:t>
      </w:r>
    </w:p>
    <w:p w14:paraId="1033E008" w14:textId="77777777" w:rsidR="008D479B" w:rsidRDefault="008D479B" w:rsidP="008D479B">
      <w:pPr>
        <w:pStyle w:val="TextoNormal"/>
      </w:pPr>
    </w:p>
    <w:p w14:paraId="5715D28D" w14:textId="77777777" w:rsidR="008D479B" w:rsidRDefault="008D479B" w:rsidP="008D479B">
      <w:pPr>
        <w:pStyle w:val="TextoNormal"/>
      </w:pPr>
      <w:r>
        <w:t>b) En segundo lugar, en la medida en que los preceptos impugnados, en ambos recursos, son coincidentes en su mayor parte, hemos de determinar, con carácter preliminar, la incidencia que la citada STC 124/2023 tiene en el objeto del presente recurso de inconstitucionalidad.</w:t>
      </w:r>
    </w:p>
    <w:p w14:paraId="2E702A7B" w14:textId="77777777" w:rsidR="008D479B" w:rsidRDefault="008D479B" w:rsidP="008D479B">
      <w:pPr>
        <w:pStyle w:val="TextoNormal"/>
      </w:pPr>
    </w:p>
    <w:p w14:paraId="1E17E785" w14:textId="77777777" w:rsidR="008D479B" w:rsidRDefault="008D479B" w:rsidP="008D479B">
      <w:pPr>
        <w:pStyle w:val="TextoNormal"/>
      </w:pPr>
      <w:r>
        <w:t>(i) El presente recurso impugna previsiones que ya han sido declaradas inconstitucionales y nulas por la STC 124/2023: el inciso “en aplicación del artículo 66 del Estatuto de Autonomía de la Comunitat Valenciana”, del apartado 6 del art. 5, y el art. 7 en su totalidad. De acuerdo con la doctrina constitucional [por todas, la STC 107/2017, de 21 de septiembre, FJ 2 a), y las allí citadas], la expulsión del ordenamiento jurídico de estas previsiones determina la pérdida sobrevenida de objeto de las impugnaciones correspondientes.</w:t>
      </w:r>
    </w:p>
    <w:p w14:paraId="6F1E03B0" w14:textId="77777777" w:rsidR="008D479B" w:rsidRDefault="008D479B" w:rsidP="008D479B">
      <w:pPr>
        <w:pStyle w:val="TextoNormal"/>
      </w:pPr>
    </w:p>
    <w:p w14:paraId="44C7930E" w14:textId="77777777" w:rsidR="008D479B" w:rsidRDefault="008D479B" w:rsidP="008D479B">
      <w:pPr>
        <w:pStyle w:val="TextoNormal"/>
      </w:pPr>
      <w:r>
        <w:t>(ii) Los siguientes preceptos e incisos han sido declarados constitucionales por la STC 124/2023: el art. 2.2; el inciso “y las diputaciones provinciales” del art. 5.1; los incisos “en el que participarán las diputaciones provinciales” y “y cada diputación provincial” del art. 5.2; el art. 5.5 y 6; y el art. 8. La doctrina allí establecida (fundamentos jurídicos 5 a 8) es igualmente aplicable al presente recurso, por lo que de conformidad con la misma se han de entender desestimadas por remisión las tachas de inconstitucionalidad formuladas contra los arts. 2.2; 5.1, 2, 5 y 6; y 8.</w:t>
      </w:r>
    </w:p>
    <w:p w14:paraId="2F786B9A" w14:textId="77777777" w:rsidR="008D479B" w:rsidRDefault="008D479B" w:rsidP="008D479B">
      <w:pPr>
        <w:pStyle w:val="TextoNormal"/>
      </w:pPr>
    </w:p>
    <w:p w14:paraId="20E834A1" w14:textId="2B87D41E" w:rsidR="008D479B" w:rsidRDefault="008D479B" w:rsidP="008D479B">
      <w:pPr>
        <w:pStyle w:val="TextoNormal"/>
      </w:pPr>
      <w:r>
        <w:t>(iii) Los arts. 9.1 y 11.1 d) y 2 e) tercer guion, así como la disposición final primera no han sido objeto de impugnación en el recurso núm. 614-2022 interpuesto por el Grupo Parlamentario Popular en el Congreso de los Diputados. A continuación, abordaremos su examen, si bien también se tomará en consideración la doctrina fijada en la ya citada STC 124/2023 en la medida en que sirva para dar respuesta a las tachas de inconstitucionalidad alegadas.</w:t>
      </w:r>
    </w:p>
    <w:p w14:paraId="200F459E" w14:textId="77777777" w:rsidR="008D479B" w:rsidRDefault="008D479B" w:rsidP="008D479B">
      <w:pPr>
        <w:pStyle w:val="TextoNormal"/>
      </w:pPr>
    </w:p>
    <w:p w14:paraId="32FBEE86" w14:textId="77777777" w:rsidR="008D479B" w:rsidRDefault="008D479B" w:rsidP="008D479B">
      <w:pPr>
        <w:pStyle w:val="TextoNormal"/>
      </w:pPr>
      <w:r w:rsidRPr="008D479B">
        <w:rPr>
          <w:rStyle w:val="NumeroAFNegritaCaracter"/>
        </w:rPr>
        <w:t>3</w:t>
      </w:r>
      <w:r>
        <w:t xml:space="preserve">. </w:t>
      </w:r>
      <w:r w:rsidRPr="008D479B">
        <w:rPr>
          <w:i/>
        </w:rPr>
        <w:t>Desestimación de los motivos de impugnación esgrimidos en relación con los arts. 9.1 y 11.1 d) y 2 e) tercer guion y la disposición final primera de la Ley 5/2021</w:t>
      </w:r>
    </w:p>
    <w:p w14:paraId="7250CF97" w14:textId="77777777" w:rsidR="008D479B" w:rsidRDefault="008D479B" w:rsidP="008D479B">
      <w:pPr>
        <w:pStyle w:val="TextoNormal"/>
      </w:pPr>
    </w:p>
    <w:p w14:paraId="2AB82605" w14:textId="77777777" w:rsidR="008D479B" w:rsidRDefault="008D479B" w:rsidP="008D479B">
      <w:pPr>
        <w:pStyle w:val="TextoNormal"/>
      </w:pPr>
      <w:r>
        <w:t>a) El art. 9.1 posibilita que mediante decreto se puedan establecer líneas específicas del fondo de cooperación municipal complementarias de la general, lo que, según los recurrentes, ahonda en la vulneración de la autonomía de las diputaciones provinciales al anular por completo su capacidad de decisión político-administrativa. Esta es una alegación que, sin embargo, este tribunal no puede compartir, pues de dicho precepto en absoluto se puede derivar que dichas líneas específicas no deban estar sometidas a las mismas condiciones que hemos venido exigiendo para considerar constitucional la línea general del fondo de cooperación municipal (STC 124/2023, FJ 8). En concreto, será necesario que dichas líneas específicas se integren en el plan sectorial anual, siguiendo el mismo proceso participativo y sin que puedan suponer, en ningún caso, una obligación financiera de las diputaciones provinciales que ponga en riesgo su autonomía presupuestaria.</w:t>
      </w:r>
    </w:p>
    <w:p w14:paraId="47600407" w14:textId="77777777" w:rsidR="008D479B" w:rsidRDefault="008D479B" w:rsidP="008D479B">
      <w:pPr>
        <w:pStyle w:val="TextoNormal"/>
      </w:pPr>
    </w:p>
    <w:p w14:paraId="3E46FBBD" w14:textId="77777777" w:rsidR="008D479B" w:rsidRDefault="008D479B" w:rsidP="008D479B">
      <w:pPr>
        <w:pStyle w:val="TextoNormal"/>
      </w:pPr>
      <w:r>
        <w:t>b) La tacha de inconstitucionalidad de los apartados 1 d) y 2 e) tercer guion del art. 11, relativa a la composición de la comisión de colaboración y coordinación, tampoco puede prosperar debido a que, por un lado, el dato que soporta esta alegación de los diputados recurrentes es erróneo: la citada comisión no está integrada únicamente por tres representantes de las diputaciones provinciales con derecho a voto, sino por seis (un tercio del total de sus miembros), tal y como se desprende inequívocamente de los preceptos referidos. Por otro lado, como ya señalamos en la STC 124/2023, FJ 8, en la concreción de la coordinación autonómica a través de los planes sectoriales anuales queda suficientemente garantizada la participación de las diputaciones provinciales a fin de defender sus propios intereses. Y es que, en efecto, lo que es exigible es que el legislador haya graduado el alcance o intensidad de la propia coordinación en función de la relación entre los intereses locales y supralocales o comunitarios existente en el asunto en cuestión, algo que, en el caso de la ley enjuiciada, se ha hecho, siempre que se tenga en cuenta que, como hemos reiterado, la obligación de participación de las diputaciones en la dotación financiera del fondo, a concretar en cada plan sectorial anual, ha de ser muy limitada, sin que, por consiguiente, pueda poner en entredicho su capacidad de decisión autónoma en materia presupuestaria.</w:t>
      </w:r>
    </w:p>
    <w:p w14:paraId="288A24F5" w14:textId="77777777" w:rsidR="008D479B" w:rsidRDefault="008D479B" w:rsidP="008D479B">
      <w:pPr>
        <w:pStyle w:val="TextoNormal"/>
      </w:pPr>
    </w:p>
    <w:p w14:paraId="4BFD9FC0" w14:textId="642F5AF3" w:rsidR="008D479B" w:rsidRDefault="008D479B" w:rsidP="008D479B">
      <w:pPr>
        <w:pStyle w:val="TextoNormal"/>
      </w:pPr>
      <w:r>
        <w:t>c) Finalmente, tampoco cabe apreciar inconstitucionalidad alguna en el contenido de la disposición final primera, en cuanto se limita a atribuir rango reglamentario a la composición de la comisión de colaboración y coordinación del fondo de cooperación municipal. La alegación de los recurrentes está basada exclusivamente en un temor futuro: el Consell puede “minorar en cualquier momento e incluso suprimir la preceptiva presencia de las diputaciones provinciales”. Es constante la doctrina de este tribunal que insiste en que no será legítima la utilización del recurso de inconstitucionalidad con la finalidad de obtener declaraciones preventivas o previsoras ante eventuales agravios (STC 36/2022, de 10 de marzo, FJ 4, y las allí citadas). Es por ello que, si algo así sucediera, en la medida en que pudiera ser una decisión que no garantizara suficientemente la participación de las diputaciones provinciales en defensa de sus intereses, sería susceptible de ser impugnada y, en su caso, declarada nula. Dicho de otro modo, la previsión de la disposición final primera es susceptible de ser interpretada y desarrollada en un sentido perfectamente constitucional.</w:t>
      </w:r>
    </w:p>
    <w:p w14:paraId="12CB1643" w14:textId="77777777" w:rsidR="008D479B" w:rsidRDefault="008D479B" w:rsidP="008D479B">
      <w:pPr>
        <w:pStyle w:val="TextoNormal"/>
      </w:pPr>
    </w:p>
    <w:p w14:paraId="513AF943" w14:textId="77777777" w:rsidR="008D479B" w:rsidRDefault="008D479B" w:rsidP="008D479B">
      <w:pPr>
        <w:pStyle w:val="TextoNormalCentrado"/>
        <w:keepNext/>
      </w:pPr>
      <w:r>
        <w:t>FALLO</w:t>
      </w:r>
    </w:p>
    <w:p w14:paraId="6BFE604E" w14:textId="18C17890" w:rsidR="008D479B" w:rsidRDefault="008D479B" w:rsidP="008D479B">
      <w:pPr>
        <w:pStyle w:val="TextoNormalCentrado"/>
        <w:keepNext/>
      </w:pPr>
    </w:p>
    <w:p w14:paraId="23E8377D" w14:textId="77777777" w:rsidR="008D479B" w:rsidRDefault="008D479B" w:rsidP="008D479B">
      <w:pPr>
        <w:pStyle w:val="TextoNormal"/>
      </w:pPr>
      <w:r>
        <w:t>En atención a todo lo expuesto, el Tribunal Constitucional, por la autoridad que le confiere la Constitución de la Nación española, ha decidido:</w:t>
      </w:r>
    </w:p>
    <w:p w14:paraId="4F7F25B9" w14:textId="77777777" w:rsidR="008D479B" w:rsidRDefault="008D479B" w:rsidP="008D479B">
      <w:pPr>
        <w:pStyle w:val="TextoNormal"/>
      </w:pPr>
    </w:p>
    <w:p w14:paraId="1E85A085" w14:textId="77777777" w:rsidR="008D479B" w:rsidRDefault="008D479B" w:rsidP="008D479B">
      <w:pPr>
        <w:pStyle w:val="TextoNormal"/>
      </w:pPr>
      <w:r>
        <w:t>1º Declarar extinguida, por pérdida sobrevenida de objeto, la impugnación del inciso “en aplicación del artículo 66 del Estatuto de Autonomía de la Comunitat Valenciana”, del apartado 6 del art. 5; y del art. 7 de la Ley de las Corts Valencianes 5/2021, de 5 de noviembre, reguladora del fondo de cooperación municipal de los municipios y entidades locales menores de la Comunitat Valenciana.</w:t>
      </w:r>
    </w:p>
    <w:p w14:paraId="4DF8E345" w14:textId="77777777" w:rsidR="008D479B" w:rsidRDefault="008D479B" w:rsidP="008D479B">
      <w:pPr>
        <w:pStyle w:val="TextoNormal"/>
      </w:pPr>
    </w:p>
    <w:p w14:paraId="3D4D5212" w14:textId="60339EB0" w:rsidR="008D479B" w:rsidRDefault="008D479B" w:rsidP="008D479B">
      <w:pPr>
        <w:pStyle w:val="TextoNormal"/>
      </w:pPr>
      <w:r>
        <w:t>2º Desestimar el recurso de inconstitucionalidad en todo lo demás.</w:t>
      </w:r>
    </w:p>
    <w:p w14:paraId="539CC97A" w14:textId="77777777" w:rsidR="008D479B" w:rsidRDefault="008D479B" w:rsidP="008D479B">
      <w:pPr>
        <w:pStyle w:val="TextoNormal"/>
      </w:pPr>
    </w:p>
    <w:p w14:paraId="01DA9AFC" w14:textId="77777777" w:rsidR="008D479B" w:rsidRDefault="008D479B" w:rsidP="008D479B">
      <w:pPr>
        <w:pStyle w:val="TextoNormal"/>
      </w:pPr>
      <w:r>
        <w:t>Publíquese esta sentencia en el “Boletín Oficial del Estado”.</w:t>
      </w:r>
    </w:p>
    <w:p w14:paraId="357F1E17" w14:textId="77777777" w:rsidR="008D479B" w:rsidRDefault="008D479B" w:rsidP="008D479B">
      <w:pPr>
        <w:pStyle w:val="TextoNormal"/>
      </w:pPr>
      <w:r>
        <w:t>Dada en Madrid, a veinticuatro de octubre de dos mil veintitrés.</w:t>
      </w:r>
    </w:p>
    <w:p w14:paraId="74C740B7" w14:textId="3A7855C4" w:rsidR="008D479B" w:rsidRDefault="008D479B" w:rsidP="008D479B">
      <w:pPr>
        <w:pStyle w:val="ParrafoNormal"/>
      </w:pPr>
    </w:p>
    <w:p w14:paraId="3F1F47F0" w14:textId="77777777" w:rsidR="008D479B" w:rsidRDefault="008D479B" w:rsidP="008D479B">
      <w:pPr>
        <w:pStyle w:val="TextoNormalNegritaCentrado"/>
        <w:keepNext/>
      </w:pPr>
      <w:r>
        <w:t>Voto particular que formula el magistrado don Ramón Sáez Valcárcel a la sentencia dictada en el recurso de inconstitucionalidad núm. 874-2022</w:t>
      </w:r>
    </w:p>
    <w:p w14:paraId="19E49ADB" w14:textId="7215886A" w:rsidR="008D479B" w:rsidRDefault="008D479B" w:rsidP="008D479B">
      <w:pPr>
        <w:pStyle w:val="TextoNormalNegritaCentrado"/>
        <w:keepNext/>
      </w:pPr>
    </w:p>
    <w:p w14:paraId="50E772C9" w14:textId="77777777" w:rsidR="008D479B" w:rsidRDefault="008D479B" w:rsidP="008D479B">
      <w:pPr>
        <w:pStyle w:val="TextoNormal"/>
      </w:pPr>
      <w:r>
        <w:t>Las razones de mi desacuerdo con la fundamentación y el fallo de la sentencia son las mismas que expresé en mi voto particular a la STC 124/2023, de 26 de septiembre, por la que se resolvió el recurso de inconstitucionalidad núm. 614-2022, cuyo contenido era sustancialmente idéntico al ahora enjuiciado, y cuya doctrina se aplica. Me remito, por lo tanto, a lo que allí consta.</w:t>
      </w:r>
    </w:p>
    <w:p w14:paraId="4F8D4BCC" w14:textId="77777777" w:rsidR="008D479B" w:rsidRDefault="008D479B" w:rsidP="008D479B">
      <w:pPr>
        <w:pStyle w:val="TextoNormal"/>
      </w:pPr>
    </w:p>
    <w:p w14:paraId="1309070A" w14:textId="7AA1B37D" w:rsidR="008D479B" w:rsidRDefault="008D479B" w:rsidP="008D479B">
      <w:pPr>
        <w:pStyle w:val="TextoNormal"/>
      </w:pPr>
      <w:r>
        <w:t>Madrid, a veinticuatro de octubre de dos mil veintitrés.</w:t>
      </w:r>
    </w:p>
    <w:p w14:paraId="5FA15433" w14:textId="77777777" w:rsidR="008D479B" w:rsidRDefault="008D479B" w:rsidP="008D479B">
      <w:pPr>
        <w:pStyle w:val="TextoNormal"/>
      </w:pPr>
    </w:p>
    <w:p w14:paraId="43FEBB96" w14:textId="77777777" w:rsidR="008D479B" w:rsidRDefault="008D479B" w:rsidP="008D479B">
      <w:pPr>
        <w:pStyle w:val="TextoNormalNegritaCentrado"/>
        <w:keepNext/>
      </w:pPr>
      <w:r>
        <w:t>Voto particular que formulan el magistrado don Enrique Arnaldo Alcubilla, la magistrada doña Concepción Espejel Jorquera y el magistrado don César Tolosa Tribiño a la sentencia del Pleno que resuelve el recurso de inconstitucionalidad núm. 874-2022</w:t>
      </w:r>
    </w:p>
    <w:p w14:paraId="5D988C26" w14:textId="4045774E" w:rsidR="008D479B" w:rsidRDefault="008D479B" w:rsidP="008D479B">
      <w:pPr>
        <w:pStyle w:val="TextoNormalNegritaCentrado"/>
        <w:keepNext/>
      </w:pPr>
    </w:p>
    <w:p w14:paraId="78D4D79A" w14:textId="77777777" w:rsidR="008D479B" w:rsidRDefault="008D479B" w:rsidP="008D479B">
      <w:pPr>
        <w:pStyle w:val="TextoNormal"/>
      </w:pPr>
      <w:r>
        <w:t>En el ejercicio de la facultad que nos confiere el artículo 90.2 de la Ley Orgánica del Tribunal Constitucional (LOTC), y con respeto a la opinión de la mayoría del Pleno, formulamos el presente voto particular por discrepar de la fundamentación y del fallo de la sentencia recaída en el recurso de inconstitucionalidad 874-2022, interpuesto contra la Ley de las Corts Valencianes 5/2021, de 5 de noviembre, reguladora del fondo de cooperación municipal de los municipios y entidades locales menores de la Comunitat Valenciana.</w:t>
      </w:r>
    </w:p>
    <w:p w14:paraId="395760A8" w14:textId="77777777" w:rsidR="008D479B" w:rsidRDefault="008D479B" w:rsidP="008D479B">
      <w:pPr>
        <w:pStyle w:val="TextoNormal"/>
      </w:pPr>
    </w:p>
    <w:p w14:paraId="5DFA4C34" w14:textId="77777777" w:rsidR="008D479B" w:rsidRDefault="008D479B" w:rsidP="008D479B">
      <w:pPr>
        <w:pStyle w:val="TextoNormal"/>
      </w:pPr>
      <w:r>
        <w:t>Las razones de nuestra discrepancia han quedado detalladamente expuestas en el voto particular formulado a la STC 124/2023, de 26 de septiembre, de la que la presente resolución es aplicación, por lo que, a fin de evitar reiteraciones innecesarias, nos remitimos ahora a dicho voto particular en su totalidad.</w:t>
      </w:r>
    </w:p>
    <w:p w14:paraId="49B91692" w14:textId="77777777" w:rsidR="008D479B" w:rsidRDefault="008D479B" w:rsidP="008D479B">
      <w:pPr>
        <w:pStyle w:val="TextoNormal"/>
      </w:pPr>
    </w:p>
    <w:p w14:paraId="485CB434" w14:textId="5CA3BDD2" w:rsidR="008D479B" w:rsidRDefault="008D479B" w:rsidP="008D479B">
      <w:pPr>
        <w:pStyle w:val="TextoNormal"/>
      </w:pPr>
      <w:r>
        <w:t>Madrid, a veinticuatro de octubre de dos mil veintitrés.</w:t>
      </w:r>
    </w:p>
    <w:p w14:paraId="34E51F52" w14:textId="54EF4D60" w:rsidR="008D479B" w:rsidRDefault="008D479B">
      <w:pPr>
        <w:spacing w:after="160" w:line="278" w:lineRule="auto"/>
        <w:rPr>
          <w:rFonts w:ascii="Times New Roman" w:eastAsia="Times New Roman" w:hAnsi="Times New Roman" w:cs="Times New Roman"/>
          <w:sz w:val="24"/>
          <w:szCs w:val="24"/>
          <w:lang w:eastAsia="es-ES"/>
        </w:rPr>
      </w:pPr>
      <w:r>
        <w:br w:type="page"/>
      </w:r>
    </w:p>
    <w:p w14:paraId="52457069" w14:textId="77777777" w:rsidR="008D479B" w:rsidRDefault="008D479B" w:rsidP="008D479B">
      <w:pPr>
        <w:pStyle w:val="TtuloResolucin"/>
      </w:pPr>
      <w:bookmarkStart w:id="69" w:name="SENTENCIA_2023_144"/>
      <w:r>
        <w:t>SENTENCIA 144/2023, de 25 de octubre de 2023</w:t>
      </w:r>
    </w:p>
    <w:bookmarkEnd w:id="69"/>
    <w:p w14:paraId="7C1CA486" w14:textId="77777777" w:rsidR="008D479B" w:rsidRDefault="008D479B" w:rsidP="008D479B">
      <w:pPr>
        <w:pStyle w:val="TtuloResolucin"/>
      </w:pPr>
      <w:r>
        <w:t>Pleno</w:t>
      </w:r>
    </w:p>
    <w:p w14:paraId="331DF35B" w14:textId="77777777" w:rsidR="008D479B" w:rsidRDefault="008D479B" w:rsidP="008D479B">
      <w:pPr>
        <w:pStyle w:val="TtuloBOE"/>
      </w:pPr>
      <w:r>
        <w:t>(BOE núm. 286, de 30 de noviembre de 2023)</w:t>
      </w:r>
    </w:p>
    <w:p w14:paraId="6188D750" w14:textId="77777777" w:rsidR="008D479B" w:rsidRDefault="008D479B" w:rsidP="008D479B">
      <w:pPr>
        <w:pStyle w:val="TextoNormalCentrado"/>
      </w:pPr>
      <w:r>
        <w:t>ECLI:ES:TC:2023:144</w:t>
      </w:r>
    </w:p>
    <w:p w14:paraId="6A278E01" w14:textId="0A7FBD2B" w:rsidR="008D479B" w:rsidRDefault="008D479B" w:rsidP="008D479B">
      <w:pPr>
        <w:pStyle w:val="TextoNormalCentrado"/>
      </w:pPr>
    </w:p>
    <w:p w14:paraId="2FCAE200" w14:textId="77777777" w:rsidR="008D479B" w:rsidRDefault="008D479B" w:rsidP="008D479B">
      <w:pPr>
        <w:pStyle w:val="SntesisDescriptiva"/>
      </w:pPr>
      <w:r>
        <w:t>Recurso de inconstitucionalidad 4977-2021. Interpuesto por más de cincuenta diputados del grupo parlamentario Popular en el Congreso de los Diputados en relación con el Real Decreto-ley 9/2021, de 11 de mayo, por el que se modifica el texto refundido de la Ley del estatuto de los trabajadores, aprobado por el Real Decreto Legislativo 2/2015, de 23 de octubre, para garantizar los derechos laborales de las personas dedicadas al reparto en el ámbito de las plataformas digitales.</w:t>
      </w:r>
    </w:p>
    <w:p w14:paraId="22D81A7F" w14:textId="7B98CBAF" w:rsidR="008D479B" w:rsidRDefault="008D479B" w:rsidP="008D479B">
      <w:pPr>
        <w:pStyle w:val="SntesisDescriptiva"/>
      </w:pPr>
    </w:p>
    <w:p w14:paraId="33EC17A2" w14:textId="77777777" w:rsidR="008D479B" w:rsidRDefault="008D479B" w:rsidP="008D479B">
      <w:pPr>
        <w:pStyle w:val="SntesisAnaltica"/>
      </w:pPr>
      <w:r>
        <w:t>Límites de los decretos leyes: concurrencia del presupuesto habilitante de la situación de extraordinaria y urgente necesidad y de la conexión de sentido de las medidas dispuestas para hacerle frente. Voto particular.</w:t>
      </w:r>
    </w:p>
    <w:p w14:paraId="17CE0A32" w14:textId="5669CD0C" w:rsidR="008D479B" w:rsidRDefault="008D479B" w:rsidP="008D479B">
      <w:pPr>
        <w:pStyle w:val="SntesisAnaltica"/>
      </w:pPr>
    </w:p>
    <w:p w14:paraId="2F126B12" w14:textId="1FFBB110" w:rsidR="008D479B" w:rsidRDefault="008D479B" w:rsidP="008D479B">
      <w:pPr>
        <w:pStyle w:val="Extracto"/>
      </w:pPr>
      <w:r>
        <w:t>1.</w:t>
      </w:r>
      <w:r>
        <w:tab/>
        <w:t>Reiteración de doctrina constitucional relativa a la existencia y justificación del presupuesto habilitante de la “extraordinaria y urgente necesidad” exigido por el art. 86.1 CE para la aprobación de reales decretos-leyes (SSTC 29/1982 o15/2023) [FJ 3].</w:t>
      </w:r>
    </w:p>
    <w:p w14:paraId="2BD6E812" w14:textId="77777777" w:rsidR="008D479B" w:rsidRDefault="008D479B" w:rsidP="008D479B">
      <w:pPr>
        <w:pStyle w:val="Extracto"/>
      </w:pPr>
    </w:p>
    <w:p w14:paraId="6B4E21C1" w14:textId="2F71D071" w:rsidR="008D479B" w:rsidRDefault="008D479B" w:rsidP="008D479B">
      <w:pPr>
        <w:pStyle w:val="Extracto"/>
      </w:pPr>
      <w:r>
        <w:t>2.</w:t>
      </w:r>
      <w:r>
        <w:tab/>
        <w:t>La eficacia del acuerdo alcanzado en el marco del diálogo social depende directamente de su recepción en un texto legal: se trata de un procedimiento singular de producción normativa, de “legislación prenegociada” (STC 68/2007) [FJ 5].</w:t>
      </w:r>
    </w:p>
    <w:p w14:paraId="54A616A4" w14:textId="77777777" w:rsidR="008D479B" w:rsidRDefault="008D479B" w:rsidP="008D479B">
      <w:pPr>
        <w:pStyle w:val="Extracto"/>
      </w:pPr>
    </w:p>
    <w:p w14:paraId="06886287" w14:textId="4816C7C7" w:rsidR="008D479B" w:rsidRDefault="008D479B" w:rsidP="008D479B">
      <w:pPr>
        <w:pStyle w:val="Extracto"/>
      </w:pPr>
      <w:r>
        <w:t>3.</w:t>
      </w:r>
      <w:r>
        <w:tab/>
        <w:t>Nuestro sistema no prohíbe el uso del decreto-ley con ocasión de los procesos de diálogo social (STC 68/2007), ya que aquel constituye una fuente normativa hábil para dotar de eficacia general a los acuerdos tripartitos, siempre y cuando concurra su presupuesto habilitante [FJ 5].</w:t>
      </w:r>
    </w:p>
    <w:p w14:paraId="30F09BA8" w14:textId="77777777" w:rsidR="008D479B" w:rsidRDefault="008D479B" w:rsidP="008D479B">
      <w:pPr>
        <w:pStyle w:val="Extracto"/>
      </w:pPr>
    </w:p>
    <w:p w14:paraId="5001CBC8" w14:textId="6C63FADA" w:rsidR="008D479B" w:rsidRDefault="008D479B" w:rsidP="008D479B">
      <w:pPr>
        <w:pStyle w:val="Extracto"/>
      </w:pPr>
      <w:r>
        <w:t>4.</w:t>
      </w:r>
      <w:r>
        <w:tab/>
        <w:t>La inmediatez en la respuesta a la situación de extraordinaria y urgente necesidad puede ser complementada con alguna cautela de transitoriedad por razones técnicas (STC 23/1993) o por la necesidad de dejar transcurrir un tiempo entre la aprobación de la legislación de urgencia y su entrada en vigor para organizar las estructuras y servicios de los destinatarios de la norma (STC 86/2016) [FJ 5].</w:t>
      </w:r>
    </w:p>
    <w:p w14:paraId="30159B99" w14:textId="77777777" w:rsidR="008D479B" w:rsidRDefault="008D479B" w:rsidP="008D479B">
      <w:pPr>
        <w:pStyle w:val="Extracto"/>
      </w:pPr>
    </w:p>
    <w:p w14:paraId="1FAD232D" w14:textId="25DAB505" w:rsidR="008D479B" w:rsidRDefault="008D479B" w:rsidP="008D479B">
      <w:pPr>
        <w:pStyle w:val="Extracto"/>
      </w:pPr>
      <w:r>
        <w:t>5.</w:t>
      </w:r>
      <w:r>
        <w:tab/>
        <w:t>No pueden calificarse de irrazonable la demora en las modificaciones normativas que afectan a las relaciones entre particulares en el ámbito laboral, siempre y cuando no constituya un retraso tal que desvirtúe la urgencia declarada en la adopción de las medidas adoptadas por decreto-ley (STC 18/2023) [FJ 5].</w:t>
      </w:r>
    </w:p>
    <w:p w14:paraId="2D346714" w14:textId="77777777" w:rsidR="008D479B" w:rsidRDefault="008D479B" w:rsidP="008D479B">
      <w:pPr>
        <w:pStyle w:val="Extracto"/>
      </w:pPr>
    </w:p>
    <w:p w14:paraId="4EC30DCD" w14:textId="7F4B0BB8" w:rsidR="008D479B" w:rsidRDefault="008D479B" w:rsidP="008D479B">
      <w:pPr>
        <w:pStyle w:val="Extracto"/>
      </w:pPr>
      <w:r>
        <w:t>6.</w:t>
      </w:r>
      <w:r>
        <w:tab/>
        <w:t>Los decretos-leyes son normas provisionales y, para mantener su vigencia, precisan su convalidación por el Congreso de los Diputados en el plazo de treinta días; de modo que están sometidos a un plazo temporal de vigencia y ningún dato positivo constitucional permite afirmar que el carácter provisional del decreto-ley se refiera necesariamente al alcance temporal de la norma que con esa forma jurídica se apruebe (STC 189/2005) [FJ 5].</w:t>
      </w:r>
    </w:p>
    <w:p w14:paraId="0B24997E" w14:textId="77777777" w:rsidR="008D479B" w:rsidRDefault="008D479B" w:rsidP="008D479B">
      <w:pPr>
        <w:pStyle w:val="Extracto"/>
      </w:pPr>
    </w:p>
    <w:p w14:paraId="14330A56" w14:textId="77777777" w:rsidR="008D479B" w:rsidRDefault="008D479B" w:rsidP="008D479B">
      <w:pPr>
        <w:pStyle w:val="Extracto"/>
      </w:pPr>
    </w:p>
    <w:p w14:paraId="63114F91" w14:textId="77777777" w:rsidR="008D479B" w:rsidRDefault="008D479B" w:rsidP="008D479B">
      <w:pPr>
        <w:pStyle w:val="TextoNormal"/>
      </w:pPr>
      <w: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y doña Laura Díez Bueso, ha pronunciado</w:t>
      </w:r>
    </w:p>
    <w:p w14:paraId="3FB401F3" w14:textId="7140EEAD" w:rsidR="008D479B" w:rsidRDefault="008D479B" w:rsidP="008D479B">
      <w:pPr>
        <w:pStyle w:val="TextoNormal"/>
      </w:pPr>
    </w:p>
    <w:p w14:paraId="12145F44" w14:textId="77777777" w:rsidR="008D479B" w:rsidRDefault="008D479B" w:rsidP="008D479B">
      <w:pPr>
        <w:pStyle w:val="TextoNormalCentrado"/>
        <w:keepNext/>
      </w:pPr>
      <w:r>
        <w:t>EN NOMBRE DEL REY</w:t>
      </w:r>
    </w:p>
    <w:p w14:paraId="6871FB93" w14:textId="77CD17BB" w:rsidR="008D479B" w:rsidRDefault="008D479B" w:rsidP="008D479B">
      <w:pPr>
        <w:pStyle w:val="TextoNormalCentrado"/>
        <w:keepNext/>
      </w:pPr>
    </w:p>
    <w:p w14:paraId="76CE10D3" w14:textId="77777777" w:rsidR="008D479B" w:rsidRDefault="008D479B" w:rsidP="008D479B">
      <w:pPr>
        <w:pStyle w:val="TextoNormalCentrado"/>
        <w:keepNext/>
      </w:pPr>
    </w:p>
    <w:p w14:paraId="3CAD0394" w14:textId="77777777" w:rsidR="008D479B" w:rsidRDefault="008D479B" w:rsidP="008D479B">
      <w:pPr>
        <w:pStyle w:val="TextoNormal"/>
      </w:pPr>
      <w:r>
        <w:t>la siguiente</w:t>
      </w:r>
    </w:p>
    <w:p w14:paraId="53F82081" w14:textId="7103DFC9" w:rsidR="008D479B" w:rsidRDefault="008D479B" w:rsidP="008D479B">
      <w:pPr>
        <w:pStyle w:val="TextoNormal"/>
      </w:pPr>
    </w:p>
    <w:p w14:paraId="64CC3686" w14:textId="77777777" w:rsidR="008D479B" w:rsidRDefault="008D479B" w:rsidP="008D479B">
      <w:pPr>
        <w:pStyle w:val="TextoNormalCentrado"/>
        <w:keepNext/>
      </w:pPr>
      <w:r>
        <w:t>SENTENCIA</w:t>
      </w:r>
    </w:p>
    <w:p w14:paraId="7DB2B8B7" w14:textId="4C6549C7" w:rsidR="008D479B" w:rsidRDefault="008D479B" w:rsidP="008D479B">
      <w:pPr>
        <w:pStyle w:val="TextoNormalCentrado"/>
        <w:keepNext/>
      </w:pPr>
    </w:p>
    <w:p w14:paraId="28DCFC41" w14:textId="77777777" w:rsidR="008D479B" w:rsidRDefault="008D479B" w:rsidP="008D479B">
      <w:pPr>
        <w:pStyle w:val="TextoNormal"/>
      </w:pPr>
      <w:r>
        <w:t>En el recurso de inconstitucionalidad núm. 4977-2021 promovido por más de cincuenta diputados del grupo parlamentario Popular en el Congreso de los Diputados, contra el Real Decreto-ley 9/2021, de 11 de mayo, por el que se modifica el texto refundido de la Ley del estatuto de los trabajadores, aprobado por el Real Decreto Legislativo 2/2015, de 23 de octubre, para garantizar los derechos laborales de las personas dedicadas al reparto en el ámbito de las plataformas digitales. Ha comparecido el Congreso de los Diputados y el Senado. Ha formulado alegaciones el Gobierno de la Nación. Ha sido ponente el magistrado don Ramón Sáez Valcárcel.</w:t>
      </w:r>
    </w:p>
    <w:p w14:paraId="5549AC06" w14:textId="414255A9" w:rsidR="008D479B" w:rsidRDefault="008D479B" w:rsidP="008D479B">
      <w:pPr>
        <w:pStyle w:val="TextoNormal"/>
      </w:pPr>
    </w:p>
    <w:p w14:paraId="16B2070A" w14:textId="77777777" w:rsidR="008D479B" w:rsidRDefault="008D479B" w:rsidP="008D479B">
      <w:pPr>
        <w:pStyle w:val="TextoNormalNegritaCentrado"/>
        <w:keepNext/>
      </w:pPr>
      <w:r>
        <w:t>I. Antecedentes</w:t>
      </w:r>
    </w:p>
    <w:p w14:paraId="3C3D2920" w14:textId="115F7902" w:rsidR="008D479B" w:rsidRDefault="008D479B" w:rsidP="008D479B">
      <w:pPr>
        <w:pStyle w:val="TextoNormalNegritaCentrado"/>
        <w:keepNext/>
      </w:pPr>
    </w:p>
    <w:p w14:paraId="0B4DA3FA" w14:textId="57C71A5E" w:rsidR="008D479B" w:rsidRDefault="008D479B" w:rsidP="008D479B">
      <w:pPr>
        <w:pStyle w:val="TextoNormal"/>
      </w:pPr>
      <w:r w:rsidRPr="008D479B">
        <w:rPr>
          <w:rStyle w:val="NumeroAFNegritaCaracter"/>
        </w:rPr>
        <w:t>1</w:t>
      </w:r>
      <w:r>
        <w:t>. El día 19 de julio de 2021 tuvo entrada en el registro de este tribunal el recurso de inconstitucionalidad interpuesto por más de cincuenta diputados del grupo parlamentario Popular en el Congreso de los Diputados en la XIV Legislatura contra el Real Decreto-ley 9/2021, de 11 de mayo, por el que se modifica el texto refundido de la Ley del estatuto de los trabajadores, aprobado por el Real Decreto Legislativo 2/2015, de 23 de octubre, para garantizar los derechos laborales de las personas dedicadas al reparto en el ámbito de las plataformas digitales (“Boletín Oficial del Estado” núm. 113, de 12 de mayo de 2021).</w:t>
      </w:r>
    </w:p>
    <w:p w14:paraId="472E0837" w14:textId="77777777" w:rsidR="008D479B" w:rsidRDefault="008D479B" w:rsidP="008D479B">
      <w:pPr>
        <w:pStyle w:val="TextoNormal"/>
      </w:pPr>
    </w:p>
    <w:p w14:paraId="738EE3B7" w14:textId="77777777" w:rsidR="008D479B" w:rsidRDefault="008D479B" w:rsidP="008D479B">
      <w:pPr>
        <w:pStyle w:val="TextoNormal"/>
      </w:pPr>
      <w:r w:rsidRPr="008D479B">
        <w:rPr>
          <w:rStyle w:val="NumeroAFNegritaCaracter"/>
        </w:rPr>
        <w:t>2</w:t>
      </w:r>
      <w:r>
        <w:t>. El recurso de inconstitucionalidad se dirige contra la totalidad del real decreto‑ley y se fundamenta en un único motivo de impugnación, a saber, la infracción del art. 86.1 CE por inexistencia y falta de justificación suficiente del presupuesto habilitante necesario para poder proceder al dictado de reales decretos-leyes.</w:t>
      </w:r>
    </w:p>
    <w:p w14:paraId="0FCD9514" w14:textId="77777777" w:rsidR="008D479B" w:rsidRDefault="008D479B" w:rsidP="008D479B">
      <w:pPr>
        <w:pStyle w:val="TextoNormal"/>
      </w:pPr>
    </w:p>
    <w:p w14:paraId="4ABAE0FB" w14:textId="77777777" w:rsidR="008D479B" w:rsidRDefault="008D479B" w:rsidP="008D479B">
      <w:pPr>
        <w:pStyle w:val="TextoNormal"/>
      </w:pPr>
      <w:r>
        <w:t>La demanda comienza denunciando que, desde la declaración del primer estado de alarma para luchar contra la pandemia de Covid-19 el día 14 de marzo de 2020 y hasta la fecha de interposición del recurso, el Consejo de Ministros había promulgado un total de cuarenta y siete reales decretos-leyes, lo que, a su juicio, reflejaría el intento permanente del Gobierno de suplantar la potestad legislativa ordinaria de las Cortes Generales.</w:t>
      </w:r>
    </w:p>
    <w:p w14:paraId="3EEA4A0F" w14:textId="77777777" w:rsidR="008D479B" w:rsidRDefault="008D479B" w:rsidP="008D479B">
      <w:pPr>
        <w:pStyle w:val="TextoNormal"/>
      </w:pPr>
    </w:p>
    <w:p w14:paraId="4A92D39A" w14:textId="77777777" w:rsidR="008D479B" w:rsidRDefault="008D479B" w:rsidP="008D479B">
      <w:pPr>
        <w:pStyle w:val="TextoNormal"/>
      </w:pPr>
      <w:r>
        <w:t>A continuación, y centrándose ya concretamente en el Real Decreto-ley 9/2021, los recurrentes señalan que, sin perjuicio de compartir la necesidad de elaboración de una ley que regulase de manera precisa y específica los derechos laborales de las personas dedicadas al reparto en el ámbito de las plataformas digitales, consideran que resultaba inconstitucional hacerlo a través de la fórmula extraordinaria del art. 86 CE, pues en el momento de aprobación de la norma la necesidad de regulación no era extraordinaria y urgente, ni tampoco el Gobierno justificó la concurrencia de tal situación de manera explícita y razonada.</w:t>
      </w:r>
    </w:p>
    <w:p w14:paraId="2E4C1F7C" w14:textId="77777777" w:rsidR="008D479B" w:rsidRDefault="008D479B" w:rsidP="008D479B">
      <w:pPr>
        <w:pStyle w:val="TextoNormal"/>
      </w:pPr>
    </w:p>
    <w:p w14:paraId="22BECC27" w14:textId="77777777" w:rsidR="008D479B" w:rsidRDefault="008D479B" w:rsidP="008D479B">
      <w:pPr>
        <w:pStyle w:val="TextoNormal"/>
      </w:pPr>
      <w:r>
        <w:t>Según la demanda, la motivación esgrimida por el Gobierno en el preámbulo de la norma resulta insuficiente, pues se utiliza un argumento vago y genérico, que se corresponde con la afirmación de la necesidad de regulación en un determinado sector, y que podría servir para la modificación de cualquier texto legal. Consideran, por ello, que la motivación esgrimida se centra en la necesidad de la regulación y a lo sumo puede calificarse de una autoafirmación de la urgencia, pero no contiene una justificación propiamente dicha acerca de esta última.</w:t>
      </w:r>
    </w:p>
    <w:p w14:paraId="09F9B619" w14:textId="77777777" w:rsidR="008D479B" w:rsidRDefault="008D479B" w:rsidP="008D479B">
      <w:pPr>
        <w:pStyle w:val="TextoNormal"/>
      </w:pPr>
    </w:p>
    <w:p w14:paraId="79704C5F" w14:textId="77777777" w:rsidR="008D479B" w:rsidRDefault="008D479B" w:rsidP="008D479B">
      <w:pPr>
        <w:pStyle w:val="TextoNormal"/>
      </w:pPr>
      <w:r>
        <w:t>En relación con el debate parlamentario de convalidación, destacan que ni el Gobierno ni los grupos parlamentarios a los que pertenecen sus miembros, aportaron argumentos claros y contundentes que justificaran la extrema y urgente necesidad que motiva la reforma. Tras incluir una extensa referencia literal a las intervenciones efectuadas en el seno de dicho debate, señala la demanda que el Gobierno no hizo en ningún momento uso de la facultad, reconocida en el Reglamento del Congreso, de intervenir en el debate para responder a las dudas surgidas en relación con el presupuesto habilitante. Deduce de ello la demanda el desinterés absoluto del Gobierno por cumplir el mandato constitucional y la doctrina del Tribunal Constitucional que imponen la necesaria definición y concreción de la situación de extrema y urgente necesidad que habilita al ejecutivo para promulgar un decreto-ley.</w:t>
      </w:r>
    </w:p>
    <w:p w14:paraId="73DAFA9F" w14:textId="77777777" w:rsidR="008D479B" w:rsidRDefault="008D479B" w:rsidP="008D479B">
      <w:pPr>
        <w:pStyle w:val="TextoNormal"/>
      </w:pPr>
    </w:p>
    <w:p w14:paraId="5F329FC5" w14:textId="77777777" w:rsidR="008D479B" w:rsidRDefault="008D479B" w:rsidP="008D479B">
      <w:pPr>
        <w:pStyle w:val="TextoNormal"/>
      </w:pPr>
      <w:r>
        <w:t>Por lo que respecta al expediente de elaboración de la norma, los recurrentes señalan, por una parte, que la memoria de análisis de impacto normativo no incluye razonamiento alguno sobre la extraordinaria y urgente necesidad justificativa del uso del decreto‑ley, y, de otro lado, que en el expediente de tramitación queda reflejado cómo desde la constitución de la mesa de diálogo con los sindicatos, el 28 de octubre de 2020, hasta la aprobación del real decreto‑ley, el 11 de mayo de 2021, han transcurrido más de seis meses, tiempo suficiente para que hubiera sido posible aprobar la norma por el trámite ordinario; a título de ejemplo, se acompaña el documento correspondiente a la tramitación de la Ley Orgánica 1/2015, de 30 de marzo, por la que se modifica la Ley Orgánica 10/1995, de 23 de noviembre, del Código penal, en materia de terrorismo.</w:t>
      </w:r>
    </w:p>
    <w:p w14:paraId="07BEC7C7" w14:textId="77777777" w:rsidR="008D479B" w:rsidRDefault="008D479B" w:rsidP="008D479B">
      <w:pPr>
        <w:pStyle w:val="TextoNormal"/>
      </w:pPr>
    </w:p>
    <w:p w14:paraId="185081AA" w14:textId="77777777" w:rsidR="008D479B" w:rsidRDefault="008D479B" w:rsidP="008D479B">
      <w:pPr>
        <w:pStyle w:val="TextoNormal"/>
      </w:pPr>
      <w:r>
        <w:t xml:space="preserve">Afirma la demanda que la falta de diligencia consistente en no haber regulado antes y por el procedimiento ordinario la materia no puede servir de justificación para recurrir a la legislación de urgencia, sirviéndose de instrumentos jurídicos extraordinarios para regular cuestiones ordinarias, en lo que constituye un abuso o fraude de ley. Los recurrentes denuncian que, hasta el momento de interposición del recurso, en la XIV Legislatura se habían aprobado cuarenta y seis decretos-leyes, lo que entienden expresivo de un permanente intento de suplantación de la potestad legislativa ordinaria de las Cortes Generales. Señalan también, aportando varias noticias de prensa al respecto, que es público y notorio que el Gobierno llevaba un año trabajando en un proyecto de ley sobre la materia finalmente regulada por el Real Decreto‑ley 9/2021 y que, además, prevé una </w:t>
      </w:r>
      <w:r w:rsidRPr="008D479B">
        <w:rPr>
          <w:i/>
        </w:rPr>
        <w:t>vacatio legis</w:t>
      </w:r>
      <w:r>
        <w:t xml:space="preserve"> de tres meses, lo que evidenciaría que no estamos ante una cuestión de extraordinaria y urgente necesidad. Afirman, en consecuencia, que la aprobación de la norma de urgencia respondió en realidad a un “capricho arbitrario” del poder ejecutivo que vacía completamente de contenido las limitaciones constitucionalmente establecidas.</w:t>
      </w:r>
    </w:p>
    <w:p w14:paraId="6AF7303B" w14:textId="77777777" w:rsidR="008D479B" w:rsidRDefault="008D479B" w:rsidP="008D479B">
      <w:pPr>
        <w:pStyle w:val="TextoNormal"/>
      </w:pPr>
    </w:p>
    <w:p w14:paraId="14570FF4" w14:textId="77777777" w:rsidR="008D479B" w:rsidRDefault="008D479B" w:rsidP="008D479B">
      <w:pPr>
        <w:pStyle w:val="TextoNormal"/>
      </w:pPr>
      <w:r>
        <w:t>Se recuerda a continuación que el segundo de los requisitos exigidos por la doctrina constitucional en relación con el presupuesto habilitante del art. 86. CE es la existencia de una “conexión de sentido” entre la situación definida y las medidas que en el real decreto-ley se adoptan para hacerle frente. Se afirma al respecto que la manifiesta inobservancia del primer requisito (la existencia y justificación de una situación de extraordinaria y urgente necesidad) determina que no pueda hablarse de una conexión de sentido; no obstante lo cual, se pone de relieve la escueta y prácticamente nula motivación ofrecida en el apartado III de la exposición de motivos de la norma, a través de una fórmula de “autoafirmación” que parece declarar, sin justificarlo, que existe urgencia amén de importancia.</w:t>
      </w:r>
    </w:p>
    <w:p w14:paraId="3C1524B7" w14:textId="77777777" w:rsidR="008D479B" w:rsidRDefault="008D479B" w:rsidP="008D479B">
      <w:pPr>
        <w:pStyle w:val="TextoNormal"/>
      </w:pPr>
    </w:p>
    <w:p w14:paraId="6937F960" w14:textId="4BE4E0A3" w:rsidR="008D479B" w:rsidRDefault="008D479B" w:rsidP="008D479B">
      <w:pPr>
        <w:pStyle w:val="TextoNormal"/>
      </w:pPr>
      <w:r>
        <w:t>Adicionalmente, la demanda denuncia que el art. 86.1 CE resulta asimismo incumplido por la propia vocación de permanencia del Real Decreto-ley 9/2021. Recuerda que este tipo de normas son, conforme al propio tenor del citado precepto, normas “provisionales”, lo que contrasta con la reforma articulada por el decreto-ley controvertido, que modifica una legislación con vocación de permanencia, por lo que nace desprovista de la necesaria aspiración provisional, constituyendo su único fin la suplantación de la potestad legislativa ordinaria de las Cortes Generales.</w:t>
      </w:r>
    </w:p>
    <w:p w14:paraId="3142E9BB" w14:textId="77777777" w:rsidR="008D479B" w:rsidRDefault="008D479B" w:rsidP="008D479B">
      <w:pPr>
        <w:pStyle w:val="TextoNormal"/>
      </w:pPr>
    </w:p>
    <w:p w14:paraId="74A891BA" w14:textId="2E31D0BE" w:rsidR="008D479B" w:rsidRDefault="008D479B" w:rsidP="008D479B">
      <w:pPr>
        <w:pStyle w:val="TextoNormal"/>
      </w:pPr>
      <w:r w:rsidRPr="008D479B">
        <w:rPr>
          <w:rStyle w:val="NumeroAFNegritaCaracter"/>
        </w:rPr>
        <w:t>3</w:t>
      </w:r>
      <w:r>
        <w:t>. Por providencia de 16 de septiembre de 2021, el Pleno, a propuesta de la Sección Tercera, acordó admitir a trámite el recurso y dar traslado de la demanda y los documentos presentados, conforme establece el art. 34 de la Ley Orgánica del Tribunal Constitucional (LOTC), al Congreso de los Diputados y al Senado, por conducto de sus presidentas, y al Gobierno, por conducto del Ministerio de Justicia, al objeto de que, en el plazo de quince días, pudieran personarse en el procedimiento y formular alegaciones. Asimismo, se acordó publicar la incoación del procedimiento en el “Boletín Oficial del Estado”, publicación que tuvo lugar en su núm. 227, de 22 de septiembre de 2021.</w:t>
      </w:r>
    </w:p>
    <w:p w14:paraId="552EBF4B" w14:textId="77777777" w:rsidR="008D479B" w:rsidRDefault="008D479B" w:rsidP="008D479B">
      <w:pPr>
        <w:pStyle w:val="TextoNormal"/>
      </w:pPr>
    </w:p>
    <w:p w14:paraId="700AA075" w14:textId="2CA507FD" w:rsidR="008D479B" w:rsidRDefault="008D479B" w:rsidP="008D479B">
      <w:pPr>
        <w:pStyle w:val="TextoNormal"/>
      </w:pPr>
      <w:r w:rsidRPr="008D479B">
        <w:rPr>
          <w:rStyle w:val="NumeroAFNegritaCaracter"/>
        </w:rPr>
        <w:t>4</w:t>
      </w:r>
      <w:r>
        <w:t>. Mediante escrito registrado el 23 de septiembre de 2021, la presidenta del Congreso de los Diputados comunicó el acuerdo de la mesa de la cámara por el que se personaba en el proceso y ofrecía su colaboración a los efectos del art. 88.1 LOTC. Lo mismo hizo el presidente del Senado por escrito que tuvo entrada en este tribunal el día 30 de septiembre de 2021.</w:t>
      </w:r>
    </w:p>
    <w:p w14:paraId="1DB24252" w14:textId="77777777" w:rsidR="008D479B" w:rsidRDefault="008D479B" w:rsidP="008D479B">
      <w:pPr>
        <w:pStyle w:val="TextoNormal"/>
      </w:pPr>
    </w:p>
    <w:p w14:paraId="51F8A26B" w14:textId="0908F806" w:rsidR="008D479B" w:rsidRDefault="008D479B" w:rsidP="008D479B">
      <w:pPr>
        <w:pStyle w:val="TextoNormal"/>
      </w:pPr>
      <w:r w:rsidRPr="008D479B">
        <w:rPr>
          <w:rStyle w:val="NumeroAFNegritaCaracter"/>
        </w:rPr>
        <w:t>5</w:t>
      </w:r>
      <w:r>
        <w:t>. El abogado del Estado se personó en el proceso por escrito registrado el día 5 de octubre de 2021, solicitando prórroga por el máximo legal del plazo inicialmente concedido para formular alegaciones. Mediante diligencia de ordenación de la Secretaría de Justicia del Pleno de 6 de octubre de 2021 se concedió prórroga de ocho días para la presentación de alegaciones.</w:t>
      </w:r>
    </w:p>
    <w:p w14:paraId="34289D9C" w14:textId="77777777" w:rsidR="008D479B" w:rsidRDefault="008D479B" w:rsidP="008D479B">
      <w:pPr>
        <w:pStyle w:val="TextoNormal"/>
      </w:pPr>
    </w:p>
    <w:p w14:paraId="54E54A56" w14:textId="77777777" w:rsidR="008D479B" w:rsidRDefault="008D479B" w:rsidP="008D479B">
      <w:pPr>
        <w:pStyle w:val="TextoNormal"/>
      </w:pPr>
      <w:r w:rsidRPr="008D479B">
        <w:rPr>
          <w:rStyle w:val="NumeroAFNegritaCaracter"/>
        </w:rPr>
        <w:t>6</w:t>
      </w:r>
      <w:r>
        <w:t>. El escrito de alegaciones del abogado del Estado, en el que se solicita la íntegra desestimación del recurso, se registró en el Tribunal con fecha de 20 de octubre de 2021.</w:t>
      </w:r>
    </w:p>
    <w:p w14:paraId="6E0938CE" w14:textId="77777777" w:rsidR="008D479B" w:rsidRDefault="008D479B" w:rsidP="008D479B">
      <w:pPr>
        <w:pStyle w:val="TextoNormal"/>
      </w:pPr>
    </w:p>
    <w:p w14:paraId="69BA7AA2" w14:textId="77777777" w:rsidR="008D479B" w:rsidRDefault="008D479B" w:rsidP="008D479B">
      <w:pPr>
        <w:pStyle w:val="TextoNormal"/>
      </w:pPr>
      <w:r>
        <w:t>Después de sintetizar el objeto del recurso, reseña la doctrina constitucional sobre el presupuesto habilitante de la extraordinaria y urgente necesidad, destacando de ella como ideas fundamentales que (i) la apreciación de su concurrencia consiste en un juicio político que corresponde al Gobierno y al Congreso, debiendo controlar el Tribunal Constitucional tal juicio desde el exclusivo prisma de la prohibición de la arbitrariedad o manifiesta irrazonabilidad; (ii) el real decreto-ley no se contempla en la Constitución como solución o medio de actuación completamente extremo; y (iii) es exigible al Gobierno que sea concreto y claro en la justificación argumental del presupuesto habilitante.</w:t>
      </w:r>
    </w:p>
    <w:p w14:paraId="315B30E7" w14:textId="77777777" w:rsidR="008D479B" w:rsidRDefault="008D479B" w:rsidP="008D479B">
      <w:pPr>
        <w:pStyle w:val="TextoNormal"/>
      </w:pPr>
    </w:p>
    <w:p w14:paraId="65B03F2E" w14:textId="77777777" w:rsidR="008D479B" w:rsidRDefault="008D479B" w:rsidP="008D479B">
      <w:pPr>
        <w:pStyle w:val="TextoNormal"/>
      </w:pPr>
      <w:r>
        <w:t xml:space="preserve">Sostiene que en el caso del Real Decreto-ley 9/2021 se cumplen estas exigencias y, con especial claridad, la última de ellas, pues tanto la exposición de motivos como la memoria de análisis de impacto normativo contienen una justificación de la urgencia específicamente referida a las medidas contenidas en el decreto-ley, sin contener razonamientos abstractos ni intercambiables con otras realidades. El abogado del Estado argumenta que la razón material de urgencia que llevó a la aprobación del real decreto-ley impugnado es la lucha frente a la precariedad laboral, finalidad cuya importancia constitucional presupone ya el hecho de que no estemos ante una medida “abusiva” ni “arbitraria”, se comparta o no su oportunidad. Aduce que el Gobierno ha atendido a la situación jurídica de los denominados </w:t>
      </w:r>
      <w:r w:rsidRPr="008D479B">
        <w:rPr>
          <w:i/>
        </w:rPr>
        <w:t>riders</w:t>
      </w:r>
      <w:r>
        <w:t xml:space="preserve"> y ha formalizado por vía normativa su voluntad de poner fin a su situación de precariedad laboral, sin que quepa entender que la norma se funda en motivaciones estereotipadas o genéricas. Niega que se haya producido una excepción al principio democrático, pues no se ha negado a las Cortes la regulación del específico régimen sustantivo de la relación laboral afectada, sino que únicamente se han adoptado las medidas indispensables para poner fin a la ausencia de derechos laborales de los </w:t>
      </w:r>
      <w:r w:rsidRPr="008D479B">
        <w:rPr>
          <w:i/>
        </w:rPr>
        <w:t>riders</w:t>
      </w:r>
      <w:r>
        <w:t xml:space="preserve">. Y concluye por ello que, aunque la situación hubiera sido susceptible también de regulación ordinaria mediante ley formal, nada se oponía a su regulación mediante real decreto‑ley para adoptar medidas normativas rápidas, dada la especificidad de la situación abordada y teniendo en cuenta que la doctrina constitucional ha avalado el uso de la legislación de urgencia como herramienta para hacer frente a coyunturas económicas difíciles o que desde la perspectiva del Gobierno puedan entenderse como perentorias. Se trataba, en fin, de impedir que se perpetuase o alargase la situación de precariedad laboral de los </w:t>
      </w:r>
      <w:r w:rsidRPr="008D479B">
        <w:rPr>
          <w:i/>
        </w:rPr>
        <w:t>riders</w:t>
      </w:r>
      <w:r>
        <w:t>.</w:t>
      </w:r>
    </w:p>
    <w:p w14:paraId="5885B773" w14:textId="77777777" w:rsidR="008D479B" w:rsidRDefault="008D479B" w:rsidP="008D479B">
      <w:pPr>
        <w:pStyle w:val="TextoNormal"/>
      </w:pPr>
    </w:p>
    <w:p w14:paraId="006E9B71" w14:textId="77777777" w:rsidR="008D479B" w:rsidRDefault="008D479B" w:rsidP="008D479B">
      <w:pPr>
        <w:pStyle w:val="TextoNormal"/>
      </w:pPr>
      <w:r>
        <w:t>Como razón específica justificadora de la urgencia se aduce la necesidad de incorporar lo antes posible al Derecho positivo la jurisprudencia de la Sala de lo Social del Tribunal Supremo favorable al reconocimiento de la naturaleza laboral de la relación jurídica entablada entre plataformas digitales y trabajadores de reparto empleados por ellas (jurisprudencia reiterada que ha culminado con la aprobación de la STS 805/2020, de 25 de septiembre, dictada en un recurso de casación para la unificación de doctrina y en la que se hace un llamamiento al legislador para que procure un panorama necesario de normalización y seguridad jurídica para personas trabajadoras y empresas). Señala el abogado del Estado que esta justificación se contiene tanto en la exposición de motivos del Real Decreto-ley 9/2021 como en su memoria de análisis de impacto normativo, la cual, además, aporta datos detallados acerca de la evolución jurisprudencial en la materia y del trabajo desempeñado en este ámbito por la Inspección de Trabajo y Seguridad Social.</w:t>
      </w:r>
    </w:p>
    <w:p w14:paraId="0111E462" w14:textId="77777777" w:rsidR="008D479B" w:rsidRDefault="008D479B" w:rsidP="008D479B">
      <w:pPr>
        <w:pStyle w:val="TextoNormal"/>
      </w:pPr>
    </w:p>
    <w:p w14:paraId="4B672884" w14:textId="77777777" w:rsidR="008D479B" w:rsidRDefault="008D479B" w:rsidP="008D479B">
      <w:pPr>
        <w:pStyle w:val="TextoNormal"/>
      </w:pPr>
      <w:r>
        <w:t>Adicionalmente, el abogado del Estado recuerda que, según la doctrina constitucional, la urgencia apreciada por el Gobierno en un momento dado es compatible con la circunstancia de que el problema abordado haya existido con anterioridad. Y argumenta que, tratándose de medidas asociadas al impulso de la recuperación económica, su oportunidad puede advertirse con mayor fuerza en un momento posterior al de la aparición misma del problema.</w:t>
      </w:r>
    </w:p>
    <w:p w14:paraId="01D9C947" w14:textId="77777777" w:rsidR="008D479B" w:rsidRDefault="008D479B" w:rsidP="008D479B">
      <w:pPr>
        <w:pStyle w:val="TextoNormal"/>
      </w:pPr>
    </w:p>
    <w:p w14:paraId="55F0A175" w14:textId="77777777" w:rsidR="008D479B" w:rsidRDefault="008D479B" w:rsidP="008D479B">
      <w:pPr>
        <w:pStyle w:val="TextoNormal"/>
      </w:pPr>
      <w:r>
        <w:t xml:space="preserve">En esta misma línea, aduce que la urgencia vendría justificada por el hecho de que en el momento de la aprobación del Real Decreto‑ley 9/2021 (mayo de 2021) España había impulsado la recuperación económica con resultados peores de los esperados y debía cumplir los retos comprometidos con la Unión Europea en el Plan de recuperación, transformación y resiliencia. Teniendo en cuenta que uno de los factores del desarrollo económico en general —y de la recuperación económica, en particular— lo constituye el elemento laboral, la norma de urgencia aprobada estaría justificada por los efectos económicos derivados de hacer acceder prontamente al colectivo de los </w:t>
      </w:r>
      <w:r w:rsidRPr="008D479B">
        <w:rPr>
          <w:i/>
        </w:rPr>
        <w:t>riders</w:t>
      </w:r>
      <w:r>
        <w:t xml:space="preserve"> al mundo laboral, efectos asociados a los ingresos que perciben las personas trabajadoras, sus cotizaciones a la Seguridad Social, la renta disponible de los hogares y otros efectos adicionales y añadidos que inciden en la fortaleza y capacidad de recuperación del tejido empresarial.</w:t>
      </w:r>
    </w:p>
    <w:p w14:paraId="38C875A4" w14:textId="77777777" w:rsidR="008D479B" w:rsidRDefault="008D479B" w:rsidP="008D479B">
      <w:pPr>
        <w:pStyle w:val="TextoNormal"/>
      </w:pPr>
    </w:p>
    <w:p w14:paraId="668D19FB" w14:textId="532BAA9F" w:rsidR="008D479B" w:rsidRDefault="008D479B" w:rsidP="008D479B">
      <w:pPr>
        <w:pStyle w:val="TextoNormal"/>
      </w:pPr>
      <w:r>
        <w:t xml:space="preserve">En cuanto al reproche de la demanda de que la norma fue aprobada sin vocación de provisionalidad y con una </w:t>
      </w:r>
      <w:r w:rsidRPr="008D479B">
        <w:rPr>
          <w:i/>
        </w:rPr>
        <w:t>vacatio legis</w:t>
      </w:r>
      <w:r>
        <w:t xml:space="preserve"> excesivamente larga (tres meses), el abogado del Estado sostiene que la provisionalidad de la norma resulta especialmente patente si se tiene en cuenta que tan solo cuatro meses y medio después de su aprobación fue sustituida por la Ley 12/2021, de 28 de septiembre, resultante de la tramitación de urgencia prevista en el art. 86.3 CE. Y argumenta que la finalidad del Gobierno fue tener aprobada ya una norma que reconociese los derechos de los trabajadores pertenecientes al colectivo afectado de manera provisional, en tanto se regulaba esta cuestión con carácter definitivo mediante ley parlamentaria.</w:t>
      </w:r>
    </w:p>
    <w:p w14:paraId="480F02B4" w14:textId="77777777" w:rsidR="008D479B" w:rsidRDefault="008D479B" w:rsidP="008D479B">
      <w:pPr>
        <w:pStyle w:val="TextoNormal"/>
      </w:pPr>
    </w:p>
    <w:p w14:paraId="0A3E49CC" w14:textId="57A19E8F" w:rsidR="008D479B" w:rsidRDefault="008D479B" w:rsidP="008D479B">
      <w:pPr>
        <w:pStyle w:val="TextoNormal"/>
      </w:pPr>
      <w:r w:rsidRPr="008D479B">
        <w:rPr>
          <w:rStyle w:val="NumeroAFNegritaCaracter"/>
        </w:rPr>
        <w:t>7</w:t>
      </w:r>
      <w:r>
        <w:t>. Con fecha 31 de enero de 2023 tuvieron entrada en el registro de este tribunal sendos escritos mediante los cuales don Manuel Sánchez-Puelles y González-Carvajal, procurador de los tribunales, y don Jaime de Olano Vela, letrado, en su condición de comisionado, actuando en nombre y representación de los diputados recurrentes en este proceso, promovían incidente de recusación contra los magistrados señora Díez Bueso y señor Campo Moreno. Tales recusaciones fueron inadmitidas a trámite, por extemporáneas, mediante sendos autos de 21 de febrero de 2023, del Pleno de este tribunal.</w:t>
      </w:r>
    </w:p>
    <w:p w14:paraId="0FF8C172" w14:textId="77777777" w:rsidR="008D479B" w:rsidRDefault="008D479B" w:rsidP="008D479B">
      <w:pPr>
        <w:pStyle w:val="TextoNormal"/>
      </w:pPr>
    </w:p>
    <w:p w14:paraId="0FA2B755" w14:textId="392D5C32" w:rsidR="008D479B" w:rsidRDefault="008D479B" w:rsidP="008D479B">
      <w:pPr>
        <w:pStyle w:val="TextoNormal"/>
      </w:pPr>
      <w:r w:rsidRPr="008D479B">
        <w:rPr>
          <w:rStyle w:val="NumeroAFNegritaCaracter"/>
        </w:rPr>
        <w:t>8</w:t>
      </w:r>
      <w:r>
        <w:t>. Mediante escrito de 10 de febrero de 2023, el magistrado don Juan Carlos Campo Moreno comunicó su voluntad de abstenerse del conocimiento del recurso de inconstitucionalidad núm. 4977‑2021, al considerar que estaba incurso en la causa prevista en el art. 219.13 de la Ley Orgánica del Poder Judicial (LOPJ), consistente en “[h]aber ocupado cargo público, desempeñado empleo o ejercido profesión con ocasión de los cuales haya participado directa o indirectamente en el asunto objeto del pleito o causa o en otro relacionado con el mismo”. Ello vendría determinado por la participación del señor Campo Moreno, en su previa condición de ministro de Justicia, en el Consejo de Ministros de 11 de mayo de 2021, en el que se aprobó la norma impugnada en el presente proceso, esto es, el Real Decreto-ley 9/2021, de 11 de mayo.</w:t>
      </w:r>
    </w:p>
    <w:p w14:paraId="79020EF3" w14:textId="77777777" w:rsidR="008D479B" w:rsidRDefault="008D479B" w:rsidP="008D479B">
      <w:pPr>
        <w:pStyle w:val="TextoNormal"/>
      </w:pPr>
    </w:p>
    <w:p w14:paraId="4AB640F3" w14:textId="4019FF15" w:rsidR="008D479B" w:rsidRDefault="008D479B" w:rsidP="008D479B">
      <w:pPr>
        <w:pStyle w:val="TextoNormal"/>
      </w:pPr>
      <w:r w:rsidRPr="008D479B">
        <w:rPr>
          <w:rStyle w:val="NumeroAFNegritaCaracter"/>
        </w:rPr>
        <w:t>9</w:t>
      </w:r>
      <w:r>
        <w:t>. Mediante auto de 21 de febrero de 2023 el Pleno del Tribunal acordó estimar justificada la abstención formulada por el magistrado don Juan Carlos Campo Moreno en el presente recurso de inconstitucionalidad, apartándole definitivamente de su conocimiento.</w:t>
      </w:r>
    </w:p>
    <w:p w14:paraId="1683069F" w14:textId="77777777" w:rsidR="008D479B" w:rsidRDefault="008D479B" w:rsidP="008D479B">
      <w:pPr>
        <w:pStyle w:val="TextoNormal"/>
      </w:pPr>
    </w:p>
    <w:p w14:paraId="484AB8F5" w14:textId="0D10CCA2" w:rsidR="008D479B" w:rsidRDefault="008D479B" w:rsidP="008D479B">
      <w:pPr>
        <w:pStyle w:val="TextoNormal"/>
      </w:pPr>
      <w:r w:rsidRPr="008D479B">
        <w:rPr>
          <w:rStyle w:val="NumeroAFNegritaCaracter"/>
        </w:rPr>
        <w:t>10</w:t>
      </w:r>
      <w:r>
        <w:t>. Con fecha 10 de marzo de 2023 la representación procesal de los recurrentes formuló recurso de súplica frente al auto del Pleno de este tribunal de 21 de febrero de 2023 por el que se había inadmitido a trámite el incidente de recusación formulado contra la magistrada señora Díez Bueso. El recurso de súplica fue desestimado por el Pleno mediante auto de 9 de mayo de 2023.</w:t>
      </w:r>
    </w:p>
    <w:p w14:paraId="53E8C9BC" w14:textId="77777777" w:rsidR="008D479B" w:rsidRDefault="008D479B" w:rsidP="008D479B">
      <w:pPr>
        <w:pStyle w:val="TextoNormal"/>
      </w:pPr>
    </w:p>
    <w:p w14:paraId="471337D9" w14:textId="47526A74" w:rsidR="008D479B" w:rsidRDefault="008D479B" w:rsidP="008D479B">
      <w:pPr>
        <w:pStyle w:val="TextoNormal"/>
      </w:pPr>
      <w:r w:rsidRPr="008D479B">
        <w:rPr>
          <w:rStyle w:val="NumeroAFNegritaCaracter"/>
        </w:rPr>
        <w:t>11</w:t>
      </w:r>
      <w:r>
        <w:t>. Mediante providencia de 24 de octubre de 2023 se señaló para la deliberación y votación de la presente sentencia el día 25 del mismo mes y año.</w:t>
      </w:r>
    </w:p>
    <w:p w14:paraId="62A1986D" w14:textId="77777777" w:rsidR="008D479B" w:rsidRDefault="008D479B" w:rsidP="008D479B">
      <w:pPr>
        <w:pStyle w:val="TextoNormal"/>
      </w:pPr>
    </w:p>
    <w:p w14:paraId="64408C96" w14:textId="77777777" w:rsidR="008D479B" w:rsidRDefault="008D479B" w:rsidP="008D479B">
      <w:pPr>
        <w:pStyle w:val="TextoNormalNegritaCentrado"/>
        <w:keepNext/>
      </w:pPr>
      <w:r>
        <w:t>II. Fundamentos jurídicos</w:t>
      </w:r>
    </w:p>
    <w:p w14:paraId="74E02AC6" w14:textId="56D5D45B" w:rsidR="008D479B" w:rsidRDefault="008D479B" w:rsidP="008D479B">
      <w:pPr>
        <w:pStyle w:val="TextoNormalNegritaCentrado"/>
        <w:keepNext/>
      </w:pPr>
    </w:p>
    <w:p w14:paraId="1EFD96CE" w14:textId="77777777" w:rsidR="008D479B" w:rsidRDefault="008D479B" w:rsidP="008D479B">
      <w:pPr>
        <w:pStyle w:val="TextoNormal"/>
      </w:pPr>
      <w:r w:rsidRPr="008D479B">
        <w:rPr>
          <w:rStyle w:val="NumeroAFNegritaCaracter"/>
        </w:rPr>
        <w:t>1</w:t>
      </w:r>
      <w:r>
        <w:t xml:space="preserve">. </w:t>
      </w:r>
      <w:r w:rsidRPr="008D479B">
        <w:rPr>
          <w:i/>
        </w:rPr>
        <w:t>Objeto del proceso y posiciones de las partes</w:t>
      </w:r>
    </w:p>
    <w:p w14:paraId="69EFED88" w14:textId="77777777" w:rsidR="008D479B" w:rsidRDefault="008D479B" w:rsidP="008D479B">
      <w:pPr>
        <w:pStyle w:val="TextoNormal"/>
      </w:pPr>
    </w:p>
    <w:p w14:paraId="4A5EDAE5" w14:textId="77777777" w:rsidR="008D479B" w:rsidRDefault="008D479B" w:rsidP="008D479B">
      <w:pPr>
        <w:pStyle w:val="TextoNormal"/>
      </w:pPr>
      <w:r>
        <w:t>Mediante el recurso de inconstitucionalidad 4977-2021, más de cincuenta diputados del grupo parlamentario Popular en el Congreso impugnan la totalidad del Real Decreto-ley 9/2021, de 11 de mayo, por el que se modifica el texto refundido de la Ley del estatuto de los trabajadores, aprobado por el Real Decreto Legislativo 2/2015, de 23 de octubre, para garantizar los derechos laborales de las personas dedicadas al reparto en el ámbito de las plataformas digitales.</w:t>
      </w:r>
    </w:p>
    <w:p w14:paraId="0DFAC233" w14:textId="77777777" w:rsidR="008D479B" w:rsidRDefault="008D479B" w:rsidP="008D479B">
      <w:pPr>
        <w:pStyle w:val="TextoNormal"/>
      </w:pPr>
    </w:p>
    <w:p w14:paraId="7ACAF3DC" w14:textId="77777777" w:rsidR="008D479B" w:rsidRDefault="008D479B" w:rsidP="008D479B">
      <w:pPr>
        <w:pStyle w:val="TextoNormal"/>
      </w:pPr>
      <w:r>
        <w:t>El real decreto-ley impugnado comprende un artículo único integrado por dos apartados, así como dos disposiciones finales. El apartado primero del artículo único introduce una nueva letra d) en el art. 64.4 del texto refundido de la Ley del estatuto de los trabajadores para incorporar entre los derechos de la representación de los trabajadores el derecho a “[s]er informado por la empresa de los parámetros, reglas e instrucciones en los que se basan los algoritmos o sistemas de inteligencia artificial que afectan a la toma de decisiones que pueden incidir en las condiciones de trabajo, el acceso y mantenimiento del empleo, incluida la elaboración de perfiles”. El apartado segundo del artículo único añade una nueva disposición adicional vigesimotercera al texto refundido de la Ley del estatuto de los trabajadores para introducir una presunción de laboralidad en el ámbito de las plataformas digitales de reparto, estableciendo que “se presume incluida en el ámbito de esta ley la actividad de las personas que presten servicios retribuidos consistentes en el reparto o distribución de cualquier producto de consumo o mercancía, por parte de empleadoras que ejercen las facultades empresariales de organización, dirección y control de forma directa, indirecta o implícita, mediante la gestión algorítmica del servicio o de las condiciones de trabajo, a través de una plataforma digital. Esta presunción no afecta a lo previsto en el artículo 1.3 de la presente norma”. Por último, la disposición final primera señala que el real decreto-ley se dicta al amparo de la competencia exclusiva del Estado en materia de legislación laboral (art. 149.1.7 CE) y la disposición final segunda determina que la norma entrará en vigor a los tres meses de su publicación en el “Boletín Oficial del Estado”.</w:t>
      </w:r>
    </w:p>
    <w:p w14:paraId="55FBE6E9" w14:textId="77777777" w:rsidR="008D479B" w:rsidRDefault="008D479B" w:rsidP="008D479B">
      <w:pPr>
        <w:pStyle w:val="TextoNormal"/>
      </w:pPr>
    </w:p>
    <w:p w14:paraId="169D520A" w14:textId="12195411" w:rsidR="008D479B" w:rsidRDefault="008D479B" w:rsidP="008D479B">
      <w:pPr>
        <w:pStyle w:val="TextoNormal"/>
      </w:pPr>
      <w:r>
        <w:t xml:space="preserve">El recurso se fundamenta en un único motivo, a saber, la vulneración del requisito de la “extraordinaria y urgente de necesidad” que el art. 86.1 CE configura como presupuesto habilitante para el uso del instrumento normativo del decreto-ley, pues, a juicio de los recurrentes, tal presupuesto ni concurría en este caso, ni su existencia fue suficientemente justificada por el Gobierno. Por su parte, el abogado del Estado interesa la desestimación del recurso, al entender que no se han traspasado los límites formales del decreto-ley </w:t>
      </w:r>
      <w:r w:rsidRPr="008D479B">
        <w:rPr>
          <w:i/>
        </w:rPr>
        <w:t>ex</w:t>
      </w:r>
      <w:r>
        <w:t xml:space="preserve"> art. 86.1 CE.</w:t>
      </w:r>
    </w:p>
    <w:p w14:paraId="4B6BC740" w14:textId="77777777" w:rsidR="008D479B" w:rsidRDefault="008D479B" w:rsidP="008D479B">
      <w:pPr>
        <w:pStyle w:val="TextoNormal"/>
      </w:pPr>
    </w:p>
    <w:p w14:paraId="7048CB1B" w14:textId="77777777" w:rsidR="008D479B" w:rsidRDefault="008D479B" w:rsidP="008D479B">
      <w:pPr>
        <w:pStyle w:val="TextoNormal"/>
      </w:pPr>
      <w:r w:rsidRPr="008D479B">
        <w:rPr>
          <w:rStyle w:val="NumeroAFNegritaCaracter"/>
        </w:rPr>
        <w:t>2</w:t>
      </w:r>
      <w:r>
        <w:t xml:space="preserve">. </w:t>
      </w:r>
      <w:r w:rsidRPr="008D479B">
        <w:rPr>
          <w:i/>
        </w:rPr>
        <w:t>Pervivencia del objeto del proceso</w:t>
      </w:r>
    </w:p>
    <w:p w14:paraId="525537B3" w14:textId="77777777" w:rsidR="008D479B" w:rsidRDefault="008D479B" w:rsidP="008D479B">
      <w:pPr>
        <w:pStyle w:val="TextoNormal"/>
      </w:pPr>
    </w:p>
    <w:p w14:paraId="392FCCD6" w14:textId="77777777" w:rsidR="008D479B" w:rsidRDefault="008D479B" w:rsidP="008D479B">
      <w:pPr>
        <w:pStyle w:val="TextoNormal"/>
      </w:pPr>
      <w:r>
        <w:t>El Real Decreto-ley 9/2021, de 11 de mayo, fue convalidado mediante acuerdo del Pleno del Congreso de los Diputados de 10 de junio de 2021 (“Boletín Oficial del Estado” núm. 146, de 19 de junio). En esa misma sesión de convalidación, el Pleno del Congreso decidió tramitar el texto convalidado como proyecto de ley por el procedimiento legislativo de urgencia, tal y como autoriza el art. 86.3 CE. Dicha tramitación dio lugar a la Ley 12/2021, de 28 de septiembre (“Boletín Oficial del Estado” núm. 233, de 29 de septiembre), que tiene idéntico título y contenido que el real decreto-ley impugnado, al que tácitamente deroga.</w:t>
      </w:r>
    </w:p>
    <w:p w14:paraId="0765E8BB" w14:textId="77777777" w:rsidR="008D479B" w:rsidRDefault="008D479B" w:rsidP="008D479B">
      <w:pPr>
        <w:pStyle w:val="TextoNormal"/>
      </w:pPr>
    </w:p>
    <w:p w14:paraId="07BBA4B9" w14:textId="762AC98C" w:rsidR="008D479B" w:rsidRDefault="008D479B" w:rsidP="008D479B">
      <w:pPr>
        <w:pStyle w:val="TextoNormal"/>
      </w:pPr>
      <w:r>
        <w:t>Ahora bien, esta derogación no extingue el presente proceso constitucional, al tratarse de un decreto-ley y cuestionarse en el recurso la existencia de presupuesto habilitante, pues conforme a nuestra consolidada doctrina “es algo fuera de duda que el control del decreto-ley en cuanto tal no está impedido por el hecho de la novación operada por la ley, siguiendo lo que dispone el art. 86.3, pues el interés constitucional de ajustar el uso del instrumento del decreto-ley al marco del art. 86.1 no puede considerarse satisfecho por la derivación del decreto-ley hacia el cauce del art. 86.3, ya que si bien pudiera pensarse que una eficacia retroactiva de la ley que diera cobijo a los efectos producidos por el decreto-ley puede privar de sentido a la impugnación dirigida al decreto-ley, esto no es así, pues velar por el recto ejercicio de la potestad de emitir decretos-leyes, dentro del marco constitucional, es algo que no puede eludirse por la utilización del procedimiento del art. 86.3 […] la Constitución únicamente admite la legislación de urgencia bajo condiciones cuya inobservancia constituye una infracción que solo puede repararse con una declaración de inconstitucionalidad, sin que los efectos derogatorios de la legislación sobrevenida o los convalidantes de la asunción del decreto-ley por el Congreso de los Diputados puedan corregir un defecto que ha de concebirse como necesariamente insubsanable, pues, en otro caso, los límites del art. 86 CE solo serían operativos en el tiempo que media entre el decreto-ley y su convalidación o su conversión en ley, esto es, en un tiempo en el que este tribunal nunca podrá materialmente pronunciarse” (STC 39/2013, de 14 de febrero, FJ 3, citas y comillas interiores suprimidas).</w:t>
      </w:r>
    </w:p>
    <w:p w14:paraId="53A999F6" w14:textId="77777777" w:rsidR="008D479B" w:rsidRDefault="008D479B" w:rsidP="008D479B">
      <w:pPr>
        <w:pStyle w:val="TextoNormal"/>
      </w:pPr>
    </w:p>
    <w:p w14:paraId="2BEE1613" w14:textId="77777777" w:rsidR="008D479B" w:rsidRDefault="008D479B" w:rsidP="008D479B">
      <w:pPr>
        <w:pStyle w:val="TextoNormal"/>
      </w:pPr>
      <w:r w:rsidRPr="008D479B">
        <w:rPr>
          <w:rStyle w:val="NumeroAFNegritaCaracter"/>
        </w:rPr>
        <w:t>3</w:t>
      </w:r>
      <w:r>
        <w:t xml:space="preserve">. </w:t>
      </w:r>
      <w:r w:rsidRPr="008D479B">
        <w:rPr>
          <w:i/>
        </w:rPr>
        <w:t>Doctrina constitucional relativa al presupuesto habilitante de la “extraordinaria y urgente necesidad” (art. 86.1 CE)</w:t>
      </w:r>
    </w:p>
    <w:p w14:paraId="70821132" w14:textId="77777777" w:rsidR="008D479B" w:rsidRDefault="008D479B" w:rsidP="008D479B">
      <w:pPr>
        <w:pStyle w:val="TextoNormal"/>
      </w:pPr>
    </w:p>
    <w:p w14:paraId="44CF6021" w14:textId="77777777" w:rsidR="008D479B" w:rsidRDefault="008D479B" w:rsidP="008D479B">
      <w:pPr>
        <w:pStyle w:val="TextoNormal"/>
      </w:pPr>
      <w:r>
        <w:t>Para enjuiciar la tacha de inconstitucionalidad denunciada en el recurso, atinente a la insuficiente justificación y a la inexistencia del presupuesto habilitante de la “extraordinaria y urgente necesidad” exigido por el art. 86.1 CE para la aprobación de reales decretos-leyes, es necesario partir de la doctrina constitucional al respecto, que se ha ido consolidando desde las primeras sentencias de este tribunal (SSTC 29/1982, de 31 de mayo; 6/1983, de 4 de febrero; y 111/1983, de 2 de diciembre) y que ha sido ampliamente resumida en pronunciamientos posteriores (entre los más recientes, las SSTC 14/2020, de 28 de enero, FJ 2, y 15/2023, de 7 de marzo, FJ 3). Dicha doctrina puede ser sintetizada como sigue:</w:t>
      </w:r>
    </w:p>
    <w:p w14:paraId="535B4E00" w14:textId="77777777" w:rsidR="008D479B" w:rsidRDefault="008D479B" w:rsidP="008D479B">
      <w:pPr>
        <w:pStyle w:val="TextoNormal"/>
      </w:pPr>
    </w:p>
    <w:p w14:paraId="07B4F1E5" w14:textId="77777777" w:rsidR="008D479B" w:rsidRDefault="008D479B" w:rsidP="008D479B">
      <w:pPr>
        <w:pStyle w:val="TextoNormal"/>
      </w:pPr>
      <w:r>
        <w:t>a) El art. 86.1 CE “establece una habilitación al Gobierno para dictar normas con fuerza de ley pero, en la medida en que supone sustituir en su función al Parlamento, es una facultad excepcional al procedimiento legislativo ordinario que se encuentra, en consecuencia, sometida a estrictos requisitos en la Constitución” (STC 156/2021, de 16 de septiembre, FJ 4). Ahora bien, hemos dicho de manera asimismo reiterada que “la necesidad justificadora de los decretos-leyes no se puede entender como una necesidad absoluta que suponga un peligro grave para el sistema constitucional o para el orden público entendido como normal ejercicio de los derechos fundamentales y libertades públicas y normal funcionamiento de los servicios públicos, sino que hay que entenderlo con mayor amplitud como necesidad relativa respecto de situaciones concretas de los objetivos gubernamentales que, por razones difíciles de prever, requieren una acción normativa inmediata en un plazo más breve que el requerido por la vía normal o por el procedimiento de urgencia para la tramitación parlamentaria de las leyes” (STC 152/2017, de 21 de diciembre, FJ 3, citando jurisprudencia anterior desde la STC 6/1983, de 4 de febrero, FJ 5). Y también que “lo determinante es que la situación que se trata de afrontar venga cualificada por las notas de gravedad, imprevisibilidad o relevancia” (SSTC 68/2007, de 28 de marzo, FJ 10; 137/2011, de 14 de septiembre, FJ 7; y 47/2015, de 5 de marzo, FJ 5).</w:t>
      </w:r>
    </w:p>
    <w:p w14:paraId="65B4B71B" w14:textId="77777777" w:rsidR="008D479B" w:rsidRDefault="008D479B" w:rsidP="008D479B">
      <w:pPr>
        <w:pStyle w:val="TextoNormal"/>
      </w:pPr>
    </w:p>
    <w:p w14:paraId="703BC6D8" w14:textId="77777777" w:rsidR="008D479B" w:rsidRDefault="008D479B" w:rsidP="008D479B">
      <w:pPr>
        <w:pStyle w:val="TextoNormal"/>
      </w:pPr>
      <w:r>
        <w:t>b) La apreciación de la concurrencia de la extraordinaria y urgente necesidad constituye un juicio político que corresponde efectuar al Gobierno (titular constitucional de la potestad legislativa de urgencia) y al Congreso (titular de la potestad de convalidar, derogar o tramitar el texto como proyecto de ley). Sin embargo, los términos “extraordinaria y urgente necesidad” no constituyen una cláusula o expresión vacía de significado dentro de la cual el margen de apreciación política del Gobierno pueda moverse libremente sin restricción alguna, sino un verdadero límite jurídico a la actuación mediante decretos-leyes. Incumbe a este tribunal “controlar que ese juicio político no desborde los límites de lo manifiestamente razonable, sin suplantar a los órganos constitucionales que intervienen en la aprobación y convalidación de los decretos leyes” (STC 134/2021, de 24 de junio, FJ 3). Se trata, en definitiva, de un “control externo, en el sentido de que debe verificar, pero no sustituir, el juicio político o de oportunidad que corresponde al Gobierno” (STC 142/2014, de 11 de septiembre, FJ 3, y las que allí se citan). Solo “en supuestos de uso abusivo o arbitrario” podrá este tribunal rechazar la definición que el Gobierno haya hecho de una situación como de extraordinaria y urgente necesidad (por todas, STC 29/1982, FJ 3).</w:t>
      </w:r>
    </w:p>
    <w:p w14:paraId="2E734E19" w14:textId="77777777" w:rsidR="008D479B" w:rsidRDefault="008D479B" w:rsidP="008D479B">
      <w:pPr>
        <w:pStyle w:val="TextoNormal"/>
      </w:pPr>
    </w:p>
    <w:p w14:paraId="383DD252" w14:textId="77777777" w:rsidR="008D479B" w:rsidRDefault="008D479B" w:rsidP="008D479B">
      <w:pPr>
        <w:pStyle w:val="TextoNormal"/>
      </w:pPr>
      <w:r>
        <w:t xml:space="preserve">c) Dicho control externo y </w:t>
      </w:r>
      <w:r w:rsidRPr="008D479B">
        <w:rPr>
          <w:i/>
        </w:rPr>
        <w:t>ex post</w:t>
      </w:r>
      <w:r>
        <w:t xml:space="preserve"> requiere el análisis de dos aspectos: por un lado, la presentación explícita y razonada de los motivos que han sido tenidos en cuenta por el Gobierno en la aprobación del decreto-ley; de otra parte, la existencia de una necesaria conexión entre la situación de urgencia definida y la medida concreta adoptada para subvenir a ella (STC 29/1982, FJ 3). Aunque ambos aspectos están íntimamente ligados, su examen por separado facilita desde un punto de vista metodológico el análisis de las consideraciones de las partes y, en última instancia, el control que le corresponde efectuar a este tribunal (STC 332/2005, de 15 de diciembre, FJ 6).</w:t>
      </w:r>
    </w:p>
    <w:p w14:paraId="285D330D" w14:textId="77777777" w:rsidR="008D479B" w:rsidRDefault="008D479B" w:rsidP="008D479B">
      <w:pPr>
        <w:pStyle w:val="TextoNormal"/>
      </w:pPr>
    </w:p>
    <w:p w14:paraId="69CDC38B" w14:textId="77777777" w:rsidR="008D479B" w:rsidRDefault="008D479B" w:rsidP="008D479B">
      <w:pPr>
        <w:pStyle w:val="TextoNormal"/>
      </w:pPr>
      <w:r>
        <w:t>En cuanto a la definición de la situación de urgencia, este tribunal ha precisado que no es necesario que tal definición expresa haya de contenerse siempre en el propio real decreto-ley, sino que cabe deducirlo de una pluralidad de elementos. El examen de la concurrencia del presupuesto habilitante siempre se ha de llevar a cabo mediante la valoración conjunta de todos aquellos factores que determinaron al Gobierno a dictar la disposición legal excepcional y que son, básicamente, los que quedan reflejados en la exposición de motivos de la norma, en el debate parlamentario de convalidación y en el propio expediente de su elaboración (por todas, STC 182/1997, de 28 de octubre, FJ 4). A estos efectos resultan insuficientes, por ser prácticamente de imposible control constitucional, las fórmulas genéricas, estereotipadas y rituales (STC 150/2017, de 21 de diciembre, FJ 4).</w:t>
      </w:r>
    </w:p>
    <w:p w14:paraId="739FCD02" w14:textId="77777777" w:rsidR="008D479B" w:rsidRDefault="008D479B" w:rsidP="008D479B">
      <w:pPr>
        <w:pStyle w:val="TextoNormal"/>
      </w:pPr>
    </w:p>
    <w:p w14:paraId="68F3CFDE" w14:textId="3C96F659" w:rsidR="008D479B" w:rsidRDefault="008D479B" w:rsidP="008D479B">
      <w:pPr>
        <w:pStyle w:val="TextoNormal"/>
      </w:pPr>
      <w:r>
        <w:t>En cuanto a la segunda dimensión del presupuesto habilitante de la legislación de urgencia —conexión de sentido entre la situación de necesidad definida y las medidas que en el real decreto-ley se adoptan— este tribunal “ha afirmado un doble criterio o perspectiva para valorar la existencia de la conexión de sentido: el contenido, por un lado, y la estructura, por otro, de las disposiciones incluidas en el real decreto-ley controvertido” (SSTC 29/1982, FJ 3). Desde esta perspectiva, lo que se exige es que las medidas que se incluyen en el decreto-ley sean, en principio, medidas concretas y de eficacia inmediata para hacer frente a la situación de extraordinaria y urgente necesidad que ha determinado el uso de la legislación de urgencia (STC 70/2016, de 14 de abril, FFJJ 6 y 7).</w:t>
      </w:r>
    </w:p>
    <w:p w14:paraId="6501B4FE" w14:textId="77777777" w:rsidR="008D479B" w:rsidRDefault="008D479B" w:rsidP="008D479B">
      <w:pPr>
        <w:pStyle w:val="TextoNormal"/>
      </w:pPr>
    </w:p>
    <w:p w14:paraId="5097C453" w14:textId="77777777" w:rsidR="008D479B" w:rsidRDefault="008D479B" w:rsidP="008D479B">
      <w:pPr>
        <w:pStyle w:val="TextoNormal"/>
      </w:pPr>
      <w:r w:rsidRPr="008D479B">
        <w:rPr>
          <w:rStyle w:val="NumeroAFNegritaCaracter"/>
        </w:rPr>
        <w:t>4</w:t>
      </w:r>
      <w:r>
        <w:t xml:space="preserve">. </w:t>
      </w:r>
      <w:r w:rsidRPr="008D479B">
        <w:rPr>
          <w:i/>
        </w:rPr>
        <w:t>Justificación de la extraordinaria y urgente necesidad aportada por el Gobierno</w:t>
      </w:r>
    </w:p>
    <w:p w14:paraId="45E6CA7C" w14:textId="77777777" w:rsidR="008D479B" w:rsidRDefault="008D479B" w:rsidP="008D479B">
      <w:pPr>
        <w:pStyle w:val="TextoNormal"/>
      </w:pPr>
    </w:p>
    <w:p w14:paraId="43A286AF" w14:textId="77777777" w:rsidR="008D479B" w:rsidRDefault="008D479B" w:rsidP="008D479B">
      <w:pPr>
        <w:pStyle w:val="TextoNormal"/>
      </w:pPr>
      <w:r>
        <w:t>Para proyectar la doctrina que sucintamente se acaba de reseñar sobre la controversia que se plantea en este proceso es preciso partir de las razones que se explicitan en el preámbulo del Real Decreto-ley 9/2021, en el debate parlamentario de su convalidación y en el expediente de elaboración de la norma, para después evaluar si superan el canon de constitucionalidad del art. 86.1 CE.</w:t>
      </w:r>
    </w:p>
    <w:p w14:paraId="55A71CD1" w14:textId="77777777" w:rsidR="008D479B" w:rsidRDefault="008D479B" w:rsidP="008D479B">
      <w:pPr>
        <w:pStyle w:val="TextoNormal"/>
      </w:pPr>
    </w:p>
    <w:p w14:paraId="4D9D2507" w14:textId="77777777" w:rsidR="008D479B" w:rsidRDefault="008D479B" w:rsidP="008D479B">
      <w:pPr>
        <w:pStyle w:val="TextoNormal"/>
      </w:pPr>
      <w:r>
        <w:t>a) El preámbulo de la norma se refiere en varios de sus apartados a la situación de extraordinaria y urgente necesidad que, a juicio del Gobierno, justifica su adopción.</w:t>
      </w:r>
    </w:p>
    <w:p w14:paraId="0EDF7DB3" w14:textId="77777777" w:rsidR="008D479B" w:rsidRDefault="008D479B" w:rsidP="008D479B">
      <w:pPr>
        <w:pStyle w:val="TextoNormal"/>
      </w:pPr>
    </w:p>
    <w:p w14:paraId="7609F2C2" w14:textId="77777777" w:rsidR="008D479B" w:rsidRDefault="008D479B" w:rsidP="008D479B">
      <w:pPr>
        <w:pStyle w:val="TextoNormal"/>
      </w:pPr>
      <w:r>
        <w:t>El apartado I alude como punto de partida a los cambios en las relaciones laborales derivados de la aplicación de medios tecnológicos a la producción de bienes y servicios y, en particular, a la “digitalización forzada o acelerada a lo largo de la crisis sanitaria, habilitando servicios y atención sanitaria personalizados a distancia, permitiendo el mantenimiento de negocios a través de servicios en línea, o garantizando la continuidad de las prestaciones de trabajo a distancia”.</w:t>
      </w:r>
    </w:p>
    <w:p w14:paraId="498C2871" w14:textId="77777777" w:rsidR="008D479B" w:rsidRDefault="008D479B" w:rsidP="008D479B">
      <w:pPr>
        <w:pStyle w:val="TextoNormal"/>
      </w:pPr>
    </w:p>
    <w:p w14:paraId="225983B5" w14:textId="77777777" w:rsidR="008D479B" w:rsidRDefault="008D479B" w:rsidP="008D479B">
      <w:pPr>
        <w:pStyle w:val="TextoNormal"/>
      </w:pPr>
      <w:r>
        <w:t xml:space="preserve">En su apartado II, el preámbulo explica el contenido y fundamento de las medidas adoptadas mediante el real decreto‑ley, resaltando sus antecedentes jurisprudenciales y la subsiguiente decisión de la mesa de diálogo social de incorporar esta jurisprudencia al Derecho positivo de forma clara; la relación sustantiva existente entre las dos modificaciones introducidas en el texto refundido de la Ley del estatuto de los trabajadores (pues “la eficacia de la nueva disposición adicional vigesimotercera, basada, como se ha expuesto, en la valoración de la naturaleza real del vínculo, va a depender en gran medida de la información verificable que se tenga acerca del desarrollo de la actividad a través de plataformas”); y la necesidad de establecer una </w:t>
      </w:r>
      <w:r w:rsidRPr="008D479B">
        <w:rPr>
          <w:i/>
        </w:rPr>
        <w:t>vacatio legis</w:t>
      </w:r>
      <w:r>
        <w:t xml:space="preserve"> de tres meses, “periodo que se estima necesario para posibilitar el conocimiento material de la norma y la adopción de las medidas necesarias para su aplicación”.</w:t>
      </w:r>
    </w:p>
    <w:p w14:paraId="2D87C37A" w14:textId="77777777" w:rsidR="008D479B" w:rsidRDefault="008D479B" w:rsidP="008D479B">
      <w:pPr>
        <w:pStyle w:val="TextoNormal"/>
      </w:pPr>
    </w:p>
    <w:p w14:paraId="09FAE2B8" w14:textId="77777777" w:rsidR="008D479B" w:rsidRDefault="008D479B" w:rsidP="008D479B">
      <w:pPr>
        <w:pStyle w:val="TextoNormal"/>
      </w:pPr>
      <w:r>
        <w:t>Por último, el apartado III se dedica específicamente a justificar la concurrencia del presupuesto habilitante del art. 86.1 CE, en los siguientes términos:</w:t>
      </w:r>
    </w:p>
    <w:p w14:paraId="21330D1C" w14:textId="77777777" w:rsidR="008D479B" w:rsidRDefault="008D479B" w:rsidP="008D479B">
      <w:pPr>
        <w:pStyle w:val="TextoNormal"/>
      </w:pPr>
    </w:p>
    <w:p w14:paraId="55C8ABBC" w14:textId="77777777" w:rsidR="008D479B" w:rsidRDefault="008D479B" w:rsidP="008D479B">
      <w:pPr>
        <w:pStyle w:val="TextoNormal"/>
      </w:pPr>
      <w:r>
        <w:t xml:space="preserve">“A la hora de justificar la concurrencia de la extraordinaria y urgente necesidad, debemos referirnos a la litigiosidad comentada en esta exposición de motivos y la doctrina contenida en la STS 805/2020, que impone, </w:t>
      </w:r>
      <w:r w:rsidRPr="008D479B">
        <w:rPr>
          <w:i/>
        </w:rPr>
        <w:t>de lege ferenda</w:t>
      </w:r>
      <w:r>
        <w:t>, la adopción de una solución legislativa que procure un panorama necesario de normalización y seguridad jurídica para personas trabajadoras y empresas.</w:t>
      </w:r>
    </w:p>
    <w:p w14:paraId="289B9F81" w14:textId="77777777" w:rsidR="008D479B" w:rsidRDefault="008D479B" w:rsidP="008D479B">
      <w:pPr>
        <w:pStyle w:val="TextoNormal"/>
      </w:pPr>
    </w:p>
    <w:p w14:paraId="3721201A" w14:textId="77777777" w:rsidR="008D479B" w:rsidRDefault="008D479B" w:rsidP="008D479B">
      <w:pPr>
        <w:pStyle w:val="TextoNormal"/>
      </w:pPr>
      <w:r>
        <w:t>De un lado, la urgente necesidad de articular equilibradamente una realidad económica nueva —en su forma de organización— con la protección de quienes son personas trabajadoras que, si bien prestan servicios de un modo que se aparta del tradicional, están sometidas a un control en su prestación, básicamente sobre los procesos y los resultados.</w:t>
      </w:r>
    </w:p>
    <w:p w14:paraId="060494EB" w14:textId="77777777" w:rsidR="008D479B" w:rsidRDefault="008D479B" w:rsidP="008D479B">
      <w:pPr>
        <w:pStyle w:val="TextoNormal"/>
      </w:pPr>
    </w:p>
    <w:p w14:paraId="6AEB0935" w14:textId="77777777" w:rsidR="008D479B" w:rsidRDefault="008D479B" w:rsidP="008D479B">
      <w:pPr>
        <w:pStyle w:val="TextoNormal"/>
      </w:pPr>
      <w:r>
        <w:t>En este sentido, debe entenderse la propuesta y su urgencia bajo el principio de protección inherente, que no puede dejarse al albur de actuaciones administrativas o judiciales a las que se encomienda la función de garantizar el efecto útil de los derechos incluidos en el estatuto de los trabajadores.</w:t>
      </w:r>
    </w:p>
    <w:p w14:paraId="3CC3176C" w14:textId="77777777" w:rsidR="008D479B" w:rsidRDefault="008D479B" w:rsidP="008D479B">
      <w:pPr>
        <w:pStyle w:val="TextoNormal"/>
      </w:pPr>
    </w:p>
    <w:p w14:paraId="3E4330A4" w14:textId="77777777" w:rsidR="008D479B" w:rsidRDefault="008D479B" w:rsidP="008D479B">
      <w:pPr>
        <w:pStyle w:val="TextoNormal"/>
      </w:pPr>
      <w:r>
        <w:t>Resulta fundamental para conseguir este nivel de protección adoptar un concepto material de persona trabajadora y un concepto funcional de empresa, superando elementos instrumentales que impidan garantizar el efecto útil de un conjunto de derechos mínimos de los que se ocupa de manera genuina el Derecho del trabajo. De otra manera, corremos el riesgo de que un número creciente de personas que desempeñan su actividad en el contexto atípico de las plataformas digitales de reparto queden excluidas de su ámbito de aplicación y condenadas a una situación de extrema vulnerabilidad.</w:t>
      </w:r>
    </w:p>
    <w:p w14:paraId="52A9C854" w14:textId="77777777" w:rsidR="008D479B" w:rsidRDefault="008D479B" w:rsidP="008D479B">
      <w:pPr>
        <w:pStyle w:val="TextoNormal"/>
      </w:pPr>
    </w:p>
    <w:p w14:paraId="69FCFF66" w14:textId="77777777" w:rsidR="008D479B" w:rsidRDefault="008D479B" w:rsidP="008D479B">
      <w:pPr>
        <w:pStyle w:val="TextoNormal"/>
      </w:pPr>
      <w:r>
        <w:t>Los ingresos que perciben las personas trabajadoras, las cotizaciones a la Seguridad Social, la renta disponible de los hogares y otros efectos adicionales y añadidos que inciden en la fortaleza y capacidad de recuperación del tejido empresarial, hacen especialmente necesaria esta regulación, ante los retos comprometidos con la Unión Europea en el Plan de recuperación, transformación y resiliencia.</w:t>
      </w:r>
    </w:p>
    <w:p w14:paraId="654BD1FA" w14:textId="77777777" w:rsidR="008D479B" w:rsidRDefault="008D479B" w:rsidP="008D479B">
      <w:pPr>
        <w:pStyle w:val="TextoNormal"/>
      </w:pPr>
    </w:p>
    <w:p w14:paraId="06941415" w14:textId="77777777" w:rsidR="008D479B" w:rsidRDefault="008D479B" w:rsidP="008D479B">
      <w:pPr>
        <w:pStyle w:val="TextoNormal"/>
      </w:pPr>
      <w:r>
        <w:t>Por ello, es urgente contar con un medio que procure certezas, seguridad y previsibilidad mediante la adopción de esta nueva técnica que refleja en el texto del estatuto de los trabajadores las características de una realidad productiva altamente digitalizada, pero que no altera el contenido ni el alcance de las notas que definen la naturaleza laboral de una relación de servicios conforme a lo establecido en el artículo 1.1 del estatuto de los trabajadores, ni sus consecuencias. Resulta igualmente urgente, además, garantizar la igualdad de trato entre las empresas ‘tradicionales’ y las que utilizan medios de control digital basadas en la gestión de datos algorítmicos, sobre la base de una competencia transparente y leal entre unas y otras.</w:t>
      </w:r>
    </w:p>
    <w:p w14:paraId="30D18059" w14:textId="77777777" w:rsidR="008D479B" w:rsidRDefault="008D479B" w:rsidP="008D479B">
      <w:pPr>
        <w:pStyle w:val="TextoNormal"/>
      </w:pPr>
    </w:p>
    <w:p w14:paraId="4941D5DC" w14:textId="77777777" w:rsidR="008D479B" w:rsidRDefault="008D479B" w:rsidP="008D479B">
      <w:pPr>
        <w:pStyle w:val="TextoNormal"/>
      </w:pPr>
      <w:r>
        <w:t>Todo lo anterior pone de manifiesto la urgencia de garantizar condiciones de trabajo justas en la economía de las plataformas digitales de reparto, a través de una presunción de laboralidad de las personas que prestan servicios en dicho ámbito, que asegura la igualdad de trato de las empresas, ya operen con formas de trabajo estándar o no estándar; así como procurar, por último, la efectividad de la modificación legislativa operada, mediante la incorporación de mecanismos para conseguir su cumplimiento y aplicación efectivos.</w:t>
      </w:r>
    </w:p>
    <w:p w14:paraId="51E8B2F6" w14:textId="77777777" w:rsidR="008D479B" w:rsidRDefault="008D479B" w:rsidP="008D479B">
      <w:pPr>
        <w:pStyle w:val="TextoNormal"/>
      </w:pPr>
    </w:p>
    <w:p w14:paraId="3E77211B" w14:textId="77777777" w:rsidR="008D479B" w:rsidRDefault="008D479B" w:rsidP="008D479B">
      <w:pPr>
        <w:pStyle w:val="TextoNormal"/>
      </w:pPr>
      <w:r>
        <w:t>En este sentido, la aprobación y publicación de la medida otorgará seguridad jurídica a los operadores, que dispondrán de un plazo razonable para realizar las adaptaciones necesarias al nuevo marco legal, periodo de tiempo que se considera como mínimo indispensable a tal fin”.</w:t>
      </w:r>
    </w:p>
    <w:p w14:paraId="11661DE2" w14:textId="77777777" w:rsidR="008D479B" w:rsidRDefault="008D479B" w:rsidP="008D479B">
      <w:pPr>
        <w:pStyle w:val="TextoNormal"/>
      </w:pPr>
    </w:p>
    <w:p w14:paraId="1C8D3F56" w14:textId="77777777" w:rsidR="008D479B" w:rsidRDefault="008D479B" w:rsidP="008D479B">
      <w:pPr>
        <w:pStyle w:val="TextoNormal"/>
      </w:pPr>
      <w:r>
        <w:t>b) En el debate de convalidación, la vicepresidenta tercera del Gobierno y ministra de Trabajo y Economía Social se refirió a esta cuestión en su primera intervención (“Diario de Sesiones”, Congreso de los Diputados, núm. 110, 10 de junio de 2021, págs. 19‑41):</w:t>
      </w:r>
    </w:p>
    <w:p w14:paraId="73B9B2A9" w14:textId="77777777" w:rsidR="008D479B" w:rsidRDefault="008D479B" w:rsidP="008D479B">
      <w:pPr>
        <w:pStyle w:val="TextoNormal"/>
      </w:pPr>
    </w:p>
    <w:p w14:paraId="1E85587C" w14:textId="77777777" w:rsidR="008D479B" w:rsidRDefault="008D479B" w:rsidP="008D479B">
      <w:pPr>
        <w:pStyle w:val="TextoNormal"/>
      </w:pPr>
      <w:r>
        <w:t>“[L]a regulación que hoy traemos a esta Cámara no trata solo de paliar una situación concreta, sino que se integra en la filosofía y los compromisos plasmados en el Plan de recuperación, transformación y resiliencia, relativos a la modernización de nuestro mercado laboral, en consonancia con el paisaje normativo desarrollado por la Comisión Europea y también por la OIT.</w:t>
      </w:r>
    </w:p>
    <w:p w14:paraId="2ECED8B3" w14:textId="77777777" w:rsidR="008D479B" w:rsidRDefault="008D479B" w:rsidP="008D479B">
      <w:pPr>
        <w:pStyle w:val="TextoNormal"/>
      </w:pPr>
    </w:p>
    <w:p w14:paraId="7A66A5A9" w14:textId="77777777" w:rsidR="008D479B" w:rsidRDefault="008D479B" w:rsidP="008D479B">
      <w:pPr>
        <w:pStyle w:val="TextoNormal"/>
      </w:pPr>
      <w:r>
        <w:t>[…]</w:t>
      </w:r>
    </w:p>
    <w:p w14:paraId="267CAB50" w14:textId="77777777" w:rsidR="008D479B" w:rsidRDefault="008D479B" w:rsidP="008D479B">
      <w:pPr>
        <w:pStyle w:val="TextoNormal"/>
      </w:pPr>
    </w:p>
    <w:p w14:paraId="1FC3976A" w14:textId="77777777" w:rsidR="008D479B" w:rsidRDefault="008D479B" w:rsidP="008D479B">
      <w:pPr>
        <w:pStyle w:val="TextoNormal"/>
      </w:pPr>
      <w:r>
        <w:t>Quiero ahora hacer referencia, ya para finalizar, a la concurrencia de la extraordinaria y urgente necesidad que exige el artículo 86.1 del texto constitucional para la aprobación por parte del Gobierno de este real decreto-ley. La respuesta [d]el Tribunal Supremo tuvo, como saben, un efecto clarificador, pero no dejaba de ser un pronunciamiento judicial, que, como tal, carecía de la eficacia general que corresponde a las normas. Hemos escuchado el debate social durante la fase más aguda de la pandemia, cuando las personas dedicadas al reparto han estado en primera línea de exposición al virus, y también después. Esa incertidumbre solo podía ser resuelta por la acción normativa, una clarificación con rango de ley como esta, que establece un plazo máximo de tres meses para que las empresas adapten su forma de gestión a los nuevos preceptos y regulaciones”.</w:t>
      </w:r>
    </w:p>
    <w:p w14:paraId="3423B52F" w14:textId="77777777" w:rsidR="008D479B" w:rsidRDefault="008D479B" w:rsidP="008D479B">
      <w:pPr>
        <w:pStyle w:val="TextoNormal"/>
      </w:pPr>
    </w:p>
    <w:p w14:paraId="03624231" w14:textId="77777777" w:rsidR="008D479B" w:rsidRDefault="008D479B" w:rsidP="008D479B">
      <w:pPr>
        <w:pStyle w:val="TextoNormal"/>
      </w:pPr>
      <w:r>
        <w:t>c) Finalmente, la memoria de análisis de impacto normativo, aportada por el abogado del Estado en sus alegaciones, alude a esta cuestión en varios de sus apartados.</w:t>
      </w:r>
    </w:p>
    <w:p w14:paraId="5C17E402" w14:textId="77777777" w:rsidR="008D479B" w:rsidRDefault="008D479B" w:rsidP="008D479B">
      <w:pPr>
        <w:pStyle w:val="TextoNormal"/>
      </w:pPr>
    </w:p>
    <w:p w14:paraId="2F90433D" w14:textId="77777777" w:rsidR="008D479B" w:rsidRDefault="008D479B" w:rsidP="008D479B">
      <w:pPr>
        <w:pStyle w:val="TextoNormal"/>
      </w:pPr>
      <w:r>
        <w:t>En el apartado I.1, dedicado a justificar la oportunidad de la norma, hace alusión al debate jurisprudencial acerca del régimen y los derechos de los trabajadores de plataformas digitales que se ha desarrollado durante los últimos años tanto en nuestro país como en el Derecho comparado, así como a la importante labor desarrollada en este ámbito por la Inspección de Trabajo y Seguridad Social, e indica también lo siguiente:</w:t>
      </w:r>
    </w:p>
    <w:p w14:paraId="07E20792" w14:textId="77777777" w:rsidR="008D479B" w:rsidRDefault="008D479B" w:rsidP="008D479B">
      <w:pPr>
        <w:pStyle w:val="TextoNormal"/>
      </w:pPr>
    </w:p>
    <w:p w14:paraId="43449DC7" w14:textId="77777777" w:rsidR="008D479B" w:rsidRDefault="008D479B" w:rsidP="008D479B">
      <w:pPr>
        <w:pStyle w:val="TextoNormal"/>
      </w:pPr>
      <w:r>
        <w:t>“Las consecuencias de la pandemia de la Covid-19 están poniendo de manifiesto los riesgos y las desigualdades a los que se ven expuestos los trabajadores, especialmente los que están ocupados en plataformas digitales basadas en la ubicación. En lo que se refiere a las empresas tradicionales, los problemas abarcan las prácticas de competencia desleal de las plataformas, algunas de las cuales no están sujetas a la tributación convencional ni a otras normativas.</w:t>
      </w:r>
    </w:p>
    <w:p w14:paraId="6CB45612" w14:textId="77777777" w:rsidR="008D479B" w:rsidRDefault="008D479B" w:rsidP="008D479B">
      <w:pPr>
        <w:pStyle w:val="TextoNormal"/>
      </w:pPr>
    </w:p>
    <w:p w14:paraId="1CA25E38" w14:textId="77777777" w:rsidR="008D479B" w:rsidRDefault="008D479B" w:rsidP="008D479B">
      <w:pPr>
        <w:pStyle w:val="TextoNormal"/>
      </w:pPr>
      <w:r>
        <w:t>Todo lo anterior motiva, en conclusión, la urgencia de garantizar condiciones de trabajo justas en la economía de plataformas con una presunción refutable de que el trabajador de la plataforma está empleado como tal, y que garantice la igualdad de trato entre todas las formas de trabajo no estándar y trabajo estándar”.</w:t>
      </w:r>
    </w:p>
    <w:p w14:paraId="10B9CC1C" w14:textId="77777777" w:rsidR="008D479B" w:rsidRDefault="008D479B" w:rsidP="008D479B">
      <w:pPr>
        <w:pStyle w:val="TextoNormal"/>
      </w:pPr>
    </w:p>
    <w:p w14:paraId="1BF679F1" w14:textId="77777777" w:rsidR="008D479B" w:rsidRDefault="008D479B" w:rsidP="008D479B">
      <w:pPr>
        <w:pStyle w:val="TextoNormal"/>
      </w:pPr>
      <w:r>
        <w:t>El apartado I.3 (“análisis de alternativas”) indica que el Gobierno consideró la “no regulación” así como la posibilidad de tramitar la reforma (justificada por los “objetivos” que igualmente expone: “garantizar certeza y seguridad jurídica”, pág. 13) mediante un anteproyecto de ley. “No obstante”, continúa, “la fuerte litigiosidad en los tribunales, la permanente casuística a la que se ven abocadas situaciones materialmente idénticas, la necesidad de dar respuesta mediante un tránsito ordenado a todas las relaciones incluidas en el ámbito de la nueva presunción, evitando perjuicios y costes sobreañadidos, hace necesaria una respuesta normativa urgente y ponderada que además es producto del Acuerdo con los interlocutores sociales, siendo el real decreto-ley el instrumento adecuado para garantizar estos objetivos como se señala en el apartado III” (pág. 15).</w:t>
      </w:r>
    </w:p>
    <w:p w14:paraId="70C32885" w14:textId="77777777" w:rsidR="008D479B" w:rsidRDefault="008D479B" w:rsidP="008D479B">
      <w:pPr>
        <w:pStyle w:val="TextoNormal"/>
      </w:pPr>
    </w:p>
    <w:p w14:paraId="3B4A39EF" w14:textId="77777777" w:rsidR="008D479B" w:rsidRDefault="008D479B" w:rsidP="008D479B">
      <w:pPr>
        <w:pStyle w:val="TextoNormal"/>
      </w:pPr>
      <w:r>
        <w:t xml:space="preserve">Por último, el apartado III de la memoria, dedicado al “análisis jurídico” de la norma (págs. 16 y siguientes), alude a la “insuficiencia de la regulación tradicional del trabajo por cuenta ajena para delimitar con plena seguridad jurídica su aplicación a una nueva realidad como es la organización de prestación de servicios” mediante plataformas digitales y la “litigiosidad” que se viene produciendo desde la “primera sentencia” en la materia, del Juzgado de lo Social núm. 8 de Valencia dictada el 1 de junio de 2018, hasta la sentencia de la Sala Cuarta del Tribunal Supremo ya citada, de 2020, incluyendo “[h]asta dieciséis sentencias de instancia con sus correspondientes sentencias en suplicación” (pág. 11) con una “clara uniformidad en los pronunciamientos sobre la consideración de [los </w:t>
      </w:r>
      <w:r w:rsidRPr="008D479B">
        <w:rPr>
          <w:i/>
        </w:rPr>
        <w:t>riders</w:t>
      </w:r>
      <w:r>
        <w:t xml:space="preserve">] como personas trabajadoras por cuenta ajena a todos los efectos”. Esta jurisprudencia y la “doctrina contenida en la STS 805/2020, de 25 de septiembre”, continúa la memoria, “imponen, </w:t>
      </w:r>
      <w:r w:rsidRPr="008D479B">
        <w:rPr>
          <w:i/>
        </w:rPr>
        <w:t>de lege ferenda</w:t>
      </w:r>
      <w:r>
        <w:t>, la adopción de una solución legislativa que procure un panorama necesario de normalización y seguridad jurídica para personas trabajadoras y empresas” (pág. 22).</w:t>
      </w:r>
    </w:p>
    <w:p w14:paraId="15B0CB54" w14:textId="77777777" w:rsidR="008D479B" w:rsidRDefault="008D479B" w:rsidP="008D479B">
      <w:pPr>
        <w:pStyle w:val="TextoNormal"/>
      </w:pPr>
    </w:p>
    <w:p w14:paraId="4F2F838E" w14:textId="77777777" w:rsidR="008D479B" w:rsidRDefault="008D479B" w:rsidP="008D479B">
      <w:pPr>
        <w:pStyle w:val="TextoNormal"/>
      </w:pPr>
      <w:r>
        <w:t>Añade, al tratar esta litigiosidad en la materia, cifras de los expedientes abiertos por la Inspección de Trabajo entre 2015 y 2021 (con 16 794 trabajadores implicados, 595 infracciones apreciadas, 2 852 161,40 € en sanciones y 28 978 336,97 € en liquidaciones de cotizaciones a la Seguridad Social), actuaciones que “están siendo confirmadas por las Salas de lo Social de los Tribunales Superiores de Justicia que hasta la fecha se están pronunciando sobre las mismas”. La “urgencia” de la reacción legislativa se justifica así para dar “una respuesta uniforme, proporcionada y conforme a criterios claros y seguros que no dependan de soluciones casuísticas […] especialmente gravosas como las actuaciones administrativas o judiciales” quedando los implicados “al albur” de este tipo de decisiones.</w:t>
      </w:r>
    </w:p>
    <w:p w14:paraId="038DC95C" w14:textId="77777777" w:rsidR="008D479B" w:rsidRDefault="008D479B" w:rsidP="008D479B">
      <w:pPr>
        <w:pStyle w:val="TextoNormal"/>
      </w:pPr>
    </w:p>
    <w:p w14:paraId="6B9FB100" w14:textId="4B7EE2A0" w:rsidR="008D479B" w:rsidRDefault="008D479B" w:rsidP="008D479B">
      <w:pPr>
        <w:pStyle w:val="TextoNormal"/>
      </w:pPr>
      <w:r>
        <w:t>Finalmente añade una referencia a “[l]os ingresos que perciben las personas trabajadoras, las cotizaciones a la Seguridad Social, la renta disponible de los hogares y otros efectos adicionales y añadidos que inciden en la fortaleza y capacidad de recuperación del tejido empresarial” (pág. 20). Más adelante, en el apartado dedicado al “impacto económico”, la memoria “estima” que existen 14 337 repartidores en España, de acuerdo con datos del año 2018 (pág. 28, y en los mismos términos pág. 19, nota 9), y “asume que cada repartidor aproximadamente obtiene […] unos ingresos brutos mensuales inferiores al SMI, aunque la variabilidad de ingresos y lo reducido de la muestra de las encuestas hasta ahora realizadas no permite que las cifras puedan considerarse representativas a nivel estadístico, aunque ofrecen una indicación”. Calcula así que “[s]u salario sería inferior en hasta un 40 por 100 respecto a la situación del contrato estándar” y que “[e]n concepto de cotizaciones sociales, los menores ingresos de la Seguridad Social podrían llegar a suponer el 80 por 100 respecto a un trabajador con plenos derechos laborales” (pág. 29).</w:t>
      </w:r>
    </w:p>
    <w:p w14:paraId="7E89637B" w14:textId="77777777" w:rsidR="008D479B" w:rsidRDefault="008D479B" w:rsidP="008D479B">
      <w:pPr>
        <w:pStyle w:val="TextoNormal"/>
      </w:pPr>
    </w:p>
    <w:p w14:paraId="7776C092" w14:textId="77777777" w:rsidR="008D479B" w:rsidRDefault="008D479B" w:rsidP="008D479B">
      <w:pPr>
        <w:pStyle w:val="TextoNormal"/>
      </w:pPr>
      <w:r w:rsidRPr="008D479B">
        <w:rPr>
          <w:rStyle w:val="NumeroAFNegritaCaracter"/>
        </w:rPr>
        <w:t>5</w:t>
      </w:r>
      <w:r>
        <w:t xml:space="preserve">. </w:t>
      </w:r>
      <w:r w:rsidRPr="008D479B">
        <w:rPr>
          <w:i/>
        </w:rPr>
        <w:t>Examen de la concurrencia del requisito de la “extraordinaria y urgente necesidad” del real decreto-ley impugnado</w:t>
      </w:r>
    </w:p>
    <w:p w14:paraId="5CEDD037" w14:textId="77777777" w:rsidR="008D479B" w:rsidRDefault="008D479B" w:rsidP="008D479B">
      <w:pPr>
        <w:pStyle w:val="TextoNormal"/>
      </w:pPr>
    </w:p>
    <w:p w14:paraId="504529E5" w14:textId="77777777" w:rsidR="008D479B" w:rsidRDefault="008D479B" w:rsidP="008D479B">
      <w:pPr>
        <w:pStyle w:val="TextoNormal"/>
      </w:pPr>
      <w:r>
        <w:t>a) Síntesis de la controversia</w:t>
      </w:r>
    </w:p>
    <w:p w14:paraId="2963E63A" w14:textId="77777777" w:rsidR="008D479B" w:rsidRDefault="008D479B" w:rsidP="008D479B">
      <w:pPr>
        <w:pStyle w:val="TextoNormal"/>
      </w:pPr>
    </w:p>
    <w:p w14:paraId="1B28B3EF" w14:textId="77777777" w:rsidR="008D479B" w:rsidRDefault="008D479B" w:rsidP="008D479B">
      <w:pPr>
        <w:pStyle w:val="TextoNormal"/>
      </w:pPr>
      <w:r>
        <w:t>Como quedó reflejado en los antecedentes, los diputados recurrentes sostienen que, con independencia de la importancia y necesidad de la regulación introducida por el Real Decreto-ley 9/2021, el uso de esta fuente normativa excepcional debe considerarse inconstitucional porque para su adopción no concurría una situación de “extraordinaria y urgente necesidad” y porque, en todo caso, su concurrencia no fue justificada por el Gobierno de forma explícita y razonada; motivos estos por los que, a su vez, tampoco sería posible hablar de conexión de sentido de las medidas adoptadas con situación de urgencia alguna.</w:t>
      </w:r>
    </w:p>
    <w:p w14:paraId="201D6497" w14:textId="77777777" w:rsidR="008D479B" w:rsidRDefault="008D479B" w:rsidP="008D479B">
      <w:pPr>
        <w:pStyle w:val="TextoNormal"/>
      </w:pPr>
    </w:p>
    <w:p w14:paraId="08A8D8FD" w14:textId="77777777" w:rsidR="008D479B" w:rsidRDefault="008D479B" w:rsidP="008D479B">
      <w:pPr>
        <w:pStyle w:val="TextoNormal"/>
      </w:pPr>
      <w:r>
        <w:t xml:space="preserve">En concreto, y respecto de la justificación del presupuesto habilitante, la demanda argumenta que la memoria de análisis de impacto normativo no incluyó razonamiento alguno sobre la urgencia justificativa del uso del decreto-ley y que su preámbulo se limitó a aducir razones vagas y genéricas sobre la necesidad de la regulación que, como tales, podrían servir para la modificación de cualquier texto legal. Por otra parte, y en cuanto a la alegada inexistencia material de extraordinaria y urgente necesidad para la regulación de la materia concernida, la demanda, amén de denunciar en bloque el número de reales decretos-leyes aprobados desde el inicio de la pandemia en marzo de 2020 —que consideran acreditativo de la intención del Gobierno de suplantar la función legislativo de las Cortes Generales—, se apoya sobre tres argumentos de carácter temporal. Estos se refieren a (i) la tardanza en la aprobación de la norma (pues se dice que desde la constitución de la mesa de diálogo —el 28 de octubre de 2020— hasta la aprobación del real decreto-ley —el 11 de mayo de 2021— transcurrieron más de seis meses, tiempo suficiente para aprobar la norma por el trámite ordinario, y se aduce también que era público y notorio que el Gobierno llevaba un año trabajando en un proyecto de ley sobre la materia que finalmente reguló mediante la norma impugnada); (ii) la </w:t>
      </w:r>
      <w:r w:rsidRPr="008D479B">
        <w:rPr>
          <w:i/>
        </w:rPr>
        <w:t>vacatio legis</w:t>
      </w:r>
      <w:r>
        <w:t xml:space="preserve"> prevista para su entrada en vigor (pues el hecho de que fuese de tres meses evidenciaría que no estamos ante una situación de urgencia; y (iii) la vocación de permanencia de sus efectos (ya que, según la demanda, el Real Decreto-ley 9/2021 nació desprovisto de la necesaria aspiración de provisionalidad, constituyendo su único fin la suplantación de la potestad legislativa ordinaria de las Cortes Generales).</w:t>
      </w:r>
    </w:p>
    <w:p w14:paraId="1DE730D8" w14:textId="77777777" w:rsidR="008D479B" w:rsidRDefault="008D479B" w:rsidP="008D479B">
      <w:pPr>
        <w:pStyle w:val="TextoNormal"/>
      </w:pPr>
    </w:p>
    <w:p w14:paraId="1C938C72" w14:textId="77777777" w:rsidR="008D479B" w:rsidRDefault="008D479B" w:rsidP="008D479B">
      <w:pPr>
        <w:pStyle w:val="TextoNormal"/>
      </w:pPr>
      <w:r>
        <w:t>El abogado del Estado niega que se haya producido infracción alguna del art. 86.1 CE. En particular, aduce que el real decreto‑ley impugnado tiene la finalidad de poner fin de manera inmediata a la situación de precariedad laboral de los repartidores de empresas de plataforma digital, inmediatez o urgencia cuya necesidad habría sido suficientemente justificada por el Gobierno con base en el carácter materialmente injusto de dicha situación, en los recientes desarrollos administrativos y jurisprudenciales en la materia y en la contribución que la incorporación formal de este colectivo al mundo laboral supondría para la recuperación económica en el marco de la crisis causada por la pandemia de Covid‑19.</w:t>
      </w:r>
    </w:p>
    <w:p w14:paraId="33E2851F" w14:textId="77777777" w:rsidR="008D479B" w:rsidRDefault="008D479B" w:rsidP="008D479B">
      <w:pPr>
        <w:pStyle w:val="TextoNormal"/>
      </w:pPr>
    </w:p>
    <w:p w14:paraId="3AA525E6" w14:textId="77777777" w:rsidR="008D479B" w:rsidRDefault="008D479B" w:rsidP="008D479B">
      <w:pPr>
        <w:pStyle w:val="TextoNormal"/>
      </w:pPr>
      <w:r>
        <w:t>b) Enjuiciamiento</w:t>
      </w:r>
    </w:p>
    <w:p w14:paraId="11BE0BDA" w14:textId="77777777" w:rsidR="008D479B" w:rsidRDefault="008D479B" w:rsidP="008D479B">
      <w:pPr>
        <w:pStyle w:val="TextoNormal"/>
      </w:pPr>
    </w:p>
    <w:p w14:paraId="7122DF55" w14:textId="77777777" w:rsidR="008D479B" w:rsidRDefault="008D479B" w:rsidP="008D479B">
      <w:pPr>
        <w:pStyle w:val="TextoNormal"/>
      </w:pPr>
      <w:r>
        <w:t>(i) De cuanto ha quedado expuesto en el fundamento jurídico anterior se desprende que el Gobierno sí ha aportado una justificación explícita y razonada para su reacción legislativa de urgencia, lo cual conduce, de entrada, a desestimar las alegaciones que sobre este extremo formula la demanda. En concreto, el Gobierno se ha referido expresamente al presupuesto habilitante del Real Decreto-ley 9/2021 ligándolo a la combinación de varias circunstancias, a saber, (1) el alto y creciente número de trabajadores afectados por la situación de precariedad laboral que se pretende atajar, según los datos que resultan de la actividad de la Inspección General de Trabajo entre los años 2015 y 2021; (2) el incremento del volumen de servicios prestados a través de plataformas digitales y de los problemas asociados a esta realidad en el marco de la pandemia de Covid-19; (3) la necesidad de incorporar al Derecho positivo la doctrina de la sentencia de la Sala de lo Social del Tribunal Supremo de 15 de septiembre de 2020, para proporcionar seguridad jurídica en un ámbito caracterizado por una fuerte litigiosidad; y (4) el proceso de recuperación económica en el marco de la pandemia, al que las medidas aprobadas podían contribuir mediante el aumento de los ingresos de las personas trabajadoras y la incorporación al sistema de sus cotizaciones sociales.</w:t>
      </w:r>
    </w:p>
    <w:p w14:paraId="38D21EEF" w14:textId="77777777" w:rsidR="008D479B" w:rsidRDefault="008D479B" w:rsidP="008D479B">
      <w:pPr>
        <w:pStyle w:val="TextoNormal"/>
      </w:pPr>
    </w:p>
    <w:p w14:paraId="4E0BFB13" w14:textId="77777777" w:rsidR="008D479B" w:rsidRDefault="008D479B" w:rsidP="008D479B">
      <w:pPr>
        <w:pStyle w:val="TextoNormal"/>
      </w:pPr>
      <w:r>
        <w:t>(ii) Los recurrentes discuten, adicionalmente, la apreciación del Gobierno de que las citadas circunstancias son materialmente constitutivas de una situación de extraordinaria y urgente necesidad habilitadora del recurso al real decreto-ley como fuente de producción normativa. Frente a ello, el Tribunal observa que el real decreto-ley impugnado pretende hacer frente a un específico problema de precariedad laboral (a su vez perjudicial para la competencia leal entre empresas y para la economía en general) que, efectivamente, no es nuevo, pero cuya relevancia se ha visto incrementada durante los últimos años y se agudizó especialmente durante la pandemia de Covid-19, dando lugar a una fuerte litigiosidad que culminó con el dictado de la sentencia de la Sala de lo Social del Tribunal Supremo 805/2020, invocada en el preámbulo, en la memoria y en el debate de convalidación de la norma al hilo de la justificación de su presupuesto habilitante.</w:t>
      </w:r>
    </w:p>
    <w:p w14:paraId="28B82AEE" w14:textId="77777777" w:rsidR="008D479B" w:rsidRDefault="008D479B" w:rsidP="008D479B">
      <w:pPr>
        <w:pStyle w:val="TextoNormal"/>
      </w:pPr>
    </w:p>
    <w:p w14:paraId="5699FD30" w14:textId="77777777" w:rsidR="008D479B" w:rsidRDefault="008D479B" w:rsidP="008D479B">
      <w:pPr>
        <w:pStyle w:val="TextoNormal"/>
      </w:pPr>
      <w:r>
        <w:t xml:space="preserve">El desconocimiento de los derechos mínimos de los trabajadores dedicados al reparto en el ámbito de las plataformas digitales afectaba, según los datos que facilita el expediente de elaboración de la norma, a más de 16 000 personas, de conformidad con las actas de infracción de la Inspección de Trabajo levantadas entre 2018 y 2020. La irrupción de la pandemia de Covid-19, con el consiguiente confinamiento domiciliario y la paralización de buena parte de la actividad social, vino a reforzar y visibilizar la importancia estratégica del papel del servicio prestado por los repartidores de plataformas digitales. En esa insólita situación, los repartidores seguían desempeñando sus labores y lo hacían desprovistos de los mínimos derechos laborales: ni límite de jornada, ni descanso semanal, ni salario mínimo, ni cobertura frente al accidente de trabajo ni la enfermedad. Esta situación de extrema vulnerabilidad, con sus correspondientes efectos negativos sobre la economía en términos de salarios y cotizaciones, se recoge como justificación en el preámbulo de la norma y en la memoria de análisis de impacto normativo y justifica no solo la necesidad de regulación de un mínimo de derechos, algo que reconocen los demandantes, sino también que se adoptaran medidas legislativas para que esa situación no se mantuviera en el tiempo. No resulta irrazonable, en este punto, la motivación aducida por el Gobierno acerca de la insuficiencia a tales efectos de la regulación hasta entonces contenida en el texto refundido de la Ley del estatuto de los trabajadores, pues la propia STS 805/2020, dictada en casación para la unificación de doctrina, establecía una pauta de interpretación y decisión de conflictos judicializados en ese ámbito, pero carecía de la eficacia para ordenar </w:t>
      </w:r>
      <w:r w:rsidRPr="008D479B">
        <w:rPr>
          <w:i/>
        </w:rPr>
        <w:t>per se</w:t>
      </w:r>
      <w:r>
        <w:t xml:space="preserve"> el mercado de las empresas de reparto que operaban mediante plataformas digitales.</w:t>
      </w:r>
    </w:p>
    <w:p w14:paraId="5EA642F6" w14:textId="77777777" w:rsidR="008D479B" w:rsidRDefault="008D479B" w:rsidP="008D479B">
      <w:pPr>
        <w:pStyle w:val="TextoNormal"/>
      </w:pPr>
    </w:p>
    <w:p w14:paraId="118FB875" w14:textId="77777777" w:rsidR="008D479B" w:rsidRDefault="008D479B" w:rsidP="008D479B">
      <w:pPr>
        <w:pStyle w:val="TextoNormal"/>
      </w:pPr>
      <w:r>
        <w:t>Todo ello nos permite descartar la existencia de abuso o arbitrariedad en el empleo de la legislación extraordinaria en este concreto supuesto. Esta apreciación inicial no se ve modificada por ninguna de las alegaciones de la demanda, pues, por los motivos que a continuación se indican, no cabe entender que aporte razones suficientes para calificar de abusiva o arbitraria la apreciación de la extraordinaria y urgente necesidad realizada por el Gobierno.</w:t>
      </w:r>
    </w:p>
    <w:p w14:paraId="2287A8DA" w14:textId="77777777" w:rsidR="008D479B" w:rsidRDefault="008D479B" w:rsidP="008D479B">
      <w:pPr>
        <w:pStyle w:val="TextoNormal"/>
      </w:pPr>
    </w:p>
    <w:p w14:paraId="2B8BBBD2" w14:textId="77777777" w:rsidR="008D479B" w:rsidRDefault="008D479B" w:rsidP="008D479B">
      <w:pPr>
        <w:pStyle w:val="TextoNormal"/>
      </w:pPr>
      <w:r>
        <w:t>(iii) No puede acogerse, en primer lugar, el reproche general que la demanda dirige contra el conjunto de la actuación normativa del Gobierno a través de decretos-leyes en el período comprendido entre el inicio de la pandemia de Covid-19 (marzo de 2020) y el momento de la interposición del recurso de inconstitucionalidad (julio de 2021); actuación cuyo volumen delataría, a juicio de los recurrentes, la intención del ejecutivo de suplantar de manera permanente la potestad legislativa ordinaria de las Cortes Generales.</w:t>
      </w:r>
    </w:p>
    <w:p w14:paraId="685F573C" w14:textId="77777777" w:rsidR="008D479B" w:rsidRDefault="008D479B" w:rsidP="008D479B">
      <w:pPr>
        <w:pStyle w:val="TextoNormal"/>
      </w:pPr>
    </w:p>
    <w:p w14:paraId="5C25321C" w14:textId="77777777" w:rsidR="008D479B" w:rsidRDefault="008D479B" w:rsidP="008D479B">
      <w:pPr>
        <w:pStyle w:val="TextoNormal"/>
      </w:pPr>
      <w:r>
        <w:t>Esta alegación no puede prosperar porque, como hemos indicado en otras ocasiones, el recurso de inconstitucionalidad es un cauce procesal apto para el enjuiciamiento de textos legales y de fórmulas legislativas determinadas, pero no “una vía de impugnación que pueda dirigirse de manera indiscriminada contra un bloque de legalidad o contra una parte del sistema normativo” (STC 86/1982, de 23 de diciembre, FJ 5) o que pueda utilizarse para enjuiciar “las intenciones del legislador, su estrategia política o su propósito último” (por todas, STC 128/2016, de 7 de julio, FJ 5).</w:t>
      </w:r>
    </w:p>
    <w:p w14:paraId="19831075" w14:textId="77777777" w:rsidR="008D479B" w:rsidRDefault="008D479B" w:rsidP="008D479B">
      <w:pPr>
        <w:pStyle w:val="TextoNormal"/>
      </w:pPr>
    </w:p>
    <w:p w14:paraId="17F14BBE" w14:textId="77777777" w:rsidR="008D479B" w:rsidRDefault="008D479B" w:rsidP="008D479B">
      <w:pPr>
        <w:pStyle w:val="TextoNormal"/>
      </w:pPr>
      <w:r>
        <w:t>Con todo, es preciso realizar alguna consideración sobre esta queja general, pues conecta con una de las razones de urgencia concretamente aducidas por el Gobierno al aprobar el Real Decreto-ley 9/2021, a saber, el incremento del volumen de servicios prestados a través de plataformas digitales en el marco de la pandemia de Covid-19. En su demanda, los recurrentes omiten toda referencia a esta específica coyuntura histórica. La pandemia de Covid-19, contexto de la producción normativa de urgencia criticada en el recurso, planteó una situación de emergencia inédita e imprevisible, que dio lugar a la declaración de dos estados de alarma de ámbito nacional sucesivos y que provocó una ruptura de la normalidad social, económica y política que afectó también al sistema de producción legislativa. La crisis generó la necesidad de definir políticas públicas de respuesta inmediata ante los nuevos problemas asociados a ella; necesidad que encontró su cauce, por lo que ahora interesa, en la facultad de dictar disposiciones legislativas provisionales que el art. 86.1 CE confiere al Gobierno.</w:t>
      </w:r>
    </w:p>
    <w:p w14:paraId="7CA93112" w14:textId="77777777" w:rsidR="008D479B" w:rsidRDefault="008D479B" w:rsidP="008D479B">
      <w:pPr>
        <w:pStyle w:val="TextoNormal"/>
      </w:pPr>
    </w:p>
    <w:p w14:paraId="3EEFA896" w14:textId="77777777" w:rsidR="008D479B" w:rsidRDefault="008D479B" w:rsidP="008D479B">
      <w:pPr>
        <w:pStyle w:val="TextoNormal"/>
      </w:pPr>
      <w:r>
        <w:t>La concurrencia de una crisis de estas características no exime al Gobierno de la carga de justificar la concurrencia del presupuesto habilitante exigido por el art. 86.1 CE, ni legitima automáticamente la aprobación de cualquier reforma mediante decreto-ley (pues solo serán admisibles aquellas que guarden la debida conexión de sentido con la situación de emergencia afrontada: SSTC 110/2021 y 111/2021, de 13 de mayo). Sin embargo, junto con ello es necesario recordar que “si algo define la crisis económica causada por la pandemia de la Covid-19 es su gravedad e imprevisibilidad” a la que “cabe calificar como una ‘coyuntura económica problemática’, —en los términos expresamente aceptados por la doctrina constitucional— (entre otras, SSTC 215/2015, de 22 de octubre, FJ 4, y 18/2016, de 4 de febrero, FJ 5), lo que demanda medidas urgentes de reactivación económica” (STC 40/2021, de 18 de febrero, FJ 3). Y, conforme a la doctrina constitucional relativa a las “coyunturas económicas problemáticas”, el real decreto-ley representa un instrumento de actuación constitucionalmente pertinente y adecuado para hacerles frente, esto es, para subvenir a “situaciones concretas de los objetivos gubernamentales que por razones difíciles de prever requieran una acción normativa inmediata en un plazo más breve que el requerido por la vía normal o por el procedimiento de urgencia para la tramitación parlamentaria de las leyes” (entre otras, SSTC 31/2011, de 17 de marzo, FJ 4; 215/2015, de 22 de octubre, FJ 4, y 18/2016, de 4 de febrero, FJ 5).</w:t>
      </w:r>
    </w:p>
    <w:p w14:paraId="66DEF772" w14:textId="77777777" w:rsidR="008D479B" w:rsidRDefault="008D479B" w:rsidP="008D479B">
      <w:pPr>
        <w:pStyle w:val="TextoNormal"/>
      </w:pPr>
    </w:p>
    <w:p w14:paraId="3B672041" w14:textId="77777777" w:rsidR="008D479B" w:rsidRDefault="008D479B" w:rsidP="008D479B">
      <w:pPr>
        <w:pStyle w:val="TextoNormal"/>
      </w:pPr>
      <w:r>
        <w:t>(iv) También hemos de desestimar, en segundo lugar, las alegaciones de los recurrentes acerca de lo que consideran una excesiva demora en la aprobación de la norma. Más concretamente, la demanda argumenta que el largo período de tiempo que transcurrió entre la constitución de la mesa de diálogo entre el Gobierno y los sindicatos Comisiones Obreras (CCOO) y Unión General de Trabajadores (UGT), la Confederación Española de Organizaciones Empresariales (CEOE) y la Confederación Española de la Pequeña y Mediana Empresa (CEPYME) —28 de octubre de 2020— y el momento en el que se alcanzó el acuerdo social —10 de marzo de 2021—, a la postre incorporado en el decreto-ley impugnado, constituye un fuerte indicador de la inexistencia de extraordinaria y urgente necesidad.</w:t>
      </w:r>
    </w:p>
    <w:p w14:paraId="72721907" w14:textId="77777777" w:rsidR="008D479B" w:rsidRDefault="008D479B" w:rsidP="008D479B">
      <w:pPr>
        <w:pStyle w:val="TextoNormal"/>
      </w:pPr>
    </w:p>
    <w:p w14:paraId="3E6D8FE1" w14:textId="77777777" w:rsidR="008D479B" w:rsidRDefault="008D479B" w:rsidP="008D479B">
      <w:pPr>
        <w:pStyle w:val="TextoNormal"/>
      </w:pPr>
      <w:r>
        <w:t>En este punto, nuestra respuesta ha de partir de una previa aclaración acerca de la naturaleza de la concertación social tripartita, dado que la demanda parece acoger una consideración formalista de la misma, como si se tratase de un mecanismo de relevancia menor o de procedimiento administrativo que tuviera que estar sometido a plazos perentorios.</w:t>
      </w:r>
    </w:p>
    <w:p w14:paraId="7D934345" w14:textId="77777777" w:rsidR="008D479B" w:rsidRDefault="008D479B" w:rsidP="008D479B">
      <w:pPr>
        <w:pStyle w:val="TextoNormal"/>
      </w:pPr>
    </w:p>
    <w:p w14:paraId="6980F727" w14:textId="77777777" w:rsidR="008D479B" w:rsidRDefault="008D479B" w:rsidP="008D479B">
      <w:pPr>
        <w:pStyle w:val="TextoNormal"/>
      </w:pPr>
      <w:r>
        <w:t>El diálogo social se identifica con los procesos tripartitos de consulta y de negociación entre gobierno, sindicatos y asociaciones empresariales sobre materias de índole social y económica con la finalidad de convertir en norma el resultado de los acuerdos alcanzados. Como método de creación de normas, la concertación social tripartita forma parte del acervo político de nuestro Estado constitucional (con fundamento en la lectura combinada de los arts. 7, 28.1 y 37.1 CE, en conjunción con el mandato de promoción de la participación a los poderes públicos que enuncia el art. 9.2 CE) y es una práctica política reconocida tanto a nivel internacional como, muy señaladamente, en el ámbito del Derecho europeo. La eficacia del acuerdo alcanzado en el marco del diálogo social depende directamente de su recepción en un texto legal: se trata, por ello, de un procedimiento singular de producción normativa —de “legislación prenegociada” hablaba la STC 68/2007, de 28 de marzo—. Para refutar la argumentación de los demandantes es decisivo el hecho de que, conforme a la doctrina constitucional, nuestro sistema no prohíbe el uso del decreto-ley con ocasión de los procesos de diálogo social (STC 68/2007, FFJJ 11 y 12), ya que aquel constituye una fuente normativa hábil para dotar de eficacia general a los acuerdos tripartitos, siempre y cuando concurra su presupuesto habilitante, como es el caso. E igualmente ha indicado este tribunal que los procesos de diálogo social resultan especialmente aptos para “dar respuesta inmediata a coyunturas económicas o sociales problemáticas, en las que la utilización de la legislación de urgencia, tras la conclusión del proceso de diálogo, puede aparecer plenamente justificada (STC 23/1993, de 21 de enero, FJ 5)”.</w:t>
      </w:r>
    </w:p>
    <w:p w14:paraId="0EACA2B6" w14:textId="77777777" w:rsidR="008D479B" w:rsidRDefault="008D479B" w:rsidP="008D479B">
      <w:pPr>
        <w:pStyle w:val="TextoNormal"/>
      </w:pPr>
    </w:p>
    <w:p w14:paraId="19C5B65F" w14:textId="77777777" w:rsidR="008D479B" w:rsidRDefault="008D479B" w:rsidP="008D479B">
      <w:pPr>
        <w:pStyle w:val="TextoNormal"/>
      </w:pPr>
      <w:r>
        <w:t>En relación a la prestación de servicios en empresas de plataformas digitales el Parlamento Europeo en su resolución de 15 de junio de 2017 [sobre las plataformas en línea y el mercado único digital, (2018/C 331/19)] invitaba a los Estados miembros a que modernizaran su legislación laboral en colaboración con los interlocutores sociales y otras partes interesadas.</w:t>
      </w:r>
    </w:p>
    <w:p w14:paraId="75176627" w14:textId="77777777" w:rsidR="008D479B" w:rsidRDefault="008D479B" w:rsidP="008D479B">
      <w:pPr>
        <w:pStyle w:val="TextoNormal"/>
      </w:pPr>
    </w:p>
    <w:p w14:paraId="3C4E49F5" w14:textId="77777777" w:rsidR="008D479B" w:rsidRDefault="008D479B" w:rsidP="008D479B">
      <w:pPr>
        <w:pStyle w:val="TextoNormal"/>
      </w:pPr>
      <w:r>
        <w:t>La relevancia de este mecanismo de producción normativa se ha acentuado en el contexto de la crisis causada por la pandemia de Covid-19. A nivel internacional, la Organización Internacional del Trabajo (OIT) ha subrayado a lo largo de la evolución de la pandemia de Covid-19 que la contribución del diálogo social a nivel tripartito “ha sido fundamental para determinar las respuestas de los países frente a la crisis”. En el ámbito de la Unión Europea, el llamado Compromiso social de Oporto, de 7 de mayo del 2021, instaba a utilizar el diálogo social para abordar las medidas que ayudaran a superar el período de crisis producida por la pandemia, en la línea de conseguir las transiciones verde y digital y la igualdad de oportunidades. La relevancia de la concertación se reiteró en el 2022 al exigir que los Estados miembros garantizasen la participación efectiva de los interlocutores sociales en la elaboración de las políticas económicas y sociales. A comienzos del 2023, esta pauta se reprodujo en la Comunicación de la Comisión “Reforzar el diálogo social en la Unión Europea: aprovechar plenamente su potencial para gestionar transiciones justas” (COM/2023/0040 final).</w:t>
      </w:r>
    </w:p>
    <w:p w14:paraId="7571BF8D" w14:textId="77777777" w:rsidR="008D479B" w:rsidRDefault="008D479B" w:rsidP="008D479B">
      <w:pPr>
        <w:pStyle w:val="TextoNormal"/>
      </w:pPr>
    </w:p>
    <w:p w14:paraId="277C608A" w14:textId="77777777" w:rsidR="008D479B" w:rsidRDefault="008D479B" w:rsidP="008D479B">
      <w:pPr>
        <w:pStyle w:val="TextoNormal"/>
      </w:pPr>
      <w:r>
        <w:t>Este es precisamente el contexto en el que se desarrolló el proceso de concertación y su traslación al decreto-ley impugnado. La mesa de diálogo fue constituida el 28 de octubre de 2020, semanas después de la STS 805/2020; el acuerdo tripartito fue adoptado el 10 de marzo de 2021; y el Real Decreto-Ley 9/2021 fue aprobado por el Gobierno el 11 de mayo, convirtiéndose poco después en ley parlamentaria (Ley 12/2021, de 28 de septiembre). De modo que el decreto-ley impugnado, que incorpora íntegramente el acuerdo alcanzado en la mesa de diálogo, es una manifestación muy relevante del diálogo social y de la concertación tripartita en el contexto de la crisis de la pandemia de Covid-19. Por lo tanto, no hubo demora en la actuación de la legislación urgente, como denuncian los recurrentes, sino utilización de un cauce constitucionalmente adecuado para atender de manera inmediata, con el consenso de los actores sociales, a una situación económica y social problemática.</w:t>
      </w:r>
    </w:p>
    <w:p w14:paraId="61176DFA" w14:textId="77777777" w:rsidR="008D479B" w:rsidRDefault="008D479B" w:rsidP="008D479B">
      <w:pPr>
        <w:pStyle w:val="TextoNormal"/>
      </w:pPr>
    </w:p>
    <w:p w14:paraId="2918B043" w14:textId="77777777" w:rsidR="008D479B" w:rsidRDefault="008D479B" w:rsidP="008D479B">
      <w:pPr>
        <w:pStyle w:val="TextoNormal"/>
      </w:pPr>
      <w:r>
        <w:t xml:space="preserve">(v) No puede compartirse tampoco la crítica de la demanda a la </w:t>
      </w:r>
      <w:r w:rsidRPr="008D479B">
        <w:rPr>
          <w:i/>
        </w:rPr>
        <w:t>vacatio legis</w:t>
      </w:r>
      <w:r>
        <w:t xml:space="preserve"> introducida por el Real Decreto-ley 9/2021, crítica según la cual el hecho de que este periodo haya sido fijado en tres meses sería prueba de la ausencia de extraordinaria y urgente necesidad en la aprobación de la norma impugnada.</w:t>
      </w:r>
    </w:p>
    <w:p w14:paraId="212DD855" w14:textId="77777777" w:rsidR="008D479B" w:rsidRDefault="008D479B" w:rsidP="008D479B">
      <w:pPr>
        <w:pStyle w:val="TextoNormal"/>
      </w:pPr>
    </w:p>
    <w:p w14:paraId="06398938" w14:textId="77777777" w:rsidR="008D479B" w:rsidRDefault="008D479B" w:rsidP="008D479B">
      <w:pPr>
        <w:pStyle w:val="TextoNormal"/>
      </w:pPr>
      <w:r>
        <w:t>Este tribunal ha señalado de forma reiterada, al examinar la necesaria relación de congruencia (o “conexión de sentido”) entre las medidas adoptadas y la situación de urgencia definida, que las medidas que se incluyan en el decreto-ley han de ser, en principio, medidas concretas y de eficacia inmediata para hacer frente a la situación urgente de referencia (así, desde la STC 29/1982, FFJJ 3 y 4). Sin embargo, esta exigencia de inmediatez no ha sido obstáculo para admitir que, en determinados supuestos, pueda aplazarse la aplicación de las medidas adoptadas por razones técnicas. En otras palabras, hemos aceptado que la inmediatez en la respuesta a la situación de extraordinaria y urgente necesidad sea complementada con alguna cautela de transitoriedad por razones técnicas (STC 23/1993, FFJJ 4 y 6) o por la necesidad de dejar transcurrir un tiempo entre la aprobación de la legislación de urgencia y su entrada en vigor para organizar las estructuras y servicios de los destinatarios de la norma (STC 86/2016, de 28 de abril, FJ 3). Desde antiguo hemos indicado que lo urgente es el establecimiento de un “nuevo marco jurídico” (SSTC 29/1986, de 20 de febrero, FJ 2, y 23/1993, FJ 6).</w:t>
      </w:r>
    </w:p>
    <w:p w14:paraId="2893EA53" w14:textId="77777777" w:rsidR="008D479B" w:rsidRDefault="008D479B" w:rsidP="008D479B">
      <w:pPr>
        <w:pStyle w:val="TextoNormal"/>
      </w:pPr>
    </w:p>
    <w:p w14:paraId="1A4EE3CA" w14:textId="77777777" w:rsidR="008D479B" w:rsidRDefault="008D479B" w:rsidP="008D479B">
      <w:pPr>
        <w:pStyle w:val="TextoNormal"/>
      </w:pPr>
      <w:r>
        <w:t xml:space="preserve">En el presente caso, el legislador de urgencia ha considerado necesario, en atención al contenido de las medidas adoptadas, fijar una </w:t>
      </w:r>
      <w:r w:rsidRPr="008D479B">
        <w:rPr>
          <w:i/>
        </w:rPr>
        <w:t>vacatio legis</w:t>
      </w:r>
      <w:r>
        <w:t xml:space="preserve"> de tres meses para la entrada en vigor del Real Decreto-ley 9/2021, explicitando en su preámbulo que “la aprobación y publicación de la medida otorgará seguridad jurídica a los operadores, que dispondrán de un plazo razonable para realizar las adaptaciones necesarias al nuevo marco legal, periodo de tiempo que se considera como mínimo indispensable a tal fin”. Tal proceder no puede calificarse de irrazonable, máxime teniendo en cuenta que las modificaciones normativas introducidas afectan a las relaciones entre particulares en el ámbito laboral, y la demora que supone no constituye un retraso tal como para desvirtuar la urgencia declarada en la adopción de las medidas (en sentido similar, STC 18/2023, de 21 de marzo, FJ 6).</w:t>
      </w:r>
    </w:p>
    <w:p w14:paraId="1F4623E5" w14:textId="77777777" w:rsidR="008D479B" w:rsidRDefault="008D479B" w:rsidP="008D479B">
      <w:pPr>
        <w:pStyle w:val="TextoNormal"/>
      </w:pPr>
    </w:p>
    <w:p w14:paraId="31DDFEF5" w14:textId="77777777" w:rsidR="008D479B" w:rsidRDefault="008D479B" w:rsidP="008D479B">
      <w:pPr>
        <w:pStyle w:val="TextoNormal"/>
      </w:pPr>
      <w:r>
        <w:t>(vi) Por último, debemos rechazar el argumento de la demanda conforme al cual el decreto-ley impugnado incumpliría la exigencia de responder a una situación de extraordinaria y urgente necesidad porque habría nacido sin vocación alguna de provisionalidad, en tanto que establece medidas que aspiran a regular con carácter permanente el estatuto jurídico de los trabajadores y empresas incluidos en su ámbito de aplicación.</w:t>
      </w:r>
    </w:p>
    <w:p w14:paraId="64A6168B" w14:textId="77777777" w:rsidR="008D479B" w:rsidRDefault="008D479B" w:rsidP="008D479B">
      <w:pPr>
        <w:pStyle w:val="TextoNormal"/>
      </w:pPr>
    </w:p>
    <w:p w14:paraId="37F2913E" w14:textId="77777777" w:rsidR="008D479B" w:rsidRDefault="008D479B" w:rsidP="008D479B">
      <w:pPr>
        <w:pStyle w:val="TextoNormal"/>
      </w:pPr>
      <w:r>
        <w:t>Esta alegación debe ser rechazada porque todos los decretos-leyes, con independencia de su específico contenido, son disposiciones legislativas de carácter provisional por imperativo del art. 86.2 CE, precepto que determina que esta fuente normativa nazca amenazada de una inmediata caducidad, solo salvable en el supuesto de ratificación por el Congreso dentro del plazo improrrogable de treinta días. Ahora bien, la provisionalidad del decreto-ley como fuente del Derecho no se traduce en la necesaria temporalidad de las medidas regulatorias que en él se contienen, pues es posible que los decretos-leyes pretendan la regulación definitiva y permanente de una materia. Como señalamos en la STC 189/2005, de 7 de julio, FJ 6, “la doctrina de este tribunal ha relacionado expresamente la calificación de ‘provisional’ de la disposición legislativa aprobada a través de la mencionada forma jurídica con la necesidad de que aquella sea convalidada por el Congreso de los Diputados en el plazo de treinta días para mantener su vigencia”, de modo que “no sería en términos absolutos una conclusión correcta” entender que todos los decretos-leyes “tengan que quedar necesariamente sometidos a un plazo temporal de vigencia”, pues “ningún dato positivo constitucional permite afirmar […] que el carácter provisional del decreto-ley se refiera necesariamente al alcance temporal de la norma que con esa forma jurídica se apruebe, sin perjuicio de que dicho alcance pueda ser considerado de algún modo para valorar —ya en otro plano— la concurrencia del presupuesto de la extraordinaria y urgente necesidad de la medida legislativa”.</w:t>
      </w:r>
    </w:p>
    <w:p w14:paraId="6DFE82F2" w14:textId="77777777" w:rsidR="008D479B" w:rsidRDefault="008D479B" w:rsidP="008D479B">
      <w:pPr>
        <w:pStyle w:val="TextoNormal"/>
      </w:pPr>
    </w:p>
    <w:p w14:paraId="0995BC69" w14:textId="77777777" w:rsidR="008D479B" w:rsidRDefault="008D479B" w:rsidP="008D479B">
      <w:pPr>
        <w:pStyle w:val="TextoNormal"/>
      </w:pPr>
      <w:r>
        <w:t>c) Conclusión</w:t>
      </w:r>
    </w:p>
    <w:p w14:paraId="066610DF" w14:textId="77777777" w:rsidR="008D479B" w:rsidRDefault="008D479B" w:rsidP="008D479B">
      <w:pPr>
        <w:pStyle w:val="TextoNormal"/>
      </w:pPr>
    </w:p>
    <w:p w14:paraId="6C570033" w14:textId="77777777" w:rsidR="008D479B" w:rsidRDefault="008D479B" w:rsidP="008D479B">
      <w:pPr>
        <w:pStyle w:val="TextoNormal"/>
      </w:pPr>
      <w:r>
        <w:t>De todo lo expuesto resulta que, contrariamente a lo afirmado en la demanda, el Gobierno ha ofrecido una justificación explícita y razonada para la aprobación del Real Decreto-ley 9/2021, en términos concretamente referidos al contenido de dicha norma y, por lo tanto, no genéricos, estereotipados o rituales. Dicha justificación no puede considerarse insuficiente desde la perspectiva del control externo que compete realizar a este tribunal, un control que debe circunscribirse “a verificar, pero no a sustituir, el juicio político o de oportunidad que corresponde al Gobierno y al Congreso de los Diputados” (STC 182/1997, de 28 de octubre, FJ 3), pudiendo rechazar la definición que aquellos hayan hecho de una situación como de extraordinaria y urgente necesidad solamente “en supuestos de uso abusivo y arbitrario” (STC 29/1982, FJ 3), y teniendo en cuenta, a la vista de la ya razonada insuficiencia de las alegaciones contenidas al respecto en la demanda, que no corresponde a este tribunal sustituir a las partes en la aportación de las pruebas y datos que permitan llegar a tal conclusión (STC 332/2005, de 15 de diciembre, FJ 6). Por lo demás, no se aprecia motivo alguno que ponga de manifiesto que las medidas adoptadas a través del Real Decreto-ley 9/2021 carezcan de la necesaria relación de congruencia con la situación de urgencia definida, sin que tal conexión de sentido haya sido específicamente discutida por los recurrentes.</w:t>
      </w:r>
    </w:p>
    <w:p w14:paraId="4913BC83" w14:textId="77777777" w:rsidR="008D479B" w:rsidRDefault="008D479B" w:rsidP="008D479B">
      <w:pPr>
        <w:pStyle w:val="TextoNormal"/>
      </w:pPr>
    </w:p>
    <w:p w14:paraId="4200C886" w14:textId="1533C1AA" w:rsidR="008D479B" w:rsidRDefault="008D479B" w:rsidP="008D479B">
      <w:pPr>
        <w:pStyle w:val="TextoNormal"/>
      </w:pPr>
      <w:r>
        <w:t>Estas razones nos llevan a rechazar que la aprobación de la norma impugnada haya producido la vulneración del art. 86.1 CE denunciada en la demanda, lo que conlleva la desestimación del recurso.</w:t>
      </w:r>
    </w:p>
    <w:p w14:paraId="7B9C7EA8" w14:textId="77777777" w:rsidR="008D479B" w:rsidRDefault="008D479B" w:rsidP="008D479B">
      <w:pPr>
        <w:pStyle w:val="TextoNormal"/>
      </w:pPr>
    </w:p>
    <w:p w14:paraId="7D197FFB" w14:textId="77777777" w:rsidR="008D479B" w:rsidRDefault="008D479B" w:rsidP="008D479B">
      <w:pPr>
        <w:pStyle w:val="TextoNormalCentrado"/>
        <w:keepNext/>
      </w:pPr>
      <w:r>
        <w:t>FALLO</w:t>
      </w:r>
    </w:p>
    <w:p w14:paraId="3B369A2A" w14:textId="38C51DEB" w:rsidR="008D479B" w:rsidRDefault="008D479B" w:rsidP="008D479B">
      <w:pPr>
        <w:pStyle w:val="TextoNormalCentrado"/>
        <w:keepNext/>
      </w:pPr>
    </w:p>
    <w:p w14:paraId="71207BA2" w14:textId="0633E7BF" w:rsidR="008D479B" w:rsidRDefault="008D479B" w:rsidP="008D479B">
      <w:pPr>
        <w:pStyle w:val="TextoNormal"/>
      </w:pPr>
      <w:r>
        <w:t>En atención a todo lo expuesto, el Tribunal Constitucional, por la autoridad que le confiere la Constitución de la Nación española, ha decidido desestimar el presente recurso de inconstitucionalidad.</w:t>
      </w:r>
    </w:p>
    <w:p w14:paraId="253212C0" w14:textId="77777777" w:rsidR="008D479B" w:rsidRDefault="008D479B" w:rsidP="008D479B">
      <w:pPr>
        <w:pStyle w:val="TextoNormal"/>
      </w:pPr>
    </w:p>
    <w:p w14:paraId="279C121D" w14:textId="77777777" w:rsidR="008D479B" w:rsidRDefault="008D479B" w:rsidP="008D479B">
      <w:pPr>
        <w:pStyle w:val="TextoNormal"/>
      </w:pPr>
      <w:r>
        <w:t>Publíquese esta sentencia en el “Boletín Oficial del Estado”.</w:t>
      </w:r>
    </w:p>
    <w:p w14:paraId="3BE2DFD8" w14:textId="77777777" w:rsidR="008D479B" w:rsidRDefault="008D479B" w:rsidP="008D479B">
      <w:pPr>
        <w:pStyle w:val="TextoNormal"/>
      </w:pPr>
      <w:r>
        <w:t>Dada en Madrid, a veinticinco de octubre de dos mil veintitrés.</w:t>
      </w:r>
    </w:p>
    <w:p w14:paraId="3F7F22A6" w14:textId="296FAA3E" w:rsidR="008D479B" w:rsidRDefault="008D479B" w:rsidP="008D479B">
      <w:pPr>
        <w:pStyle w:val="ParrafoNormal"/>
      </w:pPr>
    </w:p>
    <w:p w14:paraId="59D001B9" w14:textId="77777777" w:rsidR="008D479B" w:rsidRDefault="008D479B" w:rsidP="008D479B">
      <w:pPr>
        <w:pStyle w:val="TextoNormalNegritaCentrado"/>
        <w:keepNext/>
      </w:pPr>
      <w:r>
        <w:t>Voto particular que formulan los magistrados don Ricardo Enríquez Sancho y don Enrique Arnaldo Alcubilla, la magistrada doña Concepción Espejel Jorquera y el magistrado don César Tolosa Tribiño a la sentencia dictada en el recurso de inconstitucionalidad número 4977-2021</w:t>
      </w:r>
    </w:p>
    <w:p w14:paraId="40B89A85" w14:textId="566AC9E4" w:rsidR="008D479B" w:rsidRDefault="008D479B" w:rsidP="008D479B">
      <w:pPr>
        <w:pStyle w:val="TextoNormalNegritaCentrado"/>
        <w:keepNext/>
      </w:pPr>
    </w:p>
    <w:p w14:paraId="6D04FA65" w14:textId="77777777" w:rsidR="008D479B" w:rsidRDefault="008D479B" w:rsidP="008D479B">
      <w:pPr>
        <w:pStyle w:val="TextoNormal"/>
      </w:pPr>
      <w:r>
        <w:t>En el ejercicio de la facultad que nos confiere el artículo 90.2 de la Ley Orgánica del Tribunal Constitucional (LOTC), y con respeto al parecer mayoritario del Pleno, formulamos el presente voto particular para expresar nuestra discrepancia con la fundamentación y fallo de la sentencia recaída en el presente recurso de inconstitucionalidad, el cual a nuestro juicio debió ser estimado, declarando inconstitucional y nulo el Real Decreto-ley 9/2021, de 11 de mayo, por el que se modifica el texto refundido de la Ley del estatuto de los trabajadores, para garantizar los derechos laborales de las personas dedicadas al reparto en el ámbito de las plataformas digitales.</w:t>
      </w:r>
    </w:p>
    <w:p w14:paraId="6B69B852" w14:textId="77777777" w:rsidR="008D479B" w:rsidRDefault="008D479B" w:rsidP="008D479B">
      <w:pPr>
        <w:pStyle w:val="TextoNormal"/>
      </w:pPr>
    </w:p>
    <w:p w14:paraId="676FD554" w14:textId="77777777" w:rsidR="008D479B" w:rsidRDefault="008D479B" w:rsidP="008D479B">
      <w:pPr>
        <w:pStyle w:val="TextoNormal"/>
      </w:pPr>
      <w:r>
        <w:t>La sentencia de la que discrepamos descarta que el real decreto-ley impugnado haya incurrido en la vulneración del artículo 86.1 de la Constitución que denunciaban los diputados recurrentes. A nuestro juicio, por las razones expuestas durante la deliberación y que seguidamente pasamos a exponer, este tribunal debió apreciar que se produjo la infracción constitucional alegada, por no cumplirse en el Real Decreto-ley 9/2021 el presupuesto habilitante de la “extraordinaria y urgente necesidad” que permite al Gobierno de la Nación aprobar decretos-leyes. Al no apreciarlo así, este tribunal ha renunciado a llevar a cabo el control constitucional que le corresponde respecto del ejercicio por parte del Gobierno de su potestad de dictar estas normas excepcionales y por ello de uso necesariamente restringido.</w:t>
      </w:r>
    </w:p>
    <w:p w14:paraId="6D26D4CC" w14:textId="77777777" w:rsidR="008D479B" w:rsidRDefault="008D479B" w:rsidP="008D479B">
      <w:pPr>
        <w:pStyle w:val="TextoNormal"/>
      </w:pPr>
    </w:p>
    <w:p w14:paraId="7CF8D7C2" w14:textId="77777777" w:rsidR="008D479B" w:rsidRDefault="008D479B" w:rsidP="008D479B">
      <w:pPr>
        <w:pStyle w:val="TextoNormal"/>
      </w:pPr>
      <w:r>
        <w:t>1. Significado constitucional del decreto-ley como fuente del ordenamiento jurídico. Su sujeción a estrictos límites, que son manifestación del principio democrático y del principio de separación de poderes</w:t>
      </w:r>
    </w:p>
    <w:p w14:paraId="762EC9DA" w14:textId="77777777" w:rsidR="008D479B" w:rsidRDefault="008D479B" w:rsidP="008D479B">
      <w:pPr>
        <w:pStyle w:val="TextoNormal"/>
      </w:pPr>
    </w:p>
    <w:p w14:paraId="5CCA0CAE" w14:textId="77777777" w:rsidR="008D479B" w:rsidRDefault="008D479B" w:rsidP="008D479B">
      <w:pPr>
        <w:pStyle w:val="TextoNormal"/>
      </w:pPr>
      <w:r>
        <w:t>Inspirado en el modelo de la Constitución italiana —aunque con importantes diferencias—, el art. 86 de nuestra Constitución reconoce al Gobierno la potestad de dictar decretos-leyes por razones de urgencia, siempre con sujeción a los estrictos límites formales y materiales que el propio precepto constitucional establece. Como este tribunal ha tenido ocasión de recordar, el art. 86.1 CE “establece una habilitación al Gobierno para dictar normas con fuerza de ley pero, en la medida en que supone sustituir en su función al Parlamento, es una facultad excepcional al procedimiento legislativo ordinario que se encuentra, en consecuencia, sometida a estrictos requisitos en la Constitución” (STC 156/2021, de 16 de septiembre, FJ 4). En efecto, la doctrina constitucional ha calificado reiteradamente la habilitación concedida al Gobierno en el art. 86.1 CE como una “potestad normativa excepcional” o “fuente excepcional” y, coherentemente con ello, al resultado del ejercicio de esta habilitación, los decretos-leyes, como una “disposición legal excepcional”. Así lo hace también, por cierto, con cita de esa doctrina, la sentencia que resuelve el presente recurso [“facultad excepcional al procedimiento legislativo ordinario que se encuentra, en consecuencia, sometida a estrictos requisitos en la Constitución”, FJ 3 A)], aunque no extraiga de ello las consecuencias oportunas.</w:t>
      </w:r>
    </w:p>
    <w:p w14:paraId="3A83F683" w14:textId="77777777" w:rsidR="008D479B" w:rsidRDefault="008D479B" w:rsidP="008D479B">
      <w:pPr>
        <w:pStyle w:val="TextoNormal"/>
      </w:pPr>
    </w:p>
    <w:p w14:paraId="42240A1F" w14:textId="77777777" w:rsidR="008D479B" w:rsidRDefault="008D479B" w:rsidP="008D479B">
      <w:pPr>
        <w:pStyle w:val="TextoNormal"/>
      </w:pPr>
      <w:r>
        <w:t>Esos límites que fija el art. 86.1 CE evidencian la voluntad del constituyente de que el decreto-ley sea una norma de carácter excepcional y de uso restringido, que nunca puede convertirse, por tanto, en un modo ordinario de legislar, pues la potestad legislativa del Estado se atribuye a las Cortes Generales (art. 66.2 CE) y no al Gobierno, que ejerce la potestad reglamentaria (art. 97 CE), sin perjuicio de que también disponga de la facultad de aprobar, por delegación de las mismas Cortes normas con rango o fuerza de ley que adoptan la forma de decretos legislativos (art. 82 CE).</w:t>
      </w:r>
    </w:p>
    <w:p w14:paraId="09836DA8" w14:textId="77777777" w:rsidR="008D479B" w:rsidRDefault="008D479B" w:rsidP="008D479B">
      <w:pPr>
        <w:pStyle w:val="TextoNormal"/>
      </w:pPr>
    </w:p>
    <w:p w14:paraId="3740EECF" w14:textId="77777777" w:rsidR="008D479B" w:rsidRDefault="008D479B" w:rsidP="008D479B">
      <w:pPr>
        <w:pStyle w:val="TextoNormal"/>
      </w:pPr>
      <w:r>
        <w:t>En ese sentido resulta obligado advertir que los límites que el art. 86.1 CE impone a la utilización del decreto-ley son una manifestación del principio democrático (art. 1.1 CE), expresado en la participación de los ciudadanos a través de sus representantes electos en la elaboración de las leyes (arts. 23.1 y 66.1 CE), y asimismo son una consecuencia obligada del principio de separación de poderes, en tanto que el empleo del decreto-ley, si no se mantiene dentro de los estrictos límites fijados por el constituyente, comporta un riesgo cierto de marginación del titular de la potestad legislativa, las Cortes Generales (art. 66.2 CE). En efecto, el uso desviado del decreto-ley por el poder ejecutivo impide que los representantes electos puedan, en su caso, aprobar mediante ley, tras el correspondiente debate parlamentario, medidas supuestamente urgentes, desplazando así al poder legislativo con grave afectación del principio democrático. Ese daño no se remedia por el hecho de que el decreto-ley deba ser sometido a convalidación en el plazo de los treinta días siguientes a su deliberación (art. 86.2 CE), pues la intervención parlamentaria es muy limitada: es un procedimiento unicameral (solo interviene el Congreso de los Diputados), en un debate y votación de totalidad, en el que solo cabe aceptar o rechazar la norma, sin posibilidad de enmienda. En suma, ni el Gobierno comparte el poder legislativo con las Cortes Generales, ni el decreto-ley es una alternativa a la ley, ni se transforma en ley del Parlamento tras el acuerdo de convalidación (STC 29/1982, de 31 de mayo, FJ 2). La anomalía en el sistema de fuentes y de separación de poderes que supone el uso del decreto-ley explica que en su configuración el constituyente lo haya diseñado como una facultad normativa excepcional, no como una suerte de cheque en blanco al Gobierno que le permita a este compartir la potestad legislativa con las Cortes Generales.</w:t>
      </w:r>
    </w:p>
    <w:p w14:paraId="5F6D61F4" w14:textId="77777777" w:rsidR="008D479B" w:rsidRDefault="008D479B" w:rsidP="008D479B">
      <w:pPr>
        <w:pStyle w:val="TextoNormal"/>
      </w:pPr>
    </w:p>
    <w:p w14:paraId="4400F637" w14:textId="77777777" w:rsidR="008D479B" w:rsidRDefault="008D479B" w:rsidP="008D479B">
      <w:pPr>
        <w:pStyle w:val="TextoNormal"/>
      </w:pPr>
      <w:r>
        <w:t>2. La potestad del Gobierno de dictar decretos-leyes es excepcional y solo se justifica cuando se acredita que es inaplazable la regulación inmediata y ni siquiera a través del procedimiento de urgencia puede hacerse por el poder legislativo</w:t>
      </w:r>
    </w:p>
    <w:p w14:paraId="38EF1BD5" w14:textId="77777777" w:rsidR="008D479B" w:rsidRDefault="008D479B" w:rsidP="008D479B">
      <w:pPr>
        <w:pStyle w:val="TextoNormal"/>
      </w:pPr>
    </w:p>
    <w:p w14:paraId="3F065A6F" w14:textId="77777777" w:rsidR="008D479B" w:rsidRDefault="008D479B" w:rsidP="008D479B">
      <w:pPr>
        <w:pStyle w:val="TextoNormal"/>
      </w:pPr>
      <w:r>
        <w:t>Siendo extraordinaria, y por ello sujeta a estrictos límites, la prerrogativa que al Gobierno confiere el art. 86.1 CE, es claro que, como tuvimos ocasión de recordar en nuestro voto particular a la STC 18/2023, de 21 de marzo (que desestimó el recurso de inconstitucionalidad interpuesto contra el Real Decreto-ley 6/2019, de 1 de marzo, de medidas urgentes para garantía de la igualdad de trato y de oportunidades entre mujeres y hombres en el empleo y la ocupación), la circunstancia de que el poder ejecutivo apruebe decretos-leyes debiera ser una excepción, aunque no lo parezca por la habitualidad con la que se viene produciendo, especialmente en los últimos años. Una situación anómala que contrasta vivamente, por cierto, con lo que acontece en países de nuestro entorno, como Francia e Italia, donde la historia del decreto-ley es la crónica de una tendencia a la limitación de su uso, ámbito objetivo, eficacia y vigencia.</w:t>
      </w:r>
    </w:p>
    <w:p w14:paraId="26218422" w14:textId="77777777" w:rsidR="008D479B" w:rsidRDefault="008D479B" w:rsidP="008D479B">
      <w:pPr>
        <w:pStyle w:val="TextoNormal"/>
      </w:pPr>
    </w:p>
    <w:p w14:paraId="594E99E1" w14:textId="77777777" w:rsidR="008D479B" w:rsidRDefault="008D479B" w:rsidP="008D479B">
      <w:pPr>
        <w:pStyle w:val="TextoNormal"/>
      </w:pPr>
      <w:r>
        <w:t>La potestad excepcional del Gobierno de dictar decretos-leyes, que se contrapone al modo normal de producción de normas con rango de ley mediante el procedimiento parlamentario, solo se justifica por la necesidad de dar respuesta pronta, inmediata, en situaciones de normalidad constitucional, a problemas cuya resolución no admite la inevitable demora que supondría la tramitación del procedimiento legislativo (“en caso de extraordinaria y urgente necesidad”, como reza literalmente el art. 86.1 CE), ni siquiera acudiendo al procedimiento de urgencia. Esto es, la utilización del decreto-ley solo puede entenderse lícita si es inaplazable, por acreditada razón de extraordinaria y urgente necesidad, regular una materia reservada a la ley en un plazo más breve que requerido, incluso acudiendo al procedimiento de urgencia, para la tramitación parlamentaria de las leyes (SSTC 6/1983, de 4 de febrero, FJ 5, y 152/2017, de 21 de diciembre, FJ 3, por todas). Lo cual, dicho sea de paso, excluye a su vez que el Gobierno acuda al instrumento del decreto-ley para regular en una norma con valor o fuerza de ley materias que puedan serlo por reglamento, pues quien puede hacer tal cosa (en la medida en que en nuestro sistema constitucional no existe una reserva de reglamento) es únicamente el legislador.</w:t>
      </w:r>
    </w:p>
    <w:p w14:paraId="352FC00C" w14:textId="77777777" w:rsidR="008D479B" w:rsidRDefault="008D479B" w:rsidP="008D479B">
      <w:pPr>
        <w:pStyle w:val="TextoNormal"/>
      </w:pPr>
    </w:p>
    <w:p w14:paraId="11A882EB" w14:textId="77777777" w:rsidR="008D479B" w:rsidRDefault="008D479B" w:rsidP="008D479B">
      <w:pPr>
        <w:pStyle w:val="TextoNormal"/>
      </w:pPr>
      <w:r>
        <w:t>La configuración constitucional del decreto-ley como norma excepcional con rango de ley dictada por el poder ejecutivo, con una legitimación democrática inferior, por consiguiente, a la de la ley, emanada del poder legislativo, aparece, junto con la siempre deseable necesidad del debate parlamentario y la defensa de los derechos de la minoría, como una razón decisiva para demandar el reforzamiento de los instrumentos de control del decreto-ley, tanto políticos (esto es, parlamentarios) como jurídicos, particularmente el control de constitucionalidad que a este tribunal corresponde [arts. 161.1 a) y 163 CE y arts. 2.1 a), 27.2 a) y 35 y concordantes LOTC].</w:t>
      </w:r>
    </w:p>
    <w:p w14:paraId="5A34FA8A" w14:textId="77777777" w:rsidR="008D479B" w:rsidRDefault="008D479B" w:rsidP="008D479B">
      <w:pPr>
        <w:pStyle w:val="TextoNormal"/>
      </w:pPr>
    </w:p>
    <w:p w14:paraId="78206119" w14:textId="77777777" w:rsidR="008D479B" w:rsidRDefault="008D479B" w:rsidP="008D479B">
      <w:pPr>
        <w:pStyle w:val="TextoNormal"/>
      </w:pPr>
      <w:r>
        <w:t>3. No cabe una interpretación laxa del presupuesto habilitante de la extraordinaria urgente necesidad. El Tribunal Constitucional debe llevar a cabo un control riguroso</w:t>
      </w:r>
    </w:p>
    <w:p w14:paraId="05F1DE70" w14:textId="77777777" w:rsidR="008D479B" w:rsidRDefault="008D479B" w:rsidP="008D479B">
      <w:pPr>
        <w:pStyle w:val="TextoNormal"/>
      </w:pPr>
    </w:p>
    <w:p w14:paraId="0A51F4D2" w14:textId="77777777" w:rsidR="008D479B" w:rsidRDefault="008D479B" w:rsidP="008D479B">
      <w:pPr>
        <w:pStyle w:val="TextoNormal"/>
      </w:pPr>
      <w:r>
        <w:t>Precisamente, la previsión del art. 86 CE evidencia el designio del constituyente de circunscribir la excepcional facultad gubernamental de dictar decretos-leyes a la concurrencia de determinados límites formales y materiales, de cuyo control no debiera abdicar el Tribunal Constitucional. Pues debe recordarse que es función propia de este tribunal “el aseguramiento de estos límites, la garantía de que, en el ejercicio de esta facultad, como de cualquier otra, los poderes públicos se mueven dentro del marco trazado por la Constitución” (STC 29/1982, de 31 de mayo, FJ 3).</w:t>
      </w:r>
    </w:p>
    <w:p w14:paraId="30C0DC1E" w14:textId="77777777" w:rsidR="008D479B" w:rsidRDefault="008D479B" w:rsidP="008D479B">
      <w:pPr>
        <w:pStyle w:val="TextoNormal"/>
      </w:pPr>
    </w:p>
    <w:p w14:paraId="1F689BCE" w14:textId="77777777" w:rsidR="008D479B" w:rsidRDefault="008D479B" w:rsidP="008D479B">
      <w:pPr>
        <w:pStyle w:val="TextoNormal"/>
      </w:pPr>
      <w:r>
        <w:t>En consecuencia, no es aceptable, hablando en términos de un apropiado control constitucional de las normas con rango de ley, una interpretación laxa del presupuesto de hecho habilitante del decreto-ley que lo haga prácticamente fungible con la ley emanada del Parlamento (tampoco, claro está, de las materias exentas según el mismo art. 86.1 CE). El concepto de “extraordinaria y urgente necesidad” que contiene el art. 86.1 CE no es, en modo alguno, como este tribunal ha advertido en repetidas ocasiones, “una cláusula o expresión vacía de significado dentro de la cual el lógico margen de apreciación política del Gobierno se mueva libremente sin restricción alguna, sino, por el contrario, la constatación de un límite jurídico a la actuación mediante decretos-leyes” (por todas, STC 61/2018, de 7 de junio, FJ 4).</w:t>
      </w:r>
    </w:p>
    <w:p w14:paraId="7E1A7E56" w14:textId="77777777" w:rsidR="008D479B" w:rsidRDefault="008D479B" w:rsidP="008D479B">
      <w:pPr>
        <w:pStyle w:val="TextoNormal"/>
      </w:pPr>
    </w:p>
    <w:p w14:paraId="20E2083B" w14:textId="77777777" w:rsidR="008D479B" w:rsidRDefault="008D479B" w:rsidP="008D479B">
      <w:pPr>
        <w:pStyle w:val="TextoNormal"/>
      </w:pPr>
      <w:r>
        <w:t>Dicho de otro modo, la “extraordinaria y urgente necesidad” exigida por el art. 86.1 CE supone un requisito o presupuesto habilitante de inexcusable concurrencia para que el Gobierno pueda dictar normas con rango de ley, lo que se erige en auténtico límite jurídico de la actuación gubernamental mediante decretos-leyes. Tal actuación está sujeta, en consecuencia, al control de este tribunal, al que compete asegurar que los poderes públicos se mueven dentro del marco trazado por la Constitución (por todas, SSTC 12/2015, de 5 de febrero, FJ 3, y 111/2021, de 13 de mayo, FJ 2).</w:t>
      </w:r>
    </w:p>
    <w:p w14:paraId="4FB970FA" w14:textId="77777777" w:rsidR="008D479B" w:rsidRDefault="008D479B" w:rsidP="008D479B">
      <w:pPr>
        <w:pStyle w:val="TextoNormal"/>
      </w:pPr>
    </w:p>
    <w:p w14:paraId="703A6A7B" w14:textId="77777777" w:rsidR="008D479B" w:rsidRDefault="008D479B" w:rsidP="008D479B">
      <w:pPr>
        <w:pStyle w:val="TextoNormal"/>
      </w:pPr>
      <w:r>
        <w:t>Cualquier entendimiento extensivo del presupuesto habilitante de la “extraordinaria y urgente necesidad” por parte del Gobierno para ampliar esa potestad normativa excepcional que le confiere el art. 86.1 CE conduce sin lugar a dudas a un uso abusivo o desviado del decreto-ley, como así en efecto viene sucediendo —y el Real Decreto-ley 9/2021 es un claro ejemplo de ello, por más que no lo haya entendido así la sentencia de la que discrepamos—, que puede y debe ser censurado y corregido por este tribunal en el ejercicio de su jurisdicción cuando sea llamado a pronunciarse en el marco de un proceso de declaración de inconstitucionalidad.</w:t>
      </w:r>
    </w:p>
    <w:p w14:paraId="74CABDAC" w14:textId="77777777" w:rsidR="008D479B" w:rsidRDefault="008D479B" w:rsidP="008D479B">
      <w:pPr>
        <w:pStyle w:val="TextoNormal"/>
      </w:pPr>
    </w:p>
    <w:p w14:paraId="50EA58B1" w14:textId="77777777" w:rsidR="008D479B" w:rsidRDefault="008D479B" w:rsidP="008D479B">
      <w:pPr>
        <w:pStyle w:val="TextoNormal"/>
      </w:pPr>
      <w:r>
        <w:t>Por ello, si en el caso del control de constitucionalidad de las leyes parlamentarias cabría admitir una cierta deferencia del Tribunal hacia la obra normativa del legislador democrático, fundada en la posición institucional que a este le corresponde (así, SSTC 107/1996, de 12 de junio, FJ 10, y 112/2016, de 5 de abril, FJ 19), y que se beneficia así del principio de presunción de constitucionalidad de las leyes (lo que no impide, claro está, que una ley sea declarada inconstitucional y nula cuando se constate por este tribunal su contradicción con la Constitución, sin que pueda ser salvada mediante una interpretación de conformidad), en el caso de la potestad del Gobierno de dictar decretos-leyes no es posible aplicar ese criterio, pues de otro modo el Tribunal Constitucional estaría abdicando de su función de control jurisdiccional de estas normas excepcionales con rango de ley, dados los estrictos límites y cautelas a los que el constituyente ha querido sujetar esa potestad gubernamental, para evitar precisamente un ejercicio abusivo o desviado de esta. El escrutinio del Tribunal Constitucional del cumplimiento de los límites formales y materiales establecidos en el art. 86 CE para que el Gobierno pueda dictar decretos-leyes debe ser, por tanto, riguroso e incisivo. Al ser el decreto-ley una norma excepcional, en el sentido de que constituye una excepción al modo ordinario de legislar, sus requisitos constitucionales no deben ser interpretados de manera laxa, sino estrictamente.</w:t>
      </w:r>
    </w:p>
    <w:p w14:paraId="02581D1C" w14:textId="77777777" w:rsidR="008D479B" w:rsidRDefault="008D479B" w:rsidP="008D479B">
      <w:pPr>
        <w:pStyle w:val="TextoNormal"/>
      </w:pPr>
    </w:p>
    <w:p w14:paraId="3A888DBC" w14:textId="77777777" w:rsidR="008D479B" w:rsidRDefault="008D479B" w:rsidP="008D479B">
      <w:pPr>
        <w:pStyle w:val="TextoNormal"/>
      </w:pPr>
      <w:r>
        <w:t>Por tanto, en el control del ejercicio por el Gobierno de esta potestad normativa excepcional y de urgencia que le confiere el art. 86.1 CE, este tribunal debe verificar si las razones esgrimidas por aquel, de forma explícita y concreta en la exposición de motivos del decreto-ley impugnado, en el debate parlamentario de convalidación o en el expediente de elaboración gubernamental, justifican que concurre el presupuesto de hecho habilitante del art. 86.1 CE en el decreto-ley de que se trate. Por otra parte, para justificar esa extraordinaria y urgente necesidad que permite dictar un decreto-ley no son admisibles razones estereotipadas, abstractas o retóricas, intercambiables con cualquier tipo de norma.</w:t>
      </w:r>
    </w:p>
    <w:p w14:paraId="05F3CCFF" w14:textId="77777777" w:rsidR="008D479B" w:rsidRDefault="008D479B" w:rsidP="008D479B">
      <w:pPr>
        <w:pStyle w:val="TextoNormal"/>
      </w:pPr>
    </w:p>
    <w:p w14:paraId="1D761CC0" w14:textId="77777777" w:rsidR="008D479B" w:rsidRDefault="008D479B" w:rsidP="008D479B">
      <w:pPr>
        <w:pStyle w:val="TextoNormal"/>
      </w:pPr>
      <w:r>
        <w:t>Tampoco cabe, desde luego, que este tribunal, al llevar a cabo su control, sustituya al Gobierno en la tarea ineludible que a este corresponde de justificar la extraordinaria y urgente necesidad del caso, ni que complete la insuficiencia o deficiencia en la justificación ofrecida por el Gobierno. Es este quien debe justificar que concurre efectivamente una situación de necesidad, cumulativamente extraordinaria y urgente, que permite sustraer del procedimiento legislativo la aprobación de las concretas medidas incluidas en el decreto-ley, en detrimento de la potestad legislativa de las Cortes Generales, y en particular de las minorías parlamentarias.</w:t>
      </w:r>
    </w:p>
    <w:p w14:paraId="5C4A73CC" w14:textId="77777777" w:rsidR="008D479B" w:rsidRDefault="008D479B" w:rsidP="008D479B">
      <w:pPr>
        <w:pStyle w:val="TextoNormal"/>
      </w:pPr>
    </w:p>
    <w:p w14:paraId="55271197" w14:textId="77777777" w:rsidR="008D479B" w:rsidRDefault="008D479B" w:rsidP="008D479B">
      <w:pPr>
        <w:pStyle w:val="TextoNormal"/>
      </w:pPr>
      <w:r>
        <w:t xml:space="preserve">Además, el presupuesto habilitante de la extraordinaria y urgente necesidad no puede confundirse con la mera conveniencia u oportunidad de la medida, ni justificarse en los posibles efectos beneficiosos de una medida contenida en el decreto-ley para el interés general o los destinatarios. La conveniencia de la reforma o la legitimidad de los objetivos que se tratan de alcanzar no puede ser nunca el fundamento de la potestad legislativa extraordinaria del Gobierno </w:t>
      </w:r>
      <w:r w:rsidRPr="008D479B">
        <w:rPr>
          <w:i/>
        </w:rPr>
        <w:t>ex</w:t>
      </w:r>
      <w:r>
        <w:t xml:space="preserve"> art. 86.1 CE. Tampoco puede serlo su utilización para dar respuesta a problemas persistentes, estructurales u ordinarios.</w:t>
      </w:r>
    </w:p>
    <w:p w14:paraId="1EC7792C" w14:textId="77777777" w:rsidR="008D479B" w:rsidRDefault="008D479B" w:rsidP="008D479B">
      <w:pPr>
        <w:pStyle w:val="TextoNormal"/>
      </w:pPr>
    </w:p>
    <w:p w14:paraId="75474C64" w14:textId="77777777" w:rsidR="008D479B" w:rsidRDefault="008D479B" w:rsidP="008D479B">
      <w:pPr>
        <w:pStyle w:val="TextoNormal"/>
      </w:pPr>
      <w:r>
        <w:t>En suma, el mero deseo o interés del Gobierno en la inmediata entrada en vigor de una determinada reforma no constituye una justificación de la extraordinaria y urgente necesidad del decreto-ley (STC 68/2007, de 28 de marzo, FJ 9), lo mismo que la opción por el empleo de una concreta técnica o formulación normativa, existiendo otras que no obstaculizan el cumplimiento de los objetivos de la medida, no permite sacrificar la posición institucional del poder legislativo. Tal sacrificio lo condiciona el art. 86.1 CE a la satisfacción de una necesidad extraordinaria y urgente, pero no, por muy legítimos que sean los objetivos que se tratan de alcanzar, al designio de “abreviar el proceso” o de “utilizar la vía más rápida” o “el mecanismo más directo”, que no es el fundamento de la potestad legislativa extraordinaria del Gobierno (STC 125/2016, de 7 de julio, FJ 4).</w:t>
      </w:r>
    </w:p>
    <w:p w14:paraId="08ECBE05" w14:textId="77777777" w:rsidR="008D479B" w:rsidRDefault="008D479B" w:rsidP="008D479B">
      <w:pPr>
        <w:pStyle w:val="TextoNormal"/>
      </w:pPr>
    </w:p>
    <w:p w14:paraId="7B001ABC" w14:textId="77777777" w:rsidR="008D479B" w:rsidRDefault="008D479B" w:rsidP="008D479B">
      <w:pPr>
        <w:pStyle w:val="TextoNormal"/>
      </w:pPr>
      <w:r>
        <w:t>4. Los peligros del uso abusivo o desviado del decreto-ley</w:t>
      </w:r>
    </w:p>
    <w:p w14:paraId="1E3A5069" w14:textId="77777777" w:rsidR="008D479B" w:rsidRDefault="008D479B" w:rsidP="008D479B">
      <w:pPr>
        <w:pStyle w:val="TextoNormal"/>
      </w:pPr>
    </w:p>
    <w:p w14:paraId="692B3920" w14:textId="77777777" w:rsidR="008D479B" w:rsidRDefault="008D479B" w:rsidP="008D479B">
      <w:pPr>
        <w:pStyle w:val="TextoNormal"/>
      </w:pPr>
      <w:r>
        <w:t>Las circunstancias a las que se refiere el art. 86.1 CE no se definen o determinan a voluntad del Gobierno, so pena de devaluar y vaciar de contenido este precepto constitucional, de modo que el empleo del decreto-ley únicamente se justifica en casos objetivos, plenamente acreditados, de urgente y extraordinaria necesidad, esto es, ante coyunturas en las que se haga presente la exigencia de una intervención normativa inmediata, solo atendible mediante esa disposición legislativa provisional y excepcional (STC 110/2021, de 13 de mayo, FJ 9). “[A]lgo muy distinto, en suma, a la simple conveniencia de contar, lo antes posible, con la norma que el Gobierno estime oportuna. Este interés gubernamental puede ser todo lo respetable que se quiera, pero no justifica, como es obvio, el desplazamiento de la potestad legislativa de las Cortes Generales (art. 66.2 CE) y, con ello, de la intervención de las minorías en el procedimiento legislativo parlamentario” (STC 111/2021, de 13 de mayo, FJ 7).</w:t>
      </w:r>
    </w:p>
    <w:p w14:paraId="17543BFE" w14:textId="77777777" w:rsidR="008D479B" w:rsidRDefault="008D479B" w:rsidP="008D479B">
      <w:pPr>
        <w:pStyle w:val="TextoNormal"/>
      </w:pPr>
    </w:p>
    <w:p w14:paraId="5C2016B1" w14:textId="77777777" w:rsidR="008D479B" w:rsidRDefault="008D479B" w:rsidP="008D479B">
      <w:pPr>
        <w:pStyle w:val="TextoNormal"/>
      </w:pPr>
      <w:r>
        <w:t>Por tanto, el Tribunal ha de comprobar que existe realmente una situación determinada como caso de extraordinaria y urgente necesidad, de tal naturaleza que no pueda ser atendida mediante una ley, ni siquiera acudiendo a la vía del procedimiento legislativo de urgencia. lo que implica que el Gobierno debe justificar por qué en el caso concreto no era posible acudir al procedimiento legislativo para atender la situación que se pretende regular, y que existe asimismo, como ya señalara tempranamente la STC 29/1982, de 31 de mayo, “una conexión de sentido entre la situación definida y las medidas que en el decreto-ley se adoptan”, que han de ser medidas concretas y de eficacia inmediata para hacer frente a la situación de extraordinaria y urgente necesidad que ha determinado el uso del decreto-ley.</w:t>
      </w:r>
    </w:p>
    <w:p w14:paraId="3F4345EF" w14:textId="77777777" w:rsidR="008D479B" w:rsidRDefault="008D479B" w:rsidP="008D479B">
      <w:pPr>
        <w:pStyle w:val="TextoNormal"/>
      </w:pPr>
    </w:p>
    <w:p w14:paraId="46272ECB" w14:textId="77777777" w:rsidR="008D479B" w:rsidRDefault="008D479B" w:rsidP="008D479B">
      <w:pPr>
        <w:pStyle w:val="TextoNormal"/>
      </w:pPr>
      <w:r>
        <w:t>Todo ello para evitar un uso abusivo o desviado por el Gobierno de esa potestad normativa excepcional prevista en el art. 86.1 CE, abuso del que es un ejemplo palmario el Real Decreto-ley 9/2021, lo que debería haber llevado a este tribunal a declararlo inconstitucional y nulo, como razonaremos seguidamente. El recurso al decreto-ley en los últimos años ha convertido al mismo en la fuente ordinaria de las normas con rango de ley, como puede comprobarse con el simple dato estadístico. Si desde 2008 hasta 2017 los decretos-leyes alcanzaron el 42 por 100 del total de las normas estatales con rango de ley aprobadas, ese porcentaje no ha dejado de aumentar en los años sucesivos, resultando que desde 2018 hasta el momento actual se ha elevado al 50 por 100.</w:t>
      </w:r>
    </w:p>
    <w:p w14:paraId="3C679D6B" w14:textId="77777777" w:rsidR="008D479B" w:rsidRDefault="008D479B" w:rsidP="008D479B">
      <w:pPr>
        <w:pStyle w:val="TextoNormal"/>
      </w:pPr>
    </w:p>
    <w:p w14:paraId="4F13642A" w14:textId="77777777" w:rsidR="008D479B" w:rsidRDefault="008D479B" w:rsidP="008D479B">
      <w:pPr>
        <w:pStyle w:val="TextoNormal"/>
      </w:pPr>
      <w:r>
        <w:t>5. Canon aplicado en la sentencia de la mayoría</w:t>
      </w:r>
    </w:p>
    <w:p w14:paraId="4E92E318" w14:textId="77777777" w:rsidR="008D479B" w:rsidRDefault="008D479B" w:rsidP="008D479B">
      <w:pPr>
        <w:pStyle w:val="TextoNormal"/>
      </w:pPr>
    </w:p>
    <w:p w14:paraId="46847813" w14:textId="77777777" w:rsidR="008D479B" w:rsidRDefault="008D479B" w:rsidP="008D479B">
      <w:pPr>
        <w:pStyle w:val="TextoNormal"/>
      </w:pPr>
      <w:r>
        <w:t>En nuestra opinión, las razones ofrecidas por el Gobierno en este caso como presentación “explícita y razonada” de la situación de “extraordinaria y urgente necesidad” que le llevó a dictar el Real Decreto-ley 9/2021, y que nuestros compañeros han considerado adecuadas para ello son, por el contrario, claramente insuficientes, y nuestro canon de “control externo”, sin sustituir el juicio político del Gobierno al aprobar y del Congreso al convalidar el decreto-ley, obligaba a apreciarlo así.</w:t>
      </w:r>
    </w:p>
    <w:p w14:paraId="786FDAD8" w14:textId="77777777" w:rsidR="008D479B" w:rsidRDefault="008D479B" w:rsidP="008D479B">
      <w:pPr>
        <w:pStyle w:val="TextoNormal"/>
      </w:pPr>
    </w:p>
    <w:p w14:paraId="18F0A2ED" w14:textId="77777777" w:rsidR="008D479B" w:rsidRDefault="008D479B" w:rsidP="008D479B">
      <w:pPr>
        <w:pStyle w:val="TextoNormal"/>
      </w:pPr>
      <w:r>
        <w:t xml:space="preserve">La sentencia dice basarse en este canon tradicional del “control externo” [FJ 3 c)] en el examen del presupuesto habilitante como un “verdadero límite jurídico” que la Constitución impone al Gobierno [FJ 3 b)]. Pero no pasan de ser referencias retóricas a nuestra doctrina, porque lo que verdaderamente hace la mayoría es alterar y reconstruir la justificación ofrecida por el ejecutivo al aprobar el decreto-ley. Así, las alusiones a la pandemia son incidentales, escuetas y apodícticas en la justificación del Gobierno [véanse las citas en el fundamento jurídico 4 b) y c)] y sin embargo la sentencia las convierte luego en constitutivas de una razón autónoma nunca alegada por el Gobierno vinculada al “incremento del volumen de servicios prestados a través de plataformas digitales” durante la pandemia (un año anterior al decreto-ley) que “agudizó” y permitió “visibilizar” el problema, [FJ 5 b) (i) (ii) y (iii)]. De la misma manera, la existencia de falsos autónomos </w:t>
      </w:r>
      <w:r w:rsidRPr="008D479B">
        <w:rPr>
          <w:i/>
        </w:rPr>
        <w:t>riders</w:t>
      </w:r>
      <w:r>
        <w:t xml:space="preserve"> desde el año 2015 [FJ 5 b) (i) y (ii)] se recoge en la memoria de análisis de impacto normativo “al tratar [la] litigiosidad en la materia”, como la propia sentencia reconoce [FJ 4 c)], es decir, como una prueba de la inseguridad jurídica en el sector para justificar la conversión en ley de la doctrina del Tribunal Supremo, y no como indicativa de una situación prolongada de desconocimiento de derechos laborales, como lo trata luego la mayoría [FJ 5 b) (ii)].</w:t>
      </w:r>
    </w:p>
    <w:p w14:paraId="3D9C4E9C" w14:textId="77777777" w:rsidR="008D479B" w:rsidRDefault="008D479B" w:rsidP="008D479B">
      <w:pPr>
        <w:pStyle w:val="TextoNormal"/>
      </w:pPr>
    </w:p>
    <w:p w14:paraId="7A86669C" w14:textId="77777777" w:rsidR="008D479B" w:rsidRDefault="008D479B" w:rsidP="008D479B">
      <w:pPr>
        <w:pStyle w:val="TextoNormal"/>
      </w:pPr>
      <w:r>
        <w:t xml:space="preserve">No es extraño que como resultado de esta tarea de reconstrucción la mayoría termine aceptando justificaciones contradictorias sobre la situación de extraordinaria y urgente necesidad. Justifica el decreto-ley la existencia de falsos autónomos </w:t>
      </w:r>
      <w:r w:rsidRPr="008D479B">
        <w:rPr>
          <w:i/>
        </w:rPr>
        <w:t>riders</w:t>
      </w:r>
      <w:r>
        <w:t xml:space="preserve"> desde el año 2015 [FJ 5 b) (i)] y al mismo tiempo el incremento de su actividad durante la pandemia [FJ 5 b) (iii)]. Explica el decreto-ley que la Inspección de Trabajo haya detectado 16 000 falsos autónomos </w:t>
      </w:r>
      <w:r w:rsidRPr="008D479B">
        <w:rPr>
          <w:i/>
        </w:rPr>
        <w:t>riders</w:t>
      </w:r>
      <w:r>
        <w:t xml:space="preserve"> entre 2015 y 2020 [FJ 5 b) (ii)] y a la vez la ineficacia del derecho anterior para hacerlo, con la consiguiente “necesidad” de incorporar la doctrina del Tribunal Supremo a ese derecho anterior (</w:t>
      </w:r>
      <w:r w:rsidRPr="008D479B">
        <w:rPr>
          <w:i/>
        </w:rPr>
        <w:t>ibid</w:t>
      </w:r>
      <w:r>
        <w:t>.). Y finalmente, esta urgente necesidad de “proporcionar seguridad jurídica” al sector [FJ 5 b) (i)], desaparece cuando se alega que el Gobierno retrasó la reforma durante ocho meses a partir de esa sentencia del Tribunal Supremo que el decreto-ley incorpora al derecho escrito [FJ 5 b) (iv)].</w:t>
      </w:r>
    </w:p>
    <w:p w14:paraId="664DE41D" w14:textId="77777777" w:rsidR="008D479B" w:rsidRDefault="008D479B" w:rsidP="008D479B">
      <w:pPr>
        <w:pStyle w:val="TextoNormal"/>
      </w:pPr>
    </w:p>
    <w:p w14:paraId="2C57B520" w14:textId="77777777" w:rsidR="008D479B" w:rsidRDefault="008D479B" w:rsidP="008D479B">
      <w:pPr>
        <w:pStyle w:val="TextoNormal"/>
      </w:pPr>
      <w:r>
        <w:t>En definitiva, la tradicional “valoración de conjunto” de la justificación ofrecida por el Gobierno [STC 18/2023, de 21 de marzo, FJ 2 e), entre muchas otras] se transforma en un picoteo selectivo de argumentos. Natural que por este camino la mayoría termine encontrando, no una situación de extraordinaria y urgente necesidad, como es habitual, sino varias, y lo que resulta más sorprendente aun, contradictorias entre sí.</w:t>
      </w:r>
    </w:p>
    <w:p w14:paraId="2AF9BB1D" w14:textId="77777777" w:rsidR="008D479B" w:rsidRDefault="008D479B" w:rsidP="008D479B">
      <w:pPr>
        <w:pStyle w:val="TextoNormal"/>
      </w:pPr>
    </w:p>
    <w:p w14:paraId="76FF86F7" w14:textId="77777777" w:rsidR="008D479B" w:rsidRDefault="008D479B" w:rsidP="008D479B">
      <w:pPr>
        <w:pStyle w:val="TextoNormal"/>
      </w:pPr>
      <w:r>
        <w:t>A nuestro juicio, este cúmulo de contradicciones evidencia el defectuoso modo de proceder del Gobierno y, por extensión, de la mayoría de nuestros compañeros. El “control externo” del presupuesto habilitante no consiste en la simple verificación de una solemnidad: que el Gobierno haya ofrecido alguna razón —la que sea— para aprobar el decreto-ley invocando al efecto la fórmula sacramental “extraordinaria y urgente necesidad”. El “control externo” (y la fuerza de obligar de la Constitución) implica, por el contrario, que este tribunal examine la razonabilidad y coherencia interna de la presentación explícita y razonada ofrecida por el Gobierno. De lo contrario se invierten los términos y el decreto-ley pasa de ser una fuente “excepcional” [FJ 3 A)] a convertirse en una alternativa al procedimiento legislativo ordinario para el Gobierno. Una alternativa más cómoda, de hecho, pues es más rápida y sencilla que presentar un proyecto de ley ante el Congreso (art. 88 CE) y someterse al debate, enmiendas y posibles vetos de ambas Cámaras, pues en el debate de convalidación de un decreto-ley no interviene el Senado y el Congreso solo puede debatir y votar la totalidad del decreto-ley, sin posibilidad de enmendar su texto (art. 86.2 CE).</w:t>
      </w:r>
    </w:p>
    <w:p w14:paraId="76C3967F" w14:textId="77777777" w:rsidR="008D479B" w:rsidRDefault="008D479B" w:rsidP="008D479B">
      <w:pPr>
        <w:pStyle w:val="TextoNormal"/>
      </w:pPr>
    </w:p>
    <w:p w14:paraId="2F7BF69E" w14:textId="77777777" w:rsidR="008D479B" w:rsidRDefault="008D479B" w:rsidP="008D479B">
      <w:pPr>
        <w:pStyle w:val="TextoNormal"/>
      </w:pPr>
      <w:r>
        <w:t xml:space="preserve">Como hemos dicho, las razones ofrecidas por el Gobierno no resisten un examen mínimamente crítico, como argumentaremos a continuación. Nos referiremos a cada una de ellas: la aparición de las plataformas digitales de reparto y de los falsos autónomos </w:t>
      </w:r>
      <w:r w:rsidRPr="008D479B">
        <w:rPr>
          <w:i/>
        </w:rPr>
        <w:t>riders</w:t>
      </w:r>
      <w:r>
        <w:t>; la seguridad jurídica vinculada a la necesaria incorporación al derecho escrito de la doctrina de la STS, Sala Cuarta, de lo Social, de 25 de septiembre de 2020; la necesidad de garantizar los derechos laborales de esos falsos autónomos y, finalmente, la contribución de la reforma a la recuperación económica.</w:t>
      </w:r>
    </w:p>
    <w:p w14:paraId="3AECA01C" w14:textId="77777777" w:rsidR="008D479B" w:rsidRDefault="008D479B" w:rsidP="008D479B">
      <w:pPr>
        <w:pStyle w:val="TextoNormal"/>
      </w:pPr>
    </w:p>
    <w:p w14:paraId="4A80A856" w14:textId="77777777" w:rsidR="008D479B" w:rsidRDefault="008D479B" w:rsidP="008D479B">
      <w:pPr>
        <w:pStyle w:val="TextoNormal"/>
      </w:pPr>
      <w:r>
        <w:t>6. Nuevas tecnologías y trabajo</w:t>
      </w:r>
    </w:p>
    <w:p w14:paraId="17B4919D" w14:textId="77777777" w:rsidR="008D479B" w:rsidRDefault="008D479B" w:rsidP="008D479B">
      <w:pPr>
        <w:pStyle w:val="TextoNormal"/>
      </w:pPr>
    </w:p>
    <w:p w14:paraId="6E9F0441" w14:textId="77777777" w:rsidR="008D479B" w:rsidRDefault="008D479B" w:rsidP="008D479B">
      <w:pPr>
        <w:pStyle w:val="TextoNormal"/>
      </w:pPr>
      <w:r>
        <w:t xml:space="preserve">El Gobierno justifica principalmente la reforma en la aparición de una “realidad económica nueva” como son las “plataformas digitales de reparto”, en palabras de la exposición de motivos, y en la necesidad de reaccionar ante la sentencia de la Sala de lo Social del Tribunal Supremo de 25 de septiembre de 2020 que “impone </w:t>
      </w:r>
      <w:r w:rsidRPr="008D479B">
        <w:rPr>
          <w:i/>
        </w:rPr>
        <w:t>de lege ferenda</w:t>
      </w:r>
      <w:r>
        <w:t>” una solución legislativa de urgencia, en expresión que repiten tanto la exposición de motivos como la memoria de análisis de impacto normativo en los pasajes reproducidos en la sentencia (FJ 4).</w:t>
      </w:r>
    </w:p>
    <w:p w14:paraId="0E6D9AB5" w14:textId="77777777" w:rsidR="008D479B" w:rsidRDefault="008D479B" w:rsidP="008D479B">
      <w:pPr>
        <w:pStyle w:val="TextoNormal"/>
      </w:pPr>
    </w:p>
    <w:p w14:paraId="0F42EA53" w14:textId="77777777" w:rsidR="008D479B" w:rsidRDefault="008D479B" w:rsidP="008D479B">
      <w:pPr>
        <w:pStyle w:val="TextoNormal"/>
      </w:pPr>
      <w:r>
        <w:t>a) La supuesta novedad de las plataformas de reparto no resiste su propio peso. Es notorio que este tipo de plataformas son anteriores en años al decreto-ley impugnado, pero es que además el Gobierno así lo reconoce expresamente en su presentación explícita y razonada.</w:t>
      </w:r>
    </w:p>
    <w:p w14:paraId="25B06F94" w14:textId="77777777" w:rsidR="008D479B" w:rsidRDefault="008D479B" w:rsidP="008D479B">
      <w:pPr>
        <w:pStyle w:val="TextoNormal"/>
      </w:pPr>
    </w:p>
    <w:p w14:paraId="312319FF" w14:textId="77777777" w:rsidR="008D479B" w:rsidRDefault="008D479B" w:rsidP="008D479B">
      <w:pPr>
        <w:pStyle w:val="TextoNormal"/>
      </w:pPr>
      <w:r>
        <w:t xml:space="preserve">La memoria de análisis de impacto normativo comienza razonando sobre la “transformación” de las relaciones de trabajo producida por las “tecnologías de la información” (pág. 7, tras el índice). Y en este primer párrafo ya cita como prueba de esa transformación una sentencia anterior en cuatro años al decreto-ley: la sentencia del Tribunal de Justicia de la Unión Europea (Gran Sala) de 20 de diciembre de 2017 dictada en el asunto </w:t>
      </w:r>
      <w:r w:rsidRPr="008D479B">
        <w:rPr>
          <w:i/>
        </w:rPr>
        <w:t>Asociación Profesional Élite Taxi</w:t>
      </w:r>
      <w:r>
        <w:t xml:space="preserve"> (C-434/15). Esta sentencia resolvió además una cuestión prejudicial planteada por un juez español y ya trató (reiteramos: en 2017) el control de las plataformas digitales (en aquel caso, Uber) sobre los profesionales supuestamente autónomos que directamente prestan el servicio (apartado 39). Igualmente, las conclusiones del abogado general en aquel caso partían desde su primer apartado de que “el desarrollo de nuevas tecnologías […] ha generado cuestiones en lo que atañe, en particular […] al Derecho del trabajo”. Y luego analizaban en detalle el control que Uber ejerce sobre los transportistas supuestamente autónomos (apartados 51 y 52).</w:t>
      </w:r>
    </w:p>
    <w:p w14:paraId="345A9EA7" w14:textId="77777777" w:rsidR="008D479B" w:rsidRDefault="008D479B" w:rsidP="008D479B">
      <w:pPr>
        <w:pStyle w:val="TextoNormal"/>
      </w:pPr>
    </w:p>
    <w:p w14:paraId="09AD8540" w14:textId="77777777" w:rsidR="008D479B" w:rsidRDefault="008D479B" w:rsidP="008D479B">
      <w:pPr>
        <w:pStyle w:val="TextoNormal"/>
      </w:pPr>
      <w:r>
        <w:t>Por otra parte, la memoria acredita, y así lo recoge el fundamento jurídico 4 c) de la sentencia, que la Inspección de Trabajo era consciente del fenómeno de los “falsos autónomos vinculados a actividades de reparto a través de plataformas digitales” al menos desde el año 2015, cuando detectó cinco trabajadores de este tipo, por nueve en 2017, 2277 en 2018, 8481 en 2019, 5754 en 2020 y 179 en 2021 (hasta mayo, fecha del decreto-ley), hasta alcanzar un total de 16 794 “falsos autónomo</w:t>
      </w:r>
      <w:r w:rsidRPr="008D479B">
        <w:rPr>
          <w:i/>
        </w:rPr>
        <w:t>s ride</w:t>
      </w:r>
      <w:r>
        <w:t>rs” detectados (págs. 18-19 de la memoria).</w:t>
      </w:r>
    </w:p>
    <w:p w14:paraId="305B83DD" w14:textId="77777777" w:rsidR="008D479B" w:rsidRDefault="008D479B" w:rsidP="008D479B">
      <w:pPr>
        <w:pStyle w:val="TextoNormal"/>
      </w:pPr>
    </w:p>
    <w:p w14:paraId="6990B937" w14:textId="77777777" w:rsidR="008D479B" w:rsidRDefault="008D479B" w:rsidP="008D479B">
      <w:pPr>
        <w:pStyle w:val="TextoNormal"/>
      </w:pPr>
      <w:r>
        <w:t>De todo ello resulta que, según las explicaciones del Gobierno, este conocía la existencia de las plataformas digitales de reparto y de falsos autónomos al menos desde 2015, seis años antes de aprobar el decreto-ley impugnado.</w:t>
      </w:r>
    </w:p>
    <w:p w14:paraId="595B5915" w14:textId="77777777" w:rsidR="008D479B" w:rsidRDefault="008D479B" w:rsidP="008D479B">
      <w:pPr>
        <w:pStyle w:val="TextoNormal"/>
      </w:pPr>
    </w:p>
    <w:p w14:paraId="7783DB12" w14:textId="77777777" w:rsidR="008D479B" w:rsidRDefault="008D479B" w:rsidP="008D479B">
      <w:pPr>
        <w:pStyle w:val="TextoNormal"/>
      </w:pPr>
      <w:r>
        <w:t>b) Existen además abundantes documentos nacionales e internacionales que corroboran el carácter notorio del fenómeno en aquella época.</w:t>
      </w:r>
    </w:p>
    <w:p w14:paraId="5A0E75DE" w14:textId="77777777" w:rsidR="008D479B" w:rsidRDefault="008D479B" w:rsidP="008D479B">
      <w:pPr>
        <w:pStyle w:val="TextoNormal"/>
      </w:pPr>
    </w:p>
    <w:p w14:paraId="28092FF8" w14:textId="77777777" w:rsidR="008D479B" w:rsidRDefault="008D479B" w:rsidP="008D479B">
      <w:pPr>
        <w:pStyle w:val="TextoNormal"/>
      </w:pPr>
      <w:r>
        <w:t>En el ámbito interno, puede citarse el plan estratégico de la Inspección de Trabajo y Seguridad Social para el período 2018-2020, aprobado por el Consejo de Ministros el 6 de abril de 2018 (“BOE” del 19), que cita entre las “líneas de acción” adoptadas “en los años 2016 y 2017” (por tanto, cinco años antes del Real Decreto-ley 9/2021) una vinculada “al hecho de que hayan surgido nuevas formas de economía, denominada ‘colaborativa’ en las que se plantea el problema, de qué tratamiento ha de darse al personal al servicio de las plataformas que desarrollan su actividad en este ámbito” (“BOE”, pág. 40398). En la “introducción” de ese plan aprobado en 2018 el Gobierno ya advertía que estas “nuevas tecnologías” y en particular la “economía de las plataformas” “podrían exigir adaptar la normativa”</w:t>
      </w:r>
      <w:r w:rsidRPr="008D479B">
        <w:rPr>
          <w:i/>
        </w:rPr>
        <w:t xml:space="preserve"> (</w:t>
      </w:r>
      <w:r>
        <w:t>id., pág. 40369).</w:t>
      </w:r>
    </w:p>
    <w:p w14:paraId="2E0BEF36" w14:textId="77777777" w:rsidR="008D479B" w:rsidRDefault="008D479B" w:rsidP="008D479B">
      <w:pPr>
        <w:pStyle w:val="TextoNormal"/>
      </w:pPr>
    </w:p>
    <w:p w14:paraId="6D076D91" w14:textId="77777777" w:rsidR="008D479B" w:rsidRDefault="008D479B" w:rsidP="008D479B">
      <w:pPr>
        <w:pStyle w:val="TextoNormal"/>
      </w:pPr>
      <w:r>
        <w:t>En el ámbito internacional puede citarse, a título ilustrativo, la Comunicación de la Comisión al Parlamento Europeo, al Consejo, al Comité Económico y Social y al Comité de las Regiones “Una Agenda Europea para la economía colaborativa”, aprobada en Bruselas el 2 de junio de 2016 (COM/2016/356 final), que ya había aludido a la “incertidumbre” que el desarrollo de las nuevas tecnologías supone para “los derechos aplicables y el nivel de protección social” debido a que “[l]a frontera entre trabajadores por cuenta propia y por cuenta ajena es cada vez más difusa” (apartados 1 y 2.4). Y también la Resolución del Parlamento Europeo, de 15 de junio de 2017, sobre una Agenda Europea para la economía colaborativa (“Diario Oficial” C 331, 18.9.2018, p. 125-134), que “pide” a los Estados miembros que “evalúen […] la necesidad de modernizar la legislación en vigor” y les “insta” a “garanti[zar] condiciones laborales justas y una adecuada protección jurídica y social para todos los trabajadores de la economía colaborativa, con independencia de su estatus” (apartados 38 y 39).</w:t>
      </w:r>
    </w:p>
    <w:p w14:paraId="07A47144" w14:textId="77777777" w:rsidR="008D479B" w:rsidRDefault="008D479B" w:rsidP="008D479B">
      <w:pPr>
        <w:pStyle w:val="TextoNormal"/>
      </w:pPr>
    </w:p>
    <w:p w14:paraId="3F4A10F5" w14:textId="77777777" w:rsidR="008D479B" w:rsidRDefault="008D479B" w:rsidP="008D479B">
      <w:pPr>
        <w:pStyle w:val="TextoNormal"/>
      </w:pPr>
      <w:r>
        <w:t>En fin, por aquellas fechas se celebraba precisamente en Madrid (28 de marzo de 2017) la Conferencia Nacional Tripartita sobre el futuro del trabajo que queremos impulsada por la Organización Internacional del Trabajo. Y en ese encuentro internacional, el Gobierno de España aludió a la “emergencia” de las “nuevas tecnologías” y las “plataformas digitales”, a su magnitud (“se estima que en 2015 los ingresos brutos procedentes de plataformas colaborativas alcanzaron en la UE los 28 000 millones de euros”) y a las “dudas” que han generado “sobre si el concepto tradicional de trabajador subordinado sigue amparado en esta nueva forma de trabajar o como alcanzar la necesaria protección de estos trabajadores”, o en otras palabras, sobre la “dificultad en la calificación o el encuadramiento de la relación que se establece entre el prestador de servicios y la plataforma digital” (pueden consultarse estas intervenciones en “El futuro del Trabajo que Queremos”, Volumen 1: https://www.ilo.org/wcmsp5/groups/public/---europe/---ro-geneva/---ilo-madrid/documents/publication/wcms_615486.pdf, las citas en págs. 57, 58 y 67).</w:t>
      </w:r>
    </w:p>
    <w:p w14:paraId="237FD2EE" w14:textId="77777777" w:rsidR="008D479B" w:rsidRDefault="008D479B" w:rsidP="008D479B">
      <w:pPr>
        <w:pStyle w:val="TextoNormal"/>
      </w:pPr>
    </w:p>
    <w:p w14:paraId="7060F8DB" w14:textId="77777777" w:rsidR="008D479B" w:rsidRDefault="008D479B" w:rsidP="008D479B">
      <w:pPr>
        <w:pStyle w:val="TextoNormal"/>
      </w:pPr>
      <w:r>
        <w:t>En suma, es incontrovertible que la aparición de las plataformas digitales de reparto, los riesgos que las mismas comportan para los derechos de los trabajadores, el fenómeno de los falsos autónomos y la posibilidad de tener que adaptar el derecho laboral a esta “nueva” realidad eran retos ampliamente conocidos, nacional e internacionalmente, varios años antes de la aprobación de este decreto-ley basado en su novedad.</w:t>
      </w:r>
    </w:p>
    <w:p w14:paraId="1F0D7DD5" w14:textId="77777777" w:rsidR="008D479B" w:rsidRDefault="008D479B" w:rsidP="008D479B">
      <w:pPr>
        <w:pStyle w:val="TextoNormal"/>
      </w:pPr>
    </w:p>
    <w:p w14:paraId="73FAF3AB" w14:textId="77777777" w:rsidR="008D479B" w:rsidRDefault="008D479B" w:rsidP="008D479B">
      <w:pPr>
        <w:pStyle w:val="TextoNormal"/>
      </w:pPr>
      <w:r>
        <w:t>c) Es cierto que el carácter estructural del problema que se trata de atajar no impide recurrir al decreto-ley, como recuerda la mayoría (STC 18/2023, de 21 de marzo, FJ 3, y otras muchas en el mismo sentido). Pero debemos convenir en que debe existir al menos un problema, antes de pasar a debatir si el mismo es estructural o coyuntural. Porque, en este caso, lo cierto es que el ordenamiento había demostrado tener herramientas suficientes y eficaces para atajar el problema generado por las “nuevas” plataformas digitales y sus falsos autónomos.</w:t>
      </w:r>
    </w:p>
    <w:p w14:paraId="5476E250" w14:textId="77777777" w:rsidR="008D479B" w:rsidRDefault="008D479B" w:rsidP="008D479B">
      <w:pPr>
        <w:pStyle w:val="TextoNormal"/>
      </w:pPr>
    </w:p>
    <w:p w14:paraId="607EA697" w14:textId="77777777" w:rsidR="008D479B" w:rsidRDefault="008D479B" w:rsidP="008D479B">
      <w:pPr>
        <w:pStyle w:val="TextoNormal"/>
      </w:pPr>
      <w:r>
        <w:t xml:space="preserve">Así lo acredita la sentencia del Pleno de la Sala de lo Social del Tribunal Supremo de 25 de septiembre de 2020 que el Gobierno sitúa en el origen de la reforma. Esta sentencia declaró, en un recurso de casación para la unificación de doctrina y sin votos particulares, que la relación que unía a un repartidor, formalmente trabajador autónomo, con la empresa Glovo era, en realidad, una relación laboral de trabajo por cuenta ajena. Y no se trató de una interpretación novedosa y rupturista. Como recoge la sentencia de la mayoría [FJ 4 c)], la memoria reconoce que la “primera sentencia” en la materia se dictó ya dos años antes, en 2018, y desde esa fecha hasta la STS de 25 de septiembre de 2020 se sucedieron “dieciséis sentencias de instancia [más], con sus correspondientes sentencias en suplicación”, todas ellas con una “clara uniformidad” en la calificación de los </w:t>
      </w:r>
      <w:r w:rsidRPr="008D479B">
        <w:rPr>
          <w:i/>
        </w:rPr>
        <w:t>riders</w:t>
      </w:r>
      <w:r>
        <w:t xml:space="preserve"> como personas trabajadoras. Por otra parte, la misma STS cita abundante jurisprudencia anterior de la Sala de lo Social, y también la STJUE </w:t>
      </w:r>
      <w:r w:rsidRPr="008D479B">
        <w:rPr>
          <w:i/>
        </w:rPr>
        <w:t>Élite Taxi</w:t>
      </w:r>
      <w:r>
        <w:t xml:space="preserve"> de 2017, antes aludida (FD 8.2). Con esos mimbres, y sin necesidad del Real Decreto-ley 9/2021, el Tribunal Supremo pudo concluir, sin un solo voto discrepante, que “Glovo no era una mera intermediaria en la contratación de servicios entre comercios y repartidores”, sino una “empresa que presta servicios de recadería y mensajería fijando el precio y condiciones de pago del servicio, así como las condiciones esenciales para la prestación de dicho servicio […]. Ello revela un ejercicio del poder empresarial en relación con el modo de prestación del servicio y un control de su ejecución en tiempo real que evidencia la concurrencia del requisito de dependencia propio de la relación laboral” (FD 21). Unas consideraciones que llevaron a la STS a declarar expresamente que “la relación entre las partes tenía naturaleza laboral” (FD 23 y fallo, apartado 3).</w:t>
      </w:r>
    </w:p>
    <w:p w14:paraId="5CB73D35" w14:textId="77777777" w:rsidR="008D479B" w:rsidRDefault="008D479B" w:rsidP="008D479B">
      <w:pPr>
        <w:pStyle w:val="TextoNormal"/>
      </w:pPr>
    </w:p>
    <w:p w14:paraId="54DC4D82" w14:textId="77777777" w:rsidR="008D479B" w:rsidRDefault="008D479B" w:rsidP="008D479B">
      <w:pPr>
        <w:pStyle w:val="TextoNormal"/>
      </w:pPr>
      <w:r>
        <w:t>El Gobierno afirma que su reacción legislativa se apoya en el “vacío normativo” que habría provocado esta sentencia (pág. 23 de la memoria). Pero esto es un puro apriorismo porque, exactamente, ¿de qué vacío normativo se trata?</w:t>
      </w:r>
    </w:p>
    <w:p w14:paraId="7C65C686" w14:textId="77777777" w:rsidR="008D479B" w:rsidRDefault="008D479B" w:rsidP="008D479B">
      <w:pPr>
        <w:pStyle w:val="TextoNormal"/>
      </w:pPr>
    </w:p>
    <w:p w14:paraId="072A66E2" w14:textId="77777777" w:rsidR="008D479B" w:rsidRDefault="008D479B" w:rsidP="008D479B">
      <w:pPr>
        <w:pStyle w:val="TextoNormal"/>
      </w:pPr>
      <w:r>
        <w:t>Como principio, es verdad que un “vacío normativo” puede justificar la reacción legislativa del ejecutivo mediante decreto-ley, por ejemplo por haber anulado este tribunal un precepto legal “un mes antes” de dictarse un decreto-ley que pretendía remediar la “situación de provisionalidad del personal y del patrimonio” de las Cámaras Oficiales de la Propiedad Urbana (STC 11/2002, de 17 de enero, FFJJ 5 y 6, aludiendo a los efectos de la STC 178/1994, de 16 de junio), o por la necesidad de limitar la (hasta entonces ilimitada) transmisión de las denominadas autorizaciones VTC (arrendamiento de vehículos con conductor) “con la concreta finalidad de impedir la especulación” con ellas y para “garantizar una convivencia ordenada de las diversas modalidades de transporte de viajeros” (STC 105/2018, de 4 de octubre, FJ 4). Sin embargo, en este caso, de acuerdo con las explicaciones del propio Gobierno, no puede apreciarse que existiera tal vacío normativo.</w:t>
      </w:r>
    </w:p>
    <w:p w14:paraId="6DC6CFF1" w14:textId="77777777" w:rsidR="008D479B" w:rsidRDefault="008D479B" w:rsidP="008D479B">
      <w:pPr>
        <w:pStyle w:val="TextoNormal"/>
      </w:pPr>
    </w:p>
    <w:p w14:paraId="1245DCE8" w14:textId="77777777" w:rsidR="008D479B" w:rsidRDefault="008D479B" w:rsidP="008D479B">
      <w:pPr>
        <w:pStyle w:val="TextoNormal"/>
      </w:pPr>
      <w:r>
        <w:t>La vicepresidenta tercera manifestó en el debate de convalidación que la reforma es “fiel a la sentencia que dictó el Tribunal Supremo el 25 de septiembre del año 2020” y “normativiza lo establecido en esta sentencia” siendo, “por tanto, una norma declarativa cuyas finalidades son la certeza y la seguridad jurídica”. Dijo también que para “el Tribunal Supremo, al igual que [para] otros tribunales superiores de nuestro país y del mundo, [los repartidores] son laborales” (“Diario de Sesiones”, pág. 28). En definitiva, según el propio Gobierno, la sentencia del Tribunal Supremo ya decía lo que el decreto-ley viene a sancionar con rango de ley, de modo que el contenido de la reforma no era otro que incorporar a una norma con “eficacia general” un pronunciamiento judicial al que atribuía un limitado “efecto clarificador” (vicepresidenta tercera en el debate de convalidación, “Diario de Sesiones”, pág. 22).</w:t>
      </w:r>
    </w:p>
    <w:p w14:paraId="17EA748E" w14:textId="77777777" w:rsidR="008D479B" w:rsidRDefault="008D479B" w:rsidP="008D479B">
      <w:pPr>
        <w:pStyle w:val="TextoNormal"/>
      </w:pPr>
    </w:p>
    <w:p w14:paraId="06CBB5E7" w14:textId="77777777" w:rsidR="008D479B" w:rsidRDefault="008D479B" w:rsidP="008D479B">
      <w:pPr>
        <w:pStyle w:val="TextoNormal"/>
      </w:pPr>
      <w:r>
        <w:t>Todo ello obliga a concluir que “[n]o se produjo, en definitiva, vacío normativo alguno que pudiera legitimar la reacción del Gobierno (SSTC 31/2011, de 17 de marzo, FJ 7; y 11/2002, de 17 de enero, FJ 6)” (STC 196/2015, de 24 de septiembre, FJ 6).</w:t>
      </w:r>
    </w:p>
    <w:p w14:paraId="48546DCF" w14:textId="77777777" w:rsidR="008D479B" w:rsidRDefault="008D479B" w:rsidP="008D479B">
      <w:pPr>
        <w:pStyle w:val="TextoNormal"/>
      </w:pPr>
    </w:p>
    <w:p w14:paraId="6CC3A562" w14:textId="77777777" w:rsidR="008D479B" w:rsidRDefault="008D479B" w:rsidP="008D479B">
      <w:pPr>
        <w:pStyle w:val="TextoNormal"/>
      </w:pPr>
      <w:r>
        <w:t>d) No puede omitirse además una circunstancia adicional de extraordinaria relevancia que impide apreciar la urgencia de este decreto-ley: la demora de ocho meses desde la STS de 25 de septiembre de 2020 hasta la aprobación de la norma de urgencia en mayo de 2021.</w:t>
      </w:r>
    </w:p>
    <w:p w14:paraId="0100D7D4" w14:textId="77777777" w:rsidR="008D479B" w:rsidRDefault="008D479B" w:rsidP="008D479B">
      <w:pPr>
        <w:pStyle w:val="TextoNormal"/>
      </w:pPr>
    </w:p>
    <w:p w14:paraId="6D7EBEF1" w14:textId="77777777" w:rsidR="008D479B" w:rsidRDefault="008D479B" w:rsidP="008D479B">
      <w:pPr>
        <w:pStyle w:val="TextoNormal"/>
      </w:pPr>
      <w:r>
        <w:t>Según el preámbulo del decreto-ley (apartado I, último párrafo) y la memoria de análisis de impacto normativo (pág. 25), el contenido de la norma es “fruto del Acuerdo Adoptado el 10 de marzo de 2021 entre Gobierno, CCO, UGT, CEOE y CEPYME tras el trabajo desarrollado por la Mesa de diálogo constituida, a tal efecto, el 28 de octubre de 2020”, es decir, un mes después de la sentencia del Tribunal Supremo y siete meses antes de la aprobación del decreto-ley por el Gobierno en mayo de 2021, sin que el texto del citado acuerdo, además, según defiende la memoria, “pueda ser objeto de revisión o modificación” al incorporarse al decreto-ley precisamente “al ser el mismo fruto” del pacto entre agentes sociales (pág. 26). La propia vicepresidenta tercera, en el debate de convalidación, quiso “dar las gracias a los agentes sociales” por “est[ar] a la altura de las circunstancias de nuestro país” (“Diario de Sesiones”, pág. 22) durante “seis largos meses” de “encuentros” (pág. 26).</w:t>
      </w:r>
    </w:p>
    <w:p w14:paraId="118606F8" w14:textId="77777777" w:rsidR="008D479B" w:rsidRDefault="008D479B" w:rsidP="008D479B">
      <w:pPr>
        <w:pStyle w:val="TextoNormal"/>
      </w:pPr>
    </w:p>
    <w:p w14:paraId="502DDA28" w14:textId="77777777" w:rsidR="008D479B" w:rsidRDefault="008D479B" w:rsidP="008D479B">
      <w:pPr>
        <w:pStyle w:val="TextoNormal"/>
      </w:pPr>
      <w:r>
        <w:t>En otras palabras: el Gobierno demoró la reforma que luego defendió como urgente. Dejó pasar ocho meses —desde septiembre de 2020, fecha de la sentencia, hasta mayo de 2021, fecha del decreto-ley— para aprobar un decreto-ley que dice motivado por aquella sentencia. Sin embargo, durante ese periodo constituyó una mesa con las organizaciones empresariales y sindicales para llegar a un “acuerdo” sobre el contenido de esa urgente reforma. No hubo, en definitiva, una “previa inactividad del propio Gobierno” que desembocara en una situación que exigiese una reacción urgente, como apreciamos, junto con otras consideraciones, en la STC 1/2012, de 13 de enero, FJ 6, por referencia a una reforma medioambiental amparada en la “necesidad de reaccionar ante sendas demandas interpuestas contra el Reino de España ante el Tribunal de Justicia de las Comunidades Europeas por inadecuada incorporación” de directivas comunitarias (STC 1/2012, FJ 10). Al contrario, hubo una actividad positiva e intensa del Gobierno solo que dirigida a lograr un acuerdo con los agentes sociales, y no a aprobar un decreto-ley o un proyecto de ley.</w:t>
      </w:r>
    </w:p>
    <w:p w14:paraId="334E7528" w14:textId="77777777" w:rsidR="008D479B" w:rsidRDefault="008D479B" w:rsidP="008D479B">
      <w:pPr>
        <w:pStyle w:val="TextoNormal"/>
      </w:pPr>
    </w:p>
    <w:p w14:paraId="675CF266" w14:textId="77777777" w:rsidR="008D479B" w:rsidRDefault="008D479B" w:rsidP="008D479B">
      <w:pPr>
        <w:pStyle w:val="TextoNormal"/>
      </w:pPr>
      <w:r>
        <w:t>Nuestros compañeros no aprecian contradicción entre esta incontrovertida demora y el carácter necesariamente urgente de los decretos-leyes impuesto por la Constitución. Les parece que el decreto-ley es una “fuente normativa apta para dotar de eficacia general a los acuerdos” sociales “siempre que concurra el presupuesto habilitante”, apoyándose en la cita de la STC 68/2007, FFJJ 11 y 12 [FJ 5 b) (iv)].</w:t>
      </w:r>
    </w:p>
    <w:p w14:paraId="785664FF" w14:textId="77777777" w:rsidR="008D479B" w:rsidRDefault="008D479B" w:rsidP="008D479B">
      <w:pPr>
        <w:pStyle w:val="TextoNormal"/>
      </w:pPr>
    </w:p>
    <w:p w14:paraId="582560BE" w14:textId="77777777" w:rsidR="008D479B" w:rsidRDefault="008D479B" w:rsidP="008D479B">
      <w:pPr>
        <w:pStyle w:val="TextoNormal"/>
      </w:pPr>
      <w:r>
        <w:t>No tenemos nada que objetar a la afirmación tautológica de que un decreto-ley es constitucional siempre que concurra el presupuesto habilitante. Pero sí debemos objetar el mensaje subyacente de que esa STC 68/2007, o en general nuestra doctrina, valida la posibilidad de usar el decreto-ley para incorporar o dar forma legal a un acuerdo previamente alcanzado entre agentes sociales.</w:t>
      </w:r>
    </w:p>
    <w:p w14:paraId="096130C7" w14:textId="77777777" w:rsidR="008D479B" w:rsidRDefault="008D479B" w:rsidP="008D479B">
      <w:pPr>
        <w:pStyle w:val="TextoNormal"/>
      </w:pPr>
    </w:p>
    <w:p w14:paraId="63B944AF" w14:textId="77777777" w:rsidR="008D479B" w:rsidRDefault="008D479B" w:rsidP="008D479B">
      <w:pPr>
        <w:pStyle w:val="TextoNormal"/>
      </w:pPr>
      <w:r>
        <w:t>En primer lugar, el decreto-ley examinado en la STC 68/2007 se había aprobado, no para incorporar un acuerdo entre los agentes sociales, sino, al contrario, “tras la ruptura” del diálogo social tres días antes del decreto-ley, y un día después de que los sindicatos convocaran una huelga general contra el Gobierno por su actuación en la mesa de diálogo (FJ 11). Y, en segundo lugar, justamente esa STC 68/2007 no encontró justificado el recurso al decreto-ley como consecuencia de esa ruptura del diálogo social, por lo que estimó el recurso y declaró (por unanimidad) la inconstitucionalidad del decreto-ley examinado: “Hemos de concluir”, dice el fundamento jurídico 12, primer párrafo, que “el Gobierno no ha aportado ninguna justificación que permita apreciar la existencia de la situación habilitante requerida por el art. 86.1 CE”.</w:t>
      </w:r>
    </w:p>
    <w:p w14:paraId="166BCC6E" w14:textId="77777777" w:rsidR="008D479B" w:rsidRDefault="008D479B" w:rsidP="008D479B">
      <w:pPr>
        <w:pStyle w:val="TextoNormal"/>
      </w:pPr>
    </w:p>
    <w:p w14:paraId="689430A9" w14:textId="77777777" w:rsidR="008D479B" w:rsidRDefault="008D479B" w:rsidP="008D479B">
      <w:pPr>
        <w:pStyle w:val="TextoNormal"/>
      </w:pPr>
      <w:r>
        <w:t>Difícilmente puede extraerse de este precedente cualquier conclusión favorable a la utilización del decreto-ley para “dotar de eficacia general” a los acuerdos sociales, como hace la sentencia de la que discrepamos. Más bien al contrario. Como dice esa STC 68/2007, FJ 11, “es indudable […] el valor trascendente del diálogo social en nuestro Estado social y democrático de Derecho (art. 1.1 CE) y la importancia de la participación de las organizaciones sindicales y empresariales en el procedimiento de elaboración de aquellas leyes que puedan afectar a los intereses económicos y sociales a cuya defensa y promoción contribuyen significadamente (art. 7 CE)”; pero “no puede aceptarse que la necesaria participación de los agentes sociales en el procedimiento legislativo —en lo que, en ocasiones se ha denominado ‘legislación pre-negociada’— implique enervar el ejercicio regular por las Cortes Generales de la potestad legislativa del Estado (art. 66.2 CE)”. En definitiva, como a nadie se le escapa, por muy relevante que sea el derecho a la negociación colectiva de las organizaciones sindicales y empresariales, este derecho no puede desplazar la competencia del Parlamento para debatir y aprobar esa reforma si esta precisa una norma con rango de ley (en este sentido, por ejemplo, STC 87/2018, de 19 de julio, FJ 3).</w:t>
      </w:r>
    </w:p>
    <w:p w14:paraId="7C510B92" w14:textId="77777777" w:rsidR="008D479B" w:rsidRDefault="008D479B" w:rsidP="008D479B">
      <w:pPr>
        <w:pStyle w:val="TextoNormal"/>
      </w:pPr>
    </w:p>
    <w:p w14:paraId="35EEC0AD" w14:textId="77777777" w:rsidR="008D479B" w:rsidRDefault="008D479B" w:rsidP="008D479B">
      <w:pPr>
        <w:pStyle w:val="TextoNormal"/>
      </w:pPr>
      <w:r>
        <w:t>En conclusión, este retraso voluntario del Gobierno durante ocho meses es incompatible con la calificación de la situación provocada por la STS de 25 de septiembre de 2020 como de “extraordinaria y urgente necesidad”. El Gobierno debió haber empleado ese tiempo para aprobar urgentemente un decreto-ley o, si consideraba más conveniente contar con el acuerdo de los agentes sociales para preparar la reforma, vista su relevancia constitucional (art. 7), entonces, teniendo en cuenta el tiempo transcurrido para alcanzarlo, debió presentar un proyecto de ley ante el Congreso (art. 88) sin “enervar el ejercicio regular por las Cortes Generales de la potestad legislativa del Estado (art. 66.2 CE)” (STC 68/2007, FJ 11).</w:t>
      </w:r>
    </w:p>
    <w:p w14:paraId="14AAED10" w14:textId="77777777" w:rsidR="008D479B" w:rsidRDefault="008D479B" w:rsidP="008D479B">
      <w:pPr>
        <w:pStyle w:val="TextoNormal"/>
      </w:pPr>
    </w:p>
    <w:p w14:paraId="6C62C7F3" w14:textId="77777777" w:rsidR="008D479B" w:rsidRDefault="008D479B" w:rsidP="008D479B">
      <w:pPr>
        <w:pStyle w:val="TextoNormal"/>
      </w:pPr>
      <w:r>
        <w:t>7. Garantía de los derechos laborales y protección de los trabajadores</w:t>
      </w:r>
    </w:p>
    <w:p w14:paraId="4C90B7BF" w14:textId="77777777" w:rsidR="008D479B" w:rsidRDefault="008D479B" w:rsidP="008D479B">
      <w:pPr>
        <w:pStyle w:val="TextoNormal"/>
      </w:pPr>
    </w:p>
    <w:p w14:paraId="1164EE58" w14:textId="77777777" w:rsidR="008D479B" w:rsidRDefault="008D479B" w:rsidP="008D479B">
      <w:pPr>
        <w:pStyle w:val="TextoNormal"/>
      </w:pPr>
      <w:r>
        <w:t>El Gobierno alude, y la sentencia recoge [fundamento jurídico 5 b) (i) y (ii)], otra justificación vinculada al fenómeno de las plataformas digitales de reparto: la necesidad de garantizar la efectividad del ordenamiento laboral y los derechos de los trabajadores frente a la precariedad.</w:t>
      </w:r>
    </w:p>
    <w:p w14:paraId="09EFB34C" w14:textId="77777777" w:rsidR="008D479B" w:rsidRDefault="008D479B" w:rsidP="008D479B">
      <w:pPr>
        <w:pStyle w:val="TextoNormal"/>
      </w:pPr>
    </w:p>
    <w:p w14:paraId="209D6EE2" w14:textId="77777777" w:rsidR="008D479B" w:rsidRDefault="008D479B" w:rsidP="008D479B">
      <w:pPr>
        <w:pStyle w:val="TextoNormal"/>
      </w:pPr>
      <w:r>
        <w:t>Nosotros compartimos esta aspiración: garantizar derechos reales y efectivos a los trabajadores y en general a las personas en situación de vulnerabilidad o necesidad económica no solo es una aspiración loable y legítima, es un imperativo constitucional (arts. 9.2 y 35.1). Ahora bien, una legítima aspiración debe articularse por los cauces previstos en el ordenamiento constitucional, no al margen de ellos. La bondad, oportunidad o necesidad de una reforma sentida por el Gobierno no basta para desplazar la potestad legislativa del Parlamento y aprobar un decreto-ley.</w:t>
      </w:r>
    </w:p>
    <w:p w14:paraId="50223F5F" w14:textId="77777777" w:rsidR="008D479B" w:rsidRDefault="008D479B" w:rsidP="008D479B">
      <w:pPr>
        <w:pStyle w:val="TextoNormal"/>
      </w:pPr>
    </w:p>
    <w:p w14:paraId="2CBE30DE" w14:textId="77777777" w:rsidR="008D479B" w:rsidRDefault="008D479B" w:rsidP="008D479B">
      <w:pPr>
        <w:pStyle w:val="TextoNormal"/>
      </w:pPr>
      <w:r>
        <w:t>De modo previo, hay que insistir en que esa afirmación sobre la necesidad de garantizar los derechos laborales pasa por alto la circunstancia ya advertida de que el derecho anterior al decreto-ley se había mostrado eficaz en la garantía de esos derechos. Ya nos hemos referido a la actividad de la Inspección de Trabajo y a la interpretación de las normas laborales realizada por la llamada “jurisprudencia menor” y por el propio Tribunal Supremo, en su sentencia de unificación de doctrina de 25 de septiembre de 2020.</w:t>
      </w:r>
    </w:p>
    <w:p w14:paraId="2AE4E7F1" w14:textId="77777777" w:rsidR="008D479B" w:rsidRDefault="008D479B" w:rsidP="008D479B">
      <w:pPr>
        <w:pStyle w:val="TextoNormal"/>
      </w:pPr>
    </w:p>
    <w:p w14:paraId="4F4CCD72" w14:textId="77777777" w:rsidR="008D479B" w:rsidRDefault="008D479B" w:rsidP="008D479B">
      <w:pPr>
        <w:pStyle w:val="TextoNormal"/>
      </w:pPr>
      <w:r>
        <w:t>Pero además, de acuerdo con el carácter excepcional y extraordinario que debe reservarse a los decretos-leyes, nuestra doctrina ha disociado la justificación de la reforma (su bondad, necesidad u oportunidad) y la explicitación de su urgencia, siendo esta última, y solo ella, la que permite al ejecutivo dictar una norma con rango de ley: “entender lo contrario supondría, como dijimos en la STC 68/2007, de 28 de marzo, FJ 8, que se podría excluir del procedimiento legislativo ordinario toda decisión que comportara un beneficio para sus destinatarios, lo que no se corresponde con nuestro modelo constitucional” (STC 125/2016, de 7 de julio, FJ 3). Como dice esa misma STC 125/2016, FJ 4, “el mero deseo o interés del Gobierno en la inmediata entrada en vigor de la norma no constituye una justificación de su extraordinaria y urgente necesidad (STC 68/2007, de 28 de marzo, FJ 9)”. Un criterio que hemos aplicado también en la STC 61/2018, de 7 de junio, anulando por falta de presupuesto habilitante reformas que favorecían a los desempleados mayores de cincuenta y cinco años [FJ 9 a)] y a los empleados del hogar [FJ 9 c].</w:t>
      </w:r>
    </w:p>
    <w:p w14:paraId="5107CC6C" w14:textId="77777777" w:rsidR="008D479B" w:rsidRDefault="008D479B" w:rsidP="008D479B">
      <w:pPr>
        <w:pStyle w:val="TextoNormal"/>
      </w:pPr>
    </w:p>
    <w:p w14:paraId="54481391" w14:textId="77777777" w:rsidR="008D479B" w:rsidRDefault="008D479B" w:rsidP="008D479B">
      <w:pPr>
        <w:pStyle w:val="TextoNormal"/>
      </w:pPr>
      <w:r>
        <w:t>Esta doctrina, impuesta por la naturaleza parlamentaria de nuestro sistema constitucional (art. 1.3 CE) y el consiguiente carácter excepcional de los decretos-leyes del Gobierno, obligaba a concluir que, aun aceptando la bondad o necesidad de la reforma (dialécticamente, porque como ya hemos dicho la reforma no hace otra cosa que reiterar la doctrina de la Inspección de Trabajo y del Tribunal Supremo con un limitado “efecto clarificador”, según la vicepresidenta del Gobierno), esa oportunidad no equivale a la urgencia exigida por el art. 86.1 CE, única que permite al Gobierno desplazar la potestad legislativa ordinaria de las Cortes generales (art. 66.2). Por lo tanto, no colma el requisito de la necesaria justificación por el Gobierno de una situación de “extraordinaria y urgente necesidad” como presupuesto habilitante de su potestad legislativa de urgencia.</w:t>
      </w:r>
    </w:p>
    <w:p w14:paraId="2A0C7431" w14:textId="77777777" w:rsidR="008D479B" w:rsidRDefault="008D479B" w:rsidP="008D479B">
      <w:pPr>
        <w:pStyle w:val="TextoNormal"/>
      </w:pPr>
    </w:p>
    <w:p w14:paraId="32434537" w14:textId="77777777" w:rsidR="008D479B" w:rsidRDefault="008D479B" w:rsidP="008D479B">
      <w:pPr>
        <w:pStyle w:val="TextoNormal"/>
      </w:pPr>
      <w:r>
        <w:t>8. Decretos-leyes y seguridad jurídica</w:t>
      </w:r>
    </w:p>
    <w:p w14:paraId="2FBF896D" w14:textId="77777777" w:rsidR="008D479B" w:rsidRDefault="008D479B" w:rsidP="008D479B">
      <w:pPr>
        <w:pStyle w:val="TextoNormal"/>
      </w:pPr>
    </w:p>
    <w:p w14:paraId="56CCA67F" w14:textId="77777777" w:rsidR="008D479B" w:rsidRDefault="008D479B" w:rsidP="008D479B">
      <w:pPr>
        <w:pStyle w:val="TextoNormal"/>
      </w:pPr>
      <w:r>
        <w:t>La sentencia se refiere, en tercer lugar, a la necesidad de proporcionar “seguridad jurídica” al sector ante la “litigiosidad” en la materia [FJ 5 b) (i) y (ii)], para evitar así que los implicados queden “al albur” de actuaciones judiciales o administrativas, en expresión que repiten el preámbulo del decreto-ley y la memoria de análisis de impacto normativo y recoge la sentencia [FJ 4 c)].</w:t>
      </w:r>
    </w:p>
    <w:p w14:paraId="49802EF3" w14:textId="77777777" w:rsidR="008D479B" w:rsidRDefault="008D479B" w:rsidP="008D479B">
      <w:pPr>
        <w:pStyle w:val="TextoNormal"/>
      </w:pPr>
    </w:p>
    <w:p w14:paraId="5AA2000C" w14:textId="77777777" w:rsidR="008D479B" w:rsidRDefault="008D479B" w:rsidP="008D479B">
      <w:pPr>
        <w:pStyle w:val="TextoNormal"/>
      </w:pPr>
      <w:r>
        <w:t>Al aceptar este argumento del Gobierno, la mayoría contradice una consolidada doctrina según la cual la seguridad jurídica no puede justificar un decreto-ley del ejecutivo. Como dijimos en la STC 29/2015, de 19 de febrero, FJ 5, “es obvio que no cabe convertir sin más la seguridad jurídica o, si se prefiere, la certeza sobre la regulación jurídica aplicable (por seguir la certera definición que utiliza el ATC 72/2008, de 26 de febrero, FJ 3) en un fin en sí mismo que deba ser alcanzado mediante cualquier fórmula jurídica y, por tanto, llegado el caso, mediante una acción normativa de urgencia. Si así fuera, prácticamente todas las normas del ordenamiento, salvo las notoriamente incontrovertibles, justificarían su aclaración o modificación por vía de decreto-ley”. Y en términos análogos, STC 125/2016, antes citada, FJ 3: “las razones de justicia y de seguridad jurídica que se esgrimieron en el debate parlamentario previo a la convalidación del Real Decreto-ley […] pueden servir para justificar las concretas medidas adoptadas, pero no su urgencia y necesidad o, en otras palabras, no la sustracción de esta ordenación al procedimiento parlamentario, sede ordinaria con carácter general, de la legislación”. Recientemente hemos confirmado esta misma jurisprudencia en la STC 111/2021, de 13 de mayo, FJ 7: “las razones de certidumbre y de seguridad jurídica que se apuntan en el preámbulo del Real Decreto-ley […] pueden servir para justificar las concretas medidas adoptadas, pero no su urgencia y necesidad o, en otras palabras, no la sustracción de esta ordenación al procedimiento parlamentario ordinario”.</w:t>
      </w:r>
    </w:p>
    <w:p w14:paraId="5E53EEAC" w14:textId="77777777" w:rsidR="008D479B" w:rsidRDefault="008D479B" w:rsidP="008D479B">
      <w:pPr>
        <w:pStyle w:val="TextoNormal"/>
      </w:pPr>
    </w:p>
    <w:p w14:paraId="2F82E6B7" w14:textId="77777777" w:rsidR="008D479B" w:rsidRDefault="008D479B" w:rsidP="008D479B">
      <w:pPr>
        <w:pStyle w:val="TextoNormal"/>
      </w:pPr>
      <w:r>
        <w:t xml:space="preserve">Adicionalmente a lo anterior, resulta que, como ya hemos reiterado y la sentencia recoge [FJ 4 c)], lo cierto es que la actividad inspectora se había mostrado efectiva antes del decreto-ley. Según la memoria de análisis de impacto normativo, la Inspección de Trabajo había detectado antes de la reforma a más de 16 000 “falsos autónomos </w:t>
      </w:r>
      <w:r w:rsidRPr="008D479B">
        <w:rPr>
          <w:i/>
        </w:rPr>
        <w:t>riders</w:t>
      </w:r>
      <w:r>
        <w:t>”, un número equivalente al de potenciales destinatarios del decreto-ley reconocido por el Gobierno, aproximadamente 14 000 personas, como también recoge la sentencia en el fundamento jurídico 4 c). Y esa actuación estaba siendo además confirmada de forma prácticamente unánime por la jurisprudencia. Por lo tanto, puede concluirse que ni siquiera existía la inseguridad jurídica que el Gobierno pretendía atajar.</w:t>
      </w:r>
    </w:p>
    <w:p w14:paraId="7EEC9CDF" w14:textId="77777777" w:rsidR="008D479B" w:rsidRDefault="008D479B" w:rsidP="008D479B">
      <w:pPr>
        <w:pStyle w:val="TextoNormal"/>
      </w:pPr>
    </w:p>
    <w:p w14:paraId="18DAB556" w14:textId="77777777" w:rsidR="008D479B" w:rsidRDefault="008D479B" w:rsidP="008D479B">
      <w:pPr>
        <w:pStyle w:val="TextoNormal"/>
      </w:pPr>
      <w:r>
        <w:t>9. Recuperación económica</w:t>
      </w:r>
    </w:p>
    <w:p w14:paraId="45F160F0" w14:textId="77777777" w:rsidR="008D479B" w:rsidRDefault="008D479B" w:rsidP="008D479B">
      <w:pPr>
        <w:pStyle w:val="TextoNormal"/>
      </w:pPr>
    </w:p>
    <w:p w14:paraId="74D26A60" w14:textId="77777777" w:rsidR="008D479B" w:rsidRDefault="008D479B" w:rsidP="008D479B">
      <w:pPr>
        <w:pStyle w:val="TextoNormal"/>
      </w:pPr>
      <w:r>
        <w:t>En último lugar, el Gobierno y la sentencia aluden a la justificación ofrecida por el Gobierno de que la reforma contribuirá a la “recuperación económica” [FJ 5 b) (i)]. Efectivamente, el Gobierno explica que la reforma proporcionará “fortaleza y capacidad de recuperación al tejido empresarial” mediante el aumento de los ingresos de las personas trabajadoras y las cotizaciones sociales [FJ 4 c)]. Y al respecto, el abogado del Estado trae a colación en su escrito de alegaciones nuestra doctrina sobre las “coyunturas económicas problemáticas” a la que alude la sentencia en su fundamento jurídico 5 b) (iii) y (iv).</w:t>
      </w:r>
    </w:p>
    <w:p w14:paraId="2A23B97F" w14:textId="77777777" w:rsidR="008D479B" w:rsidRDefault="008D479B" w:rsidP="008D479B">
      <w:pPr>
        <w:pStyle w:val="TextoNormal"/>
      </w:pPr>
    </w:p>
    <w:p w14:paraId="57EF9671" w14:textId="77777777" w:rsidR="008D479B" w:rsidRDefault="008D479B" w:rsidP="008D479B">
      <w:pPr>
        <w:pStyle w:val="TextoNormal"/>
      </w:pPr>
      <w:r>
        <w:t>Es doctrina de este tribunal, efectivamente, que el decreto-ley es un instrumento idóneo para afrontar situaciones de “crisis económica” [SSTC 34/2017, de 1 de marzo, FJ 5, y 139/2016, de 21 de julio, FJ 5 a); o 199/2015, de 24 de septiembre, FJ 5], para “incentivar, acelerar o reforzar la recuperación económica”, como dice la última sentencia constitucional citada, o incluso “para adoptar medidas de política económica general fundamentadas en garantizar la permanencia en el tiempo de una preexistente fase de expansión económica” (SSTC 137/2011, de 14 de septiembre, FJ 6; y 31/2011, de 17 de marzo, FJ 4). En todos estos casos, hemos dicho que puede justificarse el empleo de la legislación de urgencia como remedio para “subvenir a situaciones concretas de los objetivos gubernamentales que por razones difíciles de prever requieran una acción normativa inmediata en un plazo más breve que el requerido por la vía normal o por el procedimiento de urgencia para la tramitación parlamentaria de las leyes” [STC 199/2015, FJ 4, con cita de otras muchas, o más recientemente, STC 61/2018, de 7 de junio, FJ 4 f), sistematizando nuestra doctrina sobre los decretos-leyes].</w:t>
      </w:r>
    </w:p>
    <w:p w14:paraId="37DBE6E1" w14:textId="77777777" w:rsidR="008D479B" w:rsidRDefault="008D479B" w:rsidP="008D479B">
      <w:pPr>
        <w:pStyle w:val="TextoNormal"/>
      </w:pPr>
    </w:p>
    <w:p w14:paraId="3686792C" w14:textId="77777777" w:rsidR="008D479B" w:rsidRDefault="008D479B" w:rsidP="008D479B">
      <w:pPr>
        <w:pStyle w:val="TextoNormal"/>
      </w:pPr>
      <w:r>
        <w:t>Ahora bien, los datos aportados por el Gobierno en este caso impiden acudir a esta consolidada doctrina. El impacto de la reforma en la economía es mínimo, como no puede dejar de reconocer el abogado del Estado para quien la “coyuntura económica problemática” es limitada y “especial para una clase de trabajadores” (alegaciones, pág. 11) y la reforma representa “un granito de arena” en la recuperación económica (pág. 20).</w:t>
      </w:r>
    </w:p>
    <w:p w14:paraId="2F9F38D6" w14:textId="77777777" w:rsidR="008D479B" w:rsidRDefault="008D479B" w:rsidP="008D479B">
      <w:pPr>
        <w:pStyle w:val="TextoNormal"/>
      </w:pPr>
    </w:p>
    <w:p w14:paraId="52831465" w14:textId="77777777" w:rsidR="008D479B" w:rsidRDefault="008D479B" w:rsidP="008D479B">
      <w:pPr>
        <w:pStyle w:val="TextoNormal"/>
      </w:pPr>
      <w:r>
        <w:t xml:space="preserve">La toma en consideración de las cifras aportadas por el Gobierno corrobora esta impresión. Como recoge la sentencia [FJ 4 c)], la memoria de análisis de impacto normativo cifra en 14 337 los repartidores en España beneficiados por la medida, un número de beneficiados realmente escaso de por sí. Así además hacemos caso al diputado Matute García de Jalón (también favorable a la convalidación) en el debate parlamentario “esta realidad que afecta hoy a los </w:t>
      </w:r>
      <w:r w:rsidRPr="008D479B">
        <w:rPr>
          <w:i/>
        </w:rPr>
        <w:t>riders</w:t>
      </w:r>
      <w:r>
        <w:t xml:space="preserve"> también afecta a 400 000 personas que tienen ocupaciones diferentes a la de transportista” y por lo tanto no son destinatarios del decreto-ley (“Diario de Sesiones”, pág. 31). Por último, el total de personas ocupadas en España asciende a unos veinte millones (19 671 700 según la encuesta de población activa del segundo trimestre de 2021, correspondiente a la fecha del decreto-ley, y 21 056 700 según la encuesta de población activa del segundo trimestre de 2023, última antes de esta esta sentencia). En definitiva, el decreto-ley que se ampara en la doctrina de las “coyunturas económicas problemáticas” reconoce que beneficia a unas 15 000 personas de un sector que ocupa a 400 000 de un total de veinte millones de personas ocupadas. Una cantidad y una proporción realmente ínfimas para acogerse a la doctrina de las “coyunturas económicas problemáticas” vinculada sobre todo a grandes crisis económicas o al menos a reformas de calado.</w:t>
      </w:r>
    </w:p>
    <w:p w14:paraId="15629E97" w14:textId="77777777" w:rsidR="008D479B" w:rsidRDefault="008D479B" w:rsidP="008D479B">
      <w:pPr>
        <w:pStyle w:val="TextoNormal"/>
      </w:pPr>
    </w:p>
    <w:p w14:paraId="428839C5" w14:textId="77777777" w:rsidR="008D479B" w:rsidRDefault="008D479B" w:rsidP="008D479B">
      <w:pPr>
        <w:pStyle w:val="TextoNormal"/>
      </w:pPr>
      <w:r>
        <w:t xml:space="preserve">Por otra parte, el Gobierno no detalla los efectos económicos de la reforma. Alude simplemente a la elevación de los salarios y de los ingresos de la Seguridad Social [memoria, citada en el fundamento jurídico 4 c)]. En cuanto a los salarios, asumiendo que ninguno de los 14 000 nuevos destinatarios de la reforma sea alguno de los 16 000 falsos autónomos </w:t>
      </w:r>
      <w:r w:rsidRPr="008D479B">
        <w:rPr>
          <w:i/>
        </w:rPr>
        <w:t>riders</w:t>
      </w:r>
      <w:r>
        <w:t xml:space="preserve"> ya aflorados antes de ella, ya hemos dicho que es un número escaso como para aportar alguna mejora significativa en la superación de una “coyuntura económica problemática”. Por lo que respecta a los ingresos públicos, la equivalencia aproximada entre número de destinatarios de la reforma (14 337) y de repartidores detectados antes de ella (16 794 según la memoria: pág. 19), hace lógico deducir, ante la ausencia de cualquier otro cálculo por parte del Gobierno, que el aumento de los ingresos será de unos treinta millones de euros, equivalente al que supuso la actividad inspectora anterior [memoria: págs. 18 y 19, y fundamento jurídico 4 c) de la sentencia]. Nos parece una previsión de ingresos igualmente insuficiente para justificar el desplazamiento de las Cortes. Ante un supuesto inverso, señalamos que las apelaciones al “principio de austeridad” y a la finalidad de “ahorro”, no acompañadas de explicaciones concretas sobre “una específica situación económica difícil en la corporación RTVE”, no justificaban la reducción del número de miembros del consejo de administración de Radio Televisión Española (STC 150/2017, de 21 de diciembre, FFJJ 6 y 7). Es igualmente doctrina constitucional que cuando una reforma no guarda una relación aparente, “instantánea”, “inmediata” o “directamente discernible” con el objetivo perseguido –—en este caso, la regularización de unos 15 000 </w:t>
      </w:r>
      <w:r w:rsidRPr="008D479B">
        <w:rPr>
          <w:i/>
        </w:rPr>
        <w:t>riders</w:t>
      </w:r>
      <w:r>
        <w:t xml:space="preserve"> con la recuperación económica—, como aquí sucede a la vista del limitado número de destinatarios, es necesario que el Gobierno explique, y no solo afirme, cómo o de qué manera la reforma contribuirá a ese objetivo [STC 14/2020, de 28 de enero, FJ 5 d)].</w:t>
      </w:r>
    </w:p>
    <w:p w14:paraId="1A6822A9" w14:textId="77777777" w:rsidR="008D479B" w:rsidRDefault="008D479B" w:rsidP="008D479B">
      <w:pPr>
        <w:pStyle w:val="TextoNormal"/>
      </w:pPr>
    </w:p>
    <w:p w14:paraId="3A8DD87A" w14:textId="77777777" w:rsidR="008D479B" w:rsidRDefault="008D479B" w:rsidP="008D479B">
      <w:pPr>
        <w:pStyle w:val="TextoNormal"/>
      </w:pPr>
      <w:r>
        <w:t>En definitiva, el impacto de la reforma en la economía nacional, o al menos en algún sector relevante de ella, debe ser significativo para que el Gobierno pueda desplazar a las Cortes en el ejercicio de su potestad legislativa, y no basta una simple previsión de aumento de los ingresos públicos, con independencia de su cuantía y relevancia, para abrir la puerta del art. 86 CE.</w:t>
      </w:r>
    </w:p>
    <w:p w14:paraId="6F0B3FA4" w14:textId="77777777" w:rsidR="008D479B" w:rsidRDefault="008D479B" w:rsidP="008D479B">
      <w:pPr>
        <w:pStyle w:val="TextoNormal"/>
      </w:pPr>
    </w:p>
    <w:p w14:paraId="078DC457" w14:textId="77777777" w:rsidR="008D479B" w:rsidRDefault="008D479B" w:rsidP="008D479B">
      <w:pPr>
        <w:pStyle w:val="TextoNormal"/>
      </w:pPr>
      <w:r>
        <w:t>10. Conclusión</w:t>
      </w:r>
    </w:p>
    <w:p w14:paraId="1B9F8B9A" w14:textId="77777777" w:rsidR="008D479B" w:rsidRDefault="008D479B" w:rsidP="008D479B">
      <w:pPr>
        <w:pStyle w:val="TextoNormal"/>
      </w:pPr>
    </w:p>
    <w:p w14:paraId="78B57CB9" w14:textId="77777777" w:rsidR="008D479B" w:rsidRDefault="008D479B" w:rsidP="008D479B">
      <w:pPr>
        <w:pStyle w:val="TextoNormal"/>
      </w:pPr>
      <w:r>
        <w:t>Todas estas razones, apreciadas en conjunto y de conformidad con los argumentos y datos proporcionados por el propio Gobierno, nos conducen a concluir que en este caso el ejecutivo utilizó la figura del decreto-ley fuera de los contornos que permite el art. 86.1 CE, como una vía alternativa —y más cómoda— al procedimiento legislativo ordinario. Por lo tanto, hubiera procedido declarar inconstitucional y nulo el Real Decreto-ley 9/2021, de 11 de mayo.</w:t>
      </w:r>
    </w:p>
    <w:p w14:paraId="4AAD475F" w14:textId="77777777" w:rsidR="008D479B" w:rsidRDefault="008D479B" w:rsidP="008D479B">
      <w:pPr>
        <w:pStyle w:val="TextoNormal"/>
      </w:pPr>
    </w:p>
    <w:p w14:paraId="03989542" w14:textId="77777777" w:rsidR="008D479B" w:rsidRDefault="008D479B" w:rsidP="008D479B">
      <w:pPr>
        <w:pStyle w:val="TextoNormal"/>
      </w:pPr>
      <w:r>
        <w:t>Y en tal sentido emitimos este voto particular.</w:t>
      </w:r>
    </w:p>
    <w:p w14:paraId="6E5D64E6" w14:textId="77777777" w:rsidR="008D479B" w:rsidRDefault="008D479B" w:rsidP="008D479B">
      <w:pPr>
        <w:pStyle w:val="TextoNormal"/>
      </w:pPr>
    </w:p>
    <w:p w14:paraId="7B56D330" w14:textId="3C3CAE9B" w:rsidR="008D479B" w:rsidRDefault="008D479B" w:rsidP="008D479B">
      <w:pPr>
        <w:pStyle w:val="TextoNormal"/>
      </w:pPr>
      <w:r>
        <w:t>Madrid, a veinticinco de octubre de dos mil veintitrés.</w:t>
      </w:r>
    </w:p>
    <w:p w14:paraId="3A159E70" w14:textId="6A6BFDE2" w:rsidR="008D479B" w:rsidRDefault="008D479B">
      <w:pPr>
        <w:spacing w:after="160" w:line="278" w:lineRule="auto"/>
        <w:rPr>
          <w:rFonts w:ascii="Times New Roman" w:eastAsia="Times New Roman" w:hAnsi="Times New Roman" w:cs="Times New Roman"/>
          <w:sz w:val="24"/>
          <w:szCs w:val="24"/>
          <w:lang w:eastAsia="es-ES"/>
        </w:rPr>
      </w:pPr>
      <w:r>
        <w:br w:type="page"/>
      </w:r>
    </w:p>
    <w:p w14:paraId="57E36171" w14:textId="77777777" w:rsidR="008D479B" w:rsidRDefault="008D479B" w:rsidP="008D479B">
      <w:pPr>
        <w:pStyle w:val="TtuloResolucin"/>
      </w:pPr>
      <w:bookmarkStart w:id="70" w:name="SENTENCIA_2023_145"/>
      <w:r>
        <w:t>SENTENCIA 145/2023, de 25 de octubre de 2023</w:t>
      </w:r>
    </w:p>
    <w:bookmarkEnd w:id="70"/>
    <w:p w14:paraId="31D53ECE" w14:textId="77777777" w:rsidR="008D479B" w:rsidRDefault="008D479B" w:rsidP="008D479B">
      <w:pPr>
        <w:pStyle w:val="TtuloResolucin"/>
      </w:pPr>
      <w:r>
        <w:t>Pleno</w:t>
      </w:r>
    </w:p>
    <w:p w14:paraId="704862A7" w14:textId="77777777" w:rsidR="008D479B" w:rsidRDefault="008D479B" w:rsidP="008D479B">
      <w:pPr>
        <w:pStyle w:val="TtuloBOE"/>
      </w:pPr>
      <w:r>
        <w:t>(BOE núm. 286, de 30 de noviembre de 2023)</w:t>
      </w:r>
    </w:p>
    <w:p w14:paraId="136D0856" w14:textId="77777777" w:rsidR="008D479B" w:rsidRDefault="008D479B" w:rsidP="008D479B">
      <w:pPr>
        <w:pStyle w:val="TextoNormalCentrado"/>
      </w:pPr>
      <w:r>
        <w:t>ECLI:ES:TC:2023:145</w:t>
      </w:r>
    </w:p>
    <w:p w14:paraId="546D589E" w14:textId="01ED9B57" w:rsidR="008D479B" w:rsidRDefault="008D479B" w:rsidP="008D479B">
      <w:pPr>
        <w:pStyle w:val="TextoNormalCentrado"/>
      </w:pPr>
    </w:p>
    <w:p w14:paraId="2CFB6C74" w14:textId="77777777" w:rsidR="008D479B" w:rsidRDefault="008D479B" w:rsidP="008D479B">
      <w:pPr>
        <w:pStyle w:val="SntesisDescriptiva"/>
      </w:pPr>
      <w:r>
        <w:t>Recurso de inconstitucionalidad 6345-2021. Interpuesto por más de cincuenta diputados del grupo parlamentario de Vox del Congreso de los Diputados respecto del Real Decreto-ley 14/2021, de 6 de julio, de medidas urgentes para la reducción de la temporalidad en el empleo público.</w:t>
      </w:r>
    </w:p>
    <w:p w14:paraId="545E8AE6" w14:textId="054E6EC0" w:rsidR="008D479B" w:rsidRDefault="008D479B" w:rsidP="008D479B">
      <w:pPr>
        <w:pStyle w:val="SntesisDescriptiva"/>
      </w:pPr>
    </w:p>
    <w:p w14:paraId="0028A918" w14:textId="77777777" w:rsidR="008D479B" w:rsidRDefault="008D479B" w:rsidP="008D479B">
      <w:pPr>
        <w:pStyle w:val="SntesisAnaltica"/>
      </w:pPr>
      <w:r>
        <w:t>Límites de los decretos leyes: concurrencia del presupuesto habilitante y de la conexión de sentido en una norma de urgencia que no desconoce los límites materiales de los decretos leyes.</w:t>
      </w:r>
    </w:p>
    <w:p w14:paraId="025B527A" w14:textId="0477BA09" w:rsidR="008D479B" w:rsidRDefault="008D479B" w:rsidP="008D479B">
      <w:pPr>
        <w:pStyle w:val="SntesisAnaltica"/>
      </w:pPr>
    </w:p>
    <w:p w14:paraId="71B251FE" w14:textId="2B035DA2" w:rsidR="008D479B" w:rsidRDefault="008D479B" w:rsidP="008D479B">
      <w:pPr>
        <w:pStyle w:val="Extracto"/>
      </w:pPr>
      <w:r>
        <w:t>1.</w:t>
      </w:r>
      <w:r>
        <w:tab/>
        <w:t>La definición por los órganos políticos de una situación de ‘extraordinaria y urgente necesidad’ debe ser explícita y razonada, y debe existir una conexión de sentido o relación de adecuación entre la situación definida que constituye el presupuesto habilitante y las medidas que en el decreto-ley se adoptan (STC 29/1982), de manera que estas últimas guarden una relación directa o de congruencia con la situación que se trata de afrontar; y tal definición no ha de contenerse siempre en el propio real decreto-ley, sino que tal presupuesto puede ser deducido igualmente de una pluralidad de elementos (STC 182/1997) [FJ 3].</w:t>
      </w:r>
    </w:p>
    <w:p w14:paraId="1CD3D271" w14:textId="77777777" w:rsidR="008D479B" w:rsidRDefault="008D479B" w:rsidP="008D479B">
      <w:pPr>
        <w:pStyle w:val="Extracto"/>
      </w:pPr>
    </w:p>
    <w:p w14:paraId="12021267" w14:textId="467D10E4" w:rsidR="008D479B" w:rsidRDefault="008D479B" w:rsidP="008D479B">
      <w:pPr>
        <w:pStyle w:val="Extracto"/>
      </w:pPr>
      <w:r>
        <w:t>2.</w:t>
      </w:r>
      <w:r>
        <w:tab/>
        <w:t>En el examen de la concurrencia del presupuesto habilitante de la ‘extraordinaria y urgente necesidad’ deben valorarse todos aquellos factores que determinaron al Gobierno a dictar la disposición legal excepcional, que son, básicamente, los que quedan reflejados en la exposición de motivos de la norma, a lo largo del debate parlamentario de convalidación, y en el propio expediente de elaboración de la misma (SSTC 29/1982 o 137/2003); debiendo siempre tenerse presentes las situaciones concretas y los objetivos gubernamentales que han dado lugar a la aprobación de los decretos-leyes  (SSTC 6/1983 o 137/2003) [FJ 3].</w:t>
      </w:r>
    </w:p>
    <w:p w14:paraId="1322124E" w14:textId="77777777" w:rsidR="008D479B" w:rsidRDefault="008D479B" w:rsidP="008D479B">
      <w:pPr>
        <w:pStyle w:val="Extracto"/>
      </w:pPr>
    </w:p>
    <w:p w14:paraId="2D45706B" w14:textId="136F011E" w:rsidR="008D479B" w:rsidRDefault="008D479B" w:rsidP="008D479B">
      <w:pPr>
        <w:pStyle w:val="Extracto"/>
      </w:pPr>
      <w:r>
        <w:t>3.</w:t>
      </w:r>
      <w:r>
        <w:tab/>
        <w:t xml:space="preserve">Si se interpreta el verbo ‘afectar՚ (contenido en el mencionado art. 86 CE)  con un contenido literal amplísimo, la figura del decreto-ley regulada en dicho art. 86 CE quedaría vacía de contenido y resultaría inservible para regular, con mayor o menor incidencia, cualquier aspecto concerniente a las materias incluidas en el título I de la Constitución; pues es difícil imaginar alguno cuyo contenido no afecte a algún derecho comprendido en el título I, conduciendo tal interpretación </w:t>
      </w:r>
      <w:r w:rsidRPr="008D479B">
        <w:rPr>
          <w:i/>
        </w:rPr>
        <w:t xml:space="preserve">ad absurdum </w:t>
      </w:r>
      <w:r>
        <w:t>(STC 111/1983) [FJ 8].</w:t>
      </w:r>
    </w:p>
    <w:p w14:paraId="755D0881" w14:textId="77777777" w:rsidR="008D479B" w:rsidRDefault="008D479B" w:rsidP="008D479B">
      <w:pPr>
        <w:pStyle w:val="Extracto"/>
      </w:pPr>
    </w:p>
    <w:p w14:paraId="10903938" w14:textId="77777777" w:rsidR="008D479B" w:rsidRDefault="008D479B" w:rsidP="008D479B">
      <w:pPr>
        <w:pStyle w:val="Extracto"/>
      </w:pPr>
    </w:p>
    <w:p w14:paraId="6A05A22F" w14:textId="77777777" w:rsidR="008D479B" w:rsidRDefault="008D479B" w:rsidP="008D479B">
      <w:pPr>
        <w:pStyle w:val="TextoNormal"/>
      </w:pPr>
      <w: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y doña Laura Díez Bueso, ha pronunciado</w:t>
      </w:r>
    </w:p>
    <w:p w14:paraId="14525452" w14:textId="10DF8533" w:rsidR="008D479B" w:rsidRDefault="008D479B" w:rsidP="008D479B">
      <w:pPr>
        <w:pStyle w:val="TextoNormal"/>
      </w:pPr>
    </w:p>
    <w:p w14:paraId="7F6EB98D" w14:textId="77777777" w:rsidR="008D479B" w:rsidRDefault="008D479B" w:rsidP="008D479B">
      <w:pPr>
        <w:pStyle w:val="TextoNormalCentrado"/>
        <w:keepNext/>
      </w:pPr>
      <w:r>
        <w:t>EN NOMBRE DEL REY</w:t>
      </w:r>
    </w:p>
    <w:p w14:paraId="536BE0AD" w14:textId="6C97323A" w:rsidR="008D479B" w:rsidRDefault="008D479B" w:rsidP="008D479B">
      <w:pPr>
        <w:pStyle w:val="TextoNormalCentrado"/>
        <w:keepNext/>
      </w:pPr>
    </w:p>
    <w:p w14:paraId="5B3821FB" w14:textId="77777777" w:rsidR="008D479B" w:rsidRDefault="008D479B" w:rsidP="008D479B">
      <w:pPr>
        <w:pStyle w:val="TextoNormalCentrado"/>
        <w:keepNext/>
      </w:pPr>
    </w:p>
    <w:p w14:paraId="43F43781" w14:textId="77777777" w:rsidR="008D479B" w:rsidRDefault="008D479B" w:rsidP="008D479B">
      <w:pPr>
        <w:pStyle w:val="TextoNormal"/>
      </w:pPr>
      <w:r>
        <w:t>la siguiente</w:t>
      </w:r>
    </w:p>
    <w:p w14:paraId="57BAA6DA" w14:textId="2E9FCFD0" w:rsidR="008D479B" w:rsidRDefault="008D479B" w:rsidP="008D479B">
      <w:pPr>
        <w:pStyle w:val="TextoNormal"/>
      </w:pPr>
    </w:p>
    <w:p w14:paraId="590A3899" w14:textId="77777777" w:rsidR="008D479B" w:rsidRDefault="008D479B" w:rsidP="008D479B">
      <w:pPr>
        <w:pStyle w:val="TextoNormalCentrado"/>
        <w:keepNext/>
      </w:pPr>
      <w:r>
        <w:t>SENTENCIA</w:t>
      </w:r>
    </w:p>
    <w:p w14:paraId="763DB35B" w14:textId="3816AD7C" w:rsidR="008D479B" w:rsidRDefault="008D479B" w:rsidP="008D479B">
      <w:pPr>
        <w:pStyle w:val="TextoNormalCentrado"/>
        <w:keepNext/>
      </w:pPr>
    </w:p>
    <w:p w14:paraId="569A2B15" w14:textId="77777777" w:rsidR="008D479B" w:rsidRDefault="008D479B" w:rsidP="008D479B">
      <w:pPr>
        <w:pStyle w:val="TextoNormal"/>
      </w:pPr>
      <w:r>
        <w:t>En el recurso de inconstitucionalidad núm. 6345-2021 promovido por más de cincuenta diputados del Grupo Parlamentario Vox del Congreso de los Diputados, contra Real Decreto-ley 14/2021, de 6 de julio, de medidas urgentes para la reducción de la temporalidad en el empleo público. Ha formulado alegaciones el abogado del Estado. Ha sido ponente el magistrado don César Tolosa Tribiño.</w:t>
      </w:r>
    </w:p>
    <w:p w14:paraId="625C949E" w14:textId="63EEAE1B" w:rsidR="008D479B" w:rsidRDefault="008D479B" w:rsidP="008D479B">
      <w:pPr>
        <w:pStyle w:val="TextoNormal"/>
      </w:pPr>
    </w:p>
    <w:p w14:paraId="0A938B7C" w14:textId="77777777" w:rsidR="008D479B" w:rsidRDefault="008D479B" w:rsidP="008D479B">
      <w:pPr>
        <w:pStyle w:val="TextoNormalNegritaCentrado"/>
        <w:keepNext/>
      </w:pPr>
      <w:r>
        <w:t>I. Antecedentes</w:t>
      </w:r>
    </w:p>
    <w:p w14:paraId="0274D91C" w14:textId="57B9B64D" w:rsidR="008D479B" w:rsidRDefault="008D479B" w:rsidP="008D479B">
      <w:pPr>
        <w:pStyle w:val="TextoNormalNegritaCentrado"/>
        <w:keepNext/>
      </w:pPr>
    </w:p>
    <w:p w14:paraId="098CAE5D" w14:textId="16DDA5A2" w:rsidR="008D479B" w:rsidRDefault="008D479B" w:rsidP="008D479B">
      <w:pPr>
        <w:pStyle w:val="TextoNormal"/>
      </w:pPr>
      <w:r w:rsidRPr="008D479B">
        <w:rPr>
          <w:rStyle w:val="NumeroAFNegritaCaracter"/>
        </w:rPr>
        <w:t>1</w:t>
      </w:r>
      <w:r>
        <w:t>. Con fecha 6 de octubre de 2021, don Antonio Ortega Fuentes, procurador de los tribunales y de más de cincuenta diputados pertenecientes al Grupo Parlamentario Vox en el Congreso de los Diputados, interpusieron recurso de inconstitucionalidad contra la totalidad del Real Decreto-ley 14/2021, de 6 de julio, de medidas urgentes para la reducción de la temporalidad en el empleo público.</w:t>
      </w:r>
    </w:p>
    <w:p w14:paraId="2995237F" w14:textId="77777777" w:rsidR="008D479B" w:rsidRDefault="008D479B" w:rsidP="008D479B">
      <w:pPr>
        <w:pStyle w:val="TextoNormal"/>
      </w:pPr>
    </w:p>
    <w:p w14:paraId="53F06E14" w14:textId="77777777" w:rsidR="008D479B" w:rsidRDefault="008D479B" w:rsidP="008D479B">
      <w:pPr>
        <w:pStyle w:val="TextoNormal"/>
      </w:pPr>
      <w:r w:rsidRPr="008D479B">
        <w:rPr>
          <w:rStyle w:val="NumeroAFNegritaCaracter"/>
        </w:rPr>
        <w:t>2</w:t>
      </w:r>
      <w:r>
        <w:t>. En el escrito de interposición del recurso de inconstitucionalidad, tras fundamentar que el recurso cumple los requisitos procesales, los recurrentes exponen las razones sustantivas o de fondo por las que consideran que el decreto-ley impugnado no es acorde con la Constitución.</w:t>
      </w:r>
    </w:p>
    <w:p w14:paraId="46106474" w14:textId="77777777" w:rsidR="008D479B" w:rsidRDefault="008D479B" w:rsidP="008D479B">
      <w:pPr>
        <w:pStyle w:val="TextoNormal"/>
      </w:pPr>
    </w:p>
    <w:p w14:paraId="444A7E22" w14:textId="77777777" w:rsidR="008D479B" w:rsidRDefault="008D479B" w:rsidP="008D479B">
      <w:pPr>
        <w:pStyle w:val="TextoNormal"/>
      </w:pPr>
      <w:r>
        <w:t>El recurso de inconstitucionalidad se fundamenta en que el Real Decreto-ley 14/2021, de 6 de julio, vulnera el art. 86 CE. A juicio de los recurrentes, el referido real decreto-ley vulnera el citado precepto constitucional por dos motivos: porque se dictó sin concurrir el presupuesto de hecho que habilita al Gobierno para dictar este tipo de normas y porque infringe los limites materiales que impone a los decretos-leyes el citado art. 86.1 CE.</w:t>
      </w:r>
    </w:p>
    <w:p w14:paraId="39476A23" w14:textId="77777777" w:rsidR="008D479B" w:rsidRDefault="008D479B" w:rsidP="008D479B">
      <w:pPr>
        <w:pStyle w:val="TextoNormal"/>
      </w:pPr>
    </w:p>
    <w:p w14:paraId="2CB971DF" w14:textId="77777777" w:rsidR="008D479B" w:rsidRDefault="008D479B" w:rsidP="008D479B">
      <w:pPr>
        <w:pStyle w:val="TextoNormal"/>
      </w:pPr>
      <w:r>
        <w:t>a) Inexistencia del presupuesto habilitante.</w:t>
      </w:r>
    </w:p>
    <w:p w14:paraId="2C01620D" w14:textId="77777777" w:rsidR="008D479B" w:rsidRDefault="008D479B" w:rsidP="008D479B">
      <w:pPr>
        <w:pStyle w:val="TextoNormal"/>
      </w:pPr>
    </w:p>
    <w:p w14:paraId="6577C9B9" w14:textId="77777777" w:rsidR="008D479B" w:rsidRDefault="008D479B" w:rsidP="008D479B">
      <w:pPr>
        <w:pStyle w:val="TextoNormal"/>
      </w:pPr>
      <w:r>
        <w:t>Los recurrentes exponen, en primer lugar, la doctrina constitucional contenida en el fundamento jurídico 4 de la STC 110/2021, de 13 de mayo, sobre el presupuesto de hecho que, de acuerdo con lo establecido en el art. 86.1 CE, habilita al Gobierno a dictar decretos-leyes —la extraordinaria y urgente necesidad— y posteriormente analizan si en el presente caso se cumple esta exigencia constitucional. El examen de este requisito lo efectúan atendiendo a lo expuesto en el preámbulo de esta norma (tanto en sus apartados I, II y III, como en el IV, específicamente dedicado a justificar que se cumple esta exigencia constitucional), pues consideran que el debate de convalidación en el Congreso de los Diputados nada añade a la justificación que contiene el preámbulo.</w:t>
      </w:r>
    </w:p>
    <w:p w14:paraId="1514BC3A" w14:textId="77777777" w:rsidR="008D479B" w:rsidRDefault="008D479B" w:rsidP="008D479B">
      <w:pPr>
        <w:pStyle w:val="TextoNormal"/>
      </w:pPr>
    </w:p>
    <w:p w14:paraId="69D7C3AC" w14:textId="77777777" w:rsidR="008D479B" w:rsidRDefault="008D479B" w:rsidP="008D479B">
      <w:pPr>
        <w:pStyle w:val="TextoNormal"/>
      </w:pPr>
      <w:r>
        <w:t>Según aducen, la norma recurrida reconoce que la reforma que efectúa es una “reforma estructural” y que a través de ella lo que se pretende afrontar es un problema histórico de las administraciones públicas, esto es, el manifiesto abuso de la temporalidad en el empleo público. Los recurrentes consideran que las razones en las que el preámbulo justifica la necesidad de dictar esta norma no son imprevisibles ni difíciles de prever, sino que se refieren a un fenómeno observable desde hace varias décadas. El recurso señala, en concreto, que estos motivos son la consolidación del estado del bienestar y el intenso proceso de descentralización territorial que se llevó a cabo durante las dos primeras décadas de la vigencia de la Constitución, lo que dio lugar a un intenso crecimiento del empleo público que obligó a reforzar la dotación de personal al servicio de las administraciones públicas. En el preámbulo se constata igualmente que este incrementó de personal se efectuó creando empleo temporal debido a razones presupuestarias —no se dotaban plazas de nuevo ingreso—; la insuficiente utilización de la planificación estratégica en la ordenación del empleo público, la falta de regularidad en las convocatorias y del procedimiento de selección, así como la lentitud de estos procesos, fue lo que determinó que la tasa de temporalidad en el sector público fuera “estructural”, llegando al 50 por 100 en algunos sectores.</w:t>
      </w:r>
    </w:p>
    <w:p w14:paraId="1B95DF66" w14:textId="77777777" w:rsidR="008D479B" w:rsidRDefault="008D479B" w:rsidP="008D479B">
      <w:pPr>
        <w:pStyle w:val="TextoNormal"/>
      </w:pPr>
    </w:p>
    <w:p w14:paraId="17A1BABC" w14:textId="77777777" w:rsidR="008D479B" w:rsidRDefault="008D479B" w:rsidP="008D479B">
      <w:pPr>
        <w:pStyle w:val="TextoNormal"/>
      </w:pPr>
      <w:r>
        <w:t>Los recurrentes afirman que obviamente, nada de lo expuesto resulta ni imprevisible ni difícil de prever, sino que refiere un fenómeno fácilmente observable desde hace al menos varias décadas y que, por lo tanto, nunca puede constituir el presupuesto habilitante para acudir a la norma de excepción del artículo 86 CE.</w:t>
      </w:r>
    </w:p>
    <w:p w14:paraId="475BA8B8" w14:textId="77777777" w:rsidR="008D479B" w:rsidRDefault="008D479B" w:rsidP="008D479B">
      <w:pPr>
        <w:pStyle w:val="TextoNormal"/>
      </w:pPr>
    </w:p>
    <w:p w14:paraId="55B02ACC" w14:textId="77777777" w:rsidR="008D479B" w:rsidRDefault="008D479B" w:rsidP="008D479B">
      <w:pPr>
        <w:pStyle w:val="TextoNormal"/>
      </w:pPr>
      <w:r>
        <w:t>De igual modo, entienden que la referencia que hace el preámbulo del real decreto-ley impugnado a la Directiva 1999/70/CE del Consejo, de 28 de junio de 1999, relativa al Acuerdo marco de la CES, la UNICE y el CEEP sobre el trabajo de duración determinada y a su cláusula 5 en la que se prevé la adopción de medidas destinadas a evitar la utilización abusiva de nombramientos temporales, no puede ser una circunstancia difícil de prever que justifique dictar el real decreto-ley recurrido.</w:t>
      </w:r>
    </w:p>
    <w:p w14:paraId="1B7BB2CA" w14:textId="77777777" w:rsidR="008D479B" w:rsidRDefault="008D479B" w:rsidP="008D479B">
      <w:pPr>
        <w:pStyle w:val="TextoNormal"/>
      </w:pPr>
    </w:p>
    <w:p w14:paraId="31155B53" w14:textId="77777777" w:rsidR="008D479B" w:rsidRDefault="008D479B" w:rsidP="008D479B">
      <w:pPr>
        <w:pStyle w:val="TextoNormal"/>
      </w:pPr>
      <w:r>
        <w:t>Sostienen también que esta justificación no puede encontrarse, como se afirma en el referido preámbulo, en “la doctrina que ha fijado el Tribunal de Justicia de la Unión Europea en esta materia”. Consideran que esta justificación “es puramente formal” y, según afirman, “más bien parece una simple excusa”. Entienden que el reproche que contiene la STJUE de 3 de junio de 2021 se refiere a los órganos jurisdiccionales nacionales, no tanto al legislador y que, además, la STS 649/2021 ha aplicado la doctrina europea rectificando la jurisprudencia interna.</w:t>
      </w:r>
    </w:p>
    <w:p w14:paraId="645D3A46" w14:textId="77777777" w:rsidR="008D479B" w:rsidRDefault="008D479B" w:rsidP="008D479B">
      <w:pPr>
        <w:pStyle w:val="TextoNormal"/>
      </w:pPr>
    </w:p>
    <w:p w14:paraId="46BFFD77" w14:textId="77777777" w:rsidR="008D479B" w:rsidRDefault="008D479B" w:rsidP="008D479B">
      <w:pPr>
        <w:pStyle w:val="TextoNormal"/>
      </w:pPr>
      <w:r>
        <w:t>Los recurrentes examinan los preceptos que contiene el decreto-ley recurrido. En relación con su art. 1, señalan que este precepto modifica los arts. 10 y 11 del texto refundido de la Ley del estatuto básico del empleado público (en adelante TRLEEP) e introduce una nueva disposición adicional, la decimoséptima. Afirman que la reforma del art. 10 únicamente tiene la necesaria conexión con la situación de urgencia expresada en el preámbulo —esto es, atajar la excesiva temporalidad en las administraciones públicas— en la parte que fija un plazo de un máximo de tres años en los contratos de interinidad [art. 10.1 a) y c) y 4]. Entienden, por el contrario, que la modificación del art. 10.1 d) va en el sentido contrario a la supuesta urgencia declarada, al aumentar el plazo máximo de interinidad por exceso o acumulación de tareas. Alegan, además, que la reforma del art. 10.2 se limita a añadir a los principios de “igualdad, mérito y capacidad”, que antes recogía el apartado 3 del art. 10, el de “celeridad”. Esta modificación, según los recurrentes, no justifica acudir a la excepcional norma de urgencia, pues el principio añadido es un principio general de la actuación administrativa.</w:t>
      </w:r>
    </w:p>
    <w:p w14:paraId="124DE9DA" w14:textId="77777777" w:rsidR="008D479B" w:rsidRDefault="008D479B" w:rsidP="008D479B">
      <w:pPr>
        <w:pStyle w:val="TextoNormal"/>
      </w:pPr>
    </w:p>
    <w:p w14:paraId="119A1276" w14:textId="77777777" w:rsidR="008D479B" w:rsidRDefault="008D479B" w:rsidP="008D479B">
      <w:pPr>
        <w:pStyle w:val="TextoNormal"/>
      </w:pPr>
      <w:r>
        <w:t>Por lo que se refiere a la reforma del art. 11 TRLEEP, que tiene como objeto garantizar los principios de igualdad, mérito y capacidad en la selección de personal laboral, señalan que la aplicación de estos principios a este tipo de personal estaba ya prevista, con carácter general en el art. 1.3 b) TRLEEP, aplicable al personal laboral de conformidad con el art. 2.1 TRLEEP.</w:t>
      </w:r>
    </w:p>
    <w:p w14:paraId="78A989DA" w14:textId="77777777" w:rsidR="008D479B" w:rsidRDefault="008D479B" w:rsidP="008D479B">
      <w:pPr>
        <w:pStyle w:val="TextoNormal"/>
      </w:pPr>
    </w:p>
    <w:p w14:paraId="5ADC32F0" w14:textId="77777777" w:rsidR="008D479B" w:rsidRDefault="008D479B" w:rsidP="008D479B">
      <w:pPr>
        <w:pStyle w:val="TextoNormal"/>
      </w:pPr>
      <w:r>
        <w:t>Respecto de la disposición adicional decimoséptima que se introduce en el texto refundido de la Ley del estatuto del empleado público, argumentan que la previsión en la que se establece la nulidad de los actos, pactos, acuerdos o disposiciones que supongan el incumplimiento del plazo máximo de permanencia es “inocua” y no era urgente, ya que, a su juicio esta consecuencia resultaba de la sentencia del Tribunal Supremo antes citada (STS 649/2021). También afirman que la indemnización que prevé esta norma no guarda conexión ni con el incumplimiento del acuerdo marco ni con el de la jurisprudencia comunitaria.</w:t>
      </w:r>
    </w:p>
    <w:p w14:paraId="747CC098" w14:textId="77777777" w:rsidR="008D479B" w:rsidRDefault="008D479B" w:rsidP="008D479B">
      <w:pPr>
        <w:pStyle w:val="TextoNormal"/>
      </w:pPr>
    </w:p>
    <w:p w14:paraId="6D515CDB" w14:textId="77777777" w:rsidR="008D479B" w:rsidRDefault="008D479B" w:rsidP="008D479B">
      <w:pPr>
        <w:pStyle w:val="TextoNormal"/>
      </w:pPr>
      <w:r>
        <w:t>Los recurrentes insisten en que la única reforma que introduce el art. 1 del real decreto-ley impugnado que está conectada con la urgencia que justifica la norma es el límite de tres años. No obstante, consideran que como este límite ya lo había establecido la jurisprudencia interna no concurría la extraordinaria y urgente necesidad, por lo que la reforma legal de esta cuestión se hubiera podido efectuar mediante la tramitación de una proposición o proyecto de ley, aunque fuese por la vía de urgencia, pero no mediante un decreto-ley.</w:t>
      </w:r>
    </w:p>
    <w:p w14:paraId="514C0301" w14:textId="77777777" w:rsidR="008D479B" w:rsidRDefault="008D479B" w:rsidP="008D479B">
      <w:pPr>
        <w:pStyle w:val="TextoNormal"/>
      </w:pPr>
    </w:p>
    <w:p w14:paraId="5D77C567" w14:textId="77777777" w:rsidR="008D479B" w:rsidRDefault="008D479B" w:rsidP="008D479B">
      <w:pPr>
        <w:pStyle w:val="TextoNormal"/>
      </w:pPr>
      <w:r>
        <w:t>Respecto del art. 2 del Real Decreto-ley 14/2021, que regula los procesos de estabilización de empleo temporal, alegan que las previsiones contenidas en esta norma no guardan conexión con la sentencia del Tribunal de Justicia de la Unión Europea citada en el preámbulo, por lo que hubiera podido establecerse a través de una ley.</w:t>
      </w:r>
    </w:p>
    <w:p w14:paraId="73BECFDA" w14:textId="77777777" w:rsidR="008D479B" w:rsidRDefault="008D479B" w:rsidP="008D479B">
      <w:pPr>
        <w:pStyle w:val="TextoNormal"/>
      </w:pPr>
    </w:p>
    <w:p w14:paraId="7D83AF12" w14:textId="77777777" w:rsidR="008D479B" w:rsidRDefault="008D479B" w:rsidP="008D479B">
      <w:pPr>
        <w:pStyle w:val="TextoNormal"/>
      </w:pPr>
      <w:r>
        <w:t>Tampoco consideran que justifique el dictado de esta norma la referencia que se hace en el preámbulo del real decreto-ley recurrido al componente 11 del plan de recuperación, transformación y resiliencia, presentado el pasado 30 de abril, por el que España se comprometió a adoptar una reforma normativa al término del primer semestre de 2021 que articulase medidas eficaces y disuasorias para poner fin a la excesiva temporalidad en el empleo público. Según afirman, no han encontrado ninguna referencia en el referido plan a la supuesta obligación del Estado de tramitar y aprobar la reforma que establece la norma recurrida antes de finalizar el primer semestre de 2021. Ni tampoco en el Reglamento (UE) 2021/241, de 12 de febrero de 2021, que condiciona la liberalización de fondos en el marco del mecanismo al cumplimiento satisfactorio por parte de los Estados miembros de los hitos y objetivos pertinentes que figuran en los planes de recuperación y resiliencia justifica el real decreto-ley.</w:t>
      </w:r>
    </w:p>
    <w:p w14:paraId="1B224D4A" w14:textId="77777777" w:rsidR="008D479B" w:rsidRDefault="008D479B" w:rsidP="008D479B">
      <w:pPr>
        <w:pStyle w:val="TextoNormal"/>
      </w:pPr>
    </w:p>
    <w:p w14:paraId="6BCBEF88" w14:textId="77777777" w:rsidR="008D479B" w:rsidRDefault="008D479B" w:rsidP="008D479B">
      <w:pPr>
        <w:pStyle w:val="TextoNormal"/>
      </w:pPr>
      <w:r>
        <w:t xml:space="preserve">Consideran que lo que dice el preámbulo no es cierto. El Plan se publicó el 30 de abril de 2021 y contempla una importante modernización de la administración, entre otros elementos, orientada a reducir la temporalidad en el sector público en su componente 11. El real decreto-ley no da cumplimiento al objetivo de reforma de la administración y no aborda la problemática del componente 11, sin que ello haya sido obstáculo para que España acceda a los fondos del programa </w:t>
      </w:r>
      <w:r w:rsidRPr="008D479B">
        <w:rPr>
          <w:i/>
        </w:rPr>
        <w:t>Next Generation</w:t>
      </w:r>
      <w:r>
        <w:t xml:space="preserve"> EU, el mayor instrumento de estímulo económico jamás financiado por la Unión Europea (anexo del plan). No existe ninguna referencia en el plan a la necesidad de tramitar la reforma antes de finalizar el primer semestre del 2021 —ni tampoco en la norma comunitaria— y aunque existiera tal referencia “resulta absurdo y radicalmente contrario al art. 86.1 CE aceptar que sea el propio Gobierno el que crea, por decisión propia, el presupuesto de la urgencia que le permite activar el mecanismo excepcional del decreto-ley”.</w:t>
      </w:r>
    </w:p>
    <w:p w14:paraId="6C398D7E" w14:textId="77777777" w:rsidR="008D479B" w:rsidRDefault="008D479B" w:rsidP="008D479B">
      <w:pPr>
        <w:pStyle w:val="TextoNormal"/>
      </w:pPr>
    </w:p>
    <w:p w14:paraId="334DB7E9" w14:textId="77777777" w:rsidR="008D479B" w:rsidRDefault="008D479B" w:rsidP="008D479B">
      <w:pPr>
        <w:pStyle w:val="TextoNormal"/>
      </w:pPr>
      <w:r>
        <w:t>Señalan, además, que no hay ninguna exigencia en la normativa comunitaria que imponga la aprobación de un texto legal para reducir la temporalidad en la administración pública antes del primer semestre de 2021. Consideran también que, si tal obligación la ha asumido voluntariamente el Gobierno, esta circunstancia no puede determinar que exista una extraordinaria y urgente necesidad, pues, si así fuera, se estaría dejando en manos del ejecutivo la creación artificiosa del presupuesto habilitante para el dictado de normas de urgencia con rango de ley. Para los recurrentes es evidente que esta circunstancia no puede determinar la extraordinaria y urgente necesidad a la que alude el art. 86.1 CE, que, según afirman, obedece a circunstancias que tienen cierto grado de imprevisibilidad y esta imprevisibilidad no puede concurrir cuando es el propio ejecutivo el que crea el presupuesto en el que pretende amparar la urgente necesidad que justifica dictar este tipo de normas.</w:t>
      </w:r>
    </w:p>
    <w:p w14:paraId="40756EF7" w14:textId="77777777" w:rsidR="008D479B" w:rsidRDefault="008D479B" w:rsidP="008D479B">
      <w:pPr>
        <w:pStyle w:val="TextoNormal"/>
      </w:pPr>
    </w:p>
    <w:p w14:paraId="410ECF05" w14:textId="77777777" w:rsidR="008D479B" w:rsidRDefault="008D479B" w:rsidP="008D479B">
      <w:pPr>
        <w:pStyle w:val="TextoNormal"/>
      </w:pPr>
      <w:r>
        <w:t>Entienden, por otro lado, que los procesos de estabilización de empleo temporal que regula el art. 2 no pueden considerarse urgentes dados los plazos de ejecución que se fijan en el propio real decreto-ley impugnado. El apartado 2 de este precepto dispone que “[l]as ofertas de empleo que articulen los procesos de estabilización contemplados en el apartado 1, […] deberán aprobarse y publicarse en los respectivos diarios oficiales antes de 31 de diciembre de 2021” y también establece que “[l]a resolución de estos procesos selectivos deberá finalizar antes de 31 de diciembre de 2024”. En su opinión, una norma que prevé un plazo tan amplio de ejecución no presenta la urgencia que habilita al Gobierno a dictar decretos-leyes.</w:t>
      </w:r>
    </w:p>
    <w:p w14:paraId="6AA17F49" w14:textId="77777777" w:rsidR="008D479B" w:rsidRDefault="008D479B" w:rsidP="008D479B">
      <w:pPr>
        <w:pStyle w:val="TextoNormal"/>
      </w:pPr>
    </w:p>
    <w:p w14:paraId="73D05422" w14:textId="77777777" w:rsidR="008D479B" w:rsidRDefault="008D479B" w:rsidP="008D479B">
      <w:pPr>
        <w:pStyle w:val="TextoNormal"/>
      </w:pPr>
      <w:r>
        <w:t>A juicio de los recurrentes, el art. 86.1 CE atribuye al ejecutivo la potestad de dictar normas con rango de ley cuando resulte imprescindible acudir a este instrumento normativo para hacer frente a situaciones absolutamente perentorias, que no pueden esperar el tiempo que exige la tramitación parlamentaria de las leyes, por lo que consideran que en el presente caso no concurre el presupuesto habilitante para aprobar la norma recurrida porque a través de ella se pretende atajar un problema que se arrastra desde hace décadas. Sostienen, además, que la situación que pretende resolverse no requiere acciones inmediatas, sino que debe abordarse a medio-largo plazo, a través de una planificación estratégica.</w:t>
      </w:r>
    </w:p>
    <w:p w14:paraId="05E107AF" w14:textId="77777777" w:rsidR="008D479B" w:rsidRDefault="008D479B" w:rsidP="008D479B">
      <w:pPr>
        <w:pStyle w:val="TextoNormal"/>
      </w:pPr>
    </w:p>
    <w:p w14:paraId="2262F040" w14:textId="77777777" w:rsidR="008D479B" w:rsidRDefault="008D479B" w:rsidP="008D479B">
      <w:pPr>
        <w:pStyle w:val="TextoNormal"/>
      </w:pPr>
      <w:r>
        <w:t>Por todo ello, afirman que el ejecutivo, al dictar el real decreto-ley impugnado, ha hecho un uso abusivo de este instrumento legislativo que invade las funciones del poder legislativo y contraviene el art. 86 CE.</w:t>
      </w:r>
    </w:p>
    <w:p w14:paraId="60A54EFE" w14:textId="77777777" w:rsidR="008D479B" w:rsidRDefault="008D479B" w:rsidP="008D479B">
      <w:pPr>
        <w:pStyle w:val="TextoNormal"/>
      </w:pPr>
    </w:p>
    <w:p w14:paraId="2D108327" w14:textId="77777777" w:rsidR="008D479B" w:rsidRDefault="008D479B" w:rsidP="008D479B">
      <w:pPr>
        <w:pStyle w:val="TextoNormal"/>
      </w:pPr>
      <w:r>
        <w:t>b) Vulneración de los límites materiales que impone el art. 86.1 CE a los decretos-leyes.</w:t>
      </w:r>
    </w:p>
    <w:p w14:paraId="0456C168" w14:textId="77777777" w:rsidR="008D479B" w:rsidRDefault="008D479B" w:rsidP="008D479B">
      <w:pPr>
        <w:pStyle w:val="TextoNormal"/>
      </w:pPr>
    </w:p>
    <w:p w14:paraId="05E9984D" w14:textId="77777777" w:rsidR="008D479B" w:rsidRDefault="008D479B" w:rsidP="008D479B">
      <w:pPr>
        <w:pStyle w:val="TextoNormal"/>
      </w:pPr>
      <w:r>
        <w:t>Los recurrentes aducen que el art. 2 del real decreto-ley, al regular un procedimiento de acceso a la función pública, vulnera el art. 86.1 CE porque este precepto constitucional establece que los decretos-leyes no pueden afectar “a los derechos, deberes y ciudadanos regulados en el Título I”. Sostienen que el procedimiento previsto en esta norma, al regular un concurso-oposición y establecer que en la fase de concurso la valoración será del 40 por 100 de la puntuación total “en la que se tendrá en cuenta mayoritariamente la experiencia en el cuerpo, escala, categoría o equivalente de que se trate” está estableciendo una medida que delimita el derecho fundamental que garantiza el art. 23.2 CE y que afecta a un aspecto esencial de ese derecho fundamental. Esta limitación, en su opinión, se encuentra vedada a la norma de urgencia y por esta razón entienden que este precepto es inconstitucional también por este motivo.</w:t>
      </w:r>
    </w:p>
    <w:p w14:paraId="0ED9A019" w14:textId="77777777" w:rsidR="008D479B" w:rsidRDefault="008D479B" w:rsidP="008D479B">
      <w:pPr>
        <w:pStyle w:val="TextoNormal"/>
      </w:pPr>
    </w:p>
    <w:p w14:paraId="760A7749" w14:textId="77777777" w:rsidR="008D479B" w:rsidRDefault="008D479B" w:rsidP="008D479B">
      <w:pPr>
        <w:pStyle w:val="TextoNormal"/>
      </w:pPr>
      <w:r>
        <w:t>Consideran que dicha valoración además “presenta dificultades en su encaje en el artículo 23.2 CE, en cuanto la dimensión cuantitativa se encuentra en el límite de lo que puede considerarse tolerable”. Parece evidente, a juicio de los recurrentes, que una medida de este tipo, que delimita un derecho fundamental y regula un aspecto esencial del mismo —cual es el propio acceso que reconoce el artículo 23.2 CE—, excede del ámbito material autorizado a la norma de urgencia por el artículo 86.1 CE.</w:t>
      </w:r>
    </w:p>
    <w:p w14:paraId="2EBE8A49" w14:textId="77777777" w:rsidR="008D479B" w:rsidRDefault="008D479B" w:rsidP="008D479B">
      <w:pPr>
        <w:pStyle w:val="TextoNormal"/>
      </w:pPr>
    </w:p>
    <w:p w14:paraId="0B50EC35" w14:textId="505CB569" w:rsidR="008D479B" w:rsidRDefault="008D479B" w:rsidP="008D479B">
      <w:pPr>
        <w:pStyle w:val="TextoNormal"/>
      </w:pPr>
      <w:r>
        <w:t>Por todo ello, solicitan al tribunal que admita el presente recurso de inconstitucionalidad y tras los trámites de rigor dicte sentencia por la que se estime íntegramente el recurso y, en consecuencia, declare la inconstitucionalidad y nulidad del Real Decreto-ley 14/2021, de 6 de julio, de medidas urgentes para la reducción de la temporalidad en el empleo público.</w:t>
      </w:r>
    </w:p>
    <w:p w14:paraId="4B84CC08" w14:textId="77777777" w:rsidR="008D479B" w:rsidRDefault="008D479B" w:rsidP="008D479B">
      <w:pPr>
        <w:pStyle w:val="TextoNormal"/>
      </w:pPr>
    </w:p>
    <w:p w14:paraId="1172BBF7" w14:textId="286BB5BB" w:rsidR="008D479B" w:rsidRDefault="008D479B" w:rsidP="008D479B">
      <w:pPr>
        <w:pStyle w:val="TextoNormal"/>
      </w:pPr>
      <w:r w:rsidRPr="008D479B">
        <w:rPr>
          <w:rStyle w:val="NumeroAFNegritaCaracter"/>
        </w:rPr>
        <w:t>3</w:t>
      </w:r>
      <w:r>
        <w:t>. Por providencia de 27 de enero de 2022, el Pleno, a propuesta de la Sección Tercera, acordó admitir a trámite el recurso y dar traslado de la demanda y los documentos presentados, conforme establece el art. 34 de la Ley Orgánica del Tribunal Constitucional (LOTC), al Congreso de los Diputados y al Senado, por conducto de sus presidentes, y al Gobierno, por conducto del ministro de Justicia, al objeto de que, en el plazo de quince días, pudieran personarse en el procedimiento y formular alegaciones. Asimismo, se acordó publicar la incoación del procedimiento en el “Boletín Oficial del Estado”, lo que se verificó en el núm. 28, de 2 de febrero de 2022.</w:t>
      </w:r>
    </w:p>
    <w:p w14:paraId="56247F8A" w14:textId="77777777" w:rsidR="008D479B" w:rsidRDefault="008D479B" w:rsidP="008D479B">
      <w:pPr>
        <w:pStyle w:val="TextoNormal"/>
      </w:pPr>
    </w:p>
    <w:p w14:paraId="49475C6D" w14:textId="25B348B7" w:rsidR="008D479B" w:rsidRDefault="008D479B" w:rsidP="008D479B">
      <w:pPr>
        <w:pStyle w:val="TextoNormal"/>
      </w:pPr>
      <w:r w:rsidRPr="008D479B">
        <w:rPr>
          <w:rStyle w:val="NumeroAFNegritaCaracter"/>
        </w:rPr>
        <w:t>4</w:t>
      </w:r>
      <w:r>
        <w:t>. Por escritos registrados los días 10 y 17 de febrero de 2022, el presidente del Senado y la presidenta del Congreso de los Diputados, respectivamente, comunicaron los acuerdos de personación de dichas cámaras en el procedimiento y ofrecieron su colaboración a los efectos del art. 88.1 LOTC.</w:t>
      </w:r>
    </w:p>
    <w:p w14:paraId="1DE255CE" w14:textId="77777777" w:rsidR="008D479B" w:rsidRDefault="008D479B" w:rsidP="008D479B">
      <w:pPr>
        <w:pStyle w:val="TextoNormal"/>
      </w:pPr>
    </w:p>
    <w:p w14:paraId="6D0E6A39" w14:textId="7BC7DE5B" w:rsidR="008D479B" w:rsidRDefault="008D479B" w:rsidP="008D479B">
      <w:pPr>
        <w:pStyle w:val="TextoNormal"/>
      </w:pPr>
      <w:r w:rsidRPr="008D479B">
        <w:rPr>
          <w:rStyle w:val="NumeroAFNegritaCaracter"/>
        </w:rPr>
        <w:t>5</w:t>
      </w:r>
      <w:r>
        <w:t>. Mediante escrito de 18 de febrero de 2022, el abogado del Estado, en la representación que legalmente ostenta, se personó en nombre del Gobierno y solicitó prórroga por el máximo legal del plazo concedido para formular alegaciones. Mediante diligencia de ordenación de 21 de febrero de 2022 de la Secretaría de Justicia, se tuvo por personado al abogado del Estado y se prorrogó, según se había interesado, en ocho días el plazo concedido por providencia de 27 de enero de 2022.</w:t>
      </w:r>
    </w:p>
    <w:p w14:paraId="47C98CAC" w14:textId="77777777" w:rsidR="008D479B" w:rsidRDefault="008D479B" w:rsidP="008D479B">
      <w:pPr>
        <w:pStyle w:val="TextoNormal"/>
      </w:pPr>
    </w:p>
    <w:p w14:paraId="320D6819" w14:textId="77777777" w:rsidR="008D479B" w:rsidRDefault="008D479B" w:rsidP="008D479B">
      <w:pPr>
        <w:pStyle w:val="TextoNormal"/>
      </w:pPr>
      <w:r w:rsidRPr="008D479B">
        <w:rPr>
          <w:rStyle w:val="NumeroAFNegritaCaracter"/>
        </w:rPr>
        <w:t>6</w:t>
      </w:r>
      <w:r>
        <w:t>. El escrito de alegaciones del abogado del Estado se registró en el Tribunal el 3 de marzo de 2022.</w:t>
      </w:r>
    </w:p>
    <w:p w14:paraId="2FBA3F0E" w14:textId="77777777" w:rsidR="008D479B" w:rsidRDefault="008D479B" w:rsidP="008D479B">
      <w:pPr>
        <w:pStyle w:val="TextoNormal"/>
      </w:pPr>
    </w:p>
    <w:p w14:paraId="0FE85FD0" w14:textId="77777777" w:rsidR="008D479B" w:rsidRDefault="008D479B" w:rsidP="008D479B">
      <w:pPr>
        <w:pStyle w:val="TextoNormal"/>
      </w:pPr>
      <w:r>
        <w:t>Después de sintetizar los motivos del recurso e indicar que aporta como documentos anejos 1 y 2, la memoria de análisis del impacto normativo y el “Diario de Sesiones” correspondiente a la sesión plenaria del Congreso de los Diputados de 21 de julio de 2021, en que se aprobó la convalidación del Real Decreto-ley 14/2021 impugnado, acordándose su tramitación como proyecto de ley por el procedimiento de urgencia, expone la doctrina constitucional sobre el presupuesto habilitante de la extraordinaria y urgente necesidad.</w:t>
      </w:r>
    </w:p>
    <w:p w14:paraId="6B433911" w14:textId="77777777" w:rsidR="008D479B" w:rsidRDefault="008D479B" w:rsidP="008D479B">
      <w:pPr>
        <w:pStyle w:val="TextoNormal"/>
      </w:pPr>
    </w:p>
    <w:p w14:paraId="5251BDDA" w14:textId="77777777" w:rsidR="008D479B" w:rsidRDefault="008D479B" w:rsidP="008D479B">
      <w:pPr>
        <w:pStyle w:val="TextoNormal"/>
      </w:pPr>
      <w:r>
        <w:t>Considera que nos encontramos ante el supuesto de una regulación basada en una apreciación gubernamental, dentro de su legítimo margen de discrecionalidad de ordenación de la realidad. El hecho de que se considere una reforma estructural no excluye la concurrencia del presupuesto habilitante tras los últimos pronunciamientos judiciales, para cuyo tratamiento el decreto-ley representa un instrumento constitucionalmente lícito, no encontrándose circunscrito a situaciones de necesidad absolutas (STC 6/1983, de 4 de febrero) o que tengan su origen en la propia inactividad del Gobierno (STC 1/2012, de 13 de enero).</w:t>
      </w:r>
    </w:p>
    <w:p w14:paraId="3A8D3B1F" w14:textId="77777777" w:rsidR="008D479B" w:rsidRDefault="008D479B" w:rsidP="008D479B">
      <w:pPr>
        <w:pStyle w:val="TextoNormal"/>
      </w:pPr>
    </w:p>
    <w:p w14:paraId="35B69E27" w14:textId="77777777" w:rsidR="008D479B" w:rsidRDefault="008D479B" w:rsidP="008D479B">
      <w:pPr>
        <w:pStyle w:val="TextoNormal"/>
      </w:pPr>
      <w:r>
        <w:t>Resalta a continuación pasajes de la exposición de motivos que considera relevantes para justificar la regulación de urgencia. En tal sentido, destaca que “como dice, o se constata como un hecho o circunstancia fáctica que la norma en tanto que norma debe acometer, los procesos de selección hayan sido excesivamente lentos y dilatados en el tiempo, es algo que apunta una inicial razón de urgencia y de premura en tramitar y aprobar cuanto antes” una reforma que incida en esa anomalía, “fin de luchar contra una situación consolidada y permanente de precariedad habitual; contra ese problema como objetivo esencial”.</w:t>
      </w:r>
    </w:p>
    <w:p w14:paraId="14C81EE1" w14:textId="77777777" w:rsidR="008D479B" w:rsidRDefault="008D479B" w:rsidP="008D479B">
      <w:pPr>
        <w:pStyle w:val="TextoNormal"/>
      </w:pPr>
    </w:p>
    <w:p w14:paraId="2F6656A4" w14:textId="77777777" w:rsidR="008D479B" w:rsidRDefault="008D479B" w:rsidP="008D479B">
      <w:pPr>
        <w:pStyle w:val="TextoNormal"/>
      </w:pPr>
      <w:r>
        <w:t>Por otra parte, destaca que existía la premura de adecuar la legislación española a los criterios de la Unión Europea expuestos en la STJUE de 3 de junio, asunto C-726/19, que propició la sentencia de la Sala de lo Social del Tribunal Supremo 649/2021, de 28 de junio, y en la que se cuestiona la normativa nacional que no establece medidas de prevención frente a la utilización abusiva de sucesivos contratos de interinidad de duración determinada no limitados en su duración ni en el número de renovaciones sucesivas, celebrados a la espera de la organización de procesos selectivos y que responden a necesidades no temporales sino duraderas, exigiendo que el ordenamiento nacional contenga otra medida efectiva para evitar y sancionar, en su caso, la utilización abusiva de sucesivos contratos de duración determinada. Destaca que la sentencia del Tribunal Supremo 649/2021, estableció que la superación del plazo de tres años no supone una novación de los contratos de interinidad por vacante ni la generación de indemnización alguna.</w:t>
      </w:r>
    </w:p>
    <w:p w14:paraId="71AA3CD9" w14:textId="77777777" w:rsidR="008D479B" w:rsidRDefault="008D479B" w:rsidP="008D479B">
      <w:pPr>
        <w:pStyle w:val="TextoNormal"/>
      </w:pPr>
    </w:p>
    <w:p w14:paraId="0EC6CB88" w14:textId="77777777" w:rsidR="008D479B" w:rsidRDefault="008D479B" w:rsidP="008D479B">
      <w:pPr>
        <w:pStyle w:val="TextoNormal"/>
      </w:pPr>
      <w:r>
        <w:t>Indica que la ausencia de medidas disuasorias frente al abuso de la temporalidad se subsana en el art. 1 del Real Decreto-ley 14/2021, que responde a la necesidad de una intervención urgente a fin de precisar el régimen jurídico aplicable que conjugue el efecto útil de la normativa europea con asegurar los principios constitucionales de igualdad, mérito y capacidad en el acceso al empleo público. La necesidad de la norma resulta de establecer consecuencias jurídicas al caso de finalización de la relación interina, mantenida en muchos supuestos largamente, convirtiendo la relación en indefinida modificándose por el art. 1 del real decreto-ley la disposición adicional decimoséptima del texto refundido de la Ley del estatuto del empleado público.</w:t>
      </w:r>
    </w:p>
    <w:p w14:paraId="3310CBE9" w14:textId="77777777" w:rsidR="008D479B" w:rsidRDefault="008D479B" w:rsidP="008D479B">
      <w:pPr>
        <w:pStyle w:val="TextoNormal"/>
      </w:pPr>
    </w:p>
    <w:p w14:paraId="0F6EA9C8" w14:textId="77777777" w:rsidR="008D479B" w:rsidRDefault="008D479B" w:rsidP="008D479B">
      <w:pPr>
        <w:pStyle w:val="TextoNormal"/>
      </w:pPr>
      <w:r>
        <w:t>Se trata de una modificación necesaria para alcanzar el objetivo de modernización de las administraciones públicas. Los fondos del plan destinados a lograr la modernización de las administraciones públicas tienen como uno de sus ejes la reducción de la tasa de temporalidad en el denominado componente 11. De modo que el real decreto-ley establece como medidas la configuración legal de duraciones máximas en el desempeño de funciones o relaciones temporales con consecuencias en caso de incumplimiento y previsión de sanciones o resarcimiento en el caso de utilización abusiva o concatenación sucesiva de contratos o relaciones de trabajo de duración determinada.</w:t>
      </w:r>
    </w:p>
    <w:p w14:paraId="37579BCD" w14:textId="77777777" w:rsidR="008D479B" w:rsidRDefault="008D479B" w:rsidP="008D479B">
      <w:pPr>
        <w:pStyle w:val="TextoNormal"/>
      </w:pPr>
    </w:p>
    <w:p w14:paraId="19ECA2D7" w14:textId="77777777" w:rsidR="008D479B" w:rsidRDefault="008D479B" w:rsidP="008D479B">
      <w:pPr>
        <w:pStyle w:val="TextoNormal"/>
      </w:pPr>
      <w:r>
        <w:t>La incorporación por el derecho positivo de criterios jurisprudenciales consolidados no altera la apreciación de la concurrencia del presupuesto habilitante y no exime del deber de abordar una regulación positiva con la finalidad de incorporar el criterio consolidado. El Gobierno en su margen de libertad de apreciación del presupuesto habilitante adopta una solución frente a una situación anómala, que la sociedad demanda materializar con prontitud. La reforma a través de los procedimientos ordinarios sería de tramitación más prolija, tardando en el tiempo, de modo que la reforma de aspectos imprescindibles mediante el real decreto-ley permitiría luego buscar con más calma soluciones de más calado.</w:t>
      </w:r>
    </w:p>
    <w:p w14:paraId="14483972" w14:textId="77777777" w:rsidR="008D479B" w:rsidRDefault="008D479B" w:rsidP="008D479B">
      <w:pPr>
        <w:pStyle w:val="TextoNormal"/>
      </w:pPr>
    </w:p>
    <w:p w14:paraId="5B92891A" w14:textId="77777777" w:rsidR="008D479B" w:rsidRDefault="008D479B" w:rsidP="008D479B">
      <w:pPr>
        <w:pStyle w:val="TextoNormal"/>
      </w:pPr>
      <w:r>
        <w:t>La regulación contenida en el art. 2.2 del real decreto-ley, pese a no establecer la ejecución instantánea incide directamente en la situación preexistente configurando legalmente la oferta de empleo o de prestación de servicios, constituyendo un complemento necesario de la aplicación de la norma sustantiva.</w:t>
      </w:r>
    </w:p>
    <w:p w14:paraId="3CD5C6DC" w14:textId="77777777" w:rsidR="008D479B" w:rsidRDefault="008D479B" w:rsidP="008D479B">
      <w:pPr>
        <w:pStyle w:val="TextoNormal"/>
      </w:pPr>
    </w:p>
    <w:p w14:paraId="459968BB" w14:textId="77777777" w:rsidR="008D479B" w:rsidRDefault="008D479B" w:rsidP="008D479B">
      <w:pPr>
        <w:pStyle w:val="TextoNormal"/>
      </w:pPr>
      <w:r>
        <w:t>Finalmente considera que el Real Decreto-ley 14/2021 no incide en ámbitos constitucionalmente vedados, conforme a lo dispuesto en el art. 86.1 CE. Sostiene que no se vulnera el derecho a la igualdad en el acceso a los cargos y funciones públicas (art. 23.2 CE), al objeto de terminar con la situación anómala de precariedad. El establecimiento de una puntuación o baremo de hasta el 40 por 100 como máximo de carácter negociable y abierto a su concreción, no es contrario a la proscripción de discriminación aplicando una dimensión cuantitativa que rebase el límite de lo tolerable o determinando directamente la sola consolidación de empleo temporal. Dada la finalidad de la reforma concurren las circunstancias especiales que justificarían la valoración de los servicios prestados.</w:t>
      </w:r>
    </w:p>
    <w:p w14:paraId="09388A07" w14:textId="77777777" w:rsidR="008D479B" w:rsidRDefault="008D479B" w:rsidP="008D479B">
      <w:pPr>
        <w:pStyle w:val="TextoNormal"/>
      </w:pPr>
    </w:p>
    <w:p w14:paraId="50FAF3A5" w14:textId="5913E889" w:rsidR="008D479B" w:rsidRDefault="008D479B" w:rsidP="008D479B">
      <w:pPr>
        <w:pStyle w:val="TextoNormal"/>
      </w:pPr>
      <w:r>
        <w:t>Por todo lo expuesto solicita la desestimación del recurso de inconstitucionalidad.</w:t>
      </w:r>
    </w:p>
    <w:p w14:paraId="28F7B04A" w14:textId="77777777" w:rsidR="008D479B" w:rsidRDefault="008D479B" w:rsidP="008D479B">
      <w:pPr>
        <w:pStyle w:val="TextoNormal"/>
      </w:pPr>
    </w:p>
    <w:p w14:paraId="554908E2" w14:textId="1D250721" w:rsidR="008D479B" w:rsidRDefault="008D479B" w:rsidP="008D479B">
      <w:pPr>
        <w:pStyle w:val="TextoNormal"/>
      </w:pPr>
      <w:r w:rsidRPr="008D479B">
        <w:rPr>
          <w:rStyle w:val="NumeroAFNegritaCaracter"/>
        </w:rPr>
        <w:t>7</w:t>
      </w:r>
      <w:r>
        <w:t>. Mediante escrito registrado el 7 de febrero de 2023, los recurrentes formularon incidente de recusación del presidente del Tribunal don Cándido Conde-Pumpido Tourón, del magistrado don Juan Carlos Campo Moreno y de las magistradas doña Laura Díez Bueso y doña María Luisa Segoviano Astaburuaga, en el presente proceso. Por ATC 104/2023, de 7 de marzo, se declaró la pérdida sobrevenida de objeto de la recusación del magistrado don Juan Carlos Campo Moreno y se inadmitieron a trámite las recusaciones del presidente y de las magistradas del Tribunal.</w:t>
      </w:r>
    </w:p>
    <w:p w14:paraId="01B0267B" w14:textId="77777777" w:rsidR="008D479B" w:rsidRDefault="008D479B" w:rsidP="008D479B">
      <w:pPr>
        <w:pStyle w:val="TextoNormal"/>
      </w:pPr>
    </w:p>
    <w:p w14:paraId="4FC6EFAD" w14:textId="1DE5AFB8" w:rsidR="008D479B" w:rsidRDefault="008D479B" w:rsidP="008D479B">
      <w:pPr>
        <w:pStyle w:val="TextoNormal"/>
      </w:pPr>
      <w:r w:rsidRPr="008D479B">
        <w:rPr>
          <w:rStyle w:val="NumeroAFNegritaCaracter"/>
        </w:rPr>
        <w:t>8</w:t>
      </w:r>
      <w:r>
        <w:t>. Mediante providencia de 24 de octubre de 2023 se acordó señalar para la deliberación y votación de la presente sentencia el siguiente día 25.</w:t>
      </w:r>
    </w:p>
    <w:p w14:paraId="10BEC3EB" w14:textId="77777777" w:rsidR="008D479B" w:rsidRDefault="008D479B" w:rsidP="008D479B">
      <w:pPr>
        <w:pStyle w:val="TextoNormal"/>
      </w:pPr>
    </w:p>
    <w:p w14:paraId="1662C359" w14:textId="77777777" w:rsidR="008D479B" w:rsidRDefault="008D479B" w:rsidP="008D479B">
      <w:pPr>
        <w:pStyle w:val="TextoNormalNegritaCentrado"/>
        <w:keepNext/>
      </w:pPr>
      <w:r>
        <w:t>II. Fundamentos jurídicos</w:t>
      </w:r>
    </w:p>
    <w:p w14:paraId="1453EDDF" w14:textId="72D9536F" w:rsidR="008D479B" w:rsidRDefault="008D479B" w:rsidP="008D479B">
      <w:pPr>
        <w:pStyle w:val="TextoNormalNegritaCentrado"/>
        <w:keepNext/>
      </w:pPr>
    </w:p>
    <w:p w14:paraId="28C2DE0C" w14:textId="77777777" w:rsidR="008D479B" w:rsidRDefault="008D479B" w:rsidP="008D479B">
      <w:pPr>
        <w:pStyle w:val="TextoNormal"/>
      </w:pPr>
      <w:r w:rsidRPr="008D479B">
        <w:rPr>
          <w:rStyle w:val="NumeroAFNegritaCaracter"/>
        </w:rPr>
        <w:t>1</w:t>
      </w:r>
      <w:r>
        <w:t xml:space="preserve">. </w:t>
      </w:r>
      <w:r w:rsidRPr="008D479B">
        <w:rPr>
          <w:i/>
        </w:rPr>
        <w:t>Objeto del recurso, posiciones de las partes y subsistencia del conflicto constitucional</w:t>
      </w:r>
    </w:p>
    <w:p w14:paraId="1BCBDF65" w14:textId="77777777" w:rsidR="008D479B" w:rsidRDefault="008D479B" w:rsidP="008D479B">
      <w:pPr>
        <w:pStyle w:val="TextoNormal"/>
      </w:pPr>
    </w:p>
    <w:p w14:paraId="5B6239D8" w14:textId="77777777" w:rsidR="008D479B" w:rsidRDefault="008D479B" w:rsidP="008D479B">
      <w:pPr>
        <w:pStyle w:val="TextoNormal"/>
      </w:pPr>
      <w:r>
        <w:t>El recurso de inconstitucionalidad se interpone por más de cincuenta diputados del Grupo Parlamentario Vox en el Congreso de los Diputados, contra el Real Decreto-ley 14/2021, de 6 de julio.</w:t>
      </w:r>
    </w:p>
    <w:p w14:paraId="00902D42" w14:textId="77777777" w:rsidR="008D479B" w:rsidRDefault="008D479B" w:rsidP="008D479B">
      <w:pPr>
        <w:pStyle w:val="TextoNormal"/>
      </w:pPr>
    </w:p>
    <w:p w14:paraId="23AD2CEC" w14:textId="77777777" w:rsidR="008D479B" w:rsidRDefault="008D479B" w:rsidP="008D479B">
      <w:pPr>
        <w:pStyle w:val="TextoNormal"/>
      </w:pPr>
      <w:r>
        <w:t>El Real Decreto-ley 14/2021, se impugna en su totalidad por la ausencia del presupuesto habilitante para su aprobación y, por tanto, por la infracción del art. 86.1 CE, al tratarse, a juicio de los recurrentes, de una reforma estructural que pretende dar respuesta a un fenómeno también estructural: el abuso de la contratación temporal en las administraciones públicas, sin que la extraordinaria y urgente necesidad pueda justificarse por la Directiva 1999/70/CE del Consejo, de 28 de junio de 1999, o por la STJUE de 3 de junio de 2021 o la STS 649/2021, ni tampoco el contenido de la regulación tenga que ver con la urgencia declarada. Específicamente se impugna el art. 2 del Real Decreto-ley 14/2021 con una doble afirmación, por una parte al considerar que rebasa los límites materiales impuestos al decreto-ley, al regular un proceso de acceso a la función pública que afecta a un aspecto esencial del derecho fundamental del art. 23.2 CE: acceder en condiciones de igualdad a las funciones y cargos públicos delimitando el derecho fundamental y por otra, con un marcado escaso de desarrollo argumental, al entender que conculca el propio contenido del art. 23.2 CE.</w:t>
      </w:r>
    </w:p>
    <w:p w14:paraId="51CBFC86" w14:textId="77777777" w:rsidR="008D479B" w:rsidRDefault="008D479B" w:rsidP="008D479B">
      <w:pPr>
        <w:pStyle w:val="TextoNormal"/>
      </w:pPr>
    </w:p>
    <w:p w14:paraId="221B2A62" w14:textId="77777777" w:rsidR="008D479B" w:rsidRDefault="008D479B" w:rsidP="008D479B">
      <w:pPr>
        <w:pStyle w:val="TextoNormal"/>
      </w:pPr>
      <w:r>
        <w:t>El abogado del Estado solicita la desestimación íntegra del recurso, por considerar que la apreciación de la concurrencia de la extraordinaria y urgente necesidad le corresponde al Gobierno, sin que el hecho de que se trate de una reforma estructural excluya el presupuesto habilitante. Destaca la finalidad de la norma expuesta en la exposición de motivos y la premura de la misma como consecuencia de la STJUE de 3 de junio, asunto C-726/19, que propició la sentencia de la Sala de lo Social del Tribunal Supremo 649/2021, de 28 de junio, contemplándose medidas disuasorias frente al abuso de la temporalidad así como el establecimiento de consecuencias jurídicas derivadas de la finalización de la relación temporal, pretendiendo la modernización de las administraciones públicas, reduciendo la tasa de temporalidad. Finalmente indica que la norma no vulnera el art. 23.2 CE.</w:t>
      </w:r>
    </w:p>
    <w:p w14:paraId="342112DD" w14:textId="77777777" w:rsidR="008D479B" w:rsidRDefault="008D479B" w:rsidP="008D479B">
      <w:pPr>
        <w:pStyle w:val="TextoNormal"/>
      </w:pPr>
    </w:p>
    <w:p w14:paraId="7791C40E" w14:textId="77777777" w:rsidR="008D479B" w:rsidRDefault="008D479B" w:rsidP="008D479B">
      <w:pPr>
        <w:pStyle w:val="TextoNormal"/>
      </w:pPr>
      <w:r>
        <w:t>Conviene destacar, como más adelante se indicará, que el Real Decreto-ley 14/2021, fue convalidado por el Congreso de los Diputados el 21 de julio de 2021 y se acordó su tramitación como proyecto de ley por el procedimiento de urgencia, según permite el art. 86.3 CE, lo que dio como resultado la aprobación de la Ley 20/2021, de 28 de diciembre, de medidas urgentes para la reducción de la temporalidad en el empleo público, cuyo contenido, con alguna salvedad —como veremos más adelante— es similar al de la norma impugnada. Ahora bien, como en un supuesto similar indicamos en la STC 34/2017, de 1 de marzo, FJ 2, la derogación, siquiera tácita, del real decreto-ley por otra ley posterior “no impide controlar si la potestad reconocida al Gobierno por el art. 86.1 CE se ejerció siguiendo los requisitos establecidos en dicho precepto constitucional, pues al hacerlo se trata de velar por el recto ejercicio de la potestad de dictar decretos-leyes, dentro del marco constitucional, decidiendo la validez o invalidez de las normas impugnadas, sin atender a su vigencia o derogación en el momento en que se pronuncia el fallo [SSTC 31/2011, de 17 de marzo, FJ 2, y 182/2013, de 23 de octubre, FJ 2 B)]”.</w:t>
      </w:r>
    </w:p>
    <w:p w14:paraId="64B68C90" w14:textId="77777777" w:rsidR="008D479B" w:rsidRDefault="008D479B" w:rsidP="008D479B">
      <w:pPr>
        <w:pStyle w:val="TextoNormal"/>
      </w:pPr>
    </w:p>
    <w:p w14:paraId="648D3746" w14:textId="69AC2FCE" w:rsidR="008D479B" w:rsidRDefault="008D479B" w:rsidP="008D479B">
      <w:pPr>
        <w:pStyle w:val="TextoNormal"/>
      </w:pPr>
      <w:r>
        <w:t>Ahora bien, se deben excluir del enjuiciamiento aquellas impugnaciones que se atribuyen a la norma ya sustituida con fundamento en la infracción de algún precepto constitucional de naturaleza sustantiva, como es el caso de la afirmaba inconstitucionalidad del art. 2 del real decreto-ley por vulnerar el art. 23.2 CE.</w:t>
      </w:r>
    </w:p>
    <w:p w14:paraId="2438C41A" w14:textId="77777777" w:rsidR="008D479B" w:rsidRDefault="008D479B" w:rsidP="008D479B">
      <w:pPr>
        <w:pStyle w:val="TextoNormal"/>
      </w:pPr>
    </w:p>
    <w:p w14:paraId="47679AB3" w14:textId="77777777" w:rsidR="008D479B" w:rsidRDefault="008D479B" w:rsidP="008D479B">
      <w:pPr>
        <w:pStyle w:val="TextoNormal"/>
      </w:pPr>
      <w:r w:rsidRPr="008D479B">
        <w:rPr>
          <w:rStyle w:val="NumeroAFNegritaCaracter"/>
        </w:rPr>
        <w:t>2</w:t>
      </w:r>
      <w:r>
        <w:t xml:space="preserve">. </w:t>
      </w:r>
      <w:r w:rsidRPr="008D479B">
        <w:rPr>
          <w:i/>
        </w:rPr>
        <w:t>Contenido de la norma impugnada y su tramitación como proyecto de ley por el procedimiento de urgencia</w:t>
      </w:r>
    </w:p>
    <w:p w14:paraId="4F6B9958" w14:textId="77777777" w:rsidR="008D479B" w:rsidRDefault="008D479B" w:rsidP="008D479B">
      <w:pPr>
        <w:pStyle w:val="TextoNormal"/>
      </w:pPr>
    </w:p>
    <w:p w14:paraId="2DA86395" w14:textId="77777777" w:rsidR="008D479B" w:rsidRDefault="008D479B" w:rsidP="008D479B">
      <w:pPr>
        <w:pStyle w:val="TextoNormal"/>
      </w:pPr>
      <w:r>
        <w:t>Con carácter previo a exponer la doctrina constitucional que entendemos necesaria para resolver las impugnaciones formuladas —falta de presupuesto habilitante e infracción de los limites materiales del real decreto-ley— es oportuno detenerse en la estructura y contenido del real decreto-ley impugnado y en algunos aspectos de las modificaciones introducidas en el mismo por la Ley 20/2021, de 28 de diciembre, de medidas urgentes para la reducción de la temporalidad en el empleo público.</w:t>
      </w:r>
    </w:p>
    <w:p w14:paraId="3276437F" w14:textId="77777777" w:rsidR="008D479B" w:rsidRDefault="008D479B" w:rsidP="008D479B">
      <w:pPr>
        <w:pStyle w:val="TextoNormal"/>
      </w:pPr>
    </w:p>
    <w:p w14:paraId="1C3F6357" w14:textId="77777777" w:rsidR="008D479B" w:rsidRDefault="008D479B" w:rsidP="008D479B">
      <w:pPr>
        <w:pStyle w:val="TextoNormal"/>
      </w:pPr>
      <w:r>
        <w:t xml:space="preserve">a) </w:t>
      </w:r>
      <w:r w:rsidRPr="008D479B">
        <w:rPr>
          <w:i/>
        </w:rPr>
        <w:t>Estructura y contenido de la norma impugnada</w:t>
      </w:r>
    </w:p>
    <w:p w14:paraId="1E58C406" w14:textId="77777777" w:rsidR="008D479B" w:rsidRDefault="008D479B" w:rsidP="008D479B">
      <w:pPr>
        <w:pStyle w:val="TextoNormal"/>
      </w:pPr>
    </w:p>
    <w:p w14:paraId="081E513F" w14:textId="77777777" w:rsidR="008D479B" w:rsidRDefault="008D479B" w:rsidP="008D479B">
      <w:pPr>
        <w:pStyle w:val="TextoNormal"/>
      </w:pPr>
      <w:r>
        <w:t>El Real Decreto-ley 14/2021, de 6 de julio consta de 2 artículos, 5 disposiciones adicionales, 2 disposiciones transitorias y 3 disposiciones finales. El art. 1 se destina a la modificación del texto refundido de la Ley del estatuto básico del empleado público, aprobado por Real Decreto Legislativo 5/2015, de 30 de octubre. El art. 2 regula los procesos de estabilización de empleo temporal. Las disposiciones adicionales se destinan al establecimiento de medidas específicas para el ámbito local, de seguimiento de la temporalidad y presupuestario, la agilización de los procesos selectivos, así como al régimen jurídico aplicable a los procesos de estabilización de empleo temporal de personal investigador. Las disposiciones transitorias se refieren al régimen jurídico aplicable de los procesos de estabilización de empleo temporal actualmente vigentes y a la determinación del ámbito temporal de los efectos de la norma. Las disposiciones finales establecen los títulos competenciales, la necesaria adaptación de la norma a las peculiaridades del personal docente y del personal estatutario y equivalente de los servicios de salud y las reglas de entrada en vigor.</w:t>
      </w:r>
    </w:p>
    <w:p w14:paraId="6991AB8E" w14:textId="77777777" w:rsidR="008D479B" w:rsidRDefault="008D479B" w:rsidP="008D479B">
      <w:pPr>
        <w:pStyle w:val="TextoNormal"/>
      </w:pPr>
    </w:p>
    <w:p w14:paraId="0BF03CCC" w14:textId="77777777" w:rsidR="008D479B" w:rsidRDefault="008D479B" w:rsidP="008D479B">
      <w:pPr>
        <w:pStyle w:val="TextoNormal"/>
      </w:pPr>
      <w:r>
        <w:t>En cuanto a su contenido cabe destacar que el art. 1 del Real Decreto-ley 14/2021 modifica el texto refundido de la Ley del estatuto del empleado público y se compone de tres apartados:</w:t>
      </w:r>
    </w:p>
    <w:p w14:paraId="67AB0627" w14:textId="77777777" w:rsidR="008D479B" w:rsidRDefault="008D479B" w:rsidP="008D479B">
      <w:pPr>
        <w:pStyle w:val="TextoNormal"/>
      </w:pPr>
    </w:p>
    <w:p w14:paraId="4549BF78" w14:textId="77777777" w:rsidR="008D479B" w:rsidRDefault="008D479B" w:rsidP="008D479B">
      <w:pPr>
        <w:pStyle w:val="TextoNormal"/>
      </w:pPr>
      <w:r>
        <w:t>El apartado primero modifica el contenido del art. 10 TRLEEP relativo al personal funcionario interino: (i) Se modifica la duración máxima de su nombramiento. El personal interino por cobertura de vacante sólo podrá ser nombrado por un plazo de tres años. En el caso de la sustitución transitoria de los titulares de los respectivos puestos de trabajo, esta deberá realizarse durante el tiempo estrictamente necesario. Y en el supuesto de exceso o acumulación de tareas, el plazo máximo será de nueves meses dentro de un periodo de dieciocho, en lugar de seis meses dentro de un periodo de doce meses (art.10.1 TRLEEP); (ii) Se introduce el principio de celeridad en el procedimiento de selección del personal funcionario interino y se precisa que el nombramiento en ningún caso dará lugar al reconocimiento de la condición de funcionario de carrera (art.10.2 TRLEEP); (iii) Se indica que la finalización de la relación de interinidad no da derecho a compensación alguna y que además se produce por la cobertura reglada del puesto, por razones organizativas que den lugar a la supresión o a la amortización de los puestos asignados, por la finalización del plazo autorizado recogido en su nombramiento y por la finalización de la causa que dio lugar al nombramiento (art.10.3 TRLEEP); (iv) El art. 10.4 TRLEEP se modifica para establecer una mayor precisión en la duración máxima del nombramiento del personal funcionario interino para la cobertura de vacantes, introduciendo en el texto la exigencia de que estas sean objeto de cobertura mediante cualquiera de los procedimientos de provisión y movilidad previstos. Se endurecen las consecuencias del incumplimiento de la regla anterior, al establecerse que, transcurrido el plazo ahora fijado de duración máxima del nombramiento, de tres años, se producirá el fin de la relación de interinidad y la vacante únicamente podrá ser ocupada por personal funcionario de carrera, salvo que el correspondiente proceso selectivo haya quedado desierto, en cuyo caso se podrá efectuar otro nombramiento de personal funcionario interino. El personal funcionario interino podrá, no obstante, y de manera excepcional, permanecer en la plaza que ocupe temporalmente, siempre que se haya publicado la correspondiente convocatoria dentro del plazo de los tres años a contar desde la fecha del nombramiento del funcionario interino. En este supuesto podrá permanecer hasta la resolución de la convocatoria, sin que su cese de lugar a compensación económica; (v) El art. 10.5 TRLEEP se modifica para excluir expresamente al personal interino de aquellos derechos que sean inherentes a la condición de funcionario de carrera y para precisar que les serán de aplicación el régimen general del personal funcionario de carrera en cuanto sea adecuado a la naturaleza de su condición temporal, al carácter extraordinario y urgente de su nombramiento o a las circunstancias que hayan motivado su nombramiento. Finalmente, se suprime el apartado 6 del art. 10 TRLEEP que establecía, en relación con el personal interino cuya designación era consecuencia de la ejecución de programas de carácter temporal o del exceso o acumulación de tareas, la posibilidad de prestar los servicios en otras unidades administrativas.</w:t>
      </w:r>
    </w:p>
    <w:p w14:paraId="64377C37" w14:textId="77777777" w:rsidR="008D479B" w:rsidRDefault="008D479B" w:rsidP="008D479B">
      <w:pPr>
        <w:pStyle w:val="TextoNormal"/>
      </w:pPr>
    </w:p>
    <w:p w14:paraId="49369A5A" w14:textId="77777777" w:rsidR="008D479B" w:rsidRDefault="008D479B" w:rsidP="008D479B">
      <w:pPr>
        <w:pStyle w:val="TextoNormal"/>
      </w:pPr>
      <w:r>
        <w:t>El apartado segundo añade un nuevo apartado 3 al art. 11 TRLEEP, por el que se indica que los procedimientos de selección del personal laboral serán públicos y se regirán por los principios de igualdad, mérito y capacidad. Y en el caso del personal laboral temporal por el principio de celeridad, teniendo por finalidad atender razones expresamente justificadas de necesidad y urgencia.</w:t>
      </w:r>
    </w:p>
    <w:p w14:paraId="0ED67822" w14:textId="77777777" w:rsidR="008D479B" w:rsidRDefault="008D479B" w:rsidP="008D479B">
      <w:pPr>
        <w:pStyle w:val="TextoNormal"/>
      </w:pPr>
    </w:p>
    <w:p w14:paraId="2CFD0A1C" w14:textId="77777777" w:rsidR="008D479B" w:rsidRDefault="008D479B" w:rsidP="008D479B">
      <w:pPr>
        <w:pStyle w:val="TextoNormal"/>
      </w:pPr>
      <w:r>
        <w:t>El apartado tercero introduce una nueva disposición adicional decimoséptima al TRLEEP, intitulada “Medidas dirigidas al control de la temporalidad en el empleo público”. De la misma resulta la obligación de las administraciones públicas de evitar cualquier tipo de irregularidad en la contratación laboral temporal y nombramientos de personal funcionario interino. La genérica advertencia de responsabilidades ante actuaciones irregulares. La nulidad de actuaciones y disposiciones que directa o indirectamente supongan el incumplimiento de los plazos máximos de permanencia como personal temporal y la previsión de una compensación económica para el personal funcionario interino afectado que nacerá a partir de la fecha del cese efectivo y también para el personal laboral contratado temporal con objeto de lograr la equivalencia de compensación con el personal funcionario interino. Se excluye la compensación en caso de que la finalización de la relación de servicio sea por causas disciplinarias o por renuncia voluntaria.</w:t>
      </w:r>
    </w:p>
    <w:p w14:paraId="0E6399CE" w14:textId="77777777" w:rsidR="008D479B" w:rsidRDefault="008D479B" w:rsidP="008D479B">
      <w:pPr>
        <w:pStyle w:val="TextoNormal"/>
      </w:pPr>
    </w:p>
    <w:p w14:paraId="44E23A4B" w14:textId="77777777" w:rsidR="008D479B" w:rsidRDefault="008D479B" w:rsidP="008D479B">
      <w:pPr>
        <w:pStyle w:val="TextoNormal"/>
      </w:pPr>
      <w:r>
        <w:t>El art. 2 del Real Decreto-ley 14/2021 contiene la regulación de los procesos de estabilización de empleo temporal. Se dispone que además de los procesos de estabilización regulados en las leyes de presupuestos generales del Estado de los años 2017 y 2018, se autoriza una tasa adicional de estabilización de empleo temporal que incluirá las plazas de naturaleza estructural dotadas presupuestariamente, y que hayan estado ocupadas de forma temporal e ininterrumpidamente al menos en los tres años anteriores a 31 de diciembre de 2020. Las ofertas de empleo relativas a estos procesos de estabilización deberán convocarse antes del 31 de diciembre de 2021, las convocatorias deben producirse antes del 31 de diciembre de 2022 y los procesos deberán finalizar antes del 31 de diciembre de 2024. Se prevé que la tasa de cobertura temporal deberá situarse por debajo del 8 por 100 de las plazas estructurales. Completa la norma con una previsión del modo en que se deben articular estos procesos selectivos y del sistema de selección que será de concurso-oposición, con una valoración en la fase de concurso de un 40 por 100 de la puntuación total, en la que se tendrá en cuenta mayoritariamente la experiencia en el cuerpo, escala, categoría o equivalente de que se trate en el marco de la negociación colectiva establecida en el artículo 37.1 c) TRLEEP. Se dispone que la resolución del concurso no puede suponer un incremento del gasto ni de efectivos y se prevé una compensación económica para el personal interino laboral o estatutario que no supere el proceso selectivo.</w:t>
      </w:r>
    </w:p>
    <w:p w14:paraId="6513D507" w14:textId="77777777" w:rsidR="008D479B" w:rsidRDefault="008D479B" w:rsidP="008D479B">
      <w:pPr>
        <w:pStyle w:val="TextoNormal"/>
      </w:pPr>
    </w:p>
    <w:p w14:paraId="3FC9EAF8" w14:textId="77777777" w:rsidR="008D479B" w:rsidRDefault="008D479B" w:rsidP="008D479B">
      <w:pPr>
        <w:pStyle w:val="TextoNormal"/>
      </w:pPr>
      <w:r>
        <w:t>La norma recoge cinco disposiciones adicionales: (i) La disposición adicional primera se refiere a las concretas medidas previstas para el ámbito local. Permite que aquellas entidades locales con menor capacidad de gestión puedan encomendar la gestión material de la selección de su personal funcionario de carrera o laboral fijo, así como de su personal funcionario interino o laboral temporal a las diputaciones provinciales, cabildos, consejos insulares, entes supramunicipales u órganos equivalentes de las comunidades autónomas uniprovinciales; (ii) la disposición adicional segunda establece que el Ministerio de Política Territorial y Función Pública elaborará un informe anual de seguimiento de temporalidad en el empleo público, como mecanismo de seguimiento del impacto de la presente norma; (iii) la disposición adicional tercera se refiere a la posibilidad de nombramiento de personal interino para cubrir vacantes por jubilación que se produzcan en el ejercicio presupuestario que deberán incluirse necesariamente en la oferta de empleo público de dicho ejercicio o del siguiente si no fuera posible; (iv) la disposición adicional cuarta establece que las administraciones deberán asegurar el cumplimiento del plazo establecido para la ejecución de los procesos de estabilización, mediante medidas de agilización de los procesos selectivos. Además, dispone que las convocatorias puedan prever, para aquellas personas que no superen el proceso selectivo, su inclusión en bolsas de interinos específicas o su integración en bolsas ya existentes; (v) la disposición adicional quinta determina el régimen específico relativo a los procesos de estabilización de empleo temporal de personal investigador.</w:t>
      </w:r>
    </w:p>
    <w:p w14:paraId="26CAAB7B" w14:textId="77777777" w:rsidR="008D479B" w:rsidRDefault="008D479B" w:rsidP="008D479B">
      <w:pPr>
        <w:pStyle w:val="TextoNormal"/>
      </w:pPr>
    </w:p>
    <w:p w14:paraId="4DD878B2" w14:textId="77777777" w:rsidR="008D479B" w:rsidRDefault="008D479B" w:rsidP="008D479B">
      <w:pPr>
        <w:pStyle w:val="TextoNormal"/>
      </w:pPr>
      <w:r>
        <w:t>La disposición transitoria primera se refiere al régimen aplicable a los procesos de estabilización de empleo temporal ya convocados con anterioridad a la entrada en vigor del presente real decreto-ley indicando que su resolución debe finalizar antes del 31 de diciembre de 2024.</w:t>
      </w:r>
    </w:p>
    <w:p w14:paraId="4FDF5629" w14:textId="77777777" w:rsidR="008D479B" w:rsidRDefault="008D479B" w:rsidP="008D479B">
      <w:pPr>
        <w:pStyle w:val="TextoNormal"/>
      </w:pPr>
    </w:p>
    <w:p w14:paraId="07EECF34" w14:textId="77777777" w:rsidR="008D479B" w:rsidRDefault="008D479B" w:rsidP="008D479B">
      <w:pPr>
        <w:pStyle w:val="TextoNormal"/>
      </w:pPr>
      <w:r>
        <w:t>La disposición transitoria segunda determina que las previsiones del art. 1 del real decreto-ley, se aplicaran únicamente respecto del personal temporal nombrado o contratado con posterioridad a su entrada en vigor.</w:t>
      </w:r>
    </w:p>
    <w:p w14:paraId="7527253E" w14:textId="77777777" w:rsidR="008D479B" w:rsidRDefault="008D479B" w:rsidP="008D479B">
      <w:pPr>
        <w:pStyle w:val="TextoNormal"/>
      </w:pPr>
    </w:p>
    <w:p w14:paraId="47B5F845" w14:textId="77777777" w:rsidR="008D479B" w:rsidRDefault="008D479B" w:rsidP="008D479B">
      <w:pPr>
        <w:pStyle w:val="TextoNormal"/>
      </w:pPr>
      <w:r>
        <w:t>Las disposiciones finales se refieren, en primer lugar, a los títulos competenciales sobre los que se fundamenta la norma; en segundo lugar, el establecimiento de un mandato a las distintas administraciones públicas de que procedan en el plazo de un año a la adaptación normativa del personal docente y del personal estatutario y equivalente de los servicios de salud a lo dispuesto en el real decreto-ley y transcurrido dicho plazo sin que se haya producido la adaptación, serán de plena aplicación las previsiones contenidas en el mismo. Y finalmente la disposición final tercera prevé que entra en vigor el día siguiente al de su publicación.</w:t>
      </w:r>
    </w:p>
    <w:p w14:paraId="14C47AA6" w14:textId="77777777" w:rsidR="008D479B" w:rsidRDefault="008D479B" w:rsidP="008D479B">
      <w:pPr>
        <w:pStyle w:val="TextoNormal"/>
      </w:pPr>
    </w:p>
    <w:p w14:paraId="71C76F7C" w14:textId="77777777" w:rsidR="008D479B" w:rsidRDefault="008D479B" w:rsidP="008D479B">
      <w:pPr>
        <w:pStyle w:val="TextoNormal"/>
      </w:pPr>
      <w:r>
        <w:t xml:space="preserve">b) </w:t>
      </w:r>
      <w:r w:rsidRPr="008D479B">
        <w:rPr>
          <w:i/>
        </w:rPr>
        <w:t>Tramitación del real decreto-ley como proyecto de ley por el procedimiento de urgencia</w:t>
      </w:r>
    </w:p>
    <w:p w14:paraId="06C12D3F" w14:textId="77777777" w:rsidR="008D479B" w:rsidRDefault="008D479B" w:rsidP="008D479B">
      <w:pPr>
        <w:pStyle w:val="TextoNormal"/>
      </w:pPr>
    </w:p>
    <w:p w14:paraId="3EE2BBBF" w14:textId="77777777" w:rsidR="008D479B" w:rsidRDefault="008D479B" w:rsidP="008D479B">
      <w:pPr>
        <w:pStyle w:val="TextoNormal"/>
      </w:pPr>
      <w:r>
        <w:t>El Real Decreto-ley 14/2021 fue convalidado por el Congreso de los Diputados el 21 de julio de 2021, (170 votos a favor, 169 en contra y ocho abstenciones). Su tramitación como proyecto de ley por procedimiento de urgencia, fue aprobado por 346 votos a favor, uno en contra y una abstención. Finalmente, el proyecto de ley, tramitado por el procedimiento de urgencia, fue aprobado por Ley 20/2021, de 28 de diciembre, de medidas urgentes para la reducción de la temporalidad en el empleo público.</w:t>
      </w:r>
    </w:p>
    <w:p w14:paraId="67420C7E" w14:textId="77777777" w:rsidR="008D479B" w:rsidRDefault="008D479B" w:rsidP="008D479B">
      <w:pPr>
        <w:pStyle w:val="TextoNormal"/>
      </w:pPr>
    </w:p>
    <w:p w14:paraId="7DBC7801" w14:textId="7C871F3C" w:rsidR="008D479B" w:rsidRDefault="008D479B" w:rsidP="008D479B">
      <w:pPr>
        <w:pStyle w:val="TextoNormal"/>
      </w:pPr>
      <w:r>
        <w:t>Dicha ley introduce algunas modificaciones relevantes: (i) se aplaza seis meses el límite temporal para la aprobación y publicación de las ofertas de empleo que articulen los procesos de estabilización contemplados en el apartado 1 del art. 2 del Real Decreto-ley 14/2021, que pasa del 31 de diciembre de 2021, que preveía el art. 2.2 del Real Decreto-ley 14/2021, al 1 de junio de 2022 que prevé la nueva redacción del art. 2.2; (ii) Introduce una disposición adicional sexta, en que se prevé una convocatoria excepcional de estabilización de empleo temporal de larga duración, por el sistema de concurso, en relación con aquellas plazas que, reuniendo los requisitos establecidos en el artículo 2.1, hubieran estado ocupadas con carácter temporal de forma ininterrumpida con anterioridad a 1 de enero de 2016, que se aplica también en virtud de la disposición adicional octava, a las vacantes de naturaleza estructural ocupadas de forma temporal por personal con una relación, de esta naturaleza, anterior al 1 de enero de 2016; (iii) prevé en la disposición transitoria segunda, que los efectos de las previsiones contenidas en el art. 1 serán de aplicación únicamente respecto del personal temporal nombrado o contratado con posterioridad a su entrada en vigor, esto es, al día siguiente de su publicación (disposición final tercera), por lo que se retrasa la vigencia prevista para dicho precepto en el Real Decreto-ley 14/2021.</w:t>
      </w:r>
    </w:p>
    <w:p w14:paraId="603F5D28" w14:textId="77777777" w:rsidR="008D479B" w:rsidRDefault="008D479B" w:rsidP="008D479B">
      <w:pPr>
        <w:pStyle w:val="TextoNormal"/>
      </w:pPr>
    </w:p>
    <w:p w14:paraId="45996498" w14:textId="77777777" w:rsidR="008D479B" w:rsidRDefault="008D479B" w:rsidP="008D479B">
      <w:pPr>
        <w:pStyle w:val="TextoNormal"/>
      </w:pPr>
      <w:r w:rsidRPr="008D479B">
        <w:rPr>
          <w:rStyle w:val="NumeroAFNegritaCaracter"/>
        </w:rPr>
        <w:t>3</w:t>
      </w:r>
      <w:r>
        <w:t xml:space="preserve">. </w:t>
      </w:r>
      <w:r w:rsidRPr="008D479B">
        <w:rPr>
          <w:i/>
        </w:rPr>
        <w:t>Doctrina constitucional sobre el presupuesto habilitante de los decretos-leyes</w:t>
      </w:r>
    </w:p>
    <w:p w14:paraId="4340BA11" w14:textId="77777777" w:rsidR="008D479B" w:rsidRDefault="008D479B" w:rsidP="008D479B">
      <w:pPr>
        <w:pStyle w:val="TextoNormal"/>
      </w:pPr>
    </w:p>
    <w:p w14:paraId="6A58747D" w14:textId="77777777" w:rsidR="008D479B" w:rsidRDefault="008D479B" w:rsidP="008D479B">
      <w:pPr>
        <w:pStyle w:val="TextoNormal"/>
      </w:pPr>
      <w:r>
        <w:t>Una vez expuesto el problema constitucional que suscita el presente recurso de inconstitucionalidad y el contenido del Real Decreto-ley 14/2021, de 6 de julio, debemos acudir a la doctrina elaborada por este tribunal sobre el sentido y alcance del presupuesto legitimador de la extraordinaria y urgente necesidad, valiéndonos para ello de la síntesis que de la misma efectuamos en la reciente STC 18/2023, de 21 de marzo, FJ 3:</w:t>
      </w:r>
    </w:p>
    <w:p w14:paraId="004B8C56" w14:textId="77777777" w:rsidR="008D479B" w:rsidRDefault="008D479B" w:rsidP="008D479B">
      <w:pPr>
        <w:pStyle w:val="TextoNormal"/>
      </w:pPr>
    </w:p>
    <w:p w14:paraId="08AFC485" w14:textId="77777777" w:rsidR="008D479B" w:rsidRDefault="008D479B" w:rsidP="008D479B">
      <w:pPr>
        <w:pStyle w:val="TextoNormal"/>
      </w:pPr>
      <w:r>
        <w:t>“Dicha doctrina ha sido expuesta, entre otras, en las SSTC 68/2007, de 28 de marzo; 31/2011, de 17 de marzo; 137/2011, de 14 de septiembre; 1/2012, de 13 de enero; 39/2013, de 14 de febrero; 34/2017, de 1 de marzo; 152/2017, de 21 de diciembre, y 61/2018, de 7 de junio. Doctrina constitucional que podemos sintetizar en los siguientes términos:</w:t>
      </w:r>
    </w:p>
    <w:p w14:paraId="224F9F83" w14:textId="77777777" w:rsidR="008D479B" w:rsidRDefault="008D479B" w:rsidP="008D479B">
      <w:pPr>
        <w:pStyle w:val="TextoNormal"/>
      </w:pPr>
    </w:p>
    <w:p w14:paraId="0997CCAF" w14:textId="77777777" w:rsidR="008D479B" w:rsidRDefault="008D479B" w:rsidP="008D479B">
      <w:pPr>
        <w:pStyle w:val="TextoNormal"/>
      </w:pPr>
      <w:r>
        <w:t>a) El concepto de extraordinaria y urgente necesidad que se contiene en la Constitución no es, en modo alguno, ‘una cláusula o expresión vacía de significado dentro de la cual el lógico margen de apreciación política del Gobierno se mueva libremente sin restricción alguna, sino, por el contrario, la constatación de un límite jurídico a la actuación mediante decretos-leyes’. Por ello mismo dijimos que es función propia de este tribunal ‘el aseguramiento de estos límites, la garantía de que en el ejercicio de esta facultad, como de cualquier otra, los poderes se mueven dentro del marco trazado por la Constitución’, de forma que ‘el Tribunal Constitucional podrá, en supuestos de uso abusivo o arbitrario, rechazar la definición que los órganos políticos hagan de una situación determinada’ y, en consecuencia, declarar la inconstitucionalidad de un decreto-ley por inexistencia del presupuesto habilitante por invasión de las facultades reservadas a las Cortes Generales por la Constitución (SSTC 11/2002, de 17 de enero, FJ 4, y 137/2003, de 3 de julio, FJ 3).</w:t>
      </w:r>
    </w:p>
    <w:p w14:paraId="0D6E266C" w14:textId="77777777" w:rsidR="008D479B" w:rsidRDefault="008D479B" w:rsidP="008D479B">
      <w:pPr>
        <w:pStyle w:val="TextoNormal"/>
      </w:pPr>
    </w:p>
    <w:p w14:paraId="1CB4B47F" w14:textId="77777777" w:rsidR="008D479B" w:rsidRDefault="008D479B" w:rsidP="008D479B">
      <w:pPr>
        <w:pStyle w:val="TextoNormal"/>
      </w:pPr>
      <w:r>
        <w:t>b) La definición por los órganos políticos de una situación de ‘extraordinaria y urgente necesidad’ debe ser explícita y razonada, y debe existir una conexión de sentido o relación de adecuación entre la situación definida que constituye el presupuesto habilitante y las medidas que en el decreto-ley se adoptan (STC 29/1982, de 31 de mayo, FJ 3), de manera que estas últimas guarden una relación directa o de congruencia con la situación que se trata de afrontar (STC 182/1997, de 28 de octubre, FJ 3). No obstante, la definición expresa de la extraordinaria y urgente necesidad no ha de contenerse siempre en el propio real decreto-ley, sino que tal presupuesto puede ser deducido igualmente de una pluralidad de elementos. Así pues, el examen de la concurrencia del citado presupuesto habilitante de la ‘extraordinaria y urgente necesidad’ siempre se ha de llevar a cabo mediante la valoración conjunta de todos aquellos factores que determinaron al Gobierno a dictar la disposición legal excepcional, que son, básicamente, ‘los que quedan reflejados en la exposición de motivos de la norma, a lo largo del debate parlamentario de convalidación, y en el propio expediente de elaboración de la misma’ (SSTC 29/1982, de 31 de mayo, FJ 4; 182/1997, de 28 de octubre, FJ 4; 11/2002, de 17 de enero, FJ 4, y 137/2003, de 3 de julio, FJ 3), debiendo siempre tenerse presentes ‘las situaciones concretas y los objetivos gubernamentales que han dado lugar a la aprobación de cada uno de los decretos-leyes enjuiciados’ (SSTC 6/1983, de 4 de febrero, FJ 5; 182/1997, de 28 de octubre, FJ 3; 11/2002, de 17 de enero, FJ 4, y 137/2003, de 3 de julio, FJ 3).</w:t>
      </w:r>
    </w:p>
    <w:p w14:paraId="6977C41C" w14:textId="77777777" w:rsidR="008D479B" w:rsidRDefault="008D479B" w:rsidP="008D479B">
      <w:pPr>
        <w:pStyle w:val="TextoNormal"/>
      </w:pPr>
    </w:p>
    <w:p w14:paraId="6B288895" w14:textId="77777777" w:rsidR="008D479B" w:rsidRDefault="008D479B" w:rsidP="008D479B">
      <w:pPr>
        <w:pStyle w:val="TextoNormal"/>
      </w:pPr>
      <w:r>
        <w:t>c) Este tribunal ha señalado que ‘la valoración de la extraordinaria y urgente necesidad de una medida puede ser independiente de su imprevisibilidad e, incluso, de que tenga su origen en la previa inactividad del propio Gobierno siempre que concurra efectivamente la excepcionalidad de la situación’ (STC 1/2012, de 13 de enero, FJ 6), pues ‘lo que aquí debe importar no es tanto la causa de las circunstancias que justifican la legislación de urgencia cuanto el hecho de que tales circunstancias efectivamente concurran’ (SSTC 11/2002, de 17 de enero, FJ 6, y 68/2007, de 28 de marzo, FJ 8).</w:t>
      </w:r>
    </w:p>
    <w:p w14:paraId="390A0403" w14:textId="77777777" w:rsidR="008D479B" w:rsidRDefault="008D479B" w:rsidP="008D479B">
      <w:pPr>
        <w:pStyle w:val="TextoNormal"/>
      </w:pPr>
    </w:p>
    <w:p w14:paraId="4DB58E07" w14:textId="77777777" w:rsidR="008D479B" w:rsidRDefault="008D479B" w:rsidP="008D479B">
      <w:pPr>
        <w:pStyle w:val="TextoNormal"/>
      </w:pPr>
      <w:r>
        <w:t>d) El decreto-ley representa un instrumento constitucionalmente lícito, en tanto que pertinente y adecuado para la consecución del fin que justifica la legislación de urgencia, que no es otro, según hemos reiterado, que subvenir a situaciones concretas de los objetivos gubernamentales que requieran una acción normativa inmediata en un plazo más breve que el requerido por la vía normal o por el procedimiento de urgencia para la tramitación parlamentaria de las leyes (SSTC 6/1983, de 4 de febrero, FJ 5; 11/2002, de 17 de enero, FJ 4; 137/2003, de 3 de julio, FJ 3; 189/2005, de 7 de julio, FJ 3; 329/2005, de 15 de diciembre, FJ 5; 332/2005, de 15 de diciembre, FJ 6; 68/2007, de 28 de marzo, FJ 6; 137/2011, de 14 de septiembre, FJ 4, y 35/2017, de 1 de marzo, FJ 3).</w:t>
      </w:r>
    </w:p>
    <w:p w14:paraId="7D725B7F" w14:textId="77777777" w:rsidR="008D479B" w:rsidRDefault="008D479B" w:rsidP="008D479B">
      <w:pPr>
        <w:pStyle w:val="TextoNormal"/>
      </w:pPr>
    </w:p>
    <w:p w14:paraId="6B608D1A" w14:textId="77777777" w:rsidR="008D479B" w:rsidRDefault="008D479B" w:rsidP="008D479B">
      <w:pPr>
        <w:pStyle w:val="TextoNormal"/>
      </w:pPr>
      <w:r>
        <w:t xml:space="preserve">e) El control de este tribunal consiste en un control jurisdiccional </w:t>
      </w:r>
      <w:r w:rsidRPr="008D479B">
        <w:rPr>
          <w:i/>
        </w:rPr>
        <w:t>ex</w:t>
      </w:r>
      <w:r>
        <w:t xml:space="preserve"> post, y tiene por misión velar por que el Gobierno no se aparte del margen de apreciación concedido por la norma constitucional y se mantenga dentro del concepto jurídicamente asequible que es la situación de ‘extraordinaria y urgente necesidad’ (STC 61/2018, de 7 de junio, FJ 4). El control jurídico de este requisito no debe suplantar a los órganos constitucionales que intervienen en la aprobación y convalidación de los reales decretos-leyes, sino que ha de apoyarse en una valoración de conjunto de las circunstancias que rodean al caso (SSTC 332/2005, de 15 de diciembre, FJ 5; 31/2011, de 17 de marzo, FJ 3, y 142/2014, de 11 de septiembre, FJ 3).</w:t>
      </w:r>
    </w:p>
    <w:p w14:paraId="38F59D18" w14:textId="77777777" w:rsidR="008D479B" w:rsidRDefault="008D479B" w:rsidP="008D479B">
      <w:pPr>
        <w:pStyle w:val="TextoNormal"/>
      </w:pPr>
    </w:p>
    <w:p w14:paraId="7CA58610" w14:textId="471A517F" w:rsidR="008D479B" w:rsidRDefault="008D479B" w:rsidP="008D479B">
      <w:pPr>
        <w:pStyle w:val="TextoNormal"/>
      </w:pPr>
      <w:r>
        <w:t>f) En definitiva, nuestra Constitución se ha decantado por una regulación de los decretos-leyes flexible y matizada que, en lo que ahora estrictamente interesa, se traduce en que ‘la necesidad justificadora de los decretos-leyes no se puede entender como una necesidad absoluta que suponga un peligro grave para el sistema constitucional o para el orden público entendido como normal ejercicio de los derechos fundamentales y libertades públicas y normal funcionamiento de los servicios públicos, sino que hay que entenderlo con mayor amplitud como necesidad relativa respecto de situaciones concretas de los objetivos gubernamentales que, por razones difíciles de prever, requieren una acción normativa inmediata en un plazo más breve que el requerido por la vía normal o por el procedimiento de urgencia para la tramitación parlamentaria de las leyes’ (SSTC 125/2017, de 7 de julio, FJ 2, y 152/2017, de 21 de diciembre, FJ 3, en ambos casos con cita de la STC 6/1983, de 4 de febrero, FJ 5)”.</w:t>
      </w:r>
    </w:p>
    <w:p w14:paraId="61F13B00" w14:textId="77777777" w:rsidR="008D479B" w:rsidRDefault="008D479B" w:rsidP="008D479B">
      <w:pPr>
        <w:pStyle w:val="TextoNormal"/>
      </w:pPr>
    </w:p>
    <w:p w14:paraId="00ED98CC" w14:textId="77777777" w:rsidR="008D479B" w:rsidRDefault="008D479B" w:rsidP="008D479B">
      <w:pPr>
        <w:pStyle w:val="TextoNormal"/>
      </w:pPr>
      <w:r w:rsidRPr="008D479B">
        <w:rPr>
          <w:rStyle w:val="NumeroAFNegritaCaracter"/>
        </w:rPr>
        <w:t>4</w:t>
      </w:r>
      <w:r>
        <w:t xml:space="preserve">. </w:t>
      </w:r>
      <w:r w:rsidRPr="008D479B">
        <w:rPr>
          <w:i/>
        </w:rPr>
        <w:t>Explicitación por el Gobierno de la circunstancia del presupuesto de “extraordinaria y urgente necesidad”</w:t>
      </w:r>
    </w:p>
    <w:p w14:paraId="74225B0A" w14:textId="77777777" w:rsidR="008D479B" w:rsidRDefault="008D479B" w:rsidP="008D479B">
      <w:pPr>
        <w:pStyle w:val="TextoNormal"/>
      </w:pPr>
    </w:p>
    <w:p w14:paraId="617A1AFF" w14:textId="77777777" w:rsidR="008D479B" w:rsidRDefault="008D479B" w:rsidP="008D479B">
      <w:pPr>
        <w:pStyle w:val="TextoNormal"/>
      </w:pPr>
      <w:r>
        <w:t>Con arreglo a la doctrina que se acaba de recordar debemos comprobar ahora si en el Real Decreto-ley 14/2021 objeto del presente recurso de inconstitucionalidad concurre el presupuesto habilitante de la “extraordinaria y urgente necesidad” exigido por el art. 86.1 CE. De acuerdo con la pauta de control que se sigue en estos casos, debe analizarse si se ha justificado la existencia de una concreta situación de extraordinaria y urgente necesidad en relación con el Real Decreto-ley 14/2021 y, en su caso, si las medidas adoptadas en esa norma guardan conexión de sentido con la situación de necesidad previamente definida.</w:t>
      </w:r>
    </w:p>
    <w:p w14:paraId="251F33DD" w14:textId="77777777" w:rsidR="008D479B" w:rsidRDefault="008D479B" w:rsidP="008D479B">
      <w:pPr>
        <w:pStyle w:val="TextoNormal"/>
      </w:pPr>
    </w:p>
    <w:p w14:paraId="40B3A650" w14:textId="77777777" w:rsidR="008D479B" w:rsidRDefault="008D479B" w:rsidP="008D479B">
      <w:pPr>
        <w:pStyle w:val="TextoNormal"/>
      </w:pPr>
      <w:r>
        <w:t>Se exponen seguidamente las razones que, para acreditar la concurrencia del presupuesto habilitante legitimador de su aprobación, se esgrimen en la exposición de motivos del Real Decreto-ley 14/2021, así como las que fueron aducidas en el curso del debate parlamentario de convalidación celebrado en la sesión plenaria del Congreso de los Diputados el día 21 de julio de 2021 (debate que se transcribe en “Diario de Sesiones del Congreso de los Diputados”, XIV Legislatura, núm. 117, págs. 40-60) y las que se incluyen en la memoria abreviada del análisis de impacto normativo del proyecto de real decreto-ley, aportada a los autos por el abogado del Estado.</w:t>
      </w:r>
    </w:p>
    <w:p w14:paraId="6DE4A8F2" w14:textId="77777777" w:rsidR="008D479B" w:rsidRDefault="008D479B" w:rsidP="008D479B">
      <w:pPr>
        <w:pStyle w:val="TextoNormal"/>
      </w:pPr>
    </w:p>
    <w:p w14:paraId="3BCFF5F5" w14:textId="77777777" w:rsidR="008D479B" w:rsidRDefault="008D479B" w:rsidP="008D479B">
      <w:pPr>
        <w:pStyle w:val="TextoNormal"/>
      </w:pPr>
      <w:r>
        <w:t>a) En la exposición de motivos del real decreto-ley se afirma lo siguiente:</w:t>
      </w:r>
    </w:p>
    <w:p w14:paraId="202CE35A" w14:textId="77777777" w:rsidR="008D479B" w:rsidRDefault="008D479B" w:rsidP="008D479B">
      <w:pPr>
        <w:pStyle w:val="TextoNormal"/>
      </w:pPr>
    </w:p>
    <w:p w14:paraId="6B5BE654" w14:textId="77777777" w:rsidR="008D479B" w:rsidRDefault="008D479B" w:rsidP="008D479B">
      <w:pPr>
        <w:pStyle w:val="TextoNormal"/>
      </w:pPr>
      <w:r>
        <w:t>«La modernización y mejora de la administración pública ha constituido un objetivo permanente a lo largo de distintas etapas, necesario para dar cumplimiento al mandato constitucional de contar con una administración eficaz en su actuar al servicio de los intereses generales.</w:t>
      </w:r>
    </w:p>
    <w:p w14:paraId="7A57BF12" w14:textId="77777777" w:rsidR="008D479B" w:rsidRDefault="008D479B" w:rsidP="008D479B">
      <w:pPr>
        <w:pStyle w:val="TextoNormal"/>
      </w:pPr>
    </w:p>
    <w:p w14:paraId="1DA97AE8" w14:textId="77777777" w:rsidR="008D479B" w:rsidRDefault="008D479B" w:rsidP="008D479B">
      <w:pPr>
        <w:pStyle w:val="TextoNormal"/>
      </w:pPr>
      <w:r>
        <w:t>[…]</w:t>
      </w:r>
    </w:p>
    <w:p w14:paraId="77CFF6A7" w14:textId="77777777" w:rsidR="008D479B" w:rsidRDefault="008D479B" w:rsidP="008D479B">
      <w:pPr>
        <w:pStyle w:val="TextoNormal"/>
      </w:pPr>
    </w:p>
    <w:p w14:paraId="77E8A39C" w14:textId="77777777" w:rsidR="008D479B" w:rsidRDefault="008D479B" w:rsidP="008D479B">
      <w:pPr>
        <w:pStyle w:val="TextoNormal"/>
      </w:pPr>
      <w:r>
        <w:t>La mejor gestión del empleo al servicio de las distintas administraciones públicas exige, sin duda, disponer de políticas coherentes y racionales de dotación de efectivos de carácter permanente, que cubran las necesidades reales de los servicios y limiten la temporalidad a la atención de necesidades de carácter estrictamente coyuntural.</w:t>
      </w:r>
    </w:p>
    <w:p w14:paraId="60E37B46" w14:textId="77777777" w:rsidR="008D479B" w:rsidRDefault="008D479B" w:rsidP="008D479B">
      <w:pPr>
        <w:pStyle w:val="TextoNormal"/>
      </w:pPr>
    </w:p>
    <w:p w14:paraId="1600A6B1" w14:textId="77777777" w:rsidR="008D479B" w:rsidRDefault="008D479B" w:rsidP="008D479B">
      <w:pPr>
        <w:pStyle w:val="TextoNormal"/>
      </w:pPr>
      <w:r>
        <w:t>La consolidación del Estado del bienestar y el intenso proceso de descentralización territorial generaron durante las dos primeras décadas de vigencia de la Constitución Española de 1978 un intenso crecimiento del empleo público y una redistribución de efectivos desde la administración central a la autonómica. Así, la provisión pública de servicios básicos o esenciales propios del Estado social y democrático de derecho y su extensión al conjunto de la población condicionó, en el transcurso de esos años, la necesidad de reforzar la dotación de personal al servicio de las administraciones públicas para garantizar su desarrollo.</w:t>
      </w:r>
    </w:p>
    <w:p w14:paraId="6A155F3E" w14:textId="77777777" w:rsidR="008D479B" w:rsidRDefault="008D479B" w:rsidP="008D479B">
      <w:pPr>
        <w:pStyle w:val="TextoNormal"/>
      </w:pPr>
    </w:p>
    <w:p w14:paraId="1251A853" w14:textId="77777777" w:rsidR="008D479B" w:rsidRDefault="008D479B" w:rsidP="008D479B">
      <w:pPr>
        <w:pStyle w:val="TextoNormal"/>
      </w:pPr>
      <w:r>
        <w:t>En paralelo a este proceso, la evolución del empleo en el sector público en España viene marcada por el aumento de la tasa de temporalidad, que ha llegado al extremo de que casi un treinta por ciento de los empleados públicos en España tienen o han tenido un vínculo profesional temporal con la administración pública.</w:t>
      </w:r>
    </w:p>
    <w:p w14:paraId="342CF3AD" w14:textId="77777777" w:rsidR="008D479B" w:rsidRDefault="008D479B" w:rsidP="008D479B">
      <w:pPr>
        <w:pStyle w:val="TextoNormal"/>
      </w:pPr>
    </w:p>
    <w:p w14:paraId="67C72BB9" w14:textId="77777777" w:rsidR="008D479B" w:rsidRDefault="008D479B" w:rsidP="008D479B">
      <w:pPr>
        <w:pStyle w:val="TextoNormal"/>
      </w:pPr>
      <w:r>
        <w:t>De esa forma, a pesar de que en las sucesivas regulaciones sobre la materia ya se establecía la limitación en el nombramiento del personal funcionario interino o personal laboral temporal a casos excepcionales de indudable y estricta necesidad y que los mismos sólo podían realizarse por el tiempo imprescindible hasta su cobertura por funcionarios de carrera, la realidad nos ha mostrado un constante y sostenido aumento de la tasa de empleo temporal. Esta situación puede atribuirse a varios factores.</w:t>
      </w:r>
    </w:p>
    <w:p w14:paraId="1B8F7315" w14:textId="77777777" w:rsidR="008D479B" w:rsidRDefault="008D479B" w:rsidP="008D479B">
      <w:pPr>
        <w:pStyle w:val="TextoNormal"/>
      </w:pPr>
    </w:p>
    <w:p w14:paraId="25EF56AF" w14:textId="77777777" w:rsidR="008D479B" w:rsidRDefault="008D479B" w:rsidP="008D479B">
      <w:pPr>
        <w:pStyle w:val="TextoNormal"/>
      </w:pPr>
      <w:r>
        <w:t>[…]</w:t>
      </w:r>
    </w:p>
    <w:p w14:paraId="692A70F5" w14:textId="77777777" w:rsidR="008D479B" w:rsidRDefault="008D479B" w:rsidP="008D479B">
      <w:pPr>
        <w:pStyle w:val="TextoNormal"/>
      </w:pPr>
    </w:p>
    <w:p w14:paraId="70C488C0" w14:textId="77777777" w:rsidR="008D479B" w:rsidRDefault="008D479B" w:rsidP="008D479B">
      <w:pPr>
        <w:pStyle w:val="TextoNormal"/>
      </w:pPr>
      <w:r>
        <w:t>En efecto, se ha constatado que no siempre existe una práctica asentada de convocatoria periódica y sistemática, preferentemente con carácter anual, de las plazas vacantes, para su provisión definitiva. A su vez, la falta de convocatoria regular obedece a que los procedimientos de acceso al empleo público no se desarrollan, en muchos casos, con la agilidad y la celeridad necesarias para, respetando en todo caso las garantías inherentes a los mismos y la salvaguardia de los principios constitucionales y legales, permitir al mismo tiempo la dotación de personal en tiempo razonable y garantizar la prestación del servicio por la administración.</w:t>
      </w:r>
    </w:p>
    <w:p w14:paraId="4680E4E7" w14:textId="77777777" w:rsidR="008D479B" w:rsidRDefault="008D479B" w:rsidP="008D479B">
      <w:pPr>
        <w:pStyle w:val="TextoNormal"/>
      </w:pPr>
    </w:p>
    <w:p w14:paraId="72094A76" w14:textId="77777777" w:rsidR="008D479B" w:rsidRDefault="008D479B" w:rsidP="008D479B">
      <w:pPr>
        <w:pStyle w:val="TextoNormal"/>
      </w:pPr>
      <w:r>
        <w:t xml:space="preserve">Así las cosas, los procesos de selección son excesivamente lentos y dilatados en el tiempo, ocasionando en muchos casos la necesidad de provisión temporal de los puestos por el tiempo necesario hasta la cobertura efectiva. En estas condiciones, el recurso al nombramiento de personal interino y a la contratación de personal temporal se ha constituido en una alternativa organizativa que ha acabado suponiendo un incremento excesivo de la temporalidad. </w:t>
      </w:r>
    </w:p>
    <w:p w14:paraId="1B7E7AE3" w14:textId="77777777" w:rsidR="008D479B" w:rsidRDefault="008D479B" w:rsidP="008D479B">
      <w:pPr>
        <w:pStyle w:val="TextoNormal"/>
      </w:pPr>
    </w:p>
    <w:p w14:paraId="5C8736A4" w14:textId="77777777" w:rsidR="008D479B" w:rsidRDefault="008D479B" w:rsidP="008D479B">
      <w:pPr>
        <w:pStyle w:val="TextoNormal"/>
      </w:pPr>
      <w:r>
        <w:t xml:space="preserve">En este sentido, ha de tenerse en cuenta que si bien una tasa de temporalidad es necesaria e inherente a cualquier organización, no lo es cuando deviene en estructural y supone en algunos sectores de la administración tasas cercanas al cincuenta por ciento de su personal. </w:t>
      </w:r>
    </w:p>
    <w:p w14:paraId="4CA52E9B" w14:textId="77777777" w:rsidR="008D479B" w:rsidRDefault="008D479B" w:rsidP="008D479B">
      <w:pPr>
        <w:pStyle w:val="TextoNormal"/>
      </w:pPr>
    </w:p>
    <w:p w14:paraId="0534FC90" w14:textId="77777777" w:rsidR="008D479B" w:rsidRDefault="008D479B" w:rsidP="008D479B">
      <w:pPr>
        <w:pStyle w:val="TextoNormal"/>
      </w:pPr>
      <w:r>
        <w:t xml:space="preserve">El escenario descrito ha de completarse con la importante incidencia que la Directiva 1999/70 CE del Consejo, de 28 de junio de 1999, relativa al acuerdo marco de la CES, la UNICE y el CEEP sobre el trabajo de duración determinada (en adelante, el acuerdo marco), ha tenido y tiene en el ordenamiento jurídico español y, por tanto, en la evolución de la jurisprudencia. </w:t>
      </w:r>
    </w:p>
    <w:p w14:paraId="47A348F9" w14:textId="77777777" w:rsidR="008D479B" w:rsidRDefault="008D479B" w:rsidP="008D479B">
      <w:pPr>
        <w:pStyle w:val="TextoNormal"/>
      </w:pPr>
    </w:p>
    <w:p w14:paraId="5225F8E9" w14:textId="77777777" w:rsidR="008D479B" w:rsidRDefault="008D479B" w:rsidP="008D479B">
      <w:pPr>
        <w:pStyle w:val="TextoNormal"/>
      </w:pPr>
      <w:r>
        <w:t xml:space="preserve">El acuerdo marco destaca en su preámbulo la preeminencia de la contratación indefinida como “forma más común de relación laboral” y persigue dos grandes objetivos: por una parte, mejorar la calidad del trabajo de duración determinada garantizando el respeto al principio de no discriminación y, por otra, establecer un marco para evitar los abusos derivados de la utilización de sucesivos contratos o relaciones laborales de duración determinada. </w:t>
      </w:r>
    </w:p>
    <w:p w14:paraId="2561D13A" w14:textId="77777777" w:rsidR="008D479B" w:rsidRDefault="008D479B" w:rsidP="008D479B">
      <w:pPr>
        <w:pStyle w:val="TextoNormal"/>
      </w:pPr>
    </w:p>
    <w:p w14:paraId="2BE21881" w14:textId="77777777" w:rsidR="008D479B" w:rsidRDefault="008D479B" w:rsidP="008D479B">
      <w:pPr>
        <w:pStyle w:val="TextoNormal"/>
      </w:pPr>
      <w:r>
        <w:t xml:space="preserve">Así, la cláusula 4. del acuerdo marco establece la equiparación entre personal temporal y fijo con base en el principio de no discriminación, salvo existencia de causas objetivas que justifiquen una diferencia en el régimen jurídico de ambas clases de personal. </w:t>
      </w:r>
    </w:p>
    <w:p w14:paraId="0231B85D" w14:textId="77777777" w:rsidR="008D479B" w:rsidRDefault="008D479B" w:rsidP="008D479B">
      <w:pPr>
        <w:pStyle w:val="TextoNormal"/>
      </w:pPr>
    </w:p>
    <w:p w14:paraId="1626F296" w14:textId="77777777" w:rsidR="008D479B" w:rsidRDefault="008D479B" w:rsidP="008D479B">
      <w:pPr>
        <w:pStyle w:val="TextoNormal"/>
      </w:pPr>
      <w:r>
        <w:t xml:space="preserve">Por su parte, la cláusula 5 del Acuerdo Marco prevé la adopción de medidas destinadas a evitar la utilización abusiva de nombramientos temporales. Si bien esta cláusula no tiene efecto directo, el Tribunal de Justicia de la Unión Europea (en adelante, TJUE) ha insistido en que la determinación del abuso corresponde a los jueces nacionales y que la aplicación de las soluciones efectivas y disuasorias dependen del Derecho nacional, instando a las autoridades nacionales a adoptar medidas efectivas y adecuadas para prevenir y, en su caso, sancionar un eventual uso abusivo de la temporalidad. </w:t>
      </w:r>
    </w:p>
    <w:p w14:paraId="65243CE6" w14:textId="77777777" w:rsidR="008D479B" w:rsidRDefault="008D479B" w:rsidP="008D479B">
      <w:pPr>
        <w:pStyle w:val="TextoNormal"/>
      </w:pPr>
    </w:p>
    <w:p w14:paraId="74CE8CF6" w14:textId="77777777" w:rsidR="008D479B" w:rsidRDefault="008D479B" w:rsidP="008D479B">
      <w:pPr>
        <w:pStyle w:val="TextoNormal"/>
      </w:pPr>
      <w:r>
        <w:t xml:space="preserve">En cualquier caso, el Tribunal de Justicia de la Unión Europea comparte la postura, defendida por España, de que no cabe en nuestra administración la transformación automática de una relación de servicio temporal en una relación de servicio permanente. Esta opción está excluida categóricamente en el Derecho español, ya que el acceso a la condición de funcionario de carrera o de personal laboral fijo sólo es posible a raíz de la superación de un proceso selectivo que garantice los principios constitucionales de igualdad, mérito y capacidad. </w:t>
      </w:r>
    </w:p>
    <w:p w14:paraId="09E96F8D" w14:textId="77777777" w:rsidR="008D479B" w:rsidRDefault="008D479B" w:rsidP="008D479B">
      <w:pPr>
        <w:pStyle w:val="TextoNormal"/>
      </w:pPr>
    </w:p>
    <w:p w14:paraId="7F1162F4" w14:textId="77777777" w:rsidR="008D479B" w:rsidRDefault="008D479B" w:rsidP="008D479B">
      <w:pPr>
        <w:pStyle w:val="TextoNormal"/>
      </w:pPr>
      <w:r>
        <w:t xml:space="preserve">En síntesis, la doctrina que ha fijado el Tribunal de Justicia de la Unión Europea en esta materia dispone que las autoridades españolas tienen que instaurar medidas efectivas que disuadan y, en su caso, sancionen de forma clara el abuso de la temporalidad; y que las diferencias en el régimen jurídico del personal temporal y del fijo deben basarse únicamente en razones objetivas que puedan demostrar la necesidad de estas diferencias para lograr su fin. </w:t>
      </w:r>
    </w:p>
    <w:p w14:paraId="0E410138" w14:textId="77777777" w:rsidR="008D479B" w:rsidRDefault="008D479B" w:rsidP="008D479B">
      <w:pPr>
        <w:pStyle w:val="TextoNormal"/>
      </w:pPr>
    </w:p>
    <w:p w14:paraId="118CEA85" w14:textId="77777777" w:rsidR="008D479B" w:rsidRDefault="008D479B" w:rsidP="008D479B">
      <w:pPr>
        <w:pStyle w:val="TextoNormal"/>
      </w:pPr>
      <w:r>
        <w:t>Estos parámetros determinan la actuación de la Comisión Europea, que en su papel de vigilante de la correcta aplicación del derecho derivado, también ha reclamado medidas contundentes para corregir esta situación.</w:t>
      </w:r>
    </w:p>
    <w:p w14:paraId="34825238" w14:textId="77777777" w:rsidR="008D479B" w:rsidRDefault="008D479B" w:rsidP="008D479B">
      <w:pPr>
        <w:pStyle w:val="TextoNormal"/>
      </w:pPr>
    </w:p>
    <w:p w14:paraId="38CA5A03" w14:textId="77777777" w:rsidR="008D479B" w:rsidRDefault="008D479B" w:rsidP="008D479B">
      <w:pPr>
        <w:pStyle w:val="TextoNormal"/>
      </w:pPr>
      <w:r>
        <w:t>[…]</w:t>
      </w:r>
    </w:p>
    <w:p w14:paraId="0A0A1D5A" w14:textId="77777777" w:rsidR="008D479B" w:rsidRDefault="008D479B" w:rsidP="008D479B">
      <w:pPr>
        <w:pStyle w:val="TextoNormal"/>
      </w:pPr>
    </w:p>
    <w:p w14:paraId="583B8715" w14:textId="77777777" w:rsidR="008D479B" w:rsidRDefault="008D479B" w:rsidP="008D479B">
      <w:pPr>
        <w:pStyle w:val="TextoNormal"/>
      </w:pPr>
      <w:r>
        <w:t xml:space="preserve">La necesidad de dar respuestas a este problema ha determinado que el plan de recuperación, transformación y resiliencia (en adelante, PRTR), ya evaluado favorablemente por la Comisión Europea en la propuesta de decisión de ejecución del Consejo, de 22 de junio de 2021, relativa a la aprobación de la evaluación del citado plan, contemple en su componente 11, relativo a la modernización de las administraciones públicas, la reforma referida a la reducción de la temporalidad en el empleo público. Esto supone un antes y un después a la hora de afrontar las reformas estructurales de calado para adaptar y hacer más eficiente el funcionamiento de las Administraciones Públicas, su régimen jurídico y la ineludible planificación de la gestión de los recursos humanos para garantizar la prestación de unos servicios públicos de calidad. </w:t>
      </w:r>
    </w:p>
    <w:p w14:paraId="4535AC7A" w14:textId="77777777" w:rsidR="008D479B" w:rsidRDefault="008D479B" w:rsidP="008D479B">
      <w:pPr>
        <w:pStyle w:val="TextoNormal"/>
      </w:pPr>
    </w:p>
    <w:p w14:paraId="20464EE2" w14:textId="77777777" w:rsidR="008D479B" w:rsidRDefault="008D479B" w:rsidP="008D479B">
      <w:pPr>
        <w:pStyle w:val="TextoNormal"/>
      </w:pPr>
      <w:r>
        <w:t>La primera de las actuaciones previstas por dicha reforma es precisamente la adopción de medidas para mejorar la eficiencia de los recursos humanos reduciendo los altos niveles de temporalidad y flexibilizando la gestión de los recursos humanos en las administraciones públicas. El objetivo de la reforma es situar la tasa de temporalidad estructural por debajo del 8 por ciento en el conjunto de las administraciones públicas españolas, actuando la reforma en tres dimensiones: adopción de medidas inmediatas para remediar la elevada temporalidad existente, articulación de medidas eficaces para prevenir y sancionar el abuso y el fraude en la temporalidad a futuro y, por último, potenciación de la adopción de herramientas y una cultura de la planificación para una mejor gestión de los de recursos humanos.</w:t>
      </w:r>
    </w:p>
    <w:p w14:paraId="5A4DB188" w14:textId="77777777" w:rsidR="008D479B" w:rsidRDefault="008D479B" w:rsidP="008D479B">
      <w:pPr>
        <w:pStyle w:val="TextoNormal"/>
      </w:pPr>
    </w:p>
    <w:p w14:paraId="3ABF3AB5" w14:textId="77777777" w:rsidR="008D479B" w:rsidRDefault="008D479B" w:rsidP="008D479B">
      <w:pPr>
        <w:pStyle w:val="TextoNormal"/>
      </w:pPr>
      <w:r>
        <w:t>[…]</w:t>
      </w:r>
    </w:p>
    <w:p w14:paraId="7CFA07DA" w14:textId="77777777" w:rsidR="008D479B" w:rsidRDefault="008D479B" w:rsidP="008D479B">
      <w:pPr>
        <w:pStyle w:val="TextoNormal"/>
      </w:pPr>
    </w:p>
    <w:p w14:paraId="13EF1F6C" w14:textId="77777777" w:rsidR="008D479B" w:rsidRDefault="008D479B" w:rsidP="008D479B">
      <w:pPr>
        <w:pStyle w:val="TextoNormal"/>
      </w:pPr>
      <w:r>
        <w:t>El artículo 86 de la Constitución Española permite al Gobierno dictar reales decretos-leyes “en caso de extraordinaria y urgente necesidad”, siempre que no afecten al ordenamiento de las instituciones básicas del Estado, a los derechos, deberes y libertades de los ciudadanos regulados en el título I de la Constitución, al régimen de las comunidades autónomas ni al Derecho electoral general.</w:t>
      </w:r>
    </w:p>
    <w:p w14:paraId="0F6D0D73" w14:textId="77777777" w:rsidR="008D479B" w:rsidRDefault="008D479B" w:rsidP="008D479B">
      <w:pPr>
        <w:pStyle w:val="TextoNormal"/>
      </w:pPr>
    </w:p>
    <w:p w14:paraId="38AA9176" w14:textId="77777777" w:rsidR="008D479B" w:rsidRDefault="008D479B" w:rsidP="008D479B">
      <w:pPr>
        <w:pStyle w:val="TextoNormal"/>
      </w:pPr>
      <w:r>
        <w:t>El real decreto-ley constituye un instrumento constitucionalmente lícito, siempre que, tal como reiteradamente ha exigido nuestro Tribunal Constitucional (sentencias 6/1983, de 4 de febrero, F. 5; 11/2002, de 17 de enero, F. 4, 137/2003, de 3 de julio, F. 3, y 189/2005, de 7 julio, F. 3; 68/2007, F. 10, y 137/2011, F. 7), el fin que justifica la legislación de urgencia sea subvenir a una situación concreta, dentro de los objetivos gubernamentales, que por razones difíciles de prever requiere una acción normativa inmediata en un plazo más breve que el requerido por la vía normal o por el procedimiento de urgencia para la tramitación parlamentaria de las leyes, máxime cuando la determinación de dicho procedimiento no depende del Gobierno.</w:t>
      </w:r>
    </w:p>
    <w:p w14:paraId="13DEBB2B" w14:textId="77777777" w:rsidR="008D479B" w:rsidRDefault="008D479B" w:rsidP="008D479B">
      <w:pPr>
        <w:pStyle w:val="TextoNormal"/>
      </w:pPr>
    </w:p>
    <w:p w14:paraId="2DA31485" w14:textId="77777777" w:rsidR="008D479B" w:rsidRDefault="008D479B" w:rsidP="008D479B">
      <w:pPr>
        <w:pStyle w:val="TextoNormal"/>
      </w:pPr>
      <w:r>
        <w:t>Asimismo, la apreciación de la extraordinaria y urgente necesidad de aprobar las medidas que se incluyen en este real decreto-ley forma parte del juicio político o de oportunidad que corresponde al Gobierno (SSTC 61/2018, de 7 de junio, FJ 4; 142/2014, de 11 de septiembre, FJ 3) y esta decisión, sin duda, supone una ordenación de prioridades políticas de actuación. En este caso, se trata de medidas dirigidas a incrementar la eficiencia en el funcionamiento de las administraciones públicas, y centradas en dar una respuesta adecuada que permita establecer la necesaria seguridad jurídica y la protección de los colectivos que pudieran resultar vulnerables ante la concurrencia de la situación descrita y que se definen por su condición extraordinaria y urgente.</w:t>
      </w:r>
    </w:p>
    <w:p w14:paraId="7638BD37" w14:textId="77777777" w:rsidR="008D479B" w:rsidRDefault="008D479B" w:rsidP="008D479B">
      <w:pPr>
        <w:pStyle w:val="TextoNormal"/>
      </w:pPr>
    </w:p>
    <w:p w14:paraId="473A3C26" w14:textId="77777777" w:rsidR="008D479B" w:rsidRDefault="008D479B" w:rsidP="008D479B">
      <w:pPr>
        <w:pStyle w:val="TextoNormal"/>
      </w:pPr>
      <w:r>
        <w:t>Todas las razones expuestas justifican amplia y razonadamente la adopción de la presente norma (SSTC 29/1982, de 31 de mayo, FJ 3; 111/1983, de 2 de diciembre, FJ 5; 182/1997, de 20 de octubre, FJ 3), existiendo la necesaria conexión entre la situación de urgencia expuesta y la medida concreta adoptada para subvenir a ella, sin que constituya un supuesto de uso abusivo o arbitrario del referido instrumento constitucional.</w:t>
      </w:r>
    </w:p>
    <w:p w14:paraId="5E2D81C5" w14:textId="77777777" w:rsidR="008D479B" w:rsidRDefault="008D479B" w:rsidP="008D479B">
      <w:pPr>
        <w:pStyle w:val="TextoNormal"/>
      </w:pPr>
    </w:p>
    <w:p w14:paraId="68C76267" w14:textId="77777777" w:rsidR="008D479B" w:rsidRDefault="008D479B" w:rsidP="008D479B">
      <w:pPr>
        <w:pStyle w:val="TextoNormal"/>
      </w:pPr>
      <w:r>
        <w:t>La adecuada fiscalización del recurso al real decreto-ley requiere el análisis de dos aspectos desde la perspectiva constitucional: por un lado, la presentación explícita y razonada de los motivos que han sido tenidos en cuenta por el Gobierno en su aprobación (SSTC 29/1982, de 31 de mayo, FJ 3; 111/1983, de 2 de diciembre, FJ 5; 182/1997, de 20 de octubre, FJ 3, y 137/2003, de 3 de julio, FJ 4) y, por otro lado, la existencia de una necesaria conexión entre la situación de urgencia definida y la medida concreta adoptada para subvenir a ella (SSTC 29/1982, de 31 de mayo, FJ 3; 182/1997, de 20 de octubre, FJ 3, y 137/2003, de 3 de julio, FJ 4).</w:t>
      </w:r>
    </w:p>
    <w:p w14:paraId="42716F17" w14:textId="77777777" w:rsidR="008D479B" w:rsidRDefault="008D479B" w:rsidP="008D479B">
      <w:pPr>
        <w:pStyle w:val="TextoNormal"/>
      </w:pPr>
    </w:p>
    <w:p w14:paraId="441D76F5" w14:textId="77777777" w:rsidR="008D479B" w:rsidRDefault="008D479B" w:rsidP="008D479B">
      <w:pPr>
        <w:pStyle w:val="TextoNormal"/>
      </w:pPr>
      <w:r>
        <w:t>En cuanto a la definición de la situación de urgencia, se ha precisado que no es necesario que tal definición expresa de la extraordinaria y urgente necesidad haya de contenerse siempre en el propio real decreto-ley, sino que tal presupuesto cabe deducirlo igualmente de una pluralidad de elementos. El examen de la concurrencia del presupuesto habilitante de la “extraordinaria y urgente necesidad” siempre se ha de llevar a cabo mediante la valoración conjunta de todos aquellos factores que determinaron al Gobierno a dictar la disposición legal excepcional y que son, básicamente, los que quedan reflejados en el preámbulo, en el debate parlamentario de convalidación y en el propio expediente de elaboración de la misma (SSTC 29/1982, de 31 de mayo, FJ 4; 182/1997, de 28 de octubre, FJ 4; 11/2002, de 17 de enero, FJ 4, y 137/2003, de 3 de julio, FJ 3).</w:t>
      </w:r>
    </w:p>
    <w:p w14:paraId="1EDF0E59" w14:textId="77777777" w:rsidR="008D479B" w:rsidRDefault="008D479B" w:rsidP="008D479B">
      <w:pPr>
        <w:pStyle w:val="TextoNormal"/>
      </w:pPr>
    </w:p>
    <w:p w14:paraId="1E5077C3" w14:textId="77777777" w:rsidR="008D479B" w:rsidRDefault="008D479B" w:rsidP="008D479B">
      <w:pPr>
        <w:pStyle w:val="TextoNormal"/>
      </w:pPr>
      <w:r>
        <w:t>En todo caso, la doctrina constitucional viene señalando que la extraordinaria y urgente necesidad a que alude el artículo 86.1 de la Constitución Española supone un requisito o presupuesto habilitante de inexcusable concurrencia para que el Gobierno pueda dictar normas con rango de ley, lo que se erige en auténtico límite jurídico de la actuación gubernamental mediante decretos-leyes. (SSTC 100/2012, de 8 de mayo, FJ 8; 26/2016, de 18 de febrero, FJ 2, y 125/2016, de 7 de julio, FJ 2). La definición de la situación de extraordinaria y urgente necesidad que justifica la aprobación de la norma ha de ser explícita, razonada y concreta, sin que pueda realizarse mediante fórmulas rituales o genéricas, aplicables de modo intercambiable a todo tipo de realidades (SSTC 95/2015, de 14 de mayo, FJ 4; 215/2015, FJ 4).</w:t>
      </w:r>
    </w:p>
    <w:p w14:paraId="32BCE512" w14:textId="77777777" w:rsidR="008D479B" w:rsidRDefault="008D479B" w:rsidP="008D479B">
      <w:pPr>
        <w:pStyle w:val="TextoNormal"/>
      </w:pPr>
    </w:p>
    <w:p w14:paraId="41CD7670" w14:textId="77777777" w:rsidR="008D479B" w:rsidRDefault="008D479B" w:rsidP="008D479B">
      <w:pPr>
        <w:pStyle w:val="TextoNormal"/>
      </w:pPr>
      <w:r>
        <w:t>La tasa de temporalidad registrada en el empleo público es ya superior a la registrada en el sector privado. Esta situación no solo se aleja de forma manifiesta del modelo de función pública configurado por nuestra Constitución Española, sino que compromete la adecuada prestación de los servicios públicos, en la medida en que la temporalidad impide articular políticas de recursos humanos dirigidas a garantizar la calidad de los servicios públicos.</w:t>
      </w:r>
    </w:p>
    <w:p w14:paraId="419C92FB" w14:textId="77777777" w:rsidR="008D479B" w:rsidRDefault="008D479B" w:rsidP="008D479B">
      <w:pPr>
        <w:pStyle w:val="TextoNormal"/>
      </w:pPr>
    </w:p>
    <w:p w14:paraId="2AC814CE" w14:textId="77777777" w:rsidR="008D479B" w:rsidRDefault="008D479B" w:rsidP="008D479B">
      <w:pPr>
        <w:pStyle w:val="TextoNormal"/>
      </w:pPr>
      <w:r>
        <w:t>En un contexto en que la intervención de los poderes públicos resulta crítica para mitigar los impactos de la crisis sanitaria en el tejido social y económico, así como para proporcionar los cimientos de la recuperación, la adopción de medidas que permitan controlar y reducir el exceso de temporalidad deviene perentoria para garantizar los principios de eficacia y eficiencia en el funcionamiento de las administraciones públicas.</w:t>
      </w:r>
    </w:p>
    <w:p w14:paraId="2C984F9C" w14:textId="77777777" w:rsidR="008D479B" w:rsidRDefault="008D479B" w:rsidP="008D479B">
      <w:pPr>
        <w:pStyle w:val="TextoNormal"/>
      </w:pPr>
    </w:p>
    <w:p w14:paraId="5451A504" w14:textId="77777777" w:rsidR="008D479B" w:rsidRDefault="008D479B" w:rsidP="008D479B">
      <w:pPr>
        <w:pStyle w:val="TextoNormal"/>
      </w:pPr>
      <w:r>
        <w:t>Esta situación no ha pasado inadvertida a las instituciones de la Unión Europea. Tanto la Comisión Europea, con ocasión de los informes elaborados en el marco del semestre europeo, como el propio Consejo, en las recomendaciones específicas dirigidas a nuestro país, han subrayado insistentemente la necesidad de poner fin a la elevada temporalidad en el empleo público.</w:t>
      </w:r>
    </w:p>
    <w:p w14:paraId="0784BA0E" w14:textId="77777777" w:rsidR="008D479B" w:rsidRDefault="008D479B" w:rsidP="008D479B">
      <w:pPr>
        <w:pStyle w:val="TextoNormal"/>
      </w:pPr>
    </w:p>
    <w:p w14:paraId="045BC7B6" w14:textId="77777777" w:rsidR="008D479B" w:rsidRDefault="008D479B" w:rsidP="008D479B">
      <w:pPr>
        <w:pStyle w:val="TextoNormal"/>
      </w:pPr>
      <w:r>
        <w:t>Ello ha motivado que, de conformidad con lo dispuesto en el artículo 17.3 del Reglamento (UE) 2021/241 del Parlamento Europeo y del Consejo, de 12 de febrero de 2021, por el que se establece el mecanismo de recuperación y resiliencia, y que dispone que “los planes de recuperación y resiliencia serán coherentes con los retos y prioridades específicos de cada país, determinados en el marco del semestre europeo”, en el componente 11 del plan de recuperación, transformación y resiliencia presentado el pasado 30 de abril, referido a la modernización de las administraciones públicas, España se haya comprometido a adoptar una reforma normativa al término del primer semestre de 2021 que articule medidas eficaces, proporcionadas y disuasorias para poner fin a la excesiva temporalidad en el empleo público. Esta reforma ha merecido un juicio favorable de la Comisión Europea, reflejado en el informe que acompaña la propuesta de decisión de ejecución del Consejo, de 22 de junio de 2021, relativa a la aprobación de la evaluación del citado plan, en el que se señala específicamente que “el plan de España contiene medidas que deberían contribuir significativamente a la reducción de la elevada proporción de contratos temporales que también se observa en el sector público”.</w:t>
      </w:r>
    </w:p>
    <w:p w14:paraId="0D3D7C8B" w14:textId="77777777" w:rsidR="008D479B" w:rsidRDefault="008D479B" w:rsidP="008D479B">
      <w:pPr>
        <w:pStyle w:val="TextoNormal"/>
      </w:pPr>
    </w:p>
    <w:p w14:paraId="434A760B" w14:textId="77777777" w:rsidR="008D479B" w:rsidRDefault="008D479B" w:rsidP="008D479B">
      <w:pPr>
        <w:pStyle w:val="TextoNormal"/>
      </w:pPr>
      <w:r>
        <w:t>El Reglamento (UE) 2021/241, de 12 de febrero de 2021, dispone que la liberación de los fondos en el marco del mecanismo depende del cumplimiento satisfactorio por parte de los Estados miembros de los hitos y objetivos pertinentes que figuren en los planes de recuperación y resiliencia. A la vista del plazo comprometido en el plan para la aprobación de la reforma, referido al primer semestre de 2021, no resulta posible acudir a la tramitación de un proyecto de ley por la vía de urgencia y la única opción posible para asegurar el cumplimiento del compromiso es acudir a la figura del real decreto-ley.</w:t>
      </w:r>
    </w:p>
    <w:p w14:paraId="7074FA2D" w14:textId="77777777" w:rsidR="008D479B" w:rsidRDefault="008D479B" w:rsidP="008D479B">
      <w:pPr>
        <w:pStyle w:val="TextoNormal"/>
      </w:pPr>
    </w:p>
    <w:p w14:paraId="28CE6F52" w14:textId="77777777" w:rsidR="008D479B" w:rsidRDefault="008D479B" w:rsidP="008D479B">
      <w:pPr>
        <w:pStyle w:val="TextoNormal"/>
      </w:pPr>
      <w:r>
        <w:t>Existe, además, otra circunstancia que caracteriza de forma sobrevenida la concurrencia del presupuesto habilitante, vinculada a uno de los últimos desarrollos de la ya extensa jurisprudencia del Tribunal de Justicia de la Unión Europea en relación con la interpretación de la Directiva 1999/70 (CE) del Consejo, de 28 de junio de 1999. La sentencia dictada por el Tribunal de Justicia de la Unión Europea en el asunto C-726/19 (</w:t>
      </w:r>
      <w:r w:rsidRPr="008D479B">
        <w:rPr>
          <w:i/>
        </w:rPr>
        <w:t>IMIDRA</w:t>
      </w:r>
      <w:r>
        <w:t>), de 3 de junio de 2021, ha propiciado una nueva reflexión sobre determinados aspectos de la jurisprudencia de los órganos jurisdiccionales nacionales, reflejada en la reciente sentencia dictada en unificación de doctrina por el Tribunal Supremo, Sala de lo Social, núm. 649/2021, de 28 de junio. A la luz de esta evolución se hace necesaria una intervención urgente del legislador a fin de precisar el régimen jurídico aplicable, de forma que pueda conjugarse adecuadamente el efecto útil de la directiva mencionada con el aseguramiento de los principios constitucionales de igualdad, mérito y capacidad en el acceso al empleo público.</w:t>
      </w:r>
    </w:p>
    <w:p w14:paraId="6C8A4952" w14:textId="77777777" w:rsidR="008D479B" w:rsidRDefault="008D479B" w:rsidP="008D479B">
      <w:pPr>
        <w:pStyle w:val="TextoNormal"/>
      </w:pPr>
    </w:p>
    <w:p w14:paraId="53315859" w14:textId="77777777" w:rsidR="008D479B" w:rsidRDefault="008D479B" w:rsidP="008D479B">
      <w:pPr>
        <w:pStyle w:val="TextoNormal"/>
      </w:pPr>
      <w:r>
        <w:t>En cuanto a la segunda dimensión del presupuesto habilitante de la legislación de urgencia, concebida como conexión de sentido entre la situación de necesidad definida y las medidas que en el real decreto-ley se adoptan, el hecho de que se considere una reforma estructural no impide, por sí sola, la utilización de la figura del decreto-ley; pues, y esto es particularmente pertinente en el supuesto que se analiza, el posible carácter estructural del problema que se pretende atajar no excluye que dicho problema pueda convertirse en un momento dado en un supuesto de extraordinaria y urgente necesidad, como ocurre en el caso que nos ocupa tras los últimos pronunciamientos judiciales, para cuyo tratamiento representa un instrumento constitucionalmente lícito, en tanto que pertinente y adecuado para la consecución del fin que justifica la legislación de urgencia, que no es otro que subvenir a “situaciones concretas de los objetivos gubernamentales que por razones difíciles de prever requieran una acción normativa inmediata en un plazo más breve que el requerido por la vía normal o por el procedimiento de urgencia para la tramitación parlamentaria de las leyes” (SSTC 31/2011, de 17 de marzo, FJ 4; 137/2011, de 14 de septiembre, FJ 6, y 100/2012, de 8 de mayo, FJ 8).</w:t>
      </w:r>
    </w:p>
    <w:p w14:paraId="41B44BE5" w14:textId="77777777" w:rsidR="008D479B" w:rsidRDefault="008D479B" w:rsidP="008D479B">
      <w:pPr>
        <w:pStyle w:val="TextoNormal"/>
      </w:pPr>
    </w:p>
    <w:p w14:paraId="265B765E" w14:textId="77777777" w:rsidR="008D479B" w:rsidRDefault="008D479B" w:rsidP="008D479B">
      <w:pPr>
        <w:pStyle w:val="TextoNormal"/>
      </w:pPr>
      <w:r>
        <w:t>Las medidas contenidas en el real decreto-ley pretenden garantizar que las administraciones públicas inician una senda de reequilibrio que aporte credibilidad a la evolución futura de la temporalidad en el empleo público, a fin de situar la tasa de cobertura temporal por debajo del ocho por ciento de las plazas estructurales, y, en esa medida, puede predicarse de cada una de ellas la conexión de sentido requerida por la jurisprudencia constitucional.</w:t>
      </w:r>
    </w:p>
    <w:p w14:paraId="2040E1A5" w14:textId="77777777" w:rsidR="008D479B" w:rsidRDefault="008D479B" w:rsidP="008D479B">
      <w:pPr>
        <w:pStyle w:val="TextoNormal"/>
      </w:pPr>
    </w:p>
    <w:p w14:paraId="1DE73D22" w14:textId="77777777" w:rsidR="008D479B" w:rsidRDefault="008D479B" w:rsidP="008D479B">
      <w:pPr>
        <w:pStyle w:val="TextoNormal"/>
      </w:pPr>
      <w:r>
        <w:t>Hacia el pasado, la reforma activa en el artículo 2 un último proceso de estabilización de plazas de carácter estructural que se suma a los ya iniciados en 2017 y 2018, y establece plazos tasados para asegurar el cumplimiento del hito de ejecución de todas las ofertas antes del 31 de diciembre de 2024, evitando de esta forma que se produzcan dilaciones que comprometan el objetivo de estabilización de plazas de carácter estructural. En todo caso, estos procesos deberán desarrollarse con arreglo a los principios de libre concurrencia, igualdad, mérito y capacidad y se prevén compensaciones para el personal funcionario interino o el personal laboral temporal que, estando en activo como tal, viera finalizada su relación con la administración por la no superación del proceso selectivo de estabilización.</w:t>
      </w:r>
    </w:p>
    <w:p w14:paraId="4A96B81A" w14:textId="77777777" w:rsidR="008D479B" w:rsidRDefault="008D479B" w:rsidP="008D479B">
      <w:pPr>
        <w:pStyle w:val="TextoNormal"/>
      </w:pPr>
    </w:p>
    <w:p w14:paraId="08BA340B" w14:textId="77777777" w:rsidR="008D479B" w:rsidRDefault="008D479B" w:rsidP="008D479B">
      <w:pPr>
        <w:pStyle w:val="TextoNormal"/>
      </w:pPr>
      <w:r>
        <w:t>Hacia el futuro, la reforma de la legislación básica pretende activar un conjunto de medidas regulatorias directamente ordenadas a atajar la excesiva temporalidad. Las medidas de carácter preventivo actúan mediante una delimitación de la causa y término en la figura del personal funcionario interino y se dirigen a evitar un uso indebido de esta figura; descartar cualquier expectativa de permanencia tras su selección por procedimientos presididos por la publicidad, igualdad, mérito, capacidad y celeridad, y objetivar las causas de terminación de la relación interina, ofreciendo mayor claridad sobre la duración máxima de la permanencia de este personal. Al propio tiempo se aplica al personal funcionario interino el régimen general del personal funcionario de carrera en cuanto sea adecuado a la naturaleza de su condición temporal y al carácter extraordinario y urgente de su nombramiento, salvo aquellos derechos inherentes a la condición de funcionario de carrera.</w:t>
      </w:r>
    </w:p>
    <w:p w14:paraId="2D4DA8B4" w14:textId="77777777" w:rsidR="008D479B" w:rsidRDefault="008D479B" w:rsidP="008D479B">
      <w:pPr>
        <w:pStyle w:val="TextoNormal"/>
      </w:pPr>
    </w:p>
    <w:p w14:paraId="7A1796D4" w14:textId="77777777" w:rsidR="008D479B" w:rsidRDefault="008D479B" w:rsidP="008D479B">
      <w:pPr>
        <w:pStyle w:val="TextoNormal"/>
      </w:pPr>
      <w:r>
        <w:t>Asimismo, se recogen las medidas que contemplan, en línea con la jurisprudencia del Tribunal de Justicia de la Unión Europea, sanciones efectivas, proporcionadas y disuasorias. Se establece en primer término la obligación que corresponde a las administraciones públicas de evitar cualquier tipo de irregularidad en la contratación laboral temporal y nombramientos de personal funcionario interino, para lo cual promoverán la adopción de criterios de actuación y una actuación coordinada de los órganos con responsabilidades en materia de gestión de personal. Seguidamente se dispone que las actuaciones irregulares en la presente materia darán lugar a la exigencia de las responsabilidades que procedan de conformidad con la normativa vigente en cada una de las administraciones públicas. En tercer lugar, se contempla la nulidad de pleno derecho de todo acto, pacto, acuerdo o disposición reglamentaria, así como las medidas que se adopten en su cumplimiento o desarrollo, cuyo contenido directa o indirectamente suponga el incumplimiento por parte de la administración de los plazos máximos de permanencia como personal temporal. En cuarto lugar, en el caso de las interinidades por vacante se establece que, transcurridos tres años desde el nombramiento, se producirá el fin de la relación de interinidad, y la vacante sólo podrá ser ocupada por personal funcionario de carrera, salvo que el correspondiente proceso selectivo quede desierto. Por último, se prevé un régimen de compensaciones aplicable tanto al personal funcionario interino como al personal laboral temporal en los supuestos de incumplimiento de los plazos máximos de permanencia.</w:t>
      </w:r>
    </w:p>
    <w:p w14:paraId="4F35B489" w14:textId="77777777" w:rsidR="008D479B" w:rsidRDefault="008D479B" w:rsidP="008D479B">
      <w:pPr>
        <w:pStyle w:val="TextoNormal"/>
      </w:pPr>
    </w:p>
    <w:p w14:paraId="20AA6920" w14:textId="77777777" w:rsidR="008D479B" w:rsidRDefault="008D479B" w:rsidP="008D479B">
      <w:pPr>
        <w:pStyle w:val="TextoNormal"/>
      </w:pPr>
      <w:r>
        <w:t>En suma, en las medidas que se adoptan en el presente real decreto-ley concurren las circunstancias de extraordinaria y urgente necesidad previstas en el artículo 86 de la Constitución Española, considerando, por otra parte, que los objetivos que se pretenden alcanzar con el mismo no pueden conseguirse a través de la tramitación de una ley por el procedimiento de urgencia, y sin que este real decreto-ley constituya un supuesto de uso abusivo o arbitrario de este instrumento constitucional (SSTC 61/2018, de 7 de junio, FJ 4; 100/2012, de 8 de mayo, FJ 8; 237/2012, de 13 de diciembre, FJ 4; 39/2013, de 14 de febrero, FJ 5).</w:t>
      </w:r>
    </w:p>
    <w:p w14:paraId="56F03B99" w14:textId="77777777" w:rsidR="008D479B" w:rsidRDefault="008D479B" w:rsidP="008D479B">
      <w:pPr>
        <w:pStyle w:val="TextoNormal"/>
      </w:pPr>
    </w:p>
    <w:p w14:paraId="667555D9" w14:textId="77777777" w:rsidR="008D479B" w:rsidRDefault="008D479B" w:rsidP="008D479B">
      <w:pPr>
        <w:pStyle w:val="TextoNormal"/>
      </w:pPr>
      <w:r>
        <w:t>Asimismo, debe señalarse que este real decreto-ley no afecta al ordenamiento de las instituciones básicas del Estado, a los derechos, deberes y libertades de los ciudadanos regulados en el título I de la Constitución Española, al régimen de las comunidades autónomas ni al Derecho electoral general.</w:t>
      </w:r>
    </w:p>
    <w:p w14:paraId="33B5C6B3" w14:textId="77777777" w:rsidR="008D479B" w:rsidRDefault="008D479B" w:rsidP="008D479B">
      <w:pPr>
        <w:pStyle w:val="TextoNormal"/>
      </w:pPr>
    </w:p>
    <w:p w14:paraId="51A36DEB" w14:textId="77777777" w:rsidR="008D479B" w:rsidRDefault="008D479B" w:rsidP="008D479B">
      <w:pPr>
        <w:pStyle w:val="TextoNormal"/>
      </w:pPr>
      <w:r>
        <w:t>En primer lugar, y en cuanto a la afectación al régimen de las comunidades autónomas, se trata de un límite que la doctrina del Tribunal Constitucional ha considerado de modo flexible y finalista, de manera que, como sintetiza la STC 23/1993, de 21 de enero (FJ 2): “[…] ha de tenerse en cuenta que el artículo 86.1 CE utiliza un término ‘régimen de las comunidades autónomas’ más extenso y comprensivo que el mero de ‘estatutos de autonomía’, por lo que dicha expresión ha de ser interpretada, como ha señalado la STC 29/1986 ‘en el sentido de que el decreto-ley no puede afectar al régimen constitucional de las comunidades autónomas, incluida la posición institucional que les otorga la Constitución’. De ese ‘régimen constitucional’ forman parte los estatutos, que no pueden ser alterados por un decreto-ley, pero también se incluyen otras leyes estatales atributivas de competencias, que forman parte del bloque de constitucionalidad, así como las leyes atributivas de competencia del artículo 150.1 CE, las leyes de armonización del artículo 150.3, y las leyes Orgánicas a que se refiere el artículo 150.2 CE Por tanto, el decreto-ley no puede regular objetos propios de aquellas leyes que, conforme al artículo 28.1 LOTC hayan sido aprobadas, dentro del marco constitucional, para delimitar las competencias del Estado y de las diferentes comunidades autónomas o para regular o armonizar el ejercicio de las competencias de estas. Más allá de ese ‘régimen constitucional’ el campo normativo de los decretos-leyes se corresponde con la competencia legislativa del Estado, no existe obstáculo constitucional alguno para que el decreto-ley, en el ámbito de la competencia legislativa que corresponde al Estado pueda regular materias en las que una comunidad autónoma tenga competencias, pero en las que incida una competencia legislativa del Estado, siempre que esa regulación no tenga como fin atribuir competencias o delimitar positivamente la esfera de competencias de las comunidades autónomas. Ciertamente, el ejercicio de las competencias de un ente puede afectar en alguna medida a las del otro. Pero cuando la Constitución veda al decreto-ley ‘afectar’ al régimen de las comunidades autónomas, se refiere a una delimitación directa y positiva de las competencias mediante tal instrumento normativo, y no a cualquier regulación que indirectamente ‘incida’ en las competencias autonómicas. De otro modo, se vaciarían prácticamente de contenido los ámbitos de regulación sobre los que el decreto-ley puede proyectarse, puesto que es muy difícil encontrar un objeto normativo en el que no incida de uno u otro modo alguna competencia autonómica”.</w:t>
      </w:r>
    </w:p>
    <w:p w14:paraId="340B3212" w14:textId="77777777" w:rsidR="008D479B" w:rsidRDefault="008D479B" w:rsidP="008D479B">
      <w:pPr>
        <w:pStyle w:val="TextoNormal"/>
      </w:pPr>
    </w:p>
    <w:p w14:paraId="3C67E5A4" w14:textId="77777777" w:rsidR="008D479B" w:rsidRDefault="008D479B" w:rsidP="008D479B">
      <w:pPr>
        <w:pStyle w:val="TextoNormal"/>
      </w:pPr>
      <w:r>
        <w:t>Desde esta perspectiva se entiende que no hay afectación al régimen de las comunidades autónomas en la medida en que el real decreto-ley proyectado no afecta a la posición institucional de las comunidades autónomas ni delimita de forma directa y positiva las competencias que aquellas tienen atribuidas, y se dicta en el ámbito propio de las competencias exclusivas en materia de legislación laboral; bases del régimen jurídico de las administraciones públicas y del régimen estatutario de sus funcionarios; y bases y coordinación de la planificación general de la actividad económica, que las reglas 7, 18 y 13, respectivamente, del artículo 149.1 de la Constitución Española reservan al Estado, y sin perjuicio de las competencias autonómicas en la materia.</w:t>
      </w:r>
    </w:p>
    <w:p w14:paraId="7ED86AF5" w14:textId="77777777" w:rsidR="008D479B" w:rsidRDefault="008D479B" w:rsidP="008D479B">
      <w:pPr>
        <w:pStyle w:val="TextoNormal"/>
      </w:pPr>
    </w:p>
    <w:p w14:paraId="3A69121D" w14:textId="77777777" w:rsidR="008D479B" w:rsidRDefault="008D479B" w:rsidP="008D479B">
      <w:pPr>
        <w:pStyle w:val="TextoNormal"/>
      </w:pPr>
      <w:r>
        <w:t>En segundo lugar, en cuanto a la prohibición de afectación a los derechos, deberes y libertades de los ciudadanos regulados en el título I de la Constitución Española, una muy consolidada doctrina del Tribunal Constitucional la interpreta en los siguientes términos, que resume la STC 139/2016, de 31 de julio (FJ 6): “1.) El artículo 86.1 CE impide que con el decreto-ley queden afectados los derechos, deberes y libertades de los ciudadanos regulados en el título I CE, pero este tribunal ha rechazado una interpretación extensiva de dicho límite que supondría el vaciamiento de la figura del decreto-ley, haciéndolo ‘inservible para regular con mayor o menor incidencia cualquier aspecto concerniente a las materias incluidas en el título I de la Constitución’. 2.) La cláusula restrictiva debe ser entendida de modo que no se reduzca a la nada la figura del decreto-ley, de suerte que lo que se prohíbe constitucionalmente es que se regule un régimen general de estos derechos, deberes y libertades o que vaya en contra del contenido o elementos esenciales de algunos de tales derechos (STC 111/1983, de 2 de diciembre, FJ 8, confirmada por otras posteriores). 3.) El Tribunal no debe fijarse únicamente en el modo en que se manifiesta el principio de reserva de ley en una determinada materia, sino más bien ha de examinar si ha existido ‘afectación’ por el decreto-ley de un derecho, deber o libertad regulado en el título I CE, lo que exigirá tener en cuenta la configuración constitucional del derecho, deber o libertad afectado en cada caso e incluso su ubicación sistemática en el texto constitucional y la naturaleza y alcance de la concreta regulación de que se trate (…)” En el presente caso, varios aspectos de la regulación que se propone inciden en una materia, como es el acceso al empleo público, conectada al derecho fundamental establecido en el artículo 23.2 de la Constitución, que reconoce el derecho de los ciudadanos “a acceder en condiciones de igualdad a las funciones y cargos públicos, con los requisitos que señalen las leyes”. Ahora bien, en aplicación de la doctrina constitucional antes expuesta, se considera que el objeto de la norma en su actual definición tiene a estos efectos un alcance limitado, en el sentido de que ni establece el régimen general de acceso a la función pública, ni supone una delimitación específica del núcleo del derecho fundamental al acceso en condiciones de igualdad a las funciones y cargos públicos, y por ello no se adentra en un ámbito material vedado al instrumento del real decreto-ley, sin perjuicio de que, en su configuración concreta, sus preceptos deban atenerse a las exigencias de igualdad en el acceso al empleo público que impone aquel derecho fundamental.</w:t>
      </w:r>
    </w:p>
    <w:p w14:paraId="572887BB" w14:textId="77777777" w:rsidR="008D479B" w:rsidRDefault="008D479B" w:rsidP="008D479B">
      <w:pPr>
        <w:pStyle w:val="TextoNormal"/>
      </w:pPr>
    </w:p>
    <w:p w14:paraId="2F083A29" w14:textId="77777777" w:rsidR="008D479B" w:rsidRDefault="008D479B" w:rsidP="008D479B">
      <w:pPr>
        <w:pStyle w:val="TextoNormal"/>
      </w:pPr>
      <w:r>
        <w:t>Este real decreto-ley responde a los principios de buena regulación de necesidad, eficacia, proporcionalidad, seguridad jurídica, transparencia, y eficiencia, de conformidad con el artículo 129 de la Ley 39/2015, de 1 de octubre, del procedimiento administrativo común de las administraciones públicas.</w:t>
      </w:r>
    </w:p>
    <w:p w14:paraId="058CD631" w14:textId="77777777" w:rsidR="008D479B" w:rsidRDefault="008D479B" w:rsidP="008D479B">
      <w:pPr>
        <w:pStyle w:val="TextoNormal"/>
      </w:pPr>
    </w:p>
    <w:p w14:paraId="46AFFA92" w14:textId="77777777" w:rsidR="008D479B" w:rsidRDefault="008D479B" w:rsidP="008D479B">
      <w:pPr>
        <w:pStyle w:val="TextoNormal"/>
      </w:pPr>
      <w:r>
        <w:t>A estos efectos, se pone de manifiesto el cumplimiento de los principios de necesidad y eficacia, dado el interés general en que se fundamentan las medidas que se establecen, siendo el real decreto-ley el instrumento más inmediato para garantizar su consecución. La norma es acorde con el principio de proporcionalidad, al contener la regulación imprescindible para la consecución de los objetivos previamente mencionados. Igualmente, se ajusta al principio de seguridad jurídica, siendo coherente con el resto del ordenamiento jurídico. En cuanto al principio de transparencia, la norma está exenta de los trámites de consulta pública, audiencia e información pública que no son aplicables a la tramitación y aprobación de decretos-leyes. Por último, en relación con el principio de eficiencia, este real decreto-ley no impone cargas administrativas para los ciudadanos.</w:t>
      </w:r>
    </w:p>
    <w:p w14:paraId="0DE0BF8A" w14:textId="77777777" w:rsidR="008D479B" w:rsidRDefault="008D479B" w:rsidP="008D479B">
      <w:pPr>
        <w:pStyle w:val="TextoNormal"/>
      </w:pPr>
    </w:p>
    <w:p w14:paraId="474CE935" w14:textId="77777777" w:rsidR="008D479B" w:rsidRDefault="008D479B" w:rsidP="008D479B">
      <w:pPr>
        <w:pStyle w:val="TextoNormal"/>
      </w:pPr>
      <w:r>
        <w:t>Este real decreto-ley se dicta al amparo del artículo 149.1.7 y 18 de la Constitución Española, que atribuyen al Estado la competencia exclusiva en materia de legislación laboral, sin perjuicio de su ejecución por los órganos de las comunidades autónomas; y en materia de bases del régimen jurídico de las administraciones públicas y del régimen estatutario de sus funcionarios.</w:t>
      </w:r>
    </w:p>
    <w:p w14:paraId="22A3CBD6" w14:textId="77777777" w:rsidR="008D479B" w:rsidRDefault="008D479B" w:rsidP="008D479B">
      <w:pPr>
        <w:pStyle w:val="TextoNormal"/>
      </w:pPr>
    </w:p>
    <w:p w14:paraId="35DCD569" w14:textId="77777777" w:rsidR="008D479B" w:rsidRDefault="008D479B" w:rsidP="008D479B">
      <w:pPr>
        <w:pStyle w:val="TextoNormal"/>
      </w:pPr>
      <w:r>
        <w:t>Asimismo, se dicta al amparo del artículo 149.1.13 que atribuye al Estado la competencia exclusiva sobre las bases y la coordinación de la planificación general de la actividad económica.</w:t>
      </w:r>
    </w:p>
    <w:p w14:paraId="6F64399E" w14:textId="77777777" w:rsidR="008D479B" w:rsidRDefault="008D479B" w:rsidP="008D479B">
      <w:pPr>
        <w:pStyle w:val="TextoNormal"/>
      </w:pPr>
    </w:p>
    <w:p w14:paraId="0D47EB8A" w14:textId="77777777" w:rsidR="008D479B" w:rsidRDefault="008D479B" w:rsidP="008D479B">
      <w:pPr>
        <w:pStyle w:val="TextoNormal"/>
      </w:pPr>
      <w:r>
        <w:t>En su virtud, en uso de la autorización contenida en el artículo 86 de la Constitución Española, a propuesta del ministro de Política Territorial y Función Pública y de la ministra de Hacienda, y previa deliberación del Consejo de Ministros en su reunión del día 6 de julio de 2021».</w:t>
      </w:r>
    </w:p>
    <w:p w14:paraId="484FF36F" w14:textId="77777777" w:rsidR="008D479B" w:rsidRDefault="008D479B" w:rsidP="008D479B">
      <w:pPr>
        <w:pStyle w:val="TextoNormal"/>
      </w:pPr>
    </w:p>
    <w:p w14:paraId="5C684C37" w14:textId="77777777" w:rsidR="008D479B" w:rsidRDefault="008D479B" w:rsidP="008D479B">
      <w:pPr>
        <w:pStyle w:val="TextoNormal"/>
      </w:pPr>
      <w:r>
        <w:t>De la literalidad de la exposición de motivos del Real Decreto-ley 14/2021 se desprende que la justificación de su aprobación en el marco del art. 86.1 CE se concreta en la necesidad de reducir la temporalidad en el empleo público de modo que se sitúe “la tasa de temporalidad estructural por debajo del 8 por ciento en el conjunto de las administraciones públicas españolas” y a tal fin “instaurar medidas efectivas que disuadan y, en su caso, sancionen de forma clara el abuso de la temporalidad”.</w:t>
      </w:r>
    </w:p>
    <w:p w14:paraId="567E629B" w14:textId="77777777" w:rsidR="008D479B" w:rsidRDefault="008D479B" w:rsidP="008D479B">
      <w:pPr>
        <w:pStyle w:val="TextoNormal"/>
      </w:pPr>
    </w:p>
    <w:p w14:paraId="1463A909" w14:textId="77777777" w:rsidR="008D479B" w:rsidRDefault="008D479B" w:rsidP="008D479B">
      <w:pPr>
        <w:pStyle w:val="TextoNormal"/>
      </w:pPr>
      <w:r>
        <w:t>Específicamente en el apartado IV de la exposición de motivos al tratar sobre la concurrencia del presupuesto habilitante para dictar el real decreto-ley apunta a que la tasa de temporalidad registrada “compromete la adecuada prestación de los servicios públicos”, “impide articular políticas de recursos públicos dirigidas a garantizar la calidad de los servicios públicos”, en un contexto en que la intervención resulta crítica para mitigar los impactos de la crisis sanitaria en el tejido social y económico, así como para proporcionar los cimientos de la recuperación.</w:t>
      </w:r>
    </w:p>
    <w:p w14:paraId="358B95F8" w14:textId="77777777" w:rsidR="008D479B" w:rsidRDefault="008D479B" w:rsidP="008D479B">
      <w:pPr>
        <w:pStyle w:val="TextoNormal"/>
      </w:pPr>
    </w:p>
    <w:p w14:paraId="0088BAE0" w14:textId="77777777" w:rsidR="008D479B" w:rsidRDefault="008D479B" w:rsidP="008D479B">
      <w:pPr>
        <w:pStyle w:val="TextoNormal"/>
      </w:pPr>
      <w:r>
        <w:t xml:space="preserve">Indica, que en el componente 11 del plan de recuperación transformación y resiliencia, España se haya comprometido a adoptar una reforma normativa al término del primer semestre de 2021 para poner fin a la excesiva temporalidad en el empleo público, de cuyo cumplimiento depende la liberación de los fondos en el marco del mecanismo. Sostiene, como circunstancia que caracteriza de forma sobrevenida la concurrencia del presupuesto habilitante, la sentencia dictada por el Tribunal de Justicia de la Unión Europea de 3 de junio de 2021, asunto C-726/19, </w:t>
      </w:r>
      <w:r w:rsidRPr="008D479B">
        <w:rPr>
          <w:i/>
        </w:rPr>
        <w:t>IMIDRA</w:t>
      </w:r>
      <w:r>
        <w:t>, ha propiciado una nueva reflexión reflejada en la reciente sentencia dictada en unificación de doctrina por el Tribunal Supremo, Sala de lo Social, núm. 649/2021, de 28 de junio, que “hace necesaria una intervención urgente del legislador a fin de precisar el régimen jurídico aplicable” de modo que se conjugue el efecto útil de la Directiva 1999/70/CE del Consejo, de 28 de junio de 1999, con el aseguramiento de los principios constitucionales de igualdad, mérito y capacidad en el acceso al empleo público. Defiende que “el posible carácter estructural del problema que se pretende atajar no excluye que dicho problema pueda convertirse en un momento dado en un supuesto de extraordinaria y urgente necesidad, como ocurre en el caso que nos ocupa tras los últimos pronunciamientos judiciales”.</w:t>
      </w:r>
    </w:p>
    <w:p w14:paraId="7D7AE6F3" w14:textId="77777777" w:rsidR="008D479B" w:rsidRDefault="008D479B" w:rsidP="008D479B">
      <w:pPr>
        <w:pStyle w:val="TextoNormal"/>
      </w:pPr>
    </w:p>
    <w:p w14:paraId="5638C999" w14:textId="77777777" w:rsidR="008D479B" w:rsidRDefault="008D479B" w:rsidP="008D479B">
      <w:pPr>
        <w:pStyle w:val="TextoNormal"/>
      </w:pPr>
      <w:r>
        <w:t>b) En el trámite de convalidación del real decreto-ley, en la defensa del texto ofrecida por la ministra de Hacienda y Función Pública, en nombre del Gobierno, ante el pleno del Congreso de los Diputados, se afirma, entre otras cosas, lo siguiente:</w:t>
      </w:r>
    </w:p>
    <w:p w14:paraId="5C4DC0A8" w14:textId="77777777" w:rsidR="008D479B" w:rsidRDefault="008D479B" w:rsidP="008D479B">
      <w:pPr>
        <w:pStyle w:val="TextoNormal"/>
      </w:pPr>
    </w:p>
    <w:p w14:paraId="36CAFA50" w14:textId="77777777" w:rsidR="008D479B" w:rsidRDefault="008D479B" w:rsidP="008D479B">
      <w:pPr>
        <w:pStyle w:val="TextoNormal"/>
      </w:pPr>
      <w:r>
        <w:t>“En primer lugar, mi principal objetivo como ministra de Hacienda y Función Pública seguirá siendo poner en el centro de todas las políticas a los ciudadanos y a las ciudadanas, mejorando para ello la calidad, la sensibilidad y la eficiencia de los servicios públicos, la base del Estado del bienestar, y más ahora, cuando empieza la recuperación económica tras la crisis y tenemos que abordar el enorme reto de la modernización del país, un reto en el que las administraciones públicas y los empleados públicos van a tener un papel muy destacado: tienen que ser tractores de los importantes cambios que tenemos que impulsar […].</w:t>
      </w:r>
    </w:p>
    <w:p w14:paraId="09E66C36" w14:textId="77777777" w:rsidR="008D479B" w:rsidRDefault="008D479B" w:rsidP="008D479B">
      <w:pPr>
        <w:pStyle w:val="TextoNormal"/>
      </w:pPr>
    </w:p>
    <w:p w14:paraId="3F37E058" w14:textId="77777777" w:rsidR="008D479B" w:rsidRDefault="008D479B" w:rsidP="008D479B">
      <w:pPr>
        <w:pStyle w:val="TextoNormal"/>
      </w:pPr>
      <w:r>
        <w:t>En segundo lugar, quiero decirles que este es un Gobierno comprometido con el empleo estable, con el empleo de calidad. Saben sus señorías que hemos alcanzado, de la mano del diálogo social, una amplia batería de medidas que se dirigen justamente a la aplicación de este precepto en el sector privado, a combatir la precariedad y la temporalidad de muchos trabajadores, que impiden a las familias y especialmente a los jóvenes tener un horizonte previsible de futuro estable. Esa misma intención es la que buscamos con este texto, alcanzar un acuerdo en el marco del sector público que busque el máximo consenso posible en beneficio de los empleados y de la sociedad española. Por ello, la norma que hoy abordamos es un ejemplo de la búsqueda de este consenso. Antes de la aprobación por el Consejo de Ministros, se celebraron dos conferencias sectoriales de administración pública y la reunión de la mesa general de negociación de las administraciones públicas, alcanzándose un acuerdo con los sindicatos Comisiones, UGT y CSIF. Es un acuerdo, como decía antes, que hay que poner en valor por cuanto es un primer paso realmente importante para resolver un problema que viene de lejos y que hasta la fecha no ha sido posible abordar. De hecho, el anterior ministro de Política Territorial y Función Pública, el señor Iceta, y su equipo trabajaron en esta solución que ahora me corresponde a mí defender en esta tribuna, y lo haré con los siguientes argumentos.</w:t>
      </w:r>
    </w:p>
    <w:p w14:paraId="54C5B567" w14:textId="77777777" w:rsidR="008D479B" w:rsidRDefault="008D479B" w:rsidP="008D479B">
      <w:pPr>
        <w:pStyle w:val="TextoNormal"/>
      </w:pPr>
    </w:p>
    <w:p w14:paraId="0CD063D5" w14:textId="77777777" w:rsidR="008D479B" w:rsidRDefault="008D479B" w:rsidP="008D479B">
      <w:pPr>
        <w:pStyle w:val="TextoNormal"/>
      </w:pPr>
      <w:r>
        <w:t>El origen de este decreto-ley radica en la necesidad de contar con una solución eficaz y también corta en el tiempo para resolver de manera por lo menos mayoritaria el principal problema de temporalidad en el empleo público de las administraciones. Es una situación que se ha engordado a lo largo de los últimos años con motivo básicamente de la no autorización de las tasas de reposición, que conllevó que no se pudieran sacar de forma reglada ofertas de empleo público que incorporaran las plazas que en esos momentos se estuvieran ocupando por interinidad. Pero, señorías, los que tenemos responsabilidad y también experiencia en la función pública sabemos que este no es el único elemento, que otro de los problemas con el que cuentan las administraciones es el proceso burocrático farragoso que ha conllevado la propia oferta pública de empleo, de manera que tenemos pendientes de resolver un volumen muy importante de convocatorias que ya han sido reflejadas en los correspondientes boletines oficiales y que todavía están en fase de tramitación o de resolución con la adjudicación de las plazas que se habían convocado. Creo que también habrá que ir trabajando en paralelo esta circunstancia y por tanto todavía, a pesar de este decreto, queda un largo camino que recorrer en los próximos dos años para conseguir el objetivo planteado, un objetivo que pasa por que el empleo público esté por encima del 92 por 100 de las plazas que estén ocupadas o, dicho de otra forma, que la temporalidad se reduzca al entorno del 8 por 100 como cifra orientativa.</w:t>
      </w:r>
    </w:p>
    <w:p w14:paraId="5E4CB296" w14:textId="77777777" w:rsidR="008D479B" w:rsidRDefault="008D479B" w:rsidP="008D479B">
      <w:pPr>
        <w:pStyle w:val="TextoNormal"/>
      </w:pPr>
    </w:p>
    <w:p w14:paraId="2C877A5F" w14:textId="77777777" w:rsidR="008D479B" w:rsidRDefault="008D479B" w:rsidP="008D479B">
      <w:pPr>
        <w:pStyle w:val="TextoNormal"/>
      </w:pPr>
      <w:r>
        <w:t>[…]</w:t>
      </w:r>
    </w:p>
    <w:p w14:paraId="79A08222" w14:textId="77777777" w:rsidR="008D479B" w:rsidRDefault="008D479B" w:rsidP="008D479B">
      <w:pPr>
        <w:pStyle w:val="TextoNormal"/>
      </w:pPr>
    </w:p>
    <w:p w14:paraId="578CE756" w14:textId="77777777" w:rsidR="008D479B" w:rsidRDefault="008D479B" w:rsidP="008D479B">
      <w:pPr>
        <w:pStyle w:val="TextoNormal"/>
      </w:pPr>
      <w:r>
        <w:t>Entrando de lleno en esta cuestión que nos ocupa, quiero que sepan que tanto la Comisión Europea como el Tribunal de Justicia de la propia Unión han venido señalando de forma reiterada la importancia de activar medidas que combatieran esta temporalidad en el sector público. Por eso vamos a intentar resolver un problema que está enquistado y también vamos a intentar impedir que se pueda volver a producir en el futuro, al menos en el futuro más próximo.</w:t>
      </w:r>
    </w:p>
    <w:p w14:paraId="645EAB62" w14:textId="77777777" w:rsidR="008D479B" w:rsidRDefault="008D479B" w:rsidP="008D479B">
      <w:pPr>
        <w:pStyle w:val="TextoNormal"/>
      </w:pPr>
    </w:p>
    <w:p w14:paraId="54972B3C" w14:textId="77777777" w:rsidR="008D479B" w:rsidRDefault="008D479B" w:rsidP="008D479B">
      <w:pPr>
        <w:pStyle w:val="TextoNormal"/>
      </w:pPr>
      <w:r>
        <w:t>[…]</w:t>
      </w:r>
    </w:p>
    <w:p w14:paraId="4D483C0A" w14:textId="77777777" w:rsidR="008D479B" w:rsidRDefault="008D479B" w:rsidP="008D479B">
      <w:pPr>
        <w:pStyle w:val="TextoNormal"/>
      </w:pPr>
    </w:p>
    <w:p w14:paraId="68ADC83E" w14:textId="77777777" w:rsidR="008D479B" w:rsidRDefault="008D479B" w:rsidP="008D479B">
      <w:pPr>
        <w:pStyle w:val="TextoNormal"/>
      </w:pPr>
      <w:r>
        <w:t>Igualmente, hemos llegado a un acuerdo con las formaciones políticas para la tramitación como proyecto de ley de este texto, para operativizar la aplicación del artículo 61.6 del EBEP [Ley del estatuto básico del empleado público] en los casos en los que los interinos hayan permanecido en su puesto de trabajo durante diez años y esa plaza no se haya convocado en las correspondientes ofertas de empleo. Lo explico de otra manera, para que sus señorías me comprendan. De lo que se trata es de aplicar la excepcionalidad que establece el EBEP para aquellas personas con contratos estructurales, o interinos, que estén ocupando una plaza por un periodo de diez años, y que esa plaza nunca se haya convocado en ninguna de las ofertas públicas de empleo; de manera que este colectivo no tendrá que realizar la fase de oposición.</w:t>
      </w:r>
    </w:p>
    <w:p w14:paraId="74F8EB04" w14:textId="77777777" w:rsidR="008D479B" w:rsidRDefault="008D479B" w:rsidP="008D479B">
      <w:pPr>
        <w:pStyle w:val="TextoNormal"/>
      </w:pPr>
    </w:p>
    <w:p w14:paraId="66461092" w14:textId="77777777" w:rsidR="008D479B" w:rsidRDefault="008D479B" w:rsidP="008D479B">
      <w:pPr>
        <w:pStyle w:val="TextoNormal"/>
      </w:pPr>
      <w:r>
        <w:t>[…]</w:t>
      </w:r>
    </w:p>
    <w:p w14:paraId="154ECA82" w14:textId="77777777" w:rsidR="008D479B" w:rsidRDefault="008D479B" w:rsidP="008D479B">
      <w:pPr>
        <w:pStyle w:val="TextoNormal"/>
      </w:pPr>
    </w:p>
    <w:p w14:paraId="56821AF9" w14:textId="77777777" w:rsidR="008D479B" w:rsidRDefault="008D479B" w:rsidP="008D479B">
      <w:pPr>
        <w:pStyle w:val="TextoNormal"/>
      </w:pPr>
      <w:r>
        <w:t>Por último, y ante el posicionamiento crítico de algunos grupos parlamentarios en cuanto a que esta materia quede regulada en un real decreto-ley, les digo que el uso de la figura quedaba plenamente justificado con independencia de que, como ya les he comentado, vamos a aceptar la tramitación como proyecto de ley”.</w:t>
      </w:r>
    </w:p>
    <w:p w14:paraId="4D33A94D" w14:textId="77777777" w:rsidR="008D479B" w:rsidRDefault="008D479B" w:rsidP="008D479B">
      <w:pPr>
        <w:pStyle w:val="TextoNormal"/>
      </w:pPr>
    </w:p>
    <w:p w14:paraId="792A88C1" w14:textId="77777777" w:rsidR="008D479B" w:rsidRDefault="008D479B" w:rsidP="008D479B">
      <w:pPr>
        <w:pStyle w:val="TextoNormal"/>
      </w:pPr>
      <w:r>
        <w:t>La representante del Gobierno en el trámite de convalidación realizó manifestaciones para justificar la aprobación de la norma en el marco del art. 86.1 CE, indicando que responde al acuerdo alcanzado por el anterior ministro de Política Territorial y Función Pública con los sindicatos Comisiones Obreras, UGT y CSIF, para resolver un problema que viene de lejos y que hasta la fecha no ha sido posible abordar. Añade que “tanto la Comisión Europea como el Tribunal de Justicia de la propia Unión han venido señalando de forma reiterada la importancia de activar medidas que combatieran esta temporalidad en el sector público” e indica que la utilización del real decreto-ley en primer lugar “era la única opción para adoptar reformas normativas y medidas de planificación con las que abordar nuestro futuro” y, “ en segundo lugar, porque tenemos urgencia para llevar a cabo estas medidas a la vista de los pronunciamientos judiciales que existen, pendientes todavía de resolución con consecuencias económicas y sociales vinculados a los mismos. En tercer lugar y no menos importante, por los compromisos que hemos asumido en el plan de recuperación, transformación y resiliencia donde la reforma de la administración pública es una línea claramente prioritaria”.</w:t>
      </w:r>
    </w:p>
    <w:p w14:paraId="302BDB93" w14:textId="77777777" w:rsidR="008D479B" w:rsidRDefault="008D479B" w:rsidP="008D479B">
      <w:pPr>
        <w:pStyle w:val="TextoNormal"/>
      </w:pPr>
    </w:p>
    <w:p w14:paraId="58182273" w14:textId="77777777" w:rsidR="008D479B" w:rsidRDefault="008D479B" w:rsidP="008D479B">
      <w:pPr>
        <w:pStyle w:val="TextoNormal"/>
      </w:pPr>
      <w:r>
        <w:t>c) Finalmente, debemos examinar el expediente de elaboración de la norma impugnada. En concreto, al igual que realizamos en la STC 61/2018, FJ 5, debemos tomar en consideración el documento aportado a los autos por el abogado del Estado, cuyo nombre completo es “Memoria de análisis de impacto normativo sobre el proyecto de real decreto-ley de medidas de reducción de la temporalidad en el empleo público”. Este documento, elaborado conjuntamente por los ministerios de Política Territorial y Función Pública, y el Ministerio de Hacienda, lleva fecha de 5 de julio de 2021.</w:t>
      </w:r>
    </w:p>
    <w:p w14:paraId="497E6C91" w14:textId="77777777" w:rsidR="008D479B" w:rsidRDefault="008D479B" w:rsidP="008D479B">
      <w:pPr>
        <w:pStyle w:val="TextoNormal"/>
      </w:pPr>
    </w:p>
    <w:p w14:paraId="131FDF94" w14:textId="77777777" w:rsidR="008D479B" w:rsidRDefault="008D479B" w:rsidP="008D479B">
      <w:pPr>
        <w:pStyle w:val="TextoNormal"/>
      </w:pPr>
      <w:r>
        <w:t>En la citada memoria se destaca que ante el desarrollo de los procesos de estabilización derivados de las leyes de presupuestos generales del Estado de 2017 y 2018, “en su reunión de 11 de junio de 2020, la Conferencia Sectorial de Administración Pública encargó a la comisión de coordinación del empleo público, como órgano técnico de colaboración de la conferencia sectorial, el estudio y análisis de una propuesta de reforma del texto Refundido de la Ley del estatuto básico del empleado público, aprobado por Real Decreto Legislativo 5/2015, de 30 de octubre (TREBEP) que aborde las cuestiones acordadas, reiterándose el compromiso con este trabajo en su reunión de 21 de septiembre. Por otro lado, el PRTR, en su componente 11 (modernización de las administraciones públicas) contempla entre sus reformas la reforma para la modernización y digitalización de la administración. La primera de las actuaciones previstas por dicha reforma son las medidas para reducir la temporalidad en las administraciones públicas, con una finalidad: consolidar un modelo de empleo público de calidad, mediante la adopción de medidas dirigidas a reducir la temporalidad, así como a establecer medidas eficaces para prevenir y, en su caso, sancionar el uso abusivo o fraudulento del empleo público temporal”. Añade que “la única opción posible es una modificación legal con carácter básico para todo el conjunto de las administraciones públicas, que se debe aprobar con carácter de urgencia, tal y como se describe en el apartado 3.1 a la vista de los compromisos con la Comisión Europea de aprobar las reformas estructurales en el ámbito del empleo público necesarias para el primer semestre de 2021 en el marco del plan nacional de recuperación, transformación y resiliencia”, considerando que la “modificación legal con carácter básico para el conjunto de las administraciones públicas, que contenga medidas específicamente dirigidas a la reducción de la temporalidad, junto con medidas preventivas y sanciones eficaces, proporcionadas y disuasorias, en el sentido apuntado por la jurisprudencia del Tribunal de Justicia de la Unión Europea” es la opción “que permite atender en mejor medida las recomendaciones específicas dirigidas a España por el Consejo de la Unión en el marco del Semestre Europeo, así como concluir los compromisos asumidos en el PRTR”.</w:t>
      </w:r>
    </w:p>
    <w:p w14:paraId="130456DA" w14:textId="77777777" w:rsidR="008D479B" w:rsidRDefault="008D479B" w:rsidP="008D479B">
      <w:pPr>
        <w:pStyle w:val="TextoNormal"/>
      </w:pPr>
    </w:p>
    <w:p w14:paraId="39C4E794" w14:textId="77777777" w:rsidR="008D479B" w:rsidRDefault="008D479B" w:rsidP="008D479B">
      <w:pPr>
        <w:pStyle w:val="TextoNormal"/>
      </w:pPr>
      <w:r>
        <w:t>La memoria destaca que “el posible carácter estructural del problema que se pretende atajar no excluye que dicho problema pueda convertirse en un momento dado en un supuesto de extraordinaria y urgente necesidad, como ocurre en el caso que nos ocupa tras los últimos pronunciamientos judiciales” y defiende que “los objetivos que se pretenden alcanzar con el mismo no pueden conseguirse a través de la tramitación de una ley por el procedimiento de urgencia, y sin que este real decreto-ley constituya un supuesto de uso abusivo o arbitrario de este instrumento constitucional”.</w:t>
      </w:r>
    </w:p>
    <w:p w14:paraId="3B1D8C3A" w14:textId="77777777" w:rsidR="008D479B" w:rsidRDefault="008D479B" w:rsidP="008D479B">
      <w:pPr>
        <w:pStyle w:val="TextoNormal"/>
      </w:pPr>
    </w:p>
    <w:p w14:paraId="5B858BF5" w14:textId="4BBA08C6" w:rsidR="008D479B" w:rsidRDefault="008D479B" w:rsidP="008D479B">
      <w:pPr>
        <w:pStyle w:val="TextoNormal"/>
      </w:pPr>
      <w:r>
        <w:t>Finalmente la memoria se refiere a la conexión de sentido requerida por la jurisprudencia constitucional entre el presupuesto habilitante y la medida concreta adoptada para hacerle frente, la memoria señala que “las medidas contenidas en el real decreto-ley pretenden garantizar que las administraciones públicas inician una senda de reequilibrio que aporte credibilidad a la evolución futura de la temporalidad en el empleo público, a fin de situar la tasa de cobertura temporal por debajo del ocho por ciento de las plazas estructurales, y, en esa medida, puede predicarse de cada una de ellas la conexión de sentido requerida por la jurisprudencia constitucional”.</w:t>
      </w:r>
    </w:p>
    <w:p w14:paraId="0E728ED2" w14:textId="77777777" w:rsidR="008D479B" w:rsidRDefault="008D479B" w:rsidP="008D479B">
      <w:pPr>
        <w:pStyle w:val="TextoNormal"/>
      </w:pPr>
    </w:p>
    <w:p w14:paraId="7EEC205A" w14:textId="77777777" w:rsidR="008D479B" w:rsidRDefault="008D479B" w:rsidP="008D479B">
      <w:pPr>
        <w:pStyle w:val="TextoNormal"/>
      </w:pPr>
      <w:r w:rsidRPr="008D479B">
        <w:rPr>
          <w:rStyle w:val="NumeroAFNegritaCaracter"/>
        </w:rPr>
        <w:t>5</w:t>
      </w:r>
      <w:r>
        <w:t xml:space="preserve">. </w:t>
      </w:r>
      <w:r w:rsidRPr="008D479B">
        <w:rPr>
          <w:i/>
        </w:rPr>
        <w:t>Examen de la motivación aducida por el Gobierno</w:t>
      </w:r>
    </w:p>
    <w:p w14:paraId="3BA347AB" w14:textId="77777777" w:rsidR="008D479B" w:rsidRDefault="008D479B" w:rsidP="008D479B">
      <w:pPr>
        <w:pStyle w:val="TextoNormal"/>
      </w:pPr>
    </w:p>
    <w:p w14:paraId="07234A48" w14:textId="77777777" w:rsidR="008D479B" w:rsidRDefault="008D479B" w:rsidP="008D479B">
      <w:pPr>
        <w:pStyle w:val="TextoNormal"/>
      </w:pPr>
      <w:r>
        <w:t>Una vez expuestos los motivos aducidos por el Gobierno en el propio real decreto-ley, en el procedimiento previo de elaboración y en el posterior de convalidación, podemos entrar a analizar su pertinencia.</w:t>
      </w:r>
    </w:p>
    <w:p w14:paraId="4FF6B1FD" w14:textId="77777777" w:rsidR="008D479B" w:rsidRDefault="008D479B" w:rsidP="008D479B">
      <w:pPr>
        <w:pStyle w:val="TextoNormal"/>
      </w:pPr>
    </w:p>
    <w:p w14:paraId="07CB56B1" w14:textId="77777777" w:rsidR="008D479B" w:rsidRDefault="008D479B" w:rsidP="008D479B">
      <w:pPr>
        <w:pStyle w:val="TextoNormal"/>
      </w:pPr>
      <w:r>
        <w:t>Siguiendo nuestra doctrina, la determinación de la concurrencia del presupuesto habilitante exige una doble y sucesiva comprobación: en primer lugar, la presentación explícita y razonada de los motivos que han sido tenidos en cuenta por el Gobierno en su aprobación; en segundo lugar, la existencia de una necesaria conexión entre la situación de urgencia definida y la medida concreta adoptada para subvenir a ella (SSTC 29/1982, FJ 3; 182/1997, de 20 de octubre, FJ 3; 137/2003, de 3 de julio, FJ 4; 1/2012, de 13 de enero, FJ 7; 211/2015, de 8 de octubre, FJ 4; 64/2017, de 25 de mayo, FJ 2; 105/2018, de 4 de octubre, FJ 3, y 18/2023, de 21 de marzo, FJ 4).</w:t>
      </w:r>
    </w:p>
    <w:p w14:paraId="330D5311" w14:textId="77777777" w:rsidR="008D479B" w:rsidRDefault="008D479B" w:rsidP="008D479B">
      <w:pPr>
        <w:pStyle w:val="TextoNormal"/>
      </w:pPr>
    </w:p>
    <w:p w14:paraId="466095FA" w14:textId="77777777" w:rsidR="008D479B" w:rsidRDefault="008D479B" w:rsidP="008D479B">
      <w:pPr>
        <w:pStyle w:val="TextoNormal"/>
      </w:pPr>
      <w:r>
        <w:t>En primer lugar, los recurrentes dedican una serie de objeciones al primero de los elementos del presupuesto habilitante, la definición explícita y razonada de la situación de extraordinaria y urgente necesidad. Reprochan a la norma, que ha sido dictada sin que se haya respetado el presupuesto habilitante, al entender que: (i) la elevada tasa de temporalidad en la administración pública es un problema estructural de varias décadas de evolución, sin que concurran las circunstancias de imprevisibilidad exigidas, pues el incremento de personal temporal fue debido a la ausencia de dotación presupuestaria de nuevas plazas, la falta de regularidad en las convocatorias y la lentitud en los procesos de selección; (ii) no cabe sustentar la imprevisibilidad en la Directiva 1999/70/CE del Consejo, de 28 de junio de 1999, relativa al acuerdo marco de la CES, la UNICE y el CEEP sobre el trabajo de duración determinada y a su cláusula 5 en la que se prevé la adopción de medidas destinadas a evitar la utilización abusiva de nombramientos temporales; (iii) la alusión a la STJUE de 3 de junio de 2021 y a la STS 649/2021 es “una simple excusa”, pues la primera no afecta al legislador, sino a los órganos jurisdiccionales que ya la han aplicado mediante la STS 649/2021.</w:t>
      </w:r>
    </w:p>
    <w:p w14:paraId="2F934D06" w14:textId="77777777" w:rsidR="008D479B" w:rsidRDefault="008D479B" w:rsidP="008D479B">
      <w:pPr>
        <w:pStyle w:val="TextoNormal"/>
      </w:pPr>
    </w:p>
    <w:p w14:paraId="418E783F" w14:textId="77777777" w:rsidR="008D479B" w:rsidRDefault="008D479B" w:rsidP="008D479B">
      <w:pPr>
        <w:pStyle w:val="TextoNormal"/>
      </w:pPr>
      <w:r>
        <w:t>En segundo lugar, los recurrentes cuestionan la ausencia de conexión de sentido entre la situación de urgencia definida y las medidas concretas adoptadas para subvenir a ella. De este modo afirman que salvo la previsión de un plazo máximo de tres años en los contratos de interinidad [art. 10.1 a) y c) y 10.4 TRLEEP], el resto de las modificaciones introducidas o van contra la supuesta urgencia o se limitan a reiterar principios ya recogidos, o se trata de la previsión de sanciones inocuas e innecesarias.</w:t>
      </w:r>
    </w:p>
    <w:p w14:paraId="7130458D" w14:textId="77777777" w:rsidR="008D479B" w:rsidRDefault="008D479B" w:rsidP="008D479B">
      <w:pPr>
        <w:pStyle w:val="TextoNormal"/>
      </w:pPr>
    </w:p>
    <w:p w14:paraId="6442BAAD" w14:textId="0001C23C" w:rsidR="008D479B" w:rsidRDefault="008D479B" w:rsidP="008D479B">
      <w:pPr>
        <w:pStyle w:val="TextoNormal"/>
      </w:pPr>
      <w:r>
        <w:t>Vamos a detenernos en el examen de las concretas objeciones formuladas por los recurrentes, examinando en primer lugar si concurre el presupuesto habilitante para después enjuiciar si existe conexión entre la situación de urgencia definida y la concreta regulación aprobada.</w:t>
      </w:r>
    </w:p>
    <w:p w14:paraId="348F5CFA" w14:textId="77777777" w:rsidR="008D479B" w:rsidRDefault="008D479B" w:rsidP="008D479B">
      <w:pPr>
        <w:pStyle w:val="TextoNormal"/>
      </w:pPr>
    </w:p>
    <w:p w14:paraId="363C13D3" w14:textId="77777777" w:rsidR="008D479B" w:rsidRDefault="008D479B" w:rsidP="008D479B">
      <w:pPr>
        <w:pStyle w:val="TextoNormal"/>
      </w:pPr>
      <w:r w:rsidRPr="008D479B">
        <w:rPr>
          <w:rStyle w:val="NumeroAFNegritaCaracter"/>
        </w:rPr>
        <w:t>6</w:t>
      </w:r>
      <w:r>
        <w:t xml:space="preserve">. </w:t>
      </w:r>
      <w:r w:rsidRPr="008D479B">
        <w:rPr>
          <w:i/>
        </w:rPr>
        <w:t>Definición explícita y razonada de la existencia de una situación de “extraordinaria y urgente necesidad”</w:t>
      </w:r>
    </w:p>
    <w:p w14:paraId="2CABA017" w14:textId="77777777" w:rsidR="008D479B" w:rsidRDefault="008D479B" w:rsidP="008D479B">
      <w:pPr>
        <w:pStyle w:val="TextoNormal"/>
      </w:pPr>
    </w:p>
    <w:p w14:paraId="23381548" w14:textId="77777777" w:rsidR="008D479B" w:rsidRDefault="008D479B" w:rsidP="008D479B">
      <w:pPr>
        <w:pStyle w:val="TextoNormal"/>
      </w:pPr>
      <w:r>
        <w:t>A este tribunal le corresponde un control externo del amplio margen de discrecionalidad política que la Constitución atribuye al Gobierno en la valoración de que concurre una extraordinaria y urgente necesidad de aprobar una norma a través del real decreto-ley. Desde el prisma de que no le corresponde a este tribunal suplir la apreciación del Gobierno sobre la concurrencia del presupuesto habilitante, y por tanto, de conformidad con el indicado control externo, podemos adelantar que el Gobierno ha satisfecho la exigencia de explicitar y razonar de forma suficiente la existencia de una situación de “extraordinaria y urgente necesidad”, y, consiguientemente ha satisfecho la carga de justificar la concurrencia del presupuesto habilitante exigido por el artículo 86.1 CE.</w:t>
      </w:r>
    </w:p>
    <w:p w14:paraId="2B54610A" w14:textId="77777777" w:rsidR="008D479B" w:rsidRDefault="008D479B" w:rsidP="008D479B">
      <w:pPr>
        <w:pStyle w:val="TextoNormal"/>
      </w:pPr>
    </w:p>
    <w:p w14:paraId="3495B12A" w14:textId="77777777" w:rsidR="008D479B" w:rsidRDefault="008D479B" w:rsidP="008D479B">
      <w:pPr>
        <w:pStyle w:val="TextoNormal"/>
      </w:pPr>
      <w:r>
        <w:t>En tal sentido, conviene insistir, frente a la censura que los recurrentes a la inexistencia del presupuesto habilitante, que las situaciones concretas y los objetivos gubernamentales que han dado lugar a la aprobación del decreto-ley puede ser independientes de su imprevisibilidad e, incluso, pueden tener su origen en la previa inactividad del propio Gobierno o de los que le han precedido, siempre que concurra efectivamente la excepcionalidad de la situación y la misma requiera una acción normativa inmediata en un plazo más breve que el requerido por la vía normal o por el procedimiento de urgencia para la tramitación parlamentaria. Tampoco está de más recordar que en el control jurídico acerca de la concurrencia del presupuesto habilitante este requisito este tribunal no debe suplantar a los órganos constitucionales que intervienen en la aprobación y convalidación de los reales decretos-leyes.</w:t>
      </w:r>
    </w:p>
    <w:p w14:paraId="2256962C" w14:textId="77777777" w:rsidR="008D479B" w:rsidRDefault="008D479B" w:rsidP="008D479B">
      <w:pPr>
        <w:pStyle w:val="TextoNormal"/>
      </w:pPr>
    </w:p>
    <w:p w14:paraId="0F58DE77" w14:textId="77777777" w:rsidR="008D479B" w:rsidRDefault="008D479B" w:rsidP="008D479B">
      <w:pPr>
        <w:pStyle w:val="TextoNormal"/>
      </w:pPr>
      <w:r>
        <w:t>Ciertamente, el Gobierno no ha eludido reconocer —ni en la exposición de motivos ni en el debate de convalidación— coincidiendo en este aspecto con los recurrentes, que la elevada tasa de temporalidad en la función pública tiene un carácter estructural, cuya aparición no ha sido repentina, sino que tiene su origen en una pluralidad de circunstancias de varias décadas de evolución. Así lo ha explicitado de modo reiterado en la exposición de motivos, en el debate de convalidación y en la memoria de impacto normativo, pero también ha justificado de modo suficiente las razones por las que, atendidas las circunstancias sobrevenidas, la utilización del real decreto-ley era necesaria para poner remedio a dicha situación estructural sin demora, esto es, sin poder esperar a la tramitación de la norma a través del procedimiento legislativo ordinario o de urgencia.</w:t>
      </w:r>
    </w:p>
    <w:p w14:paraId="48BF800E" w14:textId="77777777" w:rsidR="008D479B" w:rsidRDefault="008D479B" w:rsidP="008D479B">
      <w:pPr>
        <w:pStyle w:val="TextoNormal"/>
      </w:pPr>
    </w:p>
    <w:p w14:paraId="4C803793" w14:textId="77777777" w:rsidR="008D479B" w:rsidRDefault="008D479B" w:rsidP="008D479B">
      <w:pPr>
        <w:pStyle w:val="TextoNormal"/>
      </w:pPr>
      <w:r>
        <w:t>En tal sentido, han sido varias las razones dadas por el Gobierno para razonar que concurría la extraordinaria y urgente necesidad. Tales argumentos deben ser juzgados suficientes, atendido el control externo que de las mismas corresponde a este tribunal.</w:t>
      </w:r>
    </w:p>
    <w:p w14:paraId="679BDA9D" w14:textId="77777777" w:rsidR="008D479B" w:rsidRDefault="008D479B" w:rsidP="008D479B">
      <w:pPr>
        <w:pStyle w:val="TextoNormal"/>
      </w:pPr>
    </w:p>
    <w:p w14:paraId="51B2F108" w14:textId="77777777" w:rsidR="008D479B" w:rsidRDefault="008D479B" w:rsidP="008D479B">
      <w:pPr>
        <w:pStyle w:val="TextoNormal"/>
      </w:pPr>
      <w:r>
        <w:t>a) Tal y como hemos dejado constancia de modo extenso en el fundamento anterior, en la exposición de motivos —concretamente en el apartado IV— el Gobierno ha razonado de modo explícito y suficiente la concurrencia del presupuesto habilitante para dictar el real decreto-ley. En efecto, el Gobierno, desde la destacada función que le corresponde en la dirección de la administración (art. 97 CE), apunta que la tasa de temporalidad registrada “compromete la adecuada prestación de los servicios públicos” e “impide articular políticas de recursos públicos dirigidas a garantizar la calidad de los servicios públicos”. Y si bien, puede compartirse con los recurrentes que dicha situación no puede considerarse sobrevenida o imprevisible, sino estructural, sin embargo, se destaca en la exposición de motivos que la urgencia en la regulación deriva de circunstancias sobrevenidas, al ser necesaria dicha para atender el contexto de crisis sanitaria y mitigar los impactos que la misma ha tenido en el tejido social y económico, así como para proporcionar los cimientos de la recuperación. Esto es, a juicio del Gobierno la situación estructural de alta temporalidad, que comprometía inicialmente la adecuada prestación de los servicios públicos, debe ser resuelta sin la demora que ocasionaría la tramitación de la norma por el procedimiento ordinario, al verse comprometida la recuperación de la situación ocasionada por la sobrevenida crisis sanitaria.</w:t>
      </w:r>
    </w:p>
    <w:p w14:paraId="13C8D976" w14:textId="77777777" w:rsidR="008D479B" w:rsidRDefault="008D479B" w:rsidP="008D479B">
      <w:pPr>
        <w:pStyle w:val="TextoNormal"/>
      </w:pPr>
    </w:p>
    <w:p w14:paraId="5411F7DF" w14:textId="77777777" w:rsidR="008D479B" w:rsidRDefault="008D479B" w:rsidP="008D479B">
      <w:pPr>
        <w:pStyle w:val="TextoNormal"/>
      </w:pPr>
      <w:r>
        <w:t xml:space="preserve">b) No se detiene el Gobierno en el modo en que la alta tasa de temporalidad está mermando las posibilidades de salida de la crisis, sino que destaca que la liberación de los fondos de la Unión Europea —diseñados para lograr una salida coordinada de los Estados miembros de la situación ocasionada por la pandemia— aparece condicionada al cumplimiento de los objetivos fijados en el componente 11 del plan de recuperación transformación y resiliencia. En virtud de dicho plan, España se comprometió a adoptar una reforma normativa al término del primer semestre de 2021 para poner fin a la excesiva temporalidad en el empleo público. En efecto, a la aprobación de dicha reforma en el plazo comprometido se vinculaba el apoyo financiero excepcional diseñado por el Consejo Europeo, conocido como </w:t>
      </w:r>
      <w:r w:rsidRPr="008D479B">
        <w:rPr>
          <w:i/>
        </w:rPr>
        <w:t>Next Generation</w:t>
      </w:r>
      <w:r>
        <w:t xml:space="preserve"> </w:t>
      </w:r>
      <w:r w:rsidRPr="008D479B">
        <w:rPr>
          <w:i/>
        </w:rPr>
        <w:t>EU</w:t>
      </w:r>
      <w:r>
        <w:t>, por el que se garantizaba una respuesta europea coordinada con los Estados miembros para hacer frente a las consecuencias económicas y sociales de la crisis sanitaria. De este modo, el Gobierno justifica la urgencia de la norma ante el riesgo de la pérdida de préstamos y transferencias que prevé el mecanismo para la recuperación y la resiliencia para apoyar la inversión y las reformas, de aquellos Estados miembros cuya situación económica y social se haya deteriorado más, como consecuencia de la pandemia y las medidas de restricción de la actividad económica.</w:t>
      </w:r>
    </w:p>
    <w:p w14:paraId="67818041" w14:textId="77777777" w:rsidR="008D479B" w:rsidRDefault="008D479B" w:rsidP="008D479B">
      <w:pPr>
        <w:pStyle w:val="TextoNormal"/>
      </w:pPr>
    </w:p>
    <w:p w14:paraId="3BCCB9CC" w14:textId="77777777" w:rsidR="008D479B" w:rsidRDefault="008D479B" w:rsidP="008D479B">
      <w:pPr>
        <w:pStyle w:val="TextoNormal"/>
      </w:pPr>
      <w:r>
        <w:t>c) Finalmente, destaca el Gobierno como tercera circunstancia sobrevenida para justificar la concurrencia del presupuesto habilitante la reciente sentencia dictada unificación de doctrina por el Tribunal Supremo, Sala de lo Social, núm. 649/2021, de 28 de junio, que “hace necesaria una intervención urgente del legislador a fin de precisar el régimen jurídico aplicable”. Ciertamente en dicha sentencia, dictada en unificación de doctrina por el Pleno de la Sala de lo Social del Tribunal Supremo, ante la falta de previsión legal excluye la posibilidad de indemnizar a los empleados una vez finalizado válidamente el contrato de interinidad. De tal modo que el real decreto-ley justifica la urgencia de la regulación atendida la sobrevenida sentencia del Tribunal Supremo que unificaba la doctrina y excluía la percepción de indemnización por la falta de previsión legal.</w:t>
      </w:r>
    </w:p>
    <w:p w14:paraId="0B61F97F" w14:textId="77777777" w:rsidR="008D479B" w:rsidRDefault="008D479B" w:rsidP="008D479B">
      <w:pPr>
        <w:pStyle w:val="TextoNormal"/>
      </w:pPr>
    </w:p>
    <w:p w14:paraId="321384BA" w14:textId="77697618" w:rsidR="008D479B" w:rsidRDefault="008D479B" w:rsidP="008D479B">
      <w:pPr>
        <w:pStyle w:val="TextoNormal"/>
      </w:pPr>
      <w:r>
        <w:t>En consecuencia, por las razones expuestas por el Gobierno en la memoria de impacto normativo, la exposición de motivos de la norma y que fueron luego reiteradas por la representante del Gobierno en el debate de convalidación, y desde el prisma con el que —como hemos expuesto— debemos acometer la verificación de la concurrencia del presupuesto habilitante, podemos concluir que el Gobierno ha satisfecho suficientemente la carga de explicitar y razonar la concurrencia de la situación de extraordinaria y urgente necesidad que le llevó a dictar el real decreto-ley que nos ocupa.</w:t>
      </w:r>
    </w:p>
    <w:p w14:paraId="0B7172FD" w14:textId="77777777" w:rsidR="008D479B" w:rsidRDefault="008D479B" w:rsidP="008D479B">
      <w:pPr>
        <w:pStyle w:val="TextoNormal"/>
      </w:pPr>
    </w:p>
    <w:p w14:paraId="226469FE" w14:textId="77777777" w:rsidR="008D479B" w:rsidRDefault="008D479B" w:rsidP="008D479B">
      <w:pPr>
        <w:pStyle w:val="TextoNormal"/>
      </w:pPr>
      <w:r w:rsidRPr="008D479B">
        <w:rPr>
          <w:rStyle w:val="NumeroAFNegritaCaracter"/>
        </w:rPr>
        <w:t>7</w:t>
      </w:r>
      <w:r>
        <w:t xml:space="preserve">. </w:t>
      </w:r>
      <w:r w:rsidRPr="008D479B">
        <w:rPr>
          <w:i/>
        </w:rPr>
        <w:t>Presupuesto habilitante y “conexión de sentido” de las medidas adoptadas</w:t>
      </w:r>
    </w:p>
    <w:p w14:paraId="01B39F39" w14:textId="77777777" w:rsidR="008D479B" w:rsidRDefault="008D479B" w:rsidP="008D479B">
      <w:pPr>
        <w:pStyle w:val="TextoNormal"/>
      </w:pPr>
    </w:p>
    <w:p w14:paraId="7E5AF917" w14:textId="77777777" w:rsidR="008D479B" w:rsidRDefault="008D479B" w:rsidP="008D479B">
      <w:pPr>
        <w:pStyle w:val="TextoNormal"/>
      </w:pPr>
      <w:r>
        <w:t>La conexión de sentido, entendida como la “relación de adecuación” de las medidas adoptadas y la situación de urgencia a cuya solución sirven, significa que aquellas “guarden una relación directa o de congruencia con la situación que se trata de afrontar” (SSTC 182/1997, de 28 de octubre, FJ 3; 68/2007, de 28 de marzo, FJ 6, y 157/2016, de 22 de septiembre, FJ 5). Dicha relación entre la urgencia definida y las medidas adoptadas debe enjuiciarse atendiendo al “contenido y la estructura de las disposiciones incluidas en el decreto-ley controvertido” (STC 10/2023, de 23 de febrero, FJ 3) quedando extramuros de nuestro control todo juicio de oportunidad política acerca de la calidad y el alcance de las medidas.</w:t>
      </w:r>
    </w:p>
    <w:p w14:paraId="045BEC87" w14:textId="77777777" w:rsidR="008D479B" w:rsidRDefault="008D479B" w:rsidP="008D479B">
      <w:pPr>
        <w:pStyle w:val="TextoNormal"/>
      </w:pPr>
    </w:p>
    <w:p w14:paraId="37C1EBCB" w14:textId="77777777" w:rsidR="008D479B" w:rsidRDefault="008D479B" w:rsidP="008D479B">
      <w:pPr>
        <w:pStyle w:val="TextoNormal"/>
      </w:pPr>
      <w:r>
        <w:t>Es preciso, siguiendo nuestra doctrina, descartar que concurra dicha “conexión de sentido”, en aquellos supuestos en que las medidas aprobadas “por su contenido y de manera evidente, no guarden relación alguna, directa ni indirecta, con la situación que se trata de afrontar ni, muy especialmente, aquellas que, por su estructura misma, independientemente de su contenido, no modifican de manera instantánea la situación jurídica existente” (STC 29/2016, de 18 de febrero, FJ 2, con cita de otras).</w:t>
      </w:r>
    </w:p>
    <w:p w14:paraId="2E720DCD" w14:textId="77777777" w:rsidR="008D479B" w:rsidRDefault="008D479B" w:rsidP="008D479B">
      <w:pPr>
        <w:pStyle w:val="TextoNormal"/>
      </w:pPr>
    </w:p>
    <w:p w14:paraId="33B97D8F" w14:textId="77777777" w:rsidR="008D479B" w:rsidRDefault="008D479B" w:rsidP="008D479B">
      <w:pPr>
        <w:pStyle w:val="TextoNormal"/>
      </w:pPr>
      <w:r>
        <w:t>Desde la perspectiva indicada, no puede compartirse la censura que efectúan los recurrentes, pues atendiendo al control que le corresponde a este tribunal, el cual debe respetar el margen de discrecionalidad política que en la apreciación de este requisito corresponde al Gobierno, podemos considerar que no se ha vulnerado la conexión de sentido entre las medidas adoptadas y la situación de extraordinaria necesidad y urgencia definida.</w:t>
      </w:r>
    </w:p>
    <w:p w14:paraId="5A7490D3" w14:textId="77777777" w:rsidR="008D479B" w:rsidRDefault="008D479B" w:rsidP="008D479B">
      <w:pPr>
        <w:pStyle w:val="TextoNormal"/>
      </w:pPr>
    </w:p>
    <w:p w14:paraId="1C0FDD70" w14:textId="77777777" w:rsidR="008D479B" w:rsidRDefault="008D479B" w:rsidP="008D479B">
      <w:pPr>
        <w:pStyle w:val="TextoNormal"/>
      </w:pPr>
      <w:r>
        <w:t>Con carácter general puede afirmarse que las modificaciones normativas fueron aprobadas precisamente poco antes de que expirara el primer semestre del año 2021, esto es, en el plazo comprometido por el Gobierno en el plan de recuperación transformación y resiliencia para adoptar medidas eficaces y disuasorias que pusieran fin a la excesiva temporalidad en el empleo público y de cuya adopción se hacía depender la recepción de fondos de la Unión Europea en el marco del referido mecanismo.</w:t>
      </w:r>
    </w:p>
    <w:p w14:paraId="78A62FB8" w14:textId="77777777" w:rsidR="008D479B" w:rsidRDefault="008D479B" w:rsidP="008D479B">
      <w:pPr>
        <w:pStyle w:val="TextoNormal"/>
      </w:pPr>
    </w:p>
    <w:p w14:paraId="20D82A39" w14:textId="77777777" w:rsidR="008D479B" w:rsidRDefault="008D479B" w:rsidP="008D479B">
      <w:pPr>
        <w:pStyle w:val="TextoNormal"/>
      </w:pPr>
      <w:r>
        <w:t>Por otra parte, a diferencia de lo que manifiestan los recurrentes, es claro que las medidas comprendidas en el real decreto-ley guardan relación directa, independientemente del acierto técnico de las mismas, con el presupuesto habilitante que justifica la norma. De este modo pretenden luchar contra la temporalidad en el empleo público, garantizar la eficacia en la prestación del servicio público y dar respuesta a la necesidad de regulación de la existencia o no de un derecho de los interinos a ser indemnizados: (i) modificando la duración máxima del nombramiento del personal interino; (ii) reforzando el principio de celeridad en el procedimiento de selección del personal funcionario interino; (iii) excluyendo el derecho a ser indemnizados una vez finalizada la relación de interinidad en determinados supuestos; (iv) imponiendo la obligación de cobertura de las plazas vacantes, endureciendo las consecuencias del incumplimiento; (v) estableciendo sanciones en caso de incumplimiento de los plazos máximos de permanencia como personal temporal, así como la previsión de una compensación económica para los empleados públicos; (vi) determinando los plazos en que se deberán llevar a cabo los procesos de estabilización de empleo temporal.</w:t>
      </w:r>
    </w:p>
    <w:p w14:paraId="5449683D" w14:textId="77777777" w:rsidR="008D479B" w:rsidRDefault="008D479B" w:rsidP="008D479B">
      <w:pPr>
        <w:pStyle w:val="TextoNormal"/>
      </w:pPr>
    </w:p>
    <w:p w14:paraId="380D4088" w14:textId="77777777" w:rsidR="008D479B" w:rsidRDefault="008D479B" w:rsidP="008D479B">
      <w:pPr>
        <w:pStyle w:val="TextoNormal"/>
      </w:pPr>
      <w:r>
        <w:t>No está de más recordar el criterio señalado en la STC 23/1993, FJ 5, y reiterado en la STC 93/2015, FJ 7, según el cual atendido el conjunto de preceptos que integran la norma “no es fácil aislar uno u otro precepto que, en cuanto forman parte de un conjunto sistemático de medidas, adquieren sentido en su visión global, y no desde una perspectiva meramente aislada, desde la cual podría ser más cuestionable su justificación”.</w:t>
      </w:r>
    </w:p>
    <w:p w14:paraId="6F9D710A" w14:textId="77777777" w:rsidR="008D479B" w:rsidRDefault="008D479B" w:rsidP="008D479B">
      <w:pPr>
        <w:pStyle w:val="TextoNormal"/>
      </w:pPr>
    </w:p>
    <w:p w14:paraId="3A376840" w14:textId="77777777" w:rsidR="008D479B" w:rsidRDefault="008D479B" w:rsidP="008D479B">
      <w:pPr>
        <w:pStyle w:val="TextoNormal"/>
      </w:pPr>
      <w:r>
        <w:t>De este modo, atendidas las concretas medidas adoptadas, es claro que las mismas aparecen indiscutiblemente conectadas con el objetivo de rebajar la temporalidad en el sector público con el fin de lograr que la administración pueda dar una respuesta eficaz a las necesidades de recuperación derivadas de la situación de crisis sanitaria, cumpliendo por otra parte los objetivos a cuya realización se condicionaba la percepción de fondos de la Unión Europea, y, finalmente clarificando las posibilidades indemnizatorias de los empleados sujetos a contratos de interinidad, atendida la reciente sentencia de la Sala de lo Social del Tribunal Supremo.</w:t>
      </w:r>
    </w:p>
    <w:p w14:paraId="7D73CB72" w14:textId="77777777" w:rsidR="008D479B" w:rsidRDefault="008D479B" w:rsidP="008D479B">
      <w:pPr>
        <w:pStyle w:val="TextoNormal"/>
      </w:pPr>
    </w:p>
    <w:p w14:paraId="4CE37D4C" w14:textId="06ED4349" w:rsidR="008D479B" w:rsidRDefault="008D479B" w:rsidP="008D479B">
      <w:pPr>
        <w:pStyle w:val="TextoNormal"/>
      </w:pPr>
      <w:r>
        <w:t>Es por ello que, conforme al control externo que nos incumbe, como hemos adelantado, no cabe tildar de abusiva o arbitraria la situación de extraordinaria y urgente necesidad apreciada por el Gobierno, al efecto de dictar la legislación de urgencia cuya constitucionalidad se cuestiona en este proceso, ha a preciado en la insuficiencia de la regulación legal para lograr una adecuada prestación de los servicios públicos para atender el contexto de crisis sanitaria y mitigar los impactos de la crisis sanitaria, dar cumplimiento a los objetivos fijados en el componente 11 del plan de recuperación transformación y resiliencia y establecer un marco normativo en lo que al derecho a percibir indemnizaciones por parte del personal interino, atendida la sentencia de la Sala de lo Social, núm. 649/2021, de 28 de junio.</w:t>
      </w:r>
    </w:p>
    <w:p w14:paraId="0CF5661A" w14:textId="77777777" w:rsidR="008D479B" w:rsidRDefault="008D479B" w:rsidP="008D479B">
      <w:pPr>
        <w:pStyle w:val="TextoNormal"/>
      </w:pPr>
    </w:p>
    <w:p w14:paraId="16299F10" w14:textId="77777777" w:rsidR="008D479B" w:rsidRDefault="008D479B" w:rsidP="008D479B">
      <w:pPr>
        <w:pStyle w:val="TextoNormal"/>
      </w:pPr>
      <w:r w:rsidRPr="008D479B">
        <w:rPr>
          <w:rStyle w:val="NumeroAFNegritaCaracter"/>
        </w:rPr>
        <w:t>8</w:t>
      </w:r>
      <w:r>
        <w:t xml:space="preserve">. </w:t>
      </w:r>
      <w:r w:rsidRPr="008D479B">
        <w:rPr>
          <w:i/>
        </w:rPr>
        <w:t>Limites materiales al decreto-ley</w:t>
      </w:r>
    </w:p>
    <w:p w14:paraId="6DFC2454" w14:textId="77777777" w:rsidR="008D479B" w:rsidRDefault="008D479B" w:rsidP="008D479B">
      <w:pPr>
        <w:pStyle w:val="TextoNormal"/>
      </w:pPr>
    </w:p>
    <w:p w14:paraId="07BD2A0B" w14:textId="77777777" w:rsidR="008D479B" w:rsidRDefault="008D479B" w:rsidP="008D479B">
      <w:pPr>
        <w:pStyle w:val="TextoNormal"/>
      </w:pPr>
      <w:r>
        <w:t>Los recurrentes aducen que el art. 2 del real decreto-ley, al regular un procedimiento de acceso a la función pública, vulnera el art. 86.1 CE al afectar la regulación al derecho fundamental previsto en el art. 23.2 CE.</w:t>
      </w:r>
    </w:p>
    <w:p w14:paraId="2374D2B9" w14:textId="77777777" w:rsidR="008D479B" w:rsidRDefault="008D479B" w:rsidP="008D479B">
      <w:pPr>
        <w:pStyle w:val="TextoNormal"/>
      </w:pPr>
    </w:p>
    <w:p w14:paraId="0CDCB195" w14:textId="77777777" w:rsidR="008D479B" w:rsidRDefault="008D479B" w:rsidP="008D479B">
      <w:pPr>
        <w:pStyle w:val="TextoNormal"/>
      </w:pPr>
      <w:r>
        <w:t xml:space="preserve">Este motivo de impugnación tampoco puede tener acogida en tanto que el mismo, con escaso desarrollo argumental, se asienta en una idea tan restrictiva —como rechazada desde los primeros pronunciamientos de este tribunal— que “lleva en su seno el vaciamiento de la figura y la hace inservible para regular con mayor o menor incidencia cualquier aspecto concerniente a las materias incluidas en el título I de la Constitución sin más base interpretativa que el otorgamiento al verbo ‘afectar՚ de un contenido literal amplísimo; como con tan exigua base se conduce a la inutilidad absoluta del decreto-ley, pues es difícil imaginar alguno cuyo contenido no afectase a algún derecho comprendido en el título I, es claro que tal interpretación, fácilmente reducible </w:t>
      </w:r>
      <w:r w:rsidRPr="008D479B">
        <w:rPr>
          <w:i/>
        </w:rPr>
        <w:t>ad absurdum</w:t>
      </w:r>
      <w:r>
        <w:t>, tampoco puede ser aceptada” (STC 111/1983, de 2 de diciembre, FJ 8).</w:t>
      </w:r>
    </w:p>
    <w:p w14:paraId="4231A097" w14:textId="77777777" w:rsidR="008D479B" w:rsidRDefault="008D479B" w:rsidP="008D479B">
      <w:pPr>
        <w:pStyle w:val="TextoNormal"/>
      </w:pPr>
    </w:p>
    <w:p w14:paraId="5B942874" w14:textId="05ECDB28" w:rsidR="008D479B" w:rsidRDefault="008D479B" w:rsidP="008D479B">
      <w:pPr>
        <w:pStyle w:val="TextoNormal"/>
      </w:pPr>
      <w:r>
        <w:t>En efecto, del contenido del precepto impugnado resulta que la norma recurrida no lleva a cabo una regulación general del derecho fundamental de acceso a la función pública (art. 23.2 CE), ni de su contenido esencial, sino que se limita a autorizar una tasa adicional de estabilización de empleo temporal estableciendo los plazos de convocatorias y de resolución de las mismas, disponiendo el modo en que se deben articular estos procesos selectivos y del sistema de selección, por lo que no puede sostenerse que la regulación contenida en el real decreto-ley “afecta” al derecho reconocido en el art. 23.2 CE.</w:t>
      </w:r>
    </w:p>
    <w:p w14:paraId="1F528DC4" w14:textId="77777777" w:rsidR="008D479B" w:rsidRDefault="008D479B" w:rsidP="008D479B">
      <w:pPr>
        <w:pStyle w:val="TextoNormal"/>
      </w:pPr>
    </w:p>
    <w:p w14:paraId="4C187F37" w14:textId="77777777" w:rsidR="008D479B" w:rsidRDefault="008D479B" w:rsidP="008D479B">
      <w:pPr>
        <w:pStyle w:val="TextoNormal"/>
      </w:pPr>
      <w:r w:rsidRPr="008D479B">
        <w:rPr>
          <w:rStyle w:val="NumeroAFNegritaCaracter"/>
        </w:rPr>
        <w:t>9</w:t>
      </w:r>
      <w:r>
        <w:t xml:space="preserve">. </w:t>
      </w:r>
      <w:r w:rsidRPr="008D479B">
        <w:rPr>
          <w:i/>
        </w:rPr>
        <w:t>Conclusión</w:t>
      </w:r>
    </w:p>
    <w:p w14:paraId="2BB99F62" w14:textId="77777777" w:rsidR="008D479B" w:rsidRDefault="008D479B" w:rsidP="008D479B">
      <w:pPr>
        <w:pStyle w:val="TextoNormal"/>
      </w:pPr>
    </w:p>
    <w:p w14:paraId="766993D8" w14:textId="472DBEB1" w:rsidR="008D479B" w:rsidRDefault="008D479B" w:rsidP="008D479B">
      <w:pPr>
        <w:pStyle w:val="TextoNormal"/>
      </w:pPr>
      <w:r>
        <w:t>Por todo lo señalado hemos de concluir que, en el caso del Real Decreto-ley 14/2021, de 6 de julio, de medidas urgentes para la reducción de la temporalidad en el empleo público, objeto del presente proceso constitucional, el Gobierno ha aportado justificación suficiente que permita apreciar la existencia de la situación habilitante requerida por el art. 86.1 CE, sin que la regulación contenida en su art. 2 traspase los limites materiales del Decreto-ley previstos en la Constitución y que, en consecuencia, procede que se desestime el presente recurso de inconstitucionalidad.</w:t>
      </w:r>
    </w:p>
    <w:p w14:paraId="3A7448E4" w14:textId="77777777" w:rsidR="008D479B" w:rsidRDefault="008D479B" w:rsidP="008D479B">
      <w:pPr>
        <w:pStyle w:val="TextoNormal"/>
      </w:pPr>
    </w:p>
    <w:p w14:paraId="2EF19754" w14:textId="77777777" w:rsidR="008D479B" w:rsidRDefault="008D479B" w:rsidP="008D479B">
      <w:pPr>
        <w:pStyle w:val="TextoNormalCentrado"/>
        <w:keepNext/>
      </w:pPr>
      <w:r>
        <w:t>FALLO</w:t>
      </w:r>
    </w:p>
    <w:p w14:paraId="68FA53D0" w14:textId="666E4247" w:rsidR="008D479B" w:rsidRDefault="008D479B" w:rsidP="008D479B">
      <w:pPr>
        <w:pStyle w:val="TextoNormalCentrado"/>
        <w:keepNext/>
      </w:pPr>
    </w:p>
    <w:p w14:paraId="039D050B" w14:textId="110ED868" w:rsidR="008D479B" w:rsidRDefault="008D479B" w:rsidP="008D479B">
      <w:pPr>
        <w:pStyle w:val="TextoNormal"/>
      </w:pPr>
      <w:r>
        <w:t>En atención a todo lo expuesto, el Tribunal Constitucional, por la autoridad que le confiere la Constitución de la Nación española, ha decidido desestimar el recurso de inconstitucionalidad promovido por más de cincuenta diputados del Grupo Parlamentario Vox del Congreso de los Diputados contra Real Decreto-ley 14/2021, de 6 de julio, de medidas urgentes para la reducción de la temporalidad en el empleo público.</w:t>
      </w:r>
    </w:p>
    <w:p w14:paraId="27A965CA" w14:textId="77777777" w:rsidR="008D479B" w:rsidRDefault="008D479B" w:rsidP="008D479B">
      <w:pPr>
        <w:pStyle w:val="TextoNormal"/>
      </w:pPr>
    </w:p>
    <w:p w14:paraId="7F412747" w14:textId="77777777" w:rsidR="008D479B" w:rsidRDefault="008D479B" w:rsidP="008D479B">
      <w:pPr>
        <w:pStyle w:val="TextoNormal"/>
      </w:pPr>
      <w:r>
        <w:t>Publíquese esta sentencia en el “Boletín Oficial del Estado”.</w:t>
      </w:r>
    </w:p>
    <w:p w14:paraId="133E2F2E" w14:textId="77777777" w:rsidR="008D479B" w:rsidRDefault="008D479B" w:rsidP="008D479B">
      <w:pPr>
        <w:pStyle w:val="TextoNormal"/>
      </w:pPr>
      <w:r>
        <w:t>Dada en Madrid, a veinticinco de octubre de dos mil veintitrés.</w:t>
      </w:r>
    </w:p>
    <w:p w14:paraId="71B231CE" w14:textId="5C2D903D" w:rsidR="008D479B" w:rsidRDefault="008D479B">
      <w:pPr>
        <w:spacing w:after="160" w:line="278" w:lineRule="auto"/>
        <w:rPr>
          <w:rFonts w:ascii="Times New Roman" w:eastAsia="Times New Roman" w:hAnsi="Times New Roman" w:cs="Times New Roman"/>
          <w:sz w:val="24"/>
          <w:szCs w:val="24"/>
          <w:lang w:eastAsia="es-ES"/>
        </w:rPr>
      </w:pPr>
      <w:r>
        <w:br w:type="page"/>
      </w:r>
    </w:p>
    <w:p w14:paraId="4E1F2C92" w14:textId="77777777" w:rsidR="008D479B" w:rsidRDefault="008D479B" w:rsidP="008D479B">
      <w:pPr>
        <w:pStyle w:val="TtuloResolucin"/>
      </w:pPr>
      <w:bookmarkStart w:id="71" w:name="SENTENCIA_2023_146"/>
      <w:r>
        <w:t>SENTENCIA 146/2023, de 26 de octubre de 2023</w:t>
      </w:r>
    </w:p>
    <w:bookmarkEnd w:id="71"/>
    <w:p w14:paraId="590EC5C1" w14:textId="77777777" w:rsidR="008D479B" w:rsidRDefault="008D479B" w:rsidP="008D479B">
      <w:pPr>
        <w:pStyle w:val="TtuloResolucin"/>
      </w:pPr>
      <w:r>
        <w:t>Pleno</w:t>
      </w:r>
    </w:p>
    <w:p w14:paraId="60F3363D" w14:textId="77777777" w:rsidR="008D479B" w:rsidRDefault="008D479B" w:rsidP="008D479B">
      <w:pPr>
        <w:pStyle w:val="TtuloBOE"/>
      </w:pPr>
      <w:r>
        <w:t>(BOE núm. 286, de 30 de noviembre de 2023)</w:t>
      </w:r>
    </w:p>
    <w:p w14:paraId="15D24E99" w14:textId="77777777" w:rsidR="008D479B" w:rsidRDefault="008D479B" w:rsidP="008D479B">
      <w:pPr>
        <w:pStyle w:val="TextoNormalCentrado"/>
      </w:pPr>
      <w:r>
        <w:t>ECLI:ES:TC:2023:146</w:t>
      </w:r>
    </w:p>
    <w:p w14:paraId="2F0A23BC" w14:textId="3309B0D9" w:rsidR="008D479B" w:rsidRDefault="008D479B" w:rsidP="008D479B">
      <w:pPr>
        <w:pStyle w:val="TextoNormalCentrado"/>
      </w:pPr>
    </w:p>
    <w:p w14:paraId="7DF4DC5F" w14:textId="77777777" w:rsidR="008D479B" w:rsidRDefault="008D479B" w:rsidP="008D479B">
      <w:pPr>
        <w:pStyle w:val="SntesisDescriptiva"/>
      </w:pPr>
      <w:r>
        <w:t>Recurso de inconstitucionalidad 3133-2023. Interpuesto por el presidente del Gobierno respecto de la disposición adicional segunda de la Ley de la Asamblea de Madrid 1/2023, de 15 de febrero, de creación de la Agencia Madrileña para el Apoyo a las Personas Adultas con Discapacidad.</w:t>
      </w:r>
    </w:p>
    <w:p w14:paraId="538CE5C0" w14:textId="219576A2" w:rsidR="008D479B" w:rsidRDefault="008D479B" w:rsidP="008D479B">
      <w:pPr>
        <w:pStyle w:val="SntesisDescriptiva"/>
      </w:pPr>
    </w:p>
    <w:p w14:paraId="31165225" w14:textId="77777777" w:rsidR="008D479B" w:rsidRDefault="008D479B" w:rsidP="008D479B">
      <w:pPr>
        <w:pStyle w:val="SntesisAnaltica"/>
      </w:pPr>
      <w:r>
        <w:t>Competencias sobre legislación procesal: nulidad del precepto autonómico que exige la tramitación de un procedimiento de jurisdicción voluntaria para la autorización judicial de actuaciones que afecten al derecho a la vida de las personas con discapacidad.</w:t>
      </w:r>
    </w:p>
    <w:p w14:paraId="72B02533" w14:textId="3284F0CA" w:rsidR="008D479B" w:rsidRDefault="008D479B" w:rsidP="008D479B">
      <w:pPr>
        <w:pStyle w:val="SntesisAnaltica"/>
      </w:pPr>
    </w:p>
    <w:p w14:paraId="0B8BBAA1" w14:textId="6C255AD5" w:rsidR="008D479B" w:rsidRDefault="008D479B" w:rsidP="008D479B">
      <w:pPr>
        <w:pStyle w:val="Extracto"/>
      </w:pPr>
      <w:r>
        <w:t>1.</w:t>
      </w:r>
      <w:r>
        <w:tab/>
        <w:t>De acuerdo con el artículo 149.1.6 CE, la legislación procesal es una “competencia general” del Estado (STC 80/2018 o 72/2021);  y una competencia autonómica “de orden limitado”; circunscrita a las necesarias especialidades que en este orden se deriven de las particularidades del derecho sustantivo de las comunidades autónomas (STC 72/2021) [FJ 3].</w:t>
      </w:r>
    </w:p>
    <w:p w14:paraId="47E2B176" w14:textId="77777777" w:rsidR="008D479B" w:rsidRDefault="008D479B" w:rsidP="008D479B">
      <w:pPr>
        <w:pStyle w:val="Extracto"/>
      </w:pPr>
    </w:p>
    <w:p w14:paraId="5BF0BD37" w14:textId="0A4692FC" w:rsidR="008D479B" w:rsidRDefault="008D479B" w:rsidP="008D479B">
      <w:pPr>
        <w:pStyle w:val="Extracto"/>
      </w:pPr>
      <w:r>
        <w:t>2.</w:t>
      </w:r>
      <w:r>
        <w:tab/>
        <w:t>Para entender justificada la aplicación de la salvedad competencial contenida en el artículo 149.1.6 CE deben completarse tres operaciones: A) Determinarse cuál es el Derecho sustantivo autonómico que presenta particularidades; B) Señalar respecto de qué legislación procesal estatal y, por tanto, general o común, se predican las eventuales especialidades de orden procesal incorporadas por el legislador autonómico; y C) Indagar si, entre las peculiaridades del ordenamiento sustantivo autonómico y las singularidades procesales incorporadas por el legislador autonómico en la norma impugnada, existe una conexión directa tal que justifique las especialidades procesales (STC 47/2004 o 80/2018) [FJ 3].</w:t>
      </w:r>
    </w:p>
    <w:p w14:paraId="166D1041" w14:textId="77777777" w:rsidR="008D479B" w:rsidRDefault="008D479B" w:rsidP="008D479B">
      <w:pPr>
        <w:pStyle w:val="Extracto"/>
      </w:pPr>
    </w:p>
    <w:p w14:paraId="5AD01A19" w14:textId="77777777" w:rsidR="008D479B" w:rsidRDefault="008D479B" w:rsidP="008D479B">
      <w:pPr>
        <w:pStyle w:val="Extracto"/>
      </w:pPr>
    </w:p>
    <w:p w14:paraId="3B4FAD22" w14:textId="77777777" w:rsidR="008D479B" w:rsidRDefault="008D479B" w:rsidP="008D479B">
      <w:pPr>
        <w:pStyle w:val="TextoNormal"/>
      </w:pPr>
      <w: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 ha pronunciado</w:t>
      </w:r>
    </w:p>
    <w:p w14:paraId="4123A5F4" w14:textId="6206D614" w:rsidR="008D479B" w:rsidRDefault="008D479B" w:rsidP="008D479B">
      <w:pPr>
        <w:pStyle w:val="TextoNormal"/>
      </w:pPr>
    </w:p>
    <w:p w14:paraId="0386B780" w14:textId="77777777" w:rsidR="008D479B" w:rsidRDefault="008D479B" w:rsidP="008D479B">
      <w:pPr>
        <w:pStyle w:val="TextoNormalCentrado"/>
        <w:keepNext/>
      </w:pPr>
      <w:r>
        <w:t>EN NOMBRE DEL REY</w:t>
      </w:r>
    </w:p>
    <w:p w14:paraId="27B4BF19" w14:textId="5C13ED62" w:rsidR="008D479B" w:rsidRDefault="008D479B" w:rsidP="008D479B">
      <w:pPr>
        <w:pStyle w:val="TextoNormalCentrado"/>
        <w:keepNext/>
      </w:pPr>
    </w:p>
    <w:p w14:paraId="7310BFDF" w14:textId="77777777" w:rsidR="008D479B" w:rsidRDefault="008D479B" w:rsidP="008D479B">
      <w:pPr>
        <w:pStyle w:val="TextoNormalCentrado"/>
        <w:keepNext/>
      </w:pPr>
    </w:p>
    <w:p w14:paraId="2BA85A0D" w14:textId="77777777" w:rsidR="008D479B" w:rsidRDefault="008D479B" w:rsidP="008D479B">
      <w:pPr>
        <w:pStyle w:val="TextoNormal"/>
      </w:pPr>
      <w:r>
        <w:t>la siguiente</w:t>
      </w:r>
    </w:p>
    <w:p w14:paraId="60B70A92" w14:textId="691D7F45" w:rsidR="008D479B" w:rsidRDefault="008D479B" w:rsidP="008D479B">
      <w:pPr>
        <w:pStyle w:val="TextoNormal"/>
      </w:pPr>
    </w:p>
    <w:p w14:paraId="1AE996C6" w14:textId="77777777" w:rsidR="008D479B" w:rsidRDefault="008D479B" w:rsidP="008D479B">
      <w:pPr>
        <w:pStyle w:val="TextoNormalCentrado"/>
        <w:keepNext/>
      </w:pPr>
      <w:r>
        <w:t>SENTENCIA</w:t>
      </w:r>
    </w:p>
    <w:p w14:paraId="4F0B033B" w14:textId="7487DB00" w:rsidR="008D479B" w:rsidRDefault="008D479B" w:rsidP="008D479B">
      <w:pPr>
        <w:pStyle w:val="TextoNormalCentrado"/>
        <w:keepNext/>
      </w:pPr>
    </w:p>
    <w:p w14:paraId="2D7931E8" w14:textId="77777777" w:rsidR="008D479B" w:rsidRDefault="008D479B" w:rsidP="008D479B">
      <w:pPr>
        <w:pStyle w:val="TextoNormal"/>
      </w:pPr>
      <w:r>
        <w:t>En el recurso de inconstitucionalidad núm. 3133-2023, promovido por el presidente del Gobierno contra la disposición adicional segunda de la Ley de la Asamblea de Madrid 1/2023, de 15 de febrero, de creación de la Agencia Madrileña para el Apoyo a las Personas Adultas con Discapacidad. Ha comparecido y formulado alegaciones el Gobierno de la Comunidad de Madrid. Ha sido ponente la magistrada doña Concepción Espejel Jorquera.</w:t>
      </w:r>
    </w:p>
    <w:p w14:paraId="0F951C6C" w14:textId="763013EC" w:rsidR="008D479B" w:rsidRDefault="008D479B" w:rsidP="008D479B">
      <w:pPr>
        <w:pStyle w:val="TextoNormal"/>
      </w:pPr>
    </w:p>
    <w:p w14:paraId="5F2D5F5B" w14:textId="77777777" w:rsidR="008D479B" w:rsidRDefault="008D479B" w:rsidP="008D479B">
      <w:pPr>
        <w:pStyle w:val="TextoNormalNegritaCentrado"/>
        <w:keepNext/>
      </w:pPr>
      <w:r>
        <w:t>I. Antecedentes</w:t>
      </w:r>
    </w:p>
    <w:p w14:paraId="10C8C71E" w14:textId="018B7C54" w:rsidR="008D479B" w:rsidRDefault="008D479B" w:rsidP="008D479B">
      <w:pPr>
        <w:pStyle w:val="TextoNormalNegritaCentrado"/>
        <w:keepNext/>
      </w:pPr>
    </w:p>
    <w:p w14:paraId="458FA9B8" w14:textId="77777777" w:rsidR="008D479B" w:rsidRDefault="008D479B" w:rsidP="008D479B">
      <w:pPr>
        <w:pStyle w:val="TextoNormal"/>
      </w:pPr>
      <w:r w:rsidRPr="008D479B">
        <w:rPr>
          <w:rStyle w:val="NumeroAFNegritaCaracter"/>
        </w:rPr>
        <w:t>1</w:t>
      </w:r>
      <w:r>
        <w:t>. Mediante escrito presentado en el registro de este Tribunal Constitucional el día 11 de mayo de 2023, el abogado del Estado interpuso recurso de inconstitucionalidad en nombre del presidente del Gobierno contra la disposición adicional segunda de la Ley de la Asamblea de Madrid 1/2023, de 15 de febrero, de creación de la Agencia Madrileña para el Apoyo a las Personas Adultas con Discapacidad.</w:t>
      </w:r>
    </w:p>
    <w:p w14:paraId="4037D82C" w14:textId="77777777" w:rsidR="008D479B" w:rsidRDefault="008D479B" w:rsidP="008D479B">
      <w:pPr>
        <w:pStyle w:val="TextoNormal"/>
      </w:pPr>
    </w:p>
    <w:p w14:paraId="155B8B15" w14:textId="77777777" w:rsidR="008D479B" w:rsidRDefault="008D479B" w:rsidP="008D479B">
      <w:pPr>
        <w:pStyle w:val="TextoNormal"/>
      </w:pPr>
      <w:r>
        <w:t>El abogado del Estado invocó el artículo 161.2 CE a fin de que se produjera la suspensión de la aplicación de la disposición impugnada.</w:t>
      </w:r>
    </w:p>
    <w:p w14:paraId="5C08D8A4" w14:textId="77777777" w:rsidR="008D479B" w:rsidRDefault="008D479B" w:rsidP="008D479B">
      <w:pPr>
        <w:pStyle w:val="TextoNormal"/>
      </w:pPr>
    </w:p>
    <w:p w14:paraId="3C12F26A" w14:textId="77777777" w:rsidR="008D479B" w:rsidRDefault="008D479B" w:rsidP="008D479B">
      <w:pPr>
        <w:pStyle w:val="TextoNormal"/>
      </w:pPr>
      <w:r>
        <w:t>La citada disposición adicional segunda establece, bajo la rúbrica “En favor del derecho reconocido de la vida de las personas con discapacidad”, que “[e]n todo caso, cuando se pretenda llevar a cabo cualquier actuación que afecte al derecho a la vida de la persona con discapacidad a la que se haya provisto de un apoyo de carácter representativo para el ejercicio de la capacidad jurídica o se determine de manera expresa en la resolución que estableció el apoyo, se tramitará un procedimiento de jurisdicción voluntaria para la solicitud de autorización judicial”.</w:t>
      </w:r>
    </w:p>
    <w:p w14:paraId="6EEDEB23" w14:textId="77777777" w:rsidR="008D479B" w:rsidRDefault="008D479B" w:rsidP="008D479B">
      <w:pPr>
        <w:pStyle w:val="TextoNormal"/>
      </w:pPr>
    </w:p>
    <w:p w14:paraId="5B13AF6E" w14:textId="77777777" w:rsidR="008D479B" w:rsidRDefault="008D479B" w:rsidP="008D479B">
      <w:pPr>
        <w:pStyle w:val="TextoNormal"/>
      </w:pPr>
      <w:r>
        <w:t>La demanda parte de la consideración de que dicha disposición es de aplicación cuando la Agencia Madrileña para el Apoyo a las Personas Adultas con Discapacidad haya sido designada por resolución judicial para ejercer la curatela con funciones representativas y, con ocasión de dicho ejercicio, pretenda llevar a cabo una actuación que afecte al derecho a la vida de dicha persona. Fundamenta la inconstitucionalidad de dicha disposición adicional en motivos competenciales y sustantivos:</w:t>
      </w:r>
    </w:p>
    <w:p w14:paraId="6CCADE9D" w14:textId="77777777" w:rsidR="008D479B" w:rsidRDefault="008D479B" w:rsidP="008D479B">
      <w:pPr>
        <w:pStyle w:val="TextoNormal"/>
      </w:pPr>
    </w:p>
    <w:p w14:paraId="353D3E39" w14:textId="77777777" w:rsidR="008D479B" w:rsidRDefault="008D479B" w:rsidP="008D479B">
      <w:pPr>
        <w:pStyle w:val="TextoNormal"/>
      </w:pPr>
      <w:r>
        <w:t>a) Vulneración de las competencias del Estado.</w:t>
      </w:r>
    </w:p>
    <w:p w14:paraId="634A7DA9" w14:textId="77777777" w:rsidR="008D479B" w:rsidRDefault="008D479B" w:rsidP="008D479B">
      <w:pPr>
        <w:pStyle w:val="TextoNormal"/>
      </w:pPr>
    </w:p>
    <w:p w14:paraId="0303DDDA" w14:textId="77777777" w:rsidR="008D479B" w:rsidRDefault="008D479B" w:rsidP="008D479B">
      <w:pPr>
        <w:pStyle w:val="TextoNormal"/>
      </w:pPr>
      <w:r>
        <w:t>La disposición adicional segunda de la Ley de la Asamblea de Madrid 1/2023, de 15 de febrero, establece requisitos civiles y procesales para el ejercicio de la capacidad jurídica de las personas con discapacidad sobre los que la comunidad autónoma carece de competencia. En concreto, prevé la obligación de recabar en todo caso autorización judicial por medio de un expediente de jurisdicción voluntaria para la realización de cualquier actuación que afecte al derecho a la vida de una persona con discapacidad sobre la cual ostente una medida de apoyo para el ejercicio de la capacidad jurídica con funciones representativas la Agencia Madrileña para el Apoyo a las Personas Adultas con Discapacidad.</w:t>
      </w:r>
    </w:p>
    <w:p w14:paraId="4F436020" w14:textId="77777777" w:rsidR="008D479B" w:rsidRDefault="008D479B" w:rsidP="008D479B">
      <w:pPr>
        <w:pStyle w:val="TextoNormal"/>
      </w:pPr>
    </w:p>
    <w:p w14:paraId="37C52272" w14:textId="77777777" w:rsidR="008D479B" w:rsidRDefault="008D479B" w:rsidP="008D479B">
      <w:pPr>
        <w:pStyle w:val="TextoNormal"/>
      </w:pPr>
      <w:r>
        <w:t>Dicha regulación establece los supuestos en que debe recabarse autorización por parte de quien ostente la función representativa de la persona con discapacidad, a un órgano judicial, por un procedimiento de jurisdicción voluntaria, lo que vulnera el artículo 149.1.6 CE. También supone una injerencia en la Ley Orgánica 6/1985, de 1 de julio, del Poder Judicial, en la Ley 1/2000, de 7 de enero, de enjuiciamiento civil, y en la Ley 15/2015, de 2 de julio, de la jurisdicción voluntaria, que está dictada al amparo de la competencia exclusiva del Estado en materia de legislación procesal.</w:t>
      </w:r>
    </w:p>
    <w:p w14:paraId="18B0F005" w14:textId="77777777" w:rsidR="008D479B" w:rsidRDefault="008D479B" w:rsidP="008D479B">
      <w:pPr>
        <w:pStyle w:val="TextoNormal"/>
      </w:pPr>
    </w:p>
    <w:p w14:paraId="30032218" w14:textId="77777777" w:rsidR="008D479B" w:rsidRDefault="008D479B" w:rsidP="008D479B">
      <w:pPr>
        <w:pStyle w:val="TextoNormal"/>
      </w:pPr>
      <w:r>
        <w:t>De una parte, se alega que dicha regulación es una norma de orden procesal que la comunidad autónoma no puede adoptar, porque no puede establecer requisitos procesales adicionales, no previstos por la normativa estatal. Es decir, no puede establecer nuevas funciones de los órganos judiciales, por ser esta una materia exclusiva del Estado de acuerdo con el artículo 149.1.6 CE, no encontrándose la regulación impugnada dentro de las “necesarias especialidades” a las que se refiere dicho precepto constitucional.</w:t>
      </w:r>
    </w:p>
    <w:p w14:paraId="40698933" w14:textId="77777777" w:rsidR="008D479B" w:rsidRDefault="008D479B" w:rsidP="008D479B">
      <w:pPr>
        <w:pStyle w:val="TextoNormal"/>
      </w:pPr>
    </w:p>
    <w:p w14:paraId="7F91FAFE" w14:textId="77777777" w:rsidR="008D479B" w:rsidRDefault="008D479B" w:rsidP="008D479B">
      <w:pPr>
        <w:pStyle w:val="TextoNormal"/>
      </w:pPr>
      <w:r>
        <w:t>Consecuentemente, la disposición adicional segunda de la Ley vulnera lo dispuesto en el artículo 149.1.6 CE porque contiene normas de Derecho procesal para cuya existencia, además, no se explicita motivación en tanto que exigencia derivada de la propia regulación sustantiva autonómica.</w:t>
      </w:r>
    </w:p>
    <w:p w14:paraId="068E903F" w14:textId="77777777" w:rsidR="008D479B" w:rsidRDefault="008D479B" w:rsidP="008D479B">
      <w:pPr>
        <w:pStyle w:val="TextoNormal"/>
      </w:pPr>
    </w:p>
    <w:p w14:paraId="16B62B4A" w14:textId="77777777" w:rsidR="008D479B" w:rsidRDefault="008D479B" w:rsidP="008D479B">
      <w:pPr>
        <w:pStyle w:val="TextoNormal"/>
      </w:pPr>
      <w:r>
        <w:t>El abogado del Estado aduce también que la regulación impugnada vulnera las competencias en materia de legislación civil (art. 149.1.8 CE) al regular una materia propia del Derecho civil, produciendo adicionalmente una injerencia no permitida en lo concerniente a las funciones representativas de los curadores reguladas en el Código civil (CC). Alega que corresponde al Estado regular las cuestiones relativas a la capacidad y estado civil de las personas y los efectos de las circunstancias que modifican una y otro, entre las que se incluyen los supuestos en que el representante de una persona con discapacidad —el curador— necesita autorización judicial para actuar en su nombre y el procedimiento judicial aplicable al efecto. Dicha regulación se establece, entre otros preceptos, en el artículo 287.1 CC, modificado por la Ley 8/2021, de 2 de junio, por la que se reforma la legislación civil y procesal para el apoyo a las personas con discapacidad en el ejercicio de su capacidad jurídica, que a su vez, modifica la Ley 15/2015, de 2 de julio, de la jurisdicción voluntaria, y que ha sido dictada, como señala su disposición final segunda, al amparo de la competencia del Estado en materia de legislación civil (art. 149.1.8 CE) y procesal (art. 149.1.6 CE).</w:t>
      </w:r>
    </w:p>
    <w:p w14:paraId="6681120D" w14:textId="77777777" w:rsidR="008D479B" w:rsidRDefault="008D479B" w:rsidP="008D479B">
      <w:pPr>
        <w:pStyle w:val="TextoNormal"/>
      </w:pPr>
    </w:p>
    <w:p w14:paraId="5626156E" w14:textId="77777777" w:rsidR="008D479B" w:rsidRDefault="008D479B" w:rsidP="008D479B">
      <w:pPr>
        <w:pStyle w:val="TextoNormal"/>
      </w:pPr>
      <w:r>
        <w:t>Añade que, conforme a la regulación establecida en el Código civil, la regla general es que el ejercicio de actos de trascendencia personal (entre los que se incluyen decisiones que afectan a la vida del demandante) no requiere autorización judicial, salvo en los casos constatados de falta de capacidad para hacerlo. La necesidad de recabar “en todo caso” autorización judicial que prevé la disposición adicional de la Ley 1/2023, con independencia de las capacidades intelectivas y volitivas, en el caso concreto del sujeto a la curatela, resultaría en contradicción con la regulación del Código civil, y también con la finalidad que persigue el legislador.</w:t>
      </w:r>
    </w:p>
    <w:p w14:paraId="3C012656" w14:textId="77777777" w:rsidR="008D479B" w:rsidRDefault="008D479B" w:rsidP="008D479B">
      <w:pPr>
        <w:pStyle w:val="TextoNormal"/>
      </w:pPr>
    </w:p>
    <w:p w14:paraId="1A3CA57C" w14:textId="77777777" w:rsidR="008D479B" w:rsidRDefault="008D479B" w:rsidP="008D479B">
      <w:pPr>
        <w:pStyle w:val="TextoNormal"/>
      </w:pPr>
      <w:r>
        <w:t>En definitiva, la disposición adicional segunda de la Ley 1/2023 establece requisitos civiles para el ejercicio de la capacidad jurídica de las personas con discapacidad sobre los que dicha comunidad autónoma carece de toda competencia, estableciendo la exigencia de una autorización judicial a través de un cauce procedimental (jurisdicción voluntaria) no previsto en la legislación procesal y sustantiva civil aprobada por el Estado en el ejercicio de sus competencias. Cita, al respecto, la STC 72/2021, de 18 de marzo, FJ 5 a).</w:t>
      </w:r>
    </w:p>
    <w:p w14:paraId="13D92426" w14:textId="77777777" w:rsidR="008D479B" w:rsidRDefault="008D479B" w:rsidP="008D479B">
      <w:pPr>
        <w:pStyle w:val="TextoNormal"/>
      </w:pPr>
    </w:p>
    <w:p w14:paraId="7563FA00" w14:textId="77777777" w:rsidR="008D479B" w:rsidRDefault="008D479B" w:rsidP="008D479B">
      <w:pPr>
        <w:pStyle w:val="TextoNormal"/>
      </w:pPr>
      <w:r>
        <w:t>b) Vulneración de la reserva de ley orgánica (art. 81.1 CE), por regular requisitos adicionales y distintos a los previstos en el artículo 5.2 de la Ley Orgánica 3/2021, de 24 de marzo, de regulación de la eutanasia (LORE).</w:t>
      </w:r>
    </w:p>
    <w:p w14:paraId="5ED05BC6" w14:textId="77777777" w:rsidR="008D479B" w:rsidRDefault="008D479B" w:rsidP="008D479B">
      <w:pPr>
        <w:pStyle w:val="TextoNormal"/>
      </w:pPr>
    </w:p>
    <w:p w14:paraId="001E68F8" w14:textId="77777777" w:rsidR="008D479B" w:rsidRDefault="008D479B" w:rsidP="008D479B">
      <w:pPr>
        <w:pStyle w:val="TextoNormal"/>
      </w:pPr>
      <w:r>
        <w:t>La disposición adicional segunda de la Ley de la Asamblea de Madrid 1/2023 vulnera el ordenamiento estatal, al exigir autorización judicial “[e]n todo caso” para “cualquier actuación que afecte al derecho a la vida de la persona con discapacidad”, desconociendo la excepción del artículo 287.1 CC, que impone dicha autorización para “realizar actos de transcendencia personal o familiar cuando la persona afectada no pueda hacerlo por sí misma”, que deja expresamente “a salvo” lo dispuesto “en otras leyes especiales”, las cuales, en virtud de dicha salvedad, pueden excluir la autorización judicial en determinados supuestos, como hace el artículo 5.2 LORE, exclusión que ha sido confirmada por la STC 19/2023, de 22 de marzo, FJ 9.</w:t>
      </w:r>
    </w:p>
    <w:p w14:paraId="073112A5" w14:textId="77777777" w:rsidR="008D479B" w:rsidRDefault="008D479B" w:rsidP="008D479B">
      <w:pPr>
        <w:pStyle w:val="TextoNormal"/>
      </w:pPr>
    </w:p>
    <w:p w14:paraId="61E82736" w14:textId="77777777" w:rsidR="008D479B" w:rsidRDefault="008D479B" w:rsidP="008D479B">
      <w:pPr>
        <w:pStyle w:val="TextoNormal"/>
      </w:pPr>
      <w:r>
        <w:t>Dicho precepto en ningún caso prevé la necesidad de recabar previamente una autorización judicial vía expediente de jurisdicción voluntaria. La STC 19/2023 ha confirmado la constitucionalidad del artículo 5.2 LORE en el que se regula la prestación de la ayuda para morir, sin necesidad de autorización judicial, a las personas que se encuentren en situación de incapacidad y hubieran manifestado en documento previo extendido que tal es su voluntad [FJ 8 C) d)]. Además, esta materia está reservada a ley orgánica. La contravención por la disposición adicional segunda de la Ley 1/2023 del artículo 5.2 LORE es la razón determinante de la inconstitucionalidad, por infracción de la reserva de ley orgánica del artículo 81.1 CE.</w:t>
      </w:r>
    </w:p>
    <w:p w14:paraId="6F23718A" w14:textId="77777777" w:rsidR="008D479B" w:rsidRDefault="008D479B" w:rsidP="008D479B">
      <w:pPr>
        <w:pStyle w:val="TextoNormal"/>
      </w:pPr>
    </w:p>
    <w:p w14:paraId="3087983E" w14:textId="77777777" w:rsidR="008D479B" w:rsidRDefault="008D479B" w:rsidP="008D479B">
      <w:pPr>
        <w:pStyle w:val="TextoNormal"/>
      </w:pPr>
      <w:r>
        <w:t>También se aduce la vulneración del principio de seguridad jurídica (artículo 9.3 CE), habida cuenta de que el ciudadano o ciudadana que quisiese ejercitar su derecho a acceder a la prestación de la ayuda a morir (</w:t>
      </w:r>
      <w:r w:rsidRPr="008D479B">
        <w:rPr>
          <w:i/>
        </w:rPr>
        <w:t>ex</w:t>
      </w:r>
      <w:r>
        <w:t xml:space="preserve"> art. 1 LORE) no sabría con exactitud los requisitos a los que se ha de atener, esto es, si los previstos en el artículo 5 LORE, o —además de estos— los exigidos por la disposición adicional segunda de la Ley de la Asamblea de Madrid 1/2023, de 15 de febrero.</w:t>
      </w:r>
    </w:p>
    <w:p w14:paraId="597F89B5" w14:textId="77777777" w:rsidR="008D479B" w:rsidRDefault="008D479B" w:rsidP="008D479B">
      <w:pPr>
        <w:pStyle w:val="TextoNormal"/>
      </w:pPr>
    </w:p>
    <w:p w14:paraId="133A61CF" w14:textId="77777777" w:rsidR="008D479B" w:rsidRDefault="008D479B" w:rsidP="008D479B">
      <w:pPr>
        <w:pStyle w:val="TextoNormal"/>
      </w:pPr>
      <w:r>
        <w:t>Finalmente, se aduce la vulneración del artículo 9 de la Ley 41/2002, de 14 de noviembre, básica reguladora de la autonomía del paciente y de derechos y obligaciones en materia de información y documentación clínica, al que se remite el citado artículo 287.1 CC, conforme al cual la regla general es que se ha de recabar el consentimiento del propio paciente. Solo se prevé la posible intervención judicial en caso de que el consentimiento haya de darse, por representación, por el representante legal o sus parientes, si su decisión presenta la posibilidad de ser contraria a los intereses del paciente.</w:t>
      </w:r>
    </w:p>
    <w:p w14:paraId="0BF65B0E" w14:textId="77777777" w:rsidR="008D479B" w:rsidRDefault="008D479B" w:rsidP="008D479B">
      <w:pPr>
        <w:pStyle w:val="TextoNormal"/>
      </w:pPr>
    </w:p>
    <w:p w14:paraId="454F279C" w14:textId="4AA68929" w:rsidR="008D479B" w:rsidRDefault="008D479B" w:rsidP="008D479B">
      <w:pPr>
        <w:pStyle w:val="TextoNormal"/>
      </w:pPr>
      <w:r>
        <w:t>De acuerdo con esto, la disposición adicional segunda de la Ley 1/2023, que impone en todo caso la necesidad de pedir autorización judicial por el mero hecho de que haya una decisión judicial que atribuya funciones representativas al curador, es igualmente contraria al artículo 9 de la citada Ley 41/2002, de 14 de noviembre.</w:t>
      </w:r>
    </w:p>
    <w:p w14:paraId="083425C9" w14:textId="77777777" w:rsidR="008D479B" w:rsidRDefault="008D479B" w:rsidP="008D479B">
      <w:pPr>
        <w:pStyle w:val="TextoNormal"/>
      </w:pPr>
    </w:p>
    <w:p w14:paraId="5FD733E9" w14:textId="5D73B1AB" w:rsidR="008D479B" w:rsidRDefault="008D479B" w:rsidP="008D479B">
      <w:pPr>
        <w:pStyle w:val="TextoNormal"/>
      </w:pPr>
      <w:r w:rsidRPr="008D479B">
        <w:rPr>
          <w:rStyle w:val="NumeroAFNegritaCaracter"/>
        </w:rPr>
        <w:t>2</w:t>
      </w:r>
      <w:r>
        <w:t>. Por providencia de 6 de junio de 2023 el Pleno del Tribunal Constitucional, a propuesta de la Sección Primera, acordó admitir a trámite el recurso de inconstitucionalidad, dar traslado de la demanda y documentos presentados, conforme establece el artículo 34 de la Ley Orgánica del Tribunal Constitucional (LOTC), al Congreso de los Diputados y al Senado, por conducto de sus presidentes, así como a la Asamblea de Madrid y al Gobierno de la Comunidad de Madrid, por conducto de sus presidentes, al objeto de que, en el plazo de quince días, pudieran personarse en el proceso y formular las alegaciones que estimaren convenientes; tener por invocado por el presidente del Gobierno el artículo 161.2 de la Constitución, lo que, a su tenor y conforme dispone el artículo 30 LOTC, produce la suspensión de la vigencia y aplicación del inciso impugnado, desde la fecha de interposición del recurso —11 de mayo de 2023— para las partes del proceso y desde el día en que aparezca publicada la suspensión en el “Boletín Oficial del Estado” para los terceros, lo que se comunicaría a los presidentes de la Asamblea de Madrid y del Gobierno de la Comunidad de Madrid, así como publicar la incoación del recurso en el “Boletín Oficial del Estado” y en el “Boletín Oficial de la Comunidad de Madrid”.</w:t>
      </w:r>
    </w:p>
    <w:p w14:paraId="089E8648" w14:textId="77777777" w:rsidR="008D479B" w:rsidRDefault="008D479B" w:rsidP="008D479B">
      <w:pPr>
        <w:pStyle w:val="TextoNormal"/>
      </w:pPr>
    </w:p>
    <w:p w14:paraId="37197218" w14:textId="7829CE47" w:rsidR="008D479B" w:rsidRDefault="008D479B" w:rsidP="008D479B">
      <w:pPr>
        <w:pStyle w:val="TextoNormal"/>
      </w:pPr>
      <w:r w:rsidRPr="008D479B">
        <w:rPr>
          <w:rStyle w:val="NumeroAFNegritaCaracter"/>
        </w:rPr>
        <w:t>3</w:t>
      </w:r>
      <w:r>
        <w:t>. Por escrito registrado en este tribunal el día 12 de junio de 2023, se comunica el acuerdo de la presidencia del Senado, en ejercicio de la delegación conferida por la mesa de la Diputación Permanente de la Cámara, de dar por personada a la Cámara, ofreciendo su colaboración a los efectos del artículo 88.1 LOTC.</w:t>
      </w:r>
    </w:p>
    <w:p w14:paraId="5B9C4C20" w14:textId="77777777" w:rsidR="008D479B" w:rsidRDefault="008D479B" w:rsidP="008D479B">
      <w:pPr>
        <w:pStyle w:val="TextoNormal"/>
      </w:pPr>
    </w:p>
    <w:p w14:paraId="0AD88652" w14:textId="77777777" w:rsidR="008D479B" w:rsidRDefault="008D479B" w:rsidP="008D479B">
      <w:pPr>
        <w:pStyle w:val="TextoNormal"/>
      </w:pPr>
      <w:r w:rsidRPr="008D479B">
        <w:rPr>
          <w:rStyle w:val="NumeroAFNegritaCaracter"/>
        </w:rPr>
        <w:t>4</w:t>
      </w:r>
      <w:r>
        <w:t>. El letrado de la Comunidad de Madrid formuló sus alegaciones por escrito registrado el día 23 de junio de 2023, en las que interesa se dicte sentencia que declare ajustada a Derecho la disposición impugnada.</w:t>
      </w:r>
    </w:p>
    <w:p w14:paraId="0196E228" w14:textId="77777777" w:rsidR="008D479B" w:rsidRDefault="008D479B" w:rsidP="008D479B">
      <w:pPr>
        <w:pStyle w:val="TextoNormal"/>
      </w:pPr>
    </w:p>
    <w:p w14:paraId="0EDD7CBE" w14:textId="77777777" w:rsidR="008D479B" w:rsidRDefault="008D479B" w:rsidP="008D479B">
      <w:pPr>
        <w:pStyle w:val="TextoNormal"/>
      </w:pPr>
      <w:r>
        <w:t>Expone que, a fin de dar cumplimiento a la Ley 8/2021, de 2 de junio, por la que se reforma la legislación civil y procesal para el apoyo a las personas con discapacidad en el ejercicio de su capacidad jurídica, se hizo necesario sustituir la Agencia Madrileña para la Tutela de Adultos de la Comunidad de Madrid por la nueva Agencia Madrileña para el Apoyo a las Personas Adultas con Discapacidad, objeto de regulación en la Ley 1/2023. En el proyecto de ley remitido por el Consejo de Gobierno de la Comunidad de Madrid a la Asamblea de Madrid (“Boletín Oficial de la Asamblea de Madrid” núm. 49, de 26 de mayo de 2022), no figuraba el texto de la disposición adicional segunda ahora impugnada, que fue introducida por una enmienda del Grupo Parlamentario Vox durante la tramitación parlamentaria. Dicha enmienda fue informada por los servicios jurídicos de la Cámara (artículo 143.1 del Reglamento de la Asamblea de Madrid), mediante dictamen de 21 de septiembre de 2022, en el que se pusieron de manifiesto advertencias desde el punto de vista competencial, que el letrado de la Comunidad de Madrid transcribe en su informe.</w:t>
      </w:r>
    </w:p>
    <w:p w14:paraId="4A7F7321" w14:textId="77777777" w:rsidR="008D479B" w:rsidRDefault="008D479B" w:rsidP="008D479B">
      <w:pPr>
        <w:pStyle w:val="TextoNormal"/>
      </w:pPr>
    </w:p>
    <w:p w14:paraId="266EC075" w14:textId="77777777" w:rsidR="008D479B" w:rsidRDefault="008D479B" w:rsidP="008D479B">
      <w:pPr>
        <w:pStyle w:val="TextoNormal"/>
      </w:pPr>
      <w:r>
        <w:t>Se afirma que la enmienda establece la obligatoriedad en la Comunidad de Madrid de plantear un proceso de jurisdicción voluntaria cuando se pretenda tomar una decisión que afecte al derecho a la vida de la persona con discapacidad, lo que incide en la legislación procesal, en tanto en cuanto determina un supuesto en que necesariamente hay que tramitar un expediente de jurisdicción voluntaria. Expone que la jurisdicción voluntaria se disciplina en la Ley 15/2015, de 2 de julio, reguladora de la jurisdicción voluntaria, dictada al amparo de las competencias del Estado en materia de legislación procesal (artículo 149.1.6 CE), que no prevé la jurisdicción voluntaria para la decisión sobre el derecho a la vida de las personas con discapacidad. Explica que, conforme al artículo 149.1.6 CE, no toda la regulación procesal le está vedada a las comunidades autónomas, si bien la incidencia de la legislación autonómica en la materia procesal queda reducida a las necesarias especialidades que deriven del Derecho sustantivo propio de la comunidad autónoma. Por consiguiente, en tanto que excepción a la competencia exclusiva del Estado, la competencia autonómica en materia procesal es limitada y debe quedar circunscrita a la necesidad de establecer una peculiaridad procesal derivada de las especialidades establecidas en la normativa autonómica reguladora de una determinada materia sustantiva (cita las SSTC 47/2004, de 25 de marzo, y 2/2018, de 11 de enero).</w:t>
      </w:r>
    </w:p>
    <w:p w14:paraId="251A2189" w14:textId="77777777" w:rsidR="008D479B" w:rsidRDefault="008D479B" w:rsidP="008D479B">
      <w:pPr>
        <w:pStyle w:val="TextoNormal"/>
      </w:pPr>
    </w:p>
    <w:p w14:paraId="0013D77D" w14:textId="77777777" w:rsidR="008D479B" w:rsidRDefault="008D479B" w:rsidP="008D479B">
      <w:pPr>
        <w:pStyle w:val="TextoNormal"/>
      </w:pPr>
      <w:r>
        <w:t>Atendiendo a dicha doctrina, el citado dictamen de los letrados de la Asamblea de Madrid, transcrito en las alegaciones del letrado de la Comunidad de Madrid afirma que el proyecto de ley no contenía ninguna peculiaridad sustantiva respecto a las decisiones que pudieran afectar al derecho a la vida de las personas con discapacidad, sino que tenía por objeto regular la Agencia Madrileña para el Apoyo a las Personas Adultas con Discapacidad para adecuarse a las exigencias derivadas de la modificación del régimen jurídico de la incapacidad por la Ley 8/2021, de 2 de junio. Por otra parte, cita la Ley de la Asamblea de Madrid 4/2017, de 9 de marzo, de derechos y garantías de las personas en el proceso de morir, que en sus artículos 9, 14 y 15 contiene determinaciones respecto a la toma de decisiones en el proceso de morir de las personas con discapacidad y que resulta aplicable en todo aquello que no contradiga a la posterior LORE.</w:t>
      </w:r>
    </w:p>
    <w:p w14:paraId="3EA9D639" w14:textId="77777777" w:rsidR="008D479B" w:rsidRDefault="008D479B" w:rsidP="008D479B">
      <w:pPr>
        <w:pStyle w:val="TextoNormal"/>
      </w:pPr>
    </w:p>
    <w:p w14:paraId="1928B43C" w14:textId="77777777" w:rsidR="008D479B" w:rsidRDefault="008D479B" w:rsidP="008D479B">
      <w:pPr>
        <w:pStyle w:val="TextoNormal"/>
      </w:pPr>
      <w:r>
        <w:t>En segundo término, se destaca, también, que la enmienda objeto de análisis no introduce propiamente una especialidad, sino que modifica, ampliándola, una categoría jurídica relevante en el ámbito procesal y, por tanto, regulada por el derecho procesal general, como es la jurisdicción voluntaria. Y, en tercer lugar, explica que dicha ampliación no queda conectada de forma directa con una peculiaridad del derecho sustantivo de la Comunidad de Madrid; o, en otros términos, no se encuentra una especialidad tal en la legislación autonómica respecto a la toma de decisiones que incidan en la vida de las personas con discapacidad de la que derive la necesidad de ampliar los supuestos en los que debe seguirse un expediente de jurisdicción voluntaria.</w:t>
      </w:r>
    </w:p>
    <w:p w14:paraId="45D8676E" w14:textId="77777777" w:rsidR="008D479B" w:rsidRDefault="008D479B" w:rsidP="008D479B">
      <w:pPr>
        <w:pStyle w:val="TextoNormal"/>
      </w:pPr>
    </w:p>
    <w:p w14:paraId="1740683B" w14:textId="671DF696" w:rsidR="008D479B" w:rsidRDefault="008D479B" w:rsidP="008D479B">
      <w:pPr>
        <w:pStyle w:val="TextoNormal"/>
      </w:pPr>
      <w:r>
        <w:t>El letrado de la Comunidad de Madrid expone que, con posterioridad, se emitió el informe de la ponencia del que derivó la redacción definitiva de la disposición adicional segunda de la Ley 1/2023, como consecuencia de una enmienda transaccional, pero a la que en todo caso “resultan trasladables las observaciones formuladas por los letrados de la Asamblea de Madrid en su dictamen de 21 de septiembre de 2022, […] en lo que se refiere a los aspectos competenciales del meritado precepto”.</w:t>
      </w:r>
    </w:p>
    <w:p w14:paraId="58E0C6A1" w14:textId="77777777" w:rsidR="008D479B" w:rsidRDefault="008D479B" w:rsidP="008D479B">
      <w:pPr>
        <w:pStyle w:val="TextoNormal"/>
      </w:pPr>
    </w:p>
    <w:p w14:paraId="6C500D87" w14:textId="37C35BA8" w:rsidR="008D479B" w:rsidRDefault="008D479B" w:rsidP="008D479B">
      <w:pPr>
        <w:pStyle w:val="TextoNormal"/>
      </w:pPr>
      <w:r w:rsidRPr="008D479B">
        <w:rPr>
          <w:rStyle w:val="NumeroAFNegritaCaracter"/>
        </w:rPr>
        <w:t>5</w:t>
      </w:r>
      <w:r>
        <w:t>. Por escrito remitido al presidente del Tribunal Constitucional, el presidente de la Asamblea de Madrid comunica el acuerdo de la junta de portavoces de dicha Cámara, de 30 de junio de 2023, de no aprobar la propuesta de elevación al Pleno de la Cámara, en su siguiente sesión plenaria, en orden a personarse y formular alegaciones ante el Tribunal Constitucional en el procedimiento de referencia.</w:t>
      </w:r>
    </w:p>
    <w:p w14:paraId="05AD2F97" w14:textId="77777777" w:rsidR="008D479B" w:rsidRDefault="008D479B" w:rsidP="008D479B">
      <w:pPr>
        <w:pStyle w:val="TextoNormal"/>
      </w:pPr>
    </w:p>
    <w:p w14:paraId="18AF070F" w14:textId="41EB2BDC" w:rsidR="008D479B" w:rsidRDefault="008D479B" w:rsidP="008D479B">
      <w:pPr>
        <w:pStyle w:val="TextoNormal"/>
      </w:pPr>
      <w:r w:rsidRPr="008D479B">
        <w:rPr>
          <w:rStyle w:val="NumeroAFNegritaCaracter"/>
        </w:rPr>
        <w:t>6</w:t>
      </w:r>
      <w:r>
        <w:t>. Por diligencia de ordenación del secretario de justicia del Pleno de 14 de julio de 2023 se acordó que, próximo a finalizar el plazo de los cinco meses que señala el artículo 161.2 CE desde que se produjo la suspensión de la disposición adicional impugnada, se oyese a las partes personadas —abogado del Estado y letrado de la Comunidad de Madrid— para que, en el plazo de cinco días, expusiesen lo que considerasen conveniente acerca del mantenimiento o levantamiento de dicha suspensión. El abogado del Estado interesó el mantenimiento de la suspensión inicialmente acordada por escrito registrado el día 21 de julio de 2023.</w:t>
      </w:r>
    </w:p>
    <w:p w14:paraId="3C474560" w14:textId="77777777" w:rsidR="008D479B" w:rsidRDefault="008D479B" w:rsidP="008D479B">
      <w:pPr>
        <w:pStyle w:val="TextoNormal"/>
      </w:pPr>
    </w:p>
    <w:p w14:paraId="6BF2361E" w14:textId="614E39DF" w:rsidR="008D479B" w:rsidRDefault="008D479B" w:rsidP="008D479B">
      <w:pPr>
        <w:pStyle w:val="TextoNormal"/>
      </w:pPr>
      <w:r w:rsidRPr="008D479B">
        <w:rPr>
          <w:rStyle w:val="NumeroAFNegritaCaracter"/>
        </w:rPr>
        <w:t>7</w:t>
      </w:r>
      <w:r>
        <w:t>. Mediante escrito presentado en el registro del Tribunal el día 27 de julio de 2023, la presidenta del Congreso de los Diputados comunica el acuerdo de la mesa de la Diputación Permanente de personarse en el proceso, ofreciendo su colaboración a los efectos del artículo 88.1 LOTC.</w:t>
      </w:r>
    </w:p>
    <w:p w14:paraId="0709CC92" w14:textId="77777777" w:rsidR="008D479B" w:rsidRDefault="008D479B" w:rsidP="008D479B">
      <w:pPr>
        <w:pStyle w:val="TextoNormal"/>
      </w:pPr>
    </w:p>
    <w:p w14:paraId="0C91452D" w14:textId="3C177DCE" w:rsidR="008D479B" w:rsidRDefault="008D479B" w:rsidP="008D479B">
      <w:pPr>
        <w:pStyle w:val="TextoNormal"/>
      </w:pPr>
      <w:r w:rsidRPr="008D479B">
        <w:rPr>
          <w:rStyle w:val="NumeroAFNegritaCaracter"/>
        </w:rPr>
        <w:t>8</w:t>
      </w:r>
      <w:r>
        <w:t>. Mediante el ATC 445/2023, de 27 de septiembre, el Pleno acuerda mantener la suspensión de la aplicación de la disposición adicional impugnada en el presente recurso de inconstitucionalidad.</w:t>
      </w:r>
    </w:p>
    <w:p w14:paraId="3DDF54DE" w14:textId="77777777" w:rsidR="008D479B" w:rsidRDefault="008D479B" w:rsidP="008D479B">
      <w:pPr>
        <w:pStyle w:val="TextoNormal"/>
      </w:pPr>
    </w:p>
    <w:p w14:paraId="74F663FA" w14:textId="2B665765" w:rsidR="008D479B" w:rsidRDefault="008D479B" w:rsidP="008D479B">
      <w:pPr>
        <w:pStyle w:val="TextoNormal"/>
      </w:pPr>
      <w:r w:rsidRPr="008D479B">
        <w:rPr>
          <w:rStyle w:val="NumeroAFNegritaCaracter"/>
        </w:rPr>
        <w:t>9</w:t>
      </w:r>
      <w:r>
        <w:t>. Por providencia de 24 de octubre de 2023 se señaló para deliberación y votación de la presente sentencia el día 26 del mismo mes y año.</w:t>
      </w:r>
    </w:p>
    <w:p w14:paraId="25E7527A" w14:textId="77777777" w:rsidR="008D479B" w:rsidRDefault="008D479B" w:rsidP="008D479B">
      <w:pPr>
        <w:pStyle w:val="TextoNormal"/>
      </w:pPr>
    </w:p>
    <w:p w14:paraId="29423B18" w14:textId="77777777" w:rsidR="008D479B" w:rsidRDefault="008D479B" w:rsidP="008D479B">
      <w:pPr>
        <w:pStyle w:val="TextoNormalNegritaCentrado"/>
        <w:keepNext/>
      </w:pPr>
      <w:r>
        <w:t>II. Fundamentos jurídicos</w:t>
      </w:r>
    </w:p>
    <w:p w14:paraId="4A86CA5D" w14:textId="300E222F" w:rsidR="008D479B" w:rsidRDefault="008D479B" w:rsidP="008D479B">
      <w:pPr>
        <w:pStyle w:val="TextoNormalNegritaCentrado"/>
        <w:keepNext/>
      </w:pPr>
    </w:p>
    <w:p w14:paraId="2F71A5A0" w14:textId="77777777" w:rsidR="008D479B" w:rsidRDefault="008D479B" w:rsidP="008D479B">
      <w:pPr>
        <w:pStyle w:val="TextoNormal"/>
      </w:pPr>
      <w:r w:rsidRPr="008D479B">
        <w:rPr>
          <w:rStyle w:val="NumeroAFNegritaCaracter"/>
        </w:rPr>
        <w:t>1</w:t>
      </w:r>
      <w:r>
        <w:t xml:space="preserve">. </w:t>
      </w:r>
      <w:r w:rsidRPr="008D479B">
        <w:rPr>
          <w:i/>
        </w:rPr>
        <w:t>Objeto del recurso y posiciones de las partes</w:t>
      </w:r>
    </w:p>
    <w:p w14:paraId="316E83B7" w14:textId="77777777" w:rsidR="008D479B" w:rsidRDefault="008D479B" w:rsidP="008D479B">
      <w:pPr>
        <w:pStyle w:val="TextoNormal"/>
      </w:pPr>
    </w:p>
    <w:p w14:paraId="68148195" w14:textId="77777777" w:rsidR="008D479B" w:rsidRDefault="008D479B" w:rsidP="008D479B">
      <w:pPr>
        <w:pStyle w:val="TextoNormal"/>
      </w:pPr>
      <w:r>
        <w:t>El objeto de la presente resolución es resolver el recurso de inconstitucionalidad promovido por el presidente del Gobierno contra la disposición adicional segunda de la Ley de la Asamblea de Madrid 1/2023, de 15 de febrero, de creación de la Agencia Madrileña para el Apoyo a las Personas Adultas con Discapacidad.</w:t>
      </w:r>
    </w:p>
    <w:p w14:paraId="4FC5FB2A" w14:textId="77777777" w:rsidR="008D479B" w:rsidRDefault="008D479B" w:rsidP="008D479B">
      <w:pPr>
        <w:pStyle w:val="TextoNormal"/>
      </w:pPr>
    </w:p>
    <w:p w14:paraId="0A15259F" w14:textId="77777777" w:rsidR="008D479B" w:rsidRDefault="008D479B" w:rsidP="008D479B">
      <w:pPr>
        <w:pStyle w:val="TextoNormal"/>
      </w:pPr>
      <w:r>
        <w:t>La citada disposición adicional, bajo la rúbrica “En favor del derecho reconocido de la vida de las personas con discapacidad”, establece que “en todo caso, cuando se pretenda llevar a cabo cualquier actuación que afecte al derecho a la vida de la persona con discapacidad a la que se haya provisto de un apoyo de carácter representativo para el ejercicio de la capacidad jurídica o se determine de manera expresa en la resolución que estableció el apoyo, se tramitará un procedimiento de jurisdicción voluntaria para la solicitud de autorización judicial”.</w:t>
      </w:r>
    </w:p>
    <w:p w14:paraId="06AEBE0F" w14:textId="77777777" w:rsidR="008D479B" w:rsidRDefault="008D479B" w:rsidP="008D479B">
      <w:pPr>
        <w:pStyle w:val="TextoNormal"/>
      </w:pPr>
    </w:p>
    <w:p w14:paraId="14C06670" w14:textId="77777777" w:rsidR="008D479B" w:rsidRDefault="008D479B" w:rsidP="008D479B">
      <w:pPr>
        <w:pStyle w:val="TextoNormal"/>
      </w:pPr>
      <w:r>
        <w:t>El recurso se fundamenta en motivos competenciales y sustantivos. De una parte, se afirma que la disposición adicional controvertida vulnera las competencias del Estado sobre legislación civil (art. 149.1.8 CE) y legislación procesal (art. 149.1.6 CE), al establecer requisitos civiles y procesales para el ejercicio de la capacidad jurídica de las personas con discapacidad sobre los que la comunidad autónoma carece de competencia. De otra parte, alega la vulneración de la reserva de ley orgánica (art. 81.1 CE), por regular requisitos adicionales y distintos a los previstos en el artículo 5.2 de la Ley Orgánica 3/2021, de 24 de marzo, de regulación de la eutanasia, del principio de seguridad jurídica (art. 9.3 CE), y del artículo 9 de la Ley 41/2002, de 14 de noviembre, básica reguladora de la autonomía del paciente y de derechos y obligaciones en materia de información y documentación clínica.</w:t>
      </w:r>
    </w:p>
    <w:p w14:paraId="45F6BA46" w14:textId="77777777" w:rsidR="008D479B" w:rsidRDefault="008D479B" w:rsidP="008D479B">
      <w:pPr>
        <w:pStyle w:val="TextoNormal"/>
      </w:pPr>
    </w:p>
    <w:p w14:paraId="66F4A9A8" w14:textId="463805B8" w:rsidR="008D479B" w:rsidRDefault="008D479B" w:rsidP="008D479B">
      <w:pPr>
        <w:pStyle w:val="TextoNormal"/>
      </w:pPr>
      <w:r>
        <w:t>Tal como ha quedado recogido en los antecedentes de esta sentencia, la representación procesal de la Comunidad de Madrid solicita de este tribunal que dicte sentencia ajustada a derecho, haciendo suyas las objeciones competenciales expresadas por los letrados de la Asamblea de Madrid en la tramitación parlamentaria del proyecto de ley en relación con la enmienda que dio lugar a la disposición adicional segunda ahora impugnada.</w:t>
      </w:r>
    </w:p>
    <w:p w14:paraId="336E1E85" w14:textId="77777777" w:rsidR="008D479B" w:rsidRDefault="008D479B" w:rsidP="008D479B">
      <w:pPr>
        <w:pStyle w:val="TextoNormal"/>
      </w:pPr>
    </w:p>
    <w:p w14:paraId="01C81CB5" w14:textId="77777777" w:rsidR="008D479B" w:rsidRDefault="008D479B" w:rsidP="008D479B">
      <w:pPr>
        <w:pStyle w:val="TextoNormal"/>
      </w:pPr>
      <w:r w:rsidRPr="008D479B">
        <w:rPr>
          <w:rStyle w:val="NumeroAFNegritaCaracter"/>
        </w:rPr>
        <w:t>2</w:t>
      </w:r>
      <w:r>
        <w:t xml:space="preserve">. </w:t>
      </w:r>
      <w:r w:rsidRPr="008D479B">
        <w:rPr>
          <w:i/>
        </w:rPr>
        <w:t>Orden de enjuiciamiento</w:t>
      </w:r>
    </w:p>
    <w:p w14:paraId="69D43EA8" w14:textId="77777777" w:rsidR="008D479B" w:rsidRDefault="008D479B" w:rsidP="008D479B">
      <w:pPr>
        <w:pStyle w:val="TextoNormal"/>
      </w:pPr>
    </w:p>
    <w:p w14:paraId="5F954F90" w14:textId="77777777" w:rsidR="008D479B" w:rsidRDefault="008D479B" w:rsidP="008D479B">
      <w:pPr>
        <w:pStyle w:val="TextoNormal"/>
      </w:pPr>
      <w:r>
        <w:t>En lo que se refiere al orden de examen de las diferentes tachas de inconstitucionalidad que se formulan en la demanda, debemos recordar que corresponde a este tribunal, en función de las circunstancias concurrentes en cada supuesto concreto sometido a su consideración, determinar el orden del examen de las quejas planteadas [STC 37/2022, de 10 de marzo, FJ 3 b)].</w:t>
      </w:r>
    </w:p>
    <w:p w14:paraId="4FFD12B9" w14:textId="77777777" w:rsidR="008D479B" w:rsidRDefault="008D479B" w:rsidP="008D479B">
      <w:pPr>
        <w:pStyle w:val="TextoNormal"/>
      </w:pPr>
    </w:p>
    <w:p w14:paraId="62F689D3" w14:textId="0EE07AF3" w:rsidR="008D479B" w:rsidRDefault="008D479B" w:rsidP="008D479B">
      <w:pPr>
        <w:pStyle w:val="TextoNormal"/>
      </w:pPr>
      <w:r>
        <w:t>Nuestro enjuiciamiento comenzará con el análisis de las impugnaciones de carácter competencial pues, si se estimara el recurso por esos motivos, no sería necesario abordar los de carácter sustantivo [en el mismo sentido, SSTC 177/2016, de 20 de octubre, FJ 3; 132/2017, de 14 de noviembre, FJ 3, y 37/2022, FJ 3 b)].</w:t>
      </w:r>
    </w:p>
    <w:p w14:paraId="37AEED9C" w14:textId="77777777" w:rsidR="008D479B" w:rsidRDefault="008D479B" w:rsidP="008D479B">
      <w:pPr>
        <w:pStyle w:val="TextoNormal"/>
      </w:pPr>
    </w:p>
    <w:p w14:paraId="7B8F3D3B" w14:textId="77777777" w:rsidR="008D479B" w:rsidRDefault="008D479B" w:rsidP="008D479B">
      <w:pPr>
        <w:pStyle w:val="TextoNormal"/>
      </w:pPr>
      <w:r w:rsidRPr="008D479B">
        <w:rPr>
          <w:rStyle w:val="NumeroAFNegritaCaracter"/>
        </w:rPr>
        <w:t>3</w:t>
      </w:r>
      <w:r>
        <w:t xml:space="preserve">. </w:t>
      </w:r>
      <w:r w:rsidRPr="008D479B">
        <w:rPr>
          <w:i/>
        </w:rPr>
        <w:t>Régimen de distribución de competencias en materia de legislación procesal</w:t>
      </w:r>
    </w:p>
    <w:p w14:paraId="736AA265" w14:textId="77777777" w:rsidR="008D479B" w:rsidRDefault="008D479B" w:rsidP="008D479B">
      <w:pPr>
        <w:pStyle w:val="TextoNormal"/>
      </w:pPr>
    </w:p>
    <w:p w14:paraId="5E9C20BF" w14:textId="77777777" w:rsidR="008D479B" w:rsidRDefault="008D479B" w:rsidP="008D479B">
      <w:pPr>
        <w:pStyle w:val="TextoNormal"/>
      </w:pPr>
      <w:r>
        <w:t>a) El recurso de inconstitucionalidad denuncia de una parte, como se ha expuesto, motivos competenciales, por lo que debemos determinar la materia objeto de la regulación discutida para después examinar la distribución competencial existente sobre ella. Atendiendo al contenido de la disposición adicional segunda debemos convenir con el abogado del Estado en que establece regulación procesal, dado que exige recabar en todo caso autorización judicial por medio de un expediente de jurisdicción voluntaria cuando se pretenda llevar a cabo cualquier actuación que afecte al derecho a la vida de la persona con discapacidad a la que se haya provisto de un apoyo de carácter representativo para el ejercicio de la capacidad jurídica o se determine de manera expresa en la resolución que estableció el apoyo.</w:t>
      </w:r>
    </w:p>
    <w:p w14:paraId="112E6B42" w14:textId="77777777" w:rsidR="008D479B" w:rsidRDefault="008D479B" w:rsidP="008D479B">
      <w:pPr>
        <w:pStyle w:val="TextoNormal"/>
      </w:pPr>
    </w:p>
    <w:p w14:paraId="1761A3FD" w14:textId="77777777" w:rsidR="008D479B" w:rsidRDefault="008D479B" w:rsidP="008D479B">
      <w:pPr>
        <w:pStyle w:val="TextoNormal"/>
      </w:pPr>
      <w:r>
        <w:t>b) La doctrina constitucional sobre la distribución de competencias en materia de legislación procesal ha sido resumida en numerosas ocasiones [entre otras, SSTC 13/2019, de 31 de enero, FJ 2 b), y 72/2021, de 18 de marzo, FJ 5 b)].</w:t>
      </w:r>
    </w:p>
    <w:p w14:paraId="0D11D40C" w14:textId="77777777" w:rsidR="008D479B" w:rsidRDefault="008D479B" w:rsidP="008D479B">
      <w:pPr>
        <w:pStyle w:val="TextoNormal"/>
      </w:pPr>
    </w:p>
    <w:p w14:paraId="4C1AD98A" w14:textId="77777777" w:rsidR="008D479B" w:rsidRDefault="008D479B" w:rsidP="008D479B">
      <w:pPr>
        <w:pStyle w:val="TextoNormal"/>
      </w:pPr>
      <w:r>
        <w:t>De acuerdo con el artículo 149.1.6 CE, la legislación procesal es una “competencia general” del Estado [STC 80/2018, de 5 de julio, FJ 5 a); 13/2019, FJ 2 b), y 72/2021, FJ 5 b)]; y una competencia autonómica “de orden limitado”; circunscrita a “las necesarias especialidades que en este orden se deriven de las particularidades del derecho sustantivo de las comunidades autónomas” [STC 72/2021, FJ 5 b)].</w:t>
      </w:r>
    </w:p>
    <w:p w14:paraId="6A2F5413" w14:textId="77777777" w:rsidR="008D479B" w:rsidRDefault="008D479B" w:rsidP="008D479B">
      <w:pPr>
        <w:pStyle w:val="TextoNormal"/>
      </w:pPr>
    </w:p>
    <w:p w14:paraId="337FC9B0" w14:textId="77777777" w:rsidR="008D479B" w:rsidRDefault="008D479B" w:rsidP="008D479B">
      <w:pPr>
        <w:pStyle w:val="TextoNormal"/>
      </w:pPr>
      <w:r>
        <w:t>En la citada STC 13/2019, FJ 2 b), pusimos de relieve que no cabe interpretar esta salvedad competencial de modo tal que quede vacía de contenido la competencia general en materia de legislación procesal atribuida al Estado: “la competencia asumida por las comunidades autónomas al amparo de la salvedad recogida en el artículo 149.1.6 CE no les permite, sin más, introducir en su ordenamiento normas procesales por el mero hecho de haber promulgado regulaciones de Derecho sustantivo en el ejercicio de sus competencias, esto es, innovar el ordenamiento procesal en relación con la defensa jurídica de aquellos derechos e intereses que materialmente regulen, lo que equivaldría a vaciar de contenido o privar de todo significado a la especificidad con que la materia procesal se contempla en el artículo 149.1.6 CE, sino que, como indica la expresión ‘necesarias especialidades’ del citado precepto constitucional, tan solo pueden introducir aquellas innovaciones procesales que inevitablemente se deduzcan, desde la perspectiva de la defensa judicial, de las reclamaciones jurídicas sustantivas configuradas por la norma autonómica en virtud de las particularidades del Derecho creado por la propia comunidad autónoma, o, dicho en otros términos, las singularidades procesales que se permiten a las comunidades autónomas han de limitarse a aquellas que, por la conexión directa con las particularidades del Derecho sustantivo autonómico, vengan requeridas por estas” [SSTC 47/2004, de 25 de marzo, FJ 4; 2/2018, de 11 de enero, FJ 4, y 80/2018, FJ 5 a)].</w:t>
      </w:r>
    </w:p>
    <w:p w14:paraId="054D0FFE" w14:textId="77777777" w:rsidR="008D479B" w:rsidRDefault="008D479B" w:rsidP="008D479B">
      <w:pPr>
        <w:pStyle w:val="TextoNormal"/>
      </w:pPr>
    </w:p>
    <w:p w14:paraId="06E36987" w14:textId="5A09C5BE" w:rsidR="008D479B" w:rsidRDefault="008D479B" w:rsidP="008D479B">
      <w:pPr>
        <w:pStyle w:val="TextoNormal"/>
      </w:pPr>
      <w:r>
        <w:t>A ello añadimos que [SSTC 13/2019, FJ 2 b), y 72/2021, FJ 5 b)] «[c]orresponde “al legislador autonómico o, en su defecto, a quienes asuman la defensa de la ley en su caso impugnada, ofrecer la suficiente justificación sobre la necesidad de alterar las reglas procesales comúnmente aplicables, cuando menos siempre que del propio examen de la ley no se puedan desprender o inferir esas ‘necesarias especialidades’” [SSTC 127/1999, de 1 de julio, FJ 5; 47/2004, FJ 4; 21/2012, de 16 de febrero, FJ 7, y 80/2018, FJ 5 a)]. Para entender cumplidamente justificada en un caso la aplicación de la salvedad competencial contenida en el artículo 149.1.6 CE deben completarse tres operaciones. Primero, “ha de determinarse cuál es el Derecho sustantivo autonómico que presenta particularidades”. Segundo, “hay que señalar respecto de qué legislación procesal estatal y, por tanto, general o común, se predican las eventuales especialidades de orden procesal incorporadas por el legislador autonómico”. Finalmente, “ha de indagarse si, entre las peculiaridades del ordenamiento sustantivo autonómico y las singularidades procesales incorporadas por el legislador autonómico en la norma impugnada, existe una conexión directa tal que justifique las especialidades procesales” [STC 80/2018, FJ 5 a), citando las SSTC 47/2004, FJ 5, y 2/2018, FJ 4]».</w:t>
      </w:r>
    </w:p>
    <w:p w14:paraId="7FF4D5E2" w14:textId="77777777" w:rsidR="008D479B" w:rsidRDefault="008D479B" w:rsidP="008D479B">
      <w:pPr>
        <w:pStyle w:val="TextoNormal"/>
      </w:pPr>
    </w:p>
    <w:p w14:paraId="21B5FE04" w14:textId="77777777" w:rsidR="008D479B" w:rsidRDefault="008D479B" w:rsidP="008D479B">
      <w:pPr>
        <w:pStyle w:val="TextoNormal"/>
      </w:pPr>
      <w:r w:rsidRPr="008D479B">
        <w:rPr>
          <w:rStyle w:val="NumeroAFNegritaCaracter"/>
        </w:rPr>
        <w:t>4</w:t>
      </w:r>
      <w:r>
        <w:t xml:space="preserve">. </w:t>
      </w:r>
      <w:r w:rsidRPr="008D479B">
        <w:rPr>
          <w:i/>
        </w:rPr>
        <w:t>Estimación del recurso de inconstitucionalidad</w:t>
      </w:r>
    </w:p>
    <w:p w14:paraId="41C562F5" w14:textId="77777777" w:rsidR="008D479B" w:rsidRDefault="008D479B" w:rsidP="008D479B">
      <w:pPr>
        <w:pStyle w:val="TextoNormal"/>
      </w:pPr>
    </w:p>
    <w:p w14:paraId="518F4166" w14:textId="77777777" w:rsidR="008D479B" w:rsidRDefault="008D479B" w:rsidP="008D479B">
      <w:pPr>
        <w:pStyle w:val="TextoNormal"/>
      </w:pPr>
      <w:r>
        <w:t>La aplicación de la doctrina anterior conlleva que la competencia para dictar esta norma no pueda encontrarse amparada en la salvedad prevista en el art. 149.1.6 CE.</w:t>
      </w:r>
    </w:p>
    <w:p w14:paraId="70BBD9E4" w14:textId="77777777" w:rsidR="008D479B" w:rsidRDefault="008D479B" w:rsidP="008D479B">
      <w:pPr>
        <w:pStyle w:val="TextoNormal"/>
      </w:pPr>
    </w:p>
    <w:p w14:paraId="21E7794B" w14:textId="77777777" w:rsidR="008D479B" w:rsidRDefault="008D479B" w:rsidP="008D479B">
      <w:pPr>
        <w:pStyle w:val="TextoNormal"/>
      </w:pPr>
      <w:r>
        <w:t>El letrado de la Comunidad de Madrid no ha justificado una peculiaridad del Derecho sustantivo autonómico a la que pudiera asociarse el inciso cuestionado, ni ha razonado cuáles son las especialidades procesales, ni, en consecuencia, ha argumentado acerca de la eventual conexión directa entre la peculiaridad del ordenamiento sustantivo autonómico y la singularidad procesal. Al contrario, la representación procesal de la Comunidad de Madrid, remitiéndose al dictamen de los letrados de la Asamblea de Madrid sobre la enmienda presentada al proyecto de ley que ha dado lugar a la disposición adicional segunda recurrida, pone de relieve que el proyecto de ley no contenía ninguna peculiaridad sustantiva respecto a las decisiones que pudieran afectar al derecho a la vida de las personas con discapacidad; que la enmienda no introduce propiamente una especialidad, sino que modifica, ampliándola, una categoría jurídica relevante en el ámbito procesal y, por tanto, regulada por el Derecho procesal general, como es la jurisdicción voluntaria; y, finalmente, que dicha ampliación no queda conectada de forma directa con una peculiaridad del Derecho sustantivo de la Comunidad de Madrid.</w:t>
      </w:r>
    </w:p>
    <w:p w14:paraId="4BCFAD65" w14:textId="77777777" w:rsidR="008D479B" w:rsidRDefault="008D479B" w:rsidP="008D479B">
      <w:pPr>
        <w:pStyle w:val="TextoNormal"/>
      </w:pPr>
    </w:p>
    <w:p w14:paraId="30DF8310" w14:textId="77777777" w:rsidR="008D479B" w:rsidRDefault="008D479B" w:rsidP="008D479B">
      <w:pPr>
        <w:pStyle w:val="TextoNormal"/>
      </w:pPr>
      <w:r>
        <w:t>En consecuencia, la disposición adicional segunda de la Ley de la Asamblea de Madrid 1/2023 invade la competencia general en materia procesal que corresponde al Estado (art. 149.1.6 CE). Tal invasión se produce por la sola razón de que el precepto autonómico regula cuestiones que le están vedadas [en el mismo sentido, STC 13/2019, FJ 2 c)].</w:t>
      </w:r>
    </w:p>
    <w:p w14:paraId="5044D89C" w14:textId="77777777" w:rsidR="008D479B" w:rsidRDefault="008D479B" w:rsidP="008D479B">
      <w:pPr>
        <w:pStyle w:val="TextoNormal"/>
      </w:pPr>
    </w:p>
    <w:p w14:paraId="1275B1C2" w14:textId="5C08DF21" w:rsidR="008D479B" w:rsidRDefault="008D479B" w:rsidP="008D479B">
      <w:pPr>
        <w:pStyle w:val="TextoNormal"/>
      </w:pPr>
      <w:r>
        <w:t>Procede pues estimar la impugnación y, en consecuencia, declarar la inconstitucionalidad y nulidad de la disposición impugnada.</w:t>
      </w:r>
    </w:p>
    <w:p w14:paraId="4525EF46" w14:textId="77777777" w:rsidR="008D479B" w:rsidRDefault="008D479B" w:rsidP="008D479B">
      <w:pPr>
        <w:pStyle w:val="TextoNormal"/>
      </w:pPr>
    </w:p>
    <w:p w14:paraId="41ADE524" w14:textId="77777777" w:rsidR="008D479B" w:rsidRDefault="008D479B" w:rsidP="008D479B">
      <w:pPr>
        <w:pStyle w:val="TextoNormalCentrado"/>
        <w:keepNext/>
      </w:pPr>
      <w:r>
        <w:t>FALLO</w:t>
      </w:r>
    </w:p>
    <w:p w14:paraId="0780A1B0" w14:textId="6CC7A265" w:rsidR="008D479B" w:rsidRDefault="008D479B" w:rsidP="008D479B">
      <w:pPr>
        <w:pStyle w:val="TextoNormalCentrado"/>
        <w:keepNext/>
      </w:pPr>
    </w:p>
    <w:p w14:paraId="18ADD92B" w14:textId="68A7A938" w:rsidR="008D479B" w:rsidRDefault="008D479B" w:rsidP="008D479B">
      <w:pPr>
        <w:pStyle w:val="TextoNormal"/>
      </w:pPr>
      <w:r>
        <w:t>En atención a todo lo expuesto, el Tribunal Constitucional, por la autoridad que le confiere la Constitución de la Nación española, ha decidido estimar el presente recurso de inconstitucionalidad promovido por el presidente del Gobierno y, en consecuencia, declarar inconstitucional y nula la disposición adicional segunda de la Ley de la Asamblea de Madrid 1/2023, de 15 de febrero, de creación de la Agencia Madrileña para el Apoyo a las Personas Adultas con Discapacidad.</w:t>
      </w:r>
    </w:p>
    <w:p w14:paraId="2578FBF4" w14:textId="77777777" w:rsidR="008D479B" w:rsidRDefault="008D479B" w:rsidP="008D479B">
      <w:pPr>
        <w:pStyle w:val="TextoNormal"/>
      </w:pPr>
    </w:p>
    <w:p w14:paraId="43439EBC" w14:textId="77777777" w:rsidR="008D479B" w:rsidRDefault="008D479B" w:rsidP="008D479B">
      <w:pPr>
        <w:pStyle w:val="TextoNormal"/>
      </w:pPr>
      <w:r>
        <w:t>Publíquese esta sentencia en el “Boletín Oficial del Estado”.</w:t>
      </w:r>
    </w:p>
    <w:p w14:paraId="2E8EA165" w14:textId="77777777" w:rsidR="008D479B" w:rsidRDefault="008D479B" w:rsidP="008D479B">
      <w:pPr>
        <w:pStyle w:val="TextoNormal"/>
      </w:pPr>
      <w:r>
        <w:t>Dada en Madrid, a veintiséis de octubre de dos mil veintitrés.</w:t>
      </w:r>
    </w:p>
    <w:p w14:paraId="14BB5186" w14:textId="71332EA2" w:rsidR="008D479B" w:rsidRDefault="008D479B">
      <w:pPr>
        <w:spacing w:after="160" w:line="278" w:lineRule="auto"/>
        <w:rPr>
          <w:rFonts w:ascii="Times New Roman" w:eastAsia="Times New Roman" w:hAnsi="Times New Roman" w:cs="Times New Roman"/>
          <w:sz w:val="24"/>
          <w:szCs w:val="24"/>
          <w:lang w:eastAsia="es-ES"/>
        </w:rPr>
      </w:pPr>
      <w:r>
        <w:br w:type="page"/>
      </w:r>
    </w:p>
    <w:p w14:paraId="1EC0239D" w14:textId="77777777" w:rsidR="008D479B" w:rsidRDefault="008D479B" w:rsidP="008D479B">
      <w:pPr>
        <w:pStyle w:val="TtuloResolucin"/>
      </w:pPr>
      <w:bookmarkStart w:id="72" w:name="SENTENCIA_2023_147"/>
      <w:r>
        <w:t>SENTENCIA 147/2023, de 6 de noviembre de 2023</w:t>
      </w:r>
    </w:p>
    <w:bookmarkEnd w:id="72"/>
    <w:p w14:paraId="393600C4" w14:textId="77777777" w:rsidR="008D479B" w:rsidRDefault="008D479B" w:rsidP="008D479B">
      <w:pPr>
        <w:pStyle w:val="TtuloResolucin"/>
      </w:pPr>
      <w:r>
        <w:t>Pleno</w:t>
      </w:r>
    </w:p>
    <w:p w14:paraId="0CA09539" w14:textId="77777777" w:rsidR="008D479B" w:rsidRDefault="008D479B" w:rsidP="008D479B">
      <w:pPr>
        <w:pStyle w:val="TtuloBOE"/>
      </w:pPr>
      <w:r>
        <w:t>(BOE núm. 301, de 18 de diciembre de 2023)</w:t>
      </w:r>
    </w:p>
    <w:p w14:paraId="654D05D7" w14:textId="77777777" w:rsidR="008D479B" w:rsidRDefault="008D479B" w:rsidP="008D479B">
      <w:pPr>
        <w:pStyle w:val="TextoNormalCentrado"/>
      </w:pPr>
      <w:r>
        <w:t>ECLI:ES:TC:2023:147</w:t>
      </w:r>
    </w:p>
    <w:p w14:paraId="3E34A74E" w14:textId="0503291E" w:rsidR="008D479B" w:rsidRDefault="008D479B" w:rsidP="008D479B">
      <w:pPr>
        <w:pStyle w:val="TextoNormalCentrado"/>
      </w:pPr>
    </w:p>
    <w:p w14:paraId="6725A846" w14:textId="77777777" w:rsidR="008D479B" w:rsidRDefault="008D479B" w:rsidP="008D479B">
      <w:pPr>
        <w:pStyle w:val="SntesisDescriptiva"/>
      </w:pPr>
      <w:r>
        <w:t>Recurso de inconstitucionalidad 4469-2021. Interpuesto por más de cincuenta diputados del grupo parlamentario Vox del Congreso en relación con el Real Decreto-ley 9/2021, de 11 de mayo, por el que se modifica el texto refundido de la Ley del estatuto de los trabajadores, aprobado por el Real Decreto Legislativo 2/2015, de 23 de octubre, para garantizar los derechos laborales de las personas dedicadas al reparto en el ámbito de plataformas digitales.</w:t>
      </w:r>
    </w:p>
    <w:p w14:paraId="65A727BA" w14:textId="5740AC7A" w:rsidR="008D479B" w:rsidRDefault="008D479B" w:rsidP="008D479B">
      <w:pPr>
        <w:pStyle w:val="SntesisDescriptiva"/>
      </w:pPr>
    </w:p>
    <w:p w14:paraId="0E3F1F1B" w14:textId="77777777" w:rsidR="008D479B" w:rsidRDefault="008D479B" w:rsidP="008D479B">
      <w:pPr>
        <w:pStyle w:val="SntesisAnaltica"/>
      </w:pPr>
      <w:r>
        <w:t>Límites de los decretos leyes: STC 144/2023 (concurrencia del presupuesto habilitante de la situación de extraordinaria y urgente necesidad y de la conexión de sentido de las medidas dispuestas para hacerle frente). Voto particular.</w:t>
      </w:r>
    </w:p>
    <w:p w14:paraId="291E7FFD" w14:textId="1220C556" w:rsidR="008D479B" w:rsidRDefault="008D479B" w:rsidP="008D479B">
      <w:pPr>
        <w:pStyle w:val="SntesisAnaltica"/>
      </w:pPr>
    </w:p>
    <w:p w14:paraId="439E047B" w14:textId="201ECC1C" w:rsidR="008D479B" w:rsidRDefault="008D479B" w:rsidP="008D479B">
      <w:pPr>
        <w:pStyle w:val="Extracto"/>
      </w:pPr>
      <w:r>
        <w:t>1.</w:t>
      </w:r>
      <w:r>
        <w:tab/>
        <w:t>Aplicación de doctrina constitucional relativa a la existencia y justificación del presupuesto habilitante de la “extraordinaria y urgente necesidad” exigido por el art. 86.1 CE para la aprobación de reales decretos-leyes (STC 144/2023) [FJ 2].</w:t>
      </w:r>
    </w:p>
    <w:p w14:paraId="1E558958" w14:textId="77777777" w:rsidR="008D479B" w:rsidRDefault="008D479B" w:rsidP="008D479B">
      <w:pPr>
        <w:pStyle w:val="Extracto"/>
      </w:pPr>
    </w:p>
    <w:p w14:paraId="7DB51ED8" w14:textId="77777777" w:rsidR="008D479B" w:rsidRDefault="008D479B" w:rsidP="008D479B">
      <w:pPr>
        <w:pStyle w:val="Extracto"/>
      </w:pPr>
    </w:p>
    <w:p w14:paraId="1A80CC67" w14:textId="77777777" w:rsidR="008D479B" w:rsidRDefault="008D479B" w:rsidP="008D479B">
      <w:pPr>
        <w:pStyle w:val="TextoNormal"/>
      </w:pPr>
      <w: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y doña Laura Díez Bueso, ha pronunciado</w:t>
      </w:r>
    </w:p>
    <w:p w14:paraId="027A719D" w14:textId="7D0DEE6D" w:rsidR="008D479B" w:rsidRDefault="008D479B" w:rsidP="008D479B">
      <w:pPr>
        <w:pStyle w:val="TextoNormal"/>
      </w:pPr>
    </w:p>
    <w:p w14:paraId="468AC368" w14:textId="77777777" w:rsidR="008D479B" w:rsidRDefault="008D479B" w:rsidP="008D479B">
      <w:pPr>
        <w:pStyle w:val="TextoNormalCentrado"/>
        <w:keepNext/>
      </w:pPr>
      <w:r>
        <w:t>EN NOMBRE DEL REY</w:t>
      </w:r>
    </w:p>
    <w:p w14:paraId="65ED3737" w14:textId="586C1C69" w:rsidR="008D479B" w:rsidRDefault="008D479B" w:rsidP="008D479B">
      <w:pPr>
        <w:pStyle w:val="TextoNormalCentrado"/>
        <w:keepNext/>
      </w:pPr>
    </w:p>
    <w:p w14:paraId="003BC3A9" w14:textId="77777777" w:rsidR="008D479B" w:rsidRDefault="008D479B" w:rsidP="008D479B">
      <w:pPr>
        <w:pStyle w:val="TextoNormalCentrado"/>
        <w:keepNext/>
      </w:pPr>
    </w:p>
    <w:p w14:paraId="16771F6C" w14:textId="77777777" w:rsidR="008D479B" w:rsidRDefault="008D479B" w:rsidP="008D479B">
      <w:pPr>
        <w:pStyle w:val="TextoNormal"/>
      </w:pPr>
      <w:r>
        <w:t>la siguiente</w:t>
      </w:r>
    </w:p>
    <w:p w14:paraId="099A2C04" w14:textId="7A97391E" w:rsidR="008D479B" w:rsidRDefault="008D479B" w:rsidP="008D479B">
      <w:pPr>
        <w:pStyle w:val="TextoNormal"/>
      </w:pPr>
    </w:p>
    <w:p w14:paraId="0C37413B" w14:textId="77777777" w:rsidR="008D479B" w:rsidRDefault="008D479B" w:rsidP="008D479B">
      <w:pPr>
        <w:pStyle w:val="TextoNormalCentrado"/>
        <w:keepNext/>
      </w:pPr>
      <w:r>
        <w:t>SENTENCIA</w:t>
      </w:r>
    </w:p>
    <w:p w14:paraId="4BC62C1A" w14:textId="0C96B1FF" w:rsidR="008D479B" w:rsidRDefault="008D479B" w:rsidP="008D479B">
      <w:pPr>
        <w:pStyle w:val="TextoNormalCentrado"/>
        <w:keepNext/>
      </w:pPr>
    </w:p>
    <w:p w14:paraId="269D7E43" w14:textId="77777777" w:rsidR="008D479B" w:rsidRDefault="008D479B" w:rsidP="008D479B">
      <w:pPr>
        <w:pStyle w:val="TextoNormal"/>
      </w:pPr>
      <w:r>
        <w:t>En el recurso de inconstitucionalidad núm. 4469-2021, interpuesto por cincuenta y dos diputados del Grupo Parlamentario Vox del Congreso contra el Real Decreto-ley 9/2021, de 11 de mayo, por el que se modifica el texto refundido de la Ley del estatuto de los trabajadores, aprobado por el Real Decreto Legislativo 2/2015, de 23 de octubre, para garantizar los derechos laborales de las personas dedicadas al reparto en el ámbito de plataformas digitales. Han comparecido el Congreso de los Diputados y el Senado. Ha formulado alegaciones el Gobierno de la Nación. Ha sido ponente el magistrado don Ricardo Enríquez Sancho.</w:t>
      </w:r>
    </w:p>
    <w:p w14:paraId="79868B2F" w14:textId="2D40B647" w:rsidR="008D479B" w:rsidRDefault="008D479B" w:rsidP="008D479B">
      <w:pPr>
        <w:pStyle w:val="TextoNormal"/>
      </w:pPr>
    </w:p>
    <w:p w14:paraId="27C604D8" w14:textId="77777777" w:rsidR="008D479B" w:rsidRDefault="008D479B" w:rsidP="008D479B">
      <w:pPr>
        <w:pStyle w:val="TextoNormalNegritaCentrado"/>
        <w:keepNext/>
      </w:pPr>
      <w:r>
        <w:t>I. Antecedentes</w:t>
      </w:r>
    </w:p>
    <w:p w14:paraId="5F94DA63" w14:textId="6C8AE6D2" w:rsidR="008D479B" w:rsidRDefault="008D479B" w:rsidP="008D479B">
      <w:pPr>
        <w:pStyle w:val="TextoNormalNegritaCentrado"/>
        <w:keepNext/>
      </w:pPr>
    </w:p>
    <w:p w14:paraId="3DF1171D" w14:textId="77777777" w:rsidR="008D479B" w:rsidRDefault="008D479B" w:rsidP="008D479B">
      <w:pPr>
        <w:pStyle w:val="TextoNormal"/>
      </w:pPr>
      <w:r w:rsidRPr="008D479B">
        <w:rPr>
          <w:rStyle w:val="NumeroAFNegritaCaracter"/>
        </w:rPr>
        <w:t>1</w:t>
      </w:r>
      <w:r>
        <w:t>. Mediante escrito presentado en el registro del Tribunal el día 1 de julio de 2021, don Antonio Ortega Fuentes, procurador de los tribunales, y don Juan José Aizcorbe Torra, comisionado al efecto por cincuenta y dos diputados del Grupo Parlamentario Vox del Congreso de los Diputados, interpusieron recurso de inconstitucionalidad contra el Real Decreto-ley 9/2021, de 11 de mayo, por el que se modifica el texto refundido de la Ley del estatuto de los trabajadores, aprobado por el Real Decreto Legislativo 2/2015, de 23 de octubre, para garantizar los derechos laborales de las personas dedicadas al reparto en el ámbito de plataformas digitales.</w:t>
      </w:r>
    </w:p>
    <w:p w14:paraId="458E1EBF" w14:textId="77777777" w:rsidR="008D479B" w:rsidRDefault="008D479B" w:rsidP="008D479B">
      <w:pPr>
        <w:pStyle w:val="TextoNormal"/>
      </w:pPr>
    </w:p>
    <w:p w14:paraId="36297612" w14:textId="77777777" w:rsidR="008D479B" w:rsidRDefault="008D479B" w:rsidP="008D479B">
      <w:pPr>
        <w:pStyle w:val="TextoNormal"/>
      </w:pPr>
      <w:r>
        <w:t>El único motivo del recurso es la falta de presupuesto habilitante del art. 86.1 de la Constitución (situación de “extraordinaria y urgente necesidad”) en su doble vertiente de: a) justificación explícita y razonada; y b) adecuación o conexión de sentido entre la situación de urgencia previamente definida y las normas aprobadas.</w:t>
      </w:r>
    </w:p>
    <w:p w14:paraId="6CAD6BF7" w14:textId="77777777" w:rsidR="008D479B" w:rsidRDefault="008D479B" w:rsidP="008D479B">
      <w:pPr>
        <w:pStyle w:val="TextoNormal"/>
      </w:pPr>
    </w:p>
    <w:p w14:paraId="61BB4D6F" w14:textId="77777777" w:rsidR="008D479B" w:rsidRDefault="008D479B" w:rsidP="008D479B">
      <w:pPr>
        <w:pStyle w:val="TextoNormal"/>
      </w:pPr>
      <w:r>
        <w:t>a) En cuanto al primer requisito, el recurso transcribe el apartado III y otros pasajes de la exposición de motivos del real decreto-ley y concluye que la justificación tiene un alcance “limitado” en cuanto viene referido a uno solo de los dos preceptos que integran la reforma legal, la nueva disposición adicional vigesimotercera del Estatuto de los trabajadores introducida por el apartado segundo del artículo único del decreto-ley; “nada se dice” respecto de la otra modificación, nueva letra d) del art. 64.4 del texto refundido, añadida por el apartado primero del artículo único del Real Decreto-ley. El Gobierno ha incumplido así “lisa y llanamente” en cuanto a esta última la obligación de explicitar el presupuesto habilitante, que no se encuentra ni en la exposición de motivos, ni en el debate parlamentario ni en el expediente de elaboración de la norma, y ello debe conducir a su anulación.</w:t>
      </w:r>
    </w:p>
    <w:p w14:paraId="4EEDFD57" w14:textId="77777777" w:rsidR="008D479B" w:rsidRDefault="008D479B" w:rsidP="008D479B">
      <w:pPr>
        <w:pStyle w:val="TextoNormal"/>
      </w:pPr>
    </w:p>
    <w:p w14:paraId="3A634885" w14:textId="77777777" w:rsidR="008D479B" w:rsidRDefault="008D479B" w:rsidP="008D479B">
      <w:pPr>
        <w:pStyle w:val="TextoNormal"/>
      </w:pPr>
      <w:r>
        <w:t>En cuanto a la reforma sí justificada, le parece que esa justificación es “ritual, genérica y estereotipada”:</w:t>
      </w:r>
    </w:p>
    <w:p w14:paraId="2CE72150" w14:textId="77777777" w:rsidR="008D479B" w:rsidRDefault="008D479B" w:rsidP="008D479B">
      <w:pPr>
        <w:pStyle w:val="TextoNormal"/>
      </w:pPr>
    </w:p>
    <w:p w14:paraId="22E84C60" w14:textId="77777777" w:rsidR="008D479B" w:rsidRDefault="008D479B" w:rsidP="008D479B">
      <w:pPr>
        <w:pStyle w:val="TextoNormal"/>
      </w:pPr>
      <w:r>
        <w:t>(i) La existencia de un debate judicial o de controversias jurídicas y la razonable aspiración de ponerles fin —en otras palabras, la seguridad jurídica— no justifica el recurso al decreto ley (cita la STC 29/2015, de 19 de febrero, FJ 5). Llama la atención sobre la labor jurisprudencial de calificar contratos de trabajo, “permanente desde el nacimiento de la institución” y cita abundantes sentencias del Tribunal Supremo que se han pronunciado sobre múltiples relaciones jurídicas (actores de doblaje, agentes de seguro, etcétera). Son problemas “estructurales” del derecho del trabajo que no pueden dar lugar al dictado de decretos leyes cada vez que se producen. Se da la circunstancia además de que el debate estaba zanjado desde la sentencia del Pleno de la Sala de lo Social del Tribunal Supremo de 25 de septiembre de 2020.</w:t>
      </w:r>
    </w:p>
    <w:p w14:paraId="17F3DE81" w14:textId="77777777" w:rsidR="008D479B" w:rsidRDefault="008D479B" w:rsidP="008D479B">
      <w:pPr>
        <w:pStyle w:val="TextoNormal"/>
      </w:pPr>
    </w:p>
    <w:p w14:paraId="4E3661FA" w14:textId="77777777" w:rsidR="008D479B" w:rsidRDefault="008D479B" w:rsidP="008D479B">
      <w:pPr>
        <w:pStyle w:val="TextoNormal"/>
      </w:pPr>
      <w:r>
        <w:t>(ii) La consideración gubernamental de que la reforma es “conveniente” y “urge implementarla” tampoco pueden justificar el recurso al decreto-ley (cita las SSTC 68/2007, de 28 de marzo; 125/2016, de 7 de julio; 111/2021, de 13 de mayo, y 113/2021, de 31 de mayo).</w:t>
      </w:r>
    </w:p>
    <w:p w14:paraId="608E2A39" w14:textId="77777777" w:rsidR="008D479B" w:rsidRDefault="008D479B" w:rsidP="008D479B">
      <w:pPr>
        <w:pStyle w:val="TextoNormal"/>
      </w:pPr>
    </w:p>
    <w:p w14:paraId="39DE94D7" w14:textId="77777777" w:rsidR="008D479B" w:rsidRDefault="008D479B" w:rsidP="008D479B">
      <w:pPr>
        <w:pStyle w:val="TextoNormal"/>
      </w:pPr>
      <w:r>
        <w:t>(iii) Y lo mismo cabe decir de las alusiones a la necesidad de garantizar la seguridad jurídica y la previsibilidad.</w:t>
      </w:r>
    </w:p>
    <w:p w14:paraId="5B9DA541" w14:textId="77777777" w:rsidR="008D479B" w:rsidRDefault="008D479B" w:rsidP="008D479B">
      <w:pPr>
        <w:pStyle w:val="TextoNormal"/>
      </w:pPr>
    </w:p>
    <w:p w14:paraId="283BEBF4" w14:textId="77777777" w:rsidR="008D479B" w:rsidRDefault="008D479B" w:rsidP="008D479B">
      <w:pPr>
        <w:pStyle w:val="TextoNormal"/>
      </w:pPr>
      <w:r>
        <w:t>Muestra, en definitiva, de esta ausencia de urgencia es el tiempo empleado por el Gobierno para abrir una consulta sobre la regulación de la cuestión, desde junio de 2020 hasta agosto de 2021 (adjunta documentación al respecto), lo que “pone de manifiesto la elusión” del procedimiento legislativo y la “usurpación” de la potestad legislativa del parlamento. Incluso la doctrina laboralista (cita diversos autores y artículos) comparte este reproche de inconstitucionalidad. Y en el debate parlamentario de convalidación, la ministra encargada de la defensa del decreto-ley, a pesar de haber sido “repetidamente interpelada” sobre el particular por diputados de los grupos parlamentarios Vox, Ciudadanos y Popular, no hizo uso de la potestad reconocida al Gobierno de intervenir cuantas veces fuese necesario para acreditar la concurrencia del presupuesto habilitante.</w:t>
      </w:r>
    </w:p>
    <w:p w14:paraId="7A874348" w14:textId="77777777" w:rsidR="008D479B" w:rsidRDefault="008D479B" w:rsidP="008D479B">
      <w:pPr>
        <w:pStyle w:val="TextoNormal"/>
      </w:pPr>
    </w:p>
    <w:p w14:paraId="09F24653" w14:textId="77777777" w:rsidR="008D479B" w:rsidRDefault="008D479B" w:rsidP="008D479B">
      <w:pPr>
        <w:pStyle w:val="TextoNormal"/>
      </w:pPr>
      <w:r>
        <w:t>b) Por si las argumentaciones anteriores se considerasen inconsistentes, se añade un motivo adicional que imputa a las normas aprobadas en el decreto-ley la ausencia de conexión de sentido con la situación de urgencia definida.</w:t>
      </w:r>
    </w:p>
    <w:p w14:paraId="175C6846" w14:textId="77777777" w:rsidR="008D479B" w:rsidRDefault="008D479B" w:rsidP="008D479B">
      <w:pPr>
        <w:pStyle w:val="TextoNormal"/>
      </w:pPr>
    </w:p>
    <w:p w14:paraId="4077457F" w14:textId="77777777" w:rsidR="008D479B" w:rsidRDefault="008D479B" w:rsidP="008D479B">
      <w:pPr>
        <w:pStyle w:val="TextoNormal"/>
      </w:pPr>
      <w:r>
        <w:t>La norma del apartado primero del artículo único, que establece un deber general de informar sobre los algoritmos utilizados en cualquier empresa, resulta “extravagante” en una norma sectorial. El Gobierno “ha aprovechado” la norma sectorial y especial para introducir una reforma general de los derechos de información de los representantes legales de los trabajadores.</w:t>
      </w:r>
    </w:p>
    <w:p w14:paraId="56C35E00" w14:textId="77777777" w:rsidR="008D479B" w:rsidRDefault="008D479B" w:rsidP="008D479B">
      <w:pPr>
        <w:pStyle w:val="TextoNormal"/>
      </w:pPr>
    </w:p>
    <w:p w14:paraId="15D61BA7" w14:textId="56E83BC7" w:rsidR="008D479B" w:rsidRDefault="008D479B" w:rsidP="008D479B">
      <w:pPr>
        <w:pStyle w:val="TextoNormal"/>
      </w:pPr>
      <w:r>
        <w:t xml:space="preserve">Tampoco el apartado segundo guarda conexión de sentido con la urgencia definida, pues “el legislador no ha hecho otra cosa que lo que dice pretender conjurar, es decir, dejar al albur de las resoluciones judiciales y administrativas el problema de la calificación jurídica de los </w:t>
      </w:r>
      <w:r w:rsidRPr="008D479B">
        <w:rPr>
          <w:i/>
        </w:rPr>
        <w:t>riders</w:t>
      </w:r>
      <w:r>
        <w:t xml:space="preserve">”. Al establecer una presunción </w:t>
      </w:r>
      <w:r w:rsidRPr="008D479B">
        <w:rPr>
          <w:i/>
        </w:rPr>
        <w:t>iuris tantum</w:t>
      </w:r>
      <w:r>
        <w:t xml:space="preserve">, lejos de acabar con el debate judicial en curso, va a reabrirlo. Además, incluye una </w:t>
      </w:r>
      <w:r w:rsidRPr="008D479B">
        <w:rPr>
          <w:i/>
        </w:rPr>
        <w:t>vacatio legis</w:t>
      </w:r>
      <w:r>
        <w:t xml:space="preserve"> de tres meses que se suma a los dos meses “desde que el acuerdo que ha dado lugar a la norma se suscribe hasta que la misma se publica”; plazo que resulta ser una “concesión pactada en la mesa del diálogo social”, lo que supone hurtar al Parlamento sus cometidos.</w:t>
      </w:r>
    </w:p>
    <w:p w14:paraId="031123C3" w14:textId="77777777" w:rsidR="008D479B" w:rsidRDefault="008D479B" w:rsidP="008D479B">
      <w:pPr>
        <w:pStyle w:val="TextoNormal"/>
      </w:pPr>
    </w:p>
    <w:p w14:paraId="5E1A526F" w14:textId="267BFE2E" w:rsidR="008D479B" w:rsidRDefault="008D479B" w:rsidP="008D479B">
      <w:pPr>
        <w:pStyle w:val="TextoNormal"/>
      </w:pPr>
      <w:r w:rsidRPr="008D479B">
        <w:rPr>
          <w:rStyle w:val="NumeroAFNegritaCaracter"/>
        </w:rPr>
        <w:t>2</w:t>
      </w:r>
      <w:r>
        <w:t>. Por providencia de 16 de septiembre de 2021, el Pleno del Tribunal acordó admitir a trámite el recurso de inconstitucionalidad interpuesto y dar traslado de las actuaciones, conforme establece el art. 34 de la Ley Orgánica del Tribunal Constitucional (LOTC), al Congreso de los Diputados, al Senado y al Gobierno al objeto de que en el plazo de quince días pudieran personarse en el proceso y formular las alegaciones que estimaran pertinentes; y publicar la incoación del recurso en el “Boletín Oficial del Estado”.</w:t>
      </w:r>
    </w:p>
    <w:p w14:paraId="232049DF" w14:textId="77777777" w:rsidR="008D479B" w:rsidRDefault="008D479B" w:rsidP="008D479B">
      <w:pPr>
        <w:pStyle w:val="TextoNormal"/>
      </w:pPr>
    </w:p>
    <w:p w14:paraId="37392590" w14:textId="2662D137" w:rsidR="008D479B" w:rsidRDefault="008D479B" w:rsidP="008D479B">
      <w:pPr>
        <w:pStyle w:val="TextoNormal"/>
      </w:pPr>
      <w:r w:rsidRPr="008D479B">
        <w:rPr>
          <w:rStyle w:val="NumeroAFNegritaCaracter"/>
        </w:rPr>
        <w:t>3</w:t>
      </w:r>
      <w:r>
        <w:t>. Por acuerdo de sus respectivas mesas, el Congreso de los Diputados y el Senado acordaron personarse en el procedimiento y ofrecer su colaboración a los efectos del artículo 88.1 LOTC.</w:t>
      </w:r>
    </w:p>
    <w:p w14:paraId="1A259DD6" w14:textId="77777777" w:rsidR="008D479B" w:rsidRDefault="008D479B" w:rsidP="008D479B">
      <w:pPr>
        <w:pStyle w:val="TextoNormal"/>
      </w:pPr>
    </w:p>
    <w:p w14:paraId="56F9E653" w14:textId="77777777" w:rsidR="008D479B" w:rsidRDefault="008D479B" w:rsidP="008D479B">
      <w:pPr>
        <w:pStyle w:val="TextoNormal"/>
      </w:pPr>
      <w:r w:rsidRPr="008D479B">
        <w:rPr>
          <w:rStyle w:val="NumeroAFNegritaCaracter"/>
        </w:rPr>
        <w:t>4</w:t>
      </w:r>
      <w:r>
        <w:t>. Tras solicitar una prórroga concedida por el Tribunal, el abogado del Estado, en representación del Gobierno de la Nación, presentó sus alegaciones el día 20 de octubre de 2021.</w:t>
      </w:r>
    </w:p>
    <w:p w14:paraId="1894ED6E" w14:textId="77777777" w:rsidR="008D479B" w:rsidRDefault="008D479B" w:rsidP="008D479B">
      <w:pPr>
        <w:pStyle w:val="TextoNormal"/>
      </w:pPr>
    </w:p>
    <w:p w14:paraId="289392BD" w14:textId="77777777" w:rsidR="008D479B" w:rsidRDefault="008D479B" w:rsidP="008D479B">
      <w:pPr>
        <w:pStyle w:val="TextoNormal"/>
      </w:pPr>
      <w:r>
        <w:t>a) Comienza sintetizando la doctrina constitucional sobre el presupuesto habilitante de los decretos-leyes en tres ideas: (i) la apreciación de una situación como de extraordinaria y urgente necesidad es un juicio político que corresponde al Gobierno y al Congreso al convalidar el decreto-ley, limitándose el Tribunal Constitucional a garantizar que no desborde los límites de lo “manifiestamente irrazonable”; (ii) el decreto-ley no es un instrumento de actuación excepcional o completamente extremo, sino que su uso es posible para hacer frente a objetivos gubernamentales que requieren una acción normativa inmediata, en particular ante coyunturas económicas problemáticas; (iii) es carga del Gobierno justificar el presupuesto habilitante huyendo de “fórmulas rituales” o intercambiables.</w:t>
      </w:r>
    </w:p>
    <w:p w14:paraId="4D5C76B0" w14:textId="77777777" w:rsidR="008D479B" w:rsidRDefault="008D479B" w:rsidP="008D479B">
      <w:pPr>
        <w:pStyle w:val="TextoNormal"/>
      </w:pPr>
    </w:p>
    <w:p w14:paraId="1EA41343" w14:textId="77777777" w:rsidR="008D479B" w:rsidRDefault="008D479B" w:rsidP="008D479B">
      <w:pPr>
        <w:pStyle w:val="TextoNormal"/>
      </w:pPr>
      <w:r>
        <w:t>b) El ánimo que ha conducido al Gobierno a aprobar el decreto-ley recurrido es la lucha frente a la precariedad laboral, se comparta o no su oportunidad. Esta justificación cabe dentro del margen de discrecionalidad del Gobierno en la interpretación del art. 86.1 CE y hace que no pueda hablarse de una actuación abusiva o arbitraria por su parte. Ante esa precariedad laboral, la urgencia de la actuación normativa por decreto-ley se justifica por la necesidad de evitar por más tiempo la posición especialmente desfavorable de los trabajadores.</w:t>
      </w:r>
    </w:p>
    <w:p w14:paraId="349546B7" w14:textId="77777777" w:rsidR="008D479B" w:rsidRDefault="008D479B" w:rsidP="008D479B">
      <w:pPr>
        <w:pStyle w:val="TextoNormal"/>
      </w:pPr>
    </w:p>
    <w:p w14:paraId="56D0AB0A" w14:textId="77777777" w:rsidR="008D479B" w:rsidRDefault="008D479B" w:rsidP="008D479B">
      <w:pPr>
        <w:pStyle w:val="TextoNormal"/>
      </w:pPr>
      <w:r>
        <w:t xml:space="preserve">Además, la actuación de urgencia se justifica por la necesidad de incorporar cuanto antes al derecho positivo una jurisprudencia favorable al reconocimiento de la relación laboral entablada entre las plataformas digitales y sus trabajadores (los repartidores o </w:t>
      </w:r>
      <w:r w:rsidRPr="008D479B">
        <w:rPr>
          <w:i/>
        </w:rPr>
        <w:t>riders</w:t>
      </w:r>
      <w:r>
        <w:t>) que arranca en 2018 y culmina en la sentencia del Pleno de la Sala de lo Social del Tribunal Supremo 805/2020, de 25 de septiembre, tal y como refleja la exposición de motivos del decreto-ley y la memoria de impacto normativo. De acuerdo con la doctrina constitucional, la urgencia que requiere el art. 86.1 CE es independiente de la imprevisibilidad de la situación que se trata de atajar o corregir.</w:t>
      </w:r>
    </w:p>
    <w:p w14:paraId="5FBA1371" w14:textId="77777777" w:rsidR="008D479B" w:rsidRDefault="008D479B" w:rsidP="008D479B">
      <w:pPr>
        <w:pStyle w:val="TextoNormal"/>
      </w:pPr>
    </w:p>
    <w:p w14:paraId="0E58B3E8" w14:textId="1BFDB3E2" w:rsidR="008D479B" w:rsidRDefault="008D479B" w:rsidP="008D479B">
      <w:pPr>
        <w:pStyle w:val="TextoNormal"/>
      </w:pPr>
      <w:r>
        <w:t>Finalmente, la actuación por decreto-ley se justifica por el objetivo de promover de manera inmediata el aumento del empleo, de la renta disponible en los hogares y de la recaudación (vía cotizaciones sociales), impulsando así la necesaria y deseada recuperación económica tras la pandemia.</w:t>
      </w:r>
    </w:p>
    <w:p w14:paraId="3B9B4408" w14:textId="77777777" w:rsidR="008D479B" w:rsidRDefault="008D479B" w:rsidP="008D479B">
      <w:pPr>
        <w:pStyle w:val="TextoNormal"/>
      </w:pPr>
    </w:p>
    <w:p w14:paraId="2D6D84FA" w14:textId="730BF81A" w:rsidR="008D479B" w:rsidRDefault="008D479B" w:rsidP="008D479B">
      <w:pPr>
        <w:pStyle w:val="TextoNormal"/>
      </w:pPr>
      <w:r w:rsidRPr="008D479B">
        <w:rPr>
          <w:rStyle w:val="NumeroAFNegritaCaracter"/>
        </w:rPr>
        <w:t>5</w:t>
      </w:r>
      <w:r>
        <w:t>. Con fecha 10 de febrero de 2023, el magistrado don Juan Carlos Campo Moreno formuló su abstención en relación con el presente proceso constitucional, abstención que fue considerada justificada por el Pleno en el auto 62/2023, de 21 de febrero, lo que dio lugar a apartarle definitivamente del presente recurso y de todas sus incidencias.</w:t>
      </w:r>
    </w:p>
    <w:p w14:paraId="23716A50" w14:textId="77777777" w:rsidR="008D479B" w:rsidRDefault="008D479B" w:rsidP="008D479B">
      <w:pPr>
        <w:pStyle w:val="TextoNormal"/>
      </w:pPr>
    </w:p>
    <w:p w14:paraId="476451CE" w14:textId="6EA337E1" w:rsidR="008D479B" w:rsidRDefault="008D479B" w:rsidP="008D479B">
      <w:pPr>
        <w:pStyle w:val="TextoNormal"/>
      </w:pPr>
      <w:r w:rsidRPr="008D479B">
        <w:rPr>
          <w:rStyle w:val="NumeroAFNegritaCaracter"/>
        </w:rPr>
        <w:t>6</w:t>
      </w:r>
      <w:r>
        <w:t>. Por providencia de 6 de noviembre de 2023, se señaló ese mismo día para deliberación y votación de la presente sentencia.</w:t>
      </w:r>
    </w:p>
    <w:p w14:paraId="50A75E36" w14:textId="77777777" w:rsidR="008D479B" w:rsidRDefault="008D479B" w:rsidP="008D479B">
      <w:pPr>
        <w:pStyle w:val="TextoNormal"/>
      </w:pPr>
    </w:p>
    <w:p w14:paraId="5292830B" w14:textId="77777777" w:rsidR="008D479B" w:rsidRDefault="008D479B" w:rsidP="008D479B">
      <w:pPr>
        <w:pStyle w:val="TextoNormalNegritaCentrado"/>
        <w:keepNext/>
      </w:pPr>
      <w:r>
        <w:t>II. Fundamentos jurídicos</w:t>
      </w:r>
    </w:p>
    <w:p w14:paraId="14C1847F" w14:textId="5F04B4A2" w:rsidR="008D479B" w:rsidRDefault="008D479B" w:rsidP="008D479B">
      <w:pPr>
        <w:pStyle w:val="TextoNormalNegritaCentrado"/>
        <w:keepNext/>
      </w:pPr>
    </w:p>
    <w:p w14:paraId="301E4A22" w14:textId="77777777" w:rsidR="008D479B" w:rsidRDefault="008D479B" w:rsidP="008D479B">
      <w:pPr>
        <w:pStyle w:val="TextoNormal"/>
      </w:pPr>
      <w:r w:rsidRPr="008D479B">
        <w:rPr>
          <w:rStyle w:val="NumeroAFNegritaCaracter"/>
        </w:rPr>
        <w:t>1</w:t>
      </w:r>
      <w:r>
        <w:t xml:space="preserve">. </w:t>
      </w:r>
      <w:r w:rsidRPr="008D479B">
        <w:rPr>
          <w:i/>
        </w:rPr>
        <w:t>Objeto del proceso</w:t>
      </w:r>
    </w:p>
    <w:p w14:paraId="74B2D030" w14:textId="77777777" w:rsidR="008D479B" w:rsidRDefault="008D479B" w:rsidP="008D479B">
      <w:pPr>
        <w:pStyle w:val="TextoNormal"/>
      </w:pPr>
    </w:p>
    <w:p w14:paraId="743D96F3" w14:textId="77777777" w:rsidR="008D479B" w:rsidRDefault="008D479B" w:rsidP="008D479B">
      <w:pPr>
        <w:pStyle w:val="TextoNormal"/>
      </w:pPr>
      <w:r>
        <w:t>Cincuenta y dos diputados del Grupo Parlamentario Vox del Congreso interponen recurso de inconstitucionalidad contra el Real Decreto-ley 9/2021, de 11 de mayo, por el que se modifica el texto refundido de la Ley del estatuto de los trabajadores, aprobado por el Real Decreto Legislativo 2/2015, de 23 de octubre, para garantizar los derechos laborales de las personas dedicadas al reparto en el ámbito de plataformas digitales.</w:t>
      </w:r>
    </w:p>
    <w:p w14:paraId="776ECDDC" w14:textId="77777777" w:rsidR="008D479B" w:rsidRDefault="008D479B" w:rsidP="008D479B">
      <w:pPr>
        <w:pStyle w:val="TextoNormal"/>
      </w:pPr>
    </w:p>
    <w:p w14:paraId="70C1DCA8" w14:textId="77777777" w:rsidR="008D479B" w:rsidRDefault="008D479B" w:rsidP="008D479B">
      <w:pPr>
        <w:pStyle w:val="TextoNormal"/>
      </w:pPr>
      <w:r>
        <w:t>El Real Decreto-ley 9/2021 cuenta con un artículo único, dividido en dos apartados, y dos disposiciones finales, dedicadas respectivamente al título competencial (art. 149.1.7 CE) y entrada en vigor (a los tres meses de su publicación en el “Boletín Oficial del Estado”).</w:t>
      </w:r>
    </w:p>
    <w:p w14:paraId="699AFA23" w14:textId="77777777" w:rsidR="008D479B" w:rsidRDefault="008D479B" w:rsidP="008D479B">
      <w:pPr>
        <w:pStyle w:val="TextoNormal"/>
      </w:pPr>
    </w:p>
    <w:p w14:paraId="167DEAA0" w14:textId="77777777" w:rsidR="008D479B" w:rsidRDefault="008D479B" w:rsidP="008D479B">
      <w:pPr>
        <w:pStyle w:val="TextoNormal"/>
      </w:pPr>
      <w:r>
        <w:t>El artículo único contiene dos apartados que introducen sendos nuevos preceptos en el texto refundido de la Ley del Estatuto de los trabajadores, aprobado por el Real Decreto Legislativo 2/2015, de 23 de octubre.</w:t>
      </w:r>
    </w:p>
    <w:p w14:paraId="21EB08C5" w14:textId="77777777" w:rsidR="008D479B" w:rsidRDefault="008D479B" w:rsidP="008D479B">
      <w:pPr>
        <w:pStyle w:val="TextoNormal"/>
      </w:pPr>
    </w:p>
    <w:p w14:paraId="663FE7F3" w14:textId="77777777" w:rsidR="008D479B" w:rsidRDefault="008D479B" w:rsidP="008D479B">
      <w:pPr>
        <w:pStyle w:val="TextoNormal"/>
      </w:pPr>
      <w:r>
        <w:t>El apartado 1 añade una nueva letra d) al art. 64.4 del texto refundido, reconociendo el derecho del comité de empresa a:</w:t>
      </w:r>
    </w:p>
    <w:p w14:paraId="1FFF0770" w14:textId="77777777" w:rsidR="008D479B" w:rsidRDefault="008D479B" w:rsidP="008D479B">
      <w:pPr>
        <w:pStyle w:val="TextoNormal"/>
      </w:pPr>
    </w:p>
    <w:p w14:paraId="2BA90AC6" w14:textId="77777777" w:rsidR="008D479B" w:rsidRDefault="008D479B" w:rsidP="008D479B">
      <w:pPr>
        <w:pStyle w:val="TextoNormal"/>
      </w:pPr>
      <w:r>
        <w:t>“d) Ser informado por la empresa de los parámetros, reglas e instrucciones en los que se basan los algoritmos o sistemas de inteligencia artificial que afectan a la toma de decisiones que pueden incidir en las condiciones de trabajo, el acceso y mantenimiento del empleo, incluida la elaboración de perfiles”.</w:t>
      </w:r>
    </w:p>
    <w:p w14:paraId="52C909FF" w14:textId="77777777" w:rsidR="008D479B" w:rsidRDefault="008D479B" w:rsidP="008D479B">
      <w:pPr>
        <w:pStyle w:val="TextoNormal"/>
      </w:pPr>
    </w:p>
    <w:p w14:paraId="36071E48" w14:textId="77777777" w:rsidR="008D479B" w:rsidRDefault="008D479B" w:rsidP="008D479B">
      <w:pPr>
        <w:pStyle w:val="TextoNormal"/>
      </w:pPr>
      <w:r>
        <w:t>El apartado 2 añade una nueva disposición adicional vigesimotercera, con la siguiente redacción:</w:t>
      </w:r>
    </w:p>
    <w:p w14:paraId="0486C400" w14:textId="77777777" w:rsidR="008D479B" w:rsidRDefault="008D479B" w:rsidP="008D479B">
      <w:pPr>
        <w:pStyle w:val="TextoNormal"/>
      </w:pPr>
    </w:p>
    <w:p w14:paraId="28D82373" w14:textId="77777777" w:rsidR="008D479B" w:rsidRDefault="008D479B" w:rsidP="008D479B">
      <w:pPr>
        <w:pStyle w:val="TextoNormal"/>
      </w:pPr>
      <w:r>
        <w:t>“Disposición adicional vigesimotercera. Presunción de laboralidad en el ámbito de las plataformas digitales de reparto</w:t>
      </w:r>
    </w:p>
    <w:p w14:paraId="2C89BD45" w14:textId="77777777" w:rsidR="008D479B" w:rsidRDefault="008D479B" w:rsidP="008D479B">
      <w:pPr>
        <w:pStyle w:val="TextoNormal"/>
      </w:pPr>
    </w:p>
    <w:p w14:paraId="593AF9DE" w14:textId="77777777" w:rsidR="008D479B" w:rsidRDefault="008D479B" w:rsidP="008D479B">
      <w:pPr>
        <w:pStyle w:val="TextoNormal"/>
      </w:pPr>
      <w:r>
        <w:t>Por aplicación de lo establecido en el artículo 8.1, se presume incluida en el ámbito de esta ley la actividad de las personas que presten servicios retribuidos consistentes en el reparto o distribución de cualquier producto de consumo o mercancía, por parte de empleadoras que ejercen las facultades empresariales de organización, dirección y control de forma directa, indirecta o implícita, mediante la gestión algorítmica del servicio o de las condiciones de trabajo, a través de una plataforma digital.</w:t>
      </w:r>
    </w:p>
    <w:p w14:paraId="357F3CAD" w14:textId="77777777" w:rsidR="008D479B" w:rsidRDefault="008D479B" w:rsidP="008D479B">
      <w:pPr>
        <w:pStyle w:val="TextoNormal"/>
      </w:pPr>
    </w:p>
    <w:p w14:paraId="6B3579BD" w14:textId="77777777" w:rsidR="008D479B" w:rsidRDefault="008D479B" w:rsidP="008D479B">
      <w:pPr>
        <w:pStyle w:val="TextoNormal"/>
      </w:pPr>
      <w:r>
        <w:t>Esta presunción no afecta a lo previsto en el artículo 1.3 de la presente norma”.</w:t>
      </w:r>
    </w:p>
    <w:p w14:paraId="09CA79BE" w14:textId="77777777" w:rsidR="008D479B" w:rsidRDefault="008D479B" w:rsidP="008D479B">
      <w:pPr>
        <w:pStyle w:val="TextoNormal"/>
      </w:pPr>
    </w:p>
    <w:p w14:paraId="70228D3C" w14:textId="77777777" w:rsidR="008D479B" w:rsidRDefault="008D479B" w:rsidP="008D479B">
      <w:pPr>
        <w:pStyle w:val="TextoNormal"/>
      </w:pPr>
      <w:r>
        <w:t>El único motivo del recurso es la falta de presupuesto habilitante (situación de “extraordinaria y urgente necesidad”) que permite al Gobierno de la Nación dictar un decreto-ley al amparo del art. 86.1 de la Constitución, en el doble sentido de que: a) el Gobierno no ha efectuado una “justificación explícita y razonada” de esa situación; y b) las medidas aprobadas no guardan la debida “conexión de sentido” con la situación previamente definida. Requisitos ambos exigidos por la doctrina de este tribunal desde la STC 29/1982, de 31 de mayo, FJ 3 (entre las más recientes, STC 14/2020, de 28 de enero, FJ 2).</w:t>
      </w:r>
    </w:p>
    <w:p w14:paraId="763709E6" w14:textId="77777777" w:rsidR="008D479B" w:rsidRDefault="008D479B" w:rsidP="008D479B">
      <w:pPr>
        <w:pStyle w:val="TextoNormal"/>
      </w:pPr>
    </w:p>
    <w:p w14:paraId="72235815" w14:textId="2FD37CE6" w:rsidR="008D479B" w:rsidRDefault="008D479B" w:rsidP="008D479B">
      <w:pPr>
        <w:pStyle w:val="TextoNormal"/>
      </w:pPr>
      <w:r>
        <w:t>La única parte que ha formulado alegaciones, el Gobierno de la Nación, defiende su legítimo ejercicio de la potestad conferida y solicita la desestimación del recurso interpuesto.</w:t>
      </w:r>
    </w:p>
    <w:p w14:paraId="332D3169" w14:textId="77777777" w:rsidR="008D479B" w:rsidRDefault="008D479B" w:rsidP="008D479B">
      <w:pPr>
        <w:pStyle w:val="TextoNormal"/>
      </w:pPr>
    </w:p>
    <w:p w14:paraId="56131502" w14:textId="77777777" w:rsidR="008D479B" w:rsidRDefault="008D479B" w:rsidP="008D479B">
      <w:pPr>
        <w:pStyle w:val="TextoNormal"/>
      </w:pPr>
      <w:r w:rsidRPr="008D479B">
        <w:rPr>
          <w:rStyle w:val="NumeroAFNegritaCaracter"/>
        </w:rPr>
        <w:t>2</w:t>
      </w:r>
      <w:r>
        <w:t xml:space="preserve">. </w:t>
      </w:r>
      <w:r w:rsidRPr="008D479B">
        <w:rPr>
          <w:i/>
        </w:rPr>
        <w:t>Cuestión resuelta en la STC 144/2023, de 25 de octubre</w:t>
      </w:r>
    </w:p>
    <w:p w14:paraId="3C934E9C" w14:textId="77777777" w:rsidR="008D479B" w:rsidRDefault="008D479B" w:rsidP="008D479B">
      <w:pPr>
        <w:pStyle w:val="TextoNormal"/>
      </w:pPr>
    </w:p>
    <w:p w14:paraId="54349462" w14:textId="77777777" w:rsidR="008D479B" w:rsidRDefault="008D479B" w:rsidP="008D479B">
      <w:pPr>
        <w:pStyle w:val="TextoNormal"/>
      </w:pPr>
      <w:r>
        <w:t>a) El objeto del presente recurso de inconstitucionalidad coincide sustancialmente con el planteado en el recurso interpuesto por más de cincuenta diputados del Grupo Parlamentario Popular del Congreso contra este mismo Real Decreto-ley 9/2021, desestimado en la STC 144/2023, de 25 de octubre. Por lo tanto, procede remitirnos a lo razonado entonces para fundamentar idéntica conclusión. Como allí se explicó:</w:t>
      </w:r>
    </w:p>
    <w:p w14:paraId="68A12FF3" w14:textId="77777777" w:rsidR="008D479B" w:rsidRDefault="008D479B" w:rsidP="008D479B">
      <w:pPr>
        <w:pStyle w:val="TextoNormal"/>
      </w:pPr>
    </w:p>
    <w:p w14:paraId="49B65811" w14:textId="77777777" w:rsidR="008D479B" w:rsidRDefault="008D479B" w:rsidP="008D479B">
      <w:pPr>
        <w:pStyle w:val="TextoNormal"/>
      </w:pPr>
      <w:r>
        <w:t>“[E]l Gobierno sí ha aportado una justificación explícita y razonada para su reacción legislativa de urgencia, lo cual conduce, de entrada, a desestimar las alegaciones que sobre este extremo formula la demanda. En concreto, el Gobierno se ha referido expresamente al presupuesto habilitante del Real Decreto-ley 9/2021 ligándolo a la combinación de varias circunstancias, a saber, (1) el alto y creciente número de trabajadores afectados por la situación de precariedad laboral que se pretende atajar, según los datos que resultan de la actividad de la Inspección General de Trabajo entre los años 2015 y 2021; (2) el incremento del volumen de servicios prestados a través de plataformas digitales y de los problemas asociados a esta realidad en el marco de la pandemia de covid-19; (3) la necesidad de incorporar al Derecho positivo la doctrina de la sentencia de la Sala de lo Social del Tribunal Supremo de 25 de septiembre de 2020, para proporcionar seguridad jurídica en un ámbito caracterizado por una fuerte litigiosidad; y (4) el proceso de recuperación económica en el marco de la pandemia, al que las medidas aprobadas podían contribuir mediante el aumento de los ingresos de las personas trabajadoras y la incorporación al sistema de sus cotizaciones sociales” [STC 144/2023, de 25 de octubre, FJ 5 b) (i)].</w:t>
      </w:r>
    </w:p>
    <w:p w14:paraId="5DBC0A58" w14:textId="77777777" w:rsidR="008D479B" w:rsidRDefault="008D479B" w:rsidP="008D479B">
      <w:pPr>
        <w:pStyle w:val="TextoNormal"/>
      </w:pPr>
    </w:p>
    <w:p w14:paraId="64A408E6" w14:textId="77777777" w:rsidR="008D479B" w:rsidRDefault="008D479B" w:rsidP="008D479B">
      <w:pPr>
        <w:pStyle w:val="TextoNormal"/>
      </w:pPr>
      <w:r>
        <w:t>b) Los recurrentes discuten también la segunda vertiente del presupuesto habilitante establecida por la doctrina de este tribunal. Consideran que el contenido del Real Decreto-ley 9/2021 no guarda la debida “conexión de sentido” con la situación de urgencia previamente definida.</w:t>
      </w:r>
    </w:p>
    <w:p w14:paraId="1A3AEFE4" w14:textId="77777777" w:rsidR="008D479B" w:rsidRDefault="008D479B" w:rsidP="008D479B">
      <w:pPr>
        <w:pStyle w:val="TextoNormal"/>
      </w:pPr>
    </w:p>
    <w:p w14:paraId="5E5688D8" w14:textId="77777777" w:rsidR="008D479B" w:rsidRDefault="008D479B" w:rsidP="008D479B">
      <w:pPr>
        <w:pStyle w:val="TextoNormal"/>
      </w:pPr>
      <w:r>
        <w:t>Tal como declaramos en la STC 144/2023, de 25 de octubre, FJ 5 c), “no se aprecia motivo alguno que ponga de manifiesto que las medidas adoptadas a través del Real Decreto-ley 9/2021 carezcan de la necesaria relación de congruencia con la situación de urgencia definida”.</w:t>
      </w:r>
    </w:p>
    <w:p w14:paraId="21F1918A" w14:textId="77777777" w:rsidR="008D479B" w:rsidRDefault="008D479B" w:rsidP="008D479B">
      <w:pPr>
        <w:pStyle w:val="TextoNormal"/>
      </w:pPr>
    </w:p>
    <w:p w14:paraId="11782174" w14:textId="77777777" w:rsidR="008D479B" w:rsidRDefault="008D479B" w:rsidP="008D479B">
      <w:pPr>
        <w:pStyle w:val="TextoNormal"/>
      </w:pPr>
      <w:r>
        <w:t>Efectivamente, la situación de extraordinaria y urgente necesidad definida por el Gobierno tal como quedó reflejada en nuestra STC 144/2023, de 25 de octubre, FJ 5 b), parcialmente transcrita más arriba, vinculada a la precariedad laboral de los repartidores de plataformas digitales y a la necesidad de incorporar la doctrina del Tribunal Supremo sobre los repartidores de las plataformas digitales, es del todo coherente con los dos preceptos contenidos en el Real Decreto-ley 9/2021: el reconocimiento del derecho del comité de empresa a ser informado de los parámetros de los algoritmos que afectan a la toma de decisiones que puedan incidir en las condiciones de trabajo (artículo único, apartado 1), y la presunción de laboralidad de los repartidores de plataformas digitales (apartado 2).</w:t>
      </w:r>
    </w:p>
    <w:p w14:paraId="7451D862" w14:textId="77777777" w:rsidR="008D479B" w:rsidRDefault="008D479B" w:rsidP="008D479B">
      <w:pPr>
        <w:pStyle w:val="TextoNormal"/>
      </w:pPr>
    </w:p>
    <w:p w14:paraId="4B476725" w14:textId="02E72CD4" w:rsidR="008D479B" w:rsidRDefault="008D479B" w:rsidP="008D479B">
      <w:pPr>
        <w:pStyle w:val="TextoNormal"/>
      </w:pPr>
      <w:r>
        <w:t>Procede, en consecuencia, desestimar el recurso interpuesto.</w:t>
      </w:r>
    </w:p>
    <w:p w14:paraId="5ADB5A08" w14:textId="77777777" w:rsidR="008D479B" w:rsidRDefault="008D479B" w:rsidP="008D479B">
      <w:pPr>
        <w:pStyle w:val="TextoNormal"/>
      </w:pPr>
    </w:p>
    <w:p w14:paraId="59CE9A0D" w14:textId="77777777" w:rsidR="008D479B" w:rsidRDefault="008D479B" w:rsidP="008D479B">
      <w:pPr>
        <w:pStyle w:val="TextoNormalCentrado"/>
        <w:keepNext/>
      </w:pPr>
      <w:r>
        <w:t>FALLO</w:t>
      </w:r>
    </w:p>
    <w:p w14:paraId="76F6062C" w14:textId="5757AE82" w:rsidR="008D479B" w:rsidRDefault="008D479B" w:rsidP="008D479B">
      <w:pPr>
        <w:pStyle w:val="TextoNormalCentrado"/>
        <w:keepNext/>
      </w:pPr>
    </w:p>
    <w:p w14:paraId="3C2FF060" w14:textId="1625751C" w:rsidR="008D479B" w:rsidRDefault="008D479B" w:rsidP="008D479B">
      <w:pPr>
        <w:pStyle w:val="TextoNormal"/>
      </w:pPr>
      <w:r>
        <w:t>En atención a todo lo expuesto, el Tribunal Constitucional, por la autoridad que le confiere la Constitución de la Nación española, ha decidido desestimar el presente recurso de inconstitucionalidad.</w:t>
      </w:r>
    </w:p>
    <w:p w14:paraId="48D15750" w14:textId="77777777" w:rsidR="008D479B" w:rsidRDefault="008D479B" w:rsidP="008D479B">
      <w:pPr>
        <w:pStyle w:val="TextoNormal"/>
      </w:pPr>
    </w:p>
    <w:p w14:paraId="65F6676A" w14:textId="77777777" w:rsidR="008D479B" w:rsidRDefault="008D479B" w:rsidP="008D479B">
      <w:pPr>
        <w:pStyle w:val="TextoNormal"/>
      </w:pPr>
      <w:r>
        <w:t>Publíquese esta sentencia en el “Boletín Oficial del Estado”.</w:t>
      </w:r>
    </w:p>
    <w:p w14:paraId="0C9214E0" w14:textId="77777777" w:rsidR="008D479B" w:rsidRDefault="008D479B" w:rsidP="008D479B">
      <w:pPr>
        <w:pStyle w:val="TextoNormal"/>
      </w:pPr>
      <w:r>
        <w:t>Dada en Madrid, a seis de noviembre de dos mil veintitrés.</w:t>
      </w:r>
    </w:p>
    <w:p w14:paraId="445DEA6E" w14:textId="38EA38CE" w:rsidR="008D479B" w:rsidRDefault="008D479B" w:rsidP="008D479B">
      <w:pPr>
        <w:pStyle w:val="ParrafoNormal"/>
      </w:pPr>
    </w:p>
    <w:p w14:paraId="6BFEC24A" w14:textId="77777777" w:rsidR="008D479B" w:rsidRDefault="008D479B" w:rsidP="008D479B">
      <w:pPr>
        <w:pStyle w:val="TextoNormalNegritaCentrado"/>
        <w:keepNext/>
      </w:pPr>
      <w:r>
        <w:t>Voto particular que formulan los magistrados don Ricardo Enríquez Sancho y don Enrique Arnaldo Alcubilla, la magistrada doña Concepción Espejel Jorquera y el magistrado don César Tolosa Tribiño a la sentencia dictada en el recurso de inconstitucionalidad número 4469-2021</w:t>
      </w:r>
    </w:p>
    <w:p w14:paraId="3F98A39A" w14:textId="060E41CB" w:rsidR="008D479B" w:rsidRDefault="008D479B" w:rsidP="008D479B">
      <w:pPr>
        <w:pStyle w:val="TextoNormalNegritaCentrado"/>
        <w:keepNext/>
      </w:pPr>
    </w:p>
    <w:p w14:paraId="4F59B20D" w14:textId="77777777" w:rsidR="008D479B" w:rsidRDefault="008D479B" w:rsidP="008D479B">
      <w:pPr>
        <w:pStyle w:val="TextoNormal"/>
      </w:pPr>
      <w:r>
        <w:t>En el ejercicio de la facultad que nos confiere el artículo 90.2 de la Ley Orgánica del Tribunal Constitucional (LOTC), y con respeto al parecer mayoritario del Pleno, formulamos el presente voto particular para expresar nuestra discrepancia con la fundamentación y fallo de la sentencia recaída en el presente recurso de inconstitucionalidad, el cual a nuestro juicio debió ser estimado por las razones que ya expusimos en el voto particular a la STC 144/2023, de 25 de octubre, aplicada por la sentencia de la mayoría, al que nos remitimos, y que son, sintéticamente expuestas, las siguientes:</w:t>
      </w:r>
    </w:p>
    <w:p w14:paraId="753CA882" w14:textId="77777777" w:rsidR="008D479B" w:rsidRDefault="008D479B" w:rsidP="008D479B">
      <w:pPr>
        <w:pStyle w:val="TextoNormal"/>
      </w:pPr>
    </w:p>
    <w:p w14:paraId="731D2685" w14:textId="77777777" w:rsidR="008D479B" w:rsidRDefault="008D479B" w:rsidP="008D479B">
      <w:pPr>
        <w:pStyle w:val="TextoNormal"/>
      </w:pPr>
      <w:r>
        <w:t>a) El presente recurso se inscribe en un proceso de progresivo deterioro de la función legislativa, pues en contra de la naturaleza excepcional de los decretos-leyes derivada de la Constitución (art. 86) y consagrada por nuestra doctrina (entre otras, la STC 144/2023, de 25 de octubre, FJ 3, precedente inmediato de esta nueva sentencia), el decreto-ley se ha terminado convirtiendo en un modo normal de producción legislativa, alternativo al procedimiento parlamentario.</w:t>
      </w:r>
    </w:p>
    <w:p w14:paraId="198D1561" w14:textId="77777777" w:rsidR="008D479B" w:rsidRDefault="008D479B" w:rsidP="008D479B">
      <w:pPr>
        <w:pStyle w:val="TextoNormal"/>
      </w:pPr>
    </w:p>
    <w:p w14:paraId="61FF2E3D" w14:textId="77777777" w:rsidR="008D479B" w:rsidRDefault="008D479B" w:rsidP="008D479B">
      <w:pPr>
        <w:pStyle w:val="TextoNormal"/>
      </w:pPr>
      <w:r>
        <w:t>b) Más allá de esta tendencia general, este concreto Real Decreto-ley 9/2021 no satisface el canon tradicional de ofrecer una presentación “explícita y razonada” de la situación de “extraordinaria y urgente necesidad” que condujo al Gobierno a su aprobación. Las razones apreciadas por nuestros compañeros en la STC 144/2023 de 25 de octubre, FJ 5, parcialmente transcritas en esta nueva sentencia, no son las que ofreció el Gobierno. La mayoría ha reconstruido la justificación ofrecida por este.</w:t>
      </w:r>
    </w:p>
    <w:p w14:paraId="5ECFCD01" w14:textId="77777777" w:rsidR="008D479B" w:rsidRDefault="008D479B" w:rsidP="008D479B">
      <w:pPr>
        <w:pStyle w:val="TextoNormal"/>
      </w:pPr>
    </w:p>
    <w:p w14:paraId="7598A06B" w14:textId="77777777" w:rsidR="008D479B" w:rsidRDefault="008D479B" w:rsidP="008D479B">
      <w:pPr>
        <w:pStyle w:val="TextoNormal"/>
      </w:pPr>
      <w:r>
        <w:t>c) El Gobierno justifica principalmente la reforma en la aparición de una realidad económica “nueva” como son las plataformas digitales de reparto, y en la necesidad de proporcionar “seguridad jurídica” al sector ante el “vacío normativo” producido por la sentencia “Glovo” de la Sala de lo Social del Tribunal Supremo de 25 de septiembre de 2020.</w:t>
      </w:r>
    </w:p>
    <w:p w14:paraId="24E7E6AC" w14:textId="77777777" w:rsidR="008D479B" w:rsidRDefault="008D479B" w:rsidP="008D479B">
      <w:pPr>
        <w:pStyle w:val="TextoNormal"/>
      </w:pPr>
    </w:p>
    <w:p w14:paraId="188B91E6" w14:textId="77777777" w:rsidR="008D479B" w:rsidRDefault="008D479B" w:rsidP="008D479B">
      <w:pPr>
        <w:pStyle w:val="TextoNormal"/>
      </w:pPr>
      <w:r>
        <w:t>Las plataformas digitales de reparto no son una realidad “nueva”, sino que el Gobierno conoce su existencia desde el año 2015, cuando empezaron las comprobaciones de la inspección de trabajo. Y la pandemia de la covid-19, enfatizada por la mayoría, además de que apenas fue aludida por el Gobierno, tampoco puede considerarse una realidad nueva en mayo de 2021, aun cuando la actividad de los repartidores aumentara durante la crisis sanitaria del año anterior.</w:t>
      </w:r>
    </w:p>
    <w:p w14:paraId="7A797979" w14:textId="77777777" w:rsidR="008D479B" w:rsidRDefault="008D479B" w:rsidP="008D479B">
      <w:pPr>
        <w:pStyle w:val="TextoNormal"/>
      </w:pPr>
    </w:p>
    <w:p w14:paraId="55EEF5F4" w14:textId="77777777" w:rsidR="008D479B" w:rsidRDefault="008D479B" w:rsidP="008D479B">
      <w:pPr>
        <w:pStyle w:val="TextoNormal"/>
      </w:pPr>
      <w:r>
        <w:t>Por su parte, la sentencia “Glovo” del Tribunal Supremo, además de ser ocho meses anterior al decreto-ley, no generó vacío normativo alguno, ni inseguridad jurídica. Al contrario, según reconoce el propio Gobierno, esta sentencia consolidó la jurisprudencia de los tribunales inferiores que desde 2018 venían considerando “trabajadores” a los falsos autónomos que operan bajo el control de las plataformas digitales.</w:t>
      </w:r>
    </w:p>
    <w:p w14:paraId="03FCF4F1" w14:textId="77777777" w:rsidR="008D479B" w:rsidRDefault="008D479B" w:rsidP="008D479B">
      <w:pPr>
        <w:pStyle w:val="TextoNormal"/>
      </w:pPr>
    </w:p>
    <w:p w14:paraId="4CDCA9EB" w14:textId="77777777" w:rsidR="008D479B" w:rsidRDefault="008D479B" w:rsidP="008D479B">
      <w:pPr>
        <w:pStyle w:val="TextoNormal"/>
      </w:pPr>
      <w:r>
        <w:t>Finalmente, resulta incompatible con una situación de urgente reacción legislativa la actuación previa del Gobierno que, durante esos ocho meses de demora, constituyó una mesa de negociación con los agentes sociales y luego incorporó el acuerdo alcanzado en esa mesa al Real Decreto-ley 9/2021. El diálogo social entre los representantes de los trabajadores y los empresarios puede ser importante para mejorar la calidad, efectividad y legitimidad de las reformas, pero no puede enervar la competencia del Parlamento para debatir y aprobar esas reformas si para su implantación es necesaria una norma con rango de ley (art. 66 CE).</w:t>
      </w:r>
    </w:p>
    <w:p w14:paraId="78E59277" w14:textId="77777777" w:rsidR="008D479B" w:rsidRDefault="008D479B" w:rsidP="008D479B">
      <w:pPr>
        <w:pStyle w:val="TextoNormal"/>
      </w:pPr>
    </w:p>
    <w:p w14:paraId="38D0BCEF" w14:textId="77777777" w:rsidR="008D479B" w:rsidRDefault="008D479B" w:rsidP="008D479B">
      <w:pPr>
        <w:pStyle w:val="TextoNormal"/>
      </w:pPr>
      <w:r>
        <w:t>d) En definitiva, la lucha contra la precariedad laboral que según la mayoría justifica este Real Decreto-ley 9/2021 es un objetivo loable e incluso un imperativo constitucional (arts. 9.2 y 35), pero debe canalizarse a través de los cauces previstos en la Constitución, no al margen de ellos.</w:t>
      </w:r>
    </w:p>
    <w:p w14:paraId="2F74ECCB" w14:textId="77777777" w:rsidR="008D479B" w:rsidRDefault="008D479B" w:rsidP="008D479B">
      <w:pPr>
        <w:pStyle w:val="TextoNormal"/>
      </w:pPr>
    </w:p>
    <w:p w14:paraId="4BD17703" w14:textId="33ACF932" w:rsidR="008D479B" w:rsidRDefault="008D479B" w:rsidP="008D479B">
      <w:pPr>
        <w:pStyle w:val="TextoNormal"/>
      </w:pPr>
      <w:r>
        <w:t>Madrid, a seis de noviembre de dos mil veintitrés.</w:t>
      </w:r>
    </w:p>
    <w:p w14:paraId="00F235E6" w14:textId="670A5CD1" w:rsidR="008D479B" w:rsidRDefault="008D479B">
      <w:pPr>
        <w:spacing w:after="160" w:line="278" w:lineRule="auto"/>
        <w:rPr>
          <w:rFonts w:ascii="Times New Roman" w:eastAsia="Times New Roman" w:hAnsi="Times New Roman" w:cs="Times New Roman"/>
          <w:sz w:val="24"/>
          <w:szCs w:val="24"/>
          <w:lang w:eastAsia="es-ES"/>
        </w:rPr>
      </w:pPr>
      <w:r>
        <w:br w:type="page"/>
      </w:r>
    </w:p>
    <w:p w14:paraId="4C93CACF" w14:textId="77777777" w:rsidR="008D479B" w:rsidRDefault="008D479B" w:rsidP="008D479B">
      <w:pPr>
        <w:pStyle w:val="TtuloResolucin"/>
      </w:pPr>
      <w:bookmarkStart w:id="73" w:name="SENTENCIA_2023_148"/>
      <w:r>
        <w:t>SENTENCIA 148/2023, de 6 de noviembre de 2023</w:t>
      </w:r>
    </w:p>
    <w:bookmarkEnd w:id="73"/>
    <w:p w14:paraId="10D15F70" w14:textId="77777777" w:rsidR="008D479B" w:rsidRDefault="008D479B" w:rsidP="008D479B">
      <w:pPr>
        <w:pStyle w:val="TtuloResolucin"/>
      </w:pPr>
      <w:r>
        <w:t>Pleno</w:t>
      </w:r>
    </w:p>
    <w:p w14:paraId="221C5936" w14:textId="77777777" w:rsidR="008D479B" w:rsidRDefault="008D479B" w:rsidP="008D479B">
      <w:pPr>
        <w:pStyle w:val="TtuloBOE"/>
      </w:pPr>
      <w:r>
        <w:t>(BOE núm. 301, de 18 de diciembre de 2023)</w:t>
      </w:r>
    </w:p>
    <w:p w14:paraId="0E616C50" w14:textId="77777777" w:rsidR="008D479B" w:rsidRDefault="008D479B" w:rsidP="008D479B">
      <w:pPr>
        <w:pStyle w:val="TextoNormalCentrado"/>
      </w:pPr>
      <w:r>
        <w:t>ECLI:ES:TC:2023:148</w:t>
      </w:r>
    </w:p>
    <w:p w14:paraId="268015D4" w14:textId="1AD23C56" w:rsidR="008D479B" w:rsidRDefault="008D479B" w:rsidP="008D479B">
      <w:pPr>
        <w:pStyle w:val="TextoNormalCentrado"/>
      </w:pPr>
    </w:p>
    <w:p w14:paraId="27833FFD" w14:textId="77777777" w:rsidR="008D479B" w:rsidRDefault="008D479B" w:rsidP="008D479B">
      <w:pPr>
        <w:pStyle w:val="SntesisDescriptiva"/>
      </w:pPr>
      <w:r>
        <w:t>Recurso de amparo 3272-2022. Promovido por doña A.P.M., respecto de los autos dictados por la Audiencia Provincial de Zaragoza y un juzgado de primera instancia de esa capital que acordaron la administración de la vacuna frente a la covid-19.</w:t>
      </w:r>
    </w:p>
    <w:p w14:paraId="4FF99E26" w14:textId="3634ED60" w:rsidR="008D479B" w:rsidRDefault="008D479B" w:rsidP="008D479B">
      <w:pPr>
        <w:pStyle w:val="SntesisDescriptiva"/>
      </w:pPr>
    </w:p>
    <w:p w14:paraId="1D6F2492" w14:textId="77777777" w:rsidR="008D479B" w:rsidRDefault="008D479B" w:rsidP="008D479B">
      <w:pPr>
        <w:pStyle w:val="SntesisAnaltica"/>
      </w:pPr>
      <w:r>
        <w:t>Supuesta vulneración de los derechos a la integridad física, a la tutela judicial (motivación) y a un proceso con todas las garantías: resoluciones judiciales que ponderaron adecuadamente los intereses de una persona menor de edad (STC 38/2023).</w:t>
      </w:r>
    </w:p>
    <w:p w14:paraId="7238D109" w14:textId="08B83252" w:rsidR="008D479B" w:rsidRDefault="008D479B" w:rsidP="008D479B">
      <w:pPr>
        <w:pStyle w:val="SntesisAnaltica"/>
      </w:pPr>
    </w:p>
    <w:p w14:paraId="5CC16FEE" w14:textId="22FE1854" w:rsidR="008D479B" w:rsidRDefault="008D479B" w:rsidP="008D479B">
      <w:pPr>
        <w:pStyle w:val="Extracto"/>
      </w:pPr>
      <w:r>
        <w:t>1.</w:t>
      </w:r>
      <w:r>
        <w:tab/>
        <w:t>Frente a la falta de celebración de una comparecencia legalmente prevista, la presentación del escrito de oposición -que desarrolla los argumentos de la parte- así como de toda la documentación pertinente, su posterior admisión y su valoración por los órganos judiciales supone entender respetados los derechos a la tutela judicial efectiva sin indefensión (art. 24.1 CE) y a un proceso con todas las garantías (art. 24.2 CE) [FJ 3].</w:t>
      </w:r>
    </w:p>
    <w:p w14:paraId="2FA78578" w14:textId="77777777" w:rsidR="008D479B" w:rsidRDefault="008D479B" w:rsidP="008D479B">
      <w:pPr>
        <w:pStyle w:val="Extracto"/>
      </w:pPr>
    </w:p>
    <w:p w14:paraId="5AA76D81" w14:textId="5BC1D1B8" w:rsidR="008D479B" w:rsidRDefault="008D479B" w:rsidP="008D479B">
      <w:pPr>
        <w:pStyle w:val="Extracto"/>
      </w:pPr>
      <w:r>
        <w:t>2.</w:t>
      </w:r>
      <w:r>
        <w:tab/>
        <w:t>El derecho fundamental a la integridad personal, en su vertiente de derecho a la integridad física, tiene una primera dimensión protectora como derecho de la persona a su “incolumidad corporal” (STC 207/1996). Desde esta perspectiva, el art. 15 CE protege la inviolabilidad de la persona, no solo contra ataques dirigidos a lesionar su cuerpo o espíritu, sino también contra toda clase de intervención en esos bienes que carezca del consentimiento de su titular (SSTC 120/1990 y 207/1996) [FJ 4].</w:t>
      </w:r>
    </w:p>
    <w:p w14:paraId="0EF5CB19" w14:textId="77777777" w:rsidR="008D479B" w:rsidRDefault="008D479B" w:rsidP="008D479B">
      <w:pPr>
        <w:pStyle w:val="Extracto"/>
      </w:pPr>
    </w:p>
    <w:p w14:paraId="0AF4775C" w14:textId="06B479D2" w:rsidR="008D479B" w:rsidRDefault="008D479B" w:rsidP="008D479B">
      <w:pPr>
        <w:pStyle w:val="Extracto"/>
      </w:pPr>
      <w:r>
        <w:t>3.</w:t>
      </w:r>
      <w:r>
        <w:tab/>
        <w:t>La vacunación constituye un acto sanitario que consiste en la inoculación de un “preparado” de productos biológicos en el cuerpo humano a efectos de provocar una respuesta inmunitaria, por lo que su administración entra, con claridad, dentro de las facultades de autodeterminación garantizadas por el derecho a la integridad personal del art. 15 CE. Se trata, asimismo, de una actuación que puede producir efectos secundarios adversos (no deseados), aunque sean estadísticamente minoritarios; lo que determina, asimismo, un riesgo potencial para la salud, circunstancia que conduce, igualmente, al ámbito de protección que otorga este derecho fundamental (STC 38/2023) [FJ 4].</w:t>
      </w:r>
    </w:p>
    <w:p w14:paraId="51E1C264" w14:textId="77777777" w:rsidR="008D479B" w:rsidRDefault="008D479B" w:rsidP="008D479B">
      <w:pPr>
        <w:pStyle w:val="Extracto"/>
      </w:pPr>
    </w:p>
    <w:p w14:paraId="4A301623" w14:textId="3ABF8CB0" w:rsidR="008D479B" w:rsidRDefault="008D479B" w:rsidP="008D479B">
      <w:pPr>
        <w:pStyle w:val="Extracto"/>
      </w:pPr>
      <w:r>
        <w:t>4.</w:t>
      </w:r>
      <w:r>
        <w:tab/>
        <w:t>La administración de una vacuna requiere para su constitucionalidad del consentimiento libre, válido e informado de la persona afectada; y cuando éste falte o no pueda obtenerse, dicha constitucionalidad se supedita al cumplimiento de los requisitos: (i) que la medida o actuación limitativa posea habilitación legal; (ii) que sea autorizada por resolución judicial que contenga una motivación reforzada relativa a su legitimidad constitucional; (iii) que esté dirigida al cumplimiento de un fin constitucionalmente legítimo; y (iv) que respete el principio de proporcionalidad, por derivarse de ella más beneficios o ventajas que perjuicios sobre otros bienes o valores en conflicto (SSTC 207/1996 o 217/2015) [FJ 4].</w:t>
      </w:r>
    </w:p>
    <w:p w14:paraId="467F490C" w14:textId="77777777" w:rsidR="008D479B" w:rsidRDefault="008D479B" w:rsidP="008D479B">
      <w:pPr>
        <w:pStyle w:val="Extracto"/>
      </w:pPr>
    </w:p>
    <w:p w14:paraId="65A3B7EA" w14:textId="14496D97" w:rsidR="008D479B" w:rsidRDefault="008D479B" w:rsidP="008D479B">
      <w:pPr>
        <w:pStyle w:val="Extracto"/>
      </w:pPr>
      <w:r>
        <w:t>5.</w:t>
      </w:r>
      <w:r>
        <w:tab/>
        <w:t>La capacidad general de autodeterminación de las personas que todavía no hayan alcanzado la mayoría de edad en relación con las actuaciones médicas que les afectan encuentra su límite en la protección de su interés superior, que se impone como obligación a los progenitores, en cuanto titulares de la patria potestad o autoridad familiar, y a todos los poderes públicos, incluida la autoridad judicial. A todos ellos corresponde garantizar que la decisión final relativa a la actuación médica en cuestión no traiga consigo una quiebra relevante, persistente y/o irreparable de dicho interés superior de la persona menor de edad [FJ 4].</w:t>
      </w:r>
    </w:p>
    <w:p w14:paraId="2B0DECFC" w14:textId="77777777" w:rsidR="008D479B" w:rsidRDefault="008D479B" w:rsidP="008D479B">
      <w:pPr>
        <w:pStyle w:val="Extracto"/>
      </w:pPr>
    </w:p>
    <w:p w14:paraId="26171DBF" w14:textId="3435BF0F" w:rsidR="008D479B" w:rsidRDefault="008D479B" w:rsidP="008D479B">
      <w:pPr>
        <w:pStyle w:val="Extracto"/>
      </w:pPr>
      <w:r>
        <w:t>6.</w:t>
      </w:r>
      <w:r>
        <w:tab/>
        <w:t>La Ley 41/2002 exige que, con carácter previo a la prestación del consentimiento por los representantes legales, se escuche la opinión de la persona menor concernida, con arreglo a lo dispuesto en el art. 9 de la Ley Orgánica 1/1996. Este precepto viene a desarrollar el derecho de las personas menores de edad a ser oídas y escuchadas en cualquier procedimiento administrativo, judicial o de mediación en que estén afectadas, así como el derecho a que su opinión sea tenida en cuenta en función de su edad y madurez, madurez que habrá de ser valorada por personal especializado, considerándose que en todo caso tienen madurez suficiente quienes hubieren cumplido los doce años (art. 9.2 de la Ley Orgánica 1/1996) [FJ 4].</w:t>
      </w:r>
    </w:p>
    <w:p w14:paraId="5B4C0B5F" w14:textId="77777777" w:rsidR="008D479B" w:rsidRDefault="008D479B" w:rsidP="008D479B">
      <w:pPr>
        <w:pStyle w:val="Extracto"/>
      </w:pPr>
    </w:p>
    <w:p w14:paraId="031CB772" w14:textId="0F00EBE0" w:rsidR="008D479B" w:rsidRDefault="008D479B" w:rsidP="008D479B">
      <w:pPr>
        <w:pStyle w:val="Extracto"/>
      </w:pPr>
      <w:r>
        <w:t>7.</w:t>
      </w:r>
      <w:r>
        <w:tab/>
        <w:t>La obligación de dar audiencia a la persona menor de edad encuentra su límite en la salvaguarda de su interés superior, de suerte que los órganos administrativos y/o judiciales podrán denegar dicha audiencia siempre y cuando motiven esta decisión en razones vinculadas a la tutela de dicho interés superior (art. 9.3 de la Ley Orgánica 1/1996) [FJ 4].</w:t>
      </w:r>
    </w:p>
    <w:p w14:paraId="24BBA351" w14:textId="77777777" w:rsidR="008D479B" w:rsidRDefault="008D479B" w:rsidP="008D479B">
      <w:pPr>
        <w:pStyle w:val="Extracto"/>
      </w:pPr>
    </w:p>
    <w:p w14:paraId="2001D8D0" w14:textId="76833C4E" w:rsidR="008D479B" w:rsidRDefault="008D479B" w:rsidP="008D479B">
      <w:pPr>
        <w:pStyle w:val="Extracto"/>
      </w:pPr>
      <w:r>
        <w:t>8.</w:t>
      </w:r>
      <w:r>
        <w:tab/>
        <w:t>La decisión de los representantes legales relativa al otorgamiento o no del consentimiento informado por representación deberá atender a la protección del derecho a la vida, supervivencia y desarrollo del menor y la satisfacción de sus necesidades básicas, tanto materiales, físicas y educativas como emocionales y afectivas [art. 2.2, letra a) de la Ley Orgánica 1/1996]; y buscar el mayor beneficio para la vida o salud del paciente que no ha adquirido la mayoría de edad, teniendo en cuenta las circunstancias concurrentes y las necesidades del menor que deben atenderse (art. 9, apartados 6 y 7 de la Ley 41/2002) [FJ 4].</w:t>
      </w:r>
    </w:p>
    <w:p w14:paraId="4FE61F05" w14:textId="77777777" w:rsidR="008D479B" w:rsidRDefault="008D479B" w:rsidP="008D479B">
      <w:pPr>
        <w:pStyle w:val="Extracto"/>
      </w:pPr>
    </w:p>
    <w:p w14:paraId="35C2862D" w14:textId="27BBC1FB" w:rsidR="008D479B" w:rsidRDefault="008D479B" w:rsidP="008D479B">
      <w:pPr>
        <w:pStyle w:val="Extracto"/>
      </w:pPr>
      <w:r>
        <w:t>9.</w:t>
      </w:r>
      <w:r>
        <w:tab/>
        <w:t>Para poder decidir sobre los actos médicos que le afectan con plena libertad, el sujeto debe contar con la información médica adecuada, pues solo si se dispone de esta información se puede consentir libremente, eligiendo entre las opciones que se presenten, o rechazar los tratamientos o intervenciones que le sean propuestos por los facultativos (SSTC 37/2011 y 19/2023) [FJ 5].</w:t>
      </w:r>
    </w:p>
    <w:p w14:paraId="459ED944" w14:textId="77777777" w:rsidR="008D479B" w:rsidRDefault="008D479B" w:rsidP="008D479B">
      <w:pPr>
        <w:pStyle w:val="Extracto"/>
      </w:pPr>
    </w:p>
    <w:p w14:paraId="32EFBFEE" w14:textId="77777777" w:rsidR="008D479B" w:rsidRDefault="008D479B" w:rsidP="008D479B">
      <w:pPr>
        <w:pStyle w:val="Extracto"/>
      </w:pPr>
    </w:p>
    <w:p w14:paraId="71D7605F" w14:textId="77777777" w:rsidR="008D479B" w:rsidRDefault="008D479B" w:rsidP="008D479B">
      <w:pPr>
        <w:pStyle w:val="TextoNormal"/>
      </w:pPr>
      <w: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 ha pronunciado</w:t>
      </w:r>
    </w:p>
    <w:p w14:paraId="2DFACD5F" w14:textId="2D069D90" w:rsidR="008D479B" w:rsidRDefault="008D479B" w:rsidP="008D479B">
      <w:pPr>
        <w:pStyle w:val="TextoNormal"/>
      </w:pPr>
    </w:p>
    <w:p w14:paraId="3F935039" w14:textId="77777777" w:rsidR="008D479B" w:rsidRDefault="008D479B" w:rsidP="008D479B">
      <w:pPr>
        <w:pStyle w:val="TextoNormalCentrado"/>
        <w:keepNext/>
      </w:pPr>
      <w:r>
        <w:t>EN NOMBRE DEL REY</w:t>
      </w:r>
    </w:p>
    <w:p w14:paraId="601D3A04" w14:textId="5C478A59" w:rsidR="008D479B" w:rsidRDefault="008D479B" w:rsidP="008D479B">
      <w:pPr>
        <w:pStyle w:val="TextoNormalCentrado"/>
        <w:keepNext/>
      </w:pPr>
    </w:p>
    <w:p w14:paraId="7BD7CC43" w14:textId="77777777" w:rsidR="008D479B" w:rsidRDefault="008D479B" w:rsidP="008D479B">
      <w:pPr>
        <w:pStyle w:val="TextoNormalCentrado"/>
        <w:keepNext/>
      </w:pPr>
    </w:p>
    <w:p w14:paraId="3024EA18" w14:textId="77777777" w:rsidR="008D479B" w:rsidRDefault="008D479B" w:rsidP="008D479B">
      <w:pPr>
        <w:pStyle w:val="TextoNormal"/>
      </w:pPr>
      <w:r>
        <w:t>la siguiente</w:t>
      </w:r>
    </w:p>
    <w:p w14:paraId="31471E4F" w14:textId="10628F6C" w:rsidR="008D479B" w:rsidRDefault="008D479B" w:rsidP="008D479B">
      <w:pPr>
        <w:pStyle w:val="TextoNormal"/>
      </w:pPr>
    </w:p>
    <w:p w14:paraId="24D1D85A" w14:textId="77777777" w:rsidR="008D479B" w:rsidRDefault="008D479B" w:rsidP="008D479B">
      <w:pPr>
        <w:pStyle w:val="TextoNormalCentrado"/>
        <w:keepNext/>
      </w:pPr>
      <w:r>
        <w:t>SENTENCIA</w:t>
      </w:r>
    </w:p>
    <w:p w14:paraId="6D07D6A6" w14:textId="60C29B6F" w:rsidR="008D479B" w:rsidRDefault="008D479B" w:rsidP="008D479B">
      <w:pPr>
        <w:pStyle w:val="TextoNormalCentrado"/>
        <w:keepNext/>
      </w:pPr>
    </w:p>
    <w:p w14:paraId="10DEF642" w14:textId="77777777" w:rsidR="008D479B" w:rsidRDefault="008D479B" w:rsidP="008D479B">
      <w:pPr>
        <w:pStyle w:val="TextoNormal"/>
      </w:pPr>
      <w:r>
        <w:t>En el recurso de amparo núm. 3272-2022, promovido por doña A.P.M., representada por la procuradora de los tribunales doña Isabel Artazos Herce y asistida por la letrada doña Cristina Rosa Armas Suárez, contra el auto dictado el 21 de enero de 2022 por el Juzgado de Primera Instancia núm. 5 de Zaragoza y contra el auto dictado el 27 de abril de 2022 por la Sección Segunda de la Audiencia Provincial de Zaragoza, que desestimó el recurso de apelación interpuesto contra el auto dictado en primera instancia. Ha intervenido el Ministerio Fiscal. Ha sido ponente la magistrada doña Inmaculada Montalbán Huertas.</w:t>
      </w:r>
    </w:p>
    <w:p w14:paraId="112D22EF" w14:textId="069EB052" w:rsidR="008D479B" w:rsidRDefault="008D479B" w:rsidP="008D479B">
      <w:pPr>
        <w:pStyle w:val="TextoNormal"/>
      </w:pPr>
    </w:p>
    <w:p w14:paraId="186D866C" w14:textId="77777777" w:rsidR="008D479B" w:rsidRDefault="008D479B" w:rsidP="008D479B">
      <w:pPr>
        <w:pStyle w:val="TextoNormalNegritaCentrado"/>
        <w:keepNext/>
      </w:pPr>
      <w:r>
        <w:t>I. Antecedentes</w:t>
      </w:r>
    </w:p>
    <w:p w14:paraId="5DAF537E" w14:textId="2A22E9BB" w:rsidR="008D479B" w:rsidRDefault="008D479B" w:rsidP="008D479B">
      <w:pPr>
        <w:pStyle w:val="TextoNormalNegritaCentrado"/>
        <w:keepNext/>
      </w:pPr>
    </w:p>
    <w:p w14:paraId="3FBBE077" w14:textId="259F0841" w:rsidR="008D479B" w:rsidRDefault="008D479B" w:rsidP="008D479B">
      <w:pPr>
        <w:pStyle w:val="TextoNormal"/>
      </w:pPr>
      <w:r w:rsidRPr="008D479B">
        <w:rPr>
          <w:rStyle w:val="NumeroAFNegritaCaracter"/>
        </w:rPr>
        <w:t>1</w:t>
      </w:r>
      <w:r>
        <w:t>. Mediante escrito presentado en el registro de este tribunal el 9 de mayo de 2022, la representación procesal de doña A.P.M., interpuso demanda de amparo contra las resoluciones que se citan en el encabezamiento.</w:t>
      </w:r>
    </w:p>
    <w:p w14:paraId="333E07F5" w14:textId="77777777" w:rsidR="008D479B" w:rsidRDefault="008D479B" w:rsidP="008D479B">
      <w:pPr>
        <w:pStyle w:val="TextoNormal"/>
      </w:pPr>
    </w:p>
    <w:p w14:paraId="0093D2F4" w14:textId="77777777" w:rsidR="008D479B" w:rsidRDefault="008D479B" w:rsidP="008D479B">
      <w:pPr>
        <w:pStyle w:val="TextoNormal"/>
      </w:pPr>
      <w:r w:rsidRPr="008D479B">
        <w:rPr>
          <w:rStyle w:val="NumeroAFNegritaCaracter"/>
        </w:rPr>
        <w:t>2</w:t>
      </w:r>
      <w:r>
        <w:t>. Los antecedentes relevantes para resolver el presente recurso son los siguientes:</w:t>
      </w:r>
    </w:p>
    <w:p w14:paraId="0E06BF26" w14:textId="77777777" w:rsidR="008D479B" w:rsidRDefault="008D479B" w:rsidP="008D479B">
      <w:pPr>
        <w:pStyle w:val="TextoNormal"/>
      </w:pPr>
    </w:p>
    <w:p w14:paraId="587BD85A" w14:textId="77777777" w:rsidR="008D479B" w:rsidRDefault="008D479B" w:rsidP="008D479B">
      <w:pPr>
        <w:pStyle w:val="TextoNormal"/>
      </w:pPr>
      <w:r>
        <w:t>a) Escrito de don J.A.M.M., promoviendo expediente de jurisdicción voluntaria para la resolución de desacuerdo de los progenitores sobre la vacunación contra la covid-19 de la hija común de ambos, menor de edad</w:t>
      </w:r>
    </w:p>
    <w:p w14:paraId="6D396348" w14:textId="77777777" w:rsidR="008D479B" w:rsidRDefault="008D479B" w:rsidP="008D479B">
      <w:pPr>
        <w:pStyle w:val="TextoNormal"/>
      </w:pPr>
    </w:p>
    <w:p w14:paraId="78DE0926" w14:textId="77777777" w:rsidR="008D479B" w:rsidRDefault="008D479B" w:rsidP="008D479B">
      <w:pPr>
        <w:pStyle w:val="TextoNormal"/>
      </w:pPr>
      <w:r>
        <w:t>El 23 de diciembre de 2021 don J.A.M.M., presentó, ante el Juzgado de Primera Instancia núm. 5 de Zaragoza, escrito promoviendo expediente de jurisdicción voluntaria para la resolución de desacuerdo con doña A.P.M., en el ejercicio de la patria potestad sobre la hija común de ambos, A.M.P., nacida el 5 de enero de 2011. De acuerdo con el escrito, don J.A.M.M., y doña A.P.M., tenían atribuida la autoridad familiar compartida sobre la hija menor de edad en virtud de sentencia de divorcio de mutuo acuerdo núm. 254/2017, dictada por el mismo juzgado. Cuando comenzó en Aragón la vacunación de menores de edad frente a la covid-19, don J.A.M.M., inició los trámites para vacunar a su hija, solicitando la documentación sanitaria de la menor a doña A.P.M., quien manifestó su oposición a que la niña fuera vacunada. Don J.A.M.M., solicitó que se le concediera autorización judicial para vacunar a la menor, entendiendo que resultaba más beneficioso para ella que la no vacunación, por las siguientes razones: (i) aunque la probabilidad estadística fuera muy baja, los estudios oficiales indicaban que la covid-19 también podría llegar a causar una enfermedad grave o persistente en menores de edad; (ii) su hija tenía un mayor riesgo de contagiarse que otros niños debido a su profesión —policía— que le hacía estar particularmente expuesto a una eventual infección; (iii) el solicitante estaba cuidando de su madre viuda, de setenta años de edad, a la que visitaba en su domicilio con frecuencia; (iv) todos los niños y niñas del entorno escolar y social de la menor habían sido ya vacunados, con lo que la falta de vacunación podría generar a su hija efectos perniciosos como rechazo o exclusión de actividades sociales.</w:t>
      </w:r>
    </w:p>
    <w:p w14:paraId="3FCB0A3B" w14:textId="77777777" w:rsidR="008D479B" w:rsidRDefault="008D479B" w:rsidP="008D479B">
      <w:pPr>
        <w:pStyle w:val="TextoNormal"/>
      </w:pPr>
    </w:p>
    <w:p w14:paraId="6173492D" w14:textId="77777777" w:rsidR="008D479B" w:rsidRDefault="008D479B" w:rsidP="008D479B">
      <w:pPr>
        <w:pStyle w:val="TextoNormal"/>
      </w:pPr>
      <w:r>
        <w:t>b) Tramitación del expediente de jurisdicción voluntaria</w:t>
      </w:r>
    </w:p>
    <w:p w14:paraId="71D5247A" w14:textId="77777777" w:rsidR="008D479B" w:rsidRDefault="008D479B" w:rsidP="008D479B">
      <w:pPr>
        <w:pStyle w:val="TextoNormal"/>
      </w:pPr>
    </w:p>
    <w:p w14:paraId="5B5C6BD5" w14:textId="77777777" w:rsidR="008D479B" w:rsidRDefault="008D479B" w:rsidP="008D479B">
      <w:pPr>
        <w:pStyle w:val="TextoNormal"/>
      </w:pPr>
      <w:r>
        <w:t>Incoado por el juzgado el expediente de jurisdicción voluntaria 893-2021 a través de decreto de 27 de diciembre de 2021, y dado traslado a doña A.P.M., del escrito iniciador, por la representación procesal de esta se presentó escrito de oposición, que se fundaba en las siguientes razones: (i) las bajísimas tasas de muerte o enfermedad grave provocadas por la covid-19 en personas menores de edad no justificaban la necesidad o conveniencia de la vacunación en este rango de edad; (ii) los estudios clínicos relativos a la eficacia y reacciones adversas de las vacunas contra la covid-19 en personas menores de edad, además de haberse realizado de manera acelerada y con muestras muy pequeñas, indicaban que la vacuna, no solo era innecesaria en este grupo de población, sino que podía provocar efectos adversos graves, señaladamente pericarditis y miocarditis; (iii) pese al nombre utilizado, no se trataba de una “vacuna” en sentido propio, sino de una modalidad de terapia génica que todavía se encontraba en fase experimental, como demostraba el hecho de que tan solo hubiera obtenido una autorización condicional de comercialización; (iv) la administración de esta terapia génica experimental a menores de edad tampoco estaba justificada por razones de salud pública, ya que, atendida la enorme incidencia de la enfermedad en España en el momento de presentarse el escrito, resultaba patente la ineficacia de las “vacunas” para contener la enfermedad desde un punto de vista epidemiológico. Invocaba doña A.P.M., la vulneración del derecho fundamental a la integridad física y moral (art. 15 CE) dado que, ni la vacuna había sido prescrita por un pediatra mediante la correspondiente receta, ni se le había entregado a ella consentimiento informado por escrito que reuniera los requisitos exigidos por la Ley 41/2002, de 14 de noviembre, básica reguladora de la autonomía del paciente y de derechos y obligaciones en materia de información y documentación clínica (en adelante, Ley 41/2002), en particular, que proporcionase información detallada acerca de la verdadera naturaleza y efectos del tratamiento y posibles alternativas al mismo. Doña A.P.M., solicitaba que, previa la celebración de comparecencia, se desestimara la solicitud formulada por don J.A.M.M., y se le concediera a ella la capacidad de decidir acerca de la vacunación de su hija frente a la covid-19. Por otrosí solicitaba la práctica de diversos medios de prueba, todos ellos de naturaleza documental y esencialmente limitados a la incorporación a los autos de la abundante documentación acompañada con el escrito de oposición. No se solicitó la práctica de prueba alguna relacionada con la menor.</w:t>
      </w:r>
    </w:p>
    <w:p w14:paraId="6CF77510" w14:textId="77777777" w:rsidR="008D479B" w:rsidRDefault="008D479B" w:rsidP="008D479B">
      <w:pPr>
        <w:pStyle w:val="TextoNormal"/>
      </w:pPr>
    </w:p>
    <w:p w14:paraId="12872C1A" w14:textId="77777777" w:rsidR="008D479B" w:rsidRDefault="008D479B" w:rsidP="008D479B">
      <w:pPr>
        <w:pStyle w:val="TextoNormal"/>
      </w:pPr>
      <w:r>
        <w:t>Dado traslado de las actuaciones al Ministerio Fiscal, este informó, por escrito de 20 de enero de 2022, en sentido favorable a la concesión de la autorización solicitada por don J.A.M.M. El fiscal apoyaba esta petición en las siguientes razones: (i) durante los últimos meses habían quedado demostrados de manera más que suficiente los beneficios de las vacunas, no solo para la protección de los menores, sino también de la sociedad en general, como medio para evitar contagios; (ii) todas las vacunas —incluidas aquellas que los progenitores habían decidido de mutuo acuerdo poner a la menor— son potencialmente generadoras de reacciones adversas, pero los efectos secundarios graves de la vacuna contra la covid-19 se habían dado en una proporción tan baja que no había tenido influencia alguna en la decisión de las autoridades públicas de mantener la vacunación; (iii) la vacuna contra la covid-19 había sido aprobada por la Agencia Europea de Medicamentos y la Agencia Española de Medicamentos y Productos Sanitarios, y había sido objeto de numerosos estudios científicos a escala mundial durante un periodo de tiempo ya prolongado, estudios que demostraban que la probabilidad de tener complicaciones de salud por ser vacunado era infinitamente más baja que la de sufrir una enfermedad que podría haber sido prevenida con la inmunización; (iv) la vacuna de la covid-19 también tenía por objeto alcanzar la inmunidad de grupo, y con ello una disminución de los contagios y de las posibilidades de desarrollar una enfermedad que podría llegar a tener resultados muy graves, incluso letales.</w:t>
      </w:r>
    </w:p>
    <w:p w14:paraId="1156BF91" w14:textId="77777777" w:rsidR="008D479B" w:rsidRDefault="008D479B" w:rsidP="008D479B">
      <w:pPr>
        <w:pStyle w:val="TextoNormal"/>
      </w:pPr>
    </w:p>
    <w:p w14:paraId="7E4CC2AE" w14:textId="77777777" w:rsidR="008D479B" w:rsidRDefault="008D479B" w:rsidP="008D479B">
      <w:pPr>
        <w:pStyle w:val="TextoNormal"/>
      </w:pPr>
      <w:r>
        <w:t>c) Auto estimando la petición formulada por don J.A.M.M., y autorizando a este para que, sin intervención de A.P.M., realizase las gestiones necesarias para la efectiva vacunación de la hija común, A.M.P., contra la covid-19</w:t>
      </w:r>
    </w:p>
    <w:p w14:paraId="5959C4C6" w14:textId="77777777" w:rsidR="008D479B" w:rsidRDefault="008D479B" w:rsidP="008D479B">
      <w:pPr>
        <w:pStyle w:val="TextoNormal"/>
      </w:pPr>
    </w:p>
    <w:p w14:paraId="469D2DDD" w14:textId="77777777" w:rsidR="008D479B" w:rsidRDefault="008D479B" w:rsidP="008D479B">
      <w:pPr>
        <w:pStyle w:val="TextoNormal"/>
      </w:pPr>
      <w:r>
        <w:t>Por diligencia de ordenación de 21 de enero de 2022 el juzgado acordó unir a los autos el informe del Ministerio Fiscal y dejarlos vistos para resolución. El mismo día dictó el citado auto estimatorio y sustentó su decisión en los siguientes motivos: (i) las vacunas están protegiendo a la sociedad de los resultados más desfavorables de la enfermedad; (ii) es cierto que se han constatado efectos secundarios negativos en personas que han recibido la vacunación, pero en un porcentaje muy pequeño; (iii) la vacunación cuenta con el respaldo de las Agencias Europea y Española de Medicamentos; (iv) la administración de la vacuna a menores disminuye el riesgo de una evolución negativa en la enfermedad, además de proteger a sus parientes, entre los que puede haber personas vulnerables. La resolución se apoyaba en un informe elaborado por el comité asesor de vacunas de la Asociación Española de Pediatría conjuntamente con la Sociedad Española de Infectología Pediátrica que, tras hacer una revisión de la infección por SARS-CoV-2 en niños, concluía que se habían notificado casos graves de la enfermedad en niños sin factores de riesgo, que los ensayos clínicos en edad pediátrica habían demostrado que la vacunación es segura, y que era necesario considerar los efectos colaterales que la pandemia había tenido en niños y adolescentes, entre los que se encontraba la falta de normalidad en la escolarización, derecho fundamental para la infancia y base imprescindible para el bienestar y desarrollo personal de cada niño. La resolución del juzgado terminaba afirmando que no sería justo privar a la población infantil de los beneficios de la vacunación, en particular en el caso examinado, en que no existía ninguna contraindicación concreta derivada de una problemática previa en la salud de la menor.</w:t>
      </w:r>
    </w:p>
    <w:p w14:paraId="5B3BF58C" w14:textId="77777777" w:rsidR="008D479B" w:rsidRDefault="008D479B" w:rsidP="008D479B">
      <w:pPr>
        <w:pStyle w:val="TextoNormal"/>
      </w:pPr>
    </w:p>
    <w:p w14:paraId="2EC98F96" w14:textId="77777777" w:rsidR="008D479B" w:rsidRDefault="008D479B" w:rsidP="008D479B">
      <w:pPr>
        <w:pStyle w:val="TextoNormal"/>
      </w:pPr>
      <w:r>
        <w:t>d) Recurso de apelación</w:t>
      </w:r>
    </w:p>
    <w:p w14:paraId="6F0AD2C4" w14:textId="77777777" w:rsidR="008D479B" w:rsidRDefault="008D479B" w:rsidP="008D479B">
      <w:pPr>
        <w:pStyle w:val="TextoNormal"/>
      </w:pPr>
    </w:p>
    <w:p w14:paraId="7C173C5C" w14:textId="77777777" w:rsidR="008D479B" w:rsidRDefault="008D479B" w:rsidP="008D479B">
      <w:pPr>
        <w:pStyle w:val="TextoNormal"/>
      </w:pPr>
      <w:r>
        <w:t>Frente a la anterior resolución la representación procesal de doña A.P.M., formuló recurso de apelación. En él se interesaba, en primer término, la nulidad de actuaciones al amparo del art. 225.3 de la Ley 1/2000, de 7 de enero, de enjuiciamiento civil (en adelante, LEC), dado que el auto se había dictado sin la previa celebración de la comparecencia prevista en el art. 85.1 de la Ley 15/2015, de 2 de julio, de la jurisdicción voluntaria (en adelante, Ley 15/2015), y, consiguientemente, sin oír a los progenitores ni a la menor, lo que había provocado indefensión a la recurrente y, por tanto, vulneración de su derecho fundamental proclamado por el art. 24 CE. En segundo lugar, se alegaba falta de motivación del auto recurrido que, según la recurrente, se sustentaba en meras presunciones o creencias personales no avaladas por los datos oficiales ni por la evidencia científica actual, reiterándose todas las razones recogidas en el escrito de oposición presentado en el expediente de jurisdicción voluntaria para justificar tal aseveración. Finalmente se denunciaba la vulneración del derecho fundamental a la integridad física y moral (art. 15 CE) derivada de la ausencia de consentimiento informado en relación con la vacuna. Consideraba la recurrente que solo podía haber consentimiento válido si se contaba con una información completa y exacta acerca del tratamiento a aplicar, en particular relativa a los riesgos derivados de su aplicación. Esto resultaba imposible en el caso sometido a análisis, ya que la “vacuna” era una terapia génica en fase de “ensayo clínico” cuya eficacia y seguridad no podrían confirmarse hasta diciembre de 2023. Tratándose de un medicamento con riesgos imprevisibles a medio y largo plazo, deberían haberse extremado las precauciones de información con la finalidad de que el requisito del consentimiento informado se cumpliera con todas las garantías. Pese a ello, el medicamento génico no había sido prescrito por un pediatra mediante la correspondiente receta, ni se había entregado, a la recurrente o a la menor, consentimiento informado que reuniera los requisitos exigidos por la Ley 41/2002.</w:t>
      </w:r>
    </w:p>
    <w:p w14:paraId="488A7E13" w14:textId="77777777" w:rsidR="008D479B" w:rsidRDefault="008D479B" w:rsidP="008D479B">
      <w:pPr>
        <w:pStyle w:val="TextoNormal"/>
      </w:pPr>
    </w:p>
    <w:p w14:paraId="7A0902D2" w14:textId="77777777" w:rsidR="008D479B" w:rsidRDefault="008D479B" w:rsidP="008D479B">
      <w:pPr>
        <w:pStyle w:val="TextoNormal"/>
      </w:pPr>
      <w:r>
        <w:t>e) Auto desestimatorio del recurso de apelación</w:t>
      </w:r>
    </w:p>
    <w:p w14:paraId="0A30B71D" w14:textId="77777777" w:rsidR="008D479B" w:rsidRDefault="008D479B" w:rsidP="008D479B">
      <w:pPr>
        <w:pStyle w:val="TextoNormal"/>
      </w:pPr>
    </w:p>
    <w:p w14:paraId="16534BD1" w14:textId="09946A1D" w:rsidR="008D479B" w:rsidRDefault="008D479B" w:rsidP="008D479B">
      <w:pPr>
        <w:pStyle w:val="TextoNormal"/>
      </w:pPr>
      <w:r>
        <w:t>El 27 de abril de 2022 la Sección Segunda de la Audiencia Provincial de Zaragoza dictó auto desestimatorio del recurso de apelación. Confirmó en todos sus extremos el auto del juzgado y rechazó las alegaciones de la recurrente en base a los siguientes argumentos: (i) la falta de celebración de la comparecencia prevista en el art. 85.1 de la Ley 15/2015 no causó indefensión a ninguna de las partes, ya que ambas tuvieron la oportunidad de exponer, por escrito y de forma extensa, los argumentos que estimaron pertinentes a favor de su postura respectiva y de presentar toda la documentación de apoyo que consideraron oportuna —que fue admitida—, no siendo preceptiva ni obligatoria la exploración de la hija al ser la misma menor de doce años; (ii) los argumentos vertidos por la recurrente en contra de la vacunación de la menor estaban sustentados en meras presunciones de carácter genérico e interpretaciones personales y en un informe pericial emitido por un doctor en ciencias químicas igualmente genérico, pero no existía documento o informe médico alguno concreto sobre la menor que desaconsejara su vacunación para este concreto virus; (iii) mucho mayor peso y valor debía atribuirse a la abrumadora documentación médica de organismos oficiales nacionales e internacionales acreditados en materia de salud pública —Agencia Española de Medicamentos y Productos Sanitarios, Consejo Interterritorial del Sistema Nacional de Salud, Asociación Española de Pediatría, Centro Europeo para la Prevención y el Control de las Enfermedades, Agencia Europea de Medicamentos y Agencia de Salud Pública de los Estados Unidos— que avalaba el hecho de que la vacunación implicaba muchos mayores beneficios que riesgos a nivel individual y evitaba la aparición de brotes en los centros educativos; (iv) toda actuación médica conlleva un riesgo de efectos secundarios adversos, y el porcentaje de casos en que se habían producido efectos secundarios de extrema gravedad (miocarditis y pericarditis) en menores por esta vacuna era tan bajo que no había influido en la decisión de las autoridades sanitarias de mantener la vacunación; (v) no cabía afirmar ya —transcurrido más de un año y medio desde el inicio de la vacunación— que la vacuna fuera un medicamento “experimental” con efectos secundarios inciertos.</w:t>
      </w:r>
    </w:p>
    <w:p w14:paraId="237435EC" w14:textId="77777777" w:rsidR="008D479B" w:rsidRDefault="008D479B" w:rsidP="008D479B">
      <w:pPr>
        <w:pStyle w:val="TextoNormal"/>
      </w:pPr>
    </w:p>
    <w:p w14:paraId="11BBBF6F" w14:textId="77777777" w:rsidR="008D479B" w:rsidRDefault="008D479B" w:rsidP="008D479B">
      <w:pPr>
        <w:pStyle w:val="TextoNormal"/>
      </w:pPr>
      <w:r w:rsidRPr="008D479B">
        <w:rPr>
          <w:rStyle w:val="NumeroAFNegritaCaracter"/>
        </w:rPr>
        <w:t>3</w:t>
      </w:r>
      <w:r>
        <w:t>. Demanda del recurso de amparo</w:t>
      </w:r>
    </w:p>
    <w:p w14:paraId="5875E6CD" w14:textId="77777777" w:rsidR="008D479B" w:rsidRDefault="008D479B" w:rsidP="008D479B">
      <w:pPr>
        <w:pStyle w:val="TextoNormal"/>
      </w:pPr>
    </w:p>
    <w:p w14:paraId="34012E29" w14:textId="77777777" w:rsidR="008D479B" w:rsidRDefault="008D479B" w:rsidP="008D479B">
      <w:pPr>
        <w:pStyle w:val="TextoNormal"/>
      </w:pPr>
      <w:r>
        <w:t>La recurrente formula demanda de amparo en nombre propio y justifica su legitimación aduciendo estar en posesión de un interés legítimo en su calidad de progenitora de la menor afectada por las resoluciones judiciales recurridas, además de ser parte en los procedimientos judiciales en que fueron dictadas. Denuncia que se han vulnerado los derechos fundamentales a la integridad física y moral (art. 15 CE) a la tutela judicial efectiva (art. 24.1 CE) y a un proceso con todas las garantías (art. 24.2 CE).</w:t>
      </w:r>
    </w:p>
    <w:p w14:paraId="455947FE" w14:textId="77777777" w:rsidR="008D479B" w:rsidRDefault="008D479B" w:rsidP="008D479B">
      <w:pPr>
        <w:pStyle w:val="TextoNormal"/>
      </w:pPr>
    </w:p>
    <w:p w14:paraId="667B2618" w14:textId="77777777" w:rsidR="008D479B" w:rsidRDefault="008D479B" w:rsidP="008D479B">
      <w:pPr>
        <w:pStyle w:val="TextoNormal"/>
      </w:pPr>
      <w:r>
        <w:t>a) La demanda imputa a las resoluciones judiciales impugnadas la vulneración del derecho fundamental a la integridad física y moral (art. 15 CE) tanto de la menor como de sus progenitores, al autorizar el juez la vacunación de aquella sin que concurra “el debido consentimiento informado por escrito, ante la administración de un fármaco experimental en fase de ensayo clínico hasta 2023, cuya relación riesgo/beneficio en menores de edad no está nada clara”. Tras resumir la regulación del consentimiento informado en nuestro ordenamiento —Ley 41/2002— y en los textos internacionales —Carta de los derechos fundamentales de la Unión Europea y Convenio de Oviedo— se expone la doctrina de este tribunal y del Tribunal Europeo de Derechos Humanos en relación con el contenido del derecho fundamental a la integridad física y moral. Alega la demandante de amparo que se ha realizado un uso fraudulento del procedimiento de jurisdicción voluntaria previsto en el art. 85 de la Ley 15/2015, desde el momento en que ha sido autorizada la intervención médica sin que ni a los progenitores ni a la hija común se les haya entregado un consentimiento informado por escrito sobre la composición, riesgos y consecuencias de la administración de la “mal denominada ‘vacuna covid-19’”. Añade que tampoco se han justificado ni la necesidad de dicho tratamiento invasivo ni los beneficios directos que habrá de reportar a la menor, en el sentido expresado por el art. 6.1 del Convenio de Oviedo.</w:t>
      </w:r>
    </w:p>
    <w:p w14:paraId="2197A824" w14:textId="77777777" w:rsidR="008D479B" w:rsidRDefault="008D479B" w:rsidP="008D479B">
      <w:pPr>
        <w:pStyle w:val="TextoNormal"/>
      </w:pPr>
    </w:p>
    <w:p w14:paraId="2EEB6226" w14:textId="77777777" w:rsidR="008D479B" w:rsidRDefault="008D479B" w:rsidP="008D479B">
      <w:pPr>
        <w:pStyle w:val="TextoNormal"/>
      </w:pPr>
      <w:r>
        <w:t>b) La vulneración de los derechos fundamentales a la tutela judicial efectiva sin indefensión (art. 24.1 CE) y a un proceso con todas las garantías (art. 24.2 CE) se habría producido, conforme a la demanda, por la decisión del juzgado —confirmada por la Audiencia Provincial— de dictar resolución en el expediente sin celebrar la comparecencia prevista por el art. 85.1 de la Ley 15/2015, pese a que la demandante de amparo había solicitado expresamente su celebración en el escrito de oposición. Se afirma que con ello se habría causado a la demandante una flagrante indefensión pues “no solo no se pudieron aportar más pruebas en virtud de lo previsto en el art. 17.3 [de la Ley 15/2015], sino que ni siquiera esta parte pudo ser interrogada sobre los motivos de oposición frente a un tratamiento médico invasivo que puede ser determinante en la salud y en la vida de su hija”.</w:t>
      </w:r>
    </w:p>
    <w:p w14:paraId="6C7A6A73" w14:textId="77777777" w:rsidR="008D479B" w:rsidRDefault="008D479B" w:rsidP="008D479B">
      <w:pPr>
        <w:pStyle w:val="TextoNormal"/>
      </w:pPr>
    </w:p>
    <w:p w14:paraId="7C4B153C" w14:textId="77777777" w:rsidR="008D479B" w:rsidRDefault="008D479B" w:rsidP="008D479B">
      <w:pPr>
        <w:pStyle w:val="TextoNormal"/>
      </w:pPr>
      <w:r>
        <w:t>En el suplico de la demanda la recurrente en amparo solicita lo siguiente: que se le otorgue el amparo solicitado; que se declare la nulidad de las resoluciones judiciales impugnadas; y que se declare “que no ha lugar al procedimiento de jurisdicción voluntaria para la inoculación de un fármaco en fase de ensayo clínico a la hija de mi mandante sin la concurrencia del debido consentimiento informado por escrito a los progenitores y a la menor, cuando ni siquiera se ha justificado la necesidad del tratamiento médico invasivo o, subsidiariamente, se declare que es necesario el consentimiento de ambos progenitores mientras la hija sea menor de dieciocho años”.</w:t>
      </w:r>
    </w:p>
    <w:p w14:paraId="64FC22B6" w14:textId="77777777" w:rsidR="008D479B" w:rsidRDefault="008D479B" w:rsidP="008D479B">
      <w:pPr>
        <w:pStyle w:val="TextoNormal"/>
      </w:pPr>
    </w:p>
    <w:p w14:paraId="4D948F14" w14:textId="37CC978E" w:rsidR="008D479B" w:rsidRDefault="008D479B" w:rsidP="008D479B">
      <w:pPr>
        <w:pStyle w:val="TextoNormal"/>
      </w:pPr>
      <w:r>
        <w:t>Por medio de otrosí se interesa, al amparo del art. 56.2 de la Ley Orgánica del Tribunal Constitucional (LOTC), la suspensión cautelar de la ejecución del auto de 21 de enero de 2022 del Juzgado de Primera Instancia núm. 5 de Zaragoza.</w:t>
      </w:r>
    </w:p>
    <w:p w14:paraId="08DA920E" w14:textId="77777777" w:rsidR="008D479B" w:rsidRDefault="008D479B" w:rsidP="008D479B">
      <w:pPr>
        <w:pStyle w:val="TextoNormal"/>
      </w:pPr>
    </w:p>
    <w:p w14:paraId="350DC1A6" w14:textId="77777777" w:rsidR="008D479B" w:rsidRDefault="008D479B" w:rsidP="008D479B">
      <w:pPr>
        <w:pStyle w:val="TextoNormal"/>
      </w:pPr>
      <w:r w:rsidRPr="008D479B">
        <w:rPr>
          <w:rStyle w:val="NumeroAFNegritaCaracter"/>
        </w:rPr>
        <w:t>4</w:t>
      </w:r>
      <w:r>
        <w:t>. Por providencia de 13 de septiembre de 2022, el Pleno del Tribunal Constitucional acordó, de conformidad con el art. 10.1 n) LOTC, recabar para sí el conocimiento del presente recurso de amparo, y admitirlo a trámite, apreciando que concurre en el mismo una especial trascendencia constitucional (art. 50.1 LOTC) porque el recurso plantea un problema o afecta a una faceta de un derecho fundamental sobre el que no hay doctrina de este tribunal [STC 155/2009, de 25 de junio, FJ 2 a)], y el asunto suscitado trasciende del caso concreto porque plantea una cuestión jurídica de relevante y general repercusión social o económica [STC 155/2009, FJ 2 g)].</w:t>
      </w:r>
    </w:p>
    <w:p w14:paraId="5FF734C0" w14:textId="77777777" w:rsidR="008D479B" w:rsidRDefault="008D479B" w:rsidP="008D479B">
      <w:pPr>
        <w:pStyle w:val="TextoNormal"/>
      </w:pPr>
    </w:p>
    <w:p w14:paraId="5EA1C178" w14:textId="58F3B67F" w:rsidR="008D479B" w:rsidRDefault="008D479B" w:rsidP="008D479B">
      <w:pPr>
        <w:pStyle w:val="TextoNormal"/>
      </w:pPr>
      <w:r>
        <w:t>En la misma resolución ordenó que se dirigiese comunicación al Juzgado de Primera Instancia núm. 5 de Zaragoza y a la Sección Segunda de la Audiencia Provincial de Zaragoza, a fin de que remitieran testimonio de las actuaciones correspondientes al expediente de jurisdicción voluntaria núm. 893-2021 y al recurso de apelación núm. 187-2022, respectivamente. Se instaba igualmente al juzgado para que emplazase a quienes hubieran sido parte en el procedimiento, excepto la parte recurrente en amparo, para que en el plazo de diez días pudieran comparecer, si lo deseasen, en el recurso de amparo.</w:t>
      </w:r>
    </w:p>
    <w:p w14:paraId="43C49EE0" w14:textId="77777777" w:rsidR="008D479B" w:rsidRDefault="008D479B" w:rsidP="008D479B">
      <w:pPr>
        <w:pStyle w:val="TextoNormal"/>
      </w:pPr>
    </w:p>
    <w:p w14:paraId="1E6FA171" w14:textId="03EE60E8" w:rsidR="008D479B" w:rsidRDefault="008D479B" w:rsidP="008D479B">
      <w:pPr>
        <w:pStyle w:val="TextoNormal"/>
      </w:pPr>
      <w:r w:rsidRPr="008D479B">
        <w:rPr>
          <w:rStyle w:val="NumeroAFNegritaCaracter"/>
        </w:rPr>
        <w:t>5</w:t>
      </w:r>
      <w:r>
        <w:t>. En relación con la solicitud de la medida cautelar de suspensión de las resoluciones impugnadas, mediante providencia de 13 de septiembre de 2022 se acordó formar la correspondiente pieza separada. Formuladas las alegaciones pertinentes por la recurrente de amparo y el Ministerio Fiscal, se acordó, por diligencia de ordenación de 21 de noviembre de 2022, dirigir oficio al Departamento de Salud de la Comunidad Autónoma de Aragón a fin de que informase a este tribunal si constaba que se hubiera procedido a la vacunación de la hija menor de la recurrente contra la covid-19. El 20 de diciembre de 2022 tuvo entrada el escrito remitido por el Departamento de Sanidad del Gobierno de Aragón informando de que en la historia clínica de la menor A.M.P., no aparece registrada ninguna vacuna contra la covid-19. Recibida la respuesta al oficio, mediante diligencia de ordenación de 20 de diciembre de 2022 se dio nuevo traslado a la recurrente en amparo y al Ministerio Fiscal para alegaciones, que fueron emitidas a través de escritos presentados, respectivamente, los días 10 y 12 de enero de 2023.</w:t>
      </w:r>
    </w:p>
    <w:p w14:paraId="3935897F" w14:textId="77777777" w:rsidR="008D479B" w:rsidRDefault="008D479B" w:rsidP="008D479B">
      <w:pPr>
        <w:pStyle w:val="TextoNormal"/>
      </w:pPr>
    </w:p>
    <w:p w14:paraId="56F931E8" w14:textId="6307637F" w:rsidR="008D479B" w:rsidRDefault="008D479B" w:rsidP="008D479B">
      <w:pPr>
        <w:pStyle w:val="TextoNormal"/>
      </w:pPr>
      <w:r w:rsidRPr="008D479B">
        <w:rPr>
          <w:rStyle w:val="NumeroAFNegritaCaracter"/>
        </w:rPr>
        <w:t>6</w:t>
      </w:r>
      <w:r>
        <w:t>. Por diligencia de ordenación de 24 de octubre de 2022 se tuvieron por recibidos los testimonios de actuaciones requeridos a los órganos judiciales y se concedió a la recurrente en amparo y al Ministerio Fiscal (de conformidad con el art. 52 LOTC) el plazo común de veinte días para formular alegaciones.</w:t>
      </w:r>
    </w:p>
    <w:p w14:paraId="439ABA49" w14:textId="77777777" w:rsidR="008D479B" w:rsidRDefault="008D479B" w:rsidP="008D479B">
      <w:pPr>
        <w:pStyle w:val="TextoNormal"/>
      </w:pPr>
    </w:p>
    <w:p w14:paraId="0F91D238" w14:textId="683A6A82" w:rsidR="008D479B" w:rsidRDefault="008D479B" w:rsidP="008D479B">
      <w:pPr>
        <w:pStyle w:val="TextoNormal"/>
      </w:pPr>
      <w:r w:rsidRPr="008D479B">
        <w:rPr>
          <w:rStyle w:val="NumeroAFNegritaCaracter"/>
        </w:rPr>
        <w:t>7</w:t>
      </w:r>
      <w:r>
        <w:t>. La representación procesal de doña A.P.M., presentó escrito de alegaciones el 24 de noviembre de 2022, reiterando y dando por reproducidas las alegaciones contenidas en su demanda inicial.</w:t>
      </w:r>
    </w:p>
    <w:p w14:paraId="53796013" w14:textId="77777777" w:rsidR="008D479B" w:rsidRDefault="008D479B" w:rsidP="008D479B">
      <w:pPr>
        <w:pStyle w:val="TextoNormal"/>
      </w:pPr>
    </w:p>
    <w:p w14:paraId="674AC69A" w14:textId="77777777" w:rsidR="008D479B" w:rsidRDefault="008D479B" w:rsidP="008D479B">
      <w:pPr>
        <w:pStyle w:val="TextoNormal"/>
      </w:pPr>
      <w:r w:rsidRPr="008D479B">
        <w:rPr>
          <w:rStyle w:val="NumeroAFNegritaCaracter"/>
        </w:rPr>
        <w:t>8</w:t>
      </w:r>
      <w:r>
        <w:t>. Mediante escrito registrado en este tribunal el 12 de diciembre de 2022 la Fiscalía ante el Tribunal Constitucional interesó la desestimación del recurso por considerar que no se habían producido las vulneraciones de derechos fundamentales alegadas en la demanda de amparo.</w:t>
      </w:r>
    </w:p>
    <w:p w14:paraId="567446BB" w14:textId="77777777" w:rsidR="008D479B" w:rsidRDefault="008D479B" w:rsidP="008D479B">
      <w:pPr>
        <w:pStyle w:val="TextoNormal"/>
      </w:pPr>
    </w:p>
    <w:p w14:paraId="52227B07" w14:textId="77777777" w:rsidR="008D479B" w:rsidRDefault="008D479B" w:rsidP="008D479B">
      <w:pPr>
        <w:pStyle w:val="TextoNormal"/>
      </w:pPr>
      <w:r>
        <w:t>Tras realizar una síntesis de los hechos que han dado lugar al proceso constitucional y de los argumentos esenciales contenidos en la demanda de amparo, la fiscal comienza precisando, en cuanto a la legitimación activa, que, si bien la pretensión de amparo relativa a la vulneración del derecho a la integridad física y moral (art. 15 CE) se formula “tanto respecto a los progenitores, como a la menor de edad”, es esta la única titular del derecho fundamental invocado (STC 154/2002, de 18 de julio), no obstante estar legitimada la demandante para impetrar su protección como progenitora que ejerce, de forma compartida, la patria potestad sobre aquella dada su minoría de edad.</w:t>
      </w:r>
    </w:p>
    <w:p w14:paraId="39AB9A0E" w14:textId="77777777" w:rsidR="008D479B" w:rsidRDefault="008D479B" w:rsidP="008D479B">
      <w:pPr>
        <w:pStyle w:val="TextoNormal"/>
      </w:pPr>
    </w:p>
    <w:p w14:paraId="463FDBF1" w14:textId="77777777" w:rsidR="008D479B" w:rsidRDefault="008D479B" w:rsidP="008D479B">
      <w:pPr>
        <w:pStyle w:val="TextoNormal"/>
      </w:pPr>
      <w:r>
        <w:t>En relación con el fondo del asunto, y comenzando con la alegada vulneración del derecho a la integridad física y moral (art. 15 CE), la fiscal entiende que el argumento relativo a la ausencia de consentimiento informado carece de toda consistencia habida cuenta de que: (i) la recurrente en amparo ha manifestado de manera “férrea” su oposición —o, lo que es lo mismo, la denegación de su consentimiento— a la vacunación, esgrimiendo una serie de razones basadas en estudios e informes que aporta al procedimiento judicial; (ii) el padre ha solicitado en vía judicial autorización para la vacunación, dejando “meridianamente clara” su voluntad de consentir a dicha intervención; (iii) en cuanto a la menor, no se cuenta en el caso examinado con informe profesional ni datos que permitan afirmar que cuenta con la madurez a que se refiere el art. 9.3, letra c) de la Ley 41/2002 a efectos de responsabilizarse del acto de consentir, con exclusión de sus padres. Partiendo de ello, y aplicando el Código del Derecho foral de Aragón, dado que la familia tiene su residencia en Zaragoza, las divergencias en el ejercicio de la autoridad familiar, que corresponde ejercer a ambos padres, habrán de resolverse por el juez del modo más favorable al interés de la hija.</w:t>
      </w:r>
    </w:p>
    <w:p w14:paraId="74F0DE83" w14:textId="77777777" w:rsidR="008D479B" w:rsidRDefault="008D479B" w:rsidP="008D479B">
      <w:pPr>
        <w:pStyle w:val="TextoNormal"/>
      </w:pPr>
    </w:p>
    <w:p w14:paraId="51B555F1" w14:textId="77777777" w:rsidR="008D479B" w:rsidRDefault="008D479B" w:rsidP="008D479B">
      <w:pPr>
        <w:pStyle w:val="TextoNormal"/>
      </w:pPr>
      <w:r>
        <w:t xml:space="preserve">La fiscal hace una síntesis de la doctrina constitucional relativa al interés superior del menor como principio constitucional amparado por el art. 39 CE y canon de motivación de las resoluciones judiciales y recuerda, con cita de la STC 221/2002, de 25 de noviembre, que la decisión de cuál sea en cada caso el interés superior del menor corresponde tomarla a los jueces y tribunales ordinarios, aunque incumbe al Tribunal Constitucional examinar si la motivación ofrecida por los mismos está sustentada en su mayor beneficio y comprobar que no se han lesionado sus derechos fundamentales. Partiendo de esta premisa, examina con detalle los argumentos esgrimidos por la demandante de amparo en contra de la vacunación y las razones recogidas en las resoluciones judiciales para rebatir tales argumentos. Concluye que las resoluciones judiciales cumplen el canon constitucional de motivación reforzada que exige el principio de superior interés del menor puesto que realizan un juicio de ponderación de los argumentos adversos y favorables a la vacunación y se inclinan fundadamente por estos últimos, “respondiendo a la </w:t>
      </w:r>
      <w:r w:rsidRPr="008D479B">
        <w:rPr>
          <w:i/>
        </w:rPr>
        <w:t>ratio decidendi</w:t>
      </w:r>
      <w:r>
        <w:t xml:space="preserve"> que es el mayor interés del menor en relación con su derecho a su salud”.</w:t>
      </w:r>
    </w:p>
    <w:p w14:paraId="34653258" w14:textId="77777777" w:rsidR="008D479B" w:rsidRDefault="008D479B" w:rsidP="008D479B">
      <w:pPr>
        <w:pStyle w:val="TextoNormal"/>
      </w:pPr>
    </w:p>
    <w:p w14:paraId="40F470EB" w14:textId="77777777" w:rsidR="008D479B" w:rsidRDefault="008D479B" w:rsidP="008D479B">
      <w:pPr>
        <w:pStyle w:val="TextoNormal"/>
      </w:pPr>
      <w:r>
        <w:t>En cuanto a la aducida vulneración del derecho a un proceso con todas las garantías (art. 24.2 CE) que eventualmente pudiera derivar de la no celebración de la comparecencia prevista en el art. 85.1 de la Ley 15/2015, recuerda la fiscal que las infracciones de las normas o reglas procesales solo constituyen una lesión del derecho a un proceso con todas las garantías si con ellas se ocasiona una merma relevante y un perjuicio real y efectivo de las posibilidades de defensa de quien las denuncie. En el presente caso no se aprecia la existencia de esa merma en las posibilidades de defensa de la demandante de amparo habida cuenta de que: (i) contó con las mismas armas que don J.A.M.M., en la exposición y defensa de sus posiciones y ejerció efectivamente ese derecho de defensa a través de su escrito de oposición, que recoge ya todas sus alegaciones en contra de la vacunación, al que acompañó una abundantísima prueba documental, que fue admitida y valorada por los órganos judiciales; (ii) la manifestación relativa a que podía haber aportado más prueba en la comparecencia es genérica y no se concreta qué otras pruebas hubiera querido proponer o de qué naturaleza; (iii) aun en el caso de que se hubiera celebrado la comparecencia, habría seguido correspondiendo al órgano judicial decidir si las pruebas propuestas por las partes en dicho acto eran necesarias y pertinentes, y si debían o no practicarse. Aunque el juzgado no respondió de forma expresa a la petición de comparecencia, sí lo hizo la Audiencia Provincial en su auto de 27 de abril de 2022 con argumentos prácticamente iguales a los que acaban de exponerse.</w:t>
      </w:r>
    </w:p>
    <w:p w14:paraId="22B5FCEC" w14:textId="77777777" w:rsidR="008D479B" w:rsidRDefault="008D479B" w:rsidP="008D479B">
      <w:pPr>
        <w:pStyle w:val="TextoNormal"/>
      </w:pPr>
    </w:p>
    <w:p w14:paraId="009D42DD" w14:textId="77777777" w:rsidR="008D479B" w:rsidRDefault="008D479B" w:rsidP="008D479B">
      <w:pPr>
        <w:pStyle w:val="TextoNormal"/>
      </w:pPr>
      <w:r>
        <w:t xml:space="preserve">Finalmente, y enlazando con la pretensión recogida en el suplico de la demanda relativa a que “[s]e declare que no ha lugar al procedimiento de jurisdicción voluntaria para la inoculación de un fármaco en fase de ensayo clínico”, la fiscal indica que, de entenderse que lo denunciado por esta vía es la inadecuación del procedimiento seguido, estaríamos ante un planteamiento </w:t>
      </w:r>
      <w:r w:rsidRPr="008D479B">
        <w:rPr>
          <w:i/>
        </w:rPr>
        <w:t>per saltum</w:t>
      </w:r>
      <w:r>
        <w:t xml:space="preserve"> de esta cuestión, pues ninguna objeción realizó la demandante de amparo en este sentido durante la tramitación del expediente de jurisdicción voluntaria, con lo que no cabría entrar a examinarla por respeto al principio de subsidiariedad de la jurisdicción constitucional.</w:t>
      </w:r>
    </w:p>
    <w:p w14:paraId="18FF80EC" w14:textId="77777777" w:rsidR="008D479B" w:rsidRDefault="008D479B" w:rsidP="008D479B">
      <w:pPr>
        <w:pStyle w:val="TextoNormal"/>
      </w:pPr>
    </w:p>
    <w:p w14:paraId="097B3FF3" w14:textId="1D01AD46" w:rsidR="008D479B" w:rsidRDefault="008D479B" w:rsidP="008D479B">
      <w:pPr>
        <w:pStyle w:val="TextoNormal"/>
      </w:pPr>
      <w:r>
        <w:t>Por todo lo expuesto, la fiscal considera que no se han producido las vulneraciones de derechos fundamentales aducidas en la demanda.</w:t>
      </w:r>
    </w:p>
    <w:p w14:paraId="7B905653" w14:textId="77777777" w:rsidR="008D479B" w:rsidRDefault="008D479B" w:rsidP="008D479B">
      <w:pPr>
        <w:pStyle w:val="TextoNormal"/>
      </w:pPr>
    </w:p>
    <w:p w14:paraId="74123589" w14:textId="799CB796" w:rsidR="008D479B" w:rsidRDefault="008D479B" w:rsidP="008D479B">
      <w:pPr>
        <w:pStyle w:val="TextoNormal"/>
      </w:pPr>
      <w:r w:rsidRPr="008D479B">
        <w:rPr>
          <w:rStyle w:val="NumeroAFNegritaCaracter"/>
        </w:rPr>
        <w:t>9</w:t>
      </w:r>
      <w:r>
        <w:t>. Por providencia de 6 de noviembre de 2023 se señaló ese mismo día para la deliberación y votación de la presente sentencia.</w:t>
      </w:r>
    </w:p>
    <w:p w14:paraId="714816B0" w14:textId="77777777" w:rsidR="008D479B" w:rsidRDefault="008D479B" w:rsidP="008D479B">
      <w:pPr>
        <w:pStyle w:val="TextoNormal"/>
      </w:pPr>
    </w:p>
    <w:p w14:paraId="6592A2A7" w14:textId="77777777" w:rsidR="008D479B" w:rsidRDefault="008D479B" w:rsidP="008D479B">
      <w:pPr>
        <w:pStyle w:val="TextoNormalNegritaCentrado"/>
        <w:keepNext/>
      </w:pPr>
      <w:r>
        <w:t>II. Fundamentos jurídicos</w:t>
      </w:r>
    </w:p>
    <w:p w14:paraId="61A01D9E" w14:textId="569D249E" w:rsidR="008D479B" w:rsidRDefault="008D479B" w:rsidP="008D479B">
      <w:pPr>
        <w:pStyle w:val="TextoNormalNegritaCentrado"/>
        <w:keepNext/>
      </w:pPr>
    </w:p>
    <w:p w14:paraId="7F465A40" w14:textId="77777777" w:rsidR="008D479B" w:rsidRDefault="008D479B" w:rsidP="008D479B">
      <w:pPr>
        <w:pStyle w:val="TextoNormal"/>
      </w:pPr>
      <w:r w:rsidRPr="008D479B">
        <w:rPr>
          <w:rStyle w:val="NumeroAFNegritaCaracter"/>
        </w:rPr>
        <w:t>1</w:t>
      </w:r>
      <w:r>
        <w:t xml:space="preserve">. </w:t>
      </w:r>
      <w:r w:rsidRPr="008D479B">
        <w:rPr>
          <w:i/>
        </w:rPr>
        <w:t>Objeto del recurso</w:t>
      </w:r>
    </w:p>
    <w:p w14:paraId="5348E36B" w14:textId="77777777" w:rsidR="008D479B" w:rsidRDefault="008D479B" w:rsidP="008D479B">
      <w:pPr>
        <w:pStyle w:val="TextoNormal"/>
      </w:pPr>
    </w:p>
    <w:p w14:paraId="3F465F3C" w14:textId="77777777" w:rsidR="008D479B" w:rsidRDefault="008D479B" w:rsidP="008D479B">
      <w:pPr>
        <w:pStyle w:val="TextoNormal"/>
      </w:pPr>
      <w:r>
        <w:t>El presente recurso de amparo se dirige contra el auto de 21 de enero de 2022, dictado por el Juzgado de Primera Instancia núm. 5 de Zaragoza en expediente de jurisdicción voluntaria para la resolución de desacuerdo en el ejercicio de la patria potestad núm. 893-2021, que estima la petición de don J.A.M.M., y le autoriza para que, sin intervención de doña A.P.M., realice las gestiones necesarias para la efectiva vacunación de la hija común de ambos, A.M.P., de once años, contra la covid-19. También se impugna el auto de 27 de abril de 2022, dictado por la Sección Segunda de la Audiencia Provincial de Zaragoza, desestimatorio del recurso de apelación interpuesto contra el auto dictado por el juzgado de primera instancia.</w:t>
      </w:r>
    </w:p>
    <w:p w14:paraId="31F4E150" w14:textId="77777777" w:rsidR="008D479B" w:rsidRDefault="008D479B" w:rsidP="008D479B">
      <w:pPr>
        <w:pStyle w:val="TextoNormal"/>
      </w:pPr>
    </w:p>
    <w:p w14:paraId="57CDE01A" w14:textId="3A0E60CB" w:rsidR="008D479B" w:rsidRDefault="008D479B" w:rsidP="008D479B">
      <w:pPr>
        <w:pStyle w:val="TextoNormal"/>
      </w:pPr>
      <w:r>
        <w:t>Dada la naturaleza de los hechos se acuerda que la sentencia no incluya la identificación completa de las partes y de la menor; y ello en ejercicio de las potestades atribuidas a este tribunal por el art. 86.3 LOTC en materia de protección de datos de carácter personal en el ámbito de la publicación y difusión de sus resoluciones, así como en aplicación del acuerdo del Pleno de este tribunal de 23 de julio de 2015, por el que se regula la exclusión de los datos de identidad personal en la publicación de las resoluciones jurisdiccionales (“Boletín Oficial del Estado” núm. 178, de 27 de julio de 2015), decisión adoptada en sentencias precedentes tales como las SSTC 66/2022, de 2 de junio, FJ 1, y 38/2023, de 20 de abril, FJ 2, de Pleno.</w:t>
      </w:r>
    </w:p>
    <w:p w14:paraId="35DB98D7" w14:textId="77777777" w:rsidR="008D479B" w:rsidRDefault="008D479B" w:rsidP="008D479B">
      <w:pPr>
        <w:pStyle w:val="TextoNormal"/>
      </w:pPr>
    </w:p>
    <w:p w14:paraId="6164FAF7" w14:textId="77777777" w:rsidR="008D479B" w:rsidRDefault="008D479B" w:rsidP="008D479B">
      <w:pPr>
        <w:pStyle w:val="TextoNormal"/>
      </w:pPr>
      <w:r w:rsidRPr="008D479B">
        <w:rPr>
          <w:rStyle w:val="NumeroAFNegritaCaracter"/>
        </w:rPr>
        <w:t>2</w:t>
      </w:r>
      <w:r>
        <w:t xml:space="preserve">. </w:t>
      </w:r>
      <w:r w:rsidRPr="008D479B">
        <w:rPr>
          <w:i/>
        </w:rPr>
        <w:t>Precisiones previas y orden de examen de las quejas</w:t>
      </w:r>
    </w:p>
    <w:p w14:paraId="732C690E" w14:textId="77777777" w:rsidR="008D479B" w:rsidRDefault="008D479B" w:rsidP="008D479B">
      <w:pPr>
        <w:pStyle w:val="TextoNormal"/>
      </w:pPr>
    </w:p>
    <w:p w14:paraId="396E887F" w14:textId="77777777" w:rsidR="008D479B" w:rsidRDefault="008D479B" w:rsidP="008D479B">
      <w:pPr>
        <w:pStyle w:val="TextoNormal"/>
      </w:pPr>
      <w:r>
        <w:t>Con carácter previo al examen de las cuestiones de fondo planteadas en la demanda de amparo deben hacerse las siguientes precisiones:</w:t>
      </w:r>
    </w:p>
    <w:p w14:paraId="59610462" w14:textId="77777777" w:rsidR="008D479B" w:rsidRDefault="008D479B" w:rsidP="008D479B">
      <w:pPr>
        <w:pStyle w:val="TextoNormal"/>
      </w:pPr>
    </w:p>
    <w:p w14:paraId="7959A6E1" w14:textId="77777777" w:rsidR="008D479B" w:rsidRDefault="008D479B" w:rsidP="008D479B">
      <w:pPr>
        <w:pStyle w:val="TextoNormal"/>
      </w:pPr>
      <w:r>
        <w:t>a) En cuanto a la legitimación de la demandante de amparo, la demanda se presenta en nombre de la propia recurrente —y no en representación legal de su hija menor de edad— lo que nos obliga a revisar de oficio esta materia. La demandante afirma ostentar un interés legítimo en calidad de progenitora de la menor afectada por las resoluciones judiciales recurridas, además de haber sido parte en los procedimientos judiciales en que fueron dictadas. Al realizar este análisis distinguiremos entre las vulneraciones denunciadas en la demanda de amparo.</w:t>
      </w:r>
    </w:p>
    <w:p w14:paraId="3808E58B" w14:textId="77777777" w:rsidR="008D479B" w:rsidRDefault="008D479B" w:rsidP="008D479B">
      <w:pPr>
        <w:pStyle w:val="TextoNormal"/>
      </w:pPr>
    </w:p>
    <w:p w14:paraId="7EDA0E2F" w14:textId="77777777" w:rsidR="008D479B" w:rsidRDefault="008D479B" w:rsidP="008D479B">
      <w:pPr>
        <w:pStyle w:val="TextoNormal"/>
      </w:pPr>
      <w:r>
        <w:t>(i) En relación con la alegada vulneración del derecho fundamental a la integridad física y moral (art. 15 CE), hemos de comenzar precisando que si bien en la demanda la misma se predica tanto respecto de los progenitores como de la menor de edad, solo esta última puede considerarse titular del derecho subjetivo que se dice vulnerado, en cuanto es exclusivamente su sustrato corporal el que habría de verse afectado por el tratamiento médico en que consiste la vacunación (SSTC 154/2002, de 18 de julio, FFJJ 9 y 10, y 66/2022, de 2 de junio, FJ 3). Ahora bien, este tribunal, y como realidad diferente a la titularidad del derecho fundamental, ha admitido el concepto de “interés legítimo” como fundamento de la legitimación activa en el recurso de amparo de forma amplia y flexible, reconociéndolo a “toda aquella persona cuyo círculo jurídico pueda resultar perjudicado por la violación, por obra del poder, de un derecho fundamental, aunque la violación no se produjese en su contra” (por todas, STC 5/2023, de 20 de febrero, FJ 2). Más concretamente, ha considerado que el concepto de interés legítimo comprende las “situaciones de vinculación familiar” (STC 233/2005, de 26 de septiembre, FJ 9), lo que le ha llevado a reconocer la legitimación del padre del titular del derecho fundamental, con independencia de que dicho progenitor estuviera o no en el ejercicio de la patria potestad, cuando el hijo se hallaba aquejado de una discapacidad (STC 174/2002, de 9 de octubre, FJ 4), así como la de los guardadores de hecho de una persona menor de edad que se encuentra a su cargo (STC 221/2002, de 25 de noviembre, FJ 2).</w:t>
      </w:r>
    </w:p>
    <w:p w14:paraId="7432FF9A" w14:textId="77777777" w:rsidR="008D479B" w:rsidRDefault="008D479B" w:rsidP="008D479B">
      <w:pPr>
        <w:pStyle w:val="TextoNormal"/>
      </w:pPr>
    </w:p>
    <w:p w14:paraId="005F34EC" w14:textId="77777777" w:rsidR="008D479B" w:rsidRDefault="008D479B" w:rsidP="008D479B">
      <w:pPr>
        <w:pStyle w:val="TextoNormal"/>
      </w:pPr>
      <w:r>
        <w:t>En este caso, doña A.P.M., tiene atribuido —por sentencia de divorcio 254/2017 del Juzgado de Primera Instancia núm. 5 de Zaragoza— el ejercicio de la autoridad familiar sobre la menor (titular del derecho fundamental cuya vulneración se invoca) y ha actuado, tanto en el proceso judicial antecedente como en el presente proceso constitucional, para defender una decisión por ella adoptada en ejercicio de dicha autoridad y con el propósito de tutelar los derechos e intereses de su hija del modo que entiende más beneficioso para esta. En tales circunstancias, hemos de concluir que la recurrente tiene un interés legítimo en defender, por la vía del recurso de amparo constitucional, el derecho a la integridad física y moral de su hija menor de edad, A.M.P.</w:t>
      </w:r>
    </w:p>
    <w:p w14:paraId="7FC47850" w14:textId="77777777" w:rsidR="008D479B" w:rsidRDefault="008D479B" w:rsidP="008D479B">
      <w:pPr>
        <w:pStyle w:val="TextoNormal"/>
      </w:pPr>
    </w:p>
    <w:p w14:paraId="63B69514" w14:textId="77777777" w:rsidR="008D479B" w:rsidRDefault="008D479B" w:rsidP="008D479B">
      <w:pPr>
        <w:pStyle w:val="TextoNormal"/>
      </w:pPr>
      <w:r>
        <w:t>(ii) En relación con la alegada vulneración de los derechos fundamentales a la tutela judicial efectiva sin indefensión (art. 24.1 CE) y a un procedimiento con todas las garantías (art. 24.2 CE) la legitimación de la demandante no ofrece duda alguna en su condición de parte en el proceso judicial antecedente [art. 46.1 b) LOTC y SSTC 141/1985, de 22 de octubre, y 11/1992, de 27 de enero] y titular de estos derechos fundamentales.</w:t>
      </w:r>
    </w:p>
    <w:p w14:paraId="104FB6D7" w14:textId="77777777" w:rsidR="008D479B" w:rsidRDefault="008D479B" w:rsidP="008D479B">
      <w:pPr>
        <w:pStyle w:val="TextoNormal"/>
      </w:pPr>
    </w:p>
    <w:p w14:paraId="5422D75C" w14:textId="77777777" w:rsidR="008D479B" w:rsidRDefault="008D479B" w:rsidP="008D479B">
      <w:pPr>
        <w:pStyle w:val="TextoNormal"/>
      </w:pPr>
      <w:r>
        <w:t>b) En el apartado 3 del suplico de la demanda se reclama que “se declare que no ha lugar al procedimiento de jurisdicción voluntaria para la inoculación de un fármaco en fase de ensayo clínico a la hija de mi mandante sin la concurrencia del debido consentimiento informado por escrito a los progenitores y a la menor”.</w:t>
      </w:r>
    </w:p>
    <w:p w14:paraId="1B422889" w14:textId="77777777" w:rsidR="008D479B" w:rsidRDefault="008D479B" w:rsidP="008D479B">
      <w:pPr>
        <w:pStyle w:val="TextoNormal"/>
      </w:pPr>
    </w:p>
    <w:p w14:paraId="008E5418" w14:textId="77777777" w:rsidR="008D479B" w:rsidRDefault="008D479B" w:rsidP="008D479B">
      <w:pPr>
        <w:pStyle w:val="TextoNormal"/>
      </w:pPr>
      <w:r>
        <w:t>Tal como indica el Ministerio Fiscal en su informe, esta petición parecería apuntar a una denuncia de inadecuación del procedimiento seguido para el dictado de las resoluciones impugnadas, tesis que parece confirmarse por la afirmación, contenida en el cuerpo de la demanda, de que “se está haciendo un uso fraudulento del procedimiento de jurisdicción voluntaria previsto en el art. 85 de la Ley 15/2015, de 2 de julio”.</w:t>
      </w:r>
    </w:p>
    <w:p w14:paraId="0A0EF998" w14:textId="77777777" w:rsidR="008D479B" w:rsidRDefault="008D479B" w:rsidP="008D479B">
      <w:pPr>
        <w:pStyle w:val="TextoNormal"/>
      </w:pPr>
    </w:p>
    <w:p w14:paraId="7EBBC1F7" w14:textId="77777777" w:rsidR="008D479B" w:rsidRDefault="008D479B" w:rsidP="008D479B">
      <w:pPr>
        <w:pStyle w:val="TextoNormal"/>
      </w:pPr>
      <w:r>
        <w:t xml:space="preserve">Desde este momento hemos de declarar la inadmisibilidad de este eventual motivo del recurso por falta de cumplimiento del requisito establecido en el art. 44.1 c) LOTC: “[q]ue se haya denunciado formalmente en el proceso, si hubo oportunidad, la vulneración del derecho constitucional tan pronto como, una vez conocida, hubiera lugar para ello”. Según ha sostenido de forma unánime y constante la doctrina de este tribunal, el requisito del art. 44.1 a) LOTC “responde ‘a la finalidad de preservar el carácter subsidiario del recurso de amparo, evitando que el acceso a esta jurisdicción constitucional se produzca </w:t>
      </w:r>
      <w:r w:rsidRPr="008D479B">
        <w:rPr>
          <w:i/>
        </w:rPr>
        <w:t>per saltum</w:t>
      </w:r>
      <w:r>
        <w:t>, es decir, sin brindar a los órganos judiciales la oportunidad de pronunciarse y, en su caso, remediar la lesión invocada como fundamento del recurso de amparo’ [STC 216/2013, de 19 de diciembre, FJ 2 d), y jurisprudencia allí citada]” (STC 59/2022, de 9 de mayo, FJ 2).</w:t>
      </w:r>
    </w:p>
    <w:p w14:paraId="04623D45" w14:textId="77777777" w:rsidR="008D479B" w:rsidRDefault="008D479B" w:rsidP="008D479B">
      <w:pPr>
        <w:pStyle w:val="TextoNormal"/>
      </w:pPr>
    </w:p>
    <w:p w14:paraId="4874DCA2" w14:textId="77777777" w:rsidR="008D479B" w:rsidRDefault="008D479B" w:rsidP="008D479B">
      <w:pPr>
        <w:pStyle w:val="TextoNormal"/>
      </w:pPr>
      <w:r>
        <w:t>Examinadas las actuaciones, encontramos que en ningún momento del expediente judicial manifestó la demandante de amparo su oposición al procedimiento escogido para dirimir la cuestión, o invocó su inidoneidad para la adopción de decisiones como las que son objeto del presente recurso de amparo. Por tal motivo no procede entrar a analizar las pretensiones —principal y subsidiaria— recogidas en el apartado 3 del suplico de la demanda.</w:t>
      </w:r>
    </w:p>
    <w:p w14:paraId="4900CEEE" w14:textId="77777777" w:rsidR="008D479B" w:rsidRDefault="008D479B" w:rsidP="008D479B">
      <w:pPr>
        <w:pStyle w:val="TextoNormal"/>
      </w:pPr>
    </w:p>
    <w:p w14:paraId="469B5B8E" w14:textId="77777777" w:rsidR="008D479B" w:rsidRDefault="008D479B" w:rsidP="008D479B">
      <w:pPr>
        <w:pStyle w:val="TextoNormal"/>
      </w:pPr>
      <w:r>
        <w:t>c) En cuanto a la solicitada medida cautelar de suspensión de la ejecutividad de las resoluciones judiciales objeto de este amparo, ha de precisarse que aquella constituye una medida precautoria establecida para garantizar la efectividad de la sentencia de amparo que pueda recaer en el proceso principal, según se desprende de los arts. 56 y 57 LOTC, lo cual determina que carezca de sentido acordar una medida cautelar cuando ha recaído sentencia en el recurso principal. Este es el caso. Resuelta por esta sentencia la cuestión de fondo suscitada en el proceso principal, del que trae causa la pieza de medidas cautelares, decae la necesidad de pronunciarnos sobre la suspensión solicitada y procede acordar el archivo de la pieza incidental de medida cautelar.</w:t>
      </w:r>
    </w:p>
    <w:p w14:paraId="0E5919DC" w14:textId="77777777" w:rsidR="008D479B" w:rsidRDefault="008D479B" w:rsidP="008D479B">
      <w:pPr>
        <w:pStyle w:val="TextoNormal"/>
      </w:pPr>
    </w:p>
    <w:p w14:paraId="2FB59BDD" w14:textId="77777777" w:rsidR="008D479B" w:rsidRDefault="008D479B" w:rsidP="008D479B">
      <w:pPr>
        <w:pStyle w:val="TextoNormal"/>
      </w:pPr>
      <w:r>
        <w:t>d) En relación al orden de enjuiciamiento de las quejas, este tribunal, para responder a las cuestiones constituciones planteadas de una forma ordenada y coherente, procederá conforme al criterio de la “mayor retroacción”, concediendo prioridad al examen de las quejas que, de prosperar, determinarían la retroacción de las actuaciones al momento procesal más antiguo haciendo innecesario un pronunciamiento sobre las restantes (SSTC 152/2015, de 6 de julio, FJ 3; 56/2019, de 6 de mayo, FJ 2, y 41/2020, de 9 de marzo, FJ 2).</w:t>
      </w:r>
    </w:p>
    <w:p w14:paraId="7816B0C6" w14:textId="77777777" w:rsidR="008D479B" w:rsidRDefault="008D479B" w:rsidP="008D479B">
      <w:pPr>
        <w:pStyle w:val="TextoNormal"/>
      </w:pPr>
    </w:p>
    <w:p w14:paraId="7B961C22" w14:textId="0DE60A07" w:rsidR="008D479B" w:rsidRDefault="008D479B" w:rsidP="008D479B">
      <w:pPr>
        <w:pStyle w:val="TextoNormal"/>
      </w:pPr>
      <w:r>
        <w:t>Siguiendo este criterio analizaremos, en primer lugar, la eventual vulneración de los derechos fundamentales a la tutela judicial efectiva sin indefensión (art. 24.1 CE) y a un procedimiento con todas las garantías (art. 24.2 CE) que se imputa a los órganos judiciales. La demandante de amparo articula esta queja de manera autónoma y separada respecto de la actuación médica de la vacunación, identificando la eventual lesión constitucional con la omisión, por parte del juzgado de primera instancia, del trámite de la comparecencia prevista en el art. 85.1 de la Ley 15/2015, de 2 de julio, de la jurisdicción voluntaria. Si el resultado de este análisis fuera estimatorio de la queja, la reparación del derecho determinaría la retroacción de las actuaciones a fin de que se celebrase la referida comparecencia y se procediera al dictado de nueva resolución. En caso de que no proceda la estimación de esta queja, procederemos al análisis de la vulneración del derecho fundamental a la integridad física (art. 15 CE) de la hija menor de la demandante.</w:t>
      </w:r>
    </w:p>
    <w:p w14:paraId="318E88D5" w14:textId="77777777" w:rsidR="008D479B" w:rsidRDefault="008D479B" w:rsidP="008D479B">
      <w:pPr>
        <w:pStyle w:val="TextoNormal"/>
      </w:pPr>
    </w:p>
    <w:p w14:paraId="0B256A90" w14:textId="77777777" w:rsidR="008D479B" w:rsidRDefault="008D479B" w:rsidP="008D479B">
      <w:pPr>
        <w:pStyle w:val="TextoNormal"/>
      </w:pPr>
      <w:r w:rsidRPr="008D479B">
        <w:rPr>
          <w:rStyle w:val="NumeroAFNegritaCaracter"/>
        </w:rPr>
        <w:t>3</w:t>
      </w:r>
      <w:r>
        <w:t xml:space="preserve">. </w:t>
      </w:r>
      <w:r w:rsidRPr="008D479B">
        <w:rPr>
          <w:i/>
        </w:rPr>
        <w:t>Examen de la eventual vulneración del derecho</w:t>
      </w:r>
      <w:r>
        <w:t xml:space="preserve"> </w:t>
      </w:r>
      <w:r w:rsidRPr="008D479B">
        <w:rPr>
          <w:i/>
        </w:rPr>
        <w:t>a la tutela judicial efectiva y a un proceso con todas las garantías (art. 24.1 y 2 CE</w:t>
      </w:r>
      <w:r>
        <w:t>)</w:t>
      </w:r>
    </w:p>
    <w:p w14:paraId="0457CA36" w14:textId="77777777" w:rsidR="008D479B" w:rsidRDefault="008D479B" w:rsidP="008D479B">
      <w:pPr>
        <w:pStyle w:val="TextoNormal"/>
      </w:pPr>
    </w:p>
    <w:p w14:paraId="3998B241" w14:textId="77777777" w:rsidR="008D479B" w:rsidRDefault="008D479B" w:rsidP="008D479B">
      <w:pPr>
        <w:pStyle w:val="TextoNormal"/>
      </w:pPr>
      <w:r>
        <w:t>La demandante en amparo invoca la vulneración de sus derechos fundamentales a la tutela judicial efectiva, en su dimensión de interdicción de la indefensión (art. 24.1 CE), y a un proceso con todas las garantías (art. 24.2 CE), que vincula directamente a la omisión del trámite de comparecencia previsto en el art. 85.1 de la Ley 15/2015, pese a que había sido expresamente solicitado en el escrito de oposición. Omisión que, según alega, le causó una flagrante indefensión dado que no pudo aportar más pruebas —a pesar de permitirlo el art. 17.3 de la Ley 15/2015— ni pudo ser interrogada sobre los motivos de oposición a un tratamiento médico invasivo que podía ser determinante en la salud y en la vida de su hija. En síntesis, la lesión se vincula directamente a la privación de la posibilidad de utilizar los medios de prueba pertinentes para la defensa de su posición, contraria a la vacunación de la menor, en el seno de la comparecencia prevista por el art. 85.1 de la Ley 15/2015.</w:t>
      </w:r>
    </w:p>
    <w:p w14:paraId="10BCDD4A" w14:textId="77777777" w:rsidR="008D479B" w:rsidRDefault="008D479B" w:rsidP="008D479B">
      <w:pPr>
        <w:pStyle w:val="TextoNormal"/>
      </w:pPr>
    </w:p>
    <w:p w14:paraId="3D11C3A3" w14:textId="77777777" w:rsidR="008D479B" w:rsidRDefault="008D479B" w:rsidP="008D479B">
      <w:pPr>
        <w:pStyle w:val="TextoNormal"/>
      </w:pPr>
      <w:r>
        <w:t>De acuerdo con una extensa y reiterada doctrina de este tribunal el derecho a utilizar los medios de prueba pertinentes para la defensa (art. 24.2 CE) es un derecho fundamental de configuración legal que no tiene carácter absoluto; de modo que no faculta para exigir la admisión de todas las pruebas que puedan proponer las partes en el proceso, sino que atribuye únicamente el derecho a la admisión y práctica de aquellas que, habiéndose propuesto en legal forma, sean pertinentes, útiles y necesarias. A los órganos judiciales corresponde valorar la legalidad y la pertinencia de las pruebas solicitadas, así como el deber de motivar razonablemente la denegación de las pruebas propuestas por las partes con arreglo a las prescripciones legales.</w:t>
      </w:r>
    </w:p>
    <w:p w14:paraId="0F00FA42" w14:textId="77777777" w:rsidR="008D479B" w:rsidRDefault="008D479B" w:rsidP="008D479B">
      <w:pPr>
        <w:pStyle w:val="TextoNormal"/>
      </w:pPr>
    </w:p>
    <w:p w14:paraId="17634C3C" w14:textId="77777777" w:rsidR="008D479B" w:rsidRDefault="008D479B" w:rsidP="008D479B">
      <w:pPr>
        <w:pStyle w:val="TextoNormal"/>
      </w:pPr>
      <w:r>
        <w:t xml:space="preserve">Ahora bien, no toda irregularidad u omisión procesal en materia de prueba (referida a su admisión, a su práctica o a su valoración) causa por sí misma indefensión material constitucionalmente relevante. Para que se produzca violación del indicado derecho fundamental, este tribunal ha exigido reiteradamente que concurran dos circunstancias: por una parte, que la denegación o inejecución resulten imputables al órgano judicial; y, por otra, que la prueba denegada o no practicada resulte decisiva en términos de defensa, de suerte que, de haberse practicado la prueba omitida, la resolución final del proceso hubiese podido ser distinta en el sentido de resultar favorable a quien denuncia la infracción del derecho fundamental. Sobre el recurrente recae la carga de acreditar la indefensión sufrida, lo que supone que ha de demostrar la relación entre los hechos que se quiso y no se pudo probar y las pruebas inadmitidas o no practicadas; y, además, que ha de argumentar el modo en que la admisión y la práctica de la prueba objeto de la controversia habrían podido tener una incidencia favorable a la estimación de las pretensiones. Solo en tal caso —comprobado que el fallo del proceso </w:t>
      </w:r>
      <w:r w:rsidRPr="008D479B">
        <w:rPr>
          <w:i/>
        </w:rPr>
        <w:t>a quo</w:t>
      </w:r>
      <w:r>
        <w:t xml:space="preserve"> pudo, tal vez, haber sido otro si la prueba se hubiera practicado— podrá apreciarse también el menoscabo efectivo del derecho de quien por este motivo solicita el amparo constitucional (por todas, SSTC 247/2004, de 20 de diciembre, FJ 3; 23/2007, de 12 de febrero, FJ 6; 94/2007, de 7 de mayo, FJ 3; 185/2007, de 10 de septiembre, FJ 2; 240/2007, de 10 de diciembre, FJ 2, y 22/2008, de 31 de enero, FJ 2).</w:t>
      </w:r>
    </w:p>
    <w:p w14:paraId="0E451A95" w14:textId="77777777" w:rsidR="008D479B" w:rsidRDefault="008D479B" w:rsidP="008D479B">
      <w:pPr>
        <w:pStyle w:val="TextoNormal"/>
      </w:pPr>
    </w:p>
    <w:p w14:paraId="42F1A026" w14:textId="77777777" w:rsidR="008D479B" w:rsidRDefault="008D479B" w:rsidP="008D479B">
      <w:pPr>
        <w:pStyle w:val="TextoNormal"/>
      </w:pPr>
      <w:r>
        <w:t>Planteada la cuestión en estos términos, hemos de concluir, tal como hizo en su momento la Audiencia Provincial de Zaragoza, que, pese a que la tramitación del expediente de jurisdicción voluntaria por parte del juzgado de primera instancia no se ajustó en sus propios términos a lo previsto en la norma procesal aplicable —se introdujo un trámite de alegaciones escritas no contemplado por la Ley de la jurisdicción voluntaria y se omitió la celebración de la comparecencia prevista en su art. 85.1—, no se aprecia que dicha irregularidad procedimental colocara en una situación de indefensión a ninguna de las partes, más concretamente a la parte que hoy recurre en amparo. Así, si bien es cierto que no tuvo lugar la comparecencia, también lo es que la aquí demandante pudo explicar con amplitud su oposición a la solicitud del otro progenitor a través del trámite de alegaciones por escrito; y, además, propuso numerosa prueba documental que fue admitida y valorada en la resolución final del expediente, tal y como expone la fiscal en sus alegaciones. La única prueba de la que, de acuerdo con la demanda de amparo, no habría podido valerse fue su propio interrogatorio judicial. Prueba que en modo alguno puede calificarse como decisiva en términos de defensa —en el sentido que, de haberse practicado, la resolución final del proceso hubiese podido ser distinta— ya que su posición personal y argumental estaba claramente expresada en el escrito de oposición. De otro lado, el interrogatorio solo podría haber sido propuesto, en su caso, por la parte contraria, pero no por su propia representación procesal (art. 301 LEC); y, de haberse propuesto, solo habría llegado a practicarse en el supuesto de que la autoridad judicial lo hubiera considerado necesario y pertinente, lo que no parece ser el caso dado que esa misma autoridad judicial se dio por instruida a través de los escritos de alegaciones de las partes.</w:t>
      </w:r>
    </w:p>
    <w:p w14:paraId="01414E50" w14:textId="77777777" w:rsidR="008D479B" w:rsidRDefault="008D479B" w:rsidP="008D479B">
      <w:pPr>
        <w:pStyle w:val="TextoNormal"/>
      </w:pPr>
    </w:p>
    <w:p w14:paraId="7590AD06" w14:textId="77777777" w:rsidR="008D479B" w:rsidRDefault="008D479B" w:rsidP="008D479B">
      <w:pPr>
        <w:pStyle w:val="TextoNormal"/>
      </w:pPr>
      <w:r>
        <w:t>Por lo demás, en la demanda de amparo no existe argumentación alguna dirigida a justificar de qué manera y en qué medida el citado interrogatorio habría podido alterar el resultado final del pleito; tampoco identifica cuáles son las “otras pruebas” que hubiera pretendido proponer en la comparecencia al amparo del art. 17.3 de la Ley 15/2015, ni de qué modo su práctica habría podido tener influencia en la decisión final.</w:t>
      </w:r>
    </w:p>
    <w:p w14:paraId="2EB9FA14" w14:textId="77777777" w:rsidR="008D479B" w:rsidRDefault="008D479B" w:rsidP="008D479B">
      <w:pPr>
        <w:pStyle w:val="TextoNormal"/>
      </w:pPr>
    </w:p>
    <w:p w14:paraId="033C09D2" w14:textId="77777777" w:rsidR="008D479B" w:rsidRDefault="008D479B" w:rsidP="008D479B">
      <w:pPr>
        <w:pStyle w:val="TextoNormal"/>
      </w:pPr>
      <w:r>
        <w:t>Razones todas estas que nos llevan a concluir que la no celebración de la comparecencia prevista en el art. 85.1 de la Ley 15/2015 —como explica la fiscal— no supuso una merma del derecho de defensa de la demandante, quien tuvo ocasión, en su escrito de oposición, de desarrollar extensamente sus argumentos en contra de la vacunación de la menor, presentando toda la documentación que consideró pertinente, que fue admitida y valorada por los órganos judiciales.</w:t>
      </w:r>
    </w:p>
    <w:p w14:paraId="1EEC6386" w14:textId="77777777" w:rsidR="008D479B" w:rsidRDefault="008D479B" w:rsidP="008D479B">
      <w:pPr>
        <w:pStyle w:val="TextoNormal"/>
      </w:pPr>
    </w:p>
    <w:p w14:paraId="364D040A" w14:textId="7E8725C0" w:rsidR="008D479B" w:rsidRDefault="008D479B" w:rsidP="008D479B">
      <w:pPr>
        <w:pStyle w:val="TextoNormal"/>
      </w:pPr>
      <w:r>
        <w:t>En consecuencia, debe desestimarse la denunciada infracción de los derechos a la tutela judicial efectiva sin indefensión (art. 24.1 CE) y a un proceso con todas las garantías (art. 24.2 CE).</w:t>
      </w:r>
    </w:p>
    <w:p w14:paraId="65008C49" w14:textId="77777777" w:rsidR="008D479B" w:rsidRDefault="008D479B" w:rsidP="008D479B">
      <w:pPr>
        <w:pStyle w:val="TextoNormal"/>
      </w:pPr>
    </w:p>
    <w:p w14:paraId="1462D0E0" w14:textId="77777777" w:rsidR="008D479B" w:rsidRDefault="008D479B" w:rsidP="008D479B">
      <w:pPr>
        <w:pStyle w:val="TextoNormal"/>
      </w:pPr>
      <w:r w:rsidRPr="008D479B">
        <w:rPr>
          <w:rStyle w:val="NumeroAFNegritaCaracter"/>
        </w:rPr>
        <w:t>4</w:t>
      </w:r>
      <w:r>
        <w:t xml:space="preserve">. </w:t>
      </w:r>
      <w:r w:rsidRPr="008D479B">
        <w:rPr>
          <w:i/>
        </w:rPr>
        <w:t>El derecho a la integridad física y moral en los supuestos de administración de vacunas contra la covid-19 (art. 15 CE</w:t>
      </w:r>
      <w:r>
        <w:t>)</w:t>
      </w:r>
    </w:p>
    <w:p w14:paraId="7F1C96A6" w14:textId="77777777" w:rsidR="008D479B" w:rsidRDefault="008D479B" w:rsidP="008D479B">
      <w:pPr>
        <w:pStyle w:val="TextoNormal"/>
      </w:pPr>
    </w:p>
    <w:p w14:paraId="0E3D3DBD" w14:textId="77777777" w:rsidR="008D479B" w:rsidRDefault="008D479B" w:rsidP="008D479B">
      <w:pPr>
        <w:pStyle w:val="TextoNormal"/>
      </w:pPr>
      <w:r>
        <w:t>La demanda de amparo afirma que se ha producido una vulneración del derecho fundamental a la integridad física y moral de la hija de la demandante, A.M.P., nacida el 5 de enero de 2011, porque los órganos judiciales autorizaron su vacunación contra la covid-19 sin haber obtenido previamente el consentimiento informado de los progenitores y de la propia menor, por escrito y con todas las garantías exigidas por la Ley 41/2002, de 14 de noviembre, básica reguladora de la autonomía del paciente y de derechos y obligaciones en materia de información y documentación clínica; y, en segundo lugar, porque los órganos judiciales no han justificado la necesidad de la vacuna, ni los beneficios directos que habría de reportar a la menor en el sentido expresado por el art. 6.1 del Convenio de Oviedo.</w:t>
      </w:r>
    </w:p>
    <w:p w14:paraId="7A707B8D" w14:textId="77777777" w:rsidR="008D479B" w:rsidRDefault="008D479B" w:rsidP="008D479B">
      <w:pPr>
        <w:pStyle w:val="TextoNormal"/>
      </w:pPr>
    </w:p>
    <w:p w14:paraId="117C357C" w14:textId="77777777" w:rsidR="008D479B" w:rsidRDefault="008D479B" w:rsidP="008D479B">
      <w:pPr>
        <w:pStyle w:val="TextoNormal"/>
      </w:pPr>
      <w:r>
        <w:t>En el presente fundamento se abordarán, en primer lugar, la doctrina general de este tribunal sobre el derecho fundamental a la integridad física y moral (art. 15 CE), con énfasis en la centralidad del consentimiento en el ámbito sanitario, y la inserción de la vacunación, como hipótesis particular de acto médico o sanitario, en dicha doctrina general. Seguidamente se analizará el canon de control de constitucionalidad aplicable a la vacunación de personas menores de edad.</w:t>
      </w:r>
    </w:p>
    <w:p w14:paraId="142AD2F8" w14:textId="77777777" w:rsidR="008D479B" w:rsidRDefault="008D479B" w:rsidP="008D479B">
      <w:pPr>
        <w:pStyle w:val="TextoNormal"/>
      </w:pPr>
    </w:p>
    <w:p w14:paraId="0388DFC9" w14:textId="77777777" w:rsidR="008D479B" w:rsidRDefault="008D479B" w:rsidP="008D479B">
      <w:pPr>
        <w:pStyle w:val="TextoNormal"/>
      </w:pPr>
      <w:r>
        <w:t>A) Evolución de la doctrina constitucional</w:t>
      </w:r>
    </w:p>
    <w:p w14:paraId="07450E36" w14:textId="77777777" w:rsidR="008D479B" w:rsidRDefault="008D479B" w:rsidP="008D479B">
      <w:pPr>
        <w:pStyle w:val="TextoNormal"/>
      </w:pPr>
    </w:p>
    <w:p w14:paraId="73734E68" w14:textId="77777777" w:rsidR="008D479B" w:rsidRDefault="008D479B" w:rsidP="008D479B">
      <w:pPr>
        <w:pStyle w:val="TextoNormal"/>
      </w:pPr>
      <w:r>
        <w:t>Desde un primer momento, este tribunal ha reconocido que el derecho fundamental a la integridad personal, en su vertiente de derecho a la integridad física, tiene una primera dimensión protectora como derecho de la persona a su “incolumidad corporal” (STC 207/1996, de 16 de diciembre, FJ 2). Desde esta perspectiva, el art. 15 CE “protege la inviolabilidad de la persona, no solo contra ataques dirigidos a lesionar su cuerpo o espíritu, sino también contra toda clase de intervención en esos bienes que carezca del consentimiento de su titular” (por todas, SSTC 120/1990, de 27 de junio, FJ 8, y 207/1996, de 16 de diciembre, FJ 2).</w:t>
      </w:r>
    </w:p>
    <w:p w14:paraId="2B580E4B" w14:textId="77777777" w:rsidR="008D479B" w:rsidRDefault="008D479B" w:rsidP="008D479B">
      <w:pPr>
        <w:pStyle w:val="TextoNormal"/>
      </w:pPr>
    </w:p>
    <w:p w14:paraId="71AA8641" w14:textId="77777777" w:rsidR="008D479B" w:rsidRDefault="008D479B" w:rsidP="008D479B">
      <w:pPr>
        <w:pStyle w:val="TextoNormal"/>
      </w:pPr>
      <w:r>
        <w:t>En resoluciones posteriores el Tribunal ha profundizado en esta idea afirmando que, para entender lesionado el derecho, no es preciso que la lesión se haya consumado, sino que basta con que exista un riesgo relevante de que la lesión pueda producirse; en este sentido, entre otras, SSTC 221/2002, de 25 de noviembre, FJ 4; 220/2005, de 12 de septiembre, FJ 4; 62/2007, de 27 de marzo, FJ 3, y 160/2007, de 2 de julio, FJ 2).</w:t>
      </w:r>
    </w:p>
    <w:p w14:paraId="6CD2EAC3" w14:textId="77777777" w:rsidR="008D479B" w:rsidRDefault="008D479B" w:rsidP="008D479B">
      <w:pPr>
        <w:pStyle w:val="TextoNormal"/>
      </w:pPr>
    </w:p>
    <w:p w14:paraId="7E05766B" w14:textId="77777777" w:rsidR="008D479B" w:rsidRDefault="008D479B" w:rsidP="008D479B">
      <w:pPr>
        <w:pStyle w:val="TextoNormal"/>
      </w:pPr>
      <w:r>
        <w:t>Nuestra doctrina ha avanzado también en la dimensión positiva del contenido y ámbito de protección constitucional del derecho a la integridad personal, interpretando el art. 15 CE en conexión con la libertad como valor superior del ordenamiento jurídico (art. 1.1 CE), con la dignidad de la persona y el libre desarrollo de su personalidad (art. 10.1 CE), y desde la perspectiva más amplia de la autodeterminación sobre el propio sustrato corporal. En la STC 37/2011, de 28 de marzo, FJ 3, afirmamos que el derecho fundamental reconocido en el art. 15 CE “conlleva una facultad negativa, que implica la imposición de un deber de abstención de actuaciones médicas salvo que se encuentren constitucionalmente justificadas, y, asimismo, una facultad de oposición a la asistencia médica, en ejercicio de un derecho de autodeterminación que tiene por objeto el propio sustrato corporal, como distinto del derecho a la salud o a la vida”. Más recientemente, en la STC 19/2023, de 22 de marzo, FJ 6, hemos declarado que este derecho fundamental protege la esencia de la persona como sujeto con capacidad de decisión libre y voluntaria, resultando vulnerado cuando se mediatiza o instrumentaliza al individuo, olvidando que toda persona es un fin en sí mismo. Esta misma concepción del derecho fundamental se ha reiterado en la STC 44/2023, de 9 de mayo, FJ 3.</w:t>
      </w:r>
    </w:p>
    <w:p w14:paraId="496AA970" w14:textId="77777777" w:rsidR="008D479B" w:rsidRDefault="008D479B" w:rsidP="008D479B">
      <w:pPr>
        <w:pStyle w:val="TextoNormal"/>
      </w:pPr>
    </w:p>
    <w:p w14:paraId="68E3C003" w14:textId="77777777" w:rsidR="008D479B" w:rsidRDefault="008D479B" w:rsidP="008D479B">
      <w:pPr>
        <w:pStyle w:val="TextoNormal"/>
      </w:pPr>
      <w:r>
        <w:t>La dimensión positiva de la integridad personal refuerza la importancia del consentimiento informado en el ámbito sanitario. En tal sentido, en la ya citada STC 37/2011, FJ 5, señalamos que “el consentimiento del paciente a cualquier intervención sobre su persona es algo inherente, entre otros, a su derecho fundamental a la integridad física, a la facultad que este supone de impedir toda intervención no consentida sobre el propio cuerpo, que no puede verse limitada de manera injustificada como consecuencia de una situación de enfermedad. Se trata de una facultad de autodeterminación que legitima al paciente, en uso de su autonomía de la voluntad, para decidir libremente sobre las medidas terapéuticas y tratamientos que puedan afectar a su integridad, escogiendo entre las distintas posibilidades, consintiendo su práctica o rechazándolas”. Destacamos también entonces que “para que esa facultad de consentir, de decidir sobre los actos médicos que afectan al sujeto pueda ejercerse con plena libertad, es imprescindible que el paciente cuente con la información médica adecuada sobre las medidas terapéuticas, pues solo si dispone de dicha información podrá prestar libremente su consentimiento, eligiendo entre las opciones que se le presenten, o decidir, también con plena libertad, no autorizar los tratamientos o las intervenciones que se le propongan por los facultativos” [en el mismo sentido, la STC 19/2023, FJ 6 C) d) (i)].</w:t>
      </w:r>
    </w:p>
    <w:p w14:paraId="2A62BB2A" w14:textId="77777777" w:rsidR="008D479B" w:rsidRDefault="008D479B" w:rsidP="008D479B">
      <w:pPr>
        <w:pStyle w:val="TextoNormal"/>
      </w:pPr>
    </w:p>
    <w:p w14:paraId="3EFE6798" w14:textId="77777777" w:rsidR="008D479B" w:rsidRDefault="008D479B" w:rsidP="008D479B">
      <w:pPr>
        <w:pStyle w:val="TextoNormal"/>
      </w:pPr>
      <w:r>
        <w:t>Esta doctrina constitucional es trasladable al supuesto de administración de una vacuna; y así lo afirmamos en la STC 38/2023, de 20 de abril, FJ 4 b), primera en que el Tribunal examina la incidencia de la vacunación sobre el derecho fundamental a la integridad física, si bien referido a una persona con discapacidad. La vacunación constituye un acto sanitario que consiste en la inoculación de un “preparado” de productos biológicos en el cuerpo humano a efectos de provocar una respuesta inmunitaria, por lo que su administración entra, con claridad, dentro de las facultades de autodeterminación garantizadas por el derecho a la integridad personal del art. 15 CE. Se trata, asimismo, de una actuación que puede producir efectos secundarios adversos (no deseados), aunque sean estadísticamente minoritarios, lo que determina, asimismo, un riesgo potencial para la salud, circunstancia que conduce, igualmente, al ámbito de protección que otorga este derecho fundamental.</w:t>
      </w:r>
    </w:p>
    <w:p w14:paraId="63A1B6BF" w14:textId="77777777" w:rsidR="008D479B" w:rsidRDefault="008D479B" w:rsidP="008D479B">
      <w:pPr>
        <w:pStyle w:val="TextoNormal"/>
      </w:pPr>
    </w:p>
    <w:p w14:paraId="0AC562FA" w14:textId="77777777" w:rsidR="008D479B" w:rsidRDefault="008D479B" w:rsidP="008D479B">
      <w:pPr>
        <w:pStyle w:val="TextoNormal"/>
      </w:pPr>
      <w:r>
        <w:t>B) Canon de constitucionalidad aplicable a la vacunación de personas menores de edad</w:t>
      </w:r>
    </w:p>
    <w:p w14:paraId="397459B5" w14:textId="77777777" w:rsidR="008D479B" w:rsidRDefault="008D479B" w:rsidP="008D479B">
      <w:pPr>
        <w:pStyle w:val="TextoNormal"/>
      </w:pPr>
    </w:p>
    <w:p w14:paraId="61EEDD68" w14:textId="77777777" w:rsidR="008D479B" w:rsidRDefault="008D479B" w:rsidP="008D479B">
      <w:pPr>
        <w:pStyle w:val="TextoNormal"/>
      </w:pPr>
      <w:r>
        <w:t>La administración de una vacuna, en cuanto medida injerente en el derecho fundamental a la integridad personal, requerirá para su constitucionalidad del consentimiento libre, válido e informado de la persona afectada. Cuando falte ese consentimiento o no pueda obtenerse por el motivo que sea, la constitucionalidad de la administración de la vacuna queda supeditada al cumplimiento de los requisitos generales que, de acuerdo con nuestra doctrina, rigen la restricción de los derechos fundamentales sustantivos: (i) que la medida o actuación limitativa del derecho fundamental de que se trate esté prevista por la ley (habilitación legal), con la debida calidad normativa en la definición del supuesto de hecho y de sus consecuencias; (ii) que sea autorizada por resolución judicial que contenga una motivación reforzada relativa a la legitimidad constitucional de la medida autorizada; (iii) que esté dirigida al cumplimiento de un fin constitucionalmente legítimo; y (iv) que respete el principio de proporcionalidad, por derivarse de ella más beneficios o ventajas que perjuicios sobre otros bienes o valores en conflicto [SSTC 207/1996, de 16 de diciembre, y 217/2015, de 22 de octubre; en particular para el derecho a la integridad física, entre otras, SSTC 120/1990, de 27 de junio, FJ 8; 7/1994, de 17 de enero, FJ 3 B), y 35/1996, de 11 de marzo, FJ 2].</w:t>
      </w:r>
    </w:p>
    <w:p w14:paraId="504AFF0B" w14:textId="77777777" w:rsidR="008D479B" w:rsidRDefault="008D479B" w:rsidP="008D479B">
      <w:pPr>
        <w:pStyle w:val="TextoNormal"/>
      </w:pPr>
    </w:p>
    <w:p w14:paraId="3EF7AE5B" w14:textId="77777777" w:rsidR="008D479B" w:rsidRDefault="008D479B" w:rsidP="008D479B">
      <w:pPr>
        <w:pStyle w:val="TextoNormal"/>
      </w:pPr>
      <w:r>
        <w:t>a) Habilitación legal</w:t>
      </w:r>
    </w:p>
    <w:p w14:paraId="007D0F39" w14:textId="77777777" w:rsidR="008D479B" w:rsidRDefault="008D479B" w:rsidP="008D479B">
      <w:pPr>
        <w:pStyle w:val="TextoNormal"/>
      </w:pPr>
    </w:p>
    <w:p w14:paraId="19041DCE" w14:textId="77777777" w:rsidR="008D479B" w:rsidRDefault="008D479B" w:rsidP="008D479B">
      <w:pPr>
        <w:pStyle w:val="TextoNormal"/>
      </w:pPr>
      <w:r>
        <w:t>La habilitación legal para esta medida injerente en la integridad física de la persona se encuentra en la Ley 41/2002 que, en coherencia con la finalidad protectora de la capacidad decisoria del paciente, parte de la centralidad del consentimiento informado y trata de afrontar la eventualidad de un contexto de imposible prestación de un consentimiento válido. Dentro de este eventual contexto y para el supuesto de personas menores de edad, el art. 9, apartado 3, letra c) de la Ley 41/2002 articula la fórmula del “consentimiento por representación”, que se atribuye a los representantes legales de la persona menor, siempre y cuando esta “no sea capaz intelectual ni emocionalmente de comprender el alcance de la intervención” y después de haber escuchado su opinión con arreglo a lo dispuesto en el art. 9 de la Ley Orgánica 1/1996, de 15 de enero, de protección jurídica del menor, (en adelante, Ley Orgánica 1/1996).</w:t>
      </w:r>
    </w:p>
    <w:p w14:paraId="45B7B5A5" w14:textId="77777777" w:rsidR="008D479B" w:rsidRDefault="008D479B" w:rsidP="008D479B">
      <w:pPr>
        <w:pStyle w:val="TextoNormal"/>
      </w:pPr>
    </w:p>
    <w:p w14:paraId="5AF242CF" w14:textId="77777777" w:rsidR="008D479B" w:rsidRDefault="008D479B" w:rsidP="008D479B">
      <w:pPr>
        <w:pStyle w:val="TextoNormal"/>
      </w:pPr>
      <w:r>
        <w:t>En el régimen general de representación de personas menores de edad recogido en el Código civil (CC), se atribuye el ejercicio de dicha representación legal a los progenitores, que la ejercerán de manera conjunta como regla general (arts. 154 y 156 CC) salvo defecto, ausencia o imposibilidad de uno de ellos, en cuyo caso la representación legal, como parte de las facultades que integran la patria potestad, será ejercida exclusivamente por el otro. Los desacuerdos entre los progenitores en el ejercicio de la facultad de representación de sus hijos e hijas menores de edad habrán de resolverse por la autoridad judicial (art. 156 CC) a través del expediente de jurisdicción voluntaria específicamente regulado por los arts. 85 y 86 de la Ley 15/2015 y en aras del interés superior del menor.</w:t>
      </w:r>
    </w:p>
    <w:p w14:paraId="00BA0745" w14:textId="77777777" w:rsidR="008D479B" w:rsidRDefault="008D479B" w:rsidP="008D479B">
      <w:pPr>
        <w:pStyle w:val="TextoNormal"/>
      </w:pPr>
    </w:p>
    <w:p w14:paraId="42933DFE" w14:textId="77777777" w:rsidR="008D479B" w:rsidRDefault="008D479B" w:rsidP="008D479B">
      <w:pPr>
        <w:pStyle w:val="TextoNormal"/>
      </w:pPr>
      <w:r>
        <w:t>En el mismo sentido, el Código del Derecho foral de Aragón —aplicable al presente caso dado que tanto la menor como sus progenitores tienen su residencia habitual en dicha comunidad autónoma—, dispone que “[l]a representación legal del que no ha cumplido los catorce años incumbe a los titulares de la autoridad familiar, en cuanto ostenten su ejercicio, y, en su defecto, al tutor” (art. 12.1). La autoridad familiar corresponde a ambos padres, que la ejercen conjuntamente como regla general (art. 63.1). En caso de divergencia entre los progenitores en el ejercicio de esa autoridad familiar, cualquiera de ellos podrá acudir a la autoridad judicial para que “resuelva de plano lo más favorable al interés del hijo” (art. 74.1).</w:t>
      </w:r>
    </w:p>
    <w:p w14:paraId="08FB652F" w14:textId="77777777" w:rsidR="008D479B" w:rsidRDefault="008D479B" w:rsidP="008D479B">
      <w:pPr>
        <w:pStyle w:val="TextoNormal"/>
      </w:pPr>
    </w:p>
    <w:p w14:paraId="61726606" w14:textId="77777777" w:rsidR="008D479B" w:rsidRDefault="008D479B" w:rsidP="008D479B">
      <w:pPr>
        <w:pStyle w:val="TextoNormal"/>
      </w:pPr>
      <w:r>
        <w:t>b) Presupuestos del consentimiento por representación ante actuaciones sanitarias</w:t>
      </w:r>
    </w:p>
    <w:p w14:paraId="0C394128" w14:textId="77777777" w:rsidR="008D479B" w:rsidRDefault="008D479B" w:rsidP="008D479B">
      <w:pPr>
        <w:pStyle w:val="TextoNormal"/>
      </w:pPr>
    </w:p>
    <w:p w14:paraId="1C3DD5AC" w14:textId="77777777" w:rsidR="008D479B" w:rsidRDefault="008D479B" w:rsidP="008D479B">
      <w:pPr>
        <w:pStyle w:val="TextoNormal"/>
      </w:pPr>
      <w:r>
        <w:t xml:space="preserve">El art. 9.3, letra c) de la Ley 41/2002 parte de la premisa de que la minoría de edad no implica </w:t>
      </w:r>
      <w:r w:rsidRPr="008D479B">
        <w:rPr>
          <w:i/>
        </w:rPr>
        <w:t>per se</w:t>
      </w:r>
      <w:r>
        <w:t xml:space="preserve"> la falta de capacidad para la prestación del consentimiento informado, ni autoriza el recurso automático al consentimiento por representación —otorgado por los representantes legales de la persona menor o, en caso de desacuerdo, por la autoridad judicial—. Para que el consentimiento dado por representación quede dentro de la cobertura de la norma habilitante, es preciso que la persona menor de edad carezca de la capacidad intelectual o emocional necesarias para comprender el alcance de la intervención. En el mismo sentido, el art. 2.1 de la Ley Orgánica 1/1996, de 15 de enero, de protección jurídica del menor, dispone en su segundo párrafo que “[l]as limitaciones a la capacidad de obrar de los menores se interpretarán de forma restrictiva y, en todo caso, siempre en el interés superior del menor”.</w:t>
      </w:r>
    </w:p>
    <w:p w14:paraId="70BA49D0" w14:textId="77777777" w:rsidR="008D479B" w:rsidRDefault="008D479B" w:rsidP="008D479B">
      <w:pPr>
        <w:pStyle w:val="TextoNormal"/>
      </w:pPr>
    </w:p>
    <w:p w14:paraId="2BE4CC4C" w14:textId="77777777" w:rsidR="008D479B" w:rsidRDefault="008D479B" w:rsidP="008D479B">
      <w:pPr>
        <w:pStyle w:val="TextoNormal"/>
      </w:pPr>
      <w:r>
        <w:t>Este tribunal ha tenido ocasión de pronunciarse acerca de la materia que nos ocupa en la STC 154/2002, de 18 de julio, FJ 10, en la que afirmamos que “el ordenamiento jurídico concede relevancia a determinados actos o situaciones jurídicas del menor de edad. […] Así, los actos relativos a los derechos de la personalidad (entre los que se halla precisamente el de integridad física), de los que queda excluida la facultad de representación legal que tienen los padres en cuanto titulares de la patria potestad, según explícitamente proclama el art. 162.1 del Código civil”.</w:t>
      </w:r>
    </w:p>
    <w:p w14:paraId="218DBEB3" w14:textId="77777777" w:rsidR="008D479B" w:rsidRDefault="008D479B" w:rsidP="008D479B">
      <w:pPr>
        <w:pStyle w:val="TextoNormal"/>
      </w:pPr>
    </w:p>
    <w:p w14:paraId="462E979C" w14:textId="77777777" w:rsidR="008D479B" w:rsidRDefault="008D479B" w:rsidP="008D479B">
      <w:pPr>
        <w:pStyle w:val="TextoNormal"/>
      </w:pPr>
      <w:r>
        <w:t>Partiendo de esta premisa, en aquella resolución ya precisamos que: (i) el reconocimiento excepcional de la capacidad del menor respecto de determinados actos jurídicos, como son los que afectan a su integridad física, no es de suyo suficiente para, por vía de equiparación, reconocer en todo caso eficacia jurídica a los actos —o decisiones— del menor; (ii) la exclusión de la representación legal en tales casos debe entenderse siempre sin perjuicio del deber de los progenitores de velar y cuidar del menor y salvaguardar su interés superior, obligaciones que no desaparecen por el hecho de que se reconozca a la persona menor cierto grado de autodeterminación; (iii) la validez y eficacia de las decisiones adoptadas por una persona menor de edad en ejercicio de su derecho a la integridad física habrán de determinarse teniendo siempre en cuenta la prevalencia de su interés superior, que ha de ser siempre tutelado por los padres y, en su caso, por los órganos judiciales, poniendo dicho interés en relación con los efectos previsibles de tales decisiones y su eventual permanencia o irreparabilidad.</w:t>
      </w:r>
    </w:p>
    <w:p w14:paraId="0103739F" w14:textId="77777777" w:rsidR="008D479B" w:rsidRDefault="008D479B" w:rsidP="008D479B">
      <w:pPr>
        <w:pStyle w:val="TextoNormal"/>
      </w:pPr>
    </w:p>
    <w:p w14:paraId="34E1EDC5" w14:textId="77777777" w:rsidR="008D479B" w:rsidRDefault="008D479B" w:rsidP="008D479B">
      <w:pPr>
        <w:pStyle w:val="TextoNormal"/>
      </w:pPr>
      <w:r>
        <w:t>En definitiva, la capacidad general de autodeterminación de las personas que todavía no hayan alcanzado la mayoría de edad en relación con las actuaciones médicas que les afectan encuentra su límite en la protección de su interés superior, que se impone como obligación a los progenitores, en cuanto titulares de la patria potestad o autoridad familiar, y a todos los poderes públicos, incluida la autoridad judicial. A todos ellos corresponde garantizar que la decisión final relativa a la actuación médica en cuestión no trae consigo una quiebra relevante, persistente y/o irreparable de dicho interés superior.</w:t>
      </w:r>
    </w:p>
    <w:p w14:paraId="66AF4E32" w14:textId="77777777" w:rsidR="008D479B" w:rsidRDefault="008D479B" w:rsidP="008D479B">
      <w:pPr>
        <w:pStyle w:val="TextoNormal"/>
      </w:pPr>
    </w:p>
    <w:p w14:paraId="4D7D8C93" w14:textId="77777777" w:rsidR="008D479B" w:rsidRDefault="008D479B" w:rsidP="008D479B">
      <w:pPr>
        <w:pStyle w:val="TextoNormal"/>
      </w:pPr>
      <w:r>
        <w:t>Por otra parte, el art. 9.3, letra c) de la Ley 41/2002 exige que, con carácter previo a la prestación del consentimiento por los representantes legales, se escuche la opinión de la persona menor concernida, con arreglo a lo dispuesto en el art. 9 de la Ley Orgánica 1/1996. Este precepto viene a desarrollar el derecho de las personas menores de edad a ser oídas y escuchadas en cualquier procedimiento administrativo, judicial o de mediación en que estén afectadas, así como el derecho a que su opinión sea tenida en cuenta en función de su edad y madurez, madurez que habrá de ser valorada por personal especializado, considerándose que en todo caso tienen madurez suficiente quienes hubieren cumplido los doce años (art. 9.2 de la Ley Orgánica 1/1996).</w:t>
      </w:r>
    </w:p>
    <w:p w14:paraId="2144A315" w14:textId="77777777" w:rsidR="008D479B" w:rsidRDefault="008D479B" w:rsidP="008D479B">
      <w:pPr>
        <w:pStyle w:val="TextoNormal"/>
      </w:pPr>
    </w:p>
    <w:p w14:paraId="6748D809" w14:textId="77777777" w:rsidR="008D479B" w:rsidRDefault="008D479B" w:rsidP="008D479B">
      <w:pPr>
        <w:pStyle w:val="TextoNormal"/>
      </w:pPr>
      <w:r>
        <w:t>Ahora bien, la obligación de dar audiencia a la persona menor de edad encuentra también su límite en la salvaguarda de su interés superior, de suerte que los órganos administrativos y/o judiciales podrán denegar dicha audiencia siempre y cuando motiven esta decisión en razones vinculadas a la tutela de dicho interés superior (art. 9.3 de la Ley Orgánica 1/1996)</w:t>
      </w:r>
    </w:p>
    <w:p w14:paraId="13389A0D" w14:textId="77777777" w:rsidR="008D479B" w:rsidRDefault="008D479B" w:rsidP="008D479B">
      <w:pPr>
        <w:pStyle w:val="TextoNormal"/>
      </w:pPr>
    </w:p>
    <w:p w14:paraId="672180AD" w14:textId="77777777" w:rsidR="008D479B" w:rsidRDefault="008D479B" w:rsidP="008D479B">
      <w:pPr>
        <w:pStyle w:val="TextoNormal"/>
      </w:pPr>
      <w:r>
        <w:t>c) Obligación de los representantes legales de actuar en función del interés superior del menor</w:t>
      </w:r>
    </w:p>
    <w:p w14:paraId="6F7713B5" w14:textId="77777777" w:rsidR="008D479B" w:rsidRDefault="008D479B" w:rsidP="008D479B">
      <w:pPr>
        <w:pStyle w:val="TextoNormal"/>
      </w:pPr>
    </w:p>
    <w:p w14:paraId="73171B39" w14:textId="77777777" w:rsidR="008D479B" w:rsidRDefault="008D479B" w:rsidP="008D479B">
      <w:pPr>
        <w:pStyle w:val="TextoNormal"/>
      </w:pPr>
      <w:r>
        <w:t>En el momento de prestar el consentimiento por representación a que se refiere el art. 9.3, letra c) de la Ley 41/2002, los representantes legales no gozan de libertad para decidir lo que consideren conveniente según su propio criterio, sino que vienen directamente vinculados por la obligación de actuar en interés de la persona menor de edad, de acuerdo con su personalidad y con respeto a sus derechos y a su integridad física y mental (art. 154 CC).</w:t>
      </w:r>
    </w:p>
    <w:p w14:paraId="33C3464A" w14:textId="77777777" w:rsidR="008D479B" w:rsidRDefault="008D479B" w:rsidP="008D479B">
      <w:pPr>
        <w:pStyle w:val="TextoNormal"/>
      </w:pPr>
    </w:p>
    <w:p w14:paraId="64D1E883" w14:textId="77777777" w:rsidR="008D479B" w:rsidRDefault="008D479B" w:rsidP="008D479B">
      <w:pPr>
        <w:pStyle w:val="TextoNormal"/>
      </w:pPr>
      <w:r>
        <w:t xml:space="preserve">Entra así en juego el estatuto de protección de las personas menores de edad que, de acuerdo con una reiterada doctrina de este tribunal, excede del ámbito estrictamente privado para tener una consideración más cercana a las normas de orden público, o </w:t>
      </w:r>
      <w:r w:rsidRPr="008D479B">
        <w:rPr>
          <w:i/>
        </w:rPr>
        <w:t>ius cogens</w:t>
      </w:r>
      <w:r>
        <w:t xml:space="preserve"> [SSTC 141/2000, de 29 de mayo, FJ 5; 185/2012, de 17 de octubre, FJ 4, y 106/2022, de 13 de septiembre, FJ 2 B)].</w:t>
      </w:r>
    </w:p>
    <w:p w14:paraId="02B03436" w14:textId="77777777" w:rsidR="008D479B" w:rsidRDefault="008D479B" w:rsidP="008D479B">
      <w:pPr>
        <w:pStyle w:val="TextoNormal"/>
      </w:pPr>
    </w:p>
    <w:p w14:paraId="42C10C5E" w14:textId="77777777" w:rsidR="008D479B" w:rsidRDefault="008D479B" w:rsidP="008D479B">
      <w:pPr>
        <w:pStyle w:val="TextoNormal"/>
      </w:pPr>
      <w:r>
        <w:t>Este marco de protección se encuentra presidido por el art. 39 de nuestra Constitución, que en su apartado 3 dispone que “[l]os padres deben prestar asistencia de todo orden a los hijos habidos dentro o fuera del matrimonio, durante su minoría de edad y en los demás casos en que legalmente proceda”; y en su apartado 4 añade, en consonancia con lo establecido en el art. 10.1 CE, que “[l]os niños gozarán de la protección prevista en los acuerdos internacionales que velan por sus derechos”.</w:t>
      </w:r>
    </w:p>
    <w:p w14:paraId="57FACE09" w14:textId="77777777" w:rsidR="008D479B" w:rsidRDefault="008D479B" w:rsidP="008D479B">
      <w:pPr>
        <w:pStyle w:val="TextoNormal"/>
      </w:pPr>
    </w:p>
    <w:p w14:paraId="22D0E10F" w14:textId="77777777" w:rsidR="008D479B" w:rsidRDefault="008D479B" w:rsidP="008D479B">
      <w:pPr>
        <w:pStyle w:val="TextoNormal"/>
      </w:pPr>
      <w:r>
        <w:t>Entre estos acuerdos destaca la Convención sobre los derechos del niño, adoptada por la Asamblea General de las Naciones Unidas el 20 de noviembre de 1989 y ratificada por el Estado español el 30 de noviembre de 1990, que ha encontrado desarrollo normativo específico dentro de nuestro ordenamiento jurídico en diversas leyes, entre las que destaca la Ley Orgánica de protección jurídica del menor, reformada por la Ley Orgánica 8/2015, de 22 de julio, de modificación del sistema de protección a la infancia y a la adolescencia, cuyo art. 2.1 dispone que “[t]odo menor tiene derecho a que su interés superior sea valorado y considerado como primordial en todas las acciones y decisiones que le conciernan, tanto en el ámbito público como privado”.</w:t>
      </w:r>
    </w:p>
    <w:p w14:paraId="12F2A569" w14:textId="77777777" w:rsidR="008D479B" w:rsidRDefault="008D479B" w:rsidP="008D479B">
      <w:pPr>
        <w:pStyle w:val="TextoNormal"/>
      </w:pPr>
    </w:p>
    <w:p w14:paraId="5AE9C2B4" w14:textId="77777777" w:rsidR="008D479B" w:rsidRDefault="008D479B" w:rsidP="008D479B">
      <w:pPr>
        <w:pStyle w:val="TextoNormal"/>
      </w:pPr>
      <w:r>
        <w:t>Son muy numerosos los pronunciamientos de este tribunal acerca de la necesaria observancia del mandato dirigido a los poderes públicos en el art. 39 CE (SSTC 141/2000, FJ 5, y 178/2020, de 14 de diciembre, FJ 3). Hemos insistido, así, en que el interés superior del menor es la consideración primordial a la que deben atender todas las medidas concernientes a los menores que tomen las instituciones públicas o privadas de bienestar social, los tribunales, las autoridades administrativas o los órganos legislativos; y en que, en caso de que no puedan respetarse todos los intereses legítimos concurrentes, deberá primar el interés superior del menor sobre cualquier otro interés legítimo que pudiera concurrir (STC 64/2019, de 9 de mayo, FJ 4, por todas).</w:t>
      </w:r>
    </w:p>
    <w:p w14:paraId="18CA01C1" w14:textId="77777777" w:rsidR="008D479B" w:rsidRDefault="008D479B" w:rsidP="008D479B">
      <w:pPr>
        <w:pStyle w:val="TextoNormal"/>
      </w:pPr>
    </w:p>
    <w:p w14:paraId="129E2036" w14:textId="77777777" w:rsidR="008D479B" w:rsidRDefault="008D479B" w:rsidP="008D479B">
      <w:pPr>
        <w:pStyle w:val="TextoNormal"/>
      </w:pPr>
      <w:r>
        <w:t>Por otra parte, cuál sea en cada caso el interés superior del menor tampoco puede determinarse de manera libre por los representantes legales y según su propio criterio, sino tomando en consideración los criterios legalmente establecidos en el art. 2 de la Ley Orgánica 1/1996 con carácter general, y en las leyes especiales que regulen de manera específica la materia a que se refiera la decisión; en concreto y en el caso que nos ocupa, los apartados 6 y 7 del artículo 9 de la Ley 41/2002.</w:t>
      </w:r>
    </w:p>
    <w:p w14:paraId="4641C9F7" w14:textId="77777777" w:rsidR="008D479B" w:rsidRDefault="008D479B" w:rsidP="008D479B">
      <w:pPr>
        <w:pStyle w:val="TextoNormal"/>
      </w:pPr>
    </w:p>
    <w:p w14:paraId="23D2859B" w14:textId="7B943C7C" w:rsidR="008D479B" w:rsidRDefault="008D479B" w:rsidP="008D479B">
      <w:pPr>
        <w:pStyle w:val="TextoNormal"/>
      </w:pPr>
      <w:r>
        <w:t>De este modo, la decisión de los representantes legales relativa al otorgamiento o no del consentimiento informado por representación deberá atender a “[l]a protección del derecho a la vida, supervivencia y desarrollo del menor y la satisfacción de sus necesidades básicas, tanto materiales, físicas y educativas como emocionales y afectivas” [art. 2.2, letra a) de la Ley Orgánica 1/1996] y buscar el mayor beneficio para la vida o salud del paciente que no ha adquirido la mayoría de edad, teniendo en cuenta las circunstancias concurrentes y las necesidades del menor que han de ser atendidas (art. 9, apartados 6 y 7 de la Ley 41/2002).</w:t>
      </w:r>
    </w:p>
    <w:p w14:paraId="61A482B0" w14:textId="77777777" w:rsidR="008D479B" w:rsidRDefault="008D479B" w:rsidP="008D479B">
      <w:pPr>
        <w:pStyle w:val="TextoNormal"/>
      </w:pPr>
    </w:p>
    <w:p w14:paraId="05058EEF" w14:textId="77777777" w:rsidR="008D479B" w:rsidRDefault="008D479B" w:rsidP="008D479B">
      <w:pPr>
        <w:pStyle w:val="TextoNormal"/>
      </w:pPr>
      <w:r w:rsidRPr="008D479B">
        <w:rPr>
          <w:rStyle w:val="NumeroAFNegritaCaracter"/>
        </w:rPr>
        <w:t>5</w:t>
      </w:r>
      <w:r>
        <w:t xml:space="preserve">. </w:t>
      </w:r>
      <w:r w:rsidRPr="008D479B">
        <w:rPr>
          <w:i/>
        </w:rPr>
        <w:t>Aplicación al caso de la doctrina constitucional expuesta</w:t>
      </w:r>
    </w:p>
    <w:p w14:paraId="2AB6E257" w14:textId="77777777" w:rsidR="008D479B" w:rsidRDefault="008D479B" w:rsidP="008D479B">
      <w:pPr>
        <w:pStyle w:val="TextoNormal"/>
      </w:pPr>
    </w:p>
    <w:p w14:paraId="2AC60956" w14:textId="77777777" w:rsidR="008D479B" w:rsidRDefault="008D479B" w:rsidP="008D479B">
      <w:pPr>
        <w:pStyle w:val="TextoNormal"/>
      </w:pPr>
      <w:r>
        <w:t>En el caso sometido a enjuiciamiento encontramos que los progenitores discrepaban acerca de la necesidad y conveniencia de vacunar a su hija menor contra la covid-19; y la autoridad judicial resolvió la discrepancia —por disposición legal— atribuyendo la prestación del consentimiento por representación a aquel que consideró valedor del interés superior de la menor. Partiendo de este supuesto de hecho, examinaremos los distintos motivos de impugnación de esta decisión judicial recogidos en la demanda de amparo.</w:t>
      </w:r>
    </w:p>
    <w:p w14:paraId="44076EEB" w14:textId="77777777" w:rsidR="008D479B" w:rsidRDefault="008D479B" w:rsidP="008D479B">
      <w:pPr>
        <w:pStyle w:val="TextoNormal"/>
      </w:pPr>
    </w:p>
    <w:p w14:paraId="13BDEF94" w14:textId="77777777" w:rsidR="008D479B" w:rsidRDefault="008D479B" w:rsidP="008D479B">
      <w:pPr>
        <w:pStyle w:val="TextoNormal"/>
      </w:pPr>
      <w:r>
        <w:t>A) Impugnación relativa a la ausencia de consentimiento informado</w:t>
      </w:r>
    </w:p>
    <w:p w14:paraId="328154BE" w14:textId="77777777" w:rsidR="008D479B" w:rsidRDefault="008D479B" w:rsidP="008D479B">
      <w:pPr>
        <w:pStyle w:val="TextoNormal"/>
      </w:pPr>
    </w:p>
    <w:p w14:paraId="2B2FE715" w14:textId="77777777" w:rsidR="008D479B" w:rsidRDefault="008D479B" w:rsidP="008D479B">
      <w:pPr>
        <w:pStyle w:val="TextoNormal"/>
      </w:pPr>
      <w:r>
        <w:t>En relación con el argumento impugnatorio de ausencia de consentimiento informado de la hija menor de edad y sus progenitores a la vacunación, lo primero que habrá que determinar es quién estaba llamado a prestar dicho consentimiento en este supuesto: la menor de manera directa y por sí misma, o sus progenitores por representación.</w:t>
      </w:r>
    </w:p>
    <w:p w14:paraId="6A46E4EF" w14:textId="77777777" w:rsidR="008D479B" w:rsidRDefault="008D479B" w:rsidP="008D479B">
      <w:pPr>
        <w:pStyle w:val="TextoNormal"/>
      </w:pPr>
    </w:p>
    <w:p w14:paraId="5F83BFCE" w14:textId="77777777" w:rsidR="008D479B" w:rsidRDefault="008D479B" w:rsidP="008D479B">
      <w:pPr>
        <w:pStyle w:val="TextoNormal"/>
      </w:pPr>
      <w:r>
        <w:t>Para determinarlo habremos de examinar si se cumple el presupuesto básico que el art. 9.3, letra c) de la Ley 41/2002 establece para que pueda acudirse al consentimiento por representación —otorgado por los progenitores de común acuerdo o por la autoridad judicial en caso de desacuerdo—, a saber: que la menor carezca de la capacidad emocional e intelectual necesarias para comprender el alcance de la intervención. Tal y como señala la fiscal, debe destacarse que, en el presente supuesto, no consta informe profesional ni datos que permitan afirmar que la menor contaba con la madurez a que se refiere el art. 9.3 c) de la Ley 41/2002 a efectos de responsabilizarse del acto de consentir con exclusión de sus padres. Por el contrario, del examen del expediente judicial se desprende que ambos progenitores asumieron de consuno el hecho de que la menor carecía de la capacidad emocional e intelectual que el art. 9.3, letra c) de la Ley 41/2002 requiere para que pudiera prestar el consentimiento informado por sí misma y de forma autónoma; y que, en consecuencia, habían de ser ellos, en cuanto titulares de la autoridad familiar, quienes habían de prestarlo —o declinarlo— por representación. Así se revela con absoluta claridad del escrito iniciador del expediente de jurisdicción voluntaria presentado por el padre de la menor —demostrativo de su consentimiento— y del escrito de oposición presentado por la madre, hoy recurrente en amparo, en el que esta se arrogó sin atisbo alguno de duda la potestad de consentir —o, más exactamente, de no hacerlo en este caso— en nombre de su hija.</w:t>
      </w:r>
    </w:p>
    <w:p w14:paraId="3DB50C06" w14:textId="77777777" w:rsidR="008D479B" w:rsidRDefault="008D479B" w:rsidP="008D479B">
      <w:pPr>
        <w:pStyle w:val="TextoNormal"/>
      </w:pPr>
    </w:p>
    <w:p w14:paraId="6C8E50EE" w14:textId="77777777" w:rsidR="008D479B" w:rsidRDefault="008D479B" w:rsidP="008D479B">
      <w:pPr>
        <w:pStyle w:val="TextoNormal"/>
      </w:pPr>
      <w:r>
        <w:t>En ningún momento, a lo largo del expediente de jurisdicción voluntaria, se planteó por la recurrente en amparo la posibilidad de que la menor tuviera la capacidad emocional e intelectual necesarias para prestar el consentimiento a la vacunación por sí misma, de forma independiente. Los órganos judiciales tampoco pusieron en cuestión esta asunción de los progenitores, que no podía tacharse de injustificada dada la evidente complejidad científico-médica de la cuestión dirimida, de la que cabía inferir razonablemente que una menor, de once años, no había de contar con la capacidad intelectiva ni los elementos de juicio científico-técnicos precisos para emitir un consentimiento informado por sí misma.</w:t>
      </w:r>
    </w:p>
    <w:p w14:paraId="30E2C8AF" w14:textId="77777777" w:rsidR="008D479B" w:rsidRDefault="008D479B" w:rsidP="008D479B">
      <w:pPr>
        <w:pStyle w:val="TextoNormal"/>
      </w:pPr>
    </w:p>
    <w:p w14:paraId="206FDF88" w14:textId="77777777" w:rsidR="008D479B" w:rsidRDefault="008D479B" w:rsidP="008D479B">
      <w:pPr>
        <w:pStyle w:val="TextoNormal"/>
      </w:pPr>
      <w:r>
        <w:t>Por otra parte, encontramos que las resoluciones impugnadas fueron dictadas sin escuchar previamente a la menor afectada. La cuestión a dilucidar es si esta omisión tiene, en el presente caso, la entidad suficiente para integrar por sí misma una vulneración del derecho de la menor a la integridad física y moral (art. 15 CE) que conduzca a la estimación del recurso de amparo y anulación de las resoluciones recurridas. Entendemos que no es así.</w:t>
      </w:r>
    </w:p>
    <w:p w14:paraId="4F452F0A" w14:textId="77777777" w:rsidR="008D479B" w:rsidRDefault="008D479B" w:rsidP="008D479B">
      <w:pPr>
        <w:pStyle w:val="TextoNormal"/>
      </w:pPr>
    </w:p>
    <w:p w14:paraId="7A7EAA66" w14:textId="77777777" w:rsidR="008D479B" w:rsidRDefault="008D479B" w:rsidP="008D479B">
      <w:pPr>
        <w:pStyle w:val="TextoNormal"/>
      </w:pPr>
      <w:r>
        <w:t>La decisión acerca del asunto debatido en el procedimiento pasaba por efectuar una compleja ponderación de los riesgos y beneficios de la vacunación frente a la covid-19 y requería, para un adecuado análisis, de la capacidad de comprender y someter a juicio crítico documentos médico-científicos contrapuestos que, a su vez, utilizaban argumentos técnicos, propios de la medicina, la farmacología y la estadística aplicada, notablemente sofisticados e intrincados. En este particular contexto, tanto los progenitores de la menor como los órganos judiciales asumieron plenamente el hecho de que una niña de once años no había de contar con los elementos de juicio precisos para poder llevar a cabo un análisis de la cuestión suficientemente profundo como para formarse una opinión que respondiera adecuadamente a su superior interés, determinado conforme a lo dispuesto en el art. 2 de la Ley Orgánica 1/1996 y en los apartados 6 y 7 del art. 9 de la Ley 41/2002. Hasta tal punto es así que ni siquiera la demanda de amparo hace una invocación expresa de la falta de audiencia de la menor como sustento de su pretensión anulatoria de las resoluciones judiciales. Esta presunción resulta razonable, atendiendo a las circunstancias de excepcional complejidad técnica que presentaba la cuestión a dirimir.</w:t>
      </w:r>
    </w:p>
    <w:p w14:paraId="2E03567B" w14:textId="77777777" w:rsidR="008D479B" w:rsidRDefault="008D479B" w:rsidP="008D479B">
      <w:pPr>
        <w:pStyle w:val="TextoNormal"/>
      </w:pPr>
    </w:p>
    <w:p w14:paraId="5BC3220F" w14:textId="77777777" w:rsidR="008D479B" w:rsidRDefault="008D479B" w:rsidP="008D479B">
      <w:pPr>
        <w:pStyle w:val="TextoNormal"/>
      </w:pPr>
      <w:r>
        <w:t>Finalmente, en lo relativo a la información que debe prestarse con carácter previo a la prestación del consentimiento (por la persona afectada o por quienes están llamados a prestarlo por representación), se argumenta en la demanda de amparo que no se entregó a los progenitores un consentimiento informado por escrito sobre la composición, riesgos y consecuencias de la administración de la “mal denominada ‘vacuna covid-19’”, en los términos exigidos por la Ley 41/2002.</w:t>
      </w:r>
    </w:p>
    <w:p w14:paraId="2A543021" w14:textId="77777777" w:rsidR="008D479B" w:rsidRDefault="008D479B" w:rsidP="008D479B">
      <w:pPr>
        <w:pStyle w:val="TextoNormal"/>
      </w:pPr>
    </w:p>
    <w:p w14:paraId="5FF76AA6" w14:textId="77777777" w:rsidR="008D479B" w:rsidRDefault="008D479B" w:rsidP="008D479B">
      <w:pPr>
        <w:pStyle w:val="TextoNormal"/>
      </w:pPr>
      <w:r>
        <w:t>La información a que se refiere este argumento impugnatorio es la regulada en el art. 4 de la citada Ley y comprende, como mínimo, la finalidad y la naturaleza de cada intervención, sus riesgos y sus consecuencias. Deberá ser verdadera y habrá de proporcionarse a la persona que ha de prestar el consentimiento de manera comprensible y adecuada a sus necesidades, todo ello con la finalidad de ayudarle a adoptar la decisión que corresponda “de acuerdo con su propia y libre voluntad” (art. 4.2 de la Ley 41/2002).</w:t>
      </w:r>
    </w:p>
    <w:p w14:paraId="2990ECFF" w14:textId="77777777" w:rsidR="008D479B" w:rsidRDefault="008D479B" w:rsidP="008D479B">
      <w:pPr>
        <w:pStyle w:val="TextoNormal"/>
      </w:pPr>
    </w:p>
    <w:p w14:paraId="196FF811" w14:textId="77777777" w:rsidR="008D479B" w:rsidRDefault="008D479B" w:rsidP="008D479B">
      <w:pPr>
        <w:pStyle w:val="TextoNormal"/>
      </w:pPr>
      <w:r>
        <w:t>En el mismo sentido, este tribunal ha afirmado reiteradamente que para poder decidir sobre los actos médicos que le afectan con plena libertad, el sujeto debe contar con la información médica adecuada, pues solo si dispone de esta información puede consentir libremente, eligiendo entre las opciones que se le presenten, o rechazar los tratamientos o intervenciones que le sean propuestos por los facultativos [STC 37/2011, de 28 de marzo, FJ 5, reiterada en la STC 19/2023, FJ 6 C) d) (i)].</w:t>
      </w:r>
    </w:p>
    <w:p w14:paraId="622D43BF" w14:textId="77777777" w:rsidR="008D479B" w:rsidRDefault="008D479B" w:rsidP="008D479B">
      <w:pPr>
        <w:pStyle w:val="TextoNormal"/>
      </w:pPr>
    </w:p>
    <w:p w14:paraId="44FF17D4" w14:textId="77777777" w:rsidR="008D479B" w:rsidRDefault="008D479B" w:rsidP="008D479B">
      <w:pPr>
        <w:pStyle w:val="TextoNormal"/>
      </w:pPr>
      <w:r>
        <w:t>Partiendo de estas premisas, la alegación relativa a la ausencia de información adecuada para la prestación del consentimiento regulado por la Ley 41/2002 carece de toda consistencia dado que del expediente judicial se desprende con total claridad que los dos progenitores de la menor contaban con tal información desde un momento anterior incluso a la iniciación del procedimiento de jurisdicción voluntaria. Así resulta de modo evidente del escrito de iniciación del expediente presentado por el padre de la menor, en que justifica su pretensión de vacunarla atendiendo precisamente a la finalidad, naturaleza, riesgos y consecuencias de la intervención pretendida, que obviamente conoce. Del mismo modo, la madre —recurrente en amparo— se negó en su escrito de oposición a prestar dicho consentimiento, alegando una amplia variedad de argumentos basados en estudios e informes que le eran conocidos y que aportó con dicho escrito de oposición. En definitiva, los dos progenitores, llamados en principio a prestar el consentimiento por representación, contaban desde el inicio del procedimiento judicial con toda la información necesaria con arreglo a la Ley 41/2002 y la doctrina de este tribunal para poder adoptar libremente la decisión que consideraron oportuna en relación con la vacunación de su hija menor. Cuestión diversa es que, partiendo de toda esa información, de la que evidentemente tenían conocimiento, discreparan acerca de la decisión a adoptar, discrepancia que justifica legalmente la intervención de los órganos judiciales con arreglo al art. 74.1 del Código del Derecho foral de Aragón.</w:t>
      </w:r>
    </w:p>
    <w:p w14:paraId="44404B0A" w14:textId="77777777" w:rsidR="008D479B" w:rsidRDefault="008D479B" w:rsidP="008D479B">
      <w:pPr>
        <w:pStyle w:val="TextoNormal"/>
      </w:pPr>
    </w:p>
    <w:p w14:paraId="0FAE3748" w14:textId="77777777" w:rsidR="008D479B" w:rsidRDefault="008D479B" w:rsidP="008D479B">
      <w:pPr>
        <w:pStyle w:val="TextoNormal"/>
      </w:pPr>
      <w:r>
        <w:t>B) Impugnación relativa a la ausencia de motivación de las resoluciones judiciales impugnadas sobre la necesidad y beneficios de la vacunación de la menor</w:t>
      </w:r>
    </w:p>
    <w:p w14:paraId="67DEC22B" w14:textId="77777777" w:rsidR="008D479B" w:rsidRDefault="008D479B" w:rsidP="008D479B">
      <w:pPr>
        <w:pStyle w:val="TextoNormal"/>
      </w:pPr>
    </w:p>
    <w:p w14:paraId="2E9EC136" w14:textId="77777777" w:rsidR="008D479B" w:rsidRDefault="008D479B" w:rsidP="008D479B">
      <w:pPr>
        <w:pStyle w:val="TextoNormal"/>
      </w:pPr>
      <w:r>
        <w:t>Una vez desestimado el motivo de impugnación relativo a la ausencia de consentimiento informado, debemos examinar si la decisión judicial de autorizar al padre para realizar las gestiones necesarias para la vacunación de la hija común responde a las exigencias constitucionales expuestas con detalle en el anterior fundamento jurídico; y para ello debemos comenzar por examinar si las resoluciones judiciales impugnadas estaban orientadas a la consecución de una finalidad constitucionalmente legítima y cumplieron con el canon de motivación reforzada exigible para la adopción de una medida limitativa del derecho a la integridad física (art. 15 CE).</w:t>
      </w:r>
    </w:p>
    <w:p w14:paraId="5B23F5DD" w14:textId="77777777" w:rsidR="008D479B" w:rsidRDefault="008D479B" w:rsidP="008D479B">
      <w:pPr>
        <w:pStyle w:val="TextoNormal"/>
      </w:pPr>
    </w:p>
    <w:p w14:paraId="0154C371" w14:textId="77777777" w:rsidR="008D479B" w:rsidRDefault="008D479B" w:rsidP="008D479B">
      <w:pPr>
        <w:pStyle w:val="TextoNormal"/>
      </w:pPr>
      <w:r>
        <w:t>a) Del contenido de las resoluciones judiciales impugnadas se desprende que la decisión de autorizar la vacunación tuvo como fundamento primero y esencial la protección del interés superior de la propia menor en sus dos vertientes fundamentales: protección de la salud física individual frente a una eventual infección por covid-19; y protección de la salud mental mediante la preservación de sus relaciones interpersonales en el entorno social, familiar y escolar, finalidades ambas plenamente legítimas desde el punto de vista constitucional como ya se ha examinado con anterioridad.</w:t>
      </w:r>
    </w:p>
    <w:p w14:paraId="77A8BF63" w14:textId="77777777" w:rsidR="008D479B" w:rsidRDefault="008D479B" w:rsidP="008D479B">
      <w:pPr>
        <w:pStyle w:val="TextoNormal"/>
      </w:pPr>
    </w:p>
    <w:p w14:paraId="3CFA843B" w14:textId="77777777" w:rsidR="008D479B" w:rsidRDefault="008D479B" w:rsidP="008D479B">
      <w:pPr>
        <w:pStyle w:val="TextoNormal"/>
      </w:pPr>
      <w:r>
        <w:t>b) En relación con la salud individual de la menor, la resolución judicial de primera instancia se apoya en un informe emitido por el comité asesor de vacunas de la Asociación Española de Pediatría y la Sociedad Española de Infectología Pediátrica. En ellos se explica que las evidencias científicas disponibles hasta el momento de dictarse la resolución, respecto de la vacunación infantil advertían que se habían identificado casos graves de infección por covid-19 en niños sin factores de riesgo, como el síndrome inflamatorio multisistémico pediátrico, y también casos de covid-19 persistente. La Audiencia Provincial de Zaragoza, por su parte, con apoyo en las recomendaciones de la Agencia Española de Medicamentos y Productos Sanitarios, el Consejo Interterritorial del Sistema Nacional de Salud, la Asociación Española de Pediatría y el Centro para el Control y la Prevención de Enfermedades, todas ellas en favor de la vacunación en el segmento de edad de los cinco a los once años, argumentó que, tal como indicaban los organismos citados, los riesgos o probabilidad de complicaciones de salud por administrar la vacuna eran muy reducidos y los beneficios indudables (reducción del riesgo de contraer la enfermedad, así como del riesgo de sufrir complicaciones a corto y largo plazo), de modo que la ponderación riesgos/beneficios de la vacunación para la salud de los menores se inclinaba claramente a favor de estos últimos, no existiendo constancia de que la menor implicada en este caso sufriera enfermedad o alergia previas que pudieran hacer que la vacunación resultara contraindicada.</w:t>
      </w:r>
    </w:p>
    <w:p w14:paraId="78507806" w14:textId="77777777" w:rsidR="008D479B" w:rsidRDefault="008D479B" w:rsidP="008D479B">
      <w:pPr>
        <w:pStyle w:val="TextoNormal"/>
      </w:pPr>
    </w:p>
    <w:p w14:paraId="398F5714" w14:textId="77777777" w:rsidR="008D479B" w:rsidRDefault="008D479B" w:rsidP="008D479B">
      <w:pPr>
        <w:pStyle w:val="TextoNormal"/>
      </w:pPr>
      <w:r>
        <w:t>Los argumentos empleados por las dos resoluciones impugnadas estaban avalados por los informes, dictámenes y recomendaciones que hasta ese momento habían emitido los principales organismos públicos que tenían encomendada la vigilancia de la salud, de los que cabe razonablemente presumir el más alto grado de objetividad y fiabilidad, en oposición a los argumentos esgrimidos por la representación procesal de la hoy demandante de amparo, que carecían de un respaldo científico objetivo suficientemente sólido como para poner en cuestión las conclusiones de todos los organismos oficiales citados y, consiguientemente, las bases de la argumentación desarrollada por los órganos judiciales.</w:t>
      </w:r>
    </w:p>
    <w:p w14:paraId="38A3B7E9" w14:textId="77777777" w:rsidR="008D479B" w:rsidRDefault="008D479B" w:rsidP="008D479B">
      <w:pPr>
        <w:pStyle w:val="TextoNormal"/>
      </w:pPr>
    </w:p>
    <w:p w14:paraId="30165CE5" w14:textId="77777777" w:rsidR="008D479B" w:rsidRDefault="008D479B" w:rsidP="008D479B">
      <w:pPr>
        <w:pStyle w:val="TextoNormal"/>
      </w:pPr>
      <w:r>
        <w:t>c) En relación con la protección de la salud mental de la menor —mediante la preservación de sus relaciones interpersonales en el entorno familiar, social y escolar— la resolución judicial dictada en primera instancia, confirmada en apelación, argumentó que era preciso considerar los efectos colaterales que la pandemia había tenido en los niños y adolescentes; entre los que se encontraba la falta de normalidad en la escolarización y los trastornos de salud mental, que se habían evidenciado como consecuencia de la pandemia.</w:t>
      </w:r>
    </w:p>
    <w:p w14:paraId="61B3EF18" w14:textId="77777777" w:rsidR="008D479B" w:rsidRDefault="008D479B" w:rsidP="008D479B">
      <w:pPr>
        <w:pStyle w:val="TextoNormal"/>
      </w:pPr>
    </w:p>
    <w:p w14:paraId="0ACAC8B8" w14:textId="77777777" w:rsidR="008D479B" w:rsidRDefault="008D479B" w:rsidP="008D479B">
      <w:pPr>
        <w:pStyle w:val="TextoNormal"/>
      </w:pPr>
      <w:r>
        <w:t>Los efectos colaterales adversos de la pandemia del covid-19 sobre la salud mental de niños, niñas y adolescentes han quedado igualmente constatados a través de los estudios e informes emitidos por organismos oficiales acreditados. En un estudio publicado el 2 de marzo de 2022, “Salud mental y covid-19: datos iniciales sobre las repercusiones de la pandemia”, la Organización Mundial de la Salud indicaba que se había registrado un aumento significativo de los problemas de salud mental en la población general en el primer año de la pandemia, notificándose a menudo como factores de riesgo el hecho de tener menor edad, ser del sexo femenino y presentar afecciones de salud preexistentes. UNICEF, en su informe “Estado mundial de la infancia 2021: En mi mente. Promover, proteger y cuidar la salud mental de la infancia”, publicado en octubre de 2021, alertó de que las tasas de depresión y ansiedad generalizadas y clínicamente significativas se habían duplicado en el transcurso de la pandemia, siendo las tasas más altas de ansiedad y depresión entre las niñas, e indicaba que estos hallazgos podían deberse, entre otros factores, al aislamiento social en un grupo de edad que depende enormemente de la socialización con los pares.</w:t>
      </w:r>
    </w:p>
    <w:p w14:paraId="5BD21C61" w14:textId="77777777" w:rsidR="008D479B" w:rsidRDefault="008D479B" w:rsidP="008D479B">
      <w:pPr>
        <w:pStyle w:val="TextoNormal"/>
      </w:pPr>
    </w:p>
    <w:p w14:paraId="046F68AC" w14:textId="77777777" w:rsidR="008D479B" w:rsidRDefault="008D479B" w:rsidP="008D479B">
      <w:pPr>
        <w:pStyle w:val="TextoNormal"/>
      </w:pPr>
      <w:r>
        <w:t>Partiendo de estos datos, resulta más que justificado considerar que, siendo las personas menores de edad vector de contagio del virus SARS-CoV-2, su vacunación habría de facilitar el retorno a la normalidad en sus relaciones con otras personas de su entorno familiar extenso, escolar y social (pares), mientras que la ausencia de vacunación podría favorecer una prolongación, siquiera parcial, del aislamiento social de la menor, con las consecuencias negativas derivadas de ello.</w:t>
      </w:r>
    </w:p>
    <w:p w14:paraId="0234229A" w14:textId="77777777" w:rsidR="008D479B" w:rsidRDefault="008D479B" w:rsidP="008D479B">
      <w:pPr>
        <w:pStyle w:val="TextoNormal"/>
      </w:pPr>
    </w:p>
    <w:p w14:paraId="40BC3A37" w14:textId="77777777" w:rsidR="008D479B" w:rsidRDefault="008D479B" w:rsidP="008D479B">
      <w:pPr>
        <w:pStyle w:val="TextoNormal"/>
      </w:pPr>
      <w:r>
        <w:t>En definitiva, las resoluciones judiciales impugnadas justificaron la decisión de autorizar la vacunación de la menor en la realización efectiva de su interés superior, concretado en este caso en la preservación de su salud física y mental, que, conforme a los estudios, informes y recomendaciones de los organismos oficiales autorizados en materia de vigilancia de la salud, resultaba tutelado de un modo más efectivo y eficaz mediante la inoculación de la vacuna frente a la covid-19.</w:t>
      </w:r>
    </w:p>
    <w:p w14:paraId="2287FE39" w14:textId="77777777" w:rsidR="008D479B" w:rsidRDefault="008D479B" w:rsidP="008D479B">
      <w:pPr>
        <w:pStyle w:val="TextoNormal"/>
      </w:pPr>
    </w:p>
    <w:p w14:paraId="68C20262" w14:textId="56309DA8" w:rsidR="008D479B" w:rsidRDefault="008D479B" w:rsidP="008D479B">
      <w:pPr>
        <w:pStyle w:val="TextoNormal"/>
      </w:pPr>
      <w:r>
        <w:t>Es por ello que se debe declarar su conformidad con el derecho fundamental a la integridad física y moral de la hija menor de edad de la demandante de amparo (art. 15 CE), lo que determina la desestimación del recurso.</w:t>
      </w:r>
    </w:p>
    <w:p w14:paraId="5318AB9A" w14:textId="77777777" w:rsidR="008D479B" w:rsidRDefault="008D479B" w:rsidP="008D479B">
      <w:pPr>
        <w:pStyle w:val="TextoNormal"/>
      </w:pPr>
    </w:p>
    <w:p w14:paraId="19F33539" w14:textId="77777777" w:rsidR="008D479B" w:rsidRDefault="008D479B" w:rsidP="008D479B">
      <w:pPr>
        <w:pStyle w:val="TextoNormalCentrado"/>
        <w:keepNext/>
      </w:pPr>
      <w:r>
        <w:t>FALLO</w:t>
      </w:r>
    </w:p>
    <w:p w14:paraId="561D2B87" w14:textId="381BB4C8" w:rsidR="008D479B" w:rsidRDefault="008D479B" w:rsidP="008D479B">
      <w:pPr>
        <w:pStyle w:val="TextoNormalCentrado"/>
        <w:keepNext/>
      </w:pPr>
    </w:p>
    <w:p w14:paraId="3182981C" w14:textId="2874D387" w:rsidR="008D479B" w:rsidRDefault="008D479B" w:rsidP="008D479B">
      <w:pPr>
        <w:pStyle w:val="TextoNormal"/>
      </w:pPr>
      <w:r>
        <w:t>En atención a todo lo expuesto, el Tribunal Constitucional, por la autoridad que le confiere la Constitución de la Nación española, ha decidido desestimar íntegramente el recurso de amparo interpuesto por doña A.P.M., y ordenar el archivo de la pieza separada de medidas cautelares.</w:t>
      </w:r>
    </w:p>
    <w:p w14:paraId="4A30DDE2" w14:textId="77777777" w:rsidR="008D479B" w:rsidRDefault="008D479B" w:rsidP="008D479B">
      <w:pPr>
        <w:pStyle w:val="TextoNormal"/>
      </w:pPr>
    </w:p>
    <w:p w14:paraId="54D752E3" w14:textId="77777777" w:rsidR="008D479B" w:rsidRDefault="008D479B" w:rsidP="008D479B">
      <w:pPr>
        <w:pStyle w:val="TextoNormal"/>
      </w:pPr>
      <w:r>
        <w:t>Publíquese esta sentencia en el “Boletín Oficial del Estado”.</w:t>
      </w:r>
    </w:p>
    <w:p w14:paraId="34B7B279" w14:textId="77777777" w:rsidR="008D479B" w:rsidRDefault="008D479B" w:rsidP="008D479B">
      <w:pPr>
        <w:pStyle w:val="TextoNormal"/>
      </w:pPr>
      <w:r>
        <w:t>Dada en Madrid, a seis de noviembre de dos mil veintitrés.</w:t>
      </w:r>
    </w:p>
    <w:p w14:paraId="5C177A07" w14:textId="0BB1358A" w:rsidR="008D479B" w:rsidRDefault="008D479B">
      <w:pPr>
        <w:spacing w:after="160" w:line="278" w:lineRule="auto"/>
        <w:rPr>
          <w:rFonts w:ascii="Times New Roman" w:eastAsia="Times New Roman" w:hAnsi="Times New Roman" w:cs="Times New Roman"/>
          <w:sz w:val="24"/>
          <w:szCs w:val="24"/>
          <w:lang w:eastAsia="es-ES"/>
        </w:rPr>
      </w:pPr>
      <w:r>
        <w:br w:type="page"/>
      </w:r>
    </w:p>
    <w:p w14:paraId="1821FDD0" w14:textId="77777777" w:rsidR="008D479B" w:rsidRDefault="008D479B" w:rsidP="008D479B">
      <w:pPr>
        <w:pStyle w:val="TtuloResolucin"/>
      </w:pPr>
      <w:bookmarkStart w:id="74" w:name="SENTENCIA_2023_149"/>
      <w:r>
        <w:t>SENTENCIA 149/2023, de 7 de noviembre de 2023</w:t>
      </w:r>
    </w:p>
    <w:bookmarkEnd w:id="74"/>
    <w:p w14:paraId="452AC084" w14:textId="77777777" w:rsidR="008D479B" w:rsidRDefault="008D479B" w:rsidP="008D479B">
      <w:pPr>
        <w:pStyle w:val="TtuloResolucin"/>
      </w:pPr>
      <w:r>
        <w:t>Pleno</w:t>
      </w:r>
    </w:p>
    <w:p w14:paraId="61ED6D1E" w14:textId="77777777" w:rsidR="008D479B" w:rsidRDefault="008D479B" w:rsidP="008D479B">
      <w:pPr>
        <w:pStyle w:val="TtuloBOE"/>
      </w:pPr>
      <w:r>
        <w:t>(BOE núm. 301, de 18 de diciembre de 2023)</w:t>
      </w:r>
    </w:p>
    <w:p w14:paraId="4399C80D" w14:textId="77777777" w:rsidR="008D479B" w:rsidRDefault="008D479B" w:rsidP="008D479B">
      <w:pPr>
        <w:pStyle w:val="TextoNormalCentrado"/>
      </w:pPr>
      <w:r>
        <w:t>ECLI:ES:TC:2023:149</w:t>
      </w:r>
    </w:p>
    <w:p w14:paraId="041069D6" w14:textId="04B8E0EE" w:rsidR="008D479B" w:rsidRDefault="008D479B" w:rsidP="008D479B">
      <w:pPr>
        <w:pStyle w:val="TextoNormalCentrado"/>
      </w:pPr>
    </w:p>
    <w:p w14:paraId="57BA52EA" w14:textId="77777777" w:rsidR="008D479B" w:rsidRDefault="008D479B" w:rsidP="008D479B">
      <w:pPr>
        <w:pStyle w:val="SntesisDescriptiva"/>
      </w:pPr>
      <w:r>
        <w:t>Recurso de inconstitucionalidad 616-2023. Interpuesto por el Consejo de Gobierno de la Comunidad de Madrid respecto del artículo 3 de la Ley 38/2022, de 27 de diciembre, para el establecimiento de gravámenes temporales energético y de entidades de crédito y establecimientos financieros de crédito y por la que se crea el impuesto temporal de solidaridad de las grandes fortunas, y se modifican determinadas normas tributarias.</w:t>
      </w:r>
    </w:p>
    <w:p w14:paraId="61158286" w14:textId="7411536C" w:rsidR="008D479B" w:rsidRDefault="008D479B" w:rsidP="008D479B">
      <w:pPr>
        <w:pStyle w:val="SntesisDescriptiva"/>
      </w:pPr>
    </w:p>
    <w:p w14:paraId="6D051534" w14:textId="77777777" w:rsidR="008D479B" w:rsidRDefault="008D479B" w:rsidP="008D479B">
      <w:pPr>
        <w:pStyle w:val="SntesisAnaltica"/>
      </w:pPr>
      <w:r>
        <w:t>Supuesta vulneración del derecho al ejercicio de las funciones representativas (homogeneidad de las enmiendas parlamentarias respecto del texto que se pretende modificar), principios de legalidad tributaria, capacidad económica y no confiscatoriedad, corresponsabilidad fiscal y lealtad institucional: constitucionalidad del precepto legal que crea el impuesto temporal sobre grandes fortunas como tributo directo, de naturaleza personal y complementario del impuesto sobre el patrimonio. Voto particular.</w:t>
      </w:r>
    </w:p>
    <w:p w14:paraId="06B465CC" w14:textId="32A131ED" w:rsidR="008D479B" w:rsidRDefault="008D479B" w:rsidP="008D479B">
      <w:pPr>
        <w:pStyle w:val="SntesisAnaltica"/>
      </w:pPr>
    </w:p>
    <w:p w14:paraId="09A1D380" w14:textId="28B1DD18" w:rsidR="008D479B" w:rsidRDefault="008D479B" w:rsidP="008D479B">
      <w:pPr>
        <w:pStyle w:val="Extracto"/>
      </w:pPr>
      <w:r>
        <w:t>1.</w:t>
      </w:r>
      <w:r>
        <w:tab/>
        <w:t>El derecho de enmienda corresponde tanto a los grupos parlamentarios como a los diputados y senadores que los integran (art. 110.1 del Reglamento del Congreso y 107.1 del Reglamento del Senado), perteneciendo dicha facultad al núcleo de su función representativa parlamentaria (STC 136/2011) [FJ 2].</w:t>
      </w:r>
    </w:p>
    <w:p w14:paraId="071F36E7" w14:textId="77777777" w:rsidR="008D479B" w:rsidRDefault="008D479B" w:rsidP="008D479B">
      <w:pPr>
        <w:pStyle w:val="Extracto"/>
      </w:pPr>
    </w:p>
    <w:p w14:paraId="6CE8906A" w14:textId="6046E274" w:rsidR="008D479B" w:rsidRDefault="008D479B" w:rsidP="008D479B">
      <w:pPr>
        <w:pStyle w:val="Extracto"/>
      </w:pPr>
      <w:r>
        <w:t>2.</w:t>
      </w:r>
      <w:r>
        <w:tab/>
        <w:t>En materia de creación de nuevos tributos por medio de una enmienda legislativa, la conexión de homogeneidad entre la materia de la iniciativa legislativa y sus enmiendas no tiene que ser de identidad con las medidas previstas en el texto de la iniciativa sino de afinidad con las materias recogidas en el mismo (SSTC 209/2012 o 70/2018) [FJ 2].</w:t>
      </w:r>
    </w:p>
    <w:p w14:paraId="7DD2DFF2" w14:textId="77777777" w:rsidR="008D479B" w:rsidRDefault="008D479B" w:rsidP="008D479B">
      <w:pPr>
        <w:pStyle w:val="Extracto"/>
      </w:pPr>
    </w:p>
    <w:p w14:paraId="24F88A72" w14:textId="6DE3F800" w:rsidR="008D479B" w:rsidRDefault="008D479B" w:rsidP="008D479B">
      <w:pPr>
        <w:pStyle w:val="Extracto"/>
      </w:pPr>
      <w:r>
        <w:t>3.</w:t>
      </w:r>
      <w:r>
        <w:tab/>
        <w:t>No cabe reprochar ni reclamar la utilización de una proposición de ley o de un proyecto del Ejecutivo, en orden a incoar un procedimiento legislativo (STC 19/2023) [FJ 2].</w:t>
      </w:r>
    </w:p>
    <w:p w14:paraId="7870B0D4" w14:textId="77777777" w:rsidR="008D479B" w:rsidRDefault="008D479B" w:rsidP="008D479B">
      <w:pPr>
        <w:pStyle w:val="Extracto"/>
      </w:pPr>
    </w:p>
    <w:p w14:paraId="2FA2724E" w14:textId="78326AE8" w:rsidR="008D479B" w:rsidRDefault="008D479B" w:rsidP="008D479B">
      <w:pPr>
        <w:pStyle w:val="Extracto"/>
      </w:pPr>
      <w:r>
        <w:t>4.</w:t>
      </w:r>
      <w:r>
        <w:tab/>
        <w:t>Tanto los gravámenes energéticos y sobre entidades de crédito como el impuesto temporal de solidaridad de las grandes fortunas son ingresos públicos (STC 63/2019) que persiguen el mismo objetivo: coadyuvar al “pacto de rentas” y al “reparto del esfuerzo” para afrontar las consecuencias de la crisis energética y de precios [FJ 2].</w:t>
      </w:r>
    </w:p>
    <w:p w14:paraId="406BB497" w14:textId="77777777" w:rsidR="008D479B" w:rsidRDefault="008D479B" w:rsidP="008D479B">
      <w:pPr>
        <w:pStyle w:val="Extracto"/>
      </w:pPr>
    </w:p>
    <w:p w14:paraId="1EEBCC3A" w14:textId="329D6894" w:rsidR="008D479B" w:rsidRDefault="008D479B" w:rsidP="008D479B">
      <w:pPr>
        <w:pStyle w:val="Extracto"/>
      </w:pPr>
      <w:r>
        <w:t>5.</w:t>
      </w:r>
      <w:r>
        <w:tab/>
        <w:t>No procede la posición autonómica que implica arrogarse la decisión exclusiva sobre la tributación de los residentes en su territorio, desconociendo que estos también están sujetos a la potestad tributaria del resto de entes, como a la del Estado [FJ 3].</w:t>
      </w:r>
    </w:p>
    <w:p w14:paraId="35FE36B4" w14:textId="77777777" w:rsidR="008D479B" w:rsidRDefault="008D479B" w:rsidP="008D479B">
      <w:pPr>
        <w:pStyle w:val="Extracto"/>
      </w:pPr>
    </w:p>
    <w:p w14:paraId="3EFC6E9B" w14:textId="3429B584" w:rsidR="008D479B" w:rsidRDefault="008D479B" w:rsidP="008D479B">
      <w:pPr>
        <w:pStyle w:val="Extracto"/>
      </w:pPr>
      <w:r>
        <w:t>6.</w:t>
      </w:r>
      <w:r>
        <w:tab/>
        <w:t>Si el Estado puede utilizar su potestad tributaria para armonizar un espacio ocupado por tributos propios autonómicos, con mayor razón podrá hacerlo respecto de su propio espacio fiscal, sin que ninguna competencia autonómica se vea perturbada (STC 26/2015) [FJ 3].</w:t>
      </w:r>
    </w:p>
    <w:p w14:paraId="145804F2" w14:textId="77777777" w:rsidR="008D479B" w:rsidRDefault="008D479B" w:rsidP="008D479B">
      <w:pPr>
        <w:pStyle w:val="Extracto"/>
      </w:pPr>
    </w:p>
    <w:p w14:paraId="2F797A31" w14:textId="6BE37FDE" w:rsidR="008D479B" w:rsidRDefault="008D479B" w:rsidP="008D479B">
      <w:pPr>
        <w:pStyle w:val="Extracto"/>
      </w:pPr>
      <w:r>
        <w:t>7.</w:t>
      </w:r>
      <w:r>
        <w:tab/>
        <w:t xml:space="preserve">El nuevo impuesto temporal de solidaridad de las grandes fortunas no se crea en aplicación de la Ley Orgánica de financiación de las comunidades autónomas, sino en ejercicio de las competencias del Estado </w:t>
      </w:r>
      <w:r w:rsidRPr="008D479B">
        <w:rPr>
          <w:i/>
        </w:rPr>
        <w:t xml:space="preserve">ex </w:t>
      </w:r>
      <w:r>
        <w:t>arts. 133.1 y 149.1.14 CE, las cuales no deben instrumentarse mediante ley orgánica (STC 26/2015) [FJ 3].</w:t>
      </w:r>
    </w:p>
    <w:p w14:paraId="44702833" w14:textId="77777777" w:rsidR="008D479B" w:rsidRDefault="008D479B" w:rsidP="008D479B">
      <w:pPr>
        <w:pStyle w:val="Extracto"/>
      </w:pPr>
    </w:p>
    <w:p w14:paraId="600E5C57" w14:textId="79298361" w:rsidR="008D479B" w:rsidRDefault="008D479B" w:rsidP="008D479B">
      <w:pPr>
        <w:pStyle w:val="Extracto"/>
      </w:pPr>
      <w:r>
        <w:t>8.</w:t>
      </w:r>
      <w:r>
        <w:tab/>
        <w:t>El impuesto temporal de solidaridad de las grandes fortunas no minora los ingresos autonómicos, por lo que no es precisa ninguna fórmula de colaboración financiera y, por ende, no forma parte de los supuestos para los que el art. 157.3 CE establece una reserva de ley orgánica [FJ 3].</w:t>
      </w:r>
    </w:p>
    <w:p w14:paraId="0C2B5E9A" w14:textId="77777777" w:rsidR="008D479B" w:rsidRDefault="008D479B" w:rsidP="008D479B">
      <w:pPr>
        <w:pStyle w:val="Extracto"/>
      </w:pPr>
    </w:p>
    <w:p w14:paraId="79F6C6F7" w14:textId="14D17A2E" w:rsidR="008D479B" w:rsidRDefault="008D479B" w:rsidP="008D479B">
      <w:pPr>
        <w:pStyle w:val="Extracto"/>
      </w:pPr>
      <w:r>
        <w:t>9.</w:t>
      </w:r>
      <w:r>
        <w:tab/>
        <w:t>El principio de lealtad institucional, reconocido en el art. 2.1 g) LOFCA, no queda afectado por el establecimiento del impuesto temporal de solidaridad de las grandes fortunas porque éste no genera desigualdad ni pérdida recaudatoria para las comunidades autónomas [FJ 3].</w:t>
      </w:r>
    </w:p>
    <w:p w14:paraId="5F2D6688" w14:textId="77777777" w:rsidR="008D479B" w:rsidRDefault="008D479B" w:rsidP="008D479B">
      <w:pPr>
        <w:pStyle w:val="Extracto"/>
      </w:pPr>
    </w:p>
    <w:p w14:paraId="3ED7DC4F" w14:textId="74160357" w:rsidR="008D479B" w:rsidRDefault="008D479B" w:rsidP="008D479B">
      <w:pPr>
        <w:pStyle w:val="Extracto"/>
      </w:pPr>
      <w:r>
        <w:t>10.</w:t>
      </w:r>
      <w:r>
        <w:tab/>
        <w:t>El art. 31.1 CE prohíbe el efecto confiscatorio en que incurre todo tributo que agote la riqueza imponible so pretexto del deber de contribuir al sostenimiento de los gastos públicos, o que someta a gravamen una riqueza inexistente en contra del principio de capacidad económica (SSTC 150/1990, 26/2017 o 182/2021) [FJ 4].</w:t>
      </w:r>
    </w:p>
    <w:p w14:paraId="70D01577" w14:textId="77777777" w:rsidR="008D479B" w:rsidRDefault="008D479B" w:rsidP="008D479B">
      <w:pPr>
        <w:pStyle w:val="Extracto"/>
      </w:pPr>
    </w:p>
    <w:p w14:paraId="641011D4" w14:textId="39DE35BE" w:rsidR="008D479B" w:rsidRDefault="008D479B" w:rsidP="008D479B">
      <w:pPr>
        <w:pStyle w:val="Extracto"/>
      </w:pPr>
      <w:r>
        <w:t>11.</w:t>
      </w:r>
      <w:r>
        <w:tab/>
        <w:t>Los datos sobre la rentabilidad en el mercado de determinados activos financieros no sirven para fundamentar la infracción del principio de capacidad económica como criterio, parámetro o medida respecto de un impuesto que recae sobre la titularidad de un patrimonio [FJ 4].</w:t>
      </w:r>
    </w:p>
    <w:p w14:paraId="232914A2" w14:textId="77777777" w:rsidR="008D479B" w:rsidRDefault="008D479B" w:rsidP="008D479B">
      <w:pPr>
        <w:pStyle w:val="Extracto"/>
      </w:pPr>
    </w:p>
    <w:p w14:paraId="4FF96A91" w14:textId="1CA798A9" w:rsidR="008D479B" w:rsidRDefault="008D479B" w:rsidP="008D479B">
      <w:pPr>
        <w:pStyle w:val="Extracto"/>
      </w:pPr>
      <w:r>
        <w:t>12.</w:t>
      </w:r>
      <w:r>
        <w:tab/>
        <w:t>No existe una prohibición constitucional de la legislación tributaria retroactiva, pues las normas tributarias no tienen carácter sancionador, sino que imponen a los ciudadanos la obligación de contribuir al sostenimiento de gastos públicos o de efectuar prestaciones patrimoniales de carácter público (art. 31.3 CE); ni tampoco existe en nuestro ordenamiento constitucional un derecho de los ciudadanos al mantenimiento de un determinado régimen fiscal  (STC 121/2016) [FJ 5].</w:t>
      </w:r>
    </w:p>
    <w:p w14:paraId="44904A8E" w14:textId="77777777" w:rsidR="008D479B" w:rsidRDefault="008D479B" w:rsidP="008D479B">
      <w:pPr>
        <w:pStyle w:val="Extracto"/>
      </w:pPr>
    </w:p>
    <w:p w14:paraId="1B71A5F5" w14:textId="71F87A0C" w:rsidR="008D479B" w:rsidRDefault="008D479B" w:rsidP="008D479B">
      <w:pPr>
        <w:pStyle w:val="Extracto"/>
      </w:pPr>
      <w:r>
        <w:t>13.</w:t>
      </w:r>
      <w:r>
        <w:tab/>
        <w:t>El análisis sobre el ajuste de la retroactividad tributaria al principio de seguridad jurídica (art. 9.3 CE) depende de su grado y de las circunstancias específicas que concurran en cada caso (STC 121/2016) [FJ 5].</w:t>
      </w:r>
    </w:p>
    <w:p w14:paraId="155BF2FE" w14:textId="77777777" w:rsidR="008D479B" w:rsidRDefault="008D479B" w:rsidP="008D479B">
      <w:pPr>
        <w:pStyle w:val="Extracto"/>
      </w:pPr>
    </w:p>
    <w:p w14:paraId="3AA98D73" w14:textId="77777777" w:rsidR="008D479B" w:rsidRDefault="008D479B" w:rsidP="008D479B">
      <w:pPr>
        <w:pStyle w:val="Extracto"/>
      </w:pPr>
    </w:p>
    <w:p w14:paraId="74AA439F" w14:textId="77777777" w:rsidR="008D479B" w:rsidRDefault="008D479B" w:rsidP="008D479B">
      <w:pPr>
        <w:pStyle w:val="TextoNormal"/>
      </w:pPr>
      <w: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 ha pronunciado</w:t>
      </w:r>
    </w:p>
    <w:p w14:paraId="58A2D503" w14:textId="2566D29B" w:rsidR="008D479B" w:rsidRDefault="008D479B" w:rsidP="008D479B">
      <w:pPr>
        <w:pStyle w:val="TextoNormal"/>
      </w:pPr>
    </w:p>
    <w:p w14:paraId="7C016346" w14:textId="77777777" w:rsidR="008D479B" w:rsidRDefault="008D479B" w:rsidP="008D479B">
      <w:pPr>
        <w:pStyle w:val="TextoNormalCentrado"/>
        <w:keepNext/>
      </w:pPr>
      <w:r>
        <w:t>EN NOMBRE DEL REY</w:t>
      </w:r>
    </w:p>
    <w:p w14:paraId="28A2A519" w14:textId="02A4814F" w:rsidR="008D479B" w:rsidRDefault="008D479B" w:rsidP="008D479B">
      <w:pPr>
        <w:pStyle w:val="TextoNormalCentrado"/>
        <w:keepNext/>
      </w:pPr>
    </w:p>
    <w:p w14:paraId="31605CF8" w14:textId="77777777" w:rsidR="008D479B" w:rsidRDefault="008D479B" w:rsidP="008D479B">
      <w:pPr>
        <w:pStyle w:val="TextoNormalCentrado"/>
        <w:keepNext/>
      </w:pPr>
    </w:p>
    <w:p w14:paraId="6A450C98" w14:textId="77777777" w:rsidR="008D479B" w:rsidRDefault="008D479B" w:rsidP="008D479B">
      <w:pPr>
        <w:pStyle w:val="TextoNormal"/>
      </w:pPr>
      <w:r>
        <w:t>la siguiente</w:t>
      </w:r>
    </w:p>
    <w:p w14:paraId="5B77C168" w14:textId="1C43A607" w:rsidR="008D479B" w:rsidRDefault="008D479B" w:rsidP="008D479B">
      <w:pPr>
        <w:pStyle w:val="TextoNormal"/>
      </w:pPr>
    </w:p>
    <w:p w14:paraId="509CD434" w14:textId="77777777" w:rsidR="008D479B" w:rsidRDefault="008D479B" w:rsidP="008D479B">
      <w:pPr>
        <w:pStyle w:val="TextoNormalCentrado"/>
        <w:keepNext/>
      </w:pPr>
      <w:r>
        <w:t>SENTENCIA</w:t>
      </w:r>
    </w:p>
    <w:p w14:paraId="688E8782" w14:textId="3EF17831" w:rsidR="008D479B" w:rsidRDefault="008D479B" w:rsidP="008D479B">
      <w:pPr>
        <w:pStyle w:val="TextoNormalCentrado"/>
        <w:keepNext/>
      </w:pPr>
    </w:p>
    <w:p w14:paraId="4BF6860F" w14:textId="77777777" w:rsidR="008D479B" w:rsidRDefault="008D479B" w:rsidP="008D479B">
      <w:pPr>
        <w:pStyle w:val="TextoNormal"/>
      </w:pPr>
      <w:r>
        <w:t>En el recurso de inconstitucionalidad núm. 616-2023, interpuesto por el Consejo de Gobierno de la Comunidad de Madrid contra el art. 3 de la Ley 38/2022, de 27 de diciembre, para el establecimiento de gravámenes temporales energético y de entidades de crédito y establecimientos financieros de crédito y por la que se crea el impuesto temporal de solidaridad de las grandes fortunas, y se modifican determinadas normas tributarias. Han comparecido el Senado, el Congreso de los Diputados y el Gobierno de la Nación. Han formulado alegaciones la letrada de las Cortes Generales, en representación del Congreso, y el abogado del Estado, en representación del Gobierno. Ha sido ponente la magistrada doña María Luisa Balaguer Callejón.</w:t>
      </w:r>
    </w:p>
    <w:p w14:paraId="128C889F" w14:textId="46A89204" w:rsidR="008D479B" w:rsidRDefault="008D479B" w:rsidP="008D479B">
      <w:pPr>
        <w:pStyle w:val="TextoNormal"/>
      </w:pPr>
    </w:p>
    <w:p w14:paraId="792506A3" w14:textId="77777777" w:rsidR="008D479B" w:rsidRDefault="008D479B" w:rsidP="008D479B">
      <w:pPr>
        <w:pStyle w:val="TextoNormalNegritaCentrado"/>
        <w:keepNext/>
      </w:pPr>
      <w:r>
        <w:t>I. Antecedentes</w:t>
      </w:r>
    </w:p>
    <w:p w14:paraId="2F5C341A" w14:textId="7F479B7D" w:rsidR="008D479B" w:rsidRDefault="008D479B" w:rsidP="008D479B">
      <w:pPr>
        <w:pStyle w:val="TextoNormalNegritaCentrado"/>
        <w:keepNext/>
      </w:pPr>
    </w:p>
    <w:p w14:paraId="59B63BD7" w14:textId="77777777" w:rsidR="008D479B" w:rsidRDefault="008D479B" w:rsidP="008D479B">
      <w:pPr>
        <w:pStyle w:val="TextoNormal"/>
      </w:pPr>
      <w:r w:rsidRPr="008D479B">
        <w:rPr>
          <w:rStyle w:val="NumeroAFNegritaCaracter"/>
        </w:rPr>
        <w:t>1</w:t>
      </w:r>
      <w:r>
        <w:t>. El día 1 de febrero de 2023 tuvo entrada en el registro del Tribunal Constitucional el recurso de inconstitucionalidad interpuesto por el Consejo de Gobierno de la Comunidad de Madrid contra el art. 3 de la Ley 38/2022, de 27 de diciembre, para el establecimiento de gravámenes temporales energético y de entidades de crédito y establecimientos financieros de crédito y por la que se crea el impuesto temporal de solidaridad de las grandes fortunas, y se modifican determinadas normas tributarias (en adelante, Ley 38/2022). Dicha ley fue publicada en el “BOE” núm. 311, de 28 de diciembre de 2022 (corrección de errores publicada en el “BOE” núm. 54, de 4 de marzo de 2023, que no afecta al precepto impugnado). El art. 3 que se impugna lleva por rúbrica “Impuesto Temporal de Solidaridad de las Grandes Fortunas”.</w:t>
      </w:r>
    </w:p>
    <w:p w14:paraId="29B6B5B8" w14:textId="77777777" w:rsidR="008D479B" w:rsidRDefault="008D479B" w:rsidP="008D479B">
      <w:pPr>
        <w:pStyle w:val="TextoNormal"/>
      </w:pPr>
    </w:p>
    <w:p w14:paraId="22C08020" w14:textId="77777777" w:rsidR="008D479B" w:rsidRDefault="008D479B" w:rsidP="008D479B">
      <w:pPr>
        <w:pStyle w:val="TextoNormal"/>
      </w:pPr>
      <w:r>
        <w:t>a) La demanda impugna el art. 3 de la Ley 38/2022 por incurrir en diversos motivos de inconstitucionalidad, tanto formales como materiales.</w:t>
      </w:r>
    </w:p>
    <w:p w14:paraId="7514CA22" w14:textId="77777777" w:rsidR="008D479B" w:rsidRDefault="008D479B" w:rsidP="008D479B">
      <w:pPr>
        <w:pStyle w:val="TextoNormal"/>
      </w:pPr>
    </w:p>
    <w:p w14:paraId="68AC8B16" w14:textId="77777777" w:rsidR="008D479B" w:rsidRDefault="008D479B" w:rsidP="008D479B">
      <w:pPr>
        <w:pStyle w:val="TextoNormal"/>
      </w:pPr>
      <w:r>
        <w:t xml:space="preserve">La impugnación por razones formales se anuda a la tramitación parlamentaria seguida por el precepto, que fue introducido en el Congreso de los Diputados mediante una enmienda a propuesta de los grupos parlamentarios que sustentan al Gobierno (el Grupo Parlamentario Socialista y el Grupo Parlamentario Confederal de Unidas Podemos-En Comú Podem-Galicia en Común), que también habían presentado la proposición de ley que dio lugar a la Ley 38/2022. De este modo, considera que se eludieron tanto los trámites que debería haber seguido la norma de haberse introducido </w:t>
      </w:r>
      <w:r w:rsidRPr="008D479B">
        <w:rPr>
          <w:i/>
        </w:rPr>
        <w:t>ab initio</w:t>
      </w:r>
      <w:r>
        <w:t xml:space="preserve"> en la proposición de ley, como la posibilidad de debate parlamentario y enmienda por los restantes grupos.</w:t>
      </w:r>
    </w:p>
    <w:p w14:paraId="1FF32AC6" w14:textId="77777777" w:rsidR="008D479B" w:rsidRDefault="008D479B" w:rsidP="008D479B">
      <w:pPr>
        <w:pStyle w:val="TextoNormal"/>
      </w:pPr>
    </w:p>
    <w:p w14:paraId="77D75EC3" w14:textId="77777777" w:rsidR="008D479B" w:rsidRDefault="008D479B" w:rsidP="008D479B">
      <w:pPr>
        <w:pStyle w:val="TextoNormal"/>
      </w:pPr>
      <w:r>
        <w:t>El letrado autonómico reprocha que, a pesar de ser los grupos parlamentarios proponentes quienes “integran” el Gobierno de la Nación y que desde el propio Gobierno se reconoció que el Ministerio de Hacienda estaba trabajando en la configuración del nuevo tributo, se optara por presentar la iniciativa como proposición y no como proyecto de ley, evitando de este modo el necesario sometimiento a audiencia y petición de informes que estos últimos llevan aparejados. El hecho de que se acuda a esta vía, logrando una tramitación más acelerada y soslayando los trámites preceptivos de los proyectos de ley, constituye, en el mejor de los casos, una mala praxis parlamentaria que redunda en una peor calidad normativa.</w:t>
      </w:r>
    </w:p>
    <w:p w14:paraId="785CDA89" w14:textId="77777777" w:rsidR="008D479B" w:rsidRDefault="008D479B" w:rsidP="008D479B">
      <w:pPr>
        <w:pStyle w:val="TextoNormal"/>
      </w:pPr>
    </w:p>
    <w:p w14:paraId="009799D8" w14:textId="77777777" w:rsidR="008D479B" w:rsidRDefault="008D479B" w:rsidP="008D479B">
      <w:pPr>
        <w:pStyle w:val="TextoNormal"/>
      </w:pPr>
      <w:r>
        <w:t>Junto a lo anterior, con cita de la STC 23/1990, de 15 de febrero, FJ 5, y del ATC 118/1999, de 10 de mayo, FJ 3, la demanda invoca la “doctrina de la homogeneidad”, conforme a la cual, una vez que se ha tomado en consideración una proposición de ley, ya no es posible introducir enmiendas que no guarden relación con su objeto. Las enmiendas deben versar —afirma— no solo sobre la misma materia, sino sobre el mismo objeto. Al respecto, habría una absoluta desconexión entre el nuevo impuesto y los otros dos gravámenes de la proposición de ley, uno de los cuales recae sobre el sector energético (art. 1) y el otro sobre entidades y establecimientos financieros de crédito (art. 2). Es más, ni siquiera tendrían la misma naturaleza, pues el impuesto temporal de solidaridad de las grandes fortunas es un tributo, mientras que los gravámenes citados se configuran como prestaciones patrimoniales públicas de carácter no tributario. Para el letrado autonómico, prueba de esta desconexión es que, junto con la enmienda principal, se presentaron otras dos para modificar el título de la proposición de ley y de la exposición de motivos.</w:t>
      </w:r>
    </w:p>
    <w:p w14:paraId="3534E209" w14:textId="77777777" w:rsidR="008D479B" w:rsidRDefault="008D479B" w:rsidP="008D479B">
      <w:pPr>
        <w:pStyle w:val="TextoNormal"/>
      </w:pPr>
    </w:p>
    <w:p w14:paraId="2C48AF44" w14:textId="77777777" w:rsidR="008D479B" w:rsidRDefault="008D479B" w:rsidP="008D479B">
      <w:pPr>
        <w:pStyle w:val="TextoNormal"/>
      </w:pPr>
      <w:r>
        <w:t>Con apoyo en el citado ATC 118/1999 y en la STC 136/2011, de 13 de septiembre, el gobierno autonómico recurrente afirma que, al introducir contenidos ajenos a la iniciativa, se está alterando de modo sustancial el proceso de formación de voluntad de las Cámaras. Con ello, se provoca un déficit democrático, tal y como denunciaron diversos grupos parlamentarios durante la tramitación de la Ley 38/2022, en sus intervenciones, que se extractan en la demanda. La vulneración del procedimiento legislativo conculcó los derechos de representación política de los parlamentarios, a los que privó de la posibilidad de formular enmiendas sobre el texto del art. 3. Concluye, por ello, que se vulneraron los arts. 23.2, 66.2 y 87 CE, en conexión con los arts. 110 y 126.5 del Reglamento del Congreso.</w:t>
      </w:r>
    </w:p>
    <w:p w14:paraId="598EF9B7" w14:textId="77777777" w:rsidR="008D479B" w:rsidRDefault="008D479B" w:rsidP="008D479B">
      <w:pPr>
        <w:pStyle w:val="TextoNormal"/>
      </w:pPr>
    </w:p>
    <w:p w14:paraId="171236AD" w14:textId="77777777" w:rsidR="008D479B" w:rsidRDefault="008D479B" w:rsidP="008D479B">
      <w:pPr>
        <w:pStyle w:val="TextoNormal"/>
      </w:pPr>
      <w:r>
        <w:t>La demanda termina su argumentación sobre el vicio formal refiriéndose al reciente ATC 177/2022, de 19 de diciembre, que ha reiterado en su fundamento jurídico 6 la relevancia del derecho de enmienda de los parlamentarios en el desarrollo de su función de representación política, así como la incidencia de su privación en el procedimiento legislativo.</w:t>
      </w:r>
    </w:p>
    <w:p w14:paraId="0D340604" w14:textId="77777777" w:rsidR="008D479B" w:rsidRDefault="008D479B" w:rsidP="008D479B">
      <w:pPr>
        <w:pStyle w:val="TextoNormal"/>
      </w:pPr>
    </w:p>
    <w:p w14:paraId="79844488" w14:textId="77777777" w:rsidR="008D479B" w:rsidRDefault="008D479B" w:rsidP="008D479B">
      <w:pPr>
        <w:pStyle w:val="TextoNormal"/>
      </w:pPr>
      <w:r>
        <w:t>b) En segundo lugar, el Consejo de Gobierno de la Comunidad Madrid denuncia que la disposición impugnada incurre en fraude de ley, pues pretende evitar los trámites para la modificación de las condiciones de la cesión a las comunidades autónomas del impuesto sobre el patrimonio. El impuesto temporal de solidaridad de las grandes fortunas no solo se ha introducido mediante una enmienda desconectada del resto del articulado, sino que se ha creado para armonizar la tributación del patrimonio entre comunidades autónomas, eludiendo los trámites para modificar la cesión del impuesto sobre el patrimonio.</w:t>
      </w:r>
    </w:p>
    <w:p w14:paraId="34F45C37" w14:textId="77777777" w:rsidR="008D479B" w:rsidRDefault="008D479B" w:rsidP="008D479B">
      <w:pPr>
        <w:pStyle w:val="TextoNormal"/>
      </w:pPr>
    </w:p>
    <w:p w14:paraId="5F48C875" w14:textId="77777777" w:rsidR="008D479B" w:rsidRDefault="008D479B" w:rsidP="008D479B">
      <w:pPr>
        <w:pStyle w:val="TextoNormal"/>
      </w:pPr>
      <w:r>
        <w:t>El letrado autonómico alega que el impuesto temporal de solidaridad de las grandes fortunas presenta una importante particularidad, sin precedente, y es que su hecho imponible se solapa con el preexistente impuesto sobre el patrimonio, cuya recaudación está cedida a las comunidades autónomas. Mientras que este último impuesto grava el patrimonio de las personas físicas por encima del mínimo exento de 700 000 € (o el mínimo exento que haya fijado cada comunidad autónoma), el impuesto temporal de solidaridad de las grandes fortunas se exige a partir de un umbral de 3 000 000 €, por lo que ambos comparten el mismo hecho imponible. Por tanto, el fundamento de los dos impuestos es el mismo y gravan la misma manifestación de la capacidad de pago. Sin embargo, la recaudación del impuesto sobre el patrimonio pertenece a las comunidades autónomas, al ser un impuesto cedido, en tanto que la del nuevo impuesto corresponde al Estado pues, según el art. 3.2.2 de la Ley 38/2022, este no podrá cederse.</w:t>
      </w:r>
    </w:p>
    <w:p w14:paraId="3B266785" w14:textId="77777777" w:rsidR="008D479B" w:rsidRDefault="008D479B" w:rsidP="008D479B">
      <w:pPr>
        <w:pStyle w:val="TextoNormal"/>
      </w:pPr>
    </w:p>
    <w:p w14:paraId="37BD54D3" w14:textId="77777777" w:rsidR="008D479B" w:rsidRDefault="008D479B" w:rsidP="008D479B">
      <w:pPr>
        <w:pStyle w:val="TextoNormal"/>
      </w:pPr>
      <w:r>
        <w:t>Para el gobierno autonómico demandante, el impuesto controvertido tiene un reconocido efecto armonizador, dirigido a forzar la tributación de las personas físicas con patrimonio superior a 3 000 000 € que residan en la Comunidad de Madrid. Reconocen que la cesión del impuesto sobre el patrimonio no altera su naturaleza de tributo estatal (cita la Ley Orgánica 8/1980, de 22 de septiembre, de financiación de las comunidades autónomas —LOFCA— y la Ley 22/2009, de 18 de diciembre, por la que se regula el sistema de financiación —Ley 22/2009—) y que la delegación de competencias normativas sobre los tributos cedidos no altera la titularidad estatal. A pesar de ello, sostiene que la modificación de los términos de la cesión no puede realizarse unilateralmente por el Estado, sino que debe ajustarse al procedimiento establecido al efecto. Esta previsión se refuerza por lo dispuesto en el art. 9.3 de la Ley 10/2022, de 16 de noviembre, de defensa de la autonomía financiera de la Comunidad de Madrid, que remite a dicho procedimiento para regular el alcance y condiciones de la cesión de tributos a dicha comunidad.</w:t>
      </w:r>
    </w:p>
    <w:p w14:paraId="47B182C0" w14:textId="77777777" w:rsidR="008D479B" w:rsidRDefault="008D479B" w:rsidP="008D479B">
      <w:pPr>
        <w:pStyle w:val="TextoNormal"/>
      </w:pPr>
    </w:p>
    <w:p w14:paraId="66AEEA66" w14:textId="77777777" w:rsidR="008D479B" w:rsidRDefault="008D479B" w:rsidP="008D479B">
      <w:pPr>
        <w:pStyle w:val="TextoNormal"/>
      </w:pPr>
      <w:r>
        <w:t>Por ello, si el Estado quería modificar los términos de la cesión del impuesto sobre el patrimonio, debería haberse sometido al procedimiento previsto, que requiere la previa convocatoria y acuerdo de la Comisión Mixta entre el Estado y la Comunidad de Madrid y la modificación de las leyes por las que se cede el impuesto. En apoyo de este argumento, cita lo sucedido recientemente con el impuesto sobre el depósito de residuos en vertederos, la incineración y la coincineración de residuos, regulado en la Ley 7/2022, de 8 de abril, de residuos y suelos contaminados para una economía circular, que entró en vigor el 1 de enero de 2023. Además, la necesidad de respetar dicho procedimiento ha sido subrayada en diversas ocasiones por el Tribunal Constitucional, por ejemplo, en la STC 35/2012, de 15 de marzo, FJ 9, según la cual, el Estado, como titular de los tributos cedidos, puede modificar el alcance y condiciones de la cesión, pero debe respetar el marco procedimental establecido.</w:t>
      </w:r>
    </w:p>
    <w:p w14:paraId="7F4534E7" w14:textId="77777777" w:rsidR="008D479B" w:rsidRDefault="008D479B" w:rsidP="008D479B">
      <w:pPr>
        <w:pStyle w:val="TextoNormal"/>
      </w:pPr>
    </w:p>
    <w:p w14:paraId="5DE2FD2F" w14:textId="77777777" w:rsidR="008D479B" w:rsidRDefault="008D479B" w:rsidP="008D479B">
      <w:pPr>
        <w:pStyle w:val="TextoNormal"/>
      </w:pPr>
      <w:r>
        <w:t>Por tanto, la queja se resume en que el nuevo tributo se ha creado con el exclusivo objeto de armonizar la tributación del patrimonio de las personas físicas, eludiendo, en fraude de ley, el procedimiento previsto en normas integrantes del bloque de constitucionalidad, como son el Estatuto de Autonomía de la Comunidad de Madrid, la Ley Orgánica de financiación de las comunidades autónomas y la Ley 22/2009.</w:t>
      </w:r>
    </w:p>
    <w:p w14:paraId="74D03557" w14:textId="77777777" w:rsidR="008D479B" w:rsidRDefault="008D479B" w:rsidP="008D479B">
      <w:pPr>
        <w:pStyle w:val="TextoNormal"/>
      </w:pPr>
    </w:p>
    <w:p w14:paraId="16AB89A3" w14:textId="77777777" w:rsidR="008D479B" w:rsidRDefault="008D479B" w:rsidP="008D479B">
      <w:pPr>
        <w:pStyle w:val="TextoNormal"/>
      </w:pPr>
      <w:r>
        <w:t>Adicionalmente, argumenta que, existiendo un conflicto en la regulación autonómica del impuesto sobre el patrimonio. impuesto cedido, es aplicable el art. 157.3 CE, que establece una reserva de ley orgánica para aprobar las normas que resuelvan los conflictos que pudieran surgir y las posibles formas de colaboración financiera entre las comunidades autónomas y el Estado.</w:t>
      </w:r>
    </w:p>
    <w:p w14:paraId="23DE15F7" w14:textId="77777777" w:rsidR="008D479B" w:rsidRDefault="008D479B" w:rsidP="008D479B">
      <w:pPr>
        <w:pStyle w:val="TextoNormal"/>
      </w:pPr>
    </w:p>
    <w:p w14:paraId="2928E91A" w14:textId="77777777" w:rsidR="008D479B" w:rsidRDefault="008D479B" w:rsidP="008D479B">
      <w:pPr>
        <w:pStyle w:val="TextoNormal"/>
      </w:pPr>
      <w:r>
        <w:t>El letrado autonómico razona que, de las dos justificaciones incluidas en la exposición de motivos de la Ley 38/2022, la finalidad recaudatoria es residual. Respecto de la finalidad armonizadora, menciona el precedente del impuesto sobre los depósitos en las entidades de crédito, que también perseguía dicha finalidad y fue objeto de la STC 26/2015, de 19 de febrero, por la que se desestimó el recurso formulado por el Parlamento de Cataluña. Según su fundamento jurídico 4, el Estado tiene competencia para establecer un impuesto con la finalidad de asegurar un tratamiento fiscal armonizado de esta materia imponible, con base en el art. 6.2 LOFCA. Sin embargo, dicha sentencia cuenta con un voto particular, suscrito por cinco magistrados, que denuncian la ausencia de una finalidad constitucionalmente legítima en la creación del impuesto estatal con un tipo de gravamen cero para evitar el establecimiento de impuestos autonómicos sobre el mismo hecho imponible, así como la vulneración del sistema de fuentes en la consecución de la finalidad armonizadora realmente perseguida con la creación del impuesto. Las analogías entre el impuesto sobre los depósitos en las entidades de crédito y el impuesto temporal de solidaridad de las grandes fortunas son plausibles ya que, aunque este segundo no tiene un tipo cero, grava el mismo hecho imponible que el preexistente impuesto sobre el patrimonio, con la única diferencia del mínimo exento y, además, declara deducible (art. 3.15 de la Ley 38/2022) la cuota efectivamente satisfecha en virtud del impuesto sobre el patrimonio con lo que, en la práctica, la recaudación del impuesto temporal de solidaridad de las grandes fortunas será cero en las comunidades autónomas donde se tribute por el impuesto cedido.</w:t>
      </w:r>
    </w:p>
    <w:p w14:paraId="43EE0CC4" w14:textId="77777777" w:rsidR="008D479B" w:rsidRDefault="008D479B" w:rsidP="008D479B">
      <w:pPr>
        <w:pStyle w:val="TextoNormal"/>
      </w:pPr>
    </w:p>
    <w:p w14:paraId="3F52E0D8" w14:textId="77777777" w:rsidR="008D479B" w:rsidRDefault="008D479B" w:rsidP="008D479B">
      <w:pPr>
        <w:pStyle w:val="TextoNormal"/>
      </w:pPr>
      <w:r>
        <w:t xml:space="preserve">Al mismo tiempo, para el representante del gobierno autonómico existe una diferencia sustancial entre el impuesto temporal de solidaridad de las grandes fortunas y el impuesto sobre los depósitos en las entidades de crédito, que refuerza la necesidad de observar lo dispuesto en el art. 157.3 CE en el supuesto analizado, y es que, mientras en el caso del impuesto sobre los depósitos en las entidades de crédito no existían aún tributos previamente establecidos sobre el hecho imponible, por lo que fue creado con la finalidad de impedir su aprobación por las comunidades autónomas, en el impuesto temporal de solidaridad de las grandes fortunas ya existe otro tributo estatal prexistente —el impuesto sobre el patrimonio— cuyas competencias normativas se encuentran cedidas a las comunidades autónomas, que el Estado pretende recuperar </w:t>
      </w:r>
      <w:r w:rsidRPr="008D479B">
        <w:rPr>
          <w:i/>
        </w:rPr>
        <w:t>de facto</w:t>
      </w:r>
      <w:r>
        <w:t>, sin modifica</w:t>
      </w:r>
      <w:r w:rsidRPr="008D479B">
        <w:rPr>
          <w:i/>
        </w:rPr>
        <w:t>r de iu</w:t>
      </w:r>
      <w:r>
        <w:t>re su cesión.</w:t>
      </w:r>
    </w:p>
    <w:p w14:paraId="396193B3" w14:textId="77777777" w:rsidR="008D479B" w:rsidRDefault="008D479B" w:rsidP="008D479B">
      <w:pPr>
        <w:pStyle w:val="TextoNormal"/>
      </w:pPr>
    </w:p>
    <w:p w14:paraId="2C8856B7" w14:textId="77777777" w:rsidR="008D479B" w:rsidRDefault="008D479B" w:rsidP="008D479B">
      <w:pPr>
        <w:pStyle w:val="TextoNormal"/>
      </w:pPr>
      <w:r>
        <w:t>c) A continuación, la demanda aborda la vulneración del principio de seguridad jurídica (art. 9.3 CE), por establecerse el tributo con carácter retroactivo. Comienza recordando que el impuesto controvertido se devengará el 31 de diciembre de cada año y afectará al patrimonio neto del titular a dicha fecha. Dado que la Ley 38/2022 se ha publicado en el “BOE” de 28 de diciembre y entró en vigor al día siguiente, grava los grandes patrimonios, no ya en 2023, sino en 2022, con una retroactividad en grado medio que incide sobre situaciones preexistentes.</w:t>
      </w:r>
    </w:p>
    <w:p w14:paraId="3A3DDFC2" w14:textId="77777777" w:rsidR="008D479B" w:rsidRDefault="008D479B" w:rsidP="008D479B">
      <w:pPr>
        <w:pStyle w:val="TextoNormal"/>
      </w:pPr>
    </w:p>
    <w:p w14:paraId="6E90B471" w14:textId="77777777" w:rsidR="008D479B" w:rsidRDefault="008D479B" w:rsidP="008D479B">
      <w:pPr>
        <w:pStyle w:val="TextoNormal"/>
      </w:pPr>
      <w:r>
        <w:t>El letrado autonómico admite que la Constitución no contiene una prohibición expresa de retroactividad de las normas tributarias, lo que no significa que no se conculquen otros principios constitucionales, como sucede con el de seguridad jurídica, cuando la norma tributaria que se impone con carácter retroactivo resulta sorpresiva y contraria a unas mínimas exigencias de la planificación de la actividad económica. Con cita de la STC 126/1987, de 16 de julio, FJ 11, recuerda la distinción entre retroactividad de grado medio (impropia) y de grado máximo (propia o auténtica). También menciona la STC 173/1996, de 31 de octubre, que estimó la vulneración del art. 9.3 CE, no ya por la introducción inesperada de un nuevo impuesto, sino por el incremento del tipo de gravamen de uno ya existente.</w:t>
      </w:r>
    </w:p>
    <w:p w14:paraId="54AD107C" w14:textId="77777777" w:rsidR="008D479B" w:rsidRDefault="008D479B" w:rsidP="008D479B">
      <w:pPr>
        <w:pStyle w:val="TextoNormal"/>
      </w:pPr>
    </w:p>
    <w:p w14:paraId="4F515E6D" w14:textId="77777777" w:rsidR="008D479B" w:rsidRDefault="008D479B" w:rsidP="008D479B">
      <w:pPr>
        <w:pStyle w:val="TextoNormal"/>
      </w:pPr>
      <w:r>
        <w:t>Al igual que en el supuesto enjuiciado en dicha STC 173/1996, la introducción del impuesto temporal de solidaridad de las grandes fortunas puede calificarse de imprevisible, pues hasta el mes de octubre de 2022 el Ministerio de Hacienda y Función Pública no se manifestó sobre el nuevo tributo, cuyo anuncio se produjo semanas después de que la Junta de Andalucía aprobase la bonificación total del impuesto sobre el patrimonio, siguiendo la política que la Comunidad de Madrid venía aplicando desde 2010. Además, hasta el 26 de octubre de 2022 no se hizo pública la intención de adelantar la entrada en vigor a 2022. Denuncia que no se expresan las razones que justifiquen este carácter retroactivo, pues el preámbulo de la Ley 38/2022 solo alude a las finalidades recaudatoria y armonizadora, pero en ningún caso se aducen motivos de urgencia que amparen la retroactividad.</w:t>
      </w:r>
    </w:p>
    <w:p w14:paraId="4479212E" w14:textId="77777777" w:rsidR="008D479B" w:rsidRDefault="008D479B" w:rsidP="008D479B">
      <w:pPr>
        <w:pStyle w:val="TextoNormal"/>
      </w:pPr>
    </w:p>
    <w:p w14:paraId="6F1170C0" w14:textId="77777777" w:rsidR="008D479B" w:rsidRDefault="008D479B" w:rsidP="008D479B">
      <w:pPr>
        <w:pStyle w:val="TextoNormal"/>
      </w:pPr>
      <w:r>
        <w:t xml:space="preserve">d) En cuarto lugar, se alega la infracción de los principios de capacidad económica y no confiscatoriedad reconocidos en el art. 31.1 CE. La demanda empieza admitiendo que el patrimonio puede ser expresivo de capacidad económica. Sin embargo, una cosa es gravar una renta potencial y otra muy distinta es someter a tributación una renta irreal, dado que el referido principio quiebra en aquellos supuestos en los que la capacidad económica gravada por el tributo sea, no ya potencial, sino inexistente o ficticia. Cita, en apoyo de esto, las SSTC 26/2017, de 16 de febrero, FJ 2, y 182/2021, de 26 de octubre, FJ 2. Esta última aclara que la vulneración del principio de no confiscatoriedad implica </w:t>
      </w:r>
      <w:r w:rsidRPr="008D479B">
        <w:rPr>
          <w:i/>
        </w:rPr>
        <w:t>per se</w:t>
      </w:r>
      <w:r>
        <w:t xml:space="preserve"> la del principio de capacidad, pero con un </w:t>
      </w:r>
      <w:r w:rsidRPr="008D479B">
        <w:rPr>
          <w:i/>
        </w:rPr>
        <w:t>plus</w:t>
      </w:r>
      <w:r>
        <w:t xml:space="preserve"> adicional. Menciona, asimismo, la STC 150/1990, de 4 de octubre, FJ 9, y la indicada STC 26/2017, según la cual el límite de la no confiscatoriedad opera respecto de cada tributo en particular, no solo del sistema tributario en su conjunto.</w:t>
      </w:r>
    </w:p>
    <w:p w14:paraId="4D342F0B" w14:textId="77777777" w:rsidR="008D479B" w:rsidRDefault="008D479B" w:rsidP="008D479B">
      <w:pPr>
        <w:pStyle w:val="TextoNormal"/>
      </w:pPr>
    </w:p>
    <w:p w14:paraId="23616C33" w14:textId="77777777" w:rsidR="008D479B" w:rsidRDefault="008D479B" w:rsidP="008D479B">
      <w:pPr>
        <w:pStyle w:val="TextoNormal"/>
      </w:pPr>
      <w:r>
        <w:t xml:space="preserve">Aduce que, pese a que no ha habido un pronunciamiento del Tribunal Constitucional referido al impuesto sobre el patrimonio y a su posible confiscatoriedad, cabría extrapolar </w:t>
      </w:r>
      <w:r w:rsidRPr="008D479B">
        <w:rPr>
          <w:i/>
        </w:rPr>
        <w:t>prima facie</w:t>
      </w:r>
      <w:r>
        <w:t xml:space="preserve"> alguno de los argumentos de las sentencias constitucionales sobre el impuesto sobre el incremento del valor de los terrenos de naturaleza urbana acerca del contexto económico en que la norma fue aprobada. Al respecto, la demanda indica que, cuando se implantó el impuesto sobre el patrimonio, obtener un rendimiento al patrimonio del 2,5 por 100 era relativamente sencillo pues en octubre de 1977 los tipos de interés eran del 18,16 por 100 (y un año después, en octubre de 1978, llegaron al 39,07 por 100). Pero, actualmente, el tipo máximo de gravamen se ha elevado hasta el 3,5 por 100, mientras que los tipos de interés se encuentran en el 2,5 por 100, y ello a pesar de estar en su momento más elevado desde 2008, habiendo permanecido en cero desde marzo de 2016 hasta julio de 2022, y por debajo del 1 por 100 desde julio hasta septiembre de 2022. También se refiere al informe de la Comisión de expertos para la reforma del sistema tributario español de 2014 (“informe Lagares”), que recomendaba la supresión del impuesto sobre el patrimonio, así como el </w:t>
      </w:r>
      <w:r w:rsidRPr="008D479B">
        <w:rPr>
          <w:i/>
        </w:rPr>
        <w:t>Libro blanco para la reforma tributaria</w:t>
      </w:r>
      <w:r>
        <w:t xml:space="preserve"> de 2022, que aconseja su revisión en profundidad.</w:t>
      </w:r>
    </w:p>
    <w:p w14:paraId="43CB21B6" w14:textId="77777777" w:rsidR="008D479B" w:rsidRDefault="008D479B" w:rsidP="008D479B">
      <w:pPr>
        <w:pStyle w:val="TextoNormal"/>
      </w:pPr>
    </w:p>
    <w:p w14:paraId="00DF4808" w14:textId="77777777" w:rsidR="008D479B" w:rsidRDefault="008D479B" w:rsidP="008D479B">
      <w:pPr>
        <w:pStyle w:val="TextoNormal"/>
      </w:pPr>
      <w:r>
        <w:t>La demanda sostiene que el desajuste entre el rendimiento que la norma exige obtener a los patrimonios de los contribuyentes y el rendimiento real que estos pueden lograr atendiendo a la realidad del mercado es de todo punto irreal y resulta prácticamente inalcanzable. Para argumentar esto, compara la escala de gravamen del impuesto temporal de solidaridad de las grandes fortunas con los datos de rentabilidad de productos como los depósitos, los fondos de inversión garantizados, la deuda pública, los planes de pensiones y los índices de renta variable más importantes del mundo. Entiende que no cabe alegar de contrario el posible efecto de los límites a la cuota y las deducciones que regulan, respectivamente, los apartados doce y trece a quince del art. 3 de la Ley 38/2022, puesto que, por sí solos, no evitan el efecto de agotar toda la capacidad económica, real o potencial, sometida a gravamen. En suma, en la generalidad de situaciones se estará exigiendo el impuesto sobre un crecimiento del patrimonio ficticio y muy superior al que cabe reclamar a un inversor medio, o a una persona mínimamente diligente en la gestión de sus bienes, con lo que dicho patrimonio se verá reducido anualmente para poder satisfacer el gravamen, afectándose de ese modo y sin justificación a la capacidad económica de los contribuyentes.</w:t>
      </w:r>
    </w:p>
    <w:p w14:paraId="4047A5D1" w14:textId="77777777" w:rsidR="008D479B" w:rsidRDefault="008D479B" w:rsidP="008D479B">
      <w:pPr>
        <w:pStyle w:val="TextoNormal"/>
      </w:pPr>
    </w:p>
    <w:p w14:paraId="3F0B154C" w14:textId="77777777" w:rsidR="008D479B" w:rsidRDefault="008D479B" w:rsidP="008D479B">
      <w:pPr>
        <w:pStyle w:val="TextoNormal"/>
      </w:pPr>
      <w:r>
        <w:t>e) La última tacha que dirige el Consejo de Gobierno de la Comunidad de Madrid contra el impuesto temporal de solidaridad de las grandes fortunas es que vulnera la autonomía política y financiera de las comunidades autónomas, así como los principios de corresponsabilidad fiscal, coordinación y lealtad institucional. Comienza recordando que el art. 156.1 CE garantiza a las comunidades autónomas “la autonomía financiera para el desarrollo y ejecución de sus competencias con arreglo a los principios de coordinación con la hacienda estatal y de solidaridad entre todos los españoles”. Dicho principio se reitera en el art. 1 LOFCA y ha sido recientemente reforzado en el ámbito autonómico madrileño por la Ley 10/2022, antes mencionada. Tras reseñar algunas sentencias constitucionales sobre dicho principio, afirma que, al haber bonificado la Comunidad de Madrid el impuesto sobre el patrimonio de forma íntegra, podría argumentarse que ha renunciado a dicho ingreso. Ahora bien, como recuerda la STC 168/2004, de 6 de octubre, FJ 4, la autonomía financiera no entraña solo la libertad de sus órganos de gobierno para la fijación del destino y orientación del gasto público, sino también para la cuantificación y distribución de sus ingresos.</w:t>
      </w:r>
    </w:p>
    <w:p w14:paraId="663FC729" w14:textId="77777777" w:rsidR="008D479B" w:rsidRDefault="008D479B" w:rsidP="008D479B">
      <w:pPr>
        <w:pStyle w:val="TextoNormal"/>
      </w:pPr>
    </w:p>
    <w:p w14:paraId="59E7F567" w14:textId="77777777" w:rsidR="008D479B" w:rsidRDefault="008D479B" w:rsidP="008D479B">
      <w:pPr>
        <w:pStyle w:val="TextoNormal"/>
      </w:pPr>
      <w:r>
        <w:t>Por su parte, la STC 65/2020, de 18 de junio, FJ 4 c), enfatiza el papel de los tributos cedidos para modular el monto final de la financiación mediante el ejercicio de competencias normativas en el marco de las leyes de cesión. De este modo, la autonomía financiera significa no solo poder establecer o aumentar tributos, sino rebajarlos e incluso suprimirlos, determinando cada comunidad autónoma su propio modelo fiscal, en el marco de su política económica, sin que sea anulado por decisiones estatales. Así pues, las comunidades autónomas pueden utilizar sus competencias normativas para optar entre incrementar los impuestos y el gasto público y, de este modo, incidir en la demanda agregada; o reducirlos para fomentar así el ahorro, la inversión y el consumo privados, como herramientas para aumentar la demanda agregada y el crecimiento económico. Recuerda que, según la STC 289/2000, de 30 de noviembre, FJ 3, la autonomía financiera está al servicio de la autonomía política como “la capacidad para elaborar sus propias políticas públicas en las materias de su competencia”.</w:t>
      </w:r>
    </w:p>
    <w:p w14:paraId="4CF96C32" w14:textId="77777777" w:rsidR="008D479B" w:rsidRDefault="008D479B" w:rsidP="008D479B">
      <w:pPr>
        <w:pStyle w:val="TextoNormal"/>
      </w:pPr>
    </w:p>
    <w:p w14:paraId="2F3EC401" w14:textId="77777777" w:rsidR="008D479B" w:rsidRDefault="008D479B" w:rsidP="008D479B">
      <w:pPr>
        <w:pStyle w:val="TextoNormal"/>
      </w:pPr>
      <w:r>
        <w:t>Sostiene que, frente a ello, el impuesto temporal de solidaridad de las grandes fortunas, de conformidad con su objetivo declarado, armoniza de forma impropia la tributación entre comunidades autónomas, afectando fundamentalmente a los contribuyentes de Madrid y Andalucía, pero también a los de otras comunidades que, con diferentes medidas legislativas, han ejercido sus potestades normativas en el marco del bloque de la constitucionalidad. En apoyo de esto, se refiere a un estudio de la Fundación de estudios de economía aplicada que identifica a las dos citadas comunidades autónomas como las más afectadas por el nuevo impuesto, que pretende dejar sin efecto las políticas propias adoptadas en legítimo ejercicio de su autonomía financiera. De lo anterior se colige que también se afecta la autonomía política consagrada en el art. 137 CE, pues el impuesto temporal que se impugna en este proceso constitucional se dicta con una finalidad extrafiscal que pretende igualar la tributación del patrimonio de las personas físicas en todo el territorio nacional, impidiendo el desarrollo por las comunidades autónomas de políticas propias que, en el caso de la Comunidad de Madrid, habían supuesto una atracción de inversión y una fuente de generación de riqueza que ahora se ve seriamente comprometida.</w:t>
      </w:r>
    </w:p>
    <w:p w14:paraId="05C417D8" w14:textId="77777777" w:rsidR="008D479B" w:rsidRDefault="008D479B" w:rsidP="008D479B">
      <w:pPr>
        <w:pStyle w:val="TextoNormal"/>
      </w:pPr>
    </w:p>
    <w:p w14:paraId="545D6DFC" w14:textId="77777777" w:rsidR="008D479B" w:rsidRDefault="008D479B" w:rsidP="008D479B">
      <w:pPr>
        <w:pStyle w:val="TextoNormal"/>
      </w:pPr>
      <w:r>
        <w:t>En conexión con lo anterior, se invocan los principios de corresponsabilidad fiscal, coordinación y lealtad institucional, que habrían obligado a tener en cuenta el impacto que la introducción del nuevo impuesto tiene sobre las comunidades autónomas y a poner en marcha mecanismos de colaboración e información recíproca, antes de su aprobación, lo que no se ha hecho.</w:t>
      </w:r>
    </w:p>
    <w:p w14:paraId="0BE4EB84" w14:textId="77777777" w:rsidR="008D479B" w:rsidRDefault="008D479B" w:rsidP="008D479B">
      <w:pPr>
        <w:pStyle w:val="TextoNormal"/>
      </w:pPr>
    </w:p>
    <w:p w14:paraId="5E8997C3" w14:textId="5F4D7B0F" w:rsidR="008D479B" w:rsidRDefault="008D479B" w:rsidP="008D479B">
      <w:pPr>
        <w:pStyle w:val="TextoNormal"/>
      </w:pPr>
      <w:r>
        <w:t>El letrado de la Comunidad de Madrid termina solicitando que se declare la inconstitucionalidad y consiguiente nulidad del art. 3 de la Ley 38/2022, por la que crea y regula el impuesto temporal de solidaridad de las grandes fortunas. Por otrosí, solicita la suspensión de su aplicación, por los importantes perjuicios que se derivarían en caso de aplicarse de forma inmediata. En apoyo de esta solicitud, aduce que, si bien el art. 161.2 CE no prevé expresamente la suspensión en casos como este, tampoco la prohíbe, como ya interpretaron los votos particulares formulados al ATC 90/2010, de 14 de julio.</w:t>
      </w:r>
    </w:p>
    <w:p w14:paraId="7AC346FB" w14:textId="77777777" w:rsidR="008D479B" w:rsidRDefault="008D479B" w:rsidP="008D479B">
      <w:pPr>
        <w:pStyle w:val="TextoNormal"/>
      </w:pPr>
    </w:p>
    <w:p w14:paraId="48062420" w14:textId="05A64529" w:rsidR="008D479B" w:rsidRDefault="008D479B" w:rsidP="008D479B">
      <w:pPr>
        <w:pStyle w:val="TextoNormal"/>
      </w:pPr>
      <w:r w:rsidRPr="008D479B">
        <w:rPr>
          <w:rStyle w:val="NumeroAFNegritaCaracter"/>
        </w:rPr>
        <w:t>2</w:t>
      </w:r>
      <w:r>
        <w:t>. El Pleno del Tribunal Constitucional, a propuesta de la Sección Cuarta, mediante providencia de 18 de abril de 2023, acordó admitir a trámite el presente recurso de inconstitucionalidad, dando traslado de la demanda y documentos presentados, conforme establece el art. 34 de la Ley Orgánica del Tribunal Constitucional (LOTC), al Congreso de los Diputados y al Senado, por conducto de sus presidentes, y al Gobierno, a través de la ministra de Justicia, al objeto de que, en el plazo de quince días, pudieran personarse en el proceso y formular las alegaciones que estimaren convenientes; denegar la suspensión solicitada por otrosí, en aplicación de la doctrina del Tribunal (AATC 90/2010, de 14 de julio; 132/2011, de 18 de octubre; 229/2014, de 23 de septiembre; y 267/2014, de 4 de noviembre); y publicar la incoación del recurso en el “Boletín Oficial del Estado” (lo que tuvo lugar el 24 de abril de 2023).</w:t>
      </w:r>
    </w:p>
    <w:p w14:paraId="680F114C" w14:textId="77777777" w:rsidR="008D479B" w:rsidRDefault="008D479B" w:rsidP="008D479B">
      <w:pPr>
        <w:pStyle w:val="TextoNormal"/>
      </w:pPr>
    </w:p>
    <w:p w14:paraId="10751745" w14:textId="770A61B8" w:rsidR="008D479B" w:rsidRDefault="008D479B" w:rsidP="008D479B">
      <w:pPr>
        <w:pStyle w:val="TextoNormal"/>
      </w:pPr>
      <w:r w:rsidRPr="008D479B">
        <w:rPr>
          <w:rStyle w:val="NumeroAFNegritaCaracter"/>
        </w:rPr>
        <w:t>3</w:t>
      </w:r>
      <w:r>
        <w:t>. Mediante escrito registrado el día 26 de abril de 2023, el presidente del Senado comunicó el acuerdo de la mesa de la Cámara por el que se daba por personada en el proceso y por ofrecida su colaboración a los efectos del art. 88.1 LOTC.</w:t>
      </w:r>
    </w:p>
    <w:p w14:paraId="7BA3CDA9" w14:textId="77777777" w:rsidR="008D479B" w:rsidRDefault="008D479B" w:rsidP="008D479B">
      <w:pPr>
        <w:pStyle w:val="TextoNormal"/>
      </w:pPr>
    </w:p>
    <w:p w14:paraId="367FD70B" w14:textId="77777777" w:rsidR="008D479B" w:rsidRDefault="008D479B" w:rsidP="008D479B">
      <w:pPr>
        <w:pStyle w:val="TextoNormal"/>
      </w:pPr>
      <w:r w:rsidRPr="008D479B">
        <w:rPr>
          <w:rStyle w:val="NumeroAFNegritaCaracter"/>
        </w:rPr>
        <w:t>4</w:t>
      </w:r>
      <w:r>
        <w:t>. La presidenta del Congreso de los Diputados, mediante escrito registrado en este tribunal el día 4 de mayo de 2023, comunicó el acuerdo de la mesa por el que se personaba en el proceso, a los solos efectos de formular alegaciones sobre los vicios de procedimiento legislativo que se denuncian en la demanda, en lo que afecta a dicha Cámara; y encomendaba su representación y defensa a la letrada de las Cortes Generales que dirige la asesoría jurídica de la Secretaría General del Congreso.</w:t>
      </w:r>
    </w:p>
    <w:p w14:paraId="29C7E80A" w14:textId="77777777" w:rsidR="008D479B" w:rsidRDefault="008D479B" w:rsidP="008D479B">
      <w:pPr>
        <w:pStyle w:val="TextoNormal"/>
      </w:pPr>
    </w:p>
    <w:p w14:paraId="564151FE" w14:textId="77777777" w:rsidR="008D479B" w:rsidRDefault="008D479B" w:rsidP="008D479B">
      <w:pPr>
        <w:pStyle w:val="TextoNormal"/>
      </w:pPr>
      <w:r>
        <w:t>a) El escrito de alegaciones de la letrada de las Cortes Generales, actuando en nombre y representación del Congreso de los Diputados, tuvo su entrada en el registro general del Tribunal con fecha 12 de mayo de 2023. En él aborda, en primer lugar, la supuesta vulneración del art. 157.3 CE por no respetar la norma impugnada el rango de ley orgánica exigible y omitir las garantías previstas en la disposición adicional primera del Estatuto de Autonomía de la Comunidad de Madrid. La letrada de las Cortes considera que dicha vulneración parte de una equiparación entre los impuestos temporal de solidaridad de las grandes fortunas y sobre el patrimonio que no se pueden compartir. El art. 3 de la Ley 38/2022 —afirma— no altera las condiciones o el alcance de la cesión del impuesto sobre el patrimonio, lo que podría requerir, en su caso, de una modificación de la LOFCA y de las demás normas aplicables, de acuerdo con las garantías procedimentales contenidas en el estatuto. El preámbulo de la ley afirma que el impuesto temporal de solidaridad de las grandes fortunas es complementario del impuesto sobre el patrimonio, pero, a diferencia de este, no es susceptible de cesión y su umbral de tributación es muy superior.</w:t>
      </w:r>
    </w:p>
    <w:p w14:paraId="6E672DED" w14:textId="77777777" w:rsidR="008D479B" w:rsidRDefault="008D479B" w:rsidP="008D479B">
      <w:pPr>
        <w:pStyle w:val="TextoNormal"/>
      </w:pPr>
    </w:p>
    <w:p w14:paraId="7D84CED5" w14:textId="77777777" w:rsidR="008D479B" w:rsidRDefault="008D479B" w:rsidP="008D479B">
      <w:pPr>
        <w:pStyle w:val="TextoNormal"/>
      </w:pPr>
      <w:r>
        <w:t>La letrada subraya que el art. 3 de la Ley 38/2022 no modifica el art. 11 LOFCA, que establece los impuestos estatales que pueden ser cedidos; ni las competencias normativas de las comunidades autónomas en el impuesto sobre el patrimonio previstas en el art. 19.2 b) de dicha ley; ni la Ley 22/2009, de 18 de diciembre, reguladora del sistema de financiación de las comunidades autónomas; ni la Ley 29/2010, de 16 de julio, de cesión de tributos a la Comunidad de Madrid. La finalidad armonizadora del impuesto temporal de solidaridad de las grandes fortunas no neutraliza la competencia normativa autonómica sobre el impuesto sobre el patrimonio, que se mantiene intacta. Estamos ante una figura tributaria distinta, cuya finalidad es correctiva, gravando por razones armonizadoras y recaudatorias aquellas manifestaciones de capacidad de pago que no han sido gravadas por la comunidad autónoma a través del impuesto sobre el patrimonio. Invoca la STC 26/2015, de 19 de febrero, que, al analizar el impuesto sobre depósitos en entidades de crédito, admitió que el Estado es competente para establecer un impuesto con finalidad armonizadora, puesto que tiene preferencia en la ocupación de los hechos imponibles, tal y como recoge el art. 6 LOFCA. Dicha sentencia descartó expresamente que la competencia de armonización debiera ejercerse mediante ley orgánica, sino que se puede ejercer creando por ley ordinaria una figura tributaria nueva, tanto para gravar situaciones que anteriormente no estaban gravadas por las comunidades autónomas como cuando ya lo estuvieran, supuesto al que se refiere el art. 6.2 LOFCA. Por otro lado, tampoco estamos ante la regulación de ningún medio de resolución de conflictos de acuerdo con los arts. 23 y 24 LOFCA, por lo que tampoco se requiere de una ley orgánica.</w:t>
      </w:r>
    </w:p>
    <w:p w14:paraId="6EB859A2" w14:textId="77777777" w:rsidR="008D479B" w:rsidRDefault="008D479B" w:rsidP="008D479B">
      <w:pPr>
        <w:pStyle w:val="TextoNormal"/>
      </w:pPr>
    </w:p>
    <w:p w14:paraId="6E940ED4" w14:textId="77777777" w:rsidR="008D479B" w:rsidRDefault="008D479B" w:rsidP="008D479B">
      <w:pPr>
        <w:pStyle w:val="TextoNormal"/>
      </w:pPr>
      <w:r>
        <w:t>La letrada de las Cortes Generales insiste en que, conforme a la doctrina constitucional, la potestad originaria del Estado para establecer tributos (</w:t>
      </w:r>
      <w:r w:rsidRPr="008D479B">
        <w:rPr>
          <w:i/>
        </w:rPr>
        <w:t>ex</w:t>
      </w:r>
      <w:r>
        <w:t xml:space="preserve"> art. 133.1 CE) comprende la posibilidad de crear cualquier figura tributaria, siempre y cuando se respeten las garantías constitucionales. Desde un enfoque competencial, el límite para crear tributos lo tienen las comunidades autónomas, no el Estado. Con cita de la STC 35/2012, de 15 de marzo, FJ 6, recuerda el “amplio margen de configuración que le permite [al Estado] en principio establecerlos sobre cualquier fuente de capacidad económica”, sin perjuicio de respetar lo dispuesto en el art. 6.2 LOFCA cuando sea aplicable, lo que aquí no es el caso.</w:t>
      </w:r>
    </w:p>
    <w:p w14:paraId="314B8F2E" w14:textId="77777777" w:rsidR="008D479B" w:rsidRDefault="008D479B" w:rsidP="008D479B">
      <w:pPr>
        <w:pStyle w:val="TextoNormal"/>
      </w:pPr>
    </w:p>
    <w:p w14:paraId="00017C85" w14:textId="77777777" w:rsidR="008D479B" w:rsidRDefault="008D479B" w:rsidP="008D479B">
      <w:pPr>
        <w:pStyle w:val="TextoNormal"/>
      </w:pPr>
      <w:r>
        <w:t>Por otra parte, al no haberse modificado la disposición adicional primera del Estatuto de Autonomía de la Comunidad Madrid referido al alcance y las condiciones de la cesión, no se precisaba del acuerdo entre el Estado y la comunidad autónoma o de la convocatoria de la comisión mixta mencionada en la disposición transitoria segunda. El caso es análogo al de la citada STC 35/2012, que descartó, respecto de una modificación de los tributos sobre el juego, que fuera necesaria dicha tramitación.</w:t>
      </w:r>
    </w:p>
    <w:p w14:paraId="6AB66106" w14:textId="77777777" w:rsidR="008D479B" w:rsidRDefault="008D479B" w:rsidP="008D479B">
      <w:pPr>
        <w:pStyle w:val="TextoNormal"/>
      </w:pPr>
    </w:p>
    <w:p w14:paraId="46A954FE" w14:textId="77777777" w:rsidR="008D479B" w:rsidRDefault="008D479B" w:rsidP="008D479B">
      <w:pPr>
        <w:pStyle w:val="TextoNormal"/>
      </w:pPr>
      <w:r>
        <w:t>Tampoco se precisaba de un proyecto de ley aprobado por el Consejo de Ministros, con todas las exigencias previas a las que están sujetas estas iniciativas. Tratándose de una proposición de ley, los únicos requisitos, de acuerdo con el art. 124 del Reglamento del Congreso y la práctica habitual de la Cámara, son que se incorpore una exposición de motivos y una breve relación de las normas vigentes que la proposición de ley pretende modificar, exigencias que aquí se cumplieron.</w:t>
      </w:r>
    </w:p>
    <w:p w14:paraId="35CD1A00" w14:textId="77777777" w:rsidR="008D479B" w:rsidRDefault="008D479B" w:rsidP="008D479B">
      <w:pPr>
        <w:pStyle w:val="TextoNormal"/>
      </w:pPr>
    </w:p>
    <w:p w14:paraId="75D24115" w14:textId="77777777" w:rsidR="008D479B" w:rsidRDefault="008D479B" w:rsidP="008D479B">
      <w:pPr>
        <w:pStyle w:val="TextoNormal"/>
      </w:pPr>
      <w:r>
        <w:t>Por último, en cuanto a que la proposición de ley haya sido presentada por los grupos parlamentarios que apoyan al Gobierno y no mediante un proyecto de ley, se remite a la reciente STC 19/2023, de 22 de marzo, FJ 3 B) c), advirtiendo que, según la propia demanda, solo se trata de una “mala praxis”.</w:t>
      </w:r>
    </w:p>
    <w:p w14:paraId="0FC860A5" w14:textId="77777777" w:rsidR="008D479B" w:rsidRDefault="008D479B" w:rsidP="008D479B">
      <w:pPr>
        <w:pStyle w:val="TextoNormal"/>
      </w:pPr>
    </w:p>
    <w:p w14:paraId="56FCD995" w14:textId="77777777" w:rsidR="008D479B" w:rsidRDefault="008D479B" w:rsidP="008D479B">
      <w:pPr>
        <w:pStyle w:val="TextoNormal"/>
      </w:pPr>
      <w:r>
        <w:t>b) En un segundo bloque de alegaciones la letrada de las Cortes Generales aborda la supuesta falta de homogeneidad de la enmienda núm. 99, por la que se incluyó el art. 3 de la Ley 38/2022 impugnado. Empieza recordando que el requisito de la homogeneidad es de creación jurisprudencial y, en el caso de las enmiendas al articulado, no está previsto en el reglamento de la Cámara. La exigencia de congruencia de las enmiendas es, por tanto, una excepción establecida por el propio Tribunal Constitucional a la configuración legal del derecho fundamental de enmienda, que se ha añadido como un requisito de admisión, a pesar de no estar recogido en el Reglamento del Congreso.</w:t>
      </w:r>
    </w:p>
    <w:p w14:paraId="120ED6FD" w14:textId="77777777" w:rsidR="008D479B" w:rsidRDefault="008D479B" w:rsidP="008D479B">
      <w:pPr>
        <w:pStyle w:val="TextoNormal"/>
      </w:pPr>
    </w:p>
    <w:p w14:paraId="0073773B" w14:textId="77777777" w:rsidR="008D479B" w:rsidRDefault="008D479B" w:rsidP="008D479B">
      <w:pPr>
        <w:pStyle w:val="TextoNormal"/>
      </w:pPr>
      <w:r>
        <w:t>De los distintos pronunciamientos constitucionales, en especial las SSTC 119/2011, de 5 de julio, y 136/2011, de 13 de septiembre, se desprende el requisito de que una enmienda al articulado debe respetar una conexión mínima de homogeneidad con el texto enmendado. Pero los órganos de gobierno de las Cámaras deben contar con un amplio margen de apreciación para determinar la existencia de conexión material entre la enmienda y la iniciativa objeto de debate, rechazando la admisión de aquella solo cuando la falta de conexión sea “evidente y manifiesta”. Aclara que la conexión reclamada no tiene que ser de identidad con las medidas previstas en la iniciativa, sino de afinidad con las materias recogidas en ella, de modo de que la conexión de homogeneidad se entienda de modo flexible, atendiendo a la funcionalidad que cumple.</w:t>
      </w:r>
    </w:p>
    <w:p w14:paraId="04D78648" w14:textId="77777777" w:rsidR="008D479B" w:rsidRDefault="008D479B" w:rsidP="008D479B">
      <w:pPr>
        <w:pStyle w:val="TextoNormal"/>
      </w:pPr>
    </w:p>
    <w:p w14:paraId="128A8BFB" w14:textId="77777777" w:rsidR="008D479B" w:rsidRDefault="008D479B" w:rsidP="008D479B">
      <w:pPr>
        <w:pStyle w:val="TextoNormal"/>
      </w:pPr>
      <w:r>
        <w:t>En segundo lugar, la aducida vulneración del art. 23.2 CE exigiría, además, que la infracción de la legalidad parlamentaria hubiera afectado al núcleo de su función representativa ya que, de acuerdo con una reiterada doctrina constitucional, no toda violación del procedimiento legislativo convierte en inconstitucional al resultado final.</w:t>
      </w:r>
    </w:p>
    <w:p w14:paraId="7F8585A4" w14:textId="77777777" w:rsidR="008D479B" w:rsidRDefault="008D479B" w:rsidP="008D479B">
      <w:pPr>
        <w:pStyle w:val="TextoNormal"/>
      </w:pPr>
    </w:p>
    <w:p w14:paraId="13D88F5A" w14:textId="77777777" w:rsidR="008D479B" w:rsidRDefault="008D479B" w:rsidP="008D479B">
      <w:pPr>
        <w:pStyle w:val="TextoNormal"/>
      </w:pPr>
      <w:r>
        <w:t>Aplicando la anterior doctrina al caso, la letrada de las Cortes afirma que parte del objetivo del impuesto temporal de solidaridad de las grandes fortunas coincide con la finalidad original de la proposición de ley, que es exigir un esfuerzo solidario en momentos de subida de precios y de crisis energética; sin que, por tanto, hubiera una evidente falta de homogeneidad que hubiera debido llevar a la mesa de la Comisión a inadmitir la enmienda. Con el impuesto impugnado se persigue el esfuerzo solidario al que la proposición de ley estaba dirigida desde un principio, por lo que no hay falta de congruencia.</w:t>
      </w:r>
    </w:p>
    <w:p w14:paraId="7E71BF3B" w14:textId="77777777" w:rsidR="008D479B" w:rsidRDefault="008D479B" w:rsidP="008D479B">
      <w:pPr>
        <w:pStyle w:val="TextoNormal"/>
      </w:pPr>
    </w:p>
    <w:p w14:paraId="57334EBF" w14:textId="77777777" w:rsidR="008D479B" w:rsidRDefault="008D479B" w:rsidP="008D479B">
      <w:pPr>
        <w:pStyle w:val="TextoNormal"/>
      </w:pPr>
      <w:r>
        <w:t>Respecto de la distinta naturaleza del impuesto temporal de solidaridad de las grandes fortunas y las prestaciones patrimoniales no tributarias que eran el objeto de la proposición de ley original, cita la STC 63/2019, de 9 de mayo, FJ 5, de acuerdo con la cual “el tributo es una especie, dentro de la más genérica categoría de prestaciones patrimoniales de carácter público”. Por tanto, aunque el Tribunal haya distinguido con precisión las prestaciones patrimoniales públicas de carácter tributario y las que no lo son, ambas categorías forman parte del género de las prestaciones patrimoniales, coactivas y de interés público.</w:t>
      </w:r>
    </w:p>
    <w:p w14:paraId="2F13E68A" w14:textId="77777777" w:rsidR="008D479B" w:rsidRDefault="008D479B" w:rsidP="008D479B">
      <w:pPr>
        <w:pStyle w:val="TextoNormal"/>
      </w:pPr>
    </w:p>
    <w:p w14:paraId="19C7A467" w14:textId="4D63AC1C" w:rsidR="008D479B" w:rsidRDefault="008D479B" w:rsidP="008D479B">
      <w:pPr>
        <w:pStyle w:val="TextoNormal"/>
      </w:pPr>
      <w:r>
        <w:t>La letrada parlamentaria termina aseverando que, incluso aunque todavía se tuvieran dudas sobre la homogeneidad, esto no basta para concluir que la tramitación parlamentaria está afectada de un vicio de inconstitucionalidad. Las enmiendas pueden ser incongruentes y, aun así, no producirse un vicio de procedimiento, si se han respetado los derechos de los parlamentarios y no ha quedado alterada la voluntad de la Cámara. Afirma, en contra de lo que sostiene la parte recurrente, que la enmienda cuestionada, como el resto de las formuladas a la iniciativa, ha podido ser ampliamente debatida. Los grupos, sin ningún tipo de restricción, han podido manifestar su posición sobre ella en los debates, tanto en la Comisión como en el Pleno. La enmienda nunca fue un texto definitivo e intangible, sino susceptible de modificarse a través de la presentación de enmiendas transaccionales tanto en comisión como en el Pleno, como permiten los arts. 114.3 y 118.3 del Reglamento del Congreso. Incluso habría sido posible suprimir la enmienda mediante la presentación de un voto particular para no tenerla por incorporada y volver al texto inicial (art. 117 del Reglamento). La letrada se remite a los documentos en los que constan las enmiendas transaccionales presentadas en la Comisión y en el Pleno y concluye que las minorías parlamentarias no usaron ninguna de estas vías parlamentarias para modificar lo introducido por la enmienda núm. 99. Por todo lo cual, concluye que no cabe declarar la inconstitucionalidad del art. 3 de la Ley 38/2022 por motivos formales.</w:t>
      </w:r>
    </w:p>
    <w:p w14:paraId="23B23EDF" w14:textId="77777777" w:rsidR="008D479B" w:rsidRDefault="008D479B" w:rsidP="008D479B">
      <w:pPr>
        <w:pStyle w:val="TextoNormal"/>
      </w:pPr>
    </w:p>
    <w:p w14:paraId="17B6AB11" w14:textId="77777777" w:rsidR="008D479B" w:rsidRDefault="008D479B" w:rsidP="008D479B">
      <w:pPr>
        <w:pStyle w:val="TextoNormal"/>
      </w:pPr>
      <w:r w:rsidRPr="008D479B">
        <w:rPr>
          <w:rStyle w:val="NumeroAFNegritaCaracter"/>
        </w:rPr>
        <w:t>5</w:t>
      </w:r>
      <w:r>
        <w:t>. El abogado del Estado se personó en las actuaciones mediante escrito presentado el 11 de mayo de 2023, en el que solicitaba una prórroga del plazo para la presentación de alegaciones, que fue ampliado en ocho días por diligencia de ordenación del secretario de justicia del Pleno de la misma fecha. Por medio de un escrito del siguiente día 25, presentó sus alegaciones en representación del Gobierno, en las que interesa la desestimación, con los argumentos que se exponen a continuación:</w:t>
      </w:r>
    </w:p>
    <w:p w14:paraId="457AFE65" w14:textId="77777777" w:rsidR="008D479B" w:rsidRDefault="008D479B" w:rsidP="008D479B">
      <w:pPr>
        <w:pStyle w:val="TextoNormal"/>
      </w:pPr>
    </w:p>
    <w:p w14:paraId="6B971C72" w14:textId="77777777" w:rsidR="008D479B" w:rsidRDefault="008D479B" w:rsidP="008D479B">
      <w:pPr>
        <w:pStyle w:val="TextoNormal"/>
      </w:pPr>
      <w:r>
        <w:t>a) Tras resumir la naturaleza y regulación del impuesto temporal de solidaridad de las grandes fortunas, aborda la tacha referida a la vulneración del procedimiento legislativo y del art. 23.2 CE. Subraya que en el debate en comisión todos los grupos parlamentarios tuvieron un turno de palabra y que en el Pleno volvieron a tener ocasión de pronunciarse sobre las enmiendas formuladas a la iniciativa legislativa. Por tanto, no se privó a los grupos parlamentarios ni a los diputados de la posibilidad de pronunciarse sobre la enmienda, ni en la comisión, ni en el Pleno. La incorporación de la enmienda ha sido conforme con los usos parlamentarios, por lo que no ha vulnerado el art. 23.2 CE.</w:t>
      </w:r>
    </w:p>
    <w:p w14:paraId="55598BFF" w14:textId="77777777" w:rsidR="008D479B" w:rsidRDefault="008D479B" w:rsidP="008D479B">
      <w:pPr>
        <w:pStyle w:val="TextoNormal"/>
      </w:pPr>
    </w:p>
    <w:p w14:paraId="16CFE044" w14:textId="77777777" w:rsidR="008D479B" w:rsidRDefault="008D479B" w:rsidP="008D479B">
      <w:pPr>
        <w:pStyle w:val="TextoNormal"/>
      </w:pPr>
      <w:r>
        <w:t>Respecto de la alegada falta de homogeneidad entre la enmienda y el texto inicial de la proposición de ley, argumenta, con cita de las SSTC 70/2018, de 21 de junio, FJ 6, y 119/2011, de 5 de julio, FJ 7, así como del preámbulo de la Ley 38/2022, que el impuesto temporal de solidaridad de las grandes fortunas y los gravámenes no tributarios creados por ella obedecen al mismo objetivo y finalidad común, que es afrontar la particular situación excepcional derivada de la crisis energética y la inflación.</w:t>
      </w:r>
    </w:p>
    <w:p w14:paraId="5D2923F9" w14:textId="77777777" w:rsidR="008D479B" w:rsidRDefault="008D479B" w:rsidP="008D479B">
      <w:pPr>
        <w:pStyle w:val="TextoNormal"/>
      </w:pPr>
    </w:p>
    <w:p w14:paraId="05537ACF" w14:textId="77777777" w:rsidR="008D479B" w:rsidRDefault="008D479B" w:rsidP="008D479B">
      <w:pPr>
        <w:pStyle w:val="TextoNormal"/>
      </w:pPr>
      <w:r>
        <w:t>En relación con la falta de emisión de informes, argumenta que el Tribunal ya ha señalado que estos no son exigibles en el caso de las proposiciones de ley. Cita, en concreto, la reciente STC 19/2023, de 22 de marzo, FJ 3, que recoge la jurisprudencia del Tribunal sobre la inexistencia de inconstitucionalidad formal en el caso de falta de informes de las proposiciones de ley, confirmando que estas no requieren, ni en su presentación ni en su tramitación ulterior, de la emisión de informes previos de ningún tipo.</w:t>
      </w:r>
    </w:p>
    <w:p w14:paraId="4B269557" w14:textId="77777777" w:rsidR="008D479B" w:rsidRDefault="008D479B" w:rsidP="008D479B">
      <w:pPr>
        <w:pStyle w:val="TextoNormal"/>
      </w:pPr>
    </w:p>
    <w:p w14:paraId="52473CA5" w14:textId="77777777" w:rsidR="008D479B" w:rsidRDefault="008D479B" w:rsidP="008D479B">
      <w:pPr>
        <w:pStyle w:val="TextoNormal"/>
      </w:pPr>
      <w:r>
        <w:t>b) A continuación, examina la alegada vulneración de la autonomía financiera. Considera que el recurso parte de un error de base, ya que el impuesto temporal de solidaridad de las grandes fortunas no se inserta en el sistema de financiación autonómica, sino que se configura como un impuesto de carácter estatal complementario del impuesto sobre el patrimonio, no susceptible de cesión a las comunidades autónomas, cuyo objetivo es gravar con una cuota adicional los patrimonios de las personas físicas de cuantía superior a 3 000 000 €. Es un impuesto complementario del impuesto sobre el patrimonio, cuya configuración corresponde al Estado en virtud del art. 133.1 CE, que le reconoce la potestad tributaria originaria, y del art. 149.1.14 CE, que le atribuye la competencia exclusiva sobre “hacienda general”, título que le permite fijar la estructura del sistema tributario.</w:t>
      </w:r>
    </w:p>
    <w:p w14:paraId="021F3ED9" w14:textId="77777777" w:rsidR="008D479B" w:rsidRDefault="008D479B" w:rsidP="008D479B">
      <w:pPr>
        <w:pStyle w:val="TextoNormal"/>
      </w:pPr>
    </w:p>
    <w:p w14:paraId="2FD8494D" w14:textId="77777777" w:rsidR="008D479B" w:rsidRDefault="008D479B" w:rsidP="008D479B">
      <w:pPr>
        <w:pStyle w:val="TextoNormal"/>
      </w:pPr>
      <w:r>
        <w:t>El impuesto temporal de solidaridad de las grandes fortunas no incide en el hecho imponible de ningún tributo propio de la comunidad autónoma recurrente y se afirma expresamente que no es susceptible de cesión. Para el abogado del Estado tiene una finalidad recaudatoria autónoma en el sistema tributario estatal, dentro del bloque de los tributos no cedidos, luego es ajeno al sistema de financiación.</w:t>
      </w:r>
    </w:p>
    <w:p w14:paraId="46917F42" w14:textId="77777777" w:rsidR="008D479B" w:rsidRDefault="008D479B" w:rsidP="008D479B">
      <w:pPr>
        <w:pStyle w:val="TextoNormal"/>
      </w:pPr>
    </w:p>
    <w:p w14:paraId="6434707C" w14:textId="77777777" w:rsidR="008D479B" w:rsidRDefault="008D479B" w:rsidP="008D479B">
      <w:pPr>
        <w:pStyle w:val="TextoNormal"/>
      </w:pPr>
      <w:r>
        <w:t>El impuesto recurrido tampoco afecta a la financiación de ninguna comunidad autónoma, pues aquellas que no hayan establecido una bonificación total mantendrán la recaudación del impuesto sobre el patrimonio, cuyas cuotas son deducibles del nuevo impuesto. La finalidad armonizadora, competencia que corresponde al Estado como titular de la potestad tributaria, se logra sin afectar a la autonomía financiera. Las comunidades autónomas que lo decidan podrán seguir bonificando total o parcialmente la cuota del impuesto sobre el patrimonio. Las que no lo hagan conservarán la recaudación íntegra de este impuesto cedido.</w:t>
      </w:r>
    </w:p>
    <w:p w14:paraId="1689FC74" w14:textId="77777777" w:rsidR="008D479B" w:rsidRDefault="008D479B" w:rsidP="008D479B">
      <w:pPr>
        <w:pStyle w:val="TextoNormal"/>
      </w:pPr>
    </w:p>
    <w:p w14:paraId="1CB74157" w14:textId="77777777" w:rsidR="008D479B" w:rsidRDefault="008D479B" w:rsidP="008D479B">
      <w:pPr>
        <w:pStyle w:val="TextoNormal"/>
      </w:pPr>
      <w:r>
        <w:t xml:space="preserve">El representante del Gobierno invoca la STC 26/2015, de 19 de febrero, FJ 5, que, en el caso del impuesto sobre los depósitos en las entidades de crédito, supuesto no idéntico, pero con analogías, mantuvo que la competencia de armonización tributaria es del Estado y negó que la creación de un impuesto estatal debiera someterse al mecanismo de las leyes de armonización </w:t>
      </w:r>
      <w:r w:rsidRPr="008D479B">
        <w:rPr>
          <w:i/>
        </w:rPr>
        <w:t>ex</w:t>
      </w:r>
      <w:r>
        <w:t xml:space="preserve"> art. 150.3 CE. Dicha sentencia ratificó que el art. 149.1.14 CE, junto con los arts. 133.1 y 157.3 CE, permiten al Estado no solo “regular sus propios tributos, sino específicamente ‘el marco general de todo el sistema tributario y la delimitación de las competencias financieras de las Comunidades Autónomas respecto de las del propio Estado’”. La STC 26/2015 concluyó que el Estado es competente para establecer un tributo con fines armonizadores, como sucede con el impuesto temporal de solidaridad de las grandes fortunas, sin que la autonomía financiera de las comunidades autónomas quede afectada. En todo caso, dicha autonomía no puede limitar la potestad tributaria ni la competencia de coordinación del Estado.</w:t>
      </w:r>
    </w:p>
    <w:p w14:paraId="1D08B5C6" w14:textId="77777777" w:rsidR="008D479B" w:rsidRDefault="008D479B" w:rsidP="008D479B">
      <w:pPr>
        <w:pStyle w:val="TextoNormal"/>
      </w:pPr>
    </w:p>
    <w:p w14:paraId="227BA583" w14:textId="77777777" w:rsidR="008D479B" w:rsidRDefault="008D479B" w:rsidP="008D479B">
      <w:pPr>
        <w:pStyle w:val="TextoNormal"/>
      </w:pPr>
      <w:r>
        <w:t>Insiste en que el impuesto temporal de solidaridad de las grandes fortunas impugnado no vacía de competencias normativas a las comunidades autónomas, ya que el art. 3 de la Ley 38/2022 no incide en la regulación del impuesto sobre el patrimonio. Las competencias para regular su tipo de gravamen, el mínimo exento y las deducciones y bonificaciones se mantienen intactas. Al prever que la cuota del impuesto sobre el patrimonio se deduzca de la del nuevo tributo, este complementa a aquel, no lo sustituye. Prueba de ello es que el art. 3 impugnado no modifica ni la Ley 19/1991, de 6 de junio, por la que se regula el impuesto sobre el patrimonio, ni la Ley 22/2009, de cesión de tributos.</w:t>
      </w:r>
    </w:p>
    <w:p w14:paraId="3E4852B0" w14:textId="77777777" w:rsidR="008D479B" w:rsidRDefault="008D479B" w:rsidP="008D479B">
      <w:pPr>
        <w:pStyle w:val="TextoNormal"/>
      </w:pPr>
    </w:p>
    <w:p w14:paraId="69099321" w14:textId="77777777" w:rsidR="008D479B" w:rsidRDefault="008D479B" w:rsidP="008D479B">
      <w:pPr>
        <w:pStyle w:val="TextoNormal"/>
      </w:pPr>
      <w:r>
        <w:t>El abogado del Estado expone que la cuota del impuesto temporal de solidaridad de las grandes fortunas solo resultará a ingresar cuando sea superior a la del impuesto sobre el patrimonio, pero nunca minorará la cuota de este último impuesto, por lo que no es cierto que se vulneren las competencias autonómicas. Por ello, no procede ni la reforma de la Ley Orgánica de financiación de las comunidades autónomas, ni de la Ley de cesión de tributos, ni son necesarios acuerdos de la comisión mixta entre el Estado y la comunidad autónoma.</w:t>
      </w:r>
    </w:p>
    <w:p w14:paraId="4EFB5C38" w14:textId="77777777" w:rsidR="008D479B" w:rsidRDefault="008D479B" w:rsidP="008D479B">
      <w:pPr>
        <w:pStyle w:val="TextoNormal"/>
      </w:pPr>
    </w:p>
    <w:p w14:paraId="05A266E4" w14:textId="77777777" w:rsidR="008D479B" w:rsidRDefault="008D479B" w:rsidP="008D479B">
      <w:pPr>
        <w:pStyle w:val="TextoNormal"/>
      </w:pPr>
      <w:r>
        <w:t>Para el representante del Gobierno, tampoco se vulnera el principio de lealtad institucional porque, por un lado, no se crean nuevas obligaciones de gasto; ni, por otro, hay una disminución de los ingresos autonómicos. El impuesto temporal de solidaridad de las grandes fortunas no suprime ningún tributo ni altera los ingresos de la Comunidad de Madrid, que es la premisa para reclamar al Estado medidas de compensación en virtud del principio de lealtad [art. 2.1.g) LOFCA]. Por otro lado, no se produce doble imposición porque los contribuyentes del impuesto temporal de solidaridad de las grandes fortunas solo tributan por la parte que no haya gravado la comunidad autónoma.</w:t>
      </w:r>
    </w:p>
    <w:p w14:paraId="5B9E411C" w14:textId="77777777" w:rsidR="008D479B" w:rsidRDefault="008D479B" w:rsidP="008D479B">
      <w:pPr>
        <w:pStyle w:val="TextoNormal"/>
      </w:pPr>
    </w:p>
    <w:p w14:paraId="0E2ABB77" w14:textId="77777777" w:rsidR="008D479B" w:rsidRDefault="008D479B" w:rsidP="008D479B">
      <w:pPr>
        <w:pStyle w:val="TextoNormal"/>
      </w:pPr>
      <w:r>
        <w:t>c) En lo atinente a la supuesta vulneración del principio de seguridad jurídica, las alegaciones del representante del Gobierno de la Nación subrayan que el impuesto temporal de solidaridad de las grandes fortunas entró en vigor el 29 de diciembre de 2022, antes del primer devengo, producido el 31 de diciembre de dicho año. No hay, por tanto, retroactividad, ya que el impuesto es de devengo instantáneo, sin que existan situaciones consolidadas previas a su aplicación.</w:t>
      </w:r>
    </w:p>
    <w:p w14:paraId="2E1C6BA7" w14:textId="77777777" w:rsidR="008D479B" w:rsidRDefault="008D479B" w:rsidP="008D479B">
      <w:pPr>
        <w:pStyle w:val="TextoNormal"/>
      </w:pPr>
    </w:p>
    <w:p w14:paraId="388D4503" w14:textId="77777777" w:rsidR="008D479B" w:rsidRDefault="008D479B" w:rsidP="008D479B">
      <w:pPr>
        <w:pStyle w:val="TextoNormal"/>
      </w:pPr>
      <w:r>
        <w:t>Para el caso de que se estimase que el impuesto sí tiene una eficacia retroactiva, invoca la doctrina de la STC 126/1987, de 16 de julio, FJ 9, que admite dicho efecto en función de la ponderación concreta de intereses en cada caso. En concreto, cabe recordar su finalidad recaudatoria de exigir en tiempos de crisis energética y de inflación un mayor esfuerzo a quienes disponen de una mayor capacidad económica; y armonizadora de reducir las diferencias entre las comunidades autónomas en el gravamen del patrimonio.</w:t>
      </w:r>
    </w:p>
    <w:p w14:paraId="1326E7CC" w14:textId="77777777" w:rsidR="008D479B" w:rsidRDefault="008D479B" w:rsidP="008D479B">
      <w:pPr>
        <w:pStyle w:val="TextoNormal"/>
      </w:pPr>
    </w:p>
    <w:p w14:paraId="03F7491E" w14:textId="77777777" w:rsidR="008D479B" w:rsidRDefault="008D479B" w:rsidP="008D479B">
      <w:pPr>
        <w:pStyle w:val="TextoNormal"/>
      </w:pPr>
      <w:r>
        <w:t>El abogado del Estado termina concluyendo que, atendidas las circunstancias concretas del caso, no puede afirmarse que el hecho imponible que grava el impuesto temporal de solidaridad de las grandes fortunas vulnere el principio de seguridad jurídica garantizado por el art. 9.3 CE.</w:t>
      </w:r>
    </w:p>
    <w:p w14:paraId="20724AF7" w14:textId="77777777" w:rsidR="008D479B" w:rsidRDefault="008D479B" w:rsidP="008D479B">
      <w:pPr>
        <w:pStyle w:val="TextoNormal"/>
      </w:pPr>
    </w:p>
    <w:p w14:paraId="714CD0C9" w14:textId="77777777" w:rsidR="008D479B" w:rsidRDefault="008D479B" w:rsidP="008D479B">
      <w:pPr>
        <w:pStyle w:val="TextoNormal"/>
      </w:pPr>
      <w:r>
        <w:t>d) En último lugar, aborda la alegada vulneración de los principios de capacidad económica y no confiscatoriedad del art. 31 CE. Pone de manifiesto que lo único que hace la demanda es exponer las bases liquidables y los tipos de gravamen para, a continuación, enumerar una serie de rentabilidades de activos de distinta naturaleza, sin un mínimo desarrollo argumental de por qué los tipos del impuesto temporal de solidaridad de las grandes fortunas tienen carácter confiscatorio y vulneran la capacidad económica.</w:t>
      </w:r>
    </w:p>
    <w:p w14:paraId="3B4D0EA0" w14:textId="77777777" w:rsidR="008D479B" w:rsidRDefault="008D479B" w:rsidP="008D479B">
      <w:pPr>
        <w:pStyle w:val="TextoNormal"/>
      </w:pPr>
    </w:p>
    <w:p w14:paraId="72818BDB" w14:textId="77777777" w:rsidR="008D479B" w:rsidRDefault="008D479B" w:rsidP="008D479B">
      <w:pPr>
        <w:pStyle w:val="TextoNormal"/>
      </w:pPr>
      <w:r>
        <w:t>Concluye que falta la necesaria carga argumentativa sobre la eventual vulneración del art. 31.1 CE, pues no se aporta ningún ejemplo o estudio en el que según la composición de un patrimonio tipo sujeto al impuesto este pueda ser confiscatorio. Lo cual impide a la representación del Gobierno realizar alegaciones (cita la STC 37/2022, de 10 de marzo, FJ 6).</w:t>
      </w:r>
    </w:p>
    <w:p w14:paraId="05025F02" w14:textId="77777777" w:rsidR="008D479B" w:rsidRDefault="008D479B" w:rsidP="008D479B">
      <w:pPr>
        <w:pStyle w:val="TextoNormal"/>
      </w:pPr>
    </w:p>
    <w:p w14:paraId="34355F46" w14:textId="47037185" w:rsidR="008D479B" w:rsidRDefault="008D479B" w:rsidP="008D479B">
      <w:pPr>
        <w:pStyle w:val="TextoNormal"/>
      </w:pPr>
      <w:r>
        <w:t>Por todo lo anterior, finaliza solicitando que el Tribunal dicte sentencia por la que desestime íntegramente el recurso de inconstitucionalidad.</w:t>
      </w:r>
    </w:p>
    <w:p w14:paraId="6E565681" w14:textId="77777777" w:rsidR="008D479B" w:rsidRDefault="008D479B" w:rsidP="008D479B">
      <w:pPr>
        <w:pStyle w:val="TextoNormal"/>
      </w:pPr>
    </w:p>
    <w:p w14:paraId="4835CD11" w14:textId="5308EE3A" w:rsidR="008D479B" w:rsidRDefault="008D479B" w:rsidP="008D479B">
      <w:pPr>
        <w:pStyle w:val="TextoNormal"/>
      </w:pPr>
      <w:r w:rsidRPr="008D479B">
        <w:rPr>
          <w:rStyle w:val="NumeroAFNegritaCaracter"/>
        </w:rPr>
        <w:t>6</w:t>
      </w:r>
      <w:r>
        <w:t>. Por providencia de 6 de noviembre de 2023, se señaló para la deliberación y votación de la presente sentencia el siguiente día 7.</w:t>
      </w:r>
    </w:p>
    <w:p w14:paraId="7FFB5F07" w14:textId="77777777" w:rsidR="008D479B" w:rsidRDefault="008D479B" w:rsidP="008D479B">
      <w:pPr>
        <w:pStyle w:val="TextoNormal"/>
      </w:pPr>
    </w:p>
    <w:p w14:paraId="688A6BD3" w14:textId="77777777" w:rsidR="008D479B" w:rsidRDefault="008D479B" w:rsidP="008D479B">
      <w:pPr>
        <w:pStyle w:val="TextoNormalNegritaCentrado"/>
        <w:keepNext/>
      </w:pPr>
      <w:r>
        <w:t>II. Fundamentos jurídicos</w:t>
      </w:r>
    </w:p>
    <w:p w14:paraId="78F3B3E4" w14:textId="3849212C" w:rsidR="008D479B" w:rsidRDefault="008D479B" w:rsidP="008D479B">
      <w:pPr>
        <w:pStyle w:val="TextoNormalNegritaCentrado"/>
        <w:keepNext/>
      </w:pPr>
    </w:p>
    <w:p w14:paraId="57C444AC" w14:textId="77777777" w:rsidR="008D479B" w:rsidRDefault="008D479B" w:rsidP="008D479B">
      <w:pPr>
        <w:pStyle w:val="TextoNormal"/>
      </w:pPr>
      <w:r w:rsidRPr="008D479B">
        <w:rPr>
          <w:rStyle w:val="NumeroAFNegritaCaracter"/>
        </w:rPr>
        <w:t>1</w:t>
      </w:r>
      <w:r>
        <w:t xml:space="preserve">. </w:t>
      </w:r>
      <w:r w:rsidRPr="008D479B">
        <w:rPr>
          <w:i/>
        </w:rPr>
        <w:t>Objeto del recurso y posiciones de las partes</w:t>
      </w:r>
    </w:p>
    <w:p w14:paraId="40739736" w14:textId="77777777" w:rsidR="008D479B" w:rsidRDefault="008D479B" w:rsidP="008D479B">
      <w:pPr>
        <w:pStyle w:val="TextoNormal"/>
      </w:pPr>
    </w:p>
    <w:p w14:paraId="58E09C28" w14:textId="77777777" w:rsidR="008D479B" w:rsidRDefault="008D479B" w:rsidP="008D479B">
      <w:pPr>
        <w:pStyle w:val="TextoNormal"/>
      </w:pPr>
      <w:r>
        <w:t>El Consejo de Gobierno de la Comunidad de Madrid interpone un recurso de inconstitucionalidad contra el art. 3 de la Ley 38/2022, de 27 de diciembre, para el establecimiento de gravámenes temporales energético y de entidades de crédito y establecimientos financieros de crédito y por la que se crea el impuesto temporal de solidaridad de las grandes fortunas, y se modifican determinadas normas tributarias (en adelante, Ley 38/2022).</w:t>
      </w:r>
    </w:p>
    <w:p w14:paraId="3C3985CE" w14:textId="77777777" w:rsidR="008D479B" w:rsidRDefault="008D479B" w:rsidP="008D479B">
      <w:pPr>
        <w:pStyle w:val="TextoNormal"/>
      </w:pPr>
    </w:p>
    <w:p w14:paraId="62210124" w14:textId="77777777" w:rsidR="008D479B" w:rsidRDefault="008D479B" w:rsidP="008D479B">
      <w:pPr>
        <w:pStyle w:val="TextoNormal"/>
      </w:pPr>
      <w:r>
        <w:t>a) El art. 3.1 de la ley dispone que el impuesto temporal de solidaridad de las grandes fortunas es “un tributo de carácter directo, naturaleza personal y complementario del impuesto sobre el patrimonio, que grava el patrimonio neto de las personas físicas de cuantía superior a 3 000 000 €”. El art. 3.2 añade que “se aplicará en todo el territorio español, sin perjuicio de los regímenes tributarios forales de Concierto y Convenio Económico vigentes en los Territorios Históricos del País Vasco y de la Comunidad Foral de Navarra, respectivamente” y “no podrá ser objeto de cesión a las comunidades autónomas”.</w:t>
      </w:r>
    </w:p>
    <w:p w14:paraId="5331C3EC" w14:textId="77777777" w:rsidR="008D479B" w:rsidRDefault="008D479B" w:rsidP="008D479B">
      <w:pPr>
        <w:pStyle w:val="TextoNormal"/>
      </w:pPr>
    </w:p>
    <w:p w14:paraId="5EA0B4B1" w14:textId="77777777" w:rsidR="008D479B" w:rsidRDefault="008D479B" w:rsidP="008D479B">
      <w:pPr>
        <w:pStyle w:val="TextoNormal"/>
      </w:pPr>
      <w:r>
        <w:t>El hecho imponible del impuesto temporal de solidaridad de las grandes fortunas es “la titularidad por el sujeto pasivo en el momento del devengo de un patrimonio neto superior a 3 000 000 €” (art. 3.3 de la Ley). El impuesto “se devengará el 31 de diciembre de cada año y afectará al patrimonio neto del cual sea titular el sujeto pasivo en dicha fecha” (art. 3.10). La cuota íntegra se calcula mediante una tarifa (art. 3.11) coincidente con la del impuesto sobre el patrimonio (art. 30.2 de la Ley 19/1991, de 6 de junio, por la que se regula este impuesto), salvo por lo que se refiere al primer tramo, ya que, para acotar el impuesto temporal de solidaridad de las grandes fortunas a las personas con un patrimonio neto que supere los 3 000 000 €, el tipo de gravamen hasta dicho umbral es cero. La complementariedad entre ambos tributos se concreta en el art. 3.15 de la Ley, según el cual, “[d]e la cuota [del nuevo impuesto] resultante de la aplicación de los apartados anteriores el sujeto pasivo podrá deducir la cuota del impuesto sobre el patrimonio del ejercicio efectivamente satisfecha”.</w:t>
      </w:r>
    </w:p>
    <w:p w14:paraId="113AE204" w14:textId="77777777" w:rsidR="008D479B" w:rsidRDefault="008D479B" w:rsidP="008D479B">
      <w:pPr>
        <w:pStyle w:val="TextoNormal"/>
      </w:pPr>
    </w:p>
    <w:p w14:paraId="51A84DDC" w14:textId="77777777" w:rsidR="008D479B" w:rsidRDefault="008D479B" w:rsidP="008D479B">
      <w:pPr>
        <w:pStyle w:val="TextoNormal"/>
      </w:pPr>
      <w:r>
        <w:t>El art. 3.17 de la Ley prevé que “[l]a titularidad de las competencias de gestión, liquidación, recaudación, inspección y revisión del impuesto corresponde al Estado”. El art. 3.25 dispone que “[e]l rendimiento del impuesto se ingresará en el Tesoro Público y se destinará a financiar políticas de apoyo a los más vulnerables”. Por último, el título competencial invocado para la creación del impuesto temporal de solidaridad de las grandes fortunas es el de “hacienda general” del art. 149.1.14 CE (disposición final séptima).</w:t>
      </w:r>
    </w:p>
    <w:p w14:paraId="1C112724" w14:textId="77777777" w:rsidR="008D479B" w:rsidRDefault="008D479B" w:rsidP="008D479B">
      <w:pPr>
        <w:pStyle w:val="TextoNormal"/>
      </w:pPr>
    </w:p>
    <w:p w14:paraId="3270332E" w14:textId="77777777" w:rsidR="008D479B" w:rsidRDefault="008D479B" w:rsidP="008D479B">
      <w:pPr>
        <w:pStyle w:val="TextoNormal"/>
      </w:pPr>
      <w:r>
        <w:t>b) Conforme al preámbulo de la Ley 38/2022, apartado V, el impuesto temporal de solidaridad de las grandes fortunas se establece “para gravar con una cuota adicional los patrimonios de las personas físicas de cuantía superior a 3 000 000 €”, con una doble finalidad: (i) recaudatoria “a fin de exigir, en estos tiempos de crisis energética y de inflación, un mayor esfuerzo a quienes disponen de una mayor capacidad económica, es decir, una muestra de solidaridad de las grandes fortunas”; y (ii) armonizadora, “con el objetivo de disminuir las diferencias en el gravamen del patrimonio en las distintas comunidades autónomas, especialmente para que la carga tributaria de los contribuyentes residentes en aquellas comunidades autónomas que han desfiscalizado total o parcialmente el impuesto sobre el patrimonio no difiera sustancialmente de la de los contribuyentes de las comunidades autónomas en las que no se ha optado por reducir la tributación por dicho impuesto”.</w:t>
      </w:r>
    </w:p>
    <w:p w14:paraId="5AEAFEC9" w14:textId="77777777" w:rsidR="008D479B" w:rsidRDefault="008D479B" w:rsidP="008D479B">
      <w:pPr>
        <w:pStyle w:val="TextoNormal"/>
      </w:pPr>
    </w:p>
    <w:p w14:paraId="09CBCF3A" w14:textId="77777777" w:rsidR="008D479B" w:rsidRDefault="008D479B" w:rsidP="008D479B">
      <w:pPr>
        <w:pStyle w:val="TextoNormal"/>
      </w:pPr>
      <w:r>
        <w:t>El preámbulo prosigue afirmando que la configuración del impuesto temporal de solidaridad de las grandes fortunas “coincide básicamente con la del impuesto sobre el patrimonio, tanto en cuanto a su ámbito territorial, exenciones, sujetos pasivos, bases imponible y liquidable, devengo y tipos de gravamen, como en el límite de la cuota íntegra. La diferencia fundamental reside en el hecho imponible, que grava solo aquellos patrimonios netos que superen los 3 000 000 €”. Y señala que su función de complementar al impuesto sobre el patrimonio se consigue mediante la deducción en la cuota del impuesto temporal de solidaridad de las grandes fortunas de la cuota efectivamente satisfecha en aquel. De este modo —precisa— “se evita la doble imposición, ya que los sujetos pasivos del impuesto temporal de solidaridad de las grandes fortunas solo tributarán por la parte de su patrimonio que no haya sido gravado por su comunidad autónoma. Además, para acentuar su finalidad de que el esfuerzo solidario se exija solo a los sujetos pasivos con patrimonios de un importe significativo, los primeros 3 000 000 € se gravan al tipo cero”.</w:t>
      </w:r>
    </w:p>
    <w:p w14:paraId="3869A99A" w14:textId="77777777" w:rsidR="008D479B" w:rsidRDefault="008D479B" w:rsidP="008D479B">
      <w:pPr>
        <w:pStyle w:val="TextoNormal"/>
      </w:pPr>
    </w:p>
    <w:p w14:paraId="555F86EF" w14:textId="77777777" w:rsidR="008D479B" w:rsidRDefault="008D479B" w:rsidP="008D479B">
      <w:pPr>
        <w:pStyle w:val="TextoNormal"/>
      </w:pPr>
      <w:r>
        <w:t>c) Como ha quedado detalladamente expuesto en los antecedentes, el gobierno autonómico recurrente imputa al art. 3 de la Ley 38/2022 las siguientes infracciones constitucionales: (i) vulneración del art. 23.2 CE, por la falta de homogeneidad, respecto de la proposición de ley original, de la enmienda por la que se introdujo; (ii) infracción de los arts. 156.1 (y, en conexión con este, del art. 137) y 157.3 CE, porque, en lugar de modificar el régimen de cesión del impuesto sobre el patrimonio, se crea el nuevo tributo para armonizar de manera impropia dicho impuesto cedido; (iii) vulneración del principio de seguridad jurídica del art. 9.3 CE, por establecer un impuesto con carácter retroactivo; (iv) infracción del art. 31.1 CE, por violar los principios de capacidad económica y no confiscatoriedad; y, por último, (v) quebrantamiento de los principios de corresponsabilidad fiscal, coordinación y lealtad institucional del art. 156.1 CE.</w:t>
      </w:r>
    </w:p>
    <w:p w14:paraId="3CBF0646" w14:textId="77777777" w:rsidR="008D479B" w:rsidRDefault="008D479B" w:rsidP="008D479B">
      <w:pPr>
        <w:pStyle w:val="TextoNormal"/>
      </w:pPr>
    </w:p>
    <w:p w14:paraId="33FE955F" w14:textId="77777777" w:rsidR="008D479B" w:rsidRDefault="008D479B" w:rsidP="008D479B">
      <w:pPr>
        <w:pStyle w:val="TextoNormal"/>
      </w:pPr>
      <w:r>
        <w:t>La letrada de las Cortes ha formulado alegaciones únicamente respecto de los anteriores apartados (i) y (ii), descartando los vicios respectivos. Por su parte, el abogado del Estado niega todas las infracciones, interesando la desestimación íntegra del recurso.</w:t>
      </w:r>
    </w:p>
    <w:p w14:paraId="67F74D72" w14:textId="77777777" w:rsidR="008D479B" w:rsidRDefault="008D479B" w:rsidP="008D479B">
      <w:pPr>
        <w:pStyle w:val="TextoNormal"/>
      </w:pPr>
    </w:p>
    <w:p w14:paraId="2EAE0733" w14:textId="537F606D" w:rsidR="008D479B" w:rsidRDefault="008D479B" w:rsidP="008D479B">
      <w:pPr>
        <w:pStyle w:val="TextoNormal"/>
      </w:pPr>
      <w:r>
        <w:t>Corresponde a este tribunal, en función de las circunstancias concurrentes en cada supuesto sometido a su consideración, determinar el orden del examen de las quejas planteadas [STC 183/2021, de 27 de octubre, FJ 2 C)]. En el presente caso, comenzaremos enjuiciando los vicios procedimentales denunciados [apartado (i) anterior]; a continuación, examinaremos conjuntamente las tachas referidas a la vulneración de los arts. 156.1 y 157.3 CE [apartados (ii) y (v)], puesto que están vinculadas entre sí. Posteriormente, analizaremos la vulneración de los principios sustantivos del art. 31.1 CE que se invocan [apartado (iv)]. Por último, abordaremos la vulneración del principio de seguridad jurídica [apartado (iii)].</w:t>
      </w:r>
    </w:p>
    <w:p w14:paraId="05CD083F" w14:textId="77777777" w:rsidR="008D479B" w:rsidRDefault="008D479B" w:rsidP="008D479B">
      <w:pPr>
        <w:pStyle w:val="TextoNormal"/>
      </w:pPr>
    </w:p>
    <w:p w14:paraId="446C81D7" w14:textId="77777777" w:rsidR="008D479B" w:rsidRDefault="008D479B" w:rsidP="008D479B">
      <w:pPr>
        <w:pStyle w:val="TextoNormal"/>
      </w:pPr>
      <w:r w:rsidRPr="008D479B">
        <w:rPr>
          <w:rStyle w:val="NumeroAFNegritaCaracter"/>
        </w:rPr>
        <w:t>2</w:t>
      </w:r>
      <w:r>
        <w:t xml:space="preserve">. </w:t>
      </w:r>
      <w:r w:rsidRPr="008D479B">
        <w:rPr>
          <w:i/>
        </w:rPr>
        <w:t>Examen de la alegada vulneración del art. 23.2 CE</w:t>
      </w:r>
    </w:p>
    <w:p w14:paraId="3FA6DE86" w14:textId="77777777" w:rsidR="008D479B" w:rsidRDefault="008D479B" w:rsidP="008D479B">
      <w:pPr>
        <w:pStyle w:val="TextoNormal"/>
      </w:pPr>
    </w:p>
    <w:p w14:paraId="30832877" w14:textId="77777777" w:rsidR="008D479B" w:rsidRDefault="008D479B" w:rsidP="008D479B">
      <w:pPr>
        <w:pStyle w:val="TextoNormal"/>
      </w:pPr>
      <w:r>
        <w:t xml:space="preserve">A) El primer motivo del recurso se centra en la forma de aprobación del art. 3 de la Ley 38/2022. Por un lado, el Consejo de Gobierno de la Comunidad de Madrid reprocha que el precepto se haya incorporado a través de una enmienda incluida en una proposición de ley, una y otra, a iniciativa de los grupos parlamentarios que sustentan al Gobierno de la Nación. Considera que se habría debido presentar un proyecto de ley, con la documentación que debe acompañarlo. Además, como vicio “principal”, sostiene que la enmienda no guarda una relación mínima de homogeneidad respecto del texto enmendado, lo que habría lesionado el </w:t>
      </w:r>
      <w:r w:rsidRPr="008D479B">
        <w:rPr>
          <w:i/>
        </w:rPr>
        <w:t>ius in officium</w:t>
      </w:r>
      <w:r>
        <w:t xml:space="preserve"> de los parlamentarios (art. 23.2 CE).</w:t>
      </w:r>
    </w:p>
    <w:p w14:paraId="46BCFEB2" w14:textId="77777777" w:rsidR="008D479B" w:rsidRDefault="008D479B" w:rsidP="008D479B">
      <w:pPr>
        <w:pStyle w:val="TextoNormal"/>
      </w:pPr>
    </w:p>
    <w:p w14:paraId="36F5F393" w14:textId="77777777" w:rsidR="008D479B" w:rsidRDefault="008D479B" w:rsidP="008D479B">
      <w:pPr>
        <w:pStyle w:val="TextoNormal"/>
      </w:pPr>
      <w:r>
        <w:t>El abogado del Estado y la letrada de las Cortes Generales descartan la vulneración, con argumentos sustancialmente coincidentes. Por una parte, niegan que fuera necesario un proyecto de ley y que suponga vicio alguno el que la iniciativa provenga de los grupos parlamentarios que apoyan al Gobierno. Por otra, consideran que el nuevo impuesto sí guarda conexión con el objetivo de la proposición de ley en la que se integró, ya que sirve, como el resto de medidas de la iniciativa, para afrontar la particular situación excepcional derivada de la crisis energética y la inflación. En todo caso, no ha habido lesión del art. 23.2 CE, puesto que, tanto en la Comisión como en el Pleno, todos los grupos parlamentarios tuvieron un turno de palabra y pudieron pronunciarse sobre las enmiendas formuladas, incluida la que introducía el impuesto temporal de solidaridad de las grandes fortunas.</w:t>
      </w:r>
    </w:p>
    <w:p w14:paraId="2D851A5E" w14:textId="77777777" w:rsidR="008D479B" w:rsidRDefault="008D479B" w:rsidP="008D479B">
      <w:pPr>
        <w:pStyle w:val="TextoNormal"/>
      </w:pPr>
    </w:p>
    <w:p w14:paraId="5A264438" w14:textId="77777777" w:rsidR="008D479B" w:rsidRDefault="008D479B" w:rsidP="008D479B">
      <w:pPr>
        <w:pStyle w:val="TextoNormal"/>
      </w:pPr>
      <w:r>
        <w:t>B) Antes de enjuiciar esta impugnación debemos recordar la doctrina constitucional relevante para el caso.</w:t>
      </w:r>
    </w:p>
    <w:p w14:paraId="61049B4A" w14:textId="77777777" w:rsidR="008D479B" w:rsidRDefault="008D479B" w:rsidP="008D479B">
      <w:pPr>
        <w:pStyle w:val="TextoNormal"/>
      </w:pPr>
    </w:p>
    <w:p w14:paraId="6362827F" w14:textId="77777777" w:rsidR="008D479B" w:rsidRDefault="008D479B" w:rsidP="008D479B">
      <w:pPr>
        <w:pStyle w:val="TextoNormal"/>
      </w:pPr>
      <w:r>
        <w:t>a) Con carácter general, para que una disposición con rango de ley adolezca de un vicio insubsanable de inconstitucionalidad formal o procedimental es necesario examinar: (i) si se ha producido una vulneración de la normativa reguladora de la elaboración de las leyes, debiendo determinarse qué norma concreta ha resultado infringida [por todas, SSTC 238/2012, de 13 de diciembre, FJ 2 a), y 68/2013, de 14 de marzo, FJ 2]; y (ii) una vez constatada la infracción de la norma de procedimiento, debe evaluarse su trascendencia, pues para que un vicio formal vulnere el art. 23.2 CE debe alterar de forma sustancial el “proceso de formación de la voluntad de una Cámara, habiendo afectado, en consecuencia, al ejercicio de la función representativa inherente al estatuto del parlamentario” [STC 136/2011, de 13 de septiembre, FJ 10; en sentido equivalente, SSTC 89/2019, de 2 de julio, FJ 9, y 148/2020, de 22 de octubre, FJ 4].</w:t>
      </w:r>
    </w:p>
    <w:p w14:paraId="75AF4740" w14:textId="77777777" w:rsidR="008D479B" w:rsidRDefault="008D479B" w:rsidP="008D479B">
      <w:pPr>
        <w:pStyle w:val="TextoNormal"/>
      </w:pPr>
    </w:p>
    <w:p w14:paraId="2391482E" w14:textId="77777777" w:rsidR="008D479B" w:rsidRDefault="008D479B" w:rsidP="008D479B">
      <w:pPr>
        <w:pStyle w:val="TextoNormal"/>
      </w:pPr>
      <w:r>
        <w:t>En concreto, respecto de la utilización de una proposición en lugar de un proyecto de ley, en la reciente STC 19/2023, de 22 de marzo, FJ 3 B) b), hemos recordado, con cita de la STC 215/2016, de 15 de diciembre, FJ 5 c), que las proposiciones de ley de origen parlamentario no requieren, ni en su presentación ni en su tramitación ulterior, de la emisión de ningún informe previo.</w:t>
      </w:r>
    </w:p>
    <w:p w14:paraId="41747DAE" w14:textId="77777777" w:rsidR="008D479B" w:rsidRDefault="008D479B" w:rsidP="008D479B">
      <w:pPr>
        <w:pStyle w:val="TextoNormal"/>
      </w:pPr>
    </w:p>
    <w:p w14:paraId="6051DB62" w14:textId="77777777" w:rsidR="008D479B" w:rsidRDefault="008D479B" w:rsidP="008D479B">
      <w:pPr>
        <w:pStyle w:val="TextoNormal"/>
      </w:pPr>
      <w:r>
        <w:t>b) Por lo que se refiere al derecho de enmienda, nuestra doctrina se encuentra recogida, entre otras, en las SSTC 119/2011, de 5 de julio, y 136/2011, de 13 de septiembre, ambas invocadas por las partes en este proceso.</w:t>
      </w:r>
    </w:p>
    <w:p w14:paraId="7EDE536B" w14:textId="77777777" w:rsidR="008D479B" w:rsidRDefault="008D479B" w:rsidP="008D479B">
      <w:pPr>
        <w:pStyle w:val="TextoNormal"/>
      </w:pPr>
    </w:p>
    <w:p w14:paraId="44661E2C" w14:textId="77777777" w:rsidR="008D479B" w:rsidRDefault="008D479B" w:rsidP="008D479B">
      <w:pPr>
        <w:pStyle w:val="TextoNormal"/>
      </w:pPr>
      <w:r>
        <w:t xml:space="preserve">Respecto al titular del derecho de enmienda, la STC 136/2011 constató que este “corresponde tanto a los grupos parlamentarios como a los diputados y senadores que los integran (art. 110.1 del Reglamento del Congreso y 107.1 del Reglamento del Senado), perteneciendo dicha facultad al núcleo de su función representativa parlamentaria” (FJ 6). En cuanto a los requisitos a los que se sujeta este derecho, la citada sentencia subrayó que “el derecho de enmienda al articulado, como forma de incidir en la iniciativa legislativa, debe ejercitarse en relación con esta [...]. Por esta razón, toda enmienda parcial tiene que tener un carácter subsidiario o incidental respecto del texto a enmendar, de modo que, una vez que una iniciativa ha sido aceptada por la Cámara como texto de deliberación, no cabe alterar su objeto mediante las enmiendas al articulado. Con ello se evita que a través del procedimiento parlamentario se transmute el objeto de las propuestas presentadas por quienes están así legitimados para ello, aprovechando el procedimiento legislativo activado para la introducción </w:t>
      </w:r>
      <w:r w:rsidRPr="008D479B">
        <w:rPr>
          <w:i/>
        </w:rPr>
        <w:t>ex novo</w:t>
      </w:r>
      <w:r>
        <w:t xml:space="preserve"> de materias ajenas al mismo. En consecuencia, no caben enmiendas al articulado ajenas a la materia de la iniciativa, esto es, que no guarden una conexión de homogeneidad mínima con la misma”, añadiendo que “para determinar si concurre o no esa conexión material o relación de homogeneidad entre la iniciativa legislativa y la enmienda presentada, el órgano al que reglamentariamente corresponda efectuar ese análisis contará con un amplio margen de valoración” (FJ 7).</w:t>
      </w:r>
    </w:p>
    <w:p w14:paraId="4DFFCF34" w14:textId="77777777" w:rsidR="008D479B" w:rsidRDefault="008D479B" w:rsidP="008D479B">
      <w:pPr>
        <w:pStyle w:val="TextoNormal"/>
      </w:pPr>
    </w:p>
    <w:p w14:paraId="66BA6026" w14:textId="77777777" w:rsidR="008D479B" w:rsidRDefault="008D479B" w:rsidP="008D479B">
      <w:pPr>
        <w:pStyle w:val="TextoNormal"/>
      </w:pPr>
      <w:r>
        <w:t>Refiriéndose al caso concreto de la creación de nuevos tributos por medio de una enmienda, la STC 209/2012, de 14 de noviembre, FJ 4 b), aclaró que “la conexión reclamada no tiene que ser de identidad con las medidas previstas en el texto de la iniciativa sino de afinidad con las materias recogidas en el mismo”, doctrina luego reiterada en las SSTC 132/2013, de 5 de junio, FJ 3; 120/2014, de 17 de julio, FJ 6; 59/2015, de 18 de marzo, FJ 6; 4/2018, de 22 de enero, FJ 4, y 70/2018, de 21 de junio, FJ 6.</w:t>
      </w:r>
    </w:p>
    <w:p w14:paraId="16DB3B06" w14:textId="77777777" w:rsidR="008D479B" w:rsidRDefault="008D479B" w:rsidP="008D479B">
      <w:pPr>
        <w:pStyle w:val="TextoNormal"/>
      </w:pPr>
    </w:p>
    <w:p w14:paraId="30082B32" w14:textId="77777777" w:rsidR="008D479B" w:rsidRDefault="008D479B" w:rsidP="008D479B">
      <w:pPr>
        <w:pStyle w:val="TextoNormal"/>
      </w:pPr>
      <w:r>
        <w:t>C) Teniendo en cuenta la doctrina expuesta, la impugnación no puede prosperar, por las razones que se expresan a continuación:</w:t>
      </w:r>
    </w:p>
    <w:p w14:paraId="498FD433" w14:textId="77777777" w:rsidR="008D479B" w:rsidRDefault="008D479B" w:rsidP="008D479B">
      <w:pPr>
        <w:pStyle w:val="TextoNormal"/>
      </w:pPr>
    </w:p>
    <w:p w14:paraId="6C248B0C" w14:textId="77777777" w:rsidR="008D479B" w:rsidRDefault="008D479B" w:rsidP="008D479B">
      <w:pPr>
        <w:pStyle w:val="TextoNormal"/>
      </w:pPr>
      <w:r>
        <w:t>a) En lo atinente a la utilización de una proposición en lugar de un proyecto de ley (que la propia demanda califica, más que de infracción constitucional, de “mala praxis”), debemos remitirnos a la citada STC 19/2023, que ha desestimado una objeción similar respecto de la tramitación de la Ley Orgánica 3/2021, de 24 de marzo, de regulación de la eutanasia, afirmando que “la pretendida ‘identidad funcional’ entre Gobierno y mayoría en las Cámaras es expresión de una apreciación política, no jurídica, que en absoluto se compadece con la propia racionalidad de la democracia parlamentaria” por lo que no cabe reprochar “la utilización de una proposición de ley, no de un proyecto del Ejecutivo, en orden a incoar el procedimiento legislativo ni a reclamar, parangonando lo incomparable, la imposición en el primero de estos cauces de exigencias que solo pueden llegar a pesar sobre el segundo” [FJ 3 B) c)].</w:t>
      </w:r>
    </w:p>
    <w:p w14:paraId="39D5A82A" w14:textId="77777777" w:rsidR="008D479B" w:rsidRDefault="008D479B" w:rsidP="008D479B">
      <w:pPr>
        <w:pStyle w:val="TextoNormal"/>
      </w:pPr>
    </w:p>
    <w:p w14:paraId="57D80E9B" w14:textId="77777777" w:rsidR="008D479B" w:rsidRDefault="008D479B" w:rsidP="008D479B">
      <w:pPr>
        <w:pStyle w:val="TextoNormal"/>
      </w:pPr>
      <w:r>
        <w:t>En el caso que ahora enjuiciamos, además, los requisitos procedimentales de los proyectos de ley no hubieran sido exigibles en ningún caso, ya que el artículo impugnado se introdujo por vía de enmienda en la tramitación en el Congreso y la presentación de enmiendas no está sujeta a ninguna exigencia documental ni informe preceptivo (art. 110 del Reglamento del Congreso de los Diputados). Esto nos remite al examen de la segunda tacha alegada, referida al uso indebido del derecho de enmienda.</w:t>
      </w:r>
    </w:p>
    <w:p w14:paraId="41A2A882" w14:textId="77777777" w:rsidR="008D479B" w:rsidRDefault="008D479B" w:rsidP="008D479B">
      <w:pPr>
        <w:pStyle w:val="TextoNormal"/>
      </w:pPr>
    </w:p>
    <w:p w14:paraId="42AD7460" w14:textId="77777777" w:rsidR="008D479B" w:rsidRDefault="008D479B" w:rsidP="008D479B">
      <w:pPr>
        <w:pStyle w:val="TextoNormal"/>
      </w:pPr>
      <w:r>
        <w:t>b) Para examinar este motivo de impugnación debemos analizar si, tanto por su origen como por su contenido, la enmienda por la que se introdujo el precepto impugnado se ajustó a la legalidad parlamentaria.</w:t>
      </w:r>
    </w:p>
    <w:p w14:paraId="75A9288D" w14:textId="77777777" w:rsidR="008D479B" w:rsidRDefault="008D479B" w:rsidP="008D479B">
      <w:pPr>
        <w:pStyle w:val="TextoNormal"/>
      </w:pPr>
    </w:p>
    <w:p w14:paraId="217467AC" w14:textId="77777777" w:rsidR="008D479B" w:rsidRDefault="008D479B" w:rsidP="008D479B">
      <w:pPr>
        <w:pStyle w:val="TextoNormal"/>
      </w:pPr>
      <w:r>
        <w:t>Respecto a su origen, la demanda parece sostener que el derecho de enmienda de los grupos parlamentarios que sustentan el Gobierno tiene un alcance más limitado que el del resto, cuando es evidente que tal derecho, que integra el núcleo de la función representativa parlamentaria, corresponde a todos los diputados y grupos sin distinción y con el mismo contenido [en igual sentido, STC 49/2023, de 10 de mayo, FJ 11 c)].</w:t>
      </w:r>
    </w:p>
    <w:p w14:paraId="3CE4B3C7" w14:textId="77777777" w:rsidR="008D479B" w:rsidRDefault="008D479B" w:rsidP="008D479B">
      <w:pPr>
        <w:pStyle w:val="TextoNormal"/>
      </w:pPr>
    </w:p>
    <w:p w14:paraId="7E119482" w14:textId="77777777" w:rsidR="008D479B" w:rsidRDefault="008D479B" w:rsidP="008D479B">
      <w:pPr>
        <w:pStyle w:val="TextoNormal"/>
      </w:pPr>
      <w:r>
        <w:t>En lo atinente al contenido, en particular, a si guarda una conexión mínima de homogeneidad con la proposición de ley original, debemos recordar que esta se enmarcaba, según su preámbulo, en el llamado “pacto de rentas” y en el principio de “reparto del esfuerzo” (STC 167/2016, de 6 de octubre, FJ 6) para afrontar las consecuencias de la crisis energética y de precios. Con tal fin, entre otras medidas, la proposición creaba dos nuevas prestaciones patrimoniales de carácter público no tributarias cuyo objetivo era aumentar la contribución a las arcas públicas de determinadas empresas del sector energético (art. 1) y financiero (art. 2). Por tanto, la incorporación a dicho texto de una enmienda para establecer el impuesto temporal de solidaridad de las grandes fortunas, con una finalidad recaudatoria (junto a la de armonización de la imposición patrimonial), sí presenta homogeneidad suficiente con el resto de medidas de la proposición de ley, dado que también se encamina a incrementar los ingresos públicos en un contexto de crisis energética y de precios.</w:t>
      </w:r>
    </w:p>
    <w:p w14:paraId="2A3770F8" w14:textId="77777777" w:rsidR="008D479B" w:rsidRDefault="008D479B" w:rsidP="008D479B">
      <w:pPr>
        <w:pStyle w:val="TextoNormal"/>
      </w:pPr>
    </w:p>
    <w:p w14:paraId="03ECC3D3" w14:textId="77777777" w:rsidR="008D479B" w:rsidRDefault="008D479B" w:rsidP="008D479B">
      <w:pPr>
        <w:pStyle w:val="TextoNormal"/>
      </w:pPr>
      <w:r>
        <w:t>A idéntica conclusión ha llegado este tribunal en la STC 209/2012, de 14 de noviembre, al enjuiciar la inclusión mediante enmienda (también a propuesta del grupo parlamentario mayoritario que sustentaba al Gobierno, en aquella ocasión en el Senado), de tres artículos en el proyecto de ley que daría lugar a la Ley 24/2001, de 27 de diciembre, de medidas fiscales, administrativas y del orden social, mediante los cuales se creaban tres nuevos tributos, entre ellos, el impuesto sobre las ventas minoristas de determinados hidrocarburos. La citada sentencia, FJ 4 b), sostuvo que el texto de la iniciativa legislativa ya preveía una serie de medidas tributarias, por lo que la adición de otras nuevas “no solo no está huérfana de la necesaria conexión material con el objeto de la iniciativa (STC 136/2011, de 13 de septiembre, FJ 8), sino que es congruente con su objeto, espíritu y fines esenciales (ATC 118/1999, de 10 de mayo, FJ 4), tanto más cuando la conexión reclamada no tiene que ser de identidad con las medidas previstas en el texto de la iniciativa sino de afinidad con las materias recogidas en el mismo”.</w:t>
      </w:r>
    </w:p>
    <w:p w14:paraId="6ECBAAC9" w14:textId="77777777" w:rsidR="008D479B" w:rsidRDefault="008D479B" w:rsidP="008D479B">
      <w:pPr>
        <w:pStyle w:val="TextoNormal"/>
      </w:pPr>
    </w:p>
    <w:p w14:paraId="11E5D57B" w14:textId="77777777" w:rsidR="008D479B" w:rsidRDefault="008D479B" w:rsidP="008D479B">
      <w:pPr>
        <w:pStyle w:val="TextoNormal"/>
      </w:pPr>
      <w:r>
        <w:t>En el mismo sentido, la STC 59/2015, de 18 de marzo, descartó idéntica tacha al resolver el recurso de un gobierno autonómico contra la creación del impuesto sobre los depósitos en las entidades de crédito. En concreto, consideró que cumplía el requisito de “homogeneidad mínima” la enmienda por la que se introdujo (como en el caso anterior, en el Senado y también a instancias del grupo parlamentario que apoyaba al Gobierno) de un nuevo artículo por el que se incorporaba el impuesto sobre los depósitos en las entidades de crédito en la iniciativa que se convertiría en la Ley 16/2012, de 27 de diciembre, por la que se adoptan diversas medidas tributarias dirigidas a la consolidación de las finanzas públicas y al impulso de la actividad económica. Nuevamente, el Tribunal tuvo en cuenta que el objeto del proyecto era una serie de medidas tributarias, de forma que cabía apreciar la vinculación entre una enmienda que establece un tributo nuevo y un texto que modifica otros existentes, concluyendo que “no puede afirmarse que exista una total falta de homogeneidad o desconexión, en los términos alegados por la demanda, y de acuerdo con nuestra doctrina reiterada, que exige cohonestar el examen de la posible vulneración constitucional con la necesaria flexibilidad en el procedimiento legislativo y el papel de control que a los órganos de gobierno corresponden y del que el proceso constitucional es siempre subsidiario” (FJ 6).</w:t>
      </w:r>
    </w:p>
    <w:p w14:paraId="3B34CCCB" w14:textId="77777777" w:rsidR="008D479B" w:rsidRDefault="008D479B" w:rsidP="008D479B">
      <w:pPr>
        <w:pStyle w:val="TextoNormal"/>
      </w:pPr>
    </w:p>
    <w:p w14:paraId="2C8A7BF6" w14:textId="77777777" w:rsidR="008D479B" w:rsidRDefault="008D479B" w:rsidP="008D479B">
      <w:pPr>
        <w:pStyle w:val="TextoNormal"/>
      </w:pPr>
      <w:r>
        <w:t>No obsta a esta conclusión el argumento del letrado autonómico de que los gravámenes energético y sobre entidades de crédito (arts. 1 y 2 de la Ley 38/2022) son prestaciones patrimoniales públicas que no tienen naturaleza tributaria. Lo determinante es que, tanto dichas figuras como el impuesto temporal de solidaridad de las grandes fortunas, son ingresos públicos (STC 63/2019, de 9 de mayo, FJ 5) que persiguen el mismo objetivo: coadyuvar al “pacto de rentas” y al “reparto del esfuerzo” para afrontar las consecuencias de la crisis energética y de precios. Así pues, la enmienda por la que introdujo el precepto impugnado cumple efectivamente con el requisito de conexión mínima de homogeneidad respecto del texto sobre el que se formuló.</w:t>
      </w:r>
    </w:p>
    <w:p w14:paraId="52D2EABC" w14:textId="77777777" w:rsidR="008D479B" w:rsidRDefault="008D479B" w:rsidP="008D479B">
      <w:pPr>
        <w:pStyle w:val="TextoNormal"/>
      </w:pPr>
    </w:p>
    <w:p w14:paraId="2149F2FC" w14:textId="644197FF" w:rsidR="008D479B" w:rsidRDefault="008D479B" w:rsidP="008D479B">
      <w:pPr>
        <w:pStyle w:val="TextoNormal"/>
      </w:pPr>
      <w:r>
        <w:t xml:space="preserve">Una vez descartado que se haya incumplido la legalidad parlamentaria, podemos rechazar ya que se haya infringido el </w:t>
      </w:r>
      <w:r w:rsidRPr="008D479B">
        <w:rPr>
          <w:i/>
        </w:rPr>
        <w:t>ius in officium</w:t>
      </w:r>
      <w:r>
        <w:t xml:space="preserve"> del art. 23.2 CE.</w:t>
      </w:r>
    </w:p>
    <w:p w14:paraId="61DAB85B" w14:textId="77777777" w:rsidR="008D479B" w:rsidRDefault="008D479B" w:rsidP="008D479B">
      <w:pPr>
        <w:pStyle w:val="TextoNormal"/>
      </w:pPr>
    </w:p>
    <w:p w14:paraId="27176394" w14:textId="77777777" w:rsidR="008D479B" w:rsidRDefault="008D479B" w:rsidP="008D479B">
      <w:pPr>
        <w:pStyle w:val="TextoNormal"/>
      </w:pPr>
      <w:r w:rsidRPr="008D479B">
        <w:rPr>
          <w:rStyle w:val="NumeroAFNegritaCaracter"/>
        </w:rPr>
        <w:t>3</w:t>
      </w:r>
      <w:r>
        <w:t xml:space="preserve">. </w:t>
      </w:r>
      <w:r w:rsidRPr="008D479B">
        <w:rPr>
          <w:i/>
        </w:rPr>
        <w:t>Examen de la alegada vulneración de los arts. 156.1 y 157.3 CE</w:t>
      </w:r>
    </w:p>
    <w:p w14:paraId="7B6CBCB6" w14:textId="77777777" w:rsidR="008D479B" w:rsidRDefault="008D479B" w:rsidP="008D479B">
      <w:pPr>
        <w:pStyle w:val="TextoNormal"/>
      </w:pPr>
    </w:p>
    <w:p w14:paraId="7712833D" w14:textId="77777777" w:rsidR="008D479B" w:rsidRDefault="008D479B" w:rsidP="008D479B">
      <w:pPr>
        <w:pStyle w:val="TextoNormal"/>
      </w:pPr>
      <w:r>
        <w:t>A) El letrado de la Comunidad de Madrid argumenta que, con la creación del impuesto temporal de solidaridad de las grandes fortunas, el Estado está alterando unilateralmente los términos de la cesión del impuesto sobre el patrimonio, sin ajustarse al procedimiento establecido para ello, que exige la modificación de la Ley Orgánica 8/1980, de 22 de septiembre, de financiación de las comunidades autónomas (LOFCA); de la Ley 22/2009, de 18 de diciembre, reguladora del sistema de financiación; y de la Ley 29/2010, de 16 de julio, de cesión de tributos a la Comunidad de Madrid. Esto vulneraría los principios de autonomía financiera (y, vinculada a esta, de la autonomía política), corresponsabilidad fiscal, coordinación y lealtad institucional derivados del art. 156.1 CE. En conexión con lo anterior, denuncia la infracción del art. 157.3 CE, que exige una ley orgánica para aprobar las normas que resuelvan los conflictos que pudieran surgir entre el Estado y las comunidades autónomas y las posibles formas de colaboración financiera.</w:t>
      </w:r>
    </w:p>
    <w:p w14:paraId="1F1CE35D" w14:textId="77777777" w:rsidR="008D479B" w:rsidRDefault="008D479B" w:rsidP="008D479B">
      <w:pPr>
        <w:pStyle w:val="TextoNormal"/>
      </w:pPr>
    </w:p>
    <w:p w14:paraId="4D5A7F68" w14:textId="77777777" w:rsidR="008D479B" w:rsidRDefault="008D479B" w:rsidP="008D479B">
      <w:pPr>
        <w:pStyle w:val="TextoNormal"/>
      </w:pPr>
      <w:r>
        <w:t>La letrada de las Cortes Generales y el abogado del Estado aducen que el impuesto temporal de solidaridad de las grandes fortunas no afecta a la normativa ni a la cesión del impuesto sobre el patrimonio, que se mantienen intactas. Subrayan que el nuevo tributo no afectará a la recaudación del impuesto sobre el patrimonio, por lo que no se vulneran las competencias autonómicas, ni la autonomía financiera (ni política), ni el resto de los principios del art. 156.1 CE. Al no modificarse el régimen de cesión, ni regularse ningún medio de resolución de conflictos, tampoco consideran aplicable la reserva de ley orgánica del art. 157.3 CE.</w:t>
      </w:r>
    </w:p>
    <w:p w14:paraId="79EECD7E" w14:textId="77777777" w:rsidR="008D479B" w:rsidRDefault="008D479B" w:rsidP="008D479B">
      <w:pPr>
        <w:pStyle w:val="TextoNormal"/>
      </w:pPr>
    </w:p>
    <w:p w14:paraId="2E34674C" w14:textId="77777777" w:rsidR="008D479B" w:rsidRDefault="008D479B" w:rsidP="008D479B">
      <w:pPr>
        <w:pStyle w:val="TextoNormal"/>
      </w:pPr>
      <w:r>
        <w:t>B) Para el análisis de esta tacha es necesario recordar sintéticamente la doctrina constitucional sobre el art. 156.1 CE, precepto que garantiza a las comunidades autónomas “la autonomía financiera para el desarrollo y ejecución de sus competencias con arreglo a los principios de coordinación con la hacienda estatal y de solidaridad entre todos los españoles”. En concreto, hemos conectado la autonomía tributaria, como parte de la autonomía financiera, con el principio de “corresponsabilidad fiscal”, en virtud del cual las comunidades autónomas deben poder “generar un sistema propio de recursos como fuente principal de los ingresos de Derecho público” [por todas, SSTC 289/2000, de 30 de noviembre, FJ 3; 168/2004, de 6 de octubre, FJ 4; 204/2011, de 15 de diciembre, FJ 8, y 53/2014, de 10 de abril, FJ 3 a)].</w:t>
      </w:r>
    </w:p>
    <w:p w14:paraId="59E84F71" w14:textId="77777777" w:rsidR="008D479B" w:rsidRDefault="008D479B" w:rsidP="008D479B">
      <w:pPr>
        <w:pStyle w:val="TextoNormal"/>
      </w:pPr>
    </w:p>
    <w:p w14:paraId="789AD36C" w14:textId="77777777" w:rsidR="008D479B" w:rsidRDefault="008D479B" w:rsidP="008D479B">
      <w:pPr>
        <w:pStyle w:val="TextoNormal"/>
      </w:pPr>
      <w:r>
        <w:t>De un lado, las comunidades autónomas ejercen su autonomía tributaria mediante el establecimiento y regulación de los tributos propios (arts. 133.2 CE y 6 LOFCA); y, de otro, a través del ejercicio de competencias normativas sobre los tributos cedidos por el Estado, cuya importancia ha destacado nuestra doctrina porque “además de garantizar determinados rendimientos a estos entes territoriales, les permite modular el montante final de su financiación mediante el ejercicio de competencias normativas en el marco de lo dispuesto en las correspondientes leyes de cesión de tributos” [STC 65/2020, de 18 de junio, FJ 4 c)].</w:t>
      </w:r>
    </w:p>
    <w:p w14:paraId="347E8A3A" w14:textId="77777777" w:rsidR="008D479B" w:rsidRDefault="008D479B" w:rsidP="008D479B">
      <w:pPr>
        <w:pStyle w:val="TextoNormal"/>
      </w:pPr>
    </w:p>
    <w:p w14:paraId="3A3013BA" w14:textId="77777777" w:rsidR="008D479B" w:rsidRDefault="008D479B" w:rsidP="008D479B">
      <w:pPr>
        <w:pStyle w:val="TextoNormal"/>
      </w:pPr>
      <w:r>
        <w:t xml:space="preserve">Conviene recalcar, como hace la STC 186/2021, de 28 de octubre, FJ 2 A), que “[l]os impuestos cedidos son tributos de titularidad estatal, fruto de la potestad tributaria originaria del Estado </w:t>
      </w:r>
      <w:r w:rsidRPr="008D479B">
        <w:rPr>
          <w:i/>
        </w:rPr>
        <w:t>ex</w:t>
      </w:r>
      <w:r>
        <w:t xml:space="preserve"> art. 133.1 CE y de su competencia exclusiva sobre hacienda general (art. 149.1.14 CE)”. Por tanto, es el Estado el que establece en la LOFCA, </w:t>
      </w:r>
      <w:r w:rsidRPr="008D479B">
        <w:rPr>
          <w:i/>
        </w:rPr>
        <w:t>ex</w:t>
      </w:r>
      <w:r>
        <w:t xml:space="preserve"> art. 157.3 CE, “la regulación esencial de la cesión” (STC 181/1988, de 13 de octubre, FJ 3); regulación que está actualmente recogida en los arts. 10, 11, 19.2 y 20.2, 3 y 5 LOFCA, posteriormente desarrollados por la ley reguladora del sistema de financiación autonómica (la citada Ley 22/2009).</w:t>
      </w:r>
    </w:p>
    <w:p w14:paraId="5E4657C6" w14:textId="77777777" w:rsidR="008D479B" w:rsidRDefault="008D479B" w:rsidP="008D479B">
      <w:pPr>
        <w:pStyle w:val="TextoNormal"/>
      </w:pPr>
    </w:p>
    <w:p w14:paraId="7F90369B" w14:textId="77777777" w:rsidR="008D479B" w:rsidRDefault="008D479B" w:rsidP="008D479B">
      <w:pPr>
        <w:pStyle w:val="TextoNormal"/>
      </w:pPr>
      <w:r>
        <w:t>También hemos destacado que, mediante el ejercicio de las competencias normativas sobre los tributos cedidos, las comunidades autónomas pueden, por sí mismas, no solo incrementar sustancialmente sus recursos financieros [STC 53/2014, FJ 3 a), con cita de la STC 204/2011, de 15 de diciembre, FJ 8] sino, al mismo tiempo, decidir la composición de sus ingresos, por ejemplo, aumentando el peso de unos tributos y reduciendo el de otros, dentro de los márgenes establecidos en la normativa de la cesión. En lo que aquí interesa, el impuesto sobre el patrimonio es uno de los tributos cedidos en el vigente sistema de financiación [arts. 11 b) LOFCA y 26.1.A) a) de la Ley 22/2009]. Respecto de él las comunidades autónomas podrán modificar el mínimo exento, la tarifa, las deducciones y las bonificaciones [arts. 19.2 b) LOFCA y 47.1 de la Ley 22/2009].</w:t>
      </w:r>
    </w:p>
    <w:p w14:paraId="3F23CC30" w14:textId="77777777" w:rsidR="008D479B" w:rsidRDefault="008D479B" w:rsidP="008D479B">
      <w:pPr>
        <w:pStyle w:val="TextoNormal"/>
      </w:pPr>
    </w:p>
    <w:p w14:paraId="2D408AD7" w14:textId="77777777" w:rsidR="008D479B" w:rsidRDefault="008D479B" w:rsidP="008D479B">
      <w:pPr>
        <w:pStyle w:val="TextoNormal"/>
      </w:pPr>
      <w:r>
        <w:t>C) Entrando ya en el enjuiciamiento de la vulneración, debemos partir de que, como hemos indicado en el fundamento jurídico primero, para la cuantificación del impuesto temporal de solidaridad de las grandes fortunas se deduce la cuota satisfecha por el impuesto sobre el patrimonio, que opera como una suerte de pago “a cuenta” del primero. Por esta razón, los titulares de patrimonios que excedan de 3 000 000 € solo contribuirán por el nuevo impuesto cuando la comunidad autónoma en la que residan haya ejercido a la baja sus competencias normativas en el impuesto sobre el patrimonio ya que, en ese caso, tras deducir el impuesto sobre el patrimonio, el impuesto temporal de solidaridad de las grandes fortunas arrojará un importe a ingresar. Por el contrario, si para los sujetos con patrimonio neto superior al citado umbral la comunidad autónoma ha mantenido (o aumentado) el nivel de tributación de la normativa estatal del impuesto sobre el patrimonio, la cuota del impuesto temporal de solidaridad de las grandes fortunas será cero, ya que lo satisfecho por el impuesto sobre el patrimonio igualará (o superará) a la cuota del nuevo tributo.</w:t>
      </w:r>
    </w:p>
    <w:p w14:paraId="4DD715D5" w14:textId="77777777" w:rsidR="008D479B" w:rsidRDefault="008D479B" w:rsidP="008D479B">
      <w:pPr>
        <w:pStyle w:val="TextoNormal"/>
      </w:pPr>
    </w:p>
    <w:p w14:paraId="1B77E7BC" w14:textId="77777777" w:rsidR="008D479B" w:rsidRDefault="008D479B" w:rsidP="008D479B">
      <w:pPr>
        <w:pStyle w:val="TextoNormal"/>
      </w:pPr>
      <w:r>
        <w:t>De lo anterior se colige que: (i) el impuesto temporal de solidaridad de las grandes fortunas persigue mantener (para los patrimonios superiores a 3 000 000 €) el nivel de tributación derivado de la normativa estatal del impuesto sobre el patrimonio; (ii) el importe del nuevo tributo será cero, salvo si las competencias autonómicas en el impuesto sobre el patrimonio se han ejercido a la baja; y (iii) el impuesto temporal de solidaridad de las grandes fortunas no afecta a la cuantificación del impuesto sobre el patrimonio resultante de dichas competencias ni, por tanto, a los ingresos que las comunidades autónomas obtienen con este.</w:t>
      </w:r>
    </w:p>
    <w:p w14:paraId="7DF74F9E" w14:textId="77777777" w:rsidR="008D479B" w:rsidRDefault="008D479B" w:rsidP="008D479B">
      <w:pPr>
        <w:pStyle w:val="TextoNormal"/>
      </w:pPr>
    </w:p>
    <w:p w14:paraId="5260841E" w14:textId="77777777" w:rsidR="008D479B" w:rsidRDefault="008D479B" w:rsidP="008D479B">
      <w:pPr>
        <w:pStyle w:val="TextoNormal"/>
      </w:pPr>
      <w:r>
        <w:t>a) A la vista del esquema descrito, debe convenirse con el abogado del Estado y la letrada de las Cortes Generales, en que el impuesto temporal de solidaridad de las grandes fortunas deja intactas las competencias normativas autonómicas reconocidas en el régimen de cesión del impuesto sobre el patrimonio. El mínimo exento, la tarifa, las deducciones y las bonificaciones aplicables a los contribuyentes con residencia habitual en la Comunidad de Madrid seguirán siendo, única y exclusivamente, los que esta decida, en ejercicio de las competencias previstas en la Ley Orgánica de financiación de las comunidades autónomas, en la Ley 22/2009 y en la ley específica de cesión de tributos a dicha comunidad. Tal ejercicio se recoge actualmente en los arts. 19 y 20 del texto refundido de las disposiciones legales de la Comunidad de Madrid en materia de tributos cedidos por el Estado, aprobado por el Decreto Legislativo 1/2010, de 21 de octubre, que fijan el importe del mínimo exento del impuesto sobre el patrimonio en 700 000 € y crean una bonificación general del 100 por 100 de la cuota.</w:t>
      </w:r>
    </w:p>
    <w:p w14:paraId="71EF3BBB" w14:textId="77777777" w:rsidR="008D479B" w:rsidRDefault="008D479B" w:rsidP="008D479B">
      <w:pPr>
        <w:pStyle w:val="TextoNormal"/>
      </w:pPr>
    </w:p>
    <w:p w14:paraId="3CD8FAB6" w14:textId="77777777" w:rsidR="008D479B" w:rsidRDefault="008D479B" w:rsidP="008D479B">
      <w:pPr>
        <w:pStyle w:val="TextoNormal"/>
      </w:pPr>
      <w:r>
        <w:t>La demanda no identifica qué concreta competencia autonómica sobre el impuesto sobre el patrimonio ha quedado alterada por el establecimiento del impuesto temporal de solidaridad de las grandes fortunas. Tampoco esgrime que se haya producido merma alguna en los ingresos autonómicos. En realidad, su razonamiento se reduce a argumentar que con el nuevo impuesto temporal se “fuerza” a tributar a los contribuyentes con un patrimonio superior a 3 000 000 € residentes en la Comunidad de Madrid, en contra de la voluntad de esta. Añade que, al anular la carga tributaria del impuesto sobre el patrimonio, dicha comunidad perseguía, como fin extrafiscal, atraer riqueza e inversión a su territorio, lo que ahora quedaría neutralizado por la intervención del legislador estatal.</w:t>
      </w:r>
    </w:p>
    <w:p w14:paraId="6A3EB652" w14:textId="77777777" w:rsidR="008D479B" w:rsidRDefault="008D479B" w:rsidP="008D479B">
      <w:pPr>
        <w:pStyle w:val="TextoNormal"/>
      </w:pPr>
    </w:p>
    <w:p w14:paraId="7E858039" w14:textId="77777777" w:rsidR="008D479B" w:rsidRDefault="008D479B" w:rsidP="008D479B">
      <w:pPr>
        <w:pStyle w:val="TextoNormal"/>
      </w:pPr>
      <w:r>
        <w:t xml:space="preserve">Este argumento no puede acogerse. Ninguna duda ofrece la posibilidad de que las comunidades autónomas utilicen sus competencias tributarias con fines extrafiscales, como ya reconocimos en la temprana STC 37/1987, de 26 de marzo, FJ 13, en relación con los tributos propios, doctrina igualmente aplicable a los cedidos. Ahora bien, como allí indicamos, las comunidades autónomas solo pueden perseguir dichos fines dentro del marco de sus competencias, entre las que no se encuentra —como parece postular la demanda— el impedir al Estado, titular de la potestad tributaria originaria </w:t>
      </w:r>
      <w:r w:rsidRPr="008D479B">
        <w:rPr>
          <w:i/>
        </w:rPr>
        <w:t>ex</w:t>
      </w:r>
      <w:r>
        <w:t xml:space="preserve"> art. 133.1 CE y de la competencia exclusiva en materia de “hacienda general” </w:t>
      </w:r>
      <w:r w:rsidRPr="008D479B">
        <w:rPr>
          <w:i/>
        </w:rPr>
        <w:t>ex</w:t>
      </w:r>
      <w:r>
        <w:t xml:space="preserve"> art. 149.1.14 CE, establecer un nuevo tributo sobre el patrimonio que la comunidad autónoma ha dejado libre de gravamen. Aceptar la tesis de la Comunidad de Madrid sería tanto como pretender que su autonomía financiera y política le autorizan, no ya a bonificar completamente el impuesto sobre el patrimonio sino, además, a bloquear el ejercicio de las mencionadas competencias estatales.</w:t>
      </w:r>
    </w:p>
    <w:p w14:paraId="0CE9E649" w14:textId="77777777" w:rsidR="008D479B" w:rsidRDefault="008D479B" w:rsidP="008D479B">
      <w:pPr>
        <w:pStyle w:val="TextoNormal"/>
      </w:pPr>
    </w:p>
    <w:p w14:paraId="7EA4CA72" w14:textId="77777777" w:rsidR="008D479B" w:rsidRDefault="008D479B" w:rsidP="008D479B">
      <w:pPr>
        <w:pStyle w:val="TextoNormal"/>
      </w:pPr>
      <w:r>
        <w:t>En otras palabras, la autonomía financiera reconocida por el art. 156.1 CE y su concreción en la normativa reguladora del vigente sistema de financiación permiten a las comunidades autónomas reducir a cero la tributación en el impuesto sobre el patrimonio de los residentes en su territorio, introduciendo una bonificación del 100 por 100 de la cuota; pero no les ampara para impedir que las Cortes Generales, en el ejercicio de sus competencias, establezcan un impuesto como el impuesto temporal de solidaridad de las grandes fortunas, con un objetivo recaudatorio y armonizador. La posición de la Comunidad de Madrid implica arrogarse la decisión exclusiva sobre la tributación de los residentes en su territorio, desconociendo que estos también están sujetos a la potestad tributaria del resto de entes, en este caso, a la del Estado.</w:t>
      </w:r>
    </w:p>
    <w:p w14:paraId="396A28F2" w14:textId="77777777" w:rsidR="008D479B" w:rsidRDefault="008D479B" w:rsidP="008D479B">
      <w:pPr>
        <w:pStyle w:val="TextoNormal"/>
      </w:pPr>
    </w:p>
    <w:p w14:paraId="2B1C1136" w14:textId="77777777" w:rsidR="008D479B" w:rsidRDefault="008D479B" w:rsidP="008D479B">
      <w:pPr>
        <w:pStyle w:val="TextoNormal"/>
      </w:pPr>
      <w:r>
        <w:t>b) La conclusión anterior se confirma a la luz de la STC 26/2015, de 19 de febrero, sobre el impuesto sobre los depósitos en las entidades de crédito. Dicho impuesto también fue creado con una finalidad armonizadora, en concreto, del gravamen de las entidades de crédito. En dicha sentencia, fundamento jurídico 4, concluimos que el Estado es competente “para establecer un tributo cuya finalidad central es precisamente la coordinación de la sujeción a gravamen de las entidades de crédito o, lo que es lo mismo, la armonización de esta concreta materia imponible” lo que “encuentra fácil acomodo en el título de coordinación contenido en el art. 149.1.14 CE, en relación con los arts. 133.1 y 157.3 CE”. Respecto de la concreta técnica empleada para conseguir el objetivo de armonización, el Tribunal precisó que “el legislador estatal dispone de diferentes instrumentos para su desarrollo, sin que corresponda a este tribunal enjuiciar la oportunidad de utilizar un instrumento u otro sino tan solo si el concretamente seleccionado tiene encaje en el reparto competencial en esta materia”.</w:t>
      </w:r>
    </w:p>
    <w:p w14:paraId="4C86B227" w14:textId="77777777" w:rsidR="008D479B" w:rsidRDefault="008D479B" w:rsidP="008D479B">
      <w:pPr>
        <w:pStyle w:val="TextoNormal"/>
      </w:pPr>
    </w:p>
    <w:p w14:paraId="3B8D2699" w14:textId="77777777" w:rsidR="008D479B" w:rsidRDefault="008D479B" w:rsidP="008D479B">
      <w:pPr>
        <w:pStyle w:val="TextoNormal"/>
      </w:pPr>
      <w:r>
        <w:t>En el supuesto enjuiciado por dicha sentencia, el ejercicio de la competencia tributaria por el Estado desplazaba a los tributos propios autonómicos preexistentes, que dejaban de aplicarse, instrumentándose “medidas de compensación o coordinación adecuadas” (art. 6.2 LOFCA). En el asunto que ahora examinamos, el impuesto temporal de solidaridad de las grandes fortunas no armoniza un ámbito de la tributación propia autonómica, sino la fiscalidad del patrimonio, que es un espacio fiscal del Estado desde la aprobación de la Ley 50/1977, de 14 de noviembre, de medidas urgentes de reforma fiscal, que estableció el impuesto extraordinario sobre el patrimonio de las personas físicas, luego sustituida por la vigente Ley 19/1991. La cesión a las comunidades autónomas de la recaudación y de determinadas competencias normativas sobre el impuesto sobre el patrimonio regulado en dicha ley no priva al Estado de la potestad de establecer otros impuestos sobre el patrimonio, como el impuesto temporal de solidaridad de las grandes fortunas, máxime si consideramos que aquel opera “a cuenta” de este.</w:t>
      </w:r>
    </w:p>
    <w:p w14:paraId="18DA52A6" w14:textId="77777777" w:rsidR="008D479B" w:rsidRDefault="008D479B" w:rsidP="008D479B">
      <w:pPr>
        <w:pStyle w:val="TextoNormal"/>
      </w:pPr>
    </w:p>
    <w:p w14:paraId="58227106" w14:textId="77777777" w:rsidR="008D479B" w:rsidRDefault="008D479B" w:rsidP="008D479B">
      <w:pPr>
        <w:pStyle w:val="TextoNormal"/>
      </w:pPr>
      <w:r>
        <w:t>En suma, si, como reconocimos en la STC 26/2015, el Estado puede utilizar su potestad tributaria para armonizar un espacio ocupado por tributos propios autonómicos, con mayor razón podrá hacerlo respecto de su propio espacio fiscal, sin que ninguna competencia autonómica se vea perturbada. Por consiguiente, se desestima la vulneración del principio de autonomía financiera y de la autonomía política vinculada con ella.</w:t>
      </w:r>
    </w:p>
    <w:p w14:paraId="69BEE214" w14:textId="77777777" w:rsidR="008D479B" w:rsidRDefault="008D479B" w:rsidP="008D479B">
      <w:pPr>
        <w:pStyle w:val="TextoNormal"/>
      </w:pPr>
    </w:p>
    <w:p w14:paraId="49791A6F" w14:textId="77777777" w:rsidR="008D479B" w:rsidRDefault="008D479B" w:rsidP="008D479B">
      <w:pPr>
        <w:pStyle w:val="TextoNormal"/>
      </w:pPr>
      <w:r>
        <w:t xml:space="preserve">c) Las razones anteriores nos llevan, asimismo, a descartar la vulneración del resto de principios del art. 156.1 CE que invoca la demanda. Respecto de la corresponsabilidad fiscal, ya hemos indicado que el impuesto temporal de solidaridad de las grandes fortunas no menoscaba la capacidad de la Comunidad de Madrid de “generar un sistema propio de recursos”, pues no interfiere en sus competencias sobre el impuesto sobre el patrimonio. En cuanto al principio de coordinación, en la ya citada STC 26/2015, FJ 4 b), concluimos que este amparaba la creación de un tributo estatal con fines armonizadores, aunque conllevara el desplazamiento de la competencia autonómica, criterio aplicable </w:t>
      </w:r>
      <w:r w:rsidRPr="008D479B">
        <w:rPr>
          <w:i/>
        </w:rPr>
        <w:t>a fortiori</w:t>
      </w:r>
      <w:r>
        <w:t xml:space="preserve"> —como hemos señalado—, al caso del tributo impugnado aquí, que se incardina en el espacio fiscal del Estado y no produce tal desplazamiento. Finalmente, el principio de lealtad institucional, según el cual se debe valorar el “impacto, positivo o negativo, que puedan suponer las actuaciones legislativas del Estado y de las comunidades autónomas en materia tributaria” [art. 2.Uno.g) LOFCA], queda aquí garantizado, toda vez que el impuesto recurrido no genera ninguna pérdida recaudatoria para las comunidades autónomas. Baste reiterar, una vez más, que los ingresos del impuesto sobre el patrimonio para cada comunidad —en concreto, para la Comunidad de Madrid— dependerán de las opciones legislativas que esta adopte sobre dicho tributo, sin que la creación del impuesto temporal de solidaridad de las grandes fortunas suponga cambio alguno al respecto. Será el nuevo tributo el que tenga una recaudación inexistente en caso de que las comunidades autónomas mantengan (o aumenten) el nivel impositivo del impuesto sobre el patrimonio fijado en la Ley 19/1991 para los contribuyentes con un patrimonio superior a 3 000 000 € que residan en su territorio.</w:t>
      </w:r>
    </w:p>
    <w:p w14:paraId="532DD64B" w14:textId="77777777" w:rsidR="008D479B" w:rsidRDefault="008D479B" w:rsidP="008D479B">
      <w:pPr>
        <w:pStyle w:val="TextoNormal"/>
      </w:pPr>
    </w:p>
    <w:p w14:paraId="0915A619" w14:textId="77777777" w:rsidR="008D479B" w:rsidRDefault="008D479B" w:rsidP="008D479B">
      <w:pPr>
        <w:pStyle w:val="TextoNormal"/>
      </w:pPr>
      <w:r>
        <w:t xml:space="preserve">D) Por último, se alega la vulneración de la reserva de ley orgánica del art. 157.3 CE. En este punto se ha de tener presente, tal y como concluimos en la citada STC 26/2015, FJ 5 a), que el nuevo impuesto temporal de solidaridad de las grandes fortunas no se crea en aplicación de la Ley Orgánica de financiación de las comunidades autónomas, sino en ejercicio de las competencias del Estado </w:t>
      </w:r>
      <w:r w:rsidRPr="008D479B">
        <w:rPr>
          <w:i/>
        </w:rPr>
        <w:t>ex</w:t>
      </w:r>
      <w:r>
        <w:t xml:space="preserve"> arts. 133.1 y 149.1.14 CE, las cuales no deben instrumentarse mediante ley orgánica. Tampoco nos encontramos ante una norma “para resolver los conflictos que pudieran surgir” pues, pese a lo que sugiere la demanda, tal conflicto no existe, ya que no se ha cuestionado la competencia de las comunidades autónomas para bonificar íntegramente el impuesto sobre el patrimonio. Por otro lado, tampoco se está regulando la junta arbitral de resolución de conflictos en materia de aplicación de los tributos cedidos (arts. 23 y 24 LOFCA). Finalmente, según venimos recalcando, el impuesto temporal de solidaridad de las grandes fortunas no minora los ingresos autonómicos, por lo que no es precisa ninguna “fórmula de colaboración financiera”. En definitiva, no concurre ninguno de los supuestos para los que el art. 157.3 CE establece una reserva de ley orgánica.</w:t>
      </w:r>
    </w:p>
    <w:p w14:paraId="5A1ECDE7" w14:textId="77777777" w:rsidR="008D479B" w:rsidRDefault="008D479B" w:rsidP="008D479B">
      <w:pPr>
        <w:pStyle w:val="TextoNormal"/>
      </w:pPr>
    </w:p>
    <w:p w14:paraId="79A34365" w14:textId="6ACDFB2B" w:rsidR="008D479B" w:rsidRDefault="008D479B" w:rsidP="008D479B">
      <w:pPr>
        <w:pStyle w:val="TextoNormal"/>
      </w:pPr>
      <w:r>
        <w:t>Por lo expuesto, se desestima la vulneración de los arts. 156.1 y 157.3 CE.</w:t>
      </w:r>
    </w:p>
    <w:p w14:paraId="073F4E13" w14:textId="77777777" w:rsidR="008D479B" w:rsidRDefault="008D479B" w:rsidP="008D479B">
      <w:pPr>
        <w:pStyle w:val="TextoNormal"/>
      </w:pPr>
    </w:p>
    <w:p w14:paraId="7888A83B" w14:textId="77777777" w:rsidR="008D479B" w:rsidRDefault="008D479B" w:rsidP="008D479B">
      <w:pPr>
        <w:pStyle w:val="TextoNormal"/>
      </w:pPr>
      <w:r w:rsidRPr="008D479B">
        <w:rPr>
          <w:rStyle w:val="NumeroAFNegritaCaracter"/>
        </w:rPr>
        <w:t>4</w:t>
      </w:r>
      <w:r>
        <w:t xml:space="preserve">. </w:t>
      </w:r>
      <w:r w:rsidRPr="008D479B">
        <w:rPr>
          <w:i/>
        </w:rPr>
        <w:t>Examen de la alegada vulneración del art. 31.1 CE</w:t>
      </w:r>
    </w:p>
    <w:p w14:paraId="0C10A778" w14:textId="77777777" w:rsidR="008D479B" w:rsidRDefault="008D479B" w:rsidP="008D479B">
      <w:pPr>
        <w:pStyle w:val="TextoNormal"/>
      </w:pPr>
    </w:p>
    <w:p w14:paraId="54114F2B" w14:textId="77777777" w:rsidR="008D479B" w:rsidRDefault="008D479B" w:rsidP="008D479B">
      <w:pPr>
        <w:pStyle w:val="TextoNormal"/>
      </w:pPr>
      <w:r>
        <w:t>A) El Consejo de Gobierno de la Comunidad de Madrid también imputa al impuesto temporal de solidaridad de las grandes fortunas la vulneración de los principios de capacidad económica y no confiscatoriedad consagrados en el art. 31.1 CE. Aunque reconoce que la titularidad de un patrimonio superior a 3 000 000 € es un índice válido de capacidad económica, considera que, tal y como apreció la STC 182/2021, de 26 de octubre, FJ 2 (en relación con el impuesto sobre el incremento de valor de los terrenos de naturaleza urbana), el contexto económico actual impide obtener rendimientos suficientes para afrontar los tipos de gravamen del impuesto temporal de solidaridad de las grandes fortunas. En apoyo de esto, aporta datos sobre la rentabilidad en el mercado actual de distintos elementos patrimoniales cuya titularidad grava el impuesto impugnado.</w:t>
      </w:r>
    </w:p>
    <w:p w14:paraId="085224DD" w14:textId="77777777" w:rsidR="008D479B" w:rsidRDefault="008D479B" w:rsidP="008D479B">
      <w:pPr>
        <w:pStyle w:val="TextoNormal"/>
      </w:pPr>
    </w:p>
    <w:p w14:paraId="4A6676D5" w14:textId="77777777" w:rsidR="008D479B" w:rsidRDefault="008D479B" w:rsidP="008D479B">
      <w:pPr>
        <w:pStyle w:val="TextoNormal"/>
      </w:pPr>
      <w:r>
        <w:t>El abogado del Estado advierte que la demanda no ofrece ningún ejemplo o estudio en el que, según la composición de un “patrimonio tipo”, el impuesto pueda ser confiscatorio, por lo que la tacha debe descartarse. La letrada de las Cortes no alega sobre esta vulneración.</w:t>
      </w:r>
    </w:p>
    <w:p w14:paraId="372D83C7" w14:textId="77777777" w:rsidR="008D479B" w:rsidRDefault="008D479B" w:rsidP="008D479B">
      <w:pPr>
        <w:pStyle w:val="TextoNormal"/>
      </w:pPr>
    </w:p>
    <w:p w14:paraId="1B2A067A" w14:textId="77777777" w:rsidR="008D479B" w:rsidRDefault="008D479B" w:rsidP="008D479B">
      <w:pPr>
        <w:pStyle w:val="TextoNormal"/>
      </w:pPr>
      <w:r>
        <w:t>B) El análisis de la vulneración exige traer a colación la doctrina constitucional sobre los principios de capacidad económica y no confiscatoriedad.</w:t>
      </w:r>
    </w:p>
    <w:p w14:paraId="64183D66" w14:textId="77777777" w:rsidR="008D479B" w:rsidRDefault="008D479B" w:rsidP="008D479B">
      <w:pPr>
        <w:pStyle w:val="TextoNormal"/>
      </w:pPr>
    </w:p>
    <w:p w14:paraId="60D9EAC2" w14:textId="77777777" w:rsidR="008D479B" w:rsidRDefault="008D479B" w:rsidP="008D479B">
      <w:pPr>
        <w:pStyle w:val="TextoNormal"/>
      </w:pPr>
      <w:r>
        <w:t>a) En cuanto al principio de capacidad económica, el art. 31.1 CE establece el deber de todos de contribuir “al sostenimiento de los gastos públicos, de acuerdo con su capacidad económica”, lo que incorpora “un auténtico mandato jurídico, fuente de derechos y obligaciones” (SSTC 182/1997, de 28 de octubre, FJ 6; 245/2004, de 16 de diciembre, FJ 5; 189/2005, de 7 de julio, FJ 7; 100/2012, de 8 de mayo, FJ 9, y 26/2017, de 16 de febrero, FJ 2), del que no solo se deriva una obligación positiva, la de contribuir al sostenimiento de los gastos públicos, sino también un derecho correlativo, como es el de que esa contribución “sea configurada en cada caso por el legislador según aquella capacidad” (SSTC 182/1997, FJ 6; 107/2015, de 28 de mayo, FJ 2, y 26/2017, FJ 2).</w:t>
      </w:r>
    </w:p>
    <w:p w14:paraId="37EE0BCD" w14:textId="77777777" w:rsidR="008D479B" w:rsidRDefault="008D479B" w:rsidP="008D479B">
      <w:pPr>
        <w:pStyle w:val="TextoNormal"/>
      </w:pPr>
    </w:p>
    <w:p w14:paraId="3FB5C389" w14:textId="77777777" w:rsidR="008D479B" w:rsidRDefault="008D479B" w:rsidP="008D479B">
      <w:pPr>
        <w:pStyle w:val="TextoNormal"/>
      </w:pPr>
      <w:r>
        <w:t>Como “fundamento” de la imposición, este principio exige gravar un presupuesto de hecho revelador de capacidad económica [SSTC 276/2000, de 16 de noviembre, FJ 4, y 62/2015, de 13 de abril, FJ 3 c)], bastando con que “dicha capacidad económica exista, como riqueza o renta real o potencial en la generalidad de los supuestos contemplados por el legislador al crear el impuesto, para que aquel principio constitucional quede a salvo” [SSTC 26/2017, de 16 de febrero, FJ 3; 59/2017, de 11 de mayo, FJ 3; 126/2019, de 31 de octubre, FJ 3, y 182/2021, FJ 3 b)]. Al respecto, nuestra doctrina viene considerando que las principales manifestaciones de capacidad económica son la renta, el consumo y el patrimonio [SSTC 210/2012, de 14 de noviembre, FJ 4; 53/2014, de 10 de abril, FJ 3 a), y 94/2017, de 6 de julio, FJ 4 b), entre otras].</w:t>
      </w:r>
    </w:p>
    <w:p w14:paraId="1D1E4F72" w14:textId="77777777" w:rsidR="008D479B" w:rsidRDefault="008D479B" w:rsidP="008D479B">
      <w:pPr>
        <w:pStyle w:val="TextoNormal"/>
      </w:pPr>
    </w:p>
    <w:p w14:paraId="3352BAEC" w14:textId="77777777" w:rsidR="008D479B" w:rsidRDefault="008D479B" w:rsidP="008D479B">
      <w:pPr>
        <w:pStyle w:val="TextoNormal"/>
      </w:pPr>
      <w:r>
        <w:t>Una segunda vertiente del principio de capacidad es la de “criterio, parámetro o medida” de la imposición, dimensión que ha sido revitalizada por la citada STC 182/2021. Dicha sentencia, abandonando la doctrina del ATC 71/2008, de 26 de febrero, FJ 5 (según la cual la capacidad como “medida” no era exigible a todos los tributos sino solo a los que constituyen los pilares estructurales del sistema), requiere que “sobre todo en los impuestos, rija la capacidad económica no solo en la elección de los hechos imponibles, sino también en la de los métodos impositivos o medidas técnicas que, partiendo de la realización de esa manifestación de capacidad económica tipificada, conduzcan a la determinación de la cuantía del tributo” [FJ 4 B) c)].</w:t>
      </w:r>
    </w:p>
    <w:p w14:paraId="486785F6" w14:textId="77777777" w:rsidR="008D479B" w:rsidRDefault="008D479B" w:rsidP="008D479B">
      <w:pPr>
        <w:pStyle w:val="TextoNormal"/>
      </w:pPr>
    </w:p>
    <w:p w14:paraId="25C5DF28" w14:textId="77777777" w:rsidR="008D479B" w:rsidRDefault="008D479B" w:rsidP="008D479B">
      <w:pPr>
        <w:pStyle w:val="TextoNormal"/>
      </w:pPr>
      <w:r>
        <w:t>Sentado que el principio de capacidad como “criterio, parámetro o medida” debe regir en todos los tributos, ha de recordarse que, desde sus primeros pronunciamientos este tribunal ha reconocido al legislador un amplio margen de libertad para concretar la cuantía de la obligación tributaria, en consideración a diversos valores o principios, conforme a criterios de razonabilidad y proporcionalidad [STC 67/2023, de 6 de junio, FJ 4 a)], “no correspondiendo [al Tribunal Constitucional] en modo alguno […] enjuiciar si las soluciones adoptadas en la ley tributaria sometida a control de constitucionalidad son las más correctas técnicamente, aunque indudablemente se halla facultado para determinar si en el régimen legal del tributo aquel ha sobrepasado o no los límites al poder tributario que se derivan de los principios constitucionales contenidos en el art. 31.1 CE [SSTC 27/1981, de 20 de julio, FJ 4; 214/1994, de 14 de julio, FJ 5 A); 46/2000, de 17 de febrero, FJ 4; 96/2002, de 25 de abril, FJ 7; 7/2010, de 27 de abril, FJ 6; 19/2012, de 15 de febrero, FJ 3 c), 20/2012, de 16 de febrero, FJ 8, y 182/2021, FJ 4 C) b)]”.</w:t>
      </w:r>
    </w:p>
    <w:p w14:paraId="5A593053" w14:textId="77777777" w:rsidR="008D479B" w:rsidRDefault="008D479B" w:rsidP="008D479B">
      <w:pPr>
        <w:pStyle w:val="TextoNormal"/>
      </w:pPr>
    </w:p>
    <w:p w14:paraId="3EDF8DD0" w14:textId="77777777" w:rsidR="008D479B" w:rsidRDefault="008D479B" w:rsidP="008D479B">
      <w:pPr>
        <w:pStyle w:val="TextoNormal"/>
      </w:pPr>
      <w:r>
        <w:t>b) Con relación a la prohibición constitucional de confiscatoriedad del art. 31.1 CE, entendida en su sentido tradicional, “obliga a no agotar la riqueza imponible —sustrato, base o exigencia de toda imposición— so pretexto del deber de contribuir, lo que tendría lugar si mediante la aplicación de las diversas figuras tributarias vigentes se llegara a privar al sujeto pasivo de sus rentas y propiedades, con lo que además se estaría desconociendo, por la vía fiscal indirecta, la garantía prevista en el art. 33.1 de la Constitución [el derecho a la propiedad privada]” [SSTC 150/1990, FJ 9; 14/1998, de 22 de enero, FJ 11 B), y 233/1999, de 21 de diciembre, FJ 23, y AATC 71/2008, FJ 6; 120/2008, de 6 de mayo, FJ 1; 342/2008, de 28 de octubre, FJ 1, y 69/2018, de 20 de junio, FJ 3 c)].</w:t>
      </w:r>
    </w:p>
    <w:p w14:paraId="1F59DCE0" w14:textId="77777777" w:rsidR="008D479B" w:rsidRDefault="008D479B" w:rsidP="008D479B">
      <w:pPr>
        <w:pStyle w:val="TextoNormal"/>
      </w:pPr>
    </w:p>
    <w:p w14:paraId="1A4CDC40" w14:textId="77777777" w:rsidR="008D479B" w:rsidRDefault="008D479B" w:rsidP="008D479B">
      <w:pPr>
        <w:pStyle w:val="TextoNormal"/>
      </w:pPr>
      <w:r>
        <w:t>Ello no obstante, ampliado su contenido en la STC 26/2017, se establece que “aunque el art. 31.1 CE haya referido el límite de la confiscatoriedad al ‘sistema tributario’, no hay que descuidar que también exige que dicho efecto no se produzca ‘en ningún caso’, lo que permite considerar que todo tributo que agotase la riqueza imponible so pretexto del deber de contribuir al sostenimiento de los gastos públicos (en sentido parecido, STC 150/1990, FJ 9) o que sometiese a gravamen una riqueza inexistente en contra del principio de capacidad económica, estaría incurriendo en un resultado obviamente confiscatorio que incidiría negativamente en aquella prohibición constitucional (art. 31.1 CE)” [SSTC 26/2017, FJ 2, 126/2019, FJ 4, y 182/2021, FJ 3 c)].</w:t>
      </w:r>
    </w:p>
    <w:p w14:paraId="4C3B75A3" w14:textId="77777777" w:rsidR="008D479B" w:rsidRDefault="008D479B" w:rsidP="008D479B">
      <w:pPr>
        <w:pStyle w:val="TextoNormal"/>
      </w:pPr>
    </w:p>
    <w:p w14:paraId="4CF6659C" w14:textId="77777777" w:rsidR="008D479B" w:rsidRDefault="008D479B" w:rsidP="008D479B">
      <w:pPr>
        <w:pStyle w:val="TextoNormal"/>
      </w:pPr>
      <w:r>
        <w:t>C) Entrando ya en el examen de las quejas, comenzaremos analizando la vulneración del principio de no confiscatoriedad.</w:t>
      </w:r>
    </w:p>
    <w:p w14:paraId="0A981EFF" w14:textId="77777777" w:rsidR="008D479B" w:rsidRDefault="008D479B" w:rsidP="008D479B">
      <w:pPr>
        <w:pStyle w:val="TextoNormal"/>
      </w:pPr>
    </w:p>
    <w:p w14:paraId="086B4F0E" w14:textId="77777777" w:rsidR="008D479B" w:rsidRDefault="008D479B" w:rsidP="008D479B">
      <w:pPr>
        <w:pStyle w:val="TextoNormal"/>
      </w:pPr>
      <w:r>
        <w:t>a) La demanda anuda dicha vulneración a que los tipos del impuesto temporal de solidaridad de las grandes fortunas son excesivos en relación con la rentabilidad generada por los elementos patrimoniales gravados. Pero este argumento no tiene en cuenta que el impuesto temporal de solidaridad de las grandes fortunas es un impuesto sobre el patrimonio, que tendría efecto confiscatorio solo en caso de agotar el valor del mismo, no la renta generada por los bienes gravados, que es una manifestación distinta de la capacidad económica. Como constató la STC 295/2006, de 11 de octubre, FJ 2, “la capacidad económica sometida a tributación en uno y otro impuesto son diferentes, pues si en uno se grava la obtención de renta […] el otro somete a tributación ‘el patrimonio neto de las personas físicas’”.</w:t>
      </w:r>
    </w:p>
    <w:p w14:paraId="6B1BE96D" w14:textId="77777777" w:rsidR="008D479B" w:rsidRDefault="008D479B" w:rsidP="008D479B">
      <w:pPr>
        <w:pStyle w:val="TextoNormal"/>
      </w:pPr>
    </w:p>
    <w:p w14:paraId="2263892B" w14:textId="77777777" w:rsidR="008D479B" w:rsidRDefault="008D479B" w:rsidP="008D479B">
      <w:pPr>
        <w:pStyle w:val="TextoNormal"/>
      </w:pPr>
      <w:r>
        <w:t>Toda vez que el letrado autonómico no razona nada sobre el eventual agotamiento de la fuente de capacidad económica gravada por el impuesto temporal de solidaridad de las grandes fortunas, la impugnación no puede prosperar, por falta de carga alegatoria [por todas, STC 49/2023, de 10 de mayo, FJ 9 c)].</w:t>
      </w:r>
    </w:p>
    <w:p w14:paraId="7E8BF332" w14:textId="77777777" w:rsidR="008D479B" w:rsidRDefault="008D479B" w:rsidP="008D479B">
      <w:pPr>
        <w:pStyle w:val="TextoNormal"/>
      </w:pPr>
    </w:p>
    <w:p w14:paraId="65183936" w14:textId="77777777" w:rsidR="008D479B" w:rsidRDefault="008D479B" w:rsidP="008D479B">
      <w:pPr>
        <w:pStyle w:val="TextoNormal"/>
      </w:pPr>
      <w:r>
        <w:t>b) Respecto del principio de capacidad económica, el Consejo de Gobierno de la Comunidad de Madrid no cuestiona que la titularidad de un patrimonio superior a 3 000 000 € sea una manifestación real de riqueza susceptible de ser gravada. Es decir, no predica la vulneración del principio de capacidad económica como “fundamento”, sino como “criterio, parámetro o medida” de la imposición.</w:t>
      </w:r>
    </w:p>
    <w:p w14:paraId="5737C110" w14:textId="77777777" w:rsidR="008D479B" w:rsidRDefault="008D479B" w:rsidP="008D479B">
      <w:pPr>
        <w:pStyle w:val="TextoNormal"/>
      </w:pPr>
    </w:p>
    <w:p w14:paraId="3EC359AE" w14:textId="77777777" w:rsidR="008D479B" w:rsidRDefault="008D479B" w:rsidP="008D479B">
      <w:pPr>
        <w:pStyle w:val="TextoNormal"/>
      </w:pPr>
      <w:r>
        <w:t>Esta segunda queja también debe desestimarse. El gobierno autonómico recurrente insiste en argumentar que los tipos de gravamen del impuesto temporal de solidaridad de las grandes fortunas son demasiado elevados en relación con la rentabilidad actual de distintos activos financieros, parámetro que, como acabamos de señalar, es ajeno al índice de capacidad económica gravado por el impuesto impugnado. Este tributo recae sobre la titularidad de bienes (al igual, por ejemplo, que el impuesto sobre bienes inmuebles o el impuesto sobre vehículos de tracción mecánica), no sobre la renta que estos generan, que ya tributa en otros impuestos (como el IRPF, el impuesto sobre sociedades y el impuesto sobre la renta de no residentes, según el caso). Por tanto, los datos sobre la rentabilidad en el mercado de determinados activos financieros no sirven para fundamentar la infracción del principio de capacidad económica como “criterio, parámetro o medida” respecto de un impuesto que recae sobre la titularidad de un patrimonio.</w:t>
      </w:r>
    </w:p>
    <w:p w14:paraId="27CFAEE1" w14:textId="77777777" w:rsidR="008D479B" w:rsidRDefault="008D479B" w:rsidP="008D479B">
      <w:pPr>
        <w:pStyle w:val="TextoNormal"/>
      </w:pPr>
    </w:p>
    <w:p w14:paraId="17331E34" w14:textId="77777777" w:rsidR="008D479B" w:rsidRDefault="008D479B" w:rsidP="008D479B">
      <w:pPr>
        <w:pStyle w:val="TextoNormal"/>
      </w:pPr>
      <w:r>
        <w:t>El análisis de si los tipos de gravamen del impuesto temporal de solidaridad de las grandes fortunas son excesivos, como postula el letrado autonómico, debe atender a los tipos de gravamen efectivos, que no solo dependen de la tarifa de gravamen, sino del resto de elementos de cuantificación del tributo. Es decir, ha de evaluarse a la vista de la proporción que guarda la cuota a ingresar respecto del valor del patrimonio neto, teniendo en cuenta, como antes hemos recordado, que el legislador dispone de un amplio margen de libertad en la configuración de los tributos, en concreto, para fijar la cuantía de la obligación tributaria, según criterios de razonabilidad y proporcionalidad [STC 67/2023, de 6 de junio, FJ 4 a)].</w:t>
      </w:r>
    </w:p>
    <w:p w14:paraId="5360D21F" w14:textId="77777777" w:rsidR="008D479B" w:rsidRDefault="008D479B" w:rsidP="008D479B">
      <w:pPr>
        <w:pStyle w:val="TextoNormal"/>
      </w:pPr>
    </w:p>
    <w:p w14:paraId="56598203" w14:textId="77777777" w:rsidR="008D479B" w:rsidRDefault="008D479B" w:rsidP="008D479B">
      <w:pPr>
        <w:pStyle w:val="TextoNormal"/>
      </w:pPr>
      <w:r>
        <w:t xml:space="preserve">En este sentido, el </w:t>
      </w:r>
      <w:r w:rsidRPr="008D479B">
        <w:rPr>
          <w:i/>
        </w:rPr>
        <w:t>Libro blanco sobre la reforma tributaria</w:t>
      </w:r>
      <w:r>
        <w:t xml:space="preserve"> elaborado por la comisión de personas expertas nombrada por resolución de la Secretaría de Estado de Hacienda de 12 de abril de 2021, que se publicó el 3 de marzo de 2022 (Tabla V.10, pág. 656), recoge datos sobre los tipos de gravamen efectivos del impuesto sobre el patrimonio, extraídos de las estadísticas de la Agencia Estatal de Administración Tributaria. En concreto, los tipos efectivos según tramos de patrimonio (solo indicamos los tramos superiores al umbral de 3 000 000 €) son los siguientes:</w:t>
      </w:r>
    </w:p>
    <w:p w14:paraId="46AB1459" w14:textId="77777777" w:rsidR="008D479B" w:rsidRDefault="008D479B" w:rsidP="008D479B">
      <w:pPr>
        <w:pStyle w:val="TextoNormal"/>
      </w:pPr>
    </w:p>
    <w:p w14:paraId="0F880E3C" w14:textId="77777777" w:rsidR="008D479B" w:rsidRDefault="008D479B" w:rsidP="008D479B">
      <w:pPr>
        <w:pStyle w:val="TextoNormal"/>
      </w:pPr>
      <w:r>
        <w:t>- 0,43 por 100 para el tramo entre 3 y 5 millones de euros;</w:t>
      </w:r>
    </w:p>
    <w:p w14:paraId="3FBE01BB" w14:textId="77777777" w:rsidR="008D479B" w:rsidRDefault="008D479B" w:rsidP="008D479B">
      <w:pPr>
        <w:pStyle w:val="TextoNormal"/>
      </w:pPr>
    </w:p>
    <w:p w14:paraId="1DEC33E1" w14:textId="77777777" w:rsidR="008D479B" w:rsidRDefault="008D479B" w:rsidP="008D479B">
      <w:pPr>
        <w:pStyle w:val="TextoNormal"/>
      </w:pPr>
      <w:r>
        <w:t>- 0,37 por 100 para el tramo entre 5 y 10 millones de euros;</w:t>
      </w:r>
    </w:p>
    <w:p w14:paraId="4B9E7D46" w14:textId="77777777" w:rsidR="008D479B" w:rsidRDefault="008D479B" w:rsidP="008D479B">
      <w:pPr>
        <w:pStyle w:val="TextoNormal"/>
      </w:pPr>
    </w:p>
    <w:p w14:paraId="4244A045" w14:textId="77777777" w:rsidR="008D479B" w:rsidRDefault="008D479B" w:rsidP="008D479B">
      <w:pPr>
        <w:pStyle w:val="TextoNormal"/>
      </w:pPr>
      <w:r>
        <w:t>- 0,35 por 100 para el tramo entre 10 y 30 millones de euros;</w:t>
      </w:r>
    </w:p>
    <w:p w14:paraId="73E35B4A" w14:textId="77777777" w:rsidR="008D479B" w:rsidRDefault="008D479B" w:rsidP="008D479B">
      <w:pPr>
        <w:pStyle w:val="TextoNormal"/>
      </w:pPr>
    </w:p>
    <w:p w14:paraId="41455EAD" w14:textId="77777777" w:rsidR="008D479B" w:rsidRDefault="008D479B" w:rsidP="008D479B">
      <w:pPr>
        <w:pStyle w:val="TextoNormal"/>
      </w:pPr>
      <w:r>
        <w:t>- 0,21 por 100 para patrimonios superiores a 30 millones de euros.</w:t>
      </w:r>
    </w:p>
    <w:p w14:paraId="503BFC18" w14:textId="77777777" w:rsidR="008D479B" w:rsidRDefault="008D479B" w:rsidP="008D479B">
      <w:pPr>
        <w:pStyle w:val="TextoNormal"/>
      </w:pPr>
    </w:p>
    <w:p w14:paraId="7E890032" w14:textId="77777777" w:rsidR="008D479B" w:rsidRDefault="008D479B" w:rsidP="008D479B">
      <w:pPr>
        <w:pStyle w:val="TextoNormal"/>
      </w:pPr>
      <w:r>
        <w:t>Dichos datos son plenamente trasladables al impuesto temporal de solidaridad de las grandes fortunas, cuyos tipos efectivos para todos los tramos serán siempre inferiores a los indicados, puesto que hasta 3 000 000 € se prevé un tipo cero, mientras que el impuesto sobre el patrimonio, al que se refieren las cifras expuestas, grava la base liquidable desde el primer euro. Y, aunque los datos empleados están referidos a 2019, último disponible al tiempo de elaborarse el informe de la comisión, y el art. 66 de la Ley 11/2020, de 30 de diciembre, incrementó el tipo de gravamen del tramo de la escala de impuesto sobre el patrimonio superior a 10 695 996,06 €, este cambio no desvirtúa lo anterior, dado que el número de contribuyentes que alcanzan dicho tramo es inferior al 2 por 100 (según la misma Tabla V.10 del informe) y sigue existiendo una sensible diferencia entre los tipos de la escala y el tipo efectivo de gravamen.</w:t>
      </w:r>
    </w:p>
    <w:p w14:paraId="77B291D8" w14:textId="77777777" w:rsidR="008D479B" w:rsidRDefault="008D479B" w:rsidP="008D479B">
      <w:pPr>
        <w:pStyle w:val="TextoNormal"/>
      </w:pPr>
    </w:p>
    <w:p w14:paraId="5F322521" w14:textId="360774F5" w:rsidR="008D479B" w:rsidRDefault="008D479B" w:rsidP="008D479B">
      <w:pPr>
        <w:pStyle w:val="TextoNormal"/>
      </w:pPr>
      <w:r>
        <w:t>A la vista de los datos indicados, cabe concluir que el impuesto temporal de solidaridad de las grandes fortunas, en la configuración que le da el art. 3 impugnado, no es desproporcionado, debiendo desestimarse la vulneración del principio de capacidad económica y, con ello, la infracción del art. 31.1 CE.</w:t>
      </w:r>
    </w:p>
    <w:p w14:paraId="50FB2968" w14:textId="77777777" w:rsidR="008D479B" w:rsidRDefault="008D479B" w:rsidP="008D479B">
      <w:pPr>
        <w:pStyle w:val="TextoNormal"/>
      </w:pPr>
    </w:p>
    <w:p w14:paraId="4D8FB235" w14:textId="77777777" w:rsidR="008D479B" w:rsidRDefault="008D479B" w:rsidP="008D479B">
      <w:pPr>
        <w:pStyle w:val="TextoNormal"/>
      </w:pPr>
      <w:r w:rsidRPr="008D479B">
        <w:rPr>
          <w:rStyle w:val="NumeroAFNegritaCaracter"/>
        </w:rPr>
        <w:t>5</w:t>
      </w:r>
      <w:r>
        <w:t xml:space="preserve">. </w:t>
      </w:r>
      <w:r w:rsidRPr="008D479B">
        <w:rPr>
          <w:i/>
        </w:rPr>
        <w:t>Examen de la alegada vulneración del art. 9.3 CE</w:t>
      </w:r>
    </w:p>
    <w:p w14:paraId="5358BBBE" w14:textId="77777777" w:rsidR="008D479B" w:rsidRDefault="008D479B" w:rsidP="008D479B">
      <w:pPr>
        <w:pStyle w:val="TextoNormal"/>
      </w:pPr>
    </w:p>
    <w:p w14:paraId="5D0F9BE7" w14:textId="77777777" w:rsidR="008D479B" w:rsidRDefault="008D479B" w:rsidP="008D479B">
      <w:pPr>
        <w:pStyle w:val="TextoNormal"/>
      </w:pPr>
      <w:r>
        <w:t>a) Resta, por último, examinar la impugnación del art. 3 de la Ley 38/2022, por la que se denuncia el carácter retroactivo del nuevo impuesto, lo que vulneraría el principio de seguridad jurídica del art. 9.3 CE. El Consejo de Gobierno de la Comunidad de Madrid aduce que el precepto entró en vigor el 29 de diciembre de 2022 y el nuevo impuesto se devengó por primera vez el 31 de diciembre de dicho año, lo que califica como una retroactividad en grado medio que incide sobre situaciones ya existentes, sin que la ley invoque razones extraordinarias que lo justifiquen.</w:t>
      </w:r>
    </w:p>
    <w:p w14:paraId="4348EC12" w14:textId="77777777" w:rsidR="008D479B" w:rsidRDefault="008D479B" w:rsidP="008D479B">
      <w:pPr>
        <w:pStyle w:val="TextoNormal"/>
      </w:pPr>
    </w:p>
    <w:p w14:paraId="23522B6D" w14:textId="77777777" w:rsidR="008D479B" w:rsidRDefault="008D479B" w:rsidP="008D479B">
      <w:pPr>
        <w:pStyle w:val="TextoNormal"/>
      </w:pPr>
      <w:r>
        <w:t>El abogado del Estado niega que se haya producido la vulneración, pues considera que el impuesto temporal de solidaridad de las grandes fortunas es de carácter instantáneo, no periódico, por lo que no afecta a situaciones previas a su entrada en vigor. La letrada de las Cortes Generales no formula alegaciones sobre este motivo.</w:t>
      </w:r>
    </w:p>
    <w:p w14:paraId="407F1831" w14:textId="77777777" w:rsidR="008D479B" w:rsidRDefault="008D479B" w:rsidP="008D479B">
      <w:pPr>
        <w:pStyle w:val="TextoNormal"/>
      </w:pPr>
    </w:p>
    <w:p w14:paraId="197301C3" w14:textId="77777777" w:rsidR="008D479B" w:rsidRDefault="008D479B" w:rsidP="008D479B">
      <w:pPr>
        <w:pStyle w:val="TextoNormal"/>
      </w:pPr>
      <w:r>
        <w:t>b) Nuestra consolidada doctrina (por todas, STC 121/2016, de 23 de junio, FJ 4) recuerda que “no existe una prohibición constitucional de la legislación tributaria retroactiva, pues las normas tributarias no tienen carácter sancionador, sino que imponen a los ciudadanos la obligación de contribuir al sostenimiento de gastos públicos o de efectuar prestaciones patrimoniales de carácter público (art. 31.3 CE)” y que “[t]ampoco existe en nuestro ordenamiento constitucional un derecho de los ciudadanos al mantenimiento de un determinado régimen fiscal”. Ahora bien, como advierte dicha sentencia, la retroactividad tributaria podrá ser contraria al principio de seguridad jurídica (art. 9.3 CE) “dependiendo de su grado, así como de las circunstancias específicas que concurran en cada caso”.</w:t>
      </w:r>
    </w:p>
    <w:p w14:paraId="57CB72E9" w14:textId="77777777" w:rsidR="008D479B" w:rsidRDefault="008D479B" w:rsidP="008D479B">
      <w:pPr>
        <w:pStyle w:val="TextoNormal"/>
      </w:pPr>
    </w:p>
    <w:p w14:paraId="084AC932" w14:textId="77777777" w:rsidR="008D479B" w:rsidRDefault="008D479B" w:rsidP="008D479B">
      <w:pPr>
        <w:pStyle w:val="TextoNormal"/>
      </w:pPr>
      <w:r>
        <w:t>Respecto del grado de retroactividad, hemos establecido (por todas, SSTC 126/1987, de 16 de julio, FJ 11; 182/1997, de 28 de octubre, FJ 11, y 112/2006, de 5 de abril, FJ 17) “una distinción entre aquellas disposiciones legales que con posterioridad pretenden anudar efectos a situaciones de hecho producidas o desarrolladas con anterioridad a la propia ley, y ya consumadas, que hemos denominado ‘de retroactividad auténtica’, y las que pretenden incidir sobre situaciones o relaciones jurídicas actuales aún no concluidas, que hemos llamado ‘de retroactividad impropia’. En el primer supuesto —retroactividad auténtica— la prohibición de retroactividad operaría plenamente y solo exigencias cualificadas del bien común podrían imponerse excepcionalmente a tal principio. En el segundo —retroactividad impropia— la licitud o ilicitud de la disposición resultaría de una ponderación de bienes llevada a cabo caso por caso teniendo en cuenta, de una parte, la seguridad jurídica y, de otra, los diversos imperativos que pueden conducir a una modificación del ordenamiento jurídico, así como las circunstancias concretas que concurren en el caso”.</w:t>
      </w:r>
    </w:p>
    <w:p w14:paraId="23D2013D" w14:textId="77777777" w:rsidR="008D479B" w:rsidRDefault="008D479B" w:rsidP="008D479B">
      <w:pPr>
        <w:pStyle w:val="TextoNormal"/>
      </w:pPr>
    </w:p>
    <w:p w14:paraId="7BF09664" w14:textId="77777777" w:rsidR="008D479B" w:rsidRDefault="008D479B" w:rsidP="008D479B">
      <w:pPr>
        <w:pStyle w:val="TextoNormal"/>
      </w:pPr>
      <w:r>
        <w:t>Para determinar si una norma tributaria es retroactiva y, en su caso, en qué grado, se debe primero precisar el tipo de tributo a que se refiere. En concreto, se ha de identificar si el tributo es instantáneo, cuyo hecho imponible se agota en sí mismo en el momento en que se produce (caso, por ejemplo, del impuesto sobre determinados medios de transporte —como constató la STC 137/2003, de 3 de julio, FJ 7—, o del impuesto especial sobre el alcohol y bebidas derivadas —según confirmó la STC 108/2004, de 30 de junio, FJ 9—); o si es periódico, cuyo hecho imponible se va generando a lo largo de un periodo de tiempo —periodo impositivo— (casos analizados, entre otras, en la STC 173/1996, de 31 de octubre, respecto de la tasa fiscal sobre el juego, y en la STC 182/1997, de 28 de octubre, en relación con el impuesto sobre la renta de las personas físicas). A esta distinción se han referido, entre muchas otras, las citadas SSTC 126/1987, FJ 12, y 182/1997, FJ 12, y también se recoge en el art. 10.2 de la Ley 58/2003, de 17 de diciembre, general tributaria (LGT), cuando diferencia entre tributos “sin periodo impositivo” (instantáneos) y “con periodo impositivo” (periódicos o, en expresión de la STC 126/1987, FJ 12, “duraderos”).</w:t>
      </w:r>
    </w:p>
    <w:p w14:paraId="7354D0CA" w14:textId="77777777" w:rsidR="008D479B" w:rsidRDefault="008D479B" w:rsidP="008D479B">
      <w:pPr>
        <w:pStyle w:val="TextoNormal"/>
      </w:pPr>
    </w:p>
    <w:p w14:paraId="286BA8B9" w14:textId="77777777" w:rsidR="008D479B" w:rsidRDefault="008D479B" w:rsidP="008D479B">
      <w:pPr>
        <w:pStyle w:val="TextoNormal"/>
      </w:pPr>
      <w:r>
        <w:t>Por definición, la retroactividad impropia o de grado medio que denuncia la demanda solo puede darse en los tributos periódicos. Es lo que sucede cuando la norma afecta a un periodo impositivo iniciado pero no finalizado aún. Por otra parte, si alcanza a periodos completamente transcurridos, la retroactividad será auténtica.</w:t>
      </w:r>
    </w:p>
    <w:p w14:paraId="0D863489" w14:textId="77777777" w:rsidR="008D479B" w:rsidRDefault="008D479B" w:rsidP="008D479B">
      <w:pPr>
        <w:pStyle w:val="TextoNormal"/>
      </w:pPr>
    </w:p>
    <w:p w14:paraId="51B7EC3E" w14:textId="77777777" w:rsidR="008D479B" w:rsidRDefault="008D479B" w:rsidP="008D479B">
      <w:pPr>
        <w:pStyle w:val="TextoNormal"/>
      </w:pPr>
      <w:r>
        <w:t xml:space="preserve">En cambio, en los tributos sin periodo impositivo (instantáneos), o hay retroactividad auténtica, si la modificación se aplica a un hecho imponible ya producido; o no hay retroactividad en absoluto, si se aplica “a los devengados a partir de su entrada en vigor” (art. 10.2 LGT), </w:t>
      </w:r>
      <w:r w:rsidRPr="008D479B">
        <w:rPr>
          <w:i/>
        </w:rPr>
        <w:t>tertium non datur</w:t>
      </w:r>
      <w:r>
        <w:t>.</w:t>
      </w:r>
    </w:p>
    <w:p w14:paraId="4305373E" w14:textId="77777777" w:rsidR="008D479B" w:rsidRDefault="008D479B" w:rsidP="008D479B">
      <w:pPr>
        <w:pStyle w:val="TextoNormal"/>
      </w:pPr>
    </w:p>
    <w:p w14:paraId="44615BC6" w14:textId="77777777" w:rsidR="008D479B" w:rsidRDefault="008D479B" w:rsidP="008D479B">
      <w:pPr>
        <w:pStyle w:val="TextoNormal"/>
      </w:pPr>
      <w:r>
        <w:t>c) Lo expuesto nos conduce necesariamente a desestimar la impugnación planteada.</w:t>
      </w:r>
    </w:p>
    <w:p w14:paraId="402ACD88" w14:textId="77777777" w:rsidR="008D479B" w:rsidRDefault="008D479B" w:rsidP="008D479B">
      <w:pPr>
        <w:pStyle w:val="TextoNormal"/>
      </w:pPr>
    </w:p>
    <w:p w14:paraId="37A60F78" w14:textId="77777777" w:rsidR="008D479B" w:rsidRDefault="008D479B" w:rsidP="008D479B">
      <w:pPr>
        <w:pStyle w:val="TextoNormal"/>
      </w:pPr>
      <w:r>
        <w:t xml:space="preserve">Debemos recordar que, según se expuso en el fundamento jurídico primero, el hecho imponible del impuesto temporal de solidaridad de las grandes fortunas consiste en “la titularidad por el sujeto pasivo en el momento del devengo [momento en que se entiende realizado el hecho imponible y nace la obligación tributaria </w:t>
      </w:r>
      <w:r w:rsidRPr="008D479B">
        <w:rPr>
          <w:i/>
        </w:rPr>
        <w:t>ex</w:t>
      </w:r>
      <w:r>
        <w:t xml:space="preserve"> art. 21 LGT] de un patrimonio neto superior a 3 000 000 €” (art. 3.Tres de la Ley 38/2022); y que “se devengará el 31 de diciembre de cada año y afectará al patrimonio neto del cual sea titular el sujeto pasivo en dicha fecha” (art. 3.Diez). Por tanto, al igual que el impuesto sobre el patrimonio, el impuesto controvertido no tiene periodo impositivo.</w:t>
      </w:r>
    </w:p>
    <w:p w14:paraId="00B4C66B" w14:textId="77777777" w:rsidR="008D479B" w:rsidRDefault="008D479B" w:rsidP="008D479B">
      <w:pPr>
        <w:pStyle w:val="TextoNormal"/>
      </w:pPr>
    </w:p>
    <w:p w14:paraId="49CAAB1F" w14:textId="77777777" w:rsidR="008D479B" w:rsidRDefault="008D479B" w:rsidP="008D479B">
      <w:pPr>
        <w:pStyle w:val="TextoNormal"/>
      </w:pPr>
      <w:r>
        <w:t>Lo anterior pone de manifiesto que el hecho imponible del impuesto temporal de solidaridad de las grandes fortunas no se va generando a lo largo de un periodo de tiempo, sino que se agota en sí mismo el día 31 de diciembre. Es, por tanto, un tributo sin periodo impositivo (instantáneo), que se devengó, por primera vez, el 31 de diciembre de 2022, una vez que ya había entrado en vigor el precepto impugnado el anterior día 29. Así pues, no produce ningún efecto retroactivo.</w:t>
      </w:r>
    </w:p>
    <w:p w14:paraId="2D4F2383" w14:textId="77777777" w:rsidR="008D479B" w:rsidRDefault="008D479B" w:rsidP="008D479B">
      <w:pPr>
        <w:pStyle w:val="TextoNormal"/>
      </w:pPr>
    </w:p>
    <w:p w14:paraId="4C3E37E5" w14:textId="77777777" w:rsidR="008D479B" w:rsidRDefault="008D479B" w:rsidP="008D479B">
      <w:pPr>
        <w:pStyle w:val="TextoNormal"/>
      </w:pPr>
      <w:r>
        <w:t>El letrado autonómico aduce, asimismo, que el tributo impugnado se creó de forma “imprevisible”, ya que no se anunció hasta el mes de octubre de 2022. Al respecto, en la reciente STC 62/2023, FJ 6, con cita de la STC 182/1997, FJ 13 A), hemos recordado nuestra reiterada doctrina según la cual “entre las exigencias de la seguridad jurídica no se incluye derecho alguno a la inalterabilidad del régimen fiscal, ni, en general, a la ‘congelación del ordenamiento jurídico existente’”.</w:t>
      </w:r>
    </w:p>
    <w:p w14:paraId="51BBBEEB" w14:textId="77777777" w:rsidR="008D479B" w:rsidRDefault="008D479B" w:rsidP="008D479B">
      <w:pPr>
        <w:pStyle w:val="TextoNormal"/>
      </w:pPr>
    </w:p>
    <w:p w14:paraId="46D584A6" w14:textId="2A98308A" w:rsidR="008D479B" w:rsidRDefault="008D479B" w:rsidP="008D479B">
      <w:pPr>
        <w:pStyle w:val="TextoNormal"/>
      </w:pPr>
      <w:r>
        <w:t>En conclusión, la vulneración del principio de seguridad jurídica (art. 9.3 CE) debe desestimarse y, con ello, el recurso en su integridad.</w:t>
      </w:r>
    </w:p>
    <w:p w14:paraId="08A37352" w14:textId="77777777" w:rsidR="008D479B" w:rsidRDefault="008D479B" w:rsidP="008D479B">
      <w:pPr>
        <w:pStyle w:val="TextoNormal"/>
      </w:pPr>
    </w:p>
    <w:p w14:paraId="7FFCEC30" w14:textId="77777777" w:rsidR="008D479B" w:rsidRDefault="008D479B" w:rsidP="008D479B">
      <w:pPr>
        <w:pStyle w:val="TextoNormalCentrado"/>
        <w:keepNext/>
      </w:pPr>
      <w:r>
        <w:t>FALLO</w:t>
      </w:r>
    </w:p>
    <w:p w14:paraId="69F25681" w14:textId="10ED7061" w:rsidR="008D479B" w:rsidRDefault="008D479B" w:rsidP="008D479B">
      <w:pPr>
        <w:pStyle w:val="TextoNormalCentrado"/>
        <w:keepNext/>
      </w:pPr>
    </w:p>
    <w:p w14:paraId="3B4FB769" w14:textId="4C3499F0" w:rsidR="008D479B" w:rsidRDefault="008D479B" w:rsidP="008D479B">
      <w:pPr>
        <w:pStyle w:val="TextoNormal"/>
      </w:pPr>
      <w:r>
        <w:t>En atención a todo lo expuesto, el Tribunal Constitucional, por la autoridad que le confiere la Constitución de la Nación española, ha decidido desestimar íntegramente el recurso de inconstitucionalidad interpuesto por el Consejo de Gobierno de la Comunidad de Madrid contra el art. 3 de la Ley 38/2022, de 27 de diciembre, para el establecimiento de gravámenes temporales energético y de entidades de crédito y establecimientos financieros de crédito y por la que se crea el impuesto temporal de solidaridad de las grandes fortunas, y se modifican determinadas normas tributarias.</w:t>
      </w:r>
    </w:p>
    <w:p w14:paraId="0B9B1185" w14:textId="77777777" w:rsidR="008D479B" w:rsidRDefault="008D479B" w:rsidP="008D479B">
      <w:pPr>
        <w:pStyle w:val="TextoNormal"/>
      </w:pPr>
    </w:p>
    <w:p w14:paraId="4EE2D652" w14:textId="77777777" w:rsidR="008D479B" w:rsidRDefault="008D479B" w:rsidP="008D479B">
      <w:pPr>
        <w:pStyle w:val="TextoNormal"/>
      </w:pPr>
      <w:r>
        <w:t>Publíquese esta sentencia en el “Boletín Oficial del Estado”.</w:t>
      </w:r>
    </w:p>
    <w:p w14:paraId="419C0322" w14:textId="77777777" w:rsidR="008D479B" w:rsidRDefault="008D479B" w:rsidP="008D479B">
      <w:pPr>
        <w:pStyle w:val="TextoNormal"/>
      </w:pPr>
      <w:r>
        <w:t>Dada en Madrid, a siete de noviembre de dos mil veintitrés.</w:t>
      </w:r>
    </w:p>
    <w:p w14:paraId="177AD96D" w14:textId="6F44E898" w:rsidR="008D479B" w:rsidRDefault="008D479B" w:rsidP="008D479B">
      <w:pPr>
        <w:pStyle w:val="ParrafoNormal"/>
      </w:pPr>
    </w:p>
    <w:p w14:paraId="4B89D509" w14:textId="77777777" w:rsidR="008D479B" w:rsidRDefault="008D479B" w:rsidP="008D479B">
      <w:pPr>
        <w:pStyle w:val="TextoNormalNegritaCentrado"/>
        <w:keepNext/>
      </w:pPr>
      <w:r>
        <w:t>Voto particular que formulan los magistrados don Ricardo Enríquez Sancho y don Enrique Arnaldo Alcubilla, la magistrada doña Concepción Espejel Jorquera y el magistrado don César Tolosa Tribiño, respecto de la sentencia pronunciada en el recurso de inconstitucionalidad núm. 616-2023</w:t>
      </w:r>
    </w:p>
    <w:p w14:paraId="02B3B190" w14:textId="62CF735E" w:rsidR="008D479B" w:rsidRDefault="008D479B" w:rsidP="008D479B">
      <w:pPr>
        <w:pStyle w:val="TextoNormalNegritaCentrado"/>
        <w:keepNext/>
      </w:pPr>
    </w:p>
    <w:p w14:paraId="69A9EBC0" w14:textId="77777777" w:rsidR="008D479B" w:rsidRDefault="008D479B" w:rsidP="008D479B">
      <w:pPr>
        <w:pStyle w:val="TextoNormal"/>
      </w:pPr>
      <w:r>
        <w:t>Con el máximo respeto a la opinión de la mayoría, en el ejercicio de la facultad que nos confiere el art. 90.2 LOTC, formulamos el presente voto particular para manifestar nuestra discrepancia con la fundamentación jurídica y con el fallo de la sentencia, que consideramos que debió ser estimatorio del recurso de inconstitucionalidad planteado por el Consejo de Gobierno de la Comunidad de Madrid contra el art. 3 de la Ley 38/2022, de 27 de diciembre, para el establecimiento de gravámenes temporales energético y de entidades de crédito y establecimientos financieros de crédito y por la que se crea el impuesto temporal de solidaridad de las grandes fortunas, y se modifican determinadas normas tributarias, por las razones que a continuación se exponen y que se van a concentrar en las tres siguientes cuestiones: (i) el ataque frontal a la autonomía financiera y política de las comunidades autónomas, al neutralizar la defensa de los intereses respectivos en el ejercicio de las competencias propias (arts. 9.1, 137, 156.1 y 157.3, todos ellos de la Constitución Española); (ii) el menosprecio al principio democrático, a los derechos de representación política de las minorías y al principio de legalidad tributaria, por la forma de aprobación de la iniciativa legislativa controvertida (arts. 1.1, 9.3 y 23.2, todos ellos de la Constitución Española); y (iii) el atentado a la seguridad jurídica y a la confianza legítima de los ciudadanos en la actuación de los poderes públicos, por la sorpresiva aplicación del impuesto impugnado (art. 9.3 CE).</w:t>
      </w:r>
    </w:p>
    <w:p w14:paraId="6634A7F9" w14:textId="77777777" w:rsidR="008D479B" w:rsidRDefault="008D479B" w:rsidP="008D479B">
      <w:pPr>
        <w:pStyle w:val="TextoNormal"/>
      </w:pPr>
    </w:p>
    <w:p w14:paraId="6A988955" w14:textId="77777777" w:rsidR="008D479B" w:rsidRDefault="008D479B" w:rsidP="008D479B">
      <w:pPr>
        <w:pStyle w:val="TextoNormal"/>
      </w:pPr>
      <w:r>
        <w:t>Antes de entrar a desarrollar nuestros argumentos jurídicos, aquellos que fueron defendidos con poco éxito en las deliberaciones del Pleno y en cuanto que desoídos por la mayoría, debemos advertir que la extensión del presente voto particular es directamente proporcional a la gravedad de la situación que se analizaba y al preocupante contenido de la sentencia que la ha validado. Lo que estaba en cuestión tras la aprobación del impuesto impugnado era algo más que el mero ejercicio de competencias armonizadoras por parte del Estado, algo más que la posibilidad de enmendar el texto de las iniciativas legislativas en tramitación o algo más que la simple aplicación prospectiva de una nueva disposición legal tras su entrada en vigor. Lo que se ha ventilado en el presente asunto ha sido la vigencia misma del Estado democrático de Derecho, en el que la ley debe ser solo la expresión de la verdadera voluntad popular (preámbulo de la Constitución) y en el que todos los poderes públicos (incluido, por tanto, el legislativo) deben estar sujetos, al igual que los ciudadanos, a la Constitución y al resto del ordenamiento jurídico (art. 9.1 CE). Lo que este tribunal tenía ante sí era la correcta aplicación de las reglas del juego de la democracia, concretamente, el respeto a los instrumentos y procedimientos relativos a la injerencia del Estado en la autonomía financiera y política de las comunidades autónomas, al pleno ejercicio de la función representativa inherente al estatuto de los parlamentarios en el proceso de formación de la voluntad de las cámaras legislativas, y, en fin, a la confianza legítima de los ciudadanos en la que debe ser la esperable actuación de sus poderes públicos. Nada más y nada menos.</w:t>
      </w:r>
    </w:p>
    <w:p w14:paraId="482176AD" w14:textId="77777777" w:rsidR="008D479B" w:rsidRDefault="008D479B" w:rsidP="008D479B">
      <w:pPr>
        <w:pStyle w:val="TextoNormal"/>
      </w:pPr>
    </w:p>
    <w:p w14:paraId="05113D19" w14:textId="77777777" w:rsidR="008D479B" w:rsidRDefault="008D479B" w:rsidP="008D479B">
      <w:pPr>
        <w:pStyle w:val="TextoNormal"/>
      </w:pPr>
      <w:r>
        <w:t xml:space="preserve">1. </w:t>
      </w:r>
      <w:r w:rsidRPr="008D479B">
        <w:rPr>
          <w:i/>
        </w:rPr>
        <w:t>El impuesto temporal de solidaridad sobre las grandes fortunas: el fruto envenenado de una iniciativa sesgada</w:t>
      </w:r>
    </w:p>
    <w:p w14:paraId="17DEB708" w14:textId="77777777" w:rsidR="008D479B" w:rsidRDefault="008D479B" w:rsidP="008D479B">
      <w:pPr>
        <w:pStyle w:val="TextoNormal"/>
      </w:pPr>
    </w:p>
    <w:p w14:paraId="7092543F" w14:textId="77777777" w:rsidR="008D479B" w:rsidRDefault="008D479B" w:rsidP="008D479B">
      <w:pPr>
        <w:pStyle w:val="TextoNormal"/>
      </w:pPr>
      <w:r>
        <w:t>El día 25 de agosto de 2022 los Grupos Parlamentarios Socialista y Confederal de Unidad Podemos-En Comú Podem-Galicia en Común registraron en el Congreso de los Diputados la “Proposición de ley para el establecimiento de gravámenes temporales energético y de entidades de crédito y establecimientos financieros de crédito” (“BOCG”, Congreso de los Diputados, núm. 271-1, 30 de agosto de 2022, págs. 1-11). Su objeto era el de establecer dos nuevas prestaciones patrimoniales de carácter público “no tributarias” (al configurarse —se dice— como instrumentos de intervención del Estado en la economía), una, en el ámbito energético, y otra, en el financiero. Ambas se dirigían “a reforzar el pacto de rentas de tal manera que determinados grandes grupos económicos realicen una aportación obligatoria que grave y, en consecuencia, reduzca sus beneficios empresariales, contribución que, además, permitirá reforzar la acción pública dotándola de recursos adicionales para el sostenimiento del pacto de rentas respecto de los más desfavorecidos” (exposición de motivos, apartado I).</w:t>
      </w:r>
    </w:p>
    <w:p w14:paraId="5A2AF00A" w14:textId="77777777" w:rsidR="008D479B" w:rsidRDefault="008D479B" w:rsidP="008D479B">
      <w:pPr>
        <w:pStyle w:val="TextoNormal"/>
      </w:pPr>
    </w:p>
    <w:p w14:paraId="495DD1BA" w14:textId="77777777" w:rsidR="008D479B" w:rsidRDefault="008D479B" w:rsidP="008D479B">
      <w:pPr>
        <w:pStyle w:val="TextoNormal"/>
      </w:pPr>
      <w:r>
        <w:t>Durante la tramitación de la anterior iniciativa legislativa, los mismos grupos parlamentarios promotores de la citada proposición de ley (en materia “no tributaria”), formularon en el Congreso de los Diputados la enmienda núm. 99, de adición de un nuevo art. 3, que proponía la incorporación a su texto, de una nueva y diferente iniciativa legislativa (esta vez, en materia “tributaria”), sin conexión alguna con la materia objeto de tramitación (“BOCG”, Congreso de los Diputados, núm. 171-6, 23 de noviembre de 2022, pág. 9).</w:t>
      </w:r>
    </w:p>
    <w:p w14:paraId="53D4DEFA" w14:textId="77777777" w:rsidR="008D479B" w:rsidRDefault="008D479B" w:rsidP="008D479B">
      <w:pPr>
        <w:pStyle w:val="TextoNormal"/>
      </w:pPr>
    </w:p>
    <w:p w14:paraId="02FEDCE0" w14:textId="77777777" w:rsidR="008D479B" w:rsidRDefault="008D479B" w:rsidP="008D479B">
      <w:pPr>
        <w:pStyle w:val="TextoNormal"/>
      </w:pPr>
      <w:r>
        <w:t>La Ley 38/2022, de 27 de diciembre, no solo reguló el establecimiento de gravámenes temporales —energético y de entidades de crédito—, sino que fruto de la enmienda núm. 99 incorporó a su texto también la creación de un nuevo impuesto, el impuesto temporal de solidaridad de las grandes fortunas. La Ley 38/2022 fue publicada en el “BOE” núm. 311, de 28 de diciembre de 2022, entrando en vigor “el día siguiente de su publicación”, esto es, el 29 de diciembre (disposición final octava). Según su disposición final séptima, la citada Ley 38/2022 se dictó “al amparo de lo dispuesto en el artículo 149.1.1, 11, 13, 14 y 25 de la Constitución Española, que atribuyen al Estado la competencia en materia de regulación de las condiciones básicas que garanticen la igualdad de todos los españoles en el ejercicio de los derechos y en el cumplimiento de los deberes constitucionales; bases de la ordenación de crédito y banca; bases y coordinación de la planificación general de la actividad económica; Hacienda general y Deuda del Estado y bases del régimen minero y energético”.</w:t>
      </w:r>
    </w:p>
    <w:p w14:paraId="7FAF0BF6" w14:textId="77777777" w:rsidR="008D479B" w:rsidRDefault="008D479B" w:rsidP="008D479B">
      <w:pPr>
        <w:pStyle w:val="TextoNormal"/>
      </w:pPr>
    </w:p>
    <w:p w14:paraId="099434E3" w14:textId="77777777" w:rsidR="008D479B" w:rsidRDefault="008D479B" w:rsidP="008D479B">
      <w:pPr>
        <w:pStyle w:val="TextoNormal"/>
      </w:pPr>
      <w:r>
        <w:t>Aparte de otras modificaciones tributarias, la Ley 38/2022 —con origen en una “proposición de ley” en materia no tributaria, reguló dos prestaciones patrimoniales “no tributarias” —las que eran el objeto de la iniciativa legislativa que tuvo su entrada en el Congreso de los Diputados—, que se configuraron —dice— “como instrumentos de intervención del Estado en la economía” (apartado II del preámbulo): un “Gravamen temporal energético” (art. 1) y otro “Gravamen temporal de entidades de crédito y establecimientos financieros de crédito” (art. 2). Además, como se ha dicho, durante su tramitación parlamentaria se le añadió —a través de la enmienda núm. 99— una tercera prestación patrimonial de carácter público, aunque esta vez de carácter “tributario”, denominada como “impuesto temporal de solidaridad de las grandes fortunas”, con carácter complementario al impuesto sobre el patrimonio y con dos finalidades: la primera, “ recaudatoria”, con la finalidad de exigir “en estos tiempos de crisis energética y de inflación, un mayor esfuerzo a quienes disponen de una mayor capacidad económica, es decir, una muestra de solidaridad de las grandes fortunas”; y, la segunda, “armonizadora”, con el objetivo “de disminuir las diferencias en el gravamen del patrimonio en las distintas [comunidades autónomas], especialmente para que la carga tributaria de los contribuyentes residentes en aquellas [comunidades autónomas] que han desfiscalizado total o parcialmente el Impuesto sobre el Patrimonio no difiera sustancialmente de la de los contribuyentes de las [comunidades autónomas] en las que no se ha optado por reducir la tributación por dicho impuesto” (apartado V del preámbulo).</w:t>
      </w:r>
    </w:p>
    <w:p w14:paraId="2719D275" w14:textId="77777777" w:rsidR="008D479B" w:rsidRDefault="008D479B" w:rsidP="008D479B">
      <w:pPr>
        <w:pStyle w:val="TextoNormal"/>
      </w:pPr>
    </w:p>
    <w:p w14:paraId="65AFCF2D" w14:textId="77777777" w:rsidR="008D479B" w:rsidRDefault="008D479B" w:rsidP="008D479B">
      <w:pPr>
        <w:pStyle w:val="TextoNormal"/>
      </w:pPr>
      <w:r>
        <w:t>El nuevo impuesto temporal de solidaridad de las grandes fortunas “grava el patrimonio neto de las personas físicas de cuantía superior a 3 000 000 €” (art. 3.1), constituyendo el hecho imponible su titularidad “en el momento del devengo” (art. 3.3), siendo sujetos pasivos, los mismos “que lo sean del impuesto sobre el patrimonio” (art. 3.5). La base imponible [valor del patrimonio neto (art. 3.8)] se reducirá en 700 000 € “en concepto de mínimo exento” (art. 3.9) y se gravará según una escala progresiva (art. 3.11), deduciéndose de la cuota resultante la del impuesto sobre el patrimonio del ejercicio efectivamente satisfecha (art. 3.15). El impuesto se devengará “el 31 de diciembre de cada año” (art. 3.10), siendo aplicable durante “los dos primeros ejercicios en los que se devengue a partir de la fecha de su entrada en vigor” (art. 3.28), lo que se produjo el día 29 de diciembre de 2022 (disposición final octava). En consecuencia, el primer ejercicio en el que se devengó —a partir de su entrada en vigor— fue el del propio 2022. Los sujetos pasivos vienen obligados “a practicar autoliquidación” (art. 3.18).</w:t>
      </w:r>
    </w:p>
    <w:p w14:paraId="7087409C" w14:textId="77777777" w:rsidR="008D479B" w:rsidRDefault="008D479B" w:rsidP="008D479B">
      <w:pPr>
        <w:pStyle w:val="TextoNormal"/>
      </w:pPr>
    </w:p>
    <w:p w14:paraId="620F6574" w14:textId="77777777" w:rsidR="008D479B" w:rsidRDefault="008D479B" w:rsidP="008D479B">
      <w:pPr>
        <w:pStyle w:val="TextoNormal"/>
      </w:pPr>
      <w:r>
        <w:t xml:space="preserve">2. </w:t>
      </w:r>
      <w:r w:rsidRPr="008D479B">
        <w:rPr>
          <w:i/>
        </w:rPr>
        <w:t>La crisis del Estado de las autonomías: de la obligada multilateralidad a la impuesta unilateralidad</w:t>
      </w:r>
    </w:p>
    <w:p w14:paraId="2B9F47F0" w14:textId="77777777" w:rsidR="008D479B" w:rsidRDefault="008D479B" w:rsidP="008D479B">
      <w:pPr>
        <w:pStyle w:val="TextoNormal"/>
      </w:pPr>
    </w:p>
    <w:p w14:paraId="0B328B41" w14:textId="77777777" w:rsidR="008D479B" w:rsidRDefault="008D479B" w:rsidP="008D479B">
      <w:pPr>
        <w:pStyle w:val="TextoNormal"/>
      </w:pPr>
      <w:r>
        <w:t xml:space="preserve">2.1. </w:t>
      </w:r>
      <w:r w:rsidRPr="008D479B">
        <w:rPr>
          <w:i/>
        </w:rPr>
        <w:t>La sentencia de la mayoría: un discurso introspectivo</w:t>
      </w:r>
    </w:p>
    <w:p w14:paraId="166B3E1E" w14:textId="77777777" w:rsidR="008D479B" w:rsidRDefault="008D479B" w:rsidP="008D479B">
      <w:pPr>
        <w:pStyle w:val="TextoNormal"/>
      </w:pPr>
    </w:p>
    <w:p w14:paraId="5E78485D" w14:textId="77777777" w:rsidR="008D479B" w:rsidRDefault="008D479B" w:rsidP="008D479B">
      <w:pPr>
        <w:pStyle w:val="TextoNormal"/>
      </w:pPr>
      <w:r>
        <w:t>Aunque según la sentencia de la mayoría el impuesto se dictó —exclusivamente— con fundamento en el título competencial de “hacienda general del art. 149.1.14 CE”, lo cierto es que, entre aquellos a los que alude la disposición adicional séptima, también le sería de aplicación el previsto en el art. 149.1.1 CE, que atribuye igualmente al Estado la competencia en materia de “la regulación de las condiciones básicas que garanticen la igualdad de todos los españoles en el ejercicio de los derechos y en el cumplimiento de los deberes constitucionales”. Si, como señala el propio preámbulo de la Ley 38/2022, el impuesto temporal de solidaridad de las grandes fortunas tiene una finalidad “armonizadora”, persiguiendo disminuir las diferencias entre los distintos contribuyentes según lo sean o no de comunidades autónomas que hayan ejercido las competencias que el sistema de financiación vigente les atribuye en materia del impuesto sobre el patrimonio, no hay duda alguna, entonces, de que ambos títulos competenciales ampararían la actuación armonizadora del Estado central.</w:t>
      </w:r>
    </w:p>
    <w:p w14:paraId="227054B8" w14:textId="77777777" w:rsidR="008D479B" w:rsidRDefault="008D479B" w:rsidP="008D479B">
      <w:pPr>
        <w:pStyle w:val="TextoNormal"/>
      </w:pPr>
    </w:p>
    <w:p w14:paraId="5ED41D8B" w14:textId="77777777" w:rsidR="008D479B" w:rsidRDefault="008D479B" w:rsidP="008D479B">
      <w:pPr>
        <w:pStyle w:val="TextoNormal"/>
      </w:pPr>
      <w:r>
        <w:t xml:space="preserve">Es importante precisar ya en este momento que la posibilidad que tiene el Estado de armonizar los tributos (cedidos, en este caso) no era lo que estaba en cuestión, ni tampoco lo que se controvierte con el presente voto particular. Lo que la comunidad autónoma recurrente había puesto en tela de juicio era la forma en la que se materializó esa armonización, no solo por haberse ejecutado al margen de los instrumentos y de los procedimientos establecidos para ello en la normas que integran el bloque de la constitucionalidad (acuerdos en el Consejo de Política Fiscal y Financiera y en las comisiones mixtas Estado-comunidad autónoma, y modificación de la ley orgánica de financiación de las comunidades autónomas, de las leyes orgánicas reguladoras de los estatutos de autonomía y de las leyes de cesión de los tributos del Estado a las comunidades autónomas), sino por haberse llevado a cabo por vía de ley ordinaria y no orgánica. Esta aclaración se hace porque, como luego veremos, la sentencia de la que discrepamos, para rechazar la denunciada inconstitucionalidad de la norma (en este aspecto), imputa a la comunidad autónoma recurrente la intención de pretender “impedir al Estado, titular de la potestad tributaria originaria </w:t>
      </w:r>
      <w:r w:rsidRPr="008D479B">
        <w:rPr>
          <w:i/>
        </w:rPr>
        <w:t>ex</w:t>
      </w:r>
      <w:r>
        <w:t xml:space="preserve"> art. 133.1 CE y de la competencia exclusiva en materia de “hacienda general” </w:t>
      </w:r>
      <w:r w:rsidRPr="008D479B">
        <w:rPr>
          <w:i/>
        </w:rPr>
        <w:t>ex</w:t>
      </w:r>
      <w:r>
        <w:t xml:space="preserve"> art. 149.1.14 CE, establecer un nuevo tributo sobre el patrimonio que la comunidad autónoma ha dejado libre de gravamen”, de modo que “[a]ceptar la tesis de la Comunidad de Madrid sería tanto como pretender que su autonomía financiera y política le autorizan, no ya a bonificar completamente el impuesto sobre el patrimonio sino, además, a bloquear el ejercicio de las mencionadas competencias estatales” [FJ 3 C) a)].</w:t>
      </w:r>
    </w:p>
    <w:p w14:paraId="28B2FDAE" w14:textId="77777777" w:rsidR="008D479B" w:rsidRDefault="008D479B" w:rsidP="008D479B">
      <w:pPr>
        <w:pStyle w:val="TextoNormal"/>
      </w:pPr>
    </w:p>
    <w:p w14:paraId="605E4500" w14:textId="77777777" w:rsidR="008D479B" w:rsidRDefault="008D479B" w:rsidP="008D479B">
      <w:pPr>
        <w:pStyle w:val="TextoNormal"/>
      </w:pPr>
      <w:r>
        <w:t>Nada más lejos de la realidad de los hechos recogidos en la propia sentencia de la mayoría. Como se admite expresa y textualmente en el antecedente 1 b), “[p]ara el gobierno autonómico demandante, el impuesto temporal de solidaridad de las grandes fortunas tiene un reconocido efecto armonizador”. Por ello, “si el Estado quería modificar los términos de la cesión del impuesto sobre el patrimonio, debería haberse sometido al procedimiento previsto, que requiere la previa convocatoria y acuerdo de la Comisión Mixta entre el Estado y la Comunidad de Madrid y la modificación de las leyes por las que se cede el impuesto”, pues “el Estado, como titular de los tributos cedidos, puede modificar el alcance y condiciones de la cesión, pero debe respetar el marco procedimental establecido”. De este modo, la sentencia de la que discrepamos, en lugar de dar respuesta a lo planteado, recurre a una “larga cambiada” para justificar la intervención del Estado (como “que se incardina en el espacio fiscal del Estado” y que “encuentra fácil acomodo en el título de coordinación contenido en el art. 149.1.14 CE”, se dice textualmente), dejando a la imaginación de cada cual una posible respuesta a la verdadera cuestión planteada, que no era otra que la de la eventual vulneración de la autonomía política y financiera de las comunidades autónomas (corresponsabilidad fiscal, coordinación y lealtad institucional), como consecuencia del efecto armonizador de la norma impugnada, al margen del procedimiento constitucional y legalmente establecido. Armonización que ha sido entendida, en este caso, como recentralización legítima, y que ha venido a ratificarse por la sentencia de este tribunal, apartándose de su propia doctrina, para terminar haciendo una excepción injustificada a la misma.</w:t>
      </w:r>
    </w:p>
    <w:p w14:paraId="169579AD" w14:textId="77777777" w:rsidR="008D479B" w:rsidRDefault="008D479B" w:rsidP="008D479B">
      <w:pPr>
        <w:pStyle w:val="TextoNormal"/>
      </w:pPr>
    </w:p>
    <w:p w14:paraId="12CB5B5B" w14:textId="77777777" w:rsidR="008D479B" w:rsidRDefault="008D479B" w:rsidP="008D479B">
      <w:pPr>
        <w:pStyle w:val="TextoNormal"/>
      </w:pPr>
      <w:r>
        <w:t>Con la norma impugnada, el Estado habría buscado atacar el ejercicio legítimo de las potestades normativas de aquellas comunidades autónomas que simplemente se limitaron a aplicar la “normativa estatal” en materia de tributos cedidos, dentro del marco de las competencias que la Constitución, su norma estatutaria y las normas reguladoras del sistema de financiación autonómica, le han atribuido. Con ello, les habría cercenado la posibilidad de desarrollar políticas propias (que, en el caso de la Comunidad de Madrid, habrían supuesto una atracción de inversión y una fuente de generación de riqueza, seriamente comprometida tras la intervención estatal). Y lo habría hecho en un claro “fraude de ley” al haber alterado, mediante la creación de un impuesto replicado (el impuesto temporal de solidaridad de las grandes fortunas), las condiciones de cesión del impuesto sobre el patrimonio (replicante) a las comunidades autónomas, sin haber seguido la vía constitucionalmente establecida para ello en el bloque de la constitucionalidad.</w:t>
      </w:r>
    </w:p>
    <w:p w14:paraId="25DCE41B" w14:textId="77777777" w:rsidR="008D479B" w:rsidRDefault="008D479B" w:rsidP="008D479B">
      <w:pPr>
        <w:pStyle w:val="TextoNormal"/>
      </w:pPr>
    </w:p>
    <w:p w14:paraId="23268BA1" w14:textId="77777777" w:rsidR="008D479B" w:rsidRDefault="008D479B" w:rsidP="008D479B">
      <w:pPr>
        <w:pStyle w:val="TextoNormal"/>
      </w:pPr>
      <w:r>
        <w:t>Vamos a proceder nosotros, pues, a dar una respuesta fundamentada a la cuestión planteada; la que debió darse -a nuestro juicio- a la pretensión de la comunidad autónoma recurrente.</w:t>
      </w:r>
    </w:p>
    <w:p w14:paraId="339E0A32" w14:textId="77777777" w:rsidR="008D479B" w:rsidRDefault="008D479B" w:rsidP="008D479B">
      <w:pPr>
        <w:pStyle w:val="TextoNormal"/>
      </w:pPr>
    </w:p>
    <w:p w14:paraId="1D5B33AE" w14:textId="77777777" w:rsidR="008D479B" w:rsidRDefault="008D479B" w:rsidP="008D479B">
      <w:pPr>
        <w:pStyle w:val="TextoNormal"/>
      </w:pPr>
      <w:r>
        <w:t xml:space="preserve">2.2. </w:t>
      </w:r>
      <w:r w:rsidRPr="008D479B">
        <w:rPr>
          <w:i/>
        </w:rPr>
        <w:t>El Estado compuesto: la diversidad en la unidad</w:t>
      </w:r>
    </w:p>
    <w:p w14:paraId="2B360455" w14:textId="77777777" w:rsidR="008D479B" w:rsidRDefault="008D479B" w:rsidP="008D479B">
      <w:pPr>
        <w:pStyle w:val="TextoNormal"/>
      </w:pPr>
    </w:p>
    <w:p w14:paraId="2FCA38D9" w14:textId="77777777" w:rsidR="008D479B" w:rsidRDefault="008D479B" w:rsidP="008D479B">
      <w:pPr>
        <w:pStyle w:val="TextoNormal"/>
      </w:pPr>
      <w:r>
        <w:t>La configuración del Estado autonómico parte de un principio fundamental como es el de “unidad de mercado”. Este principio actúa en la distribución competencial entre los diferentes órganos territoriales que configuran el Estado español, como límite al ejercicio de las competencias atribuidas a cada uno de ellos. Su existencia es fácil colegirla tanto de la proclamación que hace el preámbulo de la Constitución de la existencia de “un orden económico único”(SSTC 1/1982, de 28 de enero, FJ 1; 96/2002, de 25 de abril, FJ 11, y 79/2017, de 22 de junio, FJ 2), como de la calificación de España como “un” Estado (art. 1) y la proclamación de la indisoluble unidad de la Nación española (art. 2; STC 337/1994, de 23 de diciembre, FJ 6). De ese principio se derivan tres consecuencias: (i) que la unidad del orden económico nacional es un presupuesto indispensable para el reparto competencial entre el Estado y las comunidades autónomas (SSTC 1/1982, de 28 de enero, FJ 1, y 104/2013, de 25 de abril, FJ 2), que si bien permite la “diversidad” normativa no habilita a la “fragmentación” del mercado (SSTC 32/1983, de 28 de abril, FJ 3, y 152/2020, de 22 de octubre, FJ 4); (ii) que al Estado, como garante de la unidad frente a la diversidad autonómica, no le es dado quebrar esa unidad, sin una finalidad plausible que justifique la prevalencia de la diversidad frente a la unidad [SSTC 96/2002, de 25 de abril, FJ 11, y 120/2018, de 31 de octubre, FJ 3 c)]; y (iii) que el principio es operativo en toda distribución competencial, incluido el ámbito tributario (SSTC 100/2012, de 8 de mayo, FJ 4, y 118/2016, de 23 de junio, FJ 2).</w:t>
      </w:r>
    </w:p>
    <w:p w14:paraId="4BB46432" w14:textId="77777777" w:rsidR="008D479B" w:rsidRDefault="008D479B" w:rsidP="008D479B">
      <w:pPr>
        <w:pStyle w:val="TextoNormal"/>
      </w:pPr>
    </w:p>
    <w:p w14:paraId="217080CB" w14:textId="77777777" w:rsidR="008D479B" w:rsidRDefault="008D479B" w:rsidP="008D479B">
      <w:pPr>
        <w:pStyle w:val="TextoNormal"/>
      </w:pPr>
      <w:r>
        <w:t>Desde el punto de vista tributario, de la Constitución deriva una “concepción del conjunto de tributos como ‘sistema’ o estructura unitaria, homogénea por supuesto, sin distorsiones que impliquen la desigualdad de los españoles, según su localización (artículo 31)” [SSTC 135/1992, de 5 de octubre, FJ 6, y 19/2012, de 15 de febrero, FJ 3 b)]. Debe “estar presidido por un conjunto de principios generales comunes capaz de garantizar la homogeneidad básica que permita configurar el régimen jurídico de la ordenación de los tributos como un verdadero sistema y asegure la unidad del mismo, que es exigencia indeclinable de la igualdad de los españoles” y que, en modo alguno, “resulta incompatible con las competencias tributarias de las comunidades autónomas y con la autonomía financiera y presupuestaria de las mismas” (STC 116/1994, de 18 de abril, FJ 5). Según esto, la diversidad dentro de la unidad (STC 37/1981, de 16 de noviembre, FJ 3) supone buscar el adecuado equilibrio entre los principios de “unidad” y el de “autonomía”, partiendo de la base de la existencia de un Estado profundamente descentralizado (SSTC 25/1981, de 14 de julio, FJ 3; 37/1981, de 16 de noviembre, FJ 3, y 76/1983, de 5 de agosto, FJ 13), lo cual implica admitir un gran ámbito competencial para las comunidades autónomas. Al Estado se le reserva exclusivamente lo “básico”, lo “necesario”, lo “nuclear” para la salvaguarda de esa “unidad”, mientras que, en lo restante, se admite la asunción competencial por las comunidades autónomas a la búsqueda de la autonomía político-financiera, condicionada, eso sí, a un doble límite: de un lado, la coordinación con la hacienda estatal y la solidaridad entre todos los españoles (art. 156.1 CE); de otro, la no obstaculización de la libertad de circulación de personas, bienes y servicios, por todo el territorio nacional (arts. 139.2 y 157.2 CE).</w:t>
      </w:r>
    </w:p>
    <w:p w14:paraId="356C82FC" w14:textId="77777777" w:rsidR="008D479B" w:rsidRDefault="008D479B" w:rsidP="008D479B">
      <w:pPr>
        <w:pStyle w:val="TextoNormal"/>
      </w:pPr>
    </w:p>
    <w:p w14:paraId="34CCF303" w14:textId="77777777" w:rsidR="008D479B" w:rsidRDefault="008D479B" w:rsidP="008D479B">
      <w:pPr>
        <w:pStyle w:val="TextoNormal"/>
      </w:pPr>
      <w:r>
        <w:t>La exigencia de un mercado único se ha predicado por el Tribunal Constitucional en muchas materias y, entre ellas, la financiero-tributaria (STC 96/2002, de 25 de abril, FJ 11), al entender que la proporcionalidad entre la unidad y la diversidad es igualmente exigible del sistema tributario español pues, aunque la garantía de la autonomía financiera para los entes territoriales distintos del Estado (arts. 2, 137, 143.1 y 156, todos ellos de la Constitución Española) permite la coexistencia de diferentes subsistemas, en modo alguno justifica una diversidad contraria a las garantías básicas del deber constitucional de contribuir conforme al art. 31.1 CE. Por esta razón, el Estado no es solo competente para regular sus propios tributos, “sino también el marco general de todo el sistema tributario” (STC 192/2000, de 13 de julio, FJ 6), pues ello es “plenamente compatible con las competencias tributarias y con la autonomía financiera y presupuestaria de las comunidades autónomas” (STC 130/2013, de 4 de junio, FJ 5), en el bien entendido de que, en modo alguno, puede establecer un régimen uniforme, al ser necesaria la existencia de opciones diversas justificadas en la capacidad normativa de las comunidades autónomas (STC 32/1981, de 28 de julio, FJ 5).</w:t>
      </w:r>
    </w:p>
    <w:p w14:paraId="7A98F7E1" w14:textId="77777777" w:rsidR="008D479B" w:rsidRDefault="008D479B" w:rsidP="008D479B">
      <w:pPr>
        <w:pStyle w:val="TextoNormal"/>
      </w:pPr>
    </w:p>
    <w:p w14:paraId="726F5D3F" w14:textId="77777777" w:rsidR="008D479B" w:rsidRDefault="008D479B" w:rsidP="008D479B">
      <w:pPr>
        <w:pStyle w:val="TextoNormal"/>
      </w:pPr>
      <w:r>
        <w:t>El hecho de que el art. 149.1.14 CE haya atribuido la competencia exclusiva al Estado sobre “hacienda general”, no supone un obstáculo para que deba admitirse una hacienda privativa de las comunidades autónomas, pues de “una lectura conjunta del art. 156.1 CE sobre autonomía financiera autonómica, del art. 157.3 CE sobre delimitación de competencias financieras autonómicas mediante ley orgánica, y del art. 149.3 CE (al ser una materia no expresamente atribuida al Estado y, por tanto, asumible estatutariamente por las comunidades autónomas), se desprende que la hacienda privativa autonómica es no tanto una competencia que se reconoce a las comunidades autónomas, cuanto una exigencia previa o paralela a la propia organización autonómica” [STC 65/2020, de 18 de junio, FJ 4 b)]. Así las cosas, la “autonomía financiera” es una garantía institucional prevista por la Constitución para los entes “no soberanos”, es decir, para entes territoriales distintos del Estado, dotados de un poder jurídicamente limitado y derivado (STC 4/1981, de 2 de febrero, FJ 3), en orden a la consecución de su “autonomía política”, que implica la posibilidad de disponer de un sistema de recursos propios y de tener capacidad de disposición sobre el empleo de estos (STC 179/1987, de 12 de noviembre, FJ 2). Supone tanto la capacidad de las comunidades autónomas para establecer y exigir sus propios tributos como su aptitud para acceder a un sistema adecuado —en términos de suficiencia— de ingresos (SSTC 135/1992, de 5 de octubre, FJ 7, y 104/2000, de 13 de abril, FJ 4), que les permita alcanzar su autonomía política.</w:t>
      </w:r>
    </w:p>
    <w:p w14:paraId="3753615A" w14:textId="77777777" w:rsidR="008D479B" w:rsidRDefault="008D479B" w:rsidP="008D479B">
      <w:pPr>
        <w:pStyle w:val="TextoNormal"/>
      </w:pPr>
    </w:p>
    <w:p w14:paraId="5E7227DC" w14:textId="77777777" w:rsidR="008D479B" w:rsidRDefault="008D479B" w:rsidP="008D479B">
      <w:pPr>
        <w:pStyle w:val="TextoNormal"/>
      </w:pPr>
      <w:r>
        <w:t xml:space="preserve">2.3. </w:t>
      </w:r>
      <w:r w:rsidRPr="008D479B">
        <w:rPr>
          <w:i/>
        </w:rPr>
        <w:t>La autonomía financiera de las comunidades autónomas: de la “autonomía” en el gasto a la “corresponsabilidad” en el ingreso</w:t>
      </w:r>
    </w:p>
    <w:p w14:paraId="5287F0BF" w14:textId="77777777" w:rsidR="008D479B" w:rsidRDefault="008D479B" w:rsidP="008D479B">
      <w:pPr>
        <w:pStyle w:val="TextoNormal"/>
      </w:pPr>
    </w:p>
    <w:p w14:paraId="388713B1" w14:textId="77777777" w:rsidR="008D479B" w:rsidRDefault="008D479B" w:rsidP="008D479B">
      <w:pPr>
        <w:pStyle w:val="TextoNormal"/>
      </w:pPr>
      <w:r>
        <w:t xml:space="preserve">La autonomía financiera, como principio programático de la organización del Estado (STC 4/1981, de 2 de febrero, FJ 1), se articula sobre la base de la unidad nacional (STC 25/1981, de 14 de julio, FJ 3). Al Estado, garante primero y último de esa unidad, se le atribuye por la Constitución la regulación y coordinación de la financiación de las comunidades autónomas, debiendo fijar, a través de una ley con una función específica y constitucionalmente definida, unos principios básicos aplicables con carácter unitario y general a todo el territorio nacional: la Ley Orgánica 8/1980, de 22 de septiembre, de financiación de las comunidades autónomas (LOFCA). Y a las comunidades autónomas se les asignan una serie de competencias financieras (SSTC 149/1991, de 4 de junio, FJ 1, y 60/2013, de 13 de marzo, FJ 2) que deben ser ejercidas dentro del marco y límites establecidos por el Estado en el ejercicio de su potestad originaria </w:t>
      </w:r>
      <w:r w:rsidRPr="008D479B">
        <w:rPr>
          <w:i/>
        </w:rPr>
        <w:t>ex</w:t>
      </w:r>
      <w:r>
        <w:t xml:space="preserve"> arts. 133.1, 149.1.14 y 157.3, todos ellos de la Constitución [SSTC 192/2000, de 13 de julio, FJ 6; 16/2003, de 30 de enero, FJ 11; 13/2007, de 18 de enero, FJ 7; 31/2010, de 28 de junio, FJ 130; 19/2012, de 15 de febrero, FJ 3 b), y 60/2013, de 13 de marzo, FJ 2].</w:t>
      </w:r>
    </w:p>
    <w:p w14:paraId="15CF631E" w14:textId="77777777" w:rsidR="008D479B" w:rsidRDefault="008D479B" w:rsidP="008D479B">
      <w:pPr>
        <w:pStyle w:val="TextoNormal"/>
      </w:pPr>
    </w:p>
    <w:p w14:paraId="3A8492E9" w14:textId="77777777" w:rsidR="008D479B" w:rsidRDefault="008D479B" w:rsidP="008D479B">
      <w:pPr>
        <w:pStyle w:val="TextoNormal"/>
      </w:pPr>
      <w:r>
        <w:t>En su origen, la financiación de las comunidades autónomas vino configurándose más con relación a la vertiente del gasto (como potestad de gasto), que con relación a la del ingreso (como capacidad para disponer de un sistema suficiente de ingresos). Se articulaba desde la óptica de unas haciendas territoriales de transferencia en las que el grueso de sus ingresos procedía de la participación en los del Estado. Posteriormente, se pasó a una concepción del sistema de financiación presidida por el principio de “corresponsabilidad fiscal”, en el que se trataba de conectarlo, no solo con la participación en los ingresos del Estado, sino también y, de manera fundamental, con la capacidad de generar un sistema propio de recursos.</w:t>
      </w:r>
    </w:p>
    <w:p w14:paraId="540D4A39" w14:textId="77777777" w:rsidR="008D479B" w:rsidRDefault="008D479B" w:rsidP="008D479B">
      <w:pPr>
        <w:pStyle w:val="TextoNormal"/>
      </w:pPr>
    </w:p>
    <w:p w14:paraId="7E134884" w14:textId="77777777" w:rsidR="008D479B" w:rsidRDefault="008D479B" w:rsidP="008D479B">
      <w:pPr>
        <w:pStyle w:val="TextoNormal"/>
      </w:pPr>
      <w:r>
        <w:t>En efecto, los acuerdos del Consejo de Política Fiscal y Financiera 1/1982, de 18 de febrero, por el que se aprobaba el método de cálculo del coste de los servicios transferidos a las comunidades autónomas, y 1/1986, de 7 de noviembre, por el que se aprobaba el método para la aplicación del sistema de financiación de las comunidades autónomas en el periodo 1987-1991, configuraron la autonomía financiera de las comunidades autónomas más con relación a la vertiente del gasto (abono por el Estado del coste de los servicios transferidos) que a la del ingreso (sistema autónomo de recursos).</w:t>
      </w:r>
    </w:p>
    <w:p w14:paraId="41900764" w14:textId="77777777" w:rsidR="008D479B" w:rsidRDefault="008D479B" w:rsidP="008D479B">
      <w:pPr>
        <w:pStyle w:val="TextoNormal"/>
      </w:pPr>
    </w:p>
    <w:p w14:paraId="58AE50A7" w14:textId="77777777" w:rsidR="008D479B" w:rsidRDefault="008D479B" w:rsidP="008D479B">
      <w:pPr>
        <w:pStyle w:val="TextoNormal"/>
      </w:pPr>
      <w:r>
        <w:t>Con una perspectiva diferente, los acuerdos del Consejo de Política Fiscal y Financiera 1/1992, de 20 de enero, sobre el sistema de financiación autonómica en el periodo 1992-1996, y 1/1993, de 7 de octubre, para el desarrollo del sistema de financiación de las comunidades autónomas del quinquenio 1992-1996, consideraron deseable “asignar a las comunidades autónomas un mayor grado de corresponsabilidad fiscal”. No sería, sin embargo, hasta la segunda mitad de los años noventa cuando se pasaría a una concepción del sistema de financiación autonómica ya presidida por el principio de “corresponsabilidad fiscal”, “potenciando la capacidad del sistema tributario para generar un sistema propio de recursos como fuente principal de los ingresos de Derecho público” [SSTC 53/2014, de 10 de abril, FJ 3 a); 65/2020, de 18 de junio, FJ 4 c), y 289/2000, de 30 de noviembre, FJ 3;], no tanto a través del fomento de los “tributos propios”, como “por la vía de la cesión de determinados tributos estatales” [STC 65/2020, de 18 de junio, FJ 4 c)]. La “corresponsabilidad fiscal” se convirtió así en la idea fundamental de dicho modelo y en “el objetivo a conseguir en los futuros modelos de financiación” (SSTC 289/2000, de 30 de noviembre, FJ 3, y 204/2011, de 15 de diciembre, FJ 8).</w:t>
      </w:r>
    </w:p>
    <w:p w14:paraId="1C90548D" w14:textId="77777777" w:rsidR="008D479B" w:rsidRDefault="008D479B" w:rsidP="008D479B">
      <w:pPr>
        <w:pStyle w:val="TextoNormal"/>
      </w:pPr>
    </w:p>
    <w:p w14:paraId="2F51D292" w14:textId="77777777" w:rsidR="008D479B" w:rsidRDefault="008D479B" w:rsidP="008D479B">
      <w:pPr>
        <w:pStyle w:val="TextoNormal"/>
      </w:pPr>
      <w:r>
        <w:t>Es con el Acuerdo 1/1996, de 23 de septiembre, del Consejo de Política Fiscal y Financiera, por el que se aprobaba el sistema de financiación de las comunidades autónomas para el quinquenio 1997-2001 (que se materializó, de un lado, en la Ley Orgánica 3/1996, de 27 de diciembre, de modificación parcial de la Ley Orgánica 8/1980, de 22 de septiembre, de financiación de las comunidades autónomas; y, de otro, en la Ley 14/1996, de 30 de diciembre, de cesión de tributos del Estado a las comunidades autónomas y de medidas fiscales complementarias), cuando se puso de manifiesto la voluntad del legislador estatal de estructurar un nuevo sistema de financiación menos dependiente de las transferencias estatales y más condicionado a una nueva estructura del sistema tributario que hiciese a las comunidades autónomas “corresponsables” del mismo. Ello supuso que se les atribuyese un importante nivel de corresponsabilidad fiscal, no solo ampliando las posibilidades de cesión de tributos, sino atribuyéndoles también algunas competencias normativas sobre los mismos para que pudiesen decidir “la composición y el volumen de ingresos de que disponen” [STC 65/2020, de 18 de junio, FJ 4 c)]. Dejaron así las comunidades autónomas de ser únicamente generadoras del gasto para pasar a serlo también de los ingresos, convirtiéndose en las principales responsables del nivel de presión fiscal existente en su territorio.</w:t>
      </w:r>
    </w:p>
    <w:p w14:paraId="59431958" w14:textId="77777777" w:rsidR="008D479B" w:rsidRDefault="008D479B" w:rsidP="008D479B">
      <w:pPr>
        <w:pStyle w:val="TextoNormal"/>
      </w:pPr>
    </w:p>
    <w:p w14:paraId="54C541B1" w14:textId="77777777" w:rsidR="008D479B" w:rsidRDefault="008D479B" w:rsidP="008D479B">
      <w:pPr>
        <w:pStyle w:val="TextoNormal"/>
      </w:pPr>
      <w:r>
        <w:t>Por su parte, el Acuerdo 2/2001, de 27 de julio, del Consejo de Política Fiscal y Financiera, sobre sistema de financiación de las comunidades autónomas de régimen común (incorporado al título I de la Ley 21/2001, de 27 de diciembre, por la que se regulan las medidas fiscales y administrativas del nuevo sistema de financiación de las comunidades autónomas de régimen común y ciudades con estatuto de autonomía, acompañado de la Ley Orgánica 7/2001, de 27 de diciembre, de modificación de la Ley Orgánica 8/1980, de 22 de septiembre, de financiación de las comunidades autónomas, y de la Ley 22/2001, de 27 de diciembre, de los fondos de compensación interterritorial), amplió su capacidad de decisión en relación con los “tributos cedidos” con el objetivo de incrementar aún más su corresponsabilidad fiscal y reducir el peso de las transferencias del Estado.</w:t>
      </w:r>
    </w:p>
    <w:p w14:paraId="7ED0A782" w14:textId="77777777" w:rsidR="008D479B" w:rsidRDefault="008D479B" w:rsidP="008D479B">
      <w:pPr>
        <w:pStyle w:val="TextoNormal"/>
      </w:pPr>
    </w:p>
    <w:p w14:paraId="57B05D57" w14:textId="77777777" w:rsidR="008D479B" w:rsidRDefault="008D479B" w:rsidP="008D479B">
      <w:pPr>
        <w:pStyle w:val="TextoNormal"/>
      </w:pPr>
      <w:r>
        <w:t>En fin, el vigente Acuerdo 6/2009, de 15 de julio, también del Consejo de Política Fiscal y Financiera (traspuesto en la letra de la Ley Orgánica 3/2009, de 18 de diciembre, de modificación de la Ley Orgánica 8/1980, de 22 de septiembre, de financiación de las comunidades autónomas, y en la de la Ley 22/2009, de 18 de diciembre, por la que se regula el sistema de financiación de las comunidades autónomas de régimen común y ciudades con estatuto de autonomía y se modifican determinadas normas tributarias), volvió a aumentar su corresponsabilidad fiscal y, con ello, su autonomía financiera y política, ampliando no solo la participación en los principales recursos tributarios del Estado, sino su capacidad de normación en algunos de sus aspectos. De este modo, “en la actualidad los tributos cedidos tienen una importancia central como recurso que, además de garantizar determinados rendimientos a las comunidades autónomas, les permite modular el montante final de su financiación mediante el ejercicio de competencias normativas en el marco de lo dispuesto en las correspondientes leyes de cesión de tributos”, con la consecuencia de “un mayor desarrollo del principio de autonomía financiera” (STC 204/2011, de 15 de diciembre, FJ 8).</w:t>
      </w:r>
    </w:p>
    <w:p w14:paraId="3F2802C1" w14:textId="77777777" w:rsidR="008D479B" w:rsidRDefault="008D479B" w:rsidP="008D479B">
      <w:pPr>
        <w:pStyle w:val="TextoNormal"/>
      </w:pPr>
    </w:p>
    <w:p w14:paraId="63DE482A" w14:textId="77777777" w:rsidR="008D479B" w:rsidRDefault="008D479B" w:rsidP="008D479B">
      <w:pPr>
        <w:pStyle w:val="TextoNormal"/>
      </w:pPr>
      <w:r>
        <w:t xml:space="preserve">2.4. </w:t>
      </w:r>
      <w:r w:rsidRPr="008D479B">
        <w:rPr>
          <w:i/>
        </w:rPr>
        <w:t>La “colaboración” como instrumento constitucionalmente obligado al servicio del correcto funcionamiento del Estado autonómico: de la “coordinación” a la “cooperación</w:t>
      </w:r>
      <w:r>
        <w:t>”</w:t>
      </w:r>
    </w:p>
    <w:p w14:paraId="095BF9C7" w14:textId="77777777" w:rsidR="008D479B" w:rsidRDefault="008D479B" w:rsidP="008D479B">
      <w:pPr>
        <w:pStyle w:val="TextoNormal"/>
      </w:pPr>
    </w:p>
    <w:p w14:paraId="2DFD6025" w14:textId="77777777" w:rsidR="008D479B" w:rsidRDefault="008D479B" w:rsidP="008D479B">
      <w:pPr>
        <w:pStyle w:val="TextoNormal"/>
      </w:pPr>
      <w:r>
        <w:t>Las relaciones entre el Estado y las comunidades autónomas han de estar presididas por dos principios fundamentales: el de “lealtad constitucional” (STC 76/1983, de 5 de agosto, FJ 11) y el de “colaboración institucional” (SSTC 64/1982, de 4 de noviembre, FJ 8, y 158/1992, de 26 de octubre, FJ 6). El primero, es concreción, a su vez, de un deber general de fidelidad a la Constitución (SSTC 11/1986, de 28 de enero, FJ 5; 247/2007, de 12 de diciembre, FJ 4 b), y 42/2014, de 25 de marzo, FJ 4). Aunque se trata de un principio que no está recogido expresamente en el texto constitucional [sí lo está en el art. 2.1 g) LOFCA], “constituye un soporte esencial del funcionamiento del Estado autonómico y cuya observancia resulta obligada” (SSTC 239/2002, de 11 de diciembre, FJ 11; 13/2007, de 18 de enero, FJ 7, y 76/2014, de 8 de mayo, FJ 4). El segundo, por su parte, es “imperante, con carácter general, en las relaciones entre el Estado y las comunidades autónomas”, siendo “necesario para el buen funcionamiento del Estado de las Autonomías, incluso al margen de la distribución constitucional y estatutaria de las respectivas competencias” (STC 158/1992, de 26 de octubre, FJ 6).</w:t>
      </w:r>
    </w:p>
    <w:p w14:paraId="72EEA25E" w14:textId="77777777" w:rsidR="008D479B" w:rsidRDefault="008D479B" w:rsidP="008D479B">
      <w:pPr>
        <w:pStyle w:val="TextoNormal"/>
      </w:pPr>
    </w:p>
    <w:p w14:paraId="4FFBB94F" w14:textId="77777777" w:rsidR="008D479B" w:rsidRDefault="008D479B" w:rsidP="008D479B">
      <w:pPr>
        <w:pStyle w:val="TextoNormal"/>
      </w:pPr>
      <w:r>
        <w:t>La “colaboración” es un principio “al que la propia estructura territorial del Estado necesariamente aboca” [SSTC 214/1989, de 21 de diciembre, FJ 20 e), y 331/1993, de 12 de noviembre, FJ 5 C)], pues se encuentra implícito en la propia esencia de la forma de organización territorial del Estado que se implanta en la Constitución” (STC 18/1982, de 4 de mayo, FJ 14), esto es, en el “sistema de las autonomías” (STC 152/1988, de 20 de julio, FJ 11). Es un principio que “no necesita justificarse en preceptos constitucionales o estatutarios determinados” [SSTC 152/1988, de 20 de julio, FJ 11, y 141/1993, de 22 de abril, FJ 6 ñ)], dado que “[l]a necesidad de hacer compatibles los principios de unidad y autonomía en que se apoya la organización territorial del Estado constitucionalmente establecida implica la creación de instrumentos que permitan articular la actuación de las diversas administraciones públicas” [SSTC 76/1983, de 5 de agosto, FJ 13, y 214/1989, de 21 de diciembre, FJ 20 e)]. De este modo, “la consolidación y el correcto funcionamiento del Estado de las Autonomías dependen en buena medida de la estricta sujeción de uno y otras a las fórmulas racionales de cooperación, consulta, participación, coordinación, concertación o acuerdo previstas en la Constitución y en los Estatutos de Autonomía” (SSTC 181/1988, de 13 de octubre, FJ 7; 40/1998, de 19 de febrero, FJ 30, y 204/2002, de 31 de octubre, FJ 7).</w:t>
      </w:r>
    </w:p>
    <w:p w14:paraId="4BD6C9BF" w14:textId="77777777" w:rsidR="008D479B" w:rsidRDefault="008D479B" w:rsidP="008D479B">
      <w:pPr>
        <w:pStyle w:val="TextoNormal"/>
      </w:pPr>
    </w:p>
    <w:p w14:paraId="0096415F" w14:textId="77777777" w:rsidR="008D479B" w:rsidRDefault="008D479B" w:rsidP="008D479B">
      <w:pPr>
        <w:pStyle w:val="TextoNormal"/>
      </w:pPr>
      <w:r>
        <w:t>El ejercicio de la autonomía financiera de las comunidades autónomas tiene como límite material también el principio de coordinación con la hacienda estatal (art. 156.1 CE) [SSTC 171/1996, de 30 de octubre, FJ 2; 103/1997, de 22 de mayo, FJ 1, y 62/2001, de 1 marzo, FJ 4], con el alcance previsto en el art. 2.1 b) LOFCA, que “exige a las comunidades autónomas que su actividad financiera se acomode a las medidas oportunas que adopte el Estado ‘tendentes a conseguir la estabilidad económica interna y externa’, toda vez que a él corresponde la responsabilidad de garantizar el equilibrio económico general” (SSTC 171/1996, de 30 de octubre, FJ 2, y 24/2002, de 31 de enero, FJ 5).</w:t>
      </w:r>
    </w:p>
    <w:p w14:paraId="57DB8707" w14:textId="77777777" w:rsidR="008D479B" w:rsidRDefault="008D479B" w:rsidP="008D479B">
      <w:pPr>
        <w:pStyle w:val="TextoNormal"/>
      </w:pPr>
    </w:p>
    <w:p w14:paraId="70FB26D2" w14:textId="77777777" w:rsidR="008D479B" w:rsidRDefault="008D479B" w:rsidP="008D479B">
      <w:pPr>
        <w:pStyle w:val="TextoNormal"/>
      </w:pPr>
      <w:r>
        <w:t>En la medida en la que “el establecimiento y el desarrollo del sistema de financiación de las comunidades autónomas son factores que inciden decisivamente sobre la articulación del ámbito competencial (material y financiero) correspondiente al Estado y a las comunidades autónomas, es claro que al referirnos a ellos nos situamos, no solo en el ámbito de la coordinación, sino también en el de la cooperación, principio este último que hemos conectado ‘con la idea de la voluntariedad’, a diferencia del de coordinación que hemos vinculado ‘con la de la imposición’” (SSTC 194/2004, de 4 de noviembre, FJ 9, y 13/2007, de 18 de enero, FJ 7). Las “técnicas de cooperación y colaboración” son “consustanciales a la estructura compuesta del Estado de las Autonomías” (SSTC 13/1992, de 6 de febrero, FJ 7, y 13/2007, de 18 de enero, FJ 7), debiendo presidir “el ejercicio respectivo de competencias compartidas por el Estado y las comunidades autónomas” (STC 13/1988, de 4 de febrero, FJ 2). Dicho de otra manera, la “cooperación” es precisa cuando existe “concurrencia de títulos competenciales” (STC 40/1998, de 19 de febrero, FJ 30), “[a]l objeto de integrar ambas competencias” (STC 204/2002, de 31 de octubre, FJ 7) y garantizar “la participación de todos los entes involucrados en la toma de decisiones” (STC 68/1996, de 4 de abril, FJ 10).</w:t>
      </w:r>
    </w:p>
    <w:p w14:paraId="0B1766F9" w14:textId="77777777" w:rsidR="008D479B" w:rsidRDefault="008D479B" w:rsidP="008D479B">
      <w:pPr>
        <w:pStyle w:val="TextoNormal"/>
      </w:pPr>
    </w:p>
    <w:p w14:paraId="61031DBB" w14:textId="77777777" w:rsidR="008D479B" w:rsidRDefault="008D479B" w:rsidP="008D479B">
      <w:pPr>
        <w:pStyle w:val="TextoNormal"/>
      </w:pPr>
      <w:r>
        <w:t>En materia de financiación autonómica, al estar en juego “la suficiencia de todas las comunidades autónomas, su autonomía financiera y la solidaridad entre todas ellas (y, en último término, la suficiencia financiera del Estado y la de todo el sector público), es evidente la necesidad de que en este ámbito se adopte la decisión correspondiente de forma coordinada entre el Estado y las comunidades autónomas en el seno de un órgano en el que estén representados todas estas y aquel. Y, en la actualidad, de acuerdo con el art. 3.1 LOFCA, es al Consejo de Política Fiscal y Financiera, órgano consultivo y deliberante, integrado por el ministro de Economía y Hacienda y cada uno de los consejeros de Hacienda de cada comunidad y ciudad autónoma, a quien corresponde la coordinación ‘entre la actividad financiera de las comunidades autónomas y de la hacienda del Estado’ (art. 3.1 LOFCA)” (SSTC 13/2007, de 18 de enero, FJ 8, y 58/2007, de 14 de marzo, FJ 4). De este modo, “[p]uesto que la suficiencia financiera de las Comunidades Autónomas se alcanza en importante medida a través de impuestos cedidos por el Estado y otras participaciones en ingresos de este último (art. 157.1 CE), las decisiones tendentes a garantizarla ‘han de adoptarse con carácter general y de forma homogénea para todo el sistema y, en consecuencia, por el Estado y en el ámbito estatal de actuación’, no siendo posibles ‘decisiones unilaterales que… tendrían repercusiones en el conjunto… y condicionarían las decisiones de otras Administraciones autonómicas y de la propia Administración del Estado’” (STC 31/2010, de 28 de junio, FJ 130).</w:t>
      </w:r>
    </w:p>
    <w:p w14:paraId="276DC948" w14:textId="77777777" w:rsidR="008D479B" w:rsidRDefault="008D479B" w:rsidP="008D479B">
      <w:pPr>
        <w:pStyle w:val="TextoNormal"/>
      </w:pPr>
    </w:p>
    <w:p w14:paraId="15BBA198" w14:textId="77777777" w:rsidR="008D479B" w:rsidRDefault="008D479B" w:rsidP="008D479B">
      <w:pPr>
        <w:pStyle w:val="TextoNormal"/>
      </w:pPr>
      <w:r>
        <w:t>No obstante, lo dicho, es importante precisar que “pese al indudable papel que el Consejo de Política Fiscal y Financiera desempeña en la actualidad como órgano de coordinación de las competencias financieras entre Estado y comunidades autónomas”, no ha desplazado, en ningún caso, la intervención —también— de las comisiones mixtas Estado-comunidades autónomas en el ámbito de sus competencias (STC 13/2007, de 18 de enero, FJ 8). Ciertamente, el marco multilateral de decisión no puede desplazar la actuación de las comisiones mixtas, de modo que “ha de integrarse también con las funciones que dichas comisiones tengan en su caso atribuidas en las normas estatutarias y en la LOFCA en cuanto órganos bilaterales específicamente previstos para concretar la aplicación a cada comunidad autónoma de los criterios acordados en el seno del Consejo de Política Fiscal y Financiera” (SSTC 13/2007, de 18 de enero, FJ 8; 31/2010, de 28 de junio, FJ 130, y 204/2011, de 15 de diciembre, FJ 7).</w:t>
      </w:r>
    </w:p>
    <w:p w14:paraId="6F0AA835" w14:textId="77777777" w:rsidR="008D479B" w:rsidRDefault="008D479B" w:rsidP="008D479B">
      <w:pPr>
        <w:pStyle w:val="TextoNormal"/>
      </w:pPr>
    </w:p>
    <w:p w14:paraId="07524160" w14:textId="77777777" w:rsidR="008D479B" w:rsidRDefault="008D479B" w:rsidP="008D479B">
      <w:pPr>
        <w:pStyle w:val="TextoNormal"/>
      </w:pPr>
      <w:r>
        <w:t>Aunque, como se ha dicho, la autonomía financiera de las comunidades autónomas no está exenta de límites porque “hace referencia a un poder necesariamente limitado” [SSTC 19/1987, de 17 de febrero, FJ 4; 221/1992, de 11 de diciembre, FJ 8; 233/1999, de 16 de diciembre, FJ 10 b), y 118/2016, de 23 de junio, FJ 2], la restricción del poder de decisión autonómico sobre los tributos cedidos, en tanto que implica una “interferencia directa” del Estado en su autonomía política, solo puede articularse adoptándose la decisión en el seno del órgano multilateral de coordinación —el Consejo de Política Fiscal y Financiera— para luego materializar su decisión en la regulación orgánica —la LOFCA— (SSTC 41/2016, de 3 de marzo, FJ 16, y 33/2019, de 14 de marzo, FJ 3), pues los límites solo “han de reputarse constitucionales cuando se deriven de las prescripciones de la propia Constitución o de la ley orgánica a la que aquella remite (art. 157.3 CE)” (SSTC 134/2011, de 20 de julio, FJ 10; 101/2016, de 25 de mayo, FJ 5, y 139/2016, de 21 de julio, FJ 12).</w:t>
      </w:r>
    </w:p>
    <w:p w14:paraId="6FE74AF6" w14:textId="77777777" w:rsidR="008D479B" w:rsidRDefault="008D479B" w:rsidP="008D479B">
      <w:pPr>
        <w:pStyle w:val="TextoNormal"/>
      </w:pPr>
    </w:p>
    <w:p w14:paraId="6CBB2C0A" w14:textId="77777777" w:rsidR="008D479B" w:rsidRDefault="008D479B" w:rsidP="008D479B">
      <w:pPr>
        <w:pStyle w:val="TextoNormal"/>
      </w:pPr>
      <w:r>
        <w:t>Por consiguiente, ni el Gobierno está legitimado para adoptar decisiones unilaterales, ni a las Cortes Generales le es dado imponerlas, uno y otras, al margen de los cauces e instrumentos previamente establecidos. Cuando se trata del ejercicio de la actividad financiera del Estado (central y autonómico), la “acción estatal” debe desplegarse “dentro del orden competencial articulado en la Constitución”, de modo que la utilización del poder financiero del Estado no puede “‘desconocer, desplazar o limitar’ las competencias materiales autonómicas” (SSTC 13/1992, de 6 de febrero, FJ 2, y 68/1996, de 4 de abril, FJ 2).</w:t>
      </w:r>
    </w:p>
    <w:p w14:paraId="786EF5E7" w14:textId="77777777" w:rsidR="008D479B" w:rsidRDefault="008D479B" w:rsidP="008D479B">
      <w:pPr>
        <w:pStyle w:val="TextoNormal"/>
      </w:pPr>
    </w:p>
    <w:p w14:paraId="55008B30" w14:textId="77777777" w:rsidR="008D479B" w:rsidRDefault="008D479B" w:rsidP="008D479B">
      <w:pPr>
        <w:pStyle w:val="TextoNormal"/>
      </w:pPr>
      <w:r>
        <w:t xml:space="preserve">2.5. </w:t>
      </w:r>
      <w:r w:rsidRPr="008D479B">
        <w:rPr>
          <w:i/>
        </w:rPr>
        <w:t>La autonomía política de las comunidades autónomas: el tributo como medio a través del cual vehicular las políticas propias</w:t>
      </w:r>
    </w:p>
    <w:p w14:paraId="43A05C61" w14:textId="77777777" w:rsidR="008D479B" w:rsidRDefault="008D479B" w:rsidP="008D479B">
      <w:pPr>
        <w:pStyle w:val="TextoNormal"/>
      </w:pPr>
    </w:p>
    <w:p w14:paraId="06F7B109" w14:textId="77777777" w:rsidR="008D479B" w:rsidRDefault="008D479B" w:rsidP="008D479B">
      <w:pPr>
        <w:pStyle w:val="TextoNormal"/>
      </w:pPr>
      <w:r>
        <w:t>Como hemos señalado, las comunidades autónomas, en virtud de su autonomía financiera (art. 156.1 CE) son titulares de determinadas competencias financieras (SSTC 13/2007, de 18 de enero, FJ 7, y 60/2013, de 13 de marzo, FJ 2), entre las que se encuentra la potestad de establecer “tributos propios” o de regular “los cedidos por el Estado”, bien como una fuente de ingresos, esto es, como una manera de allegarles medios económicos para satisfacer sus necesidades financieras (fin fiscal), bien como instrumento al servicio de políticas sectoriales distintas de la puramente recaudatoria, como la de atraer inversiones a su territorio (fin extrafiscal; SSTC 37/1987, de 26 de marzo, FJ 13; 194/2000, de 19 de julio, FJ 7; 276/2000, de 16 de noviembre, FJ 4; 179/2006, de 13 de junio, FJ 3, y 60/2013, de 13 de marzo, FJ 2); competencias financieras que no solo deben ser ejercidas dentro del marco y límites establecidos por el Estado en el ejercicio de su potestad tributaria originaria (arts. 133.1, 149.1.14 y 157.3 CE), sino también “dentro del marco de competencias asumidas” (SSTC 149/1991, de 4 de junio, FJ 1, y 60/2013, de 13 de marzo, FJ 2). En este sentido, el art. 137.1 CE atribuye a las comunidades autónomas “autonomía” para la gestión de sus propios intereses, y el art. 156.1 les reconoce “autonomía financiera para el desarrollo y ejecución de sus competencias” (art. 156.1 CE). Y para garantizarla, la Constitución les asigna una serie de recursos financieros (art. 157.1 CE) que están constituidos, entre otros, por los “[i]mpuestos cedidos total o parcialmente por el Estado” [art. 157.1 a) CE], razón por la cual las diferentes normas estatuarias acogen como uno de los recursos de sus Haciendas, “[l]os rendimientos de los impuestos cedidos por el Estado” (así, por ejemplo, el art. 53.5 de la Ley Orgánica 3/1983, de 25 de febrero, de Estatuto de Autonomía de la Comunidad de Madrid).</w:t>
      </w:r>
    </w:p>
    <w:p w14:paraId="6CFE85DB" w14:textId="77777777" w:rsidR="008D479B" w:rsidRDefault="008D479B" w:rsidP="008D479B">
      <w:pPr>
        <w:pStyle w:val="TextoNormal"/>
      </w:pPr>
    </w:p>
    <w:p w14:paraId="7C278E96" w14:textId="77777777" w:rsidR="008D479B" w:rsidRDefault="008D479B" w:rsidP="008D479B">
      <w:pPr>
        <w:pStyle w:val="TextoNormal"/>
      </w:pPr>
      <w:r>
        <w:t>Desde una perspectiva constitucional, nada cabe oponer al uso de los tributos (el cedido también), “no solo como instrumento recaudatorio, sino también como medio para la consecución de tales fines extrafiscales” [SSTC 173/1996, de 31 de octubre, FJ 5, y 19/2012, de 15 de febrero, FJ 3 a)], y, entre ellos, “como un instrumento de política económica” [SSTC 7/2010, de 27 de abril, FJ 5, y 19/2012, de 15 de febrero, FJ 3 a)]. Y dado que la autonomía que la Constitución atribuye a las comunidades autónomas tiene un “insoslayable carácter político” (SSTC 31/2010, de 28 de junio, FJ 4, y 82/2016, de 28 de abril, FJ 3), el tributo es un medio para vehicular las políticas propias en defensa de los intereses respectivos. Por esta razón, tanto la LOFCA como las sucesivas leyes de cesión de tributos, les han habilitado a “la propia determinación y ordenación de los ingresos y gastos necesarios para el ejercicio de sus funciones” (SSTC 179/1987, de 12 de noviembre, FJ 2, y 192/2000, de 13 de julio, FJ 7), permitiéndoles “elegir y realizar sus propios objetivos políticos, administrativos, sociales o económicos con independencia de cuáles hayan sido las fuentes de los ingresos que nutren sus presupuestos” (SSTC 13/1992, de 6 de febrero, FJ 7; 192/2000, de 13 de julio, FJ 7, y 41/2016, de 3 de marzo, FJ 3).</w:t>
      </w:r>
    </w:p>
    <w:p w14:paraId="5B5356B0" w14:textId="77777777" w:rsidR="008D479B" w:rsidRDefault="008D479B" w:rsidP="008D479B">
      <w:pPr>
        <w:pStyle w:val="TextoNormal"/>
      </w:pPr>
    </w:p>
    <w:p w14:paraId="49644F99" w14:textId="77777777" w:rsidR="008D479B" w:rsidRDefault="008D479B" w:rsidP="008D479B">
      <w:pPr>
        <w:pStyle w:val="TextoNormal"/>
      </w:pPr>
      <w:r>
        <w:t>La capacidad para decidir políticamente sus fines y orientar hacia ellos la regulación de una materia no es, sin embargo, solamente una manifestación del derecho a la autonomía política constitucionalmente proclamada, sino que es, además, un reflejo del principio democrático mediante el cual el legislador —en este caso, el autonómico— dispone de un amplio margen de configuración a la hora de decidir sus legítimas opciones. Las desigualdades de naturaleza tributaria producidas por la existencia de diferentes poderes tributarios (estatal, autonómico y local) se justifican, en principio, no solo de forma objetiva sino también razonable, en la propia diversidad territorial, al convertirse el territorio en un elemento diferenciador de situaciones idénticas (SSTC 76/1983, de 5 de agosto, FJ 2; 150/1990, de 4 de octubre, FJ 7; 233/1999, de 16 de diciembre, FJ 26, y 60/2015, de 18 de marzo, FJ 5). Por eso no hay que descuidar que la “autonomía” significa “la capacidad de cada nacionalidad o región para decidir cuándo y cómo ejercer sus propias competencias, en el marco de la Constitución y del Estatuto”, lo que provoca, “como es lógico, [que] de dicho ejercicio derivan desigualdades en la posición jurídica de los ciudadanos residentes en cada una de las distintas comunidades autónomas”, sin que por ello “result[en] necesariamente infringidos los arts. 1, 9.2, 14, 31.1, 38, 139, 149.1.1 y 149.1.13 de la Constitución, ya que estos preceptos no exigen un tratamiento jurídico uniforme de los derechos y deberes de los ciudadanos en todo tipo de materias y en todo el territorio del Estado, lo que sería frontalmente incompatible con la autonomía” (SSTC 150/2005, de 6 de junio, FJ 4; 247/2007, de 12 de diciembre, FJ 13, y 132/2019, de 13 de noviembre, FJ 6). Lo importante “no es, entonces, la existencia misma de una medida diferente en el territorio nacional, sino la existencia o no de una justificación razonable que legitime la medida diferente” (SSTC 96/2002, de 25 de abril, FJ 12, y 100/2012, de 8 de mayo, FJ 4), así como, “la proporcionalidad de la medida, entendida como adecuación razonable al fin legítimo constitucionalmente perseguido” (SSTC 88/1986, de 1 de julio, FJ 6, y 100/2012, de 8 de mayo, FJ 4).</w:t>
      </w:r>
    </w:p>
    <w:p w14:paraId="67873E36" w14:textId="77777777" w:rsidR="008D479B" w:rsidRDefault="008D479B" w:rsidP="008D479B">
      <w:pPr>
        <w:pStyle w:val="TextoNormal"/>
      </w:pPr>
    </w:p>
    <w:p w14:paraId="63AE4FE8" w14:textId="77777777" w:rsidR="008D479B" w:rsidRDefault="008D479B" w:rsidP="008D479B">
      <w:pPr>
        <w:pStyle w:val="TextoNormal"/>
      </w:pPr>
      <w:r>
        <w:t xml:space="preserve">2.6. </w:t>
      </w:r>
      <w:r w:rsidRPr="008D479B">
        <w:rPr>
          <w:i/>
        </w:rPr>
        <w:t>La cesión de tributos por el Estado a las comunidades autónomas: un mandato constitucional de concreción multilateral</w:t>
      </w:r>
    </w:p>
    <w:p w14:paraId="760BB560" w14:textId="77777777" w:rsidR="008D479B" w:rsidRDefault="008D479B" w:rsidP="008D479B">
      <w:pPr>
        <w:pStyle w:val="TextoNormal"/>
      </w:pPr>
    </w:p>
    <w:p w14:paraId="49421ADC" w14:textId="77777777" w:rsidR="008D479B" w:rsidRDefault="008D479B" w:rsidP="008D479B">
      <w:pPr>
        <w:pStyle w:val="TextoNormal"/>
      </w:pPr>
      <w:r>
        <w:t>Pese a la garantía constitucional de la autonomía financiera conferida a las comunidades autónomas como instrumento para la consecución de su autonomía política (art. 156.1 CE), “el art. 157.1 CE no diseña un concreto modelo de hacienda autonómica, limitándose a enumerar las distintas clases de rendimientos de que pueden disponer las comunidades autónomas para financiar su gasto público” [STC 65/2020, de 18 de junio, FJ 8 B)]. En efecto, como ya se ha tenido la oportunidad de apuntar, el art. 157.1 a) CE incluye dentro de los recursos de las comunidades autónomas a los “[i]mpuestos cedidos total o parcialmente por el Estado”, cuya regulación esencial corresponde al Estado, mediante ley orgánica. De este modo, la cesión de tributos del Estado a las comunidades autónomas no es una opción sino un imperativo constitucional, a través del cual se pretende dotarlas de una suficiencia de recursos que les permita la realización de sus respectivas políticas. Estamos, pues, ante tributos que, aun cuando sean formalmente del Estado (de su titularidad), la Constitución le obliga a cedérselos (total o parcialmente) para coadyuvar a la consecución de su autonomía financiera en orden a garantizar su autonomía política (arts. 137.1 y 156.1 de la Constitución Española, y 10.2 y 3 LOFCA).</w:t>
      </w:r>
    </w:p>
    <w:p w14:paraId="02ECDEFC" w14:textId="77777777" w:rsidR="008D479B" w:rsidRDefault="008D479B" w:rsidP="008D479B">
      <w:pPr>
        <w:pStyle w:val="TextoNormal"/>
      </w:pPr>
    </w:p>
    <w:p w14:paraId="71917BF6" w14:textId="77777777" w:rsidR="008D479B" w:rsidRDefault="008D479B" w:rsidP="008D479B">
      <w:pPr>
        <w:pStyle w:val="TextoNormal"/>
      </w:pPr>
      <w:r>
        <w:t>Para atribuir a un tributo la condición de “cedido” y determinar el “alcance” de esa cesión no es suficiente “con la atribución del rendimiento” por cualquier ley (STC 16/2003, de 30 de enero, FJ 11). Es necesario articular la “cesión” a través de un procedimiento constitucional y legalmente establecido en las normas que integran el bloque de la constitucionalidad. En particular, debe adoptase un acuerdo en el Consejo de Política Fiscal y Financiera, que ha de materializarse a continuación en la ley orgánica a la que apela el art. 157.3 CE, recogerse en las normas estatutarias y, previa concreción en las comisiones mixtas Estado-comunidades autónomas, concretarse en las leyes estatales reguladoras de la cesión de los tributos a cada una de las comunidades autónomas. Los elementos definidores del concepto constitucional de “tributo cedido” son, en consecuencia, los siguientes (STC 19/2012, de 15 de febrero, FJ 11):</w:t>
      </w:r>
    </w:p>
    <w:p w14:paraId="371FDC83" w14:textId="77777777" w:rsidR="008D479B" w:rsidRDefault="008D479B" w:rsidP="008D479B">
      <w:pPr>
        <w:pStyle w:val="TextoNormal"/>
      </w:pPr>
    </w:p>
    <w:p w14:paraId="3CD74C4D" w14:textId="77777777" w:rsidR="008D479B" w:rsidRDefault="008D479B" w:rsidP="008D479B">
      <w:pPr>
        <w:pStyle w:val="TextoNormal"/>
      </w:pPr>
      <w:r>
        <w:t xml:space="preserve">(i) El Consejo de Política Fiscal y Financiera: dado que, en materia de financiación autonómica, están implicados tanto los intereses del Estado como los de todas las comunidades autónomas, no caben las decisiones unilaterales, ni tampoco las bilaterales [STC 96/2016, de 12 de mayo, FJ 3 g)], debiendo ser fruto de un previo pacto multilateral en el seno del Consejo: “partiendo de la competencia del Estado para establecer un sistema u otro de financiación autonómica, a través de la ley orgánica prevista en el art. 157.3 CE, hemos reiterado la relevancia que en este ámbito tiene el principio de lealtad constitucional, que ‘constituye un soporte esencial del funcionamiento del Estado autonómico cuya observancia resulta obligada’ […] y del que se deprende el mandato de que el Gobierno extreme el celo por llegar a acuerdos con las comunidades autónomas […]. En concreto, el principio de lealtad constitucional es preciso ponerlo en relación con el papel que en el sistema desempeña en la actualidad el Consejo de Política Fiscal y Financiera, en tanto que órgano de coordinación de las competencias financieras entre Estado y comunidades autónomas (art. 3 LOFCA) de manera que, sin perjuicio de que corresponde a las Cortes Generales la decisión final acerca del sistema de financiación, resulta necesario que este tipo de decisiones sobre el conjunto de las comunidades autónomas se adopten en el órgano multilateral en el que el Estado ejercita funciones de cooperación y coordinación </w:t>
      </w:r>
      <w:r w:rsidRPr="008D479B">
        <w:rPr>
          <w:i/>
        </w:rPr>
        <w:t>ex</w:t>
      </w:r>
      <w:r>
        <w:t xml:space="preserve"> art. 149.1.14 CE, sin perjuicio del papel que en su caso puedan desempeñar las comisiones mixtas” (STC 76/2014, de 8 de mayo, FJ 4).</w:t>
      </w:r>
    </w:p>
    <w:p w14:paraId="7CB2CDCF" w14:textId="77777777" w:rsidR="008D479B" w:rsidRDefault="008D479B" w:rsidP="008D479B">
      <w:pPr>
        <w:pStyle w:val="TextoNormal"/>
      </w:pPr>
    </w:p>
    <w:p w14:paraId="2C74F743" w14:textId="77777777" w:rsidR="008D479B" w:rsidRDefault="008D479B" w:rsidP="008D479B">
      <w:pPr>
        <w:pStyle w:val="TextoNormal"/>
      </w:pPr>
      <w:r>
        <w:t xml:space="preserve">Resulta, por tanto, necesario “que este tipo de decisiones, cuya determinación final corresponde a las Cortes Generales, se adopten en el órgano multilateral (en este caso, el Consejo de Política Fiscal y Financiera) en el que el Estado ejercita funciones de cooperación y coordinación </w:t>
      </w:r>
      <w:r w:rsidRPr="008D479B">
        <w:rPr>
          <w:i/>
        </w:rPr>
        <w:t>ex</w:t>
      </w:r>
      <w:r>
        <w:t xml:space="preserve"> art. 149.1.14 CE” (SSTC 13/2007, de 18 de enero, FJ 8; 31/2010, de 28 de junio, FJ 130, y 204/2011, de 15 de diciembre, FJ 7), como se hizo, en el vigente sistema de financiación autonómica, mediante el Acuerdo 6/2009, de 15 de julio, del Consejo de Política Fiscal y Financiera de las comunidades autónomas.</w:t>
      </w:r>
    </w:p>
    <w:p w14:paraId="6322BCBE" w14:textId="77777777" w:rsidR="008D479B" w:rsidRDefault="008D479B" w:rsidP="008D479B">
      <w:pPr>
        <w:pStyle w:val="TextoNormal"/>
      </w:pPr>
    </w:p>
    <w:p w14:paraId="5C106FB8" w14:textId="77777777" w:rsidR="008D479B" w:rsidRDefault="008D479B" w:rsidP="008D479B">
      <w:pPr>
        <w:pStyle w:val="TextoNormal"/>
      </w:pPr>
      <w:r>
        <w:t>(ii) La Ley Orgánica de financiación de las comunidades autónomas (LOFCA): una vez adoptado el acuerdo en el seno del Consejo de Política Fiscal y Financiera, es la LOFCA la que tiene que atribuir expresamente a un determinado tributo del Estado la condición de “cedible” (art. 11 LOFCA), pues solo tendrán la condición de tributos cedidos “los establecidos y regulados por el Estado, cuyo producto corresponda a la comunidad autónoma” (art. 10.1 LOFCA), habida cuenta que su regulación esencial “corresponde también al Estado, mediante ley orgánica” (SSTC 181/1988, de 13 de octubre, FJ 3; 192/2000, de 13 de julio, FJ 6; 16/2003, de 30 de enero, FJ 11; 72/2003, de 10 de abril, FJ 5, y 19/2012, de 15 de febrero, FJ 11). Así lo prevé expresamente —respecto del impuesto sobre el patrimonio— el art. 11 b) LOFCA.</w:t>
      </w:r>
    </w:p>
    <w:p w14:paraId="394A599C" w14:textId="77777777" w:rsidR="008D479B" w:rsidRDefault="008D479B" w:rsidP="008D479B">
      <w:pPr>
        <w:pStyle w:val="TextoNormal"/>
      </w:pPr>
    </w:p>
    <w:p w14:paraId="6A374691" w14:textId="77777777" w:rsidR="008D479B" w:rsidRDefault="008D479B" w:rsidP="008D479B">
      <w:pPr>
        <w:pStyle w:val="TextoNormal"/>
      </w:pPr>
      <w:r>
        <w:t>(iii) El estatuto de autonomía: el tributo será “formalmente cedido “cuando haya tenido lugar en virtud de precepto expreso del estatuto correspondiente” (art. 10.2 LOFCA). Los estatutos de autonomía no solo “establecen, en coherencia con la LOFCA, los tributos que se ceden a la respectiva comunidad autónoma” sino que, esta cesión, “directamente por disposición estatutaria”, responde “a una finalidad de garantía de las disponibilidades financieras de las comunidades autónomas” (SSTC 181/1988, de 13 de octubre, FFJJ 3 y 4; 192/2000, de 13 de julio, FJ 8, y 19/2012, de 15 de febrero, FJ 11). Así lo tiene recogido el apartado primero de la disposición adicional primera de la Ley Orgánica 3/1983, de estatuto de autonomía de la Comunidad de Madrid.</w:t>
      </w:r>
    </w:p>
    <w:p w14:paraId="09B6115B" w14:textId="77777777" w:rsidR="008D479B" w:rsidRDefault="008D479B" w:rsidP="008D479B">
      <w:pPr>
        <w:pStyle w:val="TextoNormal"/>
      </w:pPr>
    </w:p>
    <w:p w14:paraId="71107011" w14:textId="77777777" w:rsidR="008D479B" w:rsidRDefault="008D479B" w:rsidP="008D479B">
      <w:pPr>
        <w:pStyle w:val="TextoNormal"/>
      </w:pPr>
      <w:r>
        <w:t>(iv) La ley de cesión de tributos a las comunidades autónomas: el Estado, en el ejercicio de sus competencias sobre la materia, antes de concretar el alcance de la cesión de un tributo a cada comunidad autónoma, puede optar “por crear previamente ‘un marco de referencia idéntico’ y ‘un modelo único’ de aplicación general, ante el riesgo de que se produjera una dispersión de criterios con resultados muy distintos que rompieran la racionalidad del proceso de cesión” (SSTC 181/1988, de 13 de octubre, FJ 3, y 19/2012, de 15 de febrero, FJ 11). Este marco único ha sido incorporado —en la actualidad— a la Ley 22/2009, de 18 de diciembre, por la que se regula el sistema de financiación de las comunidades autónomas de régimen común y ciudades con estatuto de autonomía y se modifican determinadas normas tributarias (LCT).</w:t>
      </w:r>
    </w:p>
    <w:p w14:paraId="32BA59AF" w14:textId="77777777" w:rsidR="008D479B" w:rsidRDefault="008D479B" w:rsidP="008D479B">
      <w:pPr>
        <w:pStyle w:val="TextoNormal"/>
      </w:pPr>
    </w:p>
    <w:p w14:paraId="6253619A" w14:textId="77777777" w:rsidR="008D479B" w:rsidRDefault="008D479B" w:rsidP="008D479B">
      <w:pPr>
        <w:pStyle w:val="TextoNormal"/>
      </w:pPr>
      <w:r>
        <w:t>(v) La ley de cesión de tributos a cada comunidad autónoma: el tributo alcanzará la condición de “cedido” cuando así lo establezca una “ley específica” que determine “el alcance y condiciones” de la cesión (art. 10.2 LOFCA), previo acuerdo en la correspondiente comisión mixta Estado-comunidad autónoma (disposición adicional primera, apartado tercero, y disposición transitoria segunda de la Ley Orgánica 3/1983, de 25 de febrero, de estatuto de autonomía de la Comunidad de Madrid), el cual “constituye una garantía procedimental” (SSTC 35/2012, de 15 de marzo, FJ 9, y 162/2012, de 20 de septiembre, FJ 4). Se trata de “una ley específica de cesión de tributos a cada comunidad autónoma que, de acuerdo con su estatuto, pudiera recoger, en su caso, las particularidades que se estimasen oportunas en cuanto al alcance y condiciones de las cesiones” (SSTC 181/1988, de 13 de octubre, FJ 3, y 19/2012, de 15 de febrero, FJ 11). Así lo materializó, en el caso de la comunidad autónoma recurrente, la Ley 29/2010, de 16 de julio, del régimen de cesión de tributos del Estado a la Comunidad de Madrid y de fijación del alcance y condiciones de dicha cesión.</w:t>
      </w:r>
    </w:p>
    <w:p w14:paraId="6EC7A3B0" w14:textId="77777777" w:rsidR="008D479B" w:rsidRDefault="008D479B" w:rsidP="008D479B">
      <w:pPr>
        <w:pStyle w:val="TextoNormal"/>
      </w:pPr>
    </w:p>
    <w:p w14:paraId="3BB551E3" w14:textId="77777777" w:rsidR="008D479B" w:rsidRDefault="008D479B" w:rsidP="008D479B">
      <w:pPr>
        <w:pStyle w:val="TextoNormal"/>
      </w:pPr>
      <w:r>
        <w:t>(vi) La ley autonómica de concreción de los términos de aplicación del tributo cedido en su ámbito territorial: finalmente, es la comunidad autónoma la que, en el ejercicio de las competencias normativas (delegadas por el Estado) sobre el tributo cedido (art. 10.2 LOFCA), debe determinar la concreta aplicación en su territorio, fijando los aspectos objeto de delegación como —en el impuesto sobre el patrimonio— el mínimo exento, los tipos de gravamen y las deducciones y bonificaciones en la cuota (art. 47 LCT). Así lo tiene hecho la comunidad recurrente —en la actualidad— en el Decreto Legislativo 1/2010, de 21 de octubre, del Consejo de Gobierno, por el que se aprueba el texto de las disposiciones legales de la Comunidad de Madrid en materia de tributos cedidos por el Estado (art. 20).</w:t>
      </w:r>
    </w:p>
    <w:p w14:paraId="1A9396AA" w14:textId="77777777" w:rsidR="008D479B" w:rsidRDefault="008D479B" w:rsidP="008D479B">
      <w:pPr>
        <w:pStyle w:val="TextoNormal"/>
      </w:pPr>
    </w:p>
    <w:p w14:paraId="3BBDF72D" w14:textId="77777777" w:rsidR="008D479B" w:rsidRDefault="008D479B" w:rsidP="008D479B">
      <w:pPr>
        <w:pStyle w:val="TextoNormal"/>
      </w:pPr>
      <w:r>
        <w:t>2.7</w:t>
      </w:r>
      <w:r w:rsidRPr="008D479B">
        <w:rPr>
          <w:i/>
        </w:rPr>
        <w:t>. La “armonización” del impuesto sobre el patrimonio: de la “cooperación” a la “imposici</w:t>
      </w:r>
      <w:r>
        <w:t>ón”</w:t>
      </w:r>
    </w:p>
    <w:p w14:paraId="48D71A89" w14:textId="77777777" w:rsidR="008D479B" w:rsidRDefault="008D479B" w:rsidP="008D479B">
      <w:pPr>
        <w:pStyle w:val="TextoNormal"/>
      </w:pPr>
    </w:p>
    <w:p w14:paraId="567E4D64" w14:textId="77777777" w:rsidR="008D479B" w:rsidRDefault="008D479B" w:rsidP="008D479B">
      <w:pPr>
        <w:pStyle w:val="TextoNormal"/>
      </w:pPr>
      <w:r>
        <w:t>La cesión de un tributo por parte del Estado a una comunidad autónoma no le hace perder ni la titularidad sobre el mismo, ni sobre el ejercicio de las competencias que le son inherentes, pues el Estado “es el único titular del tributo cedido y, en su efecto, de las competencias de normación y gestión del mismo”, sin que la cesión del tributo implique, “la transmisión de la titularidad sobre el mismo o sobre el ejercicio de las competencias inherentes al mismo”, ni tampoco que la cesión articulada tenga un carácter irrevocable [SSTC 192/2000, de 23 de junio, FJ 8; 16/2003, de 30 de enero, FJ 11, y 65/2020, de 18 de junio, FJ 4 c)]. No hay que olvidar que la reversibilidad de las situaciones normativas es inherente a la idea misma de la democracia [SSTC 31/2010, de 28 de junio, FJ 6; 233/2015, de 5 de noviembre, FJ 2 d); 114/2017, de 17 de diciembre, FJ 5, y 34/2023, de 18 de abril, FJ 6], tanto más cuando el ejercicio de las competencias normativas atribuidas a las comunidades autónomas pueda haber provocado resultados disfuncionales.</w:t>
      </w:r>
    </w:p>
    <w:p w14:paraId="31537228" w14:textId="77777777" w:rsidR="008D479B" w:rsidRDefault="008D479B" w:rsidP="008D479B">
      <w:pPr>
        <w:pStyle w:val="TextoNormal"/>
      </w:pPr>
    </w:p>
    <w:p w14:paraId="6CCBEC0D" w14:textId="77777777" w:rsidR="008D479B" w:rsidRDefault="008D479B" w:rsidP="008D479B">
      <w:pPr>
        <w:pStyle w:val="TextoNormal"/>
      </w:pPr>
      <w:r>
        <w:t>Para que la recentralización de las competencias delegadas sea compatible con la autonomía financiera y política de las comunidades autónomas (arts. 137 y 156.1 CE), no solo es imprescindible que concurra un fin legítimo, el cual solo podrá reputarse como constitucionalmente válido, cuando derive de las prescripciones de la propia Constitución o de la ley orgánica a la que aquella remite (art. 157.3 CE), sino que es necesario que la decisión se adopte de forma multilateral en el órgano de coordinación del Estado y las comunidades autónomas en materia fiscal y financiera (negociación), en el que están representados tanto el Estado como todas las comunidades y ciudades autónomas: el Consejo de Política Fiscal y Financiera. Si ninguna duda cabe de que el Estado, en defensa del interés común frente a una diversidad disfuncional, puede enmendar —</w:t>
      </w:r>
      <w:r w:rsidRPr="008D479B">
        <w:rPr>
          <w:i/>
        </w:rPr>
        <w:t>ex</w:t>
      </w:r>
      <w:r>
        <w:t xml:space="preserve"> art. 149.1.1 y 14 CE— la situación apreciada con el objetivo de corregir o disminuir las diferencias existentes entre las distintas comunidades autónomas, tampoco es dudoso que no pueda materializarlo de cualquier manera, eludiendo los procedimientos y soslayando los instrumentos constitucional y legalmente previstos para ello. El legislador no puede imponer (ni tampoco el Gobierno, a su través), so pretexto de su </w:t>
      </w:r>
      <w:r w:rsidRPr="008D479B">
        <w:rPr>
          <w:i/>
        </w:rPr>
        <w:t>potestas regiminis</w:t>
      </w:r>
      <w:r>
        <w:t>, decisiones unilaterales en aspectos en los que, al estar implicados los intereses de todos, deben ser adoptadas en el seno del órgano de decisión multilateral en el que se encuentran representados el común de los entes afectados: el Consejo de Política Fiscal y Financiera.</w:t>
      </w:r>
    </w:p>
    <w:p w14:paraId="31EBADFD" w14:textId="77777777" w:rsidR="008D479B" w:rsidRDefault="008D479B" w:rsidP="008D479B">
      <w:pPr>
        <w:pStyle w:val="TextoNormal"/>
      </w:pPr>
    </w:p>
    <w:p w14:paraId="767D5277" w14:textId="77777777" w:rsidR="008D479B" w:rsidRDefault="008D479B" w:rsidP="008D479B">
      <w:pPr>
        <w:pStyle w:val="TextoNormal"/>
      </w:pPr>
      <w:r>
        <w:t xml:space="preserve">Es importante insistir, a estos efectos, en que el legislador también está sujeto, al igual que todos los poderes públicos, a la Constitución y al resto del ordenamiento jurídico (art. 9.1 CE), no existiendo espacios de inmunidad en el Estado democrático de Derecho, razón por la cual debe atenerse a las formas y procedimientos que él mismo ha previsto, mientras permanezcan vigentes. Como ha tenido la oportunidad de precisar este tribunal, una vez admitido que una ley “puede abordar una modificación directa y expresa de cualquier otra norma legal”, cabe añadir, a renglón seguido, que lo que no puede hacer “es, sin modificar previamente la norma legal que regula el régimen sustantivo de una determinada parcela del ordenamiento jurídico, desconocerlo, procediendo a efectuar una aplicación distinta” [SSTC 238/2007, de 21 de noviembre, FJ 4; 248/2007, de 13 de diciembre, FJ 4; 76/2014, de 8 de mayo, FJ 4 b), y 99/2016, de 25 de mayo, FJ 8]. En consecuencia, si el propio legislador (orgánico y ordinario) ha sido quien —en desarrollo del art. 157 LOTC— ha previsto un procedimiento singular para la cesión de tributos del Estado a las comunidades autónomas, lo que no le es dado es que, para revertir la situación creada, desconozca los pasos que legítimamente había decidido establecer, sin haber procedido previamente a su modificación. Por mucho que el legislador pueda modificar o derogar la obra por él previamente creada, ni su </w:t>
      </w:r>
      <w:r w:rsidRPr="008D479B">
        <w:rPr>
          <w:i/>
        </w:rPr>
        <w:t>auctoritas</w:t>
      </w:r>
      <w:r>
        <w:t xml:space="preserve"> ni su </w:t>
      </w:r>
      <w:r w:rsidRPr="008D479B">
        <w:rPr>
          <w:i/>
        </w:rPr>
        <w:t>potestas</w:t>
      </w:r>
      <w:r>
        <w:t xml:space="preserve"> le legitiman para desconocerla sin más, como si fuese titular de u</w:t>
      </w:r>
      <w:r w:rsidRPr="008D479B">
        <w:rPr>
          <w:i/>
        </w:rPr>
        <w:t>n imperi</w:t>
      </w:r>
      <w:r>
        <w:t>um ajeno a la propia Constitución.</w:t>
      </w:r>
    </w:p>
    <w:p w14:paraId="45990E97" w14:textId="77777777" w:rsidR="008D479B" w:rsidRDefault="008D479B" w:rsidP="008D479B">
      <w:pPr>
        <w:pStyle w:val="TextoNormal"/>
      </w:pPr>
    </w:p>
    <w:p w14:paraId="09F700C8" w14:textId="77777777" w:rsidR="008D479B" w:rsidRDefault="008D479B" w:rsidP="008D479B">
      <w:pPr>
        <w:pStyle w:val="TextoNormal"/>
      </w:pPr>
      <w:r>
        <w:t>La Ley 38/2022 no esconde sus intenciones cuando identifica como finalidades principales del impuesto temporal de solidaridad de las grandes fortunas, de un lado, la “recaudatoria”, “a fin de exigir, en estos tiempos de crisis energética y de inflación, un mayor esfuerzo a quienes disponen de una mayor capacidad económica”; y, de otro, la “armonizadora”, “con el objetivo de disminuir las diferencias en el gravamen del patrimonio en las distintas comunidades autónomas, especialmente para que la carga tributaria de los contribuyentes residentes en aquellas comunidades autónomas que han desfiscalizado total o parcialmente el impuesto sobre el patrimonio, no difiera sustancialmente de la de los contribuyentes de las comunidades autónomas en las que no se ha optado por reducir la tributación por dicho impuesto” (apartado V del preámbulo). Tampoco las oculta la sentencia de la mayoría al señalar que el impuesto temporal de solidaridad de las grandes fortunas “opera como una suerte de pago a cuenta” del impuesto sobre el patrimonio [FJ 3 B)], pretendiendo “mantener […] el nivel de tributación derivado de la normativa estatal del impuesto sobre el patrimonio” [FJ 3 C)]. Es decir, que la finalidad última del tributo controvertido es recuperar la tributación patrimonial plena en el territorio de las comunidades autónomas que han ejercido legítimamente sus competencias en materia del impuesto sobre el patrimonio (aquellas que le confirió el propio Estado en cada uno de los diferentes sistemas de financiación autonómica).</w:t>
      </w:r>
    </w:p>
    <w:p w14:paraId="7C151103" w14:textId="77777777" w:rsidR="008D479B" w:rsidRDefault="008D479B" w:rsidP="008D479B">
      <w:pPr>
        <w:pStyle w:val="TextoNormal"/>
      </w:pPr>
    </w:p>
    <w:p w14:paraId="69B268FD" w14:textId="77777777" w:rsidR="008D479B" w:rsidRDefault="008D479B" w:rsidP="008D479B">
      <w:pPr>
        <w:pStyle w:val="TextoNormal"/>
      </w:pPr>
      <w:r>
        <w:t xml:space="preserve">Ni la pretendida finalidad “recaudatoria” legitima </w:t>
      </w:r>
      <w:r w:rsidRPr="008D479B">
        <w:rPr>
          <w:i/>
        </w:rPr>
        <w:t>per se</w:t>
      </w:r>
      <w:r>
        <w:t xml:space="preserve"> la conducta ablatoria del Estado en un ámbito material atribuido por las normas del bloque de la constitucionalidad a las comunidades autónomas, sobre todo cuando lo pretendido con ello es neutralizar las políticas fiscales que las comunidades autónomas han optado por seguir en la defensa de sus respectivos intereses, ni la declarada finalidad “armonizadora” se puede ejecutar de “cualquier manera”, soslayando los procedimientos e instrumentos establecidos a tal fin por las citadas normas. Y decimos de “cualquier manera” porque, partiendo de la legitimidad del Estado para corregir las disfunciones del sistema y, por tanto, de su capacidad para modificar o, incluso, suprimir, los tributos cedidos (lo que, en ningún momento, ha sido negado por la comunidad autónoma recurrente), sin embargo, en modo alguno resulta aceptable (como sí ha denunciado la comunidad autónoma recurrente) es la forma en la que lo ha llevado a cabo (replicando el impuesto cedido a las comunidades autónomas para evitar activar el mecanismo de reforma del sistema de financiación y sustraerles su potencial recaudación: la de aquellas comunidades autónomas que han ejercicio sus competencias para utilizar el impuesto sobre el patrimonio como un instrumento al servicio de sus políticas extrafiscales).</w:t>
      </w:r>
    </w:p>
    <w:p w14:paraId="565EB443" w14:textId="77777777" w:rsidR="008D479B" w:rsidRDefault="008D479B" w:rsidP="008D479B">
      <w:pPr>
        <w:pStyle w:val="TextoNormal"/>
      </w:pPr>
    </w:p>
    <w:p w14:paraId="2E7629FC" w14:textId="77777777" w:rsidR="008D479B" w:rsidRDefault="008D479B" w:rsidP="008D479B">
      <w:pPr>
        <w:pStyle w:val="TextoNormal"/>
      </w:pPr>
      <w:r>
        <w:t>La afirmación que hace la sentencia de la mayoría de que la comunidad autónoma recurrente pretende “bloquear el ejercicio de las competencias estatales” so pretexto del ejercicio de “su autonomía financiera y política” [FJ 3 C) a)], supone desconocer abiertamente los términos del recurso, no cualesquiera, sino aquellos mismos que han sido recogidos en los antecedentes de hecho de la propia sentencia de la mayoría. En ningún momento, el gobierno autonómico ha negado la posibilidad de que el Estado armonice la materia. Lo que ha defendido en su demanda, como reconoce expresamente la propia sentencia, era la existencia de un “fraude de ley” con la aprobación de la Ley 38/2022, en el sentido de que “si el Estado quería modificar los términos de la cesión del impuesto sobre el patrimonio, debería haberse sometido al procedimiento previsto, que requiere la previa convocatoria y acuerdo de la Comisión Mixta entre el Estado y la Comunidad de Madrid y la modificación de las leyes por las que se cede el impuesto” [antecedente 1 b)]. Y respecto de esta cuestión, ni una sola idea. Pero no solo eso. La sentencia de la que discrepamos abona su conclusión recurriendo a la doctrina de la STC 26/2015, de 19 de febrero /respecto del impuesto autonómico sobre depósitos bancarios), en la que este tribunal reconoció al Estado —como no podía ser de otra manera— la búsqueda de finalidades armonizadoras, disponiendo el legislador estatal “de diferentes instrumentos para su desarrollo, sin que corresponda a este tribunal enjuiciar la oportunidad de utilizar un instrumento u otro sino tan solo si el concretamente seleccionado tiene encaje en el reparto competencial en esta materia” (FJ 4). Sin embargo, la sentencia de la mayoría ha “olvidado” las siguientes circunstancias: (i) el impuesto sobre los depósitos en las entidades de crédito era un “tributo propio” de algunas comunidades autónomas (no un “tributo cedido”), siendo el régimen normativo de unos y los otros absolutamente distinto (pues en los tributos propios solo opera como límite el art. 6 LOFCA, pudiendo el Estado incluso “absorber” la materia imponible “ocupada” por las comunidades autónomas); (ii) no es baladí recordar que “los tributos propios no forman parte del sistema de financiación” (apartado 4.4.9 del Acuerdo 6/2009, de 15 de julio, del Consejo de Política Fiscal y Financiera, para la reforma del sistema de financiación de las comunidades autónomas de régimen común y ciudades con estatuto de autonomía), al contrario de los “tributos cedidos” que se erigen en un elemento estructural del sistema de financiación vigente; (iii) una eventual armonización de los tributos propios [“aun en el caso de materias atribuidas a la competencia de estas, cuando así lo exija el interés general” (art. 150.3 CE)], puede articularse a través de cualquier texto legislativo, siempre que las Cortes Generales hubiesen apreciado esa necesidad (art. 150.3 CE), no como en los “tributos cedidos” que, por su carácter estructural del sistema de financiación, tienen previsto un sistema multilateral de modificación; y (iv) el instrumento seleccionado en el caso del impuesto sobre los depósitos en las entidades de crédito tenía perfecto encaje en el reparto competencial sobre la materia (“tributos propios”), circunstancia esta que no concurre con el impuesto temporal de solidaridad de las grandes fortunas.</w:t>
      </w:r>
    </w:p>
    <w:p w14:paraId="4B17A152" w14:textId="77777777" w:rsidR="008D479B" w:rsidRDefault="008D479B" w:rsidP="008D479B">
      <w:pPr>
        <w:pStyle w:val="TextoNormal"/>
      </w:pPr>
    </w:p>
    <w:p w14:paraId="160FEE5F" w14:textId="77777777" w:rsidR="008D479B" w:rsidRDefault="008D479B" w:rsidP="008D479B">
      <w:pPr>
        <w:pStyle w:val="TextoNormal"/>
      </w:pPr>
      <w:r>
        <w:t>En efecto, distintas cerraduras se deben abrir con diferentes llaves. Los “tributos cedidos”, a diferencia de los “propios”, al erigirse en uno de los pilares estructurales del sistema de financiación, su modificación o supresión conlleva necesariamente una tramitación diferente. No basta, pues, con la aprobación de una ley, sino que tiene que articularse a través del previo acuerdo en el seno del Conejo de Política Fiscal y Financiera, con la consiguiente modificación de la LOFCA, del estatuto de autonomía, de la ley general de cesión de tributos del Estado a las comunidades autónomas, de la ley específica de cesión de tributos del Estado a cada comunidad autónoma (previo acuerdo en la correspondiente comisión mixta) y de la ley autonómica que trasponga el alcance de la nueva cesión acordada a su ámbito territorial (como se ha venido haciendo a lo largo del actual período constitucional a través de los acuerdos del Consejo de Política Fiscal y Financiera 1/1982, de 18 de febrero; 1/1986, de 7 de noviembre; 1/1992, de 20 de enero; 1/1993, de 7 de octubre; 1/1996, de 23 de septiembre; 2/2001, de 27 de julio; y 6/2009, de 15 de julio).</w:t>
      </w:r>
    </w:p>
    <w:p w14:paraId="19D0168B" w14:textId="77777777" w:rsidR="008D479B" w:rsidRDefault="008D479B" w:rsidP="008D479B">
      <w:pPr>
        <w:pStyle w:val="TextoNormal"/>
      </w:pPr>
    </w:p>
    <w:p w14:paraId="08832FCB" w14:textId="77777777" w:rsidR="008D479B" w:rsidRDefault="008D479B" w:rsidP="008D479B">
      <w:pPr>
        <w:pStyle w:val="TextoNormal"/>
      </w:pPr>
      <w:r>
        <w:t>Si lo anterior es así para andar el camino hacia la “descentralización” (esto es, para que el Estado ceda tributos de su titularidad y delegue diferentes competencias asociadas a los mismos), con más motivo debe serlo para desandarlo, volviendo a la “centralización” (cuando se revierta el alcance de la cesión previamente acordado). La forma de “armonizar” el tributo, sin embargo, mediante la incorporación sorpresiva de un nuevo art. 3 a una iniciativa legislativa en tramitación (la Ley 38/2022), sin haberse buscado el acuerdo del Consejo de Política Fiscal y Financiera, ni modificado la LOFCA, las normas estatutarias y las leyes de cesión de tributos a las comunidades autónomas (previo acuerdo en las correspondientes comisiones mixtas), dista mucho de poder considerarse que se haya hecho de manera conforme con las normas del bloque de la constitucionalidad. Y no desdice esta afirmación el hecho que la Ley 38/2022 no haya incidido “directa” y “formalmente” en el impuesto sobre el patrimonio, porque lo cierto es que, a través del artificio articulado con la creación del impuesto temporal de solidaridad de las grandes fortunas, a lo que sí se ha afectado “directamente” no solo es a la “autonomía política” de las comunidades autónomas, esto es, a su capacidad para utilizar el impuesto sobre el patrimonio como un instrumento a través del cual vehicular sus propias políticas (fiscales y económicas), sino también a su “autonomía financiera”, pues de perseverar las comunidades autónomas en el mantenimiento de la bonificación (total o parcial) en el impuesto sobre el patrimonio, la recaudación del impuesto temporal de solidaridad de las grandes fortunas quedará retenida en poder del Estado, sustrayéndoles así de forma absolutamente torticera un recurso propio del sistema de financiación. El Estado no ha “modificado” el impuesto sobre el patrimonio para poner los fondos a disposición de las comunidades autónomas; lo que ha hecho ha sido “reactivarlo” de forma gemelar para sustraerles unilateralmente un instrumento de financiación. Se ha producido así una reversión de situaciones de un modo claramente inconstitucional en contra de lo previsto en:</w:t>
      </w:r>
    </w:p>
    <w:p w14:paraId="7918315E" w14:textId="77777777" w:rsidR="008D479B" w:rsidRDefault="008D479B" w:rsidP="008D479B">
      <w:pPr>
        <w:pStyle w:val="TextoNormal"/>
      </w:pPr>
    </w:p>
    <w:p w14:paraId="2CFF18E1" w14:textId="77777777" w:rsidR="008D479B" w:rsidRDefault="008D479B" w:rsidP="008D479B">
      <w:pPr>
        <w:pStyle w:val="TextoNormal"/>
      </w:pPr>
      <w:r>
        <w:t>(i) La Constitución: arts. 1.1 (“pluralismo político”), 9.1 (sometimiento de los poderes públicos “a la Constitución y al resto del ordenamiento jurídico”), 9.3 (“interdicción de la arbitrariedad de los poderes públicos”), 137 (“autonomía para la gestión de sus respectivos intereses”), 156.1 (“autonomía financiera para el desarrollo y ejecución de sus competencias”), 157.1 a) (“Los recursos de las comunidades autónomas estarán constituidos por: a) Impuestos cedidos total o parcialmente por el Estado”) y 157.3 (“Mediante ley orgánica podrá regularse el ejercicio de las competencias financieras […] y las posibles formas de colaboración financiera entre las comunidades autónomas y el Estado”).</w:t>
      </w:r>
    </w:p>
    <w:p w14:paraId="72202C44" w14:textId="77777777" w:rsidR="008D479B" w:rsidRDefault="008D479B" w:rsidP="008D479B">
      <w:pPr>
        <w:pStyle w:val="TextoNormal"/>
      </w:pPr>
    </w:p>
    <w:p w14:paraId="423B8B92" w14:textId="77777777" w:rsidR="008D479B" w:rsidRDefault="008D479B" w:rsidP="008D479B">
      <w:pPr>
        <w:pStyle w:val="TextoNormal"/>
      </w:pPr>
      <w:r>
        <w:t>(ii) La Ley Orgánica 8/1980, de 22 de septiembre, de financiación de las comunidades autónomas: arts. 1.1 (“Las comunidades autónomas gozarán de autonomía financiera para el desarrollo y ejecución de las competencias que, de acuerdo con la Constitución, les atribuyan las leyes y sus respectivos estatutos”), 1.2 (“La financiación de las comunidades autónomas se regirá por la presente ley orgánica y por el estatuto de cada una de dichas comunidades”), 2.1 d) y g) (“La actividad financiera de las comunidades autónomas se ejercerá en coordinación con la hacienda del Estado”, con arreglo al principio de “corresponsabilidad de las comunidades autónomas y el Estado en consonancia con sus competencias en materia de ingresos y gastos públicos” y de “lealtad institucional”), 3.2 (“El Consejo de Política Fiscal y Financiera de las comunidades autónomas, como órgano de coordinación del Estado y las comunidades autónomas en materia fiscal y financiera”), 4.1 c) (“los recursos de las Comunidades Autónomas estarán constituidos por: […] Los tributos cedidos, total o parcialmente, por el Estado”), 10.1 (“Son tributos cedidos los establecidos y regulados por el Estado, cuyo producto corresponda a la comunidad autónoma”), 10.2 (“Se entenderá efectuada la cesión cuando haya tenido lugar en virtud de precepto expreso del estatuto correspondiente, sin perjuicio de que el alcance y condiciones de la misma se establezcan en una ley específica”), 10.3 (“la cesión podrá comprender competencias normativas en los términos que determine la ley que regule la cesión de tributos”) y 11 b) (“Solo pueden ser cedidos a las comunidades autónomas, en las condiciones que establece la presente ley, los siguientes tributos: […] Impuesto sobre el patrimonio”).</w:t>
      </w:r>
    </w:p>
    <w:p w14:paraId="4AF7F0B4" w14:textId="77777777" w:rsidR="008D479B" w:rsidRDefault="008D479B" w:rsidP="008D479B">
      <w:pPr>
        <w:pStyle w:val="TextoNormal"/>
      </w:pPr>
    </w:p>
    <w:p w14:paraId="07508D0B" w14:textId="77777777" w:rsidR="008D479B" w:rsidRDefault="008D479B" w:rsidP="008D479B">
      <w:pPr>
        <w:pStyle w:val="TextoNormal"/>
      </w:pPr>
      <w:r>
        <w:t>(iii) La Ley Orgánica 3/1983, de 25 de febrero, de estatuto de autonomía de la Comunidad de Madrid: arts. 51 (“La Comunidad de Madrid, dentro de los principios de coordinación con las haciendas estatal y local, goza de autonomía financiera”), 53.5 (“La Hacienda de la Comunidad de Madrid se constituye con: […] Los rendimientos de los impuestos cedidos por el Estado”), 56.2 (“En el caso de los impuestos cuyos rendimientos hubiesen sido cedidos, el Consejo de Gobierno asumirá, por delegación del Estado, la gestión, recaudación, liquidación, inspección y revisión, en su caso, de los mismos, […], todo ello de acuerdo con lo especificado en la ley que fije el alcance y condiciones de la cesión”), disposición adicional primera, apartado 1 b) (“Se cede a la Comunidad de Madrid el rendimiento de los siguientes tributos: […] Impuesto sobre el patrimonio”) y 3 (“El alcance y condiciones de la cesión se establecerán por la comisión mixta”), y disposición transitoria segunda, apartado 3 (“Los acuerdos de la Comisión Mixta adoptarán la forma de propuesta al Gobierno de la Nación”).</w:t>
      </w:r>
    </w:p>
    <w:p w14:paraId="798701C4" w14:textId="77777777" w:rsidR="008D479B" w:rsidRDefault="008D479B" w:rsidP="008D479B">
      <w:pPr>
        <w:pStyle w:val="TextoNormal"/>
      </w:pPr>
    </w:p>
    <w:p w14:paraId="6D7B75C2" w14:textId="77777777" w:rsidR="008D479B" w:rsidRDefault="008D479B" w:rsidP="008D479B">
      <w:pPr>
        <w:pStyle w:val="TextoNormal"/>
      </w:pPr>
      <w:r>
        <w:t>(iv) La Ley 22/2009, de 18 de diciembre, por la que se regula el sistema de financiación de las comunidades autónomas de régimen común y ciudades con estatuto de autonomía y se modifican determinadas normas tributarias: arts. 3 d) y 5.2 e) [las necesidades de financiación están integradas por la “compensación estatal por la supresión del gravamen del impuesto sobre el patrimonio” (actualmente, por la “apropiación” de su recaudación)], 25.1 b) (“Con el alcance y condiciones establecidos en este título, se cede a las comunidades autónomas, según los casos, el rendimiento total o parcial en su territorio de los siguientes tributos: […] impuesto sobre el patrimonio”), 26.1 A) [“Se entiende por rendimiento cedido de los tributos que se señalan en el artículo anterior: El importe de la recaudación líquida derivada de las deudas tributarias correspondientes a los distintos hechos imponibles cedidos, en el caso de: a) El impuesto sobre el patrimonio”], 31.1 (“Se cede a la comunidad autónoma el rendimiento del impuesto sobre el patrimonio producido en su territorio”), 47.1 (“En el impuesto sobre el patrimonio, las comunidades autónomas podrán asumir competencias normativas sobre: a) Mínimo exento. b) Tipo de gravamen. c) Deducciones y bonificaciones de la cuota”), 54.1 a) (“La comunidad autónoma se hará cargo, por delegación del Estado y en los términos previstos en esta sección, de la aplicación de los tributos, así como de la revisión de los actos dictados en ejercicio de la misma en los siguientes tributos: impuesto sobre el patrimonio”) y disposición transitoria sexta [“Las comunidades autónomas recibirán en concepto de compensación estatal por la supresión del gravamen del impuesto sobre el patrimonio correspondiente a cada uno de los años 2009, 2010 y 2011, el importe transferido por la Agencia Estatal de la Administración Tributaria en el año 2008 a cada comunidad autónoma, por el impuesto sobre el patrimonio” (lo mismo debió hacerse para el ejercicio 2023 y siguientes)].</w:t>
      </w:r>
    </w:p>
    <w:p w14:paraId="1EAD690F" w14:textId="77777777" w:rsidR="008D479B" w:rsidRDefault="008D479B" w:rsidP="008D479B">
      <w:pPr>
        <w:pStyle w:val="TextoNormal"/>
      </w:pPr>
    </w:p>
    <w:p w14:paraId="6A9A4B6B" w14:textId="77777777" w:rsidR="008D479B" w:rsidRDefault="008D479B" w:rsidP="008D479B">
      <w:pPr>
        <w:pStyle w:val="TextoNormal"/>
      </w:pPr>
      <w:r>
        <w:t>(v) La Ley 29/2010, de 16 de julio, del régimen de cesión de tributos del Estado a la Comunidad de Madrid y de fijación del alcance y condiciones de dicha cesión: arts. 1 (por el que se modifica el apartado 1 de la disposición adicional primera de la Ley Orgánica 3/1983, de 25 de febrero, de Estatuto de Autonomía de la Comunidad de Madrid, para ceder a la Comunidad de Madrid el rendimiento del impuesto sobre el patrimonio), 2.1 (“El alcance y condiciones de la cesión de tributos a la Comunidad de Madrid son los establecidos en la Ley 22/2009, de 18 de diciembre, por la que se regula el sistema de financiación de las comunidades autónomas de régimen común y ciudades con estatuto de autonomía y se modifican determinadas normas tributarias”) y 2.2 (“De acuerdo con lo dispuesto en el artículo 150.1 de la Constitución y conforme a lo previsto en el artículo 19.2 de la Ley Orgánica 8/1980, de 22 de septiembre, de financiación de las comunidades autónomas, se atribuye a la Comunidad de Madrid la facultad de dictar para sí misma normas legislativas, en los casos y condiciones previstos en la Ley 22/2009, de 18 de diciembre, por la que se regula el sistema de financiación de las comunidades autónomas de régimen común y ciudades con estatuto de autonomía y se modifican determinadas normas tributarias”).</w:t>
      </w:r>
    </w:p>
    <w:p w14:paraId="53499B8F" w14:textId="77777777" w:rsidR="008D479B" w:rsidRDefault="008D479B" w:rsidP="008D479B">
      <w:pPr>
        <w:pStyle w:val="TextoNormal"/>
      </w:pPr>
    </w:p>
    <w:p w14:paraId="6C0C044D" w14:textId="77777777" w:rsidR="008D479B" w:rsidRDefault="008D479B" w:rsidP="008D479B">
      <w:pPr>
        <w:pStyle w:val="TextoNormal"/>
      </w:pPr>
      <w:r>
        <w:t>La sentencia de la mayoría, sin embargo, concluye apodícticamente que “el impuesto temporal de solidaridad de las grandes fortunas deja intactas las competencias normativas autonómicas reconocidas en el régimen de cesión del impuesto sobre el patrimonio”, sin que haya provocado “merma alguna en los ingresos autonómicos” [FJ 3 C) a)]. Y aunque, como ya hemos anticipado, sí se les priva de un recurso de financiación propio (cedido por el Estado), desconoce abiertamente que también se puede afectar a su “autonomía financiera” sin necesidad de sustraerles materialmente sus recursos financieros. Basta con que se les prive de la posibilidad de usar un tributo como un instrumento al servicio de la consecución de sus propias políticas sectoriales, distintas de la meramente recaudatoria, para que se haya afectado frontalmente a esa autonomía (política). Es suficiente con que se les sustraiga uno de los recursos integrantes del sistema de financiación autonómica, apropiándose el Estado de su recaudación, para que se haya interferido de modo inconstitucional en su autonomía (financiera). Y si lo anterior no fuera suficiente, lo más grave es que la sentencia de la mayoría haya permitido que las comunidades autónomas se conviertan en meros órganos ejecutores de las políticas estatales, sin posibilidad de articular ni defender sus respectivos intereses, marginándolas al papel de simples amanuenses de la normativa estatal.</w:t>
      </w:r>
    </w:p>
    <w:p w14:paraId="43DD8422" w14:textId="77777777" w:rsidR="008D479B" w:rsidRDefault="008D479B" w:rsidP="008D479B">
      <w:pPr>
        <w:pStyle w:val="TextoNormal"/>
      </w:pPr>
    </w:p>
    <w:p w14:paraId="10C5BD48" w14:textId="77777777" w:rsidR="008D479B" w:rsidRDefault="008D479B" w:rsidP="008D479B">
      <w:pPr>
        <w:pStyle w:val="TextoNormal"/>
      </w:pPr>
      <w:r>
        <w:t>3</w:t>
      </w:r>
      <w:r w:rsidRPr="008D479B">
        <w:rPr>
          <w:i/>
        </w:rPr>
        <w:t>. La crisis del parlamentarismo democrático: dos formas de hurtar el debate político y de acallar a las minorí</w:t>
      </w:r>
      <w:r>
        <w:t>as</w:t>
      </w:r>
    </w:p>
    <w:p w14:paraId="18A17690" w14:textId="77777777" w:rsidR="008D479B" w:rsidRDefault="008D479B" w:rsidP="008D479B">
      <w:pPr>
        <w:pStyle w:val="TextoNormal"/>
      </w:pPr>
    </w:p>
    <w:p w14:paraId="23D2B3A0" w14:textId="77777777" w:rsidR="008D479B" w:rsidRDefault="008D479B" w:rsidP="008D479B">
      <w:pPr>
        <w:pStyle w:val="TextoNormal"/>
      </w:pPr>
      <w:r>
        <w:t>3.1</w:t>
      </w:r>
      <w:r w:rsidRPr="008D479B">
        <w:rPr>
          <w:i/>
        </w:rPr>
        <w:t>. El derecho de participación política: el silenciamiento de las minorí</w:t>
      </w:r>
      <w:r>
        <w:t>as</w:t>
      </w:r>
    </w:p>
    <w:p w14:paraId="24D14896" w14:textId="77777777" w:rsidR="008D479B" w:rsidRDefault="008D479B" w:rsidP="008D479B">
      <w:pPr>
        <w:pStyle w:val="TextoNormal"/>
      </w:pPr>
    </w:p>
    <w:p w14:paraId="515BA440" w14:textId="77777777" w:rsidR="008D479B" w:rsidRDefault="008D479B" w:rsidP="008D479B">
      <w:pPr>
        <w:pStyle w:val="TextoNormal"/>
      </w:pPr>
      <w:r>
        <w:t>Dado que la decisión de la mayoría ha pasado de puntillas por la doctrina de este Tribunal Constitucional relativa a los límites constitucionales del “juego de la democracia” y, en particular, al ejercicio del derecho de enmienda [FJ 2 B)], se hace necesario recordar que la Constitución ha diseñado “un sistema de participación política de los ciudadanos en el que priman los mecanismos de democracia representativa sobre los de participación directa” (STC 136/2011, de 13 de septiembre, FJ 6), siendo las Cortes Generales “el órgano que sirve de instrumento para el ejercicio por los ciudadanos de la soberanía participando en los asuntos públicos por medio de representantes” [STC 78/2006, de 13 de marzo, FJ 3 a)]. Por su parte, “el procedimiento ordinario de elaboración de las leyes que sirve de instrumento al ejercicio de esa potestad no es de objeto indeterminado, pues el texto constitucional atribuye la iniciativa o la propuesta de iniciativa y, por tanto, confiere el derecho a su ejercicio, a una serie de legitimados [al Gobierno, al Congreso y al Senado (art. 87.1 CE), a las Asambleas de las comunidades autónomas (art. 87.2 CE) y a la iniciativa popular (art. 87.3 CE)], únicos habilitados para promover la tramitación y aprobación de disposiciones legislativas a través de las cuales articular la voluntad del pueblo. Los proyectos de ley del Gobierno (art. 88 CE) y las proposiciones de ley de los restantes legitimados (art. 89.1 CE), como forma de articular la iniciativa legislativa son, pues, el “instrumento para poner en movimiento el procedimiento legislativo, […] forzar el debate político y obligar a que los distintos grupos políticos tengan que tomar expreso partido sobre la oportunidad de regular mediante ley una determina materia” (STC 124/1995, de 18 de julio, FJ 3).</w:t>
      </w:r>
    </w:p>
    <w:p w14:paraId="2FAE2ADE" w14:textId="77777777" w:rsidR="008D479B" w:rsidRDefault="008D479B" w:rsidP="008D479B">
      <w:pPr>
        <w:pStyle w:val="TextoNormal"/>
      </w:pPr>
    </w:p>
    <w:p w14:paraId="710DB979" w14:textId="77777777" w:rsidR="008D479B" w:rsidRDefault="008D479B" w:rsidP="008D479B">
      <w:pPr>
        <w:pStyle w:val="TextoNormal"/>
      </w:pPr>
      <w:r>
        <w:t xml:space="preserve">La Constitución atribuye a unos pocos legitimados el derecho “a suscitar el debate parlamentario sobre una materia determinada mediante el recurso a la iniciativa legislativa” [STC 38/1999, de 22 de marzo, FJ 3 B)]. Tanto esta como el procedimiento parlamentario “son instrumentos al servicio de la participación política y, por tanto, cauce para el ejercicio de la soberanía popular del conjunto de los ciudadanos en el Estado democrático participando en los asuntos públicos a través de sus representantes”, debiendo contraerse “a la materia y objeto de la iniciativa legislativa presentada por quién está legitimado para ello, de modo que la alteración sustancial de ese objeto desbordaría la función constitucional que la Constitución atribuye a las Cortes Generales” (STC 136/2011, de 13 de septiembre, FJ 6). Dentro del procedimiento parlamentario, el derecho de enmienda es inherente a la potestad legislativa de las Cámaras, teniendo un carácter instrumental respecto de uno de los valores superiores de nuestro ordenamiento, el del pluralismo político (art. 1.1 CE). Por esta razón, entronca en el procedimiento legislativo “directamente con el derecho de participación política reconocido en el art. 23.2 CE, formando parte integrante del contenido del </w:t>
      </w:r>
      <w:r w:rsidRPr="008D479B">
        <w:rPr>
          <w:i/>
        </w:rPr>
        <w:t>ius in officium</w:t>
      </w:r>
      <w:r>
        <w:t xml:space="preserve"> de los parlamentarios que el citado derecho fundamental por sí mismo garantiza”, configurándose “como uno de los instrumentos esenciales de la participación e intervención de los diputados y de los grupos parlamentarios en la potestad legislativa de las Cámaras, de cuyo ejercicio es fruto la ley, máxima expresión de la voluntad popular a la que aquellas están llamadas a representar, a la vez que constituye un cauce al servicio de la función representativa propia del Parlamento” (STC 139/2017, de 29 de noviembre, FJ 5). El derecho de enmienda cumple, así, “la relevante función de garantizar la participación e intervención de los diputados y de los grupos parlamentarios en el proceso de elaboración de la ley y, en último término, en la configuración del texto legislativo, contribuyendo de este modo a la formación de la voluntad de la Cámara” (STC 139/2017, de 29 de noviembre, FJ 5).</w:t>
      </w:r>
    </w:p>
    <w:p w14:paraId="7C1AE7A4" w14:textId="77777777" w:rsidR="008D479B" w:rsidRDefault="008D479B" w:rsidP="008D479B">
      <w:pPr>
        <w:pStyle w:val="TextoNormal"/>
      </w:pPr>
    </w:p>
    <w:p w14:paraId="12247CE3" w14:textId="77777777" w:rsidR="008D479B" w:rsidRDefault="008D479B" w:rsidP="008D479B">
      <w:pPr>
        <w:pStyle w:val="TextoNormal"/>
      </w:pPr>
      <w:r>
        <w:t>El procedimiento legislativo, pues, está regido por los principios de participación, contradicción, publicidad y libre deliberación. Aunque la decisión final que dé lugar a la ley quede en manos de la mayoría parlamentaria, en el procedimiento de formación de la voluntad de la Cámara deben quedar plenamente garantizados los derechos de las minorías a la presentación de enmiendas y a la integridad del debate parlamentario. En consecuencia, se altera de forma sustancial el proceso de formación de la voluntad de las cámaras “si se pone en tela de juicio la participación de las minorías en dicho procedimiento, lo que, a su vez, podría provocar un déficit democrático en el proceso de elaboración de la norma que eventualmente pudiera contradecir el valor del pluralismo político sobre el que se fundamenta el ordenamiento constitucional del Estado democrático y que debe presidir necesariamente la tramitación de toda iniciativa legislativa (art. 1.1 CE)” (STC 136/2011, FJ 8; y 139/2017, FJ 5).</w:t>
      </w:r>
    </w:p>
    <w:p w14:paraId="1B34755B" w14:textId="77777777" w:rsidR="008D479B" w:rsidRDefault="008D479B" w:rsidP="008D479B">
      <w:pPr>
        <w:pStyle w:val="TextoNormal"/>
      </w:pPr>
    </w:p>
    <w:p w14:paraId="036ECF49" w14:textId="77777777" w:rsidR="008D479B" w:rsidRDefault="008D479B" w:rsidP="008D479B">
      <w:pPr>
        <w:pStyle w:val="TextoNormal"/>
      </w:pPr>
      <w:r>
        <w:t>3.2</w:t>
      </w:r>
      <w:r w:rsidRPr="008D479B">
        <w:rPr>
          <w:i/>
        </w:rPr>
        <w:t>. El derecho de enmienda: de la conexión de “congruencia” y “homogeneidad” a la de “afinid</w:t>
      </w:r>
      <w:r>
        <w:t>ad”</w:t>
      </w:r>
    </w:p>
    <w:p w14:paraId="63D228B5" w14:textId="77777777" w:rsidR="008D479B" w:rsidRDefault="008D479B" w:rsidP="008D479B">
      <w:pPr>
        <w:pStyle w:val="TextoNormal"/>
      </w:pPr>
    </w:p>
    <w:p w14:paraId="33C0BDF7" w14:textId="77777777" w:rsidR="008D479B" w:rsidRDefault="008D479B" w:rsidP="008D479B">
      <w:pPr>
        <w:pStyle w:val="TextoNormal"/>
      </w:pPr>
      <w:r>
        <w:t>La “materia” y el “objeto” del procedimiento lo delimita “el autor de la iniciativa legislativa, de modo tal que, cumplidos los requisitos reglamentariamente exigidos para su admisión a trámite […], el procedimiento debe contraerse al mismo y actuarse bajo su marco, sin perjuicio de que a través del ejercicio del derecho de enmienda los representantes de los ciudadanos puedan incidir en el texto de la iniciativa, rechazándolo (enmienda de totalidad con devolución del texto), alterándolo (enmienda de totalidad con proposición de texto alternativo) o modificándolo (enmiendas parciales de modificación, supresión o adición)” (STC 136/2011, de 13 de septiembre, FJ 6).</w:t>
      </w:r>
    </w:p>
    <w:p w14:paraId="550AD3C7" w14:textId="77777777" w:rsidR="008D479B" w:rsidRDefault="008D479B" w:rsidP="008D479B">
      <w:pPr>
        <w:pStyle w:val="TextoNormal"/>
      </w:pPr>
    </w:p>
    <w:p w14:paraId="19CFE774" w14:textId="77777777" w:rsidR="008D479B" w:rsidRDefault="008D479B" w:rsidP="008D479B">
      <w:pPr>
        <w:pStyle w:val="TextoNormal"/>
      </w:pPr>
      <w:r>
        <w:t>Uno de los requisitos de los que debe revestirse el ejercicio de la facultad de enmendar es el de que “versen sobre la materia a que se refiere el proyecto de ley que tratan de modificar”, de modo tal que haya una “correlación entre proyecto y enmienda” (SSTC 23/1990, de 15 de febrero, FJ 5; 119/2011, de 5 de julio, FJ 6; 136/2011, de 13 de septiembre, FJ 7, y 234/2012, de 13 de diciembre, FJ 4), en la medida que “la enmienda, conceptual y lingüísticamente, implica la modificación de algo preexistente, cuyo objeto y naturaleza ha sido determinado con anterioridad”, de modo que “no puede servir de mecanismo para dar vida a una realidad nueva, que debe nacer de una, también, nueva iniciativa” (STC 119/2011, de 5 de julio, FJ 6).</w:t>
      </w:r>
    </w:p>
    <w:p w14:paraId="08F7280E" w14:textId="77777777" w:rsidR="008D479B" w:rsidRDefault="008D479B" w:rsidP="008D479B">
      <w:pPr>
        <w:pStyle w:val="TextoNormal"/>
      </w:pPr>
    </w:p>
    <w:p w14:paraId="252AABA5" w14:textId="77777777" w:rsidR="008D479B" w:rsidRDefault="008D479B" w:rsidP="008D479B">
      <w:pPr>
        <w:pStyle w:val="TextoNormal"/>
      </w:pPr>
      <w:r>
        <w:t>La correlación material entre la enmienda y el texto enmendado “es inherente al carácter subsidiario o incidental, por su propia naturaleza, de toda enmienda respecto al texto enmendado”, no bastando con “una genérica correlación material entre la enmienda y el texto enmendado”, al ser necesario “que se inscriban en el mismo sector material” y “que verse sobre el mismo objeto que el del texto enmendado”, debiendo existir “una relación de homogeneidad” mínima y material entre las enmiendas y el texto enmendado (conexión de homogeneidad) y que aquellas sean congruentes con este (conexión de congruencia) [ATC 118/1999, de 10 de mayo, FJ 4; y SSTC 136/2011, de 13 de septiembre, FJ 7; 209/2012, de 14 de noviembre, FJ 4 b); 234/2012, de 13 de diciembre, FJ 4; 132/2013, de 5 de junio, FJ 3, y 59/2015, de 18 de marzo, FJ 5.a); y, también, art. 107.2 del Reglamento del Parlamento de Cataluña]. Por tanto, “una vez que una iniciativa legislativa es aceptada por la Cámara o Asamblea Legislativa como objeto de deliberación, no cabe alterar su objeto mediante las enmiendas al articulado, toda vez que esa función la cumple, precisamente, el ya superado trámite de enmiendas a la totalidad, que no puede ser reabierto” (STC 119/2011, de 5 de julio, FJ 6), en la medida que los principios y el espíritu de la propuesta del autor de la iniciativa “únicamente pueden cuestionarse a través de las enmiendas a la totalidad, si de un proyecto de ley se tratara, o en el debate de la toma en consideración, en el caso de las proposiciones de ley” (STC 136/2011, de 13 de septiembre, FJ 8).</w:t>
      </w:r>
    </w:p>
    <w:p w14:paraId="49FEB267" w14:textId="77777777" w:rsidR="008D479B" w:rsidRDefault="008D479B" w:rsidP="008D479B">
      <w:pPr>
        <w:pStyle w:val="TextoNormal"/>
      </w:pPr>
    </w:p>
    <w:p w14:paraId="7F17625F" w14:textId="77777777" w:rsidR="008D479B" w:rsidRDefault="008D479B" w:rsidP="008D479B">
      <w:pPr>
        <w:pStyle w:val="TextoNormal"/>
      </w:pPr>
      <w:r>
        <w:t xml:space="preserve">En suma, toda enmienda debe tener un carácter subsidiario o incidental respecto del texto a enmendar, no siendo posible que se aproveche un procedimiento legislativo activado para introducir </w:t>
      </w:r>
      <w:r w:rsidRPr="008D479B">
        <w:rPr>
          <w:i/>
        </w:rPr>
        <w:t>ex novo</w:t>
      </w:r>
      <w:r>
        <w:t xml:space="preserve"> materias ajenas al mismo. Dicho de otra manera, nuestro sistema constitucional, como sucede en otros ordenamientos cercanos (por ejemplo, el francés, en el que por Ley Constitucional de 23 de julio de 2008 se modificó el art. 45.1 de la Constitución de 1958 para poner fin al uso de los </w:t>
      </w:r>
      <w:r w:rsidRPr="008D479B">
        <w:rPr>
          <w:i/>
        </w:rPr>
        <w:t>cavaliers législatifs</w:t>
      </w:r>
      <w:r>
        <w:t>, o lo que es lo mismo, a las enmiendas desprovistas de conexión material alguna con el objeto del texto debatido), exige que la enmienda se contraiga, en una relación de subordinación, no solo a la “materia” o sector material al que pertenece la iniciativa (conexión de homogeneidad), sino también al “objeto” del texto enmendado (conexión de congruencia) (ATC 118/1999, de 10 de mayo, FJ 4, y SSTC 132/2013, de 5 de junio, FJ 3, y 120/2014, de 17 de julio, FJ 6).</w:t>
      </w:r>
    </w:p>
    <w:p w14:paraId="2A3D95B5" w14:textId="77777777" w:rsidR="008D479B" w:rsidRDefault="008D479B" w:rsidP="008D479B">
      <w:pPr>
        <w:pStyle w:val="TextoNormal"/>
      </w:pPr>
    </w:p>
    <w:p w14:paraId="1A9FC354" w14:textId="77777777" w:rsidR="008D479B" w:rsidRDefault="008D479B" w:rsidP="008D479B">
      <w:pPr>
        <w:pStyle w:val="TextoNormal"/>
      </w:pPr>
      <w:r>
        <w:t>3.3</w:t>
      </w:r>
      <w:r w:rsidRPr="008D479B">
        <w:rPr>
          <w:i/>
        </w:rPr>
        <w:t>. La “enmienda núm. 99”: una forma de socavar el principio de legalidad financie</w:t>
      </w:r>
      <w:r>
        <w:t>ra</w:t>
      </w:r>
    </w:p>
    <w:p w14:paraId="0BFB7DCF" w14:textId="77777777" w:rsidR="008D479B" w:rsidRDefault="008D479B" w:rsidP="008D479B">
      <w:pPr>
        <w:pStyle w:val="TextoNormal"/>
      </w:pPr>
    </w:p>
    <w:p w14:paraId="192B0591" w14:textId="77777777" w:rsidR="008D479B" w:rsidRDefault="008D479B" w:rsidP="008D479B">
      <w:pPr>
        <w:pStyle w:val="TextoNormal"/>
      </w:pPr>
      <w:r>
        <w:t>Fue a través de una enmienda, la núm. 99, en el Congreso de los Diputados, de adición de un nuevo art. 3 al texto de la iniciativa que se venía tramitando en materia “energética” y de “entidades de crédito”, la forma en la que los grupos parlamentarios promotores de la misma (en materia “no tributaria”), que son los que apoyan al Gobierno, incorporaron a su texto una nueva, entera y diferente iniciativa legislativa (en materia “tributaria”) (“BOCG”, Congreso de los Diputados, núm. 171-6, 23 de noviembre de 2022, pág. 9), sin conexión alguna ni con la “materia” ni con el “objeto” del texto en tramitación.</w:t>
      </w:r>
    </w:p>
    <w:p w14:paraId="569C6798" w14:textId="77777777" w:rsidR="008D479B" w:rsidRDefault="008D479B" w:rsidP="008D479B">
      <w:pPr>
        <w:pStyle w:val="TextoNormal"/>
      </w:pPr>
    </w:p>
    <w:p w14:paraId="2FD0A8CE" w14:textId="77777777" w:rsidR="008D479B" w:rsidRDefault="008D479B" w:rsidP="008D479B">
      <w:pPr>
        <w:pStyle w:val="TextoNormal"/>
      </w:pPr>
      <w:r>
        <w:t>Con el ardid consistente en evitar la tramitación de una “nueva” iniciativa legislativa mediante la presentación de un “proyecto” de ley por el Gobierno (art. 88 CE), no solo se ha eludido la obligación de obtener los informes de los órganos consultivos correspondientes, pues, como reconoce expresamente la ponencia “la presentación de enmiendas no está sujeta a ninguna exigencia documental ni informe preceptivo” [FJ 2 C) a)], sino que se ha impedido a los legítimos representantes de las minorías el ejercicio de su derecho fundamental a enmendar el texto de la iniciativa incorporada a la enmienda propuesta (art. 110.1 del Reglamento del Congreso). Y ello porque el derecho de enmienda “no es solo un mecanismo de participación e intervención en la potestad legislativa de la Cámara, sino que constituye además un cauce al servicio de la función representativa característica de todo Parlamento. En efecto, aquel derecho opera como un instrumento eficaz en manos de los parlamentarios y de los grupos para manifestar sus posiciones sobre una determinada iniciativa legislativa y las razones o criterios, políticos o de otra índole, por los que han decidido apoyarla o rechazarla, así como para ofrecer alternativas a la misma, forzando a los demás parlamentarios y al resto de grupos de la Cámara a pronunciarse también sobre las propuestas que formulen a través de sus enmiendas. La presentación, el debate y la votación de las enmiendas cumplen igualmente la muy importante función de permitir a los ciudadanos conocer la postura de sus representantes respecto de una determinada iniciativa legislativa, así como las alternativas o modificaciones que puedan proponer en relación con la misma, y extraer sus propias conclusiones acerca de cómo aquellos asumen o se separan de sus respectivos programas electorales” (STC 139/2017, de 29 de noviembre, FJ 5).</w:t>
      </w:r>
    </w:p>
    <w:p w14:paraId="6576C70E" w14:textId="77777777" w:rsidR="008D479B" w:rsidRDefault="008D479B" w:rsidP="008D479B">
      <w:pPr>
        <w:pStyle w:val="TextoNormal"/>
      </w:pPr>
    </w:p>
    <w:p w14:paraId="3F7BFAC6" w14:textId="77777777" w:rsidR="008D479B" w:rsidRDefault="008D479B" w:rsidP="008D479B">
      <w:pPr>
        <w:pStyle w:val="TextoNormal"/>
      </w:pPr>
      <w:r>
        <w:t>La situación se agrava hasta sus últimas consecuencias cuando de la materia tributaria se trata. La Constitución no solamente ha garantizado como uno de los valores fundamentales el “pluralismo político” (art. 1.1 CE), y como uno de sus principios fundamentales el de “legalidad” (art. 9.3 CE), sino que ha sometido la materia tributaria a la garantía de “autodisposición” (STC 19/1987, de 17 de febrero, FJ 4) o de “autoimposición” de la comunidad sobre sí misma (SSTC 185/1995, de 14 de diciembre, FJ 3, y 233/1999, de 16 de diciembre, FJ 7). Fruto de esta “garantía” “surgió el derecho de los ciudadanos, no solo a consentir los tributos, sino también a conocer su justificación y el destino a que se afectaban […], como una garantía de la libertad patrimonial y personal del ciudadano” (STC 3/2003, de 16 de enero, FJ 4). Esto la tramitación parlamentaria plena de las iniciativas legislativas hasta el punto de haberse vedado a las leyes de presupuestos generales del Estado su regulación [“La ley de presupuestos no puede crear tributos” (art. 134.7 CE)], sencillamente, por “las restricciones impuestas a su tramitación parlamentaria (fundamentalmente en los trámites de enmienda y debate) por los reglamentos de las Cámaras” [STC 44/2015, de 5 de marzo, FJ 5 e)].</w:t>
      </w:r>
    </w:p>
    <w:p w14:paraId="2BDFD94C" w14:textId="77777777" w:rsidR="008D479B" w:rsidRDefault="008D479B" w:rsidP="008D479B">
      <w:pPr>
        <w:pStyle w:val="TextoNormal"/>
      </w:pPr>
    </w:p>
    <w:p w14:paraId="7C61F04A" w14:textId="77777777" w:rsidR="008D479B" w:rsidRDefault="008D479B" w:rsidP="008D479B">
      <w:pPr>
        <w:pStyle w:val="TextoNormal"/>
      </w:pPr>
      <w:r>
        <w:t>La voluntad del pueblo español, titular exclusivo de la soberanía nacional, expresada en la Constitución y fundamento del poder político, impone que las iniciativas legislativas que afectan a la materia tributaria se sustancien abierta y directamente por las vías que aquella ha previsto, no siendo aceptables ni los cauces alternativos (tramitar como proposición de ley lo que debió ser un proyecto de ley, pues la “iniciativa” emanó del Gobierno), ni mucho menos los atajos (manipulando el trámite de enmiendas para incorporar toda una nueva iniciativa legislativa durante la tramitación de otra diferente). La forma de introducir esa iniciativa “novedosa” en materia tributaria ha socavado la esencia y fines del parlamentarismo democrático y ha degradado, hasta dejarlo huero, el principio de legalidad financiera (en este caso, en su modalidad de legalidad tributaria), tan duramente conquistado por los ciudadanos a lo largo de los tiempos. Si a la ley de presupuestos le está vedada la creación de tributos, precisamente por las limitaciones que su acelerada tramitación parlamentaria provoca en los trámites de enmienda y debate, ¿con qué fundamento constitucional puede admitirse la aprobación de un nuevo tributo mediante su incorporación al texto de una iniciativa legislativa en trámite (en una materia y con un objeto distinto), con la mayor restricción que ello genera en los trámites de enmienda y debate?</w:t>
      </w:r>
    </w:p>
    <w:p w14:paraId="0DB76416" w14:textId="77777777" w:rsidR="008D479B" w:rsidRDefault="008D479B" w:rsidP="008D479B">
      <w:pPr>
        <w:pStyle w:val="TextoNormal"/>
      </w:pPr>
    </w:p>
    <w:p w14:paraId="17578039" w14:textId="77777777" w:rsidR="008D479B" w:rsidRDefault="008D479B" w:rsidP="008D479B">
      <w:pPr>
        <w:pStyle w:val="TextoNormal"/>
      </w:pPr>
      <w:r>
        <w:t>3.4</w:t>
      </w:r>
      <w:r w:rsidRPr="008D479B">
        <w:rPr>
          <w:i/>
        </w:rPr>
        <w:t>. La decisión controvertida: de la “identidad” de “objetos” a la “afinidad” de “materi</w:t>
      </w:r>
      <w:r>
        <w:t>as”</w:t>
      </w:r>
    </w:p>
    <w:p w14:paraId="08242C60" w14:textId="77777777" w:rsidR="008D479B" w:rsidRDefault="008D479B" w:rsidP="008D479B">
      <w:pPr>
        <w:pStyle w:val="TextoNormal"/>
      </w:pPr>
    </w:p>
    <w:p w14:paraId="7E4A7428" w14:textId="77777777" w:rsidR="008D479B" w:rsidRDefault="008D479B" w:rsidP="008D479B">
      <w:pPr>
        <w:pStyle w:val="TextoNormal"/>
      </w:pPr>
      <w:r>
        <w:t xml:space="preserve">La sentencia de la que discrepamos arranca recordando que “toda enmienda parcial tiene que tener un carácter subsidiario o incidental respecto del texto a enmendar, de modo que, una vez que una iniciativa ha sido aceptada por la Cámara como texto de deliberación, no cabe alterar su objeto mediante las enmiendas al articulado” pues con ello se evita que se aproveche “el procedimiento legislativo activado para la introducción </w:t>
      </w:r>
      <w:r w:rsidRPr="008D479B">
        <w:rPr>
          <w:i/>
        </w:rPr>
        <w:t>ex novo</w:t>
      </w:r>
      <w:r>
        <w:t xml:space="preserve"> de materias ajenas al mismo”, no siendo posible la existencia de “enmiendas al articulado ajenas a la materia de la iniciativa, esto es, que no guarden una conexión de homogeneidad mínima con la misma” [FJ 2 B) b)]. Y añade a renglón seguido que “la conexión reclamada no tiene que ser de identidad con las medidas previstas en el texto de la iniciativa sino de afinidad con las materias recogidas en el mismo” (mismo fundamento y apartado).</w:t>
      </w:r>
    </w:p>
    <w:p w14:paraId="70018ADA" w14:textId="77777777" w:rsidR="008D479B" w:rsidRDefault="008D479B" w:rsidP="008D479B">
      <w:pPr>
        <w:pStyle w:val="TextoNormal"/>
      </w:pPr>
    </w:p>
    <w:p w14:paraId="434E48C3" w14:textId="77777777" w:rsidR="008D479B" w:rsidRDefault="008D479B" w:rsidP="008D479B">
      <w:pPr>
        <w:pStyle w:val="TextoNormal"/>
      </w:pPr>
      <w:r>
        <w:t>Tras precisar lo que antecede, en el análisis de la “conexión mínima de homogeneidad” recuerda la sentencia de la mayoría que la proposición de ley se enmarcaba en el llamado “pacto de rentas” y en el principio de “reparto del esfuerzo” para afrontar las consecuencias de la crisis energética y de precios, para lo cual creaba dos nuevas prestaciones patrimoniales de carácter público “no tributarias” cuyo objetivo era aumentar la contribución a las arcas públicas de determinadas empresas del sector energético y financiero. Y de esta afirmación, sin más, concluye que “la incorporación a dicho texto de una enmienda para establecer el impuesto temporal de solidaridad de las grandes fortunas, con una finalidad recaudatoria (junto a la de armonización de la imposición patrimonial) sí presenta homogeneidad suficiente con el resto de las medidas de la proposición de ley, dado que también se encamina a incrementar los ingresos públicos en un contexto de crisis energética y de precios”. Dicho de otra manera, como los dos gravámenes “no tributarios” objeto de la proposición de ley tenían como finalidad la “recaudatoria”, puesto que el nuevo gravamen “tributario” —se dice— contaba con la misma finalidad, ello bastaba para apreciar la “conexión de homogeneidad” constitucionalmente exigida. Se produce así un salto de la dualidad (no tributaria) a la trinidad (tributaria), por obra del espíritu de la ley, mezclando “materias” y “objetos” (de las iniciativas) con “fines” (del Gobierno).</w:t>
      </w:r>
    </w:p>
    <w:p w14:paraId="14AE4BE5" w14:textId="77777777" w:rsidR="008D479B" w:rsidRDefault="008D479B" w:rsidP="008D479B">
      <w:pPr>
        <w:pStyle w:val="TextoNormal"/>
      </w:pPr>
    </w:p>
    <w:p w14:paraId="2B824564" w14:textId="77777777" w:rsidR="008D479B" w:rsidRDefault="008D479B" w:rsidP="008D479B">
      <w:pPr>
        <w:pStyle w:val="TextoNormal"/>
      </w:pPr>
      <w:r>
        <w:t>No deja de sorprender que la decisión de la mayoría afirme que la finalidad de los gravámenes “no tributarios” era simplemente la “recaudatoria”, cuando la propia norma los califica (para justificar su pretendido carácter no tributario) “como instrumentos de intervención del Estado en la economía”, al considerar que “el sector energético y el sector de las entidades de crédito pueden contribuir a reforzar el pacto de rentas” por ser “en los que la subida de precios puede incrementar en mayor medida sus beneficios” (apartado I del preámbulo). Y tampoco deja de sorprender que le atribuya a la creación del impuesto temporal de solidaridad de las grandes fortunas una finalidad —principal— “recaudatoria” cuando su objetivo real era el de armonizar el impuesto sobre el patrimonio (por mucho, que como consecuencia de ello se produjese un efecto recaudatorio para el Estado, que no para las comunidades autónomas). En cualquier caso, si como hemos comprobado con anterioridad, para la necesaria conexión “material” entre proyecto y enmienda no basta con “una genérica correlación”, siendo necesario que la “enmienda” y el “texto enmendado” se inscriban “en el mismo sector material” y versen “sobre el mismo objeto”, ¿qué conexión existe entre los “sectores materiales” de entidades de crédito/energía (art. 149.1.11 y 25 CE) y de hacienda general (art. 149.1.14 CE)?, y ¿entre un gravamen no tributario y otro tributario?, y, en fin, ¿entre una finalidad principal que se dice intervencionista (extrafiscal), aunque tenga accesoriamente un efecto recaudatorio (fiscal), y otra que es meramente recaudatoria (fiscal), con un efecto armonizador adicional (extrafiscal)? O démosle la vuelta a esta última pregunta —si seguimos la tesis de la mayoría—: ¿qué relación existe entre una finalidad principal que se dice recaudatoria (fiscal), aunque tenga accesoriamente un efecto intervencionista (extrafiscal), y otra que es meramente armonizadora (extrafiscal), con un efecto recaudatorio adicional (fiscal)? Solo con que unas y otras medidas puedan tener un efecto recaudatorio (accesorio y principal o principal y accesorio) ¿es suficiente para apreciar la “conexión de homogeneidad”?</w:t>
      </w:r>
    </w:p>
    <w:p w14:paraId="664CF861" w14:textId="77777777" w:rsidR="008D479B" w:rsidRDefault="008D479B" w:rsidP="008D479B">
      <w:pPr>
        <w:pStyle w:val="TextoNormal"/>
      </w:pPr>
    </w:p>
    <w:p w14:paraId="3C8CFF66" w14:textId="77777777" w:rsidR="008D479B" w:rsidRDefault="008D479B" w:rsidP="008D479B">
      <w:pPr>
        <w:pStyle w:val="TextoNormal"/>
      </w:pPr>
      <w:r>
        <w:t>El planteamiento de las anteriores cuestiones —como puede advertirse a simple vista— es puramente retórico. La falta de argumentación de la sentencia de la que discrepamos en tan evidente que su respuesta está de por sí presente en sus elocuentes silencios. La latente falta de razones con las que abonar la decisión se suple con el recurso al uso de afirmaciones apodícticas que, como tales, deben ser asumidas sin más por los destinatarios de la interpretación constitucional, cuando el único hecho verdaderamente constatable es que la iniciativa legislativa incorporada a la “enmienda núm. 99” ha dado a luz a una realidad “nueva y diferente” que de ninguna manera se contrae, en una relación de subordinación, ni a la materia o sector material al que pertenecía la iniciativa, ni al objeto del texto enmendado.</w:t>
      </w:r>
    </w:p>
    <w:p w14:paraId="03796A3E" w14:textId="77777777" w:rsidR="008D479B" w:rsidRDefault="008D479B" w:rsidP="008D479B">
      <w:pPr>
        <w:pStyle w:val="TextoNormal"/>
      </w:pPr>
    </w:p>
    <w:p w14:paraId="409FA67E" w14:textId="77777777" w:rsidR="008D479B" w:rsidRDefault="008D479B" w:rsidP="008D479B">
      <w:pPr>
        <w:pStyle w:val="TextoNormal"/>
      </w:pPr>
      <w:r>
        <w:t>La decisión de la mayoría ha intentado salvar el déficit de motivación recurriendo al supuesto objeto de la STC 209/2012, de 14 de noviembre, en la que se analizó la inclusión mediante enmiendas de adición (las núm. 215, 222 y 225 del Grupo Parlamentario Popular en el Senado) de tres nuevos preceptos al “proyecto” (no a la “proposición”) de la que luego sería la Ley 24/2001, de 27 de diciembre, de medidas fiscales, administrativas y del orden social, mediante los cuales se creaban tres nuevos tributos [un impuesto sobre las ventas minoristas de determinados hidrocarburos (conocido popularmente como el “céntimo sanitario”) y dos tasas, una portuaria de seguridad al pasaje y otra de seguridad del transporte ferroviario de pasajeros]. En esa sentencia se concluyó que el texto de la iniciativa legislativa versaba sobre “medidas tributarias”, de manera que la adición de otras nuevas a las que eran objeto de la tramitación no solo no estaba “huérfana de la necesaria conexión material con el objeto de la iniciativa”, sino que era “congruente con su objeto, espíritu y fines esenciales” [FJ 4 b)]. Y así fue. El “proyecto” de la que luego sería la Ley 24/2001, dentro del título I (“Normas tributarias”) acogía, de un lado, un capítulo III dedicado a las “Tasas”, de manera que la incorporación de otras dos a través de las citadas enmiendas senatoriales, guardaban “una estrecha conexión con el objeto de la iniciativa”. Y, el mismo texto de la iniciativa legislativa, la sección segunda de su capítulo II se dirigía a la modificación de los “impuestos especiales” (entre los que se encontraba el de “hidrocarburos”), por lo que la introducción de una modalidad especial del impuesto sobre las ventas minoristas de determinados hidrocarburos también guardaba “la necesaria relación de homogeneidad con las medidas previstas” [FJ 4 b)]. No había ninguna duda, entonces, de la conexión de homogeneidad (materia: “tributos”) y la de congruencia (objeto: tasas e impuesto especial sobre hidrocarburos) entre el texto de la iniciativa y el de las enmiendas articuladas al mismo, lo que no sucede en el caso que ahora nos ocupa.</w:t>
      </w:r>
    </w:p>
    <w:p w14:paraId="1F51E959" w14:textId="77777777" w:rsidR="008D479B" w:rsidRDefault="008D479B" w:rsidP="008D479B">
      <w:pPr>
        <w:pStyle w:val="TextoNormal"/>
      </w:pPr>
    </w:p>
    <w:p w14:paraId="41D87706" w14:textId="77777777" w:rsidR="008D479B" w:rsidRDefault="008D479B" w:rsidP="008D479B">
      <w:pPr>
        <w:pStyle w:val="TextoNormal"/>
      </w:pPr>
      <w:r>
        <w:t>Algo parecido ocurre con la cita que hace la sentencia de la que discrepamos de la STC 59/2015, de 18 de marzo, también respecto de la introducción de una enmienda senatorial (esta vez, la núm. 169), al texto del “proyecto” (tampoco “proposición”) de la que luego sería la Ley 16/2012, de 27 de diciembre, por la que se adoptan diversas medidas tributarias dirigidas a la consolidación de las finanzas públicas y al impulso de la actividad económica, mediante la que se creó el impuesto sobre los depósitos en las entidades de crédito (impuesto sobre los depósitos en las entidades de crédito). La citada sentencia alcanzó la conclusión de que se cumplía con el requisito de la homogeneidad porque el objeto de la iniciativa legislativa constituía una “norma tributaria de carácter transversal cuya finalidad era modificar los principales tributos del sistema”, por lo que la incorporación de uno nuevo no permitía apreciar “una total falta de homogeneidad o desconexión” [FJ 6 b)]. Una vez más, nos hallábamos ante una “medida tributaria” de “naturaleza impositiva” que se incorporó al texto de una iniciativa legislativa en tramitación dedicada a la adopción de “medidas tributarias” en el ámbito “impositivo”, dirigidas a establecer “determinados ajustes técnicos exigidos por la experiencia en la aplicación de la norma” y a introducir “algunas modificaciones que vienen exigidas por la normativa comunitaria” (apartado II de la exposición de motivos). Por cierto, en aquel supuesto la incorporación urgente de la medida vino provocada por la posible incompatibilidad del impuesto sobre los depósitos en las entidades de crédito [existente con carácter previo a nivel autonómico en Extremadura (2001), Andalucía (2010) y Canarias (2012)] con la normativa comunitaria, razón por la cual, el Estado se vio en la necesidad de armonizar un “tributo propio” de las comunidades autónomas. Y lo hizo en la forma establecida en el bloque de la constitucionalidad, a través del mecanismo previsto en el art. 150.1 CE y con la adopción de las medidas de compensación recogidas en el art. 6.2 LOFCA [salvo para las comunidades autónomas de Cataluña, Asturias y de la Comunidad Valenciana, cuyas normas reguladoras del impuesto sobre los depósitos en las entidades de crédito fueron declaradas inconstitucionales (SSTC 30/2015, de 19 de febrero; 107/2015, de 28 de mayo; 108/2015, de 28 de mayo; 111/2015, de 28 de mayo, y 202/2015, de 24 de septiembre)].</w:t>
      </w:r>
    </w:p>
    <w:p w14:paraId="4346188B" w14:textId="77777777" w:rsidR="008D479B" w:rsidRDefault="008D479B" w:rsidP="008D479B">
      <w:pPr>
        <w:pStyle w:val="TextoNormal"/>
      </w:pPr>
    </w:p>
    <w:p w14:paraId="37DDC64C" w14:textId="77777777" w:rsidR="008D479B" w:rsidRDefault="008D479B" w:rsidP="008D479B">
      <w:pPr>
        <w:pStyle w:val="TextoNormal"/>
      </w:pPr>
      <w:r>
        <w:t>3.5</w:t>
      </w:r>
      <w:r w:rsidRPr="008D479B">
        <w:rPr>
          <w:i/>
        </w:rPr>
        <w:t xml:space="preserve">. Conclusión: la quiebra del principio democrático (art. 1.1 CE) y del derecho de representación política (art. 23.2 </w:t>
      </w:r>
      <w:r>
        <w:t>CE)</w:t>
      </w:r>
    </w:p>
    <w:p w14:paraId="5DBEB2A8" w14:textId="77777777" w:rsidR="008D479B" w:rsidRDefault="008D479B" w:rsidP="008D479B">
      <w:pPr>
        <w:pStyle w:val="TextoNormal"/>
      </w:pPr>
    </w:p>
    <w:p w14:paraId="66537D02" w14:textId="77777777" w:rsidR="008D479B" w:rsidRDefault="008D479B" w:rsidP="008D479B">
      <w:pPr>
        <w:pStyle w:val="TextoNormal"/>
      </w:pPr>
      <w:r>
        <w:t>Si bien el derecho de enmienda es inherente a la potestad legislativa de las cámaras parlamentarias, tiene un carácter instrumental respecto de uno de los valores superiores de nuestro ordenamiento, el del pluralismo político (art. 1.1 CE): “Esta funcionalidad del derecho de enmienda, como instrumento esencial de participación e intervención de los diputados y grupos parlamentarios en la potestad legislativa y como cauce de la función representativa que permite mediante el debate político contraponer las propias concepciones a las del autor de la iniciativa legislativa o a las del resto de los grupos de la Cámara, pone de manifiesto que aquel derecho sirve a la naturaleza democrática del procedimiento legislativo y al valor del pluralismo político que debe presidir su desarrollo y del que las cámaras parlamentarias son expresión y reflejo (STC 44/1995, de 13 de febrero, FJ 3) […]. El principio democrático exige que en el procedimiento legislativo la minoría pueda hacer propuestas y pronunciarse sobre las de la mayoría (STC 136/2011, FJ 5), de modo que, si bien es cierto que la decisión final corresponde […] por regla general y como es propio del principio democrático a la mayoría […] no es menos cierto, sin embargo, que aquella decisión, por exigirlo así la naturaleza democrática del procedimiento legislativo, no puede adoptarse sin la participación y sin haber oído antes a la minoría” (STC 139/2017, de 29 de noviembre, FJ 5).</w:t>
      </w:r>
    </w:p>
    <w:p w14:paraId="214F34BF" w14:textId="77777777" w:rsidR="008D479B" w:rsidRDefault="008D479B" w:rsidP="008D479B">
      <w:pPr>
        <w:pStyle w:val="TextoNormal"/>
      </w:pPr>
    </w:p>
    <w:p w14:paraId="06653DDB" w14:textId="77777777" w:rsidR="008D479B" w:rsidRDefault="008D479B" w:rsidP="008D479B">
      <w:pPr>
        <w:pStyle w:val="TextoNormal"/>
      </w:pPr>
      <w:r>
        <w:t>La tramitación como “enmienda” de lo que constituía una nueva y diferente iniciativa legislativa, no solo ha alterado de modo sustancial el proceso de formación de la voluntad en el seno de las Cámaras, sino que ha violentado el respeto al pluralismo político (art. 1.1 CE) como principio básico de convivencia, a cuya salvaguarda está llamado, primero, el Gobierno, de manera esencial y primaria, por su índole de órgano director de la política interior y pieza esencial en la configuración de un Estado democrático, y, a continuación, las Cortes Generales, por su condición de garante última en la consolidación “de un Estado de Derecho que asegure el imperio de la ley como expresión de la voluntad popular” (preámbulo de nuestra Carta Magna).</w:t>
      </w:r>
    </w:p>
    <w:p w14:paraId="0442B0C8" w14:textId="77777777" w:rsidR="008D479B" w:rsidRDefault="008D479B" w:rsidP="008D479B">
      <w:pPr>
        <w:pStyle w:val="TextoNormal"/>
      </w:pPr>
    </w:p>
    <w:p w14:paraId="7CED01CC" w14:textId="77777777" w:rsidR="008D479B" w:rsidRDefault="008D479B" w:rsidP="008D479B">
      <w:pPr>
        <w:pStyle w:val="TextoNormal"/>
      </w:pPr>
      <w:r>
        <w:t>La voluntad del pueblo español, titular exclusivo de la soberanía nacional, expresada en la Constitución y fundamento del poder político, exige que las iniciativas legislativas que afectan a la materia tributaria se sustancien abierta y directamente por las vías que aquella ha previsto, no siendo aceptables los atajos (manipulando el trámite de enmiendas para incorporar una iniciativa legislativa nueva durante la tramitación de otra diferente). Por consiguiente, la forma de articular la iniciativa legislativa ha impedido, en una democracia representativa como la nuestra, la efectiva participación de las minorías en el procedimiento de aprobación de la ley, alterando la formación de la voluntad de la Cámara, en contra del valor del pluralismo político (art. 1.1 CE) y del derecho de participación política de los representantes de los ciudadanos (art. 23.2 CE).</w:t>
      </w:r>
    </w:p>
    <w:p w14:paraId="4023C51E" w14:textId="77777777" w:rsidR="008D479B" w:rsidRDefault="008D479B" w:rsidP="008D479B">
      <w:pPr>
        <w:pStyle w:val="TextoNormal"/>
      </w:pPr>
    </w:p>
    <w:p w14:paraId="0BCE7732" w14:textId="77777777" w:rsidR="008D479B" w:rsidRDefault="008D479B" w:rsidP="008D479B">
      <w:pPr>
        <w:pStyle w:val="TextoNormal"/>
      </w:pPr>
      <w:r>
        <w:t>4</w:t>
      </w:r>
      <w:r w:rsidRPr="008D479B">
        <w:rPr>
          <w:i/>
        </w:rPr>
        <w:t>. La crisis del principio de seguridad jurídica: la frustración de la confianza legítima de los ciudadanos sobre la que debía ser la esperable actuación de los poderes públic</w:t>
      </w:r>
      <w:r>
        <w:t>os</w:t>
      </w:r>
    </w:p>
    <w:p w14:paraId="6C0B2902" w14:textId="77777777" w:rsidR="008D479B" w:rsidRDefault="008D479B" w:rsidP="008D479B">
      <w:pPr>
        <w:pStyle w:val="TextoNormal"/>
      </w:pPr>
    </w:p>
    <w:p w14:paraId="0E13AEB7" w14:textId="77777777" w:rsidR="008D479B" w:rsidRDefault="008D479B" w:rsidP="008D479B">
      <w:pPr>
        <w:pStyle w:val="TextoNormal"/>
      </w:pPr>
      <w:r>
        <w:t>4.1</w:t>
      </w:r>
      <w:r w:rsidRPr="008D479B">
        <w:rPr>
          <w:i/>
        </w:rPr>
        <w:t>. La respuesta de la mayoría a la denuncia de la comunidad autónoma recurren</w:t>
      </w:r>
      <w:r>
        <w:t>te</w:t>
      </w:r>
    </w:p>
    <w:p w14:paraId="5622CB57" w14:textId="77777777" w:rsidR="008D479B" w:rsidRDefault="008D479B" w:rsidP="008D479B">
      <w:pPr>
        <w:pStyle w:val="TextoNormal"/>
      </w:pPr>
    </w:p>
    <w:p w14:paraId="4696DAAA" w14:textId="77777777" w:rsidR="008D479B" w:rsidRDefault="008D479B" w:rsidP="008D479B">
      <w:pPr>
        <w:pStyle w:val="TextoNormal"/>
      </w:pPr>
      <w:r>
        <w:t>La demanda denunciaba la vulneración del principio de seguridad jurídica (art. 9.3 CE), por establecerse el impuesto temporal de solidaridad de las grandes fortunas con carácter retroactivo, pues al devengarse el día 31 de diciembre de cada año, habiendo entrado en vigor la Ley 38/2022 el día 29 de diciembre de 2022, estaría gravando los grandes patrimonios, no en el ejercicio 2023, sino en el mismo 2022, lo que le habría hecho incurrir en una retroactividad de grado medio que incide sobre situaciones preexistentes.</w:t>
      </w:r>
    </w:p>
    <w:p w14:paraId="1BC4B93D" w14:textId="77777777" w:rsidR="008D479B" w:rsidRDefault="008D479B" w:rsidP="008D479B">
      <w:pPr>
        <w:pStyle w:val="TextoNormal"/>
      </w:pPr>
    </w:p>
    <w:p w14:paraId="5D169644" w14:textId="77777777" w:rsidR="008D479B" w:rsidRDefault="008D479B" w:rsidP="008D479B">
      <w:pPr>
        <w:pStyle w:val="TextoNormal"/>
      </w:pPr>
      <w:r>
        <w:t>Para la decisión de la mayoría, sin embargo, la retroactividad “impropia” o de “grado medio”, que es la que se denunciaba, solo puede darse en los tributos “periódicos”, afectando a tributos con periodos impositivos iniciados, pero no finalizados. En los tributos “instantáneos”, sin embargo, la retroactividad posible o es absoluta (si se aplica a un hecho imponible ya producido) o no existe (si se aplica a los devengados a partir de su entrada en vigor). Y con fundamento en esta distinción, la sentencia que controvertimos ha calificado el impuesto temporal de solidaridad de las grandes fortunas como un impuesto “instantáneo”, sin período impositivo, cuyo hecho imponible no se va generando a lo largo del tiempo, sino que se agota en sí mismo el día 31 de diciembre, de manera que, al haberse producido el primer devengo ese mismo día del año 2022, una vez que entró en vigor, ningún efecto retroactivo se habría producido.</w:t>
      </w:r>
    </w:p>
    <w:p w14:paraId="106C9502" w14:textId="77777777" w:rsidR="008D479B" w:rsidRDefault="008D479B" w:rsidP="008D479B">
      <w:pPr>
        <w:pStyle w:val="TextoNormal"/>
      </w:pPr>
    </w:p>
    <w:p w14:paraId="19FAF7F1" w14:textId="77777777" w:rsidR="008D479B" w:rsidRDefault="008D479B" w:rsidP="008D479B">
      <w:pPr>
        <w:pStyle w:val="TextoNormal"/>
      </w:pPr>
      <w:r>
        <w:t>4.2</w:t>
      </w:r>
      <w:r w:rsidRPr="008D479B">
        <w:rPr>
          <w:i/>
        </w:rPr>
        <w:t>. El impuesto temporal de solidaridad de las grandes fortunas: ¿un impuesto instantáneo o periódi</w:t>
      </w:r>
      <w:r>
        <w:t>co?</w:t>
      </w:r>
    </w:p>
    <w:p w14:paraId="328CF656" w14:textId="77777777" w:rsidR="008D479B" w:rsidRDefault="008D479B" w:rsidP="008D479B">
      <w:pPr>
        <w:pStyle w:val="TextoNormal"/>
      </w:pPr>
    </w:p>
    <w:p w14:paraId="0A0616C0" w14:textId="77777777" w:rsidR="008D479B" w:rsidRDefault="008D479B" w:rsidP="008D479B">
      <w:pPr>
        <w:pStyle w:val="TextoNormal"/>
      </w:pPr>
      <w:r>
        <w:t>Para poder analizar el alcance de la “retroactividad” denunciada y, con ello, la eventual afectación del principio de seguridad jurídica y de confianza legítima de los ciudadanos en la que debía ser la actuación de los poderes públicos, es fundamental comprender el alcance del aspecto temporal del impuesto temporal de solidaridad de las grandes fortunas (formalmente prospectivo) y su incidencia en las situaciones previamente existentes (materialmente retroactivo). La sentencia aprobada por la mayoría califica el impuesto controvertido como un impuesto “instantáneo” apelando a la falta de un “período impositivo” y a la circunstancia de que el hecho imponible “no se va generando a lo largo del tiempo”, sino que se agota en sí mismo el día 31 de diciembre. Y no cabe duda de que el impuesto temporal de solidaridad de las grandes fortunas, al igual que le sucede al impuesto sobre el patrimonio (a cuya normativa se remite insistentemente el replicado como sucede en los arts. 3.4, 3.5, 3.7, 3.8, 3.12, 3.13 y 3.14 de la Ley 38/2022), carece “formalmente” de un “período impositivo”.</w:t>
      </w:r>
    </w:p>
    <w:p w14:paraId="6B0A3C3F" w14:textId="77777777" w:rsidR="008D479B" w:rsidRDefault="008D479B" w:rsidP="008D479B">
      <w:pPr>
        <w:pStyle w:val="TextoNormal"/>
      </w:pPr>
    </w:p>
    <w:p w14:paraId="5A6FC6C7" w14:textId="77777777" w:rsidR="008D479B" w:rsidRDefault="008D479B" w:rsidP="008D479B">
      <w:pPr>
        <w:pStyle w:val="TextoNormal"/>
      </w:pPr>
      <w:r>
        <w:t xml:space="preserve">Aunque lo anterior pueda ser así a simple vista, la sentencia de la mayoría no ha parado en mientes a los efectos de analizar cuidosamente el elemento temporal de la obligación tributaria (pues el legislador, en su libertad configurativa, puede atender a diferentes criterios u objetivos a los efectos de modular la realidad gravada). No es inhabitual encontrarse figuras jurídicas híbridas o complejas en las que sus previsiones rompen la lógica obligacional (tanto es así que existe un sector doctrinal que califica al impuesto sobre el patrimonio como “un impuesto instantáneo de carácter periódico”). De este modo, el que un impuesto no tenga “formalmente” un “periodo impositivo” no tiene por qué implicar que sea “materialmente” instantáneo. Si el devengo “es el momento […] en el que se produce el nacimiento de la obligación tributaria” [art. 21.1, párrafo primero, de la Ley 58/2003, de 17 de diciembre, general tributaria (en lo sucesivo, LGT)] y, por tanto, el que determina “las circunstancias relevantes” para la configuración de la obligación tributaria (art. 21.1, párrafo segundo, LGT), habrá que comprobar, para determinar la verdadera naturaleza de las cosas, si esas “circunstancias relevantes” son singulares (gravamen de actos aislados aunque sean repetidos en el tiempo) o plurales (gravamen de una sucesión de actos ejecutados en un período temporal dado). Esto es algo que la doctrina de este tribunal ha venido señalando desde muy antiguo al exigir que, para determinar “la verdadera naturaleza de una determinada figura” no basta con acudir a “calificación formal”, pues la función de este tribunal no es la de enjuiciar “un </w:t>
      </w:r>
      <w:r w:rsidRPr="008D479B">
        <w:rPr>
          <w:i/>
        </w:rPr>
        <w:t>nomen iuris</w:t>
      </w:r>
      <w:r>
        <w:t>” (STC 242/2004, de 16 de diciembre, FJ 5). Y ello porque “sería puro nominalismo entender que tal denominación legal sea elemento determinante de su verdadera naturaleza fiscal, pues las categorías tributarias, más allá de las denominaciones legales, tienen cada una de ellas la naturaleza propia y específica que les corresponde de acuerdo con la configuración y estructura que reciban en el régimen jurídico a que vengan sometidas” (STC 73/2011, de 19 de mayo, FJ 4).</w:t>
      </w:r>
    </w:p>
    <w:p w14:paraId="11836B16" w14:textId="77777777" w:rsidR="008D479B" w:rsidRDefault="008D479B" w:rsidP="008D479B">
      <w:pPr>
        <w:pStyle w:val="TextoNormal"/>
      </w:pPr>
    </w:p>
    <w:p w14:paraId="013DD2B2" w14:textId="77777777" w:rsidR="008D479B" w:rsidRDefault="008D479B" w:rsidP="008D479B">
      <w:pPr>
        <w:pStyle w:val="TextoNormal"/>
      </w:pPr>
      <w:r>
        <w:t>Es bien sabido que, en los impuestos instantáneos, el aspecto material del hecho imponible se realiza en un solo acto, devengándose el tributo en ese mismo instante (la compra de un bien, la prestación de un servicio, la donación o la herencia). Por su parte, en los periódicos, la realización del aspecto material del hecho imponible se dilata en el tiempo, fraccionándose su aspecto temporal por periodos a los efectos de practicarse la correspondiente liquidación del tributo por cada uno de los tramos temporales legalmente considerados (como sucede cuando lo gravado es la obtención de la renta o la titularidad de bienes o derechos como, por ejemplo, los inmuebles o los vehículos). Por tanto, en los impuestos periódicos, el elemento temporal del hecho imponible es de duración prolongada, no agotándose en un solo acto, por comprender una sucesión de ellos (así, por ejemplo, en el IRPF no se grava su obtención de rendimientos en un momento dado sino la acumulación de ellas a lo largo de un ejercicio, cuya cuantificación se realiza el día 31 de diciembre de cada ejercicio; y, de la misma manera, en el impuesto sobre el patrimonio no se somete a tributación la mera tenencia de un bien o derecho en un momento dado, sino su titularidad a lo largo del tiempo, sin perjuicio de que su valoración se efectúe el día 31 de diciembre de cada año).</w:t>
      </w:r>
    </w:p>
    <w:p w14:paraId="1C8D14BF" w14:textId="77777777" w:rsidR="008D479B" w:rsidRDefault="008D479B" w:rsidP="008D479B">
      <w:pPr>
        <w:pStyle w:val="TextoNormal"/>
      </w:pPr>
    </w:p>
    <w:p w14:paraId="5BF6D06E" w14:textId="77777777" w:rsidR="008D479B" w:rsidRDefault="008D479B" w:rsidP="008D479B">
      <w:pPr>
        <w:pStyle w:val="TextoNormal"/>
      </w:pPr>
      <w:r>
        <w:t>Como dijo nuestra STC 126/1987, de 16 de julio, “mientras que en los hechos imponibles instantáneos el devengo coincide con la existencia del elemento material del mismo, en los duraderos el legislador puede, entre otras soluciones técnicas, situarlo al término o al comienzo de un período impositivo legalmente predeterminado” (FJ 12). Y como señaló la STC 121/2016, de 23 de junio, “en la dogmática tributaria el devengo es el momento en que, por establecerlo así la ley, se entiende realizado el hecho imponible y nacida la obligación tributaria. En los tributos instantáneos el aspecto temporal del hecho imponible no adquiere relevancia jurídica y la realización del elemento material del hecho imponible determina el nacimiento de la obligación tributaria. Ahora bien, en los tributos periódicos, cuyo hecho imponible consiste en un estado de cosas o situación (elemento material) que no se agota en sí mismo, sino que se prolonga de manera continuada en el tiempo, no basta, a fin de ponderar el alcance de la retroactividad de la norma, con atender solo al momento del devengo; ha de tenerse en cuenta también el período impositivo o dimensión temporal del elemento objetivo del hecho imponible” (FJ 4).</w:t>
      </w:r>
    </w:p>
    <w:p w14:paraId="6B8E5DDC" w14:textId="77777777" w:rsidR="008D479B" w:rsidRDefault="008D479B" w:rsidP="008D479B">
      <w:pPr>
        <w:pStyle w:val="TextoNormal"/>
      </w:pPr>
    </w:p>
    <w:p w14:paraId="468C6898" w14:textId="77777777" w:rsidR="008D479B" w:rsidRDefault="008D479B" w:rsidP="008D479B">
      <w:pPr>
        <w:pStyle w:val="TextoNormal"/>
      </w:pPr>
      <w:r>
        <w:t>En la labor que debió ocupar a este tribunal tenía que haberse tomado en consideración que estamos ante un impuesto que no grava “actos” concretos (como, por ejemplo, la adquisición de un bien en los impuestos sobre sucesiones, sobre donaciones, sobre transmisiones patrimoniales o sobre el del valor añadido), sino la “titularidad” del patrimonio “general” de las personas físicas, esto es, “del conjunto de bienes y derechos de contenido económico” de lo que sean titulares (art. 3.1, párrafo primero de la Ley 38/2022), concretado “en el momento del devengo” (art. 3.3 de la Ley 38/2022), a saber, el día 31 de diciembre de ”cada año” (art. 3.10 de la Ley 38/2022). Es decir, el impuesto temporal de solidaridad de las grandes fortunas, al igual que hace el impuesto sobre el patrimonio, al someter a tributación el “patrimonio global” de las personas físicas es equiparable en su aspecto temporal al IRPF, que grava la “renta total” (art. 2 de la Ley 35/2006, de 28 de noviembre) siendo el “período impositivo el año natural” (art. 12.1 de la Ley 35/2006) y devengándose el tributo “el 31 de diciembre de cada año” (art. 12.2 de la Ley 35/2006). A la vista de lo expuesto, ¿se puede diferenciar el elemento temporal del hecho imponible del impuesto sobre el patrimonio/impuesto temporal de solidaridad de las grandes fortunas del del impuesto sobre la renta de las personas físicas?</w:t>
      </w:r>
    </w:p>
    <w:p w14:paraId="68BAD5CA" w14:textId="77777777" w:rsidR="008D479B" w:rsidRDefault="008D479B" w:rsidP="008D479B">
      <w:pPr>
        <w:pStyle w:val="TextoNormal"/>
      </w:pPr>
    </w:p>
    <w:p w14:paraId="5F7BD62A" w14:textId="77777777" w:rsidR="008D479B" w:rsidRDefault="008D479B" w:rsidP="008D479B">
      <w:pPr>
        <w:pStyle w:val="TextoNormal"/>
      </w:pPr>
      <w:r>
        <w:t>La sentencia de la que discrepamos reconoce literalmente que el impuesto temporal de solidaridad de las grandes fortunas “recae sobre la titularidad de bienes (al igual, por ejemplo, que el impuesto sobre bienes inmuebles o el impuesto sobre vehículos de tracción mecánica)” [FJ 4 C) b)]. Nadie duda, sin embargo, de la naturaleza “periódica” del impuesto sobre bienes inmuebles, que es un impuesto sobre el patrimonio inmobiliario que somete a tributación “el valor real de los bienes inmuebles” [art. 60 del texto refundido de la Ley Reguladora de las Haciendas Locales, aprobado por el Real Decreto Legislativo 2/2004, de 5 de marzo (TRLHL)], que se devenga de forma anticipada “el primer día del período impositivo” (art. 75.1 TRLHL), coincidiendo este último “con el año natural” (art. 75.2 TRLHL). Tampoco genera confusión alguna la naturaleza “periódica” del impuesto sobre vehículos de tracción mecánica, que es un tributo “que grava la titularidad de los vehículos” (art. 92.1 TRLHL), devengándose “el primer día del período impositivo” (art. 96.2 TRLHL), que “coincide con el año natural” (art. 96.1 TRLHL). En fin, tampoco es controvertida la naturaleza “periódica” del impuesto sobre depósitos en entidades de crédito, impuesto sobre el patrimonio mobiliario (depósitos bancarios) que somete a tributación “el mantenimiento de fondos de terceros” (art. 19.3 de la Ley 16/2012, de 27 de diciembre, por la que se adoptan diversas medidas tributarias dirigidas a la consolidación de las finanzas públicas u al impulso de la actividad económica), devengándose “el último día del período impositivo” que coincide “con el año natural” (art. 19.4 de la Ley 16/2012). Entonces, si el impuesto temporal de solidaridad de las grandes fortunas (como el replicante impuesto sobre el patrimonio), grava la titularidad de toda clase de bienes y derechos, y, en concreto, la de los “bienes inmuebles” (arts. 10 de la Ley 19/1991 y 3.8 de la Ley 38/2022), la de los “depósitos en cuenta corriente o de ahorro” (arts. 12 de la Ley 19/1991 y 3.8 de la Ley 38/2022) y la de los “vehículos” (arts. 18 de la Ley 19/1991 y 3.8 de la Ley 38/2022), ¿no es paradójico sostener que los impuestos sobre elementos patrimoniales concretos (impuesto sobre bienes muebles, impuesto sobre vehículos de tracción mecánica e impuesto sobre los depósitos en las entidades de crédito) tienen un carácter “periódico”, mientras que los que someten a tributación el patrimonio total (impuesto sobre el patrimonio e impuesto temporal de solidaridad de las grandes fortunas) son de carácter “instantáneo”?</w:t>
      </w:r>
    </w:p>
    <w:p w14:paraId="575A4C26" w14:textId="77777777" w:rsidR="008D479B" w:rsidRDefault="008D479B" w:rsidP="008D479B">
      <w:pPr>
        <w:pStyle w:val="TextoNormal"/>
      </w:pPr>
    </w:p>
    <w:p w14:paraId="32CB86BB" w14:textId="77777777" w:rsidR="008D479B" w:rsidRDefault="008D479B" w:rsidP="008D479B">
      <w:pPr>
        <w:pStyle w:val="TextoNormal"/>
      </w:pPr>
      <w:r>
        <w:t>Una vez hechas las precisiones anteriores, ya estamos en disposición de concretar la verdadera naturaleza del impuesto temporal de solidaridad de las grandes fortunas, de conformidad con las propias características que le ha asignado el legislador, analizando para ello no solo su aspecto temporal “formal”, como ha hecho la sentencia de la que discrepamos, sino su verdadera dimensión temporal (limitada o prolongada en el tiempo). A tal fin, es necesario subrayar lo siguiente: (i) el hecho imponible (aspecto material) es la titularidad por el sujeto pasivo “en el momento del devengo” (aspecto temporal) de un patrimonio neto superior a 3 000 000 € (art. 3.3, párrafo primero de la Ley 38/2022); (ii) al igual que sucede en el impuesto sobre el patrimonio (art. 3 de la Ley 19/1991), “[s]e presumirá que forman parte del patrimonio los bienes y derechos que hubieran pertenecido al sujeto pasivo en el momento del anterior devengo, salvo prueba de transmisión o pérdida patrimonial” (art. 3.2, párrafo segundo de la Ley 38/2022), de modo que, como mínimo, en cada devengo, deberá computarse el patrimonio declarado en el devengo anterior (salvo prueba de su desaparición, pues su transmisión solo provoca la conversión de la naturaleza del bien cuyo valor fue tomado en consideración); (iii) el impuesto se devengará el 31 de diciembre “de cada año” (art. 3.10 de la Ley 38/2022); y (iv) el impuesto estará vigente, de momento, en los dos primeros “ejercicios” en los que se devengue a partir de la fecha de su entrada en vigor (art. 3.28 de la Ley 38/2022). Conforme a estas “características” se puede afirmar sin temor a equivocarnos que el impuesto temporal de solidaridad de las grandes fortunas (como el impuesto sobre el patrimonio) es “un tributo con un hecho imponible duradero o de período, en el que el devengo se sitúa al final del período impositivo” (STC 176/2011, de 8 de noviembre, FJ 5, con relación al IRPF), en la medida que tiene “carácter periódico” (“cada año”) y cuenta con una “dimensión temporal” que coincide, en cada “ejercicio”, con el “año natural”. Estamos, pues, ante un tributo “periódico”.</w:t>
      </w:r>
    </w:p>
    <w:p w14:paraId="267EC61F" w14:textId="77777777" w:rsidR="008D479B" w:rsidRDefault="008D479B" w:rsidP="008D479B">
      <w:pPr>
        <w:pStyle w:val="TextoNormal"/>
      </w:pPr>
    </w:p>
    <w:p w14:paraId="1FE9C312" w14:textId="77777777" w:rsidR="008D479B" w:rsidRDefault="008D479B" w:rsidP="008D479B">
      <w:pPr>
        <w:pStyle w:val="TextoNormal"/>
      </w:pPr>
      <w:r>
        <w:t>Las consecuencias de la anterior labor de análisis, o lo que es lo mismo, de concreción de la verdadera naturaleza del tributo, nos aboca derechamente a un escenario diferente al recogido en la sentencia de la que discrepamos y, con ello, a unas consecuencias jurídicas distintas, dado que la norma impugnada sí estaría afectando “materialmente” a situaciones nacidas —aunque no consumadas— con anterioridad a su entrada en vigor.</w:t>
      </w:r>
    </w:p>
    <w:p w14:paraId="59D1AE0C" w14:textId="77777777" w:rsidR="008D479B" w:rsidRDefault="008D479B" w:rsidP="008D479B">
      <w:pPr>
        <w:pStyle w:val="TextoNormal"/>
      </w:pPr>
    </w:p>
    <w:p w14:paraId="0497454F" w14:textId="77777777" w:rsidR="008D479B" w:rsidRDefault="008D479B" w:rsidP="008D479B">
      <w:pPr>
        <w:pStyle w:val="TextoNormal"/>
      </w:pPr>
      <w:r>
        <w:t>4.3</w:t>
      </w:r>
      <w:r w:rsidRPr="008D479B">
        <w:rPr>
          <w:i/>
        </w:rPr>
        <w:t>. El principio de confianza legítima: la frustración razonablemente fundada sobre la esperable actuación del poder en la aplicación del Derec</w:t>
      </w:r>
      <w:r>
        <w:t>ho</w:t>
      </w:r>
    </w:p>
    <w:p w14:paraId="5D7484E5" w14:textId="77777777" w:rsidR="008D479B" w:rsidRDefault="008D479B" w:rsidP="008D479B">
      <w:pPr>
        <w:pStyle w:val="TextoNormal"/>
      </w:pPr>
    </w:p>
    <w:p w14:paraId="4DCD29AE" w14:textId="77777777" w:rsidR="008D479B" w:rsidRDefault="008D479B" w:rsidP="008D479B">
      <w:pPr>
        <w:pStyle w:val="TextoNormal"/>
      </w:pPr>
      <w:r>
        <w:t>A los efectos de ponderar la “afectación” que ha podido provocar sobre los obligados tributarios (personas físicas) la forma de aprobación del impuesto (su introducción sorpresiva durante la tramitación de otra iniciativa legislativa anudada a su inmediata entrada en vigor tras su aprobación), sin tiempo alguno para articular sus relaciones económicas (para decidir el destino de su patrimonio), es necesario realizar dos precisiones previas relativas a la materia tributaria: la primera, que —como ha señalado la sentencia de la mayoría— el principio de irretroactividad de las leyes consagrado en el art. 9.3 CE concierne solo a las sancionadoras no favorables y a las restrictivas de derechos individuales (SSTC 27/1981, de 20 de julio, FJ 10, y 100/2012, de 8 de mayo, FJ 10), en el sentido de entender que la “restricción de derechos individuales” ha de equipararse a la idea de sanción, por lo cual, el límite de dicho precepto hay que considerarlo como referido a las restricciones introducidas en el ámbito de los derechos fundamentales y de las libertades públicas (del título I de la Constitución) o en la esfera general de protección de la persona (SSTC 42/1986, de 10 de abril, FJ 3, y 100/2012, de 8 de mayo, FJ 10). Y, la segunda que, aun cuando las normas tributarias no se hallen limitadas en cuanto tales por la prohibición de retroactividad, cuando tal efecto retroactivo se produce puede entrar en colisión con otros principios consagrados en la Constitución, como el de seguridad jurídica [“y su corolario, el principio de confianza legítima” (STC 270/2015, de 17 de diciembre, FJ 7)], también consagrado en el art. 9.3 CE.</w:t>
      </w:r>
    </w:p>
    <w:p w14:paraId="663371F1" w14:textId="77777777" w:rsidR="008D479B" w:rsidRDefault="008D479B" w:rsidP="008D479B">
      <w:pPr>
        <w:pStyle w:val="TextoNormal"/>
      </w:pPr>
    </w:p>
    <w:p w14:paraId="3B2355B0" w14:textId="77777777" w:rsidR="008D479B" w:rsidRDefault="008D479B" w:rsidP="008D479B">
      <w:pPr>
        <w:pStyle w:val="TextoNormal"/>
      </w:pPr>
      <w:r>
        <w:t>El principio de seguridad jurídica protege “la confianza de los ciudadanos que ajustan su conducta económica a la legislación vigente frente a cambios normativos que no sean razonablemente previsibles, ya que la retroactividad posible de las normas tributarias no puede trascender la interdicción de la arbitrariedad” (SSTC 126/1987, de 16 de julio, FJ 9; 173/1996, de 31 de octubre, FJ 3; 273/2000, de 15 de noviembre, FJ 6; 89/2009, de 20 de abril, FJ 3; 100/2012, de 8 de mayo, FJ 10; 102/2015, de 26 de mayo, FJ 4, y 9/2019, de 17 de enero, FJ 4). De este modo, la prohibición de retroactividad consagrada en el art. 9.3 CE hay que entenderla como la incidencia de la nueva ley en los efectos jurídicos ya producidos de situaciones anteriores (STC 42/1986, de 10 de abril, FJ 3) y no a los pendientes o futuros (SSTC 129/1987, de 16 de julio, FJ 5, y 70/1988, de 19 de abril, FJ 4). En este sentido, este Tribunal Constitucional ha venido distinguiendo dos tipos de retroactividad la “auténtica” (de grado máximo) y la “impropia” (de grado medio). La primera se produciría cuando se anudasen efectos jurídicos a situaciones de hecho producidas con anterioridad a la ley y ya consumadas; la segunda, cuando se afectasen situaciones jurídicas actuales y aún no concluidas [STC 126/1987, de 16 de julio, FFJJ 9 a 11; 89/2009, de 20 de abril, FJ 3; 19/2016, de 4 de febrero, FJ 5, y 51/2018, de 10 de mayo, FJ 5 b)].</w:t>
      </w:r>
    </w:p>
    <w:p w14:paraId="3C1CA1EB" w14:textId="77777777" w:rsidR="008D479B" w:rsidRDefault="008D479B" w:rsidP="008D479B">
      <w:pPr>
        <w:pStyle w:val="TextoNormal"/>
      </w:pPr>
    </w:p>
    <w:p w14:paraId="71EA7BCF" w14:textId="77777777" w:rsidR="008D479B" w:rsidRDefault="008D479B" w:rsidP="008D479B">
      <w:pPr>
        <w:pStyle w:val="TextoNormal"/>
      </w:pPr>
      <w:r>
        <w:t xml:space="preserve">En los tributos de carácter “instantáneo”, toda modificación </w:t>
      </w:r>
      <w:r w:rsidRPr="008D479B">
        <w:rPr>
          <w:i/>
        </w:rPr>
        <w:t>ex post facto</w:t>
      </w:r>
      <w:r>
        <w:t xml:space="preserve"> que alterase las consecuencias jurídicas de la realización del aspecto material del hecho imponible y, con ello, también la de su aspecto temporal, daría lugar a supuestos de retroactividad auténtica. Por el contrario, en los tributos de carácter “periódico”, en tanto que la realización del aspecto material del hecho imponible se dilata en el tiempo, habría que distinguir entre aquellas modificaciones normativas que afectan a hechos imponibles ya consumados (por haberse cerrado el período impositivo y devengado el impuesto) de aquellas otras en las que aquel estuviese aun realizándose (al no haberse cerrado la dimensión temporal del hecho imponible). En el primer supuesto (modificaciones realizadas con posterioridad al devengo), estaríamos ante un caso de retroactividad auténtica (de grado máximo), por afectarse a situaciones ya consumadas. En el segundo (alteraciones operadas con anterioridad al devengo), ante otro de retroactividad impropia (de grado medio), por incidirse en situaciones aun no agotadas.</w:t>
      </w:r>
    </w:p>
    <w:p w14:paraId="53A25DAE" w14:textId="77777777" w:rsidR="008D479B" w:rsidRDefault="008D479B" w:rsidP="008D479B">
      <w:pPr>
        <w:pStyle w:val="TextoNormal"/>
      </w:pPr>
    </w:p>
    <w:p w14:paraId="6C6E3D26" w14:textId="77777777" w:rsidR="008D479B" w:rsidRDefault="008D479B" w:rsidP="008D479B">
      <w:pPr>
        <w:pStyle w:val="TextoNormal"/>
      </w:pPr>
      <w:r>
        <w:t>Aunque la incidencia del legislador en las situaciones anteriores al devengo del tributo o a su entrada en vigor tenga un efecto retroactivo, esto no supone necesariamente que sea contrario al art. 9.3 CE. Tanto en el caso de la retroactividad de “grado medio” (auténtica) como en la de “grado máximo” (impropia), este tribunal ha venido admitiendo como elemento legitimador de la injerencia en el tiempo pasado, la concurrencia de cualificadas razones de interés general que las hiciesen prevalecer sobre el respeto al principio de seguridad jurídica. Determinar, entonces, cuándo una norma tributaria de carácter retroactivo vulnera la seguridad jurídica de los ciudadanos es una cuestión que solo puede resolverse caso por caso, teniendo en cuenta el grado de retroactividad y la finalidad de la norma, así como las circunstancias específicas que concurran, en orden a determinar si existe o no alguna motivación suficiente de interés general que justifique la cesión del principio de seguridad jurídica en defensa de otros bienes o derechos más dignos de protección [SSTC 126/1987, de 16 de julio, FJ 11; 150/1990, de 4 de octubre, FJ 8; 173/1996, de 31 de octubre, FJ 3; 182/1997, de 28 de octubre, FJ 11, y 51/2018, de 10 de mayo, FJ 5 b)].</w:t>
      </w:r>
    </w:p>
    <w:p w14:paraId="3ABEC83E" w14:textId="77777777" w:rsidR="008D479B" w:rsidRDefault="008D479B" w:rsidP="008D479B">
      <w:pPr>
        <w:pStyle w:val="TextoNormal"/>
      </w:pPr>
    </w:p>
    <w:p w14:paraId="3C4E852A" w14:textId="77777777" w:rsidR="008D479B" w:rsidRDefault="008D479B" w:rsidP="008D479B">
      <w:pPr>
        <w:pStyle w:val="TextoNormal"/>
      </w:pPr>
      <w:r>
        <w:t>En la ponderación entre el principio de seguridad jurídica y los diversos imperativos que puedan conducir a una modificación del ordenamiento jurídico-tributario, este tribunal ha venido considerando constitucionales aquellas normas que afectaban a un hecho imponible que se encontraba en plena realización y, por el contrario, inconstitucionales las que incidían en aquellos tributos en los que el aspecto material del hecho imponible ya se había consumado en el tiempo (por haberse materializado el acto, hecho o presupuesto sometido a tributación y, por tanto, devengado el tributo).</w:t>
      </w:r>
    </w:p>
    <w:p w14:paraId="539FC2AB" w14:textId="77777777" w:rsidR="008D479B" w:rsidRDefault="008D479B" w:rsidP="008D479B">
      <w:pPr>
        <w:pStyle w:val="TextoNormal"/>
      </w:pPr>
    </w:p>
    <w:p w14:paraId="22375E48" w14:textId="77777777" w:rsidR="008D479B" w:rsidRDefault="008D479B" w:rsidP="008D479B">
      <w:pPr>
        <w:pStyle w:val="TextoNormal"/>
      </w:pPr>
      <w:r>
        <w:t>Así, por ejemplo, hemos considerado conformes con el principio de seguridad jurídica: (i) la reducción de beneficios fiscales en la contribución territorial urbana (luego, impuesto sobre bienes inmuebles), al no haberse producido una eficacia retroactiva sobre derechos o situaciones existentes con anterioridad a su entrada en vigor sino solo a partir de la aprobación de la norma (STC 6/1983, de 4 de febrero, FJ 3); (ii) la creación de un gravamen complementario a la tasa de juego sobre máquinas de azar, por afectar a un tributo con “un hecho imponible de duración prolongada”, con cuotas exigibles “por años naturales”, tratándose de una norma que no podía “calificarse de imprevisible” y que respondía “a la finalidad, constitucionalmente respaldada, de una mayor justicia tributaria” (STC 126/1987, de 16 de julio, FJ 13); (iii) el aumento del tipo de gravamen en el impuesto especial sobre la fabricación del alcohol, porque los nuevos se aplicaban a hechos imponibles devengados después de la entrada en vigor de la ley (STC 197/1992, de 19 de noviembre, FJ 5); (iv) la modificación de las escalas del IRPF a mitad de ejercicio, porque “la naturaleza periódica del tributo afectado y la configuración de su hecho imponible no imp[edían], en principio, que el legislador pu[diera] modificar algunos aspectos del mismo por medio de disposiciones legales dictadas precisamente durante el período impositivo en el que deb[ían] surtir efectos”, de modo que aunque la norma tuviese carácter retroactivo, la concurrencia “de claras exigencias de interés público” que fundamentaban la medida y su “previsibilidad”, impidieron una afectación contraria a la Constitución; además, la circunstancia de que se publicase en el “BOE” a mitad de ejercicio el decreto-ley que anticipó la modificación de las tarifas, tramitándose posteriormente como proyecto de ley, tuvieron la virtud de poner sobre aviso a los ciudadanos “meses atrás”, “dándoles la oportunidad de ajustar su propio comportamiento económico a las consecuencias fiscales derivadas del cambio legislativo que se anunciaba” [STC 182/1997, de 28 de octubre, FJ 13 A) y B)]; y (v) la modificación en octubre de un ejercicio del impuesto sobre depósitos en las entidades de crédito (de carácter periódico) con efectos desde el primer día del mismo ejercicio pues, aun cuando la seguridad jurídica de los sujetos pasivos se vio afectada, no lo fue de forma inconstitucional, no solo por ser “previsible” la medida adoptada al haberse conocido con antelación por sus destinatarios (comunidades autónomas y entidades financieras), sino por contar también con una finalidad de interés público (STC 102/2015, de 26 de mayo, FJ 5).</w:t>
      </w:r>
    </w:p>
    <w:p w14:paraId="4F06306E" w14:textId="77777777" w:rsidR="008D479B" w:rsidRDefault="008D479B" w:rsidP="008D479B">
      <w:pPr>
        <w:pStyle w:val="TextoNormal"/>
      </w:pPr>
    </w:p>
    <w:p w14:paraId="141A67E9" w14:textId="77777777" w:rsidR="008D479B" w:rsidRDefault="008D479B" w:rsidP="008D479B">
      <w:pPr>
        <w:pStyle w:val="TextoNormal"/>
      </w:pPr>
      <w:r>
        <w:t>Al contrario de lo señalado anteriormente, ante la ausencia de previsibilidad y la falta de una justificación legitimadora, este tribunal ha apreciado la inconstitucionalidad de un buen número de medidas tributarias como, por ejemplo: (i) la creación de un gravamen complementario de la tasa fiscal sobre los juegos de suerte, envite o azar a mitad de ejercicio, por vulneración de la confianza fundada de los ciudadanos, en tanto que el citado incremento fue absolutamente imprevisible y carente de una suficiente justificación, tanto más cuando su devengo se retrotraía al principio del ejercicio, pues aunque “[l]a naturaleza periódica del tributo afectado y la configuración de su hecho imponible no imp[edían], en principio, que el legislador pu[diera] modificar algunos aspectos de la tasa fiscal que recae sobre el juego por medio de disposiciones legales dictadas precisamente durante el período impositivo en el que deb[ían] surtir efectos […] [u]na modificación retroactiva y de tal magnitud de una cuota tributaria ya satisfecha solo podría reputarse conforme con la Constitución si existieran claras exigencias de interés general que justificaran que el principio de seguridad jurídica […] debiera ceder ante otros bienes o derechos constitucionalmente protegidos que […] no se aprecian en este caso” (STC 173/1996, de 31 de octubre, FJ 5); (ii) la modificación del impuesto sobre hidrocarburos dado que “el hecho imponible y su dimensión temporal del devengo del tributo se había verificado por completo, y agotado sus efectos jurídicos, con anterioridad a la entrada en vigor de la nueva norma reguladora de aquel” (STC 234/2001, de 13 de diciembre, FJ 10); (iii) la obligación de cotización empresarial de los administradores sociales por el ejercicio anterior al de aprobación de la norma, al no resultar tal modificación razonablemente previsible (STC 89/2009, de 20 de abril, FJ 5); (iv) la posibilidad de practicar nuevas liquidaciones de tarifas por prestación de servicios portuarios que habían sido declaradas inconstitucionales y, por tanto, respecto de supuestos de hecho plenamente agotados, al tratarse de “una actuación legislativa que no era razonablemente previsible para los agentes destinatarios de la norma, dañando la confianza con la que desarrolló su actividad económica”, sin la concurrencia de “especiales circunstancias de interés general” (STC 116/2009, de 18 de mayo, FJ 4); (v) la modificación de la reducción aplicable a los rendimientos irregulares del trabajo personal por cuenta ajena en el IRPF con aplicación a ejercicios ya finalizados, “sin la concurrencia de nítidas y cualificadas exigencias de interés general que justificasen el efecto retroactivo otorgado” (STC 176/2011, de 8 de noviembre, FJ 5); y (vi) la modificación de la reducción aplicable a los rendimientos del trabajo que derivasen del ejercicio de opciones de compra sobre acciones o participaciones por los trabajadores, con efectos en ejercicios anteriores, al no concurrir razón alguna que permitiese entender justificada “la afectación que a la seguridad jurídica se ha producido” (STC 121/2016, de 23 de junio, FJ 6).</w:t>
      </w:r>
    </w:p>
    <w:p w14:paraId="3054F0DF" w14:textId="77777777" w:rsidR="008D479B" w:rsidRDefault="008D479B" w:rsidP="008D479B">
      <w:pPr>
        <w:pStyle w:val="TextoNormal"/>
      </w:pPr>
    </w:p>
    <w:p w14:paraId="29DD409A" w14:textId="77777777" w:rsidR="008D479B" w:rsidRDefault="008D479B" w:rsidP="008D479B">
      <w:pPr>
        <w:pStyle w:val="TextoNormal"/>
      </w:pPr>
      <w:r>
        <w:t>Una vez precisado lo anterior, corresponde ahora concretar el grado de retroactividad de la norma cuestionada, así como las circunstancias específicas concurrentes, a los efectos de precisar si la disposición legal controvertida ha anudado efectos a situaciones de hecho producidas o desarrolladas con anterioridad a su entrada en vigor (retroactividad auténtica) o simplemente incidió sobre situaciones o relaciones jurídicas actuales aún no concluidas (retroactividad impropia) [por todas, STC 89/2009, de 20 de abril, FJ 3]. Ya hemos comprobado con anterioridad que, pese a la peculiar configuración del elemento temporal del hecho imponible en el impuesto temporal de solidaridad de las grandes fortunas (al igual que en el impuesto sobre el patrimonio), nos hallaríamos ante un impuesto de carácter periódico cuyo presupuesto de hecho es la totalidad del patrimonio de las personas físicas entre dos momentos temporales dados (el del anterior devengo y el del año en curso). Por tanto, como se ha señalado al principio de este apartado, la norma impugnada sí estaría afectando “materialmente” a situaciones nacidas —aunque no consumadas— con anterioridad a su entrada en vigor, pues la titularidad de un patrimonio por las personas físicas no es algo que avenga en un solo instante, como si de un acto de generación espontánea se tratase, siendo el fruto de numerosos actos de disposición por parte de los sujetos a lo largo de un ejercicio. Y puesto que no estamos ante la modificación de un tributo ya existente, sino ante la creación de uno nuevo que toma como elemento material de su hecho imponible situaciones de hecho generadas y consumadas con anterioridad a su propia entrada en vigor (la adquisición de cada elemento patrimonial que condujo a la titularidad de la “totalidad” de un patrimonio), la situación provocada con la aprobación del impuesto controvertido se volvió aún más gravosa para los eventuales destinatarios de la norma. De este modo, solo podría apreciarse su legitimada constitucional si: (a) fuese “previsible”; y (b) concurriesen “cualificadas razones de interés público” que determinasen la cesión del principio de seguridad jurídica en defensa de otros bienes o derechos más dignos de protección. Comprobémoslo:</w:t>
      </w:r>
    </w:p>
    <w:p w14:paraId="420A18F4" w14:textId="77777777" w:rsidR="008D479B" w:rsidRDefault="008D479B" w:rsidP="008D479B">
      <w:pPr>
        <w:pStyle w:val="TextoNormal"/>
      </w:pPr>
    </w:p>
    <w:p w14:paraId="265C3BB1" w14:textId="77777777" w:rsidR="008D479B" w:rsidRDefault="008D479B" w:rsidP="008D479B">
      <w:pPr>
        <w:pStyle w:val="TextoNormal"/>
      </w:pPr>
      <w:r>
        <w:t>a) La previsibilidad de la norma. Como ya hemos visto, el impuesto temporal de solidaridad de las grandes fortunas no formaba parte del contenido de la “Proposición de ley para el establecimiento de gravámenes temporales energético y de entidades de crédito y establecimientos financieros de crédito” admitida por la mesa del Congreso el día 25 de agosto de 2022 (“BOCG”, Congreso de los Diputados, núm. 271-1, 30 de agosto de 2022, págs. 1-11). Su incorporación al texto de la iniciativa tuvo lugar casi tres meses después, a través de la “enmienda núm. 99” (“BOCG”, Congreso de los Diputados, núm. 271-5, 18 de noviembre de 2022, págs. 102-107). La iniciativa legislativa fue aprobada finalmente como “Ley 38/2022, de 27 de diciembre”, dándose a conocer al común de los ciudadanos mediante su publicación en el “Boletín Oficial del Estado” del día 28 de diciembre. Tuvo su entrada en vigor el día 29 siguiente (disposición final octava), produciéndose su primer devengo dos días después, a saber, el 31 de diciembre de ese mismo ejercicio (art. 3.10), momento en el que sometió a tributación el patrimonio neto de las personas físicas (art. 3.3).</w:t>
      </w:r>
    </w:p>
    <w:p w14:paraId="0A7CD68F" w14:textId="77777777" w:rsidR="008D479B" w:rsidRDefault="008D479B" w:rsidP="008D479B">
      <w:pPr>
        <w:pStyle w:val="TextoNormal"/>
      </w:pPr>
    </w:p>
    <w:p w14:paraId="1A33225E" w14:textId="77777777" w:rsidR="008D479B" w:rsidRDefault="008D479B" w:rsidP="008D479B">
      <w:pPr>
        <w:pStyle w:val="TextoNormal"/>
      </w:pPr>
      <w:r>
        <w:t xml:space="preserve">Si el legislador hubiese concretado el primer devengo del tributo en el año 2023 (el 31 de diciembre), como así había anticipado </w:t>
      </w:r>
      <w:r w:rsidRPr="008D479B">
        <w:rPr>
          <w:i/>
        </w:rPr>
        <w:t>urbi et orbi</w:t>
      </w:r>
      <w:r>
        <w:t xml:space="preserve"> (no solo a sus destinatarios, sino también a los propios órganos de la Unión Europea), ninguna expectativa legítima se habría quebrado. Sin embargo, al haberse anticipado sorpresivamente la aplicación del tributo al año 2022 (mismo ejercicio de su aprobación), en contra de lo previamente anunciado, tan solo un día después de la publicación de su norma legal reguladora y dos días antes de su devengo, no cabe duda de que se afectó de manera grave e injustificada a la expectativa razonablemente fundada del ciudadano en cuál ha de ser la actuación del poder en la aplicación. Basta con acudir al “Plan Presupuestario 2023” de 15 de octubre de 2022 (fechado un mes antes de la presentación de la enmienda núm. 99), remitido por el Gobierno del Reino de España a “Bruselas (Unión Europea), (https://www.hacienda.gob.es/CDI/EstrategiaPoliticaFiscal/2023/Plan-Presupuestario-2023-ES.pdf), para comprobar cómo en la concreción de su “estrategia fiscal” para el período 2023-24 se proponía la creación de un nuevo tributo denominado como “impuesto de solidaridad (no temporal) sobre grandes fortunas”, que coincidía “básicamente en su configuración con la del impuesto sobre el patrimonio”, teniendo un carácter “complementario” (pág. 60), “una vigencia de dos años, 2023 y 2024” y una “cláusula de revisión, para efectuar una evaluación de sus resultados al final de su vigencia y valorar su mantenimiento o supresión”(pág. 61). Es decir, el Gobierno de la Nación había publicitado su voluntad de establecer el nuevo impuesto para el ejercicio 2023 (lo que permitía a sus destinatarios —residentes y, fundamentalmente, no residentes en España— articular sus relaciones económicas) y no, como luego haría, para el ejercicio 2022, quebrando con ello la expectativa razonablemente fundada de quienes, siendo titulares de un patrimonio, en la confianza legítima de que su situación normativa no iba a verse alterada durante el ejercicio 2022, no concurrieron de manera inmediata a su reordenación.</w:t>
      </w:r>
    </w:p>
    <w:p w14:paraId="1F73D199" w14:textId="77777777" w:rsidR="008D479B" w:rsidRDefault="008D479B" w:rsidP="008D479B">
      <w:pPr>
        <w:pStyle w:val="TextoNormal"/>
      </w:pPr>
    </w:p>
    <w:p w14:paraId="637A0547" w14:textId="77777777" w:rsidR="008D479B" w:rsidRDefault="008D479B" w:rsidP="008D479B">
      <w:pPr>
        <w:pStyle w:val="TextoNormal"/>
      </w:pPr>
      <w:r>
        <w:t>No desdice la anterior conclusión la comunicación efectuada por el Gobierno del Reino de España a las instituciones europeas que, en modo alguno puede considerarse que sirviera para garantizar el principio de “publicidad de las normas”, el cual se consuma, fundamentalmente, mediante su incorporación al “Boletín Oficial del Estado” (“BOE”), como reza el art. 2 del Código civil. La garantía constitucional de la “publicidad” “aparece como consecuencia ineluctable de la proclamación de España como un Estado de Derecho, y se encuentra en íntima relación con el principio de seguridad jurídica consagrado en el mismo art. 9.3 CE: pues solo podrán asegurarse las posiciones jurídicas de los ciudadanos, la posibilidad de estos de ejercer y defender sus derechos, y la efectiva sujeción de los ciudadanos y los poderes públicos al ordenamiento jurídico, si los destinatarios de las normas tienen una efectiva oportunidad de conocerlas en cuanto tales normas, mediante un instrumento de difusión general que dé fe de su existencia y contenido, por lo que resultarán evidentemente contrarias al principio de publicidad aquellas normas que fueran de imposible o muy difícil conocimiento” (STC 179/1989, de 2 de noviembre, FJ 2). El posible “efecto anuncio” de las medidas tributarias que se avecinaban solo podría entenderse que tuvo lugar mediante su publicación “en el ‘Diario Oficial de las Cortes Generales’”, la cual permite tener un conocimiento anticipado del contenido de la norma propuesta “a sus eventuales destinatarios (operadores jurídicos y ciudadanos)” [SSTC 136/2011, de 13 de septiembre, FJ 9; 176/2011, de 8 de noviembre, FJ 2 e); y 161/2019, de 12 de diciembre, FJ 3].</w:t>
      </w:r>
    </w:p>
    <w:p w14:paraId="5C415CEF" w14:textId="77777777" w:rsidR="008D479B" w:rsidRDefault="008D479B" w:rsidP="008D479B">
      <w:pPr>
        <w:pStyle w:val="TextoNormal"/>
      </w:pPr>
    </w:p>
    <w:p w14:paraId="22C84442" w14:textId="77777777" w:rsidR="008D479B" w:rsidRDefault="008D479B" w:rsidP="008D479B">
      <w:pPr>
        <w:pStyle w:val="TextoNormal"/>
      </w:pPr>
      <w:r>
        <w:t>La incorporación del impuesto temporal de solidaridad de las grandes fortunas al texto de la iniciativa legislativa en tramitación, mediante la aprobación de la enmienda núm. 99 tuvo lugar en el “informe de la ponencia” que fue publicado y, por tanto, publicitado, en el “Boletín Oficial de las Cortes Generales” del día 23 de noviembre de 2022 (Congreso de los Diputados, núm. 271-6, págs. 13-17). Es decir, se llevó a cabo cuando el ejercicio estaba a punto de concluir (a poco más de un mes) y, con ello, sin un espacio temporal materialmente útil para proceder a la reordenación de la situación patrimonial de sus destinatarios, sin provocarles un perjuicio que no tenían el deber jurídico de soportar.</w:t>
      </w:r>
    </w:p>
    <w:p w14:paraId="36EB7C3D" w14:textId="77777777" w:rsidR="008D479B" w:rsidRDefault="008D479B" w:rsidP="008D479B">
      <w:pPr>
        <w:pStyle w:val="TextoNormal"/>
      </w:pPr>
    </w:p>
    <w:p w14:paraId="512233E7" w14:textId="77777777" w:rsidR="008D479B" w:rsidRDefault="008D479B" w:rsidP="008D479B">
      <w:pPr>
        <w:pStyle w:val="TextoNormal"/>
      </w:pPr>
      <w:r>
        <w:t>b) La concurrencia de un interés público prevalente. Si las dos “finalidades principales de este nuevo impuesto” eran la “recaudatoria” y la “armonizadora” (apartado V de la exposición de motivos de la Ley 38/2022), ni la una ni la otra tenían una fuerza suasoria suficiente como para justificar la cesión del principio de confianza legítima. No se trata de “cualificadas razones de interés público”, sino de meros objetivos cuya materialización podía haberse llevado a efecto sin menoscabo alguno para el principio de seguridad jurídica. Ni la situación económica era tan catastrófica (según los datos del propio Gobierno de la Nación) como para justificar una injerencia legítima en el citado principio, ni la pretensión de incorporar un mínimo común denominador en materia de tributación patrimonial contaba con urgencia de ninguna clase, pudiendo esperarse a la activación del correspondiente mecanismo de reversión (centralizador).</w:t>
      </w:r>
    </w:p>
    <w:p w14:paraId="0AF4633A" w14:textId="77777777" w:rsidR="008D479B" w:rsidRDefault="008D479B" w:rsidP="008D479B">
      <w:pPr>
        <w:pStyle w:val="TextoNormal"/>
      </w:pPr>
    </w:p>
    <w:p w14:paraId="7E3B36AD" w14:textId="77777777" w:rsidR="008D479B" w:rsidRDefault="008D479B" w:rsidP="008D479B">
      <w:pPr>
        <w:pStyle w:val="TextoNormal"/>
      </w:pPr>
      <w:r>
        <w:t>Si el legislador hubiese concretado el primer devengo del tributo en el año 2023 (el 31 de diciembre), como así había anticipado tanto a los destinatarios de la norma como al resto de los operadores jurídicos, ninguna expectativa legítima se habría quebrado. Sin embargo, al haberse forzado su aplicación en el propio ejercicio de su aprobación, tan solo un día después de la publicación de su norma legal reguladora en el “BOE” y dos días antes de su devengo, no cabe sino afirmar que, con su conducta, el legislador afectó de manera grave e injustificada a “la expectativa razonablemente fundada del ciudadano en cuál ha de ser la actuación del poder en la aplicación del Derecho” (SSTC 36/1991, de 14 de febrero, FJ 5, y 104/2000, de 13 de abril, FJ 7), esto es, a la “vertiente subjetiva de la seguridad jurídica, reconducible a la idea de previsibilidad” (STC 273/2000, de 15 de noviembre, FJ 11), impidiendo a los ciudadanos “ajustar su conducta a la legislación vigente” (STC 273/2000, de 15 de noviembre, FJ 12). No hay que olvidar que “el principio de confianza legítima viene anudado a la realización de conductas, tales como inversiones, que no se habrían llevado a cabo, o se habrían realizado en cuantía o condiciones diferentes en caso de haberse conocido que el panorama normativo conforme al que se adoptaron iba a mudar” (SSTC 181/2016, de 20 de octubre, FJ 5; y 51/2018, de 10 de mayo, FJ 5).</w:t>
      </w:r>
    </w:p>
    <w:p w14:paraId="5D857A6A" w14:textId="77777777" w:rsidR="008D479B" w:rsidRDefault="008D479B" w:rsidP="008D479B">
      <w:pPr>
        <w:pStyle w:val="TextoNormal"/>
      </w:pPr>
    </w:p>
    <w:p w14:paraId="3B0E72F0" w14:textId="77777777" w:rsidR="008D479B" w:rsidRDefault="008D479B" w:rsidP="008D479B">
      <w:pPr>
        <w:pStyle w:val="TextoNormal"/>
      </w:pPr>
      <w:r>
        <w:t>4.4</w:t>
      </w:r>
      <w:r w:rsidRPr="008D479B">
        <w:rPr>
          <w:i/>
        </w:rPr>
        <w:t>. Conclusión: el atropello al principio de confianza legíti</w:t>
      </w:r>
      <w:r>
        <w:t>ma</w:t>
      </w:r>
    </w:p>
    <w:p w14:paraId="52905EDC" w14:textId="77777777" w:rsidR="008D479B" w:rsidRDefault="008D479B" w:rsidP="008D479B">
      <w:pPr>
        <w:pStyle w:val="TextoNormal"/>
      </w:pPr>
    </w:p>
    <w:p w14:paraId="1C906F63" w14:textId="77777777" w:rsidR="008D479B" w:rsidRDefault="008D479B" w:rsidP="008D479B">
      <w:pPr>
        <w:pStyle w:val="TextoNormal"/>
      </w:pPr>
      <w:r>
        <w:t>La precipitada entrada en vigor de la normativa reguladora del impuesto temporal de solidaridad de las grandes fortunas fue absolutamente imprevisible para los destinatarios de la norma. Además, careció de la justificación necesaria que la legitimase, dañando su confianza en la que debió ser la esperable actuación de unos poderes públicos que habían formulado públicamente su firme voluntad de incorporar el tributo controvertido al ordenamiento jurídico español con efectos desde 2023. Como ya ha tenido la ocasión de señalar este tribunal, ni “las invocaciones genéricas a la crisis financiera […] pueden tener virtualidad alguna, por sí mismas, para admitir el establecimiento de una medida con el grado de retroactividad como la que aquí se cuestiona”, ni la mera apelación a la “justicia tributaria” “permite, sin más, que el legislador pueda anudar a una disposición una retroactividad de efectos tan amplios como la que aquí se enjuicia, pues ello convertiría el principio de seguridad jurídica en una mera ilusión o en un principio vacío de contenido”; “[l]a garantía de un sistema tributario justo es central a todo Estado social y democrático de Derecho, ya que, en ausencia de tal sistema, no puede ni siquiera haber una sociedad civilizada” (STC 121/2016, de 23 de junio, FJ 5).</w:t>
      </w:r>
    </w:p>
    <w:p w14:paraId="6EEABD63" w14:textId="77777777" w:rsidR="008D479B" w:rsidRDefault="008D479B" w:rsidP="008D479B">
      <w:pPr>
        <w:pStyle w:val="TextoNormal"/>
      </w:pPr>
    </w:p>
    <w:p w14:paraId="0A5C176B" w14:textId="77777777" w:rsidR="008D479B" w:rsidRDefault="008D479B" w:rsidP="008D479B">
      <w:pPr>
        <w:pStyle w:val="TextoNormal"/>
      </w:pPr>
      <w:r>
        <w:t>La aplicación anticipada del impuesto temporal de solidaridad de las grandes fortunas al ejercicio 2022 ha afectado, de manera inconstitucional, al principio de confianza legítima y, con ello, aquel del cual es corolario, el de seguridad jurídica (art. 9.3 CE), al soterrar la expectativa razonablemente fundada de los ciudadanos en cuál debía de ser la actuación del poder público en la aplicación del Derecho.</w:t>
      </w:r>
    </w:p>
    <w:p w14:paraId="033106AF" w14:textId="77777777" w:rsidR="008D479B" w:rsidRDefault="008D479B" w:rsidP="008D479B">
      <w:pPr>
        <w:pStyle w:val="TextoNormal"/>
      </w:pPr>
    </w:p>
    <w:p w14:paraId="67EF8229" w14:textId="77777777" w:rsidR="008D479B" w:rsidRDefault="008D479B" w:rsidP="008D479B">
      <w:pPr>
        <w:pStyle w:val="TextoNormal"/>
      </w:pPr>
      <w:r>
        <w:t>Ni toda razón política puede vestirse, sin más, de una legitimación constitucional, ni el poder financiero del Estado puede desconocer, so pretexto de ser soberano, el ámbito competencial propio de las comunidades autónomas, socavando de forma ilegítima su autonomía política constitucionalmente consagrada, ni, en fin, el poder público puede traicionar abiertamente las expectativas generadas en los ciudadanos de cara al cumplimiento de las obligaciones impuestas.</w:t>
      </w:r>
    </w:p>
    <w:p w14:paraId="30F7FCE1" w14:textId="77777777" w:rsidR="008D479B" w:rsidRDefault="008D479B" w:rsidP="008D479B">
      <w:pPr>
        <w:pStyle w:val="TextoNormal"/>
      </w:pPr>
    </w:p>
    <w:p w14:paraId="2C73F036" w14:textId="712EFE9B" w:rsidR="008D479B" w:rsidRDefault="008D479B" w:rsidP="008D479B">
      <w:pPr>
        <w:pStyle w:val="TextoNormal"/>
      </w:pPr>
      <w:r>
        <w:t>Madrid, a catorce de noviembre de dos mil veintitrés.</w:t>
      </w:r>
    </w:p>
    <w:p w14:paraId="684E3EF9" w14:textId="1CD2D071" w:rsidR="008D479B" w:rsidRDefault="008D479B">
      <w:pPr>
        <w:spacing w:after="160" w:line="278" w:lineRule="auto"/>
        <w:rPr>
          <w:rFonts w:ascii="Times New Roman" w:eastAsia="Times New Roman" w:hAnsi="Times New Roman" w:cs="Times New Roman"/>
          <w:sz w:val="24"/>
          <w:szCs w:val="24"/>
          <w:lang w:eastAsia="es-ES"/>
        </w:rPr>
      </w:pPr>
      <w:r>
        <w:br w:type="page"/>
      </w:r>
    </w:p>
    <w:p w14:paraId="658C7412" w14:textId="77777777" w:rsidR="008D479B" w:rsidRDefault="008D479B" w:rsidP="008D479B">
      <w:pPr>
        <w:pStyle w:val="TtuloResolucin"/>
      </w:pPr>
      <w:bookmarkStart w:id="75" w:name="SENTENCIA_2023_150"/>
      <w:r>
        <w:t>SENTENCIA 150/2023, de 20 de noviembre de 2023</w:t>
      </w:r>
    </w:p>
    <w:bookmarkEnd w:id="75"/>
    <w:p w14:paraId="56E4DFA7" w14:textId="77777777" w:rsidR="008D479B" w:rsidRDefault="008D479B" w:rsidP="008D479B">
      <w:pPr>
        <w:pStyle w:val="TtuloResolucin"/>
      </w:pPr>
      <w:r>
        <w:t>Sala Segunda</w:t>
      </w:r>
    </w:p>
    <w:p w14:paraId="1E23B772" w14:textId="77777777" w:rsidR="008D479B" w:rsidRDefault="008D479B" w:rsidP="008D479B">
      <w:pPr>
        <w:pStyle w:val="TtuloBOE"/>
      </w:pPr>
      <w:r>
        <w:t>(BOE núm. 304, de 21 de diciembre de 2023)</w:t>
      </w:r>
    </w:p>
    <w:p w14:paraId="40DEAE73" w14:textId="77777777" w:rsidR="008D479B" w:rsidRDefault="008D479B" w:rsidP="008D479B">
      <w:pPr>
        <w:pStyle w:val="TextoNormalCentrado"/>
      </w:pPr>
      <w:r>
        <w:t>ECLI:ES:TC:2023:150</w:t>
      </w:r>
    </w:p>
    <w:p w14:paraId="7474155D" w14:textId="24648F6A" w:rsidR="008D479B" w:rsidRDefault="008D479B" w:rsidP="008D479B">
      <w:pPr>
        <w:pStyle w:val="TextoNormalCentrado"/>
      </w:pPr>
    </w:p>
    <w:p w14:paraId="4D14EBA1" w14:textId="77777777" w:rsidR="008D479B" w:rsidRDefault="008D479B" w:rsidP="008D479B">
      <w:pPr>
        <w:pStyle w:val="SntesisDescriptiva"/>
      </w:pPr>
      <w:r>
        <w:t>Recurso de amparo 5467-2019. Promovido por don Víctor Hugo Sánchez Mina respecto de las resoluciones dictadas por las salas de lo contencioso-administrativo del Tribunal Supremo y del Tribunal Superior de Justicia de Madrid y de un juzgado de este orden jurisdiccional de la capital que desestimaron su impugnación de la resolución de la delegada del Gobierno en Madrid, que decretó su expulsión del territorio nacional.</w:t>
      </w:r>
    </w:p>
    <w:p w14:paraId="4EC42CEE" w14:textId="304E7616" w:rsidR="008D479B" w:rsidRDefault="008D479B" w:rsidP="008D479B">
      <w:pPr>
        <w:pStyle w:val="SntesisDescriptiva"/>
      </w:pPr>
    </w:p>
    <w:p w14:paraId="34780629" w14:textId="77777777" w:rsidR="008D479B" w:rsidRDefault="008D479B" w:rsidP="008D479B">
      <w:pPr>
        <w:pStyle w:val="SntesisAnaltica"/>
      </w:pPr>
      <w:r>
        <w:t>Vulneración del derecho de defensa: resolución administrativa sancionadora que se funda en datos nuevos incorporados a la propuesta de resolución de la que no se dio traslado al interesado (STC 145/2011).</w:t>
      </w:r>
    </w:p>
    <w:p w14:paraId="03376669" w14:textId="7F60826A" w:rsidR="008D479B" w:rsidRDefault="008D479B" w:rsidP="008D479B">
      <w:pPr>
        <w:pStyle w:val="SntesisAnaltica"/>
      </w:pPr>
    </w:p>
    <w:p w14:paraId="78643DAA" w14:textId="391246C9" w:rsidR="008D479B" w:rsidRDefault="008D479B" w:rsidP="008D479B">
      <w:pPr>
        <w:pStyle w:val="Extracto"/>
      </w:pPr>
      <w:r>
        <w:t>1.</w:t>
      </w:r>
      <w:r>
        <w:tab/>
        <w:t>Se vulnera el derecho de defensa en el transcurso del procedimiento administrativo sancionador (art. 24.2 CE) en los supuestos de expulsión del territorio nacional por mera estancia irregular justificada, si se aplican directamente las consecuencias de la Directiva de retorno, en lugar de aplicar la normativa española de extranjería (STC 145/2011) [FJ 2].</w:t>
      </w:r>
    </w:p>
    <w:p w14:paraId="62FCA7F2" w14:textId="77777777" w:rsidR="008D479B" w:rsidRDefault="008D479B" w:rsidP="008D479B">
      <w:pPr>
        <w:pStyle w:val="Extracto"/>
      </w:pPr>
    </w:p>
    <w:p w14:paraId="1EEB066F" w14:textId="166C5E5C" w:rsidR="008D479B" w:rsidRDefault="008D479B" w:rsidP="008D479B">
      <w:pPr>
        <w:pStyle w:val="Extracto"/>
      </w:pPr>
      <w:r>
        <w:t>2.</w:t>
      </w:r>
      <w:r>
        <w:tab/>
        <w:t>Las garantías procesales establecidas en el art. 24.2 CE se aplican a los procedimientos administrativos sancionadores, por cuanto son manifestación de la potestad punitiva del Estado; y particularmente el derecho de defensa implica, no solo que el interesado sea emplazado y tome conocimiento de la incoación del procedimiento, sino que tenga oportunidad de alegar en el curso del mismo lo que a su derecho convenga y aportar y proponer las pruebas que estime pertinentes (SSTC 18/1981 o 145/2011) [FJ 2].</w:t>
      </w:r>
    </w:p>
    <w:p w14:paraId="21393D27" w14:textId="77777777" w:rsidR="008D479B" w:rsidRDefault="008D479B" w:rsidP="008D479B">
      <w:pPr>
        <w:pStyle w:val="Extracto"/>
      </w:pPr>
    </w:p>
    <w:p w14:paraId="0C24D3A0" w14:textId="6317180A" w:rsidR="008D479B" w:rsidRDefault="008D479B" w:rsidP="008D479B">
      <w:pPr>
        <w:pStyle w:val="Extracto"/>
      </w:pPr>
      <w:r>
        <w:t>3.</w:t>
      </w:r>
      <w:r>
        <w:tab/>
        <w:t>Si los hechos nuevos incorporados a la propuesta de resolución no implican una nueva calificación jurídica ni tampoco la imposición de una sanción distinta de la anunciada, pero sí son relevantes desde el punto de vista de la licitud de la opción de la Administración en favor de la sanción de expulsión frente a la de multa, la imposibilidad de alegar en vía administrativa la falta de notificación de la resolución sancionadora y su prescripción vulnera el derecho de defensa en el transcurso del procedimiento administrativo sancionador (art. 24.2 CE) [FJ 3].</w:t>
      </w:r>
    </w:p>
    <w:p w14:paraId="5519E176" w14:textId="77777777" w:rsidR="008D479B" w:rsidRDefault="008D479B" w:rsidP="008D479B">
      <w:pPr>
        <w:pStyle w:val="Extracto"/>
      </w:pPr>
    </w:p>
    <w:p w14:paraId="49709BD4" w14:textId="77777777" w:rsidR="008D479B" w:rsidRDefault="008D479B" w:rsidP="008D479B">
      <w:pPr>
        <w:pStyle w:val="Extracto"/>
      </w:pPr>
    </w:p>
    <w:p w14:paraId="61A70F3A" w14:textId="77777777" w:rsidR="008D479B" w:rsidRDefault="008D479B" w:rsidP="008D479B">
      <w:pPr>
        <w:pStyle w:val="TextoNormal"/>
      </w:pPr>
      <w:r>
        <w:t>La Sala Segunda del Tribunal Constitucional, compuesta por la magistrada doña Inmaculada Montalbán Huertas, presidenta, y las magistradas y magistrados doña María Luisa Balaguer Callejón, don Ramón Sáez Valcárcel, don Enrique Arnaldo Alcubilla y doña Laura Díez Bueso, ha pronunciado</w:t>
      </w:r>
    </w:p>
    <w:p w14:paraId="0D9DFA7B" w14:textId="6CC1CB74" w:rsidR="008D479B" w:rsidRDefault="008D479B" w:rsidP="008D479B">
      <w:pPr>
        <w:pStyle w:val="TextoNormal"/>
      </w:pPr>
    </w:p>
    <w:p w14:paraId="7387035D" w14:textId="77777777" w:rsidR="008D479B" w:rsidRDefault="008D479B" w:rsidP="008D479B">
      <w:pPr>
        <w:pStyle w:val="TextoNormalCentrado"/>
        <w:keepNext/>
      </w:pPr>
      <w:r>
        <w:t>EN NOMBRE DEL REY</w:t>
      </w:r>
    </w:p>
    <w:p w14:paraId="07E2B944" w14:textId="1FEA1DD4" w:rsidR="008D479B" w:rsidRDefault="008D479B" w:rsidP="008D479B">
      <w:pPr>
        <w:pStyle w:val="TextoNormalCentrado"/>
        <w:keepNext/>
      </w:pPr>
    </w:p>
    <w:p w14:paraId="0ED11626" w14:textId="77777777" w:rsidR="008D479B" w:rsidRDefault="008D479B" w:rsidP="008D479B">
      <w:pPr>
        <w:pStyle w:val="TextoNormalCentrado"/>
        <w:keepNext/>
      </w:pPr>
    </w:p>
    <w:p w14:paraId="222A35C5" w14:textId="77777777" w:rsidR="008D479B" w:rsidRDefault="008D479B" w:rsidP="008D479B">
      <w:pPr>
        <w:pStyle w:val="TextoNormal"/>
      </w:pPr>
      <w:r>
        <w:t>la siguiente</w:t>
      </w:r>
    </w:p>
    <w:p w14:paraId="5F5628C7" w14:textId="076754BB" w:rsidR="008D479B" w:rsidRDefault="008D479B" w:rsidP="008D479B">
      <w:pPr>
        <w:pStyle w:val="TextoNormal"/>
      </w:pPr>
    </w:p>
    <w:p w14:paraId="5D20C7BE" w14:textId="77777777" w:rsidR="008D479B" w:rsidRDefault="008D479B" w:rsidP="008D479B">
      <w:pPr>
        <w:pStyle w:val="TextoNormalCentrado"/>
        <w:keepNext/>
      </w:pPr>
      <w:r>
        <w:t>SENTENCIA</w:t>
      </w:r>
    </w:p>
    <w:p w14:paraId="190FE0C9" w14:textId="112F42C2" w:rsidR="008D479B" w:rsidRDefault="008D479B" w:rsidP="008D479B">
      <w:pPr>
        <w:pStyle w:val="TextoNormalCentrado"/>
        <w:keepNext/>
      </w:pPr>
    </w:p>
    <w:p w14:paraId="23226A27" w14:textId="77777777" w:rsidR="008D479B" w:rsidRDefault="008D479B" w:rsidP="008D479B">
      <w:pPr>
        <w:pStyle w:val="TextoNormal"/>
      </w:pPr>
      <w:r>
        <w:t>En el recurso de amparo 5467-2019, promovido por don Víctor Hugo Sánchez Mina contra la resolución de 30 de diciembre de 2016 de la delegada del Gobierno en Madrid, que acordó decretar la expulsión del territorio español del recurrente, contra la sentencia núm. 95/2018, de 9 de abril, del Juzgado de lo Contencioso-Administrativo núm. 9 de Madrid dictada en el procedimiento abreviado 213-2017, que desestimó el recurso contencioso, contra la sentencia 86/2019, de 6 de febrero de 2019, de la Sección Segunda de Sala de lo Contencioso-Administrativo del Tribunal Superior de Justicia de Madrid, que desestimó el recurso de apelación núm. 668-2018 y contra la providencia, de 18 de julio de 2019, de la Sección Primera de la Sala de lo Contencioso-Administrativo del Tribunal Supremo por la que acordó la inadmisión a trámite del recurso de casación núm. 2615-2019. Ha comparecido y formulado alegaciones el abogado del Estado y ha intervenido el Ministerio Fiscal. Ha sido ponente la magistrada doña Laura Díez Bueso.</w:t>
      </w:r>
    </w:p>
    <w:p w14:paraId="5F23AF46" w14:textId="4F2D97B9" w:rsidR="008D479B" w:rsidRDefault="008D479B" w:rsidP="008D479B">
      <w:pPr>
        <w:pStyle w:val="TextoNormal"/>
      </w:pPr>
    </w:p>
    <w:p w14:paraId="52EACF96" w14:textId="77777777" w:rsidR="008D479B" w:rsidRDefault="008D479B" w:rsidP="008D479B">
      <w:pPr>
        <w:pStyle w:val="TextoNormalNegritaCentrado"/>
        <w:keepNext/>
      </w:pPr>
      <w:r>
        <w:t>I. Antecedentes</w:t>
      </w:r>
    </w:p>
    <w:p w14:paraId="388E1B2E" w14:textId="3EB578DF" w:rsidR="008D479B" w:rsidRDefault="008D479B" w:rsidP="008D479B">
      <w:pPr>
        <w:pStyle w:val="TextoNormalNegritaCentrado"/>
        <w:keepNext/>
      </w:pPr>
    </w:p>
    <w:p w14:paraId="33F96A5D" w14:textId="741CDE31" w:rsidR="008D479B" w:rsidRDefault="008D479B" w:rsidP="008D479B">
      <w:pPr>
        <w:pStyle w:val="TextoNormal"/>
      </w:pPr>
      <w:r w:rsidRPr="008D479B">
        <w:rPr>
          <w:rStyle w:val="NumeroAFNegritaCaracter"/>
        </w:rPr>
        <w:t>1</w:t>
      </w:r>
      <w:r>
        <w:t>. Mediante escrito presentado en este tribunal el 26 de septiembre de 2019, la procuradora de los tribunales doña María Isabel García Martínez, en nombre y representación de don Víctor Hugo Sánchez Mina, bajo la dirección del letrado don Miguel Cobas Pascual presentó recurso de amparo contra las resoluciones mencionadas en el encabezamiento.</w:t>
      </w:r>
    </w:p>
    <w:p w14:paraId="13A6CE51" w14:textId="77777777" w:rsidR="008D479B" w:rsidRDefault="008D479B" w:rsidP="008D479B">
      <w:pPr>
        <w:pStyle w:val="TextoNormal"/>
      </w:pPr>
    </w:p>
    <w:p w14:paraId="3A59C0D0" w14:textId="77777777" w:rsidR="008D479B" w:rsidRDefault="008D479B" w:rsidP="008D479B">
      <w:pPr>
        <w:pStyle w:val="TextoNormal"/>
      </w:pPr>
      <w:r w:rsidRPr="008D479B">
        <w:rPr>
          <w:rStyle w:val="NumeroAFNegritaCaracter"/>
        </w:rPr>
        <w:t>2</w:t>
      </w:r>
      <w:r>
        <w:t>. Los hechos en los que tiene su origen el presente recurso, y relevantes para su resolución, son, en síntesis, los siguientes:</w:t>
      </w:r>
    </w:p>
    <w:p w14:paraId="53E22B2E" w14:textId="77777777" w:rsidR="008D479B" w:rsidRDefault="008D479B" w:rsidP="008D479B">
      <w:pPr>
        <w:pStyle w:val="TextoNormal"/>
      </w:pPr>
    </w:p>
    <w:p w14:paraId="2FE96157" w14:textId="77777777" w:rsidR="008D479B" w:rsidRDefault="008D479B" w:rsidP="008D479B">
      <w:pPr>
        <w:pStyle w:val="TextoNormal"/>
      </w:pPr>
      <w:r>
        <w:t>a) El 30 de diciembre de 2016, la Delegación del Gobierno en Madrid dictó resolución decretando la expulsión de territorio nacional y la prohibición de entrada por un período de tres años de don Víctor Hugo Sánchez Mina, ciudadano nacional de Colombia, tras la tramitación del oportuno expediente. La resolución de expulsión se basa en la carencia de documentación habilitante de la estancia o residencia en España y, por tanto, en la comisión de la infracción tipificada en los arts. 53.1 a) y 57.1 de la Ley Orgánica 4/2000, de 11 de enero, sobre derechos y libertades de los extranjeros en España y su integración social (en adelante, LOEx).</w:t>
      </w:r>
    </w:p>
    <w:p w14:paraId="1484AD6D" w14:textId="77777777" w:rsidR="008D479B" w:rsidRDefault="008D479B" w:rsidP="008D479B">
      <w:pPr>
        <w:pStyle w:val="TextoNormal"/>
      </w:pPr>
    </w:p>
    <w:p w14:paraId="69A16006" w14:textId="77777777" w:rsidR="008D479B" w:rsidRDefault="008D479B" w:rsidP="008D479B">
      <w:pPr>
        <w:pStyle w:val="TextoNormal"/>
      </w:pPr>
      <w:r>
        <w:t>En la resolución administrativa se expone como antecedente que “[e]n el plazo concedido al efecto se ha presentado escrito de alegaciones, sin que de las manifestaciones contenidas en el mismo, desvirtúen los hechos imputados, constando en el expediente, además de la permanencia irregular en España, otros datos negativos sobre su conducta, al haber sido detenido el 24/08/2016 por robo con fuerza en las cosas, que demuestra un comportamiento antisocial en nuestro país y aconsejan la imposición de la sanción de expulsión que se propone, en lugar de una sanción económica, que en ningún caso sanaría su situación irregular en España. Además de su estancia irregular en España, en el momento de su detención estaba indocumentado, y, por lo tanto, sin acreditar su identificación y filiación, desconociéndose cuándo y por dónde efectuó su entrada en territorio español y si lo hizo por un puesto habilitado conforme a los establecido en el artículo 25 de la Ley de extranjería. Por resolución de fecha 23/11/11, por esta misma infracción se le impuso una sanción económica, advirtiéndolo de la obligación de inherente a la misma de abandonar el territorio español conforme a lo determinado por el artículo 28.3 c) de la Ley Orgánica 4/2000, de 11 de enero, obligación que ha incumplido, persistiendo en situación de irregularidad en España al día de hoy”.</w:t>
      </w:r>
    </w:p>
    <w:p w14:paraId="30E68609" w14:textId="77777777" w:rsidR="008D479B" w:rsidRDefault="008D479B" w:rsidP="008D479B">
      <w:pPr>
        <w:pStyle w:val="TextoNormal"/>
      </w:pPr>
    </w:p>
    <w:p w14:paraId="6F11FBC8" w14:textId="77777777" w:rsidR="008D479B" w:rsidRDefault="008D479B" w:rsidP="008D479B">
      <w:pPr>
        <w:pStyle w:val="TextoNormal"/>
      </w:pPr>
      <w:r>
        <w:t xml:space="preserve">b) Contra la citada resolución administrativa se interpuso recurso contencioso-administrativo (procedimiento abreviado núm. 213-2017), solicitando como medida cautelar, la suspensión de la ejecución de expulsión, del que conoció el Juzgado de lo Contencioso-Administrativo núm. 9 de Madrid. El recurrente en amparo basó su impugnación en: (i) la caducidad del procedimiento administrativo sancionador </w:t>
      </w:r>
      <w:r w:rsidRPr="008D479B">
        <w:rPr>
          <w:i/>
        </w:rPr>
        <w:t>ex</w:t>
      </w:r>
      <w:r>
        <w:t xml:space="preserve"> art. 225 del reglamento, aprobado por Real Decreto 557/2011, de 20 de abril, dado que el procedimiento se había iniciado el 24 de agosto de 2016 y le fue notificado el 13 de abril de 2017; (ii) la falta de motivación de la resolución sancionadora e infracción del principio de proporcionalidad al imponer la sanción de expulsión, por cuanto la resolución no pondera las circunstancias personales, familiares y sociales que concurren en el recurrente que acreditan una situación de arraigo e integración en la sociedad española, siendo padre de una menor de tres años, además de no concurrir las circunstancias que justifican la sanción de expulsión, pues aportó documentación acreditativa sobre su identidad, el modo en el que entró en España y no cabe inferir un comportamiento antisocial ya que la denuncia por robo con fuerza fue archivada; (iii) la sentencia del Tribunal de Justicia de la Unión Europea, de 23 de abril de 2015, asunto </w:t>
      </w:r>
      <w:r w:rsidRPr="008D479B">
        <w:rPr>
          <w:i/>
        </w:rPr>
        <w:t>Subdelegación del Gobierno en Guipúzcoa-Extranjería c. Samir Zaizoune</w:t>
      </w:r>
      <w:r>
        <w:t>, C-38/14, no debe interpretarse en el sentido de que ya no cabe la sanción de multa en vez de la expulsión, porque la legislación nacional da cobertura a la imposición de la sanción de multa. Además, la Directiva 2008/115/CE del Parlamento y del Consejo, de 16 de diciembre de 2008, relativa a normas y procedimientos comunes en los Estados miembros para el retorno de los nacionales de terceros países en situación irregular (en adelante, Directiva 2008/115/CE) expresamente contempla excepciones a la decisión de retorno por razones humanitarias; y (iv) la vulneración del principio de audiencia al interesado, por tanto, del derecho de defensa, porque no se le dio traslado de la propuesta de resolución sancionadora. Expresamente alegó que se estaba ante un caso al que le era de aplicación la STC 145/2011, de 26 de septiembre, dado que en la resolución impugnada se habían incorporado nuevos hechos frente a los cuales el interesado no había podido formular alegaciones o aportar documentos, de manera que se le habría causado una indefensión material, real y efectiva en el procedimiento. Así se había introducido como causa de expulsión la detención por el delito de robo, de la que se había inferido una conducta antisocial cuando, sin embargo, el juzgado de instrucción había acordado el archivo de la causa.</w:t>
      </w:r>
    </w:p>
    <w:p w14:paraId="178EBCB5" w14:textId="77777777" w:rsidR="008D479B" w:rsidRDefault="008D479B" w:rsidP="008D479B">
      <w:pPr>
        <w:pStyle w:val="TextoNormal"/>
      </w:pPr>
    </w:p>
    <w:p w14:paraId="6A7808B1" w14:textId="77777777" w:rsidR="008D479B" w:rsidRDefault="008D479B" w:rsidP="008D479B">
      <w:pPr>
        <w:pStyle w:val="TextoNormal"/>
      </w:pPr>
      <w:r>
        <w:t>c) Por auto de 14 de septiembre de 2017, el Juzgado de Instrucción núm. 34 de Madrid acordó como medida cautelar la suspensión de la expulsión, por considerar que “el actor vive en España desde hace seis años, empadronado, con una hija de tres años. Claramente se deduce el arraigo en nuestro país. Sin que consten comportamientos negativos, salvo el de carecer de permiso de residencia”.</w:t>
      </w:r>
    </w:p>
    <w:p w14:paraId="013342D2" w14:textId="77777777" w:rsidR="008D479B" w:rsidRDefault="008D479B" w:rsidP="008D479B">
      <w:pPr>
        <w:pStyle w:val="TextoNormal"/>
      </w:pPr>
    </w:p>
    <w:p w14:paraId="6D7C5597" w14:textId="77777777" w:rsidR="008D479B" w:rsidRDefault="008D479B" w:rsidP="008D479B">
      <w:pPr>
        <w:pStyle w:val="TextoNormal"/>
      </w:pPr>
      <w:r>
        <w:t>d) El recurso contencioso-administrativo fue desestimado por sentencia 95/2018, de 9 de abril, del Juzgado de lo Contencioso-Administrativo núm. 9 de Madrid, en la que se descarta que se hubiera producido la caducidad del procedimiento sancionador. En aplicación del principio de primacía del derecho de la Unión sobre la normativa interna, con cita de la STJUE de 23 de abril de 2015, ofrece una interpretación de la Directiva 2008/115/CE de la que deduce la obligación de los Estados miembros de dictar una decisión de retorno contra cualquier nacional de un tercer país que se encuentre en situación irregular en su territorio, supone que la administración no podrá ya multar sino que habrá de expulsarle, salvo excepcionalmente en los casos previstos. Por ello, la actuación de la administración resulta ajustada a Derecho al tenor de la Directiva 2008/115/CE, toda vez que se otorgó al recurrente la posibilidad de salida voluntaria, una vez dictada la procedente decisión de retorno, de modo que constatado de que no se abandonó el territorio en el periodo concedido procede llevar a cabo la efectiva expulsión. A ello añade que el recurrente carece de arraigo familiar —al vivir su hija con la madre— y contar con varias detenciones por delito y por infracciones a la Ley de extranjería.</w:t>
      </w:r>
    </w:p>
    <w:p w14:paraId="69D0F307" w14:textId="77777777" w:rsidR="008D479B" w:rsidRDefault="008D479B" w:rsidP="008D479B">
      <w:pPr>
        <w:pStyle w:val="TextoNormal"/>
      </w:pPr>
    </w:p>
    <w:p w14:paraId="09076B21" w14:textId="77777777" w:rsidR="008D479B" w:rsidRDefault="008D479B" w:rsidP="008D479B">
      <w:pPr>
        <w:pStyle w:val="TextoNormal"/>
      </w:pPr>
      <w:r>
        <w:t xml:space="preserve">e) El demandante de amparo planteó recurso de apelación alegando: (i) la vulneración del derecho a la tutela judicial efectiva </w:t>
      </w:r>
      <w:r w:rsidRPr="008D479B">
        <w:rPr>
          <w:i/>
        </w:rPr>
        <w:t>ex</w:t>
      </w:r>
      <w:r>
        <w:t xml:space="preserve"> art. 24.1 CE, al entender que el procedimiento había caducado; (ii) la vulneración de los derechos de defensa, audiencia y contradicción en el procedimiento sancionador, haciendo especial hincapié en que se valorara como elemento negativo su detención por un delito de robo, sin tener en consideración que había sido archivado, una sanción por multa de la que no se le informó como dato en el acuerdo de incoación del expediente y la falta de abandono del territorio nacional de forma voluntaria, cuando no se le había notificado dicha resolución; (iii) añadió la infracción del principio de proporcionalidad que rige en la determinación de la sanción aplicable, no concurriendo ningún factor negativo de suficiente entidad que pudiera justificar la opción por la sanción de expulsión, siendo manifiesta su situación de arraigo personal, familiar y social. Por último, sostenía que no cabe interpretar la Directiva 2008/115/CE, en el sentido de que siempre que un ciudadano extranjero se encuentre en situación irregular en España deba adoptarse, necesaria e inexcusablemente, una decisión de retorno, sino que deben tenerse en cuenta las circunstancias concurrentes.</w:t>
      </w:r>
    </w:p>
    <w:p w14:paraId="745EE055" w14:textId="77777777" w:rsidR="008D479B" w:rsidRDefault="008D479B" w:rsidP="008D479B">
      <w:pPr>
        <w:pStyle w:val="TextoNormal"/>
      </w:pPr>
    </w:p>
    <w:p w14:paraId="675AD826" w14:textId="77777777" w:rsidR="008D479B" w:rsidRDefault="008D479B" w:rsidP="008D479B">
      <w:pPr>
        <w:pStyle w:val="TextoNormal"/>
      </w:pPr>
      <w:r>
        <w:t>El recurso de apelación fue desestimado por sentencia 86/2019, de 6 de febrero, de la sección segunda de la Sala de lo Contencioso-Administrativo del Tribunal Superior de Justicia de Madrid. Para alcanzar este fallo descarta la falta de congruencia de la resolución apelada y alude tanto al régimen legal aplicable, como a la STJUE de 23 de abril de 2015 y a la posterior jurisprudencia del Tribunal Supremo. La conclusión es que en los supuestos de estancia irregular como el aquí concurrente la regla general es la expulsión, salvo que concurra alguno de los supuestos de excepción que contempla la Directiva 2008/115/CE en los apartados 2 al 5 del art. 6, a las que hay que añadir los supuestos de no devolución por interés superior del niño, vida familiar y estado de salud, que se regulan en el art. 5 de la Directiva, supuestos de excepción los aludidos en los que cabe valorar en cada caso la situación particular del extranjero sujeto a la expulsión y su inclusión en alguna de las circunstancias que propician la aplicación del principio de no devolución. Deviene, por consiguiente, “innecesario el examen de la concurrencia o no en el expediente de datos negativos que, añadidos a la estancia irregular del extranjero, justifiquen la imposición de una sanción de expulsión en lugar de la sanción de multa desde la perspectiva el principio de proporcionalidad, pues es la sanción de expulsión la generalmente procedente”. Finalmente la sentencia señala que, en “cuanto a la falta de virtualidad a tales efectos del arraigo familiar y del superior interés del menor a que ciñe el apelante su impugnación, […] ni consta la efectiva convivencia familiar por las razones que se exponen en la sentencia recurrida ni que el recurrente tenga a su cargo a su hija menor y/o que el mismo esté al corriente de sus obligaciones paterno filiales, pese a incumbirle la cumplida acreditación de las circunstancias de excepción que invoca, tanto en cuanto hecho constitutivo de su pretensión como desde la perspectiva de la disponibilidad o facilidad probatoria a que hace mención el artículo 217 de la Ley 1/2000, de 7 de enero, de enjuiciamiento civil, de aplicación supletoria en este ámbito jurisdiccional específico”.</w:t>
      </w:r>
    </w:p>
    <w:p w14:paraId="14C21AEA" w14:textId="77777777" w:rsidR="008D479B" w:rsidRDefault="008D479B" w:rsidP="008D479B">
      <w:pPr>
        <w:pStyle w:val="TextoNormal"/>
      </w:pPr>
    </w:p>
    <w:p w14:paraId="69FB4098" w14:textId="76164CAA" w:rsidR="008D479B" w:rsidRDefault="008D479B" w:rsidP="008D479B">
      <w:pPr>
        <w:pStyle w:val="TextoNormal"/>
      </w:pPr>
      <w:r>
        <w:t>f) Preparado recurso de casación contra la sentencia dictada en apelación, fue inadmitido mediante providencia de 18 de julio de 2019, de la Sección Primera de la Sala de lo Contencioso-Administrativo del Tribunal Supremo por: “1) Falta de fundamentación suficiente, con singular referencia al caso, sobre la concurrencia de los supuestos previstos en el art. 88.2 c), i) y f) LJCA [Ley reguladora de la jurisdicción contencioso-administrativa], invocados como justificativos del interés casacional objetivo para la formación de jurisprudencia y la conveniencia de un pronunciamiento de la Sala de lo Contencioso-Administrativo del Tribunal Supremo; y 2) Carencia de interés casacional objetivo en los términos en los que ha sido preparado el recurso, teniendo en cuenta además que las cuestiones de hecho y su valoración probatoria están excluidas de la casación, como es el caso respecto de la consideración de la circunstancias personales y de arraigo del recurrente, a lo que se añade que sobre la cuestión planteada existe jurisprudencia reciente de esta Sala que expresamente se invoca en la sentencia recurrida”.</w:t>
      </w:r>
    </w:p>
    <w:p w14:paraId="0F88B280" w14:textId="77777777" w:rsidR="008D479B" w:rsidRDefault="008D479B" w:rsidP="008D479B">
      <w:pPr>
        <w:pStyle w:val="TextoNormal"/>
      </w:pPr>
    </w:p>
    <w:p w14:paraId="720F7FDD" w14:textId="77777777" w:rsidR="008D479B" w:rsidRDefault="008D479B" w:rsidP="008D479B">
      <w:pPr>
        <w:pStyle w:val="TextoNormal"/>
      </w:pPr>
      <w:r w:rsidRPr="008D479B">
        <w:rPr>
          <w:rStyle w:val="NumeroAFNegritaCaracter"/>
        </w:rPr>
        <w:t>3</w:t>
      </w:r>
      <w:r>
        <w:t>. La demanda de amparo alega que las resoluciones judiciales impugnadas vulneran el derecho a la tutela judicial efectiva del recurrente (art. 24.1 CE) por lo que se considera una aplicación irrazonable y arbitraria del principio de primacía del Derecho de la Unión Europea sin reparar en la doctrina jurisprudencial del Tribunal de Justicia de la Unión Europea sobre el efecto directo vertical inverso. Se sostiene que en ningún caso las directivas son directamente aplicables en supuestos como el de autos, en los que su transposición por el legislador nacional no ha sido la correcta, lo que no puede conducir a un perjuicio para el ciudadano como el que deriva de la imposición de la sanción de expulsión, en lugar de la multa en supuestos de estancia irregular en España.</w:t>
      </w:r>
    </w:p>
    <w:p w14:paraId="132E0AFE" w14:textId="77777777" w:rsidR="008D479B" w:rsidRDefault="008D479B" w:rsidP="008D479B">
      <w:pPr>
        <w:pStyle w:val="TextoNormal"/>
      </w:pPr>
    </w:p>
    <w:p w14:paraId="42962D2A" w14:textId="77777777" w:rsidR="008D479B" w:rsidRDefault="008D479B" w:rsidP="008D479B">
      <w:pPr>
        <w:pStyle w:val="TextoNormal"/>
      </w:pPr>
      <w:r>
        <w:t>La segunda vulneración que se invoca, relacionada con el art. 25.1 CE, se vincula con la falta de proporcionalidad de la sanción impuesta, pues se entiende que la sanción procedente ante la mera permanencia irregular en territorio español, cuando no concurre ningún elemento negativo, debería ser la de multa y no la de expulsión.</w:t>
      </w:r>
    </w:p>
    <w:p w14:paraId="04EFBC60" w14:textId="77777777" w:rsidR="008D479B" w:rsidRDefault="008D479B" w:rsidP="008D479B">
      <w:pPr>
        <w:pStyle w:val="TextoNormal"/>
      </w:pPr>
    </w:p>
    <w:p w14:paraId="1D15E58E" w14:textId="1BA92375" w:rsidR="008D479B" w:rsidRDefault="008D479B" w:rsidP="008D479B">
      <w:pPr>
        <w:pStyle w:val="TextoNormal"/>
      </w:pPr>
      <w:r>
        <w:t>Se imputa, por último, a la resolución administrativa, la infracción del art. 24.2 CE, en su vertiente del derecho a la defensa, en relación con las alegadas infracciones de las garantías procedimentales que se habrían padecido en el procedimiento sancionador administrativo. Infracciones que no habrían sido reparadas por las resoluciones judiciales posteriores.</w:t>
      </w:r>
    </w:p>
    <w:p w14:paraId="25095F11" w14:textId="77777777" w:rsidR="008D479B" w:rsidRDefault="008D479B" w:rsidP="008D479B">
      <w:pPr>
        <w:pStyle w:val="TextoNormal"/>
      </w:pPr>
    </w:p>
    <w:p w14:paraId="72B2AB57" w14:textId="77777777" w:rsidR="008D479B" w:rsidRDefault="008D479B" w:rsidP="008D479B">
      <w:pPr>
        <w:pStyle w:val="TextoNormal"/>
      </w:pPr>
      <w:r w:rsidRPr="008D479B">
        <w:rPr>
          <w:rStyle w:val="NumeroAFNegritaCaracter"/>
        </w:rPr>
        <w:t>4</w:t>
      </w:r>
      <w:r>
        <w:t>. Por providencia de 10 de marzo de 2021, la Sección Tercera de este tribunal acordó admitir a trámite el recurso de amparo, apreciando que concurre especial trascendencia constitucional [art. 50.1 de la Ley Orgánica del Tribunal Constitucional (LOTC)], porque el recurso puede dar ocasión al Tribunal para aclarar o cambiar su doctrina como consecuencia de un proceso de reflexión interna [STC 155/2009, de 25 de junio, FJ 2 b)].</w:t>
      </w:r>
    </w:p>
    <w:p w14:paraId="5BE045FC" w14:textId="77777777" w:rsidR="008D479B" w:rsidRDefault="008D479B" w:rsidP="008D479B">
      <w:pPr>
        <w:pStyle w:val="TextoNormal"/>
      </w:pPr>
    </w:p>
    <w:p w14:paraId="145D08C6" w14:textId="5FE4208F" w:rsidR="008D479B" w:rsidRDefault="008D479B" w:rsidP="008D479B">
      <w:pPr>
        <w:pStyle w:val="TextoNormal"/>
      </w:pPr>
      <w:r>
        <w:t>Por ello, en aplicación de lo dispuesto en el art. 51 LOTC, se ordenó dirigir atenta comunicación a la Sección Primera de la Sala de lo Contencioso-Administrativo del Tribunal Supremo, así como a la Sección Segunda de la Sala de lo Contencioso-Administrativo del Tribunal Superior de Justicia de Madrid para que remitiesen, en el plazo de diez días, certificación o fotocopia adverada de las actuaciones correspondientes al recurso de casación núm. 2615-2019 y del rollo de apelación núm. 668-2018, respectivamente. También se dirige comunicación al Juzgado de lo Contencioso-Administrativo núm. 9 de Madrid a fin de que remitiera, en el plazo de diez días, fotocopia adverada de las actuaciones correspondientes al procedimiento abreviado núm. 213-2017, debiendo previamente emplazarse a quienes hubieran sido parte en dicho procedimiento, excepto al recurrente en amparo, a fin de que, en el plazo de diez días, pudieran comparecer, si lo desearan, en el presente proceso constitucional. Por providencia de ese mismo día, se ordena formar pieza separada para la sustanciación del incidente de suspensión y conceder al recurrente y al Ministerio Fiscal el plazo común de tres días para que alegasen lo que estimasen pertinente sobre la suspensión.</w:t>
      </w:r>
    </w:p>
    <w:p w14:paraId="26BFF5B3" w14:textId="77777777" w:rsidR="008D479B" w:rsidRDefault="008D479B" w:rsidP="008D479B">
      <w:pPr>
        <w:pStyle w:val="TextoNormal"/>
      </w:pPr>
    </w:p>
    <w:p w14:paraId="46CA0818" w14:textId="4FA5602D" w:rsidR="008D479B" w:rsidRDefault="008D479B" w:rsidP="008D479B">
      <w:pPr>
        <w:pStyle w:val="TextoNormal"/>
      </w:pPr>
      <w:r w:rsidRPr="008D479B">
        <w:rPr>
          <w:rStyle w:val="NumeroAFNegritaCaracter"/>
        </w:rPr>
        <w:t>5</w:t>
      </w:r>
      <w:r>
        <w:t>. La Abogacía del Estado se personó en el procedimiento de amparo por escrito registrado el 5 de abril de 2021.</w:t>
      </w:r>
    </w:p>
    <w:p w14:paraId="1CD63FF4" w14:textId="77777777" w:rsidR="008D479B" w:rsidRDefault="008D479B" w:rsidP="008D479B">
      <w:pPr>
        <w:pStyle w:val="TextoNormal"/>
      </w:pPr>
    </w:p>
    <w:p w14:paraId="2041DF1F" w14:textId="158A655F" w:rsidR="008D479B" w:rsidRDefault="008D479B" w:rsidP="008D479B">
      <w:pPr>
        <w:pStyle w:val="TextoNormal"/>
      </w:pPr>
      <w:r w:rsidRPr="008D479B">
        <w:rPr>
          <w:rStyle w:val="NumeroAFNegritaCaracter"/>
        </w:rPr>
        <w:t>6</w:t>
      </w:r>
      <w:r>
        <w:t>. Con fecha de 10 de mayo de 2021, la Sala Segunda de este tribunal acordó suspender la ejecución de la resolución de la delegada del Gobierno en Madrid de 30 de diciembre de 2016 en la que se acuerda la expulsión del recurrente del territorio nacional con la prohibición de entrada por un periodo de tres años, atendiendo al conjunto de circunstancias personales que se reflejan en las actuaciones y al hecho de que no cabe apreciar que dicha suspensión pueda originar una perturbación grave de los intereses generales, ni de los derechos fundamentales o libertades públicas de un tercero.</w:t>
      </w:r>
    </w:p>
    <w:p w14:paraId="676A5C27" w14:textId="77777777" w:rsidR="008D479B" w:rsidRDefault="008D479B" w:rsidP="008D479B">
      <w:pPr>
        <w:pStyle w:val="TextoNormal"/>
      </w:pPr>
    </w:p>
    <w:p w14:paraId="18CB09B0" w14:textId="5A719DB2" w:rsidR="008D479B" w:rsidRDefault="008D479B" w:rsidP="008D479B">
      <w:pPr>
        <w:pStyle w:val="TextoNormal"/>
      </w:pPr>
      <w:r w:rsidRPr="008D479B">
        <w:rPr>
          <w:rStyle w:val="NumeroAFNegritaCaracter"/>
        </w:rPr>
        <w:t>7</w:t>
      </w:r>
      <w:r>
        <w:t>. Por diligencia de ordenación de 18 de mayo de 2021, se acordó tener por personado y parte al abogado del Estado y, a tenor de lo dispuesto en el art. 52.1 LOTC, se resolvió dar vista de las actuaciones recibidas al Ministerio Fiscal y a las partes personadas, por plazo común de veinte días, para que dentro de dicho término pudieran presentar las alegaciones que a su derecho convinieran.</w:t>
      </w:r>
    </w:p>
    <w:p w14:paraId="5D3DDC61" w14:textId="77777777" w:rsidR="008D479B" w:rsidRDefault="008D479B" w:rsidP="008D479B">
      <w:pPr>
        <w:pStyle w:val="TextoNormal"/>
      </w:pPr>
    </w:p>
    <w:p w14:paraId="7EEC9703" w14:textId="77777777" w:rsidR="008D479B" w:rsidRDefault="008D479B" w:rsidP="008D479B">
      <w:pPr>
        <w:pStyle w:val="TextoNormal"/>
      </w:pPr>
      <w:r w:rsidRPr="008D479B">
        <w:rPr>
          <w:rStyle w:val="NumeroAFNegritaCaracter"/>
        </w:rPr>
        <w:t>8</w:t>
      </w:r>
      <w:r>
        <w:t>. Por escrito registrado el 18 de junio de 2021, el demandante don Víctor Hugo Sánchez Mina presentó su escrito de alegaciones, remitiéndose, en primer lugar, a lo expuesto en su escrito de demanda. En segundo término, advierte del reciente dictado de dos sentencias relevantes para la resolución de las cuestiones planteadas. Así, la sentencia de 8 de octubre de 2020 de la Sala Sexta del Tribunal de Justicia de la Unión Europea, en el asunto C-568/19, en la que tras recordar su reiterada jurisprudencia acerca de que las directivas no pueden, por sí solas, crear obligaciones a cargo de los particulares, porque los Estados miembros no pueden invocar las disposiciones de las directivas contra los mismos (ap. 35), a continuación, declara que “la Directiva 2008/115 debe interpretarse en el sentido de que, cuando la normativa nacional, en caso de situación irregular de nacionales de terceros países en el territorio de un Estado miembro, imponga, o bien una sanción de multa o bien la expulsión, teniendo en cuenta que la segunda medida solo puede adoptarse si existen circunstancias agravantes en la persona de dichos nacionales, adicionales a su situación irregular, la autoridad nacional competente no podrá basarse directamente en lo dispuesto en la Directiva para adoptar una decisión de retorno y hacer cumplir dicha decisión aun cuando no existan circunstancias agravantes” (ap. 36). Por consiguiente, a juicio del demandante, es contrario al principio de legalidad sancionadora (art. 25.1 CE), sancionar una conducta con fundamento en un precepto de una directiva que no ha sido correctamente transpuesta al derecho nacional, y en perjuicio del ciudadano.</w:t>
      </w:r>
    </w:p>
    <w:p w14:paraId="69D1AA6C" w14:textId="77777777" w:rsidR="008D479B" w:rsidRDefault="008D479B" w:rsidP="008D479B">
      <w:pPr>
        <w:pStyle w:val="TextoNormal"/>
      </w:pPr>
    </w:p>
    <w:p w14:paraId="0BB7ECAA" w14:textId="5960F3B9" w:rsidR="008D479B" w:rsidRDefault="008D479B" w:rsidP="008D479B">
      <w:pPr>
        <w:pStyle w:val="TextoNormal"/>
      </w:pPr>
      <w:r>
        <w:t>La segunda es la sentencia núm. 366-2021 de 17 de marzo de 2021 de la Sección Quinta de la Sala de lo Contencioso-Administrativo del Tribunal Supremo, en el recurso de casación 2870/2020, que modifica el criterio fijado en la providencia objeto de este recurso amparo y que respalda los argumentos de la demanda de amparo. Tal resolución declara, en primer lugar, que la situación de estancia irregular determina, en su caso, la decisión de expulsión, y no cabe la posibilidad de sustitución por una sanción de multa. Añade que la expulsión, comprensiva de la decisión de retorno y su ejecución, exige, en cada caso y de manera individualizada, la valoración y apreciación de circunstancias agravantes que pongan de manifiesto y justifiquen la proporcionalidad de la medida adoptada, tras la tramitación de un procedimiento con plenas garantías de los derechos de los afectados, conforme exige la jurisprudencia europea. En último término afirma que como tales circunstancias de agravación han de considerarse las que se han venido apreciando por la jurisprudencia con relación a la gravedad de la mera estancia irregular, bien sean de carácter subjetivo, o de carácter objetivo, y que pueden comprender otras de análoga significación.</w:t>
      </w:r>
    </w:p>
    <w:p w14:paraId="0D8DFFBD" w14:textId="77777777" w:rsidR="008D479B" w:rsidRDefault="008D479B" w:rsidP="008D479B">
      <w:pPr>
        <w:pStyle w:val="TextoNormal"/>
      </w:pPr>
    </w:p>
    <w:p w14:paraId="3620CC67" w14:textId="77777777" w:rsidR="008D479B" w:rsidRDefault="008D479B" w:rsidP="008D479B">
      <w:pPr>
        <w:pStyle w:val="TextoNormal"/>
      </w:pPr>
      <w:r w:rsidRPr="008D479B">
        <w:rPr>
          <w:rStyle w:val="NumeroAFNegritaCaracter"/>
        </w:rPr>
        <w:t>9</w:t>
      </w:r>
      <w:r>
        <w:t>. El 23 de junio de 2021 tuvo entrada en este tribunal el escrito de alegaciones presentado por la Abogacía del Estado en el que solicitó la desestimación del recurso de amparo, por entender que en modo alguno se ha aplicado errónea o arbitrariamente el criterio jurisprudencial de la STJUE de 23 de abril de 2015. Por el contrario, la doctrina sentada en esta sentencia resulta clara y terminante en relación con la aplicación siempre de la sanción de expulsión si se dan —como en este caso se aprecian por los órganos jurisdiccionales— los supuestos fácticos declarados como tales por las autoridades internas. Es decir, tras apreciar la concurrencia en el caso del supuesto de hecho del art. 53.1 a) LOEx, los tribunales internos han procedido a aplicar o confirmar la adecuación a Derecho de la reacción o consecuencia prevista por el art. 57.1 LOEx. Por tanto, no cabe pretender la alternativa de aplicación de una sanción de multa en el supuesto de hecho de la situación irregular, para la cual la norma española, en concordancia con la europea, es decir, con la Directiva 2008/115/CE prevé inequívocamente la imposición de la sanción de expulsión (art. 57.1 LOEx), máxime en este caso en el que el demandante había sido sancionado y advertido en el año 2011 de la obligación de abandonar el territorio español, lo que se comprobó tras su detención en agosto de 2016.</w:t>
      </w:r>
    </w:p>
    <w:p w14:paraId="1269DCD3" w14:textId="77777777" w:rsidR="008D479B" w:rsidRDefault="008D479B" w:rsidP="008D479B">
      <w:pPr>
        <w:pStyle w:val="TextoNormal"/>
      </w:pPr>
    </w:p>
    <w:p w14:paraId="104A4085" w14:textId="77777777" w:rsidR="008D479B" w:rsidRDefault="008D479B" w:rsidP="008D479B">
      <w:pPr>
        <w:pStyle w:val="TextoNormal"/>
      </w:pPr>
      <w:r>
        <w:t xml:space="preserve">Para el abogado del Estado, del tenor de la sentencia dictada por el órgano jurisdiccional de instancia, confirmada en apelación, queda claramente asumido el criterio de que la expulsión era la única respuesta jurídica a la situación de irregularidad en la que se hallaba el demandante, no siendo preciso valorar adicionalmente si concurrían datos negativos en el interesado para decidir o no la expulsión. Esta era una decisión que venía impuesta por la propia norma interpretada conforme a la Directiva y a la STJUE de 23 de abril de 2015. En tal sentido subraya que la pervivencia de preceptos no derogados formalmente debe entenderse no aplicables en tanto que contrarios a la previsión explícita de la misma Directiva que se traspone y, por tanto, desplazados por la normativa europea, incorporada al ordenamiento interno en virtud de su trasposición formal por Ley 2/2009, de 11 de diciembre, de modificación de la LOEx. Es más, en su opinión, al hallarnos en un supuesto de “caso aclarado”, no cabe en principio apreciar una vulneración del derecho a la tutela judicial efectiva </w:t>
      </w:r>
      <w:r w:rsidRPr="008D479B">
        <w:rPr>
          <w:i/>
        </w:rPr>
        <w:t>ex</w:t>
      </w:r>
      <w:r>
        <w:t xml:space="preserve"> art. 24 CE, en su faceta de obtener una decisión judicial de acuerdo con el sistema de fuentes, si la decisión del tribunal interno ha consistido, como ha sido el caso, en llevar a cabo la aplicación de la norma correspondiente tras una ponderación de las normas en juego que exige el principio de primacía del Derecho de la Unión (art. 8 de la Directiva 2008/115/CE).</w:t>
      </w:r>
    </w:p>
    <w:p w14:paraId="2CF31254" w14:textId="77777777" w:rsidR="008D479B" w:rsidRDefault="008D479B" w:rsidP="008D479B">
      <w:pPr>
        <w:pStyle w:val="TextoNormal"/>
      </w:pPr>
    </w:p>
    <w:p w14:paraId="4D385762" w14:textId="4B7216EF" w:rsidR="008D479B" w:rsidRDefault="008D479B" w:rsidP="008D479B">
      <w:pPr>
        <w:pStyle w:val="TextoNormal"/>
      </w:pPr>
      <w:r>
        <w:t>En cuanto a la necesidad de valorar las circunstancias personales de manera previa a la adopción de la decisión de expulsión, el abogado del Estado sostiene que constituye una excepción a la regla general de expulsión, que corresponde probar al demandado y valorar a los órganos judiciales y que, en este caso, “[l]a administración primero, y luego los tribunales en fase de revisión jurisdiccional de la decisión, en lo que a este aspecto de la posible concurrencia o no de alguna de las circunstancias previstas en los arts. 5 y 6 de la Directiva se refiere, como aspecto propio de legalidad ordinaria, la han entendido por no acreditadas. En concreto, al alegada por el demandante de convivencia familiar y el tener a su cargo una hija menor”.</w:t>
      </w:r>
    </w:p>
    <w:p w14:paraId="17B8BE39" w14:textId="77777777" w:rsidR="008D479B" w:rsidRDefault="008D479B" w:rsidP="008D479B">
      <w:pPr>
        <w:pStyle w:val="TextoNormal"/>
      </w:pPr>
    </w:p>
    <w:p w14:paraId="566A6F73" w14:textId="77777777" w:rsidR="008D479B" w:rsidRDefault="008D479B" w:rsidP="008D479B">
      <w:pPr>
        <w:pStyle w:val="TextoNormal"/>
      </w:pPr>
      <w:r w:rsidRPr="008D479B">
        <w:rPr>
          <w:rStyle w:val="NumeroAFNegritaCaracter"/>
        </w:rPr>
        <w:t>10</w:t>
      </w:r>
      <w:r>
        <w:t>. El Ministerio Fiscal formuló sus alegaciones en escrito presentado el 19 de julio de 2021, en el que postuló el otorgamiento del amparo solicitado.</w:t>
      </w:r>
    </w:p>
    <w:p w14:paraId="2ABFC68E" w14:textId="77777777" w:rsidR="008D479B" w:rsidRDefault="008D479B" w:rsidP="008D479B">
      <w:pPr>
        <w:pStyle w:val="TextoNormal"/>
      </w:pPr>
    </w:p>
    <w:p w14:paraId="16A7E2E8" w14:textId="77777777" w:rsidR="008D479B" w:rsidRDefault="008D479B" w:rsidP="008D479B">
      <w:pPr>
        <w:pStyle w:val="TextoNormal"/>
      </w:pPr>
      <w:r>
        <w:t>Comienza advirtiendo que la naturaleza del recurso de amparo es mixta, en tanto se imputa autónomamente a la resolución administrativa de expulsión un déficit de motivación (art. 24.1 CE), la infracción del derecho de defensa y de un proceso con todas las garantías (art. 24.2 CE), del principio de legalidad del art. 25.l CE y del de proporcionalidad y, por su parte a las resoluciones judiciales, el recurrente les imputa la vulneración del derecho a la tutela judicial efectiva sin indefensión del art. 24.1 CE y el principio de legalidad sancionadora del art. 25.1 CE.</w:t>
      </w:r>
    </w:p>
    <w:p w14:paraId="62EA380F" w14:textId="77777777" w:rsidR="008D479B" w:rsidRDefault="008D479B" w:rsidP="008D479B">
      <w:pPr>
        <w:pStyle w:val="TextoNormal"/>
      </w:pPr>
    </w:p>
    <w:p w14:paraId="59CB91AA" w14:textId="77777777" w:rsidR="008D479B" w:rsidRDefault="008D479B" w:rsidP="008D479B">
      <w:pPr>
        <w:pStyle w:val="TextoNormal"/>
      </w:pPr>
      <w:r>
        <w:t>Ello conlleva que el análisis de las vulneraciones citadas haya de comenzar por aquella cuya posible estimación pueda tener un mayor alcance en el proceso de origen del que trae causa el recurso.</w:t>
      </w:r>
    </w:p>
    <w:p w14:paraId="24CA8228" w14:textId="77777777" w:rsidR="008D479B" w:rsidRDefault="008D479B" w:rsidP="008D479B">
      <w:pPr>
        <w:pStyle w:val="TextoNormal"/>
      </w:pPr>
    </w:p>
    <w:p w14:paraId="344A214F" w14:textId="77777777" w:rsidR="008D479B" w:rsidRDefault="008D479B" w:rsidP="008D479B">
      <w:pPr>
        <w:pStyle w:val="TextoNormal"/>
      </w:pPr>
      <w:r>
        <w:t>Pues bien, respecto de la denuncia relativa al principio de legalidad (art. 25.l CE), por no observarse la legislación española que permite la sanción de multa en vez de la de expulsión cuando concurran determinadas circunstancias agravantes, al haberse aplicado directamente la Directiva en virtud del principio de primacía del derecho europeo y por desconocimiento del principio de proporcionalidad de la sanción, el fiscal entiende que el motivo debe decaer fue invocada por primera vez en el recurso de casación, por lo que el recurrente no cumplió con su deber de denunciar la vulneración del derecho tan pronto como pudo hacerlo [art. 50.1 a) en relación con el art. 44.1 c) LOTC].</w:t>
      </w:r>
    </w:p>
    <w:p w14:paraId="051AD530" w14:textId="77777777" w:rsidR="008D479B" w:rsidRDefault="008D479B" w:rsidP="008D479B">
      <w:pPr>
        <w:pStyle w:val="TextoNormal"/>
      </w:pPr>
    </w:p>
    <w:p w14:paraId="273C7713" w14:textId="77777777" w:rsidR="008D479B" w:rsidRDefault="008D479B" w:rsidP="008D479B">
      <w:pPr>
        <w:pStyle w:val="TextoNormal"/>
      </w:pPr>
      <w:r>
        <w:t>En segundo término, sostiene que la vulneración del derecho de defensa y el derecho a un proceso con todas las garantías (art. 24.2 CE), por no haberse dado al recurrente la posibilidad de formular alegaciones y conocer el verdadero alcance de los hechos que justificaban la medida de expulsión, sostiene el fiscal que los órganos judiciales subsanaron esta quiebra del procedimiento, al imputar a la administración la falta de aplicación de la Directiva de retorno y el procedimiento previsto en la misma, añadiendo que dictada la decisión de retorno, el recurrente estaba obligado a abandonar el territorio nacional de manera voluntaria, y, al no hacerlo se puede llevar a cabo la efectiva expulsión. Ahora bien, se advierte que dicha conclusión la alcanzan a partir de la doctrina de la STJUE de 23 de abril de 2015 y la aplicación del principio de primacía del Derecho de la Unión Europea, en concreto de la aplicación directa de la Directiva de retorno al supuesto de hecho consistente en la existencia de una estancia irregular en España del recurrente. Ello conduce a determinar, para resolver la queja que se formula, el alcance de la doctrina del Tribunal de Justicia de la Unión Europea y la interpretación y aplicación de la Directiva de retomo a la vista de las SSTJUE de 23 de abril de 2015 y de 8 de octubre de 2020, en relación con una normativa como la española que establece como sanción principal, en los supuestos de estancia irregular en España, la sanción de multa y la medida de expulsión la contempla cuando concurren determinadas circunstancias.</w:t>
      </w:r>
    </w:p>
    <w:p w14:paraId="7D391F3D" w14:textId="77777777" w:rsidR="008D479B" w:rsidRDefault="008D479B" w:rsidP="008D479B">
      <w:pPr>
        <w:pStyle w:val="TextoNormal"/>
      </w:pPr>
    </w:p>
    <w:p w14:paraId="53C66F5F" w14:textId="77777777" w:rsidR="008D479B" w:rsidRDefault="008D479B" w:rsidP="008D479B">
      <w:pPr>
        <w:pStyle w:val="TextoNormal"/>
      </w:pPr>
      <w:r>
        <w:t>Sobre la vulneración del principio de proporcionalidad en relación con la medida de expulsión decretada, vulneración que no fue reparada por las sentencias de instancia y apelación, por lo que, además, se imputa a estos órganos judiciales, la vulneración del derecho a la tutela judicial efectiva sin indefensión, por concurrir una manifiesta situación de arraigo personal, familiar (padre de una menor que nació y permanece en España) y social, que no fue valorada y tan solo se tuvo en consideración una detención por robo y una sanción por multa de la que no se informó al recurrente como dato en el acuerdo de incoación, aprecia el Ministerio Fiscal un déficit de motivación de los datos negativos que determinan la medida de expulsión, pues si bien la resolución administrativa de expulsión enumera alguno de ellos no entra a valorar las alegaciones del recurrente sobre el archivo de la causa por el delito de robo con fuerza que le permite decidir que se trata de una conducta antisocial, obviando cualquier valoración de su arraigo y buena conducta.</w:t>
      </w:r>
    </w:p>
    <w:p w14:paraId="10741931" w14:textId="77777777" w:rsidR="008D479B" w:rsidRDefault="008D479B" w:rsidP="008D479B">
      <w:pPr>
        <w:pStyle w:val="TextoNormal"/>
      </w:pPr>
    </w:p>
    <w:p w14:paraId="41E922BD" w14:textId="77777777" w:rsidR="008D479B" w:rsidRDefault="008D479B" w:rsidP="008D479B">
      <w:pPr>
        <w:pStyle w:val="TextoNormal"/>
      </w:pPr>
      <w:r>
        <w:t>En todo caso, advierte que, al igual que ocurre con la queja anteriormente analizada, la resolución de la presente vulneración exige, igualmente, determinar el alcance de la doctrina del Tribunal de Justicia de la Unión Europea y la interpretación y aplicación de la directiva de retomo a la vista de las SSTJUE de 23 de abril de 2015 y de 8 de octubre de 2020.</w:t>
      </w:r>
    </w:p>
    <w:p w14:paraId="51277528" w14:textId="77777777" w:rsidR="008D479B" w:rsidRDefault="008D479B" w:rsidP="008D479B">
      <w:pPr>
        <w:pStyle w:val="TextoNormal"/>
      </w:pPr>
    </w:p>
    <w:p w14:paraId="3E001C4C" w14:textId="77777777" w:rsidR="008D479B" w:rsidRDefault="008D479B" w:rsidP="008D479B">
      <w:pPr>
        <w:pStyle w:val="TextoNormal"/>
      </w:pPr>
      <w:r>
        <w:t>En torno a la alegada caducidad del procedimiento (art. 24.1 CE), con cita de los arts. 42 y 44 de la Ley 39/2615, de 1 de octubre, del procedimiento administrativo común de las administraciones públicas, aplicados al procedimiento en que se decretó la expulsión del recurrente, sostiene que en principio nada hace sospechar que la administración no cumpliera las previsiones legales, de manera que debe estarse a lo que los órganos judiciales dicen sobre la caducidad del expediente sancionador, pues nada hace sospechar que la administración no diera cumplimiento a las previsiones normativas y, en consecuencia, no se aprecia ninguna vulneración del derecho a la tutela judicial efectiva (STC 9/2018, de 5 de febrero).</w:t>
      </w:r>
    </w:p>
    <w:p w14:paraId="34A4DC77" w14:textId="77777777" w:rsidR="008D479B" w:rsidRDefault="008D479B" w:rsidP="008D479B">
      <w:pPr>
        <w:pStyle w:val="TextoNormal"/>
      </w:pPr>
    </w:p>
    <w:p w14:paraId="09802C6A" w14:textId="77777777" w:rsidR="008D479B" w:rsidRDefault="008D479B" w:rsidP="008D479B">
      <w:pPr>
        <w:pStyle w:val="TextoNormal"/>
      </w:pPr>
      <w:r>
        <w:t>A continuación, analiza la aplicación que han hecho los órganos judiciales de la STJUE de 23 de abril de 2015 y de la doctrina del Tribunal de Justicia de la Unión Europea sobre el efecto vertical inverso de la aplicación de las directivas de la Unión Europea. En tal sentido subraya que la STJUE de 8 de octubre de 2020, asunto C-589/19, ha declarado que “la Directiva 2008/115/CE del Parlamento Europeo y del Consejo, de 16 de diciembre de 2008, relativa a normas y procedimientos comunes en los Estados miembros para el retorno de los nacionales de terceros países en situación irregular, debe interpretarse en el sentido de que, cuando la normativa nacional, en caso de situación irregular de nacionales de terceros países en el territorio de un Estado miembro, imponga, o bien una sanción de multa, o bien la expulsión, teniendo en cuenta que la segunda medida solo puede adoptarse si existen circunstancias agravantes en la persona de dichos nacionales, adicionales a su situación irregular, la autoridad nacional competente no podrá basarse directamente en lo dispuesto en la Directiva para adoptar una decisión de retorno y hacer cumplir dicha decisión aun cuando no existan circunstancias agravantes”. En consecuencia, la sentencia europea exige, en circunstancias como las que concurren en este caso que, por exigencias de la normativa nacional, deban valorarse todos los factores concurrentes de manera individualizada para poder acordar la expulsión, no bastando la mera constatación de la estancia irregular.</w:t>
      </w:r>
    </w:p>
    <w:p w14:paraId="1B83D139" w14:textId="77777777" w:rsidR="008D479B" w:rsidRDefault="008D479B" w:rsidP="008D479B">
      <w:pPr>
        <w:pStyle w:val="TextoNormal"/>
      </w:pPr>
    </w:p>
    <w:p w14:paraId="012DDA3C" w14:textId="77777777" w:rsidR="008D479B" w:rsidRDefault="008D479B" w:rsidP="008D479B">
      <w:pPr>
        <w:pStyle w:val="TextoNormal"/>
      </w:pPr>
      <w:r>
        <w:t>Pues bien, a juicio del fiscal, la solución alcanzada por los órganos de instancia y apelación ha supuesto dejar de aplicar una normativa nacional sobre la necesidad de la concurrencia de determinadas circunstancias que hagan aconsejable y justifiquen la medida de expulsión, que exige la aplicación del principio de proporcionalidad de la sanción para poder acordar la expulsión de un no nacional en situación de estancia irregular en España, esto es, la apreciación de una serie de circunstancia “agravantes” que justifiquen esta medida.</w:t>
      </w:r>
    </w:p>
    <w:p w14:paraId="157BD9C3" w14:textId="77777777" w:rsidR="008D479B" w:rsidRDefault="008D479B" w:rsidP="008D479B">
      <w:pPr>
        <w:pStyle w:val="TextoNormal"/>
      </w:pPr>
    </w:p>
    <w:p w14:paraId="732FBA0F" w14:textId="77777777" w:rsidR="008D479B" w:rsidRDefault="008D479B" w:rsidP="008D479B">
      <w:pPr>
        <w:pStyle w:val="TextoNormal"/>
      </w:pPr>
      <w:r>
        <w:t xml:space="preserve">En consecuencia, puede afirmarse que la aplicación de la directiva de retorno se tradujo en que las resoluciones impugnadas hicieran una interpretación y aplicación de la norma europea irrazonable (art. 24.1 CE), a lo que ha de añadirse que las sentencias del Tribunal de Justicia de la Unión Europea tienen efecto </w:t>
      </w:r>
      <w:r w:rsidRPr="008D479B">
        <w:rPr>
          <w:i/>
        </w:rPr>
        <w:t>ex tunc</w:t>
      </w:r>
      <w:r>
        <w:t xml:space="preserve"> (STJUE de 22 de enero de 2015, asunto C-401/13 y C-432/13 y STC 145/2012, de 2 de julio, FJ 5), por lo que la resolución del presente recurso de amparo exige asumir la interpretación que de la directiva ha hecho el Tribunal de Justicia de la Unión Europea en su sentencia de 8 de octubre de 2020 y declarar la vulneración del derecho a la tutela judicial efectiva sin indefensión del recurrente (art. 24.1 CE).</w:t>
      </w:r>
    </w:p>
    <w:p w14:paraId="22AA29E3" w14:textId="77777777" w:rsidR="008D479B" w:rsidRDefault="008D479B" w:rsidP="008D479B">
      <w:pPr>
        <w:pStyle w:val="TextoNormal"/>
      </w:pPr>
    </w:p>
    <w:p w14:paraId="3681B43C" w14:textId="77777777" w:rsidR="008D479B" w:rsidRDefault="008D479B" w:rsidP="008D479B">
      <w:pPr>
        <w:pStyle w:val="TextoNormal"/>
      </w:pPr>
      <w:r>
        <w:t>Por lo demás, por cuanto atañe a la denuncia de la vulneración del derecho a la tutela judicial efectiva, en su vertiente de derecho de acceso a los recursos por la inadmisión del recurso de casación por providencia de 18 de julio de 2019, entiende que debe inadmitirse por falta de agotamiento de la vía judicial previa, en tanto el demandante no planteó el oportuno incidente de nulidad de actuaciones frente a la misma denunciando dicha vulneración [art. 50.1 a) en relación con el art. 44.1 a) LOTC].</w:t>
      </w:r>
    </w:p>
    <w:p w14:paraId="08657D27" w14:textId="77777777" w:rsidR="008D479B" w:rsidRDefault="008D479B" w:rsidP="008D479B">
      <w:pPr>
        <w:pStyle w:val="TextoNormal"/>
      </w:pPr>
    </w:p>
    <w:p w14:paraId="617A77EA" w14:textId="5D4513BD" w:rsidR="008D479B" w:rsidRDefault="008D479B" w:rsidP="008D479B">
      <w:pPr>
        <w:pStyle w:val="TextoNormal"/>
      </w:pPr>
      <w:r>
        <w:t>Por último, retomando el análisis de la vulneración del derecho de defensa por no haberse observado el procedimiento administrativo sancionador que ha impedido al recurrente formular alegaciones y la quiebra del principio de proporcionalidad (arts. 55.3 y 57.1 LOEx) al imponer la sanción de expulsión, recuerda que son aplicables los principios esenciales reflejados en el art. 24 CE y que la imposición de la sanción de expulsión no depende de la absoluta discrecionalidad de la administración, cuya actuación se encuentra condicionada, de una parte, por la existencia de una conducta tipificada como infracción grave y, por otra, por la necesaria ponderación de otros factores que hagan necesaria la expulsión (STC 212/2009, de 26 de noviembre). Sin embargo, en este caso, ni la resolución administrativa, ni las resoluciones judiciales han valorado las circunstancias personales, familiares, sociales y de arraigo del recurrente que había hecho valer en el expediente de expulsión, como tampoco ponderaron las posibles circunstancias agravantes, sino que se limitaron a aplicar la directiva de retorno, vulnerando con ello el derecho a la tutela judicial efectiva del recurrente, causándole indefensión (art. 24 CE).</w:t>
      </w:r>
    </w:p>
    <w:p w14:paraId="0171D28A" w14:textId="77777777" w:rsidR="008D479B" w:rsidRDefault="008D479B" w:rsidP="008D479B">
      <w:pPr>
        <w:pStyle w:val="TextoNormal"/>
      </w:pPr>
    </w:p>
    <w:p w14:paraId="449C1FA1" w14:textId="34A46F9B" w:rsidR="008D479B" w:rsidRDefault="008D479B" w:rsidP="008D479B">
      <w:pPr>
        <w:pStyle w:val="TextoNormal"/>
      </w:pPr>
      <w:r w:rsidRPr="008D479B">
        <w:rPr>
          <w:rStyle w:val="NumeroAFNegritaCaracter"/>
        </w:rPr>
        <w:t>11</w:t>
      </w:r>
      <w:r>
        <w:t>. Por diligencia de ordenación del secretario de justicia de la Sala Segunda (Sección Cuarta), en virtud del acuerdo adoptado por el Pleno del Tribunal Constitucional el día 17 de enero de 2023, publicado en el “Boletín Oficial del Estado” de 19 de enero, se pone en conocimiento de las partes y del Ministerio Fiscal que el presente recurso de amparo ha sido turnado a la Sala Segunda de este tribunal.</w:t>
      </w:r>
    </w:p>
    <w:p w14:paraId="5EF485CF" w14:textId="77777777" w:rsidR="008D479B" w:rsidRDefault="008D479B" w:rsidP="008D479B">
      <w:pPr>
        <w:pStyle w:val="TextoNormal"/>
      </w:pPr>
    </w:p>
    <w:p w14:paraId="50D1ECED" w14:textId="4773D7C7" w:rsidR="008D479B" w:rsidRDefault="008D479B" w:rsidP="008D479B">
      <w:pPr>
        <w:pStyle w:val="TextoNormal"/>
      </w:pPr>
      <w:r w:rsidRPr="008D479B">
        <w:rPr>
          <w:rStyle w:val="NumeroAFNegritaCaracter"/>
        </w:rPr>
        <w:t>12</w:t>
      </w:r>
      <w:r>
        <w:t>. El 11 de mayo de 2023, el magistrado don César Tolosa Tribiño presentó escrito, conforme al art. 217 de la Ley Orgánica del Poder Judicial, en el que comunicaba su voluntad de abstenerse en el enjuiciamiento del presente recurso de amparo, pues si bien no tuvo intervención directa en las resoluciones que se impugnan mediante el mismo, la providencia del Tribunal Supremo de 18 de julio de 2019, por la que se inadmite el recurso de casación núm. 15-2019, interpuesto contra la sentencia del Tribunal Superior de Justicia de Madrid tiene como fundamento la pérdida sobrevenida del interés casacional objetivo, por existir doctrina consolidada de la Sala de lo Contencioso-Administrativo del Tribunal Supremo, en la cuestión objeto del recurso [SSTS 980/2018 de 12 de junio (recurso núm. 2958-2017); 1716/2018, de 4 de diciembre (recurso núm. 5819-2017); 1817/2018, de 19 de diciembre (recurso núm. 5248-2017), y 1818/2018 de 19 de diciembre (recurso núm. 6533-2017)], que fue dictada formando parte de la sala sentenciadora el magistrado.</w:t>
      </w:r>
    </w:p>
    <w:p w14:paraId="57A6B693" w14:textId="77777777" w:rsidR="008D479B" w:rsidRDefault="008D479B" w:rsidP="008D479B">
      <w:pPr>
        <w:pStyle w:val="TextoNormal"/>
      </w:pPr>
    </w:p>
    <w:p w14:paraId="5602ECD4" w14:textId="6297249A" w:rsidR="008D479B" w:rsidRDefault="008D479B" w:rsidP="008D479B">
      <w:pPr>
        <w:pStyle w:val="TextoNormal"/>
      </w:pPr>
      <w:r w:rsidRPr="008D479B">
        <w:rPr>
          <w:rStyle w:val="NumeroAFNegritaCaracter"/>
        </w:rPr>
        <w:t>13</w:t>
      </w:r>
      <w:r>
        <w:t>. Mediante auto de 22 de mayo de 2023, la Sala Segunda estimó justificada la abstención formulada por el magistrado don Cesar Tolosa Tribiño en el recurso de amparo núm. 5467-2019, apartándole definitivamente del referido recurso y de todas sus incidencias.</w:t>
      </w:r>
    </w:p>
    <w:p w14:paraId="2A14E61F" w14:textId="77777777" w:rsidR="008D479B" w:rsidRDefault="008D479B" w:rsidP="008D479B">
      <w:pPr>
        <w:pStyle w:val="TextoNormal"/>
      </w:pPr>
    </w:p>
    <w:p w14:paraId="16692A93" w14:textId="3420F133" w:rsidR="008D479B" w:rsidRDefault="008D479B" w:rsidP="008D479B">
      <w:pPr>
        <w:pStyle w:val="TextoNormal"/>
      </w:pPr>
      <w:r w:rsidRPr="008D479B">
        <w:rPr>
          <w:rStyle w:val="NumeroAFNegritaCaracter"/>
        </w:rPr>
        <w:t>14</w:t>
      </w:r>
      <w:r>
        <w:t>. Por acuerdo de la presidenta de la Sala Segunda de este tribunal de 22 de mayo de 2023 se designó a la magistrada doña Laura Díez Bueso ponente en el presente recurso de amparo, en sustitución del magistrado don César Tolosa Tribiño, al que correspondía la ponencia, por abstención del mismo.</w:t>
      </w:r>
    </w:p>
    <w:p w14:paraId="0A86ACC6" w14:textId="77777777" w:rsidR="008D479B" w:rsidRDefault="008D479B" w:rsidP="008D479B">
      <w:pPr>
        <w:pStyle w:val="TextoNormal"/>
      </w:pPr>
    </w:p>
    <w:p w14:paraId="47EC7B1C" w14:textId="563BB59D" w:rsidR="008D479B" w:rsidRDefault="008D479B" w:rsidP="008D479B">
      <w:pPr>
        <w:pStyle w:val="TextoNormal"/>
      </w:pPr>
      <w:r w:rsidRPr="008D479B">
        <w:rPr>
          <w:rStyle w:val="NumeroAFNegritaCaracter"/>
        </w:rPr>
        <w:t>15</w:t>
      </w:r>
      <w:r>
        <w:t>. Por providencia de 16 de noviembre de 2023, se señaló para deliberación y votación de la presente sentencia el día 20 del mismo mes y año.</w:t>
      </w:r>
    </w:p>
    <w:p w14:paraId="363AD11A" w14:textId="77777777" w:rsidR="008D479B" w:rsidRDefault="008D479B" w:rsidP="008D479B">
      <w:pPr>
        <w:pStyle w:val="TextoNormal"/>
      </w:pPr>
    </w:p>
    <w:p w14:paraId="0E53B06C" w14:textId="77777777" w:rsidR="008D479B" w:rsidRDefault="008D479B" w:rsidP="008D479B">
      <w:pPr>
        <w:pStyle w:val="TextoNormalNegritaCentrado"/>
        <w:keepNext/>
      </w:pPr>
      <w:r>
        <w:t>II. Fundamentos jurídicos</w:t>
      </w:r>
    </w:p>
    <w:p w14:paraId="5BF99E94" w14:textId="12457985" w:rsidR="008D479B" w:rsidRDefault="008D479B" w:rsidP="008D479B">
      <w:pPr>
        <w:pStyle w:val="TextoNormalNegritaCentrado"/>
        <w:keepNext/>
      </w:pPr>
    </w:p>
    <w:p w14:paraId="05B166E6" w14:textId="77777777" w:rsidR="008D479B" w:rsidRDefault="008D479B" w:rsidP="008D479B">
      <w:pPr>
        <w:pStyle w:val="TextoNormal"/>
      </w:pPr>
      <w:r w:rsidRPr="008D479B">
        <w:rPr>
          <w:rStyle w:val="NumeroAFNegritaCaracter"/>
        </w:rPr>
        <w:t>1</w:t>
      </w:r>
      <w:r>
        <w:t xml:space="preserve">. </w:t>
      </w:r>
      <w:r w:rsidRPr="008D479B">
        <w:rPr>
          <w:i/>
        </w:rPr>
        <w:t>Objeto del recurso y posiciones de las partes</w:t>
      </w:r>
    </w:p>
    <w:p w14:paraId="0585E0F4" w14:textId="77777777" w:rsidR="008D479B" w:rsidRDefault="008D479B" w:rsidP="008D479B">
      <w:pPr>
        <w:pStyle w:val="TextoNormal"/>
      </w:pPr>
    </w:p>
    <w:p w14:paraId="07426186" w14:textId="77777777" w:rsidR="008D479B" w:rsidRDefault="008D479B" w:rsidP="008D479B">
      <w:pPr>
        <w:pStyle w:val="TextoNormal"/>
      </w:pPr>
      <w:r>
        <w:t>a) El presente recurso de amparo se dirige contra la resolución de fecha 30 de diciembre de 2016 de la delegada del Gobierno en Madrid, que acordó decretar la expulsión del territorio español de don Víctor Hugo Sánchez Mina, contra la sentencia núm. 95/2018 de 9 de abril de 2018 del Juzgado de lo Contencioso-Administrativo núm. 9 de Madrid dictada en el procedimiento abreviado núm. 213-2017, que desestimó el recurso contencioso contra la resolución administrativa anterior, contra la sentencia 86/2019 de 6 de febrero de 2019 de la sección segunda de Sala de lo Contencioso-Administrativo del Tribunal Superior de Justicia de Madrid, que desestimó el recurso de apelación núm. 668-2018 y contra la providencia de 18 de julio de 2019 de la Sección Primera de la Sala de lo Contencioso-Administrativo del Tribunal Supremo por la que acordó la inadmisión a trámite del recurso de casación núm. 2615-2019.</w:t>
      </w:r>
    </w:p>
    <w:p w14:paraId="66A609DE" w14:textId="77777777" w:rsidR="008D479B" w:rsidRDefault="008D479B" w:rsidP="008D479B">
      <w:pPr>
        <w:pStyle w:val="TextoNormal"/>
      </w:pPr>
    </w:p>
    <w:p w14:paraId="14BEEC35" w14:textId="77777777" w:rsidR="008D479B" w:rsidRDefault="008D479B" w:rsidP="008D479B">
      <w:pPr>
        <w:pStyle w:val="TextoNormal"/>
      </w:pPr>
      <w:r>
        <w:t>El recurrente alega la vulneración del derecho a la tutela judicial efectiva por cuanto el procedimiento administrativo habría caducado conforme al art. 222 del Reglamento aprobado por Decreto 557/2011, de 20 de abril, que desarrolla la Ley 4/2000, dado que el citado procedimiento se había iniciado el 24 de agosto de 2016 y le fue notificado el 13 de abril de 2017; igualmente, se alega la vulneración de este derecho fundamental por la interpretación que los órganos judiciales han hecho de la sentencia del Tribunal de Justicia de la Unión Europea de 23 de abril de 2015. A su entender, la medida de expulsión no respeta el principio de proporcionalidad porque no se ponderaron sus circunstancias personales, familiares y sociales, vulnerándose, asimismo, el derecho de defensa al haberse ignorado el principio de audiencia, en relación con el derecho a un proceso con todas las garantías, dado que al recurrente no se le habría dado traslado de la propuesta de resolución sancionadora y esta habría incorporado nuevos hechos frente a los cuales el interesado no habría podido formular alegaciones o aportar documentos, concretamente la imposición en el año 2011 de una multa por hallarse irregularmente en territorio español, con obligación de abandono voluntario del mismo y su detención por un presunto delito de robo en el año 2016. Alega, además, la vulneración del principio de legalidad del art. 25.1 CE en relación con el principio de seguridad jurídica del art. 9.3 CE y el art. 49 de la Carta de derechos fundamentales de la Unión Europea por cuanto la legislación española prevé un procedimiento sancionador con unas garantías y fija unas sanciones alternativas que no cabe dejar de aplicar.</w:t>
      </w:r>
    </w:p>
    <w:p w14:paraId="53660024" w14:textId="77777777" w:rsidR="008D479B" w:rsidRDefault="008D479B" w:rsidP="008D479B">
      <w:pPr>
        <w:pStyle w:val="TextoNormal"/>
      </w:pPr>
    </w:p>
    <w:p w14:paraId="23EEFE04" w14:textId="77777777" w:rsidR="008D479B" w:rsidRDefault="008D479B" w:rsidP="008D479B">
      <w:pPr>
        <w:pStyle w:val="TextoNormal"/>
      </w:pPr>
      <w:r>
        <w:t xml:space="preserve">Las alegaciones del abogado del Estado rechazan la verosimilitud de las lesiones denunciadas, en particular la proyección al caso de la STJUE de 8 de octubre de 2020, asunto </w:t>
      </w:r>
      <w:r w:rsidRPr="008D479B">
        <w:rPr>
          <w:i/>
        </w:rPr>
        <w:t>MO c. Subdelegación del Gobierno en Toledo</w:t>
      </w:r>
      <w:r>
        <w:t>, C-568/19, por ser objeto del recurso de amparo resoluciones judiciales de fecha posterior al pronunciamiento de la sentencia del Tribunal de Justicia de la Unión Europea.</w:t>
      </w:r>
    </w:p>
    <w:p w14:paraId="12FCC030" w14:textId="77777777" w:rsidR="008D479B" w:rsidRDefault="008D479B" w:rsidP="008D479B">
      <w:pPr>
        <w:pStyle w:val="TextoNormal"/>
      </w:pPr>
    </w:p>
    <w:p w14:paraId="0E05C90A" w14:textId="77777777" w:rsidR="008D479B" w:rsidRDefault="008D479B" w:rsidP="008D479B">
      <w:pPr>
        <w:pStyle w:val="TextoNormal"/>
      </w:pPr>
      <w:r>
        <w:t>El Ministerio Fiscal, en cambio, propone la estimación del recurso de amparo, en particular después del pronunciamiento contenido en la STJUE de 8 de octubre de 2020, que concluye que “la autoridad nacional competente no podrá basarse directamente en lo dispuesto en la Directiva para adoptar una decisión de retorno y hacer cumplir dicha decisión aun cuando no existan circunstancias agravantes”.</w:t>
      </w:r>
    </w:p>
    <w:p w14:paraId="4C33BF64" w14:textId="77777777" w:rsidR="008D479B" w:rsidRDefault="008D479B" w:rsidP="008D479B">
      <w:pPr>
        <w:pStyle w:val="TextoNormal"/>
      </w:pPr>
    </w:p>
    <w:p w14:paraId="7CA812EF" w14:textId="77777777" w:rsidR="008D479B" w:rsidRDefault="008D479B" w:rsidP="008D479B">
      <w:pPr>
        <w:pStyle w:val="TextoNormal"/>
      </w:pPr>
      <w:r>
        <w:t xml:space="preserve">b) Frente al argumento del abogado del Estado de que debe inadmitirse la queja relativa a la posible vulneración del derecho a la legalidad sancionadora </w:t>
      </w:r>
      <w:r w:rsidRPr="008D479B">
        <w:rPr>
          <w:i/>
        </w:rPr>
        <w:t>ex</w:t>
      </w:r>
      <w:r>
        <w:t xml:space="preserve"> art. 25.1 CE por falta de su previa invocación ante la jurisdicción ordinaria que impide el correcto agotamiento de la vía judicial necesario para su admisión a trámite, lo cierto es que desde la interposición del recurso contra la resolución administrativa la asistencia letrada del recurrente puso de manifiesto la desproporción de la sanción de expulsión, por cuanto esta tiene carácter subsidiario y excepcional, concurriendo adicionalmente la situación de arraigo que no es considerada en ningún momento como causa suficiente para no aplicar la sanción de expulsión. Por tanto, la sola lectura de las actuaciones a la luz de la invocación previa, en la instancia, del derecho fundamental a la tutela judicial efectiva y de las quejas sobre la desproporción de la sanción, pone de relieve que la queja principal puede y debe reconducirse a la improcedencia de la sanción de expulsión derivada de la aplicación directa de la Directiva 2008/115/CE, que establece la consecuencia general de retorno para los casos de estancia irregular de los nacionales de terceros Estados ajenos a la Unión Europea, en lugar de aplicar la normativa española de extranjería, que establece la sanción de multa como regla general para los casos de mera estancia irregular y que reserva la sanción de expulsión para aquellos supuestos en que concurren datos negativos que deben ponderarse.</w:t>
      </w:r>
    </w:p>
    <w:p w14:paraId="1EC22546" w14:textId="77777777" w:rsidR="008D479B" w:rsidRDefault="008D479B" w:rsidP="008D479B">
      <w:pPr>
        <w:pStyle w:val="TextoNormal"/>
      </w:pPr>
    </w:p>
    <w:p w14:paraId="15FDCFA1" w14:textId="613F6A34" w:rsidR="008D479B" w:rsidRDefault="008D479B" w:rsidP="008D479B">
      <w:pPr>
        <w:pStyle w:val="TextoNormal"/>
      </w:pPr>
      <w:r>
        <w:t>c) Respecto de la alegada falta de agotamiento de las quejas que se dirigen contra la providencia de inadmisión del recurso de casación dictada por la Sala de lo Contencioso-Administrativo del Tribunal Supremo, de 18 de julio de 2019, debe señalarse que, efectivamente como señala el Ministerio Fiscal, no se ha interpuesto incidente de nulidad de actuaciones, pero ello resulta indiferente desde el momento en que no le imputa ninguna vulneración autónoma. Respecto a la sentencia del Tribunal Superior de Justicia  de Madrid, con arreglo a la reciente doctrina recogida en la STC 112/2019, de 3 de octubre, no es preciso que el recurrente hubiese interpuesto un incidente de nulidad de actuaciones para cumplir el requisito que exige agotar la vía judicial antes de interponer el recurso de amparo después de haberse inadmitido el recurso de casación.</w:t>
      </w:r>
    </w:p>
    <w:p w14:paraId="44462305" w14:textId="77777777" w:rsidR="008D479B" w:rsidRDefault="008D479B" w:rsidP="008D479B">
      <w:pPr>
        <w:pStyle w:val="TextoNormal"/>
      </w:pPr>
    </w:p>
    <w:p w14:paraId="49DA5E54" w14:textId="77777777" w:rsidR="008D479B" w:rsidRDefault="008D479B" w:rsidP="008D479B">
      <w:pPr>
        <w:pStyle w:val="TextoNormal"/>
      </w:pPr>
      <w:r w:rsidRPr="008D479B">
        <w:rPr>
          <w:rStyle w:val="NumeroAFNegritaCaracter"/>
        </w:rPr>
        <w:t>2</w:t>
      </w:r>
      <w:r>
        <w:t xml:space="preserve">. </w:t>
      </w:r>
      <w:r w:rsidRPr="008D479B">
        <w:rPr>
          <w:i/>
        </w:rPr>
        <w:t>La aplicación de las garantías procesales</w:t>
      </w:r>
      <w:r>
        <w:t xml:space="preserve"> ex </w:t>
      </w:r>
      <w:r w:rsidRPr="008D479B">
        <w:rPr>
          <w:i/>
        </w:rPr>
        <w:t>art. 24.2 CE al procedimiento administrativo sancionador</w:t>
      </w:r>
    </w:p>
    <w:p w14:paraId="11C8FC1A" w14:textId="77777777" w:rsidR="008D479B" w:rsidRDefault="008D479B" w:rsidP="008D479B">
      <w:pPr>
        <w:pStyle w:val="TextoNormal"/>
      </w:pPr>
    </w:p>
    <w:p w14:paraId="6D6B3259" w14:textId="77777777" w:rsidR="008D479B" w:rsidRDefault="008D479B" w:rsidP="008D479B">
      <w:pPr>
        <w:pStyle w:val="TextoNormal"/>
      </w:pPr>
      <w:r>
        <w:t>Desestimados los óbices procesales invocados por el abogado del Estado y por el Ministerio Fiscal, nuestro enjuiciamiento debe iniciarse por el examen de las quejas relativas a la actuación administrativa, pues como hemos señalado en numerosas ocasiones, el criterio general en los amparos mixtos es el de que la pretensión deducida por la vía del art. 43 LOTC es autónoma y su examen resulta, en principio, prioritario, dado que la comisión de una lesión constitucional en el transcurso del proceso judicial no impide que el acto administrativo siga siendo el verdadero objeto del proceso de amparo (SSTC 5/2008, de 21 de enero, FJ 3; 156/2009, de 29 de junio, FJ 3; 35/2010, de 19 de julio, FJ 2, y 145/2011, de 26 de septiembre, FJ 3). Y, dentro de ellas, de modo particular hemos de comenzar por la referida a la vulneración del derecho a la defensa (art. 24.2 CE), tanto por su carácter procesal como porque su estimación haría innecesario nuestro pronunciamiento sobre las restantes denuncias, al dar lugar su eventual estimación a una retroacción de actuaciones (SSTC 96/2000, de 10 de abril, FJ 1; 229/2003, de 18 de diciembre, FJ 2; 41/2005, de 28 de febrero, FJ 6; 54/2006, de 27 de febrero, FJ 4, y 316/2006, de 15 de noviembre, FJ 2, por todas).</w:t>
      </w:r>
    </w:p>
    <w:p w14:paraId="34CA9947" w14:textId="77777777" w:rsidR="008D479B" w:rsidRDefault="008D479B" w:rsidP="008D479B">
      <w:pPr>
        <w:pStyle w:val="TextoNormal"/>
      </w:pPr>
    </w:p>
    <w:p w14:paraId="6BE4367F" w14:textId="77777777" w:rsidR="008D479B" w:rsidRDefault="008D479B" w:rsidP="008D479B">
      <w:pPr>
        <w:pStyle w:val="TextoNormal"/>
      </w:pPr>
      <w:r>
        <w:t>La queja del recurrente, en los términos que se plantean, coincide con la denunciada en la STC 145/2011, de 26 de septiembre, cuya doctrina resulta aplicable al caso, y en la que se reconoció la vulneración del derecho de defensa en el transcurso del procedimiento administrativo sancionador (art. 24.2 CE) en un supuesto muy similar de expulsión por mera estancia irregular, que se justificaba en la aplicación directa de las consecuencias de la Directiva de retorno en lugar de aplicar la normativa española de extranjería.</w:t>
      </w:r>
    </w:p>
    <w:p w14:paraId="2E13E1BD" w14:textId="77777777" w:rsidR="008D479B" w:rsidRDefault="008D479B" w:rsidP="008D479B">
      <w:pPr>
        <w:pStyle w:val="TextoNormal"/>
      </w:pPr>
    </w:p>
    <w:p w14:paraId="7DE5BBB4" w14:textId="77777777" w:rsidR="008D479B" w:rsidRDefault="008D479B" w:rsidP="008D479B">
      <w:pPr>
        <w:pStyle w:val="TextoNormal"/>
      </w:pPr>
      <w:r>
        <w:t>En esta resolución, el Tribunal Constitucional expuso su reiterada doctrina acerca de la aplicación de las garantías procesales establecidas en el art. 24.2 a los procedimientos administrativos sancionadores de este tribunal (por todas, SSTC 18/1981, de 8 de junio, y 17/2009, de 26 de enero), en cuanto son manifestación de la potestad punitiva del Estado y particularmente el derecho de defensa que implica, no solo que el interesado sea emplazado y tome conocimiento de la incoación del procedimiento, sino que tenga oportunidad de alegar en el curso del mismo lo que a su derecho convenga y aportar y proponer las pruebas que estime pertinentes.</w:t>
      </w:r>
    </w:p>
    <w:p w14:paraId="631EC92B" w14:textId="77777777" w:rsidR="008D479B" w:rsidRDefault="008D479B" w:rsidP="008D479B">
      <w:pPr>
        <w:pStyle w:val="TextoNormal"/>
      </w:pPr>
    </w:p>
    <w:p w14:paraId="5CBCE3E5" w14:textId="77777777" w:rsidR="008D479B" w:rsidRDefault="008D479B" w:rsidP="008D479B">
      <w:pPr>
        <w:pStyle w:val="TextoNormal"/>
      </w:pPr>
      <w:r>
        <w:t>En aquella resolución explicamos que “una vez concluida la instrucción del expediente sancionador, la propuesta de resolución que formule el instructor, si es inculpatoria, cumple la destacada función de constituir la imputación, para lo cual en esa propuesta ‘se fijarán de forma motivada los hechos, especificándose los que se consideren probados y su exacta calificación jurídica, se determinará la infracción que, en su caso, aquellos constituyan y la persona o personas que resulten responsables, especificándose la sanción que propone que se imponga y las medidas provisionales que se hubieran adoptado, en su caso’ (art. 18 del Real Decreto 1398/1993, de 4 de agosto, por el que se aprueba el Reglamento del procedimiento para el ejercicio de la potestad sancionadora). En igual sentido, hemos apreciado ‘como elementos indispensables de toda acusación sobre los que debe versar el ejercicio del derecho de defensa’, por una parte, la inalterabilidad o ‘identidad de los hechos que se le imputan’ y, por otra, ‘la calificación de la falta y sus consecuencias punitivas’” (STC 160/1994, de 23 de mayo, FJ 3).</w:t>
      </w:r>
    </w:p>
    <w:p w14:paraId="1EB9A496" w14:textId="77777777" w:rsidR="008D479B" w:rsidRDefault="008D479B" w:rsidP="008D479B">
      <w:pPr>
        <w:pStyle w:val="TextoNormal"/>
      </w:pPr>
    </w:p>
    <w:p w14:paraId="7BB7C111" w14:textId="77777777" w:rsidR="008D479B" w:rsidRDefault="008D479B" w:rsidP="008D479B">
      <w:pPr>
        <w:pStyle w:val="TextoNormal"/>
      </w:pPr>
      <w:r>
        <w:t>Entendimos entonces que la propuesta de resolución formulada por el instructor del expediente que había incorporado determinados datos fácticos que no figuraban en el acuerdo de incoación, y que resultaron relevantes puesto que sirvieron para sustentar la imposición de la sanción de expulsión en lugar de la de multa, habían lesionado el derecho de defensa en el transcurso del procedimiento administrativo sancionador. Advertimos igualmente que el hecho de que el demandante de amparo disfrutara posteriormente en el proceso judicial de la posibilidad de alegar y probar cuanto consideró oportuno para la mejor defensa de sus derechos e intereses no subsanaba la vulneración ocasionada, pues la vigencia del principio de contradicción, al igual que sucede con el resto de las garantías constitucionales que ordenan el ejercicio de la potestad sancionadora de la administración, se predica precisamente del procedimiento administrativo sancionador, en el que debe respetarse su ejercicio (STC 35/2006, de 13 de febrero, FJ 4).</w:t>
      </w:r>
    </w:p>
    <w:p w14:paraId="09A6077D" w14:textId="77777777" w:rsidR="008D479B" w:rsidRDefault="008D479B" w:rsidP="008D479B">
      <w:pPr>
        <w:pStyle w:val="TextoNormal"/>
      </w:pPr>
    </w:p>
    <w:p w14:paraId="72C9594E" w14:textId="076B0C47" w:rsidR="008D479B" w:rsidRDefault="008D479B" w:rsidP="008D479B">
      <w:pPr>
        <w:pStyle w:val="TextoNormal"/>
      </w:pPr>
      <w:r>
        <w:t>En este sentido, recordamos que el deber de motivación en el ámbito sancionador incluye no solo la obligación de fundamentar los hechos y la calificación jurídica, sino también la sanción a imponer, pues solo así puede procederse a su control posterior en evitación de toda arbitrariedad (STC 140/2009, de 15 de junio, FJ 3). “Concretamente, en relación con la posibilidad prevista legalmente en el art. 57 de la Ley Orgánica 4/2000, de 11 de enero, de que en los casos de comisión de determinadas infracciones se pueda imponer, en lugar de la sanción de multa, la de expulsión del territorio nacional, hemos reiterado que la imposición de esta sanción de expulsión no depende de la absoluta discrecionalidad de la administración, sino que la ley establece unos presupuestos objetivos y subjetivos, así como unos criterios de aplicación que condicionan normativamente a la administración, como son los previstos en el art. 55.3 en relación con el art. 50 de la citada ley, que remite a lo establecido en el art. 131 de la Ley 30/1992, en concreción del principio de proporcionalidad y de los criterios de graduación de la sanción a aplicar en el curso de un procedimiento administrativo que deberá acomodarse a las exigencias del art. 20.2 de la citada Ley Orgánica 4/2000 (SSTC 260/2007, de 20 de diciembre, FJ 4, y 140/2009, de 15 de junio, FJ 3)”.</w:t>
      </w:r>
    </w:p>
    <w:p w14:paraId="39A62141" w14:textId="77777777" w:rsidR="008D479B" w:rsidRDefault="008D479B" w:rsidP="008D479B">
      <w:pPr>
        <w:pStyle w:val="TextoNormal"/>
      </w:pPr>
    </w:p>
    <w:p w14:paraId="07E5DD69" w14:textId="77777777" w:rsidR="008D479B" w:rsidRDefault="008D479B" w:rsidP="008D479B">
      <w:pPr>
        <w:pStyle w:val="TextoNormal"/>
      </w:pPr>
      <w:r w:rsidRPr="008D479B">
        <w:rPr>
          <w:rStyle w:val="NumeroAFNegritaCaracter"/>
        </w:rPr>
        <w:t>3</w:t>
      </w:r>
      <w:r>
        <w:t xml:space="preserve">. </w:t>
      </w:r>
      <w:r w:rsidRPr="008D479B">
        <w:rPr>
          <w:i/>
        </w:rPr>
        <w:t>Aplicación de la doctrina de la STC 145/2011, de 26 de septiembre</w:t>
      </w:r>
    </w:p>
    <w:p w14:paraId="7596D473" w14:textId="77777777" w:rsidR="008D479B" w:rsidRDefault="008D479B" w:rsidP="008D479B">
      <w:pPr>
        <w:pStyle w:val="TextoNormal"/>
      </w:pPr>
    </w:p>
    <w:p w14:paraId="21D2F47C" w14:textId="77777777" w:rsidR="008D479B" w:rsidRDefault="008D479B" w:rsidP="008D479B">
      <w:pPr>
        <w:pStyle w:val="TextoNormal"/>
      </w:pPr>
      <w:r>
        <w:t>Al igual que sucedió en la STC 145/2011, que ha invocado el demandante de amparo no solo ante este tribunal, sino también ante la jurisdicción ordinaria, la propuesta de resolución que realizó la delegada del Gobierno en Madrid con fecha de 30 de diciembre de 2016, decretando la expulsión de territorio nacional y la prohibición de entrada por un período de tres años de don Víctor Hugo Sánchez Mina, incorporaba como hecho nuevo la sanción económica que se le había impuesto en fecha de 23 de noviembre de 2011 por su permanencia irregular en España, con advertencia de la obligación de abandonar el territorio español [ art. 28.3 c) LOEx], así como su detención el 24 de agosto de 2016 por un presunto delito de robo.</w:t>
      </w:r>
    </w:p>
    <w:p w14:paraId="75A5834F" w14:textId="77777777" w:rsidR="008D479B" w:rsidRDefault="008D479B" w:rsidP="008D479B">
      <w:pPr>
        <w:pStyle w:val="TextoNormal"/>
      </w:pPr>
    </w:p>
    <w:p w14:paraId="09A77880" w14:textId="77777777" w:rsidR="008D479B" w:rsidRDefault="008D479B" w:rsidP="008D479B">
      <w:pPr>
        <w:pStyle w:val="TextoNormal"/>
      </w:pPr>
      <w:r>
        <w:t>Esos hechos nuevos incorporados a la propuesta de resolución no implicaban una nueva calificación jurídica ni tampoco la imposición de una sanción distinta de la anunciada, pero sí eran relevantes desde el punto de vista de la licitud de la opción de la administración en favor de la sanción de expulsión frente a la de multa, pese a lo cual no le fue posible al demandante de amparo cuestionar la relevancia de esa detención mediante los documentos acreditativos del archivo en el procedimiento correspondiente, así como tampoco alegar la falta de notificación de la resolución sancionadora de 2011 y su prescripción, algo que solo pudo hacer en la vía judicial.</w:t>
      </w:r>
    </w:p>
    <w:p w14:paraId="70C0E34F" w14:textId="77777777" w:rsidR="008D479B" w:rsidRDefault="008D479B" w:rsidP="008D479B">
      <w:pPr>
        <w:pStyle w:val="TextoNormal"/>
      </w:pPr>
    </w:p>
    <w:p w14:paraId="38797248" w14:textId="77777777" w:rsidR="008D479B" w:rsidRDefault="008D479B" w:rsidP="008D479B">
      <w:pPr>
        <w:pStyle w:val="TextoNormal"/>
      </w:pPr>
      <w:r>
        <w:t>Producida la vulneración del derecho de defensa en el transcurso del procedimiento administrativo sancionador, el hecho de que el demandante de amparo dispusiera posteriormente en el proceso judicial de la posibilidad de alegar y probar cuanto consideró oportuno para la mejor defensa de sus derechos e intereses no subsana la vulneración del derecho a la defensa ocasionada en el previo procedimiento administrativo sancionador, pues la vigencia del principio de contradicción, al igual que sucede con el resto de las garantías constitucionales que ordenan el ejercicio de la potestad sancionadora de la administración, se predica precisamente del procedimiento administrativo sancionador, en el que debe respetarse su ejercicio (STC 35/2006, de 13 de febrero, FJ 4).</w:t>
      </w:r>
    </w:p>
    <w:p w14:paraId="02D908D0" w14:textId="77777777" w:rsidR="008D479B" w:rsidRDefault="008D479B" w:rsidP="008D479B">
      <w:pPr>
        <w:pStyle w:val="TextoNormal"/>
      </w:pPr>
    </w:p>
    <w:p w14:paraId="46840508" w14:textId="77777777" w:rsidR="008D479B" w:rsidRDefault="008D479B" w:rsidP="008D479B">
      <w:pPr>
        <w:pStyle w:val="TextoNormal"/>
      </w:pPr>
      <w:r>
        <w:t xml:space="preserve">Ello es así, entre otras razones, porque como recuerda la STC 89/1995, de 6 de junio, FJ 4, y subrayan a su vez las SSTC 7/1998, de 13 de enero, FJ 6, y 59/2004, de 19 de abril, FJ 3, no existe un proceso contencioso-administrativo sancionador en donde haya de actuarse el </w:t>
      </w:r>
      <w:r w:rsidRPr="008D479B">
        <w:rPr>
          <w:i/>
        </w:rPr>
        <w:t>ius puniendi</w:t>
      </w:r>
      <w:r>
        <w:t xml:space="preserve"> del Estado, sino un proceso contencioso-administrativo cuyo objeto lo constituye la revisión de un acto administrativo de imposición de una sanción. En consecuencia, no es posible concluir que sean los tribunales contencioso-administrativos los que, al modo de lo que sucede en el orden jurisdiccional penal, “condenen” al administrado. Muy al contrario, la sanción administrativa la impone siempre la administración pública en el ejercicio de la potestad que le reconoce la Constitución. De otra manera no se respetaría la exigencia constitucional de que toda sanción administrativa “se adopte a través de un procedimiento que respete los principios esenciales reflejados en el art. 24 CE” (STC 125/1983, de 26 de diciembre, FJ 3).</w:t>
      </w:r>
    </w:p>
    <w:p w14:paraId="18197AE5" w14:textId="77777777" w:rsidR="008D479B" w:rsidRDefault="008D479B" w:rsidP="008D479B">
      <w:pPr>
        <w:pStyle w:val="TextoNormal"/>
      </w:pPr>
    </w:p>
    <w:p w14:paraId="554ABAA8" w14:textId="4BC57F48" w:rsidR="008D479B" w:rsidRDefault="008D479B" w:rsidP="008D479B">
      <w:pPr>
        <w:pStyle w:val="TextoNormal"/>
      </w:pPr>
      <w:r>
        <w:t>Una vez apreciado que la resolución administrativa sancionadora ha vulnerado el art. 24.2 CE, resulta innecesario continuar con el análisis del resto de las invocaciones realizadas en la demanda de amparo. Llegados a este punto, debemos fijar, con arreglo a lo dispuesto en el art. 55 LOTC, el alcance del amparo otorgado, que consistirá en anular tanto la resolución administrativa sancionadora como las posteriores resoluciones judiciales, con retroacción de actuaciones para que, a la vista de la propuesta de resolución formulada por el instructor del expediente, pueda el recurrente oponer los medios de defensa que a su derecho convengan.</w:t>
      </w:r>
    </w:p>
    <w:p w14:paraId="0287198C" w14:textId="77777777" w:rsidR="008D479B" w:rsidRDefault="008D479B" w:rsidP="008D479B">
      <w:pPr>
        <w:pStyle w:val="TextoNormal"/>
      </w:pPr>
    </w:p>
    <w:p w14:paraId="523BB2EB" w14:textId="77777777" w:rsidR="008D479B" w:rsidRDefault="008D479B" w:rsidP="008D479B">
      <w:pPr>
        <w:pStyle w:val="TextoNormalCentrado"/>
        <w:keepNext/>
      </w:pPr>
      <w:r>
        <w:t>FALLO</w:t>
      </w:r>
    </w:p>
    <w:p w14:paraId="54D46162" w14:textId="72A8D68C" w:rsidR="008D479B" w:rsidRDefault="008D479B" w:rsidP="008D479B">
      <w:pPr>
        <w:pStyle w:val="TextoNormalCentrado"/>
        <w:keepNext/>
      </w:pPr>
    </w:p>
    <w:p w14:paraId="7B15D10C" w14:textId="77777777" w:rsidR="008D479B" w:rsidRDefault="008D479B" w:rsidP="008D479B">
      <w:pPr>
        <w:pStyle w:val="TextoNormal"/>
      </w:pPr>
      <w:r>
        <w:t>En atención a todo lo expuesto, el Tribunal Constitucional, por la autoridad que le confiere la Constitución de la Nación española, ha decidido estimar el recurso de amparo interpuesto por don Víctor Hugo Sánchez Mina y, en su virtud:</w:t>
      </w:r>
    </w:p>
    <w:p w14:paraId="4D9DB910" w14:textId="77777777" w:rsidR="008D479B" w:rsidRDefault="008D479B" w:rsidP="008D479B">
      <w:pPr>
        <w:pStyle w:val="TextoNormal"/>
      </w:pPr>
    </w:p>
    <w:p w14:paraId="0DEEDFDC" w14:textId="77777777" w:rsidR="008D479B" w:rsidRDefault="008D479B" w:rsidP="008D479B">
      <w:pPr>
        <w:pStyle w:val="TextoNormal"/>
      </w:pPr>
      <w:r>
        <w:t>1º Reconocer que ha sido vulnerado su derecho fundamental de defensa (art. 24.2 CE).</w:t>
      </w:r>
    </w:p>
    <w:p w14:paraId="6F2B4661" w14:textId="77777777" w:rsidR="008D479B" w:rsidRDefault="008D479B" w:rsidP="008D479B">
      <w:pPr>
        <w:pStyle w:val="TextoNormal"/>
      </w:pPr>
    </w:p>
    <w:p w14:paraId="17BB4CC5" w14:textId="77777777" w:rsidR="008D479B" w:rsidRDefault="008D479B" w:rsidP="008D479B">
      <w:pPr>
        <w:pStyle w:val="TextoNormal"/>
      </w:pPr>
      <w:r>
        <w:t>2º Restablecerle en su derecho y, a tal fin, declarar la nulidad de la resolución de fecha 30 de diciembre de 2016 de la Delegada del Gobierno en Madrid, que acordó decretar la expulsión del territorio español del recurrente, de la sentencia núm. 95/2018 de 9 de abril de 2018 del Juzgado de lo Contencioso-Administrativo núm. 9 de Madrid dictada en el procedimiento abreviado 213-2017, de la sentencia 86/2019, de 6 de febrero de 2019, de la sección segunda de Sala de lo Contencioso Administrativo del Tribunal Superior de Justicia de Madrid, y de la providencia de 18 de julio de 2019 de la Sección Primera de la Sala de lo Contencioso-Administrativo del Tribunal Supremo por la que acordó la inadmisión a trámite del recurso de casación núm. 2615-2019.</w:t>
      </w:r>
    </w:p>
    <w:p w14:paraId="5B50954E" w14:textId="77777777" w:rsidR="008D479B" w:rsidRDefault="008D479B" w:rsidP="008D479B">
      <w:pPr>
        <w:pStyle w:val="TextoNormal"/>
      </w:pPr>
    </w:p>
    <w:p w14:paraId="585328B4" w14:textId="73DF2216" w:rsidR="008D479B" w:rsidRDefault="008D479B" w:rsidP="008D479B">
      <w:pPr>
        <w:pStyle w:val="TextoNormal"/>
      </w:pPr>
      <w:r>
        <w:t>3º Retrotraer las actuaciones hasta el momento inmediatamente posterior a la propuesta de resolución formulada por el instructor del expediente sancionador, para que se dé audiencia al recurrente, en los términos recogidos en el fundamento jurídico 3 precedente.</w:t>
      </w:r>
    </w:p>
    <w:p w14:paraId="6B3E0FD4" w14:textId="77777777" w:rsidR="008D479B" w:rsidRDefault="008D479B" w:rsidP="008D479B">
      <w:pPr>
        <w:pStyle w:val="TextoNormal"/>
      </w:pPr>
    </w:p>
    <w:p w14:paraId="023D7EC8" w14:textId="77777777" w:rsidR="008D479B" w:rsidRDefault="008D479B" w:rsidP="008D479B">
      <w:pPr>
        <w:pStyle w:val="TextoNormal"/>
      </w:pPr>
      <w:r>
        <w:t>Publíquese esta sentencia en el “Boletín Oficial del Estado”.</w:t>
      </w:r>
    </w:p>
    <w:p w14:paraId="78404158" w14:textId="77777777" w:rsidR="008D479B" w:rsidRDefault="008D479B" w:rsidP="008D479B">
      <w:pPr>
        <w:pStyle w:val="TextoNormal"/>
      </w:pPr>
      <w:r>
        <w:t>Dada en Madrid, a veinte de noviembre de dos mil veintitrés.</w:t>
      </w:r>
    </w:p>
    <w:p w14:paraId="2E26DDBE" w14:textId="24157E91" w:rsidR="008D479B" w:rsidRDefault="008D479B">
      <w:pPr>
        <w:spacing w:after="160" w:line="278" w:lineRule="auto"/>
        <w:rPr>
          <w:rFonts w:ascii="Times New Roman" w:eastAsia="Times New Roman" w:hAnsi="Times New Roman" w:cs="Times New Roman"/>
          <w:sz w:val="24"/>
          <w:szCs w:val="24"/>
          <w:lang w:eastAsia="es-ES"/>
        </w:rPr>
      </w:pPr>
      <w:r>
        <w:br w:type="page"/>
      </w:r>
    </w:p>
    <w:p w14:paraId="35F66FA3" w14:textId="77777777" w:rsidR="008D479B" w:rsidRDefault="008D479B" w:rsidP="008D479B">
      <w:pPr>
        <w:pStyle w:val="TtuloResolucin"/>
      </w:pPr>
      <w:bookmarkStart w:id="76" w:name="SENTENCIA_2023_151"/>
      <w:r>
        <w:t>SENTENCIA 151/2023, de 20 de noviembre de 2023</w:t>
      </w:r>
    </w:p>
    <w:bookmarkEnd w:id="76"/>
    <w:p w14:paraId="295E0C9A" w14:textId="77777777" w:rsidR="008D479B" w:rsidRDefault="008D479B" w:rsidP="008D479B">
      <w:pPr>
        <w:pStyle w:val="TtuloResolucin"/>
      </w:pPr>
      <w:r>
        <w:t>Sala Segunda</w:t>
      </w:r>
    </w:p>
    <w:p w14:paraId="0EAEFE3E" w14:textId="77777777" w:rsidR="008D479B" w:rsidRDefault="008D479B" w:rsidP="008D479B">
      <w:pPr>
        <w:pStyle w:val="TtuloBOE"/>
      </w:pPr>
      <w:r>
        <w:t>(BOE núm. 304, de 21 de diciembre de 2023)</w:t>
      </w:r>
    </w:p>
    <w:p w14:paraId="3323516E" w14:textId="77777777" w:rsidR="008D479B" w:rsidRDefault="008D479B" w:rsidP="008D479B">
      <w:pPr>
        <w:pStyle w:val="TextoNormalCentrado"/>
      </w:pPr>
      <w:r>
        <w:t>ECLI:ES:TC:2023:151</w:t>
      </w:r>
    </w:p>
    <w:p w14:paraId="7369C5FC" w14:textId="3BDD4816" w:rsidR="008D479B" w:rsidRDefault="008D479B" w:rsidP="008D479B">
      <w:pPr>
        <w:pStyle w:val="TextoNormalCentrado"/>
      </w:pPr>
    </w:p>
    <w:p w14:paraId="1537DEC3" w14:textId="77777777" w:rsidR="008D479B" w:rsidRDefault="008D479B" w:rsidP="008D479B">
      <w:pPr>
        <w:pStyle w:val="SntesisDescriptiva"/>
      </w:pPr>
      <w:r>
        <w:t>Recurso de amparo 3467-2021. Promovido por don José Luis Ugalde Laserna y doña María Begoña Bermejo Allica respecto de la providencia de un juzgado de primera instancia de Bilbao inadmitiendo a trámite un incidente de nulidad de actuaciones en procedimiento de ejecución hipotecaria.</w:t>
      </w:r>
    </w:p>
    <w:p w14:paraId="6FC2CE3F" w14:textId="0AA2738F" w:rsidR="008D479B" w:rsidRDefault="008D479B" w:rsidP="008D479B">
      <w:pPr>
        <w:pStyle w:val="SntesisDescriptiva"/>
      </w:pPr>
    </w:p>
    <w:p w14:paraId="425336B5" w14:textId="77777777" w:rsidR="008D479B" w:rsidRDefault="008D479B" w:rsidP="008D479B">
      <w:pPr>
        <w:pStyle w:val="SntesisAnaltica"/>
      </w:pPr>
      <w:r>
        <w:t>Alegada vulneración del derecho a la tutela judicial efectiva: inadmisión del recurso de amparo por falta de agotamiento de la vía judicial previa al promoverse extemporáneamente el incidente de nulidad de actuaciones.</w:t>
      </w:r>
    </w:p>
    <w:p w14:paraId="16906417" w14:textId="3C5C7722" w:rsidR="008D479B" w:rsidRDefault="008D479B" w:rsidP="008D479B">
      <w:pPr>
        <w:pStyle w:val="SntesisAnaltica"/>
      </w:pPr>
    </w:p>
    <w:p w14:paraId="5DD5C290" w14:textId="23FBCAA9" w:rsidR="008D479B" w:rsidRDefault="008D479B" w:rsidP="008D479B">
      <w:pPr>
        <w:pStyle w:val="Extracto"/>
      </w:pPr>
      <w:r>
        <w:t>1.</w:t>
      </w:r>
      <w:r>
        <w:tab/>
        <w:t>No cabe tachar de ‘manifiestamente improcedentes’ los recursos judiciales intentados que, siendo procedentes por estar previstos legalmente y ser idóneos en principio para reparar la lesión constitucional en cada caso considerada, se malogran y resultan finalmente inadmitidos por los órganos judiciales por culpa de las omisiones o errores procesales del propio recurrente al formalizar el oportuno recurso. Ejemplos paradigmáticos de estos supuestos son los casos en que los recurrentes interponen recursos jurisdiccionales en forma extemporánea o sin cumplir los requisitos procesales exigibles (ATC 198/2010) [FJ 2].</w:t>
      </w:r>
    </w:p>
    <w:p w14:paraId="7C75EDFA" w14:textId="77777777" w:rsidR="008D479B" w:rsidRDefault="008D479B" w:rsidP="008D479B">
      <w:pPr>
        <w:pStyle w:val="Extracto"/>
      </w:pPr>
    </w:p>
    <w:p w14:paraId="130505BB" w14:textId="61DD5CE0" w:rsidR="008D479B" w:rsidRDefault="008D479B" w:rsidP="008D479B">
      <w:pPr>
        <w:pStyle w:val="Extracto"/>
      </w:pPr>
      <w:r>
        <w:t>2.</w:t>
      </w:r>
      <w:r>
        <w:tab/>
        <w:t>Cuando la inadmisión del recurso en vía judicial se produce por causa de su defectuosa interposición, el requisito procesal en vía de amparo constitucional que resulta incumplido no es ya el plazo de interposición (art. 44.2 LOTC), sino la falta de agotamiento de todos los recursos utilizables en la vía judicial que previene el art. 44.1 a) LOTC; pues el agotamiento defectuoso de la vía judicial equivale a su falta de agotamiento (STC 93/2002) [FJ 2].</w:t>
      </w:r>
    </w:p>
    <w:p w14:paraId="4B5E532C" w14:textId="77777777" w:rsidR="008D479B" w:rsidRDefault="008D479B" w:rsidP="008D479B">
      <w:pPr>
        <w:pStyle w:val="Extracto"/>
      </w:pPr>
    </w:p>
    <w:p w14:paraId="10CBCEAA" w14:textId="75C40CF9" w:rsidR="008D479B" w:rsidRDefault="008D479B" w:rsidP="008D479B">
      <w:pPr>
        <w:pStyle w:val="Extracto"/>
      </w:pPr>
      <w:r>
        <w:t>3.</w:t>
      </w:r>
      <w:r>
        <w:tab/>
        <w:t>Si la vía judicial precedente se frustra porque el recurso intentado no resulta admisible, ha de entenderse incumplido el requisito de su agotamiento deviniendo impracticable, por tanto, la vía de amparo ante este Tribunal (STC 133/2001) [FJ 2].</w:t>
      </w:r>
    </w:p>
    <w:p w14:paraId="18A428C6" w14:textId="77777777" w:rsidR="008D479B" w:rsidRDefault="008D479B" w:rsidP="008D479B">
      <w:pPr>
        <w:pStyle w:val="Extracto"/>
      </w:pPr>
    </w:p>
    <w:p w14:paraId="25D85486" w14:textId="77777777" w:rsidR="008D479B" w:rsidRDefault="008D479B" w:rsidP="008D479B">
      <w:pPr>
        <w:pStyle w:val="Extracto"/>
      </w:pPr>
    </w:p>
    <w:p w14:paraId="17D78153" w14:textId="77777777" w:rsidR="008D479B" w:rsidRDefault="008D479B" w:rsidP="008D479B">
      <w:pPr>
        <w:pStyle w:val="TextoNormal"/>
      </w:pPr>
      <w: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14:paraId="709FBD20" w14:textId="7318C200" w:rsidR="008D479B" w:rsidRDefault="008D479B" w:rsidP="008D479B">
      <w:pPr>
        <w:pStyle w:val="TextoNormal"/>
      </w:pPr>
    </w:p>
    <w:p w14:paraId="3DAC0BCF" w14:textId="77777777" w:rsidR="008D479B" w:rsidRDefault="008D479B" w:rsidP="008D479B">
      <w:pPr>
        <w:pStyle w:val="TextoNormalCentrado"/>
        <w:keepNext/>
      </w:pPr>
      <w:r>
        <w:t>EN NOMBRE DEL REY</w:t>
      </w:r>
    </w:p>
    <w:p w14:paraId="06328B9D" w14:textId="5C22C9FE" w:rsidR="008D479B" w:rsidRDefault="008D479B" w:rsidP="008D479B">
      <w:pPr>
        <w:pStyle w:val="TextoNormalCentrado"/>
        <w:keepNext/>
      </w:pPr>
    </w:p>
    <w:p w14:paraId="24571FC5" w14:textId="77777777" w:rsidR="008D479B" w:rsidRDefault="008D479B" w:rsidP="008D479B">
      <w:pPr>
        <w:pStyle w:val="TextoNormalCentrado"/>
        <w:keepNext/>
      </w:pPr>
    </w:p>
    <w:p w14:paraId="5FFD6A3B" w14:textId="77777777" w:rsidR="008D479B" w:rsidRDefault="008D479B" w:rsidP="008D479B">
      <w:pPr>
        <w:pStyle w:val="TextoNormal"/>
      </w:pPr>
      <w:r>
        <w:t>la siguiente</w:t>
      </w:r>
    </w:p>
    <w:p w14:paraId="5E016D3C" w14:textId="77C87355" w:rsidR="008D479B" w:rsidRDefault="008D479B" w:rsidP="008D479B">
      <w:pPr>
        <w:pStyle w:val="TextoNormal"/>
      </w:pPr>
    </w:p>
    <w:p w14:paraId="13A48ED3" w14:textId="77777777" w:rsidR="008D479B" w:rsidRDefault="008D479B" w:rsidP="008D479B">
      <w:pPr>
        <w:pStyle w:val="TextoNormalCentrado"/>
        <w:keepNext/>
      </w:pPr>
      <w:r>
        <w:t>SENTENCIA</w:t>
      </w:r>
    </w:p>
    <w:p w14:paraId="1B67F8F2" w14:textId="7EC62C75" w:rsidR="008D479B" w:rsidRDefault="008D479B" w:rsidP="008D479B">
      <w:pPr>
        <w:pStyle w:val="TextoNormalCentrado"/>
        <w:keepNext/>
      </w:pPr>
    </w:p>
    <w:p w14:paraId="5ECE7BBC" w14:textId="77777777" w:rsidR="008D479B" w:rsidRDefault="008D479B" w:rsidP="008D479B">
      <w:pPr>
        <w:pStyle w:val="TextoNormal"/>
      </w:pPr>
      <w:r>
        <w:t>En el recurso de amparo núm. 3467-2021, promovido por don José Luis Ugalde Laserna y doña María Begoña Bermejo Allica, representados por la procuradora de los tribunales doña Francisca Amores Zambrano y asistidos por la abogada doña Maite Ortiz Pérez, frente a la providencia del Juzgado de Primera Instancia núm. 10 de Bilbao, de 6 de abril de 2021, que inadmitió a trámite el incidente de nulidad de actuaciones promovido en el procedimiento de ejecución hipotecaria núm. 1131-2012. Han sido parte doña María Begoña Otaola Zubillaga, representada por el procurador don José Luis Andikoetxea Gracia y asistida por el letrado don Jesús María Andikoetxea Gracia; y A.C. Asesoría Integral a Empresas y Gestión de Créditos, S.L., representada por la procuradora doña María Mercedes Pérez García y asistida por el letrado don Pedro Luis Díaz Real. Ha sido ponente la magistrada doña María Luisa Balaguer Callejón.</w:t>
      </w:r>
    </w:p>
    <w:p w14:paraId="4993ACC3" w14:textId="1C25522E" w:rsidR="008D479B" w:rsidRDefault="008D479B" w:rsidP="008D479B">
      <w:pPr>
        <w:pStyle w:val="TextoNormal"/>
      </w:pPr>
    </w:p>
    <w:p w14:paraId="5355939A" w14:textId="77777777" w:rsidR="008D479B" w:rsidRDefault="008D479B" w:rsidP="008D479B">
      <w:pPr>
        <w:pStyle w:val="TextoNormalNegritaCentrado"/>
        <w:keepNext/>
      </w:pPr>
      <w:r>
        <w:t>I. Antecedentes</w:t>
      </w:r>
    </w:p>
    <w:p w14:paraId="4292A8B7" w14:textId="0F5F3A8B" w:rsidR="008D479B" w:rsidRDefault="008D479B" w:rsidP="008D479B">
      <w:pPr>
        <w:pStyle w:val="TextoNormalNegritaCentrado"/>
        <w:keepNext/>
      </w:pPr>
    </w:p>
    <w:p w14:paraId="7A62AF9D" w14:textId="68C29482" w:rsidR="008D479B" w:rsidRDefault="008D479B" w:rsidP="008D479B">
      <w:pPr>
        <w:pStyle w:val="TextoNormal"/>
      </w:pPr>
      <w:r w:rsidRPr="008D479B">
        <w:rPr>
          <w:rStyle w:val="NumeroAFNegritaCaracter"/>
        </w:rPr>
        <w:t>1</w:t>
      </w:r>
      <w:r>
        <w:t>. Mediante escrito presentado en este tribunal el día 27 de mayo de 2021, la procuradora de los tribunales doña Francisca Amores Zambrano, en nombre y representación de don José Luis Ugalde Laserna y de doña María Begoña Bermejo Allica, interpuso recurso de amparo contra la resolución mencionada en el encabezamiento.</w:t>
      </w:r>
    </w:p>
    <w:p w14:paraId="16C9CF1A" w14:textId="77777777" w:rsidR="008D479B" w:rsidRDefault="008D479B" w:rsidP="008D479B">
      <w:pPr>
        <w:pStyle w:val="TextoNormal"/>
      </w:pPr>
    </w:p>
    <w:p w14:paraId="46273A08" w14:textId="77777777" w:rsidR="008D479B" w:rsidRDefault="008D479B" w:rsidP="008D479B">
      <w:pPr>
        <w:pStyle w:val="TextoNormal"/>
      </w:pPr>
      <w:r w:rsidRPr="008D479B">
        <w:rPr>
          <w:rStyle w:val="NumeroAFNegritaCaracter"/>
        </w:rPr>
        <w:t>2</w:t>
      </w:r>
      <w:r>
        <w:t>. Los hechos en los que tiene su origen el presente recurso, y relevantes para su resolución, son, en síntesis, los siguientes:</w:t>
      </w:r>
    </w:p>
    <w:p w14:paraId="535D1192" w14:textId="77777777" w:rsidR="008D479B" w:rsidRDefault="008D479B" w:rsidP="008D479B">
      <w:pPr>
        <w:pStyle w:val="TextoNormal"/>
      </w:pPr>
    </w:p>
    <w:p w14:paraId="449D1C29" w14:textId="77777777" w:rsidR="008D479B" w:rsidRDefault="008D479B" w:rsidP="008D479B">
      <w:pPr>
        <w:pStyle w:val="TextoNormal"/>
      </w:pPr>
      <w:r>
        <w:t>a) El 16 de septiembre de 2010 los hoy demandantes de amparo suscribieron un contrato de préstamo en escritura pública con la entidad mercantil A.C. Asesoría Integral a Empresas y Gestión de Créditos, S.L., por importe de 195 000 € de principal, asegurando su cumplimiento mediante la constitución de una hipoteca sobre la finca registral núm. 26 029, urbana, sita en la calle Virgen de Begoña núm. 10, 5 izquierda, de Bilbao, inscrita en el registro de la propiedad núm. 6 de Bilbao.</w:t>
      </w:r>
    </w:p>
    <w:p w14:paraId="0120FEA0" w14:textId="77777777" w:rsidR="008D479B" w:rsidRDefault="008D479B" w:rsidP="008D479B">
      <w:pPr>
        <w:pStyle w:val="TextoNormal"/>
      </w:pPr>
    </w:p>
    <w:p w14:paraId="21EF7071" w14:textId="77777777" w:rsidR="008D479B" w:rsidRDefault="008D479B" w:rsidP="008D479B">
      <w:pPr>
        <w:pStyle w:val="TextoNormal"/>
      </w:pPr>
      <w:r>
        <w:t>b) El 15 de octubre de 2012 la citada mercantil presentó demanda de ejecución hipotecaria alegando el incumplimiento por parte de los prestatarios y reclamando el pago de principal e intereses, todo ello en aplicación de la cláusula de vencimiento anticipado inserta en el contrato. Por el Juzgado de Primera Instancia núm. 10 de Bilbao se admitió a trámite la demanda, incoándose el procedimiento de ejecución hipotecaria núm. 1113-2012. Por auto de 28 de noviembre de 2012 se acordó el despacho de la ejecución.</w:t>
      </w:r>
    </w:p>
    <w:p w14:paraId="56A84AD1" w14:textId="77777777" w:rsidR="008D479B" w:rsidRDefault="008D479B" w:rsidP="008D479B">
      <w:pPr>
        <w:pStyle w:val="TextoNormal"/>
      </w:pPr>
    </w:p>
    <w:p w14:paraId="10A32BC9" w14:textId="77777777" w:rsidR="008D479B" w:rsidRDefault="008D479B" w:rsidP="008D479B">
      <w:pPr>
        <w:pStyle w:val="TextoNormal"/>
      </w:pPr>
      <w:r>
        <w:t>c) Mediante providencia de 24 de enero de 2013 el juzgado acordó dar audiencia a las partes por término de diez días para que pudieran solicitar la suspensión del procedimiento hasta que se dictara por el Tribunal de Justicia de la Unión Europea sentencia en el asunto C-415/11, atendiendo a la circunstancia de que “en el presente procedimiento de ejecución sobre bienes hipotecados, los ejecutados ostentan la condición de consumidores”.</w:t>
      </w:r>
    </w:p>
    <w:p w14:paraId="738A4637" w14:textId="77777777" w:rsidR="008D479B" w:rsidRDefault="008D479B" w:rsidP="008D479B">
      <w:pPr>
        <w:pStyle w:val="TextoNormal"/>
      </w:pPr>
    </w:p>
    <w:p w14:paraId="04B791E6" w14:textId="77777777" w:rsidR="008D479B" w:rsidRDefault="008D479B" w:rsidP="008D479B">
      <w:pPr>
        <w:pStyle w:val="TextoNormal"/>
      </w:pPr>
      <w:r>
        <w:t>Tras varios intentos negativos de notificación a los ejecutados en el domicilio de la vivienda hipotecada, el juzgado contactó con el ejecutado a través de un teléfono facilitado por la ejecutante. El señor Ugalde compareció en la sede judicial el 25 de enero de 2013, recibiendo copia de la demanda, del auto despachando la ejecución, de la providencia de 24 de enero de 2013 y de la cédula de emplazamiento, así como de esos mismos documentos dirigidos a su esposa, la señora Bermejo.</w:t>
      </w:r>
    </w:p>
    <w:p w14:paraId="61E09DAF" w14:textId="77777777" w:rsidR="008D479B" w:rsidRDefault="008D479B" w:rsidP="008D479B">
      <w:pPr>
        <w:pStyle w:val="TextoNormal"/>
      </w:pPr>
    </w:p>
    <w:p w14:paraId="18337FDA" w14:textId="77777777" w:rsidR="008D479B" w:rsidRDefault="008D479B" w:rsidP="008D479B">
      <w:pPr>
        <w:pStyle w:val="TextoNormal"/>
      </w:pPr>
      <w:r>
        <w:t>Por la ejecutante se interesó que no se suspendiera el proceso y los ejecutados no realizaron alegaciones, por lo que el juzgado acordó su continuación.</w:t>
      </w:r>
    </w:p>
    <w:p w14:paraId="7D8AF7DC" w14:textId="77777777" w:rsidR="008D479B" w:rsidRDefault="008D479B" w:rsidP="008D479B">
      <w:pPr>
        <w:pStyle w:val="TextoNormal"/>
      </w:pPr>
    </w:p>
    <w:p w14:paraId="10774E0D" w14:textId="77777777" w:rsidR="008D479B" w:rsidRDefault="008D479B" w:rsidP="008D479B">
      <w:pPr>
        <w:pStyle w:val="TextoNormal"/>
      </w:pPr>
      <w:r>
        <w:t>d) El 10 de abril de 2013 los ejecutados presentaron un escrito, sin firma de procurador ni abogado, en el que, tras hacer referencia a la necesaria defensa de los derechos de los consumidores que imponía la Directiva 93/13/CEE del Consejo, de 5 de abril de 1993, sobre las cláusulas abusivas en los contratos celebrados con consumidores, y a la STJUE de 14 de marzo de 2013, asunto C-415/11, interesaron la suspensión del procedimiento en tanto no se llevara a cabo una modificación procesal que permitiera el planteamiento de motivos de oposición basados en la existencia de cláusulas abusivas. Subsidiariamente solicitaron la declaración de nulidad de actuaciones y la retroacción al momento de admisión de la demanda. Añadieron que, para el caso de que el juzgado considerara que el escrito debía ser presentado por procurador y abogado, así se lo hiciera saber, solicitando también la suspensión del procedimiento a los efectos de solicitar asistencia jurídica gratuita.</w:t>
      </w:r>
    </w:p>
    <w:p w14:paraId="53410030" w14:textId="77777777" w:rsidR="008D479B" w:rsidRDefault="008D479B" w:rsidP="008D479B">
      <w:pPr>
        <w:pStyle w:val="TextoNormal"/>
      </w:pPr>
    </w:p>
    <w:p w14:paraId="07BB807D" w14:textId="77777777" w:rsidR="008D479B" w:rsidRDefault="008D479B" w:rsidP="008D479B">
      <w:pPr>
        <w:pStyle w:val="TextoNormal"/>
      </w:pPr>
      <w:r>
        <w:t>Por providencia de 22 de abril de 2013 se acordó dar traslado a las partes por diez días para alegaciones, a la vista de que la junta de jueces celebrada el 16 de abril de 2013 había acordado suspender las ejecuciones hipotecarias cuando el ejecutado fuera consumidor y el procedimiento estuviera pendiente de subasta, en tanto se aprobara la reforma legislativa en trámite parlamentario, salvo que ambas partes manifestaran su voluntad de continuar el procedimiento.</w:t>
      </w:r>
    </w:p>
    <w:p w14:paraId="1F325150" w14:textId="77777777" w:rsidR="008D479B" w:rsidRDefault="008D479B" w:rsidP="008D479B">
      <w:pPr>
        <w:pStyle w:val="TextoNormal"/>
      </w:pPr>
    </w:p>
    <w:p w14:paraId="51EF0443" w14:textId="77777777" w:rsidR="008D479B" w:rsidRDefault="008D479B" w:rsidP="008D479B">
      <w:pPr>
        <w:pStyle w:val="TextoNormal"/>
      </w:pPr>
      <w:r>
        <w:t>Por auto de 29 de mayo de 2013 el juzgado acordó requerir a los correspondientes colegios de abogados y de procuradores para la designación de profesionales que asistieran y representaran a los ejecutados.</w:t>
      </w:r>
    </w:p>
    <w:p w14:paraId="1F8FC63D" w14:textId="77777777" w:rsidR="008D479B" w:rsidRDefault="008D479B" w:rsidP="008D479B">
      <w:pPr>
        <w:pStyle w:val="TextoNormal"/>
      </w:pPr>
    </w:p>
    <w:p w14:paraId="1F24D6B3" w14:textId="77777777" w:rsidR="008D479B" w:rsidRDefault="008D479B" w:rsidP="008D479B">
      <w:pPr>
        <w:pStyle w:val="TextoNormal"/>
      </w:pPr>
      <w:r>
        <w:t>Pese a que la solicitud de asistencia jurídica gratuita no implicaba necesariamente la suspensión del procedimiento, por decreto de 29 de mayo de 2013 se acordó la suspensión hasta la designación provisional de abogado y procurador de oficio, indicando que, dado que la solicitud efectuada por los ejecutados era anterior a la publicación de la Ley 1/2013, de 14 de mayo, de medidas para reforzar la protección a los deudores hipotecarios, reestructuración de deuda y alquiler social, una vez que se alzara la suspensión los ejecutados dispondrían del plazo íntegro de un mes previsto en la disposición transitoria cuarta de dicha ley para formular incidente extraordinario de oposición.</w:t>
      </w:r>
    </w:p>
    <w:p w14:paraId="27C82956" w14:textId="77777777" w:rsidR="008D479B" w:rsidRDefault="008D479B" w:rsidP="008D479B">
      <w:pPr>
        <w:pStyle w:val="TextoNormal"/>
      </w:pPr>
    </w:p>
    <w:p w14:paraId="2B91D47B" w14:textId="77777777" w:rsidR="008D479B" w:rsidRDefault="008D479B" w:rsidP="008D479B">
      <w:pPr>
        <w:pStyle w:val="TextoNormal"/>
      </w:pPr>
      <w:r>
        <w:t xml:space="preserve">e) El 14 de junio de 2013 los ejecutados presentaron un escrito ante el juzgado, nuevamente sin abogado ni procurador, en el que solicitaron que por el juzgado se planteara “cuestión prejudicial al [Tribunal de Justicia de la Unión Europea], relativa a la obligación de la revisión de oficio de las cláusulas abusivas del título que se ejecuta en este contrato […] cuestión prejudicial al [Tribunal de Justicia] relativa a la vulneración de la STJUE asunto </w:t>
      </w:r>
      <w:r w:rsidRPr="008D479B">
        <w:rPr>
          <w:i/>
        </w:rPr>
        <w:t>Cofidis</w:t>
      </w:r>
      <w:r>
        <w:t xml:space="preserve"> sobre preclusión realizada por la disposición transitoria cuarta de la Ley 1/2013 [y] planteamiento de cuestión de inconstitucionalidad sobre la disposición transitoria cuarta de la Ley 1/2013, por vulneración del derecho a la tutela judicial efectiva regulado en el art. 24 CE”; suspendiéndose, entretanto, el procedimiento. Con carácter subsidiario solicitaron que se tuvieran por impugnadas las cláusulas relativas al pacto de liquidez, vencimiento anticipado, techo-suelo e intereses de demora, debiendo dictarse auto estimando “las causas de oposición aducidas y declarando la nulidad de todas aquellas cláusulas abusivas obrantes en los títulos de los que trae causa el presente procedimiento, bien sean estas apreciadas de oficio o bien las alegadas por esta parte”.</w:t>
      </w:r>
    </w:p>
    <w:p w14:paraId="257F1EDD" w14:textId="77777777" w:rsidR="008D479B" w:rsidRDefault="008D479B" w:rsidP="008D479B">
      <w:pPr>
        <w:pStyle w:val="TextoNormal"/>
      </w:pPr>
    </w:p>
    <w:p w14:paraId="41046552" w14:textId="77777777" w:rsidR="008D479B" w:rsidRDefault="008D479B" w:rsidP="008D479B">
      <w:pPr>
        <w:pStyle w:val="TextoNormal"/>
      </w:pPr>
      <w:r>
        <w:t>Mediante providencia de 19 de junio de 2013 el juzgado indicó que el procedimiento estaba suspendido a la espera de que se designaran abogado y procurador de oficio a los ejecutados, y que el escrito se había presentado sin la preceptiva firma de abogado y procurador, por lo que en ese momento no procedía dar trámite al mismo, sin perjuicio de que, cuando se designaran dichos profesionales y se alzara la suspensión, los ejecutados dispusieran del plazo de un mes para, o bien subsanar su escrito, con la firma de abogado y procurador, o bien presentar nuevo escrito formulando incidente extraordinario de oposición, también con la firma de abogado y procurador.</w:t>
      </w:r>
    </w:p>
    <w:p w14:paraId="513E3B89" w14:textId="77777777" w:rsidR="008D479B" w:rsidRDefault="008D479B" w:rsidP="008D479B">
      <w:pPr>
        <w:pStyle w:val="TextoNormal"/>
      </w:pPr>
    </w:p>
    <w:p w14:paraId="4AF9AF54" w14:textId="77777777" w:rsidR="008D479B" w:rsidRDefault="008D479B" w:rsidP="008D479B">
      <w:pPr>
        <w:pStyle w:val="TextoNormal"/>
      </w:pPr>
      <w:r>
        <w:t>En diligencia de ordenación de 11 de julio de 2013 se dejó constancia de intentos infructuosos de notificación a los ejecutados y de que, consultado el servicio de orientación jurídica, este había comunicado que no había expediente de justicia gratuita en tramitación por falta de solicitud de aquellos. Por ello, se requirió a los ejecutados para que instaran el correspondiente expediente de justicia gratuita, dado que en otro caso no se iba a proceder a nombrarles abogado y procurador, todo ello con apercibimiento de alzamiento de la suspensión. La diligencia se notificó en la finca ejecutada, negándose a recibirla la empleada de hogar, si bien indicando que ese era el domicilio de los ejecutados.</w:t>
      </w:r>
    </w:p>
    <w:p w14:paraId="0220EA1C" w14:textId="77777777" w:rsidR="008D479B" w:rsidRDefault="008D479B" w:rsidP="008D479B">
      <w:pPr>
        <w:pStyle w:val="TextoNormal"/>
      </w:pPr>
    </w:p>
    <w:p w14:paraId="30337BEF" w14:textId="77777777" w:rsidR="008D479B" w:rsidRDefault="008D479B" w:rsidP="008D479B">
      <w:pPr>
        <w:pStyle w:val="TextoNormal"/>
      </w:pPr>
      <w:r>
        <w:t>f) El 16 de octubre de 2013 los ejecutados comparecieron personalmente ante el juzgado, presentaron copia de la solicitud de asistencia jurídica gratuita e interesaron la suspensión del procedimiento, que fue acordada por decreto de 17 de octubre de 2013 hasta el nombramiento de los profesionales de oficio, para no causar indefensión a los ejecutados.</w:t>
      </w:r>
    </w:p>
    <w:p w14:paraId="52E07C3A" w14:textId="77777777" w:rsidR="008D479B" w:rsidRDefault="008D479B" w:rsidP="008D479B">
      <w:pPr>
        <w:pStyle w:val="TextoNormal"/>
      </w:pPr>
    </w:p>
    <w:p w14:paraId="75B7DC36" w14:textId="77777777" w:rsidR="008D479B" w:rsidRDefault="008D479B" w:rsidP="008D479B">
      <w:pPr>
        <w:pStyle w:val="TextoNormal"/>
      </w:pPr>
      <w:r>
        <w:t>El 20 de febrero de 2014 la Comisión de Asistencia Jurídica Gratuita denegó la solicitud por constar la titularidad de bienes inmuebles distintos de la vivienda habitual, resolución que fue impugnada por los ejecutados, abriéndose por el juzgado la correspondiente pieza separada. Convocadas las partes al acto de la vista, los ejecutados no comparecieron, por lo que el juzgado dictó auto de 5 de junio de 2014 teniéndoles por desistidos de la solicitud de asistencia jurídica gratuita, declarando finalizado el incidente y ordenando alzar la suspensión de la ejecución.</w:t>
      </w:r>
    </w:p>
    <w:p w14:paraId="62C7F872" w14:textId="77777777" w:rsidR="008D479B" w:rsidRDefault="008D479B" w:rsidP="008D479B">
      <w:pPr>
        <w:pStyle w:val="TextoNormal"/>
      </w:pPr>
    </w:p>
    <w:p w14:paraId="1DD6E7E4" w14:textId="77777777" w:rsidR="008D479B" w:rsidRDefault="008D479B" w:rsidP="008D479B">
      <w:pPr>
        <w:pStyle w:val="TextoNormal"/>
      </w:pPr>
      <w:r>
        <w:t>g) El procedimiento siguió por sus trámites, celebrándose la subasta el 17 de septiembre de 2014, que quedó desierta. Por decreto de 14 de octubre de 2014 se adjudicó la finca a la ejecutante. Tras varios intentos infructuosos de notificación en el domicilio de los demandados, se procedió a notificar el decreto por edictos.</w:t>
      </w:r>
    </w:p>
    <w:p w14:paraId="618A0DCA" w14:textId="77777777" w:rsidR="008D479B" w:rsidRDefault="008D479B" w:rsidP="008D479B">
      <w:pPr>
        <w:pStyle w:val="TextoNormal"/>
      </w:pPr>
    </w:p>
    <w:p w14:paraId="6DE51654" w14:textId="77777777" w:rsidR="008D479B" w:rsidRDefault="008D479B" w:rsidP="008D479B">
      <w:pPr>
        <w:pStyle w:val="TextoNormal"/>
      </w:pPr>
      <w:r>
        <w:t>La ejecutante solicitó la entrega de la posesión de la finca y el lanzamiento de los ocupantes. En diligencia de 13 de marzo de 2015 se hizo constar que el lanzamiento había sido señalado para el 16 de abril de 2015. Se intentó su notificación en el domicilio de los ejecutados, con resultado “ausente” y “no retirado”.</w:t>
      </w:r>
    </w:p>
    <w:p w14:paraId="13446F0F" w14:textId="77777777" w:rsidR="008D479B" w:rsidRDefault="008D479B" w:rsidP="008D479B">
      <w:pPr>
        <w:pStyle w:val="TextoNormal"/>
      </w:pPr>
    </w:p>
    <w:p w14:paraId="23FC00AC" w14:textId="77777777" w:rsidR="008D479B" w:rsidRDefault="008D479B" w:rsidP="008D479B">
      <w:pPr>
        <w:pStyle w:val="TextoNormal"/>
      </w:pPr>
      <w:r>
        <w:t>El 16 de abril de 2015 la comisión judicial se constituyó en la vivienda ejecutada con asistencia solo del procurador de la ejecutante, no compareciendo los ejecutados. Tras el cambio de cerradura se dio posesión de la finca al procurador de la actora, con entrega de las nuevas llaves.</w:t>
      </w:r>
    </w:p>
    <w:p w14:paraId="7D4DC965" w14:textId="77777777" w:rsidR="008D479B" w:rsidRDefault="008D479B" w:rsidP="008D479B">
      <w:pPr>
        <w:pStyle w:val="TextoNormal"/>
      </w:pPr>
    </w:p>
    <w:p w14:paraId="4025C14A" w14:textId="77777777" w:rsidR="008D479B" w:rsidRDefault="008D479B" w:rsidP="008D479B">
      <w:pPr>
        <w:pStyle w:val="TextoNormal"/>
      </w:pPr>
      <w:r>
        <w:t>El 20 de abril de 2015 la ejecutante presentó un escrito al juzgado comunicándole que “[a] pesar del lanzamiento que se practicó sin incidencias el 16 de abril, los ejecutados y anteriores propietarios del inmueble, sin autorización alguna ni conocimiento del propietario, han cambiado la cerradura, entrando y tomando posesión del inmueble el mismo día 16 y a última hora de la tarde según versión de los vecinos, llegando a pernoctar la noche del jueves 16 al viernes 17”. Acompañaba la denuncia que había presentado ante la Policía Municipal de Bilbao a los efectos de hacer valer el reproche penal que los hechos pudieran tener, y solicitaba que por el juzgado se acordara un nuevo lanzamiento.</w:t>
      </w:r>
    </w:p>
    <w:p w14:paraId="3DDE3565" w14:textId="77777777" w:rsidR="008D479B" w:rsidRDefault="008D479B" w:rsidP="008D479B">
      <w:pPr>
        <w:pStyle w:val="TextoNormal"/>
      </w:pPr>
    </w:p>
    <w:p w14:paraId="5D682B0F" w14:textId="77777777" w:rsidR="008D479B" w:rsidRDefault="008D479B" w:rsidP="008D479B">
      <w:pPr>
        <w:pStyle w:val="TextoNormal"/>
      </w:pPr>
      <w:r>
        <w:t>Mediante providencia de 22 de abril de 2015 el juzgado acordó no haber “lugar a acordar nuevo señalamiento de lanzamiento, dado que la entrega de la posesión se realizó válidamente a los propietarios del inmueble, como consta en diligencia de 16 de abril de 2015”; ordenando, en su lugar, expedir testimonio de las actuaciones a efectos penales para su unión al procedimiento que se siguiera en virtud de la denuncia de la ejecutante.</w:t>
      </w:r>
    </w:p>
    <w:p w14:paraId="0398C09D" w14:textId="77777777" w:rsidR="008D479B" w:rsidRDefault="008D479B" w:rsidP="008D479B">
      <w:pPr>
        <w:pStyle w:val="TextoNormal"/>
      </w:pPr>
    </w:p>
    <w:p w14:paraId="3B1492F0" w14:textId="77777777" w:rsidR="008D479B" w:rsidRDefault="008D479B" w:rsidP="008D479B">
      <w:pPr>
        <w:pStyle w:val="TextoNormal"/>
      </w:pPr>
      <w:r>
        <w:t>h) La ejecución siguió adelante con el fin de hacer efectivas las cantidades adeudadas por los ejecutados a la ejecutante en concepto de intereses y costas. Las actuaciones de los ejecutados durante ese período fueron las siguientes: el 29 de febrero de 2016 se presentó escrito, sin abogado ni procurador, solicitando “la resolución judicial de la cual tomó testimonio el registro de la propiedad poniendo como titular del mismo a la mercantil demandante”; el 23 de marzo de 2016 el ejecutado comunicó por teléfono al juzgado que habían trasladado su residencia a Francia; el 29 de julio de 2016 se dictó decreto indicando que las pretensiones económicas de la reclamante habían sido íntegramente satisfechas y declarando finalizado el proceso de ejecución, tras el cual los ejecutados presentaron un escrito de 5 de septiembre de 2016 solicitando el reintegro de determinadas cantidades; el 16 de febrero de 2017 el ejecutado compareció ante el juzgado para ser notificado de una diligencia de ordenación relacionada con el anterior escrito.</w:t>
      </w:r>
    </w:p>
    <w:p w14:paraId="38C3CF9E" w14:textId="77777777" w:rsidR="008D479B" w:rsidRDefault="008D479B" w:rsidP="008D479B">
      <w:pPr>
        <w:pStyle w:val="TextoNormal"/>
      </w:pPr>
    </w:p>
    <w:p w14:paraId="69CC2842" w14:textId="77777777" w:rsidR="008D479B" w:rsidRDefault="008D479B" w:rsidP="008D479B">
      <w:pPr>
        <w:pStyle w:val="TextoNormal"/>
      </w:pPr>
      <w:r>
        <w:t>Por diligencia de ordenación de 4 de septiembre de 2017 se acordó el desglose de las actuaciones de la escritura de préstamo hipotecario y el archivo definitivo de las actuaciones.</w:t>
      </w:r>
    </w:p>
    <w:p w14:paraId="784152B6" w14:textId="77777777" w:rsidR="008D479B" w:rsidRDefault="008D479B" w:rsidP="008D479B">
      <w:pPr>
        <w:pStyle w:val="TextoNormal"/>
      </w:pPr>
    </w:p>
    <w:p w14:paraId="080447B8" w14:textId="77777777" w:rsidR="008D479B" w:rsidRDefault="008D479B" w:rsidP="008D479B">
      <w:pPr>
        <w:pStyle w:val="TextoNormal"/>
      </w:pPr>
      <w:r>
        <w:t>i) El 22 de marzo de 2021 los ejecutados, representados por la procuradora doña Begoña Jáuregui, promovieron un incidente de nulidad de actuaciones al amparo del art. 228 de la Ley de enjuiciamiento civil (LEC) alegando que se habían visto “privados de la propiedad de la que era su vivienda, garantía hipotecaria en el presente proceso, habiendo transcurrido el mismo hasta la fecha sin haber tenido procurador que le[s] represente, ni abogado que les defienda”. Todo ello les había causado grave indefensión y vulneración de sus derechos recogidos en los arts. 24, 47 y 51.1 CE, habiéndose infringido los principios de legalidad, audiencia y contradicción. Alegaban que el juzgado no había llevado a cabo el exigido control de oficio de la posible existencia de cláusulas abusivas pese a su condición de consumidores, lo que vulneraba su derecho a la tutela judicial efectiva conforme a la doctrina establecida en las SSTC 31/2019, de 28 de febrero, y 30/2020, de 24 de febrero, dictadas tras la STJUE de 26 de enero de 2017, asunto C-421/14</w:t>
      </w:r>
      <w:r w:rsidRPr="008D479B">
        <w:rPr>
          <w:i/>
        </w:rPr>
        <w:t>, Banco Prim</w:t>
      </w:r>
      <w:r>
        <w:t>us).</w:t>
      </w:r>
    </w:p>
    <w:p w14:paraId="62636BC0" w14:textId="77777777" w:rsidR="008D479B" w:rsidRDefault="008D479B" w:rsidP="008D479B">
      <w:pPr>
        <w:pStyle w:val="TextoNormal"/>
      </w:pPr>
    </w:p>
    <w:p w14:paraId="3A21DC10" w14:textId="77777777" w:rsidR="008D479B" w:rsidRDefault="008D479B" w:rsidP="008D479B">
      <w:pPr>
        <w:pStyle w:val="TextoNormal"/>
      </w:pPr>
      <w:r>
        <w:t>Argumentaban que el préstamo que había servido de título a la ejecución contenía varias cláusulas abusivas, algunas de las cuales determinaban la cantidad exigible, y otra, la de vencimiento anticipado, fundamentaba la ejecución. Resaltaban que, según las SSTC 31/2019 y 30/2020, no cabía considerar que el plazo para denunciar la existencia de cláusulas abusivas hubiera precluido solo porque la parte ejecutada no hubiera formulado oposición a la ejecución en el plazo de diez días previsto en el art. 557 LEC; y que en el caso de que existiera alguna cláusula cuyo eventual carácter abusivo no hubiera sido aún examinado en un anterior control de abusividad —lo que era su caso— la Directiva 93/13/CEE debía interpretarse en el sentido de que el juez nacional “está obligado a apreciar a instancia de partes o de oficio, el control de abusividad de una nueva cláusula cuando disponga de los elementos de hecho y de Derecho necesarios para ello, sin que exista plazo preclusivo que lo impida”.</w:t>
      </w:r>
    </w:p>
    <w:p w14:paraId="7950CB41" w14:textId="77777777" w:rsidR="008D479B" w:rsidRDefault="008D479B" w:rsidP="008D479B">
      <w:pPr>
        <w:pStyle w:val="TextoNormal"/>
      </w:pPr>
    </w:p>
    <w:p w14:paraId="0A46B3F9" w14:textId="77777777" w:rsidR="008D479B" w:rsidRDefault="008D479B" w:rsidP="008D479B">
      <w:pPr>
        <w:pStyle w:val="TextoNormal"/>
      </w:pPr>
      <w:r>
        <w:t>Resaltaban que el incidente de nulidad se presentaba en el momento en que los ejecutados “han tenido conocimiento de los defectos causantes de la indefensión por cuanto que han acudido a la Plataforma de Afectados por la Hipoteca y han sido asesorados por los letrados de dicha asociación, siendo que tal conocimiento de los defectos causantes de indefensión que se les ha generado, no habiendo transcurrido cinco años desde que han sido desposeídos de su vivienda habitual en el presente proceso, en adjudicación de la misma a la parte ejecutante, tal y como exponen el artículo 241 de la Ley Orgánica del Poder Judicial y el artículo 227.2 y 228 de la Ley de enjuiciamiento civil”.</w:t>
      </w:r>
    </w:p>
    <w:p w14:paraId="3C12267E" w14:textId="77777777" w:rsidR="008D479B" w:rsidRDefault="008D479B" w:rsidP="008D479B">
      <w:pPr>
        <w:pStyle w:val="TextoNormal"/>
      </w:pPr>
    </w:p>
    <w:p w14:paraId="6BC9926C" w14:textId="77777777" w:rsidR="008D479B" w:rsidRDefault="008D479B" w:rsidP="008D479B">
      <w:pPr>
        <w:pStyle w:val="TextoNormal"/>
      </w:pPr>
      <w:r>
        <w:t>j) Mediante providencia de 6 de abril de 2021 el juzgado resolvió lo siguiente: “El incidente planteado debe ser inadmitido a trámite, de conformidad con el artículo 228.1 de la LEC. Y ello por dos motivos:</w:t>
      </w:r>
    </w:p>
    <w:p w14:paraId="29EA6D92" w14:textId="77777777" w:rsidR="008D479B" w:rsidRDefault="008D479B" w:rsidP="008D479B">
      <w:pPr>
        <w:pStyle w:val="TextoNormal"/>
      </w:pPr>
    </w:p>
    <w:p w14:paraId="1E178214" w14:textId="77777777" w:rsidR="008D479B" w:rsidRDefault="008D479B" w:rsidP="008D479B">
      <w:pPr>
        <w:pStyle w:val="TextoNormal"/>
      </w:pPr>
      <w:r>
        <w:t>En primer lugar, el incidente extraordinario de nulidad de actuaciones, regulado en el artículo 228 de la LEC, se prevé para procesos finalizados por resolución firme (de ahí que se mencione ‘siempre que no haya podido denunciarse antes de recaer resolución que ponga fin al proceso y siempre que dicha resolución no sea susceptible de recurso ordinario ni extraordinario’). Circunstancia que no concurre en este caso.</w:t>
      </w:r>
    </w:p>
    <w:p w14:paraId="40026C50" w14:textId="77777777" w:rsidR="008D479B" w:rsidRDefault="008D479B" w:rsidP="008D479B">
      <w:pPr>
        <w:pStyle w:val="TextoNormal"/>
      </w:pPr>
    </w:p>
    <w:p w14:paraId="395316D0" w14:textId="7C590760" w:rsidR="008D479B" w:rsidRDefault="008D479B" w:rsidP="008D479B">
      <w:pPr>
        <w:pStyle w:val="TextoNormal"/>
      </w:pPr>
      <w:r>
        <w:t>A mayor abundamiento, dicho incidente se regula para vulneraciones de derechos fundamentales que no hayan podido denunciarse antes. La parte ejecutada se refiere en su escrito a que no se ha realizado un control de oficio de cláusulas abusivas. Pero debemos recordar que los ejecutados presentaron el 14 de junio de 2013 escrito en el que aludían a la existencia de cláusulas abusivas y su posible control de oficio, sin firma de abogado y procurador; por decreto de 17 de octubre de 2013 se acordó la suspensión del proceso hasta que se reconociese o se denegase el derecho a la asistencia jurídica gratuita solicitada por los ejecutados; la solicitud fue denegada por la Comisión de Asistencia Jurídica Gratuita, denegación que fue impugnada por el señor Ugalde y la señora Bermejo; sin embargo, los mismos no acudieron a la vista señalada el 5 de junio de 2014, por lo que se dictó auto el 5 de junio de 2014 teniéndoles por desistidos de la solicitud de beneficio de justicia gratuita, auto que devino firme. A la vista de estos antecedentes, no puede entenderse que la supuesta falta de control de oficio de las cláusulas abusivas no haya podido denunciarse antes”.</w:t>
      </w:r>
    </w:p>
    <w:p w14:paraId="1B0B1854" w14:textId="77777777" w:rsidR="008D479B" w:rsidRDefault="008D479B" w:rsidP="008D479B">
      <w:pPr>
        <w:pStyle w:val="TextoNormal"/>
      </w:pPr>
    </w:p>
    <w:p w14:paraId="7B6B7A16" w14:textId="77777777" w:rsidR="008D479B" w:rsidRDefault="008D479B" w:rsidP="008D479B">
      <w:pPr>
        <w:pStyle w:val="TextoNormal"/>
      </w:pPr>
      <w:r w:rsidRPr="008D479B">
        <w:rPr>
          <w:rStyle w:val="NumeroAFNegritaCaracter"/>
        </w:rPr>
        <w:t>3</w:t>
      </w:r>
      <w:r>
        <w:t>. Frente a la providencia de 6 de abril de 2021 interponen los ejecutados el presente recurso de amparo, alegando la vulneración del derecho fundamental a la tutela judicial efectiva del art. 24.1 CE, por no haber realizado el juzgado el control de oficio de las cláusulas abusivas del contrato. Alegan que el juzgado ha resuelto en contra de lo establecido por la jurisprudencia europea y por la doctrina constitucional sentada a partir de la STC 31/2919, de 28 de febrero, referida a los supuestos en los que el órgano judicial, al no analizar la posible nulidad por abusividad de una cláusula contractual objeto de un incidente de nulidad ni haber planteado cuestión prejudicial, infringe el principio de primacía del Derecho de la Unión al prescindir por su propia, autónoma y exclusiva decisión de la interpretación impuesta y señalada por el órgano competente para hacerlo con carácter vinculante, incurriendo, por ello, en una interpretación irrazonable y arbitraria de una norma aplicada al proceso y, consecuentemente, vulnerando el derecho a la tutela judicial efectiva del recurrente.</w:t>
      </w:r>
    </w:p>
    <w:p w14:paraId="20556627" w14:textId="77777777" w:rsidR="008D479B" w:rsidRDefault="008D479B" w:rsidP="008D479B">
      <w:pPr>
        <w:pStyle w:val="TextoNormal"/>
      </w:pPr>
    </w:p>
    <w:p w14:paraId="555524BA" w14:textId="77777777" w:rsidR="008D479B" w:rsidRDefault="008D479B" w:rsidP="008D479B">
      <w:pPr>
        <w:pStyle w:val="TextoNormal"/>
      </w:pPr>
      <w:r>
        <w:t>Insisten en que, con arreglo a la jurisprudencia europea, el juzgado está obligado a realizar de oficio el control de abusividad tan pronto como disponga de los elementos de hecho y de derecho para llevarlo a cabo, tanto sea por decisión propia como a petición de parte; consecuentemente, se permite al ejecutado invocar la abusividad de las cláusulas y solicitar su revisión judicial cuando tenga conocimiento de ello, independientemente del momento procesal en que se encuentre el procedimiento, a los efectos de que el juzgador actúe en consecuencia.</w:t>
      </w:r>
    </w:p>
    <w:p w14:paraId="3BD6864D" w14:textId="77777777" w:rsidR="008D479B" w:rsidRDefault="008D479B" w:rsidP="008D479B">
      <w:pPr>
        <w:pStyle w:val="TextoNormal"/>
      </w:pPr>
    </w:p>
    <w:p w14:paraId="0B8347E7" w14:textId="77777777" w:rsidR="008D479B" w:rsidRDefault="008D479B" w:rsidP="008D479B">
      <w:pPr>
        <w:pStyle w:val="TextoNormal"/>
      </w:pPr>
      <w:r>
        <w:t>Argumentan que “[e]n el presente caso y, al no contar mis representados con la debida defensa y representación en el proceso, este se desarrolló con mayor celeridad, sin que existieran recursos dirigidos a la Audiencia Provincial, puesto que la entidad, única interviniente en el proceso, viendo satisfechas sus pretensiones en el proceso de ejecución hipotecaria que se desarrolló, no tuvo necesidad alguna de interponer recursos ante un órgano superior al de primera instancia, donde se desarrollan todas las actuaciones, y donde se resuelven de forma definitiva las pretensiones ejecutivas de la entidad acreedora. Por ello, es en dicho juzgado donde se ha venido a interponer el incidente extraordinario de nulidad de actuaciones que siendo como ha sido rechazado por dicho juzgado de instancia en Bilbao, ha supuesto una nueva vulneración al derecho de defensa de mis mandantes, a quienes coloca en una nueva situación de indefensión adicional a la que ya les supuso la imposibilidad de que se atendiera su escrito de incidente extraordinario de oposición al amparo de la Ley 1/2013, que aun no llevando la preceptiva firma de abogado y procurador, pudo perfectamente alertar al juzgador/a de instancia de la denuncia que se formulaba, para que este/a hubiera procedido a ejercer esa su obligación, de llevar a cabo un posible análisis de la existencia de cláusulas abusivas en el contrato de préstamo, préstamo respecto al que conviene señalar, las cuotas que a tal momento resultaban impagadas en modo alguno representaban un incumplimiento grave o esencial por parte de los prestatarios-consumidores”.</w:t>
      </w:r>
    </w:p>
    <w:p w14:paraId="71C169FD" w14:textId="77777777" w:rsidR="008D479B" w:rsidRDefault="008D479B" w:rsidP="008D479B">
      <w:pPr>
        <w:pStyle w:val="TextoNormal"/>
      </w:pPr>
    </w:p>
    <w:p w14:paraId="07CBC8C7" w14:textId="00396ABD" w:rsidR="008D479B" w:rsidRDefault="008D479B" w:rsidP="008D479B">
      <w:pPr>
        <w:pStyle w:val="TextoNormal"/>
      </w:pPr>
      <w:r>
        <w:t>La demanda concluye solicitando la declaración de nulidad de la providencia de 6 de abril de 2021 y que se retrotraigan las actuaciones al momento de despacho de la ejecución a fin de que el juzgador pueda realizar el obligado control de oficio de las cláusulas abusivas y, subsidiariamente, al momento en que los ejecutados pusieron en conocimiento del juzgado dicha abusividad a través del incidente de nulidad de actuaciones.</w:t>
      </w:r>
    </w:p>
    <w:p w14:paraId="335F18FB" w14:textId="77777777" w:rsidR="008D479B" w:rsidRDefault="008D479B" w:rsidP="008D479B">
      <w:pPr>
        <w:pStyle w:val="TextoNormal"/>
      </w:pPr>
    </w:p>
    <w:p w14:paraId="692D305B" w14:textId="42821AB1" w:rsidR="008D479B" w:rsidRDefault="008D479B" w:rsidP="008D479B">
      <w:pPr>
        <w:pStyle w:val="TextoNormal"/>
      </w:pPr>
      <w:r w:rsidRPr="008D479B">
        <w:rPr>
          <w:rStyle w:val="NumeroAFNegritaCaracter"/>
        </w:rPr>
        <w:t>4</w:t>
      </w:r>
      <w:r>
        <w:t>. Por providencia de 7 de marzo de 2022 la Sección Primera de este tribunal acordó admitir a trámite el recurso de amparo, apreciando que concurre una especial trascendencia constitucional [art. 50.1 de la Ley Orgánica del Tribunal Constitucional (LOTC)] como consecuencia de que el órgano judicial pudiera haber incurrido en una negativa manifiesta del deber de acatamiento de la doctrina de este tribunal [STC 155/2009, de 25 de junio, FJ 2 f)]. Por ello, en aplicación de lo dispuesto en el art. 51 LOTC, se ordenó dirigir atenta comunicación al Juzgado de Primera Instancia núm. 10 de Bilbao a fin de que, en el plazo de diez días, remitiera certificación o fotocopia adverada de las actuaciones correspondientes a la ejecución hipotecaria 1131-2012; debiendo previamente emplazarse a quienes hubieran sido parte en dicho procedimiento, excepto a la parte recurrente en amparo, a fin de que, en el plazo de diez días pudieran comparecer, si lo desearan, en el presente proceso constitucional.</w:t>
      </w:r>
    </w:p>
    <w:p w14:paraId="7C1AFF32" w14:textId="77777777" w:rsidR="008D479B" w:rsidRDefault="008D479B" w:rsidP="008D479B">
      <w:pPr>
        <w:pStyle w:val="TextoNormal"/>
      </w:pPr>
    </w:p>
    <w:p w14:paraId="472E1549" w14:textId="77777777" w:rsidR="008D479B" w:rsidRDefault="008D479B" w:rsidP="008D479B">
      <w:pPr>
        <w:pStyle w:val="TextoNormal"/>
      </w:pPr>
      <w:r w:rsidRPr="008D479B">
        <w:rPr>
          <w:rStyle w:val="NumeroAFNegritaCaracter"/>
        </w:rPr>
        <w:t>5</w:t>
      </w:r>
      <w:r>
        <w:t>. El procurador don José Luis Andikoetxea Gracia, en nombre y representación de doña María Begoña Otaola Zubillaga, presentó un escrito de fecha 5 de abril de 2022 comunicando a este tribunal que la mercantil A.C. Asesoría y Gestión de Recursos, S.L. —antes A.C. Asesoría Integral a Empresas y Gestión de Créditos, S.L.— se encontraba liquidada y extinguida desde el 30 de diciembre de 2021, según constaba en escritura pública que adjuntaba; y que la señora Otaola había ostentado el 50 por 100 de las participaciones sociales desde la constitución hasta la liquidación de dicha mercantil, por lo que se personaba y comparecía en el recurso de amparo en virtud de su interés legítimo en que quedara acreditado que se había seguido el proceso de ejecución hipotecaria con todas las garantías.</w:t>
      </w:r>
    </w:p>
    <w:p w14:paraId="10982102" w14:textId="77777777" w:rsidR="008D479B" w:rsidRDefault="008D479B" w:rsidP="008D479B">
      <w:pPr>
        <w:pStyle w:val="TextoNormal"/>
      </w:pPr>
    </w:p>
    <w:p w14:paraId="1AFB38D0" w14:textId="73A42E64" w:rsidR="008D479B" w:rsidRDefault="008D479B" w:rsidP="008D479B">
      <w:pPr>
        <w:pStyle w:val="TextoNormal"/>
      </w:pPr>
      <w:r>
        <w:t>Por otro lado, la procuradora doña María Mercedes Pérez García, en nombre y representación de A.C. Asesoría Integral a Empresas y Gestión de Créditos, S.L., parte que fue en el procedimiento de ejecución hipotecaria 1131-2012, presentó un escrito de fecha 8 de abril de 2022 comunicando a este tribunal que dicha mercantil había cambiado en 2015 su nombre a A.C. Asesoría y Gestión de Recursos, S.L., y que solicitaba ser admitida como parte personada en el presente recurso de amparo.</w:t>
      </w:r>
    </w:p>
    <w:p w14:paraId="6C58E231" w14:textId="77777777" w:rsidR="008D479B" w:rsidRDefault="008D479B" w:rsidP="008D479B">
      <w:pPr>
        <w:pStyle w:val="TextoNormal"/>
      </w:pPr>
    </w:p>
    <w:p w14:paraId="441BEE02" w14:textId="55B8B2D8" w:rsidR="008D479B" w:rsidRDefault="008D479B" w:rsidP="008D479B">
      <w:pPr>
        <w:pStyle w:val="TextoNormal"/>
      </w:pPr>
      <w:r w:rsidRPr="008D479B">
        <w:rPr>
          <w:rStyle w:val="NumeroAFNegritaCaracter"/>
        </w:rPr>
        <w:t>6</w:t>
      </w:r>
      <w:r>
        <w:t>. Por diligencia de ordenación de 28 de abril de 2022 se acordó tener por recibidos los escritos de ambos procuradores y tenerles por personados, respectivamente, en nombre y representación de doña María Begoña Otaola Zubillaga y de A.C. Asesoría Integral a Empresas y Gestión de Créditos, S.L., y, a tenor de lo dispuesto en el art. 52.1 LOTC, se resolvió dar vista de las actuaciones recibidas al Ministerio Fiscal y a las partes personadas, por plazo común de veinte días, para que dentro de dicho término pudieran presentar las alegaciones que a su derecho convinieran.</w:t>
      </w:r>
    </w:p>
    <w:p w14:paraId="291598EF" w14:textId="77777777" w:rsidR="008D479B" w:rsidRDefault="008D479B" w:rsidP="008D479B">
      <w:pPr>
        <w:pStyle w:val="TextoNormal"/>
      </w:pPr>
    </w:p>
    <w:p w14:paraId="4B543DF2" w14:textId="79D94421" w:rsidR="008D479B" w:rsidRDefault="008D479B" w:rsidP="008D479B">
      <w:pPr>
        <w:pStyle w:val="TextoNormal"/>
      </w:pPr>
      <w:r w:rsidRPr="008D479B">
        <w:rPr>
          <w:rStyle w:val="NumeroAFNegritaCaracter"/>
        </w:rPr>
        <w:t>7</w:t>
      </w:r>
      <w:r>
        <w:t>. El 16 de mayo de 2022 presentaron escrito de alegaciones los recurrentes, dando por reproducidos los hechos y los fundamentos jurídicos de su recurso.</w:t>
      </w:r>
    </w:p>
    <w:p w14:paraId="66081D4F" w14:textId="77777777" w:rsidR="008D479B" w:rsidRDefault="008D479B" w:rsidP="008D479B">
      <w:pPr>
        <w:pStyle w:val="TextoNormal"/>
      </w:pPr>
    </w:p>
    <w:p w14:paraId="5C97530E" w14:textId="77777777" w:rsidR="008D479B" w:rsidRDefault="008D479B" w:rsidP="008D479B">
      <w:pPr>
        <w:pStyle w:val="TextoNormal"/>
      </w:pPr>
      <w:r w:rsidRPr="008D479B">
        <w:rPr>
          <w:rStyle w:val="NumeroAFNegritaCaracter"/>
        </w:rPr>
        <w:t>8</w:t>
      </w:r>
      <w:r>
        <w:t>. El 19 de mayo de 2022 tuvo entrada en este tribunal escrito de alegaciones presentado por la representación de doña María Begoña Otaola Zubillaga, en el que solicitó la desestimación del recurso.</w:t>
      </w:r>
    </w:p>
    <w:p w14:paraId="01E050E9" w14:textId="77777777" w:rsidR="008D479B" w:rsidRDefault="008D479B" w:rsidP="008D479B">
      <w:pPr>
        <w:pStyle w:val="TextoNormal"/>
      </w:pPr>
    </w:p>
    <w:p w14:paraId="38783BB7" w14:textId="77777777" w:rsidR="008D479B" w:rsidRDefault="008D479B" w:rsidP="008D479B">
      <w:pPr>
        <w:pStyle w:val="TextoNormal"/>
      </w:pPr>
      <w:r>
        <w:t>Alegó que, aunque el juzgado hubiera presumido que eran consumidores, los ejecutados no ostentaban dicha condición puesto que el préstamo hipotecario no se había suscrito para la adquisición de su vivienda habitual, sino para destinarlo casi íntegramente a la cancelación de deudas derivadas de una actividad empresarial. Tampoco se había producido ninguna indefensión durante la tramitación de la ejecución, puesto que el juzgado había velado en todo momento por evitar la indefensión de los ejecutados y fueron estos los que voluntariamente optaron por renunciar a la asistencia jurídica gratuita y por comparecer sin abogado ni procurador.</w:t>
      </w:r>
    </w:p>
    <w:p w14:paraId="126FD853" w14:textId="77777777" w:rsidR="008D479B" w:rsidRDefault="008D479B" w:rsidP="008D479B">
      <w:pPr>
        <w:pStyle w:val="TextoNormal"/>
      </w:pPr>
    </w:p>
    <w:p w14:paraId="6E77EFE0" w14:textId="77777777" w:rsidR="008D479B" w:rsidRDefault="008D479B" w:rsidP="008D479B">
      <w:pPr>
        <w:pStyle w:val="TextoNormal"/>
      </w:pPr>
      <w:r>
        <w:t>Además, la ejecución hipotecaria había concluido con la adjudicación a la ejecutante del inmueble subastado y con la entrega de su posesión a través del lanzamiento que tuvo lugar el 16 de abril de 2015, procediéndose al cambio de cerradura por la comisión judicial. Ese mismo día los ejecutados volvieron al inmueble y cambiaron forzadamente la cerradura, pasando a ser ocupantes ilegales, lo que la ejecutante denunció ante la policía municipal. Solicitado al juzgado nuevo lanzamiento, se denegó porque ya se había llevado a efecto, lo que obligó a la ejecutante a tener que iniciar un procedimiento de desahucio por precario (núm. 505-2015), que se siguió ante el Juzgado de Primera Instancia núm. 1 de Bilbao, y que hubo de ser suspendido por prejudicialidad penal dado que la previa denuncia había dado lugar a la tramitación del procedimiento abreviado núm. 79-2018 ante el Juzgado de lo Penal núm. 5 de Bilbao. Este dictó sentencia el 17 de mayo de 2019, con la conformidad de las partes, y condenó al señor Ugalde y a la señora Bermejo como autores de un delito leve de usurpación de bien inmueble. En la misma fecha las partes suscribieron un contrato de señal y promesa de compra sobre el bien inmueble que había sido objeto de ejecución, en aras a posibilitar que el señor Ugalde y la señora Bermejo pudieran volver a adquirir la propiedad de la vivienda sin tener que llegar a salir de la misma. A la vista de lo resuelto en la sentencia penal, el Juzgado de Primera Instancia núm. 1 de Bilbao alzó la suspensión y dictó sentencia el 30 de octubre de 2019 estimando la demanda de desahucio por precario y condenando a los demandados a desalojar la vivienda. Incumplido el contrato de señal y promesa de compra, A.C. Asesoría y Gestión de Créditos, S.L., se vio obligada a resolver el mismo y a instar el lanzamiento mediante la ejecución de la sentencia dictada en el procedimiento de desahucio. Por todo lo expuesto, la interposición del presente recurso de amparo, además de haberse realizado con temeridad y mala fe por los recurrentes, “es totalmente contraria a la doctrina de los actos propios, pues en caso de que los recurrentes hubieren entendido su pretensión ajustada a derecho, las acciones que han llevado a la interposición del mismo debieron iniciarse tras la conclusión del procedimiento de ejecución hipotecaria acaecida el 16 de abril de 2015, y no seis años después de esta fecha, máxime cuando no se ha hecho la más mínima referencia a la nulidad de actuaciones ahora solicitada ni en el procedimiento penal por usurpación ni en el civil por desahucio, en los que contaron con asistencia letrada, ni mucho menos en el acuerdo de compraventa alcanzado entre las partes”. Por último, alegó que, a finales de 2020, en el proceso de liquidación de A.C. Asesoría y Gestión de Créditos, S.L., se había procedido a la venta del inmueble objeto de ejecución hipotecaria a un tercero de buena fe.</w:t>
      </w:r>
    </w:p>
    <w:p w14:paraId="78D605B0" w14:textId="77777777" w:rsidR="008D479B" w:rsidRDefault="008D479B" w:rsidP="008D479B">
      <w:pPr>
        <w:pStyle w:val="TextoNormal"/>
      </w:pPr>
    </w:p>
    <w:p w14:paraId="5D17B13D" w14:textId="6C7DADDB" w:rsidR="008D479B" w:rsidRDefault="008D479B" w:rsidP="008D479B">
      <w:pPr>
        <w:pStyle w:val="TextoNormal"/>
      </w:pPr>
      <w:r>
        <w:t>Al escrito se adjuntaron resoluciones judiciales dictadas en el procedimiento penal y en el juicio civil de desahucio, y el acuerdo de señal y promesa de venta.</w:t>
      </w:r>
    </w:p>
    <w:p w14:paraId="5010059F" w14:textId="77777777" w:rsidR="008D479B" w:rsidRDefault="008D479B" w:rsidP="008D479B">
      <w:pPr>
        <w:pStyle w:val="TextoNormal"/>
      </w:pPr>
    </w:p>
    <w:p w14:paraId="505B7D54" w14:textId="77777777" w:rsidR="008D479B" w:rsidRDefault="008D479B" w:rsidP="008D479B">
      <w:pPr>
        <w:pStyle w:val="TextoNormal"/>
      </w:pPr>
      <w:r w:rsidRPr="008D479B">
        <w:rPr>
          <w:rStyle w:val="NumeroAFNegritaCaracter"/>
        </w:rPr>
        <w:t>9</w:t>
      </w:r>
      <w:r>
        <w:t>. El 19 de mayo de 2022 tuvo entrada en este tribunal escrito de alegaciones presentado por la representación de A.C. Asesoría Integral a Empresas y Gestión de Créditos, S.L., en el que solicitó la inadmisión y subsidiaria desestimación del recurso.</w:t>
      </w:r>
    </w:p>
    <w:p w14:paraId="1E4A5E6D" w14:textId="77777777" w:rsidR="008D479B" w:rsidRDefault="008D479B" w:rsidP="008D479B">
      <w:pPr>
        <w:pStyle w:val="TextoNormal"/>
      </w:pPr>
    </w:p>
    <w:p w14:paraId="45FC196B" w14:textId="77777777" w:rsidR="008D479B" w:rsidRDefault="008D479B" w:rsidP="008D479B">
      <w:pPr>
        <w:pStyle w:val="TextoNormal"/>
      </w:pPr>
      <w:r>
        <w:t>Alegó que dicha mercantil había sido parte en la ejecución hipotecaria de la que dimanaba este recurso, haciendo un repaso de los principales hitos procesales para destacar que el 16 de abril de 2015 la ejecutante tomó posesión del inmueble en virtud del lanzamiento acordado por el juzgado pero inmediatamente después los ejecutados, sirviéndose de fuerza en las cosas y contra la voluntad de la legítima propietaria, ocuparon de nuevo la vivienda. Como consecuencia de dicha actuación los ejecutados fueron condenados por un delito de usurpación por el Juzgado de lo Penal núm. 5 de Bilbao, adjuntándose la sentencia. Finalmente, se consiguió que los ejecutados abandonaran la finca.</w:t>
      </w:r>
    </w:p>
    <w:p w14:paraId="78517EDF" w14:textId="77777777" w:rsidR="008D479B" w:rsidRDefault="008D479B" w:rsidP="008D479B">
      <w:pPr>
        <w:pStyle w:val="TextoNormal"/>
      </w:pPr>
    </w:p>
    <w:p w14:paraId="1E049A22" w14:textId="77777777" w:rsidR="008D479B" w:rsidRDefault="008D479B" w:rsidP="008D479B">
      <w:pPr>
        <w:pStyle w:val="TextoNormal"/>
      </w:pPr>
      <w:r>
        <w:t>Destacó que no pueden los ejecutados alegar indefensión cuando tuvieron en el proceso absoluta posibilidad de intervención y garantías, invocando doctrina de este tribunal que establece que la alegación de indefensión no puede beneficiar a la persona que la provoca con su actitud activa o pasiva; la indefensión que proscribe el art. 24.1 CE es la que resulta imputable al tribunal que debe prestar tutela a los derechos e intereses en litigio, pero no la que nace de la propia conducta de la persona afectada (SSTC 147/1990, de 1 de octubre, entre otras).</w:t>
      </w:r>
    </w:p>
    <w:p w14:paraId="72845AA4" w14:textId="77777777" w:rsidR="008D479B" w:rsidRDefault="008D479B" w:rsidP="008D479B">
      <w:pPr>
        <w:pStyle w:val="TextoNormal"/>
      </w:pPr>
    </w:p>
    <w:p w14:paraId="54E5460E" w14:textId="11C493A0" w:rsidR="008D479B" w:rsidRDefault="008D479B" w:rsidP="008D479B">
      <w:pPr>
        <w:pStyle w:val="TextoNormal"/>
      </w:pPr>
      <w:r>
        <w:t>Y concluyó señalando que, aun cuando es posible que los ejecutados puedan alegar la abusividad de una cláusula contractual fuera del plazo de oposición, siempre que no hubiera sido examinada con anterioridad, existe un momento límite a partir del cual no se puede realizar dicho control de abusividad, y este es el de la entrega de la posesión del bien ejecutado al adjudicatario (SSTC 31/2019, de 28 de febrero; 8/2021, de 25 de enero, y 150/2021, de 13 de septiembre). En este caso, habiéndose producido el lanzamiento de los ejecutados el 16 de abril de 2015, más allá de esa fecha no cabe el control de abusividad, ni de oficio ni a instancia de parte, por lo que la preclusión de las pretensiones de los recurrentes es palmaria y se ajusta a la doctrina constitucional.</w:t>
      </w:r>
    </w:p>
    <w:p w14:paraId="2A848F4D" w14:textId="77777777" w:rsidR="008D479B" w:rsidRDefault="008D479B" w:rsidP="008D479B">
      <w:pPr>
        <w:pStyle w:val="TextoNormal"/>
      </w:pPr>
    </w:p>
    <w:p w14:paraId="4E2D2D9B" w14:textId="77777777" w:rsidR="008D479B" w:rsidRDefault="008D479B" w:rsidP="008D479B">
      <w:pPr>
        <w:pStyle w:val="TextoNormal"/>
      </w:pPr>
      <w:r w:rsidRPr="008D479B">
        <w:rPr>
          <w:rStyle w:val="NumeroAFNegritaCaracter"/>
        </w:rPr>
        <w:t>10</w:t>
      </w:r>
      <w:r>
        <w:t>. La fiscal formuló sus alegaciones en escrito presentado el 22 de junio de 2022, interesando la inadmisión del recurso y, subsidiariamente, su estimación.</w:t>
      </w:r>
    </w:p>
    <w:p w14:paraId="231322BE" w14:textId="77777777" w:rsidR="008D479B" w:rsidRDefault="008D479B" w:rsidP="008D479B">
      <w:pPr>
        <w:pStyle w:val="TextoNormal"/>
      </w:pPr>
    </w:p>
    <w:p w14:paraId="25AE4739" w14:textId="77777777" w:rsidR="008D479B" w:rsidRDefault="008D479B" w:rsidP="008D479B">
      <w:pPr>
        <w:pStyle w:val="TextoNormal"/>
      </w:pPr>
      <w:r>
        <w:t>Tras exponer los antecedentes del caso, analiza la concurrencia de los presupuestos procesales para la viabilidad del recurso y concluye que procede su inadmisión “debido a que no se han agotado debidamente todos los medios de impugnación de que disponían en la vía ordinaria y que el incidente excepcional de nulidad de actuaciones ha sido presentado fuera de los plazos que se prevén en el artículo 228.1 de la LEC, por causas que se consideran imputables a la parte”. Después de transcribir el art. 228 LEC, argumenta que, dado que la providencia de 6 de abril de 2021 —que inadmitió el incidente de nulidad de actuaciones presentado el 22 de marzo de 2021— se fundamenta en que la parte omitió denunciar la vulneración alegada antes del dictado de la resolución que puso fin al proceso, “se hace necesario poner de manifiesto la actuación llevada a cabo por los demandantes de amparo durante la sustanciación del procedimiento, para ver si el incidente planteado se ha ajustado a los requisitos expuestos”.</w:t>
      </w:r>
    </w:p>
    <w:p w14:paraId="54EF22D6" w14:textId="77777777" w:rsidR="008D479B" w:rsidRDefault="008D479B" w:rsidP="008D479B">
      <w:pPr>
        <w:pStyle w:val="TextoNormal"/>
      </w:pPr>
    </w:p>
    <w:p w14:paraId="199ED4F1" w14:textId="77777777" w:rsidR="008D479B" w:rsidRDefault="008D479B" w:rsidP="008D479B">
      <w:pPr>
        <w:pStyle w:val="TextoNormal"/>
      </w:pPr>
      <w:r>
        <w:t>A tal efecto la fiscal resalta que, presentada la demanda el 15 de octubre de 2012, los ejecutados tuvieron efectivo conocimiento de la misma desde que comparecieron personalmente en el juzgado y les fue entregada copia de la misma, del auto de despacho de la ejecución, del requerimiento de pago, y de la providencia de 24 de enero de 2013. Los ejecutados presentaron un primer escrito el 10 de abril de 2013, sin intervención de abogado ni procurador, interesando la suspensión del procedimiento hasta que se modificara la ley procesal y se permitiera oponer la abusividad de cláusulas contractuales, y solicitando, subsidiariamente, la nulidad de todo lo actuado. El juzgado acordó la suspensión del procedimiento, primero por providencia de 22 de abril de 2013, en cumplimiento del acuerdo de la junta de jueces de 16 de abril de 2013; y después por decreto de 29 de mayo de 2013, en tanto se designaba a los ejecutados profesionales de oficio. Los ejecutados presentaron un segundo escrito el 14 de junio de 2013, también sin firma de abogado y procurador, instando la nulidad de cláusulas abusivas, manteniéndose la suspensión a la espera de que por los demandados se solicitara el beneficio de justicia gratuita, lo que, una vez pedido, les fue denegado. Impugnada la resolución de la Comisión de Asistencia Jurídica Gratuita, y tras no comparecer a la vista señalada al efecto, se les tuvo por desistidos de la petición y se alzó la suspensión, continuando la ejecución, que culminó con el lanzamiento de los ejecutados el 16 de abril de 2015. Tras el lanzamiento los ejecutados ocuparon de nuevo la casa, habiendo sido condenados penalmente por un delito de usurpación como consecuencia de tal actuación.</w:t>
      </w:r>
    </w:p>
    <w:p w14:paraId="492A66A5" w14:textId="77777777" w:rsidR="008D479B" w:rsidRDefault="008D479B" w:rsidP="008D479B">
      <w:pPr>
        <w:pStyle w:val="TextoNormal"/>
      </w:pPr>
    </w:p>
    <w:p w14:paraId="7D76F70E" w14:textId="77777777" w:rsidR="008D479B" w:rsidRDefault="008D479B" w:rsidP="008D479B">
      <w:pPr>
        <w:pStyle w:val="TextoNormal"/>
      </w:pPr>
      <w:r>
        <w:t>El art. 228.1 LEC establece que la nulidad de actuaciones no se puede promover pasados cinco años desde que se tuvo conocimiento de la resolución vulneradora. En este caso el procedimiento de ejecución del bien culminó con el lanzamiento el 16 de abril de 2015 y el incidente de nulidad no se presentó hasta casi seis años después, por lo que estaría fuera de plazo. No es cierta, por tanto, la alegación de los recurrentes de que el incidente se presentó antes de haber transcurrido cinco años desde que fueron desposeídos de su vivienda en el seno de la ejecución hipotecaria. Y si bien estos manifiestan no haber tenido conocimiento antes de la vulneración del derecho fundamental que alegan, de su conducta procesal antes descrita se desprende que no fue así.</w:t>
      </w:r>
    </w:p>
    <w:p w14:paraId="4B2CE227" w14:textId="77777777" w:rsidR="008D479B" w:rsidRDefault="008D479B" w:rsidP="008D479B">
      <w:pPr>
        <w:pStyle w:val="TextoNormal"/>
      </w:pPr>
    </w:p>
    <w:p w14:paraId="4EC48E77" w14:textId="77777777" w:rsidR="008D479B" w:rsidRDefault="008D479B" w:rsidP="008D479B">
      <w:pPr>
        <w:pStyle w:val="TextoNormal"/>
      </w:pPr>
      <w:r>
        <w:t>Para el caso de que no se estimara el apuntado óbice procesal, la fiscal analiza el fondo de la alegada vulneración del derecho fundamental, realizando una exposición de la jurisprudencia europea y de este tribunal sobre la falta de control de oficio por el juzgado de la posible abusividad de las cláusulas contractuales, y sobre el alcance y la extensión temporal de dicha obligación. Destaca que la reciente STJUE de 17 de mayo de 2022, asunto C-600/19, se refiere al momento en que debe entenderse concluido el procedimiento de ejecución hipotecaria respecto del examen de las cláusulas abusivas, que concreta “cuando se ha ejecutado la garantía hipotecaria, se ha vendido el bien hipotecado y se han transmitido a un tercero los derechos de propiedad sobre dicho bien”. También invoca doctrina constitucional reciente (SSTC 6/2022, de 24 de enero; 9/2022, de 7 de febrero, y 44/2022, de 21 de marzo, en desarrollo de la STC 31/2019, de 28 de febrero), que establece que la obligación de control de oficio no está supeditada a que por el consumidor se formule un incidente de oposición, y pervive hasta que el procedimiento de ejecución culmine con la puesta a disposición del inmueble en poder del adquirente.</w:t>
      </w:r>
    </w:p>
    <w:p w14:paraId="6DF62B91" w14:textId="77777777" w:rsidR="008D479B" w:rsidRDefault="008D479B" w:rsidP="008D479B">
      <w:pPr>
        <w:pStyle w:val="TextoNormal"/>
      </w:pPr>
    </w:p>
    <w:p w14:paraId="7FB7F9E2" w14:textId="3B09B06F" w:rsidR="008D479B" w:rsidRDefault="008D479B" w:rsidP="008D479B">
      <w:pPr>
        <w:pStyle w:val="TextoNormal"/>
      </w:pPr>
      <w:r>
        <w:t>Con arreglo a dicha doctrina la fiscal concluye que debe procederse a la estimación del recurso de amparo, al no haber procedido el juzgado de oficio a revisar la abusividad de las cláusulas, lo que había sido solicitado por los ejecutados mediante los escritos de 10 de abril y 14 de junio de 2013, momento en que se debe entender que el juez contaba con los elementos de hecho y de derecho para ello. Si bien dichos escritos adolecían de defectos procesales para iniciar el incidente de oposición (no intervención de abogado y procurador), contenían una clara petición de revisión de las cláusulas que se consideran abusivas, petición que debió ser objeto de pronunciamiento. Y concluye: “Esto fue posible desde el momento en que se planteó ante el juzgado la posible abusividad de las cláusulas hasta el día en que se produjo el lanzamiento de la vivienda y la puesta en posesión del bien al adquirente, momento hasta el que se considera que la posibilidad de dicho examen subsiste”.</w:t>
      </w:r>
    </w:p>
    <w:p w14:paraId="2640BE7E" w14:textId="77777777" w:rsidR="008D479B" w:rsidRDefault="008D479B" w:rsidP="008D479B">
      <w:pPr>
        <w:pStyle w:val="TextoNormal"/>
      </w:pPr>
    </w:p>
    <w:p w14:paraId="40498F93" w14:textId="1A74031E" w:rsidR="008D479B" w:rsidRDefault="008D479B" w:rsidP="008D479B">
      <w:pPr>
        <w:pStyle w:val="TextoNormal"/>
      </w:pPr>
      <w:r w:rsidRPr="008D479B">
        <w:rPr>
          <w:rStyle w:val="NumeroAFNegritaCaracter"/>
        </w:rPr>
        <w:t>11</w:t>
      </w:r>
      <w:r>
        <w:t>. Por diligencia de ordenación del secretario de justicia de la Sala Segunda, de 18 de enero de 2023, en virtud del acuerdo adoptado por el Pleno del Tribunal Constitucional el día 17 de enero de 2023, publicado en el “Boletín Oficial del Estado” de 19 de enero, se hace constar que el presente recurso de amparo ha sido turnado a la Sala Segunda de este tribunal, y que se pone en conocimiento de las partes y del Ministerio Fiscal a los efectos oportunos.</w:t>
      </w:r>
    </w:p>
    <w:p w14:paraId="26083A11" w14:textId="77777777" w:rsidR="008D479B" w:rsidRDefault="008D479B" w:rsidP="008D479B">
      <w:pPr>
        <w:pStyle w:val="TextoNormal"/>
      </w:pPr>
    </w:p>
    <w:p w14:paraId="6ABE2967" w14:textId="1C474C61" w:rsidR="008D479B" w:rsidRDefault="008D479B" w:rsidP="008D479B">
      <w:pPr>
        <w:pStyle w:val="TextoNormal"/>
      </w:pPr>
      <w:r w:rsidRPr="008D479B">
        <w:rPr>
          <w:rStyle w:val="NumeroAFNegritaCaracter"/>
        </w:rPr>
        <w:t>12</w:t>
      </w:r>
      <w:r>
        <w:t>. Por providencia de 16 de noviembre de 2023, se señaló para deliberación y votación de la presente sentencia el día 20 del mismo mes y año.</w:t>
      </w:r>
    </w:p>
    <w:p w14:paraId="0EAEE0BE" w14:textId="77777777" w:rsidR="008D479B" w:rsidRDefault="008D479B" w:rsidP="008D479B">
      <w:pPr>
        <w:pStyle w:val="TextoNormal"/>
      </w:pPr>
    </w:p>
    <w:p w14:paraId="2E883AFD" w14:textId="77777777" w:rsidR="008D479B" w:rsidRDefault="008D479B" w:rsidP="008D479B">
      <w:pPr>
        <w:pStyle w:val="TextoNormalNegritaCentrado"/>
        <w:keepNext/>
      </w:pPr>
      <w:r>
        <w:t>II. Fundamentos jurídicos</w:t>
      </w:r>
    </w:p>
    <w:p w14:paraId="5BE2B2C9" w14:textId="22F1BA63" w:rsidR="008D479B" w:rsidRDefault="008D479B" w:rsidP="008D479B">
      <w:pPr>
        <w:pStyle w:val="TextoNormalNegritaCentrado"/>
        <w:keepNext/>
      </w:pPr>
    </w:p>
    <w:p w14:paraId="043E8750" w14:textId="77777777" w:rsidR="008D479B" w:rsidRDefault="008D479B" w:rsidP="008D479B">
      <w:pPr>
        <w:pStyle w:val="TextoNormal"/>
      </w:pPr>
      <w:r w:rsidRPr="008D479B">
        <w:rPr>
          <w:rStyle w:val="NumeroAFNegritaCaracter"/>
        </w:rPr>
        <w:t>1</w:t>
      </w:r>
      <w:r>
        <w:t xml:space="preserve">. </w:t>
      </w:r>
      <w:r w:rsidRPr="008D479B">
        <w:rPr>
          <w:i/>
        </w:rPr>
        <w:t>Objeto del recurso de amparo y pretensiones de las partes</w:t>
      </w:r>
    </w:p>
    <w:p w14:paraId="52DA4760" w14:textId="77777777" w:rsidR="008D479B" w:rsidRDefault="008D479B" w:rsidP="008D479B">
      <w:pPr>
        <w:pStyle w:val="TextoNormal"/>
      </w:pPr>
    </w:p>
    <w:p w14:paraId="3B8E438A" w14:textId="77777777" w:rsidR="008D479B" w:rsidRDefault="008D479B" w:rsidP="008D479B">
      <w:pPr>
        <w:pStyle w:val="TextoNormal"/>
      </w:pPr>
      <w:r>
        <w:t>El presente recurso se interpone contra la providencia de 6 de abril de 2021 dictada en el procedimiento de ejecución hipotecaria núm. 1131-2012 del Juzgado de Primera Instancia núm. 10 de Bilbao, que inadmitió a trámite la solicitud de nulidad de actuaciones presentada por los demandantes de amparo el 22 de marzo de 2021, en la que interesaban que por el juzgado se realizase el control de oficio de la abusividad de determinadas cláusulas contractuales, algunas de las cuales determinaban la cantidad exigible, y otra, la de vencimiento anticipado, fundamentaba la ejecución.</w:t>
      </w:r>
    </w:p>
    <w:p w14:paraId="3709CE56" w14:textId="77777777" w:rsidR="008D479B" w:rsidRDefault="008D479B" w:rsidP="008D479B">
      <w:pPr>
        <w:pStyle w:val="TextoNormal"/>
      </w:pPr>
    </w:p>
    <w:p w14:paraId="6D7F2C48" w14:textId="77777777" w:rsidR="008D479B" w:rsidRDefault="008D479B" w:rsidP="008D479B">
      <w:pPr>
        <w:pStyle w:val="TextoNormal"/>
      </w:pPr>
      <w:r>
        <w:t>Constituye su objeto determinar si es una resolución fundada en Derecho, respetuosa con el derecho a la tutela judicial efectiva de los recurrentes, la decisión impugnada que, en el procedimiento de ejecución de títulos no judiciales seguido en la vía previa, ha rechazado la petición de control judicial sobre la abusividad de varias cláusulas contractuales insertas en el contrato de préstamo cuya ejecución había sido instada por la entidad prestamista. La pretensión de control judicial viene amparada en la aplicación al caso de la Directiva 93/13/CEE del Consejo, de 5 de abril de 1993, sobre las cláusulas abusivas en los contratos celebrados con consumidores, y en la jurisprudencia que la interpreta. La inadmisión del incidente de nulidad de actuaciones ha sido judicialmente fundada en el argumento de que no se cumplían los requisitos previstos en el art. 228 LEC para interponer tal clase de incidente, y que no podía entenderse que la falta de control de oficio no hubiera podido denunciarse antes, a la vista de la conducta procesal de los recurrentes.</w:t>
      </w:r>
    </w:p>
    <w:p w14:paraId="2955DD16" w14:textId="77777777" w:rsidR="008D479B" w:rsidRDefault="008D479B" w:rsidP="008D479B">
      <w:pPr>
        <w:pStyle w:val="TextoNormal"/>
      </w:pPr>
    </w:p>
    <w:p w14:paraId="1C420530" w14:textId="77777777" w:rsidR="008D479B" w:rsidRDefault="008D479B" w:rsidP="008D479B">
      <w:pPr>
        <w:pStyle w:val="TextoNormal"/>
      </w:pPr>
      <w:r>
        <w:t>Los recurrentes alegan la vulneración de su derecho a obtener la tutela judicial efectiva sobre su pretensión de fondo (art. 24.1 CE), queja que ponen en relación con el principio de primacía del Derecho de la Unión Europea (arts. 10.2 y 96 CE).</w:t>
      </w:r>
    </w:p>
    <w:p w14:paraId="0F49D25A" w14:textId="77777777" w:rsidR="008D479B" w:rsidRDefault="008D479B" w:rsidP="008D479B">
      <w:pPr>
        <w:pStyle w:val="TextoNormal"/>
      </w:pPr>
    </w:p>
    <w:p w14:paraId="059F5B4E" w14:textId="09209458" w:rsidR="008D479B" w:rsidRDefault="008D479B" w:rsidP="008D479B">
      <w:pPr>
        <w:pStyle w:val="TextoNormal"/>
      </w:pPr>
      <w:r>
        <w:t>Por su parte, el Ministerio Fiscal interesa la inadmisión y subsidiaria estimación del recurso, con fundamento en las alegaciones que han sido sintetizadas en los antecedentes de esta resolución.</w:t>
      </w:r>
    </w:p>
    <w:p w14:paraId="70F83C19" w14:textId="77777777" w:rsidR="008D479B" w:rsidRDefault="008D479B" w:rsidP="008D479B">
      <w:pPr>
        <w:pStyle w:val="TextoNormal"/>
      </w:pPr>
    </w:p>
    <w:p w14:paraId="43776966" w14:textId="77777777" w:rsidR="008D479B" w:rsidRDefault="008D479B" w:rsidP="008D479B">
      <w:pPr>
        <w:pStyle w:val="TextoNormal"/>
      </w:pPr>
      <w:r w:rsidRPr="008D479B">
        <w:rPr>
          <w:rStyle w:val="NumeroAFNegritaCaracter"/>
        </w:rPr>
        <w:t>2</w:t>
      </w:r>
      <w:r>
        <w:t xml:space="preserve">. </w:t>
      </w:r>
      <w:r w:rsidRPr="008D479B">
        <w:rPr>
          <w:i/>
        </w:rPr>
        <w:t>Examen de la admisibilidad del recurso de amparo</w:t>
      </w:r>
    </w:p>
    <w:p w14:paraId="1BF31442" w14:textId="77777777" w:rsidR="008D479B" w:rsidRDefault="008D479B" w:rsidP="008D479B">
      <w:pPr>
        <w:pStyle w:val="TextoNormal"/>
      </w:pPr>
    </w:p>
    <w:p w14:paraId="0085B6B8" w14:textId="77777777" w:rsidR="008D479B" w:rsidRDefault="008D479B" w:rsidP="008D479B">
      <w:pPr>
        <w:pStyle w:val="TextoNormal"/>
      </w:pPr>
      <w:r>
        <w:t>Antes de examinar la queja que se formula en la demanda de amparo resulta obligado abordar las objeciones que sobre la admisibilidad del recurso plantea la fiscal, pues la estimación del óbice procesal alegado impediría cualquier pronunciamiento sobre el fondo de la cuestión planteada.</w:t>
      </w:r>
    </w:p>
    <w:p w14:paraId="5F24BC31" w14:textId="77777777" w:rsidR="008D479B" w:rsidRDefault="008D479B" w:rsidP="008D479B">
      <w:pPr>
        <w:pStyle w:val="TextoNormal"/>
      </w:pPr>
    </w:p>
    <w:p w14:paraId="157F4650" w14:textId="77777777" w:rsidR="008D479B" w:rsidRDefault="008D479B" w:rsidP="008D479B">
      <w:pPr>
        <w:pStyle w:val="TextoNormal"/>
      </w:pPr>
      <w:r>
        <w:t>a) Este análisis no encuentra obstáculo en el momento procesal en que nos hallamos pues, según este tribunal ha declarado repetidamente, los defectos insubsanables de que pudiera estar afectado el recurso de amparo no resultan sanados porque la demanda haya sido inicialmente admitida. La comprobación de los presupuestos procesales para la viabilidad de la acción puede siempre abordarse en la sentencia, de oficio o a instancia de parte, pudiendo dar lugar a un pronunciamiento de inadmisión por falta de tales presupuestos, sin que sea obstáculo para ello el carácter tasado de los pronunciamientos previstos en el art. 53 LOTC (por todas, SSTC 133/2002, de 3 de junio, FJ 2; 29/2004, de 4 de marzo, FJ 2; 7/2007, de 15 de enero, FJ 2; 242/2007, de 10 de diciembre, FJ 2; 43/2008, de 10 de marzo, FJ 2; 28/2011, de 14 de marzo, FJ 3; 168/2012, de 1 de octubre, FJ 3, y 146/2016, de 19 de septiembre, FJ 2).</w:t>
      </w:r>
    </w:p>
    <w:p w14:paraId="2E6BC28F" w14:textId="77777777" w:rsidR="008D479B" w:rsidRDefault="008D479B" w:rsidP="008D479B">
      <w:pPr>
        <w:pStyle w:val="TextoNormal"/>
      </w:pPr>
    </w:p>
    <w:p w14:paraId="1BCCC219" w14:textId="77777777" w:rsidR="008D479B" w:rsidRDefault="008D479B" w:rsidP="008D479B">
      <w:pPr>
        <w:pStyle w:val="TextoNormal"/>
      </w:pPr>
      <w:r>
        <w:t>La fiscal propone la inadmisión, en esta fase, del recurso de amparo “debido a que no se han agotado debidamente todos los medios de impugnación de que disponían en la vía ordinaria y que el incidente excepcional de nulidad de actuaciones ha sido presentado fuera de los plazos que se prevén en el artículo 228.1 LEC, por causas que se consideran imputables a la parte”; a cuyo fin realiza un análisis de la conducta de los ejecutados, hoy demandantes de amparo, durante el procedimiento de ejecución hipotecaria en cuyo seno se dictó la resolución judicial recurrida ante este tribunal.</w:t>
      </w:r>
    </w:p>
    <w:p w14:paraId="1EBB137A" w14:textId="77777777" w:rsidR="008D479B" w:rsidRDefault="008D479B" w:rsidP="008D479B">
      <w:pPr>
        <w:pStyle w:val="TextoNormal"/>
      </w:pPr>
    </w:p>
    <w:p w14:paraId="5BB270A5" w14:textId="77777777" w:rsidR="008D479B" w:rsidRDefault="008D479B" w:rsidP="008D479B">
      <w:pPr>
        <w:pStyle w:val="TextoNormal"/>
      </w:pPr>
      <w:r>
        <w:t>b) Por las razones que a continuación se exponen, comparte este tribunal la apreciación del óbice procesal alegado por la fiscal, debiendo destacarse que las circunstancias que fundamentan dicha apreciación se han puesto de manifiesto como consecuencia de la remisión de las actuaciones por parte del Juzgado de Primera Instancia núm. 10 de Bilbao y de las alegaciones efectuadas y los documentos aportados ante este tribunal por doña María Begoña Otaola Zubillaga y por A.C. Asesoría Integral a Empresas y Gestión de Créditos, S.L.</w:t>
      </w:r>
    </w:p>
    <w:p w14:paraId="5B04F7F1" w14:textId="77777777" w:rsidR="008D479B" w:rsidRDefault="008D479B" w:rsidP="008D479B">
      <w:pPr>
        <w:pStyle w:val="TextoNormal"/>
      </w:pPr>
    </w:p>
    <w:p w14:paraId="15F09C48" w14:textId="77777777" w:rsidR="008D479B" w:rsidRDefault="008D479B" w:rsidP="008D479B">
      <w:pPr>
        <w:pStyle w:val="TextoNormal"/>
      </w:pPr>
      <w:r>
        <w:t>El examen de dicho óbice procesal debe partir de lo indicado en el art. 228.1 LEC, que dispone que “[n]o se admitirán con carácter general incidentes de nulidad de actuaciones. Sin embargo, excepcionalmente, quienes sean parte legítima o hubieran debido serlo podrán pedir por escrito que se declare la nulidad de actuaciones fundada en cualquier vulneración de un derecho fundamental de los referidos en el artículo 53.2 de la Constitución, siempre que no haya podido denunciarse antes de recaer resolución que ponga fin al proceso y siempre que dicha resolución no sea susceptible de recurso ordinario ni extraordinario”. Seguidamente añade que “[e]l plazo para pedir la nulidad será de veinte días, desde la notificación de la resolución o, en todo caso, desde que se tuvo conocimiento del defecto causante de indefensión, sin que, en este último caso, pueda solicitarse la nulidad de actuaciones después de transcurridos cinco años desde la notificación de la resolución”.</w:t>
      </w:r>
    </w:p>
    <w:p w14:paraId="34570F3A" w14:textId="77777777" w:rsidR="008D479B" w:rsidRDefault="008D479B" w:rsidP="008D479B">
      <w:pPr>
        <w:pStyle w:val="TextoNormal"/>
      </w:pPr>
    </w:p>
    <w:p w14:paraId="7041705C" w14:textId="77777777" w:rsidR="008D479B" w:rsidRDefault="008D479B" w:rsidP="008D479B">
      <w:pPr>
        <w:pStyle w:val="TextoNormal"/>
      </w:pPr>
      <w:r>
        <w:t>Los recurrentes alegan en su escrito de 22 de marzo de 2021 que tuvieron “conocimiento de los defectos causantes de la indefensión por cuanto que han acudido a la plataforma de afectados por la hipoteca y han sido asesorados por los letrados de dicha asociación, siendo que tal conocimiento de los defectos causantes de indefensión que se les ha generado, no habiendo transcurrido cinco años desde que han sido desposeídos de su vivienda habitual en el presente proceso, en adjudicación de la misma a la parte ejecutante, tal y como exponen el artículo 241 de la Ley Orgánica del Poder Judicial y el artículo 227.2 y 228 de la Ley de enjuiciamiento civil”. Fijan, por tanto, el momento inicial del plazo para promover el incidente de nulidad en la fecha en que fueron desposeídos de su vivienda en la ejecución hipotecaria, lo que tuvo lugar el día del lanzamiento.</w:t>
      </w:r>
    </w:p>
    <w:p w14:paraId="6E28FF14" w14:textId="77777777" w:rsidR="008D479B" w:rsidRDefault="008D479B" w:rsidP="008D479B">
      <w:pPr>
        <w:pStyle w:val="TextoNormal"/>
      </w:pPr>
    </w:p>
    <w:p w14:paraId="4DD32B1A" w14:textId="77777777" w:rsidR="008D479B" w:rsidRDefault="008D479B" w:rsidP="008D479B">
      <w:pPr>
        <w:pStyle w:val="TextoNormal"/>
      </w:pPr>
      <w:r>
        <w:t>Del examen de las actuaciones remitidas se desprende que, adjudicada en subasta la finca a la ejecutante, esta tomó posesión de la misma en virtud de la entrega de las llaves efectuada por la comisión judicial el 16 de abril de 2015; momento en el que los ejecutados fueron desposeídos de la vivienda y se consumó definitivamente la lesión alegada, finalizando en ese momento la ejecución en relación con la realización forzosa del bien. Sin embargo, el incidente de nulidad se promovió mediante escrito de 22 de marzo de 2021, es decir, casi seis años después de la entrega de la posesión de la finca a la ejecutante; constituyendo ese plazo de cinco años un límite absoluto para solicitar la nulidad, según se desprende de una recta interpretación del art. 228.1, segundo párrafo, LEC.</w:t>
      </w:r>
    </w:p>
    <w:p w14:paraId="0174FAD2" w14:textId="77777777" w:rsidR="008D479B" w:rsidRDefault="008D479B" w:rsidP="008D479B">
      <w:pPr>
        <w:pStyle w:val="TextoNormal"/>
      </w:pPr>
    </w:p>
    <w:p w14:paraId="10B8E425" w14:textId="77777777" w:rsidR="008D479B" w:rsidRDefault="008D479B" w:rsidP="008D479B">
      <w:pPr>
        <w:pStyle w:val="TextoNormal"/>
      </w:pPr>
      <w:r>
        <w:t>Así pues, asiste la razón al Ministerio Fiscal cuando afirma que no es cierta la alegación de los recurrentes de que el incidente se presentó antes de haber transcurrido cinco años desde que fueron desposeídos de su vivienda en el seno de la ejecución hipotecaria; y que, si bien estos manifiestan no haber tenido conocimiento antes de la vulneración del derecho fundamental que alegan, de su conducta procesal se desprende que no fue así.</w:t>
      </w:r>
    </w:p>
    <w:p w14:paraId="67046AB1" w14:textId="77777777" w:rsidR="008D479B" w:rsidRDefault="008D479B" w:rsidP="008D479B">
      <w:pPr>
        <w:pStyle w:val="TextoNormal"/>
      </w:pPr>
    </w:p>
    <w:p w14:paraId="101BFFB2" w14:textId="77777777" w:rsidR="008D479B" w:rsidRDefault="008D479B" w:rsidP="008D479B">
      <w:pPr>
        <w:pStyle w:val="TextoNormal"/>
      </w:pPr>
      <w:r>
        <w:t>En efecto, los ejecutados tuvieron pleno conocimiento del procedimiento de ejecución desde que el 25 de enero de 2013 compareció personalmente el señor Ugalde en el juzgado para recibir, en su nombre y en el de su esposa, copia de la demanda y del auto de admisión, de la cédula de emplazamiento y de la providencia de 24 de enero de 2013, por la que se concedía a las partes trámite de diez días para alegar sobre la suspensión de la ejecución por la pendencia del procedimiento C-415/11 ante el Tribunal de Justicia de la Unión Europea. Los ejecutados presentaron un primer escrito el 10 de abril de 2013, sin firma de abogado ni de procurador, interesando la suspensión del procedimiento hasta que se modificara la ley procesal y se permitiera oponer la abusividad de cláusulas contractuales y solicitando, subsidiariamente, la nulidad de todo lo actuado. El juzgado acordó la suspensión del procedimiento, primero por providencia de 22 de abril de 2013, en cumplimiento del acuerdo de la junta de jueces de 16 de abril de 2013; y después por decreto de 29 de mayo de 2013, en tanto se designaba a los ejecutados profesionales de oficio.</w:t>
      </w:r>
    </w:p>
    <w:p w14:paraId="62DE4DC0" w14:textId="77777777" w:rsidR="008D479B" w:rsidRDefault="008D479B" w:rsidP="008D479B">
      <w:pPr>
        <w:pStyle w:val="TextoNormal"/>
      </w:pPr>
    </w:p>
    <w:p w14:paraId="34CE4D55" w14:textId="77777777" w:rsidR="008D479B" w:rsidRDefault="008D479B" w:rsidP="008D479B">
      <w:pPr>
        <w:pStyle w:val="TextoNormal"/>
      </w:pPr>
      <w:r>
        <w:t>Los ejecutados presentaron un segundo escrito el 14 de junio de 2013, también sin firma de abogado ni de procurador, instando la nulidad de cláusulas abusivas, en concreto, las relativas al pacto de liquidez, vencimiento anticipado, techo-suelo e intereses de demora —que coinciden, en esencia, con las alegadas en el escrito de 22 de marzo de 2021— por lo que, al menos desde aquella primera fecha, ya eran conscientes de la posible abusividad de dichas cláusulas.</w:t>
      </w:r>
    </w:p>
    <w:p w14:paraId="78998B5B" w14:textId="77777777" w:rsidR="008D479B" w:rsidRDefault="008D479B" w:rsidP="008D479B">
      <w:pPr>
        <w:pStyle w:val="TextoNormal"/>
      </w:pPr>
    </w:p>
    <w:p w14:paraId="3CFA6FF0" w14:textId="77777777" w:rsidR="008D479B" w:rsidRDefault="008D479B" w:rsidP="008D479B">
      <w:pPr>
        <w:pStyle w:val="TextoNormal"/>
      </w:pPr>
      <w:r>
        <w:t>Denegado el beneficio de justicia gratuita, los ejecutados impugnaron la resolución de la Comisión de Asistencia Jurídica Gratuita. Sin embargo, no comparecieron a la vista convocada por el juzgado en el incidente de impugnación, por lo que se les tuvo por desistidos de la petición y se alzó la suspensión, continuando adelante la ejecución. De lo anterior se desprende que la falta de comparecencia en forma en el procedimiento no se debió a una indebida actuación del órgano judicial, sino a la exclusiva voluntad de los ejecutados, que desistieron de la solicitud de nombramiento de profesionales de oficio, y que tampoco nombraron abogado y procurador de su elección.</w:t>
      </w:r>
    </w:p>
    <w:p w14:paraId="4E3C0B0B" w14:textId="77777777" w:rsidR="008D479B" w:rsidRDefault="008D479B" w:rsidP="008D479B">
      <w:pPr>
        <w:pStyle w:val="TextoNormal"/>
      </w:pPr>
    </w:p>
    <w:p w14:paraId="51C37FB4" w14:textId="77777777" w:rsidR="008D479B" w:rsidRDefault="008D479B" w:rsidP="008D479B">
      <w:pPr>
        <w:pStyle w:val="TextoNormal"/>
      </w:pPr>
      <w:r>
        <w:t>Seguida la ejecución de la finca por sus trámites, culminó con el lanzamiento de los ejecutados el 16 de abril de 2015. Inmediatamente después del lanzamiento, los ejecutados cambiaron la cerradura instalada por la comisión judicial y ocuparon de nuevo la casa, habiendo sido condenados penalmente por un delito de usurpación como consecuencia de tal actuación. Es de destacar que la sentencia penal se dictó con la conformidad de los acusados, lo que implica un reconocimiento de la ocupación indebida. Paralelamente, y a la vista de que estos no desalojaban la vivienda pese a haber sido transmitida su propiedad a la ejecutante, esta se vio en la necesidad de iniciar un juicio declarativo de desahucio por precario que culminó con sentencia estimatoria, cuya ejecución también hubo de ser instada judicialmente. Tanto en el procedimiento penal como en el desahucio civil —derivados ambos de la ejecución hipotecaria en la que ahora se alegan cláusulas abusivas y, por tanto, intrínsecamente ligados a ella— el señor Ugalde y la señora Bermejo contaron con la debida asistencia letrada.</w:t>
      </w:r>
    </w:p>
    <w:p w14:paraId="2B5D38E2" w14:textId="77777777" w:rsidR="008D479B" w:rsidRDefault="008D479B" w:rsidP="008D479B">
      <w:pPr>
        <w:pStyle w:val="TextoNormal"/>
      </w:pPr>
    </w:p>
    <w:p w14:paraId="5C2294FF" w14:textId="77777777" w:rsidR="008D479B" w:rsidRDefault="008D479B" w:rsidP="008D479B">
      <w:pPr>
        <w:pStyle w:val="TextoNormal"/>
      </w:pPr>
      <w:r>
        <w:t>De todo lo anterior se desprende que no resulta verosímil la alegación que se contiene en el recurso de amparo de que, en el transcurso de una conversación con la Plataforma Antidesahucios mantenida tras la pérdida de la propiedad de su vivienda, y tras mostrarles las resoluciones judiciales, “fue cuando, tras las explicaciones del equipo jurídico de la plataforma, conocieron el defecto causante de indefensión y tomaron conciencia de la vulneración a la tutela judicial efectiva que hubieran podido sufrir, por lo que a partir de ese conocimiento y sin que hubieran transcurrido cinco años de la circunstancia de la pérdida de la vivienda producida en la subasta del señalado proceso de ejecución hipotecaria, esta representación interpuso el incidente extraordinario de nulidad de actuaciones”.</w:t>
      </w:r>
    </w:p>
    <w:p w14:paraId="5D9B254A" w14:textId="77777777" w:rsidR="008D479B" w:rsidRDefault="008D479B" w:rsidP="008D479B">
      <w:pPr>
        <w:pStyle w:val="TextoNormal"/>
      </w:pPr>
    </w:p>
    <w:p w14:paraId="2D8AC88A" w14:textId="77777777" w:rsidR="008D479B" w:rsidRDefault="008D479B" w:rsidP="008D479B">
      <w:pPr>
        <w:pStyle w:val="TextoNormal"/>
      </w:pPr>
      <w:r>
        <w:t>Por el contrario, del examen de las actuaciones se desprende que, al menos desde el escrito presentado el 14 de junio de 2013 instando la nulidad de cláusulas abusivas sobre pacto de liquidez, vencimiento anticipado, techo-suelo e intereses de demora, los ejecutados ya eran conscientes de la posible abusividad de dichas cláusulas pero, pese al requerimiento efectuado por el juzgado para que subsanaran la falta de firma de abogado y procurador, con suspensión del procedimiento en tanto se les asignaban profesionales de oficio, optaron por desistir de la solicitud de asistencia jurídica gratuita, no designaron abogado ni procurador de libre elección, dejaron que el procedimiento siguiera por sus trámites hasta el efectivo lanzamiento el 16 de abril de 2015, acudieron a la vía de hecho para volver a ocupar la vivienda después de lanzados, dejaron transcurrir más de cinco años desde el lanzamiento sin realizar ninguna alegación sobre la posible abusividad de las cláusulas contractuales y esperaron hasta el 22 de marzo de 2021 para promover un incidente de nulidad de actuaciones invocando la vulneración del derecho a la tutela judicial efectiva por falta de control de oficio de dicha abusividad.</w:t>
      </w:r>
    </w:p>
    <w:p w14:paraId="5BB3A70C" w14:textId="77777777" w:rsidR="008D479B" w:rsidRDefault="008D479B" w:rsidP="008D479B">
      <w:pPr>
        <w:pStyle w:val="TextoNormal"/>
      </w:pPr>
    </w:p>
    <w:p w14:paraId="618B3783" w14:textId="77777777" w:rsidR="008D479B" w:rsidRDefault="008D479B" w:rsidP="008D479B">
      <w:pPr>
        <w:pStyle w:val="TextoNormal"/>
      </w:pPr>
      <w:r>
        <w:t>Por todo lo expuesto, debe concluirse que el incidente de nulidad se interpuso de forma extemporánea, transcurridos con creces los plazos relativos y absolutos que establece el art. 228 LEC, debiendo recordarse que este tribunal tiene establecido que no existe vulneración del derecho a la tutela judicial efectiva cuando la falta de respuesta en el fondo se deba a la pasividad, desinterés, negligencia, error técnico o impericia de las partes o profesionales que las representen o defiendan (por todas, SSTC 109/2002, de 6 de mayo, FJ 2; 141/2005, de 6 de junio, FJ 2; 160/2009, de 29 de junio, o 25/2011, de 14 de marzo, FJ 7). La extemporaneidad del incidente de nulidad de actuaciones tuvo lugar por causa imputable a la propia conducta de los afectados, que se situaron voluntaria o negligentemente al margen del proceso pese a tener conocimiento de su existencia; conocimiento que se produjo, ya ni siquiera por medios extraprocesales, sino por haber sido debidamente emplazados y haber optado, por decisión propia, por no personarse en debida forma.</w:t>
      </w:r>
    </w:p>
    <w:p w14:paraId="320649C0" w14:textId="77777777" w:rsidR="008D479B" w:rsidRDefault="008D479B" w:rsidP="008D479B">
      <w:pPr>
        <w:pStyle w:val="TextoNormal"/>
      </w:pPr>
    </w:p>
    <w:p w14:paraId="6C0FA174" w14:textId="77777777" w:rsidR="008D479B" w:rsidRDefault="008D479B" w:rsidP="008D479B">
      <w:pPr>
        <w:pStyle w:val="TextoNormal"/>
      </w:pPr>
      <w:r>
        <w:t>c) Sentada la conclusión de que el incidente de nulidad de actuaciones se promovió de forma extemporánea, la consecuencia que debe seguirse es, como propone el Ministerio Fiscal, considerar que no se agotó debidamente la vía judicial previa al recurso de amparo, por aplicación de la doctrina establecida por este tribunal desde el ATC 198/2010, de 21 de diciembre, en cuyo fundamento jurídico 6, al deslindar el óbice procesal de extemporaneidad del recurso de amparo por interposición de un recurso manifiestamente improcedente en el procedimiento de origen, del óbice consistente en falta de agotamiento de la vía judicial ordinaria, se establece que:</w:t>
      </w:r>
    </w:p>
    <w:p w14:paraId="784DCAA9" w14:textId="77777777" w:rsidR="008D479B" w:rsidRDefault="008D479B" w:rsidP="008D479B">
      <w:pPr>
        <w:pStyle w:val="TextoNormal"/>
      </w:pPr>
    </w:p>
    <w:p w14:paraId="140D13B8" w14:textId="77777777" w:rsidR="008D479B" w:rsidRDefault="008D479B" w:rsidP="008D479B">
      <w:pPr>
        <w:pStyle w:val="TextoNormal"/>
      </w:pPr>
      <w:r>
        <w:t>“Paralelamente, pero en congruencia con lo dicho, debemos añadir que no cabe tachar de ‘manifiestamente improcedentes’ los recursos judiciales intentados que, siendo procedentes en abstracto, por estar previstos legalmente y ser idóneos en principio para reparar la lesión constitucional en cada caso considerada, se malogran sin embargo y resultan finalmente inadmitidos por los órganos judiciales por culpa de las omisiones o errores procesales del propio recurrente al formalizar el oportuno recurso. Ejemplos paradigmáticos de estos supuestos, frecuentes por otra parte, son los casos en que los recurrentes interponen recursos jurisdiccionales en forma extemporánea o sin cumplir los requisitos procesales exigibles.</w:t>
      </w:r>
    </w:p>
    <w:p w14:paraId="069746E3" w14:textId="77777777" w:rsidR="008D479B" w:rsidRDefault="008D479B" w:rsidP="008D479B">
      <w:pPr>
        <w:pStyle w:val="TextoNormal"/>
      </w:pPr>
    </w:p>
    <w:p w14:paraId="043A2F50" w14:textId="77777777" w:rsidR="008D479B" w:rsidRDefault="008D479B" w:rsidP="008D479B">
      <w:pPr>
        <w:pStyle w:val="TextoNormal"/>
      </w:pPr>
      <w:r>
        <w:t>Cuando esto sucede, esto es, cuando la inadmisión del recurso judicial se produce por causa de su defectuosa interposición, el requisito procesal en vía de amparo constitucional que resulta incumplido no es ya el plazo de interposición (art. 44.2 LOTC), sino la falta de agotamiento de todos los recursos utilizables en la vía judicial que previene el art. 44.1 a) LOTC. Pues, como hemos señalado reiteradamente, ‘el agotamiento defectuoso de la vía judicial equivale a su falta de agotamiento’ (STC 93/2002, de 22 de abril, FJ 3). Lo que significa que ‘cuando la vía judicial precedente se frustra porque el recurso intentado no resulta admisible ha de entenderse incumplido, en principio, el requisito de su agotamiento, deviniendo impracticable, por tanto, la vía de amparo ante este Tribunal’ (STC 133/2001, de 13 de junio, FJ 2)”.</w:t>
      </w:r>
    </w:p>
    <w:p w14:paraId="732E473A" w14:textId="77777777" w:rsidR="008D479B" w:rsidRDefault="008D479B" w:rsidP="008D479B">
      <w:pPr>
        <w:pStyle w:val="TextoNormal"/>
      </w:pPr>
    </w:p>
    <w:p w14:paraId="2627D360" w14:textId="3AE013B2" w:rsidR="008D479B" w:rsidRDefault="008D479B" w:rsidP="008D479B">
      <w:pPr>
        <w:pStyle w:val="TextoNormal"/>
      </w:pPr>
      <w:r>
        <w:t>Por todo lo expuesto, procede apreciar la concurrencia del óbice procesal alegado por el Ministerio Fiscal y, en consecuencia, acordar la inadmisión del recurso de amparo.</w:t>
      </w:r>
    </w:p>
    <w:p w14:paraId="2958F66D" w14:textId="77777777" w:rsidR="008D479B" w:rsidRDefault="008D479B" w:rsidP="008D479B">
      <w:pPr>
        <w:pStyle w:val="TextoNormal"/>
      </w:pPr>
    </w:p>
    <w:p w14:paraId="5405CF24" w14:textId="77777777" w:rsidR="008D479B" w:rsidRDefault="008D479B" w:rsidP="008D479B">
      <w:pPr>
        <w:pStyle w:val="TextoNormalCentrado"/>
        <w:keepNext/>
      </w:pPr>
      <w:r>
        <w:t>FALLO</w:t>
      </w:r>
    </w:p>
    <w:p w14:paraId="782BB33A" w14:textId="3F87B3B4" w:rsidR="008D479B" w:rsidRDefault="008D479B" w:rsidP="008D479B">
      <w:pPr>
        <w:pStyle w:val="TextoNormalCentrado"/>
        <w:keepNext/>
      </w:pPr>
    </w:p>
    <w:p w14:paraId="2BCF9320" w14:textId="554C0D5D" w:rsidR="008D479B" w:rsidRDefault="008D479B" w:rsidP="008D479B">
      <w:pPr>
        <w:pStyle w:val="TextoNormal"/>
      </w:pPr>
      <w:r>
        <w:t>En atención a todo lo expuesto, el Tribunal Constitucional, por la autoridad que le confiere la Constitución de la Nación española, ha decidido inadmitir el recurso de amparo interpuesto por don José Luis Ugalde Laserna y doña María Begoña Bermejo Allica.</w:t>
      </w:r>
    </w:p>
    <w:p w14:paraId="3ED427FF" w14:textId="77777777" w:rsidR="008D479B" w:rsidRDefault="008D479B" w:rsidP="008D479B">
      <w:pPr>
        <w:pStyle w:val="TextoNormal"/>
      </w:pPr>
    </w:p>
    <w:p w14:paraId="5D2FD197" w14:textId="77777777" w:rsidR="008D479B" w:rsidRDefault="008D479B" w:rsidP="008D479B">
      <w:pPr>
        <w:pStyle w:val="TextoNormal"/>
      </w:pPr>
      <w:r>
        <w:t>Publíquese esta sentencia en el “Boletín Oficial del Estado”.</w:t>
      </w:r>
    </w:p>
    <w:p w14:paraId="2369190B" w14:textId="77777777" w:rsidR="008D479B" w:rsidRDefault="008D479B" w:rsidP="008D479B">
      <w:pPr>
        <w:pStyle w:val="TextoNormal"/>
      </w:pPr>
      <w:r>
        <w:t>Dada en Madrid, a veinte de noviembre de dos mil veintitrés.</w:t>
      </w:r>
    </w:p>
    <w:p w14:paraId="1F1FCBA1" w14:textId="21D39584" w:rsidR="008D479B" w:rsidRDefault="008D479B">
      <w:pPr>
        <w:spacing w:after="160" w:line="278" w:lineRule="auto"/>
        <w:rPr>
          <w:rFonts w:ascii="Times New Roman" w:eastAsia="Times New Roman" w:hAnsi="Times New Roman" w:cs="Times New Roman"/>
          <w:sz w:val="24"/>
          <w:szCs w:val="24"/>
          <w:lang w:eastAsia="es-ES"/>
        </w:rPr>
      </w:pPr>
      <w:r>
        <w:br w:type="page"/>
      </w:r>
    </w:p>
    <w:p w14:paraId="6FD7B951" w14:textId="77777777" w:rsidR="008D479B" w:rsidRDefault="008D479B" w:rsidP="008D479B">
      <w:pPr>
        <w:pStyle w:val="TtuloResolucin"/>
      </w:pPr>
      <w:bookmarkStart w:id="77" w:name="SENTENCIA_2023_152"/>
      <w:r>
        <w:t>SENTENCIA 152/2023, de 20 de noviembre de 2023</w:t>
      </w:r>
    </w:p>
    <w:bookmarkEnd w:id="77"/>
    <w:p w14:paraId="5B80D5F1" w14:textId="77777777" w:rsidR="008D479B" w:rsidRDefault="008D479B" w:rsidP="008D479B">
      <w:pPr>
        <w:pStyle w:val="TtuloResolucin"/>
      </w:pPr>
      <w:r>
        <w:t>Sala Segunda</w:t>
      </w:r>
    </w:p>
    <w:p w14:paraId="480AE2DD" w14:textId="77777777" w:rsidR="008D479B" w:rsidRDefault="008D479B" w:rsidP="008D479B">
      <w:pPr>
        <w:pStyle w:val="TtuloBOE"/>
      </w:pPr>
      <w:r>
        <w:t>(BOE núm. 304, de 21 de diciembre de 2023)</w:t>
      </w:r>
    </w:p>
    <w:p w14:paraId="53FE3838" w14:textId="77777777" w:rsidR="008D479B" w:rsidRDefault="008D479B" w:rsidP="008D479B">
      <w:pPr>
        <w:pStyle w:val="TextoNormalCentrado"/>
      </w:pPr>
      <w:r>
        <w:t>ECLI:ES:TC:2023:152</w:t>
      </w:r>
    </w:p>
    <w:p w14:paraId="0350BA71" w14:textId="4B0D302E" w:rsidR="008D479B" w:rsidRDefault="008D479B" w:rsidP="008D479B">
      <w:pPr>
        <w:pStyle w:val="TextoNormalCentrado"/>
      </w:pPr>
    </w:p>
    <w:p w14:paraId="4C42AC84" w14:textId="77777777" w:rsidR="008D479B" w:rsidRDefault="008D479B" w:rsidP="008D479B">
      <w:pPr>
        <w:pStyle w:val="SntesisDescriptiva"/>
      </w:pPr>
      <w:r>
        <w:t>Recurso de amparo 6609-2021. Promovido por don Ivan Kovacevic en relación con los autos de la Audiencia Provincial de Málaga y de un juzgado de primera instancia e instrucción de Coín acordando prisión provisional.</w:t>
      </w:r>
    </w:p>
    <w:p w14:paraId="1343BFAB" w14:textId="291CADC2" w:rsidR="008D479B" w:rsidRDefault="008D479B" w:rsidP="008D479B">
      <w:pPr>
        <w:pStyle w:val="SntesisDescriptiva"/>
      </w:pPr>
    </w:p>
    <w:p w14:paraId="4A89C681" w14:textId="77777777" w:rsidR="008D479B" w:rsidRDefault="008D479B" w:rsidP="008D479B">
      <w:pPr>
        <w:pStyle w:val="SntesisAnaltica"/>
      </w:pPr>
      <w:r>
        <w:t>Vulneración de los derechos a la libertad personal y de defensa: STC 30/2023 [denegación de acceso a las actuaciones precisas para impugnar la prisión provisional acordada que no respeta las garantías legales de información imprescindibles para una defensa frente a la privación cautelar de libertad (STC 180/2020)].</w:t>
      </w:r>
    </w:p>
    <w:p w14:paraId="18E485B1" w14:textId="49EAAA08" w:rsidR="008D479B" w:rsidRDefault="008D479B" w:rsidP="008D479B">
      <w:pPr>
        <w:pStyle w:val="SntesisAnaltica"/>
      </w:pPr>
    </w:p>
    <w:p w14:paraId="3348670B" w14:textId="2593D7E9" w:rsidR="008D479B" w:rsidRDefault="008D479B" w:rsidP="008D479B">
      <w:pPr>
        <w:pStyle w:val="Extracto"/>
      </w:pPr>
      <w:r>
        <w:t>1.</w:t>
      </w:r>
      <w:r>
        <w:tab/>
        <w:t xml:space="preserve">Reiteración de doctrina sobre el acceso al núcleo esencial de las actuaciones judiciales declaradas secretas, que constituye una exigencia constitucional de los incidentes relativos a la privación cautelar de libertad, por cuanto es condición de la necesaria igualdad de armas procesales (SSTC 180/2020, 30/2023 y 68/2023) </w:t>
      </w:r>
    </w:p>
    <w:p w14:paraId="1EA614A8" w14:textId="77777777" w:rsidR="008D479B" w:rsidRDefault="008D479B" w:rsidP="008D479B">
      <w:pPr>
        <w:pStyle w:val="Extracto"/>
      </w:pPr>
    </w:p>
    <w:p w14:paraId="340C75B4" w14:textId="77777777" w:rsidR="008D479B" w:rsidRDefault="008D479B" w:rsidP="008D479B">
      <w:pPr>
        <w:pStyle w:val="Extracto"/>
      </w:pPr>
    </w:p>
    <w:p w14:paraId="2D57EC88" w14:textId="77777777" w:rsidR="008D479B" w:rsidRDefault="008D479B" w:rsidP="008D479B">
      <w:pPr>
        <w:pStyle w:val="TextoNormal"/>
      </w:pPr>
      <w: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14:paraId="3DA925DD" w14:textId="328B841C" w:rsidR="008D479B" w:rsidRDefault="008D479B" w:rsidP="008D479B">
      <w:pPr>
        <w:pStyle w:val="TextoNormal"/>
      </w:pPr>
    </w:p>
    <w:p w14:paraId="7DE95060" w14:textId="77777777" w:rsidR="008D479B" w:rsidRDefault="008D479B" w:rsidP="008D479B">
      <w:pPr>
        <w:pStyle w:val="TextoNormalCentrado"/>
        <w:keepNext/>
      </w:pPr>
      <w:r>
        <w:t>EN NOMBRE DEL REY</w:t>
      </w:r>
    </w:p>
    <w:p w14:paraId="1BB2CA36" w14:textId="3504381C" w:rsidR="008D479B" w:rsidRDefault="008D479B" w:rsidP="008D479B">
      <w:pPr>
        <w:pStyle w:val="TextoNormalCentrado"/>
        <w:keepNext/>
      </w:pPr>
    </w:p>
    <w:p w14:paraId="5216EAE0" w14:textId="77777777" w:rsidR="008D479B" w:rsidRDefault="008D479B" w:rsidP="008D479B">
      <w:pPr>
        <w:pStyle w:val="TextoNormalCentrado"/>
        <w:keepNext/>
      </w:pPr>
    </w:p>
    <w:p w14:paraId="05934644" w14:textId="77777777" w:rsidR="008D479B" w:rsidRDefault="008D479B" w:rsidP="008D479B">
      <w:pPr>
        <w:pStyle w:val="TextoNormal"/>
      </w:pPr>
      <w:r>
        <w:t>la siguiente</w:t>
      </w:r>
    </w:p>
    <w:p w14:paraId="7E7EE445" w14:textId="65082C2A" w:rsidR="008D479B" w:rsidRDefault="008D479B" w:rsidP="008D479B">
      <w:pPr>
        <w:pStyle w:val="TextoNormal"/>
      </w:pPr>
    </w:p>
    <w:p w14:paraId="5B933080" w14:textId="77777777" w:rsidR="008D479B" w:rsidRDefault="008D479B" w:rsidP="008D479B">
      <w:pPr>
        <w:pStyle w:val="TextoNormalCentrado"/>
        <w:keepNext/>
      </w:pPr>
      <w:r>
        <w:t>SENTENCIA</w:t>
      </w:r>
    </w:p>
    <w:p w14:paraId="3F078A00" w14:textId="1F4600A3" w:rsidR="008D479B" w:rsidRDefault="008D479B" w:rsidP="008D479B">
      <w:pPr>
        <w:pStyle w:val="TextoNormalCentrado"/>
        <w:keepNext/>
      </w:pPr>
    </w:p>
    <w:p w14:paraId="0A421316" w14:textId="77777777" w:rsidR="008D479B" w:rsidRDefault="008D479B" w:rsidP="008D479B">
      <w:pPr>
        <w:pStyle w:val="TextoNormal"/>
      </w:pPr>
      <w:r>
        <w:t>En el recurso de amparo núm. 6609-2021, promovido por don Ivan Kovacevic contra el auto de prisión provisional de 12 de abril de 2021, dictado por el Juzgado de Primera Instancia e Instrucción núm. 2 de Coín en las diligencias previas núm. 323-2021 y contra los autos núm. 441/2021, de 10 de mayo y de 19 de julio de 2021 de la Sección Primera de la Audiencia Provincial de Málaga, dictados en el recurso de apelación núm. 441-2021. Ha intervenido el Ministerio Fiscal. Ha sido ponente la magistrada doña Inmaculada Montalbán Huertas.</w:t>
      </w:r>
    </w:p>
    <w:p w14:paraId="12CAB910" w14:textId="538401B3" w:rsidR="008D479B" w:rsidRDefault="008D479B" w:rsidP="008D479B">
      <w:pPr>
        <w:pStyle w:val="TextoNormal"/>
      </w:pPr>
    </w:p>
    <w:p w14:paraId="7F98B1EB" w14:textId="77777777" w:rsidR="008D479B" w:rsidRDefault="008D479B" w:rsidP="008D479B">
      <w:pPr>
        <w:pStyle w:val="TextoNormalNegritaCentrado"/>
        <w:keepNext/>
      </w:pPr>
      <w:r>
        <w:t>I. Antecedentes</w:t>
      </w:r>
    </w:p>
    <w:p w14:paraId="3C3E2954" w14:textId="37C44505" w:rsidR="008D479B" w:rsidRDefault="008D479B" w:rsidP="008D479B">
      <w:pPr>
        <w:pStyle w:val="TextoNormalNegritaCentrado"/>
        <w:keepNext/>
      </w:pPr>
    </w:p>
    <w:p w14:paraId="12D93E8A" w14:textId="5F29D900" w:rsidR="008D479B" w:rsidRDefault="008D479B" w:rsidP="008D479B">
      <w:pPr>
        <w:pStyle w:val="TextoNormal"/>
      </w:pPr>
      <w:r w:rsidRPr="008D479B">
        <w:rPr>
          <w:rStyle w:val="NumeroAFNegritaCaracter"/>
        </w:rPr>
        <w:t>1</w:t>
      </w:r>
      <w:r>
        <w:t>. Don Ivan Kovacevic, representado por la procuradora de los tribunales doña Andrea de Dorremochea Guiot y asistido del abogado don Manuel Montaño Monge, presentó escrito el 19 de octubre de 2021 en el registro de este tribunal anunciando su voluntad de interponer recurso de amparo contra las resoluciones mencionadas en el encabezamiento, que formalizó el 16 de diciembre de 2021.</w:t>
      </w:r>
    </w:p>
    <w:p w14:paraId="5FBBAA9F" w14:textId="77777777" w:rsidR="008D479B" w:rsidRDefault="008D479B" w:rsidP="008D479B">
      <w:pPr>
        <w:pStyle w:val="TextoNormal"/>
      </w:pPr>
    </w:p>
    <w:p w14:paraId="43F120BF" w14:textId="77777777" w:rsidR="008D479B" w:rsidRDefault="008D479B" w:rsidP="008D479B">
      <w:pPr>
        <w:pStyle w:val="TextoNormal"/>
      </w:pPr>
      <w:r w:rsidRPr="008D479B">
        <w:rPr>
          <w:rStyle w:val="NumeroAFNegritaCaracter"/>
        </w:rPr>
        <w:t>2</w:t>
      </w:r>
      <w:r>
        <w:t>. Los antecedentes relevantes para resolver el recurso son los siguientes:</w:t>
      </w:r>
    </w:p>
    <w:p w14:paraId="5BD85138" w14:textId="77777777" w:rsidR="008D479B" w:rsidRDefault="008D479B" w:rsidP="008D479B">
      <w:pPr>
        <w:pStyle w:val="TextoNormal"/>
      </w:pPr>
    </w:p>
    <w:p w14:paraId="0D0E6B22" w14:textId="77777777" w:rsidR="008D479B" w:rsidRDefault="008D479B" w:rsidP="008D479B">
      <w:pPr>
        <w:pStyle w:val="TextoNormal"/>
      </w:pPr>
      <w:r>
        <w:t>a) El recurrente fue detenido en Alhaurín el Grande (Málaga), el 9 de abril de 2021, a las 16:30 horas, por los delitos de “organización criminal y tráfico de drogas”, según el “acta de detención e información de derechos y de los elementos esenciales de las actuaciones para impugnar la detención” del atestado núm. 3509-2021 de la comisaría de Policía Nacional de Fuengirola (Málaga), unidad de drogas y crimen organizado de la Costa del Sol, sección crimen organizado, de 9 de abril de 2021, en el que se solicitaba el secreto de las actuaciones.</w:t>
      </w:r>
    </w:p>
    <w:p w14:paraId="52551350" w14:textId="77777777" w:rsidR="008D479B" w:rsidRDefault="008D479B" w:rsidP="008D479B">
      <w:pPr>
        <w:pStyle w:val="TextoNormal"/>
      </w:pPr>
    </w:p>
    <w:p w14:paraId="2FB3A370" w14:textId="77777777" w:rsidR="008D479B" w:rsidRDefault="008D479B" w:rsidP="008D479B">
      <w:pPr>
        <w:pStyle w:val="TextoNormal"/>
      </w:pPr>
      <w:r>
        <w:t>El detenido y otras cinco personas más, también detenidas y reseñadas en el mismo atestado, fueron puestos a disposición del Juzgado de Primera Instancia e Instrucción núm. 2 de Coín. El juzgado, mediante sendos autos de 12 de abril de 2021, incoó las diligencias previas núm. 323-2021 para recibirles declaración, previa instrucción de sus derechos en su condición de personas investigadas-detenidas, y declaró el secreto de las actuaciones para todas las partes, salvo para el Ministerio Fiscal, por tiempo de un mes.</w:t>
      </w:r>
    </w:p>
    <w:p w14:paraId="06BE167C" w14:textId="77777777" w:rsidR="008D479B" w:rsidRDefault="008D479B" w:rsidP="008D479B">
      <w:pPr>
        <w:pStyle w:val="TextoNormal"/>
      </w:pPr>
    </w:p>
    <w:p w14:paraId="368C15DB" w14:textId="77777777" w:rsidR="008D479B" w:rsidRDefault="008D479B" w:rsidP="008D479B">
      <w:pPr>
        <w:pStyle w:val="TextoNormal"/>
      </w:pPr>
      <w:r>
        <w:t>El señor Kovacevic declaró ese mismo día con la asistencia del abogado que firma la demanda de amparo y de una intérprete de serbio; acto seguido se celebró la comparecencia del art. 505 de la Ley de enjuiciamiento criminal (LECrim) para decidir sobre su situación personal. La fiscal solicitó prisión provisional comunicada y sin fianza contra él. El abogado de la defensa se opuso alegando, entre otros motivos, que se encontraba en “una franca desigualdad de armas” provocada por el secreto de las actuaciones; que el día anterior había solicitado en comisaría acceder a los elementos esenciales de las actuaciones para poder ejercer la defensa, que en el día de la comparecencia había reiterado su petición en la sede judicial y que tanto en dependencias policiales como en el juzgado solo le habían comunicado que se trataba de una causa por tráfico de sustancias que no causan grave daño a la salud (marihuana) dentro de un grupo u organización criminal.</w:t>
      </w:r>
    </w:p>
    <w:p w14:paraId="2A3CD1A1" w14:textId="77777777" w:rsidR="008D479B" w:rsidRDefault="008D479B" w:rsidP="008D479B">
      <w:pPr>
        <w:pStyle w:val="TextoNormal"/>
      </w:pPr>
    </w:p>
    <w:p w14:paraId="73EED5A8" w14:textId="77777777" w:rsidR="008D479B" w:rsidRDefault="008D479B" w:rsidP="008D479B">
      <w:pPr>
        <w:pStyle w:val="TextoNormal"/>
      </w:pPr>
      <w:r>
        <w:t>Formuladas las alegaciones, finalizó la comparecencia y el juzgado acordó la prisión provisional, comunicada y sin fianza del investigado mediante auto de 12 de abril de 2021, que disponía igualmente dicha medida cautelar para las otras cinco personas detenidas y puestas a disposición judicial junto al recurrente. La versión del auto notificada al demandante de amparo se limitaba a especificar la calificación jurídica de los hechos (delitos contra la salud pública de sustancia que no causa grave daño a la salud en cantidad de notoria importancia, de pertenencia a organización criminal y de defraudación de fluido eléctrico), su penalidad superior a dos años de privación de libertad y la finalidad de la medida cautelar (riesgo de fuga, evitar la reiteración delictiva y la destrucción de pruebas). En esta versión se disponía expresamente que la fundamentación relativa a las diligencias practicadas para establecer la autoría indiciaria de la comisión de los citados delitos se excluía “del presente auto por haber sido declarada secreta la causa”.</w:t>
      </w:r>
    </w:p>
    <w:p w14:paraId="6482C6E8" w14:textId="77777777" w:rsidR="008D479B" w:rsidRDefault="008D479B" w:rsidP="008D479B">
      <w:pPr>
        <w:pStyle w:val="TextoNormal"/>
      </w:pPr>
    </w:p>
    <w:p w14:paraId="653BD652" w14:textId="77777777" w:rsidR="008D479B" w:rsidRDefault="008D479B" w:rsidP="008D479B">
      <w:pPr>
        <w:pStyle w:val="TextoNormal"/>
      </w:pPr>
      <w:r>
        <w:t>b) El demandante interpuso recurso de apelación contra el auto de prisión y solicitó su libertad provisional. Alegó, entre otros motivos, que la resolución recurrida vulneraba sus derechos a la libertad y a la tutela judicial efectiva sin indefensión porque: por un lado, se le había privado de su derecho de acceso a los elementos esenciales de las actuaciones declaradas secretas para defenderse frente a la solicitud de una medida cautelar privativa de libertad (citaba la doctrina de la STC 83/2019, de 17 de junio, en apoyo de su argumentación); por otro, la medida se había acordado de forma inmotivada al no enumerarse siquiera de manera somera cuáles eran los indicios de criminalidad que se le atribuían; y, finalmente, porque la intérprete no había tenido participación en la comparecencia y no le informó de la petición de prisión provisional formulada por la fiscal ni de sus razones, ni tampoco la juez le dio la posibilidad de efectuar alegaciones. El fiscal se opuso a la estimación del recurso al considerar que la medida cautelar cumplía con los requisitos y finalidades constitucionales y legales para su adopción.</w:t>
      </w:r>
    </w:p>
    <w:p w14:paraId="032F3B1E" w14:textId="77777777" w:rsidR="008D479B" w:rsidRDefault="008D479B" w:rsidP="008D479B">
      <w:pPr>
        <w:pStyle w:val="TextoNormal"/>
      </w:pPr>
    </w:p>
    <w:p w14:paraId="5A9B2241" w14:textId="77777777" w:rsidR="008D479B" w:rsidRDefault="008D479B" w:rsidP="008D479B">
      <w:pPr>
        <w:pStyle w:val="TextoNormal"/>
      </w:pPr>
      <w:r>
        <w:t>La Sección Primera de la Audiencia Provincial de Málaga desestimó el recurso mediante auto núm. 441/2021, de 10 de mayo (rollo núm. 441-2021), en cuyos antecedentes se transcribía la parte de los fundamentos del auto del juzgado de instrucción que fue excluida del auto notificado al recurrente y donde se explicitaban las diligencias e indicios de su presunta participación en una organización criminal compuesta por ciudadanos de países de la Europa del Este dedicada al cultivo de marihuana para su traslado y distribución posterior en la Unión Europea. La Audiencia Provincial de Málaga confirmó la suficiencia de los indicios delictivos, la motivación de la medida cautelar y la razonabilidad de sus fines para evitar el riesgo de fuga derivado de la gravedad de la pena que pudiera imponerse y de su condición de extranjero sin arraigo en España, así como el peligro de reiteración delictiva que podía inferirse de las distintas plantaciones de marihuana intervenidas y de la participación de numerosas personas investigadas en una posible estructura delictiva con carácter de permanencia. La Sala concluía que el auto de prisión provisional no había generado ninguna indefensión material, “desde el momento en que la parte ha tenido conocimiento de las actuaciones, con las limitaciones propias del secreto sumarial acordado y podrá proponer la prueba que tenga por conveniente”.</w:t>
      </w:r>
    </w:p>
    <w:p w14:paraId="5842AE30" w14:textId="77777777" w:rsidR="008D479B" w:rsidRDefault="008D479B" w:rsidP="008D479B">
      <w:pPr>
        <w:pStyle w:val="TextoNormal"/>
      </w:pPr>
    </w:p>
    <w:p w14:paraId="449923DA" w14:textId="77777777" w:rsidR="008D479B" w:rsidRDefault="008D479B" w:rsidP="008D479B">
      <w:pPr>
        <w:pStyle w:val="TextoNormal"/>
      </w:pPr>
      <w:r>
        <w:t>c) Frente al auto de desestimación del recurso de apelación, la parte demandante promovió un incidente de nulidad de actuaciones y solicitó su nulidad, la del auto de prisión y su libertad provisional. En su escrito reprodujo las alegaciones y fundamentos de las vulneraciones denunciadas y añadió que, pese a lo que la Sala mantenía, “nunca tuvo acceso a los elementos esenciales de las actuaciones para impugnar ni la detención, ni la privación de libertad solicitada por el Ministerio Fiscal”. Asimismo, sostuvo que el auto desestimatorio de su recurso incurría en incongruencia omisiva al no haberse pronunciado sobre la vulneración relativa a la actuación de la intérprete y a la imposibilidad de efectuar alegaciones frente a la solicitud de la fiscal. El fiscal se opuso a la pretensión de nulidad al entender que se había dado cumplimento al derecho de acceso de las defensas a los elementos de las actuaciones de carácter esencial y que no había ninguna prueba de que el investigado, que estaba asistido de intérprete, desconociese al alcance de la petición de la fiscal.</w:t>
      </w:r>
    </w:p>
    <w:p w14:paraId="440A1B36" w14:textId="77777777" w:rsidR="008D479B" w:rsidRDefault="008D479B" w:rsidP="008D479B">
      <w:pPr>
        <w:pStyle w:val="TextoNormal"/>
      </w:pPr>
    </w:p>
    <w:p w14:paraId="7AD06122" w14:textId="1DB97008" w:rsidR="008D479B" w:rsidRDefault="008D479B" w:rsidP="008D479B">
      <w:pPr>
        <w:pStyle w:val="TextoNormal"/>
      </w:pPr>
      <w:r>
        <w:t>La Sección Primera de la Audiencia Provincial de Málaga inadmitió el incidente de nulidad en su auto de 19 de julio de 2021. En cuanto a la denegación de acceso a las actuaciones, el auto señalaba que el secreto de sumario, por sí mismo, no violaba ningún derecho fundamental porque la publicidad del proceso se predicaba solo del juicio oral; el recurrente había tenido conocimiento suficiente de los hechos que se le imputaban con la limitaciones propias del secreto sumarial, así como de los indicios incriminatorios existentes. Con relación a la actuación de la intérprete y a la imposibilidad de alegar, el auto razonaba que la comparecencia se grabó con la asistencia del recurrente, de su letrado de libre elección y de una intérprete de serbio, “por lo que ninguna irregularidad ha ocurrido”. La sala apuntaba que, además, el recurrente había prestado nueva declaración asistido de intérprete y de letrado de libre designación ante el Juzgado de Instrucción núm. 12 de Málaga al que se inhibió la causa, en la que dio respuesta a las cuestiones que se le plantearon a través de la intérprete designada.</w:t>
      </w:r>
    </w:p>
    <w:p w14:paraId="4DA07EC1" w14:textId="77777777" w:rsidR="008D479B" w:rsidRDefault="008D479B" w:rsidP="008D479B">
      <w:pPr>
        <w:pStyle w:val="TextoNormal"/>
      </w:pPr>
    </w:p>
    <w:p w14:paraId="040EBA6D" w14:textId="77777777" w:rsidR="008D479B" w:rsidRDefault="008D479B" w:rsidP="008D479B">
      <w:pPr>
        <w:pStyle w:val="TextoNormal"/>
      </w:pPr>
      <w:r w:rsidRPr="008D479B">
        <w:rPr>
          <w:rStyle w:val="NumeroAFNegritaCaracter"/>
        </w:rPr>
        <w:t>3</w:t>
      </w:r>
      <w:r>
        <w:t>. El recurrente denuncia en su demanda de amparo que las resoluciones impugnadas vulneraron sus derechos a la libertad personal y a la tutela judicial efectiva sin indefensión. Tras exponer los antecedentes procesales y los requisitos del recurso de amparo, la demanda reproduce las alegaciones del recurso de apelación contra el auto de prisión provisional y las planteadas en el incidente de nulidad de actuaciones contra el auto desestimatorio de la apelación. Se repite así que se privó al demandante de su derecho de acceso a los elementos esenciales de las actuaciones secretas para defenderse de la solicitud de prisión provisional que fue adoptada, a su juicio, de forma inmotivada y sin enumerar al menos los indicios de criminalidad que se le atribuían. Y se reitera la queja respecto de su derecho a ser asistido de intérprete: la intérprete de serbio estuvo presente en la comparecencia para decidir sobre su situación personal, pero no tuvo participación en el acto, de modo que no se le informó de la petición de la fiscal ni se le concedió la posibilidad de efectuar alegaciones.</w:t>
      </w:r>
    </w:p>
    <w:p w14:paraId="1B7D3AED" w14:textId="77777777" w:rsidR="008D479B" w:rsidRDefault="008D479B" w:rsidP="008D479B">
      <w:pPr>
        <w:pStyle w:val="TextoNormal"/>
      </w:pPr>
    </w:p>
    <w:p w14:paraId="21E0BC12" w14:textId="06B0F0AA" w:rsidR="008D479B" w:rsidRDefault="008D479B" w:rsidP="008D479B">
      <w:pPr>
        <w:pStyle w:val="TextoNormal"/>
      </w:pPr>
      <w:r>
        <w:t>El demandante solicita que se declare que se han vulnerado sus derechos a la libertad personal (art. 17.1 CE) y a la tutela judicial efectiva sin indefensión (art. 24.1 CE), su restablecimiento y, a tal fin, que se anulen las tres resoluciones impugnadas y se decrete su inmediata libertad provisional o, subsidiariamente, se acuerden otras medidas cautelares menos gravosas. Mediante otrosí segundo de la demanda, el recurrente solicita la suspensión cautelar de la ejecución de la prisión provisional.</w:t>
      </w:r>
    </w:p>
    <w:p w14:paraId="16B881B6" w14:textId="77777777" w:rsidR="008D479B" w:rsidRDefault="008D479B" w:rsidP="008D479B">
      <w:pPr>
        <w:pStyle w:val="TextoNormal"/>
      </w:pPr>
    </w:p>
    <w:p w14:paraId="35321176" w14:textId="6C51FE49" w:rsidR="008D479B" w:rsidRDefault="008D479B" w:rsidP="008D479B">
      <w:pPr>
        <w:pStyle w:val="TextoNormal"/>
      </w:pPr>
      <w:r w:rsidRPr="008D479B">
        <w:rPr>
          <w:rStyle w:val="NumeroAFNegritaCaracter"/>
        </w:rPr>
        <w:t>4</w:t>
      </w:r>
      <w:r>
        <w:t>. La secretaria de justicia de la Sección Segunda de la Sala Primera de este tribunal, mediante diligencias de ordenación de 20 de enero, 3 de marzo y 1 de abril de 2022, requirió al Juzgado de Primera Instancia e Instrucción núm. 2 de Coín, al Juzgado de Instrucción núm. 12 de Málaga y a la Sección Primera de la Audiencia Provincial de Málaga la remisión de los testimonios de sus respectivas actuaciones. Asimismo, mediante diligencia de ordenación de 12 de septiembre de 2022 solicitó del Juzgado de Instrucción núm. 12 de Málaga información actualizada de la situación personal del recurrente y de la situación procesal del procedimiento.</w:t>
      </w:r>
    </w:p>
    <w:p w14:paraId="17D70394" w14:textId="77777777" w:rsidR="008D479B" w:rsidRDefault="008D479B" w:rsidP="008D479B">
      <w:pPr>
        <w:pStyle w:val="TextoNormal"/>
      </w:pPr>
    </w:p>
    <w:p w14:paraId="2640147C" w14:textId="77777777" w:rsidR="008D479B" w:rsidRDefault="008D479B" w:rsidP="008D479B">
      <w:pPr>
        <w:pStyle w:val="TextoNormal"/>
      </w:pPr>
      <w:r w:rsidRPr="008D479B">
        <w:rPr>
          <w:rStyle w:val="NumeroAFNegritaCaracter"/>
        </w:rPr>
        <w:t>5</w:t>
      </w:r>
      <w:r>
        <w:t>. La Sección Segunda de la Sala Primera del Tribunal Constitucional, mediante providencia de 12 de septiembre de 2022, admitió a trámite la demanda al apreciar que concurre en el recurso una especial trascendencia constitucional (art. 50.1 de la Ley Orgánica del Tribunal Constitucional: LOTC ) como consecuencia de que el órgano judicial pudiera haber incurrido en una negativa manifiesta del deber de acatamiento de la doctrina de este tribunal [STC 155/2009, de 25 de junio, FJ 2 f)]. Asimismo, tras comprobar que constaban remitidas algunas de las actuaciones previamente requeridas, acordó dirigirse al Juzgado de Instrucción núm. 12 de Málaga para que remitiese certificación o copia adverada de más actuaciones y para que emplazase a quienes hubiesen sido parte en el procedimiento, excepto al recurrente en amparo, a fin de que pudieran comparecer en el recurso en el plazo de diez días.</w:t>
      </w:r>
    </w:p>
    <w:p w14:paraId="60D998F7" w14:textId="77777777" w:rsidR="008D479B" w:rsidRDefault="008D479B" w:rsidP="008D479B">
      <w:pPr>
        <w:pStyle w:val="TextoNormal"/>
      </w:pPr>
    </w:p>
    <w:p w14:paraId="73FE1731" w14:textId="77777777" w:rsidR="008D479B" w:rsidRDefault="008D479B" w:rsidP="008D479B">
      <w:pPr>
        <w:pStyle w:val="TextoNormal"/>
      </w:pPr>
      <w:r>
        <w:t>Finalmente, de conformidad con la solicitud de la parte actora, mediante nueva providencia de 12 de septiembre de 2022, dictada en la pieza separada de suspensión, se concedió un plazo común de tres días al recurrente y al Ministerio Fiscal para alegar lo que estimasen pertinente sobre la suspensión solicitada. El recurrente y la fiscal ante el Tribunal Constitucional, mediante sendos escritos presentados, respectivamente, el 16 de septiembre y el 30 de septiembre de 2022, evidenciaron que el recurrente, el 4 de noviembre de 2021, quedó en libertad provisional bajo fianza.</w:t>
      </w:r>
    </w:p>
    <w:p w14:paraId="48ED9FD5" w14:textId="77777777" w:rsidR="008D479B" w:rsidRDefault="008D479B" w:rsidP="008D479B">
      <w:pPr>
        <w:pStyle w:val="TextoNormal"/>
      </w:pPr>
    </w:p>
    <w:p w14:paraId="0E02D7DA" w14:textId="77777777" w:rsidR="008D479B" w:rsidRDefault="008D479B" w:rsidP="008D479B">
      <w:pPr>
        <w:pStyle w:val="TextoNormal"/>
      </w:pPr>
      <w:r>
        <w:t xml:space="preserve">La Sección Primera de la Audiencia Provincial de Málaga en su auto núm. 937/2021, de 4 de noviembre (recurso de apelación núm. 910-2021), acordó mantener la situación de prisión provisional del recurrente, eludible con el abono de una fianza de 20 000 €, retirada del pasaporte, prohibición de abandonar el territorio nacional sin la autorización del órgano judicial competente en cada momento y con la obligación de comparecer </w:t>
      </w:r>
      <w:r w:rsidRPr="008D479B">
        <w:rPr>
          <w:i/>
        </w:rPr>
        <w:t>apud acta</w:t>
      </w:r>
      <w:r>
        <w:t xml:space="preserve"> el primer día de cada mes. Comprobado el ingreso de la fianza el 4 de noviembre de 2021, el Juzgado de Instrucción núm. 12 de Málaga dictó auto en igual fecha acordando la libertad provisional del recurrente con las obligaciones citadas y expidió mandamiento de libertad al Centro Penitenciario de Alhaurín de la Torre, cuyo director acusó recibo e informó al juzgado de que el interno quedaba excarcelado el día 4 de noviembre de 2021.</w:t>
      </w:r>
    </w:p>
    <w:p w14:paraId="3A90F5E1" w14:textId="77777777" w:rsidR="008D479B" w:rsidRDefault="008D479B" w:rsidP="008D479B">
      <w:pPr>
        <w:pStyle w:val="TextoNormal"/>
      </w:pPr>
    </w:p>
    <w:p w14:paraId="598BAD87" w14:textId="6635853D" w:rsidR="008D479B" w:rsidRDefault="008D479B" w:rsidP="008D479B">
      <w:pPr>
        <w:pStyle w:val="TextoNormal"/>
      </w:pPr>
      <w:r>
        <w:t>La Sala Primera, mediante auto de 24 de octubre de 2022, acordó archivar el incidente de suspensión por pérdida de objeto.</w:t>
      </w:r>
    </w:p>
    <w:p w14:paraId="3692468A" w14:textId="77777777" w:rsidR="008D479B" w:rsidRDefault="008D479B" w:rsidP="008D479B">
      <w:pPr>
        <w:pStyle w:val="TextoNormal"/>
      </w:pPr>
    </w:p>
    <w:p w14:paraId="00B4C5D9" w14:textId="11AAAEBD" w:rsidR="008D479B" w:rsidRDefault="008D479B" w:rsidP="008D479B">
      <w:pPr>
        <w:pStyle w:val="TextoNormal"/>
      </w:pPr>
      <w:r w:rsidRPr="008D479B">
        <w:rPr>
          <w:rStyle w:val="NumeroAFNegritaCaracter"/>
        </w:rPr>
        <w:t>6</w:t>
      </w:r>
      <w:r>
        <w:t>. La secretaria de justicia de la Sala Primera de este tribunal, mediante diligencia de ordenación de 27 de octubre de 2022, tuvo por recibido el testimonio de las actuaciones del Juzgado de Instrucción núm. 12 de Málaga; tuvo a doña Oleksandra Mischenko por personada y parte en este procedimiento y para actuar en él representada por la procuradora doña Ana de la Corte Macías, con asistencia letrada de don Antonio Gatell Contreras; y, conforme a lo dispuesto en el art. 52.1 LOTC, acordó dar vista de las actuaciones por un plazo común de veinte días al Ministerio Fiscal y a las partes personadas para presentar alegaciones, formulándolas el recurrente y la fiscal ante el Tribunal Constitucional.</w:t>
      </w:r>
    </w:p>
    <w:p w14:paraId="450F1889" w14:textId="77777777" w:rsidR="008D479B" w:rsidRDefault="008D479B" w:rsidP="008D479B">
      <w:pPr>
        <w:pStyle w:val="TextoNormal"/>
      </w:pPr>
    </w:p>
    <w:p w14:paraId="30396779" w14:textId="265B2B51" w:rsidR="008D479B" w:rsidRDefault="008D479B" w:rsidP="008D479B">
      <w:pPr>
        <w:pStyle w:val="TextoNormal"/>
      </w:pPr>
      <w:r w:rsidRPr="008D479B">
        <w:rPr>
          <w:rStyle w:val="NumeroAFNegritaCaracter"/>
        </w:rPr>
        <w:t>7</w:t>
      </w:r>
      <w:r>
        <w:t>. El recurrente, mediante escrito presentado el 25 de noviembre de 2022, dio por reproducidos los hechos de la demanda, expuso de nuevo su denuncia relativa a la vulneración de sus derechos a la libertad personal y a la tutela judicial efectiva sin indefensión con idénticos argumentos y reiteró su petición de que se le otorgase el amparo solicitado.</w:t>
      </w:r>
    </w:p>
    <w:p w14:paraId="27D947BA" w14:textId="77777777" w:rsidR="008D479B" w:rsidRDefault="008D479B" w:rsidP="008D479B">
      <w:pPr>
        <w:pStyle w:val="TextoNormal"/>
      </w:pPr>
    </w:p>
    <w:p w14:paraId="7FD4BE75" w14:textId="77777777" w:rsidR="008D479B" w:rsidRDefault="008D479B" w:rsidP="008D479B">
      <w:pPr>
        <w:pStyle w:val="TextoNormal"/>
      </w:pPr>
      <w:r w:rsidRPr="008D479B">
        <w:rPr>
          <w:rStyle w:val="NumeroAFNegritaCaracter"/>
        </w:rPr>
        <w:t>8</w:t>
      </w:r>
      <w:r>
        <w:t>. La fiscal ante el Tribunal Constitucional, en su escrito presentado el 19 de diciembre de 2022, solicitó la estimación del recurso al considerar que las resoluciones impugnadas vulneraron el derecho del recurrente a la libertad personal (art. 17.1 CE), en relación con el derecho a la tutela judicial efectiva sin indefensión (art. 24.1 CE), como consecuencia de haberse acordado la prisión provisional privándole de la garantía de acceso a los elementos esenciales de las actuaciones en la comparecencia del art. 505 LECrim. Subsidiariamente, solicitó la estimación del recurso por haberse acordado la prisión provisional sin que el recurrente hubiera estado asistido efectivamente por la intérprete designada en el acto de la comparecencia del art. 505 LECrim, y asimismo por motivación indebida de las resoluciones judiciales impugnadas. Para el restablecimiento del derecho fundamental interesó la nulidad de los autos impugnados con efectos declarativos, a la vista de la situación sobrevenida de libertad provisional del recurrente posterior a la interposición del recurso de amparo. Las peticiones anteriores se basaron, en síntesis, en las alegaciones siguientes:</w:t>
      </w:r>
    </w:p>
    <w:p w14:paraId="2C151AA4" w14:textId="77777777" w:rsidR="008D479B" w:rsidRDefault="008D479B" w:rsidP="008D479B">
      <w:pPr>
        <w:pStyle w:val="TextoNormal"/>
      </w:pPr>
    </w:p>
    <w:p w14:paraId="266733F8" w14:textId="77777777" w:rsidR="008D479B" w:rsidRDefault="008D479B" w:rsidP="008D479B">
      <w:pPr>
        <w:pStyle w:val="TextoNormal"/>
      </w:pPr>
      <w:r>
        <w:t>Con relación a la queja que fundamenta las vulneraciones de derechos en haberse denegado el acceso a los elementos esenciales de las actuaciones para ejercer la defensa en la comparecencia del art. 505 LECrim, la fiscal concluye que, de acuerdo con la doctrina constitucional sobre el derecho de acceso a las actuaciones judiciales declaradas secretas (SSTC 83/2019, de 17 de junio; 94/2019, de 15 de julio; 95/2019, de 15 de julio; 180/2020, de 14 de diciembre, y 80/2021, de 19 de abril), la medida de prisión provisional vulneró el derecho a la libertad del recurrente en relación con el derecho a la tutela judicial efectiva sin indefensión.</w:t>
      </w:r>
    </w:p>
    <w:p w14:paraId="4C95CED7" w14:textId="77777777" w:rsidR="008D479B" w:rsidRDefault="008D479B" w:rsidP="008D479B">
      <w:pPr>
        <w:pStyle w:val="TextoNormal"/>
      </w:pPr>
    </w:p>
    <w:p w14:paraId="7ECABD3A" w14:textId="77777777" w:rsidR="008D479B" w:rsidRDefault="008D479B" w:rsidP="008D479B">
      <w:pPr>
        <w:pStyle w:val="TextoNormal"/>
      </w:pPr>
      <w:r>
        <w:t>El recurrente, a través de su letrado, denunció en la comparecencia la falta de información de los hechos concretos atribuidos y de los indicios existentes, así como la falta de acceso a las actuaciones esenciales para poder ejercer la defensa frente a la petición de prisión provisional del Ministerio Fiscal. Sin embargo, el órgano judicial —y con posterioridad la Audiencia— en lugar de velar por el cumplimiento de estas garantías (art. 302 último párrafo LECrim que remite al art. 505.3 párrafo segundo LECrim), guardó silencio y no atendió la denuncia de ningún modo como, por ejemplo, mediante la suspensión de la comparecencia para facilitar al recurrente el acceso a los elementos esenciales de las actuaciones para impugnar la privación de libertad y oponerse a la medida cautelar.</w:t>
      </w:r>
    </w:p>
    <w:p w14:paraId="658BFCE8" w14:textId="77777777" w:rsidR="008D479B" w:rsidRDefault="008D479B" w:rsidP="008D479B">
      <w:pPr>
        <w:pStyle w:val="TextoNormal"/>
      </w:pPr>
    </w:p>
    <w:p w14:paraId="001005F6" w14:textId="77777777" w:rsidR="008D479B" w:rsidRDefault="008D479B" w:rsidP="008D479B">
      <w:pPr>
        <w:pStyle w:val="TextoNormal"/>
      </w:pPr>
      <w:r>
        <w:t>Asimismo —prosigue la fiscal— se produjeron las citadas vulneraciones por falta de motivación de las resoluciones impugnadas al haberse excluido los indicios de criminalidad que existían contra el recurrente de los fundamentos del auto de prisión provisional que le fue notificado, impidiéndole conocer las razones o indicios que justificaban la medida. Se incumplió así la doctrina constitucional de la no derogación de la tutela judicial durante el secreto de sumario y el deber del órgano judicial de conciliar el buen fin de la investigación con el derecho a la defensa de la persona investigada y privada de libertad a la que no cabe sustraer los elementos esenciales para defenderse en las resoluciones que se le notifiquen (STC 143/2010, de 21 de diciembre, FJ 2). Se da la circunstancia de que los autos de la Audiencia Provincial incurrieron en una motivación arbitraria o manifiestamente errónea cuando afirmaron que el recurrente no sufrió indefensión material: la Audiencia partía en su respuesta del error de que el auto notificado al recurrente fue el auto original que acordaba la prisión provisional y que sí que explicitaba los indicios, en lugar de estar al auto de prisión provisional efectivamente notificado en el que tales indicios estaban expresamente excluidos.</w:t>
      </w:r>
    </w:p>
    <w:p w14:paraId="6FF0AE60" w14:textId="77777777" w:rsidR="008D479B" w:rsidRDefault="008D479B" w:rsidP="008D479B">
      <w:pPr>
        <w:pStyle w:val="TextoNormal"/>
      </w:pPr>
    </w:p>
    <w:p w14:paraId="2AE10130" w14:textId="7730C755" w:rsidR="008D479B" w:rsidRDefault="008D479B" w:rsidP="008D479B">
      <w:pPr>
        <w:pStyle w:val="TextoNormal"/>
      </w:pPr>
      <w:r>
        <w:t>Finalmente, en cuanto a la queja que basa las lesiones en la ausencia de participación efectiva de la intérprete de serbio en la comparecencia, la fiscal también la admite al considerar que no se veló por el cumplimiento de la garantía de interpretación inherente al derecho a la tutela judicial efectiva sin indefensión (STC 41/2022, de 21 de marzo, FJ 5). El juzgado no garantizó —ni las resoluciones de la Audiencia lo repararon— “una defensa efectiva y contradictoria, mediante la asistencia del intérprete que asegurase que había comprendido lo que se estaba produciendo, para poder alegar y defenderse al respecto, no solo a través de su letrado, sino ejercitando el propio recurrente su derecho de defensa”.</w:t>
      </w:r>
    </w:p>
    <w:p w14:paraId="569AC034" w14:textId="77777777" w:rsidR="008D479B" w:rsidRDefault="008D479B" w:rsidP="008D479B">
      <w:pPr>
        <w:pStyle w:val="TextoNormal"/>
      </w:pPr>
    </w:p>
    <w:p w14:paraId="05829A98" w14:textId="61F90819" w:rsidR="008D479B" w:rsidRDefault="008D479B" w:rsidP="008D479B">
      <w:pPr>
        <w:pStyle w:val="TextoNormal"/>
      </w:pPr>
      <w:r w:rsidRPr="008D479B">
        <w:rPr>
          <w:rStyle w:val="NumeroAFNegritaCaracter"/>
        </w:rPr>
        <w:t>9</w:t>
      </w:r>
      <w:r>
        <w:t>. En virtud de los arts. 2.1 y 3.1 del acuerdo del Pleno del Tribunal Constitucional de 17 de enero de 2023, publicado en el “Boletín Oficial del Estado” de 19 de enero de 2023, el recurso lo conoce la Sala Segunda de este tribunal al conservar la magistrada la ponencia asignada.</w:t>
      </w:r>
    </w:p>
    <w:p w14:paraId="2B10778A" w14:textId="77777777" w:rsidR="008D479B" w:rsidRDefault="008D479B" w:rsidP="008D479B">
      <w:pPr>
        <w:pStyle w:val="TextoNormal"/>
      </w:pPr>
    </w:p>
    <w:p w14:paraId="2ECB77CE" w14:textId="4EBFF2C6" w:rsidR="008D479B" w:rsidRDefault="008D479B" w:rsidP="008D479B">
      <w:pPr>
        <w:pStyle w:val="TextoNormal"/>
      </w:pPr>
      <w:r w:rsidRPr="008D479B">
        <w:rPr>
          <w:rStyle w:val="NumeroAFNegritaCaracter"/>
        </w:rPr>
        <w:t>10</w:t>
      </w:r>
      <w:r>
        <w:t>. Por providencia de 16 de noviembre de 2023 se señaló para la deliberación y votación del presente recurso el día 20 del mismo mes y año.</w:t>
      </w:r>
    </w:p>
    <w:p w14:paraId="6537A204" w14:textId="77777777" w:rsidR="008D479B" w:rsidRDefault="008D479B" w:rsidP="008D479B">
      <w:pPr>
        <w:pStyle w:val="TextoNormal"/>
      </w:pPr>
    </w:p>
    <w:p w14:paraId="0276624A" w14:textId="77777777" w:rsidR="008D479B" w:rsidRDefault="008D479B" w:rsidP="008D479B">
      <w:pPr>
        <w:pStyle w:val="TextoNormalNegritaCentrado"/>
        <w:keepNext/>
      </w:pPr>
      <w:r>
        <w:t>II. Fundamentos jurídicos</w:t>
      </w:r>
    </w:p>
    <w:p w14:paraId="5AAAC182" w14:textId="63CE7549" w:rsidR="008D479B" w:rsidRDefault="008D479B" w:rsidP="008D479B">
      <w:pPr>
        <w:pStyle w:val="TextoNormalNegritaCentrado"/>
        <w:keepNext/>
      </w:pPr>
    </w:p>
    <w:p w14:paraId="7EFF6BA1" w14:textId="77777777" w:rsidR="008D479B" w:rsidRDefault="008D479B" w:rsidP="008D479B">
      <w:pPr>
        <w:pStyle w:val="TextoNormal"/>
      </w:pPr>
      <w:r w:rsidRPr="008D479B">
        <w:rPr>
          <w:rStyle w:val="NumeroAFNegritaCaracter"/>
        </w:rPr>
        <w:t>1</w:t>
      </w:r>
      <w:r>
        <w:t xml:space="preserve">. </w:t>
      </w:r>
      <w:r w:rsidRPr="008D479B">
        <w:rPr>
          <w:i/>
        </w:rPr>
        <w:t>Objeto del recurso y posición de las partes</w:t>
      </w:r>
    </w:p>
    <w:p w14:paraId="194F8B38" w14:textId="77777777" w:rsidR="008D479B" w:rsidRDefault="008D479B" w:rsidP="008D479B">
      <w:pPr>
        <w:pStyle w:val="TextoNormal"/>
      </w:pPr>
    </w:p>
    <w:p w14:paraId="47507C19" w14:textId="77777777" w:rsidR="008D479B" w:rsidRDefault="008D479B" w:rsidP="008D479B">
      <w:pPr>
        <w:pStyle w:val="TextoNormal"/>
      </w:pPr>
      <w:r>
        <w:t>El presente recurso de amparo se dirige contra el auto de 12 de abril de 2021 del Juzgado de Primera Instancia e Instrucción núm. 2 de Coín, que acordó la prisión provisional del demandante en las diligencias previas núm. 323-2021; contra el auto núm. 441/2021, de 10 de mayo, que desestimó su recurso de apelación y contra el auto de 19 de julio de 2021, que inadmitió el incidente de nulidad de actuaciones contra el anterior, ambos dictados por la Sección Primera de la Audiencia Provincial de Málaga en el rollo de apelación núm. 441-2021.</w:t>
      </w:r>
    </w:p>
    <w:p w14:paraId="552E5BC6" w14:textId="77777777" w:rsidR="008D479B" w:rsidRDefault="008D479B" w:rsidP="008D479B">
      <w:pPr>
        <w:pStyle w:val="TextoNormal"/>
      </w:pPr>
    </w:p>
    <w:p w14:paraId="646DC017" w14:textId="639503EC" w:rsidR="008D479B" w:rsidRDefault="008D479B" w:rsidP="008D479B">
      <w:pPr>
        <w:pStyle w:val="TextoNormal"/>
      </w:pPr>
      <w:r>
        <w:t>El recurrente sostiene —y la fiscal muestra su conformidad— que tales resoluciones son nulas por haber vulnerado sus derechos a la libertad personal (art. 17.1 CE) y a la tutela judicial efectiva sin indefensión (art. 24.1 CE), por los siguientes motivos: (i) Se le denegó el acceso a los elementos esenciales de las actuaciones judiciales declaradas secretas, impidiéndole ejercer su derecho a la defensa en la comparecencia en la que se decidía sobre su situación personal (art. 505 LECrim) y en la que la fiscal solicitó para él la medida cautelar de prisión provisional comunicada y sin fianza. (ii) El auto de prisión provisional carecía de motivación —no reparada por las erradas resoluciones que lo confirmaron— al haberse excluido expresamente de su fundamentación las diligencias practicadas y los indicios de su participación en los delictivos que se le atribuían. Y (iii) la intérprete de serbio que le asistió no tuvo participación en la comparecencia y no le informó de la petición de prisión provisional formulada por la fiscal ni de sus razones; ni tampoco la juez le dio la posibilidad de efectuar alegaciones.</w:t>
      </w:r>
    </w:p>
    <w:p w14:paraId="178806BA" w14:textId="77777777" w:rsidR="008D479B" w:rsidRDefault="008D479B" w:rsidP="008D479B">
      <w:pPr>
        <w:pStyle w:val="TextoNormal"/>
      </w:pPr>
    </w:p>
    <w:p w14:paraId="225831E8" w14:textId="77777777" w:rsidR="008D479B" w:rsidRDefault="008D479B" w:rsidP="008D479B">
      <w:pPr>
        <w:pStyle w:val="TextoNormal"/>
      </w:pPr>
      <w:r w:rsidRPr="008D479B">
        <w:rPr>
          <w:rStyle w:val="NumeroAFNegritaCaracter"/>
        </w:rPr>
        <w:t>2</w:t>
      </w:r>
      <w:r>
        <w:t xml:space="preserve">. </w:t>
      </w:r>
      <w:r w:rsidRPr="008D479B">
        <w:rPr>
          <w:i/>
        </w:rPr>
        <w:t>Identidad con el recurso de amparo estimado en la STC 30/2023, de 17 de abril y doctrina constitucional aplicable al derecho de acceso a las actuaciones judiciales declaradas secretas</w:t>
      </w:r>
    </w:p>
    <w:p w14:paraId="2BEA7C37" w14:textId="77777777" w:rsidR="008D479B" w:rsidRDefault="008D479B" w:rsidP="008D479B">
      <w:pPr>
        <w:pStyle w:val="TextoNormal"/>
      </w:pPr>
    </w:p>
    <w:p w14:paraId="0ED296B7" w14:textId="77777777" w:rsidR="008D479B" w:rsidRDefault="008D479B" w:rsidP="008D479B">
      <w:pPr>
        <w:pStyle w:val="TextoNormal"/>
      </w:pPr>
      <w:r>
        <w:t>a) El objeto del presente recurso, su causa de especial trascendencia constitucional, así como las alegaciones y pretensiones del recurrente coinciden con las del recurso de amparo núm. 6529-2021, interpuesto por otra de las personas detenidas y puestas a disposición del Juzgado de Primera Instancia e Instrucción núm. 2 de Coín, respecto de la que también se acordó su prisión provisional comunicada y sin fianza en el mismo auto de 12 de abril de 2021, que aquí se recurre. Los recursos de apelación y el incidente de nulidad de actuaciones interpuestos por este otro recurrente contra el auto de prisión provisional se desestimaron con una argumentación similar, respectivamente, mediante los autos de 10 de mayo y 19 de julio de 2021, dictados también por la Sección Primera de la Audiencia Provincial de Málaga, solo que en el rollo de apelación núm. 442-2021.</w:t>
      </w:r>
    </w:p>
    <w:p w14:paraId="72609E17" w14:textId="77777777" w:rsidR="008D479B" w:rsidRDefault="008D479B" w:rsidP="008D479B">
      <w:pPr>
        <w:pStyle w:val="TextoNormal"/>
      </w:pPr>
    </w:p>
    <w:p w14:paraId="28E04F91" w14:textId="77777777" w:rsidR="008D479B" w:rsidRDefault="008D479B" w:rsidP="008D479B">
      <w:pPr>
        <w:pStyle w:val="TextoNormal"/>
      </w:pPr>
      <w:r>
        <w:t>El recurso de amparo núm. 6529-2021 fue estimado por esta misma Sala Segunda, en su STC 30/2023, de 17 de abril, que anuló con efectos declarativos las resoluciones impugnadas por vulneración de los derechos a la libertad personal y de defensa (arts. 17.1 y 24.2 CE), al apreciar que se había denegado al recurrente su derecho de acceso a los elementos esenciales de las actuaciones judiciales declaradas secretas para impugnar su privación de libertad. La estimación de esta queja hizo innecesario examinar el resto de los motivos invocados.</w:t>
      </w:r>
    </w:p>
    <w:p w14:paraId="38A40C75" w14:textId="77777777" w:rsidR="008D479B" w:rsidRDefault="008D479B" w:rsidP="008D479B">
      <w:pPr>
        <w:pStyle w:val="TextoNormal"/>
      </w:pPr>
    </w:p>
    <w:p w14:paraId="05379B08" w14:textId="77777777" w:rsidR="008D479B" w:rsidRDefault="008D479B" w:rsidP="008D479B">
      <w:pPr>
        <w:pStyle w:val="TextoNormal"/>
      </w:pPr>
      <w:r>
        <w:t>La idéntica posición en el procedimiento judicial del señor Kovacevic y el demandante en el recurso núm. 6529-2021, y las identidades de objeto, especial trascendencia constitucional, alegaciones y pretensiones entre sus respectivos recursos de amparo, determinan que se aplique la doctrina de la STC 30/2023, FJ 3, a la resolución del presente recurso y que resulte procedente —se adelanta— su estimación por la lesión de los derechos a la libertad personal y de defensa (arts. 17.1 y 24.2 CE) por la denegación del derecho de acceso a las actuaciones judiciales declaradas secretas, lo que hará innecesario, al igual que en la STC 30/2023, FJ 5, el examen del resto de los motivos alegados.</w:t>
      </w:r>
    </w:p>
    <w:p w14:paraId="48EB3337" w14:textId="77777777" w:rsidR="008D479B" w:rsidRDefault="008D479B" w:rsidP="008D479B">
      <w:pPr>
        <w:pStyle w:val="TextoNormal"/>
      </w:pPr>
    </w:p>
    <w:p w14:paraId="55C47111" w14:textId="77777777" w:rsidR="008D479B" w:rsidRDefault="008D479B" w:rsidP="008D479B">
      <w:pPr>
        <w:pStyle w:val="TextoNormal"/>
      </w:pPr>
      <w:r>
        <w:t>b) El fundamento jurídico tercero de la STC 30/2023, al que nos remitimos, resume la abundante doctrina constitucional sobre el derecho legalmente previsto [arts. 118.1 b), 302 último párrafo, 505.3, párrafo segundo, 520.2 d) y 527.1 d) LECrim] de acceso a los elementos esenciales del atestado policial para impugnar la legalidad de la detención (SSTC 13/2017, de 30 de enero; 21/2018, de 5 de marzo, y 181/2020, de 14 de diciembre); así como y sobre el derecho de acceso a los elementos esenciales de las actuaciones judiciales secretas, con el fin de preparar la defensa en la comparecencia convocada para decidir sobre la situación personal de la persona afectada por la medida privativa de libertad o para impugnar la prisión provisional acordada (SSTC 83/2019, de 17 de junio; 94/2019 y 95/2019, ambas de 15 de julio; 180/2020, de 14 de diciembre; 80/2021, de 19 de abril, y 4/2023, de 20 de febrero, y debemos añadir la STC 68/2023, de 19 de junio, dictada con posterioridad a nuestra STC 30/2023). En la STC 30/2023, FJ 3, se destaca la relevancia constitucional de la garantía de acceso para los derechos a la libertad personal y de defensa (arts. 17.1 y 24.2 CE).</w:t>
      </w:r>
    </w:p>
    <w:p w14:paraId="69FF8941" w14:textId="77777777" w:rsidR="008D479B" w:rsidRDefault="008D479B" w:rsidP="008D479B">
      <w:pPr>
        <w:pStyle w:val="TextoNormal"/>
      </w:pPr>
    </w:p>
    <w:p w14:paraId="61905BBC" w14:textId="0F55F292" w:rsidR="008D479B" w:rsidRDefault="008D479B" w:rsidP="008D479B">
      <w:pPr>
        <w:pStyle w:val="TextoNormal"/>
      </w:pPr>
      <w:r>
        <w:t>De acuerdo con la doctrina constitucional sobre la garantía de acceso a las actuaciones judiciales bajo secreto sumarial, el respeto de los derechos a la libertad personal y de defensa exige reconocer que el secreto de las actuaciones no excluye el derecho de acceso para impugnar en términos fácticos y jurídicos la legalidad de la privación cautelar de libertad. Este derecho de acceso —junto al derecho a la información del que es complemento inescindible y al que le sirve de garantía instrumental— permite la igualdad de armas en el ejercicio del derecho de defensa. La garantía de acceso no opera de oficio, a diferencia de lo que sucede con el derecho a la información, sino que requiere rogación por parte de la persona interesada o de su defensa. El momento para solicitar el acceso a las actuaciones judiciales secretas puede efectuarse antes o al tiempo de decidir sobre la pertinencia de la medida cautelar de privación de libertad, o con posterioridad, bien a través del sistema de recursos contra al auto de prisión provisional o bien mediante solicitudes para su revisión. La garantía de acceso se limita a los elementos esenciales de las actuaciones para impugnar la legalidad de la privación de libertad; la concreción de estos elementos es necesariamente casuística y su especificación corresponde al órgano judicial competente que deba decidir sobre la prisión provisional.</w:t>
      </w:r>
    </w:p>
    <w:p w14:paraId="23632FEC" w14:textId="77777777" w:rsidR="008D479B" w:rsidRDefault="008D479B" w:rsidP="008D479B">
      <w:pPr>
        <w:pStyle w:val="TextoNormal"/>
      </w:pPr>
    </w:p>
    <w:p w14:paraId="42D816FF" w14:textId="77777777" w:rsidR="008D479B" w:rsidRDefault="008D479B" w:rsidP="008D479B">
      <w:pPr>
        <w:pStyle w:val="TextoNormal"/>
      </w:pPr>
      <w:r w:rsidRPr="008D479B">
        <w:rPr>
          <w:rStyle w:val="NumeroAFNegritaCaracter"/>
        </w:rPr>
        <w:t>3</w:t>
      </w:r>
      <w:r>
        <w:t xml:space="preserve">. </w:t>
      </w:r>
      <w:r w:rsidRPr="008D479B">
        <w:rPr>
          <w:i/>
        </w:rPr>
        <w:t>Resolución del recurso: estimación del motivo relativo a la denegación del derecho de acceso a las actuaciones judiciales declaradas secretas</w:t>
      </w:r>
    </w:p>
    <w:p w14:paraId="7F212DEB" w14:textId="77777777" w:rsidR="008D479B" w:rsidRDefault="008D479B" w:rsidP="008D479B">
      <w:pPr>
        <w:pStyle w:val="TextoNormal"/>
      </w:pPr>
    </w:p>
    <w:p w14:paraId="69142F5D" w14:textId="77777777" w:rsidR="008D479B" w:rsidRDefault="008D479B" w:rsidP="008D479B">
      <w:pPr>
        <w:pStyle w:val="TextoNormal"/>
      </w:pPr>
      <w:r>
        <w:t>a) En el presente caso resulta que el demandante, a través de su letrado, conforme al principio de rogación expresa, puso de manifiesto en la comparecencia para decidir sobre su situación personal la indefensión que le causaba la falta de acceso a las actuaciones judiciales declaradas secretas para poder enfrentarse a la prisión provisional solicitada por el Ministerio Fiscal. El juzgado de instrucción, advertido de tal situación, no posibilitó que el recurrente, con arreglo a lo dispuesto en el art. 505.3 párrafo segundo LECrim, ejerciera su derecho de acceso a los elementos esenciales de las actuaciones secretas que el juzgado tenía el deber de especificar para que la defensa pudiese cuestionar la petición de la fiscalía. Dictó así un auto de prisión provisional sin garantizar el derecho de acceso y lesionó de esa forma los derechos a la libertad personal y de defensa de señor Kovacevic.</w:t>
      </w:r>
    </w:p>
    <w:p w14:paraId="6907B7DA" w14:textId="77777777" w:rsidR="008D479B" w:rsidRDefault="008D479B" w:rsidP="008D479B">
      <w:pPr>
        <w:pStyle w:val="TextoNormal"/>
      </w:pPr>
    </w:p>
    <w:p w14:paraId="3ACD432C" w14:textId="77777777" w:rsidR="008D479B" w:rsidRDefault="008D479B" w:rsidP="008D479B">
      <w:pPr>
        <w:pStyle w:val="TextoNormal"/>
      </w:pPr>
      <w:r>
        <w:t>La lesión tampoco fue reparada por ninguno de los dos autos dictados por la Sección Primera de la Audiencia Provincial de Málaga, puesto que obviaron la cuestión con respuestas genéricas sobre la ausencia de indefensión material, la constitucionalidad del secreto sumarial o el alcance del principio de publicidad para las partes o en las distintas fases del proceso penal. Y eso que el recurrente incluyó en sus escritos la referencia expresa a la STC 83/2019 y a la regulación legal, de la que resulta con claridad que el secreto de las actuaciones no excluye el derecho de acceso a los elementos esenciales de la causa para impugnar en términos fácticos y jurídicos la legalidad de la privación cautelar de libertad.</w:t>
      </w:r>
    </w:p>
    <w:p w14:paraId="04643231" w14:textId="77777777" w:rsidR="008D479B" w:rsidRDefault="008D479B" w:rsidP="008D479B">
      <w:pPr>
        <w:pStyle w:val="TextoNormal"/>
      </w:pPr>
    </w:p>
    <w:p w14:paraId="34A65AA1" w14:textId="708D2F76" w:rsidR="008D479B" w:rsidRDefault="008D479B" w:rsidP="008D479B">
      <w:pPr>
        <w:pStyle w:val="TextoNormal"/>
      </w:pPr>
      <w:r>
        <w:t>b) En consecuencia, tal y como se resolvió en la STC 30/2023, FJ 5, debe estimarse el recurso [art. 53 a) LOTC] y reconocer —con efectos declarativos que se juzgan suficientes para reparar en esta sede el derecho fundamental lesionado, dado que el recurrente quedó en libertad bajo fianza durante la tramitación del recurso— que, mediante la denegación indebida del derecho de acceso del recurrente a los elementos esenciales de las actuaciones judiciales declaradas secretas para impugnar la privación de libertad, se ha vulnerado su derecho a la libertad personal y su derecho de defensa (arts. 17.1 y 24.2 CE), restableciéndolo en ellos mediante la anulación de las resoluciones impugnadas (art. 55.1 LOTC).</w:t>
      </w:r>
    </w:p>
    <w:p w14:paraId="2A5530FC" w14:textId="77777777" w:rsidR="008D479B" w:rsidRDefault="008D479B" w:rsidP="008D479B">
      <w:pPr>
        <w:pStyle w:val="TextoNormal"/>
      </w:pPr>
    </w:p>
    <w:p w14:paraId="5DE18BFD" w14:textId="77777777" w:rsidR="008D479B" w:rsidRDefault="008D479B" w:rsidP="008D479B">
      <w:pPr>
        <w:pStyle w:val="TextoNormalCentrado"/>
        <w:keepNext/>
      </w:pPr>
      <w:r>
        <w:t>FALLO</w:t>
      </w:r>
    </w:p>
    <w:p w14:paraId="6CFD903A" w14:textId="5692EED7" w:rsidR="008D479B" w:rsidRDefault="008D479B" w:rsidP="008D479B">
      <w:pPr>
        <w:pStyle w:val="TextoNormalCentrado"/>
        <w:keepNext/>
      </w:pPr>
    </w:p>
    <w:p w14:paraId="60F82ADF" w14:textId="77777777" w:rsidR="008D479B" w:rsidRDefault="008D479B" w:rsidP="008D479B">
      <w:pPr>
        <w:pStyle w:val="TextoNormal"/>
      </w:pPr>
      <w:r>
        <w:t>En atención a todo lo expuesto, el Tribunal Constitucional, por la autoridad que le confiere la Constitución de la Nación española, ha decidido estimar el recurso de amparo interpuesto por don Ivan Kovacevic y, en su virtud:</w:t>
      </w:r>
    </w:p>
    <w:p w14:paraId="08DDEBA6" w14:textId="77777777" w:rsidR="008D479B" w:rsidRDefault="008D479B" w:rsidP="008D479B">
      <w:pPr>
        <w:pStyle w:val="TextoNormal"/>
      </w:pPr>
    </w:p>
    <w:p w14:paraId="4FE01076" w14:textId="77777777" w:rsidR="008D479B" w:rsidRDefault="008D479B" w:rsidP="008D479B">
      <w:pPr>
        <w:pStyle w:val="TextoNormal"/>
      </w:pPr>
      <w:r>
        <w:t>1º Declarar y reconocer que ha sido vulnerado su derecho a la libertad personal y su derecho de defensa (arts. 17.1 y 24.2 CE).</w:t>
      </w:r>
    </w:p>
    <w:p w14:paraId="0F5FD29C" w14:textId="77777777" w:rsidR="008D479B" w:rsidRDefault="008D479B" w:rsidP="008D479B">
      <w:pPr>
        <w:pStyle w:val="TextoNormal"/>
      </w:pPr>
    </w:p>
    <w:p w14:paraId="10541759" w14:textId="7DF5D244" w:rsidR="008D479B" w:rsidRDefault="008D479B" w:rsidP="008D479B">
      <w:pPr>
        <w:pStyle w:val="TextoNormal"/>
      </w:pPr>
      <w:r>
        <w:t>2º Restablecerlo en sus derechos y, a tal fin, declarar la nulidad del auto del Juzgado de Primera Instancia e Instrucción núm. 2 de Coín de 12 de abril de 2021, que decretó la prisión provisional, comunicada y sin fianza, del recurrente, en las diligencias previas núm. 323-2021, y de los autos núm. 441/2021, de 10 de mayo y de 19 de julio de 2021 de la Sección Primera de la Audiencia Provincial de Málaga que, respectivamente, desestimaron el recurso e inadmitieron el incidente de nulidad de actuaciones en el recurso de apelación núm. 441-2021.</w:t>
      </w:r>
    </w:p>
    <w:p w14:paraId="727A7707" w14:textId="77777777" w:rsidR="008D479B" w:rsidRDefault="008D479B" w:rsidP="008D479B">
      <w:pPr>
        <w:pStyle w:val="TextoNormal"/>
      </w:pPr>
    </w:p>
    <w:p w14:paraId="55E777CA" w14:textId="77777777" w:rsidR="008D479B" w:rsidRDefault="008D479B" w:rsidP="008D479B">
      <w:pPr>
        <w:pStyle w:val="TextoNormal"/>
      </w:pPr>
      <w:r>
        <w:t>Publíquese esta sentencia en el “Boletín Oficial del Estado”.</w:t>
      </w:r>
    </w:p>
    <w:p w14:paraId="7EF3EE3F" w14:textId="77777777" w:rsidR="008D479B" w:rsidRDefault="008D479B" w:rsidP="008D479B">
      <w:pPr>
        <w:pStyle w:val="TextoNormal"/>
      </w:pPr>
      <w:r>
        <w:t>Dada en Madrid, a veinte de noviembre de dos mil veintitrés.</w:t>
      </w:r>
    </w:p>
    <w:p w14:paraId="1C89D712" w14:textId="6F0C7D6A" w:rsidR="008D479B" w:rsidRDefault="008D479B">
      <w:pPr>
        <w:spacing w:after="160" w:line="278" w:lineRule="auto"/>
        <w:rPr>
          <w:rFonts w:ascii="Times New Roman" w:eastAsia="Times New Roman" w:hAnsi="Times New Roman" w:cs="Times New Roman"/>
          <w:sz w:val="24"/>
          <w:szCs w:val="24"/>
          <w:lang w:eastAsia="es-ES"/>
        </w:rPr>
      </w:pPr>
      <w:r>
        <w:br w:type="page"/>
      </w:r>
    </w:p>
    <w:p w14:paraId="2E3996B0" w14:textId="77777777" w:rsidR="008D479B" w:rsidRDefault="008D479B" w:rsidP="008D479B">
      <w:pPr>
        <w:pStyle w:val="TtuloResolucin"/>
      </w:pPr>
      <w:bookmarkStart w:id="78" w:name="SENTENCIA_2023_153"/>
      <w:r>
        <w:t>SENTENCIA 153/2023, de 20 de noviembre de 2023</w:t>
      </w:r>
    </w:p>
    <w:bookmarkEnd w:id="78"/>
    <w:p w14:paraId="75A3183D" w14:textId="77777777" w:rsidR="008D479B" w:rsidRDefault="008D479B" w:rsidP="008D479B">
      <w:pPr>
        <w:pStyle w:val="TtuloResolucin"/>
      </w:pPr>
      <w:r>
        <w:t>Sala Segunda</w:t>
      </w:r>
    </w:p>
    <w:p w14:paraId="51450CE6" w14:textId="77777777" w:rsidR="008D479B" w:rsidRDefault="008D479B" w:rsidP="008D479B">
      <w:pPr>
        <w:pStyle w:val="TtuloBOE"/>
      </w:pPr>
      <w:r>
        <w:t>(BOE núm. 304, de 21 de diciembre de 2023)</w:t>
      </w:r>
    </w:p>
    <w:p w14:paraId="7A7000F3" w14:textId="77777777" w:rsidR="008D479B" w:rsidRDefault="008D479B" w:rsidP="008D479B">
      <w:pPr>
        <w:pStyle w:val="TextoNormalCentrado"/>
      </w:pPr>
      <w:r>
        <w:t>ECLI:ES:TC:2023:153</w:t>
      </w:r>
    </w:p>
    <w:p w14:paraId="40BD9256" w14:textId="43A3B553" w:rsidR="008D479B" w:rsidRDefault="008D479B" w:rsidP="008D479B">
      <w:pPr>
        <w:pStyle w:val="TextoNormalCentrado"/>
      </w:pPr>
    </w:p>
    <w:p w14:paraId="5ACBF4BD" w14:textId="77777777" w:rsidR="008D479B" w:rsidRDefault="008D479B" w:rsidP="008D479B">
      <w:pPr>
        <w:pStyle w:val="SntesisDescriptiva"/>
      </w:pPr>
      <w:r>
        <w:t>Recurso de amparo 55-2022. Promovido por don Damián Casado Piñero en relación con las resoluciones dictadas por la Audiencia Provincial de Alicante y un juzgado de lo penal de Benidorm en causa penal por violencia de género.</w:t>
      </w:r>
    </w:p>
    <w:p w14:paraId="60C8BE9E" w14:textId="1045A4B2" w:rsidR="008D479B" w:rsidRDefault="008D479B" w:rsidP="008D479B">
      <w:pPr>
        <w:pStyle w:val="SntesisDescriptiva"/>
      </w:pPr>
    </w:p>
    <w:p w14:paraId="219FE81D" w14:textId="77777777" w:rsidR="008D479B" w:rsidRDefault="008D479B" w:rsidP="008D479B">
      <w:pPr>
        <w:pStyle w:val="SntesisAnaltica"/>
      </w:pPr>
      <w:r>
        <w:t>Vulneración del derecho a la tutela judicial efectiva (acceso al recurso legal): inadmisión del incidente de nulidad de actuaciones fundada, inmotivadamente, en la procedencia del recurso de casación por infracción de ley.</w:t>
      </w:r>
    </w:p>
    <w:p w14:paraId="7B97D70A" w14:textId="0B21900D" w:rsidR="008D479B" w:rsidRDefault="008D479B" w:rsidP="008D479B">
      <w:pPr>
        <w:pStyle w:val="SntesisAnaltica"/>
      </w:pPr>
    </w:p>
    <w:p w14:paraId="39BCA9F7" w14:textId="15BD6631" w:rsidR="008D479B" w:rsidRDefault="008D479B" w:rsidP="008D479B">
      <w:pPr>
        <w:pStyle w:val="Extracto"/>
      </w:pPr>
      <w:r>
        <w:t>1.</w:t>
      </w:r>
      <w:r>
        <w:tab/>
        <w:t>La motivación que necesariamente ha de ofrecer el órgano judicial competente para inadmitir el incidente de nulidad, aunque sea sucinta, debe precisar el recurso extraordinario que a su parecer cabría interponer, teniendo para ello en cuenta las posibilidades reales de procedencia de tal recurso en el caso concreto, habida cuenta su regulación legal. El no hacerlo así conlleva la vulneración del derecho al recurso (SSTC 143/2020 y 104/2021) [FJ 3].</w:t>
      </w:r>
    </w:p>
    <w:p w14:paraId="6BE1E081" w14:textId="77777777" w:rsidR="008D479B" w:rsidRDefault="008D479B" w:rsidP="008D479B">
      <w:pPr>
        <w:pStyle w:val="Extracto"/>
      </w:pPr>
    </w:p>
    <w:p w14:paraId="578451C0" w14:textId="77777777" w:rsidR="008D479B" w:rsidRDefault="008D479B" w:rsidP="008D479B">
      <w:pPr>
        <w:pStyle w:val="Extracto"/>
      </w:pPr>
    </w:p>
    <w:p w14:paraId="3CA13653" w14:textId="77777777" w:rsidR="008D479B" w:rsidRDefault="008D479B" w:rsidP="008D479B">
      <w:pPr>
        <w:pStyle w:val="TextoNormal"/>
      </w:pPr>
      <w: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14:paraId="7C22734F" w14:textId="55B5DB0C" w:rsidR="008D479B" w:rsidRDefault="008D479B" w:rsidP="008D479B">
      <w:pPr>
        <w:pStyle w:val="TextoNormal"/>
      </w:pPr>
    </w:p>
    <w:p w14:paraId="1080EC8C" w14:textId="77777777" w:rsidR="008D479B" w:rsidRDefault="008D479B" w:rsidP="008D479B">
      <w:pPr>
        <w:pStyle w:val="TextoNormalCentrado"/>
        <w:keepNext/>
      </w:pPr>
      <w:r>
        <w:t>EN NOMBRE DEL REY</w:t>
      </w:r>
    </w:p>
    <w:p w14:paraId="67A4E0DE" w14:textId="3B5394D1" w:rsidR="008D479B" w:rsidRDefault="008D479B" w:rsidP="008D479B">
      <w:pPr>
        <w:pStyle w:val="TextoNormalCentrado"/>
        <w:keepNext/>
      </w:pPr>
    </w:p>
    <w:p w14:paraId="2D7CB878" w14:textId="77777777" w:rsidR="008D479B" w:rsidRDefault="008D479B" w:rsidP="008D479B">
      <w:pPr>
        <w:pStyle w:val="TextoNormalCentrado"/>
        <w:keepNext/>
      </w:pPr>
    </w:p>
    <w:p w14:paraId="18F85563" w14:textId="77777777" w:rsidR="008D479B" w:rsidRDefault="008D479B" w:rsidP="008D479B">
      <w:pPr>
        <w:pStyle w:val="TextoNormal"/>
      </w:pPr>
      <w:r>
        <w:t>la siguiente</w:t>
      </w:r>
    </w:p>
    <w:p w14:paraId="1F916BBF" w14:textId="28DF48CB" w:rsidR="008D479B" w:rsidRDefault="008D479B" w:rsidP="008D479B">
      <w:pPr>
        <w:pStyle w:val="TextoNormal"/>
      </w:pPr>
    </w:p>
    <w:p w14:paraId="20DF2A02" w14:textId="77777777" w:rsidR="008D479B" w:rsidRDefault="008D479B" w:rsidP="008D479B">
      <w:pPr>
        <w:pStyle w:val="TextoNormalCentrado"/>
        <w:keepNext/>
      </w:pPr>
      <w:r>
        <w:t>SENTENCIA</w:t>
      </w:r>
    </w:p>
    <w:p w14:paraId="280D63FA" w14:textId="24C12618" w:rsidR="008D479B" w:rsidRDefault="008D479B" w:rsidP="008D479B">
      <w:pPr>
        <w:pStyle w:val="TextoNormalCentrado"/>
        <w:keepNext/>
      </w:pPr>
    </w:p>
    <w:p w14:paraId="3ACB1C10" w14:textId="77777777" w:rsidR="008D479B" w:rsidRDefault="008D479B" w:rsidP="008D479B">
      <w:pPr>
        <w:pStyle w:val="TextoNormal"/>
      </w:pPr>
      <w:r>
        <w:t>En el recurso de amparo núm. 55-2022, promovido por don Damián Casado Piñero contra la providencia de 16 de noviembre de 2021, dictada por la Sección Primera de la Audiencia Provincial de Alicante en el recurso de apelación núm. 1294-2021. Ha intervenido el Ministerio Fiscal. Ha sido ponente el magistrado don Ramón Sáez Valcárcel.</w:t>
      </w:r>
    </w:p>
    <w:p w14:paraId="3FD45260" w14:textId="0CFF5777" w:rsidR="008D479B" w:rsidRDefault="008D479B" w:rsidP="008D479B">
      <w:pPr>
        <w:pStyle w:val="TextoNormal"/>
      </w:pPr>
    </w:p>
    <w:p w14:paraId="3571052B" w14:textId="77777777" w:rsidR="008D479B" w:rsidRDefault="008D479B" w:rsidP="008D479B">
      <w:pPr>
        <w:pStyle w:val="TextoNormalNegritaCentrado"/>
        <w:keepNext/>
      </w:pPr>
      <w:r>
        <w:t>I. Antecedentes</w:t>
      </w:r>
    </w:p>
    <w:p w14:paraId="009478D6" w14:textId="5AEC471D" w:rsidR="008D479B" w:rsidRDefault="008D479B" w:rsidP="008D479B">
      <w:pPr>
        <w:pStyle w:val="TextoNormalNegritaCentrado"/>
        <w:keepNext/>
      </w:pPr>
    </w:p>
    <w:p w14:paraId="3D78378C" w14:textId="5EFFA960" w:rsidR="008D479B" w:rsidRDefault="008D479B" w:rsidP="008D479B">
      <w:pPr>
        <w:pStyle w:val="TextoNormal"/>
      </w:pPr>
      <w:r w:rsidRPr="008D479B">
        <w:rPr>
          <w:rStyle w:val="NumeroAFNegritaCaracter"/>
        </w:rPr>
        <w:t>1</w:t>
      </w:r>
      <w:r>
        <w:t>. El 4 de enero de 2022 tuvo entrada en el registro de este tribunal escrito del abogado de oficio don Sebastián Parrilla Torrecillas, que asiste a don Damián Casado Piñero, interponiendo recurso de amparo contra la providencia de 16 de noviembre de 2021, dictada por la Sección Primera de la Audiencia Provincial de Alicante, que inadmitió el incidente de nulidad de actuaciones promovido por el recurrente contra su sentencia núm. 554/2021, de 28 de octubre, que desestimó el recurso de apelación núm. 1294-2021 contra la sentencia núm. 260/2021, de 9 de septiembre, dictada por el Juzgado de lo Penal núm. 3 de Benidorm (procedimiento abreviado núm. 510-2021). En el otrosí de la demanda se solicitó la designación de profesional de la procura de oficio. La demanda de amparo fue ratificada por el recurrente el 22 de enero de 2022 y por la procuradora de oficio designada doña María Dolores Pasalodos Frasnedo el 10 de febrero de 2022.</w:t>
      </w:r>
    </w:p>
    <w:p w14:paraId="6FCB74BD" w14:textId="77777777" w:rsidR="008D479B" w:rsidRDefault="008D479B" w:rsidP="008D479B">
      <w:pPr>
        <w:pStyle w:val="TextoNormal"/>
      </w:pPr>
    </w:p>
    <w:p w14:paraId="5A066249" w14:textId="77777777" w:rsidR="008D479B" w:rsidRDefault="008D479B" w:rsidP="008D479B">
      <w:pPr>
        <w:pStyle w:val="TextoNormal"/>
      </w:pPr>
      <w:r w:rsidRPr="008D479B">
        <w:rPr>
          <w:rStyle w:val="NumeroAFNegritaCaracter"/>
        </w:rPr>
        <w:t>2</w:t>
      </w:r>
      <w:r>
        <w:t>. Los antecedentes relevantes para resolver el recurso son los siguientes:</w:t>
      </w:r>
    </w:p>
    <w:p w14:paraId="01878786" w14:textId="77777777" w:rsidR="008D479B" w:rsidRDefault="008D479B" w:rsidP="008D479B">
      <w:pPr>
        <w:pStyle w:val="TextoNormal"/>
      </w:pPr>
    </w:p>
    <w:p w14:paraId="41B933C3" w14:textId="77777777" w:rsidR="008D479B" w:rsidRDefault="008D479B" w:rsidP="008D479B">
      <w:pPr>
        <w:pStyle w:val="TextoNormal"/>
      </w:pPr>
      <w:r>
        <w:t>a) El recurrente en amparo fue condenado en sentencia núm. 260/2021, de 9 de septiembre, del Juzgado de lo Penal núm. 3 de Benidorm, como autor de un delito de quebrantamiento de medida cautelar en el ámbito de la violencia de género [art. 468.2 del Código penal (CP)], con la concurrencia de la circunstancia agravante de reincidencia (art. 22.8 CP), a la pena de prisión de nueve meses y un día con la accesoria de inhabilitación especial para el derecho de sufragio pasivo durante el tiempo de la condena.</w:t>
      </w:r>
    </w:p>
    <w:p w14:paraId="18654E52" w14:textId="77777777" w:rsidR="008D479B" w:rsidRDefault="008D479B" w:rsidP="008D479B">
      <w:pPr>
        <w:pStyle w:val="TextoNormal"/>
      </w:pPr>
    </w:p>
    <w:p w14:paraId="01BD55E6" w14:textId="77777777" w:rsidR="008D479B" w:rsidRDefault="008D479B" w:rsidP="008D479B">
      <w:pPr>
        <w:pStyle w:val="TextoNormal"/>
      </w:pPr>
      <w:r>
        <w:t>b) Frente a la sentencia condenatoria, el señor Casado Piñero interpuso recurso de apelación en el que alegó: (i) vulneración del derecho a la tutela judicial efectiva y del derecho a utilizar los medios de prueba para su defensa por no haberse practicado la testifical previamente admitida de la persona que llamó por teléfono a la policía y que motivó la intervención policial en el lugar de los hechos; (ii) error en la apreciación de la prueba por distintos motivos: valoración errónea de las declaraciones de la víctima, del acusado y de los policías que dio lugar a tener por acreditado de forma indebida el dolo del delito de quebrantamiento; ausencia de credibilidad de la declaración de la testigo-víctima; ausencia de análisis de la credibilidad de la versión del acusado y de la hipótesis avalada por indicios de que el quebrantamiento fue provocado por un amigo de la supuesta víctima que fue quien llamó a la policía y a quien no se pudo localizar; y por incurrir en una motivación arbitraria e irracional; (iii) vulneración del derecho a la presunción de inocencia debido a los errores en la apreciación de las pruebas y a la exclusión de la razonabilidad de la versión del acusado de que el encuentro con la testigo no fue buscado, sino provocado por un amigo de ella.</w:t>
      </w:r>
    </w:p>
    <w:p w14:paraId="0D00F4D1" w14:textId="77777777" w:rsidR="008D479B" w:rsidRDefault="008D479B" w:rsidP="008D479B">
      <w:pPr>
        <w:pStyle w:val="TextoNormal"/>
      </w:pPr>
    </w:p>
    <w:p w14:paraId="7777E463" w14:textId="77777777" w:rsidR="008D479B" w:rsidRDefault="008D479B" w:rsidP="008D479B">
      <w:pPr>
        <w:pStyle w:val="TextoNormal"/>
      </w:pPr>
      <w:r>
        <w:t>En el recurso se solicitó la revocación de la sentencia impugnada y la absolución del recurrente, con celebración de vista en la que se reprodujesen las grabaciones de las declaraciones del acusado y de las testificales y se practicase la declaración testifical de la persona que efectuó la llamada.</w:t>
      </w:r>
    </w:p>
    <w:p w14:paraId="0321FD18" w14:textId="77777777" w:rsidR="008D479B" w:rsidRDefault="008D479B" w:rsidP="008D479B">
      <w:pPr>
        <w:pStyle w:val="TextoNormal"/>
      </w:pPr>
    </w:p>
    <w:p w14:paraId="651A916A" w14:textId="77777777" w:rsidR="008D479B" w:rsidRDefault="008D479B" w:rsidP="008D479B">
      <w:pPr>
        <w:pStyle w:val="TextoNormal"/>
      </w:pPr>
      <w:r>
        <w:t>La Sección Primera de la Audiencia Provincial de Alicante desestimó el recurso en su sentencia núm. 554/2021, de 28 de octubre. La sala razonó que la prueba testifical de la persona que realizó la llamada era innecesaria al estar enjuiciándose un delito de quebrantamiento en el que lo relevante no era el hecho de quién llamó a la policía, sino el hecho de que el acusado se encontrase con la denunciante en un parque discutiendo. Asimismo, confirmó la racionalidad de los argumentos de la sentencia apelada a la hora de valorar la prueba de cargo considerada suficiente para desvirtuar la presunción de inocencia y declarar probados los requisitos objetivos y subjetivos del delito de quebrantamiento. En el pie de la sentencia se informaba del régimen de recursos indicando que cabía interponer recurso de casación por infracción de ley del motivo previsto en el art. 849.1 de la Ley de enjuiciamiento criminal (LECrim).</w:t>
      </w:r>
    </w:p>
    <w:p w14:paraId="6883342C" w14:textId="77777777" w:rsidR="008D479B" w:rsidRDefault="008D479B" w:rsidP="008D479B">
      <w:pPr>
        <w:pStyle w:val="TextoNormal"/>
      </w:pPr>
    </w:p>
    <w:p w14:paraId="60B67694" w14:textId="77777777" w:rsidR="008D479B" w:rsidRDefault="008D479B" w:rsidP="008D479B">
      <w:pPr>
        <w:pStyle w:val="TextoNormal"/>
      </w:pPr>
      <w:r>
        <w:t>c) El señor Casado Piñero promovió incidente de nulidad de actuaciones al amparo del art. 241.1 de la Ley Orgánica del Poder Judicial (LOPJ) contra la sentencia desestimatoria de su recurso de apelación y solicitó su anulación por vulneración de sus derechos a la tutela judicial efectiva y a utilizar los medios de prueba pertinentes para su defensa; con retroacción de las actuaciones para celebrar vista y practicar la declaración testifical de la persona que efectuó la llamada al 091 con el fin de que se dictara sentencia que revocase la condena y le absolviera del delito de quebrantamiento de medida cautelar. En la exposición de los requisitos de admisibilidad del incidente se dejaba constancia de que el defecto causante de la indefensión no era susceptible de reparación por otro recurso o remedio procesal. Según el recurrente, el incidente de nulidad de actuaciones era la única vía disponible para restablecer los derechos fundamentales vulnerados por la sentencia de apelación y no el recurso de casación, a la vista del acuerdo del Pleno no jurisdiccional de la Sala Segunda del Tribunal Supremo de 9 de junio de 2016, que interpreta el régimen del recurso de casación tras su reforma por la Ley 41/2015, de 5 de octubre, de modificación de la Ley de enjuiciamiento criminal para la agilización de la justicia penal y el fortalecimiento de las garantías procesales.</w:t>
      </w:r>
    </w:p>
    <w:p w14:paraId="5B19BC85" w14:textId="77777777" w:rsidR="008D479B" w:rsidRDefault="008D479B" w:rsidP="008D479B">
      <w:pPr>
        <w:pStyle w:val="TextoNormal"/>
      </w:pPr>
    </w:p>
    <w:p w14:paraId="233A688C" w14:textId="642348DB" w:rsidR="008D479B" w:rsidRDefault="008D479B" w:rsidP="008D479B">
      <w:pPr>
        <w:pStyle w:val="TextoNormal"/>
      </w:pPr>
      <w:r>
        <w:t>La Sección Primera de la Audiencia Provincial de Alicante, mediante la providencia de 16 de noviembre de 2021 que se recurre en amparo, inadmitió el incidente de nulidad justificando su decisión en que “tanto el art. 241.1 LOPJ como el 228.1 LEC [Ley de enjuiciamiento civil] exigen que la resolución que se impugna mediante el incidente de nulidad no sea susceptible de recurso ordinario ni extraordinario, y la pretensión que se deduce de nulidad en el escrito presentado, es contra una sentencia que es susceptible de recurso de casación del articulo 849.1 LECrim, por lo que no procede su admisión a trámite”.</w:t>
      </w:r>
    </w:p>
    <w:p w14:paraId="2AADCB27" w14:textId="77777777" w:rsidR="008D479B" w:rsidRDefault="008D479B" w:rsidP="008D479B">
      <w:pPr>
        <w:pStyle w:val="TextoNormal"/>
      </w:pPr>
    </w:p>
    <w:p w14:paraId="07B80681" w14:textId="77777777" w:rsidR="008D479B" w:rsidRDefault="008D479B" w:rsidP="008D479B">
      <w:pPr>
        <w:pStyle w:val="TextoNormal"/>
      </w:pPr>
      <w:r w:rsidRPr="008D479B">
        <w:rPr>
          <w:rStyle w:val="NumeroAFNegritaCaracter"/>
        </w:rPr>
        <w:t>3</w:t>
      </w:r>
      <w:r>
        <w:t>. El recurrente denuncia en su demanda de amparo, tras exponer los antecedentes procesales y los requisitos del recurso, que se le vulneró su derecho a la tutela judicial efectiva (art. 24.1 CE), en su vertiente de derecho de acceso al recurso, a través de la providencia que inadmitió el incidente de nulidad de actuaciones con el argumento de que la sentencia de apelación era susceptible de recurso de casación. Para el demandante, tal recurso extraordinario resultaba inviable conforme a la regulación del recurso de casación penal contra las sentencias dictadas en apelación por las audiencias provinciales, ya que solo puede fundarse en infracción de precepto penal de carácter sustantivo u otra norma jurídica del mismo carácter que deba ser observada en la aplicación de la ley penal a los hechos declarados probados [arts. 847.1 b) y 849.1 LECrim y acuerdo del Pleno no jurisdiccional de la Sala Segunda del Tribunal Supremo de 9 de junio de 2016]. Los motivos de impugnación alegados en el escrito promoviendo el incidente de nulidad conducían a que “el único medio de impugnación hábil para la reparación de los derechos fundamentales vulnerados por la sentencia de apelación [fuese] el incidente de nulidad de actuaciones”. “[L]a interposición de un eventual recurso de casación era manifiestamente improcedente como medio para articular nuestros motivos de impugnación a fin de reparar la indefensión padecida o, en otros términos, la nulidad pretendida no podía lograrse en ningún caso a través del recurso de casación, por lo que no era exigible el planteamiento de dicho recurso por su inviabilidad pues nunca habría superado el filtro de la admisión”. En apoyo de su tesis cita, en particular, las SSTC 91/2015, de 11 de mayo; 142/2015, de 22 de junio; 143/2020, de 19 de octubre; 104/2021, de 10 de mayo, y el ATC 65/2018, de 18 de junio.</w:t>
      </w:r>
    </w:p>
    <w:p w14:paraId="1B6789D5" w14:textId="77777777" w:rsidR="008D479B" w:rsidRDefault="008D479B" w:rsidP="008D479B">
      <w:pPr>
        <w:pStyle w:val="TextoNormal"/>
      </w:pPr>
    </w:p>
    <w:p w14:paraId="7B9D4228" w14:textId="148FFD7F" w:rsidR="008D479B" w:rsidRDefault="008D479B" w:rsidP="008D479B">
      <w:pPr>
        <w:pStyle w:val="TextoNormal"/>
      </w:pPr>
      <w:r>
        <w:t>El demandante solicita que se estime su recurso, se reconozca que se le ha vulnerado su derecho a la tutela judicial efectiva (art. 24.1 CE), su restablecimiento y, a tal fin, que se anule la providencia impugnada con retroacción de las actuaciones al momento anterior a su dictado para dictar una nueva resolución judicial respetuosa con el derecho fundamental infringido. Mediante otrosí segundo de la demanda, el recurrente solicita la suspensión cautelar de la ejecución de la pena de prisión impuesta de nueve meses y un día.</w:t>
      </w:r>
    </w:p>
    <w:p w14:paraId="637FF2F8" w14:textId="77777777" w:rsidR="008D479B" w:rsidRDefault="008D479B" w:rsidP="008D479B">
      <w:pPr>
        <w:pStyle w:val="TextoNormal"/>
      </w:pPr>
    </w:p>
    <w:p w14:paraId="7DA29854" w14:textId="77777777" w:rsidR="008D479B" w:rsidRDefault="008D479B" w:rsidP="008D479B">
      <w:pPr>
        <w:pStyle w:val="TextoNormal"/>
      </w:pPr>
      <w:r w:rsidRPr="008D479B">
        <w:rPr>
          <w:rStyle w:val="NumeroAFNegritaCaracter"/>
        </w:rPr>
        <w:t>4</w:t>
      </w:r>
      <w:r>
        <w:t>. La Sección Cuarta de la Sala Segunda del Tribunal Constitucional, mediante providencia de 13 de junio de 2022, admitió a trámite la demanda al apreciar que concurre en el recurso una especial trascendencia constitucional [art. 50.1 de la Ley Orgánica del Tribunal Constitucional (LOTC)] porque el recurso plantea un problema o afecta a una faceta de un derecho fundamental sobre el que no hay doctrina de este tribunal [STC 155/2009, de  25 de junio, FJ 2 a)]. Acordó dirigirse a la Sección Primera de la Audiencia Provincial de Alicante para que remitiese, en plazo que no excediese de diez días, certificación o copia adverada de las actuaciones del recurso de apelación núm. 1294-2021, y también al Juzgado de lo Penal núm. 3 de Benidorm para que remitiese en la misma forma y plazo el procedimiento abreviado núm. 510-2021 y para que emplazase a quienes hubiesen sido parte en el procedimiento, excepto al recurrente en amparo, a fin de que pudieran comparecer en el recurso en el plazo de diez días. Y, asimismo, decidió formar pieza separada de suspensión de conformidad con la solicitud de la parte actora.</w:t>
      </w:r>
    </w:p>
    <w:p w14:paraId="53438113" w14:textId="77777777" w:rsidR="008D479B" w:rsidRDefault="008D479B" w:rsidP="008D479B">
      <w:pPr>
        <w:pStyle w:val="TextoNormal"/>
      </w:pPr>
    </w:p>
    <w:p w14:paraId="0F7352E4" w14:textId="4ECA84DF" w:rsidR="008D479B" w:rsidRDefault="008D479B" w:rsidP="008D479B">
      <w:pPr>
        <w:pStyle w:val="TextoNormal"/>
      </w:pPr>
      <w:r>
        <w:t>Mediante nueva providencia de 13 de junio de 2022, dictada en la pieza separada de suspensión, se concedió un plazo común de tres días al recurrente y al Ministerio Fiscal para alegar lo que estimasen pertinente sobre la suspensión solicitada. El recurrente y la fiscal ante el Tribunal Constitucional, mediante sendos escritos presentados, respectivamente, el 20 y el 27 de junio de 2022, solicitaron el archivo de la pieza separada por pérdida sobrevenida de su objeto al haber cumplido el recurrente la pena de prisión de nueve meses y un día. La Sala Segunda del Tribunal Constitucional, mediante ATC 110/2022, de 11 de julio, atendiendo a las alegaciones de las partes que ponían de manifiesto el agotamiento de la finalidad de la tutela cautelar, acordó archivar la pieza separada de suspensión por pérdida sobrevenida de objeto.</w:t>
      </w:r>
    </w:p>
    <w:p w14:paraId="3907CCA6" w14:textId="77777777" w:rsidR="008D479B" w:rsidRDefault="008D479B" w:rsidP="008D479B">
      <w:pPr>
        <w:pStyle w:val="TextoNormal"/>
      </w:pPr>
    </w:p>
    <w:p w14:paraId="4BB416EB" w14:textId="525F8F76" w:rsidR="008D479B" w:rsidRDefault="008D479B" w:rsidP="008D479B">
      <w:pPr>
        <w:pStyle w:val="TextoNormal"/>
      </w:pPr>
      <w:r w:rsidRPr="008D479B">
        <w:rPr>
          <w:rStyle w:val="NumeroAFNegritaCaracter"/>
        </w:rPr>
        <w:t>5</w:t>
      </w:r>
      <w:r>
        <w:t>. El secretario de justicia de la Sección Cuarta de la Sala Segunda de este tribunal, recibidas las actuaciones de la Sección Primera de la Audiencia Provincial de Alicante el 30 de junio de 2022 y del Juzgado de lo Penal núm. 3 de Benidorm el 9 de diciembre de 2022, mediante diligencia de ordenación de 12 de diciembre de 2022, conforme a lo dispuesto en el art. 52.1 LOTC, acordó dar vista de aquellas por un plazo común de veinte días al Ministerio Fiscal y a las partes personadas para presentar alegaciones, formulándolas el recurrente y la fiscal ante el Tribunal Constitucional.</w:t>
      </w:r>
    </w:p>
    <w:p w14:paraId="68C757E3" w14:textId="77777777" w:rsidR="008D479B" w:rsidRDefault="008D479B" w:rsidP="008D479B">
      <w:pPr>
        <w:pStyle w:val="TextoNormal"/>
      </w:pPr>
    </w:p>
    <w:p w14:paraId="4DFBBB84" w14:textId="4D55A6D2" w:rsidR="008D479B" w:rsidRDefault="008D479B" w:rsidP="008D479B">
      <w:pPr>
        <w:pStyle w:val="TextoNormal"/>
      </w:pPr>
      <w:r w:rsidRPr="008D479B">
        <w:rPr>
          <w:rStyle w:val="NumeroAFNegritaCaracter"/>
        </w:rPr>
        <w:t>6</w:t>
      </w:r>
      <w:r>
        <w:t>. El recurrente, mediante escrito presentado el 19 de diciembre de 2022, se ratificó íntegramente en el contenido de su demanda de amparo.</w:t>
      </w:r>
    </w:p>
    <w:p w14:paraId="5D3BB71D" w14:textId="77777777" w:rsidR="008D479B" w:rsidRDefault="008D479B" w:rsidP="008D479B">
      <w:pPr>
        <w:pStyle w:val="TextoNormal"/>
      </w:pPr>
    </w:p>
    <w:p w14:paraId="71446391" w14:textId="77777777" w:rsidR="008D479B" w:rsidRDefault="008D479B" w:rsidP="008D479B">
      <w:pPr>
        <w:pStyle w:val="TextoNormal"/>
      </w:pPr>
      <w:r w:rsidRPr="008D479B">
        <w:rPr>
          <w:rStyle w:val="NumeroAFNegritaCaracter"/>
        </w:rPr>
        <w:t>7</w:t>
      </w:r>
      <w:r>
        <w:t>. La fiscal ante el Tribunal Constitucional, en su escrito presentado el 8 de febrero de 2023, expone los antecedentes procesales, el contenido y las pretensiones de la demanda, la doctrina sobre el derecho de acceso al recurso, su aplicación a los casos de inadmisión del incidente de nulidad de actuaciones (STC 151/2022, de 30 de noviembre), la relación entre el incidente de nulidad de actuaciones y el agotamiento de los recursos ordinarios y extraordinarios procedentes contra la resolución y, específicamente, el recurso de casación (SSTC 143/2020, de 19 de octubre; 63/2021, de 15 de marzo, y 104/2021, de 10 de mayo, y ATC 65/2018, de 18 de junio), la configuración del recurso de casación penal tras la reforma de la Ley 41/2015 y la unificación de criterios sobre el ámbito de la casación penal en el acuerdo del Pleno no jurisdiccional de la Sala Segunda del Tribunal Supremo de 9 de junio de 2016 y el ATC 40/2018, de 13 de abril, que los convalidó.</w:t>
      </w:r>
    </w:p>
    <w:p w14:paraId="6326050A" w14:textId="77777777" w:rsidR="008D479B" w:rsidRDefault="008D479B" w:rsidP="008D479B">
      <w:pPr>
        <w:pStyle w:val="TextoNormal"/>
      </w:pPr>
    </w:p>
    <w:p w14:paraId="659A0A87" w14:textId="77777777" w:rsidR="008D479B" w:rsidRDefault="008D479B" w:rsidP="008D479B">
      <w:pPr>
        <w:pStyle w:val="TextoNormal"/>
      </w:pPr>
      <w:r>
        <w:t>La fiscal constata que las alegaciones del recurrente en su recurso de apelación y en su escrito promoviendo el incidente de nulidad de actuaciones se basan en motivos excluidos del recurso de casación con la citada unificación de criterios de la Sala Segunda del Tribunal Supremo, debido a que se invoca infracción de preceptos constitucionales y no se parte del respeto de los hechos probados. Asimismo, señala que el recurrente, en su escrito promoviendo el incidente de nulidad, hizo constar expresamente a la Sección Primera de la Audiencia Provincial de Alicante que el recurso de casación por infracción de ley del que se informaba como remedio procesal resultaba inviable con arreglo al citado régimen casacional. Sin embargo, la Audiencia Provincial, en su providencia de inadmisión, no entró “a efectuar ninguna consideración sobre las razones alegadas por el recurrente acerca de la inviabilidad del recurso de casación en el caso concreto, atendiendo a los motivos que se [pretendían] hacer valer, y se [limitaba] a indicar la posibilidad de recurrir en casación, reproduciendo el pie de recurso que se contenía en la sentencia”. “[L]a providencia recurrida, por la que se inadmite el incidente extraordinario de nulidad de actuaciones, incurre en la infracción de la necesidad de efectuar una motivación expresa sobre el recurso extraordinario que cabe interponer ‘teniendo en cuenta para ello las posibilidades reales de procedencia de tal recurso en el caso concreto habida cuenta su regulación legal’, en los términos expresados en la STC 143/2020, FJ 3. Cabe apreciar, en consecuencia, la vulneración del derecho a la tutela judicial efectiva del art. 24.1 CE, en su aspecto de acceso al recurso, y que dicho defecto es susceptible de revisión por parte del Tribunal Constitucional en relación con esta vertiente del derecho fundamental, dentro de sus facultades de control de constitucionalidad, de carácter externo”.</w:t>
      </w:r>
    </w:p>
    <w:p w14:paraId="590259C8" w14:textId="77777777" w:rsidR="008D479B" w:rsidRDefault="008D479B" w:rsidP="008D479B">
      <w:pPr>
        <w:pStyle w:val="TextoNormal"/>
      </w:pPr>
    </w:p>
    <w:p w14:paraId="540887EA" w14:textId="3682BD8B" w:rsidR="008D479B" w:rsidRDefault="008D479B" w:rsidP="008D479B">
      <w:pPr>
        <w:pStyle w:val="TextoNormal"/>
      </w:pPr>
      <w:r>
        <w:t>La fiscal finaliza su escrito con la solicitud de que se estime el recurso, se reconozca la vulneración del derecho del recurrente a la tutela judicial efectiva (art. 24.1 CE) y de que se le restablezca en él mediante la anulación de la providencia de 16 de noviembre de 2021 de la Sección Primera de la Audiencia Provincial de Alicante con retroacción de las actuaciones al momento inmediatamente anterior al dictado de la providencia al objeto de que se dicte nueva resolución que resulte respetuosa con el derecho fundamental que se considera vulnerado.</w:t>
      </w:r>
    </w:p>
    <w:p w14:paraId="49BE4268" w14:textId="77777777" w:rsidR="008D479B" w:rsidRDefault="008D479B" w:rsidP="008D479B">
      <w:pPr>
        <w:pStyle w:val="TextoNormal"/>
      </w:pPr>
    </w:p>
    <w:p w14:paraId="4A115349" w14:textId="15B4E825" w:rsidR="008D479B" w:rsidRDefault="008D479B" w:rsidP="008D479B">
      <w:pPr>
        <w:pStyle w:val="TextoNormal"/>
      </w:pPr>
      <w:r w:rsidRPr="008D479B">
        <w:rPr>
          <w:rStyle w:val="NumeroAFNegritaCaracter"/>
        </w:rPr>
        <w:t>8</w:t>
      </w:r>
      <w:r>
        <w:t>. Por providencia de 16 de noviembre de 2023 se señaló para la deliberación y votación del presente recurso el día 20 del mismo mes y año.</w:t>
      </w:r>
    </w:p>
    <w:p w14:paraId="5AE6198E" w14:textId="77777777" w:rsidR="008D479B" w:rsidRDefault="008D479B" w:rsidP="008D479B">
      <w:pPr>
        <w:pStyle w:val="TextoNormal"/>
      </w:pPr>
    </w:p>
    <w:p w14:paraId="606D074E" w14:textId="77777777" w:rsidR="008D479B" w:rsidRDefault="008D479B" w:rsidP="008D479B">
      <w:pPr>
        <w:pStyle w:val="TextoNormalNegritaCentrado"/>
        <w:keepNext/>
      </w:pPr>
      <w:r>
        <w:t>II. Fundamentos jurídicos</w:t>
      </w:r>
    </w:p>
    <w:p w14:paraId="7061E46B" w14:textId="7684D1AE" w:rsidR="008D479B" w:rsidRDefault="008D479B" w:rsidP="008D479B">
      <w:pPr>
        <w:pStyle w:val="TextoNormalNegritaCentrado"/>
        <w:keepNext/>
      </w:pPr>
    </w:p>
    <w:p w14:paraId="59BB83B6" w14:textId="77777777" w:rsidR="008D479B" w:rsidRDefault="008D479B" w:rsidP="008D479B">
      <w:pPr>
        <w:pStyle w:val="TextoNormal"/>
      </w:pPr>
      <w:r w:rsidRPr="008D479B">
        <w:rPr>
          <w:rStyle w:val="NumeroAFNegritaCaracter"/>
        </w:rPr>
        <w:t>1</w:t>
      </w:r>
      <w:r>
        <w:t xml:space="preserve">. </w:t>
      </w:r>
      <w:r w:rsidRPr="008D479B">
        <w:rPr>
          <w:i/>
        </w:rPr>
        <w:t>Objeto del recurso de amparo y posiciones de las partes</w:t>
      </w:r>
    </w:p>
    <w:p w14:paraId="12437928" w14:textId="77777777" w:rsidR="008D479B" w:rsidRDefault="008D479B" w:rsidP="008D479B">
      <w:pPr>
        <w:pStyle w:val="TextoNormal"/>
      </w:pPr>
    </w:p>
    <w:p w14:paraId="1FDB40E4" w14:textId="77777777" w:rsidR="008D479B" w:rsidRDefault="008D479B" w:rsidP="008D479B">
      <w:pPr>
        <w:pStyle w:val="TextoNormal"/>
      </w:pPr>
      <w:r>
        <w:t>El presente recurso de amparo tiene por objeto determinar si la providencia de 16 de noviembre de 2021 de la Sección Primera de la Audiencia Provincial de Alicante, que inadmitió el incidente de nulidad de actuaciones frente a su sentencia núm. 554/2021, de 28 de octubre, que desestimó el recurso de apelación contra la sentencia núm. 260/2021, de 9 de septiembre, del Juzgado de lo Penal núm. 3 de Benidorm, con el argumento de que la sentencia de apelación era susceptible de recurso de casación, vulneró el derecho del recurrente a la tutela judicial efectiva (art. 24.1 CE).</w:t>
      </w:r>
    </w:p>
    <w:p w14:paraId="139A8F70" w14:textId="77777777" w:rsidR="008D479B" w:rsidRDefault="008D479B" w:rsidP="008D479B">
      <w:pPr>
        <w:pStyle w:val="TextoNormal"/>
      </w:pPr>
    </w:p>
    <w:p w14:paraId="2CE81332" w14:textId="77777777" w:rsidR="008D479B" w:rsidRDefault="008D479B" w:rsidP="008D479B">
      <w:pPr>
        <w:pStyle w:val="TextoNormal"/>
      </w:pPr>
      <w:r>
        <w:t>El recurrente sostiene que la providencia impugnada lesionó su derecho a la tutela judicial efectiva (art. 24.1 CE), en su vertiente de derecho de acceso al recurso como consecuencia de la inadmisión del incidente de nulidad con una argumentación que no tuvo en cuenta la inviabilidad, que alegó expresamente, del recurso de casación al que fue remitido. Según el recurrente, atendiendo a los motivos de impugnación invocados en el incidente de nulidad en relación con la configuración legal y jurisprudencial de la casación penal tras la reforma efectuada por la Ley 41/2015, “en nuestro caso, el recurso de casación era completamente ineficaz para plantear nuestras causas de nulidad […], de forma que si esta parte hubiera interpuesto recurso de casación con fundamento en tales motivos de impugnación el recurso no [habría tenido] posibilidades de prosperar y habría sido inadmitido con total seguridad por el Tribunal Supremo, lo cual era bien sabido por la audiencia provincial pues conocía el contenido del incidente de nulidad”.</w:t>
      </w:r>
    </w:p>
    <w:p w14:paraId="39A83317" w14:textId="77777777" w:rsidR="008D479B" w:rsidRDefault="008D479B" w:rsidP="008D479B">
      <w:pPr>
        <w:pStyle w:val="TextoNormal"/>
      </w:pPr>
    </w:p>
    <w:p w14:paraId="4BD60163" w14:textId="1DE9AAE2" w:rsidR="008D479B" w:rsidRDefault="008D479B" w:rsidP="008D479B">
      <w:pPr>
        <w:pStyle w:val="TextoNormal"/>
      </w:pPr>
      <w:r>
        <w:t>En sentido similar, la fiscal ante el Tribunal Constitucional estima vulnerado el derecho del recurrente a la tutela judicial efectiva (art. 24.1 CE), en su aspecto de derecho de acceso al recurso, toda vez que la providencia impugnada infringió su deber de motivar por qué resultaba admisible el recurso de casación para hacer valer los motivos de impugnación alegados, cuando la propia parte demandante había razonado en el escrito que promovió el incidente que este era la única vía para restablecer los derechos fundamentales que consideraba vulnerados, a la vista de la regulación de la casación.</w:t>
      </w:r>
    </w:p>
    <w:p w14:paraId="3CA8629D" w14:textId="77777777" w:rsidR="008D479B" w:rsidRDefault="008D479B" w:rsidP="008D479B">
      <w:pPr>
        <w:pStyle w:val="TextoNormal"/>
      </w:pPr>
    </w:p>
    <w:p w14:paraId="2F916A1B" w14:textId="77777777" w:rsidR="008D479B" w:rsidRDefault="008D479B" w:rsidP="008D479B">
      <w:pPr>
        <w:pStyle w:val="TextoNormal"/>
      </w:pPr>
      <w:r w:rsidRPr="008D479B">
        <w:rPr>
          <w:rStyle w:val="NumeroAFNegritaCaracter"/>
        </w:rPr>
        <w:t>2</w:t>
      </w:r>
      <w:r>
        <w:t xml:space="preserve">. </w:t>
      </w:r>
      <w:r w:rsidRPr="008D479B">
        <w:rPr>
          <w:i/>
        </w:rPr>
        <w:t>Especial trascendencia constitucional del recurso</w:t>
      </w:r>
    </w:p>
    <w:p w14:paraId="3B0BB01E" w14:textId="77777777" w:rsidR="008D479B" w:rsidRDefault="008D479B" w:rsidP="008D479B">
      <w:pPr>
        <w:pStyle w:val="TextoNormal"/>
      </w:pPr>
    </w:p>
    <w:p w14:paraId="1A47C3F0" w14:textId="77777777" w:rsidR="008D479B" w:rsidRDefault="008D479B" w:rsidP="008D479B">
      <w:pPr>
        <w:pStyle w:val="TextoNormal"/>
      </w:pPr>
      <w:r>
        <w:t xml:space="preserve">La especial trascendencia constitucional de este recurso no ha sido cuestionada. No obstante, conforme a la STEDH de 20 de enero de 2015, asunto </w:t>
      </w:r>
      <w:r w:rsidRPr="008D479B">
        <w:rPr>
          <w:i/>
        </w:rPr>
        <w:t>Arribas Antón</w:t>
      </w:r>
      <w:r>
        <w:t xml:space="preserve"> </w:t>
      </w:r>
      <w:r w:rsidRPr="008D479B">
        <w:rPr>
          <w:i/>
        </w:rPr>
        <w:t>c. España</w:t>
      </w:r>
      <w:r>
        <w:t>, § 46, exigencias de certeza y buena administración de justicia obligan a explicitar los criterios que sustentaron la admisión del recurso, cuya especial trascendencia constitucional fue apreciada por plantear un problema o afectar a una faceta de un derecho fundamental sobre el que no hay doctrina constitucional [STC 155/2009, FJ 2 a)].</w:t>
      </w:r>
    </w:p>
    <w:p w14:paraId="53D17537" w14:textId="77777777" w:rsidR="008D479B" w:rsidRDefault="008D479B" w:rsidP="008D479B">
      <w:pPr>
        <w:pStyle w:val="TextoNormal"/>
      </w:pPr>
    </w:p>
    <w:p w14:paraId="6D8A45A8" w14:textId="2381C3E7" w:rsidR="008D479B" w:rsidRDefault="008D479B" w:rsidP="008D479B">
      <w:pPr>
        <w:pStyle w:val="TextoNormal"/>
      </w:pPr>
      <w:r>
        <w:t>La causa de especial trascendencia de este recurso radica en la proyección para el orden jurisdiccional penal —tras la reforma del régimen del recurso de casación efectuada por la Ley 41/2015, de 5 de octubre, de modificación de la Ley de enjuiciamiento criminal para la agilización de la justicia penal y el fortalecimiento de las garantías procesales— de la doctrina establecida en las SSTC 143/2020, de 19 de octubre, y 104/2021, de 10 de mayo, en contextos normativos similares, respecto de los recursos de casación civil y extraordinario por infracción procesal y el recurso de casación social para unificación de doctrina, respectivamente. En concreto, la doctrina original establece un criterio para verificar la compatibilidad con la Constitución de la decisión de inadmisión de un incidente de nulidad de actuaciones que pretendía reparar la vulneración de derechos fundamentales, incidente que el órgano judicial rechaza al considerar que la resolución era susceptible de un recurso devolutivo de carácter extraordinario (recurso de casación penal). Se trata de determinar si tal decisión es respetuosa con el derecho de acceso al recurso y con la función esencial del incidente de nulidad de actuaciones como medio “de reparación de la lesión de los derechos fundamentales y salvaguarda de la subsidiariedad de esta jurisdicción constitucional de amparo” [STC 104/2021, FJ 2 b)].</w:t>
      </w:r>
    </w:p>
    <w:p w14:paraId="2E8CE0F3" w14:textId="77777777" w:rsidR="008D479B" w:rsidRDefault="008D479B" w:rsidP="008D479B">
      <w:pPr>
        <w:pStyle w:val="TextoNormal"/>
      </w:pPr>
    </w:p>
    <w:p w14:paraId="6961EEBF" w14:textId="77777777" w:rsidR="008D479B" w:rsidRDefault="008D479B" w:rsidP="008D479B">
      <w:pPr>
        <w:pStyle w:val="TextoNormal"/>
      </w:pPr>
      <w:r w:rsidRPr="008D479B">
        <w:rPr>
          <w:rStyle w:val="NumeroAFNegritaCaracter"/>
        </w:rPr>
        <w:t>3</w:t>
      </w:r>
      <w:r>
        <w:t xml:space="preserve">. </w:t>
      </w:r>
      <w:r w:rsidRPr="008D479B">
        <w:rPr>
          <w:i/>
        </w:rPr>
        <w:t>Doctrina constitucional sobre la inadmisión del incidente de nulidad de actuaciones fundada en la procedencia de un recurso devolutivo de carácter extraordinario</w:t>
      </w:r>
    </w:p>
    <w:p w14:paraId="41D54648" w14:textId="77777777" w:rsidR="008D479B" w:rsidRDefault="008D479B" w:rsidP="008D479B">
      <w:pPr>
        <w:pStyle w:val="TextoNormal"/>
      </w:pPr>
    </w:p>
    <w:p w14:paraId="0F5BD4F8" w14:textId="77777777" w:rsidR="008D479B" w:rsidRDefault="008D479B" w:rsidP="008D479B">
      <w:pPr>
        <w:pStyle w:val="TextoNormal"/>
      </w:pPr>
      <w:r>
        <w:t>Las decisiones judiciales sobre la inadmisión de un incidente de nulidad de actuaciones deben enjuiciarse, como es doctrina constitucional reiterada, desde el canon propio del derecho a la tutela judicial efectiva (art. 24.1 CE), en su vertiente de derecho de acceso a los recursos legalmente establecidos. La razón de aplicar este canon a un instrumento procesal que no es un recurso en sentido estricto, al tener por objeto la revisión de resoluciones judiciales firmes, reside en que satisface la función revisora de todo recurso en el ámbito de aplicación que le otorga el art. 241.1 LOPJ, como esencial remedio procesal de tutela de los derechos fundamentales por la jurisdicción ordinaria, a partir del protagonismo que le atribuyó la Ley Orgánica 6/2007, de 24 de mayo, para potenciar la subsidiariedad del recurso de amparo.</w:t>
      </w:r>
    </w:p>
    <w:p w14:paraId="68F657DB" w14:textId="77777777" w:rsidR="008D479B" w:rsidRDefault="008D479B" w:rsidP="008D479B">
      <w:pPr>
        <w:pStyle w:val="TextoNormal"/>
      </w:pPr>
    </w:p>
    <w:p w14:paraId="499AD704" w14:textId="77777777" w:rsidR="008D479B" w:rsidRDefault="008D479B" w:rsidP="008D479B">
      <w:pPr>
        <w:pStyle w:val="TextoNormal"/>
      </w:pPr>
      <w:r>
        <w:t>El derecho de acceso al recurso, a diferencia del derecho de acceso a la jurisdicción que nace directamente del art. 24.1 CE, se incorpora al derecho a la tutela judicial efectiva en la forma en que cada una de las leyes de enjuiciamiento configura el sistema de recursos en los diferentes órdenes jurisdiccionales, salvo en el orden penal respecto de las sentencias condenatorias frente a las que existe un derecho a la revisión de la condena y la pena por un tribunal superior, derecho que se incorpora a las garantías constitucionales del proceso justo. Dada su configuración legal, el control constitucional del derecho de acceso al recurso es más limitado que el control de acceso a la jurisdicción y no alcanza a revisar los pronunciamientos referidos a la inadmisión de recursos al ser esta una cuestión de legalidad ordinaria, salvo en aquellos supuestos en que la interpretación o aplicación de los requisitos procesales conlleve una inadmisión que resulte arbitraria, manifiestamente irrazonable o incurra en un error de hecho patente con relevancia constitucional. En consecuencia, “el control por la jurisdicción constitucional de las decisiones judiciales de inadmisión de este incidente es meramente externo: viene limitado a comprobar si tienen motivación, y si esta se apoya en un error fáctico patente, en un razonamiento arbitrario o que incurra en manifiesta irrazonabilidad lógica, evitando toda ponderación acerca de su corrección jurídica” [STC 151/2022, de 30 de noviembre, FJ 4 c), que resume la doctrina expuesta].</w:t>
      </w:r>
    </w:p>
    <w:p w14:paraId="7368D8C2" w14:textId="77777777" w:rsidR="008D479B" w:rsidRDefault="008D479B" w:rsidP="008D479B">
      <w:pPr>
        <w:pStyle w:val="TextoNormal"/>
      </w:pPr>
    </w:p>
    <w:p w14:paraId="7587588E" w14:textId="6716BF88" w:rsidR="008D479B" w:rsidRDefault="008D479B" w:rsidP="008D479B">
      <w:pPr>
        <w:pStyle w:val="TextoNormal"/>
      </w:pPr>
      <w:r>
        <w:t>Como criterio de control específico de las decisiones de inadmisión del incidente de nulidad de actuaciones fundadas en que la resolución previa es susceptible de un recurso devolutivo de carácter extraordinario, la doctrina constitucional ha establecido que “la motivación que necesariamente ha de ofrecer el órgano judicial competente para inadmitir el incidente de nulidad, aunque sea sucinta, debe precisar el recurso extraordinario que a su parecer cabría interponer, teniendo para ello en cuenta las posibilidades reales de procedencia de tal recurso en el caso concreto, habida cuenta su regulación legal. El no hacerlo así conlleva la vulneración del derecho al recurso de la parte demandante de amparo” [SSTC 143/2020, FJ 4 b) (ii), y 104/2021, FJ 3 a)].</w:t>
      </w:r>
    </w:p>
    <w:p w14:paraId="264A54B3" w14:textId="77777777" w:rsidR="008D479B" w:rsidRDefault="008D479B" w:rsidP="008D479B">
      <w:pPr>
        <w:pStyle w:val="TextoNormal"/>
      </w:pPr>
    </w:p>
    <w:p w14:paraId="5957D717" w14:textId="77777777" w:rsidR="008D479B" w:rsidRDefault="008D479B" w:rsidP="008D479B">
      <w:pPr>
        <w:pStyle w:val="TextoNormal"/>
      </w:pPr>
      <w:r w:rsidRPr="008D479B">
        <w:rPr>
          <w:rStyle w:val="NumeroAFNegritaCaracter"/>
        </w:rPr>
        <w:t>4</w:t>
      </w:r>
      <w:r>
        <w:t xml:space="preserve">. </w:t>
      </w:r>
      <w:r w:rsidRPr="008D479B">
        <w:rPr>
          <w:i/>
        </w:rPr>
        <w:t>Aplicación de la doctrina al caso y estimación del recurso</w:t>
      </w:r>
    </w:p>
    <w:p w14:paraId="43232489" w14:textId="77777777" w:rsidR="008D479B" w:rsidRDefault="008D479B" w:rsidP="008D479B">
      <w:pPr>
        <w:pStyle w:val="TextoNormal"/>
      </w:pPr>
    </w:p>
    <w:p w14:paraId="43DB4938" w14:textId="77777777" w:rsidR="008D479B" w:rsidRDefault="008D479B" w:rsidP="008D479B">
      <w:pPr>
        <w:pStyle w:val="TextoNormal"/>
      </w:pPr>
      <w:r>
        <w:t>Como se ha reflejado en los antecedentes de esta sentencia, el recurrente en amparo promovió un incidente de nulidad de actuaciones frente a la sentencia que desestimó su recurso de apelación y solicitó su anulación por vulneración de sus derechos a la tutela judicial efectiva y a utilizar los medios de prueba pertinentes para su defensa. En su escrito del incidente expuso que se trataba de la única vía que podía utilizar para restablecer los derechos fundamentales vulnerados por la sentencia de apelación con carácter previo a la interposición de un recurso de amparo porque, a su juicio, tales vulneraciones no eran susceptibles de reparación a través de otro recurso o remedio procesal y, menos aún, a través del recurso de casación por infracción de ley, de los arts. 847.1 b) y 849.1 LECrim —remedio del que le informaba el pie de la sentencia de segunda instancia—, teniendo en cuenta la interpretación del régimen de la casación penal, tras su reforma por la Ley 41/2015, efectuada por el acuerdo del Pleno no jurisdiccional de la Sala Segunda del Tribunal Supremo de 9 de junio de 2016.</w:t>
      </w:r>
    </w:p>
    <w:p w14:paraId="3E413A87" w14:textId="77777777" w:rsidR="008D479B" w:rsidRDefault="008D479B" w:rsidP="008D479B">
      <w:pPr>
        <w:pStyle w:val="TextoNormal"/>
      </w:pPr>
    </w:p>
    <w:p w14:paraId="5329A5F4" w14:textId="77777777" w:rsidR="008D479B" w:rsidRDefault="008D479B" w:rsidP="008D479B">
      <w:pPr>
        <w:pStyle w:val="TextoNormal"/>
      </w:pPr>
      <w:r>
        <w:t>El art. 847.1 b) LECrim, en la redacción vigente efectuada por la Ley 41/2015, establece que procede recurso de casación: “b) Por infracción de ley del motivo previsto en el número 1 del artículo 849 contra las sentencias dictadas en apelación por las audiencias provinciales y la Sala de lo Penal de la Audiencia Nacional”. De conformidad con el art. 849.1 LECrim, “[s]e entenderá que ha sido infringida la ley para el efecto de que pueda interponerse el recurso de casación: 1. Cuando, dados los hechos que se declaren probados en las resoluciones comprendidas en los dos artículos anteriores, se hubiere infringido un precepto penal de carácter sustantivo u otra norma jurídica del mismo carácter que deba ser observada en la aplicación de la ley penal”.</w:t>
      </w:r>
    </w:p>
    <w:p w14:paraId="7963378E" w14:textId="77777777" w:rsidR="008D479B" w:rsidRDefault="008D479B" w:rsidP="008D479B">
      <w:pPr>
        <w:pStyle w:val="TextoNormal"/>
      </w:pPr>
    </w:p>
    <w:p w14:paraId="004074AE" w14:textId="77777777" w:rsidR="008D479B" w:rsidRDefault="008D479B" w:rsidP="008D479B">
      <w:pPr>
        <w:pStyle w:val="TextoNormal"/>
      </w:pPr>
      <w:r>
        <w:t>En el citado acuerdo de 9 de junio de 2016, sobre unificación de criterios sobre el alcance de la reforma de la Ley de enjuiciamiento criminal de 2015, en el ámbito del recurso de casación, el Pleno no jurisdiccional de la Sala Segunda del Tribunal Supremo, dispuso en su apartado primero, titulado “Interpretación del art. 847.1, letra b) de la Ley de enjuiciamiento criminal”, que: “A) El art. 847.1 letra b) de la LECrim debe ser interpretado en sus propios términos. Las sentencias dictadas en apelación por las audiencias provinciales y la Sala de lo Penal de la Audiencia Nacional solo podrán ser recurridas en casación por el motivo de infracción de ley previsto en el número primero del art. 849 de la LECrim, debiendo ser inadmitidos los recursos de casación que se formulen por los arts. 849.2, 850, 851 y 852. B) Los recursos articulados por el art. 849.1 deberán fundarse necesariamente en la infracción de un precepto penal de carácter sustantivo u otra norma jurídica del mismo carácter (sustantivo) que deba ser observada en la aplicación de la ley penal (normas determinantes de subsunción), debiendo ser inadmitidos los recursos de casación que aleguen infracciones procesales o constitucionales. Sin perjuicio de ello, podrán invocarse normas constitucionales para reforzar la alegación de infracción de una norma penal sustantiva. C) Los recursos deberán respetar los hechos probados, debiendo ser inadmitidos los que no los respeten, o efectúen alegaciones en notoria contradicción con ellos pretendiendo reproducir el debate probatorio (art. 884 LECrim). D) Los recursos deben tener interés casacional. Deberán ser inadmitidos los que carezcan de dicho interés (art. 889.2), entendiéndose que el recurso tiene interés casacional, conforme a la exposición de motivos: a) si la sentencia recurrida se opone abiertamente a la doctrina jurisprudencial emanada del Tribunal Supremo, b) si resuelve cuestiones sobre las que exista jurisprudencia contradictoria de las audiencias provinciales, c) si aplica normas que no lleven más de cinco años en vigor, siempre que, en este último caso, no existiese una doctrina jurisprudencial del Tribunal Supremo ya consolidada relativa a normas anteriores de igual o similar contenido. E) La providencia de inadmisión es irrecurrible (art. 892 LECrim)”.</w:t>
      </w:r>
    </w:p>
    <w:p w14:paraId="0AE955C2" w14:textId="77777777" w:rsidR="008D479B" w:rsidRDefault="008D479B" w:rsidP="008D479B">
      <w:pPr>
        <w:pStyle w:val="TextoNormal"/>
      </w:pPr>
    </w:p>
    <w:p w14:paraId="44A60212" w14:textId="77777777" w:rsidR="008D479B" w:rsidRDefault="008D479B" w:rsidP="008D479B">
      <w:pPr>
        <w:pStyle w:val="TextoNormal"/>
      </w:pPr>
      <w:r>
        <w:t>De la simple lectura de las letras A) y B) del apartado primero del acuerdo resulta con claridad que deberán ser inadmitidos los recursos de casación interpuestos contra las sentencias dictadas en apelación por las audiencias provinciales cuando se funden “en la infracción de precepto constitucional” (art. 852 LECrim). El recurrente estimó que la sentencia desestimatoria de su recurso de apelación había vulnerado sus derechos a la tutela judicial efectiva y a la utilización de los medios de prueba pertinentes para su defensa, por lo que atendiendo a la referida configuración legal y jurisprudencial del régimen de la casación penal, consideró lógicamente inviable la interposición de un recurso de casación fundado en tales vulneraciones porque habría estado abocado a su inadmisión, de ahí que acudiese al incidente de nulidad de actuaciones para repararlas, tratando así de agotar los medios de impugnación previstos en la vía judicial previa al recurso de amparo [art. 44.1 a) LOTC].</w:t>
      </w:r>
    </w:p>
    <w:p w14:paraId="33D917B6" w14:textId="77777777" w:rsidR="008D479B" w:rsidRDefault="008D479B" w:rsidP="008D479B">
      <w:pPr>
        <w:pStyle w:val="TextoNormal"/>
      </w:pPr>
    </w:p>
    <w:p w14:paraId="0744B924" w14:textId="77777777" w:rsidR="008D479B" w:rsidRDefault="008D479B" w:rsidP="008D479B">
      <w:pPr>
        <w:pStyle w:val="TextoNormal"/>
      </w:pPr>
      <w:r>
        <w:t>La Sección Primera de la Audiencia Provincial de Alicante, a través de la providencia de 16 de noviembre de 2021, decidió que no procedía la admisión del incidente porque se deducía “contra una sentencia que es susceptible de recurso de casación del articulo 849.1 LECrim”. A pesar de que el recurrente le esgrimió los motivos por los que consideraba inviable el recurso de casación por infracción de ley del art. 847.1 b) LECrim, la audiencia provincial los dejó sin respuesta y no observó el canon de motivación exigible para rechazar la admisión del incidente de nulidad. No precisó, siquiera de forma sucinta, por qué resultaba procedente, teniendo en cuenta sus posibilidades reales, el recurso de casación por infracción de ley del art. 847.1 b) LECrim en relación con el art. 849.1 LECrim que a su parecer cabía interponer, en contra del razonable criterio del recurrente a la vista de la configuración del régimen casacional.</w:t>
      </w:r>
    </w:p>
    <w:p w14:paraId="172B6524" w14:textId="77777777" w:rsidR="008D479B" w:rsidRDefault="008D479B" w:rsidP="008D479B">
      <w:pPr>
        <w:pStyle w:val="TextoNormal"/>
      </w:pPr>
    </w:p>
    <w:p w14:paraId="78010C02" w14:textId="537BEDE7" w:rsidR="008D479B" w:rsidRDefault="008D479B" w:rsidP="008D479B">
      <w:pPr>
        <w:pStyle w:val="TextoNormal"/>
      </w:pPr>
      <w:r>
        <w:t>Esta falta de motivación de la providencia de 16 de noviembre de 2021 vulneró el derecho del recurrente a la tutela judicial efectiva (art. 24.1 CE), en su vertiente de derecho de acceso al recurso, por lo que el recurso debe estimarse y otorgarse el amparo solicitado [arts. 53 a) y 54 LOTC]. Para restablecer al recurrente en su derecho debe anularse la citada providencia y retrotraer el procedimiento al momento inmediatamente anterior a su dictado para que el órgano judicial dicte una nueva resolución que resulte respetuosa con el derecho fundamental vulnerado (art. 55.1 LOTC).</w:t>
      </w:r>
    </w:p>
    <w:p w14:paraId="66C23857" w14:textId="77777777" w:rsidR="008D479B" w:rsidRDefault="008D479B" w:rsidP="008D479B">
      <w:pPr>
        <w:pStyle w:val="TextoNormal"/>
      </w:pPr>
    </w:p>
    <w:p w14:paraId="52A8A17D" w14:textId="77777777" w:rsidR="008D479B" w:rsidRDefault="008D479B" w:rsidP="008D479B">
      <w:pPr>
        <w:pStyle w:val="TextoNormalCentrado"/>
        <w:keepNext/>
      </w:pPr>
      <w:r>
        <w:t>FALLO</w:t>
      </w:r>
    </w:p>
    <w:p w14:paraId="2A2EFAFC" w14:textId="675F6B6A" w:rsidR="008D479B" w:rsidRDefault="008D479B" w:rsidP="008D479B">
      <w:pPr>
        <w:pStyle w:val="TextoNormalCentrado"/>
        <w:keepNext/>
      </w:pPr>
    </w:p>
    <w:p w14:paraId="4A67F079" w14:textId="77777777" w:rsidR="008D479B" w:rsidRDefault="008D479B" w:rsidP="008D479B">
      <w:pPr>
        <w:pStyle w:val="TextoNormal"/>
      </w:pPr>
      <w:r>
        <w:t>En atención a todo lo expuesto, el Tribunal Constitucional, por la autoridad que le confiere la Constitución de la Nación española, ha decidido estimar el recurso de amparo interpuesto por don Damián Casado Piñero y, en su virtud:</w:t>
      </w:r>
    </w:p>
    <w:p w14:paraId="48DFB735" w14:textId="77777777" w:rsidR="008D479B" w:rsidRDefault="008D479B" w:rsidP="008D479B">
      <w:pPr>
        <w:pStyle w:val="TextoNormal"/>
      </w:pPr>
    </w:p>
    <w:p w14:paraId="5AB1E9A0" w14:textId="77777777" w:rsidR="008D479B" w:rsidRDefault="008D479B" w:rsidP="008D479B">
      <w:pPr>
        <w:pStyle w:val="TextoNormal"/>
      </w:pPr>
      <w:r>
        <w:t>1º Reconocer que ha sido vulnerado su derecho a la tutela judicial efectiva (art. 24.1 CE), en su vertiente de derecho de acceso al recurso.</w:t>
      </w:r>
    </w:p>
    <w:p w14:paraId="57065178" w14:textId="77777777" w:rsidR="008D479B" w:rsidRDefault="008D479B" w:rsidP="008D479B">
      <w:pPr>
        <w:pStyle w:val="TextoNormal"/>
      </w:pPr>
    </w:p>
    <w:p w14:paraId="2D20FCD6" w14:textId="77777777" w:rsidR="008D479B" w:rsidRDefault="008D479B" w:rsidP="008D479B">
      <w:pPr>
        <w:pStyle w:val="TextoNormal"/>
      </w:pPr>
      <w:r>
        <w:t>2º Restablecerlo en su derecho y, a tal fin, declarar la nulidad de la providencia de 16 de noviembre de 2021, dictada por la Sección Primera de la Audiencia Provincial de Alicante (recurso de apelación núm. 1294-2021).</w:t>
      </w:r>
    </w:p>
    <w:p w14:paraId="703D3856" w14:textId="77777777" w:rsidR="008D479B" w:rsidRDefault="008D479B" w:rsidP="008D479B">
      <w:pPr>
        <w:pStyle w:val="TextoNormal"/>
      </w:pPr>
    </w:p>
    <w:p w14:paraId="01A0ED9F" w14:textId="62F9F4AE" w:rsidR="008D479B" w:rsidRDefault="008D479B" w:rsidP="008D479B">
      <w:pPr>
        <w:pStyle w:val="TextoNormal"/>
      </w:pPr>
      <w:r>
        <w:t>3º Retrotraer el procedimiento al momento inmediatamente anterior al dictado de dicha providencia para que el órgano judicial dicte una nueva resolución que resulte respetuosa con el derecho fundamental vulnerado.</w:t>
      </w:r>
    </w:p>
    <w:p w14:paraId="0DC7CEBD" w14:textId="77777777" w:rsidR="008D479B" w:rsidRDefault="008D479B" w:rsidP="008D479B">
      <w:pPr>
        <w:pStyle w:val="TextoNormal"/>
      </w:pPr>
    </w:p>
    <w:p w14:paraId="5207D4F7" w14:textId="77777777" w:rsidR="008D479B" w:rsidRDefault="008D479B" w:rsidP="008D479B">
      <w:pPr>
        <w:pStyle w:val="TextoNormal"/>
      </w:pPr>
      <w:r>
        <w:t>Publíquese esta sentencia en el “Boletín Oficial del Estado”.</w:t>
      </w:r>
    </w:p>
    <w:p w14:paraId="40441DDD" w14:textId="77777777" w:rsidR="008D479B" w:rsidRDefault="008D479B" w:rsidP="008D479B">
      <w:pPr>
        <w:pStyle w:val="TextoNormal"/>
      </w:pPr>
      <w:r>
        <w:t>Dada en Madrid, a veinte de noviembre de dos mil veintitrés.</w:t>
      </w:r>
    </w:p>
    <w:p w14:paraId="3069EF6F" w14:textId="6B134DD0" w:rsidR="008D479B" w:rsidRDefault="008D479B">
      <w:pPr>
        <w:spacing w:after="160" w:line="278" w:lineRule="auto"/>
        <w:rPr>
          <w:rFonts w:ascii="Times New Roman" w:eastAsia="Times New Roman" w:hAnsi="Times New Roman" w:cs="Times New Roman"/>
          <w:sz w:val="24"/>
          <w:szCs w:val="24"/>
          <w:lang w:eastAsia="es-ES"/>
        </w:rPr>
      </w:pPr>
      <w:r>
        <w:br w:type="page"/>
      </w:r>
    </w:p>
    <w:p w14:paraId="7FA6F3C4" w14:textId="77777777" w:rsidR="008D479B" w:rsidRDefault="008D479B" w:rsidP="008D479B">
      <w:pPr>
        <w:pStyle w:val="TtuloResolucin"/>
      </w:pPr>
      <w:bookmarkStart w:id="79" w:name="SENTENCIA_2023_154"/>
      <w:r>
        <w:t>SENTENCIA 154/2023, de 20 de noviembre de 2023</w:t>
      </w:r>
    </w:p>
    <w:bookmarkEnd w:id="79"/>
    <w:p w14:paraId="0E1FE321" w14:textId="77777777" w:rsidR="008D479B" w:rsidRDefault="008D479B" w:rsidP="008D479B">
      <w:pPr>
        <w:pStyle w:val="TtuloResolucin"/>
      </w:pPr>
      <w:r>
        <w:t>Sala Primera</w:t>
      </w:r>
    </w:p>
    <w:p w14:paraId="6DEA2ABC" w14:textId="77777777" w:rsidR="008D479B" w:rsidRDefault="008D479B" w:rsidP="008D479B">
      <w:pPr>
        <w:pStyle w:val="TtuloBOE"/>
      </w:pPr>
      <w:r>
        <w:t>(BOE núm. 304, de 21 de diciembre de 2023)</w:t>
      </w:r>
    </w:p>
    <w:p w14:paraId="4ABCFE82" w14:textId="77777777" w:rsidR="008D479B" w:rsidRDefault="008D479B" w:rsidP="008D479B">
      <w:pPr>
        <w:pStyle w:val="TextoNormalCentrado"/>
      </w:pPr>
      <w:r>
        <w:t>ECLI:ES:TC:2023:154</w:t>
      </w:r>
    </w:p>
    <w:p w14:paraId="151328F2" w14:textId="1B168A1B" w:rsidR="008D479B" w:rsidRDefault="008D479B" w:rsidP="008D479B">
      <w:pPr>
        <w:pStyle w:val="TextoNormalCentrado"/>
      </w:pPr>
    </w:p>
    <w:p w14:paraId="0469C845" w14:textId="77777777" w:rsidR="008D479B" w:rsidRDefault="008D479B" w:rsidP="008D479B">
      <w:pPr>
        <w:pStyle w:val="SntesisDescriptiva"/>
      </w:pPr>
      <w:r>
        <w:t>Recurso de amparo 3900-2022. Promovido por don R.A.R., respecto de los autos dictados por la Audiencia Provincial de Cantabria y un juzgado de primera instancia de Santander que acordaron la administración de la vacuna frente a la covid-19.</w:t>
      </w:r>
    </w:p>
    <w:p w14:paraId="61D4B45A" w14:textId="3817CEEA" w:rsidR="008D479B" w:rsidRDefault="008D479B" w:rsidP="008D479B">
      <w:pPr>
        <w:pStyle w:val="SntesisDescriptiva"/>
      </w:pPr>
    </w:p>
    <w:p w14:paraId="3CA03C78" w14:textId="77777777" w:rsidR="008D479B" w:rsidRDefault="008D479B" w:rsidP="008D479B">
      <w:pPr>
        <w:pStyle w:val="SntesisAnaltica"/>
      </w:pPr>
      <w:r>
        <w:t>Supuesta vulneración del derecho a la integridad física: STC 148/2023 [resoluciones judiciales que realizaron una ponderación adecuada de los intereses de una persona menor de edad (STC 38/2023)].</w:t>
      </w:r>
    </w:p>
    <w:p w14:paraId="37155864" w14:textId="48ECB9C9" w:rsidR="008D479B" w:rsidRDefault="008D479B" w:rsidP="008D479B">
      <w:pPr>
        <w:pStyle w:val="SntesisAnaltica"/>
      </w:pPr>
    </w:p>
    <w:p w14:paraId="67915042" w14:textId="20D4A0DA" w:rsidR="008D479B" w:rsidRDefault="008D479B" w:rsidP="008D479B">
      <w:pPr>
        <w:pStyle w:val="Extracto"/>
      </w:pPr>
      <w:r>
        <w:t>1.</w:t>
      </w:r>
      <w:r>
        <w:tab/>
        <w:t>La capacidad general de autodeterminación de las personas menores de edad, en relación con las actuaciones médicas que les afectan, encuentra su límite en la protección de su interés superior, que se impone como obligación a los progenitores, en cuanto titulares de la patria potestad o autoridad familiar, y a todos los poderes públicos, incluida la autoridad judicial (STC 148/2023) [FJ 3].</w:t>
      </w:r>
    </w:p>
    <w:p w14:paraId="59B8465C" w14:textId="77777777" w:rsidR="008D479B" w:rsidRDefault="008D479B" w:rsidP="008D479B">
      <w:pPr>
        <w:pStyle w:val="Extracto"/>
      </w:pPr>
    </w:p>
    <w:p w14:paraId="209ABA45" w14:textId="3544439D" w:rsidR="008D479B" w:rsidRDefault="008D479B" w:rsidP="008D479B">
      <w:pPr>
        <w:pStyle w:val="Extracto"/>
      </w:pPr>
      <w:r>
        <w:t>2.</w:t>
      </w:r>
      <w:r>
        <w:tab/>
        <w:t>La decisión de los representantes legales relativa al otorgamiento o no del consentimiento informado por representación deberá atender a la protección del derecho a la vida, supervivencia y desarrollo del menor y la satisfacción de sus necesidades básicas, tanto materiales, físicas y educativas como emocionales y afectivas [art. 2.2, letra a) de la Ley Orgánica 1/1996]; y es preciso buscar el mayor beneficio para la vida o salud del paciente menor de edad, teniendo en cuenta las circunstancias concurrentes y sus necesidades, que deben ser atendidas (STC 148/2023) [FJ 3].</w:t>
      </w:r>
    </w:p>
    <w:p w14:paraId="11676D0D" w14:textId="77777777" w:rsidR="008D479B" w:rsidRDefault="008D479B" w:rsidP="008D479B">
      <w:pPr>
        <w:pStyle w:val="Extracto"/>
      </w:pPr>
    </w:p>
    <w:p w14:paraId="774D7B74" w14:textId="77777777" w:rsidR="008D479B" w:rsidRDefault="008D479B" w:rsidP="008D479B">
      <w:pPr>
        <w:pStyle w:val="Extracto"/>
      </w:pPr>
    </w:p>
    <w:p w14:paraId="122001D9" w14:textId="77777777" w:rsidR="008D479B" w:rsidRDefault="008D479B" w:rsidP="008D479B">
      <w:pPr>
        <w:pStyle w:val="TextoNormal"/>
      </w:pPr>
      <w:r>
        <w:t>La Sala Primera del Tribunal Constitucional, compuesta por el magistrado don Cándido Conde-Pumpido Tourón, presidente, y los magistrados y magistradas don Ricardo Enríquez Sancho, doña Concepción Espejel Jorquera, doña María Luisa Segoviano Astaburuaga y don Juan Carlos Campo Moreno, ha pronunciado</w:t>
      </w:r>
    </w:p>
    <w:p w14:paraId="18325E4F" w14:textId="6C765176" w:rsidR="008D479B" w:rsidRDefault="008D479B" w:rsidP="008D479B">
      <w:pPr>
        <w:pStyle w:val="TextoNormal"/>
      </w:pPr>
    </w:p>
    <w:p w14:paraId="7725F2D9" w14:textId="77777777" w:rsidR="008D479B" w:rsidRDefault="008D479B" w:rsidP="008D479B">
      <w:pPr>
        <w:pStyle w:val="TextoNormalCentrado"/>
        <w:keepNext/>
      </w:pPr>
      <w:r>
        <w:t>EN NOMBRE DEL REY</w:t>
      </w:r>
    </w:p>
    <w:p w14:paraId="067C5474" w14:textId="6AC087C8" w:rsidR="008D479B" w:rsidRDefault="008D479B" w:rsidP="008D479B">
      <w:pPr>
        <w:pStyle w:val="TextoNormalCentrado"/>
        <w:keepNext/>
      </w:pPr>
    </w:p>
    <w:p w14:paraId="583B1B80" w14:textId="77777777" w:rsidR="008D479B" w:rsidRDefault="008D479B" w:rsidP="008D479B">
      <w:pPr>
        <w:pStyle w:val="TextoNormalCentrado"/>
        <w:keepNext/>
      </w:pPr>
    </w:p>
    <w:p w14:paraId="4FB21E08" w14:textId="77777777" w:rsidR="008D479B" w:rsidRDefault="008D479B" w:rsidP="008D479B">
      <w:pPr>
        <w:pStyle w:val="TextoNormal"/>
      </w:pPr>
      <w:r>
        <w:t>la siguiente</w:t>
      </w:r>
    </w:p>
    <w:p w14:paraId="66357CE8" w14:textId="2D05B9B5" w:rsidR="008D479B" w:rsidRDefault="008D479B" w:rsidP="008D479B">
      <w:pPr>
        <w:pStyle w:val="TextoNormal"/>
      </w:pPr>
    </w:p>
    <w:p w14:paraId="3C699CD8" w14:textId="77777777" w:rsidR="008D479B" w:rsidRDefault="008D479B" w:rsidP="008D479B">
      <w:pPr>
        <w:pStyle w:val="TextoNormalCentrado"/>
        <w:keepNext/>
      </w:pPr>
      <w:r>
        <w:t>SENTENCIA</w:t>
      </w:r>
    </w:p>
    <w:p w14:paraId="07B19452" w14:textId="4293D545" w:rsidR="008D479B" w:rsidRDefault="008D479B" w:rsidP="008D479B">
      <w:pPr>
        <w:pStyle w:val="TextoNormalCentrado"/>
        <w:keepNext/>
      </w:pPr>
    </w:p>
    <w:p w14:paraId="01E100FD" w14:textId="77777777" w:rsidR="008D479B" w:rsidRDefault="008D479B" w:rsidP="008D479B">
      <w:pPr>
        <w:pStyle w:val="TextoNormal"/>
      </w:pPr>
      <w:r>
        <w:t>En el recurso de amparo núm. 3900-2022, interpuesto por la procuradora de los tribunales doña Almudena Gil Segura, en nombre y representación de don R.A.R., bajo la dirección técnica del letrado don Carlos Modino Hok, contra el auto núm. 9/2022, de 24 de enero dictado por el Juzgado de Primera Instancia núm. 9 de Santander en el procedimiento de intervención judicial por desacuerdo en el ejercicio de la patria potestad 385-2021 y contra el auto núm. 55/2022, de 11 de abril dictado por la Sección Segunda de la Audiencia Provincial de Cantabria, en el rollo de apelación núm. 207-2022, confirmatorio del anterior. Ha intervenido el Ministerio Fiscal. Ha sido ponente el presidente del Tribunal Constitucional, don Cándido Conde-Pumpido Tourón.</w:t>
      </w:r>
    </w:p>
    <w:p w14:paraId="24F39921" w14:textId="579B74E9" w:rsidR="008D479B" w:rsidRDefault="008D479B" w:rsidP="008D479B">
      <w:pPr>
        <w:pStyle w:val="TextoNormal"/>
      </w:pPr>
    </w:p>
    <w:p w14:paraId="5C201D1C" w14:textId="77777777" w:rsidR="008D479B" w:rsidRDefault="008D479B" w:rsidP="008D479B">
      <w:pPr>
        <w:pStyle w:val="TextoNormalNegritaCentrado"/>
        <w:keepNext/>
      </w:pPr>
      <w:r>
        <w:t>I. Antecedentes</w:t>
      </w:r>
    </w:p>
    <w:p w14:paraId="0EE191E5" w14:textId="7EA6B2A3" w:rsidR="008D479B" w:rsidRDefault="008D479B" w:rsidP="008D479B">
      <w:pPr>
        <w:pStyle w:val="TextoNormalNegritaCentrado"/>
        <w:keepNext/>
      </w:pPr>
    </w:p>
    <w:p w14:paraId="65DFBA4C" w14:textId="7F229056" w:rsidR="008D479B" w:rsidRDefault="008D479B" w:rsidP="008D479B">
      <w:pPr>
        <w:pStyle w:val="TextoNormal"/>
      </w:pPr>
      <w:r w:rsidRPr="008D479B">
        <w:rPr>
          <w:rStyle w:val="NumeroAFNegritaCaracter"/>
        </w:rPr>
        <w:t>1</w:t>
      </w:r>
      <w:r>
        <w:t>. Don R.A.R., representado por la procuradora de los tribunales doña Almudena Gil Segura, ha interpuesto recurso de amparo contra las resoluciones indicadas en el encabezamiento de esta sentencia mediante escrito presentado en el registro de este tribunal con fecha 1 de junio de 2022.</w:t>
      </w:r>
    </w:p>
    <w:p w14:paraId="11D2AC5A" w14:textId="77777777" w:rsidR="008D479B" w:rsidRDefault="008D479B" w:rsidP="008D479B">
      <w:pPr>
        <w:pStyle w:val="TextoNormal"/>
      </w:pPr>
    </w:p>
    <w:p w14:paraId="4FBC1DCE" w14:textId="77777777" w:rsidR="008D479B" w:rsidRDefault="008D479B" w:rsidP="008D479B">
      <w:pPr>
        <w:pStyle w:val="TextoNormal"/>
      </w:pPr>
      <w:r w:rsidRPr="008D479B">
        <w:rPr>
          <w:rStyle w:val="NumeroAFNegritaCaracter"/>
        </w:rPr>
        <w:t>2</w:t>
      </w:r>
      <w:r>
        <w:t>. Los hechos de los que trae causa la presente demanda de amparo son, en síntesis, los siguientes:</w:t>
      </w:r>
    </w:p>
    <w:p w14:paraId="17D30BBF" w14:textId="77777777" w:rsidR="008D479B" w:rsidRDefault="008D479B" w:rsidP="008D479B">
      <w:pPr>
        <w:pStyle w:val="TextoNormal"/>
      </w:pPr>
    </w:p>
    <w:p w14:paraId="45B5B0C0" w14:textId="77777777" w:rsidR="008D479B" w:rsidRDefault="008D479B" w:rsidP="008D479B">
      <w:pPr>
        <w:pStyle w:val="TextoNormal"/>
      </w:pPr>
      <w:r>
        <w:t>a) Doña R.F.P. presentó escrito solicitando la intervención judicial por desacuerdo de los progenitores en el ejercicio de la patria potestad al amparo del art. 86.1 de la Ley de jurisdicción voluntaria (en adelante, Ley 15/2015) y el art. 156 párrafo tercero del Código civil (CC), en relación, entre otros aspectos, con la negativa del padre, don R.A.R., para la inoculación de la vacuna contra la covid-19 al hijo común de ambos litigantes, de siete años de edad.</w:t>
      </w:r>
    </w:p>
    <w:p w14:paraId="56425C37" w14:textId="77777777" w:rsidR="008D479B" w:rsidRDefault="008D479B" w:rsidP="008D479B">
      <w:pPr>
        <w:pStyle w:val="TextoNormal"/>
      </w:pPr>
    </w:p>
    <w:p w14:paraId="6695DC8A" w14:textId="77777777" w:rsidR="008D479B" w:rsidRDefault="008D479B" w:rsidP="008D479B">
      <w:pPr>
        <w:pStyle w:val="TextoNormal"/>
      </w:pPr>
      <w:r>
        <w:t>b) Mediante decreto de 2 de julio de 2021, el Juzgado de Primera Instancia núm. 9 de Santander admitió la solicitud presentada y convocó a las partes a una comparecencia señalada para el día 20 de enero de 2022.</w:t>
      </w:r>
    </w:p>
    <w:p w14:paraId="4911A8FC" w14:textId="77777777" w:rsidR="008D479B" w:rsidRDefault="008D479B" w:rsidP="008D479B">
      <w:pPr>
        <w:pStyle w:val="TextoNormal"/>
      </w:pPr>
    </w:p>
    <w:p w14:paraId="4253F853" w14:textId="77777777" w:rsidR="008D479B" w:rsidRDefault="008D479B" w:rsidP="008D479B">
      <w:pPr>
        <w:pStyle w:val="TextoNormal"/>
      </w:pPr>
      <w:r>
        <w:t>c) Celebrada la comparecencia, el juzgado dictó auto el 24 de enero de 2022 por el que atribuía a la progenitora la facultad de decidir sobre la administración de la vacuna. Basaba su decisión en que: (i) no se había aportado un informe de su pediatra que desaconsejase la vacunación; (ii) la recomendación de la Asociación Española de Pediatría favorable a la vacunación de los niños de entre cinco y once años; (iii) el hecho de que la vacuna ha sido aprobada por la Agencia Europea del Medicamento y la Agencia Española de Medicamentos y Productos Sanitarios, lo que permite suponer su calidad, seguridad y eficacia; (iv) el interés superior del menor y su derecho a la salud; y (v) que la vacuna facilita la vida social del mismo, su integración comunitaria y el libre desarrollo de su personalidad.</w:t>
      </w:r>
    </w:p>
    <w:p w14:paraId="4BC2DB87" w14:textId="77777777" w:rsidR="008D479B" w:rsidRDefault="008D479B" w:rsidP="008D479B">
      <w:pPr>
        <w:pStyle w:val="TextoNormal"/>
      </w:pPr>
    </w:p>
    <w:p w14:paraId="26C5BFA9" w14:textId="77777777" w:rsidR="008D479B" w:rsidRDefault="008D479B" w:rsidP="008D479B">
      <w:pPr>
        <w:pStyle w:val="TextoNormal"/>
      </w:pPr>
      <w:r>
        <w:t>d) Don R.A.R. interpuso recurso de apelación por vulneración del art. 24.1 CE y del art. 218 de la Ley de enjuiciamiento civil (LEC) por error en la valoración de la prueba, al no haberse ponderado las consecuencias nocivas de la vacuna y por no haberse valorado los dieciséis documentos aportados en el acto de la vista, entre los que se incluyen diversos informes y resoluciones judiciales, que, indica el recurrente, acreditan que no es necesario administrar la vacuna a menores de edad y que la vacunación comporta un riesgo. Considera que el modo de proceder del órgano judicial en relación con la valoración de la prueba no solo vulnera el art. 24 CE sino también el art. 9.3 CE cuando proscribe la arbitrariedad de los poderes públicos. Añade que está en juego el derecho a la integridad física del menor y alega además que el juez ha resuelto en base a su criterio personal, siendo una decisión arbitraria. Invoca también el principio de precaución en el ámbito sanitario, ante las dudas sobre los riesgos que comporta la vacunación, ya que, a pesar de lo que indica el auto de primera instancia, las vacunas no están aprobadas, sino que solo cuentan con una autorización de comercialización condicional y no autorización definitiva por estar aún en fase experimental. Aprecia además una discriminación por razón de la edad en la resolución recurrida cuando alude a la integración en la comunidad por parte de los vacunados, lo que dejaría fuera a los no vacunados. Finalmente, considera que el auto vulnera los arts. 8 y 10 de la Ley 41/2002, básica de autonomía del paciente en relación con el consentimiento informado y considera erróneo el planteamiento judicial cuando indica que no consta informe del pediatra que desaconseje la vacunación cuando es la administración de un medicamento lo que requiere prescripción médica, y no la falta de administración del mismo.</w:t>
      </w:r>
    </w:p>
    <w:p w14:paraId="1110B4AE" w14:textId="77777777" w:rsidR="008D479B" w:rsidRDefault="008D479B" w:rsidP="008D479B">
      <w:pPr>
        <w:pStyle w:val="TextoNormal"/>
      </w:pPr>
    </w:p>
    <w:p w14:paraId="3C7E3B2B" w14:textId="77777777" w:rsidR="008D479B" w:rsidRDefault="008D479B" w:rsidP="008D479B">
      <w:pPr>
        <w:pStyle w:val="TextoNormal"/>
      </w:pPr>
      <w:r>
        <w:t>e) La fiscal presentó escrito el 24 de febrero de 2022 impugnando el recurso de apelación y solicitando la confirmación de la resolución recurrida por sus propios fundamentos y por considerar que ampara suficientemente el interés del menor.</w:t>
      </w:r>
    </w:p>
    <w:p w14:paraId="0258C4C7" w14:textId="77777777" w:rsidR="008D479B" w:rsidRDefault="008D479B" w:rsidP="008D479B">
      <w:pPr>
        <w:pStyle w:val="TextoNormal"/>
      </w:pPr>
    </w:p>
    <w:p w14:paraId="1C3ADABD" w14:textId="77777777" w:rsidR="008D479B" w:rsidRDefault="008D479B" w:rsidP="008D479B">
      <w:pPr>
        <w:pStyle w:val="TextoNormal"/>
      </w:pPr>
      <w:r>
        <w:t>f) Doña R.F.P. formuló oposición al recurso de apelación invocando, en síntesis, el interés del menor como criterio para que el órgano judicial determine a qué progenitor atribuye la facultad de decidir, que en la ponderación riesgo-beneficio resulta beneficiosa para el menor la vacunación, a la vista de los estudios científicos y que la Organización Mundial de la Salud considera que la administración de la vacuna a menores, aunque no es prioritaria, sí es beneficiosa. Añade, por último, el beneficio que supone para el menor estar vacunado dado que sus padres trabajan en el entorno sanitario.</w:t>
      </w:r>
    </w:p>
    <w:p w14:paraId="54DBD32D" w14:textId="77777777" w:rsidR="008D479B" w:rsidRDefault="008D479B" w:rsidP="008D479B">
      <w:pPr>
        <w:pStyle w:val="TextoNormal"/>
      </w:pPr>
    </w:p>
    <w:p w14:paraId="35F2F96D" w14:textId="0F650CFF" w:rsidR="008D479B" w:rsidRDefault="008D479B" w:rsidP="008D479B">
      <w:pPr>
        <w:pStyle w:val="TextoNormal"/>
      </w:pPr>
      <w:r>
        <w:t>g) La Sección Segunda de la Audiencia Provincial de Cantabria dictó auto el 11 de abril de 2022 en el que desestimó el recurso de apelación y confirmó la decisión de atribuir la facultad de decisión acerca de la vacunación a la madre con base en: (i) el interés superior del menor; (ii) la recomendación de las autoridades sanitarias (Agencia Europea del Medicamento, la Agencia Española de Medicamentos y Productos Sanitarios y la Organización Mundial de la Salud) para administrar la vacuna a niños entre cinco y once años; (iii) las circunstancias del caso, en concreto, que el niño está sano y no presenta alergias, habiendo recibido todas las vacunas del calendario vacunal, así como la ausencia de un informe médico que desaconseje la inoculación de la vacuna, a lo que se añade que los padres del menor trabajan en el entorno sanitario, lo que comporta un mayor riesgo de contraer la enfermedad para el menor.</w:t>
      </w:r>
    </w:p>
    <w:p w14:paraId="32DFD148" w14:textId="77777777" w:rsidR="008D479B" w:rsidRDefault="008D479B" w:rsidP="008D479B">
      <w:pPr>
        <w:pStyle w:val="TextoNormal"/>
      </w:pPr>
    </w:p>
    <w:p w14:paraId="62FCD4B0" w14:textId="77777777" w:rsidR="008D479B" w:rsidRDefault="008D479B" w:rsidP="008D479B">
      <w:pPr>
        <w:pStyle w:val="TextoNormal"/>
      </w:pPr>
      <w:r w:rsidRPr="008D479B">
        <w:rPr>
          <w:rStyle w:val="NumeroAFNegritaCaracter"/>
        </w:rPr>
        <w:t>3</w:t>
      </w:r>
      <w:r>
        <w:t>. En el recurso de amparo presentado, el recurrente denuncia la vulneración de los siguientes derechos fundamentales:</w:t>
      </w:r>
    </w:p>
    <w:p w14:paraId="5CF732A3" w14:textId="77777777" w:rsidR="008D479B" w:rsidRDefault="008D479B" w:rsidP="008D479B">
      <w:pPr>
        <w:pStyle w:val="TextoNormal"/>
      </w:pPr>
    </w:p>
    <w:p w14:paraId="00D53189" w14:textId="77777777" w:rsidR="008D479B" w:rsidRDefault="008D479B" w:rsidP="008D479B">
      <w:pPr>
        <w:pStyle w:val="TextoNormal"/>
      </w:pPr>
      <w:r>
        <w:t>(i) El derecho a la tutela judicial efectiva (art. 24 CE) por falta de motivación suficiente de las resoluciones judiciales y deficiencia en la valoración de la prueba propuesta por el recurrente, causando indefensión. El auto de primera instancia no menciona en sus razonamientos la prueba aportada por el recurrente. Y el auto de apelación sí la menciona, pero evita entrar en polémica científica argumentando que su función se limita a atribuir el ejercicio de la patria potestad a un progenitor, aunque posteriormente se refiere a las razones para vacunar ofrecidas por las autoridades sanitarias y el conocimiento científico, y afirma que la vacuna está aprobada pese a que solo está autorizada. En realidad, la decisión que adopta la audiencia provincial no se limita a otorgar a un progenitor la facultad de decidir, sino que indirectamente está apoyando la vacunación del menor, lo que hace omitiendo la valoración de la prueba documental aportada por el recurrente y omitiendo una motivación que razone por qué merece mayor credibilidad la prueba propuesta por la otra parte. Tampoco se ha escuchado al menor, pese a ser obligatorio conforme a las normas internacionales, y no se ha aplicado el principio de precaución. En apoyo de sus argumentos cita las SSTC 69/2006, de 13 de marzo; 134/2008, de 27 de octubre; 139/2009, de 15 de junio, y 61/2019, de 6 de mayo. En un momento posterior, invoca también el derecho a un proceso con todas las garantías, utilizando todos los medios de prueba pertinentes para la defensa.</w:t>
      </w:r>
    </w:p>
    <w:p w14:paraId="00F6C501" w14:textId="77777777" w:rsidR="008D479B" w:rsidRDefault="008D479B" w:rsidP="008D479B">
      <w:pPr>
        <w:pStyle w:val="TextoNormal"/>
      </w:pPr>
    </w:p>
    <w:p w14:paraId="4D3E6B94" w14:textId="77777777" w:rsidR="008D479B" w:rsidRDefault="008D479B" w:rsidP="008D479B">
      <w:pPr>
        <w:pStyle w:val="TextoNormal"/>
      </w:pPr>
      <w:r>
        <w:t>(ii) El derecho de igualdad y no discriminación del menor (art. 14 CE) cuando el auto de primera instancia declara que “la vacunación facilitará la vida social del mismo, contribuyendo a su integración comunitaria y permitiéndole el libre desarrollo de su personalidad”, de lo que puede derivarse que, si el menor no está vacunado, no le será facilitada su vida social y su integración en comunidad.</w:t>
      </w:r>
    </w:p>
    <w:p w14:paraId="3B138C88" w14:textId="77777777" w:rsidR="008D479B" w:rsidRDefault="008D479B" w:rsidP="008D479B">
      <w:pPr>
        <w:pStyle w:val="TextoNormal"/>
      </w:pPr>
    </w:p>
    <w:p w14:paraId="28972975" w14:textId="77777777" w:rsidR="008D479B" w:rsidRDefault="008D479B" w:rsidP="008D479B">
      <w:pPr>
        <w:pStyle w:val="TextoNormal"/>
      </w:pPr>
      <w:r>
        <w:t>(iii) El derecho a la vida y a la integridad física y moral (art. 15 CE), atendidos los riesgos que comporta la vacunación.</w:t>
      </w:r>
    </w:p>
    <w:p w14:paraId="05EBD4EC" w14:textId="77777777" w:rsidR="008D479B" w:rsidRDefault="008D479B" w:rsidP="008D479B">
      <w:pPr>
        <w:pStyle w:val="TextoNormal"/>
      </w:pPr>
    </w:p>
    <w:p w14:paraId="008B1DEE" w14:textId="77777777" w:rsidR="008D479B" w:rsidRDefault="008D479B" w:rsidP="008D479B">
      <w:pPr>
        <w:pStyle w:val="TextoNormal"/>
      </w:pPr>
      <w:r>
        <w:t>(iv) El derecho a la libertad ideológica, religiosa y de culto de los individuos y las comunidades, no estando obligado a declarar sobre la ideología, religión o creencias (art. 16 CE) porque la audiencia provincial indicó en su resolución que el padre no quiso declarar si estaba vacunado, dejando traslucir una crítica velada a su postura.</w:t>
      </w:r>
    </w:p>
    <w:p w14:paraId="6E4775F4" w14:textId="77777777" w:rsidR="008D479B" w:rsidRDefault="008D479B" w:rsidP="008D479B">
      <w:pPr>
        <w:pStyle w:val="TextoNormal"/>
      </w:pPr>
    </w:p>
    <w:p w14:paraId="51BD4924" w14:textId="77777777" w:rsidR="008D479B" w:rsidRDefault="008D479B" w:rsidP="008D479B">
      <w:pPr>
        <w:pStyle w:val="TextoNormal"/>
      </w:pPr>
      <w:r>
        <w:t>(v) El derecho al honor, a la intimidad personal y familiar y a la propia imagen (art. 18.1 CE).</w:t>
      </w:r>
    </w:p>
    <w:p w14:paraId="0B314CE8" w14:textId="77777777" w:rsidR="008D479B" w:rsidRDefault="008D479B" w:rsidP="008D479B">
      <w:pPr>
        <w:pStyle w:val="TextoNormal"/>
      </w:pPr>
    </w:p>
    <w:p w14:paraId="11068F34" w14:textId="7D601733" w:rsidR="008D479B" w:rsidRDefault="008D479B" w:rsidP="008D479B">
      <w:pPr>
        <w:pStyle w:val="TextoNormal"/>
      </w:pPr>
      <w:r>
        <w:t>Por medio de otrosí, solicitó la suspensión de la ejecutividad del auto recurrido, con apoyo en el art. 56 de la Ley Orgánica del Tribunal Constitucional (LOTC).</w:t>
      </w:r>
    </w:p>
    <w:p w14:paraId="0D3F512B" w14:textId="77777777" w:rsidR="008D479B" w:rsidRDefault="008D479B" w:rsidP="008D479B">
      <w:pPr>
        <w:pStyle w:val="TextoNormal"/>
      </w:pPr>
    </w:p>
    <w:p w14:paraId="15462C49" w14:textId="77777777" w:rsidR="008D479B" w:rsidRDefault="008D479B" w:rsidP="008D479B">
      <w:pPr>
        <w:pStyle w:val="TextoNormal"/>
      </w:pPr>
      <w:r w:rsidRPr="008D479B">
        <w:rPr>
          <w:rStyle w:val="NumeroAFNegritaCaracter"/>
        </w:rPr>
        <w:t>4</w:t>
      </w:r>
      <w:r>
        <w:t>. La Sección Tercera del Tribunal Constitucional acordó mediante providencia de 28 de noviembre de 2022 admitir a trámite el recurso de amparo apreciando que concurre en el mismo una especial trascendencia constitucional (art. 50.1 LOTC) porque el recurso plantea un problema o afecta a una faceta de un derecho fundamental sobre el que no hay doctrina de este tribunal [STC 155/2009, de 25 de junio, FJ 2 a)] y, asimismo, porque el asunto suscitado trasciende del caso concreto porque plantea una cuestión jurídica de relevante y general repercusión social o económica [STC 155/2009, FJ 2 g)].</w:t>
      </w:r>
    </w:p>
    <w:p w14:paraId="4CC35D78" w14:textId="77777777" w:rsidR="008D479B" w:rsidRDefault="008D479B" w:rsidP="008D479B">
      <w:pPr>
        <w:pStyle w:val="TextoNormal"/>
      </w:pPr>
    </w:p>
    <w:p w14:paraId="5DDE310E" w14:textId="3B5B2F04" w:rsidR="008D479B" w:rsidRDefault="008D479B" w:rsidP="008D479B">
      <w:pPr>
        <w:pStyle w:val="TextoNormal"/>
      </w:pPr>
      <w:r>
        <w:t>En la misma providencia se acordó, en aplicación de lo dispuesto en el art. 51 LOTC, dirigir atenta comunicación a la Sección Segunda de la Audiencia Provincial de Cantabria a fin de que, en plazo no superior a diez días, remitiera certificación o fotocopia adverada de las actuaciones correspondientes al recurso de apelación 207-2022, e, igualmente, al Juzgado de Primera Instancia núm. 9 de Santander a fin de que, en plazo que no excediera de diez días, remitiera certificación o fotocopia adverada de las actuaciones correspondientes al procedimiento sobre intervención judicial por desacuerdo en el ejercicio de la patria potestad núm. 385-2021, debiendo emplazar previamente, para que en el plazo de diez días pudieran comparecer, si lo desearan, en el recurso de amparo, a quienes hubieran sido parte en el procedimiento, excepto la parte recurrente en amparo.</w:t>
      </w:r>
    </w:p>
    <w:p w14:paraId="685DFF30" w14:textId="77777777" w:rsidR="008D479B" w:rsidRDefault="008D479B" w:rsidP="008D479B">
      <w:pPr>
        <w:pStyle w:val="TextoNormal"/>
      </w:pPr>
    </w:p>
    <w:p w14:paraId="05AF6D56" w14:textId="0CB3FA1B" w:rsidR="008D479B" w:rsidRDefault="008D479B" w:rsidP="008D479B">
      <w:pPr>
        <w:pStyle w:val="TextoNormal"/>
      </w:pPr>
      <w:r w:rsidRPr="008D479B">
        <w:rPr>
          <w:rStyle w:val="NumeroAFNegritaCaracter"/>
        </w:rPr>
        <w:t>5</w:t>
      </w:r>
      <w:r>
        <w:t>. Mediante providencia de 28 de noviembre de 2022 se acordó, a solicitud de la parte actora, la formación de pieza separada de suspensión, que tras su tramitación fue resuelta por el ATC 181/2023, de 17 de abril, que denegó la suspensión cautelar del auto dictado por la Sección Segunda de la Audiencia Provincial de Cantabria el 11 de abril de 2022.</w:t>
      </w:r>
    </w:p>
    <w:p w14:paraId="4C31A623" w14:textId="77777777" w:rsidR="008D479B" w:rsidRDefault="008D479B" w:rsidP="008D479B">
      <w:pPr>
        <w:pStyle w:val="TextoNormal"/>
      </w:pPr>
    </w:p>
    <w:p w14:paraId="77800837" w14:textId="3566F30F" w:rsidR="008D479B" w:rsidRDefault="008D479B" w:rsidP="008D479B">
      <w:pPr>
        <w:pStyle w:val="TextoNormal"/>
      </w:pPr>
      <w:r w:rsidRPr="008D479B">
        <w:rPr>
          <w:rStyle w:val="NumeroAFNegritaCaracter"/>
        </w:rPr>
        <w:t>6</w:t>
      </w:r>
      <w:r>
        <w:t>. Por diligencia de ordenación de la Secretaría de Justicia de la Sala Primera de este tribunal de 27 de enero de 2023, se puso en conocimiento del Ministerio Fiscal y de las partes, a los efectos oportunos, que, en virtud del acuerdo adoptado por el Pleno del Tribunal Constitucional el día 17 de enero de 2023, publicado en el “BOE” de 19 de enero, el presente recurso de amparo había sido turnado a la Sección Primera de la Sala Primera del Tribunal Constitucional. Se tuvo además por personada y parte a la procuradora doña Teresa Rodríguez Pechín en nombre y representación de doña R.F.P. y se concedió a las partes personadas y al Ministerio Fiscal un plazo común de veinte días para formular alegaciones.</w:t>
      </w:r>
    </w:p>
    <w:p w14:paraId="675DE162" w14:textId="77777777" w:rsidR="008D479B" w:rsidRDefault="008D479B" w:rsidP="008D479B">
      <w:pPr>
        <w:pStyle w:val="TextoNormal"/>
      </w:pPr>
    </w:p>
    <w:p w14:paraId="64CDC61D" w14:textId="4A00437A" w:rsidR="008D479B" w:rsidRDefault="008D479B" w:rsidP="008D479B">
      <w:pPr>
        <w:pStyle w:val="TextoNormal"/>
      </w:pPr>
      <w:r w:rsidRPr="008D479B">
        <w:rPr>
          <w:rStyle w:val="NumeroAFNegritaCaracter"/>
        </w:rPr>
        <w:t>7</w:t>
      </w:r>
      <w:r>
        <w:t>. Por diligencia de ordenación de 14 de febrero de 2023 se tuvo por recibido el testimonio de actuaciones y copia de grabación de la vista remitido por el Juzgado de Primera Instancia núm. 9 de Santander, quedando a disposición de las partes en la Secretaría de la Sala.</w:t>
      </w:r>
    </w:p>
    <w:p w14:paraId="5C00383D" w14:textId="77777777" w:rsidR="008D479B" w:rsidRDefault="008D479B" w:rsidP="008D479B">
      <w:pPr>
        <w:pStyle w:val="TextoNormal"/>
      </w:pPr>
    </w:p>
    <w:p w14:paraId="6BA42540" w14:textId="77777777" w:rsidR="008D479B" w:rsidRDefault="008D479B" w:rsidP="008D479B">
      <w:pPr>
        <w:pStyle w:val="TextoNormal"/>
      </w:pPr>
      <w:r w:rsidRPr="008D479B">
        <w:rPr>
          <w:rStyle w:val="NumeroAFNegritaCaracter"/>
        </w:rPr>
        <w:t>8</w:t>
      </w:r>
      <w:r>
        <w:t xml:space="preserve">. Por escrito registrado el 23 de marzo de 2023, la fiscal ante el Tribunal Constitucional formuló sus alegaciones solicitando la inadmisión del recurso de amparo y, subsidiariamente, su estimación parcial. Considera que concurre: (i) una falta de agotamiento de la vía judicial previa porque alega la vulneración del derecho a la igualdad y no discriminación (art. 14 CE), el derecho a la libertad ideológica y religiosa y de culto de los individuos y las comunidades (art. 16 CE) y del derecho al honor, a la intimidad personal y familiar y a la propia imagen (art. 18 CE) que imputa de forma autónoma al auto de la audiencia provincial, pero no ha interpuesto el incidente de nulidad de actuaciones previsto en el art. 241.1 de la Ley Orgánica del Poder Judicial (LOPJ), por lo que el órgano judicial no ha tenido la oportunidad de reparar las vulneraciones que se le atribuyen; y (ii) una falta de invocación del derecho fundamental que estima vulnerado en relación con el derecho a la tutela judicial efectiva porque en el recurso de apelación no alegó la falta de audiencia al menor, que posteriormente sí denuncia en el recurso de amparo, sin que pueda alegar </w:t>
      </w:r>
      <w:r w:rsidRPr="008D479B">
        <w:rPr>
          <w:i/>
        </w:rPr>
        <w:t>per saltum</w:t>
      </w:r>
      <w:r>
        <w:t xml:space="preserve"> cuestiones que no han sido alegadas con anterioridad, siendo un defecto insubsanable que no puede quedar reparado porque el recurso haya sido admitido a trámite inicialmente (SSTC 154/2016 de 22 de septiembre, FJ 2 y 130/2018, de 12 de diciembre, FFJJ 3 a 5, y la jurisprudencia que allí se cita).</w:t>
      </w:r>
    </w:p>
    <w:p w14:paraId="1ACC9D71" w14:textId="77777777" w:rsidR="008D479B" w:rsidRDefault="008D479B" w:rsidP="008D479B">
      <w:pPr>
        <w:pStyle w:val="TextoNormal"/>
      </w:pPr>
    </w:p>
    <w:p w14:paraId="2944ACE4" w14:textId="77777777" w:rsidR="008D479B" w:rsidRDefault="008D479B" w:rsidP="008D479B">
      <w:pPr>
        <w:pStyle w:val="TextoNormal"/>
      </w:pPr>
      <w:r>
        <w:t>La pretendida vulneración del derecho fundamental a la igualdad y no discriminación (art. 14 CE), el derecho a la vida, integridad física y moral (art. 15 CE), el derecho a la libertad ideológica, religiosa y de culto de los individuos y las comunidades (art. 16 CE) y el derecho al honor, a la intimidad personal y familiar y a la propia imagen, (art. 18 CE) están huérfanas de toda argumentación.</w:t>
      </w:r>
    </w:p>
    <w:p w14:paraId="5E534FFF" w14:textId="77777777" w:rsidR="008D479B" w:rsidRDefault="008D479B" w:rsidP="008D479B">
      <w:pPr>
        <w:pStyle w:val="TextoNormal"/>
      </w:pPr>
    </w:p>
    <w:p w14:paraId="7898986B" w14:textId="77777777" w:rsidR="008D479B" w:rsidRDefault="008D479B" w:rsidP="008D479B">
      <w:pPr>
        <w:pStyle w:val="TextoNormal"/>
      </w:pPr>
      <w:r>
        <w:t>En cuanto a la duda relativa a la utilidad del procedimiento de jurisdicción voluntaria para resolver cuestiones que afectan a derechos fundamentales, porque pudiera no ser suficientemente garantista, señala que es el procedimiento establecido en los arts. 85 y 86 de la Ley 15/2015, al que son de aplicación las disposiciones comunes que establece la propia ley (arts. 17 y 18 de la Ley 15/2015) y es este expediente el cauce procesal para la intervención judicial que establece el art. 156 CC. Pero lo determinante es si se han respetado las garantías procesales básicas del art. 24 CE. Parte de considerar la situación de pandemia y la voluntariedad de la vacuna, existiendo una discrepancia de los progenitores sobre la administración de la vacuna a su hijo menor. Respecto de la alegada falta de motivación de los autos por ausencia de valoración de la prueba, considera que no concurre, y reproduce las razones expuestas en el auto de primera instancia y el auto de apelación para basar su decisión, que permiten apreciar que los autos han dado una respuesta fundada a la cuestión planteada y han motivado suficientemente las razones conducentes a la resolución adoptada.</w:t>
      </w:r>
    </w:p>
    <w:p w14:paraId="01E57FA7" w14:textId="77777777" w:rsidR="008D479B" w:rsidRDefault="008D479B" w:rsidP="008D479B">
      <w:pPr>
        <w:pStyle w:val="TextoNormal"/>
      </w:pPr>
    </w:p>
    <w:p w14:paraId="549E81CE" w14:textId="77777777" w:rsidR="008D479B" w:rsidRDefault="008D479B" w:rsidP="008D479B">
      <w:pPr>
        <w:pStyle w:val="TextoNormal"/>
      </w:pPr>
      <w:r>
        <w:t>No obstante, del párrafo tercero del art. 156 CC y del art. 18 de la Ley 15/2015 se infiere que, en el expediente de jurisdicción voluntaria ante discrepancias de los progenitores en el ejercicio de la patria potestad, es preceptivo oír al hijo si tuviera suficiente madurez y, en todo caso, si es mayor de doce años. Y el derecho del menor a ser oído y escuchado se reconoce en reiterada jurisprudencia constitucional (SSTC 120/1984, de 10 de diciembre, FJ 2; 185/2012, de 17 de octubre, FJ 4, y 106/2022, de 13 de septiembre, FJ 2 B) y en normas internacionales (art. 12.2 de la Convención sobre derechos del niño, apartado 15 de la Carta europea de derechos del niño, art. 24 de la Carta de los derechos fundamentales de la Unión Europea, y los arts. 2 y 6 del Convenio europeo sobre el ejercicio de los derechos de los niños) y nacionales (arts. 2 y 9 de la Ley Orgánica de protección jurídica del menor). Las limitaciones al ejercicio de este derecho deben ser interpretadas restrictivamente, atendiendo al interés superior del menor en cada caso, en atención a su madurez, que debe ser valorada por personal especializado en el concreto asunto a tratar. Y siempre que el derecho a ser oído y escuchado se rechace, debe efectuarse mediante resolución motivada en el interés superior del menor, atendido que pudiera serle manifiestamente perjudicial. El derecho del menor a ser oído está vinculado además con el derecho a la tutela judicial efectiva sin indefensión (art. 24.1 CE), como se recoge en diversas resoluciones del Tribunal Constitucional (SSTC 221/2002, de 25 de noviembre, FJ 5; 71/2004, de 19 de abril, FJ 7; 152/2005, de 2 de junio, FFJJ 3 y 4, y 17/2006, de 30 de enero, FJ 5, y la STC 64/2019, de 9 de mayo, FJ 6, respecto de un expediente de jurisdicción voluntaria).</w:t>
      </w:r>
    </w:p>
    <w:p w14:paraId="2FA0B623" w14:textId="77777777" w:rsidR="008D479B" w:rsidRDefault="008D479B" w:rsidP="008D479B">
      <w:pPr>
        <w:pStyle w:val="TextoNormal"/>
      </w:pPr>
    </w:p>
    <w:p w14:paraId="6638ED87" w14:textId="2D6968E2" w:rsidR="008D479B" w:rsidRDefault="008D479B" w:rsidP="008D479B">
      <w:pPr>
        <w:pStyle w:val="TextoNormal"/>
      </w:pPr>
      <w:r>
        <w:t>Analizando las circunstancias del caso, considera que debe desestimarse la pretensión de vulneración del derecho a la tutela judicial efectiva sin indefensión (art. 24.1 CE) en su vertiente de falta de motivación de las resoluciones judiciales impugnadas, por ausencia de valoración de la prueba aportada, pero advierte que el menor debió haber sido escuchado en una cuestión afectante a su salud, que era imprescindible para que el principio de interés superior del menor hubiera gozado de efectiva protección. Y desde esta perspectiva, considera que se ha producido la vulneración del derecho a la tutela judicial efectiva sin indefensión del menor (art. 24.1 CE). No puede descartarse que sobre esta cuestión tuviera uso de razón, de entendimiento o de juicio, y no se valoró por personal especializado si tenía suficiente madurez (art. 9.2 de la Ley Orgánica de protección jurídica del menor) para poder manifestar su opinión sobre la cuestión. Ninguno de los órganos judiciales otorgó un trámite específico para que pudiera manifestarse acerca de la vacunación y para que la motivación de las resoluciones judiciales incluyera su propia opinión o deseo, y cita a tal efecto la STC 5/2023, de 20 de febrero de 2023, FJ 3 B), C), y D). Solicita por ello la estimación parcial del recurso de amparo.</w:t>
      </w:r>
    </w:p>
    <w:p w14:paraId="792391A5" w14:textId="77777777" w:rsidR="008D479B" w:rsidRDefault="008D479B" w:rsidP="008D479B">
      <w:pPr>
        <w:pStyle w:val="TextoNormal"/>
      </w:pPr>
    </w:p>
    <w:p w14:paraId="1FE3E230" w14:textId="04690A88" w:rsidR="008D479B" w:rsidRDefault="008D479B" w:rsidP="008D479B">
      <w:pPr>
        <w:pStyle w:val="TextoNormal"/>
      </w:pPr>
      <w:r w:rsidRPr="008D479B">
        <w:rPr>
          <w:rStyle w:val="NumeroAFNegritaCaracter"/>
        </w:rPr>
        <w:t>9</w:t>
      </w:r>
      <w:r>
        <w:t>. Por providencia de 16 de noviembre de 2023 se señaló para deliberación y votación de la presente sentencia el día 20 del mismo mes y año.</w:t>
      </w:r>
    </w:p>
    <w:p w14:paraId="57AF91A7" w14:textId="77777777" w:rsidR="008D479B" w:rsidRDefault="008D479B" w:rsidP="008D479B">
      <w:pPr>
        <w:pStyle w:val="TextoNormal"/>
      </w:pPr>
    </w:p>
    <w:p w14:paraId="56546509" w14:textId="77777777" w:rsidR="008D479B" w:rsidRDefault="008D479B" w:rsidP="008D479B">
      <w:pPr>
        <w:pStyle w:val="TextoNormalNegritaCentrado"/>
        <w:keepNext/>
      </w:pPr>
      <w:r>
        <w:t>II. Fundamentos jurídicos</w:t>
      </w:r>
    </w:p>
    <w:p w14:paraId="3E3EF7EF" w14:textId="10BA4E24" w:rsidR="008D479B" w:rsidRDefault="008D479B" w:rsidP="008D479B">
      <w:pPr>
        <w:pStyle w:val="TextoNormalNegritaCentrado"/>
        <w:keepNext/>
      </w:pPr>
    </w:p>
    <w:p w14:paraId="44B1BD0D" w14:textId="77777777" w:rsidR="008D479B" w:rsidRDefault="008D479B" w:rsidP="008D479B">
      <w:pPr>
        <w:pStyle w:val="TextoNormal"/>
      </w:pPr>
      <w:r w:rsidRPr="008D479B">
        <w:rPr>
          <w:rStyle w:val="NumeroAFNegritaCaracter"/>
        </w:rPr>
        <w:t>1</w:t>
      </w:r>
      <w:r>
        <w:t xml:space="preserve">. </w:t>
      </w:r>
      <w:r w:rsidRPr="008D479B">
        <w:rPr>
          <w:i/>
        </w:rPr>
        <w:t>Objeto del recurso</w:t>
      </w:r>
    </w:p>
    <w:p w14:paraId="4CC42847" w14:textId="77777777" w:rsidR="008D479B" w:rsidRDefault="008D479B" w:rsidP="008D479B">
      <w:pPr>
        <w:pStyle w:val="TextoNormal"/>
      </w:pPr>
    </w:p>
    <w:p w14:paraId="5E15EE40" w14:textId="77777777" w:rsidR="008D479B" w:rsidRDefault="008D479B" w:rsidP="008D479B">
      <w:pPr>
        <w:pStyle w:val="TextoNormal"/>
      </w:pPr>
      <w:r>
        <w:t>El presente recurso de amparo se dirige contra el auto de 24 de enero de 2022 dictado por el Juzgado de Primera Instancia núm. 9 de Santander en el procedimiento de intervención judicial por desacuerdo en el ejercicio de la patria potestad 385-2021 que atribuyó a doña R.F.P. la facultad de decidir sobre la administración de la vacuna frente a la covid-19 a su hijo menor de edad. También se impugna el auto de 11 de abril de 2022 dictado por la Sección Segunda de la Audiencia Provincial de Cantabria, en el rollo de apelación núm. 207-2022, confirmatorio del anterior.</w:t>
      </w:r>
    </w:p>
    <w:p w14:paraId="6CEA80FC" w14:textId="77777777" w:rsidR="008D479B" w:rsidRDefault="008D479B" w:rsidP="008D479B">
      <w:pPr>
        <w:pStyle w:val="TextoNormal"/>
      </w:pPr>
    </w:p>
    <w:p w14:paraId="32B89A82" w14:textId="4C4A98C8" w:rsidR="008D479B" w:rsidRDefault="008D479B" w:rsidP="008D479B">
      <w:pPr>
        <w:pStyle w:val="TextoNormal"/>
      </w:pPr>
      <w:r>
        <w:t>Dada la naturaleza de los hechos, debe señalarse que, en aplicación de las potestades atribuidas a este tribunal por el art. 86.3 LOTC y el acuerdo del Pleno de 23 de julio de 2015, por el que se regula la exclusión de los datos de identidad personal en la publicación de las resoluciones jurisdiccionales (“Boletín Oficial del Estado” núm. 178, de 27 de julio de 2015), la presente sentencia y demás actuaciones del proceso no incluyen la identificación completa de la persona menor de edad afectada ni la de sus parientes inmediatos que aparecen mencionados en las actuaciones, con el fin de proteger la intimidad de aquella.</w:t>
      </w:r>
    </w:p>
    <w:p w14:paraId="38863A93" w14:textId="77777777" w:rsidR="008D479B" w:rsidRDefault="008D479B" w:rsidP="008D479B">
      <w:pPr>
        <w:pStyle w:val="TextoNormal"/>
      </w:pPr>
    </w:p>
    <w:p w14:paraId="7D5A1B88" w14:textId="77777777" w:rsidR="008D479B" w:rsidRDefault="008D479B" w:rsidP="008D479B">
      <w:pPr>
        <w:pStyle w:val="TextoNormal"/>
      </w:pPr>
      <w:r w:rsidRPr="008D479B">
        <w:rPr>
          <w:rStyle w:val="NumeroAFNegritaCaracter"/>
        </w:rPr>
        <w:t>2</w:t>
      </w:r>
      <w:r>
        <w:t xml:space="preserve">. </w:t>
      </w:r>
      <w:r w:rsidRPr="008D479B">
        <w:rPr>
          <w:i/>
        </w:rPr>
        <w:t>Cuestiones previas y delimitación de los derechos fundamentales concernidos</w:t>
      </w:r>
    </w:p>
    <w:p w14:paraId="7FCED435" w14:textId="77777777" w:rsidR="008D479B" w:rsidRDefault="008D479B" w:rsidP="008D479B">
      <w:pPr>
        <w:pStyle w:val="TextoNormal"/>
      </w:pPr>
    </w:p>
    <w:p w14:paraId="45CCF6CD" w14:textId="77777777" w:rsidR="008D479B" w:rsidRDefault="008D479B" w:rsidP="008D479B">
      <w:pPr>
        <w:pStyle w:val="TextoNormal"/>
      </w:pPr>
      <w:r>
        <w:t>Con carácter previo al examen de las cuestiones de fondo planteadas en la demanda de amparo, deben hacerse las siguientes precisiones:</w:t>
      </w:r>
    </w:p>
    <w:p w14:paraId="18CB39C4" w14:textId="77777777" w:rsidR="008D479B" w:rsidRDefault="008D479B" w:rsidP="008D479B">
      <w:pPr>
        <w:pStyle w:val="TextoNormal"/>
      </w:pPr>
    </w:p>
    <w:p w14:paraId="1254670B" w14:textId="77777777" w:rsidR="008D479B" w:rsidRDefault="008D479B" w:rsidP="008D479B">
      <w:pPr>
        <w:pStyle w:val="TextoNormal"/>
      </w:pPr>
      <w:r>
        <w:t xml:space="preserve">a) Debe apreciarse una falta de invocación del derecho fundamental a la tutela judicial efectiva (art. 24.1 CE) en relación con la falta de audiencia del menor porque esta cuestión no se denunció en el recurso de apelación, siendo un defecto insubsanable, tratándose además de una queja que tampoco fue invocada por el demandante de amparo, no correspondiendo al Ministerio Fiscal la deducción de pretensiones propias, salvo si actúa como promotor de la demanda de amparo </w:t>
      </w:r>
      <w:r w:rsidRPr="008D479B">
        <w:rPr>
          <w:i/>
        </w:rPr>
        <w:t>ex</w:t>
      </w:r>
      <w:r>
        <w:t xml:space="preserve"> art. 46.1 b) LOTC, lo que no es este caso. El defecto de falta de invocación es apreciable igualmente en lo que se refiere a la vulneración del derecho a la libertad ideológica, religiosa y de culto de los individuos y las comunidades (art. 16 CE), el derecho al honor, a la intimidad personal y familiar y a la propia imagen (art. 18.1 CE).</w:t>
      </w:r>
    </w:p>
    <w:p w14:paraId="1ED81C40" w14:textId="77777777" w:rsidR="008D479B" w:rsidRDefault="008D479B" w:rsidP="008D479B">
      <w:pPr>
        <w:pStyle w:val="TextoNormal"/>
      </w:pPr>
    </w:p>
    <w:p w14:paraId="60CE2C31" w14:textId="7DBC6CF3" w:rsidR="008D479B" w:rsidRDefault="008D479B" w:rsidP="008D479B">
      <w:pPr>
        <w:pStyle w:val="TextoNormal"/>
      </w:pPr>
      <w:r>
        <w:t>b) La demanda alega, como núcleo central de su pretensión, la vulneración del derecho a la integridad personal reconocido en el art. 15 CE, de modo que las distintas quejas planteadas bajo la cobertura del art. 24.1 y 2 CE, consignadas en los antecedentes de esta resolución, deben calificarse de instrumentales en relación con la queja de vulneración del derecho a la integridad personal. Tampoco procede examinar la vulneración del derecho a la igualdad (art. 14 CE), al no haberse individualizado, en los términos exigidos por la jurisprudencia de este tribunal, un término válido de comparación que fundamente la existencia de discriminación.</w:t>
      </w:r>
    </w:p>
    <w:p w14:paraId="3CA3759A" w14:textId="77777777" w:rsidR="008D479B" w:rsidRDefault="008D479B" w:rsidP="008D479B">
      <w:pPr>
        <w:pStyle w:val="TextoNormal"/>
      </w:pPr>
    </w:p>
    <w:p w14:paraId="3D616E48" w14:textId="77777777" w:rsidR="008D479B" w:rsidRDefault="008D479B" w:rsidP="008D479B">
      <w:pPr>
        <w:pStyle w:val="TextoNormal"/>
      </w:pPr>
      <w:r w:rsidRPr="008D479B">
        <w:rPr>
          <w:rStyle w:val="NumeroAFNegritaCaracter"/>
        </w:rPr>
        <w:t>3</w:t>
      </w:r>
      <w:r>
        <w:t xml:space="preserve">. </w:t>
      </w:r>
      <w:r w:rsidRPr="008D479B">
        <w:rPr>
          <w:i/>
        </w:rPr>
        <w:t>Aplicación de la doctrina constitucional expuesta en la STC 148/2023, de 6 de noviembre</w:t>
      </w:r>
    </w:p>
    <w:p w14:paraId="26D31BC2" w14:textId="77777777" w:rsidR="008D479B" w:rsidRDefault="008D479B" w:rsidP="008D479B">
      <w:pPr>
        <w:pStyle w:val="TextoNormal"/>
      </w:pPr>
    </w:p>
    <w:p w14:paraId="4CC54400" w14:textId="77777777" w:rsidR="008D479B" w:rsidRDefault="008D479B" w:rsidP="008D479B">
      <w:pPr>
        <w:pStyle w:val="TextoNormal"/>
      </w:pPr>
      <w:r>
        <w:t>La cuestión constitucional suscitada en este recurso en relación con el derecho fundamental a la integridad física y moral (art. 15 CE) es la misma que ya ha sido objeto de análisis por el Pleno de este tribunal en la STC 148/2023, de 6 de noviembre, en cuyos fundamentos jurídicos 4 y 5 se expusieron de manera pormenorizada las pautas de ponderación necesarias para determinar si en este tipo de supuestos se ha vulnerado el derecho a la integridad personal, centrando la cuestión en que la administración de la vacuna, a falta de consentimiento libre, válido e informado de la persona afectada, precisa para su constitucionalidad el cumplimiento de los requisitos generales que, de acuerdo con nuestra doctrina, rigen la restricción de los derechos fundamentales sustantivos.</w:t>
      </w:r>
    </w:p>
    <w:p w14:paraId="7F2C8B5E" w14:textId="77777777" w:rsidR="008D479B" w:rsidRDefault="008D479B" w:rsidP="008D479B">
      <w:pPr>
        <w:pStyle w:val="TextoNormal"/>
      </w:pPr>
    </w:p>
    <w:p w14:paraId="5E8024D3" w14:textId="63CA6B10" w:rsidR="008D479B" w:rsidRDefault="008D479B" w:rsidP="008D479B">
      <w:pPr>
        <w:pStyle w:val="TextoNormal"/>
      </w:pPr>
      <w:r>
        <w:t>En atención a lo expuesto, en este caso, como también se concluyó en la STC 148/2023, FJ 5, el Tribunal rechaza que se haya vulnerado el art. 15 CE al constatarse que (i) se cumple el presupuesto básico que el art. 9.3, letra c) de la Ley 41/2002 establece para que pueda acudirse al consentimiento por representación —otorgado por los progenitores de común acuerdo o por la autoridad judicial en caso de desacuerdo— porque el menor, de siete años de edad, carecía de la capacidad emocional e intelectual necesarias para comprender el alcance la intervención y los padres contaban con la información adecuada para la prestación del consentimiento desde un momento anterior incluso a la iniciación del procedimiento de jurisdicción voluntaria, por lo que no cabe apreciar la ausencia de consentimiento informado; y (ii) la motivación de las resoluciones judiciales tuvo como fundamento esencial la protección del interés superior del menor en relación con la protección de su salud, teniendo en cuenta la recomendación de las autoridades sanitarias, que se mostraban a favor de la vacunación de menores haciendo una ponderación de riesgos y beneficios de la vacuna, que el órgano judicial no estima desvirtuadas por los informes aportados por el recurrente.</w:t>
      </w:r>
    </w:p>
    <w:p w14:paraId="56A593EB" w14:textId="77777777" w:rsidR="008D479B" w:rsidRDefault="008D479B" w:rsidP="008D479B">
      <w:pPr>
        <w:pStyle w:val="TextoNormal"/>
      </w:pPr>
    </w:p>
    <w:p w14:paraId="5774B2EC" w14:textId="77777777" w:rsidR="008D479B" w:rsidRDefault="008D479B" w:rsidP="008D479B">
      <w:pPr>
        <w:pStyle w:val="TextoNormalCentrado"/>
        <w:keepNext/>
      </w:pPr>
      <w:r>
        <w:t>FALLO</w:t>
      </w:r>
    </w:p>
    <w:p w14:paraId="14EE0F5F" w14:textId="0BD07712" w:rsidR="008D479B" w:rsidRDefault="008D479B" w:rsidP="008D479B">
      <w:pPr>
        <w:pStyle w:val="TextoNormalCentrado"/>
        <w:keepNext/>
      </w:pPr>
    </w:p>
    <w:p w14:paraId="25FD7028" w14:textId="06C46C5A" w:rsidR="008D479B" w:rsidRDefault="008D479B" w:rsidP="008D479B">
      <w:pPr>
        <w:pStyle w:val="TextoNormal"/>
      </w:pPr>
      <w:r>
        <w:t>En atención a todo lo expuesto, el Tribunal Constitucional, por la autoridad que le confiere la Constitución de la Nación española, ha decidido desestimar el recurso de amparo interpuesto por don R.A.R.</w:t>
      </w:r>
    </w:p>
    <w:p w14:paraId="3DD40F5B" w14:textId="77777777" w:rsidR="008D479B" w:rsidRDefault="008D479B" w:rsidP="008D479B">
      <w:pPr>
        <w:pStyle w:val="TextoNormal"/>
      </w:pPr>
    </w:p>
    <w:p w14:paraId="40DBCFC2" w14:textId="77777777" w:rsidR="008D479B" w:rsidRDefault="008D479B" w:rsidP="008D479B">
      <w:pPr>
        <w:pStyle w:val="TextoNormal"/>
      </w:pPr>
      <w:r>
        <w:t>Publíquese esta sentencia en el “Boletín Oficial del Estado”.</w:t>
      </w:r>
    </w:p>
    <w:p w14:paraId="5506D7A7" w14:textId="77777777" w:rsidR="008D479B" w:rsidRDefault="008D479B" w:rsidP="008D479B">
      <w:pPr>
        <w:pStyle w:val="TextoNormal"/>
      </w:pPr>
      <w:r>
        <w:t>Dada en Madrid, a veinte de noviembre de dos mil veintitrés.</w:t>
      </w:r>
    </w:p>
    <w:p w14:paraId="5061AEB5" w14:textId="4E7830CB" w:rsidR="008D479B" w:rsidRDefault="008D479B">
      <w:pPr>
        <w:spacing w:after="160" w:line="278" w:lineRule="auto"/>
        <w:rPr>
          <w:rFonts w:ascii="Times New Roman" w:eastAsia="Times New Roman" w:hAnsi="Times New Roman" w:cs="Times New Roman"/>
          <w:sz w:val="24"/>
          <w:szCs w:val="24"/>
          <w:lang w:eastAsia="es-ES"/>
        </w:rPr>
      </w:pPr>
      <w:r>
        <w:br w:type="page"/>
      </w:r>
    </w:p>
    <w:p w14:paraId="1132E940" w14:textId="77777777" w:rsidR="008D479B" w:rsidRDefault="008D479B" w:rsidP="008D479B">
      <w:pPr>
        <w:pStyle w:val="TtuloResolucin"/>
      </w:pPr>
      <w:bookmarkStart w:id="80" w:name="SENTENCIA_2023_155"/>
      <w:r>
        <w:t>SENTENCIA 155/2023, de 20 de noviembre de 2023</w:t>
      </w:r>
    </w:p>
    <w:bookmarkEnd w:id="80"/>
    <w:p w14:paraId="4F593B10" w14:textId="77777777" w:rsidR="008D479B" w:rsidRDefault="008D479B" w:rsidP="008D479B">
      <w:pPr>
        <w:pStyle w:val="TtuloResolucin"/>
      </w:pPr>
      <w:r>
        <w:t>Sala Primera</w:t>
      </w:r>
    </w:p>
    <w:p w14:paraId="37854E48" w14:textId="77777777" w:rsidR="008D479B" w:rsidRDefault="008D479B" w:rsidP="008D479B">
      <w:pPr>
        <w:pStyle w:val="TtuloBOE"/>
      </w:pPr>
      <w:r>
        <w:t>(BOE núm. 304, de 21 de diciembre de 2023)</w:t>
      </w:r>
    </w:p>
    <w:p w14:paraId="1DF514C6" w14:textId="77777777" w:rsidR="008D479B" w:rsidRDefault="008D479B" w:rsidP="008D479B">
      <w:pPr>
        <w:pStyle w:val="TextoNormalCentrado"/>
      </w:pPr>
      <w:r>
        <w:t>ECLI:ES:TC:2023:155</w:t>
      </w:r>
    </w:p>
    <w:p w14:paraId="292FFDD4" w14:textId="31297187" w:rsidR="008D479B" w:rsidRDefault="008D479B" w:rsidP="008D479B">
      <w:pPr>
        <w:pStyle w:val="TextoNormalCentrado"/>
      </w:pPr>
    </w:p>
    <w:p w14:paraId="53859C49" w14:textId="77777777" w:rsidR="008D479B" w:rsidRDefault="008D479B" w:rsidP="008D479B">
      <w:pPr>
        <w:pStyle w:val="SntesisDescriptiva"/>
      </w:pPr>
      <w:r>
        <w:t>Recurso de amparo 4858-2022. Promovido por doña A.S.P., respecto de los autos dictados por la Audiencia Provincial de Alicante y un juzgado de primera instancia de Denia que acordaron la administración de la vacuna frente a la covid-19.</w:t>
      </w:r>
    </w:p>
    <w:p w14:paraId="0B63ACA3" w14:textId="09E28E9C" w:rsidR="008D479B" w:rsidRDefault="008D479B" w:rsidP="008D479B">
      <w:pPr>
        <w:pStyle w:val="SntesisDescriptiva"/>
      </w:pPr>
    </w:p>
    <w:p w14:paraId="29DEA962" w14:textId="77777777" w:rsidR="008D479B" w:rsidRDefault="008D479B" w:rsidP="008D479B">
      <w:pPr>
        <w:pStyle w:val="SntesisAnaltica"/>
      </w:pPr>
      <w:r>
        <w:t>Supuesta vulneración de los derechos a la integridad física y a la tutela judicial efectiva (motivación): STC 148/2023 [resoluciones judiciales que realizaron una ponderación adecuada de los intereses de una persona menor de edad (STC 38/2023)].</w:t>
      </w:r>
    </w:p>
    <w:p w14:paraId="356DDE75" w14:textId="52FC087E" w:rsidR="008D479B" w:rsidRDefault="008D479B" w:rsidP="008D479B">
      <w:pPr>
        <w:pStyle w:val="SntesisAnaltica"/>
      </w:pPr>
    </w:p>
    <w:p w14:paraId="5B6CD449" w14:textId="494F5E78" w:rsidR="008D479B" w:rsidRDefault="008D479B" w:rsidP="008D479B">
      <w:pPr>
        <w:pStyle w:val="Extracto"/>
      </w:pPr>
      <w:r>
        <w:t>1.</w:t>
      </w:r>
      <w:r>
        <w:tab/>
        <w:t>La capacidad general de autodeterminación de las personas menores de edad, en relación con las actuaciones médicas que les afectan, encuentra su límite en la protección de su interés superior, que se impone como obligación a los progenitores, en cuanto titulares de la patria potestad o autoridad familiar, y a todos los poderes públicos, incluida la autoridad judicial (STC 148/2023) [FJ 3].</w:t>
      </w:r>
    </w:p>
    <w:p w14:paraId="55A80056" w14:textId="77777777" w:rsidR="008D479B" w:rsidRDefault="008D479B" w:rsidP="008D479B">
      <w:pPr>
        <w:pStyle w:val="Extracto"/>
      </w:pPr>
    </w:p>
    <w:p w14:paraId="0F84D31D" w14:textId="1128EFA2" w:rsidR="008D479B" w:rsidRDefault="008D479B" w:rsidP="008D479B">
      <w:pPr>
        <w:pStyle w:val="Extracto"/>
      </w:pPr>
      <w:r>
        <w:t>2.</w:t>
      </w:r>
      <w:r>
        <w:tab/>
        <w:t>La decisión de los representantes legales relativa al otorgamiento o no del consentimiento informado por representación deberá atender a la protección del derecho a la vida, supervivencia y desarrollo del menor y la satisfacción de sus necesidades básicas, tanto materiales, físicas y educativas como emocionales y afectivas [art. 2.2, letra a) de la Ley Orgánica 1/1996]; y es preciso buscar el mayor beneficio para la vida o salud del paciente menor de edad, teniendo en cuenta las circunstancias concurrentes y sus necesidades, que deben ser atendidas (STC 148/2023) [FJ 3].</w:t>
      </w:r>
    </w:p>
    <w:p w14:paraId="7879F2D4" w14:textId="77777777" w:rsidR="008D479B" w:rsidRDefault="008D479B" w:rsidP="008D479B">
      <w:pPr>
        <w:pStyle w:val="Extracto"/>
      </w:pPr>
    </w:p>
    <w:p w14:paraId="4D5EA4BF" w14:textId="77777777" w:rsidR="008D479B" w:rsidRDefault="008D479B" w:rsidP="008D479B">
      <w:pPr>
        <w:pStyle w:val="Extracto"/>
      </w:pPr>
    </w:p>
    <w:p w14:paraId="3184412E" w14:textId="77777777" w:rsidR="008D479B" w:rsidRDefault="008D479B" w:rsidP="008D479B">
      <w:pPr>
        <w:pStyle w:val="TextoNormal"/>
      </w:pPr>
      <w:r>
        <w:t>La Sala Primera del Tribunal Constitucional, compuesta por el magistrado don Cándido Conde-Pumpido Tourón, presidente, y los magistrados y magistradas don Ricardo Enríquez Sancho, doña Concepción Espejel Jorquera, doña María Luisa Segoviano Astaburuaga y don Juan Carlos Campo Moreno, ha pronunciado</w:t>
      </w:r>
    </w:p>
    <w:p w14:paraId="1E0E9E42" w14:textId="15B73BF7" w:rsidR="008D479B" w:rsidRDefault="008D479B" w:rsidP="008D479B">
      <w:pPr>
        <w:pStyle w:val="TextoNormal"/>
      </w:pPr>
    </w:p>
    <w:p w14:paraId="0B7D0B08" w14:textId="77777777" w:rsidR="008D479B" w:rsidRDefault="008D479B" w:rsidP="008D479B">
      <w:pPr>
        <w:pStyle w:val="TextoNormalCentrado"/>
        <w:keepNext/>
      </w:pPr>
      <w:r>
        <w:t>EN NOMBRE DEL REY</w:t>
      </w:r>
    </w:p>
    <w:p w14:paraId="63E5AFCE" w14:textId="7D965663" w:rsidR="008D479B" w:rsidRDefault="008D479B" w:rsidP="008D479B">
      <w:pPr>
        <w:pStyle w:val="TextoNormalCentrado"/>
        <w:keepNext/>
      </w:pPr>
    </w:p>
    <w:p w14:paraId="08768AD9" w14:textId="77777777" w:rsidR="008D479B" w:rsidRDefault="008D479B" w:rsidP="008D479B">
      <w:pPr>
        <w:pStyle w:val="TextoNormalCentrado"/>
        <w:keepNext/>
      </w:pPr>
    </w:p>
    <w:p w14:paraId="1775F086" w14:textId="77777777" w:rsidR="008D479B" w:rsidRDefault="008D479B" w:rsidP="008D479B">
      <w:pPr>
        <w:pStyle w:val="TextoNormal"/>
      </w:pPr>
      <w:r>
        <w:t>la siguiente</w:t>
      </w:r>
    </w:p>
    <w:p w14:paraId="4A46A082" w14:textId="12887179" w:rsidR="008D479B" w:rsidRDefault="008D479B" w:rsidP="008D479B">
      <w:pPr>
        <w:pStyle w:val="TextoNormal"/>
      </w:pPr>
    </w:p>
    <w:p w14:paraId="39387220" w14:textId="77777777" w:rsidR="008D479B" w:rsidRDefault="008D479B" w:rsidP="008D479B">
      <w:pPr>
        <w:pStyle w:val="TextoNormalCentrado"/>
        <w:keepNext/>
      </w:pPr>
      <w:r>
        <w:t>SENTENCIA</w:t>
      </w:r>
    </w:p>
    <w:p w14:paraId="012AFDB2" w14:textId="69533C2D" w:rsidR="008D479B" w:rsidRDefault="008D479B" w:rsidP="008D479B">
      <w:pPr>
        <w:pStyle w:val="TextoNormalCentrado"/>
        <w:keepNext/>
      </w:pPr>
    </w:p>
    <w:p w14:paraId="21DE0023" w14:textId="77777777" w:rsidR="008D479B" w:rsidRDefault="008D479B" w:rsidP="008D479B">
      <w:pPr>
        <w:pStyle w:val="TextoNormal"/>
      </w:pPr>
      <w:r>
        <w:t>En el recurso de amparo 4858-2022, interpuesto por el procurador de los tribunales don Enrique Alejando Sastre Botella en nombre y representación de doña A.S.P., y bajo la dirección letrada de don Francisco Jesús Bernal Pascual, contra el auto de 26 de octubre de 2021 del Juzgado de Primera Instancia núm. 4 de Denia en el procedimiento de jurisdicción voluntaria núm. 1219-2021, y contra el auto de 2 de junio de 2022 dictado por la Sección Sexta de la Audiencia Provincial de Alicante en el rollo de apelación núm. 341-2022, confirmatorio del anterior. Han intervenido el Ministerio Fiscal y don P.P.C. Ha sido ponente la magistrada doña Concepción Espejel Jorquera.</w:t>
      </w:r>
    </w:p>
    <w:p w14:paraId="6F25D38A" w14:textId="5348908B" w:rsidR="008D479B" w:rsidRDefault="008D479B" w:rsidP="008D479B">
      <w:pPr>
        <w:pStyle w:val="TextoNormal"/>
      </w:pPr>
    </w:p>
    <w:p w14:paraId="0DC6C25B" w14:textId="77777777" w:rsidR="008D479B" w:rsidRDefault="008D479B" w:rsidP="008D479B">
      <w:pPr>
        <w:pStyle w:val="TextoNormalNegritaCentrado"/>
        <w:keepNext/>
      </w:pPr>
      <w:r>
        <w:t>I. Antecedentes</w:t>
      </w:r>
    </w:p>
    <w:p w14:paraId="3CB9BDC4" w14:textId="3CB1D860" w:rsidR="008D479B" w:rsidRDefault="008D479B" w:rsidP="008D479B">
      <w:pPr>
        <w:pStyle w:val="TextoNormalNegritaCentrado"/>
        <w:keepNext/>
      </w:pPr>
    </w:p>
    <w:p w14:paraId="22FC9642" w14:textId="2EE2FA3B" w:rsidR="008D479B" w:rsidRDefault="008D479B" w:rsidP="008D479B">
      <w:pPr>
        <w:pStyle w:val="TextoNormal"/>
      </w:pPr>
      <w:r w:rsidRPr="008D479B">
        <w:rPr>
          <w:rStyle w:val="NumeroAFNegritaCaracter"/>
        </w:rPr>
        <w:t>1</w:t>
      </w:r>
      <w:r>
        <w:t>. Doña A.S.P., representada por el procurador de los tribunales don Enrique Alejandro Sastre Botella, ha interpuesto recurso de amparo contra las resoluciones judiciales indicadas en el encabezamiento de la presente resolución mediante escrito presentado en el registro de este tribunal el 4 de julio de 2022.</w:t>
      </w:r>
    </w:p>
    <w:p w14:paraId="0F2732B9" w14:textId="77777777" w:rsidR="008D479B" w:rsidRDefault="008D479B" w:rsidP="008D479B">
      <w:pPr>
        <w:pStyle w:val="TextoNormal"/>
      </w:pPr>
    </w:p>
    <w:p w14:paraId="71B199F5" w14:textId="77777777" w:rsidR="008D479B" w:rsidRDefault="008D479B" w:rsidP="008D479B">
      <w:pPr>
        <w:pStyle w:val="TextoNormal"/>
      </w:pPr>
      <w:r w:rsidRPr="008D479B">
        <w:rPr>
          <w:rStyle w:val="NumeroAFNegritaCaracter"/>
        </w:rPr>
        <w:t>2</w:t>
      </w:r>
      <w:r>
        <w:t>. Los hechos de los que trae causa la demanda de amparo son, en síntesis, los siguientes:</w:t>
      </w:r>
    </w:p>
    <w:p w14:paraId="6247D1F4" w14:textId="77777777" w:rsidR="008D479B" w:rsidRDefault="008D479B" w:rsidP="008D479B">
      <w:pPr>
        <w:pStyle w:val="TextoNormal"/>
      </w:pPr>
    </w:p>
    <w:p w14:paraId="0D9A593D" w14:textId="77777777" w:rsidR="008D479B" w:rsidRDefault="008D479B" w:rsidP="008D479B">
      <w:pPr>
        <w:pStyle w:val="TextoNormal"/>
      </w:pPr>
      <w:r>
        <w:t>a) Don P.P.C., promovió expediente de jurisdicción voluntaria al amparo de los arts. 85 y 86 de la Ley 15/2015 de 2 de julio, de la jurisdicción voluntaria (en adelante, Ley 15/2015) y art. 156 del Código civil, solicitando la intervención judicial por desacuerdo de los progenitores en el ejercicio de la patria potestad respecto del hijo menor común, de trece años de edad, por la negativa de la madre, doña A.S.P., a que le fuera administrada la vacuna contra la covid-19, considerando el actor que debería primar el interés del menor sobre las creencias de los padres y teniendo en cuenta la recomendación de las autoridades sanitarias. Solicitaba que le fuera atribuida la facultad de decidir en relación con esta cuestión.</w:t>
      </w:r>
    </w:p>
    <w:p w14:paraId="36E391E8" w14:textId="77777777" w:rsidR="008D479B" w:rsidRDefault="008D479B" w:rsidP="008D479B">
      <w:pPr>
        <w:pStyle w:val="TextoNormal"/>
      </w:pPr>
    </w:p>
    <w:p w14:paraId="68369517" w14:textId="77777777" w:rsidR="008D479B" w:rsidRDefault="008D479B" w:rsidP="008D479B">
      <w:pPr>
        <w:pStyle w:val="TextoNormal"/>
      </w:pPr>
      <w:r>
        <w:t>b) Por decreto de 3 de septiembre de 2021, se admitió la solicitud presentada y se convocó a las partes, al Ministerio Fiscal y al menor, por ser mayor de doce años, a una comparecencia el día 30 de septiembre de 2021. La comparecencia hubo de suspenderse, señalándose mediante diligencia de ordenación de 1 de octubre de 2021 nueva fecha para su celebración el día 21 de octubre de 2021.</w:t>
      </w:r>
    </w:p>
    <w:p w14:paraId="268B38AC" w14:textId="77777777" w:rsidR="008D479B" w:rsidRDefault="008D479B" w:rsidP="008D479B">
      <w:pPr>
        <w:pStyle w:val="TextoNormal"/>
      </w:pPr>
    </w:p>
    <w:p w14:paraId="79E4256F" w14:textId="77777777" w:rsidR="008D479B" w:rsidRDefault="008D479B" w:rsidP="008D479B">
      <w:pPr>
        <w:pStyle w:val="TextoNormal"/>
      </w:pPr>
      <w:r>
        <w:t>c) Doña A.S.P., presentó escrito oponiéndose a la solicitud formulada por don P.P.C., alegando razones de prudencia para que no se procediera a la vacunación del menor, teniendo en cuenta que se trata de un medicamento de terapia génica en fase experimental, no aprobada aún, sino que únicamente ha obtenido autorización condicional de comercialización. Señalaba además en su escrito la existencia de efectos adversos graves (miocarditis y pericarditis) y que el menor padeció un soplo en el corazón cuando era más pequeño, siendo, por otra parte, la vacunación innecesaria porque el riesgo de contagio en menores es mínimo y prácticamente inexistentes los casos de muerte por covid-19.</w:t>
      </w:r>
    </w:p>
    <w:p w14:paraId="1671D5AD" w14:textId="77777777" w:rsidR="008D479B" w:rsidRDefault="008D479B" w:rsidP="008D479B">
      <w:pPr>
        <w:pStyle w:val="TextoNormal"/>
      </w:pPr>
    </w:p>
    <w:p w14:paraId="27F02713" w14:textId="77777777" w:rsidR="008D479B" w:rsidRDefault="008D479B" w:rsidP="008D479B">
      <w:pPr>
        <w:pStyle w:val="TextoNormal"/>
      </w:pPr>
      <w:r>
        <w:t>d) El Juzgado de Primera Instancia núm. 4 de Denia dictó auto el 26 de octubre de 2021 por el que acordó atribuir a don P.P.C., la facultad de decidir acerca de la vacunación del menor. Basó su decisión en: (i) la voluntad del menor, manifestada en el acto de la comparecencia, donde reflejó un grado de madurez superior a su edad e indicó que la iniciativa de la vacunación era suya, relatando los perjuicios de la no administración de la vacuna y del riesgo de contagio a personas mayores con las que convivía en ocasiones; (ii) el informe pericial aportado por la madre en el que se recomienda la no vacunación en este caso concreto podría considerarse prueba ilícita, pues se trata de una prueba pericial preconstituida en la que se evalúa al menor sin el consentimiento de ambos progenitores, y además basaba su recomendación en unas patologías crónicas cuya existencia, sin embargo, es negada por la pediatra del menor en el informe presentado, debiendo otorgarse más valor a este último porque la pediatra le ha venido atendiendo desde hace años y el autor del informe aportado por la madre reconoció que no había solicitado el historial médico ni realizado pruebas diagnósticas, basando sus conclusiones en la exploración visual externa del menor, y que el padre en la comparecencia relató que, tras conocer el informe pericial, el menor fue revisado por un especialista, llegando a la conclusión de que no tenía padecimiento alguno relacionado con el corazón; (iii) la vacuna ha sido aprobada por la Agencia Europea del Medicamento y ha pasado los controles y garantías de calidad, seguridad y eficacia, siendo el balance riesgo/beneficio favorable a este último, teniendo en cuenta además que los efectos adversos de la vacuna también los proporciona la propia enfermedad.</w:t>
      </w:r>
    </w:p>
    <w:p w14:paraId="052F98DF" w14:textId="77777777" w:rsidR="008D479B" w:rsidRDefault="008D479B" w:rsidP="008D479B">
      <w:pPr>
        <w:pStyle w:val="TextoNormal"/>
      </w:pPr>
    </w:p>
    <w:p w14:paraId="6A58B24B" w14:textId="77777777" w:rsidR="008D479B" w:rsidRDefault="008D479B" w:rsidP="008D479B">
      <w:pPr>
        <w:pStyle w:val="TextoNormal"/>
      </w:pPr>
      <w:r>
        <w:t>e) Doña A.S.P., presentó recurso de apelación contra el auto de 26 de octubre de 2021 por: (i) nulidad del mismo como consecuencia de su falta de motivación, porque la comparecencia se realizó en dos fases, el 30 de septiembre y el 21 de octubre, pero el auto solo se refiere a la segunda, vulnerando el art. 24.1 CE; (ii) nulidad de actuaciones por vulneración del art. 24 CE, causando indefensión por no haberse dado traslado del acta de exploración del menor, con cita a tal efecto la STC 64/2019, de 9 de mayo; (iii) nulidad de actuaciones causante de indefensión porque, al reanudarse la comparecencia el 21 de octubre, se abrió nuevamente el período de prueba, en el que la parte contraria presentó nuevas pruebas y se admitió un informe médico aportado por la parte contraria, lo que le causó indefensión; (iv) discrepa, además, del contenido del auto, teniendo en cuenta el interés superior del menor, que en este caso aconseja la no vacunación porque: (a) a pesar de lo indicado en el auto, se trata de un medicamento de terapia génica en fase de ensayo clínico, aún no aprobado, sino sujeto a una autorización condicional de comercialización; (b) la ley exige prescripción médica y consentimiento informado, que no se están cumpliendo; (c) la vacunación en niños es innecesaria porque el riesgo de contagio para ellos es mínimo y la enfermedad en caso de contraerse es leve-moderada; (d) el principio de prudencia, en consideración a los graves efectos adversos de la vacunación, principalmente miocarditis y pericarditis, aconseja la no vacunación; (e) las manifestaciones del menor vienen condicionadas por las restricciones en que se ha desarrollado la pandemia, el miedo a contagiar a sus abuelos y la presión del grupo porque sus compañeros de clase sí se han vacunado; (f) se considera ilícita la prueba pericial de la madre, pero no la del padre, pese a que él también llevó al menor sin conocimiento ni consentimiento de la madre a un médico especialista, por lo que considera que se debe tener en cuenta el informe aportado por la recurrente, además de cuestionar el informe de la pediatra del menor porque no ha atendido al niño desde su nacimiento, sino solo en los últimos cuatro años y en escasas ocasiones, y discrepa de su criterio al recomendar la vacuna por el riesgo de efectos adversos, como miocarditis y pericarditis.</w:t>
      </w:r>
    </w:p>
    <w:p w14:paraId="52087AFA" w14:textId="77777777" w:rsidR="008D479B" w:rsidRDefault="008D479B" w:rsidP="008D479B">
      <w:pPr>
        <w:pStyle w:val="TextoNormal"/>
      </w:pPr>
    </w:p>
    <w:p w14:paraId="21B8E674" w14:textId="77777777" w:rsidR="008D479B" w:rsidRDefault="008D479B" w:rsidP="008D479B">
      <w:pPr>
        <w:pStyle w:val="TextoNormal"/>
      </w:pPr>
      <w:r>
        <w:t>f) Don P.P.C., presentó escrito de impugnación del recurso de apelación en el que negó que se hubiera producido la vulneración del derecho a la tutela judicial efectiva en el acto de la comparecencia y señaló además que la recurrente no impugnó la exploración del menor, siendo posible que esta se realice en acto separado. Desarrollaba en su escrito, además, alegaciones sobre los beneficios de la vacuna para la salud, con referencia a resoluciones de otros órganos judiciales que se han manifestado a favor de la vacunación.</w:t>
      </w:r>
    </w:p>
    <w:p w14:paraId="03024C60" w14:textId="77777777" w:rsidR="008D479B" w:rsidRDefault="008D479B" w:rsidP="008D479B">
      <w:pPr>
        <w:pStyle w:val="TextoNormal"/>
      </w:pPr>
    </w:p>
    <w:p w14:paraId="1CD02C8C" w14:textId="77777777" w:rsidR="008D479B" w:rsidRDefault="008D479B" w:rsidP="008D479B">
      <w:pPr>
        <w:pStyle w:val="TextoNormal"/>
      </w:pPr>
      <w:r>
        <w:t>g) El fiscal se opuso al recurso de apelación al considerar que el auto de primera instancia es ajustado a derecho y que la petición contenida en el escrito de demanda es coherente con las recomendaciones y directrices establecidas por las autoridades sanitarias nacionales e internacionales y viene avalada por la voluntad expresa del menor.</w:t>
      </w:r>
    </w:p>
    <w:p w14:paraId="1EC4411E" w14:textId="77777777" w:rsidR="008D479B" w:rsidRDefault="008D479B" w:rsidP="008D479B">
      <w:pPr>
        <w:pStyle w:val="TextoNormal"/>
      </w:pPr>
    </w:p>
    <w:p w14:paraId="1CD66604" w14:textId="37BCF007" w:rsidR="008D479B" w:rsidRDefault="008D479B" w:rsidP="008D479B">
      <w:pPr>
        <w:pStyle w:val="TextoNormal"/>
      </w:pPr>
      <w:r>
        <w:t>h) La Sección Sexta de la Audiencia Provincial de Alicante dictó auto el 2 de junio de 2022 por el que desestimó el recurso de apelación. Parte de considerar que la vacunación es voluntaria y que es necesario el consentimiento informado para suministrarla, de conformidad con el Convenio sobre los derechos del hombre y la biomedicina y la Ley 41/2002, de 14 de noviembre, básica reguladora de la autonomía del paciente y de derechos y obligaciones en materia de información y documentación clínica. En el caso de menores sometidos a la patria potestad, según la referida ley, estaríamos ante un supuesto de consentimiento por sustitución o representación, en el que la decisión ha de adoptarse atendiendo al mayor beneficio para la vida o salud del menor, y si la decisión fuera contraria a tales intereses, deberá ponerse en conocimiento de la autoridad judicial para que resuelva. Respecto a la petición de nulidad contenida en el recurso de apelación, considera que no procede porque se han seguido los trámites legales, la parte apelante ha formulado sus alegaciones y ha propuesto la prueba que estimó oportuna, que fue debidamente practicada, y no impugnó la exploración del menor. Respecto al fondo, considera que los argumentos de la madre expresan su opinión personal, sin que conste que tengan base científica razonable y no se corresponden con lo que mantienen las autoridades sanitarias y la Agencia Europea del Medicamento, siendo mayor y más grave el riesgo de contraer la enfermedad que el de padecer algún efecto secundario grave o poco frecuente. No consta, por otra parte, ninguna contraindicación médica respecto a la vacunación y actualmente no existe tratamiento alternativo. Por todo ello, concluye que la negativa a la vacunación perjudica el interés del menor y considera adecuado autorizar la administración de la vacuna.</w:t>
      </w:r>
    </w:p>
    <w:p w14:paraId="4E47D11F" w14:textId="77777777" w:rsidR="008D479B" w:rsidRDefault="008D479B" w:rsidP="008D479B">
      <w:pPr>
        <w:pStyle w:val="TextoNormal"/>
      </w:pPr>
    </w:p>
    <w:p w14:paraId="345994B8" w14:textId="77777777" w:rsidR="008D479B" w:rsidRDefault="008D479B" w:rsidP="008D479B">
      <w:pPr>
        <w:pStyle w:val="TextoNormal"/>
      </w:pPr>
      <w:r w:rsidRPr="008D479B">
        <w:rPr>
          <w:rStyle w:val="NumeroAFNegritaCaracter"/>
        </w:rPr>
        <w:t>3</w:t>
      </w:r>
      <w:r>
        <w:t>. La recurrente denuncia que se le han vulnerado los siguientes derechos fundamentales:</w:t>
      </w:r>
    </w:p>
    <w:p w14:paraId="1F5273F3" w14:textId="77777777" w:rsidR="008D479B" w:rsidRDefault="008D479B" w:rsidP="008D479B">
      <w:pPr>
        <w:pStyle w:val="TextoNormal"/>
      </w:pPr>
    </w:p>
    <w:p w14:paraId="478AF017" w14:textId="77777777" w:rsidR="008D479B" w:rsidRDefault="008D479B" w:rsidP="008D479B">
      <w:pPr>
        <w:pStyle w:val="TextoNormal"/>
      </w:pPr>
      <w:r>
        <w:t>(i) El derecho a la integridad física (art. 15 CE), por la falta de consentimiento informado por escrito de los progenitores y del menor respecto a la administración de un fármaco experimental en fase de ensayo clínico, según viene exigido por la citada Ley 41/2002, la Carta de derechos fundamentales de la Unión Europea y el Convenio de Oviedo, entendiéndose incluido también en la noción de vida privada del art. 8 del Convenio europeo de derechos humanos (CEDH), y de la STC 37/2011, de 28 de marzo, y exposición de la doctrina contenida en las SSTC 220/2005, de 12 de septiembre, y 160/2007, de 2 de julio.</w:t>
      </w:r>
    </w:p>
    <w:p w14:paraId="29356B5B" w14:textId="77777777" w:rsidR="008D479B" w:rsidRDefault="008D479B" w:rsidP="008D479B">
      <w:pPr>
        <w:pStyle w:val="TextoNormal"/>
      </w:pPr>
    </w:p>
    <w:p w14:paraId="0AC1DBC8" w14:textId="77777777" w:rsidR="008D479B" w:rsidRDefault="008D479B" w:rsidP="008D479B">
      <w:pPr>
        <w:pStyle w:val="TextoNormal"/>
      </w:pPr>
      <w:r>
        <w:t>(ii) Los derechos a la tutela judicial efectiva (art. 24.1 CE) y a un proceso con todas las garantías (art. 24.2 CE), en relación con la exploración del menor, porque se debía haber levantado acta y dar traslado a las partes para formular alegaciones para preservar los derechos fundamentales de las partes en el proceso, como reconoce la STC 64/2019, de 9 de mayo. Cuando el auto de apelación afirma que se realizó la exploración del menor y no fue impugnada en ningún momento por la parte recurrente, no tiene en cuenta que esta no tuvo ocasión de impugnarla porque no se le dio traslado de la misma, a pesar de la petición realizada en la vista y en el recurso de apelación, con lo que considera que se le ha causado indefensión.</w:t>
      </w:r>
    </w:p>
    <w:p w14:paraId="43BC6782" w14:textId="77777777" w:rsidR="008D479B" w:rsidRDefault="008D479B" w:rsidP="008D479B">
      <w:pPr>
        <w:pStyle w:val="TextoNormal"/>
      </w:pPr>
    </w:p>
    <w:p w14:paraId="6365DDCE" w14:textId="77777777" w:rsidR="008D479B" w:rsidRDefault="008D479B" w:rsidP="008D479B">
      <w:pPr>
        <w:pStyle w:val="TextoNormal"/>
      </w:pPr>
      <w:r>
        <w:t>(iii) El derecho a la tutela judicial efectiva (art. 24.1 CE), por falta de motivación en relación con el derecho a la prueba, lo que le ha causado indefensión porque el auto recurrido no se refiere a todo lo acontecido en la comparecencia, que tuvo lugar en dos fases, el 30 de septiembre y el 21 de octubre de 2021, omitiendo por completo la primera comparecencia, en la que se propusieron las pruebas y se practicó la exploración del menor a puerta cerrada. En la segunda comparecencia, la parte contraria formuló nueva proposición de prueba y, pese a la oposición de esta parte, la autoridad judicial admitió finalmente uno de los dos informes médicos aportados, y esta vulneración del derecho a la tutela judicial efectiva fue alegada en el recurso de apelación, sin que la audiencia provincial se haya pronunciado, pues se limitó a indicar que se había respetado el procedimiento.</w:t>
      </w:r>
    </w:p>
    <w:p w14:paraId="1D58EF09" w14:textId="77777777" w:rsidR="008D479B" w:rsidRDefault="008D479B" w:rsidP="008D479B">
      <w:pPr>
        <w:pStyle w:val="TextoNormal"/>
      </w:pPr>
    </w:p>
    <w:p w14:paraId="25F775FB" w14:textId="77777777" w:rsidR="008D479B" w:rsidRDefault="008D479B" w:rsidP="008D479B">
      <w:pPr>
        <w:pStyle w:val="TextoNormal"/>
      </w:pPr>
      <w:r>
        <w:t>En el suplico de la demanda se solicitaba, además del otorgamiento del amparo y la nulidad de las resoluciones anteriormente indicadas, que se declarase que no ha lugar al procedimiento de jurisdicción voluntaria para la inoculación de un fármaco en fase de ensayo clínico al hijo de la recurrente, sin el debido consentimiento informado por escrito a los progenitores y al menor, no habiéndose justificado la necesidad del tratamiento médico invasivo, o subsidiariamente, que se declarase la necesidad del consentimiento de ambos progenitores mientras el hijo sea menor de dieciocho años.</w:t>
      </w:r>
    </w:p>
    <w:p w14:paraId="45A1D0E3" w14:textId="77777777" w:rsidR="008D479B" w:rsidRDefault="008D479B" w:rsidP="008D479B">
      <w:pPr>
        <w:pStyle w:val="TextoNormal"/>
      </w:pPr>
    </w:p>
    <w:p w14:paraId="72E1FF88" w14:textId="41CF4218" w:rsidR="008D479B" w:rsidRDefault="008D479B" w:rsidP="008D479B">
      <w:pPr>
        <w:pStyle w:val="TextoNormal"/>
      </w:pPr>
      <w:r>
        <w:t>Por medio de otrosí, solicitó que se acordara la suspensión del auto de 26 de octubre de 2021, del Juzgado de Primera Instancia núm. 4 de Denia, dictado en el procedimiento de jurisdicción voluntaria 1219-2021.</w:t>
      </w:r>
    </w:p>
    <w:p w14:paraId="5098E34F" w14:textId="77777777" w:rsidR="008D479B" w:rsidRDefault="008D479B" w:rsidP="008D479B">
      <w:pPr>
        <w:pStyle w:val="TextoNormal"/>
      </w:pPr>
    </w:p>
    <w:p w14:paraId="28AF33C2" w14:textId="77777777" w:rsidR="008D479B" w:rsidRDefault="008D479B" w:rsidP="008D479B">
      <w:pPr>
        <w:pStyle w:val="TextoNormal"/>
      </w:pPr>
      <w:r w:rsidRPr="008D479B">
        <w:rPr>
          <w:rStyle w:val="NumeroAFNegritaCaracter"/>
        </w:rPr>
        <w:t>4</w:t>
      </w:r>
      <w:r>
        <w:t>. Mediante providencia de 6 de marzo de 2023, la Sección Primera del Tribunal Constitucional acordó admitir a trámite el recurso de amparo al apreciar que concurre en el mismo una especial trascendencia constitucional [art. 50.1 de la Ley Orgánica del Tribunal Constitucional (LOTC)], porque el recurso plantea un problema o afecta a una faceta de un derecho fundamental sobre el que no hay doctrina de este tribunal [STC 155/2009, de 25 de junio, FJ 2 a)] y el asunto suscitado trasciende del caso concreto porque plantea una cuestión jurídica de relevante y general repercusión social o económica [STC 155/2009, FJ 2 g).</w:t>
      </w:r>
    </w:p>
    <w:p w14:paraId="04E8D1C6" w14:textId="77777777" w:rsidR="008D479B" w:rsidRDefault="008D479B" w:rsidP="008D479B">
      <w:pPr>
        <w:pStyle w:val="TextoNormal"/>
      </w:pPr>
    </w:p>
    <w:p w14:paraId="20A9F884" w14:textId="708D9CC3" w:rsidR="008D479B" w:rsidRDefault="008D479B" w:rsidP="008D479B">
      <w:pPr>
        <w:pStyle w:val="TextoNormal"/>
      </w:pPr>
      <w:r>
        <w:t>Asimismo, la citada providencia acordó que, en aplicación de lo dispuesto en el art. 51 LOTC, se librase atenta comunicación a la Sección Sexta de la Audiencia Provincial de Alicante a fin de que, en plazo que no excediera de diez días, remitiera certificación o fotocopia adverada de las actuaciones correspondientes al recurso de apelación núm. 341-2022, y al Juzgado de Primera Instancia núm. 4 de Denia a fin de que, en igual plazo, remitiera certificación o fotocopia adverada de las actuaciones correspondientes al procedimiento de jurisdicción voluntaria 1219-2021; debiendo previamente emplazarse en el recurso de amparo a quienes hubieran sido parte en el procedimiento, excepto la parte recurrente en amparo, para que en el plazo de diez días pudieran comparecer, si lo desearan.</w:t>
      </w:r>
    </w:p>
    <w:p w14:paraId="0D2E090F" w14:textId="77777777" w:rsidR="008D479B" w:rsidRDefault="008D479B" w:rsidP="008D479B">
      <w:pPr>
        <w:pStyle w:val="TextoNormal"/>
      </w:pPr>
    </w:p>
    <w:p w14:paraId="361D5C35" w14:textId="55324B78" w:rsidR="008D479B" w:rsidRDefault="008D479B" w:rsidP="008D479B">
      <w:pPr>
        <w:pStyle w:val="TextoNormal"/>
      </w:pPr>
      <w:r w:rsidRPr="008D479B">
        <w:rPr>
          <w:rStyle w:val="NumeroAFNegritaCaracter"/>
        </w:rPr>
        <w:t>5</w:t>
      </w:r>
      <w:r>
        <w:t>. Mediante providencia de 6 de marzo de 2023 se acordó, a solicitud de la parte actora, la formación de pieza separada de suspensión, que tras su tramitación fue resuelta por el ATC 322/2023, de 19 de junio, que denegó la suspensión cautelar de las resoluciones judiciales impugnadas en este recurso de amparo.</w:t>
      </w:r>
    </w:p>
    <w:p w14:paraId="0401558B" w14:textId="77777777" w:rsidR="008D479B" w:rsidRDefault="008D479B" w:rsidP="008D479B">
      <w:pPr>
        <w:pStyle w:val="TextoNormal"/>
      </w:pPr>
    </w:p>
    <w:p w14:paraId="7BE94D9E" w14:textId="4053A255" w:rsidR="008D479B" w:rsidRDefault="008D479B" w:rsidP="008D479B">
      <w:pPr>
        <w:pStyle w:val="TextoNormal"/>
      </w:pPr>
      <w:r w:rsidRPr="008D479B">
        <w:rPr>
          <w:rStyle w:val="NumeroAFNegritaCaracter"/>
        </w:rPr>
        <w:t>6</w:t>
      </w:r>
      <w:r>
        <w:t>. Por diligencia de ordenación de la Secretaría de Justicia de la Sala Primera de 20 de abril de 2023, se tuvo por personado al procurador don Benjamín González López en nombre y representación de don P.P.C.</w:t>
      </w:r>
    </w:p>
    <w:p w14:paraId="5AC039C3" w14:textId="77777777" w:rsidR="008D479B" w:rsidRDefault="008D479B" w:rsidP="008D479B">
      <w:pPr>
        <w:pStyle w:val="TextoNormal"/>
      </w:pPr>
    </w:p>
    <w:p w14:paraId="69AFF4CC" w14:textId="5A8B2A4B" w:rsidR="008D479B" w:rsidRDefault="008D479B" w:rsidP="008D479B">
      <w:pPr>
        <w:pStyle w:val="TextoNormal"/>
      </w:pPr>
      <w:r w:rsidRPr="008D479B">
        <w:rPr>
          <w:rStyle w:val="NumeroAFNegritaCaracter"/>
        </w:rPr>
        <w:t>7</w:t>
      </w:r>
      <w:r>
        <w:t>. Mediante diligencia de ordenación de la Secretaría de Justicia de la Sala Primera de 4 de mayo de 2023, se tuvieron por recibidos los testimonios de las actuaciones remitidos por la Audiencia Provincial de Alicante y el Juzgado de Primera Instancia núm. 4 de Denia, y se acordó dar vista de todas las actuaciones por un plazo común de veinte días al Ministerio Fiscal y a las partes personadas, para que dentro de dicho término pudieran presentar alegaciones.</w:t>
      </w:r>
    </w:p>
    <w:p w14:paraId="3232AAA6" w14:textId="77777777" w:rsidR="008D479B" w:rsidRDefault="008D479B" w:rsidP="008D479B">
      <w:pPr>
        <w:pStyle w:val="TextoNormal"/>
      </w:pPr>
    </w:p>
    <w:p w14:paraId="34CF959A" w14:textId="1AAB0C8A" w:rsidR="008D479B" w:rsidRDefault="008D479B" w:rsidP="008D479B">
      <w:pPr>
        <w:pStyle w:val="TextoNormal"/>
      </w:pPr>
      <w:r w:rsidRPr="008D479B">
        <w:rPr>
          <w:rStyle w:val="NumeroAFNegritaCaracter"/>
        </w:rPr>
        <w:t>8</w:t>
      </w:r>
      <w:r>
        <w:t>. Mediante escrito presentado en el registro del Tribunal Constitucional el 27 de junio de 2023, la parte recurrente formuló alegaciones reiterando lo manifestado en el recurso de amparo.</w:t>
      </w:r>
    </w:p>
    <w:p w14:paraId="18C424F9" w14:textId="77777777" w:rsidR="008D479B" w:rsidRDefault="008D479B" w:rsidP="008D479B">
      <w:pPr>
        <w:pStyle w:val="TextoNormal"/>
      </w:pPr>
    </w:p>
    <w:p w14:paraId="07B502BB" w14:textId="3089453E" w:rsidR="008D479B" w:rsidRDefault="008D479B" w:rsidP="008D479B">
      <w:pPr>
        <w:pStyle w:val="TextoNormal"/>
      </w:pPr>
      <w:r w:rsidRPr="008D479B">
        <w:rPr>
          <w:rStyle w:val="NumeroAFNegritaCaracter"/>
        </w:rPr>
        <w:t>9</w:t>
      </w:r>
      <w:r>
        <w:t>. El 20 de julio de 2023, don P.P.C., presentó ante el registro de este tribunal escrito de alegaciones por el que se ratificaba en el escrito presentado el 25 de abril de 2023 en la pieza de suspensión, en el que comunicaba que el menor ya había sido vacunado.</w:t>
      </w:r>
    </w:p>
    <w:p w14:paraId="2816BAE7" w14:textId="77777777" w:rsidR="008D479B" w:rsidRDefault="008D479B" w:rsidP="008D479B">
      <w:pPr>
        <w:pStyle w:val="TextoNormal"/>
      </w:pPr>
    </w:p>
    <w:p w14:paraId="7B64241F" w14:textId="77777777" w:rsidR="008D479B" w:rsidRDefault="008D479B" w:rsidP="008D479B">
      <w:pPr>
        <w:pStyle w:val="TextoNormal"/>
      </w:pPr>
      <w:r w:rsidRPr="008D479B">
        <w:rPr>
          <w:rStyle w:val="NumeroAFNegritaCaracter"/>
        </w:rPr>
        <w:t>10</w:t>
      </w:r>
      <w:r>
        <w:t>. Por escrito presentado ante el registro del Tribunal Constitucional el día 25 de julio de 2023, el fiscal formuló sus alegaciones interesando la desestimación del recurso de amparo. Realiza varias precisiones sobre el derecho fundamental del art. 24 CE. Por una parte, la vulneración alegada del art. 24 CE por no haberse levantado acta de la declaración del menor y no darse traslado a las partes para poder presentar alegaciones, no sería en realidad una vulneración del art. 24.1 CE, sino del art. 24.2 CE, sin que esta matización constituya una reconstrucción de la demanda de amparo atendido el criterio de flexibilidad que recoge, entre otras, la STC 35/2006, de 13 de febrero. Y respecto a la tercera vulneración denunciada, no se alega infracción del principio de igualdad ante la ley, sino indefensión, por lo que la diferencia de trato que se alega debería referirse a la igualdad de armas en el proceso.</w:t>
      </w:r>
    </w:p>
    <w:p w14:paraId="3831BEE5" w14:textId="77777777" w:rsidR="008D479B" w:rsidRDefault="008D479B" w:rsidP="008D479B">
      <w:pPr>
        <w:pStyle w:val="TextoNormal"/>
      </w:pPr>
    </w:p>
    <w:p w14:paraId="58E552CD" w14:textId="77777777" w:rsidR="008D479B" w:rsidRDefault="008D479B" w:rsidP="008D479B">
      <w:pPr>
        <w:pStyle w:val="TextoNormal"/>
      </w:pPr>
      <w:r>
        <w:t>Por lo que se refiere a la vulneración del art. 24 CE por falta de traslado del contenido de la audiencia al menor, incurre, a juicio del fiscal, en causa de inadmisión, pues la demandante debió denunciarlo en la segunda comparecencia, al constatar que no se había levantado el acta ni se le había dado traslado, y en consideración a su relevancia por el objeto del pleito y la edad del menor. Y los defectos de motivación que se atribuyen al auto de apelación debieron haberse denunciado mediante el incidente de nulidad de actuaciones, lo que se erige en causa de inadmisión.</w:t>
      </w:r>
    </w:p>
    <w:p w14:paraId="3BD97C16" w14:textId="77777777" w:rsidR="008D479B" w:rsidRDefault="008D479B" w:rsidP="008D479B">
      <w:pPr>
        <w:pStyle w:val="TextoNormal"/>
      </w:pPr>
    </w:p>
    <w:p w14:paraId="6DDA26D2" w14:textId="77777777" w:rsidR="008D479B" w:rsidRDefault="008D479B" w:rsidP="008D479B">
      <w:pPr>
        <w:pStyle w:val="TextoNormal"/>
      </w:pPr>
      <w:r>
        <w:t>En cuanto al fondo de las alegaciones de la demanda, el fiscal considera que, en relación con la audiencia del menor, lo que habría causado indefensión sería la falta de traslado de lo sucedido en la audiencia, no el modo en que se documentó, porque se trata de una prueba cuyo contenido afirma la recurrente que se le ha ocultado y que fue relevante para la decisión judicial. En cuanto a la admisión indebida de una prueba de la parte contraria, unida al trato diferente entre las partes en relación con la posibilidad de analizar esa prueba para formular alegaciones, considera el fiscal que es necesario para apreciar la vulneración del derecho fundamental que la prueba indebidamente admitida sea relevante, siendo en otro caso una mera irregularidad procesal, y que la indefensión no sea causada por una actuación errónea o negligente de quien recurre. En este caso, el fiscal no aprecia vulneración del art. 24 CE en ninguno de los aspectos alegados porque, a pesar de que la audiencia del menor, que fue grabada, no se documentó en un acta, la madre sabía que se había celebrado en la primera comparecencia y, transcurridos veintiún días cuando se celebró la segunda comparecencia, no solicitó en este tiempo que se le diera traslado del contenido de la audiencia o que pidiera copia del acta; cuando lo alegó en la segunda comparecencia y el juez respondió que lo pudo haber solicitado antes, la ahora demandante no pidió la suspensión de la vista por haber sufrido indefensión, y también se aquietó al final de la vista cuando el juez manifestó que no se había levantado acta porque constaba la grabación de la audiencia del menor y podía haber pedido que se le diera traslado. A pesar de la irregularidad procesal, concluye que la falta de conocimiento de lo que declaró el menor en la audiencia se produjo por falta de diligencia de la recurrente.</w:t>
      </w:r>
    </w:p>
    <w:p w14:paraId="377C5A6D" w14:textId="77777777" w:rsidR="008D479B" w:rsidRDefault="008D479B" w:rsidP="008D479B">
      <w:pPr>
        <w:pStyle w:val="TextoNormal"/>
      </w:pPr>
    </w:p>
    <w:p w14:paraId="5FB39830" w14:textId="77777777" w:rsidR="008D479B" w:rsidRDefault="008D479B" w:rsidP="008D479B">
      <w:pPr>
        <w:pStyle w:val="TextoNormal"/>
      </w:pPr>
      <w:r>
        <w:t>Respecto a la admisión del certificado médico en la segunda comparecencia y la no suspensión de la misma por este motivo, el fiscal arguye que no se ha acreditado que fuera relevante para la resolución del pleito y tampoco aprecia que haya tenido tal relevancia, porque el auto de primera instancia no menciona esta prueba documental, sino únicamente lo declarado por el padre en la comparecencia con relación a la revisión del menor por un especialista tras conocer el informe pericial aportado.</w:t>
      </w:r>
    </w:p>
    <w:p w14:paraId="0F2A61BC" w14:textId="77777777" w:rsidR="008D479B" w:rsidRDefault="008D479B" w:rsidP="008D479B">
      <w:pPr>
        <w:pStyle w:val="TextoNormal"/>
      </w:pPr>
    </w:p>
    <w:p w14:paraId="0DA612F9" w14:textId="77777777" w:rsidR="008D479B" w:rsidRDefault="008D479B" w:rsidP="008D479B">
      <w:pPr>
        <w:pStyle w:val="TextoNormal"/>
      </w:pPr>
      <w:r>
        <w:t>Tampoco considera que se haya vulnerado el art. 24 CE por falta de motivación, porque si bien el auto de primera instancia no recogió lo acontecido en la primera comparecencia, esta omisión no resulta constitucionalmente relevante, ya que el órgano judicial valoró los documentos aportados en la misma y la audiencia del menor celebrada en ese acto. La resolución, además, contiene la motivación reforzada que exige la doctrina constitucional en relación con el interés superior del menor, valorando las alegaciones y medios de prueba aportados por ambos progenitores y los acordados de oficio. Por su parte, el auto dictado en apelación se pronunció en el mismo sentido de atender al interés superior del menor.</w:t>
      </w:r>
    </w:p>
    <w:p w14:paraId="2ADA8BB8" w14:textId="77777777" w:rsidR="008D479B" w:rsidRDefault="008D479B" w:rsidP="008D479B">
      <w:pPr>
        <w:pStyle w:val="TextoNormal"/>
      </w:pPr>
    </w:p>
    <w:p w14:paraId="32176EE6" w14:textId="77777777" w:rsidR="008D479B" w:rsidRDefault="008D479B" w:rsidP="008D479B">
      <w:pPr>
        <w:pStyle w:val="TextoNormal"/>
      </w:pPr>
      <w:r>
        <w:t>Por último, el fiscal tampoco considera que se haya vulnerado el derecho a la integridad física y moral (art. 15 CE) por ausencia de consentimiento informado. Señala que, a diferencia de la STC 38/2023, de 20 de abril, en el caso que ahora se plantea el juez determina a cuál de los dos progenitores, titulares de la patria potestad, otorga la facultad de decidir sobre la vacunación del menor, sin que el juez decida de manera definitiva sobre la vacunación, si bien su decisión tiene en cuenta qué progenitor adopta el criterio más razonable en atención al interés superior del menor. Aunque se haya otorgado la facultad de decidir al progenitor favorable a la vacunación, este puede decidir posteriormente en sentido contrario cuando cuente con información suficiente en el momento de vacunar al menor, sin que ello suponga incumplir la resolución judicial. Este entendimiento es conforme con el art. 9.3 c) de la citada Ley 41/2002. En definitiva, no se habría vulnerado el derecho a la integridad física y moral del menor porque la actuación sanitaria no se decidió en las resoluciones impugnadas. Añade el fiscal que, para el caso en que considerase que la atribución de la facultad de decidir al progenitor favorable a la vacunación implica la autorización para administrar la vacuna, tampoco aprecia que hubiera vulneración del art. 15 CE. La decisión judicial ante la discrepancia de los progenitores debe adoptarse en atención al interés superior del menor y, conforme al art. 9.3 c) de la Ley 41/2002, debe prestar consentimiento el propio menor salvo que no sea capaz intelectual o emocionalmente de comprender el alcance de la intervención, y debe ser oído el menor (art. 9 de la Ley Orgánica 1/1996 de 15 de enero, de protección jurídica del menor, de modificación parcial del Código civil y de la Ley de enjuiciamiento civil), a los efectos de tener en cuenta su voluntad en mayor o menor medida en función de su madurez.</w:t>
      </w:r>
    </w:p>
    <w:p w14:paraId="335B25F6" w14:textId="77777777" w:rsidR="008D479B" w:rsidRDefault="008D479B" w:rsidP="008D479B">
      <w:pPr>
        <w:pStyle w:val="TextoNormal"/>
      </w:pPr>
    </w:p>
    <w:p w14:paraId="0A28B819" w14:textId="121E8E3C" w:rsidR="008D479B" w:rsidRDefault="008D479B" w:rsidP="008D479B">
      <w:pPr>
        <w:pStyle w:val="TextoNormal"/>
      </w:pPr>
      <w:r>
        <w:t>En este caso, el menor tenía trece años y fue oído por el juez antes de dictar la resolución judicial, en la que se valoró la voluntad del menor y su grado de madurez, con expresión de las razones por las que el criterio del progenitor favorable a la vacunación resultaba más acorde con el interés superior del menor.</w:t>
      </w:r>
    </w:p>
    <w:p w14:paraId="66E0E547" w14:textId="77777777" w:rsidR="008D479B" w:rsidRDefault="008D479B" w:rsidP="008D479B">
      <w:pPr>
        <w:pStyle w:val="TextoNormal"/>
      </w:pPr>
    </w:p>
    <w:p w14:paraId="1DDCC09D" w14:textId="38D61B41" w:rsidR="008D479B" w:rsidRDefault="008D479B" w:rsidP="008D479B">
      <w:pPr>
        <w:pStyle w:val="TextoNormal"/>
      </w:pPr>
      <w:r w:rsidRPr="008D479B">
        <w:rPr>
          <w:rStyle w:val="NumeroAFNegritaCaracter"/>
        </w:rPr>
        <w:t>11</w:t>
      </w:r>
      <w:r>
        <w:t>. Por providencia de 16 de noviembre de 2023 se señaló para deliberación y votación de la presente sentencia el día 20 de noviembre de 2023.</w:t>
      </w:r>
    </w:p>
    <w:p w14:paraId="24B8B6F3" w14:textId="77777777" w:rsidR="008D479B" w:rsidRDefault="008D479B" w:rsidP="008D479B">
      <w:pPr>
        <w:pStyle w:val="TextoNormal"/>
      </w:pPr>
    </w:p>
    <w:p w14:paraId="38BDF289" w14:textId="77777777" w:rsidR="008D479B" w:rsidRDefault="008D479B" w:rsidP="008D479B">
      <w:pPr>
        <w:pStyle w:val="TextoNormalNegritaCentrado"/>
        <w:keepNext/>
      </w:pPr>
      <w:r>
        <w:t>II. Fundamentos jurídicos</w:t>
      </w:r>
    </w:p>
    <w:p w14:paraId="49402CE6" w14:textId="3E074A66" w:rsidR="008D479B" w:rsidRDefault="008D479B" w:rsidP="008D479B">
      <w:pPr>
        <w:pStyle w:val="TextoNormalNegritaCentrado"/>
        <w:keepNext/>
      </w:pPr>
    </w:p>
    <w:p w14:paraId="5678C3C5" w14:textId="77777777" w:rsidR="008D479B" w:rsidRDefault="008D479B" w:rsidP="008D479B">
      <w:pPr>
        <w:pStyle w:val="TextoNormal"/>
      </w:pPr>
      <w:r w:rsidRPr="008D479B">
        <w:rPr>
          <w:rStyle w:val="NumeroAFNegritaCaracter"/>
        </w:rPr>
        <w:t>1</w:t>
      </w:r>
      <w:r>
        <w:t xml:space="preserve">. </w:t>
      </w:r>
      <w:r w:rsidRPr="008D479B">
        <w:rPr>
          <w:i/>
        </w:rPr>
        <w:t>Objeto del recurso</w:t>
      </w:r>
    </w:p>
    <w:p w14:paraId="4DD32069" w14:textId="77777777" w:rsidR="008D479B" w:rsidRDefault="008D479B" w:rsidP="008D479B">
      <w:pPr>
        <w:pStyle w:val="TextoNormal"/>
      </w:pPr>
    </w:p>
    <w:p w14:paraId="4C7234D7" w14:textId="77777777" w:rsidR="008D479B" w:rsidRDefault="008D479B" w:rsidP="008D479B">
      <w:pPr>
        <w:pStyle w:val="TextoNormal"/>
      </w:pPr>
      <w:r>
        <w:t>El presente recurso de amparo se dirige contra el auto de 26 de octubre de 2021 del Juzgado de Primera Instancia núm. 4 de Denia, dictado en el procedimiento de intervención judicial por desacuerdo en el ejercicio de la patria potestad núm. 1219-2021, que atribuyó a don P.P.C., la facultad de decidir sobre la administración de la vacuna frente a la covid-19 a su hijo menor de edad. También se impugna el auto de 2 de junio de 2022 dictado por la Sección Sexta de la Audiencia Provincial de Alicante en el rollo de apelación núm. 341-2022, confirmatorio del anterior.</w:t>
      </w:r>
    </w:p>
    <w:p w14:paraId="4D251696" w14:textId="77777777" w:rsidR="008D479B" w:rsidRDefault="008D479B" w:rsidP="008D479B">
      <w:pPr>
        <w:pStyle w:val="TextoNormal"/>
      </w:pPr>
    </w:p>
    <w:p w14:paraId="16A05341" w14:textId="55827744" w:rsidR="008D479B" w:rsidRDefault="008D479B" w:rsidP="008D479B">
      <w:pPr>
        <w:pStyle w:val="TextoNormal"/>
      </w:pPr>
      <w:r>
        <w:t>Dada la naturaleza de los hechos, debe señalarse que, en aplicación de las potestades atribuidas a este tribunal por el art. 86.3 LOTC y el acuerdo del Pleno de 23 de julio de 2015, por el que se regula la exclusión de los datos de identidad personal en la publicación de las resoluciones jurisdiccionales (“Boletín Oficial del Estado” núm. 178, de 27 de julio de 2015), la presente sentencia y demás actuaciones del proceso no incluyen la identificación completa de la persona menor de edad afectada ni la de sus parientes inmediatos que aparecen mencionados en las actuaciones, con el fin de proteger la intimidad de aquella.</w:t>
      </w:r>
    </w:p>
    <w:p w14:paraId="1FF2ACE1" w14:textId="77777777" w:rsidR="008D479B" w:rsidRDefault="008D479B" w:rsidP="008D479B">
      <w:pPr>
        <w:pStyle w:val="TextoNormal"/>
      </w:pPr>
    </w:p>
    <w:p w14:paraId="7AF5E13E" w14:textId="77777777" w:rsidR="008D479B" w:rsidRDefault="008D479B" w:rsidP="008D479B">
      <w:pPr>
        <w:pStyle w:val="TextoNormal"/>
      </w:pPr>
      <w:r w:rsidRPr="008D479B">
        <w:rPr>
          <w:rStyle w:val="NumeroAFNegritaCaracter"/>
        </w:rPr>
        <w:t>2</w:t>
      </w:r>
      <w:r>
        <w:t xml:space="preserve">. </w:t>
      </w:r>
      <w:r w:rsidRPr="008D479B">
        <w:rPr>
          <w:i/>
        </w:rPr>
        <w:t>Cuestiones previas y delimitación de los derechos fundamentales concernidos</w:t>
      </w:r>
    </w:p>
    <w:p w14:paraId="2F9F5C64" w14:textId="77777777" w:rsidR="008D479B" w:rsidRDefault="008D479B" w:rsidP="008D479B">
      <w:pPr>
        <w:pStyle w:val="TextoNormal"/>
      </w:pPr>
    </w:p>
    <w:p w14:paraId="43E869D6" w14:textId="77777777" w:rsidR="008D479B" w:rsidRDefault="008D479B" w:rsidP="008D479B">
      <w:pPr>
        <w:pStyle w:val="TextoNormal"/>
      </w:pPr>
      <w:r>
        <w:t>Con carácter previo al examen de las cuestiones de fondo planteadas en la demanda de amparo, deben hacerse las siguientes precisiones:</w:t>
      </w:r>
    </w:p>
    <w:p w14:paraId="65AEBAC5" w14:textId="77777777" w:rsidR="008D479B" w:rsidRDefault="008D479B" w:rsidP="008D479B">
      <w:pPr>
        <w:pStyle w:val="TextoNormal"/>
      </w:pPr>
    </w:p>
    <w:p w14:paraId="6A7E9F89" w14:textId="77777777" w:rsidR="008D479B" w:rsidRDefault="008D479B" w:rsidP="008D479B">
      <w:pPr>
        <w:pStyle w:val="TextoNormal"/>
      </w:pPr>
      <w:r>
        <w:t>a) Debe rechazarse la alegación de inadecuación del procedimiento de jurisdicción voluntaria por los motivos indicados en la STC 148/2023, de 6 de noviembre, FJ 2 b).</w:t>
      </w:r>
    </w:p>
    <w:p w14:paraId="27B700F8" w14:textId="77777777" w:rsidR="008D479B" w:rsidRDefault="008D479B" w:rsidP="008D479B">
      <w:pPr>
        <w:pStyle w:val="TextoNormal"/>
      </w:pPr>
    </w:p>
    <w:p w14:paraId="77EB17B2" w14:textId="77777777" w:rsidR="008D479B" w:rsidRDefault="008D479B" w:rsidP="008D479B">
      <w:pPr>
        <w:pStyle w:val="TextoNormal"/>
      </w:pPr>
      <w:r>
        <w:t>b) Respecto a la alegada vulneración del art. 24 CE por no haberse levantado acta ni haberse dado traslado del contenido de la audiencia del menor, la recurrente debió haberlo denunciado en la segunda comparecencia y, al no hacerlo hasta que planteó el recurso de apelación, ha incurrido en un agotamiento defectuoso de la vía judicial, que equivale a la falta de agotamiento.</w:t>
      </w:r>
    </w:p>
    <w:p w14:paraId="39514832" w14:textId="77777777" w:rsidR="008D479B" w:rsidRDefault="008D479B" w:rsidP="008D479B">
      <w:pPr>
        <w:pStyle w:val="TextoNormal"/>
      </w:pPr>
    </w:p>
    <w:p w14:paraId="764CA19E" w14:textId="275DFA85" w:rsidR="008D479B" w:rsidRDefault="008D479B" w:rsidP="008D479B">
      <w:pPr>
        <w:pStyle w:val="TextoNormal"/>
      </w:pPr>
      <w:r>
        <w:t>c) La demandante alega, como núcleo central de su pretensión, la vulneración del derecho a la integridad personal reconocido en el art. 15 CE, de modo que las quejas planteadas bajo la cobertura del art. 24.1 CE en relación con el deber de motivación deben calificarse de instrumentales en relación con la queja de vulneración del derecho a la integridad personal.</w:t>
      </w:r>
    </w:p>
    <w:p w14:paraId="233AAB63" w14:textId="77777777" w:rsidR="008D479B" w:rsidRDefault="008D479B" w:rsidP="008D479B">
      <w:pPr>
        <w:pStyle w:val="TextoNormal"/>
      </w:pPr>
    </w:p>
    <w:p w14:paraId="41D37DAE" w14:textId="77777777" w:rsidR="008D479B" w:rsidRDefault="008D479B" w:rsidP="008D479B">
      <w:pPr>
        <w:pStyle w:val="TextoNormal"/>
      </w:pPr>
      <w:r w:rsidRPr="008D479B">
        <w:rPr>
          <w:rStyle w:val="NumeroAFNegritaCaracter"/>
        </w:rPr>
        <w:t>3</w:t>
      </w:r>
      <w:r>
        <w:t xml:space="preserve">. </w:t>
      </w:r>
      <w:r w:rsidRPr="008D479B">
        <w:rPr>
          <w:i/>
        </w:rPr>
        <w:t>Examen de la eventual vulneración del derecho a la tutela judicial efectiva (art. 24.1 CE</w:t>
      </w:r>
      <w:r>
        <w:t>)</w:t>
      </w:r>
    </w:p>
    <w:p w14:paraId="53163525" w14:textId="77777777" w:rsidR="008D479B" w:rsidRDefault="008D479B" w:rsidP="008D479B">
      <w:pPr>
        <w:pStyle w:val="TextoNormal"/>
      </w:pPr>
    </w:p>
    <w:p w14:paraId="1C4D3FFD" w14:textId="4A18CDCE" w:rsidR="008D479B" w:rsidRDefault="008D479B" w:rsidP="008D479B">
      <w:pPr>
        <w:pStyle w:val="TextoNormal"/>
      </w:pPr>
      <w:r>
        <w:t>Alega la recurrente que se ha vulnerado su derecho a la tutela judicial efectiva (art. 24.1 CE) en relación con el derecho a la prueba, causándole indefensión, porque en la segunda comparecencia la otra parte realizó nueva proposición de prueba y, pese a la oposición de la recurrente, se admitió uno de los informes médicos aportados. No acredita la recurrente, sin embargo, que esta prueba fuera relevante para el resultado del procedimiento, ni se desprende tal relevancia del contenido de las resoluciones judiciales dictadas, lo que determina la desestimación de esta impugnación.</w:t>
      </w:r>
    </w:p>
    <w:p w14:paraId="6A27291E" w14:textId="77777777" w:rsidR="008D479B" w:rsidRDefault="008D479B" w:rsidP="008D479B">
      <w:pPr>
        <w:pStyle w:val="TextoNormal"/>
      </w:pPr>
    </w:p>
    <w:p w14:paraId="314E4305" w14:textId="77777777" w:rsidR="008D479B" w:rsidRDefault="008D479B" w:rsidP="008D479B">
      <w:pPr>
        <w:pStyle w:val="TextoNormal"/>
      </w:pPr>
      <w:r w:rsidRPr="008D479B">
        <w:rPr>
          <w:rStyle w:val="NumeroAFNegritaCaracter"/>
        </w:rPr>
        <w:t>4</w:t>
      </w:r>
      <w:r>
        <w:t xml:space="preserve">. </w:t>
      </w:r>
      <w:r w:rsidRPr="008D479B">
        <w:rPr>
          <w:i/>
        </w:rPr>
        <w:t>El derecho a la integridad física y moral en los supuestos de administración de vacunas contra la covid-19 (art. 15 CE). Aplicación de la doctrina constitucional expuesta en la STC 148/2023, de 6 de noviembre</w:t>
      </w:r>
    </w:p>
    <w:p w14:paraId="6E76F18C" w14:textId="77777777" w:rsidR="008D479B" w:rsidRDefault="008D479B" w:rsidP="008D479B">
      <w:pPr>
        <w:pStyle w:val="TextoNormal"/>
      </w:pPr>
    </w:p>
    <w:p w14:paraId="698BCA7C" w14:textId="77777777" w:rsidR="008D479B" w:rsidRDefault="008D479B" w:rsidP="008D479B">
      <w:pPr>
        <w:pStyle w:val="TextoNormal"/>
      </w:pPr>
      <w:r>
        <w:t>La cuestión constitucional suscitada en este recurso en relación con el derecho fundamental a la integridad física y moral (art. 15 CE) es análoga a la que ya ha sido objeto de análisis por el Pleno de este tribunal en la STC 148/2023, de 6 de noviembre, en cuyos fundamentos jurídicos 4 y 5 se expusieron de manera pormenorizada las pautas de ponderación necesarias para determinar si en este tipo de supuestos se ha vulnerado el derecho a la integridad personal.</w:t>
      </w:r>
    </w:p>
    <w:p w14:paraId="6980BE3F" w14:textId="77777777" w:rsidR="008D479B" w:rsidRDefault="008D479B" w:rsidP="008D479B">
      <w:pPr>
        <w:pStyle w:val="TextoNormal"/>
      </w:pPr>
    </w:p>
    <w:p w14:paraId="119E6CEF" w14:textId="77777777" w:rsidR="008D479B" w:rsidRDefault="008D479B" w:rsidP="008D479B">
      <w:pPr>
        <w:pStyle w:val="TextoNormal"/>
      </w:pPr>
      <w:r>
        <w:t>En la misma sentencia se cita la STC 154/2002, de 18 de julio, FJ 10, en la que ya precisamos que: (i) el reconocimiento excepcional de la capacidad del menor respecto de determinados actos jurídicos, como son los que afectan a su integridad física, no es de suyo suficiente para, por vía de equiparación reconocer en todo caso eficacia jurídica a los actos —o decisiones— del menor; y (ii) la exclusión de la representación legal en tales casos debe entenderse siempre sin perjuicio del deber de los progenitores de velar y cuidar del menor y salvaguardar su interés superior, obligaciones que no desaparecen por el hecho de que se reconozca a la persona menor cierto grado de autodeterminación; (iii) la validez y eficacia de las decisiones adoptadas por una persona menor de edad en ejercicio de su derecho a la integridad física habrán de determinarse teniendo siempre en cuenta la prevalencia de su interés superior, que ha de ser siempre tutelado por los padres y, en su caso, por los órganos judiciales, poniendo a dicho interés en relación con los efectos previsibles de tales decisiones y su eventual permanencia o irreparabilidad.</w:t>
      </w:r>
    </w:p>
    <w:p w14:paraId="0CA62737" w14:textId="77777777" w:rsidR="008D479B" w:rsidRDefault="008D479B" w:rsidP="008D479B">
      <w:pPr>
        <w:pStyle w:val="TextoNormal"/>
      </w:pPr>
    </w:p>
    <w:p w14:paraId="2B5C4073" w14:textId="77777777" w:rsidR="008D479B" w:rsidRDefault="008D479B" w:rsidP="008D479B">
      <w:pPr>
        <w:pStyle w:val="TextoNormal"/>
      </w:pPr>
      <w:r>
        <w:t>En definitiva, la capacidad general de autodeterminación de las personas que todavía no hayan alcanzado la mayoría de edad en relación con las actuaciones médicas que les afectan encuentra su límite en la protección de su interés superior, que se impone como obligación a los progenitores, en cuanto titulares de la patria potestad o autoridad familiar y a todos los poderes públicos, incluida la autoridad judicial. A todos ellos corresponde garantizar que la decisión final relativa a la actuación médica en cuestión no trae consigo una quiebra relevante, persistente y/o irreparable de dicho interés superior.</w:t>
      </w:r>
    </w:p>
    <w:p w14:paraId="5026BF5E" w14:textId="77777777" w:rsidR="008D479B" w:rsidRDefault="008D479B" w:rsidP="008D479B">
      <w:pPr>
        <w:pStyle w:val="TextoNormal"/>
      </w:pPr>
    </w:p>
    <w:p w14:paraId="5EEBB1EA" w14:textId="54258845" w:rsidR="008D479B" w:rsidRDefault="008D479B" w:rsidP="008D479B">
      <w:pPr>
        <w:pStyle w:val="TextoNormal"/>
      </w:pPr>
      <w:r>
        <w:t>En atención a lo expuesto, en este caso, como también se concluyó en la STC 148/2023, FJ 5, el Tribunal rechaza que se haya vulnerado el art. 15 CE al constatarse que (i) se cumple el presupuesto básico que el art. 9.3, letra c) de la Ley 41/2002, establece para que pueda acudirse al consentimiento por representación —otorgado por los progenitores de común acuerdo o por la autoridad judicial en caso de desacuerdo— porque el menor, de trece años de edad, tuvo la iniciativa favorable en ser vacunado y los padres contaban con la información adecuada para la prestación del consentimiento desde un momento anterior incluso a la iniciación del procedimiento de jurisdicción voluntaria, por lo que no cabe apreciar la ausencia de consentimiento informado; y (ii) la motivación de las resoluciones judiciales tuvo como fundamento esencial la protección del interés superior del menor en relación con la protección de su salud, teniendo en cuenta la recomendación de las autoridades sanitarias, que se mostraban a favor de la vacunación de menores haciendo una ponderación de riesgos y beneficios de la vacuna, que el órgano judicial no estima desvirtuadas por los informes aportados por la recurrente.</w:t>
      </w:r>
    </w:p>
    <w:p w14:paraId="262DE4D4" w14:textId="77777777" w:rsidR="008D479B" w:rsidRDefault="008D479B" w:rsidP="008D479B">
      <w:pPr>
        <w:pStyle w:val="TextoNormal"/>
      </w:pPr>
    </w:p>
    <w:p w14:paraId="6CA00008" w14:textId="77777777" w:rsidR="008D479B" w:rsidRDefault="008D479B" w:rsidP="008D479B">
      <w:pPr>
        <w:pStyle w:val="TextoNormalCentrado"/>
        <w:keepNext/>
      </w:pPr>
      <w:r>
        <w:t>FALLO</w:t>
      </w:r>
    </w:p>
    <w:p w14:paraId="1036189D" w14:textId="065B0373" w:rsidR="008D479B" w:rsidRDefault="008D479B" w:rsidP="008D479B">
      <w:pPr>
        <w:pStyle w:val="TextoNormalCentrado"/>
        <w:keepNext/>
      </w:pPr>
    </w:p>
    <w:p w14:paraId="7A3E272D" w14:textId="3D71D9E4" w:rsidR="008D479B" w:rsidRDefault="008D479B" w:rsidP="008D479B">
      <w:pPr>
        <w:pStyle w:val="TextoNormal"/>
      </w:pPr>
      <w:r>
        <w:t>En atención a todo lo expuesto, el Tribunal Constitucional, por la autoridad que le confiere la Constitución de la Nación española, ha decidido desestimar el recurso de amparo interpuesto por doña A.S.P.</w:t>
      </w:r>
    </w:p>
    <w:p w14:paraId="276E522D" w14:textId="77777777" w:rsidR="008D479B" w:rsidRDefault="008D479B" w:rsidP="008D479B">
      <w:pPr>
        <w:pStyle w:val="TextoNormal"/>
      </w:pPr>
    </w:p>
    <w:p w14:paraId="00D20CA0" w14:textId="77777777" w:rsidR="008D479B" w:rsidRDefault="008D479B" w:rsidP="008D479B">
      <w:pPr>
        <w:pStyle w:val="TextoNormal"/>
      </w:pPr>
      <w:r>
        <w:t>Publíquese esta sentencia en el “Boletín Oficial del Estado”.</w:t>
      </w:r>
    </w:p>
    <w:p w14:paraId="1550C618" w14:textId="77777777" w:rsidR="008D479B" w:rsidRDefault="008D479B" w:rsidP="008D479B">
      <w:pPr>
        <w:pStyle w:val="TextoNormal"/>
      </w:pPr>
      <w:r>
        <w:t>Dada en Madrid, a veinte de noviembre de dos mil veintitrés.</w:t>
      </w:r>
    </w:p>
    <w:p w14:paraId="76EAEEDA" w14:textId="2DDA0B98" w:rsidR="008D479B" w:rsidRDefault="008D479B">
      <w:pPr>
        <w:spacing w:after="160" w:line="278" w:lineRule="auto"/>
        <w:rPr>
          <w:rFonts w:ascii="Times New Roman" w:eastAsia="Times New Roman" w:hAnsi="Times New Roman" w:cs="Times New Roman"/>
          <w:sz w:val="24"/>
          <w:szCs w:val="24"/>
          <w:lang w:eastAsia="es-ES"/>
        </w:rPr>
      </w:pPr>
      <w:r>
        <w:br w:type="page"/>
      </w:r>
    </w:p>
    <w:p w14:paraId="34DA6797" w14:textId="77777777" w:rsidR="008D479B" w:rsidRDefault="008D479B" w:rsidP="008D479B">
      <w:pPr>
        <w:pStyle w:val="TtuloResolucin"/>
      </w:pPr>
      <w:bookmarkStart w:id="81" w:name="SENTENCIA_2023_156"/>
      <w:r>
        <w:t>SENTENCIA 156/2023, de 20 de noviembre de 2023</w:t>
      </w:r>
    </w:p>
    <w:bookmarkEnd w:id="81"/>
    <w:p w14:paraId="269E245B" w14:textId="77777777" w:rsidR="008D479B" w:rsidRDefault="008D479B" w:rsidP="008D479B">
      <w:pPr>
        <w:pStyle w:val="TtuloResolucin"/>
      </w:pPr>
      <w:r>
        <w:t>Sala Primera</w:t>
      </w:r>
    </w:p>
    <w:p w14:paraId="468556B1" w14:textId="77777777" w:rsidR="008D479B" w:rsidRDefault="008D479B" w:rsidP="008D479B">
      <w:pPr>
        <w:pStyle w:val="TtuloBOE"/>
      </w:pPr>
      <w:r>
        <w:t>(BOE núm. 304, de 21 de diciembre de 2023)</w:t>
      </w:r>
    </w:p>
    <w:p w14:paraId="2051841D" w14:textId="77777777" w:rsidR="008D479B" w:rsidRDefault="008D479B" w:rsidP="008D479B">
      <w:pPr>
        <w:pStyle w:val="TextoNormalCentrado"/>
      </w:pPr>
      <w:r>
        <w:t>ECLI:ES:TC:2023:156</w:t>
      </w:r>
    </w:p>
    <w:p w14:paraId="490565CD" w14:textId="6F1F56CA" w:rsidR="008D479B" w:rsidRDefault="008D479B" w:rsidP="008D479B">
      <w:pPr>
        <w:pStyle w:val="TextoNormalCentrado"/>
      </w:pPr>
    </w:p>
    <w:p w14:paraId="6C09A17D" w14:textId="77777777" w:rsidR="008D479B" w:rsidRDefault="008D479B" w:rsidP="008D479B">
      <w:pPr>
        <w:pStyle w:val="SntesisDescriptiva"/>
      </w:pPr>
      <w:r>
        <w:t>Recurso de amparo 5687-2022. Promovido por don J.J.R.B., respecto de los autos dictados por la Audiencia Provincial de Valladolid y un juzgado de primera instancia de esa capital que acordaron la administración de la vacuna frente a la covid-19.</w:t>
      </w:r>
    </w:p>
    <w:p w14:paraId="519659E4" w14:textId="10035CBE" w:rsidR="008D479B" w:rsidRDefault="008D479B" w:rsidP="008D479B">
      <w:pPr>
        <w:pStyle w:val="SntesisDescriptiva"/>
      </w:pPr>
    </w:p>
    <w:p w14:paraId="2CEEC47E" w14:textId="77777777" w:rsidR="008D479B" w:rsidRDefault="008D479B" w:rsidP="008D479B">
      <w:pPr>
        <w:pStyle w:val="SntesisAnaltica"/>
      </w:pPr>
      <w:r>
        <w:t>Supuesta vulneración de los derechos a la integridad física, a la tutela judicial efectiva (motivación) y a un proceso con todas las garantías: STC 148/2023 [resoluciones judiciales que realizaron una ponderación adecuada de los intereses de una persona menor de edad (STC 38/2023)].</w:t>
      </w:r>
    </w:p>
    <w:p w14:paraId="78771741" w14:textId="7E26AE04" w:rsidR="008D479B" w:rsidRDefault="008D479B" w:rsidP="008D479B">
      <w:pPr>
        <w:pStyle w:val="SntesisAnaltica"/>
      </w:pPr>
    </w:p>
    <w:p w14:paraId="18D3B55B" w14:textId="3624E858" w:rsidR="008D479B" w:rsidRDefault="008D479B" w:rsidP="008D479B">
      <w:pPr>
        <w:pStyle w:val="Extracto"/>
      </w:pPr>
      <w:r>
        <w:t>1.</w:t>
      </w:r>
      <w:r>
        <w:tab/>
        <w:t>La capacidad general de autodeterminación de las personas menores de edad, en relación con las actuaciones médicas que les afectan, encuentra su límite en la protección de su interés superior, que se impone como obligación a los progenitores, en cuanto titulares de la patria potestad o autoridad familiar, y a todos los poderes públicos, incluida la autoridad judicial (STC 148/2023) [FJ 3].</w:t>
      </w:r>
    </w:p>
    <w:p w14:paraId="27878E6C" w14:textId="77777777" w:rsidR="008D479B" w:rsidRDefault="008D479B" w:rsidP="008D479B">
      <w:pPr>
        <w:pStyle w:val="Extracto"/>
      </w:pPr>
    </w:p>
    <w:p w14:paraId="4F5C79EF" w14:textId="2CD542A5" w:rsidR="008D479B" w:rsidRDefault="008D479B" w:rsidP="008D479B">
      <w:pPr>
        <w:pStyle w:val="Extracto"/>
      </w:pPr>
      <w:r>
        <w:t>2.</w:t>
      </w:r>
      <w:r>
        <w:tab/>
        <w:t>La decisión de los representantes legales relativa al otorgamiento o no del consentimiento informado por representación deberá atender a la protección del derecho a la vida, supervivencia y desarrollo del menor y la satisfacción de sus necesidades básicas, tanto materiales, físicas y educativas como emocionales y afectivas [art. 2.2, letra a) de la Ley Orgánica 1/1996]; y es preciso buscar el mayor beneficio para la vida o salud del paciente menor de edad, teniendo en cuenta las circunstancias concurrentes y sus necesidades, que deben ser atendidas (STC 148/2023) [FJ 3].</w:t>
      </w:r>
    </w:p>
    <w:p w14:paraId="6E0A8C1F" w14:textId="77777777" w:rsidR="008D479B" w:rsidRDefault="008D479B" w:rsidP="008D479B">
      <w:pPr>
        <w:pStyle w:val="Extracto"/>
      </w:pPr>
    </w:p>
    <w:p w14:paraId="2E98F2CB" w14:textId="77777777" w:rsidR="008D479B" w:rsidRDefault="008D479B" w:rsidP="008D479B">
      <w:pPr>
        <w:pStyle w:val="Extracto"/>
      </w:pPr>
    </w:p>
    <w:p w14:paraId="76F5A799" w14:textId="77777777" w:rsidR="008D479B" w:rsidRDefault="008D479B" w:rsidP="008D479B">
      <w:pPr>
        <w:pStyle w:val="TextoNormal"/>
      </w:pPr>
      <w:r>
        <w:t>La Sala Primera del Tribunal Constitucional, compuesta por el magistrado don Cándido Conde-Pumpido Tourón, presidente, y los magistrados y magistradas don Ricardo Enríquez Sancho, doña Concepción Espejel Jorquera, doña María Luisa Segoviano Astaburuaga y don Juan Carlos Campo Moreno, ha pronunciado</w:t>
      </w:r>
    </w:p>
    <w:p w14:paraId="752CBB69" w14:textId="42E56F8F" w:rsidR="008D479B" w:rsidRDefault="008D479B" w:rsidP="008D479B">
      <w:pPr>
        <w:pStyle w:val="TextoNormal"/>
      </w:pPr>
    </w:p>
    <w:p w14:paraId="780277C0" w14:textId="77777777" w:rsidR="008D479B" w:rsidRDefault="008D479B" w:rsidP="008D479B">
      <w:pPr>
        <w:pStyle w:val="TextoNormalCentrado"/>
        <w:keepNext/>
      </w:pPr>
      <w:r>
        <w:t>EN NOMBRE DEL REY</w:t>
      </w:r>
    </w:p>
    <w:p w14:paraId="1A15399A" w14:textId="3B4F9B38" w:rsidR="008D479B" w:rsidRDefault="008D479B" w:rsidP="008D479B">
      <w:pPr>
        <w:pStyle w:val="TextoNormalCentrado"/>
        <w:keepNext/>
      </w:pPr>
    </w:p>
    <w:p w14:paraId="0077CD0D" w14:textId="77777777" w:rsidR="008D479B" w:rsidRDefault="008D479B" w:rsidP="008D479B">
      <w:pPr>
        <w:pStyle w:val="TextoNormalCentrado"/>
        <w:keepNext/>
      </w:pPr>
    </w:p>
    <w:p w14:paraId="20725EFC" w14:textId="77777777" w:rsidR="008D479B" w:rsidRDefault="008D479B" w:rsidP="008D479B">
      <w:pPr>
        <w:pStyle w:val="TextoNormal"/>
      </w:pPr>
      <w:r>
        <w:t>la siguiente</w:t>
      </w:r>
    </w:p>
    <w:p w14:paraId="44BE91C6" w14:textId="5DEB2189" w:rsidR="008D479B" w:rsidRDefault="008D479B" w:rsidP="008D479B">
      <w:pPr>
        <w:pStyle w:val="TextoNormal"/>
      </w:pPr>
    </w:p>
    <w:p w14:paraId="2250C641" w14:textId="77777777" w:rsidR="008D479B" w:rsidRDefault="008D479B" w:rsidP="008D479B">
      <w:pPr>
        <w:pStyle w:val="TextoNormalCentrado"/>
        <w:keepNext/>
      </w:pPr>
      <w:r>
        <w:t>SENTENCIA</w:t>
      </w:r>
    </w:p>
    <w:p w14:paraId="046884E8" w14:textId="38BF69F6" w:rsidR="008D479B" w:rsidRDefault="008D479B" w:rsidP="008D479B">
      <w:pPr>
        <w:pStyle w:val="TextoNormalCentrado"/>
        <w:keepNext/>
      </w:pPr>
    </w:p>
    <w:p w14:paraId="53CBF711" w14:textId="77777777" w:rsidR="008D479B" w:rsidRDefault="008D479B" w:rsidP="008D479B">
      <w:pPr>
        <w:pStyle w:val="TextoNormal"/>
      </w:pPr>
      <w:r>
        <w:t>En el recurso de amparo núm. 5687-2022, interpuesto por la procuradora de los tribunales doña María Cristina Sosa González, en nombre y representación de don J.J.R.B., bajo la dirección técnica de la letrada doña Cristina Armas Suárez, contra el auto núm. 107/2022, de 18 de febrero dictado por el Juzgado de Primera Instancia núm. 3 de Valladolid en el procedimiento de jurisdicción voluntaria núm. 1084-2021 y contra el auto núm. 159/2022, de 24 de junio dictado por la Sección Primera de la Audiencia Provincial de Valladolid, en el rollo de apelación núm. 255-2022. Ha intervenido el Ministerio Fiscal. Ha sido ponente el presidente del Tribunal Constitucional, don Cándido Conde-Pumpido Tourón.</w:t>
      </w:r>
    </w:p>
    <w:p w14:paraId="2FFAE9DA" w14:textId="4D15AE49" w:rsidR="008D479B" w:rsidRDefault="008D479B" w:rsidP="008D479B">
      <w:pPr>
        <w:pStyle w:val="TextoNormal"/>
      </w:pPr>
    </w:p>
    <w:p w14:paraId="7CC8BE13" w14:textId="77777777" w:rsidR="008D479B" w:rsidRDefault="008D479B" w:rsidP="008D479B">
      <w:pPr>
        <w:pStyle w:val="TextoNormalNegritaCentrado"/>
        <w:keepNext/>
      </w:pPr>
      <w:r>
        <w:t>I. Antecedentes</w:t>
      </w:r>
    </w:p>
    <w:p w14:paraId="419D4C0D" w14:textId="4A7B71C7" w:rsidR="008D479B" w:rsidRDefault="008D479B" w:rsidP="008D479B">
      <w:pPr>
        <w:pStyle w:val="TextoNormalNegritaCentrado"/>
        <w:keepNext/>
      </w:pPr>
    </w:p>
    <w:p w14:paraId="5D67A7CF" w14:textId="73DC46C2" w:rsidR="008D479B" w:rsidRDefault="008D479B" w:rsidP="008D479B">
      <w:pPr>
        <w:pStyle w:val="TextoNormal"/>
      </w:pPr>
      <w:r w:rsidRPr="008D479B">
        <w:rPr>
          <w:rStyle w:val="NumeroAFNegritaCaracter"/>
        </w:rPr>
        <w:t>1</w:t>
      </w:r>
      <w:r>
        <w:t>. Don J.J.R.B., representado por la procuradora de los tribunales doña María Cristina Sosa González, ha interpuesto recurso de amparo contra las resoluciones reseñadas en el encabezamiento de la presente resolución mediante escrito presentado en el registro de este tribunal el día 9 de agosto de 2022.</w:t>
      </w:r>
    </w:p>
    <w:p w14:paraId="0744016A" w14:textId="77777777" w:rsidR="008D479B" w:rsidRDefault="008D479B" w:rsidP="008D479B">
      <w:pPr>
        <w:pStyle w:val="TextoNormal"/>
      </w:pPr>
    </w:p>
    <w:p w14:paraId="3F6D360B" w14:textId="77777777" w:rsidR="008D479B" w:rsidRDefault="008D479B" w:rsidP="008D479B">
      <w:pPr>
        <w:pStyle w:val="TextoNormal"/>
      </w:pPr>
      <w:r w:rsidRPr="008D479B">
        <w:rPr>
          <w:rStyle w:val="NumeroAFNegritaCaracter"/>
        </w:rPr>
        <w:t>2</w:t>
      </w:r>
      <w:r>
        <w:t>. Los hechos de los que trae causa la demanda de amparo son, en síntesis, los siguientes:</w:t>
      </w:r>
    </w:p>
    <w:p w14:paraId="4D5B92C0" w14:textId="77777777" w:rsidR="008D479B" w:rsidRDefault="008D479B" w:rsidP="008D479B">
      <w:pPr>
        <w:pStyle w:val="TextoNormal"/>
      </w:pPr>
    </w:p>
    <w:p w14:paraId="6914EDDB" w14:textId="77777777" w:rsidR="008D479B" w:rsidRDefault="008D479B" w:rsidP="008D479B">
      <w:pPr>
        <w:pStyle w:val="TextoNormal"/>
      </w:pPr>
      <w:r>
        <w:t>a) Doña P.F.A., promovió expediente de jurisdicción voluntaria al amparo de los arts. 85 y 86 de la Ley de la Jurisdicción Voluntaria (en adelante, Ley 15/2015) y 156 del Código civil (CC), solicitando la intervención judicial por desacuerdo de los progenitores en el ejercicio de la patria potestad respecto del hijo menor común por la negativa del padre, don J.J.R.B., a que le sea administrada la vacuna contra la covid-19 a pesar de la recomendación de las autoridades sanitarias. Solicita que le sea atribuida la facultad de decidir en relación con esta cuestión.</w:t>
      </w:r>
    </w:p>
    <w:p w14:paraId="0A5F6483" w14:textId="77777777" w:rsidR="008D479B" w:rsidRDefault="008D479B" w:rsidP="008D479B">
      <w:pPr>
        <w:pStyle w:val="TextoNormal"/>
      </w:pPr>
    </w:p>
    <w:p w14:paraId="28612620" w14:textId="77777777" w:rsidR="008D479B" w:rsidRDefault="008D479B" w:rsidP="008D479B">
      <w:pPr>
        <w:pStyle w:val="TextoNormal"/>
      </w:pPr>
      <w:r>
        <w:t>b) Por decreto de 20 de diciembre de 2021 se admitió la solicitud presentada y se convocó a las partes a una comparecencia el día 18 de enero de 2022.</w:t>
      </w:r>
    </w:p>
    <w:p w14:paraId="51D12226" w14:textId="77777777" w:rsidR="008D479B" w:rsidRDefault="008D479B" w:rsidP="008D479B">
      <w:pPr>
        <w:pStyle w:val="TextoNormal"/>
      </w:pPr>
    </w:p>
    <w:p w14:paraId="7DB392C6" w14:textId="77777777" w:rsidR="008D479B" w:rsidRDefault="008D479B" w:rsidP="008D479B">
      <w:pPr>
        <w:pStyle w:val="TextoNormal"/>
      </w:pPr>
      <w:r>
        <w:t>Mediante providencia de 21 de diciembre de 2021 se acordó recabar informe médico forense sobre la conveniencia de la vacunación contra la covid-19 a un niño de seis años. Por diligencia de ordenación de 17 de enero de 2022 se acordó incorporar el informe emitido por el médico forense a las actuaciones y poner el contenido el mismo en conocimiento de las partes a los fines legales oportunos.</w:t>
      </w:r>
    </w:p>
    <w:p w14:paraId="7FC2C09D" w14:textId="77777777" w:rsidR="008D479B" w:rsidRDefault="008D479B" w:rsidP="008D479B">
      <w:pPr>
        <w:pStyle w:val="TextoNormal"/>
      </w:pPr>
    </w:p>
    <w:p w14:paraId="494597F5" w14:textId="77777777" w:rsidR="008D479B" w:rsidRDefault="008D479B" w:rsidP="008D479B">
      <w:pPr>
        <w:pStyle w:val="TextoNormal"/>
      </w:pPr>
      <w:r>
        <w:t>Al no comparecer a la misma don J.J.R.B., y no constando en las actuaciones su citación, mediante diligencia de ordenación de 18 de enero de 2022 se citó a las partes a una nueva comparecencia el día 8 de febrero de 2022.</w:t>
      </w:r>
    </w:p>
    <w:p w14:paraId="68FAABA6" w14:textId="77777777" w:rsidR="008D479B" w:rsidRDefault="008D479B" w:rsidP="008D479B">
      <w:pPr>
        <w:pStyle w:val="TextoNormal"/>
      </w:pPr>
    </w:p>
    <w:p w14:paraId="4B94EB2E" w14:textId="77777777" w:rsidR="008D479B" w:rsidRDefault="008D479B" w:rsidP="008D479B">
      <w:pPr>
        <w:pStyle w:val="TextoNormal"/>
      </w:pPr>
      <w:r>
        <w:t>c) Don J.J.R.B., se personó y presentó escrito oponiéndose a la administración de la vacuna a su hijo menor de edad. Señala que el informe pediátrico aportado por la madre contiene una mera recomendación médica, sin la preceptiva prescripción ni consentimiento informado por escrito, y añade que se trata de un medicamento en fase experimental, sin que se haya realizado ensayos clínicos en niños con asma, la baja incidencia de la enfermedad en niños y el riesgo de miocarditis. Alega además la ausencia de evidencia médica/científica que justifique la inoculación de los medicamentos de terapia génica para la covid-19 en menores de edad, atendiendo a la gravedad de la enfermedad en menores, donde la tasa de mortalidad y de hospitalización es muy baja, y a los efectos adversos que puede llevar aparejada la vacuna, que pueden ser muy superiores a la ausencia de vacunación. A ello añade que el medicamento se encuentra en fase experimental. Y considera que se produciría una vulneración del derecho a la integridad física y moral (art. 15 CE) por la falta de consentimiento informado por escrito en los términos de la Ley 41/2002, básica de autonomía del paciente, en relación con la STC 37/2011, de 28 de marzo, y la vulneración del Código de Nuremberg, el Convenio de Oviedo y la Declaración universal sobre bioética y derechos humanos de la UNESCO.</w:t>
      </w:r>
    </w:p>
    <w:p w14:paraId="7C07B1BF" w14:textId="77777777" w:rsidR="008D479B" w:rsidRDefault="008D479B" w:rsidP="008D479B">
      <w:pPr>
        <w:pStyle w:val="TextoNormal"/>
      </w:pPr>
    </w:p>
    <w:p w14:paraId="51C7D11C" w14:textId="77777777" w:rsidR="008D479B" w:rsidRDefault="008D479B" w:rsidP="008D479B">
      <w:pPr>
        <w:pStyle w:val="TextoNormal"/>
      </w:pPr>
      <w:r>
        <w:t>d) El día y hora señalados se celebró la comparecencia, y con fecha 18 de febrero de 2022, el Juzgado de Primera Instancia núm. 3 de Valladolid dictó auto atribuyendo la facultad de decidir a la madre en relación con la inoculación de la vacuna contra la covid-19. Expone la posición de cada uno de los progenitores y la que manifestó en Ministerio Fiscal en su informe oral de 8 de febrero de 2022 considerando que debe atribuirse la facultad de decidir a la madre, habida cuenta de que la vacunación es beneficiosa para el menor, que tiene problemas respiratorios, y que así lo aconsejan también el informe del pediatra del menor y el informe del médico forense. Y el órgano judicial decide en el sentido indicado en base a los dos informes médicos, de los que se desprende que el beneficio de la vacunación para el menor es superior al riesgo asumido, y la recomendación de la Asociación Española de Pediatría y la Comisión de Salud Pública, frente a la documental aportada por el padre, que se concreta en artículos periodísticos, tres autos dictados por otros juzgados y que no vinculan a este órgano judicial, la ficha técnica de Pfizer, un informe del Instituto Carlos III que revela datos estadísticos donde se refleja la baja tasa de mortalidad y de hospitalización por covid-19 en menores y un estudio que no viene avalado por ninguna autoridad sanitaria. Se otorga la facultad de decidir a la madre porque esta centra su decisión en informes médicos donde se refleja el criterio del Ministerio de Sanidad y de la Asociación Española de Pediatría, a lo que añade que la vacuna ha sido aprobada por la Agencia Estatal de Medicamentos y por la Agencia Española del Medicamento y Productos Sanitarios, lo que supone que tiene garantías de calidad, seguridad y eficacia. Indica finalmente que la alegación sobre vulneración del art. 15 CE por falta de consentimiento informado no guarda relación con el objeto del procedimiento, que se limita a atribuir la facultad de decidir a uno de los progenitores.</w:t>
      </w:r>
    </w:p>
    <w:p w14:paraId="24F13A56" w14:textId="77777777" w:rsidR="008D479B" w:rsidRDefault="008D479B" w:rsidP="008D479B">
      <w:pPr>
        <w:pStyle w:val="TextoNormal"/>
      </w:pPr>
    </w:p>
    <w:p w14:paraId="58FE7796" w14:textId="77777777" w:rsidR="008D479B" w:rsidRDefault="008D479B" w:rsidP="008D479B">
      <w:pPr>
        <w:pStyle w:val="TextoNormal"/>
      </w:pPr>
      <w:r>
        <w:t>e) Don J.J.R.B., presentó recurso de apelación frente al auto de 18 de febrero de 2022. Solicitaba, en primer lugar, la nulidad de actuaciones por: (i) infracción del art. 225.3 de la Ley de enjuiciamiento civil (LEC) en relación con el art. 24.2 CE por no habérsele dado traslado del informe del médico forense en el que la juez de primera instancia ha basado su decisión, con lo que se le habría causado indefensión al no haber podido impugnar el informe pericial ni solicitar la testifical del médico forense; (ii) falta de imparcialidad del órgano judicial y el derecho a un proceso con todas las garantías por infracción del art. 225.3 LEC porque muchas de las preguntas realizadas a la madre en el interrogatorio fueron declaradas impertinentes y porque el Ministerio fiscal no solicitó el interrogatorio del padre. Alegaba además en su recurso la vulneración de los arts. 216, 217 y 218 LEC en relación con el art. 24 CE por vulneración del principio de justicia rogada, falta de valoración de la prueba aportada por el recurrente y falta de motivación del auto recurrido, siendo la motivación del auto meramente aparente por déficit valorativo, al considerar que se no se han tenido en cuenta las pruebas aportadas por esta parte. Y, por último, consideraba que se había vulnerado el art. 15 CE por falta de consentimiento informado en relación con la Ley 41/2002, básica de autonomía del paciente, pese a que deberían extremarse las precauciones por tratarse de un medicamento en fase experimental, y en contra también del Convenio de Oviedo.</w:t>
      </w:r>
    </w:p>
    <w:p w14:paraId="3FCD965B" w14:textId="77777777" w:rsidR="008D479B" w:rsidRDefault="008D479B" w:rsidP="008D479B">
      <w:pPr>
        <w:pStyle w:val="TextoNormal"/>
      </w:pPr>
    </w:p>
    <w:p w14:paraId="7B9FCB22" w14:textId="77777777" w:rsidR="008D479B" w:rsidRDefault="008D479B" w:rsidP="008D479B">
      <w:pPr>
        <w:pStyle w:val="TextoNormal"/>
      </w:pPr>
      <w:r>
        <w:t>f) La fiscal presentó escrito de oposición al recurso de apelación. No aprecia que concurra causa de nulidad de actuaciones porque el art. 225 LEC no es norma esencial de procedimiento y el informe forense fue admitido en el acto de la vista, sin que el recurrente lo impugnara, por lo que ha precluido la posibilidad de invocar nulidad, y además el informe se unió a las actuaciones antes de que el demandado se personara en el procedimiento. Tampoco aprecia nulidad por la forma en que se desarrolló la prueba personal, pues se dejaron fuera preguntas que no formaban parte del objeto del proceso. La resolución recurrida, por último, sí está a su juicio suficientemente motivada.</w:t>
      </w:r>
    </w:p>
    <w:p w14:paraId="1C137182" w14:textId="77777777" w:rsidR="008D479B" w:rsidRDefault="008D479B" w:rsidP="008D479B">
      <w:pPr>
        <w:pStyle w:val="TextoNormal"/>
      </w:pPr>
    </w:p>
    <w:p w14:paraId="23F9C203" w14:textId="77777777" w:rsidR="008D479B" w:rsidRDefault="008D479B" w:rsidP="008D479B">
      <w:pPr>
        <w:pStyle w:val="TextoNormal"/>
      </w:pPr>
      <w:r>
        <w:t>g) Doña P.F.A., presentó escrito oponiéndose al recurso de apelación. Respecto de la impugnación del informe pericial, indica que su contenido se refleja en otros cuatro documentos aportados que no se han impugnado, y niega que proceda la nulidad por el interrogatorio.</w:t>
      </w:r>
    </w:p>
    <w:p w14:paraId="45A1182C" w14:textId="77777777" w:rsidR="008D479B" w:rsidRDefault="008D479B" w:rsidP="008D479B">
      <w:pPr>
        <w:pStyle w:val="TextoNormal"/>
      </w:pPr>
    </w:p>
    <w:p w14:paraId="59B22C48" w14:textId="68B15678" w:rsidR="008D479B" w:rsidRDefault="008D479B" w:rsidP="008D479B">
      <w:pPr>
        <w:pStyle w:val="TextoNormal"/>
      </w:pPr>
      <w:r>
        <w:t>h) La Sección Primera de la Audiencia Provincial de Valladolid dictó auto el 24 de junio de 2022 por el que acordó desestimar el recurso de apelación y confirmar la resolución de primera instancia. Basa su decisión en que el recurrente no ha aportado ningún informe especializado del que pueda inferirse que en el supuesto concreto concurra algún hecho especial vinculado al estado de salud del menor del que se pudiera derivar un riesgo mayor del que comúnmente existe en la vacunación. Los dos informes médicos recomiendan la vacunación, y los compara con los documentos aportados por el recurrente concluyendo, en consonancia con los criterios del Ministerio de Sanidad y la Asociación Española de Pediatría, que la vacuna en menores de edad es beneficiosa y ha sido autorizada por la Agencia Europea del Medicamento, por la Agencia Estatal de Medicamentos y por la Agencia Española del Medicamento y Productos Sanitarios. Considera sensato el criterio de la madre cuando basa la conveniencia de la vacunación en lo afirmado por su pediatra, frente a lo alegado por el padre, que había manifestado que la vacunación del niño no hay que hablarla con ningún médico, postura que la audiencia provincial considera irrazonable atendida la realidad de la pandemia y el padecimiento respiratorio diagnosticado al menor. En cuanto a la nulidad de actuaciones solicitada, consta que, por diligencia de ordenación de 17 de enero de 2022, se ordena poner el contenido del informe en conocimiento de las partes. El apelante se personó y pudo tomar conocimiento del mismo porque estaba incorporado en las actuaciones, y no realizó queja alguna en el acto del juicio (art. 459 LEC), en el que el Ministerio Fiscal lo propuso como prueba. Este informe, por otra parte, no es la única prueba en la que se soporta el auto apelado. Respecto de la actuación de la juez en el interrogatorio a la madre, le corresponde la dirección del debate procesal y en la alzada el apelante no ha solicitado que se practique de nuevo el interrogatorio.</w:t>
      </w:r>
    </w:p>
    <w:p w14:paraId="54920502" w14:textId="77777777" w:rsidR="008D479B" w:rsidRDefault="008D479B" w:rsidP="008D479B">
      <w:pPr>
        <w:pStyle w:val="TextoNormal"/>
      </w:pPr>
    </w:p>
    <w:p w14:paraId="6F30F053" w14:textId="77777777" w:rsidR="008D479B" w:rsidRDefault="008D479B" w:rsidP="008D479B">
      <w:pPr>
        <w:pStyle w:val="TextoNormal"/>
      </w:pPr>
      <w:r w:rsidRPr="008D479B">
        <w:rPr>
          <w:rStyle w:val="NumeroAFNegritaCaracter"/>
        </w:rPr>
        <w:t>3</w:t>
      </w:r>
      <w:r>
        <w:t>. El recurrente denuncia que se le han vulnerado los siguientes derechos fundamentales:</w:t>
      </w:r>
    </w:p>
    <w:p w14:paraId="346D04A8" w14:textId="77777777" w:rsidR="008D479B" w:rsidRDefault="008D479B" w:rsidP="008D479B">
      <w:pPr>
        <w:pStyle w:val="TextoNormal"/>
      </w:pPr>
    </w:p>
    <w:p w14:paraId="2C90DFAB" w14:textId="77777777" w:rsidR="008D479B" w:rsidRDefault="008D479B" w:rsidP="008D479B">
      <w:pPr>
        <w:pStyle w:val="TextoNormal"/>
      </w:pPr>
      <w:r>
        <w:t>(i) El derecho a la integridad física y moral (art. 15 CE) por falta del consentimiento informado regulado en la Ley 41/2002, básica de autonomía del paciente, también reconocido en la Carta de derechos fundamentales de la Unión Europea y en el Convenio de Oviedo y que puede entenderse comprendido en el art. 8 del Convenio europeo de derechos humanos.</w:t>
      </w:r>
    </w:p>
    <w:p w14:paraId="7D5C2AE3" w14:textId="77777777" w:rsidR="008D479B" w:rsidRDefault="008D479B" w:rsidP="008D479B">
      <w:pPr>
        <w:pStyle w:val="TextoNormal"/>
      </w:pPr>
    </w:p>
    <w:p w14:paraId="5611973D" w14:textId="518F0341" w:rsidR="008D479B" w:rsidRDefault="008D479B" w:rsidP="008D479B">
      <w:pPr>
        <w:pStyle w:val="TextoNormal"/>
      </w:pPr>
      <w:r>
        <w:t>(ii) El derecho a la tutela judicial efectiva (art. 24.1 CE) y el derecho a un proceso con todas las garantías (art. 24.2 CE) por haberse prescindido de las normas esenciales del procedimiento (art. 225.3 LEC) por haberse basado la decisión de primera instancia en el informe del médico forense, del que no se dio traslado a esta parte, por lo que no lo pudo impugnar ni solicitar la testifical del médico forense; por haberse declarado impertinentes muchas de las preguntas planteadas a la madre en el interrogatorio; y porque el Ministerio Fiscal no solicitó el interrogatorio del padre.</w:t>
      </w:r>
    </w:p>
    <w:p w14:paraId="28F84168" w14:textId="77777777" w:rsidR="008D479B" w:rsidRDefault="008D479B" w:rsidP="008D479B">
      <w:pPr>
        <w:pStyle w:val="TextoNormal"/>
      </w:pPr>
    </w:p>
    <w:p w14:paraId="316173D5" w14:textId="77777777" w:rsidR="008D479B" w:rsidRDefault="008D479B" w:rsidP="008D479B">
      <w:pPr>
        <w:pStyle w:val="TextoNormal"/>
      </w:pPr>
      <w:r w:rsidRPr="008D479B">
        <w:rPr>
          <w:rStyle w:val="NumeroAFNegritaCaracter"/>
        </w:rPr>
        <w:t>4</w:t>
      </w:r>
      <w:r>
        <w:t>. Mediante providencia de 6 de marzo de 2023, la Sección Primera del Tribunal Constitucional acordó admitir a trámite el recurso de amparo apreciando que concurre en el mismo una especial trascendencia constitucional [art. 50.1 de la Ley Orgánica del Tribunal Constitucional (LOTC)] porque el recurso plantea un problema o afecta a una faceta de un derecho fundamental sobre el que no hay doctrina de este tribunal [STC 155/2009, de 25 de junio, FJ 2 a)] y, asimismo, porque el asunto suscitado trasciende del caso concreto porque plantea una cuestión jurídica de relevante y general repercusión social o económica [STC 155/2009, FJ 2 g)].</w:t>
      </w:r>
    </w:p>
    <w:p w14:paraId="206EFB25" w14:textId="77777777" w:rsidR="008D479B" w:rsidRDefault="008D479B" w:rsidP="008D479B">
      <w:pPr>
        <w:pStyle w:val="TextoNormal"/>
      </w:pPr>
    </w:p>
    <w:p w14:paraId="1EE680EB" w14:textId="3911C509" w:rsidR="008D479B" w:rsidRDefault="008D479B" w:rsidP="008D479B">
      <w:pPr>
        <w:pStyle w:val="TextoNormal"/>
      </w:pPr>
      <w:r>
        <w:t>En la misma providencia se acordó, en aplicación de lo dispuesto en el art. 51 LOTC, dirigir atenta comunicación a la Sección Primera de la Audiencia Provincial de Valladolid a fin de que, en plazo que no superior a diez días, remitiera certificación o fotocopia adverada de las actuaciones correspondientes al recurso de apelación 255-2022, e, igualmente, al Juzgado de Primera Instancia núm. 3 de Valladolid a fin de que, en plazo que no excediera de diez días, remitiera certificación o fotocopia adverada de las actuaciones correspondientes al procedimiento de jurisdicción voluntaria núm. 1084-2021, debiendo emplazar previamente a quienes hubieran sido parte en el procedimiento, excepto la parte recurrente en amparo, para que en el plazo de diez días pudieran comparecer, si lo desearan, en el recurso de amparo.</w:t>
      </w:r>
    </w:p>
    <w:p w14:paraId="71336EBB" w14:textId="77777777" w:rsidR="008D479B" w:rsidRDefault="008D479B" w:rsidP="008D479B">
      <w:pPr>
        <w:pStyle w:val="TextoNormal"/>
      </w:pPr>
    </w:p>
    <w:p w14:paraId="7B7A5C33" w14:textId="6EBC8A94" w:rsidR="008D479B" w:rsidRDefault="008D479B" w:rsidP="008D479B">
      <w:pPr>
        <w:pStyle w:val="TextoNormal"/>
      </w:pPr>
      <w:r w:rsidRPr="008D479B">
        <w:rPr>
          <w:rStyle w:val="NumeroAFNegritaCaracter"/>
        </w:rPr>
        <w:t>5</w:t>
      </w:r>
      <w:r>
        <w:t>. Mediante providencia de 6 de marzo de 2023 se acordó, a petición de la parte actora, formar pieza separada de suspensión, que tras su tramitación fue resuelta por el ATC 323/2023, de 19 de junio, que denegó la suspensión cautelar del auto de 28 de febrero de 2022, dictado por el Juzgado de Primera Instancia núm. 3 de Valladolid, y confirmado por el auto de 24 de junio de 2022 de la Sección Primera de la Audiencia Provincial de Valladolid.</w:t>
      </w:r>
    </w:p>
    <w:p w14:paraId="467572BD" w14:textId="77777777" w:rsidR="008D479B" w:rsidRDefault="008D479B" w:rsidP="008D479B">
      <w:pPr>
        <w:pStyle w:val="TextoNormal"/>
      </w:pPr>
    </w:p>
    <w:p w14:paraId="2B9B970F" w14:textId="10D9F27F" w:rsidR="008D479B" w:rsidRDefault="008D479B" w:rsidP="008D479B">
      <w:pPr>
        <w:pStyle w:val="TextoNormal"/>
      </w:pPr>
      <w:r w:rsidRPr="008D479B">
        <w:rPr>
          <w:rStyle w:val="NumeroAFNegritaCaracter"/>
        </w:rPr>
        <w:t>6</w:t>
      </w:r>
      <w:r>
        <w:t>. Por diligencia de ordenación de la Secretaría de Justicia de la Sala Primera de este tribunal de 19 de abril de 2023, se tuvieron por recibidos los testimonios de las actuaciones que habían sido remitidos por la Audiencia Provincial de Valladolid y por el Juzgado de Primera Instancia núm. 3 de Valladolid y, a tenor de lo dispuesto en el art. 52 LOTC, se acordó dar vista de las mismas por un plazo común de veinte días al Ministerio Fiscal y a las partes personadas para que dentro de dicho término pudieran presentar las alegaciones que a su derecho convenga.</w:t>
      </w:r>
    </w:p>
    <w:p w14:paraId="5CCBC2FB" w14:textId="77777777" w:rsidR="008D479B" w:rsidRDefault="008D479B" w:rsidP="008D479B">
      <w:pPr>
        <w:pStyle w:val="TextoNormal"/>
      </w:pPr>
    </w:p>
    <w:p w14:paraId="73E84164" w14:textId="77777777" w:rsidR="008D479B" w:rsidRDefault="008D479B" w:rsidP="008D479B">
      <w:pPr>
        <w:pStyle w:val="TextoNormal"/>
      </w:pPr>
      <w:r w:rsidRPr="008D479B">
        <w:rPr>
          <w:rStyle w:val="NumeroAFNegritaCaracter"/>
        </w:rPr>
        <w:t>7</w:t>
      </w:r>
      <w:r>
        <w:t>. El fiscal ante el Tribunal Constitucional presentó escrito el 25 de mayo de 2023 interesando la desestimación del recurso de amparo. Aprecia la legitimación activa del recurrente atendiendo al criterio de flexibilidad que establece la doctrina constitucional [STC 38/2023, de 20 de abril, FJ 2 b)]. Considera que todas las vulneraciones que se alegan respecto del art. 24 CE se refieren en realidad al derecho de defensa en relación con el derecho a la prueba del art. 24.2 CE y entiende que no se ha vulnerado este derecho en ninguno de los hechos alegados en la demanda de amparo porque: (i) la falta de traslado del informe médico forense no supuso su desconocimiento, por lo que no se le habría causado indefensión; (ii) no se ha acreditado que las preguntas inadmitidas en el interrogatorio de la madre hubieran podido tener una influencia decisiva en la resolución del pleito, y considera además el fiscal que las concretas preguntas inadmitidas no tenían relación con el objeto del debate, en concreto, la pregunta sobre si había recibido la información necesaria para prestar el consentimiento informado porque el proceso no era el momento para prestar el consentimiento y respecto de las preguntas sobre el contenido de la ficha técnica porque la había aportado la parte que interrogaba y ya había respondido la interrogada que conocía el documento pero no comprendía las palabras técnicas porque no era experta en la materia, por lo que seguir preguntando sobre ese documento no iba a aportar nada a la decisión del proceso; y (iii) en cuanto a la falta de proposición del interrogatorio del padre por el Ministerio Fiscal, señala que no se puede obligar a una de las partes a proponer una prueba que no estime necesaria o pertinente, y en este caso no se consideró necesario porque el padre ya había ratificado su pretensión al inicio de la comparecencia y su postura había quedado plasmada claramente por escrito y justificada con documentación, a lo que añade que la parte podría haber solicitado a la jueza que de oficio acordase el interrogatorio cuando esta preguntó si nadie había propuesto el interrogatorio del padre, añadiendo por último que no se ha justificado la influencia decisiva que podría haber tenido tal interrogatorio en la resolución.</w:t>
      </w:r>
    </w:p>
    <w:p w14:paraId="11CA023A" w14:textId="77777777" w:rsidR="008D479B" w:rsidRDefault="008D479B" w:rsidP="008D479B">
      <w:pPr>
        <w:pStyle w:val="TextoNormal"/>
      </w:pPr>
    </w:p>
    <w:p w14:paraId="04926A37" w14:textId="76887827" w:rsidR="008D479B" w:rsidRDefault="008D479B" w:rsidP="008D479B">
      <w:pPr>
        <w:pStyle w:val="TextoNormal"/>
      </w:pPr>
      <w:r>
        <w:t>En cuanto a la vulneración del derecho a la integridad física y moral por ausencia del consentimiento informado, señala que este supuesto es distinto del que se abordó en la STC 38/2023, porque en él se trata de la decisión de autorizar la administración de la vacuna a una persona discapacitada frente a la oposición del tutor legal, y en este caso de un desacuerdo entre los progenitores sobre la administración de la vacuna al hijo menor y el órgano judicial debe decidir a cuál de los dos, titulares ambos de la patria potestad, se le otorga la facultad de decidir. Cuando, en un momento posterior, el progenitor al que se atribuye la facultad de decidir consienta la vacuna, ha de valorar si tiene la información suficiente y actualizada. Por tanto, al atribuir la facultad de decidir a un progenitor, no se afecta el derecho a la integridad física del menor, siendo posible además que el progenitor al que se haya atribuido esta facultad cambie posteriormente de criterio, sin que ello suponga incumplir la resolución judicial. Este entendimiento resulta conforme con el art. 9.3 c) de la Ley 41/2002, básica de autonomía del paciente, en cuanto que el juez no sustituye a los padres en la decisión, sino que, ante pareceres irreconciliables de ambos progenitores, otorga a uno de ellos la facultad de decidir. Pero si se considerase que, con su decisión de otorgar la facultad de decidir al progenitor favorable a la vacunación, el órgano judicial está autorizando la vacuna, procedería analizar si hay vulneración del art. 15 CE, y concluye que admitiendo este planteamiento sí podría apreciarse la vulneración, tendiendo en cuenta lo establecido en la STC 38/2023, de 20 de abril, porque en este caso debería haberse valorado si el menor tenía capacidad para comprender el alcance de la intervención en el sentido del art. 9.3 c) antes citado, decidiendo en este caso el menor, y debió oírse al menor, teniendo en cuenta su opinión en función de su madurez. Sin embargo, en este caso no se ha practicado ninguna diligencia para determinar su grado de madurez ni se ha oído al menor para conocer su voluntad, por lo que, admitiendo tal planteamiento, se habría producido la infracción del derecho a la integridad física del menor.</w:t>
      </w:r>
    </w:p>
    <w:p w14:paraId="147D1863" w14:textId="77777777" w:rsidR="008D479B" w:rsidRDefault="008D479B" w:rsidP="008D479B">
      <w:pPr>
        <w:pStyle w:val="TextoNormal"/>
      </w:pPr>
    </w:p>
    <w:p w14:paraId="62A6A642" w14:textId="2E450ED0" w:rsidR="008D479B" w:rsidRDefault="008D479B" w:rsidP="008D479B">
      <w:pPr>
        <w:pStyle w:val="TextoNormal"/>
      </w:pPr>
      <w:r w:rsidRPr="008D479B">
        <w:rPr>
          <w:rStyle w:val="NumeroAFNegritaCaracter"/>
        </w:rPr>
        <w:t>8</w:t>
      </w:r>
      <w:r>
        <w:t>. Por providencia de 16 de noviembre de 2023, se señaló para deliberación y votación de la presente sentencia el día 20 del mismo mes y año.</w:t>
      </w:r>
    </w:p>
    <w:p w14:paraId="44B3AC99" w14:textId="77777777" w:rsidR="008D479B" w:rsidRDefault="008D479B" w:rsidP="008D479B">
      <w:pPr>
        <w:pStyle w:val="TextoNormal"/>
      </w:pPr>
    </w:p>
    <w:p w14:paraId="34FE05D6" w14:textId="77777777" w:rsidR="008D479B" w:rsidRDefault="008D479B" w:rsidP="008D479B">
      <w:pPr>
        <w:pStyle w:val="TextoNormalNegritaCentrado"/>
        <w:keepNext/>
      </w:pPr>
      <w:r>
        <w:t>II. Fundamentos jurídicos</w:t>
      </w:r>
    </w:p>
    <w:p w14:paraId="3235B216" w14:textId="50FDD5C0" w:rsidR="008D479B" w:rsidRDefault="008D479B" w:rsidP="008D479B">
      <w:pPr>
        <w:pStyle w:val="TextoNormalNegritaCentrado"/>
        <w:keepNext/>
      </w:pPr>
    </w:p>
    <w:p w14:paraId="06ADCA2E" w14:textId="77777777" w:rsidR="008D479B" w:rsidRDefault="008D479B" w:rsidP="008D479B">
      <w:pPr>
        <w:pStyle w:val="TextoNormal"/>
      </w:pPr>
      <w:r w:rsidRPr="008D479B">
        <w:rPr>
          <w:rStyle w:val="NumeroAFNegritaCaracter"/>
        </w:rPr>
        <w:t>1</w:t>
      </w:r>
      <w:r>
        <w:t xml:space="preserve">. </w:t>
      </w:r>
      <w:r w:rsidRPr="008D479B">
        <w:rPr>
          <w:i/>
        </w:rPr>
        <w:t>Objeto del recurso</w:t>
      </w:r>
    </w:p>
    <w:p w14:paraId="1BFBD940" w14:textId="77777777" w:rsidR="008D479B" w:rsidRDefault="008D479B" w:rsidP="008D479B">
      <w:pPr>
        <w:pStyle w:val="TextoNormal"/>
      </w:pPr>
    </w:p>
    <w:p w14:paraId="33337670" w14:textId="77777777" w:rsidR="008D479B" w:rsidRDefault="008D479B" w:rsidP="008D479B">
      <w:pPr>
        <w:pStyle w:val="TextoNormal"/>
      </w:pPr>
      <w:r>
        <w:t>El presente recurso de amparo se dirige contra el auto de 18 de febrero de 2022 dictado por el Juzgado de Primera Instancia núm. 3 de Valladolid en el procedimiento de jurisdicción voluntaria núm. 1084-2021 que concedió a doña P.F.A., la facultad de decidir sobre la administración de la vacuna frente a la covid-19 a su hijo menor de edad. También se impugna auto de 24 de junio de 2022 dictado por la Sección Primera de la Audiencia Provincial de Valladolid, en el rollo de apelación núm. 255-2022, confirmatorio del anterior.</w:t>
      </w:r>
    </w:p>
    <w:p w14:paraId="1448FCCF" w14:textId="77777777" w:rsidR="008D479B" w:rsidRDefault="008D479B" w:rsidP="008D479B">
      <w:pPr>
        <w:pStyle w:val="TextoNormal"/>
      </w:pPr>
    </w:p>
    <w:p w14:paraId="6C4A6ECE" w14:textId="40378694" w:rsidR="008D479B" w:rsidRDefault="008D479B" w:rsidP="008D479B">
      <w:pPr>
        <w:pStyle w:val="TextoNormal"/>
      </w:pPr>
      <w:r>
        <w:t>Dada la naturaleza de los hechos, debe señalarse que, en aplicación de las potestades atribuidas a este tribunal por el art. 86.3 LOTC y el acuerdo del Pleno de 23 de julio de 2015, por el que se regula la exclusión de los datos de identidad personal en la publicación de las resoluciones jurisdiccionales (“Boletín Oficial del Estado” núm. 178, de 27 de julio de 2015), la presente sentencia y demás actuaciones del proceso no incluyen la identificación completa de la persona menor de edad afectada ni la de sus parientes inmediatos que aparecen mencionados en las actuaciones, con el fin de proteger la intimidad de aquella.</w:t>
      </w:r>
    </w:p>
    <w:p w14:paraId="0B73E3BF" w14:textId="77777777" w:rsidR="008D479B" w:rsidRDefault="008D479B" w:rsidP="008D479B">
      <w:pPr>
        <w:pStyle w:val="TextoNormal"/>
      </w:pPr>
    </w:p>
    <w:p w14:paraId="76B7E9F7" w14:textId="77777777" w:rsidR="008D479B" w:rsidRDefault="008D479B" w:rsidP="008D479B">
      <w:pPr>
        <w:pStyle w:val="TextoNormal"/>
      </w:pPr>
      <w:r w:rsidRPr="008D479B">
        <w:rPr>
          <w:rStyle w:val="NumeroAFNegritaCaracter"/>
        </w:rPr>
        <w:t>2</w:t>
      </w:r>
      <w:r>
        <w:t xml:space="preserve">. </w:t>
      </w:r>
      <w:r w:rsidRPr="008D479B">
        <w:rPr>
          <w:i/>
        </w:rPr>
        <w:t>Examen de la eventual vulneración del derecho a la tutela judicial efectiva (art. 24.1 CE) y del derecho a un proceso con todas las garantías (art. 24.2 CE</w:t>
      </w:r>
      <w:r>
        <w:t>)</w:t>
      </w:r>
    </w:p>
    <w:p w14:paraId="3ADD05BB" w14:textId="77777777" w:rsidR="008D479B" w:rsidRDefault="008D479B" w:rsidP="008D479B">
      <w:pPr>
        <w:pStyle w:val="TextoNormal"/>
      </w:pPr>
    </w:p>
    <w:p w14:paraId="45705A0E" w14:textId="77777777" w:rsidR="008D479B" w:rsidRDefault="008D479B" w:rsidP="008D479B">
      <w:pPr>
        <w:pStyle w:val="TextoNormal"/>
      </w:pPr>
      <w:r>
        <w:t>Alega el recurrente que se han vulnerado su derecho fundamental a la tutela judicial efectiva (art. 24.1 CE) y el derecho a un proceso con todas las garantías (art. 24.2 CE) por haberse prescindido de las normas esenciales del procedimiento (art. 225.3 LEC) ya que la decisión de primera instancia se basó en el informe del médico forense, del que no se dio traslado a esta parte, por lo que no lo pudo impugnar ni solicitar la testifical del médico forense; por haberse declarado impertinentes muchas de las preguntas planteadas a la madre en el interrogatorio; y porque el Ministerio Fiscal no solicitó el interrogatorio del padre.</w:t>
      </w:r>
    </w:p>
    <w:p w14:paraId="46E7D61D" w14:textId="77777777" w:rsidR="008D479B" w:rsidRDefault="008D479B" w:rsidP="008D479B">
      <w:pPr>
        <w:pStyle w:val="TextoNormal"/>
      </w:pPr>
    </w:p>
    <w:p w14:paraId="3CF066C7" w14:textId="77777777" w:rsidR="008D479B" w:rsidRDefault="008D479B" w:rsidP="008D479B">
      <w:pPr>
        <w:pStyle w:val="TextoNormal"/>
      </w:pPr>
      <w:r>
        <w:t>Respecto de la falta de traslado del informe médico forense, consta en las actuaciones que por diligencia de ordenación de 17 de enero de 2022 se acordó incorporar el informe emitido por el médico forense a las actuaciones y poner el contenido el mismo en conocimiento de las partes a los fines legales oportunos. El recurrente se personó en el procedimiento en un momento posterior y pudo tomar conocimiento del informe porque estaba incorporado a las actuaciones, por lo que no se produjo indefensión.</w:t>
      </w:r>
    </w:p>
    <w:p w14:paraId="3CF79E39" w14:textId="77777777" w:rsidR="008D479B" w:rsidRDefault="008D479B" w:rsidP="008D479B">
      <w:pPr>
        <w:pStyle w:val="TextoNormal"/>
      </w:pPr>
    </w:p>
    <w:p w14:paraId="0455BBF2" w14:textId="2DC1FAB0" w:rsidR="008D479B" w:rsidRDefault="008D479B" w:rsidP="008D479B">
      <w:pPr>
        <w:pStyle w:val="TextoNormal"/>
      </w:pPr>
      <w:r>
        <w:t>En relación con las cuestiones relativas al interrogatorio de los progenitores, la cuestión se vincula con el derecho a utilizar los medios de prueba pertinentes para la defensa, debiendo rechazarse la existencia de vulneración por los motivos expuestos en el fundamento jurídico 3 de la STC 148/2023, de 6 de noviembre.</w:t>
      </w:r>
    </w:p>
    <w:p w14:paraId="743E3446" w14:textId="77777777" w:rsidR="008D479B" w:rsidRDefault="008D479B" w:rsidP="008D479B">
      <w:pPr>
        <w:pStyle w:val="TextoNormal"/>
      </w:pPr>
    </w:p>
    <w:p w14:paraId="74E3C68C" w14:textId="77777777" w:rsidR="008D479B" w:rsidRDefault="008D479B" w:rsidP="008D479B">
      <w:pPr>
        <w:pStyle w:val="TextoNormal"/>
      </w:pPr>
      <w:r w:rsidRPr="008D479B">
        <w:rPr>
          <w:rStyle w:val="NumeroAFNegritaCaracter"/>
        </w:rPr>
        <w:t>3</w:t>
      </w:r>
      <w:r>
        <w:t xml:space="preserve">. </w:t>
      </w:r>
      <w:r w:rsidRPr="008D479B">
        <w:rPr>
          <w:i/>
        </w:rPr>
        <w:t>Aplicación de la doctrina constitucional expuesta en la STC 148/2023, de 6 de noviembre</w:t>
      </w:r>
    </w:p>
    <w:p w14:paraId="2A8B89B3" w14:textId="77777777" w:rsidR="008D479B" w:rsidRDefault="008D479B" w:rsidP="008D479B">
      <w:pPr>
        <w:pStyle w:val="TextoNormal"/>
      </w:pPr>
    </w:p>
    <w:p w14:paraId="7FD78104" w14:textId="77777777" w:rsidR="008D479B" w:rsidRDefault="008D479B" w:rsidP="008D479B">
      <w:pPr>
        <w:pStyle w:val="TextoNormal"/>
      </w:pPr>
      <w:r>
        <w:t>La cuestión constitucional suscitada en este recurso en relación con el derecho fundamental a la integridad física y moral (art. 15 CE) es la misma que ya ha sido objeto de análisis por el Pleno de este tribunal en la STC 148/2023, de 6 de noviembre, en cuyos fundamentos jurídicos 4 y 5 se expusieron de manera pormenorizada las pautas de ponderación necesarias para determinar si en este tipo de supuestos se ha vulnerado el derecho a la integridad personal, centrando la cuestión en que la administración de la vacuna, a falta de consentimiento libre, válido e informado de la persona afectada, precisa para su constitucionalidad el cumplimiento de los requisitos generales que, de acuerdo con nuestra doctrina, rigen la restricción de los derechos fundamentales sustantivos.</w:t>
      </w:r>
    </w:p>
    <w:p w14:paraId="2F154792" w14:textId="77777777" w:rsidR="008D479B" w:rsidRDefault="008D479B" w:rsidP="008D479B">
      <w:pPr>
        <w:pStyle w:val="TextoNormal"/>
      </w:pPr>
    </w:p>
    <w:p w14:paraId="6C9BB3D7" w14:textId="25F848E2" w:rsidR="008D479B" w:rsidRDefault="008D479B" w:rsidP="008D479B">
      <w:pPr>
        <w:pStyle w:val="TextoNormal"/>
      </w:pPr>
      <w:r>
        <w:t>En atención a lo expuesto, en este caso, como también se concluyó en la STC 148/2023, FJ 5, el Tribunal rechaza que se haya vulnerado el art. 15 CE al constatarse que (i) se cumple el presupuesto básico que el art. 9.3, letra c) de la Ley 41/2002 establece para que pueda acudirse al consentimiento por representación —otorgado por los progenitores de común acuerdo o por la autoridad judicial en caso de desacuerdo— porque el menor, de seis años de edad, carecía de la capacidad emocional e intelectual necesarias para comprender el alcance la intervención y los padres contaban con la información adecuada para la prestación del consentimiento desde un momento anterior incluso a la iniciación del procedimiento de jurisdicción voluntaria, por lo que no cabe apreciar la ausencia de consentimiento informado; y (ii) la motivación de las resoluciones judiciales tuvo como fundamento esencial la protección del interés superior del menor en relación con la protección de su salud, teniendo en cuenta la recomendación de las autoridades sanitarias, que se mostraban a favor de la vacunación de menores haciendo una ponderación de riesgos y beneficios de la vacuna, que el órgano judicial no estima desvirtuadas por los informes aportados por el recurrente.</w:t>
      </w:r>
    </w:p>
    <w:p w14:paraId="3BC5BC41" w14:textId="77777777" w:rsidR="008D479B" w:rsidRDefault="008D479B" w:rsidP="008D479B">
      <w:pPr>
        <w:pStyle w:val="TextoNormal"/>
      </w:pPr>
    </w:p>
    <w:p w14:paraId="7B6B52AC" w14:textId="77777777" w:rsidR="008D479B" w:rsidRDefault="008D479B" w:rsidP="008D479B">
      <w:pPr>
        <w:pStyle w:val="TextoNormalCentrado"/>
        <w:keepNext/>
      </w:pPr>
      <w:r>
        <w:t>FALLO</w:t>
      </w:r>
    </w:p>
    <w:p w14:paraId="7A371168" w14:textId="2DA3AE88" w:rsidR="008D479B" w:rsidRDefault="008D479B" w:rsidP="008D479B">
      <w:pPr>
        <w:pStyle w:val="TextoNormalCentrado"/>
        <w:keepNext/>
      </w:pPr>
    </w:p>
    <w:p w14:paraId="1931B15D" w14:textId="226E0EE9" w:rsidR="008D479B" w:rsidRDefault="008D479B" w:rsidP="008D479B">
      <w:pPr>
        <w:pStyle w:val="TextoNormal"/>
      </w:pPr>
      <w:r>
        <w:t>En atención a todo lo expuesto, el Tribunal Constitucional, por la autoridad que le confiere la Constitución de la Nación española, ha decidido desestimar el recurso de amparo interpuesto por don J.J.R.B.</w:t>
      </w:r>
    </w:p>
    <w:p w14:paraId="4803D5C3" w14:textId="77777777" w:rsidR="008D479B" w:rsidRDefault="008D479B" w:rsidP="008D479B">
      <w:pPr>
        <w:pStyle w:val="TextoNormal"/>
      </w:pPr>
    </w:p>
    <w:p w14:paraId="3D548E5E" w14:textId="77777777" w:rsidR="008D479B" w:rsidRDefault="008D479B" w:rsidP="008D479B">
      <w:pPr>
        <w:pStyle w:val="TextoNormal"/>
      </w:pPr>
      <w:r>
        <w:t>Publíquese esta sentencia en el “Boletín Oficial del Estado”.</w:t>
      </w:r>
    </w:p>
    <w:p w14:paraId="7B21DBE5" w14:textId="77777777" w:rsidR="008D479B" w:rsidRDefault="008D479B" w:rsidP="008D479B">
      <w:pPr>
        <w:pStyle w:val="TextoNormal"/>
      </w:pPr>
      <w:r>
        <w:t>Dada en Madrid, a veinte de noviembre de dos mil veintitrés.</w:t>
      </w:r>
    </w:p>
    <w:p w14:paraId="1359CBA6" w14:textId="76E64D9B" w:rsidR="008D479B" w:rsidRDefault="008D479B">
      <w:pPr>
        <w:spacing w:after="160" w:line="278" w:lineRule="auto"/>
        <w:rPr>
          <w:rFonts w:ascii="Times New Roman" w:eastAsia="Times New Roman" w:hAnsi="Times New Roman" w:cs="Times New Roman"/>
          <w:sz w:val="24"/>
          <w:szCs w:val="24"/>
          <w:lang w:eastAsia="es-ES"/>
        </w:rPr>
      </w:pPr>
      <w:r>
        <w:br w:type="page"/>
      </w:r>
    </w:p>
    <w:p w14:paraId="50A25B76" w14:textId="77777777" w:rsidR="008D479B" w:rsidRDefault="008D479B" w:rsidP="008D479B">
      <w:pPr>
        <w:pStyle w:val="TtuloResolucin"/>
      </w:pPr>
      <w:bookmarkStart w:id="82" w:name="SENTENCIA_2023_157"/>
      <w:r>
        <w:t>SENTENCIA 157/2023, de 20 de noviembre de 2023</w:t>
      </w:r>
    </w:p>
    <w:bookmarkEnd w:id="82"/>
    <w:p w14:paraId="2E310E44" w14:textId="77777777" w:rsidR="008D479B" w:rsidRDefault="008D479B" w:rsidP="008D479B">
      <w:pPr>
        <w:pStyle w:val="TtuloResolucin"/>
      </w:pPr>
      <w:r>
        <w:t>Sala Segunda</w:t>
      </w:r>
    </w:p>
    <w:p w14:paraId="1DB3EC8C" w14:textId="77777777" w:rsidR="008D479B" w:rsidRDefault="008D479B" w:rsidP="008D479B">
      <w:pPr>
        <w:pStyle w:val="TtuloBOE"/>
      </w:pPr>
      <w:r>
        <w:t>(BOE núm. 304, de 21 de diciembre de 2023)</w:t>
      </w:r>
    </w:p>
    <w:p w14:paraId="1FA197A7" w14:textId="77777777" w:rsidR="008D479B" w:rsidRDefault="008D479B" w:rsidP="008D479B">
      <w:pPr>
        <w:pStyle w:val="TextoNormalCentrado"/>
      </w:pPr>
      <w:r>
        <w:t>ECLI:ES:TC:2023:157</w:t>
      </w:r>
    </w:p>
    <w:p w14:paraId="34C952F6" w14:textId="2A808601" w:rsidR="008D479B" w:rsidRDefault="008D479B" w:rsidP="008D479B">
      <w:pPr>
        <w:pStyle w:val="TextoNormalCentrado"/>
      </w:pPr>
    </w:p>
    <w:p w14:paraId="59C55CE8" w14:textId="77777777" w:rsidR="008D479B" w:rsidRDefault="008D479B" w:rsidP="008D479B">
      <w:pPr>
        <w:pStyle w:val="SntesisDescriptiva"/>
      </w:pPr>
      <w:r>
        <w:t>Recurso de amparo 5690-2022. Promovido por don G.M.C., respecto de los autos dictados por la Audiencia Provincial de Valladolid y un juzgado de primera instancia de esa capital que acordaron la administración de la vacuna frente a la covid-19.</w:t>
      </w:r>
    </w:p>
    <w:p w14:paraId="75CD3915" w14:textId="5D13C04E" w:rsidR="008D479B" w:rsidRDefault="008D479B" w:rsidP="008D479B">
      <w:pPr>
        <w:pStyle w:val="SntesisDescriptiva"/>
      </w:pPr>
    </w:p>
    <w:p w14:paraId="54007D41" w14:textId="77777777" w:rsidR="008D479B" w:rsidRDefault="008D479B" w:rsidP="008D479B">
      <w:pPr>
        <w:pStyle w:val="SntesisAnaltica"/>
      </w:pPr>
      <w:r>
        <w:t>Supuesta vulneración del derecho a la integridad física: STC 148/2023 [resoluciones judiciales que realizaron una ponderación adecuada de los intereses de una persona menor de edad (STC 38/2023)].</w:t>
      </w:r>
    </w:p>
    <w:p w14:paraId="58704AAF" w14:textId="66EE0346" w:rsidR="008D479B" w:rsidRDefault="008D479B" w:rsidP="008D479B">
      <w:pPr>
        <w:pStyle w:val="SntesisAnaltica"/>
      </w:pPr>
    </w:p>
    <w:p w14:paraId="71D459D4" w14:textId="278512F4" w:rsidR="008D479B" w:rsidRDefault="008D479B" w:rsidP="008D479B">
      <w:pPr>
        <w:pStyle w:val="Extracto"/>
      </w:pPr>
      <w:r>
        <w:t>1.</w:t>
      </w:r>
      <w:r>
        <w:tab/>
        <w:t>La capacidad general de autodeterminación de las personas menores de edad, en relación con las actuaciones médicas que les afectan, encuentra su límite en la protección de su interés superior, que se impone como obligación a los progenitores, en cuanto titulares de la patria potestad o autoridad familiar, y a todos los poderes públicos, incluida la autoridad judicial (STC 148/2023) [FJ 3].</w:t>
      </w:r>
    </w:p>
    <w:p w14:paraId="05A52395" w14:textId="77777777" w:rsidR="008D479B" w:rsidRDefault="008D479B" w:rsidP="008D479B">
      <w:pPr>
        <w:pStyle w:val="Extracto"/>
      </w:pPr>
    </w:p>
    <w:p w14:paraId="2260FB39" w14:textId="01065930" w:rsidR="008D479B" w:rsidRDefault="008D479B" w:rsidP="008D479B">
      <w:pPr>
        <w:pStyle w:val="Extracto"/>
      </w:pPr>
      <w:r>
        <w:t>2.</w:t>
      </w:r>
      <w:r>
        <w:tab/>
        <w:t>La decisión de los representantes legales relativa al otorgamiento o no del consentimiento informado por representación deberá atender a la protección del derecho a la vida, supervivencia y desarrollo del menor y la satisfacción de sus necesidades básicas, tanto materiales, físicas y educativas como emocionales y afectivas [art. 2.2, letra a) de la Ley Orgánica 1/1996]; y es preciso buscar el mayor beneficio para la vida o salud del paciente menor de edad, teniendo en cuenta las circunstancias concurrentes y sus necesidades, que deben ser atendidas (STC 148/2023) [FJ 3].</w:t>
      </w:r>
    </w:p>
    <w:p w14:paraId="4A939070" w14:textId="77777777" w:rsidR="008D479B" w:rsidRDefault="008D479B" w:rsidP="008D479B">
      <w:pPr>
        <w:pStyle w:val="Extracto"/>
      </w:pPr>
    </w:p>
    <w:p w14:paraId="4BAF649C" w14:textId="77777777" w:rsidR="008D479B" w:rsidRDefault="008D479B" w:rsidP="008D479B">
      <w:pPr>
        <w:pStyle w:val="Extracto"/>
      </w:pPr>
    </w:p>
    <w:p w14:paraId="60CC7D0D" w14:textId="77777777" w:rsidR="008D479B" w:rsidRDefault="008D479B" w:rsidP="008D479B">
      <w:pPr>
        <w:pStyle w:val="TextoNormal"/>
      </w:pPr>
      <w: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14:paraId="5D244C9F" w14:textId="0F3E36E4" w:rsidR="008D479B" w:rsidRDefault="008D479B" w:rsidP="008D479B">
      <w:pPr>
        <w:pStyle w:val="TextoNormal"/>
      </w:pPr>
    </w:p>
    <w:p w14:paraId="50200D68" w14:textId="77777777" w:rsidR="008D479B" w:rsidRDefault="008D479B" w:rsidP="008D479B">
      <w:pPr>
        <w:pStyle w:val="TextoNormalCentrado"/>
        <w:keepNext/>
      </w:pPr>
      <w:r>
        <w:t>EN NOMBRE DEL REY</w:t>
      </w:r>
    </w:p>
    <w:p w14:paraId="30519612" w14:textId="44F6EE48" w:rsidR="008D479B" w:rsidRDefault="008D479B" w:rsidP="008D479B">
      <w:pPr>
        <w:pStyle w:val="TextoNormalCentrado"/>
        <w:keepNext/>
      </w:pPr>
    </w:p>
    <w:p w14:paraId="7445BB74" w14:textId="77777777" w:rsidR="008D479B" w:rsidRDefault="008D479B" w:rsidP="008D479B">
      <w:pPr>
        <w:pStyle w:val="TextoNormalCentrado"/>
        <w:keepNext/>
      </w:pPr>
    </w:p>
    <w:p w14:paraId="24E471FC" w14:textId="77777777" w:rsidR="008D479B" w:rsidRDefault="008D479B" w:rsidP="008D479B">
      <w:pPr>
        <w:pStyle w:val="TextoNormal"/>
      </w:pPr>
      <w:r>
        <w:t>la siguiente</w:t>
      </w:r>
    </w:p>
    <w:p w14:paraId="7584624A" w14:textId="72BBACE3" w:rsidR="008D479B" w:rsidRDefault="008D479B" w:rsidP="008D479B">
      <w:pPr>
        <w:pStyle w:val="TextoNormal"/>
      </w:pPr>
    </w:p>
    <w:p w14:paraId="1EA14DFC" w14:textId="77777777" w:rsidR="008D479B" w:rsidRDefault="008D479B" w:rsidP="008D479B">
      <w:pPr>
        <w:pStyle w:val="TextoNormalCentrado"/>
        <w:keepNext/>
      </w:pPr>
      <w:r>
        <w:t>SENTENCIA</w:t>
      </w:r>
    </w:p>
    <w:p w14:paraId="11B352ED" w14:textId="278118CE" w:rsidR="008D479B" w:rsidRDefault="008D479B" w:rsidP="008D479B">
      <w:pPr>
        <w:pStyle w:val="TextoNormalCentrado"/>
        <w:keepNext/>
      </w:pPr>
    </w:p>
    <w:p w14:paraId="77C5FCD4" w14:textId="77777777" w:rsidR="008D479B" w:rsidRDefault="008D479B" w:rsidP="008D479B">
      <w:pPr>
        <w:pStyle w:val="TextoNormal"/>
      </w:pPr>
      <w:r>
        <w:t>En el recurso de amparo núm. 5690-2022, interpuesto por la procuradora de los tribunales doña María Cristina Sosa González, en nombre y representación de don G.M.C., bajo la dirección técnica de la letrada doña Cristina Armas Suárez, contra el auto de 4 de abril de 2022 dictado por el Juzgado de Primera Instancia núm. 3 de Valladolid en el procedimiento de jurisdicción voluntaria 134-2022 y contra el auto de 30 de junio de 2022 de la Sección Primera de la Audiencia Provincial de Valladolid, en el rollo de apelación núm. 341-2022. Ha intervenido el Ministerio Fiscal. Ha sido ponente la magistrada doña Inmaculada Montalbán Huertas.</w:t>
      </w:r>
    </w:p>
    <w:p w14:paraId="3DB16317" w14:textId="791A0F32" w:rsidR="008D479B" w:rsidRDefault="008D479B" w:rsidP="008D479B">
      <w:pPr>
        <w:pStyle w:val="TextoNormal"/>
      </w:pPr>
    </w:p>
    <w:p w14:paraId="7E36F2B2" w14:textId="77777777" w:rsidR="008D479B" w:rsidRDefault="008D479B" w:rsidP="008D479B">
      <w:pPr>
        <w:pStyle w:val="TextoNormalNegritaCentrado"/>
        <w:keepNext/>
      </w:pPr>
      <w:r>
        <w:t>I. Antecedentes</w:t>
      </w:r>
    </w:p>
    <w:p w14:paraId="1C325B41" w14:textId="52E38A21" w:rsidR="008D479B" w:rsidRDefault="008D479B" w:rsidP="008D479B">
      <w:pPr>
        <w:pStyle w:val="TextoNormalNegritaCentrado"/>
        <w:keepNext/>
      </w:pPr>
    </w:p>
    <w:p w14:paraId="6679DDA6" w14:textId="66763A5C" w:rsidR="008D479B" w:rsidRDefault="008D479B" w:rsidP="008D479B">
      <w:pPr>
        <w:pStyle w:val="TextoNormal"/>
      </w:pPr>
      <w:r w:rsidRPr="008D479B">
        <w:rPr>
          <w:rStyle w:val="NumeroAFNegritaCaracter"/>
        </w:rPr>
        <w:t>1</w:t>
      </w:r>
      <w:r>
        <w:t>. Don G.M.C., representado por la procuradora de los tribunales doña María Cristina Sosa González, ha interpuesto recurso de amparo contra las resoluciones reseñadas en el encabezamiento de la presente resolución mediante escrito presentado en el registro de este tribunal el día 10 de agosto de 2022.</w:t>
      </w:r>
    </w:p>
    <w:p w14:paraId="6B170BF0" w14:textId="77777777" w:rsidR="008D479B" w:rsidRDefault="008D479B" w:rsidP="008D479B">
      <w:pPr>
        <w:pStyle w:val="TextoNormal"/>
      </w:pPr>
    </w:p>
    <w:p w14:paraId="7523C171" w14:textId="77777777" w:rsidR="008D479B" w:rsidRDefault="008D479B" w:rsidP="008D479B">
      <w:pPr>
        <w:pStyle w:val="TextoNormal"/>
      </w:pPr>
      <w:r w:rsidRPr="008D479B">
        <w:rPr>
          <w:rStyle w:val="NumeroAFNegritaCaracter"/>
        </w:rPr>
        <w:t>2</w:t>
      </w:r>
      <w:r>
        <w:t>. Los hechos de los que trae causa la demanda de amparo son, en síntesis, los siguientes:</w:t>
      </w:r>
    </w:p>
    <w:p w14:paraId="414E0A66" w14:textId="77777777" w:rsidR="008D479B" w:rsidRDefault="008D479B" w:rsidP="008D479B">
      <w:pPr>
        <w:pStyle w:val="TextoNormal"/>
      </w:pPr>
    </w:p>
    <w:p w14:paraId="7F507747" w14:textId="77777777" w:rsidR="008D479B" w:rsidRDefault="008D479B" w:rsidP="008D479B">
      <w:pPr>
        <w:pStyle w:val="TextoNormal"/>
      </w:pPr>
      <w:r>
        <w:t>a) Doña A.I.H.B., solicitó la intervención judicial por desacuerdo de los progenitores en el ejercicio de la patria potestad al amparo del art. 86.1 de la Ley de jurisdicción voluntaria (en adelante, Ley 15/2015) y el art. 156 párrafo tercero del Código civil (CC), ante la negativa del padre, don G.M.C., para la inoculación de la vacuna contra la covid-19 al hijo menor común de ambos litigantes, de ocho años de edad. Basaba su petición en la recomendación de las autoridades sanitarias sobre la vacunación.</w:t>
      </w:r>
    </w:p>
    <w:p w14:paraId="1C1D8D26" w14:textId="77777777" w:rsidR="008D479B" w:rsidRDefault="008D479B" w:rsidP="008D479B">
      <w:pPr>
        <w:pStyle w:val="TextoNormal"/>
      </w:pPr>
    </w:p>
    <w:p w14:paraId="3B868834" w14:textId="77777777" w:rsidR="008D479B" w:rsidRDefault="008D479B" w:rsidP="008D479B">
      <w:pPr>
        <w:pStyle w:val="TextoNormal"/>
      </w:pPr>
      <w:r>
        <w:t>b) Mediante decreto de 15 de febrero de 2022 se admitió la solicitud y se acordó la celebración de la comparecencia el día 29 de marzo de 2022 a las 9:30 horas, con citación a ambos progenitores y al Ministerio Fiscal.</w:t>
      </w:r>
    </w:p>
    <w:p w14:paraId="07E9C08B" w14:textId="77777777" w:rsidR="008D479B" w:rsidRDefault="008D479B" w:rsidP="008D479B">
      <w:pPr>
        <w:pStyle w:val="TextoNormal"/>
      </w:pPr>
    </w:p>
    <w:p w14:paraId="1879CB54" w14:textId="77777777" w:rsidR="008D479B" w:rsidRDefault="008D479B" w:rsidP="008D479B">
      <w:pPr>
        <w:pStyle w:val="TextoNormal"/>
      </w:pPr>
      <w:r>
        <w:t>c) Don G.M.C., formuló escrito de oposición a la solicitud presentada por doña A.I.H.B., en el que cuestionó la seguridad de las vacunas, alegando la ausencia de evidencia médica-científica que justifique la inoculación de los medicamentos de terapia génica para la covid-19 en menores de edad, atendiendo a la gravedad de la enfermedad en menores, donde la tasa de mortalidad y de hospitalización es muy baja, y a los efectos adversos que puede llevar aparejada la vacuna, que pueden ser muy superiores a la ausencia de vacunación. A ello añade que el medicamento se encuentra en fase experimental, que la ponderación de riesgos y beneficios aconseja la no vacunación y que la situación epidemiológica en este momento, comparada con la del año anterior, ha empeorado pese al suministro de la vacuna. Finalmente, considera que se produciría una vulneración del derecho a la integridad física y moral (art. 15 CE) por la falta de consentimiento informado por escrito en los términos de la Ley 41/2002, básica de autonomía del paciente, en relación con la STC 37/2011, de 28 de marzo, y la vulneración del Convenio de Oviedo.</w:t>
      </w:r>
    </w:p>
    <w:p w14:paraId="4E55A2D1" w14:textId="77777777" w:rsidR="008D479B" w:rsidRDefault="008D479B" w:rsidP="008D479B">
      <w:pPr>
        <w:pStyle w:val="TextoNormal"/>
      </w:pPr>
    </w:p>
    <w:p w14:paraId="1E30A14C" w14:textId="77777777" w:rsidR="008D479B" w:rsidRDefault="008D479B" w:rsidP="008D479B">
      <w:pPr>
        <w:pStyle w:val="TextoNormal"/>
      </w:pPr>
      <w:r>
        <w:t>d) Tras celebrarse la comparecencia en el día y hora señalados, el Juzgado de Primera Instancia núm. 3 de Valladolid dictó auto de 4 de abril de 2022 por el que atribuyó la facultad de decidir a la actora, teniendo en cuenta la prueba documental aportada por ambas partes. Apoya su decisión en la protección que proporcionan las vacunas, siendo el riesgo de miocarditis más frecuente tras la infección que tras la vacunación, con lo que la administración de la vacuna mejora el balance riesgo/beneficio, y en que la postura de la madre se basa en informes médicos donde se recoge de forma detallada el criterio de las autoridades sanitarias, considerando que la vacunación conlleva mayor beneficio que riesgo. La vacuna ha sido aprobada por la Agencia Estatal de Medicamentos y por la Agencia Española del Medicamento y Productos Sanitarios, lo que supone que tiene garantías de calidad, seguridad y eficacia. Y apunta que la postura del padre se basa en artículos periodísticos, datos estadísticos (que no se discuten), artículos de internet, diferentes estudios realizados por investigadores y tres autos de diferentes juzgados de primera instancia e instrucción a su favor. Finalmente apunta que la alegada vulneración del derecho a la integridad física y moral (art. 15 CE) por falta de consentimiento informado no guarda relación con el objeto de este procedimiento, en el que únicamente se debate a qué progenitor atribuir la facultad de decidir sobre la vacunación por covid-19 a su hijo menor de edad.</w:t>
      </w:r>
    </w:p>
    <w:p w14:paraId="41B2F13D" w14:textId="77777777" w:rsidR="008D479B" w:rsidRDefault="008D479B" w:rsidP="008D479B">
      <w:pPr>
        <w:pStyle w:val="TextoNormal"/>
      </w:pPr>
    </w:p>
    <w:p w14:paraId="6FDC667D" w14:textId="77777777" w:rsidR="008D479B" w:rsidRDefault="008D479B" w:rsidP="008D479B">
      <w:pPr>
        <w:pStyle w:val="TextoNormal"/>
      </w:pPr>
      <w:r>
        <w:t>e) Don. G.M.C., presentó escrito anunciando su intención de presentar recurso de apelación contra el auto de 4 de abril de 2022 e interesando que la madre se abstuviera de proceder a la inoculación de la vacuna en tanto la resolución judicial no fuera firme. Añadía en su escrito que, en caso de que la madre hiciera caso omiso del requerimiento hasta la firmeza de la resolución, solicitaría medidas de protección urgente de conformidad con el art. 158 CC, incluida la suspensión en el ejercicio de la patria potestad a fin de proteger al menor durante la sustanciación del procedimiento.</w:t>
      </w:r>
    </w:p>
    <w:p w14:paraId="4D3DE672" w14:textId="77777777" w:rsidR="008D479B" w:rsidRDefault="008D479B" w:rsidP="008D479B">
      <w:pPr>
        <w:pStyle w:val="TextoNormal"/>
      </w:pPr>
    </w:p>
    <w:p w14:paraId="08287B89" w14:textId="77777777" w:rsidR="008D479B" w:rsidRDefault="008D479B" w:rsidP="008D479B">
      <w:pPr>
        <w:pStyle w:val="TextoNormal"/>
      </w:pPr>
      <w:r>
        <w:t>f) Mediante diligencia de ordenación de 11 de abril de 2022 se tuvo por presentado el anterior escrito y se acordó estar a la espera de la interposición del recurso de apelación.</w:t>
      </w:r>
    </w:p>
    <w:p w14:paraId="7393AF4A" w14:textId="77777777" w:rsidR="008D479B" w:rsidRDefault="008D479B" w:rsidP="008D479B">
      <w:pPr>
        <w:pStyle w:val="TextoNormal"/>
      </w:pPr>
    </w:p>
    <w:p w14:paraId="4EDC73B2" w14:textId="77777777" w:rsidR="008D479B" w:rsidRDefault="008D479B" w:rsidP="008D479B">
      <w:pPr>
        <w:pStyle w:val="TextoNormal"/>
      </w:pPr>
      <w:r>
        <w:t>g) Se presentó recurso de apelación por parte de don G.M.C., en el que denunciaba la vulneración de los arts. 216, 217 y 218 de la Ley de enjuiciamiento civil (LEC) en relación con el art. 24 CE por infracción del principio de justicia rogada, falta de valoración de la prueba aportada por el recurrente y falta de motivación del auto recurrido, siendo la motivación del auto meramente aparente por déficit valorativo, al considerar que se no se han tenido en cuenta las pruebas aportadas por esta parte. Consideraba también que se había vulnerado el art. 15 CE por falta de consentimiento informado en relación con la Ley 41/2002, básica de autonomía del paciente, y la STC 37/2011, de 28 de marzo, pese a que deberían extremarse las precauciones por tratarse de un medicamento en fase experimental sin garantizarse suficientemente su seguridad y eficacia, y en contra también del Convenio de Oviedo.</w:t>
      </w:r>
    </w:p>
    <w:p w14:paraId="4DBC5249" w14:textId="77777777" w:rsidR="008D479B" w:rsidRDefault="008D479B" w:rsidP="008D479B">
      <w:pPr>
        <w:pStyle w:val="TextoNormal"/>
      </w:pPr>
    </w:p>
    <w:p w14:paraId="190DE967" w14:textId="77777777" w:rsidR="008D479B" w:rsidRDefault="008D479B" w:rsidP="008D479B">
      <w:pPr>
        <w:pStyle w:val="TextoNormal"/>
      </w:pPr>
      <w:r>
        <w:t>h) El Ministerio Fiscal presentó escrito en el que se oponía al recurso de apelación, interesando su desestimación porque el auto recurrido hacía una exhaustiva valoración conjunta de la prueba y porque no cabría apreciar falta de consentimiento informado atendida la información existente sobre esta vacuna.</w:t>
      </w:r>
    </w:p>
    <w:p w14:paraId="6C6F6AD0" w14:textId="77777777" w:rsidR="008D479B" w:rsidRDefault="008D479B" w:rsidP="008D479B">
      <w:pPr>
        <w:pStyle w:val="TextoNormal"/>
      </w:pPr>
    </w:p>
    <w:p w14:paraId="6D9B03A7" w14:textId="77777777" w:rsidR="008D479B" w:rsidRDefault="008D479B" w:rsidP="008D479B">
      <w:pPr>
        <w:pStyle w:val="TextoNormal"/>
      </w:pPr>
      <w:r>
        <w:t>i) Doña A.I.H.B., se opuso también al recurso de apelación negando las vulneraciones alegadas por el recurrente. En relación con la motivación y la valoración de la prueba, se apoya en los informes oficiales favorables a la vacunación, frente a la falta de rigor científico de los documentos aportados por el recurrente. Respecto de la falta de consentimiento informado, alega haberse informado a través de su pediatra antes de solicitar que se le atribuya la facultad de decidir.</w:t>
      </w:r>
    </w:p>
    <w:p w14:paraId="59E5C4B9" w14:textId="77777777" w:rsidR="008D479B" w:rsidRDefault="008D479B" w:rsidP="008D479B">
      <w:pPr>
        <w:pStyle w:val="TextoNormal"/>
      </w:pPr>
    </w:p>
    <w:p w14:paraId="7718A168" w14:textId="77777777" w:rsidR="008D479B" w:rsidRDefault="008D479B" w:rsidP="008D479B">
      <w:pPr>
        <w:pStyle w:val="TextoNormal"/>
      </w:pPr>
      <w:r>
        <w:t>j) La Sección Primera de la Audiencia Provincial de Valladolid dictó auto el 30 de junio de 2022 por el que desestimó el recurso de apelación. Basaba su decisión en que el recurrente no ha aportado ningún informe especializado del que pudiera inferirse que en el supuesto concreto concurra algún hecho especial vinculado al estado de salud del menor del que se pudiera derivar un riesgo mayor del que comúnmente existe en la vacunación. Los dos informes médicos recomiendan la vacunación, y los compara con los documentos aportados por el recurrente concluyendo, en consonancia con los criterios del Ministerio de Sanidad y la Asociación Española de Pediatría, que la vacuna en menores de edad es beneficiosa y ha sido autorizada por la Agencia Europea del Medicamento, por la Agencia Estatal de Medicamentos y por la Agencia Española del Medicamento y Productos Sanitarios. Tampoco aprecia vulneración del derecho a la integridad física y moral por falta de consentimiento informado porque este procedimiento únicamente tiene por objeto atribuir a uno de los progenitores el ejercicio de la patria potestad sobre la cuestión de vacunar al menor, y el consentimiento informado procede que se determine en un momento posterior, cuando vaya a administrarse la vacuna.</w:t>
      </w:r>
    </w:p>
    <w:p w14:paraId="001A5F93" w14:textId="77777777" w:rsidR="008D479B" w:rsidRDefault="008D479B" w:rsidP="008D479B">
      <w:pPr>
        <w:pStyle w:val="TextoNormal"/>
      </w:pPr>
    </w:p>
    <w:p w14:paraId="0CAC78C1" w14:textId="7AB36652" w:rsidR="008D479B" w:rsidRDefault="008D479B" w:rsidP="008D479B">
      <w:pPr>
        <w:pStyle w:val="TextoNormal"/>
      </w:pPr>
      <w:r>
        <w:t>k) Por escrito presentado el 4 de julio de 2022, el recurrente puso en conocimiento del juzgado su intención de presentar recurso de amparo, y el 5 de julio de 2022 la madre presentó un escrito ante el juzgado donde afirmaba que el padre tenía conocimiento de que el menor ya había sido vacunado además de haber pasado la covid-19, por lo que la continuación del proceso carecería de objeto de forma sobrevenida. Mediante diligencia de ordenación de 6 de julio de 2022 se tuvieron por hechas las manifestaciones, uniéndose los escritos al expediente.</w:t>
      </w:r>
    </w:p>
    <w:p w14:paraId="18F612D7" w14:textId="77777777" w:rsidR="008D479B" w:rsidRDefault="008D479B" w:rsidP="008D479B">
      <w:pPr>
        <w:pStyle w:val="TextoNormal"/>
      </w:pPr>
    </w:p>
    <w:p w14:paraId="61A74972" w14:textId="77777777" w:rsidR="008D479B" w:rsidRDefault="008D479B" w:rsidP="008D479B">
      <w:pPr>
        <w:pStyle w:val="TextoNormal"/>
      </w:pPr>
      <w:r w:rsidRPr="008D479B">
        <w:rPr>
          <w:rStyle w:val="NumeroAFNegritaCaracter"/>
        </w:rPr>
        <w:t>3</w:t>
      </w:r>
      <w:r>
        <w:t>. El recurrente denuncia que se le han vulnerado los siguientes derechos fundamentales:</w:t>
      </w:r>
    </w:p>
    <w:p w14:paraId="0B740A5D" w14:textId="77777777" w:rsidR="008D479B" w:rsidRDefault="008D479B" w:rsidP="008D479B">
      <w:pPr>
        <w:pStyle w:val="TextoNormal"/>
      </w:pPr>
    </w:p>
    <w:p w14:paraId="187C6B4D" w14:textId="77777777" w:rsidR="008D479B" w:rsidRDefault="008D479B" w:rsidP="008D479B">
      <w:pPr>
        <w:pStyle w:val="TextoNormal"/>
      </w:pPr>
      <w:r>
        <w:t>(i) El derecho a la integridad física y moral (art. 15 CE) por falta del consentimiento informado regulado en la Ley 41/2002, básica de autonomía del paciente, también reconocido en la Carta de derechos fundamentales de la Unión Europea y en el Convenio de Oviedo y que puede entenderse comprendido en el art. 8 del Convenio europeo de derechos humanos (CEDH).</w:t>
      </w:r>
    </w:p>
    <w:p w14:paraId="7A076723" w14:textId="77777777" w:rsidR="008D479B" w:rsidRDefault="008D479B" w:rsidP="008D479B">
      <w:pPr>
        <w:pStyle w:val="TextoNormal"/>
      </w:pPr>
    </w:p>
    <w:p w14:paraId="58618076" w14:textId="742B59E2" w:rsidR="008D479B" w:rsidRDefault="008D479B" w:rsidP="008D479B">
      <w:pPr>
        <w:pStyle w:val="TextoNormal"/>
      </w:pPr>
      <w:r>
        <w:t>(ii) El derecho a la tutela judicial efectiva (art. 24.1 CE) en su vertiente de acceso a los recursos porque, a pesar de que mediante escrito presentado el 7 de abril de 2022, se puso en conocimiento del juzgado la intención de presentar recurso de apelación contra el auto de 4 de abril de 2022, la parte contraria procedió a administrar la primera dosis de la vacuna, frustrando tanto el recurso de apelación como el posterior recurso de amparo.</w:t>
      </w:r>
    </w:p>
    <w:p w14:paraId="0B8C6336" w14:textId="77777777" w:rsidR="008D479B" w:rsidRDefault="008D479B" w:rsidP="008D479B">
      <w:pPr>
        <w:pStyle w:val="TextoNormal"/>
      </w:pPr>
    </w:p>
    <w:p w14:paraId="0473C27F" w14:textId="77777777" w:rsidR="008D479B" w:rsidRDefault="008D479B" w:rsidP="008D479B">
      <w:pPr>
        <w:pStyle w:val="TextoNormal"/>
      </w:pPr>
      <w:r w:rsidRPr="008D479B">
        <w:rPr>
          <w:rStyle w:val="NumeroAFNegritaCaracter"/>
        </w:rPr>
        <w:t>4</w:t>
      </w:r>
      <w:r>
        <w:t>. Mediante providencia de 3 de julio de 2023, la Sección Tercera del Tribunal Constitucional acordó admitir a trámite el recurso de amparo apreciando que concurre en el mismo una especial trascendencia constitucional [art. 50.1 de la Ley Orgánica del Tribunal Constitucional (LOTC)] porque el recurso plantea un problema o afecta a una faceta de un derecho fundamental sobre el que no hay doctrina de este tribunal [STC 155/2009, de 25 de junio, FJ 2 a)] y, asimismo, porque el asunto suscitado trasciende del caso concreto porque plantea una cuestión jurídica de relevante y general repercusión social o económica [STC 155/2009, FJ 2 g)].</w:t>
      </w:r>
    </w:p>
    <w:p w14:paraId="5E093F86" w14:textId="77777777" w:rsidR="008D479B" w:rsidRDefault="008D479B" w:rsidP="008D479B">
      <w:pPr>
        <w:pStyle w:val="TextoNormal"/>
      </w:pPr>
    </w:p>
    <w:p w14:paraId="1A504D0F" w14:textId="362E2090" w:rsidR="008D479B" w:rsidRDefault="008D479B" w:rsidP="008D479B">
      <w:pPr>
        <w:pStyle w:val="TextoNormal"/>
      </w:pPr>
      <w:r>
        <w:t>En la misma providencia se acordó, en aplicación de lo dispuesto en el art. 51 LOTC, dirigir atenta comunicación a la Sección Primera de la Audiencia Provincial de Valladolid a fin de que, en plazo no superior a diez días, remitiera certificación o fotocopia adverada de las actuaciones correspondientes al recurso de apelación 341-2022, e, igualmente, al Juzgado de Primera Instancia núm. 3 de Valladolid a fin de que, en plazo que no excediera de diez días, remitiera certificación o fotocopia adverada de las actuaciones correspondientes al procedimiento de jurisdicción voluntaria núm. 134-2022, debiendo emplazar previamente a quienes hubieran sido parte en el procedimiento, excepto la parte recurrente en amparo, para que en el plazo de diez días pudieran comparecer, si lo desearan, en el recurso de amparo.</w:t>
      </w:r>
    </w:p>
    <w:p w14:paraId="0AABA0C0" w14:textId="77777777" w:rsidR="008D479B" w:rsidRDefault="008D479B" w:rsidP="008D479B">
      <w:pPr>
        <w:pStyle w:val="TextoNormal"/>
      </w:pPr>
    </w:p>
    <w:p w14:paraId="157EC8F2" w14:textId="745ABEA2" w:rsidR="008D479B" w:rsidRDefault="008D479B" w:rsidP="008D479B">
      <w:pPr>
        <w:pStyle w:val="TextoNormal"/>
      </w:pPr>
      <w:r w:rsidRPr="008D479B">
        <w:rPr>
          <w:rStyle w:val="NumeroAFNegritaCaracter"/>
        </w:rPr>
        <w:t>5</w:t>
      </w:r>
      <w:r>
        <w:t>. Mediante diligencia de ordenación de la Sala Segunda del Tribunal Constitucional de 18 de septiembre de 2023 se acordó dar vista de las actuaciones por un plazo común de veinte días al Ministerio Fiscal y a la parte recurrente para que dentro de dicho término pudieran presentar las alegaciones que a su derecho conviniera</w:t>
      </w:r>
    </w:p>
    <w:p w14:paraId="1A21F56C" w14:textId="77777777" w:rsidR="008D479B" w:rsidRDefault="008D479B" w:rsidP="008D479B">
      <w:pPr>
        <w:pStyle w:val="TextoNormal"/>
      </w:pPr>
    </w:p>
    <w:p w14:paraId="0048093F" w14:textId="77777777" w:rsidR="008D479B" w:rsidRDefault="008D479B" w:rsidP="008D479B">
      <w:pPr>
        <w:pStyle w:val="TextoNormal"/>
      </w:pPr>
      <w:r w:rsidRPr="008D479B">
        <w:rPr>
          <w:rStyle w:val="NumeroAFNegritaCaracter"/>
        </w:rPr>
        <w:t>6</w:t>
      </w:r>
      <w:r>
        <w:t>. El fiscal ante el Tribunal Constitucional formuló sus alegaciones por escrito presentado el 18 de octubre de 2023. Indica que, presentado el escrito del recurrente interesando que la madre se abstuviera de proceder a la inoculación de la vacuna en tanto la resolución judicial no fuera firme, este se tuvo por presentado mediante diligencia de ordenación de 11 de abril de 2022, acordando estar a la espera de la interposición del recurso de apelación. Dicha resolución no fue recurrida. Posteriormente, mediante escrito presentado el 4 de julio de 2022, el recurrente puso en conocimiento del juzgado su intención de presentar recurso de amparo, solicitando que se paralizara la administración de la vacuna al menor, y mediante escrito de 5 de julio de 2022, la madre comunicó que el padre ya tenía conocimiento de que el menor había sido vacunado y había pasado la enfermedad, por lo que la interposición del recurso de amparo carecería de fundamento por carencia sobrevenida de objeto. Tales escritos se unieron a las actuaciones por diligencia de ordenación de 6 de julio de 2022, que no fue recurrida. Dado que ninguna de las diligencias de ordenación indicadas fue recurrida, don G.M.C., se aquietó con lo en ellas acordado. Aprecia por ello el fiscal causa de inadmisión por falta de agotamiento de los medios de impugnación previstos en la ley y por falta de denuncia formal en el proceso de la vulneración del derecho fundamental tan pronto como, una vez conocida, hubo lugar para ello. Además, se atribuye la infracción de derechos fundamentales a la madre del menor, por lo que el motivo sería además inadmisible por aplicación del art. 50.1 a) LOTC, ya que el recurso de amparo protege frente a violaciones de derechos y libertades originadas por los poderes públicos del Estado, las comunidades autónomas y demás entes públicos de carácter territorial, corporativo o institucional, sus funcionarios o agentes (art. 41.2 LOTC) y la violación del derecho fundamental debe ser imputable de modo inmediato y directo a una acción u omisión del órgano judicial con independencia de los hechos que dieron lugar al proceso en el que se produjeron (art. 41.1 LOTC).</w:t>
      </w:r>
    </w:p>
    <w:p w14:paraId="5B97B09A" w14:textId="77777777" w:rsidR="008D479B" w:rsidRDefault="008D479B" w:rsidP="008D479B">
      <w:pPr>
        <w:pStyle w:val="TextoNormal"/>
      </w:pPr>
    </w:p>
    <w:p w14:paraId="6BA9BB4A" w14:textId="77777777" w:rsidR="008D479B" w:rsidRDefault="008D479B" w:rsidP="008D479B">
      <w:pPr>
        <w:pStyle w:val="TextoNormal"/>
      </w:pPr>
      <w:r>
        <w:t>En cuanto a la alegada vulneración del art. 15 CE por falta de consentimiento informado para la administración de la vacuna contra la covid-19 al hijo menor de edad, el fiscal considera, a la luz de la STC 38/2023, de 20 de abril, y teniendo en cuenta que en estos casos debe atribuirse la facultad de decidir al progenitor cuyo criterio es más razonable, atendido el interés superior del menor, que la resolución judicial solo atribuye al progenitor la facultad de decidir, siendo en un momento posterior cuando habrá de tomar la decisión sobre la administración real y efectiva de la vacunación al hijo menor de edad. Tal decisión se adoptará previa valoración de la suficiencia de la información recibida sobre beneficios y riesgos de la vacuna. No puede, por tanto, haberse afectado el derecho a la integridad física (art. 15 CE) porque es posible que el progenitor a quien se atribuye la facultad de decidir opte finalmente por no vacunar al hijo, sin que ello entrañe desobediencia a la resolución judicial, como tampoco habría desobediencia si se hubiera otorgado la facultad de decidir al progenitor contrario a la vacunación y este, posteriormente, decidiera vacunar a su hijo.</w:t>
      </w:r>
    </w:p>
    <w:p w14:paraId="612E9B84" w14:textId="77777777" w:rsidR="008D479B" w:rsidRDefault="008D479B" w:rsidP="008D479B">
      <w:pPr>
        <w:pStyle w:val="TextoNormal"/>
      </w:pPr>
    </w:p>
    <w:p w14:paraId="4D0468DA" w14:textId="77777777" w:rsidR="008D479B" w:rsidRDefault="008D479B" w:rsidP="008D479B">
      <w:pPr>
        <w:pStyle w:val="TextoNormal"/>
      </w:pPr>
      <w:r>
        <w:t>Pero si se considerase que, con su decisión de otorgar la facultad de decidir al progenitor favorable a la vacunación, el órgano judicial está autorizando la vacuna, procedería analizar si hay vulneración del art. 15 CE. Se remite para ello a los argumentos de la STC 38/2023, de 20 de abril, FFJJ 5, 6 y 7, y lo dispuesto en el art. 9.3 de la Ley 41/2002, básica de autonomía del paciente. En este caso, observa que no se dio audiencia al menor ni se practicó ninguna diligencia dirigida a determinar si el menor tenía capacidad para comprender el alcance de la intervención y su grado de madurez, lo que era imprescindible para determinar si la vacunación era conforme al interés superior del menor. Las decisiones judiciales se tomaron atendiendo a lo que, objetivamente, desde el punto de vista médico-científico, parecía más conveniente para el menor. Pero al no practicarse ninguna diligencia para determinar el grado de madurez del menor y su capacidad para comprender el alcance de la vacunación y no oírle, no era posible determinar si el mismo podría prestar por sí solo el consentimiento informado, ni cuál era su voluntad, ni qué relevancia habría que dar a la misma. Concluye así que, si el Tribunal Constitucional estimara que las resoluciones judiciales implicaron, aunque fuera indirectamente, la decisión de que el menor fuera vacunado, incidiendo en el derecho fundamental del art. 15 CE, se habría producido la alegada infracción del mismo.</w:t>
      </w:r>
    </w:p>
    <w:p w14:paraId="0D0C0A06" w14:textId="77777777" w:rsidR="008D479B" w:rsidRDefault="008D479B" w:rsidP="008D479B">
      <w:pPr>
        <w:pStyle w:val="TextoNormal"/>
      </w:pPr>
    </w:p>
    <w:p w14:paraId="24377B31" w14:textId="0BD90B40" w:rsidR="008D479B" w:rsidRDefault="008D479B" w:rsidP="008D479B">
      <w:pPr>
        <w:pStyle w:val="TextoNormal"/>
      </w:pPr>
      <w:r>
        <w:t>Por todo ello, el fiscal interesa la inadmisión del segundo motivo del recurso de amparo y la desestimación del primer motivo, aunque subsidiariamente considera que podría entenderse vulnerado el art. 15 CE.</w:t>
      </w:r>
    </w:p>
    <w:p w14:paraId="007899BD" w14:textId="77777777" w:rsidR="008D479B" w:rsidRDefault="008D479B" w:rsidP="008D479B">
      <w:pPr>
        <w:pStyle w:val="TextoNormal"/>
      </w:pPr>
    </w:p>
    <w:p w14:paraId="1DDE86C3" w14:textId="7CE4AA16" w:rsidR="008D479B" w:rsidRDefault="008D479B" w:rsidP="008D479B">
      <w:pPr>
        <w:pStyle w:val="TextoNormal"/>
      </w:pPr>
      <w:r w:rsidRPr="008D479B">
        <w:rPr>
          <w:rStyle w:val="NumeroAFNegritaCaracter"/>
        </w:rPr>
        <w:t>7</w:t>
      </w:r>
      <w:r>
        <w:t>. Por providencia de 16 de noviembre de 2023 se señaló para deliberación y votación de la presente sentencia el día 20 del mismo mes y año.</w:t>
      </w:r>
    </w:p>
    <w:p w14:paraId="0F949592" w14:textId="77777777" w:rsidR="008D479B" w:rsidRDefault="008D479B" w:rsidP="008D479B">
      <w:pPr>
        <w:pStyle w:val="TextoNormal"/>
      </w:pPr>
    </w:p>
    <w:p w14:paraId="156A7DEE" w14:textId="77777777" w:rsidR="008D479B" w:rsidRDefault="008D479B" w:rsidP="008D479B">
      <w:pPr>
        <w:pStyle w:val="TextoNormalNegritaCentrado"/>
        <w:keepNext/>
      </w:pPr>
      <w:r>
        <w:t>II. Fundamentos jurídicos</w:t>
      </w:r>
    </w:p>
    <w:p w14:paraId="345A77B5" w14:textId="0DAF33FF" w:rsidR="008D479B" w:rsidRDefault="008D479B" w:rsidP="008D479B">
      <w:pPr>
        <w:pStyle w:val="TextoNormalNegritaCentrado"/>
        <w:keepNext/>
      </w:pPr>
    </w:p>
    <w:p w14:paraId="560CFE7D" w14:textId="77777777" w:rsidR="008D479B" w:rsidRDefault="008D479B" w:rsidP="008D479B">
      <w:pPr>
        <w:pStyle w:val="TextoNormal"/>
      </w:pPr>
      <w:r w:rsidRPr="008D479B">
        <w:rPr>
          <w:rStyle w:val="NumeroAFNegritaCaracter"/>
        </w:rPr>
        <w:t>1</w:t>
      </w:r>
      <w:r>
        <w:t xml:space="preserve">. </w:t>
      </w:r>
      <w:r w:rsidRPr="008D479B">
        <w:rPr>
          <w:i/>
        </w:rPr>
        <w:t>Objeto del recurso</w:t>
      </w:r>
    </w:p>
    <w:p w14:paraId="518EDF17" w14:textId="77777777" w:rsidR="008D479B" w:rsidRDefault="008D479B" w:rsidP="008D479B">
      <w:pPr>
        <w:pStyle w:val="TextoNormal"/>
      </w:pPr>
    </w:p>
    <w:p w14:paraId="150B1D4B" w14:textId="77777777" w:rsidR="008D479B" w:rsidRDefault="008D479B" w:rsidP="008D479B">
      <w:pPr>
        <w:pStyle w:val="TextoNormal"/>
      </w:pPr>
      <w:r>
        <w:t>El presente recurso de amparo se dirige contra el auto de 4 de abril de 2022 —dictado por el Juzgado de Primera Instancia núm. 3 de Valladolid en el procedimiento de jurisdicción voluntaria núm. 134-2022— que concedió a doña A.I.H.B., la facultad de decidir sobre la administración de la vacuna frente a la covid-19 a su hijo menor de edad. También se impugna auto de 30 de junio de 2022 dictado por la Sección Primera de la Audiencia Provincial de Valladolid, en el rollo de apelación núm. 341-2022, confirmatorio del anterior.</w:t>
      </w:r>
    </w:p>
    <w:p w14:paraId="60D39AE4" w14:textId="77777777" w:rsidR="008D479B" w:rsidRDefault="008D479B" w:rsidP="008D479B">
      <w:pPr>
        <w:pStyle w:val="TextoNormal"/>
      </w:pPr>
    </w:p>
    <w:p w14:paraId="474D2E79" w14:textId="6EA0B943" w:rsidR="008D479B" w:rsidRDefault="008D479B" w:rsidP="008D479B">
      <w:pPr>
        <w:pStyle w:val="TextoNormal"/>
      </w:pPr>
      <w:r>
        <w:t>Dada la naturaleza de los hechos, debe señalarse que, en aplicación de las potestades atribuidas a este tribunal por el art. 86.3 LOTC y el acuerdo del Pleno de 23 de julio de 2015, por el que se regula la exclusión de los datos de identidad personal en la publicación de las resoluciones jurisdiccionales (“Boletín Oficial del Estado” núm. 178, de 27 de julio de 2015), la presente sentencia y demás actuaciones del proceso no incluyen la identificación completa de la persona menor de edad afectada ni la de sus parientes inmediatos que aparecen mencionados en las actuaciones, con el fin de proteger la intimidad de aquella.</w:t>
      </w:r>
    </w:p>
    <w:p w14:paraId="69E7E77C" w14:textId="77777777" w:rsidR="008D479B" w:rsidRDefault="008D479B" w:rsidP="008D479B">
      <w:pPr>
        <w:pStyle w:val="TextoNormal"/>
      </w:pPr>
    </w:p>
    <w:p w14:paraId="011C4DF1" w14:textId="77777777" w:rsidR="008D479B" w:rsidRDefault="008D479B" w:rsidP="008D479B">
      <w:pPr>
        <w:pStyle w:val="TextoNormal"/>
      </w:pPr>
      <w:r w:rsidRPr="008D479B">
        <w:rPr>
          <w:rStyle w:val="NumeroAFNegritaCaracter"/>
        </w:rPr>
        <w:t>2</w:t>
      </w:r>
      <w:r>
        <w:t xml:space="preserve">. </w:t>
      </w:r>
      <w:r w:rsidRPr="008D479B">
        <w:rPr>
          <w:i/>
        </w:rPr>
        <w:t>Cuestión previa</w:t>
      </w:r>
    </w:p>
    <w:p w14:paraId="6FA25A14" w14:textId="77777777" w:rsidR="008D479B" w:rsidRDefault="008D479B" w:rsidP="008D479B">
      <w:pPr>
        <w:pStyle w:val="TextoNormal"/>
      </w:pPr>
    </w:p>
    <w:p w14:paraId="58F423F3" w14:textId="23DAD6A1" w:rsidR="008D479B" w:rsidRDefault="008D479B" w:rsidP="008D479B">
      <w:pPr>
        <w:pStyle w:val="TextoNormal"/>
      </w:pPr>
      <w:r>
        <w:t>Con carácter previo al examen de las cuestiones de fondo planteadas en la demanda de amparo, debe rechazarse la vulneración del derecho a la tutela judicial efectiva (art. 24.1 CE) en su vertiente de acceso a los recursos. Si bien, como alega el recurrente, presentó un escrito en el juzgado manifestando su intención de presentar recurso de apelación y el otro progenitor procedió a administrar la primera dosis de la vacuna, no ha llegado a invocar en el procedimiento la vulneración del derecho fundamental ahora alegado, incurriendo en falta de agotamiento de la vía judicial.</w:t>
      </w:r>
    </w:p>
    <w:p w14:paraId="51AE6BA4" w14:textId="77777777" w:rsidR="008D479B" w:rsidRDefault="008D479B" w:rsidP="008D479B">
      <w:pPr>
        <w:pStyle w:val="TextoNormal"/>
      </w:pPr>
    </w:p>
    <w:p w14:paraId="158C7A36" w14:textId="77777777" w:rsidR="008D479B" w:rsidRDefault="008D479B" w:rsidP="008D479B">
      <w:pPr>
        <w:pStyle w:val="TextoNormal"/>
      </w:pPr>
      <w:r w:rsidRPr="008D479B">
        <w:rPr>
          <w:rStyle w:val="NumeroAFNegritaCaracter"/>
        </w:rPr>
        <w:t>3</w:t>
      </w:r>
      <w:r>
        <w:t xml:space="preserve">. </w:t>
      </w:r>
      <w:r w:rsidRPr="008D479B">
        <w:rPr>
          <w:i/>
        </w:rPr>
        <w:t>Aplicación de la doctrina constitucional expuesta en la STC 148/2023, de 6 de noviembre</w:t>
      </w:r>
    </w:p>
    <w:p w14:paraId="2DD64223" w14:textId="77777777" w:rsidR="008D479B" w:rsidRDefault="008D479B" w:rsidP="008D479B">
      <w:pPr>
        <w:pStyle w:val="TextoNormal"/>
      </w:pPr>
    </w:p>
    <w:p w14:paraId="2844CDFC" w14:textId="77777777" w:rsidR="008D479B" w:rsidRDefault="008D479B" w:rsidP="008D479B">
      <w:pPr>
        <w:pStyle w:val="TextoNormal"/>
      </w:pPr>
      <w:r>
        <w:t>La cuestión constitucional suscitada en este recurso en relación con el derecho fundamental a la integridad física y moral (art. 15 CE) es la misma que ya ha sido objeto de análisis por el Pleno de este tribunal en la STC 148/2023, de 6 de noviembre, en cuyos fundamentos jurídicos 4 y 5 se expusieron de manera pormenorizada las pautas de ponderación necesarias para determinar si en este tipo de supuestos se ha vulnerado el derecho a la integridad personal, centrando la cuestión en que la administración de la vacuna, a falta de consentimiento libre, válido e informado de la persona afectada, precisa para su constitucionalidad el cumplimiento de los requisitos generales que, de acuerdo con nuestra doctrina, rigen la restricción de los derechos fundamentales sustantivos.</w:t>
      </w:r>
    </w:p>
    <w:p w14:paraId="577BFB91" w14:textId="77777777" w:rsidR="008D479B" w:rsidRDefault="008D479B" w:rsidP="008D479B">
      <w:pPr>
        <w:pStyle w:val="TextoNormal"/>
      </w:pPr>
    </w:p>
    <w:p w14:paraId="424D311D" w14:textId="6943267F" w:rsidR="008D479B" w:rsidRDefault="008D479B" w:rsidP="008D479B">
      <w:pPr>
        <w:pStyle w:val="TextoNormal"/>
      </w:pPr>
      <w:r>
        <w:t>En atención a lo expuesto, en este caso, como también se concluyó en la STC 148/2023, FJ 5, el Tribunal rechaza que se haya vulnerado el art. 15 CE al constatarse que (i) se cumple el presupuesto básico que el art. 9.3, letra c) de la Ley 41/2002 establece para que pueda acudirse al consentimiento por representación —otorgado por los progenitores de común acuerdo o por la autoridad judicial en caso de desacuerdo— porque el menor, de ocho años de edad, carecía de la capacidad emocional e intelectual necesarias para comprender el alcance la intervención y los padres contaban con la información adecuada para la prestación del consentimiento desde un momento anterior incluso a la iniciación del procedimiento de jurisdicción voluntaria, por lo que no cabe apreciar la ausencia de consentimiento informado; y (ii) la motivación de las resoluciones judiciales tuvo como fundamento esencial la protección del interés superior del menor en relación con la protección de su salud, teniendo en cuenta la recomendación de las autoridades sanitarias, las cuales, haciendo una ponderación de riesgos y beneficios de la administración de la vacuna a menores de edad, se mostraban a favor de la vacunación.</w:t>
      </w:r>
    </w:p>
    <w:p w14:paraId="489FA5B1" w14:textId="77777777" w:rsidR="008D479B" w:rsidRDefault="008D479B" w:rsidP="008D479B">
      <w:pPr>
        <w:pStyle w:val="TextoNormal"/>
      </w:pPr>
    </w:p>
    <w:p w14:paraId="305B3088" w14:textId="77777777" w:rsidR="008D479B" w:rsidRDefault="008D479B" w:rsidP="008D479B">
      <w:pPr>
        <w:pStyle w:val="TextoNormalCentrado"/>
        <w:keepNext/>
      </w:pPr>
      <w:r>
        <w:t>FALLO</w:t>
      </w:r>
    </w:p>
    <w:p w14:paraId="4F844FD5" w14:textId="21F7894E" w:rsidR="008D479B" w:rsidRDefault="008D479B" w:rsidP="008D479B">
      <w:pPr>
        <w:pStyle w:val="TextoNormalCentrado"/>
        <w:keepNext/>
      </w:pPr>
    </w:p>
    <w:p w14:paraId="74E2F797" w14:textId="424148CD" w:rsidR="008D479B" w:rsidRDefault="008D479B" w:rsidP="008D479B">
      <w:pPr>
        <w:pStyle w:val="TextoNormal"/>
      </w:pPr>
      <w:r>
        <w:t>En atención a todo lo expuesto, el Tribunal Constitucional, por la autoridad que le confiere la Constitución de la Nación española, ha decidido desestimar el recurso de amparo interpuesto por don G.M.C.</w:t>
      </w:r>
    </w:p>
    <w:p w14:paraId="61A3597E" w14:textId="77777777" w:rsidR="008D479B" w:rsidRDefault="008D479B" w:rsidP="008D479B">
      <w:pPr>
        <w:pStyle w:val="TextoNormal"/>
      </w:pPr>
    </w:p>
    <w:p w14:paraId="07C3D3D5" w14:textId="77777777" w:rsidR="008D479B" w:rsidRDefault="008D479B" w:rsidP="008D479B">
      <w:pPr>
        <w:pStyle w:val="TextoNormal"/>
      </w:pPr>
      <w:r>
        <w:t>Publíquese esta sentencia en el “Boletín Oficial del Estado”.</w:t>
      </w:r>
    </w:p>
    <w:p w14:paraId="31EBB968" w14:textId="77777777" w:rsidR="008D479B" w:rsidRDefault="008D479B" w:rsidP="008D479B">
      <w:pPr>
        <w:pStyle w:val="TextoNormal"/>
      </w:pPr>
      <w:r>
        <w:t>Dada en Madrid, a veinte de noviembre de dos mil veintitrés.</w:t>
      </w:r>
    </w:p>
    <w:p w14:paraId="6985E882" w14:textId="5135A083" w:rsidR="008D479B" w:rsidRDefault="008D479B">
      <w:pPr>
        <w:spacing w:after="160" w:line="278" w:lineRule="auto"/>
        <w:rPr>
          <w:rFonts w:ascii="Times New Roman" w:eastAsia="Times New Roman" w:hAnsi="Times New Roman" w:cs="Times New Roman"/>
          <w:sz w:val="24"/>
          <w:szCs w:val="24"/>
          <w:lang w:eastAsia="es-ES"/>
        </w:rPr>
      </w:pPr>
      <w:r>
        <w:br w:type="page"/>
      </w:r>
    </w:p>
    <w:p w14:paraId="27A7FE43" w14:textId="77777777" w:rsidR="008D479B" w:rsidRDefault="008D479B" w:rsidP="008D479B">
      <w:pPr>
        <w:pStyle w:val="TtuloResolucin"/>
      </w:pPr>
      <w:bookmarkStart w:id="83" w:name="SENTENCIA_2023_158"/>
      <w:r>
        <w:t>SENTENCIA 158/2023, de 20 de noviembre de 2023</w:t>
      </w:r>
    </w:p>
    <w:bookmarkEnd w:id="83"/>
    <w:p w14:paraId="0B933D93" w14:textId="77777777" w:rsidR="008D479B" w:rsidRDefault="008D479B" w:rsidP="008D479B">
      <w:pPr>
        <w:pStyle w:val="TtuloResolucin"/>
      </w:pPr>
      <w:r>
        <w:t>Sala Segunda</w:t>
      </w:r>
    </w:p>
    <w:p w14:paraId="6438AFA8" w14:textId="77777777" w:rsidR="008D479B" w:rsidRDefault="008D479B" w:rsidP="008D479B">
      <w:pPr>
        <w:pStyle w:val="TtuloBOE"/>
      </w:pPr>
      <w:r>
        <w:t>(BOE núm. 304, de 21 de diciembre de 2023)</w:t>
      </w:r>
    </w:p>
    <w:p w14:paraId="1B2542C9" w14:textId="77777777" w:rsidR="008D479B" w:rsidRDefault="008D479B" w:rsidP="008D479B">
      <w:pPr>
        <w:pStyle w:val="TextoNormalCentrado"/>
      </w:pPr>
      <w:r>
        <w:t>ECLI:ES:TC:2023:158</w:t>
      </w:r>
    </w:p>
    <w:p w14:paraId="3A207475" w14:textId="0A207B42" w:rsidR="008D479B" w:rsidRDefault="008D479B" w:rsidP="008D479B">
      <w:pPr>
        <w:pStyle w:val="TextoNormalCentrado"/>
      </w:pPr>
    </w:p>
    <w:p w14:paraId="17006215" w14:textId="77777777" w:rsidR="008D479B" w:rsidRDefault="008D479B" w:rsidP="008D479B">
      <w:pPr>
        <w:pStyle w:val="SntesisDescriptiva"/>
      </w:pPr>
      <w:r>
        <w:t>Recurso de amparo 6134-2022. Promovido por doña C.G.R., respecto de los autos dictados por la Audiencia Provincial de León y un juzgado de primera instancia de Ponferrada que acordaron la administración de la vacuna frente a la covid-19.</w:t>
      </w:r>
    </w:p>
    <w:p w14:paraId="6CD24651" w14:textId="59E08FFA" w:rsidR="008D479B" w:rsidRDefault="008D479B" w:rsidP="008D479B">
      <w:pPr>
        <w:pStyle w:val="SntesisDescriptiva"/>
      </w:pPr>
    </w:p>
    <w:p w14:paraId="2788B276" w14:textId="77777777" w:rsidR="008D479B" w:rsidRDefault="008D479B" w:rsidP="008D479B">
      <w:pPr>
        <w:pStyle w:val="SntesisAnaltica"/>
      </w:pPr>
      <w:r>
        <w:t>Supuesta vulneración de los derechos a la integridad física y a la tutela judicial efectiva (motivación): STC 148/2023 [resoluciones judiciales que realizaron una ponderación adecuada de los intereses de una persona menor de edad (STC 38/2023)].</w:t>
      </w:r>
    </w:p>
    <w:p w14:paraId="277A1A7C" w14:textId="1256D07B" w:rsidR="008D479B" w:rsidRDefault="008D479B" w:rsidP="008D479B">
      <w:pPr>
        <w:pStyle w:val="SntesisAnaltica"/>
      </w:pPr>
    </w:p>
    <w:p w14:paraId="32BF9EA6" w14:textId="408DBEDE" w:rsidR="008D479B" w:rsidRDefault="008D479B" w:rsidP="008D479B">
      <w:pPr>
        <w:pStyle w:val="Extracto"/>
      </w:pPr>
      <w:r>
        <w:t>1.</w:t>
      </w:r>
      <w:r>
        <w:tab/>
        <w:t>La capacidad general de autodeterminación de las personas menores de edad, en relación con las actuaciones médicas que les afectan, encuentra su límite en la protección de su interés superior, que se impone como obligación a los progenitores, en cuanto titulares de la patria potestad o autoridad familiar, y a todos los poderes públicos, incluida la autoridad judicial (STC 148/2023) [FJ 3].</w:t>
      </w:r>
    </w:p>
    <w:p w14:paraId="6A0CDF45" w14:textId="77777777" w:rsidR="008D479B" w:rsidRDefault="008D479B" w:rsidP="008D479B">
      <w:pPr>
        <w:pStyle w:val="Extracto"/>
      </w:pPr>
    </w:p>
    <w:p w14:paraId="0C42FCE2" w14:textId="036FAA9F" w:rsidR="008D479B" w:rsidRDefault="008D479B" w:rsidP="008D479B">
      <w:pPr>
        <w:pStyle w:val="Extracto"/>
      </w:pPr>
      <w:r>
        <w:t>2.</w:t>
      </w:r>
      <w:r>
        <w:tab/>
        <w:t>La decisión de los representantes legales relativa al otorgamiento o no del consentimiento informado por representación deberá atender a la protección del derecho a la vida, supervivencia y desarrollo del menor y la satisfacción de sus necesidades básicas, tanto materiales, físicas y educativas como emocionales y afectivas [art. 2.2, letra a) de la Ley Orgánica 1/1996]; y es preciso buscar el mayor beneficio para la vida o salud del paciente menor de edad, teniendo en cuenta las circunstancias concurrentes y sus necesidades, que deben ser atendidas (STC 148/2023) [FJ 3].</w:t>
      </w:r>
    </w:p>
    <w:p w14:paraId="5B124C29" w14:textId="77777777" w:rsidR="008D479B" w:rsidRDefault="008D479B" w:rsidP="008D479B">
      <w:pPr>
        <w:pStyle w:val="Extracto"/>
      </w:pPr>
    </w:p>
    <w:p w14:paraId="7C70569E" w14:textId="77777777" w:rsidR="008D479B" w:rsidRDefault="008D479B" w:rsidP="008D479B">
      <w:pPr>
        <w:pStyle w:val="Extracto"/>
      </w:pPr>
    </w:p>
    <w:p w14:paraId="32BCBCF9" w14:textId="77777777" w:rsidR="008D479B" w:rsidRDefault="008D479B" w:rsidP="008D479B">
      <w:pPr>
        <w:pStyle w:val="TextoNormal"/>
      </w:pPr>
      <w: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14:paraId="36748917" w14:textId="5BE9C879" w:rsidR="008D479B" w:rsidRDefault="008D479B" w:rsidP="008D479B">
      <w:pPr>
        <w:pStyle w:val="TextoNormal"/>
      </w:pPr>
    </w:p>
    <w:p w14:paraId="198CFB11" w14:textId="77777777" w:rsidR="008D479B" w:rsidRDefault="008D479B" w:rsidP="008D479B">
      <w:pPr>
        <w:pStyle w:val="TextoNormalCentrado"/>
        <w:keepNext/>
      </w:pPr>
      <w:r>
        <w:t>EN NOMBRE DEL REY</w:t>
      </w:r>
    </w:p>
    <w:p w14:paraId="24D7C83B" w14:textId="0529396F" w:rsidR="008D479B" w:rsidRDefault="008D479B" w:rsidP="008D479B">
      <w:pPr>
        <w:pStyle w:val="TextoNormalCentrado"/>
        <w:keepNext/>
      </w:pPr>
    </w:p>
    <w:p w14:paraId="20BB83CB" w14:textId="77777777" w:rsidR="008D479B" w:rsidRDefault="008D479B" w:rsidP="008D479B">
      <w:pPr>
        <w:pStyle w:val="TextoNormalCentrado"/>
        <w:keepNext/>
      </w:pPr>
    </w:p>
    <w:p w14:paraId="18EC05CF" w14:textId="77777777" w:rsidR="008D479B" w:rsidRDefault="008D479B" w:rsidP="008D479B">
      <w:pPr>
        <w:pStyle w:val="TextoNormal"/>
      </w:pPr>
      <w:r>
        <w:t>la siguiente</w:t>
      </w:r>
    </w:p>
    <w:p w14:paraId="44DB05D4" w14:textId="217B795F" w:rsidR="008D479B" w:rsidRDefault="008D479B" w:rsidP="008D479B">
      <w:pPr>
        <w:pStyle w:val="TextoNormal"/>
      </w:pPr>
    </w:p>
    <w:p w14:paraId="6DDBB89A" w14:textId="77777777" w:rsidR="008D479B" w:rsidRDefault="008D479B" w:rsidP="008D479B">
      <w:pPr>
        <w:pStyle w:val="TextoNormalCentrado"/>
        <w:keepNext/>
      </w:pPr>
      <w:r>
        <w:t>SENTENCIA</w:t>
      </w:r>
    </w:p>
    <w:p w14:paraId="0F5C87DF" w14:textId="6BD5383F" w:rsidR="008D479B" w:rsidRDefault="008D479B" w:rsidP="008D479B">
      <w:pPr>
        <w:pStyle w:val="TextoNormalCentrado"/>
        <w:keepNext/>
      </w:pPr>
    </w:p>
    <w:p w14:paraId="789B0709" w14:textId="77777777" w:rsidR="008D479B" w:rsidRDefault="008D479B" w:rsidP="008D479B">
      <w:pPr>
        <w:pStyle w:val="TextoNormal"/>
      </w:pPr>
      <w:r>
        <w:t>En el recurso de amparo núm. 6134-2022, promovido por doña C.G.R., representada por la procuradora de los tribunales doña Ana María Álvarez Úbeda y asistida por el abogado don Marcos Rubio Rubio, contra el auto de fecha 18 de febrero de 2022 dictado por el Juzgado de Primera Instancia núm. 4 de Ponferrada, en los autos de jurisdicción voluntaria de intervención judicial sobre desacuerdo en el ejercicio de la patria potestad núm. 651-2021, y contra el auto de fecha 4 de julio de 2022 dictado por la Sección Primera de la Audiencia Provincial de León en rollo de apelación núm. 541-2022, que confirmó íntegramente el auto de primer grado. Ha intervenido el Ministerio Fiscal y don J.A.P.S., representado por la procuradora doña Silvia Casielles Morán y asistido por la abogada doña Soledad Blanco Alonso. Ha sido ponente la magistrada doña Inmaculada Montalbán Huertas.</w:t>
      </w:r>
    </w:p>
    <w:p w14:paraId="54656063" w14:textId="7F3D9571" w:rsidR="008D479B" w:rsidRDefault="008D479B" w:rsidP="008D479B">
      <w:pPr>
        <w:pStyle w:val="TextoNormal"/>
      </w:pPr>
    </w:p>
    <w:p w14:paraId="032CAD36" w14:textId="77777777" w:rsidR="008D479B" w:rsidRDefault="008D479B" w:rsidP="008D479B">
      <w:pPr>
        <w:pStyle w:val="TextoNormalNegritaCentrado"/>
        <w:keepNext/>
      </w:pPr>
      <w:r>
        <w:t>I. Antecedentes</w:t>
      </w:r>
    </w:p>
    <w:p w14:paraId="7A188A36" w14:textId="1A7B31A8" w:rsidR="008D479B" w:rsidRDefault="008D479B" w:rsidP="008D479B">
      <w:pPr>
        <w:pStyle w:val="TextoNormalNegritaCentrado"/>
        <w:keepNext/>
      </w:pPr>
    </w:p>
    <w:p w14:paraId="3BCC5EA7" w14:textId="0CE4C793" w:rsidR="008D479B" w:rsidRDefault="008D479B" w:rsidP="008D479B">
      <w:pPr>
        <w:pStyle w:val="TextoNormal"/>
      </w:pPr>
      <w:r w:rsidRPr="008D479B">
        <w:rPr>
          <w:rStyle w:val="NumeroAFNegritaCaracter"/>
        </w:rPr>
        <w:t>1</w:t>
      </w:r>
      <w:r>
        <w:t>. Mediante escrito que tuvo entrada en el registro general de este tribunal el día 20 de septiembre de 2022, la procuradora de los tribunales doña Ana María Álvarez Úbeda, en nombre y representación de doña C.G.R., interpuso recurso de amparo contra las resoluciones judiciales que se citan en el encabezamiento.</w:t>
      </w:r>
    </w:p>
    <w:p w14:paraId="20EA3845" w14:textId="77777777" w:rsidR="008D479B" w:rsidRDefault="008D479B" w:rsidP="008D479B">
      <w:pPr>
        <w:pStyle w:val="TextoNormal"/>
      </w:pPr>
    </w:p>
    <w:p w14:paraId="542AA1AE" w14:textId="77777777" w:rsidR="008D479B" w:rsidRDefault="008D479B" w:rsidP="008D479B">
      <w:pPr>
        <w:pStyle w:val="TextoNormal"/>
      </w:pPr>
      <w:r w:rsidRPr="008D479B">
        <w:rPr>
          <w:rStyle w:val="NumeroAFNegritaCaracter"/>
        </w:rPr>
        <w:t>2</w:t>
      </w:r>
      <w:r>
        <w:t>. Los hechos de los que trae causa la demanda, relevantes para la resolución del recurso, son, en síntesis, los siguientes:</w:t>
      </w:r>
    </w:p>
    <w:p w14:paraId="6E2ED573" w14:textId="77777777" w:rsidR="008D479B" w:rsidRDefault="008D479B" w:rsidP="008D479B">
      <w:pPr>
        <w:pStyle w:val="TextoNormal"/>
      </w:pPr>
    </w:p>
    <w:p w14:paraId="3B565242" w14:textId="77777777" w:rsidR="008D479B" w:rsidRDefault="008D479B" w:rsidP="008D479B">
      <w:pPr>
        <w:pStyle w:val="TextoNormal"/>
      </w:pPr>
      <w:r>
        <w:t>a) Don J.A.P.S., solicitó la intervención judicial por desacuerdo de los progenitores en el ejercicio de la patria potestad al amparo del art. 86.1 de la Ley de jurisdicción voluntaria (en adelante, Ley 15/2015) y el art. 156 párrafo tercero del Código civil (CC), ante la negativa de la madre, doña C.G.R., para la inoculación de la vacuna contra la covid-19 a las dos hijas comunes de ambos litigantes, de nueve y once años.</w:t>
      </w:r>
    </w:p>
    <w:p w14:paraId="518551D4" w14:textId="77777777" w:rsidR="008D479B" w:rsidRDefault="008D479B" w:rsidP="008D479B">
      <w:pPr>
        <w:pStyle w:val="TextoNormal"/>
      </w:pPr>
    </w:p>
    <w:p w14:paraId="7B49A788" w14:textId="77777777" w:rsidR="008D479B" w:rsidRDefault="008D479B" w:rsidP="008D479B">
      <w:pPr>
        <w:pStyle w:val="TextoNormal"/>
      </w:pPr>
      <w:r>
        <w:t>b) Mediante decreto de 20 de diciembre de 2021 se admitió la solicitud y se acordó requerir al solicitante para que aportase el calendario de vacunación de las menores, así como el informe de la pediatra en el que se hiciera constar el estado de salud de las menores. Posteriormente, se recabó informe del médico forense adscrito al juzgado sobre la eventual imposibilidad o contraindicaciones para la administración de la vacuna contra la covid-19 en atención al estado de salud de las hijas, que se fechó el 24 de enero de 2022. Por último, el juzgado ordenó citar a las partes para la celebración de la comparecencia el día 17 de febrero de 2022. El juzgado no consideró precisa la exploración de las niñas al ser menores de doce años.</w:t>
      </w:r>
    </w:p>
    <w:p w14:paraId="30CC6E37" w14:textId="77777777" w:rsidR="008D479B" w:rsidRDefault="008D479B" w:rsidP="008D479B">
      <w:pPr>
        <w:pStyle w:val="TextoNormal"/>
      </w:pPr>
    </w:p>
    <w:p w14:paraId="60417455" w14:textId="77777777" w:rsidR="008D479B" w:rsidRDefault="008D479B" w:rsidP="008D479B">
      <w:pPr>
        <w:pStyle w:val="TextoNormal"/>
      </w:pPr>
      <w:r>
        <w:t>c) Doña C.G.R., formuló oposición a la solicitud presentada por don J.A.P.S., y alegó, en esencia, la ausencia de evidencia médica-científica que justificara la inoculación de los medicamentos de terapia génica para la covid-19 en menores de edad, atendiendo a la gravedad de la enfermedad en menores, donde la tasa de mortalidad y de hospitalización es muy baja, y a los efectos adversos que puede llevar aparejada la vacuna, que pueden ser muy superiores a la ausencia de vacunación. Asimismo, invocó la vulneración del derecho al consentimiento informado y de la Ley de autonomía del paciente.</w:t>
      </w:r>
    </w:p>
    <w:p w14:paraId="33160720" w14:textId="77777777" w:rsidR="008D479B" w:rsidRDefault="008D479B" w:rsidP="008D479B">
      <w:pPr>
        <w:pStyle w:val="TextoNormal"/>
      </w:pPr>
    </w:p>
    <w:p w14:paraId="06891001" w14:textId="77777777" w:rsidR="008D479B" w:rsidRDefault="008D479B" w:rsidP="008D479B">
      <w:pPr>
        <w:pStyle w:val="TextoNormal"/>
      </w:pPr>
      <w:r>
        <w:t>d) Tras celebrarse la comparecencia del día 17 de febrero de 2022, con fecha 18 de febrero del mismo año el Juzgado de Primera Instancia núm. 4 de Ponferrada dictó auto por el que desestimó la oposición y atribuyó a don J.A.P.S., la facultad de decidir sobre la inoculación de la vacuna respecto de las dos hijas menores de ambos. El juzgado realiza un juicio de ponderación de los riesgos y beneficios de la vacuna, atendiendo a la baja incidencia de la covid-19 en los menores de edad que refleja la prueba documental aportada (no desvirtuada por los informes aportados por la recurrente), y los posibles y desconocidos efectos adversos que puede comportar la vacuna a largo plazo. En relación con el consentimiento informado, considera que en casos de campañas de vacunación son los usuarios quienes, conocedores de la campaña, deciden vacunarse o no y, en el primer caso, asumen el riesgo inherente, salvo en los casos en que sea necesario el consentimiento por representación dada la minoría de edad del paciente que no pueda comprender el alcance de la intervención. Indica, además, que las niñas, en atención a la prueba documental practicada, han recibido diversas vacunas del calendario infantil, que son niñas sanas y sin enfermedad alguna relevante o alergias conocidas por lo que no se advierte contraindicación para no administrar la vacuna, sin olvidar que la misma ha sido aprobada por la Agencia Europea del Medicamento y por la Agencia Española del Medicamento y Productos Sanitarios, lo que permite suponer que se ha elaborado con las máximas garantías de calidad, seguridad y eficacia.</w:t>
      </w:r>
    </w:p>
    <w:p w14:paraId="1941F15E" w14:textId="77777777" w:rsidR="008D479B" w:rsidRDefault="008D479B" w:rsidP="008D479B">
      <w:pPr>
        <w:pStyle w:val="TextoNormal"/>
      </w:pPr>
    </w:p>
    <w:p w14:paraId="3FEAA4D8" w14:textId="77777777" w:rsidR="008D479B" w:rsidRDefault="008D479B" w:rsidP="008D479B">
      <w:pPr>
        <w:pStyle w:val="TextoNormal"/>
      </w:pPr>
      <w:r>
        <w:t>e) Doña C.G.R., interpuso recurso de apelación en el que reiteró su posición en relación con los riesgos y beneficios de la vacuna y añadió que existían riesgos para las menores dada la trascendencia de la decisión para su salud y su vida por los efectos a medio y largo plazo.</w:t>
      </w:r>
    </w:p>
    <w:p w14:paraId="79554B26" w14:textId="77777777" w:rsidR="008D479B" w:rsidRDefault="008D479B" w:rsidP="008D479B">
      <w:pPr>
        <w:pStyle w:val="TextoNormal"/>
      </w:pPr>
    </w:p>
    <w:p w14:paraId="1C74F127" w14:textId="77777777" w:rsidR="008D479B" w:rsidRDefault="008D479B" w:rsidP="008D479B">
      <w:pPr>
        <w:pStyle w:val="TextoNormal"/>
      </w:pPr>
      <w:r>
        <w:t>f) Don J.A.P.S., presentó escrito por el que se opuso al recurso de apelación e interesó la desestimación. En idéntico sentido se pronunció el Ministerio Fiscal.</w:t>
      </w:r>
    </w:p>
    <w:p w14:paraId="2DB28A15" w14:textId="77777777" w:rsidR="008D479B" w:rsidRDefault="008D479B" w:rsidP="008D479B">
      <w:pPr>
        <w:pStyle w:val="TextoNormal"/>
      </w:pPr>
    </w:p>
    <w:p w14:paraId="6CD7D686" w14:textId="377CE083" w:rsidR="008D479B" w:rsidRDefault="008D479B" w:rsidP="008D479B">
      <w:pPr>
        <w:pStyle w:val="TextoNormal"/>
      </w:pPr>
      <w:r>
        <w:t>g) La Audiencia Provincial de León (Sección Primera) dictó auto el 4 de julio de 2022 por el que desestimó el recurso de apelación. En la resolución judicial se razona que el objeto de la controversia no es decidir sobre la vacunación, sino atribuir a uno de los progenitores la facultad de decidir. Se añade que “los informes periciales obrantes ponen de manifiesto la inexistencia de riesgo para la integridad física de las menores” y que no se aprecia riesgo para la integridad física de las niñas. Se recuerda que en atención a la edad de las menores, no es preciso recabar su consentimiento al carecer de juicio suficiente y es el padre, al que se atribuye la facultad de decidir, el que debe suplir este trámite médico.</w:t>
      </w:r>
    </w:p>
    <w:p w14:paraId="2A27C1AE" w14:textId="77777777" w:rsidR="008D479B" w:rsidRDefault="008D479B" w:rsidP="008D479B">
      <w:pPr>
        <w:pStyle w:val="TextoNormal"/>
      </w:pPr>
    </w:p>
    <w:p w14:paraId="6174B07D" w14:textId="77777777" w:rsidR="008D479B" w:rsidRDefault="008D479B" w:rsidP="008D479B">
      <w:pPr>
        <w:pStyle w:val="TextoNormal"/>
      </w:pPr>
      <w:r w:rsidRPr="008D479B">
        <w:rPr>
          <w:rStyle w:val="NumeroAFNegritaCaracter"/>
        </w:rPr>
        <w:t>3</w:t>
      </w:r>
      <w:r>
        <w:t>. La recurrente denuncia que se le han vulnerado los siguientes derechos fundamentales:</w:t>
      </w:r>
    </w:p>
    <w:p w14:paraId="21D6C76E" w14:textId="77777777" w:rsidR="008D479B" w:rsidRDefault="008D479B" w:rsidP="008D479B">
      <w:pPr>
        <w:pStyle w:val="TextoNormal"/>
      </w:pPr>
    </w:p>
    <w:p w14:paraId="46E66196" w14:textId="77777777" w:rsidR="008D479B" w:rsidRDefault="008D479B" w:rsidP="008D479B">
      <w:pPr>
        <w:pStyle w:val="TextoNormal"/>
      </w:pPr>
      <w:r>
        <w:t>(i) El derecho a la integridad física y moral (art. 15.1 CE) porque no se recabó el consentimiento informado de las menores ni de sus progenitores. Argumenta que el consentimiento informado del paciente es un derecho reconocido en la Ley 41/2022, básica de autonomía del paciente, en la Carta de los derechos fundamentales de la Unión Europea [art. 3, apartado 2 a)], y en el Convenio relativo a los derechos humanos y la biomedicina hecho en Oviedo el 4 de abril de 1997, y que queda asimismo amparado en el Convenio europeo de derechos humanos (CEDH) como aspecto del derecho a la vida privada y familiar reconocido en el art. 8 CEDH, conforme a la jurisprudencia del Tribunal Europeo de Derechos Humanos.</w:t>
      </w:r>
    </w:p>
    <w:p w14:paraId="529B1DFC" w14:textId="77777777" w:rsidR="008D479B" w:rsidRDefault="008D479B" w:rsidP="008D479B">
      <w:pPr>
        <w:pStyle w:val="TextoNormal"/>
      </w:pPr>
    </w:p>
    <w:p w14:paraId="03BD6708" w14:textId="77777777" w:rsidR="008D479B" w:rsidRDefault="008D479B" w:rsidP="008D479B">
      <w:pPr>
        <w:pStyle w:val="TextoNormal"/>
      </w:pPr>
      <w:r>
        <w:t>Se añade que no hay evidencias científicas que acrediten la bondad de la vacuna ni el beneficio individual para las niñas, lo que supone que se ha vulnerado el interés superior de las menores, puesto que los estudios científicos demuestran que el riesgo para la salud de las niñas derivado de la ausencia de vacuna es menor que el riesgo de contraer la enfermedad.</w:t>
      </w:r>
    </w:p>
    <w:p w14:paraId="1A94A1B9" w14:textId="77777777" w:rsidR="008D479B" w:rsidRDefault="008D479B" w:rsidP="008D479B">
      <w:pPr>
        <w:pStyle w:val="TextoNormal"/>
      </w:pPr>
    </w:p>
    <w:p w14:paraId="0B4589F4" w14:textId="77777777" w:rsidR="008D479B" w:rsidRDefault="008D479B" w:rsidP="008D479B">
      <w:pPr>
        <w:pStyle w:val="TextoNormal"/>
      </w:pPr>
      <w:r>
        <w:t>(ii) El derecho a la tutela judicial efectiva (art. 24.1 CE), porque los tribunales ordinarios han valorado las pruebas de manera errónea, en particular los informes científicos de que disponían. Las resoluciones judiciales combatidas incurren en defecto de motivación suficiente.</w:t>
      </w:r>
    </w:p>
    <w:p w14:paraId="330BD2BA" w14:textId="77777777" w:rsidR="008D479B" w:rsidRDefault="008D479B" w:rsidP="008D479B">
      <w:pPr>
        <w:pStyle w:val="TextoNormal"/>
      </w:pPr>
    </w:p>
    <w:p w14:paraId="21462DCC" w14:textId="77777777" w:rsidR="008D479B" w:rsidRDefault="008D479B" w:rsidP="008D479B">
      <w:pPr>
        <w:pStyle w:val="TextoNormal"/>
      </w:pPr>
      <w:r>
        <w:t>En la demanda se solicita la nulidad de los autos recurridos y que se declare que no había lugar al procedimiento de jurisdicción voluntaria para la inoculación de la vacuna contra la covid-19, puesto que en este concreto no se advierte ningún beneficio directo para su salud y que las resoluciones judiciales orillan el verdadero debate sobre la controversia entre los riesgos y los beneficios de la vacuna. Antes al contrario, todos los datos médicos y científicos contradicen los razonamientos judiciales.</w:t>
      </w:r>
    </w:p>
    <w:p w14:paraId="6AF27510" w14:textId="77777777" w:rsidR="008D479B" w:rsidRDefault="008D479B" w:rsidP="008D479B">
      <w:pPr>
        <w:pStyle w:val="TextoNormal"/>
      </w:pPr>
    </w:p>
    <w:p w14:paraId="2C5A3CD8" w14:textId="05CE2B01" w:rsidR="008D479B" w:rsidRDefault="008D479B" w:rsidP="008D479B">
      <w:pPr>
        <w:pStyle w:val="TextoNormal"/>
      </w:pPr>
      <w:r>
        <w:t>(iii) El derecho a la igualdad de trato de la madre (art. 14.1 CE), al otorgar la capacidad de decidir sobre la vacuna al padre. Se añade que el derecho a la igualdad exige de los poderes públicos un deber de abstención para no generar diferencias arbitrarias como la que se ha producido en este caso, donde la diferencia de trato ni está justificada ni es razonable.</w:t>
      </w:r>
    </w:p>
    <w:p w14:paraId="2F4831D1" w14:textId="77777777" w:rsidR="008D479B" w:rsidRDefault="008D479B" w:rsidP="008D479B">
      <w:pPr>
        <w:pStyle w:val="TextoNormal"/>
      </w:pPr>
    </w:p>
    <w:p w14:paraId="0459F758" w14:textId="77777777" w:rsidR="008D479B" w:rsidRDefault="008D479B" w:rsidP="008D479B">
      <w:pPr>
        <w:pStyle w:val="TextoNormal"/>
      </w:pPr>
      <w:r w:rsidRPr="008D479B">
        <w:rPr>
          <w:rStyle w:val="NumeroAFNegritaCaracter"/>
        </w:rPr>
        <w:t>4</w:t>
      </w:r>
      <w:r>
        <w:t>. La Sección Segunda del Tribunal Constitucional, por providencia de 14 de noviembre de 2022, acordó admitir a trámite el recurso de amparo apreciando que concurre en el mismo una especial trascendencia constitucional [art. 50.1 de la Ley Orgánica del Tribunal Constitucional (LOTC)] porque el recurso plantea un problema o afecta a una faceta de un derecho fundamental sobre el que no hay doctrina de este tribunal [STC 155/2009, de 25 de junio, FJ 2 a)] y, asimismo, porque el asunto suscitado trasciende del caso concreto porque plantea una cuestión jurídica de relevante y general repercusión social o económica [STC 155/2009, FJ 2 g)].</w:t>
      </w:r>
    </w:p>
    <w:p w14:paraId="69101A46" w14:textId="77777777" w:rsidR="008D479B" w:rsidRDefault="008D479B" w:rsidP="008D479B">
      <w:pPr>
        <w:pStyle w:val="TextoNormal"/>
      </w:pPr>
    </w:p>
    <w:p w14:paraId="7F79B6A7" w14:textId="0091B417" w:rsidR="008D479B" w:rsidRDefault="008D479B" w:rsidP="008D479B">
      <w:pPr>
        <w:pStyle w:val="TextoNormal"/>
      </w:pPr>
      <w:r>
        <w:t>En la misma providencia se acordó, en aplicación de lo dispuesto en el art. 51 LOTC, dirigir atenta comunicación a la Audiencia Provincial de León (Sección Primera) a fin de que, en plazo no superior a diez días, remitiera certificación o fotocopia adverada de las actuaciones correspondientes al recurso de apelación 541-2022, e, igualmente, al Juzgado de Primera Instancia núm. 4 de Ponferrada a fin de que, en plazo que no excediera de diez días, remitiera certificación o fotocopia adverada de las actuaciones correspondientes al procedimiento de jurisdicción voluntaria núm. 651-2021, debiendo emplazar previamente, para que en el plazo de diez días pudieran comparecer, si lo desearan, en el recurso de amparo, a quienes hubieran sido parte en el procedimiento, excepto la parte recurrente en amparo.</w:t>
      </w:r>
    </w:p>
    <w:p w14:paraId="26FD749B" w14:textId="77777777" w:rsidR="008D479B" w:rsidRDefault="008D479B" w:rsidP="008D479B">
      <w:pPr>
        <w:pStyle w:val="TextoNormal"/>
      </w:pPr>
    </w:p>
    <w:p w14:paraId="14B695EF" w14:textId="3BA2BA21" w:rsidR="008D479B" w:rsidRDefault="008D479B" w:rsidP="008D479B">
      <w:pPr>
        <w:pStyle w:val="TextoNormal"/>
      </w:pPr>
      <w:r w:rsidRPr="008D479B">
        <w:rPr>
          <w:rStyle w:val="NumeroAFNegritaCaracter"/>
        </w:rPr>
        <w:t>5</w:t>
      </w:r>
      <w:r>
        <w:t>. Mediante providencia de 14 de noviembre de 2022, se acordó, asimismo, a solicitud de la parte actora, la formación de la pieza separada de suspensión, con inicio de su tramitación de conformidad con lo prevenido en el art. 56 LOTC.</w:t>
      </w:r>
    </w:p>
    <w:p w14:paraId="527C2CEF" w14:textId="77777777" w:rsidR="008D479B" w:rsidRDefault="008D479B" w:rsidP="008D479B">
      <w:pPr>
        <w:pStyle w:val="TextoNormal"/>
      </w:pPr>
    </w:p>
    <w:p w14:paraId="7B6BFE02" w14:textId="762EABBE" w:rsidR="008D479B" w:rsidRDefault="008D479B" w:rsidP="008D479B">
      <w:pPr>
        <w:pStyle w:val="TextoNormal"/>
      </w:pPr>
      <w:r w:rsidRPr="008D479B">
        <w:rPr>
          <w:rStyle w:val="NumeroAFNegritaCaracter"/>
        </w:rPr>
        <w:t>6</w:t>
      </w:r>
      <w:r>
        <w:t>. El 17 de noviembre de 2022 tuvo entrada en este tribunal escrito firmado por la procuradora doña Ana María Álvarez Úbeda en representación de la recurrente en amparo en el que solicitó de nuevo la suspensión “en base al riesgo grave e irreparable” acreditado ante los tribunales ordinarios por el aumento del índice de mortalidad a nivel nacional y “la falta de información suficiente a día de hoy sobre los efectos adversos de la vacuna Pfizer y la gravedad de estos”. Se pretendía la suspensión de posibles y ulteriores vacunaciones.</w:t>
      </w:r>
    </w:p>
    <w:p w14:paraId="70FD890F" w14:textId="77777777" w:rsidR="008D479B" w:rsidRDefault="008D479B" w:rsidP="008D479B">
      <w:pPr>
        <w:pStyle w:val="TextoNormal"/>
      </w:pPr>
    </w:p>
    <w:p w14:paraId="4D8A6012" w14:textId="47E3BC27" w:rsidR="008D479B" w:rsidRDefault="008D479B" w:rsidP="008D479B">
      <w:pPr>
        <w:pStyle w:val="TextoNormal"/>
      </w:pPr>
      <w:r w:rsidRPr="008D479B">
        <w:rPr>
          <w:rStyle w:val="NumeroAFNegritaCaracter"/>
        </w:rPr>
        <w:t>7</w:t>
      </w:r>
      <w:r>
        <w:t>. Por diligencia de ordenación de la Secretaría de Justicia de la Sala Primera de este tribunal de 9 de enero de 2023, se tuvieron por recibidos los testimonios de las actuaciones que habían sido remitidos por la Sección Primera de la Audiencia Provincial de León y por el Juzgado de Primera Instancia núm. 4 de Ponferrada y, a tenor de lo dispuesto en el art. 52 LOTC, se acordó dar vista de las mismas, por un plazo común de veinte días, al Ministerio Fiscal y a las partes personadas, para que dentro de dicho término pudieran presentar las alegaciones que a su derecho convenga.</w:t>
      </w:r>
    </w:p>
    <w:p w14:paraId="0FF257FD" w14:textId="77777777" w:rsidR="008D479B" w:rsidRDefault="008D479B" w:rsidP="008D479B">
      <w:pPr>
        <w:pStyle w:val="TextoNormal"/>
      </w:pPr>
    </w:p>
    <w:p w14:paraId="5670D51B" w14:textId="0816ABE1" w:rsidR="008D479B" w:rsidRDefault="008D479B" w:rsidP="008D479B">
      <w:pPr>
        <w:pStyle w:val="TextoNormal"/>
      </w:pPr>
      <w:r w:rsidRPr="008D479B">
        <w:rPr>
          <w:rStyle w:val="NumeroAFNegritaCaracter"/>
        </w:rPr>
        <w:t>8</w:t>
      </w:r>
      <w:r>
        <w:t>. Por diligencia de ordenación de la Secretaría de Justicia de la Sala Segunda de este tribunal de 20 de enero de 2023, se puso en conocimiento del Ministerio Fiscal y de las partes, a los efectos oportunos, que, en virtud del acuerdo adoptado por el Pleno del Tribunal Constitucional el día 17 de enero de 2023, publicado en el “BOE” de 19 de enero, el presente recurso de amparo había sido turnado a la Sección Tercera de la Sala Segunda del Tribunal Constitucional.</w:t>
      </w:r>
    </w:p>
    <w:p w14:paraId="09217A31" w14:textId="77777777" w:rsidR="008D479B" w:rsidRDefault="008D479B" w:rsidP="008D479B">
      <w:pPr>
        <w:pStyle w:val="TextoNormal"/>
      </w:pPr>
    </w:p>
    <w:p w14:paraId="53CF394A" w14:textId="7F52AD6B" w:rsidR="008D479B" w:rsidRDefault="008D479B" w:rsidP="008D479B">
      <w:pPr>
        <w:pStyle w:val="TextoNormal"/>
      </w:pPr>
      <w:r w:rsidRPr="008D479B">
        <w:rPr>
          <w:rStyle w:val="NumeroAFNegritaCaracter"/>
        </w:rPr>
        <w:t>9</w:t>
      </w:r>
      <w:r>
        <w:t>. El 3 de febrero de 2023 se registró escrito presentado por la representación procesal de don J.A.P.S., en el que se solicitó la desestimación del recurso. Se insiste en que las resoluciones judiciales han realizado un análisis profuso de la documentación aportada y de los informes científicos sobre la materia, en especial de los estudios de la Asociación Española de Pediatría, se colige que los riesgos de la vacuna son muy bajos en proporción a sus beneficios potenciales. Por último se recuerda que la vacuna se recomienda por la Agencia Europea del Medicamento y por la Agencia Española del Medicamento y Productos Sanitarios.</w:t>
      </w:r>
    </w:p>
    <w:p w14:paraId="5977DA82" w14:textId="77777777" w:rsidR="008D479B" w:rsidRDefault="008D479B" w:rsidP="008D479B">
      <w:pPr>
        <w:pStyle w:val="TextoNormal"/>
      </w:pPr>
    </w:p>
    <w:p w14:paraId="37957333" w14:textId="77777777" w:rsidR="008D479B" w:rsidRDefault="008D479B" w:rsidP="008D479B">
      <w:pPr>
        <w:pStyle w:val="TextoNormal"/>
      </w:pPr>
      <w:r w:rsidRPr="008D479B">
        <w:rPr>
          <w:rStyle w:val="NumeroAFNegritaCaracter"/>
        </w:rPr>
        <w:t>10</w:t>
      </w:r>
      <w:r>
        <w:t>. Por escrito registrado el 6 de marzo de 2023, la fiscal ante el Tribunal Constitucional formuló sus alegaciones en las que alegó expresamente la existencia de un óbice consistente en falta de invocación de uno de los derechos que se estima vulnerado [art. 44.1 c) LOTC] en relación con la vulneración del derecho a la igualdad del art. 14 CE y la condición de parte que ostentaba la recurrente de amparo en el procedimiento judicial, puesto que dicha condición de parte ha estado vinculada a la controversia sobre la bondad de administrar la vacuna frente a la covid-19 al hijo menor en común.</w:t>
      </w:r>
    </w:p>
    <w:p w14:paraId="426DE51B" w14:textId="77777777" w:rsidR="008D479B" w:rsidRDefault="008D479B" w:rsidP="008D479B">
      <w:pPr>
        <w:pStyle w:val="TextoNormal"/>
      </w:pPr>
    </w:p>
    <w:p w14:paraId="131B0DC7" w14:textId="77777777" w:rsidR="008D479B" w:rsidRDefault="008D479B" w:rsidP="008D479B">
      <w:pPr>
        <w:pStyle w:val="TextoNormal"/>
      </w:pPr>
      <w:r>
        <w:t>Posteriormente, el argumento principal de la fiscal, recogido profusamente en su escrito, versa sobre la pertinencia o necesidad de realizar la exploración judicial del menor, que resulta preceptiva si el menor tiene más de doce años y también si tuviera suficiente madurez. Ello se conecta con el derecho del menor a ser escuchado bajo la premisa de los convenios internacionales y del derecho interno. Sostiene la fiscal que este derecho a ser “oído y escuchado” alcanza una gran proyección en la reforma introducida por Ley Orgánica 8/2015, de 22 de julio, de modificación del sistema de protección a la infancia y a la adolescencia, al disponerse en el art. 9 de la Ley Orgánica de protección jurídica del menor que el menor tiene derecho a ser oído y escuchado sin discriminación alguna por su edad en cualquier procedimiento que afecte a una decisión que incida en su esfera personal. Se añade que de la regulación del procedimiento de jurisdicción voluntaria y de la normativa internacional y nacional resulta que las menores tenían derecho a ser oídas y que toda limitación debe ser restrictiva conforme al interés superior de las mismas, con valoración motivada de la autoridad judicial en la resolución que ponga fin al procedimiento (STC 5/2023, de 20 de febrero). Ello se conecta expresamente con el derecho a la tutela judicial efectiva sin indefensión del art. 24.1 CE y su “vinculación con el derecho del menor a ser oído”.</w:t>
      </w:r>
    </w:p>
    <w:p w14:paraId="745C26CE" w14:textId="77777777" w:rsidR="008D479B" w:rsidRDefault="008D479B" w:rsidP="008D479B">
      <w:pPr>
        <w:pStyle w:val="TextoNormal"/>
      </w:pPr>
    </w:p>
    <w:p w14:paraId="7DCCE80A" w14:textId="77777777" w:rsidR="008D479B" w:rsidRDefault="008D479B" w:rsidP="008D479B">
      <w:pPr>
        <w:pStyle w:val="TextoNormal"/>
      </w:pPr>
      <w:r>
        <w:t>Concluye la fiscal que en el caso concreto “al no ser oídas las menores en el expediente de jurisdicción voluntaria (art. 9.1 de la Ley Orgánica de protección jurídica del menor, párrafo tercero del art. 156 CC y art 85.1 de la Ley de jurisdicción voluntaria), se le vulneró su derecho a la tutela judicial efectiva (art. 24.1 CE)” puesto que no se pudo tomar en consideración sus opiniones sobre la vacuna frente a la covid-19. Recuerda la fiscal que a la hija mayor le faltaban cinco meses para cumplir los doce años cuando se dictó al auto de instancia y que la hija menor tenía ya diez años cuando se dictó la última resolución. Se imputa al auto de primera instancia un defecto de motivación, puesto que se limita a señalar que no se considera necesaria la exploración de las niñas al ser menores de doce años. Por otra parte, la audiencia provincial alude a su escasa edad (inferior a doce años) para inferir una escasa capacidad de decisión sobre la conveniencia o inconveniencia de la vacunación. Ninguno de los dos órganos judiciales otorgó un trámite específico para que pudieran manifestarse acerca de la vacunación y para que la motivación de las resoluciones judiciales incluyera o se refiriera a su propia opinión o deseo, por lo que ambas resoluciones judiciales incumplieron las exigencias legales y constitucionales de motivación (art. 93 de la Ley Orgánica de protección jurídica del menor) y STC 217/2009, de 14 de diciembre, FJ 5.</w:t>
      </w:r>
    </w:p>
    <w:p w14:paraId="3D0D5C20" w14:textId="77777777" w:rsidR="008D479B" w:rsidRDefault="008D479B" w:rsidP="008D479B">
      <w:pPr>
        <w:pStyle w:val="TextoNormal"/>
      </w:pPr>
    </w:p>
    <w:p w14:paraId="22B211C6" w14:textId="53F05502" w:rsidR="008D479B" w:rsidRDefault="008D479B" w:rsidP="008D479B">
      <w:pPr>
        <w:pStyle w:val="TextoNormal"/>
      </w:pPr>
      <w:r>
        <w:t>El déficit de motivación afecta al derecho de las menores a no padecer indefensión en relación con la posibilidad de poder defender sus intereses. En consecuencia, sostiene la fiscal, corresponde estimar la demanda de amparo y anular el auto dictado el 18 de febrero de 2022 así como el de 4 de julio de 2022, y retrotraer las actuaciones al momento inmediatamente anterior al dictado del auto por el juzgado para que por parte del órgano judicial se dicte otro que respete los derechos fundamentales de las menores en el sentido indicado en el escrito de alegaciones.</w:t>
      </w:r>
    </w:p>
    <w:p w14:paraId="259F04BA" w14:textId="77777777" w:rsidR="008D479B" w:rsidRDefault="008D479B" w:rsidP="008D479B">
      <w:pPr>
        <w:pStyle w:val="TextoNormal"/>
      </w:pPr>
    </w:p>
    <w:p w14:paraId="6D68C6A1" w14:textId="6798F836" w:rsidR="008D479B" w:rsidRDefault="008D479B" w:rsidP="008D479B">
      <w:pPr>
        <w:pStyle w:val="TextoNormal"/>
      </w:pPr>
      <w:r w:rsidRPr="008D479B">
        <w:rPr>
          <w:rStyle w:val="NumeroAFNegritaCaracter"/>
        </w:rPr>
        <w:t>11</w:t>
      </w:r>
      <w:r>
        <w:t>. Por providencia de 16 de noviembre de 2023 se señaló para deliberación y votación de la presente sentencia el día 20 del mismo mes y año.</w:t>
      </w:r>
    </w:p>
    <w:p w14:paraId="5D678B84" w14:textId="77777777" w:rsidR="008D479B" w:rsidRDefault="008D479B" w:rsidP="008D479B">
      <w:pPr>
        <w:pStyle w:val="TextoNormal"/>
      </w:pPr>
    </w:p>
    <w:p w14:paraId="6657FC81" w14:textId="77777777" w:rsidR="008D479B" w:rsidRDefault="008D479B" w:rsidP="008D479B">
      <w:pPr>
        <w:pStyle w:val="TextoNormalNegritaCentrado"/>
        <w:keepNext/>
      </w:pPr>
      <w:r>
        <w:t>II. Fundamentos jurídicos</w:t>
      </w:r>
    </w:p>
    <w:p w14:paraId="4EA83172" w14:textId="257DCE17" w:rsidR="008D479B" w:rsidRDefault="008D479B" w:rsidP="008D479B">
      <w:pPr>
        <w:pStyle w:val="TextoNormalNegritaCentrado"/>
        <w:keepNext/>
      </w:pPr>
    </w:p>
    <w:p w14:paraId="0C6B7171" w14:textId="77777777" w:rsidR="008D479B" w:rsidRDefault="008D479B" w:rsidP="008D479B">
      <w:pPr>
        <w:pStyle w:val="TextoNormal"/>
      </w:pPr>
      <w:r w:rsidRPr="008D479B">
        <w:rPr>
          <w:rStyle w:val="NumeroAFNegritaCaracter"/>
        </w:rPr>
        <w:t>1</w:t>
      </w:r>
      <w:r>
        <w:t xml:space="preserve">. </w:t>
      </w:r>
      <w:r w:rsidRPr="008D479B">
        <w:rPr>
          <w:i/>
        </w:rPr>
        <w:t>Objeto del recurso</w:t>
      </w:r>
    </w:p>
    <w:p w14:paraId="3B2CF190" w14:textId="77777777" w:rsidR="008D479B" w:rsidRDefault="008D479B" w:rsidP="008D479B">
      <w:pPr>
        <w:pStyle w:val="TextoNormal"/>
      </w:pPr>
    </w:p>
    <w:p w14:paraId="2A1687E6" w14:textId="77777777" w:rsidR="008D479B" w:rsidRDefault="008D479B" w:rsidP="008D479B">
      <w:pPr>
        <w:pStyle w:val="TextoNormal"/>
      </w:pPr>
      <w:r>
        <w:t>El presente recurso de amparo se dirige contra el auto de 18 de febrero de 2022 del Juzgado de Primera Instancia núm. 4 de Ponferrada en el procedimiento de jurisdicción voluntaria núm. 651-2021, que atribuyó a don J.A.P.S., la facultad de decidir sobre la administración de la vacuna frente a la covid-19 a sus dos hijas menores de edad, y contra el auto 4 de julio de 2022 dictado por la Sección Primera de la Audiencia Provincial de León en el rollo de apelación núm. 541-2022, confirmatorio del anterior.</w:t>
      </w:r>
    </w:p>
    <w:p w14:paraId="647D0517" w14:textId="77777777" w:rsidR="008D479B" w:rsidRDefault="008D479B" w:rsidP="008D479B">
      <w:pPr>
        <w:pStyle w:val="TextoNormal"/>
      </w:pPr>
    </w:p>
    <w:p w14:paraId="2D432CEA" w14:textId="1C65735D" w:rsidR="008D479B" w:rsidRDefault="008D479B" w:rsidP="008D479B">
      <w:pPr>
        <w:pStyle w:val="TextoNormal"/>
      </w:pPr>
      <w:r>
        <w:t>Dada la naturaleza de los hechos, debe señalarse que, en aplicación de las potestades atribuidas a este tribunal por el art. 86.3 LOTC y el acuerdo del Pleno de 23 de julio de 2015, por el que se regula la exclusión de los datos de identidad personal en la publicación de las resoluciones jurisdiccionales (“Boletín Oficial del Estado” núm. 178, de 27 de julio de 2015), la presente sentencia y demás actuaciones del proceso no incluyen la identificación completa de la persona menor de edad afectada ni la de sus parientes inmediatos que aparecen mencionados en las actuaciones, con el fin de proteger la intimidad de aquella.</w:t>
      </w:r>
    </w:p>
    <w:p w14:paraId="6789F23E" w14:textId="77777777" w:rsidR="008D479B" w:rsidRDefault="008D479B" w:rsidP="008D479B">
      <w:pPr>
        <w:pStyle w:val="TextoNormal"/>
      </w:pPr>
    </w:p>
    <w:p w14:paraId="3172A1CC" w14:textId="77777777" w:rsidR="008D479B" w:rsidRDefault="008D479B" w:rsidP="008D479B">
      <w:pPr>
        <w:pStyle w:val="TextoNormal"/>
      </w:pPr>
      <w:r w:rsidRPr="008D479B">
        <w:rPr>
          <w:rStyle w:val="NumeroAFNegritaCaracter"/>
        </w:rPr>
        <w:t>2</w:t>
      </w:r>
      <w:r>
        <w:t xml:space="preserve">. </w:t>
      </w:r>
      <w:r w:rsidRPr="008D479B">
        <w:rPr>
          <w:i/>
        </w:rPr>
        <w:t>Cuestiones previas y delimitación de los derechos fundamentales concernidos</w:t>
      </w:r>
    </w:p>
    <w:p w14:paraId="7D15B6B3" w14:textId="77777777" w:rsidR="008D479B" w:rsidRDefault="008D479B" w:rsidP="008D479B">
      <w:pPr>
        <w:pStyle w:val="TextoNormal"/>
      </w:pPr>
    </w:p>
    <w:p w14:paraId="66C832F1" w14:textId="77777777" w:rsidR="008D479B" w:rsidRDefault="008D479B" w:rsidP="008D479B">
      <w:pPr>
        <w:pStyle w:val="TextoNormal"/>
      </w:pPr>
      <w:r>
        <w:t>Con carácter previo al examen de las cuestiones de fondo planteadas en la demanda de amparo, deben hacerse las siguientes precisiones:</w:t>
      </w:r>
    </w:p>
    <w:p w14:paraId="14152C8A" w14:textId="77777777" w:rsidR="008D479B" w:rsidRDefault="008D479B" w:rsidP="008D479B">
      <w:pPr>
        <w:pStyle w:val="TextoNormal"/>
      </w:pPr>
    </w:p>
    <w:p w14:paraId="4191159D" w14:textId="77777777" w:rsidR="008D479B" w:rsidRDefault="008D479B" w:rsidP="008D479B">
      <w:pPr>
        <w:pStyle w:val="TextoNormal"/>
      </w:pPr>
      <w:r>
        <w:t>En el recurso de amparo se alega la vulneración del derecho a la tutela judicial efectiva (art. 24.1 CE) porque las resoluciones judiciales no se ajustan a derecho y por vulneración de los principios sobre valoración de la prueba, la motivación y el derecho de defensa, al fundar la decisión en la recomendación de las autoridades sanitarias sin valorar correcta y adecuadamente los informes científicos de que disponían los tribunales; la vulneración del derecho a la igualdad y no discriminación de la madre, recurrente en amparo, (art. 14 CE); y el derecho a la integridad física y moral por falta de consentimiento informado (art. 15 CE). Todas estas vulneraciones se imputan a la decisión judicial que atribuye la facultad de decidir al progenitor favorable a la vacunación.</w:t>
      </w:r>
    </w:p>
    <w:p w14:paraId="210CB4AB" w14:textId="77777777" w:rsidR="008D479B" w:rsidRDefault="008D479B" w:rsidP="008D479B">
      <w:pPr>
        <w:pStyle w:val="TextoNormal"/>
      </w:pPr>
    </w:p>
    <w:p w14:paraId="086E914C" w14:textId="77777777" w:rsidR="008D479B" w:rsidRDefault="008D479B" w:rsidP="008D479B">
      <w:pPr>
        <w:pStyle w:val="TextoNormal"/>
      </w:pPr>
      <w:r>
        <w:t>En realidad, estas cuestiones están directamente vinculadas con la posible lesión del derecho fundamental a la integridad personal, reconocido en el art. 15 CE, de modo que las distintas quejas planteadas bajo la cobertura del art. 24.1 y 2 CE, pueden recibir una respuesta conjunta en el fundamento jurídico siguiente, puesto que deben calificarse como instrumentales en el presente caso.</w:t>
      </w:r>
    </w:p>
    <w:p w14:paraId="75900C3B" w14:textId="77777777" w:rsidR="008D479B" w:rsidRDefault="008D479B" w:rsidP="008D479B">
      <w:pPr>
        <w:pStyle w:val="TextoNormal"/>
      </w:pPr>
    </w:p>
    <w:p w14:paraId="6DB3093B" w14:textId="47F1689F" w:rsidR="008D479B" w:rsidRDefault="008D479B" w:rsidP="008D479B">
      <w:pPr>
        <w:pStyle w:val="TextoNormal"/>
      </w:pPr>
      <w:r>
        <w:t>En relación con la vulneración del derecho a la igualdad (art. 14 CE), el recurrente no llega a individualizar, en los términos exigidos por la doctrina de este tribunal, un término de comparación válido, como fundamento de la existencia de discriminación.</w:t>
      </w:r>
    </w:p>
    <w:p w14:paraId="373B0955" w14:textId="77777777" w:rsidR="008D479B" w:rsidRDefault="008D479B" w:rsidP="008D479B">
      <w:pPr>
        <w:pStyle w:val="TextoNormal"/>
      </w:pPr>
    </w:p>
    <w:p w14:paraId="492C4F7C" w14:textId="77777777" w:rsidR="008D479B" w:rsidRDefault="008D479B" w:rsidP="008D479B">
      <w:pPr>
        <w:pStyle w:val="TextoNormal"/>
      </w:pPr>
      <w:r w:rsidRPr="008D479B">
        <w:rPr>
          <w:rStyle w:val="NumeroAFNegritaCaracter"/>
        </w:rPr>
        <w:t>3</w:t>
      </w:r>
      <w:r>
        <w:t xml:space="preserve">. </w:t>
      </w:r>
      <w:r w:rsidRPr="008D479B">
        <w:rPr>
          <w:i/>
        </w:rPr>
        <w:t>Aplicación de la doctrina constitucional expuesta en la STC 148/2023, de 6 de noviembre</w:t>
      </w:r>
    </w:p>
    <w:p w14:paraId="3C60FAC0" w14:textId="77777777" w:rsidR="008D479B" w:rsidRDefault="008D479B" w:rsidP="008D479B">
      <w:pPr>
        <w:pStyle w:val="TextoNormal"/>
      </w:pPr>
    </w:p>
    <w:p w14:paraId="6EC429DA" w14:textId="77777777" w:rsidR="008D479B" w:rsidRDefault="008D479B" w:rsidP="008D479B">
      <w:pPr>
        <w:pStyle w:val="TextoNormal"/>
      </w:pPr>
      <w:r>
        <w:t>La cuestión constitucional suscitada en este recurso en relación con el derecho fundamental a la integridad física y moral (art. 15 CE) es la misma que ya ha sido objeto de análisis por el Pleno de este tribunal en la STC 148/2023, de 6 de noviembre, en cuyos fundamentos jurídicos 4 y 5 se expusieron de manera pormenorizada las pautas de ponderación necesarias para determinar si en este tipo de supuestos se ha vulnerado el derecho a la integridad personal, centrando la cuestión en que la administración de la vacuna, a falta de consentimiento libre, válido e informado de la persona afectada, precisa para su constitucionalidad el cumplimiento de los requisitos generales que, de acuerdo con nuestra doctrina, rigen la restricción de los derechos fundamentales sustantivos.</w:t>
      </w:r>
    </w:p>
    <w:p w14:paraId="1F117C43" w14:textId="77777777" w:rsidR="008D479B" w:rsidRDefault="008D479B" w:rsidP="008D479B">
      <w:pPr>
        <w:pStyle w:val="TextoNormal"/>
      </w:pPr>
    </w:p>
    <w:p w14:paraId="255246E6" w14:textId="77777777" w:rsidR="008D479B" w:rsidRDefault="008D479B" w:rsidP="008D479B">
      <w:pPr>
        <w:pStyle w:val="TextoNormal"/>
      </w:pPr>
      <w:r>
        <w:t>En atención a lo expuesto, en este caso, como también se concluyó en la STC 148/2023, FJ 5, el Tribunal rechaza que se haya vulnerado el art. 15 CE al constatarse que (i) se cumple el presupuesto básico que el art. 9.3, letra c) de la Ley 41/2002 establece para que pueda acudirse al consentimiento por representación —otorgado por los progenitores de común acuerdo o por la autoridad judicial en caso de desacuerdo— porque las menores, dada su edad carecían de la capacidad emocional e intelectual necesarias para comprender el alcance la intervención y porque los padres contaban con la información adecuada para la prestación del consentimiento desde un momento anterior incluso a la iniciación del procedimiento de jurisdicción voluntaria, por lo que no cabe apreciar la ausencia de consentimiento informado; y (ii) la motivación de las resoluciones judiciales tuvo como fundamento esencial la protección del interés superior de las menores en relación con la protección de su salud, teniendo en cuenta la recomendación de las autoridades sanitarias, que se mostraban a favor de la vacunación de menores haciendo una ponderación de riesgos y beneficios de la vacuna, que el órgano judicial no estima desvirtuada por los informes aportados por el recurrente.</w:t>
      </w:r>
    </w:p>
    <w:p w14:paraId="4429936D" w14:textId="77777777" w:rsidR="008D479B" w:rsidRDefault="008D479B" w:rsidP="008D479B">
      <w:pPr>
        <w:pStyle w:val="TextoNormal"/>
      </w:pPr>
    </w:p>
    <w:p w14:paraId="6B1E4359" w14:textId="2E94E493" w:rsidR="008D479B" w:rsidRDefault="008D479B" w:rsidP="008D479B">
      <w:pPr>
        <w:pStyle w:val="TextoNormal"/>
      </w:pPr>
      <w:r>
        <w:t>Por otra parte, la resolución sobre el fondo de este recurso implica que no resulte procedente resolver sobre la medida cautelar de suspensión solicitada por la demandante, lo que determina que deba acordarse el archivo de la pieza separada de suspensión.</w:t>
      </w:r>
    </w:p>
    <w:p w14:paraId="3CD09AD0" w14:textId="77777777" w:rsidR="008D479B" w:rsidRDefault="008D479B" w:rsidP="008D479B">
      <w:pPr>
        <w:pStyle w:val="TextoNormal"/>
      </w:pPr>
    </w:p>
    <w:p w14:paraId="26846DD4" w14:textId="77777777" w:rsidR="008D479B" w:rsidRDefault="008D479B" w:rsidP="008D479B">
      <w:pPr>
        <w:pStyle w:val="TextoNormalCentrado"/>
        <w:keepNext/>
      </w:pPr>
      <w:r>
        <w:t>FALLO</w:t>
      </w:r>
    </w:p>
    <w:p w14:paraId="27F47761" w14:textId="689490D0" w:rsidR="008D479B" w:rsidRDefault="008D479B" w:rsidP="008D479B">
      <w:pPr>
        <w:pStyle w:val="TextoNormalCentrado"/>
        <w:keepNext/>
      </w:pPr>
    </w:p>
    <w:p w14:paraId="49ECBB3B" w14:textId="19D79C9B" w:rsidR="008D479B" w:rsidRDefault="008D479B" w:rsidP="008D479B">
      <w:pPr>
        <w:pStyle w:val="TextoNormal"/>
      </w:pPr>
      <w:r>
        <w:t>En atención a todo lo expuesto, el Tribunal Constitucional, por la autoridad que le confiere la Constitución de la Nación española, ha decidido desestimar el recurso de amparo interpuesto por doña C.G.R., y archivar su pieza separada de suspensión.</w:t>
      </w:r>
    </w:p>
    <w:p w14:paraId="2834CD32" w14:textId="77777777" w:rsidR="008D479B" w:rsidRDefault="008D479B" w:rsidP="008D479B">
      <w:pPr>
        <w:pStyle w:val="TextoNormal"/>
      </w:pPr>
    </w:p>
    <w:p w14:paraId="617FC796" w14:textId="77777777" w:rsidR="008D479B" w:rsidRDefault="008D479B" w:rsidP="008D479B">
      <w:pPr>
        <w:pStyle w:val="TextoNormal"/>
      </w:pPr>
      <w:r>
        <w:t>Publíquese esta sentencia en el “Boletín Oficial del Estado”.</w:t>
      </w:r>
    </w:p>
    <w:p w14:paraId="14B8EE1E" w14:textId="77777777" w:rsidR="008D479B" w:rsidRDefault="008D479B" w:rsidP="008D479B">
      <w:pPr>
        <w:pStyle w:val="TextoNormal"/>
      </w:pPr>
      <w:r>
        <w:t>Dada en Madrid, a veinte de noviembre de dos mil veintitrés.</w:t>
      </w:r>
    </w:p>
    <w:p w14:paraId="5FDF97D1" w14:textId="1FD01933" w:rsidR="008D479B" w:rsidRDefault="008D479B">
      <w:pPr>
        <w:spacing w:after="160" w:line="278" w:lineRule="auto"/>
        <w:rPr>
          <w:rFonts w:ascii="Times New Roman" w:eastAsia="Times New Roman" w:hAnsi="Times New Roman" w:cs="Times New Roman"/>
          <w:sz w:val="24"/>
          <w:szCs w:val="24"/>
          <w:lang w:eastAsia="es-ES"/>
        </w:rPr>
      </w:pPr>
      <w:r>
        <w:br w:type="page"/>
      </w:r>
    </w:p>
    <w:p w14:paraId="69678F4E" w14:textId="77777777" w:rsidR="008D479B" w:rsidRDefault="008D479B" w:rsidP="008D479B">
      <w:pPr>
        <w:pStyle w:val="TtuloResolucin"/>
      </w:pPr>
      <w:bookmarkStart w:id="84" w:name="SENTENCIA_2023_159"/>
      <w:r>
        <w:t>SENTENCIA 159/2023, de 20 de noviembre de 2023</w:t>
      </w:r>
    </w:p>
    <w:bookmarkEnd w:id="84"/>
    <w:p w14:paraId="0F276292" w14:textId="77777777" w:rsidR="008D479B" w:rsidRDefault="008D479B" w:rsidP="008D479B">
      <w:pPr>
        <w:pStyle w:val="TtuloResolucin"/>
      </w:pPr>
      <w:r>
        <w:t>Sala Segunda</w:t>
      </w:r>
    </w:p>
    <w:p w14:paraId="11D1BDBB" w14:textId="77777777" w:rsidR="008D479B" w:rsidRDefault="008D479B" w:rsidP="008D479B">
      <w:pPr>
        <w:pStyle w:val="TtuloBOE"/>
      </w:pPr>
      <w:r>
        <w:t>(BOE núm. 304, de 21 de diciembre de 2023)</w:t>
      </w:r>
    </w:p>
    <w:p w14:paraId="6BC6D68B" w14:textId="77777777" w:rsidR="008D479B" w:rsidRDefault="008D479B" w:rsidP="008D479B">
      <w:pPr>
        <w:pStyle w:val="TextoNormalCentrado"/>
      </w:pPr>
      <w:r>
        <w:t>ECLI:ES:TC:2023:159</w:t>
      </w:r>
    </w:p>
    <w:p w14:paraId="5DF5E36B" w14:textId="3D226699" w:rsidR="008D479B" w:rsidRDefault="008D479B" w:rsidP="008D479B">
      <w:pPr>
        <w:pStyle w:val="TextoNormalCentrado"/>
      </w:pPr>
    </w:p>
    <w:p w14:paraId="6D9C996C" w14:textId="77777777" w:rsidR="008D479B" w:rsidRDefault="008D479B" w:rsidP="008D479B">
      <w:pPr>
        <w:pStyle w:val="SntesisDescriptiva"/>
      </w:pPr>
      <w:r>
        <w:t>Recurso de amparo 8110-2022. Promovido por doña I.M.D., respecto de los autos dictados por la Audiencia Provincial de Barcelona y un juzgado de primera instancia de esa capital que acordaron la administración de la vacuna frente a la covid-19.</w:t>
      </w:r>
    </w:p>
    <w:p w14:paraId="72BA084B" w14:textId="65DD15DD" w:rsidR="008D479B" w:rsidRDefault="008D479B" w:rsidP="008D479B">
      <w:pPr>
        <w:pStyle w:val="SntesisDescriptiva"/>
      </w:pPr>
    </w:p>
    <w:p w14:paraId="23BCABBA" w14:textId="77777777" w:rsidR="008D479B" w:rsidRDefault="008D479B" w:rsidP="008D479B">
      <w:pPr>
        <w:pStyle w:val="SntesisAnaltica"/>
      </w:pPr>
      <w:r>
        <w:t>Supuesta vulneración de los derechos a la integridad física y a la tutela judicial efectiva (motivación): STC 148/2023 [resoluciones judiciales que realizaron una ponderación adecuada de los intereses de una persona menor de edad (STC 38/2023)].</w:t>
      </w:r>
    </w:p>
    <w:p w14:paraId="49D96314" w14:textId="33BAE3A9" w:rsidR="008D479B" w:rsidRDefault="008D479B" w:rsidP="008D479B">
      <w:pPr>
        <w:pStyle w:val="SntesisAnaltica"/>
      </w:pPr>
    </w:p>
    <w:p w14:paraId="0FBEA896" w14:textId="25F6E18D" w:rsidR="008D479B" w:rsidRDefault="008D479B" w:rsidP="008D479B">
      <w:pPr>
        <w:pStyle w:val="Extracto"/>
      </w:pPr>
      <w:r>
        <w:t>1.</w:t>
      </w:r>
      <w:r>
        <w:tab/>
        <w:t>La capacidad general de autodeterminación de las personas menores de edad, en relación con las actuaciones médicas que les afectan, encuentra su límite en la protección de su interés superior, que se impone como obligación a los progenitores, en cuanto titulares de la patria potestad o autoridad familiar, y a todos los poderes públicos, incluida la autoridad judicial (STC 148/2023) [FJ 3].</w:t>
      </w:r>
    </w:p>
    <w:p w14:paraId="736671F0" w14:textId="77777777" w:rsidR="008D479B" w:rsidRDefault="008D479B" w:rsidP="008D479B">
      <w:pPr>
        <w:pStyle w:val="Extracto"/>
      </w:pPr>
    </w:p>
    <w:p w14:paraId="4C966036" w14:textId="4E2F5F47" w:rsidR="008D479B" w:rsidRDefault="008D479B" w:rsidP="008D479B">
      <w:pPr>
        <w:pStyle w:val="Extracto"/>
      </w:pPr>
      <w:r>
        <w:t>2.</w:t>
      </w:r>
      <w:r>
        <w:tab/>
        <w:t>La decisión de los representantes legales relativa al otorgamiento o no del consentimiento informado por representación deberá atender a la protección del derecho a la vida, supervivencia y desarrollo del menor y la satisfacción de sus necesidades básicas, tanto materiales, físicas y educativas como emocionales y afectivas [art. 2.2, letra a) de la Ley Orgánica 1/1996]; y es preciso buscar el mayor beneficio para la vida o salud del paciente menor de edad, teniendo en cuenta las circunstancias concurrentes y sus necesidades, que deben ser atendidas (STC 148/2023) [FJ 3].</w:t>
      </w:r>
    </w:p>
    <w:p w14:paraId="2EDA7E24" w14:textId="77777777" w:rsidR="008D479B" w:rsidRDefault="008D479B" w:rsidP="008D479B">
      <w:pPr>
        <w:pStyle w:val="Extracto"/>
      </w:pPr>
    </w:p>
    <w:p w14:paraId="4104B821" w14:textId="77777777" w:rsidR="008D479B" w:rsidRDefault="008D479B" w:rsidP="008D479B">
      <w:pPr>
        <w:pStyle w:val="Extracto"/>
      </w:pPr>
    </w:p>
    <w:p w14:paraId="7E40CCD8" w14:textId="77777777" w:rsidR="008D479B" w:rsidRDefault="008D479B" w:rsidP="008D479B">
      <w:pPr>
        <w:pStyle w:val="TextoNormal"/>
      </w:pPr>
      <w: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14:paraId="64C7D3E5" w14:textId="1118C4C1" w:rsidR="008D479B" w:rsidRDefault="008D479B" w:rsidP="008D479B">
      <w:pPr>
        <w:pStyle w:val="TextoNormal"/>
      </w:pPr>
    </w:p>
    <w:p w14:paraId="2839D418" w14:textId="77777777" w:rsidR="008D479B" w:rsidRDefault="008D479B" w:rsidP="008D479B">
      <w:pPr>
        <w:pStyle w:val="TextoNormalCentrado"/>
        <w:keepNext/>
      </w:pPr>
      <w:r>
        <w:t>EN NOMBRE DEL REY</w:t>
      </w:r>
    </w:p>
    <w:p w14:paraId="5A3716C4" w14:textId="0E713639" w:rsidR="008D479B" w:rsidRDefault="008D479B" w:rsidP="008D479B">
      <w:pPr>
        <w:pStyle w:val="TextoNormalCentrado"/>
        <w:keepNext/>
      </w:pPr>
    </w:p>
    <w:p w14:paraId="4F2D7495" w14:textId="77777777" w:rsidR="008D479B" w:rsidRDefault="008D479B" w:rsidP="008D479B">
      <w:pPr>
        <w:pStyle w:val="TextoNormalCentrado"/>
        <w:keepNext/>
      </w:pPr>
    </w:p>
    <w:p w14:paraId="5EE8C799" w14:textId="77777777" w:rsidR="008D479B" w:rsidRDefault="008D479B" w:rsidP="008D479B">
      <w:pPr>
        <w:pStyle w:val="TextoNormal"/>
      </w:pPr>
      <w:r>
        <w:t>la siguiente</w:t>
      </w:r>
    </w:p>
    <w:p w14:paraId="0809A84F" w14:textId="758A8A4E" w:rsidR="008D479B" w:rsidRDefault="008D479B" w:rsidP="008D479B">
      <w:pPr>
        <w:pStyle w:val="TextoNormal"/>
      </w:pPr>
    </w:p>
    <w:p w14:paraId="0BE26415" w14:textId="77777777" w:rsidR="008D479B" w:rsidRDefault="008D479B" w:rsidP="008D479B">
      <w:pPr>
        <w:pStyle w:val="TextoNormalCentrado"/>
        <w:keepNext/>
      </w:pPr>
      <w:r>
        <w:t>SENTENCIA</w:t>
      </w:r>
    </w:p>
    <w:p w14:paraId="0AEF33B2" w14:textId="159EE5CB" w:rsidR="008D479B" w:rsidRDefault="008D479B" w:rsidP="008D479B">
      <w:pPr>
        <w:pStyle w:val="TextoNormalCentrado"/>
        <w:keepNext/>
      </w:pPr>
    </w:p>
    <w:p w14:paraId="5E0A47B3" w14:textId="77777777" w:rsidR="008D479B" w:rsidRDefault="008D479B" w:rsidP="008D479B">
      <w:pPr>
        <w:pStyle w:val="TextoNormal"/>
      </w:pPr>
      <w:r>
        <w:t>En el recurso de amparo núm. 8110-2022, promovido por doña I.M.D., representada por la procuradora de los tribunales doña Ana María Álvarez Úbeda y asistida por el letrado don Marcos Rubio Rubio, contra el auto de 22 de abril de 2022 dictado por el Juzgado de Primera Instancia núm. 16 de Barcelona en el procedimiento de jurisdicción voluntaria 15-2022, confirmado por el auto de 14 de septiembre de 2022 dictado por la Sección Decimoctava de la Audiencia Provincial de Barcelona en el rollo de apelación 630-2022, que desestimó el recurso de apelación interpuesto contra el auto dictado en primera instancia. Ha intervenido el Ministerio Fiscal. Ha sido ponente el magistrado don César Tolosa Tribiño.</w:t>
      </w:r>
    </w:p>
    <w:p w14:paraId="3A7DAD04" w14:textId="1AFC59B5" w:rsidR="008D479B" w:rsidRDefault="008D479B" w:rsidP="008D479B">
      <w:pPr>
        <w:pStyle w:val="TextoNormal"/>
      </w:pPr>
    </w:p>
    <w:p w14:paraId="743606BF" w14:textId="77777777" w:rsidR="008D479B" w:rsidRDefault="008D479B" w:rsidP="008D479B">
      <w:pPr>
        <w:pStyle w:val="TextoNormalNegritaCentrado"/>
        <w:keepNext/>
      </w:pPr>
      <w:r>
        <w:t>I. Antecedentes</w:t>
      </w:r>
    </w:p>
    <w:p w14:paraId="09903AD9" w14:textId="7D2E4C67" w:rsidR="008D479B" w:rsidRDefault="008D479B" w:rsidP="008D479B">
      <w:pPr>
        <w:pStyle w:val="TextoNormalNegritaCentrado"/>
        <w:keepNext/>
      </w:pPr>
    </w:p>
    <w:p w14:paraId="30891FD2" w14:textId="034EEDEB" w:rsidR="008D479B" w:rsidRDefault="008D479B" w:rsidP="008D479B">
      <w:pPr>
        <w:pStyle w:val="TextoNormal"/>
      </w:pPr>
      <w:r w:rsidRPr="008D479B">
        <w:rPr>
          <w:rStyle w:val="NumeroAFNegritaCaracter"/>
        </w:rPr>
        <w:t>1</w:t>
      </w:r>
      <w:r>
        <w:t>. El 7 de diciembre de 2022, la procuradora de los tribunales doña Ana María Álvarez Úbeda, en representación de doña I.M.D., y asistida por el letrado don Marcos Rubio Rubio, formalizó demanda de amparo contra las resoluciones que constan en el encabezamiento.</w:t>
      </w:r>
    </w:p>
    <w:p w14:paraId="4ABAFC90" w14:textId="77777777" w:rsidR="008D479B" w:rsidRDefault="008D479B" w:rsidP="008D479B">
      <w:pPr>
        <w:pStyle w:val="TextoNormal"/>
      </w:pPr>
    </w:p>
    <w:p w14:paraId="0D07712A" w14:textId="77777777" w:rsidR="008D479B" w:rsidRDefault="008D479B" w:rsidP="008D479B">
      <w:pPr>
        <w:pStyle w:val="TextoNormal"/>
      </w:pPr>
      <w:r w:rsidRPr="008D479B">
        <w:rPr>
          <w:rStyle w:val="NumeroAFNegritaCaracter"/>
        </w:rPr>
        <w:t>2</w:t>
      </w:r>
      <w:r>
        <w:t>. Los hechos relevantes para resolver el presente recurso son los siguientes:</w:t>
      </w:r>
    </w:p>
    <w:p w14:paraId="4C0211B8" w14:textId="77777777" w:rsidR="008D479B" w:rsidRDefault="008D479B" w:rsidP="008D479B">
      <w:pPr>
        <w:pStyle w:val="TextoNormal"/>
      </w:pPr>
    </w:p>
    <w:p w14:paraId="6562EF1D" w14:textId="77777777" w:rsidR="008D479B" w:rsidRDefault="008D479B" w:rsidP="008D479B">
      <w:pPr>
        <w:pStyle w:val="TextoNormal"/>
      </w:pPr>
      <w:r>
        <w:t>a) Mediante escrito fechado el 10 de enero de 2022 don J.O.L., solicitó del Juzgado de Primera Instancia núm. 16 de Barcelona, al amparo de lo dispuesto en los arts. 85 y 86 de la Ley 15/2015, de 2 de julio, de la jurisdicción voluntaria, que se le atribuyera la facultad de decidir sobre la administración de la vacuna a sus hijas menores (de once y ocho años) y sobre la realización a las mismas de pruebas de detección de la covid.</w:t>
      </w:r>
    </w:p>
    <w:p w14:paraId="75DB2F0B" w14:textId="77777777" w:rsidR="008D479B" w:rsidRDefault="008D479B" w:rsidP="008D479B">
      <w:pPr>
        <w:pStyle w:val="TextoNormal"/>
      </w:pPr>
    </w:p>
    <w:p w14:paraId="422A325D" w14:textId="77777777" w:rsidR="008D479B" w:rsidRDefault="008D479B" w:rsidP="008D479B">
      <w:pPr>
        <w:pStyle w:val="TextoNormal"/>
      </w:pPr>
      <w:r>
        <w:t>b) Por decreto de 10 de febrero de 2022, de la letrada de la administración de justicia del Juzgado de Primera Instancia núm. 16 de Barcelona, se admitió a trámite la solicitud y se señaló una comparecencia de los progenitores para el 20 de abril de 2022. Mediante escrito fechado el 24 de febrero de 2022, la representación procesal de la ahora recurrente en amparo se opuso a la inoculación de la vacuna sustancialmente por encontrarse las menores inmunizadas al haber pasado la enfermedad con sintomatología leve.</w:t>
      </w:r>
    </w:p>
    <w:p w14:paraId="5359EE79" w14:textId="77777777" w:rsidR="008D479B" w:rsidRDefault="008D479B" w:rsidP="008D479B">
      <w:pPr>
        <w:pStyle w:val="TextoNormal"/>
      </w:pPr>
    </w:p>
    <w:p w14:paraId="7F3D1239" w14:textId="77777777" w:rsidR="008D479B" w:rsidRDefault="008D479B" w:rsidP="008D479B">
      <w:pPr>
        <w:pStyle w:val="TextoNormal"/>
      </w:pPr>
      <w:r>
        <w:t>c) Celebrada la comparecencia, por auto del Juzgado de Primera Instancia núm. 16 de Barcelona, de 22 de abril de 2022, se resolvió atribuir al solicitante, padre de las menores y favorable a su vacunación, la facultad de decidir sobre la administración a las menores de la vacuna contra el covid-19, así como sobre la realización de pruebas de detección del contagio de acuerdo con el protocolo establecido por el Departament de Salut de la Generalitat de Cataluña o el Ministerio de Sanidad del Gobierno de España.</w:t>
      </w:r>
    </w:p>
    <w:p w14:paraId="0F4065E1" w14:textId="77777777" w:rsidR="008D479B" w:rsidRDefault="008D479B" w:rsidP="008D479B">
      <w:pPr>
        <w:pStyle w:val="TextoNormal"/>
      </w:pPr>
    </w:p>
    <w:p w14:paraId="44EC1C5C" w14:textId="77777777" w:rsidR="008D479B" w:rsidRDefault="008D479B" w:rsidP="008D479B">
      <w:pPr>
        <w:pStyle w:val="TextoNormal"/>
      </w:pPr>
      <w:r>
        <w:t>La resolución considera que resulta plenamente de aplicación lo dispuesto en la sentencia dictada por la Audiencia Provincial de Barcelona el 25 de febrero de 2022, que se recoge en el fundamento segundo, tanto en lo relativo a la protección de la vacuna para la salud del menor —pues su administración puede evitar que el menor padezca en el futuro una enfermedad que en muchas ocasiones ha resultado gravemente lesiva y ha llegado a producir la muerte— como a la seguridad de esta —avalada por la Organización Mundial de la Salud y desde su comercialización en España ha sido administrada de forma voluntaria a la mayor parte de la población— así como a su conveniencia por razones de interés general —al evitar futuros contagios no solo para el menor—.</w:t>
      </w:r>
    </w:p>
    <w:p w14:paraId="37B3E9A7" w14:textId="77777777" w:rsidR="008D479B" w:rsidRDefault="008D479B" w:rsidP="008D479B">
      <w:pPr>
        <w:pStyle w:val="TextoNormal"/>
      </w:pPr>
    </w:p>
    <w:p w14:paraId="5AF93361" w14:textId="77777777" w:rsidR="008D479B" w:rsidRDefault="008D479B" w:rsidP="008D479B">
      <w:pPr>
        <w:pStyle w:val="TextoNormal"/>
      </w:pPr>
      <w:r>
        <w:t>d) La representación procesal de la demandante de amparo interpuso recurso de apelación frente a la anterior resolución, cuestionando la falta de motivación de la misma al no dar respuesta adecuada a los datos científicos por los que se opone a la inoculación de la vacuna, así como por falta del consentimiento informado, vulnerando la integridad física, por falta de jurisdicción por inadecuación del procedimiento, refiriendo además que la vacuna está en fase experimental con efectos desconocidos a medio y largo plazo, debiendo prevalecer sobre el interés social el de las menores que no forman parte de un grupo especial de riesgo.</w:t>
      </w:r>
    </w:p>
    <w:p w14:paraId="7BC81EA1" w14:textId="77777777" w:rsidR="008D479B" w:rsidRDefault="008D479B" w:rsidP="008D479B">
      <w:pPr>
        <w:pStyle w:val="TextoNormal"/>
      </w:pPr>
    </w:p>
    <w:p w14:paraId="52BAFDAF" w14:textId="1C1B359E" w:rsidR="008D479B" w:rsidRDefault="008D479B" w:rsidP="008D479B">
      <w:pPr>
        <w:pStyle w:val="TextoNormal"/>
      </w:pPr>
      <w:r>
        <w:t>e) Mediante auto de 14 de septiembre de 2022, dictado en el rollo de apelación 630-2022, la Sección Decimoctava de la Audiencia Provincial de Barcelona desestimó el recurso de apelación. El auto descarta examinar aquellos motivos de impugnación no planteados en la instancia y considera suficientemente motivada la resolución impugnada. En relación con el fondo del asunto, sostiene que los beneficios de la administración de la vacuna superan los riesgos derivados de la misma conforme a los informes de distintos organismos y asociaciones nacionales e internacionales. La vacuna se presenta como una medida necesaria de protección de la salud de los menores y ha sido aprobada por los organismos competentes.</w:t>
      </w:r>
    </w:p>
    <w:p w14:paraId="0F6248B7" w14:textId="77777777" w:rsidR="008D479B" w:rsidRDefault="008D479B" w:rsidP="008D479B">
      <w:pPr>
        <w:pStyle w:val="TextoNormal"/>
      </w:pPr>
    </w:p>
    <w:p w14:paraId="329E8CC6" w14:textId="77777777" w:rsidR="008D479B" w:rsidRDefault="008D479B" w:rsidP="008D479B">
      <w:pPr>
        <w:pStyle w:val="TextoNormal"/>
      </w:pPr>
      <w:r w:rsidRPr="008D479B">
        <w:rPr>
          <w:rStyle w:val="NumeroAFNegritaCaracter"/>
        </w:rPr>
        <w:t>3</w:t>
      </w:r>
      <w:r>
        <w:t>. En la demanda de amparo, la recurrente alega que el auto de 22 de abril de 2022 dictado por el Juzgado de Primera Instancia núm. 16 de Barcelona, confirmado por el auto de la Sección Decimoctava de la Audiencia Provincial de Barcelona de 14 de septiembre de 2022, le ha vulnerado el derecho a la tutela judicial efectiva (art. 24.1 CE) en relación con los derechos a la igualdad y a no ser discriminado (art. 14 CE) y el derecho a la integridad física y moral (art. 15 CE).</w:t>
      </w:r>
    </w:p>
    <w:p w14:paraId="06F96DD9" w14:textId="77777777" w:rsidR="008D479B" w:rsidRDefault="008D479B" w:rsidP="008D479B">
      <w:pPr>
        <w:pStyle w:val="TextoNormal"/>
      </w:pPr>
    </w:p>
    <w:p w14:paraId="47D4BD59" w14:textId="77777777" w:rsidR="008D479B" w:rsidRDefault="008D479B" w:rsidP="008D479B">
      <w:pPr>
        <w:pStyle w:val="TextoNormal"/>
      </w:pPr>
      <w:r>
        <w:t>Comienza su argumentación justificando la especial trascendencia constitucional de la demanda de amparo al entender que debe aclararse si ante la falta de consentimiento informado, pueden los tribunales utilizar el procedimiento de jurisdicción voluntaria para autorizar a un progenitor a tomar una decisión sobre la administración del medicamento. Añade que debe aclararse si se está vulnerando el art. 6.1 del Convenio de Oviedo, que señala: “[a] reserva de lo dispuesto en los artículos 17 y 20, solo podrá efectuarse una intervención a una persona que no tenga capacidad para expresar su consentimiento cuando redunde en su beneficio directo”. Y también debe aclararse si se puede suplir la falta de consentimiento informado, exigido en la Ley 41/2002, básica reguladora de la autonomía del paciente, o, en su caso, si es imprescindible que se cumpla dicho requisito con carácter previo a la autorización judicial ya que, como ha quedado acreditado, ni a las menores ni a su madre se les ha entregado un consentimiento informado por escrito sobre los riesgos y consecuencias de la administración del medicamento génico del covid-19.</w:t>
      </w:r>
    </w:p>
    <w:p w14:paraId="50DD8C6C" w14:textId="77777777" w:rsidR="008D479B" w:rsidRDefault="008D479B" w:rsidP="008D479B">
      <w:pPr>
        <w:pStyle w:val="TextoNormal"/>
      </w:pPr>
    </w:p>
    <w:p w14:paraId="02D8D02D" w14:textId="77777777" w:rsidR="008D479B" w:rsidRDefault="008D479B" w:rsidP="008D479B">
      <w:pPr>
        <w:pStyle w:val="TextoNormal"/>
      </w:pPr>
      <w:r>
        <w:t>En relación con las vulneraciones invocadas, sostiene que se autoriza la inoculación del medicamento de terapia génica en fase experimental pese a que la administración del medicamento tiene carácter voluntario para el resto de la población, sin que concurran los requisitos exigidos por el Tribunal Constitucional para la administración forzosa y, lo que es más grave, sin que exista prescripción médica de la vacuna ni consentimiento informado veraz conforme a lo exigido en la Ley 41/2002, básica reguladora de la autonomía del paciente. La autorización judicial, pese a la exigencia de motivación reforzada, se basa en meras creencias personales o suposiciones sobre los supuestos beneficios de la vacuna, sin que se acredite que el beneficio individual del menor sea superior a los riesgos o que exista un beneficio directo para el menor. Nadie puede ser obligado a vacunarse, pues se parte del principio general de la voluntariedad en las actuaciones de salud pública.</w:t>
      </w:r>
    </w:p>
    <w:p w14:paraId="531E1E32" w14:textId="77777777" w:rsidR="008D479B" w:rsidRDefault="008D479B" w:rsidP="008D479B">
      <w:pPr>
        <w:pStyle w:val="TextoNormal"/>
      </w:pPr>
    </w:p>
    <w:p w14:paraId="31CA5BA6" w14:textId="77777777" w:rsidR="008D479B" w:rsidRDefault="008D479B" w:rsidP="008D479B">
      <w:pPr>
        <w:pStyle w:val="TextoNormal"/>
      </w:pPr>
      <w:r>
        <w:t>Con cita de las SSTC 120/1990, de 27 de junio, y 37/2011, de 28 de marzo, así como nuevamente del art. 6.1 del Convenio de Oviedo, afirma que el medicamento experimental no está cumpliendo con la finalidad inmunizadora pretendida y que los fallecidos por covid en España se han multiplicado por cuatro desde la llegada de la mal llamada vacuna. No se ha demostrado la evidencia científica de la bondad del medicamento experimental. La recurrente se cuestiona quién será responsable de los efectos secundarios que produzca la inoculación de la vacuna.</w:t>
      </w:r>
    </w:p>
    <w:p w14:paraId="71D574BC" w14:textId="77777777" w:rsidR="008D479B" w:rsidRDefault="008D479B" w:rsidP="008D479B">
      <w:pPr>
        <w:pStyle w:val="TextoNormal"/>
      </w:pPr>
    </w:p>
    <w:p w14:paraId="7A47F6D1" w14:textId="77777777" w:rsidR="008D479B" w:rsidRDefault="008D479B" w:rsidP="008D479B">
      <w:pPr>
        <w:pStyle w:val="TextoNormal"/>
      </w:pPr>
      <w:r>
        <w:t>Entiende que la falta de consentimiento informado invalida y genera un vicio pleno de consentimiento y limita el derecho de información del propio paciente o de quienes van a tomar la decisión por él. Añade que los efectos a corto plazo de la vacunación son numerosos y graves y que los efectos a medio y largo plazo se desconocen. Pese a la inoculación masiva de la vacuna a la población no se ha reducido ni erradicado el riesgo de contagio. Hace referencia a un informe médico forense emitido el 21 de febrero de 2022 en San Lorenzo de El Escorial, sobre la necesidad de vacunar de covid-19 a niños sanos de entre ocho y once años, por el que se concluye que en niños sanos la relación riesgo-beneficio no está clara.</w:t>
      </w:r>
    </w:p>
    <w:p w14:paraId="3AAC7CCA" w14:textId="77777777" w:rsidR="008D479B" w:rsidRDefault="008D479B" w:rsidP="008D479B">
      <w:pPr>
        <w:pStyle w:val="TextoNormal"/>
      </w:pPr>
    </w:p>
    <w:p w14:paraId="2A91C390" w14:textId="77777777" w:rsidR="008D479B" w:rsidRDefault="008D479B" w:rsidP="008D479B">
      <w:pPr>
        <w:pStyle w:val="TextoNormal"/>
      </w:pPr>
      <w:r>
        <w:t>Se refiere a la exigencia del consentimiento informado en la Ley 41/2002, básica reguladora de la autonomía del paciente, que aparece reconocido en otros tratados e instrumentos internacionales y también en sentencias del Tribunal Europeo de Derechos Humanos y del Tribunal Constitucional, como inherente al derecho a la integridad física (art. 15 CE). Tal derecho posibilita impedir toda intervención no consentida sobre el propio cuerpo. Reconoce que conforme a la doctrina constitucional no todo supuesto de riesgo o daño para la salud implica la vulneración del derecho, sino solo aquel que genere un riesgo grave y cierto para la misma. Concluye su argumentación recordando que es obligación de los Estados adoptar las normas para que la integridad física de los pacientes sea respetada conforme al art. 8 del Convenio europeo de derechos humanos.</w:t>
      </w:r>
    </w:p>
    <w:p w14:paraId="198B3842" w14:textId="77777777" w:rsidR="008D479B" w:rsidRDefault="008D479B" w:rsidP="008D479B">
      <w:pPr>
        <w:pStyle w:val="TextoNormal"/>
      </w:pPr>
    </w:p>
    <w:p w14:paraId="49C26764" w14:textId="0CF9E950" w:rsidR="008D479B" w:rsidRDefault="008D479B" w:rsidP="008D479B">
      <w:pPr>
        <w:pStyle w:val="TextoNormal"/>
      </w:pPr>
      <w:r>
        <w:t>Por otrosí solicita la práctica de prueba documental y la suspensión de las resoluciones impugnadas.</w:t>
      </w:r>
    </w:p>
    <w:p w14:paraId="24D847EB" w14:textId="77777777" w:rsidR="008D479B" w:rsidRDefault="008D479B" w:rsidP="008D479B">
      <w:pPr>
        <w:pStyle w:val="TextoNormal"/>
      </w:pPr>
    </w:p>
    <w:p w14:paraId="30B37C25" w14:textId="76D980E6" w:rsidR="008D479B" w:rsidRDefault="008D479B" w:rsidP="008D479B">
      <w:pPr>
        <w:pStyle w:val="TextoNormal"/>
      </w:pPr>
      <w:r w:rsidRPr="008D479B">
        <w:rPr>
          <w:rStyle w:val="NumeroAFNegritaCaracter"/>
        </w:rPr>
        <w:t>4</w:t>
      </w:r>
      <w:r>
        <w:t>. Por providencia de 3 de julio de 2023, la Sección Tercera de este tribunal, acordó la admisión a trámite del recurso de amparo, al apreciar que concurre en el mismo una especial trascendencia constitucional [art. 50.1 de la Ley Orgánica del Tribunal Constitucional (LOTC)], porque plantea un problema o afecta a una faceta de un derecho fundamental sobre el que no hay doctrina de este tribunal [STC 155/2009, de 25 de junio, FJ 2 a)], y porque el asunto trasciende del caso concreto, al plantear una cuestión jurídica de relevante y general repercusión social o económica [STC 155/2009, FJ 2 g)]. También se resolvió formar la correspondiente pieza separada de suspensión, en la que la demandante reiteró la solicitud de suspensión de las resoluciones impugnadas a la vez que solicitó la práctica de prueba y el Ministerio Fiscal se opuso a la concesión de la suspensión.</w:t>
      </w:r>
    </w:p>
    <w:p w14:paraId="6971D527" w14:textId="77777777" w:rsidR="008D479B" w:rsidRDefault="008D479B" w:rsidP="008D479B">
      <w:pPr>
        <w:pStyle w:val="TextoNormal"/>
      </w:pPr>
    </w:p>
    <w:p w14:paraId="21194F28" w14:textId="77777777" w:rsidR="008D479B" w:rsidRDefault="008D479B" w:rsidP="008D479B">
      <w:pPr>
        <w:pStyle w:val="TextoNormal"/>
      </w:pPr>
      <w:r w:rsidRPr="008D479B">
        <w:rPr>
          <w:rStyle w:val="NumeroAFNegritaCaracter"/>
        </w:rPr>
        <w:t>5</w:t>
      </w:r>
      <w:r>
        <w:t>. Mediante escrito presentado el 6 de octubre de 2023, don Domingo Lago Pato, procurador de los tribunales y de don J.O.L., solicitó la inadmisión y subsidiariamente la desestimación de la demanda de amparo.</w:t>
      </w:r>
    </w:p>
    <w:p w14:paraId="5963B6A0" w14:textId="77777777" w:rsidR="008D479B" w:rsidRDefault="008D479B" w:rsidP="008D479B">
      <w:pPr>
        <w:pStyle w:val="TextoNormal"/>
      </w:pPr>
    </w:p>
    <w:p w14:paraId="79CD83E6" w14:textId="25C5ABC9" w:rsidR="008D479B" w:rsidRDefault="008D479B" w:rsidP="008D479B">
      <w:pPr>
        <w:pStyle w:val="TextoNormal"/>
      </w:pPr>
      <w:r>
        <w:t>En primer lugar, sostiene que el recurso debe ser inadmitido en relación con los derechos a la igualdad y a no ser discriminado, art. 14 CE, porque el demandante no consideró vulnerado este artículo al interponer el recurso de apelación; en relación con el derecho a la integridad física, art. 15 CE, porque el auto no resuelve que se administre la vacuna, sino atribuir al padre la facultad de decidir; y, en relación con la vulneración del derecho a la tutela judicial efectiva, art. 24.1 CE, porque los órganos judiciales “efectúan un razonamiento” y la demandante nunca solicitó que se le atribuyera la facultad de decidir.</w:t>
      </w:r>
    </w:p>
    <w:p w14:paraId="04DE7DB0" w14:textId="77777777" w:rsidR="008D479B" w:rsidRDefault="008D479B" w:rsidP="008D479B">
      <w:pPr>
        <w:pStyle w:val="TextoNormal"/>
      </w:pPr>
    </w:p>
    <w:p w14:paraId="1C1CCB90" w14:textId="17BA17BA" w:rsidR="008D479B" w:rsidRDefault="008D479B" w:rsidP="008D479B">
      <w:pPr>
        <w:pStyle w:val="TextoNormal"/>
      </w:pPr>
      <w:r w:rsidRPr="008D479B">
        <w:rPr>
          <w:rStyle w:val="NumeroAFNegritaCaracter"/>
        </w:rPr>
        <w:t>6</w:t>
      </w:r>
      <w:r>
        <w:t>. Mediante escrito presentado el 10 de octubre de 2023 la representación de doña I.M.D., reiteró las alegaciones efectuadas en el recurso de amparo, así como la solicitud de prueba.</w:t>
      </w:r>
    </w:p>
    <w:p w14:paraId="2AC67EC4" w14:textId="77777777" w:rsidR="008D479B" w:rsidRDefault="008D479B" w:rsidP="008D479B">
      <w:pPr>
        <w:pStyle w:val="TextoNormal"/>
      </w:pPr>
    </w:p>
    <w:p w14:paraId="3721BA99" w14:textId="77777777" w:rsidR="008D479B" w:rsidRDefault="008D479B" w:rsidP="008D479B">
      <w:pPr>
        <w:pStyle w:val="TextoNormal"/>
      </w:pPr>
      <w:r w:rsidRPr="008D479B">
        <w:rPr>
          <w:rStyle w:val="NumeroAFNegritaCaracter"/>
        </w:rPr>
        <w:t>7</w:t>
      </w:r>
      <w:r>
        <w:t>. El fiscal ante el Tribunal Constitucional, presentó su escrito de alegaciones el 3 de noviembre de 2023 en el que interesó la inadmisión de la vulneración del art. 14 CE y la desestimación del recurso por considerar que no se habían producido las vulneraciones de derechos fundamentales alegadas en la demanda de amparo.</w:t>
      </w:r>
    </w:p>
    <w:p w14:paraId="3C3418C0" w14:textId="77777777" w:rsidR="008D479B" w:rsidRDefault="008D479B" w:rsidP="008D479B">
      <w:pPr>
        <w:pStyle w:val="TextoNormal"/>
      </w:pPr>
    </w:p>
    <w:p w14:paraId="1A4541C1" w14:textId="77777777" w:rsidR="008D479B" w:rsidRDefault="008D479B" w:rsidP="008D479B">
      <w:pPr>
        <w:pStyle w:val="TextoNormal"/>
      </w:pPr>
      <w:r>
        <w:t>Considera que la queja relativa a la vulneración del derecho a la igualdad no fue objeto del recurso de apelación y en la propia demanda de amparo no existe una referencia y desarrollo genérico de la misma.</w:t>
      </w:r>
    </w:p>
    <w:p w14:paraId="69D70064" w14:textId="77777777" w:rsidR="008D479B" w:rsidRDefault="008D479B" w:rsidP="008D479B">
      <w:pPr>
        <w:pStyle w:val="TextoNormal"/>
      </w:pPr>
    </w:p>
    <w:p w14:paraId="03096F15" w14:textId="77777777" w:rsidR="008D479B" w:rsidRDefault="008D479B" w:rsidP="008D479B">
      <w:pPr>
        <w:pStyle w:val="TextoNormal"/>
      </w:pPr>
      <w:r>
        <w:t>A continuación, tras realizar una síntesis de los hechos que han dado lugar al proceso constitucional y de los argumentos esenciales contenidos en la demanda de amparo, el fiscal expone la doctrina constitucional sobre la vacunación del covid mediante la cita extensa de la STC 38/2023, de 20 de abril, y la aplica al caso concreto. En tal sentido, descarta la afectación del art. 15 CE en tanto que la resolución únicamente otorga la facultad de decidir sobre la vacunación a uno de los progenitores, a quien le corresponde decidir si se inocula o no la vacuna a las menores, sin que las resoluciones judiciales ordenen la vacunación. Ahora bien, si se considerara que las resoluciones judiciales impugnadas, aun indirectamente, implicaron que las menores fueran vacunadas y, por tanto, incidieron en el derecho reconocido en el art. 15 CE, lo mismo que si se apreciara la necesidad de adelantar la protección del derecho reconocido en el art. 15 CE al momento de la determinación del progenitor al que se habrá de atribuir la facultad de decidir sobre la vacunación de las menores, se habría producido una infracción del derecho a la integridad física de las mismas, al no haberse adoptado cautela alguna para conocer su grado de madurez.</w:t>
      </w:r>
    </w:p>
    <w:p w14:paraId="7494B748" w14:textId="77777777" w:rsidR="008D479B" w:rsidRDefault="008D479B" w:rsidP="008D479B">
      <w:pPr>
        <w:pStyle w:val="TextoNormal"/>
      </w:pPr>
    </w:p>
    <w:p w14:paraId="4C82A78D" w14:textId="77777777" w:rsidR="008D479B" w:rsidRDefault="008D479B" w:rsidP="008D479B">
      <w:pPr>
        <w:pStyle w:val="TextoNormal"/>
      </w:pPr>
      <w:r>
        <w:t>En relación con la vulneración del derecho a la tutela judicial efectiva por falta de motivación (art. 24 CE), el fiscal, con cita nuevamente de la doctrina constitucional, considera que los autos impugnados han dado una fundada respuesta a la cuestión planteada. Han motivado de modo suficiente la decisión, exponiendo las razones por las que las resoluciones adoptadas han atribuido al padre la facultad de decidir sobre la administración de la vacuna a las hijas menores.</w:t>
      </w:r>
    </w:p>
    <w:p w14:paraId="21A0AFF6" w14:textId="77777777" w:rsidR="008D479B" w:rsidRDefault="008D479B" w:rsidP="008D479B">
      <w:pPr>
        <w:pStyle w:val="TextoNormal"/>
      </w:pPr>
    </w:p>
    <w:p w14:paraId="602D4101" w14:textId="0DCA2CE0" w:rsidR="008D479B" w:rsidRDefault="008D479B" w:rsidP="008D479B">
      <w:pPr>
        <w:pStyle w:val="TextoNormal"/>
      </w:pPr>
      <w:r>
        <w:t>Por todo lo expuesto, el fiscal considera que se debe inadmitir el motivo referente a la vulneración del derecho a la igualdad y desestimar la vulneración del derecho a la integridad física y a la tutela judicial efectiva. Subsidiariamente, para el caso de que se adelante la barrera de protección del art. 15 CE, ante la falta de determinación de las condiciones de madurez de las menores, considera que se habría vulnerado el art. 15 CE.</w:t>
      </w:r>
    </w:p>
    <w:p w14:paraId="4427330A" w14:textId="77777777" w:rsidR="008D479B" w:rsidRDefault="008D479B" w:rsidP="008D479B">
      <w:pPr>
        <w:pStyle w:val="TextoNormal"/>
      </w:pPr>
    </w:p>
    <w:p w14:paraId="0FF69F45" w14:textId="0348E6B9" w:rsidR="008D479B" w:rsidRDefault="008D479B" w:rsidP="008D479B">
      <w:pPr>
        <w:pStyle w:val="TextoNormal"/>
      </w:pPr>
      <w:r w:rsidRPr="008D479B">
        <w:rPr>
          <w:rStyle w:val="NumeroAFNegritaCaracter"/>
        </w:rPr>
        <w:t>8</w:t>
      </w:r>
      <w:r>
        <w:t>. Por providencia de 16 de noviembre de 2023 se señaló para deliberación y votación de la presente sentencia el día 20 del mismo mes y año.</w:t>
      </w:r>
    </w:p>
    <w:p w14:paraId="77DD8946" w14:textId="77777777" w:rsidR="008D479B" w:rsidRDefault="008D479B" w:rsidP="008D479B">
      <w:pPr>
        <w:pStyle w:val="TextoNormal"/>
      </w:pPr>
    </w:p>
    <w:p w14:paraId="202DD6DC" w14:textId="77777777" w:rsidR="008D479B" w:rsidRDefault="008D479B" w:rsidP="008D479B">
      <w:pPr>
        <w:pStyle w:val="TextoNormalNegritaCentrado"/>
        <w:keepNext/>
      </w:pPr>
      <w:r>
        <w:t>II. Fundamentos jurídicos</w:t>
      </w:r>
    </w:p>
    <w:p w14:paraId="4EE42E88" w14:textId="22D9FF8F" w:rsidR="008D479B" w:rsidRDefault="008D479B" w:rsidP="008D479B">
      <w:pPr>
        <w:pStyle w:val="TextoNormalNegritaCentrado"/>
        <w:keepNext/>
      </w:pPr>
    </w:p>
    <w:p w14:paraId="2E756CE3" w14:textId="77777777" w:rsidR="008D479B" w:rsidRDefault="008D479B" w:rsidP="008D479B">
      <w:pPr>
        <w:pStyle w:val="TextoNormal"/>
      </w:pPr>
      <w:r w:rsidRPr="008D479B">
        <w:rPr>
          <w:rStyle w:val="NumeroAFNegritaCaracter"/>
        </w:rPr>
        <w:t>1</w:t>
      </w:r>
      <w:r>
        <w:t xml:space="preserve">. </w:t>
      </w:r>
      <w:r w:rsidRPr="008D479B">
        <w:rPr>
          <w:i/>
        </w:rPr>
        <w:t>Objeto del recurso</w:t>
      </w:r>
    </w:p>
    <w:p w14:paraId="2EB9173E" w14:textId="77777777" w:rsidR="008D479B" w:rsidRDefault="008D479B" w:rsidP="008D479B">
      <w:pPr>
        <w:pStyle w:val="TextoNormal"/>
      </w:pPr>
    </w:p>
    <w:p w14:paraId="55400E8E" w14:textId="77777777" w:rsidR="008D479B" w:rsidRDefault="008D479B" w:rsidP="008D479B">
      <w:pPr>
        <w:pStyle w:val="TextoNormal"/>
      </w:pPr>
      <w:r>
        <w:t>El presente recurso de amparo se dirige contra el auto de 22 de abril de 2022 dictado por el Juzgado de Primera Instancia núm. 16 de Barcelona, recaído en el expediente de jurisdicción voluntaria 15-2022, que estimó la solicitud de don J.O.L., atribuyéndole la facultad de decidir sobre la administración de la vacuna frente al covid-19 a sus hijas menores de edad. También se impugna el auto de la Sección Decimoctava de la Audiencia Provincial de Barcelona de 14 de septiembre de 2022, dictado en el rollo de apelación 630-2022, que desestimó el recurso de apelación interpuesto contra aquel.</w:t>
      </w:r>
    </w:p>
    <w:p w14:paraId="32D66499" w14:textId="77777777" w:rsidR="008D479B" w:rsidRDefault="008D479B" w:rsidP="008D479B">
      <w:pPr>
        <w:pStyle w:val="TextoNormal"/>
      </w:pPr>
    </w:p>
    <w:p w14:paraId="2A687B76" w14:textId="220A450C" w:rsidR="008D479B" w:rsidRDefault="008D479B" w:rsidP="008D479B">
      <w:pPr>
        <w:pStyle w:val="TextoNormal"/>
      </w:pPr>
      <w:r>
        <w:t>Dada la naturaleza de los hechos, debe señalarse que, en aplicación de las potestades atribuidas a este tribunal por el art. 86.3 LOTC y el acuerdo del Pleno de 23 de julio de 2015, por el que se regula la exclusión de los datos de identidad personal en la publicación de las resoluciones jurisdiccionales (“Boletín Oficial del Estado” núm. 178, de 27 de julio de 2015), la presente sentencia y demás actuaciones del proceso no incluyen la identificación completa de las menores de edad afectadas ni la de sus parientes inmediatos que aparecen mencionados en las actuaciones, con el fin de proteger la intimidad de aquellas.</w:t>
      </w:r>
    </w:p>
    <w:p w14:paraId="620F7F1C" w14:textId="77777777" w:rsidR="008D479B" w:rsidRDefault="008D479B" w:rsidP="008D479B">
      <w:pPr>
        <w:pStyle w:val="TextoNormal"/>
      </w:pPr>
    </w:p>
    <w:p w14:paraId="37318BA3" w14:textId="77777777" w:rsidR="008D479B" w:rsidRDefault="008D479B" w:rsidP="008D479B">
      <w:pPr>
        <w:pStyle w:val="TextoNormal"/>
      </w:pPr>
      <w:r w:rsidRPr="008D479B">
        <w:rPr>
          <w:rStyle w:val="NumeroAFNegritaCaracter"/>
        </w:rPr>
        <w:t>2</w:t>
      </w:r>
      <w:r>
        <w:t xml:space="preserve">. </w:t>
      </w:r>
      <w:r w:rsidRPr="008D479B">
        <w:rPr>
          <w:i/>
        </w:rPr>
        <w:t>Cuestiones previas y delimitación de los derechos fundamentales concernidos</w:t>
      </w:r>
    </w:p>
    <w:p w14:paraId="1D4468CC" w14:textId="77777777" w:rsidR="008D479B" w:rsidRDefault="008D479B" w:rsidP="008D479B">
      <w:pPr>
        <w:pStyle w:val="TextoNormal"/>
      </w:pPr>
    </w:p>
    <w:p w14:paraId="7B5D47BB" w14:textId="77777777" w:rsidR="008D479B" w:rsidRDefault="008D479B" w:rsidP="008D479B">
      <w:pPr>
        <w:pStyle w:val="TextoNormal"/>
      </w:pPr>
      <w:r>
        <w:t>Con carácter previo al examen de las cuestiones de fondo planteadas en la demanda de amparo, deben hacerse las siguientes precisiones:</w:t>
      </w:r>
    </w:p>
    <w:p w14:paraId="41402C27" w14:textId="77777777" w:rsidR="008D479B" w:rsidRDefault="008D479B" w:rsidP="008D479B">
      <w:pPr>
        <w:pStyle w:val="TextoNormal"/>
      </w:pPr>
    </w:p>
    <w:p w14:paraId="028C6CB9" w14:textId="77777777" w:rsidR="008D479B" w:rsidRDefault="008D479B" w:rsidP="008D479B">
      <w:pPr>
        <w:pStyle w:val="TextoNormal"/>
      </w:pPr>
      <w:r>
        <w:t>a) Al plantear la recurrente el recurso de apelación no invocó la vulneración del art. 14 CE, que sí se alega en el recurso de amparo, por lo que dicho motivo debe ser inadmitido al concurrir la causa de inadmisión prevista en el art. 50.1 a), en relación con el art. 44.1 c), ambos LOTC, esto es, que se haya denunciado formalmente en el proceso, si hubo la oportunidad, la vulneración del derecho fundamental tan pronto como, una vez conocida, hubiera lugar a ello (por todas, STC 201/2000, de 24 de julio, FJ 3).</w:t>
      </w:r>
    </w:p>
    <w:p w14:paraId="36852E26" w14:textId="77777777" w:rsidR="008D479B" w:rsidRDefault="008D479B" w:rsidP="008D479B">
      <w:pPr>
        <w:pStyle w:val="TextoNormal"/>
      </w:pPr>
    </w:p>
    <w:p w14:paraId="28AC4F7D" w14:textId="24816E41" w:rsidR="008D479B" w:rsidRDefault="008D479B" w:rsidP="008D479B">
      <w:pPr>
        <w:pStyle w:val="TextoNormal"/>
      </w:pPr>
      <w:r>
        <w:t>b) Respecto de la vulneración del art. 24.1 CE, hay que entender que la cuestión planteada referida al derecho a la tutela judicial efectiva y a la exigencia de motivación reforzada debe entenderse subsumida en el canon de evaluación de la vulneración del derecho a la integridad personal, en tanto que derecho fundamental sustantivo (STC 38/2023, de 20 de abril, FJ 3).</w:t>
      </w:r>
    </w:p>
    <w:p w14:paraId="12DDD77E" w14:textId="77777777" w:rsidR="008D479B" w:rsidRDefault="008D479B" w:rsidP="008D479B">
      <w:pPr>
        <w:pStyle w:val="TextoNormal"/>
      </w:pPr>
    </w:p>
    <w:p w14:paraId="7988DA44" w14:textId="77777777" w:rsidR="008D479B" w:rsidRDefault="008D479B" w:rsidP="008D479B">
      <w:pPr>
        <w:pStyle w:val="TextoNormal"/>
      </w:pPr>
      <w:r w:rsidRPr="008D479B">
        <w:rPr>
          <w:rStyle w:val="NumeroAFNegritaCaracter"/>
        </w:rPr>
        <w:t>3</w:t>
      </w:r>
      <w:r>
        <w:t xml:space="preserve">. </w:t>
      </w:r>
      <w:r w:rsidRPr="008D479B">
        <w:rPr>
          <w:i/>
        </w:rPr>
        <w:t>Aplicación de la doctrina constitucional expuesta en la STC 148/2023, de 6 de noviembre</w:t>
      </w:r>
    </w:p>
    <w:p w14:paraId="7F88AB5E" w14:textId="77777777" w:rsidR="008D479B" w:rsidRDefault="008D479B" w:rsidP="008D479B">
      <w:pPr>
        <w:pStyle w:val="TextoNormal"/>
      </w:pPr>
    </w:p>
    <w:p w14:paraId="42C519C6" w14:textId="77777777" w:rsidR="008D479B" w:rsidRDefault="008D479B" w:rsidP="008D479B">
      <w:pPr>
        <w:pStyle w:val="TextoNormal"/>
      </w:pPr>
      <w:r>
        <w:t>La cuestión constitucional suscitada en este recurso en relación con el derecho fundamental a la integridad física y moral (art. 15 CE) es la misma que ya ha sido objeto de análisis por el Pleno de este tribunal en la STC 148/2023, de 6 de noviembre, en cuyos fundamentos jurídicos 4 y 5 se expusieron de manera pormenorizada las pautas de ponderación necesarias para determinar si en este tipo de supuestos se ha vulnerado el derecho a la integridad personal, centrando la cuestión en que la administración de la vacuna, a falta de consentimiento libre, válido e informado de la persona afectada, precisa para su constitucionalidad el cumplimiento de los requisitos generales que, de acuerdo con nuestra doctrina, rigen la restricción de los derechos fundamentales sustantivos.</w:t>
      </w:r>
    </w:p>
    <w:p w14:paraId="61BB52CA" w14:textId="77777777" w:rsidR="008D479B" w:rsidRDefault="008D479B" w:rsidP="008D479B">
      <w:pPr>
        <w:pStyle w:val="TextoNormal"/>
      </w:pPr>
    </w:p>
    <w:p w14:paraId="378259FD" w14:textId="77777777" w:rsidR="008D479B" w:rsidRDefault="008D479B" w:rsidP="008D479B">
      <w:pPr>
        <w:pStyle w:val="TextoNormal"/>
      </w:pPr>
      <w:r>
        <w:t>En atención a lo expuesto, en este caso, como también se concluyó en la STC 148/2023, FJ 5, el Tribunal rechaza que se haya vulnerado el art. 15 CE, al constatarse que (i) se cumple el presupuesto básico que el art. 9.3, letra c) de la Ley 41/2002 establece para que pueda acudirse al consentimiento por representación —otorgado por los progenitores de común acuerdo o por la autoridad judicial en caso de desacuerdo— porque los padres contaban con la información adecuada para la prestación del consentimiento desde un momento anterior incluso a la iniciación del procedimiento de jurisdicción voluntaria, por lo que no cabe apreciar la ausencia de consentimiento informado; y (ii) la motivación de la resolución judicial tuvo como fundamento esencial la protección del interés superior del menor en relación con la protección de su salud, teniendo en cuenta la recomendación de las autoridades sanitarias, que se mostraban a favor de la vacunación de menores haciendo una ponderación de riesgos y beneficios de la vacuna.</w:t>
      </w:r>
    </w:p>
    <w:p w14:paraId="3BCD641D" w14:textId="77777777" w:rsidR="008D479B" w:rsidRDefault="008D479B" w:rsidP="008D479B">
      <w:pPr>
        <w:pStyle w:val="TextoNormal"/>
      </w:pPr>
    </w:p>
    <w:p w14:paraId="291A3BF4" w14:textId="31E096E9" w:rsidR="008D479B" w:rsidRDefault="008D479B" w:rsidP="008D479B">
      <w:pPr>
        <w:pStyle w:val="TextoNormal"/>
      </w:pPr>
      <w:r>
        <w:t>La desestimación de la demanda de amparo implica que no resulte procedente resolver sobre la medida cautelar de suspensión solicitada por la recurrente, lo que determina que deba acordarse el archivo de la pieza separada de suspensión.</w:t>
      </w:r>
    </w:p>
    <w:p w14:paraId="70BD0DB9" w14:textId="77777777" w:rsidR="008D479B" w:rsidRDefault="008D479B" w:rsidP="008D479B">
      <w:pPr>
        <w:pStyle w:val="TextoNormal"/>
      </w:pPr>
    </w:p>
    <w:p w14:paraId="6F3A0840" w14:textId="77777777" w:rsidR="008D479B" w:rsidRDefault="008D479B" w:rsidP="008D479B">
      <w:pPr>
        <w:pStyle w:val="TextoNormalCentrado"/>
        <w:keepNext/>
      </w:pPr>
      <w:r>
        <w:t>FALLO</w:t>
      </w:r>
    </w:p>
    <w:p w14:paraId="4AC86189" w14:textId="04529565" w:rsidR="008D479B" w:rsidRDefault="008D479B" w:rsidP="008D479B">
      <w:pPr>
        <w:pStyle w:val="TextoNormalCentrado"/>
        <w:keepNext/>
      </w:pPr>
    </w:p>
    <w:p w14:paraId="07C609DF" w14:textId="56F2A10D" w:rsidR="008D479B" w:rsidRDefault="008D479B" w:rsidP="008D479B">
      <w:pPr>
        <w:pStyle w:val="TextoNormal"/>
      </w:pPr>
      <w:r>
        <w:t>En atención a todo lo expuesto, el Tribunal Constitucional, por la autoridad que le confiere la Constitución de la Nación española, ha decidido desestimar el recurso de amparo interpuesto por doña I.M.D., y archivar el incidente de suspensión por pérdida de objeto.</w:t>
      </w:r>
    </w:p>
    <w:p w14:paraId="2672A7A0" w14:textId="77777777" w:rsidR="008D479B" w:rsidRDefault="008D479B" w:rsidP="008D479B">
      <w:pPr>
        <w:pStyle w:val="TextoNormal"/>
      </w:pPr>
    </w:p>
    <w:p w14:paraId="020D9AE4" w14:textId="77777777" w:rsidR="008D479B" w:rsidRDefault="008D479B" w:rsidP="008D479B">
      <w:pPr>
        <w:pStyle w:val="TextoNormal"/>
      </w:pPr>
      <w:r>
        <w:t>Publíquese esta sentencia en el “Boletín Oficial del Estado”.</w:t>
      </w:r>
    </w:p>
    <w:p w14:paraId="7A4E3638" w14:textId="77777777" w:rsidR="008D479B" w:rsidRDefault="008D479B" w:rsidP="008D479B">
      <w:pPr>
        <w:pStyle w:val="TextoNormal"/>
      </w:pPr>
      <w:r>
        <w:t>Dada en Madrid, a veinte de noviembre de dos mil veintitrés.</w:t>
      </w:r>
    </w:p>
    <w:p w14:paraId="2C19FCA6" w14:textId="7BFE2D7D" w:rsidR="008D479B" w:rsidRDefault="008D479B">
      <w:pPr>
        <w:spacing w:after="160" w:line="278" w:lineRule="auto"/>
        <w:rPr>
          <w:rFonts w:ascii="Times New Roman" w:eastAsia="Times New Roman" w:hAnsi="Times New Roman" w:cs="Times New Roman"/>
          <w:sz w:val="24"/>
          <w:szCs w:val="24"/>
          <w:lang w:eastAsia="es-ES"/>
        </w:rPr>
      </w:pPr>
      <w:r>
        <w:br w:type="page"/>
      </w:r>
    </w:p>
    <w:p w14:paraId="38604F7C" w14:textId="77777777" w:rsidR="008D479B" w:rsidRDefault="008D479B" w:rsidP="008D479B">
      <w:pPr>
        <w:pStyle w:val="TtuloResolucin"/>
      </w:pPr>
      <w:bookmarkStart w:id="85" w:name="SENTENCIA_2023_160"/>
      <w:r>
        <w:t>SENTENCIA 160/2023, de 20 de noviembre de 2023</w:t>
      </w:r>
    </w:p>
    <w:bookmarkEnd w:id="85"/>
    <w:p w14:paraId="4E3260B9" w14:textId="77777777" w:rsidR="008D479B" w:rsidRDefault="008D479B" w:rsidP="008D479B">
      <w:pPr>
        <w:pStyle w:val="TtuloResolucin"/>
      </w:pPr>
      <w:r>
        <w:t>Sala Primera</w:t>
      </w:r>
    </w:p>
    <w:p w14:paraId="3B872808" w14:textId="77777777" w:rsidR="008D479B" w:rsidRDefault="008D479B" w:rsidP="008D479B">
      <w:pPr>
        <w:pStyle w:val="TtuloBOE"/>
      </w:pPr>
      <w:r>
        <w:t>(BOE núm. 304, de 21 de diciembre de 2023)</w:t>
      </w:r>
    </w:p>
    <w:p w14:paraId="3F411272" w14:textId="77777777" w:rsidR="008D479B" w:rsidRDefault="008D479B" w:rsidP="008D479B">
      <w:pPr>
        <w:pStyle w:val="TextoNormalCentrado"/>
      </w:pPr>
      <w:r>
        <w:t>ECLI:ES:TC:2023:160</w:t>
      </w:r>
    </w:p>
    <w:p w14:paraId="63F9E650" w14:textId="05058161" w:rsidR="008D479B" w:rsidRDefault="008D479B" w:rsidP="008D479B">
      <w:pPr>
        <w:pStyle w:val="TextoNormalCentrado"/>
      </w:pPr>
    </w:p>
    <w:p w14:paraId="4B4F2BE0" w14:textId="77777777" w:rsidR="008D479B" w:rsidRDefault="008D479B" w:rsidP="008D479B">
      <w:pPr>
        <w:pStyle w:val="SntesisDescriptiva"/>
      </w:pPr>
      <w:r>
        <w:t>Recurso de amparo 572-2023. Promovido por doña M.M.Q.C., respecto de los autos dictados por la Audiencia Provincial de Albacete y un juzgado de primera instancia de esa capital que acordaron la administración de la vacuna frente a la covid-19.</w:t>
      </w:r>
    </w:p>
    <w:p w14:paraId="2D41534F" w14:textId="3E25CDA6" w:rsidR="008D479B" w:rsidRDefault="008D479B" w:rsidP="008D479B">
      <w:pPr>
        <w:pStyle w:val="SntesisDescriptiva"/>
      </w:pPr>
    </w:p>
    <w:p w14:paraId="06C744E7" w14:textId="77777777" w:rsidR="008D479B" w:rsidRDefault="008D479B" w:rsidP="008D479B">
      <w:pPr>
        <w:pStyle w:val="SntesisAnaltica"/>
      </w:pPr>
      <w:r>
        <w:t>Supuesta vulneración de los derechos a la integridad física, a la tutela judicial efectiva (motivación) y a un proceso con todas las garantías: STC 148/2023 [resoluciones judiciales que realizaron una ponderación adecuada de los intereses de una persona menor de edad (STC 38/2023)].</w:t>
      </w:r>
    </w:p>
    <w:p w14:paraId="65BF581C" w14:textId="4B7947E0" w:rsidR="008D479B" w:rsidRDefault="008D479B" w:rsidP="008D479B">
      <w:pPr>
        <w:pStyle w:val="SntesisAnaltica"/>
      </w:pPr>
    </w:p>
    <w:p w14:paraId="6D4C96EC" w14:textId="6BCA220A" w:rsidR="008D479B" w:rsidRDefault="008D479B" w:rsidP="008D479B">
      <w:pPr>
        <w:pStyle w:val="Extracto"/>
      </w:pPr>
      <w:r>
        <w:t>1.</w:t>
      </w:r>
      <w:r>
        <w:tab/>
        <w:t>La capacidad general de autodeterminación de las personas menores de edad, en relación con las actuaciones médicas que les afectan, encuentra su límite en la protección de su interés superior, que se impone como obligación a los progenitores, en cuanto titulares de la patria potestad o autoridad familiar, y a todos los poderes públicos, incluida la autoridad judicial (STC 148/2023) [FJ 3].</w:t>
      </w:r>
    </w:p>
    <w:p w14:paraId="4CDE0952" w14:textId="77777777" w:rsidR="008D479B" w:rsidRDefault="008D479B" w:rsidP="008D479B">
      <w:pPr>
        <w:pStyle w:val="Extracto"/>
      </w:pPr>
    </w:p>
    <w:p w14:paraId="2B95641F" w14:textId="7FE0239D" w:rsidR="008D479B" w:rsidRDefault="008D479B" w:rsidP="008D479B">
      <w:pPr>
        <w:pStyle w:val="Extracto"/>
      </w:pPr>
      <w:r>
        <w:t>2.</w:t>
      </w:r>
      <w:r>
        <w:tab/>
        <w:t>La decisión de los representantes legales relativa al otorgamiento o no del consentimiento informado por representación deberá atender a la protección del derecho a la vida, supervivencia y desarrollo del menor y la satisfacción de sus necesidades básicas, tanto materiales, físicas y educativas como emocionales y afectivas [art. 2.2, letra a) de la Ley Orgánica 1/1996]; y es preciso buscar el mayor beneficio para la vida o salud del paciente menor de edad, teniendo en cuenta las circunstancias concurrentes y sus necesidades, que deben ser atendidas (STC 148/2023) [FJ 3].</w:t>
      </w:r>
    </w:p>
    <w:p w14:paraId="61401B98" w14:textId="77777777" w:rsidR="008D479B" w:rsidRDefault="008D479B" w:rsidP="008D479B">
      <w:pPr>
        <w:pStyle w:val="Extracto"/>
      </w:pPr>
    </w:p>
    <w:p w14:paraId="1555DF2F" w14:textId="77777777" w:rsidR="008D479B" w:rsidRDefault="008D479B" w:rsidP="008D479B">
      <w:pPr>
        <w:pStyle w:val="Extracto"/>
      </w:pPr>
    </w:p>
    <w:p w14:paraId="6564438B" w14:textId="77777777" w:rsidR="008D479B" w:rsidRDefault="008D479B" w:rsidP="008D479B">
      <w:pPr>
        <w:pStyle w:val="TextoNormal"/>
      </w:pPr>
      <w:r>
        <w:t>La Sala Primera del Tribunal Constitucional, compuesta por el magistrado don Cándido Conde-Pumpido Tourón, presidente, y los magistrados y magistradas don Ricardo Enríquez Sancho, doña Concepción Espejel Jorquera, doña María Luisa Segoviano Astaburuaga y don Juan Carlos Campo Moreno, ha pronunciado</w:t>
      </w:r>
    </w:p>
    <w:p w14:paraId="68BEB6CE" w14:textId="4C4DF2B1" w:rsidR="008D479B" w:rsidRDefault="008D479B" w:rsidP="008D479B">
      <w:pPr>
        <w:pStyle w:val="TextoNormal"/>
      </w:pPr>
    </w:p>
    <w:p w14:paraId="746D782B" w14:textId="77777777" w:rsidR="008D479B" w:rsidRDefault="008D479B" w:rsidP="008D479B">
      <w:pPr>
        <w:pStyle w:val="TextoNormalCentrado"/>
        <w:keepNext/>
      </w:pPr>
      <w:r>
        <w:t>EN NOMBRE DEL REY</w:t>
      </w:r>
    </w:p>
    <w:p w14:paraId="303F499E" w14:textId="06F80892" w:rsidR="008D479B" w:rsidRDefault="008D479B" w:rsidP="008D479B">
      <w:pPr>
        <w:pStyle w:val="TextoNormalCentrado"/>
        <w:keepNext/>
      </w:pPr>
    </w:p>
    <w:p w14:paraId="1340C6DC" w14:textId="77777777" w:rsidR="008D479B" w:rsidRDefault="008D479B" w:rsidP="008D479B">
      <w:pPr>
        <w:pStyle w:val="TextoNormalCentrado"/>
        <w:keepNext/>
      </w:pPr>
    </w:p>
    <w:p w14:paraId="48CD6351" w14:textId="77777777" w:rsidR="008D479B" w:rsidRDefault="008D479B" w:rsidP="008D479B">
      <w:pPr>
        <w:pStyle w:val="TextoNormal"/>
      </w:pPr>
      <w:r>
        <w:t>la siguiente</w:t>
      </w:r>
    </w:p>
    <w:p w14:paraId="7D8FE82D" w14:textId="14CAF2B2" w:rsidR="008D479B" w:rsidRDefault="008D479B" w:rsidP="008D479B">
      <w:pPr>
        <w:pStyle w:val="TextoNormal"/>
      </w:pPr>
    </w:p>
    <w:p w14:paraId="540CB9A8" w14:textId="77777777" w:rsidR="008D479B" w:rsidRDefault="008D479B" w:rsidP="008D479B">
      <w:pPr>
        <w:pStyle w:val="TextoNormalCentrado"/>
        <w:keepNext/>
      </w:pPr>
      <w:r>
        <w:t>SENTENCIA</w:t>
      </w:r>
    </w:p>
    <w:p w14:paraId="125CFE13" w14:textId="148BD8E6" w:rsidR="008D479B" w:rsidRDefault="008D479B" w:rsidP="008D479B">
      <w:pPr>
        <w:pStyle w:val="TextoNormalCentrado"/>
        <w:keepNext/>
      </w:pPr>
    </w:p>
    <w:p w14:paraId="1C5D9E79" w14:textId="77777777" w:rsidR="008D479B" w:rsidRDefault="008D479B" w:rsidP="008D479B">
      <w:pPr>
        <w:pStyle w:val="TextoNormal"/>
      </w:pPr>
      <w:r>
        <w:t>En el recurso de amparo núm. 572-2023, interpuesto por la procuradora de los tribunales doña María Cristina Sosa González, en nombre y representación de doña M.M.Q.C., bajo la dirección técnica de la letrada doña Cristina Armas Suárez, contra el auto núm. 224/2022, de 20 de diciembre, dictado por la Sección Primera de la Audiencia Provincial de Albacete en el rollo de apelación núm. 498-2022, que revocó el auto núm. 133/2022, de 28 de marzo, del Juzgado de Primera Instancia núm. 8 de Albacete, dictado en el procedimiento de jurisdicción voluntaria por desacuerdo en el ejercicio de la patria potestad núm. 820-2021, así como contra la providencia de 26 de enero de 2023 de la referida audiencia provincial que inadmitió a trámite el incidente de nulidad de actuaciones promovido contra su auto. Ha intervenido el Ministerio Fiscal. Ha sido ponente el presidente, don Cándido Conde-Pumpido Tourón.</w:t>
      </w:r>
    </w:p>
    <w:p w14:paraId="4AFBB1AA" w14:textId="5A3773AD" w:rsidR="008D479B" w:rsidRDefault="008D479B" w:rsidP="008D479B">
      <w:pPr>
        <w:pStyle w:val="TextoNormal"/>
      </w:pPr>
    </w:p>
    <w:p w14:paraId="02AD0109" w14:textId="77777777" w:rsidR="008D479B" w:rsidRDefault="008D479B" w:rsidP="008D479B">
      <w:pPr>
        <w:pStyle w:val="TextoNormalNegritaCentrado"/>
        <w:keepNext/>
      </w:pPr>
      <w:r>
        <w:t>I. Antecedentes</w:t>
      </w:r>
    </w:p>
    <w:p w14:paraId="47733E0A" w14:textId="2B1FEBFD" w:rsidR="008D479B" w:rsidRDefault="008D479B" w:rsidP="008D479B">
      <w:pPr>
        <w:pStyle w:val="TextoNormalNegritaCentrado"/>
        <w:keepNext/>
      </w:pPr>
    </w:p>
    <w:p w14:paraId="0D60D1B3" w14:textId="42C1D5BD" w:rsidR="008D479B" w:rsidRDefault="008D479B" w:rsidP="008D479B">
      <w:pPr>
        <w:pStyle w:val="TextoNormal"/>
      </w:pPr>
      <w:r w:rsidRPr="008D479B">
        <w:rPr>
          <w:rStyle w:val="NumeroAFNegritaCaracter"/>
        </w:rPr>
        <w:t>1</w:t>
      </w:r>
      <w:r>
        <w:t>. Mediante escrito que tuvo entrada en el registro general de este tribunal el día 30 de enero de 2023, la procuradora de los tribunales doña María Cristina Sosa González, en nombre y representación de doña M.M.Q.C., interpuso recurso de amparo contra las resoluciones judiciales dictadas por la Sección Primera de la Audiencia Provincial de Albacete que se citan en el encabezamiento.</w:t>
      </w:r>
    </w:p>
    <w:p w14:paraId="0655EA6F" w14:textId="77777777" w:rsidR="008D479B" w:rsidRDefault="008D479B" w:rsidP="008D479B">
      <w:pPr>
        <w:pStyle w:val="TextoNormal"/>
      </w:pPr>
    </w:p>
    <w:p w14:paraId="66AFBFD6" w14:textId="77777777" w:rsidR="008D479B" w:rsidRDefault="008D479B" w:rsidP="008D479B">
      <w:pPr>
        <w:pStyle w:val="TextoNormal"/>
      </w:pPr>
      <w:r w:rsidRPr="008D479B">
        <w:rPr>
          <w:rStyle w:val="NumeroAFNegritaCaracter"/>
        </w:rPr>
        <w:t>2</w:t>
      </w:r>
      <w:r>
        <w:t>. Los hechos de los que trae causa la demanda, relevantes para la resolución del recurso, son, en síntesis, los siguientes:</w:t>
      </w:r>
    </w:p>
    <w:p w14:paraId="0AA64A25" w14:textId="77777777" w:rsidR="008D479B" w:rsidRDefault="008D479B" w:rsidP="008D479B">
      <w:pPr>
        <w:pStyle w:val="TextoNormal"/>
      </w:pPr>
    </w:p>
    <w:p w14:paraId="7417ECCD" w14:textId="77777777" w:rsidR="008D479B" w:rsidRDefault="008D479B" w:rsidP="008D479B">
      <w:pPr>
        <w:pStyle w:val="TextoNormal"/>
      </w:pPr>
      <w:r>
        <w:t>a) Doña M.M.Q.C., solicitó la intervención judicial por desacuerdo de los progenitores en el ejercicio de la patria potestad al amparo del art. 86.1 de la Ley de jurisdicción voluntaria (en adelante, Ley 15/2015) y el art. 156 párrafo tercero del Código civil (CC), ante la voluntad de la propia madre solicitante de no administrar la vacuna contra la covid-19 a los dos hijos comunes de ambos litigantes, de ocho y seis años en el momento de la petición. Se alegó que la vacuna no era beneficiosa para la salud de los menores, que los riesgos para la salud eran mínimos pese a no administrar la vacuna dada la baja incidencia de la covid-19 en menores y la baja mortalidad y el escaso índice de complicaciones en los menores que contraen la covid-19. Se completó este razonamiento con alusiones a la autonomía del paciente y los requisitos legales del consentimiento en relación con la información sobre los medicamentos en vía de experimentación, evaluación y aprobación provisional, que a juicio de la recurrente de amparo resultaban aplicables al caso concreto.</w:t>
      </w:r>
    </w:p>
    <w:p w14:paraId="59EA135A" w14:textId="77777777" w:rsidR="008D479B" w:rsidRDefault="008D479B" w:rsidP="008D479B">
      <w:pPr>
        <w:pStyle w:val="TextoNormal"/>
      </w:pPr>
    </w:p>
    <w:p w14:paraId="2D7544BE" w14:textId="77777777" w:rsidR="008D479B" w:rsidRDefault="008D479B" w:rsidP="008D479B">
      <w:pPr>
        <w:pStyle w:val="TextoNormal"/>
      </w:pPr>
      <w:r>
        <w:t>b) Admitida la solicitud se dio traslado a la parte contraria. El juzgado citó a las partes y al Ministerio Fiscal a la comparecencia. Llegado el día señalado, asistieron todas las partes citadas.</w:t>
      </w:r>
    </w:p>
    <w:p w14:paraId="1A27AF08" w14:textId="77777777" w:rsidR="008D479B" w:rsidRDefault="008D479B" w:rsidP="008D479B">
      <w:pPr>
        <w:pStyle w:val="TextoNormal"/>
      </w:pPr>
    </w:p>
    <w:p w14:paraId="01A71BF5" w14:textId="77777777" w:rsidR="008D479B" w:rsidRDefault="008D479B" w:rsidP="008D479B">
      <w:pPr>
        <w:pStyle w:val="TextoNormal"/>
      </w:pPr>
      <w:r>
        <w:t>c) Don J.R.M.T., formuló oposición a la solicitud presentada por doña M.M.Q.C., e invocó, en esencia, la bondad de la vacuna y las recomendaciones de la Agencia Europea del Medicamento y de la Asociación Española de Pediatría. Incidió en el bajo riesgo que implicaba la administración de la vacuna para los niños y añadió que era mucho más aconsejable administrar la vacuna a los dos menores que ceder a las pretensiones de la madre.</w:t>
      </w:r>
    </w:p>
    <w:p w14:paraId="2076866E" w14:textId="77777777" w:rsidR="008D479B" w:rsidRDefault="008D479B" w:rsidP="008D479B">
      <w:pPr>
        <w:pStyle w:val="TextoNormal"/>
      </w:pPr>
    </w:p>
    <w:p w14:paraId="445F3D62" w14:textId="77777777" w:rsidR="008D479B" w:rsidRDefault="008D479B" w:rsidP="008D479B">
      <w:pPr>
        <w:pStyle w:val="TextoNormal"/>
      </w:pPr>
      <w:r>
        <w:t>d) El Ministerio Fiscal interesó expresamente que el juzgado atribuyese al padre la facultad de decidir sobre la cuestión controvertida.</w:t>
      </w:r>
    </w:p>
    <w:p w14:paraId="0C446ABA" w14:textId="77777777" w:rsidR="008D479B" w:rsidRDefault="008D479B" w:rsidP="008D479B">
      <w:pPr>
        <w:pStyle w:val="TextoNormal"/>
      </w:pPr>
    </w:p>
    <w:p w14:paraId="7479AFAC" w14:textId="77777777" w:rsidR="008D479B" w:rsidRDefault="008D479B" w:rsidP="008D479B">
      <w:pPr>
        <w:pStyle w:val="TextoNormal"/>
      </w:pPr>
      <w:r>
        <w:t>e) Tras celebrarse la comparecencia señalada, con fecha 28 de marzo de 2022 el Juzgado de Primera Instancia núm. 8 de Albacete dictó auto por el que desestimó la oposición y atribuyó a doña M.M.Q.C., la facultad de decidir sobre la inoculación de la vacuna respecto de los hijos menores de ambos. El juzgado realiza un juicio de ponderación de los riesgos y beneficios de la vacuna, atendiendo a la baja incidencia de la covid-19 en los menores de edad que refleja la prueba documental aportada, no desvirtuada por los informes aportados por la recurrente, y los posibles y desconocidos efectos adversos que puede comportar la vacuna a largo plazo. El juzgado concluye que los posibles efectos inherentes a la inoculación de la vacuna son todavía desconocidos ya que se trata de un medicamento nuevo y no hay suficiente experimentación sobre la vacuna, y que su administración no es obligatoria en España. Añade que los casos de covid-19 están disminuyendo considerablemente en nuestro país en el momento de la adopción de la decisión.</w:t>
      </w:r>
    </w:p>
    <w:p w14:paraId="13BD8DEE" w14:textId="77777777" w:rsidR="008D479B" w:rsidRDefault="008D479B" w:rsidP="008D479B">
      <w:pPr>
        <w:pStyle w:val="TextoNormal"/>
      </w:pPr>
    </w:p>
    <w:p w14:paraId="347BF4D1" w14:textId="77777777" w:rsidR="008D479B" w:rsidRDefault="008D479B" w:rsidP="008D479B">
      <w:pPr>
        <w:pStyle w:val="TextoNormal"/>
      </w:pPr>
      <w:r>
        <w:t>f) Don J.R.M.T., interpuso recurso de apelación en el que reiteró su posición en relación con los riesgos y beneficios de la vacuna y añadió que existía peligro para los menores si no se inoculaba la vacuna, dada la trascendencia de la decisión para su salud y su vida por los efectos a medio y largo plazo.</w:t>
      </w:r>
    </w:p>
    <w:p w14:paraId="4AF4DC0F" w14:textId="77777777" w:rsidR="008D479B" w:rsidRDefault="008D479B" w:rsidP="008D479B">
      <w:pPr>
        <w:pStyle w:val="TextoNormal"/>
      </w:pPr>
    </w:p>
    <w:p w14:paraId="6DF377B5" w14:textId="77777777" w:rsidR="008D479B" w:rsidRDefault="008D479B" w:rsidP="008D479B">
      <w:pPr>
        <w:pStyle w:val="TextoNormal"/>
      </w:pPr>
      <w:r>
        <w:t>En el citado recurso se interesó la nulidad de la resolución recurrida por falta de motivación. En idéntico sentido se pronunció el Ministerio Fiscal.</w:t>
      </w:r>
    </w:p>
    <w:p w14:paraId="49D53594" w14:textId="77777777" w:rsidR="008D479B" w:rsidRDefault="008D479B" w:rsidP="008D479B">
      <w:pPr>
        <w:pStyle w:val="TextoNormal"/>
      </w:pPr>
    </w:p>
    <w:p w14:paraId="14B45C64" w14:textId="77777777" w:rsidR="008D479B" w:rsidRDefault="008D479B" w:rsidP="008D479B">
      <w:pPr>
        <w:pStyle w:val="TextoNormal"/>
      </w:pPr>
      <w:r>
        <w:t>g) Doña M.M.Q.C., presentó escrito por el que se opuso al recurso de apelación e interesó la desestimación.</w:t>
      </w:r>
    </w:p>
    <w:p w14:paraId="1D916173" w14:textId="77777777" w:rsidR="008D479B" w:rsidRDefault="008D479B" w:rsidP="008D479B">
      <w:pPr>
        <w:pStyle w:val="TextoNormal"/>
      </w:pPr>
    </w:p>
    <w:p w14:paraId="61A346EF" w14:textId="77777777" w:rsidR="008D479B" w:rsidRDefault="008D479B" w:rsidP="008D479B">
      <w:pPr>
        <w:pStyle w:val="TextoNormal"/>
      </w:pPr>
      <w:r>
        <w:t>h) La Audiencia Provincial de Albacete (Sección Primera) dictó auto el 20 de diciembre de 2022 en el que estimó el recurso de apelación. En la resolución judicial se razona que el objeto de la controversia no es decidir sobre la vacunación, sino atribuir a uno de los progenitores la facultad de decidir. Se añade que los informes periciales obrantes ponen de manifiesto la inexistencia de riesgo para la integridad física de los menores y que no se aprecia riesgo para la integridad física de los niños, todo ello en conexión con el informe de la pediatra que recomienda la vacunación. Se incide en las recomendaciones de la Agencia Europea del Medicamento y de la propia Agencia Española del Medicamento y Productos Sanitarios. En definitiva, la sala de apelación atribuye al padre la facultad de decisión sobre la administración de la vacuna a los hijos menores.</w:t>
      </w:r>
    </w:p>
    <w:p w14:paraId="27487162" w14:textId="77777777" w:rsidR="008D479B" w:rsidRDefault="008D479B" w:rsidP="008D479B">
      <w:pPr>
        <w:pStyle w:val="TextoNormal"/>
      </w:pPr>
    </w:p>
    <w:p w14:paraId="75ED0C9E" w14:textId="77777777" w:rsidR="008D479B" w:rsidRDefault="008D479B" w:rsidP="008D479B">
      <w:pPr>
        <w:pStyle w:val="TextoNormal"/>
      </w:pPr>
      <w:r>
        <w:t>i) Frente al auto de la audiencia provincial promovió la recurrente en amparo incidente excepcional de nulidad de actuaciones, por la vulneración del derecho a la integridad física del art. 15 CE, del derecho a la tutela judicial efectiva del art. 24.1 CE en relación con el derecho a la valoración de la prueba y la motivación, el derecho a un juez imparcial y, por último, del derecho a un procedimiento con todas las garantías del art. 24.2 CE. Se razonó en la petición anulatoria que la audiencia provincial revocó el auto de primer grado con el argumento de que debe acudirse a las recomendaciones objetivas de las autoridades sanitarias, pero el padre no aportó ni una sola prueba documental concluyente al respecto, pese a tratarse de un tratamiento médico invasivo. Se añadió que cualquier actuación que afecte a la integridad personal debía estar constitucionalmente justificada.</w:t>
      </w:r>
    </w:p>
    <w:p w14:paraId="77781B2B" w14:textId="77777777" w:rsidR="008D479B" w:rsidRDefault="008D479B" w:rsidP="008D479B">
      <w:pPr>
        <w:pStyle w:val="TextoNormal"/>
      </w:pPr>
    </w:p>
    <w:p w14:paraId="4B2CB637" w14:textId="5C5BCDDF" w:rsidR="008D479B" w:rsidRDefault="008D479B" w:rsidP="008D479B">
      <w:pPr>
        <w:pStyle w:val="TextoNormal"/>
      </w:pPr>
      <w:r>
        <w:t>j) Mediante providencia de 26 de enero de 2023, la Audiencia Provincial de Albacete acordó inadmitir el incidente de nulidad de actuaciones por no apreciar la sala infracción procesal alguna que haya causado indefensión, y dado que el párrafo tercero del art. 228.1 de la Ley de enjuiciamiento civil (LEC) determina la inadmisión de cualquier incidente en el que se pretenda suscitar otras cuestiones. Se abunda en la resolución judicial en que “lo que justifica el escrito es una mera discrepancia con el contenido de la resolución dictada por este tribunal resolviendo el recurso de apelación interpuesto, resolución que está fundada y da respuesta a las cuestiones de hecho y de derecho suscitadas con el recurso. Se llama la atención, al respecto, sobre la circunstancia de que el incidente de nulidad de actuaciones previsto legalmente no es una tercera instancia que permita revisar lo resuelto en la apelación”.</w:t>
      </w:r>
    </w:p>
    <w:p w14:paraId="18FF4929" w14:textId="77777777" w:rsidR="008D479B" w:rsidRDefault="008D479B" w:rsidP="008D479B">
      <w:pPr>
        <w:pStyle w:val="TextoNormal"/>
      </w:pPr>
    </w:p>
    <w:p w14:paraId="0D22D50F" w14:textId="77777777" w:rsidR="008D479B" w:rsidRDefault="008D479B" w:rsidP="008D479B">
      <w:pPr>
        <w:pStyle w:val="TextoNormal"/>
      </w:pPr>
      <w:r w:rsidRPr="008D479B">
        <w:rPr>
          <w:rStyle w:val="NumeroAFNegritaCaracter"/>
        </w:rPr>
        <w:t>3</w:t>
      </w:r>
      <w:r>
        <w:t>. La recurrente denuncia que se le han vulnerado los siguientes derechos fundamentales:</w:t>
      </w:r>
    </w:p>
    <w:p w14:paraId="1A46FB38" w14:textId="77777777" w:rsidR="008D479B" w:rsidRDefault="008D479B" w:rsidP="008D479B">
      <w:pPr>
        <w:pStyle w:val="TextoNormal"/>
      </w:pPr>
    </w:p>
    <w:p w14:paraId="1F59CC3F" w14:textId="77777777" w:rsidR="008D479B" w:rsidRDefault="008D479B" w:rsidP="008D479B">
      <w:pPr>
        <w:pStyle w:val="TextoNormal"/>
      </w:pPr>
      <w:r>
        <w:t>(i) El derecho a la integridad física y moral (art. 15.1 CE) porque no se recabó el consentimiento informado ni de los menores ni de sus progenitores. Argumenta que el consentimiento informado del paciente es un derecho reconocido en la Ley 41/2022, básica de autonomía del paciente, en la Carta de los derechos fundamentales de la Unión Europea [art. 3, apartado 2 a)], y en el Convenio relativo a los derechos humanos y la biomedicina hecho en Oviedo el 4 de abril de 1997, y que queda asimismo amparado en el art. 8 del Convenio europeo de derechos humanos (CEDH) como aspecto del derecho a la vida privada y familiar, conforme a la jurisprudencia del Tribunal Europeo de Derechos Humanos. Invoca asimismo la doctrina constitucional, que relaciona el consentimiento informado con el derecho de la persona a la integridad física y moral, entendido como derecho a rechazar intervenciones que afecten a su incolumidad corporal.</w:t>
      </w:r>
    </w:p>
    <w:p w14:paraId="5AA34A0C" w14:textId="77777777" w:rsidR="008D479B" w:rsidRDefault="008D479B" w:rsidP="008D479B">
      <w:pPr>
        <w:pStyle w:val="TextoNormal"/>
      </w:pPr>
    </w:p>
    <w:p w14:paraId="1CD6BD49" w14:textId="77777777" w:rsidR="008D479B" w:rsidRDefault="008D479B" w:rsidP="008D479B">
      <w:pPr>
        <w:pStyle w:val="TextoNormal"/>
      </w:pPr>
      <w:r>
        <w:t xml:space="preserve">(ii) Los derechos a la tutela judicial efectiva (art. 24.1 CE) y a un proceso con todas las garantías (art. 24.2 CE), porque el tribunal </w:t>
      </w:r>
      <w:r w:rsidRPr="008D479B">
        <w:rPr>
          <w:i/>
        </w:rPr>
        <w:t>ad quem</w:t>
      </w:r>
      <w:r>
        <w:t xml:space="preserve"> revocó el auto del juzgado con el único argumento de que carece de conocimientos sobre la materia y por tanto, hay que seguir las recomendaciones de las autoridades sanitarias y las sociedades científicas, pues entiende que reflejan la opinión mayoritaria de los científicos, señalando además que no es necesario que el demandado aporte ninguna prueba que justifique su pretensión, ya que a ojos del tribunal </w:t>
      </w:r>
      <w:r w:rsidRPr="008D479B">
        <w:rPr>
          <w:i/>
        </w:rPr>
        <w:t>ad quem</w:t>
      </w:r>
      <w:r>
        <w:t>, es suficiente con que la opinión del padre coincida con la opinión de la mayoría del tribunal.</w:t>
      </w:r>
    </w:p>
    <w:p w14:paraId="2AA23052" w14:textId="77777777" w:rsidR="008D479B" w:rsidRDefault="008D479B" w:rsidP="008D479B">
      <w:pPr>
        <w:pStyle w:val="TextoNormal"/>
      </w:pPr>
    </w:p>
    <w:p w14:paraId="6D27F637" w14:textId="77777777" w:rsidR="008D479B" w:rsidRDefault="008D479B" w:rsidP="008D479B">
      <w:pPr>
        <w:pStyle w:val="TextoNormal"/>
      </w:pPr>
      <w:r>
        <w:t>Por otra parte, de manera entrelazada y conjunta se imputan defectos de motivación relevantes y errores en la valoración de la prueba al auto de la audiencia provincial, no corregidos por la providencia que rechaza la nulidad.</w:t>
      </w:r>
    </w:p>
    <w:p w14:paraId="56627B3D" w14:textId="77777777" w:rsidR="008D479B" w:rsidRDefault="008D479B" w:rsidP="008D479B">
      <w:pPr>
        <w:pStyle w:val="TextoNormal"/>
      </w:pPr>
    </w:p>
    <w:p w14:paraId="74DF6C4D" w14:textId="77777777" w:rsidR="008D479B" w:rsidRDefault="008D479B" w:rsidP="008D479B">
      <w:pPr>
        <w:pStyle w:val="TextoNormal"/>
      </w:pPr>
      <w:r>
        <w:t>Añade que en el auto de la audiencia provincial se han empleado expresiones innecesarias e improcedentes, que no se apoyan en argumentos científicos o jurídicos, sino en las creencias personales de los juzgadores, lo que denota falta de imparcialidad.</w:t>
      </w:r>
    </w:p>
    <w:p w14:paraId="5E7122D2" w14:textId="77777777" w:rsidR="008D479B" w:rsidRDefault="008D479B" w:rsidP="008D479B">
      <w:pPr>
        <w:pStyle w:val="TextoNormal"/>
      </w:pPr>
    </w:p>
    <w:p w14:paraId="4E27CDDF" w14:textId="1D2AB2C9" w:rsidR="008D479B" w:rsidRDefault="008D479B" w:rsidP="008D479B">
      <w:pPr>
        <w:pStyle w:val="TextoNormal"/>
      </w:pPr>
      <w:r>
        <w:t>En el suplico de la demanda solicita la nulidad del auto de la audiencia provincial y que se declare que no había lugar al procedimiento de jurisdicción voluntaria para la inoculación de la vacuna contra la covid-19 sin el consentimiento informado y por escrito de los dos progenitores y los dos menores.</w:t>
      </w:r>
    </w:p>
    <w:p w14:paraId="12E3169C" w14:textId="77777777" w:rsidR="008D479B" w:rsidRDefault="008D479B" w:rsidP="008D479B">
      <w:pPr>
        <w:pStyle w:val="TextoNormal"/>
      </w:pPr>
    </w:p>
    <w:p w14:paraId="274C21C2" w14:textId="77777777" w:rsidR="008D479B" w:rsidRDefault="008D479B" w:rsidP="008D479B">
      <w:pPr>
        <w:pStyle w:val="TextoNormal"/>
      </w:pPr>
      <w:r w:rsidRPr="008D479B">
        <w:rPr>
          <w:rStyle w:val="NumeroAFNegritaCaracter"/>
        </w:rPr>
        <w:t>4</w:t>
      </w:r>
      <w:r>
        <w:t>. La Sección Primera del Tribunal Constitucional, por providencia de 3 de julio de 2023, acordó admitir a trámite el recurso de amparo apreciando que concurre en el mismo una especial trascendencia constitucional [art. 50.1 de la Ley Orgánica del Tribunal Constitucional (LOTC)] porque el recurso plantea un problema o afecta a una faceta de un derecho fundamental sobre el que no hay doctrina de este tribunal [STC 155/2009, de 25 de junio, FJ 2 a)] y, asimismo, porque el asunto suscitado trasciende del caso concreto porque plantea una cuestión jurídica de relevante y general repercusión social o económica [STC 155/2009, FJ 2 g)].</w:t>
      </w:r>
    </w:p>
    <w:p w14:paraId="5E931036" w14:textId="77777777" w:rsidR="008D479B" w:rsidRDefault="008D479B" w:rsidP="008D479B">
      <w:pPr>
        <w:pStyle w:val="TextoNormal"/>
      </w:pPr>
    </w:p>
    <w:p w14:paraId="366B3C17" w14:textId="76B5BFFD" w:rsidR="008D479B" w:rsidRDefault="008D479B" w:rsidP="008D479B">
      <w:pPr>
        <w:pStyle w:val="TextoNormal"/>
      </w:pPr>
      <w:r>
        <w:t>En la misma providencia se acordó, en aplicación de lo dispuesto en el art. 51 LOTC, dirigir atenta comunicación a la Sección Primera de la Audiencia Provincial de Albacete a fin de que, en plazo no superior a diez días, remitiera certificación o fotocopia adverada de las actuaciones correspondientes al recurso de apelación 498-2022, e, igualmente, al Juzgado de Primera Instancia núm. 8 de Albacete a fin de que, en plazo que no excediera de diez días, remitiera certificación o fotocopia adverada de las actuaciones correspondientes al procedimiento de jurisdicción voluntaria núm. 820-2021, debiendo emplazar previamente, para que en el plazo de diez días pudieran comparecer, si lo desearan, en el recurso de amparo, a quienes hubieran sido parte en el procedimiento, excepto la parte recurrente en amparo.</w:t>
      </w:r>
    </w:p>
    <w:p w14:paraId="6E0DCE59" w14:textId="77777777" w:rsidR="008D479B" w:rsidRDefault="008D479B" w:rsidP="008D479B">
      <w:pPr>
        <w:pStyle w:val="TextoNormal"/>
      </w:pPr>
    </w:p>
    <w:p w14:paraId="256997DD" w14:textId="7E88385D" w:rsidR="008D479B" w:rsidRDefault="008D479B" w:rsidP="008D479B">
      <w:pPr>
        <w:pStyle w:val="TextoNormal"/>
      </w:pPr>
      <w:r w:rsidRPr="008D479B">
        <w:rPr>
          <w:rStyle w:val="NumeroAFNegritaCaracter"/>
        </w:rPr>
        <w:t>5</w:t>
      </w:r>
      <w:r>
        <w:t>. Mediante providencia de 3 de julio de 2023, de conformidad con lo prevenido en el art. 56 LOTC, se acordó la formación de pieza separada de suspensión, en la que, recibidas las alegaciones del Ministerio Fiscal, que interesó la denegación de la medida cautelar, la Sala Primera de este tribunal dictó el ATC 431/2023, de 11 de septiembre, que denegó la suspensión cautelar del auto de 28 de marzo de 2022 de la Sección Primera de la Audiencia Provincial de Albacete, por no haberse justificado que del cumplimiento de esta resolución pudieran derivarse perjuicios irreparables que hicieran perder al recurso de amparo su finalidad, y porque cualquier pronunciamiento cautelar que este tribunal pudiera hacer en favor de la suspensión solicitada supondría anticipar la resolución de la cuestión de fondo planteada en el mismo.</w:t>
      </w:r>
    </w:p>
    <w:p w14:paraId="26BE7B47" w14:textId="77777777" w:rsidR="008D479B" w:rsidRDefault="008D479B" w:rsidP="008D479B">
      <w:pPr>
        <w:pStyle w:val="TextoNormal"/>
      </w:pPr>
    </w:p>
    <w:p w14:paraId="3EF84747" w14:textId="6F265A57" w:rsidR="008D479B" w:rsidRDefault="008D479B" w:rsidP="008D479B">
      <w:pPr>
        <w:pStyle w:val="TextoNormal"/>
      </w:pPr>
      <w:r w:rsidRPr="008D479B">
        <w:rPr>
          <w:rStyle w:val="NumeroAFNegritaCaracter"/>
        </w:rPr>
        <w:t>6</w:t>
      </w:r>
      <w:r>
        <w:t>. Por diligencia de ordenación de la Secretaría de Justicia de la Sala Primera de este tribunal de 18 de septiembre de 2023, se tuvieron por recibidos los testimonios de las actuaciones que habían sido remitidos por la Audiencia Provincial de Albacete y por el Juzgado de Primera Instancia núm. 8 de Albacete y, a tenor de lo dispuesto en el art. 52 LOTC, se acordó dar vista de las mismas, por un plazo común de veinte días, al Ministerio Fiscal y a las partes personadas, para que dentro de dicho término pudieran presentar las alegaciones que a su derecho conviniera.</w:t>
      </w:r>
    </w:p>
    <w:p w14:paraId="09D10531" w14:textId="77777777" w:rsidR="008D479B" w:rsidRDefault="008D479B" w:rsidP="008D479B">
      <w:pPr>
        <w:pStyle w:val="TextoNormal"/>
      </w:pPr>
    </w:p>
    <w:p w14:paraId="11816AEA" w14:textId="77777777" w:rsidR="008D479B" w:rsidRDefault="008D479B" w:rsidP="008D479B">
      <w:pPr>
        <w:pStyle w:val="TextoNormal"/>
      </w:pPr>
      <w:r w:rsidRPr="008D479B">
        <w:rPr>
          <w:rStyle w:val="NumeroAFNegritaCaracter"/>
        </w:rPr>
        <w:t>7</w:t>
      </w:r>
      <w:r>
        <w:t xml:space="preserve">. Por escrito registrado el 10 de octubre de 2023, la fiscal ante el Tribunal Constitucional formuló sus alegaciones, en las que solicita la desestimación del recurso de amparo. En concreto, respecto de la vulneración del derecho a la tutela judicial del art. 24.1 CE por falta de motivación (que debe ser analizada en primer lugar al ser un derecho de naturaleza procesal con mayor retroacción), razona la fiscal que debe ponderarse si las resoluciones judiciales respetan el interés superior del menor en atención a la necesidad de un canon constitucional de motivación reforzada, dada la proyección del art. 39 CE. La resolución judicial combatida, que atribuye al padre la facultad de decisión, ha dado una respuesta fundada a la cuestión planteada y ha motivado de forma suficiente las razones conducentes por lo que no se ha vulnerado el derecho a la tutela judicial efectiva sin indefensión del art. 24.1 CE. La fiscal esgrime que la resolución de la audiencia provincial aporta argumentos que conducen a una decisión que se compadece con el interés superior del menor. En particular, el tribunal </w:t>
      </w:r>
      <w:r w:rsidRPr="008D479B">
        <w:rPr>
          <w:i/>
        </w:rPr>
        <w:t>ad quem</w:t>
      </w:r>
      <w:r>
        <w:t xml:space="preserve"> hace referencia a las recomendaciones dadas por las autoridades sanitarias competentes y concluye, con una exposición razonada, que los riesgos que la administración de la vacuna puede tener para los menores son muy inferiores al “riesgo que para su salud representa el poder contraer la enfermedad sin estar inmunizados”, y por otra parte cita resoluciones de otros tribunales con remisión a sus fundamentos. A mayor abundamiento, se recuerda que la sala de apelación se remite a los dictámenes de la Agencia Europea del Medicamento y de la Organización Mundial de la Salud, como fuentes de prestigio. Se añade que la atribución de la facultad de decidir al padre no es una decisión fundada solo en creencias personales, sino que se argumenta en atención a lo ya expuesto. La fiscal rechaza las carencias de motivación imputadas en la demanda de amparo, junto con las quejas sobre la imparcialidad judicial, en esencia, por la pertinencia de la motivación ofrecida en la resolución judicial.</w:t>
      </w:r>
    </w:p>
    <w:p w14:paraId="715BE122" w14:textId="77777777" w:rsidR="008D479B" w:rsidRDefault="008D479B" w:rsidP="008D479B">
      <w:pPr>
        <w:pStyle w:val="TextoNormal"/>
      </w:pPr>
    </w:p>
    <w:p w14:paraId="454BA618" w14:textId="77777777" w:rsidR="008D479B" w:rsidRDefault="008D479B" w:rsidP="008D479B">
      <w:pPr>
        <w:pStyle w:val="TextoNormal"/>
      </w:pPr>
      <w:r>
        <w:t>Por último, respecto de la vulneración del derecho a la integridad física del menor del art. 15 CE, aduce la fiscal que la administración de la vacuna se inserta en la esfera de autodeterminación garantizada por el derecho a la integridad física, al perseguir una respuesta inmunitaria, con cita de la STC 38/2023, de 20 de abril, FJ 4. Dicha actuación, por otra parte, puede producir efectos adversos no deseados, “aunque sean estadísticamente minoritarios”, lo que implica un riesgo potencial para la salud. Incide la fiscal en que el juez, en estos casos, no debe decidir sobre la administración de la vacuna, sino que debe atribuir a uno de los progenitores la facultad de dilucidar ante la discrepancia insalvable existente en estos supuestos. Ello resulta esencial puesto que las resoluciones combatidas no ordenan la vacunación, ni la prohíben ni la autorizan, sino que realizan un análisis, en función de la información que obra en las actuaciones, de lo que puede ser más beneficioso para el menor, y con apoyo en los informes científicos, conceden la facultad de decidir a uno de los progenitores, lo que excluye la vulneración del derecho a la integridad física del menor. El progenitor al que se le ha otorgado la capacidad de decisión sobre la inoculación de la vacuna, con la información de que disponga en un momento posterior, puede libremente desistir de ello.</w:t>
      </w:r>
    </w:p>
    <w:p w14:paraId="7B31F42E" w14:textId="77777777" w:rsidR="008D479B" w:rsidRDefault="008D479B" w:rsidP="008D479B">
      <w:pPr>
        <w:pStyle w:val="TextoNormal"/>
      </w:pPr>
    </w:p>
    <w:p w14:paraId="46B9A0F1" w14:textId="77777777" w:rsidR="008D479B" w:rsidRDefault="008D479B" w:rsidP="008D479B">
      <w:pPr>
        <w:pStyle w:val="TextoNormal"/>
      </w:pPr>
      <w:r>
        <w:t>No obstante, abunda la fiscal, si en este momento ulterior se incumpliera la normativa relativa al consentimiento informado, se podría producir la violación del art. 15 CE.</w:t>
      </w:r>
    </w:p>
    <w:p w14:paraId="33292C1B" w14:textId="77777777" w:rsidR="008D479B" w:rsidRDefault="008D479B" w:rsidP="008D479B">
      <w:pPr>
        <w:pStyle w:val="TextoNormal"/>
      </w:pPr>
    </w:p>
    <w:p w14:paraId="2D30F18F" w14:textId="54984BB0" w:rsidR="008D479B" w:rsidRDefault="008D479B" w:rsidP="008D479B">
      <w:pPr>
        <w:pStyle w:val="TextoNormal"/>
      </w:pPr>
      <w:r>
        <w:t>Si, por el contrario, se considerase que la decisión judicial de manera indirecta conlleva la autorización para la vacunación, tampoco cabría apreciar en este caso la vulneración del art. 15 CE porque no estaría incurso en el supuesto del art. 9.3 c) de la Ley 41/2002, de autonomía del paciente, que otorga la facultad de consentir al representante del menor cuando el mismo no esté en condiciones de decidir.</w:t>
      </w:r>
    </w:p>
    <w:p w14:paraId="19E0C6D5" w14:textId="77777777" w:rsidR="008D479B" w:rsidRDefault="008D479B" w:rsidP="008D479B">
      <w:pPr>
        <w:pStyle w:val="TextoNormal"/>
      </w:pPr>
    </w:p>
    <w:p w14:paraId="17977E33" w14:textId="29D122F3" w:rsidR="008D479B" w:rsidRDefault="008D479B" w:rsidP="008D479B">
      <w:pPr>
        <w:pStyle w:val="TextoNormal"/>
      </w:pPr>
      <w:r w:rsidRPr="008D479B">
        <w:rPr>
          <w:rStyle w:val="NumeroAFNegritaCaracter"/>
        </w:rPr>
        <w:t>8</w:t>
      </w:r>
      <w:r>
        <w:t>. Por providencia de 16 de noviembre de 2023, se señaló para deliberación y votación de la presente sentencia el día 20 del mismo mes y año.</w:t>
      </w:r>
    </w:p>
    <w:p w14:paraId="64122571" w14:textId="77777777" w:rsidR="008D479B" w:rsidRDefault="008D479B" w:rsidP="008D479B">
      <w:pPr>
        <w:pStyle w:val="TextoNormal"/>
      </w:pPr>
    </w:p>
    <w:p w14:paraId="477E508A" w14:textId="77777777" w:rsidR="008D479B" w:rsidRDefault="008D479B" w:rsidP="008D479B">
      <w:pPr>
        <w:pStyle w:val="TextoNormalNegritaCentrado"/>
        <w:keepNext/>
      </w:pPr>
      <w:r>
        <w:t>II. Fundamentos jurídicos</w:t>
      </w:r>
    </w:p>
    <w:p w14:paraId="7537BADD" w14:textId="7608B7C1" w:rsidR="008D479B" w:rsidRDefault="008D479B" w:rsidP="008D479B">
      <w:pPr>
        <w:pStyle w:val="TextoNormalNegritaCentrado"/>
        <w:keepNext/>
      </w:pPr>
    </w:p>
    <w:p w14:paraId="35AEAF31" w14:textId="77777777" w:rsidR="008D479B" w:rsidRDefault="008D479B" w:rsidP="008D479B">
      <w:pPr>
        <w:pStyle w:val="TextoNormal"/>
      </w:pPr>
      <w:r w:rsidRPr="008D479B">
        <w:rPr>
          <w:rStyle w:val="NumeroAFNegritaCaracter"/>
        </w:rPr>
        <w:t>1</w:t>
      </w:r>
      <w:r>
        <w:t xml:space="preserve">. </w:t>
      </w:r>
      <w:r w:rsidRPr="008D479B">
        <w:rPr>
          <w:i/>
        </w:rPr>
        <w:t>Objeto del recurso</w:t>
      </w:r>
    </w:p>
    <w:p w14:paraId="1E861FFA" w14:textId="77777777" w:rsidR="008D479B" w:rsidRDefault="008D479B" w:rsidP="008D479B">
      <w:pPr>
        <w:pStyle w:val="TextoNormal"/>
      </w:pPr>
    </w:p>
    <w:p w14:paraId="0773D9B4" w14:textId="77777777" w:rsidR="008D479B" w:rsidRDefault="008D479B" w:rsidP="008D479B">
      <w:pPr>
        <w:pStyle w:val="TextoNormal"/>
      </w:pPr>
      <w:r>
        <w:t>El presente recurso de amparo se dirige contra el auto dictado por la Sección Primera de la Audiencia Provincial de Albacete el 20 de diciembre de 2022, en el rollo de apelación núm. 498-2022, que atribuye a don J.R.M.T., la facultad de decidir sobre la administración de la vacuna frente a la covid-19 a sus dos hijos menores de edad, y que revoca el auto del Juzgado de Primera Instancia núm. 8 de Albacete de 28 de marzo de 2022 dictado en los autos de jurisdicción voluntaria de intervención judicial sobre desacuerdo en el ejercicio de la patria potestad núm. 820-2021, referido en los antecedentes.</w:t>
      </w:r>
    </w:p>
    <w:p w14:paraId="223ECADC" w14:textId="77777777" w:rsidR="008D479B" w:rsidRDefault="008D479B" w:rsidP="008D479B">
      <w:pPr>
        <w:pStyle w:val="TextoNormal"/>
      </w:pPr>
    </w:p>
    <w:p w14:paraId="61BB0214" w14:textId="77777777" w:rsidR="008D479B" w:rsidRDefault="008D479B" w:rsidP="008D479B">
      <w:pPr>
        <w:pStyle w:val="TextoNormal"/>
      </w:pPr>
      <w:r>
        <w:t>Debe entenderse combatida, en el mismo sentido, la providencia de 26 de enero de 2023 dictada por la Audiencia Provincial de Albacete que rechaza el incidente extraordinario de nulidad de actuaciones.</w:t>
      </w:r>
    </w:p>
    <w:p w14:paraId="16B8A911" w14:textId="77777777" w:rsidR="008D479B" w:rsidRDefault="008D479B" w:rsidP="008D479B">
      <w:pPr>
        <w:pStyle w:val="TextoNormal"/>
      </w:pPr>
    </w:p>
    <w:p w14:paraId="2904CEDC" w14:textId="7A499EF7" w:rsidR="008D479B" w:rsidRDefault="008D479B" w:rsidP="008D479B">
      <w:pPr>
        <w:pStyle w:val="TextoNormal"/>
      </w:pPr>
      <w:r>
        <w:t>Dada la naturaleza de los hechos, debe señalarse que, en aplicación de las potestades atribuidas a este tribunal por el art. 86.3 LOTC y el acuerdo del Pleno de 23 de julio de 2015, por el que se regula la exclusión de los datos de identidad personal en la publicación de las resoluciones jurisdiccionales (“Boletín Oficial del Estado” núm. 178, de 27 de julio de 2015), la presente sentencia y demás actuaciones del proceso no incluyen la identificación completa de la persona menor de edad afectada ni la de sus parientes inmediatos que aparecen mencionados en las actuaciones, con el fin de proteger la intimidad de aquella.</w:t>
      </w:r>
    </w:p>
    <w:p w14:paraId="26F35693" w14:textId="77777777" w:rsidR="008D479B" w:rsidRDefault="008D479B" w:rsidP="008D479B">
      <w:pPr>
        <w:pStyle w:val="TextoNormal"/>
      </w:pPr>
    </w:p>
    <w:p w14:paraId="342661B1" w14:textId="77777777" w:rsidR="008D479B" w:rsidRDefault="008D479B" w:rsidP="008D479B">
      <w:pPr>
        <w:pStyle w:val="TextoNormal"/>
      </w:pPr>
      <w:r w:rsidRPr="008D479B">
        <w:rPr>
          <w:rStyle w:val="NumeroAFNegritaCaracter"/>
        </w:rPr>
        <w:t>2</w:t>
      </w:r>
      <w:r>
        <w:t xml:space="preserve">. </w:t>
      </w:r>
      <w:r w:rsidRPr="008D479B">
        <w:rPr>
          <w:i/>
        </w:rPr>
        <w:t>Cuestiones previas y delimitación de los derechos fundamentales concernidos</w:t>
      </w:r>
    </w:p>
    <w:p w14:paraId="76BE46FD" w14:textId="77777777" w:rsidR="008D479B" w:rsidRDefault="008D479B" w:rsidP="008D479B">
      <w:pPr>
        <w:pStyle w:val="TextoNormal"/>
      </w:pPr>
    </w:p>
    <w:p w14:paraId="7A64E205" w14:textId="77777777" w:rsidR="008D479B" w:rsidRDefault="008D479B" w:rsidP="008D479B">
      <w:pPr>
        <w:pStyle w:val="TextoNormal"/>
      </w:pPr>
      <w:r>
        <w:t>Con carácter previo al examen de las cuestiones de fondo planteadas en la demanda de amparo, deben hacerse las siguientes precisiones:</w:t>
      </w:r>
    </w:p>
    <w:p w14:paraId="2B5C8669" w14:textId="77777777" w:rsidR="008D479B" w:rsidRDefault="008D479B" w:rsidP="008D479B">
      <w:pPr>
        <w:pStyle w:val="TextoNormal"/>
      </w:pPr>
    </w:p>
    <w:p w14:paraId="6DD18F0F" w14:textId="77777777" w:rsidR="008D479B" w:rsidRDefault="008D479B" w:rsidP="008D479B">
      <w:pPr>
        <w:pStyle w:val="TextoNormal"/>
      </w:pPr>
      <w:r>
        <w:t>En el recurso de amparo se alega la vulneración del derecho a la tutela judicial efectiva (art. 24.1 CE) porque las resoluciones judiciales no se ajustan al derecho positivo al conculcar los principios sobre valoración de la prueba, motivación y derecho de defensa, y residenciar su decisión en la recomendación de las autoridades sanitarias sin valorar correcta y adecuadamente los informes científicos aportados por el recurrente.</w:t>
      </w:r>
    </w:p>
    <w:p w14:paraId="51B07EA9" w14:textId="77777777" w:rsidR="008D479B" w:rsidRDefault="008D479B" w:rsidP="008D479B">
      <w:pPr>
        <w:pStyle w:val="TextoNormal"/>
      </w:pPr>
    </w:p>
    <w:p w14:paraId="61309C4D" w14:textId="77777777" w:rsidR="008D479B" w:rsidRDefault="008D479B" w:rsidP="008D479B">
      <w:pPr>
        <w:pStyle w:val="TextoNormal"/>
      </w:pPr>
      <w:r>
        <w:t>Se invoca también la vulneración del derecho a un procedimiento con todas las garantías (art. 24.2 CE) y del derecho a la integridad física y moral (art. 15 CE) por falta de consentimiento informado. Todas estas vulneraciones se imputan a la decisión judicial que atribuye la facultad de decidir al progenitor favorable a la vacunación.</w:t>
      </w:r>
    </w:p>
    <w:p w14:paraId="2AA2B29F" w14:textId="77777777" w:rsidR="008D479B" w:rsidRDefault="008D479B" w:rsidP="008D479B">
      <w:pPr>
        <w:pStyle w:val="TextoNormal"/>
      </w:pPr>
    </w:p>
    <w:p w14:paraId="0797F783" w14:textId="13D78F03" w:rsidR="008D479B" w:rsidRDefault="008D479B" w:rsidP="008D479B">
      <w:pPr>
        <w:pStyle w:val="TextoNormal"/>
      </w:pPr>
      <w:r>
        <w:t>En realidad, estas cuestiones están directamente vinculadas con la posible lesión del derecho fundamental a la integridad personal, reconocido en el art. 15 CE de modo que las distintas quejas planteadas bajo la cobertura del art. 24.1 y 2 CE, pueden recibir una respuesta conjunta en el fundamento jurídico siguiente, puesto que deben calificarse como instrumentales en el presente caso.</w:t>
      </w:r>
    </w:p>
    <w:p w14:paraId="500E76EE" w14:textId="77777777" w:rsidR="008D479B" w:rsidRDefault="008D479B" w:rsidP="008D479B">
      <w:pPr>
        <w:pStyle w:val="TextoNormal"/>
      </w:pPr>
    </w:p>
    <w:p w14:paraId="3AABD58E" w14:textId="77777777" w:rsidR="008D479B" w:rsidRDefault="008D479B" w:rsidP="008D479B">
      <w:pPr>
        <w:pStyle w:val="TextoNormal"/>
      </w:pPr>
      <w:r w:rsidRPr="008D479B">
        <w:rPr>
          <w:rStyle w:val="NumeroAFNegritaCaracter"/>
        </w:rPr>
        <w:t>3</w:t>
      </w:r>
      <w:r>
        <w:t xml:space="preserve">. </w:t>
      </w:r>
      <w:r w:rsidRPr="008D479B">
        <w:rPr>
          <w:i/>
        </w:rPr>
        <w:t>Aplicación de la doctrina constitucional expuesta en la STC 148/2023, de 6 de noviembre</w:t>
      </w:r>
    </w:p>
    <w:p w14:paraId="60B99414" w14:textId="77777777" w:rsidR="008D479B" w:rsidRDefault="008D479B" w:rsidP="008D479B">
      <w:pPr>
        <w:pStyle w:val="TextoNormal"/>
      </w:pPr>
    </w:p>
    <w:p w14:paraId="2809E4A6" w14:textId="77777777" w:rsidR="008D479B" w:rsidRDefault="008D479B" w:rsidP="008D479B">
      <w:pPr>
        <w:pStyle w:val="TextoNormal"/>
      </w:pPr>
      <w:r>
        <w:t>La cuestión constitucional suscitada en este recurso en relación con el derecho fundamental a la integridad física y moral (art. 15 CE) es la misma que ya ha sido objeto de análisis por el Pleno de este tribunal en la STC 148/2023, de 6 de noviembre, en cuyos fundamentos jurídicos 4 y 5 se expusieron de manera pormenorizada las pautas de ponderación necesarias para determinar si en este tipo de supuestos se ha vulnerado el derecho a la integridad personal, centrando la cuestión en que la administración de la vacuna, a falta de consentimiento libre, válido e informado de la persona afectada, precisa para su constitucionalidad el cumplimiento de los requisitos generales que, de acuerdo con nuestra doctrina, rigen la restricción de los derechos fundamentales sustantivos.</w:t>
      </w:r>
    </w:p>
    <w:p w14:paraId="64FD525A" w14:textId="77777777" w:rsidR="008D479B" w:rsidRDefault="008D479B" w:rsidP="008D479B">
      <w:pPr>
        <w:pStyle w:val="TextoNormal"/>
      </w:pPr>
    </w:p>
    <w:p w14:paraId="405EC5F1" w14:textId="21A0F20C" w:rsidR="008D479B" w:rsidRDefault="008D479B" w:rsidP="008D479B">
      <w:pPr>
        <w:pStyle w:val="TextoNormal"/>
      </w:pPr>
      <w:r>
        <w:t>En atención a lo expuesto, en este caso, como también se concluyó en la STC 148/2023, FJ 5, el Tribunal rechaza que se haya vulnerado el art. 15 CE al constatarse que (i) se cumple el presupuesto básico que el art. 9.3, letra c) de la Ley 41/2002 establece para que pueda acudirse al consentimiento por representación —otorgado por los progenitores de común acuerdo o por la autoridad judicial en caso de desacuerdo— porque los menores, dada su edad, carecían de la capacidad emocional e intelectual necesarias para comprender el alcance la intervención y los padres contaban con la información adecuada para la prestación del consentimiento desde un momento anterior incluso a la iniciación del procedimiento de jurisdicción voluntaria, por lo que no cabe apreciar la ausencia de consentimiento informado; y (ii) la motivación de las resoluciones judiciales tuvo como fundamento esencial la protección del interés superior de los menores en relación con la protección de su salud, teniendo en cuenta la recomendación de las autoridades sanitarias, que se mostraban a favor de la vacunación de menores haciendo una ponderación de riesgos y beneficios de la vacuna, que el órgano judicial no estima desvirtuada por los informes obrantes en los autos.</w:t>
      </w:r>
    </w:p>
    <w:p w14:paraId="5F082044" w14:textId="77777777" w:rsidR="008D479B" w:rsidRDefault="008D479B" w:rsidP="008D479B">
      <w:pPr>
        <w:pStyle w:val="TextoNormal"/>
      </w:pPr>
    </w:p>
    <w:p w14:paraId="619F8F3A" w14:textId="77777777" w:rsidR="008D479B" w:rsidRDefault="008D479B" w:rsidP="008D479B">
      <w:pPr>
        <w:pStyle w:val="TextoNormalCentrado"/>
        <w:keepNext/>
      </w:pPr>
      <w:r>
        <w:t>FALLO</w:t>
      </w:r>
    </w:p>
    <w:p w14:paraId="5C42398D" w14:textId="73A6D0A7" w:rsidR="008D479B" w:rsidRDefault="008D479B" w:rsidP="008D479B">
      <w:pPr>
        <w:pStyle w:val="TextoNormalCentrado"/>
        <w:keepNext/>
      </w:pPr>
    </w:p>
    <w:p w14:paraId="1BE8B453" w14:textId="495A945E" w:rsidR="008D479B" w:rsidRDefault="008D479B" w:rsidP="008D479B">
      <w:pPr>
        <w:pStyle w:val="TextoNormal"/>
      </w:pPr>
      <w:r>
        <w:t>En atención a todo lo expuesto, el Tribunal Constitucional, por la autoridad que le confiere la Constitución de la Nación española, ha decidido desestimar el recurso de amparo interpuesto por doña M.M.Q.C.</w:t>
      </w:r>
    </w:p>
    <w:p w14:paraId="54EC38B2" w14:textId="77777777" w:rsidR="008D479B" w:rsidRDefault="008D479B" w:rsidP="008D479B">
      <w:pPr>
        <w:pStyle w:val="TextoNormal"/>
      </w:pPr>
    </w:p>
    <w:p w14:paraId="6249B139" w14:textId="77777777" w:rsidR="008D479B" w:rsidRDefault="008D479B" w:rsidP="008D479B">
      <w:pPr>
        <w:pStyle w:val="TextoNormal"/>
      </w:pPr>
      <w:r>
        <w:t>Publíquese esta sentencia en el “Boletín Oficial del Estado”.</w:t>
      </w:r>
    </w:p>
    <w:p w14:paraId="4613824F" w14:textId="77777777" w:rsidR="008D479B" w:rsidRDefault="008D479B" w:rsidP="008D479B">
      <w:pPr>
        <w:pStyle w:val="TextoNormal"/>
      </w:pPr>
      <w:r>
        <w:t>Dada en Madrid, a veinte de noviembre de dos mil veintitrés.</w:t>
      </w:r>
    </w:p>
    <w:p w14:paraId="0833D9EB" w14:textId="483BD0A1" w:rsidR="008D479B" w:rsidRDefault="008D479B">
      <w:pPr>
        <w:spacing w:after="160" w:line="278" w:lineRule="auto"/>
        <w:rPr>
          <w:rFonts w:ascii="Times New Roman" w:eastAsia="Times New Roman" w:hAnsi="Times New Roman" w:cs="Times New Roman"/>
          <w:sz w:val="24"/>
          <w:szCs w:val="24"/>
          <w:lang w:eastAsia="es-ES"/>
        </w:rPr>
      </w:pPr>
      <w:r>
        <w:br w:type="page"/>
      </w:r>
    </w:p>
    <w:p w14:paraId="1BDAB043" w14:textId="77777777" w:rsidR="008D479B" w:rsidRDefault="008D479B" w:rsidP="008D479B">
      <w:pPr>
        <w:pStyle w:val="TtuloResolucin"/>
      </w:pPr>
      <w:bookmarkStart w:id="86" w:name="SENTENCIA_2023_161"/>
      <w:r>
        <w:t>SENTENCIA 161/2023, de 20 de noviembre de 2023</w:t>
      </w:r>
    </w:p>
    <w:bookmarkEnd w:id="86"/>
    <w:p w14:paraId="1242300F" w14:textId="77777777" w:rsidR="008D479B" w:rsidRDefault="008D479B" w:rsidP="008D479B">
      <w:pPr>
        <w:pStyle w:val="TtuloResolucin"/>
      </w:pPr>
      <w:r>
        <w:t>Sala Segunda</w:t>
      </w:r>
    </w:p>
    <w:p w14:paraId="46BF1727" w14:textId="77777777" w:rsidR="008D479B" w:rsidRDefault="008D479B" w:rsidP="008D479B">
      <w:pPr>
        <w:pStyle w:val="TtuloBOE"/>
      </w:pPr>
      <w:r>
        <w:t>(BOE núm. 304, de 21 de diciembre de 2023)</w:t>
      </w:r>
    </w:p>
    <w:p w14:paraId="25BCBAEE" w14:textId="77777777" w:rsidR="008D479B" w:rsidRDefault="008D479B" w:rsidP="008D479B">
      <w:pPr>
        <w:pStyle w:val="TextoNormalCentrado"/>
      </w:pPr>
      <w:r>
        <w:t>ECLI:ES:TC:2023:161</w:t>
      </w:r>
    </w:p>
    <w:p w14:paraId="7E67CCFE" w14:textId="6F3029B3" w:rsidR="008D479B" w:rsidRDefault="008D479B" w:rsidP="008D479B">
      <w:pPr>
        <w:pStyle w:val="TextoNormalCentrado"/>
      </w:pPr>
    </w:p>
    <w:p w14:paraId="02E93E8E" w14:textId="77777777" w:rsidR="008D479B" w:rsidRDefault="008D479B" w:rsidP="008D479B">
      <w:pPr>
        <w:pStyle w:val="SntesisDescriptiva"/>
      </w:pPr>
      <w:r>
        <w:t>Recurso de amparo 844-2023. Promovido por doña V.L.M., respecto de los autos dictados por la Audiencia Provincial de Sevilla y un juzgado de primera instancia de Utrera que acordaron la administración de la vacuna frente a la covid-19.</w:t>
      </w:r>
    </w:p>
    <w:p w14:paraId="7C510D59" w14:textId="4C7A17A0" w:rsidR="008D479B" w:rsidRDefault="008D479B" w:rsidP="008D479B">
      <w:pPr>
        <w:pStyle w:val="SntesisDescriptiva"/>
      </w:pPr>
    </w:p>
    <w:p w14:paraId="06AE06F6" w14:textId="77777777" w:rsidR="008D479B" w:rsidRDefault="008D479B" w:rsidP="008D479B">
      <w:pPr>
        <w:pStyle w:val="SntesisAnaltica"/>
      </w:pPr>
      <w:r>
        <w:t>Alegada vulneración de los derechos a la integridad física, a la tutela judicial efectiva, en relación con el derecho a un juez imparcial, a la igualdad y a la intimidad: inadmisión de la demanda de amparo prematuramente formulada pues no había finalizado el procedimiento de jurisdicción voluntaria.</w:t>
      </w:r>
    </w:p>
    <w:p w14:paraId="3B1A7C66" w14:textId="1A749CBF" w:rsidR="008D479B" w:rsidRDefault="008D479B" w:rsidP="008D479B">
      <w:pPr>
        <w:pStyle w:val="SntesisAnaltica"/>
      </w:pPr>
    </w:p>
    <w:p w14:paraId="586B5639" w14:textId="761E8886" w:rsidR="008D479B" w:rsidRDefault="008D479B" w:rsidP="008D479B">
      <w:pPr>
        <w:pStyle w:val="Extracto"/>
      </w:pPr>
      <w:r>
        <w:t>1.</w:t>
      </w:r>
      <w:r>
        <w:tab/>
        <w:t>Los recursos de amparo incurren en causa de inadmisión por falta de agotamiento de la vía judicial previa [art. 44.1 a) LOTC], si el procedimiento de jurisdicción voluntaria en el que se ha dictado la resolución impugnada no había finalizado en el momento de la interposición del recurso de amparo -que es el que se ha de tomar como punto de referencia-, lo que supone un defecto procesal insubsanable (SSTC 249/2006 o 242/2007) [FJ 2].</w:t>
      </w:r>
    </w:p>
    <w:p w14:paraId="1FED7774" w14:textId="77777777" w:rsidR="008D479B" w:rsidRDefault="008D479B" w:rsidP="008D479B">
      <w:pPr>
        <w:pStyle w:val="Extracto"/>
      </w:pPr>
    </w:p>
    <w:p w14:paraId="1A774CCD" w14:textId="77777777" w:rsidR="008D479B" w:rsidRDefault="008D479B" w:rsidP="008D479B">
      <w:pPr>
        <w:pStyle w:val="Extracto"/>
      </w:pPr>
    </w:p>
    <w:p w14:paraId="1848BBA1" w14:textId="77777777" w:rsidR="008D479B" w:rsidRDefault="008D479B" w:rsidP="008D479B">
      <w:pPr>
        <w:pStyle w:val="TextoNormal"/>
      </w:pPr>
      <w: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14:paraId="7DA22449" w14:textId="3687F181" w:rsidR="008D479B" w:rsidRDefault="008D479B" w:rsidP="008D479B">
      <w:pPr>
        <w:pStyle w:val="TextoNormal"/>
      </w:pPr>
    </w:p>
    <w:p w14:paraId="1CDEDCAC" w14:textId="77777777" w:rsidR="008D479B" w:rsidRDefault="008D479B" w:rsidP="008D479B">
      <w:pPr>
        <w:pStyle w:val="TextoNormalCentrado"/>
        <w:keepNext/>
      </w:pPr>
      <w:r>
        <w:t>EN NOMBRE DEL REY</w:t>
      </w:r>
    </w:p>
    <w:p w14:paraId="611A2148" w14:textId="427BA7BD" w:rsidR="008D479B" w:rsidRDefault="008D479B" w:rsidP="008D479B">
      <w:pPr>
        <w:pStyle w:val="TextoNormalCentrado"/>
        <w:keepNext/>
      </w:pPr>
    </w:p>
    <w:p w14:paraId="075FCAD5" w14:textId="77777777" w:rsidR="008D479B" w:rsidRDefault="008D479B" w:rsidP="008D479B">
      <w:pPr>
        <w:pStyle w:val="TextoNormalCentrado"/>
        <w:keepNext/>
      </w:pPr>
    </w:p>
    <w:p w14:paraId="00A38540" w14:textId="77777777" w:rsidR="008D479B" w:rsidRDefault="008D479B" w:rsidP="008D479B">
      <w:pPr>
        <w:pStyle w:val="TextoNormal"/>
      </w:pPr>
      <w:r>
        <w:t>la siguiente</w:t>
      </w:r>
    </w:p>
    <w:p w14:paraId="2EC5E9DE" w14:textId="79A9C2CF" w:rsidR="008D479B" w:rsidRDefault="008D479B" w:rsidP="008D479B">
      <w:pPr>
        <w:pStyle w:val="TextoNormal"/>
      </w:pPr>
    </w:p>
    <w:p w14:paraId="11EF4455" w14:textId="77777777" w:rsidR="008D479B" w:rsidRDefault="008D479B" w:rsidP="008D479B">
      <w:pPr>
        <w:pStyle w:val="TextoNormalCentrado"/>
        <w:keepNext/>
      </w:pPr>
      <w:r>
        <w:t>SENTENCIA</w:t>
      </w:r>
    </w:p>
    <w:p w14:paraId="4078EDF5" w14:textId="7A4DB395" w:rsidR="008D479B" w:rsidRDefault="008D479B" w:rsidP="008D479B">
      <w:pPr>
        <w:pStyle w:val="TextoNormalCentrado"/>
        <w:keepNext/>
      </w:pPr>
    </w:p>
    <w:p w14:paraId="7EC85905" w14:textId="77777777" w:rsidR="008D479B" w:rsidRDefault="008D479B" w:rsidP="008D479B">
      <w:pPr>
        <w:pStyle w:val="TextoNormal"/>
      </w:pPr>
      <w:r>
        <w:t>En el recurso de amparo núm. 844-2023, interpuesto por el procurador de los tribunales don Arturo Molina Santiago, en nombre y representación de doña V.L.M., bajo la dirección técnica del letrado don Francisco José Parejo Alcaide, contra el auto de 5 de julio de 2022 dictado por el Juzgado de Primera Instancia núm. 4 de Utrera en el procedimiento de intervención judicial por desacuerdo en el ejercicio de la patria potestad 233-2022 y contra el auto de 7 de diciembre de 2022 dictado por la Sección Segunda de la Audiencia Provincial de Sevilla, en el rollo de apelación núm. 8308-2022, confirmatorio del anterior. Ha intervenido el Ministerio Fiscal. Ha sido ponente el magistrado don César Tolosa Tribiño.</w:t>
      </w:r>
    </w:p>
    <w:p w14:paraId="2CBACBD0" w14:textId="737586FC" w:rsidR="008D479B" w:rsidRDefault="008D479B" w:rsidP="008D479B">
      <w:pPr>
        <w:pStyle w:val="TextoNormal"/>
      </w:pPr>
    </w:p>
    <w:p w14:paraId="28D98B4D" w14:textId="77777777" w:rsidR="008D479B" w:rsidRDefault="008D479B" w:rsidP="008D479B">
      <w:pPr>
        <w:pStyle w:val="TextoNormalNegritaCentrado"/>
        <w:keepNext/>
      </w:pPr>
      <w:r>
        <w:t>I. Antecedentes</w:t>
      </w:r>
    </w:p>
    <w:p w14:paraId="45FA86C6" w14:textId="37112C34" w:rsidR="008D479B" w:rsidRDefault="008D479B" w:rsidP="008D479B">
      <w:pPr>
        <w:pStyle w:val="TextoNormalNegritaCentrado"/>
        <w:keepNext/>
      </w:pPr>
    </w:p>
    <w:p w14:paraId="1EDB28FC" w14:textId="5C30D21D" w:rsidR="008D479B" w:rsidRDefault="008D479B" w:rsidP="008D479B">
      <w:pPr>
        <w:pStyle w:val="TextoNormal"/>
      </w:pPr>
      <w:r w:rsidRPr="008D479B">
        <w:rPr>
          <w:rStyle w:val="NumeroAFNegritaCaracter"/>
        </w:rPr>
        <w:t>1</w:t>
      </w:r>
      <w:r>
        <w:t>. Doña V.L.M., representada por el procurador de los tribunales don Arturo Molina Santiago, ha interpuesto recurso de amparo contra las resoluciones indicadas en el encabezamiento de esta sentencia mediante escrito presentado en el registro de este tribunal con fecha 10 de febrero de 2023.</w:t>
      </w:r>
    </w:p>
    <w:p w14:paraId="1A029697" w14:textId="77777777" w:rsidR="008D479B" w:rsidRDefault="008D479B" w:rsidP="008D479B">
      <w:pPr>
        <w:pStyle w:val="TextoNormal"/>
      </w:pPr>
    </w:p>
    <w:p w14:paraId="36AF999F" w14:textId="77777777" w:rsidR="008D479B" w:rsidRDefault="008D479B" w:rsidP="008D479B">
      <w:pPr>
        <w:pStyle w:val="TextoNormal"/>
      </w:pPr>
      <w:r w:rsidRPr="008D479B">
        <w:rPr>
          <w:rStyle w:val="NumeroAFNegritaCaracter"/>
        </w:rPr>
        <w:t>2</w:t>
      </w:r>
      <w:r>
        <w:t>. Los hechos de los que trae causa la demanda de amparo son, en síntesis, los siguientes:</w:t>
      </w:r>
    </w:p>
    <w:p w14:paraId="2412BE75" w14:textId="77777777" w:rsidR="008D479B" w:rsidRDefault="008D479B" w:rsidP="008D479B">
      <w:pPr>
        <w:pStyle w:val="TextoNormal"/>
      </w:pPr>
    </w:p>
    <w:p w14:paraId="7716D490" w14:textId="77777777" w:rsidR="008D479B" w:rsidRDefault="008D479B" w:rsidP="008D479B">
      <w:pPr>
        <w:pStyle w:val="TextoNormal"/>
      </w:pPr>
      <w:r>
        <w:t>a) Don R.C.B., promovió expediente de jurisdicción voluntaria al amparo de los arts. 85 y 86 de la Ley de jurisdicción voluntaria (en adelante, Ley 15/2015) y los arts. 154 y 156 del Código civil (CC), solicitando la intervención judicial por desacuerdo de los progenitores en el ejercicio de la patria potestad respecto de la hija menor común, por la negativa de la madre, doña V.L.M., a que le fuera administrada la segunda dosis de la vacuna contra la covid-19 y la vacuna contra el virus del papiloma humano (VPH), considerando el actor que debería primar el interés superior de la menor sobre las creencias de los padres y teniendo en cuenta la recomendación de las autoridades sanitarias. Solicitaba que le fuera atribuida la facultad de decidir en relación con esta cuestión.</w:t>
      </w:r>
    </w:p>
    <w:p w14:paraId="1E9A82FA" w14:textId="77777777" w:rsidR="008D479B" w:rsidRDefault="008D479B" w:rsidP="008D479B">
      <w:pPr>
        <w:pStyle w:val="TextoNormal"/>
      </w:pPr>
    </w:p>
    <w:p w14:paraId="18C40364" w14:textId="77777777" w:rsidR="008D479B" w:rsidRDefault="008D479B" w:rsidP="008D479B">
      <w:pPr>
        <w:pStyle w:val="TextoNormal"/>
      </w:pPr>
      <w:r>
        <w:t>b) Mediante decreto de 18 de marzo de 2022, se admitió la solicitud presentada y se convocó a las partes, al Ministerio Fiscal y a la menor a una comparecencia el día 16 de junio de 2022. Solicitada la suspensión de la vista por la representación procesal de doña V.L.M., mediante diligencia de ordenación de 14 de junio de 2022 se accedió a lo solicitado y se señaló el 5 de julio de 2022 para su celebración.</w:t>
      </w:r>
    </w:p>
    <w:p w14:paraId="78DB15C4" w14:textId="77777777" w:rsidR="008D479B" w:rsidRDefault="008D479B" w:rsidP="008D479B">
      <w:pPr>
        <w:pStyle w:val="TextoNormal"/>
      </w:pPr>
    </w:p>
    <w:p w14:paraId="608DD515" w14:textId="77777777" w:rsidR="008D479B" w:rsidRDefault="008D479B" w:rsidP="008D479B">
      <w:pPr>
        <w:pStyle w:val="TextoNormal"/>
      </w:pPr>
      <w:r>
        <w:t>c) Doña V.L.M., presentó un extenso escrito de oposición a la solicitud formulada por don R.C.B., en el que basa su posición en la falta de seguridad y eficacia de las vacunas, considerando que suponen un supuesto de delito de manipulación genética, siendo también nociva la vacuna contra el VPH, negando que la menor pueda prestar su consentimiento y atribuyéndole un síndrome de alienación parental. Considera que la vacuna contra la covid-19 comporta una serie de peligros que detalla extensamente con apoyo en algunos informes, y que no ofrece garantías de inmunidad, no estando aprobada, sino solo autorizada por una situación de emergencia, y que está aún en fase experimental, así como que la sociedad está padeciendo un programa de coerción psicológica. Alega asimismo la existencia de prejudicialidad penal, y cita dos resoluciones judiciales favorables a la no vacunación cuando uno de los progenitores se opone a ella. Atribuye también riesgos a la vacuna contra el VPH (mutagénesis insercional y enfermedades autoinmunes).</w:t>
      </w:r>
    </w:p>
    <w:p w14:paraId="40125104" w14:textId="77777777" w:rsidR="008D479B" w:rsidRDefault="008D479B" w:rsidP="008D479B">
      <w:pPr>
        <w:pStyle w:val="TextoNormal"/>
      </w:pPr>
    </w:p>
    <w:p w14:paraId="68502F7C" w14:textId="77777777" w:rsidR="008D479B" w:rsidRDefault="008D479B" w:rsidP="008D479B">
      <w:pPr>
        <w:pStyle w:val="TextoNormal"/>
      </w:pPr>
      <w:r>
        <w:t>d) El Juzgado de Primera Instancia e Instrucción núm. 4 de Utrera dictó auto el 5 de julio de 2022. Señala que las vacunas comportan riesgos y beneficios para la salud, y en el caso de la menor, al sufrir hepatitis autoinmune, existen también criterios médicos opuestos sobre el efecto que la vacuna pueda tener en dicha enfermedad. La menor, de doce años, ha manifestado en la exploración que entendía que la vacuna era beneficiosa para su salud, aunque esta manifestación debe tomarse con cautela porque no cuenta con todos los conocimientos necesarios para forjarse una opinión completa, y su opinión puede estar influenciada por personas cercanas. Sintetiza la postura de cada uno de los progenitores y atribuye la facultad de decidir al padre.</w:t>
      </w:r>
    </w:p>
    <w:p w14:paraId="4B92A7C1" w14:textId="77777777" w:rsidR="008D479B" w:rsidRDefault="008D479B" w:rsidP="008D479B">
      <w:pPr>
        <w:pStyle w:val="TextoNormal"/>
      </w:pPr>
    </w:p>
    <w:p w14:paraId="3C47FA65" w14:textId="77777777" w:rsidR="008D479B" w:rsidRDefault="008D479B" w:rsidP="008D479B">
      <w:pPr>
        <w:pStyle w:val="TextoNormal"/>
      </w:pPr>
      <w:r>
        <w:t>e) Doña V.L.M., presentó recurso de apelación en el que denunciaba la vulneración del art. 209 de la Ley de enjuiciamiento civil (LEC), considerando que el auto carecía de fundamento y se había realizado una valoración de la prueba arbitraria e ilógica porque mientras la parte contraria solo ha presentado una recomendación del pediatra, y no una prescripción médica, esta parte ha aportado prueba científica cualitativa y cuantitativamente superior, que vuelve a exponer respecto de las dos vacunas (contra la covid-19 y el VPH), indicando en un momento posterior la aparición de nuevas publicaciones científicas sobre los efectos adversos de la vacuna. El auto, añadía, ha obviado las alegaciones contenidas en el escrito presentado por esta parte en la primera instancia oponiéndose a la petición de la parte contraria, sin tener en cuenta la jurisprudencia menor ni dar respuesta a la prejudicialidad penal alegada en relación con el delito de manipulación genética. Denunció también la vulneración del art. 24.2 CE en relación con el derecho a un juez imparcial y que no se había dado respuesta a todas las cuestiones planteadas, así como la falta de jurisdicción por considerar que se trata de una cuestión personalísima que no se puede someter al juez civil.</w:t>
      </w:r>
    </w:p>
    <w:p w14:paraId="1A5E825B" w14:textId="77777777" w:rsidR="008D479B" w:rsidRDefault="008D479B" w:rsidP="008D479B">
      <w:pPr>
        <w:pStyle w:val="TextoNormal"/>
      </w:pPr>
    </w:p>
    <w:p w14:paraId="2515A00C" w14:textId="77777777" w:rsidR="008D479B" w:rsidRDefault="008D479B" w:rsidP="008D479B">
      <w:pPr>
        <w:pStyle w:val="TextoNormal"/>
      </w:pPr>
      <w:r>
        <w:t>f) Don R.C.B., formuló oposición al recurso de apelación, considerando, en síntesis, que la madre de la menor no atiende al interés superior de su hija, sino que mantiene una postura ideológica, y que el auto recurrido no vulnera ningún precepto legal, habiéndose practicado y valorado las pruebas solicitadas por las partes excepto aquellas innecesarias, sin causar indefensión. Y sostiene que las pruebas aportadas por esta parte son contundentes, a diferencia de las aportadas por la parte contraria, a lo que se suma la voluntad manifestada de la menor a favor de la vacunación.</w:t>
      </w:r>
    </w:p>
    <w:p w14:paraId="0F8D3691" w14:textId="77777777" w:rsidR="008D479B" w:rsidRDefault="008D479B" w:rsidP="008D479B">
      <w:pPr>
        <w:pStyle w:val="TextoNormal"/>
      </w:pPr>
    </w:p>
    <w:p w14:paraId="550A75CD" w14:textId="77777777" w:rsidR="008D479B" w:rsidRDefault="008D479B" w:rsidP="008D479B">
      <w:pPr>
        <w:pStyle w:val="TextoNormal"/>
      </w:pPr>
      <w:r>
        <w:t>g) El fiscal emitió informe en el que mostró su conformidad con los fundamentos y razonamientos de la resolución recurrida e interesó su confirmación.</w:t>
      </w:r>
    </w:p>
    <w:p w14:paraId="3E06C981" w14:textId="77777777" w:rsidR="008D479B" w:rsidRDefault="008D479B" w:rsidP="008D479B">
      <w:pPr>
        <w:pStyle w:val="TextoNormal"/>
      </w:pPr>
    </w:p>
    <w:p w14:paraId="5B5144B2" w14:textId="77777777" w:rsidR="008D479B" w:rsidRDefault="008D479B" w:rsidP="008D479B">
      <w:pPr>
        <w:pStyle w:val="TextoNormal"/>
      </w:pPr>
      <w:r>
        <w:t>h) La Sección Segunda de la Audiencia Provincial de Sevilla dictó auto el 7 de diciembre de 2022 por el que desestimó el recurso. Considera la audiencia provincial que el auto recurrido está suficientemente motivado, superando los estándares mínimos exigidos por la jurisprudencia constitucional, y el hecho de que se haya preferido una prueba sobre la otra no implica falta de motivación, sino aplicación de las reglas de juicio al asunto enjuiciado. Respecto de la alegada prejudicialidad penal por la existencia de diligencias penales por delito de manipulación genética, es una cuestión que no guarda relación con el objeto de este procedimiento, que se desenvuelve en el seno de una discrepancia familiar a resolver mediante jurisdicción voluntaria, donde no se impone la vacunación, sino que se otorga a un progenitor la facultad de decidir. Concluye ratificando el criterio de primera instancia, en el que, atendiendo a la recomendación de las autoridades sanitarias, considera que lo más beneficioso para la menor es la administración de la vacuna, y resuelve la discrepancia a favor del padre. Por último, señala la prioridad de buscar el mayor bienestar y salud de la menor en base a criterios médicos objetivados y socialmente aceptables, a lo que se añade que la menor fue oída y mostró su preferencia por ser vacunada, al considerarlo lo más beneficioso para su salud, mientras que la negativa de la recurrente se basa en sus propios criterios personales.</w:t>
      </w:r>
    </w:p>
    <w:p w14:paraId="47DA7093" w14:textId="77777777" w:rsidR="008D479B" w:rsidRDefault="008D479B" w:rsidP="008D479B">
      <w:pPr>
        <w:pStyle w:val="TextoNormal"/>
      </w:pPr>
    </w:p>
    <w:p w14:paraId="09C14C92" w14:textId="77777777" w:rsidR="008D479B" w:rsidRDefault="008D479B" w:rsidP="008D479B">
      <w:pPr>
        <w:pStyle w:val="TextoNormal"/>
      </w:pPr>
      <w:r>
        <w:t>i) Doña V.L.M., presentó un escrito promoviendo incidente excepcional de nulidad de actuaciones por vulneración de los arts. 12, 15, 16, 20.1 d) y 24.2 CE, alegando asimismo violencia e intimidación en los magistrados que redactaron el auto de 7 de diciembre de 2022, insistiendo, en síntesis, en el valor de la prueba pericial aportada, la falta de información veraz sobre la vacuna, coerción psicológica a la sociedad en favor de la vacunación, la existencia de querella criminal por delito de manipulación genética, así como la vulneración del derecho a un juez imparcial por preferirse la recomendación del Estado sobre la vacunación frente a la prueba pericial científica aportada. Solicitaba en su escrito que se declare la vulneración de los derechos fundamentales reconocidos en el art. 53.2 CE con retroacción de actuaciones al momento anterior a la deliberación y fallo, y que se dicte nueva resolución en la que se estime íntegramente el recurso de apelación; alternativamente, que se declare que los magistrados han sufrido violencia o intimidación y coerción social, con retroacción de las actuaciones al momento anterior al dictado del auto de 7 de diciembre de 2022, y que se dicte otro que desestime la petición del actor; y subsidiariamente, se declare la vulneración de los derechos fundamentales citados por existir causa criminal contra el programa de vacunación covid-19 de la Junta de Andalucía.</w:t>
      </w:r>
    </w:p>
    <w:p w14:paraId="29CE3208" w14:textId="77777777" w:rsidR="008D479B" w:rsidRDefault="008D479B" w:rsidP="008D479B">
      <w:pPr>
        <w:pStyle w:val="TextoNormal"/>
      </w:pPr>
    </w:p>
    <w:p w14:paraId="784BC916" w14:textId="72D1D249" w:rsidR="008D479B" w:rsidRDefault="008D479B" w:rsidP="008D479B">
      <w:pPr>
        <w:pStyle w:val="TextoNormal"/>
      </w:pPr>
      <w:r>
        <w:t>j) La Sección Segunda de la Audiencia Provincial de Sevilla dictó auto el 28 de marzo de 2023 por el que se desestimó acceder a lo solicitado. Se rechaza que el órgano judicial se haya visto sometido a violencia o intimidación, por lo que no cabría aplicar el art. 226 LEC; no se aprecia vulneración de los derechos fundamentales ni error en la aplicación del derecho, lo que tampoco supondría necesariamente la vulneración del art. 24 CE, sino que el incidente planteado únicamente pretendería reproducir el debate ya resuelto definitivamente, planteando una suerte de recurso de reposición pese a que la vía ya se encontraba cerrada, desvirtuando la naturaleza del incidente de nulidad de actuaciones y excediendo del ámbito propio del mismo.</w:t>
      </w:r>
    </w:p>
    <w:p w14:paraId="3D50FC3C" w14:textId="77777777" w:rsidR="008D479B" w:rsidRDefault="008D479B" w:rsidP="008D479B">
      <w:pPr>
        <w:pStyle w:val="TextoNormal"/>
      </w:pPr>
    </w:p>
    <w:p w14:paraId="5674CD02" w14:textId="77777777" w:rsidR="008D479B" w:rsidRDefault="008D479B" w:rsidP="008D479B">
      <w:pPr>
        <w:pStyle w:val="TextoNormal"/>
      </w:pPr>
      <w:r w:rsidRPr="008D479B">
        <w:rPr>
          <w:rStyle w:val="NumeroAFNegritaCaracter"/>
        </w:rPr>
        <w:t>3</w:t>
      </w:r>
      <w:r>
        <w:t>. La recurrente denuncia que se le han vulnerado los siguientes derechos fundamentales:</w:t>
      </w:r>
    </w:p>
    <w:p w14:paraId="7489B91A" w14:textId="77777777" w:rsidR="008D479B" w:rsidRDefault="008D479B" w:rsidP="008D479B">
      <w:pPr>
        <w:pStyle w:val="TextoNormal"/>
      </w:pPr>
    </w:p>
    <w:p w14:paraId="4DF67E6A" w14:textId="77777777" w:rsidR="008D479B" w:rsidRDefault="008D479B" w:rsidP="008D479B">
      <w:pPr>
        <w:pStyle w:val="TextoNormal"/>
      </w:pPr>
      <w:r>
        <w:t>(i) Los derechos reconocidos en los arts. 10, 13, 14 y 15 CE por considerar que el programa de vacunación de la Junta de Andalucía constituye la comisión de un delito de manipulación genética que produce efectos adversos.</w:t>
      </w:r>
    </w:p>
    <w:p w14:paraId="6CDBD82C" w14:textId="77777777" w:rsidR="008D479B" w:rsidRDefault="008D479B" w:rsidP="008D479B">
      <w:pPr>
        <w:pStyle w:val="TextoNormal"/>
      </w:pPr>
    </w:p>
    <w:p w14:paraId="2FAF5846" w14:textId="77777777" w:rsidR="008D479B" w:rsidRDefault="008D479B" w:rsidP="008D479B">
      <w:pPr>
        <w:pStyle w:val="TextoNormal"/>
      </w:pPr>
      <w:r>
        <w:t>(ii) El derecho a comunicar o recibir libremente información veraz por cualquier medio de difusión (art. 20.1 CE), al considerar que existe coerción social o violencia psíquica en la sociedad para someterse a la vacunación contra la covid-19.</w:t>
      </w:r>
    </w:p>
    <w:p w14:paraId="74766EE0" w14:textId="77777777" w:rsidR="008D479B" w:rsidRDefault="008D479B" w:rsidP="008D479B">
      <w:pPr>
        <w:pStyle w:val="TextoNormal"/>
      </w:pPr>
    </w:p>
    <w:p w14:paraId="5D573FE5" w14:textId="77777777" w:rsidR="008D479B" w:rsidRDefault="008D479B" w:rsidP="008D479B">
      <w:pPr>
        <w:pStyle w:val="TextoNormal"/>
      </w:pPr>
      <w:r>
        <w:t>(iii) El derecho a la tutela judicial efectiva (art. 24.1 CE) en relación con el derecho a un juez imparcial, al considerar que los magistrados pueden haber sufrido algún tipo de violencia o coerción psíquica o presión de las instituciones para resolver en relación con las cuestiones que se les planteen sobre la vacuna contra la covid-19; y en relación con el derecho a un proceso público con todas las garantías y a utilizar los medios de prueba pertinentes para la defensa porque se ha considerado preferente la recomendación de vacunación realizada por el Estado frente a la prueba pericial científica aportada, que vincula además con la vulneración del derecho a la integridad física y moral (art. 15 CE).</w:t>
      </w:r>
    </w:p>
    <w:p w14:paraId="3378ADD5" w14:textId="77777777" w:rsidR="008D479B" w:rsidRDefault="008D479B" w:rsidP="008D479B">
      <w:pPr>
        <w:pStyle w:val="TextoNormal"/>
      </w:pPr>
    </w:p>
    <w:p w14:paraId="08FC400B" w14:textId="77777777" w:rsidR="008D479B" w:rsidRDefault="008D479B" w:rsidP="008D479B">
      <w:pPr>
        <w:pStyle w:val="TextoNormal"/>
      </w:pPr>
      <w:r>
        <w:t>Además, alega, aunque no desarrolla, la vulneración del art. 12 CE en relación con la minoría de edad, el derecho reconocido en el art. 16.3 CE, y el derecho al honor y a la intimidad (art. 18 CE), y denuncia la falta de jurisdicción del orden civil para pronunciarse sobre la decisión de inocular una vacuna contra la covid-19 a menores de edad, la tratarse de una cuestión administrativa personalísima.</w:t>
      </w:r>
    </w:p>
    <w:p w14:paraId="1A4C8375" w14:textId="77777777" w:rsidR="008D479B" w:rsidRDefault="008D479B" w:rsidP="008D479B">
      <w:pPr>
        <w:pStyle w:val="TextoNormal"/>
      </w:pPr>
    </w:p>
    <w:p w14:paraId="1F7B5A1A" w14:textId="045BED82" w:rsidR="008D479B" w:rsidRDefault="008D479B" w:rsidP="008D479B">
      <w:pPr>
        <w:pStyle w:val="TextoNormal"/>
      </w:pPr>
      <w:r>
        <w:t>Por medio de otrosí, solicita la suspensión cautelar de la ejecución de la resolución.</w:t>
      </w:r>
    </w:p>
    <w:p w14:paraId="5A53F03E" w14:textId="77777777" w:rsidR="008D479B" w:rsidRDefault="008D479B" w:rsidP="008D479B">
      <w:pPr>
        <w:pStyle w:val="TextoNormal"/>
      </w:pPr>
    </w:p>
    <w:p w14:paraId="148700B7" w14:textId="77777777" w:rsidR="008D479B" w:rsidRDefault="008D479B" w:rsidP="008D479B">
      <w:pPr>
        <w:pStyle w:val="TextoNormal"/>
      </w:pPr>
      <w:r w:rsidRPr="008D479B">
        <w:rPr>
          <w:rStyle w:val="NumeroAFNegritaCaracter"/>
        </w:rPr>
        <w:t>4</w:t>
      </w:r>
      <w:r>
        <w:t>. Mediante providencia de 3 de julio de 2023, la Sección Tercera del Tribunal Constitucional acordó admitir a trámite el recurso de amparo apreciando que concurre en el mismo una especial trascendencia constitucional [art. 50.1 de la Ley Orgánica del Tribunal Constitucional (LOTC)] porque el recurso plantea un problema o afecta a una faceta de un derecho fundamental sobre el que no hay doctrina de este tribunal [STC 155/2009, de 25 de junio, FJ 2 a)] y, asimismo, porque el asunto suscitado trasciende del caso concreto porque plantea una cuestión jurídica de relevante y general repercusión social o económica [STC 155/2009, FJ 2 g)].</w:t>
      </w:r>
    </w:p>
    <w:p w14:paraId="369A28F6" w14:textId="77777777" w:rsidR="008D479B" w:rsidRDefault="008D479B" w:rsidP="008D479B">
      <w:pPr>
        <w:pStyle w:val="TextoNormal"/>
      </w:pPr>
    </w:p>
    <w:p w14:paraId="30785B3E" w14:textId="0811F3DC" w:rsidR="008D479B" w:rsidRDefault="008D479B" w:rsidP="008D479B">
      <w:pPr>
        <w:pStyle w:val="TextoNormal"/>
      </w:pPr>
      <w:r>
        <w:t>En la misma providencia se acordó, en aplicación de lo dispuesto en el art. 51 LOTC, dirigir atenta comunicación a la Sección Segunda de la Audiencia Provincial de Sevilla para que, en plazo que no excediera de diez días, remitiera certificación o fotocopia adverada de las actuaciones correspondientes al rollo de apelación núm. 8308-2022, e, igualmente, al Juzgado de Primera Instancia núm. 4 de Utrera para que, en el mismo plazo, remitiera certificación o fotocopia adverada de las actuaciones correspondientes al expediente de jurisdicción voluntaria núm. 233-2022, debiendo previamente emplazarse, para que en el plazo de diez días pudieran comparecer, si lo desearan, en el recurso de amparo a quienes hubieran sido parte en el procedimiento, excepto la parte recurrente en amparo.</w:t>
      </w:r>
    </w:p>
    <w:p w14:paraId="26C796E4" w14:textId="77777777" w:rsidR="008D479B" w:rsidRDefault="008D479B" w:rsidP="008D479B">
      <w:pPr>
        <w:pStyle w:val="TextoNormal"/>
      </w:pPr>
    </w:p>
    <w:p w14:paraId="295D2D4A" w14:textId="769F4273" w:rsidR="008D479B" w:rsidRDefault="008D479B" w:rsidP="008D479B">
      <w:pPr>
        <w:pStyle w:val="TextoNormal"/>
      </w:pPr>
      <w:r w:rsidRPr="008D479B">
        <w:rPr>
          <w:rStyle w:val="NumeroAFNegritaCaracter"/>
        </w:rPr>
        <w:t>5</w:t>
      </w:r>
      <w:r>
        <w:t>. Mediante providencia de 3 de julio de 2023 se acordó, a solicitud de la parte actora, la formación de pieza separada de suspensión, iniciándose su tramitación conforme al art. 56 LOTC.</w:t>
      </w:r>
    </w:p>
    <w:p w14:paraId="67ABE4CE" w14:textId="77777777" w:rsidR="008D479B" w:rsidRDefault="008D479B" w:rsidP="008D479B">
      <w:pPr>
        <w:pStyle w:val="TextoNormal"/>
      </w:pPr>
    </w:p>
    <w:p w14:paraId="65FDBCD4" w14:textId="4A2893B3" w:rsidR="008D479B" w:rsidRDefault="008D479B" w:rsidP="008D479B">
      <w:pPr>
        <w:pStyle w:val="TextoNormal"/>
      </w:pPr>
      <w:r w:rsidRPr="008D479B">
        <w:rPr>
          <w:rStyle w:val="NumeroAFNegritaCaracter"/>
        </w:rPr>
        <w:t>6</w:t>
      </w:r>
      <w:r>
        <w:t>. Mediante diligencia de ordenación de la Sala Segunda del Tribunal Constitucional de 3 de octubre de 2023 se acordó tener por personada en el procedimiento a la procuradora doña Reyes Martínez Rodríguez en nombre y representación de don R.C.B., y dar vista de las actuaciones recibidas a las partes personadas y al Ministerio Fiscal por plazo común de veinte días para que presentaran las alegaciones que estimasen pertinentes.</w:t>
      </w:r>
    </w:p>
    <w:p w14:paraId="369EE78A" w14:textId="77777777" w:rsidR="008D479B" w:rsidRDefault="008D479B" w:rsidP="008D479B">
      <w:pPr>
        <w:pStyle w:val="TextoNormal"/>
      </w:pPr>
    </w:p>
    <w:p w14:paraId="79B34EEA" w14:textId="3DC5BBEB" w:rsidR="008D479B" w:rsidRDefault="008D479B" w:rsidP="008D479B">
      <w:pPr>
        <w:pStyle w:val="TextoNormal"/>
      </w:pPr>
      <w:r w:rsidRPr="008D479B">
        <w:rPr>
          <w:rStyle w:val="NumeroAFNegritaCaracter"/>
        </w:rPr>
        <w:t>7</w:t>
      </w:r>
      <w:r>
        <w:t>. La recurrente presentó escrito de alegaciones en el que reitera en buena medida los razonamientos de su recurso y solicita que, en aras de la imparcialidad, se forme una sección de magistrados que no hayan sido vacunados; niega la validez del consentimiento de la menor por no haber alcanzado aún los doce años; insiste en la existencia de un delito de manipulación genética y la falta de jurisdicción civil, y en la vulneración de los derechos fundamentales señalados en el recurso de amparo.</w:t>
      </w:r>
    </w:p>
    <w:p w14:paraId="2042D391" w14:textId="77777777" w:rsidR="008D479B" w:rsidRDefault="008D479B" w:rsidP="008D479B">
      <w:pPr>
        <w:pStyle w:val="TextoNormal"/>
      </w:pPr>
    </w:p>
    <w:p w14:paraId="361A0778" w14:textId="77777777" w:rsidR="008D479B" w:rsidRDefault="008D479B" w:rsidP="008D479B">
      <w:pPr>
        <w:pStyle w:val="TextoNormal"/>
      </w:pPr>
      <w:r w:rsidRPr="008D479B">
        <w:rPr>
          <w:rStyle w:val="NumeroAFNegritaCaracter"/>
        </w:rPr>
        <w:t>8</w:t>
      </w:r>
      <w:r>
        <w:t>. El fiscal ante el Tribunal Constitucional presentó escrito en el que aprecia, en primer lugar, falta de agotamiento de la vía judicial porque al tiempo de presentarse el recurso de amparo estaba aún pendiente de resolución el incidente de nulidad planteado por la demandante de amparo, incumpliendo el requisito del art. 44.1 a) LOTC, siendo un defecto insubsanable.</w:t>
      </w:r>
    </w:p>
    <w:p w14:paraId="721C446B" w14:textId="77777777" w:rsidR="008D479B" w:rsidRDefault="008D479B" w:rsidP="008D479B">
      <w:pPr>
        <w:pStyle w:val="TextoNormal"/>
      </w:pPr>
    </w:p>
    <w:p w14:paraId="2589AF9E" w14:textId="77777777" w:rsidR="008D479B" w:rsidRDefault="008D479B" w:rsidP="008D479B">
      <w:pPr>
        <w:pStyle w:val="TextoNormal"/>
      </w:pPr>
      <w:r>
        <w:t>Considera, por otra parte, que a pesar de ser muchos los derechos fundamentales que se señalan como vulnerados en el recurso de amparo, debe entenderse que la vulneración denunciada es la del derecho a la integridad personal (art. 15 CE), no existiendo alegaciones específicas respecto de los arts. 10, 12, 14 y 18 CE, ni del art. 16.3 CE, pues respecto de este, más que una vulneración, se hace una crítica a la fundamentación de las resoluciones recurridas. Y respecto del art. 20.1 d) CE, las afirmaciones realizadas tampoco pueden entenderse como una vulneración del derecho fundamental por parte de las resoluciones judiciales. Otro tanto es lo que aprecia respecto de la vulneración del art. 24.2 CE en relación con el derecho a un proceso con todas las garantías y el derecho a utilizar los medios de prueba pertinentes para la defensa.</w:t>
      </w:r>
    </w:p>
    <w:p w14:paraId="12483821" w14:textId="77777777" w:rsidR="008D479B" w:rsidRDefault="008D479B" w:rsidP="008D479B">
      <w:pPr>
        <w:pStyle w:val="TextoNormal"/>
      </w:pPr>
    </w:p>
    <w:p w14:paraId="38996886" w14:textId="77777777" w:rsidR="008D479B" w:rsidRDefault="008D479B" w:rsidP="008D479B">
      <w:pPr>
        <w:pStyle w:val="TextoNormal"/>
      </w:pPr>
      <w:r>
        <w:t>En cuanto a las alegaciones referidas a la vulneración del derecho a un juez imparcial, señala el fiscal que la recurrente no planteó la recusación en el momento procesal oportuno, sino que esperó a que se dictara sentencia y, siendo desfavorable, denunció parcialidad del juez, por lo que concurriría causa de inadmisión del art. 44.1 c) LOTC por no haber denunciado formalmente en el proceso la vulneración del derecho constitucional tan pronto como fue conocida. En todo caso, no se habría vulnerado el derecho a un juez imparcial porque no se ha acreditado ninguna relación personal con la parte contraria, ni con las empresas farmacéuticas, ni con los medios de comunicación; las argumentaciones no contienen ningún prejuicio en contra de la demandada ni sus opiniones.</w:t>
      </w:r>
    </w:p>
    <w:p w14:paraId="21FF5100" w14:textId="77777777" w:rsidR="008D479B" w:rsidRDefault="008D479B" w:rsidP="008D479B">
      <w:pPr>
        <w:pStyle w:val="TextoNormal"/>
      </w:pPr>
    </w:p>
    <w:p w14:paraId="50564BD8" w14:textId="77777777" w:rsidR="008D479B" w:rsidRDefault="008D479B" w:rsidP="008D479B">
      <w:pPr>
        <w:pStyle w:val="TextoNormal"/>
      </w:pPr>
      <w:r>
        <w:t>Respecto del derecho a la tutela judicial efectiva (art. 24.1 CE) por defecto de motivación de las resoluciones judiciales y errónea valoración de la prueba, considera, siguiendo la jurisprudencia constitucional, que no se ha vulnerado el derecho fundamental porque la argumentación de las resoluciones judiciales es claramente suficiente, razonada y razonable, valora la prueba pericial aportada por ambas partes, de sentido contrario, y no solo se basa en las pruebas médicas, sino que tiene en cuenta la posición de cada progenitor y la voluntad de la menor.</w:t>
      </w:r>
    </w:p>
    <w:p w14:paraId="6E354C09" w14:textId="77777777" w:rsidR="008D479B" w:rsidRDefault="008D479B" w:rsidP="008D479B">
      <w:pPr>
        <w:pStyle w:val="TextoNormal"/>
      </w:pPr>
    </w:p>
    <w:p w14:paraId="29D10EB9" w14:textId="666BBE30" w:rsidR="008D479B" w:rsidRDefault="008D479B" w:rsidP="008D479B">
      <w:pPr>
        <w:pStyle w:val="TextoNormal"/>
      </w:pPr>
      <w:r>
        <w:t>Finalmente, tampoco aprecia la vulneración del derecho a la integridad física (art. 15 CE), teniendo en cuenta la doctrina establecida en la STC 38/2023, de 20 de abril, y las diferencias entre aquel supuesto y el ahora enjuiciado. En este caso, el juez no decide si autoriza la vacunación, sino que resuelve a qué progenitor atribuye la facultad de decidir sobre la vacunación, sin llegar a sustituir al progenitor en la decisión. Aun cuando se entendiera que la decisión judicial supone una autorización para administrar la vacuna, tampoco aprecia que se haya vulnerado el art. 15 CE, teniendo en cuenta que la decisión se ha adoptado en atención al interés superior del menor, que fue oído, pues tenía trece años, y el juez valoró su decisión teniendo en cuenta su madurez, aunque no lo exprese con estos términos, y también expuso las razones por las que considera que el criterio del progenitor favorable a la vacunación es más acorde con el interés superior del menor.</w:t>
      </w:r>
    </w:p>
    <w:p w14:paraId="283AC4C7" w14:textId="77777777" w:rsidR="008D479B" w:rsidRDefault="008D479B" w:rsidP="008D479B">
      <w:pPr>
        <w:pStyle w:val="TextoNormal"/>
      </w:pPr>
    </w:p>
    <w:p w14:paraId="027F7AB6" w14:textId="6F9345BF" w:rsidR="008D479B" w:rsidRDefault="008D479B" w:rsidP="008D479B">
      <w:pPr>
        <w:pStyle w:val="TextoNormal"/>
      </w:pPr>
      <w:r w:rsidRPr="008D479B">
        <w:rPr>
          <w:rStyle w:val="NumeroAFNegritaCaracter"/>
        </w:rPr>
        <w:t>9</w:t>
      </w:r>
      <w:r>
        <w:t>. Por providencia de 16 de noviembre de 2023 se señaló para deliberación y votación de la presente sentencia el día 20 del mismo mes y año.</w:t>
      </w:r>
    </w:p>
    <w:p w14:paraId="743DF2D2" w14:textId="77777777" w:rsidR="008D479B" w:rsidRDefault="008D479B" w:rsidP="008D479B">
      <w:pPr>
        <w:pStyle w:val="TextoNormal"/>
      </w:pPr>
    </w:p>
    <w:p w14:paraId="0F5C35CA" w14:textId="77777777" w:rsidR="008D479B" w:rsidRDefault="008D479B" w:rsidP="008D479B">
      <w:pPr>
        <w:pStyle w:val="TextoNormalNegritaCentrado"/>
        <w:keepNext/>
      </w:pPr>
      <w:r>
        <w:t>II. Fundamentos jurídicos</w:t>
      </w:r>
    </w:p>
    <w:p w14:paraId="21B7D548" w14:textId="247DF63D" w:rsidR="008D479B" w:rsidRDefault="008D479B" w:rsidP="008D479B">
      <w:pPr>
        <w:pStyle w:val="TextoNormalNegritaCentrado"/>
        <w:keepNext/>
      </w:pPr>
    </w:p>
    <w:p w14:paraId="4F413579" w14:textId="77777777" w:rsidR="008D479B" w:rsidRDefault="008D479B" w:rsidP="008D479B">
      <w:pPr>
        <w:pStyle w:val="TextoNormal"/>
      </w:pPr>
      <w:r w:rsidRPr="008D479B">
        <w:rPr>
          <w:rStyle w:val="NumeroAFNegritaCaracter"/>
        </w:rPr>
        <w:t>1</w:t>
      </w:r>
      <w:r>
        <w:t xml:space="preserve">. </w:t>
      </w:r>
      <w:r w:rsidRPr="008D479B">
        <w:rPr>
          <w:i/>
        </w:rPr>
        <w:t>Objeto del recurso</w:t>
      </w:r>
    </w:p>
    <w:p w14:paraId="77AED387" w14:textId="77777777" w:rsidR="008D479B" w:rsidRDefault="008D479B" w:rsidP="008D479B">
      <w:pPr>
        <w:pStyle w:val="TextoNormal"/>
      </w:pPr>
    </w:p>
    <w:p w14:paraId="38757994" w14:textId="77777777" w:rsidR="008D479B" w:rsidRDefault="008D479B" w:rsidP="008D479B">
      <w:pPr>
        <w:pStyle w:val="TextoNormal"/>
      </w:pPr>
      <w:r>
        <w:t>El presente recurso de amparo se dirige contra el auto de 5 de julio de 2022 del Juzgado de Primera Instancia núm. 4 de Utrera, dictado en procedimiento de jurisdicción voluntaria 233-2022, que atribuyó a don R.C.B., la facultad de decidir acerca de la vacunación de su hija menor de edad contra la covid-19 y contra el VPH, y frente el auto de 7 de diciembre de 2022, dictado por la Sección Segunda de la Audiencia Provincial de Sevilla, en el rollo de apelación núm. 8308-2022, confirmatorio del anterior.</w:t>
      </w:r>
    </w:p>
    <w:p w14:paraId="7E22875E" w14:textId="77777777" w:rsidR="008D479B" w:rsidRDefault="008D479B" w:rsidP="008D479B">
      <w:pPr>
        <w:pStyle w:val="TextoNormal"/>
      </w:pPr>
    </w:p>
    <w:p w14:paraId="5BBB8912" w14:textId="77777777" w:rsidR="008D479B" w:rsidRDefault="008D479B" w:rsidP="008D479B">
      <w:pPr>
        <w:pStyle w:val="TextoNormal"/>
      </w:pPr>
      <w:r>
        <w:t>El Ministerio Fiscal, como se ha expuesto, se opone a la estimación de la demanda de amparo, al considerar que la misma incurre en el defecto insubsanable de la falta de agotamiento de la vía judicial. Por otra parte, considera que la vulneración del derecho a un juez imparcial incurriría en la causa de inadmisión del art. 44.1 c) LOTC, y finalmente, interesa respecto de las restantes vulneraciones invocadas la desestimación de la demanda.</w:t>
      </w:r>
    </w:p>
    <w:p w14:paraId="71E0F168" w14:textId="77777777" w:rsidR="008D479B" w:rsidRDefault="008D479B" w:rsidP="008D479B">
      <w:pPr>
        <w:pStyle w:val="TextoNormal"/>
      </w:pPr>
    </w:p>
    <w:p w14:paraId="1F525C83" w14:textId="062E6B92" w:rsidR="008D479B" w:rsidRDefault="008D479B" w:rsidP="008D479B">
      <w:pPr>
        <w:pStyle w:val="TextoNormal"/>
      </w:pPr>
      <w:r>
        <w:t>Dada la naturaleza de los hechos, debe señalarse que, en aplicación de las potestades atribuidas a este tribunal por el art. 86.3 LOTC y el acuerdo del Pleno de 23 de julio de 2015, por el que se regula la exclusión de los datos de identidad personal en la publicación de las resoluciones jurisdiccionales (“Boletín Oficial del Estado” núm. 178, de 27 de julio de 2015), la presente sentencia y demás actuaciones del proceso no incluyen la identificación completa de la persona menor de edad afectada ni la de sus parientes inmediatos que aparecen mencionados en las actuaciones, con el fin de proteger la intimidad de aquella.</w:t>
      </w:r>
    </w:p>
    <w:p w14:paraId="0D66FD23" w14:textId="77777777" w:rsidR="008D479B" w:rsidRDefault="008D479B" w:rsidP="008D479B">
      <w:pPr>
        <w:pStyle w:val="TextoNormal"/>
      </w:pPr>
    </w:p>
    <w:p w14:paraId="6269E4D4" w14:textId="77777777" w:rsidR="008D479B" w:rsidRDefault="008D479B" w:rsidP="008D479B">
      <w:pPr>
        <w:pStyle w:val="TextoNormal"/>
      </w:pPr>
      <w:r w:rsidRPr="008D479B">
        <w:rPr>
          <w:rStyle w:val="NumeroAFNegritaCaracter"/>
        </w:rPr>
        <w:t>2</w:t>
      </w:r>
      <w:r>
        <w:t xml:space="preserve">. </w:t>
      </w:r>
      <w:r w:rsidRPr="008D479B">
        <w:rPr>
          <w:i/>
        </w:rPr>
        <w:t>Falta de agotamiento de la vía judicial previa: prematuridad</w:t>
      </w:r>
    </w:p>
    <w:p w14:paraId="2D4873F1" w14:textId="77777777" w:rsidR="008D479B" w:rsidRDefault="008D479B" w:rsidP="008D479B">
      <w:pPr>
        <w:pStyle w:val="TextoNormal"/>
      </w:pPr>
    </w:p>
    <w:p w14:paraId="6458E0F4" w14:textId="77777777" w:rsidR="008D479B" w:rsidRDefault="008D479B" w:rsidP="008D479B">
      <w:pPr>
        <w:pStyle w:val="TextoNormal"/>
      </w:pPr>
      <w:r>
        <w:t>En primer término, ha de darse respuesta al óbice procesal que opone el fiscal ante este tribunal en su escrito de alegaciones, sin que nuestro control quede impedido por el hecho de que el recurso ya haya superado la fase de admisión a trámite (entre otras, últimamente, SSTC 69/2022, de 2 de junio, FJ 2; 6/2023, de 20 de febrero, FJ 2, y 48/2023, de 10 de mayo, FJ 2, esta última, del Pleno).</w:t>
      </w:r>
    </w:p>
    <w:p w14:paraId="5CFBB40E" w14:textId="77777777" w:rsidR="008D479B" w:rsidRDefault="008D479B" w:rsidP="008D479B">
      <w:pPr>
        <w:pStyle w:val="TextoNormal"/>
      </w:pPr>
    </w:p>
    <w:p w14:paraId="49752CEE" w14:textId="77777777" w:rsidR="008D479B" w:rsidRDefault="008D479B" w:rsidP="008D479B">
      <w:pPr>
        <w:pStyle w:val="TextoNormal"/>
      </w:pPr>
      <w:r>
        <w:t xml:space="preserve">El requisito previsto en los arts. 50.1 a), en relación con el art. 44.1 a), LOTC, referente a la necesidad de que se hayan agotado todos los recursos utilizables dentro de la vía judicial, es una condición de admisibilidad del recurso de amparo, que responde a la finalidad de preservar el carácter subsidiario del mismo, evitando que el acceso a esta jurisdicción constitucional se produzca </w:t>
      </w:r>
      <w:r w:rsidRPr="008D479B">
        <w:rPr>
          <w:i/>
        </w:rPr>
        <w:t>per saltum</w:t>
      </w:r>
      <w:r>
        <w:t>, es decir sin brindar a los órganos judiciales la oportunidad de pronunciarse y, en su caso, remediar la lesión invocada como fundamento del amparo constitucional (entre otras, SSTC 59/2007, de 26 de marzo, FJ 2 y 228/2007, de 5 de noviembre, FJ 2). También hemos señalado, en la misma línea de la doctrina expuesta, que para que entre en funcionamiento la justicia constitucional es preciso que estén agotadas las vías judiciales, razón por la cual “no puede acudir ante este tribunal por la vía de amparo quien ha considerado procedente la utilización de un recurso o remedio procesal en la vía ordinaria en tanto esta no haya concluido, ya que, de lo contrario, se estaría afectando a la naturaleza subsidiaria del recurso de amparo, resultando imposible la coexistencia temporal de un recurso de amparo con la vía judicial, dado que es necesario esperar a la conclusión de esta para acudir ante este tribunal” (por todas, STC 249/2006, de 24 de julio, FJ 2).</w:t>
      </w:r>
    </w:p>
    <w:p w14:paraId="3438BFB6" w14:textId="77777777" w:rsidR="008D479B" w:rsidRDefault="008D479B" w:rsidP="008D479B">
      <w:pPr>
        <w:pStyle w:val="TextoNormal"/>
      </w:pPr>
    </w:p>
    <w:p w14:paraId="4DCAC044" w14:textId="77777777" w:rsidR="008D479B" w:rsidRDefault="008D479B" w:rsidP="008D479B">
      <w:pPr>
        <w:pStyle w:val="TextoNormal"/>
      </w:pPr>
      <w:r>
        <w:t>La aplicación de esta doctrina al caso que nos ocupa, como bien indica el Ministerio Fiscal en sus alegaciones, conduce a la inadmisión de la demanda de amparo, dado que la recurrente inició el presente proceso constitucional cuando aún estaba pendiente la vía judicial ordinaria, de suerte que debe reputarse su recurso como prematuro.</w:t>
      </w:r>
    </w:p>
    <w:p w14:paraId="61EA284C" w14:textId="77777777" w:rsidR="008D479B" w:rsidRDefault="008D479B" w:rsidP="008D479B">
      <w:pPr>
        <w:pStyle w:val="TextoNormal"/>
      </w:pPr>
    </w:p>
    <w:p w14:paraId="4648D72F" w14:textId="77777777" w:rsidR="008D479B" w:rsidRDefault="008D479B" w:rsidP="008D479B">
      <w:pPr>
        <w:pStyle w:val="TextoNormal"/>
      </w:pPr>
      <w:r>
        <w:t>En efecto, según consta en las actuaciones, la recurrente mediante escrito registrado en este tribunal con fecha de 10 de febrero de 2023 interpuso recurso de amparo contra el auto de fecha 7 de diciembre de 2022, dictado en el rollo de apelación 8302-2022, por la Sección Segunda de la Audiencia Provincial de Sevilla. A la vez tenía abierta una vía de impugnación paralela al haber promovido ante la misma Sección Segunda de la Audiencia Provincial de Sevilla un incidente de nulidad de actuaciones donde invocaba las lesiones constitucionales que ahora reproduce en su demanda y que fue finalmente desestimado por auto de la Sección Segunda de la Audiencia Provincial de Sevilla de 28 de marzo de 2023.</w:t>
      </w:r>
    </w:p>
    <w:p w14:paraId="45051BFB" w14:textId="77777777" w:rsidR="008D479B" w:rsidRDefault="008D479B" w:rsidP="008D479B">
      <w:pPr>
        <w:pStyle w:val="TextoNormal"/>
      </w:pPr>
    </w:p>
    <w:p w14:paraId="03FDA2D4" w14:textId="77777777" w:rsidR="008D479B" w:rsidRDefault="008D479B" w:rsidP="008D479B">
      <w:pPr>
        <w:pStyle w:val="TextoNormal"/>
      </w:pPr>
      <w:r>
        <w:t>Esta circunstancia implica que el presente recurso debe inadmitirse por falta de agotamiento de la vía judicial previa, conforme a la anterior doctrina, ya que la recurrente compareció ante este tribunal cuando aún no se habían agotado todos los medios de impugnación que había puesto en marcha dentro de la vía judicial, provocando la coexistencia temporal de ambos procedimientos, el de la jurisdicción ordinaria y el de este Tribunal Constitucional.</w:t>
      </w:r>
    </w:p>
    <w:p w14:paraId="536B4DBD" w14:textId="77777777" w:rsidR="008D479B" w:rsidRDefault="008D479B" w:rsidP="008D479B">
      <w:pPr>
        <w:pStyle w:val="TextoNormal"/>
      </w:pPr>
    </w:p>
    <w:p w14:paraId="207A5913" w14:textId="77777777" w:rsidR="008D479B" w:rsidRDefault="008D479B" w:rsidP="008D479B">
      <w:pPr>
        <w:pStyle w:val="TextoNormal"/>
      </w:pPr>
      <w:r>
        <w:t>Por lo tanto, la demanda de amparo, en el momento de su interposición, que es el que se ha de tomar como “punto de referencia” (SSTC 249/2006, de 24 de julio, FJ 2 y 242/2007, de 10 de diciembre, FJ 4), presentaba un defecto procesal insubsanable.</w:t>
      </w:r>
    </w:p>
    <w:p w14:paraId="7B1CE316" w14:textId="77777777" w:rsidR="008D479B" w:rsidRDefault="008D479B" w:rsidP="008D479B">
      <w:pPr>
        <w:pStyle w:val="TextoNormal"/>
      </w:pPr>
    </w:p>
    <w:p w14:paraId="61EE880A" w14:textId="77777777" w:rsidR="008D479B" w:rsidRDefault="008D479B" w:rsidP="008D479B">
      <w:pPr>
        <w:pStyle w:val="TextoNormal"/>
      </w:pPr>
      <w:r>
        <w:t>En suma, por lo expuesto procede declarar que el presente recurso está incurso en la causa de inadmisión consistente en la falta de agotamiento de la vía judicial previa [art. 44.1 a) LOTC], ya que el procedimiento de jurisdicción voluntaria en el que se ha dictado la resolución impugnada no había finalizado cuando se formuló la demanda de amparo.</w:t>
      </w:r>
    </w:p>
    <w:p w14:paraId="06F153FF" w14:textId="77777777" w:rsidR="008D479B" w:rsidRDefault="008D479B" w:rsidP="008D479B">
      <w:pPr>
        <w:pStyle w:val="TextoNormal"/>
      </w:pPr>
    </w:p>
    <w:p w14:paraId="6CAC12A7" w14:textId="14CB65B2" w:rsidR="008D479B" w:rsidRDefault="008D479B" w:rsidP="008D479B">
      <w:pPr>
        <w:pStyle w:val="TextoNormal"/>
      </w:pPr>
      <w:r>
        <w:t>Esta circunstancia, además, implica que no resulte procedente resolver sobre la medida cautelar de suspensión solicitada por la recurrente, lo que determina que deba acordarse el archivo de la pieza separada de suspensión.</w:t>
      </w:r>
    </w:p>
    <w:p w14:paraId="2905E233" w14:textId="77777777" w:rsidR="008D479B" w:rsidRDefault="008D479B" w:rsidP="008D479B">
      <w:pPr>
        <w:pStyle w:val="TextoNormal"/>
      </w:pPr>
    </w:p>
    <w:p w14:paraId="0F9A6637" w14:textId="77777777" w:rsidR="008D479B" w:rsidRDefault="008D479B" w:rsidP="008D479B">
      <w:pPr>
        <w:pStyle w:val="TextoNormalCentrado"/>
        <w:keepNext/>
      </w:pPr>
      <w:r>
        <w:t>FALLO</w:t>
      </w:r>
    </w:p>
    <w:p w14:paraId="25FE73BD" w14:textId="2DAAE185" w:rsidR="008D479B" w:rsidRDefault="008D479B" w:rsidP="008D479B">
      <w:pPr>
        <w:pStyle w:val="TextoNormalCentrado"/>
        <w:keepNext/>
      </w:pPr>
    </w:p>
    <w:p w14:paraId="5092A8F5" w14:textId="2568AAAE" w:rsidR="008D479B" w:rsidRDefault="008D479B" w:rsidP="008D479B">
      <w:pPr>
        <w:pStyle w:val="TextoNormal"/>
      </w:pPr>
      <w:r>
        <w:t>En atención a todo lo expuesto, el Tribunal Constitucional, por la autoridad que le confiere la Constitución de la Nación española, ha decidido inadmitir el recurso de amparo interpuesto por doña V.L.M., y archivar su pieza separada de suspensión.</w:t>
      </w:r>
    </w:p>
    <w:p w14:paraId="346A7872" w14:textId="77777777" w:rsidR="008D479B" w:rsidRDefault="008D479B" w:rsidP="008D479B">
      <w:pPr>
        <w:pStyle w:val="TextoNormal"/>
      </w:pPr>
    </w:p>
    <w:p w14:paraId="44BEF9F9" w14:textId="77777777" w:rsidR="008D479B" w:rsidRDefault="008D479B" w:rsidP="008D479B">
      <w:pPr>
        <w:pStyle w:val="TextoNormal"/>
      </w:pPr>
      <w:r>
        <w:t>Publíquese esta sentencia en el “Boletín Oficial del Estado”.</w:t>
      </w:r>
    </w:p>
    <w:p w14:paraId="2A8B185B" w14:textId="77777777" w:rsidR="008D479B" w:rsidRDefault="008D479B" w:rsidP="008D479B">
      <w:pPr>
        <w:pStyle w:val="TextoNormal"/>
      </w:pPr>
      <w:r>
        <w:t>Dada en Madrid, a veinte de noviembre de dos mil veintitrés.</w:t>
      </w:r>
    </w:p>
    <w:p w14:paraId="6007C58A" w14:textId="25322004" w:rsidR="008D479B" w:rsidRDefault="008D479B">
      <w:pPr>
        <w:spacing w:after="160" w:line="278" w:lineRule="auto"/>
        <w:rPr>
          <w:rFonts w:ascii="Times New Roman" w:eastAsia="Times New Roman" w:hAnsi="Times New Roman" w:cs="Times New Roman"/>
          <w:sz w:val="24"/>
          <w:szCs w:val="24"/>
          <w:lang w:eastAsia="es-ES"/>
        </w:rPr>
      </w:pPr>
      <w:r>
        <w:br w:type="page"/>
      </w:r>
    </w:p>
    <w:p w14:paraId="2AEAB386" w14:textId="77777777" w:rsidR="008D479B" w:rsidRDefault="008D479B" w:rsidP="008D479B">
      <w:pPr>
        <w:pStyle w:val="TtuloResolucin"/>
      </w:pPr>
      <w:bookmarkStart w:id="87" w:name="SENTENCIA_2023_162"/>
      <w:r>
        <w:t>SENTENCIA 162/2023, de 20 de noviembre de 2023</w:t>
      </w:r>
    </w:p>
    <w:bookmarkEnd w:id="87"/>
    <w:p w14:paraId="08738C0A" w14:textId="77777777" w:rsidR="008D479B" w:rsidRDefault="008D479B" w:rsidP="008D479B">
      <w:pPr>
        <w:pStyle w:val="TtuloResolucin"/>
      </w:pPr>
      <w:r>
        <w:t>Sala Primera</w:t>
      </w:r>
    </w:p>
    <w:p w14:paraId="3C6325BB" w14:textId="77777777" w:rsidR="008D479B" w:rsidRDefault="008D479B" w:rsidP="008D479B">
      <w:pPr>
        <w:pStyle w:val="TtuloBOE"/>
      </w:pPr>
      <w:r>
        <w:t>(BOE núm. 304, de 21 de diciembre de 2023)</w:t>
      </w:r>
    </w:p>
    <w:p w14:paraId="2AF26CD5" w14:textId="77777777" w:rsidR="008D479B" w:rsidRDefault="008D479B" w:rsidP="008D479B">
      <w:pPr>
        <w:pStyle w:val="TextoNormalCentrado"/>
      </w:pPr>
      <w:r>
        <w:t>ECLI:ES:TC:2023:162</w:t>
      </w:r>
    </w:p>
    <w:p w14:paraId="41212F48" w14:textId="311FC5C2" w:rsidR="008D479B" w:rsidRDefault="008D479B" w:rsidP="008D479B">
      <w:pPr>
        <w:pStyle w:val="TextoNormalCentrado"/>
      </w:pPr>
    </w:p>
    <w:p w14:paraId="4492F353" w14:textId="77777777" w:rsidR="008D479B" w:rsidRDefault="008D479B" w:rsidP="008D479B">
      <w:pPr>
        <w:pStyle w:val="SntesisDescriptiva"/>
      </w:pPr>
      <w:r>
        <w:t>Recurso de amparo 1824-2023. Promovido por don D.L.M., respecto de los autos dictados por la Audiencia Provincial de Málaga y un juzgado de primera instancia de Estepona que acordaron la administración de la vacuna frente a la covid-19.</w:t>
      </w:r>
    </w:p>
    <w:p w14:paraId="791F1FA5" w14:textId="3A0DF594" w:rsidR="008D479B" w:rsidRDefault="008D479B" w:rsidP="008D479B">
      <w:pPr>
        <w:pStyle w:val="SntesisDescriptiva"/>
      </w:pPr>
    </w:p>
    <w:p w14:paraId="46AEA384" w14:textId="77777777" w:rsidR="008D479B" w:rsidRDefault="008D479B" w:rsidP="008D479B">
      <w:pPr>
        <w:pStyle w:val="SntesisAnaltica"/>
      </w:pPr>
      <w:r>
        <w:t>Supuesta vulneración del derecho a la integridad física: STC 148/2023 [resoluciones judiciales que realizaron una ponderación adecuada de los intereses de una persona menor de edad (STC 38/2023)].</w:t>
      </w:r>
    </w:p>
    <w:p w14:paraId="5345C572" w14:textId="36B48713" w:rsidR="008D479B" w:rsidRDefault="008D479B" w:rsidP="008D479B">
      <w:pPr>
        <w:pStyle w:val="SntesisAnaltica"/>
      </w:pPr>
    </w:p>
    <w:p w14:paraId="7A2E35AA" w14:textId="426539BE" w:rsidR="008D479B" w:rsidRDefault="008D479B" w:rsidP="008D479B">
      <w:pPr>
        <w:pStyle w:val="Extracto"/>
      </w:pPr>
      <w:r>
        <w:t>1.</w:t>
      </w:r>
      <w:r>
        <w:tab/>
        <w:t>La capacidad general de autodeterminación de las personas menores de edad, en relación con las actuaciones médicas que les afectan, encuentra su límite en la protección de su interés superior, que se impone como obligación a los progenitores, en cuanto titulares de la patria potestad o autoridad familiar, y a todos los poderes públicos, incluida la autoridad judicial (STC 148/2023) [FJ 3].</w:t>
      </w:r>
    </w:p>
    <w:p w14:paraId="7C143BAC" w14:textId="77777777" w:rsidR="008D479B" w:rsidRDefault="008D479B" w:rsidP="008D479B">
      <w:pPr>
        <w:pStyle w:val="Extracto"/>
      </w:pPr>
    </w:p>
    <w:p w14:paraId="1B06C79F" w14:textId="1A6375D4" w:rsidR="008D479B" w:rsidRDefault="008D479B" w:rsidP="008D479B">
      <w:pPr>
        <w:pStyle w:val="Extracto"/>
      </w:pPr>
      <w:r>
        <w:t>2.</w:t>
      </w:r>
      <w:r>
        <w:tab/>
        <w:t>La decisión de los representantes legales relativa al otorgamiento o no del consentimiento informado por representación deberá atender a la protección del derecho a la vida, supervivencia y desarrollo del menor y la satisfacción de sus necesidades básicas, tanto materiales, físicas y educativas como emocionales y afectivas [art. 2.2, letra a) de la Ley Orgánica 1/1996]; y es preciso buscar el mayor beneficio para la vida o salud del paciente menor de edad, teniendo en cuenta las circunstancias concurrentes y sus necesidades, que deben ser atendidas (STC 148/2023) [FJ 3].</w:t>
      </w:r>
    </w:p>
    <w:p w14:paraId="05837D75" w14:textId="77777777" w:rsidR="008D479B" w:rsidRDefault="008D479B" w:rsidP="008D479B">
      <w:pPr>
        <w:pStyle w:val="Extracto"/>
      </w:pPr>
    </w:p>
    <w:p w14:paraId="1BA70C2B" w14:textId="77777777" w:rsidR="008D479B" w:rsidRDefault="008D479B" w:rsidP="008D479B">
      <w:pPr>
        <w:pStyle w:val="Extracto"/>
      </w:pPr>
    </w:p>
    <w:p w14:paraId="797009A2" w14:textId="77777777" w:rsidR="008D479B" w:rsidRDefault="008D479B" w:rsidP="008D479B">
      <w:pPr>
        <w:pStyle w:val="TextoNormal"/>
      </w:pPr>
      <w:r>
        <w:t>La Sala Primera del Tribunal Constitucional, compuesta por el magistrado don Cándido Conde-Pumpido Tourón, presidente, y los magistrados y magistradas don Ricardo Enríquez Sancho, doña Concepción Espejel Jorquera, doña María Luisa Segoviano Astaburuaga y don Juan Carlos Campo Moreno, ha pronunciado</w:t>
      </w:r>
    </w:p>
    <w:p w14:paraId="4AAEFDE7" w14:textId="1FA4341D" w:rsidR="008D479B" w:rsidRDefault="008D479B" w:rsidP="008D479B">
      <w:pPr>
        <w:pStyle w:val="TextoNormal"/>
      </w:pPr>
    </w:p>
    <w:p w14:paraId="7E0B9D5C" w14:textId="77777777" w:rsidR="008D479B" w:rsidRDefault="008D479B" w:rsidP="008D479B">
      <w:pPr>
        <w:pStyle w:val="TextoNormalCentrado"/>
        <w:keepNext/>
      </w:pPr>
      <w:r>
        <w:t>EN NOMBRE DEL REY</w:t>
      </w:r>
    </w:p>
    <w:p w14:paraId="73082E57" w14:textId="1BE6BDCA" w:rsidR="008D479B" w:rsidRDefault="008D479B" w:rsidP="008D479B">
      <w:pPr>
        <w:pStyle w:val="TextoNormalCentrado"/>
        <w:keepNext/>
      </w:pPr>
    </w:p>
    <w:p w14:paraId="1A193D52" w14:textId="77777777" w:rsidR="008D479B" w:rsidRDefault="008D479B" w:rsidP="008D479B">
      <w:pPr>
        <w:pStyle w:val="TextoNormalCentrado"/>
        <w:keepNext/>
      </w:pPr>
    </w:p>
    <w:p w14:paraId="2DCCD439" w14:textId="77777777" w:rsidR="008D479B" w:rsidRDefault="008D479B" w:rsidP="008D479B">
      <w:pPr>
        <w:pStyle w:val="TextoNormal"/>
      </w:pPr>
      <w:r>
        <w:t>la siguiente</w:t>
      </w:r>
    </w:p>
    <w:p w14:paraId="0A293C34" w14:textId="6AF756E1" w:rsidR="008D479B" w:rsidRDefault="008D479B" w:rsidP="008D479B">
      <w:pPr>
        <w:pStyle w:val="TextoNormal"/>
      </w:pPr>
    </w:p>
    <w:p w14:paraId="5B15A3F1" w14:textId="77777777" w:rsidR="008D479B" w:rsidRDefault="008D479B" w:rsidP="008D479B">
      <w:pPr>
        <w:pStyle w:val="TextoNormalCentrado"/>
        <w:keepNext/>
      </w:pPr>
      <w:r>
        <w:t>SENTENCIA</w:t>
      </w:r>
    </w:p>
    <w:p w14:paraId="26CECBAF" w14:textId="6668BC88" w:rsidR="008D479B" w:rsidRDefault="008D479B" w:rsidP="008D479B">
      <w:pPr>
        <w:pStyle w:val="TextoNormalCentrado"/>
        <w:keepNext/>
      </w:pPr>
    </w:p>
    <w:p w14:paraId="7A647A81" w14:textId="77777777" w:rsidR="008D479B" w:rsidRDefault="008D479B" w:rsidP="008D479B">
      <w:pPr>
        <w:pStyle w:val="TextoNormal"/>
      </w:pPr>
      <w:r>
        <w:t>En el recurso de amparo 1824-2023, interpuesto por don D.L.M., contra el auto de 13 de julio de 2022 del Juzgado de Primera Instancia e Instrucción núm. 5 de Estepona, y contra el auto de 8 de febrero de 2023 dictado por la Sección Sexta de la Audiencia Provincial de Málaga, confirmatorio del anterior. Ha intervenido el Ministerio Fiscal. Ha sido ponente el magistrado don Ricardo Enríquez Sancho.</w:t>
      </w:r>
    </w:p>
    <w:p w14:paraId="00544876" w14:textId="2A96E88F" w:rsidR="008D479B" w:rsidRDefault="008D479B" w:rsidP="008D479B">
      <w:pPr>
        <w:pStyle w:val="TextoNormal"/>
      </w:pPr>
    </w:p>
    <w:p w14:paraId="05F4060D" w14:textId="77777777" w:rsidR="008D479B" w:rsidRDefault="008D479B" w:rsidP="008D479B">
      <w:pPr>
        <w:pStyle w:val="TextoNormalNegritaCentrado"/>
        <w:keepNext/>
      </w:pPr>
      <w:r>
        <w:t>I. Antecedentes</w:t>
      </w:r>
    </w:p>
    <w:p w14:paraId="52A8BF78" w14:textId="2EC63BE1" w:rsidR="008D479B" w:rsidRDefault="008D479B" w:rsidP="008D479B">
      <w:pPr>
        <w:pStyle w:val="TextoNormalNegritaCentrado"/>
        <w:keepNext/>
      </w:pPr>
    </w:p>
    <w:p w14:paraId="49277D47" w14:textId="4BD00C24" w:rsidR="008D479B" w:rsidRDefault="008D479B" w:rsidP="008D479B">
      <w:pPr>
        <w:pStyle w:val="TextoNormal"/>
      </w:pPr>
      <w:r w:rsidRPr="008D479B">
        <w:rPr>
          <w:rStyle w:val="NumeroAFNegritaCaracter"/>
        </w:rPr>
        <w:t>1</w:t>
      </w:r>
      <w:r>
        <w:t>. Don D.L.M., representado por la procuradora de los tribunales doña Natalia Vanesa Gurrea Martínez y bajo la defensa del abogado don Alexis José Aneas Fernández, ha interpuesto recurso de amparo contra las resoluciones indicadas en el encabezamiento de la presente resolución, mediante escrito presentado en el registro de este tribunal el 19 de marzo de 2023.</w:t>
      </w:r>
    </w:p>
    <w:p w14:paraId="39A73621" w14:textId="77777777" w:rsidR="008D479B" w:rsidRDefault="008D479B" w:rsidP="008D479B">
      <w:pPr>
        <w:pStyle w:val="TextoNormal"/>
      </w:pPr>
    </w:p>
    <w:p w14:paraId="2E6DE302" w14:textId="77777777" w:rsidR="008D479B" w:rsidRDefault="008D479B" w:rsidP="008D479B">
      <w:pPr>
        <w:pStyle w:val="TextoNormal"/>
      </w:pPr>
      <w:r w:rsidRPr="008D479B">
        <w:rPr>
          <w:rStyle w:val="NumeroAFNegritaCaracter"/>
        </w:rPr>
        <w:t>2</w:t>
      </w:r>
      <w:r>
        <w:t>. Los hechos de los que trae causa la demanda de amparo son, en síntesis, los siguientes:</w:t>
      </w:r>
    </w:p>
    <w:p w14:paraId="54A512C3" w14:textId="77777777" w:rsidR="008D479B" w:rsidRDefault="008D479B" w:rsidP="008D479B">
      <w:pPr>
        <w:pStyle w:val="TextoNormal"/>
      </w:pPr>
    </w:p>
    <w:p w14:paraId="00918A73" w14:textId="77777777" w:rsidR="008D479B" w:rsidRDefault="008D479B" w:rsidP="008D479B">
      <w:pPr>
        <w:pStyle w:val="TextoNormal"/>
      </w:pPr>
      <w:r>
        <w:t>a) Doña M.A.I.O., presentó escrito solicitando la intervención judicial por desacuerdo de los progenitores en el ejercicio de la patria potestad, al amparo del art. 86.1 de la Ley de jurisdicción voluntaria (en adelante, Ley 15/2015) y el art. 156 párrafo tercero del Código civil (CC), en relación con la negativa del padre, don D.L.M., para la inoculación de la vacuna contra la covid-19 al hijo común de ambos litigantes, don D.I.L., de once años de edad, pese a la recomendación de las autoridades sanitarias y de su pediatra para la vacunación.</w:t>
      </w:r>
    </w:p>
    <w:p w14:paraId="438EC5A8" w14:textId="77777777" w:rsidR="008D479B" w:rsidRDefault="008D479B" w:rsidP="008D479B">
      <w:pPr>
        <w:pStyle w:val="TextoNormal"/>
      </w:pPr>
    </w:p>
    <w:p w14:paraId="13C50E9D" w14:textId="77777777" w:rsidR="008D479B" w:rsidRDefault="008D479B" w:rsidP="008D479B">
      <w:pPr>
        <w:pStyle w:val="TextoNormal"/>
      </w:pPr>
      <w:r>
        <w:t>b) Mediante decreto de 31 de mayo de 2022, el Juzgado de Primera Instancia e Instrucción núm. 5 de Estepona admitió la solicitud presentada (procedimiento: intervención judicial por desacuerdo en el ejercicio de la patria potestad núm. 441-2022) y convocó a las partes, al Ministerio Fiscal y al menor a una comparecencia señalada para el día 5 de julio de 2022.</w:t>
      </w:r>
    </w:p>
    <w:p w14:paraId="4BBF9A14" w14:textId="77777777" w:rsidR="008D479B" w:rsidRDefault="008D479B" w:rsidP="008D479B">
      <w:pPr>
        <w:pStyle w:val="TextoNormal"/>
      </w:pPr>
    </w:p>
    <w:p w14:paraId="4FDA8C0C" w14:textId="77777777" w:rsidR="008D479B" w:rsidRDefault="008D479B" w:rsidP="008D479B">
      <w:pPr>
        <w:pStyle w:val="TextoNormal"/>
      </w:pPr>
      <w:r>
        <w:t>c) Don D.L.M., presentó escrito oponiéndose a la solicitud formulada por doña M.A.I.O., porque esta basa su petición en la recomendación de estar vacunado contra la covid-19 para viajar al extranjero, sin aportar datos o estudios científicos sobre los beneficios que reportaría este tratamiento génico al hijo. Pone de relieve que se trata de un tratamiento comercializado bajo autorización condicional con distintivo triángulo negro y que se diferencia de las vacunas tradicionales, con posibles efectos adversos que entrañan un riesgo para el menor, particularmente miocarditis y pericarditis, invocando el principio de prudencia, dado que se trata de un medicamento en fase experimental con efectos adversos graves, la falta de prescripción médica, y la necesidad de que el interés superior del menor se imponga sobre otros intereses de terceros. Señala asimismo la falta de consentimiento informado, e invoca los arts. 1 a 5 de la Declaración universal de derechos humanos, los arts. 2, 3 y 5 del Convenio europeo de derechos humanos (CEDH), el Convenio de Oviedo, la Declaración de Helsinki, el art. 3 de la Declaración universal de bioética y derechos humanos de la UNESCO, los arts. 6, 7 y 9 del Pacto internacional de derechos civiles y políticos, el Código de Nuremberg y los arts. 10, 15 y 17 CE, así como la normativa nacional e internacional específica de protección de los derechos del niño. Invoca, además, datos que, a su juicio, revelan la peor evolución de la enfermedad entre personas vacunadas. En relación con el consentimiento informado, alega además el Real Decreto 1090/2015. Y considera que el procedimiento de jurisdicción voluntaria no es el cauce adecuado para ventilar esta cuestión, porque en él se limita el acervo probatorio para llegar a una rápida decisión, sin practicarse prueba científica. Invoca, finalmente, resoluciones judiciales que, para supuestos análogos, han resuelto en contra de lo solicitado en este procedimiento. Solicita la desestimación de la solicitud de la madre con relación a la vacuna contra la covid-19 y, subsidiariamente, para el caso de que se estime aquella solicitud, que la inoculación del hijo menor se realice bajo prescripción médica y que la resolución no pueda ejecutarse en tanto no devenga firme.</w:t>
      </w:r>
    </w:p>
    <w:p w14:paraId="1C1B6EE9" w14:textId="77777777" w:rsidR="008D479B" w:rsidRDefault="008D479B" w:rsidP="008D479B">
      <w:pPr>
        <w:pStyle w:val="TextoNormal"/>
      </w:pPr>
    </w:p>
    <w:p w14:paraId="1A748907" w14:textId="77777777" w:rsidR="008D479B" w:rsidRDefault="008D479B" w:rsidP="008D479B">
      <w:pPr>
        <w:pStyle w:val="TextoNormal"/>
      </w:pPr>
      <w:r>
        <w:t>No consta en las actuaciones que el menor haya sido oído por el juez durante la vista.</w:t>
      </w:r>
    </w:p>
    <w:p w14:paraId="00BD90A5" w14:textId="77777777" w:rsidR="008D479B" w:rsidRDefault="008D479B" w:rsidP="008D479B">
      <w:pPr>
        <w:pStyle w:val="TextoNormal"/>
      </w:pPr>
    </w:p>
    <w:p w14:paraId="4E25888D" w14:textId="77777777" w:rsidR="008D479B" w:rsidRDefault="008D479B" w:rsidP="008D479B">
      <w:pPr>
        <w:pStyle w:val="TextoNormal"/>
      </w:pPr>
      <w:r>
        <w:t>d) El Juzgado de Primera Instancia e Instrucción núm. 5 de Estepona dictó auto el 13 de julio de 2022 acordando atribuir la facultad de decidir sobre la administración de la vacuna al menor de edad a su madre, doña M.A.I.O. Señala la resolución judicial que la decisión debe adoptarse en atención al interés superior del menor, y que las autoridades sanitarias españolas e internacionales recomiendan la administración de la vacuna, que ha sido aprobada por la Agencia Europea del Medicamento y por la Agencia Española del Medicamento y Productos Sanitarios, lo que permite suponer que se ha elaborado con las máximas garantías de calidad, seguridad y eficacia, y que los beneficios superan los riesgos. El menor, además, no presenta ninguna patología que sea incompatible con la vacuna o que aumente el riesgo de los efectos secundarios.</w:t>
      </w:r>
    </w:p>
    <w:p w14:paraId="0D662D82" w14:textId="77777777" w:rsidR="008D479B" w:rsidRDefault="008D479B" w:rsidP="008D479B">
      <w:pPr>
        <w:pStyle w:val="TextoNormal"/>
      </w:pPr>
    </w:p>
    <w:p w14:paraId="65E4E0B7" w14:textId="77777777" w:rsidR="008D479B" w:rsidRDefault="008D479B" w:rsidP="008D479B">
      <w:pPr>
        <w:pStyle w:val="TextoNormal"/>
      </w:pPr>
      <w:r>
        <w:t>e) Don D.L.M., presentó recurso de apelación en el que, tras realizar unas consideraciones sobre la no ejecución de la resolución hasta que sea firme, sostiene, en síntesis, que el auto adolece de falta de motivación, al contener una motivación aparente por déficit valorativo, que no hace referencia a la prueba documental aportada, que contenía abundantes datos científicos, ni se pronuncia sobre las normas invocadas por esta parte, tanto nacionales como internacionales, basándose únicamente en una presunción y/o recomendación, y realizando una ponderación errónea de riesgos y beneficios, por lo que considera que se han vulnerado los arts. 15 y 24 CE, y asimismo la falta de imparcialidad del juez. Considera también que se habría vulnerado el Convenio de Oviedo, la Ley 41/2002, básica de autonomía del paciente y el Real Decreto 1090/2015 en relación con el consentimiento informado, así como el Real Decreto Legislativo 1/2015 respecto de la necesidad de prescripción médica. Reitera sus alegaciones sobre la inadecuación del procedimiento de jurisdicción voluntaria para resolver esta cuestión porque se reduce el acervo probatorio para dar una rápida respuesta, sin practicarse prueba científica y la necesidad de resolver en atención al interés superior del menor, y reitera sus apreciaciones sobre los riesgos de la vacuna, invocando el principio de prudencia. Propone en su escrito la práctica de prueba documental y testifical de médico especialista.</w:t>
      </w:r>
    </w:p>
    <w:p w14:paraId="11CCF471" w14:textId="77777777" w:rsidR="008D479B" w:rsidRDefault="008D479B" w:rsidP="008D479B">
      <w:pPr>
        <w:pStyle w:val="TextoNormal"/>
      </w:pPr>
    </w:p>
    <w:p w14:paraId="6ABD0314" w14:textId="77777777" w:rsidR="008D479B" w:rsidRDefault="008D479B" w:rsidP="008D479B">
      <w:pPr>
        <w:pStyle w:val="TextoNormal"/>
      </w:pPr>
      <w:r>
        <w:t>f) Doña M.A.I.O., presentó escrito de oposición al recurso de apelación en el que interesa su desestimación por considerar que el auto recurrido es conforme a derecho y está perfectamente fundamentado en la valoración de la prueba practicada, habiéndose dictado teniendo en cuenta el interés superior del menor. Se opone en su escrito a que se practique la prueba solicitada por la otra parte.</w:t>
      </w:r>
    </w:p>
    <w:p w14:paraId="652D795C" w14:textId="77777777" w:rsidR="008D479B" w:rsidRDefault="008D479B" w:rsidP="008D479B">
      <w:pPr>
        <w:pStyle w:val="TextoNormal"/>
      </w:pPr>
    </w:p>
    <w:p w14:paraId="5827A556" w14:textId="77777777" w:rsidR="008D479B" w:rsidRDefault="008D479B" w:rsidP="008D479B">
      <w:pPr>
        <w:pStyle w:val="TextoNormal"/>
      </w:pPr>
      <w:r>
        <w:t>g) El Ministerio Fiscal presentó escrito por el que se oponía al recurso de apelación entendiendo que la resolución recurrida es conforme a derecho, habiendo quedado acreditado en el acto de la vista que el menor no padecía ninguna patología incompatible con la vacunación.</w:t>
      </w:r>
    </w:p>
    <w:p w14:paraId="5D85C07F" w14:textId="77777777" w:rsidR="008D479B" w:rsidRDefault="008D479B" w:rsidP="008D479B">
      <w:pPr>
        <w:pStyle w:val="TextoNormal"/>
      </w:pPr>
    </w:p>
    <w:p w14:paraId="1562C1E6" w14:textId="37691FB8" w:rsidR="008D479B" w:rsidRDefault="008D479B" w:rsidP="008D479B">
      <w:pPr>
        <w:pStyle w:val="TextoNormal"/>
      </w:pPr>
      <w:r>
        <w:t>h) La Sección Sexta de la Audiencia Provincial de Málaga dictó auto el 8 de febrero de 2023 desestimando el recurso planteado (rollo de apelación núm. 1810-2022). No aprecia falta de motivación de la resolución recurrida, advirtiendo que la parte pudo solicitar aclaración o complemento del auto y no lo hizo, ni advierte error en la valoración de la prueba, teniendo en cuenta el objeto del procedimiento de jurisdicción voluntaria y que el recurrente pretende sustituir el criterio objetivo e imparcial del juez por el suyo propio. Razona el auto que cuando el consentimiento haya de ser prestado por el representante legal o por otras personas vinculadas por razones familiares o de hecho, la Ley 41/2002 establece que la decisión deberá adoptarse atendiendo siempre al mayor beneficio para la vida o salud del paciente, quedando bajo la salvaguarda del juez. En este caso, el órgano judicial no puede dar una respuesta científica que no está a su alcance sobre los riesgos de la vacunación, pero resulta notorio que el Ministerio de Sanidad y la Asociación Española de Pediatría se han manifestado sobre la vacuna contra la covid-19 en menores de doce a dieciocho años considerando que los beneficios son innegables, por lo que no cabe contradecir lo resuelto en primera instancia.</w:t>
      </w:r>
    </w:p>
    <w:p w14:paraId="36E322E7" w14:textId="77777777" w:rsidR="008D479B" w:rsidRDefault="008D479B" w:rsidP="008D479B">
      <w:pPr>
        <w:pStyle w:val="TextoNormal"/>
      </w:pPr>
    </w:p>
    <w:p w14:paraId="3E9DB563" w14:textId="77777777" w:rsidR="008D479B" w:rsidRDefault="008D479B" w:rsidP="008D479B">
      <w:pPr>
        <w:pStyle w:val="TextoNormal"/>
      </w:pPr>
      <w:r w:rsidRPr="008D479B">
        <w:rPr>
          <w:rStyle w:val="NumeroAFNegritaCaracter"/>
        </w:rPr>
        <w:t>3</w:t>
      </w:r>
      <w:r>
        <w:t>. El recurrente denuncia en su demanda de amparo que se le han vulnerado los siguientes derechos fundamentales:</w:t>
      </w:r>
    </w:p>
    <w:p w14:paraId="305B4688" w14:textId="77777777" w:rsidR="008D479B" w:rsidRDefault="008D479B" w:rsidP="008D479B">
      <w:pPr>
        <w:pStyle w:val="TextoNormal"/>
      </w:pPr>
    </w:p>
    <w:p w14:paraId="5311BCDC" w14:textId="77777777" w:rsidR="008D479B" w:rsidRDefault="008D479B" w:rsidP="008D479B">
      <w:pPr>
        <w:pStyle w:val="TextoNormal"/>
      </w:pPr>
      <w:r>
        <w:t>(i) El derecho a la tutela judicial efectiva (art. 24.1 CE) en relación con el principio de seguridad jurídica (art. 9.3 CE) porque las resoluciones judiciales no se ajustan al derecho positivo. Se trata de un medicamento con autorización condicional, sometido al art. 19 del Real Decreto Legislativo 1/2015 y al Real Decreto 1090/2015, cuyo art. 5 establece la necesidad de consentimiento informado y requiere el consentimiento de ambos progenitores y del menor de edad en caso de ser mayor de doce años. Considera también vulnerados el Convenio de Oviedo y la Declaración de Helsinki. En este caso, no concurre el consentimiento del padre. Considera que se han infringido también los arts. 3.1 h) y 19.2 c) del citado real decreto y los arts. 8 y 9.5 de la Ley 41/2002, básica de autonomía del paciente. Además, en las resoluciones judiciales se omite que se trata de un medicamento bajo distintivo triángulo negro, bajo autorización condicional y seguimiento adicional y que, para confirmar la eficacia y seguridad, el fabricante deberá enviar el informe del estudio clínico final para el estudio aleatorizado, controlado con placebo y con enmascaramiento en diciembre de 2023. Las resoluciones judiciales desplazan las normas aplicables por una recomendación de las autoridades sanitarias, en contra del principio de seguridad jurídica, y prescinden, además, del informe pericial aportado por el recurrente que evalúa el balance riesgo/beneficio de la vacuna, vulnerando los principios sobre valoración de la prueba, la motivación y el derecho de defensa.</w:t>
      </w:r>
    </w:p>
    <w:p w14:paraId="5D8D6800" w14:textId="77777777" w:rsidR="008D479B" w:rsidRDefault="008D479B" w:rsidP="008D479B">
      <w:pPr>
        <w:pStyle w:val="TextoNormal"/>
      </w:pPr>
    </w:p>
    <w:p w14:paraId="1F64F935" w14:textId="77777777" w:rsidR="008D479B" w:rsidRDefault="008D479B" w:rsidP="008D479B">
      <w:pPr>
        <w:pStyle w:val="TextoNormal"/>
      </w:pPr>
      <w:r>
        <w:t>(ii) El derecho a la igualdad y no discriminación (art. 14 CE) porque en este caso el menor ya ha pasado la enfermedad, por lo que posee inmunidad natural, pero se le impone la vacunación pese a estar en igualdad de condiciones desde el punto de vista inmunológico que otros niños que no han pasado la enfermedad, pero están vacunados; forzar la vacunación para conseguir una inmunidad que ya posee y de forma más perdurable y eficaz se convierte en un trato discriminatorio sin sustento legal.</w:t>
      </w:r>
    </w:p>
    <w:p w14:paraId="7E27E98E" w14:textId="77777777" w:rsidR="008D479B" w:rsidRDefault="008D479B" w:rsidP="008D479B">
      <w:pPr>
        <w:pStyle w:val="TextoNormal"/>
      </w:pPr>
    </w:p>
    <w:p w14:paraId="02456B32" w14:textId="77777777" w:rsidR="008D479B" w:rsidRDefault="008D479B" w:rsidP="008D479B">
      <w:pPr>
        <w:pStyle w:val="TextoNormal"/>
      </w:pPr>
      <w:r>
        <w:t xml:space="preserve">(iii) El derecho a la integridad física y moral (art. 15 CE) por falta de consentimiento informado, en relación con el Convenio de Oviedo y el art. 3 de la Carta de los derechos fundamentales de la Unión Europea (CDFUE), teniendo en cuenta que no existe un beneficio claro y directo de la vacunación, pero sí un riesgo evidente de sufrir miocarditis y pericarditis, y sin que nos encontremos en una de las excepciones previstas en el art. 9 de la Ley 41/2002, básica de autonomía del paciente. Invoca, además, la sentencia del Tribunal Europeo de Derechos Humanos de 8 de marzo de 2022, en el asunto </w:t>
      </w:r>
      <w:r w:rsidRPr="008D479B">
        <w:rPr>
          <w:i/>
        </w:rPr>
        <w:t>Reyes Jiménez c. España</w:t>
      </w:r>
      <w:r>
        <w:t>. En cualquier caso, la norma específica aplicable en este caso es el art. 58.1 del Real Decreto Ley 1/2015 y el art. 5.3 del Real Decreto 1090/2015. La decisión, además, debe adoptarse en atención al interés superior del menor y no debe menoscabarse a favor de un tercero, lo que implicaría subordinar el primero. Al atribuirse la facultad unilateral de decidir a un progenitor respecto de la inoculación de un medicamento génico bajo seguimiento adicional, en fase de seguridad hasta diciembre de 2023, se vulnera el derecho a la integridad física si el otro progenitor manifestó fehacientemente su oposición.</w:t>
      </w:r>
    </w:p>
    <w:p w14:paraId="506BFC4B" w14:textId="77777777" w:rsidR="008D479B" w:rsidRDefault="008D479B" w:rsidP="008D479B">
      <w:pPr>
        <w:pStyle w:val="TextoNormal"/>
      </w:pPr>
    </w:p>
    <w:p w14:paraId="4ED53B3D" w14:textId="77777777" w:rsidR="008D479B" w:rsidRDefault="008D479B" w:rsidP="008D479B">
      <w:pPr>
        <w:pStyle w:val="TextoNormal"/>
      </w:pPr>
      <w:r>
        <w:t>En el suplico de la demanda de amparo se solicita, además, que se declare que no ha lugar el procedimiento de jurisdicción voluntaria para atribuir la facultad de decidir unilateralmente al progenitor la inoculación al menor de la vacuna, debiendo prevalecer el principio de prudencia, a falta de receta médica y de consentimiento informado, y no existiendo riesgo inminente para el menor.</w:t>
      </w:r>
    </w:p>
    <w:p w14:paraId="0C930C5B" w14:textId="77777777" w:rsidR="008D479B" w:rsidRDefault="008D479B" w:rsidP="008D479B">
      <w:pPr>
        <w:pStyle w:val="TextoNormal"/>
      </w:pPr>
    </w:p>
    <w:p w14:paraId="2CAD1AB8" w14:textId="41FD49F7" w:rsidR="008D479B" w:rsidRDefault="008D479B" w:rsidP="008D479B">
      <w:pPr>
        <w:pStyle w:val="TextoNormal"/>
      </w:pPr>
      <w:r>
        <w:t>Por medio de otrosí, solicitó la suspensión cautelar de la ejecución de los autos hasta la resolución del recurso de amparo.</w:t>
      </w:r>
    </w:p>
    <w:p w14:paraId="27D1869C" w14:textId="77777777" w:rsidR="008D479B" w:rsidRDefault="008D479B" w:rsidP="008D479B">
      <w:pPr>
        <w:pStyle w:val="TextoNormal"/>
      </w:pPr>
    </w:p>
    <w:p w14:paraId="716A30C0" w14:textId="77777777" w:rsidR="008D479B" w:rsidRDefault="008D479B" w:rsidP="008D479B">
      <w:pPr>
        <w:pStyle w:val="TextoNormal"/>
      </w:pPr>
      <w:r w:rsidRPr="008D479B">
        <w:rPr>
          <w:rStyle w:val="NumeroAFNegritaCaracter"/>
        </w:rPr>
        <w:t>4</w:t>
      </w:r>
      <w:r>
        <w:t>. Mediante providencia de 19 de junio de 2023, la Sección Segunda del Tribunal Constitucional acordó admitir a trámite el recurso de amparo apreciando que concurre en el mismo una especial trascendencia constitucional [art. 50.1 de la Ley Orgánica del Tribunal Constitucional (LOTC)] porque el recurso plantea un problema o afecta a una faceta de un derecho fundamental sobre el que no hay doctrina de este tribunal [STC 155/2009,de 25 de junio, FJ 2 a)] y, asimismo, porque el asunto suscitado trasciende del caso concreto porque plantea una cuestión jurídica de relevante y general repercusión social o económica [STC 155/2009, FJ 2 g)].</w:t>
      </w:r>
    </w:p>
    <w:p w14:paraId="6C88B91D" w14:textId="77777777" w:rsidR="008D479B" w:rsidRDefault="008D479B" w:rsidP="008D479B">
      <w:pPr>
        <w:pStyle w:val="TextoNormal"/>
      </w:pPr>
    </w:p>
    <w:p w14:paraId="27685683" w14:textId="77777777" w:rsidR="008D479B" w:rsidRDefault="008D479B" w:rsidP="008D479B">
      <w:pPr>
        <w:pStyle w:val="TextoNormal"/>
      </w:pPr>
      <w:r>
        <w:t>En la misma providencia se acordó, en aplicación de lo dispuesto en el art. 51 LOTC, dirigir atenta comunicación a la Sección Sexta de la Audiencia Provincial de Málaga a fin de que, en plazo no superior a diez días, remitiera certificación o fotocopia adverada de las actuaciones correspondientes al recurso de apelación 1810-2022, e, igualmente, al Juzgado de Primera Instancia e Instrucción núm. 5 de Estepona a fin de que, en plazo que no excediera de diez días, remitiera certificación o fotocopia adverada de las actuaciones correspondientes al procedimiento de jurisdicción voluntaria núm. 441-2022, debiendo emplazar previamente, para que en el plazo de diez días pudieran comparecer, si lo desearan, en el recurso de amparo, a quienes hubieran sido parte en el procedimiento, excepto la parte recurrente en amparo.</w:t>
      </w:r>
    </w:p>
    <w:p w14:paraId="6AAF6177" w14:textId="77777777" w:rsidR="008D479B" w:rsidRDefault="008D479B" w:rsidP="008D479B">
      <w:pPr>
        <w:pStyle w:val="TextoNormal"/>
      </w:pPr>
    </w:p>
    <w:p w14:paraId="4205C16A" w14:textId="265E9C93" w:rsidR="008D479B" w:rsidRDefault="008D479B" w:rsidP="008D479B">
      <w:pPr>
        <w:pStyle w:val="TextoNormal"/>
      </w:pPr>
      <w:r>
        <w:t>Finalmente, a solicitud de la parte actora se acordó formar la correspondiente pieza separada de suspensión.</w:t>
      </w:r>
    </w:p>
    <w:p w14:paraId="007FC201" w14:textId="77777777" w:rsidR="008D479B" w:rsidRDefault="008D479B" w:rsidP="008D479B">
      <w:pPr>
        <w:pStyle w:val="TextoNormal"/>
      </w:pPr>
    </w:p>
    <w:p w14:paraId="496C69BD" w14:textId="1C5D2BE2" w:rsidR="008D479B" w:rsidRDefault="008D479B" w:rsidP="008D479B">
      <w:pPr>
        <w:pStyle w:val="TextoNormal"/>
      </w:pPr>
      <w:r w:rsidRPr="008D479B">
        <w:rPr>
          <w:rStyle w:val="NumeroAFNegritaCaracter"/>
        </w:rPr>
        <w:t>5</w:t>
      </w:r>
      <w:r>
        <w:t>. Mediante otra providencia dictada en la misma fecha, 19 de junio de 2023, se acordó por la propia Sección Segunda de este tribunal en relación con la pieza de suspensión, otorgar plazo común de tres días al Ministerio Fiscal y al solicitante de amparo para alegaciones, conforme con el art. 56 LOTC.</w:t>
      </w:r>
    </w:p>
    <w:p w14:paraId="06FAF522" w14:textId="77777777" w:rsidR="008D479B" w:rsidRDefault="008D479B" w:rsidP="008D479B">
      <w:pPr>
        <w:pStyle w:val="TextoNormal"/>
      </w:pPr>
    </w:p>
    <w:p w14:paraId="200D0592" w14:textId="27E3FFE8" w:rsidR="008D479B" w:rsidRDefault="008D479B" w:rsidP="008D479B">
      <w:pPr>
        <w:pStyle w:val="TextoNormal"/>
      </w:pPr>
      <w:r w:rsidRPr="008D479B">
        <w:rPr>
          <w:rStyle w:val="NumeroAFNegritaCaracter"/>
        </w:rPr>
        <w:t>6</w:t>
      </w:r>
      <w:r>
        <w:t>. Por diligencia de 6 de julio de 2023 se hizo constar haber recibido los testimonios de actuaciones interesados al Juzgado de Primera Instancia e Instrucción núm. 5 de Estepona, sin haber recibido los emplazamientos interesados, por lo que con esta fecha se reclamaron los mismos al citado órgano. Por diligencia de 7 de septiembre de 2023 se hizo constar haber remitido el referido juzgado por correo electrónico los emplazamientos solicitados, incorporándose a las actuaciones. Por diligencia de 11 de septiembre de 2023 se hizo constar que se habían recibido los emplazamientos efectuados a las partes por el juzgado, y que había transcurrido el plazo concedido sin que hubieran presentado escrito alguno de personación.</w:t>
      </w:r>
    </w:p>
    <w:p w14:paraId="6DABB265" w14:textId="77777777" w:rsidR="008D479B" w:rsidRDefault="008D479B" w:rsidP="008D479B">
      <w:pPr>
        <w:pStyle w:val="TextoNormal"/>
      </w:pPr>
    </w:p>
    <w:p w14:paraId="3F7F9B22" w14:textId="77777777" w:rsidR="008D479B" w:rsidRDefault="008D479B" w:rsidP="008D479B">
      <w:pPr>
        <w:pStyle w:val="TextoNormal"/>
      </w:pPr>
      <w:r w:rsidRPr="008D479B">
        <w:rPr>
          <w:rStyle w:val="NumeroAFNegritaCaracter"/>
        </w:rPr>
        <w:t>7</w:t>
      </w:r>
      <w:r>
        <w:t>. Con fecha 6 de julio de 2023 la fiscal ante este Tribunal Constitucional presentó un escrito solicitando se acordase dirigir oficio al servicio de salud de Málaga a fin de que remitiera informe para aclarar si el menor don D.I.L. había sido ya vacunado contra la covid-19, a lo que se accedió por diligencia de ordenación de la Secretaría de Justicia de la Sala Primera, de 10 de julio de 2023.</w:t>
      </w:r>
    </w:p>
    <w:p w14:paraId="4FC02B00" w14:textId="77777777" w:rsidR="008D479B" w:rsidRDefault="008D479B" w:rsidP="008D479B">
      <w:pPr>
        <w:pStyle w:val="TextoNormal"/>
      </w:pPr>
    </w:p>
    <w:p w14:paraId="4CF44737" w14:textId="683BD275" w:rsidR="008D479B" w:rsidRDefault="008D479B" w:rsidP="008D479B">
      <w:pPr>
        <w:pStyle w:val="TextoNormal"/>
      </w:pPr>
      <w:r>
        <w:t>La directora gerente del distrito de atención primaria Costa del Sol contestó al requerimiento, por escrito que lleva fecha de 11 de julio de 2023 y se recibió en el registro de este tribunal el 11 de septiembre, diciendo que el menor “está actualmente vacunado con dos dosis de vacuna covid-19”.</w:t>
      </w:r>
    </w:p>
    <w:p w14:paraId="2B8E25A5" w14:textId="77777777" w:rsidR="008D479B" w:rsidRDefault="008D479B" w:rsidP="008D479B">
      <w:pPr>
        <w:pStyle w:val="TextoNormal"/>
      </w:pPr>
    </w:p>
    <w:p w14:paraId="478A011E" w14:textId="4FF44CF6" w:rsidR="008D479B" w:rsidRDefault="008D479B" w:rsidP="008D479B">
      <w:pPr>
        <w:pStyle w:val="TextoNormal"/>
      </w:pPr>
      <w:r w:rsidRPr="008D479B">
        <w:rPr>
          <w:rStyle w:val="NumeroAFNegritaCaracter"/>
        </w:rPr>
        <w:t>8</w:t>
      </w:r>
      <w:r>
        <w:t>. Por diligencia de ordenación de la Secretaría de Justicia de la Sala Primera de este tribunal, de 11 de septiembre de 2023, se acordó dar vista de las actuaciones recibidas a la parte recurrente y al Ministerio Fiscal por plazo común de veinte días, dentro de los cuales podrían presentar las alegaciones que estimasen pertinentes, conforme determina el art. 52.1 LOTC.</w:t>
      </w:r>
    </w:p>
    <w:p w14:paraId="3619F454" w14:textId="77777777" w:rsidR="008D479B" w:rsidRDefault="008D479B" w:rsidP="008D479B">
      <w:pPr>
        <w:pStyle w:val="TextoNormal"/>
      </w:pPr>
    </w:p>
    <w:p w14:paraId="60199237" w14:textId="77777777" w:rsidR="008D479B" w:rsidRDefault="008D479B" w:rsidP="008D479B">
      <w:pPr>
        <w:pStyle w:val="TextoNormal"/>
      </w:pPr>
      <w:r w:rsidRPr="008D479B">
        <w:rPr>
          <w:rStyle w:val="NumeroAFNegritaCaracter"/>
        </w:rPr>
        <w:t>9</w:t>
      </w:r>
      <w:r>
        <w:t>. La fiscal ante este tribunal presentó escrito en el registro de este tribunal el 20 de octubre de 2023 formulando sus alegaciones, en las que interesaba la íntegra desestimación del recurso de amparo y, subsidiariamente, la vulneración del derecho fundamental reconocido en el art. 15 CE y la nulidad de las resoluciones judiciales.</w:t>
      </w:r>
    </w:p>
    <w:p w14:paraId="5753B8FE" w14:textId="77777777" w:rsidR="008D479B" w:rsidRDefault="008D479B" w:rsidP="008D479B">
      <w:pPr>
        <w:pStyle w:val="TextoNormal"/>
      </w:pPr>
    </w:p>
    <w:p w14:paraId="7E60B650" w14:textId="77777777" w:rsidR="008D479B" w:rsidRDefault="008D479B" w:rsidP="008D479B">
      <w:pPr>
        <w:pStyle w:val="TextoNormal"/>
      </w:pPr>
      <w:r>
        <w:t>Pone de relieve la fiscal que a lo largo del procedimiento de jurisdicción voluntaria no se ha alegado la vulneración del art. 24 CE por no haber oído al menor de once años ni haber justificado el motivo para no hacerlo, circunstancia que tampoco se menciona en las resoluciones impugnadas. Pero señala, asimismo, que con arreglo a la doctrina constitucional [STC 5/2003, de 20 de enero, FJ 3 C)], esta circunstancia no puede ser introducida por el Ministerio Fiscal porque faltaría el requisito de la alegación previa en el proceso civil y supondría una ampliación/reconstrucción de la demanda, proscrita por la jurisprudencia constitucional.</w:t>
      </w:r>
    </w:p>
    <w:p w14:paraId="0FE6B568" w14:textId="77777777" w:rsidR="008D479B" w:rsidRDefault="008D479B" w:rsidP="008D479B">
      <w:pPr>
        <w:pStyle w:val="TextoNormal"/>
      </w:pPr>
    </w:p>
    <w:p w14:paraId="169A5257" w14:textId="77777777" w:rsidR="008D479B" w:rsidRDefault="008D479B" w:rsidP="008D479B">
      <w:pPr>
        <w:pStyle w:val="TextoNormal"/>
      </w:pPr>
      <w:r>
        <w:t>En cuanto a la motivación de las resoluciones judiciales, se sustenta en el mayor beneficio para la salud del menor, de acuerdo con el canon constitucional de motivación reforzada, al tener en cuenta el principio de interés superior del menor (art. 39 CE). Con sus razonamientos, las resoluciones dan una respuesta fundada a la cuestión planteada, motivando de forma suficiente las razones que han llevado a la decisión adoptada.</w:t>
      </w:r>
    </w:p>
    <w:p w14:paraId="2508A7D4" w14:textId="77777777" w:rsidR="008D479B" w:rsidRDefault="008D479B" w:rsidP="008D479B">
      <w:pPr>
        <w:pStyle w:val="TextoNormal"/>
      </w:pPr>
    </w:p>
    <w:p w14:paraId="41FB8DDB" w14:textId="77777777" w:rsidR="008D479B" w:rsidRDefault="008D479B" w:rsidP="008D479B">
      <w:pPr>
        <w:pStyle w:val="TextoNormal"/>
      </w:pPr>
      <w:r>
        <w:t>Considera que procede desestimar la vulneración del art. 14 CE porque se fundamenta en que resulta discriminatorio que se vacune al menor al gozar ya de inmunidad natural, sin más razonamientos.</w:t>
      </w:r>
    </w:p>
    <w:p w14:paraId="7BE660C2" w14:textId="77777777" w:rsidR="008D479B" w:rsidRDefault="008D479B" w:rsidP="008D479B">
      <w:pPr>
        <w:pStyle w:val="TextoNormal"/>
      </w:pPr>
    </w:p>
    <w:p w14:paraId="3CBC9717" w14:textId="77777777" w:rsidR="008D479B" w:rsidRDefault="008D479B" w:rsidP="008D479B">
      <w:pPr>
        <w:pStyle w:val="TextoNormal"/>
      </w:pPr>
      <w:r>
        <w:t>Tampoco considera que se haya vulnerado el art. 15 CE porque, en este caso, a diferencia de lo acontecido en la STC 38/2023, de 20 de abril, el procedimiento se inicia porque existe una discrepancia entre los progenitores acerca de la vacunación y el juez resuelve la atribución de la facultad de decidir a uno u otro en atención al interés superior del menor, tras analizar la argumentación y las pruebas de cada parte. Pero el órgano judicial no da una orden de vacunar; es el progenitor quien consentirá la vacunación valorando si tiene información suficiente actualizada en el momento en que vaya a vacunar a su hijo, al que oirá. No hay, por tanto, afectación del derecho a la integridad física. El consentimiento informado queda fuera del objeto del proceso.</w:t>
      </w:r>
    </w:p>
    <w:p w14:paraId="70FAADA4" w14:textId="77777777" w:rsidR="008D479B" w:rsidRDefault="008D479B" w:rsidP="008D479B">
      <w:pPr>
        <w:pStyle w:val="TextoNormal"/>
      </w:pPr>
    </w:p>
    <w:p w14:paraId="69C4957F" w14:textId="794E60E2" w:rsidR="008D479B" w:rsidRDefault="008D479B" w:rsidP="008D479B">
      <w:pPr>
        <w:pStyle w:val="TextoNormal"/>
      </w:pPr>
      <w:r>
        <w:t>No obstante, siendo esta la postura que mantiene la fiscal, advierte también sobre la posibilidad de que se considere que al atribuir la facultad de decidir sobre la vacunación a un progenitor, el órgano judicial de forma indirecta autoriza una actuación médica sobre el cuerpo del menor, por lo que se podría entender que se inserta en el ámbito del art. 15 CE. O que también se podría apreciar la necesidad de adelantar la protección del derecho reconocido en el art. 15 CE al momento mismo en que se determine qué progenitor debe decidir. De admitirse alguno de estos planteamientos, considera la fiscal que se habría vulnerado el derecho fundamental a la luz de los arts. 8 y 9 de la Ley 41/2002, básica de autonomía del paciente. Para determinar el interés superior del menor, este debe ser oído (art. 9 de la Ley Orgánica de protección jurídica del menor) y específicamente lo establece en este ámbito el art. 9.3 c) de la Ley 41/2002. Por tanto, debe determinarse en primer lugar si el menor tiene capacidad para comprender el alcance de la intervención, pues en ese caso decidirá el menor, y en segundo lugar, se le debe oír, teniendo más o menos en cuenta su opinión en función de su madurez. Pero en este caso no se practicó audiencia al menor ni se realizó diligencia alguna tendente a determinar si tenía capacidad para comprender el alcance de la intervención ni para averiguar su grado de madurez a efectos de la relevancia que se debiera dar a su opinión. Por ello, y aunque las decisiones judiciales se adoptaron atendiendo a lo que objetivamente, desde el punto de vista médico-científico, parece más conveniente para el hijo, al no practicarse ninguna diligencia en el sentido apuntado, se habría vulnerado el derecho a la integridad física del menor.</w:t>
      </w:r>
    </w:p>
    <w:p w14:paraId="2A7CB3AB" w14:textId="77777777" w:rsidR="008D479B" w:rsidRDefault="008D479B" w:rsidP="008D479B">
      <w:pPr>
        <w:pStyle w:val="TextoNormal"/>
      </w:pPr>
    </w:p>
    <w:p w14:paraId="26AFD4DC" w14:textId="4285CEF1" w:rsidR="008D479B" w:rsidRDefault="008D479B" w:rsidP="008D479B">
      <w:pPr>
        <w:pStyle w:val="TextoNormal"/>
      </w:pPr>
      <w:r w:rsidRPr="008D479B">
        <w:rPr>
          <w:rStyle w:val="NumeroAFNegritaCaracter"/>
        </w:rPr>
        <w:t>10</w:t>
      </w:r>
      <w:r>
        <w:t>. En virtud de diligencia de la Secretaría de Justicia de 23 de octubre de 2023, se hizo constar la recepción única del escrito de alegaciones del Ministerio Fiscal.</w:t>
      </w:r>
    </w:p>
    <w:p w14:paraId="782FB5ED" w14:textId="77777777" w:rsidR="008D479B" w:rsidRDefault="008D479B" w:rsidP="008D479B">
      <w:pPr>
        <w:pStyle w:val="TextoNormal"/>
      </w:pPr>
    </w:p>
    <w:p w14:paraId="4F4CB965" w14:textId="4D7125EB" w:rsidR="008D479B" w:rsidRDefault="008D479B" w:rsidP="008D479B">
      <w:pPr>
        <w:pStyle w:val="TextoNormal"/>
      </w:pPr>
      <w:r w:rsidRPr="008D479B">
        <w:rPr>
          <w:rStyle w:val="NumeroAFNegritaCaracter"/>
        </w:rPr>
        <w:t>11</w:t>
      </w:r>
      <w:r>
        <w:t>. Por providencia de 16 de noviembre de 2023, se señaló para deliberación y votación de la presente sentencia el día 20 del mismo mes y año.</w:t>
      </w:r>
    </w:p>
    <w:p w14:paraId="0D1BBB9B" w14:textId="77777777" w:rsidR="008D479B" w:rsidRDefault="008D479B" w:rsidP="008D479B">
      <w:pPr>
        <w:pStyle w:val="TextoNormal"/>
      </w:pPr>
    </w:p>
    <w:p w14:paraId="4A370696" w14:textId="77777777" w:rsidR="008D479B" w:rsidRDefault="008D479B" w:rsidP="008D479B">
      <w:pPr>
        <w:pStyle w:val="TextoNormalNegritaCentrado"/>
        <w:keepNext/>
      </w:pPr>
      <w:r>
        <w:t>II. Fundamentos jurídicos</w:t>
      </w:r>
    </w:p>
    <w:p w14:paraId="1649108A" w14:textId="0C0C2D6B" w:rsidR="008D479B" w:rsidRDefault="008D479B" w:rsidP="008D479B">
      <w:pPr>
        <w:pStyle w:val="TextoNormalNegritaCentrado"/>
        <w:keepNext/>
      </w:pPr>
    </w:p>
    <w:p w14:paraId="78D18F95" w14:textId="77777777" w:rsidR="008D479B" w:rsidRDefault="008D479B" w:rsidP="008D479B">
      <w:pPr>
        <w:pStyle w:val="TextoNormal"/>
      </w:pPr>
      <w:r w:rsidRPr="008D479B">
        <w:rPr>
          <w:rStyle w:val="NumeroAFNegritaCaracter"/>
        </w:rPr>
        <w:t>1</w:t>
      </w:r>
      <w:r>
        <w:t xml:space="preserve">. </w:t>
      </w:r>
      <w:r w:rsidRPr="008D479B">
        <w:rPr>
          <w:i/>
        </w:rPr>
        <w:t>Objeto del recurso</w:t>
      </w:r>
    </w:p>
    <w:p w14:paraId="766FBD0F" w14:textId="77777777" w:rsidR="008D479B" w:rsidRDefault="008D479B" w:rsidP="008D479B">
      <w:pPr>
        <w:pStyle w:val="TextoNormal"/>
      </w:pPr>
    </w:p>
    <w:p w14:paraId="3A99A5B3" w14:textId="77777777" w:rsidR="008D479B" w:rsidRDefault="008D479B" w:rsidP="008D479B">
      <w:pPr>
        <w:pStyle w:val="TextoNormal"/>
      </w:pPr>
      <w:r>
        <w:t>El presente recurso de amparo se dirige contra el auto de 13 de julio de 2022 del Juzgado de Primera Instancia núm. 5 de Estepona en el procedimiento de jurisdicción voluntaria (intervención judicial por desacuerdo en el ejercicio de la patria potestad núm. 441-2022), que atribuyó a doña M.A.I.O., la facultad de decidir sobre la administración de la vacuna frente a la covid-19 a su hijo menor de edad, y contra el auto de 8 de febrero de 2023 dictado por la Sección Sexta de la Audiencia Provincial de Málaga en el rollo de apelación núm. 1810-2022, confirmatorio del anterior.</w:t>
      </w:r>
    </w:p>
    <w:p w14:paraId="6A1CED9A" w14:textId="77777777" w:rsidR="008D479B" w:rsidRDefault="008D479B" w:rsidP="008D479B">
      <w:pPr>
        <w:pStyle w:val="TextoNormal"/>
      </w:pPr>
    </w:p>
    <w:p w14:paraId="76BDCFAA" w14:textId="6482C491" w:rsidR="008D479B" w:rsidRDefault="008D479B" w:rsidP="008D479B">
      <w:pPr>
        <w:pStyle w:val="TextoNormal"/>
      </w:pPr>
      <w:r>
        <w:t>Dada la naturaleza de los hechos, debe señalarse que, en aplicación de las potestades atribuidas a este tribunal por el art. 86.3 LOTC y el acuerdo del Pleno de 23 de julio de 2015, por el que se regula la exclusión de los datos de identidad personal en la publicación de las resoluciones jurisdiccionales (“Boletín Oficial del Estado” núm. 178, de 27 de julio de 2015), la presente sentencia y demás actuaciones del proceso no incluyen la identificación completa de la persona menor de edad afectada ni la de sus parientes inmediatos que aparecen mencionados en las actuaciones, con el fin de proteger la intimidad de aquella.</w:t>
      </w:r>
    </w:p>
    <w:p w14:paraId="4B6411FA" w14:textId="77777777" w:rsidR="008D479B" w:rsidRDefault="008D479B" w:rsidP="008D479B">
      <w:pPr>
        <w:pStyle w:val="TextoNormal"/>
      </w:pPr>
    </w:p>
    <w:p w14:paraId="738326E2" w14:textId="77777777" w:rsidR="008D479B" w:rsidRDefault="008D479B" w:rsidP="008D479B">
      <w:pPr>
        <w:pStyle w:val="TextoNormal"/>
      </w:pPr>
      <w:r w:rsidRPr="008D479B">
        <w:rPr>
          <w:rStyle w:val="NumeroAFNegritaCaracter"/>
        </w:rPr>
        <w:t>2</w:t>
      </w:r>
      <w:r>
        <w:t xml:space="preserve">. </w:t>
      </w:r>
      <w:r w:rsidRPr="008D479B">
        <w:rPr>
          <w:i/>
        </w:rPr>
        <w:t>Cuestiones previas y delimitación de los derechos fundamentales concernidos</w:t>
      </w:r>
    </w:p>
    <w:p w14:paraId="4FA11814" w14:textId="77777777" w:rsidR="008D479B" w:rsidRDefault="008D479B" w:rsidP="008D479B">
      <w:pPr>
        <w:pStyle w:val="TextoNormal"/>
      </w:pPr>
    </w:p>
    <w:p w14:paraId="355D2EB7" w14:textId="403B8733" w:rsidR="008D479B" w:rsidRDefault="008D479B" w:rsidP="008D479B">
      <w:pPr>
        <w:pStyle w:val="TextoNormal"/>
      </w:pPr>
      <w:r>
        <w:t>La demanda alega, como núcleo central de su pretensión, la vulneración del derecho a la integridad personal reconocido en el art. 15 CE, de modo que las distintas quejas planteadas bajo la cobertura del art. 24.1 y 2 CE, consignadas en los antecedentes de esta resolución, deben calificarse de instrumentales en relación con la queja de vulneración del derecho a la integridad personal. Tampoco procede examinar la vulneración del derecho a la igualdad (art. 14 CE), al no haberse individualizado, en los términos exigidos por la jurisprudencia de este tribunal, un término válido de comparación que fundamente la existencia de discriminación.</w:t>
      </w:r>
    </w:p>
    <w:p w14:paraId="18EA72D4" w14:textId="77777777" w:rsidR="008D479B" w:rsidRDefault="008D479B" w:rsidP="008D479B">
      <w:pPr>
        <w:pStyle w:val="TextoNormal"/>
      </w:pPr>
    </w:p>
    <w:p w14:paraId="5CD39118" w14:textId="77777777" w:rsidR="008D479B" w:rsidRDefault="008D479B" w:rsidP="008D479B">
      <w:pPr>
        <w:pStyle w:val="TextoNormal"/>
      </w:pPr>
      <w:r w:rsidRPr="008D479B">
        <w:rPr>
          <w:rStyle w:val="NumeroAFNegritaCaracter"/>
        </w:rPr>
        <w:t>3</w:t>
      </w:r>
      <w:r>
        <w:t xml:space="preserve">. </w:t>
      </w:r>
      <w:r w:rsidRPr="008D479B">
        <w:rPr>
          <w:i/>
        </w:rPr>
        <w:t>Aplicación de la doctrina constitucional expuesta en la STC 148/2023, de 6 de noviembre</w:t>
      </w:r>
    </w:p>
    <w:p w14:paraId="239089DE" w14:textId="77777777" w:rsidR="008D479B" w:rsidRDefault="008D479B" w:rsidP="008D479B">
      <w:pPr>
        <w:pStyle w:val="TextoNormal"/>
      </w:pPr>
    </w:p>
    <w:p w14:paraId="351C1172" w14:textId="77777777" w:rsidR="008D479B" w:rsidRDefault="008D479B" w:rsidP="008D479B">
      <w:pPr>
        <w:pStyle w:val="TextoNormal"/>
      </w:pPr>
      <w:r>
        <w:t>La cuestión constitucional suscitada en este recurso en relación con el derecho fundamental a la integridad física y moral (art. 15 CE) y si este ha sido vulnerado por autorizarse judicialmente a uno de los padres a que proceda a la vacunación del hijo menor de edad contra el virus de la covid-19, en caso de discrepancia con el otro progenitor (o en su caso autorizar al Ministerio Fiscal si ambos padres se oponen a la vacuna), es la misma que ya ha sido objeto de análisis por el Pleno de este tribunal en la STC 148/2023, de 6 de noviembre, en cuyos fundamentos jurídicos 4 y 5 se expusieron de manera pormenorizada las pautas de ponderación necesarias para determinar si en este tipo de supuestos se ha vulnerado el derecho a la integridad personal, centrando la cuestión en que la administración de la vacuna, a falta de consentimiento libre, válido e informado de la persona afectada, precisa para su constitucionalidad el cumplimiento de los requisitos generales que, de acuerdo con nuestra doctrina, rigen la restricción de los derechos fundamentales sustantivos.</w:t>
      </w:r>
    </w:p>
    <w:p w14:paraId="7CE4EAE0" w14:textId="77777777" w:rsidR="008D479B" w:rsidRDefault="008D479B" w:rsidP="008D479B">
      <w:pPr>
        <w:pStyle w:val="TextoNormal"/>
      </w:pPr>
    </w:p>
    <w:p w14:paraId="279F25FB" w14:textId="77777777" w:rsidR="008D479B" w:rsidRDefault="008D479B" w:rsidP="008D479B">
      <w:pPr>
        <w:pStyle w:val="TextoNormal"/>
      </w:pPr>
      <w:r>
        <w:t>En atención a lo expuesto, en este caso, como también se concluyó en la STC 148/2023, FJ 5, el Tribunal rechaza que se haya vulnerado el art. 15 CE al constatarse que (i) se cumple el presupuesto básico que el art. 9.3, letra c) de la Ley 41/2002 establece para que pueda acudirse al consentimiento por representación —otorgado por los progenitores de común acuerdo o por la autoridad judicial en caso de desacuerdo— porque el menor, de once años de edad, carecía de la capacidad emocional e intelectual necesarias para comprender el alcance la intervención y los padres contaban con la información adecuada para la prestación del consentimiento desde un momento anterior incluso a la iniciación del procedimiento de jurisdicción voluntaria, por lo que no cabe apreciar la ausencia de consentimiento informado; y (ii) la motivación de las resoluciones judiciales tuvo como fundamento esencial la protección del interés superior del menor en relación con la protección de su salud, teniendo en cuenta la recomendación de las autoridades sanitarias, que se mostraban a favor de la vacunación de menores haciendo una ponderación de riesgos y beneficios de la vacuna, que el órgano judicial no estima desvirtuadas por los informes aportados por el recurrente; sin que se haya acreditado tampoco contraindicación alguna para la vacuna de don D.I.L.</w:t>
      </w:r>
    </w:p>
    <w:p w14:paraId="2B35EF30" w14:textId="77777777" w:rsidR="008D479B" w:rsidRDefault="008D479B" w:rsidP="008D479B">
      <w:pPr>
        <w:pStyle w:val="TextoNormal"/>
      </w:pPr>
    </w:p>
    <w:p w14:paraId="5764B82B" w14:textId="77777777" w:rsidR="008D479B" w:rsidRDefault="008D479B" w:rsidP="008D479B">
      <w:pPr>
        <w:pStyle w:val="TextoNormal"/>
      </w:pPr>
      <w:r>
        <w:t xml:space="preserve">Todo lo razonado hasta aquí conduce pues a la desestimación de la demanda presentada, tal como solicitaba como pretensión principal la fiscal ante este tribunal en su escrito de alegaciones del art. 52 LOTC. No cabe entrar por ello en el examen de la lesión del art. 15 CE por falta de audiencia del menor por el juez </w:t>
      </w:r>
      <w:r w:rsidRPr="008D479B">
        <w:rPr>
          <w:i/>
        </w:rPr>
        <w:t>a quo</w:t>
      </w:r>
      <w:r>
        <w:t xml:space="preserve">, aducido por la fiscal pero a título subsidiario. Queja que además no fue invocada por el demandante de amparo (quien centra la falta de consentimiento informado en su propia persona, como progenitor), no correspondiendo al Ministerio Fiscal la deducción de pretensiones propias salvo si actúa como promotor de la demanda de amparo </w:t>
      </w:r>
      <w:r w:rsidRPr="008D479B">
        <w:rPr>
          <w:i/>
        </w:rPr>
        <w:t>ex</w:t>
      </w:r>
      <w:r>
        <w:t xml:space="preserve"> art. 46.1 b) LOTC, lo que no es este caso.</w:t>
      </w:r>
    </w:p>
    <w:p w14:paraId="14738666" w14:textId="77777777" w:rsidR="008D479B" w:rsidRDefault="008D479B" w:rsidP="008D479B">
      <w:pPr>
        <w:pStyle w:val="TextoNormal"/>
      </w:pPr>
    </w:p>
    <w:p w14:paraId="4A9C5331" w14:textId="6F4D29F4" w:rsidR="008D479B" w:rsidRDefault="008D479B" w:rsidP="008D479B">
      <w:pPr>
        <w:pStyle w:val="TextoNormal"/>
      </w:pPr>
      <w:r>
        <w:t>Finalmente, cabe indicar que la resolución sobre el fondo de este recurso implica que no resulte procedente, por innecesario, resolver sobre la medida cautelar de suspensión solicitada por la demandante, lo que determina que deba acordarse el archivo de la pieza separada de suspensión.</w:t>
      </w:r>
    </w:p>
    <w:p w14:paraId="47F8C1C5" w14:textId="77777777" w:rsidR="008D479B" w:rsidRDefault="008D479B" w:rsidP="008D479B">
      <w:pPr>
        <w:pStyle w:val="TextoNormal"/>
      </w:pPr>
    </w:p>
    <w:p w14:paraId="6F126198" w14:textId="77777777" w:rsidR="008D479B" w:rsidRDefault="008D479B" w:rsidP="008D479B">
      <w:pPr>
        <w:pStyle w:val="TextoNormalCentrado"/>
        <w:keepNext/>
      </w:pPr>
      <w:r>
        <w:t>FALLO</w:t>
      </w:r>
    </w:p>
    <w:p w14:paraId="6AF478A0" w14:textId="3FC476E7" w:rsidR="008D479B" w:rsidRDefault="008D479B" w:rsidP="008D479B">
      <w:pPr>
        <w:pStyle w:val="TextoNormalCentrado"/>
        <w:keepNext/>
      </w:pPr>
    </w:p>
    <w:p w14:paraId="0F524C63" w14:textId="63491CD2" w:rsidR="008D479B" w:rsidRDefault="008D479B" w:rsidP="008D479B">
      <w:pPr>
        <w:pStyle w:val="TextoNormal"/>
      </w:pPr>
      <w:r>
        <w:t>En atención a todo lo expuesto, el Tribunal Constitucional, por la autoridad que le confiere la Constitución de la Nación española, ha decidido desestimar el recurso de amparo interpuesto por don D.L.M., con archivo de la pieza separada de suspensión.</w:t>
      </w:r>
    </w:p>
    <w:p w14:paraId="6594CE2B" w14:textId="77777777" w:rsidR="008D479B" w:rsidRDefault="008D479B" w:rsidP="008D479B">
      <w:pPr>
        <w:pStyle w:val="TextoNormal"/>
      </w:pPr>
    </w:p>
    <w:p w14:paraId="01C62E86" w14:textId="77777777" w:rsidR="008D479B" w:rsidRDefault="008D479B" w:rsidP="008D479B">
      <w:pPr>
        <w:pStyle w:val="TextoNormal"/>
      </w:pPr>
      <w:r>
        <w:t>Publíquese esta sentencia en el “Boletín Oficial del Estado”.</w:t>
      </w:r>
    </w:p>
    <w:p w14:paraId="58306DBE" w14:textId="77777777" w:rsidR="008D479B" w:rsidRDefault="008D479B" w:rsidP="008D479B">
      <w:pPr>
        <w:pStyle w:val="TextoNormal"/>
      </w:pPr>
      <w:r>
        <w:t>Dada en Madrid, a veinte de noviembre de dos mil veintitrés.</w:t>
      </w:r>
    </w:p>
    <w:p w14:paraId="6DA765C6" w14:textId="49F844A1" w:rsidR="008D479B" w:rsidRDefault="008D479B">
      <w:pPr>
        <w:spacing w:after="160" w:line="278" w:lineRule="auto"/>
        <w:rPr>
          <w:rFonts w:ascii="Times New Roman" w:eastAsia="Times New Roman" w:hAnsi="Times New Roman" w:cs="Times New Roman"/>
          <w:sz w:val="24"/>
          <w:szCs w:val="24"/>
          <w:lang w:eastAsia="es-ES"/>
        </w:rPr>
      </w:pPr>
      <w:r>
        <w:br w:type="page"/>
      </w:r>
    </w:p>
    <w:p w14:paraId="75552AF5" w14:textId="77777777" w:rsidR="008D479B" w:rsidRDefault="008D479B" w:rsidP="008D479B">
      <w:pPr>
        <w:pStyle w:val="TtuloResolucin"/>
      </w:pPr>
      <w:bookmarkStart w:id="88" w:name="SENTENCIA_2023_163"/>
      <w:r>
        <w:t>SENTENCIA 163/2023, de 20 de noviembre de 2023</w:t>
      </w:r>
    </w:p>
    <w:bookmarkEnd w:id="88"/>
    <w:p w14:paraId="32076D57" w14:textId="77777777" w:rsidR="008D479B" w:rsidRDefault="008D479B" w:rsidP="008D479B">
      <w:pPr>
        <w:pStyle w:val="TtuloResolucin"/>
      </w:pPr>
      <w:r>
        <w:t>Sala Primera</w:t>
      </w:r>
    </w:p>
    <w:p w14:paraId="4B6360B8" w14:textId="77777777" w:rsidR="008D479B" w:rsidRDefault="008D479B" w:rsidP="008D479B">
      <w:pPr>
        <w:pStyle w:val="TtuloBOE"/>
      </w:pPr>
      <w:r>
        <w:t>(BOE núm. 304, de 21 de diciembre de 2023)</w:t>
      </w:r>
    </w:p>
    <w:p w14:paraId="22F88825" w14:textId="77777777" w:rsidR="008D479B" w:rsidRDefault="008D479B" w:rsidP="008D479B">
      <w:pPr>
        <w:pStyle w:val="TextoNormalCentrado"/>
      </w:pPr>
      <w:r>
        <w:t>ECLI:ES:TC:2023:163</w:t>
      </w:r>
    </w:p>
    <w:p w14:paraId="2AB5C55D" w14:textId="1A6154A2" w:rsidR="008D479B" w:rsidRDefault="008D479B" w:rsidP="008D479B">
      <w:pPr>
        <w:pStyle w:val="TextoNormalCentrado"/>
      </w:pPr>
    </w:p>
    <w:p w14:paraId="6E53F338" w14:textId="77777777" w:rsidR="008D479B" w:rsidRDefault="008D479B" w:rsidP="008D479B">
      <w:pPr>
        <w:pStyle w:val="SntesisDescriptiva"/>
      </w:pPr>
      <w:r>
        <w:t>Recurso de amparo 2048-2023. Promovido por doña M.I.O.C., y don I.R.Q., respecto de los autos dictados por la Audiencia Provincial de Las Palmas y un juzgado de primera instancia e instrucción de Arucas que acordaron la administración de la vacuna frente a la covid-19.</w:t>
      </w:r>
    </w:p>
    <w:p w14:paraId="60D5729D" w14:textId="09FDF2B0" w:rsidR="008D479B" w:rsidRDefault="008D479B" w:rsidP="008D479B">
      <w:pPr>
        <w:pStyle w:val="SntesisDescriptiva"/>
      </w:pPr>
    </w:p>
    <w:p w14:paraId="31805560" w14:textId="77777777" w:rsidR="008D479B" w:rsidRDefault="008D479B" w:rsidP="008D479B">
      <w:pPr>
        <w:pStyle w:val="SntesisAnaltica"/>
      </w:pPr>
      <w:r>
        <w:t>Supuesta vulneración de los derechos a la igualdad, la integridad física, la intimidad y la tutela judicial efectiva (motivación): STC 38/2023 (resoluciones judiciales que realizaron una ponderación adecuada de los intereses de una persona vulnerable y proporcionada a sus necesidades atendiendo a las circunstancias concurrentes).</w:t>
      </w:r>
    </w:p>
    <w:p w14:paraId="273641D6" w14:textId="7A3A8153" w:rsidR="008D479B" w:rsidRDefault="008D479B" w:rsidP="008D479B">
      <w:pPr>
        <w:pStyle w:val="SntesisAnaltica"/>
      </w:pPr>
    </w:p>
    <w:p w14:paraId="55E5B7E1" w14:textId="7A66D4C4" w:rsidR="008D479B" w:rsidRDefault="008D479B" w:rsidP="008D479B">
      <w:pPr>
        <w:pStyle w:val="Extracto"/>
      </w:pPr>
      <w:r>
        <w:t>1.</w:t>
      </w:r>
      <w:r>
        <w:tab/>
        <w:t>Aplicación de la doctrina dictada en la STC 38/2023, en materia de enjuiciamiento de la autorización judicial para la vacunación contra el covid-19 de una persona mayor de edad, pero privada de la suficiente capacidad intelectual para poder emitir por sí misma el consentimiento informado de esa actuación sanitaria sobre su cuerpo, constando además la opinión en contra del familiar que se había hecho cargo de su cuidado [FJ único].</w:t>
      </w:r>
    </w:p>
    <w:p w14:paraId="741AC71D" w14:textId="77777777" w:rsidR="008D479B" w:rsidRDefault="008D479B" w:rsidP="008D479B">
      <w:pPr>
        <w:pStyle w:val="Extracto"/>
      </w:pPr>
    </w:p>
    <w:p w14:paraId="6B886F32" w14:textId="478E5346" w:rsidR="008D479B" w:rsidRDefault="008D479B" w:rsidP="008D479B">
      <w:pPr>
        <w:pStyle w:val="Extracto"/>
      </w:pPr>
      <w:r>
        <w:t>2.</w:t>
      </w:r>
      <w:r>
        <w:tab/>
        <w:t>Respecto de la invocación del art. 15 CE, son pautas de ponderación necesarias para determinar que la autorización judicial para vacunar a una persona con discapacidad respeta el derecho a la integridad personal: (i) debe contar con la habilitación legal que ofrece el art. 9.6 de la Ley 41/2002, precepto que defiende los intereses del paciente en un contexto de peligro para su salud y en una situación en que no pueda decidir por sí mismo sobre el tratamiento médico prescrito; y (ii) ha de responder al fin de proteger a la persona con discapacidad, ponderando beneficios y perjuicios. Además, debe ser proporcional a sus necesidades, de acuerdo con las circunstancias concurrentes (STC 38/2023) [FJ único].</w:t>
      </w:r>
    </w:p>
    <w:p w14:paraId="1ACC545C" w14:textId="77777777" w:rsidR="008D479B" w:rsidRDefault="008D479B" w:rsidP="008D479B">
      <w:pPr>
        <w:pStyle w:val="Extracto"/>
      </w:pPr>
    </w:p>
    <w:p w14:paraId="7315844F" w14:textId="77777777" w:rsidR="008D479B" w:rsidRDefault="008D479B" w:rsidP="008D479B">
      <w:pPr>
        <w:pStyle w:val="Extracto"/>
      </w:pPr>
    </w:p>
    <w:p w14:paraId="0B71D4DB" w14:textId="77777777" w:rsidR="008D479B" w:rsidRDefault="008D479B" w:rsidP="008D479B">
      <w:pPr>
        <w:pStyle w:val="TextoNormal"/>
      </w:pPr>
      <w:r>
        <w:t>La Sala Primera del Tribunal Constitucional, compuesta por el magistrado don Cándido Conde-Pumpido Tourón, presidente, y los magistrados y magistradas don Ricardo Enríquez Sancho, doña Concepción Espejel Jorquera, doña María Luisa Segoviano Astaburuaga y don Juan Carlos Campo Moreno, ha pronunciado</w:t>
      </w:r>
    </w:p>
    <w:p w14:paraId="5CC7D7DF" w14:textId="26970A46" w:rsidR="008D479B" w:rsidRDefault="008D479B" w:rsidP="008D479B">
      <w:pPr>
        <w:pStyle w:val="TextoNormal"/>
      </w:pPr>
    </w:p>
    <w:p w14:paraId="147D78B4" w14:textId="77777777" w:rsidR="008D479B" w:rsidRDefault="008D479B" w:rsidP="008D479B">
      <w:pPr>
        <w:pStyle w:val="TextoNormalCentrado"/>
        <w:keepNext/>
      </w:pPr>
      <w:r>
        <w:t>EN NOMBRE DEL REY</w:t>
      </w:r>
    </w:p>
    <w:p w14:paraId="0172B5DA" w14:textId="28B72119" w:rsidR="008D479B" w:rsidRDefault="008D479B" w:rsidP="008D479B">
      <w:pPr>
        <w:pStyle w:val="TextoNormalCentrado"/>
        <w:keepNext/>
      </w:pPr>
    </w:p>
    <w:p w14:paraId="1DA669F7" w14:textId="77777777" w:rsidR="008D479B" w:rsidRDefault="008D479B" w:rsidP="008D479B">
      <w:pPr>
        <w:pStyle w:val="TextoNormalCentrado"/>
        <w:keepNext/>
      </w:pPr>
    </w:p>
    <w:p w14:paraId="67CE1371" w14:textId="77777777" w:rsidR="008D479B" w:rsidRDefault="008D479B" w:rsidP="008D479B">
      <w:pPr>
        <w:pStyle w:val="TextoNormal"/>
      </w:pPr>
      <w:r>
        <w:t>la siguiente</w:t>
      </w:r>
    </w:p>
    <w:p w14:paraId="1136CE29" w14:textId="7E8FA586" w:rsidR="008D479B" w:rsidRDefault="008D479B" w:rsidP="008D479B">
      <w:pPr>
        <w:pStyle w:val="TextoNormal"/>
      </w:pPr>
    </w:p>
    <w:p w14:paraId="5FCF1745" w14:textId="77777777" w:rsidR="008D479B" w:rsidRDefault="008D479B" w:rsidP="008D479B">
      <w:pPr>
        <w:pStyle w:val="TextoNormalCentrado"/>
        <w:keepNext/>
      </w:pPr>
      <w:r>
        <w:t>SENTENCIA</w:t>
      </w:r>
    </w:p>
    <w:p w14:paraId="50DD4FFE" w14:textId="5552AD4C" w:rsidR="008D479B" w:rsidRDefault="008D479B" w:rsidP="008D479B">
      <w:pPr>
        <w:pStyle w:val="TextoNormalCentrado"/>
        <w:keepNext/>
      </w:pPr>
    </w:p>
    <w:p w14:paraId="3131CA87" w14:textId="77777777" w:rsidR="008D479B" w:rsidRDefault="008D479B" w:rsidP="008D479B">
      <w:pPr>
        <w:pStyle w:val="TextoNormal"/>
      </w:pPr>
      <w:r>
        <w:t>En el recurso de amparo núm. 2048-2023, interpuesto por doña M.I.O.C., y don I.R.Q., contra el auto de 14 de marzo de 2022 dictado por el Juzgado de Primera Instancia e Instrucción núm. 3 de Arucas en el procedimiento de jurisdicción voluntaria 642-2021, y contra el auto de 10 de febrero de 2023 de la Sección Tercera de la Audiencia Provincial de Las Palmas, en el rollo de apelación núm. 842-2022. Se ha personado sin formular alegaciones el defensor judicial de don D.R.O. Ha intervenido el Ministerio Fiscal. Ha sido ponente el magistrado don Ricardo Enríquez Sancho.</w:t>
      </w:r>
    </w:p>
    <w:p w14:paraId="433728A5" w14:textId="7C06EFFD" w:rsidR="008D479B" w:rsidRDefault="008D479B" w:rsidP="008D479B">
      <w:pPr>
        <w:pStyle w:val="TextoNormal"/>
      </w:pPr>
    </w:p>
    <w:p w14:paraId="4DFC5B6E" w14:textId="77777777" w:rsidR="008D479B" w:rsidRDefault="008D479B" w:rsidP="008D479B">
      <w:pPr>
        <w:pStyle w:val="TextoNormalNegritaCentrado"/>
        <w:keepNext/>
      </w:pPr>
      <w:r>
        <w:t>I. Antecedentes</w:t>
      </w:r>
    </w:p>
    <w:p w14:paraId="603595E7" w14:textId="02C4ABB8" w:rsidR="008D479B" w:rsidRDefault="008D479B" w:rsidP="008D479B">
      <w:pPr>
        <w:pStyle w:val="TextoNormalNegritaCentrado"/>
        <w:keepNext/>
      </w:pPr>
    </w:p>
    <w:p w14:paraId="2EE8F45F" w14:textId="5394BF25" w:rsidR="008D479B" w:rsidRDefault="008D479B" w:rsidP="008D479B">
      <w:pPr>
        <w:pStyle w:val="TextoNormal"/>
      </w:pPr>
      <w:r w:rsidRPr="008D479B">
        <w:rPr>
          <w:rStyle w:val="NumeroAFNegritaCaracter"/>
        </w:rPr>
        <w:t>1</w:t>
      </w:r>
      <w:r>
        <w:t>. Doña M.I.O.C., y don I.R.Q., representados por el procurador de los tribunales don Carmelo Ortiz Pérez y bajo la defensa de la abogada doña Cristina Rosa Armas Suárez, han interpuesto recurso de amparo contra las resoluciones reseñadas en el encabezamiento de la presente resolución mediante escrito presentado en el registro de este tribunal el día 28 de marzo de 2023.</w:t>
      </w:r>
    </w:p>
    <w:p w14:paraId="20C19F1A" w14:textId="77777777" w:rsidR="008D479B" w:rsidRDefault="008D479B" w:rsidP="008D479B">
      <w:pPr>
        <w:pStyle w:val="TextoNormal"/>
      </w:pPr>
    </w:p>
    <w:p w14:paraId="1FDD7918" w14:textId="77777777" w:rsidR="008D479B" w:rsidRDefault="008D479B" w:rsidP="008D479B">
      <w:pPr>
        <w:pStyle w:val="TextoNormal"/>
      </w:pPr>
      <w:r w:rsidRPr="008D479B">
        <w:rPr>
          <w:rStyle w:val="NumeroAFNegritaCaracter"/>
        </w:rPr>
        <w:t>2</w:t>
      </w:r>
      <w:r>
        <w:t>. Los hechos de los que trae causa la demanda de amparo son, en síntesis, los siguientes:</w:t>
      </w:r>
    </w:p>
    <w:p w14:paraId="29D16937" w14:textId="77777777" w:rsidR="008D479B" w:rsidRDefault="008D479B" w:rsidP="008D479B">
      <w:pPr>
        <w:pStyle w:val="TextoNormal"/>
      </w:pPr>
    </w:p>
    <w:p w14:paraId="63E1DE5A" w14:textId="77777777" w:rsidR="008D479B" w:rsidRDefault="008D479B" w:rsidP="008D479B">
      <w:pPr>
        <w:pStyle w:val="TextoNormal"/>
      </w:pPr>
      <w:r>
        <w:t>a) El Ministerio Fiscal instó la incoación de procedimiento de jurisdicción voluntaria respecto de don D.R.O., mayor de edad con capacidad de obrar modificada judicialmente, al amparo de los arts. 158 y 216 del Código civil (CC) y los arts. 87 a 89 de la Ley 15/2015, de 2 de julio, de la jurisdicción voluntaria, el art. 9.6 de la Ley 41/2002, básica reguladora de la autonomía del paciente, los arts. 12, 17 y 25 de la Convención de Naciones Unidas sobre los derechos de las personas con discapacidad y los arts. 1 y 3.6 y 7 del estatuto orgánico del Ministerio Fiscal, por ser de su interés para la protección de su vida y de su salud la administración de la vacuna frente a la covid-19, ante la negativa de sus padres y tutores, doña M.I.O.C., y don I.R.Q., a la inoculación de la vacuna a su hijo, por considerar que la decisión de sus progenitores es contraria al interés del mayor beneficio para la salud y la vida de don D.R.O., y dado que este no puede decidir por sí mismo sobre dicha vacunación, como consecuencia de la parálisis cerebral que padece.</w:t>
      </w:r>
    </w:p>
    <w:p w14:paraId="2FB33767" w14:textId="77777777" w:rsidR="008D479B" w:rsidRDefault="008D479B" w:rsidP="008D479B">
      <w:pPr>
        <w:pStyle w:val="TextoNormal"/>
      </w:pPr>
    </w:p>
    <w:p w14:paraId="36A50703" w14:textId="77777777" w:rsidR="008D479B" w:rsidRDefault="008D479B" w:rsidP="008D479B">
      <w:pPr>
        <w:pStyle w:val="TextoNormal"/>
      </w:pPr>
      <w:r>
        <w:t>b) Por decreto de 20 de octubre de 2021 la letrada de la administración de justicia del Juzgado de Primera Instancia e Instrucción núm. 3 de Arucas acordó la admisión de la solicitud presentada, procedimiento de jurisdicción voluntaria general núm. 642-2021, que se procediera al nombramiento de defensor judicial y la celebración de una comparecencia el día 11 de noviembre de 2021 en la que se citara al Ministerio Fiscal, a don D.R.O., a doña M.I.O.C., y a don I.R.Q.</w:t>
      </w:r>
    </w:p>
    <w:p w14:paraId="5C8993F9" w14:textId="77777777" w:rsidR="008D479B" w:rsidRDefault="008D479B" w:rsidP="008D479B">
      <w:pPr>
        <w:pStyle w:val="TextoNormal"/>
      </w:pPr>
    </w:p>
    <w:p w14:paraId="26FA289C" w14:textId="77777777" w:rsidR="008D479B" w:rsidRDefault="008D479B" w:rsidP="008D479B">
      <w:pPr>
        <w:pStyle w:val="TextoNormal"/>
      </w:pPr>
      <w:r>
        <w:t>c) Nombrado el defensor judicial de don D.R.O., presentó aquel un escrito por el que, en aras de la mayor protección de la salud de su defendido, se opuso inicialmente a la autorización judicial pretendida hasta que se practicaran los medios de prueba consistentes en la declaración de los progenitores y un informe médico forense para la evaluación del riesgo, dadas las patologías y diagnósticos existentes.</w:t>
      </w:r>
    </w:p>
    <w:p w14:paraId="7686F369" w14:textId="77777777" w:rsidR="008D479B" w:rsidRDefault="008D479B" w:rsidP="008D479B">
      <w:pPr>
        <w:pStyle w:val="TextoNormal"/>
      </w:pPr>
    </w:p>
    <w:p w14:paraId="2282A9E2" w14:textId="77777777" w:rsidR="008D479B" w:rsidRDefault="008D479B" w:rsidP="008D479B">
      <w:pPr>
        <w:pStyle w:val="TextoNormal"/>
      </w:pPr>
      <w:r>
        <w:t xml:space="preserve">En virtud de esta solicitud la vista fue suspendida, dictándose por la letrada de la administración de justicia del juzgado </w:t>
      </w:r>
      <w:r w:rsidRPr="008D479B">
        <w:rPr>
          <w:i/>
        </w:rPr>
        <w:t>a quo</w:t>
      </w:r>
      <w:r>
        <w:t xml:space="preserve"> una diligencia de ordenación en la misma fecha prevista para su celebración, 11 de noviembre de 2021, acordando librar oficio al Instituto de Medicina Legal y Ciencias Forenses para que se emitiera informe sobre: “a) Evaluación de riesgo de agravamiento (bajo, medio o alto) del incapaz ante una posible infección por covid 19 dadas sus patologías y diagnósticos actuales, su edad, su entorno, etc.; b) Evaluación de riesgo de posibles contraindicaciones de la vacunación por covid”.</w:t>
      </w:r>
    </w:p>
    <w:p w14:paraId="0B625845" w14:textId="77777777" w:rsidR="008D479B" w:rsidRDefault="008D479B" w:rsidP="008D479B">
      <w:pPr>
        <w:pStyle w:val="TextoNormal"/>
      </w:pPr>
    </w:p>
    <w:p w14:paraId="5FE61878" w14:textId="77777777" w:rsidR="008D479B" w:rsidRDefault="008D479B" w:rsidP="008D479B">
      <w:pPr>
        <w:pStyle w:val="TextoNormal"/>
      </w:pPr>
      <w:r>
        <w:t xml:space="preserve">d) El 19 de enero de 2022 tuvo entrada en el registro del juzgado </w:t>
      </w:r>
      <w:r w:rsidRPr="008D479B">
        <w:rPr>
          <w:i/>
        </w:rPr>
        <w:t>a quo</w:t>
      </w:r>
      <w:r>
        <w:t xml:space="preserve"> el informe médico forense en el que, tras identificar las patologías que padece don D.R.O. [“retraso psicomotor secundario a sufrimiento fetal (parálisis cerebral infantil); epilepsia sintomática secundaria a sufrimiento fetal (parálisis cerebral infantil), bien controlada con el tratamiento actual; trastornos por déficit de atención del niño (TDHDA, impulsividad); [y] cirugía por espasticidad de MSI (alargamiento de pronador redondo: octubre de 2011)”], se concluía que los beneficios de la vacunación resultaban “mucho mayores” a los “posibles efectos secundarios de la vacuna, que en la mayoría de los casos son leves y consisten en cefalea, dolor en el lugar de la punción, malestar general, astenia y febrícula”. Que en todo caso la vacunación resultaba necesaria en este caso al tratarse “de un sujeto joven que asiste a un centro donde acuden más personas quizás con un perfil aún más frágil con respecto al del mismo peritado y que por lo tanto podrían a su vez ser más fácilmente contagiadas por el mismo”.</w:t>
      </w:r>
    </w:p>
    <w:p w14:paraId="1F018DF6" w14:textId="77777777" w:rsidR="008D479B" w:rsidRDefault="008D479B" w:rsidP="008D479B">
      <w:pPr>
        <w:pStyle w:val="TextoNormal"/>
      </w:pPr>
    </w:p>
    <w:p w14:paraId="06EE2251" w14:textId="77777777" w:rsidR="008D479B" w:rsidRDefault="008D479B" w:rsidP="008D479B">
      <w:pPr>
        <w:pStyle w:val="TextoNormal"/>
      </w:pPr>
      <w:r>
        <w:t xml:space="preserve">e) El 26 de enero de 2022 la letrada de la administración de justicia del juzgado </w:t>
      </w:r>
      <w:r w:rsidRPr="008D479B">
        <w:rPr>
          <w:i/>
        </w:rPr>
        <w:t>a quo</w:t>
      </w:r>
      <w:r>
        <w:t xml:space="preserve"> dictó diligencia de ordenación acordando la unión a las actuaciones del informe de la médico forense, y por otra diligencia del mismo día acordó convocar a las partes y al Ministerio Fiscal al acto de la vista, previsto para el 24 de febrero de 2022, con excepción de don D.R.O., dispensado de asistir.</w:t>
      </w:r>
    </w:p>
    <w:p w14:paraId="407C260E" w14:textId="77777777" w:rsidR="008D479B" w:rsidRDefault="008D479B" w:rsidP="008D479B">
      <w:pPr>
        <w:pStyle w:val="TextoNormal"/>
      </w:pPr>
    </w:p>
    <w:p w14:paraId="1A64CADE" w14:textId="77777777" w:rsidR="008D479B" w:rsidRDefault="008D479B" w:rsidP="008D479B">
      <w:pPr>
        <w:pStyle w:val="TextoNormal"/>
      </w:pPr>
      <w:r>
        <w:t>Doña M.I.O.C., y don I.R.Q., presentaron, el 31 de enero de 2022, a través de su representante procesal escrito de oposición alegando la voluntariedad de la vacunación y que la inoculación de la vacuna sin consentimiento informado por escrito vulneraría el derecho a la integridad física reconocido en el art. 15 CE. Señalaban, entre otros aspectos, que no se podía acreditar la seguridad y eficacia de la vacuna, que se encontraba sujeta a una autorización condicional de comercialización, con efectos adversos graves, siendo un medicamento (no propiamente una vacuna) en fase experimental, y que en la ponderación de riesgos y beneficios son mayores los riesgos. Añadían que la situación epidemiológica a 12 de enero de 2022 en relación con el año anterior no justificaría la administración del medicamento, porque los datos son peores posteriormente, con una tasa alta de vacunación.</w:t>
      </w:r>
    </w:p>
    <w:p w14:paraId="24DF3A8D" w14:textId="77777777" w:rsidR="008D479B" w:rsidRDefault="008D479B" w:rsidP="008D479B">
      <w:pPr>
        <w:pStyle w:val="TextoNormal"/>
      </w:pPr>
    </w:p>
    <w:p w14:paraId="7880626D" w14:textId="77777777" w:rsidR="008D479B" w:rsidRDefault="008D479B" w:rsidP="008D479B">
      <w:pPr>
        <w:pStyle w:val="TextoNormal"/>
      </w:pPr>
      <w:r>
        <w:t>f) El Juzgado de Primera Instancia e Instrucción núm. 3 de Arucas dictó auto el 14 de marzo de 2022 por el que, con resolución del expediente, acordó autorizar la administración de la vacuna a don D.R.O. El auto parte de lo dispuesto en la Ley 41/2002, básica reguladora de la autonomía del paciente y, en particular, de los apartados 3 y 5 del art. 9, conforme a los cuales, cuando el consentimiento haya de otorgarlo el representante legal o las personas vinculadas por razones familiares o de hecho, la decisión deberá adoptarse atendiendo siempre al mayor beneficio para la vida o salud del paciente, quedando bajo la salvaguarda de la autoridad judicial, conforme establece el art. 216 CC. Y esta idea de protección a la persona con capacidad disminuida se reproduce en los arts. 87 y ss. de la Ley de la jurisdicción voluntaria. Teniendo en cuenta estas consideraciones, señala que el informe médico forense destaca la necesidad de administrar la vacuna, e indica posteriormente que este informe concluye que los beneficios de la vacunación son muy superiores a los posibles efectos secundarios. A ello añade lo que otros órganos judiciales han razonado sobre esta cuestión y, particularmente, que esta vacuna había sido aprobada por la Agencia Europea de Medicamentos y la Agencia Española de Medicamentos y Productos Sanitarios, y que es mayor y más grave el riesgo de contraer la enfermedad que el de padecer algún efecto secundario grave. A ello se suma, como han razonado otros órganos judiciales, que la única perspectiva a ponderar es la individual del paciente, y que la vacunación es la única alternativa eficaz para la adecuada protección de su vida frente al riesgo real de desarrollar una enfermedad grave por covid-19.</w:t>
      </w:r>
    </w:p>
    <w:p w14:paraId="4EEF4761" w14:textId="77777777" w:rsidR="008D479B" w:rsidRDefault="008D479B" w:rsidP="008D479B">
      <w:pPr>
        <w:pStyle w:val="TextoNormal"/>
      </w:pPr>
    </w:p>
    <w:p w14:paraId="38265383" w14:textId="77777777" w:rsidR="008D479B" w:rsidRDefault="008D479B" w:rsidP="008D479B">
      <w:pPr>
        <w:pStyle w:val="TextoNormal"/>
      </w:pPr>
      <w:r>
        <w:t>g) Doña M.I.O.C., y don I.R.Q., presentaron recurso de apelación frente al auto de 14 de marzo de 2022. Consideraban en su escrito que no concurrían los requisitos establecidos en la STC 120/1990, de 27 de junio, para que se pudiera acordar la medida de tratamiento ambulatorio no voluntario por lo que, no concurriendo tampoco consentimiento para ello, la autorización judicial vulneraría los derechos a la integridad personal, a la dignidad y a la libertad. Insistían en su escrito en que no se trataba de una vacuna, sino de un medicamento que se encontraba en esos momentos en fase de ensayo clínico, sujeto a autorización condicional de comercialización, pero sin estar aún aprobado. Invocaban asimismo la STC 37/2011, de 28 de marzo, en relación con el consentimiento informado y el derecho a la integridad física. Indicaban además que los argumentos del auto recurrido no tenían suficiente peso desde el punto de vista médico o epidemiológico para justificar la administración del medicamento porque, si bien se invocaba el informe médico forense, este carecería de valor probatorio por su falta de objetividad y rigurosidad, al basarse en una simple recomendación genérica, sin realizar una verdadera ponderación de riesgos y beneficios, omitiendo datos como que se trata de un fármaco en fase experimental, y sin tener en cuenta los efectos adversos, que el recurso de apelación enumera.</w:t>
      </w:r>
    </w:p>
    <w:p w14:paraId="14DAFB09" w14:textId="77777777" w:rsidR="008D479B" w:rsidRDefault="008D479B" w:rsidP="008D479B">
      <w:pPr>
        <w:pStyle w:val="TextoNormal"/>
      </w:pPr>
    </w:p>
    <w:p w14:paraId="55DF5955" w14:textId="77777777" w:rsidR="008D479B" w:rsidRDefault="008D479B" w:rsidP="008D479B">
      <w:pPr>
        <w:pStyle w:val="TextoNormal"/>
      </w:pPr>
      <w:r>
        <w:t>h) El defensor judicial de don D.R.O., presentó escrito oponiéndose al recurso de apelación y mostrando su conformidad con el auto recurrido.</w:t>
      </w:r>
    </w:p>
    <w:p w14:paraId="7A19E8DF" w14:textId="77777777" w:rsidR="008D479B" w:rsidRDefault="008D479B" w:rsidP="008D479B">
      <w:pPr>
        <w:pStyle w:val="TextoNormal"/>
      </w:pPr>
    </w:p>
    <w:p w14:paraId="34F35E98" w14:textId="45EC10CF" w:rsidR="008D479B" w:rsidRDefault="008D479B" w:rsidP="008D479B">
      <w:pPr>
        <w:pStyle w:val="TextoNormal"/>
      </w:pPr>
      <w:r>
        <w:t>i) La Sección Tercera de la Audiencia Provincial de Las Palmas dictó auto el 10 de febrero de 2023 por el que desestimó el recurso de apelación. Partiendo de lo dispuesto en los arts. 8 y 9 de la Ley 41/2002, básica reguladora de la autonomía del paciente, en relación con la prestación del consentimiento en el ámbito sanitario, y en particular con los supuestos de prestación del consentimiento por representante, de donde se desprende que en el ámbito de la salud de personas con discapacidad debe atenderse siempre al mayor beneficio para su vida o salud, concluye que se debe confirmar el auto de primera instancia. Al autorizar la administración de la vacuna, el auto apelado ha atendido exclusivamente al mayor interés del afectado, considerando que a pesar de los efectos secundarios de la vacuna son mucho mayores los beneficios que se derivan de su administración. En el recurso de apelación —prosigue su razonamiento la Audiencia— se alegan los efectos secundarios del fármaco y su carácter experimental para concluir que los riesgos son muy superiores a los beneficios, pero esta argumentación no puede ser acogida porque se basa en la valoración que realiza la propia parte apelante de los datos que publica el Ministerio de Sanidad. Las autoridades sanitarias siguen recomendando la administración de la vacuna a las personas de doce y más años, considerándola “prioritaria”, sin distinguir si pertenecen o no a grupos de mayor vulnerabilidad, y no consta que exista ninguna contraindicación para la vacunación de don D.R.O.</w:t>
      </w:r>
    </w:p>
    <w:p w14:paraId="19F3734F" w14:textId="77777777" w:rsidR="008D479B" w:rsidRDefault="008D479B" w:rsidP="008D479B">
      <w:pPr>
        <w:pStyle w:val="TextoNormal"/>
      </w:pPr>
    </w:p>
    <w:p w14:paraId="0248081F" w14:textId="77777777" w:rsidR="008D479B" w:rsidRDefault="008D479B" w:rsidP="008D479B">
      <w:pPr>
        <w:pStyle w:val="TextoNormal"/>
      </w:pPr>
      <w:r w:rsidRPr="008D479B">
        <w:rPr>
          <w:rStyle w:val="NumeroAFNegritaCaracter"/>
        </w:rPr>
        <w:t>3</w:t>
      </w:r>
      <w:r>
        <w:t>. Los recurrentes en su demanda de amparo denuncian que se han vulnerado los siguientes derechos fundamentales:</w:t>
      </w:r>
    </w:p>
    <w:p w14:paraId="74ABBC71" w14:textId="77777777" w:rsidR="008D479B" w:rsidRDefault="008D479B" w:rsidP="008D479B">
      <w:pPr>
        <w:pStyle w:val="TextoNormal"/>
      </w:pPr>
    </w:p>
    <w:p w14:paraId="4196B480" w14:textId="77777777" w:rsidR="008D479B" w:rsidRDefault="008D479B" w:rsidP="008D479B">
      <w:pPr>
        <w:pStyle w:val="TextoNormal"/>
      </w:pPr>
      <w:r>
        <w:t>(i) El derecho a la igualdad ante la ley y a no ser discriminado (art. 14 CE), teniendo en cuenta que la Ley 8/2021, de 2 de junio, de apoyo a las personas con discapacidad en el ejercicio de su capacidad jurídica, promueve la capacidad jurídica en igualdad de condiciones con las demás en todos los aspectos de la vida, debiendo el Estado adoptar las medidas pertinentes para que las personas con discapacidad tengan acceso al apoyo necesario en el ejercicio de su capacidad jurídica. Existe discriminación cuando se produce una diferencia de trato no justificada ni razonable. Y la desigualdad es arbitraria cuando se trata de forma desigual situaciones iguales y no se persigue una finalidad constitucionalmente legítima.</w:t>
      </w:r>
    </w:p>
    <w:p w14:paraId="448055A7" w14:textId="77777777" w:rsidR="008D479B" w:rsidRDefault="008D479B" w:rsidP="008D479B">
      <w:pPr>
        <w:pStyle w:val="TextoNormal"/>
      </w:pPr>
    </w:p>
    <w:p w14:paraId="480E63ED" w14:textId="77777777" w:rsidR="008D479B" w:rsidRDefault="008D479B" w:rsidP="008D479B">
      <w:pPr>
        <w:pStyle w:val="TextoNormal"/>
      </w:pPr>
      <w:r>
        <w:t>(ii) El derecho a la integridad física y moral (art. 15 CE) en relación con el consentimiento informado, reconocido también en la Carta de los derechos fundamentales de la Unión Europea, el Convenio de Oviedo y el art. 8 del Convenio europeo de derechos humanos, que permite a la persona impedir toda intervención no consentida sobre el propio cuerpo, y que no puede verse limitado de manera injustificada como consecuencia de una situación de enfermedad, sino que la persona debe poder decidir libremente entre consentir el tratamiento o rehusarlo. Invoca también la doctrina constitucional establecida en las SSTC 220/2005, de 12 de septiembre; 160/2007, de 2 de julio, y 37/2011, de 28 de marzo; concluyendo que la estrategia de vacunación frente a la covid-19, de 18 de diciembre de 2020, acordada por el Consejo Interterritorial del Sistema Nacional de Salud señalaba expresamente: “Con carácter general, esta recomendación de autorización verbal es aplicable a la situación de vacunación frente a covid-19. En la particularidad de la vacunación de personas que tengan limitada la capacidad para tomar decisiones es conveniente la información y autorización por escrito por parte del representante legal o personas vinculadas a él o ella por razones familiares o de hecho”.</w:t>
      </w:r>
    </w:p>
    <w:p w14:paraId="39B6C411" w14:textId="77777777" w:rsidR="008D479B" w:rsidRDefault="008D479B" w:rsidP="008D479B">
      <w:pPr>
        <w:pStyle w:val="TextoNormal"/>
      </w:pPr>
    </w:p>
    <w:p w14:paraId="41D93D3C" w14:textId="77777777" w:rsidR="008D479B" w:rsidRDefault="008D479B" w:rsidP="008D479B">
      <w:pPr>
        <w:pStyle w:val="TextoNormal"/>
      </w:pPr>
      <w:r>
        <w:t>(iii) El derecho a la intimidad (art. 18 CE) como derivación de la dignidad de la persona (art. 10.1 CE), que implica la existencia de un ámbito propio y reservado frente a la acción y el conocimiento de los demás, necesario para mantener una calidad mínima de la vida humana. La STC 37/1989, de 15 de febrero, y otras posteriores han reconocido que la protección del art. 18.1 CE alcanza a la intimidad personal en sentido estricto, integrada, entre otros componentes, por la intimidad corporal.</w:t>
      </w:r>
    </w:p>
    <w:p w14:paraId="4A6FA9AD" w14:textId="77777777" w:rsidR="008D479B" w:rsidRDefault="008D479B" w:rsidP="008D479B">
      <w:pPr>
        <w:pStyle w:val="TextoNormal"/>
      </w:pPr>
    </w:p>
    <w:p w14:paraId="45C8A17F" w14:textId="77777777" w:rsidR="008D479B" w:rsidRDefault="008D479B" w:rsidP="008D479B">
      <w:pPr>
        <w:pStyle w:val="TextoNormal"/>
      </w:pPr>
      <w:r>
        <w:t>(iv) Y por último, el derecho a la tutela judicial efectiva (art. 24.1 CE), que solo menciona genéricamente la demanda de amparo en relación con los derechos fundamentales antes referidos. Se afirma en este punto que ambas resoluciones autorizan la inoculación del medicamento de terapia génica en fase experimental al hijo de los recurrentes, a pesar de ser de carácter voluntario y no concurrir los requisitos establecidos por el Tribunal Constitucional para la administración forzosa de un fármaco, sin prescripción médica ni consentimiento informado, basándose las resoluciones judiciales en meras creencias personales o supuestos beneficios de la vacunación, y sin que se haya aportado ninguna evidencia científica que acredite que los beneficios son mayores que los riesgos.</w:t>
      </w:r>
    </w:p>
    <w:p w14:paraId="3734C9A7" w14:textId="77777777" w:rsidR="008D479B" w:rsidRDefault="008D479B" w:rsidP="008D479B">
      <w:pPr>
        <w:pStyle w:val="TextoNormal"/>
      </w:pPr>
    </w:p>
    <w:p w14:paraId="0A4A57D8" w14:textId="77777777" w:rsidR="008D479B" w:rsidRDefault="008D479B" w:rsidP="008D479B">
      <w:pPr>
        <w:pStyle w:val="TextoNormal"/>
      </w:pPr>
      <w:r>
        <w:t>En el suplico de la demanda se solicitó, además de la nulidad de las resoluciones impugnadas, que se declarase que “no ha lugar al procedimiento de jurisdicción voluntaria para la inoculación forzosa del medicamento génico en fase de ensayo clínico a favor del hijo de los recurrentes, debiendo prevalecer la decisión de sus padres y tutores frente a la injerencia del Estado, dado que la vacunación en España tiene carácter voluntario”.</w:t>
      </w:r>
    </w:p>
    <w:p w14:paraId="090BE479" w14:textId="77777777" w:rsidR="008D479B" w:rsidRDefault="008D479B" w:rsidP="008D479B">
      <w:pPr>
        <w:pStyle w:val="TextoNormal"/>
      </w:pPr>
    </w:p>
    <w:p w14:paraId="031B1F47" w14:textId="04B5EEBA" w:rsidR="008D479B" w:rsidRDefault="008D479B" w:rsidP="008D479B">
      <w:pPr>
        <w:pStyle w:val="TextoNormal"/>
      </w:pPr>
      <w:r>
        <w:t>Por medio de otrosí digo primero los demandantes solicitaron la suspensión de la ejecución de los dos autos recurridos sin que a su entender ello supusiera prejuzgar sobre el fondo; habiendo acreditado el carácter irreparable del perjuicio para los derechos fundamentales invocados y porque, de mantenerse su ejecución, el amparo interpuesto perdería su finalidad.</w:t>
      </w:r>
    </w:p>
    <w:p w14:paraId="145FA0B5" w14:textId="77777777" w:rsidR="008D479B" w:rsidRDefault="008D479B" w:rsidP="008D479B">
      <w:pPr>
        <w:pStyle w:val="TextoNormal"/>
      </w:pPr>
    </w:p>
    <w:p w14:paraId="07F9C803" w14:textId="77777777" w:rsidR="008D479B" w:rsidRDefault="008D479B" w:rsidP="008D479B">
      <w:pPr>
        <w:pStyle w:val="TextoNormal"/>
      </w:pPr>
      <w:r w:rsidRPr="008D479B">
        <w:rPr>
          <w:rStyle w:val="NumeroAFNegritaCaracter"/>
        </w:rPr>
        <w:t>4</w:t>
      </w:r>
      <w:r>
        <w:t xml:space="preserve">. El 30 de marzo de 2023 la Secretaría de Justicia de la Sección Segunda, Sala Primera, de este Tribunal Constitucional, dictó diligencia de ordenación requiriendo al procurador de los dos recurrentes para que en el plazo de diez días acreditara apoderamiento </w:t>
      </w:r>
      <w:r w:rsidRPr="008D479B">
        <w:rPr>
          <w:i/>
        </w:rPr>
        <w:t>apud acta</w:t>
      </w:r>
      <w:r>
        <w:t xml:space="preserve"> de su representación; lo que se reiteró ante su incumplimiento por nueva diligencia de ordenación del 10 de abril de 2023; así también para que en el plazo de diez días concedido por esta segunda diligencia se informara si don D.R.O., había sido vacunado frente al SARS-CoV-2.</w:t>
      </w:r>
    </w:p>
    <w:p w14:paraId="43C3FFD6" w14:textId="77777777" w:rsidR="008D479B" w:rsidRDefault="008D479B" w:rsidP="008D479B">
      <w:pPr>
        <w:pStyle w:val="TextoNormal"/>
      </w:pPr>
    </w:p>
    <w:p w14:paraId="5A646C7C" w14:textId="4B801E33" w:rsidR="008D479B" w:rsidRDefault="008D479B" w:rsidP="008D479B">
      <w:pPr>
        <w:pStyle w:val="TextoNormal"/>
      </w:pPr>
      <w:r>
        <w:t xml:space="preserve">Por escrito de aquel procurador de 12 de abril de 2023 se aportó la documentación acreditativa del apoderamiento </w:t>
      </w:r>
      <w:r w:rsidRPr="008D479B">
        <w:rPr>
          <w:i/>
        </w:rPr>
        <w:t>apud acta</w:t>
      </w:r>
      <w:r>
        <w:t xml:space="preserve"> y mediante otro escrito suyo del día 19 de abril, se informó que don D.R.O., no había sido inoculado frente al covid-19.</w:t>
      </w:r>
    </w:p>
    <w:p w14:paraId="3F3A1693" w14:textId="77777777" w:rsidR="008D479B" w:rsidRDefault="008D479B" w:rsidP="008D479B">
      <w:pPr>
        <w:pStyle w:val="TextoNormal"/>
      </w:pPr>
    </w:p>
    <w:p w14:paraId="1722F4F9" w14:textId="77777777" w:rsidR="008D479B" w:rsidRDefault="008D479B" w:rsidP="008D479B">
      <w:pPr>
        <w:pStyle w:val="TextoNormal"/>
      </w:pPr>
      <w:r w:rsidRPr="008D479B">
        <w:rPr>
          <w:rStyle w:val="NumeroAFNegritaCaracter"/>
        </w:rPr>
        <w:t>5</w:t>
      </w:r>
      <w:r>
        <w:t>. Mediante providencia de 19 de junio de 2023, la Sección Segunda del Tribunal Constitucional acordó admitir a trámite el recurso de amparo “apreciando que concurre en el mismo una especial trascendencia constitucional (art. 50.1 LOTC) porque el recurso plantea un problema o afecta a una faceta de un derecho fundamental sobre el que no hay doctrina de este tribunal [STC 155/2009, FJ 2 a)]” y, asimismo, porque el asunto suscitado trasciende del caso concreto “porque plantea una cuestión jurídica de relevante y general repercusión social o económica [STC 155/2009, FJ 2 g)]”.</w:t>
      </w:r>
    </w:p>
    <w:p w14:paraId="6FFE2F7D" w14:textId="77777777" w:rsidR="008D479B" w:rsidRDefault="008D479B" w:rsidP="008D479B">
      <w:pPr>
        <w:pStyle w:val="TextoNormal"/>
      </w:pPr>
    </w:p>
    <w:p w14:paraId="335712A0" w14:textId="77777777" w:rsidR="008D479B" w:rsidRDefault="008D479B" w:rsidP="008D479B">
      <w:pPr>
        <w:pStyle w:val="TextoNormal"/>
      </w:pPr>
      <w:r>
        <w:t>Por ello, “en aplicación de lo dispuesto en el art. 51 LOTC, diríjase atenta comunicación a la Sección Tercera de la Audiencia Provincial de las Palmas de Gran Canaria a fin de que, en plazo que no exceda de diez días, remita certificación o fotocopia adverada de las actuaciones correspondientes al recurso de apelación 842-2022”, e, igualmente acordó dirigir atenta comunicación al Juzgado de Primera Instancia e Instrucción núm. 3 de Arucas a fin de que, en plazo que no exceda de diez días, remita certificación o fotocopia adverada de las actuaciones correspondientes al procedimiento de jurisdicción voluntaria 642-2021, debiendo previamente emplazarse, para que en el plazo de diez días puedan comparecer, si lo desean, en el recurso de amparo, a quienes hubieran sido parte en el procedimiento, excepto la parte recurrente en amparo.</w:t>
      </w:r>
    </w:p>
    <w:p w14:paraId="706F8DBC" w14:textId="77777777" w:rsidR="008D479B" w:rsidRDefault="008D479B" w:rsidP="008D479B">
      <w:pPr>
        <w:pStyle w:val="TextoNormal"/>
      </w:pPr>
    </w:p>
    <w:p w14:paraId="154BDBD6" w14:textId="674C5F49" w:rsidR="008D479B" w:rsidRDefault="008D479B" w:rsidP="008D479B">
      <w:pPr>
        <w:pStyle w:val="TextoNormal"/>
      </w:pPr>
      <w:r>
        <w:t>De conformidad con la solicitud de la parte actora, acordó formar la correspondiente pieza separada de suspensión.</w:t>
      </w:r>
    </w:p>
    <w:p w14:paraId="5B332FCF" w14:textId="77777777" w:rsidR="008D479B" w:rsidRDefault="008D479B" w:rsidP="008D479B">
      <w:pPr>
        <w:pStyle w:val="TextoNormal"/>
      </w:pPr>
    </w:p>
    <w:p w14:paraId="66B0D2F7" w14:textId="77777777" w:rsidR="008D479B" w:rsidRDefault="008D479B" w:rsidP="008D479B">
      <w:pPr>
        <w:pStyle w:val="TextoNormal"/>
      </w:pPr>
      <w:r w:rsidRPr="008D479B">
        <w:rPr>
          <w:rStyle w:val="NumeroAFNegritaCaracter"/>
        </w:rPr>
        <w:t>6</w:t>
      </w:r>
      <w:r>
        <w:t>. Mediante otra providencia de 19 de junio de 2023, se acordó “formar con el precedente testimonio la presente pieza separada de suspensión y, de conformidad con lo prevenido en el art. 56 de la Ley Orgánica del Tribunal Constitucional, conceder un plazo común de tres días, al Ministerio Fiscal y al solicitante del amparo, para que dentro de dicho término aleguen lo que estimen pertinente en relación con la petición de suspensión interesada”.</w:t>
      </w:r>
    </w:p>
    <w:p w14:paraId="42172239" w14:textId="77777777" w:rsidR="008D479B" w:rsidRDefault="008D479B" w:rsidP="008D479B">
      <w:pPr>
        <w:pStyle w:val="TextoNormal"/>
      </w:pPr>
    </w:p>
    <w:p w14:paraId="7379B59D" w14:textId="72902EB9" w:rsidR="008D479B" w:rsidRDefault="008D479B" w:rsidP="008D479B">
      <w:pPr>
        <w:pStyle w:val="TextoNormal"/>
      </w:pPr>
      <w:r>
        <w:t>Una vez sustanciado el procedimiento incidental, la Sala Primera de este tribunal dictó el ATC 477/2023, de 23 de octubre, acordando “[d]esestimar la solicitud de suspensión de las resoluciones judiciales impugnadas”.</w:t>
      </w:r>
    </w:p>
    <w:p w14:paraId="381E0835" w14:textId="77777777" w:rsidR="008D479B" w:rsidRDefault="008D479B" w:rsidP="008D479B">
      <w:pPr>
        <w:pStyle w:val="TextoNormal"/>
      </w:pPr>
    </w:p>
    <w:p w14:paraId="3A3C9CE7" w14:textId="613F78E4" w:rsidR="008D479B" w:rsidRDefault="008D479B" w:rsidP="008D479B">
      <w:pPr>
        <w:pStyle w:val="TextoNormal"/>
      </w:pPr>
      <w:r w:rsidRPr="008D479B">
        <w:rPr>
          <w:rStyle w:val="NumeroAFNegritaCaracter"/>
        </w:rPr>
        <w:t>7</w:t>
      </w:r>
      <w:r>
        <w:t>. De nuevo con relación al proceso principal, el 10 de julio de 2023 tuvo entrada en el registro de este tribunal el escrito presentado por el letrado don Agustín E. Santana Lorenzo, en nombre de don D.R.O., solicitando que se le tuviera por personado y parte en el procedimiento como defensor judicial designado en turno de oficio, interesando asimismo la designación de un procurador del turno de oficio.</w:t>
      </w:r>
    </w:p>
    <w:p w14:paraId="383F6FC1" w14:textId="77777777" w:rsidR="008D479B" w:rsidRDefault="008D479B" w:rsidP="008D479B">
      <w:pPr>
        <w:pStyle w:val="TextoNormal"/>
      </w:pPr>
    </w:p>
    <w:p w14:paraId="0DF9AEF4" w14:textId="77777777" w:rsidR="008D479B" w:rsidRDefault="008D479B" w:rsidP="008D479B">
      <w:pPr>
        <w:pStyle w:val="TextoNormal"/>
      </w:pPr>
      <w:r w:rsidRPr="008D479B">
        <w:rPr>
          <w:rStyle w:val="NumeroAFNegritaCaracter"/>
        </w:rPr>
        <w:t>8</w:t>
      </w:r>
      <w:r>
        <w:t>. Mediante diligencia de ordenación de la Secretaría de Justicia de la Sala Primera de 11 de julio de 2023 se tuvo por recibido el escrito presentado por el letrado don Agustín E. Santana Lorenzo en nombre de don D.R.O., y, de conformidad con el art. 49.4 de la Ley Orgánica del Tribunal Constitucional (LOTC), se concedió un plazo de diez días al citado letrado para que aportase certificación acreditativa de haber gozado su defendido del beneficio de justicia gratuita, apercibiéndole que, de no subsanarse el defecto, no se le tendría por personado.</w:t>
      </w:r>
    </w:p>
    <w:p w14:paraId="6BAE6CA8" w14:textId="77777777" w:rsidR="008D479B" w:rsidRDefault="008D479B" w:rsidP="008D479B">
      <w:pPr>
        <w:pStyle w:val="TextoNormal"/>
      </w:pPr>
    </w:p>
    <w:p w14:paraId="7AE76B1F" w14:textId="04AD9E73" w:rsidR="008D479B" w:rsidRDefault="008D479B" w:rsidP="008D479B">
      <w:pPr>
        <w:pStyle w:val="TextoNormal"/>
      </w:pPr>
      <w:r>
        <w:t>Dicho requerimiento fue cumplimentado por escrito presentado en el registro del Tribunal el 18 de julio de 2017 por don Agustín E. Santana Lorenzo, aportando la resolución de la Comisión de Asistencia Jurídica Gratuita de Gran Canaria de 23 de junio de 2022 que le otorgaba este beneficio a don D.R.O.</w:t>
      </w:r>
    </w:p>
    <w:p w14:paraId="224211F8" w14:textId="77777777" w:rsidR="008D479B" w:rsidRDefault="008D479B" w:rsidP="008D479B">
      <w:pPr>
        <w:pStyle w:val="TextoNormal"/>
      </w:pPr>
    </w:p>
    <w:p w14:paraId="666E72BD" w14:textId="77777777" w:rsidR="008D479B" w:rsidRDefault="008D479B" w:rsidP="008D479B">
      <w:pPr>
        <w:pStyle w:val="TextoNormal"/>
      </w:pPr>
      <w:r w:rsidRPr="008D479B">
        <w:rPr>
          <w:rStyle w:val="NumeroAFNegritaCaracter"/>
        </w:rPr>
        <w:t>9</w:t>
      </w:r>
      <w:r>
        <w:t>. Por diligencia de ordenación de la Secretaría de Justicia de la Sala Primera de 1 de septiembre de 2023, se tuvieron por recibidos los testimonios de las actuaciones que habían sido remitidos por la Sección Tercera de la Audiencia Provincial de Las Palmas de Gran Canaria y del Juzgado de Primera Instancia e Instrucción núm. 3 de Arucas y la designación del turno de oficio de la procuradora Lucina Gómez Gómez, a quien se tuvo por designada, personada y parte en nombre y representación de don D.R.O., con quien se entenderían esta y las sucesivas diligencias.</w:t>
      </w:r>
    </w:p>
    <w:p w14:paraId="1B19B731" w14:textId="77777777" w:rsidR="008D479B" w:rsidRDefault="008D479B" w:rsidP="008D479B">
      <w:pPr>
        <w:pStyle w:val="TextoNormal"/>
      </w:pPr>
    </w:p>
    <w:p w14:paraId="40B09B3C" w14:textId="3861170D" w:rsidR="008D479B" w:rsidRDefault="008D479B" w:rsidP="008D479B">
      <w:pPr>
        <w:pStyle w:val="TextoNormal"/>
      </w:pPr>
      <w:r>
        <w:t>A tenor de lo dispuesto en el art. 52 LOTC, se dio vista a través de la sede electrónica del Tribunal de todas las actuaciones del presente recurso de amparo, por un plazo común de veinte días, al Ministerio Fiscal y a las partes personadas, para que dentro del mismo pudieran presentar alegaciones.</w:t>
      </w:r>
    </w:p>
    <w:p w14:paraId="3B236674" w14:textId="77777777" w:rsidR="008D479B" w:rsidRDefault="008D479B" w:rsidP="008D479B">
      <w:pPr>
        <w:pStyle w:val="TextoNormal"/>
      </w:pPr>
    </w:p>
    <w:p w14:paraId="2E94BAFC" w14:textId="77777777" w:rsidR="008D479B" w:rsidRDefault="008D479B" w:rsidP="008D479B">
      <w:pPr>
        <w:pStyle w:val="TextoNormal"/>
      </w:pPr>
      <w:r w:rsidRPr="008D479B">
        <w:rPr>
          <w:rStyle w:val="NumeroAFNegritaCaracter"/>
        </w:rPr>
        <w:t>10</w:t>
      </w:r>
      <w:r>
        <w:t>. Por escrito presentado en el registro de este tribunal el día 6 de octubre de 2023, el fiscal ante este Tribunal Constitucional formuló sus alegaciones interesando la estimación del recurso de amparo y que se declare la vulneración del derecho fundamental a la integridad física (art. 15 CE) de don D.R.O., con nulidad de las resoluciones recurridas y que se retrotraiga el procedimiento “al momento previo al dictado del primer auto para que la juez, tras oír a la persona con discapacidad, dicte una resolución respetuosa con el derecho fundamental vulnerado”.</w:t>
      </w:r>
    </w:p>
    <w:p w14:paraId="241E8F12" w14:textId="77777777" w:rsidR="008D479B" w:rsidRDefault="008D479B" w:rsidP="008D479B">
      <w:pPr>
        <w:pStyle w:val="TextoNormal"/>
      </w:pPr>
    </w:p>
    <w:p w14:paraId="299F3C71" w14:textId="77777777" w:rsidR="008D479B" w:rsidRDefault="008D479B" w:rsidP="008D479B">
      <w:pPr>
        <w:pStyle w:val="TextoNormal"/>
      </w:pPr>
      <w:r>
        <w:t xml:space="preserve">a) Considera el fiscal, en apoyo a su solicitud, que se trata de un recurso muy similar al resuelto en la STC 38/2023, de 20 de abril, y aunque los derechos alegados corresponden a la persona con discapacidad y no a los demandantes de amparo, se trataría de un supuesto de interés legítimo por la vinculación familiar que existe, al tratarse de los padres y tutores de la persona con discapacidad, quienes además han sido parte en el procedimiento </w:t>
      </w:r>
      <w:r w:rsidRPr="008D479B">
        <w:rPr>
          <w:i/>
        </w:rPr>
        <w:t>a quo</w:t>
      </w:r>
      <w:r>
        <w:t>, por lo que estarían legitimados para interponer el recurso de amparo.</w:t>
      </w:r>
    </w:p>
    <w:p w14:paraId="5EF4E3AD" w14:textId="77777777" w:rsidR="008D479B" w:rsidRDefault="008D479B" w:rsidP="008D479B">
      <w:pPr>
        <w:pStyle w:val="TextoNormal"/>
      </w:pPr>
    </w:p>
    <w:p w14:paraId="5AF3885E" w14:textId="77777777" w:rsidR="008D479B" w:rsidRDefault="008D479B" w:rsidP="008D479B">
      <w:pPr>
        <w:pStyle w:val="TextoNormal"/>
      </w:pPr>
      <w:r>
        <w:t>b) En cuanto a la vulneración del art. 14 CE, sostiene el fiscal que los recurrentes simplemente alegaron que se impone a la persona con discapacidad la vacunación obligatoria, siendo voluntaria para el resto de personas, pero no se aporta un término de comparación válido ni se alega específicamente la existencia de discriminación por razón de discapacidad. Descarta el fiscal que exista vulneración en este sentido porque la vacunación no causa un trato peyorativo, sino que lo que se plantea es lo mejor para la persona con discapacidad y por ello se solicita la autorización judicial para la vacunación. Y se remite a la STC 38/2023, donde se precisó que no existe un doble régimen de vacunación, voluntaria u obligatoria, según la persona esté o no, respectivamente, en el ejercicio de su capacidad jurídica.</w:t>
      </w:r>
    </w:p>
    <w:p w14:paraId="2388AEC0" w14:textId="77777777" w:rsidR="008D479B" w:rsidRDefault="008D479B" w:rsidP="008D479B">
      <w:pPr>
        <w:pStyle w:val="TextoNormal"/>
      </w:pPr>
    </w:p>
    <w:p w14:paraId="1BD0B56A" w14:textId="77777777" w:rsidR="008D479B" w:rsidRDefault="008D479B" w:rsidP="008D479B">
      <w:pPr>
        <w:pStyle w:val="TextoNormal"/>
      </w:pPr>
      <w:r>
        <w:t>c) Respecto de la vulneración del derecho fundamental a la intimidad (art. 18 CE), dice el fiscal que los recurrentes se limitaron a poner de manifiesto la jurisprudencia constitucional sobre este derecho fundamental sin expresar los motivos concretos por los que en este caso la vacunación podría vulnerar tal derecho. De acuerdo con lo que expresaba la STC 38/2023, FJ 3 b), no nos encontraríamos ante uno de los supuestos en que la vulneración del derecho fundamental a la integridad personal y el derecho a la intimidad se puede producir de modo concurrente.</w:t>
      </w:r>
    </w:p>
    <w:p w14:paraId="2B79847A" w14:textId="77777777" w:rsidR="008D479B" w:rsidRDefault="008D479B" w:rsidP="008D479B">
      <w:pPr>
        <w:pStyle w:val="TextoNormal"/>
      </w:pPr>
    </w:p>
    <w:p w14:paraId="1F469EA6" w14:textId="77777777" w:rsidR="008D479B" w:rsidRDefault="008D479B" w:rsidP="008D479B">
      <w:pPr>
        <w:pStyle w:val="TextoNormal"/>
      </w:pPr>
      <w:r>
        <w:t>d) Considera a continuación que la alegación sobre la vulneración del derecho fundamental a la tutela judicial efectiva (art. 24 CE) es instrumental en relación con los demás derechos cuya vulneración alega, ya que la demanda lo une a un defecto de motivación y no dedica un apartado específico a esta vulneración.</w:t>
      </w:r>
    </w:p>
    <w:p w14:paraId="232AAC3F" w14:textId="77777777" w:rsidR="008D479B" w:rsidRDefault="008D479B" w:rsidP="008D479B">
      <w:pPr>
        <w:pStyle w:val="TextoNormal"/>
      </w:pPr>
    </w:p>
    <w:p w14:paraId="60EF7658" w14:textId="77777777" w:rsidR="008D479B" w:rsidRDefault="008D479B" w:rsidP="008D479B">
      <w:pPr>
        <w:pStyle w:val="TextoNormal"/>
      </w:pPr>
      <w:r>
        <w:t>e) Por último, respecto del derecho a la integridad personal (art. 15 CE), considera el fiscal ante este tribunal que la doctrina sobre el consentimiento informado resulta aplicable a estos casos, siguiendo los razonamientos de la STC 38/2023, FJ 4 a), siendo la norma habilitante de la injerencia la Ley 41/2002 en sus arts. 8 y 9, de manera que la autoridad judicial interviene estrictamente para suplir la imposibilidad o la limitación de la persona afectada para prestar el consentimiento. No se legitima al juez para actuar en contra de la voluntad del paciente, sino en ausencia de esa voluntad, y la intervención judicial debe actuar conforme a fines estrictamente tuitivos de los intereses de la persona afectada, sin que puedan prevalecer los intereses de terceros o los públicos.</w:t>
      </w:r>
    </w:p>
    <w:p w14:paraId="41F3380B" w14:textId="77777777" w:rsidR="008D479B" w:rsidRDefault="008D479B" w:rsidP="008D479B">
      <w:pPr>
        <w:pStyle w:val="TextoNormal"/>
      </w:pPr>
    </w:p>
    <w:p w14:paraId="20FB7088" w14:textId="77777777" w:rsidR="008D479B" w:rsidRDefault="008D479B" w:rsidP="008D479B">
      <w:pPr>
        <w:pStyle w:val="TextoNormal"/>
      </w:pPr>
      <w:r>
        <w:t>Para realizar el juicio de ponderación, debe atenderse en primer lugar a la voluntad de la persona con discapacidad en la medida en que dicha voluntad haya podido manifestarse, aun cuando por razón de la discapacidad esa manifestación tenga un valor limitado. Y cuando no pueda operar la voluntad de la persona con discapacidad, la decisión debe adoptarse atendiendo siempre al mayor beneficio para la vida o salud del paciente, adecuada a las circunstancias y proporcionada a las necesidades que haya que atender, siempre en favor del paciente y con respeto a su dignidad personal.</w:t>
      </w:r>
    </w:p>
    <w:p w14:paraId="7B6A688A" w14:textId="77777777" w:rsidR="008D479B" w:rsidRDefault="008D479B" w:rsidP="008D479B">
      <w:pPr>
        <w:pStyle w:val="TextoNormal"/>
      </w:pPr>
    </w:p>
    <w:p w14:paraId="024720F6" w14:textId="77777777" w:rsidR="008D479B" w:rsidRDefault="008D479B" w:rsidP="008D479B">
      <w:pPr>
        <w:pStyle w:val="TextoNormal"/>
      </w:pPr>
      <w:r>
        <w:t>En este caso, el fiscal observa lo siguiente:</w:t>
      </w:r>
    </w:p>
    <w:p w14:paraId="02B64F47" w14:textId="77777777" w:rsidR="008D479B" w:rsidRDefault="008D479B" w:rsidP="008D479B">
      <w:pPr>
        <w:pStyle w:val="TextoNormal"/>
      </w:pPr>
    </w:p>
    <w:p w14:paraId="6F6B39A5" w14:textId="77777777" w:rsidR="008D479B" w:rsidRDefault="008D479B" w:rsidP="008D479B">
      <w:pPr>
        <w:pStyle w:val="TextoNormal"/>
      </w:pPr>
      <w:r>
        <w:t>(i) no consta que se intentara oír a la persona con discapacidad, a pesar de que el informe del médico forense indicaba que, si bien don D.R.O., presenta un “[d]éficit intelectual severo-moderado”, derivado de parálisis cerebral infantil, es capaz de comunicarse con un “[l]eguaje limitado, con frases cortas”; y que durante la exploración está “[c]onsciente, lúcido. […] Orientado en persona. Capacidad de ordenación cronológica alterada”. Por este motivo estima el fiscal que “no se cumplió el primer parámetro de ponderación” pues atendiendo a las circunstancias concurrentes (estado de capacidad intelectual de don D.R.O., y falta de solicitud de exploración judicial por los padres), “la juez autorizó su vacunación […], sin escucharle para que pudiera manifestar su voluntad (aunque por razón de la discapacidad, esa manifestación pueda tener un valor limitado o resultar incompleta), por tanto no pudo ponderar su voluntad en la decisión”.</w:t>
      </w:r>
    </w:p>
    <w:p w14:paraId="3C209631" w14:textId="77777777" w:rsidR="008D479B" w:rsidRDefault="008D479B" w:rsidP="008D479B">
      <w:pPr>
        <w:pStyle w:val="TextoNormal"/>
      </w:pPr>
    </w:p>
    <w:p w14:paraId="532D82F8" w14:textId="77777777" w:rsidR="008D479B" w:rsidRDefault="008D479B" w:rsidP="008D479B">
      <w:pPr>
        <w:pStyle w:val="TextoNormal"/>
      </w:pPr>
      <w:r>
        <w:t>(ii) Aparte de lo anterior, prosigue diciendo el fiscal, la negativa de los padres-tutores se basa en el carácter voluntario de la vacunación, la ausencia de efecto inmunizador, el estado experimental de los tratamientos y sus posibles efectos adversos y que la persona con discapacidad no padece patologías graves, por lo que los progenitores consideran que los riesgos son muy superiores a los beneficios. Pero estos argumentos, acota, son rebatidos por las resoluciones impugnadas porque la vacuna es la única alternativa actual para superar la pandemia; además, su autorización por la Agencia Europea de Medicamentos y la Agencia Española de Medicamentos y Productos Sanitarios permite suponer que se ha elaborado con las máximas garantías de calidad, seguridad y eficacia.</w:t>
      </w:r>
    </w:p>
    <w:p w14:paraId="4DED5238" w14:textId="77777777" w:rsidR="008D479B" w:rsidRDefault="008D479B" w:rsidP="008D479B">
      <w:pPr>
        <w:pStyle w:val="TextoNormal"/>
      </w:pPr>
    </w:p>
    <w:p w14:paraId="410C48A2" w14:textId="77777777" w:rsidR="008D479B" w:rsidRDefault="008D479B" w:rsidP="008D479B">
      <w:pPr>
        <w:pStyle w:val="TextoNormal"/>
      </w:pPr>
      <w:r>
        <w:t>(iii) La decisión judicial favorable a la vacunación no desbordó los límites de cobertura del precepto habilitante (art. 9.6 de la Ley 41/2002) por lo que se respeta la finalidad legítima de la norma de cobertura.</w:t>
      </w:r>
    </w:p>
    <w:p w14:paraId="53B53C8E" w14:textId="77777777" w:rsidR="008D479B" w:rsidRDefault="008D479B" w:rsidP="008D479B">
      <w:pPr>
        <w:pStyle w:val="TextoNormal"/>
      </w:pPr>
    </w:p>
    <w:p w14:paraId="5071B23F" w14:textId="77777777" w:rsidR="008D479B" w:rsidRDefault="008D479B" w:rsidP="008D479B">
      <w:pPr>
        <w:pStyle w:val="TextoNormal"/>
      </w:pPr>
      <w:r>
        <w:t>(iv) Los criterios de ponderación empleados en las resoluciones judiciales responden a la finalidad legítima expuesta, pues persiguen proteger del mejor modo posible los intereses de la persona vulnerable.</w:t>
      </w:r>
    </w:p>
    <w:p w14:paraId="28795A6B" w14:textId="77777777" w:rsidR="008D479B" w:rsidRDefault="008D479B" w:rsidP="008D479B">
      <w:pPr>
        <w:pStyle w:val="TextoNormal"/>
      </w:pPr>
    </w:p>
    <w:p w14:paraId="1C007FC2" w14:textId="3A0BA8F1" w:rsidR="008D479B" w:rsidRDefault="008D479B" w:rsidP="008D479B">
      <w:pPr>
        <w:pStyle w:val="TextoNormal"/>
      </w:pPr>
      <w:r>
        <w:t>Concluye el fiscal que se incumplió el primer criterio de ponderación establecido en el art. 9 de la Ley 41/2002, básica reguladora de la autonomía del paciente, y la doctrina constitucional establecida en la STC 38/2023, al no haber tratado de averiguar cuál era la voluntad del paciente, ni siquiera valorar el peso que la misma debía tener en la decisión, pese a que el informe médico no negaba que dicha persona podía manifestar su voluntad, sin perjuicio del valor claramente limitado de la misma por su déficit intelectual, y por este motivo considera vulnerado el derecho fundamental a la integridad física de don D.R.O.</w:t>
      </w:r>
    </w:p>
    <w:p w14:paraId="4811A1BD" w14:textId="77777777" w:rsidR="008D479B" w:rsidRDefault="008D479B" w:rsidP="008D479B">
      <w:pPr>
        <w:pStyle w:val="TextoNormal"/>
      </w:pPr>
    </w:p>
    <w:p w14:paraId="501D507B" w14:textId="541CAB8B" w:rsidR="008D479B" w:rsidRDefault="008D479B" w:rsidP="008D479B">
      <w:pPr>
        <w:pStyle w:val="TextoNormal"/>
      </w:pPr>
      <w:r w:rsidRPr="008D479B">
        <w:rPr>
          <w:rStyle w:val="NumeroAFNegritaCaracter"/>
        </w:rPr>
        <w:t>11</w:t>
      </w:r>
      <w:r>
        <w:t>. El 9 de octubre de 2023 se dictó diligencia por la Secretaría de Justicia, haciendo constar que en el trámite del art. 52 LOTC se recibió escrito de alegaciones del Ministerio Fiscal, no constando sin embargo escrito de los procuradores de las partes en representación de estas, quedando el presente recurso de amparo pendiente para deliberación cuando por turno correspondiese.</w:t>
      </w:r>
    </w:p>
    <w:p w14:paraId="3F9AB189" w14:textId="77777777" w:rsidR="008D479B" w:rsidRDefault="008D479B" w:rsidP="008D479B">
      <w:pPr>
        <w:pStyle w:val="TextoNormal"/>
      </w:pPr>
    </w:p>
    <w:p w14:paraId="1ECC6859" w14:textId="22CBD15C" w:rsidR="008D479B" w:rsidRDefault="008D479B" w:rsidP="008D479B">
      <w:pPr>
        <w:pStyle w:val="TextoNormal"/>
      </w:pPr>
      <w:r w:rsidRPr="008D479B">
        <w:rPr>
          <w:rStyle w:val="NumeroAFNegritaCaracter"/>
        </w:rPr>
        <w:t>12</w:t>
      </w:r>
      <w:r>
        <w:t>. Por providencia de 16 de noviembre de 2023, se señaló para la deliberación y votación de la presente sentencia el día 20 del mismo mes y año.</w:t>
      </w:r>
    </w:p>
    <w:p w14:paraId="208CA00F" w14:textId="77777777" w:rsidR="008D479B" w:rsidRDefault="008D479B" w:rsidP="008D479B">
      <w:pPr>
        <w:pStyle w:val="TextoNormal"/>
      </w:pPr>
    </w:p>
    <w:p w14:paraId="73109F8A" w14:textId="77777777" w:rsidR="008D479B" w:rsidRDefault="008D479B" w:rsidP="008D479B">
      <w:pPr>
        <w:pStyle w:val="TextoNormalNegritaCentrado"/>
        <w:keepNext/>
      </w:pPr>
      <w:r>
        <w:t>II. Fundamentos jurídicos</w:t>
      </w:r>
    </w:p>
    <w:p w14:paraId="6BBFE3DD" w14:textId="3B958B5F" w:rsidR="008D479B" w:rsidRDefault="008D479B" w:rsidP="008D479B">
      <w:pPr>
        <w:pStyle w:val="TextoNormalNegritaCentrado"/>
        <w:keepNext/>
      </w:pPr>
    </w:p>
    <w:p w14:paraId="21D481C8" w14:textId="77777777" w:rsidR="008D479B" w:rsidRDefault="008D479B" w:rsidP="008D479B">
      <w:pPr>
        <w:pStyle w:val="TextoNormal"/>
      </w:pPr>
      <w:r w:rsidRPr="008D479B">
        <w:rPr>
          <w:rStyle w:val="TextoNormalNegritaCaracter"/>
        </w:rPr>
        <w:t xml:space="preserve">Único. </w:t>
      </w:r>
      <w:r w:rsidRPr="008D479B">
        <w:rPr>
          <w:i/>
        </w:rPr>
        <w:t>Aplicación de la doctrina de la STC 38/2023, de 20 de abril</w:t>
      </w:r>
    </w:p>
    <w:p w14:paraId="034D16B7" w14:textId="77777777" w:rsidR="008D479B" w:rsidRDefault="008D479B" w:rsidP="008D479B">
      <w:pPr>
        <w:pStyle w:val="TextoNormal"/>
      </w:pPr>
    </w:p>
    <w:p w14:paraId="53DF9CCD" w14:textId="77777777" w:rsidR="008D479B" w:rsidRDefault="008D479B" w:rsidP="008D479B">
      <w:pPr>
        <w:pStyle w:val="TextoNormal"/>
      </w:pPr>
      <w:r>
        <w:t>a) El objeto de este recurso de amparo consiste en determinar si las resoluciones recurridas vulneran el derecho a la igualdad ante la ley y a no ser discriminado (art. 14 CE); el derecho a la integridad física y moral (art. 15 CE); el derecho a la intimidad (art. 18 CE) como derivación de la dignidad de la persona (art. 10 CE); y el derecho a la tutela judicial efectiva (art. 24.1 CE) por un posible déficit de motivación de los autos recurridos; todo ello debido a la decisión judicial de autorizar la vacunación contra el covid-19 de don D.R.O., quien, a pesar de su mayoría de edad (contaba con veintitrés años a la fecha en que se dictaron las resoluciones impugnadas), carece de capacidad para decidir por sí mismo como consecuencia de una parálisis cerebral (a la que se refiere el informe de la médico forense, reproducido en los antecedentes), y ante la negativa de sus padres y tutores [cuyo régimen de tutela no consta que haya sido revisado al amparo de la disposición transitoria quinta de la Ley 8/2021, STC 38/2023, FJ 3 c)] a la inoculación de la vacuna.</w:t>
      </w:r>
    </w:p>
    <w:p w14:paraId="45E639C7" w14:textId="77777777" w:rsidR="008D479B" w:rsidRDefault="008D479B" w:rsidP="008D479B">
      <w:pPr>
        <w:pStyle w:val="TextoNormal"/>
      </w:pPr>
    </w:p>
    <w:p w14:paraId="1FD7D809" w14:textId="77777777" w:rsidR="008D479B" w:rsidRDefault="008D479B" w:rsidP="008D479B">
      <w:pPr>
        <w:pStyle w:val="TextoNormal"/>
      </w:pPr>
      <w:r>
        <w:t xml:space="preserve">No forma parte del objeto de este recurso, en cambio, la queja deducida </w:t>
      </w:r>
      <w:r w:rsidRPr="008D479B">
        <w:rPr>
          <w:i/>
        </w:rPr>
        <w:t>ex novo</w:t>
      </w:r>
      <w:r>
        <w:t xml:space="preserve"> por el fiscal ante este tribunal en su escrito de alegaciones, respecto de la eventual lesión del art. 15 CE por no haberse recabado el consentimiento informado de don D.R.O., en la vista celebrada en el procedimiento, a la que no fue convocado. Este motivo no ha sido deducido por los aquí demandantes de amparo y no puede convertirse en una pretensión autónoma del fiscal, ya que este último no actúa como promotor del presente recurso [pese a tener legitimación para haberlo interpuesto, </w:t>
      </w:r>
      <w:r w:rsidRPr="008D479B">
        <w:rPr>
          <w:i/>
        </w:rPr>
        <w:t>ex</w:t>
      </w:r>
      <w:r>
        <w:t xml:space="preserve"> art. 46.1 b) LOTC], sino que expresa su criterio en cuanto a los términos de la demanda efectivamente deducida, conforme con lo previsto en el art. 52.1 LOTC.</w:t>
      </w:r>
    </w:p>
    <w:p w14:paraId="0C5D72A0" w14:textId="77777777" w:rsidR="008D479B" w:rsidRDefault="008D479B" w:rsidP="008D479B">
      <w:pPr>
        <w:pStyle w:val="TextoNormal"/>
      </w:pPr>
    </w:p>
    <w:p w14:paraId="62EFCB15" w14:textId="77777777" w:rsidR="008D479B" w:rsidRDefault="008D479B" w:rsidP="008D479B">
      <w:pPr>
        <w:pStyle w:val="TextoNormal"/>
      </w:pPr>
      <w:r>
        <w:t>b) Este tribunal, al amparo de lo establecido en el art. 86.3 LOTC y el art. 1 del acuerdo del Pleno de 23 de julio de 2015, por el que se regula la exclusión de los datos de identidad personal en la publicación de las resoluciones jurisdiccionales (“Boletín Oficial del Estado” núm. 178, de 27 de julio de 2015), en atención a que el objeto de controversia en este proceso constitucional versa sobre una persona que requiere un especial deber de tutela por su discapacidad, acuerda que en la presente resolución se identifique solo por sus iniciales a los intervinientes con la finalidad de preservar de modo efectivo el anonimato de dichas personas.</w:t>
      </w:r>
    </w:p>
    <w:p w14:paraId="7BFF127C" w14:textId="77777777" w:rsidR="008D479B" w:rsidRDefault="008D479B" w:rsidP="008D479B">
      <w:pPr>
        <w:pStyle w:val="TextoNormal"/>
      </w:pPr>
    </w:p>
    <w:p w14:paraId="2C65F318" w14:textId="77777777" w:rsidR="008D479B" w:rsidRDefault="008D479B" w:rsidP="008D479B">
      <w:pPr>
        <w:pStyle w:val="TextoNormal"/>
      </w:pPr>
      <w:r>
        <w:t>c) La cuestión constitucional suscitada en este recurso es la misma que ya ha sido objeto de análisis por el Pleno de este tribunal en la STC 38/2023, de 20 de abril. En ella se enjuició si la autorización judicial para la vacunación contra el covid-19 de una persona mayor de edad pero privada de la suficiente capacidad intelectual para poder emitir por sí misma el consentimiento informado de esa actuación sanitaria sobre su cuerpo, constando además la opinión en contra del familiar que se había hecho cargo de su cuidado, podía o no vulnerar los derechos fundamentales de aquel, derechos que también se invocan en el presente recurso de amparo.</w:t>
      </w:r>
    </w:p>
    <w:p w14:paraId="4E917396" w14:textId="77777777" w:rsidR="008D479B" w:rsidRDefault="008D479B" w:rsidP="008D479B">
      <w:pPr>
        <w:pStyle w:val="TextoNormal"/>
      </w:pPr>
    </w:p>
    <w:p w14:paraId="18C6EE86" w14:textId="77777777" w:rsidR="008D479B" w:rsidRDefault="008D479B" w:rsidP="008D479B">
      <w:pPr>
        <w:pStyle w:val="TextoNormal"/>
      </w:pPr>
      <w:r>
        <w:t>Por lo tanto, a la fundamentación jurídica de esa STC 38/2023, FJ 3, es preciso remitirse para rechazar: (i) la invocación del art. 14 CE, ya que falta un mínimo desarrollo argumental y no se ha aportado un término de comparación válido; (ii) la invocación del art. 18.1 CE en relación con el art. 10 CE, pues ni de la finalidad de las resoluciones impugnadas ni de la zona del cuerpo sobre la que se materializa la injerencia se deriva afectación alguna del derecho fundamental a la intimidad; y (iii) la invocación del art. 24.1 CE, que presenta un mero carácter accesorio o de refuerzo, al ir anudada a la denuncia realizada respecto de los demás derechos fundamentales invocados, de modo que “carece […] de sustantividad propia y resulta puramente formal e instrumental respecto de la alegación fundamental referida a la lesión del derecho sustantivo” (por todas, STC 342/2006, de 11 de diciembre, FJ 2).</w:t>
      </w:r>
    </w:p>
    <w:p w14:paraId="39E83B4E" w14:textId="77777777" w:rsidR="008D479B" w:rsidRDefault="008D479B" w:rsidP="008D479B">
      <w:pPr>
        <w:pStyle w:val="TextoNormal"/>
      </w:pPr>
    </w:p>
    <w:p w14:paraId="2CEC2550" w14:textId="77777777" w:rsidR="008D479B" w:rsidRDefault="008D479B" w:rsidP="008D479B">
      <w:pPr>
        <w:pStyle w:val="TextoNormal"/>
      </w:pPr>
      <w:r>
        <w:t>d) Respecto de la invocación del art. 15 CE, también en la citada STC 38/2023, FFJJ 4 a 6, se expusieron de manera pormenorizada las pautas de ponderación necesarias para determinar si ha resultado vulnerado en este tipo de supuestos el derecho a la integridad personal; debiendo destacarse a efectos de aplicación de la doctrina asentada que (i) la autorización judicial que aquí se enjuicia cuenta con la habilitación legal que ofrece el art. 9.6 de la Ley 41/2002, de 14 de noviembre, básica reguladora de la autonomía del paciente y de derechos y obligaciones en materia de información y documentación clínica, en cuanto precepto que tiene una estricta finalidad tuitiva de los intereses del paciente en un contexto de peligro para su salud y en una situación en la que la persona afectada no puede decidir por sí misma sobre el tratamiento médico prescrito (fundamento jurídico 5); y (ii) la decisión que se adopte ha de responder al fin estricto de proteger a la persona con discapacidad y adecuarse a dicho fin la ponderación de los beneficios y perjuicios, de modo que esté basada en argumentos que permitan considerar que el criterio adoptado es proporcionado a las necesidades de la persona con discapacidad, de acuerdo con las circunstancias concurrentes (fundamento jurídico 6).</w:t>
      </w:r>
    </w:p>
    <w:p w14:paraId="5757C142" w14:textId="77777777" w:rsidR="008D479B" w:rsidRDefault="008D479B" w:rsidP="008D479B">
      <w:pPr>
        <w:pStyle w:val="TextoNormal"/>
      </w:pPr>
    </w:p>
    <w:p w14:paraId="299DA741" w14:textId="77777777" w:rsidR="008D479B" w:rsidRDefault="008D479B" w:rsidP="008D479B">
      <w:pPr>
        <w:pStyle w:val="TextoNormal"/>
      </w:pPr>
      <w:r>
        <w:t>En atención a lo expuesto, en el presente caso, como también se concluyó en la citada STC 38/2023, FJ 7, este tribunal rechaza que se haya vulnerado el art. 15 CE, en el sentido alegado en la demanda, una vez que se constata que (i) la decisión judicial parte de considerar que don D.R.O., carecía de capacidad para manifestar su voluntad acerca de la administración de la vacuna, atendido el déficit intelectual que padece; (ii) la negativa de sus padres a la vacunación se basaba en su propia valoración personal de los datos publicados por organismos oficiales; (iii) la decisión judicial no desbordó los límites de cobertura del precepto habilitante, al establecerse como premisa de la ponderación la protección de la salud del interesado; (iv) los criterios de ponderación empleados en las resoluciones judiciales responden a la finalidad legítima de proteger los intereses de la persona vulnerable, al incidir en la recomendación de las autoridades sanitarias para la administración de la vacuna, considerándola “prioritaria”, sin distinguir si pertenece o no a grupos de mayor vulnerabilidad; y (v) teniendo en cuenta además la ausencia de contraindicación alguna para la vacunación de don D.R.O.</w:t>
      </w:r>
    </w:p>
    <w:p w14:paraId="7657733E" w14:textId="77777777" w:rsidR="008D479B" w:rsidRDefault="008D479B" w:rsidP="008D479B">
      <w:pPr>
        <w:pStyle w:val="TextoNormal"/>
      </w:pPr>
    </w:p>
    <w:p w14:paraId="6734B123" w14:textId="05EDFF6E" w:rsidR="008D479B" w:rsidRDefault="008D479B" w:rsidP="008D479B">
      <w:pPr>
        <w:pStyle w:val="TextoNormal"/>
      </w:pPr>
      <w:r>
        <w:t>Todo lo que se ha razonado conduce a la desestimación de la demanda presentada.</w:t>
      </w:r>
    </w:p>
    <w:p w14:paraId="65EC1A37" w14:textId="77777777" w:rsidR="008D479B" w:rsidRDefault="008D479B" w:rsidP="008D479B">
      <w:pPr>
        <w:pStyle w:val="TextoNormal"/>
      </w:pPr>
    </w:p>
    <w:p w14:paraId="3742DB81" w14:textId="77777777" w:rsidR="008D479B" w:rsidRDefault="008D479B" w:rsidP="008D479B">
      <w:pPr>
        <w:pStyle w:val="TextoNormalCentrado"/>
        <w:keepNext/>
      </w:pPr>
      <w:r>
        <w:t>FALLO</w:t>
      </w:r>
    </w:p>
    <w:p w14:paraId="4FA3E585" w14:textId="5DA8FEC6" w:rsidR="008D479B" w:rsidRDefault="008D479B" w:rsidP="008D479B">
      <w:pPr>
        <w:pStyle w:val="TextoNormalCentrado"/>
        <w:keepNext/>
      </w:pPr>
    </w:p>
    <w:p w14:paraId="60E99904" w14:textId="7CA028CF" w:rsidR="008D479B" w:rsidRDefault="008D479B" w:rsidP="008D479B">
      <w:pPr>
        <w:pStyle w:val="TextoNormal"/>
      </w:pPr>
      <w:r>
        <w:t>En atención a todo lo expuesto, el Tribunal Constitucional, por la autoridad que le confiere la Constitución de la Nación española, ha decidido desestimar el recurso de amparo interpuesto por doña M.I.O.C., y don I.R.Q.</w:t>
      </w:r>
    </w:p>
    <w:p w14:paraId="6FEEF34E" w14:textId="77777777" w:rsidR="008D479B" w:rsidRDefault="008D479B" w:rsidP="008D479B">
      <w:pPr>
        <w:pStyle w:val="TextoNormal"/>
      </w:pPr>
    </w:p>
    <w:p w14:paraId="76E25E62" w14:textId="77777777" w:rsidR="008D479B" w:rsidRDefault="008D479B" w:rsidP="008D479B">
      <w:pPr>
        <w:pStyle w:val="TextoNormal"/>
      </w:pPr>
      <w:r>
        <w:t>Publíquese esta sentencia en el “Boletín Oficial del Estado”.</w:t>
      </w:r>
    </w:p>
    <w:p w14:paraId="27818697" w14:textId="77777777" w:rsidR="008D479B" w:rsidRDefault="008D479B" w:rsidP="008D479B">
      <w:pPr>
        <w:pStyle w:val="TextoNormal"/>
      </w:pPr>
      <w:r>
        <w:t>Dada en Madrid, a veinte de noviembre de dos mil veintitrés.</w:t>
      </w:r>
    </w:p>
    <w:p w14:paraId="56E44792" w14:textId="0E9A9CBC" w:rsidR="008D479B" w:rsidRDefault="008D479B">
      <w:pPr>
        <w:spacing w:after="160" w:line="278" w:lineRule="auto"/>
        <w:rPr>
          <w:rFonts w:ascii="Times New Roman" w:eastAsia="Times New Roman" w:hAnsi="Times New Roman" w:cs="Times New Roman"/>
          <w:sz w:val="24"/>
          <w:szCs w:val="24"/>
          <w:lang w:eastAsia="es-ES"/>
        </w:rPr>
      </w:pPr>
      <w:r>
        <w:br w:type="page"/>
      </w:r>
    </w:p>
    <w:p w14:paraId="2A282ED7" w14:textId="77777777" w:rsidR="008D479B" w:rsidRDefault="008D479B" w:rsidP="008D479B">
      <w:pPr>
        <w:pStyle w:val="TtuloResolucin"/>
      </w:pPr>
      <w:bookmarkStart w:id="89" w:name="SENTENCIA_2023_164"/>
      <w:r>
        <w:t>SENTENCIA 164/2023, de 21 de noviembre de 2023</w:t>
      </w:r>
    </w:p>
    <w:bookmarkEnd w:id="89"/>
    <w:p w14:paraId="231A9D69" w14:textId="77777777" w:rsidR="008D479B" w:rsidRDefault="008D479B" w:rsidP="008D479B">
      <w:pPr>
        <w:pStyle w:val="TtuloResolucin"/>
      </w:pPr>
      <w:r>
        <w:t>Pleno</w:t>
      </w:r>
    </w:p>
    <w:p w14:paraId="4BCDF1A3" w14:textId="77777777" w:rsidR="008D479B" w:rsidRDefault="008D479B" w:rsidP="008D479B">
      <w:pPr>
        <w:pStyle w:val="TtuloBOE"/>
      </w:pPr>
      <w:r>
        <w:t>(BOE núm. 304, de 21 de diciembre de 2023)</w:t>
      </w:r>
    </w:p>
    <w:p w14:paraId="29776900" w14:textId="77777777" w:rsidR="008D479B" w:rsidRDefault="008D479B" w:rsidP="008D479B">
      <w:pPr>
        <w:pStyle w:val="TextoNormalCentrado"/>
      </w:pPr>
      <w:r>
        <w:t>ECLI:ES:TC:2023:164</w:t>
      </w:r>
    </w:p>
    <w:p w14:paraId="5F4448F0" w14:textId="59AEFEF2" w:rsidR="008D479B" w:rsidRDefault="008D479B" w:rsidP="008D479B">
      <w:pPr>
        <w:pStyle w:val="TextoNormalCentrado"/>
      </w:pPr>
    </w:p>
    <w:p w14:paraId="684D33DA" w14:textId="77777777" w:rsidR="008D479B" w:rsidRDefault="008D479B" w:rsidP="008D479B">
      <w:pPr>
        <w:pStyle w:val="SntesisDescriptiva"/>
      </w:pPr>
      <w:r>
        <w:t>Recurso de amparo 1293-2021. Promovido por la Unión General de Trabajadores en relación con la sentencia dictada por la Sala de lo Contencioso-Administrativo del Tribunal Superior de Justicia de Madrid que desestimó su demanda frente a la resolución del delegado del Gobierno en Madrid prohibiendo la concentración que pretendía celebrar el 8 de marzo de 2021.</w:t>
      </w:r>
    </w:p>
    <w:p w14:paraId="448A4A18" w14:textId="007A20E9" w:rsidR="008D479B" w:rsidRDefault="008D479B" w:rsidP="008D479B">
      <w:pPr>
        <w:pStyle w:val="SntesisDescriptiva"/>
      </w:pPr>
    </w:p>
    <w:p w14:paraId="65500068" w14:textId="77777777" w:rsidR="008D479B" w:rsidRDefault="008D479B" w:rsidP="008D479B">
      <w:pPr>
        <w:pStyle w:val="SntesisAnaltica"/>
      </w:pPr>
      <w:r>
        <w:t>Vulneración del derecho de reunión y manifestación: prohibición injustificada y desproporcionada de la convocatoria de una concentración al aire libre, con número limitado de asistentes y en la que se garantizaba el uso de mascarillas y el mantenimiento de una distancia interpersonal de seguridad. Votos particulares.</w:t>
      </w:r>
    </w:p>
    <w:p w14:paraId="72C76698" w14:textId="33447BD9" w:rsidR="008D479B" w:rsidRDefault="008D479B" w:rsidP="008D479B">
      <w:pPr>
        <w:pStyle w:val="SntesisAnaltica"/>
      </w:pPr>
    </w:p>
    <w:p w14:paraId="227AC3CF" w14:textId="5AB6AACC" w:rsidR="008D479B" w:rsidRDefault="008D479B" w:rsidP="008D479B">
      <w:pPr>
        <w:pStyle w:val="Extracto"/>
      </w:pPr>
      <w:r>
        <w:t>1.</w:t>
      </w:r>
      <w:r>
        <w:tab/>
        <w:t>Corresponde a la autoridad gubernativa la responsabilidad de motivar y aportar las razones que, desde criterios constitucionales de proporcionalidad, expliquen los límites al ejercicio del derecho de reunión (STC 193/2011) [FJ 2].</w:t>
      </w:r>
    </w:p>
    <w:p w14:paraId="59E2D120" w14:textId="77777777" w:rsidR="008D479B" w:rsidRDefault="008D479B" w:rsidP="008D479B">
      <w:pPr>
        <w:pStyle w:val="Extracto"/>
      </w:pPr>
    </w:p>
    <w:p w14:paraId="06BEC184" w14:textId="3F3149A7" w:rsidR="008D479B" w:rsidRDefault="008D479B" w:rsidP="008D479B">
      <w:pPr>
        <w:pStyle w:val="Extracto"/>
      </w:pPr>
      <w:r>
        <w:t>2.</w:t>
      </w:r>
      <w:r>
        <w:tab/>
        <w:t>El examen jurisdiccional de las medidas que restringen los derechos fundamentales, una vez constatada una finalidad constitucionalmente legítima, debe justificar tres pasos sucesivos: (i) si la medida enjuiciada es idónea o adecuada para la consecución de la finalidad legítima que pretende; (ii) si resulta, además, necesaria o imprescindible porque no existe otra medida menos incisiva en el derecho fundamental y de eficacia pareja; y (iii) cuál sea la magnitud de la afectación del derecho fundamental que produce la medida restrictiva y el beneficio que esta depara al interés general, para ponderar si aquella respeta la estricta proporcionalidad [FJ 2].</w:t>
      </w:r>
    </w:p>
    <w:p w14:paraId="0D302F9F" w14:textId="77777777" w:rsidR="008D479B" w:rsidRDefault="008D479B" w:rsidP="008D479B">
      <w:pPr>
        <w:pStyle w:val="Extracto"/>
      </w:pPr>
    </w:p>
    <w:p w14:paraId="603ADB5C" w14:textId="4CFE3A47" w:rsidR="008D479B" w:rsidRDefault="008D479B" w:rsidP="008D479B">
      <w:pPr>
        <w:pStyle w:val="Extracto"/>
      </w:pPr>
      <w:r>
        <w:t>3.</w:t>
      </w:r>
      <w:r>
        <w:tab/>
        <w:t>Se vulnera el art. 21 CE si el resultado del juicio de proporcionalidad estricta revela que una prohibición gubernativa supone una restricción injustificada y desproporcionada del derecho de manifestación [FJ 2].</w:t>
      </w:r>
    </w:p>
    <w:p w14:paraId="5AF0BCC7" w14:textId="77777777" w:rsidR="008D479B" w:rsidRDefault="008D479B" w:rsidP="008D479B">
      <w:pPr>
        <w:pStyle w:val="Extracto"/>
      </w:pPr>
    </w:p>
    <w:p w14:paraId="392E50E1" w14:textId="77777777" w:rsidR="008D479B" w:rsidRDefault="008D479B" w:rsidP="008D479B">
      <w:pPr>
        <w:pStyle w:val="Extracto"/>
      </w:pPr>
    </w:p>
    <w:p w14:paraId="77141E42" w14:textId="77777777" w:rsidR="008D479B" w:rsidRDefault="008D479B" w:rsidP="008D479B">
      <w:pPr>
        <w:pStyle w:val="TextoNormal"/>
      </w:pPr>
      <w: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 ha pronunciado</w:t>
      </w:r>
    </w:p>
    <w:p w14:paraId="2BF7B151" w14:textId="196FF4EE" w:rsidR="008D479B" w:rsidRDefault="008D479B" w:rsidP="008D479B">
      <w:pPr>
        <w:pStyle w:val="TextoNormal"/>
      </w:pPr>
    </w:p>
    <w:p w14:paraId="0CAE0A13" w14:textId="77777777" w:rsidR="008D479B" w:rsidRDefault="008D479B" w:rsidP="008D479B">
      <w:pPr>
        <w:pStyle w:val="TextoNormalCentrado"/>
        <w:keepNext/>
      </w:pPr>
      <w:r>
        <w:t>EN NOMBRE DEL REY</w:t>
      </w:r>
    </w:p>
    <w:p w14:paraId="63EF751D" w14:textId="746CCAD4" w:rsidR="008D479B" w:rsidRDefault="008D479B" w:rsidP="008D479B">
      <w:pPr>
        <w:pStyle w:val="TextoNormalCentrado"/>
        <w:keepNext/>
      </w:pPr>
    </w:p>
    <w:p w14:paraId="2754881E" w14:textId="77777777" w:rsidR="008D479B" w:rsidRDefault="008D479B" w:rsidP="008D479B">
      <w:pPr>
        <w:pStyle w:val="TextoNormalCentrado"/>
        <w:keepNext/>
      </w:pPr>
    </w:p>
    <w:p w14:paraId="5416D935" w14:textId="77777777" w:rsidR="008D479B" w:rsidRDefault="008D479B" w:rsidP="008D479B">
      <w:pPr>
        <w:pStyle w:val="TextoNormal"/>
      </w:pPr>
      <w:r>
        <w:t>la siguiente</w:t>
      </w:r>
    </w:p>
    <w:p w14:paraId="730EE671" w14:textId="1DAB6A39" w:rsidR="008D479B" w:rsidRDefault="008D479B" w:rsidP="008D479B">
      <w:pPr>
        <w:pStyle w:val="TextoNormal"/>
      </w:pPr>
    </w:p>
    <w:p w14:paraId="3FAFB06D" w14:textId="77777777" w:rsidR="008D479B" w:rsidRDefault="008D479B" w:rsidP="008D479B">
      <w:pPr>
        <w:pStyle w:val="TextoNormalCentrado"/>
        <w:keepNext/>
      </w:pPr>
      <w:r>
        <w:t>SENTENCIA</w:t>
      </w:r>
    </w:p>
    <w:p w14:paraId="19731B51" w14:textId="6FEBAF44" w:rsidR="008D479B" w:rsidRDefault="008D479B" w:rsidP="008D479B">
      <w:pPr>
        <w:pStyle w:val="TextoNormalCentrado"/>
        <w:keepNext/>
      </w:pPr>
    </w:p>
    <w:p w14:paraId="2DE8CAEE" w14:textId="77777777" w:rsidR="008D479B" w:rsidRDefault="008D479B" w:rsidP="008D479B">
      <w:pPr>
        <w:pStyle w:val="TextoNormal"/>
      </w:pPr>
      <w:r>
        <w:t>En el recurso de amparo avocado núm. 1293-2021, promovido por el sindicato UGT Madrid de la Unión General de Trabajadores, contra la sentencia de 7 de marzo de 2021 de la Sección Décima de la Sala de lo Contencioso-Administrativo del Tribunal Superior de Justicia de Madrid, recaída en los autos del derecho de reunión núm. 275-2021, que desestimó el recurso interpuesto por el precitado sindicato contra la resolución de 3 de marzo de 2021 del delegado del Gobierno en la Comunidad de Madrid que, a su vez, había acordado, por razones de salud pública, la prohibición de la concentración convocada por el sindicato ahora recurrente, junto con otro sindicato, para el día 8 de marzo de 2021, de 11:00 a 14:30 horas en la plaza de Cibeles de Madrid. Ha intervenido el Ministerio Fiscal. Ha sido ponente el magistrado don Ramón Sáez Valcárcel.</w:t>
      </w:r>
    </w:p>
    <w:p w14:paraId="4F972B5E" w14:textId="0944C290" w:rsidR="008D479B" w:rsidRDefault="008D479B" w:rsidP="008D479B">
      <w:pPr>
        <w:pStyle w:val="TextoNormal"/>
      </w:pPr>
    </w:p>
    <w:p w14:paraId="12D7A7D2" w14:textId="77777777" w:rsidR="008D479B" w:rsidRDefault="008D479B" w:rsidP="008D479B">
      <w:pPr>
        <w:pStyle w:val="TextoNormalNegritaCentrado"/>
        <w:keepNext/>
      </w:pPr>
      <w:r>
        <w:t>I. Antecedentes</w:t>
      </w:r>
    </w:p>
    <w:p w14:paraId="78396DA0" w14:textId="4E2F9799" w:rsidR="008D479B" w:rsidRDefault="008D479B" w:rsidP="008D479B">
      <w:pPr>
        <w:pStyle w:val="TextoNormalNegritaCentrado"/>
        <w:keepNext/>
      </w:pPr>
    </w:p>
    <w:p w14:paraId="4578CF4F" w14:textId="526305CB" w:rsidR="008D479B" w:rsidRDefault="008D479B" w:rsidP="008D479B">
      <w:pPr>
        <w:pStyle w:val="TextoNormal"/>
      </w:pPr>
      <w:r w:rsidRPr="008D479B">
        <w:rPr>
          <w:rStyle w:val="NumeroAFNegritaCaracter"/>
        </w:rPr>
        <w:t>1</w:t>
      </w:r>
      <w:r>
        <w:t>. Por escrito registrado en este tribunal el día 8 de marzo de 2021, el sindicato UGT Madrid de la Unión General de Trabajadores (en adelante UGT Madrid), representado por la procuradora de los tribunales doña Ascensión Peláez Díez, bajo la dirección letrada de don Vicente José Carrasco Pula, interpuso recurso de amparo contra la sentencia de 7 de marzo de 2021 de la Sección Décima de la Sala de lo Contencioso-Administrativo del Tribunal Superior de Justicia de la Comunidad de Madrid, recaída en los autos del derecho de reunión núm. 275-2021, que desestimó el recurso interpuesto por el precitado sindicato contra la resolución de 3 de marzo de 2021 del delegado del Gobierno en la Comunidad de Madrid que, a su vez, había acordado, por razones de salud pública, la prohibición de la concentración que había sido convocada por el sindicato ahora recurrente, junto con otro sindicato, para el día 8 de marzo de 2021, de las 11:00 a las 14:30 horas en la plaza de Cibeles de Madrid, por entender vulnerado su derecho de reunión (art. 21 CE), en conexión con el art. 24.1 CE por falta de motivación de la sentencia dictada.</w:t>
      </w:r>
    </w:p>
    <w:p w14:paraId="6D525599" w14:textId="77777777" w:rsidR="008D479B" w:rsidRDefault="008D479B" w:rsidP="008D479B">
      <w:pPr>
        <w:pStyle w:val="TextoNormal"/>
      </w:pPr>
    </w:p>
    <w:p w14:paraId="3DB893FF" w14:textId="77777777" w:rsidR="008D479B" w:rsidRDefault="008D479B" w:rsidP="008D479B">
      <w:pPr>
        <w:pStyle w:val="TextoNormal"/>
      </w:pPr>
      <w:r w:rsidRPr="008D479B">
        <w:rPr>
          <w:rStyle w:val="NumeroAFNegritaCaracter"/>
        </w:rPr>
        <w:t>2</w:t>
      </w:r>
      <w:r>
        <w:t>. Los hechos relevantes que se desprenden de la demanda de amparo y de las actuaciones que la acompañan son los siguientes:</w:t>
      </w:r>
    </w:p>
    <w:p w14:paraId="7830B87B" w14:textId="77777777" w:rsidR="008D479B" w:rsidRDefault="008D479B" w:rsidP="008D479B">
      <w:pPr>
        <w:pStyle w:val="TextoNormal"/>
      </w:pPr>
    </w:p>
    <w:p w14:paraId="64E7E2F4" w14:textId="77777777" w:rsidR="008D479B" w:rsidRDefault="008D479B" w:rsidP="008D479B">
      <w:pPr>
        <w:pStyle w:val="TextoNormal"/>
      </w:pPr>
      <w:r>
        <w:t>a) Por medio de escrito de 22 de febrero de 2021, doña Rosa María Moreno Rodríguez, en su calidad de secretaria de organización del sindicato UGT Madrid, en unión de otra persona en su condición de representante del sindicato Comisiones Obreras, comunicaron a la Delegación del Gobierno en Madrid la realización de una concentración en la plaza de Cibeles de Madrid, para el día 8 de marzo de 2021 entre las 11:00 y las 14:30 horas, con motivo de la celebración del día de la mujer.</w:t>
      </w:r>
    </w:p>
    <w:p w14:paraId="5F84C8A4" w14:textId="77777777" w:rsidR="008D479B" w:rsidRDefault="008D479B" w:rsidP="008D479B">
      <w:pPr>
        <w:pStyle w:val="TextoNormal"/>
      </w:pPr>
    </w:p>
    <w:p w14:paraId="5B644ED6" w14:textId="77777777" w:rsidR="008D479B" w:rsidRDefault="008D479B" w:rsidP="008D479B">
      <w:pPr>
        <w:pStyle w:val="TextoNormal"/>
      </w:pPr>
      <w:r>
        <w:t>El lema de la citada concentración era “En la igualdad, Ni un paso atrás” y la organización preveía la asistencia de 250 personas, así como la instalación de una estructura con megafonía para la intervención de oradores, un servicio de orden como medida de seguridad prevista por los organizadores y dos vehículos de apoyo.</w:t>
      </w:r>
    </w:p>
    <w:p w14:paraId="273A9C77" w14:textId="77777777" w:rsidR="008D479B" w:rsidRDefault="008D479B" w:rsidP="008D479B">
      <w:pPr>
        <w:pStyle w:val="TextoNormal"/>
      </w:pPr>
    </w:p>
    <w:p w14:paraId="25D7056D" w14:textId="77777777" w:rsidR="008D479B" w:rsidRDefault="008D479B" w:rsidP="008D479B">
      <w:pPr>
        <w:pStyle w:val="TextoNormal"/>
      </w:pPr>
      <w:r>
        <w:t>b) Por medio de acuerdo de 3 de marzo de 2021, el delegado del Gobierno en Madrid decidió prohibir la celebración de dicha concentración por razones de salud pública.</w:t>
      </w:r>
    </w:p>
    <w:p w14:paraId="754D475D" w14:textId="77777777" w:rsidR="008D479B" w:rsidRDefault="008D479B" w:rsidP="008D479B">
      <w:pPr>
        <w:pStyle w:val="TextoNormal"/>
      </w:pPr>
    </w:p>
    <w:p w14:paraId="15AD2DB6" w14:textId="77777777" w:rsidR="008D479B" w:rsidRDefault="008D479B" w:rsidP="008D479B">
      <w:pPr>
        <w:pStyle w:val="TextoNormal"/>
      </w:pPr>
      <w:r>
        <w:t>En su resolución, el delegado del Gobierno en la Comunidad de Madrid realiza unas consideraciones generales sobre su competencia para adoptar las medidas necesarias relativas a la celebración de reuniones y manifestaciones con objeto de impedir que se perturbe la seguridad ciudadana (art. 23.1 de la Ley Orgánica 4/2015, 30 de marzo, de protección de la seguridad ciudadana); asimismo, en su resolución recogía unas consideraciones generales sobre el derecho fundamental de reunión y sostiene que este derecho no tiene carácter absoluto, sino que está sujeto a límites establecidos por la Constitución y la ley cuando concurren otros derechos y bienes constitucionalmente protegidos.</w:t>
      </w:r>
    </w:p>
    <w:p w14:paraId="5DB5D603" w14:textId="77777777" w:rsidR="008D479B" w:rsidRDefault="008D479B" w:rsidP="008D479B">
      <w:pPr>
        <w:pStyle w:val="TextoNormal"/>
      </w:pPr>
    </w:p>
    <w:p w14:paraId="700FBC41" w14:textId="77777777" w:rsidR="008D479B" w:rsidRDefault="008D479B" w:rsidP="008D479B">
      <w:pPr>
        <w:pStyle w:val="TextoNormal"/>
      </w:pPr>
      <w:r>
        <w:t>A partir del fundamento de derecho cuarto de su resolución, señala que en las fechas en las que se había convocado la concentración y el día en que iba a tener lugar España afrontaba “una crisis sanitaria sin precedentes y de una extraordinaria amplitud y gravedad ocasionada por la expansión del denominado covid-19, tanto por el extraordinario riesgo de contagio y el alto número de ciudadanos afectados, con la consiguiente presión sobre los servicios sanitarios, como por el elevado coste social y económico derivados de las medidas extraordinarias de contención y distanciamiento adoptadas por los distintos Estados”.</w:t>
      </w:r>
    </w:p>
    <w:p w14:paraId="31612023" w14:textId="77777777" w:rsidR="008D479B" w:rsidRDefault="008D479B" w:rsidP="008D479B">
      <w:pPr>
        <w:pStyle w:val="TextoNormal"/>
      </w:pPr>
    </w:p>
    <w:p w14:paraId="5C1B6998" w14:textId="77777777" w:rsidR="008D479B" w:rsidRDefault="008D479B" w:rsidP="008D479B">
      <w:pPr>
        <w:pStyle w:val="TextoNormal"/>
      </w:pPr>
      <w:r>
        <w:t>Seguidamente, la resolución del delegado del Gobierno hacía referencia a lo establecido en el art. 7.3 del Real Decreto 926/2020, de 25 de octubre, por el que se declaró el segundo estado de alarma, que estaba en vigor y aplicándose en las fechas de autos, que preveía que las manifestaciones podrían limitarse, condicionarse o prohibirse cuando en la previa comunicación presentada por los promotores no quedara garantizada la distancia personal necesaria para impedir contagios. También alude a las sentencias de la Sala de lo Contencioso-Administrativo del Tribunal Superior de Justicia de Madrid ambas de 30 de abril de 2020 que hacían mención a la posibilidad de establecer limitaciones de la permanencia de grupos de personas en espacios públicos y privados; asimismo, aludía a las sentencias dictadas por esta misma Sala de 4 y 11 de febrero de 2021 que aludían a la limitación a que puede verse sometido el ejercicio del derecho fundamental del art. 21 CE cuando entra en conflicto con bienes y valores constitucionales, como la salud pública, la integridad física y la vida de las personas, que deben prevalecer frente a aquel.</w:t>
      </w:r>
    </w:p>
    <w:p w14:paraId="25F0FF1F" w14:textId="77777777" w:rsidR="008D479B" w:rsidRDefault="008D479B" w:rsidP="008D479B">
      <w:pPr>
        <w:pStyle w:val="TextoNormal"/>
      </w:pPr>
    </w:p>
    <w:p w14:paraId="741409F1" w14:textId="77777777" w:rsidR="008D479B" w:rsidRDefault="008D479B" w:rsidP="008D479B">
      <w:pPr>
        <w:pStyle w:val="TextoNormal"/>
      </w:pPr>
      <w:r>
        <w:t>A continuación, el acuerdo del delegado del Gobierno en la Comunidad de Madrid se refiere a las circunstancias concretas que debían ser ponderadas en el presente caso:</w:t>
      </w:r>
    </w:p>
    <w:p w14:paraId="699B9B3F" w14:textId="77777777" w:rsidR="008D479B" w:rsidRDefault="008D479B" w:rsidP="008D479B">
      <w:pPr>
        <w:pStyle w:val="TextoNormal"/>
      </w:pPr>
    </w:p>
    <w:p w14:paraId="2360C5A4" w14:textId="77777777" w:rsidR="008D479B" w:rsidRDefault="008D479B" w:rsidP="008D479B">
      <w:pPr>
        <w:pStyle w:val="TextoNormal"/>
      </w:pPr>
      <w:r>
        <w:t>(i) Primero, pone de manifiesto que el aspecto más evidente en aquellas fechas era que “tras las consecuencias provocadas por las reuniones familiares de las navidades, estamos afrontando el resultado de la ‘tercera ola’, si cabe con mayor virulencia que las anteriores”. Al respecto subraya los siguientes extremos: (a) que la Consejería de Sanidad de la Comunidad de Madrid había tenido que dictar “[ó]rdenes con medidas específicas, temporales y excepcionales, para la contención de la expansión del covid-19” a la vista de la evolución de la pandemia, en las que se daba cuenta de la necesidad de mantener distintas medidas limitativas con objeto de minimizar los riesgos de exposición al virus; (b) que la situación de la Comunidad de Madrid estaba catalogada en aquellos días de “riesgo extremo” siendo una de las tres comunidades autónomas “con mayor incidencia acumulada”, así como “la de mayor presión hospitalaria de toda España (43 por 100 en UCI)”; (c) que la aparición de nuevas cepas como la inglesa, sudafricana, brasileña, mexicana, nigeriana, de Nueva York o Robin, puestas de manifiesto por expertos y autoridades sanitarias, estaba “provocando que los contagios se propag[aran] con mayor rapidez y facilidad”, agregando que el Gobierno de España mantenía restricciones y medidas concretas “hasta finales de marzo para viajeros procedentes de distintos países del mundo, con la intención de frenar la propagación de las citadas variantes del virus”; (d) que, pese al descenso paulatino de la incidencia, “la totalidad de autoridades sanitarias y expertos insisten en que no es posible bajar la guardia”, siendo muy elevado el riesgo de contagios y más teniendo en cuenta la evolución rápida de las nuevas cepas. A tal efecto, la resolución del delegado del Gobierno destaca que se venían cancelando en aquellas fechas todos los eventos multitudinarios previstos debido al alto riesgo de contagios, como las Fallas valencianas, la Semana Santa o la imposibilidad de asistir a eventos deportivos; y (e) que, en las grandes áreas metropolitanas, con un alto índice de población, “la movilidad de las personas es muy alta diariamente y el uso del transporte público puede elevar el riesgo de contagios”.</w:t>
      </w:r>
    </w:p>
    <w:p w14:paraId="3689207D" w14:textId="77777777" w:rsidR="008D479B" w:rsidRDefault="008D479B" w:rsidP="008D479B">
      <w:pPr>
        <w:pStyle w:val="TextoNormal"/>
      </w:pPr>
    </w:p>
    <w:p w14:paraId="703A392D" w14:textId="77777777" w:rsidR="008D479B" w:rsidRDefault="008D479B" w:rsidP="008D479B">
      <w:pPr>
        <w:pStyle w:val="TextoNormal"/>
      </w:pPr>
      <w:r>
        <w:t>(ii) En relación con la específica celebración del día 8 de marzo, en cuanto día internacional de la mujer, señala la resolución que “cada año se realizan distintos actos reivindicativos que aglutinan gran número de personas en las calles” y que, “[e]n los últimos años, las cifras de manifestantes solamente en Madrid han sido muy elevadas”, lo que ha motivado que las máximas autoridades sanitarias hubieran realizado “notorias declaraciones públicas desaconsejando el modo de concentración de años anteriores”. Al respecto cita las declaraciones de la ministra de Sanidad del día 25 de febrero anterior, en las que afirmó que “no ha lugar” a la celebración de manifestaciones y concentraciones el día 8 de marzo “por el elevado riesgo de contagios que hay hoy en día”; igualmente, el consejero de Sanidad de la Comunidad de Madrid afirmó que “el criterio de salud pública va en contra de la celebración de estas manifestaciones”; y el portavoz del Consejo de Ministros del Gobierno de España, que, en sesión del día 2 de marzo, hizo un llamamiento a que el día 8 de marzo no hubiera concentraciones masivas ni manifestaciones.</w:t>
      </w:r>
    </w:p>
    <w:p w14:paraId="7BD2CD7E" w14:textId="77777777" w:rsidR="008D479B" w:rsidRDefault="008D479B" w:rsidP="008D479B">
      <w:pPr>
        <w:pStyle w:val="TextoNormal"/>
      </w:pPr>
    </w:p>
    <w:p w14:paraId="1478C389" w14:textId="77777777" w:rsidR="008D479B" w:rsidRDefault="008D479B" w:rsidP="008D479B">
      <w:pPr>
        <w:pStyle w:val="TextoNormal"/>
      </w:pPr>
      <w:r>
        <w:t>(iii) A continuación, la resolución del delegado del Gobierno alude a que en “tan solo tres días (sábado 6, domingo 7 y lunes 8 de marzo), en la Comunidad de Madrid han sido convocadas un total de 104 manifestaciones/concentraciones con distintos objetos (la mayoría relacionadas con el día internacional de la mujer), distintas ubicaciones y número de participantes (desde veinticinco personas en las más pequeñas hasta 10 000 en la más grande)” y, según refiere la resolución, se trataba de un número muy superior al de la media semanal en la Comunidad de Madrid, cifrado en setenta.</w:t>
      </w:r>
    </w:p>
    <w:p w14:paraId="202264FD" w14:textId="77777777" w:rsidR="008D479B" w:rsidRDefault="008D479B" w:rsidP="008D479B">
      <w:pPr>
        <w:pStyle w:val="TextoNormal"/>
      </w:pPr>
    </w:p>
    <w:p w14:paraId="2DEDFC0C" w14:textId="77777777" w:rsidR="008D479B" w:rsidRDefault="008D479B" w:rsidP="008D479B">
      <w:pPr>
        <w:pStyle w:val="TextoNormal"/>
      </w:pPr>
      <w:r>
        <w:t>De tales datos deduce la resolución “la intención de los manifestantes de salir a las calles de forma masiva”, lo que a su juicio implicaba: (a) el “desconocimiento real del número total de personas que podrían ir en caso de llevarse a cabo”; (b) la “gran movilidad de personas en los trayectos desde los domicilios a las manifestaciones y concentraciones y viceversa”; y (c) el “riesgo alto de contagios, no solamente en los desplazamientos, sino en los lugares de celebración de las concentraciones”.</w:t>
      </w:r>
    </w:p>
    <w:p w14:paraId="5ED2AFA9" w14:textId="77777777" w:rsidR="008D479B" w:rsidRDefault="008D479B" w:rsidP="008D479B">
      <w:pPr>
        <w:pStyle w:val="TextoNormal"/>
      </w:pPr>
    </w:p>
    <w:p w14:paraId="1006F78F" w14:textId="77777777" w:rsidR="008D479B" w:rsidRDefault="008D479B" w:rsidP="008D479B">
      <w:pPr>
        <w:pStyle w:val="TextoNormal"/>
      </w:pPr>
      <w:r>
        <w:t>(iv) La resolución del delegado del Gobierno refiere también que “la información recabada de la Policía Nacional al respecto manifiesta que no puede garantizarse que no exista riesgo del agrupamiento de varias concentraciones o manifestaciones relativamente próximas independientemente del lugar o formato de la convocatoria”. Asimismo, indica que representantes de la Delegación del Gobierno en Madrid “mantuvieron una reunión el pasado 24 de febrero de 2021, con la Plataforma 8-M, con la intención de buscar formatos alternativos a las manifestaciones convocadas”, que permitieran “el ejercicio reivindicativo sin poner en riesgo la salud pública (convocatorias virtuales, manifestarse desde los balcones o manifestaciones en vehículos)”.</w:t>
      </w:r>
    </w:p>
    <w:p w14:paraId="0BC021D0" w14:textId="77777777" w:rsidR="008D479B" w:rsidRDefault="008D479B" w:rsidP="008D479B">
      <w:pPr>
        <w:pStyle w:val="TextoNormal"/>
      </w:pPr>
    </w:p>
    <w:p w14:paraId="2C4F4B1D" w14:textId="77777777" w:rsidR="008D479B" w:rsidRDefault="008D479B" w:rsidP="008D479B">
      <w:pPr>
        <w:pStyle w:val="TextoNormal"/>
      </w:pPr>
      <w:r>
        <w:t>(v) Se agrega a lo anterior que, “[t]ras haberse prohibido por motivos sanitarios las dos grandes manifestaciones la semana pasada, se están convocando este tipo de concentraciones más pequeñas que permite ver una misma causa fragmentada; es decir, muchas concentraciones, pero con menos personas”. A esta conclusión llega argumentando que “[l]a intención no es la de buscar alternativas que permitan reivindicar la causa”, sino “salir a la calle de forma masiva”, como lo demuestra el número de manifestaciones/concentraciones convocadas (104) en aquel fin de semana del 6 al 8 de marzo de 2021.</w:t>
      </w:r>
    </w:p>
    <w:p w14:paraId="43BB4BD6" w14:textId="77777777" w:rsidR="008D479B" w:rsidRDefault="008D479B" w:rsidP="008D479B">
      <w:pPr>
        <w:pStyle w:val="TextoNormal"/>
      </w:pPr>
    </w:p>
    <w:p w14:paraId="51D797E8" w14:textId="77777777" w:rsidR="008D479B" w:rsidRDefault="008D479B" w:rsidP="008D479B">
      <w:pPr>
        <w:pStyle w:val="TextoNormal"/>
      </w:pPr>
      <w:r>
        <w:t>(vi) Igualmente señala que había solicitado por dos veces un informe a la Consejería de Sanidad de la Comunidad de Madrid sobre “estimación del riesgo del acto comunicado” en fechas 25 de febrero y 1 de marzo de 2021, no habiendo recibido el informe solicitado. Afirma que deben ser tenidos en cuenta los siguientes elementos: (a) la situación sanitaria de la evolución de la covid-19 en la Comunidad de Madrid es de “riesgo extremo”; (b) no ha habido variación en los consejos de las autoridades sanitarias para evitar los riesgos de contagio y propagación de la pandemia, agregando la referencia a una comunicación del día 2 de marzo del Consejo General de Colegios Oficiales de Médicos que hacía un llamamiento a la responsabilidad y compromiso de la ciudadanía ante cualquier tipo de concentración o manifestación que pudiera suponer un riesgo para la salud pública; (c) el detallado análisis del acto comunicado, “puesto en su contexto temporal y espacial, se deduce una posible concurrencia de otros actos comunicados en los mismos días”; y (d) los informes anteriores emitidos por la Dirección General de Salud Pública de la Comunidad de Madrid, los últimos de ellos referidos a manifestaciones masivas del 8 de marzo, “vienen especificando que las medidas correctoras y de prevención que proponen las organizaciones, como distancia… ‘pueden resultar insuficientes teniendo en cuenta la dificultad de mantener el distanciamiento interpersonal en una concentración cuando las personas están de pie y deambulan, quedando únicamente a merced de la protección de la mascarilla y el cuidado con que se haga uso de la misma, lo que podría resultar insuficiente en la situación epidemiológica actual’”.</w:t>
      </w:r>
    </w:p>
    <w:p w14:paraId="213C5B53" w14:textId="77777777" w:rsidR="008D479B" w:rsidRDefault="008D479B" w:rsidP="008D479B">
      <w:pPr>
        <w:pStyle w:val="TextoNormal"/>
      </w:pPr>
    </w:p>
    <w:p w14:paraId="4CD6C0D6" w14:textId="77777777" w:rsidR="008D479B" w:rsidRDefault="008D479B" w:rsidP="008D479B">
      <w:pPr>
        <w:pStyle w:val="TextoNormal"/>
      </w:pPr>
      <w:r>
        <w:t>La resolución recoge la conclusión de estos informes destacando que “teniendo en cuenta las circunstancias anteriormente expuestas, especialmente el elevado número de asistentes y la duración prevista de la misma, y de acuerdo con lo establecido en el art. 7.3 del Real Decreto 926/2020, de 25 de octubre […] se informa desfavorablemente sobre la realización de la concentración solicitada por los promotores al inicio de este escrito, desaconsejando su celebración” (en cursiva en el texto de la resolución).</w:t>
      </w:r>
    </w:p>
    <w:p w14:paraId="47D84C19" w14:textId="77777777" w:rsidR="008D479B" w:rsidRDefault="008D479B" w:rsidP="008D479B">
      <w:pPr>
        <w:pStyle w:val="TextoNormal"/>
      </w:pPr>
    </w:p>
    <w:p w14:paraId="5A61374C" w14:textId="77777777" w:rsidR="008D479B" w:rsidRDefault="008D479B" w:rsidP="008D479B">
      <w:pPr>
        <w:pStyle w:val="TextoNormal"/>
      </w:pPr>
      <w:r>
        <w:t>(vii) A modo de conclusión, el último de los fundamentos jurídicos de la resolución razona que “[t]eniendo en cuenta la intencionalidad de los colectivos convocantes, de ejercer su derecho a manifestarse en las calles (es el único formato de reivindicación recibido) buscando un gran número de reuniones en diferentes lugares y teniendo en cuenta las circunstancias epidemiológicas actuales (niveles altos de incidencia y la aparición de las nuevas cepas de covid), así como los informes que vienen emitiendo las autoridades sanitarias, la celebración de estas concentraciones eleva el riesgo de contagios de una manera exponencial”.</w:t>
      </w:r>
    </w:p>
    <w:p w14:paraId="5208D884" w14:textId="77777777" w:rsidR="008D479B" w:rsidRDefault="008D479B" w:rsidP="008D479B">
      <w:pPr>
        <w:pStyle w:val="TextoNormal"/>
      </w:pPr>
    </w:p>
    <w:p w14:paraId="38EFCA7C" w14:textId="77777777" w:rsidR="008D479B" w:rsidRDefault="008D479B" w:rsidP="008D479B">
      <w:pPr>
        <w:pStyle w:val="TextoNormal"/>
      </w:pPr>
      <w:r>
        <w:t>Por todo ello, la resolución del delegado del Gobierno en la Comunidad de Madrid acordó prohibir por razones de salud pública la concentración.</w:t>
      </w:r>
    </w:p>
    <w:p w14:paraId="11EB0AED" w14:textId="77777777" w:rsidR="008D479B" w:rsidRDefault="008D479B" w:rsidP="008D479B">
      <w:pPr>
        <w:pStyle w:val="TextoNormal"/>
      </w:pPr>
    </w:p>
    <w:p w14:paraId="31871088" w14:textId="77777777" w:rsidR="008D479B" w:rsidRDefault="008D479B" w:rsidP="008D479B">
      <w:pPr>
        <w:pStyle w:val="TextoNormal"/>
      </w:pPr>
      <w:r>
        <w:t>c) La representación del sindicato UGT Madrid interpuso un recurso contencioso-administrativo ante el Tribunal Superior de Justicia de Madrid, que dio inicio al procedimiento de derecho de reunión núm. 275-2021.</w:t>
      </w:r>
    </w:p>
    <w:p w14:paraId="6EF16B1E" w14:textId="77777777" w:rsidR="008D479B" w:rsidRDefault="008D479B" w:rsidP="008D479B">
      <w:pPr>
        <w:pStyle w:val="TextoNormal"/>
      </w:pPr>
    </w:p>
    <w:p w14:paraId="7836E602" w14:textId="77777777" w:rsidR="008D479B" w:rsidRDefault="008D479B" w:rsidP="008D479B">
      <w:pPr>
        <w:pStyle w:val="TextoNormal"/>
      </w:pPr>
      <w:r>
        <w:t>El recurso sostiene que la existencia de un marco pandémico no ha supuesto el decaimiento en absoluto del derecho de reunión y manifestación pues, como indica la propia resolución impugnada, “la media de concentraciones y manifestaciones que viene habiendo en la Comunidad de Madrid es de setenta por semana”.</w:t>
      </w:r>
    </w:p>
    <w:p w14:paraId="6D104FF6" w14:textId="77777777" w:rsidR="008D479B" w:rsidRDefault="008D479B" w:rsidP="008D479B">
      <w:pPr>
        <w:pStyle w:val="TextoNormal"/>
      </w:pPr>
    </w:p>
    <w:p w14:paraId="0355C760" w14:textId="77777777" w:rsidR="008D479B" w:rsidRDefault="008D479B" w:rsidP="008D479B">
      <w:pPr>
        <w:pStyle w:val="TextoNormal"/>
      </w:pPr>
      <w:r>
        <w:t>Añade que la solicitud no entraña riesgo de que se convierta en una concentración masiva o en una manifestación, pues viene limitada a 250 personas y del cumplimiento de dicho límite se encargaría el servicio de orden de los sindicatos convocantes. El acto no entraña recorrido alguno al ser una concentración, por lo que no existe movilidad de personas.</w:t>
      </w:r>
    </w:p>
    <w:p w14:paraId="6673749B" w14:textId="77777777" w:rsidR="008D479B" w:rsidRDefault="008D479B" w:rsidP="008D479B">
      <w:pPr>
        <w:pStyle w:val="TextoNormal"/>
      </w:pPr>
    </w:p>
    <w:p w14:paraId="13642CDD" w14:textId="77777777" w:rsidR="008D479B" w:rsidRDefault="008D479B" w:rsidP="008D479B">
      <w:pPr>
        <w:pStyle w:val="TextoNormal"/>
      </w:pPr>
      <w:r>
        <w:t>Sostiene que “nos debe perdonar la comparación, pero el riesgo que entraña esta concentración no es superior, en absoluto, al que pueda existir, por ejemplo, en cualquier gran comercio de la Comunidad de Madrid, cuya actividad, como se sabe, está perfectamente permitida”. No se puede argumentar que el desplazamiento de las personas que tengan previsto acudir a nuestra concentración va a propagar el virus, porque no son desplazamientos superiores, ni de lejos, a los que se producen todos los días o con motivo de acudir las personas a sus trabajos, quehaceres y obligaciones de todo tipo, ya sea en transporte público, ya en privado.</w:t>
      </w:r>
    </w:p>
    <w:p w14:paraId="48B591FF" w14:textId="77777777" w:rsidR="008D479B" w:rsidRDefault="008D479B" w:rsidP="008D479B">
      <w:pPr>
        <w:pStyle w:val="TextoNormal"/>
      </w:pPr>
    </w:p>
    <w:p w14:paraId="3A276103" w14:textId="77777777" w:rsidR="008D479B" w:rsidRDefault="008D479B" w:rsidP="008D479B">
      <w:pPr>
        <w:pStyle w:val="TextoNormal"/>
      </w:pPr>
      <w:r>
        <w:t>Aduce que se trata de una concentración limitada a 250 personas “en un espacio público al aire libre y amplísimo”. La Delegación del Gobierno no aporta prueba alguna de una suerte de acuerdo de voluntades entre los 104 convocantes para generar una especie de manifestación masiva. No existe tal concierto de voluntades.</w:t>
      </w:r>
    </w:p>
    <w:p w14:paraId="01319405" w14:textId="77777777" w:rsidR="008D479B" w:rsidRDefault="008D479B" w:rsidP="008D479B">
      <w:pPr>
        <w:pStyle w:val="TextoNormal"/>
      </w:pPr>
    </w:p>
    <w:p w14:paraId="5CD9E397" w14:textId="77777777" w:rsidR="008D479B" w:rsidRDefault="008D479B" w:rsidP="008D479B">
      <w:pPr>
        <w:pStyle w:val="TextoNormal"/>
      </w:pPr>
      <w:r>
        <w:t>No se argumenta que la concentración coincida con ninguna otra que haya de producirse en el mismo espacio elegido. Incluso “aunque fuera así, deberían ponderarse las características de las concentraciones para, en su caso, limitarlas, pero no prohibirlas”. Concluye afirmando que el acuerdo no discrimina las diferentes manifestaciones/concentraciones solicitadas, cuando debería hacerlo al existir enormes diferencias entre unas y otras.</w:t>
      </w:r>
    </w:p>
    <w:p w14:paraId="60B09335" w14:textId="77777777" w:rsidR="008D479B" w:rsidRDefault="008D479B" w:rsidP="008D479B">
      <w:pPr>
        <w:pStyle w:val="TextoNormal"/>
      </w:pPr>
    </w:p>
    <w:p w14:paraId="6D015D4F" w14:textId="77777777" w:rsidR="008D479B" w:rsidRDefault="008D479B" w:rsidP="008D479B">
      <w:pPr>
        <w:pStyle w:val="TextoNormal"/>
      </w:pPr>
      <w:r>
        <w:t>d) La Sección Décima de la Sala de lo Contencioso-Administrativo del Tribunal Superior de Justicia de Madrid dictó sentencia el día 7 de marzo de 2021, por la que desestimó el anterior recurso con la siguiente argumentación:</w:t>
      </w:r>
    </w:p>
    <w:p w14:paraId="1D1EB964" w14:textId="77777777" w:rsidR="008D479B" w:rsidRDefault="008D479B" w:rsidP="008D479B">
      <w:pPr>
        <w:pStyle w:val="TextoNormal"/>
      </w:pPr>
    </w:p>
    <w:p w14:paraId="3F17085A" w14:textId="77777777" w:rsidR="008D479B" w:rsidRDefault="008D479B" w:rsidP="008D479B">
      <w:pPr>
        <w:pStyle w:val="TextoNormal"/>
      </w:pPr>
      <w:r>
        <w:t>(i) En primer lugar, la Sala hace referencia a “la base fáctica de la presente controversia” y parte del contenido del escrito de comunicación que presentaron el sindicato recurrente y otro sindicato el día 22 de febrero de 2021 ante la Delegación del Gobierno en Madrid. A continuación, alude a “una nota del Consejo Oficial de Colegios Médicos fechada el 2 de marzo de 2021 en la que se desaconseja la asistencia a las concentraciones convocadas para estas fechas, toda vez que consideran que existe un riesgo para la salud pública general”. Acto seguido, destaca la existencia de un informe de la Jefatura Superior de Policía de Madrid, que reseña las concentraciones a celebrar con motivo del día de la mujer. Por último, también se hace eco de un informe emitido el día 3 de marzo por la Dirección General de Salud Pública de la Comunidad de Madrid que desaconsejaba “la celebración de concentraciones que comport[aran] una elevada concentración de personas con el fin de evitar la propagación del virus y proteger la salud pública” y se aclara que este informe había sido solicitado por la Delegación del Gobierno, pero que no había sido recibido al tiempo de aprobar la resolución impugnada.</w:t>
      </w:r>
    </w:p>
    <w:p w14:paraId="5D4EACA2" w14:textId="77777777" w:rsidR="008D479B" w:rsidRDefault="008D479B" w:rsidP="008D479B">
      <w:pPr>
        <w:pStyle w:val="TextoNormal"/>
      </w:pPr>
    </w:p>
    <w:p w14:paraId="1569CD62" w14:textId="77777777" w:rsidR="008D479B" w:rsidRDefault="008D479B" w:rsidP="008D479B">
      <w:pPr>
        <w:pStyle w:val="TextoNormal"/>
      </w:pPr>
      <w:r>
        <w:t>(ii) A continuación, la sentencia hace una detallada exposición de la doctrina de este tribunal y del Tribunal Europeo de Derechos Humanos sobre el ejercicio del derecho de reunión y sobre los límites de este, deteniéndose de modo especial en el ATC 40/2020, de 30 de abril, cuyos fundamentos jurídicos resume para después comenzar el análisis de la resolución gubernativa impugnada.</w:t>
      </w:r>
    </w:p>
    <w:p w14:paraId="654AAF7C" w14:textId="77777777" w:rsidR="008D479B" w:rsidRDefault="008D479B" w:rsidP="008D479B">
      <w:pPr>
        <w:pStyle w:val="TextoNormal"/>
      </w:pPr>
    </w:p>
    <w:p w14:paraId="2EF247D9" w14:textId="77777777" w:rsidR="008D479B" w:rsidRDefault="008D479B" w:rsidP="008D479B">
      <w:pPr>
        <w:pStyle w:val="TextoNormal"/>
      </w:pPr>
      <w:r>
        <w:t>A tal efecto, el fundamento jurídico octavo de la sentencia señala que el acuerdo del delegado del Gobierno “cumple con la necesidad de exteriorizar las razones por las que se llega a la decisión administrativa, con objeto de permitir su conocimiento por los interesados para la posterior defensa de sus derechos”. Agrega que, en particular, aporta las razones por las que el ejercicio del derecho fundamental de reunión “entraña un grave riesgo para la salud pública y, singularmente, para las personas”, tanto manifestantes como terceros que hubieran podido tener contacto con ellos, porque entiende que era “muy probable” que, de celebrarse la reunión programada, se pudieran producir contagios entre los participantes que pudieran luego “extenderse entre sus círculos de amistad, profesionales y familiares, incrementando de esta manera la crisis sanitaria por más que se adopt[aran] medidas de seguridad, perturbando de manera desproporcionada otros bienes y derechos protegidos por nuestra Constitución. Consideración que se vincula con la imperiosa necesidad de evitar la difusión de la pandemia con sus secuelas de contagios, fallecimientos y enfermos”. Asimismo, el indicado fundamento jurídico trae a colación el “principio de precaución o cautela”, recogido en el art. 191.2 Tratado de funcionamiento de la Unión Europea e incorporado a la legislación sanitaria, en concreto en los arts. 3.4 y 27 de la Ley 33/2011, de 4 de octubre, general de salud pública.</w:t>
      </w:r>
    </w:p>
    <w:p w14:paraId="69A503E1" w14:textId="77777777" w:rsidR="008D479B" w:rsidRDefault="008D479B" w:rsidP="008D479B">
      <w:pPr>
        <w:pStyle w:val="TextoNormal"/>
      </w:pPr>
    </w:p>
    <w:p w14:paraId="723C3014" w14:textId="77777777" w:rsidR="008D479B" w:rsidRDefault="008D479B" w:rsidP="008D479B">
      <w:pPr>
        <w:pStyle w:val="TextoNormal"/>
      </w:pPr>
      <w:r>
        <w:t xml:space="preserve">(iii) Acto seguido, la sentencia se detiene en el análisis de la resolución administrativa y reitera que la misma “se encuentra suficientemente motivada” y que el fundamento jurídico séptimo de aquella “contiene una argumentación basada en razones de índole sanitaria” que “no han sido desvirtuadas por las entidades recurrentes”. Destaca que la situación de la pandemia en la Comunidad de Madrid ha pasado de “riesgo extremo” a “riesgo alto”, pero se encuentra entre las tres cuya tasa de incidencia acumulada es elevada. También subraya que la parte actora no ha argumentado nada “sobre el incremento de los contagios ocasionados por las nuevas cepas” y “únicamente se limita a aseverar que dadas las características de la concentración convocada (250 personas en un único espacio) tales riesgos sanitarios quedan conjurados”. Señala que tampoco se dice nada del dato de la duración de tres horas y treinta minutos que, a juicio de la Sala, “es relevante”. Tampoco aclara nada sobre “cómo se puede conseguir que 250 personas permanezcan en la misma postura guardando la distancia interpersonal requerida”. Añade que “solo se nos dice que el servicio de orden de los sindicatos convocantes tiene mucha experiencia, pero no tenemos elementos para asegurar, </w:t>
      </w:r>
      <w:r w:rsidRPr="008D479B">
        <w:rPr>
          <w:i/>
        </w:rPr>
        <w:t>a priori</w:t>
      </w:r>
      <w:r>
        <w:t>, que será capaz de garantizar las mínimas exigencias de seguridad sanitaria; tampoco se explica cuál es la razón por la que si se trata de una concentración ‘estática’ se llevan dos coches, ni se comenta sobre lo expresado en el fundamento décimo del acto recurrido, en el que se expresan consideraciones sanitarias a la vez que se refleja en (</w:t>
      </w:r>
      <w:r w:rsidRPr="008D479B">
        <w:rPr>
          <w:i/>
        </w:rPr>
        <w:t>sic</w:t>
      </w:r>
      <w:r>
        <w:t>) contenido del informe emitido por el Consejo General de Colegios Médicos, desaconsejando la asistencia a estas concentraciones/manifestaciones por el riesgo que implican para la salud pública de la población en general”.</w:t>
      </w:r>
    </w:p>
    <w:p w14:paraId="3F18902C" w14:textId="77777777" w:rsidR="008D479B" w:rsidRDefault="008D479B" w:rsidP="008D479B">
      <w:pPr>
        <w:pStyle w:val="TextoNormal"/>
      </w:pPr>
    </w:p>
    <w:p w14:paraId="7C16219A" w14:textId="77777777" w:rsidR="008D479B" w:rsidRDefault="008D479B" w:rsidP="008D479B">
      <w:pPr>
        <w:pStyle w:val="TextoNormal"/>
      </w:pPr>
      <w:r>
        <w:t>(iv) Seguidamente, la Sala examina si la resolución impugnada ha realizado correctamente la ponderación de los intereses en conflicto. A lo que añade la necesidad de ponerlo en conexión con la forma y las condiciones proyectadas por el promotor de la concentración para ejercitar el derecho de reunión. A este respecto, la Sala pone de relieve “las extraordinarias circunstancias de crisis de salud pública” en que se encontraba la sociedad española, así como la necesidad de tener que adoptar “medidas de muy diversa naturaleza, entre ellas las limitativas del ejercicio de determinados derechos, para reducir la propagación y el contagio del virus”, en protección de la salud que proclama el art. 43 CE.</w:t>
      </w:r>
    </w:p>
    <w:p w14:paraId="35EB24A8" w14:textId="77777777" w:rsidR="008D479B" w:rsidRDefault="008D479B" w:rsidP="008D479B">
      <w:pPr>
        <w:pStyle w:val="TextoNormal"/>
      </w:pPr>
    </w:p>
    <w:p w14:paraId="0FAB126F" w14:textId="77777777" w:rsidR="008D479B" w:rsidRDefault="008D479B" w:rsidP="008D479B">
      <w:pPr>
        <w:pStyle w:val="TextoNormal"/>
      </w:pPr>
      <w:r>
        <w:t>Y en lo que atañe a la forma y condiciones en que los sindicatos promotores de la concentración proyectaban ejercitar su derecho de reunión, la sentencia señala que “en la comunicación realizada a la Delegación del Gobierno se limita[ron] a anunciar su propósito de llevar a cabo una concentración el día 8 de marzo”, como la mera afirmación de que se contaría “con el oportuno servicio de orden”, pero sin que se contemplara “la adopción de ninguna medida para hacer efectivo el exigible distanciamiento social”. Añade que las comunicaciones realizadas por los promotores de la concentración no ofrecieron “medidas de seguridad, concretas e idóneas, para garantizar que durante la concentración se mant[uviera] la distancia social mínimamente necesaria o para evitar que algunas personas lleg[aran] a retirarse la mascarilla para apoyar en voz alta los objetivos de esta”. Concluye afirmando que “[l]a imprecisión de las medidas de seguridad previstas para garantizar la salud pública, especialmente relevantes en el escenario de gravísima pandemia […] no permite conjurar el alto riesgo de que el desarrollo de una concentración, como la comunicada por el promotor, favore[ciera] la propagación del coronavirus tanto entre los manifestantes como posteriormente a sus familiares y su círculo social, e incluso, a otras personas ajenas al acto o concentración”.</w:t>
      </w:r>
    </w:p>
    <w:p w14:paraId="584E7EA9" w14:textId="77777777" w:rsidR="008D479B" w:rsidRDefault="008D479B" w:rsidP="008D479B">
      <w:pPr>
        <w:pStyle w:val="TextoNormal"/>
      </w:pPr>
    </w:p>
    <w:p w14:paraId="6D09D950" w14:textId="77777777" w:rsidR="008D479B" w:rsidRDefault="008D479B" w:rsidP="008D479B">
      <w:pPr>
        <w:pStyle w:val="TextoNormal"/>
      </w:pPr>
      <w:r>
        <w:t>(v) El fundamento jurídico noveno de la sentencia está dedicado al análisis de tres informes que fueron incorporados a las actuaciones judiciales:</w:t>
      </w:r>
    </w:p>
    <w:p w14:paraId="6DEEF762" w14:textId="77777777" w:rsidR="008D479B" w:rsidRDefault="008D479B" w:rsidP="008D479B">
      <w:pPr>
        <w:pStyle w:val="TextoNormal"/>
      </w:pPr>
    </w:p>
    <w:p w14:paraId="301C9827" w14:textId="77777777" w:rsidR="008D479B" w:rsidRDefault="008D479B" w:rsidP="008D479B">
      <w:pPr>
        <w:pStyle w:val="TextoNormal"/>
      </w:pPr>
      <w:r>
        <w:t>- El primero, de fecha 3 de marzo de 2021, de la Jefatura Superior de Policía de Madrid, que ponía de manifiesto la convocatoria de un total de 105 actos colectivos comunicados, de los que cincuenta y nueve correspondían a manifestaciones y cuarenta y seis a concentraciones. Según el informe, tal número de actos convocados entre el 5 y el 8 de marzo de 2021 entrañaba “la dificultad de establecer dispositivos policiales bien dimensionados y con capacidad operativa para hacer cumplir las mencionadas normas sanitarias, como son la separación de asistentes o el porte de mascarillas”. Además, expresaba que “la experiencia policial en el último año, nos ha enseñado que esto no es así [en referencia al cumplimiento de las medidas de prevención sanitaria apuntadas] y que recae en los efectivos policiales esta labor [la de exigir el cumplimiento de aquellas normas de prevención], en algunos casos, con gran resistencia de los mismos organizadores que lo ven como una injerencia”. El informe también duda de que el fraccionamiento de los manifestantes o concentrados en grupos de personas más pequeños pueda resultar eficaz para la prevención de la salud pública “en tanto en cuanto en espacios tan emblemáticos como Callao, la Puerta del Sol o Glorieta de Embajadores están habitualmente llenos de viandantes que se confunden con los concentrados y que no dejan aplicar las distancias de seguridad necesarias para preservar la salud de los asistentes”.</w:t>
      </w:r>
    </w:p>
    <w:p w14:paraId="7D96B272" w14:textId="77777777" w:rsidR="008D479B" w:rsidRDefault="008D479B" w:rsidP="008D479B">
      <w:pPr>
        <w:pStyle w:val="TextoNormal"/>
      </w:pPr>
    </w:p>
    <w:p w14:paraId="7800BFD8" w14:textId="77777777" w:rsidR="008D479B" w:rsidRDefault="008D479B" w:rsidP="008D479B">
      <w:pPr>
        <w:pStyle w:val="TextoNormal"/>
      </w:pPr>
      <w:r>
        <w:t>- El segundo informe fue emitido en fecha 3 de marzo de 2021 por la directora general de Salud Pública de la Comunidad de Madrid y es de alcance general, pues afirma que “debe limitarse la celebración de eventos que comporten concentración de personas con el fin de evitar la propagación del virus y proteger la salud pública”. Y añade que, “[e]n todo caso se recuerda que debe garantizarse el cumplimiento de las medidas de contención y prevención establecidas, manteniendo en todo momento las distancias de seguridad, la limitación de aforos, las medidas higiénicas y la evitación de aglomeraciones”.</w:t>
      </w:r>
    </w:p>
    <w:p w14:paraId="79324310" w14:textId="77777777" w:rsidR="008D479B" w:rsidRDefault="008D479B" w:rsidP="008D479B">
      <w:pPr>
        <w:pStyle w:val="TextoNormal"/>
      </w:pPr>
    </w:p>
    <w:p w14:paraId="61CB9D62" w14:textId="77777777" w:rsidR="008D479B" w:rsidRDefault="008D479B" w:rsidP="008D479B">
      <w:pPr>
        <w:pStyle w:val="TextoNormal"/>
      </w:pPr>
      <w:r>
        <w:t>- El tercero de los informes, facilitado por el abogado del Estado, aludía a la “presencia del SARS-CoV-2 en el agua residual de la Comunidad de Madrid, actualizado a 2 de marzo de 2021”, informe que incluía “los gráficos de la evolución general en la Comunidad de Madrid y que evidencia[ba] el aumento de la presencia” del virus en el mes de marzo del citado año.</w:t>
      </w:r>
    </w:p>
    <w:p w14:paraId="4A91DB55" w14:textId="77777777" w:rsidR="008D479B" w:rsidRDefault="008D479B" w:rsidP="008D479B">
      <w:pPr>
        <w:pStyle w:val="TextoNormal"/>
      </w:pPr>
    </w:p>
    <w:p w14:paraId="36B077A9" w14:textId="77777777" w:rsidR="008D479B" w:rsidRDefault="008D479B" w:rsidP="008D479B">
      <w:pPr>
        <w:pStyle w:val="TextoNormal"/>
      </w:pPr>
      <w:r>
        <w:t>Por último, quedó incorporado a las actuaciones judiciales un documento “que se refiere a la nota de alerta compartida firmada por trece sociedades científicas”, en la que se destacaba que las circunstancias epidemiológicas de aquellas fechas eran de “alto riesgo”, a lo que se añadía que, si bien el nivel de hospitalizaciones iba descendiendo, las cifras de incidencia acumulada y de ingresos en las unidades de cuidados intensivos aconsejaban “insistir en mantener las medidas de prevención de contagios”. El informe terminaba poniendo de relieve que parecía “obligado evitar a fecha de hoy todo tipo de eventos que fomenten aglomeración y aumenten el riesgo de transmisión” y apoyaba “la prohibición o denegación de autorizaciones para reuniones que exced[ieran] los límites de las recomendaciones vigentes”.</w:t>
      </w:r>
    </w:p>
    <w:p w14:paraId="256F076F" w14:textId="77777777" w:rsidR="008D479B" w:rsidRDefault="008D479B" w:rsidP="008D479B">
      <w:pPr>
        <w:pStyle w:val="TextoNormal"/>
      </w:pPr>
    </w:p>
    <w:p w14:paraId="1A0200CC" w14:textId="77777777" w:rsidR="008D479B" w:rsidRDefault="008D479B" w:rsidP="008D479B">
      <w:pPr>
        <w:pStyle w:val="TextoNormal"/>
      </w:pPr>
      <w:r>
        <w:t>A la vista de las consideraciones anteriores y utilizando los mismos criterios de la sentencia de la misma Sala de 30 de abril de 2020, en el recurso 309-2020, razona que “la prohibición de la concentración comunicada es: (i) susceptible de conseguir el objetivo propuesto —en este caso la protección de la salud pública y de los ciudadanos en un escenario de pandemia internacional que implica un grave riesgo para la vida de las personas—; (ii) necesaria por no existir otra medida más moderada para la consecución de tal propósito con igual eficacia, atendidas las condiciones tan genéricas y amplias en que se proyectó el desarrollo de la concentración y posterior manifestación; y (iii) proporcionada en sentido estricto, es decir, ponderada o equilibrada por derivarse de ella más beneficios o ventajas para el interés general que protege que perjuicios sobre el derecho de reunión de los manifestantes”.</w:t>
      </w:r>
    </w:p>
    <w:p w14:paraId="4AFEE4EC" w14:textId="77777777" w:rsidR="008D479B" w:rsidRDefault="008D479B" w:rsidP="008D479B">
      <w:pPr>
        <w:pStyle w:val="TextoNormal"/>
      </w:pPr>
    </w:p>
    <w:p w14:paraId="5544ACC5" w14:textId="52C3FB5D" w:rsidR="008D479B" w:rsidRDefault="008D479B" w:rsidP="008D479B">
      <w:pPr>
        <w:pStyle w:val="TextoNormal"/>
      </w:pPr>
      <w:r>
        <w:t>A la vista de las anteriores consideraciones, la sentencia concluye otorgando prevalencia sobre el ejercicio del derecho de reunión a bienes y valores constitucionales como la salud pública y, más concretamente, la salud, la integridad física y la vida de las personas (artículos 15 y 43 CE). Por todo ello, desestima el recurso interpuesto.</w:t>
      </w:r>
    </w:p>
    <w:p w14:paraId="5FB3DA7C" w14:textId="77777777" w:rsidR="008D479B" w:rsidRDefault="008D479B" w:rsidP="008D479B">
      <w:pPr>
        <w:pStyle w:val="TextoNormal"/>
      </w:pPr>
    </w:p>
    <w:p w14:paraId="60D07264" w14:textId="77777777" w:rsidR="008D479B" w:rsidRDefault="008D479B" w:rsidP="008D479B">
      <w:pPr>
        <w:pStyle w:val="TextoNormal"/>
      </w:pPr>
      <w:r w:rsidRPr="008D479B">
        <w:rPr>
          <w:rStyle w:val="NumeroAFNegritaCaracter"/>
        </w:rPr>
        <w:t>3</w:t>
      </w:r>
      <w:r>
        <w:t>. La demanda de amparo alega la vulneración de los siguientes derechos fundamentales:</w:t>
      </w:r>
    </w:p>
    <w:p w14:paraId="0FCC94FF" w14:textId="77777777" w:rsidR="008D479B" w:rsidRDefault="008D479B" w:rsidP="008D479B">
      <w:pPr>
        <w:pStyle w:val="TextoNormal"/>
      </w:pPr>
    </w:p>
    <w:p w14:paraId="2D9F8165" w14:textId="77777777" w:rsidR="008D479B" w:rsidRDefault="008D479B" w:rsidP="008D479B">
      <w:pPr>
        <w:pStyle w:val="TextoNormal"/>
      </w:pPr>
      <w:r>
        <w:t>a) En primer lugar, bajo el epígrafe de “[f]alta de motivación suficiente de la sentencia” denuncia la vulneración del art. 21.2 CE, en relación con la Ley Orgánica 9/1983, de 15 de julio, reguladora del derecho de reunión. Sostiene que la cuestión suscitada en este recurso es si el ejercicio del derecho de reunión “pone en peligro la salud, la integridad física y la vida de las personas” y niega que exista tal peligro. Para ello, se apoyaba en la descripción de las características del acto convocado, en los mismos términos que ya se ha hecho constar.</w:t>
      </w:r>
    </w:p>
    <w:p w14:paraId="6E49F24B" w14:textId="77777777" w:rsidR="008D479B" w:rsidRDefault="008D479B" w:rsidP="008D479B">
      <w:pPr>
        <w:pStyle w:val="TextoNormal"/>
      </w:pPr>
    </w:p>
    <w:p w14:paraId="2BC5B2D6" w14:textId="77777777" w:rsidR="008D479B" w:rsidRDefault="008D479B" w:rsidP="008D479B">
      <w:pPr>
        <w:pStyle w:val="TextoNormal"/>
      </w:pPr>
      <w:r>
        <w:t>Acto seguido, analiza el contenido del fundamento jurídico octavo de la sentencia del Tribunal Superior de Justicia de Madrid y se detiene en el análisis de los informes recogidos en el mismo: (i) respecto del informe policial entiende que “si este informe sirve para prohibir cualquier evento masivo estamos dejando en manos de la policía el derecho de reunión y manifestación, haya o no estado de alarma”; (ii) en cuanto al informe de la directora general de Salud Pública de la Comunidad de Madrid entiende que propone “limitar” no “prohibir”. Y que, si se aplicara estrictamente el mismo, no tendría sentido permitir el “terraceo” en Madrid; (iii) pone de manifiesto que el documento que aportó el abogado del Estado en el acto de la vista era una “hoja descargada de internet, sin firmar”, actualizada a 2 de marzo de 2021, “un día antes de que el delegado del Gobierno dictara su resolución sin que aludiera a la misma por lo que, aparte de su nulo valor probatorio, es extemporánea”; y (iv) por último, con referencia al informe emitido por trece sociedades científicas, la demanda objeta que era igualmente una “hoja sin firmar con una nota de alerta […] aconsejando evitar todo tipo de eventos que fomenten aglomeraciones y aumenten el riesgo de transmisión” y que esas mismas sociedades científicas “podrían firmar otra nota de alerta contra los riesgos del tabaco y no por ello sería causa suficiente para prohibir el fumar a toda la población”.</w:t>
      </w:r>
    </w:p>
    <w:p w14:paraId="426FCF8A" w14:textId="77777777" w:rsidR="008D479B" w:rsidRDefault="008D479B" w:rsidP="008D479B">
      <w:pPr>
        <w:pStyle w:val="TextoNormal"/>
      </w:pPr>
    </w:p>
    <w:p w14:paraId="4253886B" w14:textId="77777777" w:rsidR="008D479B" w:rsidRDefault="008D479B" w:rsidP="008D479B">
      <w:pPr>
        <w:pStyle w:val="TextoNormal"/>
      </w:pPr>
      <w:r>
        <w:t xml:space="preserve">Con invocación de la STC 193/2011, de 12 de diciembre, la demanda concluye expresando, que las “razones alegadas por la sentencia no son razonables, no son convincentes, no se fundan en datos objetivos que prueben que la celebración de la concentración atenta contra la salud, la integridad física y la vida de las personas por lo que si existen dudas razonables debe aplicarse el principio </w:t>
      </w:r>
      <w:r w:rsidRPr="008D479B">
        <w:rPr>
          <w:i/>
        </w:rPr>
        <w:t>favor libertatis</w:t>
      </w:r>
      <w:r>
        <w:t xml:space="preserve"> y permitir la concentración programada”.</w:t>
      </w:r>
    </w:p>
    <w:p w14:paraId="740DA6D9" w14:textId="77777777" w:rsidR="008D479B" w:rsidRDefault="008D479B" w:rsidP="008D479B">
      <w:pPr>
        <w:pStyle w:val="TextoNormal"/>
      </w:pPr>
    </w:p>
    <w:p w14:paraId="47AC3CAD" w14:textId="77777777" w:rsidR="008D479B" w:rsidRDefault="008D479B" w:rsidP="008D479B">
      <w:pPr>
        <w:pStyle w:val="TextoNormal"/>
      </w:pPr>
      <w:r>
        <w:t>b) En segundo término, la demanda denuncia la “[a]usencia de juicio de proporcionalidad y constitucionalidad de la limitación impuesta”.</w:t>
      </w:r>
    </w:p>
    <w:p w14:paraId="6B9B61F2" w14:textId="77777777" w:rsidR="008D479B" w:rsidRDefault="008D479B" w:rsidP="008D479B">
      <w:pPr>
        <w:pStyle w:val="TextoNormal"/>
      </w:pPr>
    </w:p>
    <w:p w14:paraId="462793F1" w14:textId="77777777" w:rsidR="008D479B" w:rsidRDefault="008D479B" w:rsidP="008D479B">
      <w:pPr>
        <w:pStyle w:val="TextoNormal"/>
      </w:pPr>
      <w:r>
        <w:t>Comienza el desarrollo de su argumentación afirmando que lo que se está juzgando en el caso de autos es “la justa proporción entre derechos y deberes” y pone como ejemplo que si el deber de trabajar “permite y exige que 250 personas se desplacen a su trabajo dentro de un vagón de metro, un espacio cerrado, sin posibilidad de mantener las distancias de protección recomendadas por las autoridades sanitarias, lo justo y equitativo es que 250 personas tengan derecho a reunirse en un espacio al aire libre manteniendo la distancia de seguridad en defensa de sus derechos”. Por ello, deduce que, si a estas últimas personas se les prohíbe el ejercicio de su derecho de reunión por reconocer la preeminencia del derecho a la salud, “con qué derecho se les puede exigir que tengan que desplazarse a su centro de trabajo en el transporte público, poniendo en riesgo su salud”.</w:t>
      </w:r>
    </w:p>
    <w:p w14:paraId="377CD2C8" w14:textId="77777777" w:rsidR="008D479B" w:rsidRDefault="008D479B" w:rsidP="008D479B">
      <w:pPr>
        <w:pStyle w:val="TextoNormal"/>
      </w:pPr>
    </w:p>
    <w:p w14:paraId="3CA503E9" w14:textId="77777777" w:rsidR="008D479B" w:rsidRDefault="008D479B" w:rsidP="008D479B">
      <w:pPr>
        <w:pStyle w:val="TextoNormal"/>
      </w:pPr>
      <w:r>
        <w:t>Por otro lado, el sindicato recurrente niega que la concentración pudiera convertirse potencialmente en masiva o en una manifestación, dado el número de manifestantes convocados, la existencia de un servicio de orden y la ausencia de recorrido. Según la demanda, “[e]l riesgo de esta concentración no e[ra] superior, en absoluto, al que pu[diera] existir, por ejemplo, en cualquier gran comercio de la Comunidad de Madrid, cuya actividad, como se sabe, está perfectamente permitida”. A continuación, insiste en que la intencionalidad de los sindicatos convocantes no era salir a la calle de forma masiva y que “la Delegación del Gobierno da[ba] a entender una suerte de acuerdo de voluntades entre los 104 convocantes para generar una especie de manifestación masiva, pero sin aportar prueba alguna de ello, y quedándose esa afirmación en la mera conjetura, entre otras cosas porque no existe concierto de voluntades para celebrar tal ‘macro manifestación’”.</w:t>
      </w:r>
    </w:p>
    <w:p w14:paraId="40A2B25B" w14:textId="77777777" w:rsidR="008D479B" w:rsidRDefault="008D479B" w:rsidP="008D479B">
      <w:pPr>
        <w:pStyle w:val="TextoNormal"/>
      </w:pPr>
    </w:p>
    <w:p w14:paraId="75640E14" w14:textId="77777777" w:rsidR="008D479B" w:rsidRDefault="008D479B" w:rsidP="008D479B">
      <w:pPr>
        <w:pStyle w:val="TextoNormal"/>
      </w:pPr>
      <w:r>
        <w:t xml:space="preserve">Seguidamente, defiende que el riesgo de contagio en la concentración sería el mismo que existía en aquellas fechas al utilizar los medios de transporte para desplazarse al lugar de trabajo. Además, sostiene que no se argumenta en la sentencia que la concentración prohibida coincidiera “con ninguna otra que h[ubiera] de producirse en el lugar elegido (Plaza de Cibeles). Incluso aunque así fuera, deberían ponderarse las características de las concentraciones para, en su caso, limitarlas, pero no prohibirlas”. Teniendo en cuenta el principio del </w:t>
      </w:r>
      <w:r w:rsidRPr="008D479B">
        <w:rPr>
          <w:i/>
        </w:rPr>
        <w:t>favor libertatis</w:t>
      </w:r>
      <w:r>
        <w:t>, a juicio del sindicato demandante, había “vías menos gravosas para conciliar el derecho en cuestión con la protección de la salud pública y los derechos o intereses constitucionalmente protegibles de los ciudadanos, pero la Delegación del Gobierno de Madrid ha optado por prohibir todas las manifestaciones y concentraciones más acorde con un estado de excepción o sitio que un estado de alarma”.</w:t>
      </w:r>
    </w:p>
    <w:p w14:paraId="4882D2CF" w14:textId="77777777" w:rsidR="008D479B" w:rsidRDefault="008D479B" w:rsidP="008D479B">
      <w:pPr>
        <w:pStyle w:val="TextoNormal"/>
      </w:pPr>
    </w:p>
    <w:p w14:paraId="75352FCF" w14:textId="77777777" w:rsidR="008D479B" w:rsidRDefault="008D479B" w:rsidP="008D479B">
      <w:pPr>
        <w:pStyle w:val="TextoNormal"/>
      </w:pPr>
      <w:r>
        <w:t>El recurso finaliza con el suplico de que sea otorgado el amparo pretendido y que, en consecuencia, este tribunal reconozca al sindicato demandante su derecho fundamental de reunión del art. 21.2 CE, así como que declare la nulidad de la sentencia impugnada.</w:t>
      </w:r>
    </w:p>
    <w:p w14:paraId="5E5E3863" w14:textId="77777777" w:rsidR="008D479B" w:rsidRDefault="008D479B" w:rsidP="008D479B">
      <w:pPr>
        <w:pStyle w:val="TextoNormal"/>
      </w:pPr>
    </w:p>
    <w:p w14:paraId="2BC6F524" w14:textId="77777777" w:rsidR="008D479B" w:rsidRDefault="008D479B" w:rsidP="008D479B">
      <w:pPr>
        <w:pStyle w:val="TextoNormal"/>
      </w:pPr>
      <w:r>
        <w:t>c) En apartado separado, la demanda justifica la especial transcendencia constitucional del recurso afirmando que el supuesto de hecho sometido a enjuiciamiento permitiría al Tribunal el análisis del ejercicio del derecho de reunión (art. 21.2 CE) durante la vigencia del estado de alarma, toda vez que el ATC 40/2020, de 30 de abril, que inadmitió a trámite otro recurso de amparo, difiere en hechos y fundamentos de derecho del presente recurso de amparo. Es por ello “por lo que corresponde al Tribunal Constitucional evaluar si la prohibición del ejercicio concreto del derecho de reunión en el supuesto específico planteado por el recurrente en amparo es adecuada al canon constitucional o no lo es”.</w:t>
      </w:r>
    </w:p>
    <w:p w14:paraId="32A8F138" w14:textId="77777777" w:rsidR="008D479B" w:rsidRDefault="008D479B" w:rsidP="008D479B">
      <w:pPr>
        <w:pStyle w:val="TextoNormal"/>
      </w:pPr>
    </w:p>
    <w:p w14:paraId="338BA553" w14:textId="28B2414F" w:rsidR="008D479B" w:rsidRDefault="008D479B" w:rsidP="008D479B">
      <w:pPr>
        <w:pStyle w:val="TextoNormal"/>
      </w:pPr>
      <w:r>
        <w:t>d) La demanda de amparo solicita, por Otrosí, la suspensión inmediata por urgencia excepcional de la sentencia recurrida en amparo, con fundamento en el art. 56.6, en relación con el art. 56.2, ambos de la Ley Orgánica del Tribunal Constitucional (LOTC). La razón de pedir la suspensión es que la demanda de amparo fue presentada por vía telemática en la sede electrónica de este tribunal a las 07:27 horas del día 8 de marzo de 2021 y la concentración estaba prevista entre las 11:00 y las 14:30 horas de aquel mismo día, por lo que de no suspenderse aquella resolución el amparo “perdería su finalidad legítima, produciendo perjuicios irreparables” al recurrente, toda vez que el objeto de la concentración era la celebración del día internacional de la mujer y la celebración en otra fecha haría perder la “carga simbólica que ese día representa”.</w:t>
      </w:r>
    </w:p>
    <w:p w14:paraId="25BEEBC3" w14:textId="77777777" w:rsidR="008D479B" w:rsidRDefault="008D479B" w:rsidP="008D479B">
      <w:pPr>
        <w:pStyle w:val="TextoNormal"/>
      </w:pPr>
    </w:p>
    <w:p w14:paraId="2243FC07" w14:textId="77777777" w:rsidR="008D479B" w:rsidRDefault="008D479B" w:rsidP="008D479B">
      <w:pPr>
        <w:pStyle w:val="TextoNormal"/>
      </w:pPr>
      <w:r w:rsidRPr="008D479B">
        <w:rPr>
          <w:rStyle w:val="NumeroAFNegritaCaracter"/>
        </w:rPr>
        <w:t>4</w:t>
      </w:r>
      <w:r>
        <w:t>. Por providencia del Pleno de 8 de marzo de 2021, conforme establece el art. 10.1 n) LOTC y a propuesta del presidente, se acordó recabar para sí el conocimiento de este recurso de amparo y su admisión a trámite, apreciando “que concurre en el mismo una especial trascendencia constitucional (art. 50.1 LOTC), por cuanto el asunto suscitado puede dar ocasión al Tribunal para aclarar o cambiar su doctrina, como consecuencia del surgimiento de nuevas realidades sociales [STC 155/2009, de 25 de junio, FJ 2 b)] y porque el asunto trasciende del caso concreto, porque plantea una cuestión jurídica de relevante y general repercusión social [STC 155/2009, FJ 2 g)]”.</w:t>
      </w:r>
    </w:p>
    <w:p w14:paraId="15F92D7E" w14:textId="77777777" w:rsidR="008D479B" w:rsidRDefault="008D479B" w:rsidP="008D479B">
      <w:pPr>
        <w:pStyle w:val="TextoNormal"/>
      </w:pPr>
    </w:p>
    <w:p w14:paraId="4BE401B5" w14:textId="77777777" w:rsidR="008D479B" w:rsidRDefault="008D479B" w:rsidP="008D479B">
      <w:pPr>
        <w:pStyle w:val="TextoNormal"/>
      </w:pPr>
      <w:r>
        <w:t>En la misma resolución también se acordó dirigir atenta comunicación a la Sección Décima de la Sala de lo Contencioso-Administrativo del Tribunal Superior de Justicia de Madrid, a fin de que remitiera certificación de las actuaciones y emplazara a quienes hubieran intervenido en el procedimiento para que comparecieran en estas actuaciones, si así lo desearan.</w:t>
      </w:r>
    </w:p>
    <w:p w14:paraId="137A5EB6" w14:textId="77777777" w:rsidR="008D479B" w:rsidRDefault="008D479B" w:rsidP="008D479B">
      <w:pPr>
        <w:pStyle w:val="TextoNormal"/>
      </w:pPr>
    </w:p>
    <w:p w14:paraId="1F8D1F68" w14:textId="58B17ACB" w:rsidR="008D479B" w:rsidRDefault="008D479B" w:rsidP="008D479B">
      <w:pPr>
        <w:pStyle w:val="TextoNormal"/>
      </w:pPr>
      <w:r>
        <w:t xml:space="preserve">En relación con la solicitud de suspensión, la providencia agregaba que el Pleno no apreciaba la urgencia excepcional a que se refiere el art. 56.6 LOTC “por lo que no procede resolver </w:t>
      </w:r>
      <w:r w:rsidRPr="008D479B">
        <w:rPr>
          <w:i/>
        </w:rPr>
        <w:t>inaudita parte</w:t>
      </w:r>
      <w:r>
        <w:t>, dado que el asunto presenta elementos sustantivos específicos que abogan por un estudio meditado y contradictorio de la medida cautelarísima instada”. Por el contrario, el Pleno ordenó formar la oportuna pieza separada y conceder al Ministerio Fiscal y a la parte recurrente un plazo de tres días para que efectuaran alegaciones.</w:t>
      </w:r>
    </w:p>
    <w:p w14:paraId="17A959FA" w14:textId="77777777" w:rsidR="008D479B" w:rsidRDefault="008D479B" w:rsidP="008D479B">
      <w:pPr>
        <w:pStyle w:val="TextoNormal"/>
      </w:pPr>
    </w:p>
    <w:p w14:paraId="070936C3" w14:textId="77777777" w:rsidR="008D479B" w:rsidRDefault="008D479B" w:rsidP="008D479B">
      <w:pPr>
        <w:pStyle w:val="TextoNormal"/>
      </w:pPr>
      <w:r w:rsidRPr="008D479B">
        <w:rPr>
          <w:rStyle w:val="NumeroAFNegritaCaracter"/>
        </w:rPr>
        <w:t>5</w:t>
      </w:r>
      <w:r>
        <w:t>. Por virtud de providencia del Pleno de 8 de marzo de 2021, se acordó formar la pieza separada de suspensión, con traslado al Ministerio Fiscal y a la parte recurrente, que formularon alegaciones. El Ministerio Fiscal interesó la desestimación de la suspensión solicitada por pérdida sobrevenida de objeto y, de modo subsidiario, porque “la suspensión cautelar supondría una predeterminación de la resolución de fondo del recurso”. El sindicato recurrente, pese a reconocer que la resolución que acordara la suspensión resultaba ya extemporánea por haber transcurrido el día de la convocatoria, solicitaba un pronunciamiento que acordara la suspensión de la ejecución de la sentencia impugnada.</w:t>
      </w:r>
    </w:p>
    <w:p w14:paraId="4F4FB8C7" w14:textId="77777777" w:rsidR="008D479B" w:rsidRDefault="008D479B" w:rsidP="008D479B">
      <w:pPr>
        <w:pStyle w:val="TextoNormal"/>
      </w:pPr>
    </w:p>
    <w:p w14:paraId="70675636" w14:textId="1B46E208" w:rsidR="008D479B" w:rsidRDefault="008D479B" w:rsidP="008D479B">
      <w:pPr>
        <w:pStyle w:val="TextoNormal"/>
      </w:pPr>
      <w:r>
        <w:t>El ATC 46/2021, de 20 de abril, el Pleno del Tribunal acordó “denegar la suspensión cautelar de la ejecución de la sentencia de 7 de marzo de 2021, dictada por la Sección Décima de la Sala de lo Contencioso-Administrativo del Tribunal Superior de Justicia de la Comunidad de Madrid, solicitada por el recurrente de amparo”.</w:t>
      </w:r>
    </w:p>
    <w:p w14:paraId="605F9825" w14:textId="77777777" w:rsidR="008D479B" w:rsidRDefault="008D479B" w:rsidP="008D479B">
      <w:pPr>
        <w:pStyle w:val="TextoNormal"/>
      </w:pPr>
    </w:p>
    <w:p w14:paraId="319963FB" w14:textId="77777777" w:rsidR="008D479B" w:rsidRDefault="008D479B" w:rsidP="008D479B">
      <w:pPr>
        <w:pStyle w:val="TextoNormal"/>
      </w:pPr>
      <w:r w:rsidRPr="008D479B">
        <w:rPr>
          <w:rStyle w:val="NumeroAFNegritaCaracter"/>
        </w:rPr>
        <w:t>6</w:t>
      </w:r>
      <w:r>
        <w:t>. Mediante escrito presentado en el registro de este tribunal el día 5 de mayo de 2021, el sindicato recurrente UGT Madrid formuló alegaciones en las que se ratifica en los argumentos de la demanda, recalcando los siguientes aspectos:</w:t>
      </w:r>
    </w:p>
    <w:p w14:paraId="04E940FF" w14:textId="77777777" w:rsidR="008D479B" w:rsidRDefault="008D479B" w:rsidP="008D479B">
      <w:pPr>
        <w:pStyle w:val="TextoNormal"/>
      </w:pPr>
    </w:p>
    <w:p w14:paraId="31B68FF9" w14:textId="77777777" w:rsidR="008D479B" w:rsidRDefault="008D479B" w:rsidP="008D479B">
      <w:pPr>
        <w:pStyle w:val="TextoNormal"/>
      </w:pPr>
      <w:r>
        <w:t>a) Todas las manifestaciones y concentraciones previstas para el 8 de marzo en la Comunidad de Madrid, que precisamente días antes había rebajado la calificación sanitaria de riesgo extremo a simplemente “alto”, fueron prohibidas, mientras que en el resto de comunidades autónomas, incluso con niveles de riesgo “extremo”, no solo no se prohibieron sino que se celebraron significativos eventos, lo cual induce a pensar que, bajo un estado de alarma, se aplicaron medidas de un estado de excepción o de sitio, conculcando derechos fundamentales.</w:t>
      </w:r>
    </w:p>
    <w:p w14:paraId="6E432C1E" w14:textId="77777777" w:rsidR="008D479B" w:rsidRDefault="008D479B" w:rsidP="008D479B">
      <w:pPr>
        <w:pStyle w:val="TextoNormal"/>
      </w:pPr>
    </w:p>
    <w:p w14:paraId="56CD6DFE" w14:textId="169F8902" w:rsidR="008D479B" w:rsidRDefault="008D479B" w:rsidP="008D479B">
      <w:pPr>
        <w:pStyle w:val="TextoNormal"/>
      </w:pPr>
      <w:r>
        <w:t xml:space="preserve">b) La resolución impugnada no hizo un auténtico juicio de proporcionalidad de la limitación impuesta, sino que dio por hecho que entrañaba la potencial conversión en una concentración masiva o el riesgo de extender los contagios. En el expediente judicial tampoco se justifica que la concentración hubiera coincidido con otra que se produjera en el mismo espacio, esto es, la Plaza de Cibeles. Concluye reiterando que debe prevalecer el </w:t>
      </w:r>
      <w:r w:rsidRPr="008D479B">
        <w:rPr>
          <w:i/>
        </w:rPr>
        <w:t>favor libertatis</w:t>
      </w:r>
      <w:r>
        <w:t xml:space="preserve"> y que se habrían debido escoger vías menos gravosas para conciliar la protección de la salud pública y los derechos de los ciudadanos.</w:t>
      </w:r>
    </w:p>
    <w:p w14:paraId="1E99F48C" w14:textId="77777777" w:rsidR="008D479B" w:rsidRDefault="008D479B" w:rsidP="008D479B">
      <w:pPr>
        <w:pStyle w:val="TextoNormal"/>
      </w:pPr>
    </w:p>
    <w:p w14:paraId="276E1774" w14:textId="77777777" w:rsidR="008D479B" w:rsidRDefault="008D479B" w:rsidP="008D479B">
      <w:pPr>
        <w:pStyle w:val="TextoNormal"/>
      </w:pPr>
      <w:r w:rsidRPr="008D479B">
        <w:rPr>
          <w:rStyle w:val="NumeroAFNegritaCaracter"/>
        </w:rPr>
        <w:t>7</w:t>
      </w:r>
      <w:r>
        <w:t>. El Ministerio Fiscal presentó sus alegaciones en el registro de este tribunal el día 11 de mayo de 2021, mediante las cuales propugna la desestimación de la demanda de amparo.</w:t>
      </w:r>
    </w:p>
    <w:p w14:paraId="554444E9" w14:textId="77777777" w:rsidR="008D479B" w:rsidRDefault="008D479B" w:rsidP="008D479B">
      <w:pPr>
        <w:pStyle w:val="TextoNormal"/>
      </w:pPr>
    </w:p>
    <w:p w14:paraId="1DF813FC" w14:textId="77777777" w:rsidR="008D479B" w:rsidRDefault="008D479B" w:rsidP="008D479B">
      <w:pPr>
        <w:pStyle w:val="TextoNormal"/>
      </w:pPr>
      <w:r>
        <w:t>Después de hacer una detallada descripción de los antecedentes más relevantes del caso, formula las siguientes consideraciones:</w:t>
      </w:r>
    </w:p>
    <w:p w14:paraId="57F71A07" w14:textId="77777777" w:rsidR="008D479B" w:rsidRDefault="008D479B" w:rsidP="008D479B">
      <w:pPr>
        <w:pStyle w:val="TextoNormal"/>
      </w:pPr>
    </w:p>
    <w:p w14:paraId="233E019E" w14:textId="77777777" w:rsidR="008D479B" w:rsidRDefault="008D479B" w:rsidP="008D479B">
      <w:pPr>
        <w:pStyle w:val="TextoNormal"/>
      </w:pPr>
      <w:r>
        <w:t>a) Debe rechazarse la alegación de la demandante de amparo que imputa a la resolución administrativa del delegado de Gobierno en Madrid la falta de motivación exigible para restringir el derecho fundamental de reunión del art. 21 CE. Dicha resolución no se basa en razones de peligro abstracto para la salud pública, sino que pondera los datos objetivos temporales y espaciales concurrentes en el contexto de una situación de pandemia, con referencia al estado de alarma acordado en virtud del Real Decreto 926/2020 y a las resoluciones de la Consejería de Sanidad de la Comunidad de Madrid, que adoptaron medidas limitativas en función de la evolución de la propagación del virus y la incidencia acumulada de los contagios. Asimismo, atiende a la coincidencia del acto con múltiples manifestaciones y concentraciones, que tenían el mismo objeto, en el mismo día y en lugares cercanos.</w:t>
      </w:r>
    </w:p>
    <w:p w14:paraId="13389C33" w14:textId="77777777" w:rsidR="008D479B" w:rsidRDefault="008D479B" w:rsidP="008D479B">
      <w:pPr>
        <w:pStyle w:val="TextoNormal"/>
      </w:pPr>
    </w:p>
    <w:p w14:paraId="7C66200C" w14:textId="77777777" w:rsidR="008D479B" w:rsidRDefault="008D479B" w:rsidP="008D479B">
      <w:pPr>
        <w:pStyle w:val="TextoNormal"/>
      </w:pPr>
      <w:r>
        <w:t>La valoración de estos factores llevó al delegado del Gobierno a estimar que, en tales circunstancias, no se podía garantizar el cumplimiento de las medidas sanitarias de distanciamiento, existiendo un riesgo evidente de multiplicación de los contagios entre los participantes en los actos y los contactos que estos tuvieran, lo que incidiría en la grave situación epidemiológica de Madrid. Por tanto, se restringe el derecho fundamental de reunión con base en razones fundadas que atienden a datos objetivos y reales (con cita de la STC 193/2011, FJ 3). Así, la fiscal concluye que no es atribuible a la resolución administrativa del delegado del Gobierno la vulneración del derecho fundamental de reunión por carecer de motivación.</w:t>
      </w:r>
    </w:p>
    <w:p w14:paraId="13ECFE3D" w14:textId="77777777" w:rsidR="008D479B" w:rsidRDefault="008D479B" w:rsidP="008D479B">
      <w:pPr>
        <w:pStyle w:val="TextoNormal"/>
      </w:pPr>
    </w:p>
    <w:p w14:paraId="59041ACE" w14:textId="77777777" w:rsidR="008D479B" w:rsidRDefault="008D479B" w:rsidP="008D479B">
      <w:pPr>
        <w:pStyle w:val="TextoNormal"/>
      </w:pPr>
      <w:r>
        <w:t>La fiscal invoca el ATC 40/2020, de 30 de abril, FJ 4, que analizó la constitucionalidad de la prohibición por la autoridad competente de una manifestación convocada para el día 1 de mayo de 2020 en la ciudad de Vigo. Considera que hay gran similitud entre ambos casos, por lo que es trasladable al presente recurso su razonamiento, debiendo tener en cuenta además que la resolución de la Delegación del Gobierno de Madrid no presenta las carencias de motivación que tenía la resolución administrativa enjuiciada en aquel auto.</w:t>
      </w:r>
    </w:p>
    <w:p w14:paraId="4BAE5EE5" w14:textId="77777777" w:rsidR="008D479B" w:rsidRDefault="008D479B" w:rsidP="008D479B">
      <w:pPr>
        <w:pStyle w:val="TextoNormal"/>
      </w:pPr>
    </w:p>
    <w:p w14:paraId="3974EB4D" w14:textId="77777777" w:rsidR="008D479B" w:rsidRDefault="008D479B" w:rsidP="008D479B">
      <w:pPr>
        <w:pStyle w:val="TextoNormal"/>
      </w:pPr>
      <w:r>
        <w:t>b) A continuación, aborda la lesión atribuida a la sentencia dictada por la Sala de lo Contencioso-Administrativo del Tribunal Superior de Justicia de Madrid. Parte de que no se le achaca una lesión autónoma del art. 24.1 CE, sino haber acogido los argumentos de la resolución administrativa. Para el Ministerio Fiscal la sentencia está suficientemente motivada porque, tras exponer las razones por las que la resolución gubernativa prohibió la concentración, aprecia que no se basan en meras conjeturas o sospechas, sino en datos objetivos derivados de las circunstancias concretas en las que se pretende ejercer el derecho de reunión.</w:t>
      </w:r>
    </w:p>
    <w:p w14:paraId="524AF6A9" w14:textId="77777777" w:rsidR="008D479B" w:rsidRDefault="008D479B" w:rsidP="008D479B">
      <w:pPr>
        <w:pStyle w:val="TextoNormal"/>
      </w:pPr>
    </w:p>
    <w:p w14:paraId="7CE68D4C" w14:textId="77777777" w:rsidR="008D479B" w:rsidRDefault="008D479B" w:rsidP="008D479B">
      <w:pPr>
        <w:pStyle w:val="TextoNormal"/>
      </w:pPr>
      <w:r>
        <w:t xml:space="preserve">La sentencia también examinaba si se había respetado el principio </w:t>
      </w:r>
      <w:r w:rsidRPr="008D479B">
        <w:rPr>
          <w:i/>
        </w:rPr>
        <w:t>favor libertatis</w:t>
      </w:r>
      <w:r>
        <w:t xml:space="preserve"> y si se podía considerar cumplido el juicio de proporcionalidad. En este último sentido, se examina si se cumple el test de los tres niveles: (i) si la medida era idónea para garantizar la finalidad legitima perseguida de protección de la salud pública; (ii) si, además, era necesaria porque la finalidad no podía ser alcanzada con otra medida menos restrictiva del derecho en conflicto; y (iii) si era proporcionada en sentido estricto, es decir, ponderada o equilibrada por derivarse de ella más beneficios o ventajas para el interés general que los perjuicios que supone para los derechos en conflicto.</w:t>
      </w:r>
    </w:p>
    <w:p w14:paraId="0DAF141A" w14:textId="77777777" w:rsidR="008D479B" w:rsidRDefault="008D479B" w:rsidP="008D479B">
      <w:pPr>
        <w:pStyle w:val="TextoNormal"/>
      </w:pPr>
    </w:p>
    <w:p w14:paraId="39199A48" w14:textId="77777777" w:rsidR="008D479B" w:rsidRDefault="008D479B" w:rsidP="008D479B">
      <w:pPr>
        <w:pStyle w:val="TextoNormal"/>
      </w:pPr>
      <w:r>
        <w:t>Considera que la sentencia valora la necesidad y proporcionalidad de la medida en orden a proteger la salud pública, que se veía comprometida en la situación de pandemia en la que se celebraría la concentración comunicada. Y lo hace teniendo en cuenta todos los datos sanitarios constatados en el expediente administrativo sobre la situación en la que se encontraba la Comunidad de Madrid, considerando que esas circunstancias no garantizaban que las medidas sanitarias pudieran cumplirse puesto que no se ofrecían por los promotores medidas de seguridad concretas e idóneas para garantizarlas, haciendo solo el ofrecimiento genérico de un servicio de orden. En particular, la sentencia toma en cuenta el informe policial de 3 de marzo que destacaba la multitud de concentraciones y manifestaciones previstas en la Comunidad de Madrid entre los días 5 y 8 de marzo, tanto las comunicadas a la autoridad gubernativa, como las que se estaban convocando por redes sociales, lo que hacía muy difícil que los dispositivos policiales pudieran hacer cumplir las normas sanitarias de separación y distanciamiento. Igualmente, la sentencia atendía al informe emitido por la directora general de Salud Pública, de 3 de marzo de 2021, que se incorporó al expediente administrativo después de dictada la resolución, sobre la incidencia que tendría la concentración propuesta para la salud pública y la transmisión de la enfermedad.</w:t>
      </w:r>
    </w:p>
    <w:p w14:paraId="169EEB1F" w14:textId="77777777" w:rsidR="008D479B" w:rsidRDefault="008D479B" w:rsidP="008D479B">
      <w:pPr>
        <w:pStyle w:val="TextoNormal"/>
      </w:pPr>
    </w:p>
    <w:p w14:paraId="36B7D62B" w14:textId="21FC95B8" w:rsidR="008D479B" w:rsidRDefault="008D479B" w:rsidP="008D479B">
      <w:pPr>
        <w:pStyle w:val="TextoNormal"/>
      </w:pPr>
      <w:r>
        <w:t>Con apoyo en todas esas circunstancias, la Sala de lo Contencioso-Administrativo del Tribunal Superior de Justicia de Madrid estima que la medida de prohibición de la manifestación cumple los tres criterios del juicio de proporcionalidad, debiendo considerarse necesaria y equilibrada respecto del sacrificio que comporta en el derecho de reunión, que ha de ceder frente a la protección al derecho a la vida, la integridad física y la salud de las personas.</w:t>
      </w:r>
    </w:p>
    <w:p w14:paraId="485C3BDB" w14:textId="77777777" w:rsidR="008D479B" w:rsidRDefault="008D479B" w:rsidP="008D479B">
      <w:pPr>
        <w:pStyle w:val="TextoNormal"/>
      </w:pPr>
    </w:p>
    <w:p w14:paraId="301700D4" w14:textId="7D87A2E6" w:rsidR="008D479B" w:rsidRDefault="008D479B" w:rsidP="008D479B">
      <w:pPr>
        <w:pStyle w:val="TextoNormal"/>
      </w:pPr>
      <w:r w:rsidRPr="008D479B">
        <w:rPr>
          <w:rStyle w:val="NumeroAFNegritaCaracter"/>
        </w:rPr>
        <w:t>8</w:t>
      </w:r>
      <w:r>
        <w:t>. La ponencia correspondió en primer lugar a la magistrada señora Díez Bueso, cuya propuesta fue deliberada y no aprobada en el pleno de 24 de octubre pasado. Al declinar la magistrada la ponencia, le fue encomendada al magistrado señor Sáez Valcárcel.</w:t>
      </w:r>
    </w:p>
    <w:p w14:paraId="14D74BEC" w14:textId="77777777" w:rsidR="008D479B" w:rsidRDefault="008D479B" w:rsidP="008D479B">
      <w:pPr>
        <w:pStyle w:val="TextoNormal"/>
      </w:pPr>
    </w:p>
    <w:p w14:paraId="63C48A6A" w14:textId="05FEF6B4" w:rsidR="008D479B" w:rsidRDefault="008D479B" w:rsidP="008D479B">
      <w:pPr>
        <w:pStyle w:val="TextoNormal"/>
      </w:pPr>
      <w:r w:rsidRPr="008D479B">
        <w:rPr>
          <w:rStyle w:val="NumeroAFNegritaCaracter"/>
        </w:rPr>
        <w:t>9</w:t>
      </w:r>
      <w:r>
        <w:t>. Por providencia de 21 de noviembre de 2023 se señaló ese mismo día para la deliberación y votación de la presente sentencia.</w:t>
      </w:r>
    </w:p>
    <w:p w14:paraId="55E44438" w14:textId="77777777" w:rsidR="008D479B" w:rsidRDefault="008D479B" w:rsidP="008D479B">
      <w:pPr>
        <w:pStyle w:val="TextoNormal"/>
      </w:pPr>
    </w:p>
    <w:p w14:paraId="07F40124" w14:textId="77777777" w:rsidR="008D479B" w:rsidRDefault="008D479B" w:rsidP="008D479B">
      <w:pPr>
        <w:pStyle w:val="TextoNormalNegritaCentrado"/>
        <w:keepNext/>
      </w:pPr>
      <w:r>
        <w:t>II. Fundamentos jurídicos</w:t>
      </w:r>
    </w:p>
    <w:p w14:paraId="4AAF0F48" w14:textId="38EA19FE" w:rsidR="008D479B" w:rsidRDefault="008D479B" w:rsidP="008D479B">
      <w:pPr>
        <w:pStyle w:val="TextoNormalNegritaCentrado"/>
        <w:keepNext/>
      </w:pPr>
    </w:p>
    <w:p w14:paraId="532FC63F" w14:textId="77777777" w:rsidR="008D479B" w:rsidRDefault="008D479B" w:rsidP="008D479B">
      <w:pPr>
        <w:pStyle w:val="TextoNormal"/>
      </w:pPr>
      <w:r w:rsidRPr="008D479B">
        <w:rPr>
          <w:rStyle w:val="NumeroAFNegritaCaracter"/>
        </w:rPr>
        <w:t>1</w:t>
      </w:r>
      <w:r>
        <w:t xml:space="preserve">. </w:t>
      </w:r>
      <w:r w:rsidRPr="008D479B">
        <w:rPr>
          <w:i/>
        </w:rPr>
        <w:t>Objeto del proceso, pretensiones de las partes y precisiones iniciales</w:t>
      </w:r>
    </w:p>
    <w:p w14:paraId="139FEA35" w14:textId="77777777" w:rsidR="008D479B" w:rsidRDefault="008D479B" w:rsidP="008D479B">
      <w:pPr>
        <w:pStyle w:val="TextoNormal"/>
      </w:pPr>
    </w:p>
    <w:p w14:paraId="09532AE5" w14:textId="77777777" w:rsidR="008D479B" w:rsidRDefault="008D479B" w:rsidP="008D479B">
      <w:pPr>
        <w:pStyle w:val="TextoNormal"/>
      </w:pPr>
      <w:r>
        <w:t>El objeto del proceso es dilucidar si vulneró el derecho fundamental de reunión y manifestación del que es titular el sindicato demandante (art. 21 CE) la resolución de la Delegación del Gobierno en Madrid, de 3 de marzo de 2021, que prohibió la celebración de la concentración que había convocado, junto a otro sindicato, para el 8 de marzo de 2021, con motivo del día internacional de la mujer. La resolución del delegado de Gobierno fue confirmada por la sentencia de 7 de marzo de 2021 de la Sección Décima de la Sala de lo Contencioso-Administrativo del Tribunal Superior de Justicia de Madrid.</w:t>
      </w:r>
    </w:p>
    <w:p w14:paraId="07067E6E" w14:textId="77777777" w:rsidR="008D479B" w:rsidRDefault="008D479B" w:rsidP="008D479B">
      <w:pPr>
        <w:pStyle w:val="TextoNormal"/>
      </w:pPr>
    </w:p>
    <w:p w14:paraId="6AD9632C" w14:textId="77777777" w:rsidR="008D479B" w:rsidRDefault="008D479B" w:rsidP="008D479B">
      <w:pPr>
        <w:pStyle w:val="TextoNormal"/>
      </w:pPr>
      <w:r>
        <w:t>La demanda denuncia la vulneración del derecho de reunión por dos motivos: la falta de motivación suficiente de la sentencia, que identifica con la irrazonabilidad de los argumentos dados para confirmar la prohibición de la concentración, que son los de la resolución gubernativa; y la “[a]usencia de juicio de proporcionalidad y constitucionalidad de la limitación impuesta”, ya que la medida no era necesaria ni proporcionada en atención al riesgo mínimo que implicaba la manifestación y a la situación sanitaria existente.</w:t>
      </w:r>
    </w:p>
    <w:p w14:paraId="184604AC" w14:textId="77777777" w:rsidR="008D479B" w:rsidRDefault="008D479B" w:rsidP="008D479B">
      <w:pPr>
        <w:pStyle w:val="TextoNormal"/>
      </w:pPr>
    </w:p>
    <w:p w14:paraId="4B71564A" w14:textId="77777777" w:rsidR="008D479B" w:rsidRDefault="008D479B" w:rsidP="008D479B">
      <w:pPr>
        <w:pStyle w:val="TextoNormal"/>
      </w:pPr>
      <w:r>
        <w:t>El Ministerio Fiscal interesa que se desestime la demanda al entender que la prohibición gubernativa se basaba en razones concretas de peligro para la salud pública, fundadas en datos objetivos sobre la situación de la pandemia por covid-19 en la Comunidad de Madrid, y que superaba el juicio de proporcionalidad. El abogado del Estado no ha presentado alegaciones.</w:t>
      </w:r>
    </w:p>
    <w:p w14:paraId="13FAD51D" w14:textId="77777777" w:rsidR="008D479B" w:rsidRDefault="008D479B" w:rsidP="008D479B">
      <w:pPr>
        <w:pStyle w:val="TextoNormal"/>
      </w:pPr>
    </w:p>
    <w:p w14:paraId="43722FAA" w14:textId="77777777" w:rsidR="008D479B" w:rsidRDefault="008D479B" w:rsidP="008D479B">
      <w:pPr>
        <w:pStyle w:val="TextoNormal"/>
      </w:pPr>
      <w:r>
        <w:t>Antes de entrar a examinar las cuestiones de fondo planteadas resulta preciso realizar varias precisiones acerca del objeto y el contenido impugnatorio del recurso:</w:t>
      </w:r>
    </w:p>
    <w:p w14:paraId="7C56DAC2" w14:textId="77777777" w:rsidR="008D479B" w:rsidRDefault="008D479B" w:rsidP="008D479B">
      <w:pPr>
        <w:pStyle w:val="TextoNormal"/>
      </w:pPr>
    </w:p>
    <w:p w14:paraId="0A6CBFBD" w14:textId="77777777" w:rsidR="008D479B" w:rsidRDefault="008D479B" w:rsidP="008D479B">
      <w:pPr>
        <w:pStyle w:val="TextoNormal"/>
      </w:pPr>
      <w:r>
        <w:t>a) Aunque la demanda imputa a la sentencia del Tribunal Superior de Justicia de Madrid la falta de una motivación suficiente, se trata de una queja atinente al derecho de reunión que cuestiona el fundamento de su restricción, cuyo análisis debe efectuarse desde la perspectiva del art. 21 CE. “Las censuras dirigidas a los argumentos del órgano judicial que fundan la desestimación del recurso se dirigen a la sentencia en tanto no ha reparado la vulneración del derecho fundamental que habría ocasionado la resolución administrativa; y es en tal medida que la resolución judicial habría lesionado también el derecho sustantivo. En los términos de la STC 193/2011, de 12 de diciembre, FJ 2, ‘la violación del derecho fundamental de reunión del art. 21 CE que se denuncia tiene su origen directo e inmediato en un acto de la administración y solo mediata e indirectamente en la sentencia que desestimó el previo recurso contencioso-administrativo, toda vez que la resolución judicial se limitó a confirmar la legalidad del acuerdo impugnado’” (STC 84/2023, de 5 de julio, FJ 1). Los motivos aducidos por la demandante coinciden en cuestionar la prohibición de la manifestación.</w:t>
      </w:r>
    </w:p>
    <w:p w14:paraId="0C4A5279" w14:textId="77777777" w:rsidR="008D479B" w:rsidRDefault="008D479B" w:rsidP="008D479B">
      <w:pPr>
        <w:pStyle w:val="TextoNormal"/>
      </w:pPr>
    </w:p>
    <w:p w14:paraId="2742F757" w14:textId="75BF665D" w:rsidR="008D479B" w:rsidRDefault="008D479B" w:rsidP="008D479B">
      <w:pPr>
        <w:pStyle w:val="TextoNormal"/>
      </w:pPr>
      <w:r>
        <w:t>b) La resolución del delegado de Gobierno invoca en su fundamento cuarto la crisis sanitaria provocada por el virus covid-19 y menciona el Real Decreto 926/2020, de 25 de octubre, por el que se declaró el segundo estado de alarma, que fue prorrogado por el Congreso de los Diputados hasta el 9 de mayo de 2021, que se encontraba vigente al tiempo de la resolución a la que se imputa la lesión del derecho fundamental. El art. 7 de esta norma establece que el ejercicio del derecho de reunión y manifestación podrá limitarse, condicionarse o prohibirse cuando “no quede garantizada la distancia personal necesaria para impedir los contagios”. Pero, la prohibición gubernativa de la manifestación convocada por la recurrente se sustentaba en el régimen ordinario de limitación del derecho fundamental, no en la regulación del estado de alarma. Lo que significa que el canon de control aplicable es el del art. 21 CE y su desarrollo normativo en la Ley Orgánica 9/1983, de 15 de julio, reguladora del derecho de reunión.</w:t>
      </w:r>
    </w:p>
    <w:p w14:paraId="4EABC900" w14:textId="77777777" w:rsidR="008D479B" w:rsidRDefault="008D479B" w:rsidP="008D479B">
      <w:pPr>
        <w:pStyle w:val="TextoNormal"/>
      </w:pPr>
    </w:p>
    <w:p w14:paraId="5123F30D" w14:textId="77777777" w:rsidR="008D479B" w:rsidRDefault="008D479B" w:rsidP="008D479B">
      <w:pPr>
        <w:pStyle w:val="TextoNormal"/>
      </w:pPr>
      <w:r w:rsidRPr="008D479B">
        <w:rPr>
          <w:rStyle w:val="NumeroAFNegritaCaracter"/>
        </w:rPr>
        <w:t>2</w:t>
      </w:r>
      <w:r>
        <w:t xml:space="preserve">. </w:t>
      </w:r>
      <w:r w:rsidRPr="008D479B">
        <w:rPr>
          <w:i/>
        </w:rPr>
        <w:t>La doctrina constitucional sobre el derecho de reunión y manifestación</w:t>
      </w:r>
    </w:p>
    <w:p w14:paraId="31484C02" w14:textId="77777777" w:rsidR="008D479B" w:rsidRDefault="008D479B" w:rsidP="008D479B">
      <w:pPr>
        <w:pStyle w:val="TextoNormal"/>
      </w:pPr>
    </w:p>
    <w:p w14:paraId="3D863010" w14:textId="77777777" w:rsidR="008D479B" w:rsidRDefault="008D479B" w:rsidP="008D479B">
      <w:pPr>
        <w:pStyle w:val="TextoNormal"/>
      </w:pPr>
      <w:r>
        <w:t>Para resolver las quejas de ausencia de fundamento y desproporción de la prohibición de concentrarse debemos tener presente la doctrina constitucional sobre el contenido y los límites del derecho de reunión y manifestación recogidos en el art. 21 CE. Seguiremos la cita que consta en la STC 61/2023, de 24 de mayo, FJ 3, cuyo objeto era el ejercicio del derecho de reunión y manifestación durante el primer estado de alarma decretado para dar respuesta a la pandemia de covid-19, donde se tenía en cuenta la salud pública, la vida y la integridad de las personas como bienes constitucionales que podrían justificar la restricción del derecho fundamental, que también acogieron dos sentencias posteriores sobre manifestaciones prohibidas para preservar la salud pública, las SSTC 84/2023, de 5 de julio, FJ 3, y 88/2023, de 18 de julio, FJ 4:</w:t>
      </w:r>
    </w:p>
    <w:p w14:paraId="64763896" w14:textId="77777777" w:rsidR="008D479B" w:rsidRDefault="008D479B" w:rsidP="008D479B">
      <w:pPr>
        <w:pStyle w:val="TextoNormal"/>
      </w:pPr>
    </w:p>
    <w:p w14:paraId="055DB5F4" w14:textId="77777777" w:rsidR="008D479B" w:rsidRDefault="008D479B" w:rsidP="008D479B">
      <w:pPr>
        <w:pStyle w:val="TextoNormal"/>
      </w:pPr>
      <w:r>
        <w:t>A) “El art. 21.2 CE establece que la autoridad ‘solo podrá [prohibir las reuniones en lugares de tránsito público] cuando existan razones fundadas de alteración del orden público, con peligro para personas o bienes’. Además de los límites explícitos establecidos en la norma constituyente, hemos establecido una doctrina reiterada en el sentido de que el ejercicio de los derechos fundamentales ‘no solo puede ceder ante los límites que la propia Constitución expresamente imponga, sino también ante los que de manera mediata o indirecta se infieran de la misma, al resultar justificados por la necesidad de preservar otros derechos o bienes constitucionales’ (STC 14/2003, de 28 de enero, FJ 9 y las que allí se citan)”.</w:t>
      </w:r>
    </w:p>
    <w:p w14:paraId="3E094D23" w14:textId="77777777" w:rsidR="008D479B" w:rsidRDefault="008D479B" w:rsidP="008D479B">
      <w:pPr>
        <w:pStyle w:val="TextoNormal"/>
      </w:pPr>
    </w:p>
    <w:p w14:paraId="575394B7" w14:textId="77777777" w:rsidR="008D479B" w:rsidRDefault="008D479B" w:rsidP="008D479B">
      <w:pPr>
        <w:pStyle w:val="TextoNormal"/>
      </w:pPr>
      <w:r>
        <w:t xml:space="preserve">Esta doctrina constitucional ha tenido reflejo inmediato en materia del derecho de reunión, entre otras, en la STC 195/2003, de 27 de octubre, que la vincula expresamente con el art. 10.1 CE y con la literalidad del art. 11.2 del Convenio europeo de derechos humanos en tanto que admite la posibilidad de adoptar las medidas restrictivas que “sean necesarias, en una sociedad democrática, para la seguridad nacional, la seguridad pública, la defensa del orden y la prevención del delito, la protección de la salud o de la moral, o la protección de los derechos y libertades ajenos”. En interpretación y aplicación de esta norma del Convenio, el Tribunal Europeo de Derechos Humanos consideró proporcionada la orden gubernativa de evacuación de una iglesia ante una reunión pacífica y en sí misma no directamente perturbadora del orden público y del derecho de culto, en la que, sin embargo, el estado de salud de los congregados se había degradado y las circunstancias sanitarias eran muy deficientes (STEDH de 9 de abril de 2002, asunto </w:t>
      </w:r>
      <w:r w:rsidRPr="008D479B">
        <w:rPr>
          <w:i/>
        </w:rPr>
        <w:t>Cisse</w:t>
      </w:r>
      <w:r>
        <w:t>, § 51).</w:t>
      </w:r>
    </w:p>
    <w:p w14:paraId="2754972F" w14:textId="77777777" w:rsidR="008D479B" w:rsidRDefault="008D479B" w:rsidP="008D479B">
      <w:pPr>
        <w:pStyle w:val="TextoNormal"/>
      </w:pPr>
    </w:p>
    <w:p w14:paraId="3CAC173A" w14:textId="77777777" w:rsidR="008D479B" w:rsidRDefault="008D479B" w:rsidP="008D479B">
      <w:pPr>
        <w:pStyle w:val="TextoNormal"/>
      </w:pPr>
      <w:r>
        <w:t>En atención a estas consideraciones y siguiendo el criterio del ATC 40/2020, de 30 de abril, cabe concluir que los bienes jurídicos implicados en una crisis sanitaria, como es el caso de la protección de la salud pública y del derecho a la vida, constituyen bienes de relevancia constitucional que pueden, llegado el caso, justificar que la autoridad gubernativa disponga la limitación del ejercicio del derecho de reunión en un determinado supuesto.</w:t>
      </w:r>
    </w:p>
    <w:p w14:paraId="7B81455E" w14:textId="77777777" w:rsidR="008D479B" w:rsidRDefault="008D479B" w:rsidP="008D479B">
      <w:pPr>
        <w:pStyle w:val="TextoNormal"/>
      </w:pPr>
    </w:p>
    <w:p w14:paraId="55F50410" w14:textId="77777777" w:rsidR="008D479B" w:rsidRDefault="008D479B" w:rsidP="008D479B">
      <w:pPr>
        <w:pStyle w:val="TextoNormal"/>
      </w:pPr>
      <w:r>
        <w:t>B) “Para que la restricción del derecho de reunión sea constitucionalmente legítima, este tribunal ha exigido que exista proporcionalidad en la limitación del derecho. Adicionalmente hemos exigido que la autoridad gubernativa exteriorice razones fundadas que hicieran imprescindible la prohibición de la reunión o la modificación de sus circunstancias en el caso concreto. Esta exigencia se concreta en la necesaria motivación reforzada y específica de la resolución, dirigida a explicar ‘las razones que han llevado a la autoridad gubernativa a concluir que el ejercicio del derecho fundamental de reunión, tal y como se hubo proyectado por su promotor o sus promotores, producirá una alteración del orden público proscrita en el art. 21.2 CE, o bien la desproporcionada perturbación de otros bienes o derechos protegidos por nuestra Constitución’ (STC 193/2011, de 12 de diciembre, FJ 3). El Tribunal ha tenido ocasión de precisar esta exigencia de motivación de la siguiente manera.</w:t>
      </w:r>
    </w:p>
    <w:p w14:paraId="0EF96F61" w14:textId="77777777" w:rsidR="008D479B" w:rsidRDefault="008D479B" w:rsidP="008D479B">
      <w:pPr>
        <w:pStyle w:val="TextoNormal"/>
      </w:pPr>
    </w:p>
    <w:p w14:paraId="425F8236" w14:textId="77777777" w:rsidR="008D479B" w:rsidRDefault="008D479B" w:rsidP="008D479B">
      <w:pPr>
        <w:pStyle w:val="TextoNormal"/>
      </w:pPr>
      <w:r>
        <w:t>a) De un lado, se ha referido expresamente al ‘requerimiento de reforzada motivación que este tribunal impone a toda limitación de un derecho fundamental’ (STC 163/2006, de 22 de mayo, FJ 5). De este modo, si existieran dudas sobre si tal ejercicio en un caso determinado puede producir efectos negativos contra el orden público —con peligro para personas y bienes u otros derechos y valores dignos de protección constitucional— aquellas tendrían que resolverse con la aplicación del principio o criterio de favorecimiento del derecho de reunión (</w:t>
      </w:r>
      <w:r w:rsidRPr="008D479B">
        <w:rPr>
          <w:i/>
        </w:rPr>
        <w:t>favor libertatis</w:t>
      </w:r>
      <w:r>
        <w:t>); y no basta para justificar su modulación o prohibición la mera sospecha o la simple posibilidad de que se produzcan dichos resultados.</w:t>
      </w:r>
    </w:p>
    <w:p w14:paraId="2C34B0A4" w14:textId="77777777" w:rsidR="008D479B" w:rsidRDefault="008D479B" w:rsidP="008D479B">
      <w:pPr>
        <w:pStyle w:val="TextoNormal"/>
      </w:pPr>
    </w:p>
    <w:p w14:paraId="1FB3ED26" w14:textId="77777777" w:rsidR="008D479B" w:rsidRDefault="008D479B" w:rsidP="008D479B">
      <w:pPr>
        <w:pStyle w:val="TextoNormal"/>
      </w:pPr>
      <w:r>
        <w:t>b) De otro lado, y en forma de síntesis de la praxis que había seguido en el examen de los supuestos de limitación del derecho de reunión, vino a explicitar como criterio en la citada STC 193/2011 que ‘la limitación del ejercicio del derecho de reunión requiere de una motivación específica’ y, más adelante dentro de esa misma resolución, precisó que ‘los actos que introduzcan medidas limitadoras han de fundamentarse, pues, en datos objetivos suficientes derivados de las circunstancias concretas de cada caso (STC 301/2006, 23 de octubre, FJ 2)’. En esta línea de razonamiento, justamente por apoyarse en fórmulas genéricas y faltar una referencia específica a las circunstancias concretas del caso es por lo que el Tribunal otorgó el amparo en los siguientes asuntos: (i) SSTC 163/2006, de 22 de mayo, FJ 5 (porque las modificaciones en la manifestación que se introducían para evitar el peligro para personas y bienes ‘resultan meramente formales por carecer de una aplicación específica al caso’); (ii) STC 301/2006, de 23 de octubre (por ‘no concretar qué alteración del orden público se produciría en el caso de la celebración de las manifestaciones’); (iii) STC 170/2008, de 15 de diciembre, FJ 3, y 37/2009, de 9 de febrero, FJ 3 (en ambas porque la prohibición gubernativa se limitaba a afirmar el carácter electoral de la manifestación, sin especificar los motivos por los que debía entenderse que tenían capacidad para captar sufragios).</w:t>
      </w:r>
    </w:p>
    <w:p w14:paraId="39B1B9F1" w14:textId="77777777" w:rsidR="008D479B" w:rsidRDefault="008D479B" w:rsidP="008D479B">
      <w:pPr>
        <w:pStyle w:val="TextoNormal"/>
      </w:pPr>
    </w:p>
    <w:p w14:paraId="7B6F88BD" w14:textId="77777777" w:rsidR="008D479B" w:rsidRDefault="008D479B" w:rsidP="008D479B">
      <w:pPr>
        <w:pStyle w:val="TextoNormal"/>
      </w:pPr>
      <w:r>
        <w:t xml:space="preserve">Debemos confirmar esta necesidad de motivación específica y subrayar que no cumpliría con tal requisito la prohibición de una determinada reunión o manifestación con apoyo en un razonamiento que, aun atendiendo a hechos dotados de un importante grado de objetividad y certidumbre, aludiese (sin matices propios de la manifestación concreta) a una realidad que afecta por igual a todas y cada una de las concentraciones de personas, con independencia de sus características y de las medidas preventivas que los promotores pudieran articular; pues, </w:t>
      </w:r>
      <w:r w:rsidRPr="008D479B">
        <w:rPr>
          <w:i/>
        </w:rPr>
        <w:t>de facto</w:t>
      </w:r>
      <w:r>
        <w:t>, vendría a ser equivalente a una restricción o limitación de conjunto de todos los supuestos de ejercicio de este derecho durante el tiempo en que dicha coyuntura se mantuviese efectiva. El carácter específico de la motivación se salvaguarda cuando la argumentación de la autoridad pública desciende a precisar como incide esa realidad general en el caso concreto; y así se convierte en una garantía central de la configuración constitucional del derecho de reunión, en tanto que asegura que, salvo aquello que pueda disponerse por la autoridad competente en los estados de emergencia previstos en el art. 116 CE, su prohibición será objeto de decisiones individuales del poder público que entrañen una ponderación específica ligada al supuesto concreto.</w:t>
      </w:r>
    </w:p>
    <w:p w14:paraId="552E43D7" w14:textId="77777777" w:rsidR="008D479B" w:rsidRDefault="008D479B" w:rsidP="008D479B">
      <w:pPr>
        <w:pStyle w:val="TextoNormal"/>
      </w:pPr>
    </w:p>
    <w:p w14:paraId="65BB56A1" w14:textId="35E11D60" w:rsidR="008D479B" w:rsidRDefault="008D479B" w:rsidP="008D479B">
      <w:pPr>
        <w:pStyle w:val="TextoNormal"/>
      </w:pPr>
      <w:r>
        <w:t>c) Sobre la existencia de razones fundadas que justifiquen la imposición de un límite al ejercicio del derecho de reunión, hemos perfilado, por último, que es a la autoridad ‘a quien corresponde motivar y aportar las razones que, desde criterios constitucionales de proporcionalidad, expliquen por qué el derecho de reunión ha de verse limitado’, si bien el Tribunal ha de considerar ‘los elementos que conforman el contexto y la motivación de la resolución gubernativa cuestionada’ (STC 193/2011, FJ 5)”.</w:t>
      </w:r>
    </w:p>
    <w:p w14:paraId="1FFE8799" w14:textId="77777777" w:rsidR="008D479B" w:rsidRDefault="008D479B" w:rsidP="008D479B">
      <w:pPr>
        <w:pStyle w:val="TextoNormal"/>
      </w:pPr>
    </w:p>
    <w:p w14:paraId="79981519" w14:textId="77777777" w:rsidR="008D479B" w:rsidRDefault="008D479B" w:rsidP="008D479B">
      <w:pPr>
        <w:pStyle w:val="TextoNormal"/>
      </w:pPr>
      <w:r w:rsidRPr="008D479B">
        <w:rPr>
          <w:rStyle w:val="NumeroAFNegritaCaracter"/>
        </w:rPr>
        <w:t>3</w:t>
      </w:r>
      <w:r>
        <w:t xml:space="preserve">. </w:t>
      </w:r>
      <w:r w:rsidRPr="008D479B">
        <w:rPr>
          <w:i/>
        </w:rPr>
        <w:t>La aplicación al caso de la doctrina constitucional sobre el derecho de manifestación</w:t>
      </w:r>
    </w:p>
    <w:p w14:paraId="53884F45" w14:textId="77777777" w:rsidR="008D479B" w:rsidRDefault="008D479B" w:rsidP="008D479B">
      <w:pPr>
        <w:pStyle w:val="TextoNormal"/>
      </w:pPr>
    </w:p>
    <w:p w14:paraId="3A7C9884" w14:textId="77777777" w:rsidR="008D479B" w:rsidRDefault="008D479B" w:rsidP="008D479B">
      <w:pPr>
        <w:pStyle w:val="TextoNormal"/>
      </w:pPr>
      <w:r>
        <w:t>En orden a resolver sobre los motivos de amparo y en aplicación del parámetro de control constitucional de la medida limitadora del derecho de reunión, debemos examinar si la prohibición se apoya en razones fundadas puestas de manifiesto en las resoluciones impugnadas (A) y si, además, resulta una medida proporcionada (B), en un análisis que presenta similitud estructural con el que hicimos en las SSTC 84/2023, FJ 4, y 88/2023, FJ 5.</w:t>
      </w:r>
    </w:p>
    <w:p w14:paraId="1BFA4950" w14:textId="77777777" w:rsidR="008D479B" w:rsidRDefault="008D479B" w:rsidP="008D479B">
      <w:pPr>
        <w:pStyle w:val="TextoNormal"/>
      </w:pPr>
    </w:p>
    <w:p w14:paraId="3BFCCBC6" w14:textId="77777777" w:rsidR="008D479B" w:rsidRDefault="008D479B" w:rsidP="008D479B">
      <w:pPr>
        <w:pStyle w:val="TextoNormal"/>
      </w:pPr>
      <w:r>
        <w:t>Con este fin debemos recordar que el sindicato UGT, junto a otra organización sindical, había convocado una concentración para el 8 de marzo de 2021, día de la mujer trabajadora, en la Plaza de Cibeles de Madrid, estando vigente el segundo estado de alarma decretado por el Gobierno para dar respuesta a la crisis sanitaria ocasionada por el covid-19 (Real Decreto 926/2020, de 25 de octubre). La concentración reuniría a 250 personas en dicho espacio al aire libre, un día laborable, con medidas de seguridad para mantener la distancia personal, con una duración de tres horas y media, bajo la supervisión de un servicio de orden experimentado, que dispondría de dos vehículos de apoyo. El objeto de la manifestación era conmemorar la fecha bajo la consigna “En materia de igualdad, ni un paso atrás”.</w:t>
      </w:r>
    </w:p>
    <w:p w14:paraId="76AFCE06" w14:textId="77777777" w:rsidR="008D479B" w:rsidRDefault="008D479B" w:rsidP="008D479B">
      <w:pPr>
        <w:pStyle w:val="TextoNormal"/>
      </w:pPr>
    </w:p>
    <w:p w14:paraId="7E840D81" w14:textId="77777777" w:rsidR="008D479B" w:rsidRDefault="008D479B" w:rsidP="008D479B">
      <w:pPr>
        <w:pStyle w:val="TextoNormal"/>
      </w:pPr>
      <w:r>
        <w:t>El Tribunal quiere dejar constancia de la diferencia que el análisis de este caso plantea en relación con los que fueron objeto de las tres anteriores sentencias sobre derecho de reunión y medidas de tutela de la salud pública en tiempo de pandemia (SSTC 61, 84 y 88/2023, ya citadas). En marzo de 2021 el contexto era el del segundo estado de alarma, regulado por el Real Decreto 926/2020, cuya prórroga fue autorizada por el Congreso de los Diputados por acuerdo de 29 de octubre de 2020. Las limitaciones a la movilidad de las personas solo afectaban al periodo nocturno. Es decir, que con las restricciones que acordaran como autoridades delegadas los presidentes de las comunidades autónomas, la actividad económica y social se había reanudado. Luego expondremos las circunstancias que concurrían en Madrid.</w:t>
      </w:r>
    </w:p>
    <w:p w14:paraId="46F8C7D7" w14:textId="77777777" w:rsidR="008D479B" w:rsidRDefault="008D479B" w:rsidP="008D479B">
      <w:pPr>
        <w:pStyle w:val="TextoNormal"/>
      </w:pPr>
    </w:p>
    <w:p w14:paraId="06AEF49A" w14:textId="77777777" w:rsidR="008D479B" w:rsidRDefault="008D479B" w:rsidP="008D479B">
      <w:pPr>
        <w:pStyle w:val="TextoNormal"/>
      </w:pPr>
      <w:r>
        <w:t xml:space="preserve">A) </w:t>
      </w:r>
      <w:r w:rsidRPr="008D479B">
        <w:rPr>
          <w:i/>
        </w:rPr>
        <w:t>La motivación de la prohibición de la manifestación</w:t>
      </w:r>
    </w:p>
    <w:p w14:paraId="3AE30E85" w14:textId="77777777" w:rsidR="008D479B" w:rsidRDefault="008D479B" w:rsidP="008D479B">
      <w:pPr>
        <w:pStyle w:val="TextoNormal"/>
      </w:pPr>
    </w:p>
    <w:p w14:paraId="55352F61" w14:textId="77777777" w:rsidR="008D479B" w:rsidRDefault="008D479B" w:rsidP="008D479B">
      <w:pPr>
        <w:pStyle w:val="TextoNormal"/>
      </w:pPr>
      <w:r>
        <w:t>La lectura de la resolución de la Delegación del Gobierno de Madrid muestra que su decisión de prohibir la manifestación, tras referirse a la doctrina constitucional sobre el derecho de reunión y sus límites así como a los reales decretos por los que se declaraba el estado de alarma y la finalidad de protección de vida y salud de los ciudadanos, se asienta, entre otras, en las siguientes consideraciones: (i) la situación epidemiológica en lo que las autoridades sanitarias denominaban la tercera ola de la pandemia,; (ii) la situación de la Comunidad de Madrid era de riesgo extremo, siendo una de las tres comunidades con mayor incidencia acumulada y mayor presión hospitalaria (43 por 100 en unidades de cuidados intensivos); (iii) a pesar de la tendencia a la baja en toda España, la mejoría de Madrid era más lenta y, en todo caso, la recomendación sanitaria era no bajar la guardia; (iv) la Consejería de Sanidad de la comunidad autónoma había dictado órdenes con medidas tendentes a evitar reuniones y aglomeraciones de personas; (v) se habían computado 104 convocatorias de reuniones entre los días 6 a 8 de marzo en Madrid, lo que significaba que la Delegación del Gobierno no contaba con el número real de personas que podrían acudir a ellas. Estas reuniones iban a provocar un gran desplazamiento de personas y un alto riesgo de contagios, tanto por los encuentros en los lugares de concentración como en los transportes; (vi) la Dirección General de Salud Pública de Madrid había emitido informes que señalaban la dificultad para mantener la distancia interpersonal en concentraciones de personas de pie y en movimiento, quedando a merced exclusivamente del uso que hagan de la mascarilla; (vii) la Policía Nacional no descartaba que se pudiera producir el encuentro de varias manifestaciones. Se recogía que la Delegación del Gobierno había mantenido una reunión con la Plataforma 8-M para buscar formatos alternativos de reunión y manifestación que no pusieran en riesgo la salud pública (convocatorias virtuales, manifestación desde los balcones o en vehículos), pero no se había llegado a acuerdos. A la luz de lo anterior, la autoridad gubernativa, ante el riesgo de contagio exponencial, acuerda prohibir por razones de salud pública la concentración convocada por el sindicato.</w:t>
      </w:r>
    </w:p>
    <w:p w14:paraId="41744011" w14:textId="77777777" w:rsidR="008D479B" w:rsidRDefault="008D479B" w:rsidP="008D479B">
      <w:pPr>
        <w:pStyle w:val="TextoNormal"/>
      </w:pPr>
    </w:p>
    <w:p w14:paraId="5DADCDED" w14:textId="77777777" w:rsidR="008D479B" w:rsidRDefault="008D479B" w:rsidP="008D479B">
      <w:pPr>
        <w:pStyle w:val="TextoNormal"/>
      </w:pPr>
      <w:r>
        <w:t>El Tribunal considera que los datos y las razones expuestas en la resolución gubernativa impugnada, que luego acoge la sentencia que la confirma, constituyen una motivación específica suficiente de la medida restrictiva del derecho fundamental, la prohibición cuestionada, que resulta respetuosa con la doctrina constitucional reseñada, porque atiende a las circunstancias y contexto en que se pretendía celebrar la reunión. La resolución consideraba que el ejercicio del derecho de reunión, tal y como había sido proyectada la concentración por el sindicato promotor, entrañaba un grave riesgo para la salud pública y para las personas, manifestantes y terceros, dado el riesgo de contagio y, con él, de incremento de la crisis sanitaria, por más que se adoptasen medidas de precaución. Eran razones plausibles —protección de la salud pública y de la salud y la vida individual—, asentadas en datos objetivos vinculados a las circunstancias presentes al tiempo de la convocatoria, dominadas por la existencia de una pandemia, que advierten de que podría provocarse una desproporcionada perturbación de bienes y derechos protegidos por la Constitución tan relevantes como la salud pública, la vida y la salud individual de las personas (STC 193/2011, FJ 3). Y que justificaban la decisión desde el punto de vista de la obligación de motivación de la medida limitativa del derecho fundamental.</w:t>
      </w:r>
    </w:p>
    <w:p w14:paraId="7CBE0B91" w14:textId="77777777" w:rsidR="008D479B" w:rsidRDefault="008D479B" w:rsidP="008D479B">
      <w:pPr>
        <w:pStyle w:val="TextoNormal"/>
      </w:pPr>
    </w:p>
    <w:p w14:paraId="149AE905" w14:textId="77777777" w:rsidR="008D479B" w:rsidRDefault="008D479B" w:rsidP="008D479B">
      <w:pPr>
        <w:pStyle w:val="TextoNormal"/>
      </w:pPr>
      <w:r>
        <w:t xml:space="preserve">B) </w:t>
      </w:r>
      <w:r w:rsidRPr="008D479B">
        <w:rPr>
          <w:i/>
        </w:rPr>
        <w:t>Análisis de la proporcionalidad de la restricción del derecho de reunión</w:t>
      </w:r>
    </w:p>
    <w:p w14:paraId="52A4108B" w14:textId="77777777" w:rsidR="008D479B" w:rsidRDefault="008D479B" w:rsidP="008D479B">
      <w:pPr>
        <w:pStyle w:val="TextoNormal"/>
      </w:pPr>
    </w:p>
    <w:p w14:paraId="374DE659" w14:textId="77777777" w:rsidR="008D479B" w:rsidRDefault="008D479B" w:rsidP="008D479B">
      <w:pPr>
        <w:pStyle w:val="TextoNormal"/>
      </w:pPr>
      <w:r>
        <w:t>En segundo lugar, hay que revisar si la prohibición, que formalmente hemos considerado justificada, supera el juicio de proporcionalidad. Una reiterada doctrina constitucional exige que el examen jurisdiccional de las medidas que restringen los derechos fundamentales se articule una vez constatada la persecución de una finalidad constitucionalmente legítima, en tres pasos sucesivos: (i) si la medida enjuiciada es idónea o adecuada para la consecución de la finalidad legítima que pretende; (ii) si resulta, además, necesaria o imprescindible porque no existe otra medida menos incisiva en el derecho fundamental y de eficacia pareja; y (iii) una vez superados estos dos escrutinios que toman en consideración la relación del medio con el fin perseguido, se ha de determinar cuál sea la magnitud de la afectación del derecho fundamental que produce la medida restrictiva y el beneficio que esta depara al interés general, para ponderar si aquella respeta la estricta proporcionalidad.</w:t>
      </w:r>
    </w:p>
    <w:p w14:paraId="60E218D2" w14:textId="77777777" w:rsidR="008D479B" w:rsidRDefault="008D479B" w:rsidP="008D479B">
      <w:pPr>
        <w:pStyle w:val="TextoNormal"/>
      </w:pPr>
    </w:p>
    <w:p w14:paraId="750FD496" w14:textId="77777777" w:rsidR="008D479B" w:rsidRDefault="008D479B" w:rsidP="008D479B">
      <w:pPr>
        <w:pStyle w:val="TextoNormal"/>
      </w:pPr>
      <w:r>
        <w:t xml:space="preserve">a) </w:t>
      </w:r>
      <w:r w:rsidRPr="008D479B">
        <w:rPr>
          <w:i/>
        </w:rPr>
        <w:t>Finalidad legítima</w:t>
      </w:r>
    </w:p>
    <w:p w14:paraId="7EFE9115" w14:textId="77777777" w:rsidR="008D479B" w:rsidRDefault="008D479B" w:rsidP="008D479B">
      <w:pPr>
        <w:pStyle w:val="TextoNormal"/>
      </w:pPr>
    </w:p>
    <w:p w14:paraId="1DA907D9" w14:textId="77777777" w:rsidR="008D479B" w:rsidRDefault="008D479B" w:rsidP="008D479B">
      <w:pPr>
        <w:pStyle w:val="TextoNormal"/>
      </w:pPr>
      <w:r>
        <w:t>El fin que justificaba la medida, según se invocaba en la resolución administrativa, era la protección de la salud pública (art. 43 CE) y de la vida e integridad física de las personas (art. 15 CE) en la situación de grave crisis sanitaria que había determinado la declaración del segundo estado de alarma y de su prórroga, a través de la contención de la propagación del virus covid-19. En estas circunstancias, tal y como se razonó en el ATC 40/2020, 30 de abril, y reiteran las SSTC 61, 84 y 88/2003, cabe sustentar una restricción concreta del derecho de reunión en bienes jurídicos o derechos distintos de la alteración del orden público mencionada en el art. 21.2 CE, y uno de ellos puede ser la protección de la salud en supuestos de grave crisis sanitaria como la desencadenada a partir de la difusión generalizada del covid-19, coyuntura que, lejos de ser una suposición o sospecha, es una realidad dotada de plena certidumbre y vigencia. La salud pública es un bien jurídico constitucionalizado que también el art. 11 del Convenio europeo de derechos humanos contempla como límite de la libertad de reunión.</w:t>
      </w:r>
    </w:p>
    <w:p w14:paraId="7DD9FDD1" w14:textId="77777777" w:rsidR="008D479B" w:rsidRDefault="008D479B" w:rsidP="008D479B">
      <w:pPr>
        <w:pStyle w:val="TextoNormal"/>
      </w:pPr>
    </w:p>
    <w:p w14:paraId="0F934665" w14:textId="77777777" w:rsidR="008D479B" w:rsidRDefault="008D479B" w:rsidP="008D479B">
      <w:pPr>
        <w:pStyle w:val="TextoNormal"/>
      </w:pPr>
      <w:r>
        <w:t>b</w:t>
      </w:r>
      <w:r w:rsidRPr="008D479B">
        <w:rPr>
          <w:i/>
        </w:rPr>
        <w:t>) Idoneid</w:t>
      </w:r>
      <w:r>
        <w:t>ad</w:t>
      </w:r>
    </w:p>
    <w:p w14:paraId="4820F651" w14:textId="77777777" w:rsidR="008D479B" w:rsidRDefault="008D479B" w:rsidP="008D479B">
      <w:pPr>
        <w:pStyle w:val="TextoNormal"/>
      </w:pPr>
    </w:p>
    <w:p w14:paraId="4C1C4953" w14:textId="77777777" w:rsidR="008D479B" w:rsidRDefault="008D479B" w:rsidP="008D479B">
      <w:pPr>
        <w:pStyle w:val="TextoNormal"/>
      </w:pPr>
      <w:r>
        <w:t>La medida de prohibición de la manifestación era adecuada para alcanzar ese fin de protección de la salud pública, porque, al impedir el contacto social que provocaría la concentración, aunque fuera al aire libre y con la comparecencia de solo 250 personas, evitaba posibles contagios interpersonales, y con ello la difusión de la pandemia con sus graves consecuencias derivadas en coste de salud pública, respuesta sanitaria, vida e integridad personal. Consecuencias que, según argumentaba la resolución administrativa, podrían afectar no solo a los manifestantes y a quienes con ellos tomaran contacto físico en el sitio de desarrollo de la concentración, también a las personas con las que interactuaran en los medios de transporte, a los convivientes, familiares, amigos o compañeros de trabajo. Por lo tanto, existía una conexión racional entre el fin perseguido y el medio empleado por la autoridad gubernativa.</w:t>
      </w:r>
    </w:p>
    <w:p w14:paraId="4FC2D2E7" w14:textId="77777777" w:rsidR="008D479B" w:rsidRDefault="008D479B" w:rsidP="008D479B">
      <w:pPr>
        <w:pStyle w:val="TextoNormal"/>
      </w:pPr>
    </w:p>
    <w:p w14:paraId="28EDCE57" w14:textId="77777777" w:rsidR="008D479B" w:rsidRDefault="008D479B" w:rsidP="008D479B">
      <w:pPr>
        <w:pStyle w:val="TextoNormal"/>
      </w:pPr>
      <w:r>
        <w:t>c</w:t>
      </w:r>
      <w:r w:rsidRPr="008D479B">
        <w:rPr>
          <w:i/>
        </w:rPr>
        <w:t>) Necesid</w:t>
      </w:r>
      <w:r>
        <w:t>ad</w:t>
      </w:r>
    </w:p>
    <w:p w14:paraId="30B3AE18" w14:textId="77777777" w:rsidR="008D479B" w:rsidRDefault="008D479B" w:rsidP="008D479B">
      <w:pPr>
        <w:pStyle w:val="TextoNormal"/>
      </w:pPr>
    </w:p>
    <w:p w14:paraId="2677C591" w14:textId="77777777" w:rsidR="008D479B" w:rsidRDefault="008D479B" w:rsidP="008D479B">
      <w:pPr>
        <w:pStyle w:val="TextoNormal"/>
      </w:pPr>
      <w:r>
        <w:t>La prohibición de la manifestación supera también la exigencia de necesidad, ya que en las circunstancias en que se adoptó constituía la medida de intervención administrativa más idónea o eficaz para preservar la salud pública y proteger la salud y la vida de aquellas personas, manifestantes y terceros, sin que existieran otras menos restrictivas de eficacia pareja. En términos absolutos, podían plantearse alternativas de desenvolvimiento del acto menos lesivas o intrusivas en el derecho fundamental de reunión y manifestación, pero ninguna de las opciones imaginables (las que se plantearon en el encuentro entre personal de la Delegación del Gobierno con representantes de la plataforma 8-M, reunión virtual, manifestación en vehículos o protesta en balcones) era igualmente idónea para lograr la finalidad de tutela de la salud y prevenir contagios sin desnaturalizar la modalidad de concentración pretendida [SSTC 85/2023, FJ 4 B), y 88/2023, FJ 5 B)].</w:t>
      </w:r>
    </w:p>
    <w:p w14:paraId="33E98D36" w14:textId="77777777" w:rsidR="008D479B" w:rsidRDefault="008D479B" w:rsidP="008D479B">
      <w:pPr>
        <w:pStyle w:val="TextoNormal"/>
      </w:pPr>
    </w:p>
    <w:p w14:paraId="027B18B1" w14:textId="77777777" w:rsidR="008D479B" w:rsidRDefault="008D479B" w:rsidP="008D479B">
      <w:pPr>
        <w:pStyle w:val="TextoNormal"/>
      </w:pPr>
      <w:r>
        <w:t>En el juicio de imprescindibilidad de la prohibición debe tenerse presente que la transmisión del virus se producía en los contactos interpersonales, por lo que la medida permitía una máxima eficacia en la selección de medios posibles de actuación administrativa en materia de salud pública, pues garantizaba de manera rigurosa que no hubiera más desplazamientos y encuentros que los que las autoridades habían contemplado en la normativa vigente. En aquel momento, cuando la distancia social no era la única cautela que se conocía para evitar la propagación de la enfermedad, ya que se disponía de mascarillas, de métodos de detección del virus —que podrían permitir saber si la persona se había contagiado y actuar en consecuencia, no saliendo del domicilio— y, sobre todo, se habían descubierto vacunas que protegían de las graves consecuencias de la enfermedad, cabía pensar, como sugiere la demandante, que la autoridad gubernativa podría haber adoptado otras medidas más respetuosas con el derecho fundamental y protectoras de la salud. Pero, en sede de juicio de necesidad, la prohibición de manifestaciones era la medida que de forma más rigurosa e intensa protegía la salud y prevenía los contagios, sin que hubiera medidas de eficacia pareja.</w:t>
      </w:r>
    </w:p>
    <w:p w14:paraId="042D48C4" w14:textId="77777777" w:rsidR="008D479B" w:rsidRDefault="008D479B" w:rsidP="008D479B">
      <w:pPr>
        <w:pStyle w:val="TextoNormal"/>
      </w:pPr>
    </w:p>
    <w:p w14:paraId="27D93F7A" w14:textId="77777777" w:rsidR="008D479B" w:rsidRDefault="008D479B" w:rsidP="008D479B">
      <w:pPr>
        <w:pStyle w:val="TextoNormal"/>
      </w:pPr>
      <w:r>
        <w:t xml:space="preserve">d) </w:t>
      </w:r>
      <w:r w:rsidRPr="008D479B">
        <w:rPr>
          <w:i/>
        </w:rPr>
        <w:t>Proporcionalidad en sentido estricto</w:t>
      </w:r>
    </w:p>
    <w:p w14:paraId="3FE605B3" w14:textId="77777777" w:rsidR="008D479B" w:rsidRDefault="008D479B" w:rsidP="008D479B">
      <w:pPr>
        <w:pStyle w:val="TextoNormal"/>
      </w:pPr>
    </w:p>
    <w:p w14:paraId="5EF186C4" w14:textId="77777777" w:rsidR="008D479B" w:rsidRDefault="008D479B" w:rsidP="008D479B">
      <w:pPr>
        <w:pStyle w:val="TextoNormal"/>
      </w:pPr>
      <w:r>
        <w:t>Conforme a la estructura del juicio de proporcionalidad el escrutinio sobre la idoneidad y la necesidad examinan la racionalidad de la relación entre la medida restrictiva del derecho adoptada por la autoridad gubernativa y el fin de protección de la salud pública e individual que se persigue. La ponderación que corresponde realizar en este último nivel del juicio de proporcionalidad dirige la atención hacia el derecho fundamental afectado, la libertad de reunión y de manifestación. Como expusimos en la STC 84/2023, FJ 4 B), la regla de la ponderación requiere de un examen en tres pasos. Es preciso determinar, en primer lugar, el grado de afectación o interferencia del derecho fundamental que supone la prohibición decretada, para luego establecer la importancia de la satisfacción de la finalidad que motiva la medida restrictiva, y a la vista de estas dos magnitudes concluir que solo será proporcional, y por ello justificada, la restricción del derecho si el beneficio que se obtiene para preservar aquellos bienes e intereses es superior al perjuicio que irroga al derecho. Este esquema significa en el presente caso que, cuanto mayor es la intensidad de la injerencia en el derecho fundamental de manifestación, tanto más pide el juicio de ponderación que sea de mayor importancia la satisfacción de la salud pública y la salvaguarda anudada de intereses constitucionales tan relevantes como la vida y la integridad física. Por análogas razones, en el examen de la proporcionalidad estricta ha de valorarse que una grave afectación al derecho fundamental, como es la prohibición de la manifestación por la autoridad gubernativa, exige una alta certeza cognitiva de las premisas que justifican la intervención, es decir, una seguridad epistémica acerca del riesgo que el ejercicio del derecho supone para el bien protegido de la salud. Ello, sin perjuicio de que la certeza sobre la existencia del riesgo no empece la incertidumbre característica de todo pronóstico de peligro sobre su verificación, y que la gravedad del riesgo acreditado está en función no solo del grado de probabilidad de que efectivamente acaezca, sino de la trascendencia de los resultados lesivos que puedan producirse. Por último, resulta preciso un análisis concreto, atento a las circunstancias definitorias del supuesto. La comparación en abstracto entre el derecho de manifestación y la salud, pública e individual, la integridad física y la vida no arroja elementos de juicio relevantes sobre la proporcionalidad de la intervención administrativa. Procederemos por ello a la ponderación pertinente en el caso.</w:t>
      </w:r>
    </w:p>
    <w:p w14:paraId="161783E4" w14:textId="77777777" w:rsidR="008D479B" w:rsidRDefault="008D479B" w:rsidP="008D479B">
      <w:pPr>
        <w:pStyle w:val="TextoNormal"/>
      </w:pPr>
    </w:p>
    <w:p w14:paraId="055921ED" w14:textId="77777777" w:rsidR="008D479B" w:rsidRDefault="008D479B" w:rsidP="008D479B">
      <w:pPr>
        <w:pStyle w:val="TextoNormal"/>
      </w:pPr>
      <w:r>
        <w:t>En primer lugar, el grado de injerencia en el derecho de reunión y manifestación que representa la medida debe calificarse como muy intenso: la prohibición supone la máxima afectación para un derecho que nuestro sistema constitucional reconoce como derecho de libertad en el art. 21 CE. Esta atribución de máximo desvalor a la interferencia en el derecho requiere como pauta de justificación de su proporcionalidad, como hemos dicho, que la medida injerente permita una muy alta satisfacción de la finalidad de salud pública e individual que perseguía la autoridad administrativa.</w:t>
      </w:r>
    </w:p>
    <w:p w14:paraId="42094A02" w14:textId="77777777" w:rsidR="008D479B" w:rsidRDefault="008D479B" w:rsidP="008D479B">
      <w:pPr>
        <w:pStyle w:val="TextoNormal"/>
      </w:pPr>
    </w:p>
    <w:p w14:paraId="61728B4E" w14:textId="77777777" w:rsidR="008D479B" w:rsidRDefault="008D479B" w:rsidP="008D479B">
      <w:pPr>
        <w:pStyle w:val="TextoNormal"/>
      </w:pPr>
      <w:r>
        <w:t>En segundo lugar, hay que evaluar la importancia del beneficio que la prohibición de la manifestación representa para el bien jurídico de la salud pública, sin olvidar el efecto positivo que la medida pudiera tener sobre la salud individual, la integridad física y la vida de los manifestantes y de todas aquellas personas que tuvieran con ellos contacto, durante y después de las concentraciones y de la manifestación. Trascendencia que, como hemos señalado, deriva de la gravedad del riesgo que se pretende evitar y de la eficacia de la medida limitadora para lograrlo.</w:t>
      </w:r>
    </w:p>
    <w:p w14:paraId="60BCECDF" w14:textId="77777777" w:rsidR="008D479B" w:rsidRDefault="008D479B" w:rsidP="008D479B">
      <w:pPr>
        <w:pStyle w:val="TextoNormal"/>
      </w:pPr>
    </w:p>
    <w:p w14:paraId="7CC7F59E" w14:textId="77777777" w:rsidR="008D479B" w:rsidRDefault="008D479B" w:rsidP="008D479B">
      <w:pPr>
        <w:pStyle w:val="TextoNormal"/>
      </w:pPr>
      <w:r>
        <w:t>Para determinar la gravedad del peligro hay que atender a las circunstancias concurrentes en el momento de la decisión que se cuestiona, para cuya reconstrucción tomamos en consideración los datos que aporta la resolución administrativa (de 3 de marzo de 2021), que son también los manejados por la sentencia del Tribunal Superior de Justicia de Madrid. En ambas se vincula el argumento central del riesgo exponencial de contagios con el hecho de que la situación en Madrid fuera de riesgo extremo, siendo una de las tres comunidades autónomas de mayor incidencia acumulada, que contaba con la mayor presión hospitalaria de toda España (43 por 100 en los servicios de cuidados intensivos), así como con la posibilidad de concentraciones y desplazamientos masivos.</w:t>
      </w:r>
    </w:p>
    <w:p w14:paraId="4BA94B6A" w14:textId="77777777" w:rsidR="008D479B" w:rsidRDefault="008D479B" w:rsidP="008D479B">
      <w:pPr>
        <w:pStyle w:val="TextoNormal"/>
      </w:pPr>
    </w:p>
    <w:p w14:paraId="35BECAA7" w14:textId="77777777" w:rsidR="008D479B" w:rsidRDefault="008D479B" w:rsidP="008D479B">
      <w:pPr>
        <w:pStyle w:val="TextoNormal"/>
      </w:pPr>
      <w:r>
        <w:t>Para dimensionar este riesgo y calibrar la importancia del beneficio que la prohibición de la manifestación proveía al fin de evitarlo, es preciso tener en cuenta el nivel de actividad y las limitaciones que entonces se habían impuesto, interesando especialmente las que afectaban a Madrid, ya que se había delegado en las autoridades autonómicas la adopción de medidas más intensas en función de la evolución de la pandemia. Como se sabe, el Real Decreto 926/2020, para toda España, restringía la circulación de personas en horario nocturno, entre las 23:00 y las 6:00 horas, con numerosas excepciones. No establecía limitaciones para actividades en la jornada diurna. La Orden 1405/2020, de 22 de octubre, de la Consejería de Sanidad, establecía el marco regulador. En el municipio de Madrid, en nueve “zonas básicas de salud” correspondientes a siete distritos, se había restringido la entrada y salida de personas, pero también contemplando muy diversas excepciones no solo para atender necesidades familiares, laborales, profesionales, empresariales, educativas y legales, sino para desplazarse a entidades financieras y de seguros, trámites administrativos inaplazables, y otras “de análoga naturaleza”.</w:t>
      </w:r>
    </w:p>
    <w:p w14:paraId="5AA12BF1" w14:textId="77777777" w:rsidR="008D479B" w:rsidRDefault="008D479B" w:rsidP="008D479B">
      <w:pPr>
        <w:pStyle w:val="TextoNormal"/>
      </w:pPr>
    </w:p>
    <w:p w14:paraId="018311EF" w14:textId="77777777" w:rsidR="008D479B" w:rsidRDefault="008D479B" w:rsidP="008D479B">
      <w:pPr>
        <w:pStyle w:val="TextoNormal"/>
      </w:pPr>
      <w:r>
        <w:t>Resulta del máximo interés para determinar el beneficio que para la salud pública representaba la prohibición de la manifestación —una concentración de 250 personas en un espacio abierto, la plaza de Cibeles, un día laborable, que suponía el ejercicio de un derecho fundamental de libertad—, conocer en qué actividades, con cuántas personas y en qué lugares, sobre todo si eran cerrados, se permitían las reuniones. En todos los supuestos se exigía, como proponían los promotores de la concentración prohibida, la distancia interpersonal mínima de un metro y medio y el uso de mascarilla. Se permitía la asistencia a lugares de culto (cerrados) hasta llenar un tercio del aforo del local; diez personas a velatorios si eran espacio cerrado; todos los establecimientos, locales comerciales y servicios abiertos al público (espacios cerrados) podían atender al 50 por 100 del aforo. El mismo público se toleraba en establecimientos de hostelería y restauración, tanto en espacios interiores como exteriores, y la ocupación de cada mesa podía llegar hasta seis personas. Las mismas condiciones de la mitad del aforo se aplicaban a locales de juegos y apuestas (espacios también cerrados) o a instalaciones deportivas en interior y exterior. Es más, el protocolo de actuación para la vuelta de competiciones oficiales de ámbito estatal y carácter no profesional, para la temporada 2020-2021, del Consejo Superior de Deportes, suscrito por todas las comunidades autónomas, Federación de Municipios y Provincias, federaciones deportivas y Comité Olímpico Español, recomendaba que el número máximo de público fuera de 500 personas en instalaciones cubiertas y de 1000 personas al aire libre.</w:t>
      </w:r>
    </w:p>
    <w:p w14:paraId="52F65AF0" w14:textId="77777777" w:rsidR="008D479B" w:rsidRDefault="008D479B" w:rsidP="008D479B">
      <w:pPr>
        <w:pStyle w:val="TextoNormal"/>
      </w:pPr>
    </w:p>
    <w:p w14:paraId="49C3D984" w14:textId="77777777" w:rsidR="008D479B" w:rsidRDefault="008D479B" w:rsidP="008D479B">
      <w:pPr>
        <w:pStyle w:val="TextoNormal"/>
      </w:pPr>
      <w:r>
        <w:t>La comparación con todas esas actividades de esparcimiento y ocio nos permite valorar como muy escasa la incidencia que la prohibición de la reunión reivindicativa convocada por el sindicato tendría en el aumento de riesgo de contagio y, al tiempo, la poca relevancia que aportaría a la satisfacción del interés general representado por la salud pública, finalidad que justificaba la intervención de la autoridad gubernativa. Pero esas magnitudes se incrementan, en sus respectivos valores, si traemos a la ponderación los siguientes datos: la población se había acostumbrado a convivir con la pandemia y había aprendido a protegerse, con mascarillas y distancia interpersonal, allí donde era factible su práctica; las personas contaban con mascarillas que, además, eran obligatorias en espacios cerrados y en los abiertos cuando no se pudiera guardar la distancia; se había implantado la pauta completa de la vacuna a los mayores de ochenta años, que eran el sector de población más afectado por la alta mortalidad que la pandemia provocó en el primer momento; había mecanismos de detección del contagio que permitían que quienes habían contraído el virus adoptaran las medidas de precaución que recomendaban las autoridades sanitarias, y que hacían posible que quienes acudieran a la manifestación estuvieran sanos. Todos estos datos describen una realidad muy distinta a la que existía en el primer estado de alarma.</w:t>
      </w:r>
    </w:p>
    <w:p w14:paraId="36AF7DE0" w14:textId="77777777" w:rsidR="008D479B" w:rsidRDefault="008D479B" w:rsidP="008D479B">
      <w:pPr>
        <w:pStyle w:val="TextoNormal"/>
      </w:pPr>
    </w:p>
    <w:p w14:paraId="29825BEC" w14:textId="77777777" w:rsidR="008D479B" w:rsidRDefault="008D479B" w:rsidP="008D479B">
      <w:pPr>
        <w:pStyle w:val="TextoNormal"/>
      </w:pPr>
      <w:r>
        <w:t>La convocatoria del acto prohibido por el delegado del Gobierno en Madrid conocía esos requerimientos para prevenir el contagio y proponía su observación: reunión al aire libre sin recorrido (concentración), de doscientas cincuenta personas (con compromiso de controlar el número de asistentes con un servicio de orden experimentado en este tipo de concentraciones), con mascarillas y distancia interpersonal, esto es, las medidas que las autoridades habían establecido y que permitían acudir al trabajo, a los establecimientos de consumo, restauración y ocio. El peligro que representaba el acto era bajo y la satisfacción de la salud pública que se podía alcanzar con su prohibición también, a la vista de esos datos.</w:t>
      </w:r>
    </w:p>
    <w:p w14:paraId="588AFE6D" w14:textId="77777777" w:rsidR="008D479B" w:rsidRDefault="008D479B" w:rsidP="008D479B">
      <w:pPr>
        <w:pStyle w:val="TextoNormal"/>
      </w:pPr>
    </w:p>
    <w:p w14:paraId="2A87FFC8" w14:textId="77777777" w:rsidR="008D479B" w:rsidRDefault="008D479B" w:rsidP="008D479B">
      <w:pPr>
        <w:pStyle w:val="TextoNormal"/>
      </w:pPr>
      <w:r>
        <w:t>La conclusión es que la medida supuso la máxima afectación del derecho fundamental con un bajo valor de utilidad para el fin de la salud pública. El resultado del juicio de proporcionalidad estricta revela que la medida restrictiva no estuvo justificada y fue desproporcionada.</w:t>
      </w:r>
    </w:p>
    <w:p w14:paraId="5F26FA5D" w14:textId="77777777" w:rsidR="008D479B" w:rsidRDefault="008D479B" w:rsidP="008D479B">
      <w:pPr>
        <w:pStyle w:val="TextoNormal"/>
      </w:pPr>
    </w:p>
    <w:p w14:paraId="0415D9DB" w14:textId="40390E59" w:rsidR="008D479B" w:rsidRDefault="008D479B" w:rsidP="008D479B">
      <w:pPr>
        <w:pStyle w:val="TextoNormal"/>
      </w:pPr>
      <w:r>
        <w:t>A la luz de lo argumentado, la prohibición gubernativa cuestionada vulneró el art. 21 CE, y supuso una restricción injustificada y desproporcionada del derecho de manifestación del que era titular el sindicato demandante. Debe estimarse, en consecuencia, el motivo que denuncia esta lesión y otorgar el amparo solicitado, con nulidad de la resolución de 3 de marzo de 2021 del delegado del Gobierno en Madrid y de la sentencia de 7 de marzo de 2021 que desestimó el recurso interpuesto contra dicha resolución.</w:t>
      </w:r>
    </w:p>
    <w:p w14:paraId="53186BD5" w14:textId="77777777" w:rsidR="008D479B" w:rsidRDefault="008D479B" w:rsidP="008D479B">
      <w:pPr>
        <w:pStyle w:val="TextoNormal"/>
      </w:pPr>
    </w:p>
    <w:p w14:paraId="62847655" w14:textId="77777777" w:rsidR="008D479B" w:rsidRDefault="008D479B" w:rsidP="008D479B">
      <w:pPr>
        <w:pStyle w:val="TextoNormalCentrado"/>
        <w:keepNext/>
      </w:pPr>
      <w:r>
        <w:t>FALLO</w:t>
      </w:r>
    </w:p>
    <w:p w14:paraId="384C1AD4" w14:textId="5AAE0F0E" w:rsidR="008D479B" w:rsidRDefault="008D479B" w:rsidP="008D479B">
      <w:pPr>
        <w:pStyle w:val="TextoNormalCentrado"/>
        <w:keepNext/>
      </w:pPr>
    </w:p>
    <w:p w14:paraId="66B95841" w14:textId="77777777" w:rsidR="008D479B" w:rsidRDefault="008D479B" w:rsidP="008D479B">
      <w:pPr>
        <w:pStyle w:val="TextoNormal"/>
      </w:pPr>
      <w:r>
        <w:t>En atención a todo lo expuesto, el Tribunal Constitucional, por la autoridad que le confiere la Constitución de la Nación española, ha decidido estimar el recurso de amparo interpuesto por el sindicato UGT Madrid y en su virtud:</w:t>
      </w:r>
    </w:p>
    <w:p w14:paraId="765A1759" w14:textId="77777777" w:rsidR="008D479B" w:rsidRDefault="008D479B" w:rsidP="008D479B">
      <w:pPr>
        <w:pStyle w:val="TextoNormal"/>
      </w:pPr>
    </w:p>
    <w:p w14:paraId="524A22A8" w14:textId="77777777" w:rsidR="008D479B" w:rsidRDefault="008D479B" w:rsidP="008D479B">
      <w:pPr>
        <w:pStyle w:val="TextoNormal"/>
      </w:pPr>
      <w:r>
        <w:t>1º Declarar que se ha vulnerado su derecho fundamental de reunión y manifestación (art. 21 CE).</w:t>
      </w:r>
    </w:p>
    <w:p w14:paraId="55AC3497" w14:textId="77777777" w:rsidR="008D479B" w:rsidRDefault="008D479B" w:rsidP="008D479B">
      <w:pPr>
        <w:pStyle w:val="TextoNormal"/>
      </w:pPr>
    </w:p>
    <w:p w14:paraId="6B261E12" w14:textId="0E99B65D" w:rsidR="008D479B" w:rsidRDefault="008D479B" w:rsidP="008D479B">
      <w:pPr>
        <w:pStyle w:val="TextoNormal"/>
      </w:pPr>
      <w:r>
        <w:t>2º Restablecerle en su derecho y, a tal fin, anular la resolución del delegado del Gobierno en Madrid de fecha 3 de marzo de 2021, que prohibió la manifestación que la demandante había convocado para el día 8 de marzo de 2021 en Madrid, y la sentencia de 7 de marzo de 2021, dictada por la Sección Décima de la Sala de lo Contencioso-Administrativo del Tribunal Superior de Justicia de la Comunidad de Madrid, recaída en los autos del derecho de reunión núm. 275-2021, que desestimó el recurso interpuesto contra la anterior resolución.</w:t>
      </w:r>
    </w:p>
    <w:p w14:paraId="224F0CAC" w14:textId="77777777" w:rsidR="008D479B" w:rsidRDefault="008D479B" w:rsidP="008D479B">
      <w:pPr>
        <w:pStyle w:val="TextoNormal"/>
      </w:pPr>
    </w:p>
    <w:p w14:paraId="619F5A54" w14:textId="77777777" w:rsidR="008D479B" w:rsidRDefault="008D479B" w:rsidP="008D479B">
      <w:pPr>
        <w:pStyle w:val="TextoNormal"/>
      </w:pPr>
      <w:r>
        <w:t>Publíquese esta sentencia en el “Boletín Oficial del Estado”.</w:t>
      </w:r>
    </w:p>
    <w:p w14:paraId="2B37525A" w14:textId="77777777" w:rsidR="008D479B" w:rsidRDefault="008D479B" w:rsidP="008D479B">
      <w:pPr>
        <w:pStyle w:val="TextoNormal"/>
      </w:pPr>
      <w:r>
        <w:t>Dada en Madrid, a veintiuno de noviembre de dos mil veintitrés.</w:t>
      </w:r>
    </w:p>
    <w:p w14:paraId="6FDFBB16" w14:textId="39592042" w:rsidR="008D479B" w:rsidRDefault="008D479B" w:rsidP="008D479B">
      <w:pPr>
        <w:pStyle w:val="ParrafoNormal"/>
      </w:pPr>
    </w:p>
    <w:p w14:paraId="1AA32A1A" w14:textId="77777777" w:rsidR="008D479B" w:rsidRDefault="008D479B" w:rsidP="008D479B">
      <w:pPr>
        <w:pStyle w:val="TextoNormalNegritaCentrado"/>
        <w:keepNext/>
      </w:pPr>
      <w:r>
        <w:t>Voto particular concurrente que formulan los magistrados don Ricardo Enríquez Sancho y don Enrique Arnaldo Alcubilla y la magistrada doña Concepción Espejel Jorquera a la sentencia dictada en el recurso de amparo avocado núm. 1293-2021</w:t>
      </w:r>
    </w:p>
    <w:p w14:paraId="73C645DE" w14:textId="18734ECF" w:rsidR="008D479B" w:rsidRDefault="008D479B" w:rsidP="008D479B">
      <w:pPr>
        <w:pStyle w:val="TextoNormalNegritaCentrado"/>
        <w:keepNext/>
      </w:pPr>
    </w:p>
    <w:p w14:paraId="7101A5A4" w14:textId="77777777" w:rsidR="008D479B" w:rsidRDefault="008D479B" w:rsidP="008D479B">
      <w:pPr>
        <w:pStyle w:val="TextoNormal"/>
      </w:pPr>
      <w:r>
        <w:t>En el ejercicio de la facultad que nos confiere el art. 90.2 de la Ley Orgánica del Tribunal Constitucional, y con respeto a la opinión de la mayoría del Pleno, formulamos el presente voto particular concurrente en virtud de los argumentos que exponemos a continuación, manifestando nuestra total conformidad con el fallo de la sentencia.</w:t>
      </w:r>
    </w:p>
    <w:p w14:paraId="148B8357" w14:textId="77777777" w:rsidR="008D479B" w:rsidRDefault="008D479B" w:rsidP="008D479B">
      <w:pPr>
        <w:pStyle w:val="TextoNormal"/>
      </w:pPr>
    </w:p>
    <w:p w14:paraId="24B20A39" w14:textId="77777777" w:rsidR="008D479B" w:rsidRDefault="008D479B" w:rsidP="008D479B">
      <w:pPr>
        <w:pStyle w:val="TextoNormal"/>
      </w:pPr>
      <w:r>
        <w:t>En consonancia con los argumentos que defendimos en la deliberación del Pleno, debemos indicar que la desavenencia que expresamos no lo es en relación con la doctrina constitucional que aparentemente es aplicada en la sentencia, sino con las razones que han llevado a la mayoría del Pleno a la adopción de la decisión estimatoria del amparo solicitado.</w:t>
      </w:r>
    </w:p>
    <w:p w14:paraId="53391992" w14:textId="77777777" w:rsidR="008D479B" w:rsidRDefault="008D479B" w:rsidP="008D479B">
      <w:pPr>
        <w:pStyle w:val="TextoNormal"/>
      </w:pPr>
    </w:p>
    <w:p w14:paraId="466ECD58" w14:textId="77777777" w:rsidR="008D479B" w:rsidRDefault="008D479B" w:rsidP="008D479B">
      <w:pPr>
        <w:pStyle w:val="TextoNormal"/>
      </w:pPr>
      <w:r>
        <w:t>Como ya hemos tenido ocasión de expresar en los votos particulares formulados a las SSTC 61/2023, de 24 de mayo, 84/2023, de 5 de julio y 88/2023, de 18 de julio, estimamos que en la resolución de esos casos la mayoría del Tribunal no ha hecho una correcta aplicación de la doctrina constitucional en esta materia. Como es conocido, dicha doctrina exige que la limitación del ejercicio del derecho de reunión requiere de una motivación específica en la que se aporten las razones que han llevado a la autoridad gubernativa a concluir que el ejercicio del derecho fundamental de reunión, tal y como se hubo proyectado por su promotor o sus promotores, producirá una alteración del orden público proscrita en el art. 21.2 CE, o bien la desproporcionada perturbación de otros bienes o derechos protegidos por nuestra Constitución. Entre esos bienes o derechos se encuentran, indudablemente, los que se ponen en juego en una crisis sanitaria: el derecho a la vida y a la integridad física (art. 15 CE) y a la protección de la salud (art. 43 CE).</w:t>
      </w:r>
    </w:p>
    <w:p w14:paraId="60BBF4EF" w14:textId="77777777" w:rsidR="008D479B" w:rsidRDefault="008D479B" w:rsidP="008D479B">
      <w:pPr>
        <w:pStyle w:val="TextoNormal"/>
      </w:pPr>
    </w:p>
    <w:p w14:paraId="4DEB79CF" w14:textId="77777777" w:rsidR="008D479B" w:rsidRDefault="008D479B" w:rsidP="008D479B">
      <w:pPr>
        <w:pStyle w:val="TextoNormal"/>
      </w:pPr>
      <w:r>
        <w:t xml:space="preserve">La sentencia adopta sin duda una perspectiva dogmáticamente mucho más correcta que las tres que hemos citado, en el sentido de que, al analizar la prohibición de una manifestación por razones sanitarias, parece aplicar dicha doctrina constitucional. Sin embargo, esa aparente aplicación tampoco elude hacer referencias a las diferencias entre la situación sanitaria entre los años 2020 y 2021, diferencias que parecen ser el elemento relevante de la decisión finalmente adoptada. En nuestra opinión, la diferencia entre ambas situaciones sanitarias derivadas de la propia evolución de la pandemia de covid-19, no puede ser determinante de la decisión, sino que, todo lo más, puede ser útil para proporcionar un contexto en el que el razonamiento constitucional antes expuesto debe desenvolverse. Pero no para erigirse, como parece deducirse, en el examen de la proporcionalidad en sentido estricto de la prohibición acordada, en la auténtica </w:t>
      </w:r>
      <w:r w:rsidRPr="008D479B">
        <w:rPr>
          <w:i/>
        </w:rPr>
        <w:t>ratio decidendi</w:t>
      </w:r>
      <w:r>
        <w:t xml:space="preserve"> de la sentencia. Son, pues, las diferencias en el contexto sanitario de los años 2020 y 2021 las que parecen llevar a la divergente decisión con respecto a los precedentes anteriores que ya se han citado, y no, como hubiera sido más correcto, el debido análisis en términos constitucionales de la legitimidad de la prohibición administrativa de la prohibición de ejercicio de un derecho fundamental en una sociedad democrática. Ahí reside, en parte, nuestra divergencia con las razones que han llevado a una estimación del recurso de amparo que compartimos.</w:t>
      </w:r>
    </w:p>
    <w:p w14:paraId="48F384F4" w14:textId="77777777" w:rsidR="008D479B" w:rsidRDefault="008D479B" w:rsidP="008D479B">
      <w:pPr>
        <w:pStyle w:val="TextoNormal"/>
      </w:pPr>
    </w:p>
    <w:p w14:paraId="0326CC7B" w14:textId="77777777" w:rsidR="008D479B" w:rsidRDefault="008D479B" w:rsidP="008D479B">
      <w:pPr>
        <w:pStyle w:val="TextoNormal"/>
      </w:pPr>
      <w:r>
        <w:t>En todo caso, debemos congratularnos en que se haya aparentemente puesto fin a la construcción de la “obviedad de lo notorio” que, en relación con la pandemia de covid-19, había llevado, en la STC 84/2023 y también en la STC 88/2023 que es directa aplicación de aquella, a justificar la prohibición de manifestaciones mediante resoluciones estereotipadas basadas en consideraciones genéricas sobre la vigencia del estado de alarma y sobre la incidencia de la pandemia de covid-19, sin proyección de tales consideraciones al caso concreto, tal como exige la consolidada doctrina constitucional. Hemos de coincidir con la sentencia en que, en este caso, a diferencia de los anteriores que acabamos de mencionar, la decisión de la mayoría no acepta acríticamente las razones aportadas por la administración y también coincidimos, aunque por motivos distintos, en que dichas razones no justificaban la prohibición.</w:t>
      </w:r>
    </w:p>
    <w:p w14:paraId="6604E221" w14:textId="77777777" w:rsidR="008D479B" w:rsidRDefault="008D479B" w:rsidP="008D479B">
      <w:pPr>
        <w:pStyle w:val="TextoNormal"/>
      </w:pPr>
    </w:p>
    <w:p w14:paraId="4CC7D1C4" w14:textId="77777777" w:rsidR="008D479B" w:rsidRDefault="008D479B" w:rsidP="008D479B">
      <w:pPr>
        <w:pStyle w:val="TextoNormal"/>
      </w:pPr>
      <w:r>
        <w:t xml:space="preserve">La doctrina constitucional exige que, en el caso concreto examinado, los datos y argumentos aportados, aplicando criterios de proporcionalidad, sean suficientes para justificar la medida que adoptó la Delegación del Gobierno, que fue la más extrema de las posibles, ya que prohibió la manifestación. Lo que se debía examinar, por tanto, es si la prohibición de la manifestación ha sido proporcionada al fin perseguido, o si, teniendo en cuenta el principio </w:t>
      </w:r>
      <w:r w:rsidRPr="008D479B">
        <w:rPr>
          <w:i/>
        </w:rPr>
        <w:t>favor libertatis</w:t>
      </w:r>
      <w:r>
        <w:t>, que rige respecto a la posible restricción de derechos fundamentales, existían vías menos gravosas para que la autoridad gubernativa conciliase el derecho en cuestión con los intereses constitucionalmente protegibles. Ese análisis, tal como acertadamente señala la sentencia, exige determinar la finalidad legítima que justificaba la medida restrictiva y posteriormente realizar el denominado “test de proporcionalidad” en tres pasos sucesivos: si la medida enjuiciada aparece como idónea para la consecución de la finalidad legítima que pretende; si resulta, además, necesaria, por no existir otra menos incisiva en el derecho fundamental y de eficacia pareja; y si se supera la proporcionalidad en sentido estricto, en el sentido de que la afectación del derecho se muestra razonable, por derivarse de ella más beneficios para el interés general que perjuicios sobre el derecho en cada caso comprometido.</w:t>
      </w:r>
    </w:p>
    <w:p w14:paraId="7C5B9689" w14:textId="77777777" w:rsidR="008D479B" w:rsidRDefault="008D479B" w:rsidP="008D479B">
      <w:pPr>
        <w:pStyle w:val="TextoNormal"/>
      </w:pPr>
    </w:p>
    <w:p w14:paraId="5D778580" w14:textId="77777777" w:rsidR="008D479B" w:rsidRDefault="008D479B" w:rsidP="008D479B">
      <w:pPr>
        <w:pStyle w:val="TextoNormal"/>
      </w:pPr>
      <w:r>
        <w:t>Nuestra segunda discrepancia con la sentencia estriba, precisamente, en el análisis de la proporcionalidad de la restricción del derecho de reunión que la sentencia lleva a cabo en el fundamento jurídico 3 B). Allí se viene a concluir que, dado el nivel de actividad y de limitaciones impuestas en función de la situación sanitaria derivada de la evolución de la pandemia en el momento en el que pretende celebrarse la manifestación, una medida como la prohibición supone una máxima afectación del derecho respecto a un acto que presentaba un peligro bajo para la salud pública. Para la sentencia eso determina que la decisión administrativa no supere el necesario juicio de proporcionalidad en sentido estricto. En nuestra opinión, el déficit de la resolución administrativa es previo, por cuanto reside en el segundo paso de este análisis de la proporcionalidad de la prohibición, esto es, el juicio de necesidad o de alternativa menos restrictiva. Mediante el juicio de necesidad se debe valorar si, a la vista de las características concretas del acto (asistentes, espacio, duración, etc.), el riesgo era tal que justificara la prohibición o si, en cambio, hubieran podido articularse soluciones menos drásticas con una “eficacia pareja” (STC 148/2021, de 14 de julio, FJ 3).</w:t>
      </w:r>
    </w:p>
    <w:p w14:paraId="138D5DEB" w14:textId="77777777" w:rsidR="008D479B" w:rsidRDefault="008D479B" w:rsidP="008D479B">
      <w:pPr>
        <w:pStyle w:val="TextoNormal"/>
      </w:pPr>
    </w:p>
    <w:p w14:paraId="12E307AB" w14:textId="77777777" w:rsidR="008D479B" w:rsidRDefault="008D479B" w:rsidP="008D479B">
      <w:pPr>
        <w:pStyle w:val="TextoNormal"/>
      </w:pPr>
      <w:r>
        <w:t>La sentencia confunde, en el apartado c) del mencionado fundamento jurídico 3 B), dos planos, el de la idoneidad de la medida, que es indiscutible, con la posibilidad de que hubiera medidas menos restrictivas que la prohibición. De hecho, califica la prohibición como idónea o eficaz, sin que existieran otras medidas de eficacia pareja. Referencias a la máxima eficacia de la prohibición que se reiteran en el párrafo siguiente. Esa confusión entre idoneidad y necesidad es particularmente evidente en la frase con la que se cierra el razonamiento en la que se afirma que “en sede de juicio de necesidad, la prohibición de manifestaciones era la medida que de forma más rigurosa e intensa protegía la salud y prevenía los contagios, sin que hubiera medidas de eficacia pareja”. En nuestro criterio, y tal como también recoge la sentencia, podían plantearse alternativas de desenvolvimiento del acto menos lesivas o intrusivas en el derecho fundamental de reunión y manifestación, bien las que se plantearon en el encuentro entre personal de la Delegación del Gobierno con representantes de la Plataforma 8-M (reunión virtual, manifestación en vehículos o protesta en balcones) o bien cualquier otra idónea para lograr la finalidad de tutela de la salud y prevenir contagios sin desnaturalizar la modalidad de concentración pretendida y su finalidad reivindicativa.</w:t>
      </w:r>
    </w:p>
    <w:p w14:paraId="52855CFA" w14:textId="77777777" w:rsidR="008D479B" w:rsidRDefault="008D479B" w:rsidP="008D479B">
      <w:pPr>
        <w:pStyle w:val="TextoNormal"/>
      </w:pPr>
    </w:p>
    <w:p w14:paraId="5AA61EA9" w14:textId="77777777" w:rsidR="008D479B" w:rsidRDefault="008D479B" w:rsidP="008D479B">
      <w:pPr>
        <w:pStyle w:val="TextoNormal"/>
      </w:pPr>
      <w:r>
        <w:t>No se trataba, en suma, en ese momento, de buscar “una máxima eficacia en la selección de medios posibles de actuación administrativa en materia de salud pública”, sino de conciliar los ineludibles requerimientos de salud pública derivados de la pandemia de covid-19 con el adecuado ejercicio de los derechos de los manifestantes, cosa que no se hizo y que, en nuestra opinión, hubiera debido llevar al otorgamiento del amparo por esta razón, sin necesidad de continuar con el tercer paso del análisis de proporcionalidad.</w:t>
      </w:r>
    </w:p>
    <w:p w14:paraId="5701A1C7" w14:textId="77777777" w:rsidR="008D479B" w:rsidRDefault="008D479B" w:rsidP="008D479B">
      <w:pPr>
        <w:pStyle w:val="TextoNormal"/>
      </w:pPr>
    </w:p>
    <w:p w14:paraId="7E8AC1B8" w14:textId="77777777" w:rsidR="008D479B" w:rsidRDefault="008D479B" w:rsidP="008D479B">
      <w:pPr>
        <w:pStyle w:val="TextoNormal"/>
      </w:pPr>
      <w:r>
        <w:t>En suma, por cuanto llevamos expuesto, entendemos que la decisión de prohibir la manifestación no supera el juicio de necesidad, con lo que ya no era necesario proseguir con el juicio de proporcionalidad en sentido estricto.</w:t>
      </w:r>
    </w:p>
    <w:p w14:paraId="4757A1C3" w14:textId="77777777" w:rsidR="008D479B" w:rsidRDefault="008D479B" w:rsidP="008D479B">
      <w:pPr>
        <w:pStyle w:val="TextoNormal"/>
      </w:pPr>
    </w:p>
    <w:p w14:paraId="0FA2D6E8" w14:textId="77777777" w:rsidR="008D479B" w:rsidRDefault="008D479B" w:rsidP="008D479B">
      <w:pPr>
        <w:pStyle w:val="TextoNormal"/>
      </w:pPr>
      <w:r>
        <w:t>Y en este sentido, emitimos nuestro voto particular.</w:t>
      </w:r>
    </w:p>
    <w:p w14:paraId="3356DDB5" w14:textId="77777777" w:rsidR="008D479B" w:rsidRDefault="008D479B" w:rsidP="008D479B">
      <w:pPr>
        <w:pStyle w:val="TextoNormal"/>
      </w:pPr>
    </w:p>
    <w:p w14:paraId="586ED97D" w14:textId="268424EC" w:rsidR="008D479B" w:rsidRDefault="008D479B" w:rsidP="008D479B">
      <w:pPr>
        <w:pStyle w:val="TextoNormal"/>
      </w:pPr>
      <w:r>
        <w:t>Madrid, a veintidós de noviembre de dos mil veintitrés.</w:t>
      </w:r>
    </w:p>
    <w:p w14:paraId="4B534184" w14:textId="77777777" w:rsidR="008D479B" w:rsidRDefault="008D479B" w:rsidP="008D479B">
      <w:pPr>
        <w:pStyle w:val="TextoNormal"/>
      </w:pPr>
    </w:p>
    <w:p w14:paraId="39B7CBED" w14:textId="77777777" w:rsidR="008D479B" w:rsidRDefault="008D479B" w:rsidP="008D479B">
      <w:pPr>
        <w:pStyle w:val="TextoNormalNegritaCentrado"/>
        <w:keepNext/>
      </w:pPr>
      <w:r>
        <w:t>Voto particular que formula la magistrada doña Laura Díez Bueso respecto de la sentencia dictada en el recurso de amparo núm. 1293-2021, al que se adhiere la magistrada doña María Luisa Segoviano Astaburuaga</w:t>
      </w:r>
    </w:p>
    <w:p w14:paraId="674CAEAB" w14:textId="03D5BCC7" w:rsidR="008D479B" w:rsidRDefault="008D479B" w:rsidP="008D479B">
      <w:pPr>
        <w:pStyle w:val="TextoNormalNegritaCentrado"/>
        <w:keepNext/>
      </w:pPr>
    </w:p>
    <w:p w14:paraId="203D0870" w14:textId="77777777" w:rsidR="008D479B" w:rsidRDefault="008D479B" w:rsidP="008D479B">
      <w:pPr>
        <w:pStyle w:val="TextoNormal"/>
      </w:pPr>
      <w:r>
        <w:t xml:space="preserve">1. </w:t>
      </w:r>
      <w:r w:rsidRPr="008D479B">
        <w:rPr>
          <w:i/>
        </w:rPr>
        <w:t>Planteamiento de los motivos del voto particular</w:t>
      </w:r>
    </w:p>
    <w:p w14:paraId="2FD2E517" w14:textId="77777777" w:rsidR="008D479B" w:rsidRDefault="008D479B" w:rsidP="008D479B">
      <w:pPr>
        <w:pStyle w:val="TextoNormal"/>
      </w:pPr>
    </w:p>
    <w:p w14:paraId="0BF92D14" w14:textId="77777777" w:rsidR="008D479B" w:rsidRDefault="008D479B" w:rsidP="008D479B">
      <w:pPr>
        <w:pStyle w:val="TextoNormal"/>
      </w:pPr>
      <w:r>
        <w:t>En ejercicio de la facultad que me confiere el art. 90.2 de la Ley Orgánica del Tribunal Constitucional, y con el máximo respeto a la opinión mayoritaria, manifiesto mi discrepancia con la fundamentación jurídica de esta sentencia y con el fallo, que considero que hubiera debido ser desestimatorio.</w:t>
      </w:r>
    </w:p>
    <w:p w14:paraId="37622473" w14:textId="77777777" w:rsidR="008D479B" w:rsidRDefault="008D479B" w:rsidP="008D479B">
      <w:pPr>
        <w:pStyle w:val="TextoNormal"/>
      </w:pPr>
    </w:p>
    <w:p w14:paraId="0A0974DF" w14:textId="77777777" w:rsidR="008D479B" w:rsidRDefault="008D479B" w:rsidP="008D479B">
      <w:pPr>
        <w:pStyle w:val="TextoNormal"/>
      </w:pPr>
      <w:r>
        <w:t>Las razones que sostienen mi disconformidad se refieren, tanto a la forma en que se ha examinado la motivación de la resolución adoptada por el delegado del Gobierno en Madrid, como a la aplicación del juicio de proporcionalidad a este caso concreto.</w:t>
      </w:r>
    </w:p>
    <w:p w14:paraId="3B396906" w14:textId="77777777" w:rsidR="008D479B" w:rsidRDefault="008D479B" w:rsidP="008D479B">
      <w:pPr>
        <w:pStyle w:val="TextoNormal"/>
      </w:pPr>
    </w:p>
    <w:p w14:paraId="0A966322" w14:textId="77777777" w:rsidR="008D479B" w:rsidRDefault="008D479B" w:rsidP="008D479B">
      <w:pPr>
        <w:pStyle w:val="TextoNormal"/>
      </w:pPr>
      <w:r>
        <w:t>Las magistradas y los magistrados que han conformado la mayoría, así como los que suscriben los votos concurrentes, avalan la motivación del delegado del Gobierno. Si bien comparto este aval, considero escasos los argumentos que lo sustentan, máxime cuando una de las principales alegaciones de los recurrentes era, precisamente, la falta de motivación de la resolución; y también, especialmente, porque se restringía totalmente el ejercicio de un derecho de carácter fundamental, como es el de reunión (art. 21 CE).</w:t>
      </w:r>
    </w:p>
    <w:p w14:paraId="4B8812D0" w14:textId="77777777" w:rsidR="008D479B" w:rsidRDefault="008D479B" w:rsidP="008D479B">
      <w:pPr>
        <w:pStyle w:val="TextoNormal"/>
      </w:pPr>
    </w:p>
    <w:p w14:paraId="71ECB2A0" w14:textId="77777777" w:rsidR="008D479B" w:rsidRDefault="008D479B" w:rsidP="008D479B">
      <w:pPr>
        <w:pStyle w:val="TextoNormal"/>
      </w:pPr>
      <w:r>
        <w:t>En el marco del juicio de proporcionalidad, considero que no se ha otorgado el suficiente valor a dos cuestiones que estimo fundamentales cuando se analiza la finalidad de la medida restrictiva: la concreción de la misma y su proyección sobre los subprincipios de idoneidad y de necesidad. Por un lado, considero insuficiente la alusión genérica a los derechos a la vida, la integridad física y la salud pública, pues resulta relevante concretar que la protección de estos derechos se asocia a la expansión de un virus pandémico con unas determinadas características. Por otro lado, tampoco se da cuenta de como esta concreta finalidad condiciona la idoneidad y la necesidad de la medida adoptada por el delegado del Gobierno; en otras palabras, no se evalúa como esta finalidad determina el peso y la magnitud máxima que se puede consentir a la restricción del derecho afectado, en este caso, el de reunión.</w:t>
      </w:r>
    </w:p>
    <w:p w14:paraId="73F4871F" w14:textId="77777777" w:rsidR="008D479B" w:rsidRDefault="008D479B" w:rsidP="008D479B">
      <w:pPr>
        <w:pStyle w:val="TextoNormal"/>
      </w:pPr>
    </w:p>
    <w:p w14:paraId="2BE27DC8" w14:textId="77777777" w:rsidR="008D479B" w:rsidRDefault="008D479B" w:rsidP="008D479B">
      <w:pPr>
        <w:pStyle w:val="TextoNormal"/>
      </w:pPr>
      <w:r>
        <w:t>También disiento de la forma en que se analiza la necesidad de la medida, por ser parca al evaluar los elementos y valoraciones que justificaban su concurrencia, ni contener tampoco un repaso individualizado de las medidas alternativas que hubieran podido plantearse por parte del delegado del Gobierno en Madrid.</w:t>
      </w:r>
    </w:p>
    <w:p w14:paraId="407645A6" w14:textId="77777777" w:rsidR="008D479B" w:rsidRDefault="008D479B" w:rsidP="008D479B">
      <w:pPr>
        <w:pStyle w:val="TextoNormal"/>
      </w:pPr>
    </w:p>
    <w:p w14:paraId="24B95F19" w14:textId="77777777" w:rsidR="008D479B" w:rsidRDefault="008D479B" w:rsidP="008D479B">
      <w:pPr>
        <w:pStyle w:val="TextoNormal"/>
      </w:pPr>
      <w:r>
        <w:t>Finalmente, considero que al abordar la proporcionalidad en sentido estricto no se evalúan los beneficios y ventajas de la medida aisladamente considerados, sino que se incluyen consideraciones o elementos generales que deberían quedar al margen en este subprincipio.</w:t>
      </w:r>
    </w:p>
    <w:p w14:paraId="7517A533" w14:textId="77777777" w:rsidR="008D479B" w:rsidRDefault="008D479B" w:rsidP="008D479B">
      <w:pPr>
        <w:pStyle w:val="TextoNormal"/>
      </w:pPr>
    </w:p>
    <w:p w14:paraId="655C5F52" w14:textId="77777777" w:rsidR="008D479B" w:rsidRDefault="008D479B" w:rsidP="008D479B">
      <w:pPr>
        <w:pStyle w:val="TextoNormal"/>
      </w:pPr>
      <w:r>
        <w:t>Dada la amplitud de los motivos que sostienen mi voto particular, articularé su exposición realizando un relato sistemático de como considero que debió resolverse este amparo y no contraargumentando quirúrgicamente cada uno de los motivos de mi discrepancia, puesto que esta última opción haría más difícil de comprender mi postura.</w:t>
      </w:r>
    </w:p>
    <w:p w14:paraId="5B1069E6" w14:textId="77777777" w:rsidR="008D479B" w:rsidRDefault="008D479B" w:rsidP="008D479B">
      <w:pPr>
        <w:pStyle w:val="TextoNormal"/>
      </w:pPr>
    </w:p>
    <w:p w14:paraId="7C82C089" w14:textId="77777777" w:rsidR="008D479B" w:rsidRDefault="008D479B" w:rsidP="008D479B">
      <w:pPr>
        <w:pStyle w:val="TextoNormal"/>
      </w:pPr>
      <w:r>
        <w:t>Así pues, siguiendo el esquema previsto para el análisis del derecho de reunión recogido, entre otras, en la STC 193/2011, FJ 6, primero constataré si existió una motivación suficiente de la medida adoptada y, posteriormente, determinaré si fue proporcionada al fin perseguido.</w:t>
      </w:r>
    </w:p>
    <w:p w14:paraId="77C51061" w14:textId="77777777" w:rsidR="008D479B" w:rsidRDefault="008D479B" w:rsidP="008D479B">
      <w:pPr>
        <w:pStyle w:val="TextoNormal"/>
      </w:pPr>
    </w:p>
    <w:p w14:paraId="5A827B8F" w14:textId="77777777" w:rsidR="008D479B" w:rsidRDefault="008D479B" w:rsidP="008D479B">
      <w:pPr>
        <w:pStyle w:val="TextoNormal"/>
      </w:pPr>
      <w:r>
        <w:t xml:space="preserve">2. </w:t>
      </w:r>
      <w:r w:rsidRPr="008D479B">
        <w:rPr>
          <w:i/>
        </w:rPr>
        <w:t>Examen de la motivación de la resolución adoptada por el delegado del Gobierno en Madrid</w:t>
      </w:r>
    </w:p>
    <w:p w14:paraId="39E2D89B" w14:textId="77777777" w:rsidR="008D479B" w:rsidRDefault="008D479B" w:rsidP="008D479B">
      <w:pPr>
        <w:pStyle w:val="TextoNormal"/>
      </w:pPr>
    </w:p>
    <w:p w14:paraId="49CC24CA" w14:textId="77777777" w:rsidR="008D479B" w:rsidRDefault="008D479B" w:rsidP="008D479B">
      <w:pPr>
        <w:pStyle w:val="TextoNormal"/>
      </w:pPr>
      <w:r>
        <w:t>La sentencia recoge cumplidamente, en sus antecedentes y en el fundamento jurídico 3 B), el relato sistemático de los datos con los que contaba el delegado del Gobierno en Madrid y el razonamiento que realiza a partir de los mismos para prohibir la concentración. Si se evalúan tanto los datos como el razonamiento empleado por el delegado del Gobierno cabe concluir que se cumple con las exigencias de motivación requeridas por la doctrina de este tribunal.</w:t>
      </w:r>
    </w:p>
    <w:p w14:paraId="66F063F3" w14:textId="77777777" w:rsidR="008D479B" w:rsidRDefault="008D479B" w:rsidP="008D479B">
      <w:pPr>
        <w:pStyle w:val="TextoNormal"/>
      </w:pPr>
    </w:p>
    <w:p w14:paraId="68CD072E" w14:textId="77777777" w:rsidR="008D479B" w:rsidRDefault="008D479B" w:rsidP="008D479B">
      <w:pPr>
        <w:pStyle w:val="TextoNormal"/>
      </w:pPr>
      <w:r>
        <w:t xml:space="preserve">Para comenzar, como señalábamos en sentencias como la 301/2006, FJ 2, “Los actos que introduzcan medidas limitadoras han de fundamentarse […] en datos objetivos suficientes derivados de las circunstancias concretas de cada caso”. Además, como apuntábamos en la STC 193/2011, FJ 5, “Los factores mencionados, que llevan a la adopción de las medidas gubernativas señaladas, aparecen documentados a través de los diversos informes emitidos”. En efecto, la resolución se apoya en datos objetivos recogidos en diversos informes relativos a la situación pandémica en Madrid y de procedencia muy diversa. Es más, el delegado del Gobierno solicitó por dos veces a la Comunidad de Madrid un informe </w:t>
      </w:r>
      <w:r w:rsidRPr="008D479B">
        <w:rPr>
          <w:i/>
        </w:rPr>
        <w:t>ad casum</w:t>
      </w:r>
      <w:r>
        <w:t xml:space="preserve"> que no recibió antes de la prohibición, pero que posteriormente se constató que apuntaba en idéntica dirección de evitar la aglomeración.</w:t>
      </w:r>
    </w:p>
    <w:p w14:paraId="4025F234" w14:textId="77777777" w:rsidR="008D479B" w:rsidRDefault="008D479B" w:rsidP="008D479B">
      <w:pPr>
        <w:pStyle w:val="TextoNormal"/>
      </w:pPr>
    </w:p>
    <w:p w14:paraId="25B21880" w14:textId="77777777" w:rsidR="008D479B" w:rsidRDefault="008D479B" w:rsidP="008D479B">
      <w:pPr>
        <w:pStyle w:val="TextoNormal"/>
      </w:pPr>
      <w:r>
        <w:t>Por otra parte, la resolución del delegado del Gobierno fundamenta la prohibición en el conjunto de los informes, sin hacer bascular su decisión en ninguno de ellos aisladamente. En este sentido, no es admisible la alegación del recurrente cuando sostiene que “si este informe sirve para prohibir cualquier evento masivo estamos dejando en manos de la policía el derecho de reunión y manifestación, haya o no estado de alarma”. El de la Policía Nacional no era el único informe que justifica la prohibición, al margen de que no se trataba de un informe genérico sino elaborado a la vista de las previsiones de concentraciones y manifestaciones convocadas para el 8 de marzo de 2021.</w:t>
      </w:r>
    </w:p>
    <w:p w14:paraId="30B0BB5A" w14:textId="77777777" w:rsidR="008D479B" w:rsidRDefault="008D479B" w:rsidP="008D479B">
      <w:pPr>
        <w:pStyle w:val="TextoNormal"/>
      </w:pPr>
    </w:p>
    <w:p w14:paraId="07B26527" w14:textId="77777777" w:rsidR="008D479B" w:rsidRDefault="008D479B" w:rsidP="008D479B">
      <w:pPr>
        <w:pStyle w:val="TextoNormal"/>
      </w:pPr>
      <w:r>
        <w:t>Tampoco puede aceptarse la alegación del recurrente en amparo cuando denuncia el argumento del delegado del Gobierno de existir una “intención” de “salir a la calle de forma masiva” mediante “muchas concentraciones pero con menos personas”. Es cierto que “no basta con que existan dudas sobre si el derecho de reunión pudiera producir efectos negativos, debiendo presidir toda actuación limitativa del mismo el principio o criterio de favorecimiento del derecho de reunión […] de manera que solamente razones convincentes e imperativas pueden justificar las restricciones a esa libertad” (por todas, STC 170/2008, de 15 de diciembre, FJ 3). No obstante, el hecho cierto es que el delegado del Gobierno contaba con datos objetivos contenidos en las distintas comunicaciones recibidas, relativos a la cantidad de participantes convocados y a los lugares de convocatoria, que además coincidían en la misma fecha, la misma mañana, la misma ciudad y con el mismo objetivo de celebrar el día internacional de la mujer. Más allá de que pudiera existir el juicio de intenciones denunciado por el recurrente, el resultado de la aglomeración de personas y los desplazamientos previstos era más que plausible a juzgar por estos datos.</w:t>
      </w:r>
    </w:p>
    <w:p w14:paraId="4BECDA33" w14:textId="77777777" w:rsidR="008D479B" w:rsidRDefault="008D479B" w:rsidP="008D479B">
      <w:pPr>
        <w:pStyle w:val="TextoNormal"/>
      </w:pPr>
    </w:p>
    <w:p w14:paraId="7FB62C3C" w14:textId="77777777" w:rsidR="008D479B" w:rsidRDefault="008D479B" w:rsidP="008D479B">
      <w:pPr>
        <w:pStyle w:val="TextoNormal"/>
      </w:pPr>
      <w:r>
        <w:t>Finalmente, tampoco cabe atender a los argumentos del recurrente cuando sostiene que la resolución impugnada opone datos generales sobre la situación de la pandemia en la Comunidad de Madrid, pero no una evaluación específica del riesgo de esta concreta concentración. Como sucedía en la STC 66/1995, de 8 de mayo, en el momento de evaluar si la autoridad gubernativa realizaba una motivación genérica, también en el presente caso “si se lee atentamente la resolución, se llega a la conclusión que la misma no carece de fundamentación suficiente puesto que, aunque se centra esencialmente en consideraciones de tipo genérico relativas al tráfico, no olvida en absoluto las circunstancias específicas de la concentración convocada”. En efecto, el delegado del Gobierno toma en consideración el número de asistentes previsto en relación con el espacio físico que iban a ocupar y la duración del acto, junto con otros elementos como la concurrencia de otras convocatorias o el uso del transporte público urbano necesario para los desplazamientos, además de consideraciones contenidas en los informes de la Policía Nacional referidos a las circunstancias concretas del caso.</w:t>
      </w:r>
    </w:p>
    <w:p w14:paraId="4CB8D58A" w14:textId="77777777" w:rsidR="008D479B" w:rsidRDefault="008D479B" w:rsidP="008D479B">
      <w:pPr>
        <w:pStyle w:val="TextoNormal"/>
      </w:pPr>
    </w:p>
    <w:p w14:paraId="6252478F" w14:textId="77777777" w:rsidR="008D479B" w:rsidRDefault="008D479B" w:rsidP="008D479B">
      <w:pPr>
        <w:pStyle w:val="TextoNormal"/>
      </w:pPr>
      <w:r>
        <w:t>Así, la resolución del delegado del Gobierno cumple con los parámetros establecidos en la STC 66/1995, FJ 3, donde sostuvimos que “[p]ara que pueda prohibirse una concentración no basta, pues, la mera sospecha o la posibilidad de que la misma produzca esa alteración, sino que quien adopta esta decisión debe poseer datos objetivos suficientes, derivados de las circunstancias de hecho concurrentes en cada caso, a partir de los que cualquier persona en una situación normal pueda llegar racionalmente a la conclusión, a través de un proceso lógico basado en criterios de experiencia, que la concentración producirá con toda certeza el referido desorden público”.</w:t>
      </w:r>
    </w:p>
    <w:p w14:paraId="7997A53F" w14:textId="77777777" w:rsidR="008D479B" w:rsidRDefault="008D479B" w:rsidP="008D479B">
      <w:pPr>
        <w:pStyle w:val="TextoNormal"/>
      </w:pPr>
    </w:p>
    <w:p w14:paraId="75C003FE" w14:textId="77777777" w:rsidR="008D479B" w:rsidRDefault="008D479B" w:rsidP="008D479B">
      <w:pPr>
        <w:pStyle w:val="TextoNormal"/>
      </w:pPr>
      <w:r>
        <w:t>Por lo demás, no deben extrañar las similitudes que eventualmente pudieran existir en las motivaciones sobre restricciones al derecho de reunión emitidas por la misma Delegación del gobierno o, incluso, por las de otras provincias. En el momento de la convocatoria, España se encuentra sumida en un estado de alarma con ocasión de una pandemia mundial declarada por la Organización Mundial de la Salud el 11 de marzo de 2020, lo que hace casi inevitable que la resolución del delegado del Gobierno en Madrid incluya consideraciones que podrían aplicar a otros casos muy similares, especialmente en las grandes capitales de provincia. Como ha sostenido ya este tribunal, cuando se restringe el derecho de reunión deben tomarse en consideración “los elementos que conforman el contexto y la motivación de la resolución gubernativa cuestionada” (STC 193/2011, FJ 5), contexto muy similar en las grandes ciudades españolas en esas fechas. De hecho, las limitaciones existentes la semana del 26 de febrero de 2021 en muchas grandes ciudades del país eran similares a las vigentes en la ciudad de Madrid, que tenía establecido el toque de queda entre las 23.00 y las 6:00 horas y mantenía el cierre de ciertas zonas básicas de salud, concretamente cuatro.</w:t>
      </w:r>
    </w:p>
    <w:p w14:paraId="04A07E16" w14:textId="77777777" w:rsidR="008D479B" w:rsidRDefault="008D479B" w:rsidP="008D479B">
      <w:pPr>
        <w:pStyle w:val="TextoNormal"/>
      </w:pPr>
    </w:p>
    <w:p w14:paraId="160B0D6B" w14:textId="77777777" w:rsidR="008D479B" w:rsidRDefault="008D479B" w:rsidP="008D479B">
      <w:pPr>
        <w:pStyle w:val="TextoNormal"/>
      </w:pPr>
      <w:r>
        <w:t>En conclusión, los argumentos del delegado del Gobierno atienden a “datos dotados de un importante grado de objetividad y certidumbre” de aplicación específica al caso (STC 163/2006, de 22 de mayo, FJ 5), que se emplean “a través de un proceso lógico basado en criterios de experiencia” (STC 66/1995, FJ 3) para acordar la prohibición de la concentración, como exige nuestra doctrina para justificar la restricción del derecho fundamental de reunión.</w:t>
      </w:r>
    </w:p>
    <w:p w14:paraId="66701E32" w14:textId="77777777" w:rsidR="008D479B" w:rsidRDefault="008D479B" w:rsidP="008D479B">
      <w:pPr>
        <w:pStyle w:val="TextoNormal"/>
      </w:pPr>
    </w:p>
    <w:p w14:paraId="0F29C175" w14:textId="77777777" w:rsidR="008D479B" w:rsidRDefault="008D479B" w:rsidP="008D479B">
      <w:pPr>
        <w:pStyle w:val="TextoNormal"/>
      </w:pPr>
      <w:r>
        <w:t xml:space="preserve">3. </w:t>
      </w:r>
      <w:r w:rsidRPr="008D479B">
        <w:rPr>
          <w:i/>
        </w:rPr>
        <w:t>Aplicación del juicio de proporcionalidad</w:t>
      </w:r>
    </w:p>
    <w:p w14:paraId="2DA5564E" w14:textId="77777777" w:rsidR="008D479B" w:rsidRDefault="008D479B" w:rsidP="008D479B">
      <w:pPr>
        <w:pStyle w:val="TextoNormal"/>
      </w:pPr>
    </w:p>
    <w:p w14:paraId="24D49FD9" w14:textId="77777777" w:rsidR="008D479B" w:rsidRDefault="008D479B" w:rsidP="008D479B">
      <w:pPr>
        <w:pStyle w:val="TextoNormal"/>
      </w:pPr>
      <w:r>
        <w:t>Constatada la motivación suficiente de la medida adoptada por el delegado del Gobierno en Madrid restrictiva del derecho de reunión (art. 21 CE), procede ahora determinar si esta fue proporcionada al fin perseguido.</w:t>
      </w:r>
    </w:p>
    <w:p w14:paraId="3B45BC87" w14:textId="77777777" w:rsidR="008D479B" w:rsidRDefault="008D479B" w:rsidP="008D479B">
      <w:pPr>
        <w:pStyle w:val="TextoNormal"/>
      </w:pPr>
    </w:p>
    <w:p w14:paraId="18B2B322" w14:textId="77777777" w:rsidR="008D479B" w:rsidRDefault="008D479B" w:rsidP="008D479B">
      <w:pPr>
        <w:pStyle w:val="TextoNormal"/>
      </w:pPr>
      <w:r>
        <w:t>En relación con el derecho de reunión y como señala la STC 66/1995, FJ 3, para superar el juicio de proporcionalidad “es necesario constatar si cumple los siguientes tres requisitos o condiciones: si tal medida era susceptible de conseguir el objetivo propuesto […]; si, además, era necesaria en el sentido de que no existía otra medida más moderada para la consecución de tal propósito con igual eficacia; y, finalmente, si la misma era proporcionada, en sentido estricto, es decir, ponderada o equilibrada por derivarse de ella más beneficios o ventajas para el interés general que perjuicios sobre otros bienes o valores en conflicto”.</w:t>
      </w:r>
    </w:p>
    <w:p w14:paraId="746BBE7C" w14:textId="77777777" w:rsidR="008D479B" w:rsidRDefault="008D479B" w:rsidP="008D479B">
      <w:pPr>
        <w:pStyle w:val="TextoNormal"/>
      </w:pPr>
    </w:p>
    <w:p w14:paraId="5C7A4D56" w14:textId="77777777" w:rsidR="008D479B" w:rsidRDefault="008D479B" w:rsidP="008D479B">
      <w:pPr>
        <w:pStyle w:val="TextoNormal"/>
      </w:pPr>
      <w:r>
        <w:t xml:space="preserve">(i) </w:t>
      </w:r>
      <w:r w:rsidRPr="008D479B">
        <w:rPr>
          <w:i/>
        </w:rPr>
        <w:t>Finalidad legítima perseguida por la medida</w:t>
      </w:r>
    </w:p>
    <w:p w14:paraId="21D81877" w14:textId="77777777" w:rsidR="008D479B" w:rsidRDefault="008D479B" w:rsidP="008D479B">
      <w:pPr>
        <w:pStyle w:val="TextoNormal"/>
      </w:pPr>
    </w:p>
    <w:p w14:paraId="2C05C3A3" w14:textId="77777777" w:rsidR="008D479B" w:rsidRDefault="008D479B" w:rsidP="008D479B">
      <w:pPr>
        <w:pStyle w:val="TextoNormal"/>
      </w:pPr>
      <w:r>
        <w:t>Pocas dudas caben respecto de la finalidad y la legitimidad de la restricción del derecho de reunión en el presente caso, finalidad legítima que por otra parte no ha sido puesta en cuestión por el recurrente en amparo. La restricción tenía como objetivo proteger la vida y la integridad física (art. 15 CE) así como la salud pública (art. 43 CE), no solo de las personas participantes en la concentración, sino también de todas aquellas que pudieran tener contacto con las mismas durante los desplazamientos a la concentración o incluso contacto con ellas días después de su realización. Y, a su vez, la protección de la vida e integridad física y la salud pública de las personas que tuvieran contacto con estos últimos y así sucesiva y exponencialmente.</w:t>
      </w:r>
    </w:p>
    <w:p w14:paraId="4A7F0059" w14:textId="77777777" w:rsidR="008D479B" w:rsidRDefault="008D479B" w:rsidP="008D479B">
      <w:pPr>
        <w:pStyle w:val="TextoNormal"/>
      </w:pPr>
    </w:p>
    <w:p w14:paraId="762982CC" w14:textId="77777777" w:rsidR="008D479B" w:rsidRDefault="008D479B" w:rsidP="008D479B">
      <w:pPr>
        <w:pStyle w:val="TextoNormal"/>
      </w:pPr>
      <w:r>
        <w:t>Resulta de vital importancia identificar con toda precisión la finalidad legítima perseguida por la decisión del delegado del Gobierno, pues la finalidad determina en cada caso el peso y la magnitud máxima que se puede consentir a la restricción del derecho afectado, en este caso, el derecho de reunión. Existe una directa relación entre la finalidad perseguida y el juicio de proporcionalidad que este tribunal debe efectuar, y de no identificarse correctamente esta relación la desviación del juicio sería inevitable. Cuanto más se aleje la medida enjuiciada de su fin inmediato a cuyo través se analiza, más fácil será su indebida justificación.</w:t>
      </w:r>
    </w:p>
    <w:p w14:paraId="5B57E8BD" w14:textId="77777777" w:rsidR="008D479B" w:rsidRDefault="008D479B" w:rsidP="008D479B">
      <w:pPr>
        <w:pStyle w:val="TextoNormal"/>
      </w:pPr>
    </w:p>
    <w:p w14:paraId="32870EC4" w14:textId="77777777" w:rsidR="008D479B" w:rsidRDefault="008D479B" w:rsidP="008D479B">
      <w:pPr>
        <w:pStyle w:val="TextoNormal"/>
      </w:pPr>
      <w:r>
        <w:t>Hasta el momento y excepción hecha de la STC 61/2023, las restricciones al derecho de reunión que este tribunal ha evaluado se han centrado casi siempre en su colisión con otros derechos o bienes jurídicos conectados con el orden público, que van de la seguridad personal a las incomodidades provocadas por los atascos de tráfico o los ruidos (como ejemplo, véanse las SSTC 59/1990, de 29 de marzo, FJ 8, y 193/2011, FJ 4). Por este motivo, la STC 66/1995 dedicó buena parte de su fundamento jurídico 3 a delimitar de una forma precisa el concepto de orden público con peligro para personas o bienes recogido en el art. 21.2 CE, al considerar su definición fundamental para interpretar si en ese caso había habido una ponderada restricción del derecho de reunión. Esta finalidad legítima limitadora del derecho de reunión también ha sido la principalmente regulada a nivel legal por la Ley Orgánica reguladora del derecho de reunión (LODR), como claramente muestra la naturaleza de las medidas alternativas que esta ley orgánica ofrece a la autoridad gubernativa en su art. 10.</w:t>
      </w:r>
    </w:p>
    <w:p w14:paraId="0D8C5517" w14:textId="77777777" w:rsidR="008D479B" w:rsidRDefault="008D479B" w:rsidP="008D479B">
      <w:pPr>
        <w:pStyle w:val="TextoNormal"/>
      </w:pPr>
    </w:p>
    <w:p w14:paraId="01CC7977" w14:textId="77777777" w:rsidR="008D479B" w:rsidRDefault="008D479B" w:rsidP="008D479B">
      <w:pPr>
        <w:pStyle w:val="TextoNormal"/>
      </w:pPr>
      <w:r>
        <w:t xml:space="preserve">También en la jurisprudencia del Tribunal Europeo de Derechos Humanos la perspectiva del orden público ha sido la habitual, como se demuestra en el asunto </w:t>
      </w:r>
      <w:r w:rsidRPr="008D479B">
        <w:rPr>
          <w:i/>
        </w:rPr>
        <w:t>Barraco c. Francia</w:t>
      </w:r>
      <w:r>
        <w:t>, de 5 de marzo de 2009, § 43, al subrayar que “cualquier manifestación en un lugar público es susceptible de causar cierto desorden en el desarrollo de la vida cotidiana, incluida la obstaculización de la circulación”.</w:t>
      </w:r>
    </w:p>
    <w:p w14:paraId="209D7978" w14:textId="77777777" w:rsidR="008D479B" w:rsidRDefault="008D479B" w:rsidP="008D479B">
      <w:pPr>
        <w:pStyle w:val="TextoNormal"/>
      </w:pPr>
    </w:p>
    <w:p w14:paraId="31758022" w14:textId="77777777" w:rsidR="008D479B" w:rsidRDefault="008D479B" w:rsidP="008D479B">
      <w:pPr>
        <w:pStyle w:val="TextoNormal"/>
      </w:pPr>
      <w:r>
        <w:t>La circunstancia de que en el presente recurso de amparo la finalidad legítima perseguida no sea evitar la alteración del orden público con peligro para personas o bienes, sino la protección del derecho a la vida y a la integridad física y la salud pública, afectará directamente a los subprincipios que integran el juicio de proporcionalidad que seguidamente se realiza. En este marco procede pues evaluar ahora los criterios de idoneidad, necesidad y proporcionalidad en sentido estricto, que juzgan la relación de medio a fin bajo un perfil diferente: el medio ha de ser idóneo para la consecución del objetivo; necesario en el sentido de más moderado respecto de todos los medios útiles y susceptibles de alcanzarlo; y proporcionada o razonable la ecuación costes-beneficios en su resultado.</w:t>
      </w:r>
    </w:p>
    <w:p w14:paraId="2FFE8B32" w14:textId="77777777" w:rsidR="008D479B" w:rsidRDefault="008D479B" w:rsidP="008D479B">
      <w:pPr>
        <w:pStyle w:val="TextoNormal"/>
      </w:pPr>
    </w:p>
    <w:p w14:paraId="47A1CB89" w14:textId="77777777" w:rsidR="008D479B" w:rsidRDefault="008D479B" w:rsidP="008D479B">
      <w:pPr>
        <w:pStyle w:val="TextoNormal"/>
      </w:pPr>
      <w:r>
        <w:t>(ii</w:t>
      </w:r>
      <w:r w:rsidRPr="008D479B">
        <w:rPr>
          <w:i/>
        </w:rPr>
        <w:t>) Idoneid</w:t>
      </w:r>
      <w:r>
        <w:t>ad</w:t>
      </w:r>
    </w:p>
    <w:p w14:paraId="0F2D6262" w14:textId="77777777" w:rsidR="008D479B" w:rsidRDefault="008D479B" w:rsidP="008D479B">
      <w:pPr>
        <w:pStyle w:val="TextoNormal"/>
      </w:pPr>
    </w:p>
    <w:p w14:paraId="723D3BBC" w14:textId="77777777" w:rsidR="008D479B" w:rsidRDefault="008D479B" w:rsidP="008D479B">
      <w:pPr>
        <w:pStyle w:val="TextoNormal"/>
      </w:pPr>
      <w:r>
        <w:t>En el momento en que se adoptó la resolución por parte del delegado del Gobierno en Madrid, esto es, en marzo de 2021, la Organización Mundial de la Salud ya había alertado de que el contagio de la covid-19 se producía por vía aérea. Por ello, a esas alturas las autoridades sanitarias internacionales y nacionales recomendaban extremar la distancia interpersonal para evitar en lo posible la transmisión del virus. Estaba demostrado científicamente que la proximidad física aumentaba exponencialmente su transmisión y la circunstancia de que por aquel entonces el nivel de administración de vacunas contra la covid-19 fuera casi residual provocó numerosas recomendaciones dirigidas a prevenir en la medida de lo posible la cercanía interpersonal. Los propios convocantes de la concentración, sabedores de esta coyuntura, la habían planeado para evitar al máximo este contacto interpersonal durante su realización.</w:t>
      </w:r>
    </w:p>
    <w:p w14:paraId="00A9D5FA" w14:textId="77777777" w:rsidR="008D479B" w:rsidRDefault="008D479B" w:rsidP="008D479B">
      <w:pPr>
        <w:pStyle w:val="TextoNormal"/>
      </w:pPr>
    </w:p>
    <w:p w14:paraId="60A766D9" w14:textId="77777777" w:rsidR="008D479B" w:rsidRDefault="008D479B" w:rsidP="008D479B">
      <w:pPr>
        <w:pStyle w:val="TextoNormal"/>
      </w:pPr>
      <w:r>
        <w:t>En esta lógica, la prohibición de la reunión resultaba una medida idónea para impedir la proximidad física, con el consecuente riesgo de transmisión del virus en el momento mismo de la concentración. Pero, como apunta la resolución gubernativa, resultaba especialmente idónea respecto de los desplazamientos hacia o desde la misma, pues en esos instantes ni los organizadores ni la Policía Nacional podían asegurar la distancia interpersonal. Y resultaba igualmente una medida idónea para proteger al círculo familiar y laboral de la persona con intención de concentrarse, y de estos con sus allegados y así sucesiva y exponencialmente.</w:t>
      </w:r>
    </w:p>
    <w:p w14:paraId="4D5AF13D" w14:textId="77777777" w:rsidR="008D479B" w:rsidRDefault="008D479B" w:rsidP="008D479B">
      <w:pPr>
        <w:pStyle w:val="TextoNormal"/>
      </w:pPr>
    </w:p>
    <w:p w14:paraId="29DE70FB" w14:textId="77777777" w:rsidR="008D479B" w:rsidRDefault="008D479B" w:rsidP="008D479B">
      <w:pPr>
        <w:pStyle w:val="TextoNormal"/>
      </w:pPr>
      <w:r>
        <w:t>En efecto, a diferencia de lo que acostumbra a pasar cuando el orden público está en juego, la idoneidad de la medida también debe medirse más allá del momento de la reunión, pues abarca instantes anteriores y posteriores y se extiende a futuro hacia un círculo extenso e indeterminado de personas que ni siquiera tuvieron una relación indirecta con la propia reunión.</w:t>
      </w:r>
    </w:p>
    <w:p w14:paraId="1EBF8CC1" w14:textId="77777777" w:rsidR="008D479B" w:rsidRDefault="008D479B" w:rsidP="008D479B">
      <w:pPr>
        <w:pStyle w:val="TextoNormal"/>
      </w:pPr>
    </w:p>
    <w:p w14:paraId="6FC8010A" w14:textId="77777777" w:rsidR="008D479B" w:rsidRDefault="008D479B" w:rsidP="008D479B">
      <w:pPr>
        <w:pStyle w:val="TextoNormal"/>
      </w:pPr>
      <w:r>
        <w:t>En conclusión y en relación con la idoneidad de la medida, al contagiarse el virus por vía aérea la medida adoptada por el delegado del Gobierno era apta para proteger la vida e integridad física de un elevado y amplio espectro de personas, así como para proteger la salud pública.</w:t>
      </w:r>
    </w:p>
    <w:p w14:paraId="401F85F0" w14:textId="77777777" w:rsidR="008D479B" w:rsidRDefault="008D479B" w:rsidP="008D479B">
      <w:pPr>
        <w:pStyle w:val="TextoNormal"/>
      </w:pPr>
    </w:p>
    <w:p w14:paraId="13615C7C" w14:textId="77777777" w:rsidR="008D479B" w:rsidRDefault="008D479B" w:rsidP="008D479B">
      <w:pPr>
        <w:pStyle w:val="TextoNormal"/>
      </w:pPr>
      <w:r>
        <w:t>(iii</w:t>
      </w:r>
      <w:r w:rsidRPr="008D479B">
        <w:rPr>
          <w:i/>
        </w:rPr>
        <w:t>) Necesid</w:t>
      </w:r>
      <w:r>
        <w:t>ad</w:t>
      </w:r>
    </w:p>
    <w:p w14:paraId="599C070B" w14:textId="77777777" w:rsidR="008D479B" w:rsidRDefault="008D479B" w:rsidP="008D479B">
      <w:pPr>
        <w:pStyle w:val="TextoNormal"/>
      </w:pPr>
    </w:p>
    <w:p w14:paraId="490445D5" w14:textId="77777777" w:rsidR="008D479B" w:rsidRDefault="008D479B" w:rsidP="008D479B">
      <w:pPr>
        <w:pStyle w:val="TextoNormal"/>
      </w:pPr>
      <w:r>
        <w:t>Constatada la idoneidad de la medida, cumple ahora analizar si la misma fue indispensable por no existir un instrumento más moderado para alcanzar el fin perseguido.</w:t>
      </w:r>
    </w:p>
    <w:p w14:paraId="15ED7380" w14:textId="77777777" w:rsidR="008D479B" w:rsidRDefault="008D479B" w:rsidP="008D479B">
      <w:pPr>
        <w:pStyle w:val="TextoNormal"/>
      </w:pPr>
    </w:p>
    <w:p w14:paraId="6C9354D5" w14:textId="77777777" w:rsidR="008D479B" w:rsidRDefault="008D479B" w:rsidP="008D479B">
      <w:pPr>
        <w:pStyle w:val="TextoNormal"/>
      </w:pPr>
      <w:r>
        <w:t>En este punto, debemos comenzar por descartar las alegaciones del recurrente que considera la prohibición innecesaria por el siguiente razonamiento: si el deber de trabajar “permite y exige que 250 personas se desplacen a su trabajo dentro de un vagón de metro, un espacio cerrado, sin posibilidad de mantener las distancias de protección recomendadas por las autoridades sanitarias, lo justo y equitativo es que 250 personas tengan derecho a reunirse en un espacio al aire libre manteniendo la distancia de seguridad en defensa de sus derechos”. El recurrente en amparo utiliza un razonamiento similar para defender que la prohibición no era necesaria cuando señala que los centros comerciales se encontraban abiertos. No obstante, los ejemplos aducidos por el recurrente no pueden aducirse como término de comparación, pues los derechos y bienes en juego no son coincidentes. No se trata de valoraciones de justicia y equidad, sino de ponderación constitucional de distintos derechos y bienes jurídicos que no son parangonables con el caso de la concentración prohibida, entre otras cosas porque se puede prohibir el ejercicio puntual del derecho a unirse a una reunión concreta, pero este esquema no puede reproducirse respecto de actividades como trabajar o comprar alimentos.</w:t>
      </w:r>
    </w:p>
    <w:p w14:paraId="53AEB3FB" w14:textId="77777777" w:rsidR="008D479B" w:rsidRDefault="008D479B" w:rsidP="008D479B">
      <w:pPr>
        <w:pStyle w:val="TextoNormal"/>
      </w:pPr>
    </w:p>
    <w:p w14:paraId="4A134EA1" w14:textId="77777777" w:rsidR="008D479B" w:rsidRDefault="008D479B" w:rsidP="008D479B">
      <w:pPr>
        <w:pStyle w:val="TextoNormal"/>
      </w:pPr>
      <w:r>
        <w:t>Esta alegación del recurrente permite traer aquí a colación las conexiones y también las diferencias del supuesto fáctico y jurídico planteado en el presente amparo respecto del resuelto en la STC 61/2023, que han sido anunciadas en el FJ 3 C). Como resulta del trasfondo de la alegación del recurrente, la situación existente el 30 de abril de 2020 no era la misma que la del 8 de marzo de 2021, puesto que, efectivamente, en esta última fecha las restricciones a los derechos fundamentales con el objetivo de evitar la propagación de la covid-19 eran de menor intensidad que el año anterior. Ello se debió sin duda a una mejoría en los datos epidemiológicos, pero ello no hacía menos necesaria la medida en 2021 que en 2020. Y ello por dos motivos.</w:t>
      </w:r>
    </w:p>
    <w:p w14:paraId="0ED8A9E9" w14:textId="77777777" w:rsidR="008D479B" w:rsidRDefault="008D479B" w:rsidP="008D479B">
      <w:pPr>
        <w:pStyle w:val="TextoNormal"/>
      </w:pPr>
    </w:p>
    <w:p w14:paraId="06044B4B" w14:textId="77777777" w:rsidR="008D479B" w:rsidRDefault="008D479B" w:rsidP="008D479B">
      <w:pPr>
        <w:pStyle w:val="TextoNormal"/>
      </w:pPr>
      <w:r>
        <w:t>El primero es que las cifras sobre la situación pandémica en abril de 2021 en la Comunidad de Madrid seguían siendo categóricas: según los datos oficiales, a 2 de marzo de 2021 habían fallecido veintiuna personas en hospitales, había 1790 ingresados, 521 en UCI y 1214 nuevos casos identificados. No en vano nos hallábamos todavía inmersos en un estado de alarma que motivó la aprobación en la Comunidad de Madrid de la Orden 154/2021, de 12 de febrero, que establecía limitación de movimientos nocturnos entre las 23:00 y las 6:00 horas; restricciones de movilidad en dieciséis zonas básicas de salud (muchas de ellas en Madrid capital) que afectaban a 391 000 residentes; limitaciones a la permanencia de grupos de personas en espacios privados, que debían pertenecer al mismo núcleo o grupo de convivencia; y ciertas restricciones en el ámbito de la hostelería, los espectáculos públicos y las actividades comerciales.</w:t>
      </w:r>
    </w:p>
    <w:p w14:paraId="58BD2EF3" w14:textId="77777777" w:rsidR="008D479B" w:rsidRDefault="008D479B" w:rsidP="008D479B">
      <w:pPr>
        <w:pStyle w:val="TextoNormal"/>
      </w:pPr>
    </w:p>
    <w:p w14:paraId="51057AF5" w14:textId="77777777" w:rsidR="008D479B" w:rsidRDefault="008D479B" w:rsidP="008D479B">
      <w:pPr>
        <w:pStyle w:val="TextoNormal"/>
      </w:pPr>
      <w:r>
        <w:t>El segundo motivo que hacía necesaria la medida era la experiencia acumulada tras un año de pandemia pues, a diferencia del año 2020, en 2021 ya se había constatado la existencia de las denominadas “olas”, que producían un incremento exponencial de los contagios tras la relajación de las medidas de distancia social.</w:t>
      </w:r>
    </w:p>
    <w:p w14:paraId="057A4F51" w14:textId="77777777" w:rsidR="008D479B" w:rsidRDefault="008D479B" w:rsidP="008D479B">
      <w:pPr>
        <w:pStyle w:val="TextoNormal"/>
      </w:pPr>
    </w:p>
    <w:p w14:paraId="2A1C22B8" w14:textId="77777777" w:rsidR="008D479B" w:rsidRDefault="008D479B" w:rsidP="008D479B">
      <w:pPr>
        <w:pStyle w:val="TextoNormal"/>
      </w:pPr>
      <w:r>
        <w:t>Continuando con las coincidencias y divergencias respecto del caso planteado en la STC 61/2023, que abonan que la medida también era necesaria doce meses después, cabe añadir lo siguiente. En la citada sentencia se alude a dos elementos cuya primera lectura puede conducir a pensar que no aplican al presente caso, pero cuyo análisis pausado permite concluir que eran de perfecta aplicación doce meses más tarde.</w:t>
      </w:r>
    </w:p>
    <w:p w14:paraId="27A82BF2" w14:textId="77777777" w:rsidR="008D479B" w:rsidRDefault="008D479B" w:rsidP="008D479B">
      <w:pPr>
        <w:pStyle w:val="TextoNormal"/>
      </w:pPr>
    </w:p>
    <w:p w14:paraId="002923ED" w14:textId="77777777" w:rsidR="008D479B" w:rsidRDefault="008D479B" w:rsidP="008D479B">
      <w:pPr>
        <w:pStyle w:val="TextoNormal"/>
      </w:pPr>
      <w:r>
        <w:t>Para empezar, como se explica en la citada sentencia, en 2020 no era posible “tener ninguna certeza sobre las formas de contagio” del virus. Pues bien, precisamente un año más tarde ya no existía duda científica sobre que la forma de expansión de la covid-19 era la vía aérea, por lo que la distancia social constituía la forma de combatirla.</w:t>
      </w:r>
    </w:p>
    <w:p w14:paraId="410562CA" w14:textId="77777777" w:rsidR="008D479B" w:rsidRDefault="008D479B" w:rsidP="008D479B">
      <w:pPr>
        <w:pStyle w:val="TextoNormal"/>
      </w:pPr>
    </w:p>
    <w:p w14:paraId="5E909A1F" w14:textId="77777777" w:rsidR="008D479B" w:rsidRDefault="008D479B" w:rsidP="008D479B">
      <w:pPr>
        <w:pStyle w:val="TextoNormal"/>
      </w:pPr>
      <w:r>
        <w:t>Para continuar, también la citada sentencia subrayaba que “en aquel momento, la distancia social y las mascarillas eran los únicos instrumentos de defensa ciudadana contra la covid-19; no fue hasta finales de diciembre de 2020 cuando dispusimos de las primeras vacunas contra el virus”. Pues bien, según datos oficiales de la Comunidad de Madrid, en marzo de 2021 solo habían recibido la pauta completa de la vacunación contra la covid-19 el 2,6 por 100 de la población de dicha comunidad. La inmunidad colectiva ante la enfermedad era casi insignificante, de forma que la distancia social continuaba siendo la única vía para evitar la propagación.</w:t>
      </w:r>
    </w:p>
    <w:p w14:paraId="714446C9" w14:textId="77777777" w:rsidR="008D479B" w:rsidRDefault="008D479B" w:rsidP="008D479B">
      <w:pPr>
        <w:pStyle w:val="TextoNormal"/>
      </w:pPr>
    </w:p>
    <w:p w14:paraId="5F9E2EFF" w14:textId="77777777" w:rsidR="008D479B" w:rsidRDefault="008D479B" w:rsidP="008D479B">
      <w:pPr>
        <w:pStyle w:val="TextoNormal"/>
      </w:pPr>
      <w:r>
        <w:t>Realizadas estas indispensables puntualizaciones sobre la necesidad de la misma medida restrictiva aún con una distancia cronológica de doce meses, corresponde ahora evaluar la necesidad de la prohibición de la manifestación en el presente recurso de amparo. Ello significa evaluar “si la prohibición total del ejercicio del derecho resultaba imprescindible o cabía en este caso la adopción de medidas menos drásticas e igualmente eficaces para la consecución del fin perseguido, como la propuesta de la modificación de las circunstancias de celebración de la concentración, relativas al lugar, a la hora o al modo de realización de la misma prevista en el art. 10 de la Ley Orgánica 9/1983.” (STC 66/1995, FJ 5). Debemos analizar ahora si hubieran podido articularse soluciones menos drásticas con una “eficacia pareja” (STC 148/2021, FJ 3), sin olvidar que la facultad que la ley orgánica reconoce a la autoridad gubernativa para proponer las modificaciones de fecha, lugar o duración de la reunión al objeto de que pueda celebrarse es “una facultad que la administración no puede ejercer de forma totalmente discrecional” (STC 163/2006, FJ 3).</w:t>
      </w:r>
    </w:p>
    <w:p w14:paraId="4189C195" w14:textId="77777777" w:rsidR="008D479B" w:rsidRDefault="008D479B" w:rsidP="008D479B">
      <w:pPr>
        <w:pStyle w:val="TextoNormal"/>
      </w:pPr>
    </w:p>
    <w:p w14:paraId="0BD37809" w14:textId="77777777" w:rsidR="008D479B" w:rsidRDefault="008D479B" w:rsidP="008D479B">
      <w:pPr>
        <w:pStyle w:val="TextoNormal"/>
      </w:pPr>
      <w:r>
        <w:t>Ya se ha avanzado que las medidas previstas en el art. 10 LODR están concebidas para el caso de colisiones entre el derecho de reunión y la garantía del orden público, y que en la mayor parte de las ocasiones esta ha sido la colisión producida, por lo que las medidas alternativas habitualmente analizadas por este tribunal se refieren a cortes o desvíos del tránsito peatonal o rodado o a la prohibición de la ocupación prolongada de las vías (entre muchas, STC 66/1995, FJ 3). Lo mismo ha sucedido a nivel europeo, donde el Tribunal Europeo de Derechos Humanos ha subrayado la importancia de las medidas de seguridad preventivas con el fin de garantizar el buen desarrollo del derecho de reunión (asunt</w:t>
      </w:r>
      <w:r w:rsidRPr="008D479B">
        <w:rPr>
          <w:i/>
        </w:rPr>
        <w:t>o Oya Ataman c. Turqu</w:t>
      </w:r>
      <w:r>
        <w:t>ía, de 5 de diciembre de 2009, § 39).</w:t>
      </w:r>
    </w:p>
    <w:p w14:paraId="78D1E0D8" w14:textId="77777777" w:rsidR="008D479B" w:rsidRDefault="008D479B" w:rsidP="008D479B">
      <w:pPr>
        <w:pStyle w:val="TextoNormal"/>
      </w:pPr>
    </w:p>
    <w:p w14:paraId="6A27CA59" w14:textId="77777777" w:rsidR="008D479B" w:rsidRDefault="008D479B" w:rsidP="008D479B">
      <w:pPr>
        <w:pStyle w:val="TextoNormal"/>
      </w:pPr>
      <w:r>
        <w:t>Dado que en el presente recurso la finalidad de la restricción no es evitar alteraciones del orden público con riesgo para personas o bienes, sino salvaguardar la vida e integridad física de las personas y la salud pública, aquí las medidas alternativas debían tener una naturaleza distinta. Por ello, en la reunión previa a la concentración entre representantes de la Delegación del gobierno de Madrid y la Plataforma 8-M se buscaron “formatos alternativos a las manifestaciones convocadas” que permitieran “el ejercicio reivindicativo sin poner en riesgo la salud pública (convocatorias virtuales, manifestarse desde los balcones o manifestaciones en vehículos)”.</w:t>
      </w:r>
    </w:p>
    <w:p w14:paraId="478C22D8" w14:textId="77777777" w:rsidR="008D479B" w:rsidRDefault="008D479B" w:rsidP="008D479B">
      <w:pPr>
        <w:pStyle w:val="TextoNormal"/>
      </w:pPr>
    </w:p>
    <w:p w14:paraId="01D39195" w14:textId="77777777" w:rsidR="008D479B" w:rsidRDefault="008D479B" w:rsidP="008D479B">
      <w:pPr>
        <w:pStyle w:val="TextoNormal"/>
      </w:pPr>
      <w:r>
        <w:t>Como se ha señalado, no se alcanzó ningún acuerdo respecto de estas opciones alternativas planteadas por la autoridad gubernativa. Aun así, este tribunal debe evaluar si la Delegación del Gobierno podría haber propuesto para la concreta concentración convocada por el recurrente medidas alternativas y de eficacia pareja menos gravosas que su prohibición. Analicemos sus opciones.</w:t>
      </w:r>
    </w:p>
    <w:p w14:paraId="775F8F05" w14:textId="77777777" w:rsidR="008D479B" w:rsidRDefault="008D479B" w:rsidP="008D479B">
      <w:pPr>
        <w:pStyle w:val="TextoNormal"/>
      </w:pPr>
    </w:p>
    <w:p w14:paraId="4DDD321D" w14:textId="77777777" w:rsidR="008D479B" w:rsidRDefault="008D479B" w:rsidP="008D479B">
      <w:pPr>
        <w:pStyle w:val="TextoNormal"/>
      </w:pPr>
      <w:r>
        <w:t>La STC 193/2011, FJ 5, señala que “[i]nteresa también destacar que no todas las circunstancias que hemos venido en llamar ‘adjetivas’ tienen la misma relevancia. Algunas de ellas inciden de manera inevitable en la propia esencia del derecho de manifestación y otras, en cambio, no resultan decisivas”. En consecuencia, el margen de maniobra del delegado del Gobierno en Madrid para proponer alternativas a la fecha, lugar o duración de la concentración tenía unos contornos determinados.</w:t>
      </w:r>
    </w:p>
    <w:p w14:paraId="3F817C56" w14:textId="77777777" w:rsidR="008D479B" w:rsidRDefault="008D479B" w:rsidP="008D479B">
      <w:pPr>
        <w:pStyle w:val="TextoNormal"/>
      </w:pPr>
    </w:p>
    <w:p w14:paraId="279927AF" w14:textId="77777777" w:rsidR="008D479B" w:rsidRDefault="008D479B" w:rsidP="008D479B">
      <w:pPr>
        <w:pStyle w:val="TextoNormal"/>
      </w:pPr>
      <w:r>
        <w:t>Como se explica en la STC 96/2010, FJ 5, “la fecha de la manifestación afecta de manera inevitable al derecho de reunión cuando la convocatoria tiene como objeto conmemorar un hecho histórico o político que se celebra mundialmente en un día determinado”. Esta Sentencia se refería precisamente a la manifestación convocada por la “Plataforma 8 de marzo de Sevilla” para celebrar el Día internacional de la mujer, que coincidió con una jornada de reflexión electoral.</w:t>
      </w:r>
    </w:p>
    <w:p w14:paraId="065683C1" w14:textId="77777777" w:rsidR="008D479B" w:rsidRDefault="008D479B" w:rsidP="008D479B">
      <w:pPr>
        <w:pStyle w:val="TextoNormal"/>
      </w:pPr>
    </w:p>
    <w:p w14:paraId="71EC3E0F" w14:textId="77777777" w:rsidR="008D479B" w:rsidRDefault="008D479B" w:rsidP="008D479B">
      <w:pPr>
        <w:pStyle w:val="TextoNormal"/>
      </w:pPr>
      <w:r>
        <w:t>Resulta entonces que en el presente recurso de amparo el día elegido para la concentración resultaba inamovible, pues pretendía conmemorar idéntica efeméride. La Delegación no podía, por ejemplo, haber propuesto la celebración de la concentración en un día festivo o el fin de semana más próximo, para disminuir el contacto interpersonal más elevado que conlleva el trasiego de personas en un día laborable y lectivo:</w:t>
      </w:r>
    </w:p>
    <w:p w14:paraId="4ED405DE" w14:textId="77777777" w:rsidR="008D479B" w:rsidRDefault="008D479B" w:rsidP="008D479B">
      <w:pPr>
        <w:pStyle w:val="TextoNormal"/>
      </w:pPr>
    </w:p>
    <w:p w14:paraId="1BDF267C" w14:textId="77777777" w:rsidR="008D479B" w:rsidRDefault="008D479B" w:rsidP="008D479B">
      <w:pPr>
        <w:pStyle w:val="TextoNormal"/>
      </w:pPr>
      <w:r>
        <w:t>“El lugar de la concentración no puede considerarse en absoluto indiferente y, en consecuencia, tampoco cabe hablar de discrecionalidad de la Administración al ofrecer lugares alternativos. Con ello no se trata solo de afirmar que el lugar propuesto debe tener suficiente tránsito público como para garantizar la publicidad que constituye uno de los elementos esenciales del contenido del derecho, sino que ese lugar debe garantizar una repercusión pública -en número y características de los destinatarios, es decir, de quienes pueden tener noticia de la reunión, incluidos los medios de comunicación- que se aproxime al máximo a la que pretendían alcanzar los promotores en el lugar por ellos programado” (STC 66/1995 FJ 3).</w:t>
      </w:r>
    </w:p>
    <w:p w14:paraId="14CA2BDB" w14:textId="77777777" w:rsidR="008D479B" w:rsidRDefault="008D479B" w:rsidP="008D479B">
      <w:pPr>
        <w:pStyle w:val="TextoNormal"/>
      </w:pPr>
    </w:p>
    <w:p w14:paraId="75C0925F" w14:textId="77777777" w:rsidR="008D479B" w:rsidRDefault="008D479B" w:rsidP="008D479B">
      <w:pPr>
        <w:pStyle w:val="TextoNormal"/>
      </w:pPr>
      <w:r>
        <w:t>Por tanto, de nuestra jurisprudencia resulta que el lugar alternativo que el Delegado del Gobierno hubiera podido proponer debía ser en la misma ciudad de Madrid, en un espacio céntrico y que asegurara la repercusión pública en número y características de los destinatarios. Cualquier alternativa al lugar de la concentración que cumpliera con estas exigencias constitucionales hubiera puesto en idéntico riesgo al derecho a la vida y a la integridad física de las personas y a la salud pública, puesto que hubiera provocado una movilización de gente y una cercanía física muy similar a la convocatoria propuesta por el recurrente en amparo. Y esta proximidad física era, exactamente, lo que trataba de evitarse al máximo, con lo que la propuesta de un lugar alternativo no era una medida menos restrictiva factible.</w:t>
      </w:r>
    </w:p>
    <w:p w14:paraId="09F7EE94" w14:textId="77777777" w:rsidR="008D479B" w:rsidRDefault="008D479B" w:rsidP="008D479B">
      <w:pPr>
        <w:pStyle w:val="TextoNormal"/>
      </w:pPr>
    </w:p>
    <w:p w14:paraId="20AC8D29" w14:textId="77777777" w:rsidR="008D479B" w:rsidRDefault="008D479B" w:rsidP="008D479B">
      <w:pPr>
        <w:pStyle w:val="TextoNormal"/>
      </w:pPr>
      <w:r>
        <w:t>Tampoco la reducción del tiempo previsto de la concentración, de tres horas y treinta minutos, se configuraba como una medida alternativa válida, pues la reducción del horario no conjuraba el riesgo provocado por los desplazamientos y posteriores contactos con terceras personas. A mayor abundamiento, la transmisión del virus de la covid-19 no requiere un tiempo de exposición prolongado.</w:t>
      </w:r>
    </w:p>
    <w:p w14:paraId="7C0A3602" w14:textId="77777777" w:rsidR="008D479B" w:rsidRDefault="008D479B" w:rsidP="008D479B">
      <w:pPr>
        <w:pStyle w:val="TextoNormal"/>
      </w:pPr>
    </w:p>
    <w:p w14:paraId="6A0740E7" w14:textId="77777777" w:rsidR="008D479B" w:rsidRDefault="008D479B" w:rsidP="008D479B">
      <w:pPr>
        <w:pStyle w:val="TextoNormal"/>
      </w:pPr>
      <w:r>
        <w:t>Aunque no se trata de una medida prevista en el art. 10 LODR, el delegado del Gobierno podría haber manejado alternativas respecto de la asistencia prevista, que era de 250 personas. No obstante, se trataba solo de una previsión de asistencia imposible de predecir por parte de los sindicatos convocantes. Además, los convocantes podían evitar que el exceso de personas que se acercaban para participar en la concentración no se uniera a la misma una vez sobrepasadas las 250 personas, pero ello no evitaba el desplazamiento de estas personas hacia la concentración y de regreso a su lugar de origen, ni las eventuales aglomeraciones si acudía un número de gente muy superior al previsto, que de nuevo ponía en riesgo la vida e integridad física de las personas y la salud pública.</w:t>
      </w:r>
    </w:p>
    <w:p w14:paraId="635F03FD" w14:textId="77777777" w:rsidR="008D479B" w:rsidRDefault="008D479B" w:rsidP="008D479B">
      <w:pPr>
        <w:pStyle w:val="TextoNormal"/>
      </w:pPr>
    </w:p>
    <w:p w14:paraId="1AEE1A80" w14:textId="77777777" w:rsidR="008D479B" w:rsidRDefault="008D479B" w:rsidP="008D479B">
      <w:pPr>
        <w:pStyle w:val="TextoNormal"/>
      </w:pPr>
      <w:r>
        <w:t xml:space="preserve">En conclusión, no cabía medida alternativa a la prohibición de la concentración, posibilidad de prohibición prevista expresamente en el art. 21.2 CE y, por otra parte, avalada en distintos casos analizados por este tribunal como “el último recurso” ante la “imposibilidad de adoptar las medidas preventivas necesarias para conjurar esos peligros y permitir el efectivo ejercicio del derecho fundamental” (STC 163/2006, FJ 3). También el Tribunal Europeo de Derechos Humanos ha avalado prohibiciones del derecho de reunión, como en el asunto </w:t>
      </w:r>
      <w:r w:rsidRPr="008D479B">
        <w:rPr>
          <w:i/>
        </w:rPr>
        <w:t>Cisse c. France</w:t>
      </w:r>
      <w:r>
        <w:t>, de 9 de abril de 2002, cuando consideró proporcionada la orden gubernativa de evacuación de una iglesia ante una reunión pacífica y en sí misma no directamente perturbadora del orden público ni del derecho de culto, en la que, sin embargo, el estado de salud de los congregados se había degradado y las circunstancias sanitarias eran muy deficientes.</w:t>
      </w:r>
    </w:p>
    <w:p w14:paraId="076DD72F" w14:textId="77777777" w:rsidR="008D479B" w:rsidRDefault="008D479B" w:rsidP="008D479B">
      <w:pPr>
        <w:pStyle w:val="TextoNormal"/>
      </w:pPr>
    </w:p>
    <w:p w14:paraId="344A159B" w14:textId="77777777" w:rsidR="008D479B" w:rsidRDefault="008D479B" w:rsidP="008D479B">
      <w:pPr>
        <w:pStyle w:val="TextoNormal"/>
      </w:pPr>
      <w:r>
        <w:t>(iv</w:t>
      </w:r>
      <w:r w:rsidRPr="008D479B">
        <w:rPr>
          <w:i/>
        </w:rPr>
        <w:t>) Proporcionalidad en sentido estric</w:t>
      </w:r>
      <w:r>
        <w:t>to</w:t>
      </w:r>
    </w:p>
    <w:p w14:paraId="39396DDD" w14:textId="77777777" w:rsidR="008D479B" w:rsidRDefault="008D479B" w:rsidP="008D479B">
      <w:pPr>
        <w:pStyle w:val="TextoNormal"/>
      </w:pPr>
    </w:p>
    <w:p w14:paraId="09DAEF34" w14:textId="77777777" w:rsidR="008D479B" w:rsidRDefault="008D479B" w:rsidP="008D479B">
      <w:pPr>
        <w:pStyle w:val="TextoNormal"/>
      </w:pPr>
      <w:r>
        <w:t>Superados los anteriores subprincipios de idoneidad y de necesidad cumple ahora evaluar si la medida adoptada por el delegado del Gobierno respeta el de proporcionalidad en sentido estricto, es decir, si los beneficios y ventajas derivados de la medida restrictiva del derecho son superiores a los perjuicios que genera en el mismo.</w:t>
      </w:r>
    </w:p>
    <w:p w14:paraId="2B1B0606" w14:textId="77777777" w:rsidR="008D479B" w:rsidRDefault="008D479B" w:rsidP="008D479B">
      <w:pPr>
        <w:pStyle w:val="TextoNormal"/>
      </w:pPr>
    </w:p>
    <w:p w14:paraId="734485E1" w14:textId="77777777" w:rsidR="008D479B" w:rsidRDefault="008D479B" w:rsidP="008D479B">
      <w:pPr>
        <w:pStyle w:val="TextoNormal"/>
      </w:pPr>
      <w:r>
        <w:t>Cumple recordar aquí que este subprincipio analiza los beneficios y ventajas de la medida aisladamente considerados, sin minusvalorar el peso de todos los derechos fundamentales en juego, que por otra parte han sido también tomados en consideración en el momento de analizar tanto la finalidad de la restricción como la idoneidad y necesidad de la medida restrictiva. En efecto, se trata de que esta medida restrictiva no rompa el equilibrio entre los beneficios concretos que se persiguen y los perjuicios generados, como sostuvo este tribunal en uno de los ejemplos más elocuentes de aplicación del principio de proporcionalidad en sentido estricto [STC 7/1994, de 17 de enero, FJ 3 D)]. Así, el Tribunal debe medir la relación de medios y fines a la luz de la estructura de los valores de la Constitución y del peso específico de los intereses objeto de la ponderación. En otras palabras, el medio y el fin elegidos deben guardar una proporción.</w:t>
      </w:r>
    </w:p>
    <w:p w14:paraId="3BC6DD81" w14:textId="77777777" w:rsidR="008D479B" w:rsidRDefault="008D479B" w:rsidP="008D479B">
      <w:pPr>
        <w:pStyle w:val="TextoNormal"/>
      </w:pPr>
    </w:p>
    <w:p w14:paraId="5F5980F1" w14:textId="77777777" w:rsidR="008D479B" w:rsidRDefault="008D479B" w:rsidP="008D479B">
      <w:pPr>
        <w:pStyle w:val="TextoNormal"/>
      </w:pPr>
      <w:r>
        <w:t>Si trasladamos estas consideraciones al presente recurso de amparo, debe sostenerse que la prohibición de la concentración acordada por el delegado del Gobierno también respetó la proporcionalidad en sentido estricto. Y ello, desde dos perspectivas diversas.</w:t>
      </w:r>
    </w:p>
    <w:p w14:paraId="3337F346" w14:textId="77777777" w:rsidR="008D479B" w:rsidRDefault="008D479B" w:rsidP="008D479B">
      <w:pPr>
        <w:pStyle w:val="TextoNormal"/>
      </w:pPr>
    </w:p>
    <w:p w14:paraId="142FD4DE" w14:textId="77777777" w:rsidR="008D479B" w:rsidRDefault="008D479B" w:rsidP="008D479B">
      <w:pPr>
        <w:pStyle w:val="TextoNormal"/>
      </w:pPr>
      <w:r>
        <w:t>Por un lado, el sacrificio de no poder ejercer el derecho de reunión resulta proporcionado si en el otro platillo de la balanza se colocan los contagios que, en mayor o menor medida, se hubieran producido con toda seguridad, con el coste correlativo de desarrollar la enfermedad y, eventualmente, otras enfermedades asociadas o, en el peor de los casos, el deceso.</w:t>
      </w:r>
    </w:p>
    <w:p w14:paraId="24DF4FB1" w14:textId="77777777" w:rsidR="008D479B" w:rsidRDefault="008D479B" w:rsidP="008D479B">
      <w:pPr>
        <w:pStyle w:val="TextoNormal"/>
      </w:pPr>
    </w:p>
    <w:p w14:paraId="06E59E1C" w14:textId="77777777" w:rsidR="008D479B" w:rsidRDefault="008D479B" w:rsidP="008D479B">
      <w:pPr>
        <w:pStyle w:val="TextoNormal"/>
      </w:pPr>
      <w:r>
        <w:t>Se trataba de proteger directa e inmediatamente la vida de cada una de las personas que podían enfermar o llegar a fallecer en caso de contagio como consecuencia de su asistencia a la concentración. Y no solo de esas personas, sino también de un número indeterminado de otras que no habían tenido ni siquiera relación directa con la concentración, pues podían contraer la enfermedad con consecuencias graves e impredecibles para su salud. Se trataba, pues, de situar en este platillo un derecho fundamental como la vida y la integridad física de afectación irreversible.</w:t>
      </w:r>
    </w:p>
    <w:p w14:paraId="435B7ACE" w14:textId="77777777" w:rsidR="008D479B" w:rsidRDefault="008D479B" w:rsidP="008D479B">
      <w:pPr>
        <w:pStyle w:val="TextoNormal"/>
      </w:pPr>
    </w:p>
    <w:p w14:paraId="04BD3FB9" w14:textId="77777777" w:rsidR="008D479B" w:rsidRDefault="008D479B" w:rsidP="008D479B">
      <w:pPr>
        <w:pStyle w:val="TextoNormal"/>
      </w:pPr>
      <w:r>
        <w:t>Por otro lado, el sacrificio puntual del ejercicio del derecho de reunión resultaba proporcionado si en el otro platillo de la balanza computaba evitar repuntes en las tasas de incidencia acumulada, para asegurar el mantenimiento de la tendencia descendente de expansión del virus. Correlativamente, en este platillo también debía sopesarse el aumento de las restricciones a los derechos de la ciudadanía si estos repuntes llegaban a producirse, pues un eventual agravamiento de la situación pandémica hubiera obligado a las autoridades sanitarias a endurecer las medidas restrictivas de derechos fundamentales, medidas que recordemos iban modulándose semanalmente en función de los datos epidemiológicos.</w:t>
      </w:r>
    </w:p>
    <w:p w14:paraId="687F2F30" w14:textId="77777777" w:rsidR="008D479B" w:rsidRDefault="008D479B" w:rsidP="008D479B">
      <w:pPr>
        <w:pStyle w:val="TextoNormal"/>
      </w:pPr>
    </w:p>
    <w:p w14:paraId="1EDEFA46" w14:textId="77777777" w:rsidR="008D479B" w:rsidRDefault="008D479B" w:rsidP="008D479B">
      <w:pPr>
        <w:pStyle w:val="TextoNormal"/>
      </w:pPr>
      <w:r>
        <w:t>En suma, considero que la resolución del delegado del Gobierno en Madrid núm. 325-2021, de 3 de marzo, motivó de manera suficiente la medida acordada y esta fue proporcionada al fin perseguido, por lo que debió concluirse que no existió vulneración del derecho de reunión reconocido en el art. 21 CE.</w:t>
      </w:r>
    </w:p>
    <w:p w14:paraId="4788371F" w14:textId="77777777" w:rsidR="008D479B" w:rsidRDefault="008D479B" w:rsidP="008D479B">
      <w:pPr>
        <w:pStyle w:val="TextoNormal"/>
      </w:pPr>
    </w:p>
    <w:p w14:paraId="4EF070CE" w14:textId="77777777" w:rsidR="008D479B" w:rsidRDefault="008D479B" w:rsidP="008D479B">
      <w:pPr>
        <w:pStyle w:val="TextoNormal"/>
      </w:pPr>
      <w:r>
        <w:t>Y en tal sentido emito este voto particular.</w:t>
      </w:r>
    </w:p>
    <w:p w14:paraId="039FD43B" w14:textId="77777777" w:rsidR="008D479B" w:rsidRDefault="008D479B" w:rsidP="008D479B">
      <w:pPr>
        <w:pStyle w:val="TextoNormal"/>
      </w:pPr>
    </w:p>
    <w:p w14:paraId="42EB34C0" w14:textId="259D9D4C" w:rsidR="008D479B" w:rsidRDefault="008D479B" w:rsidP="008D479B">
      <w:pPr>
        <w:pStyle w:val="TextoNormal"/>
      </w:pPr>
      <w:r>
        <w:t>Madrid, a veinticuatro de noviembre de dos mil veintitrés.</w:t>
      </w:r>
    </w:p>
    <w:p w14:paraId="12B231D3" w14:textId="592E3515" w:rsidR="008D479B" w:rsidRDefault="008D479B">
      <w:pPr>
        <w:spacing w:after="160" w:line="278" w:lineRule="auto"/>
        <w:rPr>
          <w:rFonts w:ascii="Times New Roman" w:eastAsia="Times New Roman" w:hAnsi="Times New Roman" w:cs="Times New Roman"/>
          <w:sz w:val="24"/>
          <w:szCs w:val="24"/>
          <w:lang w:eastAsia="es-ES"/>
        </w:rPr>
      </w:pPr>
      <w:r>
        <w:br w:type="page"/>
      </w:r>
    </w:p>
    <w:p w14:paraId="16F06AA8" w14:textId="77777777" w:rsidR="008D479B" w:rsidRDefault="008D479B" w:rsidP="008D479B">
      <w:pPr>
        <w:pStyle w:val="TtuloResolucin"/>
      </w:pPr>
      <w:bookmarkStart w:id="90" w:name="SENTENCIA_2023_165"/>
      <w:r>
        <w:t>SENTENCIA 165/2023, de 21 de noviembre de 2023</w:t>
      </w:r>
    </w:p>
    <w:bookmarkEnd w:id="90"/>
    <w:p w14:paraId="2C1124C9" w14:textId="77777777" w:rsidR="008D479B" w:rsidRDefault="008D479B" w:rsidP="008D479B">
      <w:pPr>
        <w:pStyle w:val="TtuloResolucin"/>
      </w:pPr>
      <w:r>
        <w:t>Pleno</w:t>
      </w:r>
    </w:p>
    <w:p w14:paraId="4D1BB514" w14:textId="77777777" w:rsidR="008D479B" w:rsidRDefault="008D479B" w:rsidP="008D479B">
      <w:pPr>
        <w:pStyle w:val="TtuloBOE"/>
      </w:pPr>
      <w:r>
        <w:t>(BOE núm. 304, de 21 de diciembre de 2023)</w:t>
      </w:r>
    </w:p>
    <w:p w14:paraId="40F5FF70" w14:textId="77777777" w:rsidR="008D479B" w:rsidRDefault="008D479B" w:rsidP="008D479B">
      <w:pPr>
        <w:pStyle w:val="TextoNormalCentrado"/>
      </w:pPr>
      <w:r>
        <w:t>ECLI:ES:TC:2023:165</w:t>
      </w:r>
    </w:p>
    <w:p w14:paraId="540BF3BF" w14:textId="6992D4AE" w:rsidR="008D479B" w:rsidRDefault="008D479B" w:rsidP="008D479B">
      <w:pPr>
        <w:pStyle w:val="TextoNormalCentrado"/>
      </w:pPr>
    </w:p>
    <w:p w14:paraId="7E36FFDF" w14:textId="77777777" w:rsidR="008D479B" w:rsidRDefault="008D479B" w:rsidP="008D479B">
      <w:pPr>
        <w:pStyle w:val="SntesisDescriptiva"/>
      </w:pPr>
      <w:r>
        <w:t>Recurso de amparo 7813-2021. Promovido por doña Concepción Gamarra Ruiz-Clavijo y otros cuatro diputados del Grupo Parlamentario Popular en el Congreso respecto de la resolución de la presidenta de la Cámara rechazando su petición de amparo parlamentario.</w:t>
      </w:r>
    </w:p>
    <w:p w14:paraId="75DBDC28" w14:textId="3F035740" w:rsidR="008D479B" w:rsidRDefault="008D479B" w:rsidP="008D479B">
      <w:pPr>
        <w:pStyle w:val="SntesisDescriptiva"/>
      </w:pPr>
    </w:p>
    <w:p w14:paraId="7D6364AE" w14:textId="77777777" w:rsidR="008D479B" w:rsidRDefault="008D479B" w:rsidP="008D479B">
      <w:pPr>
        <w:pStyle w:val="SntesisAnaltica"/>
      </w:pPr>
      <w:r>
        <w:t>Supuesta vulneración del derecho al ejercicio de las funciones representativas: denegación de acceso a los expedientes de indulto correspondientes a nueve condenados “en el juicio del procés” beneficiados por la medida de gracia. Voto particular.</w:t>
      </w:r>
    </w:p>
    <w:p w14:paraId="3D5FB738" w14:textId="1C04C0C1" w:rsidR="008D479B" w:rsidRDefault="008D479B" w:rsidP="008D479B">
      <w:pPr>
        <w:pStyle w:val="SntesisAnaltica"/>
      </w:pPr>
    </w:p>
    <w:p w14:paraId="7F9122D8" w14:textId="6469C73B" w:rsidR="008D479B" w:rsidRDefault="008D479B" w:rsidP="008D479B">
      <w:pPr>
        <w:pStyle w:val="Extracto"/>
      </w:pPr>
      <w:r>
        <w:t>1.</w:t>
      </w:r>
      <w:r>
        <w:tab/>
        <w:t xml:space="preserve">El derecho de los parlamentarios a obtener información, regulado por el artículo 7 RCD, se integra en el núcleo de la función representativa parlamentaria, configurándose como un derecho individual de los diputados cuyo ejercicio queda condicionado a su admisión por la mesa y a su tramitación </w:t>
      </w:r>
      <w:r w:rsidRPr="008D479B">
        <w:rPr>
          <w:i/>
        </w:rPr>
        <w:t xml:space="preserve">ad extra </w:t>
      </w:r>
      <w:r>
        <w:t>a través del presidente de la Cámara (STC 57/2011) [FJ 3].</w:t>
      </w:r>
    </w:p>
    <w:p w14:paraId="1589B4D3" w14:textId="77777777" w:rsidR="008D479B" w:rsidRDefault="008D479B" w:rsidP="008D479B">
      <w:pPr>
        <w:pStyle w:val="Extracto"/>
      </w:pPr>
    </w:p>
    <w:p w14:paraId="6E7394FC" w14:textId="036F98AD" w:rsidR="008D479B" w:rsidRDefault="008D479B" w:rsidP="008D479B">
      <w:pPr>
        <w:pStyle w:val="Extracto"/>
      </w:pPr>
      <w:r>
        <w:t>2.</w:t>
      </w:r>
      <w:r>
        <w:tab/>
        <w:t xml:space="preserve">Un acto inserto en un procedimiento que no está legalmente o reglamentariamente previsto, difícilmente puede contravenir un estatuto jurídico de los parlamentarios que se configura con arreglo a lo dispuesto en las leyes (art. 23.2 CE), esto es, según la regulación jurídica que la propia Cámara aprueba en el ejercicio de su facultad de autonormación constitucionalmente reconocida. Así, la propia naturaleza de este acuerdo dificulta que pueda resultar lesivo para el “núcleo duro” del </w:t>
      </w:r>
      <w:r w:rsidRPr="008D479B">
        <w:rPr>
          <w:i/>
        </w:rPr>
        <w:t xml:space="preserve">ius in officium </w:t>
      </w:r>
      <w:r>
        <w:t>de los parlamentarios [FJ 4].</w:t>
      </w:r>
    </w:p>
    <w:p w14:paraId="3122408D" w14:textId="77777777" w:rsidR="008D479B" w:rsidRDefault="008D479B" w:rsidP="008D479B">
      <w:pPr>
        <w:pStyle w:val="Extracto"/>
      </w:pPr>
    </w:p>
    <w:p w14:paraId="1C60C26C" w14:textId="69153F0E" w:rsidR="008D479B" w:rsidRDefault="008D479B" w:rsidP="008D479B">
      <w:pPr>
        <w:pStyle w:val="Extracto"/>
      </w:pPr>
      <w:r>
        <w:t>3.</w:t>
      </w:r>
      <w:r>
        <w:tab/>
        <w:t>Frente a la respuesta denegatoria, por parte del Ministerio de Justicia y de la Presidencia del Gobierno, a la solicitud de informes y documentos que integran expedientes de indulto a personas condenadas y beneficiadas por dicha medida de gracia, la Presidencia de la Cámara no es un órgano jurisdiccional que pueda otorgar amparos o fiscalizar la actuación del Gobierno; tampoco está legitimada para asegurar la efectiva satisfacción de un derecho pretendidamente vulnerado, ni restablecer el supuesto perjuicio provocado [FJ 4].</w:t>
      </w:r>
    </w:p>
    <w:p w14:paraId="5D7EAB72" w14:textId="77777777" w:rsidR="008D479B" w:rsidRDefault="008D479B" w:rsidP="008D479B">
      <w:pPr>
        <w:pStyle w:val="Extracto"/>
      </w:pPr>
    </w:p>
    <w:p w14:paraId="68296506" w14:textId="77777777" w:rsidR="008D479B" w:rsidRDefault="008D479B" w:rsidP="008D479B">
      <w:pPr>
        <w:pStyle w:val="Extracto"/>
      </w:pPr>
    </w:p>
    <w:p w14:paraId="753BBCE6" w14:textId="77777777" w:rsidR="008D479B" w:rsidRDefault="008D479B" w:rsidP="008D479B">
      <w:pPr>
        <w:pStyle w:val="TextoNormal"/>
      </w:pPr>
      <w: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y doña Laura Díez Bueso, ha pronunciado</w:t>
      </w:r>
    </w:p>
    <w:p w14:paraId="310FEB47" w14:textId="070F68FF" w:rsidR="008D479B" w:rsidRDefault="008D479B" w:rsidP="008D479B">
      <w:pPr>
        <w:pStyle w:val="TextoNormal"/>
      </w:pPr>
    </w:p>
    <w:p w14:paraId="69EA95FD" w14:textId="77777777" w:rsidR="008D479B" w:rsidRDefault="008D479B" w:rsidP="008D479B">
      <w:pPr>
        <w:pStyle w:val="TextoNormalCentrado"/>
        <w:keepNext/>
      </w:pPr>
      <w:r>
        <w:t>EN NOMBRE DEL REY</w:t>
      </w:r>
    </w:p>
    <w:p w14:paraId="7BE05C70" w14:textId="69472886" w:rsidR="008D479B" w:rsidRDefault="008D479B" w:rsidP="008D479B">
      <w:pPr>
        <w:pStyle w:val="TextoNormalCentrado"/>
        <w:keepNext/>
      </w:pPr>
    </w:p>
    <w:p w14:paraId="0A2C8662" w14:textId="77777777" w:rsidR="008D479B" w:rsidRDefault="008D479B" w:rsidP="008D479B">
      <w:pPr>
        <w:pStyle w:val="TextoNormalCentrado"/>
        <w:keepNext/>
      </w:pPr>
    </w:p>
    <w:p w14:paraId="26258929" w14:textId="77777777" w:rsidR="008D479B" w:rsidRDefault="008D479B" w:rsidP="008D479B">
      <w:pPr>
        <w:pStyle w:val="TextoNormal"/>
      </w:pPr>
      <w:r>
        <w:t>la siguiente</w:t>
      </w:r>
    </w:p>
    <w:p w14:paraId="0128EC1C" w14:textId="19F6A506" w:rsidR="008D479B" w:rsidRDefault="008D479B" w:rsidP="008D479B">
      <w:pPr>
        <w:pStyle w:val="TextoNormal"/>
      </w:pPr>
    </w:p>
    <w:p w14:paraId="1B247D96" w14:textId="77777777" w:rsidR="008D479B" w:rsidRDefault="008D479B" w:rsidP="008D479B">
      <w:pPr>
        <w:pStyle w:val="TextoNormalCentrado"/>
        <w:keepNext/>
      </w:pPr>
      <w:r>
        <w:t>SENTENCIA</w:t>
      </w:r>
    </w:p>
    <w:p w14:paraId="7E755D98" w14:textId="77949BA8" w:rsidR="008D479B" w:rsidRDefault="008D479B" w:rsidP="008D479B">
      <w:pPr>
        <w:pStyle w:val="TextoNormalCentrado"/>
        <w:keepNext/>
      </w:pPr>
    </w:p>
    <w:p w14:paraId="3F435B71" w14:textId="77777777" w:rsidR="008D479B" w:rsidRDefault="008D479B" w:rsidP="008D479B">
      <w:pPr>
        <w:pStyle w:val="TextoNormal"/>
      </w:pPr>
      <w:r>
        <w:t>En el recurso de amparo núm. 7813-2021, promovido por doña Concepción Gamarra Ruiz-Clavijo, don Guillermo Mariscal Anaya, doña Isabel María Borrego Cortés y don Carlos Rojas García, diputados del Grupo Parlamentario Popular en el Congreso de los Diputados, y don Jaime Eduardo de Olano Vela, diputado y abogado, en su condición de comisionado; todos ellos representados por el procurador de los tribunales don Manuel Sánchez-Puelles y González-Carvajal, contra el acuerdo de la presidenta del Congreso de los Diputados de 13 de septiembre de 2021. Han intervenido el Congreso de los Diputados y el Ministerio Fiscal. Ha sido ponente el magistrado don Ricardo Enríquez Sancho.</w:t>
      </w:r>
    </w:p>
    <w:p w14:paraId="37355487" w14:textId="5273CB19" w:rsidR="008D479B" w:rsidRDefault="008D479B" w:rsidP="008D479B">
      <w:pPr>
        <w:pStyle w:val="TextoNormal"/>
      </w:pPr>
    </w:p>
    <w:p w14:paraId="6741A58D" w14:textId="77777777" w:rsidR="008D479B" w:rsidRDefault="008D479B" w:rsidP="008D479B">
      <w:pPr>
        <w:pStyle w:val="TextoNormalNegritaCentrado"/>
        <w:keepNext/>
      </w:pPr>
      <w:r>
        <w:t>I. Antecedentes</w:t>
      </w:r>
    </w:p>
    <w:p w14:paraId="29B694B7" w14:textId="5C73F317" w:rsidR="008D479B" w:rsidRDefault="008D479B" w:rsidP="008D479B">
      <w:pPr>
        <w:pStyle w:val="TextoNormalNegritaCentrado"/>
        <w:keepNext/>
      </w:pPr>
    </w:p>
    <w:p w14:paraId="557EC24F" w14:textId="77777777" w:rsidR="008D479B" w:rsidRDefault="008D479B" w:rsidP="008D479B">
      <w:pPr>
        <w:pStyle w:val="TextoNormal"/>
      </w:pPr>
      <w:r w:rsidRPr="008D479B">
        <w:rPr>
          <w:rStyle w:val="NumeroAFNegritaCaracter"/>
        </w:rPr>
        <w:t>1</w:t>
      </w:r>
      <w:r>
        <w:t>. Mediante escrito registrado en este tribunal el día 9 de diciembre de 2021, el procurador de los tribunales, don Manuel Sánchez-Puelles y González-Carvajal, en nombre y representación de doña Concepción Gamarra Ruiz-Clavijo, don Guillermo Mariscal Anaya, doña Isabel María Borrego Cortés y don Carlos Rojas García, diputados del Grupo Parlamentario Popular en el Congreso de los Diputados, y don Jaime Eduardo de Olano Vela, diputado y abogado, en su condición de comisionado, interpuso recurso de amparo contra el acuerdo de la presidenta del Congreso de los Diputados de 13 de septiembre de 2021 por el que, según la demanda, “se rechaza ofrecer amparo a los diputados del Grupo Parlamentario Popular, conforme a lo solicitado por los mismos mediante escrito de 10 de septiembre de 2021, en la obtención de informes y documentos solicitados al Gobierno, en el ejercicio de su función representativa, en fecha de 23 de junio de 2021, y en particular ante la denegación por el Gobierno del acceso a la referida información, relativa en concreto a ‘[t]odos los informes y documentos que integran los expedientes de indulto correspondientes a los nueve presos condenados en el juicio del procés que han sido beneficiados por la concesión de los correspondientes indultos en el Consejo de Ministros de 22 de junio de 2021’”.</w:t>
      </w:r>
    </w:p>
    <w:p w14:paraId="1016AC06" w14:textId="77777777" w:rsidR="008D479B" w:rsidRDefault="008D479B" w:rsidP="008D479B">
      <w:pPr>
        <w:pStyle w:val="TextoNormal"/>
      </w:pPr>
    </w:p>
    <w:p w14:paraId="5644B5EC" w14:textId="6967595B" w:rsidR="008D479B" w:rsidRDefault="008D479B" w:rsidP="008D479B">
      <w:pPr>
        <w:pStyle w:val="TextoNormal"/>
      </w:pPr>
      <w:r>
        <w:t>Al recurso se acompañan escritura de poder general para pleitos; certificación del secretario general del Congreso de los Diputados acreditativa de la condición actual de diputados del Grupo Parlamentario Popular de los recurrentes; declaración de voluntad, apoderamiento y firmas al efecto de los diputados y diputadas para la interposición del recurso de amparo ante el comisionado, don Jaime Eduardo de Olano Vela; y el acuerdo impugnado, de la presidenta del Congreso de los Diputados de 13 de septiembre de 2021, con sus antecedentes: solicitud de informes-documentos al Gobierno, presentada por los recurrentes a través de la Presidencia del Congreso de los Diputados el 23 de junio de 2021; respuesta del Gobierno, de 2 de septiembre de 2021; escrito de amparo de los recurrentes ante la Presidencia del Congreso, de 10 de septiembre; y escrito de la presidenta del Congreso al ministro de la Presidencia, Relaciones con las Cortes y Memoria Democrática.</w:t>
      </w:r>
    </w:p>
    <w:p w14:paraId="596926B5" w14:textId="77777777" w:rsidR="008D479B" w:rsidRDefault="008D479B" w:rsidP="008D479B">
      <w:pPr>
        <w:pStyle w:val="TextoNormal"/>
      </w:pPr>
    </w:p>
    <w:p w14:paraId="23458BB6" w14:textId="77777777" w:rsidR="008D479B" w:rsidRDefault="008D479B" w:rsidP="008D479B">
      <w:pPr>
        <w:pStyle w:val="TextoNormal"/>
      </w:pPr>
      <w:r w:rsidRPr="008D479B">
        <w:rPr>
          <w:rStyle w:val="NumeroAFNegritaCaracter"/>
        </w:rPr>
        <w:t>2</w:t>
      </w:r>
      <w:r>
        <w:t>. Sucintamente expuestos, los hechos en que se basa la pretensión de amparo son los siguientes:</w:t>
      </w:r>
    </w:p>
    <w:p w14:paraId="26176E0C" w14:textId="77777777" w:rsidR="008D479B" w:rsidRDefault="008D479B" w:rsidP="008D479B">
      <w:pPr>
        <w:pStyle w:val="TextoNormal"/>
      </w:pPr>
    </w:p>
    <w:p w14:paraId="7C83B967" w14:textId="77777777" w:rsidR="008D479B" w:rsidRDefault="008D479B" w:rsidP="008D479B">
      <w:pPr>
        <w:pStyle w:val="TextoNormal"/>
      </w:pPr>
      <w:r>
        <w:t>a) El 23 de junio de 2021, los diputados ahora recurrentes en amparo solicitaron al Ministerio de Justicia y a la Presidencia del Gobierno, “para el mejor cumplimiento de sus funciones parlamentarias” y “al amparo de lo establecido en el artículo 7 del Reglamento” del Congreso de los Diputados (en adelante, RCD), “[t]odos los informes y documentos que integran los expedientes de indulto correspondientes a los nueve presos condenados en el juicio del procés, que han sido beneficiados por la concesión de los correspondientes indultos en el Consejo de Ministros de 22 de junio de 2021”.</w:t>
      </w:r>
    </w:p>
    <w:p w14:paraId="373376AA" w14:textId="77777777" w:rsidR="008D479B" w:rsidRDefault="008D479B" w:rsidP="008D479B">
      <w:pPr>
        <w:pStyle w:val="TextoNormal"/>
      </w:pPr>
    </w:p>
    <w:p w14:paraId="33C17FD4" w14:textId="77777777" w:rsidR="008D479B" w:rsidRDefault="008D479B" w:rsidP="008D479B">
      <w:pPr>
        <w:pStyle w:val="TextoNormal"/>
      </w:pPr>
      <w:r>
        <w:t>b) El Gobierno respondió a dicha solicitud el 2 de septiembre de 2021, en los siguientes términos:</w:t>
      </w:r>
    </w:p>
    <w:p w14:paraId="56FA1214" w14:textId="77777777" w:rsidR="008D479B" w:rsidRDefault="008D479B" w:rsidP="008D479B">
      <w:pPr>
        <w:pStyle w:val="TextoNormal"/>
      </w:pPr>
    </w:p>
    <w:p w14:paraId="17232FAA" w14:textId="77777777" w:rsidR="008D479B" w:rsidRDefault="008D479B" w:rsidP="008D479B">
      <w:pPr>
        <w:pStyle w:val="TextoNormal"/>
      </w:pPr>
      <w:r>
        <w:t>“En relación con la petición de información realizada, en virtud del artículo 7 del Reglamento del Congreso de los Diputados, se informa de que no es posible dar acceso a los expedientes solicitados, dado que los mismos contienen circunstancias personales, familiares y sociales, así como datos de ilícitos penales que no se pueden divulgar sin contar con el consentimiento expreso del afectado (art. 15.1 segundo párrafo Ley 19/2013 y art. 10.1 de la Ley Orgánica 3/2018, de 5 de diciembre, de protección de datos personales y garantía de los derechos digitales), o bien transcurridos los plazos establecidos en el artículo 57 de la Ley 16/1985, de 25 de junio, del patrimonio histórico español)”.</w:t>
      </w:r>
    </w:p>
    <w:p w14:paraId="5A8471FB" w14:textId="77777777" w:rsidR="008D479B" w:rsidRDefault="008D479B" w:rsidP="008D479B">
      <w:pPr>
        <w:pStyle w:val="TextoNormal"/>
      </w:pPr>
    </w:p>
    <w:p w14:paraId="2788B3D1" w14:textId="77777777" w:rsidR="008D479B" w:rsidRDefault="008D479B" w:rsidP="008D479B">
      <w:pPr>
        <w:pStyle w:val="TextoNormal"/>
      </w:pPr>
      <w:r>
        <w:t>c) El 10 de septiembre de 2021, los diputados recurrentes en amparo dirigieron a la mesa del Congreso de los Diputados un escrito solicitando:</w:t>
      </w:r>
    </w:p>
    <w:p w14:paraId="07593153" w14:textId="77777777" w:rsidR="008D479B" w:rsidRDefault="008D479B" w:rsidP="008D479B">
      <w:pPr>
        <w:pStyle w:val="TextoNormal"/>
      </w:pPr>
    </w:p>
    <w:p w14:paraId="0FFF6E5F" w14:textId="77777777" w:rsidR="008D479B" w:rsidRDefault="008D479B" w:rsidP="008D479B">
      <w:pPr>
        <w:pStyle w:val="TextoNormal"/>
      </w:pPr>
      <w:r>
        <w:t>“El amparo de la presidenta del Congreso para que se dirija al Gobierno, instándole a responder completamente a la solicitud de todos los informes y documentos que integran los expedientes de indulto correspondientes a los nueve presos condenados en el juicio del procés, que han sido beneficiados por la concesión de los correspondientes indultos en el Consejo de Ministros de 22 de junio de 2021”.</w:t>
      </w:r>
    </w:p>
    <w:p w14:paraId="27DA3C5D" w14:textId="77777777" w:rsidR="008D479B" w:rsidRDefault="008D479B" w:rsidP="008D479B">
      <w:pPr>
        <w:pStyle w:val="TextoNormal"/>
      </w:pPr>
    </w:p>
    <w:p w14:paraId="4D9B3A61" w14:textId="77777777" w:rsidR="008D479B" w:rsidRDefault="008D479B" w:rsidP="008D479B">
      <w:pPr>
        <w:pStyle w:val="TextoNormal"/>
      </w:pPr>
      <w:r>
        <w:t>d) Mediante escrito de 13 de septiembre de 2021, objeto del presente recurso de amparo, la presidenta del Congreso de los Diputados contestó a dicha solicitud manifestando lo siguiente:</w:t>
      </w:r>
    </w:p>
    <w:p w14:paraId="56724EE4" w14:textId="77777777" w:rsidR="008D479B" w:rsidRDefault="008D479B" w:rsidP="008D479B">
      <w:pPr>
        <w:pStyle w:val="TextoNormal"/>
      </w:pPr>
    </w:p>
    <w:p w14:paraId="779DBC09" w14:textId="77777777" w:rsidR="008D479B" w:rsidRDefault="008D479B" w:rsidP="008D479B">
      <w:pPr>
        <w:pStyle w:val="TextoNormal"/>
      </w:pPr>
      <w:r>
        <w:t>“No se trata en este caso de que el Gobierno no haya enviado su contestación en el plazo reglamentariamente establecido al efecto, sino de un supuesto distinto en el que manifiesta su disconformidad o insatisfacción con la contestación remitida por el Gobierno, por entenderla insuficiente o inadecuada, lo que conlleva una valoración que [a] esta Presidencia no corresponde realizar más allá de un examen liminar que permita constatar que por el Gobierno se ha dado respuesta a la iniciativa presentada.</w:t>
      </w:r>
    </w:p>
    <w:p w14:paraId="2F36527D" w14:textId="77777777" w:rsidR="008D479B" w:rsidRDefault="008D479B" w:rsidP="008D479B">
      <w:pPr>
        <w:pStyle w:val="TextoNormal"/>
      </w:pPr>
    </w:p>
    <w:p w14:paraId="6C43A4CA" w14:textId="77777777" w:rsidR="008D479B" w:rsidRDefault="008D479B" w:rsidP="008D479B">
      <w:pPr>
        <w:pStyle w:val="TextoNormal"/>
      </w:pPr>
      <w:r>
        <w:t>Realizado dicho examen liminar, no considera esta Presidencia que el Gobierno haya dejado sin contestación su solicitud de informe sino que, al amparo de lo dispuesto en el artículo 7 del Reglamento, aquel manifiesta las razones fundadas en Derecho que impiden facilitar la información solicitada, sin perjuicio de la valoración que el contenido de la respuesta le merezca como destinataria de la misma.</w:t>
      </w:r>
    </w:p>
    <w:p w14:paraId="302165A8" w14:textId="77777777" w:rsidR="008D479B" w:rsidRDefault="008D479B" w:rsidP="008D479B">
      <w:pPr>
        <w:pStyle w:val="TextoNormal"/>
      </w:pPr>
    </w:p>
    <w:p w14:paraId="52C8EFC4" w14:textId="77777777" w:rsidR="008D479B" w:rsidRDefault="008D479B" w:rsidP="008D479B">
      <w:pPr>
        <w:pStyle w:val="TextoNormal"/>
      </w:pPr>
      <w:r>
        <w:t>Ello no obstante, adjunto le remito copia del escrito que con esta misma fecha he trasladado al ministro de la Presidencia, Relaciones con las Cortes y Memoria Democrática, a los efectos oportunos, al tiempo que me permito señalar a su señoría la posibilidad reglamentaria de solicitar del Gobierno una aclaración o de plantear nuevas iniciativas para su contestación.</w:t>
      </w:r>
    </w:p>
    <w:p w14:paraId="695399AC" w14:textId="77777777" w:rsidR="008D479B" w:rsidRDefault="008D479B" w:rsidP="008D479B">
      <w:pPr>
        <w:pStyle w:val="TextoNormal"/>
      </w:pPr>
    </w:p>
    <w:p w14:paraId="552A760F" w14:textId="77777777" w:rsidR="008D479B" w:rsidRDefault="008D479B" w:rsidP="008D479B">
      <w:pPr>
        <w:pStyle w:val="TextoNormal"/>
      </w:pPr>
      <w:r>
        <w:t>En todo caso, si su señoría optase por alguna de las opciones que le señalo, le ruego me mantenga informado sobre cualquier circunstancia que se produjera en relación con las iniciativas que VE plantee”.</w:t>
      </w:r>
    </w:p>
    <w:p w14:paraId="7025F363" w14:textId="77777777" w:rsidR="008D479B" w:rsidRDefault="008D479B" w:rsidP="008D479B">
      <w:pPr>
        <w:pStyle w:val="TextoNormal"/>
      </w:pPr>
    </w:p>
    <w:p w14:paraId="72A0098A" w14:textId="77777777" w:rsidR="008D479B" w:rsidRDefault="008D479B" w:rsidP="008D479B">
      <w:pPr>
        <w:pStyle w:val="TextoNormal"/>
      </w:pPr>
    </w:p>
    <w:p w14:paraId="48BB3029" w14:textId="77777777" w:rsidR="008D479B" w:rsidRDefault="008D479B" w:rsidP="008D479B">
      <w:pPr>
        <w:pStyle w:val="TextoNormal"/>
      </w:pPr>
      <w:r>
        <w:t>e) La presidenta del Congreso de los Diputados, como había indicado en el documento anterior, remite en la misma fecha otro escrito al ministro de la Presidencia, Relaciones con las Cortes y Memoria Democrática, comunicándole que los diputados, ahora recurrentes, han solicitado amparo de la Presidencia del Congreso ante la contestación remitida por el Gobierno a la anterior solicitud; y señalando, en términos parecidos a los dirigidos a los diputados, que:</w:t>
      </w:r>
    </w:p>
    <w:p w14:paraId="5F34BF17" w14:textId="77777777" w:rsidR="008D479B" w:rsidRDefault="008D479B" w:rsidP="008D479B">
      <w:pPr>
        <w:pStyle w:val="TextoNormal"/>
      </w:pPr>
    </w:p>
    <w:p w14:paraId="0FB90F1A" w14:textId="77777777" w:rsidR="008D479B" w:rsidRDefault="008D479B" w:rsidP="008D479B">
      <w:pPr>
        <w:pStyle w:val="TextoNormal"/>
      </w:pPr>
      <w:r>
        <w:t>“No se trata en este caso de que el Gobierno no haya enviado su contestación en el plazo reglamentariamente establecido, sino de un supuesto distinto en el que los diputados manifiestan su disconformidad o insatisfacción con la información remitida por el Gobierno, por entenderla insuficiente o inadecuada, lo que conlleva una valoración que a esta Presidencia no corresponde realizar más allá de un examen liminar que permita constatar que por el Gobierno se ha dado respuesta a la iniciativa presentada, manifestando, al amparo de lo dispuesto en el artículo 7 del Reglamento, las razones fundadas en Derecho que impiden facilitar la información solicitada.</w:t>
      </w:r>
    </w:p>
    <w:p w14:paraId="10102F72" w14:textId="77777777" w:rsidR="008D479B" w:rsidRDefault="008D479B" w:rsidP="008D479B">
      <w:pPr>
        <w:pStyle w:val="TextoNormal"/>
      </w:pPr>
    </w:p>
    <w:p w14:paraId="16CB9D6D" w14:textId="00385597" w:rsidR="008D479B" w:rsidRDefault="008D479B" w:rsidP="008D479B">
      <w:pPr>
        <w:pStyle w:val="TextoNormal"/>
      </w:pPr>
      <w:r>
        <w:t>Ello no obstante, y ante las consideraciones que formulan los señores diputados en su escrito, le traslado el mismo a los efectos oportunos, con el ruego de que traslade a esta Presidencia las consideraciones que, en su caso, estime pertinentes”.</w:t>
      </w:r>
    </w:p>
    <w:p w14:paraId="657F373D" w14:textId="77777777" w:rsidR="008D479B" w:rsidRDefault="008D479B" w:rsidP="008D479B">
      <w:pPr>
        <w:pStyle w:val="TextoNormal"/>
      </w:pPr>
    </w:p>
    <w:p w14:paraId="1B2DDAE9" w14:textId="77777777" w:rsidR="008D479B" w:rsidRDefault="008D479B" w:rsidP="008D479B">
      <w:pPr>
        <w:pStyle w:val="TextoNormal"/>
      </w:pPr>
      <w:r w:rsidRPr="008D479B">
        <w:rPr>
          <w:rStyle w:val="NumeroAFNegritaCaracter"/>
        </w:rPr>
        <w:t>3</w:t>
      </w:r>
      <w:r>
        <w:t xml:space="preserve">. La demanda de amparo alega, como motivo único, la vulneración del derecho fundamental al ejercicio del cargo representativo conforme a la ley (art. 23.2 CE). A tal efecto, expone la doctrina sobre el art. 23.2 CE, subrayando que el ejercicio de la función de control al Gobierno forma parte del núcleo del </w:t>
      </w:r>
      <w:r w:rsidRPr="008D479B">
        <w:rPr>
          <w:i/>
        </w:rPr>
        <w:t>ius in officium</w:t>
      </w:r>
      <w:r>
        <w:t xml:space="preserve"> (STC 208/2003, de 1 de diciembre), y argumenta que la decisión cuestionada no ampara a los recurrentes en el ejercicio de su derecho de solicitar documentación al Gobierno, vulnerando este derecho por las siguientes razones:</w:t>
      </w:r>
    </w:p>
    <w:p w14:paraId="648A5E02" w14:textId="77777777" w:rsidR="008D479B" w:rsidRDefault="008D479B" w:rsidP="008D479B">
      <w:pPr>
        <w:pStyle w:val="TextoNormal"/>
      </w:pPr>
    </w:p>
    <w:p w14:paraId="1FE72233" w14:textId="77777777" w:rsidR="008D479B" w:rsidRDefault="008D479B" w:rsidP="008D479B">
      <w:pPr>
        <w:pStyle w:val="TextoNormal"/>
      </w:pPr>
      <w:r>
        <w:t>A) En primer lugar, el acuerdo incumple los términos en los que se reconoce a los parlamentarios el derecho a contar con la información y documentación que el Gobierno les niega.</w:t>
      </w:r>
    </w:p>
    <w:p w14:paraId="06CC6E41" w14:textId="77777777" w:rsidR="008D479B" w:rsidRDefault="008D479B" w:rsidP="008D479B">
      <w:pPr>
        <w:pStyle w:val="TextoNormal"/>
      </w:pPr>
    </w:p>
    <w:p w14:paraId="3D5BC7F0" w14:textId="77777777" w:rsidR="008D479B" w:rsidRDefault="008D479B" w:rsidP="008D479B">
      <w:pPr>
        <w:pStyle w:val="TextoNormal"/>
      </w:pPr>
      <w:r>
        <w:t>El derecho fundamental que consagra el art. 23.2 CE es un derecho de configuración legal (entre otras, STC 17/2019, de 11 de febrero). Se aduce que, en el presente caso, el acuerdo recurrido renuncia a amparar a los diputados en su ejercicio de la función de control de la acción de gobierno de conformidad con el ordenamiento jurídico, sin requerir del Gobierno la oportuna aportación de los informes y documentos esenciales para dicha función. Según la demanda, la denegación por el Gobierno de la documentación requerida se fundamenta en razones arbitrarias y la actuación de la presidenta también carece de fundamentación, lo que contraviene, a su juicio, la doctrina del Tribunal Constitucional (STC 181/1989, de 3 de noviembre, FJ 3, y 203/2001, de 15 de octubre, FJ 4).</w:t>
      </w:r>
    </w:p>
    <w:p w14:paraId="20434751" w14:textId="77777777" w:rsidR="008D479B" w:rsidRDefault="008D479B" w:rsidP="008D479B">
      <w:pPr>
        <w:pStyle w:val="TextoNormal"/>
      </w:pPr>
    </w:p>
    <w:p w14:paraId="6666B763" w14:textId="77777777" w:rsidR="008D479B" w:rsidRDefault="008D479B" w:rsidP="008D479B">
      <w:pPr>
        <w:pStyle w:val="TextoNormal"/>
      </w:pPr>
      <w:r>
        <w:t>La demanda expone que tanto el art. 109 CE como los arts. 7 y 44.1 RCD reconocen el derecho de los diputados a disponer de documentación, “que debe ser recabada al efecto por la Presidencia del Congreso mediante los oportunos requerimientos al Gobierno”.</w:t>
      </w:r>
    </w:p>
    <w:p w14:paraId="57C3922D" w14:textId="77777777" w:rsidR="008D479B" w:rsidRDefault="008D479B" w:rsidP="008D479B">
      <w:pPr>
        <w:pStyle w:val="TextoNormal"/>
      </w:pPr>
    </w:p>
    <w:p w14:paraId="198E3CFB" w14:textId="77777777" w:rsidR="008D479B" w:rsidRDefault="008D479B" w:rsidP="008D479B">
      <w:pPr>
        <w:pStyle w:val="TextoNormal"/>
      </w:pPr>
      <w:r>
        <w:t xml:space="preserve">Explica que la vulneración del art. 23.2 CE se produjo inicialmente por el Gobierno al no remitir la documentación relevante, incumpliendo flagrantemente lo establecido en el art. 7 RCD y en el art. 109 CE al amparo de los que podrán recabar “la información y ayuda que precisen del Gobierno y de sus Departamentos”, habiendo interpretado el Tribunal Constitucional que “el derecho </w:t>
      </w:r>
      <w:r w:rsidRPr="008D479B">
        <w:rPr>
          <w:i/>
        </w:rPr>
        <w:t>ex</w:t>
      </w:r>
      <w:r>
        <w:t xml:space="preserve"> art. 23.2 comprende tanto el de solicitar una determinada información de las administraciones públicas como el de obtenerla” (STC 203/2001). Sin embargo, es la decisión de la presidenta de la Cámara objeto del presente recurso la que profundiza y sostiene dicha vulneración inicial del derecho de los recurrentes producida por el Gobierno.</w:t>
      </w:r>
    </w:p>
    <w:p w14:paraId="4BEFE970" w14:textId="77777777" w:rsidR="008D479B" w:rsidRDefault="008D479B" w:rsidP="008D479B">
      <w:pPr>
        <w:pStyle w:val="TextoNormal"/>
      </w:pPr>
    </w:p>
    <w:p w14:paraId="1CA93CC2" w14:textId="77777777" w:rsidR="008D479B" w:rsidRDefault="008D479B" w:rsidP="008D479B">
      <w:pPr>
        <w:pStyle w:val="TextoNormal"/>
      </w:pPr>
      <w:r>
        <w:t>El escrito cita, además, la jurisprudencia del Tribunal Supremo que, en su sentencia núm. 210/2016, de 5 de abril, afirma: “[q]ue la sociedad pueda estar adecuadamente informada sobre los indultos otorgados por el Gobierno a personas condenadas por sentencia firme, la identidad de esas personas y los delitos que habían cometido, responde a un interés público, enlazado con el derecho a la libertad de información y al control de los poderes públicos propio de las sociedades democráticas”, lo que en aquel caso justificaba “el tratamiento inicial de los datos que supone indexar las páginas web donde tales indultos son publicados y mostrarlos en la página de resultados de un buscador generalista de Internet”.</w:t>
      </w:r>
    </w:p>
    <w:p w14:paraId="6665A5AB" w14:textId="77777777" w:rsidR="008D479B" w:rsidRDefault="008D479B" w:rsidP="008D479B">
      <w:pPr>
        <w:pStyle w:val="TextoNormal"/>
      </w:pPr>
    </w:p>
    <w:p w14:paraId="239F87B8" w14:textId="77777777" w:rsidR="008D479B" w:rsidRDefault="008D479B" w:rsidP="008D479B">
      <w:pPr>
        <w:pStyle w:val="TextoNormal"/>
      </w:pPr>
      <w:r>
        <w:t>A continuación, el recurso analiza la motivación de la negativa gubernamental a remitir la información solicitada por los recurrentes en amparo, asumida a su juicio por la presidenta de la Cámara, señalando que:</w:t>
      </w:r>
    </w:p>
    <w:p w14:paraId="6F013ACE" w14:textId="77777777" w:rsidR="008D479B" w:rsidRDefault="008D479B" w:rsidP="008D479B">
      <w:pPr>
        <w:pStyle w:val="TextoNormal"/>
      </w:pPr>
    </w:p>
    <w:p w14:paraId="1FD88BAD" w14:textId="77777777" w:rsidR="008D479B" w:rsidRDefault="008D479B" w:rsidP="008D479B">
      <w:pPr>
        <w:pStyle w:val="TextoNormal"/>
      </w:pPr>
      <w:r>
        <w:t>a) El Gobierno centra su negativa en el carácter personal de los datos, así como en la necesidad de consentimiento expreso del afectado, sin que conste, en ningún caso, que haya sido solicitado al o a los afectados el consentimiento expreso al que alude para negar dicha información. Ello desconoce la jurisprudencia del Tribunal Supremo al respecto “con el fin de despachar sin mayor esfuerzo argumentativo la solicitud realizada”, y desemboca en una motivación manifiestamente pobre y que no satisface las exigencias expuestas en aras de garantizar el correcto ejercicio de la función parlamentaria.</w:t>
      </w:r>
    </w:p>
    <w:p w14:paraId="4B0C47BA" w14:textId="77777777" w:rsidR="008D479B" w:rsidRDefault="008D479B" w:rsidP="008D479B">
      <w:pPr>
        <w:pStyle w:val="TextoNormal"/>
      </w:pPr>
    </w:p>
    <w:p w14:paraId="40E06A1B" w14:textId="77777777" w:rsidR="008D479B" w:rsidRDefault="008D479B" w:rsidP="008D479B">
      <w:pPr>
        <w:pStyle w:val="TextoNormal"/>
      </w:pPr>
      <w:r>
        <w:t>b) Por otra parte, la respuesta del Gobierno alude a las circunstancias “personales, familiares y sociales” que pueden contenerse en los informes y documentos integrantes del expediente. Aspectos que, explica la demanda, no son del interés de los recurrentes, que pretenden conocer las razones por las cuales el Gobierno ha considerado merecedores del indulto a sus beneficiarios. Por lo demás, se obvia la posibilidad, si fuera necesario, de recabar el consentimiento de los sujetos afectados o, en su defecto, de procurar la “supresión de los datos de identificación para asegurar en todo momento la protección del honor e intimidad personal y familiar”, como preveía ya un acuerdo del Pleno del Consejo General del Poder Judicial de 18 de junio de 1997.</w:t>
      </w:r>
    </w:p>
    <w:p w14:paraId="24607823" w14:textId="77777777" w:rsidR="008D479B" w:rsidRDefault="008D479B" w:rsidP="008D479B">
      <w:pPr>
        <w:pStyle w:val="TextoNormal"/>
      </w:pPr>
    </w:p>
    <w:p w14:paraId="3E6A46E4" w14:textId="77777777" w:rsidR="008D479B" w:rsidRDefault="008D479B" w:rsidP="008D479B">
      <w:pPr>
        <w:pStyle w:val="TextoNormal"/>
      </w:pPr>
      <w:r>
        <w:t>c) Además, sostiene la demanda, aunque la documentación requerida no se encuentra protegida por la Ley Orgánica de protección de datos de carácter personal, como afirma el Gobierno, la importancia de la función parlamentaria es tal que, incluso si pudiese incluirse en la categoría de los secretos oficiales, la Ley 9/1968, de 5 de abril, que los regula dispone que “[l]a declaración de ‘materias clasificadas’ no afectará al Congreso de los Diputados ni al Senado, que tendrán siempre acceso a cuanta información reclamen, en la forma que determinen los respectivos Reglamentos y, en su caso, en sesiones secretas” (art. 10.2), llevándose la entrega de dicha información conforme a lo estipulado por la resolución de la Presidencia del Congreso de los Diputados de 11 de mayo de 2004.</w:t>
      </w:r>
    </w:p>
    <w:p w14:paraId="27C0D27C" w14:textId="77777777" w:rsidR="008D479B" w:rsidRDefault="008D479B" w:rsidP="008D479B">
      <w:pPr>
        <w:pStyle w:val="TextoNormal"/>
      </w:pPr>
    </w:p>
    <w:p w14:paraId="747F4BDE" w14:textId="77777777" w:rsidR="008D479B" w:rsidRDefault="008D479B" w:rsidP="008D479B">
      <w:pPr>
        <w:pStyle w:val="TextoNormal"/>
      </w:pPr>
      <w:r>
        <w:t xml:space="preserve">Para la demanda, en suma, la vulneración del derecho al ejercicio de la función representativa o </w:t>
      </w:r>
      <w:r w:rsidRPr="008D479B">
        <w:rPr>
          <w:i/>
        </w:rPr>
        <w:t>ius in officium</w:t>
      </w:r>
      <w:r>
        <w:t xml:space="preserve"> del art. 23.2 CE es palmaria al haberse impedido (no amparando a los diputados) el derecho a ejercer el cargo representativo “de conformidad con lo que la Ley disponga” (STC 208/2003).</w:t>
      </w:r>
    </w:p>
    <w:p w14:paraId="40343637" w14:textId="77777777" w:rsidR="008D479B" w:rsidRDefault="008D479B" w:rsidP="008D479B">
      <w:pPr>
        <w:pStyle w:val="TextoNormal"/>
      </w:pPr>
    </w:p>
    <w:p w14:paraId="2AC35B28" w14:textId="77777777" w:rsidR="008D479B" w:rsidRDefault="008D479B" w:rsidP="008D479B">
      <w:pPr>
        <w:pStyle w:val="TextoNormal"/>
      </w:pPr>
      <w:r>
        <w:t>B) La denunciada vulneración del art. 23.2 CE resulta también de la interpretación restrictiva que, a juicio de los demandantes, hace el acuerdo impugnado al limitar el ejercicio pleno de la función representativa, contradiciendo la doctrina establecida en la STC 90/2005, de 18 de abril. De los arts. 7 y 44 RCD la demanda infiere que, en la medida en que el derecho a la información y documentación “se encauza a través de los órganos parlamentarios, corresponde a los mismos un deber de salvaguardar dicho derecho”, de modo que si, como en este caso, renuncian a ampararlo, se menoscaba la función parlamentaria y, con ella, el derecho fundamental al ejercicio del cargo representativo del art. 23.2 CE.</w:t>
      </w:r>
    </w:p>
    <w:p w14:paraId="6B7048E7" w14:textId="77777777" w:rsidR="008D479B" w:rsidRDefault="008D479B" w:rsidP="008D479B">
      <w:pPr>
        <w:pStyle w:val="TextoNormal"/>
      </w:pPr>
    </w:p>
    <w:p w14:paraId="46E37B7B" w14:textId="77777777" w:rsidR="008D479B" w:rsidRDefault="008D479B" w:rsidP="008D479B">
      <w:pPr>
        <w:pStyle w:val="TextoNormal"/>
      </w:pPr>
      <w:r>
        <w:t>Sostienen los recurrentes que la presidenta del Congreso de los Diputados, al aceptar sin reservas la negativa infundada del Gobierno a conceder el acceso a la información solicitada, mediante una interpretación excesivamente restrictiva de sus propias facultades a este respecto (</w:t>
      </w:r>
      <w:r w:rsidRPr="008D479B">
        <w:rPr>
          <w:i/>
        </w:rPr>
        <w:t>ex</w:t>
      </w:r>
      <w:r>
        <w:t xml:space="preserve"> arts. 109 CE y 7 RCD), coarta el ejercicio de la función representativa y no respeta la doctrina constitucional (con cita, entre otras, de las SSTC 177/2002, de 14 de octubre; 208/2003, de 1 de diciembre, y 90/2005, de 18 de abril).</w:t>
      </w:r>
    </w:p>
    <w:p w14:paraId="783FB0DE" w14:textId="77777777" w:rsidR="008D479B" w:rsidRDefault="008D479B" w:rsidP="008D479B">
      <w:pPr>
        <w:pStyle w:val="TextoNormal"/>
      </w:pPr>
    </w:p>
    <w:p w14:paraId="6926912D" w14:textId="77777777" w:rsidR="008D479B" w:rsidRDefault="008D479B" w:rsidP="008D479B">
      <w:pPr>
        <w:pStyle w:val="TextoNormal"/>
      </w:pPr>
      <w:r>
        <w:t>C) Finalmente, estima la demanda que el acuerdo vulnera asimismo el art. 23.2 CE por la ausencia de motivación suficiente y adecuada de la negativa a amparar a los recurrentes ante la infundada negativa del Gobierno a remitir la documentación solicitada. Con apoyo en las SSTC 208/2003 y 90/2005, se afirma que la presidenta del Congreso tenía que motivar suficiente y adecuadamente su decisión, al ser esta limitativa de los derechos de los diputados; motivación de la que, a juicio de los recurrentes, carece el acuerdo objeto del presente recurso.</w:t>
      </w:r>
    </w:p>
    <w:p w14:paraId="13057DDE" w14:textId="77777777" w:rsidR="008D479B" w:rsidRDefault="008D479B" w:rsidP="008D479B">
      <w:pPr>
        <w:pStyle w:val="TextoNormal"/>
      </w:pPr>
    </w:p>
    <w:p w14:paraId="68CFCE5A" w14:textId="77777777" w:rsidR="008D479B" w:rsidRDefault="008D479B" w:rsidP="008D479B">
      <w:pPr>
        <w:pStyle w:val="TextoNormal"/>
      </w:pPr>
      <w:r>
        <w:t>En definitiva, expone la demanda que, ante la solicitud de que reclamase al Gobierno la documentación solicitada, la presidenta de la Cámara alega:</w:t>
      </w:r>
    </w:p>
    <w:p w14:paraId="462DE480" w14:textId="77777777" w:rsidR="008D479B" w:rsidRDefault="008D479B" w:rsidP="008D479B">
      <w:pPr>
        <w:pStyle w:val="TextoNormal"/>
      </w:pPr>
    </w:p>
    <w:p w14:paraId="533DFEE2" w14:textId="77777777" w:rsidR="008D479B" w:rsidRDefault="008D479B" w:rsidP="008D479B">
      <w:pPr>
        <w:pStyle w:val="TextoNormal"/>
      </w:pPr>
      <w:r>
        <w:t>a) Que solo le corresponde un examen liminar de la contestación del Gobierno, constatando que se ha dado respuesta a la solicitud, aunque esta sea negativa e infundada.</w:t>
      </w:r>
    </w:p>
    <w:p w14:paraId="0E1E05DD" w14:textId="77777777" w:rsidR="008D479B" w:rsidRDefault="008D479B" w:rsidP="008D479B">
      <w:pPr>
        <w:pStyle w:val="TextoNormal"/>
      </w:pPr>
    </w:p>
    <w:p w14:paraId="143E0DDA" w14:textId="77777777" w:rsidR="008D479B" w:rsidRDefault="008D479B" w:rsidP="008D479B">
      <w:pPr>
        <w:pStyle w:val="TextoNormal"/>
      </w:pPr>
      <w:r>
        <w:t>b) Que en tal contestación el Gobierno “manifiesta las razones fundadas en Derecho que impiden facilitar la información solicitada”; razones que, según se ha expuesto, no justifican para los demandantes de amparo la no remisión de la documentación.</w:t>
      </w:r>
    </w:p>
    <w:p w14:paraId="20063AB7" w14:textId="77777777" w:rsidR="008D479B" w:rsidRDefault="008D479B" w:rsidP="008D479B">
      <w:pPr>
        <w:pStyle w:val="TextoNormal"/>
      </w:pPr>
    </w:p>
    <w:p w14:paraId="66B2D6DC" w14:textId="77777777" w:rsidR="008D479B" w:rsidRDefault="008D479B" w:rsidP="008D479B">
      <w:pPr>
        <w:pStyle w:val="TextoNormal"/>
      </w:pPr>
      <w:r>
        <w:t xml:space="preserve">Además, subraya la demanda, la presidenta sugiere a los recurrentes otras posibilidades reglamentarias, como solicitar al Gobierno una aclaración o plantear nuevas iniciativas para su contestación, obviando que, a juicio de los demandantes, es a ella “a quien corresponde </w:t>
      </w:r>
      <w:r w:rsidRPr="008D479B">
        <w:rPr>
          <w:i/>
        </w:rPr>
        <w:t>ex</w:t>
      </w:r>
      <w:r>
        <w:t xml:space="preserve"> art. 7 RCD, conducir tal requerimiento y garantizar su resultado”.</w:t>
      </w:r>
    </w:p>
    <w:p w14:paraId="1CF4F53D" w14:textId="77777777" w:rsidR="008D479B" w:rsidRDefault="008D479B" w:rsidP="008D479B">
      <w:pPr>
        <w:pStyle w:val="TextoNormal"/>
      </w:pPr>
    </w:p>
    <w:p w14:paraId="65E25AB0" w14:textId="77777777" w:rsidR="008D479B" w:rsidRDefault="008D479B" w:rsidP="008D479B">
      <w:pPr>
        <w:pStyle w:val="TextoNormal"/>
      </w:pPr>
      <w:r>
        <w:t xml:space="preserve">Por todo ello, en definitiva, la demanda solicita que se otorgue el amparo solicitado y, en su virtud, se declare vulnerado, por el acuerdo controvertido, el derecho de los recurrentes al ejercicio del cargo representativo o </w:t>
      </w:r>
      <w:r w:rsidRPr="008D479B">
        <w:rPr>
          <w:i/>
        </w:rPr>
        <w:t>ius in officium</w:t>
      </w:r>
      <w:r>
        <w:t xml:space="preserve"> del artículo 23.2 CE; revocando dicho acuerdo tras declarar su nulidad “y exigiendo de la Presidencia del Congreso el requerimiento al Gobierno de la aportación íntegra de la información solicitada”.</w:t>
      </w:r>
    </w:p>
    <w:p w14:paraId="114686B4" w14:textId="77777777" w:rsidR="008D479B" w:rsidRDefault="008D479B" w:rsidP="008D479B">
      <w:pPr>
        <w:pStyle w:val="TextoNormal"/>
      </w:pPr>
    </w:p>
    <w:p w14:paraId="77054CF9" w14:textId="77777777" w:rsidR="008D479B" w:rsidRDefault="008D479B" w:rsidP="008D479B">
      <w:pPr>
        <w:pStyle w:val="TextoNormal"/>
      </w:pPr>
      <w:r>
        <w:t>D) La demanda justifica la especial trascendencia constitucional del recurso invocando dos de los supuestos previstos en la STC 155/2009, de 25 de junio:</w:t>
      </w:r>
    </w:p>
    <w:p w14:paraId="03BD2AB7" w14:textId="77777777" w:rsidR="008D479B" w:rsidRDefault="008D479B" w:rsidP="008D479B">
      <w:pPr>
        <w:pStyle w:val="TextoNormal"/>
      </w:pPr>
    </w:p>
    <w:p w14:paraId="1FBB05D1" w14:textId="77777777" w:rsidR="008D479B" w:rsidRDefault="008D479B" w:rsidP="008D479B">
      <w:pPr>
        <w:pStyle w:val="TextoNormal"/>
      </w:pPr>
      <w:r>
        <w:t>a) El recurso trasciende del caso concreto porque plantea una cuestión jurídica de relevante y general repercusión social o económica o tiene consecuencias políticas generales [FJ 2 g)]. Expuesto en términos muy sumarios, es indiscutible la relevancia política del objeto del amparo, que es la negativa de la Presidencia del Congreso a amparar la solicitud de información en relación con una determinada actuación del Gobierno de indudable trascendencia social, como es la concesión de los indultos. Dicho desamparo a los diputados en su labor de control al Gobierno constituye una cuestión relevantísima, dotada de consecuencias políticas generales, lo que justifica la necesidad de un pronunciamiento de este Tribunal Constitucional. La cuestión concreta que se plantea en este recurso trasciende del mismo, por cuanto la alegada vulneración —la falta de remisión de los expedientes— ha impedido el correcto ejercicio por el Congreso de su labor de control al Gobierno, integrante indudable de la función representativa amparada en el artículo 23.2 CE. Además, la general repercusión política de la decisión resulta de la general afectación que produciría en perjuicio de los representantes la consolidación del criterio de la presidenta respecto de los “límites” de su propia facultad de requerir al Gobierno y a la administración información y documentación conforme al art. 109 CE.</w:t>
      </w:r>
    </w:p>
    <w:p w14:paraId="3ACA5A4E" w14:textId="77777777" w:rsidR="008D479B" w:rsidRDefault="008D479B" w:rsidP="008D479B">
      <w:pPr>
        <w:pStyle w:val="TextoNormal"/>
      </w:pPr>
    </w:p>
    <w:p w14:paraId="20DFEA85" w14:textId="77777777" w:rsidR="008D479B" w:rsidRDefault="008D479B" w:rsidP="008D479B">
      <w:pPr>
        <w:pStyle w:val="TextoNormal"/>
      </w:pPr>
      <w:r>
        <w:t>b) El recurso plantea un problema o una faceta de un derecho fundamental susceptible de amparo sobre el que no existe doctrina del Tribunal Constitucional [FJ 2 a)]. En concreto, se aduce que el recurso plantea entre otras, al menos, las siguientes cuestiones que no han sido objeto de pronunciamiento por el Tribunal Constitucional:</w:t>
      </w:r>
    </w:p>
    <w:p w14:paraId="032ED7EA" w14:textId="77777777" w:rsidR="008D479B" w:rsidRDefault="008D479B" w:rsidP="008D479B">
      <w:pPr>
        <w:pStyle w:val="TextoNormal"/>
      </w:pPr>
    </w:p>
    <w:p w14:paraId="36C3AF55" w14:textId="77777777" w:rsidR="008D479B" w:rsidRDefault="008D479B" w:rsidP="008D479B">
      <w:pPr>
        <w:pStyle w:val="TextoNormal"/>
      </w:pPr>
      <w:r>
        <w:t xml:space="preserve">(i) En primer lugar, si vulnera el derecho fundamental al ejercicio del cargo representativo —art. 23.2 CE—, y concretamente el </w:t>
      </w:r>
      <w:r w:rsidRPr="008D479B">
        <w:rPr>
          <w:i/>
        </w:rPr>
        <w:t>ius in officium</w:t>
      </w:r>
      <w:r>
        <w:t xml:space="preserve"> de los parlamentarios que la Presidencia del Congreso renuncie a analizar si la negativa del Gobierno a facilitar una determinada información sobre su actividad, solicitada por aquellos por los cauces reglamentariamente establecidos, se encuentra fundada en Derecho o no, por interpretar que sus facultades se limitan, </w:t>
      </w:r>
      <w:r w:rsidRPr="008D479B">
        <w:rPr>
          <w:i/>
        </w:rPr>
        <w:t>ex</w:t>
      </w:r>
      <w:r>
        <w:t xml:space="preserve"> arts. 109 CE y 7 RCD, a “un examen liminar que permita constatar que por el Gobierno se ha dado respuesta a la iniciativa presentada”. Más concretamente, si se vulneraría dicho derecho fundamental en aquellos casos en que la respuesta del Gobierno negativa al acceso contravenga el ordenamiento jurídico, incluso si aparece revestida de una apariencia de argumentación jurídica.</w:t>
      </w:r>
    </w:p>
    <w:p w14:paraId="4A0218D5" w14:textId="77777777" w:rsidR="008D479B" w:rsidRDefault="008D479B" w:rsidP="008D479B">
      <w:pPr>
        <w:pStyle w:val="TextoNormal"/>
      </w:pPr>
    </w:p>
    <w:p w14:paraId="032B8495" w14:textId="77777777" w:rsidR="008D479B" w:rsidRDefault="008D479B" w:rsidP="008D479B">
      <w:pPr>
        <w:pStyle w:val="TextoNormal"/>
      </w:pPr>
      <w:r>
        <w:t>(ii) Por otro lado, si puede entenderse desde una perspectiva general o particular que la negativa del Gobierno a conceder a los parlamentarios acceso a los expedientes solicitados, y especialmente la permisividad de la Presidencia del Congreso ante esa negativa, vulneran el derecho fundamental de aquellos a ejercer su cargo representativo conforme a la ley —</w:t>
      </w:r>
      <w:r w:rsidRPr="008D479B">
        <w:rPr>
          <w:i/>
        </w:rPr>
        <w:t>ius in officium</w:t>
      </w:r>
      <w:r>
        <w:t xml:space="preserve">—, al coartar evidente e indudablemente, sus prerrogativas inalienables para el correcto ejercicio de la función de control al Gobierno </w:t>
      </w:r>
      <w:r w:rsidRPr="008D479B">
        <w:rPr>
          <w:i/>
        </w:rPr>
        <w:t>ex</w:t>
      </w:r>
      <w:r>
        <w:t xml:space="preserve"> art. 66.2 CE. En especial, si se vulneraría el derecho fundamental si, aun alegándose por el Gobierno razones de protección de datos, resultase que la información en cuestión es de relevancia pública, o bien no se ha intentado por el Gobierno, de forma previa a la negativa a aportar la documentación, recabar el consentimiento o eliminar los datos personales.</w:t>
      </w:r>
    </w:p>
    <w:p w14:paraId="4626DCB8" w14:textId="77777777" w:rsidR="008D479B" w:rsidRDefault="008D479B" w:rsidP="008D479B">
      <w:pPr>
        <w:pStyle w:val="TextoNormal"/>
      </w:pPr>
    </w:p>
    <w:p w14:paraId="5C321F89" w14:textId="128BEE06" w:rsidR="008D479B" w:rsidRDefault="008D479B" w:rsidP="008D479B">
      <w:pPr>
        <w:pStyle w:val="TextoNormal"/>
      </w:pPr>
      <w:r>
        <w:t>Lo que pretende la demanda es, pues, que el Tribunal Constitucional establezca doctrina aplicable a aquellos casos en que la Presidencia del Congreso deba amparar a los parlamentarios cuya solicitud de información ha sido rechazada por el Gobierno sin base en Derecho, o en que “el contenido de los expedientes de indulto no sea remitido a los parlamentarios pese a su expresa solicitud al efecto, minimizando las posibilidades por los mismos de control [a]l Gobierno en este concreto ámbito”.</w:t>
      </w:r>
    </w:p>
    <w:p w14:paraId="641B74CE" w14:textId="77777777" w:rsidR="008D479B" w:rsidRDefault="008D479B" w:rsidP="008D479B">
      <w:pPr>
        <w:pStyle w:val="TextoNormal"/>
      </w:pPr>
    </w:p>
    <w:p w14:paraId="6FD11808" w14:textId="77777777" w:rsidR="008D479B" w:rsidRDefault="008D479B" w:rsidP="008D479B">
      <w:pPr>
        <w:pStyle w:val="TextoNormal"/>
      </w:pPr>
      <w:r w:rsidRPr="008D479B">
        <w:rPr>
          <w:rStyle w:val="NumeroAFNegritaCaracter"/>
        </w:rPr>
        <w:t>4</w:t>
      </w:r>
      <w:r>
        <w:t>. Por providencia de 9 de mayo de 2022, la Sala Primera acordó proponer la avocación del presente recurso de amparo al Pleno, el cual, mediante nueva providencia de 2 de junio de 2022, acordó recabar el conocimiento del mismo y admitirlo a trámite, apreciando que en él concurre una especial trascendencia constitucional [art. 50.1 de la Ley Orgánica del Tribunal Constitucional (LOTC)] porque plantea un problema o afecta a una faceta de un derecho fundamental sobre el que no hay doctrina de este tribunal [STC 155/2009, FJ 2 a)].</w:t>
      </w:r>
    </w:p>
    <w:p w14:paraId="18E98E60" w14:textId="77777777" w:rsidR="008D479B" w:rsidRDefault="008D479B" w:rsidP="008D479B">
      <w:pPr>
        <w:pStyle w:val="TextoNormal"/>
      </w:pPr>
    </w:p>
    <w:p w14:paraId="64CC4503" w14:textId="69EFD8E8" w:rsidR="008D479B" w:rsidRDefault="008D479B" w:rsidP="008D479B">
      <w:pPr>
        <w:pStyle w:val="TextoNormal"/>
      </w:pPr>
      <w:r>
        <w:t>Por ello, y en aplicación de lo dispuesto en el art. 51 LOTC, se acordó dirigir atenta comunicación a la presidenta del Congreso de los Diputados a fin de que, en el plazo de diez días, remita certificación o fotocopia adverada de las actuaciones correspondientes al acuerdo de 13 de septiembre de 2021, con remisión de copia de la demanda para conocimiento de dicha Cámara, a efectos de su personación en el presente proceso constitucional en el citado plazo.</w:t>
      </w:r>
    </w:p>
    <w:p w14:paraId="776634BA" w14:textId="77777777" w:rsidR="008D479B" w:rsidRDefault="008D479B" w:rsidP="008D479B">
      <w:pPr>
        <w:pStyle w:val="TextoNormal"/>
      </w:pPr>
    </w:p>
    <w:p w14:paraId="0B21E4D9" w14:textId="10921B31" w:rsidR="008D479B" w:rsidRDefault="008D479B" w:rsidP="008D479B">
      <w:pPr>
        <w:pStyle w:val="TextoNormal"/>
      </w:pPr>
      <w:r w:rsidRPr="008D479B">
        <w:rPr>
          <w:rStyle w:val="NumeroAFNegritaCaracter"/>
        </w:rPr>
        <w:t>5</w:t>
      </w:r>
      <w:r>
        <w:t>. Mediante escrito registrado en este tribunal el día 15 de junio de 2022, la presidenta del Congreso de los Diputados comunicó el acuerdo adoptado por la mesa de la Cámara, a fin de trasladar al Tribunal Constitucional la documentación solicitada y personarse en el procedimiento, correspondiendo la representación y defensa de la Cámara a la letrada de las Cortes Generales directora de la asesoría jurídica de la Secretaría General de la Cámara.</w:t>
      </w:r>
    </w:p>
    <w:p w14:paraId="72BB6F89" w14:textId="77777777" w:rsidR="008D479B" w:rsidRDefault="008D479B" w:rsidP="008D479B">
      <w:pPr>
        <w:pStyle w:val="TextoNormal"/>
      </w:pPr>
    </w:p>
    <w:p w14:paraId="3830ECA6" w14:textId="621C5A35" w:rsidR="008D479B" w:rsidRDefault="008D479B" w:rsidP="008D479B">
      <w:pPr>
        <w:pStyle w:val="TextoNormal"/>
      </w:pPr>
      <w:r w:rsidRPr="008D479B">
        <w:rPr>
          <w:rStyle w:val="NumeroAFNegritaCaracter"/>
        </w:rPr>
        <w:t>6</w:t>
      </w:r>
      <w:r>
        <w:t>. Por diligencia de ordenación de 21 de junio de 2022, la Secretaría de Justicia del Pleno dispuso dar vista de las actuaciones, por un plazo común de veinte días, al Ministerio Fiscal y a las partes personadas, para que pudieran presentar las alegaciones que estimaran pertinentes.</w:t>
      </w:r>
    </w:p>
    <w:p w14:paraId="25D0A3BE" w14:textId="77777777" w:rsidR="008D479B" w:rsidRDefault="008D479B" w:rsidP="008D479B">
      <w:pPr>
        <w:pStyle w:val="TextoNormal"/>
      </w:pPr>
    </w:p>
    <w:p w14:paraId="7298542D" w14:textId="77777777" w:rsidR="008D479B" w:rsidRDefault="008D479B" w:rsidP="008D479B">
      <w:pPr>
        <w:pStyle w:val="TextoNormal"/>
      </w:pPr>
      <w:r w:rsidRPr="008D479B">
        <w:rPr>
          <w:rStyle w:val="NumeroAFNegritaCaracter"/>
        </w:rPr>
        <w:t>7</w:t>
      </w:r>
      <w:r>
        <w:t>. Mediante escrito registrado el 22 de julio de 2022, la letrada de las Cortes Generales, actuando en nombre y representación del Congreso de los Diputados, interesó la desestimación del recurso de amparo conforme a las siguientes alegaciones:</w:t>
      </w:r>
    </w:p>
    <w:p w14:paraId="7C2B40DD" w14:textId="77777777" w:rsidR="008D479B" w:rsidRDefault="008D479B" w:rsidP="008D479B">
      <w:pPr>
        <w:pStyle w:val="TextoNormal"/>
      </w:pPr>
    </w:p>
    <w:p w14:paraId="51EDB969" w14:textId="77777777" w:rsidR="008D479B" w:rsidRDefault="008D479B" w:rsidP="008D479B">
      <w:pPr>
        <w:pStyle w:val="TextoNormal"/>
      </w:pPr>
      <w:r>
        <w:t>a) En primer lugar, subraya que el amparo que se solicita se refiere solamente al acuerdo de la presidenta del Congreso de los Diputados, y no a la contestación del Gobierno; la cual, por tanto, no puede discutirse por esta vía, y hubiera debido cuestionarse, en su caso, ante la jurisdicción contencioso-administrativa, conforme reiterada jurisprudencia dictada por la Sala de lo Contencioso-Administrativo del Tribunal Supremo. Menciona, en este sentido, diversas resoluciones, y cita expresamente la STS 175/2022, de 10 de febrero, FJ 4, para recordar que, según otro auto anterior de 20 de julio de 2021, “el criterio ya fijado anteriormente en el ámbito autonómico es aplicable en el ámbito nacional y […] —una vez que los órganos de gobierno del Congreso de los Diputados han dado curso al requerimiento de información— la falta de respuesta no puede ser considerada una actuación imputable a la Cámara. Tan es así que la Sala acordó acceder a la petición de la letrada de las Cortes Generales de tener al Congreso de los Diputados por apartado del recurso contencioso-administrativo, desde el momento en que no puede ser considerado parte demandada”.</w:t>
      </w:r>
    </w:p>
    <w:p w14:paraId="0EF9822B" w14:textId="77777777" w:rsidR="008D479B" w:rsidRDefault="008D479B" w:rsidP="008D479B">
      <w:pPr>
        <w:pStyle w:val="TextoNormal"/>
      </w:pPr>
    </w:p>
    <w:p w14:paraId="0D6E9829" w14:textId="77777777" w:rsidR="008D479B" w:rsidRDefault="008D479B" w:rsidP="008D479B">
      <w:pPr>
        <w:pStyle w:val="TextoNormal"/>
      </w:pPr>
      <w:r>
        <w:t xml:space="preserve">En ese marco, y con cita de la STC 57/2011, de 3 de mayo, se destaca también que la mesa, a la hora de calificar las solicitudes de información por parte de los diputados, ejerce “esencialmente, un examen de la viabilidad formal” de las mismas, que presenta las características de un </w:t>
      </w:r>
      <w:r w:rsidRPr="008D479B">
        <w:rPr>
          <w:i/>
        </w:rPr>
        <w:t>ius ut procedatur</w:t>
      </w:r>
      <w:r>
        <w:t>, obligando a los órganos parlamentarios a dar curso a la solicitud de información, ya que carecen de facultades para efectuar un “control de oportunidad sobre la conveniencia o inconveniencia de hacer llegar a la administración […] la solicitud de información” formulada por los parlamentarios (STC 161/1988, de 20 de septiembre, FJ 8).</w:t>
      </w:r>
    </w:p>
    <w:p w14:paraId="59EAFD55" w14:textId="77777777" w:rsidR="008D479B" w:rsidRDefault="008D479B" w:rsidP="008D479B">
      <w:pPr>
        <w:pStyle w:val="TextoNormal"/>
      </w:pPr>
    </w:p>
    <w:p w14:paraId="02EB18B2" w14:textId="77777777" w:rsidR="008D479B" w:rsidRDefault="008D479B" w:rsidP="008D479B">
      <w:pPr>
        <w:pStyle w:val="TextoNormal"/>
      </w:pPr>
      <w:r>
        <w:t>b) En segundo término, y a partir de la dicción del artículo 7 RCD, apunta que quien tiene que entregar la documentación o dar las razones fundadas en Derecho que lo impidan es siempre la administración requerida, no el Congreso, que no tiene esa documentación. Por tanto, la única intervención de la Cámara se limita a la admisión o (excepcionalmente) inadmisión de la solicitud, y a un acto puramente reglado de comunicación o traslado en un doble sentido: de la solicitud al Gobierno, y de la contestación gubernamental al parlamentario. La Cámara, pues, no decide contestar o no, ni controla materialmente el contenido de la contestación, al igual que no decide, en su caso, contestar inadecuadamente. Sus órganos no son competentes para analizar o examinar la contestación del Gobierno, o para requerir al Gobierno una determinada respuesta que satisfaga los intereses de los solicitantes: si la solicitud de información es admitida, la responsabilidad se traslada al Gobierno de la Nación, y el eventual control de la respuesta del Gobierno ya no corresponde a los órganos parlamentarios, sino a los tribunales, “ya sean de la jurisdicción contencioso-administrativa o, en su caso, de la constitucional si la impugnación afectara a una actuación de un órgano parlamentario”.</w:t>
      </w:r>
    </w:p>
    <w:p w14:paraId="112ACE92" w14:textId="77777777" w:rsidR="008D479B" w:rsidRDefault="008D479B" w:rsidP="008D479B">
      <w:pPr>
        <w:pStyle w:val="TextoNormal"/>
      </w:pPr>
    </w:p>
    <w:p w14:paraId="0E97A19A" w14:textId="77777777" w:rsidR="008D479B" w:rsidRDefault="008D479B" w:rsidP="008D479B">
      <w:pPr>
        <w:pStyle w:val="TextoNormal"/>
      </w:pPr>
      <w:r>
        <w:t>En cuanto a la solicitud de amparo a la Presidencia, es un procedimiento no previsto en el Reglamento, cuyo origen se encuentra en una costumbre que comenzó como práctica parlamentaria poco después de aprobarse la Constitución española, y que no pretende sustituir la obligación gubernamental de contestar a la solicitud de información. Por el contrario, contribuye a la defensa de la facultad de los diputados mediante una actuación no prevista en el Reglamento que pretende dar a los solicitantes una nueva oportunidad para que el Gobierno les conteste, transmitiéndole los motivos que expresan en su escrito de amparo. Es, pues, “lógicamente imposible” que vulnere su derecho a solicitar la información.</w:t>
      </w:r>
    </w:p>
    <w:p w14:paraId="4C82558D" w14:textId="77777777" w:rsidR="008D479B" w:rsidRDefault="008D479B" w:rsidP="008D479B">
      <w:pPr>
        <w:pStyle w:val="TextoNormal"/>
      </w:pPr>
    </w:p>
    <w:p w14:paraId="712B6F5B" w14:textId="77777777" w:rsidR="008D479B" w:rsidRDefault="008D479B" w:rsidP="008D479B">
      <w:pPr>
        <w:pStyle w:val="TextoNormal"/>
      </w:pPr>
      <w:r>
        <w:t>La representación del Congreso revisa después la evolución de la jurisprudencia en esta materia. Resalta que, en un primer momento (STC 220/1991, de 25 de noviembre), se admitió la vía del recurso de amparo contra la decisión del órgano de gobierno de la administración correspondiente, excluyendo la competencia de la jurisdicción contencioso-administrativa por considerar dichos actos (de acuerdo con el Tribunal Supremo: SSTS, Sala de lo Militar, Sección Primera, de 9 de junio de 1987 y de 15 de noviembre de 1988) como actos políticos o de gobierno. Sin embargo, y según muestran las sentencias antes mencionadas, la jurisprudencia posterior ha declarado la competencia de la jurisdicción contencioso-administrativa, al pronunciarse sobre diversos aspectos (documentación afectada por secreto sumarial, documentación concebida para uso interno, documentación carente de soporte escrito o en fase de elaboración, motivación inadecuada…), fallando en ocasiones a favor de las administraciones correspondientes por estimar que concurrían razones fundadas en Derecho que impedían entregar la documentación solicitada.</w:t>
      </w:r>
    </w:p>
    <w:p w14:paraId="2188222E" w14:textId="77777777" w:rsidR="008D479B" w:rsidRDefault="008D479B" w:rsidP="008D479B">
      <w:pPr>
        <w:pStyle w:val="TextoNormal"/>
      </w:pPr>
    </w:p>
    <w:p w14:paraId="4AA7AA0B" w14:textId="77777777" w:rsidR="008D479B" w:rsidRDefault="008D479B" w:rsidP="008D479B">
      <w:pPr>
        <w:pStyle w:val="TextoNormal"/>
      </w:pPr>
      <w:r>
        <w:t>c) El escrito explica a continuación el origen y las modalidades de la práctica, hoy ya devenida en costumbre parlamentaria, por la que, “ante la no contestación de una pregunta escrita y de una solicitud de informe o ante la disconformidad de los diputados respecto a la contestación remitida por el Gobierno, se solicitaba el amparo de la mesa o de la Presidencia de la Cámara”. En este último caso, y apelando habitualmente al artículo 32.2 RCD (según el cual “[c]orresponde al presidente cumplir y hacer cumplir el Reglamento, interpretándolo en los casos de duda y supliéndolo en los de omisión”), detalla el escrito los “tres tipos de contestaciones” de la Presidencia a la solicitud de amparo, y las fórmulas utilizadas para ello, que varían en función de las circunstancias del caso (falta de respuesta; disconformidad de los solicitantes con una respuesta manifiestamente insuficiente, por error o por remitirse a un formato inadecuado; y disconformidad de los solicitantes con una respuesta en la que no hay un error manifiesto). En todo caso, se destaca que este mecanismo no es un recurso interno equiparable a las solicitudes de reconsideración frente a las decisiones de la mesa (art. 31.2 RCD), que pueden afectar a los derechos del diputado y son susceptibles de recurso de amparo constitucional. Es una medida de ayuda de la Presidencia orientada a favorecer a los parlamentarios en el ejercicio de su función, y que suele versar sobre actuaciones de otros órganos, por lo que cualquier posible vulneración de derechos de los parlamentarios no sería imputable a la propia Presidencia. Por todo lo cual, entiende la representación del Congreso que no concurre uno de los requisitos del amparo (existencia de una violación del derecho fundamental alegado), ni el elemento de imputación que vincularía la violación del derecho al acto que se impugna.</w:t>
      </w:r>
    </w:p>
    <w:p w14:paraId="5268E0CD" w14:textId="77777777" w:rsidR="008D479B" w:rsidRDefault="008D479B" w:rsidP="008D479B">
      <w:pPr>
        <w:pStyle w:val="TextoNormal"/>
      </w:pPr>
    </w:p>
    <w:p w14:paraId="466A4767" w14:textId="77777777" w:rsidR="008D479B" w:rsidRDefault="008D479B" w:rsidP="008D479B">
      <w:pPr>
        <w:pStyle w:val="TextoNormal"/>
      </w:pPr>
      <w:r>
        <w:t>En definitiva, a juicio de la letrada la demanda mezcla y confunde dos cuestiones distintas, como si la presidenta fuera la responsable de la contestación del Gobierno, o tuviese la facultad de controlar el cumplimiento de este, requiriéndoselo imperativamente en caso de incumplimiento. La presidencia no tiene tales facultades, ni el artículo 7 RCD implica el derecho a una contestación determinada (STC 220/1991, FJ 5). En el caso, la presidencia apreció que el Gobierno había contestado, si bien no aportó la información solicitada, indicando unas razones fundadas en Derecho que a ella no corresponde juzgar.</w:t>
      </w:r>
    </w:p>
    <w:p w14:paraId="60469731" w14:textId="77777777" w:rsidR="008D479B" w:rsidRDefault="008D479B" w:rsidP="008D479B">
      <w:pPr>
        <w:pStyle w:val="TextoNormal"/>
      </w:pPr>
    </w:p>
    <w:p w14:paraId="3031BCFF" w14:textId="77777777" w:rsidR="008D479B" w:rsidRDefault="008D479B" w:rsidP="008D479B">
      <w:pPr>
        <w:pStyle w:val="TextoNormal"/>
      </w:pPr>
      <w:r>
        <w:t>Por ello, amparó a los diputados solicitantes remitiendo copia de su escrito al ministro competente a los efectos oportunos y con el ruego de que trasladara a la presidencia las consideraciones que, en su caso, estime oportunas. Pero la presidencia no es “una especie de defensora universal de los diputados […] que tiene una obligación de conceder o lograr todo lo que los diputados solicitan”: una vez producida la contestación gubernamental, los órganos parlamentarios pueden contribuir a la defensa del diputado, pero no resolver el eventual conflicto con el Gobierno, y la presidencia de la Cámara “no es un órgano jurisdiccional que pueda otorgar amparos o fiscalizar la actuación del Gobierno”.</w:t>
      </w:r>
    </w:p>
    <w:p w14:paraId="619D003E" w14:textId="77777777" w:rsidR="008D479B" w:rsidRDefault="008D479B" w:rsidP="008D479B">
      <w:pPr>
        <w:pStyle w:val="TextoNormal"/>
      </w:pPr>
    </w:p>
    <w:p w14:paraId="1C786C26" w14:textId="77777777" w:rsidR="008D479B" w:rsidRDefault="008D479B" w:rsidP="008D479B">
      <w:pPr>
        <w:pStyle w:val="TextoNormal"/>
      </w:pPr>
      <w:r>
        <w:t>En todo este procedimiento, los órganos de la Cámara únicamente pueden infringir el ordenamiento al inicio de la tramitación de la iniciativa, si la inadmiten injustificadamente. Pero, una vez admitida la solicitud, la responsabilidad se traslada al Gobierno, y lo único que en su caso podría hacer la Cámara sería plantear un conflicto entre órganos constitucionales, algo que es competencia del Pleno y no de los parlamentarios individuales, que tampoco pueden exigirlo.</w:t>
      </w:r>
    </w:p>
    <w:p w14:paraId="03158CEF" w14:textId="77777777" w:rsidR="008D479B" w:rsidRDefault="008D479B" w:rsidP="008D479B">
      <w:pPr>
        <w:pStyle w:val="TextoNormal"/>
      </w:pPr>
    </w:p>
    <w:p w14:paraId="28B59CAF" w14:textId="77777777" w:rsidR="008D479B" w:rsidRDefault="008D479B" w:rsidP="008D479B">
      <w:pPr>
        <w:pStyle w:val="TextoNormal"/>
      </w:pPr>
      <w:r>
        <w:t>En consecuencia, en el caso los recurrentes confunden un amparo parlamentario con un amparo constitucional, pretendiendo que la presidencia tenga la obligación de proceder contra el Gobierno cuando los diputados no estén de acuerdo con el contenido de la información remitida. Con ello exceden también el alcance del artículo 7 RCD, que solo prevé que la presidencia opere de cauce entre ambas partes: los recurrentes exigen que requiera al Gobierno la aportación íntegra de la información, facultad que no se puede deducir de dicho precepto y que, adicionalmente, no resolvería el conflicto, en tanto el incumplimiento de la obligación por parte del Gobierno podría persistir, y solo el Tribunal Supremo o el Tribunal Constitucional podrían exigirle una contestación adecuada.</w:t>
      </w:r>
    </w:p>
    <w:p w14:paraId="3137F5F6" w14:textId="77777777" w:rsidR="008D479B" w:rsidRDefault="008D479B" w:rsidP="008D479B">
      <w:pPr>
        <w:pStyle w:val="TextoNormal"/>
      </w:pPr>
    </w:p>
    <w:p w14:paraId="1B66D368" w14:textId="77777777" w:rsidR="008D479B" w:rsidRDefault="008D479B" w:rsidP="008D479B">
      <w:pPr>
        <w:pStyle w:val="TextoNormal"/>
      </w:pPr>
      <w:r>
        <w:t>Por consiguiente, la presidencia defiende en todo caso los derechos de los diputados solicitantes, si bien lo hace respetando la lógica constitucional e institucional a la que debe sujetar su actuación: aun cuando entienda que la solicitud no se ha dejado sin contestar, el escrito de amparo en que los solicitantes exponen sus razones se traslada al Gobierno, para que se le comuniquen las consideraciones que, en su caso, se estimen oportunas. No se niega que la contestación sea incorrecta, sino que se analiza la existencia de razones que aparentemente puedan justificarla, remitiéndose al Gobierno las valoraciones de los diputados e incluso informando a estos de otras posibilidades de actuación. Lo que en ningún caso puede hacer es asegurar la efectiva satisfacción del derecho pretendidamente vulnerado y restablecer el supuesto perjuicio provocado, porque ello supondría exigir a la presidencia de la Cámara una intervención parecida a la del Tribunal Constitucional, que no le corresponde.</w:t>
      </w:r>
    </w:p>
    <w:p w14:paraId="0200A24A" w14:textId="77777777" w:rsidR="008D479B" w:rsidRDefault="008D479B" w:rsidP="008D479B">
      <w:pPr>
        <w:pStyle w:val="TextoNormal"/>
      </w:pPr>
    </w:p>
    <w:p w14:paraId="70F84F58" w14:textId="77777777" w:rsidR="008D479B" w:rsidRDefault="008D479B" w:rsidP="008D479B">
      <w:pPr>
        <w:pStyle w:val="TextoNormal"/>
      </w:pPr>
      <w:r>
        <w:t>d) La anterior argumentación lleva a descartar la supuesta vulneración del derecho alegada en la demanda: la solicitud de información fue admitida y tramitada por la mesa de la Cámara y, una vez recibida la contestación del Gobierno y solicitado el amparo de la presidencia, esta respondió ajustándose a la costumbre parlamentaria en esta materia. No “convalida”, “afianza” ni “sanciona” la decisión del Gobierno, como denuncia la demanda, sino que se limita a apreciar que dicha contestación incluye razones fundadas en Derecho que, por lo menos superficialmente, pueden justificar la negativa del Gobierno, sin juzgar definitivamente la cuestión ni denegar el amparo, sino protegiendo a los diputados conforme a la práctica habitual. Vuelve a actuar de nexo o de órgano de interlocución entre los diputados y el Gobierno, pero no puede requerir la información en los términos pretendidos por los solicitantes, porque ello hubiera excedido tanto de sus facultades como de la propia configuración del derecho de los diputados, según resulta de los arts. 32 y 7 RCD.</w:t>
      </w:r>
    </w:p>
    <w:p w14:paraId="4CDA827D" w14:textId="77777777" w:rsidR="008D479B" w:rsidRDefault="008D479B" w:rsidP="008D479B">
      <w:pPr>
        <w:pStyle w:val="TextoNormal"/>
      </w:pPr>
    </w:p>
    <w:p w14:paraId="68169867" w14:textId="77777777" w:rsidR="008D479B" w:rsidRDefault="008D479B" w:rsidP="008D479B">
      <w:pPr>
        <w:pStyle w:val="TextoNormal"/>
      </w:pPr>
      <w:r>
        <w:t>Analiza a continuación la respuesta del Gobierno, a los meros efectos de defender la contestación de la presidencia de la Cámara ante el amparo solicitado. Y constata que se invocan diversos preceptos legales referidos al tratamiento de datos de carácter personal que, “como primera aproximación, guardan relación con lo solicitado”. Añadiendo que “[l]a presidencia de la Cámara no conoce el contenido exacto de los expedientes solicitados y, sin poder verificarlo, tiene que aceptar, por respeto institucional”, la argumentación del Gobierno, ya que de otra manera se estaría excediendo en su función. Descarta la aplicabilidad de la doctrina sentada en las SSTC 181/1989 y 210/2016, invocadas por los recurrentes, en tanto la primera no resolvía sobre un amparo presidencial sino sobre una resolución interpretativa que limitaba el derecho de los diputados a solicitar y acceder a la información solicitada; y la segunda versaba sobre un asunto completamente diferente, como era el “derecho al olvido digital” y la retirada en un motor de búsqueda en Internet de un enlace a la publicación de un indulto en el “Boletín Oficial del Estado”, publicación que es legalmente obligatoria a diferencia de lo que ocurre con los informes y documentos que integran los expedientes de los indultos, que es lo que solicitan los parlamentarios. Y recuerda, por el contrario, la STS 195/2022 que resolvió —desestimando el recurso, y respaldando pues la fundamentación del Gobierno para denegar la solicitud— lo que considera como “un caso parecido al presente”: una petición parlamentaria de información referida a un expediente penitenciario. Concluye así que se trata de aspectos cuya resolución correspondería, en todo caso, al órgano jurisdiccional competente, en un proceso concreto cuyo objeto fuese la decisión del Gobierno, y ajenos por tanto a la decisión de la Presidencia de la Cámara aquí controvertida.</w:t>
      </w:r>
    </w:p>
    <w:p w14:paraId="7764EFEE" w14:textId="77777777" w:rsidR="008D479B" w:rsidRDefault="008D479B" w:rsidP="008D479B">
      <w:pPr>
        <w:pStyle w:val="TextoNormal"/>
      </w:pPr>
    </w:p>
    <w:p w14:paraId="183013E4" w14:textId="77777777" w:rsidR="008D479B" w:rsidRDefault="008D479B" w:rsidP="008D479B">
      <w:pPr>
        <w:pStyle w:val="TextoNormal"/>
      </w:pPr>
      <w:r>
        <w:t>e) La ya observada configuración del mecanismo del amparo presidencial permite también descartar, a juicio de la representación de la Cámara, el segundo de los motivos de impugnación invocados. En efecto, no cabe hablar de una interpretación restrictiva de las normas que supongan una limitación del ejercicio de los derechos de los parlamentarios cuando, como aquí, no hay tal limitación, sino un mecanismo exclusivamente dirigido a proteger y facilitar el ejercicio del derecho: la presidencia emite un criterio liminar sobre la contestación del Gobierno porque tiene esa facultad, pero no impide que el diputado solicite de nuevo la información o le pida aclaración; es más, le comunica las vías reglamentarias para hacerlo y da al Gobierno una nueva oportunidad de respuesta. Por el contrario, si hubiese requerido al Gobierno la documentación, como pretendían los recurrentes, habría supuesto una práctica contra Reglamento, vulnerando tanto el art. 7 como el art. 32 RCD.</w:t>
      </w:r>
    </w:p>
    <w:p w14:paraId="197FCB82" w14:textId="77777777" w:rsidR="008D479B" w:rsidRDefault="008D479B" w:rsidP="008D479B">
      <w:pPr>
        <w:pStyle w:val="TextoNormal"/>
      </w:pPr>
    </w:p>
    <w:p w14:paraId="13339C59" w14:textId="77777777" w:rsidR="008D479B" w:rsidRDefault="008D479B" w:rsidP="008D479B">
      <w:pPr>
        <w:pStyle w:val="TextoNormal"/>
      </w:pPr>
      <w:r>
        <w:t>f) Por último, se rechaza asimismo la alegada ausencia de motivación del acuerdo impugnado, recordando la reiterada jurisprudencia constitucional conforme a la cual la motivación no ha de ser exhaustiva y pormenorizada, pudiendo ser sucinta y concisa. En el caso, estima la letrada que la motivación no era en rigor necesaria, porque no existe limitación alguna de los derechos de los parlamentarios; a pesar de lo cual el acuerdo presenta una estructura lógica, que explica sucesivamente los motivos de la decisión, partiendo del supuesto de hecho (disconformidad de los diputados solicitantes), para aclarar el alcance del examen que puede efectuar la presidencia (“liminar que permita constatar que se ha dado respuesta”), explicar por qué no considera que la solicitud no ha sido contestada (se manifiestan las “razones fundadas en Derecho” para no aportar la documentación), y dar cuenta de que se han remitido al Gobierno las observaciones de los solicitantes, informando a estos de otras posibilidades reglamentarias como pedir una aclaración o plantear una nueva iniciativa al Gobierno, y pidiéndoles que mantengan informada a la presidencia sobre cualquier circunstancia sobrevenida a este respecto.</w:t>
      </w:r>
    </w:p>
    <w:p w14:paraId="63664F55" w14:textId="77777777" w:rsidR="008D479B" w:rsidRDefault="008D479B" w:rsidP="008D479B">
      <w:pPr>
        <w:pStyle w:val="TextoNormal"/>
      </w:pPr>
    </w:p>
    <w:p w14:paraId="71783579" w14:textId="52848977" w:rsidR="008D479B" w:rsidRDefault="008D479B" w:rsidP="008D479B">
      <w:pPr>
        <w:pStyle w:val="TextoNormal"/>
      </w:pPr>
      <w:r>
        <w:t>El escrito finaliza reiterando que la actuación de la presidenta, objeto único de este recurso, no vulneró el derecho de los recurrentes; sin perjuicio de señalar la existencia de otras vías para controlar al Gobierno, tanto generales (preguntas, interpelaciones o comparecencias) como específicas (con particular referencia a las comparecencias previstas en la disposición adicional de la Ley de 18 de junio de 1870, reguladora de la gracia de indulto, para presentar los datos del informe semestral que el Gobierno debe remitir al Congreso “sobre la concesión y denegación de indultos”). Por tanto, aunque el artículo 7 RCD no pueda servir en este caso para obtener la información requerida, existen otras vías parlamentarias que garantizan el control parlamentario del Gobierno, también en esta materia.</w:t>
      </w:r>
    </w:p>
    <w:p w14:paraId="5FB98D4F" w14:textId="77777777" w:rsidR="008D479B" w:rsidRDefault="008D479B" w:rsidP="008D479B">
      <w:pPr>
        <w:pStyle w:val="TextoNormal"/>
      </w:pPr>
    </w:p>
    <w:p w14:paraId="386FFE14" w14:textId="77777777" w:rsidR="008D479B" w:rsidRDefault="008D479B" w:rsidP="008D479B">
      <w:pPr>
        <w:pStyle w:val="TextoNormal"/>
      </w:pPr>
      <w:r w:rsidRPr="008D479B">
        <w:rPr>
          <w:rStyle w:val="NumeroAFNegritaCaracter"/>
        </w:rPr>
        <w:t>8</w:t>
      </w:r>
      <w:r>
        <w:t>. El Ministerio Fiscal, por escrito registrado el 15 de septiembre de 2022, interesa se dicte sentencia estimando el recurso de amparo interpuesto, declarando vulnerado el derecho de representación política del artículo 23.2 CE de los demandantes, en relación con el derecho de los ciudadanos a participar en los asuntos públicos a través de sus representantes, y declarando la nulidad del acuerdo de 13 de septiembre de 2021 de la presidenta del Congreso de los Diputados, objeto de impugnación.</w:t>
      </w:r>
    </w:p>
    <w:p w14:paraId="476C63C9" w14:textId="77777777" w:rsidR="008D479B" w:rsidRDefault="008D479B" w:rsidP="008D479B">
      <w:pPr>
        <w:pStyle w:val="TextoNormal"/>
      </w:pPr>
    </w:p>
    <w:p w14:paraId="6F3D17B7" w14:textId="77777777" w:rsidR="008D479B" w:rsidRDefault="008D479B" w:rsidP="008D479B">
      <w:pPr>
        <w:pStyle w:val="TextoNormal"/>
      </w:pPr>
      <w:r>
        <w:t>a) Tras una minuciosa exposición de los antecedentes y del contenido de la demanda, subraya el escrito que, en principio, la obligación de motivar la negativa es del Gobierno y no se exige del órgano de la Cámara otra obligación que trasladar la respuesta al solicitante de la información sin que pueda fiscalizar la respuesta de la administración. Ello no obstante, afirma que debe examinarse el acuerdo controvertido “y la respuesta dada por el Gobierno para fundamentar la negativa a facilitar la información ya que aquel acuerdo entra a valorar las razones aducidas por el Gobierno a tal fin y las hace suyas”.</w:t>
      </w:r>
    </w:p>
    <w:p w14:paraId="0E020DAD" w14:textId="77777777" w:rsidR="008D479B" w:rsidRDefault="008D479B" w:rsidP="008D479B">
      <w:pPr>
        <w:pStyle w:val="TextoNormal"/>
      </w:pPr>
    </w:p>
    <w:p w14:paraId="052AA483" w14:textId="77777777" w:rsidR="008D479B" w:rsidRDefault="008D479B" w:rsidP="008D479B">
      <w:pPr>
        <w:pStyle w:val="TextoNormal"/>
      </w:pPr>
      <w:r>
        <w:t xml:space="preserve">El análisis arranca recordando la doctrina constitucional sobre el contenido y protección del </w:t>
      </w:r>
      <w:r w:rsidRPr="008D479B">
        <w:rPr>
          <w:i/>
        </w:rPr>
        <w:t>ius in officium</w:t>
      </w:r>
      <w:r>
        <w:t xml:space="preserve"> del parlamentario, sintetizada en la STC 168/2021, de 5 de octubre, FJ 3 B) a); así como la consiguiente obligación de los órganos parlamentarios de interpretar restrictivamente, y de forma motivada, todas aquellas normas que puedan suponer una limitación de los “derechos o atribuciones que integran el status constitucionalmente relevante del representante público” [STC 208/2003, de 1 de diciembre, FJ 4 b)]. A continuación, revisa igualmente los pronunciamientos de este tribunal sobre el derecho de información de los parlamentarios (regulado en el caso del Congreso por el art. 7 de su Reglamento), destacando que es un derecho individual de los diputados, por más que su ejercicio “quede condicionad[o] a su admisión por la mesa y a su tramitación </w:t>
      </w:r>
      <w:r w:rsidRPr="008D479B">
        <w:rPr>
          <w:i/>
        </w:rPr>
        <w:t>ad extra</w:t>
      </w:r>
      <w:r>
        <w:t xml:space="preserve"> a través del presidente de la Cámara” (STC 57/2011, FJ 4). Un derecho que “comprende tanto el de solicitar una determinada información de las administraciones públicas como el de obtenerla de estas. Lo que determina que su ejercicio se encuadre en las relaciones institucionales ‘entre Ejecutivo y Legislativo’ y, consiguientemente, que este derecho pueda ser lesionado ‘bien por el Ejecutivo, bien por los propios órganos de las Cámaras’” (STC 203/2001, FJ 3).</w:t>
      </w:r>
    </w:p>
    <w:p w14:paraId="28EC77FC" w14:textId="77777777" w:rsidR="008D479B" w:rsidRDefault="008D479B" w:rsidP="008D479B">
      <w:pPr>
        <w:pStyle w:val="TextoNormal"/>
      </w:pPr>
    </w:p>
    <w:p w14:paraId="449CD35A" w14:textId="77777777" w:rsidR="008D479B" w:rsidRDefault="008D479B" w:rsidP="008D479B">
      <w:pPr>
        <w:pStyle w:val="TextoNormal"/>
      </w:pPr>
      <w:r>
        <w:t>b) A partir de esas consideraciones, subraya el fiscal que “[l]a cuestión es determinar si la obligación del órgano de la Cámara […] se agota con dar trámite a toda solicitud de información que sea acorde a las disposiciones del Reglamento de la Cámara o los órganos de gobierno de la Cámara, en este caso, la Presidencia […] pueden fiscalizar la respuesta” del Gobierno. A este respecto, recuerda nuevamente la doctrina constitucional, citando en primer lugar la STC 220/1991, de 25 de noviembre, FJ 5, que concluía afirmando que “[n]o corresponde a este Tribunal Constitucional” decidir si la negativa gubernamental a informar “es políticamente oportuna, sino tan solo reiterar que la denegación o incompleta satisfacción de una pregunta o petición de información formuladas por parlamentarios no supone, por sí misma, la vulneración del derecho fundamental al ejercicio del cargo garantizado por el art. 23 de la CE, que no comprende el derecho a una respuesta con un concreto contenido, puesto que el cauce de control de tal actuación gubernamental es el de la acción política de dichos parlamentarios; ya se deja dicho que lo contrario sería suplantar dicha acción política por la que este tribunal, con manifiesto exceso en el ejercicio de su función y competencias e indebida desnaturalización del ámbito del art. 23, extendiéndolo más allá de los límites que le son propios”. Sin embargo, recuerda el escrito, la STC 196/1990, de 29 de noviembre, matizaba esa afirmación al señalar que “[a] este tribunal no le corresponde el control de cualesquiera alteraciones o irregularidades que se produzcan, dentro del ámbito parlamentario, en las relaciones políticas o institucionales entre Legislativo y Ejecutivo, pero sí le compete ciertamente el conocimiento y, en su caso, la reparación de las lesiones de derechos fundamentales que excepcionalmente tengan lugar en dicho campo” (FJ 6).</w:t>
      </w:r>
    </w:p>
    <w:p w14:paraId="6F1A710D" w14:textId="77777777" w:rsidR="008D479B" w:rsidRDefault="008D479B" w:rsidP="008D479B">
      <w:pPr>
        <w:pStyle w:val="TextoNormal"/>
      </w:pPr>
    </w:p>
    <w:p w14:paraId="2F05C069" w14:textId="77777777" w:rsidR="008D479B" w:rsidRDefault="008D479B" w:rsidP="008D479B">
      <w:pPr>
        <w:pStyle w:val="TextoNormal"/>
      </w:pPr>
      <w:r>
        <w:t>c) Tras revisar esos antecedentes doctrinales, el escrito resume lo sucedido en el supuesto controvertido, señalando que “[l]a mesa remitió la solicitud de información y ha sido el Gobierno el que no la ha satisfecho. La intervención de la presidenta de la Cámara, conforme al art. 7 […] RCD, es trasladar la respuesta del Gobierno al diputado solicitante de la información. En consecuencia, en principio, se puede concluir que ninguna lesión del derecho de información de los diputados se habría producido por estos dos órganos de gobierno de la Cámara”.</w:t>
      </w:r>
    </w:p>
    <w:p w14:paraId="1B0DCC35" w14:textId="77777777" w:rsidR="008D479B" w:rsidRDefault="008D479B" w:rsidP="008D479B">
      <w:pPr>
        <w:pStyle w:val="TextoNormal"/>
      </w:pPr>
    </w:p>
    <w:p w14:paraId="1E1A60CD" w14:textId="77777777" w:rsidR="008D479B" w:rsidRDefault="008D479B" w:rsidP="008D479B">
      <w:pPr>
        <w:pStyle w:val="TextoNormal"/>
      </w:pPr>
      <w:r>
        <w:t>Añade que “[e]l Reglamento no contiene previsión alguna que habilite a la Presidencia del Congreso de los Diputados a valorar la respuesta negativa del Gobierno y las razones de esta, sino que impone al Gobierno manifestar las razones fundadas en que fundamenta su negativa ‘para su más conveniente traslado al solicitante’”. Así pues, “[e]l destinatario de la información no es la Presidencia de la Cámara sino el diputado que• solicitó la información por lo que la relación que el derecho de información genera lo es entre el Gobierno y el diputado […], lo que supone que la valoración de la conducta del Gobierno corresponda al diputado y no a los órganos de gobierno de la Cámara de manera que la fiscalización de la conducta del Gobierno no le correspondería a la Presidencia”. Algo, además, lógico: “malamente puede el órgano de la Cámara valorar ‘las razones fundadas’ del Gobierno cuando no dispone de la documentación e información solicitada y, por tanto, carecería de elementos para valorar[las]”. De ahí que el examen de la negativa del Gobierno por parte de la presidencia de la Cámara solo pueda ser “de carácter liminar”, esto es, “un análisis de los requisitos que establece el precepto reglamentario sin llevar a cabo un examen material de los motivos alegados por el Gobierno para denegar la información solicitada. Reglamentariamente no le era exigible a la Presidencia de la Cámara respuesta alguna”.</w:t>
      </w:r>
    </w:p>
    <w:p w14:paraId="27C1D733" w14:textId="77777777" w:rsidR="008D479B" w:rsidRDefault="008D479B" w:rsidP="008D479B">
      <w:pPr>
        <w:pStyle w:val="TextoNormal"/>
      </w:pPr>
    </w:p>
    <w:p w14:paraId="6F749D75" w14:textId="77777777" w:rsidR="008D479B" w:rsidRDefault="008D479B" w:rsidP="008D479B">
      <w:pPr>
        <w:pStyle w:val="TextoNormal"/>
      </w:pPr>
      <w:r>
        <w:t>Adicionalmente, se apunta que “[e]n todo caso, la jurisprudencia del Tribunal Supremo habilita a los diputados, frente a la negativa del Gobierno a facilitar la información o documentación solicitada a través de la Cámara legislativa, a entablar recurso contencioso-administrativo, en el caso, ante el Tribunal Supremo que valorará la razonabilidad de la respuesta del Gobierno […], circunstancia esta que no es objeto de recurso”.</w:t>
      </w:r>
    </w:p>
    <w:p w14:paraId="38133F17" w14:textId="77777777" w:rsidR="008D479B" w:rsidRDefault="008D479B" w:rsidP="008D479B">
      <w:pPr>
        <w:pStyle w:val="TextoNormal"/>
      </w:pPr>
    </w:p>
    <w:p w14:paraId="009963A9" w14:textId="77777777" w:rsidR="008D479B" w:rsidRDefault="008D479B" w:rsidP="008D479B">
      <w:pPr>
        <w:pStyle w:val="TextoNormal"/>
      </w:pPr>
      <w:r>
        <w:t>d) Dicho todo lo anterior, a juicio del Ministerio Público el acuerdo impugnado “ha venido a validar la contestación dada por el Gobierno”: al declarar “que este ‘manifiesta las razones fundadas en Derecho que impiden facilitar la información solicitada’, […] hace suyas estas razones para afirmar que el Gobierno” ha cumplido lo previsto en el art. 7 RCD, “valorando así la respuesta gubernamental”, por más que el acuerdo niegue que le corresponde tal valoración. A partir de esa constatación, “dado que el acuerdo de la Presidencia de la Cámara […] ha valorado y validado la existencia de las ‘razones fundadas’ en la contestación del Gobierno, procede analizar, por tanto, si el acuerdo está motivado y es respetuoso con el derecho del art. 23.2 CE de los diputados recurrentes”. Lo que lleva, a su vez, a “analizar los motivos del Gobierno para denegar la información solicitada”, motivos que el acuerdo impugnado asumió para dar respuesta a la solicitud de amparo.</w:t>
      </w:r>
    </w:p>
    <w:p w14:paraId="30E0E041" w14:textId="77777777" w:rsidR="008D479B" w:rsidRDefault="008D479B" w:rsidP="008D479B">
      <w:pPr>
        <w:pStyle w:val="TextoNormal"/>
      </w:pPr>
    </w:p>
    <w:p w14:paraId="53D177C8" w14:textId="77777777" w:rsidR="008D479B" w:rsidRDefault="008D479B" w:rsidP="008D479B">
      <w:pPr>
        <w:pStyle w:val="TextoNormal"/>
      </w:pPr>
      <w:r>
        <w:t>A tal efecto, reflexiona el fiscal sobre la noción de “razones fundadas”, aplicando al caso los argumentos que, con referencia al derecho de reunión, hacía la STC 193/2011, de 12 de diciembre. Considera que implican, en primer lugar, una “exigencia de motivación” que aporte las razones que han llevado al Gobierno a concluir que no puede facilitar la información interesada por los diputados a través de la Cámara. Y no basta una simple motivación, sino que ha de estar “fundada”, en el sentido de valorar si se produce una afectación grave y desproporcionada respecto de otros derechos fundamentales o bienes protegidos por nuestra Constitución, ya que “solo razones convincentes pued[e]n justificar el sacrificio del derecho del artículo 23.2 CE, en cuyo núcleo esencial se integra la facultad” parlamentaria de solicitar información a las administraciones públicas.</w:t>
      </w:r>
    </w:p>
    <w:p w14:paraId="111D5EF8" w14:textId="77777777" w:rsidR="008D479B" w:rsidRDefault="008D479B" w:rsidP="008D479B">
      <w:pPr>
        <w:pStyle w:val="TextoNormal"/>
      </w:pPr>
    </w:p>
    <w:p w14:paraId="79B6BA20" w14:textId="244AFB0E" w:rsidR="008D479B" w:rsidRDefault="008D479B" w:rsidP="008D479B">
      <w:pPr>
        <w:pStyle w:val="TextoNormal"/>
      </w:pPr>
      <w:r>
        <w:t>Tales razonamientos conducen a afirmar que, ciertamente, “el Gobierno viene obligado a ponderar la existencia de otros bienes y derechos constitucionales, como son los protegidos por el derecho a la protección de datos de carácter personal del art. 18.4 CE” que invoca en su contestación. Ahora bien, “las razones expuestas por los diputados recurrentes hubieran permitido paliar la injerencia en el derecho fundamental de los afectados como habilita la Ley 19/2013, de 9 de diciembre, mediante la disociación de aquellos datos que fueran de carácter personal, familiar, social o estuvieran referidos a ilícitos penales, además, que bien pudo el Gobierno recabar, previamente a su respuesta, el consentimiento a los afectados, lo que supone la existencia de alternativas a poder facilitar la información solicitada y más cuando, como indican los recurrentes, su solicitud de información estaba referida no a estas circunstancias, sino a las razones de la concesión de los indultos”. En conclusión, “al hacer suyas las razones fundadas del Gobierno, el acuerdo impugnado, y por los argumentos expuestos, lesiona el derecho de los diputados recurrentes de representación política del art. 23.2 CE”, haciendo procedente la estimación del amparo solicitado.</w:t>
      </w:r>
    </w:p>
    <w:p w14:paraId="42E14D63" w14:textId="77777777" w:rsidR="008D479B" w:rsidRDefault="008D479B" w:rsidP="008D479B">
      <w:pPr>
        <w:pStyle w:val="TextoNormal"/>
      </w:pPr>
    </w:p>
    <w:p w14:paraId="59A852E4" w14:textId="4CF58E42" w:rsidR="008D479B" w:rsidRDefault="008D479B" w:rsidP="008D479B">
      <w:pPr>
        <w:pStyle w:val="TextoNormal"/>
      </w:pPr>
      <w:r w:rsidRPr="008D479B">
        <w:rPr>
          <w:rStyle w:val="NumeroAFNegritaCaracter"/>
        </w:rPr>
        <w:t>9</w:t>
      </w:r>
      <w:r>
        <w:t>. Por medio de diligencia de 19 de septiembre de 2022 de la Secretaría de Justicia del Pleno, se hace constar que han formulado escrito de alegaciones la letrada de las Cortes Generales, en nombre y representación del Congreso de los Diputados, y el Ministerio Fiscal, quedando el recurso de amparo pendiente para deliberación cuando por turno corresponda.</w:t>
      </w:r>
    </w:p>
    <w:p w14:paraId="7D3032CC" w14:textId="77777777" w:rsidR="008D479B" w:rsidRDefault="008D479B" w:rsidP="008D479B">
      <w:pPr>
        <w:pStyle w:val="TextoNormal"/>
      </w:pPr>
    </w:p>
    <w:p w14:paraId="20A1CC11" w14:textId="0607745B" w:rsidR="008D479B" w:rsidRDefault="008D479B" w:rsidP="008D479B">
      <w:pPr>
        <w:pStyle w:val="TextoNormal"/>
      </w:pPr>
      <w:r w:rsidRPr="008D479B">
        <w:rPr>
          <w:rStyle w:val="NumeroAFNegritaCaracter"/>
        </w:rPr>
        <w:t>10</w:t>
      </w:r>
      <w:r>
        <w:t>. Mediante escrito dirigido al presidente del Tribunal Constitucional, de fecha 26 de enero de 2023, el magistrado don Juan Carlos Campo Moreno elevó al Pleno, al amparo de lo previsto en los artículos 217 y 221 de la Ley Orgánica del Poder Judicial, su petición de abstención en diversos procedimientos, entre ellos el que aquí se tramita, recurso de amparo 7813-2021). El Pleno, por ATC 29/2023, de 7 de febrero, acordó estimar justificada la abstención, apartándole, pues, definitivamente del conocimiento de este recurso.</w:t>
      </w:r>
    </w:p>
    <w:p w14:paraId="27D48A56" w14:textId="77777777" w:rsidR="008D479B" w:rsidRDefault="008D479B" w:rsidP="008D479B">
      <w:pPr>
        <w:pStyle w:val="TextoNormal"/>
      </w:pPr>
    </w:p>
    <w:p w14:paraId="6848DC2F" w14:textId="4E33D602" w:rsidR="008D479B" w:rsidRDefault="008D479B" w:rsidP="008D479B">
      <w:pPr>
        <w:pStyle w:val="TextoNormal"/>
      </w:pPr>
      <w:r w:rsidRPr="008D479B">
        <w:rPr>
          <w:rStyle w:val="NumeroAFNegritaCaracter"/>
        </w:rPr>
        <w:t>11</w:t>
      </w:r>
      <w:r>
        <w:t>. Por providencia de 21 de noviembre de 2023, se señaló ese mismo día para la deliberación y votación de la presente sentencia.</w:t>
      </w:r>
    </w:p>
    <w:p w14:paraId="390A772B" w14:textId="77777777" w:rsidR="008D479B" w:rsidRDefault="008D479B" w:rsidP="008D479B">
      <w:pPr>
        <w:pStyle w:val="TextoNormal"/>
      </w:pPr>
    </w:p>
    <w:p w14:paraId="1BB5999A" w14:textId="77777777" w:rsidR="008D479B" w:rsidRDefault="008D479B" w:rsidP="008D479B">
      <w:pPr>
        <w:pStyle w:val="TextoNormalNegritaCentrado"/>
        <w:keepNext/>
      </w:pPr>
      <w:r>
        <w:t>II. Fundamentos jurídicos</w:t>
      </w:r>
    </w:p>
    <w:p w14:paraId="16A938D5" w14:textId="74F5FB46" w:rsidR="008D479B" w:rsidRDefault="008D479B" w:rsidP="008D479B">
      <w:pPr>
        <w:pStyle w:val="TextoNormalNegritaCentrado"/>
        <w:keepNext/>
      </w:pPr>
    </w:p>
    <w:p w14:paraId="6ECE1FBD" w14:textId="77777777" w:rsidR="008D479B" w:rsidRDefault="008D479B" w:rsidP="008D479B">
      <w:pPr>
        <w:pStyle w:val="TextoNormal"/>
      </w:pPr>
      <w:r w:rsidRPr="008D479B">
        <w:rPr>
          <w:rStyle w:val="NumeroAFNegritaCaracter"/>
        </w:rPr>
        <w:t>1</w:t>
      </w:r>
      <w:r>
        <w:t>. Objeto del recurso y pretensiones de las partes</w:t>
      </w:r>
    </w:p>
    <w:p w14:paraId="662AB2A8" w14:textId="77777777" w:rsidR="008D479B" w:rsidRDefault="008D479B" w:rsidP="008D479B">
      <w:pPr>
        <w:pStyle w:val="TextoNormal"/>
      </w:pPr>
    </w:p>
    <w:p w14:paraId="0F6E2CF3" w14:textId="77777777" w:rsidR="008D479B" w:rsidRDefault="008D479B" w:rsidP="008D479B">
      <w:pPr>
        <w:pStyle w:val="TextoNormal"/>
      </w:pPr>
      <w:r>
        <w:t>a) El presente recurso de amparo, interpuesto de conformidad con el art. 42 LOTC por la representación de cuatro miembros del Grupo Parlamentario Popular del Congreso de los Diputados, tiene por objeto la impugnación del acuerdo de la presidenta de dicha Cámara de 13 de septiembre de 2021 por el que, a juicio de los recurrentes, “se rechaza ofrecer amparo a los diputados del Grupo Parlamentario Popular” respecto a “la obtención de informes y documentos solicitados al Gobierno, en el ejercicio de su función representativa”, y en particular ante la denegación por el Gobierno del acceso a “todos los informes y documentos que integran los expedientes de indulto correspondientes a los nueve presos condenados en el juicio del procés que han sido beneficiados por la concesión de los correspondientes indultos en el Consejo de Ministros el 22 de junio de 2021”.</w:t>
      </w:r>
    </w:p>
    <w:p w14:paraId="0C9F860F" w14:textId="77777777" w:rsidR="008D479B" w:rsidRDefault="008D479B" w:rsidP="008D479B">
      <w:pPr>
        <w:pStyle w:val="TextoNormal"/>
      </w:pPr>
    </w:p>
    <w:p w14:paraId="58FC0EED" w14:textId="77777777" w:rsidR="008D479B" w:rsidRDefault="008D479B" w:rsidP="008D479B">
      <w:pPr>
        <w:pStyle w:val="TextoNormal"/>
      </w:pPr>
      <w:r>
        <w:t>Como expone con mayor detalle el antecedente 2 de esta sentencia, el acuerdo impugnado se inserta en el procedimiento parlamentario iniciado por los diputados que ahora solicitan amparo el 23 de junio de 2021, cuando solicitaron al Ministerio de Justicia y a la Presidencia del Gobierno, “para el mejor cumplimiento de sus funciones parlamentarias”, y al amparo de lo establecido en el art. 7 RCD, “los informes y documentos que integran los expedientes de indulto” relacionados en el párrafo anterior. En su respuesta, fechada el 2 de septiembre de 2021, el Gobierno señaló que “no es posible dar acceso a los expedientes solicitados, dado que los mismos contienen circunstancias personales, familiares y sociales, así como datos de ilícitos penales que no se pueden divulgar sin contar con el consentimiento expreso del afectado” (invocando en sustento de su posición los arts. 15.1, segundo párrafo, de la Ley 19/2013, de 9 de diciembre, de transparencia, acceso a la información pública y buen gobierno, y el 10.1 de la Ley Orgánica 3/2018, de 5 de diciembre, de protección de datos personales y garantía de los derechos digitales), “o bien transcurridos los plazos establecidos en el artículo 57 de la Ley 16/1985, de 25 de junio, del patrimonio histórico español”.</w:t>
      </w:r>
    </w:p>
    <w:p w14:paraId="112C4016" w14:textId="77777777" w:rsidR="008D479B" w:rsidRDefault="008D479B" w:rsidP="008D479B">
      <w:pPr>
        <w:pStyle w:val="TextoNormal"/>
      </w:pPr>
    </w:p>
    <w:p w14:paraId="19F86CC8" w14:textId="77777777" w:rsidR="008D479B" w:rsidRDefault="008D479B" w:rsidP="008D479B">
      <w:pPr>
        <w:pStyle w:val="TextoNormal"/>
      </w:pPr>
      <w:r>
        <w:t>A la vista de esta contestación, los diputados recurrentes solicitaron, mediante escrito dirigido a la mesa el 10 de septiembre de 2021, “[e]l amparo de la presidenta del Congreso para que se dirija al Gobierno, instándole a responder completamente a la solicitud de todos los informes y documentos” requeridos. Dicha solicitud fue respondida por la presidenta del Congreso de los Diputados mediante el acuerdo de 13 de septiembre de 2021, objeto del presente recurso de amparo, manifestando lo siguiente:</w:t>
      </w:r>
    </w:p>
    <w:p w14:paraId="2FB228B7" w14:textId="77777777" w:rsidR="008D479B" w:rsidRDefault="008D479B" w:rsidP="008D479B">
      <w:pPr>
        <w:pStyle w:val="TextoNormal"/>
      </w:pPr>
    </w:p>
    <w:p w14:paraId="5527A5BE" w14:textId="77777777" w:rsidR="008D479B" w:rsidRDefault="008D479B" w:rsidP="008D479B">
      <w:pPr>
        <w:pStyle w:val="TextoNormal"/>
      </w:pPr>
      <w:r>
        <w:t>“No se trata en este caso de que el Gobierno no haya enviado su contestación en el plazo reglamentariamente establecido al efecto, sino de un supuesto distinto en el que manifiesta su disconformidad o insatisfacción con la contestación remitida por el Gobierno, por entenderla insuficiente o inadecuada, lo que conlleva una valoración que [a] esta Presidencia no corresponde realizar más allá de un examen liminar que permita constatar que por el Gobierno se ha dado respuesta a la iniciativa presentada.</w:t>
      </w:r>
    </w:p>
    <w:p w14:paraId="5B591866" w14:textId="77777777" w:rsidR="008D479B" w:rsidRDefault="008D479B" w:rsidP="008D479B">
      <w:pPr>
        <w:pStyle w:val="TextoNormal"/>
      </w:pPr>
    </w:p>
    <w:p w14:paraId="6103CB53" w14:textId="77777777" w:rsidR="008D479B" w:rsidRDefault="008D479B" w:rsidP="008D479B">
      <w:pPr>
        <w:pStyle w:val="TextoNormal"/>
      </w:pPr>
      <w:r>
        <w:t>Realizado dicho examen liminar, no considera esta Presidencia que el Gobierno haya dejado sin contestación su solicitud de informe sino que, al amparo de lo dispuesto en el artículo 7 del Reglamento, aquel manifiesta las razones fundadas en Derecho que impiden facilitar la información solicitada, sin perjuicio de la valoración que el contenido de la respuesta le merezca como destinataria de la misma.</w:t>
      </w:r>
    </w:p>
    <w:p w14:paraId="2564A3AB" w14:textId="77777777" w:rsidR="008D479B" w:rsidRDefault="008D479B" w:rsidP="008D479B">
      <w:pPr>
        <w:pStyle w:val="TextoNormal"/>
      </w:pPr>
    </w:p>
    <w:p w14:paraId="390EDD4A" w14:textId="77777777" w:rsidR="008D479B" w:rsidRDefault="008D479B" w:rsidP="008D479B">
      <w:pPr>
        <w:pStyle w:val="TextoNormal"/>
      </w:pPr>
      <w:r>
        <w:t>Ello no obstante, adjunto le remito copia del escrito que con esta misma fecha he trasladado al ministro de la Presidencia, Relaciones con las Cortes y Memoria Democrática, a los efectos oportunos, al tiempo que me permito señalar a su señoría la posibilidad reglamentaria de solicitar del Gobierno una aclaración o de plantear nuevas iniciativas para su contestación.</w:t>
      </w:r>
    </w:p>
    <w:p w14:paraId="275556A4" w14:textId="77777777" w:rsidR="008D479B" w:rsidRDefault="008D479B" w:rsidP="008D479B">
      <w:pPr>
        <w:pStyle w:val="TextoNormal"/>
      </w:pPr>
    </w:p>
    <w:p w14:paraId="10D4CCCB" w14:textId="77777777" w:rsidR="008D479B" w:rsidRDefault="008D479B" w:rsidP="008D479B">
      <w:pPr>
        <w:pStyle w:val="TextoNormal"/>
      </w:pPr>
      <w:r>
        <w:t>En todo caso, si su señoría optase por alguna de las opciones que le señalo, le ruego me mantenga informado sobre cualquier circunstancia que se produjera en relación con las iniciativas que VE plantee”.</w:t>
      </w:r>
    </w:p>
    <w:p w14:paraId="6703E020" w14:textId="77777777" w:rsidR="008D479B" w:rsidRDefault="008D479B" w:rsidP="008D479B">
      <w:pPr>
        <w:pStyle w:val="TextoNormal"/>
      </w:pPr>
    </w:p>
    <w:p w14:paraId="61802DFD" w14:textId="77777777" w:rsidR="008D479B" w:rsidRDefault="008D479B" w:rsidP="008D479B">
      <w:pPr>
        <w:pStyle w:val="TextoNormal"/>
      </w:pPr>
      <w:r>
        <w:t>Paralelamente, tal y como anuncia este acuerdo, en otro escrito de esa misma fecha la presidenta del Congreso comunicó al ministro de la Presidencia, Relaciones con las Cortes y Memoria Democrática que los diputados autores de la solicitud de información, a la vista de la contestación del Gobierno, habían pedido el amparo de la Presidencia de la Cámara, manifestando “su disconformidad o insatisfacción” con dicha contestación “por entenderla insuficiente o inadecuada, lo que conlleva una valoración que a esta Presidencia no corresponde realizar”. Por lo tanto, le da traslado del escrito con “las consideraciones que formulan los señores diputados […] a los efectos oportunos, con el ruego de que traslade a esta Presidencia las consideraciones que, en su caso, estime pertinentes”.</w:t>
      </w:r>
    </w:p>
    <w:p w14:paraId="4B84EB17" w14:textId="77777777" w:rsidR="008D479B" w:rsidRDefault="008D479B" w:rsidP="008D479B">
      <w:pPr>
        <w:pStyle w:val="TextoNormal"/>
      </w:pPr>
    </w:p>
    <w:p w14:paraId="6662896E" w14:textId="77777777" w:rsidR="008D479B" w:rsidRDefault="008D479B" w:rsidP="008D479B">
      <w:pPr>
        <w:pStyle w:val="TextoNormal"/>
      </w:pPr>
      <w:r>
        <w:t>b) A la vista de tales antecedentes, parece necesario delimitar con precisión el objeto del recurso: como subraya la representación procesal del Congreso de los Diputados, el amparo que se solicita se refiere solamente al acuerdo de la presidenta de la Cámara, y no a la contestación del Gobierno; la cual, por tanto, no puede discutirse por esta vía, debiendo cuestionarse, en su caso, ante la jurisdicción contencioso-administrativa, conforme reiterada jurisprudencia dictada por la Sala de lo Contencioso-Administrativo del Tribunal Supremo. En consecuencia, nuestro enjuiciamiento ha de ceñirse a dicho acuerdo, cuyo control en su caso ha de respetar escrupulosamente los principios de autonomía parlamentaria y división de poderes. La contestación del Gobierno, pues, solo podrá ser aquí tenida en cuenta, en su caso, en la medida en que pueda considerarse que integra el acuerdo controvertido, excusando cualquier examen de las —abundantes— alegaciones expresamente referidas a la misma en la demanda.</w:t>
      </w:r>
    </w:p>
    <w:p w14:paraId="2DC244CB" w14:textId="77777777" w:rsidR="008D479B" w:rsidRDefault="008D479B" w:rsidP="008D479B">
      <w:pPr>
        <w:pStyle w:val="TextoNormal"/>
      </w:pPr>
    </w:p>
    <w:p w14:paraId="2E5CCD3A" w14:textId="77777777" w:rsidR="008D479B" w:rsidRDefault="008D479B" w:rsidP="008D479B">
      <w:pPr>
        <w:pStyle w:val="TextoNormal"/>
      </w:pPr>
      <w:r>
        <w:t xml:space="preserve">c) El recurso considera que el citado acuerdo de la presidenta ha vulnerado el </w:t>
      </w:r>
      <w:r w:rsidRPr="008D479B">
        <w:rPr>
          <w:i/>
        </w:rPr>
        <w:t>ius in officium</w:t>
      </w:r>
      <w:r>
        <w:t xml:space="preserve"> de los actores, tal y como viene configurado por el Reglamento de la Cámara; incumpliendo además su obligación de proteger el ejercicio de ese derecho mediante una interpretación restrictiva, y adecuadamente motivada, de las normas limitadoras del mismo. Todo ello, al permitir que el Gobierno denegase la información y documentación solicitada por los diputados, en el ejercicio de la facultad que expresamente les reconoce el artículo 7 del Reglamento del Congreso de los Diputados, según el cual:</w:t>
      </w:r>
    </w:p>
    <w:p w14:paraId="022AAE05" w14:textId="77777777" w:rsidR="008D479B" w:rsidRDefault="008D479B" w:rsidP="008D479B">
      <w:pPr>
        <w:pStyle w:val="TextoNormal"/>
      </w:pPr>
    </w:p>
    <w:p w14:paraId="09A6D40E" w14:textId="77777777" w:rsidR="008D479B" w:rsidRDefault="008D479B" w:rsidP="008D479B">
      <w:pPr>
        <w:pStyle w:val="TextoNormal"/>
      </w:pPr>
      <w:r>
        <w:t>“1. Para el mejor cumplimiento de sus funciones parlamentarias, los diputados, previo conocimiento del respectivo grupo parlamentario, tendrán la facultad de recabar de las administraciones públicas los datos, informes o documentos que obren en poder de estas.</w:t>
      </w:r>
    </w:p>
    <w:p w14:paraId="0E7E5CA4" w14:textId="77777777" w:rsidR="008D479B" w:rsidRDefault="008D479B" w:rsidP="008D479B">
      <w:pPr>
        <w:pStyle w:val="TextoNormal"/>
      </w:pPr>
    </w:p>
    <w:p w14:paraId="71FF03FA" w14:textId="77777777" w:rsidR="008D479B" w:rsidRDefault="008D479B" w:rsidP="008D479B">
      <w:pPr>
        <w:pStyle w:val="TextoNormal"/>
      </w:pPr>
      <w:r>
        <w:t>2. La solicitud se dirigirá, en todo caso, por conducto de la Presidencia del Congreso y la administración requerida deberá facilitar la documentación solicitada o manifestar al presidente del Congreso, en plazo no superior a treinta días y para su más conveniente traslado al solicitante, las razones fundadas en Derecho que lo impidan”.</w:t>
      </w:r>
    </w:p>
    <w:p w14:paraId="7C131E38" w14:textId="77777777" w:rsidR="008D479B" w:rsidRDefault="008D479B" w:rsidP="008D479B">
      <w:pPr>
        <w:pStyle w:val="TextoNormal"/>
      </w:pPr>
    </w:p>
    <w:p w14:paraId="5D120D6F" w14:textId="0735A210" w:rsidR="008D479B" w:rsidRDefault="008D479B" w:rsidP="008D479B">
      <w:pPr>
        <w:pStyle w:val="TextoNormal"/>
      </w:pPr>
      <w:r>
        <w:t xml:space="preserve">Por su parte, la representación del Congreso de los Diputados interesa la desestimación del recurso de amparo; al contrario que el Ministerio Fiscal, el cual insta su estimación por entender que el acuerdo cuestionado vulnera el </w:t>
      </w:r>
      <w:r w:rsidRPr="008D479B">
        <w:rPr>
          <w:i/>
        </w:rPr>
        <w:t>ius in officium</w:t>
      </w:r>
      <w:r>
        <w:t xml:space="preserve"> de los recurrentes, solicitando la declaración de nulidad del mismo.</w:t>
      </w:r>
    </w:p>
    <w:p w14:paraId="4E33C1B7" w14:textId="77777777" w:rsidR="008D479B" w:rsidRDefault="008D479B" w:rsidP="008D479B">
      <w:pPr>
        <w:pStyle w:val="TextoNormal"/>
      </w:pPr>
    </w:p>
    <w:p w14:paraId="2FCF7F81" w14:textId="77777777" w:rsidR="008D479B" w:rsidRDefault="008D479B" w:rsidP="008D479B">
      <w:pPr>
        <w:pStyle w:val="TextoNormal"/>
      </w:pPr>
      <w:r w:rsidRPr="008D479B">
        <w:rPr>
          <w:rStyle w:val="NumeroAFNegritaCaracter"/>
        </w:rPr>
        <w:t>2</w:t>
      </w:r>
      <w:r>
        <w:t>. Especial trascendencia constitucional del recurso</w:t>
      </w:r>
    </w:p>
    <w:p w14:paraId="34F61F1F" w14:textId="77777777" w:rsidR="008D479B" w:rsidRDefault="008D479B" w:rsidP="008D479B">
      <w:pPr>
        <w:pStyle w:val="TextoNormal"/>
      </w:pPr>
    </w:p>
    <w:p w14:paraId="111551BF" w14:textId="639BDAF9" w:rsidR="008D479B" w:rsidRDefault="008D479B" w:rsidP="008D479B">
      <w:pPr>
        <w:pStyle w:val="TextoNormal"/>
      </w:pPr>
      <w:r>
        <w:t xml:space="preserve">La especial trascendencia constitucional de este recurso no ha sido cuestionada. No obstante, conforme a la STEDH de 20 de enero de 2015, asunto </w:t>
      </w:r>
      <w:r w:rsidRPr="008D479B">
        <w:rPr>
          <w:i/>
        </w:rPr>
        <w:t>Arribas Antón c. España</w:t>
      </w:r>
      <w:r>
        <w:t xml:space="preserve">, § 46, exigencias de certeza y buena administración de justicia obligan a exponer los criterios empleados por este tribunal (STC 96/2015, de 25 de mayo, FJ 1). La demanda fue admitida, como señala </w:t>
      </w:r>
      <w:r w:rsidRPr="008D479B">
        <w:rPr>
          <w:i/>
        </w:rPr>
        <w:t>supra</w:t>
      </w:r>
      <w:r>
        <w:t xml:space="preserve"> el antecedente 4, porque el recurso plantea un problema o afecta a una faceta de un derecho fundamental sobre el que no hay doctrina de este tribunal [STC 155/2009, FJ 2 a)]. Concretamente, y como también acaba de explicarse, en este caso se plantea la posible vulneración del </w:t>
      </w:r>
      <w:r w:rsidRPr="008D479B">
        <w:rPr>
          <w:i/>
        </w:rPr>
        <w:t>ius in officium</w:t>
      </w:r>
      <w:r>
        <w:t xml:space="preserve"> de los parlamentarios por parte de la Presidencia de la Cámara, al no adoptar la medida de amparo solicitada por ellos, consistente en que “se dirija al Gobierno, instándole a responder completamente a la solicitud de todos los informes y documentos” inicialmente requeridos.</w:t>
      </w:r>
    </w:p>
    <w:p w14:paraId="5D6FB827" w14:textId="77777777" w:rsidR="008D479B" w:rsidRDefault="008D479B" w:rsidP="008D479B">
      <w:pPr>
        <w:pStyle w:val="TextoNormal"/>
      </w:pPr>
    </w:p>
    <w:p w14:paraId="79E4539C" w14:textId="77777777" w:rsidR="008D479B" w:rsidRDefault="008D479B" w:rsidP="008D479B">
      <w:pPr>
        <w:pStyle w:val="TextoNormal"/>
      </w:pPr>
      <w:r w:rsidRPr="008D479B">
        <w:rPr>
          <w:rStyle w:val="NumeroAFNegritaCaracter"/>
        </w:rPr>
        <w:t>3</w:t>
      </w:r>
      <w:r>
        <w:t>. Consideraciones previas: Doctrina constitucional sobre el derecho fundamental de participación política</w:t>
      </w:r>
    </w:p>
    <w:p w14:paraId="0E880144" w14:textId="77777777" w:rsidR="008D479B" w:rsidRDefault="008D479B" w:rsidP="008D479B">
      <w:pPr>
        <w:pStyle w:val="TextoNormal"/>
      </w:pPr>
    </w:p>
    <w:p w14:paraId="22AC6899" w14:textId="77777777" w:rsidR="008D479B" w:rsidRDefault="008D479B" w:rsidP="008D479B">
      <w:pPr>
        <w:pStyle w:val="TextoNormal"/>
      </w:pPr>
      <w:r>
        <w:t>En primer lugar, y puesto que el presente recurso de amparo invoca el derecho fundamental de participación política del art. 23 CE y su ejercicio por representantes parlamentarios, conviene recuperar la sólida doctrina constitucional sobre el contenido de tal derecho y sus límites, ampliamente desarrollada en la STC 159/2019, de 12 de diciembre, y recientemente resumida en la STC 38/2022, de 11 de marzo, con cita de numerosas decisiones anteriores.</w:t>
      </w:r>
    </w:p>
    <w:p w14:paraId="5D763A51" w14:textId="77777777" w:rsidR="008D479B" w:rsidRDefault="008D479B" w:rsidP="008D479B">
      <w:pPr>
        <w:pStyle w:val="TextoNormal"/>
      </w:pPr>
    </w:p>
    <w:p w14:paraId="7967A71A" w14:textId="77777777" w:rsidR="008D479B" w:rsidRDefault="008D479B" w:rsidP="008D479B">
      <w:pPr>
        <w:pStyle w:val="TextoNormal"/>
      </w:pPr>
      <w:r>
        <w:t xml:space="preserve">Se reitera en esta última, por una parte, que el derecho reconocido en el art. 23.2 CE, “es un derecho de configuración legal, cuyo contenido se extiende al acceso y permanencia en el ejercicio del cargo público, así como a desempeñarlo de acuerdo con la ley, sin constricciones o perturbaciones ilegítimas, correspondiendo establecer su delimitación, sentido y alcance a los reglamentos parlamentarios”, si bien no configura “un genérico derecho, con la condición de fundamental, al respeto de todas y cada una de las prescripciones de aquellos reglamentos”. Consiguientemente, “el derecho de los representantes, y en particular su </w:t>
      </w:r>
      <w:r w:rsidRPr="008D479B">
        <w:rPr>
          <w:i/>
        </w:rPr>
        <w:t>ius in officium</w:t>
      </w:r>
      <w:r>
        <w:t>, solo podrá considerarse violado si las aducidas contravenciones de las normas internas de las asambleas afectan al núcleo de los derechos y facultades de los representantes o, en otros términos, a su estatuto constitucionalmente relevante; normas internas, en fin, para cuya aplicación cuentan los órganos de las Cámaras con un margen de interpretación que el Tribunal no puede dejar de reconocer” [FJ 4 A)].</w:t>
      </w:r>
    </w:p>
    <w:p w14:paraId="6111435D" w14:textId="77777777" w:rsidR="008D479B" w:rsidRDefault="008D479B" w:rsidP="008D479B">
      <w:pPr>
        <w:pStyle w:val="TextoNormal"/>
      </w:pPr>
    </w:p>
    <w:p w14:paraId="2F02934D" w14:textId="77777777" w:rsidR="008D479B" w:rsidRDefault="008D479B" w:rsidP="008D479B">
      <w:pPr>
        <w:pStyle w:val="TextoNormal"/>
      </w:pPr>
      <w:r>
        <w:t>Este margen de interpretación de los órganos de las cámaras aparece vinculado al reconocimiento constitucional del principio de autonomía parlamentaria (art. 72.1 CE). Un principio que, según afirma la misma STC 38/2022, de 11 de marzo, en su fundamento jurídico 3, “se fundamenta en la necesidad de sustraer el Parlamento de posibles intromisiones de otros poderes del Estado que puedan afectar al desempeño de las funciones parlamentarias. Se trata de un mecanismo protector del órgano parlamentario, tradicional en nuestra historia constitucional y común en Derecho comparado, que no supone huida del derecho, sino la existencia de un derecho propio elaborado por las Cámaras, o adoptado mediante importación selectiva o remisión a otras normas”; y que se concreta, entre otras esferas, en “la autonomía normativa, que comporta, en lo que ahora es de interés, el reglamento parlamentario, así como sus normas interpretativas y acuerdos de los órganos de las Cámaras”.</w:t>
      </w:r>
    </w:p>
    <w:p w14:paraId="0D4C4A7D" w14:textId="77777777" w:rsidR="008D479B" w:rsidRDefault="008D479B" w:rsidP="008D479B">
      <w:pPr>
        <w:pStyle w:val="TextoNormal"/>
      </w:pPr>
    </w:p>
    <w:p w14:paraId="27103C4F" w14:textId="77777777" w:rsidR="008D479B" w:rsidRDefault="008D479B" w:rsidP="008D479B">
      <w:pPr>
        <w:pStyle w:val="TextoNormal"/>
      </w:pPr>
      <w:r>
        <w:t>En cuanto al alcance de este principio, allí mismo se reitera —siempre citando resoluciones anteriores— que “el principio de autonomía parlamentaria […] dota a la asamblea legislativa de una esfera de decisión propia que únicamente puede ser sometida a la fiscalización de este tribunal en la medida en que por un acto de la Cámara se apliquen de manera desigual las normas que rigen su vida interior (art. 23.2 CE), o cuando del mismo resulte una lesión de la función representativa constitucionalmente encomendada a los parlamentarios que pueda repercutir en el derecho a la participación política de sus representados (art. 23.2 CE en relación con su párrafo primero). Solo cuando esto ocurre, lo interno (</w:t>
      </w:r>
      <w:r w:rsidRPr="008D479B">
        <w:rPr>
          <w:i/>
        </w:rPr>
        <w:t>interna corporis acta</w:t>
      </w:r>
      <w:r>
        <w:t>) produce efectos externos y lo estrictamente parlamentario adquiere relevancia constitucional. En todo lo demás, el estatuto jurídico de los parlamentarios se configura ‘con arreglo a lo dispuesto en las leyes’ (art. 23.2 CE), esto es, según la regulación jurídica que la propia Cámara aprueba en el ejercicio de su facultad de autonormación constitucionalmente reconocida”.</w:t>
      </w:r>
    </w:p>
    <w:p w14:paraId="08AC32AA" w14:textId="77777777" w:rsidR="008D479B" w:rsidRDefault="008D479B" w:rsidP="008D479B">
      <w:pPr>
        <w:pStyle w:val="TextoNormal"/>
      </w:pPr>
    </w:p>
    <w:p w14:paraId="4CD2BEB8" w14:textId="77777777" w:rsidR="008D479B" w:rsidRDefault="008D479B" w:rsidP="008D479B">
      <w:pPr>
        <w:pStyle w:val="TextoNormal"/>
      </w:pPr>
      <w:r>
        <w:t xml:space="preserve">En ese marco, pues, “no cualquier acto del órgano parlamentario que infrinja la legalidad del </w:t>
      </w:r>
      <w:r w:rsidRPr="008D479B">
        <w:rPr>
          <w:i/>
        </w:rPr>
        <w:t>ius in officium</w:t>
      </w:r>
      <w:r>
        <w:t xml:space="preserve"> resulta lesivo del derecho fundamental, pues solo poseen relevancia constitucional, a estos efectos, los derechos o facultades atribuidos al representante que pertenezcan al núcleo de su función representativa parlamentaria, siendo vulnerado el artículo 23.2 CE si los propios órganos de las asambleas impiden o coartan su práctica o adoptan decisiones que contraríen la naturaleza de la representación o la igualdad de representantes” [FJ 4 A)].</w:t>
      </w:r>
    </w:p>
    <w:p w14:paraId="260B0DAD" w14:textId="77777777" w:rsidR="008D479B" w:rsidRDefault="008D479B" w:rsidP="008D479B">
      <w:pPr>
        <w:pStyle w:val="TextoNormal"/>
      </w:pPr>
    </w:p>
    <w:p w14:paraId="5B960990" w14:textId="7ABB9E75" w:rsidR="008D479B" w:rsidRDefault="008D479B" w:rsidP="008D479B">
      <w:pPr>
        <w:pStyle w:val="TextoNormal"/>
      </w:pPr>
      <w:r>
        <w:t xml:space="preserve">Por otra parte, también este tribunal ha declarado reiteradamente que el derecho de los parlamentarios a obtener información, regulado por el artículo 7 RCD, se integra con naturalidad en dicho “núcleo de la función representativa parlamentaria”, configurándose como un derecho individual de los diputados cuyo ejercicio queda condicionado “a su admisión por la mesa y a su tramitación </w:t>
      </w:r>
      <w:r w:rsidRPr="008D479B">
        <w:rPr>
          <w:i/>
        </w:rPr>
        <w:t>ad extra</w:t>
      </w:r>
      <w:r>
        <w:t xml:space="preserve"> a través del presidente de la Cámara” (STC 57/2011, de 3 de mayo, FJ 4), y que “comprende tanto el de solicitar una determinada información de las administraciones públicas como el de obtenerla de estas”, encuadrándose pues en las relaciones institucionales entre Ejecutivo y Legislativo y pudiendo, por tanto, ser lesionado tanto por el Ejecutivo como por los propios órganos parlamentarias (STC 203/2001, de 15 de octubre, FJ 3).</w:t>
      </w:r>
    </w:p>
    <w:p w14:paraId="4227B31F" w14:textId="77777777" w:rsidR="008D479B" w:rsidRDefault="008D479B" w:rsidP="008D479B">
      <w:pPr>
        <w:pStyle w:val="TextoNormal"/>
      </w:pPr>
    </w:p>
    <w:p w14:paraId="2E74E6E2" w14:textId="77777777" w:rsidR="008D479B" w:rsidRDefault="008D479B" w:rsidP="008D479B">
      <w:pPr>
        <w:pStyle w:val="TextoNormal"/>
      </w:pPr>
      <w:r w:rsidRPr="008D479B">
        <w:rPr>
          <w:rStyle w:val="NumeroAFNegritaCaracter"/>
        </w:rPr>
        <w:t>4</w:t>
      </w:r>
      <w:r>
        <w:t>. La solicitud de amparo a la Presidencia de la Cámara y el derecho de información de los parlamentarios</w:t>
      </w:r>
    </w:p>
    <w:p w14:paraId="4B0CAA2E" w14:textId="77777777" w:rsidR="008D479B" w:rsidRDefault="008D479B" w:rsidP="008D479B">
      <w:pPr>
        <w:pStyle w:val="TextoNormal"/>
      </w:pPr>
    </w:p>
    <w:p w14:paraId="5CDA980A" w14:textId="77777777" w:rsidR="008D479B" w:rsidRDefault="008D479B" w:rsidP="008D479B">
      <w:pPr>
        <w:pStyle w:val="TextoNormal"/>
      </w:pPr>
      <w:r>
        <w:t>Ciertamente, como acaba de decirse, no es discutible que el derecho de los parlamentarios a obtener información por parte de las administraciones públicas, y con él su derecho fundamental a ejercer su función representativa, pueden verse lesionados tanto por los órganos del Ejecutivo como por los de la propia Cámara parlamentaria.</w:t>
      </w:r>
    </w:p>
    <w:p w14:paraId="4264A0A1" w14:textId="77777777" w:rsidR="008D479B" w:rsidRDefault="008D479B" w:rsidP="008D479B">
      <w:pPr>
        <w:pStyle w:val="TextoNormal"/>
      </w:pPr>
    </w:p>
    <w:p w14:paraId="21707E07" w14:textId="77777777" w:rsidR="008D479B" w:rsidRDefault="008D479B" w:rsidP="008D479B">
      <w:pPr>
        <w:pStyle w:val="TextoNormal"/>
      </w:pPr>
      <w:r>
        <w:t>Ahora bien, el presente procedimiento tiene por único objeto un acto parlamentario (el acuerdo de la presidenta del Congreso dictado en respuesta a la solicitud de amparo por parte de los recurrentes), quedando al margen del mismo la respuesta del Gobierno denegatoria de la documentación requerida. Nuestro enjuiciamiento, pues, ha de limitarse a dicho acto parlamentario.</w:t>
      </w:r>
    </w:p>
    <w:p w14:paraId="4AF37355" w14:textId="77777777" w:rsidR="008D479B" w:rsidRDefault="008D479B" w:rsidP="008D479B">
      <w:pPr>
        <w:pStyle w:val="TextoNormal"/>
      </w:pPr>
    </w:p>
    <w:p w14:paraId="3E0F9109" w14:textId="77777777" w:rsidR="008D479B" w:rsidRDefault="008D479B" w:rsidP="008D479B">
      <w:pPr>
        <w:pStyle w:val="TextoNormal"/>
      </w:pPr>
      <w:r>
        <w:t>La solicitud de amparo a la Presidencia no es un recurso interno equiparable, como subrayan las alegaciones de la representación procesal del Congreso de los Diputados, a las solicitudes de reconsideración frente a las decisiones de la mesa. Y la distinción afecta a la propia naturaleza de ambos actos: las solicitudes de reconsideración están expresamente previstas en el art. 31.2 RCD para algunas decisiones de la mesa (específicamente, las adoptadas en el ejercicio de sus funciones de calificación y tramitación de escritos y documentos parlamentarios “con arreglo al Reglamento”), y deben ser resueltas por la misma, “oída la junta de portavoces, mediante resolución motivada”, en tanto pueden afectar a los derechos del diputado, siendo susceptibles de recurso de amparo constitucional.</w:t>
      </w:r>
    </w:p>
    <w:p w14:paraId="708D60C4" w14:textId="77777777" w:rsidR="008D479B" w:rsidRDefault="008D479B" w:rsidP="008D479B">
      <w:pPr>
        <w:pStyle w:val="TextoNormal"/>
      </w:pPr>
    </w:p>
    <w:p w14:paraId="6EF17AC8" w14:textId="77777777" w:rsidR="008D479B" w:rsidRDefault="008D479B" w:rsidP="008D479B">
      <w:pPr>
        <w:pStyle w:val="TextoNormal"/>
      </w:pPr>
      <w:r>
        <w:t>Por el contrario, la denominada solicitud de amparo es un mecanismo no previsto reglamentariamente, originado en la práctica parlamentaria y que pretende favorecer a los miembros de la Cámara en el ejercicio de su función, especialmente cuando afecta —como ocurre en este caso— a actuaciones de otros órganos. En consecuencia, tal mecanismo (incluyendo los “acuerdos de la Presidencia” que responden a esas solicitudes de amparo) se dirige “a la defensa de la facultad de los diputados mediante una actuación no prevista en el Reglamento”; actuación que suele justificarse invocando la genérica facultad de “cumplir y hacer cumplir el Reglamento, interpretándolo en los casos de duda y supliéndolo en los de omisión”, atribuida a la Presidencia por el art. 32.2 RCD. Concretamente, en el ámbito aquí considerado relativo a la facultad parlamentaria de solicitar información de las administraciones públicas, el art. 7 RCD se limita a precisar que ha de hacerse “por conducto de la Presidencia” de la Cámara; y el acuerdo presidencial “pretende dar a los solicitantes una nueva oportunidad para que el Gobierno les conteste”, para lo cual se le transmiten los motivos expresados por los solicitantes de la información en su escrito de amparo.</w:t>
      </w:r>
    </w:p>
    <w:p w14:paraId="3F8D3667" w14:textId="77777777" w:rsidR="008D479B" w:rsidRDefault="008D479B" w:rsidP="008D479B">
      <w:pPr>
        <w:pStyle w:val="TextoNormal"/>
      </w:pPr>
    </w:p>
    <w:p w14:paraId="62EA50A5" w14:textId="77777777" w:rsidR="008D479B" w:rsidRDefault="008D479B" w:rsidP="008D479B">
      <w:pPr>
        <w:pStyle w:val="TextoNormal"/>
      </w:pPr>
      <w:r>
        <w:t xml:space="preserve">Por consiguiente, la propia naturaleza del acuerdo impugnado dificulta que pueda resultar lesivo para el “núcleo duro” del </w:t>
      </w:r>
      <w:r w:rsidRPr="008D479B">
        <w:rPr>
          <w:i/>
        </w:rPr>
        <w:t>ius in officium</w:t>
      </w:r>
      <w:r>
        <w:t xml:space="preserve"> de los parlamentarios: tratándose de un acto (inserto en un procedimiento) que no está legalmente (o, por mejor decir, reglamentariamente) previsto, difícilmente puede contravenir un “estatuto jurídico de los parlamentarios” que, como acaba de recordarse, “se configura ‘con arreglo a lo dispuesto en las leyes’ (art. 23.2 CE), esto es, según la regulación jurídica que la propia Cámara aprueba en el ejercicio de su facultad de autonormación constitucionalmente reconocida”.</w:t>
      </w:r>
    </w:p>
    <w:p w14:paraId="62CB9FE7" w14:textId="77777777" w:rsidR="008D479B" w:rsidRDefault="008D479B" w:rsidP="008D479B">
      <w:pPr>
        <w:pStyle w:val="TextoNormal"/>
      </w:pPr>
    </w:p>
    <w:p w14:paraId="3745C87A" w14:textId="77777777" w:rsidR="008D479B" w:rsidRDefault="008D479B" w:rsidP="008D479B">
      <w:pPr>
        <w:pStyle w:val="TextoNormal"/>
      </w:pPr>
      <w:r>
        <w:t>Obviamente, la ausencia de ese marco legal o reglamentario reduce —como mínimo— las posibilidades de su contravención y, por tanto, dificulta su posible fiscalización por este tribunal, ampliando correlativamente el margen de interpretación atribuido a los órganos parlamentarios por el principio de la autonomía parlamentaria. De esta manera, conforme a la doctrina expuesta, solo cabría apreciar la lesión del derecho fundamental en aquellos supuestos en que “los propios órganos de las asambleas impiden o coartan su práctica o adoptan decisiones que contraríen la naturaleza de la representación o la igualdad de representantes”.</w:t>
      </w:r>
    </w:p>
    <w:p w14:paraId="35CC64FC" w14:textId="77777777" w:rsidR="008D479B" w:rsidRDefault="008D479B" w:rsidP="008D479B">
      <w:pPr>
        <w:pStyle w:val="TextoNormal"/>
      </w:pPr>
    </w:p>
    <w:p w14:paraId="511A21F1" w14:textId="77777777" w:rsidR="008D479B" w:rsidRDefault="008D479B" w:rsidP="008D479B">
      <w:pPr>
        <w:pStyle w:val="TextoNormal"/>
      </w:pPr>
      <w:r>
        <w:t>Tal apreciación, pues, obliga a analizar si el acto cuestionado incurre en alguno de tales supuestos. Comenzando por el último de ellos, la letrada de las Cortes Generales ha argumentado —sin que ninguna de las demás partes del procedimiento lo discuta— que los acuerdos de la Presidencia del Congreso se ciñen a unos modelos ya acuñados por la práctica, diferenciándose en función de las diversas posibilidades de respuesta (o no respuesta) gubernamental ante las solicitudes de información por parte de los parlamentarios; lo cual permite descartar cualquier lesión por contrariar la igualdad entre los mismos.</w:t>
      </w:r>
    </w:p>
    <w:p w14:paraId="5A4A9126" w14:textId="77777777" w:rsidR="008D479B" w:rsidRDefault="008D479B" w:rsidP="008D479B">
      <w:pPr>
        <w:pStyle w:val="TextoNormal"/>
      </w:pPr>
    </w:p>
    <w:p w14:paraId="6DB9487B" w14:textId="77777777" w:rsidR="008D479B" w:rsidRDefault="008D479B" w:rsidP="008D479B">
      <w:pPr>
        <w:pStyle w:val="TextoNormal"/>
      </w:pPr>
      <w:r>
        <w:t>Similar conclusión se impone al considerar el segundo de los supuestos lesivos admitidos por nuestra doctrina. Porque, como igualmente resalta la representación procesal de la Cámara, el derecho a la información de los parlamentarios regulado en el artículo 7 RCD atribuye un derecho frente al Ejecutivo, cuya respuesta denegatoria no es susceptible de enjuiciamiento por esta vía. Por tanto, solo secundariamente podría atribuirse una eventual lesión a los órganos parlamentarios en esta sede. Y, como reconoce el propio Ministerio Fiscal, “[l]a mesa remitió la solicitud de información y ha sido el Gobierno el que no la ha satisfecho. La intervención de la presidenta de la Cámara, conforme al art. 7 […] RCD, es trasladar la respuesta del Gobierno al diputado solicitante de la información. En consecuencia, en principio, se puede concluir que ninguna lesión del derecho de información de los diputados se habría producido por estos dos órganos de gobierno de la Cámara”.</w:t>
      </w:r>
    </w:p>
    <w:p w14:paraId="46227025" w14:textId="77777777" w:rsidR="008D479B" w:rsidRDefault="008D479B" w:rsidP="008D479B">
      <w:pPr>
        <w:pStyle w:val="TextoNormal"/>
      </w:pPr>
    </w:p>
    <w:p w14:paraId="51A3954A" w14:textId="77777777" w:rsidR="008D479B" w:rsidRDefault="008D479B" w:rsidP="008D479B">
      <w:pPr>
        <w:pStyle w:val="TextoNormal"/>
      </w:pPr>
      <w:r>
        <w:t>A partir de esa constatación, que no discute ninguna de las partes en este procedimiento, los recurrentes y el propio Ministerio Público reprochan al acuerdo presidencial aquí recurrido que “profundiza y sostiene” la violación denunciada, al “validar” las razones gubernamentales (que “hace suyas”) para denegar la documentación requerida. Reproche difícilmente aceptable en abstracto, por referirse a un instrumento específicamente configurado para reforzar la solicitud de información. Es verdad que ese refuerzo podría haberse articulado, al menos hipotéticamente, de formas muy distintas, y desde luego más incisivas. De hecho, así ocurre en algunas Cámaras autonómicas donde, ya sea por expresa previsión reglamentaria (arts. 7, 8 y 219 del Reglamento del Parlamento de Cataluña), ya por mera consolidación de una práctica (como en el Parlamento Vasco), operan mecanismos que permiten a los parlamentarios cuestionar las razones por las que se les deniega el acceso a la información solicitada, forzando una valoración (en ambos casos, por parte de la mesa de la Cámara) que precede a una actuación más contundente. Así, el Reglamento del Parlamento de Cataluña dispone que si la mesa “considera que debe permitirse el acceso a la información, debe comunicar su decisión a la autoridad responsable para que la cumpla de forma inmediata”, previendo, si ello resulta insuficiente, otras consecuencias institucionales (preguntas al Gobierno, comparecencias de la autoridad que ha denegado la información, propuestas de resolución o, incluso, aplicación del régimen sancionador de la legislación de transparencia: arts. 8 y 9).</w:t>
      </w:r>
    </w:p>
    <w:p w14:paraId="0A3C3443" w14:textId="77777777" w:rsidR="008D479B" w:rsidRDefault="008D479B" w:rsidP="008D479B">
      <w:pPr>
        <w:pStyle w:val="TextoNormal"/>
      </w:pPr>
    </w:p>
    <w:p w14:paraId="53FFA26D" w14:textId="77777777" w:rsidR="008D479B" w:rsidRDefault="008D479B" w:rsidP="008D479B">
      <w:pPr>
        <w:pStyle w:val="TextoNormal"/>
      </w:pPr>
      <w:r>
        <w:t xml:space="preserve">En el caso del Congreso de los Diputados, la ausencia de condicionamientos reglamentarios (más allá de la reiterada exigencia </w:t>
      </w:r>
      <w:r w:rsidRPr="008D479B">
        <w:rPr>
          <w:i/>
        </w:rPr>
        <w:t>ex</w:t>
      </w:r>
      <w:r>
        <w:t xml:space="preserve"> art. 7 RCD de que la solicitud se haga “por conducto de la Presidencia”) ha dotado a los órganos de la Cámara de un margen de actuación y configuración igualmente amplio en este punto, que en la práctica ha cristalizado en un mecanismo diferente, y sin duda menos incisivo. De esta manera, y una vez constatada la existencia de una respuesta con una mínima apariencia de estar jurídicamente fundada, la Presidencia no entra a valorar si es correcta o no, limitándose a trasladar al Gobierno la valoración que de ella hacen los solicitantes, facilitando así la eventual reconsideración de su decisión inicial y solicitando que se comuniquen a la Presidencia las consideraciones que, en su caso, se estimen oportunas; a la vez que sugiere a los parlamentarios posibles vías reglamentarias (solicitar una aclaración, o plantear nuevas iniciativas) que permitan insistir en la petición inicialmente denegada.</w:t>
      </w:r>
    </w:p>
    <w:p w14:paraId="5A013151" w14:textId="77777777" w:rsidR="008D479B" w:rsidRDefault="008D479B" w:rsidP="008D479B">
      <w:pPr>
        <w:pStyle w:val="TextoNormal"/>
      </w:pPr>
    </w:p>
    <w:p w14:paraId="753FBBF5" w14:textId="77777777" w:rsidR="008D479B" w:rsidRDefault="008D479B" w:rsidP="008D479B">
      <w:pPr>
        <w:pStyle w:val="TextoNormal"/>
      </w:pPr>
      <w:r>
        <w:t>En definitiva, como afirma la representación del Congreso de los Diputados, la Presidencia de la Cámara ha de defender los derechos de los diputados respetando la lógica constitucional e institucional a la que debe sujetarse. Por más que los demandantes consideren que, en tanto el derecho a la información se encauza a través de los órganos parlamentarios, corresponde a los mismos un deber de salvaguardar dicho derecho de modo que la documentación debe ser recabada por la Presidencia mediante los oportunos requerimientos al Gobierno, se subraya que la Presidencia no es un órgano jurisdiccional que pueda otorgar amparos o fiscalizar la actuación del Gobierno. Por tanto, no puede asegurar la efectiva satisfacción del derecho pretendidamente vulnerado y restablecer el supuesto perjuicio provocado, porque ello exigiría una intervención que no le corresponde.</w:t>
      </w:r>
    </w:p>
    <w:p w14:paraId="7C396A16" w14:textId="77777777" w:rsidR="008D479B" w:rsidRDefault="008D479B" w:rsidP="008D479B">
      <w:pPr>
        <w:pStyle w:val="TextoNormal"/>
      </w:pPr>
    </w:p>
    <w:p w14:paraId="574D7CF8" w14:textId="133EE398" w:rsidR="008D479B" w:rsidRDefault="008D479B" w:rsidP="008D479B">
      <w:pPr>
        <w:pStyle w:val="TextoNormal"/>
      </w:pPr>
      <w:r>
        <w:t>Tal argumentación general se ve confirmada al observar que, en el caso concreto, el contenido del acuerdo impugnado se ajusta a un modelo previamente estandarizado y, por ello mismo, independiente de quiénes sean los solicitantes, cuáles los destinatarios de la solicitud y qué información concreta se solicita. A falta, una vez más, de un fundamento reglamentario que permita exigir una intervención más incisiva de la Presidencia, no es posible estimar que el acuerdo adoptado en este caso exceda del margen de actuación concedido a los órganos parlamentarios al interpretar, conforme al principio de autonomía parlamentaria, la reglamentación existente en este punto. Todo lo cual lleva a desestimar las alegaciones de los recurrentes y, con ellas, el presente recurso.</w:t>
      </w:r>
    </w:p>
    <w:p w14:paraId="231DDFD4" w14:textId="77777777" w:rsidR="008D479B" w:rsidRDefault="008D479B" w:rsidP="008D479B">
      <w:pPr>
        <w:pStyle w:val="TextoNormal"/>
      </w:pPr>
    </w:p>
    <w:p w14:paraId="39B901AC" w14:textId="77777777" w:rsidR="008D479B" w:rsidRDefault="008D479B" w:rsidP="008D479B">
      <w:pPr>
        <w:pStyle w:val="TextoNormalCentrado"/>
        <w:keepNext/>
      </w:pPr>
      <w:r>
        <w:t>FALLO</w:t>
      </w:r>
    </w:p>
    <w:p w14:paraId="17A6C5FF" w14:textId="740688BF" w:rsidR="008D479B" w:rsidRDefault="008D479B" w:rsidP="008D479B">
      <w:pPr>
        <w:pStyle w:val="TextoNormalCentrado"/>
        <w:keepNext/>
      </w:pPr>
    </w:p>
    <w:p w14:paraId="0D2ECBD4" w14:textId="6F1B29C9" w:rsidR="008D479B" w:rsidRDefault="008D479B" w:rsidP="008D479B">
      <w:pPr>
        <w:pStyle w:val="TextoNormal"/>
      </w:pPr>
      <w:r>
        <w:t>En atención a todo lo expuesto, el Tribunal Constitucional, por la autoridad que le confiere la Constitución de la Nación española, ha decidido desestimar el recurso de amparo interpuesto por los diputados doña Concepción Gamarra Ruiz-Clavijo, don Guillermo Mariscal Anaya, doña Isabel María Borrego Cortés y don Carlos Rojas García, contra el acuerdo de la presidenta del Congreso de los Diputados de 13 de septiembre de 2021.</w:t>
      </w:r>
    </w:p>
    <w:p w14:paraId="41A40870" w14:textId="77777777" w:rsidR="008D479B" w:rsidRDefault="008D479B" w:rsidP="008D479B">
      <w:pPr>
        <w:pStyle w:val="TextoNormal"/>
      </w:pPr>
    </w:p>
    <w:p w14:paraId="5D1F3080" w14:textId="77777777" w:rsidR="008D479B" w:rsidRDefault="008D479B" w:rsidP="008D479B">
      <w:pPr>
        <w:pStyle w:val="TextoNormal"/>
      </w:pPr>
      <w:r>
        <w:t>Publíquese esta sentencia en el “Boletín Oficial del Estado”.</w:t>
      </w:r>
    </w:p>
    <w:p w14:paraId="2A581919" w14:textId="77777777" w:rsidR="008D479B" w:rsidRDefault="008D479B" w:rsidP="008D479B">
      <w:pPr>
        <w:pStyle w:val="TextoNormal"/>
      </w:pPr>
      <w:r>
        <w:t>Dada en Madrid, a veintiuno de noviembre de dos mil veintitrés.</w:t>
      </w:r>
    </w:p>
    <w:p w14:paraId="73D1BD8F" w14:textId="109474F8" w:rsidR="008D479B" w:rsidRDefault="008D479B" w:rsidP="008D479B">
      <w:pPr>
        <w:pStyle w:val="ParrafoNormal"/>
      </w:pPr>
    </w:p>
    <w:p w14:paraId="37DE763D" w14:textId="77777777" w:rsidR="008D479B" w:rsidRDefault="008D479B" w:rsidP="008D479B">
      <w:pPr>
        <w:pStyle w:val="TextoNormalNegritaCentrado"/>
        <w:keepNext/>
      </w:pPr>
      <w:r>
        <w:t>Voto particular que formulan los magistrados don Ricardo Enríquez Sancho y don Enrique Arnaldo Alcubilla, la magistrada doña Concepción Espejel Jorquera y el magistrado don César Tolosa Tribiño, respecto de la sentencia pronunciada por el Pleno del Tribunal en el recurso de amparo número 7813-2021</w:t>
      </w:r>
    </w:p>
    <w:p w14:paraId="67577EC1" w14:textId="6FFF8000" w:rsidR="008D479B" w:rsidRDefault="008D479B" w:rsidP="008D479B">
      <w:pPr>
        <w:pStyle w:val="TextoNormalNegritaCentrado"/>
        <w:keepNext/>
      </w:pPr>
    </w:p>
    <w:p w14:paraId="19593601" w14:textId="77777777" w:rsidR="008D479B" w:rsidRDefault="008D479B" w:rsidP="008D479B">
      <w:pPr>
        <w:pStyle w:val="TextoNormal"/>
      </w:pPr>
      <w:r>
        <w:t>Preliminar</w:t>
      </w:r>
    </w:p>
    <w:p w14:paraId="6852BE1B" w14:textId="77777777" w:rsidR="008D479B" w:rsidRDefault="008D479B" w:rsidP="008D479B">
      <w:pPr>
        <w:pStyle w:val="TextoNormal"/>
      </w:pPr>
    </w:p>
    <w:p w14:paraId="1CF2318F" w14:textId="77777777" w:rsidR="008D479B" w:rsidRDefault="008D479B" w:rsidP="008D479B">
      <w:pPr>
        <w:pStyle w:val="TextoNormal"/>
      </w:pPr>
      <w:r>
        <w:t>Uno de los magistrados que suscriben este voto particular ha redactado como ponente la sentencia aprobada en este recurso, siguiendo el criterio expresado por la mayoría del Tribunal, pero junto a los demás magistrados que también manifestaron su discrepancia con esa decisión, expone los criterios por los que, a nuestro juicio, el recurso de amparo debió ser estimado, todo ello de acuerdo con el art. 90.2 LOTC y, obvio es decirlo, con absoluto respeto a la decisión mayoritaria del Tribunal.</w:t>
      </w:r>
    </w:p>
    <w:p w14:paraId="1EFDDA6D" w14:textId="77777777" w:rsidR="008D479B" w:rsidRDefault="008D479B" w:rsidP="008D479B">
      <w:pPr>
        <w:pStyle w:val="TextoNormal"/>
      </w:pPr>
    </w:p>
    <w:p w14:paraId="68D2CA19" w14:textId="77777777" w:rsidR="008D479B" w:rsidRDefault="008D479B" w:rsidP="008D479B">
      <w:pPr>
        <w:pStyle w:val="TextoNormal"/>
      </w:pPr>
      <w:r>
        <w:t xml:space="preserve">No podemos compartir ni la fundamentación ni el fallo de la sentencia porque, como desarrollaremos a continuación, forma parte del núcleo esencial del </w:t>
      </w:r>
      <w:r w:rsidRPr="008D479B">
        <w:rPr>
          <w:i/>
        </w:rPr>
        <w:t>ius in officium</w:t>
      </w:r>
      <w:r>
        <w:t xml:space="preserve"> de los diputados el ejercicio del derecho de control al Gobierno, respecto del cual es instrumental el de solicitar de aquel la información que necesiten; la Presidencia del Congreso de los Diputados ha de tener una posición activa en la tutela de ese derecho, como corresponde a su posición institucional que implica la protección de las minorías en el Parlamento; por eso, frente a la negativa del Gobierno a remitir la información solicitada por los diputados, la práctica ha reconocido, en ausencia de una específica previsión en el Reglamento del Congreso, una petición de amparo ante la Presidencia de la Cámara; y en el presente caso los motivos que acompañan al acuerdo del Gobierno no pueden calificarse como razonables porque, aunque el derecho al acceso a la información no puede considerarse absoluto, existen mecanismos suficientes para conciliar el derecho de los condenados indultados a su intimidad personal con el de los diputados a conocer las razones por los que los indultos fueron concedidos. Ello sin perjuicio de señalar que no se alcanza a comprender en qué medida resultaba afectado el derecho a la intimidad de los indultados en un caso en el que ya se habían hecho públicas tanto las condenas que les fueron impuestas como sus circunstancias personales.</w:t>
      </w:r>
    </w:p>
    <w:p w14:paraId="0B2A6D3C" w14:textId="77777777" w:rsidR="008D479B" w:rsidRDefault="008D479B" w:rsidP="008D479B">
      <w:pPr>
        <w:pStyle w:val="TextoNormal"/>
      </w:pPr>
    </w:p>
    <w:p w14:paraId="15602196" w14:textId="77777777" w:rsidR="008D479B" w:rsidRDefault="008D479B" w:rsidP="008D479B">
      <w:pPr>
        <w:pStyle w:val="TextoNormal"/>
      </w:pPr>
      <w:r>
        <w:t>1. Fundamento de la sentencia aprobada por la mayoría</w:t>
      </w:r>
    </w:p>
    <w:p w14:paraId="1013B70B" w14:textId="77777777" w:rsidR="008D479B" w:rsidRDefault="008D479B" w:rsidP="008D479B">
      <w:pPr>
        <w:pStyle w:val="TextoNormal"/>
      </w:pPr>
    </w:p>
    <w:p w14:paraId="143873BC" w14:textId="77777777" w:rsidR="008D479B" w:rsidRDefault="008D479B" w:rsidP="008D479B">
      <w:pPr>
        <w:pStyle w:val="TextoNormal"/>
      </w:pPr>
      <w:r>
        <w:t>La sentencia aprobada por la mayoría apoya su fallo desestimatorio en la pretendida insuficiencia de la regulación contenida en el Reglamento del Congreso de los Diputados para imponer a la presidenta del Congreso, en el supuesto de hecho del que trae causa este recurso de amparo, otra obligación que la de trasladar al Gobierno la petición de información que le habían manifestado los diputados recurrentes.</w:t>
      </w:r>
    </w:p>
    <w:p w14:paraId="687E5BC0" w14:textId="77777777" w:rsidR="008D479B" w:rsidRDefault="008D479B" w:rsidP="008D479B">
      <w:pPr>
        <w:pStyle w:val="TextoNormal"/>
      </w:pPr>
    </w:p>
    <w:p w14:paraId="1EDC75B2" w14:textId="77777777" w:rsidR="008D479B" w:rsidRDefault="008D479B" w:rsidP="008D479B">
      <w:pPr>
        <w:pStyle w:val="TextoNormal"/>
      </w:pPr>
      <w:r>
        <w:t>Según la sentencia, del art. 7.2 RCD no se deriva para la Presidencia del Congreso otra obligación que la indicada. No alcanza a la valoración de las razones que el Gobierno ha dado para denegar la información solicitada. En consecuencia, la resolución impugnada no infringe la legalidad parlamentaria, ni afecta al núcleo de la función representativa de los diputados recurrentes.</w:t>
      </w:r>
    </w:p>
    <w:p w14:paraId="1A88E333" w14:textId="77777777" w:rsidR="008D479B" w:rsidRDefault="008D479B" w:rsidP="008D479B">
      <w:pPr>
        <w:pStyle w:val="TextoNormal"/>
      </w:pPr>
    </w:p>
    <w:p w14:paraId="39F0DB42" w14:textId="77777777" w:rsidR="008D479B" w:rsidRDefault="008D479B" w:rsidP="008D479B">
      <w:pPr>
        <w:pStyle w:val="TextoNormal"/>
      </w:pPr>
      <w:r>
        <w:t>Disentimos de esta interpretación de la legalidad parlamentaria por las razones que expondremos a continuación.</w:t>
      </w:r>
    </w:p>
    <w:p w14:paraId="069B475C" w14:textId="77777777" w:rsidR="008D479B" w:rsidRDefault="008D479B" w:rsidP="008D479B">
      <w:pPr>
        <w:pStyle w:val="TextoNormal"/>
      </w:pPr>
    </w:p>
    <w:p w14:paraId="310A3784" w14:textId="77777777" w:rsidR="008D479B" w:rsidRDefault="008D479B" w:rsidP="008D479B">
      <w:pPr>
        <w:pStyle w:val="TextoNormal"/>
      </w:pPr>
      <w:r>
        <w:t>2. El derecho de información de los diputados</w:t>
      </w:r>
    </w:p>
    <w:p w14:paraId="635AE01B" w14:textId="77777777" w:rsidR="008D479B" w:rsidRDefault="008D479B" w:rsidP="008D479B">
      <w:pPr>
        <w:pStyle w:val="TextoNormal"/>
      </w:pPr>
    </w:p>
    <w:p w14:paraId="7FD601ED" w14:textId="77777777" w:rsidR="008D479B" w:rsidRDefault="008D479B" w:rsidP="008D479B">
      <w:pPr>
        <w:pStyle w:val="TextoNormal"/>
      </w:pPr>
      <w:r>
        <w:t xml:space="preserve">La facultad de solicitar información constituye “un aspecto particular de la función de control genéricamente atribuida a las Cortes Generales en el art. 66.2 CE” (STC 203/2001, de 15 de octubre, FJ 3), hasta tal punto importante que, según doctrina reiterada de este tribunal forma parte del núcleo esencial del </w:t>
      </w:r>
      <w:r w:rsidRPr="008D479B">
        <w:rPr>
          <w:i/>
        </w:rPr>
        <w:t>ius in officium</w:t>
      </w:r>
      <w:r>
        <w:t xml:space="preserve"> de los parlamentarios cuando es reconocida por el reglamento de la Cámara correspondiente (SSTC 32/2017, de 27 de febrero, FJ 5, y 58/2023, de 23 de mayo, FJ 3, entre otras muchas). Ello es así, entre otras razones, porque se erige en instrumento para el mejor cumplimiento de la función parlamentaria de control de la acción del Gobierno, por lo que forma parte del derecho fundamental que garantiza el art. 23.2 CE.</w:t>
      </w:r>
    </w:p>
    <w:p w14:paraId="4A95D562" w14:textId="77777777" w:rsidR="008D479B" w:rsidRDefault="008D479B" w:rsidP="008D479B">
      <w:pPr>
        <w:pStyle w:val="TextoNormal"/>
      </w:pPr>
    </w:p>
    <w:p w14:paraId="67EF6DB4" w14:textId="77777777" w:rsidR="008D479B" w:rsidRDefault="008D479B" w:rsidP="008D479B">
      <w:pPr>
        <w:pStyle w:val="TextoNormal"/>
      </w:pPr>
      <w:r>
        <w:t xml:space="preserve">El ejercicio de este derecho de información, que comprende tanto el derecho a solicitarla como el derecho a obtenerla (SSTC 203/2001, FJ 3, y 58/2023, FJ 3, por todas), puede ser lesionado tanto por el Ejecutivo, como por los propios órganos rectores de las Cámaras. Por ello, la posibilidad de que los parlamentarios interesados puedan impugnar ante los órganos de la jurisdicción contencioso-administrativa la respuesta dada por el Gobierno a su solicitud de información no excluye que aquellos puedan acudir en amparo ante este tribunal </w:t>
      </w:r>
      <w:r w:rsidRPr="008D479B">
        <w:rPr>
          <w:i/>
        </w:rPr>
        <w:t>ex</w:t>
      </w:r>
      <w:r>
        <w:t xml:space="preserve"> art. 42 LOTC contra lo que consideran una insuficiente actuación de la Presidencia de la Cámara en defensa de sus derechos como parlamentarios.</w:t>
      </w:r>
    </w:p>
    <w:p w14:paraId="15D5E845" w14:textId="77777777" w:rsidR="008D479B" w:rsidRDefault="008D479B" w:rsidP="008D479B">
      <w:pPr>
        <w:pStyle w:val="TextoNormal"/>
      </w:pPr>
    </w:p>
    <w:p w14:paraId="2E79C3C3" w14:textId="77777777" w:rsidR="008D479B" w:rsidRDefault="008D479B" w:rsidP="008D479B">
      <w:pPr>
        <w:pStyle w:val="TextoNormal"/>
      </w:pPr>
      <w:r>
        <w:t>Siendo el derecho de información de los diputados un aspecto particular de la función de control al Gobierno, las funciones de la Presidencia del Congreso no pueden reducirse a las de actuar como mero correo que recibe las peticiones de los diputados y la contestación del Ejecutivo, sino que ha de analizar la contestación del Gobierno y, en caso de negativa de este a proporcionar la información solicitada y de ausencia de razones fundadas que justifiquen esa negativa (como ha sucedido en el caso que nos ocupa), debe adoptar una posición activa en defensa de los derechos de los diputados que ejercitan su derecho de información. A ello nos referiremos seguidamente.</w:t>
      </w:r>
    </w:p>
    <w:p w14:paraId="1816E51A" w14:textId="77777777" w:rsidR="008D479B" w:rsidRDefault="008D479B" w:rsidP="008D479B">
      <w:pPr>
        <w:pStyle w:val="TextoNormal"/>
      </w:pPr>
    </w:p>
    <w:p w14:paraId="291E3868" w14:textId="77777777" w:rsidR="008D479B" w:rsidRDefault="008D479B" w:rsidP="008D479B">
      <w:pPr>
        <w:pStyle w:val="TextoNormal"/>
      </w:pPr>
      <w:r>
        <w:t>3. Funciones de la Presidencia de la Cámara</w:t>
      </w:r>
    </w:p>
    <w:p w14:paraId="0BABFFF5" w14:textId="77777777" w:rsidR="008D479B" w:rsidRDefault="008D479B" w:rsidP="008D479B">
      <w:pPr>
        <w:pStyle w:val="TextoNormal"/>
      </w:pPr>
    </w:p>
    <w:p w14:paraId="1EEEA43E" w14:textId="77777777" w:rsidR="008D479B" w:rsidRDefault="008D479B" w:rsidP="008D479B">
      <w:pPr>
        <w:pStyle w:val="TextoNormal"/>
      </w:pPr>
      <w:r>
        <w:t>Ciertamente, el único precepto que de manera directa afecta en este caso a la Presidencia del Congreso de los Diputados en su papel de intermediadora entre los diputados que piden información al Gobierno y este, que debe responder a esa petición, es el art. 7.2 RCD, que establece que “[l]a solicitud se dirigirá, en todo caso, por conducto de la Presidencia del Congreso y la administración requerida deberá facilitar la documentación solicitada o manifestar [a la Presidencia] del Congreso, […] las razones fundadas en Derecho que lo impidan”. Pero de ello no se desprende, como desacertadamente entiende la sentencia de la que disentimos, que la función de la Presidencia de la Cámara deba limitarse a actuar como un simple buzón que recibe y reparte las peticiones de unos y la contestación del otro.</w:t>
      </w:r>
    </w:p>
    <w:p w14:paraId="09D7BFAF" w14:textId="77777777" w:rsidR="008D479B" w:rsidRDefault="008D479B" w:rsidP="008D479B">
      <w:pPr>
        <w:pStyle w:val="TextoNormal"/>
      </w:pPr>
    </w:p>
    <w:p w14:paraId="6C050574" w14:textId="77777777" w:rsidR="008D479B" w:rsidRDefault="008D479B" w:rsidP="008D479B">
      <w:pPr>
        <w:pStyle w:val="TextoNormal"/>
      </w:pPr>
      <w:r>
        <w:t>La sentencia de la que ahora discrepamos se olvida de la doctrina constitucional de acuerdo con la cual los órganos de gobierno y dirección de la Cámara han de velar por los derechos de los diputados. En este sentido se ha pronunciado el Tribunal en las SSTC 94/2018, de 17 de septiembre, FJ 5; 139/2018, de 17 de diciembre, FJ 5; 17/2019, de 11 de febrero, FJ 3, y 53/2021, de 15 de marzo, FJ 5. También en la reciente STC 93/2023, de 12 de septiembre, FJ 3 b), el Tribunal afirmó que los órganos de la Cámara han de ejercer su función de velar por los derechos de los diputados. Función que, según se afirmó en ese momento, ha de estar presente en los asuntos sometidos a la consideración de los órganos de la Cámara que comporten una restricción de los derechos de los diputados, como en el caso que ahora se resuelve, cuando les sea denegada una documentación solicitada al amparo del art. 7 RCD, que puede limitar el derecho de información.</w:t>
      </w:r>
    </w:p>
    <w:p w14:paraId="37D5C2C4" w14:textId="77777777" w:rsidR="008D479B" w:rsidRDefault="008D479B" w:rsidP="008D479B">
      <w:pPr>
        <w:pStyle w:val="TextoNormal"/>
      </w:pPr>
    </w:p>
    <w:p w14:paraId="18103E1D" w14:textId="77777777" w:rsidR="008D479B" w:rsidRDefault="008D479B" w:rsidP="008D479B">
      <w:pPr>
        <w:pStyle w:val="TextoNormal"/>
      </w:pPr>
      <w:r>
        <w:t>A nuestro entender, la necesidad de que los órganos de las Cámaras velen por los derechos de los diputados es una función en sí misma inherente a su posición institucional y por ello todas sus decisiones deben atender a esta finalidad. No en vano la tradición constitucional comparada ha considerado a la Presidencia del Parlamento un órgano de garantía de los derechos de los parlamentarios, de todos los parlamentarios, pero especialmente de los de la minoría. Por eso, la posición institucional de la Presidencia del Congreso de los Diputados, por encima de las partes que se enfrentan en el debate político, le confiere un estatuto de neutralidad acorde con su misión garante de los derechos de la totalidad de los miembros de la Cámara, que expresa el pluralismo político (art. 1.1 CE) y que es la representación de la soberanía nacional (arts. 1.2 y 66.1 CE).</w:t>
      </w:r>
    </w:p>
    <w:p w14:paraId="21169A84" w14:textId="77777777" w:rsidR="008D479B" w:rsidRDefault="008D479B" w:rsidP="008D479B">
      <w:pPr>
        <w:pStyle w:val="TextoNormal"/>
      </w:pPr>
    </w:p>
    <w:p w14:paraId="6157EBFB" w14:textId="77777777" w:rsidR="008D479B" w:rsidRDefault="008D479B" w:rsidP="008D479B">
      <w:pPr>
        <w:pStyle w:val="TextoNormal"/>
      </w:pPr>
      <w:r>
        <w:t>Todos los órganos de la Cámara, y muy en particular y por lo que concierne al presente caso su Presidencia, han de amparar los derechos de los diputados en el ejercicio de su función de control al Gobierno, por lo que en el seno del Congreso de los Diputados deben establecerse las garantías necesarias para su tutela, de especial importancia la de aquellos que están en la minoría de la Cámara. Y eso, aunque esta función no esté prevista en las normas parlamentarias, al ser inherente a la naturaleza de ese órgano en una forma de gobierno parlamentaria.</w:t>
      </w:r>
    </w:p>
    <w:p w14:paraId="2ACEF996" w14:textId="77777777" w:rsidR="008D479B" w:rsidRDefault="008D479B" w:rsidP="008D479B">
      <w:pPr>
        <w:pStyle w:val="TextoNormal"/>
      </w:pPr>
    </w:p>
    <w:p w14:paraId="583C4AF6" w14:textId="77777777" w:rsidR="008D479B" w:rsidRDefault="008D479B" w:rsidP="008D479B">
      <w:pPr>
        <w:pStyle w:val="TextoNormal"/>
      </w:pPr>
      <w:r>
        <w:t>Por ello, aunque esta protección presidencial no está expresamente prevista en el Reglamento del Congreso de los Diputados, con base en su art. 32, tal como afirma la representación del Congreso de los Diputados, se ha consolidado una costumbre parlamentaria que admite una solicitud de amparo ante la Presidencia por parte de los diputados solicitantes de información al Gobierno, cuando este no haya remitido los informes o documentos requeridos en el plazo reglamentario o cuando los diputados consideren que la documentación requerida no se ajusta a los términos solicitados.</w:t>
      </w:r>
    </w:p>
    <w:p w14:paraId="5CEA5C10" w14:textId="77777777" w:rsidR="008D479B" w:rsidRDefault="008D479B" w:rsidP="008D479B">
      <w:pPr>
        <w:pStyle w:val="TextoNormal"/>
      </w:pPr>
    </w:p>
    <w:p w14:paraId="072E5A12" w14:textId="77777777" w:rsidR="008D479B" w:rsidRDefault="008D479B" w:rsidP="008D479B">
      <w:pPr>
        <w:pStyle w:val="TextoNormal"/>
      </w:pPr>
      <w:r>
        <w:t>Sobre la Presidencia de la Cámara pesa, en suma, la obligación de adoptar una posición activa en defensa de aquellos parlamentarios que vean desatendidas por el Gobierno sus peticiones de información o documentación, dada la inescindible relación entre dichas solicitudes y el ejercicio de la función de control del Gobierno que corresponde al Parlamento.</w:t>
      </w:r>
    </w:p>
    <w:p w14:paraId="38727C37" w14:textId="77777777" w:rsidR="008D479B" w:rsidRDefault="008D479B" w:rsidP="008D479B">
      <w:pPr>
        <w:pStyle w:val="TextoNormal"/>
      </w:pPr>
    </w:p>
    <w:p w14:paraId="2227E28B" w14:textId="77777777" w:rsidR="008D479B" w:rsidRDefault="008D479B" w:rsidP="008D479B">
      <w:pPr>
        <w:pStyle w:val="TextoNormal"/>
      </w:pPr>
      <w:r>
        <w:t>La Presidencia de la Cámara, en su función de velar por los derechos de los diputados, no puede conformarse con aceptar acríticamente una negativa del Ejecutivo a facilitar la información requerida por los diputados solicitantes, sino que deberá llevar a cabo un análisis detenido de la contestación del Gobierno y, en su caso, adoptar las medidas necesarias para proteger los derechos de aquellos. Dicho deber se podría concretar en el requerimiento de la Presidencia de la Cámara al Gobierno instándole a dar satisfacción a la solicitud de información, no solo en los casos de omisión, sino también cuando las razones esgrimidas por aquel en apoyo de la negativa sean, por su carácter infundado o arbitrario, atentatorias del derecho de los parlamentarios (en un sentido similar, STC 181/1989, de 3 de noviembre). También en el requerimiento, en su caso, para que se module la información solicitada atendiendo a otros intereses en presencia.</w:t>
      </w:r>
    </w:p>
    <w:p w14:paraId="56296A5D" w14:textId="77777777" w:rsidR="008D479B" w:rsidRDefault="008D479B" w:rsidP="008D479B">
      <w:pPr>
        <w:pStyle w:val="TextoNormal"/>
      </w:pPr>
    </w:p>
    <w:p w14:paraId="09D1CC51" w14:textId="77777777" w:rsidR="008D479B" w:rsidRDefault="008D479B" w:rsidP="008D479B">
      <w:pPr>
        <w:pStyle w:val="TextoNormal"/>
      </w:pPr>
      <w:r>
        <w:t>4. Aplicación de la doctrina al presente caso</w:t>
      </w:r>
    </w:p>
    <w:p w14:paraId="73481751" w14:textId="77777777" w:rsidR="008D479B" w:rsidRDefault="008D479B" w:rsidP="008D479B">
      <w:pPr>
        <w:pStyle w:val="TextoNormal"/>
      </w:pPr>
    </w:p>
    <w:p w14:paraId="114D77FF" w14:textId="77777777" w:rsidR="008D479B" w:rsidRDefault="008D479B" w:rsidP="008D479B">
      <w:pPr>
        <w:pStyle w:val="TextoNormal"/>
      </w:pPr>
      <w:r>
        <w:t>La aplicación de la doctrina general antes enunciada hubiera debido conducir a la estimación del presente recurso de amparo, por vulneración del derecho de participación política de los diputados recurrentes (art. 23.2 CE).</w:t>
      </w:r>
    </w:p>
    <w:p w14:paraId="1ED38EDA" w14:textId="77777777" w:rsidR="008D479B" w:rsidRDefault="008D479B" w:rsidP="008D479B">
      <w:pPr>
        <w:pStyle w:val="TextoNormal"/>
      </w:pPr>
    </w:p>
    <w:p w14:paraId="2AF5AD0F" w14:textId="77777777" w:rsidR="008D479B" w:rsidRDefault="008D479B" w:rsidP="008D479B">
      <w:pPr>
        <w:pStyle w:val="TextoNormal"/>
      </w:pPr>
      <w:r>
        <w:t>Frente a la negativa del Gobierno a entregar la información solicitada por los diputados recurrentes, relativa a “todos los informes y documentos que integran los expedientes de indulto correspondientes a los nueve presos condenados en el juicio del procés, que han sido beneficiados por la concesión de los correspondientes indultos en el Consejo de Ministros de 22 de junio de 2021”, por impedirlo, a su entender, el derecho a la protección de datos personales de los indultados, la presidenta del Congreso de los Diputados desestimó la petición de amparo presentada por los diputados recurrentes manifestándoles que el Gobierno ya había contestado y que su competencia se limitaba a realizar un examen liminar que permitiera constatar que aquel había dado respuesta a la solicitud de información y documentación presentada.</w:t>
      </w:r>
    </w:p>
    <w:p w14:paraId="58A07851" w14:textId="77777777" w:rsidR="008D479B" w:rsidRDefault="008D479B" w:rsidP="008D479B">
      <w:pPr>
        <w:pStyle w:val="TextoNormal"/>
      </w:pPr>
    </w:p>
    <w:p w14:paraId="2329A45F" w14:textId="77777777" w:rsidR="008D479B" w:rsidRDefault="008D479B" w:rsidP="008D479B">
      <w:pPr>
        <w:pStyle w:val="TextoNormal"/>
      </w:pPr>
      <w:r>
        <w:t>Esta contestación de la presidenta del Congreso de los Diputados incorpora una motivación que no puede considerarse ni suficiente ni adecuada para la preservación del derecho garantizado en el art. 23.2 CE. Ha supuesto un desconocimiento del derecho de información de los diputados y no ha respondido a los términos en que la Presidencia de la Cámara ha de ejercer su función de velar por los derechos de los diputados. La negativa a facilitar la información requerida solo puede ser excepcional en el sistema parlamentario y no puede despacharse con una argumentación genérica y banal, pues se está impidiendo el derecho fundamental de los parlamentarios a controlar la acción del Gobierno, del que es instrumental el derecho a obtener la información necesaria para llevar a cabo ese control, como se ha dicho.</w:t>
      </w:r>
    </w:p>
    <w:p w14:paraId="2E517800" w14:textId="77777777" w:rsidR="008D479B" w:rsidRDefault="008D479B" w:rsidP="008D479B">
      <w:pPr>
        <w:pStyle w:val="TextoNormal"/>
      </w:pPr>
    </w:p>
    <w:p w14:paraId="2DC556D9" w14:textId="77777777" w:rsidR="008D479B" w:rsidRDefault="008D479B" w:rsidP="008D479B">
      <w:pPr>
        <w:pStyle w:val="TextoNormal"/>
      </w:pPr>
      <w:r>
        <w:t>No cabe duda de que el derecho de los parlamentarios a solicitar información no es un derecho absoluto. De hecho, el propio art. 7.2 RCD hace referencia a las razones fundadas en Derecho que impidan la remisión de información. Ahora bien, la Presidencia del Congreso de los Diputados debería haber realizado una interpretación restrictiva de dichos límites y haber considerado si en lugar de una denegación absoluta del acceso a la información solicitada era posible un acceso parcial o limitado a dicha información, tal y como, por otra parte, puso de manifiesto el Ministerio Fiscal.</w:t>
      </w:r>
    </w:p>
    <w:p w14:paraId="7D021252" w14:textId="77777777" w:rsidR="008D479B" w:rsidRDefault="008D479B" w:rsidP="008D479B">
      <w:pPr>
        <w:pStyle w:val="TextoNormal"/>
      </w:pPr>
    </w:p>
    <w:p w14:paraId="66F0AEE2" w14:textId="77777777" w:rsidR="008D479B" w:rsidRDefault="008D479B" w:rsidP="008D479B">
      <w:pPr>
        <w:pStyle w:val="TextoNormal"/>
      </w:pPr>
      <w:r>
        <w:t>Sin embargo, el acuerdo de la Presidencia asume acríticamente la justificación ofrecida por el Gobierno, sin tomar en consideración la eventual existencia de medidas que permitieran conciliar en términos razonables la pretensión de los recurrentes y la posición del Gobierno en relación con los derechos de los afectados. En este sentido, como entiende el Ministerio Fiscal, se podía haber paliado la injerencia en el derecho fundamental de protección de datos de los afectados, como habilita la Ley 19/2013, de 9 de diciembre, de transparencia, acceso a la información pública y buen gobierno, mediante la disociación de aquellos datos que fueran de carácter personal (art. 15.4). Ello sin perjuicio de que difícilmente puede justificarse la denegación del acceso a la información respecto de los datos personales que ya fueran manifiestamente públicos con anterioridad. Máxime teniendo en cuenta que lo que los diputados recurrentes reclamaban no era en modo alguno la información acerca de las circunstancias personales de los condenados y luego indultados, sino que lo que les interesaba conocer a los recurrentes de amparo eran las razones por las cuales el Gobierno ha tenido a bien considerar que los distintos sujetos eran merecedores del indulto, que es una cuestión diferente, ajena al derecho de protección de datos personales, y referida al ámbito de decisión que es propio del Gobierno y, en cuanto tal, susceptible de control por los diputados.</w:t>
      </w:r>
    </w:p>
    <w:p w14:paraId="41DB900A" w14:textId="77777777" w:rsidR="008D479B" w:rsidRDefault="008D479B" w:rsidP="008D479B">
      <w:pPr>
        <w:pStyle w:val="TextoNormal"/>
      </w:pPr>
    </w:p>
    <w:p w14:paraId="5430D974" w14:textId="77777777" w:rsidR="008D479B" w:rsidRDefault="008D479B" w:rsidP="008D479B">
      <w:pPr>
        <w:pStyle w:val="TextoNormal"/>
      </w:pPr>
      <w:r>
        <w:t>Por todo ello consideramos que la sentencia de la que discrepamos hubiera debido apreciar que el acuerdo impugnado de la presidenta del Congreso de los Diputados vulneró el derecho de los diputados recurrentes al ejercicio del cargo público parlamentario garantizado por el art. 23.2 CE, y en consecuencia se debió estimar el recurso de amparo.</w:t>
      </w:r>
    </w:p>
    <w:p w14:paraId="04A471AB" w14:textId="77777777" w:rsidR="008D479B" w:rsidRDefault="008D479B" w:rsidP="008D479B">
      <w:pPr>
        <w:pStyle w:val="TextoNormal"/>
      </w:pPr>
    </w:p>
    <w:p w14:paraId="581E6138" w14:textId="04199D30" w:rsidR="008D479B" w:rsidRDefault="008D479B" w:rsidP="008D479B">
      <w:pPr>
        <w:pStyle w:val="TextoNormal"/>
      </w:pPr>
      <w:r>
        <w:t>Madrid, a veintiuno de noviembre de dos mil veintitrés.</w:t>
      </w:r>
    </w:p>
    <w:p w14:paraId="2AD3A9D6" w14:textId="15273084" w:rsidR="008D479B" w:rsidRDefault="008D479B">
      <w:pPr>
        <w:spacing w:after="160" w:line="278" w:lineRule="auto"/>
        <w:rPr>
          <w:rFonts w:ascii="Times New Roman" w:eastAsia="Times New Roman" w:hAnsi="Times New Roman" w:cs="Times New Roman"/>
          <w:sz w:val="24"/>
          <w:szCs w:val="24"/>
          <w:lang w:eastAsia="es-ES"/>
        </w:rPr>
      </w:pPr>
      <w:r>
        <w:br w:type="page"/>
      </w:r>
    </w:p>
    <w:p w14:paraId="5A1F1FBA" w14:textId="77777777" w:rsidR="008D479B" w:rsidRDefault="008D479B" w:rsidP="008D479B">
      <w:pPr>
        <w:pStyle w:val="TtuloResolucin"/>
      </w:pPr>
      <w:bookmarkStart w:id="91" w:name="SENTENCIA_2023_166"/>
      <w:r>
        <w:t>SENTENCIA 166/2023, de 22 de noviembre de 2023</w:t>
      </w:r>
    </w:p>
    <w:bookmarkEnd w:id="91"/>
    <w:p w14:paraId="61586948" w14:textId="77777777" w:rsidR="008D479B" w:rsidRDefault="008D479B" w:rsidP="008D479B">
      <w:pPr>
        <w:pStyle w:val="TtuloResolucin"/>
      </w:pPr>
      <w:r>
        <w:t>Pleno</w:t>
      </w:r>
    </w:p>
    <w:p w14:paraId="2028132F" w14:textId="77777777" w:rsidR="008D479B" w:rsidRDefault="008D479B" w:rsidP="008D479B">
      <w:pPr>
        <w:pStyle w:val="TtuloBOE"/>
      </w:pPr>
      <w:r>
        <w:t>(BOE núm. 304, de 21 de diciembre de 2023)</w:t>
      </w:r>
    </w:p>
    <w:p w14:paraId="0C023472" w14:textId="77777777" w:rsidR="008D479B" w:rsidRDefault="008D479B" w:rsidP="008D479B">
      <w:pPr>
        <w:pStyle w:val="TextoNormalCentrado"/>
      </w:pPr>
      <w:r>
        <w:t>ECLI:ES:TC:2023:166</w:t>
      </w:r>
    </w:p>
    <w:p w14:paraId="632AD671" w14:textId="7D71A635" w:rsidR="008D479B" w:rsidRDefault="008D479B" w:rsidP="008D479B">
      <w:pPr>
        <w:pStyle w:val="TextoNormalCentrado"/>
      </w:pPr>
    </w:p>
    <w:p w14:paraId="1E5470BA" w14:textId="77777777" w:rsidR="008D479B" w:rsidRDefault="008D479B" w:rsidP="008D479B">
      <w:pPr>
        <w:pStyle w:val="SntesisDescriptiva"/>
      </w:pPr>
      <w:r>
        <w:t>Recurso de inconstitucionalidad 5305-2021. Interpuesto por más de cincuenta diputados del Grupo Parlamentario Popular en el Congreso en relación con el artículo 15 y el punto sexto de la disposición final primera del Real Decreto-ley 8/2021, de 4 de mayo, por el que se adoptan medidas urgentes en el orden sanitario, social y jurisdiccional a aplicar tras la finalización del estado de alarma declarado por el Real Decreto 926/2020, de 25 de octubre, por el que se declara el estado de alarma para contener la propagación de infecciones causadas por el SARS-CoV-2.</w:t>
      </w:r>
    </w:p>
    <w:p w14:paraId="287684FA" w14:textId="6534314E" w:rsidR="008D479B" w:rsidRDefault="008D479B" w:rsidP="008D479B">
      <w:pPr>
        <w:pStyle w:val="SntesisDescriptiva"/>
      </w:pPr>
    </w:p>
    <w:p w14:paraId="41E9104F" w14:textId="77777777" w:rsidR="008D479B" w:rsidRDefault="008D479B" w:rsidP="008D479B">
      <w:pPr>
        <w:pStyle w:val="SntesisAnaltica"/>
      </w:pPr>
      <w:r>
        <w:t>Límites de los decretos leyes: medida de urgencia dictada con justificación de la concurrencia del presupuesto habilitante y cumpliendo la exigencia de conexión de sentido, que no quebranta los límites materiales de estas normas.</w:t>
      </w:r>
    </w:p>
    <w:p w14:paraId="5AA17643" w14:textId="7F42D4C2" w:rsidR="008D479B" w:rsidRDefault="008D479B" w:rsidP="008D479B">
      <w:pPr>
        <w:pStyle w:val="SntesisAnaltica"/>
      </w:pPr>
    </w:p>
    <w:p w14:paraId="07B0F2CC" w14:textId="215257ED" w:rsidR="008D479B" w:rsidRDefault="008D479B" w:rsidP="008D479B">
      <w:pPr>
        <w:pStyle w:val="Extracto"/>
      </w:pPr>
      <w:r>
        <w:t>1.</w:t>
      </w:r>
      <w:r>
        <w:tab/>
        <w:t>Al dictar un decreto-ley, el órgano gubernativo debe respetar los límites constitucionales, tanto en relación con la concurrencia del presupuesto habilitante, como respecto a la superación de las restricciones materiales a su contenido que exige el art. 86.1 CE [FJ 2].</w:t>
      </w:r>
    </w:p>
    <w:p w14:paraId="0089E4E4" w14:textId="77777777" w:rsidR="008D479B" w:rsidRDefault="008D479B" w:rsidP="008D479B">
      <w:pPr>
        <w:pStyle w:val="Extracto"/>
      </w:pPr>
    </w:p>
    <w:p w14:paraId="42BFCDA2" w14:textId="7193FE9D" w:rsidR="008D479B" w:rsidRDefault="008D479B" w:rsidP="008D479B">
      <w:pPr>
        <w:pStyle w:val="Extracto"/>
      </w:pPr>
      <w:r>
        <w:t>2.</w:t>
      </w:r>
      <w:r>
        <w:tab/>
        <w:t>La apreciación de la concurrencia de la extraordinaria y urgente necesidad  constituye un juicio político que corresponde efectuar al Gobierno (titular constitucional de la potestad legislativa de urgencia) y al Congreso de los Diputados (titular de la potestad de convalidar, derogar o tramitar el texto como proyecto de ley [FJ 3].</w:t>
      </w:r>
    </w:p>
    <w:p w14:paraId="557C4A90" w14:textId="77777777" w:rsidR="008D479B" w:rsidRDefault="008D479B" w:rsidP="008D479B">
      <w:pPr>
        <w:pStyle w:val="Extracto"/>
      </w:pPr>
    </w:p>
    <w:p w14:paraId="2CAD3C7C" w14:textId="5AF66263" w:rsidR="008D479B" w:rsidRDefault="008D479B" w:rsidP="008D479B">
      <w:pPr>
        <w:pStyle w:val="Extracto"/>
      </w:pPr>
      <w:r>
        <w:t>3.</w:t>
      </w:r>
      <w:r>
        <w:tab/>
        <w:t>En cuanto a la definición de la situación de urgencia, no es preciso que la misma se contenga siempre en el propio decreto-ley, sino que cabe deducirla igualmente de una pluralidad de elementos que son, básicamente, los que quedan reflejados en la exposición de motivos de la norma, a lo largo del debate parlamentario de convalidación, y en el propio expediente de elaboración de la misma (STC 152/2017) [FJ 3].</w:t>
      </w:r>
    </w:p>
    <w:p w14:paraId="049320E0" w14:textId="77777777" w:rsidR="008D479B" w:rsidRDefault="008D479B" w:rsidP="008D479B">
      <w:pPr>
        <w:pStyle w:val="Extracto"/>
      </w:pPr>
    </w:p>
    <w:p w14:paraId="70C21F26" w14:textId="7ADBDBF7" w:rsidR="008D479B" w:rsidRDefault="008D479B" w:rsidP="008D479B">
      <w:pPr>
        <w:pStyle w:val="Extracto"/>
      </w:pPr>
      <w:r>
        <w:t>4.</w:t>
      </w:r>
      <w:r>
        <w:tab/>
        <w:t>Con la salvedad de los límites materiales, expresos o implícitos que derivan del texto constitucional, un decreto-ley puede abarcar cualquier contenido y esa regulación será constitucionalmente legítima siempre que se cumpla el presupuesto habilitante de la extraordinaria y urgente necesidad; y si no existe infracción de los límites materiales del decreto-ley, no cabe apreciar por este motivo, en consecuencia, quebranto alguno del principio de seguridad jurídica que consagra el art. 9.3 CE (STC 111/2021) [FJ 8].</w:t>
      </w:r>
    </w:p>
    <w:p w14:paraId="142FF72E" w14:textId="77777777" w:rsidR="008D479B" w:rsidRDefault="008D479B" w:rsidP="008D479B">
      <w:pPr>
        <w:pStyle w:val="Extracto"/>
      </w:pPr>
    </w:p>
    <w:p w14:paraId="65A68B88" w14:textId="77777777" w:rsidR="008D479B" w:rsidRDefault="008D479B" w:rsidP="008D479B">
      <w:pPr>
        <w:pStyle w:val="Extracto"/>
      </w:pPr>
    </w:p>
    <w:p w14:paraId="3897E63C" w14:textId="77777777" w:rsidR="008D479B" w:rsidRDefault="008D479B" w:rsidP="008D479B">
      <w:pPr>
        <w:pStyle w:val="TextoNormal"/>
      </w:pPr>
      <w: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y doña Laura Díez Bueso, ha pronunciado</w:t>
      </w:r>
    </w:p>
    <w:p w14:paraId="5F46E94E" w14:textId="1ADD5879" w:rsidR="008D479B" w:rsidRDefault="008D479B" w:rsidP="008D479B">
      <w:pPr>
        <w:pStyle w:val="TextoNormal"/>
      </w:pPr>
    </w:p>
    <w:p w14:paraId="5C0FBB36" w14:textId="77777777" w:rsidR="008D479B" w:rsidRDefault="008D479B" w:rsidP="008D479B">
      <w:pPr>
        <w:pStyle w:val="TextoNormalCentrado"/>
        <w:keepNext/>
      </w:pPr>
      <w:r>
        <w:t>EN NOMBRE DEL REY</w:t>
      </w:r>
    </w:p>
    <w:p w14:paraId="47412675" w14:textId="296D2ACD" w:rsidR="008D479B" w:rsidRDefault="008D479B" w:rsidP="008D479B">
      <w:pPr>
        <w:pStyle w:val="TextoNormalCentrado"/>
        <w:keepNext/>
      </w:pPr>
    </w:p>
    <w:p w14:paraId="778CBE50" w14:textId="77777777" w:rsidR="008D479B" w:rsidRDefault="008D479B" w:rsidP="008D479B">
      <w:pPr>
        <w:pStyle w:val="TextoNormalCentrado"/>
        <w:keepNext/>
      </w:pPr>
    </w:p>
    <w:p w14:paraId="574F3C1C" w14:textId="77777777" w:rsidR="008D479B" w:rsidRDefault="008D479B" w:rsidP="008D479B">
      <w:pPr>
        <w:pStyle w:val="TextoNormal"/>
      </w:pPr>
      <w:r>
        <w:t>la siguiente</w:t>
      </w:r>
    </w:p>
    <w:p w14:paraId="71919A13" w14:textId="79D0B8D2" w:rsidR="008D479B" w:rsidRDefault="008D479B" w:rsidP="008D479B">
      <w:pPr>
        <w:pStyle w:val="TextoNormal"/>
      </w:pPr>
    </w:p>
    <w:p w14:paraId="5FC85D71" w14:textId="77777777" w:rsidR="008D479B" w:rsidRDefault="008D479B" w:rsidP="008D479B">
      <w:pPr>
        <w:pStyle w:val="TextoNormalCentrado"/>
        <w:keepNext/>
      </w:pPr>
      <w:r>
        <w:t>SENTENCIA</w:t>
      </w:r>
    </w:p>
    <w:p w14:paraId="689F3366" w14:textId="3E83C278" w:rsidR="008D479B" w:rsidRDefault="008D479B" w:rsidP="008D479B">
      <w:pPr>
        <w:pStyle w:val="TextoNormalCentrado"/>
        <w:keepNext/>
      </w:pPr>
    </w:p>
    <w:p w14:paraId="087D3D6E" w14:textId="77777777" w:rsidR="008D479B" w:rsidRDefault="008D479B" w:rsidP="008D479B">
      <w:pPr>
        <w:pStyle w:val="TextoNormal"/>
      </w:pPr>
      <w:r>
        <w:t>En el recurso de inconstitucionalidad núm. 5305-2021, interpuesto por más de cincuenta diputados del Grupo Parlamentario Popular en el Congreso contra el art. 15 y el punto 6 de la disposición final primera del Real Decreto-ley 8/2021, de 4 de mayo, por el que se adoptan medidas urgentes en el orden sanitario, social y jurisdiccional a aplicar tras la finalización del estado de alarma declarado por el Real Decreto 926/2020, de 25 de octubre, por el que se declara el estado de alarma para contener la propagación de infecciones causadas por el SARS-CoV-2. Ha comparecido y formulado alegaciones el abogado del Estado. Ha sido ponente el magistrado don Enrique Arnaldo Alcubilla.</w:t>
      </w:r>
    </w:p>
    <w:p w14:paraId="4FB02352" w14:textId="58D54321" w:rsidR="008D479B" w:rsidRDefault="008D479B" w:rsidP="008D479B">
      <w:pPr>
        <w:pStyle w:val="TextoNormal"/>
      </w:pPr>
    </w:p>
    <w:p w14:paraId="508B6F8B" w14:textId="77777777" w:rsidR="008D479B" w:rsidRDefault="008D479B" w:rsidP="008D479B">
      <w:pPr>
        <w:pStyle w:val="TextoNormalNegritaCentrado"/>
        <w:keepNext/>
      </w:pPr>
      <w:r>
        <w:t>I. Antecedentes</w:t>
      </w:r>
    </w:p>
    <w:p w14:paraId="3D0BB1D8" w14:textId="04B28B02" w:rsidR="008D479B" w:rsidRDefault="008D479B" w:rsidP="008D479B">
      <w:pPr>
        <w:pStyle w:val="TextoNormalNegritaCentrado"/>
        <w:keepNext/>
      </w:pPr>
    </w:p>
    <w:p w14:paraId="628C79B6" w14:textId="77777777" w:rsidR="008D479B" w:rsidRDefault="008D479B" w:rsidP="008D479B">
      <w:pPr>
        <w:pStyle w:val="TextoNormal"/>
      </w:pPr>
      <w:r w:rsidRPr="008D479B">
        <w:rPr>
          <w:rStyle w:val="NumeroAFNegritaCaracter"/>
        </w:rPr>
        <w:t>1</w:t>
      </w:r>
      <w:r>
        <w:t>. Mediante escrito registrado en este tribunal el 29 de julio de 2021 se ha promovido recurso de inconstitucionalidad por más de cincuenta diputados del Grupo Parlamentario Popular en el Congreso contra el art. 15 y el punto 6 de la disposición final primera del Real Decreto-ley 8/2021, de 4 de mayo, por el que se adoptan medidas urgentes en el orden sanitario, social y jurisdiccional a aplicar tras la finalización del estado de alarma declarado por el Real Decreto 926/2020, de 25 de octubre, por el que se declara el estado de alarma para contener la propagación de infecciones causadas por el SARS-CoV-2.</w:t>
      </w:r>
    </w:p>
    <w:p w14:paraId="4EF55383" w14:textId="77777777" w:rsidR="008D479B" w:rsidRDefault="008D479B" w:rsidP="008D479B">
      <w:pPr>
        <w:pStyle w:val="TextoNormal"/>
      </w:pPr>
    </w:p>
    <w:p w14:paraId="54FC8602" w14:textId="77777777" w:rsidR="008D479B" w:rsidRDefault="008D479B" w:rsidP="008D479B">
      <w:pPr>
        <w:pStyle w:val="TextoNormal"/>
      </w:pPr>
      <w:r>
        <w:t>Los motivos del recurso son, sucintamente expuestos, los siguientes:</w:t>
      </w:r>
    </w:p>
    <w:p w14:paraId="0616CC79" w14:textId="77777777" w:rsidR="008D479B" w:rsidRDefault="008D479B" w:rsidP="008D479B">
      <w:pPr>
        <w:pStyle w:val="TextoNormal"/>
      </w:pPr>
    </w:p>
    <w:p w14:paraId="15EFA711" w14:textId="77777777" w:rsidR="008D479B" w:rsidRDefault="008D479B" w:rsidP="008D479B">
      <w:pPr>
        <w:pStyle w:val="TextoNormal"/>
      </w:pPr>
      <w:r>
        <w:t>a) La demanda hace alusión en primer lugar a la exposición de motivos del Real Decreto-ley 8/2021 y señala que sorprende que, en el seno de una disposición dirigida a la necesidad de adoptar “medidas urgentes en el orden sanitario, social y jurisdiccional, a aplicar tras la finalización de la vigencia del estado de alarma ”, se incluyan disposiciones como las impugnadas, cuyo tenor reproduce, al objeto de modificar la regulación del recurso de casación para posibilitar que la Sala de lo Contencioso-Administrativo del Tribunal Supremo pueda entrar a conocer sobre los autos adoptados por las salas de los tribunales superiores de justicia y de la Audiencia Nacional en esta materia y pueda, además, fijar doctrina legal con intervención de las administraciones públicas autonómica y estatal, además de la del Ministerio Fiscal, sobre el alcance de la legislación sanitaria en relación con las limitaciones o restricciones de derechos fundamentales de los ciudadanos, impuestas por las autoridades sanitarias, y todo ello en un plazo muy breve de tiempo. La demanda avanza ya su juicio de que se introduce “una modificación del recurso de casación por una vía jurídica inadecuada por cuanto, por un lado, afecta a derechos y libertades de los ciudadanos, por otro no existe extraordinaria y urgente necesidad para ello y finalmente por la propia naturaleza de la reforma realizada, es obvio que requiere de estabilidad al afectar a procedimientos judiciales”. Se alega que, después de un año de pandemia, la ausencia de reformas jurídicas necesarias por parte del Gobierno no puede constituir la justificación de la extrema y urgente necesidad. La demanda denuncia que esta actuación “se ha convertido en habitual en el presente Gobierno, que, como ya se ha referido, ha aprobado desde la fecha de declaración del estado de alarma, el 14 de marzo de 2020, 47 reales decretos-leyes, lo que refleja el intento permanente de suplantación de la potestad legislativa ordinaria de las Cortes Generales”. Se critica la inclusión de esta disposición en el seno de un real decreto-ley sanitario, económico y social necesario en el núcleo de una situación de crisis sanitaria sin precedentes, incapacitando al Congreso para hacer una votación separada y forzándole a elegir entre rechazar la convalidación del Real Decreto-ley 8/2021 o convalidarlo pese a su manifiesta y patente vulneración en los preceptos impugnados de los límites constitucionalmente impuestos a este tipo de norma.</w:t>
      </w:r>
    </w:p>
    <w:p w14:paraId="73F1D52A" w14:textId="77777777" w:rsidR="008D479B" w:rsidRDefault="008D479B" w:rsidP="008D479B">
      <w:pPr>
        <w:pStyle w:val="TextoNormal"/>
      </w:pPr>
    </w:p>
    <w:p w14:paraId="5305C364" w14:textId="77777777" w:rsidR="008D479B" w:rsidRDefault="008D479B" w:rsidP="008D479B">
      <w:pPr>
        <w:pStyle w:val="TextoNormal"/>
      </w:pPr>
      <w:r>
        <w:t xml:space="preserve">b) En el primer motivo de recurso los diputados recurrentes reiteran que el art. 15 y el punto 6 de la disposición final primera del Real Decreto-ley 8/2021 vulneran el art. 86.1 CE por no concurrir el presupuesto habilitante de la extraordinaria y urgente necesidad. Se recuerda la doctrina constitucional sobre esta cuestión (con cita de las SSTC 29/1982, de 31 de mayo, y 14/2020, de 28 de enero) en relación con la exigencia de que el Gobierno haga una definición “explícita y razonada” de la situación concurrente y que exista además una “conexión de sentido” entre la situación definida y las medidas que en el decreto-ley se adoptan, así como en torno al control externo que corresponde desarrollar a este tribunal valorando en su conjunto los factores que han sido tenidos en cuenta por parte del Gobierno para aprobar la norma. La demanda señala que no se discute el presupuesto habilitante en relación con el conjunto del Real Decreto-ley 8/2021, dado que es innegable la extrema y urgente necesidad derivada de la crisis sanitaria provocada por la pandemia mundial de la covid-19, pero recuerda que, conforme a la doctrina constitucional, cuando se denuncia la vulneración del presupuesto de hecho habilitante respecto, no del correspondiente decreto-ley en su conjunto, sino únicamente en relación con alguno de sus preceptos, la necesaria justificación </w:t>
      </w:r>
      <w:r w:rsidRPr="008D479B">
        <w:rPr>
          <w:i/>
        </w:rPr>
        <w:t>ad casum</w:t>
      </w:r>
      <w:r>
        <w:t xml:space="preserve"> de la “extraordinaria y urgente necesidad” ha de ser apreciada en relación precisamente con los preceptos en concreto impugnados.</w:t>
      </w:r>
    </w:p>
    <w:p w14:paraId="01FE4CFB" w14:textId="77777777" w:rsidR="008D479B" w:rsidRDefault="008D479B" w:rsidP="008D479B">
      <w:pPr>
        <w:pStyle w:val="TextoNormal"/>
      </w:pPr>
    </w:p>
    <w:p w14:paraId="1667FB02" w14:textId="77777777" w:rsidR="008D479B" w:rsidRDefault="008D479B" w:rsidP="008D479B">
      <w:pPr>
        <w:pStyle w:val="TextoNormal"/>
      </w:pPr>
      <w:r>
        <w:t>La exposición de motivos del Real Decreto-ley 8/2021 enuncia las razones para la aprobación de las medidas que contiene y, en el caso de los preceptos impugnados, reconoce que está introduciendo una reforma sobre una materia que afecta directamente a derechos y libertades de los ciudadanos, vulnerando por tanto de manera clara lo previsto en el art. 86.1 CE. La demanda señala que la motivación contenida en la exposición de motivos del Real Decreto-ley 8/2021 no puede entenderse como una definición explicita y razonada de la situación concurrente, sino que se trata de un vago argumento, completamente genérico y vaciado de contenido que podría servir para la modificación de cualquier texto legal de nuestro ordenamiento jurídico. Simplemente se hace referencia a la necesidad de modificar la Ley 29/1998, de 13 de julio, al objeto de modificar la regulación del recurso de casación, pero la importancia del tema o el deseo de su inmediata puesta en marcha no es causa suficiente que justifique la extraordinaria y urgente necesidad, y, menos aún, que ponga en riesgo la seguridad jurídica a la hora de acometer una reforma que va a tener un impacto muy significativo sobre la Sala Tercera del Tribunal Supremo, tal como pone de manifiesto su propio gabinete técnico. La necesidad se hace depender, según la demanda, de la propia prisa del poder ejecutivo. Por otra parte, en el debate parlamentario, ni el Gobierno, ni los grupos parlamentarios a los que pertenecen buena parte de los miembros de este, hicieron mención determinante a la extrema y urgente necesidad que motiva la reforma objeto del presente recurso, pese a que, durante el debate, varios grupos parlamentarios hicieron expresa mención a esa cuestión.</w:t>
      </w:r>
    </w:p>
    <w:p w14:paraId="00729087" w14:textId="77777777" w:rsidR="008D479B" w:rsidRDefault="008D479B" w:rsidP="008D479B">
      <w:pPr>
        <w:pStyle w:val="TextoNormal"/>
      </w:pPr>
    </w:p>
    <w:p w14:paraId="5CE7B82C" w14:textId="77777777" w:rsidR="008D479B" w:rsidRDefault="008D479B" w:rsidP="008D479B">
      <w:pPr>
        <w:pStyle w:val="TextoNormal"/>
      </w:pPr>
      <w:r>
        <w:t>De lo anteriormente expuesto los diputados recurrentes concluyen que “no existe razonamiento alguno, ni en el propio preámbulo, ni en la tramitación parlamentaria, ni en los hechos previos que motivan la reforma, que motive el presupuesto habilitante, esto es, la extrema y urgente necesidad, requisito inalienable para la utilización del real decreto-ley como instrumento legislativo de urgencia”.</w:t>
      </w:r>
    </w:p>
    <w:p w14:paraId="23CC52AB" w14:textId="77777777" w:rsidR="008D479B" w:rsidRDefault="008D479B" w:rsidP="008D479B">
      <w:pPr>
        <w:pStyle w:val="TextoNormal"/>
      </w:pPr>
    </w:p>
    <w:p w14:paraId="618C4C45" w14:textId="77777777" w:rsidR="008D479B" w:rsidRDefault="008D479B" w:rsidP="008D479B">
      <w:pPr>
        <w:pStyle w:val="TextoNormal"/>
      </w:pPr>
      <w:r>
        <w:t>c) En cuanto a la conexión de sentido entre la situación definida y las medidas que en el Real Decreto-ley 8/2021 se adoptan, la demanda señala que no puede hablarse de esa conexión de sentido cuando se parte de la inexistencia del requisito de extrema y urgente necesidad. Dado que es palmario que no concurre la extraordinaria y urgente necesidad, también se deduce la inobservancia del segundo criterio establecido por la doctrina constitucional para el control del presupuesto habilitante.</w:t>
      </w:r>
    </w:p>
    <w:p w14:paraId="448C601B" w14:textId="77777777" w:rsidR="008D479B" w:rsidRDefault="008D479B" w:rsidP="008D479B">
      <w:pPr>
        <w:pStyle w:val="TextoNormal"/>
      </w:pPr>
    </w:p>
    <w:p w14:paraId="75570906" w14:textId="77777777" w:rsidR="008D479B" w:rsidRDefault="008D479B" w:rsidP="008D479B">
      <w:pPr>
        <w:pStyle w:val="TextoNormal"/>
      </w:pPr>
      <w:r>
        <w:t>A mayor abundamiento, el mandato del art. 86.1 CE resulta asimismo incumplido por la propia vocación de permanencia de las disposiciones impugnadas del Real Decreto-ley 8/2021, que contrasta con el contenido regulatorio provisional del resto de las previsiones de este decreto-ley.</w:t>
      </w:r>
    </w:p>
    <w:p w14:paraId="16812038" w14:textId="77777777" w:rsidR="008D479B" w:rsidRDefault="008D479B" w:rsidP="008D479B">
      <w:pPr>
        <w:pStyle w:val="TextoNormal"/>
      </w:pPr>
    </w:p>
    <w:p w14:paraId="162E68CA" w14:textId="77777777" w:rsidR="008D479B" w:rsidRDefault="008D479B" w:rsidP="008D479B">
      <w:pPr>
        <w:pStyle w:val="TextoNormal"/>
      </w:pPr>
      <w:r>
        <w:t>d) Se afirma también en el recurso que la regulación introducida mediante las disposiciones impugnadas del Real Decreto-ley 8/2021 vulnera el principio de seguridad jurídica (art. 9.3 CE) y la propia función del decreto-ley como fórmula legislativa excepcional, dotada de un contenido constitucionalmente definido, respecto del principio de monopolio legislativo de las Cortes Generales.</w:t>
      </w:r>
    </w:p>
    <w:p w14:paraId="20F3DC89" w14:textId="77777777" w:rsidR="008D479B" w:rsidRDefault="008D479B" w:rsidP="008D479B">
      <w:pPr>
        <w:pStyle w:val="TextoNormal"/>
      </w:pPr>
    </w:p>
    <w:p w14:paraId="0A9A6D55" w14:textId="77777777" w:rsidR="008D479B" w:rsidRDefault="008D479B" w:rsidP="008D479B">
      <w:pPr>
        <w:pStyle w:val="TextoNormal"/>
      </w:pPr>
      <w:r>
        <w:t>Se trae a colación en este sentido la reiterada doctrina constitucional acerca del contenido propio de las leyes de presupuestos generales del Estado (con cita de la STC 122/2018, de 31 de octubre), que los recurrentes consideran aplicable al empleo del decreto-ley. Sostienen, en consecuencia, que al igual que sucede con las leyes de presupuestos, en el caso del decreto-ley la posibilidad de incluir en este previsiones que excedan del ámbito más estricto del contenido esencial de la fuente, se encuentra con el límite que constituyen tanto el principio de seguridad jurídica (art. 9.3 CE) como los preceptos que determinan dicho contenido esencial (los arts. 66.2 y 134.1 CE en el caso de la ley de presupuestos y el art. 86.1 CE en el caso del decreto-ley).</w:t>
      </w:r>
    </w:p>
    <w:p w14:paraId="6596585D" w14:textId="77777777" w:rsidR="008D479B" w:rsidRDefault="008D479B" w:rsidP="008D479B">
      <w:pPr>
        <w:pStyle w:val="TextoNormal"/>
      </w:pPr>
    </w:p>
    <w:p w14:paraId="34F9E01D" w14:textId="77777777" w:rsidR="008D479B" w:rsidRDefault="008D479B" w:rsidP="008D479B">
      <w:pPr>
        <w:pStyle w:val="TextoNormal"/>
      </w:pPr>
      <w:r>
        <w:t>En consecuencia, si en la ley de presupuestos las previsiones de acompañamiento deben encontrarse inequívocamente vinculadas a los ingresos y gastos del Estado, en el decreto-ley las normas adicionales deben guardar inequívocamente una vinculación con la específica necesidad (de carácter extraordinario y urgente) que da razón al mismo. De otro modo, se habrá desconocido por el poder constituido correspondiente el mandato constitucional de limitar el contenido de dichas leyes de carácter especial a su específica función constitucional.</w:t>
      </w:r>
    </w:p>
    <w:p w14:paraId="2F154D08" w14:textId="77777777" w:rsidR="008D479B" w:rsidRDefault="008D479B" w:rsidP="008D479B">
      <w:pPr>
        <w:pStyle w:val="TextoNormal"/>
      </w:pPr>
    </w:p>
    <w:p w14:paraId="62A60986" w14:textId="77777777" w:rsidR="008D479B" w:rsidRDefault="008D479B" w:rsidP="008D479B">
      <w:pPr>
        <w:pStyle w:val="TextoNormal"/>
      </w:pPr>
      <w:r>
        <w:t>Por otro lado, la fiscalización de la adecuación del contenido constitucionalmente limitado de ambas fuentes debe ponerse en relación, en los dos casos, con la restricción de la actuación parlamentaria que ambas suponen. De no ser así, la utilización indiscriminada de esas técnicas legislativas (sobre todo del decreto-ley) podría determinar en último término el vaciamiento de la potestad legislativa ordinaria.</w:t>
      </w:r>
    </w:p>
    <w:p w14:paraId="1E1BF110" w14:textId="77777777" w:rsidR="008D479B" w:rsidRDefault="008D479B" w:rsidP="008D479B">
      <w:pPr>
        <w:pStyle w:val="TextoNormal"/>
      </w:pPr>
    </w:p>
    <w:p w14:paraId="4C2220A4" w14:textId="77777777" w:rsidR="008D479B" w:rsidRDefault="008D479B" w:rsidP="008D479B">
      <w:pPr>
        <w:pStyle w:val="TextoNormal"/>
      </w:pPr>
      <w:r>
        <w:t>Lo anterior implica que para admitir la introducción de previsiones legales ajenas al núcleo del decreto-ley (esto es, ajenas a la institución de medidas que, de modo directo, se dirijan a atajar la situación de urgente y extraordinaria necesidad), es preciso que concurran los siguientes dos requisitos acumulativos: la conexión inmediata y directa (que no accidental y secundaria) de la materia sobre la que versa la previsión con la extraordinaria y urgente necesidad que justifica el decreto-ley; y la justificación de la inclusión de esa materia conexa en el decreto-ley en cuestión. Estos requisitos no se cumplen en las disposiciones impugnadas del Real Decreto-ley 8/2021, según los recurrentes.</w:t>
      </w:r>
    </w:p>
    <w:p w14:paraId="60FAB4C3" w14:textId="77777777" w:rsidR="008D479B" w:rsidRDefault="008D479B" w:rsidP="008D479B">
      <w:pPr>
        <w:pStyle w:val="TextoNormal"/>
      </w:pPr>
    </w:p>
    <w:p w14:paraId="1D7E28CC" w14:textId="77777777" w:rsidR="008D479B" w:rsidRDefault="008D479B" w:rsidP="008D479B">
      <w:pPr>
        <w:pStyle w:val="TextoNormal"/>
      </w:pPr>
      <w:r>
        <w:t>Así, no existe vinculación inmediata y directa alguna entre la causa de extraordinaria y urgente necesidad del Real Decreto-ley 8/2021 (el impacto que en el tejido social y económico es susceptible de producir la emergencia sanitaria derivada de la epidemia de la covid-19) y el contenido de las disposiciones impugnadas dirigidas a la modificación del recurso de casación.</w:t>
      </w:r>
    </w:p>
    <w:p w14:paraId="0E4F0FE3" w14:textId="77777777" w:rsidR="008D479B" w:rsidRDefault="008D479B" w:rsidP="008D479B">
      <w:pPr>
        <w:pStyle w:val="TextoNormal"/>
      </w:pPr>
    </w:p>
    <w:p w14:paraId="199B3B88" w14:textId="77777777" w:rsidR="008D479B" w:rsidRDefault="008D479B" w:rsidP="008D479B">
      <w:pPr>
        <w:pStyle w:val="TextoNormal"/>
      </w:pPr>
      <w:r>
        <w:t>Pero es que tampoco se cumple el segundo requisito, consistente en la justificación de la inclusión de la materia conexa en el decreto-ley, pues la explicación ofrecida por el Gobierno en el apartado II de la exposición de motivos del Real Decreto-ley 8/2021 no puede considerarse como una justificación válida. No existe justificación de tal conexión sino “el mero y reprochable oportunismo de incluir un apéndice artificial, del todo desconectado e injustificable en tan importante norma, vulnerando la Constitución española”. Se ha vulnerado por ello el principio de seguridad jurídica (art. 9.3 CE), así como la norma rectora del decreto-ley (art. 86.1 CE) como instrumento normativo de contenido constitucionalmente delimitado. Procede en consecuencia, también por este motivo, la declaración de inconstitucionalidad y consiguiente nulidad de las disposiciones impugnadas, según los recurrentes.</w:t>
      </w:r>
    </w:p>
    <w:p w14:paraId="1DF97478" w14:textId="77777777" w:rsidR="008D479B" w:rsidRDefault="008D479B" w:rsidP="008D479B">
      <w:pPr>
        <w:pStyle w:val="TextoNormal"/>
      </w:pPr>
    </w:p>
    <w:p w14:paraId="7995401A" w14:textId="27B7000B" w:rsidR="008D479B" w:rsidRDefault="008D479B" w:rsidP="008D479B">
      <w:pPr>
        <w:pStyle w:val="TextoNormal"/>
      </w:pPr>
      <w:r>
        <w:t>e) Finalmente los diputados recurrentes alegan el incumplimiento de los límites materiales previstos en el art. 86.1 CE por la afectación a la tutela judicial efectiva (art. 24.1 CE) y al ordenamiento de las instituciones básicas del Estado. En tal sentido sostienen que “[l]a regulación controvertida, objeto del presente recurso, modificando el recurso de casación por medio de un decreto ley, colocando a los tribunales de justicia en una posición institucional como coparticipes ejecutivos en el proceso de medidas administrativas, trasgrede sin duda la prohibición de afectar al ‘ordenamiento de las instituciones básicas del Estado’ y afecta al derecho a la tutela judicial efectiva (artículo 24.1 CE; STC 93/1998, de 24 de mayo) contenidos en el artículo 86.1 de la CE”.</w:t>
      </w:r>
    </w:p>
    <w:p w14:paraId="5AB8C2F0" w14:textId="77777777" w:rsidR="008D479B" w:rsidRDefault="008D479B" w:rsidP="008D479B">
      <w:pPr>
        <w:pStyle w:val="TextoNormal"/>
      </w:pPr>
    </w:p>
    <w:p w14:paraId="1C9B4BE3" w14:textId="7F0A25E7" w:rsidR="008D479B" w:rsidRDefault="008D479B" w:rsidP="008D479B">
      <w:pPr>
        <w:pStyle w:val="TextoNormal"/>
      </w:pPr>
      <w:r w:rsidRPr="008D479B">
        <w:rPr>
          <w:rStyle w:val="NumeroAFNegritaCaracter"/>
        </w:rPr>
        <w:t>2</w:t>
      </w:r>
      <w:r>
        <w:t>. Por providencia de 7 de octubre de 2021 el Pleno, a propuesta de la Sección Segunda, acordó admitir a trámite el recurso de inconstitucionalidad; dar traslado de la demanda y documentos presentados, conforme establece el artículo 34 de la Ley Orgánica del Tribunal Constitucional (LOTC), al Congreso de los Diputados y al Senado, por conducto de sus presidentes, y al Gobierno, a través de la ministra de Justicia, así como publicar la incoación del recurso en el “Boletín Oficial del Estado”.</w:t>
      </w:r>
    </w:p>
    <w:p w14:paraId="66029405" w14:textId="77777777" w:rsidR="008D479B" w:rsidRDefault="008D479B" w:rsidP="008D479B">
      <w:pPr>
        <w:pStyle w:val="TextoNormal"/>
      </w:pPr>
    </w:p>
    <w:p w14:paraId="644F6B91" w14:textId="5238FE2B" w:rsidR="008D479B" w:rsidRDefault="008D479B" w:rsidP="008D479B">
      <w:pPr>
        <w:pStyle w:val="TextoNormal"/>
      </w:pPr>
      <w:r w:rsidRPr="008D479B">
        <w:rPr>
          <w:rStyle w:val="NumeroAFNegritaCaracter"/>
        </w:rPr>
        <w:t>3</w:t>
      </w:r>
      <w:r>
        <w:t>. Mediante escrito registrado el día 20 de octubre de 2021, el presidente del Senado comunicó el acuerdo de la mesa de la Cámara, por la que se persona en el proceso y ofrece su colaboración a los efectos del art. 88.1 LOTC. Lo mismo hizo la presidenta del Congreso de los Diputados por escrito que tuvo entrada en este tribunal el día 21 de octubre de 2021.</w:t>
      </w:r>
    </w:p>
    <w:p w14:paraId="723A9107" w14:textId="77777777" w:rsidR="008D479B" w:rsidRDefault="008D479B" w:rsidP="008D479B">
      <w:pPr>
        <w:pStyle w:val="TextoNormal"/>
      </w:pPr>
    </w:p>
    <w:p w14:paraId="1E1F002C" w14:textId="77777777" w:rsidR="008D479B" w:rsidRDefault="008D479B" w:rsidP="008D479B">
      <w:pPr>
        <w:pStyle w:val="TextoNormal"/>
      </w:pPr>
      <w:r w:rsidRPr="008D479B">
        <w:rPr>
          <w:rStyle w:val="NumeroAFNegritaCaracter"/>
        </w:rPr>
        <w:t>4</w:t>
      </w:r>
      <w:r>
        <w:t>. El abogado del Estado se personó en el proceso por escrito registrado el día 29 de octubre de 2021 solicitando una prórroga del plazo inicialmente concedido para formular alegaciones. Prórroga que le fue concedida por diligencia de ordenación de la Secretaría de Justicia del Pleno de 2 de noviembre de 2021.</w:t>
      </w:r>
    </w:p>
    <w:p w14:paraId="5B319627" w14:textId="77777777" w:rsidR="008D479B" w:rsidRDefault="008D479B" w:rsidP="008D479B">
      <w:pPr>
        <w:pStyle w:val="TextoNormal"/>
      </w:pPr>
    </w:p>
    <w:p w14:paraId="5A7725CA" w14:textId="77777777" w:rsidR="008D479B" w:rsidRDefault="008D479B" w:rsidP="008D479B">
      <w:pPr>
        <w:pStyle w:val="TextoNormal"/>
      </w:pPr>
      <w:r>
        <w:t>Las alegaciones del abogado del Estado en las que interesa la desestimación del recurso interpuesto se registraron en este tribunal el día 16 de noviembre de 2021.</w:t>
      </w:r>
    </w:p>
    <w:p w14:paraId="7AB21B4E" w14:textId="77777777" w:rsidR="008D479B" w:rsidRDefault="008D479B" w:rsidP="008D479B">
      <w:pPr>
        <w:pStyle w:val="TextoNormal"/>
      </w:pPr>
    </w:p>
    <w:p w14:paraId="24789A4E" w14:textId="77777777" w:rsidR="008D479B" w:rsidRDefault="008D479B" w:rsidP="008D479B">
      <w:pPr>
        <w:pStyle w:val="TextoNormal"/>
      </w:pPr>
      <w:r>
        <w:t>Advierte que como motivo principal del recurso se niega que concurra el presupuesto habilitante de la extraordinaria y urgente necesidad (art. 86.1 CE) en las disposiciones impugnadas del Real Decreto-ley 8/2021. En respuesta a esta tacha de inconstitucionalidad, el abogado del Estado comienza recordando la reiterada doctrina constitucional acerca del presupuesto habilitante del decreto-ley de la que se desprende que la apreciación de la concurrencia de la extraordinaria y urgente necesidad es un juicio político que corresponde al Gobierno (titular constitucional de la potestad legislativa de urgencia) y al Congreso de los Diputados (titular de la potestad de convalidar, derogar o tramitar el texto como proyecto de ley). El Tribunal Constitucional controla que este juicio político de la urgencia no desborde los límites de lo manifiestamente razonable y, en consecuencia, se halla facultado para rechazar definiciones de la situación de urgencia en las que aprecie abuso o arbitrariedad en el juicio realizado por los órganos políticos.</w:t>
      </w:r>
    </w:p>
    <w:p w14:paraId="250A0391" w14:textId="77777777" w:rsidR="008D479B" w:rsidRDefault="008D479B" w:rsidP="008D479B">
      <w:pPr>
        <w:pStyle w:val="TextoNormal"/>
      </w:pPr>
    </w:p>
    <w:p w14:paraId="2048C1FD" w14:textId="77777777" w:rsidR="008D479B" w:rsidRDefault="008D479B" w:rsidP="008D479B">
      <w:pPr>
        <w:pStyle w:val="TextoNormal"/>
      </w:pPr>
      <w:r>
        <w:t>Conforme a esa misma doctrina, la extraordinaria y urgente necesidad ha de ser explicitada y razonada por el Gobierno y debe asimismo existir una conexión de sentido o relación de adecuación entre la situación definida que constituye el supuesto habilitante y las medidas que en el decreto-ley se adoptan. La justificación del Gobierno ha de extenderse a razonar por qué la necesidad no pudo atenderse a través del procedimiento legislativo de urgencia. Debe acudirse al examen del preámbulo del propio decreto-ley impugnado, del debate parlamentario de convalidación y del expediente de elaboración, para valorar conjuntamente los factores que han llevado al Gobierno a acudir a esta concreta fuente del Derecho.</w:t>
      </w:r>
    </w:p>
    <w:p w14:paraId="0FB6AAA3" w14:textId="77777777" w:rsidR="008D479B" w:rsidRDefault="008D479B" w:rsidP="008D479B">
      <w:pPr>
        <w:pStyle w:val="TextoNormal"/>
      </w:pPr>
    </w:p>
    <w:p w14:paraId="0CDC5F9C" w14:textId="77777777" w:rsidR="008D479B" w:rsidRDefault="008D479B" w:rsidP="008D479B">
      <w:pPr>
        <w:pStyle w:val="TextoNormal"/>
      </w:pPr>
      <w:r>
        <w:t>La doctrina constitucional ha declarado la aptitud del decreto-ley para atender a coyunturas económicas problemáticas, si bien exige en tales casos un singular celo en los órganos políticos a la hora de concretar la situación de urgencia que se trata de afrontar con la norma provisional, sin que quepa acudir a fórmulas rituales, abstractas o genéricas, aplicables a todo tipo de realidades de un modo intercambiable. No cabe tampoco una justificación genérica de toda la disposición en sí, esto es, del decreto-ley como tal y la causa genérica que anima su aprobación, sino que, cuando el mismo contiene medidas normativas de distinto orden (sustantivas y procedimentales u organizativas), debe justificarse individualmente la adecuación de cada una de ellas, su específico presupuesto habilitante, y su carácter determinante para abordar y superar la situación surgida.</w:t>
      </w:r>
    </w:p>
    <w:p w14:paraId="006BC62B" w14:textId="77777777" w:rsidR="008D479B" w:rsidRDefault="008D479B" w:rsidP="008D479B">
      <w:pPr>
        <w:pStyle w:val="TextoNormal"/>
      </w:pPr>
    </w:p>
    <w:p w14:paraId="3FBD46F9" w14:textId="77777777" w:rsidR="008D479B" w:rsidRDefault="008D479B" w:rsidP="008D479B">
      <w:pPr>
        <w:pStyle w:val="TextoNormal"/>
      </w:pPr>
      <w:r>
        <w:t>Proyectando la anterior doctrina al caso señala que la regulación impugnada tuvo como objetivo disponer, en el momento de la finalización del estado de alarma, de una regulación en orden a la seguridad en la formación de criterio acerca de qué medidas sanitarias resultan compatibles con los derechos fundamentales en situaciones de crisis sanitarias como la que ha producido y se deriva de la covid-19. Para el abogado del Estado lo determinante es que la norma debía estar aprobada antes de la finalización del estado de alarma. Circunstancia esta que fue la condicionante para que la nueva regulación hubiera de aprobarse mediante el instrumento normativo específico del decreto-ley. Señala que en el momento de aprobarse el Real Decreto-ley 8/2021 ya se especulaba con al menos una efectiva reducción del alcance de las potestades autonómicas para la adopción de medidas sanitarias de alcance general. Medidas cuya “ratificación” contemplaba, y sigue contemplando con carácter general la norma objeto de reforma mediante el Real Decreto-ley 8/2021. Se alega que esa regulación debía ser complementada para evitar la existencia de eventuales disparidades de criterios en el control de dichas medidas, posibilitando la existencia de un recurso judicial unificador de la doctrina al efecto y disponiendo de él antes de la finalización del estado de alarma previsto para el 9 de mayo de 2021.</w:t>
      </w:r>
    </w:p>
    <w:p w14:paraId="6D8D332C" w14:textId="77777777" w:rsidR="008D479B" w:rsidRDefault="008D479B" w:rsidP="008D479B">
      <w:pPr>
        <w:pStyle w:val="TextoNormal"/>
      </w:pPr>
    </w:p>
    <w:p w14:paraId="655BA975" w14:textId="77777777" w:rsidR="008D479B" w:rsidRDefault="008D479B" w:rsidP="008D479B">
      <w:pPr>
        <w:pStyle w:val="TextoNormal"/>
      </w:pPr>
      <w:r>
        <w:t>Por otra parte, considera el abogado del Estado en todo caso improcedente la pretensión de los recurrentes de extender la doctrina constitucional acerca del contenido propio de las leyes de presupuestos al empleo del decreto-ley. Los únicos límites a la regulación de una materia mediante decreto-ley son los previstos en el art. 86.1 CE, esto es, no cabe que afecte a las instituciones básicas del Estado, a los derechos, deberes y libertades regulados en el título I CE, al régimen de las comunidades autónomas, ni al Derecho electoral general. Fuera de estos campos vedados, un decreto-ley puede abarcar cualquier materia; en cambio, una ley de presupuestos no (art. 134 CE). Esto es, la delimitación del art. 86.1 CE es negativa, pues señala a qué ámbitos no puede afectar genéricamente un decreto-ley. No se trata, por tanto, de una delimitación de orden positivo, configurando sobre qué campos de regulación puede extenderse un decreto-ley, como sucede, por el contrario, con las leyes de presupuestos; para estas, lo que determina la Constitución es qué contenido (directo o accidental) pueden positivamente tener, no el que no pueden tener.</w:t>
      </w:r>
    </w:p>
    <w:p w14:paraId="4FE50735" w14:textId="77777777" w:rsidR="008D479B" w:rsidRDefault="008D479B" w:rsidP="008D479B">
      <w:pPr>
        <w:pStyle w:val="TextoNormal"/>
      </w:pPr>
    </w:p>
    <w:p w14:paraId="5833769C" w14:textId="77777777" w:rsidR="008D479B" w:rsidRDefault="008D479B" w:rsidP="008D479B">
      <w:pPr>
        <w:pStyle w:val="TextoNormal"/>
      </w:pPr>
      <w:r>
        <w:t>Por último, el abogado del Estado descarta que el Real Decreto-ley 8/2021 incida en ámbitos materiales de ordenación limitados por el art. 86.1 CE pues regula una modalidad o versión del recurso de casación contencioso-administrativo para una materia específica. No se trata de una regulación que venga a configurar, con mayor o menor amplitud, incidiendo con mayor o menor alcance en el núcleo del derecho fundamental que en cada caso pudiera verse afectado por la concreta medida o medidas adoptadas por la autoridad sanitaria, sino que incide sobre la regulación del proceso. Se trata, por tanto, de una norma procesal, no de una definición del régimen de derechos sustantivos, nota que configura una nueva modalidad de recurso de casación en relación con una determinada clase de resoluciones administrativas. Y ningún obstáculo hay para que un real decreto-ley afecte a normas de carácter procesal, sin que pueda estimarse que, por ello, se esté afectando al art. 24.1 CE de modo contrario a la doctrina constitucional, teniendo en cuenta también la propia doctrina constitucional que considera el derecho a los recursos como un derecho de configuración legal. Se trata así de una reforma procesal que no incide en el núcleo esencial del derecho a la tutela judicial efectiva, pues ni regula el régimen general del derecho afectado, ni altera un elemento esencial del mismo. No se regula el acceso a la justicia sino el acceso a un recurso, con lo que no se traspasan los límites materiales que la Constitución establece en su art. 86.1.</w:t>
      </w:r>
    </w:p>
    <w:p w14:paraId="23F78266" w14:textId="77777777" w:rsidR="008D479B" w:rsidRDefault="008D479B" w:rsidP="008D479B">
      <w:pPr>
        <w:pStyle w:val="TextoNormal"/>
      </w:pPr>
    </w:p>
    <w:p w14:paraId="0B28DF41" w14:textId="77777777" w:rsidR="008D479B" w:rsidRDefault="008D479B" w:rsidP="008D479B">
      <w:pPr>
        <w:pStyle w:val="TextoNormal"/>
      </w:pPr>
      <w:r>
        <w:t>El abogado del Estado concluye señalando que el punto 6 de la disposición adicional primera es una norma meramente indicativa de cuál es el título competencial que fundamenta la reforma efectuada, aspecto que no ha sido discutido en el recurso.</w:t>
      </w:r>
    </w:p>
    <w:p w14:paraId="17360DDA" w14:textId="77777777" w:rsidR="008D479B" w:rsidRDefault="008D479B" w:rsidP="008D479B">
      <w:pPr>
        <w:pStyle w:val="TextoNormal"/>
      </w:pPr>
    </w:p>
    <w:p w14:paraId="2073AD61" w14:textId="0FBE10DB" w:rsidR="008D479B" w:rsidRDefault="008D479B" w:rsidP="008D479B">
      <w:pPr>
        <w:pStyle w:val="TextoNormal"/>
      </w:pPr>
      <w:r>
        <w:t>Por todo ello, el abogado del Estado solicita la desestimación del recurso de inconstitucionalidad.</w:t>
      </w:r>
    </w:p>
    <w:p w14:paraId="5BDB7ADE" w14:textId="77777777" w:rsidR="008D479B" w:rsidRDefault="008D479B" w:rsidP="008D479B">
      <w:pPr>
        <w:pStyle w:val="TextoNormal"/>
      </w:pPr>
    </w:p>
    <w:p w14:paraId="065F478C" w14:textId="0143BA84" w:rsidR="008D479B" w:rsidRDefault="008D479B" w:rsidP="008D479B">
      <w:pPr>
        <w:pStyle w:val="TextoNormal"/>
      </w:pPr>
      <w:r w:rsidRPr="008D479B">
        <w:rPr>
          <w:rStyle w:val="NumeroAFNegritaCaracter"/>
        </w:rPr>
        <w:t>5</w:t>
      </w:r>
      <w:r>
        <w:t>. El 31 de enero de 2023 la representación procesal de los diputados recurrentes registrados promueve la recusación del magistrado don Juan Carlos Campo Moreno y de la magistrada doña Laura Díez Bueso en el presente recurso de inconstitucionalidad. Por AATC 68/2023 y 69/2023, ambos de 21 de febrero, el Pleno de este tribunal acordó inadmitir las recusaciones formuladas por estimarlas extemporáneas. Los posteriores recursos de súplica fueron desestimados por el Pleno mediante los AATC 235/2023 y 237/2023, de 9 de mayo.</w:t>
      </w:r>
    </w:p>
    <w:p w14:paraId="0E405467" w14:textId="77777777" w:rsidR="008D479B" w:rsidRDefault="008D479B" w:rsidP="008D479B">
      <w:pPr>
        <w:pStyle w:val="TextoNormal"/>
      </w:pPr>
    </w:p>
    <w:p w14:paraId="7CC9D77C" w14:textId="7A6AA597" w:rsidR="008D479B" w:rsidRDefault="008D479B" w:rsidP="008D479B">
      <w:pPr>
        <w:pStyle w:val="TextoNormal"/>
      </w:pPr>
      <w:r w:rsidRPr="008D479B">
        <w:rPr>
          <w:rStyle w:val="NumeroAFNegritaCaracter"/>
        </w:rPr>
        <w:t>6</w:t>
      </w:r>
      <w:r>
        <w:t>. Mediante escrito de 10 de febrero de 2023, el magistrado don Juan Carlos Campo Moreno, de acuerdo con lo previsto en los arts. 217 y 221 de la Ley Orgánica del Poder Judicial (LOPJ) en relación con el art. 80 LOTC, comunicó su voluntad de abstenerse en el conocimiento del presente recurso de inconstitucionalidad por entender que concurría la causa del art. 219.13 LOPJ. Por ATC 62/2023, de 21 de febrero, el Pleno de este tribunal acordó estimar justificada la abstención formulada por el magistrado don Juan Carlos Campo Moreno en el presente recurso de inconstitucionalidad y apartarle definitivamente del conocimiento del mismo y de todas sus incidencias.</w:t>
      </w:r>
    </w:p>
    <w:p w14:paraId="3561DBF9" w14:textId="77777777" w:rsidR="008D479B" w:rsidRDefault="008D479B" w:rsidP="008D479B">
      <w:pPr>
        <w:pStyle w:val="TextoNormal"/>
      </w:pPr>
    </w:p>
    <w:p w14:paraId="7B005690" w14:textId="5705D9EE" w:rsidR="008D479B" w:rsidRDefault="008D479B" w:rsidP="008D479B">
      <w:pPr>
        <w:pStyle w:val="TextoNormal"/>
      </w:pPr>
      <w:r w:rsidRPr="008D479B">
        <w:rPr>
          <w:rStyle w:val="NumeroAFNegritaCaracter"/>
        </w:rPr>
        <w:t>7</w:t>
      </w:r>
      <w:r>
        <w:t>. Por providencia de 21 de noviembre de dos mil veintitrés se señaló para deliberación y fallo de esta sentencia el día 22 del mismo mes y año.</w:t>
      </w:r>
    </w:p>
    <w:p w14:paraId="3F8EFD6F" w14:textId="77777777" w:rsidR="008D479B" w:rsidRDefault="008D479B" w:rsidP="008D479B">
      <w:pPr>
        <w:pStyle w:val="TextoNormal"/>
      </w:pPr>
    </w:p>
    <w:p w14:paraId="1ED6AC3E" w14:textId="77777777" w:rsidR="008D479B" w:rsidRDefault="008D479B" w:rsidP="008D479B">
      <w:pPr>
        <w:pStyle w:val="TextoNormalNegritaCentrado"/>
        <w:keepNext/>
      </w:pPr>
      <w:r>
        <w:t>II. Fundamentos jurídicos</w:t>
      </w:r>
    </w:p>
    <w:p w14:paraId="0D143267" w14:textId="5ADE57AF" w:rsidR="008D479B" w:rsidRDefault="008D479B" w:rsidP="008D479B">
      <w:pPr>
        <w:pStyle w:val="TextoNormalNegritaCentrado"/>
        <w:keepNext/>
      </w:pPr>
    </w:p>
    <w:p w14:paraId="4038831F" w14:textId="77777777" w:rsidR="008D479B" w:rsidRDefault="008D479B" w:rsidP="008D479B">
      <w:pPr>
        <w:pStyle w:val="TextoNormal"/>
      </w:pPr>
      <w:r w:rsidRPr="008D479B">
        <w:rPr>
          <w:rStyle w:val="NumeroAFNegritaCaracter"/>
        </w:rPr>
        <w:t>1</w:t>
      </w:r>
      <w:r>
        <w:t xml:space="preserve">. </w:t>
      </w:r>
      <w:r w:rsidRPr="008D479B">
        <w:rPr>
          <w:i/>
        </w:rPr>
        <w:t>Objeto del recurso y posiciones de las partes</w:t>
      </w:r>
    </w:p>
    <w:p w14:paraId="6AFCD962" w14:textId="77777777" w:rsidR="008D479B" w:rsidRDefault="008D479B" w:rsidP="008D479B">
      <w:pPr>
        <w:pStyle w:val="TextoNormal"/>
      </w:pPr>
    </w:p>
    <w:p w14:paraId="2D57EEAA" w14:textId="77777777" w:rsidR="008D479B" w:rsidRDefault="008D479B" w:rsidP="008D479B">
      <w:pPr>
        <w:pStyle w:val="TextoNormal"/>
      </w:pPr>
      <w:r>
        <w:t>El objeto de la presente resolución es resolver el recurso de inconstitucionalidad interpuesto por más de cincuenta diputados del Grupo Parlamentario Popular en el Congreso contra el art. 15 y el punto 6 de la disposición final primera del Real Decreto-ley 8/2021, de 4 de mayo, por el que se adoptan medidas urgentes en el orden sanitario, social y jurisdiccional a aplicar tras la finalización del estado de alarma declarado por el Real Decreto 926/2020, de 25 de octubre, por el que se declara el estado de alarma para contener la propagación de infecciones causadas por el SARS-CoV-2.</w:t>
      </w:r>
    </w:p>
    <w:p w14:paraId="3EDFA73B" w14:textId="77777777" w:rsidR="008D479B" w:rsidRDefault="008D479B" w:rsidP="008D479B">
      <w:pPr>
        <w:pStyle w:val="TextoNormal"/>
      </w:pPr>
    </w:p>
    <w:p w14:paraId="34063D73" w14:textId="77777777" w:rsidR="008D479B" w:rsidRDefault="008D479B" w:rsidP="008D479B">
      <w:pPr>
        <w:pStyle w:val="TextoNormal"/>
      </w:pPr>
      <w:r>
        <w:t xml:space="preserve">Como se ha expuesto con más detalle en los antecedentes de esta sentencia, los diputados recurrentes consideran que no concurre el presupuesto habilitante de la extraordinaria y urgente necesidad (art. 86.1 CE) respecto del art. 15 y del punto 6 de la disposición final primera del Real Decreto-ley 8/2021. Consideran asimismo que tampoco cumplen las disposiciones impugnadas la exigencia de que exista una conexión de sentido entre la situación de urgencia definida y las medidas que se adoptan en el decreto-ley. Se afirma también en el recurso que la regulación introducida mediante las disposiciones impugnadas del Real Decreto-ley 8/2021 vulnera el principio de seguridad jurídica (art. 9.3 CE) y la propia función del decreto-ley como fórmula legislativa excepcional, dotada de un contenido constitucionalmente definido, respecto del principio de monopolio legislativo de las Cortes Generales. A tal efecto se trae a colación la doctrina constitucional acerca del contenido propio de las leyes de presupuestos generales del Estado, que los recurrentes consideran aplicable al caso del decreto-ley. Finalmente sostienen que la regulación introducida mediante las disposiciones impugnadas del Real Decreto-ley 8/2021 vulnera los límites materiales del decreto-ley establecidos por el art. 86.1 CE, toda vez que esa regulación afecta al derecho a la tutela judicial efectiva (art. 24.1 CE) y al ordenamiento de las instituciones básicas del Estado (en referencia a los tribunales de justicia). </w:t>
      </w:r>
    </w:p>
    <w:p w14:paraId="5FCCF389" w14:textId="61E5B32A" w:rsidR="008D479B" w:rsidRDefault="008D479B" w:rsidP="008D479B">
      <w:pPr>
        <w:pStyle w:val="TextoNormal"/>
      </w:pPr>
      <w:r>
        <w:t>El abogado del Estado ha rechazado que la norma incurra en las vulneraciones constitucionales que los recurrentes denuncian, interesando, en consecuencia, la desestimación del recurso interpuesto.</w:t>
      </w:r>
    </w:p>
    <w:p w14:paraId="4C089E74" w14:textId="77777777" w:rsidR="008D479B" w:rsidRDefault="008D479B" w:rsidP="008D479B">
      <w:pPr>
        <w:pStyle w:val="TextoNormal"/>
      </w:pPr>
    </w:p>
    <w:p w14:paraId="7C31CBA8" w14:textId="77777777" w:rsidR="008D479B" w:rsidRDefault="008D479B" w:rsidP="008D479B">
      <w:pPr>
        <w:pStyle w:val="TextoNormal"/>
      </w:pPr>
      <w:r w:rsidRPr="008D479B">
        <w:rPr>
          <w:rStyle w:val="NumeroAFNegritaCaracter"/>
        </w:rPr>
        <w:t>2</w:t>
      </w:r>
      <w:r>
        <w:t xml:space="preserve">. </w:t>
      </w:r>
      <w:r w:rsidRPr="008D479B">
        <w:rPr>
          <w:i/>
        </w:rPr>
        <w:t>Consideraciones previas</w:t>
      </w:r>
    </w:p>
    <w:p w14:paraId="5A4F5183" w14:textId="77777777" w:rsidR="008D479B" w:rsidRDefault="008D479B" w:rsidP="008D479B">
      <w:pPr>
        <w:pStyle w:val="TextoNormal"/>
      </w:pPr>
    </w:p>
    <w:p w14:paraId="1A2AC58A" w14:textId="77777777" w:rsidR="008D479B" w:rsidRDefault="008D479B" w:rsidP="008D479B">
      <w:pPr>
        <w:pStyle w:val="TextoNormal"/>
      </w:pPr>
      <w:r>
        <w:t xml:space="preserve">El art. 15 del Real Decreto-ley 8/2021, objeto de este recurso de inconstitucionalidad modifica la Ley 29/1998, de 13 de julio, reguladora de la jurisdicción contencioso-administrativa (LJCA). Añade un nuevo apartado 1 </w:t>
      </w:r>
      <w:r w:rsidRPr="008D479B">
        <w:rPr>
          <w:i/>
        </w:rPr>
        <w:t>bis</w:t>
      </w:r>
      <w:r>
        <w:t xml:space="preserve"> al art. 87 LJCA, modifica el apartado 2 del mismo art. 87, añade un nuevo art. 87 </w:t>
      </w:r>
      <w:r w:rsidRPr="008D479B">
        <w:rPr>
          <w:i/>
        </w:rPr>
        <w:t>ter</w:t>
      </w:r>
      <w:r>
        <w:t xml:space="preserve"> y modifica el art. 122 </w:t>
      </w:r>
      <w:r w:rsidRPr="008D479B">
        <w:rPr>
          <w:i/>
        </w:rPr>
        <w:t>quater</w:t>
      </w:r>
      <w:r>
        <w:t>. En síntesis, esta regulación viene a establecer que los autos dictados por las salas de lo contencioso-administrativo de los tribunales superiores de justicia o de la Audiencia Nacional en materia de autorización o ratificación judicial de medidas adoptadas por las autoridades sanitarias que impliquen restricción de derechos fundamentales, cuando sus destinatarios no estén identificados individualmente, serán susceptibles de recurso de casación ante la Sala de lo Contencioso-Administrativo del Tribunal Supremo. Del punto 6 de la disposición final primera del Real Decreto-ley 8/2021 resulta que las referidas modificaciones de la Ley reguladora de la jurisdicción contencioso-administrativa se amparan en el título competencial del art. 149.1.6 CE, que atribuye al Estado la competencia exclusiva en materia de legislación procesal. Se trata, por tanto, en este punto, de una impugnación que cabría calificar de sistemática, por conexión o consecuencia, llamada por ello a seguir la misma suerte de la impugnación referida al artículo 15 del Real Decreto-ley 8/2021.</w:t>
      </w:r>
    </w:p>
    <w:p w14:paraId="08E60BDA" w14:textId="77777777" w:rsidR="008D479B" w:rsidRDefault="008D479B" w:rsidP="008D479B">
      <w:pPr>
        <w:pStyle w:val="TextoNormal"/>
      </w:pPr>
    </w:p>
    <w:p w14:paraId="0D16CF2D" w14:textId="77777777" w:rsidR="008D479B" w:rsidRDefault="008D479B" w:rsidP="008D479B">
      <w:pPr>
        <w:pStyle w:val="TextoNormal"/>
      </w:pPr>
      <w:r>
        <w:t>La mencionada competencia autorizatoria de las salas de lo contencioso-administrativo de los tribunales superiores de justicia y de la Audiencia Nacional fue establecida por la disposición final segunda de la Ley 3/2020, de 18 de septiembre, de medidas procesales y organizativas para hacer frente al Covid-19 en el ámbito de la administración de justicia, que la introdujo en los arts. 10.8 y 11.1 i) LJCA. Por tanto, las normas impugnadas responden a la finalidad de modificar la regulación del recurso de casación para posibilitar que la Sala de lo Contencioso-Administrativo del Tribunal Supremo pueda entrar a conocer sobre los autos adoptados por las referidas salas de los tribunales superiores de justicia y de la Audiencia Nacional y fijar doctrina legal, con intervención de las administraciones públicas autonómica y estatal y del Ministerio Fiscal, sobre el alcance de la legislación sanitaria en relación con las limitaciones o restricciones de derechos fundamentales de los ciudadanos impuestas por las autoridades sanitarias de las comunidades autónomas, en aquellos casos en los que se adoptan medidas generales (esto es, cuyos destinatarios no están identificados individualmente).</w:t>
      </w:r>
    </w:p>
    <w:p w14:paraId="613715E9" w14:textId="77777777" w:rsidR="008D479B" w:rsidRDefault="008D479B" w:rsidP="008D479B">
      <w:pPr>
        <w:pStyle w:val="TextoNormal"/>
      </w:pPr>
    </w:p>
    <w:p w14:paraId="57D4F22C" w14:textId="77777777" w:rsidR="008D479B" w:rsidRDefault="008D479B" w:rsidP="008D479B">
      <w:pPr>
        <w:pStyle w:val="TextoNormal"/>
      </w:pPr>
      <w:r>
        <w:t xml:space="preserve">Es preciso tener presente, en lo que a este recurso respecta, que la STC 70/2022, de 2 de junio, ha estimado una cuestión de inconstitucionalidad planteada por la Sección Primera de la Sala de lo Contencioso-Administrativo del Tribunal Superior de Justicia de Aragón en relación con el art. 10.8 LJCA, declarando la inconstitucionalidad y nulidad de este precepto, así como la del art. 11.1 i) LJCA y del inciso “10.8 y 11.1 i)” del art. 122 </w:t>
      </w:r>
      <w:r w:rsidRPr="008D479B">
        <w:rPr>
          <w:i/>
        </w:rPr>
        <w:t>quater</w:t>
      </w:r>
      <w:r>
        <w:t>. Por su parte, conforme a la regulación impugnada en el presente proceso resulta que serán susceptibles de recurso de casación, en todo caso, los autos dictados en aplicación de los arts. 10.8 y 11.1 i) LJCA, y en coherencia con ello se establece lo oportuno en punto a la tramitación y resolución del recurso de casación en esos supuestos. Sin embargo, es obvio que, tras lo decidido en la citada STC 70/2022, la reforma del recurso de casación introducida mediante el Real Decreto-ley 8/2021 carece de aplicación en este momento, dado que ya no existen resoluciones judiciales que puedan ser susceptibles de la modalidad de recurso de casación que se cuestiona en este proceso constitucional.</w:t>
      </w:r>
    </w:p>
    <w:p w14:paraId="0F96770D" w14:textId="77777777" w:rsidR="008D479B" w:rsidRDefault="008D479B" w:rsidP="008D479B">
      <w:pPr>
        <w:pStyle w:val="TextoNormal"/>
      </w:pPr>
    </w:p>
    <w:p w14:paraId="6667C8AD" w14:textId="16300DCC" w:rsidR="008D479B" w:rsidRDefault="008D479B" w:rsidP="008D479B">
      <w:pPr>
        <w:pStyle w:val="TextoNormal"/>
      </w:pPr>
      <w:r>
        <w:t>Eso no implica, sin embargo, que el presente proceso haya perdido objeto pues, en la medida en que el art. 15 del Real Decreto-ley 8/2021 no ha sido derogado y, en consecuencia, continúa estando formalmente vigente, ha de ser examinado por este tribunal, en su función de depuración del ordenamiento jurídico, valorando si concurren las tachas de inconstitucionalidad denunciadas por los recurrentes. A ello ha de añadirse que con dichas tachas de inconstitucionalidad se plantea si al dictar la norma impugnada se desbordaron los límites constitucionales del art. 86.1 CE, tanto en relación con la concurrencia del presupuesto habilitante, como respecto a la superación de las restricciones materiales a su contenido. En consecuencia, también debe tenerse en cuenta la consolidada doctrina constitucional en relación con la pervivencia del recurso en estos casos en los que se pretende que el Tribunal vele “por el recto ejercicio de la potestad de dictar decretos-leyes, dentro del marco constitucional, decidiendo la validez o invalidez de las normas impugnadas, sin atender a su vigencia o derogación en el momento en que se pronuncia el fallo [SSTC 31/2011, de 17 de marzo, FJ 2, y 182/2013, de 23 de octubre, FJ 2 B)]” (STC 34/2017, de 1 de marzo, FJ 2).</w:t>
      </w:r>
    </w:p>
    <w:p w14:paraId="7E839120" w14:textId="77777777" w:rsidR="008D479B" w:rsidRDefault="008D479B" w:rsidP="008D479B">
      <w:pPr>
        <w:pStyle w:val="TextoNormal"/>
      </w:pPr>
    </w:p>
    <w:p w14:paraId="55334F03" w14:textId="77777777" w:rsidR="008D479B" w:rsidRDefault="008D479B" w:rsidP="008D479B">
      <w:pPr>
        <w:pStyle w:val="TextoNormal"/>
      </w:pPr>
      <w:r w:rsidRPr="008D479B">
        <w:rPr>
          <w:rStyle w:val="NumeroAFNegritaCaracter"/>
        </w:rPr>
        <w:t>3</w:t>
      </w:r>
      <w:r>
        <w:t xml:space="preserve">. </w:t>
      </w:r>
      <w:r w:rsidRPr="008D479B">
        <w:rPr>
          <w:i/>
        </w:rPr>
        <w:t>Doctrina constitucional en relación con el presupuesto habilitante de “extraordinaria y urgente necesidad</w:t>
      </w:r>
      <w:r>
        <w:t>”</w:t>
      </w:r>
    </w:p>
    <w:p w14:paraId="23449877" w14:textId="77777777" w:rsidR="008D479B" w:rsidRDefault="008D479B" w:rsidP="008D479B">
      <w:pPr>
        <w:pStyle w:val="TextoNormal"/>
      </w:pPr>
    </w:p>
    <w:p w14:paraId="0191D15F" w14:textId="77777777" w:rsidR="008D479B" w:rsidRDefault="008D479B" w:rsidP="008D479B">
      <w:pPr>
        <w:pStyle w:val="TextoNormal"/>
      </w:pPr>
      <w:r>
        <w:t>La primera queja de los diputados recurrentes es la infracción del art. 86.1 CE respecto del art. 15 y del punto 6 de la disposición final primera del Real Decreto-ley 8/2021, tanto por la carencia del presupuesto habilitante de la extraordinaria y urgente necesidad como por la falta de conexión de sentido entre la situación de urgencia definida y las medidas que se adoptan en el decreto-ley. Queja que, en realidad, se plantea respecto al art. 15 pues al punto 6 de la disposición final primera nada se le reprocha más allá de su vínculo con el mencionado art. 15.</w:t>
      </w:r>
    </w:p>
    <w:p w14:paraId="440375CF" w14:textId="77777777" w:rsidR="008D479B" w:rsidRDefault="008D479B" w:rsidP="008D479B">
      <w:pPr>
        <w:pStyle w:val="TextoNormal"/>
      </w:pPr>
    </w:p>
    <w:p w14:paraId="328E537F" w14:textId="77777777" w:rsidR="008D479B" w:rsidRDefault="008D479B" w:rsidP="008D479B">
      <w:pPr>
        <w:pStyle w:val="TextoNormal"/>
      </w:pPr>
      <w:r>
        <w:t>El examen de este motivo de impugnación exige que recordemos, en primer lugar, la doctrina constitucional elaborada en relación con el presupuesto de la “extraordinaria y urgente necesidad” que habilita al Gobierno para aprobar normas provisionales con rango de ley. Dicha doctrina se ha ido consolidando desde las primeras sentencias de este tribunal (SSTC 29/1982, de 31 de mayo; 6/1983, de 4 de febrero, y 111/1983, de 2 de diciembre) y ha sido ampliamente resumida en pronunciamientos posteriores (entre los más recientes, SSTC 17/2023, de 9 de marzo, FJ 2, o 18/2023, de 21 de marzo, FJ 2), lo que nos dispensa de reiterarla una vez más.</w:t>
      </w:r>
    </w:p>
    <w:p w14:paraId="5F7BBB4C" w14:textId="77777777" w:rsidR="008D479B" w:rsidRDefault="008D479B" w:rsidP="008D479B">
      <w:pPr>
        <w:pStyle w:val="TextoNormal"/>
      </w:pPr>
    </w:p>
    <w:p w14:paraId="795E1596" w14:textId="77777777" w:rsidR="008D479B" w:rsidRDefault="008D479B" w:rsidP="008D479B">
      <w:pPr>
        <w:pStyle w:val="TextoNormal"/>
      </w:pPr>
      <w:r>
        <w:t>Bastará recordar que los términos “extraordinaria y urgente necesidad” no constituyen una cláusula o expresión vacía de significado dentro de la cual el margen de apreciación política del Gobierno se mueve libremente sin restricción alguna, sino un verdadero límite jurídico a la actuación mediante decretos-leyes; que la apreciación de la concurrencia de la extraordinaria y urgente necesidad constituye un juicio político que corresponde efectuar al Gobierno (titular constitucional de la potestad legislativa de urgencia) y al Congreso de los Diputados (titular de la potestad de convalidar, derogar o tramitar el texto como proyecto de ley), incumbiéndole a este tribunal controlar que ese juicio político no desborde los límites de lo manifiestamente razonable, sin suplantar a los órganos constitucionales que intervienen en la aprobación y convalidación de los decretos-leyes; y que ese control externo se concreta en la comprobación de que el Gobierno haya definido, de manera explícita y razonada, una situación de extraordinaria y urgente necesidad que precise de una respuesta normativa con rango de ley, y de que, además, exista una conexión de sentido entre la situación definida y las medidas adoptadas para hacerle frente (en este sentido, STC 40/2021, de 18 de febrero, FJ 2). Aunque ambos aspectos están íntimamente ligados, su examen por separado facilita desde un punto de vista metodológico el análisis de las consideraciones de las partes y, en última instancia, el control que le corresponde efectuar a este tribunal.</w:t>
      </w:r>
    </w:p>
    <w:p w14:paraId="23D46C73" w14:textId="77777777" w:rsidR="008D479B" w:rsidRDefault="008D479B" w:rsidP="008D479B">
      <w:pPr>
        <w:pStyle w:val="TextoNormal"/>
      </w:pPr>
    </w:p>
    <w:p w14:paraId="3BDCE63A" w14:textId="7D4D6E9D" w:rsidR="008D479B" w:rsidRDefault="008D479B" w:rsidP="008D479B">
      <w:pPr>
        <w:pStyle w:val="TextoNormal"/>
      </w:pPr>
      <w:r>
        <w:t>En cuanto a la definición de la situación de urgencia, nuestra doctrina ha precisado que no es necesario que la misma se contenga siempre en el propio decreto-ley, sino que tal presupuesto cabe deducirlo igualmente de una pluralidad de elementos que son, básicamente, los que quedan reflejados en la exposición de motivos de la norma, a lo largo del debate parlamentario de convalidación, y en el propio expediente de elaboración de la misma (STC 152/2017, de 21 de diciembre, FJ 3, y las que allí se citan). Respecto de la conexión de sentido entre la situación de urgencia definida y las medidas adoptadas, deben valorarse el contenido y la estructura de las disposiciones incluidas en el decreto-ley controvertido [por todas STC 61/2018, de 7 de junio, FJ 4 e)].</w:t>
      </w:r>
    </w:p>
    <w:p w14:paraId="00FEE391" w14:textId="77777777" w:rsidR="008D479B" w:rsidRDefault="008D479B" w:rsidP="008D479B">
      <w:pPr>
        <w:pStyle w:val="TextoNormal"/>
      </w:pPr>
    </w:p>
    <w:p w14:paraId="5FDAED6D" w14:textId="77777777" w:rsidR="008D479B" w:rsidRDefault="008D479B" w:rsidP="008D479B">
      <w:pPr>
        <w:pStyle w:val="TextoNormal"/>
      </w:pPr>
      <w:r w:rsidRPr="008D479B">
        <w:rPr>
          <w:rStyle w:val="NumeroAFNegritaCaracter"/>
        </w:rPr>
        <w:t>4</w:t>
      </w:r>
      <w:r>
        <w:t xml:space="preserve">. </w:t>
      </w:r>
      <w:r w:rsidRPr="008D479B">
        <w:rPr>
          <w:i/>
        </w:rPr>
        <w:t>Explicación por el Gobierno de la concurrencia del presupuesto habilitante de “extraordinaria y urgente necesidad</w:t>
      </w:r>
      <w:r>
        <w:t>”</w:t>
      </w:r>
    </w:p>
    <w:p w14:paraId="0329A45C" w14:textId="77777777" w:rsidR="008D479B" w:rsidRDefault="008D479B" w:rsidP="008D479B">
      <w:pPr>
        <w:pStyle w:val="TextoNormal"/>
      </w:pPr>
    </w:p>
    <w:p w14:paraId="5C15320E" w14:textId="77777777" w:rsidR="008D479B" w:rsidRDefault="008D479B" w:rsidP="008D479B">
      <w:pPr>
        <w:pStyle w:val="TextoNormal"/>
      </w:pPr>
      <w:r>
        <w:t>Conforme al canon que se acaba de exponer procede examinar ahora la concurrencia del presupuesto habilitante de la norma, consistente en la concurrencia de una situación de extraordinaria y urgente necesidad. Examen que se ha de llevar a cabo mediante la valoración conjunta del preámbulo de la norma, el debate parlamentario de convalidación y el propio expediente de elaboración. Además, es preciso tener en cuenta que los diputados recurrentes no discuten la concurrencia del presupuesto habilitante de la extraordinaria y urgente necesidad (art. 86.1 CE) en relación con el conjunto del Real Decreto-ley 8/2021 sino que consideran que las razones ofrecidas por el Gobierno no justifican la existencia del presupuesto habilitante respecto de las concretas disposiciones impugnadas. En casos como este la necesaria justificación de la extraordinaria y urgente necesidad (art. 86.1 CE) ha de ser verificada en relación precisamente con los preceptos en concreto impugnados. Si las medidas son diversas, las situaciones concretas de urgencia y necesidad que justifican su adopción también son susceptibles de serlo (en un sentido similar, STC 199/2015, de 24 de septiembre, FJ 5). Este examen no obstante debe venir precedido de una consideración genérica de las causas invocadas por el Gobierno para la aprobación del decreto-ley, como acto normativo unitario (por todas, STC 111/2021, de 13 de mayo, FJ 4 y las que cita).</w:t>
      </w:r>
    </w:p>
    <w:p w14:paraId="6C31B290" w14:textId="77777777" w:rsidR="008D479B" w:rsidRDefault="008D479B" w:rsidP="008D479B">
      <w:pPr>
        <w:pStyle w:val="TextoNormal"/>
      </w:pPr>
    </w:p>
    <w:p w14:paraId="554A363B" w14:textId="77777777" w:rsidR="008D479B" w:rsidRDefault="008D479B" w:rsidP="008D479B">
      <w:pPr>
        <w:pStyle w:val="TextoNormal"/>
      </w:pPr>
      <w:r>
        <w:t>a) En la exposición de motivos del Real Decreto-ley 8/2021, el conjunto de medidas adoptadas en la norma de urgencia se relaciona con la, en ese momento, próxima finalización del estado de alarma declarado por el Real Decreto 926/2020, de 25 de octubre y prorrogado hasta las 00:00 horas del día 9 de mayo de 2021 en virtud del Real Decreto 956/2020, de 3 de noviembre, así como con la necesidad de contar con un marco jurídico suficiente y adecuado para dar respuesta a la situación de crisis sanitaria en las circunstancias epidemiológicas y de control de la enfermedad. Se afirma la urgencia y necesidad de “prorrogar la eficacia temporal” de algunas de las medidas adoptadas para hacer frente a las situaciones de vulnerabilidad social y económica derivadas de las graves consecuencias que en todos los ámbitos ha acarreado la pandemia, con independencia del fin de la vigencia del estado de alarma, así como “adaptar determinadas situaciones jurídicas que se verán afectadas por la finalización de la vigencia del estado de alarma”. Y también se defiende que “ante la inminente expiración de la vigencia del estado de alarma el 9 de mayo próximo, resulta claro que, de seguirse el procedimiento legislativo ordinario, aun utilizándose el trámite de urgencia, no se lograría adoptar a tiempo estas medidas destinadas a dar la necesaria cobertura jurídica y social a distintas situaciones derivadas de la situación de crisis sanitaria, económica y social ocasionadas por la pandemia del covid-19, que no cabe vincular exclusivamente a la vigencia del estado de alarma, mientras tales situaciones de crisis, y en ocasiones de especial vulnerabilidad subsistan, al menos durante un periodo de tiempo”.</w:t>
      </w:r>
    </w:p>
    <w:p w14:paraId="37E7C501" w14:textId="77777777" w:rsidR="008D479B" w:rsidRDefault="008D479B" w:rsidP="008D479B">
      <w:pPr>
        <w:pStyle w:val="TextoNormal"/>
      </w:pPr>
    </w:p>
    <w:p w14:paraId="4EE7249B" w14:textId="77777777" w:rsidR="008D479B" w:rsidRDefault="008D479B" w:rsidP="008D479B">
      <w:pPr>
        <w:pStyle w:val="TextoNormal"/>
      </w:pPr>
      <w:r>
        <w:t>Específicamente sobre la medida aquí cuestionada se señala que “el presente real decreto-ley contiene, en relación con la situación sanitaria, regulaciones puntuales que afectan, por una parte al régimen de autorización o ratificación judicial de las medidas que hayan de adoptarse en aplicación de la legislación citada cuando impliquen limitación o restricción de derechos fundamentales o cuando sus destinatarios no estén identificados individualmente; reforzando su eficacia y coherencia”. Más adelante, en relación también con las disposiciones impugnadas, la exposición de motivos del Real Decreto-ley 8/2021 alude a la adopción de medidas restrictivas de derechos fundamentales justificadas por la acción de las administraciones públicas para combatir la pandemia del coronavirus dirigidas a la ciudadanía, que deben ser objeto de autorización o ratificación judicial, atribución que corresponde a las Salas de lo Contencioso-Administrativo de la Audiencia Nacional y de los tribunales superiores de justicia cuando sus destinatarios no estén identificados individualmente así como a la divergencia de decisiones adoptadas en la interpretación del marco sanitario estatal aplicable. Razón por la cual la reforma ahora introducida persigue el objetivo de que la Sala de lo Contencioso-Administrativo del Tribunal Supremo pueda entrar a conocer sobre tales decisiones y pueda, además, uniformar la doctrina.</w:t>
      </w:r>
    </w:p>
    <w:p w14:paraId="45498197" w14:textId="77777777" w:rsidR="008D479B" w:rsidRDefault="008D479B" w:rsidP="008D479B">
      <w:pPr>
        <w:pStyle w:val="TextoNormal"/>
      </w:pPr>
    </w:p>
    <w:p w14:paraId="61D29035" w14:textId="77777777" w:rsidR="008D479B" w:rsidRDefault="008D479B" w:rsidP="008D479B">
      <w:pPr>
        <w:pStyle w:val="TextoNormal"/>
      </w:pPr>
      <w:r>
        <w:t>En cuanto a la urgencia de esta reforma la exposición de motivos alude nuevamente a la inminente finalización del estado de alarma y a la necesidad de evitar que esa situación de divergencia de decisiones judiciales vuelva a producirse, lo que hace que la reforma del recurso de casación sea “ineludible y urgente”. Se argumenta que los efectos de la pandemia persisten y “las autoridades sanitarias podrán seguir precisando para combatirlo de la adopción de medidas urgentes y necesarias para la salud pública que, en el caso de que restrinjan o limiten derechos fundamentales de los ciudadanos, requerirán de la preceptiva autorización o ratificación judicial”. Por eso, según la exposición de motivos, es “imprescindible” que “el sistema procesal previsto en la Ley 29/1998, de 13 de julio, reguladora de la jurisdicción contencioso-administrativa, cuente con un mecanismo idóneo que permita a la Sala de lo Contencioso-Administrativo del Tribunal Supremo resolver las dudas y divergencias que, sobre la interpretación y aplicación del marco normativo estatal, se puedan generar en los procedimientos de autorización y ratificación judicial de las medidas sanitarias”. Esta modificación del recurso de casación “no puede ser aprobada mediante el procedimiento ordinario de tramitación parlamentaria, pues ello implicaría que, finalizado el estado de alarma y hasta la aprobación de tales reformas legislativas, las distintas interpretaciones y aproximaciones judiciales al marco sanitario estatal aplicable se seguirán produciendo, sin posibilidad de que la Sala de lo Contencioso-Administrativo del Tribunal Supremo pueda entrar a conocer de las mismas y pueda fijar jurisprudencia”. Ello, continúa la exposición de motivos, “explica la extraordinaria y urgente necesidad de acometer con inmediatez una modificación de la actual regulación de la Ley 29/1998, de 13 de julio, reguladora de la jurisdicción contencioso-administrativa, que introduzca la posibilidad de interponer, contra los autos recaídos en dichos procedimientos, un recurso de casación extremadamente ágil y de tramitación preferente, que permita a la Sala de lo Contencioso-Administrativo del Tribunal Supremo pronunciarse con gran celeridad en esta materia y posibilite la aplicación uniforme de dicho marco normativo en todo el territorio nacional”.</w:t>
      </w:r>
    </w:p>
    <w:p w14:paraId="3BB66A21" w14:textId="77777777" w:rsidR="008D479B" w:rsidRDefault="008D479B" w:rsidP="008D479B">
      <w:pPr>
        <w:pStyle w:val="TextoNormal"/>
      </w:pPr>
    </w:p>
    <w:p w14:paraId="29410F7F" w14:textId="77777777" w:rsidR="008D479B" w:rsidRDefault="008D479B" w:rsidP="008D479B">
      <w:pPr>
        <w:pStyle w:val="TextoNormal"/>
      </w:pPr>
      <w:r>
        <w:t>b) En el trámite de convalidación del real decreto-ley la vicepresidenta cuarta y ministra para la Transición Ecológica, en la defensa del texto ante el pleno del Congreso de los Diputados (Cortes Generales, “Diario de Sesiones del Congreso de los Diputados”, Pleno y Diputación Permanente, XIV Legislatura, Año 2021, núm. 104, sesión plenaria núm. 100 de 20 de mayo de 2021, págs. 46 a 59) afirma, entre otras cosas, lo siguiente: “el objetivo del Real Decreto-ley 8/2021, de 4 de mayo, para el que en nombre del Gobierno solicito hoy la convalidación, es el de dotar de cobertura legal a medidas urgentes en el orden sanitario, social y jurisdiccional que se han de aplicar tras la finalización de la vigencia del estado de alarma declarado por el Real Decreto-ley 926/2020, de 25 de octubre, por el que se declaró en su momento el estado de alarma para contener la propagación de las infecciones causadas por el SARS-CoV-2. En este real decreto-ley se incluyen medidas de prórroga o garantía de regulaciones cuya eficacia estaba condicionada al tiempo de vigencia del estado de alarma y que también, por tanto, perdieron su vigencia el pasado 9 de mayo, fecha en la que entró en vigor este real decreto-ley. También se añaden otras medidas que, aunque no expresamente condicionadas a la vigencia del Estado de alarma, han sido adoptadas en relación con las consecuencias de la pandemia al objeto de paliar sus efectos negativos y cuya vigencia temporal está también próxima a finalizar”.</w:t>
      </w:r>
    </w:p>
    <w:p w14:paraId="49C00142" w14:textId="77777777" w:rsidR="008D479B" w:rsidRDefault="008D479B" w:rsidP="008D479B">
      <w:pPr>
        <w:pStyle w:val="TextoNormal"/>
      </w:pPr>
    </w:p>
    <w:p w14:paraId="5DE0B349" w14:textId="77777777" w:rsidR="008D479B" w:rsidRDefault="008D479B" w:rsidP="008D479B">
      <w:pPr>
        <w:pStyle w:val="TextoNormal"/>
      </w:pPr>
      <w:r>
        <w:t>Asimismo, sostiene que “[e]n cuanto a las medidas de carácter jurisdiccional, estas están centradas en la reforma de la actual regulación del recurso de casación. El objetivo es posibilitar que la Sala de lo Contencioso-Administrativo del Tribunal Supremo pueda entrar a conocer sobre los autos adoptados por las salas de los tribunales superiores de justicia y de la Audiencia Nacional en esta materia y además pueda fijar doctrina legal, con intervención de las administraciones públicas, autonómicas y estatal, además de la del Ministerio Fiscal, sobre el alcance de la legislación sanitaria en relación con las limitaciones o restricciones de derechos fundamentales de los ciudadanos impuestas por las autoridades sanitarias, y hacerlo en un plazo muy breve de tiempo, como requiere la situación sanitaria, grave y extraordinaria, que obliga a estas autoridades a tener que adoptar esta clase de medidas”. Y, en relación con el conjunto de la norma, afirma que “la extensión temporal de estas medidas responde a razones de urgencia y necesidad en un contexto en el que, tras la finalización del estado de alarma, la recuperación social y económica se producirá de forma progresiva”.</w:t>
      </w:r>
    </w:p>
    <w:p w14:paraId="24B860C8" w14:textId="77777777" w:rsidR="008D479B" w:rsidRDefault="008D479B" w:rsidP="008D479B">
      <w:pPr>
        <w:pStyle w:val="TextoNormal"/>
      </w:pPr>
    </w:p>
    <w:p w14:paraId="4AAC692F" w14:textId="77777777" w:rsidR="008D479B" w:rsidRDefault="008D479B" w:rsidP="008D479B">
      <w:pPr>
        <w:pStyle w:val="TextoNormal"/>
      </w:pPr>
      <w:r>
        <w:t>c) Por último, debemos examinar el expediente de elaboración de la norma impugnada. En concreto, el documento aportado a los autos por el abogado del Estado, cuyo nombre completo es “Memoria abreviada del análisis de impacto normativo del Real Decreto-ley por el que se adoptan medidas urgentes en el orden sanitario, social y jurisdiccional a aplicar tras la finalización del estado de alarma declarado por el Real Decreto 926/2020, de 25 de octubre, por el que se declara el estado de alarma para contener la propagación de infecciones causadas por el SARS-CoV-2”, elaborado conjuntamente por nueve ministerios.</w:t>
      </w:r>
    </w:p>
    <w:p w14:paraId="290AF1D3" w14:textId="77777777" w:rsidR="008D479B" w:rsidRDefault="008D479B" w:rsidP="008D479B">
      <w:pPr>
        <w:pStyle w:val="TextoNormal"/>
      </w:pPr>
    </w:p>
    <w:p w14:paraId="449725D3" w14:textId="77777777" w:rsidR="008D479B" w:rsidRDefault="008D479B" w:rsidP="008D479B">
      <w:pPr>
        <w:pStyle w:val="TextoNormal"/>
      </w:pPr>
      <w:r>
        <w:t>En la citada memoria se alude también a la “necesidad de seguir tomando medidas que permitan hacer frente a los efectos sanitarios, sociales y económicos provocados por el covid-19, una vez finalizado el estado de alarma declarado por el Real Decreto 926/2020, de 25 de octubre”. Resalta, en el apartado dedicado a la justificación de la extraordinaria y urgente necesidad, y en términos idénticos a la exposición de motivos del Real Decreto-ley 8/2021, que no puede seguirse el procedimiento legislativo ordinario dada la inminente expiración del estado de alarma.</w:t>
      </w:r>
    </w:p>
    <w:p w14:paraId="22955B9C" w14:textId="77777777" w:rsidR="008D479B" w:rsidRDefault="008D479B" w:rsidP="008D479B">
      <w:pPr>
        <w:pStyle w:val="TextoNormal"/>
      </w:pPr>
    </w:p>
    <w:p w14:paraId="0DEDF238" w14:textId="77777777" w:rsidR="008D479B" w:rsidRDefault="008D479B" w:rsidP="008D479B">
      <w:pPr>
        <w:pStyle w:val="TextoNormal"/>
      </w:pPr>
      <w:r>
        <w:t>En cuanto a la concreta medida aquí impugnada, la memoria alude a que su finalidad es la de “dotar a nuestro sistema procesal de un recurso de casación preferente y sumario ante la Sala de lo Contencioso-Administrativo del Tribunal Supremo que permita que, una vez pierda vigencia el estado de alarma […] las posibles divergencias que, sobre la interpretación y aplicación del marco normativo estatal, se puedan generar en los procedimientos de autorización y ratificación judicial de las medidas sanitarias ante los tribunales superiores de justicia y la Audiencia Nacional, sean resueltas en un plazo muy breve de tiempo por la Sala de lo Contencioso-Administrativo del Tribunal Supremo”. Se imposibilita así lo que se califica como una “indeseable situación” en el sentido de que “hubo tribunales superiores de justicia que consideraron que la legislación sanitaria estatal servía como título habilitante de las restricciones y limitaciones de derechos fundamentales impuestas por las autoridades sanitarias autonómicas y ratificaron, en consecuencia, las medidas adoptadas, mientras que otros tribunales superiores de justicia, ante idénticas o muy semejantes medidas, no consideraron bastante dicho marco y no accedieron a su ratificación”. Y se concluye afirmando que el objetivo que se persigue es que la Sala de lo Contencioso-Administrativo del Tribunal Supremo se pronuncie con celeridad en esta materia y fije “doctrina legal sobre la interpretación a seguir del marco normativo a aplicar en relación con las concretas medidas adoptadas y garantizándose así la aplicación uniforme de dicho marco en todo el territorio nacional”.</w:t>
      </w:r>
    </w:p>
    <w:p w14:paraId="3B35B88D" w14:textId="77777777" w:rsidR="008D479B" w:rsidRDefault="008D479B" w:rsidP="008D479B">
      <w:pPr>
        <w:pStyle w:val="TextoNormal"/>
      </w:pPr>
    </w:p>
    <w:p w14:paraId="65D67862" w14:textId="6B3EF19F" w:rsidR="008D479B" w:rsidRDefault="008D479B" w:rsidP="008D479B">
      <w:pPr>
        <w:pStyle w:val="TextoNormal"/>
      </w:pPr>
      <w:r>
        <w:t>Posteriormente, al aludir al contenido de la medida, reitera la justificación de la urgencia de la reforma en los mismos términos recogidos en la exposición de motivos del Real Decreto-ley 8/2021. Finalmente, al analizar los posibles impactos de la reforma, indica que la situación que se pretende corregir se considera generadora de “inseguridad y desigualdad en el ejercicio de los derechos de los ciudadanos de los diferentes territorios”, de suerte que la reforma “tiene, por tanto, un impacto positivo en la medida en que refuerza la seguridad jurídica y la exigencia de garantizar la igualdad de todos los españoles en el ejercicio de sus derechos y cumplimiento de sus obligaciones”.</w:t>
      </w:r>
    </w:p>
    <w:p w14:paraId="679933CB" w14:textId="77777777" w:rsidR="008D479B" w:rsidRDefault="008D479B" w:rsidP="008D479B">
      <w:pPr>
        <w:pStyle w:val="TextoNormal"/>
      </w:pPr>
    </w:p>
    <w:p w14:paraId="2F189288" w14:textId="77777777" w:rsidR="008D479B" w:rsidRDefault="008D479B" w:rsidP="008D479B">
      <w:pPr>
        <w:pStyle w:val="TextoNormal"/>
      </w:pPr>
      <w:r w:rsidRPr="008D479B">
        <w:rPr>
          <w:rStyle w:val="NumeroAFNegritaCaracter"/>
        </w:rPr>
        <w:t>5</w:t>
      </w:r>
      <w:r>
        <w:t xml:space="preserve">. </w:t>
      </w:r>
      <w:r w:rsidRPr="008D479B">
        <w:rPr>
          <w:i/>
        </w:rPr>
        <w:t>Examen de la motivación aducida por el Gobierno</w:t>
      </w:r>
    </w:p>
    <w:p w14:paraId="6EB4EDF0" w14:textId="77777777" w:rsidR="008D479B" w:rsidRDefault="008D479B" w:rsidP="008D479B">
      <w:pPr>
        <w:pStyle w:val="TextoNormal"/>
      </w:pPr>
    </w:p>
    <w:p w14:paraId="2D7A70BA" w14:textId="77777777" w:rsidR="008D479B" w:rsidRDefault="008D479B" w:rsidP="008D479B">
      <w:pPr>
        <w:pStyle w:val="TextoNormal"/>
      </w:pPr>
      <w:r>
        <w:t>De lo expuesto se colige que, en el preámbulo y en la memoria del real decreto-ley impugnado, así como en su presentación en el trámite parlamentario de convalidación, el Gobierno ha ofrecido, de forma explícita y razonada, una justificación para la adopción de la concreta medida discutida.</w:t>
      </w:r>
    </w:p>
    <w:p w14:paraId="2EC52C18" w14:textId="77777777" w:rsidR="008D479B" w:rsidRDefault="008D479B" w:rsidP="008D479B">
      <w:pPr>
        <w:pStyle w:val="TextoNormal"/>
      </w:pPr>
    </w:p>
    <w:p w14:paraId="69513E6B" w14:textId="77777777" w:rsidR="008D479B" w:rsidRDefault="008D479B" w:rsidP="008D479B">
      <w:pPr>
        <w:pStyle w:val="TextoNormal"/>
      </w:pPr>
      <w:r>
        <w:t>No estamos ante una descripción mediante fórmulas rituales o genéricas, aplicables a todo tipo de realidades de un modo intercambiable, sino ante una referencia a una concreta coyuntura derivada de la inminente finalización del estado de alarma unida a la necesidad de seguir tomando medidas que permitan hacer frente a los efectos sanitarios, sociales y económicos provocados por la covid-19, situación que este tribunal no puede sino reconocer y compartir (en un sentido similar STC 110/2021, de 13 de mayo, FJ 5).</w:t>
      </w:r>
    </w:p>
    <w:p w14:paraId="30F4C3EA" w14:textId="77777777" w:rsidR="008D479B" w:rsidRDefault="008D479B" w:rsidP="008D479B">
      <w:pPr>
        <w:pStyle w:val="TextoNormal"/>
      </w:pPr>
    </w:p>
    <w:p w14:paraId="12334C58" w14:textId="77777777" w:rsidR="008D479B" w:rsidRDefault="008D479B" w:rsidP="008D479B">
      <w:pPr>
        <w:pStyle w:val="TextoNormal"/>
      </w:pPr>
      <w:r>
        <w:t>Esa necesidad, que justifica el conjunto del Real Decreto-ley 8/2021, se vincula en el caso concreto con la articulación de un nuevo mecanismo procesal que permita intervenir al Tribunal Supremo en relación con la autorización o ratificación judicial de medidas sanitarias restrictivas de derechos fundamentales que no tengan un destinatario determinado. Mecanismo dirigido a corregir lo que el Gobierno percibe como una no deseable situación de divergencia de resoluciones judiciales en relación con este tipo de medidas que pretende solucionarse atribuyendo al Tribunal Supremo la finalidad de unificar la doctrina sobre tales cuestiones. Y la urgencia en la adopción de esta medida se vincula a la inminente finalización del estado de alarma a las 00:00 horas del día 9 de mayo de 2021, conforme al art. 2 del Real Decreto 956/2020, de 3 de noviembre, por el que se prorroga el estado de alarma declarado por el Real Decreto 926/2020, de 25 de octubre. Esa próxima finalización del estado de alarma el 9 de mayo de 2021 es lo que, a juicio del Gobierno, no hacía posible acudir en ese momento al procedimiento legislativo, ni ordinario ni de urgencia, para aprobar esta reforma procesal a fin de que estuviera vigente a la finalización del citado estado de alarma, teniendo en cuenta también la persistencia de la pandemia y la presumible necesidad de adoptar medidas restrictivas atendiendo a la evolución de la situación sanitaria.</w:t>
      </w:r>
    </w:p>
    <w:p w14:paraId="2C76DD99" w14:textId="77777777" w:rsidR="008D479B" w:rsidRDefault="008D479B" w:rsidP="008D479B">
      <w:pPr>
        <w:pStyle w:val="TextoNormal"/>
      </w:pPr>
    </w:p>
    <w:p w14:paraId="7DBD02E1" w14:textId="77777777" w:rsidR="008D479B" w:rsidRDefault="008D479B" w:rsidP="008D479B">
      <w:pPr>
        <w:pStyle w:val="TextoNormal"/>
      </w:pPr>
      <w:r>
        <w:t>En todo caso, debe subrayarse que la perspectiva desde la que ha de examinarse la concurrencia del presupuesto habilitante del art. 86.1 CE es la del momento en que se aprueba el correspondiente decreto-ley, de manera que el presupuesto de la validez de dicha norma no queda alterado por datos o circunstancias posteriores que pudieran cuestionar la apreciación de la urgencia o de la necesidad afirmadas en aquel momento. Y en el presente caso resulta que el Gobierno consideró necesario modificar la Ley reguladora de la jurisdicción contencioso-administrativa como una de las medidas relacionadas con el nuevo escenario provocado por el fin del estado de alarma y la pervivencia de una complicada situación como consecuencia de la pervivencia de la pandemia de covid-19. Ante la inminencia de la finalización del estado de alarma el 9 de mayo de 2021 el Gobierno optó por volver a modificar la Ley reguladora de la jurisdicción contencioso-administrativa para atribuir al Tribunal Supremo la competencia, en casación, de homogeneizar la respuesta judicial en la autorización y ratificación de las medidas restrictivas de derechos adoptadas por las administraciones públicas territoriales en la lucha contra la covid-19. Para el Gobierno, cuyo juicio no podemos sustituir, se trataba de un instrumento jurídico adecuado para mitigar la posible disparidad de pronunciamientos y criterios respecto a las autorizaciones judiciales de las medidas restrictivas de derechos fundamentales que, en la lucha contra la pandemia, se adoptasen a partir de ese momento.</w:t>
      </w:r>
    </w:p>
    <w:p w14:paraId="299EDA0B" w14:textId="77777777" w:rsidR="008D479B" w:rsidRDefault="008D479B" w:rsidP="008D479B">
      <w:pPr>
        <w:pStyle w:val="TextoNormal"/>
      </w:pPr>
    </w:p>
    <w:p w14:paraId="2F7BFC6A" w14:textId="77777777" w:rsidR="008D479B" w:rsidRDefault="008D479B" w:rsidP="008D479B">
      <w:pPr>
        <w:pStyle w:val="TextoNormal"/>
      </w:pPr>
      <w:r>
        <w:t>De esta forma, es posible apreciar que en el Real Decreto-ley 8/2021 existe una justificación general de la extraordinaria y urgente necesidad que justifica su adopción: seguir haciendo frente con independencia del fin de la vigencia del estado de alarma a las situaciones socioeconómicas y sanitarias generadas por la persistencia de la pandemia de covid-19 y sus efectos negativos. Y también hay una justificación expresa de la concreta medida cuestionada, justificación expresa que no es sino la proyección de la anterior justificación general del Real Decreto-ley 8/2021 a la concretamente adoptada en el ámbito de la jurisdicción contencioso-administrativa. La finalidad unificadora de doctrina que se persigue se relaciona con la previsible adopción de medidas restrictivas de derechos justificadas por la situación sanitaria derivada de la pandemia y, más específicamente, con la ya prevista intervención de los órganos judiciales en trance de autorizar o ratificar tales medidas. En suma, la norma controvertida, al igual que ha sucedido con otras iniciativas normativas anteriores, responde a la necesidad de adoptar medidas que contribuyan a preservar la salud y seguridad de los ciudadanos ante la grave situación creada por la pandemia de la covid-19.</w:t>
      </w:r>
    </w:p>
    <w:p w14:paraId="0C8F9EC0" w14:textId="77777777" w:rsidR="008D479B" w:rsidRDefault="008D479B" w:rsidP="008D479B">
      <w:pPr>
        <w:pStyle w:val="TextoNormal"/>
      </w:pPr>
    </w:p>
    <w:p w14:paraId="3D1D3FCF" w14:textId="77777777" w:rsidR="008D479B" w:rsidRDefault="008D479B" w:rsidP="008D479B">
      <w:pPr>
        <w:pStyle w:val="TextoNormal"/>
      </w:pPr>
      <w:r>
        <w:t>A la vista de lo expuesto, podemos concluir que, desde el plano del control externo que compete a este tribunal que no tiene que ver con el acierto de la concreta medida elegida por el Gobierno sino con la justificación de su necesidad y urgencia extraordinarias, una vez descrita de forma suficiente la situación de extraordinaria y urgente necesidad, resulta jurídicamente admisible la acción normativa inmediata, evitando con ello la demora que hubiera supuesto recurrir a la tramitación legislativa ordinaria. Desde esta perspectiva, el Tribunal aprecia que el Gobierno ha efectuado una descripción precisa y suficiente de la situación de extraordinaria y urgente necesidad.</w:t>
      </w:r>
    </w:p>
    <w:p w14:paraId="0E2232E2" w14:textId="77777777" w:rsidR="008D479B" w:rsidRDefault="008D479B" w:rsidP="008D479B">
      <w:pPr>
        <w:pStyle w:val="TextoNormal"/>
      </w:pPr>
    </w:p>
    <w:p w14:paraId="59DEFB0F" w14:textId="77777777" w:rsidR="008D479B" w:rsidRDefault="008D479B" w:rsidP="008D479B">
      <w:pPr>
        <w:pStyle w:val="TextoNormal"/>
      </w:pPr>
      <w:r>
        <w:t>Conclusión que no se ve desvirtuada por el argumento de que la situación de extraordinaria y urgente necesidad alegada por el Gobierno fue provocada por su propia inactividad. No deben confundirse los controles político y jurídico encomendados al Parlamento (art. 86.1 CE) y a este tribunal (art. 27.1 LOTC), respectivamente, ni sus parámetros, político y jurídico, respectivamente. Que el Gobierno pudiera haber adoptado con anterioridad medidas al respecto constituye una hipótesis que, aun cuando fuere cierta, no tiene por qué afectar a la constatación de la existencia de una situación de extraordinaria y urgente necesidad que legitima la adopción de medidas urgentes para hacer frente a la misma. En suma, a la carencia de la nota de imprevisibilidad, a la vista de lo previsible del fin del estado de alarma, hemos de contraponer la doctrina de este tribunal que considera que “la valoración de la extraordinaria y urgente necesidad de una medida puede ser independiente de su imprevisibilidad e, incluso, de que tenga su origen en la previa inactividad del propio Gobierno siempre que concurra efectivamente la excepcionalidad de la situación, pues ‘lo que aquí debe importar no es tanto la causa de las circunstancias que justifican la legislación de urgencia cuanto el hecho de que tales circunstancias efectivamente concurran’” (STC 156/2015, de 9 de julio, FJ 6, entre otras muchas). Interesa solo, en otras palabras, si la situación era objetivamente merecedora de un tratamiento normativo por la vía de la legislación de urgencia, con independencia del reproche que, en planos diferentes del enjuiciamiento que corresponde a este tribunal, pudieran merecer las causas que hubieran podido ocasionarla.</w:t>
      </w:r>
    </w:p>
    <w:p w14:paraId="21E58DF8" w14:textId="77777777" w:rsidR="008D479B" w:rsidRDefault="008D479B" w:rsidP="008D479B">
      <w:pPr>
        <w:pStyle w:val="TextoNormal"/>
      </w:pPr>
    </w:p>
    <w:p w14:paraId="665F78C6" w14:textId="7E8436C9" w:rsidR="008D479B" w:rsidRDefault="008D479B" w:rsidP="008D479B">
      <w:pPr>
        <w:pStyle w:val="TextoNormal"/>
      </w:pPr>
      <w:r>
        <w:t>Por lo expuesto, esta primera queja de los recurrentes ha de ser desestimada.</w:t>
      </w:r>
    </w:p>
    <w:p w14:paraId="1B67EC7F" w14:textId="77777777" w:rsidR="008D479B" w:rsidRDefault="008D479B" w:rsidP="008D479B">
      <w:pPr>
        <w:pStyle w:val="TextoNormal"/>
      </w:pPr>
    </w:p>
    <w:p w14:paraId="27C77EDE" w14:textId="77777777" w:rsidR="008D479B" w:rsidRDefault="008D479B" w:rsidP="008D479B">
      <w:pPr>
        <w:pStyle w:val="TextoNormal"/>
      </w:pPr>
      <w:r w:rsidRPr="008D479B">
        <w:rPr>
          <w:rStyle w:val="NumeroAFNegritaCaracter"/>
        </w:rPr>
        <w:t>6</w:t>
      </w:r>
      <w:r>
        <w:t xml:space="preserve">. </w:t>
      </w:r>
      <w:r w:rsidRPr="008D479B">
        <w:rPr>
          <w:i/>
        </w:rPr>
        <w:t>Presupuesto habilitante y conexión de sentido de las medidas aprobadas</w:t>
      </w:r>
    </w:p>
    <w:p w14:paraId="5686F468" w14:textId="77777777" w:rsidR="008D479B" w:rsidRDefault="008D479B" w:rsidP="008D479B">
      <w:pPr>
        <w:pStyle w:val="TextoNormal"/>
      </w:pPr>
    </w:p>
    <w:p w14:paraId="1BE0FFEC" w14:textId="77777777" w:rsidR="008D479B" w:rsidRDefault="008D479B" w:rsidP="008D479B">
      <w:pPr>
        <w:pStyle w:val="TextoNormal"/>
      </w:pPr>
      <w:r>
        <w:t>La segunda dimensión del presupuesto habilitante exige que las medidas aprobadas guarden una “conexión de sentido” con la situación de extraordinaria y urgente necesidad (STC 29/1982, de 31 de mayo, FJ 3) o, dicho de otro modo, “una relación directa o de congruencia con la situación que se trata de afrontar” (STC 182/1997, de 28 de octubre, FJ 3). En particular, nuestra doctrina ha establecido una doble perspectiva para valorarla: el contenido, por un lado, y la estructura, por otro, de las disposiciones incluidas en el decreto-ley controvertido. Así, ya en la citada STC 29/1982, FJ 3, este tribunal excluyó aquellas disposiciones “que, por su contenido y de manera evidente, no guarden relación alguna, directa ni indirecta, con la situación que se trata de afrontar y, muy especialmente, aquellas que, por su estructura misma, independientemente de su contenido, no modifican de manera instantánea la situación jurídica existente”. No se trata de discutir acerca de la bondad técnica de las medidas sino de examinar la correspondencia de las normas contenidas en el decreto-ley con la situación que se trata de afrontar.</w:t>
      </w:r>
    </w:p>
    <w:p w14:paraId="5FA8C587" w14:textId="77777777" w:rsidR="008D479B" w:rsidRDefault="008D479B" w:rsidP="008D479B">
      <w:pPr>
        <w:pStyle w:val="TextoNormal"/>
      </w:pPr>
    </w:p>
    <w:p w14:paraId="6B918AC9" w14:textId="77777777" w:rsidR="008D479B" w:rsidRDefault="008D479B" w:rsidP="008D479B">
      <w:pPr>
        <w:pStyle w:val="TextoNormal"/>
      </w:pPr>
      <w:r>
        <w:t>Desde esta limitada perspectiva de enjuiciamiento es posible apreciar la conexión de sentido entre la situación de urgencia definida y la medida articulada para hacerle frente. Con independencia del mayor o menor acierto en su configuración, el diseño de un instrumento procesal con una evidente finalidad unificadora de la posible diversidad de criterios judiciales en relación con la valoración de posibles medidas restrictivas de derechos, adoptadas al amparo de la evolución de la situación sanitaria, guarda una clara relación de coherencia con la situación de urgencia previamente explicitada y razonada.</w:t>
      </w:r>
    </w:p>
    <w:p w14:paraId="3A9B8641" w14:textId="77777777" w:rsidR="008D479B" w:rsidRDefault="008D479B" w:rsidP="008D479B">
      <w:pPr>
        <w:pStyle w:val="TextoNormal"/>
      </w:pPr>
    </w:p>
    <w:p w14:paraId="7CA93A8F" w14:textId="7B7A4F90" w:rsidR="008D479B" w:rsidRDefault="008D479B" w:rsidP="008D479B">
      <w:pPr>
        <w:pStyle w:val="TextoNormal"/>
      </w:pPr>
      <w:r>
        <w:t>Por ello, también esta segunda queja ha de ser desestimada.</w:t>
      </w:r>
    </w:p>
    <w:p w14:paraId="4AC99044" w14:textId="77777777" w:rsidR="008D479B" w:rsidRDefault="008D479B" w:rsidP="008D479B">
      <w:pPr>
        <w:pStyle w:val="TextoNormal"/>
      </w:pPr>
    </w:p>
    <w:p w14:paraId="07083CCC" w14:textId="77777777" w:rsidR="008D479B" w:rsidRDefault="008D479B" w:rsidP="008D479B">
      <w:pPr>
        <w:pStyle w:val="TextoNormal"/>
      </w:pPr>
      <w:r w:rsidRPr="008D479B">
        <w:rPr>
          <w:rStyle w:val="NumeroAFNegritaCaracter"/>
        </w:rPr>
        <w:t>7</w:t>
      </w:r>
      <w:r>
        <w:t xml:space="preserve">. </w:t>
      </w:r>
      <w:r w:rsidRPr="008D479B">
        <w:rPr>
          <w:i/>
        </w:rPr>
        <w:t>Vulneración de los límites materiales del decreto-ley</w:t>
      </w:r>
    </w:p>
    <w:p w14:paraId="45F0413D" w14:textId="77777777" w:rsidR="008D479B" w:rsidRDefault="008D479B" w:rsidP="008D479B">
      <w:pPr>
        <w:pStyle w:val="TextoNormal"/>
      </w:pPr>
    </w:p>
    <w:p w14:paraId="7F07B90A" w14:textId="77777777" w:rsidR="008D479B" w:rsidRDefault="008D479B" w:rsidP="008D479B">
      <w:pPr>
        <w:pStyle w:val="TextoNormal"/>
      </w:pPr>
      <w:r>
        <w:t>Por conveniencia de la argumentación examinaremos ahora el motivo de impugnación relacionado con la vulneración de los límites materiales que el art. 86.1 CE impone a la legislación de urgencia.</w:t>
      </w:r>
    </w:p>
    <w:p w14:paraId="0BEDBE91" w14:textId="77777777" w:rsidR="008D479B" w:rsidRDefault="008D479B" w:rsidP="008D479B">
      <w:pPr>
        <w:pStyle w:val="TextoNormal"/>
      </w:pPr>
    </w:p>
    <w:p w14:paraId="74ADBEDE" w14:textId="77777777" w:rsidR="008D479B" w:rsidRDefault="008D479B" w:rsidP="008D479B">
      <w:pPr>
        <w:pStyle w:val="TextoNormal"/>
      </w:pPr>
      <w:r>
        <w:t>Los diputados recurrentes sostienen que la regulación introducida mediante las disposiciones impugnadas del Real Decreto-ley 8/2021 vulnera los límites materiales del decreto-ley establecidos por el art. 86.1 CE, toda vez que esa regulación afecta al derecho a la tutela judicial efectiva (art. 24.1 CE) y al ordenamiento de las instituciones básicas del Estado (en referencia a los tribunales de justicia).</w:t>
      </w:r>
    </w:p>
    <w:p w14:paraId="799123DF" w14:textId="77777777" w:rsidR="008D479B" w:rsidRDefault="008D479B" w:rsidP="008D479B">
      <w:pPr>
        <w:pStyle w:val="TextoNormal"/>
      </w:pPr>
    </w:p>
    <w:p w14:paraId="3D3B5F02" w14:textId="77777777" w:rsidR="008D479B" w:rsidRDefault="008D479B" w:rsidP="008D479B">
      <w:pPr>
        <w:pStyle w:val="TextoNormal"/>
      </w:pPr>
      <w:r>
        <w:t>El examen de este motivo de inconstitucionalidad requiere aludir a la doctrina constitucional en relación con la interpretación de los límites materiales a la utilización del decreto-ley. Interpretación que comprende tanto el alcance del término “afectar” —en cuanto acción prohibida constitucionalmente—, como la determinación de cada una de las materias enunciadas en el art. 86.1 CE.</w:t>
      </w:r>
    </w:p>
    <w:p w14:paraId="2D874341" w14:textId="77777777" w:rsidR="008D479B" w:rsidRDefault="008D479B" w:rsidP="008D479B">
      <w:pPr>
        <w:pStyle w:val="TextoNormal"/>
      </w:pPr>
    </w:p>
    <w:p w14:paraId="7EEFE90B" w14:textId="77777777" w:rsidR="008D479B" w:rsidRDefault="008D479B" w:rsidP="008D479B">
      <w:pPr>
        <w:pStyle w:val="TextoNormal"/>
      </w:pPr>
      <w:r>
        <w:t>Por lo que atañe a la primera de las cuestiones, hemos indicado que la cláusula restrictiva “no podrán afectar” debe ser objeto de una lectura equilibrada, que ni reduzca a la nada el decreto-ley (resultado que se produciría si se entendiese el término “afectar” en sentido literal, esto es, como sinónimo de “incidir”), ni permita que a través de este instrumento normativo se regule el régimen general o se vaya en contra del contenido o de los elementos esenciales de los derechos, deberes y libertades del título I (STC 111/1983, de 2 de diciembre, FJ 8, seguida de otras muchas; entre las más recientes la STC 16/2021, de 28 de enero, FJ 5).</w:t>
      </w:r>
    </w:p>
    <w:p w14:paraId="39967612" w14:textId="77777777" w:rsidR="008D479B" w:rsidRDefault="008D479B" w:rsidP="008D479B">
      <w:pPr>
        <w:pStyle w:val="TextoNormal"/>
      </w:pPr>
    </w:p>
    <w:p w14:paraId="6612B080" w14:textId="77777777" w:rsidR="008D479B" w:rsidRDefault="008D479B" w:rsidP="008D479B">
      <w:pPr>
        <w:pStyle w:val="TextoNormal"/>
      </w:pPr>
      <w:r>
        <w:t>Es preciso también recordar la doctrina constitucional respecto a los dos concretos límites materiales que los recurrentes entienden vulnerados. En cuanto a la expresión “derechos, deberes y libertades de los ciudadanos regulados en el título I”, este tribunal ha establecido diversos criterios para determinar, en cada supuesto, si el derecho o la libertad ha resultado “afectado” por un decreto-ley. A tal efecto habrá de tenerse en cuenta la configuración constitucional del derecho o deber afectado en cada caso; su colocación en el texto constitucional dentro de las diversas secciones y capítulos de su título I, dotados de mayor o menor rigor protector a tenor del art. 53 CE; y la naturaleza y alcance de la concreta regulación de que se trate (SSTC 111/1983, de 2 de diciembre, FJ 9; 182/1997, de 28 de octubre, FFJJ 6 y 7, y 329/2005, de 15 de diciembre, FJ 8).</w:t>
      </w:r>
    </w:p>
    <w:p w14:paraId="7C03DFAC" w14:textId="77777777" w:rsidR="008D479B" w:rsidRDefault="008D479B" w:rsidP="008D479B">
      <w:pPr>
        <w:pStyle w:val="TextoNormal"/>
      </w:pPr>
    </w:p>
    <w:p w14:paraId="035A0424" w14:textId="77777777" w:rsidR="008D479B" w:rsidRDefault="008D479B" w:rsidP="008D479B">
      <w:pPr>
        <w:pStyle w:val="TextoNormal"/>
      </w:pPr>
      <w:r>
        <w:t>Por otra parte, en relación con la afectación a la ordenación de las instituciones básicas del Estado, es preciso recordar qué se entiende por “instituciones básicas del Estado” y qué “afectación” a su ordenación está prohibida constitucionalmente. De forma constante y a los efectos del art. 86.1 CE, hemos declarado que por instituciones básicas del Estado se entienden “aquellas organizaciones públicas sancionadas en el propio texto constitucional cuya regulación reclama una ley” (SSTC 60/1986, de 20 de mayo, FJ 4, y 237/2012, de 13 de diciembre, FJ 7, citadas en las SSTC 103/2017, de 6 de septiembre, FJ 7, y 150/2017, de 21 de diciembre, FJ 9). Y la prohibición constitucional de “afectar” a la ordenación de tales instituciones, “haría referencia en este supuesto a los elementos estructurales, esenciales o generales de la organización y funcionamiento de las instituciones estatales básicas, pero no, en cambio, a cualesquiera otros aspectos accidentales o singulares de las mismas” (STC 150/2017, FJ 9, y las allí citadas).</w:t>
      </w:r>
    </w:p>
    <w:p w14:paraId="32255DEC" w14:textId="77777777" w:rsidR="008D479B" w:rsidRDefault="008D479B" w:rsidP="008D479B">
      <w:pPr>
        <w:pStyle w:val="TextoNormal"/>
      </w:pPr>
    </w:p>
    <w:p w14:paraId="0A53C22A" w14:textId="77777777" w:rsidR="008D479B" w:rsidRDefault="008D479B" w:rsidP="008D479B">
      <w:pPr>
        <w:pStyle w:val="TextoNormal"/>
      </w:pPr>
      <w:r>
        <w:t>Tal como ha señalado el abogado del Estado, el art. 15 del Real Decreto-ley 8/2021 es una norma procesal que establece una modalidad o versión del recurso de casación contencioso-administrativo para un supuesto y una materia específicos. Por ello, se limita a configurar el cauce procesal correspondiente para aprobar o confirmar judicialmente las medidas restrictivas previamente diseñadas por la administración sanitaria. No se trata, por tanto, de una regulación que vaya en contra de elementos esenciales de derecho a la tutela judicial efectiva del art. 24.1 CE, como sostienen los recurrentes. No debe olvidarse que lo aquí concernido es el derecho de acceso al recurso y “lo que le está vedado al decreto-ley es la regulación del ‘régimen general de los derechos, deberes y libertades del título I CE’ o que ‘vaya en contra del contenido o elementos esenciales de alguno de tales derechos’”. (ATC 179/2011, de 13 de diciembre, FJ 7, y la doctrina que cita). El derecho de acceso a los recursos es un derecho de configuración legal y se incorpora a la tutela judicial en los términos establecidos en cada una de las leyes reguladoras de los diversos órdenes jurisdiccionales (por todas, SSTC 37/1995, de 7 de febrero, FJ 5; 121/1999, de 28 de junio, FJ 3; 43/2000, de 14 de febrero, FJ 3, y 74/2003, de 23 de abril, FJ 3), salvo en lo relativo a las sentencias penales condenatorias (por todas, SSTC 70/2002, de 3 de abril, FJ 7; 123/2005, de 12 de mayo, FJ 6; 116/2006, de 24 de abril, FJ 5, y 48/2008, de 11 de marzo, FJ 2). Por tanto, la queja relativa a la superación de los límites materiales del real decreto-ley previstos en el art. 86.1 CE debe ser desestimada en este punto.</w:t>
      </w:r>
    </w:p>
    <w:p w14:paraId="7164C59D" w14:textId="77777777" w:rsidR="008D479B" w:rsidRDefault="008D479B" w:rsidP="008D479B">
      <w:pPr>
        <w:pStyle w:val="TextoNormal"/>
      </w:pPr>
    </w:p>
    <w:p w14:paraId="56B0AB1B" w14:textId="00D0B88A" w:rsidR="008D479B" w:rsidRDefault="008D479B" w:rsidP="008D479B">
      <w:pPr>
        <w:pStyle w:val="TextoNormal"/>
      </w:pPr>
      <w:r>
        <w:t>Tampoco es posible apreciar, desde la perspectiva del enjuiciamiento de los límites materiales de la norma de urgencia, que se afecte a la ordenación de instituciones básicas del Estado pues, atendiendo a su contenido procesal, es evidente que la regulación impugnada no afecta a elementos estructurales o esenciales del proceso judicial ni regula un elemento esencial del poder judicial como institución básica del Estado.</w:t>
      </w:r>
    </w:p>
    <w:p w14:paraId="6C40BFEA" w14:textId="77777777" w:rsidR="008D479B" w:rsidRDefault="008D479B" w:rsidP="008D479B">
      <w:pPr>
        <w:pStyle w:val="TextoNormal"/>
      </w:pPr>
    </w:p>
    <w:p w14:paraId="71922139" w14:textId="77777777" w:rsidR="008D479B" w:rsidRDefault="008D479B" w:rsidP="008D479B">
      <w:pPr>
        <w:pStyle w:val="TextoNormal"/>
      </w:pPr>
      <w:r w:rsidRPr="008D479B">
        <w:rPr>
          <w:rStyle w:val="NumeroAFNegritaCaracter"/>
        </w:rPr>
        <w:t>8</w:t>
      </w:r>
      <w:r>
        <w:t xml:space="preserve">. </w:t>
      </w:r>
      <w:r w:rsidRPr="008D479B">
        <w:rPr>
          <w:i/>
        </w:rPr>
        <w:t>El principio de seguridad jurídica (art. 9.3 CE) y la propia función del decreto-ley como fórmula legislativa excepcional</w:t>
      </w:r>
    </w:p>
    <w:p w14:paraId="50CE9072" w14:textId="77777777" w:rsidR="008D479B" w:rsidRDefault="008D479B" w:rsidP="008D479B">
      <w:pPr>
        <w:pStyle w:val="TextoNormal"/>
      </w:pPr>
    </w:p>
    <w:p w14:paraId="27446F4C" w14:textId="77777777" w:rsidR="008D479B" w:rsidRDefault="008D479B" w:rsidP="008D479B">
      <w:pPr>
        <w:pStyle w:val="TextoNormal"/>
      </w:pPr>
      <w:r>
        <w:t>Apreciado ya que la regulación impugnada del Real Decreto-ley 8/2021 no vulnera los límites materiales que a la norma de urgencia impone el art. 86. 1 CE debe también descartarse la queja de los recurrentes centrada en la vulneración del art. 9.3 CE, en relación con la función del decreto-ley.</w:t>
      </w:r>
    </w:p>
    <w:p w14:paraId="32BD5618" w14:textId="77777777" w:rsidR="008D479B" w:rsidRDefault="008D479B" w:rsidP="008D479B">
      <w:pPr>
        <w:pStyle w:val="TextoNormal"/>
      </w:pPr>
    </w:p>
    <w:p w14:paraId="692C8155" w14:textId="553ACFD3" w:rsidR="008D479B" w:rsidRDefault="008D479B" w:rsidP="008D479B">
      <w:pPr>
        <w:pStyle w:val="TextoNormal"/>
      </w:pPr>
      <w:r>
        <w:t>En la STC 111/2021, de 13 de mayo, FJ 3, el Tribunal desestimó una queja en todo similar a la que ahora se plantea señalando que, con la salvedad de los límites materiales, expresos o implícitos que derivan del texto constitucional, un decreto-ley puede abarcar cualquier contenido y esa regulación será constitucionalmente legítima siempre que se cumpla el presupuesto habilitante de la extraordinaria y urgente necesidad. Tal como allí se sostuvo, al no existir infracción de los límites materiales del decreto-ley en las disposiciones impugnadas, no cabe apreciar por este motivo, en consecuencia, quebranto alguno del principio de seguridad jurídica que consagra el art. 9.3 CE por la utilización de la norma de urgencia, tal como pretendían los diputados recurrentes, trasladando al decreto-ley la doctrina constitucional acerca del contenido propio de las leyes de presupuestos generales del Estado.</w:t>
      </w:r>
    </w:p>
    <w:p w14:paraId="5A81592B" w14:textId="77777777" w:rsidR="008D479B" w:rsidRDefault="008D479B" w:rsidP="008D479B">
      <w:pPr>
        <w:pStyle w:val="TextoNormal"/>
      </w:pPr>
    </w:p>
    <w:p w14:paraId="02D0A986" w14:textId="77777777" w:rsidR="008D479B" w:rsidRDefault="008D479B" w:rsidP="008D479B">
      <w:pPr>
        <w:pStyle w:val="TextoNormal"/>
      </w:pPr>
      <w:r w:rsidRPr="008D479B">
        <w:rPr>
          <w:rStyle w:val="NumeroAFNegritaCaracter"/>
        </w:rPr>
        <w:t>9</w:t>
      </w:r>
      <w:r>
        <w:t xml:space="preserve">. </w:t>
      </w:r>
      <w:r w:rsidRPr="008D479B">
        <w:rPr>
          <w:i/>
        </w:rPr>
        <w:t>Conclusión. Desestimación del recurso</w:t>
      </w:r>
    </w:p>
    <w:p w14:paraId="2B3A00BF" w14:textId="77777777" w:rsidR="008D479B" w:rsidRDefault="008D479B" w:rsidP="008D479B">
      <w:pPr>
        <w:pStyle w:val="TextoNormal"/>
      </w:pPr>
    </w:p>
    <w:p w14:paraId="5966A02F" w14:textId="77777777" w:rsidR="008D479B" w:rsidRDefault="008D479B" w:rsidP="008D479B">
      <w:pPr>
        <w:pStyle w:val="TextoNormal"/>
      </w:pPr>
      <w:r>
        <w:t>Por todo lo expuesto el recurso de inconstitucionalidad ha de ser desestimado, sin perjuicio de advertir, dadas las anómalas circunstancias del caso, la conveniencia de una pronta reforma legislativa en esta materia (en un sentido similar, SSTC 36/1991, de 14 de febrero, FJ 7; 24/2004, de 24 de febrero, FJ 8, y 126/2021, de 3 de junio, FJ 7), por las razones que ahora se exponen y que se resumen en la vertiente objetiva del principio de seguridad jurídica. (STC 15/1986, de 31 de enero, FJ 1).</w:t>
      </w:r>
    </w:p>
    <w:p w14:paraId="3B00D62A" w14:textId="77777777" w:rsidR="008D479B" w:rsidRDefault="008D479B" w:rsidP="008D479B">
      <w:pPr>
        <w:pStyle w:val="TextoNormal"/>
      </w:pPr>
    </w:p>
    <w:p w14:paraId="41FF7E4B" w14:textId="77777777" w:rsidR="008D479B" w:rsidRDefault="008D479B" w:rsidP="008D479B">
      <w:pPr>
        <w:pStyle w:val="TextoNormal"/>
      </w:pPr>
      <w:r>
        <w:t>La Ley 3/2020, de 18 de septiembre, reordenó la competencia del orden jurisdiccional contencioso-administrativo sobre autorizaciones de medidas sanitarias que afectasen a derechos fundamentales, de suerte que la autorización o ratificación judicial de las disposiciones sanitarias generales adoptadas por las comunidades autónomas se encomienda a las salas de lo contencioso-administrativo de los tribunales superiores de justicia (nuevo art. 10.8 LJCA), y si esas disposiciones generales emanan de las autoridades estatales se declara competente a la Sala de lo Contencioso-Administrativo de la Audiencia Nacional [art. 11.1 i) LJCA]. La reforma introducida por la Ley 3/2020, de 18 de septiembre, no preveía que las resoluciones que pudieran dictar las correspondientes salas del orden contencioso-administrativo (de los tribunales superiores de justicia o de la Audiencia Nacional) en aplicación de los arts. 10.8 y 11.1 i) LJCA pudieran ser recurribles en casación. Fue el art. 15 del Real Decreto-ley 8/2021, aquí impugnado, la norma que estableció que esos autos fuesen susceptibles de recurso de casación ante la Sala de lo Contencioso-Administrativo del Tribunal Supremo.</w:t>
      </w:r>
    </w:p>
    <w:p w14:paraId="7AB4DCD5" w14:textId="77777777" w:rsidR="008D479B" w:rsidRDefault="008D479B" w:rsidP="008D479B">
      <w:pPr>
        <w:pStyle w:val="TextoNormal"/>
      </w:pPr>
    </w:p>
    <w:p w14:paraId="2BE2C451" w14:textId="77777777" w:rsidR="008D479B" w:rsidRDefault="008D479B" w:rsidP="008D479B">
      <w:pPr>
        <w:pStyle w:val="TextoNormal"/>
      </w:pPr>
      <w:r>
        <w:t>Resulta así que, en el designio del legislador, tras la modificación del Real Decreto-ley 8/2021, la autorización o ratificación judicial y su posterior revisión eran piezas de un todo, la regulación de la intervención judicial como condición previa y necesaria para la eficacia de las medidas generales que la administración pública pretende aplicar por razones de protección de la salud pública. Regulación que debería ser tendencialmente coherente y comprensible.</w:t>
      </w:r>
    </w:p>
    <w:p w14:paraId="4111D690" w14:textId="77777777" w:rsidR="008D479B" w:rsidRDefault="008D479B" w:rsidP="008D479B">
      <w:pPr>
        <w:pStyle w:val="TextoNormal"/>
      </w:pPr>
    </w:p>
    <w:p w14:paraId="46D3BA84" w14:textId="6110504E" w:rsidR="008D479B" w:rsidRDefault="008D479B" w:rsidP="008D479B">
      <w:pPr>
        <w:pStyle w:val="TextoNormal"/>
      </w:pPr>
      <w:r>
        <w:t xml:space="preserve">Esa coherencia interna ha desaparecido en el momento de dictar la presente resolución pues la declaración de inconstitucionalidad y nulidad de los arts. 10.8 y 11.1 i) y del inciso “10.8 y 11.1 i)” del art. 122 </w:t>
      </w:r>
      <w:r w:rsidRPr="008D479B">
        <w:rPr>
          <w:i/>
        </w:rPr>
        <w:t>quater</w:t>
      </w:r>
      <w:r>
        <w:t>, todos ellos de la Ley reguladora de la jurisdicción contencioso-administrativa, en la redacción dada por la disposición final segunda de la Ley 3/2020, de 18 de septiembre, ha hecho que el recurso de casación regulado por la normativa que se cuestiona carezca de supuesto al que aplicarse, resultando ser una pura forma vacía de cualquier contenido sustantivo la cual, sin embargo, sigue formal, pero no materialmente, subsistiendo en nuestro ordenamiento procesal. En razón de ello resulta conveniente la corrección por parte del legislador.</w:t>
      </w:r>
    </w:p>
    <w:p w14:paraId="0A9493C0" w14:textId="77777777" w:rsidR="008D479B" w:rsidRDefault="008D479B" w:rsidP="008D479B">
      <w:pPr>
        <w:pStyle w:val="TextoNormal"/>
      </w:pPr>
    </w:p>
    <w:p w14:paraId="595981F7" w14:textId="77777777" w:rsidR="008D479B" w:rsidRDefault="008D479B" w:rsidP="008D479B">
      <w:pPr>
        <w:pStyle w:val="TextoNormalCentrado"/>
        <w:keepNext/>
      </w:pPr>
      <w:r>
        <w:t>FALLO</w:t>
      </w:r>
    </w:p>
    <w:p w14:paraId="4F9B081A" w14:textId="0992A1E5" w:rsidR="008D479B" w:rsidRDefault="008D479B" w:rsidP="008D479B">
      <w:pPr>
        <w:pStyle w:val="TextoNormalCentrado"/>
        <w:keepNext/>
      </w:pPr>
    </w:p>
    <w:p w14:paraId="42F655C8" w14:textId="2050B32B" w:rsidR="008D479B" w:rsidRDefault="008D479B" w:rsidP="008D479B">
      <w:pPr>
        <w:pStyle w:val="TextoNormal"/>
      </w:pPr>
      <w:r>
        <w:t>En atención a todo lo expuesto, el Tribunal Constitucional, por la autoridad que le confiere la Constitución de la Nación española, ha decidido desestimar el recurso de inconstitucionalidad interpuesto por más de cincuenta diputados del Grupo Parlamentario Popular en el Congreso de los Diputados contra el art. 15 y el punto 6 de la disposición final primera del Real Decreto-ley 8/2021, de 4 de mayo, por el que se adoptan medidas urgentes en el orden sanitario, social y jurisdiccional a aplicar tras la finalización del estado de alarma declarado por el Real Decreto 926/2020, de 25 de octubre, por el que se declara el estado de alarma para contener la propagación de infecciones causadas por el SARS-CoV-2.</w:t>
      </w:r>
    </w:p>
    <w:p w14:paraId="4C060A39" w14:textId="77777777" w:rsidR="008D479B" w:rsidRDefault="008D479B" w:rsidP="008D479B">
      <w:pPr>
        <w:pStyle w:val="TextoNormal"/>
      </w:pPr>
    </w:p>
    <w:p w14:paraId="484AEC2B" w14:textId="77777777" w:rsidR="008D479B" w:rsidRDefault="008D479B" w:rsidP="008D479B">
      <w:pPr>
        <w:pStyle w:val="TextoNormal"/>
      </w:pPr>
      <w:r>
        <w:t>Publíquese esta sentencia en el “Boletín Oficial del Estado”.</w:t>
      </w:r>
    </w:p>
    <w:p w14:paraId="7696DCEC" w14:textId="77777777" w:rsidR="008D479B" w:rsidRDefault="008D479B" w:rsidP="008D479B">
      <w:pPr>
        <w:pStyle w:val="TextoNormal"/>
      </w:pPr>
      <w:r>
        <w:t>Dada en Madrid, a veintidós de noviembre de dos mil veintitrés.</w:t>
      </w:r>
    </w:p>
    <w:p w14:paraId="4994D7C3" w14:textId="6E263A7D" w:rsidR="008D479B" w:rsidRDefault="008D479B">
      <w:pPr>
        <w:spacing w:after="160" w:line="278" w:lineRule="auto"/>
        <w:rPr>
          <w:rFonts w:ascii="Times New Roman" w:eastAsia="Times New Roman" w:hAnsi="Times New Roman" w:cs="Times New Roman"/>
          <w:sz w:val="24"/>
          <w:szCs w:val="24"/>
          <w:lang w:eastAsia="es-ES"/>
        </w:rPr>
      </w:pPr>
      <w:r>
        <w:br w:type="page"/>
      </w:r>
    </w:p>
    <w:p w14:paraId="5302828B" w14:textId="77777777" w:rsidR="008D479B" w:rsidRDefault="008D479B" w:rsidP="008D479B">
      <w:pPr>
        <w:pStyle w:val="TtuloResolucin"/>
      </w:pPr>
      <w:bookmarkStart w:id="92" w:name="SENTENCIA_2023_167"/>
      <w:r>
        <w:t>SENTENCIA 167/2023, de 22 de noviembre de 2023</w:t>
      </w:r>
    </w:p>
    <w:bookmarkEnd w:id="92"/>
    <w:p w14:paraId="4C096383" w14:textId="77777777" w:rsidR="008D479B" w:rsidRDefault="008D479B" w:rsidP="008D479B">
      <w:pPr>
        <w:pStyle w:val="TtuloResolucin"/>
      </w:pPr>
      <w:r>
        <w:t>Pleno</w:t>
      </w:r>
    </w:p>
    <w:p w14:paraId="27012C99" w14:textId="77777777" w:rsidR="008D479B" w:rsidRDefault="008D479B" w:rsidP="008D479B">
      <w:pPr>
        <w:pStyle w:val="TtuloBOE"/>
      </w:pPr>
      <w:r>
        <w:t>(BOE núm. 304, de 21 de diciembre de 2023)</w:t>
      </w:r>
    </w:p>
    <w:p w14:paraId="76C53B87" w14:textId="77777777" w:rsidR="008D479B" w:rsidRDefault="008D479B" w:rsidP="008D479B">
      <w:pPr>
        <w:pStyle w:val="TextoNormalCentrado"/>
      </w:pPr>
      <w:r>
        <w:t>ECLI:ES:TC:2023:167</w:t>
      </w:r>
    </w:p>
    <w:p w14:paraId="16394CFD" w14:textId="2F4B4C92" w:rsidR="008D479B" w:rsidRDefault="008D479B" w:rsidP="008D479B">
      <w:pPr>
        <w:pStyle w:val="TextoNormalCentrado"/>
      </w:pPr>
    </w:p>
    <w:p w14:paraId="149F3337" w14:textId="77777777" w:rsidR="008D479B" w:rsidRDefault="008D479B" w:rsidP="008D479B">
      <w:pPr>
        <w:pStyle w:val="SntesisDescriptiva"/>
      </w:pPr>
      <w:r>
        <w:t>Recurso de amparo 5657-2021. Promovido por don Javier Ignacio Maroto Aranzábal y doña Salomé Pradas Ten en relación con las resoluciones de la presidenta del Senado que declararon la nulidad de la votación de una enmienda en el Pleno de la Cámara.</w:t>
      </w:r>
    </w:p>
    <w:p w14:paraId="5CF81B98" w14:textId="35478AA9" w:rsidR="008D479B" w:rsidRDefault="008D479B" w:rsidP="008D479B">
      <w:pPr>
        <w:pStyle w:val="SntesisDescriptiva"/>
      </w:pPr>
    </w:p>
    <w:p w14:paraId="47B5ED50" w14:textId="77777777" w:rsidR="008D479B" w:rsidRDefault="008D479B" w:rsidP="008D479B">
      <w:pPr>
        <w:pStyle w:val="SntesisAnaltica"/>
      </w:pPr>
      <w:r>
        <w:t>Vulneración del derecho al ejercicio de las funciones representativas en conexión con el derecho de los ciudadanos a participar en los asuntos públicos a través de representantes: indebida aceptación del veto gubernamental a una iniciativa legislativa que no afectaba al presupuesto en vigor.</w:t>
      </w:r>
    </w:p>
    <w:p w14:paraId="05CA7EAF" w14:textId="499DD9B6" w:rsidR="008D479B" w:rsidRDefault="008D479B" w:rsidP="008D479B">
      <w:pPr>
        <w:pStyle w:val="SntesisAnaltica"/>
      </w:pPr>
    </w:p>
    <w:p w14:paraId="4E7A0E14" w14:textId="78A65449" w:rsidR="008D479B" w:rsidRDefault="008D479B" w:rsidP="008D479B">
      <w:pPr>
        <w:pStyle w:val="Extracto"/>
      </w:pPr>
      <w:r>
        <w:t>1.</w:t>
      </w:r>
      <w:r>
        <w:tab/>
        <w:t xml:space="preserve">El derecho al ejercicio del cargo representativo del art. 23.2 CE, o </w:t>
      </w:r>
      <w:r w:rsidRPr="008D479B">
        <w:rPr>
          <w:i/>
        </w:rPr>
        <w:t>ius in officium,</w:t>
      </w:r>
      <w:r>
        <w:t>, afecta a toda una serie de situaciones de los parlamentarios en las que los órganos rectores de las Cámaras deben respetar la función representativa, como facultades que permiten ejercer correctamente a los representantes populares dicha representación participando en la función legislativa (STC 119/2011) [FJ 4].</w:t>
      </w:r>
    </w:p>
    <w:p w14:paraId="309E4B68" w14:textId="77777777" w:rsidR="008D479B" w:rsidRDefault="008D479B" w:rsidP="008D479B">
      <w:pPr>
        <w:pStyle w:val="Extracto"/>
      </w:pPr>
    </w:p>
    <w:p w14:paraId="2A78887F" w14:textId="7D493839" w:rsidR="008D479B" w:rsidRDefault="008D479B" w:rsidP="008D479B">
      <w:pPr>
        <w:pStyle w:val="Extracto"/>
      </w:pPr>
      <w:r>
        <w:t>2.</w:t>
      </w:r>
      <w:r>
        <w:tab/>
        <w:t>A la Presidencia del Senado le corresponde la calificación y la decisión sobre la admisibilidad de las enmiendas en general y de las propuestas de modificación, así como decidir sobre su admisibilidad y tramitación, en relación, entre otros escritos parlamentarios, con las enmiendas a proyectos o proposiciones de ley. Dichas enmiendas deben ser congruentes con el texto enmendado (SSTC 59/2015 y 216/2015) [FJ 6].</w:t>
      </w:r>
    </w:p>
    <w:p w14:paraId="58C9DC99" w14:textId="77777777" w:rsidR="008D479B" w:rsidRDefault="008D479B" w:rsidP="008D479B">
      <w:pPr>
        <w:pStyle w:val="Extracto"/>
      </w:pPr>
    </w:p>
    <w:p w14:paraId="2A72F22E" w14:textId="1E15BEC7" w:rsidR="008D479B" w:rsidRDefault="008D479B" w:rsidP="008D479B">
      <w:pPr>
        <w:pStyle w:val="Extracto"/>
      </w:pPr>
      <w:r>
        <w:t>3.</w:t>
      </w:r>
      <w:r>
        <w:tab/>
        <w:t>El requisito de la congruencia o conexión de homogeneidad entre las enmiendas parlamentarias y el texto enmendado, exigible también a las propuestas de modificación, ha de constatarse, junto a los demás requisitos que se hayan de satisfacer, en el momento de calificar y decidir sobre su admisión y tramitación [FJ 9].</w:t>
      </w:r>
    </w:p>
    <w:p w14:paraId="38E94846" w14:textId="77777777" w:rsidR="008D479B" w:rsidRDefault="008D479B" w:rsidP="008D479B">
      <w:pPr>
        <w:pStyle w:val="Extracto"/>
      </w:pPr>
    </w:p>
    <w:p w14:paraId="0746B45A" w14:textId="0A804048" w:rsidR="008D479B" w:rsidRDefault="008D479B" w:rsidP="008D479B">
      <w:pPr>
        <w:pStyle w:val="Extracto"/>
      </w:pPr>
      <w:r>
        <w:t>4.</w:t>
      </w:r>
      <w:r>
        <w:tab/>
        <w:t>La finalidad de la facultad de veto presupuestario del art. 134.6 CE es evitar que, a través de proposiciones de ley y enmiendas, se altere el contenido de los presupuestos, impidiendo que se tramiten iniciativas que puedan suponer un aumento de los créditos o una disminución de los ingresos presupuestarios [FJ 10].</w:t>
      </w:r>
    </w:p>
    <w:p w14:paraId="1FCE6343" w14:textId="77777777" w:rsidR="008D479B" w:rsidRDefault="008D479B" w:rsidP="008D479B">
      <w:pPr>
        <w:pStyle w:val="Extracto"/>
      </w:pPr>
    </w:p>
    <w:p w14:paraId="0C84CF37" w14:textId="5E0E2A4D" w:rsidR="008D479B" w:rsidRDefault="008D479B" w:rsidP="008D479B">
      <w:pPr>
        <w:pStyle w:val="Extracto"/>
      </w:pPr>
      <w:r>
        <w:t>5.</w:t>
      </w:r>
      <w:r>
        <w:tab/>
        <w:t>No deben resultar modificados por iniciativas parlamentarias las incidencias en los créditos o ingresos presupuestados, salvo que cuenten con la conformidad del Gobierno (STC 44/2018) [FJ 10].</w:t>
      </w:r>
    </w:p>
    <w:p w14:paraId="3598D136" w14:textId="77777777" w:rsidR="008D479B" w:rsidRDefault="008D479B" w:rsidP="008D479B">
      <w:pPr>
        <w:pStyle w:val="Extracto"/>
      </w:pPr>
    </w:p>
    <w:p w14:paraId="60ACC3FF" w14:textId="5EE80406" w:rsidR="008D479B" w:rsidRDefault="008D479B" w:rsidP="008D479B">
      <w:pPr>
        <w:pStyle w:val="Extracto"/>
      </w:pPr>
      <w:r>
        <w:t>6.</w:t>
      </w:r>
      <w:r>
        <w:tab/>
        <w:t>El ámbito temporal del ejercicio de la facultad gubernamental de veto presupuestario se delimita a los presupuestos en vigor [FJ 10].</w:t>
      </w:r>
    </w:p>
    <w:p w14:paraId="449FF601" w14:textId="77777777" w:rsidR="008D479B" w:rsidRDefault="008D479B" w:rsidP="008D479B">
      <w:pPr>
        <w:pStyle w:val="Extracto"/>
      </w:pPr>
    </w:p>
    <w:p w14:paraId="636AE6E3" w14:textId="77777777" w:rsidR="008D479B" w:rsidRDefault="008D479B" w:rsidP="008D479B">
      <w:pPr>
        <w:pStyle w:val="Extracto"/>
      </w:pPr>
    </w:p>
    <w:p w14:paraId="4CA81C61" w14:textId="77777777" w:rsidR="008D479B" w:rsidRDefault="008D479B" w:rsidP="008D479B">
      <w:pPr>
        <w:pStyle w:val="TextoNormal"/>
      </w:pPr>
      <w: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 ha pronunciado</w:t>
      </w:r>
    </w:p>
    <w:p w14:paraId="04CFBE03" w14:textId="4ADE4920" w:rsidR="008D479B" w:rsidRDefault="008D479B" w:rsidP="008D479B">
      <w:pPr>
        <w:pStyle w:val="TextoNormal"/>
      </w:pPr>
    </w:p>
    <w:p w14:paraId="4B55C0D4" w14:textId="77777777" w:rsidR="008D479B" w:rsidRDefault="008D479B" w:rsidP="008D479B">
      <w:pPr>
        <w:pStyle w:val="TextoNormalCentrado"/>
        <w:keepNext/>
      </w:pPr>
      <w:r>
        <w:t>EN NOMBRE DEL REY</w:t>
      </w:r>
    </w:p>
    <w:p w14:paraId="32F6B17B" w14:textId="3D0386C3" w:rsidR="008D479B" w:rsidRDefault="008D479B" w:rsidP="008D479B">
      <w:pPr>
        <w:pStyle w:val="TextoNormalCentrado"/>
        <w:keepNext/>
      </w:pPr>
    </w:p>
    <w:p w14:paraId="4FC81F46" w14:textId="77777777" w:rsidR="008D479B" w:rsidRDefault="008D479B" w:rsidP="008D479B">
      <w:pPr>
        <w:pStyle w:val="TextoNormalCentrado"/>
        <w:keepNext/>
      </w:pPr>
    </w:p>
    <w:p w14:paraId="68C38D99" w14:textId="77777777" w:rsidR="008D479B" w:rsidRDefault="008D479B" w:rsidP="008D479B">
      <w:pPr>
        <w:pStyle w:val="TextoNormal"/>
      </w:pPr>
      <w:r>
        <w:t>la siguiente</w:t>
      </w:r>
    </w:p>
    <w:p w14:paraId="6C4FB98B" w14:textId="498E0786" w:rsidR="008D479B" w:rsidRDefault="008D479B" w:rsidP="008D479B">
      <w:pPr>
        <w:pStyle w:val="TextoNormal"/>
      </w:pPr>
    </w:p>
    <w:p w14:paraId="317AFF80" w14:textId="77777777" w:rsidR="008D479B" w:rsidRDefault="008D479B" w:rsidP="008D479B">
      <w:pPr>
        <w:pStyle w:val="TextoNormalCentrado"/>
        <w:keepNext/>
      </w:pPr>
      <w:r>
        <w:t>SENTENCIA</w:t>
      </w:r>
    </w:p>
    <w:p w14:paraId="29507E2C" w14:textId="10052C23" w:rsidR="008D479B" w:rsidRDefault="008D479B" w:rsidP="008D479B">
      <w:pPr>
        <w:pStyle w:val="TextoNormalCentrado"/>
        <w:keepNext/>
      </w:pPr>
    </w:p>
    <w:p w14:paraId="350BEAAF" w14:textId="77777777" w:rsidR="008D479B" w:rsidRDefault="008D479B" w:rsidP="008D479B">
      <w:pPr>
        <w:pStyle w:val="TextoNormal"/>
      </w:pPr>
      <w:r>
        <w:t>En el recurso de amparo núm. 5657-2021, promovido por don Javier Ignacio Maroto Aranzábal y doña Salomé Pradas Ten, miembros ambos y, además, portavoz el primero del Grupo Parlamentario Popular en el Senado, representados por el procurador de los tribunales don Manuel Sánchez-Puelles y González Carvajal y asistidos por el letrado don Alberto Durán Ruiz de Huidobro, contra (i) la resolución de la presidenta del Senado de 25 de junio de 2021 por la que se decidió: “1. Estimar las solicitudes de resolución de la controversia formuladas por el Gobierno y el Grupo Parlamentario Socialista en virtud de lo dispuesto en el artículo 151.5 del Reglamento del Senado; 2. Declarar la nulidad de la votación en el Pleno de la propuesta de modificación con número de registro de entrada 103.309; 3. Ordenar, en consecuencia, la no inclusión de dicha enmienda en el mensaje motivado que el Senado debe remitir al Congreso de los Diputados en virtud de lo dispuesto en los artículos 90.2 de la Constitución y 106.1 del Reglamento de la Cámara; 4. Dar traslado de la presente resolución al Gobierno, a los grupos parlamentarios de la Cámara y a la Secretaria General del Senado” (“BOCG”, Senado, XIV Legislatura, núm. 120, de 1 de julio de 2021); y (ii) contra la resolución de la presidenta del Senado de 30 de junio de 2021 que desestimó la solicitud de reconsideración formulada por el Grupo Parlamentario Popular frente a la citada resolución de 25 de junio de 2021. Han comparecido y formulado alegaciones el Senado, representado por la letrada de las Cortes Generales, y el Ministerio Fiscal. Ha sido ponente el magistrado don Juan Carlos Campo Moreno.</w:t>
      </w:r>
    </w:p>
    <w:p w14:paraId="6D48D1F0" w14:textId="4599B6F0" w:rsidR="008D479B" w:rsidRDefault="008D479B" w:rsidP="008D479B">
      <w:pPr>
        <w:pStyle w:val="TextoNormal"/>
      </w:pPr>
    </w:p>
    <w:p w14:paraId="6C2286F8" w14:textId="77777777" w:rsidR="008D479B" w:rsidRDefault="008D479B" w:rsidP="008D479B">
      <w:pPr>
        <w:pStyle w:val="TextoNormalNegritaCentrado"/>
        <w:keepNext/>
      </w:pPr>
      <w:r>
        <w:t>I. Antecedentes</w:t>
      </w:r>
    </w:p>
    <w:p w14:paraId="482D7903" w14:textId="138839EA" w:rsidR="008D479B" w:rsidRDefault="008D479B" w:rsidP="008D479B">
      <w:pPr>
        <w:pStyle w:val="TextoNormalNegritaCentrado"/>
        <w:keepNext/>
      </w:pPr>
    </w:p>
    <w:p w14:paraId="5A7EA322" w14:textId="4E13848C" w:rsidR="008D479B" w:rsidRDefault="008D479B" w:rsidP="008D479B">
      <w:pPr>
        <w:pStyle w:val="TextoNormal"/>
      </w:pPr>
      <w:r w:rsidRPr="008D479B">
        <w:rPr>
          <w:rStyle w:val="NumeroAFNegritaCaracter"/>
        </w:rPr>
        <w:t>1</w:t>
      </w:r>
      <w:r>
        <w:t>. Mediante escrito presentado en el registro general de este tribunal el día 7 de septiembre de 2021, don Manuel Sánchez-Puelles González-Carvajal, procurador de los tribunales, en nombre y representación de don Javier Ignacio Maroto Aranzábal y doña Salomé Pradas Ten, miembros ambos y, además, portavoz el primero del Grupo Parlamentario Popular en el Senado, interpusieron recurso de amparo contra las resoluciones de la presidenta del Senado a las que se ha hecho mención en el encabezamiento de esta sentencia.</w:t>
      </w:r>
    </w:p>
    <w:p w14:paraId="311465A5" w14:textId="77777777" w:rsidR="008D479B" w:rsidRDefault="008D479B" w:rsidP="008D479B">
      <w:pPr>
        <w:pStyle w:val="TextoNormal"/>
      </w:pPr>
    </w:p>
    <w:p w14:paraId="505BE448" w14:textId="77777777" w:rsidR="008D479B" w:rsidRDefault="008D479B" w:rsidP="008D479B">
      <w:pPr>
        <w:pStyle w:val="TextoNormal"/>
      </w:pPr>
      <w:r w:rsidRPr="008D479B">
        <w:rPr>
          <w:rStyle w:val="NumeroAFNegritaCaracter"/>
        </w:rPr>
        <w:t>2</w:t>
      </w:r>
      <w:r>
        <w:t>. Los hechos relevantes en los que se fundamenta la demanda de amparo son, sucintamente expuestos, los siguientes:</w:t>
      </w:r>
    </w:p>
    <w:p w14:paraId="7FDCEA29" w14:textId="77777777" w:rsidR="008D479B" w:rsidRDefault="008D479B" w:rsidP="008D479B">
      <w:pPr>
        <w:pStyle w:val="TextoNormal"/>
      </w:pPr>
    </w:p>
    <w:p w14:paraId="6F634F88" w14:textId="77777777" w:rsidR="008D479B" w:rsidRDefault="008D479B" w:rsidP="008D479B">
      <w:pPr>
        <w:pStyle w:val="TextoNormal"/>
      </w:pPr>
      <w:r>
        <w:t>a) Durante el plazo de presentación de propuestas de veto y de enmiendas al proyecto de ley de medidas de prevención y lucha contra el fraude fiscal, de transposición de la Directiva (UE) 2016/1164, del Consejo, de 12 de julio de 2016, por la que se establecen normas contra las prácticas de elusión fiscal que inciden directamente en el funcionamiento del mercado interior, de modificación de diversas normas tributarias y en materia de regulación del juego (en adelante, proyecto de ley de medidas contra el fraude fiscal), el Grupo Parlamentario Popular en el Senado, al amparo de lo previsto en el artículo 107 del Reglamento de la Cámara (RS), presentó la enmienda de adición núm. 147, con el siguiente texto:</w:t>
      </w:r>
    </w:p>
    <w:p w14:paraId="1F729364" w14:textId="77777777" w:rsidR="008D479B" w:rsidRDefault="008D479B" w:rsidP="008D479B">
      <w:pPr>
        <w:pStyle w:val="TextoNormal"/>
      </w:pPr>
    </w:p>
    <w:p w14:paraId="0606BF1F" w14:textId="77777777" w:rsidR="008D479B" w:rsidRDefault="008D479B" w:rsidP="008D479B">
      <w:pPr>
        <w:pStyle w:val="TextoNormal"/>
      </w:pPr>
      <w:r>
        <w:t>“Artículo octavo. Apartado 4 (nuevo)</w:t>
      </w:r>
    </w:p>
    <w:p w14:paraId="3C02E5C1" w14:textId="77777777" w:rsidR="008D479B" w:rsidRDefault="008D479B" w:rsidP="008D479B">
      <w:pPr>
        <w:pStyle w:val="TextoNormal"/>
      </w:pPr>
    </w:p>
    <w:p w14:paraId="47467395" w14:textId="77777777" w:rsidR="008D479B" w:rsidRDefault="008D479B" w:rsidP="008D479B">
      <w:pPr>
        <w:pStyle w:val="TextoNormal"/>
      </w:pPr>
      <w:r>
        <w:t>Modificación de la Ley 37/1992, de 28 de diciembre, del impuesto sobre el valor añadido.</w:t>
      </w:r>
    </w:p>
    <w:p w14:paraId="75D60027" w14:textId="77777777" w:rsidR="008D479B" w:rsidRDefault="008D479B" w:rsidP="008D479B">
      <w:pPr>
        <w:pStyle w:val="TextoNormal"/>
      </w:pPr>
    </w:p>
    <w:p w14:paraId="279ED8D3" w14:textId="77777777" w:rsidR="008D479B" w:rsidRDefault="008D479B" w:rsidP="008D479B">
      <w:pPr>
        <w:pStyle w:val="TextoNormal"/>
      </w:pPr>
      <w:r>
        <w:t>Con efectos desde la entrada en vigor de la ley y vigencia indefinida se modifica el apartado Uno, punto 2 del artículo 91 de la Ley 37/1992, de 28 de diciembre, del impuesto sobre el valor añadido, añadiendo un número 14 con la siguiente redacción:</w:t>
      </w:r>
    </w:p>
    <w:p w14:paraId="18675B93" w14:textId="77777777" w:rsidR="008D479B" w:rsidRDefault="008D479B" w:rsidP="008D479B">
      <w:pPr>
        <w:pStyle w:val="TextoNormal"/>
      </w:pPr>
    </w:p>
    <w:p w14:paraId="7E3E660F" w14:textId="77777777" w:rsidR="008D479B" w:rsidRDefault="008D479B" w:rsidP="008D479B">
      <w:pPr>
        <w:pStyle w:val="TextoNormal"/>
      </w:pPr>
      <w:r>
        <w:t>14. Los servicios de peluquería, barbería y estética.</w:t>
      </w:r>
    </w:p>
    <w:p w14:paraId="7A4DB454" w14:textId="77777777" w:rsidR="008D479B" w:rsidRDefault="008D479B" w:rsidP="008D479B">
      <w:pPr>
        <w:pStyle w:val="TextoNormal"/>
      </w:pPr>
    </w:p>
    <w:p w14:paraId="57190F9C" w14:textId="77777777" w:rsidR="008D479B" w:rsidRDefault="008D479B" w:rsidP="008D479B">
      <w:pPr>
        <w:pStyle w:val="TextoNormal"/>
      </w:pPr>
      <w:r>
        <w:t>Justificación</w:t>
      </w:r>
    </w:p>
    <w:p w14:paraId="6EECA67F" w14:textId="77777777" w:rsidR="008D479B" w:rsidRDefault="008D479B" w:rsidP="008D479B">
      <w:pPr>
        <w:pStyle w:val="TextoNormal"/>
      </w:pPr>
    </w:p>
    <w:p w14:paraId="60DE9614" w14:textId="77777777" w:rsidR="008D479B" w:rsidRDefault="008D479B" w:rsidP="008D479B">
      <w:pPr>
        <w:pStyle w:val="TextoNormal"/>
      </w:pPr>
      <w:r>
        <w:t>En el marco de una reforma fiscal justa y progresiva, es prudente que uno de los servicios más castigados por la pandemia como ha sido el colectivo de profesionales que prestan servicios de peluquería, barbería y estética, constituido fundamentalmente por empleo femenino, y cuyos servicios han sido ampliamente demandados por la ciudadanía hasta el punto de ser declarados esenciales durante el confinamiento, cuenten con una fiscalidad que contribuya a dos objetivos. Por un lado, a hacer económicamente viable su negocio, y, por otro, a que sirva para eliminar bolsas de fraude. Según datos aportados por el propio sector en los últimos años se ha producido un incremento de la economía sumergida e intrusismo que estiman que pueda alcanzar hasta el 20 por 100 de la facturación.</w:t>
      </w:r>
    </w:p>
    <w:p w14:paraId="1B674BFF" w14:textId="77777777" w:rsidR="008D479B" w:rsidRDefault="008D479B" w:rsidP="008D479B">
      <w:pPr>
        <w:pStyle w:val="TextoNormal"/>
      </w:pPr>
    </w:p>
    <w:p w14:paraId="51D8AFAD" w14:textId="77777777" w:rsidR="008D479B" w:rsidRDefault="008D479B" w:rsidP="008D479B">
      <w:pPr>
        <w:pStyle w:val="TextoNormal"/>
      </w:pPr>
      <w:r>
        <w:t>Han sido 10 464 salones de peluquería y estética los que han bajado su persiana para siempre, dejando a más de 52 000 personas sin trabajo. Se trata de la desaparición del 21,8 por 100 del sector de la imagen personal y del 48,1 por 100 de los empleados que de él dependían.</w:t>
      </w:r>
    </w:p>
    <w:p w14:paraId="063AAF05" w14:textId="77777777" w:rsidR="008D479B" w:rsidRDefault="008D479B" w:rsidP="008D479B">
      <w:pPr>
        <w:pStyle w:val="TextoNormal"/>
      </w:pPr>
    </w:p>
    <w:p w14:paraId="3DEDB690" w14:textId="77777777" w:rsidR="008D479B" w:rsidRDefault="008D479B" w:rsidP="008D479B">
      <w:pPr>
        <w:pStyle w:val="TextoNormal"/>
      </w:pPr>
      <w:r>
        <w:t>Por tanto, y con pleno respeto a la Directiva 2006/112/CE y de sus sucesivas modificaciones, que contienen el marco común armonizado de la normativa del impuesto sobre el valor añadido (IVA), se propone aplicar un IVA del 10 por 100 a estos servicios, tal y como aprobó la Comisión de Hacienda del Senado en su sesión de 25 de marzo de 2021, respecto de la moción suscrita por el Grupo Parlamentario Popular”.</w:t>
      </w:r>
    </w:p>
    <w:p w14:paraId="7AF07116" w14:textId="77777777" w:rsidR="008D479B" w:rsidRDefault="008D479B" w:rsidP="008D479B">
      <w:pPr>
        <w:pStyle w:val="TextoNormal"/>
      </w:pPr>
    </w:p>
    <w:p w14:paraId="0A884FE8" w14:textId="77777777" w:rsidR="008D479B" w:rsidRDefault="008D479B" w:rsidP="008D479B">
      <w:pPr>
        <w:pStyle w:val="TextoNormal"/>
      </w:pPr>
      <w:r>
        <w:t>b) El secretario de Estado de Relaciones con las Cortes Generales y Asuntos Constitucionales, en escrito dirigido a la presidenta del Senado, registrado en fecha 16 de junio de 2021, dio traslado del criterio del Gobierno, en el sentido de que “la aprobación de esta enmienda supondría una disminución de los ingresos presupuestarios”, por lo que no prestaba “la conformidad para su tramitación en virtud de lo establecido en el artículo 134.6 de la Constitución y conforme a lo dispuesto en el artículo 151 del Reglamento del Senado”.</w:t>
      </w:r>
    </w:p>
    <w:p w14:paraId="5E90AFFA" w14:textId="77777777" w:rsidR="008D479B" w:rsidRDefault="008D479B" w:rsidP="008D479B">
      <w:pPr>
        <w:pStyle w:val="TextoNormal"/>
      </w:pPr>
    </w:p>
    <w:p w14:paraId="08F9550A" w14:textId="77777777" w:rsidR="008D479B" w:rsidRDefault="008D479B" w:rsidP="008D479B">
      <w:pPr>
        <w:pStyle w:val="TextoNormal"/>
      </w:pPr>
      <w:r>
        <w:t>En el escrito se precisaban la aplicación presupuestaria afectada por la enmienda y el importe de su impacto presupuestario.</w:t>
      </w:r>
    </w:p>
    <w:p w14:paraId="17F3C974" w14:textId="77777777" w:rsidR="008D479B" w:rsidRDefault="008D479B" w:rsidP="008D479B">
      <w:pPr>
        <w:pStyle w:val="TextoNormal"/>
      </w:pPr>
    </w:p>
    <w:p w14:paraId="445D6DD0" w14:textId="77777777" w:rsidR="008D479B" w:rsidRDefault="008D479B" w:rsidP="008D479B">
      <w:pPr>
        <w:pStyle w:val="TextoNormal"/>
      </w:pPr>
      <w:r>
        <w:t>c) La presidenta del Senado acordó en fecha 16 de junio de 2021 dar traslado a la Comisión de Hacienda, al Grupo Parlamentario Popular, a la Dirección de Comisiones de la Secretaría General y publicar en el “Boletín Oficial de las Cortes Generales” y en la página web de la Cámara la manifestación de disconformidad del Gobierno respecto a la tramitación de la enmienda núm. 147 presentada por el Grupo Parlamentario Popular al proyecto de ley de medidas contra el fraude fiscal (“BOCG”, Senado, XIV Legislatura, núm. 205, de 22 de junio de 2021).</w:t>
      </w:r>
    </w:p>
    <w:p w14:paraId="7A1684D5" w14:textId="77777777" w:rsidR="008D479B" w:rsidRDefault="008D479B" w:rsidP="008D479B">
      <w:pPr>
        <w:pStyle w:val="TextoNormal"/>
      </w:pPr>
    </w:p>
    <w:p w14:paraId="15DC72CB" w14:textId="77777777" w:rsidR="008D479B" w:rsidRDefault="008D479B" w:rsidP="008D479B">
      <w:pPr>
        <w:pStyle w:val="TextoNormal"/>
      </w:pPr>
      <w:r>
        <w:t>d) El portavoz del Grupo Parlamentario Popular, en fecha 17 de junio de 2021, solicitó la reconsideración de la “inadmisión” de la citada enmienda, que la mesa del Senado, por resolución de 22 de junio de 2021, acordó no admitir a trámite, “ya que no cabe reconsideración sobre el acuerdo de la Presidencia del Senado del día 16 de junio de 2021”.</w:t>
      </w:r>
    </w:p>
    <w:p w14:paraId="58FADCFB" w14:textId="77777777" w:rsidR="008D479B" w:rsidRDefault="008D479B" w:rsidP="008D479B">
      <w:pPr>
        <w:pStyle w:val="TextoNormal"/>
      </w:pPr>
    </w:p>
    <w:p w14:paraId="77AFBD97" w14:textId="77777777" w:rsidR="008D479B" w:rsidRDefault="008D479B" w:rsidP="008D479B">
      <w:pPr>
        <w:pStyle w:val="TextoNormal"/>
      </w:pPr>
      <w:r>
        <w:t>e) El día 23 de junio de 2021, antes del inicio del debate en sesión plenaria del dictamen de la Comisión de Hacienda sobre el proyecto de ley de medidas contra el fraude fiscal, todos los grupos parlamentarios, a excepción del socialista, al amparo de lo dispuesto en el art. 125 RS, presentaron una propuesta de modificación (registrada con el núm. 103.309) sobre la base de la enmienda núm. 27 del Grupo Parlamentario Izquierda Confederal, del siguiente tenor:</w:t>
      </w:r>
    </w:p>
    <w:p w14:paraId="7A851478" w14:textId="77777777" w:rsidR="008D479B" w:rsidRDefault="008D479B" w:rsidP="008D479B">
      <w:pPr>
        <w:pStyle w:val="TextoNormal"/>
      </w:pPr>
    </w:p>
    <w:p w14:paraId="6456AEAC" w14:textId="77777777" w:rsidR="008D479B" w:rsidRDefault="008D479B" w:rsidP="008D479B">
      <w:pPr>
        <w:pStyle w:val="TextoNormal"/>
      </w:pPr>
      <w:r>
        <w:t>“Artículo octavo. Modificación de la Ley 37/1992, de 28 de diciembre, del impuesto sobre el valor añadido:</w:t>
      </w:r>
    </w:p>
    <w:p w14:paraId="4ED8A3A1" w14:textId="77777777" w:rsidR="008D479B" w:rsidRDefault="008D479B" w:rsidP="008D479B">
      <w:pPr>
        <w:pStyle w:val="TextoNormal"/>
      </w:pPr>
    </w:p>
    <w:p w14:paraId="6D5A8F6C" w14:textId="77777777" w:rsidR="008D479B" w:rsidRDefault="008D479B" w:rsidP="008D479B">
      <w:pPr>
        <w:pStyle w:val="TextoNormal"/>
      </w:pPr>
      <w:r>
        <w:t xml:space="preserve">Se introducen dos apartados Uno </w:t>
      </w:r>
      <w:r w:rsidRPr="008D479B">
        <w:rPr>
          <w:i/>
        </w:rPr>
        <w:t>bis</w:t>
      </w:r>
      <w:r>
        <w:t xml:space="preserve"> y Uno </w:t>
      </w:r>
      <w:r w:rsidRPr="008D479B">
        <w:rPr>
          <w:i/>
        </w:rPr>
        <w:t>ter</w:t>
      </w:r>
      <w:r>
        <w:t xml:space="preserve"> con la siguiente redacción:</w:t>
      </w:r>
    </w:p>
    <w:p w14:paraId="30314D86" w14:textId="77777777" w:rsidR="008D479B" w:rsidRDefault="008D479B" w:rsidP="008D479B">
      <w:pPr>
        <w:pStyle w:val="TextoNormal"/>
      </w:pPr>
    </w:p>
    <w:p w14:paraId="09080A58" w14:textId="77777777" w:rsidR="008D479B" w:rsidRDefault="008D479B" w:rsidP="008D479B">
      <w:pPr>
        <w:pStyle w:val="TextoNormal"/>
      </w:pPr>
      <w:r>
        <w:t xml:space="preserve">Uno </w:t>
      </w:r>
      <w:r w:rsidRPr="008D479B">
        <w:rPr>
          <w:i/>
        </w:rPr>
        <w:t>bis</w:t>
      </w:r>
      <w:r>
        <w:t>. Se modifica el número 4 del apartado Dos del art. 122 quedando redactado de la siguiente forma:</w:t>
      </w:r>
    </w:p>
    <w:p w14:paraId="4A841A15" w14:textId="77777777" w:rsidR="008D479B" w:rsidRDefault="008D479B" w:rsidP="008D479B">
      <w:pPr>
        <w:pStyle w:val="TextoNormal"/>
      </w:pPr>
    </w:p>
    <w:p w14:paraId="13C64C61" w14:textId="77777777" w:rsidR="008D479B" w:rsidRDefault="008D479B" w:rsidP="008D479B">
      <w:pPr>
        <w:pStyle w:val="TextoNormal"/>
      </w:pPr>
      <w:r>
        <w:t>Artículo 122. Régimen simplificado.</w:t>
      </w:r>
    </w:p>
    <w:p w14:paraId="1FEDD437" w14:textId="77777777" w:rsidR="008D479B" w:rsidRDefault="008D479B" w:rsidP="008D479B">
      <w:pPr>
        <w:pStyle w:val="TextoNormal"/>
      </w:pPr>
    </w:p>
    <w:p w14:paraId="62EA2237" w14:textId="77777777" w:rsidR="008D479B" w:rsidRDefault="008D479B" w:rsidP="008D479B">
      <w:pPr>
        <w:pStyle w:val="TextoNormal"/>
      </w:pPr>
      <w:r>
        <w:t>Dos. Quedarán excluidos del régimen simplificado:</w:t>
      </w:r>
    </w:p>
    <w:p w14:paraId="77A6FD05" w14:textId="77777777" w:rsidR="008D479B" w:rsidRDefault="008D479B" w:rsidP="008D479B">
      <w:pPr>
        <w:pStyle w:val="TextoNormal"/>
      </w:pPr>
    </w:p>
    <w:p w14:paraId="759A8BC5" w14:textId="77777777" w:rsidR="008D479B" w:rsidRDefault="008D479B" w:rsidP="008D479B">
      <w:pPr>
        <w:pStyle w:val="TextoNormal"/>
      </w:pPr>
      <w:r>
        <w:t>[…]</w:t>
      </w:r>
    </w:p>
    <w:p w14:paraId="6C17797B" w14:textId="77777777" w:rsidR="008D479B" w:rsidRDefault="008D479B" w:rsidP="008D479B">
      <w:pPr>
        <w:pStyle w:val="TextoNormal"/>
      </w:pPr>
    </w:p>
    <w:p w14:paraId="09472376" w14:textId="77777777" w:rsidR="008D479B" w:rsidRDefault="008D479B" w:rsidP="008D479B">
      <w:pPr>
        <w:pStyle w:val="TextoNormal"/>
      </w:pPr>
      <w:r>
        <w:t>4. Los empresarios o profesionales que renuncien o hubiesen quedado excluidos de la aplicación del régimen de estimación objetiva del impuesto sobre la renta de las personas físicas por cualquiera de sus actividades, salvo en los casos de las excepciones contempladas en la legislación especial con motivo de la covid-19.</w:t>
      </w:r>
    </w:p>
    <w:p w14:paraId="6124E4DD" w14:textId="77777777" w:rsidR="008D479B" w:rsidRDefault="008D479B" w:rsidP="008D479B">
      <w:pPr>
        <w:pStyle w:val="TextoNormal"/>
      </w:pPr>
    </w:p>
    <w:p w14:paraId="70800403" w14:textId="77777777" w:rsidR="008D479B" w:rsidRDefault="008D479B" w:rsidP="008D479B">
      <w:pPr>
        <w:pStyle w:val="TextoNormal"/>
      </w:pPr>
      <w:r>
        <w:t xml:space="preserve">Uno </w:t>
      </w:r>
      <w:r w:rsidRPr="008D479B">
        <w:rPr>
          <w:i/>
        </w:rPr>
        <w:t>ter</w:t>
      </w:r>
      <w:r>
        <w:t>. Se modifica el apartado Uno punto 2 del artículo 91 añadiendo un número 14 con la siguiente redacción:</w:t>
      </w:r>
    </w:p>
    <w:p w14:paraId="3FF74BD7" w14:textId="77777777" w:rsidR="008D479B" w:rsidRDefault="008D479B" w:rsidP="008D479B">
      <w:pPr>
        <w:pStyle w:val="TextoNormal"/>
      </w:pPr>
    </w:p>
    <w:p w14:paraId="76E4F119" w14:textId="77777777" w:rsidR="008D479B" w:rsidRDefault="008D479B" w:rsidP="008D479B">
      <w:pPr>
        <w:pStyle w:val="TextoNormal"/>
      </w:pPr>
      <w:r>
        <w:t>Con efectos a partir del 1 de enero de 2022 y vigencia indefinida, se modifica el apartado Uno. punto 2 del artículo 91 añadiendo un número 14.</w:t>
      </w:r>
    </w:p>
    <w:p w14:paraId="195DF37A" w14:textId="77777777" w:rsidR="008D479B" w:rsidRDefault="008D479B" w:rsidP="008D479B">
      <w:pPr>
        <w:pStyle w:val="TextoNormal"/>
      </w:pPr>
    </w:p>
    <w:p w14:paraId="275FC9AA" w14:textId="77777777" w:rsidR="008D479B" w:rsidRDefault="008D479B" w:rsidP="008D479B">
      <w:pPr>
        <w:pStyle w:val="TextoNormal"/>
      </w:pPr>
      <w:r>
        <w:t>14. Los servicios de peluquería, barbería y estética”.</w:t>
      </w:r>
    </w:p>
    <w:p w14:paraId="3F3E2B4D" w14:textId="77777777" w:rsidR="008D479B" w:rsidRDefault="008D479B" w:rsidP="008D479B">
      <w:pPr>
        <w:pStyle w:val="TextoNormal"/>
      </w:pPr>
    </w:p>
    <w:p w14:paraId="33C7CC6A" w14:textId="77777777" w:rsidR="008D479B" w:rsidRDefault="008D479B" w:rsidP="008D479B">
      <w:pPr>
        <w:pStyle w:val="TextoNormal"/>
      </w:pPr>
      <w:r>
        <w:t>f) La presidenta del Senado comunicó verbalmente al Pleno durante la celebración de la sesión la inadmisión de la propuesta de modificación por no guardar la debida congruencia con la enmienda núm. 27 sobre la que se articula, como exige el art. 125 a) RS.</w:t>
      </w:r>
    </w:p>
    <w:p w14:paraId="154CA740" w14:textId="77777777" w:rsidR="008D479B" w:rsidRDefault="008D479B" w:rsidP="008D479B">
      <w:pPr>
        <w:pStyle w:val="TextoNormal"/>
      </w:pPr>
    </w:p>
    <w:p w14:paraId="40CAA1B2" w14:textId="77777777" w:rsidR="008D479B" w:rsidRDefault="008D479B" w:rsidP="008D479B">
      <w:pPr>
        <w:pStyle w:val="TextoNormal"/>
      </w:pPr>
      <w:r>
        <w:t>La presidenta de la Cámara motivó su decisión, por lo que respecta a dicha propuesta de modificación, en los siguientes términos:</w:t>
      </w:r>
    </w:p>
    <w:p w14:paraId="6BB47049" w14:textId="77777777" w:rsidR="008D479B" w:rsidRDefault="008D479B" w:rsidP="008D479B">
      <w:pPr>
        <w:pStyle w:val="TextoNormal"/>
      </w:pPr>
    </w:p>
    <w:p w14:paraId="3E8A5973" w14:textId="77777777" w:rsidR="008D479B" w:rsidRDefault="008D479B" w:rsidP="008D479B">
      <w:pPr>
        <w:pStyle w:val="TextoNormal"/>
      </w:pPr>
      <w:r>
        <w:t>“En el caso de la propuesta de modificación 103.309, la enmienda que la sustentaría, la número 27, del Grupo Parlamentario de Izquierda Confederal, se refiere al régimen simplificado del impuesto sobre el valor añadido que se regula en el capítulo segundo, título décimo, de la ley reguladora de dicho impuesto que se rubrica como regímenes especiales. Sin embargo, la modificación que se contiene en la propuesta tiene un objeto y justificación distintos, ya que se refiere a los tipos impositivos reducidos del impuesto sobre el valor añadido contenidos en el título séptimo de la citada ley y rubricado como el tipo impositivo. De ahí su incongruencia” (Cortes Generales, “Diario de Sesiones del Senado”, XIV Legislatura, núm. 58, de 23 de junio de 2021, pág. 205).</w:t>
      </w:r>
    </w:p>
    <w:p w14:paraId="0E26A7DF" w14:textId="77777777" w:rsidR="008D479B" w:rsidRDefault="008D479B" w:rsidP="008D479B">
      <w:pPr>
        <w:pStyle w:val="TextoNormal"/>
      </w:pPr>
    </w:p>
    <w:p w14:paraId="48764958" w14:textId="77777777" w:rsidR="008D479B" w:rsidRDefault="008D479B" w:rsidP="008D479B">
      <w:pPr>
        <w:pStyle w:val="TextoNormal"/>
      </w:pPr>
      <w:r>
        <w:t xml:space="preserve">g) El portavoz del Grupo Parlamentario Popular solicitó </w:t>
      </w:r>
      <w:r w:rsidRPr="008D479B">
        <w:rPr>
          <w:i/>
        </w:rPr>
        <w:t>in voce</w:t>
      </w:r>
      <w:r>
        <w:t xml:space="preserve"> en la sesión plenaria la reconsideración de la inadmisión de la propuesta de modificación, así como que no se procediera a su votación hasta que “la mesa de la Cámara pu[diera] estudiar el escrito en el que inmediatamente […] y conocida públicamente la decisión de la Presidencia, nuestro grupo va a solicitar a la mesa de la Cámara la reconsideración de la inadmisión” (Cortes Generales, “Diario de Sesiones del Senado”, XIV Legislatura, núm. 58, de 23 de junio de 2021, pág. 205).</w:t>
      </w:r>
    </w:p>
    <w:p w14:paraId="03CF0971" w14:textId="77777777" w:rsidR="008D479B" w:rsidRDefault="008D479B" w:rsidP="008D479B">
      <w:pPr>
        <w:pStyle w:val="TextoNormal"/>
      </w:pPr>
    </w:p>
    <w:p w14:paraId="6D2CB1CC" w14:textId="77777777" w:rsidR="008D479B" w:rsidRDefault="008D479B" w:rsidP="008D479B">
      <w:pPr>
        <w:pStyle w:val="TextoNormal"/>
      </w:pPr>
      <w:r>
        <w:t>h) La presidenta del Senado suspendió la sesión y convocó a la mesa, disponiendo la reanudación de aquella “en cuanto se haya tomado la decisión sobre la reconsideración acerca de la decisión de la inadmisión de las enmiendas por parte de esta Presidencia” (Cortes Generales, “Diario de Sesiones del Senado”, XIV Legislatura, núm. 58, de 23 de junio de 2021, pág. 206).</w:t>
      </w:r>
    </w:p>
    <w:p w14:paraId="3451D4C8" w14:textId="77777777" w:rsidR="008D479B" w:rsidRDefault="008D479B" w:rsidP="008D479B">
      <w:pPr>
        <w:pStyle w:val="TextoNormal"/>
      </w:pPr>
    </w:p>
    <w:p w14:paraId="10719E6D" w14:textId="77777777" w:rsidR="008D479B" w:rsidRDefault="008D479B" w:rsidP="008D479B">
      <w:pPr>
        <w:pStyle w:val="TextoNormal"/>
      </w:pPr>
      <w:r>
        <w:t>i) El portavoz del Grupo Parlamentario Popular presentó escrito dirigido a la mesa de la Cámara en el que solicitó, con base en las razones expuestas en el mismo, la reconsideración de la decisión de la Presidencia de la Cámara de inadmitir por incongruente la propuesta de modificación registrada con el núm. 103.309.</w:t>
      </w:r>
    </w:p>
    <w:p w14:paraId="708800AD" w14:textId="77777777" w:rsidR="008D479B" w:rsidRDefault="008D479B" w:rsidP="008D479B">
      <w:pPr>
        <w:pStyle w:val="TextoNormal"/>
      </w:pPr>
    </w:p>
    <w:p w14:paraId="74928248" w14:textId="77777777" w:rsidR="008D479B" w:rsidRDefault="008D479B" w:rsidP="008D479B">
      <w:pPr>
        <w:pStyle w:val="TextoNormal"/>
      </w:pPr>
      <w:r>
        <w:t>j) El secretario de Estado de Relaciones con las Cortes y Asuntos Constitucionales, mediante escrito registrado en fecha 23 de junio de 2021, puso en conocimiento de la presidenta del Senado, al amparo de lo dispuesto en los arts. 134.6 CE y 151 RS, el criterio del Gobierno de no prestar su conformidad a la tramitación de la propuesta de modificación núm. 103.309, por suponer una disminución de los ingresos presupuestarios como consecuencia de la reducción que implicaría en la recaudación del impuesto sobre el valor añadido, que afectaría a la aplicación presupuestaria 98.01.210, cifrando su impacto presupuestario en 194 000 000 €.</w:t>
      </w:r>
    </w:p>
    <w:p w14:paraId="2AE521ED" w14:textId="77777777" w:rsidR="008D479B" w:rsidRDefault="008D479B" w:rsidP="008D479B">
      <w:pPr>
        <w:pStyle w:val="TextoNormal"/>
      </w:pPr>
    </w:p>
    <w:p w14:paraId="593D3B24" w14:textId="77777777" w:rsidR="008D479B" w:rsidRDefault="008D479B" w:rsidP="008D479B">
      <w:pPr>
        <w:pStyle w:val="TextoNormal"/>
      </w:pPr>
      <w:r>
        <w:t xml:space="preserve">En el escrito se dice que la normativa española reguladora del mencionado impuesto supone la transposición al derecho interno de la Directiva 2000/112/CE, del Consejo, de 28 de noviembre, relativa al sistema común del referido impuesto, cuyo art. 98 “prevé tipos reducidos para supuestos tasados por el anexo III de la aludida Directiva, donde la categoría 21 se refiere a la peluquería”. Continúa afirmando “que en lo referente a los servicios de peluquería es destacable que una amplia mayoría de Estados miembros hacen tributar dichos servicios al tipo impositivo general”, así como recuerda “que los Estados miembros y la Comisión Europa han asumido un compromiso de limitar la aplicación de los tipos reducidos en sus estructuras tributarias ante la necesaria consolidación de las finanzas públicas”. Concluye su argumentación señalando que “el Reino de España figura tradicionalmente en los informes comparativos de la Comisión Europa entre los Estados miembros que presentan mayor ‘VAT </w:t>
      </w:r>
      <w:r w:rsidRPr="008D479B">
        <w:rPr>
          <w:i/>
        </w:rPr>
        <w:t>Policy gap</w:t>
      </w:r>
      <w:r>
        <w:t>’ (pérdida de recaudación del impuesto derivada de la aplicación de tipos reducidos y exenciones)” y que “reiteradas experiencias han puesto de manifiesto la ineficacia en términos de precios finales que tienen las reducciones de tipos impositivos del impuesto”.</w:t>
      </w:r>
    </w:p>
    <w:p w14:paraId="7361629D" w14:textId="77777777" w:rsidR="008D479B" w:rsidRDefault="008D479B" w:rsidP="008D479B">
      <w:pPr>
        <w:pStyle w:val="TextoNormal"/>
      </w:pPr>
    </w:p>
    <w:p w14:paraId="1207A37E" w14:textId="77777777" w:rsidR="008D479B" w:rsidRDefault="008D479B" w:rsidP="008D479B">
      <w:pPr>
        <w:pStyle w:val="TextoNormal"/>
      </w:pPr>
      <w:r>
        <w:t>k) La mesa de la Cámara, en la sesión celebrada en la misma fecha, acordó por mayoría, no admitir a trámite la disconformidad del Gobierno, “ya que al referirse la propuesta de modificación a un ejercicio presupuestario futuro, no estando suficientemente motivado que la aprobación de la misma pudiera afectar al presupuesto en vigor, no cabe, conforme a la jurisprudencia constitucional, que el Gobierno oponga su disconformidad a la tramitación, en virtud de los artículos 134.6 de la Constitución y 151 del Reglamento del Senado”. También acordó estimar la solicitud de reconsideración presentada por el Grupo Parlamentario Popular en el Senado y, en consecuencia, “admitir a trámite la propuesta de modificación con el número de registro de entrada 103.309 y someterla a la consideración del Pleno”.</w:t>
      </w:r>
    </w:p>
    <w:p w14:paraId="0F56B5AA" w14:textId="77777777" w:rsidR="008D479B" w:rsidRDefault="008D479B" w:rsidP="008D479B">
      <w:pPr>
        <w:pStyle w:val="TextoNormal"/>
      </w:pPr>
    </w:p>
    <w:p w14:paraId="6205E336" w14:textId="77777777" w:rsidR="008D479B" w:rsidRDefault="008D479B" w:rsidP="008D479B">
      <w:pPr>
        <w:pStyle w:val="TextoNormal"/>
      </w:pPr>
      <w:r>
        <w:t>l) Reanudada la sesión, la presidenta comunicó a la Cámara que la mesa había reconsiderado la inadmisión de la propuesta de modificación núm. 103.309, que, en consecuencia, sería sometida a votación. Iniciada la votación de las enmiendas al dictamen de la comisión, la citada propuesta de modificación fue aprobada por 143 votos a favor y 119 en contra.</w:t>
      </w:r>
    </w:p>
    <w:p w14:paraId="3F256395" w14:textId="77777777" w:rsidR="008D479B" w:rsidRDefault="008D479B" w:rsidP="008D479B">
      <w:pPr>
        <w:pStyle w:val="TextoNormal"/>
      </w:pPr>
    </w:p>
    <w:p w14:paraId="4EF1140A" w14:textId="77777777" w:rsidR="008D479B" w:rsidRDefault="008D479B" w:rsidP="008D479B">
      <w:pPr>
        <w:pStyle w:val="TextoNormal"/>
      </w:pPr>
      <w:r>
        <w:t>Concluida la votación, la presidenta anunció que “[t]al y como dispone el artículo 90 de la Constitución, se dará traslado de las enmiendas aprobadas por el Senado al Congreso de los Diputados, para que este se pronuncie sobre las mismas de forma previa a la sanción del texto definitivo por S.M. el Rey”. A continuación, a las veintiuna horas y cuarenta y tres minutos, levantó la sesión (Cortes Generales, “Diario de Sesiones del Senado”, XIV Legislatura, núm. 58, de 23 de junio de 2021, págs. 206 y 252-253).</w:t>
      </w:r>
    </w:p>
    <w:p w14:paraId="728F8886" w14:textId="77777777" w:rsidR="008D479B" w:rsidRDefault="008D479B" w:rsidP="008D479B">
      <w:pPr>
        <w:pStyle w:val="TextoNormal"/>
      </w:pPr>
    </w:p>
    <w:p w14:paraId="0792FB0F" w14:textId="77777777" w:rsidR="008D479B" w:rsidRDefault="008D479B" w:rsidP="008D479B">
      <w:pPr>
        <w:pStyle w:val="TextoNormal"/>
      </w:pPr>
      <w:r>
        <w:t>m) El secretario de Estado de Relaciones con las Cortes y Asuntos Constitucionales, mediante escrito registrado en fecha 23 de junio de 2021 (a las veintiuna horas y treinta y siete minutos), solicitó a la presidenta, “teniendo conocimiento de que […] está siendo sometida a votación en el Pleno de la Cámara” la propuesta de modificación núm. 103.309, que, “al amparo de lo dispuesto en el artículo 151.5 del Reglamento del Senado resuelva la controversia que se ha suscitado”, dando por reiterados a dichos efectos los argumentos contenidos en su escrito anterior, en el que había puesto de manifiesto el criterio del Gobierno de no prestar su conformidad para la tramitación de dicha propuesta de modificación por suponer una disminución de los ingresos presupuestarios.</w:t>
      </w:r>
    </w:p>
    <w:p w14:paraId="623A9307" w14:textId="77777777" w:rsidR="008D479B" w:rsidRDefault="008D479B" w:rsidP="008D479B">
      <w:pPr>
        <w:pStyle w:val="TextoNormal"/>
      </w:pPr>
    </w:p>
    <w:p w14:paraId="2E32A358" w14:textId="77777777" w:rsidR="008D479B" w:rsidRDefault="008D479B" w:rsidP="008D479B">
      <w:pPr>
        <w:pStyle w:val="TextoNormal"/>
      </w:pPr>
      <w:r>
        <w:t>n) Por escrito registrado en fecha 24 de junio de 2021, el secretario de Estado de Relaciones con las Cortes y Asuntos Constitucionales, tras manifestar que la propuesta de modificación núm. 103.309 “no guarda la obligada congruencia con la enmienda sobre la que se articula, razón por la cual no puede ser admitida a trámite”, solicitó a la presidenta del Senado que “al amparo de lo dispuesto en el artículo 151.5 del Reglamento del Senado resuelva la controversia que se ha suscitado”.</w:t>
      </w:r>
    </w:p>
    <w:p w14:paraId="15525F69" w14:textId="77777777" w:rsidR="008D479B" w:rsidRDefault="008D479B" w:rsidP="008D479B">
      <w:pPr>
        <w:pStyle w:val="TextoNormal"/>
      </w:pPr>
    </w:p>
    <w:p w14:paraId="7961B8D0" w14:textId="77777777" w:rsidR="008D479B" w:rsidRDefault="008D479B" w:rsidP="008D479B">
      <w:pPr>
        <w:pStyle w:val="TextoNormal"/>
      </w:pPr>
      <w:r>
        <w:t>ñ) El portavoz del Grupo Parlamentario Socialista, mediante escrito registrado en fecha 25 de junio de 2021, por no guardar la propuesta de modificación núm. 103.309 “la obligada congruencia con la enmienda en la que se articula” y no cumplir “los requisitos de admisibilidad a trámite que, en su caso, exigiría el artículo 125.1.b)” RS, solicitó a la presidenta de la Cámara que “al amparo de lo dispuesto en el artículo 151.5 del Reglamento del Senado, resuelva la controversia que se ha suscitado, reconsidere la admisión a trámite de dicha propuesta de modificación y, en consecuencia, decida en relación con la votación subsiguiente de la misma llevada a cabo en el día de ayer”.</w:t>
      </w:r>
    </w:p>
    <w:p w14:paraId="42EFCA89" w14:textId="77777777" w:rsidR="008D479B" w:rsidRDefault="008D479B" w:rsidP="008D479B">
      <w:pPr>
        <w:pStyle w:val="TextoNormal"/>
      </w:pPr>
    </w:p>
    <w:p w14:paraId="5BA141AD" w14:textId="77777777" w:rsidR="008D479B" w:rsidRDefault="008D479B" w:rsidP="008D479B">
      <w:pPr>
        <w:pStyle w:val="TextoNormal"/>
      </w:pPr>
      <w:r>
        <w:t>o) La presidenta del Senado, por resolución de 25 de junio de 2021, decidió: “1. Estimar las solicitudes de resolución de la controversia formuladas por el Gobierno y el Grupo Parlamentario Socialista en virtud de lo dispuesto en el artículo 151.5 del Reglamento del Senado; 2. Declarar la nulidad de la votación en el Pleno de la propuesta de modificación con número de registro de entrada 103.309; 3. Ordenar, en consecuencia, la no inclusión de dicha enmienda en el mensaje motivado que el Senado debe remitir al Congreso de los Diputados en virtud de lo dispuesto en los artículos 90.2 de la Constitución y 106.1 del Reglamento de la Cámara; 4. Dar traslado de la presente resolución al Gobierno, a los grupos parlamentarios de la Cámara y a la Secretaria General del Senado” (“BOCG”, Senado, XIV Legislatura, núm. 120, de 1 de julio de 2021).</w:t>
      </w:r>
    </w:p>
    <w:p w14:paraId="3A4245B1" w14:textId="77777777" w:rsidR="008D479B" w:rsidRDefault="008D479B" w:rsidP="008D479B">
      <w:pPr>
        <w:pStyle w:val="TextoNormal"/>
      </w:pPr>
    </w:p>
    <w:p w14:paraId="748255D7" w14:textId="77777777" w:rsidR="008D479B" w:rsidRDefault="008D479B" w:rsidP="008D479B">
      <w:pPr>
        <w:pStyle w:val="TextoNormal"/>
      </w:pPr>
      <w:r>
        <w:t xml:space="preserve">Decisión que funda en las consideraciones jurídicas que sucintamente se exponen a continuación. Tras referirse a la facultad de veto presupuestario del Gobierno </w:t>
      </w:r>
      <w:r w:rsidRPr="008D479B">
        <w:rPr>
          <w:i/>
        </w:rPr>
        <w:t>ex</w:t>
      </w:r>
      <w:r>
        <w:t xml:space="preserve"> arts. 134.6 CE y 151 RS a la tramitación de las proposiciones de ley o enmiendas que puedan implicar un aumento de los créditos o una disminución de los ingresos presupuestarios, la presidenta del Senado considera que dicha facultad “se extiende no solo a la fase inicial del procedimiento legislativo, en la que se inserta el plazo de presentación de enmiendas, sino al resto de las fases de dicho procedimiento en la medida en que puedan presentarse posteriormente propuestas tendentes a modificar el texto de la iniciativa legislativa. Así, si durante la fase de Pleno se presenta una propuesta de modificación del dictamen de la Comisión, tal y como regula el artículo 125 del Reglamento del Senado, que pudiera tener repercusión sobre los ingresos o gastos presupuestarios, el Gobierno estaría plenamente legitimado para oponerse, en su caso, a dicha propuesta de modificación” (consideraciones jurídica primera y tercera).</w:t>
      </w:r>
    </w:p>
    <w:p w14:paraId="4D2B519F" w14:textId="77777777" w:rsidR="008D479B" w:rsidRDefault="008D479B" w:rsidP="008D479B">
      <w:pPr>
        <w:pStyle w:val="TextoNormal"/>
      </w:pPr>
    </w:p>
    <w:p w14:paraId="54B5DBD8" w14:textId="77777777" w:rsidR="008D479B" w:rsidRDefault="008D479B" w:rsidP="008D479B">
      <w:pPr>
        <w:pStyle w:val="TextoNormal"/>
      </w:pPr>
      <w:r>
        <w:t>A su juicio, esto es lo que ha acontecido en este supuesto, en el que el Gobierno motivadamente y con cumplimiento de los requisitos exigidos por la doctrina constitucional ha manifestado su disconformidad a la tramitación de la propuesta de modificación núm. 103.309 por implicar una disminución de los ingresos presupuestarios. “Sin embargo, la mesa de la Cámara […] rechazó la disconformidad del Gobierno a la tramitación por entender que la motivación era insuficiente puesto que la propuesta de modificación no afectaba al presupuesto en vigor. Y ello, a pesar de que la propuesta de modificación va dirigida sobre unas actividades económicas concretas, marcando un inicio temporal determinado y sin considerar que el ejercicio presupuestario afectado sea ordinario o prorrogado” (consideración jurídica cuarta).</w:t>
      </w:r>
    </w:p>
    <w:p w14:paraId="5F4A6575" w14:textId="77777777" w:rsidR="008D479B" w:rsidRDefault="008D479B" w:rsidP="008D479B">
      <w:pPr>
        <w:pStyle w:val="TextoNormal"/>
      </w:pPr>
    </w:p>
    <w:p w14:paraId="1A1B6F57" w14:textId="77777777" w:rsidR="008D479B" w:rsidRDefault="008D479B" w:rsidP="008D479B">
      <w:pPr>
        <w:pStyle w:val="TextoNormal"/>
      </w:pPr>
      <w:r>
        <w:t>A continuación, en la resolución se trae a colación que el Gobierno había manifestado su disconformidad con la enmienda núm. 147 presentada por el Grupo Parlamentario Popular al proyecto de ley de medidas contra el fraude fiscal —con la que se pretendía una disminución del IVA a peluquerías, barberías y centros de estética—, lo que motivó la no tramitación de dicha enmienda. Pues bien —se afirma en la resolución— “[p]ara sortear el veto gubernamental a la enmienda número 147 formulada en el plazo reglamentario se ha empleado un mecanismo doble: la presentación de una propuesta de modificación del dictamen que es incongruente, según los parámetros de la jurisprudencia constitucional (STC 59/2015, de 18 de marzo), con la enmienda que le sirve de soporte, y la adición de una cláusula de entrada en vigor a partir del 1 de enero de 2022 que pudiera funcionar como impedimento del veto gubernamental, pero que bien podía haber sido objeto de la citada enmienda número 147. Todo ello configura una actuación que podría considerarse llevada a cabo con vulneración frontal de la Constitución y del reglamento parlamentario” (consideración jurídica quinta).</w:t>
      </w:r>
    </w:p>
    <w:p w14:paraId="5898746B" w14:textId="77777777" w:rsidR="008D479B" w:rsidRDefault="008D479B" w:rsidP="008D479B">
      <w:pPr>
        <w:pStyle w:val="TextoNormal"/>
      </w:pPr>
    </w:p>
    <w:p w14:paraId="6958394E" w14:textId="77777777" w:rsidR="008D479B" w:rsidRDefault="008D479B" w:rsidP="008D479B">
      <w:pPr>
        <w:pStyle w:val="TextoNormal"/>
      </w:pPr>
      <w:r>
        <w:t>Tras volver a aseverar que existe una evidente incongruencia entre la enmienda y la propuesta de modificación de la que trae causa, reiterando las razones expuestas en la sesión plenaria en la que la presidenta acordó su inadmisión (consideración jurídica sexta), concluye la resolución que “[l]a previsión reglamentaria del artículo 151.5 del reglamento constituye un mecanismo de salvaguarda que se atribuye a la Presidencia de la Cámara para supuestos, como el presente, en que el procedimiento legislativo y las potestades que la Constitución otorga al Gobierno en materia presupuestaria pueden verse vulnerados mediante la utilización de mecanismos como los descritos en la consideración jurídica quinta, así como cuando se suscita un incidente que puede surgir en el procedimiento contemplado en el artículo 151 del Reglamento del Senado”, siendo posible el ejercicio de esta facultad conferida a la Presidencia “antes de la remisión al Congreso de los Diputados de las enmiendas aprobadas por el Senado a una iniciativa legislativa, con el correspondiente mensaje motivado” (consideración jurídica séptima).</w:t>
      </w:r>
    </w:p>
    <w:p w14:paraId="7C17965D" w14:textId="77777777" w:rsidR="008D479B" w:rsidRDefault="008D479B" w:rsidP="008D479B">
      <w:pPr>
        <w:pStyle w:val="TextoNormal"/>
      </w:pPr>
    </w:p>
    <w:p w14:paraId="5491D741" w14:textId="77777777" w:rsidR="008D479B" w:rsidRDefault="008D479B" w:rsidP="008D479B">
      <w:pPr>
        <w:pStyle w:val="TextoNormal"/>
      </w:pPr>
      <w:r>
        <w:t>p) El portavoz del Grupo Parlamentario Popular solicitó la reconsideración de esta resolución, que fue desestima por resolución de la presidenta de fecha 30 de junio de 2021, “en virtud de los fundamentos jurídicos contenidos en el informe de la Secretaría General que se adjunta”.</w:t>
      </w:r>
    </w:p>
    <w:p w14:paraId="4BA2F3A7" w14:textId="77777777" w:rsidR="008D479B" w:rsidRDefault="008D479B" w:rsidP="008D479B">
      <w:pPr>
        <w:pStyle w:val="TextoNormal"/>
      </w:pPr>
    </w:p>
    <w:p w14:paraId="54EFEDB1" w14:textId="77777777" w:rsidR="008D479B" w:rsidRDefault="008D479B" w:rsidP="008D479B">
      <w:pPr>
        <w:pStyle w:val="TextoNormal"/>
      </w:pPr>
      <w:r>
        <w:t>En el citado informe se exponen las razones jurídico-formales y materiales para desestimar la solicitud de reconsideración.</w:t>
      </w:r>
    </w:p>
    <w:p w14:paraId="791667EC" w14:textId="77777777" w:rsidR="008D479B" w:rsidRDefault="008D479B" w:rsidP="008D479B">
      <w:pPr>
        <w:pStyle w:val="TextoNormal"/>
      </w:pPr>
    </w:p>
    <w:p w14:paraId="5444371D" w14:textId="77777777" w:rsidR="008D479B" w:rsidRDefault="008D479B" w:rsidP="008D479B">
      <w:pPr>
        <w:pStyle w:val="TextoNormal"/>
      </w:pPr>
      <w:r>
        <w:t>Por lo que se refiere sucintamente a las primeras, se sostiene que la potestad de resolución de las controversias y los incidentes prevista en el art. 151.5 RS es exclusiva de la Presidencia, no de la mesa de la Cámara; que el precepto no establece un elenco de sujetos legitimados para plantear la existencia de una controversia o la necesidad de resolver un incidente; tampoco establece un plazo para formularlos, ni para resolverlos; que las controversias o incidentes pueden surgir en relación con el ejercicio de las facultades que los arts. 134.6 CE y 151 RS otorgan al Gobierno para oponerse a la tramitación de enmiendas que puedan incidir en el presupuesto en vigor; que aunque el precepto no prevé la posibilidad de una reconsideración, tampoco lo impide, pero en todo caso su resolución corresponde a la presidenta, no a la mesa de la Cámara; y, en fin, que cabría enmarcar esta potestad específica de la Presidencia en la más genérica regulada en el art. 37.1 RS, esto es, la de “velar por la observancia del Reglamento”. Concluyen estas razones jurídicos-formales con la afirmación de que “[l]as consideraciones precedentes legitiman la resolución de la Presidencia de la Cámara de 25 de junio de 2021, que, desde la perspectiva jurídico-formal, reúne todos los requisitos reglados que establece el Reglamento del Senado”.</w:t>
      </w:r>
    </w:p>
    <w:p w14:paraId="10EFDF83" w14:textId="77777777" w:rsidR="008D479B" w:rsidRDefault="008D479B" w:rsidP="008D479B">
      <w:pPr>
        <w:pStyle w:val="TextoNormal"/>
      </w:pPr>
    </w:p>
    <w:p w14:paraId="7B9C9C54" w14:textId="7EFFFEE7" w:rsidR="008D479B" w:rsidRDefault="008D479B" w:rsidP="008D479B">
      <w:pPr>
        <w:pStyle w:val="TextoNormal"/>
      </w:pPr>
      <w:r>
        <w:t>Desde la perspectiva jurídica-material, el informe argumenta sobre la falta de congruencia entre la propuesta de modificación núm. 103.3019 y la enmienda núm. 27 presentada por el Grupo Parlamentario de Izquierda Confederal que le sirve de soporte. En este sentido, se afirma que “los argumentos que se emplearon en la reunión de la mesa del día 23 de junio para admitir a trámite la propuesta de modificación […] adolecieron del rigor que exige el examen de la congruencia en ese momento del procedimiento, pues tomaron como punto de referencia, no la enmienda número 27, sino el conjunto del proyecto de ley”. Concluye el informe en este apartado afirmando que “la combinación de la admisión a trámite de una propuesta de modificación incongruente con la enmienda que le debía servir de soporte, con la elusión del ‘veto presupuestario’ gubernamental mediante el recurso a diferir la entrada en vigor de la medida al 1 de enero de 2022, puede considerarse como una alteración del procedimiento legislativo en materia presupuestaria que puede lesionar las facultades de alguno o varios de los actores en dicho procedimiento. La existencia de esta alteración del procedimiento legislativo podría encajarse en el supuesto previsto en el artículo 151.5 del Reglamento, como incidente que motivaría la controversia y que legitimaría, también desde esta perspectiva jurídico-material, la resolución de la Presidencia”.</w:t>
      </w:r>
    </w:p>
    <w:p w14:paraId="4364D5DF" w14:textId="77777777" w:rsidR="008D479B" w:rsidRDefault="008D479B" w:rsidP="008D479B">
      <w:pPr>
        <w:pStyle w:val="TextoNormal"/>
      </w:pPr>
    </w:p>
    <w:p w14:paraId="2E06B535" w14:textId="77777777" w:rsidR="008D479B" w:rsidRDefault="008D479B" w:rsidP="008D479B">
      <w:pPr>
        <w:pStyle w:val="TextoNormal"/>
      </w:pPr>
      <w:r w:rsidRPr="008D479B">
        <w:rPr>
          <w:rStyle w:val="NumeroAFNegritaCaracter"/>
        </w:rPr>
        <w:t>3</w:t>
      </w:r>
      <w:r>
        <w:t>. En cuanto a la fundamentación jurídica de la demanda de amparo, se invoca en esta, frente a las resoluciones impugnadas, la vulneración del derecho al ejercicio del cargo público parlamentario (art. 23.2 CE), en conexión con el derecho de los ciudadanos a participar en los asuntos públicos a través de representantes (art. 23.1 CE).</w:t>
      </w:r>
    </w:p>
    <w:p w14:paraId="26976992" w14:textId="77777777" w:rsidR="008D479B" w:rsidRDefault="008D479B" w:rsidP="008D479B">
      <w:pPr>
        <w:pStyle w:val="TextoNormal"/>
      </w:pPr>
    </w:p>
    <w:p w14:paraId="2899584B" w14:textId="77777777" w:rsidR="008D479B" w:rsidRDefault="008D479B" w:rsidP="008D479B">
      <w:pPr>
        <w:pStyle w:val="TextoNormal"/>
      </w:pPr>
      <w:r>
        <w:t>a) Como motivos de especial trascendencia constitucional del recurso se aducen, en primer lugar, que el asunto suscitado “trasciende del caso concreto porque pudiera tener unas consecuencias políticas generales” [STC 155/2009, de 25 de junio, FJ 2 g)]. En este sentido, los demandantes argumentan que, de acuerdo con una reiterada doctrina de este tribunal (SSTC 200/2014, 201/2014 y 202/2014, de 15 de diciembre, FJ 2; 1/2015, de 19 de enero, FJ 2; 46/2018, de 26 de abril, FJ 3, y 42/2019, de 27 de marzo, FJ 2) en los recursos de amparo previstos en el art. 42 de la Ley Orgánica del Tribunal Constitucional (LOTC) no hay cauce de tutela ante la jurisdicción ordinaria, por lo que esta vía de amparo aparece como el único remedio posible para defender no solo los derechos de representación política de los diputados, sino también los de la ciudadanía, cuya participación política, al menos a nivel institucional, se articula básicamente a través de sus representantes políticos.</w:t>
      </w:r>
    </w:p>
    <w:p w14:paraId="40E9BB15" w14:textId="77777777" w:rsidR="008D479B" w:rsidRDefault="008D479B" w:rsidP="008D479B">
      <w:pPr>
        <w:pStyle w:val="TextoNormal"/>
      </w:pPr>
    </w:p>
    <w:p w14:paraId="5E832EE1" w14:textId="77777777" w:rsidR="008D479B" w:rsidRDefault="008D479B" w:rsidP="008D479B">
      <w:pPr>
        <w:pStyle w:val="TextoNormal"/>
      </w:pPr>
      <w:r>
        <w:t>También invocan como motivo de especial trascendencia constitucional que el recurso plantea “un problema o afecta a una faceta de un derecho fundamental susceptible de amparo sobre el que no hay doctrina del Tribunal” [STC 155/2009, FJ 2 a)]. A tal efecto se argumenta en la demanda que las cuestiones jurídicas que plantea el recurso cuentan con una evidente importancia desde el punto de vista democrático y constitucional, así como para la interpretación de los derechos fundamentales concernidos (art. 23 CE), referidas a una situación de desviación de poder por parte de la Presidencia del Senado que no se ha suscitado hasta la fecha ante el Tribunal Constitucional, por lo que resulta necesario un pronunciamiento suyo para sentar doctrina.</w:t>
      </w:r>
    </w:p>
    <w:p w14:paraId="48FB1739" w14:textId="77777777" w:rsidR="008D479B" w:rsidRDefault="008D479B" w:rsidP="008D479B">
      <w:pPr>
        <w:pStyle w:val="TextoNormal"/>
      </w:pPr>
    </w:p>
    <w:p w14:paraId="1984A023" w14:textId="77777777" w:rsidR="008D479B" w:rsidRDefault="008D479B" w:rsidP="008D479B">
      <w:pPr>
        <w:pStyle w:val="TextoNormal"/>
      </w:pPr>
      <w:r>
        <w:t xml:space="preserve">b) En cuanto a la vulneración de los derechos fundamentales invocados, esta se ha producido, a juicio de los recurrentes, al haber anulado la Presidencia del Senado —de forma arbitraria e ilegítima y careciendo de competencia para ello— la votación en el Pleno de la propuesta de modificación núm. 103.309, mediante la cual la Cámara y sus miembros, entre ellos los demandantes de amparo y los demás integrantes del Grupo Parlamentario Popular, han ejercido, habiendo obtenido la correspondiente mayoría, la función legislativa que constitucionalmente tienen atribuida. Con dicha anulación, la Presidencia ha impedido que el ejercicio de la función legislativa despliegue los efectos que constitucional y reglamentariamente le corresponden, excluyendo la referida propuesta de modificación del mensaje motivado que el Senado debe remitir al Congreso de los Diputados (arts. 90.2 CE y 106.1 RS). Todo ello con base en un uso desviado de la normativa reglamentaria y en un claro abuso del poder que dicha normativa le concede, lo que ha provocado la lesión, en su núcleo fundamental, del </w:t>
      </w:r>
      <w:r w:rsidRPr="008D479B">
        <w:rPr>
          <w:i/>
        </w:rPr>
        <w:t>ius in officium</w:t>
      </w:r>
      <w:r>
        <w:t xml:space="preserve"> de los senadores que han formado la mayoría necesaria para la aprobación de la propuesta de modificación.</w:t>
      </w:r>
    </w:p>
    <w:p w14:paraId="724D1F5A" w14:textId="77777777" w:rsidR="008D479B" w:rsidRDefault="008D479B" w:rsidP="008D479B">
      <w:pPr>
        <w:pStyle w:val="TextoNormal"/>
      </w:pPr>
    </w:p>
    <w:p w14:paraId="0BBC1D48" w14:textId="77777777" w:rsidR="008D479B" w:rsidRDefault="008D479B" w:rsidP="008D479B">
      <w:pPr>
        <w:pStyle w:val="TextoNormal"/>
      </w:pPr>
      <w:r>
        <w:t xml:space="preserve">c) La decisión del Pleno, adoptada por mayoría, es el acto que expresa la voluntad de la Cámara (STC 133/2018, de 13 de diciembre), que, cuando es manifestación, como ocurren en este caso, del ejercicio de la función legislativa por los representantes de los ciudadanos adquiere una especial dimensión constitucional, pues dicha función constituye “la máxima expresión del ejercicio de la soberanía popular en el Estado democrático”, y es “una manifestación constitucionalmente relevante del </w:t>
      </w:r>
      <w:r w:rsidRPr="008D479B">
        <w:rPr>
          <w:i/>
        </w:rPr>
        <w:t>ius in officium</w:t>
      </w:r>
      <w:r>
        <w:t xml:space="preserve"> del representante” (SSTC 10/2016, de 1 de febrero, FJ 4; 10/2018, de 5 de febrero, FJ 3; 94/2018, de 17 de septiembre, FJ 4; 17/2019, de 11 de febrero; 41/2019, de 27 de marzo, FJ 4, y 53/2021, de 15 de marzo, FJ 3).</w:t>
      </w:r>
    </w:p>
    <w:p w14:paraId="29B664C3" w14:textId="77777777" w:rsidR="008D479B" w:rsidRDefault="008D479B" w:rsidP="008D479B">
      <w:pPr>
        <w:pStyle w:val="TextoNormal"/>
      </w:pPr>
    </w:p>
    <w:p w14:paraId="624C6891" w14:textId="77777777" w:rsidR="008D479B" w:rsidRDefault="008D479B" w:rsidP="008D479B">
      <w:pPr>
        <w:pStyle w:val="TextoNormal"/>
      </w:pPr>
      <w:r>
        <w:t>Los demandantes también consideran de aplicación para la resolución del recurso de amparo la doctrina constitucional en relación con el derecho de enmienda, de acuerdo con la cual, en síntesis “no es un mero derecho reglamentario sino un auténtico contenido central del derecho de participación del art. 23.2 CE”, a través del cual “los diputados y grupos parlamentarios participan e intervienen en el ejercicio de la potestad legislativa”, que cumple, por consiguiente, “la relevante función de garantizar la participación e intervención de los diputados y de los grupos parlamentarios en el proceso de elaboración de la ley y, en último término, en la configuración del texto legislativo, contribuyendo de este modo a la formación de la voluntad de la Cámara” (SSTC 139/2017, de 29 de noviembre, FJ 5, y 4/2018, de 22 de enero, FJ 4).</w:t>
      </w:r>
    </w:p>
    <w:p w14:paraId="4825FD59" w14:textId="77777777" w:rsidR="008D479B" w:rsidRDefault="008D479B" w:rsidP="008D479B">
      <w:pPr>
        <w:pStyle w:val="TextoNormal"/>
      </w:pPr>
    </w:p>
    <w:p w14:paraId="26AF4539" w14:textId="77777777" w:rsidR="008D479B" w:rsidRDefault="008D479B" w:rsidP="008D479B">
      <w:pPr>
        <w:pStyle w:val="TextoNormal"/>
      </w:pPr>
      <w:r>
        <w:t>d) En este caso, la voluntad del Senado expresada formalmente a través del Pleno fue ilegítima y arbitrariamente anulada y privada de sus efectos por la Presidencia, cuya decisión no solo ha vulnerado la soberanía de la Cámara, al anular un órgano inferior un acuerdo adoptado válidamente por el Pleno, sino también los derechos de los recurrentes y de los demás senadores que con su voto conformaron la voluntad mayoritaria de la Cámara en el marco de un procedimiento legislativo.</w:t>
      </w:r>
    </w:p>
    <w:p w14:paraId="5B53BB50" w14:textId="77777777" w:rsidR="008D479B" w:rsidRDefault="008D479B" w:rsidP="008D479B">
      <w:pPr>
        <w:pStyle w:val="TextoNormal"/>
      </w:pPr>
    </w:p>
    <w:p w14:paraId="0F518C3E" w14:textId="77777777" w:rsidR="008D479B" w:rsidRDefault="008D479B" w:rsidP="008D479B">
      <w:pPr>
        <w:pStyle w:val="TextoNormal"/>
      </w:pPr>
      <w:r>
        <w:t>Frente a la afirmación que se hace en las resoluciones recurridas de que la facultad conferida a la Presidencia en el art. 151.5 RS puede ejercitarse en cualquier momento anterior a la remisión al Congreso de los Diputados de las enmiendas aprobadas por el Senado, los recurrentes insisten en la imposibilidad de que un órgano subordinado al Pleno, como es la Presidencia de la Cámara, puede anular una decisión del primero a través de la cual se ha expresado de manera formal y perfeccionada su voluntad. En su opinión, la intangibilidad de los acuerdos del Pleno constituye un límite absoluto al ejercicio de la facultad que a la Presidencia le atribuye el art. 151.5 RS.</w:t>
      </w:r>
    </w:p>
    <w:p w14:paraId="671AECE9" w14:textId="77777777" w:rsidR="008D479B" w:rsidRDefault="008D479B" w:rsidP="008D479B">
      <w:pPr>
        <w:pStyle w:val="TextoNormal"/>
      </w:pPr>
    </w:p>
    <w:p w14:paraId="1E5D59A5" w14:textId="77777777" w:rsidR="008D479B" w:rsidRDefault="008D479B" w:rsidP="008D479B">
      <w:pPr>
        <w:pStyle w:val="TextoNormal"/>
      </w:pPr>
      <w:r>
        <w:t>Una vez aprobada por la mayoría la modificación legal propuesta, solo el Tribunal Constitucional puede anular su decisión, siempre que, conforme exige su doctrina, se haya producido una alteración sustancial en el proceso de formación de voluntad de la Cámara.</w:t>
      </w:r>
    </w:p>
    <w:p w14:paraId="2F844D4D" w14:textId="77777777" w:rsidR="008D479B" w:rsidRDefault="008D479B" w:rsidP="008D479B">
      <w:pPr>
        <w:pStyle w:val="TextoNormal"/>
      </w:pPr>
    </w:p>
    <w:p w14:paraId="3B4C0580" w14:textId="77777777" w:rsidR="008D479B" w:rsidRDefault="008D479B" w:rsidP="008D479B">
      <w:pPr>
        <w:pStyle w:val="TextoNormal"/>
      </w:pPr>
      <w:r>
        <w:t>e) Las resoluciones impugnadas parten de la base de que la presentación de la propuesta de modificación por todos los grupos parlamentarios, a excepción del Grupo Parlamentario Socialista, se debió a la intención de sortear el veto presupuestario opuesto por el Gobierno a la enmienda núm. 147 del Grupo Parlamentario Popular.</w:t>
      </w:r>
    </w:p>
    <w:p w14:paraId="1F9CD41D" w14:textId="77777777" w:rsidR="008D479B" w:rsidRDefault="008D479B" w:rsidP="008D479B">
      <w:pPr>
        <w:pStyle w:val="TextoNormal"/>
      </w:pPr>
    </w:p>
    <w:p w14:paraId="1817B9A2" w14:textId="77777777" w:rsidR="008D479B" w:rsidRDefault="008D479B" w:rsidP="008D479B">
      <w:pPr>
        <w:pStyle w:val="TextoNormal"/>
      </w:pPr>
      <w:r>
        <w:t>A juicio de los recurrentes, tal circunstancia, que no resulta reprobable ni desde el punto de vista político ni jurídico, no le permitía a la Presidencia pronunciarse acerca de la congruencia de la propuesta de modificación con la enmienda que le sirve de soporte, al no poder ser objeto de la controversia regulada en el art. 151.5 RS, que de acuerdo con su interpretación literal y sistemática ha de referirse a las que se puedan suscitar en relación con el ejercicio por el Gobierno de la facultad de veto presupuestario.</w:t>
      </w:r>
    </w:p>
    <w:p w14:paraId="6DEFCC1C" w14:textId="77777777" w:rsidR="008D479B" w:rsidRDefault="008D479B" w:rsidP="008D479B">
      <w:pPr>
        <w:pStyle w:val="TextoNormal"/>
      </w:pPr>
    </w:p>
    <w:p w14:paraId="5FA16991" w14:textId="77777777" w:rsidR="008D479B" w:rsidRDefault="008D479B" w:rsidP="008D479B">
      <w:pPr>
        <w:pStyle w:val="TextoNormal"/>
      </w:pPr>
      <w:r>
        <w:t>En todo caso, frente a lo sostenido en las resoluciones impugnadas, los demandantes entienden que la doctrina de la STC 59/2015, de 18 de enero, da cobertura a su planteamiento y no al criterio que se mantiene en aquellas resoluciones. En efecto, la única mención que se hace en esta sentencia a las propuestas de modificación de iniciativas legislativas es para recalcar que les resulta de aplicación el procedimiento de calificación de enmiendas previsto reglamentariamente [FJ 6 a)]. Por lo demás, el resto de sus razonamientos están dedicados a la exigencia de la congruencia que ha de existir entre las enmiendas y texto enmendado, argumentación aplicable a las propuestas de modificación. Con claridad el Tribunal declara que la congruencia u homogeneidad exigida no ha de ser de identidad sino de afinidad, apreciando en el supuesto enjuiciado el cumplimiento de dicho requisito, pues la enmienda proponía la creación del impuesto sobre depósitos de las entidades de crédito en un texto legislativo que contenía medidas tributarias de distinta índole y materia.</w:t>
      </w:r>
    </w:p>
    <w:p w14:paraId="32F6AB73" w14:textId="77777777" w:rsidR="008D479B" w:rsidRDefault="008D479B" w:rsidP="008D479B">
      <w:pPr>
        <w:pStyle w:val="TextoNormal"/>
      </w:pPr>
    </w:p>
    <w:p w14:paraId="3C5DDC52" w14:textId="77777777" w:rsidR="008D479B" w:rsidRDefault="008D479B" w:rsidP="008D479B">
      <w:pPr>
        <w:pStyle w:val="TextoNormal"/>
      </w:pPr>
      <w:r>
        <w:t>La Presidencia del Senado, al exigir que las propuestas de modificación han de ser congruentes con la enmienda que le sirve de soporte, impone una interpretación del art. 125 RS contraria al sentido literal del precepto, pues este, en su apartado segundo, establece que las propuestas de modificación suscritas por la mayoría de los portavoces de los grupos parlamentarios “se regirán por las mismas normas que las establecidas para los votos particulares” (o enmiendas). Por lo tanto, si a las enmiendas se les exige congruencia con el texto enmendado, esta será la congruencia que ha de exigirse a las propuestas de modificación. Pero incluso si se admitiera como hipótesis la interpretación sostenida por la Presidencia, el texto de la propuesta de modificación guardaría también congruencia con la enmienda sobre la que se articula, entendida como afinidad de materias, de acuerdo con la referida doctrina constitucional, ya que tanto la propuesta de modificación como la enmienda que la sustenta se refieren al impuesto sobre el valor añadido.</w:t>
      </w:r>
    </w:p>
    <w:p w14:paraId="00438B72" w14:textId="77777777" w:rsidR="008D479B" w:rsidRDefault="008D479B" w:rsidP="008D479B">
      <w:pPr>
        <w:pStyle w:val="TextoNormal"/>
      </w:pPr>
    </w:p>
    <w:p w14:paraId="48A7D453" w14:textId="77777777" w:rsidR="008D479B" w:rsidRDefault="008D479B" w:rsidP="008D479B">
      <w:pPr>
        <w:pStyle w:val="TextoNormal"/>
      </w:pPr>
      <w:r>
        <w:t xml:space="preserve">La resolución que desestima la solicitud de reconsideración parece impedir la introducción por las propuestas de modificación de elementos puramente </w:t>
      </w:r>
      <w:r w:rsidRPr="008D479B">
        <w:rPr>
          <w:i/>
        </w:rPr>
        <w:t>ex novo</w:t>
      </w:r>
      <w:r>
        <w:t xml:space="preserve"> en el trámite plenario, salvo que cuenten con el apoyo de todos los grupos parlamentarios [art. 125.1 b)]. Sin embargo, a juicio de los recurrentes, esta interpretación ignora el sentido del art. 115 RS, que claramente hace referencia a la posibilidad de llegar a acuerdos parlamentarios respecto a las enmiendas a incluir (de ahí la calificación “transaccional”), pero en ningún momento impone las formalistas restricciones que trata de aplicar la Presidencia.</w:t>
      </w:r>
    </w:p>
    <w:p w14:paraId="530EE01E" w14:textId="77777777" w:rsidR="008D479B" w:rsidRDefault="008D479B" w:rsidP="008D479B">
      <w:pPr>
        <w:pStyle w:val="TextoNormal"/>
      </w:pPr>
    </w:p>
    <w:p w14:paraId="17693CE6" w14:textId="77777777" w:rsidR="008D479B" w:rsidRDefault="008D479B" w:rsidP="008D479B">
      <w:pPr>
        <w:pStyle w:val="TextoNormal"/>
      </w:pPr>
      <w:r>
        <w:t>Además, esta interpretación no tiene en cuenta que el art. 125.2 RS prevé un “previo trámite de información”, de modo que todos los miembros de la Cámara puedan conocer las propuestas de modificación, fijar posición y, en su caso, adoptar las iniciativas que consideren oportunas. En este caso, todos los grupos parlamentarios tuvieron la posibilidad de conocer y discutir el contenido de la propuesta de modificación núm. 103.309, que el Pleno finalmente aprobó.</w:t>
      </w:r>
    </w:p>
    <w:p w14:paraId="53D1F051" w14:textId="77777777" w:rsidR="008D479B" w:rsidRDefault="008D479B" w:rsidP="008D479B">
      <w:pPr>
        <w:pStyle w:val="TextoNormal"/>
      </w:pPr>
    </w:p>
    <w:p w14:paraId="3BC679C5" w14:textId="77777777" w:rsidR="008D479B" w:rsidRDefault="008D479B" w:rsidP="008D479B">
      <w:pPr>
        <w:pStyle w:val="TextoNormal"/>
      </w:pPr>
      <w:r>
        <w:t>En definitiva, no se ha producido ninguna infracción reglamentaria ni de los derechos de participación de los senadores, como se afirma en las resoluciones recurridas.</w:t>
      </w:r>
    </w:p>
    <w:p w14:paraId="02433A42" w14:textId="77777777" w:rsidR="008D479B" w:rsidRDefault="008D479B" w:rsidP="008D479B">
      <w:pPr>
        <w:pStyle w:val="TextoNormal"/>
      </w:pPr>
    </w:p>
    <w:p w14:paraId="02790AB0" w14:textId="77777777" w:rsidR="008D479B" w:rsidRDefault="008D479B" w:rsidP="008D479B">
      <w:pPr>
        <w:pStyle w:val="TextoNormal"/>
      </w:pPr>
      <w:r>
        <w:t>f) Los demandantes consideran también irrazonable el otro pilar argumental en la que la Presidencia sustenta su decisión anulatoria, esto es, que el Grupo Parlamentario Popular podía haber evitado el veto presupuestario del Gobierno a la enmienda núm. 147, incorporando una cláusula de entrada en vigor para el 1 de enero de 2022, como se hizo en la propuesta de modificación.</w:t>
      </w:r>
    </w:p>
    <w:p w14:paraId="085D7741" w14:textId="77777777" w:rsidR="008D479B" w:rsidRDefault="008D479B" w:rsidP="008D479B">
      <w:pPr>
        <w:pStyle w:val="TextoNormal"/>
      </w:pPr>
    </w:p>
    <w:p w14:paraId="08351017" w14:textId="77777777" w:rsidR="008D479B" w:rsidRDefault="008D479B" w:rsidP="008D479B">
      <w:pPr>
        <w:pStyle w:val="TextoNormal"/>
      </w:pPr>
      <w:r>
        <w:t>En este sentido, tildan de incongruente este argumento, pues, de un lado, se advierte que el veto presupuestario se podría haber evitado con la inclusión en la enmienda de la referida cláusula de vigencia, para recriminar a continuación a los autores de la propuesta de modificación (que no fue solo del Grupo Parlamentario Popular) que hubieran sorteado dicho veto con la inclusión de dicha cláusula.</w:t>
      </w:r>
    </w:p>
    <w:p w14:paraId="64BF7583" w14:textId="77777777" w:rsidR="008D479B" w:rsidRDefault="008D479B" w:rsidP="008D479B">
      <w:pPr>
        <w:pStyle w:val="TextoNormal"/>
      </w:pPr>
    </w:p>
    <w:p w14:paraId="77693705" w14:textId="77777777" w:rsidR="008D479B" w:rsidRDefault="008D479B" w:rsidP="008D479B">
      <w:pPr>
        <w:pStyle w:val="TextoNormal"/>
      </w:pPr>
      <w:r>
        <w:t>Frente a lo que se afirma en las resoluciones impugnadas, sostienen que no ha habido alteración del procedimiento legislativo, ni lesión de los derechos de los miembros de la Cámara. Por el contrario, la propuesta de modificación se tramitó de acuerdo con el reglamento, los senadores tuvieron ocasión de conocer su contenido y discutirlo, la mesa desestimó, en su sesión de 23 de junio de 2021, el veto gubernamental a la misma, no apreció incongruencia alguna y decidió someterla a votación en el Pleno, donde obtuvo el voto favorable de la mayoría absoluta, quedando, por ello, formalmente aprobada por el Senado.</w:t>
      </w:r>
    </w:p>
    <w:p w14:paraId="6E59A7E0" w14:textId="77777777" w:rsidR="008D479B" w:rsidRDefault="008D479B" w:rsidP="008D479B">
      <w:pPr>
        <w:pStyle w:val="TextoNormal"/>
      </w:pPr>
    </w:p>
    <w:p w14:paraId="2674DC4E" w14:textId="77777777" w:rsidR="008D479B" w:rsidRDefault="008D479B" w:rsidP="008D479B">
      <w:pPr>
        <w:pStyle w:val="TextoNormal"/>
      </w:pPr>
      <w:r>
        <w:t>Por el contrario, ha sido la Presidencia la que, en un puro acto de desviación de poder, alteró la voluntad de la Cámara —hasta el punto de anular la votación que la expresa— y la privó de sus efectos constitucional y reglamentariamente previstos, vulnerando con ello los derechos de participación política de los recurrentes, de los miembros del Grupo Parlamentario Popular y de los demás grupos parlamentarios que propusieron y apoyaron con sus votos la propuesta de modificación aprobada por el Senado (art. 23.2 CE), así como, por conexión, los derechos de sus representados a participar en los asuntos públicos a través de sus representantes (art. 23.1 CE).</w:t>
      </w:r>
    </w:p>
    <w:p w14:paraId="32A3B9A9" w14:textId="77777777" w:rsidR="008D479B" w:rsidRDefault="008D479B" w:rsidP="008D479B">
      <w:pPr>
        <w:pStyle w:val="TextoNormal"/>
      </w:pPr>
    </w:p>
    <w:p w14:paraId="209D0111" w14:textId="49C9803B" w:rsidR="008D479B" w:rsidRDefault="008D479B" w:rsidP="008D479B">
      <w:pPr>
        <w:pStyle w:val="TextoNormal"/>
      </w:pPr>
      <w:r>
        <w:t xml:space="preserve">Concluye la demanda suplicando de este tribunal que otorgue a los recurrentes el amparo solicitado, reconociendo la vulneración de su derecho fundamental y el de los miembros del Grupo Parlamentario Popular a participar en la función legislativa como parte esencial de su </w:t>
      </w:r>
      <w:r w:rsidRPr="008D479B">
        <w:rPr>
          <w:i/>
        </w:rPr>
        <w:t>ius in officium</w:t>
      </w:r>
      <w:r>
        <w:t>, con la consiguiente declaración de nulidad de las resoluciones de la presidenta del Senado de 25 y 30 de junio de 2021.</w:t>
      </w:r>
    </w:p>
    <w:p w14:paraId="5C58E315" w14:textId="77777777" w:rsidR="008D479B" w:rsidRDefault="008D479B" w:rsidP="008D479B">
      <w:pPr>
        <w:pStyle w:val="TextoNormal"/>
      </w:pPr>
    </w:p>
    <w:p w14:paraId="17FF2FBE" w14:textId="77777777" w:rsidR="008D479B" w:rsidRDefault="008D479B" w:rsidP="008D479B">
      <w:pPr>
        <w:pStyle w:val="TextoNormal"/>
      </w:pPr>
      <w:r w:rsidRPr="008D479B">
        <w:rPr>
          <w:rStyle w:val="NumeroAFNegritaCaracter"/>
        </w:rPr>
        <w:t>4</w:t>
      </w:r>
      <w:r>
        <w:t>. La Sección Segunda, por providencia de 13 de diciembre de 2021, acordó admitir a trámite el recurso de amparo, apreciando que concurre en el mismo una especial trascendencia constitucional (art. 50.1 LOTC) porque el recurso plantea un problema o afecta a una faceta de un derecho fundamental sobre el que no hay doctrina de este tribunal [STC 155/2009, FJ 2 a)] y porque el asunto suscitado trasciende del caso concreto porque pudiera tener unas consecuencias políticas generales [STC 155/2009, FJ 2 g)].</w:t>
      </w:r>
    </w:p>
    <w:p w14:paraId="6763585D" w14:textId="77777777" w:rsidR="008D479B" w:rsidRDefault="008D479B" w:rsidP="008D479B">
      <w:pPr>
        <w:pStyle w:val="TextoNormal"/>
      </w:pPr>
    </w:p>
    <w:p w14:paraId="52B2F704" w14:textId="4F921D56" w:rsidR="008D479B" w:rsidRDefault="008D479B" w:rsidP="008D479B">
      <w:pPr>
        <w:pStyle w:val="TextoNormal"/>
      </w:pPr>
      <w:r>
        <w:t>Asimismo, en aplicación del art. 51 LOTC se acordó dirigir atenta comunicación al Excmo. Sr. presidente del Senado a fin de que, en plazo que no excediera de diez días, remitiese certificación o fotocopia adverada de las actuaciones correspondientes a las resoluciones de 25 y 30 de junio de 2021, acompañándose a la mencionada comunicación copia de la demanda de amparo presentada para conocimiento de la Cámara, a los efectos de su personación en el presente proceso constitucional.</w:t>
      </w:r>
    </w:p>
    <w:p w14:paraId="40C4AEDF" w14:textId="77777777" w:rsidR="008D479B" w:rsidRDefault="008D479B" w:rsidP="008D479B">
      <w:pPr>
        <w:pStyle w:val="TextoNormal"/>
      </w:pPr>
    </w:p>
    <w:p w14:paraId="399AD302" w14:textId="5496EB5E" w:rsidR="008D479B" w:rsidRDefault="008D479B" w:rsidP="008D479B">
      <w:pPr>
        <w:pStyle w:val="TextoNormal"/>
      </w:pPr>
      <w:r w:rsidRPr="008D479B">
        <w:rPr>
          <w:rStyle w:val="NumeroAFNegritaCaracter"/>
        </w:rPr>
        <w:t>5</w:t>
      </w:r>
      <w:r>
        <w:t>. Por diligencia de ordenación de la Secretaría de la Sala Primera, de 27 de diciembre de 2021, se acordó tener por personada y parte en el procedimiento a la letrada de las Cortes Generales, en nombre y representación del Senado, acordándose con ella las sucesivas actuaciones, así como dar vista de las actuaciones recibidas a las partes personadas y al Ministerio Fiscal, por plazo común de veinte días, para que formularan las alegaciones que estimasen pertinentes, conforme determina el art. 52.1 LOTC.</w:t>
      </w:r>
    </w:p>
    <w:p w14:paraId="21BA6BD2" w14:textId="77777777" w:rsidR="008D479B" w:rsidRDefault="008D479B" w:rsidP="008D479B">
      <w:pPr>
        <w:pStyle w:val="TextoNormal"/>
      </w:pPr>
    </w:p>
    <w:p w14:paraId="7D86E9BF" w14:textId="3BC23DFF" w:rsidR="008D479B" w:rsidRDefault="008D479B" w:rsidP="008D479B">
      <w:pPr>
        <w:pStyle w:val="TextoNormal"/>
      </w:pPr>
      <w:r w:rsidRPr="008D479B">
        <w:rPr>
          <w:rStyle w:val="NumeroAFNegritaCaracter"/>
        </w:rPr>
        <w:t>6</w:t>
      </w:r>
      <w:r>
        <w:t>. Los recurrentes en amparo evacuaron el trámite de alegaciones conferido mediante escrito registrado en fecha 28 de enero de 2022, en el que se ratificaron en las alegaciones formuladas en la demanda.</w:t>
      </w:r>
    </w:p>
    <w:p w14:paraId="65775BEC" w14:textId="77777777" w:rsidR="008D479B" w:rsidRDefault="008D479B" w:rsidP="008D479B">
      <w:pPr>
        <w:pStyle w:val="TextoNormal"/>
      </w:pPr>
    </w:p>
    <w:p w14:paraId="493DA04E" w14:textId="77777777" w:rsidR="008D479B" w:rsidRDefault="008D479B" w:rsidP="008D479B">
      <w:pPr>
        <w:pStyle w:val="TextoNormal"/>
      </w:pPr>
      <w:r w:rsidRPr="008D479B">
        <w:rPr>
          <w:rStyle w:val="NumeroAFNegritaCaracter"/>
        </w:rPr>
        <w:t>7</w:t>
      </w:r>
      <w:r>
        <w:t>. La letrada de las Cortes Generales, en representación del Senado, evacuó el trámite de alegaciones conferido mediante escrito registrado el 3 de febrero de 2022, que en lo sustancial a continuación se resume.</w:t>
      </w:r>
    </w:p>
    <w:p w14:paraId="79BCBDD7" w14:textId="77777777" w:rsidR="008D479B" w:rsidRDefault="008D479B" w:rsidP="008D479B">
      <w:pPr>
        <w:pStyle w:val="TextoNormal"/>
      </w:pPr>
    </w:p>
    <w:p w14:paraId="713D9EEF" w14:textId="77777777" w:rsidR="008D479B" w:rsidRDefault="008D479B" w:rsidP="008D479B">
      <w:pPr>
        <w:pStyle w:val="TextoNormal"/>
      </w:pPr>
      <w:r>
        <w:t>a) Comienza por precisar que la primera de las resoluciones recurridas —de 25 de junio de 2021— fue dictada por la presidenta del Senado al amparo del art. 151 RS a solicitud del Gobierno y del Grupo Parlamentario Socialista por las diferencias de criterio surgidas en la sesión plenaria de 23 de junio de 2021, en relación con la calificación de la propuesta de modificación núm. 103.309 al dictamen del proyecto de ley contra el fraude fiscal, a la que servía de base la enmienda núm. 27 del Grupo Parlamentario de Izquierda Confederal. La presidenta, al resolver dicha controversia, estaba ejerciendo una competencia propia que le atribuye directamente y en exclusiva el Reglamento del Senado.</w:t>
      </w:r>
    </w:p>
    <w:p w14:paraId="04CE0E2C" w14:textId="77777777" w:rsidR="008D479B" w:rsidRDefault="008D479B" w:rsidP="008D479B">
      <w:pPr>
        <w:pStyle w:val="TextoNormal"/>
      </w:pPr>
    </w:p>
    <w:p w14:paraId="0785522A" w14:textId="77777777" w:rsidR="008D479B" w:rsidRDefault="008D479B" w:rsidP="008D479B">
      <w:pPr>
        <w:pStyle w:val="TextoNormal"/>
      </w:pPr>
      <w:r>
        <w:t>Las resoluciones que en ejercicio de la referida competencia dicta la presidenta son firmes desde que se publican o notifican a los interesados, al no estar previsto ningún recurso contra ellas. En consecuencia, resultaba improcedente la solicitud de reconsideración presentada por el portavoz del Grupo Parlamentario Popular contra la resolución de 25 de junio de 2021. A pesar de ello y de ser presentada para su resolución por un órgano incompetente —la mesa de la Cámara—, la solicitud de reconsideración fue resuelta por la presidenta, de nuevo en ejercicio de competencias propias, por resolución de 30 de junio de 2021.</w:t>
      </w:r>
    </w:p>
    <w:p w14:paraId="44E3D283" w14:textId="77777777" w:rsidR="008D479B" w:rsidRDefault="008D479B" w:rsidP="008D479B">
      <w:pPr>
        <w:pStyle w:val="TextoNormal"/>
      </w:pPr>
    </w:p>
    <w:p w14:paraId="416EA39B" w14:textId="77777777" w:rsidR="008D479B" w:rsidRDefault="008D479B" w:rsidP="008D479B">
      <w:pPr>
        <w:pStyle w:val="TextoNormal"/>
      </w:pPr>
      <w:r>
        <w:t>De modo que, constituye el objeto principal de este recurso la primera de las resoluciones citadas, no siendo la de 30 de junio más que una desestimación de la solicitud de reconsideración presentada contra aquella.</w:t>
      </w:r>
    </w:p>
    <w:p w14:paraId="7AB460FF" w14:textId="77777777" w:rsidR="008D479B" w:rsidRDefault="008D479B" w:rsidP="008D479B">
      <w:pPr>
        <w:pStyle w:val="TextoNormal"/>
      </w:pPr>
    </w:p>
    <w:p w14:paraId="61B3CF51" w14:textId="77777777" w:rsidR="008D479B" w:rsidRDefault="008D479B" w:rsidP="008D479B">
      <w:pPr>
        <w:pStyle w:val="TextoNormal"/>
      </w:pPr>
      <w:r>
        <w:t>b) La letrada representante del Senado se refiere a continuación a los requisitos de admisibilidad del recurso, comenzado por la legitimación de los demandantes, quienes ostentan la condición de portavoces titular y suplente del Grupo Parlamentario Popular. Ambos —afirma— actúan en su propio nombre y en el de todos los senadores de su grupo parlamentario, pudiendo ser considerados “persona directamente afectada” a efectos de lo previsto en el art. 41 LOTC. Además, habiendo reconocido este tribunal capacidad procesal a los portavoces de los grupos parlamentarios para defender las eventuales vulneraciones de los derechos fundamentales de sus miembros, siempre que exista coincidencia entre quien presenta la iniciativa parlamentaria y quien actúa como recurrente en amparo (STC 98/2009, de 27 de abril, FJ 2), considera que también se encuentran legitimados para interponer el presente recurso de amparo, en su propio nombre y en el de todos los senadores de su grupo parlamentario, de acuerdo con lo dispuesto en el art. 50.1 a) LOTC.</w:t>
      </w:r>
    </w:p>
    <w:p w14:paraId="110F82FD" w14:textId="77777777" w:rsidR="008D479B" w:rsidRDefault="008D479B" w:rsidP="008D479B">
      <w:pPr>
        <w:pStyle w:val="TextoNormal"/>
      </w:pPr>
    </w:p>
    <w:p w14:paraId="0AFCADD4" w14:textId="77777777" w:rsidR="008D479B" w:rsidRDefault="008D479B" w:rsidP="008D479B">
      <w:pPr>
        <w:pStyle w:val="TextoNormal"/>
      </w:pPr>
      <w:r>
        <w:t>No le suscita ninguna duda la satisfacción de los requisitos relativos a la condición de los derechos invocados como fundamentales (art. 23 CE), al agotamiento de la vía previa y al plazo de interposición de la demanda. Sin embargo, discrepa en cuanto a la concurrencia del segundo motivo de especial trascendencia constitucional aducido en la demanda.</w:t>
      </w:r>
    </w:p>
    <w:p w14:paraId="532B80D5" w14:textId="77777777" w:rsidR="008D479B" w:rsidRDefault="008D479B" w:rsidP="008D479B">
      <w:pPr>
        <w:pStyle w:val="TextoNormal"/>
      </w:pPr>
    </w:p>
    <w:p w14:paraId="7A826303" w14:textId="77777777" w:rsidR="008D479B" w:rsidRDefault="008D479B" w:rsidP="008D479B">
      <w:pPr>
        <w:pStyle w:val="TextoNormal"/>
      </w:pPr>
      <w:r>
        <w:t xml:space="preserve">En este sentido, manifiesta que el recurso no plantea un problema o afecta a una faceta de un derecho fundamental sobre el que no hay doctrina de este tribunal. En primer lugar, porque existe una abundante jurisprudencia constitucional sobre las distintas cuestiones que se plantean y, muy especialmente, sobre el </w:t>
      </w:r>
      <w:r w:rsidRPr="008D479B">
        <w:rPr>
          <w:i/>
        </w:rPr>
        <w:t>ius in officium</w:t>
      </w:r>
      <w:r>
        <w:t xml:space="preserve"> parlamentario y las facultades que integran su núcleo esencial (SSTC 5/1983, de 4 de febrero; 32/1985, de 6 de marzo, y 119/2011, de 5 de julio). En segundo lugar, porque, frente a lo que se sostiene en la demanda, la presidenta de la Cámara no ha actuado con desviación de poder. Lo que se dilucida en este proceso, una vez más, son los límites del derecho de enmienda, en función de los cuales, y de las facultades de calificación que corresponden a la presidenta del Senado, se planteó la controversia que dio lugar a las dos resoluciones impugnadas. Y, por último, porque en el marco del recurso de amparo no se trata de valorar la corrección de la actuación de la presidenta, sino de determinar si, al resolver la controversia suscitada en torno a la admisión por la mesa de la propuesta de modificación y su posterior votación, incurrió en una lesión de los derechos de representación política de los recurrentes.</w:t>
      </w:r>
    </w:p>
    <w:p w14:paraId="3C9AE6FB" w14:textId="77777777" w:rsidR="008D479B" w:rsidRDefault="008D479B" w:rsidP="008D479B">
      <w:pPr>
        <w:pStyle w:val="TextoNormal"/>
      </w:pPr>
    </w:p>
    <w:p w14:paraId="7DA529EA" w14:textId="77777777" w:rsidR="008D479B" w:rsidRDefault="008D479B" w:rsidP="008D479B">
      <w:pPr>
        <w:pStyle w:val="TextoNormal"/>
      </w:pPr>
      <w:r>
        <w:t xml:space="preserve">En cualquier caso, la decisión que adopte este tribunal al resolver el recurso de amparo vendrá a unirse a las que ya existen en torno a la facultades que integran el </w:t>
      </w:r>
      <w:r w:rsidRPr="008D479B">
        <w:rPr>
          <w:i/>
        </w:rPr>
        <w:t>ius in officium</w:t>
      </w:r>
      <w:r>
        <w:t xml:space="preserve"> de los parlamentarios, completando la doctrina sentada hasta la fecha sobre el derecho de enmienda y sus límites —específicamente, los de un tipo de enmienda en particular, la propuesta de modificación presentada en el curso de una sesión plenaria—, así como sobre el alcance de la función de calificación de los órganos rectores de la Cámara, en este caso, su presidenta. Son estas cuestiones y no la pretendida desviación de poder de la presidenta, las que se dirimen en el presente recurso.</w:t>
      </w:r>
    </w:p>
    <w:p w14:paraId="4A2BB0FD" w14:textId="77777777" w:rsidR="008D479B" w:rsidRDefault="008D479B" w:rsidP="008D479B">
      <w:pPr>
        <w:pStyle w:val="TextoNormal"/>
      </w:pPr>
    </w:p>
    <w:p w14:paraId="4FE4B563" w14:textId="77777777" w:rsidR="008D479B" w:rsidRDefault="008D479B" w:rsidP="008D479B">
      <w:pPr>
        <w:pStyle w:val="TextoNormal"/>
      </w:pPr>
      <w:r>
        <w:t xml:space="preserve">c) La letrada de las Cortes Generales examina seguidamente la facultad de veto presupuestario del Gobierno reconocida constitucionalmente en el art. 134.6 CE, cuya previsión para el Senado se desarrolla en el art. 151 RS. De la referida facultad destaca las siguientes características: (i) se trata de una facultad discrecional del Gobierno; (ii) su ejercicio interfiere en la función legislativa, en cuanto limita el derecho de enmienda de los parlamentarios, que, conforme a reiterada doctrina constitucional, forma parte de su </w:t>
      </w:r>
      <w:r w:rsidRPr="008D479B">
        <w:rPr>
          <w:i/>
        </w:rPr>
        <w:t>ius in officium</w:t>
      </w:r>
      <w:r>
        <w:t xml:space="preserve"> (por todas, STC 119/2011, de 5 de julio, FJ 9); (iii) la jurisprudencia constitucional ha exigido una serie de requisitos en su ejercicio. Básicamente que el veto se refiera siempre al presupuesto en vigor —en coherencia con el principio de anualidad presupuestaria—, que la incidencia presupuestaria sea directa o inmediata y que se motive, precisando las concretas partidas presupuestarias que se verían afectadas por el incremento de créditos o la disminución de ingresos; (iv) incumbe a los órganos rectores de las Cámaras llevar a cabo un control reglado sobre el ejercicio de la facultad del Gobierno, siempre desde una perspectiva de carácter jurídico-técnico y sin responder, en ningún caso, a criterios de oportunidad política (por todas, STC 53/2021, de 15 de marzo, FJ 6).</w:t>
      </w:r>
    </w:p>
    <w:p w14:paraId="301C785D" w14:textId="77777777" w:rsidR="008D479B" w:rsidRDefault="008D479B" w:rsidP="008D479B">
      <w:pPr>
        <w:pStyle w:val="TextoNormal"/>
      </w:pPr>
    </w:p>
    <w:p w14:paraId="3B69133E" w14:textId="77777777" w:rsidR="008D479B" w:rsidRDefault="008D479B" w:rsidP="008D479B">
      <w:pPr>
        <w:pStyle w:val="TextoNormal"/>
      </w:pPr>
      <w:r>
        <w:t>En el ámbito del Senado, el art. 151 RS contiene así mismo dos exigencias: la motivación y que el Gobierno manifieste su criterio en un plazo, cuya duración varía en función de que la tramitación sea ordinaria o urgente, que se abre al inicio de la tramitación legislativa, comunicándole inmediatamente al Gobierno las enmiendas presentadas por los senadores y los grupos parlamentarios por si pudieran tener incidencia presupuestaria. Sin embargo, en esta Cámara, la facultad de veto presupuestario del Gobierno no queda constreñida al momento inicial del procedimiento legislativo, sino que puede extenderse al resto de sus fases, aun cuando haya finalizado el plazo de presentación de enmiendas, pues hasta que el procedimiento concluya con la aprobación de la iniciativa por el Pleno, pueden presentarse propuestas tendentes a modificar el texto legislativo. De modo que si durante la tramitación de un proyecto de ley en la comisión o en el seno del debate de la sesión plenaria se presenta una propuesta de modificación del texto legislativo que pudiera tener repercusión sobre los ingresos o gastos presupuestarios —como ha ocurrido en este caso—, el Gobierno estaría plenamente legitimado para oponerse, en su caso, a dicha propuesta de modificación.</w:t>
      </w:r>
    </w:p>
    <w:p w14:paraId="20FF00B8" w14:textId="77777777" w:rsidR="008D479B" w:rsidRDefault="008D479B" w:rsidP="008D479B">
      <w:pPr>
        <w:pStyle w:val="TextoNormal"/>
      </w:pPr>
    </w:p>
    <w:p w14:paraId="01B807CE" w14:textId="77777777" w:rsidR="008D479B" w:rsidRDefault="008D479B" w:rsidP="008D479B">
      <w:pPr>
        <w:pStyle w:val="TextoNormal"/>
      </w:pPr>
      <w:r>
        <w:t>En el Senado, corresponde a la Presidencia la resolución de las controversias o incidentes que puedan producirse en torno a la admisión a trámite de enmiendas o proposiciones de ley de carácter presupuestario (art. 151.5 RS), respecto de las que el Gobierno haya manifestado su oposición a la tramitación. Comoquiera que el Gobierno puede ejercer esta facultad en cualquier momento de la tramitación legislativa, igualmente la presidenta puede ejercer su función de resolución de las controversias en cualquier momento en que la misma se plantee, siempre que permanezca la iniciativa en la Cámara y con carácter previo al envió del texto legislativo al Congreso de los Diputados, para que se pronuncie acerca de las enmiendas y vetos introducidos.</w:t>
      </w:r>
    </w:p>
    <w:p w14:paraId="60195C0D" w14:textId="77777777" w:rsidR="008D479B" w:rsidRDefault="008D479B" w:rsidP="008D479B">
      <w:pPr>
        <w:pStyle w:val="TextoNormal"/>
      </w:pPr>
    </w:p>
    <w:p w14:paraId="2FC3DDE4" w14:textId="77777777" w:rsidR="008D479B" w:rsidRDefault="008D479B" w:rsidP="008D479B">
      <w:pPr>
        <w:pStyle w:val="TextoNormal"/>
      </w:pPr>
      <w:r>
        <w:t>En este caso, el Gobierno ejerció el veto presupuestario en dos momentos distintos. El primero en relación con la enmienda núm. 147 del Grupo Parlamentario Popular al proyecto de ley de medidas contra el fraude fiscal, que fue acogido por la presidenta, concluyendo con su decisión, que confirmó la mesa al inadmitir la solicitud de reconsideración interpuesta por el portavoz de dicho grupo, la tramitación de la referida enmienda.</w:t>
      </w:r>
    </w:p>
    <w:p w14:paraId="742066A7" w14:textId="77777777" w:rsidR="008D479B" w:rsidRDefault="008D479B" w:rsidP="008D479B">
      <w:pPr>
        <w:pStyle w:val="TextoNormal"/>
      </w:pPr>
    </w:p>
    <w:p w14:paraId="404A3736" w14:textId="77777777" w:rsidR="008D479B" w:rsidRDefault="008D479B" w:rsidP="008D479B">
      <w:pPr>
        <w:pStyle w:val="TextoNormal"/>
      </w:pPr>
      <w:r>
        <w:t>El segundo veto se produjo en el transcurso de la sesión plenaria del 23 de junio de 2021 en relación con la propuesta de modificación núm. 103.309, respecto a la cual la mesa de la Cámara consideró insuficientes las razones esgrimidas por el Gobierno y, en consecuencia, admitió a trámite la propuesta de modificación y permitió que se sometiera a votación del Pleno.</w:t>
      </w:r>
    </w:p>
    <w:p w14:paraId="59F8C657" w14:textId="77777777" w:rsidR="008D479B" w:rsidRDefault="008D479B" w:rsidP="008D479B">
      <w:pPr>
        <w:pStyle w:val="TextoNormal"/>
      </w:pPr>
    </w:p>
    <w:p w14:paraId="73E46E37" w14:textId="77777777" w:rsidR="008D479B" w:rsidRDefault="008D479B" w:rsidP="008D479B">
      <w:pPr>
        <w:pStyle w:val="TextoNormal"/>
      </w:pPr>
      <w:r>
        <w:t>Aun cuando la mesa hubiera podido estar acertada al estimar insuficientes las razones de disconformidad aducidas por el Gobierno para objetar, por motivos presupuestarios, que se tramitase la propuesta de modificación, existía en ese momento procesal otro impedimento para su admisión a trámite: su falta de congruencia con la enmienda en la que supuestamente se sustentaba —la enmienda núm. 27 del Grupo Parlamentario Izquierda Confederal—, ya que mientras aquella tenía por objeto aplicar a los servicios de peluquería, barbería y estética un tipo impositivo de IVA del 10 por 100 esta pretendía excluir a determinados empresarios del régimen simplificado del IVA.</w:t>
      </w:r>
    </w:p>
    <w:p w14:paraId="4E7E8199" w14:textId="77777777" w:rsidR="008D479B" w:rsidRDefault="008D479B" w:rsidP="008D479B">
      <w:pPr>
        <w:pStyle w:val="TextoNormal"/>
      </w:pPr>
    </w:p>
    <w:p w14:paraId="558EA8E0" w14:textId="77777777" w:rsidR="008D479B" w:rsidRDefault="008D479B" w:rsidP="008D479B">
      <w:pPr>
        <w:pStyle w:val="TextoNormal"/>
      </w:pPr>
      <w:r>
        <w:t>d) La representante del Senado se refiere después a las singularidades de las propuestas de modificación como tipo de enmienda regulada en el art. 125 RS. Se trata, en primer lugar, de una enmienda que se presenta en el curso de una sesión plenaria, esto es, en la última fase de la tramitación de una iniciativa legislativa, y, por tanto, fuera del plazo establecido reglamentariamente para la presentación de enmiendas y propuestas de veto en la fase inicial de la tramitación. Con este tipo de enmienda se pretende fundamentalmente, en segundo lugar, alcanzar un acuerdo entre una o varias de las enmiendas presentadas —y que se han mantenido “vivas” hasta la fase del Pleno, mediante la presentación de los correspondientes votos particulares— y el texto legislativo que se tramita. De ahí que en el argot parlamentario se les denomine “enmiendas transaccionales de Pleno”.</w:t>
      </w:r>
    </w:p>
    <w:p w14:paraId="38FFD292" w14:textId="77777777" w:rsidR="008D479B" w:rsidRDefault="008D479B" w:rsidP="008D479B">
      <w:pPr>
        <w:pStyle w:val="TextoNormal"/>
      </w:pPr>
    </w:p>
    <w:p w14:paraId="403A2374" w14:textId="77777777" w:rsidR="008D479B" w:rsidRDefault="008D479B" w:rsidP="008D479B">
      <w:pPr>
        <w:pStyle w:val="TextoNormal"/>
      </w:pPr>
      <w:r>
        <w:t>Su admisión a trámite requiere el cumplimiento de determinados presupuestos específicos previstos en el citado art. 125 RS, derivados tanto de su naturaleza transaccional como de su formulación en la fase final de la tramitación parlamentaria. En primer lugar, la firma de todos los portavoces de los grupos parlamentarios o, alternativamente, de la mayoría de los portavoces de los grupos parlamentarios que, a su vez, integre la mayoría de los senadores, siempre, en este caso, que hayan sido objeto de votos particulares. En segundo lugar, que exista un previo trámite de información, que permita a los senadores conocer la iniciativa que se someterá a votación y fijar su posición. Ambos requisitos se encuentran amparados por la doctrina de este tribunal (STC 119/2011, de 5 de julio, FJ 9).</w:t>
      </w:r>
    </w:p>
    <w:p w14:paraId="6610B403" w14:textId="77777777" w:rsidR="008D479B" w:rsidRDefault="008D479B" w:rsidP="008D479B">
      <w:pPr>
        <w:pStyle w:val="TextoNormal"/>
      </w:pPr>
    </w:p>
    <w:p w14:paraId="793A5905" w14:textId="77777777" w:rsidR="008D479B" w:rsidRDefault="008D479B" w:rsidP="008D479B">
      <w:pPr>
        <w:pStyle w:val="TextoNormal"/>
      </w:pPr>
      <w:r>
        <w:t>Aunque el derecho de enmienda de los parlamentarios no es un mero derecho reglamentario, sino que forma parte del contenido central del derecho de participación política (art. 23.2 CE), de manera que los órganos rectores de la Cámara deben favorecer y no restringir indebidamente su ejercicio, ello no quiere decir que toda actuación que afecte de forma restrictiva al derecho de enmienda vulnere aquel derecho fundamental ni que el ejercicio del derecho de enmienda esté exento de límites (SSTC 27/1981, de 20 de julio, FJ 2; 119/2011, FJ 9, y 204/2011, de 15 de diciembre, FJ 4).</w:t>
      </w:r>
    </w:p>
    <w:p w14:paraId="22A9B739" w14:textId="77777777" w:rsidR="008D479B" w:rsidRDefault="008D479B" w:rsidP="008D479B">
      <w:pPr>
        <w:pStyle w:val="TextoNormal"/>
      </w:pPr>
    </w:p>
    <w:p w14:paraId="27836315" w14:textId="77777777" w:rsidR="008D479B" w:rsidRDefault="008D479B" w:rsidP="008D479B">
      <w:pPr>
        <w:pStyle w:val="TextoNormal"/>
      </w:pPr>
      <w:r>
        <w:t>Por otra parte, este tribunal ha exigido que exista una conexión o correlación material entre las enmiendas y los textos a enmendar (SSTC 23/1990, de 15 de febrero, FJ 5; 119/2011, FJ 6; 136/2011, de 13 de septiembre, FJ 7; 234/2012, de 13 de diciembre, FJ 4, y 59/2015, de 18 de marzo, FJ 5). De modo que toda enmienda presentada para poder ser admitida a trámite y, en consecuencia, debatida y sometida a votación, además de cumplir determinados requisitos reglamentarios, debe tener una conexión mínima de homogeneidad con el texto enmendando, así como ser congruente con su objeto, espíritu y fines esenciales (ATC 118/1999, de 10 de mayo, FJ 4), que no puede desnaturalizar (STC 136/2011, de 13 de septiembre, FJ 6).</w:t>
      </w:r>
    </w:p>
    <w:p w14:paraId="2FC690C5" w14:textId="77777777" w:rsidR="008D479B" w:rsidRDefault="008D479B" w:rsidP="008D479B">
      <w:pPr>
        <w:pStyle w:val="TextoNormal"/>
      </w:pPr>
    </w:p>
    <w:p w14:paraId="4DCA36F9" w14:textId="77777777" w:rsidR="008D479B" w:rsidRDefault="008D479B" w:rsidP="008D479B">
      <w:pPr>
        <w:pStyle w:val="TextoNormal"/>
      </w:pPr>
      <w:r>
        <w:t>e) En este caso, la propuesta de modificación núm. 103.309 formulada sobre la base de la enmienda núm. 27 del Grupo Parlamentario Izquierda Confederal fue sometida al trámite informativo previsto en el art. 125.2 RS, que incluyó, además de los senadores y de los grupos parlamentarios, al Gobierno, pues este conserva incólume la facultad de veto presupuestario mientras se produzcan modificaciones en el texto legislativo en tramitación.</w:t>
      </w:r>
    </w:p>
    <w:p w14:paraId="151BE9B3" w14:textId="77777777" w:rsidR="008D479B" w:rsidRDefault="008D479B" w:rsidP="008D479B">
      <w:pPr>
        <w:pStyle w:val="TextoNormal"/>
      </w:pPr>
    </w:p>
    <w:p w14:paraId="0BF63707" w14:textId="77777777" w:rsidR="008D479B" w:rsidRDefault="008D479B" w:rsidP="008D479B">
      <w:pPr>
        <w:pStyle w:val="TextoNormal"/>
      </w:pPr>
      <w:r>
        <w:t xml:space="preserve">Al estar suscrita la propuesta de modificación por la mayoría de los grupos parlamentarios, con la única excepción del Grupo Parlamentario Socialista, que suponía además la mayoría de los senadores, debía satisfacer la exigencia adicional “que hayan sido objeto de votos particulares” (art. 125.1 RS), pues en caso contrario la propuesta de modificación no podrá ser admitida a trámite. Es decir, a la propuesta de modificación le era exigible en este caso, al no haber sido presentada por todos los grupos parlamentarios, su vinculación a un voto particular, habiendo sido elegida para sustentarla la enmienda núm. 27 del Grupo Parlamentario Izquierda Confederal, cuyo propósito era excluir a determinados empresarios del régimen simplificado del IVA. Aunque la enmienda sobre la que se formula la propuesta de modificación cede ante esta, pues la propuesta de modificación es la única iniciativa que se somete a votación, condiciona, sin embargo, el contenido de la propuesta de modificación en cuando delimita el ámbito en que esta puede formularse, impidiendo que incorpore contenidos </w:t>
      </w:r>
      <w:r w:rsidRPr="008D479B">
        <w:rPr>
          <w:i/>
        </w:rPr>
        <w:t>ex novo</w:t>
      </w:r>
      <w:r>
        <w:t>, que estuvieran inicialmente al margen de su objeto y finalidad.</w:t>
      </w:r>
    </w:p>
    <w:p w14:paraId="2BC39426" w14:textId="77777777" w:rsidR="008D479B" w:rsidRDefault="008D479B" w:rsidP="008D479B">
      <w:pPr>
        <w:pStyle w:val="TextoNormal"/>
      </w:pPr>
    </w:p>
    <w:p w14:paraId="1F49571E" w14:textId="77777777" w:rsidR="008D479B" w:rsidRDefault="008D479B" w:rsidP="008D479B">
      <w:pPr>
        <w:pStyle w:val="TextoNormal"/>
      </w:pPr>
      <w:r>
        <w:t>Si el requisito de la congruencia se exige a todo tipo de enmienda respecto al texto que se pretende modificar, que se convierte así en el marco de referencia de la modificación, de modo que la conexión material ha de mantenerse entre el texto legislativo que se enmienda y la modificación que la enmienda pretende (SSTC119/2011, FJ 7), en el caso de las propuestas de modificación presentadas por una mayoría de los grupos parlamentarios resulta obvio que el marco o ámbito en el que puede operar forzosamente queda delimitado por la enmienda que la sustenta, como resulta del inequívoco tenor del art. 125.1 RS, que exige para estas propuestas de modificación “que hayan sido objeto de votos particulares”. Los votos particulares se convierten así, además de un requisito inexcusable para la formulación de una propuesta de modificación firmada por una mayoría de los portavoces de los grupos parlamentarios, en el parámetro a tener en cuenta para la calificación de este tipo de iniciativa, que, en ningún caso, puede exceder de los márgenes sustantivos de la enmienda en que se apoya, so pena de incurrir en vicio de incongruencia. El ámbito material en que puede moverse una propuesta de modificación formulada sobre una enmienda es, pues, mucho más estrecho y con límites muchos más estrictos —los marcados por el objeto de la enmienda que sirve de soporte— que los que se permiten por regla general a las enmiendas a la totalidad de texto alternativo o a las enmiendas parciales. Lo que es lógica consecuencia de la particular naturaleza de este tipo de enmiendas, pues, si no fuera así, se vendría a mantener indefinidamente abierto el plazo de enmiendas previsto en el art. 107 RS. De ahí que, precisamente en el tramo final de la tramitación legislativa, los requisitos para la modificación de los textos legislativos sean, con toda lógica, mucho más exigentes.</w:t>
      </w:r>
    </w:p>
    <w:p w14:paraId="1D238736" w14:textId="77777777" w:rsidR="008D479B" w:rsidRDefault="008D479B" w:rsidP="008D479B">
      <w:pPr>
        <w:pStyle w:val="TextoNormal"/>
      </w:pPr>
    </w:p>
    <w:p w14:paraId="1FB90FB8" w14:textId="77777777" w:rsidR="008D479B" w:rsidRDefault="008D479B" w:rsidP="008D479B">
      <w:pPr>
        <w:pStyle w:val="TextoNormal"/>
      </w:pPr>
      <w:r>
        <w:t xml:space="preserve">La representación procesal del Senado sostiene que, sin entrar a calificar la actuación de los recurrentes —“quienes utilizaron, para salvar el obstáculo del veto presupuestario del Gobierno, un doble mecanismo, consistente en la adición de una cláusula de entrada en vigor en fecha posterior a la vigencia del presupuesto y la presentación de una propuesta de modificación en sesión plenaria”— existe una evidente incongruencia, ocasionada por su diferente objeto, entre la propuesta de modificación y la enmienda que la soporta, como expresó </w:t>
      </w:r>
      <w:r w:rsidRPr="008D479B">
        <w:rPr>
          <w:i/>
        </w:rPr>
        <w:t>in voce</w:t>
      </w:r>
      <w:r>
        <w:t xml:space="preserve"> la presidenta del Senado en la sesión plenaria de 23 de junio de 2021, ya que mientras la enmienda 27 del Grupo Parlamentario Izquierda Confederal “se refiere al régimen simplificado del IVA, que se regula en el capítulo segundo, título X, de la ley reguladora de dicho impuesto que se rubrica como regímenes especiales”, la propuesta de modificación “tiene un objeto y justificación distintos, ya que se refiere a los tipos impositivos reducidos del impuesto sobre el valor añadido contenidos en el título VIII de la citada ley y rubricado como el tipo impositivo. De ahí su incongruencia”.</w:t>
      </w:r>
    </w:p>
    <w:p w14:paraId="2DAF02C1" w14:textId="77777777" w:rsidR="008D479B" w:rsidRDefault="008D479B" w:rsidP="008D479B">
      <w:pPr>
        <w:pStyle w:val="TextoNormal"/>
      </w:pPr>
    </w:p>
    <w:p w14:paraId="18E551A1" w14:textId="77777777" w:rsidR="008D479B" w:rsidRDefault="008D479B" w:rsidP="008D479B">
      <w:pPr>
        <w:pStyle w:val="TextoNormal"/>
      </w:pPr>
      <w:r>
        <w:t>f) El órgano al que reglamentariamente corresponda efectuar ese control de conexión material u homogeneidad mínima entre la iniciativa legislativa y la enmienda presentada —en el caso del Senado, la presidenta de la Cámara, ejerciendo funciones delegadas, por acuerdo de 12 de diciembre de 2019, de la mesa, a quien, según el art. 36.1 c) RS, corresponde calificar los escritos y documentos de índole parlamentaria, así como decidir sobre su admisibilidad— debe contar con un amplio margen de valoración o aprobación, de suerte que “cuando sea evidente y manifiesto que no existe tal conexión deberá rechazarse la enmienda, puesto que, en tal caso, se pervertiría la auténtica naturaleza del derecho de enmienda, ya que habría pasado a convertirse en una nueva iniciativa legislativa” (SSTC 119/2011, FJ 7, y 59/2015, de 18 de marzo, FJ 5).</w:t>
      </w:r>
    </w:p>
    <w:p w14:paraId="37F48770" w14:textId="77777777" w:rsidR="008D479B" w:rsidRDefault="008D479B" w:rsidP="008D479B">
      <w:pPr>
        <w:pStyle w:val="TextoNormal"/>
      </w:pPr>
    </w:p>
    <w:p w14:paraId="740BAE5C" w14:textId="77777777" w:rsidR="008D479B" w:rsidRDefault="008D479B" w:rsidP="008D479B">
      <w:pPr>
        <w:pStyle w:val="TextoNormal"/>
      </w:pPr>
      <w:r>
        <w:t>Pues bien, la presidenta del Senado intervino, primero, ejerciendo funciones de calificación y admisión a trámite durante la sesión plenaria del día 23 de junio de 2021. En efecto, al amparo del acuerdo de delegación de la mesa, la presidenta, una vez presentada la propuesta de modificación núm. 103.309, verificó el cumplimiento de los requisitos formales reglamentariamente exigidos, entrando a continuación a comprobar la necesaria congruencia o conexión material que debía existir entre la propuesta y el texto a modificar. Del análisis sustantivo de la iniciativa, la presidenta apreció la falta de congruencia entre la propuesta de modificación —tipo impositivo para los servicios de peluquería, barbería y estética— y la enmienda en la que se sustentaba —régimen simplificado del IVA— comunicando verbalmente a la Cámara la decisión de inadmisión de la propuesta de modificación por este motivo.</w:t>
      </w:r>
    </w:p>
    <w:p w14:paraId="7B7CF8B2" w14:textId="77777777" w:rsidR="008D479B" w:rsidRDefault="008D479B" w:rsidP="008D479B">
      <w:pPr>
        <w:pStyle w:val="TextoNormal"/>
      </w:pPr>
    </w:p>
    <w:p w14:paraId="3D345D9C" w14:textId="77777777" w:rsidR="008D479B" w:rsidRDefault="008D479B" w:rsidP="008D479B">
      <w:pPr>
        <w:pStyle w:val="TextoNormal"/>
      </w:pPr>
      <w:r>
        <w:t>El portavoz del Grupo Parlamentario Popular manifestó su disconformidad con esta decisión, lo que determinó que la presidenta suspendiera la sesión plenaria y convocase a la mesa de la Cámara, que, estimando la solicitud de reconsideración presentada, acordó la admisión a trámite de la propuesta de modificación y obligó a la presidenta a someterla a votación. Por su parte, el Gobierno y el Grupo Parlamentario Socialista manifestaron en escritos dirigidos a la presidenta, su disconformidad con la decisión de la mesa y plantearon formalmente, al amparo del art. 151.5 RS, sendas solicitudes de controversia, el mismo día de la votación en sesión plenaria el Gobierno, y al día siguiente el Grupo Parlamentario Socialista.</w:t>
      </w:r>
    </w:p>
    <w:p w14:paraId="729CFF65" w14:textId="77777777" w:rsidR="008D479B" w:rsidRDefault="008D479B" w:rsidP="008D479B">
      <w:pPr>
        <w:pStyle w:val="TextoNormal"/>
      </w:pPr>
    </w:p>
    <w:p w14:paraId="27A37910" w14:textId="77777777" w:rsidR="008D479B" w:rsidRDefault="008D479B" w:rsidP="008D479B">
      <w:pPr>
        <w:pStyle w:val="TextoNormal"/>
      </w:pPr>
      <w:r>
        <w:t>El segundo momento de la intervención de la presidenta fue al resolver las controversias planteadas por el Gobierno y el Grupo Parlamentario Socialista. En esta segunda ocasión, la presidenta actuó ejerciendo una competencia propia y exclusiva: la de resolución de controversias o incidentes, que le confiere el art. 151.5 RS. Se trata de una competencia perfectamente acotada en el Reglamento del Senado y netamente diferenciada de la función de calificación de los escritos de índole parlamentaria. En su ejercicio dictó la resolución de 25 de junio de 2021, en la que, con base en los argumentos en ella expuestos, estimó las solicitudes de controversia del Gobierno y del Grupo Parlamentario Socialista y, en consecuencia, declaró nula la votación de la propuesta de modificación incongruente y ordenó no incluirla en el mensaje motivado que se remite al Congreso de los Diputados en cumplimiento de lo previsto en los arts. 90.2 CE y 106.1 RS.</w:t>
      </w:r>
    </w:p>
    <w:p w14:paraId="4862ABBB" w14:textId="77777777" w:rsidR="008D479B" w:rsidRDefault="008D479B" w:rsidP="008D479B">
      <w:pPr>
        <w:pStyle w:val="TextoNormal"/>
      </w:pPr>
    </w:p>
    <w:p w14:paraId="2E783DBF" w14:textId="77777777" w:rsidR="008D479B" w:rsidRDefault="008D479B" w:rsidP="008D479B">
      <w:pPr>
        <w:pStyle w:val="TextoNormal"/>
      </w:pPr>
      <w:r>
        <w:t>La presidenta intervino por tercera vez al resolver la solicitud de reconsideración presentada por el portavoz del Grupo Parlamentario Popular contra la resolución de 25 de junio de 2021. Pese a tratarse de una solicitud de reconsideración improcedente, pues no está contemplada en el ejercicio de la facultad que regula el art. 151.5 RS, la presidenta, a fin de no mermar los derechos de defensa del autor de la solicitud de reconsideración, dictó la resolución de 30 de junio de 2021, desestimándola con remisión a un informe de la secretaría general.</w:t>
      </w:r>
    </w:p>
    <w:p w14:paraId="61F2A641" w14:textId="77777777" w:rsidR="008D479B" w:rsidRDefault="008D479B" w:rsidP="008D479B">
      <w:pPr>
        <w:pStyle w:val="TextoNormal"/>
      </w:pPr>
    </w:p>
    <w:p w14:paraId="4E2C0E54" w14:textId="77777777" w:rsidR="008D479B" w:rsidRDefault="008D479B" w:rsidP="008D479B">
      <w:pPr>
        <w:pStyle w:val="TextoNormal"/>
      </w:pPr>
      <w:r>
        <w:t>Así pues, es evidente —afirma la representante del Senado— que la presidenta al resolver en sentido negativo, en las resoluciones de 25 y 30 de junio de 2021, la controversia suscitada en torno a la admisión a trámite de la propuesta de modificación del dictamen de la Comisión de Hacienda sobre el proyecto de ley contra el fraude fiscal por ser incongruente con la enmienda núm. 27 del Grupo Parlamentario Izquierda Confederal que la sustentaba se atuvo a las normas constitucionales y reglamentarias aplicables, así como a la doctrina de este tribunal, que aplicó de modo razonable y con motivación expresa y suficiente. En definitiva, las decisiones adoptadas por la presidenta en forma alguna se pueden considerar arbitrarias, ilegítimas o atentatorias al derecho de representación política de los recurrentes.</w:t>
      </w:r>
    </w:p>
    <w:p w14:paraId="140495CD" w14:textId="77777777" w:rsidR="008D479B" w:rsidRDefault="008D479B" w:rsidP="008D479B">
      <w:pPr>
        <w:pStyle w:val="TextoNormal"/>
      </w:pPr>
    </w:p>
    <w:p w14:paraId="16E54DE6" w14:textId="77777777" w:rsidR="008D479B" w:rsidRDefault="008D479B" w:rsidP="008D479B">
      <w:pPr>
        <w:pStyle w:val="TextoNormal"/>
      </w:pPr>
      <w:r>
        <w:t>Por el contrario, la actuación de quienes suscriben la demanda de amparo contravino las reglas expuestas, características de una “buena práctica parlamentaria”, pues buscaron eludir el veto presupuestario del Gobierno a su enmienda núm. 147 mediante una propuesta de modificación incongruente con la enmienda que le servía de soporte, aprovechando la última fase del procedimiento legislativo para, trasmutando el objeto de una enmienda, incluir una materia ajena a su contenido y respecto a la cual el Gobierno había manifestado su disconformidad por implicar una disminución de los ingresos presupuestarios.</w:t>
      </w:r>
    </w:p>
    <w:p w14:paraId="32D6D42F" w14:textId="77777777" w:rsidR="008D479B" w:rsidRDefault="008D479B" w:rsidP="008D479B">
      <w:pPr>
        <w:pStyle w:val="TextoNormal"/>
      </w:pPr>
    </w:p>
    <w:p w14:paraId="3F578BED" w14:textId="77777777" w:rsidR="008D479B" w:rsidRDefault="008D479B" w:rsidP="008D479B">
      <w:pPr>
        <w:pStyle w:val="TextoNormal"/>
      </w:pPr>
      <w:r>
        <w:t>g) Por último, la representante procesal del Senado pretende salir al paso de algunos argumentos o determinadas expresiones que se recogen en la demanda.</w:t>
      </w:r>
    </w:p>
    <w:p w14:paraId="3A6D660F" w14:textId="77777777" w:rsidR="008D479B" w:rsidRDefault="008D479B" w:rsidP="008D479B">
      <w:pPr>
        <w:pStyle w:val="TextoNormal"/>
      </w:pPr>
    </w:p>
    <w:p w14:paraId="4DA639F9" w14:textId="77777777" w:rsidR="008D479B" w:rsidRDefault="008D479B" w:rsidP="008D479B">
      <w:pPr>
        <w:pStyle w:val="TextoNormal"/>
      </w:pPr>
      <w:r>
        <w:t>En primer lugar, considera que la Presidencia de la Cámara no es un órgano inferior al Pleno, ni se encuentra subordinada a este, como tampoco es un órgano superior a él. La Presidencia y el Pleno son órganos situados en planos distintos: mientras el primero —como la mesa— es un órgano rector y la máxima autoridad de la Cámara (art. 38 RS), el Pleno —como las comisiones— es un órgano funcional, esto es, un órgano a través del cual el Senado desempeña sus funciones constitucionales. Esta distinción se trasluce en las competencias que cada uno de ellos tiene atribuidas. No existe, pues, entre la Presidencia y el Pleno relación de jerarquía alguna, cada órgano tiene unas facultades atribuidas constitucional y reglamentariamente y a ellas ha de ajustarse, sin interferir el órgano director —cuya figura resulta imprescindible para el funcionamiento del órgano colegiado y plural, como es el Senado— en el ámbito funcional, ni el órgano funcional en las tareas directivas.</w:t>
      </w:r>
    </w:p>
    <w:p w14:paraId="250E3951" w14:textId="77777777" w:rsidR="008D479B" w:rsidRDefault="008D479B" w:rsidP="008D479B">
      <w:pPr>
        <w:pStyle w:val="TextoNormal"/>
      </w:pPr>
    </w:p>
    <w:p w14:paraId="71770784" w14:textId="77777777" w:rsidR="008D479B" w:rsidRDefault="008D479B" w:rsidP="008D479B">
      <w:pPr>
        <w:pStyle w:val="TextoNormal"/>
      </w:pPr>
      <w:r>
        <w:t>Entre las competencias que reglamentariamente se atribuyen a la Presidencia se encuentra la de la resolución de controversias o incidentes en torno a la calificación de enmiendas o proposiciones de ley de carácter presupuestario (art. 151.5 RS), que se enmarca en la más amplia función de velar por la observancia del reglamento. Pues bien, la Presidencia ha ejercido en este caso sus facultades reglamentarias ajustándose a Derecho y no guiada por criterios de oportunidad política, así como motivando todas y cada una de sus decisiones.</w:t>
      </w:r>
    </w:p>
    <w:p w14:paraId="010C1126" w14:textId="77777777" w:rsidR="008D479B" w:rsidRDefault="008D479B" w:rsidP="008D479B">
      <w:pPr>
        <w:pStyle w:val="TextoNormal"/>
      </w:pPr>
    </w:p>
    <w:p w14:paraId="7E003126" w14:textId="77777777" w:rsidR="008D479B" w:rsidRDefault="008D479B" w:rsidP="008D479B">
      <w:pPr>
        <w:pStyle w:val="TextoNormal"/>
      </w:pPr>
      <w:r>
        <w:t>Lo que hizo la presidenta mediante las resoluciones impugnadas no fue “suplantar” ninguna voluntad, sino estimando las solicitudes del Gobierno y del Grupo Parlamentario Socialista, corregir, todavía en el trámite parlamentario, un vicio procedimental —que se tradujo en un acuerdo del Pleno adoptado al margen del cauce reglamentario— que, de persistir, podría haber llegado a “alcanzar relevancia constitucional, si se alterase de forma sustancial el proceso de formación de voluntad en el seno de las Cámaras” (STC 59/2015, de 18 de marzo, FJ 5), ocasionando la nulidad parcial de la ley. La función y los fines asignados al ejercicio de la potestad legislativa se hubieran visto afectados de no haberse rectificado por la máxima autoridad de la Cámara la ya referida irregularidad de tramitación, que, afectando a los derechos de una parte de la Cámara —el Grupo Parlamentario Socialista— y del Gobierno, así como al carácter instrumental del procedimiento legislativo, habría viciado este de nulidad.</w:t>
      </w:r>
    </w:p>
    <w:p w14:paraId="55F97FAE" w14:textId="77777777" w:rsidR="008D479B" w:rsidRDefault="008D479B" w:rsidP="008D479B">
      <w:pPr>
        <w:pStyle w:val="TextoNormal"/>
      </w:pPr>
    </w:p>
    <w:p w14:paraId="3AC3CB65" w14:textId="77777777" w:rsidR="008D479B" w:rsidRDefault="008D479B" w:rsidP="008D479B">
      <w:pPr>
        <w:pStyle w:val="TextoNormal"/>
      </w:pPr>
      <w:r>
        <w:t>La supuesta intangibilidad de los acuerdos del Pleno no figura como límite en el precepto reglamentario que ampara la competencia del órgano para resolver las controversias que se planteen acerca de la admisión a trámite de las enmiendas de carácter presupuestario. Aun admitiendo que dicho límite pudiera derivarse implícitamente del “carácter soberano del Pleno” en cuando órgano de representación, el incumplimiento —puesto de manifiesto por la presidenta— de las formalidades esenciales para la adopción de acuerdos —en este caso la concurrencia de los requisitos para que una iniciativa pueda ser admitida a trámite— vicia de nulidad estos.</w:t>
      </w:r>
    </w:p>
    <w:p w14:paraId="3FC353CC" w14:textId="77777777" w:rsidR="008D479B" w:rsidRDefault="008D479B" w:rsidP="008D479B">
      <w:pPr>
        <w:pStyle w:val="TextoNormal"/>
      </w:pPr>
    </w:p>
    <w:p w14:paraId="3A7DA3BB" w14:textId="77777777" w:rsidR="008D479B" w:rsidRDefault="008D479B" w:rsidP="008D479B">
      <w:pPr>
        <w:pStyle w:val="TextoNormal"/>
      </w:pPr>
      <w:r>
        <w:t>Finaliza este apartado de sus alegaciones sosteniendo que cuando se planteó formalmente la controversia, el trámite parlamentario del proyecto de ley no había concluido y, por lo tanto, la decisión del Pleno no era definitiva e irrevocable, porque además de poder corregirse en la Cámara —de oficio o a instancia de parte— las irregularidades invalidantes detectadas, restaba la aprobación final de las enmiendas en el Congreso de los Diputados.</w:t>
      </w:r>
    </w:p>
    <w:p w14:paraId="5230FD19" w14:textId="77777777" w:rsidR="008D479B" w:rsidRDefault="008D479B" w:rsidP="008D479B">
      <w:pPr>
        <w:pStyle w:val="TextoNormal"/>
      </w:pPr>
    </w:p>
    <w:p w14:paraId="55E956B5" w14:textId="5BF0446A" w:rsidR="008D479B" w:rsidRDefault="008D479B" w:rsidP="008D479B">
      <w:pPr>
        <w:pStyle w:val="TextoNormal"/>
      </w:pPr>
      <w:r>
        <w:t>Concluye su escrito de alegaciones solicitando de este tribunal que, declarando que las resoluciones impugnadas son conformes a Derecho y no vulneran los derechos fundamentales reconocidos en el art. 23 CE, deniegue el amparo solicitado.</w:t>
      </w:r>
    </w:p>
    <w:p w14:paraId="07710AD1" w14:textId="77777777" w:rsidR="008D479B" w:rsidRDefault="008D479B" w:rsidP="008D479B">
      <w:pPr>
        <w:pStyle w:val="TextoNormal"/>
      </w:pPr>
    </w:p>
    <w:p w14:paraId="0D3AFBDC" w14:textId="77777777" w:rsidR="008D479B" w:rsidRDefault="008D479B" w:rsidP="008D479B">
      <w:pPr>
        <w:pStyle w:val="TextoNormal"/>
      </w:pPr>
      <w:r w:rsidRPr="008D479B">
        <w:rPr>
          <w:rStyle w:val="NumeroAFNegritaCaracter"/>
        </w:rPr>
        <w:t>8</w:t>
      </w:r>
      <w:r>
        <w:t>. El Ministerio Fiscal evacuó el trámite de alegaciones conferido mediante escrito registrado en este tribunal en fecha 25 de febrero de 2022, que en lo sustancial a continuación se resumen.</w:t>
      </w:r>
    </w:p>
    <w:p w14:paraId="76A4C1DC" w14:textId="77777777" w:rsidR="008D479B" w:rsidRDefault="008D479B" w:rsidP="008D479B">
      <w:pPr>
        <w:pStyle w:val="TextoNormal"/>
      </w:pPr>
    </w:p>
    <w:p w14:paraId="363926AF" w14:textId="77777777" w:rsidR="008D479B" w:rsidRDefault="008D479B" w:rsidP="008D479B">
      <w:pPr>
        <w:pStyle w:val="TextoNormal"/>
      </w:pPr>
      <w:r>
        <w:t>a) Tras referirse a los antecedentes del caso y a las alegaciones de los demandantes, el Ministerio Fiscal examina la regulación de las propuestas de modificación (art. 125 RS), que, como su denominación indica, permiten introducir modificaciones en los dictámenes de las comisiones, siempre que sean suscritas por todos los grupos parlamentarios o por la mayoría de los portavoces de los grupos que integren la mayoría de los senadores con anterioridad al inicio del debate en el Pleno del artículo o texto correspondiente. El precepto habilita la posibilidad de que sean presentadas durante las sesiones del Pleno y en un momento inmediatamente anterior a la votación, razón por la que se prevé “un trámite previo de información”, para que puedan ser conocidas por todos los miembros de la Cámara, a fin de fijar su posición y adoptar, en su caso, las iniciativas que puedan ser oportunas.</w:t>
      </w:r>
    </w:p>
    <w:p w14:paraId="61BA4070" w14:textId="77777777" w:rsidR="008D479B" w:rsidRDefault="008D479B" w:rsidP="008D479B">
      <w:pPr>
        <w:pStyle w:val="TextoNormal"/>
      </w:pPr>
    </w:p>
    <w:p w14:paraId="06F7B6B3" w14:textId="77777777" w:rsidR="008D479B" w:rsidRDefault="008D479B" w:rsidP="008D479B">
      <w:pPr>
        <w:pStyle w:val="TextoNormal"/>
      </w:pPr>
      <w:r>
        <w:t>Las propuestas de modificación “se regirán por las mismas normas que las establecidas para los votos particulares” (art. 125.2 RS). De modo que como este tribunal ha declarado en la STC 216/2015, de 22 de octubre, FJ 6, se tramitan al igual que las enmiendas, lo que supone que han de remitirse al Gobierno para que pueda ejercer la facultad de veto presupuestario que le reconoce el art. 134.6 CE.</w:t>
      </w:r>
    </w:p>
    <w:p w14:paraId="7A55995E" w14:textId="77777777" w:rsidR="008D479B" w:rsidRDefault="008D479B" w:rsidP="008D479B">
      <w:pPr>
        <w:pStyle w:val="TextoNormal"/>
      </w:pPr>
    </w:p>
    <w:p w14:paraId="7ACC4AA3" w14:textId="77777777" w:rsidR="008D479B" w:rsidRDefault="008D479B" w:rsidP="008D479B">
      <w:pPr>
        <w:pStyle w:val="TextoNormal"/>
      </w:pPr>
      <w:r>
        <w:t>Así pues, las propuestas de modificación que se presenten en el Pleno han de ser objeto de calificación y de una decisión de admisibilidad a fin de verificar el cumplimiento no solo de sus requisitos formales, sino también su congruencia material con el objeto, la finalidad o la literalidad del texto legislativo. Función que corresponde en este caso, por delegación, a la presidenta, cuya decisión puede ser objeto de solicitud de reconsideración ante la mesa, con suspensión del procedimiento hasta que esta se resuelva. En todo caso, el juicio de admisibilidad ha de tener en cuenta no solo el cumplimiento de los requisitos formales expresamente previstos, sino también la necesidad de asegurar la congruencia material con el texto legislativo.</w:t>
      </w:r>
    </w:p>
    <w:p w14:paraId="7650AB9E" w14:textId="77777777" w:rsidR="008D479B" w:rsidRDefault="008D479B" w:rsidP="008D479B">
      <w:pPr>
        <w:pStyle w:val="TextoNormal"/>
      </w:pPr>
    </w:p>
    <w:p w14:paraId="39C738EA" w14:textId="77777777" w:rsidR="008D479B" w:rsidRDefault="008D479B" w:rsidP="008D479B">
      <w:pPr>
        <w:pStyle w:val="TextoNormal"/>
      </w:pPr>
      <w:r>
        <w:t>También el Gobierno conserva su facultad de veto presupuestario sin plazo para ejercerla en la propia celebración de la sesión plenaria, pero con plena eficacia si cumple los requisitos fijados en la doctrina de este tribunal (STC 34/2018, de 12 de abril). Todo ello supeditado a su previa calificación y admisión a trámite. Aquella facultad del Gobierno no puede impedir las facultades de calificación de la presidenta, que puede decidir continuar con la tramitación de la propuesta sobre la que el Gobierno ha manifestado su disconformidad, si la considera infundada o bien denegar su tramitación.</w:t>
      </w:r>
    </w:p>
    <w:p w14:paraId="520E90C3" w14:textId="77777777" w:rsidR="008D479B" w:rsidRDefault="008D479B" w:rsidP="008D479B">
      <w:pPr>
        <w:pStyle w:val="TextoNormal"/>
      </w:pPr>
    </w:p>
    <w:p w14:paraId="72845F20" w14:textId="77777777" w:rsidR="008D479B" w:rsidRDefault="008D479B" w:rsidP="008D479B">
      <w:pPr>
        <w:pStyle w:val="TextoNormal"/>
      </w:pPr>
      <w:r>
        <w:t>El art. 151 RS no prevé ninguna regla adicional en relación con las posibles controversias que puedan surgir sobre la incidencia presupuestaria de una propuesta de modificación. De aplicarse los plazos contemplados en el citado precepto, por el momento de la tramitación parlamentaria de las propuestas de modificación, no cabría aplicar la controversia o el incidente regulado en el art. 151.5 RS. Sin embargo, debe convenirse, en línea con el criterio mantenido en el informe de los servicios jurídicos del Senado, que el Gobierno respecto a las propuestas de modificación conserva su facultad de veto presupuestario, que puede ejercer en la propia sesión plenaria. Así pues, nada se opone a que el Gobierno pueda ejercer el uso del veto presupuestario con ocasión de un proyecto de ley, como es el caso, una vez finalizado el plazo de presentación de enmiendas en la fase inicial del procedimiento legislativo.</w:t>
      </w:r>
    </w:p>
    <w:p w14:paraId="1894FB40" w14:textId="77777777" w:rsidR="008D479B" w:rsidRDefault="008D479B" w:rsidP="008D479B">
      <w:pPr>
        <w:pStyle w:val="TextoNormal"/>
      </w:pPr>
    </w:p>
    <w:p w14:paraId="109C0CA8" w14:textId="77777777" w:rsidR="008D479B" w:rsidRDefault="008D479B" w:rsidP="008D479B">
      <w:pPr>
        <w:pStyle w:val="TextoNormal"/>
      </w:pPr>
      <w:r>
        <w:t>De no admitirse su ejercicio, los grupos parlamentarios podrían aprovechar la presentación de propuestas de modificación sin que el Gobierno pudiera hacer uso de la facultad de veto presupuestario, lo que contravendría el tenor del art. 134.6 CE.</w:t>
      </w:r>
    </w:p>
    <w:p w14:paraId="48CF2C8E" w14:textId="77777777" w:rsidR="008D479B" w:rsidRDefault="008D479B" w:rsidP="008D479B">
      <w:pPr>
        <w:pStyle w:val="TextoNormal"/>
      </w:pPr>
    </w:p>
    <w:p w14:paraId="12EDB7A8" w14:textId="77777777" w:rsidR="008D479B" w:rsidRDefault="008D479B" w:rsidP="008D479B">
      <w:pPr>
        <w:pStyle w:val="TextoNormal"/>
      </w:pPr>
      <w:r>
        <w:t>b) La controversia que se somete a la presidenta del Senado vendría determinada por la facultad del Gobierno de oponerse a la tramitación de la propuesta de modificación núm. 103.309 de conformidad con los arts. 134.6 CE y 151 RS y por su calificación e inadmisión a trámite por la mesa de la Cámara, en sesión de 23 de junio de 2021.</w:t>
      </w:r>
    </w:p>
    <w:p w14:paraId="7C8EFFA5" w14:textId="77777777" w:rsidR="008D479B" w:rsidRDefault="008D479B" w:rsidP="008D479B">
      <w:pPr>
        <w:pStyle w:val="TextoNormal"/>
      </w:pPr>
    </w:p>
    <w:p w14:paraId="47F99012" w14:textId="77777777" w:rsidR="008D479B" w:rsidRDefault="008D479B" w:rsidP="008D479B">
      <w:pPr>
        <w:pStyle w:val="TextoNormal"/>
      </w:pPr>
      <w:r>
        <w:t>El contenido de la controversia estaría integrado, por un lado, por los motivos expuestos por el Gobierno para oponerse a la tramitación de la propuesta de modificación en ejercicio de la facultad que le asiste de vetar aquellas iniciativas parlamentarias que suponen una afectación al presupuesto en vigor porque suponen un aumento de créditos, bien porque impliquen una disminución de gastos; y, de otro lado, por el derecho que asiste a los grupos parlamentarios de que se tramiten y voten aquellas propuestas de modificación que reúnan los requisitos reglamentarios, una vez han sido calificadas y admitidas por la mesa de la Cámara.</w:t>
      </w:r>
    </w:p>
    <w:p w14:paraId="6F75364C" w14:textId="77777777" w:rsidR="008D479B" w:rsidRDefault="008D479B" w:rsidP="008D479B">
      <w:pPr>
        <w:pStyle w:val="TextoNormal"/>
      </w:pPr>
    </w:p>
    <w:p w14:paraId="322BD098" w14:textId="77777777" w:rsidR="008D479B" w:rsidRDefault="008D479B" w:rsidP="008D479B">
      <w:pPr>
        <w:pStyle w:val="TextoNormal"/>
      </w:pPr>
      <w:r>
        <w:t>En opinión del Ministerio Fiscal, es evidente que la controversia o incidente a que se refiere el art. 151.5 RS tiene por objeto la facultad que asiste al Gobierno conforme al art. 134.6 CE de oponerse a que se tramiten por las Cámaras iniciativas que pueden suponer un aumento de créditos o disminución de ingresos, esto es, aquella controversia viene vinculada al ejercicio de dicha facultad.</w:t>
      </w:r>
    </w:p>
    <w:p w14:paraId="29C0D8F5" w14:textId="77777777" w:rsidR="008D479B" w:rsidRDefault="008D479B" w:rsidP="008D479B">
      <w:pPr>
        <w:pStyle w:val="TextoNormal"/>
      </w:pPr>
    </w:p>
    <w:p w14:paraId="33AFB72D" w14:textId="77777777" w:rsidR="008D479B" w:rsidRDefault="008D479B" w:rsidP="008D479B">
      <w:pPr>
        <w:pStyle w:val="TextoNormal"/>
      </w:pPr>
      <w:r>
        <w:t xml:space="preserve">Por ello, entiende que no parece que debería de haberse aceptado que por el Grupo Parlamentario Socialista se hubiera promovido la controversia o incidente del art. 151.5 RS con apoyo en la falta de congruencia entre la propuesta de modificación y la enmienda que le sirve de cobertura, pues la facultad del art. 134.6 CE corresponde en exclusiva al Gobierno. En su caso, el Grupo Parlamentario Socialista pudo hacer valer su derecho fundamental por alteración del procedimiento legislativo que afectaría al </w:t>
      </w:r>
      <w:r w:rsidRPr="008D479B">
        <w:rPr>
          <w:i/>
        </w:rPr>
        <w:t>ius in officium</w:t>
      </w:r>
      <w:r>
        <w:t xml:space="preserve"> de sus diputados, por haberse tramitado una propuesta de modificación que no guarda congruencia con la enmienda, lo que le excluiría de la controversia o incidente del art. 151.5 RS.</w:t>
      </w:r>
    </w:p>
    <w:p w14:paraId="2E72B10A" w14:textId="77777777" w:rsidR="008D479B" w:rsidRDefault="008D479B" w:rsidP="008D479B">
      <w:pPr>
        <w:pStyle w:val="TextoNormal"/>
      </w:pPr>
    </w:p>
    <w:p w14:paraId="3879CAAB" w14:textId="77777777" w:rsidR="008D479B" w:rsidRDefault="008D479B" w:rsidP="008D479B">
      <w:pPr>
        <w:pStyle w:val="TextoNormal"/>
      </w:pPr>
      <w:r>
        <w:t>Asimismo, la alegación de incongruencia entre la propuesta de modificación y la enmienda realizada por el Gobierno en su escrito de 24 de junio de 2021 tampoco podía servir de soporte a la controversia. Además, la congruencia entre la propuesta de modificación y la enmienda que le sirve de cobertura fue zanjada por la mesa de la Cámara, en su sesión de 23 de junio de 2021, al pronunciarse sobre la reconsideración formulada por el portavoz del Grupo Parlamentario Popular frente a la decisión de la presidenta de no admitirla a trámite por no ser congruente con la enmienda en la que se apoyaba y sobre la comunicación del Gobierno oponiéndose a su tramitación en ejercicio de la facultad que le confiere el art. 134.6 CE. La mesa rechazó la incongruencia apreciada por la presidenta y, además, no admitió a trámite la disconformidad del Gobierno porque la propuesta de modificación se refería a un ejercicio presupuestario futuro, no al presupuesto en vigor.</w:t>
      </w:r>
    </w:p>
    <w:p w14:paraId="24A42C65" w14:textId="77777777" w:rsidR="008D479B" w:rsidRDefault="008D479B" w:rsidP="008D479B">
      <w:pPr>
        <w:pStyle w:val="TextoNormal"/>
      </w:pPr>
    </w:p>
    <w:p w14:paraId="226D3D22" w14:textId="77777777" w:rsidR="008D479B" w:rsidRDefault="008D479B" w:rsidP="008D479B">
      <w:pPr>
        <w:pStyle w:val="TextoNormal"/>
      </w:pPr>
      <w:r>
        <w:t>Aunque se pudiera entender que la propuesta de modificación no debió de admitirse a trámite por la mesa por falta de congruencia, sin embargo, la causa de la controversia era la discrepancia del Gobierno que entendió que afectaba al presupuesto por suponer una disminución de los ingresos. Solo esta discrepancia, a juicio del Ministerio Fiscal, puede sustentar la controversia, que no puede basarse en otros motivos si no existe la afectación al presupuesto en vigor.</w:t>
      </w:r>
    </w:p>
    <w:p w14:paraId="49F7281F" w14:textId="77777777" w:rsidR="008D479B" w:rsidRDefault="008D479B" w:rsidP="008D479B">
      <w:pPr>
        <w:pStyle w:val="TextoNormal"/>
      </w:pPr>
    </w:p>
    <w:p w14:paraId="54F46D0D" w14:textId="77777777" w:rsidR="008D479B" w:rsidRDefault="008D479B" w:rsidP="008D479B">
      <w:pPr>
        <w:pStyle w:val="TextoNormal"/>
      </w:pPr>
      <w:r>
        <w:t>c) El Ministerio Fiscal aborda a continuación si la controversia se ha planteado tempestivamente, lo que exige analizar el momento preclusivo en el que el Gobierno puede hacer valer la facultad del art. 134.6 CE.</w:t>
      </w:r>
    </w:p>
    <w:p w14:paraId="20D06D16" w14:textId="77777777" w:rsidR="008D479B" w:rsidRDefault="008D479B" w:rsidP="008D479B">
      <w:pPr>
        <w:pStyle w:val="TextoNormal"/>
      </w:pPr>
    </w:p>
    <w:p w14:paraId="259CBCD1" w14:textId="77777777" w:rsidR="008D479B" w:rsidRDefault="008D479B" w:rsidP="008D479B">
      <w:pPr>
        <w:pStyle w:val="TextoNormal"/>
      </w:pPr>
      <w:r>
        <w:t>En el presente caso, la propuesta de modificación había sido admitida por la mesa, por lo que la controversia, en atención al segundo escrito del Gobierno presentado el día 23 de junio de 2021, trae causa de dicho acuerdo y afecta a la validez de este y al acuerdo del Pleno, lo que requiere valorar si la presidenta está habilitada para pronunciarse sobre la controversia existente.</w:t>
      </w:r>
    </w:p>
    <w:p w14:paraId="093D255B" w14:textId="77777777" w:rsidR="008D479B" w:rsidRDefault="008D479B" w:rsidP="008D479B">
      <w:pPr>
        <w:pStyle w:val="TextoNormal"/>
      </w:pPr>
    </w:p>
    <w:p w14:paraId="606E1BF5" w14:textId="77777777" w:rsidR="008D479B" w:rsidRDefault="008D479B" w:rsidP="008D479B">
      <w:pPr>
        <w:pStyle w:val="TextoNormal"/>
      </w:pPr>
      <w:r>
        <w:t>El ejercicio de la facultad del art. 134.6 CE tiene como finalidad evitar que a través de las proposiciones de ley o enmiendas se altere el contenido especial del presupuesto, evitando que se tramiten iniciativas que puedan suponer un aumento de créditos o una disminución de ingresos y así proteger el presupuesto como instrumento primordial de la función constitucional atribuida al Gobierno en el ámbito de la dirección y orientación de la política económica con lo que se pretende proteger el equilibrio presupuestario. A garantizar esta finalidad responde la controversia regulada en el art. 151.5 RS cuando surja una discrepancia entre el Gobierno y la comisión sobre la pertinencia de tramitar una enmienda a la iniciativa legislativa.</w:t>
      </w:r>
    </w:p>
    <w:p w14:paraId="7E8EA084" w14:textId="77777777" w:rsidR="008D479B" w:rsidRDefault="008D479B" w:rsidP="008D479B">
      <w:pPr>
        <w:pStyle w:val="TextoNormal"/>
      </w:pPr>
    </w:p>
    <w:p w14:paraId="2928F986" w14:textId="77777777" w:rsidR="008D479B" w:rsidRDefault="008D479B" w:rsidP="008D479B">
      <w:pPr>
        <w:pStyle w:val="TextoNormal"/>
      </w:pPr>
      <w:r>
        <w:t>El art. 151.5 RS pretende que la discrepancia o cualquier otro tipo de incidente quede resuelto por la presidenta de la Cámara en un momento anterior al debate y votación por el Pleno “del artículo o texto correspondiente”. Dada la redacción del art. 125.1 RS, las propuestas de modificación deben presentarse al inicio del debate, lo que permite que, antes de que la propuesta se debata y vote en el Pleno, el Gobierno pueda tener conocimiento de la misma y ejercer el veto del art. 134.6 CE, así como que la propuesta sea calificada y admitida a trámite, en su caso, por la mesa, y, si procediera, que se plantee la controversia del art. 151.5 RS.</w:t>
      </w:r>
    </w:p>
    <w:p w14:paraId="2F21515F" w14:textId="77777777" w:rsidR="008D479B" w:rsidRDefault="008D479B" w:rsidP="008D479B">
      <w:pPr>
        <w:pStyle w:val="TextoNormal"/>
      </w:pPr>
    </w:p>
    <w:p w14:paraId="6B99BC30" w14:textId="77777777" w:rsidR="008D479B" w:rsidRDefault="008D479B" w:rsidP="008D479B">
      <w:pPr>
        <w:pStyle w:val="TextoNormal"/>
      </w:pPr>
      <w:r>
        <w:t>El Ministerio Fiscal sostiene que en este caso la controversia se ha planteado por el Gobierno una vez que ya había sido aprobada la propuesta de modificación por el Pleno de la Cámara, de modo que no solo había concluido el procedimiento reglamentario de tramitación de la propuesta de modificación, sino que había quedado definitivamente establecida la voluntad de la Cámara sobre esta iniciativa. El procedimiento legislativo en relación con la propuesta de modificación había finalizado tras la votación por el Pleno de la iniciativa parlamentaria, por lo que la presidenta no podía pronunciarse sobre una controversia suscitada una vez que el Pleno había votado y aprobado la propuesta de modificación.</w:t>
      </w:r>
    </w:p>
    <w:p w14:paraId="2C25BDA9" w14:textId="77777777" w:rsidR="008D479B" w:rsidRDefault="008D479B" w:rsidP="008D479B">
      <w:pPr>
        <w:pStyle w:val="TextoNormal"/>
      </w:pPr>
    </w:p>
    <w:p w14:paraId="170544BE" w14:textId="77777777" w:rsidR="008D479B" w:rsidRDefault="008D479B" w:rsidP="008D479B">
      <w:pPr>
        <w:pStyle w:val="TextoNormal"/>
      </w:pPr>
      <w:r>
        <w:t>Admitir una controversia después de la votación y aprobación de la propuesta de modificación por el Pleno sugiere que la resolución de la misma es intempestiva y desnaturaliza la función de la controversia o del incidente previstos en el art. 151.5 RS, que pretende que no se sometan a debate y votación aquellas iniciativas sobre las que el Gobierno haya ejercido el veto presupuestario en los términos que la doctrina de este tribunal ha establecido.</w:t>
      </w:r>
    </w:p>
    <w:p w14:paraId="48B117A3" w14:textId="77777777" w:rsidR="008D479B" w:rsidRDefault="008D479B" w:rsidP="008D479B">
      <w:pPr>
        <w:pStyle w:val="TextoNormal"/>
      </w:pPr>
    </w:p>
    <w:p w14:paraId="24475ED0" w14:textId="77777777" w:rsidR="008D479B" w:rsidRDefault="008D479B" w:rsidP="008D479B">
      <w:pPr>
        <w:pStyle w:val="TextoNormal"/>
      </w:pPr>
      <w:r>
        <w:t>Si la propuesta de modificación ya ha sido votada y, con ello, concluido el procedimiento de tramitación de la iniciativa parlamentaria, dado que la finalidad del veto presupuestario es evitar que se puedan aprobar iniciativas que incidan sobre la integridad del presupuesto, no puede admitirse, como sugiere la presidenta de la Cámara, que la controversia pueda plantearse antes de remitir al Congreso de los Diputados la memoria que contiene las modificaciones al proyecto de ley aprobadas por el Senado, lo que supone que la presidenta ha resuelto sobre una controversia que se ha planteado intempestivamente.</w:t>
      </w:r>
    </w:p>
    <w:p w14:paraId="4E2D9AC9" w14:textId="77777777" w:rsidR="008D479B" w:rsidRDefault="008D479B" w:rsidP="008D479B">
      <w:pPr>
        <w:pStyle w:val="TextoNormal"/>
      </w:pPr>
    </w:p>
    <w:p w14:paraId="6E10EB76" w14:textId="77777777" w:rsidR="008D479B" w:rsidRDefault="008D479B" w:rsidP="008D479B">
      <w:pPr>
        <w:pStyle w:val="TextoNormal"/>
      </w:pPr>
      <w:r>
        <w:t>Como sugieren los servicios jurídicos de la Cámara en su informe, la controversia puede ser suscitada de oficio por la propia presidenta y, dada su decisión inicial de rechazar la propuesta de modificación, bien pudo, tras el acuerdo de la mesa que estimó la solicitud de reconsideración contra aquella decisión, promover la controversia y resolverla antes de que se pronunciara el Pleno sobre la iniciativa parlamentaria y así impedir su votación.</w:t>
      </w:r>
    </w:p>
    <w:p w14:paraId="3FE5867F" w14:textId="77777777" w:rsidR="008D479B" w:rsidRDefault="008D479B" w:rsidP="008D479B">
      <w:pPr>
        <w:pStyle w:val="TextoNormal"/>
      </w:pPr>
    </w:p>
    <w:p w14:paraId="4E9F1D57" w14:textId="77777777" w:rsidR="008D479B" w:rsidRDefault="008D479B" w:rsidP="008D479B">
      <w:pPr>
        <w:pStyle w:val="TextoNormal"/>
      </w:pPr>
      <w:r>
        <w:t>Además, señala el Ministerio Fiscal, el veto presupuestario del Gobierno no respetaba en este caso la regla de la anualidad del presupuesto, ya que la propuesta de modificación entraba en vigor el día 1 de enero de 2022, dándose además la circunstancia de que la mesa había rechazado el veto presupuestario por este motivo.</w:t>
      </w:r>
    </w:p>
    <w:p w14:paraId="1F9FB955" w14:textId="77777777" w:rsidR="008D479B" w:rsidRDefault="008D479B" w:rsidP="008D479B">
      <w:pPr>
        <w:pStyle w:val="TextoNormal"/>
      </w:pPr>
    </w:p>
    <w:p w14:paraId="644111FB" w14:textId="77777777" w:rsidR="008D479B" w:rsidRDefault="008D479B" w:rsidP="008D479B">
      <w:pPr>
        <w:pStyle w:val="TextoNormal"/>
      </w:pPr>
      <w:r>
        <w:t>d) Manifiesta su conformidad con el criterio de los servicios jurídicos de la Cámara cuando sostienen la vinculación de la propuesta de modificación con la enmienda o voto particular que le sirve de apoyo, pues así resulta del tenor del art. 125.1 a) RS. Así pues, como mantienen las resoluciones impugnadas, entre la propuesta de modificación núm. 103.309 y la enmienda núm. 27 del Grupo Parlamentario Izquierda Confederal no existiría la necesaria conexión material o congruencia, lo que la haría inviable. Sin embargo, esa falta de congruencia o conexión material, por un lado, fue desestimada por la mesa en su sesión de 23 de junio de 2021 y, por otro, no determina que la controversia debía de prosperar por dicho motivo, pues con ella se pretende que no se tramiten iniciativas con incidencia en el presupuesto en vigor y, en este caso, con independencia de su congruencia, la propuesta de modificación no afectaba al presupuesto en vigor.</w:t>
      </w:r>
    </w:p>
    <w:p w14:paraId="6E509691" w14:textId="77777777" w:rsidR="008D479B" w:rsidRDefault="008D479B" w:rsidP="008D479B">
      <w:pPr>
        <w:pStyle w:val="TextoNormal"/>
      </w:pPr>
    </w:p>
    <w:p w14:paraId="58DA7CAB" w14:textId="77777777" w:rsidR="008D479B" w:rsidRDefault="008D479B" w:rsidP="008D479B">
      <w:pPr>
        <w:pStyle w:val="TextoNormal"/>
      </w:pPr>
      <w:r>
        <w:t>Por ello, con independencia de si existe congruencia o no entre la enmienda y la propuesta de modificación o la controversia fuera intempestiva o cual fuera la intención de los grupos parlamentarios de demorar su entrada en vigor, lo cierto es que la mesa, en su sesión de 23 de junio de 2021, admitió la tramitación de la propuesta por tratarse de una iniciativa de gasto cero, dado que no afectaba al presupuesto en vigor, respetando el principio de anualidad como exige la doctrina de este tribunal (STC 94/2018, de 17 de septiembre). Además, la mesa valoró la concurrencia de los requisitos del art. 134.6 CE respecto a la disconformidad del Gobierno y el Pleno aprobó la propuesta de modificación, por lo que no se habría producido ninguna alteración del procedimiento legislativo en la tramitación de la propuesta.</w:t>
      </w:r>
    </w:p>
    <w:p w14:paraId="4715D38D" w14:textId="77777777" w:rsidR="008D479B" w:rsidRDefault="008D479B" w:rsidP="008D479B">
      <w:pPr>
        <w:pStyle w:val="TextoNormal"/>
      </w:pPr>
    </w:p>
    <w:p w14:paraId="043F8991" w14:textId="77777777" w:rsidR="008D479B" w:rsidRDefault="008D479B" w:rsidP="008D479B">
      <w:pPr>
        <w:pStyle w:val="TextoNormal"/>
      </w:pPr>
      <w:r>
        <w:t>Lo trascendente del caso es que una resolución de la presidenta pueda dejar sin efecto un acuerdo del Pleno al margen de los motivos reglamentariamente previstos y a través de un procedimiento destinado a proteger la facultad del art. 134.6 CE que asiste al Gobierno, teleológicamente dirigida a que no se tramiten iniciativas con efectos sobre el presupuesto en vigor, cuando, además, la iniciativa parlamentaria ya ha sido votada por el Pleno y culminado el procedimiento legislativo.</w:t>
      </w:r>
    </w:p>
    <w:p w14:paraId="07D931E1" w14:textId="77777777" w:rsidR="008D479B" w:rsidRDefault="008D479B" w:rsidP="008D479B">
      <w:pPr>
        <w:pStyle w:val="TextoNormal"/>
      </w:pPr>
    </w:p>
    <w:p w14:paraId="22890796" w14:textId="77777777" w:rsidR="008D479B" w:rsidRDefault="008D479B" w:rsidP="008D479B">
      <w:pPr>
        <w:pStyle w:val="TextoNormal"/>
      </w:pPr>
      <w:r>
        <w:t>El precepto no habilita una interpretación y aplicación que conduzca a dejar sin efecto un acuerdo del Pleno tomado tras haber fiscalizado la mesa los requisitos que la doctrina de este tribunal exige al ejercicio de la facultad del art. 134.6 CE.</w:t>
      </w:r>
    </w:p>
    <w:p w14:paraId="35CC95B1" w14:textId="77777777" w:rsidR="008D479B" w:rsidRDefault="008D479B" w:rsidP="008D479B">
      <w:pPr>
        <w:pStyle w:val="TextoNormal"/>
      </w:pPr>
    </w:p>
    <w:p w14:paraId="10ABBE12" w14:textId="77777777" w:rsidR="008D479B" w:rsidRDefault="008D479B" w:rsidP="008D479B">
      <w:pPr>
        <w:pStyle w:val="TextoNormal"/>
      </w:pPr>
      <w:r>
        <w:t>Nada se opone que a través de la controversia o el incidente del art. 151.5 RS pueda la presidenta adoptar las medidas necesarias para que la facultad del Gobierno del art. 134.6 CE sea respetada por la Cámara. Pero una vez que la iniciativa ha sido debatida y votada por el Pleno, la controversia o el incidente pierden su función y finalidad que es precisamente evitar que se aprueben modificaciones al proyecto de ley que afecten al presupuesto en vigor.</w:t>
      </w:r>
    </w:p>
    <w:p w14:paraId="5C049157" w14:textId="77777777" w:rsidR="008D479B" w:rsidRDefault="008D479B" w:rsidP="008D479B">
      <w:pPr>
        <w:pStyle w:val="TextoNormal"/>
      </w:pPr>
    </w:p>
    <w:p w14:paraId="659C886F" w14:textId="77777777" w:rsidR="008D479B" w:rsidRDefault="008D479B" w:rsidP="008D479B">
      <w:pPr>
        <w:pStyle w:val="TextoNormal"/>
      </w:pPr>
      <w:r>
        <w:t xml:space="preserve">En consecuencia —afirma el Ministerio Fiscal— las resoluciones impugnadas, al anular la votación del Pleno de la Cámara no han respetado el procedimiento legislativo, vulnerando el </w:t>
      </w:r>
      <w:r w:rsidRPr="008D479B">
        <w:rPr>
          <w:i/>
        </w:rPr>
        <w:t>ius in officium</w:t>
      </w:r>
      <w:r>
        <w:t xml:space="preserve"> propio del cargo de parlamentario (art. 23.2 CE) y el correlativo derecho de los ciudadanos a participar en los asuntos públicos a través de sus representantes (art. 23.1 CE). Es más, dicha anulación afectaría al derecho de voto que asiste a cada uno de los senadores (art. 20.1 RS), no porque se haya impedido su ejercicio, sino porque su contribución a la formación de la voluntad de la Cámara se ha visto privada de cualquier efecto.</w:t>
      </w:r>
    </w:p>
    <w:p w14:paraId="263228EA" w14:textId="77777777" w:rsidR="008D479B" w:rsidRDefault="008D479B" w:rsidP="008D479B">
      <w:pPr>
        <w:pStyle w:val="TextoNormal"/>
      </w:pPr>
    </w:p>
    <w:p w14:paraId="4528EA05" w14:textId="715DECFD" w:rsidR="008D479B" w:rsidRDefault="008D479B" w:rsidP="008D479B">
      <w:pPr>
        <w:pStyle w:val="TextoNormal"/>
      </w:pPr>
      <w:r>
        <w:t>Concluye su escrito de alegaciones solicitando que se declare vulnerado el derecho de los demandantes de amparo a ejercer sus funciones representativas con los requisitos que señalen las leyes (art. 23.2 CE) y se les restablezca en el mismo mediante la declaración de nulidad de las resoluciones de la presidenta del Senado de 25 y 30 de junio de 2021.</w:t>
      </w:r>
    </w:p>
    <w:p w14:paraId="78F5FBE6" w14:textId="77777777" w:rsidR="008D479B" w:rsidRDefault="008D479B" w:rsidP="008D479B">
      <w:pPr>
        <w:pStyle w:val="TextoNormal"/>
      </w:pPr>
    </w:p>
    <w:p w14:paraId="6088C687" w14:textId="7A3518FC" w:rsidR="008D479B" w:rsidRDefault="008D479B" w:rsidP="008D479B">
      <w:pPr>
        <w:pStyle w:val="TextoNormal"/>
      </w:pPr>
      <w:r w:rsidRPr="008D479B">
        <w:rPr>
          <w:rStyle w:val="NumeroAFNegritaCaracter"/>
        </w:rPr>
        <w:t>9</w:t>
      </w:r>
      <w:r>
        <w:t>. El Pleno, por providencia de 24 de marzo de 2022, de conformidad con lo establecido en el art. 10.1 n) LOTC, a propuesta de la Sala Primera, acordó recabar para sí el conocimiento del presente recurso de amparo.</w:t>
      </w:r>
    </w:p>
    <w:p w14:paraId="1056B025" w14:textId="77777777" w:rsidR="008D479B" w:rsidRDefault="008D479B" w:rsidP="008D479B">
      <w:pPr>
        <w:pStyle w:val="TextoNormal"/>
      </w:pPr>
    </w:p>
    <w:p w14:paraId="48A32EF3" w14:textId="374D01D6" w:rsidR="008D479B" w:rsidRDefault="008D479B" w:rsidP="008D479B">
      <w:pPr>
        <w:pStyle w:val="TextoNormal"/>
      </w:pPr>
      <w:r w:rsidRPr="008D479B">
        <w:rPr>
          <w:rStyle w:val="NumeroAFNegritaCaracter"/>
        </w:rPr>
        <w:t>10</w:t>
      </w:r>
      <w:r>
        <w:t>. Por providencia de 21 de noviembre de 2023 se señaló el siguiente día 22 para la deliberación y votación de la presente sentencia.</w:t>
      </w:r>
    </w:p>
    <w:p w14:paraId="26A3AF2B" w14:textId="77777777" w:rsidR="008D479B" w:rsidRDefault="008D479B" w:rsidP="008D479B">
      <w:pPr>
        <w:pStyle w:val="TextoNormal"/>
      </w:pPr>
    </w:p>
    <w:p w14:paraId="7C84E4D3" w14:textId="77777777" w:rsidR="008D479B" w:rsidRDefault="008D479B" w:rsidP="008D479B">
      <w:pPr>
        <w:pStyle w:val="TextoNormalNegritaCentrado"/>
        <w:keepNext/>
      </w:pPr>
      <w:r>
        <w:t>II. Fundamentos jurídicos</w:t>
      </w:r>
    </w:p>
    <w:p w14:paraId="0C453A33" w14:textId="56D6764A" w:rsidR="008D479B" w:rsidRDefault="008D479B" w:rsidP="008D479B">
      <w:pPr>
        <w:pStyle w:val="TextoNormalNegritaCentrado"/>
        <w:keepNext/>
      </w:pPr>
    </w:p>
    <w:p w14:paraId="6A68CD3E" w14:textId="77777777" w:rsidR="008D479B" w:rsidRDefault="008D479B" w:rsidP="008D479B">
      <w:pPr>
        <w:pStyle w:val="TextoNormal"/>
      </w:pPr>
      <w:r w:rsidRPr="008D479B">
        <w:rPr>
          <w:rStyle w:val="NumeroAFNegritaCaracter"/>
        </w:rPr>
        <w:t>1</w:t>
      </w:r>
      <w:r>
        <w:t xml:space="preserve">. </w:t>
      </w:r>
      <w:r w:rsidRPr="008D479B">
        <w:rPr>
          <w:i/>
        </w:rPr>
        <w:t>Objeto del recurso</w:t>
      </w:r>
    </w:p>
    <w:p w14:paraId="1F6F6D4A" w14:textId="77777777" w:rsidR="008D479B" w:rsidRDefault="008D479B" w:rsidP="008D479B">
      <w:pPr>
        <w:pStyle w:val="TextoNormal"/>
      </w:pPr>
    </w:p>
    <w:p w14:paraId="495149AA" w14:textId="77777777" w:rsidR="008D479B" w:rsidRDefault="008D479B" w:rsidP="008D479B">
      <w:pPr>
        <w:pStyle w:val="TextoNormal"/>
      </w:pPr>
      <w:r>
        <w:t>Se impugnan en este proceso constitucional la resolución de la presidenta del Senado, de 25 de junio de 2021, por la que se acordó “1. Estimar las solicitudes de resolución de la controversia formuladas por el Gobierno y el Grupo Parlamentario Socialista en virtud de lo dispuesto en el artículo 151.5 del Reglamento del Senado; 2. Declarar la nulidad de la votación en el Pleno de la propuesta de modificación con número de registro de entrada 103.309; 3. Ordenar, en consecuencia, la no inclusión de dicha enmienda en el mensaje motivado que el Senado debe remitir al Congreso de los Diputados en virtud de lo dispuesto en los artículos 90.2 de la Constitución y 106.1 del Reglamento de la Cámara; 4. Dar traslado de la presente resolución al Gobierno, a los Grupos parlamentarios de la Cámara y a la Secretaría General del Senado” (“BOCG”, Senado, XIV Legislatura, núm. 120, de 1 de julio de 2021); así como la resolución de la presidenta, de 30 de junio de 2021, que desestimó la solicitud de reconsideración promovida frente a la anterior resolución de 25 de junio de 2021.</w:t>
      </w:r>
    </w:p>
    <w:p w14:paraId="30F42FF5" w14:textId="77777777" w:rsidR="008D479B" w:rsidRDefault="008D479B" w:rsidP="008D479B">
      <w:pPr>
        <w:pStyle w:val="TextoNormal"/>
      </w:pPr>
    </w:p>
    <w:p w14:paraId="552C1A7A" w14:textId="0BBD0322" w:rsidR="008D479B" w:rsidRDefault="008D479B" w:rsidP="008D479B">
      <w:pPr>
        <w:pStyle w:val="TextoNormal"/>
      </w:pPr>
      <w:r>
        <w:t>En la medida en que la resolución de 30 de junio de 2021 se limita a desestimar la solicitud de reconsideración, por remisión a un informe de la Secretaría General de la Cámara, confirmando en sus términos la resolución de 25 de junio de 2021, es esta última, como la representación procesal del Senado señala, la que constituye el objeto central de este recurso de amparo, sin perjuicio de que las consecuencias de su enjuiciamiento deban proyectarse a la resolución de 30 de junio de 2021.</w:t>
      </w:r>
    </w:p>
    <w:p w14:paraId="15B121B0" w14:textId="77777777" w:rsidR="008D479B" w:rsidRDefault="008D479B" w:rsidP="008D479B">
      <w:pPr>
        <w:pStyle w:val="TextoNormal"/>
      </w:pPr>
    </w:p>
    <w:p w14:paraId="787194D2" w14:textId="77777777" w:rsidR="008D479B" w:rsidRDefault="008D479B" w:rsidP="008D479B">
      <w:pPr>
        <w:pStyle w:val="TextoNormal"/>
      </w:pPr>
      <w:r w:rsidRPr="008D479B">
        <w:rPr>
          <w:rStyle w:val="NumeroAFNegritaCaracter"/>
        </w:rPr>
        <w:t>2</w:t>
      </w:r>
      <w:r>
        <w:t xml:space="preserve">. </w:t>
      </w:r>
      <w:r w:rsidRPr="008D479B">
        <w:rPr>
          <w:i/>
        </w:rPr>
        <w:t>Posiciones de las partes</w:t>
      </w:r>
    </w:p>
    <w:p w14:paraId="699A15C3" w14:textId="77777777" w:rsidR="008D479B" w:rsidRDefault="008D479B" w:rsidP="008D479B">
      <w:pPr>
        <w:pStyle w:val="TextoNormal"/>
      </w:pPr>
    </w:p>
    <w:p w14:paraId="35D91DD4" w14:textId="77777777" w:rsidR="008D479B" w:rsidRDefault="008D479B" w:rsidP="008D479B">
      <w:pPr>
        <w:pStyle w:val="TextoNormal"/>
      </w:pPr>
      <w:r>
        <w:t xml:space="preserve">Los demandantes de amparo, integrantes ambos y, además, portavoz el primero del Grupo Parlamentario Popular en el Senado, sostienen que las resoluciones recurridas han vulnerado su derecho al ejercicio del cargo parlamentario (art. 23.2 CE), en conexión con el derecho de los ciudadanos a participar en los asuntos públicos a través de representantes (art. 23.1 CE), por haber anulado la presidenta de la Cámara, en un uso desviado de las previsiones reglamentarias, la votación en el Pleno de la propuesta de modificación núm. 103.309, que es expresión de la función legislativa que el Senado tiene constitucionalmente atribuida y en la que sus miembros, entre ellos los demandantes de amparo y los demás senadores del Grupo Parlamentario Popular, tienen derecho a participar como manifestación relevante de su </w:t>
      </w:r>
      <w:r w:rsidRPr="008D479B">
        <w:rPr>
          <w:i/>
        </w:rPr>
        <w:t>ius in officium</w:t>
      </w:r>
      <w:r>
        <w:t>. A su juicio, la presidenta carece de competencia para anular en el ejercicio de la facultad que le confiere el art. 151.5 del Reglamento del Senado (RS) una decisión del Pleno, a través de la cual la Cámara ha manifestado su voluntad favorable a la aprobación de la mencionada propuesta de modificación durante la tramitación del proyecto de ley de medidas contra el fraude fiscal, pues aquella facultad encuentra un límite absoluto en la intangibilidad de los acuerdos del Pleno. Tras argumentar que la propuesta de modificación era congruente con el texto enmendado (art. 152.2 RS) y que todos los senadores tuvieron conocimiento de su contenido (art. 125.3 RS), consideran que la presidenta ha impedido con la anulación de la referida votación que el ejercicio de la función legislativa desplegara los efectos constitucional y reglamentariamente previstos, al haber excluido aquella propuesta de modificación del mensaje motivado que el Senado ha remitido al Congreso de los Diputados con el resto de las enmiendas introducidas al proyecto de ley (arts. 90.2 CE y 106.1 RS).</w:t>
      </w:r>
    </w:p>
    <w:p w14:paraId="4B79139B" w14:textId="77777777" w:rsidR="008D479B" w:rsidRDefault="008D479B" w:rsidP="008D479B">
      <w:pPr>
        <w:pStyle w:val="TextoNormal"/>
      </w:pPr>
    </w:p>
    <w:p w14:paraId="212EC73D" w14:textId="77777777" w:rsidR="008D479B" w:rsidRDefault="008D479B" w:rsidP="008D479B">
      <w:pPr>
        <w:pStyle w:val="TextoNormal"/>
      </w:pPr>
      <w:r>
        <w:t xml:space="preserve">La letrada de las Cortes Generales en representación del Senado se opone a la estimación de la demanda. Comienza por señalar que las propuestas de modificación reguladas en el art. 125 RS pueden ser objeto de la facultad gubernamental de veto presupuestario </w:t>
      </w:r>
      <w:r w:rsidRPr="008D479B">
        <w:rPr>
          <w:i/>
        </w:rPr>
        <w:t>ex</w:t>
      </w:r>
      <w:r>
        <w:t xml:space="preserve"> arts. 134.6 CE y 151.1 RS, que en este caso el Gobierno ejerció en la sesión plenaria en la que fue presentada e iba a debatirse la propuesta de modificación núm. 103.309, manifestando la disconformidad con su tramitación por implicar una disminución de los ingresos presupuestarios. Admite que la mesa de la Cámara ha podido estar acertada al considerar insuficientes las razones aducidas por el Gobierno para oponerse a la tramitación de la propuesta de modificación por su incidencia presupuestaria, pero sostiene que en ese momento procesal también impedía su admisión a trámite su falta de congruencia o conexión de homogeneidad con la enmienda núm. 27 del Grupo Parlamentario de Izquierda Confederal en la que se sustentaba. En este sentido, argumenta que la propuesta de modificación no satisfacía el requisito constitucional de congruencia o conexión de homogeneidad con el texto enmendado que debe cumplir toda enmienda al articulado, en tanto tenía por objeto aplicar a los servicios de peluquería, barbería y estética un tipo impositivo del IVA del 10 por 100 mientras que el de la enmienda que le servía de cobertura era el de excluir a determinados empresarios del régimen simplificado del IVA. En definitiva, en su opinión, la presidenta de la Cámara, en el ejercicio de la facultad que le confiere el art. 151.5 RS, estimó en las resoluciones impugnadas las controversias suscitadas en torno a la admisión a trámite de la referida propuesta de modificación por ser incongruente con la enmienda en la que se sustentaba, mediante una decisión expresamente motivada y razonable, que se atiene a las normas constitucionales y reglamentarias, así como a la doctrina de este tribunal aplicables al caso, sin desconocer ni vulnerar ningún derecho fundamental de los recurrentes.</w:t>
      </w:r>
    </w:p>
    <w:p w14:paraId="416404B6" w14:textId="77777777" w:rsidR="008D479B" w:rsidRDefault="008D479B" w:rsidP="008D479B">
      <w:pPr>
        <w:pStyle w:val="TextoNormal"/>
      </w:pPr>
    </w:p>
    <w:p w14:paraId="349E6101" w14:textId="25876090" w:rsidR="008D479B" w:rsidRDefault="008D479B" w:rsidP="008D479B">
      <w:pPr>
        <w:pStyle w:val="TextoNormal"/>
      </w:pPr>
      <w:r>
        <w:t>Por su parte, el Ministerio Fiscal solicita la estimación del recurso de amparo. Entiende que las controversias o los incidentes a los que se refiere el art. 151.5 RS tienen por objeto la facultad que asiste al Gobierno conforme al art. 134.6 CE de oponerse a que se tramiten iniciativas parlamentarias —proposiciones de ley y enmiendas— que puedan suponer un aumento de los créditos o una disminución de los ingresos presupuestarios, es decir, aquellas controversias o incidentes están vinculados exclusivamente al ejercicio de dicha facultad, resultando ajena a su ámbito la falta o no de congruencia entre una propuesta de modificación y la enmienda que le sirve de cobertura. Pues bien, la existencia de congruencia o conexión de homogeneidad entre la propuesta de modificación núm. 103.309 y la enmienda núm. 27 del Grupo Parlamentario de Izquierda Confederal era una cuestión que había sido resuelta definitivamente por la mesa de la Cámara en su sesión de 23 de junio de 2021, en la que se acordó la admisión a trámite de la propuesta de modificación y que, en consecuencia, fuera sometida a la consideración del Pleno, al estimar la solicitud de reconsideración formulada por el portavoz del Grupo Parlamentario Popular contra la decisión de la presidenta de no admitirla a trámite por no ser congruente con la enmienda que le daba soporte. De otra parte, las controversias o los incidentes previstos en el art. 151.5 RS solo se pueden sustentar en la discrepancia en torno a la afectación o no de una iniciativa parlamentaria, en este supuesto, una propuesta de modificación, al presupuesto en vigor y, además, aquel precepto pretende que esa discrepancia o cualquier otro tipo de incidente quede resuelto en un momento anterior al debate y votación en el Pleno “del artículo o texto correspondiente”. En este caso, aparte de que la propuesta de modificación no tenía incidencia en el presupuesto en vigor, el Gobierno planteó la controversia cuando ya había sido aprobada, es decir, concluida su tramitación y, por tanto, una vez que la Cámara había manifestado definitivamente su voluntad sobre la iniciativa, por lo que la presidenta, en opinión del Ministerio Fiscal, no podía pronunciarse sobre la controversia suscitada. El citado art. 151.5 RS, concluye, no habilita una interpretación y aplicación que conduzca a dejar sin efecto el acuerdo adoptado por el Pleno, pues, una vez debatida y votada la propuesta de modificación, la controversia o el incidente pierden su finalidad, que es precisamente la de evitar que se debatan y voten modificaciones al proyecto de ley que afecten al presupuesto en vigor.</w:t>
      </w:r>
    </w:p>
    <w:p w14:paraId="1A2A55D4" w14:textId="77777777" w:rsidR="008D479B" w:rsidRDefault="008D479B" w:rsidP="008D479B">
      <w:pPr>
        <w:pStyle w:val="TextoNormal"/>
      </w:pPr>
    </w:p>
    <w:p w14:paraId="7EF28503" w14:textId="77777777" w:rsidR="008D479B" w:rsidRDefault="008D479B" w:rsidP="008D479B">
      <w:pPr>
        <w:pStyle w:val="TextoNormal"/>
      </w:pPr>
      <w:r w:rsidRPr="008D479B">
        <w:rPr>
          <w:rStyle w:val="NumeroAFNegritaCaracter"/>
        </w:rPr>
        <w:t>3</w:t>
      </w:r>
      <w:r>
        <w:t xml:space="preserve">. </w:t>
      </w:r>
      <w:r w:rsidRPr="008D479B">
        <w:rPr>
          <w:i/>
        </w:rPr>
        <w:t>Sobre la especial trascendencia constitucional del recurso</w:t>
      </w:r>
    </w:p>
    <w:p w14:paraId="60FBCAC0" w14:textId="77777777" w:rsidR="008D479B" w:rsidRDefault="008D479B" w:rsidP="008D479B">
      <w:pPr>
        <w:pStyle w:val="TextoNormal"/>
      </w:pPr>
    </w:p>
    <w:p w14:paraId="18405D36" w14:textId="77777777" w:rsidR="008D479B" w:rsidRDefault="008D479B" w:rsidP="008D479B">
      <w:pPr>
        <w:pStyle w:val="TextoNormal"/>
      </w:pPr>
      <w:r>
        <w:t>Conforme a una reiterada doctrina constitucional, el momento procesal idóneo para determinar si un recurso tiene especial transcendencia constitucional [art. 50.1 b) LOTC] es el del trámite de admisión (por todas, SSTC 166/2016, de 6 de octubre, FJ 2 y 68/2022, de 2 de junio, FJ 2). En este caso, este tribunal ha admitido a trámite el recurso, y ha identificado como motivos de especial trascendencia constitucional [art. 50.1 c) LOTC] que plantea un problema o afecta a una faceta de un derecho fundamental sobre el que no hay doctrina constitucional [STC 155/2009, FJ 2 a)] y, además, que el asunto suscitado trasciende del caso concreto porque pudiera tener unas consecuencias políticas generales [STC 155/2009, FJ 2 g)].</w:t>
      </w:r>
    </w:p>
    <w:p w14:paraId="7C8750A4" w14:textId="77777777" w:rsidR="008D479B" w:rsidRDefault="008D479B" w:rsidP="008D479B">
      <w:pPr>
        <w:pStyle w:val="TextoNormal"/>
      </w:pPr>
    </w:p>
    <w:p w14:paraId="39885C35" w14:textId="77777777" w:rsidR="008D479B" w:rsidRDefault="008D479B" w:rsidP="008D479B">
      <w:pPr>
        <w:pStyle w:val="TextoNormal"/>
      </w:pPr>
      <w:r>
        <w:t xml:space="preserve">Aunque la concurrencia del primer motivo de especial trascendencia constitucional ha sido discutido por la letrada de las Cortes Generales, es claro que no hemos tenido aún ocasión de pronunciarnos sobre la facultad atribuida a la presidenta del Senado en orden a resolver las controversias o incidentes que pueden suscitarse a propósito del veto presupuestario del Gobierno (art. 151.5 RS) ni, en particular, sobre si dicha facultad permite declarar la nulidad de una votación del Pleno de la Cámara. Este último aspecto tiene una evidente conexión con el derecho de los senadores y los grupos parlamentarios al ejercicio del cargo, pues, como hemos declarado, el </w:t>
      </w:r>
      <w:r w:rsidRPr="008D479B">
        <w:rPr>
          <w:i/>
        </w:rPr>
        <w:t>ius in officium</w:t>
      </w:r>
      <w:r>
        <w:t xml:space="preserve"> comprende la participación en la función legislativa constitucionalmente encomendada a la Cámara (SSTC 10/2016, de 1 de febrero, FJ 4; 10/2018, de 5 de febrero, FJ 3; 42/2019, de 27 de marzo, FJ 4; 119/2011, de 5 de julio, FJ 9, y 53/2021, de 15 de marzo, FJ 3).</w:t>
      </w:r>
    </w:p>
    <w:p w14:paraId="04F5B74C" w14:textId="77777777" w:rsidR="008D479B" w:rsidRDefault="008D479B" w:rsidP="008D479B">
      <w:pPr>
        <w:pStyle w:val="TextoNormal"/>
      </w:pPr>
    </w:p>
    <w:p w14:paraId="4C84F7E4" w14:textId="0A4DA484" w:rsidR="008D479B" w:rsidRDefault="008D479B" w:rsidP="008D479B">
      <w:pPr>
        <w:pStyle w:val="TextoNormal"/>
      </w:pPr>
      <w:r>
        <w:t>En todo caso, debemos recordar la particular posición de los recursos de amparo de origen parlamentario (art. 42 LOTC), pues estos se promueven sin haber contado con una vía judicial en la que defender los derechos fundamentales que se dicen infringidos [por todas, SSTC 110/2019, de 2 de octubre, FJ 1, y 97/2020, de 21 de julio, FJ 2 B) a)].</w:t>
      </w:r>
    </w:p>
    <w:p w14:paraId="0DBFBA6E" w14:textId="77777777" w:rsidR="008D479B" w:rsidRDefault="008D479B" w:rsidP="008D479B">
      <w:pPr>
        <w:pStyle w:val="TextoNormal"/>
      </w:pPr>
    </w:p>
    <w:p w14:paraId="05D8915B" w14:textId="77777777" w:rsidR="008D479B" w:rsidRDefault="008D479B" w:rsidP="008D479B">
      <w:pPr>
        <w:pStyle w:val="TextoNormal"/>
      </w:pPr>
      <w:r w:rsidRPr="008D479B">
        <w:rPr>
          <w:rStyle w:val="NumeroAFNegritaCaracter"/>
        </w:rPr>
        <w:t>4</w:t>
      </w:r>
      <w:r>
        <w:t xml:space="preserve">. </w:t>
      </w:r>
      <w:r w:rsidRPr="008D479B">
        <w:rPr>
          <w:i/>
        </w:rPr>
        <w:t>Doctrina constitucional sobre el derecho de acceso a los cargos públicos (art. 23.2 CE), en conexión con el derecho los derechos de los ciudadanos a participar en los asuntos públicos a través de representantes (art. 23.1 CE</w:t>
      </w:r>
      <w:r>
        <w:t>)</w:t>
      </w:r>
    </w:p>
    <w:p w14:paraId="02D5CFBE" w14:textId="77777777" w:rsidR="008D479B" w:rsidRDefault="008D479B" w:rsidP="008D479B">
      <w:pPr>
        <w:pStyle w:val="TextoNormal"/>
      </w:pPr>
    </w:p>
    <w:p w14:paraId="398B7581" w14:textId="77777777" w:rsidR="008D479B" w:rsidRDefault="008D479B" w:rsidP="008D479B">
      <w:pPr>
        <w:pStyle w:val="TextoNormal"/>
      </w:pPr>
      <w:r>
        <w:t>La cuestión de fondo controvertida, que a continuación hemos de abordar, consiste en determinar si la decisión de la presidenta del Senado de estimar las solicitudes de resolución de la controversia formuladas por el Gobierno y el Grupo Parlamentario Socialista (art. 151.5 RS), y la consiguiente declaración de nulidad de la votación en el Pleno de la propuesta de modificación núm. 103.309, no incluyéndola, por tanto, en el mensaje motivado que el Senado ha remitido al Congreso de los Diputados tras la deliberación del proyecto de ley de medidas contra el fraude fiscal (arts. 90.2 CE y 106.1 RS), vulnera, como sostienen los demandantes de amparo y el Ministerio Fiscal, o no, como mantiene la representación procesal del Senado, el derecho fundamental de los recurrentes al ejercicio del cargo parlamentario (art. 23.2 CE), en conexión con el derecho de los ciudadanos a participar en los asuntos públicos a través de representantes libremente elegidos en elecciones periódicas (art. 23.1 CE).</w:t>
      </w:r>
    </w:p>
    <w:p w14:paraId="295057CD" w14:textId="77777777" w:rsidR="008D479B" w:rsidRDefault="008D479B" w:rsidP="008D479B">
      <w:pPr>
        <w:pStyle w:val="TextoNormal"/>
      </w:pPr>
    </w:p>
    <w:p w14:paraId="3FD81216" w14:textId="77777777" w:rsidR="008D479B" w:rsidRDefault="008D479B" w:rsidP="008D479B">
      <w:pPr>
        <w:pStyle w:val="TextoNormal"/>
      </w:pPr>
      <w:r>
        <w:t>A) De acuerdo con una reiterada doctrina constitucional, el art. 23.2 CE, en lo que ahora interesa y dejando al margen el derecho de acceso a las funciones públicas, reconoce el derecho de todos a acceder en condiciones de igualdad a los cargos públicos con los requisitos que señalen las leyes. Derecho sobre cuyo alcance material este tribunal ya ha tenido ocasión de pronunciarse en numerosas resoluciones a efectos de determinar lo en él garantizado, pues solo ello puede ser objeto de examen en esta sede jurisdiccional (STC 185/1999, de 11 de octubre, FJ 4).</w:t>
      </w:r>
    </w:p>
    <w:p w14:paraId="6AA34299" w14:textId="77777777" w:rsidR="008D479B" w:rsidRDefault="008D479B" w:rsidP="008D479B">
      <w:pPr>
        <w:pStyle w:val="TextoNormal"/>
      </w:pPr>
    </w:p>
    <w:p w14:paraId="21225778" w14:textId="77777777" w:rsidR="008D479B" w:rsidRDefault="008D479B" w:rsidP="008D479B">
      <w:pPr>
        <w:pStyle w:val="TextoNormal"/>
      </w:pPr>
      <w:r>
        <w:t>a) Desde las SSTC 10/1983, de 21 de febrero, y 32/1985, de 6 de marzo (FF JJ 2 y 3, respectivamente), hemos afirmado, con unas u otras palabras, que el derecho a acceder a los cargos de naturaleza representativa implica también, necesariamente, el de mantenerse en ellos y desempeñarlos de acuerdo con la ley, sin constricciones o perturbaciones ilegítimas [en el mismo sentido, SSTC 220/1991, de 25 de noviembre, FJ 5; 71/1994, de 3 de marzo, FJ 6; 109/2016, de 7 de junio, FJ 3 a); 11/2017, de 30 de enero, FJ 3 a), y 139/2017, de 29 de noviembre, FJ 4 a)].</w:t>
      </w:r>
    </w:p>
    <w:p w14:paraId="4BE194E1" w14:textId="77777777" w:rsidR="008D479B" w:rsidRDefault="008D479B" w:rsidP="008D479B">
      <w:pPr>
        <w:pStyle w:val="TextoNormal"/>
      </w:pPr>
    </w:p>
    <w:p w14:paraId="49F45892" w14:textId="77777777" w:rsidR="008D479B" w:rsidRDefault="008D479B" w:rsidP="008D479B">
      <w:pPr>
        <w:pStyle w:val="TextoNormal"/>
      </w:pPr>
      <w:r>
        <w:t xml:space="preserve">b) Se trata, como inequívocamente se desprende del inciso final del propio art. 23.2 CE, de un derecho de configuración legal, correspondiendo a la ley —concepto en el que se incluyen los reglamentos parlamentarios— ordenar los derechos y facultades que corresponden a los distintos cargos públicos, pasando aquellos, en virtud de su creación legal, a quedar integrados en el estatus propio de cada cargo, con la consecuencia de que sus titulares podrán defender, al amparo del art. 23.2 CE, el </w:t>
      </w:r>
      <w:r w:rsidRPr="008D479B">
        <w:rPr>
          <w:i/>
        </w:rPr>
        <w:t>ius in officium</w:t>
      </w:r>
      <w:r>
        <w:t xml:space="preserve"> que consideren legítimamente constreñido o ignorado por actos del poder público, incluidos los provenientes del propio órgano en el que se integran [SSTC 27/2000, de 31 de enero, FJ 4; 36/2014, de 27 de febrero, FJ 5; 107/2016, de 7 de junio, FJ 4 B) a); 143/2016, de 19 de septiembre, FJ 3; 224/2016, de 19 de diciembre, FJ 2 b); 11/2017, de 30 de enero, FJ 3 b), y 139/2017, de 29 de noviembre, FJ 4 b)].</w:t>
      </w:r>
    </w:p>
    <w:p w14:paraId="3DA922DB" w14:textId="77777777" w:rsidR="008D479B" w:rsidRDefault="008D479B" w:rsidP="008D479B">
      <w:pPr>
        <w:pStyle w:val="TextoNormal"/>
      </w:pPr>
    </w:p>
    <w:p w14:paraId="18E2BCE9" w14:textId="77777777" w:rsidR="008D479B" w:rsidRDefault="008D479B" w:rsidP="008D479B">
      <w:pPr>
        <w:pStyle w:val="TextoNormal"/>
      </w:pPr>
      <w:r>
        <w:t>Una de las características del precepto constitucional en que se recoge el mencionado derecho fundamental es el amplio margen de libertad que confiere al legislador para regular el ejercicio del derecho, si bien su libertad tiene limitaciones que son, de una parte, las generales que impone el principio de igualdad y los derechos fundamentales que la Constitución garantiza, y, de otra, cuando se trata de cargos públicos representativos, la necesidad de salvaguardar su naturaleza [STC 185/1999, FJ 4 a), con cita SSTC 10/1983, FJ 2; 24/1990, de 15 de febrero, FJ 2]. Su calificación como derecho de configuración legal, uno más entre otros, “significa lisa y llanamente que se habilita al legislador, desde la propia Constitución, para delimitar el ámbito del derecho, sin mellar su contenido esencial” (STC 225/1992, de 14 de diciembre, FJ 1). De modo que tanto las normas que establezcan los requisitos y condiciones para el ejercicio del derecho como sus actos de aplicación pueden ser traídos ante este tribunal no solo por quiebra de la igualdad, sino por cualquier otro género de inadecuación al contenido esencial del derecho. En otras palabras, “su carácter de derecho de configuración legal no nos puede hacer olvidar que los derechos del art. 23.2 son derechos fundamentales”, debiendo por tanto este tribunal revisar si ha quedado afectada la integridad de esos derechos, pues de lo contrario, “los derechos fundamentales de configuración legal quedarían degradados al plano de la legalidad ordinaria” [STC 24/1990, FJ 2; doctrina que reiteran las SSTC 71/1994, FJ 6, y 139/2017, FJ 4 b)].</w:t>
      </w:r>
    </w:p>
    <w:p w14:paraId="41F0BE6C" w14:textId="77777777" w:rsidR="008D479B" w:rsidRDefault="008D479B" w:rsidP="008D479B">
      <w:pPr>
        <w:pStyle w:val="TextoNormal"/>
      </w:pPr>
    </w:p>
    <w:p w14:paraId="256A0B87" w14:textId="77777777" w:rsidR="008D479B" w:rsidRDefault="008D479B" w:rsidP="008D479B">
      <w:pPr>
        <w:pStyle w:val="TextoNormal"/>
      </w:pPr>
      <w:r>
        <w:t>c) Ahora bien, la Constitución no ha asumido en el art. 23.2 CE un genérico derecho, con la condición de fundamental, al respeto de todos y cada uno de los derechos y facultades del estatuto del parlamentario, sino tan solo el de aquellos que pudiéramos considerar pertenecientes al núcleo de la función representativa, como son, principalmente, los que tiene relación directa con el ejercicio de las potestades legislativas y de control de la acción del gobierno [SSTC 220/1991, FJ 5; 109/2016, FJ 3 b), y 139/2017, FJ 4 c)].</w:t>
      </w:r>
    </w:p>
    <w:p w14:paraId="39E96C30" w14:textId="77777777" w:rsidR="008D479B" w:rsidRDefault="008D479B" w:rsidP="008D479B">
      <w:pPr>
        <w:pStyle w:val="TextoNormal"/>
      </w:pPr>
    </w:p>
    <w:p w14:paraId="298EFB36" w14:textId="77777777" w:rsidR="008D479B" w:rsidRDefault="008D479B" w:rsidP="008D479B">
      <w:pPr>
        <w:pStyle w:val="TextoNormal"/>
      </w:pPr>
      <w:r>
        <w:t>d) En fin, el Tribunal tiene dicho que cuando se trata de cargos representativos el derecho enunciado en el art. 23.2 CE ha de ponerse en relación con el derecho fundamental de los ciudadanos a participar en los asuntos públicos por medio de representantes, libremente elegidos en elecciones periódicas por sufragio universal (art. 23.1 CE). Relación de obligada constatación si se tiene en cuenta que son los representantes, justamente, quienes actualizan aquel derecho de los ciudadanos a la participación en los asuntos públicos, al margen ahora la del carácter directo que el propio precepto garantiza. Se trata de “dos derechos que encarnan la participación política de los ciudadanos en el sistema democrático, en conexión con los principios de soberanía del pueblo y del pluralismo político consagrados en el art. 1 CE”, que se presuponen mutuamente y aparecen “como modalidades o variantes del mismo principio de representación política” [STC 185/1999, FJ 4 c), con cita de las SSTC 119/1985, de 11 de octubre, FJ 2, y 71/1989, de 20 de abril, FJ 3]. De suerte que el derecho del art. 23.2 CE, así como indirectamente el que el art. 23.1 CE reconoce a los ciudadanos, quedaría vacío de contenido, o sería ineficaz, si el representante político se viese privado del mismo o perturbado en su ejercicio [SSTC 119/2011, FJ 3; 109/2016, FJ 3 a); 11/2017, FJ 3 a), y 139/207, FJ 4 d)].</w:t>
      </w:r>
    </w:p>
    <w:p w14:paraId="7F3526A9" w14:textId="77777777" w:rsidR="008D479B" w:rsidRDefault="008D479B" w:rsidP="008D479B">
      <w:pPr>
        <w:pStyle w:val="TextoNormal"/>
      </w:pPr>
    </w:p>
    <w:p w14:paraId="093BFC45" w14:textId="77777777" w:rsidR="008D479B" w:rsidRDefault="008D479B" w:rsidP="008D479B">
      <w:pPr>
        <w:pStyle w:val="TextoNormal"/>
      </w:pPr>
      <w:r>
        <w:t xml:space="preserve">B) A partir de este sucinto y genérico recordatorio de nuestra doctrina sobre el derecho del art. 23.2 CE, es preciso traer a colación que este tribunal tiene declarado que la potestad legislativa de las Cámaras, de cuyo ejercicio es fruto la ley, constituye la máxima expresión de la voluntad popular a la que aquellas están llamadas a representar, a la vez que sirve de cauce a la función representativa propia del Parlamento (STC 119/2011, FJ 9). Dijimos en esa misma sentencia que el derecho al ejercicio del cargo representativo del art. 23.2 CE, </w:t>
      </w:r>
      <w:r w:rsidRPr="008D479B">
        <w:rPr>
          <w:i/>
        </w:rPr>
        <w:t>el ius in officium</w:t>
      </w:r>
      <w:r>
        <w:t>, afecta a toda una serie de situaciones de los parlamentarios en las que los órganos rectores de las Cámaras “deben respetar la función representativa no por tratarse de facultades meramente subjetivas de quien desarrolla esa función, sino como facultades que lo que permiten es ejercer correctamente a los representantes populares dicha representación participando en la función legislativa”. E identificamos como facultades de los parlamentarios que hacen posible esa función representativa en el procedimiento legislativo la presentación de propuestas legislativas, la participación en el debate parlamentario de los temas sobre los que versan, la presentación y, en su caso, introducción de enmiendas y el derecho a expresar su posición mediante el voto [</w:t>
      </w:r>
      <w:r w:rsidRPr="008D479B">
        <w:rPr>
          <w:i/>
        </w:rPr>
        <w:t>ibidem</w:t>
      </w:r>
      <w:r>
        <w:t>; doctrina que reiteran SSTC 139/2017, de 29 de noviembre, FJ 5, y 172/2020, de 19 de noviembre, FJ 8 B) b)].</w:t>
      </w:r>
    </w:p>
    <w:p w14:paraId="68FEFCBD" w14:textId="77777777" w:rsidR="008D479B" w:rsidRDefault="008D479B" w:rsidP="008D479B">
      <w:pPr>
        <w:pStyle w:val="TextoNormal"/>
      </w:pPr>
    </w:p>
    <w:p w14:paraId="6695827B" w14:textId="269EBF77" w:rsidR="008D479B" w:rsidRDefault="008D479B" w:rsidP="008D479B">
      <w:pPr>
        <w:pStyle w:val="TextoNormal"/>
      </w:pPr>
      <w:r>
        <w:t xml:space="preserve">Pues bien, es indudable que las resoluciones impugnadas, en cuanto han declarado la nulidad de la votación en la que el Pleno del Senado había aprobado la propuesta de modificación núm. 103.309, no incluyéndola, por consiguiente, en el mensaje motivado remitido al Congreso de los Diputados con las enmiendas introducidas al proyecto de ley de medidas contra el fraude fiscal (arts. 90.2 CE y 106.1 RS), han afectado, pudiendo haber llegado o no a menoscabarlos, a los derechos y facultades de los que los recurrentes son titulares, a través de los que se vertebra su participación en el ejercicio de la función legislativa, que constituyen una manifestación constitucionalmente relevante de su </w:t>
      </w:r>
      <w:r w:rsidRPr="008D479B">
        <w:rPr>
          <w:i/>
        </w:rPr>
        <w:t>ius in officium</w:t>
      </w:r>
      <w:r>
        <w:t>.</w:t>
      </w:r>
    </w:p>
    <w:p w14:paraId="094C146C" w14:textId="77777777" w:rsidR="008D479B" w:rsidRDefault="008D479B" w:rsidP="008D479B">
      <w:pPr>
        <w:pStyle w:val="TextoNormal"/>
      </w:pPr>
    </w:p>
    <w:p w14:paraId="7A155C28" w14:textId="77777777" w:rsidR="008D479B" w:rsidRDefault="008D479B" w:rsidP="008D479B">
      <w:pPr>
        <w:pStyle w:val="TextoNormal"/>
      </w:pPr>
      <w:r w:rsidRPr="008D479B">
        <w:rPr>
          <w:rStyle w:val="NumeroAFNegritaCaracter"/>
        </w:rPr>
        <w:t>5</w:t>
      </w:r>
      <w:r>
        <w:t xml:space="preserve">. </w:t>
      </w:r>
      <w:r w:rsidRPr="008D479B">
        <w:rPr>
          <w:i/>
        </w:rPr>
        <w:t>La potestad legislativa del Senado y las propuestas de modificación de los dictámenes de las Comisiones</w:t>
      </w:r>
    </w:p>
    <w:p w14:paraId="0588CAA7" w14:textId="77777777" w:rsidR="008D479B" w:rsidRDefault="008D479B" w:rsidP="008D479B">
      <w:pPr>
        <w:pStyle w:val="TextoNormal"/>
      </w:pPr>
    </w:p>
    <w:p w14:paraId="29841DF7" w14:textId="77777777" w:rsidR="008D479B" w:rsidRDefault="008D479B" w:rsidP="008D479B">
      <w:pPr>
        <w:pStyle w:val="TextoNormal"/>
      </w:pPr>
      <w:r>
        <w:t>a) La potestad legislativa que el art. 66 CE residencia en las Cortes Generales se ejerce por cada una de las cámaras que las integran, esto es, el Congreso de los Diputados y el Senado, en la forma y con la extensión que el propio texto constitucional determina en el capítulo II (“De la elaboración de las leyes”) de su título III (“De las Cortes Generales”) y, en concreto, por lo que se refiere a la tramitación en el Senado de los proyectos y proposiciones de ley remitidas por el Congreso de los Diputados, en los términos que establece su art. 90 (STC 234/2000, de 3 de octubre, FJ 13).</w:t>
      </w:r>
    </w:p>
    <w:p w14:paraId="25859F7E" w14:textId="77777777" w:rsidR="008D479B" w:rsidRDefault="008D479B" w:rsidP="008D479B">
      <w:pPr>
        <w:pStyle w:val="TextoNormal"/>
      </w:pPr>
    </w:p>
    <w:p w14:paraId="7BDDEE6F" w14:textId="77777777" w:rsidR="008D479B" w:rsidRDefault="008D479B" w:rsidP="008D479B">
      <w:pPr>
        <w:pStyle w:val="TextoNormal"/>
      </w:pPr>
      <w:r>
        <w:t>Este precepto constitucional, uno de los varios que plasma la diferente posición que ocupan una y otra cámara en el ejercicio de la potestad legislativa (</w:t>
      </w:r>
      <w:r w:rsidRPr="008D479B">
        <w:rPr>
          <w:i/>
        </w:rPr>
        <w:t>ibidem</w:t>
      </w:r>
      <w:r>
        <w:t>), regula, por una parte, la actuación que corresponde al Senado en el procedimiento legislativo y, por otra, especifica los concretos supuestos en los que su discrepancia con la iniciativa legislativa procedente del Congreso de los Diputados puede dar lugar a una última lectura de esta Cámara.</w:t>
      </w:r>
    </w:p>
    <w:p w14:paraId="0462E1C3" w14:textId="77777777" w:rsidR="008D479B" w:rsidRDefault="008D479B" w:rsidP="008D479B">
      <w:pPr>
        <w:pStyle w:val="TextoNormal"/>
      </w:pPr>
    </w:p>
    <w:p w14:paraId="25CD3DBD" w14:textId="77777777" w:rsidR="008D479B" w:rsidRDefault="008D479B" w:rsidP="008D479B">
      <w:pPr>
        <w:pStyle w:val="TextoNormal"/>
      </w:pPr>
      <w:r>
        <w:t>El citado art. 90 CE, después de prever en su apartado 1 que una vez “[a]probado un proyecto de ley ordinaria u orgánica por el Congreso de los Diputados, su presidente dará inmediata cuenta del mismo al presidente del Senado, el cual lo someterá a deliberación de este”, dispone en su apartado 2 que “[e]l Senado en el plazo de dos meses a partir de la recepción del texto, puede, mediante mensaje motivado, oponer su veto o introducir enmiendas al mismo. El veto deberá ser aprobado por mayoría absoluta. El proyecto no podrá ser sometido al Rey para sanción sin que el Congreso ratifique por mayoría absoluta, en caso de veto, el texto inicial o por mayoría simple, una vez transcurridos dos meses desde la interposición del mismo, o se pronuncie sobre las enmiendas, aceptándolas o no por mayoría simple”.</w:t>
      </w:r>
    </w:p>
    <w:p w14:paraId="4B32B389" w14:textId="77777777" w:rsidR="008D479B" w:rsidRDefault="008D479B" w:rsidP="008D479B">
      <w:pPr>
        <w:pStyle w:val="TextoNormal"/>
      </w:pPr>
    </w:p>
    <w:p w14:paraId="790FBF9A" w14:textId="77777777" w:rsidR="008D479B" w:rsidRDefault="008D479B" w:rsidP="008D479B">
      <w:pPr>
        <w:pStyle w:val="TextoNormal"/>
      </w:pPr>
      <w:r>
        <w:t>El art. 90.2 CE, por lo tanto, “concreta el sentido de la capacidad colegisladora del Senado prevista en el art. 66.2 CE”. Además de los concretos supuestos de discrepancia del Senado con el texto remitido por el Congreso de los Diputados que se recogen en aquel precepto constitucional —oposición de veto e introducción de enmiendas—, el art. 106.1 RS prevé también la aprobación por el Senado del texto recibido del Congreso de los Diputados (STC 97/2002, de 25 de abril, FJ 5).</w:t>
      </w:r>
    </w:p>
    <w:p w14:paraId="01C4D046" w14:textId="77777777" w:rsidR="008D479B" w:rsidRDefault="008D479B" w:rsidP="008D479B">
      <w:pPr>
        <w:pStyle w:val="TextoNormal"/>
      </w:pPr>
    </w:p>
    <w:p w14:paraId="3F18620E" w14:textId="77777777" w:rsidR="008D479B" w:rsidRDefault="008D479B" w:rsidP="008D479B">
      <w:pPr>
        <w:pStyle w:val="TextoNormal"/>
      </w:pPr>
      <w:r>
        <w:t>b) El Reglamento del Senado, regula en el capítulo primero, de su título IV, que tiene por rúbrica” Del procedimiento legislativo”, el procedimiento legislativo ordinario, en el que pueden presentarse distintas clases de enmiendas en sus diversas fases.</w:t>
      </w:r>
    </w:p>
    <w:p w14:paraId="4ED59F9B" w14:textId="77777777" w:rsidR="008D479B" w:rsidRDefault="008D479B" w:rsidP="008D479B">
      <w:pPr>
        <w:pStyle w:val="TextoNormal"/>
      </w:pPr>
    </w:p>
    <w:p w14:paraId="36A274C1" w14:textId="77777777" w:rsidR="008D479B" w:rsidRDefault="008D479B" w:rsidP="008D479B">
      <w:pPr>
        <w:pStyle w:val="TextoNormal"/>
      </w:pPr>
      <w:r>
        <w:t>Los senadores y los grupos parlamentarios pueden presentar en la fase inicial de este procedimiento legislativo enmiendas o propuestas de veto (art. 107 RS); en la fase de deliberación en comisión, enmiendas transaccionales y las que tengan por finalidad subsanar errores o incorreciones terminológicas o gramaticales (art. 115 RS); y, en lo que a este recurso de amparo interesa, en la fase de deliberación del Pleno, las denominadas propuestas de modificación (art. 125 1 y 2 RS), además de los votos particulares y enmiendas que anuncien defender ante la Cámara, en relación con enmiendas no aceptadas por la Comisión o en apoyo del texto inicial del proyecto o proposición de ley (art. 117 RS), y de las enmiendas con las que se pretenda subsanar errores o incorrecciones terminológicas o gramaticales (art. 125.3 RS).</w:t>
      </w:r>
    </w:p>
    <w:p w14:paraId="0DB3287B" w14:textId="77777777" w:rsidR="008D479B" w:rsidRDefault="008D479B" w:rsidP="008D479B">
      <w:pPr>
        <w:pStyle w:val="TextoNormal"/>
      </w:pPr>
    </w:p>
    <w:p w14:paraId="017E69E6" w14:textId="77777777" w:rsidR="008D479B" w:rsidRDefault="008D479B" w:rsidP="008D479B">
      <w:pPr>
        <w:pStyle w:val="TextoNormal"/>
      </w:pPr>
      <w:r>
        <w:t>Dispone el art. 125 RS que “[c]on anterioridad al inicio del debate del artículo o texto correspondiente, podrán presentarse propuestas de modificación de los dictámenes de las comisiones”. Estas propuestas de modificación tienen que ser suscritas por la mayoría de los portavoces de los grupos parlamentarios, que, a su vez, integren la mayoría de los senadores, o por la totalidad de los portavoces de los grupos parlamentarios. En el primer supuesto, se requiere que el artículo o texto correspondiente al que se formula la propuesta de modificación hayan sido objeto de votos particulares [art. 125.1 a) y b) RS]. En ambos casos, el debate o votación de las propuestas de modificación requiere un trámite previo de información y se regirán por las mismas normas que las establecidas para los votos particulares [art. 125.2 RS).</w:t>
      </w:r>
    </w:p>
    <w:p w14:paraId="52CDEF47" w14:textId="77777777" w:rsidR="008D479B" w:rsidRDefault="008D479B" w:rsidP="008D479B">
      <w:pPr>
        <w:pStyle w:val="TextoNormal"/>
      </w:pPr>
    </w:p>
    <w:p w14:paraId="22869C39" w14:textId="6BB59299" w:rsidR="008D479B" w:rsidRDefault="008D479B" w:rsidP="008D479B">
      <w:pPr>
        <w:pStyle w:val="TextoNormal"/>
      </w:pPr>
      <w:r>
        <w:t>Como señala la representante procesal del Senado, se trata de un modelo singular de enmienda que se presenta en el curso de una sesión plenaria, esto es, en la última fase de tramitación de una iniciativa legislativa, por lo tanto, fuera del plazo establecido reglamentariamente para la presentación de enmiendas y propuestas de veto, que tiene lugar en la fase inicial del procedimiento legislativo. En el caso de que la propuesta de modificación de un dictamen de una comisión no sea suscrita por todos los portavoces de los grupos parlamentarios, sino por la mayoría de sus portavoces, que, a su vez, integren la mayoría de los senadores, es requisito para su presentación que esté vinculada a un voto particular que le dé cobertura o le sirva de soporte, siendo la propuesta de modificación la única iniciativa que se somete a deliberación y votación en el Pleno de la Cámara.</w:t>
      </w:r>
    </w:p>
    <w:p w14:paraId="53CEE4AB" w14:textId="77777777" w:rsidR="008D479B" w:rsidRDefault="008D479B" w:rsidP="008D479B">
      <w:pPr>
        <w:pStyle w:val="TextoNormal"/>
      </w:pPr>
    </w:p>
    <w:p w14:paraId="0415CEA0" w14:textId="77777777" w:rsidR="008D479B" w:rsidRDefault="008D479B" w:rsidP="008D479B">
      <w:pPr>
        <w:pStyle w:val="TextoNormal"/>
      </w:pPr>
      <w:r w:rsidRPr="008D479B">
        <w:rPr>
          <w:rStyle w:val="NumeroAFNegritaCaracter"/>
        </w:rPr>
        <w:t>6</w:t>
      </w:r>
      <w:r>
        <w:t xml:space="preserve">. </w:t>
      </w:r>
      <w:r w:rsidRPr="008D479B">
        <w:rPr>
          <w:i/>
        </w:rPr>
        <w:t>La calificación y decisión sobre la admisibilidad de las propuestas de modificación: el requisito de la congruencia o conexión de homogeneidad</w:t>
      </w:r>
    </w:p>
    <w:p w14:paraId="6A4811E1" w14:textId="77777777" w:rsidR="008D479B" w:rsidRDefault="008D479B" w:rsidP="008D479B">
      <w:pPr>
        <w:pStyle w:val="TextoNormal"/>
      </w:pPr>
    </w:p>
    <w:p w14:paraId="70FC890C" w14:textId="77777777" w:rsidR="008D479B" w:rsidRDefault="008D479B" w:rsidP="008D479B">
      <w:pPr>
        <w:pStyle w:val="TextoNormal"/>
      </w:pPr>
      <w:r>
        <w:t>a) Las propuestas de modificación, al igual que el resto de las enmiendas, han de ser objeto de calificación y de una decisión de admisión y tramitación, siéndoles de aplicación al respecto el procedimiento previsto para las enmiendas al articulado [STC 59/2015, de 18 de marzo, FJ 5 a)].</w:t>
      </w:r>
    </w:p>
    <w:p w14:paraId="008D4F2F" w14:textId="77777777" w:rsidR="008D479B" w:rsidRDefault="008D479B" w:rsidP="008D479B">
      <w:pPr>
        <w:pStyle w:val="TextoNormal"/>
      </w:pPr>
    </w:p>
    <w:p w14:paraId="3549F615" w14:textId="77777777" w:rsidR="008D479B" w:rsidRDefault="008D479B" w:rsidP="008D479B">
      <w:pPr>
        <w:pStyle w:val="TextoNormal"/>
      </w:pPr>
      <w:r>
        <w:t>A la Presidencia del Senado le corresponde la calificación y la decisión sobre la admisibilidad de las enmiendas en general y, en lo que ahora interesa, de las propuestas de modificación, al haberle delegado la mesa de la Cámara su función de “[c]alificar, con arreglo al reglamento, los escritos y documentos de índole parlamentaria, así como decidir sobre su admisibilidad y tramitación” [art. 36.1 c) RS], en relación, entre otros escritos parlamentarios, con las “[e]nmiendas a proyectos o proposiciones de ley, en aplicación de diversas sentencias del Tribunal Constitucional que establecen que las enmiendas deben ser congruentes con el texto enmendado en aplicación del art. 107 del Reglamento del Senado” (Acuerdo de la mesa del Senado, de 12 de diciembre de 2019, por el que se delega en el presidente de la Cámara la calificación, decisión sobre la admisibilidad y tramitación de determinados escritos parlamentarios —“BOCG”, Senado, XIV Legislatura, núm. 5, de 17 de diciembre de 2019—). Los senadores o grupos parlamentarios afectados por la decisión de la Presidencia, de acuerdo con lo dispuesto en el art. 36.2 RS, pueden solicitar a la mesa de la Cámara su reconsideración [en este sentido, SSTC 59/2015, FJ 5 a) y 216/2015, de 22 de octubre, FJ 6 a)].</w:t>
      </w:r>
    </w:p>
    <w:p w14:paraId="4C084FCD" w14:textId="77777777" w:rsidR="008D479B" w:rsidRDefault="008D479B" w:rsidP="008D479B">
      <w:pPr>
        <w:pStyle w:val="TextoNormal"/>
      </w:pPr>
    </w:p>
    <w:p w14:paraId="046F6E2A" w14:textId="77777777" w:rsidR="008D479B" w:rsidRDefault="008D479B" w:rsidP="008D479B">
      <w:pPr>
        <w:pStyle w:val="TextoNormal"/>
      </w:pPr>
      <w:r>
        <w:t>b) El juicio de admisibilidad de las propuestas de modificación exige constatar no solo el cumplimiento de los requisitos establecidos para su presentación en el art. 125.1 y 2 RS, sino verificar también, cuando no sean formuladas por todos los grupos parlamentarios, el requisito material de la necesaria congruencia o conexión de homogeneidad que ha de existir entre las enmiendas y el texto enmendado.</w:t>
      </w:r>
    </w:p>
    <w:p w14:paraId="16D246D0" w14:textId="77777777" w:rsidR="008D479B" w:rsidRDefault="008D479B" w:rsidP="008D479B">
      <w:pPr>
        <w:pStyle w:val="TextoNormal"/>
      </w:pPr>
    </w:p>
    <w:p w14:paraId="42F07967" w14:textId="77777777" w:rsidR="008D479B" w:rsidRDefault="008D479B" w:rsidP="008D479B">
      <w:pPr>
        <w:pStyle w:val="TextoNormal"/>
      </w:pPr>
      <w:r>
        <w:t>Con carácter general y, en particular, en relación con la presentación de enmiendas en el Senado existe una consolidada doctrina constitucional sobre esa exigencia de congruencia o conexión de homogeneidad entre las enmiendas y la iniciativa legislativa, que resulta de aplicación a las propuestas de modificación, sin perjuicio de su modulación en atención a las singularidades y especificidades propias de esta clase de enmienda [SSTC 59/2015, FJ 6 a) y 216/2015, FJ 6 a)].</w:t>
      </w:r>
    </w:p>
    <w:p w14:paraId="08DB1EAF" w14:textId="77777777" w:rsidR="008D479B" w:rsidRDefault="008D479B" w:rsidP="008D479B">
      <w:pPr>
        <w:pStyle w:val="TextoNormal"/>
      </w:pPr>
    </w:p>
    <w:p w14:paraId="5DD93F49" w14:textId="77777777" w:rsidR="008D479B" w:rsidRDefault="008D479B" w:rsidP="008D479B">
      <w:pPr>
        <w:pStyle w:val="TextoNormal"/>
      </w:pPr>
      <w:r>
        <w:t>En este sentido, el Tribunal tiene declarado que, aunque ni la Constitución ni el Reglamento del Senado contienen una previsión expresa relativa a los limites materiales al derecho de enmienda, “[e]llo, sin embargo, no implica que desde la perspectiva constitucional no quepa extraer la exigencia general de conexión u homogeneidad entre las enmiendas y el texto a enmendar”. La necesidad de esta correlación —dijimos— “se deriva, en primer lugar, del carácter subsidiario que, por su propia naturaleza, toda enmienda tiene respecto al texto enmendado” y, en segundo lugar, de “la propia lógica de la tramitación legislativa […], ya que una vez que una iniciativa legislativa es adaptada por la Cámara o Asamblea Legislativa como objeto de deliberación, no cabe alterar su objeto mediante las enmiendas al articulado, toda vez que esa función la cumple, precisamente, el ya superado trámite de enmiendas a la totalidad, que no puede ser reabierto”. La proyección de esta doctrina a la posición del Senado en el procedimiento legislativo ha llevado al Tribunal a afirmar que “parece lógico concluir que la facultad de enmienda senatorial a la que se refiere el art. 90.2 CE se entendió, al elaborar la Constitución, limitada a las enmiendas que guarden una mínima relación de homogeneidad con los proyectos [y proposiciones] de ley remitidos por el Congreso”, pues “[e]sta interpretación es, sin duda, la que mejor se adecua a las disposiciones constitucionales que regulan la facultad de iniciativa legislativa del Senado y del procedimiento legislativo general” (STC 119/2011, FJ 6; en el mismo sentido SSTC 59/2015, FJ 5, y 216/2015, FJ 5).</w:t>
      </w:r>
    </w:p>
    <w:p w14:paraId="0E889755" w14:textId="77777777" w:rsidR="008D479B" w:rsidRDefault="008D479B" w:rsidP="008D479B">
      <w:pPr>
        <w:pStyle w:val="TextoNormal"/>
      </w:pPr>
    </w:p>
    <w:p w14:paraId="5867AB33" w14:textId="0202E987" w:rsidR="008D479B" w:rsidRDefault="008D479B" w:rsidP="008D479B">
      <w:pPr>
        <w:pStyle w:val="TextoNormal"/>
      </w:pPr>
      <w:r>
        <w:t>En cuanto al alcance del control del requisito de la congruencia o conexión de homogeneidad que ha de existir entre las enmiendas y la iniciativa legislativa, hemos reconocido a los órganos de las Cámaras a los que reglamentariamente corresponda constatar su cumplimiento “un amplio margen de apreciación para determinar la existencia de conexión material entre enmienda y proyecto o proposición de ley objeto de debate”, pues “de lo contrario el procedimiento legislativo se vería atrapado en unas reglas tan rígidas que pueden convertir el debate parlamentario en un procedimiento completamente reglado” [SSTC 119/2011, FJ 7, y 59/2015, FJ 5 b)]. En concreto, aquellos órganos, cuando aprecien una falta absoluta de conexión, deberán valorar, “siquiera de forma sucinta, si concurre o no tal conexión mínima, de suerte que ‘solo cuando sea evidente y manifiesto que no existe tal conexión deberá rechazarse la enmienda, puesto que, en tal caso, se pervertiría la auténtica naturaleza del derecho de enmienda, ya que habría pasado a convertirse en una nueva iniciativa legislativa’ (STC 199/2011, FJ 7)” [STC 59/2015, FJ 6 a); en el mismo sentido, SSTC 204/2011, de 15 de diciembre, y 216/2015, FJ 5].</w:t>
      </w:r>
    </w:p>
    <w:p w14:paraId="69EFF00B" w14:textId="77777777" w:rsidR="008D479B" w:rsidRDefault="008D479B" w:rsidP="008D479B">
      <w:pPr>
        <w:pStyle w:val="TextoNormal"/>
      </w:pPr>
    </w:p>
    <w:p w14:paraId="528F15EE" w14:textId="77777777" w:rsidR="008D479B" w:rsidRDefault="008D479B" w:rsidP="008D479B">
      <w:pPr>
        <w:pStyle w:val="TextoNormal"/>
      </w:pPr>
      <w:r w:rsidRPr="008D479B">
        <w:rPr>
          <w:rStyle w:val="NumeroAFNegritaCaracter"/>
        </w:rPr>
        <w:t>7</w:t>
      </w:r>
      <w:r>
        <w:t xml:space="preserve">. </w:t>
      </w:r>
      <w:r w:rsidRPr="008D479B">
        <w:rPr>
          <w:i/>
        </w:rPr>
        <w:t>El veto presupuestario gubernamental y las propuestas de modificación: controversias e incidentes</w:t>
      </w:r>
    </w:p>
    <w:p w14:paraId="528445FA" w14:textId="77777777" w:rsidR="008D479B" w:rsidRDefault="008D479B" w:rsidP="008D479B">
      <w:pPr>
        <w:pStyle w:val="TextoNormal"/>
      </w:pPr>
    </w:p>
    <w:p w14:paraId="460948E4" w14:textId="77777777" w:rsidR="008D479B" w:rsidRDefault="008D479B" w:rsidP="008D479B">
      <w:pPr>
        <w:pStyle w:val="TextoNormal"/>
      </w:pPr>
      <w:r>
        <w:t>a) Las propuestas de modificación, en tanto que especie del género enmienda, no privan al Gobierno de la facultad de veto presupuestario que le reconoce el art. 134.6 CE, a cuyo tenor, “[t]oda […] enmienda que suponga aumento de los créditos o disminución de los ingresos presupuestarios requerirá la conformidad del Gobierno para su tramitación”.</w:t>
      </w:r>
    </w:p>
    <w:p w14:paraId="0583AAF4" w14:textId="77777777" w:rsidR="008D479B" w:rsidRDefault="008D479B" w:rsidP="008D479B">
      <w:pPr>
        <w:pStyle w:val="TextoNormal"/>
      </w:pPr>
    </w:p>
    <w:p w14:paraId="2BAB78BE" w14:textId="77777777" w:rsidR="008D479B" w:rsidRDefault="008D479B" w:rsidP="008D479B">
      <w:pPr>
        <w:pStyle w:val="TextoNormal"/>
      </w:pPr>
      <w:r>
        <w:t>De no admitirse el ejercicio por el Gobierno de esta facultad en relación con las propuestas de modificación, a través de estas se podrían proponer en la fase final del procedimiento legislativo, concluida, por lo tanto, la fase inicial de presentación de enmiendas al proyecto o proposición de ley, la introducción de modificaciones en la iniciativa legislativa que pudieran suponer un incremento de los créditos o una disminución de los ingresos presupuestarios, frente a las que el Gobierno se vería privado de reaccionar, a pesar de la facultad que constitucionalmente le reconoce el art. 134.6 CE. Precepto que, en su tenor, no circunscribe el ejercicio de dicha facultad a las enmiendas, cualquiera que sea formalmente su denominación, que puedan presentarse únicamente en la fase inicial del procedimiento legislativo.</w:t>
      </w:r>
    </w:p>
    <w:p w14:paraId="037C3EA3" w14:textId="77777777" w:rsidR="008D479B" w:rsidRDefault="008D479B" w:rsidP="008D479B">
      <w:pPr>
        <w:pStyle w:val="TextoNormal"/>
      </w:pPr>
    </w:p>
    <w:p w14:paraId="487C7212" w14:textId="77777777" w:rsidR="008D479B" w:rsidRDefault="008D479B" w:rsidP="008D479B">
      <w:pPr>
        <w:pStyle w:val="TextoNormal"/>
      </w:pPr>
      <w:r>
        <w:t>El art. 151 RS, que desarrolla esta previsión constitucional, establece, en relación con las enmiendas a un proyecto o proposición de ley, que, una vez finalizado su plazo de presentación, “serán remitidas de inmediato al Gobierno a los efectos” de que “pueda manifestar su conformidad o disconformidad con su tramitación, si en su opinión supusiese[n] un aumento de los créditos o una disminución de los ingresos presupuestarios” (art. 151. 1 y 2 RS). Al Gobierno se le concede un plazo de cinco o dos días para que manifieste su criterio, dependiendo de que el proyecto o la proposición de ley se tramite por el procedimiento legislativo ordinario o por el procedimiento de urgencia. La no conformidad a la tramitación de las enmiendas debe ser motivada y el silencio del Gobierno tras el transcurso de los referidos plazos se entiende como expresión de conformidad para que prosiga su tramitación. En fin, la comunicación del Gobierno ha de ponerse de inmediato en conocimiento del presidente de la Comisión en que se tramita el proyecto o la proposición de ley (art. 151.3 y 4 RS).</w:t>
      </w:r>
    </w:p>
    <w:p w14:paraId="1890A015" w14:textId="77777777" w:rsidR="008D479B" w:rsidRDefault="008D479B" w:rsidP="008D479B">
      <w:pPr>
        <w:pStyle w:val="TextoNormal"/>
      </w:pPr>
    </w:p>
    <w:p w14:paraId="1C3E039A" w14:textId="77777777" w:rsidR="008D479B" w:rsidRDefault="008D479B" w:rsidP="008D479B">
      <w:pPr>
        <w:pStyle w:val="TextoNormal"/>
      </w:pPr>
      <w:r>
        <w:t xml:space="preserve">Dada las singularidades que caracterizan a las propuestas de modificación de los dictámenes de las comisiones en cuanto a su presentación y tramitación, en la medida en que han de formularse en la sesión plenaria con anterioridad al inicio del debate del artículo o texto correspondiente objeto de la propuesta, el ejercicio por el Gobierno de la facultad de veto presupuestario, en caso de que la propuesta de modificación pudiera suponer, a su juicio, un incremento de los créditos o una disminución de los ingresos presupuestarios, no puede quedar sometido a los plazos previstos en el art. 151.2 RS, so pena de privar al Gobierno de una facultad constitucionalmente reconocida </w:t>
      </w:r>
      <w:r w:rsidRPr="008D479B">
        <w:rPr>
          <w:i/>
        </w:rPr>
        <w:t>ex</w:t>
      </w:r>
      <w:r>
        <w:t xml:space="preserve"> art. 134.6 CE. Como la representación procesal del Senado y el Ministerio Fiscal coinciden en sostener en sus alegaciones, el Gobierno, en el caso de las propuestas de modificación del art. 125 RS, puede ejercer la facultad de veto presupuestario durante la sesión plenaria en la que se han presentado.</w:t>
      </w:r>
    </w:p>
    <w:p w14:paraId="7A149551" w14:textId="77777777" w:rsidR="008D479B" w:rsidRDefault="008D479B" w:rsidP="008D479B">
      <w:pPr>
        <w:pStyle w:val="TextoNormal"/>
      </w:pPr>
    </w:p>
    <w:p w14:paraId="3058A2ED" w14:textId="77777777" w:rsidR="008D479B" w:rsidRDefault="008D479B" w:rsidP="008D479B">
      <w:pPr>
        <w:pStyle w:val="TextoNormal"/>
      </w:pPr>
      <w:r>
        <w:t>Por lo demás, es obvio que el ejercicio de la facultad gubernamental de veto presupuestario ha de cohonestarse, sin que en modo alguno pueda enervarla o imposibilitarla, con la función de calificar y de decidir sobre la admisibilidad y tramitación de las propuestas de modificación, que, como ya hemos señalado, corresponde a la Presidencia del Senado, en virtud de la delegación conferida por la mesa de la Cámara de la función que le atribuye el art. 36.1 c) RS.</w:t>
      </w:r>
    </w:p>
    <w:p w14:paraId="6D3D5E4C" w14:textId="77777777" w:rsidR="008D479B" w:rsidRDefault="008D479B" w:rsidP="008D479B">
      <w:pPr>
        <w:pStyle w:val="TextoNormal"/>
      </w:pPr>
    </w:p>
    <w:p w14:paraId="45DE7D4E" w14:textId="77777777" w:rsidR="008D479B" w:rsidRDefault="008D479B" w:rsidP="008D479B">
      <w:pPr>
        <w:pStyle w:val="TextoNormal"/>
      </w:pPr>
      <w:r>
        <w:t xml:space="preserve">b) Sobre la citada facultad de veto presupuestario del Gobierno </w:t>
      </w:r>
      <w:r w:rsidRPr="008D479B">
        <w:rPr>
          <w:i/>
        </w:rPr>
        <w:t>ex</w:t>
      </w:r>
      <w:r>
        <w:t xml:space="preserve"> art. 134.6 CE existe una consolidada doctrina constitucional, aplicable con las singularidades reseñadas a las propuestas de modificación del art. 125 RS. Debemos remitirnos ahora a dicha doctrina (SSTC 34/2018, de 12 de abril, FF JJ 6 y 7; 44/2018, de 26 de abril, FF JJ 4 y 5; 94/2018, de 17 de septiembre, FJ 5; 139/2018, de 17 de diciembre, FJ 5, y 17/2019, de 11 de febrero, FJ 3) en todo lo relativo a la finalidad constitucional de la facultad de veto (que es salvaguardar la autorización sobre el volumen de ingresos y gastos públicos ya obtenida por el Gobierno) a su alcance objetivo (vinculado siempre a aquellas medidas cuya incidencia sobre el presupuesto del Estado sea real y efectiva) y temporal (ligado al carácter anual del presupuesto), a la motivación necesaria para ejercerla (que ha de incluir la identificación de las concretas partidas presupuestarias afectadas) y al control, tanto material o formal, que corresponde realizar a las mesas de las cámaras o al órgano que, en cada caso, resulte competente para ello (en cuanto control reglado de carácter técnico-jurídico que no puede responder a criterios de oportunidad y que debe salvaguardar el respeto a los derechos fundamentales de los parlamentarios).</w:t>
      </w:r>
    </w:p>
    <w:p w14:paraId="7A4D21AD" w14:textId="77777777" w:rsidR="008D479B" w:rsidRDefault="008D479B" w:rsidP="008D479B">
      <w:pPr>
        <w:pStyle w:val="TextoNormal"/>
      </w:pPr>
    </w:p>
    <w:p w14:paraId="018B8124" w14:textId="77777777" w:rsidR="008D479B" w:rsidRDefault="008D479B" w:rsidP="008D479B">
      <w:pPr>
        <w:pStyle w:val="TextoNormal"/>
      </w:pPr>
      <w:r>
        <w:t>c) En fin, el art. 151.5 RS atribuye a la Presidencia del Senado la resolución de las controversias sobre la calificación de las proposiciones de ley y enmiendas y la de los incidentes que puedan surgir en el procedimiento contemplado en el mismo artículo.</w:t>
      </w:r>
    </w:p>
    <w:p w14:paraId="13F03B6D" w14:textId="77777777" w:rsidR="008D479B" w:rsidRDefault="008D479B" w:rsidP="008D479B">
      <w:pPr>
        <w:pStyle w:val="TextoNormal"/>
      </w:pPr>
    </w:p>
    <w:p w14:paraId="4169D17A" w14:textId="77777777" w:rsidR="008D479B" w:rsidRDefault="008D479B" w:rsidP="008D479B">
      <w:pPr>
        <w:pStyle w:val="TextoNormal"/>
      </w:pPr>
      <w:r>
        <w:t>Como resulta del propio tenor del precepto, el objeto de las controversias o incidentes cuya resolución se encomienda a la Presidencia versa sobre la discrepancia en torno a la calificación que el Gobierno haya hecho en el ejercicio de su facultad de veto presupuestario de una proposición de ley o enmienda como iniciativa que considera que supone o pudiera suponer un incremento de los créditos o una disminución de los ingresos presupuestarios, a cuya tramitación, en consecuencia, se opone; o sobre las incidencias que puedan surgir en el procedimiento previsto reglamentariamente para expresar el veto gubernativo a dicha tramitación. Las partes de la controversia o el incidente podrán ser, de un lado, el Gobierno y, de otro, en el ámbito de la Cámara, el órgano —normalmente, la mesa o la Presidencia— al que le corresponde el control de la facultad gubernamental de veto presupuestario.</w:t>
      </w:r>
    </w:p>
    <w:p w14:paraId="7DDEF46D" w14:textId="77777777" w:rsidR="008D479B" w:rsidRDefault="008D479B" w:rsidP="008D479B">
      <w:pPr>
        <w:pStyle w:val="TextoNormal"/>
      </w:pPr>
    </w:p>
    <w:p w14:paraId="69019877" w14:textId="77777777" w:rsidR="008D479B" w:rsidRDefault="008D479B" w:rsidP="008D479B">
      <w:pPr>
        <w:pStyle w:val="TextoNormal"/>
      </w:pPr>
      <w:r>
        <w:t>De otra parte, una interpretación sistemática del Reglamento del Senado pone de manifiesto que, aunque el art. 151.5 RS utiliza el término “calificación” de las proposiciones de ley y enmiendas como objeto de las controversias, su resolución, que se atribuye a la Presidencia de la Cámara, constituye una función materialmente distinta a la de calificar y decidir sobre la admisibilidad y tramitación de los escritos parlamentarios [art. 36.1 c) RS]. En efecto, el objeto de las controversias o, en su caso, de los incidentes del art. 151.5 RS versa exclusivamente sobre la discrepancia que puede surgir en relación con el ejercicio de la facultad de veto presupuestario del Gobierno, que es lo mismo que decir, sobre su criterio respecto a la incidencia presupuestaria o no de la proposición de ley o enmienda, o sobre los incidentes que puedan acaecer en el procedimiento a través del que se ejercita dicha facultad. Por su parte, la función de calificar y decidir sobre la admisibilidad y tramitación de los escritos o iniciativas parlamentarias tiene por objeto constatar por el órgano para ello competente el cumplimiento de los requisitos formales y materiales que debe satisfacer en cada caso la iniciativa de la que se trate para poder acordar su admisión, y consiguiente tramitación, o su inadmisión.</w:t>
      </w:r>
    </w:p>
    <w:p w14:paraId="0E36A638" w14:textId="77777777" w:rsidR="008D479B" w:rsidRDefault="008D479B" w:rsidP="008D479B">
      <w:pPr>
        <w:pStyle w:val="TextoNormal"/>
      </w:pPr>
    </w:p>
    <w:p w14:paraId="16C9E135" w14:textId="77777777" w:rsidR="008D479B" w:rsidRDefault="008D479B" w:rsidP="008D479B">
      <w:pPr>
        <w:pStyle w:val="TextoNormal"/>
      </w:pPr>
      <w:r>
        <w:t>En palabras de la representante procesal de Senado, la función de resolver las controversias o incidentes que le confiere a la Presidencia el art. 151.5 RS es una competencia perfectamente acotada en el reglamento de la Cámara y netamente diferenciada de la función de calificación y admisión a trámite de los escritos de índole parlamentaria. En el mismo sentido se pronuncia el Ministerio Fiscal, al entender que aquellas controversias o incidentes tienen por objeto y están exclusivamente vinculados al ejercicio de la facultad de veto presupuestario del Gobierno, de manera que solo el ejercicio de esa facultad puede sustentarlos.</w:t>
      </w:r>
    </w:p>
    <w:p w14:paraId="54C0E503" w14:textId="77777777" w:rsidR="008D479B" w:rsidRDefault="008D479B" w:rsidP="008D479B">
      <w:pPr>
        <w:pStyle w:val="TextoNormal"/>
      </w:pPr>
    </w:p>
    <w:p w14:paraId="787C8F4C" w14:textId="3A7286DF" w:rsidR="008D479B" w:rsidRDefault="008D479B" w:rsidP="008D479B">
      <w:pPr>
        <w:pStyle w:val="TextoNormal"/>
      </w:pPr>
      <w:r>
        <w:t>En definitiva, las controversias o los incidentes cuya resolución atribuye a la Presidencia de la Cámara el art. 151.5 RS han de surgir o acaecer con ocasión del ejercicio de la facultad de veto presupuestario reconocida constitucionalmente al Gobierno en el art. 134.6 CE, cuyas previsiones en el ámbito del Senado desarrolla el citado art. 151 RS.</w:t>
      </w:r>
    </w:p>
    <w:p w14:paraId="4312F0B2" w14:textId="77777777" w:rsidR="008D479B" w:rsidRDefault="008D479B" w:rsidP="008D479B">
      <w:pPr>
        <w:pStyle w:val="TextoNormal"/>
      </w:pPr>
    </w:p>
    <w:p w14:paraId="09A103F0" w14:textId="77777777" w:rsidR="008D479B" w:rsidRDefault="008D479B" w:rsidP="008D479B">
      <w:pPr>
        <w:pStyle w:val="TextoNormal"/>
      </w:pPr>
      <w:r w:rsidRPr="008D479B">
        <w:rPr>
          <w:rStyle w:val="NumeroAFNegritaCaracter"/>
        </w:rPr>
        <w:t>8</w:t>
      </w:r>
      <w:r>
        <w:t xml:space="preserve">. </w:t>
      </w:r>
      <w:r w:rsidRPr="008D479B">
        <w:rPr>
          <w:i/>
        </w:rPr>
        <w:t>La propuesta de modificación núm. 103.309 y la enmienda núm. 147 del Grupo Parlamentario Popular: supuesta vulneración frontal de la Constitución y del reglamento parlamentario</w:t>
      </w:r>
    </w:p>
    <w:p w14:paraId="636A0922" w14:textId="77777777" w:rsidR="008D479B" w:rsidRDefault="008D479B" w:rsidP="008D479B">
      <w:pPr>
        <w:pStyle w:val="TextoNormal"/>
      </w:pPr>
    </w:p>
    <w:p w14:paraId="0AA7C525" w14:textId="77777777" w:rsidR="008D479B" w:rsidRDefault="008D479B" w:rsidP="008D479B">
      <w:pPr>
        <w:pStyle w:val="TextoNormal"/>
      </w:pPr>
      <w:r>
        <w:t>Como con más detalle se recoge en los antecedentes de esta sentencia, de las tres controversias suscitadas al amparo del art. 151.5 RS, solamente la primera, planteada por el Gobierno, mediante escrito registrado en fecha 23 de junio de 2021, versó sobre la discrepancia existente entre este y la mesa de la Cámara en torno a la incidencia presupuestaria de la propuesta de modificación núm. 103.309. La mesa, en su sesión de 23 de junio de 2021, no había admitido a trámite, por mayoría, la disconformidad manifestada por el Gobierno para su tramitación por implicar una disminución de los ingresos presupuestarios, al considerar aquella que la propuesta de modificación se refería a un ejercicio presupuestario futuro, “no estando suficientemente motivada que la aprobación de la misma pueda afectar al presupuesto en vigor”. Esta discrepancia entre el Gobierno y la mesa de la Cámara constituía el objeto de la controversia cuya resolución aquel solicitó a la presidenta del Senado en aplicación del citado art. 151.5 RS.</w:t>
      </w:r>
    </w:p>
    <w:p w14:paraId="5E14DAAD" w14:textId="77777777" w:rsidR="008D479B" w:rsidRDefault="008D479B" w:rsidP="008D479B">
      <w:pPr>
        <w:pStyle w:val="TextoNormal"/>
      </w:pPr>
    </w:p>
    <w:p w14:paraId="30E106EC" w14:textId="77777777" w:rsidR="008D479B" w:rsidRDefault="008D479B" w:rsidP="008D479B">
      <w:pPr>
        <w:pStyle w:val="TextoNormal"/>
      </w:pPr>
      <w:r>
        <w:t>Las otras dos controversias, suscitadas con invocación del art. 151.5 RS, una, por el Gobierno, mediante escrito registrado en fecha 24 de junio de 2021, y, la otra, por el Grupo Parlamentario Socialista, mediante escrito registrado en fecha 25 de junio de 2021, se fundaron en la discrepancia de sus promotores también con el acuerdo de la mesa del Senado de 23 de junio de 2021, pero en relación con el cumplimiento por la propuesta de modificación núm. 103.309 del requisito de admisibilidad consistente en su congruencia o conexión de homogeneidad con la enmienda núm. 27 del Grupo Parlamentario de Izquierda Confederal que le servía de soporte. Esta era la discrepancia que los solicitantes pidieron que resolviera la presidenta de la Cámara, interesando la reconsideración de la admisión a trámite de la propuesta de modificación.</w:t>
      </w:r>
    </w:p>
    <w:p w14:paraId="1B54DEF9" w14:textId="77777777" w:rsidR="008D479B" w:rsidRDefault="008D479B" w:rsidP="008D479B">
      <w:pPr>
        <w:pStyle w:val="TextoNormal"/>
      </w:pPr>
    </w:p>
    <w:p w14:paraId="3AB04ACA" w14:textId="77777777" w:rsidR="008D479B" w:rsidRDefault="008D479B" w:rsidP="008D479B">
      <w:pPr>
        <w:pStyle w:val="TextoNormal"/>
      </w:pPr>
      <w:r>
        <w:t>La resolución de la presidenta del Senado de 25 de junio de 2021, cuyo contenido se ha reproducido en los antecedentes de esta sentencia, estima las solicitudes de resolución de la controversia formuladas por el Gobierno y el Grupo Parlamentario Socialista, sin distinguir entre ellas, a pesar de su diferente objeto, y sin formular razonamiento alguno en cuanto a su viabilidad y encaje en el mencionado art. 151.5 RS.</w:t>
      </w:r>
    </w:p>
    <w:p w14:paraId="5337646D" w14:textId="77777777" w:rsidR="008D479B" w:rsidRDefault="008D479B" w:rsidP="008D479B">
      <w:pPr>
        <w:pStyle w:val="TextoNormal"/>
      </w:pPr>
    </w:p>
    <w:p w14:paraId="1B720FD6" w14:textId="77777777" w:rsidR="008D479B" w:rsidRDefault="008D479B" w:rsidP="008D479B">
      <w:pPr>
        <w:pStyle w:val="TextoNormal"/>
      </w:pPr>
      <w:r>
        <w:t>En la citada resolución se dedican las cuatro primeras consideraciones jurídicas a la facultad de veto presupuestario del Gobierno y a la decisión de la mesa de la Cámara de no admitir en este caso la oposición gubernamental a la tramitación de la propuesta de modificación núm. 103.309, pero no contiene un pronunciamiento expreso, o, al menos, no con la precisión que cabría esperar, sobre la posible incidencia presupuestaria o no de la citada propuesta de modificación en el presupuesto en vigor, lo que, en principio, podría haber conducido a que hubiera prosperado, de satisfacerse el resto de los requisitos a los que está sometido el ejercicio de la facultad de veto presupuestario, o no, en caso contrario, la oposición del Gobierno a su tramitación.</w:t>
      </w:r>
    </w:p>
    <w:p w14:paraId="15200C86" w14:textId="77777777" w:rsidR="008D479B" w:rsidRDefault="008D479B" w:rsidP="008D479B">
      <w:pPr>
        <w:pStyle w:val="TextoNormal"/>
      </w:pPr>
    </w:p>
    <w:p w14:paraId="0ADCEDCB" w14:textId="77777777" w:rsidR="008D479B" w:rsidRDefault="008D479B" w:rsidP="008D479B">
      <w:pPr>
        <w:pStyle w:val="TextoNormal"/>
      </w:pPr>
      <w:r>
        <w:t>La primera de las razones en las que se funda la estimación de las solicitudes de controversia planteadas radica en lo que se califica como “una actuación que podía considerarse llevada a cabo con vulneración frontal de la Constitución y el reglamento parlamentario”, que habría consistido, “[p]ara sortear el veto gubernamental a la enmienda 147” del Grupo Parlamentario Popular, en la utilización de “un mecanismo doble: la presentación de una propuesta de modificación al dictamen incongruente […] con la enmienda que le servía de soporte, y la adición de una cláusula de entrada en vigor a partir del 1 de enero de 2022 que pudiera funcionar como impedimento del veto gubernamental” (consideración jurídica quinta). Este razonamiento se complementa con el argumento de que la previsión reglamentaria del art. 151.5 RS “constituye un mecanismo de salvaguarda que se atribuye a la Presidencia de la Cámara para supuestos, como el presente, en el que el procedimiento legislativo y las potestades que la Constitución otorga al Gobierno en materia presupuestaria pueden verse vulnerados mediante la utilización de mecanismos como los descritos en la consideración jurídica quinta” (consideración jurídica séptima). En este sentido, la representación procesal del Senado alude en su escrito de alegaciones a la contravención por los demandantes de amparo de una “buena práctica parlamentaria”, al haber buscado eludir el veto presupuestario del Gobierno a la enmienda núm. 147 del Grupo Parlamentario Popular mediante la propuesta de modificación núm. 103.309, incongruente con la enmienda núm. 27 del Grupo Parlamentario de Izquierda Confederal en la que se apoyaba.</w:t>
      </w:r>
    </w:p>
    <w:p w14:paraId="553BDAB7" w14:textId="77777777" w:rsidR="008D479B" w:rsidRDefault="008D479B" w:rsidP="008D479B">
      <w:pPr>
        <w:pStyle w:val="TextoNormal"/>
      </w:pPr>
    </w:p>
    <w:p w14:paraId="3686EF3B" w14:textId="77777777" w:rsidR="008D479B" w:rsidRDefault="008D479B" w:rsidP="008D479B">
      <w:pPr>
        <w:pStyle w:val="TextoNormal"/>
      </w:pPr>
      <w:r>
        <w:t xml:space="preserve">Las intenciones o finalidades, la estrategia política o el propósito último de los autores de la iniciativa parlamentaria, en este caso de la propuesta de modificación núm. 103.309, no constituyen, como es evidente, objeto del enjuiciamiento de este tribunal [en este sentido, STC 139/2017, FJ 2 c)], que ha de circunscribirse, a través del cauce procesal del recurso de amparo del art. 42 LOTC, a examinar si las resoluciones parlamentarias impugnadas han vulnerado o no el derecho de los demandantes al ejercicio del cargo parlamentario por haber podido menoscabar facultades que forman parte de su </w:t>
      </w:r>
      <w:r w:rsidRPr="008D479B">
        <w:rPr>
          <w:i/>
        </w:rPr>
        <w:t>ius in officium</w:t>
      </w:r>
      <w:r>
        <w:t>.</w:t>
      </w:r>
    </w:p>
    <w:p w14:paraId="67D1980D" w14:textId="77777777" w:rsidR="008D479B" w:rsidRDefault="008D479B" w:rsidP="008D479B">
      <w:pPr>
        <w:pStyle w:val="TextoNormal"/>
      </w:pPr>
    </w:p>
    <w:p w14:paraId="5F9DD416" w14:textId="77777777" w:rsidR="008D479B" w:rsidRDefault="008D479B" w:rsidP="008D479B">
      <w:pPr>
        <w:pStyle w:val="TextoNormal"/>
      </w:pPr>
      <w:r>
        <w:t xml:space="preserve">Tanto en la resolución de 25 de junio de 2021 como en las alegaciones de la representación procesal del Senado se establece un </w:t>
      </w:r>
      <w:r w:rsidRPr="008D479B">
        <w:rPr>
          <w:i/>
        </w:rPr>
        <w:t>continuum</w:t>
      </w:r>
      <w:r>
        <w:t xml:space="preserve"> entre la enmienda núm. 147 del Grupo Parlamentario Popular y la propuesta de modificación núm. 103.309. Sin desconocer, como es obvio, la parcial identidad entre el contenido de una y otra —ambas pretendían una aplicación del tipo del IVA del 10 por 100 a los servicios de peluquería, barbería y estética, si bien la propuesta de modificación, a diferencia de la enmienda, posponía la entrada en vigor de la medida al día 1 de enero de 2022—, no puede tampoco pasar inadvertida la circunstancia de su distinta autoría, pues en tanto la enmienda núm. 147 fue presentada por el Grupo Parlamentario Popular, la propuesta de modificación fue suscrita por los portavoces de siete de los ocho grupos parlamentarios del Senado, que representaban la mayoría de los senadores.</w:t>
      </w:r>
    </w:p>
    <w:p w14:paraId="19AA058C" w14:textId="77777777" w:rsidR="008D479B" w:rsidRDefault="008D479B" w:rsidP="008D479B">
      <w:pPr>
        <w:pStyle w:val="TextoNormal"/>
      </w:pPr>
    </w:p>
    <w:p w14:paraId="69DCF612" w14:textId="77777777" w:rsidR="008D479B" w:rsidRDefault="008D479B" w:rsidP="008D479B">
      <w:pPr>
        <w:pStyle w:val="TextoNormal"/>
      </w:pPr>
      <w:r>
        <w:t>En la resolución impugnada, no se cita, ni se identifica o invoca precepto constitucional alguno o del Reglamento de la Cámara que impida que una propuesta de modificación de las previstas en el art. 125 RS suscrita por una mayoría de los portavoces de los grupos parlamentarios, que representen, a su vez, a la mayoría de los senadores, incorpore, si se satisfacen los requisitos reglamentariamente establecidos para su presentación, el contenido de una enmienda presentada en la fase inicial del procedimiento legislativo, respecto a la que el Gobierno ha opuesto el veto presupuestario, ni que disponga su entrada en vigor para un ejercicio presupuestario futuro. Respecto a aquella incorporación, ninguna prohibición parece resultar del art. 125 RS, ni de ningún otro precepto reglamentario, ni nada se aduce al respecto en las resoluciones impugnadas, siempre que se cumplan los requisitos formales y materiales para la presentación de la propuesta de modificación, incluida la obligada congruencia o conexión de homogeneidad, exigida por una reiterada doctrina constitucional, a la que después aludiremos. Por lo que se refiere a la facultad de veto presupuestario del Gobierno, tampoco parecer existir, sin que las resoluciones recurridas contengan argumento alguno en sentido opuesto, ninguna previsión constitucional o del reglamento de la Cámara que impida que se posponga la entrada en vigor de una propuesta de modificación con una posible incidencia presupuestaria a un futuro ejercicio presupuestario. Precisamente, una medida de tal entidad tendería a preservar, por el contrario, la finalidad a la que responde dicha facultad, que no es otra que salvaguardar la autorización que el Gobierno ya ha obtenido de la Cámara sobre el volumen de ingresos y gastos públicos, de suerte que las previsiones económicas contenidas en el presupuesto se observen rigurosamente y no se dificulte su ejecución, permitiendo así que el ejecutivo pueda desarrollar su programa anual de política económica y, en suma, su propia acción de Gobierno (art. 97 CE; SSTC 34/2018, FJ 6 y 44/2018, FF JJ 3 y 4). En este caso, además, la facultad de veto presupuestario a la citada propuesta de modificación, al margen de su éxito, fue ejercida por el Gobierno antes del debate y la votación de la propuesta de modificación, si bien la mesa de la Cámara, en su sesión de 23 de julio de 2021, acordó la inadmisión a trámite de la disconformidad gubernamental por no afectar aquella iniciativa parlamentaria al presupuesto en vigor. En fin, tampoco se puede hablar en puridad de que se ha eludido la facultad gubernamental de veto presupuestario, ya que su alcance temporal, de acuerdo con una conocida doctrina constitucional, se contrae —vale decir por ahora— al presupuesto en vigor [SSTC 34/2018, FJ 7 b), y 44/2018, FJ 5 b)].</w:t>
      </w:r>
    </w:p>
    <w:p w14:paraId="0A172C3B" w14:textId="77777777" w:rsidR="008D479B" w:rsidRDefault="008D479B" w:rsidP="008D479B">
      <w:pPr>
        <w:pStyle w:val="TextoNormal"/>
      </w:pPr>
    </w:p>
    <w:p w14:paraId="114A9B26" w14:textId="77777777" w:rsidR="008D479B" w:rsidRDefault="008D479B" w:rsidP="008D479B">
      <w:pPr>
        <w:pStyle w:val="TextoNormal"/>
      </w:pPr>
      <w:r>
        <w:t xml:space="preserve">En consecuencia, este tribunal no puede considerar que la primera de las razones con base en las que se estiman las solicitudes de controversia se sustente o encuentre cobertura, por los motivos que se acaban de exponer, en los preceptos constitucionales y del Reglamento del Senado que regulan tanto el procedimiento legislativo de la Cámara, en particular, las propuestas de modificación previstas en el art. 125 RS, como la facultad de veto presupuestario del Gobierno </w:t>
      </w:r>
      <w:r w:rsidRPr="008D479B">
        <w:rPr>
          <w:i/>
        </w:rPr>
        <w:t>ex</w:t>
      </w:r>
      <w:r>
        <w:t xml:space="preserve"> arts. 134.6 CE y 151 RS, sin que esta conclusión pueda resultar desvirtuada por unas genéricas e indeterminadas alusiones, sin precisión o concreción alguna, a una vulneración frontal de la Constitución y del reglamento parlamentario.</w:t>
      </w:r>
    </w:p>
    <w:p w14:paraId="78F94D90" w14:textId="77777777" w:rsidR="008D479B" w:rsidRDefault="008D479B" w:rsidP="008D479B">
      <w:pPr>
        <w:pStyle w:val="TextoNormal"/>
      </w:pPr>
    </w:p>
    <w:p w14:paraId="0C4E7A74" w14:textId="22CD01F2" w:rsidR="008D479B" w:rsidRDefault="008D479B" w:rsidP="008D479B">
      <w:pPr>
        <w:pStyle w:val="TextoNormal"/>
      </w:pPr>
      <w:r>
        <w:t>En este sentido, es preciso recordar que la autonomía interpretativa, como manifestación de la autonomía de las cámaras, de la que están dotados sus órganos cuenta con ciertos límites derivados, por un lado, de la subordinación del órgano interpretador a la labor de creación normativa del Pleno, lo que impide innovaciones que contradigan los contenidos de las disposiciones legales o reglamentarias; y, por otro, de la eventual afectación que pueda tener en el ámbito del derecho de representación política, lo que determina que debe de hacerse una exégesis o interpretación restrictiva de todas aquellas normas que puedan suponer una limitación al ejercicio de aquellos derechos o atribuciones que integran el estatuto constitucionalmente relevante del representante público y a motivar de manera expresa, suficiente y adecuada las razones de su aplicación, pues de lo contrario se puede vulnerar no solo el derecho fundamental de los representantes de los ciudadanos a ejercer su cargo (art. 23.2 CE), sino también infringir el de estos de participar en los asuntos públicos a través de representantes libremente elegidos (art. 23.1 CE) [SSTC 224/2016, FJ 2 c); 159/2019, de 12 de diciembre, FJ 5 c), y 58/2023, de 23 de mayo, FJ 3].</w:t>
      </w:r>
    </w:p>
    <w:p w14:paraId="2D1FA80B" w14:textId="77777777" w:rsidR="008D479B" w:rsidRDefault="008D479B" w:rsidP="008D479B">
      <w:pPr>
        <w:pStyle w:val="TextoNormal"/>
      </w:pPr>
    </w:p>
    <w:p w14:paraId="4BEDA561" w14:textId="77777777" w:rsidR="008D479B" w:rsidRDefault="008D479B" w:rsidP="008D479B">
      <w:pPr>
        <w:pStyle w:val="TextoNormal"/>
      </w:pPr>
      <w:r w:rsidRPr="008D479B">
        <w:rPr>
          <w:rStyle w:val="NumeroAFNegritaCaracter"/>
        </w:rPr>
        <w:t>9</w:t>
      </w:r>
      <w:r>
        <w:t xml:space="preserve">. </w:t>
      </w:r>
      <w:r w:rsidRPr="008D479B">
        <w:rPr>
          <w:i/>
        </w:rPr>
        <w:t>La supuesta incongruencia entre la propuesta de modificación núm. 103.309 y la enmienda núm. 27 del Grupo Parlamentario Izquierda Confederal</w:t>
      </w:r>
    </w:p>
    <w:p w14:paraId="2FCBD88F" w14:textId="77777777" w:rsidR="008D479B" w:rsidRDefault="008D479B" w:rsidP="008D479B">
      <w:pPr>
        <w:pStyle w:val="TextoNormal"/>
      </w:pPr>
    </w:p>
    <w:p w14:paraId="4084DB03" w14:textId="77777777" w:rsidR="008D479B" w:rsidRDefault="008D479B" w:rsidP="008D479B">
      <w:pPr>
        <w:pStyle w:val="TextoNormal"/>
      </w:pPr>
      <w:r>
        <w:t xml:space="preserve">La resolución de 25 de junio de 2021 insiste, lo que parece constituir la segunda y principal razón con base en la que se estiman las solicitudes de controversia planteadas a la Presidencia de la Cámara, en la “evidente incongruencia” que existe entre la propuesta de modificación núm. 103.309 y la enmienda núm. 27 del Grupo Parlamentario de Izquierda Confederal que le sirve de apoyo. Así se expone, con unas u otras palabras, a lo largo de sus consideraciones jurídicas, dedicando expresamente una de ellas (consideración jurídica sexta) a la referida incongruencia y en la que se reproduce la motivación en la que la presidenta de la Cámara fundó la decisión </w:t>
      </w:r>
      <w:r w:rsidRPr="008D479B">
        <w:rPr>
          <w:i/>
        </w:rPr>
        <w:t>in voce</w:t>
      </w:r>
      <w:r>
        <w:t>, adoptada en la sesión plenaria de 23 de junio de 2021, de inadmitirla por incongruente. La letrada que actúa en representación del Senado también trae a colación en varios pasajes de su escrito de alegaciones, como fundamento de las resoluciones impugnadas, la falta de congruencia o conexión de homogeneidad entre la propuesta de modificación y la enmienda que le da soporte.</w:t>
      </w:r>
    </w:p>
    <w:p w14:paraId="0C5A3EFB" w14:textId="77777777" w:rsidR="008D479B" w:rsidRDefault="008D479B" w:rsidP="008D479B">
      <w:pPr>
        <w:pStyle w:val="TextoNormal"/>
      </w:pPr>
    </w:p>
    <w:p w14:paraId="16ED44CA" w14:textId="77777777" w:rsidR="008D479B" w:rsidRDefault="008D479B" w:rsidP="008D479B">
      <w:pPr>
        <w:pStyle w:val="TextoNormal"/>
      </w:pPr>
      <w:r>
        <w:t>Todas las partes del proceso se muestran de acuerdo, en aplicación de la doctrina de este tribunal, sobre la necesaria congruencia o conexión de homogeneidad que ha de existir entre las enmiendas y el texto enmendado, requisito material que entienden que también deben cumplir las propuestas de modificación del art. 125 RS. Su discrepancia radica en este punto en si esa congruencia o conexión de homogeneidad ha de exigirse, en el caso de las propuestas de modificación, con el texto enmendado, es decir, con el proyecto o proposición de ley remitido por el Congreso de los Diputados, o con la enmienda o voto particular que le sirve de soporte.</w:t>
      </w:r>
    </w:p>
    <w:p w14:paraId="46540057" w14:textId="77777777" w:rsidR="008D479B" w:rsidRDefault="008D479B" w:rsidP="008D479B">
      <w:pPr>
        <w:pStyle w:val="TextoNormal"/>
      </w:pPr>
    </w:p>
    <w:p w14:paraId="1590B37E" w14:textId="77777777" w:rsidR="008D479B" w:rsidRDefault="008D479B" w:rsidP="008D479B">
      <w:pPr>
        <w:pStyle w:val="TextoNormal"/>
      </w:pPr>
      <w:r>
        <w:t>a) Quede aquí apuntada esta controversia entre las partes, que, sin embargo, no es preciso ahora dilucidar para constatar la acomodación o no de las resoluciones recurridas a su marco regulador. En efecto, como hemos señalado en los fundamentos jurídicos 6 y 7 de esta misma resolución, a los que más extensamente procede remitirse, una interpretación literal y sistemática del art. 151.5 RS pone de manifiesto, como el Ministerio Fiscal sostiene, que las controversias o incidentes cuya resolución el precepto atribuye a la presidenta de la Cámara son aquellos que versan exclusivamente sobre el ejercicio por el Gobierno de la facultad de veto presupuestario, resultando ajenos al mismo cualesquiera otro tipo de controversias o incidentes que puedan surgir en relación con una iniciativa parlamentaria. En otras palabras, aquellas controversias o incidentes han de surgir o acaecer con ocasión del ejercicio de la facultad de veto presupuestario constitucionalmente reconocida al ejecutivo.</w:t>
      </w:r>
    </w:p>
    <w:p w14:paraId="7406E537" w14:textId="77777777" w:rsidR="008D479B" w:rsidRDefault="008D479B" w:rsidP="008D479B">
      <w:pPr>
        <w:pStyle w:val="TextoNormal"/>
      </w:pPr>
    </w:p>
    <w:p w14:paraId="636C7E53" w14:textId="77777777" w:rsidR="008D479B" w:rsidRDefault="008D479B" w:rsidP="008D479B">
      <w:pPr>
        <w:pStyle w:val="TextoNormal"/>
      </w:pPr>
      <w:r>
        <w:t>Por su parte, el requisito de la congruencia o conexión de homogeneidad entre las enmiendas y el texto enmendado, exigible también a las propuestas de modificación del art. 125 RS, cualquiera que sea la postura que se mantenga sobre el texto que ha servir de referencia para apreciarla, ha de constatarse, junto a los demás requisitos que hayan de satisfacer, en el momento de calificar y decidir sobre su admisión y tramitación.</w:t>
      </w:r>
    </w:p>
    <w:p w14:paraId="609E073C" w14:textId="77777777" w:rsidR="008D479B" w:rsidRDefault="008D479B" w:rsidP="008D479B">
      <w:pPr>
        <w:pStyle w:val="TextoNormal"/>
      </w:pPr>
    </w:p>
    <w:p w14:paraId="3FE5D151" w14:textId="77777777" w:rsidR="008D479B" w:rsidRDefault="008D479B" w:rsidP="008D479B">
      <w:pPr>
        <w:pStyle w:val="TextoNormal"/>
      </w:pPr>
      <w:r>
        <w:t>Ambas funciones, la de resolver las controversias o incidentes a los que se refiere el art. 151.5 RS y la de calificación y decisión sobre la admisibilidad y tramitación de los documentos de índole parlamentaria [art. 36.1 c) RS], son, como ya hemos tenido ocasión de indicar, funciones materialmente distintas, o, en palabras de la representación procesal del Senado, se trata de funciones netamente diferenciadas, asignadas por el reglamento a órganos diferentes. En efecto, las controversias o incidentes cuya resolución se atribuye como competencia propia a la presidenta de la Cámara por el art. 151.5 RS versan sobre las discrepancias que puedan existir respecto al ejercicio por el Gobierno de la facultad de veto presupuestario o sobre las incidencias que puedan surgir en el procedimiento reglamentariamente previsto para el ejercicio de esta facultad. Por su parte, la función de calificar y de decidir sobre la admisibilidad y la tramitación de los documentos e iniciativas parlamentarias tiene por objeto constatar por el órgano competente el cumplimiento de los requisitos formales y materiales que debe satisfacer el documento o la iniciativa en cuestión para ser admitida o, en caso de incumplimiento, para acordar su inadmisión. Esta función atribuida por el Reglamento del Senado a la mesa de la Cámara como competencia propia ha sido delegada, como ya se ha dejado constancia, a su presidenta, a quien le corresponde, en consecuencia, y por lo que se refiere a las propuestas de modificación, decidir sobre su admisibilidad y tramitación verificando el cumplimiento de sus requisitos formales y materiales, entre ellos, el de la congruencia o conexión de homogeneidad.</w:t>
      </w:r>
    </w:p>
    <w:p w14:paraId="6C6BDBE9" w14:textId="77777777" w:rsidR="008D479B" w:rsidRDefault="008D479B" w:rsidP="008D479B">
      <w:pPr>
        <w:pStyle w:val="TextoNormal"/>
      </w:pPr>
    </w:p>
    <w:p w14:paraId="10FBA932" w14:textId="77777777" w:rsidR="008D479B" w:rsidRDefault="008D479B" w:rsidP="008D479B">
      <w:pPr>
        <w:pStyle w:val="TextoNormal"/>
      </w:pPr>
      <w:r>
        <w:t>Sentando cuanto antecede, es evidente que la cuestión relativa a la congruencia o la conexión de homogeneidad de la propuesta de modificación, se tome como referencia el texto del proyecto de ley o la enmienda que le sirve de soporte, no puede constituir objeto de las controversias o incidentes que regula el art. 151.5 RS, cuya resolución tiene atribuida la presidenta del Senado. Así como también lo es que esta ha de constatar el cumplimiento por la propuesta de modificación de dicho requisito material en ejercicio de la función de calificación y decisión sobre la admisibilidad y tramitación de las iniciativas parlamentarias que le ha sido delegada por la mesa de la Cámara, pero no, por ser ajena a las controversias e incidentes del art. 151.5 RS, en el ejercicio de la función de resolución de estas controversias o incidentes que le encomienda el citado precepto reglamentario.</w:t>
      </w:r>
    </w:p>
    <w:p w14:paraId="285D4BEB" w14:textId="77777777" w:rsidR="008D479B" w:rsidRDefault="008D479B" w:rsidP="008D479B">
      <w:pPr>
        <w:pStyle w:val="TextoNormal"/>
      </w:pPr>
    </w:p>
    <w:p w14:paraId="04AFC2E3" w14:textId="77777777" w:rsidR="008D479B" w:rsidRDefault="008D479B" w:rsidP="008D479B">
      <w:pPr>
        <w:pStyle w:val="TextoNormal"/>
      </w:pPr>
      <w:r>
        <w:t>Así pues, la supuesta incongruencia entre la propuesta de modificación núm. 103.309 y la enmienda núm. 27 del Grupo Parlamentario de Izquierda Confederal que le sirve de soporte no podía ser objeto de las controversias o incidentes que regula el art. 151.5 RS, vinculados exclusivamente al ejercicio por el Gobierno de la facultad de veto presupuestario, ni, en consecuencia, puede fundarse en este motivo la estimación de las solicitudes de controversia planteadas. Ha de concluirse, por consiguiente, que las resoluciones recurridas en amparo al fundar la estimación de las solicitudes de controversia en la denunciada incongruencia entre la propuesta de modificación núm. 103.309 y la enmienda núm. 27 del Grupo Parlamento de Izquierda Confederal han excedido el marco regulador de las controversias e incidentes cuya resolución el art. 151.5 RS encomienda a la presidenta, contraviniendo claramente sus previsiones.</w:t>
      </w:r>
    </w:p>
    <w:p w14:paraId="16E90F1B" w14:textId="77777777" w:rsidR="008D479B" w:rsidRDefault="008D479B" w:rsidP="008D479B">
      <w:pPr>
        <w:pStyle w:val="TextoNormal"/>
      </w:pPr>
    </w:p>
    <w:p w14:paraId="527F223B" w14:textId="77777777" w:rsidR="008D479B" w:rsidRDefault="008D479B" w:rsidP="008D479B">
      <w:pPr>
        <w:pStyle w:val="TextoNormal"/>
      </w:pPr>
      <w:r>
        <w:t>Además, las solicitudes de controversia suscitadas por el Gobierno y por el Grupo Parlamentario Socialista, fundadas exclusivamente en la incongruencia entre la propuesta de modificación y la enmienda que le dio cobertura eran desde luego manifiestamente ajenas al objeto de las controversias o incidentes regulados en el art. 151.5 RS. Las discrepancias de sus promotores respecto al criterio de la mesa de la Cámara sobre la existencia de congruencia o conexión de homogeneidad entre la propuesta de modificación y la enmienda no eran susceptibles de ser encauzadas por la vía del art. 151.5 RS. Conclusión esta que hace innecesario entrar a dilucidar, como cuestiona el Ministerio Fiscal, si un grupo parlamentario puede ser titular de la facultad de instar las controversias o incidentes a los que se refiere el art. 151.5 RS.</w:t>
      </w:r>
    </w:p>
    <w:p w14:paraId="296F7682" w14:textId="77777777" w:rsidR="008D479B" w:rsidRDefault="008D479B" w:rsidP="008D479B">
      <w:pPr>
        <w:pStyle w:val="TextoNormal"/>
      </w:pPr>
    </w:p>
    <w:p w14:paraId="398D212B" w14:textId="1AB957B0" w:rsidR="008D479B" w:rsidRDefault="008D479B" w:rsidP="008D479B">
      <w:pPr>
        <w:pStyle w:val="TextoNormal"/>
      </w:pPr>
      <w:r>
        <w:t xml:space="preserve">b) A la precedente argumentación ha de añadirse que la cuestión relativa a la existencia o no de congruencia o conexión de homogeneidad de la propuesta de modificación núm. 103.309 con la enmienda núm. 27 del Grupo Parlamentario de Izquierda Confederal había sido definitivamente resuelta, como recuerda el Ministerio Fiscal, por la mesa de la Cámara. En efecto, como consta recogido en los antecedentes de esta sentencia, el portavoz del Grupo Parlamentario Popular formuló ante la mesa de la Cámara solicitud de reconsideración contra la decisión de la Presidencia, adoptada </w:t>
      </w:r>
      <w:r w:rsidRPr="008D479B">
        <w:rPr>
          <w:i/>
        </w:rPr>
        <w:t>in voce</w:t>
      </w:r>
      <w:r>
        <w:t xml:space="preserve"> en la sesión plenaria de 23 de junio de 2021, de no admitir a trámite la propuesta de modificación por no guardar “la obligada congruencia con la enmienda sobre la que se articula como exige el artículo 125 del Reglamento del Senado”, pues, en tanto esta “se refiere al régimen simplificado del impuesto sobre el valor añadido”, aquella “se refiere a los tipos impositivos reducidos del impuesto sobre el valor añadido”. La mesa, en su sesión de 23 de junio de 2021, estimó la solicitud de reconsideración, al apreciar que la propuesta de modificación satisfacía el requisito de congruencia o conexión de homogeneidad con la enmienda que le daba soporte y, en consecuencia, la admitió a trámite para someterla a la deliberación y votación del Pleno (acta de la reunión de la mesa del Senado núm. 68, XIV Legislatura). Este acuerdo no era susceptible de recurso o impugnación en el ámbito interno de la Cámara, por lo que la decisión de la mesa había alcanzado firmeza desde el momento en que se hizo pública en la sesión plenaria o fue notificada, resultando, en todo caso, manifiestamente improcedente su revisión por la presidenta, por las razones ya expuestas, en el ejercicio de la facultad de resolver las controversias o incidentes que le atribuye el art. 151.5 RS.</w:t>
      </w:r>
    </w:p>
    <w:p w14:paraId="7F960207" w14:textId="77777777" w:rsidR="008D479B" w:rsidRDefault="008D479B" w:rsidP="008D479B">
      <w:pPr>
        <w:pStyle w:val="TextoNormal"/>
      </w:pPr>
    </w:p>
    <w:p w14:paraId="05CABC66" w14:textId="77777777" w:rsidR="008D479B" w:rsidRDefault="008D479B" w:rsidP="008D479B">
      <w:pPr>
        <w:pStyle w:val="TextoNormal"/>
      </w:pPr>
      <w:r w:rsidRPr="008D479B">
        <w:rPr>
          <w:rStyle w:val="NumeroAFNegritaCaracter"/>
        </w:rPr>
        <w:t>10</w:t>
      </w:r>
      <w:r>
        <w:t xml:space="preserve">. </w:t>
      </w:r>
      <w:r w:rsidRPr="008D479B">
        <w:rPr>
          <w:i/>
        </w:rPr>
        <w:t>La resolución de la controversia</w:t>
      </w:r>
      <w:r>
        <w:t xml:space="preserve"> ex </w:t>
      </w:r>
      <w:r w:rsidRPr="008D479B">
        <w:rPr>
          <w:i/>
        </w:rPr>
        <w:t>art. 151.5 RS sobre la propuesta de modificación núm. 103.309 y la incidencia de esta sobre el presupuesto en vigor</w:t>
      </w:r>
    </w:p>
    <w:p w14:paraId="1682940A" w14:textId="77777777" w:rsidR="008D479B" w:rsidRDefault="008D479B" w:rsidP="008D479B">
      <w:pPr>
        <w:pStyle w:val="TextoNormal"/>
      </w:pPr>
    </w:p>
    <w:p w14:paraId="6065BFB7" w14:textId="77777777" w:rsidR="008D479B" w:rsidRDefault="008D479B" w:rsidP="008D479B">
      <w:pPr>
        <w:pStyle w:val="TextoNormal"/>
      </w:pPr>
      <w:r>
        <w:t>a) La resolución de la presidenta del Senado de 25 de junio de 2021 concluye sus consideraciones jurídicas con la afirmación de que la facultad que le confiere el art. 151.5 RS es “una potestad que la Presidencia de la Cámara puede ejercitar antes de la remisión al Congreso de los Diputados de las enmiendas aprobadas por el Senado a una iniciativa legislativa, con el correspondiente mensaje motivado” (consideración jurídica séptima). En esta misma línea, la representación procesal del Senado sostiene en sus alegaciones que aquella facultad puede ejercerse en cualquier momento, siempre que permanezca la iniciativa legislativa en la Cámara y con carácter previo al envío del texto legislativo al Congreso de los Diputados para que se pronuncie sobre los vetos opuestos o las enmiendas introducidas al proyecto o proposición de ley.</w:t>
      </w:r>
    </w:p>
    <w:p w14:paraId="4493E2FA" w14:textId="77777777" w:rsidR="008D479B" w:rsidRDefault="008D479B" w:rsidP="008D479B">
      <w:pPr>
        <w:pStyle w:val="TextoNormal"/>
      </w:pPr>
    </w:p>
    <w:p w14:paraId="070C61AE" w14:textId="77777777" w:rsidR="008D479B" w:rsidRDefault="008D479B" w:rsidP="008D479B">
      <w:pPr>
        <w:pStyle w:val="TextoNormal"/>
      </w:pPr>
      <w:r>
        <w:t>Difieren de esta opinión los recurrentes en amparo y el Ministerio Fiscal. Para aquellos, la presidenta de la Cámara no puede ejercer la facultad que le atribuye el artículo 151.5 RS en cualquier momento antes de la remisión al Congreso de los Diputados de las enmiendas aprobadas por el Senado y, en todo caso, no puede anular una decisión del Pleno a través de la cual la Cámara ha expresado su voluntad, por impedirlo el principio de intangibilidad de sus acuerdos. Por su parte, el Ministerio Fiscal considera que, atendiendo a la finalidad de las controversias o los incidentes del art. 151.5 RS, de este precepto cabe inferir que tienen que haber quedado resueltos en un momento anterior al debate y votación por el Pleno del artículo o texto correspondiente objeto de la propuesta de modificación.</w:t>
      </w:r>
    </w:p>
    <w:p w14:paraId="43A03800" w14:textId="77777777" w:rsidR="008D479B" w:rsidRDefault="008D479B" w:rsidP="008D479B">
      <w:pPr>
        <w:pStyle w:val="TextoNormal"/>
      </w:pPr>
    </w:p>
    <w:p w14:paraId="1A628E2B" w14:textId="77777777" w:rsidR="008D479B" w:rsidRDefault="008D479B" w:rsidP="008D479B">
      <w:pPr>
        <w:pStyle w:val="TextoNormal"/>
      </w:pPr>
      <w:r>
        <w:t>El art. 151.5 RS no establece plazo para suscitar ni resolver las controversias o los incidentes que puedan surgir en relación con el ejercicio de la potestad gubernamental de veto presupuestario, lo que no significa, sin embargo, que su planteamiento o resolución se pueda efectuar en cualquier momento. Nuestro pronunciamiento sobre esta cuestión no pretende revestir carácter general, sino que, atendiendo a las concretas circunstancias del caso, únicamente persigue determinar si la resolución de la primera solicitud de controversia promovida por el Gobierno, la única que tenía cabida en las previsiones del citado art. 151.5 RS, es o no intempestiva.</w:t>
      </w:r>
    </w:p>
    <w:p w14:paraId="33C62ABF" w14:textId="77777777" w:rsidR="008D479B" w:rsidRDefault="008D479B" w:rsidP="008D479B">
      <w:pPr>
        <w:pStyle w:val="TextoNormal"/>
      </w:pPr>
    </w:p>
    <w:p w14:paraId="7149F7FC" w14:textId="77777777" w:rsidR="008D479B" w:rsidRDefault="008D479B" w:rsidP="008D479B">
      <w:pPr>
        <w:pStyle w:val="TextoNormal"/>
      </w:pPr>
      <w:r>
        <w:t>La citada controversia, como se ha dejado constancia, trae causa de la decisión de la mesa de la Cámara de no admitir a trámite la disconformidad por razones presupuestarias del Gobierno con la tramitación de la propuesta de modificación núm. 103.309, “ya que al referirse a un ejercicio presupuestario futuro, no estando suficientemente motivado que la aprobación de la misma pueda afectar al presupuesto en vigor, no cabe, conforme a la jurisprudencia constitucional, que el Gobierno oponga su disconformidad a la tramitación en virtud de los artículo 134.6 de la Constitución y 151.5 del Reglamento del Senado”. El Gobierno, teniendo conocimiento de que la propuesta de modificación respecto a la que había manifestado su disconformidad “está siendo sometida a votación en el Pleno de la Cámara”, solicitó a la presidenta que, al amparo del art. 151.5 RS, resolviera la controversia suscitada, dando por reiterados los argumentos recogidos en el escrito en el que con anterioridad había manifestado su disconformidad con su tramitación por implicar una disminución de los ingresos presupuestarios. La controversia planteada por el Gobierno tuvo entrada en el registro del Senado unos minutos antes (21 horas y 37 minutos del día 23 de junio de 2021) de que la presidenta levantara la sesión (21 horas y 43 minutos del mismo día 23). Como último punto del orden del día se sometieron a votación las enmiendas al dictamen de la Comisión de Hacienda al proyecto de ley de medidas contra el fraude fiscal, entre ellas, la propuesta de modificación núm. 103.309, las partes del proyecto de ley enmendadas en la citada comisión y, finalmente, el resto del proyecto, anunciando a continuación la presidenta a la Cámara que “[t]al y como dispone el artículo 90 de la Constitución se dará traslado de las enmiendas aprobadas por el Senado al Congreso de los Diputados, para que se pronuncie sobre las mismas de forma previa a la sanción del texto definitivo por S.M. el Rey”. La presidenta dictó la resolución resolviendo esta y las otras dos solicitudes de controversia el siguiente 25 de junio.</w:t>
      </w:r>
    </w:p>
    <w:p w14:paraId="5D873715" w14:textId="77777777" w:rsidR="008D479B" w:rsidRDefault="008D479B" w:rsidP="008D479B">
      <w:pPr>
        <w:pStyle w:val="TextoNormal"/>
      </w:pPr>
    </w:p>
    <w:p w14:paraId="72D730A3" w14:textId="77777777" w:rsidR="008D479B" w:rsidRDefault="008D479B" w:rsidP="008D479B">
      <w:pPr>
        <w:pStyle w:val="TextoNormal"/>
      </w:pPr>
      <w:r>
        <w:t>b) La finalidad de la facultad de veto presupuestario del art. 134.6 CE es la de evitar que a través de proposiciones de ley y enmiendas se altere el contenido de los presupuestos, impidiendo que se tramiten iniciativas que puedan suponer un aumento de los créditos o una disminución de los ingresos presupuestarios. De esta forma se protege la confianza concedida por la Cámara al Gobierno a través de la aprobación de los presupuestos para ejecutar su programa anual de política económica, sin que puedan resultar modificados por iniciativas parlamentarias con incidencia en los créditos o ingresos presupuestados, salvo que cuenten con la conformidad del Gobierno [STC 44/2018, FJ 5 b)].</w:t>
      </w:r>
    </w:p>
    <w:p w14:paraId="5CB8C11A" w14:textId="77777777" w:rsidR="008D479B" w:rsidRDefault="008D479B" w:rsidP="008D479B">
      <w:pPr>
        <w:pStyle w:val="TextoNormal"/>
      </w:pPr>
    </w:p>
    <w:p w14:paraId="555AB762" w14:textId="77777777" w:rsidR="008D479B" w:rsidRDefault="008D479B" w:rsidP="008D479B">
      <w:pPr>
        <w:pStyle w:val="TextoNormal"/>
      </w:pPr>
      <w:r>
        <w:t>Al servicio de esta finalidad obedece la previsión de las controversias o incidentes del art. 151.5 RS, cuya resolución se encomienda a la presidenta de la Cámara, con el objetivo de solventar las discrepancias que puedan surgir, como ha acontecido en esta ocasión, entre el criterio del Gobierno y el del órgano de la Cámara al que le corresponde su calificación o control en torno a la posible repercusión presupuestaria de una iniciativa parlamentaria, permitiendo su tramitación, esto es, su debate y votación, en caso de no implicar un aumento de los créditos o una disminución de los ingresos, o, impidiéndola, en el supuesto contrario.</w:t>
      </w:r>
    </w:p>
    <w:p w14:paraId="13FF4FBD" w14:textId="77777777" w:rsidR="008D479B" w:rsidRDefault="008D479B" w:rsidP="008D479B">
      <w:pPr>
        <w:pStyle w:val="TextoNormal"/>
      </w:pPr>
    </w:p>
    <w:p w14:paraId="41CC017C" w14:textId="77777777" w:rsidR="008D479B" w:rsidRDefault="008D479B" w:rsidP="008D479B">
      <w:pPr>
        <w:pStyle w:val="TextoNormal"/>
      </w:pPr>
      <w:r>
        <w:t>La apuntada finalidad de la facultad de veto presupuestario, a la que sirven las controversias o los incidentes del art. 151.5 RS, debe informar y presidir la interpretación de este precepto y, en concreto, en lo que ahora interesa, la consideración de su planteamiento o resolución como intempestivos o no.</w:t>
      </w:r>
    </w:p>
    <w:p w14:paraId="24FCF375" w14:textId="77777777" w:rsidR="008D479B" w:rsidRDefault="008D479B" w:rsidP="008D479B">
      <w:pPr>
        <w:pStyle w:val="TextoNormal"/>
      </w:pPr>
    </w:p>
    <w:p w14:paraId="7605236B" w14:textId="77777777" w:rsidR="008D479B" w:rsidRDefault="008D479B" w:rsidP="008D479B">
      <w:pPr>
        <w:pStyle w:val="TextoNormal"/>
      </w:pPr>
      <w:r>
        <w:t>Pues bien, el Tribunal entiende, como sostiene el Ministerio Fiscal, que conforme a una interpretación del art. 151.5 RS inserta en la lógica del desarrollo del procedimiento legislativo, el planteamiento y resolución de las controversias suscitadas al amparo de dicho precepto en relación con las propuestas de modificación del art. 125 RS tienen que tener lugar antes de que sean sometidas a debate y votación en la sesión plenaria y, en todo caso, previamente a que el Pleno en el ejercicio de la función legislativa las incorpore al texto que ha de remitir al Congreso de los Diputados (arts. 90.2 CE y 106.1 RS), pues llegado ese momento, la controversia pierde su objeto y finalidad, resultando su función desnaturalizada, dado que las propuestas de modificación ya habrían sido sometidas definitivamente a debate y votación de la Cámara.</w:t>
      </w:r>
    </w:p>
    <w:p w14:paraId="553BF160" w14:textId="77777777" w:rsidR="008D479B" w:rsidRDefault="008D479B" w:rsidP="008D479B">
      <w:pPr>
        <w:pStyle w:val="TextoNormal"/>
      </w:pPr>
    </w:p>
    <w:p w14:paraId="04DA2637" w14:textId="77777777" w:rsidR="008D479B" w:rsidRDefault="008D479B" w:rsidP="008D479B">
      <w:pPr>
        <w:pStyle w:val="TextoNormal"/>
      </w:pPr>
      <w:r>
        <w:t>En este caso, la controversia se suscitó por el Gobierno ya iniciada la votación de la propuesta de modificación núm. 103.309, esto es, según la redacción del escrito de su planteamiento, cuando “está siendo sometida a votación en el Pleno de la Cámara”. Sin necesidad de abordar, en hipótesis, posibles actuaciones que quizás se hubieran podido llevar a cabo en la sesión plenaria ante aquel planteamiento, es de toda evidencia, y resulta determinante a los efectos que a este recurso de amparo interesan, que la controversia se resuelve cuando el Pleno no solo se ha pronunciado a favor de la citada propuesta, sino cuando ya ha aprobado todas las enmiendas introducidas en el proyecto de ley enviado por el Congreso de los Diputados y que ha de remitir a este para someterlo a una segunda lectura en los términos constitucionalmente previstos. Es decir, la controversia se ha resuelto una vez que ha finalizado el procedimiento legislativo en el Senado.</w:t>
      </w:r>
    </w:p>
    <w:p w14:paraId="44D2DD4E" w14:textId="77777777" w:rsidR="008D479B" w:rsidRDefault="008D479B" w:rsidP="008D479B">
      <w:pPr>
        <w:pStyle w:val="TextoNormal"/>
      </w:pPr>
    </w:p>
    <w:p w14:paraId="08DD5016" w14:textId="77777777" w:rsidR="008D479B" w:rsidRDefault="008D479B" w:rsidP="008D479B">
      <w:pPr>
        <w:pStyle w:val="TextoNormal"/>
      </w:pPr>
      <w:r>
        <w:t>En efecto, con la deliberación y votación en el Pleno concluye en el Senado la tramitación de los proyectos o proposiciones de ley en el procedimiento legislativo ordinario, sin que la consiguiente remisión del texto aprobado al Congreso de los Diputados —en este caso, las enmiendas introducidas en el proyecto de ley (art. 90.2 CE)—, que es el reverso del deber de esta Cámara de dar cuenta al presidente del Senado de la aprobación de un proyecto o proposición de ley para su deliberación (art. 90.1 CE), pueda tener capacidad innovadora alguna sobre el contenido del texto aprobado por el Pleno del Senado, tratándose, en definitiva, de un acto meramente formal y debido. En otras palabras, en este caso la voluntad de la Cámara sobre la iniciativa legislativa que le había remitido el Congreso de los Diputados para su deliberación había quedado definitivamente expresada por el Pleno, al que le corresponde la decisión o el acuerdo final sobre ella, de forma que, al haber concluido el procedimiento legislativo, la resolución de la controversia devino intempestiva.</w:t>
      </w:r>
    </w:p>
    <w:p w14:paraId="572C7C54" w14:textId="77777777" w:rsidR="008D479B" w:rsidRDefault="008D479B" w:rsidP="008D479B">
      <w:pPr>
        <w:pStyle w:val="TextoNormal"/>
      </w:pPr>
    </w:p>
    <w:p w14:paraId="625DD876" w14:textId="77777777" w:rsidR="008D479B" w:rsidRDefault="008D479B" w:rsidP="008D479B">
      <w:pPr>
        <w:pStyle w:val="TextoNormal"/>
      </w:pPr>
      <w:r>
        <w:t xml:space="preserve">No es necesario detenerse en el debate suscitado por los recurrentes y la representación procesal del Senado sobre si el Pleno es el órgano superior de la Cámara y la condición o no de su Presidencia como órgano subordinado a él, aunque la consideración de aquel como órgano “supremo” o “superior” no es infrecuente en los reglamentos de nuestras asambleas legislativas (arts. 72.1 del Reglamento del Parlamento de Cataluña, 77 del Reglamento de la Junta General del Principado de Asturias 56 del Reglamento del Parlamento de Cantabria.; 62 del Reglamento de la Asamblea Regional de Murcia.; 56 del Reglamento de las Cortes Valencianas; 50 del Reglamento del Parlamento de La Rioja; 68 del Reglamento de la Asamblea de Extremadura; 77 del Reglamento de la Asamblea de Madrid.), ni tampoco en la doctrina. A los efectos que interesan, basta con señalar ahora que el Pleno del Senado, “que no es, en rigor, órgano de la Cámara, sino la Cámara misma” [STC 82/2023, de 3 de julio, FJ 3 a)] o, en expresión del art. 75.1 CE, “una forma de funcionamiento de la Cámara”, es, por regla general, el órgano de decisión de las competencias que a esta le corresponden </w:t>
      </w:r>
      <w:r w:rsidRPr="008D479B">
        <w:rPr>
          <w:i/>
        </w:rPr>
        <w:t>ex</w:t>
      </w:r>
      <w:r>
        <w:t xml:space="preserve"> art. 66.2 CE, en particular, de la potestad legislativa, en la forma y extensión que la Constitución determinan (art. 90 CE), en cuyo ejercicio le compete, salvo en los supuestos de delegación legislativa a las comisiones (arts. 75.2 CE y 130 a 136 RS), la aprobación definitiva de las propuestas de veto, las enmiendas o el texto recibido del Congreso de los Diputados en relación con los proyectos o proposiciones de ley sometidos a su deliberación. Es decir, es el órgano que tiene atribuía la fijación última del contenido de dichos textos, con lo que concluye en su seno el procedimiento legislativo.</w:t>
      </w:r>
    </w:p>
    <w:p w14:paraId="2DEB8AF9" w14:textId="77777777" w:rsidR="008D479B" w:rsidRDefault="008D479B" w:rsidP="008D479B">
      <w:pPr>
        <w:pStyle w:val="TextoNormal"/>
      </w:pPr>
    </w:p>
    <w:p w14:paraId="5207C574" w14:textId="77777777" w:rsidR="008D479B" w:rsidRDefault="008D479B" w:rsidP="008D479B">
      <w:pPr>
        <w:pStyle w:val="TextoNormal"/>
      </w:pPr>
      <w:r>
        <w:t xml:space="preserve">En modo alguno, la facultad de resolver las controversias o incidentes que a la Presidencia del Senado confiere el art. 151 RS en relación con el veto presupuestario gubernamental, ni el amplio y genérico cometido que le corresponde de “[v]elar por la observancia del Reglamento” (art. 37.9 RS), que invoca la representación procesal de la Cámara en defensa de las resoluciones impugnadas, se pueden trasmutar en una función fiscalizadora o de control, no atribuida expresamente por la Constitución ni el Reglamento del Senado, del resultado final del ejercicio por el Pleno de la Cámara de su función legislativa, que afectaría no solo a una de las potestades que expresamente la Constitución le encomienda, que, como ya hemos recordado, “constituye la máxima expresión del ejercicio de la soberanía popular en el Estado democrático” (STC 10/2016, FJ 4, y 10/2018, FJ 3, por todas), sino además a los derechos y facultades de participación de sus miembros en el ejercicio de la misma, que son una manifestación constitucionalmente relevante del </w:t>
      </w:r>
      <w:r w:rsidRPr="008D479B">
        <w:rPr>
          <w:i/>
        </w:rPr>
        <w:t>ius in officium</w:t>
      </w:r>
      <w:r>
        <w:t xml:space="preserve"> de los parlamentarios (SSTC 119/2011, FJ 9, y 139/2017, FJ 5). Tal control no está previsto expresamente en el ordenamiento y, en cuanto implica una suerte de facultad implícita de fiscalización del resultado final de la actividad legislativa por parte de un órgano interno de la Cámara, resulta constitucionalmente inviable.</w:t>
      </w:r>
    </w:p>
    <w:p w14:paraId="1146CD30" w14:textId="77777777" w:rsidR="008D479B" w:rsidRDefault="008D479B" w:rsidP="008D479B">
      <w:pPr>
        <w:pStyle w:val="TextoNormal"/>
      </w:pPr>
    </w:p>
    <w:p w14:paraId="736E4A61" w14:textId="77777777" w:rsidR="008D479B" w:rsidRDefault="008D479B" w:rsidP="008D479B">
      <w:pPr>
        <w:pStyle w:val="TextoNormal"/>
      </w:pPr>
      <w:r>
        <w:t>En fin, las posibles irregularidades que se puedan cometer durante la tramitación de un proyecto o proposición de ley en el Senado, que fueran imputables en última instancia al texto aprobado por el Pleno, podrán corregirse bien a través de la segunda lectura, en caso de que se hubiesen formulado vetos o introducido enmiendas en el proyecto o la proposición de ley, que ha llevar a cabo el Congreso de los Diputados para su aprobación definitiva (art. 90 CE), previa a la sanción real (art. 90 CE), bien a través de los mecanismos jurisdiccionales, activados por los sujetos legitimados ante el órgano competente, previstos en nuestro ordenamiento jurídico en los supuestos en los que aquellas irregularidades pudieran llegar a determinar la posible inconstitucionalidad de la ley, en su caso, aprobada, por vicios en el procedimiento legislativo o pudieran vulnerar derechos fundamentales de los miembros de las Cámaras.</w:t>
      </w:r>
    </w:p>
    <w:p w14:paraId="4A4212C0" w14:textId="77777777" w:rsidR="008D479B" w:rsidRDefault="008D479B" w:rsidP="008D479B">
      <w:pPr>
        <w:pStyle w:val="TextoNormal"/>
      </w:pPr>
    </w:p>
    <w:p w14:paraId="37BA46DA" w14:textId="77777777" w:rsidR="008D479B" w:rsidRDefault="008D479B" w:rsidP="008D479B">
      <w:pPr>
        <w:pStyle w:val="TextoNormal"/>
      </w:pPr>
      <w:r>
        <w:t>c) Sin perjuicio de las precedentes consideraciones sobre el carácter intempestivo de la resolución de la controversia suscitada, un examen liminar de la misma permite concluir que no hubiera podido prosperar, aún en el supuesto de que hubiera sido oportunamente resuelta, pues el ejercicio de la facultad gubernamental de veto presupuestario no respetaba, en este caso, la regla de la anualidad del presupuesto y, en consecuencia, el límite temporal que a su ejercicio impone el art. 134.6 CE.</w:t>
      </w:r>
    </w:p>
    <w:p w14:paraId="39DD7921" w14:textId="77777777" w:rsidR="008D479B" w:rsidRDefault="008D479B" w:rsidP="008D479B">
      <w:pPr>
        <w:pStyle w:val="TextoNormal"/>
      </w:pPr>
    </w:p>
    <w:p w14:paraId="05EA558E" w14:textId="77777777" w:rsidR="008D479B" w:rsidRDefault="008D479B" w:rsidP="008D479B">
      <w:pPr>
        <w:pStyle w:val="TextoNormal"/>
      </w:pPr>
      <w:r>
        <w:t>Aunque ya hemos reseñado la doctrina constitucional sobre el ejercicio de aquella facultad (FJ 7), procede, sin embargo, recordar ahora que, en cuanto a su alcance temporal, está lógicamente vinculada con el carácter anual del presupuesto y tiene como finalidad salvaguardar la disposición del Gobierno sobre su propio plan económico, una vez autorizado por el Parlamento, por lo que debe referirse al presupuesto en vigor en cada momento, en coherencia con el principio de anualidad del art. 134.6 CE, entendiendo por tal tanto el autorizado expresamente como incluso el que ha sido objeto de prórroga presupuestaria (art. 134.4 CE), pues no por ello deja de cumplir la función esencial de vehículo de dirección y orientación de la política económica del Gobierno. En consecuencia, el veto presupuestario no se puede ejercer en relación con presupuestos futuros, incluidos los denominados “escenarios plurianuales presupuestarios”, que no han sido elaborados por el Gobierno ni sometidos por tanto al proceso de aprobación regulado en el art. 134.1 CE. En definitiva, el ejercicio de la facultad del art. 134.6 CE se ha de entender restringido a las proposiciones de ley y enmiendas que afecten al presupuesto del ejercicio en curso [SSTC 34/1028, FJ 7 b); 44/2018, FJ 5 b); 94/2018, FJ 5 a), y 17/2019, FJ 3].</w:t>
      </w:r>
    </w:p>
    <w:p w14:paraId="1452AD5F" w14:textId="77777777" w:rsidR="008D479B" w:rsidRDefault="008D479B" w:rsidP="008D479B">
      <w:pPr>
        <w:pStyle w:val="TextoNormal"/>
      </w:pPr>
    </w:p>
    <w:p w14:paraId="48C3AC92" w14:textId="77777777" w:rsidR="008D479B" w:rsidRDefault="008D479B" w:rsidP="008D479B">
      <w:pPr>
        <w:pStyle w:val="TextoNormal"/>
      </w:pPr>
      <w:r>
        <w:t>En este caso, como se ha dejado constancia en los antecedentes de esta sentencia, la propuesta de modificación núm. 103.309 difería su entrada en vigor al día 1 de enero de 2022, por lo que no afectaba al presupuesto en vigor. El Gobierno en el escrito en el que manifestó la oposición a su tramitación porque podría suponer una disminución de los ingresos presupuestarios, así como en el siguiente escrito, posterior al acuerdo de la mesa de no admitir a trámite su disconformidad, en el que solicitó a la presidenta de la Cámara, con remisión a los argumentos contenidos en su primer escrito, la resolución de la controversia suscitada al amparo del art. 151.5 RS, omitió cualquier razonamiento y posible justificación sobre la incidencia de la propuesta de modificación en el presupuesto en curso, esto es, en los presupuestos generales del Estado del año 2021.</w:t>
      </w:r>
    </w:p>
    <w:p w14:paraId="0814DDCA" w14:textId="77777777" w:rsidR="008D479B" w:rsidRDefault="008D479B" w:rsidP="008D479B">
      <w:pPr>
        <w:pStyle w:val="TextoNormal"/>
      </w:pPr>
    </w:p>
    <w:p w14:paraId="296EC8A5" w14:textId="77777777" w:rsidR="008D479B" w:rsidRDefault="008D479B" w:rsidP="008D479B">
      <w:pPr>
        <w:pStyle w:val="TextoNormal"/>
      </w:pPr>
      <w:r>
        <w:t>Sin necesidad de detenerse a analizar la argumentación esgrimida en los referidos escritos —cuyo contenido se ha reproducido en los antecedentes—, basta la anterior constatación para sostener que la disconformidad gubernamental contravenía claramente la doctrina constitucional expuesta, que con absoluta nitidez ha delimitado el ámbito temporal del ejercicio de la facultad gubernamental de veto presupuestario a los presupuestos en vigor. De modo que la controversia suscitada al amparo del art. 151.5 RS, basada en la misma motivación que la inicial disconformidad gubernamental a la propuesta de modificación, en modo alguno podría haber prosperado en aplicación de dicha doctrina.</w:t>
      </w:r>
    </w:p>
    <w:p w14:paraId="101914F3" w14:textId="77777777" w:rsidR="008D479B" w:rsidRDefault="008D479B" w:rsidP="008D479B">
      <w:pPr>
        <w:pStyle w:val="TextoNormal"/>
      </w:pPr>
    </w:p>
    <w:p w14:paraId="70923071" w14:textId="08734C7C" w:rsidR="008D479B" w:rsidRDefault="008D479B" w:rsidP="008D479B">
      <w:pPr>
        <w:pStyle w:val="TextoNormal"/>
      </w:pPr>
      <w:r>
        <w:t xml:space="preserve">Esta contravención conlleva una doble consecuencia desfavorable. De una parte, porque desnaturaliza la razón de ser de la facultad de veto del Gobierno del art. 134.6 CE, al limitar a las Cortes Generales, en este caso al Senado, a que, en el ejercicio de su potestad legislativa reconocida constitucionalmente (art. 66.2 CE), puedan adoptar iniciativas que no afecten al presupuesto en vigor, siempre que sean conformes al bloque de constitucionalidad y acordes con los reglamentos de las Cámaras. De otra parte, porque supone una limitación contraria al art. 23 CE, por la incidencia negativa que tiene “la aplicación extendida en el tiempo de la facultad del art. 134.6 CE” [STC 17/2019, FJ 4 b)] en los derechos que reconoce aquel precepto, pues constituye, en lo que ahora importa, una restricción al ejercicio de la vertiente esencial y más genuina del </w:t>
      </w:r>
      <w:r w:rsidRPr="008D479B">
        <w:rPr>
          <w:i/>
        </w:rPr>
        <w:t>ius in officium</w:t>
      </w:r>
      <w:r>
        <w:t xml:space="preserve"> de los parlamentarios, como es la de los derechos y facultades de los que son titulares y a través de los cuales se vertebra su participación en la función legislativa, entre ellos, la presentación de propuestas legislativas, la participación en el debate parlamentario de los temas sobre los que versan, la presentación y, en su caso, la introducción de enmiendas y el derecho a expresar su posición mediante el voto [SSTC 139/2017, FJ 5; 94/2018, FJ 7; 17/2019, FJ 4 a), y 172/2020, FJ 8 B) b)].</w:t>
      </w:r>
    </w:p>
    <w:p w14:paraId="1140A9CD" w14:textId="77777777" w:rsidR="008D479B" w:rsidRDefault="008D479B" w:rsidP="008D479B">
      <w:pPr>
        <w:pStyle w:val="TextoNormal"/>
      </w:pPr>
    </w:p>
    <w:p w14:paraId="73CC6115" w14:textId="77777777" w:rsidR="008D479B" w:rsidRDefault="008D479B" w:rsidP="008D479B">
      <w:pPr>
        <w:pStyle w:val="TextoNormal"/>
      </w:pPr>
      <w:r w:rsidRPr="008D479B">
        <w:rPr>
          <w:rStyle w:val="NumeroAFNegritaCaracter"/>
        </w:rPr>
        <w:t>11</w:t>
      </w:r>
      <w:r>
        <w:t xml:space="preserve">. </w:t>
      </w:r>
      <w:r w:rsidRPr="008D479B">
        <w:rPr>
          <w:i/>
        </w:rPr>
        <w:t>Conclusión y efectos del otorgamiento del amparo solicitado</w:t>
      </w:r>
    </w:p>
    <w:p w14:paraId="005BBCA2" w14:textId="77777777" w:rsidR="008D479B" w:rsidRDefault="008D479B" w:rsidP="008D479B">
      <w:pPr>
        <w:pStyle w:val="TextoNormal"/>
      </w:pPr>
    </w:p>
    <w:p w14:paraId="2D64F91E" w14:textId="77777777" w:rsidR="008D479B" w:rsidRDefault="008D479B" w:rsidP="008D479B">
      <w:pPr>
        <w:pStyle w:val="TextoNormal"/>
      </w:pPr>
      <w:r>
        <w:t xml:space="preserve">Los precedentes razonamientos permiten concluir que las resoluciones impugnadas además de contravenir preceptos reguladores del procedimiento legislativo (arts. 134.6 CE, 125 y 155 RS), han lesionado también el </w:t>
      </w:r>
      <w:r w:rsidRPr="008D479B">
        <w:rPr>
          <w:i/>
        </w:rPr>
        <w:t>ius in officium</w:t>
      </w:r>
      <w:r>
        <w:t xml:space="preserve"> del cargo de parlamentario (art. 23.2 CE) de los recurrentes en amparo y de los demás miembros del grupo parlamentario al que representan, en conexión con el derecho de los ciudadanos a participar en los asuntos públicos a través de representantes (art. 23.1 CE), en cuanto han privado de efectividad a los derechos y facultades de los que son titulares y a través de los que han participado en el ejercicio de la potestad legislativa del Senado con ocasión de la tramitación del proyecto de ley de medidas contra el fraude fiscal, mediante la presentación de la propuesta de modificación núm. 103.309 y la expresión de su voto a favor de la misma, formando parte de la mayoría de la Cámara que había acordado su aprobación.</w:t>
      </w:r>
    </w:p>
    <w:p w14:paraId="78FEF036" w14:textId="77777777" w:rsidR="008D479B" w:rsidRDefault="008D479B" w:rsidP="008D479B">
      <w:pPr>
        <w:pStyle w:val="TextoNormal"/>
      </w:pPr>
    </w:p>
    <w:p w14:paraId="4CC17C2C" w14:textId="05F05D00" w:rsidR="008D479B" w:rsidRDefault="008D479B" w:rsidP="008D479B">
      <w:pPr>
        <w:pStyle w:val="TextoNormal"/>
      </w:pPr>
      <w:r>
        <w:t>En cuanto al alcance del otorgamiento del amparo, como los propios demandantes interesan, al igual que el Ministerio Fiscal, ha de limitarse a reconocer la vulneración de los derechos fundamentales denunciados y la consiguiente declaración de nulidad de las resoluciones de la presidenta del Senado de 25 y 30 de junio de 2021.</w:t>
      </w:r>
    </w:p>
    <w:p w14:paraId="5265695B" w14:textId="77777777" w:rsidR="008D479B" w:rsidRDefault="008D479B" w:rsidP="008D479B">
      <w:pPr>
        <w:pStyle w:val="TextoNormal"/>
      </w:pPr>
    </w:p>
    <w:p w14:paraId="097DFE63" w14:textId="77777777" w:rsidR="008D479B" w:rsidRDefault="008D479B" w:rsidP="008D479B">
      <w:pPr>
        <w:pStyle w:val="TextoNormalCentrado"/>
        <w:keepNext/>
      </w:pPr>
      <w:r>
        <w:t>FALLO</w:t>
      </w:r>
    </w:p>
    <w:p w14:paraId="4818D4B6" w14:textId="7BA524B4" w:rsidR="008D479B" w:rsidRDefault="008D479B" w:rsidP="008D479B">
      <w:pPr>
        <w:pStyle w:val="TextoNormalCentrado"/>
        <w:keepNext/>
      </w:pPr>
    </w:p>
    <w:p w14:paraId="260B137D" w14:textId="77777777" w:rsidR="008D479B" w:rsidRDefault="008D479B" w:rsidP="008D479B">
      <w:pPr>
        <w:pStyle w:val="TextoNormal"/>
      </w:pPr>
      <w:r>
        <w:t>En atención a todo lo expuesto, el Tribunal Constitucional, por la autoridad que le confiere la Constitución de la Nación española, ha decidido otorgar el amparo solicitado por don Javier Ignacio Maroto Aranzábal y doña Salomé Pradas Ten, en su propio nombre y en representación de los demás miembros del Grupo Parlamentario Popular en el Senado, y, en consecuencia:</w:t>
      </w:r>
    </w:p>
    <w:p w14:paraId="58FA1363" w14:textId="77777777" w:rsidR="008D479B" w:rsidRDefault="008D479B" w:rsidP="008D479B">
      <w:pPr>
        <w:pStyle w:val="TextoNormal"/>
      </w:pPr>
    </w:p>
    <w:p w14:paraId="04E827BA" w14:textId="77777777" w:rsidR="008D479B" w:rsidRDefault="008D479B" w:rsidP="008D479B">
      <w:pPr>
        <w:pStyle w:val="TextoNormal"/>
      </w:pPr>
      <w:r>
        <w:t>1º Declarar que ha sido vulnerado su derecho al ejercicio de las funciones representativas con los requisitos que señalan las leyes (art. 23.1 CE), en conexión con el derecho de los ciudadanos a participar en los asuntos públicos a través de representantes (art. 23.2 CE).</w:t>
      </w:r>
    </w:p>
    <w:p w14:paraId="570B9FE4" w14:textId="77777777" w:rsidR="008D479B" w:rsidRDefault="008D479B" w:rsidP="008D479B">
      <w:pPr>
        <w:pStyle w:val="TextoNormal"/>
      </w:pPr>
    </w:p>
    <w:p w14:paraId="152AC7E3" w14:textId="7401DCCB" w:rsidR="008D479B" w:rsidRDefault="008D479B" w:rsidP="008D479B">
      <w:pPr>
        <w:pStyle w:val="TextoNormal"/>
      </w:pPr>
      <w:r>
        <w:t>2º Declarar la nulidad de las resoluciones de la presidenta del Senado de 25 y 30 de junio de 2021.</w:t>
      </w:r>
    </w:p>
    <w:p w14:paraId="04C9364E" w14:textId="77777777" w:rsidR="008D479B" w:rsidRDefault="008D479B" w:rsidP="008D479B">
      <w:pPr>
        <w:pStyle w:val="TextoNormal"/>
      </w:pPr>
    </w:p>
    <w:p w14:paraId="06ED2381" w14:textId="77777777" w:rsidR="008D479B" w:rsidRDefault="008D479B" w:rsidP="008D479B">
      <w:pPr>
        <w:pStyle w:val="TextoNormal"/>
      </w:pPr>
      <w:r>
        <w:t>Publíquese esta sentencia en el “Boletín Oficial del Estado”.</w:t>
      </w:r>
    </w:p>
    <w:p w14:paraId="596CA1D3" w14:textId="77777777" w:rsidR="008D479B" w:rsidRDefault="008D479B" w:rsidP="008D479B">
      <w:pPr>
        <w:pStyle w:val="TextoNormal"/>
      </w:pPr>
      <w:r>
        <w:t>Dada en Madrid, a veintidós de noviembre de dos mil veintitrés.</w:t>
      </w:r>
    </w:p>
    <w:p w14:paraId="1E49DCE9" w14:textId="12AC9AE8" w:rsidR="008D479B" w:rsidRDefault="008D479B">
      <w:pPr>
        <w:spacing w:after="160" w:line="278" w:lineRule="auto"/>
        <w:rPr>
          <w:rFonts w:ascii="Times New Roman" w:eastAsia="Times New Roman" w:hAnsi="Times New Roman" w:cs="Times New Roman"/>
          <w:sz w:val="24"/>
          <w:szCs w:val="24"/>
          <w:lang w:eastAsia="es-ES"/>
        </w:rPr>
      </w:pPr>
      <w:r>
        <w:br w:type="page"/>
      </w:r>
    </w:p>
    <w:p w14:paraId="2DC753A1" w14:textId="77777777" w:rsidR="008D479B" w:rsidRDefault="008D479B" w:rsidP="008D479B">
      <w:pPr>
        <w:pStyle w:val="TtuloResolucin"/>
      </w:pPr>
      <w:bookmarkStart w:id="93" w:name="SENTENCIA_2023_168"/>
      <w:r>
        <w:t>SENTENCIA 168/2023, de 22 de noviembre de 2023</w:t>
      </w:r>
    </w:p>
    <w:bookmarkEnd w:id="93"/>
    <w:p w14:paraId="06D06367" w14:textId="77777777" w:rsidR="008D479B" w:rsidRDefault="008D479B" w:rsidP="008D479B">
      <w:pPr>
        <w:pStyle w:val="TtuloResolucin"/>
      </w:pPr>
      <w:r>
        <w:t>Pleno</w:t>
      </w:r>
    </w:p>
    <w:p w14:paraId="2051DCFC" w14:textId="77777777" w:rsidR="008D479B" w:rsidRDefault="008D479B" w:rsidP="008D479B">
      <w:pPr>
        <w:pStyle w:val="TtuloBOE"/>
      </w:pPr>
      <w:r>
        <w:t>(BOE núm. 304, de 21 de diciembre de 2023)</w:t>
      </w:r>
    </w:p>
    <w:p w14:paraId="58803023" w14:textId="77777777" w:rsidR="008D479B" w:rsidRDefault="008D479B" w:rsidP="008D479B">
      <w:pPr>
        <w:pStyle w:val="TextoNormalCentrado"/>
      </w:pPr>
      <w:r>
        <w:t>ECLI:ES:TC:2023:168</w:t>
      </w:r>
    </w:p>
    <w:p w14:paraId="6E0C4B5B" w14:textId="68B3E5B5" w:rsidR="008D479B" w:rsidRDefault="008D479B" w:rsidP="008D479B">
      <w:pPr>
        <w:pStyle w:val="TextoNormalCentrado"/>
      </w:pPr>
    </w:p>
    <w:p w14:paraId="7C483B0E" w14:textId="77777777" w:rsidR="008D479B" w:rsidRDefault="008D479B" w:rsidP="008D479B">
      <w:pPr>
        <w:pStyle w:val="SntesisDescriptiva"/>
      </w:pPr>
      <w:r>
        <w:t>Cuestión de inconstitucionalidad 1096-2022. Planteada por la Sección Primera de la Sala de lo Contencioso-Administrativo del Tribunal Superior de Justicia de la Comunidad Valenciana respecto de la disposición transitoria undécima de la Ley 5/2014, de 25 de julio, de ordenación del territorio, urbanismo y paisaje de la Comunitat Valenciana, y también respecto de la disposición transitoria vigésima del texto refundido de la Ley de ordenación del territorio, urbanismo y paisaje, aprobado por el Decreto Legislativo 1/2021, de 18 de junio.</w:t>
      </w:r>
    </w:p>
    <w:p w14:paraId="3B987E19" w14:textId="00209030" w:rsidR="008D479B" w:rsidRDefault="008D479B" w:rsidP="008D479B">
      <w:pPr>
        <w:pStyle w:val="SntesisDescriptiva"/>
      </w:pPr>
    </w:p>
    <w:p w14:paraId="5803B6E3" w14:textId="77777777" w:rsidR="008D479B" w:rsidRDefault="008D479B" w:rsidP="008D479B">
      <w:pPr>
        <w:pStyle w:val="SntesisAnaltica"/>
      </w:pPr>
      <w:r>
        <w:t>Derecho de propiedad y principio de seguridad jurídica: inconstitucionalidad del precepto legal que priva a los propietarios de la facultad de instar la expropiación rogada de terrenos destinados a dotaciones públicas.</w:t>
      </w:r>
    </w:p>
    <w:p w14:paraId="7B28EEDF" w14:textId="6C60C8C9" w:rsidR="008D479B" w:rsidRDefault="008D479B" w:rsidP="008D479B">
      <w:pPr>
        <w:pStyle w:val="SntesisAnaltica"/>
      </w:pPr>
    </w:p>
    <w:p w14:paraId="3A86CCFF" w14:textId="3B677983" w:rsidR="008D479B" w:rsidRDefault="008D479B" w:rsidP="008D479B">
      <w:pPr>
        <w:pStyle w:val="Extracto"/>
      </w:pPr>
      <w:r>
        <w:t>1.</w:t>
      </w:r>
      <w:r>
        <w:tab/>
        <w:t>La obligación impuesta al individuo, que impide durante un periodo prolongado de tiempo su derecho a instar a la Administración a que expropie sus terrenos, supone soportar una carga excesiva y rompe el justo equilibrio entre las exigencias del interés general de la comunidad y las de la protección de los derechos fundamentales [FJ 5].</w:t>
      </w:r>
    </w:p>
    <w:p w14:paraId="165D6D8B" w14:textId="77777777" w:rsidR="008D479B" w:rsidRDefault="008D479B" w:rsidP="008D479B">
      <w:pPr>
        <w:pStyle w:val="Extracto"/>
      </w:pPr>
    </w:p>
    <w:p w14:paraId="4D65D4CF" w14:textId="1B1FAD5A" w:rsidR="008D479B" w:rsidRDefault="008D479B" w:rsidP="008D479B">
      <w:pPr>
        <w:pStyle w:val="Extracto"/>
      </w:pPr>
      <w:r>
        <w:t>2.</w:t>
      </w:r>
      <w:r>
        <w:tab/>
        <w:t>El principio de seguridad jurídica protege la confianza de los ciudadanos que ajustan su conducta económica a la legislación vigente, frente a cambios normativos que no sean razonablemente previsibles, debiendo ponderarse las circunstancias concretas que concurren en cada caso particular, es decir, la finalidad de la medida y las circunstancias relativas a su grado de previsibilidad, su importancia cuantitativa, y otros factores similares (SSTC 182/1997 y 51/2018) [FJ 6].</w:t>
      </w:r>
    </w:p>
    <w:p w14:paraId="195442E4" w14:textId="77777777" w:rsidR="008D479B" w:rsidRDefault="008D479B" w:rsidP="008D479B">
      <w:pPr>
        <w:pStyle w:val="Extracto"/>
      </w:pPr>
    </w:p>
    <w:p w14:paraId="472E4BE9" w14:textId="56230E33" w:rsidR="008D479B" w:rsidRDefault="008D479B" w:rsidP="008D479B">
      <w:pPr>
        <w:pStyle w:val="Extracto"/>
      </w:pPr>
      <w:r>
        <w:t>3.</w:t>
      </w:r>
      <w:r>
        <w:tab/>
        <w:t>El legislador debe exponer cuál es la finalidad que justifica la norma y sus sucesivas prórrogas [FJ 7].</w:t>
      </w:r>
    </w:p>
    <w:p w14:paraId="6FBDFB98" w14:textId="77777777" w:rsidR="008D479B" w:rsidRDefault="008D479B" w:rsidP="008D479B">
      <w:pPr>
        <w:pStyle w:val="Extracto"/>
      </w:pPr>
    </w:p>
    <w:p w14:paraId="0AA958C7" w14:textId="77777777" w:rsidR="008D479B" w:rsidRDefault="008D479B" w:rsidP="008D479B">
      <w:pPr>
        <w:pStyle w:val="Extracto"/>
      </w:pPr>
    </w:p>
    <w:p w14:paraId="36CA231D" w14:textId="77777777" w:rsidR="008D479B" w:rsidRDefault="008D479B" w:rsidP="008D479B">
      <w:pPr>
        <w:pStyle w:val="TextoNormal"/>
      </w:pPr>
      <w: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 ha pronunciado</w:t>
      </w:r>
    </w:p>
    <w:p w14:paraId="565CDF55" w14:textId="01A1C9DF" w:rsidR="008D479B" w:rsidRDefault="008D479B" w:rsidP="008D479B">
      <w:pPr>
        <w:pStyle w:val="TextoNormal"/>
      </w:pPr>
    </w:p>
    <w:p w14:paraId="5D100623" w14:textId="77777777" w:rsidR="008D479B" w:rsidRDefault="008D479B" w:rsidP="008D479B">
      <w:pPr>
        <w:pStyle w:val="TextoNormalCentrado"/>
        <w:keepNext/>
      </w:pPr>
      <w:r>
        <w:t>EN NOMBRE DEL REY</w:t>
      </w:r>
    </w:p>
    <w:p w14:paraId="5CB3A72C" w14:textId="73213C37" w:rsidR="008D479B" w:rsidRDefault="008D479B" w:rsidP="008D479B">
      <w:pPr>
        <w:pStyle w:val="TextoNormalCentrado"/>
        <w:keepNext/>
      </w:pPr>
    </w:p>
    <w:p w14:paraId="002AC88E" w14:textId="77777777" w:rsidR="008D479B" w:rsidRDefault="008D479B" w:rsidP="008D479B">
      <w:pPr>
        <w:pStyle w:val="TextoNormalCentrado"/>
        <w:keepNext/>
      </w:pPr>
    </w:p>
    <w:p w14:paraId="5163AE0B" w14:textId="77777777" w:rsidR="008D479B" w:rsidRDefault="008D479B" w:rsidP="008D479B">
      <w:pPr>
        <w:pStyle w:val="TextoNormal"/>
      </w:pPr>
      <w:r>
        <w:t>la siguiente</w:t>
      </w:r>
    </w:p>
    <w:p w14:paraId="5D424EA0" w14:textId="53CF43AA" w:rsidR="008D479B" w:rsidRDefault="008D479B" w:rsidP="008D479B">
      <w:pPr>
        <w:pStyle w:val="TextoNormal"/>
      </w:pPr>
    </w:p>
    <w:p w14:paraId="47AED87F" w14:textId="77777777" w:rsidR="008D479B" w:rsidRDefault="008D479B" w:rsidP="008D479B">
      <w:pPr>
        <w:pStyle w:val="TextoNormalCentrado"/>
        <w:keepNext/>
      </w:pPr>
      <w:r>
        <w:t>SENTENCIA</w:t>
      </w:r>
    </w:p>
    <w:p w14:paraId="54DFB774" w14:textId="258DB03D" w:rsidR="008D479B" w:rsidRDefault="008D479B" w:rsidP="008D479B">
      <w:pPr>
        <w:pStyle w:val="TextoNormalCentrado"/>
        <w:keepNext/>
      </w:pPr>
    </w:p>
    <w:p w14:paraId="09B8D287" w14:textId="77777777" w:rsidR="008D479B" w:rsidRDefault="008D479B" w:rsidP="008D479B">
      <w:pPr>
        <w:pStyle w:val="TextoNormal"/>
      </w:pPr>
      <w:r>
        <w:t>En la cuestión de inconstitucionalidad núm. 1096-2022, planteada por la Sección Primera de la Sala de lo Contencioso-Administrativo del Tribunal Superior de Justicia de la Comunidad Valenciana respecto de la disposición transitoria undécima de la Ley 5/2014, de 25 de julio, de ordenación del territorio, urbanismo y paisaje de la Comunitat Valenciana, y también respecto de la disposición transitoria vigésima del texto refundido de la Ley de ordenación del territorio, urbanismo y paisaje, aprobado por el Decreto Legislativo 1/2021, de 18 de junio. Han comparecido y formulado alegaciones el fiscal general del Estado, la letrada de les Corts Valencianes, y la abogada de la Generalitat Valenciana. Ha sido ponente el magistrado don César Tolosa Tribiño.</w:t>
      </w:r>
    </w:p>
    <w:p w14:paraId="599529CB" w14:textId="1028D67A" w:rsidR="008D479B" w:rsidRDefault="008D479B" w:rsidP="008D479B">
      <w:pPr>
        <w:pStyle w:val="TextoNormal"/>
      </w:pPr>
    </w:p>
    <w:p w14:paraId="758EA023" w14:textId="77777777" w:rsidR="008D479B" w:rsidRDefault="008D479B" w:rsidP="008D479B">
      <w:pPr>
        <w:pStyle w:val="TextoNormalNegritaCentrado"/>
        <w:keepNext/>
      </w:pPr>
      <w:r>
        <w:t>I. Antecedentes</w:t>
      </w:r>
    </w:p>
    <w:p w14:paraId="2DBAB204" w14:textId="6E4C05FD" w:rsidR="008D479B" w:rsidRDefault="008D479B" w:rsidP="008D479B">
      <w:pPr>
        <w:pStyle w:val="TextoNormalNegritaCentrado"/>
        <w:keepNext/>
      </w:pPr>
    </w:p>
    <w:p w14:paraId="26AB726E" w14:textId="77777777" w:rsidR="008D479B" w:rsidRDefault="008D479B" w:rsidP="008D479B">
      <w:pPr>
        <w:pStyle w:val="TextoNormal"/>
      </w:pPr>
      <w:r w:rsidRPr="008D479B">
        <w:rPr>
          <w:rStyle w:val="NumeroAFNegritaCaracter"/>
        </w:rPr>
        <w:t>1</w:t>
      </w:r>
      <w:r>
        <w:t>. Con fecha 21 de febrero de 2022 tuvo entrada en el registro general del Tribunal Constitucional escrito de la Sección Primera de la Sala de lo Contencioso-Administrativo del Tribunal Superior de Justicia de la Comunidad Valenciana, remitiendo testimonio del auto de 9 de febrero de 2022, por el que se acuerda plantear cuestión de inconstitucionalidad respecto de la disposición transitoria undécima de la Ley 5/2014, de 25 de julio, de ordenación del territorio, urbanismo y paisaje de la Comunitat Valenciana (en adelante, Ley 5/2014).</w:t>
      </w:r>
    </w:p>
    <w:p w14:paraId="4B1B8575" w14:textId="77777777" w:rsidR="008D479B" w:rsidRDefault="008D479B" w:rsidP="008D479B">
      <w:pPr>
        <w:pStyle w:val="TextoNormal"/>
      </w:pPr>
    </w:p>
    <w:p w14:paraId="47189892" w14:textId="77777777" w:rsidR="008D479B" w:rsidRDefault="008D479B" w:rsidP="008D479B">
      <w:pPr>
        <w:pStyle w:val="TextoNormal"/>
      </w:pPr>
      <w:r>
        <w:t>Esta disposición se impugna en la redacción inicial que le dio la Ley 13/2016, de 29 de diciembre, de medidas fiscales, de gestión administrativa y financiera y de organización de la Generalitat (en adelante, Ley 13/2106); y en sus posteriores redacciones tras las modificaciones operadas por la Ley 27/2018, de 27 de diciembre, de medidas fiscales, de gestión administrativa y financiera y de organización de la Generalitat (en adelante, Ley 27/2018), por la Ley 9/2019, de 23 de diciembre, de medidas fiscales, de gestión administrativa y financiera y de organización de la Generalitat (en adelante, Ley 9/2019), y por la Ley 3/2020, de 30 de diciembre, de medidas fiscales, de gestión administrativa y financiera y de organización de la Generalitat 2021, redactada conforme a la corrección de errores publicada en el “Diario Oficial de la Generalitat Valenciana” núm. 9002, de 21 de enero de 2021. Asimismo, se suscita cuestión, por conexión o consecuencia, de la disposición transitoria vigésima del texto refundido de la Ley de ordenación del territorio, urbanismo y paisaje, aprobado por el Decreto Legislativo 1/2021, de 18 de junio.</w:t>
      </w:r>
    </w:p>
    <w:p w14:paraId="0322DA11" w14:textId="77777777" w:rsidR="008D479B" w:rsidRDefault="008D479B" w:rsidP="008D479B">
      <w:pPr>
        <w:pStyle w:val="TextoNormal"/>
      </w:pPr>
    </w:p>
    <w:p w14:paraId="50AA7980" w14:textId="6B146F1A" w:rsidR="008D479B" w:rsidRDefault="008D479B" w:rsidP="008D479B">
      <w:pPr>
        <w:pStyle w:val="TextoNormal"/>
      </w:pPr>
      <w:r>
        <w:t>Estas disposiciones se cuestionan por considerar que pueden ser contrarias a los arts. 9.3 y 33 CE.</w:t>
      </w:r>
    </w:p>
    <w:p w14:paraId="6A091ACA" w14:textId="77777777" w:rsidR="008D479B" w:rsidRDefault="008D479B" w:rsidP="008D479B">
      <w:pPr>
        <w:pStyle w:val="TextoNormal"/>
      </w:pPr>
    </w:p>
    <w:p w14:paraId="7DB149D2" w14:textId="77777777" w:rsidR="008D479B" w:rsidRDefault="008D479B" w:rsidP="008D479B">
      <w:pPr>
        <w:pStyle w:val="TextoNormal"/>
      </w:pPr>
      <w:r w:rsidRPr="008D479B">
        <w:rPr>
          <w:rStyle w:val="NumeroAFNegritaCaracter"/>
        </w:rPr>
        <w:t>2</w:t>
      </w:r>
      <w:r>
        <w:t>. Los antecedentes que presentan relevancia para esta cuestión de inconstitucionalidad son, en síntesis, los siguientes:</w:t>
      </w:r>
    </w:p>
    <w:p w14:paraId="1DC7212E" w14:textId="77777777" w:rsidR="008D479B" w:rsidRDefault="008D479B" w:rsidP="008D479B">
      <w:pPr>
        <w:pStyle w:val="TextoNormal"/>
      </w:pPr>
    </w:p>
    <w:p w14:paraId="635AD0C9" w14:textId="77777777" w:rsidR="008D479B" w:rsidRDefault="008D479B" w:rsidP="008D479B">
      <w:pPr>
        <w:pStyle w:val="TextoNormal"/>
      </w:pPr>
      <w:r>
        <w:t>a) Por resolución del conseller de Obras Públicas, Urbanismo y Transportes de 26 de enero de 1990, publicado en el “Diari Oficial de la Generalitat Valenciana” de 28 de febrero de 1990, se aprobó definitivamente el Plan General de Ordenación Urbana (PGOU) de Torrent. El PGOU fue modificado en sus determinaciones respecto al régimen de suelo no urbanizable por resoluciones del conseller de Obras Públicas, Urbanismo y Transportes de 7 de agosto de 2000 y de 7 de marzo de 2002. Con arreglo a dicho PGOU, la parcela con número de finca registral 4293 del término municipal de Torrent está clasificada como suelo urbano y calificada como vial y zona verde.</w:t>
      </w:r>
    </w:p>
    <w:p w14:paraId="1B03B43D" w14:textId="77777777" w:rsidR="008D479B" w:rsidRDefault="008D479B" w:rsidP="008D479B">
      <w:pPr>
        <w:pStyle w:val="TextoNormal"/>
      </w:pPr>
    </w:p>
    <w:p w14:paraId="2E7B8725" w14:textId="77777777" w:rsidR="008D479B" w:rsidRDefault="008D479B" w:rsidP="008D479B">
      <w:pPr>
        <w:pStyle w:val="TextoNormal"/>
      </w:pPr>
      <w:r>
        <w:t>b) Con fecha 15 de octubre de 2015, los titulares de la citada parcela presentaron ante el Ayuntamiento de Torrent advertencia de inicio de expediente expropiatorio por ministerio de la ley ante la inactividad de la administración municipal en su adquisición.</w:t>
      </w:r>
    </w:p>
    <w:p w14:paraId="15D6D28E" w14:textId="77777777" w:rsidR="008D479B" w:rsidRDefault="008D479B" w:rsidP="008D479B">
      <w:pPr>
        <w:pStyle w:val="TextoNormal"/>
      </w:pPr>
    </w:p>
    <w:p w14:paraId="71AB6276" w14:textId="77777777" w:rsidR="008D479B" w:rsidRDefault="008D479B" w:rsidP="008D479B">
      <w:pPr>
        <w:pStyle w:val="TextoNormal"/>
      </w:pPr>
      <w:r>
        <w:t>c) No habiéndose incoado el procedimiento solicitado, los propietarios presentaron ante el ayuntamiento hoja de aprecio, mediante escrito de fecha de 8 de mayo de 2018, con la valoración total de 1 086 002,09 €.</w:t>
      </w:r>
    </w:p>
    <w:p w14:paraId="64AF3099" w14:textId="77777777" w:rsidR="008D479B" w:rsidRDefault="008D479B" w:rsidP="008D479B">
      <w:pPr>
        <w:pStyle w:val="TextoNormal"/>
      </w:pPr>
    </w:p>
    <w:p w14:paraId="621F367A" w14:textId="77777777" w:rsidR="008D479B" w:rsidRDefault="008D479B" w:rsidP="008D479B">
      <w:pPr>
        <w:pStyle w:val="TextoNormal"/>
      </w:pPr>
      <w:r>
        <w:t>d) En fecha de 26 de noviembre de 2018 los propietarios se dirigieron al Jurado Provincial de Expropiación Forzosa de Valencia para que se justiprecien los bienes y derechos afectados. Dicha petición es inadmitida a trámite en aplicación de la disposición transitoria undécima de la Ley 5/2014, por resolución de 29 de enero de 2019.</w:t>
      </w:r>
    </w:p>
    <w:p w14:paraId="786B2169" w14:textId="77777777" w:rsidR="008D479B" w:rsidRDefault="008D479B" w:rsidP="008D479B">
      <w:pPr>
        <w:pStyle w:val="TextoNormal"/>
      </w:pPr>
    </w:p>
    <w:p w14:paraId="04710AF3" w14:textId="77777777" w:rsidR="008D479B" w:rsidRDefault="008D479B" w:rsidP="008D479B">
      <w:pPr>
        <w:pStyle w:val="TextoNormal"/>
      </w:pPr>
      <w:r>
        <w:t xml:space="preserve">En dicha resolución del jurado provincial de expropiación forzosa se deja constancia de que a la finca registral le corresponden dos referencias catastrales distintas, y se cumple el requisito sustantivo para la expropiación rogada en las parcelas afectadas, al ser dotacionales públicos, excepto en la superficie de 221,22 metros cuadrados de una de las parcelas, que está clasificada como suelo no urbanizable común agrícola de regadío. Respecto de los requisitos formales o de procedimiento advierte que el expediente de justiprecio nace con la presentación, por la propiedad, de la hoja de aprecio ante la administración competente, siendo en el presente caso, en fecha 8 de mayo de 2018, si bien, en atención al mandato legal de la citada disposición transitoria undécima, queda suspendido </w:t>
      </w:r>
      <w:r w:rsidRPr="008D479B">
        <w:rPr>
          <w:i/>
        </w:rPr>
        <w:t>ex lege</w:t>
      </w:r>
      <w:r>
        <w:t xml:space="preserve"> el computo del plazo para la presentación de la hoja de aprecio desde el 1 de enero de 2017, y hasta el 31 de diciembre de 2020, tras la prórroga operada por el art. 84 de la Ley 27/2018, no pudiendo admitirse a trámite la solicitud de la propiedad por imperativo legal.</w:t>
      </w:r>
    </w:p>
    <w:p w14:paraId="2E4F76D4" w14:textId="77777777" w:rsidR="008D479B" w:rsidRDefault="008D479B" w:rsidP="008D479B">
      <w:pPr>
        <w:pStyle w:val="TextoNormal"/>
      </w:pPr>
    </w:p>
    <w:p w14:paraId="1FABB392" w14:textId="77777777" w:rsidR="008D479B" w:rsidRDefault="008D479B" w:rsidP="008D479B">
      <w:pPr>
        <w:pStyle w:val="TextoNormal"/>
      </w:pPr>
      <w:r>
        <w:t xml:space="preserve">e) Los recurrentes en el proceso </w:t>
      </w:r>
      <w:r w:rsidRPr="008D479B">
        <w:rPr>
          <w:i/>
        </w:rPr>
        <w:t>a quo</w:t>
      </w:r>
      <w:r>
        <w:t xml:space="preserve"> interpusieron recurso contencioso-administrativo contra la resolución de 29 de enero de 2019 dictada por el Jurado Provincial de Expropiación Forzosa de Valencia por la que se acordó inadmitir a trámite su solicitud de determinación del justiprecio por ministerio de la ley en aplicación de la disposición transitoria undécima de la Ley 5/2014.</w:t>
      </w:r>
    </w:p>
    <w:p w14:paraId="484B355B" w14:textId="77777777" w:rsidR="008D479B" w:rsidRDefault="008D479B" w:rsidP="008D479B">
      <w:pPr>
        <w:pStyle w:val="TextoNormal"/>
      </w:pPr>
    </w:p>
    <w:p w14:paraId="12E1CF45" w14:textId="77777777" w:rsidR="008D479B" w:rsidRDefault="008D479B" w:rsidP="008D479B">
      <w:pPr>
        <w:pStyle w:val="TextoNormal"/>
      </w:pPr>
      <w:r>
        <w:t>En el escrito de demanda la parte actora solicitó por otrosí que la Sala planteara cuestión de inconstitucionalidad en relación con la referida disposición transitoria undécima introducida por el art. 99 de la Ley 13/2016, tanto en su redacción originaria como en la redacción que le otorgó el art. 84 de la Ley 27/2018.</w:t>
      </w:r>
    </w:p>
    <w:p w14:paraId="5ABE50C6" w14:textId="77777777" w:rsidR="008D479B" w:rsidRDefault="008D479B" w:rsidP="008D479B">
      <w:pPr>
        <w:pStyle w:val="TextoNormal"/>
      </w:pPr>
    </w:p>
    <w:p w14:paraId="3E2186D6" w14:textId="77777777" w:rsidR="008D479B" w:rsidRDefault="008D479B" w:rsidP="008D479B">
      <w:pPr>
        <w:pStyle w:val="TextoNormal"/>
      </w:pPr>
      <w:r>
        <w:t>f) Tanto la Abogacía del Estado como el Ayuntamiento de Torrent contestaron a la demanda y solicitaron a la Sala que desestimara el recurso y declarara conforme a Derecho la resolución impugnada.</w:t>
      </w:r>
    </w:p>
    <w:p w14:paraId="2751BDE8" w14:textId="77777777" w:rsidR="008D479B" w:rsidRDefault="008D479B" w:rsidP="008D479B">
      <w:pPr>
        <w:pStyle w:val="TextoNormal"/>
      </w:pPr>
    </w:p>
    <w:p w14:paraId="5A301417" w14:textId="77777777" w:rsidR="008D479B" w:rsidRDefault="008D479B" w:rsidP="008D479B">
      <w:pPr>
        <w:pStyle w:val="TextoNormal"/>
      </w:pPr>
      <w:r>
        <w:t>g) Tras acordar el recibimiento a prueba y presentar las partes escrito de conclusiones, por providencia de 9 de diciembre de 2019, se declaró el pleito concluso y quedó pendiente de su señalamiento para votación y fallo cuando por orden de antigüedad le correspondiera. La parte actora interpuso recurso de reposición contra esta providencia. En este recurso se aduce que, como ha solicitado en su escrito de demanda el planteamiento de la cuestión de inconstitucionalidad de la norma aplicada, la Sala, conforme a lo establecido en el art. 35.2 de la Ley Orgánica del Tribunal Constitucional (LOTC), ha de otorgar audiencia a las partes sobre la pertinencia de su planteamiento. El recurso de reposición fue desestimado.</w:t>
      </w:r>
    </w:p>
    <w:p w14:paraId="151687FD" w14:textId="77777777" w:rsidR="008D479B" w:rsidRDefault="008D479B" w:rsidP="008D479B">
      <w:pPr>
        <w:pStyle w:val="TextoNormal"/>
      </w:pPr>
    </w:p>
    <w:p w14:paraId="7063325D" w14:textId="77777777" w:rsidR="008D479B" w:rsidRDefault="008D479B" w:rsidP="008D479B">
      <w:pPr>
        <w:pStyle w:val="TextoNormal"/>
      </w:pPr>
      <w:r>
        <w:t>h) Por providencia de 20 de septiembre de 2021 se señaló el día 13 de octubre de 2021 para votación y fallo. Por providencia de 6 de octubre de 2021 se dejó sin efecto el referido señalamiento a los efectos de dar traslado a las partes y al Ministerio Fiscal, por un plazo común de diez días, “en los términos previstos en el art. 35 LOTC”. En dicho plazo la parte actora y el Ministerio Fiscal presentaron alegaciones.</w:t>
      </w:r>
    </w:p>
    <w:p w14:paraId="3B58CF9F" w14:textId="77777777" w:rsidR="008D479B" w:rsidRDefault="008D479B" w:rsidP="008D479B">
      <w:pPr>
        <w:pStyle w:val="TextoNormal"/>
      </w:pPr>
    </w:p>
    <w:p w14:paraId="74806618" w14:textId="77777777" w:rsidR="008D479B" w:rsidRDefault="008D479B" w:rsidP="008D479B">
      <w:pPr>
        <w:pStyle w:val="TextoNormal"/>
      </w:pPr>
      <w:r>
        <w:t>i) El 21 de octubre de 2021 la Sala dictó providencia por la que dio un nuevo trámite de audiencia al considerar que el otorgado por la providencia de 6 de octubre de 2021 no se realizó adecuadamente (no concretó la norma legal cuestionada ni los preceptos constitucionales que podía infringir). En esta providencia se precisa el precepto legal cuestionado —la disposición transitoria undécima de la Ley 5/2014 y sus modificaciones posteriores—, se identifican los preceptos constitucionales que se consideran infringidos —los arts. 14, 149.1.1 y 149.1.18 CE, en su relación con el art. 69 del Real Decreto 1346/1976, por el que se aprueba el texto refundido de la Ley sobre el régimen del suelo y ordenación urbana; los arts. 9.3 y 33 CE— y se exponen los motivos por los que se considera que la norma aplicable al caso podría ser contraria a los referidos preceptos constitucionales.</w:t>
      </w:r>
    </w:p>
    <w:p w14:paraId="408A2FA9" w14:textId="77777777" w:rsidR="008D479B" w:rsidRDefault="008D479B" w:rsidP="008D479B">
      <w:pPr>
        <w:pStyle w:val="TextoNormal"/>
      </w:pPr>
    </w:p>
    <w:p w14:paraId="797AD84A" w14:textId="77777777" w:rsidR="008D479B" w:rsidRDefault="008D479B" w:rsidP="008D479B">
      <w:pPr>
        <w:pStyle w:val="TextoNormal"/>
      </w:pPr>
      <w:r>
        <w:t>La parte actora, el Ministerio Fiscal, el Ayuntamiento de Torrent y el abogado del Estado presentaron alegaciones.</w:t>
      </w:r>
    </w:p>
    <w:p w14:paraId="40E3F3A4" w14:textId="77777777" w:rsidR="008D479B" w:rsidRDefault="008D479B" w:rsidP="008D479B">
      <w:pPr>
        <w:pStyle w:val="TextoNormal"/>
      </w:pPr>
    </w:p>
    <w:p w14:paraId="417A14D1" w14:textId="41360A10" w:rsidR="008D479B" w:rsidRDefault="008D479B" w:rsidP="008D479B">
      <w:pPr>
        <w:pStyle w:val="TextoNormal"/>
      </w:pPr>
      <w:r>
        <w:t>j) Por auto de 9 de febrero de 2022, la Sección primera de la Sala de lo Contencioso-Administrativo del Tribunal Superior de Justicia de Valencia acordó plantear cuestión de inconstitucionalidad sobre la disposición transitoria undécima de la Ley 5/2014 y sus posteriores modificaciones operadas por las leyes 27/2018, 9/2019 y 3/2020; asimismo, se suscita cuestión, por “conexión y consecuencia” (</w:t>
      </w:r>
      <w:r w:rsidRPr="008D479B">
        <w:rPr>
          <w:i/>
        </w:rPr>
        <w:t>sic</w:t>
      </w:r>
      <w:r>
        <w:t>), de la disposición transitoria vigésima del Decreto legislativo 1/2021. La Sala entiende que estas normas pueden ser contrarias a los arts. 9.3 y 33 CE.</w:t>
      </w:r>
    </w:p>
    <w:p w14:paraId="41DC7536" w14:textId="77777777" w:rsidR="008D479B" w:rsidRDefault="008D479B" w:rsidP="008D479B">
      <w:pPr>
        <w:pStyle w:val="TextoNormal"/>
      </w:pPr>
    </w:p>
    <w:p w14:paraId="0887C385" w14:textId="77777777" w:rsidR="008D479B" w:rsidRDefault="008D479B" w:rsidP="008D479B">
      <w:pPr>
        <w:pStyle w:val="TextoNormal"/>
      </w:pPr>
      <w:r w:rsidRPr="008D479B">
        <w:rPr>
          <w:rStyle w:val="NumeroAFNegritaCaracter"/>
        </w:rPr>
        <w:t>3</w:t>
      </w:r>
      <w:r>
        <w:t>. En el auto de planteamiento, la Sección Primera de la Sala de lo Contencioso-Administrativo del Tribunal Superior de Justicia de la Comunidad Valenciana fundamenta la procedencia de la cuestión de inconstitucionalidad en los siguientes términos:</w:t>
      </w:r>
    </w:p>
    <w:p w14:paraId="39D0E607" w14:textId="77777777" w:rsidR="008D479B" w:rsidRDefault="008D479B" w:rsidP="008D479B">
      <w:pPr>
        <w:pStyle w:val="TextoNormal"/>
      </w:pPr>
    </w:p>
    <w:p w14:paraId="273E1CE9" w14:textId="77777777" w:rsidR="008D479B" w:rsidRDefault="008D479B" w:rsidP="008D479B">
      <w:pPr>
        <w:pStyle w:val="TextoNormal"/>
      </w:pPr>
      <w:r>
        <w:t>a) La Sala sostiene que la disposición legal cuya constitucionalidad se cuestiona es la disposición transitoria undécima de la Ley 5/2014 en sus diferentes redacciones: (i) la que le otorgó el art. 99 de la Ley 13/2016, por ser la vigente al tiempo de presentar los actores su hoja de aprecio ante el Ayuntamiento de Torrent; (ii) la que le otorgó el art. 84 de la Ley 27/2018 “por ser en este caso la vigente al dictar el Jurado Provincial de Expropiación de Valencia la resolución objeto del recurso contencioso-administrativo, esto es el acuerdo del referido jurado de 29 de enero de 2019”; (iii) la modificación efectuada por el art. 96 de la Ley 9/2019;y (iv) la llevada a cabo por el art. 97 de la Ley 3/2020. Se indica, por otra parte, que la Ley 5/2014 fue derogada, y, por tanto, también su disposición transitoria undécima, por la disposición derogatoria única a) del Decreto legislativo 1/2021, que no obstante ha recogido su última redacción en su disposición transitoria vigésima.</w:t>
      </w:r>
    </w:p>
    <w:p w14:paraId="1D0DC43E" w14:textId="77777777" w:rsidR="008D479B" w:rsidRDefault="008D479B" w:rsidP="008D479B">
      <w:pPr>
        <w:pStyle w:val="TextoNormal"/>
      </w:pPr>
    </w:p>
    <w:p w14:paraId="2DC4EDDC" w14:textId="77777777" w:rsidR="008D479B" w:rsidRDefault="008D479B" w:rsidP="008D479B">
      <w:pPr>
        <w:pStyle w:val="TextoNormal"/>
      </w:pPr>
      <w:r>
        <w:t>En el auto de planteamiento se sostiene que un examen riguroso acerca de la constitucionalidad de la disposición transitoria undécima de la Ley 5/2014 “no puede realizarse sin tener en cuenta las modificaciones sucesivas a que se ha visto sometida a fin de mantener en el tiempo la suspensión inicialmente fijada, como su posterior integración en el texto refundido vigente, pues ello ha determinado que la suspensión inicialmente establecida por la Ley 13/2016, de 29 de diciembre (y que entró en vigor el 1 de enero de 2017), se mantenga hasta la fecha de redacción de la presente resolución, y con visos de proseguir, al menos, hasta el 31 de diciembre de 2023”.</w:t>
      </w:r>
    </w:p>
    <w:p w14:paraId="6983B984" w14:textId="77777777" w:rsidR="008D479B" w:rsidRDefault="008D479B" w:rsidP="008D479B">
      <w:pPr>
        <w:pStyle w:val="TextoNormal"/>
      </w:pPr>
    </w:p>
    <w:p w14:paraId="271B1B6C" w14:textId="77777777" w:rsidR="008D479B" w:rsidRDefault="008D479B" w:rsidP="008D479B">
      <w:pPr>
        <w:pStyle w:val="TextoNormal"/>
      </w:pPr>
      <w:r>
        <w:t>Entiende la Sala, por un lado, que si la constitucionalidad del precepto se limitase a su redacción original y, por tanto, la suspensión se hubiera mantenido hasta el 31 de diciembre de 2018 sin prórroga posterior, el jurado provincial de expropiación difícilmente hubiera podido dictar la resolución impugnada, pues esta resolución se dictó el 29 de enero de 2019 (esto es, cuando estaba en vigor la modificación de la ley que prorrogó la suspensión del plazo hasta el 31 de diciembre de 2020). La Sala sostiene, además, que si no se hubiera realizado la segunda prórroga del plazo de suspensión hasta el 31 de diciembre de 2023 (esto es, si la suspensión hubiera finalizado el 31 de diciembre de 2020) “bien podría el presente pleito haber concluido de otra forma, mediante desistimiento de los actores o por satisfacción extraprocesal por reconocimiento de la administración de las pretensiones de aquellos, por admitir a trámite finalmente el jurado provincial de expropiación la solicitud de los actores por no regir ya la suspensión en que se basó la inadmisión”.</w:t>
      </w:r>
    </w:p>
    <w:p w14:paraId="1EB65342" w14:textId="77777777" w:rsidR="008D479B" w:rsidRDefault="008D479B" w:rsidP="008D479B">
      <w:pPr>
        <w:pStyle w:val="TextoNormal"/>
      </w:pPr>
    </w:p>
    <w:p w14:paraId="2ADF3BD1" w14:textId="77777777" w:rsidR="008D479B" w:rsidRDefault="008D479B" w:rsidP="008D479B">
      <w:pPr>
        <w:pStyle w:val="TextoNormal"/>
      </w:pPr>
      <w:r>
        <w:t>Por todo ello, considera que como la suspensión de los plazos de la expropiación rogada sigue vigente desde el 1 de enero de 2017 hasta la actualidad no puede concluir el proceso “sino por sentencia cuyo fallo depende precisamente de la validez constitucional de la disposición transitoria undécima de la Ley 5/2014 (hoy en la disposición transitoria vigésima del texto refundido que aprobó el Decreto Legislativo 1/2021)”.</w:t>
      </w:r>
    </w:p>
    <w:p w14:paraId="011974AB" w14:textId="77777777" w:rsidR="008D479B" w:rsidRDefault="008D479B" w:rsidP="008D479B">
      <w:pPr>
        <w:pStyle w:val="TextoNormal"/>
      </w:pPr>
    </w:p>
    <w:p w14:paraId="65463B1C" w14:textId="77777777" w:rsidR="008D479B" w:rsidRDefault="008D479B" w:rsidP="008D479B">
      <w:pPr>
        <w:pStyle w:val="TextoNormal"/>
      </w:pPr>
      <w:r>
        <w:t>b) En el fundamento jurídico segundo del auto de planteamiento se efectúa el juicio de aplicabilidad. El órgano judicial que plantea la cuestión considera que este requisito se cumple al apreciar que “fue precisamente en la disposición transitoria undécima de la Ley 5/2014 [en la que] el jurado provincial de Valencia fundó su resolución de inadmisión a trámite de la solicitud efectuada por los actores”. Junto a ello sostiene, además, que en la medida en que la citada disposición transitoria undécima de la Ley 5/2014 sigue siendo de aplicación para la resolución del asunto no hay óbice que impida la admisión a trámite de la presente cuestión. Esta conclusión, según la Sala, se refuerza porque lo establecido en dicha disposición transitoria conforme a su última redacción, pervive en el ordenamiento jurídico dado que el contenido de esta disposición ha quedado recogido en la disposición transitoria vigésima del texto refundido aprobado por el Decreto Legislativo 1/2021, y por ello el juicio de constitucionalidad también debe extenderse a este último precepto, como ya hiciera este tribunal en su STC 196/1997, de 13 de noviembre.</w:t>
      </w:r>
    </w:p>
    <w:p w14:paraId="5F37C008" w14:textId="77777777" w:rsidR="008D479B" w:rsidRDefault="008D479B" w:rsidP="008D479B">
      <w:pPr>
        <w:pStyle w:val="TextoNormal"/>
      </w:pPr>
    </w:p>
    <w:p w14:paraId="1894955C" w14:textId="77777777" w:rsidR="008D479B" w:rsidRDefault="008D479B" w:rsidP="008D479B">
      <w:pPr>
        <w:pStyle w:val="TextoNormal"/>
      </w:pPr>
      <w:r>
        <w:t>Afirma también que en este supuesto no concurren las exigencias establecidas por la jurisprudencia constitucional para que la norma cuestionada pueda ser inaplicada en virtud de la cláusula de prevalencia prevista en el art. 149.3 CE (se citan las SSTC 116/2015, de 8 de junio; 102/2016, de 25 de mayo, y 127/2016, de 7 de julio).</w:t>
      </w:r>
    </w:p>
    <w:p w14:paraId="0FFC62E6" w14:textId="77777777" w:rsidR="008D479B" w:rsidRDefault="008D479B" w:rsidP="008D479B">
      <w:pPr>
        <w:pStyle w:val="TextoNormal"/>
      </w:pPr>
    </w:p>
    <w:p w14:paraId="7932AB4D" w14:textId="77777777" w:rsidR="008D479B" w:rsidRDefault="008D479B" w:rsidP="008D479B">
      <w:pPr>
        <w:pStyle w:val="TextoNormal"/>
      </w:pPr>
      <w:r>
        <w:t>Por todo ello concluye que la disposición transitoria undécima de la Ley 5/2014 es aplicable al caso, pues sostiene que “es la base sobre la que ha de resolver esta Sala en la eventual sentencia a dictar”.</w:t>
      </w:r>
    </w:p>
    <w:p w14:paraId="3DB4B2C4" w14:textId="77777777" w:rsidR="008D479B" w:rsidRDefault="008D479B" w:rsidP="008D479B">
      <w:pPr>
        <w:pStyle w:val="TextoNormal"/>
      </w:pPr>
    </w:p>
    <w:p w14:paraId="45D72B5A" w14:textId="77777777" w:rsidR="008D479B" w:rsidRDefault="008D479B" w:rsidP="008D479B">
      <w:pPr>
        <w:pStyle w:val="TextoNormal"/>
      </w:pPr>
      <w:r>
        <w:t>c) Considera, asimismo, que se cumple el juicio de relevancia, pues entiende que el proceso judicial no puede resolverse si antes no se despeja la duda acerca de la adecuación de la citada disposición legal a los arts. 9.3 y 33 CE. En el auto de planteamiento se señala, además, que no se aprecia que concurran excepciones procesales que pudieran impedir un enjuiciamiento de fondo de la cuestión planteada.</w:t>
      </w:r>
    </w:p>
    <w:p w14:paraId="1F6BD9DF" w14:textId="77777777" w:rsidR="008D479B" w:rsidRDefault="008D479B" w:rsidP="008D479B">
      <w:pPr>
        <w:pStyle w:val="TextoNormal"/>
      </w:pPr>
    </w:p>
    <w:p w14:paraId="626073E1" w14:textId="77777777" w:rsidR="008D479B" w:rsidRDefault="008D479B" w:rsidP="008D479B">
      <w:pPr>
        <w:pStyle w:val="TextoNormal"/>
      </w:pPr>
      <w:r>
        <w:t>d) La Sala entiende que las diversas redacciones de la disposición transitoria undécima de la Ley 5/2014 (ahora disposición transitoria vigésima del texto refundido aprobado por el Decreto Legislativo 1/2021) pueden ser contrarias a los arts. 9.3 y 33 CE.</w:t>
      </w:r>
    </w:p>
    <w:p w14:paraId="251AED18" w14:textId="77777777" w:rsidR="008D479B" w:rsidRDefault="008D479B" w:rsidP="008D479B">
      <w:pPr>
        <w:pStyle w:val="TextoNormal"/>
      </w:pPr>
    </w:p>
    <w:p w14:paraId="18C98E8A" w14:textId="77777777" w:rsidR="008D479B" w:rsidRDefault="008D479B" w:rsidP="008D479B">
      <w:pPr>
        <w:pStyle w:val="TextoNormal"/>
      </w:pPr>
      <w:r>
        <w:t xml:space="preserve">(i) En lo que hace al art. 9.3 CE, sostiene que la citada norma puede vulnerar el principio de seguridad jurídica porque, al prorrogarse la suspensión inicialmente establecida mediante sucesivas reformas legislativas cuando el plazo de suspensión establecido se encontraba próximo a expirar, se está manteniendo </w:t>
      </w:r>
      <w:r w:rsidRPr="008D479B">
        <w:rPr>
          <w:i/>
        </w:rPr>
        <w:t>de facto</w:t>
      </w:r>
      <w:r>
        <w:t xml:space="preserve"> </w:t>
      </w:r>
      <w:r w:rsidRPr="008D479B">
        <w:rPr>
          <w:i/>
        </w:rPr>
        <w:t>sine die</w:t>
      </w:r>
      <w:r>
        <w:t xml:space="preserve"> la suspensión de los plazos previstos en el art. 104 de la Ley 5/2014 (hoy art.110 del texto refundido aprobado por el Decreto Legislativo 1/2021).</w:t>
      </w:r>
    </w:p>
    <w:p w14:paraId="21452766" w14:textId="77777777" w:rsidR="008D479B" w:rsidRDefault="008D479B" w:rsidP="008D479B">
      <w:pPr>
        <w:pStyle w:val="TextoNormal"/>
      </w:pPr>
    </w:p>
    <w:p w14:paraId="2D12515F" w14:textId="77777777" w:rsidR="008D479B" w:rsidRDefault="008D479B" w:rsidP="008D479B">
      <w:pPr>
        <w:pStyle w:val="TextoNormal"/>
      </w:pPr>
      <w:r>
        <w:t>En el auto de planteamiento se pone de manifiesto que tanto la parte actora como el Ayuntamiento de Torrent como la Abogacía del Estado, evacuando el trámite del art. 35.2 LOTC, llegaron a la misma conclusión respecto a la citada disposición transitoria undécima de la Ley 5/2014. Entiende, conforme a lo que sostiene la Abogacía del Estado, que si bien la primera suspensión de los plazos (la establecida en la redacción originaria de la disposición transitoria undécima), podría considerarse conforme a la seguridad jurídica al estar determinada su duración y no ser la suspensión prevista desproporcionada, la modificación de esta disposición prorrogando la suspensión provoca en el destinatario de la norma una ausencia de certeza, frustración de sus expectativas e imprevisibilidad.</w:t>
      </w:r>
    </w:p>
    <w:p w14:paraId="4DC08F45" w14:textId="77777777" w:rsidR="008D479B" w:rsidRDefault="008D479B" w:rsidP="008D479B">
      <w:pPr>
        <w:pStyle w:val="TextoNormal"/>
      </w:pPr>
    </w:p>
    <w:p w14:paraId="3B9FC9FE" w14:textId="77777777" w:rsidR="008D479B" w:rsidRDefault="008D479B" w:rsidP="008D479B">
      <w:pPr>
        <w:pStyle w:val="TextoNormal"/>
      </w:pPr>
      <w:r>
        <w:t>Se señala también que este efecto es contrario a la finalidad de la expropiación rogada, pues esta institución tiene como fin conferir a los propietarios en los que concurran los requisitos para que proceda este tipo de expropiación (que el planeamiento estableciera el carácter dotacional de sus terrenos y que la administración no incoara el procedimiento para su expropiación) que pudieran instar a la administración su expropiación. La Sala sostiene que el establecimiento de prórrogas sucesivas de la suspensión de los plazos introduce “un panorama confuso caracterizado por la incertidumbre e impredecibilidad de las consecuencias jurídicas de quienes actúan en al marco del artículo 104 de la Ley 5/2014 (hoy art. 110 del Decreto Legislativo 1/2021)”, esto es, de la expropiación rogada o por ministerio de la ley.</w:t>
      </w:r>
    </w:p>
    <w:p w14:paraId="47B07987" w14:textId="77777777" w:rsidR="008D479B" w:rsidRDefault="008D479B" w:rsidP="008D479B">
      <w:pPr>
        <w:pStyle w:val="TextoNormal"/>
      </w:pPr>
    </w:p>
    <w:p w14:paraId="42EF1288" w14:textId="77777777" w:rsidR="008D479B" w:rsidRDefault="008D479B" w:rsidP="008D479B">
      <w:pPr>
        <w:pStyle w:val="TextoNormal"/>
      </w:pPr>
      <w:r>
        <w:t xml:space="preserve">(ii) En lo que concierne al derecho de propiedad, el órgano judicial que plantea esta cuestión considera que la disposición transitoria undécima de la Ley 5/2014 podría ser contraria al art. 33 CE. Pone de manifiesto que la expropiación por ministerio de la ley ha sido entendida jurisprudencialmente como una excepción a la regla general que establece que, en principio, la administración no tiene la obligación de expropiar. Esta excepción tiene, según la Sala, carácter tuitivo, al facultar a los propietarios a quienes el planeamiento les prive de todo aprovechamiento de sus terrenos para que puedan “forzar” a la administración para que les expropie y de este modo impedir que su derecho de propiedad quede vacío de contenido económico. La Sala entiende que “las prórrogas en cadena de la suspensión de los plazos previstos en el art. 104 de la Ley 5/2014 ha producido </w:t>
      </w:r>
      <w:r w:rsidRPr="008D479B">
        <w:rPr>
          <w:i/>
        </w:rPr>
        <w:t>de facto</w:t>
      </w:r>
      <w:r>
        <w:t xml:space="preserve"> el vaciamiento del contenido económico del derecho de propiedad, que precisamente con la institución de la expropiación rogada se pretende evitar”.</w:t>
      </w:r>
    </w:p>
    <w:p w14:paraId="61570EA4" w14:textId="77777777" w:rsidR="008D479B" w:rsidRDefault="008D479B" w:rsidP="008D479B">
      <w:pPr>
        <w:pStyle w:val="TextoNormal"/>
      </w:pPr>
    </w:p>
    <w:p w14:paraId="079AC2C7" w14:textId="77777777" w:rsidR="008D479B" w:rsidRDefault="008D479B" w:rsidP="008D479B">
      <w:pPr>
        <w:pStyle w:val="TextoNormal"/>
      </w:pPr>
      <w:r>
        <w:t>En el auto de planteamiento se parte de que el contenido esencial del derecho de la propiedad urbanística no puede determinarse desde la exclusiva consideración subjetiva del derecho o de los intereses individuales, sino que ha de atender también a su función social. La Sala tiene en cuenta, además, que la propiedad urbanística es un derecho estatutario que, al ser creación de la ley, el titular de este derecho tendrá las facultades que en cada caso la norma jurídica le conceda.</w:t>
      </w:r>
    </w:p>
    <w:p w14:paraId="415077A7" w14:textId="77777777" w:rsidR="008D479B" w:rsidRDefault="008D479B" w:rsidP="008D479B">
      <w:pPr>
        <w:pStyle w:val="TextoNormal"/>
      </w:pPr>
    </w:p>
    <w:p w14:paraId="23512961" w14:textId="77777777" w:rsidR="008D479B" w:rsidRDefault="008D479B" w:rsidP="008D479B">
      <w:pPr>
        <w:pStyle w:val="TextoNormal"/>
      </w:pPr>
      <w:r>
        <w:t xml:space="preserve">Estas consideraciones llevan al órgano judicial a dudar de la constitucionalidad de la disposición transitoria undécima de la Ley 5/2014 y de sus sucesivas modificaciones. Entiende que estas modificaciones han tenido como consecuencia que, </w:t>
      </w:r>
      <w:r w:rsidRPr="008D479B">
        <w:rPr>
          <w:i/>
        </w:rPr>
        <w:t>de facto</w:t>
      </w:r>
      <w:r>
        <w:t>, se haya producido un vaciamiento del contenido económico del derecho de propiedad que no se encuentra motivado en los fines atinentes a su función social, advirtiendo en lo que a este último aspecto se refiere “la ausencia de justificación concreta del porqué de la suspensión de los plazos y las sucesivas prórrogas”, dado que no se aprecia en los preámbulos de las leyes que modifican la citada disposición transitoria undécima “más que referencias genéricas a la necesaria consecución de los objetivos de política económica del Consell de la Generalitat” (preámbulo de la Ley 13/2016), o “la necesidad de adaptar algunas normas a la realidad social y económica o a la normativa básica estatal vigente” como complemento para la planificación de la actividad económica de la Comunitat Valenciana (preámbulos de las leyes 27/2018, y 3/2020). Es decir, “no se aprecia explicitación concreta de la idoneidad o adecuación de la suspensión acordada o prorrogada, ni su necesidad para la consecución del fin pretendido, ni se observa argumentación alguna de su carácter ponderado o equilibrado en el sentido de apreciar que de su aplicación se deriven más beneficios o ventajas para el interés general que perjuicios sobre otros bienes en conflicto”.</w:t>
      </w:r>
    </w:p>
    <w:p w14:paraId="3C8E742B" w14:textId="77777777" w:rsidR="008D479B" w:rsidRDefault="008D479B" w:rsidP="008D479B">
      <w:pPr>
        <w:pStyle w:val="TextoNormal"/>
      </w:pPr>
    </w:p>
    <w:p w14:paraId="50496C10" w14:textId="6C59E443" w:rsidR="008D479B" w:rsidRDefault="008D479B" w:rsidP="008D479B">
      <w:pPr>
        <w:pStyle w:val="TextoNormal"/>
      </w:pPr>
      <w:r>
        <w:t xml:space="preserve">Se invoca a tal efecto la doctrina contenida en las SSTC 55/1996, de 28 de marzo, y 48/2015, de 5 de marzo, y las SSTEDH de 23 de septiembre de 1982, asunto </w:t>
      </w:r>
      <w:r w:rsidRPr="008D479B">
        <w:rPr>
          <w:i/>
        </w:rPr>
        <w:t>Sporrong y Lönnroth c. Suecia</w:t>
      </w:r>
      <w:r>
        <w:t xml:space="preserve">; de 21 de febrero de 1986, asunto </w:t>
      </w:r>
      <w:r w:rsidRPr="008D479B">
        <w:rPr>
          <w:i/>
        </w:rPr>
        <w:t>James c. Reino Unido</w:t>
      </w:r>
      <w:r>
        <w:t xml:space="preserve">; de 5 de enero de 2000, asunto </w:t>
      </w:r>
      <w:r w:rsidRPr="008D479B">
        <w:rPr>
          <w:i/>
        </w:rPr>
        <w:t>Beyeler c.Italia</w:t>
      </w:r>
      <w:r>
        <w:t xml:space="preserve">; de 21 de abril de 2009, asunto </w:t>
      </w:r>
      <w:r w:rsidRPr="008D479B">
        <w:rPr>
          <w:i/>
        </w:rPr>
        <w:t>Kurt y Firat c. Turquía</w:t>
      </w:r>
      <w:r>
        <w:t xml:space="preserve">; de 29 de marzo de 2011, asunto </w:t>
      </w:r>
      <w:r w:rsidRPr="008D479B">
        <w:rPr>
          <w:i/>
        </w:rPr>
        <w:t>Potomska y Potomski c. Polonia</w:t>
      </w:r>
      <w:r>
        <w:t xml:space="preserve">; de 21 de junio de 2011, asunto </w:t>
      </w:r>
      <w:r w:rsidRPr="008D479B">
        <w:rPr>
          <w:i/>
        </w:rPr>
        <w:t>Ziya Cevik c. Turquía</w:t>
      </w:r>
      <w:r>
        <w:t xml:space="preserve">, y de 16 de julio de 2014, asunto </w:t>
      </w:r>
      <w:r w:rsidRPr="008D479B">
        <w:rPr>
          <w:i/>
        </w:rPr>
        <w:t>Alisic y otros c. Bosnia-Herzegovina, Croacia, Serbia, Eslovenia y la ex República yugoslava de Macedonia</w:t>
      </w:r>
      <w:r>
        <w:t>. En el auto de planteamiento se sostiene que de la doctrina establecida en las citadas sentencias cabe concluir que las prórrogas sucesivas en la suspensión de los plazos previstos en el art. 104 de la Ley 5/2014, hoy art. 110 del texto refundido aprobado por el Decreto Legislativo 1/2021, constituyen una injerencia desproporcionada en el goce pacífico del derecho de propiedad de quienes actúan en el marco de los citados preceptos al no apreciarse el necesario y justo equilibrio entre los intereses públicos que aparentemente justificaron la referida suspensión y sus prórrogas y el disfrute del derecho de propiedad, al someter a sus titulares a un estado de incerteza e imprevisibilidad en relación con el destino de sus bienes.</w:t>
      </w:r>
    </w:p>
    <w:p w14:paraId="692694C7" w14:textId="77777777" w:rsidR="008D479B" w:rsidRDefault="008D479B" w:rsidP="008D479B">
      <w:pPr>
        <w:pStyle w:val="TextoNormal"/>
      </w:pPr>
    </w:p>
    <w:p w14:paraId="4726E8D3" w14:textId="19877F0A" w:rsidR="008D479B" w:rsidRDefault="008D479B" w:rsidP="008D479B">
      <w:pPr>
        <w:pStyle w:val="TextoNormal"/>
      </w:pPr>
      <w:r w:rsidRPr="008D479B">
        <w:rPr>
          <w:rStyle w:val="NumeroAFNegritaCaracter"/>
        </w:rPr>
        <w:t>4</w:t>
      </w:r>
      <w:r>
        <w:t>. Por providencia de 30 de junio de 2022, el Pleno, a propuesta de la Sección Tercera, acuerda admitir a trámite la presente cuestión de inconstitucionalidad; reservar para sí su conocimiento [art. 10.1 c) LOTC]; dar traslado de las actuaciones recibidas al Congreso de los Diputados, al Senado, al Gobierno y a la fiscal general del Estado, así como a les Corts Valencianes y al Consell de la Generalitat, al objeto de que puedan personarse en el proceso y formular alegaciones (art. 37.3 LOTC); comunicar la presente resolución a la Sección Primera de la Sala de lo Contencioso-Administrativo del Tribunal Superior de Justicia de la Comunidad Valenciana a fin de que permanezca suspendido el proceso hasta que este tribunal resuelva definitivamente (art. 35.3 LOTC) y publicar la incoación de la cuestión en el “Boletín Oficial del Estado” y en el “Diari Oficial de la Generalitat Valenciana”.</w:t>
      </w:r>
    </w:p>
    <w:p w14:paraId="63D994D6" w14:textId="77777777" w:rsidR="008D479B" w:rsidRDefault="008D479B" w:rsidP="008D479B">
      <w:pPr>
        <w:pStyle w:val="TextoNormal"/>
      </w:pPr>
    </w:p>
    <w:p w14:paraId="3218D0C6" w14:textId="77777777" w:rsidR="008D479B" w:rsidRDefault="008D479B" w:rsidP="008D479B">
      <w:pPr>
        <w:pStyle w:val="TextoNormal"/>
      </w:pPr>
      <w:r w:rsidRPr="008D479B">
        <w:rPr>
          <w:rStyle w:val="NumeroAFNegritaCaracter"/>
        </w:rPr>
        <w:t>5</w:t>
      </w:r>
      <w:r>
        <w:t>. Mediante escrito registrado el 21 de julio de 2022 la letrada de les Corts Valencianes se persona en el procedimiento y formula sus alegaciones en las que solicita la desestimación de la cuestión de inconstitucionalidad.</w:t>
      </w:r>
    </w:p>
    <w:p w14:paraId="205A78C2" w14:textId="77777777" w:rsidR="008D479B" w:rsidRDefault="008D479B" w:rsidP="008D479B">
      <w:pPr>
        <w:pStyle w:val="TextoNormal"/>
      </w:pPr>
    </w:p>
    <w:p w14:paraId="402AE69B" w14:textId="77777777" w:rsidR="008D479B" w:rsidRDefault="008D479B" w:rsidP="008D479B">
      <w:pPr>
        <w:pStyle w:val="TextoNormal"/>
      </w:pPr>
      <w:r>
        <w:t xml:space="preserve">a) Comienza explicando que les Corts, en ejercicio de su competencia en materia de urbanismo, reguló el procedimiento de expropiación urbanística rogada o por mandato de la ley a través del art. 187 </w:t>
      </w:r>
      <w:r w:rsidRPr="008D479B">
        <w:rPr>
          <w:i/>
        </w:rPr>
        <w:t>bis</w:t>
      </w:r>
      <w:r>
        <w:t xml:space="preserve"> de la Ley 16/2005, de 30 de diciembre, urbanística valenciana, posteriormente sustituida por la Ley 5/2014, que lo incorporó en su art.104 con un texto muy parecido al de sus precedentes normativos. Tras esta puntualización transcribe la suspensión operada por la disposición transitoria undécima introducida por la Ley 13/2016, a través de su art. 99, y las distintas modificaciones operadas por las leyes 27/2018 (art. 84), 9/2019 (art. 96), y, posteriormente, por el Decreto Legislativo 1/2021.</w:t>
      </w:r>
    </w:p>
    <w:p w14:paraId="7777966F" w14:textId="77777777" w:rsidR="008D479B" w:rsidRDefault="008D479B" w:rsidP="008D479B">
      <w:pPr>
        <w:pStyle w:val="TextoNormal"/>
      </w:pPr>
    </w:p>
    <w:p w14:paraId="184FE026" w14:textId="77777777" w:rsidR="008D479B" w:rsidRDefault="008D479B" w:rsidP="008D479B">
      <w:pPr>
        <w:pStyle w:val="TextoNormal"/>
      </w:pPr>
      <w:r>
        <w:t xml:space="preserve">Considera la letrada que solo una de estas normas resulta de aplicación al procedimiento judicial </w:t>
      </w:r>
      <w:r w:rsidRPr="008D479B">
        <w:rPr>
          <w:i/>
        </w:rPr>
        <w:t>a quo</w:t>
      </w:r>
      <w:r>
        <w:t xml:space="preserve"> núm. 73-2019: la Ley 13/2016, que es la que estaba vigente el 8 de mayo de 2018, día en que se inicia la pieza separada de justiprecio. A su juicio, las demás normas son inaplicables, señalando además que solo sigue vigente en la actualidad la disposición transitoria vigésima del texto refundido aprobado por el Decreto Legislativo 1/2021. Y advierte también que existen defectos en la hoja de aprecio de los recurrentes, habiendo advertido la resolución del jurado provincial de expropiación forzosa que existen unos metros de suelo no urbanizable (221,22 metros cuadrados) que están excluidos de la expropiación rogada por el art. 140.3 a) de la Ley 5/2014, lo que “puede incidir en la solución del procedimiento ordinario”.</w:t>
      </w:r>
    </w:p>
    <w:p w14:paraId="5D6A8F57" w14:textId="77777777" w:rsidR="008D479B" w:rsidRDefault="008D479B" w:rsidP="008D479B">
      <w:pPr>
        <w:pStyle w:val="TextoNormal"/>
      </w:pPr>
    </w:p>
    <w:p w14:paraId="2F950F55" w14:textId="77777777" w:rsidR="008D479B" w:rsidRDefault="008D479B" w:rsidP="008D479B">
      <w:pPr>
        <w:pStyle w:val="TextoNormal"/>
      </w:pPr>
      <w:r>
        <w:t>b) A continuación examina las razones que llevan al auto de planteamiento a cuestionar la constitucionalidad de la norma, y considera que el art. 99 de la Ley 13/2016, al añadir la disposición transitoria undécima de la Ley 5/2014 no introduce inseguridad jurídica ni tampoco existe infracción del art. 33 CE.</w:t>
      </w:r>
    </w:p>
    <w:p w14:paraId="585AEEF2" w14:textId="77777777" w:rsidR="008D479B" w:rsidRDefault="008D479B" w:rsidP="008D479B">
      <w:pPr>
        <w:pStyle w:val="TextoNormal"/>
      </w:pPr>
    </w:p>
    <w:p w14:paraId="13C31A48" w14:textId="77777777" w:rsidR="008D479B" w:rsidRDefault="008D479B" w:rsidP="008D479B">
      <w:pPr>
        <w:pStyle w:val="TextoNormal"/>
      </w:pPr>
      <w:r>
        <w:t>Explica que las facultades del derecho de propiedad se ostentan dentro de los límites establecidos por la ley y el planeamiento en cada momento vigente, por lo que son esencialmente variables; y que el precepto cuestionado se limita a establecer con total claridad un plazo de suspensión al inicio del procedimiento de expropiación rogada, como habrían apreciado ya las sentencias del Tribunal Superior de Justicia de la Comunidad Valenciana 59/2020, 108/2020, 130/2020, 416/2020 y 39/2021.</w:t>
      </w:r>
    </w:p>
    <w:p w14:paraId="646062BA" w14:textId="77777777" w:rsidR="008D479B" w:rsidRDefault="008D479B" w:rsidP="008D479B">
      <w:pPr>
        <w:pStyle w:val="TextoNormal"/>
      </w:pPr>
    </w:p>
    <w:p w14:paraId="1CF09074" w14:textId="68BE550C" w:rsidR="008D479B" w:rsidRDefault="008D479B" w:rsidP="008D479B">
      <w:pPr>
        <w:pStyle w:val="TextoNormal"/>
      </w:pPr>
      <w:r>
        <w:t xml:space="preserve">Admite que el plazo fue ampliado de manera temprana, pero el legislador valenciano tiene esa potestad de cambio en atención al concepto estatutario que la Constitución confiere al derecho de propiedad, rechazando también la infracción del art. 33 CE. Cuando los actuales recurrentes presentaron la hoja de aprecio estaban suspendidos los plazos para iniciarlo; pero estos mantienen su derecho de propiedad sobre el suelo y podrán ser expropiados cuando se levante la suspensión. Considera así que no hay vaciamiento del contenido económico de la propiedad y no se trata de una suspensión </w:t>
      </w:r>
      <w:r w:rsidRPr="008D479B">
        <w:rPr>
          <w:i/>
        </w:rPr>
        <w:t>sine die</w:t>
      </w:r>
      <w:r>
        <w:t>.</w:t>
      </w:r>
    </w:p>
    <w:p w14:paraId="49E61992" w14:textId="77777777" w:rsidR="008D479B" w:rsidRDefault="008D479B" w:rsidP="008D479B">
      <w:pPr>
        <w:pStyle w:val="TextoNormal"/>
      </w:pPr>
    </w:p>
    <w:p w14:paraId="29843390" w14:textId="4FBAD71B" w:rsidR="008D479B" w:rsidRDefault="008D479B" w:rsidP="008D479B">
      <w:pPr>
        <w:pStyle w:val="TextoNormal"/>
      </w:pPr>
      <w:r w:rsidRPr="008D479B">
        <w:rPr>
          <w:rStyle w:val="NumeroAFNegritaCaracter"/>
        </w:rPr>
        <w:t>6</w:t>
      </w:r>
      <w:r>
        <w:t>. Con fecha 26 de julio de 2022, el abogado del Estado se personó en el procedimiento, sin formular alegaciones, y exclusivamente a los efectos de que en su día se le notifiquen las resoluciones que en él se dicten.</w:t>
      </w:r>
    </w:p>
    <w:p w14:paraId="6569F556" w14:textId="77777777" w:rsidR="008D479B" w:rsidRDefault="008D479B" w:rsidP="008D479B">
      <w:pPr>
        <w:pStyle w:val="TextoNormal"/>
      </w:pPr>
    </w:p>
    <w:p w14:paraId="6F07C991" w14:textId="18CCC0A1" w:rsidR="008D479B" w:rsidRDefault="008D479B" w:rsidP="008D479B">
      <w:pPr>
        <w:pStyle w:val="TextoNormal"/>
      </w:pPr>
      <w:r w:rsidRPr="008D479B">
        <w:rPr>
          <w:rStyle w:val="NumeroAFNegritaCaracter"/>
        </w:rPr>
        <w:t>7</w:t>
      </w:r>
      <w:r>
        <w:t>. Por escrito registrado con fecha 13 de septiembre de 2022, la presidenta del Congreso de los Diputados comunicó la personación de dicha Cámara en el procedimiento, ofreciendo su colaboración a los efectos del art. 88.1 LOTC.</w:t>
      </w:r>
    </w:p>
    <w:p w14:paraId="54E2544F" w14:textId="77777777" w:rsidR="008D479B" w:rsidRDefault="008D479B" w:rsidP="008D479B">
      <w:pPr>
        <w:pStyle w:val="TextoNormal"/>
      </w:pPr>
    </w:p>
    <w:p w14:paraId="4544561A" w14:textId="77777777" w:rsidR="008D479B" w:rsidRDefault="008D479B" w:rsidP="008D479B">
      <w:pPr>
        <w:pStyle w:val="TextoNormal"/>
      </w:pPr>
      <w:r w:rsidRPr="008D479B">
        <w:rPr>
          <w:rStyle w:val="NumeroAFNegritaCaracter"/>
        </w:rPr>
        <w:t>8</w:t>
      </w:r>
      <w:r>
        <w:t>. La abogada de la Generalitat se personó en el procedimiento el 15 de septiembre de 2022, y formuló alegaciones interesando la desestimación de la cuestión de inconstitucionalidad.</w:t>
      </w:r>
    </w:p>
    <w:p w14:paraId="6E81361C" w14:textId="77777777" w:rsidR="008D479B" w:rsidRDefault="008D479B" w:rsidP="008D479B">
      <w:pPr>
        <w:pStyle w:val="TextoNormal"/>
      </w:pPr>
    </w:p>
    <w:p w14:paraId="6DEF4FF3" w14:textId="77777777" w:rsidR="008D479B" w:rsidRDefault="008D479B" w:rsidP="008D479B">
      <w:pPr>
        <w:pStyle w:val="TextoNormal"/>
      </w:pPr>
      <w:r>
        <w:t>a) Entiende que el juicio de aplicabilidad realizado por el órgano jurisdiccional es insuficiente, en relación con la necesidad de examinar todas las prórrogas que no son aplicables a la resolución de 29 de enero de 2019 del jurado provincial de expropiación forzosa, y, en particular, con la vigente disposición transitoria vigésima del texto refundido aprobado por el Decreto Legislativo 1/2021. A su juicio, las tres prórrogas no pueden analizarse de manera aislada sin tener en cuenta el ámbito material al que se refiere cada una de ellas, dado que se habrían modificado los casos a los que se aplica la prórroga. Añade también que el Tribunal Superior de Justicia había avalado la constitucionalidad de la disposición transitoria undécima de la Ley 5/2014 en su redacción original, por lo que el auto de planteamiento debió motivar su cambio de criterio y porqué con una tercera prórroga se puede presumir que la suspensión sería indefinida.</w:t>
      </w:r>
    </w:p>
    <w:p w14:paraId="4165A517" w14:textId="77777777" w:rsidR="008D479B" w:rsidRDefault="008D479B" w:rsidP="008D479B">
      <w:pPr>
        <w:pStyle w:val="TextoNormal"/>
      </w:pPr>
    </w:p>
    <w:p w14:paraId="7A07083E" w14:textId="77777777" w:rsidR="008D479B" w:rsidRDefault="008D479B" w:rsidP="008D479B">
      <w:pPr>
        <w:pStyle w:val="TextoNormal"/>
      </w:pPr>
      <w:r>
        <w:t>b) A continuación explica las razones por las cuales considera que no se vulnera el derecho de propiedad establecido en el art. 33 CE, en la medida en que el contenido de este derecho se puede delimitar en atención a su función social, es decir, hay que atender al contenido estatutario del derecho de propiedad (con apoyo en la STC 141/2014, de 11 de septiembre) que también da su razón de ser a la figura jurídica de la expropiación rogada: al establecer que determinados bienes, en el ejercicio de la potestad de planeamiento, pasen a ser dotacionales públicos, nace el derecho a la referida expropiación rogada cuando esos terrenos no pueden obtener a través de ningún instrumento urbanístico los derechos derivados de la aplicación del principio de equidistribución de beneficios y cargas del proceso urbanístico (STC 61/1997, de 20 de marzo).</w:t>
      </w:r>
    </w:p>
    <w:p w14:paraId="38186D6C" w14:textId="77777777" w:rsidR="008D479B" w:rsidRDefault="008D479B" w:rsidP="008D479B">
      <w:pPr>
        <w:pStyle w:val="TextoNormal"/>
      </w:pPr>
    </w:p>
    <w:p w14:paraId="109049AA" w14:textId="77777777" w:rsidR="008D479B" w:rsidRDefault="008D479B" w:rsidP="008D479B">
      <w:pPr>
        <w:pStyle w:val="TextoNormal"/>
      </w:pPr>
      <w:r>
        <w:t>Cuestiona la interpretación que hace el auto de planteamiento de la finalidad de la expropiación rogada, en el que se explica que sirve para evitar la indefensión de los propietarios que como consecuencia del planeamiento urbanístico quedan sin aprovechamiento alguno, facultándole para forzar a la administración a que les expropie. Entiende que esta finalidad “no respeta las competencias de nuestra comunidad autónoma para regular las condiciones de aquella técnica urbanística ni tiene en cuenta que, antes de llegar a ella, se tienen que agotar los mecanismos legales para la referida equidistribución basados en las llamadas transferencias o reservas de aprovechamiento urbanístico”. Es decir, a su juicio, el auto confunde la existencia del mecanismo de equidistribución con su eventual falta de dinamismo derivado de las circunstancias del ciclo económico y del mercado del suelo, y razona que la dificultad que los propietarios puedan encontrar, en un contexto de crisis o de mercado poco dinámico para vender y transferir sus aprovechamientos urbanísticos no les atribuye el derecho a la expropiación rogada de suelos dotacionales y de reservas de aprovechamiento, porque ello sería, afirma, “tanto como reconocer a los propietarios de solares edificables que en igual contexto de ciclo económico bajista pudieran solicitar que el ayuntamiento les expropiara sus solares porque no los pudieran vender”.</w:t>
      </w:r>
    </w:p>
    <w:p w14:paraId="1FF6034D" w14:textId="77777777" w:rsidR="008D479B" w:rsidRDefault="008D479B" w:rsidP="008D479B">
      <w:pPr>
        <w:pStyle w:val="TextoNormal"/>
      </w:pPr>
    </w:p>
    <w:p w14:paraId="7FAE3B71" w14:textId="77777777" w:rsidR="008D479B" w:rsidRDefault="008D479B" w:rsidP="008D479B">
      <w:pPr>
        <w:pStyle w:val="TextoNormal"/>
      </w:pPr>
      <w:r>
        <w:t>Por ello sostiene que “mientras no se agoten los referidos mecanismos legales y los propietarios puedan monetizar sus aprovechamientos, no puede considerarse que se esté vulnerando derecho de propiedad alguno por no atender a la expropiación rogada. Obedeciendo las suspensiones temporales de aquella técnica expropiatoria a la necesidad de clarificar las equivocadas interpretaciones realizadas del art. 104 de la Ley 5/2014 [artículo 110 del Decreto legislativo 1/2021]”, con fundamento en la STS 196/2020 (recurso 7604/2018), en la que se deja constancia de que la institución de la expropiación rogada no tiene por finalidad solventar o remediar la posible omisión o retraso de la administración en el ejercicio de sus facultades de ordenación urbanística.</w:t>
      </w:r>
    </w:p>
    <w:p w14:paraId="4B02A9D9" w14:textId="77777777" w:rsidR="008D479B" w:rsidRDefault="008D479B" w:rsidP="008D479B">
      <w:pPr>
        <w:pStyle w:val="TextoNormal"/>
      </w:pPr>
    </w:p>
    <w:p w14:paraId="1362A519" w14:textId="77777777" w:rsidR="008D479B" w:rsidRDefault="008D479B" w:rsidP="008D479B">
      <w:pPr>
        <w:pStyle w:val="TextoNormal"/>
      </w:pPr>
      <w:r>
        <w:t>A ello añade que el titular de los bienes que tiene derecho a dicha expropiación por ministerio de la ley no pierde ni la titularidad ni la posesión, por lo que la normativa valenciana no ha vulnerado el derecho de propiedad por suspender temporalmente el inicio del expediente de expropiación rogada, solo hay una “limitación temporal a su ejercicio”.</w:t>
      </w:r>
    </w:p>
    <w:p w14:paraId="0885B40A" w14:textId="77777777" w:rsidR="008D479B" w:rsidRDefault="008D479B" w:rsidP="008D479B">
      <w:pPr>
        <w:pStyle w:val="TextoNormal"/>
      </w:pPr>
    </w:p>
    <w:p w14:paraId="4B6EF44D" w14:textId="77777777" w:rsidR="008D479B" w:rsidRDefault="008D479B" w:rsidP="008D479B">
      <w:pPr>
        <w:pStyle w:val="TextoNormal"/>
      </w:pPr>
      <w:r>
        <w:t>c) Finalmente, descarta también que se haya producido una vulneración del art. 9.3 CE, porque el plazo es concreto, determinado y no genera incertidumbre. Explica que “[l]as tres prórrogas se insertan en unas normas legales que han sido modificadas de forma simultánea a las prórrogas y que de la redacción dada a cada una de ellas no se puede desprender que haya existido una simple voluntad de retrasar su inicio si no [</w:t>
      </w:r>
      <w:r w:rsidRPr="008D479B">
        <w:rPr>
          <w:i/>
        </w:rPr>
        <w:t>sic</w:t>
      </w:r>
      <w:r>
        <w:t>] que se ha puesto de manifiesto que obedecían a una necesidad de ajustar la técnica urbanística de la expropiación rogada a las condiciones en que debía aplicarse, de manera que se cerraran con ella los supuestos últimos de imposibilidad de distribución equitativa de beneficios y cargas”.</w:t>
      </w:r>
    </w:p>
    <w:p w14:paraId="4026FD51" w14:textId="77777777" w:rsidR="008D479B" w:rsidRDefault="008D479B" w:rsidP="008D479B">
      <w:pPr>
        <w:pStyle w:val="TextoNormal"/>
      </w:pPr>
    </w:p>
    <w:p w14:paraId="35E2A705" w14:textId="77777777" w:rsidR="008D479B" w:rsidRDefault="008D479B" w:rsidP="008D479B">
      <w:pPr>
        <w:pStyle w:val="TextoNormal"/>
      </w:pPr>
      <w:r>
        <w:t>No se habría creado una incertidumbre insuperable en sus destinatarios “dado lo concreto de sus vencimientos y el ordenamiento jurídico en el que se han integrado, que ha sido modificado cada vez junto a las prórrogas para delimitar claramente los supuestos de la expropiación rogada”, descartando que pueda establecerse una presunción de suspensión indefinida. Cita finalmente el informe anual 2021 del Defensor del Pueblo en el que se descartó la existencia de una violación del derecho de propiedad, concluyendo que se daba simple y exclusivamente una limitación temporal de este derecho.</w:t>
      </w:r>
    </w:p>
    <w:p w14:paraId="31D029E9" w14:textId="77777777" w:rsidR="008D479B" w:rsidRDefault="008D479B" w:rsidP="008D479B">
      <w:pPr>
        <w:pStyle w:val="TextoNormal"/>
      </w:pPr>
    </w:p>
    <w:p w14:paraId="0AE54D4A" w14:textId="127328F3" w:rsidR="008D479B" w:rsidRDefault="008D479B" w:rsidP="008D479B">
      <w:pPr>
        <w:pStyle w:val="TextoNormal"/>
      </w:pPr>
      <w:r>
        <w:t>d) Descarta, por último, que haya una ausencia de justificación del porqué de la suspensión de los plazos, en los preámbulos de las leyes 13/2016, 27/2018, 9/2019 y 3/2020, considerando que la previsión de justificación que se establece en relación con la exposición de motivos o el preámbulo exigido por el art. 129 de la Ley 39/2015, de 1 de octubre, del procedimiento administrativo común, no es aplicable a la iniciativa legislativa de los gobiernos autonómicos.</w:t>
      </w:r>
    </w:p>
    <w:p w14:paraId="1FEE2707" w14:textId="77777777" w:rsidR="008D479B" w:rsidRDefault="008D479B" w:rsidP="008D479B">
      <w:pPr>
        <w:pStyle w:val="TextoNormal"/>
      </w:pPr>
    </w:p>
    <w:p w14:paraId="38C546AA" w14:textId="77777777" w:rsidR="008D479B" w:rsidRDefault="008D479B" w:rsidP="008D479B">
      <w:pPr>
        <w:pStyle w:val="TextoNormal"/>
      </w:pPr>
      <w:r w:rsidRPr="008D479B">
        <w:rPr>
          <w:rStyle w:val="NumeroAFNegritaCaracter"/>
        </w:rPr>
        <w:t>9</w:t>
      </w:r>
      <w:r>
        <w:t>. Mediante escrito registrado el día 23 de septiembre de 2022, el fiscal general del Estado comparece y formula las alegaciones, interesando la estimación de la cuestión de inconstitucionalidad. Entiende el fiscal general que lo que se plantea es si la sucesión de dichas normas es contraria al principio de seguridad jurídica en el ejercicio de algunas de las facultades del derecho de propiedad, esencialmente el poder de desprenderse de su titularidad previo cobro del pertinente justiprecio, de acuerdo con las previsiones legales.</w:t>
      </w:r>
    </w:p>
    <w:p w14:paraId="1AB47397" w14:textId="77777777" w:rsidR="008D479B" w:rsidRDefault="008D479B" w:rsidP="008D479B">
      <w:pPr>
        <w:pStyle w:val="TextoNormal"/>
      </w:pPr>
    </w:p>
    <w:p w14:paraId="4A7ECE16" w14:textId="77777777" w:rsidR="008D479B" w:rsidRDefault="008D479B" w:rsidP="008D479B">
      <w:pPr>
        <w:pStyle w:val="TextoNormal"/>
      </w:pPr>
      <w:r>
        <w:t>A tal efecto considera relevante tomar en consideración que se suspenden los plazos en todos los planes de urbanismo de toda la Comunidad Valenciana, y la suspensión, vigente en el momento actual, tendría una vigencia (si no se prorroga nuevamente) de prácticamente ocho años (desde el 1 de enero de 2017 hasta el 31 de diciembre de 2023). Advirtiendo igualmente que tanto la primera ley que introdujo la suspensión de plazos como las que lo han ido ampliando o prorrogando no contienen ninguna referencia a las razones que justificarían o al menos explicarían dicha decisión, a diferencia de lo que sucede con el apartado 8 del art. 110 del texto refundido aprobado por el Decreto Legislativo 1/2021, que, aunque no prevé una suspensión de plazos, sino una declaración de imposibilidad de materializar la expropiación genera unos efectos similares. Ello, sostiene, provoca una indefinición, que supone un auténtico vaciamiento del derecho de propiedad, o, al menos de una de sus principales facultades, el poder de disposición.</w:t>
      </w:r>
    </w:p>
    <w:p w14:paraId="238FA7A8" w14:textId="77777777" w:rsidR="008D479B" w:rsidRDefault="008D479B" w:rsidP="008D479B">
      <w:pPr>
        <w:pStyle w:val="TextoNormal"/>
      </w:pPr>
    </w:p>
    <w:p w14:paraId="6987354C" w14:textId="77777777" w:rsidR="008D479B" w:rsidRDefault="008D479B" w:rsidP="008D479B">
      <w:pPr>
        <w:pStyle w:val="TextoNormal"/>
      </w:pPr>
      <w:r>
        <w:t>Respecto a la finalidad de la expropiación rogada recuerda la STS 5384/2013, de 28 de octubre de 2013, FJ 3, en relación al anterior art. 69 del texto refundido de la Ley del suelo, en la que se explica que estas expropiaciones denominadas por ministerio de la ley “suponen una garantía frente a la inactividad de las administraciones públicas en la gestión de los planes de ordenación y, concretamente, de aquellos que deban ejecutarse conforme al sistema de expropiación, permitiendo a los propietarios la posibilidad de desbloquear la situación creada por un plan que la administración no se decide a ejecutar y le permite obtener la compensación correspondiente a la privación que el plan le impone, consiguiendo corregir la situación en que se coloca a los particulares como consecuencia del no ejercicio de la potestad expropiatoria”.</w:t>
      </w:r>
    </w:p>
    <w:p w14:paraId="45BC6282" w14:textId="77777777" w:rsidR="008D479B" w:rsidRDefault="008D479B" w:rsidP="008D479B">
      <w:pPr>
        <w:pStyle w:val="TextoNormal"/>
      </w:pPr>
    </w:p>
    <w:p w14:paraId="7A730C88" w14:textId="3420B2A6" w:rsidR="008D479B" w:rsidRDefault="008D479B" w:rsidP="008D479B">
      <w:pPr>
        <w:pStyle w:val="TextoNormal"/>
      </w:pPr>
      <w:r>
        <w:t>Concluye de este modo que la suspensión de los plazos para advertir a la administración competente para que presente la hoja de aprecio correspondiente y para que se dirija al jurado provincial de expropiación forzosa para fijar el precio justo, han incidido de forma injustificada en el propio derecho a la expropiación rogada, que constituye una de las facultades del derecho de propiedad, y ha generado una inseguridad jurídica de los titulares de estos derechos, que ven cómo no han podido ejercer ese derecho durante más de siete años, e ignoran si dicha suspensión se va a prorrogar nuevamente o no; en consecuencia, las normas cuestionadas son contrarias a los art. 9.3 (principio de seguridad jurídica) en relación con el art. 33.1 (derecho de propiedad) de la Constitución y procede su anulación y expulsión del ordenamiento jurídico.</w:t>
      </w:r>
    </w:p>
    <w:p w14:paraId="6E0BCD0C" w14:textId="77777777" w:rsidR="008D479B" w:rsidRDefault="008D479B" w:rsidP="008D479B">
      <w:pPr>
        <w:pStyle w:val="TextoNormal"/>
      </w:pPr>
    </w:p>
    <w:p w14:paraId="2DC16C9A" w14:textId="70701C12" w:rsidR="008D479B" w:rsidRDefault="008D479B" w:rsidP="008D479B">
      <w:pPr>
        <w:pStyle w:val="TextoNormal"/>
      </w:pPr>
      <w:r w:rsidRPr="008D479B">
        <w:rPr>
          <w:rStyle w:val="NumeroAFNegritaCaracter"/>
        </w:rPr>
        <w:t>10</w:t>
      </w:r>
      <w:r>
        <w:t>. Por providencia de 21 de noviembre de 2023 se señaló para deliberación y votación de la presente sentencia el día 22 del mismo mes y año.</w:t>
      </w:r>
    </w:p>
    <w:p w14:paraId="32600EC6" w14:textId="77777777" w:rsidR="008D479B" w:rsidRDefault="008D479B" w:rsidP="008D479B">
      <w:pPr>
        <w:pStyle w:val="TextoNormal"/>
      </w:pPr>
    </w:p>
    <w:p w14:paraId="34F2E7FB" w14:textId="77777777" w:rsidR="008D479B" w:rsidRDefault="008D479B" w:rsidP="008D479B">
      <w:pPr>
        <w:pStyle w:val="TextoNormalNegritaCentrado"/>
        <w:keepNext/>
      </w:pPr>
      <w:r>
        <w:t>II. Fundamentos jurídicos</w:t>
      </w:r>
    </w:p>
    <w:p w14:paraId="33A2C029" w14:textId="05B2BC6A" w:rsidR="008D479B" w:rsidRDefault="008D479B" w:rsidP="008D479B">
      <w:pPr>
        <w:pStyle w:val="TextoNormalNegritaCentrado"/>
        <w:keepNext/>
      </w:pPr>
    </w:p>
    <w:p w14:paraId="5D8FE636" w14:textId="77777777" w:rsidR="008D479B" w:rsidRDefault="008D479B" w:rsidP="008D479B">
      <w:pPr>
        <w:pStyle w:val="TextoNormal"/>
      </w:pPr>
      <w:r w:rsidRPr="008D479B">
        <w:rPr>
          <w:rStyle w:val="NumeroAFNegritaCaracter"/>
        </w:rPr>
        <w:t>1</w:t>
      </w:r>
      <w:r>
        <w:t xml:space="preserve">. </w:t>
      </w:r>
      <w:r w:rsidRPr="008D479B">
        <w:rPr>
          <w:i/>
        </w:rPr>
        <w:t>Objeto de la cuestión de inconstitucionalidad</w:t>
      </w:r>
    </w:p>
    <w:p w14:paraId="5E8DCC08" w14:textId="77777777" w:rsidR="008D479B" w:rsidRDefault="008D479B" w:rsidP="008D479B">
      <w:pPr>
        <w:pStyle w:val="TextoNormal"/>
      </w:pPr>
    </w:p>
    <w:p w14:paraId="5966B036" w14:textId="77777777" w:rsidR="008D479B" w:rsidRDefault="008D479B" w:rsidP="008D479B">
      <w:pPr>
        <w:pStyle w:val="TextoNormal"/>
      </w:pPr>
      <w:r>
        <w:t>a) La cuestión de inconstitucionalidad ha sido promovida por la Sección Primera de la Sala de lo Contencioso-Administrativo del Tribunal Superior de Justicia de la Comunidad Valenciana, contra la disposición transitoria undécima de la Ley 5/2014, de 25 de julio, de ordenación del territorio, urbanismo y paisaje de la Comunitat Valenciana, así como contra la disposición transitoria vigésima del texto refundido aprobado por el Decreto Legislativo 1/2021, de 18 de junio, del Consell de aprobación del texto refundido de la Ley de ordenación del territorio, urbanismo y paisaje, que derogó la citada Ley 5/2014, en ambos casos por posible vulneración del principio de seguridad jurídica (art. 9.3 CE) y del derecho a la propiedad (art. 33 CE).</w:t>
      </w:r>
    </w:p>
    <w:p w14:paraId="639F22AB" w14:textId="77777777" w:rsidR="008D479B" w:rsidRDefault="008D479B" w:rsidP="008D479B">
      <w:pPr>
        <w:pStyle w:val="TextoNormal"/>
      </w:pPr>
    </w:p>
    <w:p w14:paraId="5B1A022E" w14:textId="77777777" w:rsidR="008D479B" w:rsidRDefault="008D479B" w:rsidP="008D479B">
      <w:pPr>
        <w:pStyle w:val="TextoNormal"/>
      </w:pPr>
      <w:r>
        <w:t>(i) El precepto de la Ley 5/2014 cuestionado, la disposición transitoria undécima, suspendía hasta el 31 de diciembre de 2018 los plazos para ejercer la expropiación rogada que regulaba el art. 104 de la referida ley. Esta disposición transitoria fue añadida por el art. 99 de la Ley 13/2016, de 29 de diciembre, de medidas fiscales, de gestión administrativa y financiera, y de organización de la Generalitat, y su redacción originaria es del siguiente tenor:</w:t>
      </w:r>
    </w:p>
    <w:p w14:paraId="1808AF2A" w14:textId="77777777" w:rsidR="008D479B" w:rsidRDefault="008D479B" w:rsidP="008D479B">
      <w:pPr>
        <w:pStyle w:val="TextoNormal"/>
      </w:pPr>
    </w:p>
    <w:p w14:paraId="7B647BA0" w14:textId="77777777" w:rsidR="008D479B" w:rsidRDefault="008D479B" w:rsidP="008D479B">
      <w:pPr>
        <w:pStyle w:val="TextoNormal"/>
      </w:pPr>
      <w:r>
        <w:t>“A partir de la entrada en vigor de la presente ley, el cómputo de los plazos para advertir a la administración competente para que presente la hoja de aprecio correspondiente y para que se dirija al jurado provincial de expropiación para fijar el precio justo establecido por el artículo 104.1 y 104.2 de la Ley 5/2014, de 25 de julio, de la Generalitat, de Ordenación del Territorio, Urbanismo y Paisaje de la Comunitat Valenciana, quedan suspendidos hasta el 31 de diciembre de 2018”.</w:t>
      </w:r>
    </w:p>
    <w:p w14:paraId="47E52975" w14:textId="77777777" w:rsidR="008D479B" w:rsidRDefault="008D479B" w:rsidP="008D479B">
      <w:pPr>
        <w:pStyle w:val="TextoNormal"/>
      </w:pPr>
    </w:p>
    <w:p w14:paraId="7D6B4209" w14:textId="77777777" w:rsidR="008D479B" w:rsidRDefault="008D479B" w:rsidP="008D479B">
      <w:pPr>
        <w:pStyle w:val="TextoNormal"/>
      </w:pPr>
      <w:r>
        <w:t>Esta disposición fue modificada por el art. 84 de la Ley 27/2018, de 27 de diciembre, de medidas fiscales, de gestión administrativa y financiera y de organización de la Generalitat, pasando a establecer lo siguiente:</w:t>
      </w:r>
    </w:p>
    <w:p w14:paraId="756572C1" w14:textId="77777777" w:rsidR="008D479B" w:rsidRDefault="008D479B" w:rsidP="008D479B">
      <w:pPr>
        <w:pStyle w:val="TextoNormal"/>
      </w:pPr>
    </w:p>
    <w:p w14:paraId="1F46253E" w14:textId="77777777" w:rsidR="008D479B" w:rsidRDefault="008D479B" w:rsidP="008D479B">
      <w:pPr>
        <w:pStyle w:val="TextoNormal"/>
      </w:pPr>
      <w:r>
        <w:t>“A partir de la entrada en vigor de la presente ley, el cómputo de los plazos para advertir a la administración competente para que presente la hoja de aprecio correspondiente y para que se dirija al jurado provincial de expropiación para fijar el precio justo establecido en el artículo 104.1 y 104.2 de la Ley 5/2014, de 25 de julio, de la Generalitat, de ordenación del territorio, urbanismo y paisaje de la Comunitat Valenciana, quedan suspendidos hasta el 31 de diciembre de 2020. Esta suspensión de plazo no afecta a las reservas de aprovechamiento ni a ningún caso en el que la administración ya haya obtenido y ocupado los terrenos”.</w:t>
      </w:r>
    </w:p>
    <w:p w14:paraId="29C0120D" w14:textId="77777777" w:rsidR="008D479B" w:rsidRDefault="008D479B" w:rsidP="008D479B">
      <w:pPr>
        <w:pStyle w:val="TextoNormal"/>
      </w:pPr>
    </w:p>
    <w:p w14:paraId="2E1012D6" w14:textId="77777777" w:rsidR="008D479B" w:rsidRDefault="008D479B" w:rsidP="008D479B">
      <w:pPr>
        <w:pStyle w:val="TextoNormal"/>
      </w:pPr>
      <w:r>
        <w:t>El art. 96 de la Ley 9/2019, de 23 de diciembre, de medidas fiscales, de gestión administrativa y financiera y de organización de la Generalitat, modifica de nuevo esta disposición transitoria en los siguientes términos:</w:t>
      </w:r>
    </w:p>
    <w:p w14:paraId="1730F57D" w14:textId="77777777" w:rsidR="008D479B" w:rsidRDefault="008D479B" w:rsidP="008D479B">
      <w:pPr>
        <w:pStyle w:val="TextoNormal"/>
      </w:pPr>
    </w:p>
    <w:p w14:paraId="4736E2B9" w14:textId="77777777" w:rsidR="008D479B" w:rsidRDefault="008D479B" w:rsidP="008D479B">
      <w:pPr>
        <w:pStyle w:val="TextoNormal"/>
      </w:pPr>
      <w:r>
        <w:t>“A partir de la entrada en vigor de la presente ley, el cómputo de los plazos para advertir a la administración competente para que presente la hoja de aprecio correspondiente y se dirija al jurado provincial de expropiación para justipreciar según lo establecido en el artículo 104 de la Ley 5/2014, de 25 de julio, de la Generalitat, de ordenación del territorio, urbanismo y paisaje de la Comunitat Valenciana, quedan suspendidos hasta el 31 de diciembre de 2020. Esta suspensión de plazo también afecta a aquellos casos en los que la Administración ha obtenido y ocupado los terrenos dotacionales mediante contraprestación o reserva del aprovechamiento por la propiedad”.</w:t>
      </w:r>
    </w:p>
    <w:p w14:paraId="0905D443" w14:textId="77777777" w:rsidR="008D479B" w:rsidRDefault="008D479B" w:rsidP="008D479B">
      <w:pPr>
        <w:pStyle w:val="TextoNormal"/>
      </w:pPr>
    </w:p>
    <w:p w14:paraId="57C5E842" w14:textId="77777777" w:rsidR="008D479B" w:rsidRDefault="008D479B" w:rsidP="008D479B">
      <w:pPr>
        <w:pStyle w:val="TextoNormal"/>
      </w:pPr>
      <w:r>
        <w:t>El art. 97 de la Ley 3/2020, de 30 de diciembre, de medidas fiscales, de gestión administrativa y financiera y de organización de la Generalitat 2021, redactado conforme a la corrección de errores publicada en el “Diario Oficial de la Generalitat Valenciana” núm. 9002, de 21 de enero de 2021, vuelve a modificar esta disposición y dispuso:</w:t>
      </w:r>
    </w:p>
    <w:p w14:paraId="72026AC4" w14:textId="77777777" w:rsidR="008D479B" w:rsidRDefault="008D479B" w:rsidP="008D479B">
      <w:pPr>
        <w:pStyle w:val="TextoNormal"/>
      </w:pPr>
    </w:p>
    <w:p w14:paraId="0D531A47" w14:textId="77777777" w:rsidR="008D479B" w:rsidRDefault="008D479B" w:rsidP="008D479B">
      <w:pPr>
        <w:pStyle w:val="TextoNormal"/>
      </w:pPr>
      <w:r>
        <w:t>“Quedan suspendidos hasta el 31 de diciembre de 2023 los plazos para solicitar y tramitar la expropiación rogada prevista en el artículo 104 de la Ley 5/2014, de 25 de julio, de la Generalitat, de ordenación del territorio, urbanismo y paisaje, de la Comunitat Valenciana, de aquellas parcelas dotacionales que la administración no haya obtenido o que, habiéndolas obtenido y ocupado, lo hubiera hecho mediante cualquier tipo de contraprestación o reserva del aprovechamiento por la propiedad”.</w:t>
      </w:r>
    </w:p>
    <w:p w14:paraId="1F605414" w14:textId="77777777" w:rsidR="008D479B" w:rsidRDefault="008D479B" w:rsidP="008D479B">
      <w:pPr>
        <w:pStyle w:val="TextoNormal"/>
      </w:pPr>
    </w:p>
    <w:p w14:paraId="69DD29F2" w14:textId="77777777" w:rsidR="008D479B" w:rsidRDefault="008D479B" w:rsidP="008D479B">
      <w:pPr>
        <w:pStyle w:val="TextoNormal"/>
      </w:pPr>
      <w:r>
        <w:t>(ii) Finalmente, el Decreto Legislativo 1/2021 derogó la Ley 5/2014, de 25 de julio, si bien la citada disposición transitoria undécima de este último texto legal se incorpora en la disposición transitoria vigésima sin incluir más cambio que la referencia al precepto en el que se regula la expropiación rogada que pasa a ser en el nuevo texto refundido el art. 110, con la siguiente redacción:</w:t>
      </w:r>
    </w:p>
    <w:p w14:paraId="48B9F86A" w14:textId="77777777" w:rsidR="008D479B" w:rsidRDefault="008D479B" w:rsidP="008D479B">
      <w:pPr>
        <w:pStyle w:val="TextoNormal"/>
      </w:pPr>
    </w:p>
    <w:p w14:paraId="3E814DD6" w14:textId="77777777" w:rsidR="008D479B" w:rsidRDefault="008D479B" w:rsidP="008D479B">
      <w:pPr>
        <w:pStyle w:val="TextoNormal"/>
      </w:pPr>
      <w:r>
        <w:t>“Quedan suspendidos hasta el 31 de diciembre de 2023 los plazos para solicitar y tramitar la expropiación rogada prevista en el artículo 110 de este texto refundido de aquellas parcelas dotacionales que la administración no haya obtenido o que, habiéndolas obtenido y ocupado, lo hubiera hecho mediante cualquier tipo de contraprestación o reserva del aprovechamiento por la propiedad”.</w:t>
      </w:r>
    </w:p>
    <w:p w14:paraId="2255F290" w14:textId="77777777" w:rsidR="008D479B" w:rsidRDefault="008D479B" w:rsidP="008D479B">
      <w:pPr>
        <w:pStyle w:val="TextoNormal"/>
      </w:pPr>
    </w:p>
    <w:p w14:paraId="16FFAFFE" w14:textId="77777777" w:rsidR="008D479B" w:rsidRDefault="008D479B" w:rsidP="008D479B">
      <w:pPr>
        <w:pStyle w:val="TextoNormal"/>
      </w:pPr>
      <w:r>
        <w:t>b) En concreto, la Sala promotora de la cuestión estima que dicho precepto puede ser contrario al principio de seguridad jurídica (art. 9.3 CE), especialmente en atención a sus sucesivas prórrogas, al provocar en el destinatario una ausencia de certeza, frustración de sus expectativas e imprevisibilidad. Dicha disposición también vulnera el derecho de propiedad (art. 33 CE) al producir un vaciamiento económico del derecho de propiedad que no se encuentra motivado en los fines atinentes a su función social.</w:t>
      </w:r>
    </w:p>
    <w:p w14:paraId="6954B75C" w14:textId="77777777" w:rsidR="008D479B" w:rsidRDefault="008D479B" w:rsidP="008D479B">
      <w:pPr>
        <w:pStyle w:val="TextoNormal"/>
      </w:pPr>
    </w:p>
    <w:p w14:paraId="479DA892" w14:textId="77777777" w:rsidR="008D479B" w:rsidRDefault="008D479B" w:rsidP="008D479B">
      <w:pPr>
        <w:pStyle w:val="TextoNormal"/>
      </w:pPr>
      <w:r>
        <w:t xml:space="preserve">c) La letrada de les Corts Valencianes y la abogada de la Generalitat han solicitado la desestimación de la cuestión de inconstitucionalidad por considerar que no se produce inseguridad jurídica al no ser una suspensión </w:t>
      </w:r>
      <w:r w:rsidRPr="008D479B">
        <w:rPr>
          <w:i/>
        </w:rPr>
        <w:t>sine die</w:t>
      </w:r>
      <w:r>
        <w:t xml:space="preserve"> y no generar incertidumbre; tampoco se infringe el derecho de propiedad dado que el legislador valenciano tiene dicha potestad de cambio en atención al concepto estatutario que la Constitución confiere al derecho de propiedad, siendo así además que los titulares mantienen su derecho de propiedad y serán expropiados cuando se levante la suspensión. De forma adicional, oponen que solo era aplicable la disposición transitoria añadida por la Ley 13/2016, y que el órgano </w:t>
      </w:r>
      <w:r w:rsidRPr="008D479B">
        <w:rPr>
          <w:i/>
        </w:rPr>
        <w:t>a quo</w:t>
      </w:r>
      <w:r>
        <w:t xml:space="preserve"> no ha desarrollado suficientemente el juicio de aplicabilidad en relación con las demás prórrogas dadas por las sucesivas leyes 27/2018, 9/2019, 3/2020, así como por el Decreto Legislativo 1/2021.</w:t>
      </w:r>
    </w:p>
    <w:p w14:paraId="14D1B394" w14:textId="77777777" w:rsidR="008D479B" w:rsidRDefault="008D479B" w:rsidP="008D479B">
      <w:pPr>
        <w:pStyle w:val="TextoNormal"/>
      </w:pPr>
    </w:p>
    <w:p w14:paraId="034E7EF5" w14:textId="2D4AC644" w:rsidR="008D479B" w:rsidRDefault="008D479B" w:rsidP="008D479B">
      <w:pPr>
        <w:pStyle w:val="TextoNormal"/>
      </w:pPr>
      <w:r>
        <w:t>d) El fiscal general del Estado interesa la estimación de la cuestión de inconstitucionalidad al entender que la suspensión de los plazos ha tenido una vigencia de prácticamente ocho años, si no se prorroga de nuevo, lo que provoca una indefinición y un auténtico vaciamiento de la propiedad, al menos, de una de sus principales facultades, el poder de disposición.</w:t>
      </w:r>
    </w:p>
    <w:p w14:paraId="5A980CE9" w14:textId="77777777" w:rsidR="008D479B" w:rsidRDefault="008D479B" w:rsidP="008D479B">
      <w:pPr>
        <w:pStyle w:val="TextoNormal"/>
      </w:pPr>
    </w:p>
    <w:p w14:paraId="208C565B" w14:textId="77777777" w:rsidR="008D479B" w:rsidRDefault="008D479B" w:rsidP="008D479B">
      <w:pPr>
        <w:pStyle w:val="TextoNormal"/>
      </w:pPr>
      <w:r w:rsidRPr="008D479B">
        <w:rPr>
          <w:rStyle w:val="NumeroAFNegritaCaracter"/>
        </w:rPr>
        <w:t>2</w:t>
      </w:r>
      <w:r>
        <w:t xml:space="preserve">. </w:t>
      </w:r>
      <w:r w:rsidRPr="008D479B">
        <w:rPr>
          <w:i/>
        </w:rPr>
        <w:t>Objeciones sobre el juicio de aplicabilidad</w:t>
      </w:r>
    </w:p>
    <w:p w14:paraId="33B07493" w14:textId="77777777" w:rsidR="008D479B" w:rsidRDefault="008D479B" w:rsidP="008D479B">
      <w:pPr>
        <w:pStyle w:val="TextoNormal"/>
      </w:pPr>
    </w:p>
    <w:p w14:paraId="408C0A6F" w14:textId="77777777" w:rsidR="008D479B" w:rsidRDefault="008D479B" w:rsidP="008D479B">
      <w:pPr>
        <w:pStyle w:val="TextoNormal"/>
      </w:pPr>
      <w:r>
        <w:t xml:space="preserve">Con carácter previo a entrar a examinar el fondo de la cuestión de inconstitucionalidad, se hace preciso abordar las objeciones puestas de manifiesto por la abogada de la Generalitat en relación con el juicio de aplicabilidad, ya que considera insuficiente el razonamiento que a tal efecto realiza el órgano jurisdiccional respecto a la necesidad de examinar todas las prórrogas que no son aplicables a la resolución de 29 de enero de 2019 del jurado provincial de expropiación forzosa, y, en particular, respecto a la vigente disposición transitoria vigésima del texto refundido aprobado por el Decreto Legislativo 1/2021. La letrada de les Corts Valencianes también ha argumentado que solo la Ley 13/2016 resulta de aplicación en el procedimiento </w:t>
      </w:r>
      <w:r w:rsidRPr="008D479B">
        <w:rPr>
          <w:i/>
        </w:rPr>
        <w:t>a quo</w:t>
      </w:r>
      <w:r>
        <w:t>, por ser la vigente cuando se inicia la pieza separada de justiprecio.</w:t>
      </w:r>
    </w:p>
    <w:p w14:paraId="5B816EB2" w14:textId="77777777" w:rsidR="008D479B" w:rsidRDefault="008D479B" w:rsidP="008D479B">
      <w:pPr>
        <w:pStyle w:val="TextoNormal"/>
      </w:pPr>
    </w:p>
    <w:p w14:paraId="029ACC4C" w14:textId="77777777" w:rsidR="008D479B" w:rsidRDefault="008D479B" w:rsidP="008D479B">
      <w:pPr>
        <w:pStyle w:val="TextoNormal"/>
      </w:pPr>
      <w:r>
        <w:t xml:space="preserve">Cabe apreciar que los recurrentes en el proceso </w:t>
      </w:r>
      <w:r w:rsidRPr="008D479B">
        <w:rPr>
          <w:i/>
        </w:rPr>
        <w:t>a quo</w:t>
      </w:r>
      <w:r>
        <w:t xml:space="preserve"> presentaron la correspondiente hoja de aprecio ante el Ayuntamiento de Torrent con fecha 8 de mayo de 2018, fecha en la que efectivamente solo estaba vigente la disposición transitoria undécima de la Ley 5/2014, introducida por el art. 99 de la Ley 13/2016, que establecía una suspensión del cómputo de los plazos para advertir a la administración competente para que presente la hoja de aprecio, hasta el 31 de diciembre de 2018. Posteriormente, la resolución del jurado provincial de expropiación forzosa de Valencia, de 29 de enero de 2019, para desestimar su pretensión, considera que queda suspendido </w:t>
      </w:r>
      <w:r w:rsidRPr="008D479B">
        <w:rPr>
          <w:i/>
        </w:rPr>
        <w:t>ex lege</w:t>
      </w:r>
      <w:r>
        <w:t xml:space="preserve"> el computo del plazo para la presentación de la hoja de aprecio desde el 1 de enero de 2017 hasta el 31 de diciembre de 2020, aplicando así también la prórroga operada por el art. 84 de la Ley 27/2018.</w:t>
      </w:r>
    </w:p>
    <w:p w14:paraId="0C3E7D3E" w14:textId="77777777" w:rsidR="008D479B" w:rsidRDefault="008D479B" w:rsidP="008D479B">
      <w:pPr>
        <w:pStyle w:val="TextoNormal"/>
      </w:pPr>
    </w:p>
    <w:p w14:paraId="02E68E81" w14:textId="77777777" w:rsidR="008D479B" w:rsidRDefault="008D479B" w:rsidP="008D479B">
      <w:pPr>
        <w:pStyle w:val="TextoNormal"/>
      </w:pPr>
      <w:r>
        <w:t>No obstante, el órgano judicial extiende las dudas de constitucionalidad a las nuevas redacciones dadas a la disposición transitoria undécima de la Ley 5/2014, tanto por la Ley 9/2019, que mantiene la suspensión del plazo hasta el 31 de diciembre de 2020, si bien disponiendo que dicha suspensión también debía afectar a aquellos casos en los que la administración ha obtenido y ocupado los terrenos dotacionales mediante contraprestación o reserva del aprovechamiento por la propiedad, supuestos que quedaban excluidos en la redacción dada por la Ley 27/2018; como en la redacción dada por el art. 97 de la Ley 3/2020, de 30 de diciembre, que amplía el plazo de suspensión al 31 de diciembre de 2023. De forma adicional se cuestiona la disposición transitoria vigésima del texto refundido aprobado por el Decreto Legislativo 1/2021, que reproduce la última versión dada a la disposición transitoria undécima de la Ley 5/2014.</w:t>
      </w:r>
    </w:p>
    <w:p w14:paraId="291866A4" w14:textId="77777777" w:rsidR="008D479B" w:rsidRDefault="008D479B" w:rsidP="008D479B">
      <w:pPr>
        <w:pStyle w:val="TextoNormal"/>
      </w:pPr>
    </w:p>
    <w:p w14:paraId="623E14D7" w14:textId="77777777" w:rsidR="008D479B" w:rsidRDefault="008D479B" w:rsidP="008D479B">
      <w:pPr>
        <w:pStyle w:val="TextoNormal"/>
      </w:pPr>
      <w:r>
        <w:t>La argumentación que ofrece el auto de planteamiento sobre dicha extensión radica en entender que estas normas posteriores también resultan aplicables, en la medida en que si esta norma no hubiera vuelto a modificarse prorrogándose la suspensión del plazo hasta el 31 de diciembre de 2023 (prórroga que estableció la modificación de esta disposición transitoria efectuada por la Ley 3/2020 y que se encuentra hoy en vigor al haber sido recogida en la disposición transitoria vigésima del texto refundido aprobado por el Decreto Legislativo 1/2021), no estaría en vigor la suspensión del plazo para solicitar y tramitar la expropiación rogada, por lo que el proceso hubiera podido haber concluido, bien por desistimiento de los actores, bien por satisfacción extraprocesal.</w:t>
      </w:r>
    </w:p>
    <w:p w14:paraId="10FF1AEA" w14:textId="77777777" w:rsidR="008D479B" w:rsidRDefault="008D479B" w:rsidP="008D479B">
      <w:pPr>
        <w:pStyle w:val="TextoNormal"/>
      </w:pPr>
    </w:p>
    <w:p w14:paraId="7829165F" w14:textId="77777777" w:rsidR="008D479B" w:rsidRDefault="008D479B" w:rsidP="008D479B">
      <w:pPr>
        <w:pStyle w:val="TextoNormal"/>
      </w:pPr>
      <w:r>
        <w:t xml:space="preserve">Este tribunal también entiende que no es posible un análisis aislado de las distintas redacciones dadas a la disposición transitoria undécima de la Ley 5/2014 dado que, en lo que concierne al proceso </w:t>
      </w:r>
      <w:r w:rsidRPr="008D479B">
        <w:rPr>
          <w:i/>
        </w:rPr>
        <w:t>a quo</w:t>
      </w:r>
      <w:r>
        <w:t xml:space="preserve">, son meras prórrogas de lo establecido en su redacción originaria. La abogada de la Generalitat entiende que con las modificaciones legislativas se cambian los supuestos en los que la prórroga es aplicable, pero lo cierto es que lo que la única alteración que se produce es que la primera modificación de la disposición transitoria, operada por la Ley 27/2018, excluye de la suspensión a las reservas de aprovechamiento y a los casos en los que la administración ya haya obtenido y ocupado los terrenos, excepción que se revierte con la Ley 9/2019, de modo que igual que la redacción original, las subsiguientes redacciones no prevén dicha excepción, siendo efectivamente meras prórrogas de lo establecido en su redacción originaria. Pero, en cualquier caso, dicha modificación en nada parece afectar a los propietarios de los terrenos del proceso </w:t>
      </w:r>
      <w:r w:rsidRPr="008D479B">
        <w:rPr>
          <w:i/>
        </w:rPr>
        <w:t>a quo</w:t>
      </w:r>
      <w:r>
        <w:t>, que han mantenido suspendido su derecho sin solución de continuidad desde la introducción de la disposición transitoria primera por la Ley 13/2016.</w:t>
      </w:r>
    </w:p>
    <w:p w14:paraId="145EA849" w14:textId="77777777" w:rsidR="008D479B" w:rsidRDefault="008D479B" w:rsidP="008D479B">
      <w:pPr>
        <w:pStyle w:val="TextoNormal"/>
      </w:pPr>
    </w:p>
    <w:p w14:paraId="29C2EF32" w14:textId="77777777" w:rsidR="008D479B" w:rsidRDefault="008D479B" w:rsidP="008D479B">
      <w:pPr>
        <w:pStyle w:val="TextoNormal"/>
      </w:pPr>
      <w:r>
        <w:t>Además, excluir del examen de constitucionalidad las prórrogas posteriores podría llevar a la situación paradójica de que, si solo atendemos, como propone la abogada de la Generalitat, a las normas que aplicaron la resolución administrativa recurrida, si se declarase estas disposiciones inconstitucionales y se anulasen, seguiría “viva” la norma que prorroga los plazos para solicitar la expropiación rogada hasta el 31 de diciembre de 2023, por lo que de nada habría servido dicha declaración de inconstitucionalidad. Por dichas razones, en el presente caso ha de considerarse que todas las redacciones de la disposición transitoria undécima son aplicables al caso y determinantes del fallo.</w:t>
      </w:r>
    </w:p>
    <w:p w14:paraId="798093DF" w14:textId="77777777" w:rsidR="008D479B" w:rsidRDefault="008D479B" w:rsidP="008D479B">
      <w:pPr>
        <w:pStyle w:val="TextoNormal"/>
      </w:pPr>
    </w:p>
    <w:p w14:paraId="6A27F733" w14:textId="021E1BD8" w:rsidR="008D479B" w:rsidRDefault="008D479B" w:rsidP="008D479B">
      <w:pPr>
        <w:pStyle w:val="TextoNormal"/>
      </w:pPr>
      <w:r>
        <w:t>Por similares razones debemos pronunciarnos sobre la constitucionalidad de la disposición transitoria vigésima del texto refundido aprobado por el Decreto Legislativo 1/2021. Este tribunal ha considerado que la sentencia que resuelve la cuestión de inconstitucionalidad ha de extender la declaración de inconstitucionalidad de la norma derogada a la norma que la reproduce en un texto refundido en vigor. Tal conclusión se deriva, según la jurisprudencia constitucional, no del art. 39 LOTC, que solo prevé la declaración de inconstitucionalidad por conexión o consecuencia respecto de los preceptos “de la misma ley, disposición o acto con fuerza de ley”, sino de las características propias de la refundición producida (la sustancial identidad de los preceptos) que justifican extender la nulidad al precepto que reproduce la norma anulada en el texto refundido. Como ha sostenido la STC 194/2000, de 19 de julio, FJ 11, “mantener en el ordenamiento preceptos de un texto refundido reproduciendo preceptos legales declarados inconstitucionales y nulos supone introducir un elemento de inseguridad jurídica que este tribunal en el marco de sus competencias está llamado a evitar”.</w:t>
      </w:r>
    </w:p>
    <w:p w14:paraId="30B197BB" w14:textId="77777777" w:rsidR="008D479B" w:rsidRDefault="008D479B" w:rsidP="008D479B">
      <w:pPr>
        <w:pStyle w:val="TextoNormal"/>
      </w:pPr>
    </w:p>
    <w:p w14:paraId="40AF1BFE" w14:textId="77777777" w:rsidR="008D479B" w:rsidRDefault="008D479B" w:rsidP="008D479B">
      <w:pPr>
        <w:pStyle w:val="TextoNormal"/>
      </w:pPr>
      <w:r w:rsidRPr="008D479B">
        <w:rPr>
          <w:rStyle w:val="NumeroAFNegritaCaracter"/>
        </w:rPr>
        <w:t>3</w:t>
      </w:r>
      <w:r>
        <w:t xml:space="preserve">. </w:t>
      </w:r>
      <w:r w:rsidRPr="008D479B">
        <w:rPr>
          <w:i/>
        </w:rPr>
        <w:t>Consideraciones previas sobre la norma cuya constitucionalidad se cuestiona</w:t>
      </w:r>
    </w:p>
    <w:p w14:paraId="415B37D6" w14:textId="77777777" w:rsidR="008D479B" w:rsidRDefault="008D479B" w:rsidP="008D479B">
      <w:pPr>
        <w:pStyle w:val="TextoNormal"/>
      </w:pPr>
    </w:p>
    <w:p w14:paraId="0541D068" w14:textId="77777777" w:rsidR="008D479B" w:rsidRDefault="008D479B" w:rsidP="008D479B">
      <w:pPr>
        <w:pStyle w:val="TextoNormal"/>
      </w:pPr>
      <w:r>
        <w:t>La disposición transitoria undécima introducida en la Ley 5/2014, prevé una “suspensión” del cómputo de los plazos para advertir a la administración competente para que presente la hoja de aprecio correspondiente y para que se dirija al jurado provincial de expropiación para fijar el precio justo establecido por el art.104 de dicho texto legal. El art. 104 es el que establece el “derecho a la expropiación rogada” de los propietarios de terrenos afectados por un plan de urbanismo, que hayan sido destinados a dotaciones, y que no puedan obtenerse por las cesiones obligatorias que se imponen en la norma urbanística, por no resultar posible la justa distribución de beneficios y cargas en el correspondiente ámbito de actuación. Dicho derecho puede ejercerse cuando transcurran cinco años desde la entrada en vigor del plan sin que se lleve a efecto la expropiación de dichos terrenos, y anunciando a la administración competente su propósito de iniciar el expediente de justiprecio, y debe llevarse a cabo por ministerio de la ley si transcurren otros dos años desde dicho anuncio.</w:t>
      </w:r>
    </w:p>
    <w:p w14:paraId="0D5E76F0" w14:textId="77777777" w:rsidR="008D479B" w:rsidRDefault="008D479B" w:rsidP="008D479B">
      <w:pPr>
        <w:pStyle w:val="TextoNormal"/>
      </w:pPr>
    </w:p>
    <w:p w14:paraId="4F9D7246" w14:textId="77777777" w:rsidR="008D479B" w:rsidRDefault="008D479B" w:rsidP="008D479B">
      <w:pPr>
        <w:pStyle w:val="TextoNormal"/>
      </w:pPr>
      <w:r>
        <w:t>En contra de lo que viene a sostener la letrada de la Generalitat esta figura tiene, en dichos supuestos, un marcado carácter tuitivo al servir, como viene reconociendo la jurisprudencia del Tribunal Supremo, “para evitar la indefensión de los propietarios que, como consecuencia del planeamiento urbanístico, quedan sin aprovechamiento alguno, facultándoles para forzar a la administración a que les expropie, impidiendo así que su derecho de propiedad quede vacío de contenido económico” (STS 7200/2012, de 5 de noviembre de 2012, FJ 4). Es decir, como también se aclara en un momento posterior por el Tribunal Supremo “lo que justifica la expropiación por ministerio de la ley es la inactividad administrativa en la ejecución del planeamiento que ha definido suficientemente el alcance del derecho de propiedad, de ahí que el precepto se refiera al cómputo del plazo de advertencia, desde la entrada en vigor del plan o programa de actuación urbanística, y su finalidad es evitar que la inactividad administrativa perjudique o impida la efectividad el derecho del propietario en los términos definidos con carácter eficaz por el planeamiento. Expresado en sentido negativo, la institución no tiene por objeto solventar o remediar la posible omisión o retraso de la administración en el ejercicio de sus facultades de ordenación urbanística, que tiene sus propios cauces legales en los términos que contempla la regulación de la participación de los ciudadanos en los procedimientos de elaboración y aprobación de los instrumentos de ordenación y el régimen de impugnación de los mismos; y menos aún se contempla por el legislador la posibilidad de utilizar la expropiación por ministerio de la ley como una modalidad de penalización de la inactividad administrativa en la ordenación urbanística” (STS 461/2020, de 14 de febrero de 2020, FJ 1).</w:t>
      </w:r>
    </w:p>
    <w:p w14:paraId="397A8C43" w14:textId="77777777" w:rsidR="008D479B" w:rsidRDefault="008D479B" w:rsidP="008D479B">
      <w:pPr>
        <w:pStyle w:val="TextoNormal"/>
      </w:pPr>
    </w:p>
    <w:p w14:paraId="6FEBD669" w14:textId="77777777" w:rsidR="008D479B" w:rsidRDefault="008D479B" w:rsidP="008D479B">
      <w:pPr>
        <w:pStyle w:val="TextoNormal"/>
      </w:pPr>
      <w:r>
        <w:t>El derecho a la expropiación rogada o por ministerio de la ley que se reconoce en el art. 104 de la Ley 5/2014 queda suspendido temporalmente por la disposición transitoria undécima introducida por la Ley 13/2016, desde 1 de enero de 2017 hasta el 31 de diciembre de 2018, y cuatro días antes de expirar ese plazo, la Ley 27/2018, de 27 de diciembre, prorroga la suspensión hasta el 31 de diciembre de 2020, y un día antes de expirar este último plazo, la Ley 3/2020, de 30 de diciembre, prorroga nuevamente la suspensión hasta el 31 de diciembre de 2023, suspensión ahora recogida en la disposición transitoria vigésima del texto refundido aprobado por el Decreto Legislativo 1/2021.</w:t>
      </w:r>
    </w:p>
    <w:p w14:paraId="5C655F11" w14:textId="77777777" w:rsidR="008D479B" w:rsidRDefault="008D479B" w:rsidP="008D479B">
      <w:pPr>
        <w:pStyle w:val="TextoNormal"/>
      </w:pPr>
    </w:p>
    <w:p w14:paraId="0D0FADAE" w14:textId="77777777" w:rsidR="008D479B" w:rsidRDefault="008D479B" w:rsidP="008D479B">
      <w:pPr>
        <w:pStyle w:val="TextoNormal"/>
      </w:pPr>
      <w:r>
        <w:t xml:space="preserve">Y esta suspensión afecta directamente a los recurrentes en el proceso </w:t>
      </w:r>
      <w:r w:rsidRPr="008D479B">
        <w:rPr>
          <w:i/>
        </w:rPr>
        <w:t>a quo</w:t>
      </w:r>
      <w:r>
        <w:t>, careciendo de relevancia a los efectos de la presente cuestión de inconstitucionalidad las objeciones puestas de manifiesto por la letrada de les Corts Valencianes de que existan defectos en la hoja de aprecio, dado que la resolución del jurado provincial de expropiación reconoce expresamente que “se cumple el requisito sustantivo para la expropiación rogada en las parcelas afectadas, al ser dotacionales públicas, excepto en la superficie de 221,22 m de la parcela […] que está clasificada como suelo no urbanizable común agrícola de regadío”.</w:t>
      </w:r>
    </w:p>
    <w:p w14:paraId="20EB11A3" w14:textId="77777777" w:rsidR="008D479B" w:rsidRDefault="008D479B" w:rsidP="008D479B">
      <w:pPr>
        <w:pStyle w:val="TextoNormal"/>
      </w:pPr>
    </w:p>
    <w:p w14:paraId="0ABA7319" w14:textId="5BEFD6F2" w:rsidR="008D479B" w:rsidRDefault="008D479B" w:rsidP="008D479B">
      <w:pPr>
        <w:pStyle w:val="TextoNormal"/>
      </w:pPr>
      <w:r>
        <w:t xml:space="preserve">En atención a estas circunstancias debemos examinar si la suspensión operada por las citadas disposiciones legales cuestionadas puede suponer una vulneración del principio de seguridad jurídica (art. 9.3 CE), y del derecho de propiedad (art. 33 CE) tal y como denuncia el órgano </w:t>
      </w:r>
      <w:r w:rsidRPr="008D479B">
        <w:rPr>
          <w:i/>
        </w:rPr>
        <w:t>a quo</w:t>
      </w:r>
      <w:r>
        <w:t>, siendo necesario comenzar por el análisis de esta última vulneración en la medida en que las tachas de inconstitucionalidad se refieren de forma sustancial al citado derecho de propiedad.</w:t>
      </w:r>
    </w:p>
    <w:p w14:paraId="334B4DE1" w14:textId="77777777" w:rsidR="008D479B" w:rsidRDefault="008D479B" w:rsidP="008D479B">
      <w:pPr>
        <w:pStyle w:val="TextoNormal"/>
      </w:pPr>
    </w:p>
    <w:p w14:paraId="73A37930" w14:textId="77777777" w:rsidR="008D479B" w:rsidRDefault="008D479B" w:rsidP="008D479B">
      <w:pPr>
        <w:pStyle w:val="TextoNormal"/>
      </w:pPr>
      <w:r w:rsidRPr="008D479B">
        <w:rPr>
          <w:rStyle w:val="NumeroAFNegritaCaracter"/>
        </w:rPr>
        <w:t>4</w:t>
      </w:r>
      <w:r>
        <w:t xml:space="preserve">. </w:t>
      </w:r>
      <w:r w:rsidRPr="008D479B">
        <w:rPr>
          <w:i/>
        </w:rPr>
        <w:t>La configuración constitucional del derecho de propiedad (art. 33 CE)</w:t>
      </w:r>
    </w:p>
    <w:p w14:paraId="31FA8423" w14:textId="77777777" w:rsidR="008D479B" w:rsidRDefault="008D479B" w:rsidP="008D479B">
      <w:pPr>
        <w:pStyle w:val="TextoNormal"/>
      </w:pPr>
    </w:p>
    <w:p w14:paraId="61F6E83C" w14:textId="77777777" w:rsidR="008D479B" w:rsidRDefault="008D479B" w:rsidP="008D479B">
      <w:pPr>
        <w:pStyle w:val="TextoNormal"/>
      </w:pPr>
      <w:r>
        <w:t xml:space="preserve">El órgano judicial ha planteado una primera duda de constitucionalidad en torno al respeto del derecho a la propiedad que consagra el art. 33 CE, porque la prórroga en cadena de la suspensión de los plazos previstos en el art. 104 de la Ley 5/2014 ha producido </w:t>
      </w:r>
      <w:r w:rsidRPr="008D479B">
        <w:rPr>
          <w:i/>
        </w:rPr>
        <w:t>de facto</w:t>
      </w:r>
      <w:r>
        <w:t xml:space="preserve"> el vaciamiento del contenido económico del derecho de propiedad que, precisamente con la institución de la expropiación rogada se pretende evitar, y motivado por fines no propiamente derivados de la función social a la que ha de servir, dada la ausencia de justificación concreta del porqué la suspensión de plazos.</w:t>
      </w:r>
    </w:p>
    <w:p w14:paraId="7D3C3536" w14:textId="77777777" w:rsidR="008D479B" w:rsidRDefault="008D479B" w:rsidP="008D479B">
      <w:pPr>
        <w:pStyle w:val="TextoNormal"/>
      </w:pPr>
    </w:p>
    <w:p w14:paraId="176F1C9D" w14:textId="77777777" w:rsidR="008D479B" w:rsidRDefault="008D479B" w:rsidP="008D479B">
      <w:pPr>
        <w:pStyle w:val="TextoNormal"/>
      </w:pPr>
      <w:r>
        <w:t>Para dar una debida respuesta a estas dudas puestas de manifiesto por el órgano judicial es preciso comenzar recordando que el derecho a la propiedad privada, que mediante el Protocolo adicional primero de 20 de marzo de 1952 se incorporó al catálogo del Convenio europeo para la protección de los derechos humanos y de las libertades fundamentales (CEDH), está reconocido en el art. 33 de nuestra Constitución. Este precepto reconoce el derecho a la propiedad privada y a la herencia (apartado primero), señalando que la función social de estos derechos delimitará su contenido de acuerdo con las leyes (apartado segundo) y previendo específicamente como garantía que nadie podrá ser privado de sus bienes y derechos sino por causa justificada de utilidad pública o interés social, mediante la correspondiente indemnización y de conformidad con lo dispuesto por las leyes (apartado tercero).</w:t>
      </w:r>
    </w:p>
    <w:p w14:paraId="2AC89603" w14:textId="77777777" w:rsidR="008D479B" w:rsidRDefault="008D479B" w:rsidP="008D479B">
      <w:pPr>
        <w:pStyle w:val="TextoNormal"/>
      </w:pPr>
    </w:p>
    <w:p w14:paraId="2ADE818F" w14:textId="77777777" w:rsidR="008D479B" w:rsidRDefault="008D479B" w:rsidP="008D479B">
      <w:pPr>
        <w:pStyle w:val="TextoNormal"/>
      </w:pPr>
      <w:r>
        <w:t xml:space="preserve">No nos encontramos en la presente cuestión de inconstitucionalidad ante un problema relacionado con las garantías constitucionales inherentes al procedimiento expropiatorio, dado que la expropiación forzosa aún no ha tenido lugar, y solo se tiene una expectativa de expropiación. En sentido similar el Tribunal Europeo de Derechos Humanos viene considerando que cuando el recurrente no ha perdido ni el acceso a su terreno ni su titularidad, ni, en principio, su posibilidad de venta es necesario examinar dichas limitaciones a la luz de la primera regla contenida en el artículo 1 (protección de la propiedad) del Protocolo adicional  al CEDH, con arreglo al cual “[t]oda persona física o jurídica tiene derecho al respeto de sus bienes” (STEDH de 23 de septiembre de 1982, asunto </w:t>
      </w:r>
      <w:r w:rsidRPr="008D479B">
        <w:rPr>
          <w:i/>
        </w:rPr>
        <w:t>Sporrong y Lönnroth c. Suecia</w:t>
      </w:r>
      <w:r>
        <w:t xml:space="preserve">, § 65, y en un supuesto análogo STEDH de 21 de junio de 2011, asunto </w:t>
      </w:r>
      <w:r w:rsidRPr="008D479B">
        <w:rPr>
          <w:i/>
        </w:rPr>
        <w:t>Ziya Çevik c. Turquía</w:t>
      </w:r>
      <w:r>
        <w:t xml:space="preserve">, § 35 y 36) El problema constitucional se residencia así en la protección que el art. 33 CE confiere a la propiedad inmobiliaria frente al legislador, debiendo determinarse si la suspensión del plazo para iniciar la expropiación rogada, y sus sucesivos prórrogas, ha supuesto </w:t>
      </w:r>
      <w:r w:rsidRPr="008D479B">
        <w:rPr>
          <w:i/>
        </w:rPr>
        <w:t>de facto</w:t>
      </w:r>
      <w:r>
        <w:t xml:space="preserve"> un vaciamiento del derecho de propiedad de sus propietarios.</w:t>
      </w:r>
    </w:p>
    <w:p w14:paraId="354DC247" w14:textId="77777777" w:rsidR="008D479B" w:rsidRDefault="008D479B" w:rsidP="008D479B">
      <w:pPr>
        <w:pStyle w:val="TextoNormal"/>
      </w:pPr>
    </w:p>
    <w:p w14:paraId="6C408048" w14:textId="77777777" w:rsidR="008D479B" w:rsidRDefault="008D479B" w:rsidP="008D479B">
      <w:pPr>
        <w:pStyle w:val="TextoNormal"/>
      </w:pPr>
      <w:r>
        <w:t>A tales efectos, y poniendo en estrecha conexión estos tres apartados del art. 33 CE, que revelan la naturaleza del derecho en su formulación constitucional, este tribunal tiene declarado “que la Constitución reconoce un derecho a la propiedad privada que se configura y protege, ciertamente, como un haz de facultades individuales sobre las cosas, pero también y al mismo tiempo, como un conjunto de derechos y obligaciones establecidos, de acuerdo con las leyes, en atención a valores o intereses de la comunidad, es decir, a la finalidad o utilidad social que cada categoría de bienes objeto de dominio está llamada a cumplir. Por ello, la fijación del contenido esencial de la propiedad privada no puede hacerse desde la exclusiva consideración subjetiva del derecho o de los intereses individuales que a este subyacen, sino que debe incluir igualmente la necesaria referencia a la función social, entendida no como mero límite externo a su definición o ejercicio, sino como parte integrante del derecho mismo. Utilidad individual y función social definen, por tanto, inescindiblemente el contenido del derecho de propiedad sobre cada categoría o tipo de bienes” (SSTC 204/2004, de 18 de noviembre, FJ 5, y 112/2006, de 5 de abril, FJ 10).</w:t>
      </w:r>
    </w:p>
    <w:p w14:paraId="17D11DE5" w14:textId="77777777" w:rsidR="008D479B" w:rsidRDefault="008D479B" w:rsidP="008D479B">
      <w:pPr>
        <w:pStyle w:val="TextoNormal"/>
      </w:pPr>
    </w:p>
    <w:p w14:paraId="0ED915E4" w14:textId="77777777" w:rsidR="008D479B" w:rsidRDefault="008D479B" w:rsidP="008D479B">
      <w:pPr>
        <w:pStyle w:val="TextoNormal"/>
      </w:pPr>
      <w:r>
        <w:t xml:space="preserve">En el proceso </w:t>
      </w:r>
      <w:r w:rsidRPr="008D479B">
        <w:rPr>
          <w:i/>
        </w:rPr>
        <w:t>a quo</w:t>
      </w:r>
      <w:r>
        <w:t xml:space="preserve"> las propiedades han quedado afectadas por el planeamiento urbano, por lo que resulta también relevante recordar que ya en la STC 61/1997, de 20 de marzo, FJ 10, advertimos que “el Estado puede plasmar una determinada concepción del derecho de propiedad urbana, en sus líneas más fundamentales, como, por ejemplo y entre otras, la que disocia la propiedad del suelo del derecho a edificar, modelo este que ha venido siendo tradicional en nuestro urbanismo. Las comunidades autónomas, desde la competencia urbanística que les reconocen la Constitución y los estatutos de autonomía, podrán dictar normas atinentes al derecho de propiedad urbana, con respeto, claro está, de esas condiciones básicas y de las demás competencias estatales que, en cada caso, sean de aplicación (como, v.gr., la que descansa en el art. 149.1.8 CE, en relación con la dimensión jurídico-privada del dominio; o la relativa a las garantías expropiatorias </w:t>
      </w:r>
      <w:r w:rsidRPr="008D479B">
        <w:rPr>
          <w:i/>
        </w:rPr>
        <w:t>ex</w:t>
      </w:r>
      <w:r>
        <w:t xml:space="preserve"> art. 149.1.18 CE, en los términos que más tarde se verán)”.</w:t>
      </w:r>
    </w:p>
    <w:p w14:paraId="0A6149DA" w14:textId="77777777" w:rsidR="008D479B" w:rsidRDefault="008D479B" w:rsidP="008D479B">
      <w:pPr>
        <w:pStyle w:val="TextoNormal"/>
      </w:pPr>
    </w:p>
    <w:p w14:paraId="14E305E6" w14:textId="77777777" w:rsidR="008D479B" w:rsidRDefault="008D479B" w:rsidP="008D479B">
      <w:pPr>
        <w:pStyle w:val="TextoNormal"/>
      </w:pPr>
      <w:r>
        <w:t>Es al legislador al que le compete delimitar el contenido del derecho de propiedad en relación con cada tipo de bienes, respetando siempre el contenido esencial del derecho, “entendido como recognoscibilidad de cada tipo de derecho dominical en el momento histórico de que se trate y como practicabilidad o posibilidad efectiva de realización del derecho, sin que las limitaciones y deberes que se impongan al propietario deban ir más allá de lo razonable (SSTC 37/1987, de 26 de marzo, FJ 2; 170/1989, de 19 de octubre, FJ 8.b; 89/1994, de 17 de marzo, FJ 4; ATC 134/1995, de 9 de mayo). Incumbe, pues, al legislador, con los límites señalados, la competencia para delimitar el contenido de los derechos dominicales, lo que no supone, claro está, una absoluta libertad en dicha delimitación que le permita ‘anular la utilidad meramente individual del derecho’ o, lo que es lo mismo, el límite lo encontrará, a efectos de la aplicación del art. 33.3 CE, en el contenido esencial, esto es, en no sobrepasar ‘las barreras más allá de las cuales el derecho dominical y las facultades de disponibilidad que supone resulte recognoscible en cada momento histórico y en la posibilidad efectiva de realizar el derecho’ [STC 170/1989, de 19 de octubre, FJ 8 b)]” (STC 204/2004, FJ 5).</w:t>
      </w:r>
    </w:p>
    <w:p w14:paraId="363ADF52" w14:textId="77777777" w:rsidR="008D479B" w:rsidRDefault="008D479B" w:rsidP="008D479B">
      <w:pPr>
        <w:pStyle w:val="TextoNormal"/>
      </w:pPr>
    </w:p>
    <w:p w14:paraId="5779936B" w14:textId="77777777" w:rsidR="008D479B" w:rsidRDefault="008D479B" w:rsidP="008D479B">
      <w:pPr>
        <w:pStyle w:val="TextoNormal"/>
      </w:pPr>
      <w:r>
        <w:t>En este sentido, como hemos recordado en la reciente STC 8/2023, de 22 de febrero, FJ 9, “[e]s obvio que la delimitación legal del contenido de los derechos patrimoniales o la introducción de nuevas limitaciones no pueden desconocer su contenido esencial, pues en tal caso no cabría hablar de una regulación general del derecho, sino de una privación o supresión del mismo que, aun cuando predicada por la norma de manera generalizada, se traduciría en un despojo de situaciones jurídicas individualizadas, no tolerado por la norma constitucional, salvo que medie la indemnización correspondiente”.</w:t>
      </w:r>
    </w:p>
    <w:p w14:paraId="5C3EB080" w14:textId="77777777" w:rsidR="008D479B" w:rsidRDefault="008D479B" w:rsidP="008D479B">
      <w:pPr>
        <w:pStyle w:val="TextoNormal"/>
      </w:pPr>
    </w:p>
    <w:p w14:paraId="319B2ED5" w14:textId="7F11410F" w:rsidR="008D479B" w:rsidRDefault="008D479B" w:rsidP="008D479B">
      <w:pPr>
        <w:pStyle w:val="TextoNormal"/>
      </w:pPr>
      <w:r>
        <w:t xml:space="preserve">Finalmente, también hemos apreciado que “el legislador del derecho de propiedad, aparte del necesario respeto a su contenido esencial que predica el artículo 53.1 CE de ‘los derechos y libertades reconocidos en el capítulo segundo del presente título’, no encuentra otro límite que el de no sobrepasar el ‘equilibrio justo’ o ‘relación razonable entre los medios empleados y la finalidad pretendida’ (por todas, asunto </w:t>
      </w:r>
      <w:r w:rsidRPr="008D479B">
        <w:rPr>
          <w:i/>
        </w:rPr>
        <w:t>James y otros c. Reino Unido</w:t>
      </w:r>
      <w:r>
        <w:t>, 21 de febrero de 1986, § 50), teniendo en cuenta que en las decisiones de índole social y económica se reconoce al legislador un amplio margen de apreciación sobre la necesidad, los fines y las consecuencias de sus disposiciones (</w:t>
      </w:r>
      <w:r w:rsidRPr="008D479B">
        <w:rPr>
          <w:i/>
        </w:rPr>
        <w:t>inter alia</w:t>
      </w:r>
      <w:r>
        <w:t xml:space="preserve">, asuntos </w:t>
      </w:r>
      <w:r w:rsidRPr="008D479B">
        <w:rPr>
          <w:i/>
        </w:rPr>
        <w:t>James y otros c. Reino Unido</w:t>
      </w:r>
      <w:r>
        <w:t xml:space="preserve">, 21 de febrero de 1986, § 46; </w:t>
      </w:r>
      <w:r w:rsidRPr="008D479B">
        <w:rPr>
          <w:i/>
        </w:rPr>
        <w:t>ex Rey de Grecia y otros c. Grecia</w:t>
      </w:r>
      <w:r>
        <w:t xml:space="preserve">, 23 de noviembre de 2000, § 87; </w:t>
      </w:r>
      <w:r w:rsidRPr="008D479B">
        <w:rPr>
          <w:i/>
        </w:rPr>
        <w:t>Broniowski c. Polonia</w:t>
      </w:r>
      <w:r>
        <w:t>, 22 de junio de 2004, § 149)” (STC 16/2018, de 22 de febrero, FJ 7, jurisprudencia reiterada en las SSTC 32/2018, de 12 de abril, y 112/2021, de 13 de mayo, FJ 6).</w:t>
      </w:r>
    </w:p>
    <w:p w14:paraId="31F7B6D6" w14:textId="77777777" w:rsidR="008D479B" w:rsidRDefault="008D479B" w:rsidP="008D479B">
      <w:pPr>
        <w:pStyle w:val="TextoNormal"/>
      </w:pPr>
    </w:p>
    <w:p w14:paraId="091A7FFE" w14:textId="77777777" w:rsidR="008D479B" w:rsidRDefault="008D479B" w:rsidP="008D479B">
      <w:pPr>
        <w:pStyle w:val="TextoNormal"/>
      </w:pPr>
      <w:r w:rsidRPr="008D479B">
        <w:rPr>
          <w:rStyle w:val="NumeroAFNegritaCaracter"/>
        </w:rPr>
        <w:t>5</w:t>
      </w:r>
      <w:r>
        <w:t xml:space="preserve">. </w:t>
      </w:r>
      <w:r w:rsidRPr="008D479B">
        <w:rPr>
          <w:i/>
        </w:rPr>
        <w:t>Resolución de la duda de constitucionalidad referida al derecho de propiedad</w:t>
      </w:r>
    </w:p>
    <w:p w14:paraId="7D453819" w14:textId="77777777" w:rsidR="008D479B" w:rsidRDefault="008D479B" w:rsidP="008D479B">
      <w:pPr>
        <w:pStyle w:val="TextoNormal"/>
      </w:pPr>
    </w:p>
    <w:p w14:paraId="790A9874" w14:textId="77777777" w:rsidR="008D479B" w:rsidRDefault="008D479B" w:rsidP="008D479B">
      <w:pPr>
        <w:pStyle w:val="TextoNormal"/>
      </w:pPr>
      <w:r>
        <w:t>Expuesta la doctrina anterior debemos comprobar si la suspensión del plazo para iniciar el expediente de expropiación rogada desde el 1 de enero de 2017 hasta el 31 de diciembre de 2023 ha conllevado una vulneración del derecho de propiedad por haber supuesto un vaciamiento de su contenido.</w:t>
      </w:r>
    </w:p>
    <w:p w14:paraId="374AE0FB" w14:textId="77777777" w:rsidR="008D479B" w:rsidRDefault="008D479B" w:rsidP="008D479B">
      <w:pPr>
        <w:pStyle w:val="TextoNormal"/>
      </w:pPr>
    </w:p>
    <w:p w14:paraId="7B5753B1" w14:textId="77777777" w:rsidR="008D479B" w:rsidRDefault="008D479B" w:rsidP="008D479B">
      <w:pPr>
        <w:pStyle w:val="TextoNormal"/>
      </w:pPr>
      <w:r>
        <w:t>Debemos comenzar recordando que estamos hablando de propiedades que han quedado afectadas por el planeamiento urbanístico, y que, efectivamente, ante la merma de sus facultades como propietarios se les ha reconocido un derecho a la expropiación forzosa, que actúa como garantía patrimonial frente a una actuación urbanística que les deja sin aprovechamiento alguno. Si en el plazo de cinco años desde la entrada en vigor del plan la administración no lleva a efecto la expropiación de dichos terrenos, los propietarios pueden instar dicha expropiación. Sobre este mecanismo no se suscita ninguna duda de constitucionalidad a la luz del art. 33 CE, siendo así que lo que se le pide a este tribunal es que determine si el legislador al haber impedido a los propietarios instar dicha expropiación rogada durante un periodo de siete años, ha vulnerado el derecho de propiedad de los titulares de dichos terrenos, contrariando las exigencias del art. 33 CE.</w:t>
      </w:r>
    </w:p>
    <w:p w14:paraId="0F9F28FF" w14:textId="77777777" w:rsidR="008D479B" w:rsidRDefault="008D479B" w:rsidP="008D479B">
      <w:pPr>
        <w:pStyle w:val="TextoNormal"/>
      </w:pPr>
    </w:p>
    <w:p w14:paraId="7818282B" w14:textId="77777777" w:rsidR="008D479B" w:rsidRDefault="008D479B" w:rsidP="008D479B">
      <w:pPr>
        <w:pStyle w:val="TextoNormal"/>
      </w:pPr>
      <w:r>
        <w:t xml:space="preserve">A dichos efectos, no resulta relevante, en contra de lo que pone de manifiesto la abogada de la Generalitat, que los recurrentes en el proceso </w:t>
      </w:r>
      <w:r w:rsidRPr="008D479B">
        <w:rPr>
          <w:i/>
        </w:rPr>
        <w:t>a quo</w:t>
      </w:r>
      <w:r>
        <w:t xml:space="preserve"> sigan siendo propietarios de dichos terrenos, dado que, como hemos visto, se produce una interferencia en el libre uso de su propiedad durante dicho periodo de tiempo. Tal y como el Tribunal Europeo de Derechos Humanos viene reconociendo, cuando una propiedad afectada por un plan de urbanismo queda sujeta tanto a un permiso de expropiación, como a una prohibición de construcción, el derecho de propiedad se ve sustancialmente afectado, quedando en una posición precaria e inviable, que puede ser más grave en función del tiempo durante el que se prolonga dicha situación (STEDH de 23 de septiembre de 1982, asunto </w:t>
      </w:r>
      <w:r w:rsidRPr="008D479B">
        <w:rPr>
          <w:i/>
        </w:rPr>
        <w:t>Sporrong y Lönnroth c. Suecia</w:t>
      </w:r>
      <w:r>
        <w:t xml:space="preserve">, § 60, y más recientemente STEDH de 5 de enero de 2000, asunto </w:t>
      </w:r>
      <w:r w:rsidRPr="008D479B">
        <w:rPr>
          <w:i/>
        </w:rPr>
        <w:t>Beyeler c. Italia</w:t>
      </w:r>
      <w:r>
        <w:t xml:space="preserve">, § 107). Y para comprobar si se respeta la primera regla contenida en el art. 1 (protección de la propiedad) del Protocolo adicional al CEDH, considera necesario comprobar si la injerencia en el derecho de propiedad ha respetado el justo equilibrio entre las exigencias del interés general de la comunidad y las de protección de los derechos fundamentales del individuo (STEDH </w:t>
      </w:r>
      <w:r w:rsidRPr="008D479B">
        <w:rPr>
          <w:i/>
        </w:rPr>
        <w:t>Sporrong y Lönnroth c. Suecia</w:t>
      </w:r>
      <w:r>
        <w:t>, § 69).</w:t>
      </w:r>
    </w:p>
    <w:p w14:paraId="4B627255" w14:textId="77777777" w:rsidR="008D479B" w:rsidRDefault="008D479B" w:rsidP="008D479B">
      <w:pPr>
        <w:pStyle w:val="TextoNormal"/>
      </w:pPr>
    </w:p>
    <w:p w14:paraId="66721150" w14:textId="77777777" w:rsidR="008D479B" w:rsidRDefault="008D479B" w:rsidP="008D479B">
      <w:pPr>
        <w:pStyle w:val="TextoNormal"/>
      </w:pPr>
      <w:r>
        <w:t xml:space="preserve">Dicho justo equilibrio se refleja en la estructura del art. 1 de la Convención en su conjunto y entraña la necesidad de una relación de proporcionalidad entre los medios empleados y el fin que se pretende alcanzar (STEDH </w:t>
      </w:r>
      <w:r w:rsidRPr="008D479B">
        <w:rPr>
          <w:i/>
        </w:rPr>
        <w:t>Beyeler c. Italia</w:t>
      </w:r>
      <w:r>
        <w:t xml:space="preserve">, §114). Para comprobar si existe una relación razonable de proporcionalidad entre los medios empleados y el fin que se pretende alcanzar con cualesquiera medidas aplicadas por el Estado, incluidas medidas que privan a una persona de sus posesiones, el Tribunal Europeo considera también esencial determinar si con la “acción o inacción” de la administración, la persona en cuestión tuvo que soportar una carga desproporcionada y excesiva (STEDH de 29 de marzo de 2011, asunto </w:t>
      </w:r>
      <w:r w:rsidRPr="008D479B">
        <w:rPr>
          <w:i/>
        </w:rPr>
        <w:t>Potomska y Potomski c. Polonia</w:t>
      </w:r>
      <w:r>
        <w:t xml:space="preserve"> § 65).</w:t>
      </w:r>
    </w:p>
    <w:p w14:paraId="7A6DEF8C" w14:textId="77777777" w:rsidR="008D479B" w:rsidRDefault="008D479B" w:rsidP="008D479B">
      <w:pPr>
        <w:pStyle w:val="TextoNormal"/>
      </w:pPr>
    </w:p>
    <w:p w14:paraId="2BCF2E95" w14:textId="77777777" w:rsidR="008D479B" w:rsidRDefault="008D479B" w:rsidP="008D479B">
      <w:pPr>
        <w:pStyle w:val="TextoNormal"/>
      </w:pPr>
      <w:r>
        <w:t>En el supuesto que nos ocupa puede concluirse que no se ha respetado el justo equilibrio entre las exigencias del interés general de la comunidad y las de la protección de los derechos fundamentales del individuo, al que se le obliga a soportar una carga excesiva al impedir el legislador durante un periodo prolongado de tiempo su derecho a instar a la administración a que expropie sus terrenos. Si el plazo para instar la expropiación rogada se fija en el art. 104 del Decreto legislativo 1/2021 en cinco años desde la entrada en vigor del plan sin que la administración lleve a efecto la expropiación de dichos terrenos, los propietarios deben esperar ahora otros siete años más para instar dicha expropiación. Y ello siempre y cuando el legislador no vuelva de nuevo a prorrogar dicho plazo unos días antes de su expiración, tal y como ha venido aconteciendo, dado que la suspensión inicial se ha ido prolongando sucesivamente sin previsibilidad alguna. Esta extensión, se ha hecho de forma arbitraria y sin justificación alguna, y ha impedido que los particulares insten las medidas de protección de su derecho de propiedad que cabe legítimamente esperar de la administración: la expropiación de sus terrenos.</w:t>
      </w:r>
    </w:p>
    <w:p w14:paraId="59FB2D47" w14:textId="77777777" w:rsidR="008D479B" w:rsidRDefault="008D479B" w:rsidP="008D479B">
      <w:pPr>
        <w:pStyle w:val="TextoNormal"/>
      </w:pPr>
    </w:p>
    <w:p w14:paraId="087535DF" w14:textId="1404D702" w:rsidR="008D479B" w:rsidRDefault="008D479B" w:rsidP="008D479B">
      <w:pPr>
        <w:pStyle w:val="TextoNormal"/>
      </w:pPr>
      <w:r>
        <w:t>En virtud de todas estas consideraciones procede declarar que la disposición transitoria undécima y sus distintas prórrogas, vulneran el derecho de propiedad consagrado en el art. 33 CE.</w:t>
      </w:r>
    </w:p>
    <w:p w14:paraId="1454BD87" w14:textId="77777777" w:rsidR="008D479B" w:rsidRDefault="008D479B" w:rsidP="008D479B">
      <w:pPr>
        <w:pStyle w:val="TextoNormal"/>
      </w:pPr>
    </w:p>
    <w:p w14:paraId="10415ED7" w14:textId="77777777" w:rsidR="008D479B" w:rsidRDefault="008D479B" w:rsidP="008D479B">
      <w:pPr>
        <w:pStyle w:val="TextoNormal"/>
      </w:pPr>
      <w:r w:rsidRPr="008D479B">
        <w:rPr>
          <w:rStyle w:val="NumeroAFNegritaCaracter"/>
        </w:rPr>
        <w:t>6</w:t>
      </w:r>
      <w:r>
        <w:t xml:space="preserve">. </w:t>
      </w:r>
      <w:r w:rsidRPr="008D479B">
        <w:rPr>
          <w:i/>
        </w:rPr>
        <w:t>Doctrina constitucional sobre la vulneración del principio de seguridad jurídica (art. 9.3 CE)</w:t>
      </w:r>
    </w:p>
    <w:p w14:paraId="5050ED4C" w14:textId="77777777" w:rsidR="008D479B" w:rsidRDefault="008D479B" w:rsidP="008D479B">
      <w:pPr>
        <w:pStyle w:val="TextoNormal"/>
      </w:pPr>
    </w:p>
    <w:p w14:paraId="40D4DC80" w14:textId="77777777" w:rsidR="008D479B" w:rsidRDefault="008D479B" w:rsidP="008D479B">
      <w:pPr>
        <w:pStyle w:val="TextoNormal"/>
      </w:pPr>
      <w:r>
        <w:t>Como ha quedado expuesto precedentemente la Sección Primera de la Sala de lo Contencioso-Administrativo también ha suscitado una segunda duda de constitucionalidad en torno al principio de seguridad jurídica. Este tribunal ha tenido la ocasión de pronunciarse en reiteradas ocasiones sobre dicho principio previsto en el art. 9.3 CE, el cual ha de entenderse como “la certeza sobre la regulación jurídica aplicable” (SSTC 248/2007, de 13 de diciembre, FJ 5, y 29/2015, de 19 de febrero, FJ 5) así como “la expectativa razonablemente fundada del ciudadano en cuál ha de ser la actuación del poder en la aplicación del Derecho” (STC 36/1991, de 14 de febrero, FJ 5). Estas exigencias, como advertimos en la STC 234/2012, de 13 de diciembre, FJ 8, son “consustanciales al Estado de Derecho y […] por lo mismo, han de ser escrupulosamente respetadas por las actuaciones de los poderes públicos, incluido el propio legislador. Es más, sin seguridad jurídica no hay Estado de Derecho digno de ese nombre. Es la razonable previsión de las consecuencias jurídicas de las conductas, de acuerdo con el ordenamiento y su aplicación por los tribunales, la que permite a los ciudadanos gozar de una tranquila convivencia y garantiza la paz social y el desarrollo económico”.</w:t>
      </w:r>
    </w:p>
    <w:p w14:paraId="6ADDC3BB" w14:textId="77777777" w:rsidR="008D479B" w:rsidRDefault="008D479B" w:rsidP="008D479B">
      <w:pPr>
        <w:pStyle w:val="TextoNormal"/>
      </w:pPr>
    </w:p>
    <w:p w14:paraId="6106EBCD" w14:textId="6D6EA0E6" w:rsidR="008D479B" w:rsidRDefault="008D479B" w:rsidP="008D479B">
      <w:pPr>
        <w:pStyle w:val="TextoNormal"/>
      </w:pPr>
      <w:r>
        <w:t>En el presente supuesto se cuestiona una suspensión que impide de forma sobrevenida la aplicación del régimen jurídico de la expropiación rogada durante un periodo determinado de tiempo. Respecto a las modificaciones legislativas ya hemos dicho que el respeto al principio de confianza legítima, corolario a su vez del principio de seguridad jurídica (STC 270/2015, de 17 de diciembre, FJ 7), “no constituye un obstáculo infranqueable para el legislador […], so pena de incurrir en el riesgo de petrificación del ordenamiento jurídico” (STC 181/2016, de 20 de octubre, FJ 4). No obstante, también hemos advertido que el principio de seguridad jurídica “sí protege, en cambio, la confianza de los ciudadanos, que ajustan su conducta económica a la legislación vigente, frente a cambios normativos que no sean razonablemente previsibles” debiendo ponderarse “las circunstancias concretas que concurren en el caso, es decir, la finalidad de la medida y las circunstancias relativas a su grado de previsibilidad, su importancia cuantitativa, y otros factores similares” (STC 182/1997, de 28 de octubre, FJ 11 en relación con las limitaciones impuestas al legislador al establecer la retroactividad de las normas tributarias). En palabras de este tribunal “la pretendida lesión de la seguridad jurídica de los ciudadanos es una cuestión que solo puede resolverse caso por caso” [por todas, la STC 51/2018, de 10 de mayo, FJ 5 b)].</w:t>
      </w:r>
    </w:p>
    <w:p w14:paraId="7DE2CCAB" w14:textId="77777777" w:rsidR="008D479B" w:rsidRDefault="008D479B" w:rsidP="008D479B">
      <w:pPr>
        <w:pStyle w:val="TextoNormal"/>
      </w:pPr>
    </w:p>
    <w:p w14:paraId="378C73FD" w14:textId="77777777" w:rsidR="008D479B" w:rsidRDefault="008D479B" w:rsidP="008D479B">
      <w:pPr>
        <w:pStyle w:val="TextoNormal"/>
      </w:pPr>
      <w:r w:rsidRPr="008D479B">
        <w:rPr>
          <w:rStyle w:val="NumeroAFNegritaCaracter"/>
        </w:rPr>
        <w:t>7</w:t>
      </w:r>
      <w:r>
        <w:t xml:space="preserve">. </w:t>
      </w:r>
      <w:r w:rsidRPr="008D479B">
        <w:rPr>
          <w:i/>
        </w:rPr>
        <w:t>Resolución de la duda de constitucionalidad referida al principio de seguridad jurídica</w:t>
      </w:r>
    </w:p>
    <w:p w14:paraId="208D2B64" w14:textId="77777777" w:rsidR="008D479B" w:rsidRDefault="008D479B" w:rsidP="008D479B">
      <w:pPr>
        <w:pStyle w:val="TextoNormal"/>
      </w:pPr>
    </w:p>
    <w:p w14:paraId="3027E0AA" w14:textId="77777777" w:rsidR="008D479B" w:rsidRDefault="008D479B" w:rsidP="008D479B">
      <w:pPr>
        <w:pStyle w:val="TextoNormal"/>
      </w:pPr>
      <w:r>
        <w:t>La norma de cuya constitucionalidad se duda, en sus sucesivas prórrogas, suspende los plazos para solicitar la expropiación rogada, y durante este tiempo los titulares de terrenos destinados a dotaciones públicas no pueden instar a la administración para que cumpla con el deber que pesa sobre la misma de expropiar dichos terrenos. Al despojarles de esta facultad prevista legalmente se les aboca de nuevo a una situación de incertidumbre en la que, teniendo una expectativa de expropiación, no son expropiados por la administración, incertidumbre que como hemos explicado anteriormente se pretende precisamente evitar con el instituto de la expropiación rogada; se produce la paradoja de que no solo la administración no cumple con su deber de expropiar los terrenos afectados por el planeamiento urbanístico sino que tampoco permite que los titulares de dichos terrenos puedan instarle a que lleve a cabo dicha expropiación, a la que tienen derecho ante el perjuicio patrimonial que les produce su inactividad.</w:t>
      </w:r>
    </w:p>
    <w:p w14:paraId="073C0FD4" w14:textId="77777777" w:rsidR="008D479B" w:rsidRDefault="008D479B" w:rsidP="008D479B">
      <w:pPr>
        <w:pStyle w:val="TextoNormal"/>
      </w:pPr>
    </w:p>
    <w:p w14:paraId="5C8F3E92" w14:textId="77777777" w:rsidR="008D479B" w:rsidRDefault="008D479B" w:rsidP="008D479B">
      <w:pPr>
        <w:pStyle w:val="TextoNormal"/>
      </w:pPr>
      <w:r>
        <w:t>Esta extensión temporal de la incertidumbre, a las que se somete a los propietarios de dichos terrenos tiene sin duda alguna incidencia en la “certeza sobre el ordenamiento jurídico aplicable y los intereses, jurídicamente tutelados” (STC 15/1986, de 31 de enero, FJ 2). Ahora bien, conforme a la doctrina expuesta en el fundamento jurídico anterior, ello no conlleva necesariamente que la medida sea inconstitucional, pues debemos valorar las circunstancias concretas que concurren en el presente caso, de modo que la injerencia en el ámbito garantizado por el principio de seguridad jurídica podría ser acorde con la Constitución si tuviera un fin legítimo.</w:t>
      </w:r>
    </w:p>
    <w:p w14:paraId="50ED2F1C" w14:textId="77777777" w:rsidR="008D479B" w:rsidRDefault="008D479B" w:rsidP="008D479B">
      <w:pPr>
        <w:pStyle w:val="TextoNormal"/>
      </w:pPr>
    </w:p>
    <w:p w14:paraId="0DF3A049" w14:textId="77777777" w:rsidR="008D479B" w:rsidRDefault="008D479B" w:rsidP="008D479B">
      <w:pPr>
        <w:pStyle w:val="TextoNormal"/>
      </w:pPr>
      <w:r>
        <w:t>(i) Lo primero que debe de advertirse es que la forma en que se ha producido esta suspensión ha incrementado la situación de incertidumbre a la que quedan sujetos los propietarios de los terrenos. Así, si bien la disposición transitoria undécima introducida por la Ley 13/2016 previó una suspensión inicial del derecho a la expropiación rogada de solo dos años, desde el 1 de enero de 2017 hasta el 31 de diciembre de 2018, cuatro días antes de expirar este plazo, la Ley 27/2018 prorroga la suspensión hasta el 31 de diciembre de 2020, otros dos años más; posteriormente, un día antes de expirar esta prórroga, la Ley 3/2020, de 30 de diciembre, prorroga la suspensión esta vez tres años más, hasta el 31 de diciembre de 2023, suspensión ahora recogida en la disposición transitoria vigésima del Decreto legislativo 1/2021. En total, se han encadenado dos prórrogas a la suspensión inicial, dando lugar a una suspensión total de siete años, y sin que los propietarios puedan saber si unos días antes de expirar este último plazo (31 de diciembre de 2023) se va a volver de nuevo a prorrogar dicha suspensión.</w:t>
      </w:r>
    </w:p>
    <w:p w14:paraId="29971A74" w14:textId="77777777" w:rsidR="008D479B" w:rsidRDefault="008D479B" w:rsidP="008D479B">
      <w:pPr>
        <w:pStyle w:val="TextoNormal"/>
      </w:pPr>
    </w:p>
    <w:p w14:paraId="3AA77569" w14:textId="77777777" w:rsidR="008D479B" w:rsidRDefault="008D479B" w:rsidP="008D479B">
      <w:pPr>
        <w:pStyle w:val="TextoNormal"/>
      </w:pPr>
      <w:r>
        <w:t>(ii) A ello se añade que en el presente supuesto el legislador no expone cuál es la finalidad que justifica esta norma y sus sucesivas prórrogas. La Ley 13/2016 añadió la nueva disposición transitoria undécima a la Ley 5/2014, pero ni en su preámbulo, ni en su art. 99, que es el que operó dicha modificación, se exponen, ni expresa ni implícitamente, las razones que expliquen la finalidad de esta suspensión. Tampoco en las leyes que modifican esta norma y establecen sus sucesivas prórrogas, ni en sus preámbulos ni en su parte dispositiva, explican las razones en las que se fundamenta la suspensión de plazos para solicitar y tramitar la expropiación por ministerio de la ley. Como señala el auto de planteamiento, hay algunas referencias genéricas a la necesidad de planificar la actividad económica de la Generalitat (en la Ley 27/2018), o a la necesidad de clarificar el alcance de las modificaciones que amplían plazos (Ley 9/2019), referencias que no aluden en ningún caso a la disposición transitoria que nos ocupa.</w:t>
      </w:r>
    </w:p>
    <w:p w14:paraId="29BD13AE" w14:textId="77777777" w:rsidR="008D479B" w:rsidRDefault="008D479B" w:rsidP="008D479B">
      <w:pPr>
        <w:pStyle w:val="TextoNormal"/>
      </w:pPr>
    </w:p>
    <w:p w14:paraId="023E2854" w14:textId="77777777" w:rsidR="008D479B" w:rsidRDefault="008D479B" w:rsidP="008D479B">
      <w:pPr>
        <w:pStyle w:val="TextoNormal"/>
      </w:pPr>
      <w:r>
        <w:t>Esta explicación tampoco puede encontrase en la regulación de la expropiación rogada que establece el art. 104 de la Ley 5/2014, siendo además llamativo que el art. único y el anexo 67 de la Ley 1/2019, de 5 de febrero, de modificación de la Ley 5/2014, de 25 de julio, de ordenación del territorio, urbanismo y paisaje de la Comunitat Valenciana, introduce un apartado octavo al art. 104 en el que se regula los supuestos en los que se podrá declarar la imposibilidad de expropiar por ministerio de la ley y para ello es preciso que “el ejercicio de la expropiación rogada comprometiera seriamente los principios de estabilidad presupuestaria, sostenibilidad financiera, de eficiencia en la asignación y utilización de los recursos públicos o de responsabilidad”. En tales casos, según prevé este precepto, los interesados tienen derecho a percibir los intereses legales conforme al justiprecio aprobado de los terrenos afectados “hasta una efectiva adquisición en el plazo máximo de cinco años”.</w:t>
      </w:r>
    </w:p>
    <w:p w14:paraId="32C46C7E" w14:textId="77777777" w:rsidR="008D479B" w:rsidRDefault="008D479B" w:rsidP="008D479B">
      <w:pPr>
        <w:pStyle w:val="TextoNormal"/>
      </w:pPr>
    </w:p>
    <w:p w14:paraId="6B8FA2BE" w14:textId="77777777" w:rsidR="008D479B" w:rsidRDefault="008D479B" w:rsidP="008D479B">
      <w:pPr>
        <w:pStyle w:val="TextoNormal"/>
      </w:pPr>
      <w:r>
        <w:t>De esta forma, tras esta modificación, que entró el vigor el 8 de febrero de 2019, la ausencia de justificación respecto a la suspensión de los plazos para solicitar y tramitar la expropiación rogada en aplicación de la disposición transitoria undécima de la Ley 5/2014 (actualmente disposición transitoria vigésima del texto refundido aprobado por el Decreto legislativo 1/2021) resulta aún más evidente, especialmente cuando el apartado 8 del art. 104 de la Ley 5/2014 (actualmente el apartado 8 del art. 110 del texto refundido aprobado por el Decreto legislativo 1/2021), permite declarar la imposibilidad de expropiar por ministerio de la ley, únicamente cuando el “ejercicio de la expropiación rogada comprometiera seriamente los principios de estabilidad presupuestaria, sostenibilidad financiera, de eficiencia en la asignación y utilización de los recursos públicos o de responsabilidad”. Esta previsión prevé también una serie de garantías dado que la decisión debe ser motivada y debe adoptarse por el pleno del ayuntamiento, previa audiencia del interesado; adicionalmente dicha declaración comportará el pago de los intereses legales al titular de los terrenos, con una limitación temporal para la efectiva adquisición de estos que se fija en un plazo de cinco años.</w:t>
      </w:r>
    </w:p>
    <w:p w14:paraId="79B9B510" w14:textId="77777777" w:rsidR="008D479B" w:rsidRDefault="008D479B" w:rsidP="008D479B">
      <w:pPr>
        <w:pStyle w:val="TextoNormal"/>
      </w:pPr>
    </w:p>
    <w:p w14:paraId="6CD8770C" w14:textId="77777777" w:rsidR="008D479B" w:rsidRDefault="008D479B" w:rsidP="008D479B">
      <w:pPr>
        <w:pStyle w:val="TextoNormal"/>
      </w:pPr>
      <w:r>
        <w:t>En el supuesto de la disposición transitoria undécima de la Ley 5/2014 (disposición transitoria vigésima del texto refundido aprobado por el Decreto legislativo 1/2021) no existe ninguna justificación, ni garantía alguna aparejada, respecto a las injerencias en la seguridad jurídica que la suspensión de los plazos para solicitar y tramitar la expropiación rogada provoca. Y el legislador no ha puesto tampoco de manifiesto que dichos preceptos tuvieran como objeto salvaguardar otro bien o valor constitucional que se considere merecedor de protección.</w:t>
      </w:r>
    </w:p>
    <w:p w14:paraId="2EE324EC" w14:textId="77777777" w:rsidR="008D479B" w:rsidRDefault="008D479B" w:rsidP="008D479B">
      <w:pPr>
        <w:pStyle w:val="TextoNormal"/>
      </w:pPr>
    </w:p>
    <w:p w14:paraId="31869758" w14:textId="0082C62D" w:rsidR="008D479B" w:rsidRDefault="008D479B" w:rsidP="008D479B">
      <w:pPr>
        <w:pStyle w:val="TextoNormal"/>
      </w:pPr>
      <w:r>
        <w:t>Todo lo expuesto nos lleva a concluir que la disposición transitoria undécima de la Ley 5/2014 y sus distintas prórrogas, así como la disposición transitoria vigésima del texto refundido aprobado por el Decreto legislativo 1/2021, vulneran también el principio de seguridad jurídica (art. 9.3 CE).</w:t>
      </w:r>
    </w:p>
    <w:p w14:paraId="7F20675E" w14:textId="77777777" w:rsidR="008D479B" w:rsidRDefault="008D479B" w:rsidP="008D479B">
      <w:pPr>
        <w:pStyle w:val="TextoNormal"/>
      </w:pPr>
    </w:p>
    <w:p w14:paraId="6D7D68EA" w14:textId="77777777" w:rsidR="008D479B" w:rsidRDefault="008D479B" w:rsidP="008D479B">
      <w:pPr>
        <w:pStyle w:val="TextoNormal"/>
      </w:pPr>
      <w:r w:rsidRPr="008D479B">
        <w:rPr>
          <w:rStyle w:val="NumeroAFNegritaCaracter"/>
        </w:rPr>
        <w:t>8</w:t>
      </w:r>
      <w:r>
        <w:t xml:space="preserve">. </w:t>
      </w:r>
      <w:r w:rsidRPr="008D479B">
        <w:rPr>
          <w:i/>
        </w:rPr>
        <w:t>Inconstitucionalidad y nulidad del precepto cuestionado</w:t>
      </w:r>
    </w:p>
    <w:p w14:paraId="409AFD9B" w14:textId="77777777" w:rsidR="008D479B" w:rsidRDefault="008D479B" w:rsidP="008D479B">
      <w:pPr>
        <w:pStyle w:val="TextoNormal"/>
      </w:pPr>
    </w:p>
    <w:p w14:paraId="0E569F7B" w14:textId="582CA827" w:rsidR="008D479B" w:rsidRDefault="008D479B" w:rsidP="008D479B">
      <w:pPr>
        <w:pStyle w:val="TextoNormal"/>
      </w:pPr>
      <w:r>
        <w:t>Por los motivos expuestos, procede declarar la inconstitucionalidad y consiguiente nulidad de la referida disposición transitoria undécima de la Ley 5/2014, en su redacción original dada por la Ley 13/2016, y en sus posteriores redacciones (tras las modificaciones operadas por las leyes 27/2018, 9/2019, y 3/2020), así como de la disposición transitoria vigésima del texto refundido aprobado por el Decreto legislativo 1/2021, por contradecir el art. 9.3 CE y el art. 33 CE.</w:t>
      </w:r>
    </w:p>
    <w:p w14:paraId="41D4967A" w14:textId="77777777" w:rsidR="008D479B" w:rsidRDefault="008D479B" w:rsidP="008D479B">
      <w:pPr>
        <w:pStyle w:val="TextoNormal"/>
      </w:pPr>
    </w:p>
    <w:p w14:paraId="09D65842" w14:textId="77777777" w:rsidR="008D479B" w:rsidRDefault="008D479B" w:rsidP="008D479B">
      <w:pPr>
        <w:pStyle w:val="TextoNormalCentrado"/>
        <w:keepNext/>
      </w:pPr>
      <w:r>
        <w:t>FALLO</w:t>
      </w:r>
    </w:p>
    <w:p w14:paraId="214CB41D" w14:textId="16A66DFE" w:rsidR="008D479B" w:rsidRDefault="008D479B" w:rsidP="008D479B">
      <w:pPr>
        <w:pStyle w:val="TextoNormalCentrado"/>
        <w:keepNext/>
      </w:pPr>
    </w:p>
    <w:p w14:paraId="51F7AD41" w14:textId="6165A957" w:rsidR="008D479B" w:rsidRDefault="008D479B" w:rsidP="008D479B">
      <w:pPr>
        <w:pStyle w:val="TextoNormal"/>
      </w:pPr>
      <w:r>
        <w:t>En atención a todo lo expuesto, el Tribunal Constitucional, por la autoridad que le confiere la Constitución de la Nación española, ha decidido estimar la cuestión de inconstitucionalidad planteada por la Sección Primera de la Sala de lo Contencioso-Administrativo del Tribunal Superior de Justicia de la Comunidad Valenciana y, en consecuencia, declarar la inconstitucionalidad de la disposición transitoria undécima de la Ley 5/2014, de 25 de julio, de ordenación del territorio, urbanismo y paisaje de la Comunitat Valenciana, y de la disposición transitoria vigésima del texto refundido de la Ley de ordenación del territorio, urbanismo y paisaje, aprobado por el Decreto legislativo 1/2021, de 18 de junio.</w:t>
      </w:r>
    </w:p>
    <w:p w14:paraId="6B12B4F6" w14:textId="77777777" w:rsidR="008D479B" w:rsidRDefault="008D479B" w:rsidP="008D479B">
      <w:pPr>
        <w:pStyle w:val="TextoNormal"/>
      </w:pPr>
    </w:p>
    <w:p w14:paraId="790BF388" w14:textId="77777777" w:rsidR="008D479B" w:rsidRDefault="008D479B" w:rsidP="008D479B">
      <w:pPr>
        <w:pStyle w:val="TextoNormal"/>
      </w:pPr>
      <w:r>
        <w:t>Publíquese esta sentencia en el “Boletín Oficial del Estado”.</w:t>
      </w:r>
    </w:p>
    <w:p w14:paraId="14C9768B" w14:textId="77777777" w:rsidR="008D479B" w:rsidRDefault="008D479B" w:rsidP="008D479B">
      <w:pPr>
        <w:pStyle w:val="TextoNormal"/>
      </w:pPr>
      <w:r>
        <w:t>Dada en Madrid, a veintidós de noviembre de dos mil veintitrés.</w:t>
      </w:r>
    </w:p>
    <w:p w14:paraId="086836A0" w14:textId="21044755" w:rsidR="008D479B" w:rsidRDefault="008D479B">
      <w:pPr>
        <w:spacing w:after="160" w:line="278" w:lineRule="auto"/>
        <w:rPr>
          <w:rFonts w:ascii="Times New Roman" w:eastAsia="Times New Roman" w:hAnsi="Times New Roman" w:cs="Times New Roman"/>
          <w:sz w:val="24"/>
          <w:szCs w:val="24"/>
          <w:lang w:eastAsia="es-ES"/>
        </w:rPr>
      </w:pPr>
      <w:r>
        <w:br w:type="page"/>
      </w:r>
    </w:p>
    <w:p w14:paraId="22432A0D" w14:textId="77777777" w:rsidR="008D479B" w:rsidRDefault="008D479B" w:rsidP="008D479B">
      <w:pPr>
        <w:pStyle w:val="TtuloResolucin"/>
      </w:pPr>
      <w:bookmarkStart w:id="94" w:name="SENTENCIA_2023_169"/>
      <w:r>
        <w:t>SENTENCIA 169/2023, de 22 de noviembre de 2023</w:t>
      </w:r>
    </w:p>
    <w:bookmarkEnd w:id="94"/>
    <w:p w14:paraId="2321666D" w14:textId="77777777" w:rsidR="008D479B" w:rsidRDefault="008D479B" w:rsidP="008D479B">
      <w:pPr>
        <w:pStyle w:val="TtuloResolucin"/>
      </w:pPr>
      <w:r>
        <w:t>Pleno</w:t>
      </w:r>
    </w:p>
    <w:p w14:paraId="150783BB" w14:textId="77777777" w:rsidR="008D479B" w:rsidRDefault="008D479B" w:rsidP="008D479B">
      <w:pPr>
        <w:pStyle w:val="TtuloBOE"/>
      </w:pPr>
      <w:r>
        <w:t>(BOE núm. 304, de 21 de diciembre de 2023)</w:t>
      </w:r>
    </w:p>
    <w:p w14:paraId="28B52032" w14:textId="77777777" w:rsidR="008D479B" w:rsidRDefault="008D479B" w:rsidP="008D479B">
      <w:pPr>
        <w:pStyle w:val="TextoNormalCentrado"/>
      </w:pPr>
      <w:r>
        <w:t>ECLI:ES:TC:2023:169</w:t>
      </w:r>
    </w:p>
    <w:p w14:paraId="50901717" w14:textId="42D2B6A1" w:rsidR="008D479B" w:rsidRDefault="008D479B" w:rsidP="008D479B">
      <w:pPr>
        <w:pStyle w:val="TextoNormalCentrado"/>
      </w:pPr>
    </w:p>
    <w:p w14:paraId="586D78AA" w14:textId="77777777" w:rsidR="008D479B" w:rsidRDefault="008D479B" w:rsidP="008D479B">
      <w:pPr>
        <w:pStyle w:val="SntesisDescriptiva"/>
      </w:pPr>
      <w:r>
        <w:t>Cuestión de inconstitucionalidad 5949-2022. Planteada por la Sección Tercera de la Sala de lo Contencioso-Administrativo del Tribunal Supremo sobre el artículo 7.2 de la Ley 13/2011, de 27 de mayo, de regulación del juego.</w:t>
      </w:r>
    </w:p>
    <w:p w14:paraId="056F4D06" w14:textId="19EA9BF3" w:rsidR="008D479B" w:rsidRDefault="008D479B" w:rsidP="008D479B">
      <w:pPr>
        <w:pStyle w:val="SntesisDescriptiva"/>
      </w:pPr>
    </w:p>
    <w:p w14:paraId="634E398A" w14:textId="77777777" w:rsidR="008D479B" w:rsidRDefault="008D479B" w:rsidP="008D479B">
      <w:pPr>
        <w:pStyle w:val="SntesisAnaltica"/>
      </w:pPr>
      <w:r>
        <w:t>Extinción, por desaparición de su objeto, de la cuestión de inconstitucionalidad consecuencia de la reforma sobrevenida del precepto legal sobre el que versa.</w:t>
      </w:r>
    </w:p>
    <w:p w14:paraId="06F18303" w14:textId="7A3BCDAC" w:rsidR="008D479B" w:rsidRDefault="008D479B" w:rsidP="008D479B">
      <w:pPr>
        <w:pStyle w:val="SntesisAnaltica"/>
      </w:pPr>
    </w:p>
    <w:p w14:paraId="609D7154" w14:textId="2466F6AD" w:rsidR="008D479B" w:rsidRDefault="008D479B" w:rsidP="008D479B">
      <w:pPr>
        <w:pStyle w:val="Extracto"/>
      </w:pPr>
      <w:r>
        <w:t>1.</w:t>
      </w:r>
      <w:r>
        <w:tab/>
        <w:t>La relevancia de la constitucionalidad de una norma para la decisión del proceso de origen debe mantenerse inalterada a lo largo del proceso constitucional; y su eventual desaparición sobrevenida (SSTC 6/2010 o 138/2015) puede ser —al igual que su falta originaria— apreciada incluso de oficio (SSTC 174/1998 y 98/2022) [FJ 3].</w:t>
      </w:r>
    </w:p>
    <w:p w14:paraId="597B639D" w14:textId="77777777" w:rsidR="008D479B" w:rsidRDefault="008D479B" w:rsidP="008D479B">
      <w:pPr>
        <w:pStyle w:val="Extracto"/>
      </w:pPr>
    </w:p>
    <w:p w14:paraId="1418C400" w14:textId="77777777" w:rsidR="008D479B" w:rsidRDefault="008D479B" w:rsidP="008D479B">
      <w:pPr>
        <w:pStyle w:val="Extracto"/>
      </w:pPr>
    </w:p>
    <w:p w14:paraId="02681605" w14:textId="77777777" w:rsidR="008D479B" w:rsidRDefault="008D479B" w:rsidP="008D479B">
      <w:pPr>
        <w:pStyle w:val="TextoNormal"/>
      </w:pPr>
      <w: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 ha pronunciado</w:t>
      </w:r>
    </w:p>
    <w:p w14:paraId="1D0C89A6" w14:textId="578AC9AF" w:rsidR="008D479B" w:rsidRDefault="008D479B" w:rsidP="008D479B">
      <w:pPr>
        <w:pStyle w:val="TextoNormal"/>
      </w:pPr>
    </w:p>
    <w:p w14:paraId="34D1B3E8" w14:textId="77777777" w:rsidR="008D479B" w:rsidRDefault="008D479B" w:rsidP="008D479B">
      <w:pPr>
        <w:pStyle w:val="TextoNormalCentrado"/>
        <w:keepNext/>
      </w:pPr>
      <w:r>
        <w:t>EN NOMBRE DEL REY</w:t>
      </w:r>
    </w:p>
    <w:p w14:paraId="5ABA6FBA" w14:textId="3D5D0691" w:rsidR="008D479B" w:rsidRDefault="008D479B" w:rsidP="008D479B">
      <w:pPr>
        <w:pStyle w:val="TextoNormalCentrado"/>
        <w:keepNext/>
      </w:pPr>
    </w:p>
    <w:p w14:paraId="5FFB11D5" w14:textId="77777777" w:rsidR="008D479B" w:rsidRDefault="008D479B" w:rsidP="008D479B">
      <w:pPr>
        <w:pStyle w:val="TextoNormalCentrado"/>
        <w:keepNext/>
      </w:pPr>
    </w:p>
    <w:p w14:paraId="4002F4AD" w14:textId="77777777" w:rsidR="008D479B" w:rsidRDefault="008D479B" w:rsidP="008D479B">
      <w:pPr>
        <w:pStyle w:val="TextoNormal"/>
      </w:pPr>
      <w:r>
        <w:t>la siguiente</w:t>
      </w:r>
    </w:p>
    <w:p w14:paraId="46B8896C" w14:textId="307CD4F8" w:rsidR="008D479B" w:rsidRDefault="008D479B" w:rsidP="008D479B">
      <w:pPr>
        <w:pStyle w:val="TextoNormal"/>
      </w:pPr>
    </w:p>
    <w:p w14:paraId="65E716E3" w14:textId="77777777" w:rsidR="008D479B" w:rsidRDefault="008D479B" w:rsidP="008D479B">
      <w:pPr>
        <w:pStyle w:val="TextoNormalCentrado"/>
        <w:keepNext/>
      </w:pPr>
      <w:r>
        <w:t>SENTENCIA</w:t>
      </w:r>
    </w:p>
    <w:p w14:paraId="50E6BBFC" w14:textId="3EC6A650" w:rsidR="008D479B" w:rsidRDefault="008D479B" w:rsidP="008D479B">
      <w:pPr>
        <w:pStyle w:val="TextoNormalCentrado"/>
        <w:keepNext/>
      </w:pPr>
    </w:p>
    <w:p w14:paraId="246C62B1" w14:textId="77777777" w:rsidR="008D479B" w:rsidRDefault="008D479B" w:rsidP="008D479B">
      <w:pPr>
        <w:pStyle w:val="TextoNormal"/>
      </w:pPr>
      <w:r>
        <w:t>En la cuestión de inconstitucionalidad 5949-2022, planteada por la Sección Tercera de la Sala de lo Contencioso-Administrativo del Tribunal Supremo sobre el artículo 7.2 de la Ley 13/2011, de 27 de mayo, de regulación del juego. Se han personado y formulado alegaciones el abogado del Estado, en representación del Gobierno, y el fiscal general del Estado, así como las representaciones de la Organización Nacional de Ciegos Españoles y de la Asociación Española de Juego Digital. Ha sido ponente la magistrada doña Inmaculada Montalbán Huertas.</w:t>
      </w:r>
    </w:p>
    <w:p w14:paraId="32CACE1A" w14:textId="38E42BAD" w:rsidR="008D479B" w:rsidRDefault="008D479B" w:rsidP="008D479B">
      <w:pPr>
        <w:pStyle w:val="TextoNormal"/>
      </w:pPr>
    </w:p>
    <w:p w14:paraId="29864089" w14:textId="77777777" w:rsidR="008D479B" w:rsidRDefault="008D479B" w:rsidP="008D479B">
      <w:pPr>
        <w:pStyle w:val="TextoNormalNegritaCentrado"/>
        <w:keepNext/>
      </w:pPr>
      <w:r>
        <w:t>I. Antecedentes</w:t>
      </w:r>
    </w:p>
    <w:p w14:paraId="7E9E5C7E" w14:textId="1C4F4E94" w:rsidR="008D479B" w:rsidRDefault="008D479B" w:rsidP="008D479B">
      <w:pPr>
        <w:pStyle w:val="TextoNormalNegritaCentrado"/>
        <w:keepNext/>
      </w:pPr>
    </w:p>
    <w:p w14:paraId="2015368F" w14:textId="77777777" w:rsidR="008D479B" w:rsidRDefault="008D479B" w:rsidP="008D479B">
      <w:pPr>
        <w:pStyle w:val="TextoNormal"/>
      </w:pPr>
      <w:r w:rsidRPr="008D479B">
        <w:rPr>
          <w:rStyle w:val="NumeroAFNegritaCaracter"/>
        </w:rPr>
        <w:t>1</w:t>
      </w:r>
      <w:r>
        <w:t>. El 9 de septiembre de 2022 tuvo entrada en el registro general del Tribunal Constitucional auto del 14 de julio del mismo año, de la Sección Tercera de la Sala de lo Contencioso-Administrativo del Tribunal Supremo, por el que se acordó plantear cuestión de inconstitucionalidad sobre el artículo 7.2 de la Ley 13/2011, de 27 de mayo, de regulación del juego (cuyo texto original se publicó en el “Boletín Oficial del Estado” núm. 127, del siguiente día), por considerar que la remisión operada en este precepto legal a la norma reglamentaria para establecer las condiciones y límites de la actividad publicitaria en materia de juego pudiera ser contraria al principio de reserva de ley (art. 53.1 CE), en relación con la libertad de empresa (art. 38 CE). Se adjuntaron las correspondientes actuaciones judiciales y el expediente administrativo.</w:t>
      </w:r>
    </w:p>
    <w:p w14:paraId="2C951743" w14:textId="77777777" w:rsidR="008D479B" w:rsidRDefault="008D479B" w:rsidP="008D479B">
      <w:pPr>
        <w:pStyle w:val="TextoNormal"/>
      </w:pPr>
    </w:p>
    <w:p w14:paraId="0FA92E8A" w14:textId="77777777" w:rsidR="008D479B" w:rsidRDefault="008D479B" w:rsidP="008D479B">
      <w:pPr>
        <w:pStyle w:val="TextoNormal"/>
      </w:pPr>
      <w:r>
        <w:t>A) Los hechos que se exponen en el auto judicial de referencia son, en síntesis, los siguientes.</w:t>
      </w:r>
    </w:p>
    <w:p w14:paraId="70448408" w14:textId="77777777" w:rsidR="008D479B" w:rsidRDefault="008D479B" w:rsidP="008D479B">
      <w:pPr>
        <w:pStyle w:val="TextoNormal"/>
      </w:pPr>
    </w:p>
    <w:p w14:paraId="3219C330" w14:textId="77777777" w:rsidR="008D479B" w:rsidRDefault="008D479B" w:rsidP="008D479B">
      <w:pPr>
        <w:pStyle w:val="TextoNormal"/>
      </w:pPr>
      <w:r>
        <w:t xml:space="preserve">a) La representación procesal de la Asociación Española de Juego Digital interpuso recurso contencioso-administrativo contra el Real Decreto 958/2020, de 3 de noviembre, de comunicaciones comerciales de las actividades de juego, aduciendo, entre otros motivos, la vulneración del principio de reserva de ley (art. 53.1 CE en relación con los artículos 1.1, 38 y 20 de la misma norma fundamental). Se argumentó al respecto que el real decreto se dictó a partir de la habilitación contenida en el artículo 7 de la Ley 13/2011, de 27 de mayo, de regulación del juego, precepto legal que, tras prohibir en su párrafo primero toda actividad de publicidad, patrocinio o promoción de los juegos de envite, suerte o azar y la publicidad o promoción de los operadores de juego cuando se carezca de la correspondiente autorización contenida en el título habilitante, dispuso en su párrafo segundo que “[r]eglamentariamente se establecerán las condiciones que se incluirán en los respectivos títulos habilitantes de la autorización de la actividad publicitaria y sus límites y, en particular, respecto a […]”. Consideró la asociación recurrente que este precepto legal efectuó una remisión en blanco o </w:t>
      </w:r>
      <w:r w:rsidRPr="008D479B">
        <w:rPr>
          <w:i/>
        </w:rPr>
        <w:t>in totum</w:t>
      </w:r>
      <w:r>
        <w:t xml:space="preserve"> a reglamento que resultaba contraria al principio de legalidad (art. 53.1 CE), ya que existe una reserva material de ley en relación con el “principio general de libertad”, principio en cuya virtud es la ley el instrumento por el que pueden establecerse limitaciones al ejercicio de actividades, mientras la ley no las prohíba, ello sin perjuicio del desarrollo reglamentario, que debe ser subordinado y no independiente, a lo que se añadió la invocación tanto de la libertad de empresa (art. 38 CE), de cuyo núcleo esencial es elemento trascendental la publicidad, como de la libertad de información (art. 20 CE).</w:t>
      </w:r>
    </w:p>
    <w:p w14:paraId="4149E573" w14:textId="77777777" w:rsidR="008D479B" w:rsidRDefault="008D479B" w:rsidP="008D479B">
      <w:pPr>
        <w:pStyle w:val="TextoNormal"/>
      </w:pPr>
    </w:p>
    <w:p w14:paraId="70D996EE" w14:textId="77777777" w:rsidR="008D479B" w:rsidRDefault="008D479B" w:rsidP="008D479B">
      <w:pPr>
        <w:pStyle w:val="TextoNormal"/>
      </w:pPr>
      <w:r>
        <w:t>Se personaron y alegaron en el procedimiento el abogado del Estado y las representaciones de la Organización Nacional de Ciegos Españoles (ONCE), de la Asociación Empresarial de Juegos Autorizados y de la Asociación de Usuarios de la Comunicación.</w:t>
      </w:r>
    </w:p>
    <w:p w14:paraId="5D5736EC" w14:textId="77777777" w:rsidR="008D479B" w:rsidRDefault="008D479B" w:rsidP="008D479B">
      <w:pPr>
        <w:pStyle w:val="TextoNormal"/>
      </w:pPr>
    </w:p>
    <w:p w14:paraId="34E2622B" w14:textId="77777777" w:rsidR="008D479B" w:rsidRDefault="008D479B" w:rsidP="008D479B">
      <w:pPr>
        <w:pStyle w:val="TextoNormal"/>
      </w:pPr>
      <w:r>
        <w:t>b) Por providencia de 25 de mayo de 2022 se concedió a las partes personadas y al Ministerio Fiscal plazo de diez días para presentar alegaciones en orden al posible planteamiento de cuestión de inconstitucionalidad sobre si la remisión al reglamento operada por el artículo 7.2 de la Ley 13/2011 para establecer las condiciones y límites de la actividad publicitaria en materia de juego era contraria al principio de reserva de ley (art. 53.1 CE en relación con el artículo 38 CE). La representación de la parte actora solicitó el planteamiento de la cuestión. El Ministerio Fiscal entendió que concurrían las condiciones y requisitos procesales para ello. El abogado del Estado alegó, en primer lugar, que los términos en los que se abrió este trámite no garantizaban una audiencia efectiva y real (si bien añadió que, vista la demanda, quedaban identificados la norma cuestionada y el precepto constitucional afectado) y se opuso al planteamiento de la cuestión de inconstitucionalidad por razones sustantivas. Otro tanto hizo, en cuanto a esto último, la representación de la Asociación de Usuarios de la Comunicación.</w:t>
      </w:r>
    </w:p>
    <w:p w14:paraId="116A936D" w14:textId="77777777" w:rsidR="008D479B" w:rsidRDefault="008D479B" w:rsidP="008D479B">
      <w:pPr>
        <w:pStyle w:val="TextoNormal"/>
      </w:pPr>
    </w:p>
    <w:p w14:paraId="4CE9D1C8" w14:textId="77777777" w:rsidR="008D479B" w:rsidRDefault="008D479B" w:rsidP="008D479B">
      <w:pPr>
        <w:pStyle w:val="TextoNormal"/>
      </w:pPr>
      <w:r>
        <w:t>B) Los razonamientos jurídicos expuestos en el auto del Tribunal Supremo pueden resumirse como sigue.</w:t>
      </w:r>
    </w:p>
    <w:p w14:paraId="44EA91C2" w14:textId="77777777" w:rsidR="008D479B" w:rsidRDefault="008D479B" w:rsidP="008D479B">
      <w:pPr>
        <w:pStyle w:val="TextoNormal"/>
      </w:pPr>
    </w:p>
    <w:p w14:paraId="38FA46B0" w14:textId="77777777" w:rsidR="008D479B" w:rsidRDefault="008D479B" w:rsidP="008D479B">
      <w:pPr>
        <w:pStyle w:val="TextoNormal"/>
      </w:pPr>
      <w:r>
        <w:t>a) La asociación recurrente impugna el Real Decreto 958/2020, de comunicaciones comerciales de las actividades de juego, y se ha de partir —observa la Sala— de que los operadores de juego deben contar con un título habilitante que les autorice para el desarrollo de actividades de juego (art. 7.1 de la Ley 13/2011) y de que para poder realizar actividades de publicidad, patrocinio y promoción de dichas actividades, el artículo 7.2 de la misma ley dispone que su título habilitante debe incluir una autorización de la actividad publicitaria en la que se establecerán las condiciones y límites de su ejercicio. Es al tiempo de regular tales condiciones y límites cuando el artículo 7.2 se remite para su fijación a un desarrollo reglamentario posterior. El real decreto impugnado se dicta a partir de esa habilitación legislativa y así se afirma expresamente en su artículo 1 y en su exposición de motivos.</w:t>
      </w:r>
    </w:p>
    <w:p w14:paraId="05B65E7D" w14:textId="77777777" w:rsidR="008D479B" w:rsidRDefault="008D479B" w:rsidP="008D479B">
      <w:pPr>
        <w:pStyle w:val="TextoNormal"/>
      </w:pPr>
    </w:p>
    <w:p w14:paraId="7956AFDD" w14:textId="77777777" w:rsidR="008D479B" w:rsidRDefault="008D479B" w:rsidP="008D479B">
      <w:pPr>
        <w:pStyle w:val="TextoNormal"/>
      </w:pPr>
      <w:r>
        <w:t>La asociación recurrente considera que la remisión a reglamento realizada por el artículo 7.2 de la Ley 13/2011 es contraria, por sus términos amplios y genéricos, al principio de reserva de ley (art. 53.1 CE y jurisprudencia constitucional que lo interpreta), al implicar una remisión en blanco para establecer las condiciones y límites para la actividad publicitaria de los operadores de juego, restringiendo por vía reglamentaria una de las manifestaciones de la libertad de empresa.</w:t>
      </w:r>
    </w:p>
    <w:p w14:paraId="2965D0D9" w14:textId="77777777" w:rsidR="008D479B" w:rsidRDefault="008D479B" w:rsidP="008D479B">
      <w:pPr>
        <w:pStyle w:val="TextoNormal"/>
      </w:pPr>
    </w:p>
    <w:p w14:paraId="754D9238" w14:textId="77777777" w:rsidR="008D479B" w:rsidRDefault="008D479B" w:rsidP="008D479B">
      <w:pPr>
        <w:pStyle w:val="TextoNormal"/>
      </w:pPr>
      <w:r>
        <w:t>b) Tras citar lo dispuesto en el artículo 53.1 CE y la jurisprudencia constitucional relativa al principio de reserva de ley, señala la Sala que la libertad de empresa es uno de los derechos a los que resulta aplicable tal reserva y que de esa libertad forma parte la publicidad. El Tribunal —se añade— no alberga dudas sobre el carácter no absoluto de la libertad de empresa y tampoco acerca de que el ejercicio de la actividad empresarial referida al juego y su publicidad puede quedar sujeta a límites y condiciones, pero han de estar establecidos por ley o por normas reglamentarias que disfruten de habilitación legal adecuada y suficiente, pues, siendo cierto que la intervención limitativa de los reglamentos es admisible en materia de libertad de empresa, ha de contar con habilitación legal que no puede consistir en una mera remisión en blanco a la potestad reglamentaria, sino que debe contener, siquiera en sus rasgos generales, el núcleo limitativo de la libertad de empresa o las finalidades que la norma reglamentaria debe realizar en uso de la habilitación, a cuyo efecto se cita en el auto la jurisprudencia constitucional que se estima de relieve.</w:t>
      </w:r>
    </w:p>
    <w:p w14:paraId="6C4858FB" w14:textId="77777777" w:rsidR="008D479B" w:rsidRDefault="008D479B" w:rsidP="008D479B">
      <w:pPr>
        <w:pStyle w:val="TextoNormal"/>
      </w:pPr>
    </w:p>
    <w:p w14:paraId="519CAAF6" w14:textId="77777777" w:rsidR="008D479B" w:rsidRDefault="008D479B" w:rsidP="008D479B">
      <w:pPr>
        <w:pStyle w:val="TextoNormal"/>
      </w:pPr>
      <w:r>
        <w:t xml:space="preserve">c) La duda de constitucionalidad surge a la vista de los términos en los que el artículo 7.2 de la Ley 13/2011 se remite a reglamento, remisión genérica en la que tan solo se delimitan los espacios a los que ha de extenderse dicha regulación, incluyendo al final una previsión abierta “cualesquiera otras que se establezcan reglamentariamente” y sin establecer las condiciones y elementos esenciales de dicha regulación. La ley no proporciona criterio alguno con arreglo al que deba producirse el desarrollo reglamentario en el ámbito de la publicidad ni las pautas conforme a las cuales el reglamento puede condicionar o limitar la publicidad de los operadores de juego, ni indicación o criterio alguno sobre lo que cabe considerar proporcionado o no, por lo que la Sala considera que una remisión en tales términos puede interpretarse como una verdadera deslegalización de la materia reservada a la ley, esto es, una total abdicación por parte del legislador de su facultad para establecer reglas limitativas, transfiriendo esa facultad al titular de la potestad reglamentaria. Esta previsión genérica y los principios generales que la norma enuncia (protección de consumidores y usuarios, de los menores de edad, etc.) resultan insuficientes para operar esta remisión a la norma reglamentaria, habilitándola para establecer límites y prohibiciones en el sector, incluyendo importantes restricciones referidas a prohibiciones o limitaciones de patrocinio (art. 12), prohibiciones de actividades de promoción (art. 13), prohibición de la aparición en las comunicaciones comerciales de personas de relevancia o notoriedad pública (art. 15), limitaciones horarias de las comunicaciones comerciales en servicios de comunicación audiovisual (art. 18), autorización tan solo en una determinada franja horaria de la difusión de comunicaciones comerciales (art. 19) o respecto a apuestas mutuas, loterías instantáneas, juego de bingo (art. 20), prohibición o limitación horaria de comunicaciones comerciales relativas a concursos (art. 21), límites a la difusión de comunicaciones comerciales de loterías de efecto diferido y rifas (art. 22), prohibición y en su caso restricciones de comunicaciones comerciales en servicios de la sociedad de la información (art. 23) o a través de correo electrónico o medios equivalentes (art. 24), limitaciones de comunicaciones comerciales audiovisuales en servicios de intercambio de vídeos a través de plataforma (art. 25) o reglas específicas sobre comunicaciones comerciales en redes sociales (art. 26). De modo que, al amparo de la habilitación prevista en el cuestionado artículo 7.2, la administración ha regulado </w:t>
      </w:r>
      <w:r w:rsidRPr="008D479B">
        <w:rPr>
          <w:i/>
        </w:rPr>
        <w:t>ex novo</w:t>
      </w:r>
      <w:r>
        <w:t xml:space="preserve"> el régimen jurídico de la publicidad en el juego. Esta remisión legal pudiera ser contraria al principio de reserva de ley, que se configura como una garantía del Estado de Derecho por la que los ámbitos materiales afectados por la reserva de ley se regularán precisamente mediante ley, limitándose el reglamento a cumplir un papel complementario y subordinado a la ley y sin que pueda establecer una regulación independiente.</w:t>
      </w:r>
    </w:p>
    <w:p w14:paraId="736C99EB" w14:textId="77777777" w:rsidR="008D479B" w:rsidRDefault="008D479B" w:rsidP="008D479B">
      <w:pPr>
        <w:pStyle w:val="TextoNormal"/>
      </w:pPr>
    </w:p>
    <w:p w14:paraId="3779735D" w14:textId="77777777" w:rsidR="008D479B" w:rsidRDefault="008D479B" w:rsidP="008D479B">
      <w:pPr>
        <w:pStyle w:val="TextoNormal"/>
      </w:pPr>
      <w:r>
        <w:t xml:space="preserve">d) La parte recurrente, tanto en su demanda como en su escrito de alegaciones, afirma que podría llegarse a una interpretación conforme a la Constitución del artículo 7.2 de la Ley 13/2011 si se entendiera que la remisión al reglamento se refiere de manera exclusiva a los aspectos de procedimiento, lo que determinaría que dicho artículo sería constitucionalmente lícito, pero que los preceptos reglamentarios que regulasen aspectos sustantivos o extrínsecos serían nulos de pleno Derecho por incurrir en </w:t>
      </w:r>
      <w:r w:rsidRPr="008D479B">
        <w:rPr>
          <w:i/>
        </w:rPr>
        <w:t>ultra vires</w:t>
      </w:r>
      <w:r>
        <w:t>. La Sala, sin embargo, no considera viable, en un análisis previo de la norma legal, tal interpretación alternativa, que tampoco ha sido asumida por ninguna de las partes demandadas. La remisión a reglamento del artículo 7.2 lo es para establecer “las condiciones que se incluirán en los respectivos títulos habilitantes de la autorización de la actividad publicitaria y sus límites”, sin que del tenor literal de dicha norma, ni por el contexto en que se sitúa, exista base alguna para entender que la remisión es a los solos efectos de regular los aspectos procedimentales de dicha autorización, interpretación que, por otra parte, no colmaría la ausencia de regulación legal sobre las condiciones y límites en los que puede desarrollarse la publicidad o patrocinio por los operadores del juego. El órgano judicial no considera factible esa interpretación conforme, que le obligaría, como afirma el recurrente, a considerar que gran parte de los preceptos reglamentarios que establecen límites y prohibiciones materiales son nulos por carentes de cobertura legal.</w:t>
      </w:r>
    </w:p>
    <w:p w14:paraId="709F56D3" w14:textId="77777777" w:rsidR="008D479B" w:rsidRDefault="008D479B" w:rsidP="008D479B">
      <w:pPr>
        <w:pStyle w:val="TextoNormal"/>
      </w:pPr>
    </w:p>
    <w:p w14:paraId="56F83D9A" w14:textId="77777777" w:rsidR="008D479B" w:rsidRDefault="008D479B" w:rsidP="008D479B">
      <w:pPr>
        <w:pStyle w:val="TextoNormal"/>
      </w:pPr>
      <w:r>
        <w:t>e) Por lo que respecta al juicio de relevancia, se afirma en el auto que no cabe duda alguna acerca de que la norma cuestionada es aplicable al caso. De igual modo, resulta indudable para la Sala que del juicio de constitucionalidad que se alcance respecto del art. 7.2 de la Ley de regulación del juego depende la validez de la habilitación al reglamento y, en consecuencia, la validez o nulidad de esta última norma. Es más, constituye el presupuesto previo al análisis de los restantes motivos de impugnación, ya que, si se llegara a la conclusión de que el precepto legal cuestionado resulta contrario al principio de reserva de ley, la demanda debería ser estimada por cuanto los límites y prohibiciones contenidos en el Real Decreto carecerían de cobertura legal para establecer esa regulación, haciendo innecesario el análisis de los restantes motivos. Si, por el contrario, se considera que la norma legal es conforme a la Constitución y, por tanto, que el Real Decreto tiene cobertura legal suficiente para establecer una regulación como la cuestionada, se debería desestimar este motivo de impugnación, sin perjuicio de analizar los restantes.</w:t>
      </w:r>
    </w:p>
    <w:p w14:paraId="5E510370" w14:textId="77777777" w:rsidR="008D479B" w:rsidRDefault="008D479B" w:rsidP="008D479B">
      <w:pPr>
        <w:pStyle w:val="TextoNormal"/>
      </w:pPr>
    </w:p>
    <w:p w14:paraId="036B661A" w14:textId="77777777" w:rsidR="008D479B" w:rsidRDefault="008D479B" w:rsidP="008D479B">
      <w:pPr>
        <w:pStyle w:val="TextoNormal"/>
      </w:pPr>
      <w:r>
        <w:t>f) El auto finaliza afirmando que no puede dudarse de la posibilidad de cuestionar la constitucionalidad de la norma legal, pues nada impide que la impugnación dirigida contra una disposición reglamentaria se sustente en la consideración de que la norma legal que desarrolla es contraria a la Constitución, y, si, como en el caso que nos ocupa, el Tribunal alberga dudas sobre la constitucionalidad del precepto legal deberá plantear una cuestión de inconstitucionalidad respecto de la previsión legal en la que se apoya la norma reglamentaria.</w:t>
      </w:r>
    </w:p>
    <w:p w14:paraId="793AAAFB" w14:textId="77777777" w:rsidR="008D479B" w:rsidRDefault="008D479B" w:rsidP="008D479B">
      <w:pPr>
        <w:pStyle w:val="TextoNormal"/>
      </w:pPr>
    </w:p>
    <w:p w14:paraId="13C9AC13" w14:textId="3F4533A0" w:rsidR="008D479B" w:rsidRDefault="008D479B" w:rsidP="008D479B">
      <w:pPr>
        <w:pStyle w:val="TextoNormal"/>
      </w:pPr>
      <w:r>
        <w:t>Por todo ello se acuerda plantear cuestión de inconstitucionalidad del artículo 7.2 de la Ley 13/2011, al considerar que la remisión operada a la norma reglamentaria para establecer las condiciones y límites de la actividad publicitaria en materia de juego pudiera ser contraria al principio de reserva de ley (art. 53.1 CE) en relación con la libertad de empresa (art. 38 CE).</w:t>
      </w:r>
    </w:p>
    <w:p w14:paraId="40144513" w14:textId="77777777" w:rsidR="008D479B" w:rsidRDefault="008D479B" w:rsidP="008D479B">
      <w:pPr>
        <w:pStyle w:val="TextoNormal"/>
      </w:pPr>
    </w:p>
    <w:p w14:paraId="06749E14" w14:textId="2B860549" w:rsidR="008D479B" w:rsidRDefault="008D479B" w:rsidP="008D479B">
      <w:pPr>
        <w:pStyle w:val="TextoNormal"/>
      </w:pPr>
      <w:r w:rsidRPr="008D479B">
        <w:rPr>
          <w:rStyle w:val="NumeroAFNegritaCaracter"/>
        </w:rPr>
        <w:t>2</w:t>
      </w:r>
      <w:r>
        <w:t>. Por providencia de 11 de octubre de 2022 y a propuesta de la Sección Segunda acordó el Pleno: (i) admitir a trámite la cuestión de inconstitucionalidad; (ii) reservar para sí su conocimiento [art. 10.1 c) de la Ley Orgánica del Tribunal Constitucional: LOTC]; (iii) dar traslado de las actuaciones recibidas (art. 37.3 LOTC) al Congreso de los Diputados y al Senado por conducto de sus presidentes; al Gobierno, por conducto de la ministra de Justicia y al fiscal general del Estado, al objeto de que, en el improrrogable plazo de quince días, pudieran personarse en el proceso y formular las alegaciones que estimasen convenientes; (iv) comunicar esta resolución a la Sección Tercera de la Sala de lo Contencioso-Administrativo del Tribunal Supremo a fin de que, de conformidad con lo dispuesto en el artículo 35.3 LOTC, permanezca suspendido el proceso hasta que el Tribunal resuelta definitivamente la presente cuestión y (v) publicar la incoación de la cuestión en el “Boletín Oficial del Estado”.</w:t>
      </w:r>
    </w:p>
    <w:p w14:paraId="5110C7D7" w14:textId="77777777" w:rsidR="008D479B" w:rsidRDefault="008D479B" w:rsidP="008D479B">
      <w:pPr>
        <w:pStyle w:val="TextoNormal"/>
      </w:pPr>
    </w:p>
    <w:p w14:paraId="2B6D15C3" w14:textId="02CC3CB3" w:rsidR="008D479B" w:rsidRDefault="008D479B" w:rsidP="008D479B">
      <w:pPr>
        <w:pStyle w:val="TextoNormal"/>
      </w:pPr>
      <w:r w:rsidRPr="008D479B">
        <w:rPr>
          <w:rStyle w:val="NumeroAFNegritaCaracter"/>
        </w:rPr>
        <w:t>3</w:t>
      </w:r>
      <w:r>
        <w:t>. Mediante oficio de 25 de octubre de 2022, con entrada en el Tribunal el inmediato día siguiente, el presidente del Senado comunicó el acuerdo de la mesa, de aquella primera fecha, en orden a que se diera por personada a la Cámara en el procedimiento y por ofrecida su colaboración a los efectos del artículo 88.1 LOTC.</w:t>
      </w:r>
    </w:p>
    <w:p w14:paraId="14C1F3A5" w14:textId="77777777" w:rsidR="008D479B" w:rsidRDefault="008D479B" w:rsidP="008D479B">
      <w:pPr>
        <w:pStyle w:val="TextoNormal"/>
      </w:pPr>
    </w:p>
    <w:p w14:paraId="5089736C" w14:textId="45544B21" w:rsidR="008D479B" w:rsidRDefault="008D479B" w:rsidP="008D479B">
      <w:pPr>
        <w:pStyle w:val="TextoNormal"/>
      </w:pPr>
      <w:r w:rsidRPr="008D479B">
        <w:rPr>
          <w:rStyle w:val="NumeroAFNegritaCaracter"/>
        </w:rPr>
        <w:t>4</w:t>
      </w:r>
      <w:r>
        <w:t>. Mediante escrito de 27 de octubre de 2022, con entrada en el Tribunal el mismo día, el procurador de los tribunales don Guzmán de la Villa de la Serna se personó en el proceso en nombre y representación de la Organización Nacional de Ciegos Españoles y al amparo de lo dispuesto en el artículo 37.2 LOTC.</w:t>
      </w:r>
    </w:p>
    <w:p w14:paraId="32D20A05" w14:textId="77777777" w:rsidR="008D479B" w:rsidRDefault="008D479B" w:rsidP="008D479B">
      <w:pPr>
        <w:pStyle w:val="TextoNormal"/>
      </w:pPr>
    </w:p>
    <w:p w14:paraId="5E8C1692" w14:textId="3041A5CF" w:rsidR="008D479B" w:rsidRDefault="008D479B" w:rsidP="008D479B">
      <w:pPr>
        <w:pStyle w:val="TextoNormal"/>
      </w:pPr>
      <w:r w:rsidRPr="008D479B">
        <w:rPr>
          <w:rStyle w:val="NumeroAFNegritaCaracter"/>
        </w:rPr>
        <w:t>5</w:t>
      </w:r>
      <w:r>
        <w:t>. Mediante oficio de 26 de octubre de 2022, con entrada en el Tribunal el 28 del mismo mes, la presidenta del Congreso de los Diputados comunicó el acuerdo de la mesa, de aquella primera fecha, en orden a que se diera por personada a la Cámara en el procedimiento y por ofrecida su colaboración a los efectos del artículo 88.1 LOTC.</w:t>
      </w:r>
    </w:p>
    <w:p w14:paraId="7062F919" w14:textId="77777777" w:rsidR="008D479B" w:rsidRDefault="008D479B" w:rsidP="008D479B">
      <w:pPr>
        <w:pStyle w:val="TextoNormal"/>
      </w:pPr>
    </w:p>
    <w:p w14:paraId="01A77691" w14:textId="09D0395F" w:rsidR="008D479B" w:rsidRDefault="008D479B" w:rsidP="008D479B">
      <w:pPr>
        <w:pStyle w:val="TextoNormal"/>
      </w:pPr>
      <w:r w:rsidRPr="008D479B">
        <w:rPr>
          <w:rStyle w:val="NumeroAFNegritaCaracter"/>
        </w:rPr>
        <w:t>6</w:t>
      </w:r>
      <w:r>
        <w:t>. Mediante escrito de 8 de noviembre de 2022, con ingreso en el Tribunal en la misma fecha, el procurador de los Tribunales don Ramón Rodríguez Nogueira se personó en el proceso en nombre y representación de la Asociación Española de Juego Digital y al amparo de lo dispuesto en el artículo 37.2 LOTC.</w:t>
      </w:r>
    </w:p>
    <w:p w14:paraId="6BF41DE4" w14:textId="77777777" w:rsidR="008D479B" w:rsidRDefault="008D479B" w:rsidP="008D479B">
      <w:pPr>
        <w:pStyle w:val="TextoNormal"/>
      </w:pPr>
    </w:p>
    <w:p w14:paraId="3C57C94D" w14:textId="77777777" w:rsidR="008D479B" w:rsidRDefault="008D479B" w:rsidP="008D479B">
      <w:pPr>
        <w:pStyle w:val="TextoNormal"/>
      </w:pPr>
      <w:r w:rsidRPr="008D479B">
        <w:rPr>
          <w:rStyle w:val="NumeroAFNegritaCaracter"/>
        </w:rPr>
        <w:t>7</w:t>
      </w:r>
      <w:r>
        <w:t>. Mediante escrito de 11 de noviembre de 2022, registrado en el Tribunal el mismo día, presentó sus alegaciones el abogado del Estado. Pueden resumirse como sigue.</w:t>
      </w:r>
    </w:p>
    <w:p w14:paraId="3884AB50" w14:textId="77777777" w:rsidR="008D479B" w:rsidRDefault="008D479B" w:rsidP="008D479B">
      <w:pPr>
        <w:pStyle w:val="TextoNormal"/>
      </w:pPr>
    </w:p>
    <w:p w14:paraId="2CC0062B" w14:textId="77777777" w:rsidR="008D479B" w:rsidRDefault="008D479B" w:rsidP="008D479B">
      <w:pPr>
        <w:pStyle w:val="TextoNormal"/>
      </w:pPr>
      <w:r>
        <w:t>A) Se argumenta, en primer lugar, la adecuación constitucional del artículo 7.2 cuestionado, en atención al régimen que surge, en parte, a partir una prohibición general (art. 5.3 de la misma Ley 13/2011).</w:t>
      </w:r>
    </w:p>
    <w:p w14:paraId="2EC8FD4D" w14:textId="77777777" w:rsidR="008D479B" w:rsidRDefault="008D479B" w:rsidP="008D479B">
      <w:pPr>
        <w:pStyle w:val="TextoNormal"/>
      </w:pPr>
    </w:p>
    <w:p w14:paraId="6C6E84C5" w14:textId="77777777" w:rsidR="008D479B" w:rsidRDefault="008D479B" w:rsidP="008D479B">
      <w:pPr>
        <w:pStyle w:val="TextoNormal"/>
      </w:pPr>
      <w:r>
        <w:t xml:space="preserve">a) En materia de juegos de azar se parte del presupuesto de la prohibición de la actividad del juego en su concepto específico definido por el artículo 3 a) de la Ley 13/2011, pues en principio resulta pernicioso dejar la eventualidad de una ganancia o una pérdida a algo tan volátil o arbitrario como es la suerte misma, ello al margen de las apuestas organizadas o tuteladas por el Estado, como la lotería o las quinielas. No estamos ante un ámbito de la libertad general no condicionada más que por los límites que la ley pueda imponer en garantía de otros derechos fundamentales o de intereses generales, ni ante un ámbito en el que lo que no esté estrictamente prohibido o condicionado por la ley esté permitido, supuestos en los que la limitación de derechos habría de venir, en lo esencial, establecida por la ley formal, sin perjuicio de su posible desarrollo reglamentario. La actividad del juego prevista en el citado artículo 3 a) no forma parte del </w:t>
      </w:r>
      <w:r w:rsidRPr="008D479B">
        <w:rPr>
          <w:i/>
        </w:rPr>
        <w:t>agere licere</w:t>
      </w:r>
      <w:r>
        <w:t>, esto es, de un ámbito de libertad o de una esfera de actuación del individuo, en cuanto persona, con plena inmunidad no solo frente al Estado sino también respecto de otros grupos sociales. Se trata, por el contrario, de una actividad en origen prohibida y en la actualidad permitida solo en los términos establecidos en la ley (art. 5.3 de la Ley de regulación del juego). Esta concepción de partida también abarca a la publicidad, patrocinio y promoción de la actividad, reguladas en el art. 7 de la Ley de regulación del juego. La prohibición de origen del juego no lo es por referencia a la normativa anterior en el tiempo, sino por relación directa con la actividad misma, en cuanto que traída al mundo del Derecho por la propia norma que en cada momento la autoriza y condiciona, de modo tal que cada norma que regula el juego puede decirse que lo hace conceptualmente como actividad no permitida sin la norma en sí.</w:t>
      </w:r>
    </w:p>
    <w:p w14:paraId="7ECB155D" w14:textId="77777777" w:rsidR="008D479B" w:rsidRDefault="008D479B" w:rsidP="008D479B">
      <w:pPr>
        <w:pStyle w:val="TextoNormal"/>
      </w:pPr>
    </w:p>
    <w:p w14:paraId="6CE44CF9" w14:textId="77777777" w:rsidR="008D479B" w:rsidRDefault="008D479B" w:rsidP="008D479B">
      <w:pPr>
        <w:pStyle w:val="TextoNormal"/>
      </w:pPr>
      <w:r>
        <w:t xml:space="preserve">b) Lo dicho se deriva de un concepto extrapositivo o concepción moral de lo que es el juego, esto es, del dejar al azar o al resultado de actividades arbitrarias la ganancia o pérdida de dinero, en relación con cuya naturaleza cabe calificar </w:t>
      </w:r>
      <w:r w:rsidRPr="008D479B">
        <w:rPr>
          <w:i/>
        </w:rPr>
        <w:t>a priori</w:t>
      </w:r>
      <w:r>
        <w:t xml:space="preserve"> como inmoral esta puesta en riesgo, lo que se trasluce en el artículo 5.3 de la Ley 13/2011, conforme al cual “[c]ualquier modalidad de juego no regulada se considerará prohibida”. La serie de prohibiciones que se relacionan en el artículo 6 de la propia ley no supone que lo allí no mencionado estaría permitido, pues la prohibición es general para toda actividad de juego no regulada (art. 5.3). Lo que hace el artículo 6 es enunciar una serie de actividades que por razones objetivas y subjetivas nunca pueden siquiera regularse como actividades de juegos de azar.</w:t>
      </w:r>
    </w:p>
    <w:p w14:paraId="2FB50EAA" w14:textId="77777777" w:rsidR="008D479B" w:rsidRDefault="008D479B" w:rsidP="008D479B">
      <w:pPr>
        <w:pStyle w:val="TextoNormal"/>
      </w:pPr>
    </w:p>
    <w:p w14:paraId="501B01C3" w14:textId="77777777" w:rsidR="008D479B" w:rsidRDefault="008D479B" w:rsidP="008D479B">
      <w:pPr>
        <w:pStyle w:val="TextoNormal"/>
      </w:pPr>
      <w:r>
        <w:t>c) Esta concepción de partida abarca también lo que es la publicidad, patrocinio y promoción como actividades colaterales del juego, en tanto que coadyuvantes de lo que resulta ser en principio una actividad mirada con prevención y de manera en principio contraria al interés general, aunque tolerable y de hecho tolerada conforme a la ley que nos ocupa. Estas actividades complementarias y auxiliares de la del juego son las que viene a regular el artículo 7, objeto, en su apartado 2, de la presente cuestión.</w:t>
      </w:r>
    </w:p>
    <w:p w14:paraId="4EAFB97E" w14:textId="77777777" w:rsidR="008D479B" w:rsidRDefault="008D479B" w:rsidP="008D479B">
      <w:pPr>
        <w:pStyle w:val="TextoNormal"/>
      </w:pPr>
    </w:p>
    <w:p w14:paraId="2F61A57B" w14:textId="77777777" w:rsidR="008D479B" w:rsidRDefault="008D479B" w:rsidP="008D479B">
      <w:pPr>
        <w:pStyle w:val="TextoNormal"/>
      </w:pPr>
      <w:r>
        <w:t>d) La remisión del artículo 7.2 a lo que se establezca reglamentariamente en relación con determinados extremos o elementos de la actividad de publicidad y promoción resulta, por ello mismo, coherente con el principio general de prohibición levantada por la ley misma. Es a partir de la actividad sectorial del juego, y como excepción o excepciones a ella, como se arbitran los supuestos de permisibilidad. Es decir, la actividad se halla prohibida, pero a partir de su permisión y autorización por la ley la misma entra ya a regular aspectos que a partir de su vigencia se pueden establecer, como son las actividades de publicidad y promoción. Tenemos entonces que todo efecto favorable específico no es preciso que se contenga en una norma con rango de ley, si se parte —se insiste— de una previa situación de total prohibición. Cualquier regulación que permita la realización de actuaciones antes prohibidas es ya una norma favorable. Toda condición de ejercicio de una actividad prohibida es ampliadora de derechos y puede establecerse por norma reglamentaria, norma no adecuada para establecer, sin base legal, una restricción de derechos, pero sí suficiente para su reconocimiento en origen o para la ampliación de las ya existentes.</w:t>
      </w:r>
    </w:p>
    <w:p w14:paraId="7DD2308F" w14:textId="77777777" w:rsidR="008D479B" w:rsidRDefault="008D479B" w:rsidP="008D479B">
      <w:pPr>
        <w:pStyle w:val="TextoNormal"/>
      </w:pPr>
    </w:p>
    <w:p w14:paraId="615ABD34" w14:textId="77777777" w:rsidR="008D479B" w:rsidRDefault="008D479B" w:rsidP="008D479B">
      <w:pPr>
        <w:pStyle w:val="TextoNormal"/>
      </w:pPr>
      <w:r>
        <w:t>e) No nos hallamos, pues, en un ámbito de excesiva discrecionalidad legislativa en cuanto al alcance de la libertad de empresa, como parece cuestionar el auto de planteamiento. Al contrario, el alcance en cuanto al ejercicio de la actividad empresarial en este ámbito viene determinado por la prohibición general (art. 5.3). Aparte de que la libertad de empresa, derecho garantizado por el artículo 38 CE, no resulta incompatible con ámbitos de prohibición general en virtud de las situaciones que el legislador formal considere dentro de su margen discrecional de configuración de la realidad socio-económica y, es más, en el caso de los juegos de azar, la configuración legal viene condicionada desde el principio por la permisibilidad previa otorgada por la ley, que deshace la prohibición general.</w:t>
      </w:r>
    </w:p>
    <w:p w14:paraId="73071B9F" w14:textId="77777777" w:rsidR="008D479B" w:rsidRDefault="008D479B" w:rsidP="008D479B">
      <w:pPr>
        <w:pStyle w:val="TextoNormal"/>
      </w:pPr>
    </w:p>
    <w:p w14:paraId="60C00E11" w14:textId="77777777" w:rsidR="008D479B" w:rsidRDefault="008D479B" w:rsidP="008D479B">
      <w:pPr>
        <w:pStyle w:val="TextoNormal"/>
      </w:pPr>
      <w:r>
        <w:t>B) En un análisis previo, y como botón de muestra, se hace referencia a la posición jurisprudencial del Tribunal Supremo y a la jurisprudencia europea en relación con la explotación del juego como actividad empresarial específica. El Tribunal Supremo ya ha tenido ocasión de pronunciarse sobre la conexión entre esa actividad empresarial y la protección de intereses superiores de carácter general consagrados en la Constitución (sentencias de la Sala Tercera de 27 de abril de 2004 y de 30 de junio de 2009, de las que el abogado del Estado transcribe determinados pasajes). Ello coincidiría con jurisprudencia consolidada del Tribunal de Justicia de la Unión Europea (sentencias de 8 de septiembre de 2009, asunto C-42/07; de 3 de junio de 2010, asuntos C-203/08 y C-258/08, y de 8 de septiembre de 2010, asuntos C-46/08 y C-316/07), de conformidad con la cual los Estados miembros pueden restringir la organización y explotación de juegos de dinero por razones de orden público, de seguridad pública o de salud pública, considerándose que razones imperiosas de interés general pueden justificar también las citadas restricciones, como son los objetivos de protección de los consumidores, lucha contra el fraude y prevención tanto de la incitación al gasto excesivo en juego como de la aparición de perturbaciones del orden social en general. Este es, en definitiva, el marco en el que se inserta la legislación sobre el juego de ámbito estatal, que tiene por finalidad “garantizar la protección del orden público, luchar contra el fraude, prevenir las conductas adictivas, proteger los derechos de los menores y salvaguardar los derechos de los participantes en los juegos” (art. 1 de la Ley 13/2011).</w:t>
      </w:r>
    </w:p>
    <w:p w14:paraId="6BAE19D7" w14:textId="77777777" w:rsidR="008D479B" w:rsidRDefault="008D479B" w:rsidP="008D479B">
      <w:pPr>
        <w:pStyle w:val="TextoNormal"/>
      </w:pPr>
    </w:p>
    <w:p w14:paraId="21557F37" w14:textId="77777777" w:rsidR="008D479B" w:rsidRDefault="008D479B" w:rsidP="008D479B">
      <w:pPr>
        <w:pStyle w:val="TextoNormal"/>
      </w:pPr>
      <w:r>
        <w:t>C) Se considera a continuación la adecuación constitucional de la existencia misma de condicionamientos en el ejercicio de la actividad empresarial de explotación del juego, en relación con el derecho a la libertad de empresa.</w:t>
      </w:r>
    </w:p>
    <w:p w14:paraId="1EAAA165" w14:textId="77777777" w:rsidR="008D479B" w:rsidRDefault="008D479B" w:rsidP="008D479B">
      <w:pPr>
        <w:pStyle w:val="TextoNormal"/>
      </w:pPr>
    </w:p>
    <w:p w14:paraId="1923E045" w14:textId="77777777" w:rsidR="008D479B" w:rsidRDefault="008D479B" w:rsidP="008D479B">
      <w:pPr>
        <w:pStyle w:val="TextoNormal"/>
      </w:pPr>
      <w:r>
        <w:t>a) Pueden establecerse mejoras o ampliaciones de campos de actuación al ejercicio de un derecho que la ley concede mediante norma reglamentaria en tanto que norma de carácter favorable o ampliatoria, según ya se ha dicho. A partir de la prohibición general, la norma que establece las excepciones y las regula, configurando su régimen propio, constituye una norma que provee de un ámbito favorable de actuación al operador, lo que puede establecerse, en tanto que regulación favorable, mediante una norma general reglamentaria a la que la ley remite de manera explícita. Otra cosa es que esos ámbitos nuevos de libertad de actuación antes no reconocidos no puedan materializarse sin condicionamientos, que forman parte asimismo de la regulación positiva que la norma establece por primera vez.</w:t>
      </w:r>
    </w:p>
    <w:p w14:paraId="38533EFD" w14:textId="77777777" w:rsidR="008D479B" w:rsidRDefault="008D479B" w:rsidP="008D479B">
      <w:pPr>
        <w:pStyle w:val="TextoNormal"/>
      </w:pPr>
    </w:p>
    <w:p w14:paraId="6B554F23" w14:textId="77777777" w:rsidR="008D479B" w:rsidRDefault="008D479B" w:rsidP="008D479B">
      <w:pPr>
        <w:pStyle w:val="TextoNormal"/>
      </w:pPr>
      <w:r>
        <w:t>b) La remisión que efectúa el artículo 7 a una norma reglamentaria a la que encomienda la regulación en origen del establecimiento de las condiciones que han de reunir los títulos habilitantes que eventualmente habrá de otorgar la autoridad competente a los operadores del sector para desempeñar actividades de publicidad, patrocinio y promoción no es una previsión que restrinja la libertad de empresa como derecho reconocido en la Constitución. Tomada en su contexto, esa remisión no vulnera el artículo 38 CE, que no constituye un derecho absoluto. Su núcleo esencial lo es a la consideración del derecho en abstracto y otra cosa es que cada actividad empresarial específica sea susceptible de control por razones de protección de otros derechos, bienes o principios constitucionalmente protegidos, entre otros la protección de la juventud y la infancia o de la familia (arts. 20.4 y 39.1, respectivamente, de la Constitución). La regulación concreta puede contener elementos de limitación de la actividad realizada, y ser la misma susceptible de control, en cuanto que no es cuestión baladí la relativa a los efectos destructores que en las familias causan las adicciones al juego, citándose en este punto de las alegaciones determinado pasaje del preámbulo de la Ley 13/2011. La previsión por el legislador de una actividad prohibida, pero permitida parcialmente, sirve como parámetro interpretativo en cuanto que solo a partir de ahí, bajo ciertas condiciones o permisos de actuación, cabe asumir que ese posible haz de condicionamientos no constriña el núcleo esencial del derecho a la libertad de empresa. El abogado del Estado aduce, además, que ningún derecho fundamental es ilimitado (STC 181/1990, de 15 de noviembre), por lo que, si este se proyecta sobre una actividad prohibida en su origen, toda apertura posterior por medio de la ley permite que pueda establecerse su régimen jurídico mediante una norma reglamentaria delegada o remitida, diferida su aprobación, por la ley formal remitente.</w:t>
      </w:r>
    </w:p>
    <w:p w14:paraId="53D1EA0D" w14:textId="77777777" w:rsidR="008D479B" w:rsidRDefault="008D479B" w:rsidP="008D479B">
      <w:pPr>
        <w:pStyle w:val="TextoNormal"/>
      </w:pPr>
    </w:p>
    <w:p w14:paraId="470FA1FE" w14:textId="77777777" w:rsidR="008D479B" w:rsidRDefault="008D479B" w:rsidP="008D479B">
      <w:pPr>
        <w:pStyle w:val="TextoNormal"/>
      </w:pPr>
      <w:r>
        <w:t>c) Se argumenta que la actividad de publicidad y promoción precisa de un más estrecho control en aras de la protección de los intereses que la norma ampara:</w:t>
      </w:r>
    </w:p>
    <w:p w14:paraId="7E7D2011" w14:textId="77777777" w:rsidR="008D479B" w:rsidRDefault="008D479B" w:rsidP="008D479B">
      <w:pPr>
        <w:pStyle w:val="TextoNormal"/>
      </w:pPr>
    </w:p>
    <w:p w14:paraId="60275D3F" w14:textId="77777777" w:rsidR="008D479B" w:rsidRDefault="008D479B" w:rsidP="008D479B">
      <w:pPr>
        <w:pStyle w:val="TextoNormal"/>
      </w:pPr>
      <w:r>
        <w:t>(i) Como argumento complementario de lo expuesto se hace referencia a las principales cautelas respecto del efecto que la nueva situación permisiva conlleva sobre la actividad de publicidad y promoción pública del juego, pues es esta actividad la que impulsa a la práctica de unas actividades en principio no deseables.</w:t>
      </w:r>
    </w:p>
    <w:p w14:paraId="3688ED4F" w14:textId="77777777" w:rsidR="008D479B" w:rsidRDefault="008D479B" w:rsidP="008D479B">
      <w:pPr>
        <w:pStyle w:val="TextoNormal"/>
      </w:pPr>
    </w:p>
    <w:p w14:paraId="203048B1" w14:textId="77777777" w:rsidR="008D479B" w:rsidRDefault="008D479B" w:rsidP="008D479B">
      <w:pPr>
        <w:pStyle w:val="TextoNormal"/>
      </w:pPr>
      <w:r>
        <w:t xml:space="preserve">(ii) Tras citar la prohibición </w:t>
      </w:r>
      <w:r w:rsidRPr="008D479B">
        <w:rPr>
          <w:i/>
        </w:rPr>
        <w:t>ab origine</w:t>
      </w:r>
      <w:r>
        <w:t xml:space="preserve"> establecida en el artículo 5.3 de la Ley, se refiere el abogado del Estado al preámbulo de esta, en particular a la “ineludible tutela y protección social de los menores y de los participantes en los juegos” y ello “a través de una oferta dimensionada del juego”. Por tanto, tampoco la remisión normativa a reglamento del artículo 7.2 debe entenderse como compartimento estanco o al margen de los objetivos perseguidos por el legislador, protectora de los bienes o intereses jurídicos que la misma ley señala como prioritarios e instrumentos de limitación objetiva de la actividad misma, tanto en relación con el juego en sí como en cuanto a su difusión publicitaria y promoción.</w:t>
      </w:r>
    </w:p>
    <w:p w14:paraId="70B12147" w14:textId="77777777" w:rsidR="008D479B" w:rsidRDefault="008D479B" w:rsidP="008D479B">
      <w:pPr>
        <w:pStyle w:val="TextoNormal"/>
      </w:pPr>
    </w:p>
    <w:p w14:paraId="1E046069" w14:textId="77777777" w:rsidR="008D479B" w:rsidRDefault="008D479B" w:rsidP="008D479B">
      <w:pPr>
        <w:pStyle w:val="TextoNormal"/>
      </w:pPr>
      <w:r>
        <w:t>(iii) De ello es exponente el artículo 8 de la propia ley, que enumera una serie de principios a modo de principios rectores que fundamentarían las medidas normativas específicas de limitación que la eventual regulación reglamentaria de desarrollo pudiera incluir, medidas de limitación reglamentaria basadas en aquellos principios y conforme a las cuales las autoridades competentes pudieran basarse a la hora de expedir los títulos habilitantes de autorización de la actividad publicitaria.</w:t>
      </w:r>
    </w:p>
    <w:p w14:paraId="19A1342B" w14:textId="77777777" w:rsidR="008D479B" w:rsidRDefault="008D479B" w:rsidP="008D479B">
      <w:pPr>
        <w:pStyle w:val="TextoNormal"/>
      </w:pPr>
    </w:p>
    <w:p w14:paraId="47560F1E" w14:textId="77777777" w:rsidR="008D479B" w:rsidRDefault="008D479B" w:rsidP="008D479B">
      <w:pPr>
        <w:pStyle w:val="TextoNormal"/>
      </w:pPr>
      <w:r>
        <w:t>(iv) Una interpretación cabal del alcance de la libertad de empresa debe hacerse teniendo en cuenta el específico sector económico sobre el que se proyecta y no mediante un enfoque abstracto. La adopción de esta perspectiva evidencia que el sector del juego es un ámbito en el que la regulación y la presencia de otros derechos e intereses (entre los que destaca la protección de consumidores y usuarios, de los menores de edad y la prevención de las conductas adictivas) ostentan una clara preeminencia frente a la libertad de empresa.</w:t>
      </w:r>
    </w:p>
    <w:p w14:paraId="3EFFF0C8" w14:textId="77777777" w:rsidR="008D479B" w:rsidRDefault="008D479B" w:rsidP="008D479B">
      <w:pPr>
        <w:pStyle w:val="TextoNormal"/>
      </w:pPr>
    </w:p>
    <w:p w14:paraId="40B80350" w14:textId="77777777" w:rsidR="008D479B" w:rsidRDefault="008D479B" w:rsidP="008D479B">
      <w:pPr>
        <w:pStyle w:val="TextoNormal"/>
      </w:pPr>
      <w:r>
        <w:t>(v) De lo anterior se deriva la conclusión de que si la publicidad es una manifestación del ejercicio de la libertad de empresa (sentencia de la Sala de lo Civil del Tribunal Supremo 860/2019, de 15 de enero), también a esa manifestación le ha de ser aplicable el criterio expresado por el Tribunal Supremo a la hora de interpretar la libertad de empresa en su aplicación al sector del juego, esto es, las interpretaciones tuitivas que se derivan del artículo 51 CE, en directa conexión en este caso con los artículos 39 y 43 CE. Se cita en este punto la STC 14/1992, de 10 de febrero, en lo relativo al artículo 51 CE y a la protección de consumidores y usuarios. Estas prevenciones conforman una base inicial para una ulterior y complementaria regulación reglamentaria condicionante, con mayor o menor restricción, de la actividad publicitaria, pues ofrecen la suficiente base legal para la aprobación de la norma reglamentaria delegada por el artículo 7.2 de la Ley de regulación del juego para que las autoridades competentes, en orden a la expedición de los títulos habilitantes, puedan establecer en estos últimos las limitaciones según el caso, sobre la base siempre de lo que la regulación reglamentaria pudiera haber establecido, a su vez, en el marco de lo prescrito por el artículo 8 de la misma ley.</w:t>
      </w:r>
    </w:p>
    <w:p w14:paraId="0BF519B9" w14:textId="77777777" w:rsidR="008D479B" w:rsidRDefault="008D479B" w:rsidP="008D479B">
      <w:pPr>
        <w:pStyle w:val="TextoNormal"/>
      </w:pPr>
    </w:p>
    <w:p w14:paraId="3588A29D" w14:textId="77777777" w:rsidR="008D479B" w:rsidRDefault="008D479B" w:rsidP="008D479B">
      <w:pPr>
        <w:pStyle w:val="TextoNormal"/>
      </w:pPr>
      <w:r>
        <w:t>(vi) En definitiva, no concurre en la habilitación reglamentaria del artículo 7.2 una pretendida inadecuación constitucional de la Ley 13/2011 por lo que se refiere a los artículos 53.1 y 38 CE. Se entiende por la abogacía del Estado, en consecuencia, que aquel precepto legal debería reputarse respetuoso con la Constitución.</w:t>
      </w:r>
    </w:p>
    <w:p w14:paraId="22D9FCCF" w14:textId="77777777" w:rsidR="008D479B" w:rsidRDefault="008D479B" w:rsidP="008D479B">
      <w:pPr>
        <w:pStyle w:val="TextoNormal"/>
      </w:pPr>
    </w:p>
    <w:p w14:paraId="17CDB967" w14:textId="4A0995CF" w:rsidR="008D479B" w:rsidRDefault="008D479B" w:rsidP="008D479B">
      <w:pPr>
        <w:pStyle w:val="TextoNormal"/>
      </w:pPr>
      <w:r>
        <w:t>Se concluyó con la súplica de que se dictara sentencia por la que se desestimara la cuestión de inconstitucionalidad.</w:t>
      </w:r>
    </w:p>
    <w:p w14:paraId="5D6E47FE" w14:textId="77777777" w:rsidR="008D479B" w:rsidRDefault="008D479B" w:rsidP="008D479B">
      <w:pPr>
        <w:pStyle w:val="TextoNormal"/>
      </w:pPr>
    </w:p>
    <w:p w14:paraId="2FF187AD" w14:textId="77777777" w:rsidR="008D479B" w:rsidRDefault="008D479B" w:rsidP="008D479B">
      <w:pPr>
        <w:pStyle w:val="TextoNormal"/>
      </w:pPr>
      <w:r w:rsidRPr="008D479B">
        <w:rPr>
          <w:rStyle w:val="NumeroAFNegritaCaracter"/>
        </w:rPr>
        <w:t>8</w:t>
      </w:r>
      <w:r>
        <w:t>. Mediante escrito de 28 de noviembre de 2022, con entrada en el Tribunal el inmediato día siguiente, presentó sus alegaciones el fiscal general del Estado. Fueron, en síntesis, las siguientes.</w:t>
      </w:r>
    </w:p>
    <w:p w14:paraId="63EA0CE8" w14:textId="77777777" w:rsidR="008D479B" w:rsidRDefault="008D479B" w:rsidP="008D479B">
      <w:pPr>
        <w:pStyle w:val="TextoNormal"/>
      </w:pPr>
    </w:p>
    <w:p w14:paraId="51BE2149" w14:textId="77777777" w:rsidR="008D479B" w:rsidRDefault="008D479B" w:rsidP="008D479B">
      <w:pPr>
        <w:pStyle w:val="TextoNormal"/>
      </w:pPr>
      <w:r>
        <w:t>A) Tras exponer los antecedentes del caso, se constata que el planteamiento de la cuestión cumple las condiciones y requisitos de carácter procesal para su viabilidad.</w:t>
      </w:r>
    </w:p>
    <w:p w14:paraId="25EFCB24" w14:textId="77777777" w:rsidR="008D479B" w:rsidRDefault="008D479B" w:rsidP="008D479B">
      <w:pPr>
        <w:pStyle w:val="TextoNormal"/>
      </w:pPr>
    </w:p>
    <w:p w14:paraId="686FC87D" w14:textId="77777777" w:rsidR="008D479B" w:rsidRDefault="008D479B" w:rsidP="008D479B">
      <w:pPr>
        <w:pStyle w:val="TextoNormal"/>
      </w:pPr>
      <w:r>
        <w:t>B) Ya en cuanto al fondo se exponen las siguientes consideraciones iniciales.</w:t>
      </w:r>
    </w:p>
    <w:p w14:paraId="6555C3B2" w14:textId="77777777" w:rsidR="008D479B" w:rsidRDefault="008D479B" w:rsidP="008D479B">
      <w:pPr>
        <w:pStyle w:val="TextoNormal"/>
      </w:pPr>
    </w:p>
    <w:p w14:paraId="51A29A89" w14:textId="77777777" w:rsidR="008D479B" w:rsidRDefault="008D479B" w:rsidP="008D479B">
      <w:pPr>
        <w:pStyle w:val="TextoNormal"/>
      </w:pPr>
      <w:r>
        <w:t>a) El principio de reserva de ley (art. 53.1 CE) abarca también la regulación de la libertad de empresa (art. 38 CE).</w:t>
      </w:r>
    </w:p>
    <w:p w14:paraId="783A947C" w14:textId="77777777" w:rsidR="008D479B" w:rsidRDefault="008D479B" w:rsidP="008D479B">
      <w:pPr>
        <w:pStyle w:val="TextoNormal"/>
      </w:pPr>
    </w:p>
    <w:p w14:paraId="6010D909" w14:textId="77777777" w:rsidR="008D479B" w:rsidRDefault="008D479B" w:rsidP="008D479B">
      <w:pPr>
        <w:pStyle w:val="TextoNormal"/>
      </w:pPr>
      <w:r>
        <w:t>b) La publicidad de los productos o servicios que se corresponden con una actividad empresarial debe estimarse que es una facultad inherente a la libertad de empresa que, en este caso, estaría referida al desarrollo de la actividad empresarial del juego.</w:t>
      </w:r>
    </w:p>
    <w:p w14:paraId="5245E8CC" w14:textId="77777777" w:rsidR="008D479B" w:rsidRDefault="008D479B" w:rsidP="008D479B">
      <w:pPr>
        <w:pStyle w:val="TextoNormal"/>
      </w:pPr>
    </w:p>
    <w:p w14:paraId="384F3690" w14:textId="77777777" w:rsidR="008D479B" w:rsidRDefault="008D479B" w:rsidP="008D479B">
      <w:pPr>
        <w:pStyle w:val="TextoNormal"/>
      </w:pPr>
      <w:r>
        <w:t>c) De la doctrina constitucional sobre la reserva de ley establecida en el artículo 53.1 CE menciona el fiscal general del Estado los extremos siguientes:</w:t>
      </w:r>
    </w:p>
    <w:p w14:paraId="0B5D23D9" w14:textId="77777777" w:rsidR="008D479B" w:rsidRDefault="008D479B" w:rsidP="008D479B">
      <w:pPr>
        <w:pStyle w:val="TextoNormal"/>
      </w:pPr>
    </w:p>
    <w:p w14:paraId="1F50A418" w14:textId="77777777" w:rsidR="008D479B" w:rsidRDefault="008D479B" w:rsidP="008D479B">
      <w:pPr>
        <w:pStyle w:val="TextoNormal"/>
      </w:pPr>
      <w:r>
        <w:t>(i) Se trata de una garantía esencial del Estado de Derecho que responde a la necesidad de asegurar que la regulación de los ámbitos de libertad de los ciudadanos dependa, exclusivamente, de la voluntad de sus legítimos representantes, suponiendo que toda injerencia estatal en el ámbito de los derechos fundamentales que limite o condicione su ejercicio precisa una habilitación legal, cumpliendo la reserva la doble función de garantizar que los derechos constitucionales no se vean afectados sin autorización de sus representantes y, dado el exclusivo sometimiento de jueces y magistrados al imperio de la ley, garantizar la seguridad jurídica en el ámbito de los derechos y libertades públicas.</w:t>
      </w:r>
    </w:p>
    <w:p w14:paraId="580B600F" w14:textId="77777777" w:rsidR="008D479B" w:rsidRDefault="008D479B" w:rsidP="008D479B">
      <w:pPr>
        <w:pStyle w:val="TextoNormal"/>
      </w:pPr>
    </w:p>
    <w:p w14:paraId="283F1DE2" w14:textId="77777777" w:rsidR="008D479B" w:rsidRDefault="008D479B" w:rsidP="008D479B">
      <w:pPr>
        <w:pStyle w:val="TextoNormal"/>
      </w:pPr>
      <w:r>
        <w:t>(ii) El principio de reserva de ley del artículo 53.1 CE no excluye la posibilidad de una colaboración normativa del reglamento, siempre que tenga un carácter secundario y auxiliar de la regulación legal del ejercicio de los derechos y libertades de los ciudadanos, sin que en ningún caso la remisión a reglamento pueda posibilitar una regulación independiente y no supeditada a la legal.</w:t>
      </w:r>
    </w:p>
    <w:p w14:paraId="3A596820" w14:textId="77777777" w:rsidR="008D479B" w:rsidRDefault="008D479B" w:rsidP="008D479B">
      <w:pPr>
        <w:pStyle w:val="TextoNormal"/>
      </w:pPr>
    </w:p>
    <w:p w14:paraId="7A75EF16" w14:textId="77777777" w:rsidR="008D479B" w:rsidRDefault="008D479B" w:rsidP="008D479B">
      <w:pPr>
        <w:pStyle w:val="TextoNormal"/>
      </w:pPr>
      <w:r>
        <w:t>C) Trasladando esa doctrina constitucional a la habilitación reglamentaria que establece el artículo 7.2 de la Ley 13/2011 se pone de manifiesto lo siguiente.</w:t>
      </w:r>
    </w:p>
    <w:p w14:paraId="6476115B" w14:textId="77777777" w:rsidR="008D479B" w:rsidRDefault="008D479B" w:rsidP="008D479B">
      <w:pPr>
        <w:pStyle w:val="TextoNormal"/>
      </w:pPr>
    </w:p>
    <w:p w14:paraId="00FBD130" w14:textId="77777777" w:rsidR="008D479B" w:rsidRDefault="008D479B" w:rsidP="008D479B">
      <w:pPr>
        <w:pStyle w:val="TextoNormal"/>
      </w:pPr>
      <w:r>
        <w:t>a) Existe una importante interacción entre lo que establece el apartado 2 del artículo 7 y lo dispuesto en el apartado 1 del mismo artículo, lo que es relevante para apreciar si estamos ante una infracción del principio constitucional de reserva de ley. El párrafo primero del artículo 7.1 dispone que “[d]e conformidad con la Ley 34/1988, de 11 de noviembre, general de publicidad, queda prohibida la publicidad, patrocinio o promoción, bajo cualquier forma, de los juegos de suerte, envite o azar y la publicidad o promoción de los operadores de juego, cuando se carezca de la correspondiente autorización para la realización de publicidad contenida en el título habilitante”. La confusa o abstrusa redacción de este párrafo es susceptible de generar una cierta duda en orden a determinar si lo que la norma legal viene a establecer es una prohibición de la publicidad en el desarrollo de las actividades de juego, para posteriormente, en el apartado 2, habilitar al reglamento para poder excepcionar la prohibición legal general bajo ciertas condiciones, en cuyo caso no cabría hablar de vulneración de reserva legal (con independencia de la propia validez constitucional de la prohibición establecida en la ley), sino que deberíamos plantearnos una cuestión de jerarquía normativa. No es ese, sin embargo, el sentido que debe darse a lo dispuesto en el apartado 1, en relación con el 2, del artículo 7, pues lo que materialmente se establece en el primero, a través de una regulación en negativo de la actividad de publicidad de los operadores de juego, es que están facultados para realizar la actividad de publicidad cuando se autorice la misma en el respectivo título habilitante y partiendo de ello lo que se dispone en el apartado 2 es la remisión a reglamento para regular el ejercicio de la actividad de publicidad autorizada, estableciendo por reglamento no solo las condiciones, sino también los límites de dicho ejercicio. Este entendimiento del precepto es el que resulta también de la Ley general de publicidad (a la que remite el artículo 7.1), que no establece una prohibición absoluta de la publicidad en las actividades de juego, sino que dispone que su publicidad puede regularse por sus normas especiales o estar sometida a un régimen de autorización previa (art. 5.1).</w:t>
      </w:r>
    </w:p>
    <w:p w14:paraId="00FB6A11" w14:textId="77777777" w:rsidR="008D479B" w:rsidRDefault="008D479B" w:rsidP="008D479B">
      <w:pPr>
        <w:pStyle w:val="TextoNormal"/>
      </w:pPr>
    </w:p>
    <w:p w14:paraId="5228BAFF" w14:textId="77777777" w:rsidR="008D479B" w:rsidRDefault="008D479B" w:rsidP="008D479B">
      <w:pPr>
        <w:pStyle w:val="TextoNormal"/>
      </w:pPr>
      <w:r>
        <w:t>b) Establecido que el régimen legal de la publicidad en el juego no es de prohibición general, sino de autorización administrativa previa a los operadores de dichas actividades, se ha de examinar la habilitación reglamentaria que establece el artículo 7.1. Este precepto realiza una remisión a la norma reglamentaria de carácter genérico e incondicionado, sin establecer los criterios o parámetros a los que ha de sujetarse el reglamento para establecer las condiciones y límites de ejercicio de la actividad de publicidad, sin otra delimitación que la de referirse a las distintas vías o espacios a través de los cuales puede desarrollarse esa actividad. Estamos, pues, ante una remisión que no responde a una habilitación para una regulación reglamentaria auxiliar o secundaria, supeditada a la establecida en la norma legal sobre el ejercicio del derecho fundamental, sino ante una habilitación genérica o en blanco que debe estimarse, según doctrina constitucional, contraria al art. 53.1 CE.</w:t>
      </w:r>
    </w:p>
    <w:p w14:paraId="6B54E89C" w14:textId="77777777" w:rsidR="008D479B" w:rsidRDefault="008D479B" w:rsidP="008D479B">
      <w:pPr>
        <w:pStyle w:val="TextoNormal"/>
      </w:pPr>
    </w:p>
    <w:p w14:paraId="3593F5D4" w14:textId="77777777" w:rsidR="008D479B" w:rsidRDefault="008D479B" w:rsidP="008D479B">
      <w:pPr>
        <w:pStyle w:val="TextoNormal"/>
      </w:pPr>
      <w:r>
        <w:t xml:space="preserve">Los principios generales sobre la publicidad, promoción y patrocinio de las actividades de juego que se enuncian en el artículo 7 </w:t>
      </w:r>
      <w:r w:rsidRPr="008D479B">
        <w:rPr>
          <w:i/>
        </w:rPr>
        <w:t>bis</w:t>
      </w:r>
      <w:r>
        <w:t xml:space="preserve"> de la Ley 13/2011 se centran únicamente en el concepto de publicidad con responsabilidad social. Ni dicho principio de responsabilidad social vinculado a la publicidad, ni los fines generales a los que responde la Ley 13/2011 que se mencionan en su artículo 1 (protección del orden público, lucha contra el fraude, protección de los derechos de los menores, prevención de conductas adictivas y protección de los derechos de participantes o usuarios) permiten considerar que integran una regulación general suficiente sobre las condiciones y límites de la actividad publicitaria para poder aceptar que la remisión reglamentaria del artículo 7.2 para regular las condiciones y límites de la actividad de publicidad se hace en términos de una regulación de carácter accesorio y supeditada a la regulación legal.</w:t>
      </w:r>
    </w:p>
    <w:p w14:paraId="32987E16" w14:textId="77777777" w:rsidR="008D479B" w:rsidRDefault="008D479B" w:rsidP="008D479B">
      <w:pPr>
        <w:pStyle w:val="TextoNormal"/>
      </w:pPr>
    </w:p>
    <w:p w14:paraId="2122EC42" w14:textId="77777777" w:rsidR="008D479B" w:rsidRDefault="008D479B" w:rsidP="008D479B">
      <w:pPr>
        <w:pStyle w:val="TextoNormal"/>
      </w:pPr>
      <w:r>
        <w:t xml:space="preserve">Tras hacer referencia las alegaciones a la doctrina constitucional sobre el contenido de la libertad de empresa (art. 38 CE) y acerca de la sujeción de sus límites o condiciones a la reserva de ley y al respeto de su contenido esencial, se concluye en este punto con la apreciación de que el precepto legal cuestionado infringe claramente la garantía de reserva legal para regular las condiciones y limitaciones del ejercicio de la libertad de empresa en la vertiente de la actividad de publicidad o promoción, inherente al desarrollo de la actividad empresarial relacionada con el juego. Más allá —se añade— de establecerse en el artículo 7 </w:t>
      </w:r>
      <w:r w:rsidRPr="008D479B">
        <w:rPr>
          <w:i/>
        </w:rPr>
        <w:t>bis</w:t>
      </w:r>
      <w:r>
        <w:t xml:space="preserve"> de la Ley 13/2011 la responsabilidad social como principio general aplicable a las comunicaciones comerciales de los operadores de juego (enunciando los supuestos en los que cabe estimar que no hay comunicación con responsabilidad social), la ley no regula las condiciones a las que deberán sujetarse las actividades de comunicación comercial, ni tampoco sus límites, estableciendo únicamente el artículo 7.2 una remisión genérica e incondicionada a la norma reglamentaria para regular las condiciones y límites de la actividad de publicidad autorizada a los operadores. La total delegación que se hace por el legislador en materia de reserva legal supone una deslegalización de la materia, con clara infracción del artículo 53.1 CE.</w:t>
      </w:r>
    </w:p>
    <w:p w14:paraId="2DDA3583" w14:textId="77777777" w:rsidR="008D479B" w:rsidRDefault="008D479B" w:rsidP="008D479B">
      <w:pPr>
        <w:pStyle w:val="TextoNormal"/>
      </w:pPr>
    </w:p>
    <w:p w14:paraId="043DF786" w14:textId="77777777" w:rsidR="008D479B" w:rsidRDefault="008D479B" w:rsidP="008D479B">
      <w:pPr>
        <w:pStyle w:val="TextoNormal"/>
      </w:pPr>
      <w:r>
        <w:t>c) En el proceso de origen la recurrente planteó la posibilidad de que el artículo 7.2 admitiera una interpretación conforme a la Constitución y al principio de reserva legal si se considerara que la remisión reglamentaria se limitaba a una regulación de carácter procedimental, interpretación que obligaría a considerar nulos todos los preceptos del Real Decreto 958/2020 dictados en aplicación del cuestionado artículo 7.2 que establecen una regulación sustantiva de las condiciones de la actividad de publicidad. El fiscal general del Estado coincide con el criterio de la Sala que plantea esta cuestión de inconstitucionalidad en que esa posible interpretación conforme debe ser descartada, dada la propia literalidad del precepto y de los términos en los que se establece la remisión. Solo una plena reconstrucción del artículo 7.2 permitiría considerar que la remisión al reglamento está limitada a una regulación de carácter procedimental de las condiciones de la actividad publicitaria. El carácter abierto y pleno de la habilitación se desprende, asimismo, de las disposiciones del Real Decreto 958/2020, en cuyo preámbulo se afirma que se dicta en desarrollo de los artículos 4, 7 y 8 de la Ley 13/2011 y cuyo artículo 1 a) se refiere al desarrollo de la Ley 13/2011 en lo relativo a “[l]as condiciones bajo las cuales las entidades que ostenten títulos habilitantes para desarrollar actividades de juego incluidas en el ámbito de aplicación de la Ley 13/2011, de 27 de mayo, pueden desarrollar actividades de publicidad, patrocinio, promoción o cualquier otra forma de comunicación comercial de su actividad”. En el título I del propio real decreto, tras establecerse el régimen de autorización y principios generales de las comunicaciones comerciales en el juego, se contienen las disposiciones específicas relativas a la regulación de las comunicaciones comerciales de las actividades del juego en aplicación del desarrollo reglamentario que prevé el artículo 7.2, estableciéndose, en particular, en los artículos 12 a 27 una regulación sustantiva de las condiciones y limitaciones a las que deberán sujetarse los operadores de juego autorizados para realizar la actividad de publicidad o comunicación comercial, siendo la regulación establecida por algunas de estas disposiciones bastante restrictiva con relación a la facultad de publicidad de la actividad empresarial del juego. Se debe descartar, en conclusión, que el artículo 7.2 permita una interpretación conforme al principio de reserva legal en relación con la regulación de la libertad de empresa (arts. 53.1 y 38 CE).</w:t>
      </w:r>
    </w:p>
    <w:p w14:paraId="2E999F21" w14:textId="77777777" w:rsidR="008D479B" w:rsidRDefault="008D479B" w:rsidP="008D479B">
      <w:pPr>
        <w:pStyle w:val="TextoNormal"/>
      </w:pPr>
    </w:p>
    <w:p w14:paraId="4BC85A23" w14:textId="35FA15DF" w:rsidR="008D479B" w:rsidRDefault="008D479B" w:rsidP="008D479B">
      <w:pPr>
        <w:pStyle w:val="TextoNormal"/>
      </w:pPr>
      <w:r>
        <w:t>Se concluyó con la solicitud de que se dictara sentencia en la que se declare la inconstitucionalidad del precepto cuestionado.</w:t>
      </w:r>
    </w:p>
    <w:p w14:paraId="04B96759" w14:textId="77777777" w:rsidR="008D479B" w:rsidRDefault="008D479B" w:rsidP="008D479B">
      <w:pPr>
        <w:pStyle w:val="TextoNormal"/>
      </w:pPr>
    </w:p>
    <w:p w14:paraId="50B85B41" w14:textId="77777777" w:rsidR="008D479B" w:rsidRDefault="008D479B" w:rsidP="008D479B">
      <w:pPr>
        <w:pStyle w:val="TextoNormal"/>
      </w:pPr>
      <w:r w:rsidRPr="008D479B">
        <w:rPr>
          <w:rStyle w:val="NumeroAFNegritaCaracter"/>
        </w:rPr>
        <w:t>9</w:t>
      </w:r>
      <w:r>
        <w:t>. Mediante escrito de 1 de diciembre de 2022, registrado en el Tribunal el mismo día, presentó alegaciones la representación de la Asociación Española de Juego Digital. Pueden resumirse como sigue.</w:t>
      </w:r>
    </w:p>
    <w:p w14:paraId="30EA3C70" w14:textId="77777777" w:rsidR="008D479B" w:rsidRDefault="008D479B" w:rsidP="008D479B">
      <w:pPr>
        <w:pStyle w:val="TextoNormal"/>
      </w:pPr>
    </w:p>
    <w:p w14:paraId="1BB9C65C" w14:textId="77777777" w:rsidR="008D479B" w:rsidRDefault="008D479B" w:rsidP="008D479B">
      <w:pPr>
        <w:pStyle w:val="TextoNormal"/>
      </w:pPr>
      <w:r>
        <w:t>A) Tras señalar que la declaración de inconstitucionalidad del cuestionado artículo 7.2 arrastraría la nulidad del Real Decreto 958/2020, impugnado en el procedimiento contencioso-administrativo, expresa esta representación su conformidad tanto con la conclusión de inconstitucionalidad como con la argumentación del auto por el que se promovió la cuestión, que acoge, en lo sustancial, el planteamiento formulado por la propia recurrente en su demanda.</w:t>
      </w:r>
    </w:p>
    <w:p w14:paraId="09F2D7B4" w14:textId="77777777" w:rsidR="008D479B" w:rsidRDefault="008D479B" w:rsidP="008D479B">
      <w:pPr>
        <w:pStyle w:val="TextoNormal"/>
      </w:pPr>
    </w:p>
    <w:p w14:paraId="5C2F50B5" w14:textId="77777777" w:rsidR="008D479B" w:rsidRDefault="008D479B" w:rsidP="008D479B">
      <w:pPr>
        <w:pStyle w:val="TextoNormal"/>
      </w:pPr>
      <w:r>
        <w:t>B) Se realizan al respecto, con cita de la jurisprudencia constitucional, las siguientes consideraciones.</w:t>
      </w:r>
    </w:p>
    <w:p w14:paraId="6B444ACE" w14:textId="77777777" w:rsidR="008D479B" w:rsidRDefault="008D479B" w:rsidP="008D479B">
      <w:pPr>
        <w:pStyle w:val="TextoNormal"/>
      </w:pPr>
    </w:p>
    <w:p w14:paraId="5161B2C4" w14:textId="77777777" w:rsidR="008D479B" w:rsidRDefault="008D479B" w:rsidP="008D479B">
      <w:pPr>
        <w:pStyle w:val="TextoNormal"/>
      </w:pPr>
      <w:r>
        <w:t>a) Según jurisprudencia del Tribunal Supremo que se cita, la publicidad es parte del núcleo definitorio de la libertad de empresa e incluso cabe sostener que enlaza con el derecho fundamental a la libertad de información. La misma conclusión se alcanza a partir de la jurisprudencia del Tribunal Europeo de Derechos Humanos y del Tribunal de Justicia de la Unión Europea.</w:t>
      </w:r>
    </w:p>
    <w:p w14:paraId="14AEAF81" w14:textId="77777777" w:rsidR="008D479B" w:rsidRDefault="008D479B" w:rsidP="008D479B">
      <w:pPr>
        <w:pStyle w:val="TextoNormal"/>
      </w:pPr>
    </w:p>
    <w:p w14:paraId="4934D79B" w14:textId="77777777" w:rsidR="008D479B" w:rsidRDefault="008D479B" w:rsidP="008D479B">
      <w:pPr>
        <w:pStyle w:val="TextoNormal"/>
      </w:pPr>
      <w:r>
        <w:t>b) Tanto desde la perspectiva del principio general de libertad como a partir del artículo 53.1, en relación con el artículo 38, ambos de la Constitución, la publicidad de las actividades comerciales (incluida la del juego) está sometida a reserva de ley, conforme a la jurisprudencia constitucional.</w:t>
      </w:r>
    </w:p>
    <w:p w14:paraId="397D098B" w14:textId="77777777" w:rsidR="008D479B" w:rsidRDefault="008D479B" w:rsidP="008D479B">
      <w:pPr>
        <w:pStyle w:val="TextoNormal"/>
      </w:pPr>
    </w:p>
    <w:p w14:paraId="642DA5D4" w14:textId="77777777" w:rsidR="008D479B" w:rsidRDefault="008D479B" w:rsidP="008D479B">
      <w:pPr>
        <w:pStyle w:val="TextoNormal"/>
      </w:pPr>
      <w:r>
        <w:t>c) La reserva de ley no juega un mero papel de reparto de la competencia normativa entre el poder legislativo y el ejecutivo. Se concibe como una garantía esencial del Estado de Derecho que implica que los ciudadanos pueden tener la confianza en que las materias sometidas a aquella reserva solo sean reguladas por ley, sin que quepan regulaciones meramente deslegalizadoras a favor del poder ejecutivo.</w:t>
      </w:r>
    </w:p>
    <w:p w14:paraId="0FE051D6" w14:textId="77777777" w:rsidR="008D479B" w:rsidRDefault="008D479B" w:rsidP="008D479B">
      <w:pPr>
        <w:pStyle w:val="TextoNormal"/>
      </w:pPr>
    </w:p>
    <w:p w14:paraId="5F567809" w14:textId="77777777" w:rsidR="008D479B" w:rsidRDefault="008D479B" w:rsidP="008D479B">
      <w:pPr>
        <w:pStyle w:val="TextoNormal"/>
      </w:pPr>
      <w:r>
        <w:t>d) La configuración constitucional de la reserva de ley exige que la intervención reglamentaria se limite a aspectos auxiliares y complementarios, sin que sea admisible una regulación independiente y no claramente subordinada a la ley.</w:t>
      </w:r>
    </w:p>
    <w:p w14:paraId="467289E2" w14:textId="77777777" w:rsidR="008D479B" w:rsidRDefault="008D479B" w:rsidP="008D479B">
      <w:pPr>
        <w:pStyle w:val="TextoNormal"/>
      </w:pPr>
    </w:p>
    <w:p w14:paraId="0B8C0617" w14:textId="77777777" w:rsidR="008D479B" w:rsidRDefault="008D479B" w:rsidP="008D479B">
      <w:pPr>
        <w:pStyle w:val="TextoNormal"/>
      </w:pPr>
      <w:r>
        <w:t>e) Se comparte, por último, la conclusión alcanzada por el Tribunal Supremo apropósito de que dicha ley no contiene una regulación mínimamente precisa (de hecho, no la contiene en absoluto) de los aspectos materiales o intrínsecos de la publicidad del juego. Excluida la propia necesidad del título habilitante y la posibilidad de requerir el cese de la actividad cuando no se cuente con él, el artículo 7.2 remite el régimen jurídico de la autorización a un reglamento en el que “se establecerán las condiciones que se incluirán en los respectivos títulos habilitantes de la actividad publicitaria y sus límites”, señalando los ámbitos materiales a los que debe referirse esa regulación, pero en el bien entendido de que se trata de una referencia abierta e indeterminada, como resulta de la acotación inicial que se hace en el párrafo segundo en cuanto a que los ámbitos indicados se aluden “en particular” y que el cierre de los aspectos a regular se lleva a cabo con la referencia a “cualesquiera que se establezcan reglamentariamente”. Con semejante regulación, y más allá de las referencias absolutamente generales que se contienen en la Ley (relativas a la protección de bienes jurídicos mencionados en el artículo 1, que no se discuten) o de unos límites comunes (no solo referidos a la publicidad), pero de contenido específico (no llevar a cabo publicidad ofensiva o sobre eventos prohibidos o incorporar a la publicidad información sobre buenas prácticas o los efectos de una práctica inadecuada: arts. 6 y 8), la Ley no proporciona criterio alguno con arreglo al cual debe producirse el desarrollo reglamentario de la publicidad ni las pautas para que el reglamento pueda condicionarla o limitarla, ni indicación o criterio alguno sobre lo que cabe considerar proporcionado o no, que a la postre es lo que ha de quedar cubierto por la reserva de ley. Todo ello lleva a compartir la conclusión alcanzada por el auto de planteamiento.</w:t>
      </w:r>
    </w:p>
    <w:p w14:paraId="3F5481A9" w14:textId="77777777" w:rsidR="008D479B" w:rsidRDefault="008D479B" w:rsidP="008D479B">
      <w:pPr>
        <w:pStyle w:val="TextoNormal"/>
      </w:pPr>
    </w:p>
    <w:p w14:paraId="417150EA" w14:textId="7AD2E8A0" w:rsidR="008D479B" w:rsidRDefault="008D479B" w:rsidP="008D479B">
      <w:pPr>
        <w:pStyle w:val="TextoNormal"/>
      </w:pPr>
      <w:r>
        <w:t>Se concluyó suplicando que se dictara sentencia que declarase la inconstitucionalidad del artículo 7.2, por contrario a los artículos 38 y 53.1 CE.</w:t>
      </w:r>
    </w:p>
    <w:p w14:paraId="2F11BE75" w14:textId="77777777" w:rsidR="008D479B" w:rsidRDefault="008D479B" w:rsidP="008D479B">
      <w:pPr>
        <w:pStyle w:val="TextoNormal"/>
      </w:pPr>
    </w:p>
    <w:p w14:paraId="6229EA89" w14:textId="77777777" w:rsidR="008D479B" w:rsidRDefault="008D479B" w:rsidP="008D479B">
      <w:pPr>
        <w:pStyle w:val="TextoNormal"/>
      </w:pPr>
      <w:r w:rsidRPr="008D479B">
        <w:rPr>
          <w:rStyle w:val="NumeroAFNegritaCaracter"/>
        </w:rPr>
        <w:t>10</w:t>
      </w:r>
      <w:r>
        <w:t>. Mediante escrito de 2 de diciembre de 2022, con entrada en el Tribunal el mismo día, presentó alegaciones la representación de la Organización Nacional de Ciegos Españoles en los términos que a continuación se resumen.</w:t>
      </w:r>
    </w:p>
    <w:p w14:paraId="05580938" w14:textId="77777777" w:rsidR="008D479B" w:rsidRDefault="008D479B" w:rsidP="008D479B">
      <w:pPr>
        <w:pStyle w:val="TextoNormal"/>
      </w:pPr>
    </w:p>
    <w:p w14:paraId="74E44F9C" w14:textId="77777777" w:rsidR="008D479B" w:rsidRDefault="008D479B" w:rsidP="008D479B">
      <w:pPr>
        <w:pStyle w:val="TextoNormal"/>
      </w:pPr>
      <w:r>
        <w:t>A) Tras referirse al contexto en el que se ha planteado la cuestión de constitucionalidad, manifiesta esta representación que la redacción del artículo 7.2 respeta las exigencias del principio de reserva de ley (art. 53.1, en relación con el artículo 38, ambos de la Constitución), por lo que la cuestión ha de ser desestimada.</w:t>
      </w:r>
    </w:p>
    <w:p w14:paraId="2057B6DF" w14:textId="77777777" w:rsidR="008D479B" w:rsidRDefault="008D479B" w:rsidP="008D479B">
      <w:pPr>
        <w:pStyle w:val="TextoNormal"/>
      </w:pPr>
    </w:p>
    <w:p w14:paraId="45848294" w14:textId="77777777" w:rsidR="008D479B" w:rsidRDefault="008D479B" w:rsidP="008D479B">
      <w:pPr>
        <w:pStyle w:val="TextoNormal"/>
      </w:pPr>
      <w:r>
        <w:t>B) Se expone al respecto lo siguiente.</w:t>
      </w:r>
    </w:p>
    <w:p w14:paraId="12A09553" w14:textId="77777777" w:rsidR="008D479B" w:rsidRDefault="008D479B" w:rsidP="008D479B">
      <w:pPr>
        <w:pStyle w:val="TextoNormal"/>
      </w:pPr>
    </w:p>
    <w:p w14:paraId="37023F48" w14:textId="77777777" w:rsidR="008D479B" w:rsidRDefault="008D479B" w:rsidP="008D479B">
      <w:pPr>
        <w:pStyle w:val="TextoNormal"/>
      </w:pPr>
      <w:r>
        <w:t>a) Previa cita de la jurisprudencia constitucional que se estima relevante, se sostiene que, en el caso de la regulación que nos ocupa, no es posible ni conveniente que la ley establezca todos los requisitos y condiciones (muchos de ellos de carácter técnico) bajo los que se puede llevar a cabo la actividad publicitaria del juego, de tal manera que lo procedente es que se establezcan, como en el artículo 7.2 y concordantes, los criterios sobre el objeto y alcance de la regulación reglamentaria, que se inserta, en cualquier caso, dentro del objetivo general de la Ley 13/2011.</w:t>
      </w:r>
    </w:p>
    <w:p w14:paraId="4CFD106F" w14:textId="77777777" w:rsidR="008D479B" w:rsidRDefault="008D479B" w:rsidP="008D479B">
      <w:pPr>
        <w:pStyle w:val="TextoNormal"/>
      </w:pPr>
    </w:p>
    <w:p w14:paraId="041CC7F4" w14:textId="77777777" w:rsidR="008D479B" w:rsidRDefault="008D479B" w:rsidP="008D479B">
      <w:pPr>
        <w:pStyle w:val="TextoNormal"/>
      </w:pPr>
      <w:r>
        <w:t>b) El artículo 7.2 acota perfectamente, conforme a lo declarado en la jurisprudencia constitucional que se invoca, el campo de regulación asignado al reglamento con arreglo a los siguientes parámetros: (i) posibilidad de realizar actividad publicitaria en materia de juego; (ii) obligación de contar con una autorización para la promoción y publicidad del juego y (iii) autorización que ha de contemplar los condicionantes y limitaciones en cuanto a las concretas manifestaciones de la actividad publicitaria que se establecen en el mismo artículo. Todo ello al objeto de conseguir la finalidad tuitiva de los intereses generales de protección de la salud y de los menores que impregna toda la norma (artículo 1 y exposición de motivos).</w:t>
      </w:r>
    </w:p>
    <w:p w14:paraId="3C227FA2" w14:textId="77777777" w:rsidR="008D479B" w:rsidRDefault="008D479B" w:rsidP="008D479B">
      <w:pPr>
        <w:pStyle w:val="TextoNormal"/>
      </w:pPr>
    </w:p>
    <w:p w14:paraId="6F0BB1AA" w14:textId="77777777" w:rsidR="008D479B" w:rsidRDefault="008D479B" w:rsidP="008D479B">
      <w:pPr>
        <w:pStyle w:val="TextoNormal"/>
      </w:pPr>
      <w:r>
        <w:t>c) Con base en la jurisprudencia constitucional citada, el artículo 7.2 cumple tanto con la vertiente formal como con la material de la reserva de ley (art. 53.1 CE). Dejando a un lado el requisito formal, cumplido sin duda, el precepto se inserta en el artículo 7 que, analizado de forma conjunta, evidencia que el marco de las autorizaciones para la realización de comunicaciones comerciales en materia de juego está delimitado conforme a las exigencias de la reserva de ley: (i) en su primer apartado, se prohíbe la actividad publicitaria salvo que se ostente la preceptiva autorización, restricción que se establece en atención a los intereses generales que pretenden protegerse y que se completa con la determinación de los medios en los que puede realizarse la publicidad; (ii) la remisión a reglamento del artículo 7.2 se refiere únicamente al objeto de las condiciones de tal autorización, indicando que afectarán al envío de comunicaciones publicitarias o promocionales (cuando se obtenga autorización del destinatario), a la inclusión de publicidad en medios de comunicación y análogos, a la actividad de patrocinio y publicidad en acontecimientos cuyos resultados sean objeto de apuestas o loterías y al desarrollo de concursos televisivos, con lo que el legislador establece con carácter de mínimos los ámbitos de actuación en los que podrá desplegarse la actividad publicitaria, remitiendo únicamente al reglamento la regulación detallada y técnica del modo en que puede hacerse publicidad en cada uno de esos medios y (iii) los apartados 3 y 4 del artículo 7 delimitan con suficiente exactitud los sujetos a los que afecta esta regulación, las obligaciones que se imponen a cada uno de ellos y las potestades de la administración competente, lo que nuevamente acota el margen del que dispone el Ejecutivo para desarrollar esta materia. En definitiva, el artículo 7.2 no realiza una deslegalización de la materia reservada ni supone una total abdicación por el legislador de su facultad para establecer reglas limitativas.</w:t>
      </w:r>
    </w:p>
    <w:p w14:paraId="0E75831F" w14:textId="77777777" w:rsidR="008D479B" w:rsidRDefault="008D479B" w:rsidP="008D479B">
      <w:pPr>
        <w:pStyle w:val="TextoNormal"/>
      </w:pPr>
    </w:p>
    <w:p w14:paraId="19400F03" w14:textId="77777777" w:rsidR="008D479B" w:rsidRDefault="008D479B" w:rsidP="008D479B">
      <w:pPr>
        <w:pStyle w:val="TextoNormal"/>
      </w:pPr>
      <w:r>
        <w:t>d) Por lo demás, el desarrollo reglamentario al que habilita el artículo 7.2 tiene suficientemente definidas las finalidades a perseguir con la regulación, que no son otras que aquellas a las que responde la propia Ley 13/2011: (i) garantizar la protección del orden público; (ii) luchar contra el fraude; (iii) prevenir las conductas adictivas; (iv) proteger los derechos de los menores y (v) salvaguardar los derechos de los participantes en el juego, todo lo cual se enuncia en el artículo 1. Tales principios rectores implican una limitación relevante y finalista de la potestad reglamentaria que también salvaguarda el principio de reserva de ley.</w:t>
      </w:r>
    </w:p>
    <w:p w14:paraId="346A44A3" w14:textId="77777777" w:rsidR="008D479B" w:rsidRDefault="008D479B" w:rsidP="008D479B">
      <w:pPr>
        <w:pStyle w:val="TextoNormal"/>
      </w:pPr>
    </w:p>
    <w:p w14:paraId="04344D7B" w14:textId="77777777" w:rsidR="008D479B" w:rsidRDefault="008D479B" w:rsidP="008D479B">
      <w:pPr>
        <w:pStyle w:val="TextoNormal"/>
      </w:pPr>
      <w:r>
        <w:t>e) Adicionalmente, en la materia de juego nos encontramos en uno de los casos en los que se cumple el requisito de que el desarrollo reglamentario resulte indispensable por motivos técnicos o para optimizar el cumplimiento de las finalidades propuestas por la Constitución o por la propia ley, teniendo en cuenta lo detallado de la regulación y la flexibilidad que demanda la regulación de la publicidad en la sociedad de la información. No puede desconocerse que el sector del juego carecía de un marco regulatorio estatal hasta la aprobación de la Ley 13/2011 y, sobre todo, que no era posible en tal momento prever con exactitud cuál sería el alcance real y práctico de las actividades de publicidad, patrocinio y promoción cuya autorización se ha desarrollado por el Real Decreto 958/2020.</w:t>
      </w:r>
    </w:p>
    <w:p w14:paraId="7143A678" w14:textId="77777777" w:rsidR="008D479B" w:rsidRDefault="008D479B" w:rsidP="008D479B">
      <w:pPr>
        <w:pStyle w:val="TextoNormal"/>
      </w:pPr>
    </w:p>
    <w:p w14:paraId="177D1855" w14:textId="77777777" w:rsidR="008D479B" w:rsidRDefault="008D479B" w:rsidP="008D479B">
      <w:pPr>
        <w:pStyle w:val="TextoNormal"/>
      </w:pPr>
      <w:r>
        <w:t>f) A todo ello se añade que en el sector económico del juego no rige el principio de libertad de empresa de forma absoluta, sino que se aprecia la presencia destacada y prevalencia de otros derechos e intereses, como es la protección de los consumidores y usuarios y los menores de edad, así como la prevención de conductas adictivas, según recoge la propia Ley 13/2011. El examen de esta cuestión de inconstitucionalidad ha de realizarse a la luz de la relevancia determinante que presentan estas limitaciones, que ya estrechan el margen normativo existente, condicionando el desarrollo reglamentario. También ha de considerarse la existencia de otras leyes sectoriales que acotan de forma específica la realización de comunicaciones comerciales en materia de juego y a las que también se remite el propio artículo 7.2, por ejemplo la Ley 7/2010, de 31 de marzo, general de la comunicación audiovisual (ahora, Ley 13/2022, de 7 de julio, general de comunicación audiovisual) o la Ley 34/2002, de 11 de julio, de servicios de la sociedad de la información y de comercio electrónico, leyes que también completan el marco normativo legal en que se encuadra el Real Decreto 958/2020 y que impiden considerar que estemos ante un ámbito de regulación deslegalizado.</w:t>
      </w:r>
    </w:p>
    <w:p w14:paraId="6DFC1BD3" w14:textId="77777777" w:rsidR="008D479B" w:rsidRDefault="008D479B" w:rsidP="008D479B">
      <w:pPr>
        <w:pStyle w:val="TextoNormal"/>
      </w:pPr>
    </w:p>
    <w:p w14:paraId="458544EE" w14:textId="7BC4508E" w:rsidR="008D479B" w:rsidRDefault="008D479B" w:rsidP="008D479B">
      <w:pPr>
        <w:pStyle w:val="TextoNormal"/>
      </w:pPr>
      <w:r>
        <w:t>Se concluyó con la súplica de que se desestimara la cuestión de inconstitucionalidad.</w:t>
      </w:r>
    </w:p>
    <w:p w14:paraId="5802C1A6" w14:textId="77777777" w:rsidR="008D479B" w:rsidRDefault="008D479B" w:rsidP="008D479B">
      <w:pPr>
        <w:pStyle w:val="TextoNormal"/>
      </w:pPr>
    </w:p>
    <w:p w14:paraId="3362941B" w14:textId="67D89C9C" w:rsidR="008D479B" w:rsidRDefault="008D479B" w:rsidP="008D479B">
      <w:pPr>
        <w:pStyle w:val="TextoNormal"/>
      </w:pPr>
      <w:r w:rsidRPr="008D479B">
        <w:rPr>
          <w:rStyle w:val="NumeroAFNegritaCaracter"/>
        </w:rPr>
        <w:t>11</w:t>
      </w:r>
      <w:r>
        <w:t>. Por providencia de 21 de noviembre de 2023 se señaló para deliberación y votación de la presente sentencia el día 22 del mismo mes y año.</w:t>
      </w:r>
    </w:p>
    <w:p w14:paraId="312F553C" w14:textId="77777777" w:rsidR="008D479B" w:rsidRDefault="008D479B" w:rsidP="008D479B">
      <w:pPr>
        <w:pStyle w:val="TextoNormal"/>
      </w:pPr>
    </w:p>
    <w:p w14:paraId="2047EE87" w14:textId="77777777" w:rsidR="008D479B" w:rsidRDefault="008D479B" w:rsidP="008D479B">
      <w:pPr>
        <w:pStyle w:val="TextoNormalNegritaCentrado"/>
        <w:keepNext/>
      </w:pPr>
      <w:r>
        <w:t>II. Fundamentos jurídicos</w:t>
      </w:r>
    </w:p>
    <w:p w14:paraId="2AE916E3" w14:textId="4B1FDC01" w:rsidR="008D479B" w:rsidRDefault="008D479B" w:rsidP="008D479B">
      <w:pPr>
        <w:pStyle w:val="TextoNormalNegritaCentrado"/>
        <w:keepNext/>
      </w:pPr>
    </w:p>
    <w:p w14:paraId="0FBB9A8C" w14:textId="77777777" w:rsidR="008D479B" w:rsidRDefault="008D479B" w:rsidP="008D479B">
      <w:pPr>
        <w:pStyle w:val="TextoNormal"/>
      </w:pPr>
      <w:r w:rsidRPr="008D479B">
        <w:rPr>
          <w:rStyle w:val="NumeroAFNegritaCaracter"/>
        </w:rPr>
        <w:t>1</w:t>
      </w:r>
      <w:r>
        <w:t xml:space="preserve">. </w:t>
      </w:r>
      <w:r w:rsidRPr="008D479B">
        <w:rPr>
          <w:i/>
        </w:rPr>
        <w:t>Objeto de la cuestión de inconstitucionalidad y alegaciones de las partes</w:t>
      </w:r>
    </w:p>
    <w:p w14:paraId="3AC84B24" w14:textId="77777777" w:rsidR="008D479B" w:rsidRDefault="008D479B" w:rsidP="008D479B">
      <w:pPr>
        <w:pStyle w:val="TextoNormal"/>
      </w:pPr>
    </w:p>
    <w:p w14:paraId="06B8AC3B" w14:textId="77777777" w:rsidR="008D479B" w:rsidRDefault="008D479B" w:rsidP="008D479B">
      <w:pPr>
        <w:pStyle w:val="TextoNormal"/>
      </w:pPr>
      <w:r>
        <w:t>A) La Sala Tercera del Tribunal Supremo plantea esta cuestión de inconstitucionalidad sobre el artículo 7.2 de la Ley 13/2011, de 27 de mayo, de regulación del juego, en un proceso contencioso-administrativo promovido en impugnación directa del Real Decreto 958/2020, de 3 de noviembre, de comunicaciones comerciales de las actividades de juego. El órgano judicial considera que el precepto legal cuestionado, por su indeterminada remisión a reglamento, incurre en una deslegalización de materia reservada a la ley, operación que resultaría contraria, en los términos que se expondrán, a los artículos 53.1 y 38 CE. En virtud de tal apoderamiento legislativo que se dice carente de límite o constricción de tipo alguno, aquel Real Decreto 958/2020 (precisamente dictado, conforme a su artículo 1, en “desarrollo” de la propia Ley 13/2011) podría haber incurrido en invalidez al ocupar un ámbito que solo la ley está llamada a regular, ello sin perjuicio, puntualiza la Sala, de la ordenación que se pudiera haber establecido por reglamento, pero siempre de manera subordinada al dictado legal y complementaria del mismo, lo que aquí no se habría respetado por el propio legislador. Tal fue, precisamente, una de las censuras dirigidas por la parte actora contra dicho real decreto en el procedimiento judicial de origen, tacha a la que el Tribunal Supremo no podría dar respuesta —se viene a argumentar en el auto de remisión sin antes cuestionar, como se ha hecho, la validez misma de la disposición legal que habría abierto a la libre determinación reglamentaria, en contra de la Constitución, un ámbito sujeto a la mencionada reserva legal.</w:t>
      </w:r>
    </w:p>
    <w:p w14:paraId="15015B43" w14:textId="77777777" w:rsidR="008D479B" w:rsidRDefault="008D479B" w:rsidP="008D479B">
      <w:pPr>
        <w:pStyle w:val="TextoNormal"/>
      </w:pPr>
    </w:p>
    <w:p w14:paraId="5AADE69F" w14:textId="77777777" w:rsidR="008D479B" w:rsidRDefault="008D479B" w:rsidP="008D479B">
      <w:pPr>
        <w:pStyle w:val="TextoNormal"/>
      </w:pPr>
      <w:r>
        <w:t>Es preciso dejar constancia tanto del contenido preceptivo de la disposición legal cuestionada como de los argumentos que expone el Tribunal Supremo para fundamentar su posible inconstitucionalidad.</w:t>
      </w:r>
    </w:p>
    <w:p w14:paraId="1AA15BEB" w14:textId="77777777" w:rsidR="008D479B" w:rsidRDefault="008D479B" w:rsidP="008D479B">
      <w:pPr>
        <w:pStyle w:val="TextoNormal"/>
      </w:pPr>
    </w:p>
    <w:p w14:paraId="2EA125B5" w14:textId="77777777" w:rsidR="008D479B" w:rsidRDefault="008D479B" w:rsidP="008D479B">
      <w:pPr>
        <w:pStyle w:val="TextoNormal"/>
      </w:pPr>
      <w:r>
        <w:t>a) El artículo 7 de la Ley 13/2011, bajo la rúbrica “Publicidad, patrocinio y promoción de las actividades de juego”, dispone en su apartado 1, en lo que aquí interesa, que “[d]e conformidad con la Ley 34/1988, de 11 de noviembre, general de publicidad, queda prohibida la publicidad, patrocinio o promoción, bajo cualquier forma, de los juegos de suerte, envite o azar y la publicidad o promoción de los operadores de juego, cuando se carezca de la correspondiente autorización para la realización de publicidad contenida en el título habilitante”.</w:t>
      </w:r>
    </w:p>
    <w:p w14:paraId="14A49B5B" w14:textId="77777777" w:rsidR="008D479B" w:rsidRDefault="008D479B" w:rsidP="008D479B">
      <w:pPr>
        <w:pStyle w:val="TextoNormal"/>
      </w:pPr>
    </w:p>
    <w:p w14:paraId="4C457EEB" w14:textId="77777777" w:rsidR="008D479B" w:rsidRDefault="008D479B" w:rsidP="008D479B">
      <w:pPr>
        <w:pStyle w:val="TextoNormal"/>
      </w:pPr>
      <w:r>
        <w:t>En el párrafo inicial del apartado 2 del mismo artículo se introduce ya, en relación con la prescripción anterior, la remisión a reglamento ahora cuestionada, remisión de conformidad con la cual “[r]eglamentariamente se establecerán las condiciones que se incluirán en los respectivos títulos habilitantes de la autorización de la actividad publicitaria y sus límites” y, en particular, respecto a una serie de actividades que el mismo apartado relaciona: (i) “envío de comunicaciones publicitarias o promocionales por correo electrónico o por cualquier otro medio de comunicación electrónica equivalente”; (ii) “inclusión de anuncios u otras modalidades publicitarias de los juegos en medios de comunicación y otros soportes publicitarios”; (iii) “actividad de patrocinio en acontecimientos deportivos que sean objeto de apuestas”; (iv) “inserción de carteles publicitarios de actividades de juego en los lugares en que se celebren acontecimientos cuyos resultados sean objeto de apuestas o loterías”; (v) “desarrollo de los concursos televisivos y […] obligaciones sobre los requisitos esenciales del juego” y, en fin, (vi) “[c]ualesquiera otras que se establezcan reglamentariamente”.</w:t>
      </w:r>
    </w:p>
    <w:p w14:paraId="5219D39B" w14:textId="77777777" w:rsidR="008D479B" w:rsidRDefault="008D479B" w:rsidP="008D479B">
      <w:pPr>
        <w:pStyle w:val="TextoNormal"/>
      </w:pPr>
    </w:p>
    <w:p w14:paraId="1398C072" w14:textId="77777777" w:rsidR="008D479B" w:rsidRDefault="008D479B" w:rsidP="008D479B">
      <w:pPr>
        <w:pStyle w:val="TextoNormal"/>
      </w:pPr>
      <w:r>
        <w:t xml:space="preserve">La duda de constitucionalidad planteada por el juzgador </w:t>
      </w:r>
      <w:r w:rsidRPr="008D479B">
        <w:rPr>
          <w:i/>
        </w:rPr>
        <w:t>a quo</w:t>
      </w:r>
      <w:r>
        <w:t xml:space="preserve"> no se proyecta —es de advertir— sobre unos extremos u otros del elenco de actividades publicitarias así contempladas en esta relación, por otra parte abierta, del artículo 7.2, sino, estrictamente, sobre la remisión a reglamento, en el transcrito párrafo primero del precepto, para el establecimiento de las “condiciones que se incluirán en los respectivos títulos habilitantes de la autorización de la actividad publicitaria y sus límites”. Los otros apartados (3 y 4) del mismo artículo 7 no son, por lo demás, objeto de mención alguna en el auto de promoción de la cuestión ni guardan, en todo caso, relación específica con su objeto.</w:t>
      </w:r>
    </w:p>
    <w:p w14:paraId="4D1F794E" w14:textId="77777777" w:rsidR="008D479B" w:rsidRDefault="008D479B" w:rsidP="008D479B">
      <w:pPr>
        <w:pStyle w:val="TextoNormal"/>
      </w:pPr>
    </w:p>
    <w:p w14:paraId="3C0C95AE" w14:textId="77777777" w:rsidR="008D479B" w:rsidRDefault="008D479B" w:rsidP="008D479B">
      <w:pPr>
        <w:pStyle w:val="TextoNormal"/>
      </w:pPr>
      <w:r>
        <w:t xml:space="preserve">b) En los antecedentes han quedado expuestos con el necesario detalle los argumentos en los que el Tribunal Supremo sustenta su duda de constitucionalidad. Bastará ahora, por tanto, con recordarlos de manera muy sumaria: (i) la libertad de empresa (art. 38 CE), de la que forma parte la publicidad comercial, es uno de los derechos a los que resulta aplicable la reserva de ley en orden a la regulación de su ejercicio (art. 53.1 CE). Dicha reserva no impide la intervención limitativa de los reglamentos siempre que cuenten con la necesaria habilitación legal que, aunque pueda ser general, no ha de consistir en una mera remisión en blanco, pues la ley ha de contener, en este ámbito, el núcleo limitativo de la libertad de empresa o establecer las finalidades a las que debe servir la norma reglamentaria; (ii) sin embargo, la remisión a reglamento que realiza el precepto legal cuestionado tan solo delimita las actividades o “espacios”, recién citados, a los que ha de extenderse la regulación reglamentaria, sin establecer las condiciones y elementos esenciales de la misma ni proporcionar pauta alguna referida a la intervención condicionante o limitadora del reglamento sobre la publicidad de los operadores de juego y sin aportar criterio, tampoco, respecto de lo que cabría considerar en este extremo proporcionado o no; (iii) la remisión legal, por ello, puede interpretarse como una verdadera deslegalización mediante la que el legislador ha abdicado de su propia facultad, transfiriéndola al titular de la potestad reglamentaria, sin que los principios generales que enuncia la Ley 13/2011 (protección de los consumidores y usuarios o de los menores de edad, entre otros) sean suficientes para una habilitación que ha dado lugar a límites y restricciones sustantivos como los impuestos por el Real Decreto 958/2020, de modo que la administración ha venido a regular </w:t>
      </w:r>
      <w:r w:rsidRPr="008D479B">
        <w:rPr>
          <w:i/>
        </w:rPr>
        <w:t>ex novo</w:t>
      </w:r>
      <w:r>
        <w:t xml:space="preserve"> el régimen jurídico de la publicidad del juego, de todo lo cual se seguiría, (iv) la posible conculcación por el precepto legal cuestionado del artículo 53.1 en relación con el artículo 38, ambos de la Constitución, sin que —siempre a juicio del Tribunal Supremo— fuera factible interpretar la remisión a reglamento de aquel precepto, según sugirió la parte actora en el trámite de audiencia, como referida, tan solo, a los aspectos procedimentales o “intrínsecos” de la regulación a establecer, hipotética interpretación conforme a la Constitución que, atendido el contexto legal y el tenor de la norma, se descarta en el auto de remisión.</w:t>
      </w:r>
    </w:p>
    <w:p w14:paraId="5B14B0F4" w14:textId="77777777" w:rsidR="008D479B" w:rsidRDefault="008D479B" w:rsidP="008D479B">
      <w:pPr>
        <w:pStyle w:val="TextoNormal"/>
      </w:pPr>
    </w:p>
    <w:p w14:paraId="6BD488A7" w14:textId="77777777" w:rsidR="008D479B" w:rsidRDefault="008D479B" w:rsidP="008D479B">
      <w:pPr>
        <w:pStyle w:val="TextoNormal"/>
      </w:pPr>
      <w:r>
        <w:t>B) Las partes en este proceso constitucional han alegado lo siguiente.</w:t>
      </w:r>
    </w:p>
    <w:p w14:paraId="26C49736" w14:textId="77777777" w:rsidR="008D479B" w:rsidRDefault="008D479B" w:rsidP="008D479B">
      <w:pPr>
        <w:pStyle w:val="TextoNormal"/>
      </w:pPr>
    </w:p>
    <w:p w14:paraId="188AC69F" w14:textId="77777777" w:rsidR="008D479B" w:rsidRDefault="008D479B" w:rsidP="008D479B">
      <w:pPr>
        <w:pStyle w:val="TextoNormal"/>
      </w:pPr>
      <w:r>
        <w:t>a) El abogado del Estado defiende la constitucionalidad del precepto cuestionado. Con cita del artículo 5.3 de la Ley 13/2011 (conforme al cual “[c]ualquier modalidad de juego no regulada se considerará prohibida”), considera que la actividad de juego se encuentra “en origen” prohibida en atención a consideraciones de orden moral, interdicción que afectaría asimismo a su publicidad, patrocinio y promoción. De ello se seguiría, viene a concluirse, que toda permisión normativa del juego o de su publicidad constituye un efecto favorable que no requeriría, para su establecimiento, de una norma con fuerza de ley, siendo por ello inobjetable la remisión al reglamento del artículo 7.2 de la Ley.</w:t>
      </w:r>
    </w:p>
    <w:p w14:paraId="561B3BBF" w14:textId="77777777" w:rsidR="008D479B" w:rsidRDefault="008D479B" w:rsidP="008D479B">
      <w:pPr>
        <w:pStyle w:val="TextoNormal"/>
      </w:pPr>
    </w:p>
    <w:p w14:paraId="68AE3DDC" w14:textId="77777777" w:rsidR="008D479B" w:rsidRDefault="008D479B" w:rsidP="008D479B">
      <w:pPr>
        <w:pStyle w:val="TextoNormal"/>
      </w:pPr>
      <w:r>
        <w:t xml:space="preserve">b) La Fiscalía General del Estado entiende que el precepto cuestionado es contrario a los artículos 38 y 53.1 CE al remitir de forma incondicionada o en blanco a reglamento, sin otra determinación que la de los espacios en los que estas actividades se desenvuelven, deslegalizando así una materia reservada a la ley. Se añade que los “principios generales para la publicidad, promoción y patrocinio de las actividades de juego” —enunciados en el artículo 7 </w:t>
      </w:r>
      <w:r w:rsidRPr="008D479B">
        <w:rPr>
          <w:i/>
        </w:rPr>
        <w:t>bis</w:t>
      </w:r>
      <w:r>
        <w:t xml:space="preserve"> de la Ley (precepto sin embargo que, como se puntualizará, se introdujo en la Ley 13/2011 con posterioridad al planteamiento de la presente cuestión de inconstitucionalidad)— no constituyen una “regulación general suficiente” a estos efectos y que otro tanto cabe decir respecto de los fines genéricamente proclamados en el artículo 1 de la misma Ley 13/2011(protección del orden público, lucha contra el fraude, prevención de conductas adictivas y protección de los derechos de los menores y de quienes participan en los juegos); de modo que el legislador no habría regulado por sí mismo ni las condiciones ni los límites a los que deben sujetarse las actividades a disciplinar por reglamento. El carácter abierto y pleno de esta habilitación legal se deriva asimismo de las disposiciones del Real Decreto 958/2020 y en especial de las regulaciones restrictivas que establece en sus artículos 12 a 27.</w:t>
      </w:r>
    </w:p>
    <w:p w14:paraId="1FB4509E" w14:textId="77777777" w:rsidR="008D479B" w:rsidRDefault="008D479B" w:rsidP="008D479B">
      <w:pPr>
        <w:pStyle w:val="TextoNormal"/>
      </w:pPr>
    </w:p>
    <w:p w14:paraId="3476B6A1" w14:textId="77777777" w:rsidR="008D479B" w:rsidRDefault="008D479B" w:rsidP="008D479B">
      <w:pPr>
        <w:pStyle w:val="TextoNormal"/>
      </w:pPr>
      <w:r>
        <w:t xml:space="preserve">c) La representación procesal de la Asociación Española de Juego Digital, parte actora en el proceso </w:t>
      </w:r>
      <w:r w:rsidRPr="008D479B">
        <w:rPr>
          <w:i/>
        </w:rPr>
        <w:t>a quo</w:t>
      </w:r>
      <w:r>
        <w:t>, coincide con lo expuesto en el auto de planteamiento de la cuestión y aboga por la declaración de inconstitucionalidad del artículo 7.2, precepto no ya solo contrario en su criterio a los artículos 38 y 53.1 CE, sino también, se apunta, a la libertad de información [art. 20.1 d) CE].</w:t>
      </w:r>
    </w:p>
    <w:p w14:paraId="0FDEB23D" w14:textId="77777777" w:rsidR="008D479B" w:rsidRDefault="008D479B" w:rsidP="008D479B">
      <w:pPr>
        <w:pStyle w:val="TextoNormal"/>
      </w:pPr>
    </w:p>
    <w:p w14:paraId="390F3C98" w14:textId="140AFF43" w:rsidR="008D479B" w:rsidRDefault="008D479B" w:rsidP="008D479B">
      <w:pPr>
        <w:pStyle w:val="TextoNormal"/>
      </w:pPr>
      <w:r>
        <w:t xml:space="preserve">d) La representación procesal de la Organización Nacional de Ciegos Españoles, comparecida como codemandada en el proceso </w:t>
      </w:r>
      <w:r w:rsidRPr="008D479B">
        <w:rPr>
          <w:i/>
        </w:rPr>
        <w:t>a quo</w:t>
      </w:r>
      <w:r>
        <w:t>, pide la desestimación de la cuestión de inconstitucionalidad. Alega que no es posible ni necesario que el legislador establezca todos los requisitos y condiciones, muchos de ellos de carácter técnico, a los que deba sujetarse la actividad de la que aquí se trata. El artículo 7.2 determina los ámbitos de dicha actividad y remite a reglamento solo una regulación detallada y técnica, en tanto que los apartados 3 y 4 del mismo artículo delimitan los sujetos a los que va dirigida tal regulación, sus obligaciones y las potestades de las administraciones competentes. La reglamentación a la que remite el precepto cuestionado ha de atenerse, además, a las finalidades enunciadas en el artículo 1 y respetar lo dispuesto en otras leyes sectoriales, como son, por ejemplo, la entonces vigente Ley 7/2010, de 31 de marzo, general de la comunicación audiovisual, la Ley 13/2022, de 7 de julio, general de comunicación audiovisual, o la Ley 34/2002, de 11 de julio, de servicios de la sociedad de la información y de comercio electrónico. No han sido infringidos, en definitiva, los artículos 38 y 53.1 CE.</w:t>
      </w:r>
    </w:p>
    <w:p w14:paraId="6EFD3C9D" w14:textId="77777777" w:rsidR="008D479B" w:rsidRDefault="008D479B" w:rsidP="008D479B">
      <w:pPr>
        <w:pStyle w:val="TextoNormal"/>
      </w:pPr>
    </w:p>
    <w:p w14:paraId="4CF89955" w14:textId="77777777" w:rsidR="008D479B" w:rsidRDefault="008D479B" w:rsidP="008D479B">
      <w:pPr>
        <w:pStyle w:val="TextoNormal"/>
      </w:pPr>
      <w:r w:rsidRPr="008D479B">
        <w:rPr>
          <w:rStyle w:val="NumeroAFNegritaCaracter"/>
        </w:rPr>
        <w:t>2</w:t>
      </w:r>
      <w:r>
        <w:t xml:space="preserve">. </w:t>
      </w:r>
      <w:r w:rsidRPr="008D479B">
        <w:rPr>
          <w:i/>
        </w:rPr>
        <w:t>Consideraciones preliminares</w:t>
      </w:r>
    </w:p>
    <w:p w14:paraId="5DE5CEA3" w14:textId="77777777" w:rsidR="008D479B" w:rsidRDefault="008D479B" w:rsidP="008D479B">
      <w:pPr>
        <w:pStyle w:val="TextoNormal"/>
      </w:pPr>
    </w:p>
    <w:p w14:paraId="15F5E4C2" w14:textId="77777777" w:rsidR="008D479B" w:rsidRDefault="008D479B" w:rsidP="008D479B">
      <w:pPr>
        <w:pStyle w:val="TextoNormal"/>
      </w:pPr>
      <w:r>
        <w:t>Para el mejor entendimiento de lo que después se examinará son necesarias las siguientes precisiones iniciales.</w:t>
      </w:r>
    </w:p>
    <w:p w14:paraId="13081466" w14:textId="77777777" w:rsidR="008D479B" w:rsidRDefault="008D479B" w:rsidP="008D479B">
      <w:pPr>
        <w:pStyle w:val="TextoNormal"/>
      </w:pPr>
    </w:p>
    <w:p w14:paraId="2B46E58D" w14:textId="77777777" w:rsidR="008D479B" w:rsidRDefault="008D479B" w:rsidP="008D479B">
      <w:pPr>
        <w:pStyle w:val="TextoNormal"/>
      </w:pPr>
      <w:r>
        <w:t xml:space="preserve">A) Se ha promovido esta cuestión de inconstitucionalidad en el curso de un proceso de impugnación directa de una disposición reglamentaria, al entender el juzgador </w:t>
      </w:r>
      <w:r w:rsidRPr="008D479B">
        <w:rPr>
          <w:i/>
        </w:rPr>
        <w:t>a quo</w:t>
      </w:r>
      <w:r>
        <w:t xml:space="preserve"> que el vicio de invalidez que afectaría a la normativa de la que está llamado a conocer provendría de una regla legal que no puede ser inaplicada sin dar antes lugar a su enjuiciamiento constitucional por este cauce. Ninguna duda puede haber sobre la viabilidad de un planteamiento de este género siempre que se cumplan, obvio es, los requisitos y presupuestos para ello y, en especial, la aplicabilidad en el caso de la norma legal cuestionada y la relevancia de su validez o invalidez para la resolución del pleito de origen. Esta es, ante cuestiones de inconstitucionalidad de este singular tipo, la doctrina consolidada del Tribunal [por todas, STC 9/2016, de 21 de enero, FJ 2 b)], doctrina de la que importa destacar, además, en punto a los presupuestos procesales de necesaria observancia, dos advertencias de carácter general.</w:t>
      </w:r>
    </w:p>
    <w:p w14:paraId="2D41E08C" w14:textId="77777777" w:rsidR="008D479B" w:rsidRDefault="008D479B" w:rsidP="008D479B">
      <w:pPr>
        <w:pStyle w:val="TextoNormal"/>
      </w:pPr>
    </w:p>
    <w:p w14:paraId="30D2817C" w14:textId="77777777" w:rsidR="008D479B" w:rsidRDefault="008D479B" w:rsidP="008D479B">
      <w:pPr>
        <w:pStyle w:val="TextoNormal"/>
      </w:pPr>
      <w:r>
        <w:t>a) La relevancia, condición inexcusable para toda cuestión de inconstitucionalidad, se cifra en la relación necesaria entre la resolución a dictar en el proceso judicial y el precepto legal cuestionado, relación que solo se dará si la ley aplicable está no meramente incursa, acaso, en inconstitucionalidad, sino afectada, además, por un vicio de invalidez que condicione el pronunciamiento del juzgador a la vista del objeto del proceso judicial, lo que habrá de ser puesto de manifiesto ante este tribunal (arts.163 CE y 35.2 LOTC). Si así no fuera, la cuestión de inconstitucionalidad se convertiría —por reiterar lo tantas veces dicho— en una vía para la discusión, en general y en abstracto, sobre la validez de normas con rango de ley en toda su extensión, función esta que no le corresponde y que la Constitución reserva, principalmente, al recurso de inconstitucionalidad [SSTC 106/1986, de 24 de julio, FJ 3, y 231/2015, de 5 de noviembre, FJ 13, así como ATC 167/2019, de 10 de diciembre, FJ 2 b), entre otras muchas].</w:t>
      </w:r>
    </w:p>
    <w:p w14:paraId="1E358C58" w14:textId="77777777" w:rsidR="008D479B" w:rsidRDefault="008D479B" w:rsidP="008D479B">
      <w:pPr>
        <w:pStyle w:val="TextoNormal"/>
      </w:pPr>
    </w:p>
    <w:p w14:paraId="1024885D" w14:textId="77777777" w:rsidR="008D479B" w:rsidRDefault="008D479B" w:rsidP="008D479B">
      <w:pPr>
        <w:pStyle w:val="TextoNormal"/>
      </w:pPr>
      <w:r>
        <w:t xml:space="preserve">Una vez recordado lo anterior, procede subrayar ahora que este específico presupuesto procesal no se ha de fundamentar y apreciar de modo distinto, en lo sustancial, cuando se trata, como es el caso, de cuestiones promovidas en procedimientos judiciales de control directo de disposiciones reglamentarias. Es cierto que en algunas sentencias iniciales de este tribunal se observó que en tales supuestos el juicio de relevancia presentaba “matices singulares”, con la consecuencia de que el control concreto que propicia este cauce aparecía “diluido” [SSTC 76/1990, de 26 de abril, FJ 1 f); 183/1992, de 16 de noviembre, FJ 2; 337/1994, de 23 de diciembre, FJ 4 A), y 203/1998, de 15 de octubre, FJ 2]; pero la jurisprudencia posterior ha matizado aquellas consideraciones </w:t>
      </w:r>
      <w:r w:rsidRPr="008D479B">
        <w:rPr>
          <w:i/>
        </w:rPr>
        <w:t>obiter dicta</w:t>
      </w:r>
      <w:r>
        <w:t xml:space="preserve"> en atención a que también para estos casos es en “la íntima vinculación del juicio de relevancia con el origen de la cuestión de inconstitucionalidad […] donde reside realmente su carácter concreto”, con la consiguiente exigencia de que “los órganos judiciales exterioricen el carácter prejudicial de la duda de constitucionalidad y la conexión entre los preceptos reglamentarios […] impugnados y los […] legales” a los que aquella duda se refiere (SSTC 148/2006, de 11 de mayo, FJ 1, y 161/2011, de 19 de octubre, FJ 2). “Resulta artificioso”, en suma, distinguir, por lo que hace a la relevancia de la cuestión, entre procesos judiciales de control de actos y aquellos promovidos en impugnación directa de disposiciones de carácter general [STC 9/2016, ya citada, FJ 2 b)]. La validez o invalidez de la regla legal cuestionada ha de aparecer, en ambas hipótesis, como igualmente determinante del sentido de la resolución a dictar en el pleito de origen.</w:t>
      </w:r>
    </w:p>
    <w:p w14:paraId="056BB6BF" w14:textId="77777777" w:rsidR="008D479B" w:rsidRDefault="008D479B" w:rsidP="008D479B">
      <w:pPr>
        <w:pStyle w:val="TextoNormal"/>
      </w:pPr>
    </w:p>
    <w:p w14:paraId="42B148F3" w14:textId="77777777" w:rsidR="008D479B" w:rsidRDefault="008D479B" w:rsidP="008D479B">
      <w:pPr>
        <w:pStyle w:val="TextoNormal"/>
      </w:pPr>
      <w:r>
        <w:t xml:space="preserve">b) El control de la ley que cabe propiciar mediante una cuestión de inconstitucionalidad ha de ser por lo dicho, también en casos de este género, siempre de carácter concreto. Sin embargo, no es de esa naturaleza —importa destacar— el que corresponde a los órganos de la jurisdicción contencioso-administrativa cuando conozcan de impugnaciones directas contra disposiciones generales, recursos que dan lugar a un enjuiciamiento abstracto, orientado a la objetiva depuración del ordenamiento y no al reconocimiento, tutela o garantía de situaciones jurídicas individualizadas. Así ha tenido ocasión de recordarlo este tribunal cuando, planteada en tales casos una cuestión de inconstitucionalidad, han surgido dudas, en atención a cambios normativos sobrevenidos, sobre la pervivencia de sus presupuestos procesales (SSTC 332/1993, de 12 de noviembre, FJ 4, y 147/2012, de 5 de julio, FJ 3, así como AATC 23/2013, de 29 de enero, FJ 5, y 175/2017, de 19 de diciembre, FJ 3), dudas que en la casuística jurisprudencial hasta el presente se han proyectado, por lo común, sobre la aplicabilidad en el proceso </w:t>
      </w:r>
      <w:r w:rsidRPr="008D479B">
        <w:rPr>
          <w:i/>
        </w:rPr>
        <w:t>a quo</w:t>
      </w:r>
      <w:r>
        <w:t xml:space="preserve"> de la disposición legal cuestionada y luego modificada o derogada. Han sido las circunstancias concurrentes en unos u otros de estos supuestos las que han resultado determinantes, bien para proseguir el enjuiciamiento en cuanto al fondo del precepto modificado, pero dotado de algún grado de ultraactividad (SSTC 117/2011, de 4 de julio, FJ 2; 196/2012, de 31 de octubre, FJ 1; 73/2014, de 8 de mayo, FJ 2, y 35/2016, de 3 de marzo, FJ 2), bien para clausurar, caso contrario, el proceso constitucional, con la consiguiente inadmisión o declaración de extinción de la cuestión promovida (SSTC 332/1993, FJ 4, y 147/2012, FFJJ 2 y 3; asimismo, AATC 43/1995, de 7 de febrero, FJ único; 23/2013, FJ 5, y 175/2017, FJ 3) y como excepción entonces, al criterio general según el cual en las cuestiones de inconstitucionalidad se ha de tomar en cuenta, de ordinario, el precepto vigente al tiempo de su promoción (por todas, STC 150/2022, de 29 de noviembre, FJ 1), criterio basado en un principio [</w:t>
      </w:r>
      <w:r w:rsidRPr="008D479B">
        <w:rPr>
          <w:i/>
        </w:rPr>
        <w:t>tempus regit actum</w:t>
      </w:r>
      <w:r>
        <w:t>: SSTC 106/2019, de 19 de septiembre, FJ 2 a), y 157/2019, de 28 de noviembre, FJ 2 a)] que pierde buena parte de su razón de ser, si no toda ella, cuando la cuestión proviene de procedimientos de control abstracto de normas.</w:t>
      </w:r>
    </w:p>
    <w:p w14:paraId="44C45CEC" w14:textId="77777777" w:rsidR="008D479B" w:rsidRDefault="008D479B" w:rsidP="008D479B">
      <w:pPr>
        <w:pStyle w:val="TextoNormal"/>
      </w:pPr>
    </w:p>
    <w:p w14:paraId="09BA70D8" w14:textId="77777777" w:rsidR="008D479B" w:rsidRDefault="008D479B" w:rsidP="008D479B">
      <w:pPr>
        <w:pStyle w:val="TextoNormal"/>
      </w:pPr>
      <w:r>
        <w:t>Consideraciones análogas a las expuestas pueden ser también procedentes —como se habrá de ver— cuando los cambios sobrevenidos no afecten al tenor o a la vigencia del precepto cuestionado, sino a su contexto normativo; esto es, no a la aplicabilidad de la regla de cuya constitucionalidad se dudó, sino a la relevancia actual de aquella duda originaria.</w:t>
      </w:r>
    </w:p>
    <w:p w14:paraId="0122C9DE" w14:textId="77777777" w:rsidR="008D479B" w:rsidRDefault="008D479B" w:rsidP="008D479B">
      <w:pPr>
        <w:pStyle w:val="TextoNormal"/>
      </w:pPr>
    </w:p>
    <w:p w14:paraId="3C5AA05A" w14:textId="77777777" w:rsidR="008D479B" w:rsidRDefault="008D479B" w:rsidP="008D479B">
      <w:pPr>
        <w:pStyle w:val="TextoNormal"/>
      </w:pPr>
      <w:r>
        <w:t>B) Ya en otro orden de cosas, y por lo hace singularmente a la presente cuestión de inconstitucionalidad, son aún procedentes dos últimas puntualizaciones.</w:t>
      </w:r>
    </w:p>
    <w:p w14:paraId="06066B3B" w14:textId="77777777" w:rsidR="008D479B" w:rsidRDefault="008D479B" w:rsidP="008D479B">
      <w:pPr>
        <w:pStyle w:val="TextoNormal"/>
      </w:pPr>
    </w:p>
    <w:p w14:paraId="4D99C229" w14:textId="77777777" w:rsidR="008D479B" w:rsidRDefault="008D479B" w:rsidP="008D479B">
      <w:pPr>
        <w:pStyle w:val="TextoNormal"/>
      </w:pPr>
      <w:r>
        <w:t xml:space="preserve">a) El vicio de invalidez que, con origen en el artículo 7.2 de la Ley 13/2011, afectaría al Real Decreto 958/2020 no residiría —a juicio del Tribunal Supremo— en el contenido preceptivo de unas u otras determinaciones de esta disposición reglamentaria, sino en su objeto mismo, pues lo que se debate en el proceso judicial es si esta disposición, como consecuencia de una habilitación legal contraria a la Constitución, reguló una materia que solo corresponde ordenar al legislador en sus líneas esenciales, generando una controversia relativa al sistema de fuentes y a un posible vicio de naturaleza por así decir estructural que, de constatarse en el precepto legal por este tribunal, depararía tanto la inconstitucionalidad de la disposición que posibilitó a la potestad reglamentaria el acceso a un ámbito que no puede disciplinar libremente como, a resultas de ello, la declaración de invalidez, en el proceso </w:t>
      </w:r>
      <w:r w:rsidRPr="008D479B">
        <w:rPr>
          <w:i/>
        </w:rPr>
        <w:t>a quo</w:t>
      </w:r>
      <w:r>
        <w:t xml:space="preserve">, de los preceptos reglamentarios dictados para ordenar dicho ámbito al amparo de tal habilitación. A salvo algún ya antiguo precedente (STC 332/1993, antes citada), no es este el tipo de supuesto del que, con mayor frecuencia, ha sido llamado a conocer el Tribunal Constitucional en anteriores cuestiones promovidas con ocasión de la impugnación directa de normas reglamentarias, cuestiones en las que lo que se vino a suscitar fue más bien, con unos matices u otros, la inconstitucionalidad material de cierta regla legal de la que sería desarrollo o complemento, con reiteración del mismo vicio sustantivo, la de rango reglamentario. No es de este carácter, como bien se ve, la </w:t>
      </w:r>
      <w:r w:rsidRPr="008D479B">
        <w:rPr>
          <w:i/>
        </w:rPr>
        <w:t>quaestio iuris</w:t>
      </w:r>
      <w:r>
        <w:t xml:space="preserve"> ahora planteada sobre el artículo 7.2 de la Ley 13/2011.</w:t>
      </w:r>
    </w:p>
    <w:p w14:paraId="74B91ED1" w14:textId="77777777" w:rsidR="008D479B" w:rsidRDefault="008D479B" w:rsidP="008D479B">
      <w:pPr>
        <w:pStyle w:val="TextoNormal"/>
      </w:pPr>
    </w:p>
    <w:p w14:paraId="3CD952B5" w14:textId="619DC4E2" w:rsidR="008D479B" w:rsidRDefault="008D479B" w:rsidP="008D479B">
      <w:pPr>
        <w:pStyle w:val="TextoNormal"/>
      </w:pPr>
      <w:r>
        <w:t xml:space="preserve">b) El control concreto que debe realizar aquí el Tribunal Constitucional sobre el precepto legal cuestionado y el de naturaleza abstracta —hoy en suspenso— que habría de realizar el Tribunal Supremo respecto del Real Decreto 958/2020 son, en definitiva, muy distintos por su objeto, pero también interdependientes. En el proceso constitucional no podemos pronunciarnos acerca de la conformidad o no a Derecho de aquel real decreto, asunto de la jurisdicción exclusiva del Tribunal Supremo y que en nada determina [pese a lo que parece desprenderse de algún pasaje de las alegaciones de la Fiscalía General del Estado: apartado 8 C) c) de los antecedentes] el juicio de constitucionalidad planteado, para el que no es trascendente si el citado real decreto incidió sin cobertura legal suficiente, y en qué medida, en materia reservada a la ley, sino tan solo si el precepto cuestionado le habilitó para hacerlo así. Pero uno y otro enjuiciamiento están, con igual claridad, vinculados, pues el control que corresponde al Tribunal Supremo sobre la disposición reglamentaria no podría en principio culminar (en ello se cifra la relevancia inicial de esta cuestión de inconstitucionalidad) sin apreciar antes la conformidad o no a la Constitución del artículo 7.2 de la Ley 13/2011. Ahora bien, tanto si esta duda de constitucionalidad no se confirmara como si hubiera decaído alguno de sus presupuestos procesales, quedaría ya expedita la vía para que el Tribunal Supremo determinara si la norma reglamentaria impugnada incurrió, y en tal caso en qué medida, en </w:t>
      </w:r>
      <w:r w:rsidRPr="008D479B">
        <w:rPr>
          <w:i/>
        </w:rPr>
        <w:t>ultra vires</w:t>
      </w:r>
      <w:r>
        <w:t xml:space="preserve"> por referencia a lo establecido en aquella ley. Aquella segunda hipótesis —eventual decadencia de cualquiera de los mentados presupuestos procesales— es la que debe ser examinada ante todo.</w:t>
      </w:r>
    </w:p>
    <w:p w14:paraId="4559490D" w14:textId="77777777" w:rsidR="008D479B" w:rsidRDefault="008D479B" w:rsidP="008D479B">
      <w:pPr>
        <w:pStyle w:val="TextoNormal"/>
      </w:pPr>
    </w:p>
    <w:p w14:paraId="6FBA73DA" w14:textId="77777777" w:rsidR="008D479B" w:rsidRDefault="008D479B" w:rsidP="008D479B">
      <w:pPr>
        <w:pStyle w:val="TextoNormal"/>
      </w:pPr>
      <w:r w:rsidRPr="008D479B">
        <w:rPr>
          <w:rStyle w:val="NumeroAFNegritaCaracter"/>
        </w:rPr>
        <w:t>3</w:t>
      </w:r>
      <w:r>
        <w:t xml:space="preserve">. </w:t>
      </w:r>
      <w:r w:rsidRPr="008D479B">
        <w:rPr>
          <w:i/>
        </w:rPr>
        <w:t>Reconsideración de la relevancia de esta cuestión de inconstitucionalidad</w:t>
      </w:r>
    </w:p>
    <w:p w14:paraId="7026DBCD" w14:textId="77777777" w:rsidR="008D479B" w:rsidRDefault="008D479B" w:rsidP="008D479B">
      <w:pPr>
        <w:pStyle w:val="TextoNormal"/>
      </w:pPr>
    </w:p>
    <w:p w14:paraId="29827F45" w14:textId="77777777" w:rsidR="008D479B" w:rsidRDefault="008D479B" w:rsidP="008D479B">
      <w:pPr>
        <w:pStyle w:val="TextoNormal"/>
      </w:pPr>
      <w:r>
        <w:t>A) Al tiempo de su planteamiento (mediante auto del Tribunal Supremo de 14 de julio de 2022) y admisión a trámite (por providencia de este Tribunal Constitucional de 11 de octubre del propio año) esta cuestión de inconstitucionalidad sobre el párrafo primero del artículo 7.2 de la Ley 13/2011 reunía las necesarias condiciones de viabilidad. El órgano judicial fundamentó de manera suficiente y en términos plausibles la inexcusable aplicación en el proceso del precepto cuestionado así como la relevancia de su validez o invalidez, a la luz de los artículos 38 y 53.1 CE, para la resolución de un litigio en el que, por lo que aquí interesa, se debatía la conformidad a Derecho del Real Decreto 958/2020, dictado en “desarrollo” de dicha ley (art. 1) y acaso incurso en inconstitucionalidad —se razonó en el auto de planteamiento— por haber regulado, con base en aquella habilitación legal, un ámbito sujeto a reserva de ley.</w:t>
      </w:r>
    </w:p>
    <w:p w14:paraId="14003C70" w14:textId="77777777" w:rsidR="008D479B" w:rsidRDefault="008D479B" w:rsidP="008D479B">
      <w:pPr>
        <w:pStyle w:val="TextoNormal"/>
      </w:pPr>
    </w:p>
    <w:p w14:paraId="7B6C30B9" w14:textId="77777777" w:rsidR="008D479B" w:rsidRDefault="008D479B" w:rsidP="008D479B">
      <w:pPr>
        <w:pStyle w:val="TextoNormal"/>
      </w:pPr>
      <w:r>
        <w:t>No han cambiado las cosas en este extremo por lo que hace al primero de estos presupuestos procesales, pues el precepto legal cuestionado, que sigue en vigor, no ha dejado de ser, como tal, aplicable en el pleito al formar parte de lo que el Tribunal ha llamado en ocasiones el “elenco de normas que [han] de ser tomadas en consideración para resolver el litigio” (STC 55/2010, de 4 de octubre, FJ 2, y AATC 30/2013 y 32/2013, ambos de 12 de febrero, FJ 4 de uno y otro). Sin embargo, no cabe decir lo mismo respecto a la fundamentación judicial de la relevancia de la constitucionalidad o no de esta regla legal para la decisión del proceso de origen, relevancia que debe mantenerse inalterada a lo largo del proceso constitucional y cuya eventual desaparición sobrevenida (SSTC 6/2010, de 14 de abril, FFJJ 2 y 3; 17/2010, 18/2010 y 19/2010, todas de 27 de abril, FJ 2 de cada una, y 83/2015, de 30 de abril, FJ 3; así como AATC 107/1986, de 30 de enero, FJ único; 22/2000, de 18 de enero, FJ 2; 187/2014, de 15 de julio, FJ 4, y 137/2015 y 138/2015, los dos de 21 de julio, FJ 4 de cada uno) puede ser —al igual que su falta originaria— apreciada incluso de oficio (SSTC 174/1998, de 23 de julio, FJ 1, y 98/2022, de 12 de julio, FJ 2).</w:t>
      </w:r>
    </w:p>
    <w:p w14:paraId="18DF9400" w14:textId="77777777" w:rsidR="008D479B" w:rsidRDefault="008D479B" w:rsidP="008D479B">
      <w:pPr>
        <w:pStyle w:val="TextoNormal"/>
      </w:pPr>
    </w:p>
    <w:p w14:paraId="588770AF" w14:textId="77777777" w:rsidR="008D479B" w:rsidRDefault="008D479B" w:rsidP="008D479B">
      <w:pPr>
        <w:pStyle w:val="TextoNormal"/>
      </w:pPr>
      <w:r>
        <w:t xml:space="preserve">B) Es trascendente a estos efectos que, admitida y en trámite la presente cuestión, fue promulgada la Ley 23/2022, de 2 de noviembre, por la que, se modifica la Ley 13/2011, de 27 de mayo, de regulación del juego. El punto “uno” del artículo único de esta nueva ley (publicada en el “Boletín Oficial del Estado” núm. 264, de 3 de noviembre de 2022 y en vigor desde el día siguiente) introdujo en el texto originario de la Ley 13/2011 un artículo 7 </w:t>
      </w:r>
      <w:r w:rsidRPr="008D479B">
        <w:rPr>
          <w:i/>
        </w:rPr>
        <w:t>bis</w:t>
      </w:r>
      <w:r>
        <w:t xml:space="preserve"> relativo a los “[p]rincipios generales para la publicidad, promoción y patrocinio de las actividades de juego”, precepto que fue, por lo demás, transcripción literal del artículo 9 “[p]rincipio de responsabilidad social” del Real Decreto 958/2020, reglamento —como se viene diciendo— impugnado en el proceso </w:t>
      </w:r>
      <w:r w:rsidRPr="008D479B">
        <w:rPr>
          <w:i/>
        </w:rPr>
        <w:t>a quo</w:t>
      </w:r>
      <w:r>
        <w:t>. Tras prescribir el apartado 1 de esta nueva disposición legal que “[l]as comunicaciones comerciales de los operadores de juego se harán con sentido de la responsabilidad social, sin menoscabar ni banalizar la complejidad de la actividad de juego ni sus potenciales efectos perjudiciales sobre las personas, debiendo respetar la dignidad humana y los derechos y libertades constitucionalmente reconocidos”, su apartado 2 establece que “[s]e consideran contrarias al principio de responsabilidad social y quedan prohibidas, en particular”, determinadas “comunicaciones comerciales”. Comunicaciones prohibidas que, a tenor del listado legal, son las que (1) “[i]nciten a actitudes o comportamientos antisociales o violentos de cualquier tipo, discriminatorios por razones de nacimiento, origen racial o étnico, sexo, religión, opinión o convicción, edad, discapacidad, orientación sexual, identidad de género, enfermedad, o cualquier otra condición o circunstancia personal o social”; (2) “[i]nciten a actitudes o comportamientos humillantes, denigratorios o vejatorios”; (3) “[a]socien, vinculen, representen o relacionen de forma positiva o atractiva las actividades de juego con actividades o conductas ilícitas o perjudiciales para la salud pública, así como con aquellas que den lugar a daños económicos, sociales o emocionales”; (4) “[d]esacrediten a las personas que no juegan u otorguen una superioridad social a aquellas que juegan”; (5) “[i]ncluyan mensajes que desvaloricen el esfuerzo en comparación con el juego”; (6) “[r]ealicen apelaciones expresas a que el receptor de la comunicación comercial comparta con otras personas el mensaje previsto” en la misma; (7) “[t]ransmitan tolerancia respecto al juego en entornos educativos o de trabajo”; (8) “[s]ugieran que el juego puede mejorar las habilidades personales o el reconocimiento social”; (9) “[i]ncluyan contenido sexual en las comunicaciones comerciales, vinculen el juego a la seducción, el [</w:t>
      </w:r>
      <w:r w:rsidRPr="008D479B">
        <w:rPr>
          <w:i/>
        </w:rPr>
        <w:t>sic</w:t>
      </w:r>
      <w:r>
        <w:t>] éxito sexual o el [</w:t>
      </w:r>
      <w:r w:rsidRPr="008D479B">
        <w:rPr>
          <w:i/>
        </w:rPr>
        <w:t>sic</w:t>
      </w:r>
      <w:r>
        <w:t>] incremento del atractivo”; (10) “[p]resenten el juego como indispensable, prioritario o importante en la vida”; (11) “[p]resenten la familia o las relaciones sociales como secundarias respecto del juego” y (12) “[u]tilicen representaciones gráficas del dinero o productos de lujo”.</w:t>
      </w:r>
    </w:p>
    <w:p w14:paraId="56413E81" w14:textId="77777777" w:rsidR="008D479B" w:rsidRDefault="008D479B" w:rsidP="008D479B">
      <w:pPr>
        <w:pStyle w:val="TextoNormal"/>
      </w:pPr>
    </w:p>
    <w:p w14:paraId="4D19CCBC" w14:textId="77777777" w:rsidR="008D479B" w:rsidRDefault="008D479B" w:rsidP="008D479B">
      <w:pPr>
        <w:pStyle w:val="TextoNormal"/>
      </w:pPr>
      <w:r>
        <w:t xml:space="preserve">De las alegaciones deducidas en este proceso constitucional, posteriores todas a la entrada en vigor de la Ley 23/2022, tan solo en las de la Fiscalía General del Estado se ha hecho mención del nuevo artículo 7 </w:t>
      </w:r>
      <w:r w:rsidRPr="008D479B">
        <w:rPr>
          <w:i/>
        </w:rPr>
        <w:t>bis</w:t>
      </w:r>
      <w:r>
        <w:t xml:space="preserve"> de la Ley 13/2011, considerado en ellas como insuficiente para determinar, en el respeto a las exigencias de la reserva de ley, los límites y condiciones de la publicidad comercial relativa al juego. Ninguna referencia hace el Ministerio Público, sin embargo, a la circunstancia de que dicho precepto legal fue incorporado a la Ley 13/2011 con posterioridad a la promoción de la cuestión de inconstitucionalidad.</w:t>
      </w:r>
    </w:p>
    <w:p w14:paraId="580B1246" w14:textId="77777777" w:rsidR="008D479B" w:rsidRDefault="008D479B" w:rsidP="008D479B">
      <w:pPr>
        <w:pStyle w:val="TextoNormal"/>
      </w:pPr>
    </w:p>
    <w:p w14:paraId="279601CA" w14:textId="77777777" w:rsidR="008D479B" w:rsidRDefault="008D479B" w:rsidP="008D479B">
      <w:pPr>
        <w:pStyle w:val="TextoNormal"/>
      </w:pPr>
      <w:r>
        <w:t>C) Lo que así queda constatado impone las consideraciones siguientes.</w:t>
      </w:r>
    </w:p>
    <w:p w14:paraId="6DD5A250" w14:textId="77777777" w:rsidR="008D479B" w:rsidRDefault="008D479B" w:rsidP="008D479B">
      <w:pPr>
        <w:pStyle w:val="TextoNormal"/>
      </w:pPr>
    </w:p>
    <w:p w14:paraId="299D84D2" w14:textId="77777777" w:rsidR="008D479B" w:rsidRDefault="008D479B" w:rsidP="008D479B">
      <w:pPr>
        <w:pStyle w:val="TextoNormal"/>
      </w:pPr>
      <w:r>
        <w:t>a) A diferencia de lo que ha sido relativamente frecuente en la casuística jurisprudencial hasta hoy [fundamento jurídico 2 A) b)], no se ha producido en este caso una modificación o derogación sobrevenida del precepto legal cuestionado a partir de la cual pudiera ser procedente la pregunta sobre su eventual ultraactividad a fin de entrar o no en el examen de fondo de la duda de constitucionalidad. La ultraactividad se produce, en su caso, respecto de reglas ya sin vigencia general, algo que no ha perdido —vale repetir— el párrafo primero del artículo 7.2, aplicable (aunque ya no solo él, seguramente) para resolver la impugnación directa del Real Decreto 958/2020 de la que proviene esta cuestión de inconstitucionalidad.</w:t>
      </w:r>
    </w:p>
    <w:p w14:paraId="7DFD19BF" w14:textId="77777777" w:rsidR="008D479B" w:rsidRDefault="008D479B" w:rsidP="008D479B">
      <w:pPr>
        <w:pStyle w:val="TextoNormal"/>
      </w:pPr>
    </w:p>
    <w:p w14:paraId="6DE6B548" w14:textId="77777777" w:rsidR="008D479B" w:rsidRDefault="008D479B" w:rsidP="008D479B">
      <w:pPr>
        <w:pStyle w:val="TextoNormal"/>
      </w:pPr>
      <w:r>
        <w:t xml:space="preserve">b) Lo que resulta insoslayable reconsiderar es si la relevancia prejudicial que en su día tuvo la conformidad o no a la Constitución del precepto cuestionado sigue siendo tal tras la introducción, junto al mismo, del nuevo artículo 7 </w:t>
      </w:r>
      <w:r w:rsidRPr="008D479B">
        <w:rPr>
          <w:i/>
        </w:rPr>
        <w:t>bis</w:t>
      </w:r>
      <w:r>
        <w:t xml:space="preserve">. El Tribunal Supremo, con buenas razones, condicionó la resolución de la impugnación del Real Decreto 958/2020 —en cuanto a su aducida invasión de la reserva de ley— al previo enjuiciamiento constitucional del precepto legal (párrafo primero del artículo 7.2) que, en apariencia, habilitó dicha invasión mediante una remisión abierta o “en blanco” a reglamento y sin que la misma Ley 13/2011 aportara —se dijo en el auto de planteamiento— criterios o pautas para ese desarrollo ulterior. No obstante, como ya se ha expuesto, el “contexto ordinamental” (STC 126/2021, de 3 de junio, FJ 7) en que dicha duda de constitucionalidad se inscribió y fundamentó ha sido después modificado por el legislador. El añadido artículo 7 </w:t>
      </w:r>
      <w:r w:rsidRPr="008D479B">
        <w:rPr>
          <w:i/>
        </w:rPr>
        <w:t>bis</w:t>
      </w:r>
      <w:r>
        <w:t>, al enunciar determinados “principios generales para la publicidad, promoción y patrocinio de las actividades de juego”, ha introducido una ordenación sustantiva en este ámbito que, de resultar aplicable en el proceso de origen, impediría ya calificar de indeterminada o ilimitada la remisión a reglamento que contiene el citado artículo 7.2 en su párrafo primero, precepto que no puede ser interpretado al margen del sistema del ordenamiento [SSTC 126/2021, recién citada, FJ 7 b), y 19/2023, de 22 de marzo, FJ 7 C) c), entre otras] ni a espaldas, más específicamente, de lo prescrito en otras del mismo cuerpo legal en que se integra. Ello con independencia, claro está, de si lo prescrito en la nueva disposición legal aporta o no cobertura bastante —asunto de legalidad ordinaria— a unas u otras de las concretas determinaciones del impugnado Real Decreto 958/2020.</w:t>
      </w:r>
    </w:p>
    <w:p w14:paraId="20CB596A" w14:textId="77777777" w:rsidR="008D479B" w:rsidRDefault="008D479B" w:rsidP="008D479B">
      <w:pPr>
        <w:pStyle w:val="TextoNormal"/>
      </w:pPr>
    </w:p>
    <w:p w14:paraId="655AF948" w14:textId="77777777" w:rsidR="008D479B" w:rsidRDefault="008D479B" w:rsidP="008D479B">
      <w:pPr>
        <w:pStyle w:val="TextoNormal"/>
      </w:pPr>
      <w:r>
        <w:t>Cabe derivar de lo anterior que la duda de inconstitucionalidad aquí planteada no cuenta ya, ante las nuevas condiciones normativas, con la necesaria fundamentación de su propia relevancia, condición que, reiteramos, sí mostró en su día. Debe, a este respecto, añadirse lo siguiente:</w:t>
      </w:r>
    </w:p>
    <w:p w14:paraId="7F6804D1" w14:textId="77777777" w:rsidR="008D479B" w:rsidRDefault="008D479B" w:rsidP="008D479B">
      <w:pPr>
        <w:pStyle w:val="TextoNormal"/>
      </w:pPr>
    </w:p>
    <w:p w14:paraId="710F09E5" w14:textId="77777777" w:rsidR="008D479B" w:rsidRDefault="008D479B" w:rsidP="008D479B">
      <w:pPr>
        <w:pStyle w:val="TextoNormal"/>
      </w:pPr>
      <w:r>
        <w:t xml:space="preserve">(i) Si esta cuestión de inconstitucionalidad hubiera emanado de un proceso en el que se controvirtiera la conformidad a Derecho de singulares actuaciones administrativas realizadas en aplicación del Real Decreto 958/2020 no habría razón para poner en duda, pese a la sobrevenida adopción del artículo 7 </w:t>
      </w:r>
      <w:r w:rsidRPr="008D479B">
        <w:rPr>
          <w:i/>
        </w:rPr>
        <w:t>bis</w:t>
      </w:r>
      <w:r>
        <w:t xml:space="preserve">, la pervivencia de su relevancia originaria, pues en tal eventualidad el órgano judicial habría desde luego de tomar en cuenta, con arreglo al criterio </w:t>
      </w:r>
      <w:r w:rsidRPr="008D479B">
        <w:rPr>
          <w:i/>
        </w:rPr>
        <w:t>tempus regit actum</w:t>
      </w:r>
      <w:r>
        <w:t>, el texto entonces vigente, sin añadidos, de la Ley 13/2011, cuyo artículo 7.2 habría abierto a la regulación incondicionada por reglamento —como hoy se aduce— una materia reservada a la ley y con afectación —a diferencia del caso presente— de situaciones jurídicas individualizadas [al respecto, por todas, SSTC 60/2018, de 4 de junio, FJ 2 a); 22/2019, de 14 de febrero, FJ 2, y 157/2019, FJ 2 a)]. Tampoco esa irrelevancia sobrevenida de la cuestión de inconstitucionalidad sería apreciable ante el supuesto de que, constantes las demás condiciones y circunstancias aquí examinadas, al reglamento directamente impugnado se le hubiera imputado un vicio sustantivo que reiterara el presente en la propia ley, pues tal vez entonces hubiera sido posible argüir la viabilidad de la cuestión para propiciar —de estimarse la misma— la ulterior depuración definitiva de la norma reglamentaria. Pero ninguna de estas hipótesis se ha verificado en el caso actual. Esta cuestión proviene de un proceso de control abstracto de norma reglamentaria en el que no aparece comprometida ninguna situación jurídica individualizada, y al real decreto entonces impugnado, de otra parte, no se le reprochó —por cuanto interesa a la cuestión promovida— infracción sustantiva alguna, sino su insuficiencia de rango para la ordenación que, sin predeterminación legal alguna, dispuso en este ámbito [apartados A) b) y B) a) del fundamento jurídico 2].</w:t>
      </w:r>
    </w:p>
    <w:p w14:paraId="167D95C0" w14:textId="77777777" w:rsidR="008D479B" w:rsidRDefault="008D479B" w:rsidP="008D479B">
      <w:pPr>
        <w:pStyle w:val="TextoNormal"/>
      </w:pPr>
    </w:p>
    <w:p w14:paraId="1E6A9C21" w14:textId="77777777" w:rsidR="008D479B" w:rsidRDefault="008D479B" w:rsidP="008D479B">
      <w:pPr>
        <w:pStyle w:val="TextoNormal"/>
      </w:pPr>
      <w:r>
        <w:t xml:space="preserve">(ii) Así las cosas, la relevancia de una posible inconstitucionalidad como la aquí planteada respecto del artículo 7.2 de la Ley 13/2011 solo podría subsistir (a reserva del criterio último de este tribunal) si se llegara a estimar por el órgano judicial —en improbable hipótesis— que el nuevo artículo 7 </w:t>
      </w:r>
      <w:r w:rsidRPr="008D479B">
        <w:rPr>
          <w:i/>
        </w:rPr>
        <w:t>bis</w:t>
      </w:r>
      <w:r>
        <w:t xml:space="preserve"> de la misma ley habría de resultar de todo punto intrascendente (inaplicable, en rigor) para la resolución de la pretensión impugnatoria deducida en el proceso de origen, algo que en tal caso, y conforme a doctrina constitucional constante (desde la STC 14/1981, de 29 de abril, FJ 1), tendría que ser debidamente fundamentado por el juzgador </w:t>
      </w:r>
      <w:r w:rsidRPr="008D479B">
        <w:rPr>
          <w:i/>
        </w:rPr>
        <w:t>a quo</w:t>
      </w:r>
      <w:r>
        <w:t xml:space="preserve">, pero que el Tribunal Supremo, como es obvio, ni siquiera ha podido aquí considerar (véase, ante situación no muy distinta, ATC 23/2013, FJ 5 </w:t>
      </w:r>
      <w:r w:rsidRPr="008D479B">
        <w:rPr>
          <w:i/>
        </w:rPr>
        <w:t>in fine</w:t>
      </w:r>
      <w:r>
        <w:t>). Este Tribunal Constitucional no abriga mayor duda en cuanto a que la presente cuestión de inconstitucionalidad no se hubiera llegado a suscitar, o se hubiera suscitado en muy distintos términos, de haber entrado en vigor el nuevo precepto legal en fechas anteriores a aquella en que se decidió promoverla.</w:t>
      </w:r>
    </w:p>
    <w:p w14:paraId="0A08925B" w14:textId="77777777" w:rsidR="008D479B" w:rsidRDefault="008D479B" w:rsidP="008D479B">
      <w:pPr>
        <w:pStyle w:val="TextoNormal"/>
      </w:pPr>
    </w:p>
    <w:p w14:paraId="75096728" w14:textId="7D464D18" w:rsidR="008D479B" w:rsidRDefault="008D479B" w:rsidP="008D479B">
      <w:pPr>
        <w:pStyle w:val="TextoNormal"/>
      </w:pPr>
      <w:r>
        <w:t>Decaída, en suma, la fundamentación inicial de la relevancia de la cuestión no queda sino declarar su extinción por pérdida sobrevenida de uno de sus indispensables presupuestos y, en definitiva, de su objeto mismo.</w:t>
      </w:r>
    </w:p>
    <w:p w14:paraId="1EA48788" w14:textId="77777777" w:rsidR="008D479B" w:rsidRDefault="008D479B" w:rsidP="008D479B">
      <w:pPr>
        <w:pStyle w:val="TextoNormal"/>
      </w:pPr>
    </w:p>
    <w:p w14:paraId="2B338AB4" w14:textId="77777777" w:rsidR="008D479B" w:rsidRDefault="008D479B" w:rsidP="008D479B">
      <w:pPr>
        <w:pStyle w:val="TextoNormalCentrado"/>
        <w:keepNext/>
      </w:pPr>
      <w:r>
        <w:t>FALLO</w:t>
      </w:r>
    </w:p>
    <w:p w14:paraId="236D9FF3" w14:textId="3F9DFE5A" w:rsidR="008D479B" w:rsidRDefault="008D479B" w:rsidP="008D479B">
      <w:pPr>
        <w:pStyle w:val="TextoNormalCentrado"/>
        <w:keepNext/>
      </w:pPr>
    </w:p>
    <w:p w14:paraId="2D8CDF99" w14:textId="683B4D10" w:rsidR="008D479B" w:rsidRDefault="008D479B" w:rsidP="008D479B">
      <w:pPr>
        <w:pStyle w:val="TextoNormal"/>
      </w:pPr>
      <w:r>
        <w:t>En atención a todo lo expuesto, el Tribunal Constitucional, por la autoridad que le confiere la Constitución de la Nación española, ha decidido declarar la extinción, por desaparición sobrevenida de su objeto, de la cuestión de inconstitucionalidad núm. 5949-2022, planteada por la Sala de lo Contencioso-Administrativo del Tribunal Supremo en relación con el artículo 7.2 de la Ley 13/2011, de 27 de mayo, de regulación del juego.</w:t>
      </w:r>
    </w:p>
    <w:p w14:paraId="4A3D6D9B" w14:textId="77777777" w:rsidR="008D479B" w:rsidRDefault="008D479B" w:rsidP="008D479B">
      <w:pPr>
        <w:pStyle w:val="TextoNormal"/>
      </w:pPr>
    </w:p>
    <w:p w14:paraId="1333E756" w14:textId="77777777" w:rsidR="008D479B" w:rsidRDefault="008D479B" w:rsidP="008D479B">
      <w:pPr>
        <w:pStyle w:val="TextoNormal"/>
      </w:pPr>
      <w:r>
        <w:t>Publíquese esta sentencia en el “Boletín Oficial del Estado”.</w:t>
      </w:r>
    </w:p>
    <w:p w14:paraId="0030E86E" w14:textId="77777777" w:rsidR="008D479B" w:rsidRDefault="008D479B" w:rsidP="008D479B">
      <w:pPr>
        <w:pStyle w:val="TextoNormal"/>
      </w:pPr>
      <w:r>
        <w:t>Dada en Madrid, a veintidós de noviembre de dos mil veintitrés.</w:t>
      </w:r>
    </w:p>
    <w:p w14:paraId="243A4B89" w14:textId="6B7081E3" w:rsidR="008D479B" w:rsidRDefault="008D479B">
      <w:pPr>
        <w:spacing w:after="160" w:line="278" w:lineRule="auto"/>
        <w:rPr>
          <w:rFonts w:ascii="Times New Roman" w:eastAsia="Times New Roman" w:hAnsi="Times New Roman" w:cs="Times New Roman"/>
          <w:sz w:val="24"/>
          <w:szCs w:val="24"/>
          <w:lang w:eastAsia="es-ES"/>
        </w:rPr>
      </w:pPr>
      <w:r>
        <w:br w:type="page"/>
      </w:r>
    </w:p>
    <w:p w14:paraId="5535CB83" w14:textId="77777777" w:rsidR="008D479B" w:rsidRDefault="008D479B" w:rsidP="008D479B">
      <w:pPr>
        <w:pStyle w:val="TtuloResolucin"/>
      </w:pPr>
      <w:bookmarkStart w:id="95" w:name="SENTENCIA_2023_170"/>
      <w:r>
        <w:t>SENTENCIA 170/2023, de 22 de noviembre de 2023</w:t>
      </w:r>
    </w:p>
    <w:bookmarkEnd w:id="95"/>
    <w:p w14:paraId="7EA28BBA" w14:textId="77777777" w:rsidR="008D479B" w:rsidRDefault="008D479B" w:rsidP="008D479B">
      <w:pPr>
        <w:pStyle w:val="TtuloResolucin"/>
      </w:pPr>
      <w:r>
        <w:t>Pleno</w:t>
      </w:r>
    </w:p>
    <w:p w14:paraId="60878BB5" w14:textId="77777777" w:rsidR="008D479B" w:rsidRDefault="008D479B" w:rsidP="008D479B">
      <w:pPr>
        <w:pStyle w:val="TtuloBOE"/>
      </w:pPr>
      <w:r>
        <w:t>(BOE núm. 304, de 21 de diciembre de 2023)</w:t>
      </w:r>
    </w:p>
    <w:p w14:paraId="1E20F577" w14:textId="77777777" w:rsidR="008D479B" w:rsidRDefault="008D479B" w:rsidP="008D479B">
      <w:pPr>
        <w:pStyle w:val="TextoNormalCentrado"/>
      </w:pPr>
      <w:r>
        <w:t>ECLI:ES:TC:2023:170</w:t>
      </w:r>
    </w:p>
    <w:p w14:paraId="7A5F1D3B" w14:textId="2DF1539A" w:rsidR="008D479B" w:rsidRDefault="008D479B" w:rsidP="008D479B">
      <w:pPr>
        <w:pStyle w:val="TextoNormalCentrado"/>
      </w:pPr>
    </w:p>
    <w:p w14:paraId="71263A56" w14:textId="77777777" w:rsidR="008D479B" w:rsidRDefault="008D479B" w:rsidP="008D479B">
      <w:pPr>
        <w:pStyle w:val="SntesisDescriptiva"/>
      </w:pPr>
      <w:r>
        <w:t>Recurso de inconstitucionalidad 1258-2023. Interpuesto por el Gobierno de la Junta de Andalucía respecto del artículo 3 de la Ley 38/2022, de 27 de diciembre, para el establecimiento de gravámenes temporales energético y de entidades de crédito y establecimientos financieros de crédito y por la que se crea el impuesto temporal de solidaridad de las grandes fortunas, y se modifican determinadas normas tributarias.</w:t>
      </w:r>
    </w:p>
    <w:p w14:paraId="0BB65D6E" w14:textId="01CEAF42" w:rsidR="008D479B" w:rsidRDefault="008D479B" w:rsidP="008D479B">
      <w:pPr>
        <w:pStyle w:val="SntesisDescriptiva"/>
      </w:pPr>
    </w:p>
    <w:p w14:paraId="37A3A7DF" w14:textId="77777777" w:rsidR="008D479B" w:rsidRDefault="008D479B" w:rsidP="008D479B">
      <w:pPr>
        <w:pStyle w:val="SntesisAnaltica"/>
      </w:pPr>
      <w:r>
        <w:t>Supuesta vulneración del derecho al ejercicio de las funciones representativas (homogeneidad de las enmiendas parlamentarias respecto del texto que se pretende modificar), principios de legalidad tributaria, capacidad económica y no confiscatoriedad, corresponsabilidad fiscal y lealtad institucional: STC 149/2023 (constitucionalidad del precepto legal que crea el impuesto temporal sobre grandes fortunas como tributo directo, de naturaleza personal y complementario del impuesto sobre el patrimonio). Voto particular.</w:t>
      </w:r>
    </w:p>
    <w:p w14:paraId="6DFB63F3" w14:textId="7B34E78B" w:rsidR="008D479B" w:rsidRDefault="008D479B" w:rsidP="008D479B">
      <w:pPr>
        <w:pStyle w:val="SntesisAnaltica"/>
      </w:pPr>
    </w:p>
    <w:p w14:paraId="4E859DC5" w14:textId="35772C68" w:rsidR="008D479B" w:rsidRDefault="008D479B" w:rsidP="008D479B">
      <w:pPr>
        <w:pStyle w:val="Extracto"/>
      </w:pPr>
      <w:r>
        <w:t>1.</w:t>
      </w:r>
      <w:r>
        <w:tab/>
        <w:t xml:space="preserve">En aplicación de la doctrina dictada en la STC 149/2023, los principios de lealtad institucional -reconocido en el art. 2.1 g) LOFCA- y de igualdad no quedan afectados por el establecimiento del impuesto temporal de solidaridad de las grandes fortunas porque este tributo genera desigualdad ni pérdida recaudatoria para las comunidades autónomas </w:t>
      </w:r>
    </w:p>
    <w:p w14:paraId="764E4C73" w14:textId="77777777" w:rsidR="008D479B" w:rsidRDefault="008D479B" w:rsidP="008D479B">
      <w:pPr>
        <w:pStyle w:val="Extracto"/>
      </w:pPr>
    </w:p>
    <w:p w14:paraId="55802135" w14:textId="77777777" w:rsidR="008D479B" w:rsidRDefault="008D479B" w:rsidP="008D479B">
      <w:pPr>
        <w:pStyle w:val="Extracto"/>
      </w:pPr>
    </w:p>
    <w:p w14:paraId="2B9936F0" w14:textId="77777777" w:rsidR="008D479B" w:rsidRDefault="008D479B" w:rsidP="008D479B">
      <w:pPr>
        <w:pStyle w:val="TextoNormal"/>
      </w:pPr>
      <w: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 ha pronunciado</w:t>
      </w:r>
    </w:p>
    <w:p w14:paraId="639F90E5" w14:textId="721F0895" w:rsidR="008D479B" w:rsidRDefault="008D479B" w:rsidP="008D479B">
      <w:pPr>
        <w:pStyle w:val="TextoNormal"/>
      </w:pPr>
    </w:p>
    <w:p w14:paraId="2D883455" w14:textId="77777777" w:rsidR="008D479B" w:rsidRDefault="008D479B" w:rsidP="008D479B">
      <w:pPr>
        <w:pStyle w:val="TextoNormalCentrado"/>
        <w:keepNext/>
      </w:pPr>
      <w:r>
        <w:t>EN NOMBRE DEL REY</w:t>
      </w:r>
    </w:p>
    <w:p w14:paraId="32E480BB" w14:textId="032B41CE" w:rsidR="008D479B" w:rsidRDefault="008D479B" w:rsidP="008D479B">
      <w:pPr>
        <w:pStyle w:val="TextoNormalCentrado"/>
        <w:keepNext/>
      </w:pPr>
    </w:p>
    <w:p w14:paraId="59CD905D" w14:textId="77777777" w:rsidR="008D479B" w:rsidRDefault="008D479B" w:rsidP="008D479B">
      <w:pPr>
        <w:pStyle w:val="TextoNormalCentrado"/>
        <w:keepNext/>
      </w:pPr>
    </w:p>
    <w:p w14:paraId="159E999D" w14:textId="77777777" w:rsidR="008D479B" w:rsidRDefault="008D479B" w:rsidP="008D479B">
      <w:pPr>
        <w:pStyle w:val="TextoNormal"/>
      </w:pPr>
      <w:r>
        <w:t>la siguiente</w:t>
      </w:r>
    </w:p>
    <w:p w14:paraId="427137B0" w14:textId="0C723D19" w:rsidR="008D479B" w:rsidRDefault="008D479B" w:rsidP="008D479B">
      <w:pPr>
        <w:pStyle w:val="TextoNormal"/>
      </w:pPr>
    </w:p>
    <w:p w14:paraId="0B1DD35A" w14:textId="77777777" w:rsidR="008D479B" w:rsidRDefault="008D479B" w:rsidP="008D479B">
      <w:pPr>
        <w:pStyle w:val="TextoNormalCentrado"/>
        <w:keepNext/>
      </w:pPr>
      <w:r>
        <w:t>SENTENCIA</w:t>
      </w:r>
    </w:p>
    <w:p w14:paraId="0C72035B" w14:textId="0CF76D03" w:rsidR="008D479B" w:rsidRDefault="008D479B" w:rsidP="008D479B">
      <w:pPr>
        <w:pStyle w:val="TextoNormalCentrado"/>
        <w:keepNext/>
      </w:pPr>
    </w:p>
    <w:p w14:paraId="46348057" w14:textId="77777777" w:rsidR="008D479B" w:rsidRDefault="008D479B" w:rsidP="008D479B">
      <w:pPr>
        <w:pStyle w:val="TextoNormal"/>
      </w:pPr>
      <w:r>
        <w:t>En el recurso de inconstitucionalidad núm. 1258-2023, interpuesto por el Gobierno de la Junta de Andalucía contra el art. 3 de la Ley 38/2022, de 27 de diciembre, para el establecimiento de gravámenes temporales energético y de entidades de crédito y establecimientos financieros de crédito y por la que se crea el impuesto temporal de solidaridad de las grandes fortunas, y se modifican determinadas normas tributarias. Han comparecido el Congreso de los Diputados, el Senado y el Gobierno de la Nación. Han formulado alegaciones la letrada de las Cortes Generales, en representación del Congreso, y el abogado del Estado, en representación del Gobierno. Ha sido ponente el magistrado don Juan Carlos Campo Moreno.</w:t>
      </w:r>
    </w:p>
    <w:p w14:paraId="542F247E" w14:textId="433E4045" w:rsidR="008D479B" w:rsidRDefault="008D479B" w:rsidP="008D479B">
      <w:pPr>
        <w:pStyle w:val="TextoNormal"/>
      </w:pPr>
    </w:p>
    <w:p w14:paraId="35E92EB9" w14:textId="77777777" w:rsidR="008D479B" w:rsidRDefault="008D479B" w:rsidP="008D479B">
      <w:pPr>
        <w:pStyle w:val="TextoNormalNegritaCentrado"/>
        <w:keepNext/>
      </w:pPr>
      <w:r>
        <w:t>I. Antecedentes</w:t>
      </w:r>
    </w:p>
    <w:p w14:paraId="30FF221E" w14:textId="46CCB283" w:rsidR="008D479B" w:rsidRDefault="008D479B" w:rsidP="008D479B">
      <w:pPr>
        <w:pStyle w:val="TextoNormalNegritaCentrado"/>
        <w:keepNext/>
      </w:pPr>
    </w:p>
    <w:p w14:paraId="6826603A" w14:textId="77777777" w:rsidR="008D479B" w:rsidRDefault="008D479B" w:rsidP="008D479B">
      <w:pPr>
        <w:pStyle w:val="TextoNormal"/>
      </w:pPr>
      <w:r w:rsidRPr="008D479B">
        <w:rPr>
          <w:rStyle w:val="NumeroAFNegritaCaracter"/>
        </w:rPr>
        <w:t>1</w:t>
      </w:r>
      <w:r>
        <w:t>. Mediante escrito presentado el 24 de febrero de 2023 en el registro del Tribunal Constitucional, el Gobierno de la Junta de Andalucía interpuso un recurso de inconstitucionalidad contra el art. 3 de la Ley 38/2022, de 27 de diciembre, para el establecimiento de gravámenes temporales energético y de entidades de crédito y establecimientos financieros de crédito y por la que se crea el impuesto temporal de solidaridad de las grandes fortunas, y se modifican determinadas normas tributarias (en adelante, Ley 38/2022). Dicha ley fue publicada en el “Boletín Oficial del Estado” núm. 311, de 28 de diciembre de 2022 (corrección de errores publicada en el “BOE” núm. 54, de 4 de marzo de 2023, que no afecta al precepto impugnado). El art. 3 que se impugna lleva por rúbrica “Impuesto Temporal de Solidaridad de las Grandes Fortunas”.</w:t>
      </w:r>
    </w:p>
    <w:p w14:paraId="620CC0F5" w14:textId="77777777" w:rsidR="008D479B" w:rsidRDefault="008D479B" w:rsidP="008D479B">
      <w:pPr>
        <w:pStyle w:val="TextoNormal"/>
      </w:pPr>
    </w:p>
    <w:p w14:paraId="421B5E7A" w14:textId="77777777" w:rsidR="008D479B" w:rsidRDefault="008D479B" w:rsidP="008D479B">
      <w:pPr>
        <w:pStyle w:val="TextoNormal"/>
      </w:pPr>
      <w:r>
        <w:t>El recurso de inconstitucionalidad se funda en cuatro motivos: a) infracción de la autonomía financiera de las comunidades autónomas y del bloque de la constitucionalidad en materia de tributos cedidos; b) vulneración del derecho de representación política consagrado en el art. 23.2 CE; c) vulneración de los principios de lealtad constitucional y de lealtad institucional del art. 2.1 g) de la Ley Orgánica 8/1980, de 22 de septiembre, de financiación de las comunidades autónomas (LOFCA), y d) infracción del principio de seguridad jurídica del art. 9.3 CE.</w:t>
      </w:r>
    </w:p>
    <w:p w14:paraId="4FD2FB47" w14:textId="77777777" w:rsidR="008D479B" w:rsidRDefault="008D479B" w:rsidP="008D479B">
      <w:pPr>
        <w:pStyle w:val="TextoNormal"/>
      </w:pPr>
    </w:p>
    <w:p w14:paraId="07BA95E5" w14:textId="77777777" w:rsidR="008D479B" w:rsidRDefault="008D479B" w:rsidP="008D479B">
      <w:pPr>
        <w:pStyle w:val="TextoNormal"/>
      </w:pPr>
      <w:r>
        <w:t>a) La demanda denuncia, en primer lugar, la vulneración de la autonomía financiera de la Comunidad Autónoma de Andalucía y la consiguiente infracción de los arts. 2, 137 y 156.1 CE. A esta alegación principal se suma la infracción de dos garantías procedimentales: (i) de la reserva de ley orgánica para la regulación del ejercicio de las competencias financieras de las comunidades autónomas [art. 157 CE, en relación con los arts. 1 y 19.2 b) LOFCA, y arts. 175 y 180.2 del Estatuto de Autonomía para Andalucía (EAAnd)]; y (ii) de la obligación prevista en los arts. 176.2 a) y 178 EAAnd de someter a acuerdo de la Comisión Mixta de Asuntos Económicos y Fiscales Estado-Comunidad Autónoma de Andalucía y de tramitar como proyecto de ley cualquier modificación legislativa que afecte al alcance y las condiciones de la cesión de un tributo.</w:t>
      </w:r>
    </w:p>
    <w:p w14:paraId="731EF99C" w14:textId="77777777" w:rsidR="008D479B" w:rsidRDefault="008D479B" w:rsidP="008D479B">
      <w:pPr>
        <w:pStyle w:val="TextoNormal"/>
      </w:pPr>
    </w:p>
    <w:p w14:paraId="1116F0FD" w14:textId="77777777" w:rsidR="008D479B" w:rsidRDefault="008D479B" w:rsidP="008D479B">
      <w:pPr>
        <w:pStyle w:val="TextoNormal"/>
      </w:pPr>
      <w:r>
        <w:t>La impugnación se basa en una comprensión del impuesto temporal de solidaridad de las grandes fortunas como una figura tributaria artificiosa que supone un mero sucedáneo o “clon” del impuesto sobre el patrimonio, sobre el que Andalucía estableció una bonificación del 100 por 100 en la cuota a través del Decreto-ley de la Junta de Andalucía 7/2022, de 20 de septiembre. A juicio del letrado autonómico, el nuevo impuesto ha sido introducido con la única finalidad de vaciar de contenido la competencia normativa de las comunidades autónomas sobre el impuesto sobre el patrimonio y, más concretamente, con la intención de neutralizar las bonificaciones introducidas por algunas de ellas.</w:t>
      </w:r>
    </w:p>
    <w:p w14:paraId="6C9FC25F" w14:textId="77777777" w:rsidR="008D479B" w:rsidRDefault="008D479B" w:rsidP="008D479B">
      <w:pPr>
        <w:pStyle w:val="TextoNormal"/>
      </w:pPr>
    </w:p>
    <w:p w14:paraId="4CB8276E" w14:textId="77777777" w:rsidR="008D479B" w:rsidRDefault="008D479B" w:rsidP="008D479B">
      <w:pPr>
        <w:pStyle w:val="TextoNormal"/>
      </w:pPr>
      <w:r>
        <w:t>Los argumentos que acreditan que la verdadera naturaleza del impuesto temporal de solidaridad de las grandes fortunas es la de un impuesto “clon” del impuesto sobre el patrimonio son los siguientes: (i) el preámbulo de la propia Ley 38/2022 (apartado V) reconoce tanto la finalidad “armonizadora” del primero de dichos impuestos, como su coincidencia “básica” con el impuesto sobre el patrimonio; (ii) la coincidencia entre ambos tributos va más allá de lo que expresamente se reconoce en el preámbulo, como ponen de manifiesto las numerosas remisiones que hace la Ley 38/2022 a las reglas de la Ley 19/1991, de 6 de junio, del impuesto sobre el patrimonio; (iii) no obstante, la coincidencia fundamental se encuentra en la regulación del hecho imponible. El preámbulo niega la identidad entre ambos tributos, pero el letrado de la Junta observa que la única diferencia es el umbral de tributación (3 000 000 € en el impuesto temporal de solidaridad de las grandes fortunas) lo que no puede entenderse integrado en el núcleo esencial de la definición del hecho imponible. Hay, por ello, una coincidencia sustancial entre ambos impuestos, que hacen del tributo aquí controvertido un “impuesto sobre el patrimoni</w:t>
      </w:r>
      <w:r w:rsidRPr="008D479B">
        <w:rPr>
          <w:i/>
        </w:rPr>
        <w:t>o b</w:t>
      </w:r>
      <w:r>
        <w:t>is”.</w:t>
      </w:r>
    </w:p>
    <w:p w14:paraId="1C17B006" w14:textId="77777777" w:rsidR="008D479B" w:rsidRDefault="008D479B" w:rsidP="008D479B">
      <w:pPr>
        <w:pStyle w:val="TextoNormal"/>
      </w:pPr>
    </w:p>
    <w:p w14:paraId="546BCB77" w14:textId="77777777" w:rsidR="008D479B" w:rsidRDefault="008D479B" w:rsidP="008D479B">
      <w:pPr>
        <w:pStyle w:val="TextoNormal"/>
      </w:pPr>
      <w:r>
        <w:t>Con este presupuesto, el letrado autonómico argumenta que la figura creada en el artículo impugnado no solo duplica otro tributo estatal preexistente (impuesto sobre el patrimonio), que ha sido objeto de cesión a las comunidades autónomas, sino que, en la práctica, vacía de contenido las competencias normativas atribuidas a la Comunidad Autónoma de Andalucía respecto del impuesto sobre el patrimonio. Así resulta del efecto combinado del art. 3.2.2, que prohíbe la cesión del nuevo tributo a las comunidades autónomas, y del art. 3.15, según el cual de la cuota del impuesto temporal de solidaridad de las grandes fortunas se podrá deducir la cuota del impuesto sobre el patrimonio efectivamente satisfecha.</w:t>
      </w:r>
    </w:p>
    <w:p w14:paraId="56881083" w14:textId="77777777" w:rsidR="008D479B" w:rsidRDefault="008D479B" w:rsidP="008D479B">
      <w:pPr>
        <w:pStyle w:val="TextoNormal"/>
      </w:pPr>
    </w:p>
    <w:p w14:paraId="11FDADA8" w14:textId="77777777" w:rsidR="008D479B" w:rsidRDefault="008D479B" w:rsidP="008D479B">
      <w:pPr>
        <w:pStyle w:val="TextoNormal"/>
      </w:pPr>
      <w:r>
        <w:t>Esta regulación pone a las comunidades autónomas que establecieron bonificaciones de cuota en el impuesto sobre el patrimonio, como es el caso de Andalucía, ante una disyuntiva clara. Si las mantienen, será el Estado el que, a través de este nuevo tributo, reciba los ingresos correspondientes. Si las suprimen, podrán, por lo menos, recibir esos ingresos. La bonificación queda, con ello, completamente neutralizada. Las comunidades autónomas que no han bonificado el impuesto sobre el patrimonio se verán, además, disuadidas de hacerlo, ya que el único efecto sería transferir los ingresos que vienen percibiendo al Estado.</w:t>
      </w:r>
    </w:p>
    <w:p w14:paraId="12284BFD" w14:textId="77777777" w:rsidR="008D479B" w:rsidRDefault="008D479B" w:rsidP="008D479B">
      <w:pPr>
        <w:pStyle w:val="TextoNormal"/>
      </w:pPr>
    </w:p>
    <w:p w14:paraId="66553CF5" w14:textId="77777777" w:rsidR="008D479B" w:rsidRDefault="008D479B" w:rsidP="008D479B">
      <w:pPr>
        <w:pStyle w:val="TextoNormal"/>
      </w:pPr>
      <w:r>
        <w:t>Esto supone una lesión de la autonomía financiera, ya que —a juicio del gobierno autonómico recurrente— esta debe concebirse en clave de autonomía política (conforme a una lectura conjunta de los arts. 2, 137 y 156.1 CE) y debe entenderse que incluye la utilización de las “herramientas fiscales” no solo para obtener ingresos sino también para perseguir finalidades extrafiscales legítimas (no recaudatorias). Eso es precisamente lo que ha hecho la Comunidad Autónoma de Andalucía al bonificar al 100 por 100 la cuota del impuesto sobre el patrimonio. El Decreto-ley 7/2022, de 20 de septiembre, precisaba que esa bonificación se introducía con el objetivo de atraer “más talento con capacidad inversora y con ello el fomento de la actividad económica andaluza y la creación de empleo” (apartado III del preámbulo). La posibilidad de utilizar las figuras tributarias para lograr fines extrafiscales se ve fortalecida por la propia evolución del sistema de financiación autonómica a un modelo basado en la “corresponsabilidad fiscal”.</w:t>
      </w:r>
    </w:p>
    <w:p w14:paraId="63EBA370" w14:textId="77777777" w:rsidR="008D479B" w:rsidRDefault="008D479B" w:rsidP="008D479B">
      <w:pPr>
        <w:pStyle w:val="TextoNormal"/>
      </w:pPr>
    </w:p>
    <w:p w14:paraId="2D279BCF" w14:textId="77777777" w:rsidR="008D479B" w:rsidRDefault="008D479B" w:rsidP="008D479B">
      <w:pPr>
        <w:pStyle w:val="TextoNormal"/>
      </w:pPr>
      <w:r>
        <w:t>El letrado de la Junta de Andalucía invoca, en apoyo de esta interpretación, la STC 179/2006, de 13 de junio, FJ 3. En su opinión, si esta resolución reconoce que las comunidades autónomas pueden crear tributos con finalidades extrafiscales, de ello se infiere que también pueden ejercitar con tales fines sus competencias normativas sobre los tributos cedidos por el Estado. Añade que no resulta aplicable a este supuesto la doctrina establecida en la STC 26/2015, de 19 de febrero, que avaló la creación por el Estado del impuesto sobre depósitos en entidades de crédito con pretensión armonizadora. Según argumenta, el Estado actuaba, en dicho supuesto, al amparo del art. 6.2 LOFCA, que le autoriza expresamente a establecer tributos sobre hechos imponibles gravados por las comunidades autónomas siempre que introduzca medidas adecuadas de compensación. En este caso, sin embargo, el impuesto sobre el patrimonio no es un tributo autonómico, sino un tributo estatal cedido. Eso quiere decir que estamos ante un hecho imponible que ya está gravado por el propio Estado y que queda, por consiguiente, fuera del ámbito del art. 6.2 LOFCA. Por ello, no puede entenderse amparado por la doctrina fijada en la citada STC 26/2015.</w:t>
      </w:r>
    </w:p>
    <w:p w14:paraId="5266B566" w14:textId="77777777" w:rsidR="008D479B" w:rsidRDefault="008D479B" w:rsidP="008D479B">
      <w:pPr>
        <w:pStyle w:val="TextoNormal"/>
      </w:pPr>
    </w:p>
    <w:p w14:paraId="631D50C0" w14:textId="77777777" w:rsidR="008D479B" w:rsidRDefault="008D479B" w:rsidP="008D479B">
      <w:pPr>
        <w:pStyle w:val="TextoNormal"/>
      </w:pPr>
      <w:r>
        <w:t>Junto a esta alegación sustancial, este primer motivo del recurso de inconstitucionalidad también se alegan dos infracciones procedimentales o formales: (i) de la reserva de ley orgánica para la regulación del ejercicio de las competencias financieras de las comunidades autónomas resultante del art. 157.3 CE, en relación con los arts. 1 y 19.2.b) LOFCA, dada la especial intensidad que la creación del impuesto temporal de solidaridad de las grandes fortunas tiene sobre un tributo cedido (el impuesto sobre el patrimonio) y, en general, sobre el sistema de financiación autonómica. Esta vulneración se relaciona, igualmente, con la infracción del art. 180.2 EAAnd, que establece que la Comunidad Autónoma de Andalucía ejerce las competencias normativas sobre los tributos cedidos en los términos previstos en la LOFCA y concretados en la ley que regule la cesión de tributos; y (ii) de la obligación prevista en los arts. 176.2 a) y 178 EAAnd de someter a acuerdo de la Comisión Mixta de Asuntos Económicos y Fiscales Estado-Comunidad Autónoma de Andalucía y de tramitar como proyecto de ley cualquier modificación legislativa que afecte al alcance y las condiciones de cesión de un tributo.</w:t>
      </w:r>
    </w:p>
    <w:p w14:paraId="4CFB8502" w14:textId="77777777" w:rsidR="008D479B" w:rsidRDefault="008D479B" w:rsidP="008D479B">
      <w:pPr>
        <w:pStyle w:val="TextoNormal"/>
      </w:pPr>
    </w:p>
    <w:p w14:paraId="1AC813D5" w14:textId="77777777" w:rsidR="008D479B" w:rsidRDefault="008D479B" w:rsidP="008D479B">
      <w:pPr>
        <w:pStyle w:val="TextoNormal"/>
      </w:pPr>
      <w:r>
        <w:t xml:space="preserve">b) En segundo lugar, el Gobierno de la Junta de Andalucía denuncia que la disposición impugnada vulnera el derecho de representación política del art. 23.2 CE. En concreto, en la tramitación parlamentaria que dio lugar al art. 3 de la Ley 38/2022 se vulneró el </w:t>
      </w:r>
      <w:r w:rsidRPr="008D479B">
        <w:rPr>
          <w:i/>
        </w:rPr>
        <w:t>ius in officium</w:t>
      </w:r>
      <w:r>
        <w:t xml:space="preserve"> de los diputados, pues, al incorporarse a través de una enmienda que no guardaba una mínima conexión de homogeneidad con la iniciativa legislativa que había sido admitida a trámite, se alteró el objeto de deliberación.</w:t>
      </w:r>
    </w:p>
    <w:p w14:paraId="0514674D" w14:textId="77777777" w:rsidR="008D479B" w:rsidRDefault="008D479B" w:rsidP="008D479B">
      <w:pPr>
        <w:pStyle w:val="TextoNormal"/>
      </w:pPr>
    </w:p>
    <w:p w14:paraId="3219D779" w14:textId="77777777" w:rsidR="008D479B" w:rsidRDefault="008D479B" w:rsidP="008D479B">
      <w:pPr>
        <w:pStyle w:val="TextoNormal"/>
      </w:pPr>
      <w:r>
        <w:t>Recuerda que la toma en consideración de la proposición de ley que dio lugar a la Ley 38/2022 se produjo el 19 de septiembre de 2022. El debate de totalidad tuvo lugar el 3 de noviembre siguiente. Fue después del debate de totalidad cuando se presentó la enmienda por la que se incorporó el impuesto temporal de solidaridad de las grandes fortunas al texto de la iniciativa legislativa en trámite. La enmienda pasó directamente a la Comisión de Asuntos Económicos y Transformación Digital, donde ya no era posible que los parlamentarios de las minorías corrigieran su texto, lo que suscitó la protesta de los grupos parlamentarios Popular y Ciudadanos.</w:t>
      </w:r>
    </w:p>
    <w:p w14:paraId="5D60B392" w14:textId="77777777" w:rsidR="008D479B" w:rsidRDefault="008D479B" w:rsidP="008D479B">
      <w:pPr>
        <w:pStyle w:val="TextoNormal"/>
      </w:pPr>
    </w:p>
    <w:p w14:paraId="5F0840E2" w14:textId="77777777" w:rsidR="008D479B" w:rsidRDefault="008D479B" w:rsidP="008D479B">
      <w:pPr>
        <w:pStyle w:val="TextoNormal"/>
      </w:pPr>
      <w:r>
        <w:t>La enmienda así aprobada no guardaba una mínima conexión de homogeneidad con la proposición de ley a la que fue incorporada, pues el texto inicial de esta no contenía ninguna mención al impuesto temporal de solidaridad de las grandes fortunas y solo “pretendía regular dos gravámenes temporales de naturaleza no tributaria”, uno para el sector eléctrico, gasista y petrolero y otro para las entidades de crédito, en cuanto que son sectores —según el preámbulo de la proposición— “cuyos márgenes de beneficios se pueden ver más favorecidos por la escalada de precios”.</w:t>
      </w:r>
    </w:p>
    <w:p w14:paraId="6143F0BE" w14:textId="77777777" w:rsidR="008D479B" w:rsidRDefault="008D479B" w:rsidP="008D479B">
      <w:pPr>
        <w:pStyle w:val="TextoNormal"/>
      </w:pPr>
    </w:p>
    <w:p w14:paraId="7370ED35" w14:textId="77777777" w:rsidR="008D479B" w:rsidRDefault="008D479B" w:rsidP="008D479B">
      <w:pPr>
        <w:pStyle w:val="TextoNormal"/>
      </w:pPr>
      <w:r>
        <w:t>Se aprobó, con ello, una enmienda incongruente con la proposición de ley, pues: (i) implicaba la creación de un tributo, cuando la proposición de ley solo quería establecer dos gravámenes temporales de naturaleza no tributaria; (ii) se apartaba del ámbito de sectores favorecidos por la crisis económica al que se refería la proposición inicial; y (iii) respondía, finalmente, a una finalidad armonizadora del alcance y condiciones de cesión del impuesto sobre el patrimonio, lo que era igualmente ajeno a la finalidad originaria de la iniciativa.</w:t>
      </w:r>
    </w:p>
    <w:p w14:paraId="5FF2A0FA" w14:textId="77777777" w:rsidR="008D479B" w:rsidRDefault="008D479B" w:rsidP="008D479B">
      <w:pPr>
        <w:pStyle w:val="TextoNormal"/>
      </w:pPr>
    </w:p>
    <w:p w14:paraId="17284EB4" w14:textId="77777777" w:rsidR="008D479B" w:rsidRDefault="008D479B" w:rsidP="008D479B">
      <w:pPr>
        <w:pStyle w:val="TextoNormal"/>
      </w:pPr>
      <w:r>
        <w:t>c) En tercer lugar, se alega la infracción de los principios de lealtad constitucional y de lealtad institucional del art. 2.1 g) LOFCA. Bajo este motivo de impugnación, se insiste en la neutralización o vaciamiento de las competencias normativas de la Comunidad Autónoma de Andalucía sobre el tributo cedido, hasta el punto de comprometer el principio de lealtad constitucional como “soporte esencial del funcionamiento del Estado autonómico” (STC 135/2020, de 23 de septiembre).</w:t>
      </w:r>
    </w:p>
    <w:p w14:paraId="7FE49E99" w14:textId="77777777" w:rsidR="008D479B" w:rsidRDefault="008D479B" w:rsidP="008D479B">
      <w:pPr>
        <w:pStyle w:val="TextoNormal"/>
      </w:pPr>
    </w:p>
    <w:p w14:paraId="0BCD4647" w14:textId="77777777" w:rsidR="008D479B" w:rsidRDefault="008D479B" w:rsidP="008D479B">
      <w:pPr>
        <w:pStyle w:val="TextoNormal"/>
      </w:pPr>
      <w:r>
        <w:t>El recurso hace hincapié aquí en una serie de “indicios” que revelarían que el Estado ha actuado de “mala fe” y en “fraude de ley”: (i) la propia infracción de las exigencias sustantivas y procedimentales del bloque de la constitucionalidad; (ii) la forma elegida para introducir el impuesto temporal de solidaridad de las grandes fortunas en el ordenamiento jurídico mediante una enmienda presentada “en el último momento” a una proposición de ley con la que no guardaba la necesaria conexión de homogeneidad; y (iii) la expresa salvaguarda, contenida en el apartado vigesimocuarto del art. 3 de la Ley 38/2022, de la necesidad de acuerdo en comisión mixta para el caso particular de los regímenes forales de País Vasco y Navarra, lo que revelaría la deliberada voluntad de prescindir de ese proceso para el resto de comunidades autónomas.</w:t>
      </w:r>
    </w:p>
    <w:p w14:paraId="77581713" w14:textId="77777777" w:rsidR="008D479B" w:rsidRDefault="008D479B" w:rsidP="008D479B">
      <w:pPr>
        <w:pStyle w:val="TextoNormal"/>
      </w:pPr>
    </w:p>
    <w:p w14:paraId="567575CA" w14:textId="77777777" w:rsidR="008D479B" w:rsidRDefault="008D479B" w:rsidP="008D479B">
      <w:pPr>
        <w:pStyle w:val="TextoNormal"/>
      </w:pPr>
      <w:r>
        <w:t>d) Por último, se alega la infracción del principio de seguridad jurídica del art. 9.3 CE derivada de la aplicación retroactiva de una norma tributaria. En este caso la vulneración se atribuye al apartado décimo del art. 3 de la Ley 38/2022, que dispone que “[e]l impuesto se devengará el 31 de diciembre de cada año y afectará al patrimonio neto del cual sea titular el sujeto pasivo en dicha fecha”.</w:t>
      </w:r>
    </w:p>
    <w:p w14:paraId="4851D595" w14:textId="77777777" w:rsidR="008D479B" w:rsidRDefault="008D479B" w:rsidP="008D479B">
      <w:pPr>
        <w:pStyle w:val="TextoNormal"/>
      </w:pPr>
    </w:p>
    <w:p w14:paraId="2154DAE4" w14:textId="77777777" w:rsidR="008D479B" w:rsidRDefault="008D479B" w:rsidP="008D479B">
      <w:pPr>
        <w:pStyle w:val="TextoNormal"/>
      </w:pPr>
      <w:r>
        <w:t>El letrado de la Junta de Andalucía pone de manifiesto que, de acuerdo con la disposición final octava de la propia ley, la entrada en vigor del impuesto temporal de solidaridad de las grandes fortunas se produce al día siguiente de la publicación de la Ley 38/2022, lo que tuvo lugar en el “BOE” de 28 de diciembre de 2022, por lo que entró en vigor el 29 de diciembre, dos días antes del devengo, que se produjo el 31 de diciembre. Esto supone la aplicación del impuesto temporal de solidaridad de las grandes fortunas para toda persona que haya permanecido más de 183 días en el territorio español en el ejercicio de 2022.</w:t>
      </w:r>
    </w:p>
    <w:p w14:paraId="672B6BED" w14:textId="77777777" w:rsidR="008D479B" w:rsidRDefault="008D479B" w:rsidP="008D479B">
      <w:pPr>
        <w:pStyle w:val="TextoNormal"/>
      </w:pPr>
    </w:p>
    <w:p w14:paraId="12974733" w14:textId="77777777" w:rsidR="008D479B" w:rsidRDefault="008D479B" w:rsidP="008D479B">
      <w:pPr>
        <w:pStyle w:val="TextoNormal"/>
      </w:pPr>
      <w:r>
        <w:t>La demanda considera que nos encontramos ante una eficacia retroactiva de la ley, que califica de “grado medio”. Aunque reconoce que la retroactividad de las normas tributarias no es, en sí misma, contraria a la Constitución, estima que, en este caso, se opone al principio de seguridad jurídica, ya que la sujeción a este nuevo impuesto era totalmente imprevisible. Los ciudadanos destinatarios del impuesto quedaron “sin posibilidades reales de reacción”, pues cuando tuvieron la primera noticia en noviembre de 2022 habían transcurrido más de 183 días del año, de manera que los que residían en España confiando en la aplicación de unas bonificaciones autonómicas en algún caso vigentes desde hace más de doce años quedaron sin margen de reacción para trasladar su domicilio fiscal y se vieron abocados a convertirse en sujetos pasivo de un tributo que entró en vigor el 29 de diciembre de 2022.</w:t>
      </w:r>
    </w:p>
    <w:p w14:paraId="3A676FDE" w14:textId="77777777" w:rsidR="008D479B" w:rsidRDefault="008D479B" w:rsidP="008D479B">
      <w:pPr>
        <w:pStyle w:val="TextoNormal"/>
      </w:pPr>
    </w:p>
    <w:p w14:paraId="5C637142" w14:textId="51940971" w:rsidR="008D479B" w:rsidRDefault="008D479B" w:rsidP="008D479B">
      <w:pPr>
        <w:pStyle w:val="TextoNormal"/>
      </w:pPr>
      <w:r>
        <w:t>e) La demanda solicita por otrosí que se suspenda la aplicación de la norma impugnada, por los importantes perjuicios que se derivarían en caso de aplicarse de forma inmediata. En apoyo de esta solicitud, aduce que, si bien el art. 161.2 CE no prevé expresamente la suspensión en casos como este, tampoco la prohíbe, como ya interpretaron los votos particulares formulados al ATC 90/2010, de 14 de julio.</w:t>
      </w:r>
    </w:p>
    <w:p w14:paraId="70B02891" w14:textId="77777777" w:rsidR="008D479B" w:rsidRDefault="008D479B" w:rsidP="008D479B">
      <w:pPr>
        <w:pStyle w:val="TextoNormal"/>
      </w:pPr>
    </w:p>
    <w:p w14:paraId="79E9F567" w14:textId="69D210C9" w:rsidR="008D479B" w:rsidRDefault="008D479B" w:rsidP="008D479B">
      <w:pPr>
        <w:pStyle w:val="TextoNormal"/>
      </w:pPr>
      <w:r w:rsidRPr="008D479B">
        <w:rPr>
          <w:rStyle w:val="NumeroAFNegritaCaracter"/>
        </w:rPr>
        <w:t>2</w:t>
      </w:r>
      <w:r>
        <w:t>. El Pleno del Tribunal Constitucional, a propuesta de la Sección Segunda, mediante providencia de 21 de marzo de 2023, acordó admitir a trámite el presente recurso de inconstitucionalidad, dando traslado de la demanda y documentos presentados, conforme establece el art. 34 de la Ley Orgánica 2/1979, de 3 de octubre, del Tribunal Constitucional (LOTC), al Congreso de los Diputados y al Senado, por conducto de sus presidentes, y al Gobierno, a través de la ministra de Justicia, al objeto de que, en el plazo de quince días, pudieran personarse en el proceso y formular las alegaciones que estimaren convenientes; denegar la suspensión solicitada por otrosí, en aplicación de la doctrina del Tribunal (AATC 90/2010, de 14 de julio; 132/2011, de 18 de octubre; 229/2014, de 23 de septiembre, y 267/2014, de 4 de noviembre); y publicar la incoación del recurso en el “Boletín Oficial del Estado”, lo que tuvo lugar el 25 de marzo de 2023.</w:t>
      </w:r>
    </w:p>
    <w:p w14:paraId="7AF01CB2" w14:textId="77777777" w:rsidR="008D479B" w:rsidRDefault="008D479B" w:rsidP="008D479B">
      <w:pPr>
        <w:pStyle w:val="TextoNormal"/>
      </w:pPr>
    </w:p>
    <w:p w14:paraId="6EDF3131" w14:textId="77777777" w:rsidR="008D479B" w:rsidRDefault="008D479B" w:rsidP="008D479B">
      <w:pPr>
        <w:pStyle w:val="TextoNormal"/>
      </w:pPr>
      <w:r w:rsidRPr="008D479B">
        <w:rPr>
          <w:rStyle w:val="NumeroAFNegritaCaracter"/>
        </w:rPr>
        <w:t>3</w:t>
      </w:r>
      <w:r>
        <w:t>. Mediante escrito registrado el día 24 de marzo de 2023, el letrado de la Junta de Andalucía interpuso un recurso de súplica contra la anterior providencia en lo referido a la denegación de la solicitud de suspensión.</w:t>
      </w:r>
    </w:p>
    <w:p w14:paraId="552E5FAF" w14:textId="77777777" w:rsidR="008D479B" w:rsidRDefault="008D479B" w:rsidP="008D479B">
      <w:pPr>
        <w:pStyle w:val="TextoNormal"/>
      </w:pPr>
    </w:p>
    <w:p w14:paraId="0B9F2AFB" w14:textId="468EF0F1" w:rsidR="008D479B" w:rsidRDefault="008D479B" w:rsidP="008D479B">
      <w:pPr>
        <w:pStyle w:val="TextoNormal"/>
      </w:pPr>
      <w:r>
        <w:t>El recurso fue desestimado mediante ATC 189/2023, de 18 de abril.</w:t>
      </w:r>
    </w:p>
    <w:p w14:paraId="402D5FA7" w14:textId="77777777" w:rsidR="008D479B" w:rsidRDefault="008D479B" w:rsidP="008D479B">
      <w:pPr>
        <w:pStyle w:val="TextoNormal"/>
      </w:pPr>
    </w:p>
    <w:p w14:paraId="5A894809" w14:textId="5F9D6B71" w:rsidR="008D479B" w:rsidRDefault="008D479B" w:rsidP="008D479B">
      <w:pPr>
        <w:pStyle w:val="TextoNormal"/>
      </w:pPr>
      <w:r w:rsidRPr="008D479B">
        <w:rPr>
          <w:rStyle w:val="NumeroAFNegritaCaracter"/>
        </w:rPr>
        <w:t>4</w:t>
      </w:r>
      <w:r>
        <w:t>. Por escrito registrado el día 30 de marzo de 2023, el presidente del Senado comunicó el acuerdo de la mesa de la Cámara por el que se daba por personada en el proceso y por ofrecida su colaboración a los efectos del art. 88.1 LOTC.</w:t>
      </w:r>
    </w:p>
    <w:p w14:paraId="027EEE07" w14:textId="77777777" w:rsidR="008D479B" w:rsidRDefault="008D479B" w:rsidP="008D479B">
      <w:pPr>
        <w:pStyle w:val="TextoNormal"/>
      </w:pPr>
    </w:p>
    <w:p w14:paraId="74C0885F" w14:textId="77777777" w:rsidR="008D479B" w:rsidRDefault="008D479B" w:rsidP="008D479B">
      <w:pPr>
        <w:pStyle w:val="TextoNormal"/>
      </w:pPr>
      <w:r w:rsidRPr="008D479B">
        <w:rPr>
          <w:rStyle w:val="NumeroAFNegritaCaracter"/>
        </w:rPr>
        <w:t>5</w:t>
      </w:r>
      <w:r>
        <w:t>. Mediante un escrito registrado en la misma fecha, la presidenta del Congreso de los Diputados comunicó el acuerdo de la mesa por el que se personaba en el proceso, a los solos efectos de formular alegaciones sobre los vicios de procedimiento legislativo que se denuncian en la demanda, en lo que afecta a dicha Cámara; y encomendaba su representación y defensa a la letrada de las Cortes Generales que dirige la asesoría jurídica de la Secretaría General del Congreso.</w:t>
      </w:r>
    </w:p>
    <w:p w14:paraId="434ED745" w14:textId="77777777" w:rsidR="008D479B" w:rsidRDefault="008D479B" w:rsidP="008D479B">
      <w:pPr>
        <w:pStyle w:val="TextoNormal"/>
      </w:pPr>
    </w:p>
    <w:p w14:paraId="14A2238A" w14:textId="77777777" w:rsidR="008D479B" w:rsidRDefault="008D479B" w:rsidP="008D479B">
      <w:pPr>
        <w:pStyle w:val="TextoNormal"/>
      </w:pPr>
      <w:r>
        <w:t>El escrito de alegaciones de la letrada de las Cortes Generales, actuando en nombre y representación del Congreso de los Diputados, tuvo entrada en el registro general del Tribunal con fecha 14 de abril de 2023. En primer lugar, aborda la supuesta vulneración del art. 157.3 CE, por no respetar la norma impugnada el rango de ley orgánica exigible y omitir las garantías previstas en el art. 178 EAAnd. La letrada de las Cortes considera que dicha vulneración parte de una equiparación entre el impuesto temporal de solidaridad de las grandes fortunas y el impuesto sobre el patrimonio que no se puede compartir. El art. 3 de la Ley 38/2022 —afirma— no altera las condiciones o el alcance de la cesión del impuesto sobre el patrimonio, por lo que no requiere de una modificación de la LOFCA, ni de las demás normas aplicables, de acuerdo con las garantías procedimentales contenidas en el estatuto. El preámbulo de la ley afirma que el nuevo impuesto temporal es complementario del impuesto sobre el patrimonio, pero, a diferencia de este, no es susceptible de cesión y su umbral de tributación es muy superior.</w:t>
      </w:r>
    </w:p>
    <w:p w14:paraId="71F3C621" w14:textId="77777777" w:rsidR="008D479B" w:rsidRDefault="008D479B" w:rsidP="008D479B">
      <w:pPr>
        <w:pStyle w:val="TextoNormal"/>
      </w:pPr>
    </w:p>
    <w:p w14:paraId="3D7BE879" w14:textId="77777777" w:rsidR="008D479B" w:rsidRDefault="008D479B" w:rsidP="008D479B">
      <w:pPr>
        <w:pStyle w:val="TextoNormal"/>
      </w:pPr>
      <w:r>
        <w:t>a) La letrada subraya que el art. 3 de la Ley 38/2022 no modifica el art. 11 LOFCA, que establece los impuestos estatales que pueden ser cedidos; ni las competencias normativas de las comunidades autónomas en el impuesto sobre el patrimonio previstas en el art. 19.2 b) de dicha ley; ni la Ley 22/2009, de 18 de diciembre, reguladora del sistema de financiación de las comunidades autónomas; ni la Ley 18/2010, de 16 de julio, de cesión de tributos a la Comunidad Autónoma de Andalucía. La finalidad armonizadora del impuesto temporal de solidaridad de las grandes fortunas no neutraliza la competencia normativa autonómica sobre el impuesto sobre el patrimonio, que se mantiene intacta. Estamos ante una figura tributaria distinta, cuya finalidad es correctiva, gravando por razones armonizadoras y recaudatorias aquellas manifestaciones de capacidad de pago que no han sido gravadas por la comunidad autónoma a través del impuesto sobre el patrimonio. Invoca la STC 26/2015, de 19 de febrero, que, al analizar el impuesto sobre depósitos en las entidades de crédito, admitió que el Estado es competente para establecer un impuesto con finalidad armonizadora, puesto que tiene preferencia en la ocupación de los hechos imponibles, tal y como recoge el art. 6 LOFCA. Dicha sentencia descartó expresamente que la competencia de armonización debiera ejercerse mediante ley orgánica, admitiendo que por ley ordinaria se cree una figura tributaria nueva, tanto para gravar situaciones que anteriormente no estaban gravadas por las comunidades autónomas como para cuando ya lo estuvieran, supuesto al que se refiere el art. 6.2 LOFCA. Por otro lado, tampoco estamos ante la regulación de ningún medio de resolución de conflictos de acuerdo con los arts. 23 y 24 LOFCA, por lo que tampoco se requiere de una ley orgánica.</w:t>
      </w:r>
    </w:p>
    <w:p w14:paraId="683F8F45" w14:textId="77777777" w:rsidR="008D479B" w:rsidRDefault="008D479B" w:rsidP="008D479B">
      <w:pPr>
        <w:pStyle w:val="TextoNormal"/>
      </w:pPr>
    </w:p>
    <w:p w14:paraId="716434E9" w14:textId="77777777" w:rsidR="008D479B" w:rsidRDefault="008D479B" w:rsidP="008D479B">
      <w:pPr>
        <w:pStyle w:val="TextoNormal"/>
      </w:pPr>
      <w:r>
        <w:t>La letrada de las Cortes Generales insiste en que, conforme a la doctrina constitucional, la potestad originaria del Estado para establecer tributos (art. 133.1 CE) comprende la posibilidad de crear cualquier figura tributaria, siempre y cuando se respeten las garantías constitucionales. Desde un enfoque competencial, el límite para crear tributos lo tienen las comunidades autónomas, no el Estado. Con cita de la STC 35/2012, de 15 de marzo, FJ 6, recuerda el amplio margen de configuración que permite al Estado, en principio, establecerlos sobre cualquier fuente de capacidad económica, sin perjuicio de respetar lo dispuesto en el art. 6.2 LOFCA cuando sea aplicable, lo que aquí no es el caso.</w:t>
      </w:r>
    </w:p>
    <w:p w14:paraId="66736BCD" w14:textId="77777777" w:rsidR="008D479B" w:rsidRDefault="008D479B" w:rsidP="008D479B">
      <w:pPr>
        <w:pStyle w:val="TextoNormal"/>
      </w:pPr>
    </w:p>
    <w:p w14:paraId="4C95D959" w14:textId="77777777" w:rsidR="008D479B" w:rsidRDefault="008D479B" w:rsidP="008D479B">
      <w:pPr>
        <w:pStyle w:val="TextoNormal"/>
      </w:pPr>
      <w:r>
        <w:t>Por otra parte, al no haberse modificado el art. 178 EAAnd, ni las condiciones de la cesión, no se precisaba del acuerdo entre el Estado y la comunidad autónoma, ni de la convocatoria de la comisión mixta mencionada en el art. 184 EAAnd.</w:t>
      </w:r>
    </w:p>
    <w:p w14:paraId="037E9909" w14:textId="77777777" w:rsidR="008D479B" w:rsidRDefault="008D479B" w:rsidP="008D479B">
      <w:pPr>
        <w:pStyle w:val="TextoNormal"/>
      </w:pPr>
    </w:p>
    <w:p w14:paraId="3107F78F" w14:textId="77777777" w:rsidR="008D479B" w:rsidRDefault="008D479B" w:rsidP="008D479B">
      <w:pPr>
        <w:pStyle w:val="TextoNormal"/>
      </w:pPr>
      <w:r>
        <w:t>Tampoco se precisaba de un proyecto de ley aprobado por el Consejo de Ministros, con todas las exigencias previas a las que están sujetas estas iniciativas. Tratándose de una proposición de ley, los únicos requisitos, de acuerdo con el art. 124 del Reglamento del Congreso de los Diputados y la práctica habitual de la Cámara, son que se incorpore una exposición de motivos y una breve relación de las normas vigentes que la proposición de ley pretende modificar, exigencias que aquí se cumplieron.</w:t>
      </w:r>
    </w:p>
    <w:p w14:paraId="36B671B4" w14:textId="77777777" w:rsidR="008D479B" w:rsidRDefault="008D479B" w:rsidP="008D479B">
      <w:pPr>
        <w:pStyle w:val="TextoNormal"/>
      </w:pPr>
    </w:p>
    <w:p w14:paraId="03EAAD34" w14:textId="77777777" w:rsidR="008D479B" w:rsidRDefault="008D479B" w:rsidP="008D479B">
      <w:pPr>
        <w:pStyle w:val="TextoNormal"/>
      </w:pPr>
      <w:r>
        <w:t>b) En otro bloque de alegaciones la letrada de las Cortes Generales aborda la supuesta falta de homogeneidad de la enmienda por la que se incluyó el precepto impugnado. Empieza recordando que el requisito de la homogeneidad es de creación jurisprudencial y, en el caso de las enmiendas al articulado, no está previsto en el reglamento de la Cámara. La exigencia de congruencia de las enmiendas es, por tanto, una excepción establecida por el propio Tribunal Constitucional a la configuración legal del derecho fundamental de enmienda, que se ha añadido como un requisito de admisión, a pesar de no estar recogido en el Reglamento del Congreso.</w:t>
      </w:r>
    </w:p>
    <w:p w14:paraId="65217879" w14:textId="77777777" w:rsidR="008D479B" w:rsidRDefault="008D479B" w:rsidP="008D479B">
      <w:pPr>
        <w:pStyle w:val="TextoNormal"/>
      </w:pPr>
    </w:p>
    <w:p w14:paraId="3A74FCC8" w14:textId="77777777" w:rsidR="008D479B" w:rsidRDefault="008D479B" w:rsidP="008D479B">
      <w:pPr>
        <w:pStyle w:val="TextoNormal"/>
      </w:pPr>
      <w:r>
        <w:t>De los distintos pronunciamientos constitucionales, en especial las SSTC 119/2011, de 5 de julio, y 136/2011, de 13 de septiembre, se desprende el requisito de que una enmienda al articulado debe respetar una conexión mínima de homogeneidad con el texto enmendado. Pero los órganos de gobierno de las Cámaras deben contar con un amplio margen de apreciación para determinar la existencia de conexión material entre la enmienda y la iniciativa objeto de debate, rechazando la admisión de aquella solo cuando la falta de conexión sea “evidente y manifiesta”. Aclara que la conexión reclamada no tiene que ser de identidad con las medidas previstas en la iniciativa, sino de afinidad con ellas, de modo de que la conexión de homogeneidad se entienda de modo flexible, atendiendo a la función que cumple.</w:t>
      </w:r>
    </w:p>
    <w:p w14:paraId="1D91D65F" w14:textId="77777777" w:rsidR="008D479B" w:rsidRDefault="008D479B" w:rsidP="008D479B">
      <w:pPr>
        <w:pStyle w:val="TextoNormal"/>
      </w:pPr>
    </w:p>
    <w:p w14:paraId="1B40A8A0" w14:textId="77777777" w:rsidR="008D479B" w:rsidRDefault="008D479B" w:rsidP="008D479B">
      <w:pPr>
        <w:pStyle w:val="TextoNormal"/>
      </w:pPr>
      <w:r>
        <w:t>En segundo lugar, la aducida vulneración del art. 23.2 CE exigiría, además, que la infracción de la legalidad parlamentaria hubiera afectado al núcleo de su función representativa ya que, de acuerdo con una reiterada doctrina constitucional, no toda violación del procedimiento legislativo convierte en inconstitucional al resultado final.</w:t>
      </w:r>
    </w:p>
    <w:p w14:paraId="6298FA8F" w14:textId="77777777" w:rsidR="008D479B" w:rsidRDefault="008D479B" w:rsidP="008D479B">
      <w:pPr>
        <w:pStyle w:val="TextoNormal"/>
      </w:pPr>
    </w:p>
    <w:p w14:paraId="173E68F4" w14:textId="77777777" w:rsidR="008D479B" w:rsidRDefault="008D479B" w:rsidP="008D479B">
      <w:pPr>
        <w:pStyle w:val="TextoNormal"/>
      </w:pPr>
      <w:r>
        <w:t>Aplicando la anterior doctrina al caso, la letrada de las Cortes afirma que uno de los objetivos del impuesto temporal de solidaridad de las grandes fortunas coincide con la finalidad original de la proposición de ley, que es exigir un esfuerzo solidario en momentos de subida de precios y de crisis energética; sin que, por tanto, hubiera una evidente falta de homogeneidad que hubiera debido llevar a la mesa de la Comisión a inadmitir la enmienda. Con el impuesto impugnado se persigue el esfuerzo solidario al que la proposición de ley estaba dirigida desde un principio, por lo que no hay falta de congruencia.</w:t>
      </w:r>
    </w:p>
    <w:p w14:paraId="36275476" w14:textId="77777777" w:rsidR="008D479B" w:rsidRDefault="008D479B" w:rsidP="008D479B">
      <w:pPr>
        <w:pStyle w:val="TextoNormal"/>
      </w:pPr>
    </w:p>
    <w:p w14:paraId="639C437C" w14:textId="77777777" w:rsidR="008D479B" w:rsidRDefault="008D479B" w:rsidP="008D479B">
      <w:pPr>
        <w:pStyle w:val="TextoNormal"/>
      </w:pPr>
      <w:r>
        <w:t>Respecto de la distinta naturaleza del impuesto temporal de solidaridad de las grandes fortunas y las prestaciones patrimoniales no tributarias que eran el objeto de la proposición de ley original, cita la STC 63/2019, de 9 de mayo, FJ 5, de acuerdo con la cual “el tributo es una especie, dentro de la más genérica categoría de prestaciones patrimoniales de carácter público”. Por tanto, aunque el Tribunal haya distinguido con precisión las prestaciones patrimoniales públicas de carácter tributario y las que no lo son, ambas categorías forman parte del género de las prestaciones patrimoniales, coactivas y de interés público.</w:t>
      </w:r>
    </w:p>
    <w:p w14:paraId="3146196E" w14:textId="77777777" w:rsidR="008D479B" w:rsidRDefault="008D479B" w:rsidP="008D479B">
      <w:pPr>
        <w:pStyle w:val="TextoNormal"/>
      </w:pPr>
    </w:p>
    <w:p w14:paraId="5F0266FC" w14:textId="77777777" w:rsidR="008D479B" w:rsidRDefault="008D479B" w:rsidP="008D479B">
      <w:pPr>
        <w:pStyle w:val="TextoNormal"/>
      </w:pPr>
      <w:r>
        <w:t>La letrada parlamentaria termina aseverando que, incluso aunque todavía se tuvieran dudas sobre la homogeneidad, esto no basta para concluir que la tramitación parlamentaria está afectada de un vicio de inconstitucionalidad. Las enmiendas pueden ser incongruentes y, aun así, no producirse un vicio de procedimiento, si se han respetado los derechos de los parlamentarios y no ha quedado alterada la voluntad de la Cámara. Afirma, en contra de lo que sostiene la parte recurrente, que la enmienda cuestionada, como el resto de las formuladas a la iniciativa, ha podido ser ampliamente debatida. Los grupos, sin ningún tipo de restricción, han podido manifestar su posición sobre ella en los debates, tanto en la Comisión como en el Pleno. La enmienda nunca fue un texto definitivo e intangible, sino susceptible de modificarse a través de la presentación de enmiendas transaccionales tanto en Comisión como en el Pleno (arts. 114.3 y 118.3 del Reglamento del Congreso). Incluso habría sido posible suprimir la enmienda mediante la presentación de un voto particular para no tenerla por incorporada y volver al texto inicial (art. 117 del Reglamento). La letrada se remite a los documentos en los que constan las enmiendas transaccionales presentadas en la Comisión y en el Pleno y concluye que las minorías parlamentarias no usaron ninguna de estas vías parlamentarias para modificar lo introducido por la enmienda.</w:t>
      </w:r>
    </w:p>
    <w:p w14:paraId="778CABAD" w14:textId="77777777" w:rsidR="008D479B" w:rsidRDefault="008D479B" w:rsidP="008D479B">
      <w:pPr>
        <w:pStyle w:val="TextoNormal"/>
      </w:pPr>
    </w:p>
    <w:p w14:paraId="35EB5B00" w14:textId="6AA312F1" w:rsidR="008D479B" w:rsidRDefault="008D479B" w:rsidP="008D479B">
      <w:pPr>
        <w:pStyle w:val="TextoNormal"/>
      </w:pPr>
      <w:r>
        <w:t>Por todo lo expuesto, concluye que no cabe declarar la inconstitucionalidad del art. 3 de la Ley 38/2022 por motivos formales.</w:t>
      </w:r>
    </w:p>
    <w:p w14:paraId="4FC289E4" w14:textId="77777777" w:rsidR="008D479B" w:rsidRDefault="008D479B" w:rsidP="008D479B">
      <w:pPr>
        <w:pStyle w:val="TextoNormal"/>
      </w:pPr>
    </w:p>
    <w:p w14:paraId="7A41F26B" w14:textId="77777777" w:rsidR="008D479B" w:rsidRDefault="008D479B" w:rsidP="008D479B">
      <w:pPr>
        <w:pStyle w:val="TextoNormal"/>
      </w:pPr>
      <w:r w:rsidRPr="008D479B">
        <w:rPr>
          <w:rStyle w:val="NumeroAFNegritaCaracter"/>
        </w:rPr>
        <w:t>6</w:t>
      </w:r>
      <w:r>
        <w:t>. El abogado del Estado se personó en las actuaciones mediante un escrito presentado el 12 de abril de 2023, en el que solicitaba una prórroga del plazo para la presentación de alegaciones, que fue ampliado en ocho días por diligencia de ordenación del secretario de justicia del Pleno de la misma fecha.</w:t>
      </w:r>
    </w:p>
    <w:p w14:paraId="00D8A0D7" w14:textId="77777777" w:rsidR="008D479B" w:rsidRDefault="008D479B" w:rsidP="008D479B">
      <w:pPr>
        <w:pStyle w:val="TextoNormal"/>
      </w:pPr>
    </w:p>
    <w:p w14:paraId="1EB9F73A" w14:textId="77777777" w:rsidR="008D479B" w:rsidRDefault="008D479B" w:rsidP="008D479B">
      <w:pPr>
        <w:pStyle w:val="TextoNormal"/>
      </w:pPr>
      <w:r>
        <w:t>Por medio de un escrito presentado el siguiente día 26, formuló sus alegaciones, en las que interesa la desestimación, con los argumentos que se exponen a continuación:</w:t>
      </w:r>
    </w:p>
    <w:p w14:paraId="5329FEF3" w14:textId="77777777" w:rsidR="008D479B" w:rsidRDefault="008D479B" w:rsidP="008D479B">
      <w:pPr>
        <w:pStyle w:val="TextoNormal"/>
      </w:pPr>
    </w:p>
    <w:p w14:paraId="14FFA94D" w14:textId="77777777" w:rsidR="008D479B" w:rsidRDefault="008D479B" w:rsidP="008D479B">
      <w:pPr>
        <w:pStyle w:val="TextoNormal"/>
      </w:pPr>
      <w:r>
        <w:t>a) Tras resumir la naturaleza y regulación del impuesto temporal de solidaridad de las grandes fortunas, analiza la tacha referida a la vulneración del procedimiento legislativo y del art. 23.2 CE. Subraya que en el debate en Comisión todos los grupos parlamentarios tuvieron un turno de palabra y que en el Pleno volvieron a tener ocasión de pronunciarse sobre las enmiendas formuladas a la iniciativa legislativa. Por tanto, no se privó a los grupos parlamentarios ni a los diputados de la posibilidad de pronunciarse sobre la enmienda, ni en la Comisión, ni en el Pleno. La incorporación de la enmienda ha sido conforme con los usos parlamentarios, por lo que no ha vulnerado el art. 23.2 CE.</w:t>
      </w:r>
    </w:p>
    <w:p w14:paraId="5FA8E561" w14:textId="77777777" w:rsidR="008D479B" w:rsidRDefault="008D479B" w:rsidP="008D479B">
      <w:pPr>
        <w:pStyle w:val="TextoNormal"/>
      </w:pPr>
    </w:p>
    <w:p w14:paraId="50C2FBF9" w14:textId="77777777" w:rsidR="008D479B" w:rsidRDefault="008D479B" w:rsidP="008D479B">
      <w:pPr>
        <w:pStyle w:val="TextoNormal"/>
      </w:pPr>
      <w:r>
        <w:t>Respecto de la alegada falta de homogeneidad de la enmienda con el texto inicial de la proposición de ley, argumenta, citando las SSTC 119/2011, de 5 de julio, FJ 7, y 70/2018, de 21 de junio, FJ 6, y el preámbulo de la Ley 38/2022, que el impuesto temporal de solidaridad de las grandes fortunas y los gravámenes no tributarios creados por ella obedecen al mismo objetivo y finalidad común, que es afrontar la particular situación excepcional derivada de la crisis energética y la inflación.</w:t>
      </w:r>
    </w:p>
    <w:p w14:paraId="0FBFCC9D" w14:textId="77777777" w:rsidR="008D479B" w:rsidRDefault="008D479B" w:rsidP="008D479B">
      <w:pPr>
        <w:pStyle w:val="TextoNormal"/>
      </w:pPr>
    </w:p>
    <w:p w14:paraId="0C4EBC0E" w14:textId="77777777" w:rsidR="008D479B" w:rsidRDefault="008D479B" w:rsidP="008D479B">
      <w:pPr>
        <w:pStyle w:val="TextoNormal"/>
      </w:pPr>
      <w:r>
        <w:t>En relación con la falta de emisión de informes, argumenta que el Tribunal ya ha señalado que estos no son exigibles en el caso de las proposiciones de ley. Cita, en concreto, la reciente STC 19/2023, de 22 de marzo, FJ 3, que recoge la jurisprudencia del Tribunal sobre la inexistencia de inconstitucionalidad formal en el caso de falta de informes sobre las proposiciones de ley, confirmando que estas no requieren, ni en su presentación ni en su tramitación ulterior, de tales informes.</w:t>
      </w:r>
    </w:p>
    <w:p w14:paraId="2FDB4453" w14:textId="77777777" w:rsidR="008D479B" w:rsidRDefault="008D479B" w:rsidP="008D479B">
      <w:pPr>
        <w:pStyle w:val="TextoNormal"/>
      </w:pPr>
    </w:p>
    <w:p w14:paraId="1CCAA6BE" w14:textId="77777777" w:rsidR="008D479B" w:rsidRDefault="008D479B" w:rsidP="008D479B">
      <w:pPr>
        <w:pStyle w:val="TextoNormal"/>
      </w:pPr>
      <w:r>
        <w:t>b) A continuación, examina la alegada vulneración de la autonomía financiera. Considera que el recurso parte de un error de base, ya que el impuesto temporal de solidaridad de las grandes fortunas no se inserta en el sistema de financiación autonómica, sino que se configura como un impuesto estatal complementario del impuesto sobre el patrimonio, no susceptible de cesión a las comunidades autónomas, cuyo objetivo es gravar con una cuota adicional los patrimonios de las personas físicas de cuantía superior a 3 000 000 €. Es un impuesto complementario del impuesto sobre el patrimonio, cuya configuración corresponde al Estado en virtud del art. 133.1 CE, que le reconoce la potestad tributaria originaria, y del art. 149.1.14 CE, que le atribuye la competencia exclusiva sobre “hacienda general”, título que le permite fijar la estructura del sistema tributario.</w:t>
      </w:r>
    </w:p>
    <w:p w14:paraId="294CBAE5" w14:textId="77777777" w:rsidR="008D479B" w:rsidRDefault="008D479B" w:rsidP="008D479B">
      <w:pPr>
        <w:pStyle w:val="TextoNormal"/>
      </w:pPr>
    </w:p>
    <w:p w14:paraId="1AB968AB" w14:textId="77777777" w:rsidR="008D479B" w:rsidRDefault="008D479B" w:rsidP="008D479B">
      <w:pPr>
        <w:pStyle w:val="TextoNormal"/>
      </w:pPr>
      <w:r>
        <w:t>El impuesto temporal de solidaridad de las grandes fortunas no incide en el hecho imponible de ningún tributo propio de la comunidad autónoma recurrente y se afirma expresamente que no es susceptible de cesión. Para el abogado del Estado tiene una finalidad recaudatoria autónoma en el sistema tributario estatal, dentro del bloque de los tributos no cedidos, luego es ajeno al sistema de financiación.</w:t>
      </w:r>
    </w:p>
    <w:p w14:paraId="1D945011" w14:textId="77777777" w:rsidR="008D479B" w:rsidRDefault="008D479B" w:rsidP="008D479B">
      <w:pPr>
        <w:pStyle w:val="TextoNormal"/>
      </w:pPr>
    </w:p>
    <w:p w14:paraId="233D34F6" w14:textId="77777777" w:rsidR="008D479B" w:rsidRDefault="008D479B" w:rsidP="008D479B">
      <w:pPr>
        <w:pStyle w:val="TextoNormal"/>
      </w:pPr>
      <w:r>
        <w:t>El impuesto recurrido tampoco afecta a la financiación de ninguna comunidad autónoma, pues aquellas que no hayan establecido una bonificación total mantendrán la recaudación del impuesto sobre el patrimonio, cuyas cuotas son deducibles del nuevo impuesto. La finalidad armonizadora, competencia que corresponde al Estado como titular de la potestad tributaria, se logra sin afectar a la autonomía financiera. Las comunidades autónomas que lo decidan podrán seguir bonificando total o parcialmente la cuota del impuesto sobre el patrimonio. Las que no lo hagan conservarán la recaudación íntegra del impuesto sobre el patrimonio cedido.</w:t>
      </w:r>
    </w:p>
    <w:p w14:paraId="00E0330A" w14:textId="77777777" w:rsidR="008D479B" w:rsidRDefault="008D479B" w:rsidP="008D479B">
      <w:pPr>
        <w:pStyle w:val="TextoNormal"/>
      </w:pPr>
    </w:p>
    <w:p w14:paraId="336E1811" w14:textId="77777777" w:rsidR="008D479B" w:rsidRDefault="008D479B" w:rsidP="008D479B">
      <w:pPr>
        <w:pStyle w:val="TextoNormal"/>
      </w:pPr>
      <w:r>
        <w:t xml:space="preserve">El representante del Gobierno invoca la STC 26/2015, de 19 de febrero, FJ 5, que, en el caso del impuesto sobre los depósitos en las entidades de crédito, supuesto no idéntico, pero con analogías, mantuvo que la competencia de armonización tributaria es del Estado y negó que la creación de un impuesto estatal debiera someterse al mecanismo de las leyes de armonización </w:t>
      </w:r>
      <w:r w:rsidRPr="008D479B">
        <w:rPr>
          <w:i/>
        </w:rPr>
        <w:t>ex</w:t>
      </w:r>
      <w:r>
        <w:t xml:space="preserve"> art. 150.3 CE. Dicha sentencia ratificó que el art. 149.1.14 CE, junto con los arts. 133.1 y 157.3 CE, permiten al Estado no solo “regular sus propios tributos, sino específicamente el marco general de todo el sistema tributario y la delimitación de las competencias financieras de las comunidades autónomas respecto de las del propio Estado”. La STC 26/2015 concluyó que el Estado es competente para establecer un tributo con fines armonizadores, como sucede con el impuesto temporal de solidaridad de las grandes fortunas, sin que la autonomía financiera de las comunidades autónomas quede afectada. En todo caso, dicha autonomía no puede limitar la potestad tributaria ni la competencia de coordinación del Estado.</w:t>
      </w:r>
    </w:p>
    <w:p w14:paraId="48D2DE0F" w14:textId="77777777" w:rsidR="008D479B" w:rsidRDefault="008D479B" w:rsidP="008D479B">
      <w:pPr>
        <w:pStyle w:val="TextoNormal"/>
      </w:pPr>
    </w:p>
    <w:p w14:paraId="20A02731" w14:textId="77777777" w:rsidR="008D479B" w:rsidRDefault="008D479B" w:rsidP="008D479B">
      <w:pPr>
        <w:pStyle w:val="TextoNormal"/>
      </w:pPr>
      <w:r>
        <w:t>Insiste en que el impuesto temporal de solidaridad de las grandes fortunas impugnado no vacía de competencias normativas a las comunidades autónomas, ya que el art. 3 de la Ley 38/2022 no incide en la regulación del impuesto sobre el patrimonio. Las competencias para regular su tipo de gravamen, el mínimo exento y las deducciones y bonificaciones se mantienen intactas. Al prever que la cuota del impuesto sobre el patrimonio se deduzca de la del impuesto temporal de solidaridad de las grandes fortunas se hace que este complemente a aquel, sin sustituirlo. Prueba de ello es que el art. 3 impugnado no modifica ni la Ley 19/1991, de 6 de junio, por la que se regula el impuesto sobre el patrimonio, ni la Ley 22/2009, reguladora de la cesión de tributos.</w:t>
      </w:r>
    </w:p>
    <w:p w14:paraId="62E94128" w14:textId="77777777" w:rsidR="008D479B" w:rsidRDefault="008D479B" w:rsidP="008D479B">
      <w:pPr>
        <w:pStyle w:val="TextoNormal"/>
      </w:pPr>
    </w:p>
    <w:p w14:paraId="6E2C0357" w14:textId="77777777" w:rsidR="008D479B" w:rsidRDefault="008D479B" w:rsidP="008D479B">
      <w:pPr>
        <w:pStyle w:val="TextoNormal"/>
      </w:pPr>
      <w:r>
        <w:t>El abogado del Estado expone que la cuota del impuesto temporal de solidaridad de las grandes fortunas solo resultará a ingresar cuando sea superior a la del impuesto sobre el patrimonio, pero nunca minorará la cuota de este último impuesto, por lo que no es cierto que se vulneren las competencias autonómicas. Por ello, no procede modificar la LOFCA, ni la Ley de cesión de tributos, ni son necesarios acuerdos de la Comisión Mixta entre el Estado y la comunidad autónoma.</w:t>
      </w:r>
    </w:p>
    <w:p w14:paraId="08024D79" w14:textId="77777777" w:rsidR="008D479B" w:rsidRDefault="008D479B" w:rsidP="008D479B">
      <w:pPr>
        <w:pStyle w:val="TextoNormal"/>
      </w:pPr>
    </w:p>
    <w:p w14:paraId="5E2EFFC4" w14:textId="77777777" w:rsidR="008D479B" w:rsidRDefault="008D479B" w:rsidP="008D479B">
      <w:pPr>
        <w:pStyle w:val="TextoNormal"/>
      </w:pPr>
      <w:r>
        <w:t>Para el representante del Gobierno, tampoco se vulnera el principio de lealtad institucional porque, por un lado, no se crean nuevas obligaciones de gasto; ni, por otro, hay una disminución de los ingresos autonómicos. El impuesto temporal de solidaridad de las grandes fortunas no suprime ningún tributo ni altera los ingresos autonómicos, que es la premisa para reclamar al Estado medidas de compensación en virtud del citado principio [art. 2.1 g) LOFCA]. Por otro lado, no se produce doble imposición porque los contribuyentes del impuesto temporal de solidaridad de las grandes fortunas solo tributan por la parte que no haya gravado la comunidad autónoma.</w:t>
      </w:r>
    </w:p>
    <w:p w14:paraId="2731DF12" w14:textId="77777777" w:rsidR="008D479B" w:rsidRDefault="008D479B" w:rsidP="008D479B">
      <w:pPr>
        <w:pStyle w:val="TextoNormal"/>
      </w:pPr>
    </w:p>
    <w:p w14:paraId="7BA3B5B5" w14:textId="77777777" w:rsidR="008D479B" w:rsidRDefault="008D479B" w:rsidP="008D479B">
      <w:pPr>
        <w:pStyle w:val="TextoNormal"/>
      </w:pPr>
      <w:r>
        <w:t>c) Por último, en lo atinente a la supuesta vulneración del principio de seguridad jurídica, las alegaciones del representante del Gobierno de la Nación subrayan que el impuesto temporal de solidaridad de las grandes fortunas entró en vigor el 29 de diciembre de 2022, antes del primer devengo, producido el 31 de diciembre de dicho año. No hay, por tanto, retroactividad, ya que el impuesto es de devengo instantáneo, sin que existan situaciones consolidadas previas a su aplicación.</w:t>
      </w:r>
    </w:p>
    <w:p w14:paraId="688BC88B" w14:textId="77777777" w:rsidR="008D479B" w:rsidRDefault="008D479B" w:rsidP="008D479B">
      <w:pPr>
        <w:pStyle w:val="TextoNormal"/>
      </w:pPr>
    </w:p>
    <w:p w14:paraId="4DF266BA" w14:textId="77777777" w:rsidR="008D479B" w:rsidRDefault="008D479B" w:rsidP="008D479B">
      <w:pPr>
        <w:pStyle w:val="TextoNormal"/>
      </w:pPr>
      <w:r>
        <w:t>Para el caso de que se estimase que el impuesto sí tiene una eficacia retroactiva, invoca la doctrina de la STC 126/1987, de 16 de julio, FJ 9, que admite dicho efecto en función de la ponderación de intereses en cada caso. En concreto, recuerda su finalidad recaudatoria de exigir en tiempos de crisis energética y de inflación un mayor esfuerzo a quienes disponen de una mayor capacidad económica; y armonizadora de reducir las diferencias entre las comunidades autónomas en el gravamen del patrimonio.</w:t>
      </w:r>
    </w:p>
    <w:p w14:paraId="4853E96D" w14:textId="77777777" w:rsidR="008D479B" w:rsidRDefault="008D479B" w:rsidP="008D479B">
      <w:pPr>
        <w:pStyle w:val="TextoNormal"/>
      </w:pPr>
    </w:p>
    <w:p w14:paraId="6E841675" w14:textId="5EC670C7" w:rsidR="008D479B" w:rsidRDefault="008D479B" w:rsidP="008D479B">
      <w:pPr>
        <w:pStyle w:val="TextoNormal"/>
      </w:pPr>
      <w:r>
        <w:t>Por todo lo anterior, finaliza solicitando que el Tribunal dicte sentencia por la que desestime íntegramente el recurso de inconstitucionalidad.</w:t>
      </w:r>
    </w:p>
    <w:p w14:paraId="4DABC714" w14:textId="77777777" w:rsidR="008D479B" w:rsidRDefault="008D479B" w:rsidP="008D479B">
      <w:pPr>
        <w:pStyle w:val="TextoNormal"/>
      </w:pPr>
    </w:p>
    <w:p w14:paraId="10CD31BE" w14:textId="2AFA014B" w:rsidR="008D479B" w:rsidRDefault="008D479B" w:rsidP="008D479B">
      <w:pPr>
        <w:pStyle w:val="TextoNormal"/>
      </w:pPr>
      <w:r w:rsidRPr="008D479B">
        <w:rPr>
          <w:rStyle w:val="NumeroAFNegritaCaracter"/>
        </w:rPr>
        <w:t>7</w:t>
      </w:r>
      <w:r>
        <w:t>. Por providencia de 21 de noviembre de 2023, se señaló para la deliberación y votación de la presente sentencia el día 22 del mismo mes y año.</w:t>
      </w:r>
    </w:p>
    <w:p w14:paraId="1467F701" w14:textId="77777777" w:rsidR="008D479B" w:rsidRDefault="008D479B" w:rsidP="008D479B">
      <w:pPr>
        <w:pStyle w:val="TextoNormal"/>
      </w:pPr>
    </w:p>
    <w:p w14:paraId="18E555C2" w14:textId="77777777" w:rsidR="008D479B" w:rsidRDefault="008D479B" w:rsidP="008D479B">
      <w:pPr>
        <w:pStyle w:val="TextoNormalNegritaCentrado"/>
        <w:keepNext/>
      </w:pPr>
      <w:r>
        <w:t>II. Fundamentos jurídicos</w:t>
      </w:r>
    </w:p>
    <w:p w14:paraId="6B22FE92" w14:textId="388D1EDA" w:rsidR="008D479B" w:rsidRDefault="008D479B" w:rsidP="008D479B">
      <w:pPr>
        <w:pStyle w:val="TextoNormalNegritaCentrado"/>
        <w:keepNext/>
      </w:pPr>
    </w:p>
    <w:p w14:paraId="3DD9A042" w14:textId="77777777" w:rsidR="008D479B" w:rsidRDefault="008D479B" w:rsidP="008D479B">
      <w:pPr>
        <w:pStyle w:val="TextoNormal"/>
      </w:pPr>
      <w:r w:rsidRPr="008D479B">
        <w:rPr>
          <w:rStyle w:val="NumeroAFNegritaCaracter"/>
        </w:rPr>
        <w:t>1</w:t>
      </w:r>
      <w:r>
        <w:t xml:space="preserve">. </w:t>
      </w:r>
      <w:r w:rsidRPr="008D479B">
        <w:rPr>
          <w:i/>
        </w:rPr>
        <w:t>Objeto del recurso y posiciones de las partes</w:t>
      </w:r>
    </w:p>
    <w:p w14:paraId="6EB4BE80" w14:textId="77777777" w:rsidR="008D479B" w:rsidRDefault="008D479B" w:rsidP="008D479B">
      <w:pPr>
        <w:pStyle w:val="TextoNormal"/>
      </w:pPr>
    </w:p>
    <w:p w14:paraId="455EF04A" w14:textId="77777777" w:rsidR="008D479B" w:rsidRDefault="008D479B" w:rsidP="008D479B">
      <w:pPr>
        <w:pStyle w:val="TextoNormal"/>
      </w:pPr>
      <w:r>
        <w:t>El Gobierno de la Junta de Andalucía interpone un recurso de inconstitucionalidad contra el art. 3 de la Ley 38/2022, de 27 de diciembre, para el establecimiento de gravámenes temporales energético y de entidades de crédito y establecimientos financieros de crédito y por la que se crea el impuesto temporal de solidaridad de las grandes fortunas, y se modifican determinadas normas tributarias (en adelante, Ley 38/2022).</w:t>
      </w:r>
    </w:p>
    <w:p w14:paraId="1E82F2E6" w14:textId="77777777" w:rsidR="008D479B" w:rsidRDefault="008D479B" w:rsidP="008D479B">
      <w:pPr>
        <w:pStyle w:val="TextoNormal"/>
      </w:pPr>
    </w:p>
    <w:p w14:paraId="6EB000BC" w14:textId="77777777" w:rsidR="008D479B" w:rsidRDefault="008D479B" w:rsidP="008D479B">
      <w:pPr>
        <w:pStyle w:val="TextoNormal"/>
      </w:pPr>
      <w:r>
        <w:t>a) Como ha quedado detalladamente expuesto en los antecedentes, el gobierno autonómico recurrente imputa al art. 3 de la Ley 38/2022, por el que se establece el impuesto temporal de solidaridad de las grandes fortunas, las siguientes infracciones constitucionales: (i) vulneración de la autonomía financiera de las comunidades autónomas y del bloque de la constitucionalidad en materia de tributos cedidos (arts. 156.1 y 157.3 CE); (ii) infracción del derecho de representación política (art. 23.2 CE); (iii) quebrantamiento de los principios de lealtad constitucional y de lealtad institucional [art. 2.1 g) LOFCA]; y, por último, (iv) infracción del principio de seguridad jurídica (art. 9.3 CE).</w:t>
      </w:r>
    </w:p>
    <w:p w14:paraId="69E1C974" w14:textId="77777777" w:rsidR="008D479B" w:rsidRDefault="008D479B" w:rsidP="008D479B">
      <w:pPr>
        <w:pStyle w:val="TextoNormal"/>
      </w:pPr>
    </w:p>
    <w:p w14:paraId="526291B7" w14:textId="77777777" w:rsidR="008D479B" w:rsidRDefault="008D479B" w:rsidP="008D479B">
      <w:pPr>
        <w:pStyle w:val="TextoNormal"/>
      </w:pPr>
      <w:r>
        <w:t>La letrada de las Cortes ha formulado alegaciones únicamente respecto de los citados motivos (i) y (ii), descartando los vicios respectivos. Por su parte, el abogado del Estado niega todas las infracciones, interesando la desestimación íntegra del recurso.</w:t>
      </w:r>
    </w:p>
    <w:p w14:paraId="1613C806" w14:textId="77777777" w:rsidR="008D479B" w:rsidRDefault="008D479B" w:rsidP="008D479B">
      <w:pPr>
        <w:pStyle w:val="TextoNormal"/>
      </w:pPr>
    </w:p>
    <w:p w14:paraId="004832F2" w14:textId="77777777" w:rsidR="008D479B" w:rsidRDefault="008D479B" w:rsidP="008D479B">
      <w:pPr>
        <w:pStyle w:val="TextoNormal"/>
      </w:pPr>
      <w:r>
        <w:t>b) El art. 3 de la Ley 38/2022 ha sido ya objeto de un pronunciamiento de este tribunal que, por la STC 149/2023, de 7 de noviembre, ha desestimado íntegramente el recurso de inconstitucionalidad núm. 616-2023, interpuesto contra dicho precepto por el Consejo de Gobierno de Comunidad de Madrid. Todos los motivos de inconstitucionalidad que esgrime el recurso de la Junta de Andalucía han sido ya enjuiciados en dicha sentencia, cuya doctrina, por tanto, es aplicable para resolver el presente proceso.</w:t>
      </w:r>
    </w:p>
    <w:p w14:paraId="14A46572" w14:textId="77777777" w:rsidR="008D479B" w:rsidRDefault="008D479B" w:rsidP="008D479B">
      <w:pPr>
        <w:pStyle w:val="TextoNormal"/>
      </w:pPr>
    </w:p>
    <w:p w14:paraId="24E26341" w14:textId="08FFCF1C" w:rsidR="008D479B" w:rsidRDefault="008D479B" w:rsidP="008D479B">
      <w:pPr>
        <w:pStyle w:val="TextoNormal"/>
      </w:pPr>
      <w:r>
        <w:t>Debemos comenzar dando por reproducida la síntesis de la estructura y finalidad del impuesto temporal de solidaridad de las grandes fortunas que hace la STC 149/2023, FJ 1 a) y b). A continuación, en los fundamentos jurídicos que siguen enjuiciaremos, por remisión a los fundamentos correspondientes de la citada sentencia, las impugnaciones planteadas por el Gobierno de la Junta de Andalucía.</w:t>
      </w:r>
    </w:p>
    <w:p w14:paraId="501BA82A" w14:textId="77777777" w:rsidR="008D479B" w:rsidRDefault="008D479B" w:rsidP="008D479B">
      <w:pPr>
        <w:pStyle w:val="TextoNormal"/>
      </w:pPr>
    </w:p>
    <w:p w14:paraId="4B3D5773" w14:textId="77777777" w:rsidR="008D479B" w:rsidRDefault="008D479B" w:rsidP="008D479B">
      <w:pPr>
        <w:pStyle w:val="TextoNormal"/>
      </w:pPr>
      <w:r w:rsidRPr="008D479B">
        <w:rPr>
          <w:rStyle w:val="NumeroAFNegritaCaracter"/>
        </w:rPr>
        <w:t>2</w:t>
      </w:r>
      <w:r>
        <w:t xml:space="preserve">. </w:t>
      </w:r>
      <w:r w:rsidRPr="008D479B">
        <w:rPr>
          <w:i/>
        </w:rPr>
        <w:t>Examen de la alegada vulneración de los arts. 156.1 y 157.3 CE. Desestimación por remisión a la STC 149/2023, FJ 3</w:t>
      </w:r>
    </w:p>
    <w:p w14:paraId="31DC4BD7" w14:textId="77777777" w:rsidR="008D479B" w:rsidRDefault="008D479B" w:rsidP="008D479B">
      <w:pPr>
        <w:pStyle w:val="TextoNormal"/>
      </w:pPr>
    </w:p>
    <w:p w14:paraId="5426E7CF" w14:textId="77777777" w:rsidR="008D479B" w:rsidRDefault="008D479B" w:rsidP="008D479B">
      <w:pPr>
        <w:pStyle w:val="TextoNormal"/>
      </w:pPr>
      <w:r>
        <w:t>a) El letrado de la Junta de Andalucía aduce que el impuesto temporal de solidaridad de las grandes fortunas ha sido introducido con la única finalidad de vaciar de contenido la competencia normativa de las comunidades autónomas sobre el impuesto sobre el patrimonio, particularmente con la intención de neutralizar las bonificaciones introducidas por algunas de ellas, lo que lesiona su autonomía financiera. Con ello —afirma— se vulnera también la reserva de ley orgánica para la regulación del ejercicio de las competencias financieras de las comunidades autónomas establecida en el art. 157.3 CE.</w:t>
      </w:r>
    </w:p>
    <w:p w14:paraId="22E39FA6" w14:textId="77777777" w:rsidR="008D479B" w:rsidRDefault="008D479B" w:rsidP="008D479B">
      <w:pPr>
        <w:pStyle w:val="TextoNormal"/>
      </w:pPr>
    </w:p>
    <w:p w14:paraId="5A93A970" w14:textId="77777777" w:rsidR="008D479B" w:rsidRDefault="008D479B" w:rsidP="008D479B">
      <w:pPr>
        <w:pStyle w:val="TextoNormal"/>
      </w:pPr>
      <w:r>
        <w:t>b) La letrada de las Cortes Generales y el abogado del Estado argumentan de contrario que el impuesto temporal de solidaridad de las grandes fortunas no afecta a la normativa ni a la cesión del impuesto sobre el patrimonio, que se mantienen intactas. Subrayan que el nuevo tributo no afecta a la recaudación del impuesto sobre el patrimonio, por lo que no se vulneran las competencias autonómicas, ni la autonomía financiera (ni política), ni el resto de los principios del art. 156.1 CE. Al no modificarse el régimen de cesión, ni regularse ningún medio de resolución de conflictos, tampoco consideran aplicable la reserva de ley orgánica del art. 157.3 CE.</w:t>
      </w:r>
    </w:p>
    <w:p w14:paraId="13C5364C" w14:textId="77777777" w:rsidR="008D479B" w:rsidRDefault="008D479B" w:rsidP="008D479B">
      <w:pPr>
        <w:pStyle w:val="TextoNormal"/>
      </w:pPr>
    </w:p>
    <w:p w14:paraId="39B46D5E" w14:textId="77777777" w:rsidR="008D479B" w:rsidRDefault="008D479B" w:rsidP="008D479B">
      <w:pPr>
        <w:pStyle w:val="TextoNormal"/>
      </w:pPr>
      <w:r>
        <w:t>c) La impugnación planteada por el Gobierno de la Junta de Andalucía debe desestimarse. En la STC 149/2023, FJ 3 C) a), hemos concluido que el impuesto temporal de solidaridad de las grandes fortunas deja intactas las competencias normativas autonómicas reconocidas en el régimen de cesión del impuesto sobre el patrimonio. El mínimo exento, la tarifa, las deducciones y las bonificaciones aplicables a los contribuyentes con residencia habitual en una comunidad autónoma seguirán siendo, única y exclusivamente, los que ella decida, en ejercicio de las competencias previstas en la LOFCA, en la Ley 22/2009 y en la ley específica de cesión de tributos a dicha comunidad.</w:t>
      </w:r>
    </w:p>
    <w:p w14:paraId="4A8F5876" w14:textId="77777777" w:rsidR="008D479B" w:rsidRDefault="008D479B" w:rsidP="008D479B">
      <w:pPr>
        <w:pStyle w:val="TextoNormal"/>
      </w:pPr>
    </w:p>
    <w:p w14:paraId="0A1E4A23" w14:textId="77777777" w:rsidR="008D479B" w:rsidRDefault="008D479B" w:rsidP="008D479B">
      <w:pPr>
        <w:pStyle w:val="TextoNormal"/>
      </w:pPr>
      <w:r>
        <w:t xml:space="preserve">Asimismo, hemos recordado que las comunidades autónomas pueden utilizar sus competencias tributarias con fines extrafiscales, como fomentar la generación de riqueza —según alega la demanda—, pero no impedir que el Estado, titular de la potestad tributaria originaria </w:t>
      </w:r>
      <w:r w:rsidRPr="008D479B">
        <w:rPr>
          <w:i/>
        </w:rPr>
        <w:t>ex</w:t>
      </w:r>
      <w:r>
        <w:t xml:space="preserve"> art. 133.1 CE y de la competencia exclusiva en materia de “hacienda general” </w:t>
      </w:r>
      <w:r w:rsidRPr="008D479B">
        <w:rPr>
          <w:i/>
        </w:rPr>
        <w:t>ex</w:t>
      </w:r>
      <w:r>
        <w:t xml:space="preserve"> art. 149.1.14 CE, establezca un nuevo tributo sobre el patrimonio que la comunidad autónoma ha dejado libre de gravamen.</w:t>
      </w:r>
    </w:p>
    <w:p w14:paraId="1DD87103" w14:textId="77777777" w:rsidR="008D479B" w:rsidRDefault="008D479B" w:rsidP="008D479B">
      <w:pPr>
        <w:pStyle w:val="TextoNormal"/>
      </w:pPr>
    </w:p>
    <w:p w14:paraId="740AC9AE" w14:textId="493DE36D" w:rsidR="008D479B" w:rsidRDefault="008D479B" w:rsidP="008D479B">
      <w:pPr>
        <w:pStyle w:val="TextoNormal"/>
      </w:pPr>
      <w:r>
        <w:t>Por otra parte, no se vulnera la reserva de ley orgánica del art. 157.3 CE dado que el impuesto temporal de solidaridad de las grandes fortunas no se crea en aplicación de la LOFCA, sino en ejercicio de las competencias reconocidas al Estado por los arts. 133.1 y 149.1.14 CE, las cuales no deben instrumentarse mediante ley orgánica. Tampoco concurre ninguno de los demás supuestos para los que el art. 157.3 CE establece una reserva de ley orgánica, como hemos razonado en la STC 149/2023, FJ 3 D).</w:t>
      </w:r>
    </w:p>
    <w:p w14:paraId="5661C512" w14:textId="77777777" w:rsidR="008D479B" w:rsidRDefault="008D479B" w:rsidP="008D479B">
      <w:pPr>
        <w:pStyle w:val="TextoNormal"/>
      </w:pPr>
    </w:p>
    <w:p w14:paraId="2A2A0535" w14:textId="77777777" w:rsidR="008D479B" w:rsidRDefault="008D479B" w:rsidP="008D479B">
      <w:pPr>
        <w:pStyle w:val="TextoNormal"/>
      </w:pPr>
      <w:r w:rsidRPr="008D479B">
        <w:rPr>
          <w:rStyle w:val="NumeroAFNegritaCaracter"/>
        </w:rPr>
        <w:t>3</w:t>
      </w:r>
      <w:r>
        <w:t xml:space="preserve">. </w:t>
      </w:r>
      <w:r w:rsidRPr="008D479B">
        <w:rPr>
          <w:i/>
        </w:rPr>
        <w:t>Examen de la alegada vulneración del art. 23.2 CE. Desestimación por remisión a la STC 149/2023, FJ</w:t>
      </w:r>
      <w:r>
        <w:t xml:space="preserve"> 2</w:t>
      </w:r>
    </w:p>
    <w:p w14:paraId="5E72CFCF" w14:textId="77777777" w:rsidR="008D479B" w:rsidRDefault="008D479B" w:rsidP="008D479B">
      <w:pPr>
        <w:pStyle w:val="TextoNormal"/>
      </w:pPr>
    </w:p>
    <w:p w14:paraId="14A1DE76" w14:textId="77777777" w:rsidR="008D479B" w:rsidRDefault="008D479B" w:rsidP="008D479B">
      <w:pPr>
        <w:pStyle w:val="TextoNormal"/>
      </w:pPr>
      <w:r>
        <w:t xml:space="preserve">a) El Gobierno de la Junta de Andalucía denuncia que la disposición impugnada vulnera el </w:t>
      </w:r>
      <w:r w:rsidRPr="008D479B">
        <w:rPr>
          <w:i/>
        </w:rPr>
        <w:t>ius in officium</w:t>
      </w:r>
      <w:r>
        <w:t xml:space="preserve"> del art. 23.2 CE porque el objeto de deliberación de una iniciativa legislativa se alteró a través de una enmienda, que dio lugar al precepto impugnado, que no guardaba una mínima conexión de homogeneidad con la proposición de ley que había sido admitida a trámite.</w:t>
      </w:r>
    </w:p>
    <w:p w14:paraId="4E568203" w14:textId="77777777" w:rsidR="008D479B" w:rsidRDefault="008D479B" w:rsidP="008D479B">
      <w:pPr>
        <w:pStyle w:val="TextoNormal"/>
      </w:pPr>
    </w:p>
    <w:p w14:paraId="0645B9F5" w14:textId="77777777" w:rsidR="008D479B" w:rsidRDefault="008D479B" w:rsidP="008D479B">
      <w:pPr>
        <w:pStyle w:val="TextoNormal"/>
      </w:pPr>
      <w:r>
        <w:t>b) El abogado del Estado y la letrada de las Cortes Generales descartan la infracción. Ambos consideran que el nuevo impuesto sí guarda conexión con el objetivo de la proposición de ley en la que se integró, ya que sirve, como el resto de las medidas de la iniciativa, para generar ingresos con los que afrontar la situación excepcional derivada de la crisis energética y la inflación.</w:t>
      </w:r>
    </w:p>
    <w:p w14:paraId="3F80DF17" w14:textId="77777777" w:rsidR="008D479B" w:rsidRDefault="008D479B" w:rsidP="008D479B">
      <w:pPr>
        <w:pStyle w:val="TextoNormal"/>
      </w:pPr>
    </w:p>
    <w:p w14:paraId="39CC6EC6" w14:textId="6587C24A" w:rsidR="008D479B" w:rsidRDefault="008D479B" w:rsidP="008D479B">
      <w:pPr>
        <w:pStyle w:val="TextoNormal"/>
      </w:pPr>
      <w:r>
        <w:t>c) Por las razones expuestas en STC 149/2023, FJ 2, la impugnación no puede prosperar. Aplicando la doctrina de las SSTC 119/2011, de 5 de julio, y 136/2011, de 13 de septiembre, dicha sentencia ha descartado en este caso la vulneración del derecho de enmienda, invocando otros precedentes análogos (SSTC 209/2012, de 14 de noviembre, respecto de la creación del impuesto sobre las ventas minoristas de determinados hidrocarburos, y 59/2015, de 18 de marzo, sobre el establecimiento del impuesto sobre los depósitos en las entidades de crédito).</w:t>
      </w:r>
    </w:p>
    <w:p w14:paraId="358D505B" w14:textId="77777777" w:rsidR="008D479B" w:rsidRDefault="008D479B" w:rsidP="008D479B">
      <w:pPr>
        <w:pStyle w:val="TextoNormal"/>
      </w:pPr>
    </w:p>
    <w:p w14:paraId="7ADFEE8F" w14:textId="77777777" w:rsidR="008D479B" w:rsidRDefault="008D479B" w:rsidP="008D479B">
      <w:pPr>
        <w:pStyle w:val="TextoNormal"/>
      </w:pPr>
      <w:r w:rsidRPr="008D479B">
        <w:rPr>
          <w:rStyle w:val="NumeroAFNegritaCaracter"/>
        </w:rPr>
        <w:t>4</w:t>
      </w:r>
      <w:r>
        <w:t xml:space="preserve">. </w:t>
      </w:r>
      <w:r w:rsidRPr="008D479B">
        <w:rPr>
          <w:i/>
        </w:rPr>
        <w:t>Examen de la alegada vulneración de los principios de lealtad constitucional y de lealtad institucional [art. 2.1 g) LOFCA]. Desestimación por remisión a la STC 149/2023, FJ</w:t>
      </w:r>
      <w:r>
        <w:t xml:space="preserve"> 3</w:t>
      </w:r>
    </w:p>
    <w:p w14:paraId="72AF8FA2" w14:textId="77777777" w:rsidR="008D479B" w:rsidRDefault="008D479B" w:rsidP="008D479B">
      <w:pPr>
        <w:pStyle w:val="TextoNormal"/>
      </w:pPr>
    </w:p>
    <w:p w14:paraId="050C3C8F" w14:textId="77777777" w:rsidR="008D479B" w:rsidRDefault="008D479B" w:rsidP="008D479B">
      <w:pPr>
        <w:pStyle w:val="TextoNormal"/>
      </w:pPr>
      <w:r>
        <w:t>a) La demanda invoca los principios de lealtad constitucional y de lealtad institucional en apoyo del argumento, ya expuesto, de que las competencias normativas de Andalucía sobre el impuesto sobre el patrimonio quedan neutralizadas y vacías de contenido como resultado del establecimiento del impuesto temporal de solidaridad de las grandes fortunas.</w:t>
      </w:r>
    </w:p>
    <w:p w14:paraId="4CE56286" w14:textId="77777777" w:rsidR="008D479B" w:rsidRDefault="008D479B" w:rsidP="008D479B">
      <w:pPr>
        <w:pStyle w:val="TextoNormal"/>
      </w:pPr>
    </w:p>
    <w:p w14:paraId="03A97E8F" w14:textId="77777777" w:rsidR="008D479B" w:rsidRDefault="008D479B" w:rsidP="008D479B">
      <w:pPr>
        <w:pStyle w:val="TextoNormal"/>
      </w:pPr>
      <w:r>
        <w:t>b) El abogado del Estado niega que dichos principios se hayan visto afectados, puesto que no se imponen nuevas obligaciones de gasto ni se reducen los ingresos autonómicos, por lo que falta la premisa para la aplicación del art. 2.1 g) LOFCA. La letrada de las Cortes Generales no formula alegaciones sobre este motivo.</w:t>
      </w:r>
    </w:p>
    <w:p w14:paraId="0C1B6B6B" w14:textId="77777777" w:rsidR="008D479B" w:rsidRDefault="008D479B" w:rsidP="008D479B">
      <w:pPr>
        <w:pStyle w:val="TextoNormal"/>
      </w:pPr>
    </w:p>
    <w:p w14:paraId="76B01AF4" w14:textId="77777777" w:rsidR="008D479B" w:rsidRDefault="008D479B" w:rsidP="008D479B">
      <w:pPr>
        <w:pStyle w:val="TextoNormal"/>
      </w:pPr>
      <w:r>
        <w:t>c) Con base en la STC 149/2023, FJ 3 C) c) el motivo se ha de desestimar. El principio de lealtad institucional, reconocido en el art. 2.1 g) LOFCA, exige valorar el “impacto, positivo o negativo, que puedan suponer las actuaciones legislativas del Estado y de las comunidades autónomas en materia tributaria”. Dicho principio no queda afectado por el establecimiento del impuesto temporal de solidaridad de las grandes fortunas porque este no genera ninguna pérdida recaudatoria para las comunidades autónomas.</w:t>
      </w:r>
    </w:p>
    <w:p w14:paraId="6FB77937" w14:textId="77777777" w:rsidR="008D479B" w:rsidRDefault="008D479B" w:rsidP="008D479B">
      <w:pPr>
        <w:pStyle w:val="TextoNormal"/>
      </w:pPr>
    </w:p>
    <w:p w14:paraId="7096781B" w14:textId="09431C58" w:rsidR="008D479B" w:rsidRDefault="008D479B" w:rsidP="008D479B">
      <w:pPr>
        <w:pStyle w:val="TextoNormal"/>
      </w:pPr>
      <w:r>
        <w:t>Por lo que se refiere al principio de lealtad constitucional, su infracción se conecta en la demanda con la afectación de las competencias autonómicas sobre el impuesto sobre el patrimonio. Dado que en el fundamento jurídico 2 hemos descartado la vulneración competencial, también debemos desestimar la del principio invocado.</w:t>
      </w:r>
    </w:p>
    <w:p w14:paraId="7E9A70D8" w14:textId="77777777" w:rsidR="008D479B" w:rsidRDefault="008D479B" w:rsidP="008D479B">
      <w:pPr>
        <w:pStyle w:val="TextoNormal"/>
      </w:pPr>
    </w:p>
    <w:p w14:paraId="29B6044F" w14:textId="77777777" w:rsidR="008D479B" w:rsidRDefault="008D479B" w:rsidP="008D479B">
      <w:pPr>
        <w:pStyle w:val="TextoNormal"/>
      </w:pPr>
      <w:r w:rsidRPr="008D479B">
        <w:rPr>
          <w:rStyle w:val="NumeroAFNegritaCaracter"/>
        </w:rPr>
        <w:t>5</w:t>
      </w:r>
      <w:r>
        <w:t xml:space="preserve">. </w:t>
      </w:r>
      <w:r w:rsidRPr="008D479B">
        <w:rPr>
          <w:i/>
        </w:rPr>
        <w:t>Examen de la alegada vulneración del art. 9.3 CE. Desestimación por remisión a la STC 149/2023, FJ</w:t>
      </w:r>
      <w:r>
        <w:t xml:space="preserve"> 5</w:t>
      </w:r>
    </w:p>
    <w:p w14:paraId="36BB1A79" w14:textId="77777777" w:rsidR="008D479B" w:rsidRDefault="008D479B" w:rsidP="008D479B">
      <w:pPr>
        <w:pStyle w:val="TextoNormal"/>
      </w:pPr>
    </w:p>
    <w:p w14:paraId="375A1E08" w14:textId="77777777" w:rsidR="008D479B" w:rsidRDefault="008D479B" w:rsidP="008D479B">
      <w:pPr>
        <w:pStyle w:val="TextoNormal"/>
      </w:pPr>
      <w:r>
        <w:t>a) El Gobierno de la Junta de Andalucía atribuye al impuesto temporal de solidaridad de las grandes fortunas la infracción del principio de seguridad jurídica del art. 9.3 CE, por tener efectos retroactivos. Alega que los destinatarios del nuevo tributo no pudieron prever su establecimiento y quedaron sin posibilidades de reacción frente a él.</w:t>
      </w:r>
    </w:p>
    <w:p w14:paraId="664C4B8A" w14:textId="77777777" w:rsidR="008D479B" w:rsidRDefault="008D479B" w:rsidP="008D479B">
      <w:pPr>
        <w:pStyle w:val="TextoNormal"/>
      </w:pPr>
    </w:p>
    <w:p w14:paraId="292849EA" w14:textId="77777777" w:rsidR="008D479B" w:rsidRDefault="008D479B" w:rsidP="008D479B">
      <w:pPr>
        <w:pStyle w:val="TextoNormal"/>
      </w:pPr>
      <w:r>
        <w:t>b) El abogado del Estado niega la vulneración, pues considera que el impuesto temporal de solidaridad de las grandes fortunas es de carácter instantáneo, no periódico, por lo que no afecta a situaciones previas a su entrada en vigor. La letrada de las Cortes Generales no formula alegaciones sobre este motivo.</w:t>
      </w:r>
    </w:p>
    <w:p w14:paraId="1928FF6F" w14:textId="77777777" w:rsidR="008D479B" w:rsidRDefault="008D479B" w:rsidP="008D479B">
      <w:pPr>
        <w:pStyle w:val="TextoNormal"/>
      </w:pPr>
    </w:p>
    <w:p w14:paraId="03164408" w14:textId="77777777" w:rsidR="008D479B" w:rsidRDefault="008D479B" w:rsidP="008D479B">
      <w:pPr>
        <w:pStyle w:val="TextoNormal"/>
      </w:pPr>
      <w:r>
        <w:t>c) La impugnación se desestima, con base en lo razonado en la STC 149/2023, FJ 5. En ella constatamos que el hecho imponible del impuesto temporal de solidaridad de las grandes fortunas no se va generando a lo largo de un periodo de tiempo, sino que se agota en sí mismo el día 31 de diciembre. Es, por tanto, un tributo sin periodo impositivo (instantáneo), que se devengó, por primera vez, el 31 de diciembre de 2022, una vez que ya había entrado en vigor el precepto impugnado el anterior día 29. Así pues, no produce ningún efecto retroactivo.</w:t>
      </w:r>
    </w:p>
    <w:p w14:paraId="1976E235" w14:textId="77777777" w:rsidR="008D479B" w:rsidRDefault="008D479B" w:rsidP="008D479B">
      <w:pPr>
        <w:pStyle w:val="TextoNormal"/>
      </w:pPr>
    </w:p>
    <w:p w14:paraId="31F234F5" w14:textId="658A469A" w:rsidR="008D479B" w:rsidRDefault="008D479B" w:rsidP="008D479B">
      <w:pPr>
        <w:pStyle w:val="TextoNormal"/>
      </w:pPr>
      <w:r>
        <w:t>Respecto de que se estableciera de forma “imprevisible”, en la citada sentencia hemos recordado nuestra reiterada doctrina según la cual “entre las exigencias de la seguridad jurídica no se incluye derecho alguno a la inalterabilidad del régimen fiscal, ni, en general, ‘a la congelación del ordenamiento jurídico existente’”.</w:t>
      </w:r>
    </w:p>
    <w:p w14:paraId="5610D658" w14:textId="77777777" w:rsidR="008D479B" w:rsidRDefault="008D479B" w:rsidP="008D479B">
      <w:pPr>
        <w:pStyle w:val="TextoNormal"/>
      </w:pPr>
    </w:p>
    <w:p w14:paraId="3DA97A38" w14:textId="77777777" w:rsidR="008D479B" w:rsidRDefault="008D479B" w:rsidP="008D479B">
      <w:pPr>
        <w:pStyle w:val="TextoNormalCentrado"/>
        <w:keepNext/>
      </w:pPr>
      <w:r>
        <w:t>FALLO</w:t>
      </w:r>
    </w:p>
    <w:p w14:paraId="7B444C58" w14:textId="0631C043" w:rsidR="008D479B" w:rsidRDefault="008D479B" w:rsidP="008D479B">
      <w:pPr>
        <w:pStyle w:val="TextoNormalCentrado"/>
        <w:keepNext/>
      </w:pPr>
    </w:p>
    <w:p w14:paraId="25CABB9E" w14:textId="053A9252" w:rsidR="008D479B" w:rsidRDefault="008D479B" w:rsidP="008D479B">
      <w:pPr>
        <w:pStyle w:val="TextoNormal"/>
      </w:pPr>
      <w:r>
        <w:t>En atención a todo lo expuesto, el Tribunal Constitucional, por la autoridad que le confiere la Constitución de la Nación española, ha decidido desestimar íntegramente el recurso de inconstitucionalidad interpuesto por el Gobierno de la Junta de Andalucía contra el art. 3 de la Ley 38/2022, de 27 de diciembre, para el establecimiento de gravámenes temporales energético y de entidades de crédito y establecimientos financieros de crédito y por la que se crea el impuesto temporal de solidaridad de las grandes fortunas, y se modifican determinadas normas tributarias.</w:t>
      </w:r>
    </w:p>
    <w:p w14:paraId="6F5FEECC" w14:textId="77777777" w:rsidR="008D479B" w:rsidRDefault="008D479B" w:rsidP="008D479B">
      <w:pPr>
        <w:pStyle w:val="TextoNormal"/>
      </w:pPr>
    </w:p>
    <w:p w14:paraId="693492C4" w14:textId="77777777" w:rsidR="008D479B" w:rsidRDefault="008D479B" w:rsidP="008D479B">
      <w:pPr>
        <w:pStyle w:val="TextoNormal"/>
      </w:pPr>
      <w:r>
        <w:t>Publíquese esta sentencia en el “Boletín Oficial del Estado”.</w:t>
      </w:r>
    </w:p>
    <w:p w14:paraId="19C00292" w14:textId="77777777" w:rsidR="008D479B" w:rsidRDefault="008D479B" w:rsidP="008D479B">
      <w:pPr>
        <w:pStyle w:val="TextoNormal"/>
      </w:pPr>
      <w:r>
        <w:t>Dada en Madrid, a veintidós de noviembre de dos mil veintitrés.</w:t>
      </w:r>
    </w:p>
    <w:p w14:paraId="43DB0DD9" w14:textId="20EF5C98" w:rsidR="008D479B" w:rsidRDefault="008D479B" w:rsidP="008D479B">
      <w:pPr>
        <w:pStyle w:val="ParrafoNormal"/>
      </w:pPr>
    </w:p>
    <w:p w14:paraId="234726C6" w14:textId="77777777" w:rsidR="008D479B" w:rsidRDefault="008D479B" w:rsidP="008D479B">
      <w:pPr>
        <w:pStyle w:val="TextoNormalNegritaCentrado"/>
        <w:keepNext/>
      </w:pPr>
      <w:r>
        <w:t>Voto particular que formulan los magistrados don Ricardo Enríquez Sancho y don Enrique Arnaldo Alcubilla, la magistrada doña Concepción Espejel Jorquera y el magistrado don César Tolosa Tribiño, a la sentencia del Pleno del Tribunal Constitucional que resuelve el recurso de inconstitucionalidad núm. 1258-2023</w:t>
      </w:r>
    </w:p>
    <w:p w14:paraId="5CCD1927" w14:textId="2AEEB94A" w:rsidR="008D479B" w:rsidRDefault="008D479B" w:rsidP="008D479B">
      <w:pPr>
        <w:pStyle w:val="TextoNormalNegritaCentrado"/>
        <w:keepNext/>
      </w:pPr>
    </w:p>
    <w:p w14:paraId="476969D9" w14:textId="77777777" w:rsidR="008D479B" w:rsidRDefault="008D479B" w:rsidP="008D479B">
      <w:pPr>
        <w:pStyle w:val="TextoNormal"/>
      </w:pPr>
      <w:r>
        <w:t>En el ejercicio de la facultad que nos confiere el artículo 90.2 de la Ley Orgánica del Tribunal Constitucional, y con respeto a la opinión de los magistrados que han conformado la mayoría del Pleno, formulamos el presente voto particular para expresar nuestra discrepancia con la fundamentación y con el fallo de la sentencia recaída en el presente recurso de inconstitucionalidad, el cual consideramos que debió ser estimado, declarando inconstitucional y nulo el art. 3 de la Ley 38/2022, de 27 de diciembre, que crea el impuesto temporal de solidaridad de las grandes fortunas.</w:t>
      </w:r>
    </w:p>
    <w:p w14:paraId="7256E9B9" w14:textId="77777777" w:rsidR="008D479B" w:rsidRDefault="008D479B" w:rsidP="008D479B">
      <w:pPr>
        <w:pStyle w:val="TextoNormal"/>
      </w:pPr>
    </w:p>
    <w:p w14:paraId="57738F33" w14:textId="77777777" w:rsidR="008D479B" w:rsidRDefault="008D479B" w:rsidP="008D479B">
      <w:pPr>
        <w:pStyle w:val="TextoNormal"/>
      </w:pPr>
      <w:r>
        <w:t>Las razones de nuestra discrepancia son las expuestas en el voto particular conjunto que formulamos a la STC 149/2023, de 7 de noviembre, a la que la presente sentencia se remite en cuanto procede. En consecuencia, no consideramos necesario reiterar en detalle los argumentos que en dicho voto particular se contienen (cuya extensión resultaba justificada por la gravedad del problema constitucional planteado), siendo suficiente con remitirnos a aquel, resumiendo los motivos por los que entendemos que este tribunal debió declarar la inconstitucionalidad y consiguiente nulidad del precepto legal impugnado.</w:t>
      </w:r>
    </w:p>
    <w:p w14:paraId="28F644A8" w14:textId="77777777" w:rsidR="008D479B" w:rsidRDefault="008D479B" w:rsidP="008D479B">
      <w:pPr>
        <w:pStyle w:val="TextoNormal"/>
      </w:pPr>
    </w:p>
    <w:p w14:paraId="2BEC9559" w14:textId="77777777" w:rsidR="008D479B" w:rsidRDefault="008D479B" w:rsidP="008D479B">
      <w:pPr>
        <w:pStyle w:val="TextoNormal"/>
      </w:pPr>
      <w:r>
        <w:t>En primer lugar, porque el precepto legal impugnado vulnera la autonomía financiera y política de las comunidades autónomas, garantizada por los arts. 2, 137, 156.1 y 157.3 CE, al neutralizar la defensa de los intereses respectivos en el ejercicio de las competencias propias. El art. 19.2 b) de la Ley Orgánica de financiación de las comunidades autónomas, que forma parte del bloque de la constitucionalidad, prevé que las comunidades autónomas puedan asumir las bonificaciones del impuesto sobre el patrimonio, y la Ley 22/2009 determina que se ceden a aquellas las competencias normativas en materia de bonificaciones de la cuota en el impuesto sobre el patrimonio. La “armonización” pretendida por la Ley 38/2022 con la creación del impuesto temporal de solidaridad de las grandes fortunas pretende neutralizar las bonificaciones en el impuesto sobre el patrimonio establecidas por algunas comunidades autónomas, sin seguir el procedimiento establecido para la modificación de las condiciones de cesión del impuesto sobre el patrimonio, que es un impuesto cedido, vulnerando así la autonomía política y financiera de estas, que comprende la opción de bonificar los tributos cedidos.</w:t>
      </w:r>
    </w:p>
    <w:p w14:paraId="2487EF8E" w14:textId="77777777" w:rsidR="008D479B" w:rsidRDefault="008D479B" w:rsidP="008D479B">
      <w:pPr>
        <w:pStyle w:val="TextoNormal"/>
      </w:pPr>
    </w:p>
    <w:p w14:paraId="5051E5CD" w14:textId="77777777" w:rsidR="008D479B" w:rsidRDefault="008D479B" w:rsidP="008D479B">
      <w:pPr>
        <w:pStyle w:val="TextoNormal"/>
      </w:pPr>
      <w:r>
        <w:t>En segundo lugar, porque la forma de aprobación de la iniciativa legislativa controvertida que ha dado lugar a la Ley 38/2022 supone un neto menosprecio al principio democrático, a los derechos de representación política de las minorías y al principio de legalidad tributaria. El precepto legal impugnado incurre en vulneración de los arts. 1.1, 23.2, 66.2 y 87.1 CE, al haberse introducido la regulación impugnada mediante enmienda que no guarda la conexión mínima de homogeneidad exigible con la proposición de ley que dio lugar a la Ley 38/2022, de 27 de diciembre. Es cierto que en las SSTC 209/2012, de 14 de noviembre, y 59/2015, de 18 de marzo, se desestimaron tachas similares, pero fue porque en aquellos casos las enmiendas creaban tributos y los proyectos de ley versaban sobre medidas tributarias. Por el contrario, en el presente caso, pese a lo afirmado en la sentencia de la que disentimos, no existe la conexión de objeto y materia constitucionalmente exigible (STC 136/2011, de 13 de septiembre, FJ 8) entre la enmienda que introdujo el impuesto temporal de solidaridad de las grandes fortunas y los gravámenes previstos en la iniciativa legislativa, que no tenían carácter tributario.</w:t>
      </w:r>
    </w:p>
    <w:p w14:paraId="566BFDE7" w14:textId="77777777" w:rsidR="008D479B" w:rsidRDefault="008D479B" w:rsidP="008D479B">
      <w:pPr>
        <w:pStyle w:val="TextoNormal"/>
      </w:pPr>
    </w:p>
    <w:p w14:paraId="180B751A" w14:textId="77777777" w:rsidR="008D479B" w:rsidRDefault="008D479B" w:rsidP="008D479B">
      <w:pPr>
        <w:pStyle w:val="TextoNormal"/>
      </w:pPr>
      <w:r>
        <w:t>Por último, porque el precepto impugnado vulnera el principio de seguridad jurídica, reconocido por el art. 9.3 CE, y la protección de la confianza legítima de los ciudadanos en la actuación de los poderes públicos que de él se deriva, por la sorpresiva aplicación del impuesto impugnado. Frente a lo afirmado por la sentencia de la que disentimos, resulta que, conforme a lo dispuesto en el art. 3 de la Ley 38/2022, de 27 de diciembre, el impuesto temporal de solidaridad de las grandes fortunas se aplica a todo el ejercicio 2022, casi agotado cuando entra en vigor dicha ley (el 29 de diciembre de 2022, día siguiente a su publicación en el “Boletín Oficial del Estado”), lo que ha impedido a los sujetos pasivos del impuesto ordenar sus relaciones económicas con tiempo suficiente. Además, la creación del nuevo impuesto no era previsible, ya que no se pudo conocer realmente como pronto hasta la publicación de la enmienda en el “Boletín Oficial de las Cortes Generales” el 18 de noviembre de 2022, lo que abunda en la infracción del principio constitucional de seguridad jurídica (por todas, STC 173/1996, de 31 de octubre, FJ 3).</w:t>
      </w:r>
    </w:p>
    <w:p w14:paraId="07414EC2" w14:textId="77777777" w:rsidR="008D479B" w:rsidRDefault="008D479B" w:rsidP="008D479B">
      <w:pPr>
        <w:pStyle w:val="TextoNormal"/>
      </w:pPr>
    </w:p>
    <w:p w14:paraId="49A85BF9" w14:textId="77777777" w:rsidR="008D479B" w:rsidRDefault="008D479B" w:rsidP="008D479B">
      <w:pPr>
        <w:pStyle w:val="TextoNormal"/>
      </w:pPr>
      <w:r>
        <w:t>En definitiva, ni toda razón política puede vestirse, sin más, de una legitimación constitucional, ni el poder financiero del Estado puede desconocer, so pretexto de ser soberano, el ámbito competencial propio de las comunidades autónomas, socavando de forma ilegítima su autonomía política constitucionalmente consagrada, ni, en fin, el poder público puede traicionar abiertamente las expectativas generadas en los ciudadanos de cara al cumplimiento de las obligaciones impuestas.</w:t>
      </w:r>
    </w:p>
    <w:p w14:paraId="758417EA" w14:textId="77777777" w:rsidR="008D479B" w:rsidRDefault="008D479B" w:rsidP="008D479B">
      <w:pPr>
        <w:pStyle w:val="TextoNormal"/>
      </w:pPr>
    </w:p>
    <w:p w14:paraId="560630C5" w14:textId="67966205" w:rsidR="008D479B" w:rsidRDefault="008D479B" w:rsidP="008D479B">
      <w:pPr>
        <w:pStyle w:val="TextoNormal"/>
      </w:pPr>
      <w:r>
        <w:t>Madrid, a veintidós de noviembre de dos mil veintitrés.</w:t>
      </w:r>
    </w:p>
    <w:p w14:paraId="6DB80003" w14:textId="46E556F8" w:rsidR="008D479B" w:rsidRDefault="008D479B">
      <w:pPr>
        <w:spacing w:after="160" w:line="278" w:lineRule="auto"/>
        <w:rPr>
          <w:rFonts w:ascii="Times New Roman" w:eastAsia="Times New Roman" w:hAnsi="Times New Roman" w:cs="Times New Roman"/>
          <w:sz w:val="24"/>
          <w:szCs w:val="24"/>
          <w:lang w:eastAsia="es-ES"/>
        </w:rPr>
      </w:pPr>
      <w:r>
        <w:br w:type="page"/>
      </w:r>
    </w:p>
    <w:p w14:paraId="15241150" w14:textId="77777777" w:rsidR="008D479B" w:rsidRDefault="008D479B" w:rsidP="008D479B">
      <w:pPr>
        <w:pStyle w:val="TtuloResolucin"/>
      </w:pPr>
      <w:bookmarkStart w:id="96" w:name="SENTENCIA_2023_171"/>
      <w:r>
        <w:t>SENTENCIA 171/2023, de 22 de noviembre de 2023</w:t>
      </w:r>
    </w:p>
    <w:bookmarkEnd w:id="96"/>
    <w:p w14:paraId="47C632C8" w14:textId="77777777" w:rsidR="008D479B" w:rsidRDefault="008D479B" w:rsidP="008D479B">
      <w:pPr>
        <w:pStyle w:val="TtuloResolucin"/>
      </w:pPr>
      <w:r>
        <w:t>Pleno</w:t>
      </w:r>
    </w:p>
    <w:p w14:paraId="032F2546" w14:textId="77777777" w:rsidR="008D479B" w:rsidRDefault="008D479B" w:rsidP="008D479B">
      <w:pPr>
        <w:pStyle w:val="TtuloBOE"/>
      </w:pPr>
      <w:r>
        <w:t>(BOE núm. 304, de 21 de diciembre de 2023)</w:t>
      </w:r>
    </w:p>
    <w:p w14:paraId="58A8451D" w14:textId="77777777" w:rsidR="008D479B" w:rsidRDefault="008D479B" w:rsidP="008D479B">
      <w:pPr>
        <w:pStyle w:val="TextoNormalCentrado"/>
      </w:pPr>
      <w:r>
        <w:t>ECLI:ES:TC:2023:171</w:t>
      </w:r>
    </w:p>
    <w:p w14:paraId="4C9B3842" w14:textId="79CA1583" w:rsidR="008D479B" w:rsidRDefault="008D479B" w:rsidP="008D479B">
      <w:pPr>
        <w:pStyle w:val="TextoNormalCentrado"/>
      </w:pPr>
    </w:p>
    <w:p w14:paraId="01E9BDFD" w14:textId="77777777" w:rsidR="008D479B" w:rsidRDefault="008D479B" w:rsidP="008D479B">
      <w:pPr>
        <w:pStyle w:val="SntesisDescriptiva"/>
      </w:pPr>
      <w:r>
        <w:t>Recurso de inconstitucionalidad 1951-2023. Interpuesto por el Gobierno de la Xunta de Galicia respecto del artículo 3 de la Ley 38/2022, de 27 de diciembre, para el establecimiento de gravámenes temporales energético y de entidades de crédito y establecimientos financieros de crédito y por la que se crea el impuesto temporal de solidaridad de las grandes fortunas, y se modifican determinadas normas tributarias.</w:t>
      </w:r>
    </w:p>
    <w:p w14:paraId="4F853846" w14:textId="7A4D48AB" w:rsidR="008D479B" w:rsidRDefault="008D479B" w:rsidP="008D479B">
      <w:pPr>
        <w:pStyle w:val="SntesisDescriptiva"/>
      </w:pPr>
    </w:p>
    <w:p w14:paraId="58F714B4" w14:textId="77777777" w:rsidR="008D479B" w:rsidRDefault="008D479B" w:rsidP="008D479B">
      <w:pPr>
        <w:pStyle w:val="SntesisAnaltica"/>
      </w:pPr>
      <w:r>
        <w:t>Supuesta vulneración del derecho al ejercicio de las funciones representativas (homogeneidad de las enmiendas parlamentarias respecto del texto que se pretende modificar), principios de legalidad tributaria, capacidad económica y no confiscatoriedad, corresponsabilidad fiscal y lealtad institucional: STC 149/2023 (constitucionalidad del precepto legal que crea el impuesto temporal sobre grandes fortunas como tributo directo, de naturaleza personal y complementario del impuesto sobre el patrimonio). Voto particular.</w:t>
      </w:r>
    </w:p>
    <w:p w14:paraId="2FB7CEE9" w14:textId="1993DFA2" w:rsidR="008D479B" w:rsidRDefault="008D479B" w:rsidP="008D479B">
      <w:pPr>
        <w:pStyle w:val="SntesisAnaltica"/>
      </w:pPr>
    </w:p>
    <w:p w14:paraId="6A6C6766" w14:textId="17B435A4" w:rsidR="008D479B" w:rsidRDefault="008D479B" w:rsidP="008D479B">
      <w:pPr>
        <w:pStyle w:val="Extracto"/>
      </w:pPr>
      <w:r>
        <w:t>1.</w:t>
      </w:r>
      <w:r>
        <w:tab/>
        <w:t xml:space="preserve">En aplicación de la doctrina dictada en la STC 149/2023, los principios de lealtad institucional -reconocido en el art. 2.1 g) LOFCA- y de igualdad no quedan afectados por el establecimiento del impuesto temporal de solidaridad de las grandes fortunas porque este tributo genera desigualdad ni pérdida recaudatoria para las comunidades autónomas </w:t>
      </w:r>
    </w:p>
    <w:p w14:paraId="368B072D" w14:textId="77777777" w:rsidR="008D479B" w:rsidRDefault="008D479B" w:rsidP="008D479B">
      <w:pPr>
        <w:pStyle w:val="Extracto"/>
      </w:pPr>
    </w:p>
    <w:p w14:paraId="08DF4815" w14:textId="77777777" w:rsidR="008D479B" w:rsidRDefault="008D479B" w:rsidP="008D479B">
      <w:pPr>
        <w:pStyle w:val="Extracto"/>
      </w:pPr>
    </w:p>
    <w:p w14:paraId="01236741" w14:textId="77777777" w:rsidR="008D479B" w:rsidRDefault="008D479B" w:rsidP="008D479B">
      <w:pPr>
        <w:pStyle w:val="TextoNormal"/>
      </w:pPr>
      <w: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 ha pronunciado</w:t>
      </w:r>
    </w:p>
    <w:p w14:paraId="4F2495A3" w14:textId="54028E8C" w:rsidR="008D479B" w:rsidRDefault="008D479B" w:rsidP="008D479B">
      <w:pPr>
        <w:pStyle w:val="TextoNormal"/>
      </w:pPr>
    </w:p>
    <w:p w14:paraId="7CDA4BA4" w14:textId="77777777" w:rsidR="008D479B" w:rsidRDefault="008D479B" w:rsidP="008D479B">
      <w:pPr>
        <w:pStyle w:val="TextoNormalCentrado"/>
        <w:keepNext/>
      </w:pPr>
      <w:r>
        <w:t>EN NOMBRE DEL REY</w:t>
      </w:r>
    </w:p>
    <w:p w14:paraId="16DD8914" w14:textId="4BE0744B" w:rsidR="008D479B" w:rsidRDefault="008D479B" w:rsidP="008D479B">
      <w:pPr>
        <w:pStyle w:val="TextoNormalCentrado"/>
        <w:keepNext/>
      </w:pPr>
    </w:p>
    <w:p w14:paraId="30FF990F" w14:textId="77777777" w:rsidR="008D479B" w:rsidRDefault="008D479B" w:rsidP="008D479B">
      <w:pPr>
        <w:pStyle w:val="TextoNormalCentrado"/>
        <w:keepNext/>
      </w:pPr>
    </w:p>
    <w:p w14:paraId="4ECF2AB0" w14:textId="77777777" w:rsidR="008D479B" w:rsidRDefault="008D479B" w:rsidP="008D479B">
      <w:pPr>
        <w:pStyle w:val="TextoNormal"/>
      </w:pPr>
      <w:r>
        <w:t>la siguiente</w:t>
      </w:r>
    </w:p>
    <w:p w14:paraId="2F1D66E7" w14:textId="160166BD" w:rsidR="008D479B" w:rsidRDefault="008D479B" w:rsidP="008D479B">
      <w:pPr>
        <w:pStyle w:val="TextoNormal"/>
      </w:pPr>
    </w:p>
    <w:p w14:paraId="24DC689A" w14:textId="77777777" w:rsidR="008D479B" w:rsidRDefault="008D479B" w:rsidP="008D479B">
      <w:pPr>
        <w:pStyle w:val="TextoNormalCentrado"/>
        <w:keepNext/>
      </w:pPr>
      <w:r>
        <w:t>SENTENCIA</w:t>
      </w:r>
    </w:p>
    <w:p w14:paraId="7180CE27" w14:textId="7571ABE5" w:rsidR="008D479B" w:rsidRDefault="008D479B" w:rsidP="008D479B">
      <w:pPr>
        <w:pStyle w:val="TextoNormalCentrado"/>
        <w:keepNext/>
      </w:pPr>
    </w:p>
    <w:p w14:paraId="3D3867C9" w14:textId="77777777" w:rsidR="008D479B" w:rsidRDefault="008D479B" w:rsidP="008D479B">
      <w:pPr>
        <w:pStyle w:val="TextoNormal"/>
      </w:pPr>
      <w:r>
        <w:t>En el recurso de inconstitucionalidad núm. 1951-2023, interpuesto por la Xunta de Galicia contra el art. 3 de la Ley 38/2022, de 27 de diciembre, para el establecimiento de gravámenes temporales energético y de entidades de crédito y establecimientos financieros de crédito y por la que se crea el impuesto temporal de solidaridad de las grandes fortunas, y se modifican determinadas normas tributarias. Han comparecido el Congreso de los Diputados, el Senado y el Gobierno de la Nación. Han formulado alegaciones la letrada de las Cortes Generales, en representación del Congreso, y el abogado del Estado, en representación del Gobierno. Ha sido ponente el magistrado don Ricardo Enríquez Sancho.</w:t>
      </w:r>
    </w:p>
    <w:p w14:paraId="729985FB" w14:textId="42EDF0B7" w:rsidR="008D479B" w:rsidRDefault="008D479B" w:rsidP="008D479B">
      <w:pPr>
        <w:pStyle w:val="TextoNormal"/>
      </w:pPr>
    </w:p>
    <w:p w14:paraId="1159AF5F" w14:textId="77777777" w:rsidR="008D479B" w:rsidRDefault="008D479B" w:rsidP="008D479B">
      <w:pPr>
        <w:pStyle w:val="TextoNormalNegritaCentrado"/>
        <w:keepNext/>
      </w:pPr>
      <w:r>
        <w:t>I. Antecedentes</w:t>
      </w:r>
    </w:p>
    <w:p w14:paraId="7064B00E" w14:textId="61C30312" w:rsidR="008D479B" w:rsidRDefault="008D479B" w:rsidP="008D479B">
      <w:pPr>
        <w:pStyle w:val="TextoNormalNegritaCentrado"/>
        <w:keepNext/>
      </w:pPr>
    </w:p>
    <w:p w14:paraId="76D05679" w14:textId="77777777" w:rsidR="008D479B" w:rsidRDefault="008D479B" w:rsidP="008D479B">
      <w:pPr>
        <w:pStyle w:val="TextoNormal"/>
      </w:pPr>
      <w:r w:rsidRPr="008D479B">
        <w:rPr>
          <w:rStyle w:val="NumeroAFNegritaCaracter"/>
        </w:rPr>
        <w:t>1</w:t>
      </w:r>
      <w:r>
        <w:t>. Mediante escrito presentado el 23 de marzo de 2023 en el registro del Tribunal Constitucional, la Xunta de Galicia interpuso un recurso de inconstitucionalidad contra el art. 3 de la Ley 38/2022, de 27 de diciembre, para el establecimiento de gravámenes temporales energético y de entidades de crédito y establecimientos financieros de crédito y por la que se crea el impuesto temporal de solidaridad de las grandes fortunas, y se modifican determinadas normas tributarias (en adelante, Ley 38/2022). Dicha ley fue publicada en el “Boletín Oficial del Estado” núm. 311, de 28 de diciembre de 2022 (corrección de errores publicada en el “BOE” núm. 54, de 4 de marzo de 2023, que no afecta al precepto impugnado). El art. 3 que se impugna lleva por rúbrica “Impuesto Temporal de Solidaridad de las Grandes Fortunas”.</w:t>
      </w:r>
    </w:p>
    <w:p w14:paraId="5512F293" w14:textId="77777777" w:rsidR="008D479B" w:rsidRDefault="008D479B" w:rsidP="008D479B">
      <w:pPr>
        <w:pStyle w:val="TextoNormal"/>
      </w:pPr>
    </w:p>
    <w:p w14:paraId="75B37A89" w14:textId="77777777" w:rsidR="008D479B" w:rsidRDefault="008D479B" w:rsidP="008D479B">
      <w:pPr>
        <w:pStyle w:val="TextoNormal"/>
      </w:pPr>
      <w:r>
        <w:t>El recurso de inconstitucionalidad se funda en los motivos siguientes: a) infracción de la autonomía financiera de las comunidades autónomas, del bloque de la constitucionalidad en materia de tributos cedidos y del principio de lealtad institucional [arts. 156.1 y 157.3 CE, desarrollados por la Ley Orgánica 8/1980, de 22 de septiembre, de financiación de las comunidades autónomas (LOFCA)]; b) vulneración del derecho de representación política consagrado en el art. 23.2 CE; y c) infracción del principio de seguridad jurídica del art. 9.3 CE.</w:t>
      </w:r>
    </w:p>
    <w:p w14:paraId="61F990AE" w14:textId="77777777" w:rsidR="008D479B" w:rsidRDefault="008D479B" w:rsidP="008D479B">
      <w:pPr>
        <w:pStyle w:val="TextoNormal"/>
      </w:pPr>
    </w:p>
    <w:p w14:paraId="39DA5E47" w14:textId="77777777" w:rsidR="008D479B" w:rsidRDefault="008D479B" w:rsidP="008D479B">
      <w:pPr>
        <w:pStyle w:val="TextoNormal"/>
      </w:pPr>
      <w:r>
        <w:t xml:space="preserve">a) La demanda denuncia, en primer lugar, la vulneración de la autonomía financiera de la Comunidad Autónoma de Galicia, del bloque de constitucionalidad en materia de tributos cedidos y del principio de lealtad institucional. En concreto, cita como infringidos los arts. 150.1, 156.1 y 157.3 CE; los arts.1, 2.1 g), 3, 10.2 y 10.3 </w:t>
      </w:r>
      <w:r w:rsidRPr="008D479B">
        <w:rPr>
          <w:i/>
        </w:rPr>
        <w:t>in fine</w:t>
      </w:r>
      <w:r>
        <w:t xml:space="preserve"> y 19.2 b) LOFCA; la disposición adicional primera del Estatuto de Autonomía para Galicia; el art. 9 de la Ley Orgánica 2/2012, de 27 de abril, de estabilidad presupuestaria y sostenibilidad financiera; el art. 47 de la Ley 22/2009, de 18 de diciembre, reguladora del sistema de financiación, y el art. 2 de la Ley 17/2010, de 16 de diciembre, de cesión de tributos a la Comunidad Autónoma de Galicia.</w:t>
      </w:r>
    </w:p>
    <w:p w14:paraId="323E103E" w14:textId="77777777" w:rsidR="008D479B" w:rsidRDefault="008D479B" w:rsidP="008D479B">
      <w:pPr>
        <w:pStyle w:val="TextoNormal"/>
      </w:pPr>
    </w:p>
    <w:p w14:paraId="42CB7BBB" w14:textId="77777777" w:rsidR="008D479B" w:rsidRDefault="008D479B" w:rsidP="008D479B">
      <w:pPr>
        <w:pStyle w:val="TextoNormal"/>
      </w:pPr>
      <w:r>
        <w:t>El letrado autonómico alega que el impuesto temporal de solidaridad de las grandes fortunas tiene la finalidad de neutralizar las medidas adoptadas por algunas comunidades autónomas, entre ellas Galicia, respecto del impuesto sobre el patrimonio, lo que vacía de contenido las competencias normativas autonómicas que se han ejercido, en el caso concreto gallego, en la Ley 7/2022, de 27 de diciembre, de medidas fiscales y administrativas, como medida para “incentivar el mantenimiento del patrimonio, de no penalizar el ahorro y de favorecer las inversiones estratégicas en Galicia”, invadiendo con ello la competencia atribuida a las comunidades autónomas por la LOFCA y la Ley 22/2009 y asumida en los estatutos de autonomía. Invasión que menoscaba la autonomía financiera de la que la fiscalidad es una manifestación particular.</w:t>
      </w:r>
    </w:p>
    <w:p w14:paraId="795CE2DC" w14:textId="77777777" w:rsidR="008D479B" w:rsidRDefault="008D479B" w:rsidP="008D479B">
      <w:pPr>
        <w:pStyle w:val="TextoNormal"/>
      </w:pPr>
    </w:p>
    <w:p w14:paraId="0E28019A" w14:textId="77777777" w:rsidR="008D479B" w:rsidRDefault="008D479B" w:rsidP="008D479B">
      <w:pPr>
        <w:pStyle w:val="TextoNormal"/>
      </w:pPr>
      <w:r>
        <w:t>Considera que hay una coincidencia reconocida entre ambos impuestos, con la única diferencia de que el nuevo impuesto grava solo aquellos patrimonios netos que superen los 3 000 000 €. Es cierto que el impuesto sobre el patrimonio es un tributo estatal y que ello no cambia por su cesión a las comunidades autónomas, pero también lo es que esa cesión implica delegar competencias como las ejercitadas sobre la bonificación en la cuota. Argumenta que no cabe traer como legítimo objetivo que haya una uniformidad cuando si hubo esa cesión del tributo es para que las comunidades autónomas puedan tener sus legítimas políticas. Recuerda que las diferencias, allí donde las comunidades autónomas tienen competencias, son consustanciales al Estado de las autonomías.</w:t>
      </w:r>
    </w:p>
    <w:p w14:paraId="2D89A0DD" w14:textId="77777777" w:rsidR="008D479B" w:rsidRDefault="008D479B" w:rsidP="008D479B">
      <w:pPr>
        <w:pStyle w:val="TextoNormal"/>
      </w:pPr>
    </w:p>
    <w:p w14:paraId="1E6DE511" w14:textId="77777777" w:rsidR="008D479B" w:rsidRDefault="008D479B" w:rsidP="008D479B">
      <w:pPr>
        <w:pStyle w:val="TextoNormal"/>
      </w:pPr>
      <w:r>
        <w:t>Por ello, se vulnera el art. 156 CE al gravar el Estado un ámbito o espacio fiscal cedido a las comunidades autónomas, cesión que incluía el plano normativo; y más cuando esa entrada del Estado lo ha sido a la vista de legítimas políticas fiscales autonómicas y con la intención de vaciarlas.</w:t>
      </w:r>
    </w:p>
    <w:p w14:paraId="169CAEBC" w14:textId="77777777" w:rsidR="008D479B" w:rsidRDefault="008D479B" w:rsidP="008D479B">
      <w:pPr>
        <w:pStyle w:val="TextoNormal"/>
      </w:pPr>
    </w:p>
    <w:p w14:paraId="1DAFFC85" w14:textId="77777777" w:rsidR="008D479B" w:rsidRDefault="008D479B" w:rsidP="008D479B">
      <w:pPr>
        <w:pStyle w:val="TextoNormal"/>
      </w:pPr>
      <w:r>
        <w:t xml:space="preserve">La demanda argumenta que la competencia exclusiva del Estado </w:t>
      </w:r>
      <w:r w:rsidRPr="008D479B">
        <w:rPr>
          <w:i/>
        </w:rPr>
        <w:t>ex</w:t>
      </w:r>
      <w:r>
        <w:t xml:space="preserve"> art. 149.1.14 CE no puede servir para neutralizar y vaciar de contenido las competencias normativas asumidas por las comunidades autónomas en virtud de la Constitución y de la LOFCA. Una armonización requeriría, como mínimo, la modificación de la normativa del sistema de financiación, previo debate en el Consejo de Política Fiscal y Financiera regulado en la LOFCA, en el que el Estado ejerce sus funciones de cooperación y coordinación. Se produce, por tanto, una armonización impropia que lesiona la reserva de ley orgánica contenida en el art. 157.3 CE, afectando a las relaciones financieras entre el Estado y las comunidades autónomas Tampoco puede invocarse el art. 149.1.1 CE ya que la competencia reconocida en este no puede interpretarse de tal manera que deje sin contenido las competencias legislativas autonómicas. De igual modo, no cabe amparar la armonización en el art. 149.1.13 CE pues no concurren los presupuestos que la doctrina constitucional exige para el ejercicio de competencia de “planificación general de la actividad económica”. Finalmente, la vulneración de la autonomía financiera de la comunidad autónoma tampoco encuentra respaldo en el pretendido interés recaudatorio, ya que el legislador estatal tiene a su alcance otras herramientas más efectivas y directas para financiar políticas de apoyo a los más vulnerables sin conculcar el bloque de la constitucionalidad.</w:t>
      </w:r>
    </w:p>
    <w:p w14:paraId="1126F3C3" w14:textId="77777777" w:rsidR="008D479B" w:rsidRDefault="008D479B" w:rsidP="008D479B">
      <w:pPr>
        <w:pStyle w:val="TextoNormal"/>
      </w:pPr>
    </w:p>
    <w:p w14:paraId="3FDB9A9D" w14:textId="77777777" w:rsidR="008D479B" w:rsidRDefault="008D479B" w:rsidP="008D479B">
      <w:pPr>
        <w:pStyle w:val="TextoNormal"/>
      </w:pPr>
      <w:r>
        <w:t>Junto a la vulneración de la autonomía financiera, la Xunta denuncia que se incumple la reserva de ley orgánica prevista en el art. 157.3 CE al regular, modificándola, una materia reservada a la LOFCA. Esta ley es el punto de referencia para determinar la extensión y límites de la autonomía financiera de las comunidades autónomas y las facultades que al respecto se reservan a los órganos centrales del Estado para el cumplimiento de los fines y el ejercicio de las competencias que la Constitución les atribuye. La demanda considera que no es posible que una ley ordinaria sea el cauce para que el Estado pueda recuperar el hecho imponible mediante la creación de este nuevo impuesto. Habría hecho falta como mínimo una ley orgánica para modificar la LOFCA, en apoyo de lo cual cita la STC 35/2012, de 15 de marzo.</w:t>
      </w:r>
    </w:p>
    <w:p w14:paraId="09023EB2" w14:textId="77777777" w:rsidR="008D479B" w:rsidRDefault="008D479B" w:rsidP="008D479B">
      <w:pPr>
        <w:pStyle w:val="TextoNormal"/>
      </w:pPr>
    </w:p>
    <w:p w14:paraId="7D5730FE" w14:textId="77777777" w:rsidR="008D479B" w:rsidRDefault="008D479B" w:rsidP="008D479B">
      <w:pPr>
        <w:pStyle w:val="TextoNormal"/>
      </w:pPr>
      <w:r>
        <w:t>El letrado de la Xunta insiste en la necesidad de que en materia de financiación autonómica haya una negociación multilateral en el ámbito del Consejo de Política Fiscal y Financiera, como recuerdan las SSTC 181/1988, de 13 de octubre, FJ 4, y 68/1996, de 4 de abril, FJ 10. Es cierto —añade— que existe el precedente de la STC 26/2015, de 19 de febrero, referida al impuesto sobre depósitos en las entidades de crédito, pero a dicha sentencia formularon un voto particular cinco magistrados y el que existiera una postura mayoritaria tan limitada denota que cabe una revisión de la misma.</w:t>
      </w:r>
    </w:p>
    <w:p w14:paraId="26A9143F" w14:textId="77777777" w:rsidR="008D479B" w:rsidRDefault="008D479B" w:rsidP="008D479B">
      <w:pPr>
        <w:pStyle w:val="TextoNormal"/>
      </w:pPr>
    </w:p>
    <w:p w14:paraId="2D1D3E06" w14:textId="77777777" w:rsidR="008D479B" w:rsidRDefault="008D479B" w:rsidP="008D479B">
      <w:pPr>
        <w:pStyle w:val="TextoNormal"/>
      </w:pPr>
      <w:r>
        <w:t>Es admisible que el Estado altere el alcance y de las condiciones de la cesión de un tributo, pero debe hacerlo supeditándose a las exigencias formales establecidas para ello, lo que aquí no se ha hecho. Con ello se ha vulnerado también el principio de lealtad institucional que, como señala la doctrina del Tribunal Constitucional, resulta “esencial en las relaciones entre las diversas instancias de poder territorial” y “constituye un soporte esencial del funcionamiento del Estado autonómico y cuya observancia resulta obligada” (STC 239/2002, de 11 de diciembre, FJ 11). Cita el art. 2.1 g) LOFCA y el art. 9 de la Ley Orgánica de estabilidad presupuestaria y sostenibilidad financiera, que exigen a todas las administraciones públicas valorar el impacto que sus actuaciones pudieran tener en el resto, respetar el ejercicio legítimo de sus competencias, ponderar la totalidad de los intereses públicos implicados y cumplir con los deberes de suministro de información y transparencia.</w:t>
      </w:r>
    </w:p>
    <w:p w14:paraId="3E9B5BBD" w14:textId="77777777" w:rsidR="008D479B" w:rsidRDefault="008D479B" w:rsidP="008D479B">
      <w:pPr>
        <w:pStyle w:val="TextoNormal"/>
      </w:pPr>
    </w:p>
    <w:p w14:paraId="5E5107EB" w14:textId="77777777" w:rsidR="008D479B" w:rsidRDefault="008D479B" w:rsidP="008D479B">
      <w:pPr>
        <w:pStyle w:val="TextoNormal"/>
      </w:pPr>
      <w:r>
        <w:t>La aprobación del impuesto temporal de solidaridad de las grandes fortunas se hace al margen de ese principio, pues el Estado deja sin contenido de modo unilateral competencias normativas reconocidas a las comunidades autónomas en el bloque de constitucionalidad, alterando de modo drástico y repentino su política tributaria.</w:t>
      </w:r>
    </w:p>
    <w:p w14:paraId="3A4D0D96" w14:textId="77777777" w:rsidR="008D479B" w:rsidRDefault="008D479B" w:rsidP="008D479B">
      <w:pPr>
        <w:pStyle w:val="TextoNormal"/>
      </w:pPr>
    </w:p>
    <w:p w14:paraId="3F6F7746" w14:textId="77777777" w:rsidR="008D479B" w:rsidRDefault="008D479B" w:rsidP="008D479B">
      <w:pPr>
        <w:pStyle w:val="TextoNormal"/>
      </w:pPr>
      <w:r>
        <w:t>b) En segundo lugar, la Xunta de Galicia denuncia la infracción del principio de seguridad jurídica del art. 9.3 CE, por la aplicación retroactiva de una norma tributaria. Atribuye la vulneración al apartado décimo del art. 3 de la Ley 38/2022, que dispone que “[e]l impuesto se devengará el 31 de diciembre de cada año y afectará al patrimonio neto del cual sea titular el sujeto pasivo en dicha fecha” en conexión con el apartado vigesimoctavo y la disposición adicional octava, que regulan los años en que se aplicará el impuesto temporal de solidaridad de las grandes fortunas y la entrada en vigor de la Ley 38/2022, respectivamente.</w:t>
      </w:r>
    </w:p>
    <w:p w14:paraId="4CDB1E3B" w14:textId="77777777" w:rsidR="008D479B" w:rsidRDefault="008D479B" w:rsidP="008D479B">
      <w:pPr>
        <w:pStyle w:val="TextoNormal"/>
      </w:pPr>
    </w:p>
    <w:p w14:paraId="1FF693D7" w14:textId="77777777" w:rsidR="008D479B" w:rsidRDefault="008D479B" w:rsidP="008D479B">
      <w:pPr>
        <w:pStyle w:val="TextoNormal"/>
      </w:pPr>
      <w:r>
        <w:t>Con cita de la doctrina constitucional sobre el art. 9.3 CE, recuerda que la seguridad jurídica es la suma de certeza y legalidad, jerarquía y publicidad normativa, irretroactividad de lo no favorable e interdicción de la arbitrariedad, de tal suerte que permita promover en el orden jurídico, la justicia y la igualdad en libertad (cita la STC 27/1981, de 20 de julio). Además, la seguridad jurídica también constituye un principio jurídico del Derecho de la Unión Europea.</w:t>
      </w:r>
    </w:p>
    <w:p w14:paraId="792005A3" w14:textId="77777777" w:rsidR="008D479B" w:rsidRDefault="008D479B" w:rsidP="008D479B">
      <w:pPr>
        <w:pStyle w:val="TextoNormal"/>
      </w:pPr>
    </w:p>
    <w:p w14:paraId="5310CEDC" w14:textId="77777777" w:rsidR="008D479B" w:rsidRDefault="008D479B" w:rsidP="008D479B">
      <w:pPr>
        <w:pStyle w:val="TextoNormal"/>
      </w:pPr>
      <w:r>
        <w:t>El letrado autonómico reconoce que los contribuyentes del impuesto sobre el patrimonio no tienen un derecho adquirido a que su régimen fiscal permanezca inmutable y sin cambio alguno, pero sí a que toda mudanza sea previsible con el fin de adoptar las decisiones que tengan por pertinentes. Del nuevo tributo no han tenido noticia ni podrían haberla tenido, como muy pronto, hasta muy avanzado noviembre de 2022, momento en el que ya no podían dejar de ser residentes fiscales en España en dicho ejercicio, ni adoptar decisiones trascendentes para su situación tributaria. Considera que la aplicación del nuevo impuesto en 2022 hace que la entrada en vigor y el devengo se produzcan prácticamente al unísono, lo que priva a los contribuyentes del tiempo mínimo necesario para organizar su patrimonio en aras a optimizar su tributación. Por tanto, la norma incide sobre situaciones jurídicas actuales aún no concluidas; es decir, sobre un ejercicio tributario ya iniciado y, además, a punto de finalizar.</w:t>
      </w:r>
    </w:p>
    <w:p w14:paraId="1B89C517" w14:textId="77777777" w:rsidR="008D479B" w:rsidRDefault="008D479B" w:rsidP="008D479B">
      <w:pPr>
        <w:pStyle w:val="TextoNormal"/>
      </w:pPr>
    </w:p>
    <w:p w14:paraId="2DA391C3" w14:textId="77777777" w:rsidR="008D479B" w:rsidRDefault="008D479B" w:rsidP="008D479B">
      <w:pPr>
        <w:pStyle w:val="TextoNormal"/>
      </w:pPr>
      <w:r>
        <w:t>Considera que estamos ante un caso análogo al de la STC 173/1996, de 31 de octubre, que declaró inconstitucional, por contrario al art. 9.3 CE, un incremento imprevisto y relevante del tipo de gravamen de tributo periódico, que había entrado en vigor —como sucede igualmente en el caso que nos ocupa— con una retroactividad de grado medio o impropia.</w:t>
      </w:r>
    </w:p>
    <w:p w14:paraId="7B482DE7" w14:textId="77777777" w:rsidR="008D479B" w:rsidRDefault="008D479B" w:rsidP="008D479B">
      <w:pPr>
        <w:pStyle w:val="TextoNormal"/>
      </w:pPr>
    </w:p>
    <w:p w14:paraId="36FDD8A8" w14:textId="77777777" w:rsidR="008D479B" w:rsidRDefault="008D479B" w:rsidP="008D479B">
      <w:pPr>
        <w:pStyle w:val="TextoNormal"/>
      </w:pPr>
      <w:r>
        <w:t>Añade que en diversos documentos y manifestaciones de responsables públicos se indicaba que el impuesto temporal de solidaridad de las grandes fortunas solo sería aplicable en el año 2023 pero que, finalmente, se adelantó al 2022. Incluso los otros gravámenes que establece la Ley 38/2022 se crean para los ejercicios 2023 y 2024, lo que evidencia la falta de justificación de que el impuesto controvertido se aplique retroactivamente. Tampoco es una justificación válida su carácter temporal, pues también son temporales los gravámenes energético y bancario y, además, la propia ley deja la puerta abierta a la posibilidad de su mantenimiento pasados los dos años, tras la evaluación de los resultados del impuesto. Por último, tampoco puede argumentarse que el impuesto sobre el patrimonio sea un impuesto de “foto fija” porque su hecho imponible y la cuantía del mismo dependerá o puede depender de lo que se ha hecho a lo largo de un período de tiempo.</w:t>
      </w:r>
    </w:p>
    <w:p w14:paraId="5A1C2905" w14:textId="77777777" w:rsidR="008D479B" w:rsidRDefault="008D479B" w:rsidP="008D479B">
      <w:pPr>
        <w:pStyle w:val="TextoNormal"/>
      </w:pPr>
    </w:p>
    <w:p w14:paraId="295B62AD" w14:textId="77777777" w:rsidR="008D479B" w:rsidRDefault="008D479B" w:rsidP="008D479B">
      <w:pPr>
        <w:pStyle w:val="TextoNormal"/>
      </w:pPr>
      <w:r>
        <w:t>Por todo lo cual, considera que hay una vulneración del principio de seguridad jurídica del art. 9.3 CE.</w:t>
      </w:r>
    </w:p>
    <w:p w14:paraId="477BD474" w14:textId="77777777" w:rsidR="008D479B" w:rsidRDefault="008D479B" w:rsidP="008D479B">
      <w:pPr>
        <w:pStyle w:val="TextoNormal"/>
      </w:pPr>
    </w:p>
    <w:p w14:paraId="3093B7BE" w14:textId="77777777" w:rsidR="008D479B" w:rsidRDefault="008D479B" w:rsidP="008D479B">
      <w:pPr>
        <w:pStyle w:val="TextoNormal"/>
      </w:pPr>
      <w:r>
        <w:t>c) En tercer y último lugar, la demanda aduce que la disposición impugnada se ha aprobado omitiendo la tramitación parlamentaria exigible porque se introdujo en el trámite de enmiendas de una proposición de ley por los mismos grupos que apoyan al Gobierno, de forma sorpresiva y con posterioridad a su toma en consideración. Con esto se esquivó el procedimiento legislativo que correspondería haber seguido, de conformidad con los arts. 87 a 89 CE, en relación con el título V del Reglamento del Congreso de los Diputados. Y ello, además, impidiendo la presentación de enmiendas sobre el texto propuesto, con vulneración del derecho fundamental a la representación política consagrado en el art. 23.2 CE.</w:t>
      </w:r>
    </w:p>
    <w:p w14:paraId="55D746F1" w14:textId="77777777" w:rsidR="008D479B" w:rsidRDefault="008D479B" w:rsidP="008D479B">
      <w:pPr>
        <w:pStyle w:val="TextoNormal"/>
      </w:pPr>
    </w:p>
    <w:p w14:paraId="7CD966C3" w14:textId="77777777" w:rsidR="008D479B" w:rsidRDefault="008D479B" w:rsidP="008D479B">
      <w:pPr>
        <w:pStyle w:val="TextoNormal"/>
      </w:pPr>
      <w:r>
        <w:t xml:space="preserve">Tras relatar el </w:t>
      </w:r>
      <w:r w:rsidRPr="008D479B">
        <w:rPr>
          <w:i/>
        </w:rPr>
        <w:t>iter</w:t>
      </w:r>
      <w:r>
        <w:t xml:space="preserve"> parlamentario seguido por la enmienda, y con cita de las SSTC 119/2011, de 5 de julio y 136/2011, de 13 de septiembre, entre otras, argumenta que la única conexión del impuesto temporal de solidaridad de las grandes fortunas con el resto de medidas de la proposición de ley es que son todos gravámenes nuevos. Pero la nueva figura no guarda ninguna relación con los gravámenes energético y bancario e incluso presenta diferencias de naturaleza jurídica pues estos no son tributarios mientras que el nuevo impuesto sí lo es. No es indiferente observar que dos de las tres enmiendas presentadas van dirigidas a la modificación del título de la proposición y de su exposición de motivos, para dar cabida a este nuevo impuesto.</w:t>
      </w:r>
    </w:p>
    <w:p w14:paraId="5CC39ACC" w14:textId="77777777" w:rsidR="008D479B" w:rsidRDefault="008D479B" w:rsidP="008D479B">
      <w:pPr>
        <w:pStyle w:val="TextoNormal"/>
      </w:pPr>
    </w:p>
    <w:p w14:paraId="37A48E7F" w14:textId="77777777" w:rsidR="008D479B" w:rsidRDefault="008D479B" w:rsidP="008D479B">
      <w:pPr>
        <w:pStyle w:val="TextoNormal"/>
      </w:pPr>
      <w:r>
        <w:t>No puede entenderse que la enmienda parcial tuviera “un carácter subsidiario o incidental respecto del texto a enmendar” —como exige la doctrina constitucional—, sino que tenía un contenido sustantivo propio, desconectado de la materia objeto de la iniciativa legislativa, con un alcance innovador y con una entidad cualitativa importantes. Además, dicha enmienda supuso la introducción de un debate político completamente ajeno al suscitado por la proposición de ley que había sido objeto de toma en consideración, singularmente la creación de un impuesto con una finalidad, declarada, de armonizar la tributación sobre el patrimonio, con la consiguiente incidencia sobre las competencias normativas autonómicas en relación con el impuesto sobre el patrimonio.</w:t>
      </w:r>
    </w:p>
    <w:p w14:paraId="51D470DE" w14:textId="77777777" w:rsidR="008D479B" w:rsidRDefault="008D479B" w:rsidP="008D479B">
      <w:pPr>
        <w:pStyle w:val="TextoNormal"/>
      </w:pPr>
    </w:p>
    <w:p w14:paraId="346552EE" w14:textId="5F9FFCEF" w:rsidR="008D479B" w:rsidRDefault="008D479B" w:rsidP="008D479B">
      <w:pPr>
        <w:pStyle w:val="TextoNormal"/>
      </w:pPr>
      <w:r>
        <w:t>Por ello, cabe concluir que la formación de la voluntad parlamentaria quedó afectada de modo sustancial al verse desvirtuados los trámites de toma en consideración y enmiendas, que tienen especial trascendencia. En suma, considera que hubo una vulneración del art. 23.2 CE, en conexión con los arts. 66.2 y 87.1 CE y 110 y 126.5 del Reglamento del Congreso de los Diputados.</w:t>
      </w:r>
    </w:p>
    <w:p w14:paraId="6C6DD5C5" w14:textId="77777777" w:rsidR="008D479B" w:rsidRDefault="008D479B" w:rsidP="008D479B">
      <w:pPr>
        <w:pStyle w:val="TextoNormal"/>
      </w:pPr>
    </w:p>
    <w:p w14:paraId="6AE3BBD0" w14:textId="4F11E687" w:rsidR="008D479B" w:rsidRDefault="008D479B" w:rsidP="008D479B">
      <w:pPr>
        <w:pStyle w:val="TextoNormal"/>
      </w:pPr>
      <w:r w:rsidRPr="008D479B">
        <w:rPr>
          <w:rStyle w:val="NumeroAFNegritaCaracter"/>
        </w:rPr>
        <w:t>2</w:t>
      </w:r>
      <w:r>
        <w:t>. El Pleno del Tribunal Constitucional, a propuesta de la Sección Segunda, mediante providencia de 18 de abril de 2023, acordó admitir a trámite el presente recurso de inconstitucionalidad, dando traslado de la demanda y documentos presentados, conforme establece el art. 34 de la Ley Orgánica 2/1979, de 3 de octubre, del Tribunal Constitucional (LOTC), al Congreso de los Diputados y al Senado, por conducto de sus presidentes, y al Gobierno, a través de la ministra de Justicia, al objeto de que, en el plazo de quince días, pudieran personarse en el proceso y formular las alegaciones que estimaren convenientes; y publicar la incoación del recurso en el “Boletín Oficial del Estado”, lo que tuvo lugar el 24 de abril de 2023.</w:t>
      </w:r>
    </w:p>
    <w:p w14:paraId="450C4984" w14:textId="77777777" w:rsidR="008D479B" w:rsidRDefault="008D479B" w:rsidP="008D479B">
      <w:pPr>
        <w:pStyle w:val="TextoNormal"/>
      </w:pPr>
    </w:p>
    <w:p w14:paraId="0C289A6C" w14:textId="0CB8E5F2" w:rsidR="008D479B" w:rsidRDefault="008D479B" w:rsidP="008D479B">
      <w:pPr>
        <w:pStyle w:val="TextoNormal"/>
      </w:pPr>
      <w:r w:rsidRPr="008D479B">
        <w:rPr>
          <w:rStyle w:val="NumeroAFNegritaCaracter"/>
        </w:rPr>
        <w:t>3</w:t>
      </w:r>
      <w:r>
        <w:t>. Por escrito registrado el día 25 de abril de 2023, el presidente del Senado comunicó el acuerdo de la mesa de la Cámara por el que se daba por personada en el proceso y por ofrecida su colaboración a los efectos del art. 88.1 LOTC.</w:t>
      </w:r>
    </w:p>
    <w:p w14:paraId="1D0B10A1" w14:textId="77777777" w:rsidR="008D479B" w:rsidRDefault="008D479B" w:rsidP="008D479B">
      <w:pPr>
        <w:pStyle w:val="TextoNormal"/>
      </w:pPr>
    </w:p>
    <w:p w14:paraId="5FD326A6" w14:textId="77777777" w:rsidR="008D479B" w:rsidRDefault="008D479B" w:rsidP="008D479B">
      <w:pPr>
        <w:pStyle w:val="TextoNormal"/>
      </w:pPr>
      <w:r w:rsidRPr="008D479B">
        <w:rPr>
          <w:rStyle w:val="NumeroAFNegritaCaracter"/>
        </w:rPr>
        <w:t>4</w:t>
      </w:r>
      <w:r>
        <w:t>. Mediante un escrito registrado el día 4 de mayo de 2023, la presidenta del Congreso de los Diputados comunicó el acuerdo de la mesa por el que se personaba en el proceso, a los solos efectos de formular alegaciones sobre los vicios de procedimiento legislativo que se denuncian en la demanda, en lo que afecta a dicha Cámara; y encomendaba su representación y defensa a la letrada de las Cortes Generales que dirige la asesoría jurídica de la Secretaría General del Congreso.</w:t>
      </w:r>
    </w:p>
    <w:p w14:paraId="0C75F6E4" w14:textId="77777777" w:rsidR="008D479B" w:rsidRDefault="008D479B" w:rsidP="008D479B">
      <w:pPr>
        <w:pStyle w:val="TextoNormal"/>
      </w:pPr>
    </w:p>
    <w:p w14:paraId="4A455974" w14:textId="77777777" w:rsidR="008D479B" w:rsidRDefault="008D479B" w:rsidP="008D479B">
      <w:pPr>
        <w:pStyle w:val="TextoNormal"/>
      </w:pPr>
      <w:r>
        <w:t>El escrito de alegaciones de la letrada de las Cortes Generales, actuando en nombre y representación del Congreso de los Diputados, tuvo entrada en el registro general del Tribunal con fecha 12 de mayo de 2023. En él aborda, en primer lugar, la supuesta vulneración del art. 157.3 CE, por no respetar la norma impugnada el rango de ley orgánica exigible y omitir las garantías previstas en el Estatuto de Autonomía para Galicia. La letrada de las Cortes considera que dicha vulneración parte de una equiparación entre el impuesto temporal de solidaridad de las grandes fortunas y el impuesto sobre el patrimonio que no se puede compartir. El art. 3 de la Ley 38/2022 —afirma— no altera las condiciones o el alcance de la cesión del impuesto sobre el patrimonio, por lo que no requiere de una modificación de la LOFCA, ni de las demás normas aplicables, de acuerdo con las garantías procedimentales contenidas en el estatuto. El preámbulo de la ley afirma que el impuesto temporal de solidaridad de las grandes fortunas es complementario del impuesto sobre el patrimonio, pero, a diferencia de este, no es susceptible de cesión y su umbral de tributación es muy superior.</w:t>
      </w:r>
    </w:p>
    <w:p w14:paraId="5ECC7FB0" w14:textId="77777777" w:rsidR="008D479B" w:rsidRDefault="008D479B" w:rsidP="008D479B">
      <w:pPr>
        <w:pStyle w:val="TextoNormal"/>
      </w:pPr>
    </w:p>
    <w:p w14:paraId="7CB21706" w14:textId="77777777" w:rsidR="008D479B" w:rsidRDefault="008D479B" w:rsidP="008D479B">
      <w:pPr>
        <w:pStyle w:val="TextoNormal"/>
      </w:pPr>
      <w:r>
        <w:t>a) La letrada subraya que el art. 3 de la Ley 38/2022 no modifica el art. 11 LOFCA, que establece los impuestos estatales que pueden ser cedidos; ni las competencias normativas de las comunidades autónomas en el impuesto sobre el patrimonio previstas en el art. 19.2 b) de dicha ley; ni la Ley 22/2009, de 18 de diciembre, reguladora del sistema de financiación de las comunidades autónomas; ni la Ley 17/2010, de 16 de julio, de cesión de tributos a la Comunidad Autónoma de Galicia. La finalidad armonizadora del impuesto temporal de solidaridad de las grandes fortunas no neutraliza la competencia normativa autonómica sobre el impuesto sobre el patrimonio, que se mantiene intacta. Estamos ante una figura tributaria distinta, cuya finalidad es correctiva, gravando por razones armonizadoras y recaudatorias aquellas manifestaciones de capacidad de pago que no han sido gravadas por la comunidad autónoma a través del impuesto sobre el patrimonio. Invoca la STC 26/2015, de 19 de febrero, que, al analizar el impuesto sobre depósitos en las entidades de crédito, admitió que el Estado es competente para establecer un impuesto con finalidad armonizadora, puesto que tiene preferencia en la ocupación de los hechos imponibles, tal y como recoge el art. 6 LOFCA. Dicha sentencia descartó expresamente que la competencia de armonización debiera ejercerse mediante ley orgánica, admitiendo que por ley ordinaria se cree una figura tributaria nueva, tanto para gravar situaciones que anteriormente no estaban gravadas por las comunidades autónomas como para cuando ya lo estuvieran, supuesto al que se refiere el art. 6.2 LOFCA. Por otro lado, tampoco estamos ante la regulación de ningún medio de resolución de conflictos de acuerdo con los arts. 23 y 24 LOFCA, por lo que tampoco se requiere de una ley orgánica.</w:t>
      </w:r>
    </w:p>
    <w:p w14:paraId="0AED206C" w14:textId="77777777" w:rsidR="008D479B" w:rsidRDefault="008D479B" w:rsidP="008D479B">
      <w:pPr>
        <w:pStyle w:val="TextoNormal"/>
      </w:pPr>
    </w:p>
    <w:p w14:paraId="2B174B54" w14:textId="77777777" w:rsidR="008D479B" w:rsidRDefault="008D479B" w:rsidP="008D479B">
      <w:pPr>
        <w:pStyle w:val="TextoNormal"/>
      </w:pPr>
      <w:r>
        <w:t>La letrada de las Cortes Generales insiste en que, conforme a la doctrina constitucional, la potestad originaria del Estado para establecer tributos (art. 133.1 CE) comprende la posibilidad de crear cualquier figura tributaria, siempre y cuando se respeten las garantías constitucionales. Desde un enfoque competencial, el límite para crear tributos lo tienen las comunidades autónomas, no el Estado. Con cita de la STC 35/2012, de 15 de marzo, FJ 6, recuerda el amplio margen de configuración que permite al Estado, en principio, establecerlos sobre cualquier fuente de capacidad económica, sin perjuicio de respetar lo dispuesto en el art. 6.2 LOFCA cuando sea aplicable, lo que aquí no es el caso.</w:t>
      </w:r>
    </w:p>
    <w:p w14:paraId="33624D1B" w14:textId="77777777" w:rsidR="008D479B" w:rsidRDefault="008D479B" w:rsidP="008D479B">
      <w:pPr>
        <w:pStyle w:val="TextoNormal"/>
      </w:pPr>
    </w:p>
    <w:p w14:paraId="790A9849" w14:textId="77777777" w:rsidR="008D479B" w:rsidRDefault="008D479B" w:rsidP="008D479B">
      <w:pPr>
        <w:pStyle w:val="TextoNormal"/>
      </w:pPr>
      <w:r>
        <w:t>Por otra parte, no se precisaba de un proyecto de ley aprobado por el Consejo de Ministros, con todas las exigencias previas a las que están sujetas estas iniciativas. Tratándose de una proposición de ley, los únicos requisitos, de acuerdo con el art. 124 del Reglamento del Congreso y la práctica habitual de la Cámara, son que se incorpore una exposición de motivos y una breve relación de las normas vigentes que la proposición de ley pretende modificar, exigencias que aquí se cumplieron.</w:t>
      </w:r>
    </w:p>
    <w:p w14:paraId="446E6E18" w14:textId="77777777" w:rsidR="008D479B" w:rsidRDefault="008D479B" w:rsidP="008D479B">
      <w:pPr>
        <w:pStyle w:val="TextoNormal"/>
      </w:pPr>
    </w:p>
    <w:p w14:paraId="7A5C2FCF" w14:textId="77777777" w:rsidR="008D479B" w:rsidRDefault="008D479B" w:rsidP="008D479B">
      <w:pPr>
        <w:pStyle w:val="TextoNormal"/>
      </w:pPr>
      <w:r>
        <w:t>b) En otro bloque de alegaciones la letrada de las Cortes Generales aborda la supuesta falta de homogeneidad de la enmienda por la que se incluyó el precepto impugnado. Empieza recordando que el requisito de la homogeneidad es de creación jurisprudencial y, en el caso de las enmiendas al articulado, no está previsto en el reglamento de la Cámara. La exigencia de congruencia de las enmiendas es, por tanto, una excepción establecida por el propio Tribunal Constitucional a la configuración legal del derecho fundamental de enmienda, que se ha añadido como un requisito de admisión, a pesar de no estar recogido en el Reglamento del Congreso.</w:t>
      </w:r>
    </w:p>
    <w:p w14:paraId="34DD99E3" w14:textId="77777777" w:rsidR="008D479B" w:rsidRDefault="008D479B" w:rsidP="008D479B">
      <w:pPr>
        <w:pStyle w:val="TextoNormal"/>
      </w:pPr>
    </w:p>
    <w:p w14:paraId="1F7BDF59" w14:textId="77777777" w:rsidR="008D479B" w:rsidRDefault="008D479B" w:rsidP="008D479B">
      <w:pPr>
        <w:pStyle w:val="TextoNormal"/>
      </w:pPr>
      <w:r>
        <w:t>De los distintos pronunciamientos constitucionales, en especial las SSTC 119/2011, de 5 de julio, y 136/2011, de 13 de septiembre, se desprende el requisito de que una enmienda al articulado debe respetar una conexión mínima de homogeneidad con el texto enmendado. Pero los órganos de gobierno de las Cámaras deben contar con un amplio margen de apreciación para determinar la existencia de conexión material entre la enmienda y la iniciativa objeto de debate, rechazando la admisión de aquella solo cuando la falta de conexión sea “evidente y manifiesta”. Aclara que la conexión reclamada no tiene que ser de identidad con las medidas previstas en la iniciativa, sino de afinidad con ellas, de modo de que la conexión de homogeneidad se entienda de modo flexible, atendiendo a la función que cumple.</w:t>
      </w:r>
    </w:p>
    <w:p w14:paraId="5F51E20F" w14:textId="77777777" w:rsidR="008D479B" w:rsidRDefault="008D479B" w:rsidP="008D479B">
      <w:pPr>
        <w:pStyle w:val="TextoNormal"/>
      </w:pPr>
    </w:p>
    <w:p w14:paraId="2493CE7B" w14:textId="77777777" w:rsidR="008D479B" w:rsidRDefault="008D479B" w:rsidP="008D479B">
      <w:pPr>
        <w:pStyle w:val="TextoNormal"/>
      </w:pPr>
      <w:r>
        <w:t>En segundo lugar, la aducida vulneración del art. 23.2 CE exigiría, además, que la infracción de la legalidad parlamentaria hubiera afectado al núcleo de su función representativa ya que, de acuerdo con una reiterada doctrina constitucional, no toda violación del procedimiento legislativo convierte en inconstitucional al resultado final.</w:t>
      </w:r>
    </w:p>
    <w:p w14:paraId="209EEB64" w14:textId="77777777" w:rsidR="008D479B" w:rsidRDefault="008D479B" w:rsidP="008D479B">
      <w:pPr>
        <w:pStyle w:val="TextoNormal"/>
      </w:pPr>
    </w:p>
    <w:p w14:paraId="1398E584" w14:textId="77777777" w:rsidR="008D479B" w:rsidRDefault="008D479B" w:rsidP="008D479B">
      <w:pPr>
        <w:pStyle w:val="TextoNormal"/>
      </w:pPr>
      <w:r>
        <w:t>Aplicando la anterior doctrina al caso, la letrada de las Cortes afirma que uno de los objetivos del impuesto temporal de solidaridad de las grandes fortunas coincide con la finalidad original de la proposición de ley, que es exigir un esfuerzo solidario en momentos de subida de precios y de crisis energética; sin que, por tanto, hubiera una evidente falta de homogeneidad que hubiera debido llevar a la mesa de la Comisión a inadmitir la enmienda. Con el impuesto impugnado se persigue el esfuerzo solidario al que la proposición de ley estaba dirigida desde un principio, por lo que no hay falta de congruencia.</w:t>
      </w:r>
    </w:p>
    <w:p w14:paraId="69FAAA98" w14:textId="77777777" w:rsidR="008D479B" w:rsidRDefault="008D479B" w:rsidP="008D479B">
      <w:pPr>
        <w:pStyle w:val="TextoNormal"/>
      </w:pPr>
    </w:p>
    <w:p w14:paraId="395A12CC" w14:textId="77777777" w:rsidR="008D479B" w:rsidRDefault="008D479B" w:rsidP="008D479B">
      <w:pPr>
        <w:pStyle w:val="TextoNormal"/>
      </w:pPr>
      <w:r>
        <w:t>Respecto de la distinta naturaleza del impuesto temporal de solidaridad de las grandes fortunas y las prestaciones patrimoniales no tributarias que eran el objeto de la proposición de ley original, cita la STC 63/2019, de 9 de mayo, FJ 5, de acuerdo con la cual “el tributo es una especie, dentro de la más genérica categoría de prestaciones patrimoniales de carácter público”. Por tanto, aunque el Tribunal haya distinguido con precisión las prestaciones patrimoniales públicas de carácter tributario y las que no lo son, ambas categorías forman parte del género de las prestaciones patrimoniales, coactivas y de interés público.</w:t>
      </w:r>
    </w:p>
    <w:p w14:paraId="5EBBF564" w14:textId="77777777" w:rsidR="008D479B" w:rsidRDefault="008D479B" w:rsidP="008D479B">
      <w:pPr>
        <w:pStyle w:val="TextoNormal"/>
      </w:pPr>
    </w:p>
    <w:p w14:paraId="679FA9D3" w14:textId="77777777" w:rsidR="008D479B" w:rsidRDefault="008D479B" w:rsidP="008D479B">
      <w:pPr>
        <w:pStyle w:val="TextoNormal"/>
      </w:pPr>
      <w:r>
        <w:t>La letrada parlamentaria termina aseverando que, incluso aunque todavía se tuvieran dudas sobre la homogeneidad, esto no basta para concluir que la tramitación parlamentaria esté afectada de un vicio de inconstitucionalidad. Las enmiendas pueden ser incongruentes y, aun así, no producirse un vicio de procedimiento, si se han respetado los derechos de los parlamentarios y no ha quedado alterada la voluntad de la Cámara. Afirma, en contra de lo que sostiene la parte recurrente, que la enmienda cuestionada, como el resto de las formuladas a la iniciativa, ha podido ser ampliamente debatida. Los grupos, sin ningún tipo de restricción, han podido manifestar su posición sobre ella en los debates, tanto en la Comisión como en el Pleno. La enmienda nunca fue un texto definitivo e intangible, sino susceptible de modificarse a través de la presentación de enmiendas transaccionales tanto en Comisión como en el Pleno (arts. 114.3 y 118.3 del Reglamento del Congreso). Incluso habría sido posible suprimir la enmienda mediante la presentación de un voto particular para no tenerla por incorporada y volver al texto inicial (art. 117 del Reglamento). La letrada se remite a los documentos en los que constan las enmiendas transaccionales presentadas en la Comisión y en el Pleno y concluye que las minorías parlamentarias no usaron ninguna de estas vías parlamentarias para modificar lo introducido por la enmienda.</w:t>
      </w:r>
    </w:p>
    <w:p w14:paraId="6C98DE7F" w14:textId="77777777" w:rsidR="008D479B" w:rsidRDefault="008D479B" w:rsidP="008D479B">
      <w:pPr>
        <w:pStyle w:val="TextoNormal"/>
      </w:pPr>
    </w:p>
    <w:p w14:paraId="5710B027" w14:textId="762CF021" w:rsidR="008D479B" w:rsidRDefault="008D479B" w:rsidP="008D479B">
      <w:pPr>
        <w:pStyle w:val="TextoNormal"/>
      </w:pPr>
      <w:r>
        <w:t>Por todo lo expuesto, concluye que no cabe declarar la inconstitucionalidad del art. 3 de la Ley 38/2022 por motivos formales.</w:t>
      </w:r>
    </w:p>
    <w:p w14:paraId="1F7974EF" w14:textId="77777777" w:rsidR="008D479B" w:rsidRDefault="008D479B" w:rsidP="008D479B">
      <w:pPr>
        <w:pStyle w:val="TextoNormal"/>
      </w:pPr>
    </w:p>
    <w:p w14:paraId="6C9EDA40" w14:textId="77777777" w:rsidR="008D479B" w:rsidRDefault="008D479B" w:rsidP="008D479B">
      <w:pPr>
        <w:pStyle w:val="TextoNormal"/>
      </w:pPr>
      <w:r w:rsidRPr="008D479B">
        <w:rPr>
          <w:rStyle w:val="NumeroAFNegritaCaracter"/>
        </w:rPr>
        <w:t>5</w:t>
      </w:r>
      <w:r>
        <w:t>. El abogado del Estado se personó en las actuaciones mediante un escrito presentado el 11 de mayo de 2023, en el que solicitaba una prórroga del plazo para la presentación de alegaciones, que fue ampliado en ocho días por diligencia de ordenación del secretario de justicia del Pleno de la misma fecha.</w:t>
      </w:r>
    </w:p>
    <w:p w14:paraId="0270D894" w14:textId="77777777" w:rsidR="008D479B" w:rsidRDefault="008D479B" w:rsidP="008D479B">
      <w:pPr>
        <w:pStyle w:val="TextoNormal"/>
      </w:pPr>
    </w:p>
    <w:p w14:paraId="06648F43" w14:textId="77777777" w:rsidR="008D479B" w:rsidRDefault="008D479B" w:rsidP="008D479B">
      <w:pPr>
        <w:pStyle w:val="TextoNormal"/>
      </w:pPr>
      <w:r>
        <w:t>Por medio de un escrito presentado el día 25 de mayo, formuló sus alegaciones, en las que interesa la desestimación, con los argumentos que se exponen a continuación:</w:t>
      </w:r>
    </w:p>
    <w:p w14:paraId="45E19526" w14:textId="77777777" w:rsidR="008D479B" w:rsidRDefault="008D479B" w:rsidP="008D479B">
      <w:pPr>
        <w:pStyle w:val="TextoNormal"/>
      </w:pPr>
    </w:p>
    <w:p w14:paraId="3E421ACD" w14:textId="77777777" w:rsidR="008D479B" w:rsidRDefault="008D479B" w:rsidP="008D479B">
      <w:pPr>
        <w:pStyle w:val="TextoNormal"/>
      </w:pPr>
      <w:r>
        <w:t>a) Tras resumir la naturaleza y regulación del impuesto temporal de solidaridad de las grandes fortunas, analiza la tacha referida a la vulneración del procedimiento legislativo y del art. 23.2 CE. Subraya que en el debate en Comisión todos los grupos parlamentarios tuvieron un turno de palabra y que en el Pleno volvieron a tener ocasión de pronunciarse sobre las enmiendas formuladas a la iniciativa legislativa. Por tanto, no se privó a los grupos parlamentarios ni a los diputados de la posibilidad de pronunciarse sobre la enmienda, ni en la Comisión, ni en el Pleno. La incorporación de la enmienda ha sido conforme con los usos parlamentarios, por lo que no ha vulnerado el art. 23.2 CE.</w:t>
      </w:r>
    </w:p>
    <w:p w14:paraId="08D36A2B" w14:textId="77777777" w:rsidR="008D479B" w:rsidRDefault="008D479B" w:rsidP="008D479B">
      <w:pPr>
        <w:pStyle w:val="TextoNormal"/>
      </w:pPr>
    </w:p>
    <w:p w14:paraId="4DFF5B4A" w14:textId="77777777" w:rsidR="008D479B" w:rsidRDefault="008D479B" w:rsidP="008D479B">
      <w:pPr>
        <w:pStyle w:val="TextoNormal"/>
      </w:pPr>
      <w:r>
        <w:t>Respecto de la alegada la falta de homogeneidad de la enmienda con el texto inicial de la proposición de ley, argumenta, citando las SSTC 119/2011, de 5 de julio, FJ 7, y 70/2018, de 21 de junio, FJ 6, y el preámbulo de la Ley 38/2022, que el impuesto temporal de solidaridad de las grandes fortunas y los gravámenes no tributarios creados por ella obedecen al mismo objetivo y finalidad común, que es afrontar la particular situación excepcional derivada de la crisis energética y la inflación.</w:t>
      </w:r>
    </w:p>
    <w:p w14:paraId="2BCE8F5C" w14:textId="77777777" w:rsidR="008D479B" w:rsidRDefault="008D479B" w:rsidP="008D479B">
      <w:pPr>
        <w:pStyle w:val="TextoNormal"/>
      </w:pPr>
    </w:p>
    <w:p w14:paraId="3B313D45" w14:textId="77777777" w:rsidR="008D479B" w:rsidRDefault="008D479B" w:rsidP="008D479B">
      <w:pPr>
        <w:pStyle w:val="TextoNormal"/>
      </w:pPr>
      <w:r>
        <w:t>En relación con la falta de emisión de informes, argumenta que el Tribunal ya ha señalado que estos no son exigibles en el caso de las proposiciones de ley. Cita, en concreto, la reciente STC 19/2023, de 22 de marzo, FJ 3, que recoge la jurisprudencia del Tribunal sobre la inexistencia de inconstitucionalidad formal en el caso de falta de informes sobre las proposiciones de ley, confirmando que estas no requieren, ni en su presentación ni en su tramitación ulterior, de tales informes.</w:t>
      </w:r>
    </w:p>
    <w:p w14:paraId="39CA1253" w14:textId="77777777" w:rsidR="008D479B" w:rsidRDefault="008D479B" w:rsidP="008D479B">
      <w:pPr>
        <w:pStyle w:val="TextoNormal"/>
      </w:pPr>
    </w:p>
    <w:p w14:paraId="1D3A5E78" w14:textId="77777777" w:rsidR="008D479B" w:rsidRDefault="008D479B" w:rsidP="008D479B">
      <w:pPr>
        <w:pStyle w:val="TextoNormal"/>
      </w:pPr>
      <w:r>
        <w:t>b) A continuación, examina la alegada vulneración de la autonomía financiera. Considera que el recurso parte de un error de base, ya que el impuesto temporal de solidaridad de las grandes fortunas no se inserta en el sistema de financiación autonómica, sino que se configura como un impuesto estatal complementario del impuesto sobre el patrimonio, no susceptible de cesión a las comunidades autónomas, cuyo objetivo es gravar con una cuota adicional los patrimonios de las personas físicas de cuantía superior a 3  000 000 €. Es un impuesto complementario del impuesto sobre el patrimonio, cuya configuración corresponde al Estado en virtud del art. 133.1 CE, que le reconoce la potestad tributaria originaria, y del art. 149.1.14 CE, que le atribuye la competencia exclusiva sobre “hacienda general”, título que le permite fijar la estructura del sistema tributario.</w:t>
      </w:r>
    </w:p>
    <w:p w14:paraId="323784E1" w14:textId="77777777" w:rsidR="008D479B" w:rsidRDefault="008D479B" w:rsidP="008D479B">
      <w:pPr>
        <w:pStyle w:val="TextoNormal"/>
      </w:pPr>
    </w:p>
    <w:p w14:paraId="6281C547" w14:textId="77777777" w:rsidR="008D479B" w:rsidRDefault="008D479B" w:rsidP="008D479B">
      <w:pPr>
        <w:pStyle w:val="TextoNormal"/>
      </w:pPr>
      <w:r>
        <w:t>El impuesto temporal de solidaridad de las grandes fortunas no incide en el hecho imponible de ningún tributo propio de la comunidad autónoma recurrente y se afirma expresamente que no es susceptible de cesión. Para el abogado del Estado, tiene una finalidad recaudatoria autónoma en el sistema tributario estatal, dentro del bloque de los tributos no cedidos, luego es ajeno al sistema de financiación.</w:t>
      </w:r>
    </w:p>
    <w:p w14:paraId="12CF2020" w14:textId="77777777" w:rsidR="008D479B" w:rsidRDefault="008D479B" w:rsidP="008D479B">
      <w:pPr>
        <w:pStyle w:val="TextoNormal"/>
      </w:pPr>
    </w:p>
    <w:p w14:paraId="263B75BA" w14:textId="77777777" w:rsidR="008D479B" w:rsidRDefault="008D479B" w:rsidP="008D479B">
      <w:pPr>
        <w:pStyle w:val="TextoNormal"/>
      </w:pPr>
      <w:r>
        <w:t>El impuesto recurrido tampoco afecta a la financiación de ninguna comunidad autónoma, pues aquellas que no hayan establecido una bonificación total mantendrán la recaudación del impuesto sobre el patrimonio, cuyas cuotas son deducibles del nuevo impuesto. La finalidad armonizadora, competencia que corresponde al Estado como titular de la potestad tributaria, se logra sin afectar a la autonomía financiera. Las comunidades autónomas que lo decidan podrán seguir bonificando total o parcialmente la cuota del impuesto sobre el patrimonio. Las que no lo hagan conservarán la recaudación íntegra del impuesto sobre el patrimonio cedido.</w:t>
      </w:r>
    </w:p>
    <w:p w14:paraId="38202ED2" w14:textId="77777777" w:rsidR="008D479B" w:rsidRDefault="008D479B" w:rsidP="008D479B">
      <w:pPr>
        <w:pStyle w:val="TextoNormal"/>
      </w:pPr>
    </w:p>
    <w:p w14:paraId="1D8DCBB2" w14:textId="77777777" w:rsidR="008D479B" w:rsidRDefault="008D479B" w:rsidP="008D479B">
      <w:pPr>
        <w:pStyle w:val="TextoNormal"/>
      </w:pPr>
      <w:r>
        <w:t xml:space="preserve">El representante del Gobierno invoca la STC 26/2015, de 19 de febrero, FJ 5, que, en el caso del impuesto sobre los depósitos en las entidades de crédito, supuesto no idéntico, pero con analogías, mantuvo que la competencia de armonización tributaria es del Estado y negó que la creación de un impuesto estatal debiera someterse al mecanismo de las leyes de armonización </w:t>
      </w:r>
      <w:r w:rsidRPr="008D479B">
        <w:rPr>
          <w:i/>
        </w:rPr>
        <w:t>ex</w:t>
      </w:r>
      <w:r>
        <w:t xml:space="preserve"> art. 150.3 CE. Dicha sentencia ratificó que el art. 149.1.14 CE, junto con los arts. 133.1 y 157.3 CE, permiten al Estado no solo “regular sus propios tributos, sino específicamente el marco general de todo el sistema tributario y la delimitación de las competencias financieras de las comunidades autónomas respecto de las del propio Estado”. La STC 26/2015 concluyó que el Estado es competente para establecer un tributo con fines armonizadores, como sucede con el impuesto temporal de solidaridad de las grandes fortunas, sin que la autonomía financiera de las comunidades autónomas quede afectada. En todo caso, dicha autonomía no puede limitar la potestad tributaria ni la competencia de coordinación del Estado.</w:t>
      </w:r>
    </w:p>
    <w:p w14:paraId="2AA244EE" w14:textId="77777777" w:rsidR="008D479B" w:rsidRDefault="008D479B" w:rsidP="008D479B">
      <w:pPr>
        <w:pStyle w:val="TextoNormal"/>
      </w:pPr>
    </w:p>
    <w:p w14:paraId="09D02BA2" w14:textId="77777777" w:rsidR="008D479B" w:rsidRDefault="008D479B" w:rsidP="008D479B">
      <w:pPr>
        <w:pStyle w:val="TextoNormal"/>
      </w:pPr>
      <w:r>
        <w:t>Insiste en que el impuesto temporal de solidaridad de las grandes fortunas impugnado no vacía de competencias normativas a las comunidades autónomas, ya que el art. 3 de la Ley 38/2022 no incide en la regulación del impuesto sobre el patrimonio. Las competencias para regular su tipo de gravamen, el mínimo exento y las deducciones y bonificaciones se mantienen intactas. Al prever que la cuota del impuesto sobre el patrimonio se deduzca de la del impuesto temporal de solidaridad de las grandes fortunas se hace que este complemente a aquel, sin sustituirlo. Prueba de ello es que el art. 3 impugnado no modifica ni la Ley 19/1991, de 6 de junio, por la que se regula el impuesto sobre el patrimonio, ni la Ley 22/2009, reguladora de la cesión de tributos.</w:t>
      </w:r>
    </w:p>
    <w:p w14:paraId="6DA6FF41" w14:textId="77777777" w:rsidR="008D479B" w:rsidRDefault="008D479B" w:rsidP="008D479B">
      <w:pPr>
        <w:pStyle w:val="TextoNormal"/>
      </w:pPr>
    </w:p>
    <w:p w14:paraId="76ABD328" w14:textId="77777777" w:rsidR="008D479B" w:rsidRDefault="008D479B" w:rsidP="008D479B">
      <w:pPr>
        <w:pStyle w:val="TextoNormal"/>
      </w:pPr>
      <w:r>
        <w:t>El abogado del Estado expone que la cuota del impuesto temporal de solidaridad de las grandes fortunas solo resultará a ingresar cuando sea superior a la del impuesto sobre el patrimonio, pero nunca minorará la cuota de este último impuesto, por lo que no es cierto que se vulneren las competencias autonómicas. Por ello, no procede modificar la LOFCA, ni la Ley de cesión de tributos, ni son necesarios acuerdos de la Comisión Mixta entre el Estado y la Comunidad Autónoma.</w:t>
      </w:r>
    </w:p>
    <w:p w14:paraId="3411B60C" w14:textId="77777777" w:rsidR="008D479B" w:rsidRDefault="008D479B" w:rsidP="008D479B">
      <w:pPr>
        <w:pStyle w:val="TextoNormal"/>
      </w:pPr>
    </w:p>
    <w:p w14:paraId="7F0877F3" w14:textId="77777777" w:rsidR="008D479B" w:rsidRDefault="008D479B" w:rsidP="008D479B">
      <w:pPr>
        <w:pStyle w:val="TextoNormal"/>
      </w:pPr>
      <w:r>
        <w:t>Para el representante del Gobierno, tampoco se vulnera el principio de lealtad institucional porque, por un lado, no se crean nuevas obligaciones de gasto; ni, por otro, hay una disminución de los ingresos autonómicos. El impuesto temporal de solidaridad de las grandes fortunas no suprime ningún tributo ni altera los ingresos autonómicos, que es la premisa para reclamar al Estado medidas de compensación en virtud del citado principio [art. 2.1 g) LOFCA]. Por otro lado, no se produce doble imposición porque los contribuyentes del impuesto temporal de solidaridad de las grandes fortunas solo tributan por la parte que no haya gravado la comunidad autónoma.</w:t>
      </w:r>
    </w:p>
    <w:p w14:paraId="14EDF86F" w14:textId="77777777" w:rsidR="008D479B" w:rsidRDefault="008D479B" w:rsidP="008D479B">
      <w:pPr>
        <w:pStyle w:val="TextoNormal"/>
      </w:pPr>
    </w:p>
    <w:p w14:paraId="35E17C49" w14:textId="77777777" w:rsidR="008D479B" w:rsidRDefault="008D479B" w:rsidP="008D479B">
      <w:pPr>
        <w:pStyle w:val="TextoNormal"/>
      </w:pPr>
      <w:r>
        <w:t>c) Por último, en lo atinente a la supuesta vulneración del principio de seguridad jurídica, las alegaciones del representante del Gobierno de la Nación subrayan que el impuesto temporal de solidaridad de las grandes fortunas entró en vigor el 29 de diciembre de 2022, antes del primer devengo, producido el 31 de diciembre de dicho año. No hay, por tanto, retroactividad, ya que el impuesto es de devengo instantáneo, sin que existan situaciones consolidadas previas a su aplicación.</w:t>
      </w:r>
    </w:p>
    <w:p w14:paraId="42F8941F" w14:textId="77777777" w:rsidR="008D479B" w:rsidRDefault="008D479B" w:rsidP="008D479B">
      <w:pPr>
        <w:pStyle w:val="TextoNormal"/>
      </w:pPr>
    </w:p>
    <w:p w14:paraId="19CE58BC" w14:textId="77777777" w:rsidR="008D479B" w:rsidRDefault="008D479B" w:rsidP="008D479B">
      <w:pPr>
        <w:pStyle w:val="TextoNormal"/>
      </w:pPr>
      <w:r>
        <w:t>Para el caso de que se estimase que el impuesto sí tiene una eficacia retroactiva, invoca la doctrina de la STC 126/1987, de 16 de julio, FJ 9, que admite dicho efecto en función de la ponderación de intereses en cada caso. En concreto, recuerda su finalidad recaudatoria de exigir en tiempos de crisis energética y de inflación un mayor esfuerzo a quienes disponen de una mayor capacidad económica; y armonizadora de reducir las diferencias entre las comunidades autónomas en el gravamen del patrimonio.</w:t>
      </w:r>
    </w:p>
    <w:p w14:paraId="4BF8FA06" w14:textId="77777777" w:rsidR="008D479B" w:rsidRDefault="008D479B" w:rsidP="008D479B">
      <w:pPr>
        <w:pStyle w:val="TextoNormal"/>
      </w:pPr>
    </w:p>
    <w:p w14:paraId="1F21E330" w14:textId="7794B03C" w:rsidR="008D479B" w:rsidRDefault="008D479B" w:rsidP="008D479B">
      <w:pPr>
        <w:pStyle w:val="TextoNormal"/>
      </w:pPr>
      <w:r>
        <w:t>Por todo lo anterior, finaliza solicitando que el Tribunal dicte sentencia por la que desestime íntegramente el recurso de inconstitucionalidad.</w:t>
      </w:r>
    </w:p>
    <w:p w14:paraId="2D5E3F57" w14:textId="77777777" w:rsidR="008D479B" w:rsidRDefault="008D479B" w:rsidP="008D479B">
      <w:pPr>
        <w:pStyle w:val="TextoNormal"/>
      </w:pPr>
    </w:p>
    <w:p w14:paraId="7DB18C7E" w14:textId="1F67A82D" w:rsidR="008D479B" w:rsidRDefault="008D479B" w:rsidP="008D479B">
      <w:pPr>
        <w:pStyle w:val="TextoNormal"/>
      </w:pPr>
      <w:r w:rsidRPr="008D479B">
        <w:rPr>
          <w:rStyle w:val="NumeroAFNegritaCaracter"/>
        </w:rPr>
        <w:t>6</w:t>
      </w:r>
      <w:r>
        <w:t>. Por providencia de 21 de noviembre de 2023, se señaló para la deliberación y votación de la presente sentencia el día 22 del mismo mes y año.</w:t>
      </w:r>
    </w:p>
    <w:p w14:paraId="5B05E9FB" w14:textId="77777777" w:rsidR="008D479B" w:rsidRDefault="008D479B" w:rsidP="008D479B">
      <w:pPr>
        <w:pStyle w:val="TextoNormal"/>
      </w:pPr>
    </w:p>
    <w:p w14:paraId="099B48B7" w14:textId="77777777" w:rsidR="008D479B" w:rsidRDefault="008D479B" w:rsidP="008D479B">
      <w:pPr>
        <w:pStyle w:val="TextoNormalNegritaCentrado"/>
        <w:keepNext/>
      </w:pPr>
      <w:r>
        <w:t>II. Fundamentos jurídicos</w:t>
      </w:r>
    </w:p>
    <w:p w14:paraId="24E12D6C" w14:textId="6D985FAC" w:rsidR="008D479B" w:rsidRDefault="008D479B" w:rsidP="008D479B">
      <w:pPr>
        <w:pStyle w:val="TextoNormalNegritaCentrado"/>
        <w:keepNext/>
      </w:pPr>
    </w:p>
    <w:p w14:paraId="210AFE3D" w14:textId="77777777" w:rsidR="008D479B" w:rsidRDefault="008D479B" w:rsidP="008D479B">
      <w:pPr>
        <w:pStyle w:val="TextoNormal"/>
      </w:pPr>
      <w:r w:rsidRPr="008D479B">
        <w:rPr>
          <w:rStyle w:val="NumeroAFNegritaCaracter"/>
        </w:rPr>
        <w:t>1</w:t>
      </w:r>
      <w:r>
        <w:t xml:space="preserve">. </w:t>
      </w:r>
      <w:r w:rsidRPr="008D479B">
        <w:rPr>
          <w:i/>
        </w:rPr>
        <w:t>Objeto del recurso y posiciones de las partes</w:t>
      </w:r>
    </w:p>
    <w:p w14:paraId="467E0A54" w14:textId="77777777" w:rsidR="008D479B" w:rsidRDefault="008D479B" w:rsidP="008D479B">
      <w:pPr>
        <w:pStyle w:val="TextoNormal"/>
      </w:pPr>
    </w:p>
    <w:p w14:paraId="3591896A" w14:textId="77777777" w:rsidR="008D479B" w:rsidRDefault="008D479B" w:rsidP="008D479B">
      <w:pPr>
        <w:pStyle w:val="TextoNormal"/>
      </w:pPr>
      <w:r>
        <w:t>La Xunta de Galicia interpone un recurso de inconstitucionalidad contra el art. 3 de la Ley 38/2022, de 27 de diciembre, para el establecimiento de gravámenes temporales energético y de entidades de crédito y establecimientos financieros de crédito y por la que se crea el impuesto temporal de solidaridad de las grandes fortunas, y se modifican determinadas normas tributarias (en adelante, Ley 38/2022).</w:t>
      </w:r>
    </w:p>
    <w:p w14:paraId="70B6A6AF" w14:textId="77777777" w:rsidR="008D479B" w:rsidRDefault="008D479B" w:rsidP="008D479B">
      <w:pPr>
        <w:pStyle w:val="TextoNormal"/>
      </w:pPr>
    </w:p>
    <w:p w14:paraId="7F15F7AB" w14:textId="77777777" w:rsidR="008D479B" w:rsidRDefault="008D479B" w:rsidP="008D479B">
      <w:pPr>
        <w:pStyle w:val="TextoNormal"/>
      </w:pPr>
      <w:r>
        <w:t>a) Como ha quedado detalladamente expuesto en los antecedentes, el gobierno autonómico recurrente imputa al art. 3 de la Ley 38/2022, por el que se establece el impuesto temporal de solidaridad de las grandes fortunas, las siguientes infracciones constitucionales: (i) infracción de la autonomía financiera de las comunidades autónomas, del bloque de la constitucionalidad en materia de tributos cedidos y del principio de lealtad institucional (arts. 156.1 y 157.3 CE, desarrollados por la LOFCA); (ii) infracción del derecho de representación política consagrado en el art. 23.2 CE; y (iii) vulneración del principio de seguridad jurídica del art. 9.3 CE.</w:t>
      </w:r>
    </w:p>
    <w:p w14:paraId="7A422A81" w14:textId="77777777" w:rsidR="008D479B" w:rsidRDefault="008D479B" w:rsidP="008D479B">
      <w:pPr>
        <w:pStyle w:val="TextoNormal"/>
      </w:pPr>
    </w:p>
    <w:p w14:paraId="5EDDFF9A" w14:textId="77777777" w:rsidR="008D479B" w:rsidRDefault="008D479B" w:rsidP="008D479B">
      <w:pPr>
        <w:pStyle w:val="TextoNormal"/>
      </w:pPr>
      <w:r>
        <w:t>La letrada de las Cortes ha formulado alegaciones únicamente respecto de los citados motivos (i) y (ii), descartando los vicios respectivos. Por su parte, el abogado del Estado niega todas las infracciones, interesando la desestimación íntegra del recurso.</w:t>
      </w:r>
    </w:p>
    <w:p w14:paraId="6E60C76A" w14:textId="77777777" w:rsidR="008D479B" w:rsidRDefault="008D479B" w:rsidP="008D479B">
      <w:pPr>
        <w:pStyle w:val="TextoNormal"/>
      </w:pPr>
    </w:p>
    <w:p w14:paraId="5F3B6DD7" w14:textId="77777777" w:rsidR="008D479B" w:rsidRDefault="008D479B" w:rsidP="008D479B">
      <w:pPr>
        <w:pStyle w:val="TextoNormal"/>
      </w:pPr>
      <w:r>
        <w:t>b) El art. 3 de la Ley 38/2022 ha sido ya objeto de un pronunciamiento de este tribunal que, por la STC 149/2023, de 7 de noviembre, ha desestimado íntegramente el recurso de inconstitucionalidad núm. 616-2023, interpuesto contra dicho precepto por el Consejo de Gobierno de Comunidad de Madrid. Todos los motivos de inconstitucionalidad que esgrime el recurso de la Xunta de Galicia han sido ya enjuiciados en dicha sentencia, cuya doctrina, por tanto, es aplicable para resolver el presente proceso.</w:t>
      </w:r>
    </w:p>
    <w:p w14:paraId="26FACC43" w14:textId="77777777" w:rsidR="008D479B" w:rsidRDefault="008D479B" w:rsidP="008D479B">
      <w:pPr>
        <w:pStyle w:val="TextoNormal"/>
      </w:pPr>
    </w:p>
    <w:p w14:paraId="312EF7FF" w14:textId="4FC59641" w:rsidR="008D479B" w:rsidRDefault="008D479B" w:rsidP="008D479B">
      <w:pPr>
        <w:pStyle w:val="TextoNormal"/>
      </w:pPr>
      <w:r>
        <w:t>Debemos comenzar dando por reproducida la síntesis de la estructura y finalidad del impuesto temporal de solidaridad de las grandes fortunas que hace la STC 149/2023, de 7 de noviembre, FJ 1 a) y b). A continuación, en los fundamentos jurídicos que siguen enjuiciaremos, por remisión a los fundamentos correspondientes de la citada sentencia, las impugnaciones planteadas por la Xunta de Galicia.</w:t>
      </w:r>
    </w:p>
    <w:p w14:paraId="37F15C93" w14:textId="77777777" w:rsidR="008D479B" w:rsidRDefault="008D479B" w:rsidP="008D479B">
      <w:pPr>
        <w:pStyle w:val="TextoNormal"/>
      </w:pPr>
    </w:p>
    <w:p w14:paraId="378B5302" w14:textId="77777777" w:rsidR="008D479B" w:rsidRDefault="008D479B" w:rsidP="008D479B">
      <w:pPr>
        <w:pStyle w:val="TextoNormal"/>
      </w:pPr>
      <w:r w:rsidRPr="008D479B">
        <w:rPr>
          <w:rStyle w:val="NumeroAFNegritaCaracter"/>
        </w:rPr>
        <w:t>2</w:t>
      </w:r>
      <w:r>
        <w:t xml:space="preserve">. </w:t>
      </w:r>
      <w:r w:rsidRPr="008D479B">
        <w:rPr>
          <w:i/>
        </w:rPr>
        <w:t>Examen de la alegada vulneración de los arts. 156.1 y 157.3 CE y del principio de lealtad institucional. Desestimación por remisión a la STC 149/2023, de 7 de noviembre, FJ 3</w:t>
      </w:r>
    </w:p>
    <w:p w14:paraId="49AE3489" w14:textId="77777777" w:rsidR="008D479B" w:rsidRDefault="008D479B" w:rsidP="008D479B">
      <w:pPr>
        <w:pStyle w:val="TextoNormal"/>
      </w:pPr>
    </w:p>
    <w:p w14:paraId="225AFF7D" w14:textId="77777777" w:rsidR="008D479B" w:rsidRDefault="008D479B" w:rsidP="008D479B">
      <w:pPr>
        <w:pStyle w:val="TextoNormal"/>
      </w:pPr>
      <w:r>
        <w:t>a) El letrado de la Xunta de Galicia aduce que el impuesto temporal de solidaridad de las grandes fortunas ha sido introducido con la única finalidad de vaciar de contenido la competencia normativa de las comunidades autónomas sobre el impuesto sobre el patrimonio, particularmente con la intención de neutralizar las bonificaciones introducidas por algunas de ellas, lo que lesiona su autonomía financiera. Con ello —afirma— se vulnera también la reserva de ley orgánica para la regulación del ejercicio de las competencias financieras de las comunidades autónomas establecida en el art. 157.3 CE, así como el principio de lealtad institucional.</w:t>
      </w:r>
    </w:p>
    <w:p w14:paraId="09BF9656" w14:textId="77777777" w:rsidR="008D479B" w:rsidRDefault="008D479B" w:rsidP="008D479B">
      <w:pPr>
        <w:pStyle w:val="TextoNormal"/>
      </w:pPr>
    </w:p>
    <w:p w14:paraId="54CD17E5" w14:textId="77777777" w:rsidR="008D479B" w:rsidRDefault="008D479B" w:rsidP="008D479B">
      <w:pPr>
        <w:pStyle w:val="TextoNormal"/>
      </w:pPr>
      <w:r>
        <w:t>b) La letrada de las Cortes Generales y el abogado del Estado argumentan de contrario que el impuesto temporal de solidaridad de las grandes fortunas no afecta a la normativa ni a la cesión del impuesto sobre el patrimonio, que se mantienen intactas. Subrayan que el nuevo tributo no afecta a la recaudación del impuesto sobre el patrimonio, por lo que no se vulneran las competencias autonómicas, ni la autonomía financiera (ni política), ni el resto de los principios del art. 156.1 CE. Al no modificarse el régimen de cesión, ni regularse ningún medio de resolución de conflictos, tampoco consideran aplicable la reserva de ley orgánica del art. 157.3 CE.</w:t>
      </w:r>
    </w:p>
    <w:p w14:paraId="23AE916B" w14:textId="77777777" w:rsidR="008D479B" w:rsidRDefault="008D479B" w:rsidP="008D479B">
      <w:pPr>
        <w:pStyle w:val="TextoNormal"/>
      </w:pPr>
    </w:p>
    <w:p w14:paraId="6279CA4E" w14:textId="77777777" w:rsidR="008D479B" w:rsidRDefault="008D479B" w:rsidP="008D479B">
      <w:pPr>
        <w:pStyle w:val="TextoNormal"/>
      </w:pPr>
      <w:r>
        <w:t>c) La impugnación planteada por la Xunta de Galicia debe desestimarse. En la STC 149/2023, FJ 3 C) a), hemos concluido que el impuesto temporal de solidaridad de las grandes fortunas deja intactas las competencias normativas autonómicas reconocidas en el régimen de cesión del impuesto sobre el patrimonio. El mínimo exento, la tarifa, las deducciones y las bonificaciones aplicables a los contribuyentes con residencia habitual en una comunidad autónoma seguirán siendo, única y exclusivamente, los que ella decida, en ejercicio de las competencias previstas en la LOFCA, en la Ley 22/2009 y en la ley específica de cesión de tributos a dicha comunidad.</w:t>
      </w:r>
    </w:p>
    <w:p w14:paraId="0D7CBB02" w14:textId="77777777" w:rsidR="008D479B" w:rsidRDefault="008D479B" w:rsidP="008D479B">
      <w:pPr>
        <w:pStyle w:val="TextoNormal"/>
      </w:pPr>
    </w:p>
    <w:p w14:paraId="06D9046A" w14:textId="77777777" w:rsidR="008D479B" w:rsidRDefault="008D479B" w:rsidP="008D479B">
      <w:pPr>
        <w:pStyle w:val="TextoNormal"/>
      </w:pPr>
      <w:r>
        <w:t xml:space="preserve">Asimismo, hemos recordado que las comunidades autónomas pueden utilizar sus competencias tributarias con fines extrafiscales, como fomentar la generación de riqueza —según alega la demanda—, pero no impedir que el Estado, titular de la potestad tributaria originaria </w:t>
      </w:r>
      <w:r w:rsidRPr="008D479B">
        <w:rPr>
          <w:i/>
        </w:rPr>
        <w:t>ex</w:t>
      </w:r>
      <w:r>
        <w:t xml:space="preserve"> art. 133.1 CE y de la competencia exclusiva en materia de “hacienda general” </w:t>
      </w:r>
      <w:r w:rsidRPr="008D479B">
        <w:rPr>
          <w:i/>
        </w:rPr>
        <w:t>ex</w:t>
      </w:r>
      <w:r>
        <w:t xml:space="preserve"> art. 149.1.14 CE, establezca un nuevo tributo sobre el patrimonio que la comunidad autónoma ha dejado libre de gravamen.</w:t>
      </w:r>
    </w:p>
    <w:p w14:paraId="44BAB4DC" w14:textId="77777777" w:rsidR="008D479B" w:rsidRDefault="008D479B" w:rsidP="008D479B">
      <w:pPr>
        <w:pStyle w:val="TextoNormal"/>
      </w:pPr>
    </w:p>
    <w:p w14:paraId="44BD2209" w14:textId="77777777" w:rsidR="008D479B" w:rsidRDefault="008D479B" w:rsidP="008D479B">
      <w:pPr>
        <w:pStyle w:val="TextoNormal"/>
      </w:pPr>
      <w:r>
        <w:t>Por otra parte, no se vulnera la reserva de ley orgánica del art. 157.3 CE dado que el impuesto temporal de solidaridad de las grandes fortunas no se crea en aplicación de la LOFCA, sino en ejercicio de las competencias reconocidas al Estado por los arts. 133.1 y 149.1.14 CE, las cuales no deben instrumentarse mediante ley orgánica. Tampoco concurre ninguno de los demás supuestos para los que el art. 157.3 CE establece una reserva de ley orgánica, como hemos razonado en la STC 149/2023, FJ 3 D). Dado que no se afecta al régimen de cesión, tampoco se infringe el art. 150 CE, ni ninguno de los preceptos de la LOFCA ni de la Ley 22/2009, citados en la demanda en relación con la cesión de tributos.</w:t>
      </w:r>
    </w:p>
    <w:p w14:paraId="05C3C18F" w14:textId="77777777" w:rsidR="008D479B" w:rsidRDefault="008D479B" w:rsidP="008D479B">
      <w:pPr>
        <w:pStyle w:val="TextoNormal"/>
      </w:pPr>
    </w:p>
    <w:p w14:paraId="62537AB3" w14:textId="1472F7EF" w:rsidR="008D479B" w:rsidRDefault="008D479B" w:rsidP="008D479B">
      <w:pPr>
        <w:pStyle w:val="TextoNormal"/>
      </w:pPr>
      <w:r>
        <w:t>En lo atinente al principio de lealtad institucional reconocido en el art. 2.1 g) LOFCA y en el art. 9 de la Ley Orgánica de estabilidad presupuestaria y sostenibilidad financiera, que invoca la Xunta, en la STC 149/2023, FJ 3 C) c), hemos verificado que no queda afectado por el establecimiento del impuesto temporal de solidaridad de las grandes fortunas porque este no genera ninguna pérdida recaudatoria para las comunidades autónomas.</w:t>
      </w:r>
    </w:p>
    <w:p w14:paraId="68734D2F" w14:textId="77777777" w:rsidR="008D479B" w:rsidRDefault="008D479B" w:rsidP="008D479B">
      <w:pPr>
        <w:pStyle w:val="TextoNormal"/>
      </w:pPr>
    </w:p>
    <w:p w14:paraId="0C9C63D0" w14:textId="77777777" w:rsidR="008D479B" w:rsidRDefault="008D479B" w:rsidP="008D479B">
      <w:pPr>
        <w:pStyle w:val="TextoNormal"/>
      </w:pPr>
      <w:r w:rsidRPr="008D479B">
        <w:rPr>
          <w:rStyle w:val="NumeroAFNegritaCaracter"/>
        </w:rPr>
        <w:t>3</w:t>
      </w:r>
      <w:r>
        <w:t xml:space="preserve">. </w:t>
      </w:r>
      <w:r w:rsidRPr="008D479B">
        <w:rPr>
          <w:i/>
        </w:rPr>
        <w:t>Examen de la alegada vulneración del art. 23.2 CE. Desestimación por remisión a la STC 149/2023, FJ 2</w:t>
      </w:r>
    </w:p>
    <w:p w14:paraId="36C805FE" w14:textId="77777777" w:rsidR="008D479B" w:rsidRDefault="008D479B" w:rsidP="008D479B">
      <w:pPr>
        <w:pStyle w:val="TextoNormal"/>
      </w:pPr>
    </w:p>
    <w:p w14:paraId="78DAA56D" w14:textId="77777777" w:rsidR="008D479B" w:rsidRDefault="008D479B" w:rsidP="008D479B">
      <w:pPr>
        <w:pStyle w:val="TextoNormal"/>
      </w:pPr>
      <w:r>
        <w:t xml:space="preserve">a) La Xunta de Galicia denuncia que la disposición impugnada vulnera el </w:t>
      </w:r>
      <w:r w:rsidRPr="008D479B">
        <w:rPr>
          <w:i/>
        </w:rPr>
        <w:t>ius in officium</w:t>
      </w:r>
      <w:r>
        <w:t xml:space="preserve"> del art. 23.2 CE porque el objeto de deliberación de una iniciativa legislativa se alteró a través de una enmienda, que dio lugar al precepto impugnado, que no guardaba una mínima conexión de homogeneidad con la proposición de ley que había sido admitida a trámite.</w:t>
      </w:r>
    </w:p>
    <w:p w14:paraId="39BFFA4A" w14:textId="77777777" w:rsidR="008D479B" w:rsidRDefault="008D479B" w:rsidP="008D479B">
      <w:pPr>
        <w:pStyle w:val="TextoNormal"/>
      </w:pPr>
    </w:p>
    <w:p w14:paraId="10D005DD" w14:textId="77777777" w:rsidR="008D479B" w:rsidRDefault="008D479B" w:rsidP="008D479B">
      <w:pPr>
        <w:pStyle w:val="TextoNormal"/>
      </w:pPr>
      <w:r>
        <w:t>b) El abogado del Estado y la letrada de las Cortes Generales descartan la infracción. Ambos consideran que el nuevo impuesto sí guarda conexión con el objetivo de la proposición de ley en la que se integró, ya que sirve, como el resto de las medidas de la iniciativa, para generar ingresos con los que afrontar la situación excepcional derivada de la crisis energética y la inflación.</w:t>
      </w:r>
    </w:p>
    <w:p w14:paraId="488C7383" w14:textId="77777777" w:rsidR="008D479B" w:rsidRDefault="008D479B" w:rsidP="008D479B">
      <w:pPr>
        <w:pStyle w:val="TextoNormal"/>
      </w:pPr>
    </w:p>
    <w:p w14:paraId="35668663" w14:textId="77777777" w:rsidR="008D479B" w:rsidRDefault="008D479B" w:rsidP="008D479B">
      <w:pPr>
        <w:pStyle w:val="TextoNormal"/>
      </w:pPr>
      <w:r>
        <w:t>c) Por las razones expuestas en STC 149/2023, FJ 2, la impugnación no puede prosperar. Aplicando la doctrina de las SSTC 119/2011, de 5 de julio, y 136/2011, de 13 de septiembre, dicha sentencia ha descartado en este caso la vulneración del derecho de enmienda, invocando otros precedentes análogos (SSTC 209/2012, de 14 de noviembre, respecto de la creación del impuesto sobre las ventas minoristas de determinados hidrocarburos, y 59/2015, de 18 de marzo, sobre el establecimiento del impuesto sobre los depósitos en las entidades de crédito).</w:t>
      </w:r>
    </w:p>
    <w:p w14:paraId="25DE5953" w14:textId="77777777" w:rsidR="008D479B" w:rsidRDefault="008D479B" w:rsidP="008D479B">
      <w:pPr>
        <w:pStyle w:val="TextoNormal"/>
      </w:pPr>
    </w:p>
    <w:p w14:paraId="26BBC9CF" w14:textId="77777777" w:rsidR="008D479B" w:rsidRDefault="008D479B" w:rsidP="008D479B">
      <w:pPr>
        <w:pStyle w:val="TextoNormal"/>
      </w:pPr>
      <w:r>
        <w:t>En cuanto a la alegación que hace la demanda sobre la distinta naturaleza del impuesto temporal de solidaridad de las grandes fortunas y los otros dos gravámenes de la Ley 38/2022, en la citada STC 149/2023, FJ 2 C) b), hemos concluido que lo relevante para apreciar una suficiente homogeneidad es que las tres figuras son ingresos públicos con un objetivo común: coadyuvar al “pacto de rentas” y al “reparto del esfuerzo” para afrontar las consecuencias de la crisis energética y de precios.</w:t>
      </w:r>
    </w:p>
    <w:p w14:paraId="7D36B01C" w14:textId="77777777" w:rsidR="008D479B" w:rsidRDefault="008D479B" w:rsidP="008D479B">
      <w:pPr>
        <w:pStyle w:val="TextoNormal"/>
      </w:pPr>
    </w:p>
    <w:p w14:paraId="7D6DEB79" w14:textId="7B08CCD4" w:rsidR="008D479B" w:rsidRDefault="008D479B" w:rsidP="008D479B">
      <w:pPr>
        <w:pStyle w:val="TextoNormal"/>
      </w:pPr>
      <w:r>
        <w:t xml:space="preserve">Por tanto, dado que el derecho de enmienda se ha ejercido conforme a la legalidad parlamentaria, no se ha infringido el </w:t>
      </w:r>
      <w:r w:rsidRPr="008D479B">
        <w:rPr>
          <w:i/>
        </w:rPr>
        <w:t>ius in officium</w:t>
      </w:r>
      <w:r>
        <w:t xml:space="preserve"> del art. 23.2 CE. Por la misma razón, tampoco se han violado los invocados arts. 66.2 y 87 CE, en relación con la potestad y la iniciativa legislativa.</w:t>
      </w:r>
    </w:p>
    <w:p w14:paraId="688BBC29" w14:textId="77777777" w:rsidR="008D479B" w:rsidRDefault="008D479B" w:rsidP="008D479B">
      <w:pPr>
        <w:pStyle w:val="TextoNormal"/>
      </w:pPr>
    </w:p>
    <w:p w14:paraId="36F06B3F" w14:textId="77777777" w:rsidR="008D479B" w:rsidRDefault="008D479B" w:rsidP="008D479B">
      <w:pPr>
        <w:pStyle w:val="TextoNormal"/>
      </w:pPr>
      <w:r w:rsidRPr="008D479B">
        <w:rPr>
          <w:rStyle w:val="NumeroAFNegritaCaracter"/>
        </w:rPr>
        <w:t>4</w:t>
      </w:r>
      <w:r>
        <w:t xml:space="preserve">. </w:t>
      </w:r>
      <w:r w:rsidRPr="008D479B">
        <w:rPr>
          <w:i/>
        </w:rPr>
        <w:t>Examen de la alegada vulneración del art. 9.3 CE. Desestimación por remisión a la STC 149/2023, FJ 5</w:t>
      </w:r>
    </w:p>
    <w:p w14:paraId="35E14EB0" w14:textId="77777777" w:rsidR="008D479B" w:rsidRDefault="008D479B" w:rsidP="008D479B">
      <w:pPr>
        <w:pStyle w:val="TextoNormal"/>
      </w:pPr>
    </w:p>
    <w:p w14:paraId="1A4034D0" w14:textId="77777777" w:rsidR="008D479B" w:rsidRDefault="008D479B" w:rsidP="008D479B">
      <w:pPr>
        <w:pStyle w:val="TextoNormal"/>
      </w:pPr>
      <w:r>
        <w:t>a) La Xunta de Galicia atribuye al impuesto temporal de solidaridad de las grandes fortunas la infracción del principio de seguridad jurídica del art. 9.3 CE, por tener efectos retroactivos. Alega que los destinatarios del nuevo tributo no pudieron prever su establecimiento y quedaron sin posibilidades de reacción frente a él.</w:t>
      </w:r>
    </w:p>
    <w:p w14:paraId="4CC55E37" w14:textId="77777777" w:rsidR="008D479B" w:rsidRDefault="008D479B" w:rsidP="008D479B">
      <w:pPr>
        <w:pStyle w:val="TextoNormal"/>
      </w:pPr>
    </w:p>
    <w:p w14:paraId="1CC42EA5" w14:textId="77777777" w:rsidR="008D479B" w:rsidRDefault="008D479B" w:rsidP="008D479B">
      <w:pPr>
        <w:pStyle w:val="TextoNormal"/>
      </w:pPr>
      <w:r>
        <w:t>b) El abogado del Estado niega la vulneración, pues considera que el impuesto temporal de solidaridad de las grandes fortunas es de carácter instantáneo, no periódico, por lo que no afecta a situaciones previas a su entrada en vigor. La letrada de las Cortes Generales no formula alegaciones sobre este motivo.</w:t>
      </w:r>
    </w:p>
    <w:p w14:paraId="4828C045" w14:textId="77777777" w:rsidR="008D479B" w:rsidRDefault="008D479B" w:rsidP="008D479B">
      <w:pPr>
        <w:pStyle w:val="TextoNormal"/>
      </w:pPr>
    </w:p>
    <w:p w14:paraId="6C24688A" w14:textId="77777777" w:rsidR="008D479B" w:rsidRDefault="008D479B" w:rsidP="008D479B">
      <w:pPr>
        <w:pStyle w:val="TextoNormal"/>
      </w:pPr>
      <w:r>
        <w:t>c) La impugnación se desestima, con base en lo razonado en la STC 149/2023, FJ 5. En ella constatamos que el hecho imponible del impuesto temporal de solidaridad de las grandes fortunas no se va generando a lo largo de un periodo de tiempo, sino que se agota en sí mismo el día 31 de diciembre. Es, por tanto, un tributo sin periodo impositivo (instantáneo), que se devengó, por primera vez, el 31 de diciembre de 2022, una vez que ya había entrado en vigor el precepto impugnado el anterior día 29. Así pues, no produce ningún efecto retroactivo.</w:t>
      </w:r>
    </w:p>
    <w:p w14:paraId="577653C4" w14:textId="77777777" w:rsidR="008D479B" w:rsidRDefault="008D479B" w:rsidP="008D479B">
      <w:pPr>
        <w:pStyle w:val="TextoNormal"/>
      </w:pPr>
    </w:p>
    <w:p w14:paraId="4898E533" w14:textId="30F843F5" w:rsidR="008D479B" w:rsidRDefault="008D479B" w:rsidP="008D479B">
      <w:pPr>
        <w:pStyle w:val="TextoNormal"/>
      </w:pPr>
      <w:r>
        <w:t>Respecto de que se estableciera de forma “imprevisible”, en la citada sentencia hemos recordado nuestra reiterada doctrina según la cual “entre las exigencias de la seguridad jurídica no se incluye derecho alguno a la inalterabilidad del régimen fiscal, ni, en general, a la congelación del ordenamiento jurídico existente”.</w:t>
      </w:r>
    </w:p>
    <w:p w14:paraId="0C51D06D" w14:textId="77777777" w:rsidR="008D479B" w:rsidRDefault="008D479B" w:rsidP="008D479B">
      <w:pPr>
        <w:pStyle w:val="TextoNormal"/>
      </w:pPr>
    </w:p>
    <w:p w14:paraId="04888A86" w14:textId="77777777" w:rsidR="008D479B" w:rsidRDefault="008D479B" w:rsidP="008D479B">
      <w:pPr>
        <w:pStyle w:val="TextoNormalCentrado"/>
        <w:keepNext/>
      </w:pPr>
      <w:r>
        <w:t>FALLO</w:t>
      </w:r>
    </w:p>
    <w:p w14:paraId="08286F48" w14:textId="1241E205" w:rsidR="008D479B" w:rsidRDefault="008D479B" w:rsidP="008D479B">
      <w:pPr>
        <w:pStyle w:val="TextoNormalCentrado"/>
        <w:keepNext/>
      </w:pPr>
    </w:p>
    <w:p w14:paraId="2649B547" w14:textId="2BF9EB68" w:rsidR="008D479B" w:rsidRDefault="008D479B" w:rsidP="008D479B">
      <w:pPr>
        <w:pStyle w:val="TextoNormal"/>
      </w:pPr>
      <w:r>
        <w:t>En atención a todo lo expuesto, el Tribunal Constitucional, por la autoridad que le confiere la Constitución de la Nación española, ha decidido desestimar íntegramente el recurso de inconstitucionalidad interpuesto por la Xunta de Galicia contra el art. 3 de la Ley 38/2022, de 27 de diciembre, para el establecimiento de gravámenes temporales energético y de entidades de crédito y establecimientos financieros de crédito y por la que se crea el impuesto temporal de solidaridad de las grandes fortunas, y se modifican determinadas normas tributarias.</w:t>
      </w:r>
    </w:p>
    <w:p w14:paraId="07672C95" w14:textId="77777777" w:rsidR="008D479B" w:rsidRDefault="008D479B" w:rsidP="008D479B">
      <w:pPr>
        <w:pStyle w:val="TextoNormal"/>
      </w:pPr>
    </w:p>
    <w:p w14:paraId="0F46B1D6" w14:textId="77777777" w:rsidR="008D479B" w:rsidRDefault="008D479B" w:rsidP="008D479B">
      <w:pPr>
        <w:pStyle w:val="TextoNormal"/>
      </w:pPr>
      <w:r>
        <w:t>Publíquese esta sentencia en el “Boletín Oficial del Estado”.</w:t>
      </w:r>
    </w:p>
    <w:p w14:paraId="5CADF80F" w14:textId="77777777" w:rsidR="008D479B" w:rsidRDefault="008D479B" w:rsidP="008D479B">
      <w:pPr>
        <w:pStyle w:val="TextoNormal"/>
      </w:pPr>
      <w:r>
        <w:t>Dada en Madrid, a veintidós de noviembre de dos mil veintitrés.</w:t>
      </w:r>
    </w:p>
    <w:p w14:paraId="784B6FA7" w14:textId="26210AF4" w:rsidR="008D479B" w:rsidRDefault="008D479B" w:rsidP="008D479B">
      <w:pPr>
        <w:pStyle w:val="ParrafoNormal"/>
      </w:pPr>
    </w:p>
    <w:p w14:paraId="537AC5B3" w14:textId="77777777" w:rsidR="008D479B" w:rsidRDefault="008D479B" w:rsidP="008D479B">
      <w:pPr>
        <w:pStyle w:val="TextoNormalNegritaCentrado"/>
        <w:keepNext/>
      </w:pPr>
      <w:r>
        <w:t>Voto particular que formulan los magistrados don Ricardo Enríquez Sancho y don Enrique Arnaldo Alcubilla, la magistrada doña Concepción Espejel Jorquera y el magistrado don César Tolosa Tribiño, a la sentencia del Pleno del Tribunal Constitucional que resuelve el recurso de inconstitucionalidad núm. 1951-2023</w:t>
      </w:r>
    </w:p>
    <w:p w14:paraId="60F98731" w14:textId="0A3CA461" w:rsidR="008D479B" w:rsidRDefault="008D479B" w:rsidP="008D479B">
      <w:pPr>
        <w:pStyle w:val="TextoNormalNegritaCentrado"/>
        <w:keepNext/>
      </w:pPr>
    </w:p>
    <w:p w14:paraId="37EFE520" w14:textId="77777777" w:rsidR="008D479B" w:rsidRDefault="008D479B" w:rsidP="008D479B">
      <w:pPr>
        <w:pStyle w:val="TextoNormal"/>
      </w:pPr>
      <w:r>
        <w:t>En el ejercicio de la facultad que nos confiere el artículo 90.2 de la Ley Orgánica del Tribunal Constitucional, y con respeto a la opinión de los magistrados que han conformado la mayoría del Pleno, formulamos el presente voto particular para expresar nuestra discrepancia con la fundamentación y con el fallo de la sentencia recaída en el presente recurso de inconstitucionalidad, el cual consideramos que debió ser estimado, declarando inconstitucional y nulo el art. 3 de la Ley 38/2022, de 27 de diciembre, que crea el impuesto temporal de solidaridad de las grandes fortunas.</w:t>
      </w:r>
    </w:p>
    <w:p w14:paraId="6FED565C" w14:textId="77777777" w:rsidR="008D479B" w:rsidRDefault="008D479B" w:rsidP="008D479B">
      <w:pPr>
        <w:pStyle w:val="TextoNormal"/>
      </w:pPr>
    </w:p>
    <w:p w14:paraId="18375075" w14:textId="77777777" w:rsidR="008D479B" w:rsidRDefault="008D479B" w:rsidP="008D479B">
      <w:pPr>
        <w:pStyle w:val="TextoNormal"/>
      </w:pPr>
      <w:r>
        <w:t>Las razones de nuestra discrepancia son las expuestas en el voto particular conjunto que formulamos a la STC 149/2023, de 7 de noviembre, a la que la presente sentencia se remite en cuanto procede. En consecuencia, no consideramos necesario reiterar en detalle los argumentos que en dicho voto particular se contienen (cuya extensión resultaba justificada por la gravedad del problema constitucional planteado), siendo suficiente con remitirnos a aquel, resumiendo los motivos por los que entendemos que este tribunal debió declarar la inconstitucionalidad y consiguiente nulidad del precepto legal impugnado.</w:t>
      </w:r>
    </w:p>
    <w:p w14:paraId="7E53637D" w14:textId="77777777" w:rsidR="008D479B" w:rsidRDefault="008D479B" w:rsidP="008D479B">
      <w:pPr>
        <w:pStyle w:val="TextoNormal"/>
      </w:pPr>
    </w:p>
    <w:p w14:paraId="68EE3C37" w14:textId="77777777" w:rsidR="008D479B" w:rsidRDefault="008D479B" w:rsidP="008D479B">
      <w:pPr>
        <w:pStyle w:val="TextoNormal"/>
      </w:pPr>
      <w:r>
        <w:t>En primer lugar, porque el precepto legal impugnado vulnera la autonomía financiera y política de las comunidades autónomas, garantizada por los arts. 2, 137, 156.1 y 157.3 CE, al neutralizar la defensa de los intereses respectivos en el ejercicio de las competencias propias. El art. 19.2 b) de la Ley Orgánica de financiación de las comunidades autónomas, que forma parte del bloque de la constitucionalidad, prevé que las comunidades autónomas puedan asumir las bonificaciones del impuesto sobre el patrimonio, y la Ley 22/2009 determina que se ceden a aquellas las competencias normativas en materia de bonificaciones de la cuota en el impuesto sobre el patrimonio. La “armonización” pretendida por la Ley 38/2022 con la creación del impuesto temporal de solidaridad de las grandes fortunas pretende neutralizar las bonificaciones en el impuesto sobre el patrimonio establecidas por algunas comunidades autónomas, sin seguir el procedimiento establecido para la modificación de las condiciones de cesión del impuesto sobre el patrimonio, que es un impuesto cedido, vulnerando así la autonomía política y financiera de estas, que comprende la opción de bonificar los tributos cedidos.</w:t>
      </w:r>
    </w:p>
    <w:p w14:paraId="217848D6" w14:textId="77777777" w:rsidR="008D479B" w:rsidRDefault="008D479B" w:rsidP="008D479B">
      <w:pPr>
        <w:pStyle w:val="TextoNormal"/>
      </w:pPr>
    </w:p>
    <w:p w14:paraId="0D272009" w14:textId="77777777" w:rsidR="008D479B" w:rsidRDefault="008D479B" w:rsidP="008D479B">
      <w:pPr>
        <w:pStyle w:val="TextoNormal"/>
      </w:pPr>
      <w:r>
        <w:t>En segundo lugar, porque la forma de aprobación de la iniciativa legislativa controvertida que ha dado lugar a la Ley 38/2022 supone un neto menosprecio al principio democrático, a los derechos de representación política de las minorías y al principio de legalidad tributaria. El precepto legal impugnado incurre en vulneración de los arts. 1.1, 23.2, 66.2 y 87.1 CE, al haberse introducido la regulación impugnada mediante enmienda que no guarda la conexión mínima de homogeneidad exigible con la proposición de ley que dio lugar a la Ley 38/2022, de 27 de diciembre. Es cierto que en las SSTC 209/2012, de 14 de noviembre, y 59/2015, de 18 de marzo, se desestimaron tachas similares, pero fue porque en aquellos casos las enmiendas creaban tributos y los proyectos de ley versaban sobre medidas tributarias. Por el contrario, en el presente caso, pese a lo afirmado en la sentencia de la que disentimos, no existe la conexión de objeto y materia constitucionalmente exigible (STC 136/2011, de 13 de septiembre, FJ 8) entre la enmienda que introdujo el impuesto temporal de solidaridad de las grandes fortunas y los gravámenes previstos en la iniciativa legislativa, que no tenían carácter tributario.</w:t>
      </w:r>
    </w:p>
    <w:p w14:paraId="1972A36F" w14:textId="77777777" w:rsidR="008D479B" w:rsidRDefault="008D479B" w:rsidP="008D479B">
      <w:pPr>
        <w:pStyle w:val="TextoNormal"/>
      </w:pPr>
    </w:p>
    <w:p w14:paraId="0D8C4E40" w14:textId="77777777" w:rsidR="008D479B" w:rsidRDefault="008D479B" w:rsidP="008D479B">
      <w:pPr>
        <w:pStyle w:val="TextoNormal"/>
      </w:pPr>
      <w:r>
        <w:t>Por último, porque el precepto impugnado vulnera el principio de seguridad jurídica, reconocido por el art. 9.3 CE, y la protección de la confianza legítima de los ciudadanos en la actuación de los poderes públicos que de él se deriva, por la sorpresiva aplicación del impuesto impugnado. Frente a lo afirmado por la sentencia de la que disentimos, resulta que, conforme a lo dispuesto en el art. 3 de la Ley 38/2022, de 27 de diciembre, el impuesto temporal de solidaridad de las grandes fortunas se aplica a todo el ejercicio 2022, casi agotado cuando entra en vigor dicha ley (el 29 de diciembre de 2022, día siguiente a su publicación en el “Boletín Oficial del Estado”), lo que ha impedido a los sujetos pasivos del impuesto ordenar sus relaciones económicas con tiempo suficiente. Además, la creación del nuevo impuesto no era previsible, ya que no se pudo conocer realmente como pronto hasta la publicación de la enmienda en el “Boletín Oficial de las Cortes Generales” el 18 de noviembre de 2022, lo que abunda en la infracción del principio constitucional de seguridad jurídica (por todas, STC 173/1996, de 31 de octubre, FJ 3).</w:t>
      </w:r>
    </w:p>
    <w:p w14:paraId="2E3037E5" w14:textId="77777777" w:rsidR="008D479B" w:rsidRDefault="008D479B" w:rsidP="008D479B">
      <w:pPr>
        <w:pStyle w:val="TextoNormal"/>
      </w:pPr>
    </w:p>
    <w:p w14:paraId="1AAA92DD" w14:textId="77777777" w:rsidR="008D479B" w:rsidRDefault="008D479B" w:rsidP="008D479B">
      <w:pPr>
        <w:pStyle w:val="TextoNormal"/>
      </w:pPr>
      <w:r>
        <w:t>En definitiva, ni toda razón política puede vestirse, sin más, de una legitimación constitucional, ni el poder financiero del Estado puede desconocer, so pretexto de ser soberano, el ámbito competencial propio de las comunidades autónomas, socavando de forma ilegítima su autonomía política constitucionalmente consagrada, ni, en fin, el poder público puede traicionar abiertamente las expectativas generadas en los ciudadanos de cara al cumplimiento de las obligaciones impuestas.</w:t>
      </w:r>
    </w:p>
    <w:p w14:paraId="17E12798" w14:textId="77777777" w:rsidR="008D479B" w:rsidRDefault="008D479B" w:rsidP="008D479B">
      <w:pPr>
        <w:pStyle w:val="TextoNormal"/>
      </w:pPr>
    </w:p>
    <w:p w14:paraId="7D96A9DB" w14:textId="33B8B9C7" w:rsidR="008D479B" w:rsidRDefault="008D479B" w:rsidP="008D479B">
      <w:pPr>
        <w:pStyle w:val="TextoNormal"/>
      </w:pPr>
      <w:r>
        <w:t>Madrid, a veintidós de noviembre de dos mil veintitrés.</w:t>
      </w:r>
    </w:p>
    <w:p w14:paraId="4FA7EA54" w14:textId="77D57E6A" w:rsidR="008D479B" w:rsidRDefault="008D479B">
      <w:pPr>
        <w:spacing w:after="160" w:line="278" w:lineRule="auto"/>
        <w:rPr>
          <w:rFonts w:ascii="Times New Roman" w:eastAsia="Times New Roman" w:hAnsi="Times New Roman" w:cs="Times New Roman"/>
          <w:sz w:val="24"/>
          <w:szCs w:val="24"/>
          <w:lang w:eastAsia="es-ES"/>
        </w:rPr>
      </w:pPr>
      <w:r>
        <w:br w:type="page"/>
      </w:r>
    </w:p>
    <w:p w14:paraId="06B1DFE6" w14:textId="77777777" w:rsidR="008D479B" w:rsidRDefault="008D479B" w:rsidP="008D479B">
      <w:pPr>
        <w:pStyle w:val="TtuloResolucin"/>
      </w:pPr>
      <w:bookmarkStart w:id="97" w:name="SENTENCIA_2023_172"/>
      <w:r>
        <w:t>SENTENCIA 172/2023, de 11 de diciembre de 2023</w:t>
      </w:r>
    </w:p>
    <w:bookmarkEnd w:id="97"/>
    <w:p w14:paraId="511D079E" w14:textId="77777777" w:rsidR="008D479B" w:rsidRDefault="008D479B" w:rsidP="008D479B">
      <w:pPr>
        <w:pStyle w:val="TtuloResolucin"/>
      </w:pPr>
      <w:r>
        <w:t>Sala Segunda</w:t>
      </w:r>
    </w:p>
    <w:p w14:paraId="4FB25316" w14:textId="77777777" w:rsidR="008D479B" w:rsidRDefault="008D479B" w:rsidP="008D479B">
      <w:pPr>
        <w:pStyle w:val="TtuloBOE"/>
      </w:pPr>
      <w:r>
        <w:t>(BOE núm. 16, de 18 de enero de 2024)</w:t>
      </w:r>
    </w:p>
    <w:p w14:paraId="294A68A6" w14:textId="77777777" w:rsidR="008D479B" w:rsidRDefault="008D479B" w:rsidP="008D479B">
      <w:pPr>
        <w:pStyle w:val="TextoNormalCentrado"/>
      </w:pPr>
      <w:r>
        <w:t>ECLI:ES:TC:2023:172</w:t>
      </w:r>
    </w:p>
    <w:p w14:paraId="7DFA6BBA" w14:textId="0B03BBDB" w:rsidR="008D479B" w:rsidRDefault="008D479B" w:rsidP="008D479B">
      <w:pPr>
        <w:pStyle w:val="TextoNormalCentrado"/>
      </w:pPr>
    </w:p>
    <w:p w14:paraId="12BA95A6" w14:textId="77777777" w:rsidR="008D479B" w:rsidRDefault="008D479B" w:rsidP="008D479B">
      <w:pPr>
        <w:pStyle w:val="SntesisDescriptiva"/>
      </w:pPr>
      <w:r>
        <w:t>Recurso de amparo 5479-2019. Promovido por don Salvador Fortea Canoves en relación con las resoluciones dictadas por la Audiencia Provincial de Valencia y un juzgado de primera instancia de esa capital en procedimiento hipotecario.</w:t>
      </w:r>
    </w:p>
    <w:p w14:paraId="38ECC8F5" w14:textId="6EE6438E" w:rsidR="008D479B" w:rsidRDefault="008D479B" w:rsidP="008D479B">
      <w:pPr>
        <w:pStyle w:val="SntesisDescriptiva"/>
      </w:pPr>
    </w:p>
    <w:p w14:paraId="38855A09" w14:textId="77777777" w:rsidR="008D479B" w:rsidRDefault="008D479B" w:rsidP="008D479B">
      <w:pPr>
        <w:pStyle w:val="SntesisAnaltica"/>
      </w:pPr>
      <w:r>
        <w:t>Vulneración del derecho a la tutela judicial efectiva (motivación): ausencia de control judicial de las cláusulas abusivas que ignora la primacía del Derecho de la Unión Europea, en los términos de la STC 31/2019 (STC 26/2023).</w:t>
      </w:r>
    </w:p>
    <w:p w14:paraId="0978E4CD" w14:textId="7DEE42CB" w:rsidR="008D479B" w:rsidRDefault="008D479B" w:rsidP="008D479B">
      <w:pPr>
        <w:pStyle w:val="SntesisAnaltica"/>
      </w:pPr>
    </w:p>
    <w:p w14:paraId="53414B28" w14:textId="43A3B4D3" w:rsidR="008D479B" w:rsidRDefault="008D479B" w:rsidP="008D479B">
      <w:pPr>
        <w:pStyle w:val="Extracto"/>
      </w:pPr>
      <w:r>
        <w:t>1.</w:t>
      </w:r>
      <w:r>
        <w:tab/>
        <w:t xml:space="preserve">Aplicación de la doctrina que insta a los órganos judiciales al control del eventual carácter abusivo del clausulado de los contratos de préstamo con garantía hipotecaria (STC 31/2019), en línea con lo dispuesto en la Directiva 93/13/CEE, del Consejo, de 5 de abril, sobre cláusulas abusivas en los contratos celebrados con consumidores, y en la STJUE de 26 de enero de 2017, Asunto Banco Primus, S.A. v. Jesús Gutiérrez García (asunto C-421/14)  [FFJJ 3 y 4]. </w:t>
      </w:r>
    </w:p>
    <w:p w14:paraId="5589B635" w14:textId="77777777" w:rsidR="008D479B" w:rsidRDefault="008D479B" w:rsidP="008D479B">
      <w:pPr>
        <w:pStyle w:val="Extracto"/>
      </w:pPr>
    </w:p>
    <w:p w14:paraId="25A8961E" w14:textId="77777777" w:rsidR="008D479B" w:rsidRDefault="008D479B" w:rsidP="008D479B">
      <w:pPr>
        <w:pStyle w:val="Extracto"/>
      </w:pPr>
    </w:p>
    <w:p w14:paraId="5C982380" w14:textId="77777777" w:rsidR="008D479B" w:rsidRDefault="008D479B" w:rsidP="008D479B">
      <w:pPr>
        <w:pStyle w:val="TextoNormal"/>
      </w:pPr>
      <w: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14:paraId="732F3E86" w14:textId="6E9EC929" w:rsidR="008D479B" w:rsidRDefault="008D479B" w:rsidP="008D479B">
      <w:pPr>
        <w:pStyle w:val="TextoNormal"/>
      </w:pPr>
    </w:p>
    <w:p w14:paraId="1D24AA01" w14:textId="77777777" w:rsidR="008D479B" w:rsidRDefault="008D479B" w:rsidP="008D479B">
      <w:pPr>
        <w:pStyle w:val="TextoNormalCentrado"/>
        <w:keepNext/>
      </w:pPr>
      <w:r>
        <w:t>EN NOMBRE DEL REY</w:t>
      </w:r>
    </w:p>
    <w:p w14:paraId="552103D7" w14:textId="6E9D21C0" w:rsidR="008D479B" w:rsidRDefault="008D479B" w:rsidP="008D479B">
      <w:pPr>
        <w:pStyle w:val="TextoNormalCentrado"/>
        <w:keepNext/>
      </w:pPr>
    </w:p>
    <w:p w14:paraId="2219C49B" w14:textId="77777777" w:rsidR="008D479B" w:rsidRDefault="008D479B" w:rsidP="008D479B">
      <w:pPr>
        <w:pStyle w:val="TextoNormalCentrado"/>
        <w:keepNext/>
      </w:pPr>
    </w:p>
    <w:p w14:paraId="7EC3AF0B" w14:textId="77777777" w:rsidR="008D479B" w:rsidRDefault="008D479B" w:rsidP="008D479B">
      <w:pPr>
        <w:pStyle w:val="TextoNormal"/>
      </w:pPr>
      <w:r>
        <w:t>la siguiente</w:t>
      </w:r>
    </w:p>
    <w:p w14:paraId="1262E475" w14:textId="76E30855" w:rsidR="008D479B" w:rsidRDefault="008D479B" w:rsidP="008D479B">
      <w:pPr>
        <w:pStyle w:val="TextoNormal"/>
      </w:pPr>
    </w:p>
    <w:p w14:paraId="7B63C313" w14:textId="77777777" w:rsidR="008D479B" w:rsidRDefault="008D479B" w:rsidP="008D479B">
      <w:pPr>
        <w:pStyle w:val="TextoNormalCentrado"/>
        <w:keepNext/>
      </w:pPr>
      <w:r>
        <w:t>SENTENCIA</w:t>
      </w:r>
    </w:p>
    <w:p w14:paraId="5A6FD5CF" w14:textId="0F6A4849" w:rsidR="008D479B" w:rsidRDefault="008D479B" w:rsidP="008D479B">
      <w:pPr>
        <w:pStyle w:val="TextoNormalCentrado"/>
        <w:keepNext/>
      </w:pPr>
    </w:p>
    <w:p w14:paraId="7FB07B61" w14:textId="77777777" w:rsidR="008D479B" w:rsidRDefault="008D479B" w:rsidP="008D479B">
      <w:pPr>
        <w:pStyle w:val="TextoNormal"/>
      </w:pPr>
      <w:r>
        <w:t>En el recurso de amparo núm. 5479-2019, promovido por don Salvador Fortea Canoves, contra el auto 253/2019, de 16 de julio, de la Audiencia Provincial de Valencia, que desestima el recurso de apelación interpuesto contra el auto 520/2018, de 3 de septiembre de 2018, dictado por el Juzgado de Primera Instancia núm. 25 bis de Valencia. Ha comparecido y formulado alegaciones CaixaBank, S.A. Ha intervenido el Ministerio Fiscal. Ha sido ponente el magistrado don César Tolosa Tribiño.</w:t>
      </w:r>
    </w:p>
    <w:p w14:paraId="44C3BFDD" w14:textId="4DC7A923" w:rsidR="008D479B" w:rsidRDefault="008D479B" w:rsidP="008D479B">
      <w:pPr>
        <w:pStyle w:val="TextoNormal"/>
      </w:pPr>
    </w:p>
    <w:p w14:paraId="02229DE1" w14:textId="77777777" w:rsidR="008D479B" w:rsidRDefault="008D479B" w:rsidP="008D479B">
      <w:pPr>
        <w:pStyle w:val="TextoNormalNegritaCentrado"/>
        <w:keepNext/>
      </w:pPr>
      <w:r>
        <w:t>I. Antecedentes</w:t>
      </w:r>
    </w:p>
    <w:p w14:paraId="58BCF5D1" w14:textId="642F3574" w:rsidR="008D479B" w:rsidRDefault="008D479B" w:rsidP="008D479B">
      <w:pPr>
        <w:pStyle w:val="TextoNormalNegritaCentrado"/>
        <w:keepNext/>
      </w:pPr>
    </w:p>
    <w:p w14:paraId="44E8C3E4" w14:textId="6479ED14" w:rsidR="008D479B" w:rsidRDefault="008D479B" w:rsidP="008D479B">
      <w:pPr>
        <w:pStyle w:val="TextoNormal"/>
      </w:pPr>
      <w:r w:rsidRPr="008D479B">
        <w:rPr>
          <w:rStyle w:val="NumeroAFNegritaCaracter"/>
        </w:rPr>
        <w:t>1</w:t>
      </w:r>
      <w:r>
        <w:t>. Mediante escrito registrado en este tribunal el día 26 de septiembre de 2019, el procurador de los tribunales don Federico Pinilla Romeo, en nombre y representación de don Salvador Fortea Canoves, defendido por el letrado don Luis Ferri Burguera, interpuso recurso de amparo contra la resolución judicial que se cita en el encabezamiento, por vulneración del derecho a la tutela judicial efectiva (art. 24 CE).</w:t>
      </w:r>
    </w:p>
    <w:p w14:paraId="05D95AAE" w14:textId="77777777" w:rsidR="008D479B" w:rsidRDefault="008D479B" w:rsidP="008D479B">
      <w:pPr>
        <w:pStyle w:val="TextoNormal"/>
      </w:pPr>
    </w:p>
    <w:p w14:paraId="7AD8ABAE" w14:textId="77777777" w:rsidR="008D479B" w:rsidRDefault="008D479B" w:rsidP="008D479B">
      <w:pPr>
        <w:pStyle w:val="TextoNormal"/>
      </w:pPr>
      <w:r w:rsidRPr="008D479B">
        <w:rPr>
          <w:rStyle w:val="NumeroAFNegritaCaracter"/>
        </w:rPr>
        <w:t>2</w:t>
      </w:r>
      <w:r>
        <w:t>. Los hechos relevantes para resolver el recurso de amparo interpuesto, son los siguientes:</w:t>
      </w:r>
    </w:p>
    <w:p w14:paraId="4504F840" w14:textId="77777777" w:rsidR="008D479B" w:rsidRDefault="008D479B" w:rsidP="008D479B">
      <w:pPr>
        <w:pStyle w:val="TextoNormal"/>
      </w:pPr>
    </w:p>
    <w:p w14:paraId="07F7707B" w14:textId="77777777" w:rsidR="008D479B" w:rsidRDefault="008D479B" w:rsidP="008D479B">
      <w:pPr>
        <w:pStyle w:val="TextoNormal"/>
      </w:pPr>
      <w:r>
        <w:t>a) La entidad bancaria CaixaBank, S.A., presentó demanda de ejecución hipotecaria contra don Salvador Fortea Canoves, deudor hipotecario, en relación con el préstamo hipotecario solicitado para la adquisición de su vivienda habitual, que se elevó a escritura pública el 6 de abril de 2006. Dicha demanda correspondió al Juzgado de Primera Instancia e Instrucción núm. 5 de Catarroja, que la tramitó con el núm. 596-2013.</w:t>
      </w:r>
    </w:p>
    <w:p w14:paraId="15B845CC" w14:textId="77777777" w:rsidR="008D479B" w:rsidRDefault="008D479B" w:rsidP="008D479B">
      <w:pPr>
        <w:pStyle w:val="TextoNormal"/>
      </w:pPr>
    </w:p>
    <w:p w14:paraId="7E0B385F" w14:textId="77777777" w:rsidR="008D479B" w:rsidRDefault="008D479B" w:rsidP="008D479B">
      <w:pPr>
        <w:pStyle w:val="TextoNormal"/>
      </w:pPr>
      <w:r>
        <w:t>b) Por auto de 30 de septiembre de 2013, el juzgado despachó ejecución y se requirió de pago al ejecutado.</w:t>
      </w:r>
    </w:p>
    <w:p w14:paraId="03FCBAC0" w14:textId="77777777" w:rsidR="008D479B" w:rsidRDefault="008D479B" w:rsidP="008D479B">
      <w:pPr>
        <w:pStyle w:val="TextoNormal"/>
      </w:pPr>
    </w:p>
    <w:p w14:paraId="4FE64FD8" w14:textId="77777777" w:rsidR="008D479B" w:rsidRDefault="008D479B" w:rsidP="008D479B">
      <w:pPr>
        <w:pStyle w:val="TextoNormal"/>
      </w:pPr>
      <w:r>
        <w:t>c) Don Salvador Fortea Canoves se opuso mediante escrito presentado el 15 de octubre de 2013 al despacho de la ejecución, alegando la falta de la previa notificación de la liquidación del saldo deudor, y la existencia de cláusulas abusivas en la escritura de hipoteca, en particular, la cláusula de interés de demora, y la cláusula referente a la cantidad por la que responde la finca en concepto de costas. El tribunal resolvió la oposición por auto de 22 de mayo de 2014, y la estimó parcialmente en el sentido de limitar las costas al 5 por 100 de la cantidad reclamada.</w:t>
      </w:r>
    </w:p>
    <w:p w14:paraId="65508F21" w14:textId="77777777" w:rsidR="008D479B" w:rsidRDefault="008D479B" w:rsidP="008D479B">
      <w:pPr>
        <w:pStyle w:val="TextoNormal"/>
      </w:pPr>
    </w:p>
    <w:p w14:paraId="59CFB90E" w14:textId="77777777" w:rsidR="008D479B" w:rsidRDefault="008D479B" w:rsidP="008D479B">
      <w:pPr>
        <w:pStyle w:val="TextoNormal"/>
      </w:pPr>
      <w:r>
        <w:t>d) El 8 de junio de 2015, seguidos los trámites pertinentes, se acordó anunciar la venta en pública subasta de la vivienda, señalando para ello el día 22 de septiembre de 2015.</w:t>
      </w:r>
    </w:p>
    <w:p w14:paraId="0D7129B2" w14:textId="77777777" w:rsidR="008D479B" w:rsidRDefault="008D479B" w:rsidP="008D479B">
      <w:pPr>
        <w:pStyle w:val="TextoNormal"/>
      </w:pPr>
    </w:p>
    <w:p w14:paraId="73957372" w14:textId="77777777" w:rsidR="008D479B" w:rsidRDefault="008D479B" w:rsidP="008D479B">
      <w:pPr>
        <w:pStyle w:val="TextoNormal"/>
      </w:pPr>
      <w:r>
        <w:t xml:space="preserve">e) Estando pendiente la celebración de la subasta, el juzgado acuerda por diligencia de ordenación de 3 de septiembre de 2015 oír a las partes por diez días para que se pronuncien sobre el carácter abusivo de la cláusula de vencimiento anticipado. Tras dicha audiencia, por auto núm. 436/2015, de 30 de noviembre, declara abusiva la cláusula 6 </w:t>
      </w:r>
      <w:r w:rsidRPr="008D479B">
        <w:rPr>
          <w:i/>
        </w:rPr>
        <w:t>bis</w:t>
      </w:r>
      <w:r>
        <w:t xml:space="preserve"> del contrato de préstamo hipotecario, que prevé el vencimiento anticipado del préstamo en caso de retraso en el pago de cuotas, y acuerda sobreseer y archivar la ejecución hipotecaria. Dicha declaración de abusividad se apoya en las resoluciones dictadas por la Audiencia Provincial de Valencia, rollos de apelación 249-2015, 324-2015 y 343-2015, de 14 de julio, en las que se fundamenta que la cláusula en abstracto es nula, puesto que el mero impago, aun parcial, por capital o intereses, faculta al vencimiento anticipado de todo el préstamo, aunque se haya ajustado el ejercicio del derecho a la norma legal hoy vigente.</w:t>
      </w:r>
    </w:p>
    <w:p w14:paraId="50AA9CEB" w14:textId="77777777" w:rsidR="008D479B" w:rsidRDefault="008D479B" w:rsidP="008D479B">
      <w:pPr>
        <w:pStyle w:val="TextoNormal"/>
      </w:pPr>
    </w:p>
    <w:p w14:paraId="7813D25A" w14:textId="77777777" w:rsidR="008D479B" w:rsidRDefault="008D479B" w:rsidP="008D479B">
      <w:pPr>
        <w:pStyle w:val="TextoNormal"/>
      </w:pPr>
      <w:r>
        <w:t>f) La entidad bancaria CaixaBank, S.A., interpuso recurso de apelación contra el auto núm. 436/2015 ante la Audiencia Provincial de Valencia, que fue estimado por auto núm. 1008/2016, de 21 de junio, revocando la decisión de sobreseimiento de la ejecución adoptada por el Juzgado de Primera Instancia núm. 5 de Catarroja, y acordando, en su lugar, que continúe la ejecución despachada en el trámite que se encontraba antes de dictarse la diligencia de ordenación de 3 de septiembre de 2015, lo que supondría volver a señalar fecha para la celebración de subasta.</w:t>
      </w:r>
    </w:p>
    <w:p w14:paraId="79ECF601" w14:textId="77777777" w:rsidR="008D479B" w:rsidRDefault="008D479B" w:rsidP="008D479B">
      <w:pPr>
        <w:pStyle w:val="TextoNormal"/>
      </w:pPr>
    </w:p>
    <w:p w14:paraId="77CF77B5" w14:textId="77777777" w:rsidR="008D479B" w:rsidRDefault="008D479B" w:rsidP="008D479B">
      <w:pPr>
        <w:pStyle w:val="TextoNormal"/>
      </w:pPr>
      <w:r>
        <w:t xml:space="preserve">La audiencia provincial fundamenta que, en atención a los arts. 136, 207.3 y 4, y 691 de la Ley 1/2000, de 7 de enero, de enjuiciamiento civil (LEC) “cuando el juez declara la nulidad de la cláusula había precluido procesalmente la posibilidad de examinar el carácter abusivo de las cláusulas del contrato”. Explica que acordada la celebración de la subasta ya no se contempla un trámite para pronunciarse sobre la abusividad de la cláusula contractual de vencimiento anticipado, y que el supuesto es distinto al examinado en la STJUE de 26 de enero de 2017, asunto </w:t>
      </w:r>
      <w:r w:rsidRPr="008D479B">
        <w:rPr>
          <w:i/>
        </w:rPr>
        <w:t>Banco Primus, S.A., c. Jesús Gutiérrez García</w:t>
      </w:r>
      <w:r>
        <w:t xml:space="preserve"> (C-421/14) porque en dicho asunto “hay un incidente de oposición a la ejecución, por lo que el juez debe intervenir para resolver; mientras que en el caso que ahora se enjuicia el procedimiento se encuentra en un estado en el que el tribunal no debía intervenir, sino que era el secretario quien debía resolver”. Tampoco considera aplicable el criterio adoptado en la jornada de unificación de criterios de las secciones civiles de la Audiencia Provincial de Valencia, de 18 de junio de 2015, remitiendo al criterio legal de la disposición transitoria cuarta de la Ley 1/2013, de 14 de mayo, de medidas para reforzar la protección de los deudores hipotecarios, reestructuración de deuda y alquiler social (en adelante, Ley 1/2013) dado que se trata de un procedimiento de ejecución hipotecaria iniciado con posterioridad a la entrada en vigor de la Ley 1/2013, en el que el tribunal primero, y la parte ejecutada después, pueden plantear la existencia de cláusulas abusivas, por lo que no tiene sentido su planteamiento cuando no se hizo al despachar la ejecución ni al resolver el incidente de oposición a la misma. Ello supondría una quiebra de la seguridad jurídica.</w:t>
      </w:r>
    </w:p>
    <w:p w14:paraId="70B156AF" w14:textId="77777777" w:rsidR="008D479B" w:rsidRDefault="008D479B" w:rsidP="008D479B">
      <w:pPr>
        <w:pStyle w:val="TextoNormal"/>
      </w:pPr>
    </w:p>
    <w:p w14:paraId="646705FA" w14:textId="77777777" w:rsidR="008D479B" w:rsidRDefault="008D479B" w:rsidP="008D479B">
      <w:pPr>
        <w:pStyle w:val="TextoNormal"/>
      </w:pPr>
      <w:r>
        <w:t>g) La subasta se celebró en el portal de subastas electrónicas del Ministerio de Justicia, y por decreto de 11 de julio de 2017 se aprobó el remate a favor del mejor postor, requiriéndole para consignar en el tribunal la diferencia entre lo depositado y el precio total del remate.</w:t>
      </w:r>
    </w:p>
    <w:p w14:paraId="158D434A" w14:textId="77777777" w:rsidR="008D479B" w:rsidRDefault="008D479B" w:rsidP="008D479B">
      <w:pPr>
        <w:pStyle w:val="TextoNormal"/>
      </w:pPr>
    </w:p>
    <w:p w14:paraId="243C6E32" w14:textId="77777777" w:rsidR="008D479B" w:rsidRDefault="008D479B" w:rsidP="008D479B">
      <w:pPr>
        <w:pStyle w:val="TextoNormal"/>
      </w:pPr>
      <w:r>
        <w:t xml:space="preserve">h) El 17 de octubre de 2017, don Salvador Fortea Canoves formuló demanda de juicio ordinario ante el Juzgado de Primera Instancia núm. 25 </w:t>
      </w:r>
      <w:r w:rsidRPr="008D479B">
        <w:rPr>
          <w:i/>
        </w:rPr>
        <w:t>bis</w:t>
      </w:r>
      <w:r>
        <w:t xml:space="preserve"> de Valencia, instando la declaración de nulidad de la cláusula de vencimiento anticipado por abusiva, la nulidad radical del procedimiento de ejecución hipotecaria núm. 569-2013, seguido ante el Juzgado de Primera Instancia núm. 5 de Catarroja, y la devolución de las cosas a su estado anterior.</w:t>
      </w:r>
    </w:p>
    <w:p w14:paraId="1809DAF8" w14:textId="77777777" w:rsidR="008D479B" w:rsidRDefault="008D479B" w:rsidP="008D479B">
      <w:pPr>
        <w:pStyle w:val="TextoNormal"/>
      </w:pPr>
    </w:p>
    <w:p w14:paraId="1DDE439E" w14:textId="77777777" w:rsidR="008D479B" w:rsidRDefault="008D479B" w:rsidP="008D479B">
      <w:pPr>
        <w:pStyle w:val="TextoNormal"/>
      </w:pPr>
      <w:r>
        <w:t xml:space="preserve">i) Dicha demanda se admite por auto de 15 de noviembre de 2017, dictado por el Juzgado de Primera Instancia número 25 </w:t>
      </w:r>
      <w:r w:rsidRPr="008D479B">
        <w:rPr>
          <w:i/>
        </w:rPr>
        <w:t>bis</w:t>
      </w:r>
      <w:r>
        <w:t xml:space="preserve"> de Valencia, el cual, el 9 de enero de 2018, dicta auto acordando la adopción de la medida cautelar de anotación preventiva de la demanda solicitada por la actora.</w:t>
      </w:r>
    </w:p>
    <w:p w14:paraId="67A166E5" w14:textId="77777777" w:rsidR="008D479B" w:rsidRDefault="008D479B" w:rsidP="008D479B">
      <w:pPr>
        <w:pStyle w:val="TextoNormal"/>
      </w:pPr>
    </w:p>
    <w:p w14:paraId="55823049" w14:textId="77777777" w:rsidR="008D479B" w:rsidRDefault="008D479B" w:rsidP="008D479B">
      <w:pPr>
        <w:pStyle w:val="TextoNormal"/>
      </w:pPr>
      <w:r>
        <w:t>j) Mediante escrito presentado el 8 de enero de 2018 la entidad CaixaBank, S.A., se opuso a la acción ejercitada alegando la excepción de cosa juzgada, en la medida en que la acción de nulidad de la cláusula de vencimiento anticipado debió formularse ante el juzgado de primera instancia que conoce de la ejecución hipotecaria. En la audiencia previa el recurrente manifestó que no existía resolución firme en el procedimiento de ejecución hipotecaria y que el auto de la Audiencia Provincial de Valencia no entra en el fondo del asunto, sino que se limita a indicar que el sobreseimiento acordado en el auto dictado por el Juzgado de Primera Instancia núm. 5 de Catarroja es extemporáneo.</w:t>
      </w:r>
    </w:p>
    <w:p w14:paraId="0E6DAA0D" w14:textId="77777777" w:rsidR="008D479B" w:rsidRDefault="008D479B" w:rsidP="008D479B">
      <w:pPr>
        <w:pStyle w:val="TextoNormal"/>
      </w:pPr>
    </w:p>
    <w:p w14:paraId="1972BC76" w14:textId="77777777" w:rsidR="008D479B" w:rsidRDefault="008D479B" w:rsidP="008D479B">
      <w:pPr>
        <w:pStyle w:val="TextoNormal"/>
      </w:pPr>
      <w:r>
        <w:t xml:space="preserve">k) El Juzgado de Primera Instancia núm. 25 </w:t>
      </w:r>
      <w:r w:rsidRPr="008D479B">
        <w:rPr>
          <w:i/>
        </w:rPr>
        <w:t>bis</w:t>
      </w:r>
      <w:r>
        <w:t xml:space="preserve"> de Valencia dictó auto 520/2018, de 3 de septiembre de 2018, estimando la excepción de cosa juzgada y acordando el sobreseimiento del procedimiento. El auto incide en que el procedimiento de ejecución hipotecaria se inicia con posterioridad a la reforma operada por la Ley 1/2013, por lo que el tribunal, al despachar la ejecución, pudo y debió examinar el contrato, y el ejecutado tras ser requerido de pago pudo formular oposición alegando el carácter abusivo de las cláusulas; que la Ley de enjuiciamiento civil (LEC) no prevé trámite alguno para que el tribunal pueda volver a revisar, acordada la subasta, su decisión sobre la existencia o no de cláusulas abusivas, y a ello también se oponen los arts. 136, 207.3 y 4 LEC.</w:t>
      </w:r>
    </w:p>
    <w:p w14:paraId="6B381BA6" w14:textId="77777777" w:rsidR="008D479B" w:rsidRDefault="008D479B" w:rsidP="008D479B">
      <w:pPr>
        <w:pStyle w:val="TextoNormal"/>
      </w:pPr>
    </w:p>
    <w:p w14:paraId="56ECEA75" w14:textId="77777777" w:rsidR="008D479B" w:rsidRDefault="008D479B" w:rsidP="008D479B">
      <w:pPr>
        <w:pStyle w:val="TextoNormal"/>
      </w:pPr>
      <w:r>
        <w:t>l) Mediante escrito registrado el 15 de noviembre de 2018 don Salvador Fortea Canoves interpuso recurso de apelación solicitando que se declare la no concurrencia de cosa juzgada y se devuelva el procedimiento al juzgado de primera instancia para que, entrando en el fondo del asunto, se dicte sentencia decidiendo sobre la validez o nulidad de la cláusula de vencimiento anticipado. En dicho recurso denuncia que la interpretación de las normas jurídicas y la aplicación hecha del derecho, aplicando indebidamente lo establecido en los arts. 136, 207.3 y 4 LEC infringen lo establecido en el art. 24.1 CE generando indefensión, el art. 1.1 de la Directiva 93/13/CEE del Consejo, de 5 de abril de 1993, sobre las cláusulas abusivas en los contratos celebrados con consumidores (Directiva 93/13) así como la normativa emanada de la jurisprudencia del Tribunal de Justicia de la Unión Europea y del Tribunal Supremo.</w:t>
      </w:r>
    </w:p>
    <w:p w14:paraId="37A607EF" w14:textId="77777777" w:rsidR="008D479B" w:rsidRDefault="008D479B" w:rsidP="008D479B">
      <w:pPr>
        <w:pStyle w:val="TextoNormal"/>
      </w:pPr>
    </w:p>
    <w:p w14:paraId="0025EE4D" w14:textId="77777777" w:rsidR="008D479B" w:rsidRDefault="008D479B" w:rsidP="008D479B">
      <w:pPr>
        <w:pStyle w:val="TextoNormal"/>
      </w:pPr>
      <w:r>
        <w:t>Por un lado, denuncia como errónea la apreciación de la existencia de cosa juzgada, con fundamento en que se dejó precluir el plazo para formular declaración alguna sobre la abusividad en la ejecución hipotecaria, dado que el Derecho de la Unión, y el principio de primacía, obligan al juzgador a realizar un control de oficio sobre la abusividad de las cláusulas del préstamo hipotecario que se ejecuta, en cualquier momento del procedimiento antes de su finalización, y aunque no se haya alegado por las partes.</w:t>
      </w:r>
    </w:p>
    <w:p w14:paraId="3D528A9F" w14:textId="77777777" w:rsidR="008D479B" w:rsidRDefault="008D479B" w:rsidP="008D479B">
      <w:pPr>
        <w:pStyle w:val="TextoNormal"/>
      </w:pPr>
    </w:p>
    <w:p w14:paraId="4E3970EF" w14:textId="77777777" w:rsidR="008D479B" w:rsidRDefault="008D479B" w:rsidP="008D479B">
      <w:pPr>
        <w:pStyle w:val="TextoNormal"/>
      </w:pPr>
      <w:r>
        <w:t>Por otro lado, manifiesta que el control de la abusividad de la cláusula de vencimiento anticipado no se efectuó en dicho procedimiento, y que, dado que la audiencia provincial anuló el pronunciamiento del juzgado, por considerarlo extemporáneo: “[n]o ha existido una decisión de fondo, motivada, que resuelva la controversia sometida al juzgador del procedimiento hipotecario al respecto de la nulidad o validez de la cláusula de vencimiento anticipado del préstamo ejecutado”. Explica que la tutela efectiva supone un derecho a obtener una decisión de fondo sobre la nulidad de dicha cláusula.</w:t>
      </w:r>
    </w:p>
    <w:p w14:paraId="16634E3F" w14:textId="77777777" w:rsidR="008D479B" w:rsidRDefault="008D479B" w:rsidP="008D479B">
      <w:pPr>
        <w:pStyle w:val="TextoNormal"/>
      </w:pPr>
    </w:p>
    <w:p w14:paraId="51C7168F" w14:textId="77777777" w:rsidR="008D479B" w:rsidRDefault="008D479B" w:rsidP="008D479B">
      <w:pPr>
        <w:pStyle w:val="TextoNormal"/>
      </w:pPr>
      <w:r>
        <w:t>m) La Audiencia Provincial de Valencia dictó auto núm. 253/2019, de 16 de julio, desestimando el recurso de apelación interpuesto, y confirmando la existencia de cosa juzgada.</w:t>
      </w:r>
    </w:p>
    <w:p w14:paraId="2AFE824B" w14:textId="77777777" w:rsidR="008D479B" w:rsidRDefault="008D479B" w:rsidP="008D479B">
      <w:pPr>
        <w:pStyle w:val="TextoNormal"/>
      </w:pPr>
    </w:p>
    <w:p w14:paraId="32C488CE" w14:textId="77777777" w:rsidR="008D479B" w:rsidRDefault="008D479B" w:rsidP="008D479B">
      <w:pPr>
        <w:pStyle w:val="TextoNormal"/>
      </w:pPr>
      <w:r>
        <w:t xml:space="preserve">La Audiencia atiende a la importancia que el principio de cosa juzgada tiene en la jurisprudencia del Tribunal de Justicia, que no obliga a un órgano jurisdiccional nacional a dejar sin aplicación las normas procesales internas que confieren cosa juzgada a una resolución, aunque ello permitiera subsanar una vulneración de una disposición del Derecho de la Unión, con cita, entre otras, de las SSTJUE de 21 de diciembre de 2016, asunto Gutiérrez Naranjo y otros (C-154/15, C-307/15 y C-308/15), y </w:t>
      </w:r>
      <w:r w:rsidRPr="008D479B">
        <w:rPr>
          <w:i/>
        </w:rPr>
        <w:t>Banco Primus</w:t>
      </w:r>
      <w:r>
        <w:t>. Y concluye que, en atención a la jurisprudencia del Tribunal Supremo contenida en las sentencias núm. 1028/2006 de 10 de octubre, 462/2014, de 24 de noviembre, y 526/2017 de 27 de noviembre, resulta improcedente la apreciación de la cosa juzgada cuando en el proceso ejecutivo previo no había posibilidad procesal para oponer la abusividad de las cláusulas contractuales que se aduce en el declarativo posterior.</w:t>
      </w:r>
    </w:p>
    <w:p w14:paraId="62B66E09" w14:textId="77777777" w:rsidR="008D479B" w:rsidRDefault="008D479B" w:rsidP="008D479B">
      <w:pPr>
        <w:pStyle w:val="TextoNormal"/>
      </w:pPr>
    </w:p>
    <w:p w14:paraId="6ECCE464" w14:textId="77777777" w:rsidR="008D479B" w:rsidRDefault="008D479B" w:rsidP="008D479B">
      <w:pPr>
        <w:pStyle w:val="TextoNormal"/>
      </w:pPr>
      <w:r>
        <w:t>Concluye que “como, en este caso, pudo alegarse en el proceso de ejecución que la cláusula de vencimiento anticipado del contrato era nula por abusiva; e incluso pudo el tribunal de primera instancia examinar, de oficio, otras cláusulas no alegadas con ocasión del examen previo a despachar ejecución o con ocasión del incidente de oposición a la ejecución; debe aplicarse la doctrina tradicional del Tribunal Supremo reflejada en las sentencias antes citadas, y concluir que la apreciación de cosa juzgada que hizo el juzgado de primera instancia fue correcta”.</w:t>
      </w:r>
    </w:p>
    <w:p w14:paraId="77042FE6" w14:textId="77777777" w:rsidR="008D479B" w:rsidRDefault="008D479B" w:rsidP="008D479B">
      <w:pPr>
        <w:pStyle w:val="TextoNormal"/>
      </w:pPr>
    </w:p>
    <w:p w14:paraId="70C31233" w14:textId="2AD08056" w:rsidR="008D479B" w:rsidRDefault="008D479B" w:rsidP="008D479B">
      <w:pPr>
        <w:pStyle w:val="TextoNormal"/>
      </w:pPr>
      <w:r>
        <w:t xml:space="preserve">Por último, señala que existe otra razón para confirmar la decisión del juzgado de primera instancia y que proviene de la jurisprudencia del Tribunal de Justicia, dado que el proceso de ejecución hipotecaria ya finalizó con subasta de la finca hipotecada y adjudicación de la misma, con cita de la STJUE de 7 de diciembre de 2017, asunto </w:t>
      </w:r>
      <w:r w:rsidRPr="008D479B">
        <w:rPr>
          <w:i/>
        </w:rPr>
        <w:t>Banco Santander, S.A., c. Cristobalina Sánchez López</w:t>
      </w:r>
      <w:r>
        <w:t xml:space="preserve"> (C-598/15).</w:t>
      </w:r>
    </w:p>
    <w:p w14:paraId="4F30DCE2" w14:textId="77777777" w:rsidR="008D479B" w:rsidRDefault="008D479B" w:rsidP="008D479B">
      <w:pPr>
        <w:pStyle w:val="TextoNormal"/>
      </w:pPr>
    </w:p>
    <w:p w14:paraId="4C912D29" w14:textId="77777777" w:rsidR="008D479B" w:rsidRDefault="008D479B" w:rsidP="008D479B">
      <w:pPr>
        <w:pStyle w:val="TextoNormal"/>
      </w:pPr>
      <w:r w:rsidRPr="008D479B">
        <w:rPr>
          <w:rStyle w:val="NumeroAFNegritaCaracter"/>
        </w:rPr>
        <w:t>3</w:t>
      </w:r>
      <w:r>
        <w:t>. En la demanda de amparo el recurrente denuncia que el auto núm. 253/2019, de 16 de julio, dictado por la Audiencia Provincial infringe su derecho a la tutela judicial efectiva sin indefensión (art. 24.1 CE), y solicita su declaración de nulidad, así como la retroacción de todas las actuaciones al momento procesal previo a su dictado para que la audiencia provincial dicte una resolución de fondo sobre el posible carácter abusivo de la cláusula de vencimiento anticipado.</w:t>
      </w:r>
    </w:p>
    <w:p w14:paraId="23AD8550" w14:textId="77777777" w:rsidR="008D479B" w:rsidRDefault="008D479B" w:rsidP="008D479B">
      <w:pPr>
        <w:pStyle w:val="TextoNormal"/>
      </w:pPr>
    </w:p>
    <w:p w14:paraId="1653470E" w14:textId="77777777" w:rsidR="008D479B" w:rsidRDefault="008D479B" w:rsidP="008D479B">
      <w:pPr>
        <w:pStyle w:val="TextoNormal"/>
      </w:pPr>
      <w:r>
        <w:t>a) La demanda comienza explicando los antecedentes fácticos del recurso, distinguiendo entre los hechos acontecidos en el previo procedimiento de ejecución hipotecaria, y los acontecidos en el posterior procedimiento ordinario núm. 4317-2017.</w:t>
      </w:r>
    </w:p>
    <w:p w14:paraId="1DB4FFB2" w14:textId="77777777" w:rsidR="008D479B" w:rsidRDefault="008D479B" w:rsidP="008D479B">
      <w:pPr>
        <w:pStyle w:val="TextoNormal"/>
      </w:pPr>
    </w:p>
    <w:p w14:paraId="33D756DB" w14:textId="77777777" w:rsidR="008D479B" w:rsidRDefault="008D479B" w:rsidP="008D479B">
      <w:pPr>
        <w:pStyle w:val="TextoNormal"/>
      </w:pPr>
      <w:r>
        <w:t>Respecto a los antecedentes relativos al procedimiento de ejecución hipotecaria, al que antes hemos hecho referencia, resalta que este finalizó con la subasta y adjudicación de la vivienda a una tercera persona con el cobro por parte de la entidad bancaria de la suma del remate, de modo que “terminada y fenecida ya cualquier acción que pudiere emprenderse en el procedimiento de ejecución hipotecaria, por no caber ya más recursos ni incidentes de nulidad oponibles” formuló demanda en juicio ordinario para la declaración de nulidad de la cláusula de vencimiento anticipado.</w:t>
      </w:r>
    </w:p>
    <w:p w14:paraId="16786FD7" w14:textId="77777777" w:rsidR="008D479B" w:rsidRDefault="008D479B" w:rsidP="008D479B">
      <w:pPr>
        <w:pStyle w:val="TextoNormal"/>
      </w:pPr>
    </w:p>
    <w:p w14:paraId="7524B73C" w14:textId="77777777" w:rsidR="008D479B" w:rsidRDefault="008D479B" w:rsidP="008D479B">
      <w:pPr>
        <w:pStyle w:val="TextoNormal"/>
      </w:pPr>
      <w:r>
        <w:t>b) A continuación, dedica un apartado a los antecedentes jurídicos, en el que identifica las normas y las sentencias que han sido debatidas en las distintas instancias judiciales. En particular, explica que la obligatoriedad de los jueces de examinar, incluso de oficio, la validez de las cláusulas contractuales en los contratos de adhesión resulta de la Directiva 93/13 y de la jurisprudencia del tribunal de justicia que la interpreta, así como de la jurisprudencia del Tribunal Supremo, y, en particular, de la STC 31/2019, de 28 de febrero.</w:t>
      </w:r>
    </w:p>
    <w:p w14:paraId="53C98574" w14:textId="77777777" w:rsidR="008D479B" w:rsidRDefault="008D479B" w:rsidP="008D479B">
      <w:pPr>
        <w:pStyle w:val="TextoNormal"/>
      </w:pPr>
    </w:p>
    <w:p w14:paraId="1B510797" w14:textId="77777777" w:rsidR="008D479B" w:rsidRDefault="008D479B" w:rsidP="008D479B">
      <w:pPr>
        <w:pStyle w:val="TextoNormal"/>
      </w:pPr>
      <w:r>
        <w:t xml:space="preserve">En relación con la sentencia de la Sala Primera del Tribunal Supremo de 27 de septiembre de 2017, núm. 526/2017, dictada en el recurso 392-2015, y en la que se apoya el auto recurrido en amparo, explica que lo que el Tribunal Supremo concluye es la improcedencia de la apreciación de la cosa juzgada cuando en el proceso ejecutivo previo no había posibilidad procesal para oponer la abusividad de las cláusulas contractuales que se aduce en el declarativo posterior. Y es precisamente lo que habría acontecido, porque en la oposición a la ejecución no se pudo oponer el carácter abusivo de la cláusula de vencimiento anticipado —sostiene que no se pudo oponer hasta que el Tribunal de Justicia dictó el auto de 11 de junio de 2015, asunto </w:t>
      </w:r>
      <w:r w:rsidRPr="008D479B">
        <w:rPr>
          <w:i/>
        </w:rPr>
        <w:t>Banco Bilbao Vizcaya Argentaria</w:t>
      </w:r>
      <w:r>
        <w:t xml:space="preserve"> (C-602/13)— y no ha existido ningún control de fondo, sobre dicho carácter abusivo, por parte de los órganos judiciales correspondientes.</w:t>
      </w:r>
    </w:p>
    <w:p w14:paraId="35193B91" w14:textId="77777777" w:rsidR="008D479B" w:rsidRDefault="008D479B" w:rsidP="008D479B">
      <w:pPr>
        <w:pStyle w:val="TextoNormal"/>
      </w:pPr>
    </w:p>
    <w:p w14:paraId="0D8D61AE" w14:textId="77777777" w:rsidR="008D479B" w:rsidRDefault="008D479B" w:rsidP="008D479B">
      <w:pPr>
        <w:pStyle w:val="TextoNormal"/>
      </w:pPr>
      <w:r>
        <w:t>c) Expuestos estos antecedentes precisa que el derecho que se considera vulnerado es el reconocido en el art. 24.1 CE, relacionado en este caso con el derecho a la vivienda reconocido en el art. 47 CE, con el principio de primacía del Derecho de la Unión Europea reconocido en los arts. 10.2 y 96.1 CE, y la protección de los consumidores reconocido en el art. 51.1 CE y en la Directiva 93/13/CEE, derecho que fue invocado tan pronto como hubo ocasión para ello. También justifica que se ha agotado la vía judicial dado que el auto 253/19 no es susceptible de impugnación en la justicia ordinaria.</w:t>
      </w:r>
    </w:p>
    <w:p w14:paraId="1BACDAB8" w14:textId="77777777" w:rsidR="008D479B" w:rsidRDefault="008D479B" w:rsidP="008D479B">
      <w:pPr>
        <w:pStyle w:val="TextoNormal"/>
      </w:pPr>
    </w:p>
    <w:p w14:paraId="347D081E" w14:textId="77777777" w:rsidR="008D479B" w:rsidRDefault="008D479B" w:rsidP="008D479B">
      <w:pPr>
        <w:pStyle w:val="TextoNormal"/>
      </w:pPr>
      <w:r>
        <w:t>d) Finalmente desarrolla la denunciada lesión del art. 24.1 CE, que imputa directamente al auto recurrido, por dejar imprejuzgada la cuestión del posible carácter abusivo de la cláusula de vencimiento anticipado. Por lo que, explica, “se ve en la situación de que no ha obtenido la tutela efectiva de los Tribunales de Justicia a la cuestión que les ha sometido, causándole indefensión, puesto que nada puede hacer para evitar la inexistencia de dicha resolución”, en particular, “ha quedado sin respuesta de fondo, […] la cuestión sobre la abusividad de la cláusula de vencimiento anticipado”.</w:t>
      </w:r>
    </w:p>
    <w:p w14:paraId="7DE4A37F" w14:textId="77777777" w:rsidR="008D479B" w:rsidRDefault="008D479B" w:rsidP="008D479B">
      <w:pPr>
        <w:pStyle w:val="TextoNormal"/>
      </w:pPr>
    </w:p>
    <w:p w14:paraId="2D7CB3AD" w14:textId="77777777" w:rsidR="008D479B" w:rsidRDefault="008D479B" w:rsidP="008D479B">
      <w:pPr>
        <w:pStyle w:val="TextoNormal"/>
      </w:pPr>
      <w:r>
        <w:t>Explica que con arreglo a la STC 31/2019, de 28 de febrero, debe ser respetado el derecho a la tutela judicial efectiva sin indefensión, es decir, el ciudadano tiene un derecho fundamental y constitucional a que los juzgados y tribunales den respuesta a sus cuestiones. Por lo que no debió ser revocada la decisión adoptada por el Juzgado de Primera Instancia núm. 5 de Catarroja, ni debió haberse estimado la cosa juzgada en el procedimiento ordinario posterior dejando la cuestión imprejuzgada.</w:t>
      </w:r>
    </w:p>
    <w:p w14:paraId="0C6EB919" w14:textId="77777777" w:rsidR="008D479B" w:rsidRDefault="008D479B" w:rsidP="008D479B">
      <w:pPr>
        <w:pStyle w:val="TextoNormal"/>
      </w:pPr>
    </w:p>
    <w:p w14:paraId="4AAB5B6C" w14:textId="77777777" w:rsidR="008D479B" w:rsidRDefault="008D479B" w:rsidP="008D479B">
      <w:pPr>
        <w:pStyle w:val="TextoNormal"/>
      </w:pPr>
      <w:r>
        <w:t>La razón por la que la cuestión ha quedado aquí sin respuesta es meramente formal, la apreciación de extemporaneidad y cosa juzgada, lo cual, afirma “va en contra de la primacía del Derecho de la Unión Europea que establece todo lo contrario: ni existe plazo para apreciar la abusividad de una cláusula de vencimiento anticipado, ni existe cosa juzgada en el análisis de la misma si antes no se ha producido este con carácter de fondo del asunto”.</w:t>
      </w:r>
    </w:p>
    <w:p w14:paraId="4A07B575" w14:textId="77777777" w:rsidR="008D479B" w:rsidRDefault="008D479B" w:rsidP="008D479B">
      <w:pPr>
        <w:pStyle w:val="TextoNormal"/>
      </w:pPr>
    </w:p>
    <w:p w14:paraId="6F4BC755" w14:textId="77777777" w:rsidR="008D479B" w:rsidRDefault="008D479B" w:rsidP="008D479B">
      <w:pPr>
        <w:pStyle w:val="TextoNormal"/>
      </w:pPr>
      <w:r>
        <w:t>Y concreta que la privación del derecho de obtener de los juzgados y tribunales una decisión sobre el fondo del asunto respecto a la nulidad de la cláusula de vencimiento anticipado es lo que lesiona el derecho fundamental a la tutela judicial efectiva sin indefensión, y se hace apartándose de la interpretación impuesta por el Tribunal de Justicia de la Unión Europea y por el propio Tribunal Constitucional.</w:t>
      </w:r>
    </w:p>
    <w:p w14:paraId="13353B8E" w14:textId="77777777" w:rsidR="008D479B" w:rsidRDefault="008D479B" w:rsidP="008D479B">
      <w:pPr>
        <w:pStyle w:val="TextoNormal"/>
      </w:pPr>
    </w:p>
    <w:p w14:paraId="4C8C9833" w14:textId="0D89391B" w:rsidR="008D479B" w:rsidRDefault="008D479B" w:rsidP="008D479B">
      <w:pPr>
        <w:pStyle w:val="TextoNormal"/>
      </w:pPr>
      <w:r>
        <w:t>e) Por último, identifica la especial trascendencia constitucional del recurso, señalando que igual que en la STC 31/2019, se “plantea […] una cuestión jurídica de relevante y general repercusión social y económica, dado que la resolución que se recurre en amparo incumple lo establecido por la normativa de la Unión Europea y la jurisprudencia vinculante del Tribunal de Justicia de la Unión Europea”, “[a]demás, afecta a derechos fundamentales como son la vivienda, de la que ha sido privado mi mandante, y la tutela judicial efectiva sin indefensión, de la que también ha sido privado mi mandante al no poder obtener una decisión sobre el fondo del asunto del carácter abusivo de la cláusula de vencimiento anticipado incluida en el contrato de préstamo en el que se subrogó cuando compró la vivienda”. A todo ello añade su condición de consumidor, y las consecuencias sociales y económicas, dado que puede afectar a todos los ciudadanos españoles que se vean en una situación similar, y la resolución que se dicte dispensará la tutela exigida por el Derecho de la Unión Europea.</w:t>
      </w:r>
    </w:p>
    <w:p w14:paraId="62E12B9F" w14:textId="77777777" w:rsidR="008D479B" w:rsidRDefault="008D479B" w:rsidP="008D479B">
      <w:pPr>
        <w:pStyle w:val="TextoNormal"/>
      </w:pPr>
    </w:p>
    <w:p w14:paraId="18CC00AC" w14:textId="77777777" w:rsidR="008D479B" w:rsidRDefault="008D479B" w:rsidP="008D479B">
      <w:pPr>
        <w:pStyle w:val="TextoNormal"/>
      </w:pPr>
      <w:r w:rsidRPr="008D479B">
        <w:rPr>
          <w:rStyle w:val="NumeroAFNegritaCaracter"/>
        </w:rPr>
        <w:t>4</w:t>
      </w:r>
      <w:r>
        <w:t>. La Sección Tercera de este Tribunal Constitucional, por providencia de 15 de junio de 2020, acordó admitir a trámite el recurso de amparo, “apreciando que concurre en el mismo una especial trascendencia constitucional [art. 50.1 de la Ley Orgánica del Tribunal Constitucional (LOTC)] porque el recurso plantea un problema o afecta a una faceta de un derecho fundamental sobre el que no hay doctrina de este tribunal [STC 155/2009, de 25 de junio, FJ 2 a)]”.</w:t>
      </w:r>
    </w:p>
    <w:p w14:paraId="43367990" w14:textId="77777777" w:rsidR="008D479B" w:rsidRDefault="008D479B" w:rsidP="008D479B">
      <w:pPr>
        <w:pStyle w:val="TextoNormal"/>
      </w:pPr>
    </w:p>
    <w:p w14:paraId="608E6082" w14:textId="3106B12B" w:rsidR="008D479B" w:rsidRDefault="008D479B" w:rsidP="008D479B">
      <w:pPr>
        <w:pStyle w:val="TextoNormal"/>
      </w:pPr>
      <w:r>
        <w:t xml:space="preserve">De conformidad con lo dispuesto en el art. 51 LOTC, acordó dirigir atenta comunicación a la Audiencia Provincial de Valencia, Sección Novena, a fin de que, en plazo que no exceda de diez días, remita certificación o fotocopia adverada de las actuaciones correspondientes al rollo de apelación núm. 190-19. Igualmente, acordó dirigir atenta comunicación al Juzgado de Primera Instancia núm. 25 </w:t>
      </w:r>
      <w:r w:rsidRPr="008D479B">
        <w:rPr>
          <w:i/>
        </w:rPr>
        <w:t>bis</w:t>
      </w:r>
      <w:r>
        <w:t xml:space="preserve"> de Valencia a fin de que, en plazo que no exceda de diez días, remita certificación o fotocopia adverada de las actuaciones correspondientes al juicio ordinario núm. 4317-17; debiendo previamente emplazarse, para que en el plazo de diez días puedan comparecer, si lo desean, en el recurso de amparo a quienes hubieran sido parte en el procedimiento, excepto la parte recurrente en amparo.</w:t>
      </w:r>
    </w:p>
    <w:p w14:paraId="4CFFAF3A" w14:textId="77777777" w:rsidR="008D479B" w:rsidRDefault="008D479B" w:rsidP="008D479B">
      <w:pPr>
        <w:pStyle w:val="TextoNormal"/>
      </w:pPr>
    </w:p>
    <w:p w14:paraId="6FE7F480" w14:textId="65119395" w:rsidR="008D479B" w:rsidRDefault="008D479B" w:rsidP="008D479B">
      <w:pPr>
        <w:pStyle w:val="TextoNormal"/>
      </w:pPr>
      <w:r w:rsidRPr="008D479B">
        <w:rPr>
          <w:rStyle w:val="NumeroAFNegritaCaracter"/>
        </w:rPr>
        <w:t>5</w:t>
      </w:r>
      <w:r>
        <w:t>. El 7 de octubre de 2010 se personó en el procedimiento la entidad CaixaBank S.A., solicitando que se la tenga por personada y se entiendan con ella, en concepto de parte recurrida, las sucesivas diligencias y notificaciones a los fines legales pertinentes.</w:t>
      </w:r>
    </w:p>
    <w:p w14:paraId="360B2571" w14:textId="77777777" w:rsidR="008D479B" w:rsidRDefault="008D479B" w:rsidP="008D479B">
      <w:pPr>
        <w:pStyle w:val="TextoNormal"/>
      </w:pPr>
    </w:p>
    <w:p w14:paraId="22210FC4" w14:textId="7C71717D" w:rsidR="008D479B" w:rsidRDefault="008D479B" w:rsidP="008D479B">
      <w:pPr>
        <w:pStyle w:val="TextoNormal"/>
      </w:pPr>
      <w:r w:rsidRPr="008D479B">
        <w:rPr>
          <w:rStyle w:val="NumeroAFNegritaCaracter"/>
        </w:rPr>
        <w:t>6</w:t>
      </w:r>
      <w:r>
        <w:t>. El secretario de justicia de la Sección Tercera de este tribunal dictó diligencia de ordenación de 8 de octubre de 2020 por la que se tuvo por personado y parte en el procedimiento a CaixaBank, S.A., y al Ministerio Fiscal. Asimismo, en la misma diligencia acordó, a tenor de lo dispuesto en el art. 52.1 LOTC, que se diese vista de las actuaciones recibidas a las partes personadas y al Ministerio Fiscal por plazo común de veinte días, para que dentro de dicho término, pudieran presentar las alegaciones que estimasen pertinentes.</w:t>
      </w:r>
    </w:p>
    <w:p w14:paraId="71C64B5E" w14:textId="77777777" w:rsidR="008D479B" w:rsidRDefault="008D479B" w:rsidP="008D479B">
      <w:pPr>
        <w:pStyle w:val="TextoNormal"/>
      </w:pPr>
    </w:p>
    <w:p w14:paraId="24098046" w14:textId="3793EDB2" w:rsidR="008D479B" w:rsidRDefault="008D479B" w:rsidP="008D479B">
      <w:pPr>
        <w:pStyle w:val="TextoNormal"/>
      </w:pPr>
      <w:r w:rsidRPr="008D479B">
        <w:rPr>
          <w:rStyle w:val="NumeroAFNegritaCaracter"/>
        </w:rPr>
        <w:t>7</w:t>
      </w:r>
      <w:r>
        <w:t>. La representación procesal de don Salvador Fortea Canoves presentó el 11 de noviembre de 2020 escrito por el que “se afirma y ratifica en todas y cada una de las alegaciones de nuestro escrito de demanda del recurso de amparo de referencia, reproduciendo su contenido en este momento, en aras a la brevedad y concisión” y suplica, en estimación del recurso de amparo, que se otorgue el amparo solicitado.</w:t>
      </w:r>
    </w:p>
    <w:p w14:paraId="03FC3857" w14:textId="77777777" w:rsidR="008D479B" w:rsidRDefault="008D479B" w:rsidP="008D479B">
      <w:pPr>
        <w:pStyle w:val="TextoNormal"/>
      </w:pPr>
    </w:p>
    <w:p w14:paraId="3250AA47" w14:textId="77777777" w:rsidR="008D479B" w:rsidRDefault="008D479B" w:rsidP="008D479B">
      <w:pPr>
        <w:pStyle w:val="TextoNormal"/>
      </w:pPr>
      <w:r w:rsidRPr="008D479B">
        <w:rPr>
          <w:rStyle w:val="NumeroAFNegritaCaracter"/>
        </w:rPr>
        <w:t>8</w:t>
      </w:r>
      <w:r>
        <w:t>. El 13 de noviembre de 2020 CaixaBank, S.A., presentó su escrito de alegaciones solicitando la inadmisión del recurso de amparo formulado, con la condena en costas de contrario debido a su temeridad, de acuerdo con el art. 95.2 LOTC. Tras relatar los antecedentes del presente recurso de amparo, opone la no concurrencia de los requisitos necesarios para la admisión del recurso.</w:t>
      </w:r>
    </w:p>
    <w:p w14:paraId="53132708" w14:textId="77777777" w:rsidR="008D479B" w:rsidRDefault="008D479B" w:rsidP="008D479B">
      <w:pPr>
        <w:pStyle w:val="TextoNormal"/>
      </w:pPr>
    </w:p>
    <w:p w14:paraId="52ED9375" w14:textId="77777777" w:rsidR="008D479B" w:rsidRDefault="008D479B" w:rsidP="008D479B">
      <w:pPr>
        <w:pStyle w:val="TextoNormal"/>
      </w:pPr>
      <w:r>
        <w:t>a) En primer lugar, defiende que no se ha lesionado ningún derecho fundamental, dado que el recurrente fue el que dejó precluir el plazo, denotando una pasividad de contrario, al no oponer la abusividad de la cláusula de vencimiento anticipado en el momento procesal oportuno, en el procedimiento de ejecución hipotecaria, agotándose de este modo el trámite de la oposición. Entiende que pudo haberlo opuesto y se produce así el efecto de la cosa juzgada en aplicación del art. 222 LEC, no pudiendo volver a haber un pronunciamiento en un momento posterior en base a la seguridad jurídica.</w:t>
      </w:r>
    </w:p>
    <w:p w14:paraId="27E9F931" w14:textId="77777777" w:rsidR="008D479B" w:rsidRDefault="008D479B" w:rsidP="008D479B">
      <w:pPr>
        <w:pStyle w:val="TextoNormal"/>
      </w:pPr>
    </w:p>
    <w:p w14:paraId="64F3F0A4" w14:textId="77777777" w:rsidR="008D479B" w:rsidRDefault="008D479B" w:rsidP="008D479B">
      <w:pPr>
        <w:pStyle w:val="TextoNormal"/>
      </w:pPr>
      <w:r>
        <w:t>b) En segundo lugar, sostiene que no se han agotado todos los medios de impugnación, porque el recurrente “no utilizó bien los mecanismos que otorga la ley para hacer valer la abusividad de la cláusula”. En este apartado explica que no compete al Tribunal Constitucional realizar un tercer control de legalidad (con base en la STC 38/2018, de 23 de abril). Y a continuación trae a colación el voto particular a la STC 31/2019, en el cual se explicaba que no cabe exigir al juez un control de oficio cuando la parte haya desaprovechado los trámites otorgados por la ley para hacer valer dicha exigencia.</w:t>
      </w:r>
    </w:p>
    <w:p w14:paraId="71E8800C" w14:textId="77777777" w:rsidR="008D479B" w:rsidRDefault="008D479B" w:rsidP="008D479B">
      <w:pPr>
        <w:pStyle w:val="TextoNormal"/>
      </w:pPr>
    </w:p>
    <w:p w14:paraId="1F1DE0DB" w14:textId="77777777" w:rsidR="008D479B" w:rsidRDefault="008D479B" w:rsidP="008D479B">
      <w:pPr>
        <w:pStyle w:val="TextoNormal"/>
      </w:pPr>
      <w:r>
        <w:t>c) También aduce que no se ha definido de manera concreta, ni se ha especificado dónde se ha producido la vulneración del art. 24 CE. Añadiendo que la eventual lesión del derecho de propiedad del art. 47 CE no es susceptible de amparo ante el Tribunal Constitucional.</w:t>
      </w:r>
    </w:p>
    <w:p w14:paraId="5A6F2D54" w14:textId="77777777" w:rsidR="008D479B" w:rsidRDefault="008D479B" w:rsidP="008D479B">
      <w:pPr>
        <w:pStyle w:val="TextoNormal"/>
      </w:pPr>
    </w:p>
    <w:p w14:paraId="621FCC16" w14:textId="0ACBFAD2" w:rsidR="008D479B" w:rsidRDefault="008D479B" w:rsidP="008D479B">
      <w:pPr>
        <w:pStyle w:val="TextoNormal"/>
      </w:pPr>
      <w:r>
        <w:t>d) Por último, argumenta la falta de especial trascendencia constitucional del recurso, en la medida en que no tendría importancia para la interpretación de la Constitución, para su aplicación o para su general eficacia y para la determinación del contenido y alcance de los derechos fundamentales y libertades públicas. Tampoco, razona, cabría encuadrarlo en ninguno de los supuestos establecidos en la STC 155/2009, por lo que concluye que no procede su admisión.</w:t>
      </w:r>
    </w:p>
    <w:p w14:paraId="210BF179" w14:textId="77777777" w:rsidR="008D479B" w:rsidRDefault="008D479B" w:rsidP="008D479B">
      <w:pPr>
        <w:pStyle w:val="TextoNormal"/>
      </w:pPr>
    </w:p>
    <w:p w14:paraId="38ACDA6D" w14:textId="77777777" w:rsidR="008D479B" w:rsidRDefault="008D479B" w:rsidP="008D479B">
      <w:pPr>
        <w:pStyle w:val="TextoNormal"/>
      </w:pPr>
      <w:r w:rsidRPr="008D479B">
        <w:rPr>
          <w:rStyle w:val="NumeroAFNegritaCaracter"/>
        </w:rPr>
        <w:t>9</w:t>
      </w:r>
      <w:r>
        <w:t>. El Ministerio Fiscal, dentro del plazo conferido al efecto, el 26 de noviembre de 2020, presentó sus alegaciones interesando la denegación del amparo solicitado. Tras exponer en el primer epígrafe los antecedentes de hecho, aborda en un segundo epígrafe las consideraciones jurídicas relativas al recurso de amparo.</w:t>
      </w:r>
    </w:p>
    <w:p w14:paraId="0C83158D" w14:textId="77777777" w:rsidR="008D479B" w:rsidRDefault="008D479B" w:rsidP="008D479B">
      <w:pPr>
        <w:pStyle w:val="TextoNormal"/>
      </w:pPr>
    </w:p>
    <w:p w14:paraId="45F01262" w14:textId="77777777" w:rsidR="008D479B" w:rsidRDefault="008D479B" w:rsidP="008D479B">
      <w:pPr>
        <w:pStyle w:val="TextoNormal"/>
      </w:pPr>
      <w:r>
        <w:t>a) Centra la vulneración alegada por el recurrente, de la tutela judicial efectiva sin indefensión, en la incorrecta aplicación por la sala de la Audiencia Provincial de Valencia, de la doctrina del Tribunal de Justicia de la Unión Europea, sobre la apreciación del carácter abusivo de las cláusulas contractuales, que deriva de la Directiva 93/13/CEE; en particular, la cuestión que se discute es el momento en que puede y debe realizarse el examen de oficio de la abusividad de las cláusulas contractuales.</w:t>
      </w:r>
    </w:p>
    <w:p w14:paraId="1E793085" w14:textId="77777777" w:rsidR="008D479B" w:rsidRDefault="008D479B" w:rsidP="008D479B">
      <w:pPr>
        <w:pStyle w:val="TextoNormal"/>
      </w:pPr>
    </w:p>
    <w:p w14:paraId="45A0B3C7" w14:textId="77777777" w:rsidR="008D479B" w:rsidRDefault="008D479B" w:rsidP="008D479B">
      <w:pPr>
        <w:pStyle w:val="TextoNormal"/>
      </w:pPr>
      <w:r>
        <w:t>Explica que si bien sobre esta cuestión existe ya un número de supuestos que han sido objeto de pronunciamiento, en este caso, entiende que existe una “importante variación” dado que el amparo no lo solicita el recurrente respecto a las resoluciones judiciales dictadas en el procedimiento de ejecución, sino respecto de las resoluciones judiciales dictadas en el procedimiento declarativo posterior. Y si bien el recurrente denuncia que la cuestión de si el posible carácter abusivo de la cláusula de vencimiento anticipado ha quedado sin resolver, la respuesta del Tribunal Constitucional debe limitarse a examinar si el auto de 16 de julio de 2019 dictado por la Audiencia Provincial de Valencia, confirmando la inadmisión de la demanda en el procedimiento ordinario 4317-2017, por efecto de la cosa juzgada causada por la resolución del procedimiento de ejecución hipotecaria, es vulneradora o no del derecho a la tutela judicial efectiva.</w:t>
      </w:r>
    </w:p>
    <w:p w14:paraId="2BD84C3D" w14:textId="77777777" w:rsidR="008D479B" w:rsidRDefault="008D479B" w:rsidP="008D479B">
      <w:pPr>
        <w:pStyle w:val="TextoNormal"/>
      </w:pPr>
    </w:p>
    <w:p w14:paraId="37EB5B5A" w14:textId="77777777" w:rsidR="008D479B" w:rsidRDefault="008D479B" w:rsidP="008D479B">
      <w:pPr>
        <w:pStyle w:val="TextoNormal"/>
      </w:pPr>
      <w:r>
        <w:t>b) A continuación recuerda la especial naturaleza de los procedimientos de ejecución hipotecaria, y los distintos tratamientos legislativos que ha recibido la protección del consumidor en los contratos de adhesión, con la finalidad de restaurar la igualdad en que deben moverse los consumidores y los profesionales. A dicha finalidad, explica, se dirige tanto la Directiva 93/13/CEE —reproduciendo sus considerandos y los artículos 1.1, 2 y 3— como el Real Decreto Legislativo 1/2007, y, en particular, la Ley 1/2013, que introdujo el examen de oficio de abusividad de las cláusulas contractuales por los tribunales. Precisa que es en este contexto en el que nos debemos mover en el presente caso, si bien lo denunciado no es que no se haya considerado abusiva una cláusula, sino que el tribunal se haya negado a examinar esa condición por considerar la pretensión extemporánea o improcedente.</w:t>
      </w:r>
    </w:p>
    <w:p w14:paraId="68B589DE" w14:textId="77777777" w:rsidR="008D479B" w:rsidRDefault="008D479B" w:rsidP="008D479B">
      <w:pPr>
        <w:pStyle w:val="TextoNormal"/>
      </w:pPr>
    </w:p>
    <w:p w14:paraId="7250E3E0" w14:textId="77777777" w:rsidR="008D479B" w:rsidRDefault="008D479B" w:rsidP="008D479B">
      <w:pPr>
        <w:pStyle w:val="TextoNormal"/>
      </w:pPr>
      <w:r>
        <w:t>Sobre dicho momento, explica que si bien el recurrente piensa que debe obtener una respuesta a su petición de revisión, la Audiencia Provincial de Valencia ha entendido que ya no era posible porque la parte lo pudo hacer valer como causa de oposición y no lo hizo, precluyendo así esa posibilidad.</w:t>
      </w:r>
    </w:p>
    <w:p w14:paraId="3B92DD2B" w14:textId="77777777" w:rsidR="008D479B" w:rsidRDefault="008D479B" w:rsidP="008D479B">
      <w:pPr>
        <w:pStyle w:val="TextoNormal"/>
      </w:pPr>
    </w:p>
    <w:p w14:paraId="511D6DF6" w14:textId="77777777" w:rsidR="008D479B" w:rsidRDefault="008D479B" w:rsidP="008D479B">
      <w:pPr>
        <w:pStyle w:val="TextoNormal"/>
      </w:pPr>
      <w:r>
        <w:t xml:space="preserve">Para resolver esta cuestión considera necesario partir de la STJUE </w:t>
      </w:r>
      <w:r w:rsidRPr="008D479B">
        <w:rPr>
          <w:i/>
        </w:rPr>
        <w:t>Banco Primus</w:t>
      </w:r>
      <w:r>
        <w:t>, en la que se determinó que una vez calificada de abusiva una cláusula contractual, no está vedado el nuevo examen del carácter abusivo de aquellas cláusulas contractuales que no han sido objeto de pronunciamiento, y que es posible, no solo a instancia de parte, sino también de oficio. A la luz de dicho pronunciamiento del Tribunal de Justicia de la Unión Europea, el fiscal interpreta que la solución adoptada por la Audiencia Provincial en el procedimiento de ejecución hipotecaria, revocando la decisión de sobreseimiento acordada por el juzgado “es errónea, pues se basa en esa preclusividad del trámite, lo cual contradice la doctrina del Tribunal de Justicia de la Unión Europea, asumida plenamente por este Alto Tribunal al que nos dirigimos”.</w:t>
      </w:r>
    </w:p>
    <w:p w14:paraId="1AFB8641" w14:textId="77777777" w:rsidR="008D479B" w:rsidRDefault="008D479B" w:rsidP="008D479B">
      <w:pPr>
        <w:pStyle w:val="TextoNormal"/>
      </w:pPr>
    </w:p>
    <w:p w14:paraId="3488BEE7" w14:textId="77777777" w:rsidR="008D479B" w:rsidRDefault="008D479B" w:rsidP="008D479B">
      <w:pPr>
        <w:pStyle w:val="TextoNormal"/>
      </w:pPr>
      <w:r>
        <w:t>No obstante, pone de manifiesto que si bien el recurrente denunció que se habría vulnerado su derecho a la tutela judicial efectiva, planteando un incidente de nulidad, este incidente se planteó indebidamente ante el juzgado de primera instancia, cuando la vulneración la cometió la Audiencia Provincial, y debió ser a este órgano al que se le solicitara el restablecimiento.</w:t>
      </w:r>
    </w:p>
    <w:p w14:paraId="7C874F37" w14:textId="77777777" w:rsidR="008D479B" w:rsidRDefault="008D479B" w:rsidP="008D479B">
      <w:pPr>
        <w:pStyle w:val="TextoNormal"/>
      </w:pPr>
    </w:p>
    <w:p w14:paraId="6C549545" w14:textId="77777777" w:rsidR="008D479B" w:rsidRDefault="008D479B" w:rsidP="008D479B">
      <w:pPr>
        <w:pStyle w:val="TextoNormal"/>
      </w:pPr>
      <w:r>
        <w:t xml:space="preserve">c) Advertida la vulneración del derecho a la tutela judicial efectiva en el procedimiento de ejecución hipotecaria, vuelve a insistir en que esta no es la cuestión que se plantea en el recurso de amparo, sino que lo que se denuncia es la decisión de no entrar a resolver la petición formulada en la posterior demanda que presentó ante el Juzgado de Primera Instancia núm. 25 </w:t>
      </w:r>
      <w:r w:rsidRPr="008D479B">
        <w:rPr>
          <w:i/>
        </w:rPr>
        <w:t>bis</w:t>
      </w:r>
      <w:r>
        <w:t xml:space="preserve"> de Valencia, instando dicha declaración de abusividad en un procedimiento declarativo.</w:t>
      </w:r>
    </w:p>
    <w:p w14:paraId="0FD83B03" w14:textId="77777777" w:rsidR="008D479B" w:rsidRDefault="008D479B" w:rsidP="008D479B">
      <w:pPr>
        <w:pStyle w:val="TextoNormal"/>
      </w:pPr>
    </w:p>
    <w:p w14:paraId="6529144C" w14:textId="77777777" w:rsidR="008D479B" w:rsidRDefault="008D479B" w:rsidP="008D479B">
      <w:pPr>
        <w:pStyle w:val="TextoNormal"/>
      </w:pPr>
      <w:r>
        <w:t>Por lo tanto, considera preciso analizar, en primer lugar, las razones que alega el auto de apelación para inadmitir la demanda, y que se limita a aplicar la doctrina relativa al efecto de la cosa juzgada en el procedimiento ejecutivo, que no se producirá en el declarativo posterior, cuando no se le ha impedido proponer al demandante en el primer proceso cualquier motivo de nulidad o de oposición. Por el contrario, “es aplicable el efecto cosa juzgada cuando el demandante propuso o, tuvo la oportunidad de proponer la causa de nulidad y oposición que ahora quiere hacer valer”. Tal doctrina resulta de la STS 526/2017, de 27 de septiembre, del Pleno, que transcribe.</w:t>
      </w:r>
    </w:p>
    <w:p w14:paraId="3D4BD8EB" w14:textId="77777777" w:rsidR="008D479B" w:rsidRDefault="008D479B" w:rsidP="008D479B">
      <w:pPr>
        <w:pStyle w:val="TextoNormal"/>
      </w:pPr>
    </w:p>
    <w:p w14:paraId="38146F27" w14:textId="77777777" w:rsidR="008D479B" w:rsidRDefault="008D479B" w:rsidP="008D479B">
      <w:pPr>
        <w:pStyle w:val="TextoNormal"/>
      </w:pPr>
      <w:r>
        <w:t>Sobre la base de dicha doctrina explica que comparte la decisión de la Audiencia Provincial de Valencia, “pero no en su integridad porque concluye que la parte tuvo posibilidad procesal para oponer la abusividad, y ello no es cierto ya que le fue denegada la tramitación en la apelación”. No obstante, concluye que el efecto de cosa juzgada del proceso ejecutivo se sigue produciendo porque no agotó correctamente las posibilidades procesales dado que planteó el incidente de nulidad de forma errónea, debiendo soportar los efectos de su inadecuada formulación.</w:t>
      </w:r>
    </w:p>
    <w:p w14:paraId="25A99641" w14:textId="77777777" w:rsidR="008D479B" w:rsidRDefault="008D479B" w:rsidP="008D479B">
      <w:pPr>
        <w:pStyle w:val="TextoNormal"/>
      </w:pPr>
    </w:p>
    <w:p w14:paraId="1B44AD9C" w14:textId="52083F28" w:rsidR="008D479B" w:rsidRDefault="008D479B" w:rsidP="008D479B">
      <w:pPr>
        <w:pStyle w:val="TextoNormal"/>
      </w:pPr>
      <w:r>
        <w:t>Y, respecto al argumento de la Audiencia Provincial de que el proceso ejecutivo había concluido, no subsistiendo el derecho de revisión según el Tribunal de Justicia, argumenta que “plantear la vía declarativa cuando ya se hubiera agotado la ejecutiva sería contrario a la doctrina que dimana de las sentencias del Tribunal de Justicia de la Unión Europea, ya que la seguridad jurídica obliga a poner un límite a las posibilidades de revisión, pero incluso acudir a este procedimiento declarativo para obtener la revisión, antes de que se haya agotado el ejecutivo, tiene ese inconveniente porque, la ley establece que por la presentación de la demanda declarativa no se produce el efectos suspensivo del juicio ejecutivo, ni tampoco la parte nos consta que solicitara una posible suspensión por litispendencia, lo que provocará, casi inevitablemente, aquí al menos ocurrió, que antes de que concluya el declarativo se haya producido esa finalización del primer pleito, donde un tercero habrá adquirido, con presunción de buena fe, y esa adquisición, bendecida por la forma judicial de otorgamiento, devendrá en irreivindicable”.</w:t>
      </w:r>
    </w:p>
    <w:p w14:paraId="3C87429E" w14:textId="77777777" w:rsidR="008D479B" w:rsidRDefault="008D479B" w:rsidP="008D479B">
      <w:pPr>
        <w:pStyle w:val="TextoNormal"/>
      </w:pPr>
    </w:p>
    <w:p w14:paraId="0071F3F2" w14:textId="2EA82AC3" w:rsidR="008D479B" w:rsidRDefault="008D479B" w:rsidP="008D479B">
      <w:pPr>
        <w:pStyle w:val="TextoNormal"/>
      </w:pPr>
      <w:r w:rsidRPr="008D479B">
        <w:rPr>
          <w:rStyle w:val="NumeroAFNegritaCaracter"/>
        </w:rPr>
        <w:t>10</w:t>
      </w:r>
      <w:r>
        <w:t>. El 22 de marzo de 2023 la representación de la entidad CaixaBank, S.A., presentó escrito por el que comunica el cambio de representación procesal.</w:t>
      </w:r>
    </w:p>
    <w:p w14:paraId="52890989" w14:textId="77777777" w:rsidR="008D479B" w:rsidRDefault="008D479B" w:rsidP="008D479B">
      <w:pPr>
        <w:pStyle w:val="TextoNormal"/>
      </w:pPr>
    </w:p>
    <w:p w14:paraId="1DE58DD8" w14:textId="0A7F5570" w:rsidR="008D479B" w:rsidRDefault="008D479B" w:rsidP="008D479B">
      <w:pPr>
        <w:pStyle w:val="TextoNormal"/>
      </w:pPr>
      <w:r w:rsidRPr="008D479B">
        <w:rPr>
          <w:rStyle w:val="NumeroAFNegritaCaracter"/>
        </w:rPr>
        <w:t>11</w:t>
      </w:r>
      <w:r>
        <w:t>. Por providencia de 7 de diciembre de 2023 se señaló para deliberación y votación de la presente sentencia el día 11 del mismo mes y año.</w:t>
      </w:r>
    </w:p>
    <w:p w14:paraId="012AF794" w14:textId="77777777" w:rsidR="008D479B" w:rsidRDefault="008D479B" w:rsidP="008D479B">
      <w:pPr>
        <w:pStyle w:val="TextoNormal"/>
      </w:pPr>
    </w:p>
    <w:p w14:paraId="37F0DBB7" w14:textId="77777777" w:rsidR="008D479B" w:rsidRDefault="008D479B" w:rsidP="008D479B">
      <w:pPr>
        <w:pStyle w:val="TextoNormalNegritaCentrado"/>
        <w:keepNext/>
      </w:pPr>
      <w:r>
        <w:t>II. Fundamentos jurídicos</w:t>
      </w:r>
    </w:p>
    <w:p w14:paraId="109DA3EF" w14:textId="0AA6B16A" w:rsidR="008D479B" w:rsidRDefault="008D479B" w:rsidP="008D479B">
      <w:pPr>
        <w:pStyle w:val="TextoNormalNegritaCentrado"/>
        <w:keepNext/>
      </w:pPr>
    </w:p>
    <w:p w14:paraId="74D523DF" w14:textId="77777777" w:rsidR="008D479B" w:rsidRDefault="008D479B" w:rsidP="008D479B">
      <w:pPr>
        <w:pStyle w:val="TextoNormal"/>
      </w:pPr>
      <w:r w:rsidRPr="008D479B">
        <w:rPr>
          <w:rStyle w:val="NumeroAFNegritaCaracter"/>
        </w:rPr>
        <w:t>1</w:t>
      </w:r>
      <w:r>
        <w:t xml:space="preserve">. </w:t>
      </w:r>
      <w:r w:rsidRPr="008D479B">
        <w:rPr>
          <w:i/>
        </w:rPr>
        <w:t>Objeto del recurso de amparo y pretensiones de las partes</w:t>
      </w:r>
    </w:p>
    <w:p w14:paraId="0E771299" w14:textId="77777777" w:rsidR="008D479B" w:rsidRDefault="008D479B" w:rsidP="008D479B">
      <w:pPr>
        <w:pStyle w:val="TextoNormal"/>
      </w:pPr>
    </w:p>
    <w:p w14:paraId="481D21CA" w14:textId="77777777" w:rsidR="008D479B" w:rsidRDefault="008D479B" w:rsidP="008D479B">
      <w:pPr>
        <w:pStyle w:val="TextoNormal"/>
      </w:pPr>
      <w:r>
        <w:t>a) La demanda de amparo reprocha al auto núm. 253/2019, de 16 de julio, dictado por la Audiencia Provincial de Valencia haber vulnerado su derecho a la tutela judicial efectiva (art. 24.1 CE) por no haberse pronunciado sobre el carácter abusivo de la cláusula de vencimiento anticipado, apartándose además de la interpretación impuesta por el Tribunal Constitucional y por el Tribunal de Justicia de la Unión Europea; entiende que no es posible la apreciación ni de la extemporaneidad, ni de la cosa juzgada, excepciones en las que se basa la resolución recurrida en amparo para no pronunciarse sobre el fondo del asunto. Todo ello en relación con el derecho a la vivienda (art. 47 CE), con el principio de primacía del Derecho de la Unión (arts. 10.2 CE y 96.1 CE), y la protección de los consumidores (art. 51.1 CE en relación con la Directiva 93/13/CEE).</w:t>
      </w:r>
    </w:p>
    <w:p w14:paraId="20561FB7" w14:textId="77777777" w:rsidR="008D479B" w:rsidRDefault="008D479B" w:rsidP="008D479B">
      <w:pPr>
        <w:pStyle w:val="TextoNormal"/>
      </w:pPr>
    </w:p>
    <w:p w14:paraId="5504A5F4" w14:textId="77777777" w:rsidR="008D479B" w:rsidRDefault="008D479B" w:rsidP="008D479B">
      <w:pPr>
        <w:pStyle w:val="TextoNormal"/>
      </w:pPr>
      <w:r>
        <w:t>En el suplico el recurrente insta de este tribunal que se declare la vulneración del derecho a la tutela judicial efectiva sin indefensión (art. 24.1 CE), anulando dicho auto, y declarando que la audiencia provincial debe dictar una resolución de fondo sobre el posible carácter abusivo de la cláusula de vencimiento anticipado.</w:t>
      </w:r>
    </w:p>
    <w:p w14:paraId="1F05642A" w14:textId="77777777" w:rsidR="008D479B" w:rsidRDefault="008D479B" w:rsidP="008D479B">
      <w:pPr>
        <w:pStyle w:val="TextoNormal"/>
      </w:pPr>
    </w:p>
    <w:p w14:paraId="73F13FCF" w14:textId="77777777" w:rsidR="008D479B" w:rsidRDefault="008D479B" w:rsidP="008D479B">
      <w:pPr>
        <w:pStyle w:val="TextoNormal"/>
      </w:pPr>
      <w:r>
        <w:t>b) La entidad CaixaBank, S.A., en las alegaciones presentadas pone de manifiesto, por un lado, una serie de óbices que impiden la concurrencia de los requisitos necesarios para la admisión del recurso, por no haber agotado los medios de impugnación, ni haber definido de manera concreta donde se ha producido la vulneración del art. 24 CE, o por denunciar el derecho de propiedad (art. 47 CE), derecho no susceptible de amparo ante el Tribunal Constitucional; y también argumenta la falta de especial trascendencia constitucional del recurso. Por otro lado, fundamenta la ausencia de vulneración del derecho a la tutela judicial efectiva en el hecho de que el recurrente dejó precluir el plazo para oponer la abusividad de la cláusula contractual en el procedimiento de ejecución hipotecaria, produciéndose el efecto de la cosa juzgada.</w:t>
      </w:r>
    </w:p>
    <w:p w14:paraId="274CCE99" w14:textId="77777777" w:rsidR="008D479B" w:rsidRDefault="008D479B" w:rsidP="008D479B">
      <w:pPr>
        <w:pStyle w:val="TextoNormal"/>
      </w:pPr>
    </w:p>
    <w:p w14:paraId="62AF9DA8" w14:textId="77777777" w:rsidR="008D479B" w:rsidRDefault="008D479B" w:rsidP="008D479B">
      <w:pPr>
        <w:pStyle w:val="TextoNormal"/>
      </w:pPr>
      <w:r>
        <w:t xml:space="preserve">c) El fiscal por su parte interesa la desestimación del recurso de amparo, clarificando que no se plantea la cuestión de la apreciación de la abusividad de la cláusula de vencimiento anticipado en el procedimiento de ejecución hipotecaria, sino si la decisión del Juzgado de Primera Instancia núm. 25 </w:t>
      </w:r>
      <w:r w:rsidRPr="008D479B">
        <w:rPr>
          <w:i/>
        </w:rPr>
        <w:t>bis</w:t>
      </w:r>
      <w:r>
        <w:t xml:space="preserve"> Valencia de no entrar a resolver la petición de declarar dicha cláusula abusiva en un procedimiento declarativo posterior respeta las exigencias del art. 24.1 CE.</w:t>
      </w:r>
    </w:p>
    <w:p w14:paraId="661A683D" w14:textId="77777777" w:rsidR="008D479B" w:rsidRDefault="008D479B" w:rsidP="008D479B">
      <w:pPr>
        <w:pStyle w:val="TextoNormal"/>
      </w:pPr>
    </w:p>
    <w:p w14:paraId="5CBA20EB" w14:textId="77777777" w:rsidR="008D479B" w:rsidRDefault="008D479B" w:rsidP="008D479B">
      <w:pPr>
        <w:pStyle w:val="TextoNormal"/>
      </w:pPr>
      <w:r>
        <w:t>d) Así formuladas las pretensiones de las partes, se hace imprescindible precisar cuáles son las resoluciones judiciales a las que se imputa la vulneración alegada, recordando ante todo que, de acuerdo a una doctrina constitucional reiterada, “cuando se impugna en amparo constitucional una resolución judicial confirmatoria de otras, que han sido lógica y cronológicamente presupuesto de aquella, han de considerarse también recurridas, aunque no lo hayan sido expresamente, las precedentes decisiones confirmadas” (por todas, SSTC 95/2018, de 17 de septiembre, FJ 1, y 178/2020, de 14 de diciembre, FJ 1).</w:t>
      </w:r>
    </w:p>
    <w:p w14:paraId="3644513F" w14:textId="77777777" w:rsidR="008D479B" w:rsidRDefault="008D479B" w:rsidP="008D479B">
      <w:pPr>
        <w:pStyle w:val="TextoNormal"/>
      </w:pPr>
    </w:p>
    <w:p w14:paraId="31DF67A4" w14:textId="33D5EF11" w:rsidR="008D479B" w:rsidRDefault="008D479B" w:rsidP="008D479B">
      <w:pPr>
        <w:pStyle w:val="TextoNormal"/>
      </w:pPr>
      <w:r>
        <w:t xml:space="preserve">Conforme a este criterio general, y atendiendo al contenido de la demanda y al suplico de la misma, habría que entender dirigido el presente recurso de amparo no solo contra el auto núm. 253/2019 de 16 de julio, de la audiencia provincial, sino también contra el auto núm. 520/2018, de 3 de septiembre de 2018 dictado por el Juzgado de Primera Instancia núm. 25 </w:t>
      </w:r>
      <w:r w:rsidRPr="008D479B">
        <w:rPr>
          <w:i/>
        </w:rPr>
        <w:t>bis</w:t>
      </w:r>
      <w:r>
        <w:t xml:space="preserve"> de Valencia. Es el auto del juzgado de primera instancia el que aprecia en un primer momento la excepción de cosa juzgada, y el sobreseimiento del procedimiento declarativo, siendo el auto de la audiencia provincial confirmatorio del primero.</w:t>
      </w:r>
    </w:p>
    <w:p w14:paraId="2C7D53EA" w14:textId="77777777" w:rsidR="008D479B" w:rsidRDefault="008D479B" w:rsidP="008D479B">
      <w:pPr>
        <w:pStyle w:val="TextoNormal"/>
      </w:pPr>
    </w:p>
    <w:p w14:paraId="5C36B12C" w14:textId="77777777" w:rsidR="008D479B" w:rsidRDefault="008D479B" w:rsidP="008D479B">
      <w:pPr>
        <w:pStyle w:val="TextoNormal"/>
      </w:pPr>
      <w:r w:rsidRPr="008D479B">
        <w:rPr>
          <w:rStyle w:val="NumeroAFNegritaCaracter"/>
        </w:rPr>
        <w:t>2</w:t>
      </w:r>
      <w:r>
        <w:t xml:space="preserve">. </w:t>
      </w:r>
      <w:r w:rsidRPr="008D479B">
        <w:rPr>
          <w:i/>
        </w:rPr>
        <w:t>Sobre los óbices de admisibilidad alegados por Caixa Bank, S.A.</w:t>
      </w:r>
    </w:p>
    <w:p w14:paraId="2B109148" w14:textId="77777777" w:rsidR="008D479B" w:rsidRDefault="008D479B" w:rsidP="008D479B">
      <w:pPr>
        <w:pStyle w:val="TextoNormal"/>
      </w:pPr>
    </w:p>
    <w:p w14:paraId="1418C3B3" w14:textId="77777777" w:rsidR="008D479B" w:rsidRDefault="008D479B" w:rsidP="008D479B">
      <w:pPr>
        <w:pStyle w:val="TextoNormal"/>
      </w:pPr>
      <w:r>
        <w:t>a) La entidad Caixa Bank, S.A., alega la falta de agotamiento de todos los medios de impugnación porque el recurrente no utilizó todos los mecanismos previstos para hacer valer la abusividad de la cláusula contractual de vencimiento anticipado en el previo procedimiento de ejecución hipotecaria. En relación con esta cuestión el Ministerio Fiscal también defiende que el incidente de nulidad interpuesto por el recurrente en el procedimiento de ejecución hipotecaria se planteó indebidamente ante el juzgado de primera instancia, cuando tenía que haberse interpuesto ante la Audiencia Provincial, si bien no insta formalmente la inadmisión del recurso de amparo por dicho motivo.</w:t>
      </w:r>
    </w:p>
    <w:p w14:paraId="634949B7" w14:textId="77777777" w:rsidR="008D479B" w:rsidRDefault="008D479B" w:rsidP="008D479B">
      <w:pPr>
        <w:pStyle w:val="TextoNormal"/>
      </w:pPr>
    </w:p>
    <w:p w14:paraId="1E76860F" w14:textId="77777777" w:rsidR="008D479B" w:rsidRDefault="008D479B" w:rsidP="008D479B">
      <w:pPr>
        <w:pStyle w:val="TextoNormal"/>
      </w:pPr>
      <w:r>
        <w:t>El presupuesto del agotamiento de la vía judicial previa, como hemos recordado recientemente en la STC 39/2023, de 8 de mayo, FJ 2 “no resulta un mero formalismo retórico o inútil, pues tiene por finalidad, por una parte, que los órganos judiciales tengan la oportunidad de pronunciarse sobre la violación constitucional, haciendo posible el respeto y el restablecimiento del derecho constitucional en sede jurisdiccional ordinaria y, por otra, preservar el carácter subsidiario de la jurisdicción constitucional de amparo”. Por lo tanto, “su falta impediría a este tribunal entrar a valorar en cualquier caso el fondo de los motivos de amparo, y ello recordando que ‘los defectos insubsanables de los que pudiera estar afectado el recurso de amparo no resultan subsanados porque haya sido inicialmente admitido a trámite (por todas, SSTC 18/2002, de 28 de enero, FJ 3, y 158/2002, de 16 de septiembre, FJ 2), de forma que la comprobación de los presupuestos procesales para la viabilidad de la acción pueden abordarse de nuevo o reconsiderarse en la sentencia, de oficio o a instancia de parte, dando lugar a un pronunciamiento de inadmisión por la falta de tales presupuestos, sin que para ello constituya obstáculo el carácter tasado de los pronunciamientos previstos en el artículo 53 LOTC (por todas, STC 69/2004, de 19 de abril, FJ 3, o SSTC 89/2011, de 6 de junio, FJ 2, y 174/2011 de 7 de noviembre, FJ 2)’ (STC 27/2019, de 26 de febrero, FJ 2)”.</w:t>
      </w:r>
    </w:p>
    <w:p w14:paraId="11BD6547" w14:textId="77777777" w:rsidR="008D479B" w:rsidRDefault="008D479B" w:rsidP="008D479B">
      <w:pPr>
        <w:pStyle w:val="TextoNormal"/>
      </w:pPr>
    </w:p>
    <w:p w14:paraId="6542C94F" w14:textId="77777777" w:rsidR="008D479B" w:rsidRDefault="008D479B" w:rsidP="008D479B">
      <w:pPr>
        <w:pStyle w:val="TextoNormal"/>
      </w:pPr>
      <w:r>
        <w:t xml:space="preserve">No obstante, la necesidad de agotar todos los medios de impugnación para que el recurso de amparo sea admisible, se predica de la resolución judicial que se recurre en amparo, y a la que se imputa la vulneración del derecho fundamental cuya reparación se pide a este tribunal. En el presente supuesto la vulneración de derechos fundamentales se imputa, como ya hemos explicado, al auto núm. 520/2018, de 3 de septiembre de 2018, dictado por el Juzgado de Primera Instancia núm. 25 </w:t>
      </w:r>
      <w:r w:rsidRPr="008D479B">
        <w:rPr>
          <w:i/>
        </w:rPr>
        <w:t>bis</w:t>
      </w:r>
      <w:r>
        <w:t xml:space="preserve"> de Valencia que estimó la excepción de cosa juzgada y acordó el sobreseimiento del procedimiento declarativo. Y contra este auto se interpuso recurso de apelación, que fue desestimado por la Audiencia Provincial de Valencia, mediante auto núm. 253/2019, de 16 de julio, confirmando la apreciación llevada a cabo por el juzgado de primera instancia.</w:t>
      </w:r>
    </w:p>
    <w:p w14:paraId="68528FA9" w14:textId="77777777" w:rsidR="008D479B" w:rsidRDefault="008D479B" w:rsidP="008D479B">
      <w:pPr>
        <w:pStyle w:val="TextoNormal"/>
      </w:pPr>
    </w:p>
    <w:p w14:paraId="654E5681" w14:textId="77777777" w:rsidR="008D479B" w:rsidRDefault="008D479B" w:rsidP="008D479B">
      <w:pPr>
        <w:pStyle w:val="TextoNormal"/>
      </w:pPr>
      <w:r>
        <w:t xml:space="preserve">Por lo tanto, cabe apreciar que el recurrente agotó debidamente los medios de impugnación que tenía a su alcance, al recurrir en apelación el auto del Juzgado de Primera Instancia núm. 25 </w:t>
      </w:r>
      <w:r w:rsidRPr="008D479B">
        <w:rPr>
          <w:i/>
        </w:rPr>
        <w:t>bis</w:t>
      </w:r>
      <w:r>
        <w:t xml:space="preserve"> Valencia, dictado en el “procedimiento declarativo”, preservando así el carácter subsidiario del recurso de amparo. La resolución dictada por la audiencia provincial en el previo “procedimiento de ejecución hipotecaria”, declarando la improcedencia de examinar la abusividad de la cláusula de vencimiento anticipado, una vez acordada la celebración de la subasta, no es objeto del presente recurso de amparo, por lo que la no interposición del incidente de nulidad de actuaciones contra esta última resolución judicial no resulta relevante a los efectos de apreciar el cumplimiento del requisito del agotamiento previo de la vía judicial, en tanto requisito de admisibilidad del presente recurso de amparo.</w:t>
      </w:r>
    </w:p>
    <w:p w14:paraId="48DF6DB7" w14:textId="77777777" w:rsidR="008D479B" w:rsidRDefault="008D479B" w:rsidP="008D479B">
      <w:pPr>
        <w:pStyle w:val="TextoNormal"/>
      </w:pPr>
    </w:p>
    <w:p w14:paraId="20B75DFA" w14:textId="77777777" w:rsidR="008D479B" w:rsidRDefault="008D479B" w:rsidP="008D479B">
      <w:pPr>
        <w:pStyle w:val="TextoNormal"/>
      </w:pPr>
      <w:r>
        <w:t>b) También opone que el recurrente no ha definido de manera concreta dónde se ha producido la vulneración del derecho fundamental del art. 24 CE, y que el art. 47 CE no es susceptible de amparo ante el Tribunal Constitucional.</w:t>
      </w:r>
    </w:p>
    <w:p w14:paraId="634AE3F7" w14:textId="77777777" w:rsidR="008D479B" w:rsidRDefault="008D479B" w:rsidP="008D479B">
      <w:pPr>
        <w:pStyle w:val="TextoNormal"/>
      </w:pPr>
    </w:p>
    <w:p w14:paraId="171624C7" w14:textId="77777777" w:rsidR="008D479B" w:rsidRDefault="008D479B" w:rsidP="008D479B">
      <w:pPr>
        <w:pStyle w:val="TextoNormal"/>
      </w:pPr>
      <w:r>
        <w:t>Al respecto debe comenzarse precisando que el derecho fundamental que se entiende vulnerado, y cuya tutela se impetra de este tribunal, es el derecho fundamental a la tutela judicial efectiva, siendo así que el derecho a una vivienda digna y adecuada reconocido en el art. 47 CE, simplemente se relaciona con el primero, igual que del mismo modo se relaciona con el principio de primacía del Derecho de la Unión (arts. 10.2 y 96.1 CE) y la protección de los consumidores (art. 51.1 CE).</w:t>
      </w:r>
    </w:p>
    <w:p w14:paraId="20679430" w14:textId="77777777" w:rsidR="008D479B" w:rsidRDefault="008D479B" w:rsidP="008D479B">
      <w:pPr>
        <w:pStyle w:val="TextoNormal"/>
      </w:pPr>
    </w:p>
    <w:p w14:paraId="63E53943" w14:textId="77777777" w:rsidR="008D479B" w:rsidRDefault="008D479B" w:rsidP="008D479B">
      <w:pPr>
        <w:pStyle w:val="TextoNormal"/>
      </w:pPr>
      <w:r>
        <w:t>Y respecto del derecho a la tutela judicial efectiva, el recurrente explica de forma clara que el juzgado de primera instancia y la audiencia provincial, al inadmitir su demanda de revisar la abusividad de la cláusula de vencimiento anticipado en el procedimiento declarativo posterior, le han privado de una decisión sobre el fondo respecto a la nulidad de dicha cláusula, combatiendo así la procedencia de apreciar la existencia de la cosa juzgada a la luz de la jurisprudencia de este tribunal y del Tribunal de Justicia de la Unión Europea porque, según explica en la demanda de amparo, “ni existe plazo para apreciar la abusividad de una cláusula de vencimiento anticipado, ni existe cosa juzgada en el análisis de la misma si antes no se ha producido este con carácter de fondo del asunto”. Por lo tanto, sí se ha invocado de forma explícita el derecho fundamental que se estima lesionado y se han explicado las razones en las que se funda dicha lesión.</w:t>
      </w:r>
    </w:p>
    <w:p w14:paraId="0B79094D" w14:textId="77777777" w:rsidR="008D479B" w:rsidRDefault="008D479B" w:rsidP="008D479B">
      <w:pPr>
        <w:pStyle w:val="TextoNormal"/>
      </w:pPr>
    </w:p>
    <w:p w14:paraId="2BBC0F5A" w14:textId="77777777" w:rsidR="008D479B" w:rsidRDefault="008D479B" w:rsidP="008D479B">
      <w:pPr>
        <w:pStyle w:val="TextoNormal"/>
      </w:pPr>
      <w:r>
        <w:t>A la luz de estos razonamientos cabe colegir que la vertiente del derecho a la tutela judicial efectiva que se encuentra comprometida en este caso es la del derecho de acceso a la jurisdicción que corresponde a todas las personas para la defensa o protección de cualesquiera derechos o intereses legítimos, en tanto “derecho a dirigirse a un juez en busca de protección” (STC 209/2013, de 16 de diciembre, FJ 3). En este caso, se le ha negado el derecho de acceso a un procedimiento declarativo, en el que se examine la abusividad de la cláusula contractual de vencimiento anticipado, sobre la base de la excepción de la cosa juzgada que habría producido un procedimiento previo de ejecución hipotecaria tramitado tras la entrada en vigor de la Ley 1/2013, en el que, en principio, el recurrente podía haber instado la revisión de la abusividad de dicha cláusula en aplicación de los arts. 552.1 y 695 LEC.</w:t>
      </w:r>
    </w:p>
    <w:p w14:paraId="37040E8D" w14:textId="77777777" w:rsidR="008D479B" w:rsidRDefault="008D479B" w:rsidP="008D479B">
      <w:pPr>
        <w:pStyle w:val="TextoNormal"/>
      </w:pPr>
    </w:p>
    <w:p w14:paraId="6FAB0147" w14:textId="77777777" w:rsidR="008D479B" w:rsidRDefault="008D479B" w:rsidP="008D479B">
      <w:pPr>
        <w:pStyle w:val="TextoNormal"/>
      </w:pPr>
      <w:r>
        <w:t>c) Finalmente, sostiene que la demanda incurre en falta de especial trascendencia constitucional, en los términos que exige el art. 50.1 b) LOTC, no pudiendo tampoco encuadrarse en ninguno de los supuestos que hemos reconocido como de especial trascendencia constitucional en la STC 155/2009, de 25 de junio.</w:t>
      </w:r>
    </w:p>
    <w:p w14:paraId="1DC8CD52" w14:textId="77777777" w:rsidR="008D479B" w:rsidRDefault="008D479B" w:rsidP="008D479B">
      <w:pPr>
        <w:pStyle w:val="TextoNormal"/>
      </w:pPr>
    </w:p>
    <w:p w14:paraId="7718D06A" w14:textId="77777777" w:rsidR="008D479B" w:rsidRDefault="008D479B" w:rsidP="008D479B">
      <w:pPr>
        <w:pStyle w:val="TextoNormal"/>
      </w:pPr>
      <w:r>
        <w:t>Procede, sin embargo, descartar la concurrencia de tal óbice, recordando nuestra reiterada doctrina en cuya virtud “es a este tribunal a quien corresponde apreciar si el contenido del recurso justifica una decisión sobre el fondo en razón de su especial trascendencia constitucional, que encuentra su momento procesal idóneo en el trámite de admisión contemplado en el art. 50.1 LOTC” [últimamente, SSTC 46/2019, de 8 de abril, FJ 3 c); 54/2019, FJ 3 c); 58/2019, FJ 3 c); 59/2019, FJ 3 b), las tres últimas de 6 de mayo, y 3/2020, de 15 de enero, FJ 4, así como las anteriores que ahí se citan]. La Sección Tercera de este tribunal, por providencia de 15 de junio de 2020, acordó admitir a trámite el recurso de amparo, “apreciando que concurre en el mismo una especial trascendencia constitucional (art. 50.1 LOTC) porque el recurso plantea un problema o afecta a una faceta de un derecho fundamental sobre el que no hay doctrina de este tribunal [STC 155/2009, FJ 2 a)]”.</w:t>
      </w:r>
    </w:p>
    <w:p w14:paraId="43A7B192" w14:textId="77777777" w:rsidR="008D479B" w:rsidRDefault="008D479B" w:rsidP="008D479B">
      <w:pPr>
        <w:pStyle w:val="TextoNormal"/>
      </w:pPr>
    </w:p>
    <w:p w14:paraId="76AE89A7" w14:textId="450F7FFB" w:rsidR="008D479B" w:rsidRDefault="008D479B" w:rsidP="008D479B">
      <w:pPr>
        <w:pStyle w:val="TextoNormal"/>
      </w:pPr>
      <w:r>
        <w:t>El recurso sigue gozando en este momento de tal cualidad en la medida en que no existe doctrina constitucional sobre los límites a los que queda sujeta la excepción de la cosa juzgada cuando se trata de la aplicación del deber de control de abusividad de las cláusulas contractuales que corresponde a los órganos jurisdiccionales, todo ello en relación con el derecho de acceso a la jurisdicción (art. 24.1 CE).</w:t>
      </w:r>
    </w:p>
    <w:p w14:paraId="643CF263" w14:textId="77777777" w:rsidR="008D479B" w:rsidRDefault="008D479B" w:rsidP="008D479B">
      <w:pPr>
        <w:pStyle w:val="TextoNormal"/>
      </w:pPr>
    </w:p>
    <w:p w14:paraId="2CE6B4BC" w14:textId="77777777" w:rsidR="008D479B" w:rsidRDefault="008D479B" w:rsidP="008D479B">
      <w:pPr>
        <w:pStyle w:val="TextoNormal"/>
      </w:pPr>
      <w:r w:rsidRPr="008D479B">
        <w:rPr>
          <w:rStyle w:val="NumeroAFNegritaCaracter"/>
        </w:rPr>
        <w:t>3</w:t>
      </w:r>
      <w:r>
        <w:t xml:space="preserve">. </w:t>
      </w:r>
      <w:r w:rsidRPr="008D479B">
        <w:rPr>
          <w:i/>
        </w:rPr>
        <w:t>El derecho de acceso a la jurisdicción y el deber de controlar el carácter abusivo de las cláusulas contractuales en los procesos de ejecución</w:t>
      </w:r>
    </w:p>
    <w:p w14:paraId="6FAB2BF9" w14:textId="77777777" w:rsidR="008D479B" w:rsidRDefault="008D479B" w:rsidP="008D479B">
      <w:pPr>
        <w:pStyle w:val="TextoNormal"/>
      </w:pPr>
    </w:p>
    <w:p w14:paraId="1F529C3C" w14:textId="77777777" w:rsidR="008D479B" w:rsidRDefault="008D479B" w:rsidP="008D479B">
      <w:pPr>
        <w:pStyle w:val="TextoNormal"/>
      </w:pPr>
      <w:r>
        <w:t>Para poder resolver debidamente la queja planteada es preciso traer a colación el canon de enjuiciamiento constitucional que debe aplicarse en relación con el derecho de acceso a la jurisdicción (art. 24.1 CE). Igualmente, y dado que se ha negado dicho acceso en atención a la excepción de la cosa juzgada que habría producido un previo procedimiento de ejecución hipotecaria, es necesario también recordar la jurisprudencia constitucional que este tribunal ha sentado en torno a la proyección que respecto del derecho a la tutela judicial efectiva (art. 24.1 CE) tiene el deber de controlar la abusividad de las cláusulas contractuales contenidas en los títulos no judiciales en los procesos de ejecución, conforme a las exigencias que derivan del Derecho de la Unión Europea (Directiva 93/13/CEE del Consejo, de 5 de abril de 1993, sobre las cláusulas abusivas en los contratos celebrados con consumidores y la jurisprudencia del Tribunal de Justicia de la Unión Europea).</w:t>
      </w:r>
    </w:p>
    <w:p w14:paraId="27438A31" w14:textId="77777777" w:rsidR="008D479B" w:rsidRDefault="008D479B" w:rsidP="008D479B">
      <w:pPr>
        <w:pStyle w:val="TextoNormal"/>
      </w:pPr>
    </w:p>
    <w:p w14:paraId="16D2F5F4" w14:textId="77777777" w:rsidR="008D479B" w:rsidRDefault="008D479B" w:rsidP="008D479B">
      <w:pPr>
        <w:pStyle w:val="TextoNormal"/>
      </w:pPr>
      <w:r>
        <w:t>a) El derecho de acceso a la jurisdicción</w:t>
      </w:r>
    </w:p>
    <w:p w14:paraId="41D47E99" w14:textId="77777777" w:rsidR="008D479B" w:rsidRDefault="008D479B" w:rsidP="008D479B">
      <w:pPr>
        <w:pStyle w:val="TextoNormal"/>
      </w:pPr>
    </w:p>
    <w:p w14:paraId="504FDD06" w14:textId="77777777" w:rsidR="008D479B" w:rsidRDefault="008D479B" w:rsidP="008D479B">
      <w:pPr>
        <w:pStyle w:val="TextoNormal"/>
      </w:pPr>
      <w:r>
        <w:t>De acuerdo con una constante y reiterada doctrina sentada a partir de la STC 19/1981, de 8 de junio, y sintetizada más recientemente, entre otras muchas, en la STC 83/2016, de 28 de abril, FJ 5, el primer contenido del derecho a obtener la tutela judicial efectiva que reconoce el art. 24.1 CE es el acceso a la jurisdicción, que se concreta en el derecho a ser parte en el proceso para poder promover la actividad jurisdiccional que desemboque en una decisión judicial sobre las pretensiones deducidas. No se trata, sin embargo, de un derecho de libertad, ejercitable sin más y directamente a partir de la Constitución, ni tampoco de un derecho absoluto e incondicionado a la prestación jurisdiccional, sino de un derecho a obtenerla por los cauces procesales existentes y con sujeción a una concreta ordenación legal que puede establecer límites al pleno acceso a la jurisdicción, siempre que obedezcan a razonables finalidades de protección de bienes e intereses constitucionalmente protegidos. Esto es, al ser un derecho prestacional de configuración legal, su ejercicio y dispensación están supeditados a la concurrencia de los presupuestos y requisitos que haya establecido el legislador para cada sector del ordenamiento procesal. De ahí que el derecho a la tutela judicial efectiva quede satisfecho cuando los órganos judiciales pronuncian una decisión de inadmisión o meramente procesal, apreciando razonadamente la concurrencia en el caso de un óbice fundado en un precepto expreso de la ley, si este es, a su vez, respetuoso con el contenido esencial del derecho fundamental. Por tanto, una decisión judicial de inadmisión no vulnera este derecho, aunque impida entrar en el fondo de la cuestión planteada, si encuentra fundamento en la existencia de una causa legal que resulte aplicada razonablemente.</w:t>
      </w:r>
    </w:p>
    <w:p w14:paraId="61F99005" w14:textId="77777777" w:rsidR="008D479B" w:rsidRDefault="008D479B" w:rsidP="008D479B">
      <w:pPr>
        <w:pStyle w:val="TextoNormal"/>
      </w:pPr>
    </w:p>
    <w:p w14:paraId="558C1947" w14:textId="77777777" w:rsidR="008D479B" w:rsidRDefault="008D479B" w:rsidP="008D479B">
      <w:pPr>
        <w:pStyle w:val="TextoNormal"/>
      </w:pPr>
      <w:r>
        <w:t xml:space="preserve">No obstante, al tratarse en este caso del derecho de acceso a la jurisdicción y operar, en consecuencia, en toda su intensidad el principio </w:t>
      </w:r>
      <w:r w:rsidRPr="008D479B">
        <w:rPr>
          <w:i/>
        </w:rPr>
        <w:t>pro actione</w:t>
      </w:r>
      <w:r>
        <w:t xml:space="preserve">, no solo conculcan este derecho las resoluciones de inadmisión o desestimación que incurran en arbitrariedad, irrazonabilidad o error patente, sino también aquellas que se encuentren basadas en criterios que por su rigorismo, formalismo excesivo o cualquier otra razón revelan una clara desproporción entre los fines que la causa legal preserva y los intereses que se sacrifican. En este sentido, y aunque la verificación de la concurrencia de los presupuestos y requisitos materiales y procesales a que el acceso a la jurisdicción está sujeto constituye en principio una cuestión de mera legalidad ordinaria que corresponde resolver a los jueces y tribunales, en el ejercicio de la potestad jurisdiccional que les atribuye el art. 117.3 CE, hemos señalado también que el control constitucional de las decisiones de inadmisión ha de verificarse de forma especialmente intensa, dada la vigencia en estos casos del principio </w:t>
      </w:r>
      <w:r w:rsidRPr="008D479B">
        <w:rPr>
          <w:i/>
        </w:rPr>
        <w:t>pro actione</w:t>
      </w:r>
      <w:r>
        <w:t>, principio de obligada observancia por los jueces y tribunales, que impide que interpretaciones y aplicaciones de los requisitos establecidos legalmente para acceder al proceso obstaculicen injustificadamente el derecho a que un órgano judicial conozca o resuelva en Derecho sobre la pretensión a él sometida.</w:t>
      </w:r>
    </w:p>
    <w:p w14:paraId="2FF9CB34" w14:textId="77777777" w:rsidR="008D479B" w:rsidRDefault="008D479B" w:rsidP="008D479B">
      <w:pPr>
        <w:pStyle w:val="TextoNormal"/>
      </w:pPr>
    </w:p>
    <w:p w14:paraId="7418C507" w14:textId="77777777" w:rsidR="008D479B" w:rsidRDefault="008D479B" w:rsidP="008D479B">
      <w:pPr>
        <w:pStyle w:val="TextoNormal"/>
      </w:pPr>
      <w:r>
        <w:t xml:space="preserve">Todas estas afirmaciones resultan acordes con el mayor alcance que el Tribunal otorga al principio </w:t>
      </w:r>
      <w:r w:rsidRPr="008D479B">
        <w:rPr>
          <w:i/>
        </w:rPr>
        <w:t>pro actione</w:t>
      </w:r>
      <w:r>
        <w:t xml:space="preserve"> en los supuestos de acceso a la jurisdicción, que obliga a los órganos judiciales a aplicar las normas que regulan los requisitos y presupuestos procesales teniendo siempre presente el fin perseguido por el legislador al establecerlos, evitando cualquier exceso formalista que los convierta en obstáculos procesales impeditivos del acceso a la jurisdicción que garantiza el art. 24 CE, aunque ello no implica necesariamente la selección forzosa de la solución más favorable a la admisión de la demanda de entre todas las posibles, ni puede conducir a que se prescinda de los requisitos establecidos por las leyes que ordenan el proceso en garantía de los derechos de todas las partes.</w:t>
      </w:r>
    </w:p>
    <w:p w14:paraId="6E62F76A" w14:textId="77777777" w:rsidR="008D479B" w:rsidRDefault="008D479B" w:rsidP="008D479B">
      <w:pPr>
        <w:pStyle w:val="TextoNormal"/>
      </w:pPr>
    </w:p>
    <w:p w14:paraId="3FA94A40" w14:textId="77777777" w:rsidR="008D479B" w:rsidRDefault="008D479B" w:rsidP="008D479B">
      <w:pPr>
        <w:pStyle w:val="TextoNormal"/>
      </w:pPr>
      <w:r>
        <w:t>b) El derecho a la tutela judicial efectiva y el deber de controlar el carácter abusivo de las cláusulas contractuales en los procesos de ejecución</w:t>
      </w:r>
    </w:p>
    <w:p w14:paraId="71ECA928" w14:textId="77777777" w:rsidR="008D479B" w:rsidRDefault="008D479B" w:rsidP="008D479B">
      <w:pPr>
        <w:pStyle w:val="TextoNormal"/>
      </w:pPr>
    </w:p>
    <w:p w14:paraId="7166E018" w14:textId="77777777" w:rsidR="008D479B" w:rsidRDefault="008D479B" w:rsidP="008D479B">
      <w:pPr>
        <w:pStyle w:val="TextoNormal"/>
      </w:pPr>
      <w:r>
        <w:t>Desde la STC 31/2019, de 28 de febrero, este tribunal se ha pronunciado en multitud de ocasiones sobre la proyección que respecto del derecho a la tutela judicial efectiva (art. 24.1 CE) tiene el deber de control de abusividad del clausulado de los títulos no judiciales en los procedimientos de ejecución, doctrina recientemente sintetizada en la STC 26/2023, de 17 de abril, FJ 3, en los siguientes puntos, en lo que ahora interesa:</w:t>
      </w:r>
    </w:p>
    <w:p w14:paraId="02D0B437" w14:textId="77777777" w:rsidR="008D479B" w:rsidRDefault="008D479B" w:rsidP="008D479B">
      <w:pPr>
        <w:pStyle w:val="TextoNormal"/>
      </w:pPr>
    </w:p>
    <w:p w14:paraId="2D9D3496" w14:textId="77777777" w:rsidR="008D479B" w:rsidRDefault="008D479B" w:rsidP="008D479B">
      <w:pPr>
        <w:pStyle w:val="TextoNormal"/>
      </w:pPr>
      <w:r>
        <w:t xml:space="preserve">(i) “El Tribunal de Justicia de la Unión Europea ha interpretado que la Directiva 93/13/CEE obliga al juez nacional a apreciar el eventual carácter abusivo de una cláusula cuando disponga de los elementos de hecho y de Derecho necesarios para ello, siempre que la cláusula denunciada no hubiera sido examinada previamente, examen que deberá llevar a cabo permitiendo que el consumidor pueda formular un incidente de oposición cumpliendo con lo que disponga la norma, lo que no exime de la obligación de control de oficio por el órgano judicial. A tal efecto, carece de relevancia el momento o el cauce procesal que se utilice para suscitar ante el órgano jurisdiccional esa cuestión, siempre que el procedimiento aún subsista. En la STJUE de 17 de mayo de 2022, asunto </w:t>
      </w:r>
      <w:r w:rsidRPr="008D479B">
        <w:rPr>
          <w:i/>
        </w:rPr>
        <w:t>Ibercaja Banco, S.A</w:t>
      </w:r>
      <w:r>
        <w:t>., el Tribunal de Justicia, respaldando la jurisprudencia constitucional anterior y reforzando la necesidad de motivación, también ha precisado que en un procedimiento de ejecución hipotecaria ya concluido en que los `derechos de propiedad respecto del bien han sido transmitidos a un tercero, el juez, actuando de oficio o a instancias del consumidor, ya no puede proceder a un examen del carácter abusivo de cláusulas contractuales que llevase a la anulación de los actos de transmisión de la propiedad y cuestionar la seguridad jurídica de la transmisión de la propiedad ya realizada frente a un tercero”.</w:t>
      </w:r>
    </w:p>
    <w:p w14:paraId="611F07B7" w14:textId="77777777" w:rsidR="008D479B" w:rsidRDefault="008D479B" w:rsidP="008D479B">
      <w:pPr>
        <w:pStyle w:val="TextoNormal"/>
      </w:pPr>
    </w:p>
    <w:p w14:paraId="3B3DE9B7" w14:textId="77777777" w:rsidR="008D479B" w:rsidRDefault="008D479B" w:rsidP="008D479B">
      <w:pPr>
        <w:pStyle w:val="TextoNormal"/>
      </w:pPr>
      <w:r>
        <w:t>(ii) “Desde la perspectiva del deber de motivación, hemos sostenido que la simple mención genérica de que la demanda cumple con los requisitos previstos en el art. 685 de la Ley de enjuiciamiento civil y que el título es susceptible de ejecución es insuficiente a los efectos de considerar que, sin género de dudas, se realizó el previo control, máxime cuando de dicha argumentación se hará depender el acceso a un pronunciamiento de fondo al que el órgano judicial, de acuerdo con el Derecho de la Unión, debe proceder de oficio de haber razones para ello, pues mal se puede realizar un control —ni siquiera externo— de lo que carece de un razonamiento expreso”.</w:t>
      </w:r>
    </w:p>
    <w:p w14:paraId="000D9981" w14:textId="77777777" w:rsidR="008D479B" w:rsidRDefault="008D479B" w:rsidP="008D479B">
      <w:pPr>
        <w:pStyle w:val="TextoNormal"/>
      </w:pPr>
    </w:p>
    <w:p w14:paraId="512B4056" w14:textId="344E1A62" w:rsidR="008D479B" w:rsidRDefault="008D479B" w:rsidP="008D479B">
      <w:pPr>
        <w:pStyle w:val="TextoNormal"/>
      </w:pPr>
      <w:r>
        <w:t xml:space="preserve">(iii) “La necesidad de motivación de esos pronunciamientos, aparte de venir impuesta en el art. 120.3 CE es una exigencia derivada del art. 24.1 CE con el fin de que se puedan conocer las razones de la decisión que aquellas contienen, además de que el derecho a obtener una resolución fundada en Derecho, favorable o adversa, es garantía frente a la arbitrariedad e irrazonabilidad de los poderes públicos. Ello implica, en primer lugar, que la resolución ha de estar motivada, es decir, contener los elementos y razones de juicio que permitan conocer cuáles han sido los criterios jurídicos que fundamentan la decisión; y, en segundo lugar, que la motivación esté fundada en Derecho, carga que no queda cumplida con la mera emisión de una declaración de voluntad en un sentido u otro, sino que debe ser consecuencia de una exégesis racional del ordenamiento y no fruto de la arbitrariedad. En ese mismo sentido el Tribunal de Justicia en la ya citada sentencia </w:t>
      </w:r>
      <w:r w:rsidRPr="008D479B">
        <w:rPr>
          <w:i/>
        </w:rPr>
        <w:t>Ibercaja Banco</w:t>
      </w:r>
      <w:r>
        <w:t>, ha explicado que ‘no podría garantizarse un control eficaz del eventual carácter abusivo de las cláusulas contractuales […] si la fuerza de cosa juzgada se extendiera también a las resoluciones judiciales que no mencionan tal control’”.</w:t>
      </w:r>
    </w:p>
    <w:p w14:paraId="2963A1F6" w14:textId="77777777" w:rsidR="008D479B" w:rsidRDefault="008D479B" w:rsidP="008D479B">
      <w:pPr>
        <w:pStyle w:val="TextoNormal"/>
      </w:pPr>
    </w:p>
    <w:p w14:paraId="7D07BEAD" w14:textId="77777777" w:rsidR="008D479B" w:rsidRDefault="008D479B" w:rsidP="008D479B">
      <w:pPr>
        <w:pStyle w:val="TextoNormal"/>
      </w:pPr>
      <w:r w:rsidRPr="008D479B">
        <w:rPr>
          <w:rStyle w:val="NumeroAFNegritaCaracter"/>
        </w:rPr>
        <w:t>4</w:t>
      </w:r>
      <w:r>
        <w:t xml:space="preserve">. </w:t>
      </w:r>
      <w:r w:rsidRPr="008D479B">
        <w:rPr>
          <w:i/>
        </w:rPr>
        <w:t>Los límites a la excepción de la cosa juzgada que derivan del deber de motivación que exige el control de abusividad de las cláusulas contractuales (art. 24 CE)</w:t>
      </w:r>
    </w:p>
    <w:p w14:paraId="64D4BECB" w14:textId="77777777" w:rsidR="008D479B" w:rsidRDefault="008D479B" w:rsidP="008D479B">
      <w:pPr>
        <w:pStyle w:val="TextoNormal"/>
      </w:pPr>
    </w:p>
    <w:p w14:paraId="7638F83D" w14:textId="77777777" w:rsidR="008D479B" w:rsidRDefault="008D479B" w:rsidP="008D479B">
      <w:pPr>
        <w:pStyle w:val="TextoNormal"/>
      </w:pPr>
      <w:r>
        <w:t>a) En el presente recurso de amparo la parte recurrente denuncia en su demanda que se le ha negado en el procedimiento declarativo, iniciado tras la finalización de un procedimiento de ejecución hipotecaria, la revisión de una cláusula contractual contenida en su contrato de préstamo hipotecario, en concreto, la cláusula que permite el vencimiento anticipado de dicho préstamo.</w:t>
      </w:r>
    </w:p>
    <w:p w14:paraId="220EF30A" w14:textId="77777777" w:rsidR="008D479B" w:rsidRDefault="008D479B" w:rsidP="008D479B">
      <w:pPr>
        <w:pStyle w:val="TextoNormal"/>
      </w:pPr>
    </w:p>
    <w:p w14:paraId="4684AA9D" w14:textId="77777777" w:rsidR="008D479B" w:rsidRDefault="008D479B" w:rsidP="008D479B">
      <w:pPr>
        <w:pStyle w:val="TextoNormal"/>
      </w:pPr>
      <w:r>
        <w:t>Las resoluciones judiciales recurridas en amparo han negado el examen de su pretensión, sobreseyendo el procedimiento y fundamentando que concurría la excepción de la cosa juzgada en la medida en que previamente se había tramitado un procedimiento de ejecución hipotecaria, con fundamento en dicho contrato de préstamo hipotecario, en el que el examen de abusividad de la cláusula de vencimiento anticipado podía haberse promovido por el recurrente. En este sentido los arts. 136, 207.3 y 4 LEC, se opondrían a un nuevo control de abusividad en un procedimiento declarativo, porque cuando pudo haber un control de abusividad en el procedimiento de ejecución hipotecaria, se produce el efecto de la cosa juzgada. Las citadas resoluciones judiciales reconocen que dicho examen de abusividad de la cláusula de vencimiento anticipado no tuvo lugar en el procedimiento de ejecución hipotecaria tramitado previamente, pero consideran que el mismo efecto se produce dado que el recurrente pudo alegar la abusividad de dicha cláusula contractual y no lo hizo. Fundamentan así que dicho efecto deriva también de la doctrina sentada por el Tribunal Supremo en las sentencias 1028/2006 de 10 de octubre, 462/2014, de 24 de noviembre, y 526/2017, de 27 de noviembre.</w:t>
      </w:r>
    </w:p>
    <w:p w14:paraId="0361FC46" w14:textId="77777777" w:rsidR="008D479B" w:rsidRDefault="008D479B" w:rsidP="008D479B">
      <w:pPr>
        <w:pStyle w:val="TextoNormal"/>
      </w:pPr>
    </w:p>
    <w:p w14:paraId="616FF3C9" w14:textId="77777777" w:rsidR="008D479B" w:rsidRDefault="008D479B" w:rsidP="008D479B">
      <w:pPr>
        <w:pStyle w:val="TextoNormal"/>
      </w:pPr>
      <w:r>
        <w:t>b) A la luz de la doctrina constitucional a la que hemos hecho referencia en el fundamento jurídico anterior, este tribunal entiende que la interpretación y aplicación de la excepción de la cosa juzgada que hacen las resoluciones judiciales recurridas en amparo para sobreseer el procedimiento declarativo instado por el recurrente con el fin de examinar la abusividad de la cláusula de vencimiento anticipado, no puede considerarse respetuosa con el derecho de acceso a la jurisdicción.</w:t>
      </w:r>
    </w:p>
    <w:p w14:paraId="514AF10C" w14:textId="77777777" w:rsidR="008D479B" w:rsidRDefault="008D479B" w:rsidP="008D479B">
      <w:pPr>
        <w:pStyle w:val="TextoNormal"/>
      </w:pPr>
    </w:p>
    <w:p w14:paraId="49F3E5A1" w14:textId="77777777" w:rsidR="008D479B" w:rsidRDefault="008D479B" w:rsidP="008D479B">
      <w:pPr>
        <w:pStyle w:val="TextoNormal"/>
      </w:pPr>
      <w:r>
        <w:t xml:space="preserve">(i) La cosa juzgada, como ya reconocimos en la STC 31/2019, es efectivamente una de las excepciones que el Tribunal de Justicia de la Unión Europea reconoce a la obligación del juez nacional de llevar a cabo un control de la abusividad de las cláusulas contractuales (entre otras, en las SSTJUE </w:t>
      </w:r>
      <w:r w:rsidRPr="008D479B">
        <w:rPr>
          <w:i/>
        </w:rPr>
        <w:t>Gutiérrez Naranjo</w:t>
      </w:r>
      <w:r>
        <w:t xml:space="preserve">, § 68, y </w:t>
      </w:r>
      <w:r w:rsidRPr="008D479B">
        <w:rPr>
          <w:i/>
        </w:rPr>
        <w:t>Banco Primus</w:t>
      </w:r>
      <w:r>
        <w:t>, § 49). Es decir, no existe una obligación de llevar a cabo un control de abusividad cuando la cláusula ya ha sido examinada en un anterior control judicial que hubiera concluido con la adopción de una resolución con fuerza de cosa jugada (STC 31/2019, FJ 6).</w:t>
      </w:r>
    </w:p>
    <w:p w14:paraId="70C3C0B8" w14:textId="77777777" w:rsidR="008D479B" w:rsidRDefault="008D479B" w:rsidP="008D479B">
      <w:pPr>
        <w:pStyle w:val="TextoNormal"/>
      </w:pPr>
    </w:p>
    <w:p w14:paraId="0DA63CFD" w14:textId="77777777" w:rsidR="008D479B" w:rsidRDefault="008D479B" w:rsidP="008D479B">
      <w:pPr>
        <w:pStyle w:val="TextoNormal"/>
      </w:pPr>
      <w:r>
        <w:t>No obstante, como ya apreciamos en la STC 50/2021, de 3 de marzo, FJ 3 solo ante una motivación expresa sobre el carácter abusivo o no abusivo de una cláusula contractual “podría jugar la excepción de cosa juzgada aceptada por la jurisprudencia constitucional en relación con la obligación del control del clausulado. Resulta concluyente, en efecto, la especial incidencia que se hizo en la STC 31/2019 a la irrazonabilidad que, desde la perspectiva del art. 24.1 CE, implica argumentar que se había realizado un determinado control judicial en una resolución que carecía de ningún razonamiento expreso sobre el particular”.</w:t>
      </w:r>
    </w:p>
    <w:p w14:paraId="33845BD3" w14:textId="77777777" w:rsidR="008D479B" w:rsidRDefault="008D479B" w:rsidP="008D479B">
      <w:pPr>
        <w:pStyle w:val="TextoNormal"/>
      </w:pPr>
    </w:p>
    <w:p w14:paraId="7541A06E" w14:textId="77777777" w:rsidR="008D479B" w:rsidRDefault="008D479B" w:rsidP="008D479B">
      <w:pPr>
        <w:pStyle w:val="TextoNormal"/>
      </w:pPr>
      <w:r>
        <w:t>Y dicha necesidad de motivación, “implica, en primer lugar, que la resolución ha de […] contener los elementos y razones de juicio que permitan conocer cuáles han sido los criterios jurídicos que fundamentan la decisión; y, en segundo lugar, que la motivación esté fundada en Derecho, carga que no queda cumplida con la mera emisión de una declaración de voluntad en un sentido u otro, sino que debe ser consecuencia de una exégesis racional del ordenamiento y no fruto de la arbitrariedad” (STC 26/2023, FJ 3).</w:t>
      </w:r>
    </w:p>
    <w:p w14:paraId="39C93E24" w14:textId="77777777" w:rsidR="008D479B" w:rsidRDefault="008D479B" w:rsidP="008D479B">
      <w:pPr>
        <w:pStyle w:val="TextoNormal"/>
      </w:pPr>
    </w:p>
    <w:p w14:paraId="2D8D6361" w14:textId="77777777" w:rsidR="008D479B" w:rsidRDefault="008D479B" w:rsidP="008D479B">
      <w:pPr>
        <w:pStyle w:val="TextoNormal"/>
      </w:pPr>
      <w:r>
        <w:t xml:space="preserve">Como ya explicamos en la STC 26/2023, estas exigencias de motivación y su relación con la excepción de cosa juzgada han sido confirmadas por la STJUE </w:t>
      </w:r>
      <w:r w:rsidRPr="008D479B">
        <w:rPr>
          <w:i/>
        </w:rPr>
        <w:t>Ibercaja Banco</w:t>
      </w:r>
      <w:r>
        <w:t>, que parte de que “la obligación del órgano jurisdiccional nacional de realizar un control de oficio del eventual carácter abusivo de las cláusulas contractuales está justificada por la naturaleza y la importancia del interés público en que se basa la protección que la Directiva 93/13 otorga a los consumidores”, para añadir a continuación que “[p]ues bien, no podría garantizarse un control eficaz del eventual carácter abusivo de las cláusulas contractuales, tal como se exige en la Directiva 93/13 si la fuerza de cosa juzgada se extendiera también a las resoluciones judiciales que no mencionan tal control” (§ 50).</w:t>
      </w:r>
    </w:p>
    <w:p w14:paraId="06DFEDAD" w14:textId="77777777" w:rsidR="008D479B" w:rsidRDefault="008D479B" w:rsidP="008D479B">
      <w:pPr>
        <w:pStyle w:val="TextoNormal"/>
      </w:pPr>
    </w:p>
    <w:p w14:paraId="3F83C9DC" w14:textId="77777777" w:rsidR="008D479B" w:rsidRDefault="008D479B" w:rsidP="008D479B">
      <w:pPr>
        <w:pStyle w:val="TextoNormal"/>
      </w:pPr>
      <w:r>
        <w:t xml:space="preserve">En el supuesto que nos ocupa las resoluciones judiciales recurridas en amparo admiten que no hubo un pronunciamiento sobre la abusividad de la cláusula de vencimiento anticipado en el procedimiento de ejecución hipotecaria tramitado previamente. Es más, cabe notar que la audiencia provincial revocó la decisión de sobreseimiento de la ejecución hipotecaria adoptada por el Juzgado de Primera Instancia núm. 5 de Catarroja, que se fundamentaba precisamente en la abusividad de dicha cláusula, y ello por considerar que el examen de abusividad llevado a cabo por dicho órgano judicial había sido extemporáneo al haberse señalado ya la fecha para la subasta. De este modo, no solo no hubo un pronunciamiento sobre el carácter abusivo o no de la cláusula contractual de vencimiento anticipado, sino que se impidió al propio órgano judicial que tramitaba la ejecución hipotecaria cumplir con su obligación de examinar de oficio la abusividad de dicha cláusula contractual “tan pronto como disponga de los elementos de hecho y de Derecho necesarios para ello” (por todas, la STJUE </w:t>
      </w:r>
      <w:r w:rsidRPr="008D479B">
        <w:rPr>
          <w:i/>
        </w:rPr>
        <w:t>Ibercaja Banco</w:t>
      </w:r>
      <w:r>
        <w:t xml:space="preserve"> § 37 y la jurisprudencia que cita).</w:t>
      </w:r>
    </w:p>
    <w:p w14:paraId="6603C76B" w14:textId="77777777" w:rsidR="008D479B" w:rsidRDefault="008D479B" w:rsidP="008D479B">
      <w:pPr>
        <w:pStyle w:val="TextoNormal"/>
      </w:pPr>
    </w:p>
    <w:p w14:paraId="1F99D362" w14:textId="77777777" w:rsidR="008D479B" w:rsidRDefault="008D479B" w:rsidP="008D479B">
      <w:pPr>
        <w:pStyle w:val="TextoNormal"/>
      </w:pPr>
      <w:r>
        <w:t xml:space="preserve">Por lo tanto, con arreglo a las consideraciones que preceden, cabe concluir que no resulta conforme al principio </w:t>
      </w:r>
      <w:r w:rsidRPr="008D479B">
        <w:rPr>
          <w:i/>
        </w:rPr>
        <w:t>pro actione</w:t>
      </w:r>
      <w:r>
        <w:t xml:space="preserve"> la apreciación de la concurrencia de la cosa juzgada en un procedimiento declarativo posterior en el que se suscita la abusividad de una determinada cláusula contractual contenida en un contrato de préstamo hipotecario, si en el procedimiento de ejecución hipotecaria tramitado previamente no existe ninguna resolución judicial que haya llevado a cabo el examen de abusividad de dicha cláusula contractual. Y ello aun cuando el interesado pudo haber promovido dicho control de abusividad en el procedimiento de ejecución hipotecaria, dado que el efecto de cosa juzgada, como ya hemos explicado, solo se predica de las resoluciones judiciales firmes que se pronuncian sobre el carácter abusivo o no de una cláusula contractual. El propio Tribunal de Justicia ha venido recientemente a reconocer que cuando no existe tal pronunciamiento “no será posible oponer al consumidor […] en un procedimiento declarativo posterior, ni la autoridad de cosa juzgada, ni la preclusión para privarle de la protección contra las cláusulas abusivas conferida en los artículos 6, apartado 1, y 7, apartado 1, de la Directiva 93/13” (STJUE </w:t>
      </w:r>
      <w:r w:rsidRPr="008D479B">
        <w:rPr>
          <w:i/>
        </w:rPr>
        <w:t>Ibercaja Banco</w:t>
      </w:r>
      <w:r>
        <w:t>, § 56).</w:t>
      </w:r>
    </w:p>
    <w:p w14:paraId="53C96159" w14:textId="77777777" w:rsidR="008D479B" w:rsidRDefault="008D479B" w:rsidP="008D479B">
      <w:pPr>
        <w:pStyle w:val="TextoNormal"/>
      </w:pPr>
    </w:p>
    <w:p w14:paraId="1768D325" w14:textId="77777777" w:rsidR="008D479B" w:rsidRDefault="008D479B" w:rsidP="008D479B">
      <w:pPr>
        <w:pStyle w:val="TextoNormal"/>
      </w:pPr>
      <w:r>
        <w:t>(ii) La opción que tiene el consumidor en dichas circunstancias de iniciar un procedimiento declarativo posterior no resulta contraria al hecho, puesto de manifiesto por la audiencia provincial, de que el procedimiento de ejecución hipotecaria hubiera finalizado con la subasta de la finca hipotecada y adjudicación de la misma.</w:t>
      </w:r>
    </w:p>
    <w:p w14:paraId="57F3DBB9" w14:textId="77777777" w:rsidR="008D479B" w:rsidRDefault="008D479B" w:rsidP="008D479B">
      <w:pPr>
        <w:pStyle w:val="TextoNormal"/>
      </w:pPr>
    </w:p>
    <w:p w14:paraId="1C7F69EE" w14:textId="77777777" w:rsidR="008D479B" w:rsidRDefault="008D479B" w:rsidP="008D479B">
      <w:pPr>
        <w:pStyle w:val="TextoNormal"/>
      </w:pPr>
      <w:r>
        <w:t>En efecto, como ya explicamos en la STC 26/2023, el Tribunal de Justicia, en la sentencia “de 17 de mayo de 2022, asunto Ibercaja Banco, S.A., […] ha precisado que en un procedimiento de ejecución hipotecaria ya concluido en que los ‘derechos de propiedad respecto del bien han sido transmitidos a un tercero, el juez, actuando de oficio o a instancias del consumidor, ya no puede proceder a un examen del carácter abusivo de cláusulas contractuales que llevase a la anulación de los actos de transmisión de la propiedad y cuestionar la seguridad jurídica de la transmisión de la propiedad ya realizada frente a un tercero’”.</w:t>
      </w:r>
    </w:p>
    <w:p w14:paraId="74A59A40" w14:textId="77777777" w:rsidR="008D479B" w:rsidRDefault="008D479B" w:rsidP="008D479B">
      <w:pPr>
        <w:pStyle w:val="TextoNormal"/>
      </w:pPr>
    </w:p>
    <w:p w14:paraId="6F7BCC43" w14:textId="77777777" w:rsidR="008D479B" w:rsidRDefault="008D479B" w:rsidP="008D479B">
      <w:pPr>
        <w:pStyle w:val="TextoNormal"/>
      </w:pPr>
      <w:r>
        <w:t xml:space="preserve">Se reconoce así por el Tribunal de Justicia que la seguridad jurídica de la transmisión de la propiedad ya realizada frente a un tercero impide llevar a cabo dicho control de abusividad en el seno del procedimiento de ejecución hipotecaria, cuestión que es ajena al presente recurso de amparo dado que el control de abusividad se insta en un procedimiento declarativo posterior, y no en el procedimiento de ejecución hipotecaria en cuyo seno se ha producido la transmisión de la propiedad. El propio Tribunal de Justicia apreció en la STJUE </w:t>
      </w:r>
      <w:r w:rsidRPr="008D479B">
        <w:rPr>
          <w:i/>
        </w:rPr>
        <w:t>Ibercaja Banco</w:t>
      </w:r>
      <w:r>
        <w:t xml:space="preserve"> que en tal situación, “el consumidor, conforme a los artículos 6, apartado 1, y 7, apartado 1, de la Directiva 93/13, interpretados a la luz del principio de efectividad, debe poder invocar en un procedimiento posterior distinto el carácter abusivo de las cláusulas del contrato de préstamo” (§ 58), añadiendo que dicho procedimiento posterior lo es “con el fin de obtener la reparación, en virtud de la citada directiva, de las consecuencias económicas resultantes de la aplicación de cláusulas abusivas” (§ 59).</w:t>
      </w:r>
    </w:p>
    <w:p w14:paraId="7B000B63" w14:textId="77777777" w:rsidR="008D479B" w:rsidRDefault="008D479B" w:rsidP="008D479B">
      <w:pPr>
        <w:pStyle w:val="TextoNormal"/>
      </w:pPr>
    </w:p>
    <w:p w14:paraId="3CDB013B" w14:textId="77777777" w:rsidR="008D479B" w:rsidRDefault="008D479B" w:rsidP="008D479B">
      <w:pPr>
        <w:pStyle w:val="TextoNormal"/>
      </w:pPr>
      <w:r>
        <w:t>(iii) Finalmente, en relación con la jurisprudencia del Tribunal Supremo en la que se apoya la sentencia de la audiencia provincial, para razonar que cabe apreciar la existencia de cosa juzgada, que determina la improcedencia del juicio declarativo posterior, cuando en el procedimiento de ejecución hipotecaria el ejecutado tuvo la posibilidad procesal para oponer la abusividad de las cláusulas contractuales, y no formuló dicha oposición, debe señalarse que los presupuestos para la aplicación de la excepción de la cosa juzgada que pueda derivar de procedimientos de ejecución iniciados tras la entrada en vigor de la Ley 1/2013, que es el supuesto que nos ocupa, ha sido abordada recientemente en las SSTS de la Sala primera 1215/2023, de 4 de septiembre, y 1216/2023 de 7 de septiembre. De dichas sentencias se desprende que en dicha situación no puede apreciarse la existencia de cosa juzgada, dado que “no existiendo una resolución firme, dictada en el proceso de ejecución, que contenga un pronunciamiento expreso y motivado, al menos sucintamente, que enjuicie, de oficio o a instancia de parte, el carácter abusivo [de una cláusula contractual], ya sea para declarar su carácter abusivo, ya sea para rechazarlo, no existe litispendencia ni cosa juzgada, ni se ha producido la preclusión respecto de la posibilidad de solicitar la nulidad de tal cláusula , por abusiva, en un proceso ordinario” (STS 1215/2023, FJ 5).</w:t>
      </w:r>
    </w:p>
    <w:p w14:paraId="60B027F2" w14:textId="77777777" w:rsidR="008D479B" w:rsidRDefault="008D479B" w:rsidP="008D479B">
      <w:pPr>
        <w:pStyle w:val="TextoNormal"/>
      </w:pPr>
    </w:p>
    <w:p w14:paraId="046B4039" w14:textId="509DD3DE" w:rsidR="008D479B" w:rsidRDefault="008D479B" w:rsidP="008D479B">
      <w:pPr>
        <w:pStyle w:val="TextoNormal"/>
      </w:pPr>
      <w:r>
        <w:t>(iv) De esta forma, y en virtud de todo lo expuesto, cabe concluir que la interpretación y aplicación de la excepción de la cosa juzgada llevada a cabo por las resoluciones judiciales recurridas en amparo, sobreseyendo el procedimiento declarativo instado por el recurrente con la finalidad de declarar abusiva la cláusula de vencimiento anticipado, cuando no existe una resolución firme en el procedimiento de ejecución hipotecaria tramitado previamente que se pronuncie expresamente sobre el carácter abusivo de dicha cláusula, ha constituido un obstáculo injustificado al derecho a que un órgano judicial conozca o resuelva en Derecho sobre la pretensión a él sometida, con la consiguiente vulneración de su derecho a la tutela judicial efectiva (art. 24.1 CE).</w:t>
      </w:r>
    </w:p>
    <w:p w14:paraId="11A716D8" w14:textId="77777777" w:rsidR="008D479B" w:rsidRDefault="008D479B" w:rsidP="008D479B">
      <w:pPr>
        <w:pStyle w:val="TextoNormal"/>
      </w:pPr>
    </w:p>
    <w:p w14:paraId="6BA0387C" w14:textId="77777777" w:rsidR="008D479B" w:rsidRDefault="008D479B" w:rsidP="008D479B">
      <w:pPr>
        <w:pStyle w:val="TextoNormal"/>
      </w:pPr>
      <w:r w:rsidRPr="008D479B">
        <w:rPr>
          <w:rStyle w:val="NumeroAFNegritaCaracter"/>
        </w:rPr>
        <w:t>5</w:t>
      </w:r>
      <w:r>
        <w:t xml:space="preserve">. </w:t>
      </w:r>
      <w:r w:rsidRPr="008D479B">
        <w:rPr>
          <w:i/>
        </w:rPr>
        <w:t>Efectos de la estimación del recurso</w:t>
      </w:r>
    </w:p>
    <w:p w14:paraId="3758C76E" w14:textId="77777777" w:rsidR="008D479B" w:rsidRDefault="008D479B" w:rsidP="008D479B">
      <w:pPr>
        <w:pStyle w:val="TextoNormal"/>
      </w:pPr>
    </w:p>
    <w:p w14:paraId="79CD248A" w14:textId="77777777" w:rsidR="008D479B" w:rsidRDefault="008D479B" w:rsidP="008D479B">
      <w:pPr>
        <w:pStyle w:val="TextoNormal"/>
      </w:pPr>
      <w:r>
        <w:t xml:space="preserve">Como efectos derivados de la estimación de la queja de la demanda y con ella la del recurso interpuesto, procede, en primer lugar, declarar vulnerado el derecho a la tutela judicial efectiva del recurrente. En segundo término, acordar la nulidad del auto núm. 520/2018, de 3 de septiembre, dictado por el Juzgado de Primera Instancia núm. 25 </w:t>
      </w:r>
      <w:r w:rsidRPr="008D479B">
        <w:rPr>
          <w:i/>
        </w:rPr>
        <w:t>bis</w:t>
      </w:r>
      <w:r>
        <w:t xml:space="preserve"> de Valencia, así como del auto núm. 253/2019, de 16 de julio, dictado por la Audiencia Provincial de Valencia.</w:t>
      </w:r>
    </w:p>
    <w:p w14:paraId="6878C76E" w14:textId="77777777" w:rsidR="008D479B" w:rsidRDefault="008D479B" w:rsidP="008D479B">
      <w:pPr>
        <w:pStyle w:val="TextoNormal"/>
      </w:pPr>
    </w:p>
    <w:p w14:paraId="4C5C4A65" w14:textId="48BCD429" w:rsidR="008D479B" w:rsidRDefault="008D479B" w:rsidP="008D479B">
      <w:pPr>
        <w:pStyle w:val="TextoNormal"/>
      </w:pPr>
      <w:r>
        <w:t xml:space="preserve">Por último y a fin de reparar su derecho fundamental, se ordena la retroacción de actuaciones al momento inmediatamente anterior al del dictado del auto núm. 520/2018, para que el Juzgado de Primera Instancia núm. 25 </w:t>
      </w:r>
      <w:r w:rsidRPr="008D479B">
        <w:rPr>
          <w:i/>
        </w:rPr>
        <w:t>bis</w:t>
      </w:r>
      <w:r>
        <w:t xml:space="preserve"> de Valencia resuelva en los términos que se explicitan en el anterior fundamento jurídico.</w:t>
      </w:r>
    </w:p>
    <w:p w14:paraId="733C2952" w14:textId="77777777" w:rsidR="008D479B" w:rsidRDefault="008D479B" w:rsidP="008D479B">
      <w:pPr>
        <w:pStyle w:val="TextoNormal"/>
      </w:pPr>
    </w:p>
    <w:p w14:paraId="01358BBD" w14:textId="77777777" w:rsidR="008D479B" w:rsidRDefault="008D479B" w:rsidP="008D479B">
      <w:pPr>
        <w:pStyle w:val="TextoNormalCentrado"/>
        <w:keepNext/>
      </w:pPr>
      <w:r>
        <w:t>FALLO</w:t>
      </w:r>
    </w:p>
    <w:p w14:paraId="2CCE39A5" w14:textId="7E864C99" w:rsidR="008D479B" w:rsidRDefault="008D479B" w:rsidP="008D479B">
      <w:pPr>
        <w:pStyle w:val="TextoNormalCentrado"/>
        <w:keepNext/>
      </w:pPr>
    </w:p>
    <w:p w14:paraId="4FD7D306" w14:textId="77777777" w:rsidR="008D479B" w:rsidRDefault="008D479B" w:rsidP="008D479B">
      <w:pPr>
        <w:pStyle w:val="TextoNormal"/>
      </w:pPr>
      <w:r>
        <w:t>En atención a todo lo expuesto, el Tribunal Constitucional, por la autoridad que le confiere la Constitución de la Nación española, ha decidido estimar el recurso de amparo interpuesto por don Salvador Fortea Canoves y, en consecuencia:</w:t>
      </w:r>
    </w:p>
    <w:p w14:paraId="6CDC4717" w14:textId="77777777" w:rsidR="008D479B" w:rsidRDefault="008D479B" w:rsidP="008D479B">
      <w:pPr>
        <w:pStyle w:val="TextoNormal"/>
      </w:pPr>
    </w:p>
    <w:p w14:paraId="6E305064" w14:textId="77777777" w:rsidR="008D479B" w:rsidRDefault="008D479B" w:rsidP="008D479B">
      <w:pPr>
        <w:pStyle w:val="TextoNormal"/>
      </w:pPr>
      <w:r>
        <w:t>1º Declarar que ha sido vulnerado el derecho fundamental del demandante de amparo a la tutela judicial efectiva sin indefensión (art. 24.1 CE).</w:t>
      </w:r>
    </w:p>
    <w:p w14:paraId="7845AB16" w14:textId="77777777" w:rsidR="008D479B" w:rsidRDefault="008D479B" w:rsidP="008D479B">
      <w:pPr>
        <w:pStyle w:val="TextoNormal"/>
      </w:pPr>
    </w:p>
    <w:p w14:paraId="62DE99F8" w14:textId="77777777" w:rsidR="008D479B" w:rsidRDefault="008D479B" w:rsidP="008D479B">
      <w:pPr>
        <w:pStyle w:val="TextoNormal"/>
      </w:pPr>
      <w:r>
        <w:t xml:space="preserve">2º Restablecerle en su derecho y, a tal fin, declarar la nulidad del auto núm. 520/2018, de 3 de septiembre, dictado por el Juzgado de Primera Instancia núm. 25 </w:t>
      </w:r>
      <w:r w:rsidRPr="008D479B">
        <w:rPr>
          <w:i/>
        </w:rPr>
        <w:t>bis</w:t>
      </w:r>
      <w:r>
        <w:t xml:space="preserve"> de Valencia, así como del auto núm. 253/2019, de 16 de julio, dictado por la Audiencia Provincial de Valencia.</w:t>
      </w:r>
    </w:p>
    <w:p w14:paraId="0988837B" w14:textId="77777777" w:rsidR="008D479B" w:rsidRDefault="008D479B" w:rsidP="008D479B">
      <w:pPr>
        <w:pStyle w:val="TextoNormal"/>
      </w:pPr>
    </w:p>
    <w:p w14:paraId="4E7686AD" w14:textId="1590B45D" w:rsidR="008D479B" w:rsidRDefault="008D479B" w:rsidP="008D479B">
      <w:pPr>
        <w:pStyle w:val="TextoNormal"/>
      </w:pPr>
      <w:r>
        <w:t>3º Retrotraer las actuaciones al momento inmediatamente anterior al dictado de la primera de esas resoluciones para que el órgano judicial dicte una nueva resolución que sea respetuosa con el derecho fundamental vulnerado.</w:t>
      </w:r>
    </w:p>
    <w:p w14:paraId="7926939C" w14:textId="77777777" w:rsidR="008D479B" w:rsidRDefault="008D479B" w:rsidP="008D479B">
      <w:pPr>
        <w:pStyle w:val="TextoNormal"/>
      </w:pPr>
    </w:p>
    <w:p w14:paraId="0B077FE4" w14:textId="77777777" w:rsidR="008D479B" w:rsidRDefault="008D479B" w:rsidP="008D479B">
      <w:pPr>
        <w:pStyle w:val="TextoNormal"/>
      </w:pPr>
      <w:r>
        <w:t>Publíquese esta sentencia en el “Boletín Oficial del Estado”.</w:t>
      </w:r>
    </w:p>
    <w:p w14:paraId="65B29CBC" w14:textId="77777777" w:rsidR="008D479B" w:rsidRDefault="008D479B" w:rsidP="008D479B">
      <w:pPr>
        <w:pStyle w:val="TextoNormal"/>
      </w:pPr>
      <w:r>
        <w:t>Dada en Madrid, a once de diciembre de dos mil veintitrés.</w:t>
      </w:r>
    </w:p>
    <w:p w14:paraId="2D4537DC" w14:textId="537CB229" w:rsidR="008D479B" w:rsidRDefault="008D479B">
      <w:pPr>
        <w:spacing w:after="160" w:line="278" w:lineRule="auto"/>
        <w:rPr>
          <w:rFonts w:ascii="Times New Roman" w:eastAsia="Times New Roman" w:hAnsi="Times New Roman" w:cs="Times New Roman"/>
          <w:sz w:val="24"/>
          <w:szCs w:val="24"/>
          <w:lang w:eastAsia="es-ES"/>
        </w:rPr>
      </w:pPr>
      <w:r>
        <w:br w:type="page"/>
      </w:r>
    </w:p>
    <w:p w14:paraId="4D7B5B93" w14:textId="77777777" w:rsidR="008D479B" w:rsidRDefault="008D479B" w:rsidP="008D479B">
      <w:pPr>
        <w:pStyle w:val="TtuloResolucin"/>
      </w:pPr>
      <w:bookmarkStart w:id="98" w:name="SENTENCIA_2023_173"/>
      <w:r>
        <w:t>SENTENCIA 173/2023, de 11 de diciembre de 2023</w:t>
      </w:r>
    </w:p>
    <w:bookmarkEnd w:id="98"/>
    <w:p w14:paraId="49620970" w14:textId="77777777" w:rsidR="008D479B" w:rsidRDefault="008D479B" w:rsidP="008D479B">
      <w:pPr>
        <w:pStyle w:val="TtuloResolucin"/>
      </w:pPr>
      <w:r>
        <w:t>Sala Primera</w:t>
      </w:r>
    </w:p>
    <w:p w14:paraId="01F9FC81" w14:textId="77777777" w:rsidR="008D479B" w:rsidRDefault="008D479B" w:rsidP="008D479B">
      <w:pPr>
        <w:pStyle w:val="TtuloBOE"/>
      </w:pPr>
      <w:r>
        <w:t>(BOE núm. 16, de 18 de enero de 2024)</w:t>
      </w:r>
    </w:p>
    <w:p w14:paraId="78897878" w14:textId="77777777" w:rsidR="008D479B" w:rsidRDefault="008D479B" w:rsidP="008D479B">
      <w:pPr>
        <w:pStyle w:val="TextoNormalCentrado"/>
      </w:pPr>
      <w:r>
        <w:t>ECLI:ES:TC:2023:173</w:t>
      </w:r>
    </w:p>
    <w:p w14:paraId="56BE4519" w14:textId="5C6DBA1B" w:rsidR="008D479B" w:rsidRDefault="008D479B" w:rsidP="008D479B">
      <w:pPr>
        <w:pStyle w:val="TextoNormalCentrado"/>
      </w:pPr>
    </w:p>
    <w:p w14:paraId="1435E916" w14:textId="77777777" w:rsidR="008D479B" w:rsidRDefault="008D479B" w:rsidP="008D479B">
      <w:pPr>
        <w:pStyle w:val="SntesisDescriptiva"/>
      </w:pPr>
      <w:r>
        <w:t>Recurso de amparo 1965-2021. Promovido por el Consejo de las Mujeres de la Ciudad de Madrid en relación con la sentencia dictada por la Sala de lo Contencioso-Administrativo del Tribunal Superior de Justicia de Madrid que desestimó su demanda frente a las resoluciones del delegado del Gobierno en Madrid prohibiendo las concentraciones que pretendía celebrar los días 7 y 8 de marzo de 2021.</w:t>
      </w:r>
    </w:p>
    <w:p w14:paraId="66A2722B" w14:textId="6439B086" w:rsidR="008D479B" w:rsidRDefault="008D479B" w:rsidP="008D479B">
      <w:pPr>
        <w:pStyle w:val="SntesisDescriptiva"/>
      </w:pPr>
    </w:p>
    <w:p w14:paraId="1F33466C" w14:textId="77777777" w:rsidR="008D479B" w:rsidRDefault="008D479B" w:rsidP="008D479B">
      <w:pPr>
        <w:pStyle w:val="SntesisAnaltica"/>
      </w:pPr>
      <w:r>
        <w:t>Vulneración del derecho de reunión y manifestación: STC 164/2023 (prohibición injustificada y desproporcionada de la convocatoria de concentraciones al aire libre, con número limitado de asistentes y garantizando el uso de mascarillas y el mantenimiento de una distancia interpersonal de seguridad). Votos particulares.</w:t>
      </w:r>
    </w:p>
    <w:p w14:paraId="772BEA33" w14:textId="13D2F5FA" w:rsidR="008D479B" w:rsidRDefault="008D479B" w:rsidP="008D479B">
      <w:pPr>
        <w:pStyle w:val="SntesisAnaltica"/>
      </w:pPr>
    </w:p>
    <w:p w14:paraId="3E76C752" w14:textId="6DC9767E" w:rsidR="008D479B" w:rsidRDefault="008D479B" w:rsidP="008D479B">
      <w:pPr>
        <w:pStyle w:val="Extracto"/>
      </w:pPr>
      <w:r>
        <w:t>1.</w:t>
      </w:r>
      <w:r>
        <w:tab/>
        <w:t>Se aplica la doctrina relativa al derecho de reunión y manifestación en relación con la proporcionalidad debida de las medidas limitativas de su ejercicio  (STC 164/2023) [FJ Único].</w:t>
      </w:r>
    </w:p>
    <w:p w14:paraId="29A9B4E1" w14:textId="77777777" w:rsidR="008D479B" w:rsidRDefault="008D479B" w:rsidP="008D479B">
      <w:pPr>
        <w:pStyle w:val="Extracto"/>
      </w:pPr>
    </w:p>
    <w:p w14:paraId="302926C7" w14:textId="77777777" w:rsidR="008D479B" w:rsidRDefault="008D479B" w:rsidP="008D479B">
      <w:pPr>
        <w:pStyle w:val="Extracto"/>
      </w:pPr>
    </w:p>
    <w:p w14:paraId="7CAB537F" w14:textId="77777777" w:rsidR="008D479B" w:rsidRDefault="008D479B" w:rsidP="008D479B">
      <w:pPr>
        <w:pStyle w:val="TextoNormal"/>
      </w:pPr>
      <w:r>
        <w:t>La Sala Primera del Tribunal Constitucional, compuesta por el magistrado don Cándido Conde-Pumpido Tourón, presidente, y los magistrados y magistradas don Ricardo Enríquez Sancho, doña Concepción Espejel Jorquera, doña María Luisa Segoviano Astaburuaga y don Juan Carlos Campo Moreno, ha pronunciado</w:t>
      </w:r>
    </w:p>
    <w:p w14:paraId="562D2D6D" w14:textId="608580CE" w:rsidR="008D479B" w:rsidRDefault="008D479B" w:rsidP="008D479B">
      <w:pPr>
        <w:pStyle w:val="TextoNormal"/>
      </w:pPr>
    </w:p>
    <w:p w14:paraId="653B6463" w14:textId="77777777" w:rsidR="008D479B" w:rsidRDefault="008D479B" w:rsidP="008D479B">
      <w:pPr>
        <w:pStyle w:val="TextoNormalCentrado"/>
        <w:keepNext/>
      </w:pPr>
      <w:r>
        <w:t>EN NOMBRE DEL REY</w:t>
      </w:r>
    </w:p>
    <w:p w14:paraId="34F85D0A" w14:textId="37161549" w:rsidR="008D479B" w:rsidRDefault="008D479B" w:rsidP="008D479B">
      <w:pPr>
        <w:pStyle w:val="TextoNormalCentrado"/>
        <w:keepNext/>
      </w:pPr>
    </w:p>
    <w:p w14:paraId="05CE4C48" w14:textId="77777777" w:rsidR="008D479B" w:rsidRDefault="008D479B" w:rsidP="008D479B">
      <w:pPr>
        <w:pStyle w:val="TextoNormalCentrado"/>
        <w:keepNext/>
      </w:pPr>
    </w:p>
    <w:p w14:paraId="4681D7FA" w14:textId="77777777" w:rsidR="008D479B" w:rsidRDefault="008D479B" w:rsidP="008D479B">
      <w:pPr>
        <w:pStyle w:val="TextoNormal"/>
      </w:pPr>
      <w:r>
        <w:t>la siguiente</w:t>
      </w:r>
    </w:p>
    <w:p w14:paraId="361D75F1" w14:textId="23426DFA" w:rsidR="008D479B" w:rsidRDefault="008D479B" w:rsidP="008D479B">
      <w:pPr>
        <w:pStyle w:val="TextoNormal"/>
      </w:pPr>
    </w:p>
    <w:p w14:paraId="39545580" w14:textId="77777777" w:rsidR="008D479B" w:rsidRDefault="008D479B" w:rsidP="008D479B">
      <w:pPr>
        <w:pStyle w:val="TextoNormalCentrado"/>
        <w:keepNext/>
      </w:pPr>
      <w:r>
        <w:t>SENTENCIA</w:t>
      </w:r>
    </w:p>
    <w:p w14:paraId="3AC36575" w14:textId="75181E6E" w:rsidR="008D479B" w:rsidRDefault="008D479B" w:rsidP="008D479B">
      <w:pPr>
        <w:pStyle w:val="TextoNormalCentrado"/>
        <w:keepNext/>
      </w:pPr>
    </w:p>
    <w:p w14:paraId="7FF4317A" w14:textId="77777777" w:rsidR="008D479B" w:rsidRDefault="008D479B" w:rsidP="008D479B">
      <w:pPr>
        <w:pStyle w:val="TextoNormal"/>
      </w:pPr>
      <w:r>
        <w:t>En el recurso de amparo núm. 1965-2021, promovido por el Consejo de las Mujeres de la Ciudad de Madrid contra la sentencia de la Sección Décima de la Sala de lo Contencioso-Administrativo del Tribunal Superior de Justicia de Madrid núm. 186/2021, de 6 de marzo, pronunciada en el procedimiento sobre derecho de reunión núm. 280-2021, que desestima el recurso interpuesto contra sendas resoluciones del delegado del Gobierno en la Comunidad de Madrid de 3 de marzo de 2021, pronunciadas en los expedientes núm. 198-2021 y 199-2021, acordando la prohibición de las concentraciones convocadas para los días 7 y 8 de marzo de 2021. Ha comparecido la Abogacía del Estado. Ha intervenido el Ministerio Fiscal. Ha sido ponente la magistrada doña María Luisa Segoviano Astaburuaga.</w:t>
      </w:r>
    </w:p>
    <w:p w14:paraId="52678BC6" w14:textId="7DBABD11" w:rsidR="008D479B" w:rsidRDefault="008D479B" w:rsidP="008D479B">
      <w:pPr>
        <w:pStyle w:val="TextoNormal"/>
      </w:pPr>
    </w:p>
    <w:p w14:paraId="6C4300D5" w14:textId="77777777" w:rsidR="008D479B" w:rsidRDefault="008D479B" w:rsidP="008D479B">
      <w:pPr>
        <w:pStyle w:val="TextoNormalNegritaCentrado"/>
        <w:keepNext/>
      </w:pPr>
      <w:r>
        <w:t>I. Antecedentes</w:t>
      </w:r>
    </w:p>
    <w:p w14:paraId="65B4E4CB" w14:textId="67BA2C51" w:rsidR="008D479B" w:rsidRDefault="008D479B" w:rsidP="008D479B">
      <w:pPr>
        <w:pStyle w:val="TextoNormalNegritaCentrado"/>
        <w:keepNext/>
      </w:pPr>
    </w:p>
    <w:p w14:paraId="2B878D60" w14:textId="6F0946DA" w:rsidR="008D479B" w:rsidRDefault="008D479B" w:rsidP="008D479B">
      <w:pPr>
        <w:pStyle w:val="TextoNormal"/>
      </w:pPr>
      <w:r w:rsidRPr="008D479B">
        <w:rPr>
          <w:rStyle w:val="NumeroAFNegritaCaracter"/>
        </w:rPr>
        <w:t>1</w:t>
      </w:r>
      <w:r>
        <w:t>. El Consejo de las Mujeres de la Ciudad de Madrid, representado por la procuradora de los tribunales doña María Dolores Hernández Vergara, bajo la dirección de la letrada doña María Ángeles Jaime de Pablo, interpuso recurso de amparo contra las resoluciones mencionadas en el encabezamiento de esta sentencia mediante escrito registrado en este tribunal el 5 de abril de 2021.</w:t>
      </w:r>
    </w:p>
    <w:p w14:paraId="02DA5214" w14:textId="77777777" w:rsidR="008D479B" w:rsidRDefault="008D479B" w:rsidP="008D479B">
      <w:pPr>
        <w:pStyle w:val="TextoNormal"/>
      </w:pPr>
    </w:p>
    <w:p w14:paraId="7687BA0B" w14:textId="77777777" w:rsidR="008D479B" w:rsidRDefault="008D479B" w:rsidP="008D479B">
      <w:pPr>
        <w:pStyle w:val="TextoNormal"/>
      </w:pPr>
      <w:r w:rsidRPr="008D479B">
        <w:rPr>
          <w:rStyle w:val="NumeroAFNegritaCaracter"/>
        </w:rPr>
        <w:t>2</w:t>
      </w:r>
      <w:r>
        <w:t>. El recurso tiene su origen en los siguientes antecedentes:</w:t>
      </w:r>
    </w:p>
    <w:p w14:paraId="2857FDFB" w14:textId="77777777" w:rsidR="008D479B" w:rsidRDefault="008D479B" w:rsidP="008D479B">
      <w:pPr>
        <w:pStyle w:val="TextoNormal"/>
      </w:pPr>
    </w:p>
    <w:p w14:paraId="2BEECB98" w14:textId="77777777" w:rsidR="008D479B" w:rsidRDefault="008D479B" w:rsidP="008D479B">
      <w:pPr>
        <w:pStyle w:val="TextoNormal"/>
      </w:pPr>
      <w:r>
        <w:t>a) El Consejo de las Mujeres de la Ciudad de Madrid, junto con otra asociación, por escritos de 9 y de 12 de febrero de 2021 comunicó a la Delegación del Gobierno de Madrid la convocatoria de dos concentraciones: la primera el día 7 de marzo de 2021 en la Plaza de Guardias de Corps de Madrid a las 12:00 horas, con un aforo limitado a 150 personas; y la segunda el día 8 de marzo de 2021 en la plaza de Callao entre las 17:00 y las 21:00 horas, con una participación de 250 personas, con motivo de la celebración del día internacional de la mujer. Se ponía de manifiesto que en ambas se guardarían las medidas de seguridad y distancia vigentes en espacios públicos para hacer frente a la pandemia covid-19.</w:t>
      </w:r>
    </w:p>
    <w:p w14:paraId="00B5EBF4" w14:textId="77777777" w:rsidR="008D479B" w:rsidRDefault="008D479B" w:rsidP="008D479B">
      <w:pPr>
        <w:pStyle w:val="TextoNormal"/>
      </w:pPr>
    </w:p>
    <w:p w14:paraId="3F51A988" w14:textId="77777777" w:rsidR="008D479B" w:rsidRDefault="008D479B" w:rsidP="008D479B">
      <w:pPr>
        <w:pStyle w:val="TextoNormal"/>
      </w:pPr>
      <w:r>
        <w:t>El delegado del Gobierno en la Comunidad de Madrid, por sendas resoluciones de 18 de febrero de 2021, pronunciadas en los expedientes 198-2021 y 199-2021, tomó conocimiento de ambas comunicaciones indicando como únicas restricciones que se celebrarían en la zona peatonal de ambas plazas sin invadir la calzada ni obstaculizar el acceso a los edificios con una distancia mínima entre los participantes de 1,5 metros y el uso de mascarilla.</w:t>
      </w:r>
    </w:p>
    <w:p w14:paraId="7BFE6BDE" w14:textId="77777777" w:rsidR="008D479B" w:rsidRDefault="008D479B" w:rsidP="008D479B">
      <w:pPr>
        <w:pStyle w:val="TextoNormal"/>
      </w:pPr>
    </w:p>
    <w:p w14:paraId="2C27C870" w14:textId="77777777" w:rsidR="008D479B" w:rsidRDefault="008D479B" w:rsidP="008D479B">
      <w:pPr>
        <w:pStyle w:val="TextoNormal"/>
      </w:pPr>
      <w:r>
        <w:t>b) El delegado del Gobierno en la Comunidad de Madrid por sendas resoluciones de 3 marzo de 2021, pronunciadas en los expedientes 198-2021 y 199-2021, decidió finalmente prohibir la celebración de dichas concentraciones por razones de salud pública.</w:t>
      </w:r>
    </w:p>
    <w:p w14:paraId="1840237C" w14:textId="77777777" w:rsidR="008D479B" w:rsidRDefault="008D479B" w:rsidP="008D479B">
      <w:pPr>
        <w:pStyle w:val="TextoNormal"/>
      </w:pPr>
    </w:p>
    <w:p w14:paraId="26D1C06A" w14:textId="77777777" w:rsidR="008D479B" w:rsidRDefault="008D479B" w:rsidP="008D479B">
      <w:pPr>
        <w:pStyle w:val="TextoNormal"/>
      </w:pPr>
      <w:r>
        <w:t>En sus resoluciones, el delegado del Gobierno en la Comunidad de Madrid realiza unas consideraciones generales sobre su competencia para adoptar las medidas necesarias relativas a la celebración de reuniones y manifestaciones con objeto de impedir que se perturbe la seguridad ciudadana (art. 23.1 de la Ley Orgánica 4/2015, 30 de marzo, de protección de la seguridad ciudadana); asimismo, recoge unas consideraciones generales sobre el derecho fundamental de reunión y sostiene que este derecho no tiene carácter absoluto, sino que está sujeto a límites establecidos por la Constitución y la ley cuando concurren otros derechos y bienes constitucionalmente protegidos.</w:t>
      </w:r>
    </w:p>
    <w:p w14:paraId="48DD4DD0" w14:textId="77777777" w:rsidR="008D479B" w:rsidRDefault="008D479B" w:rsidP="008D479B">
      <w:pPr>
        <w:pStyle w:val="TextoNormal"/>
      </w:pPr>
    </w:p>
    <w:p w14:paraId="3AB57C17" w14:textId="77777777" w:rsidR="008D479B" w:rsidRDefault="008D479B" w:rsidP="008D479B">
      <w:pPr>
        <w:pStyle w:val="TextoNormal"/>
      </w:pPr>
      <w:r>
        <w:t>A partir del fundamento de Derecho cuarto de estas resoluciones, se señala que en las fechas en las que se habían convocado las concentraciones España afrontaba “una crisis sanitaria sin precedentes y de una extraordinaria amplitud y gravedad ocasionada por la expansión del denominado covid-19, tanto por el extraordinario riesgo de contagio y el alto número de ciudadanos afectados, con la consiguiente presión sobre los servicios sanitarios, como por el elevado coste social y económico derivado de las medidas extraordinarias de contención y distanciamiento adoptadas por los distintos Estados”.</w:t>
      </w:r>
    </w:p>
    <w:p w14:paraId="75C23747" w14:textId="77777777" w:rsidR="008D479B" w:rsidRDefault="008D479B" w:rsidP="008D479B">
      <w:pPr>
        <w:pStyle w:val="TextoNormal"/>
      </w:pPr>
    </w:p>
    <w:p w14:paraId="760D94E5" w14:textId="77777777" w:rsidR="008D479B" w:rsidRDefault="008D479B" w:rsidP="008D479B">
      <w:pPr>
        <w:pStyle w:val="TextoNormal"/>
      </w:pPr>
      <w:r>
        <w:t>Seguidamente, las resoluciones del delegado del Gobierno hacían referencia a lo establecido en el art. 7.3 del Real Decreto 926/2020, de 25 de octubre, por el que se declaró el segundo estado de alarma, que estaba en vigor y aplicándose en esas fechas y que preveía que las manifestaciones podrían limitarse, condicionarse o prohibirse cuando en la previa comunicación presentada por los promotores no quedara garantizada la distancia personal necesaria para impedir contagios. También aluden a dos sentencias de la Sala de lo Contencioso-Administrativo del Tribunal Superior de Justicia de Madrid, ambas de 30 de abril de 2020, que hacían mención a la posibilidad de establecer limitaciones a la permanencia de grupos de personas en espacios públicos y privados; asimismo, citaba las sentencias dictadas por esta misma Sala de 4 y 11 de febrero de 2021 que aludían a la limitación a que puede verse sometido el ejercicio del derecho fundamental del art. 21 CE cuando entra en conflicto con bienes y valores constitucionales, como la salud pública, la integridad física y la vida de las personas, que deben prevalecer frente a aquel.</w:t>
      </w:r>
    </w:p>
    <w:p w14:paraId="23C11B21" w14:textId="77777777" w:rsidR="008D479B" w:rsidRDefault="008D479B" w:rsidP="008D479B">
      <w:pPr>
        <w:pStyle w:val="TextoNormal"/>
      </w:pPr>
    </w:p>
    <w:p w14:paraId="5CBA468B" w14:textId="77777777" w:rsidR="008D479B" w:rsidRDefault="008D479B" w:rsidP="008D479B">
      <w:pPr>
        <w:pStyle w:val="TextoNormal"/>
      </w:pPr>
      <w:r>
        <w:t>A continuación, los acuerdos del delegado del Gobierno en la Comunidad de Madrid se refieren a las circunstancias concretas que debían ser ponderadas en el presente caso:</w:t>
      </w:r>
    </w:p>
    <w:p w14:paraId="06A8436E" w14:textId="77777777" w:rsidR="008D479B" w:rsidRDefault="008D479B" w:rsidP="008D479B">
      <w:pPr>
        <w:pStyle w:val="TextoNormal"/>
      </w:pPr>
    </w:p>
    <w:p w14:paraId="6E587194" w14:textId="77777777" w:rsidR="008D479B" w:rsidRDefault="008D479B" w:rsidP="008D479B">
      <w:pPr>
        <w:pStyle w:val="TextoNormal"/>
      </w:pPr>
      <w:r>
        <w:t>(i) Primero, ponen de manifiesto que el aspecto más evidente en aquellas fechas era que “tras las consecuencias provocadas por las reuniones familiares de las navidades, estamos afrontando el resultado de la ‘tercera ola’, si cabe, con mayor virulencia que las anteriores”. Al respecto subrayan los siguientes extremos: a) que la Consejería de Sanidad de la Comunidad de Madrid había tenido que dictar “órdenes con medidas específicas, temporales y excepcionales, para la contención de la expansión del covid-19” a la vista de la evolución de la pandemia, en las que se daba cuenta de la necesidad de mantener distintas medidas limitativas con objeto de minimizar los riesgos de exposición al virus; b) que la situación de la Comunidad de Madrid estaba catalogada en aquellos días de “riesgo extremo” siendo una de las tres comunidades autónomas “con mayor incidencia acumulada”, así como “la de mayor presión hospitalaria de toda España (43 por 100 en UCI)”; c) que la aparición de nuevas cepas como la inglesa, sudafricana, brasileña, mexicana, nigeriana, de Nueva York o Robin, puestas de manifiesto por expertos y autoridades sanitarias, estaba “provocando que los contagios se propag[aran] con mayor rapidez y facilidad”, agregando que el Gobierno de España mantenía restricciones y medidas concretas “hasta finales de marzo para viajeros procedentes de distintos países del mundo, con la intención de frenar la propagación de las citadas variantes del virus”; d) que, pese al descenso paulatino de la incidencia, “la totalidad de autoridades sanitarias y expertos insisten en que no es posible bajar la guardia”, siendo muy elevado el riesgo de contagios y más teniendo en cuenta la evolución rápida de las nuevas cepas. A tal efecto, las resoluciones del delegado del Gobierno destacan que se venían cancelando en aquellas fechas todos los eventos multitudinarios previstos debido al alto riesgo de contagios, como las Fallas valencianas, la Semana Santa o la imposibilidad de asistir a eventos deportivos; y e) que, en las grandes áreas metropolitanas, con un alto índice de población, “la movilidad de las personas es muy alta diariamente y el uso del transporte público puede elevar el riesgo de contagios”.</w:t>
      </w:r>
    </w:p>
    <w:p w14:paraId="6DAA6C15" w14:textId="77777777" w:rsidR="008D479B" w:rsidRDefault="008D479B" w:rsidP="008D479B">
      <w:pPr>
        <w:pStyle w:val="TextoNormal"/>
      </w:pPr>
    </w:p>
    <w:p w14:paraId="4E07027D" w14:textId="77777777" w:rsidR="008D479B" w:rsidRDefault="008D479B" w:rsidP="008D479B">
      <w:pPr>
        <w:pStyle w:val="TextoNormal"/>
      </w:pPr>
      <w:r>
        <w:t>(ii) En relación con la específica celebración del día 8 de marzo, en cuanto día internacional de la mujer, señalan la resoluciones que “cada año se realizan distintos actos reivindicativos que aglutinan gran número de personas en las calles” y que, “[e]n los últimos años, las cifras de manifestantes solamente en Madrid han sido muy elevadas”, lo que ha motivado que las máximas autoridades sanitarias hubieran realizado “notorias declaraciones públicas desaconsejando el modo de concentración de años anteriores”. Al respecto citan las declaraciones de la ministra de Sanidad del día 25 de febrero anterior, en las que afirmó que “no ha lugar” a la celebración de manifestaciones y concentraciones el día 8 de marzo “por el elevado riesgo de contagios que hay hoy en día”; igualmente, el consejero de Sanidad de la Comunidad de Madrid afirmó que “el criterio de salud pública va en contra de la celebración de estas manifestaciones”; y el portavoz del Consejo de Ministros del Gobierno de España, en sesión del día 2 de marzo, hizo un llamamiento a que el día 8 de marzo no hubiera concentraciones masivas ni manifestaciones.</w:t>
      </w:r>
    </w:p>
    <w:p w14:paraId="131B4243" w14:textId="77777777" w:rsidR="008D479B" w:rsidRDefault="008D479B" w:rsidP="008D479B">
      <w:pPr>
        <w:pStyle w:val="TextoNormal"/>
      </w:pPr>
    </w:p>
    <w:p w14:paraId="0D45D54D" w14:textId="77777777" w:rsidR="008D479B" w:rsidRDefault="008D479B" w:rsidP="008D479B">
      <w:pPr>
        <w:pStyle w:val="TextoNormal"/>
      </w:pPr>
      <w:r>
        <w:t>(iii) A continuación, las resoluciones del delegado del Gobierno aluden a que en “tan solo tres días (sábado 6, domingo 7 y lunes 8 de marzo), en la Comunidad de Madrid, han sido convocadas un total de 104 manifestaciones/concentraciones con distintos objetos (la mayoría relacionadas con el día internacional de la mujer), distintas ubicaciones y número de participantes (desde veinticinco personas en las más pequeñas hasta 10 000 en la más grande)” y, según refieren las resoluciones, se trataba de un número muy superior al de la media semanal en la Comunidad de Madrid, cifrado en setenta.</w:t>
      </w:r>
    </w:p>
    <w:p w14:paraId="6FFE5FBC" w14:textId="77777777" w:rsidR="008D479B" w:rsidRDefault="008D479B" w:rsidP="008D479B">
      <w:pPr>
        <w:pStyle w:val="TextoNormal"/>
      </w:pPr>
    </w:p>
    <w:p w14:paraId="67931923" w14:textId="77777777" w:rsidR="008D479B" w:rsidRDefault="008D479B" w:rsidP="008D479B">
      <w:pPr>
        <w:pStyle w:val="TextoNormal"/>
      </w:pPr>
      <w:r>
        <w:t>De tales datos deducen las resoluciones “la intención de las manifestantes de salir a las calles de forma masiva”, lo que implicaba: a) el “desconocimiento real del número total de personas que podrían ir en caso de llevarse a cabo”; b) la “gran movilidad de personas en los trayectos desde los domicilios a las manifestaciones y concentraciones y viceversa”; y c) el “riesgo alto de contagios, no solamente en los desplazamientos, sino en los lugares de celebración de las concentraciones”.</w:t>
      </w:r>
    </w:p>
    <w:p w14:paraId="36772CE2" w14:textId="77777777" w:rsidR="008D479B" w:rsidRDefault="008D479B" w:rsidP="008D479B">
      <w:pPr>
        <w:pStyle w:val="TextoNormal"/>
      </w:pPr>
    </w:p>
    <w:p w14:paraId="4485C7C0" w14:textId="77777777" w:rsidR="008D479B" w:rsidRDefault="008D479B" w:rsidP="008D479B">
      <w:pPr>
        <w:pStyle w:val="TextoNormal"/>
      </w:pPr>
      <w:r>
        <w:t>(iv) Las resoluciones del delegado del Gobierno refieren también que “la información recabada de la Policía Nacional al respecto manifiesta que no puede garantizarse que no exista riesgo del agrupamiento de varias concentraciones o manifestaciones relativamente próximas independientemente del lugar o formato de la convocatoria”. Asimismo, indican que representantes de la Delegación del Gobierno en la Comunidad de Madrid “mantuvieron una reunión el pasado 24 de febrero de 2021, con la Plataforma 8-M, con la intención de buscar formatos alternativos a las manifestaciones convocadas”, que permitieran “el ejercicio reivindicativo sin poner en riesgo la salud pública (convocatorias virtuales, manifestarse desde los balcones o manifestaciones en vehículos)”.</w:t>
      </w:r>
    </w:p>
    <w:p w14:paraId="320CA64D" w14:textId="77777777" w:rsidR="008D479B" w:rsidRDefault="008D479B" w:rsidP="008D479B">
      <w:pPr>
        <w:pStyle w:val="TextoNormal"/>
      </w:pPr>
    </w:p>
    <w:p w14:paraId="456AC682" w14:textId="77777777" w:rsidR="008D479B" w:rsidRDefault="008D479B" w:rsidP="008D479B">
      <w:pPr>
        <w:pStyle w:val="TextoNormal"/>
      </w:pPr>
      <w:r>
        <w:t>(v) Se agrega a lo anterior que, “[t]ras haberse prohibido por motivos sanitarios las dos grandes manifestaciones la semana pasada, se están convocando este tipo de concentraciones más pequeñas que permite ver una misma causa fragmentada; es decir, muchas concentraciones pero con menos personas”. A esta conclusión llegan argumentando que “[l]a intención no es la de buscar alternativas que permitan reivindicar la causa”, sino “salir a la calle de forma masiva”, como lo demuestra el número de manifestaciones/concentraciones convocadas (104) en aquel fin de semana de los días 6 a 8 de marzo de 2021.</w:t>
      </w:r>
    </w:p>
    <w:p w14:paraId="4EE05255" w14:textId="77777777" w:rsidR="008D479B" w:rsidRDefault="008D479B" w:rsidP="008D479B">
      <w:pPr>
        <w:pStyle w:val="TextoNormal"/>
      </w:pPr>
    </w:p>
    <w:p w14:paraId="2A28ED51" w14:textId="77777777" w:rsidR="008D479B" w:rsidRDefault="008D479B" w:rsidP="008D479B">
      <w:pPr>
        <w:pStyle w:val="TextoNormal"/>
      </w:pPr>
      <w:r>
        <w:t>(vi) Igualmente señalan que se había solicitado por dos veces un informe a la Consejería de Sanidad de la Comunidad de Madrid sobre “estimación del riesgo del acto comunicado” en fechas de 25 de febrero y 1 de marzo de 2021, no habiendo recibido el informe solicitado. Afirman que deben ser tenidos en cuenta los siguientes elementos: a) la situación sanitaria de la evolución de la covid-19 en la Comunidad de Madrid es de “riesgo extremo”; b) no ha habido variación en los consejos de las autoridades sanitarias para evitar los riesgos de contagio y propagación de la pandemia, agregando la referencia a una comunicación del día 2 de marzo del Consejo General de Colegios Oficiales de Médicos que hacía un llamamiento a la responsabilidad y compromiso de la ciudadanía ante cualquier tipo de concentración o manifestación que pudiera suponer un riesgo para la salud pública; c) el detallado análisis del acto comunicado, “puesto en su contexto temporal y espacial, se deduce una posible coincidencia de [sic] concurrencia de otros actos comunicados en los mismos días”; y d) los informes anteriores emitidos por la Dirección General de Salud Pública de la Comunidad de Madrid, los últimos de ellos referidos a manifestaciones masivas del día 8 de marzo, “vienen especificando que las medidas correctoras y de prevención que proponen las organizaciones, como distancia ‘[…] pueden resultar insuficientes teniendo en cuenta la dificultad de mantener el distanciamiento interpersonal en una concentración cuando las personas están de pie y deambulan, quedando únicamente a merced de la protección de la mascarilla y el cuidado con que se haga uso de la misma, lo que podría resultar insuficiente en la situación epidemiológica actual […]’”.</w:t>
      </w:r>
    </w:p>
    <w:p w14:paraId="4B3BD2BD" w14:textId="77777777" w:rsidR="008D479B" w:rsidRDefault="008D479B" w:rsidP="008D479B">
      <w:pPr>
        <w:pStyle w:val="TextoNormal"/>
      </w:pPr>
    </w:p>
    <w:p w14:paraId="0C8A653F" w14:textId="77777777" w:rsidR="008D479B" w:rsidRDefault="008D479B" w:rsidP="008D479B">
      <w:pPr>
        <w:pStyle w:val="TextoNormal"/>
      </w:pPr>
      <w:r>
        <w:t>Las resoluciones recogen la conclusión de estos informes que destacan que “teniendo en cuenta las circunstancias anteriormente expuestas, especialmente el elevado número de asistentes y la duración prevista de la misma, y de acuerdo con lo establecido en el artículo 7.3 del Real Decreto 926/2020, de 25 de octubre. […] se informa desfavorablemente sobre la realización de la concentración solicitada por los promotores al inicio de este escrito, desaconsejando su celebración”.</w:t>
      </w:r>
    </w:p>
    <w:p w14:paraId="1EE2BDFD" w14:textId="77777777" w:rsidR="008D479B" w:rsidRDefault="008D479B" w:rsidP="008D479B">
      <w:pPr>
        <w:pStyle w:val="TextoNormal"/>
      </w:pPr>
    </w:p>
    <w:p w14:paraId="6D053B75" w14:textId="77777777" w:rsidR="008D479B" w:rsidRDefault="008D479B" w:rsidP="008D479B">
      <w:pPr>
        <w:pStyle w:val="TextoNormal"/>
      </w:pPr>
      <w:r>
        <w:t>(vii) A modo de conclusión, el último de los fundamentos jurídicos de las resoluciones razonan que “[t]eniendo en cuenta la intencionalidad de los colectivos convocantes, de ejercer su derecho a manifestarse en las calles (es el único formato de reivindicación recibido), buscando un gran número de reuniones en diferentes lugares y teniendo en cuenta las circunstancias epidemiológicas actuales (niveles altos de incidencia y la aparición de las nuevas cepas de covid), así como los informes que vienen emitiendo las autoridades sanitarias, la celebración de estas concentraciones eleva el riesgo de contagios de una manera exponencial”.</w:t>
      </w:r>
    </w:p>
    <w:p w14:paraId="76987DD4" w14:textId="77777777" w:rsidR="008D479B" w:rsidRDefault="008D479B" w:rsidP="008D479B">
      <w:pPr>
        <w:pStyle w:val="TextoNormal"/>
      </w:pPr>
    </w:p>
    <w:p w14:paraId="4EF33AFC" w14:textId="77777777" w:rsidR="008D479B" w:rsidRDefault="008D479B" w:rsidP="008D479B">
      <w:pPr>
        <w:pStyle w:val="TextoNormal"/>
      </w:pPr>
      <w:r>
        <w:t>Por todo ello, las resoluciones del delegado del Gobierno en la Comunidad de Madrid acordaron prohibir por razones de salud pública las concentraciones.</w:t>
      </w:r>
    </w:p>
    <w:p w14:paraId="57041EB4" w14:textId="77777777" w:rsidR="008D479B" w:rsidRDefault="008D479B" w:rsidP="008D479B">
      <w:pPr>
        <w:pStyle w:val="TextoNormal"/>
      </w:pPr>
    </w:p>
    <w:p w14:paraId="603F7B72" w14:textId="77777777" w:rsidR="008D479B" w:rsidRDefault="008D479B" w:rsidP="008D479B">
      <w:pPr>
        <w:pStyle w:val="TextoNormal"/>
      </w:pPr>
      <w:r>
        <w:t>c) La asociación demandante, junto con otra asociación, interpuso contra dichas resoluciones un recurso contencioso-administrativo con invocación del derecho fundamental de reunión (art. 21 CE), que fue tramitado por la Sección Décima de la Sala de lo Contencioso-Administrativo del Tribunal Superior de Justicia de Madrid como procedimiento sobre derecho de reunión núm. 280-2021. En el recurso también se alegaba que se ha vulnerado el principio de los actos propios al haberse autorizado previamente estas concentraciones mediante resoluciones que quedaron firmes y consentidas.</w:t>
      </w:r>
    </w:p>
    <w:p w14:paraId="1F4A04EB" w14:textId="77777777" w:rsidR="008D479B" w:rsidRDefault="008D479B" w:rsidP="008D479B">
      <w:pPr>
        <w:pStyle w:val="TextoNormal"/>
      </w:pPr>
    </w:p>
    <w:p w14:paraId="71BB4CEA" w14:textId="77777777" w:rsidR="008D479B" w:rsidRDefault="008D479B" w:rsidP="008D479B">
      <w:pPr>
        <w:pStyle w:val="TextoNormal"/>
      </w:pPr>
      <w:r>
        <w:t>El recurso fue desestimado por sentencia núm. 186/2021, de 6 de marzo, con la siguiente argumentación:</w:t>
      </w:r>
    </w:p>
    <w:p w14:paraId="65F0DA4A" w14:textId="77777777" w:rsidR="008D479B" w:rsidRDefault="008D479B" w:rsidP="008D479B">
      <w:pPr>
        <w:pStyle w:val="TextoNormal"/>
      </w:pPr>
    </w:p>
    <w:p w14:paraId="61AA1DD7" w14:textId="77777777" w:rsidR="008D479B" w:rsidRDefault="008D479B" w:rsidP="008D479B">
      <w:pPr>
        <w:pStyle w:val="TextoNormal"/>
      </w:pPr>
      <w:r>
        <w:t>(i) En primer lugar, la Sala destaca la existencia de un informe de la Jefatura Superior de Policía de Madrid, que reseña las concentraciones a celebrar con motivo del día de la mujer. Por último, también se hace eco de un informe emitido el día 3 de marzo de 2021 por la Dirección General de Salud Pública de la Comunidad de Madrid que desaconsejaba la celebración de concentraciones que comportaran una elevada concentración de personas con el fin de evitar la propagación del virus y proteger la salud pública y se aclara que este informe había sido solicitado por la Delegación del Gobierno, pero que no había sido recibido al tiempo de aprobar la resolución impugnada.</w:t>
      </w:r>
    </w:p>
    <w:p w14:paraId="15211B4E" w14:textId="77777777" w:rsidR="008D479B" w:rsidRDefault="008D479B" w:rsidP="008D479B">
      <w:pPr>
        <w:pStyle w:val="TextoNormal"/>
      </w:pPr>
    </w:p>
    <w:p w14:paraId="73DEF327" w14:textId="77777777" w:rsidR="008D479B" w:rsidRDefault="008D479B" w:rsidP="008D479B">
      <w:pPr>
        <w:pStyle w:val="TextoNormal"/>
      </w:pPr>
      <w:r>
        <w:t>(ii) A continuación, la sentencia hace una detallada exposición de la doctrina de este tribunal y del Tribunal Europeo de Derechos Humanos sobre el ejercicio del derecho de reunión y sobre los límites del mismo, deteniéndose de modo especial en el ATC 40/2020, de 30 de abril, cuyos fundamentos jurídicos resume para después comenzar el análisis de la resolución gubernativa impugnada.</w:t>
      </w:r>
    </w:p>
    <w:p w14:paraId="1C71BCF4" w14:textId="77777777" w:rsidR="008D479B" w:rsidRDefault="008D479B" w:rsidP="008D479B">
      <w:pPr>
        <w:pStyle w:val="TextoNormal"/>
      </w:pPr>
    </w:p>
    <w:p w14:paraId="126D9959" w14:textId="77777777" w:rsidR="008D479B" w:rsidRDefault="008D479B" w:rsidP="008D479B">
      <w:pPr>
        <w:pStyle w:val="TextoNormal"/>
      </w:pPr>
      <w:r>
        <w:t>A tal efecto, el fundamento jurídico séptimo de la sentencia señala que se “cumple con la necesidad de exteriorizar las razones por las que se llega a la decisión administrativa, con objeto de permitir su conocimiento por los interesados para la posterior defensa de sus derechos”. Agrega que, en particular, se aportan las razones por las que el ejercicio del derecho fundamental de reunión “entraña un grave riesgo para la salud pública y, singularmente, para las personas”, tanto los manifestantes como terceros que hubieran podido tener contacto con ellos, porque entiende que era “muy probable” que, de celebrarse la reunión programada, se pudieran producir contagios entre los participantes que pudieran luego “extenderse entre sus círculos de amistad, profesionales y familiares, incrementando de esta manera la crisis sanitaria por más que se adopten medidas de seguridad, perturbando de manera desproporcionada otros bienes y derechos protegidos por nuestra Constitución. Consideración que se vincula con la imperiosa necesidad de evitar la difusión de la pandemia con sus secuelas de contagios, fallecimientos y enfermos”.</w:t>
      </w:r>
    </w:p>
    <w:p w14:paraId="5DA53294" w14:textId="77777777" w:rsidR="008D479B" w:rsidRDefault="008D479B" w:rsidP="008D479B">
      <w:pPr>
        <w:pStyle w:val="TextoNormal"/>
      </w:pPr>
    </w:p>
    <w:p w14:paraId="129CECB6" w14:textId="77777777" w:rsidR="008D479B" w:rsidRDefault="008D479B" w:rsidP="008D479B">
      <w:pPr>
        <w:pStyle w:val="TextoNormal"/>
      </w:pPr>
      <w:r>
        <w:t>La sentencia se detiene en el análisis de la decisión administrativa y reitera que la misma “se encuentra suficientemente motivada” y que el fundamento jurídico séptimo de aquella “contiene una argumentación basada en razones de índole sanitaria” que “no han sido desvirtuadas por las recurrentes”. Destaca que la situación de la pandemia en la Comunidad de Madrid ha pasado de “riesgo extremo” a “riesgo alto”, pero se encuentra entre las tres cuya tasa de incidencia acumulada es elevada. También subraya que la parte actora no ha argumentado nada “sobre el incremento de los contagios ocasionados por las nuevas cepas” y “únicamente se limitan a aseverar que dadas las características de la concentración y de la manifestación convocadas tales riesgos sanitarios quedan conjurados”.</w:t>
      </w:r>
    </w:p>
    <w:p w14:paraId="764674E7" w14:textId="77777777" w:rsidR="008D479B" w:rsidRDefault="008D479B" w:rsidP="008D479B">
      <w:pPr>
        <w:pStyle w:val="TextoNormal"/>
      </w:pPr>
    </w:p>
    <w:p w14:paraId="2A89992B" w14:textId="77777777" w:rsidR="008D479B" w:rsidRDefault="008D479B" w:rsidP="008D479B">
      <w:pPr>
        <w:pStyle w:val="TextoNormal"/>
      </w:pPr>
      <w:r>
        <w:t>(iii) La sentencia examina si la decisión impugnada de prohibir las concentraciones convocadas ha realizado correctamente el juicio de proporcionalidad. A este respecto, la Sala pone de relieve “las extraordinarias circunstancias de crisis de salud pública” en que se encontraba la sociedad española al momento de tener que resolver sobre este recurso, así como la necesidad de tener que adoptar “medidas de muy diversa naturaleza, entre ellas las limitativas del ejercicio de determinados derechos, para reducir la propagación y el contagio del virus”, en protección de la salud que proclama el art. 43 CE. Y en lo que atañe a la forma y condiciones en que las asociaciones promotoras de la concentración proyectaban ejercitar su derecho de reunión, la sentencia señala que “tan solo se afirma que se cumplirían las medidas de seguridad y distancia entre participantes y uso de mascarillas, sin que se hayan concretado ni pormenorizado los medios disponibles a tal fin, excepción de solicitud de vallas para la concentración de la Plaza de Callao” y no se ofrecieron “medidas de seguridad, concretas e idóneas, para garantizar que durante las concentraciones se mantenga la distancia social mínimamente necesaria o para evitar que algunas personas lleguen a retirarse la mascarilla para apoyar en voz alta los objetivos de la manifestación”. Concluye afirmando que la “imprecisión de las medidas de seguridad previstas para garantizar la salud pública, especialmente relevantes en el escenario de gravísima pandemia en que nos encontramos, no permite conjurar el alto riesgo de que el desarrollo de unas concentraciones, como las comunicadas por las promotoras, favorezca la propagación de coronavirus tanto entre los manifestantes como posteriormente a sus familiares y su círculo social, e incluso, a otras personas ajenas al acto o concentración”.</w:t>
      </w:r>
    </w:p>
    <w:p w14:paraId="6CC5F423" w14:textId="77777777" w:rsidR="008D479B" w:rsidRDefault="008D479B" w:rsidP="008D479B">
      <w:pPr>
        <w:pStyle w:val="TextoNormal"/>
      </w:pPr>
    </w:p>
    <w:p w14:paraId="6C1DE050" w14:textId="77777777" w:rsidR="008D479B" w:rsidRDefault="008D479B" w:rsidP="008D479B">
      <w:pPr>
        <w:pStyle w:val="TextoNormal"/>
      </w:pPr>
      <w:r>
        <w:t>A la vista de las consideraciones anteriores y utilizando los mismos criterios que los empleados en la sentencia de la misma Sala de 30 de abril de 2020 en el recurso núm. 309-2020, se razona que “la prohibición de las concentraciones comunicadas es: (i) susceptible de conseguir el objetivo propuesto —en este caso la protección de la salud pública y de los ciudadanos en un escenario de pandemia internacional que implica un grave riesgo para la vida de las personas—; (ii) necesaria por no existir otra medida más moderada para la consecución de tal propósito con igual eficacia, atendidas las condiciones tan genéricas y amplias en que se proyectó el desarrollo de las concentraciones y (iii) proporcionada, en sentido estricto, es decir, ponderada o equilibrada por derivarse de ella más beneficios o ventajas para el interés general que protege que perjuicios sobre el derecho de reunión de los manifestantes”. A la vista de las anteriores consideraciones, la sentencia concluye otorgando prevalencia sobre el ejercicio del derecho de reunión a bienes y valores constitucionales como la salud pública y, más concretamente, la salud, la integridad física y la vida de las personas (arts. 15 y 43 CE).</w:t>
      </w:r>
    </w:p>
    <w:p w14:paraId="37467137" w14:textId="77777777" w:rsidR="008D479B" w:rsidRDefault="008D479B" w:rsidP="008D479B">
      <w:pPr>
        <w:pStyle w:val="TextoNormal"/>
      </w:pPr>
    </w:p>
    <w:p w14:paraId="5F42EAED" w14:textId="40225298" w:rsidR="008D479B" w:rsidRDefault="008D479B" w:rsidP="008D479B">
      <w:pPr>
        <w:pStyle w:val="TextoNormal"/>
      </w:pPr>
      <w:r>
        <w:t>Por último, la sentencia rechaza tanto la alegación de que se ha vulnerado el principio de los actos propios al haberse autorizado previamente mediante resoluciones que quedaron firmes y consentidas, señalando que “las resoluciones del día 18 de febrero no fueron declarativas de derechos y el delegado del Gobierno tiene la facultad legal de prohibirlas posteriormente si se produce un cambio de circunstancias, que en el supuesto de autos está representado por el elevado número de manifestaciones y concentraciones anunciadas en el ámbito territorial de la Comunidad de Madrid en el corto espacio temporal de tres días”; como la alegación de la discriminación por razón de género, destacando que los motivos básicos de la denegación se centran en razones de salud pública y que no se aporta “un término válido de comparación que permita vislumbrar que en el presente caso la denegación de las concentraciones solicitadas, se haya basado implícitamente en razones distintas de las confesadas razones de salud pública que preocupan a todos los ciudadanos y ciudadanas por igual”.</w:t>
      </w:r>
    </w:p>
    <w:p w14:paraId="1E26E9DC" w14:textId="77777777" w:rsidR="008D479B" w:rsidRDefault="008D479B" w:rsidP="008D479B">
      <w:pPr>
        <w:pStyle w:val="TextoNormal"/>
      </w:pPr>
    </w:p>
    <w:p w14:paraId="6A9963B6" w14:textId="77777777" w:rsidR="008D479B" w:rsidRDefault="008D479B" w:rsidP="008D479B">
      <w:pPr>
        <w:pStyle w:val="TextoNormal"/>
      </w:pPr>
      <w:r w:rsidRPr="008D479B">
        <w:rPr>
          <w:rStyle w:val="NumeroAFNegritaCaracter"/>
        </w:rPr>
        <w:t>3</w:t>
      </w:r>
      <w:r>
        <w:t>. La demandante de amparo solicita que se estime el recurso por vulneración de su derecho de reunión (art. 21 CE) y a la tutela judicial efectiva (art. 24.1 CE) con anulación de las resoluciones impugnadas.</w:t>
      </w:r>
    </w:p>
    <w:p w14:paraId="407EE624" w14:textId="77777777" w:rsidR="008D479B" w:rsidRDefault="008D479B" w:rsidP="008D479B">
      <w:pPr>
        <w:pStyle w:val="TextoNormal"/>
      </w:pPr>
    </w:p>
    <w:p w14:paraId="5E279B13" w14:textId="77777777" w:rsidR="008D479B" w:rsidRDefault="008D479B" w:rsidP="008D479B">
      <w:pPr>
        <w:pStyle w:val="TextoNormal"/>
      </w:pPr>
      <w:r>
        <w:t>La demandante fundamenta la invocación del art. 21 CE en que la decisión de prohibición de la concentración convocada resulta innecesaria y desproporcionada, ya que la autoridad gubernativa no propuso modificaciones para salvaguardar el derecho de reunión diferentes de las que adoptaron por propia iniciativa las convocantes o las que fueron comunicadas por sus resoluciones de 18 de febrero, acatadas igualmente, y en las cuales la propia Delegación del Gobierno, en su fundamento jurídico séptimo, referido precisamente a la convocatoria realizada para el día 8 de marzo por la tarde, con un aforo previsto máximo de 250 personas frente a las 150 del acto de 7 de marzo, resolvió que “[e]n relación con la presente comunicación, no se aprecian elementos previos que puedan obstaculizar el legítimo ejercicio de este derecho fundamental, que habrá de llevase a cabo, conforme a lo indicado por las organizadoras en su comunicación de fecha 15 de febrero de 2021, el día 8 de marzo de 2021, de 16:00 a 21:00 horas, en la Plaza de Callao”.</w:t>
      </w:r>
    </w:p>
    <w:p w14:paraId="18DB4DA1" w14:textId="77777777" w:rsidR="008D479B" w:rsidRDefault="008D479B" w:rsidP="008D479B">
      <w:pPr>
        <w:pStyle w:val="TextoNormal"/>
      </w:pPr>
    </w:p>
    <w:p w14:paraId="27C59927" w14:textId="77777777" w:rsidR="008D479B" w:rsidRDefault="008D479B" w:rsidP="008D479B">
      <w:pPr>
        <w:pStyle w:val="TextoNormal"/>
      </w:pPr>
      <w:r>
        <w:t>Igualmente, se alega que no se ha respetado la exigencia de motivación en la materia, que no puede venir fundamentada en criterios generales sino en datos objetivos derivados de las circunstancias concretas de cada caso; dándose la circunstancia de que en el presente caso las resoluciones administrativas impugnadas no contienen referencia alguna a las concretas convocatorias comunicadas para los días 7 y 8 de marzo de 2021 sino a otras comunicadas por la denominada Comisión 8 M, colectivo que no comparte ni el contenido ni la relevancia de algunas de las reivindicaciones de la entidad recurrente, por ejemplo en cuanto a la erradicación de la prostitución, lo que ha motivado este año y el anterior la realización de convocatorias separadas.</w:t>
      </w:r>
    </w:p>
    <w:p w14:paraId="79163823" w14:textId="77777777" w:rsidR="008D479B" w:rsidRDefault="008D479B" w:rsidP="008D479B">
      <w:pPr>
        <w:pStyle w:val="TextoNormal"/>
      </w:pPr>
    </w:p>
    <w:p w14:paraId="1E025AE2" w14:textId="77777777" w:rsidR="008D479B" w:rsidRDefault="008D479B" w:rsidP="008D479B">
      <w:pPr>
        <w:pStyle w:val="TextoNormal"/>
      </w:pPr>
      <w:r>
        <w:t xml:space="preserve">La demandante de amparo, con una invocación conjunta del art. 24.1 CE y del art. 21 CE, afirma que la resolución judicial impugnada “que confirmó la prohibición contenida en las resoluciones gubernativas, reprodujo su defecto de motivación, por ausencia de referencias a las concretas circunstancias de las convocatorias para el 7 y 8 de marzo de 2021 realizadas por la entidad recurrente”. Se destaca que la sentencia no alude a la trascendencia de las previas resoluciones de la Delegación del Gobierno de 18 de febrero de 2021 que aceptaron el desarrollo de las concentraciones e impusieron limitaciones adicionales sobre las ya previstas por la organización y, por tanto, a la infracción del principio de los actos propios; sino solo a la insuficiencia del acordonamiento por vallas de la concentración en la Plaza de Callao, lo que redunda “en un principio de sospecha sobre la irresponsabilidad de las asistentes, presumiendo que van a poner en riesgo su propia salud y la del resto, arriesgándose a una sanción de la que se apercibía expresamente en las resoluciones de 18 de febrero, al afirmarse que ‘no se ofrecen medidas de seguridad, concretas e idóneas, para garantizar que durante las concentraciones se mantenga la distancia social mínimamente necesaria o para evitar que algunas personas lleguen a retirarse la mascarilla para apoyar en voz alta los objetivos de la manifestación’, sin que en ningún momento, en aplicación del principio del </w:t>
      </w:r>
      <w:r w:rsidRPr="008D479B">
        <w:rPr>
          <w:i/>
        </w:rPr>
        <w:t>favor libertatis</w:t>
      </w:r>
      <w:r>
        <w:t xml:space="preserve">, se expliciten qué medidas de seguridad serían a criterio gubernamental o judicial idóneas respecto de las implementadas </w:t>
      </w:r>
      <w:r w:rsidRPr="008D479B">
        <w:rPr>
          <w:i/>
        </w:rPr>
        <w:t>motu proprio</w:t>
      </w:r>
      <w:r>
        <w:t xml:space="preserve"> por la organización, incumpliendo la doctrina constitucional vigente e invocada y el artículo 10 de la Ley Orgánica 9/1983”.</w:t>
      </w:r>
    </w:p>
    <w:p w14:paraId="582BC76F" w14:textId="77777777" w:rsidR="008D479B" w:rsidRDefault="008D479B" w:rsidP="008D479B">
      <w:pPr>
        <w:pStyle w:val="TextoNormal"/>
      </w:pPr>
    </w:p>
    <w:p w14:paraId="01C3926B" w14:textId="28AA862B" w:rsidR="008D479B" w:rsidRDefault="008D479B" w:rsidP="008D479B">
      <w:pPr>
        <w:pStyle w:val="TextoNormal"/>
      </w:pPr>
      <w:r>
        <w:t>La demandante justifica la especial transcendencia constitucional del recurso por “plantear un problema o una faceta del derecho fundamental de reunión que no había sido contemplado en la anterior doctrina constitucional y ha surgido como consecuencia de una nueva realidad surgida a raíz de la pandemia por Covid-19 y que ha motivado la restricción, con distintas graduaciones desde el Real Decreto 463/2020, de 14 de marzo, de otros derechos fundamentales como la libertad de circulación, habiendo decaído en la mayor parte de sus restricciones más estrictas impuestas y siendo notoriamente más laxas las vigentes en esta Comunidad de Madrid conforme al contenido del Real Decreto 926/2020 que en el resto de España”.</w:t>
      </w:r>
    </w:p>
    <w:p w14:paraId="1A33BFA1" w14:textId="77777777" w:rsidR="008D479B" w:rsidRDefault="008D479B" w:rsidP="008D479B">
      <w:pPr>
        <w:pStyle w:val="TextoNormal"/>
      </w:pPr>
    </w:p>
    <w:p w14:paraId="38A4DB17" w14:textId="53565E28" w:rsidR="008D479B" w:rsidRDefault="008D479B" w:rsidP="008D479B">
      <w:pPr>
        <w:pStyle w:val="TextoNormal"/>
      </w:pPr>
      <w:r w:rsidRPr="008D479B">
        <w:rPr>
          <w:rStyle w:val="NumeroAFNegritaCaracter"/>
        </w:rPr>
        <w:t>4</w:t>
      </w:r>
      <w:r>
        <w:t>. La Sección Segunda del Tribunal, por providencia de 20 de diciembre de 2021, acordó admitir a trámite el recurso de amparo apreciando que concurre una especial trascendencia constitucional [art. 50.1 de la Ley Orgánica del Tribunal Constitucional (LOTC)], porque el recurso puede dar ocasión al Tribunal para aclarar o cambiar su doctrina, como consecuencia del surgimiento de nuevas realidades sociales y el asunto suscitado trasciende del caso concreto porque plantea una cuestión jurídica de relevante y general repercusión social o económica [STC 155/2009, de 25 de junio, FJ 2 b) y g)]; y dirigir atenta comunicación al órgano judicial para la remisión del testimonio de las actuaciones y el emplazamiento de quienes hubieran sido parte en el procedimiento para que puedan comparecer en el recurso de amparo.</w:t>
      </w:r>
    </w:p>
    <w:p w14:paraId="145B501B" w14:textId="77777777" w:rsidR="008D479B" w:rsidRDefault="008D479B" w:rsidP="008D479B">
      <w:pPr>
        <w:pStyle w:val="TextoNormal"/>
      </w:pPr>
    </w:p>
    <w:p w14:paraId="0262D408" w14:textId="018821DB" w:rsidR="008D479B" w:rsidRDefault="008D479B" w:rsidP="008D479B">
      <w:pPr>
        <w:pStyle w:val="TextoNormal"/>
      </w:pPr>
      <w:r w:rsidRPr="008D479B">
        <w:rPr>
          <w:rStyle w:val="NumeroAFNegritaCaracter"/>
        </w:rPr>
        <w:t>5</w:t>
      </w:r>
      <w:r>
        <w:t>. La Secretaría de Justicia de la Sala Primera del Tribunal, por diligencia de ordenación de 19 de enero de 2022, tuvo por recibido el testimonio de las actuaciones, por personada a la Abogacía del Estado, y acordó dar vista de las actuaciones a las partes personadas y al Ministerio Fiscal, por plazo común de veinte días, a fin de que, conforme con lo previsto en el art. 52 LOTC, pudieran presentar alegaciones.</w:t>
      </w:r>
    </w:p>
    <w:p w14:paraId="11EA4A0C" w14:textId="77777777" w:rsidR="008D479B" w:rsidRDefault="008D479B" w:rsidP="008D479B">
      <w:pPr>
        <w:pStyle w:val="TextoNormal"/>
      </w:pPr>
    </w:p>
    <w:p w14:paraId="5B1E3EE6" w14:textId="77777777" w:rsidR="008D479B" w:rsidRDefault="008D479B" w:rsidP="008D479B">
      <w:pPr>
        <w:pStyle w:val="TextoNormal"/>
      </w:pPr>
      <w:r w:rsidRPr="008D479B">
        <w:rPr>
          <w:rStyle w:val="NumeroAFNegritaCaracter"/>
        </w:rPr>
        <w:t>6</w:t>
      </w:r>
      <w:r>
        <w:t>. El Ministerio Fiscal, mediante escrito registrado el 14 de febrero de 2022, formuló sus alegaciones instando la desestimación de la demanda de amparo.</w:t>
      </w:r>
    </w:p>
    <w:p w14:paraId="23891BD6" w14:textId="77777777" w:rsidR="008D479B" w:rsidRDefault="008D479B" w:rsidP="008D479B">
      <w:pPr>
        <w:pStyle w:val="TextoNormal"/>
      </w:pPr>
    </w:p>
    <w:p w14:paraId="223C0062" w14:textId="77777777" w:rsidR="008D479B" w:rsidRDefault="008D479B" w:rsidP="008D479B">
      <w:pPr>
        <w:pStyle w:val="TextoNormal"/>
      </w:pPr>
      <w:r>
        <w:t>En primer lugar, afirma que se trata de un recurso de amparo del art. 43 LOTC, ya que la invocación que se hace del derecho a la tutela judicial efectiva (art. 24.1 CE) carece de autonomía respecto de la del derecho de reunión (art. 21 CE) al vincularse exclusivamente con la defectuosa motivación de la desestimación de este último derecho. A partir de ello, después de hacer una detallada descripción de los antecedentes más relevantes del caso y destacar la similitud que plantea el objeto del recurso con los recursos de amparo avocados núm. 1293-2021 y 1294-2021, formula las siguientes consideraciones:</w:t>
      </w:r>
    </w:p>
    <w:p w14:paraId="35040315" w14:textId="77777777" w:rsidR="008D479B" w:rsidRDefault="008D479B" w:rsidP="008D479B">
      <w:pPr>
        <w:pStyle w:val="TextoNormal"/>
      </w:pPr>
    </w:p>
    <w:p w14:paraId="37978C5F" w14:textId="77777777" w:rsidR="008D479B" w:rsidRDefault="008D479B" w:rsidP="008D479B">
      <w:pPr>
        <w:pStyle w:val="TextoNormal"/>
      </w:pPr>
      <w:r>
        <w:t>a) Debe rechazarse la alegación de la demandante de amparo que imputa a las resoluciones del delegado del Gobierno en la Comunidad de Madrid la falta de motivación exigible para restringir el derecho fundamental de reunión del art. 21 CE, destacando que no se basan en razones de peligro abstracto para la salud pública, sino que pondera los datos objetivos temporales y espaciales concurrentes en el contexto de una situación de pandemia, con referencia al estado de alarma acordado en virtud del Real Decreto 926/2020 y a las resoluciones de la Consejería de Sanidad de la Comunidad de Madrid, que adoptaron medidas limitativas en función de la evolución de la propagación del virus y la incidencia acumulada de los contagios. Asimismo, atiende a las circunstancias concretas que se daban respecto a las concentraciones proyectadas, coincidentes con múltiples manifestaciones y concentraciones con el mismo objeto, en el mismo día y en lugares cercanos.</w:t>
      </w:r>
    </w:p>
    <w:p w14:paraId="72DF3746" w14:textId="77777777" w:rsidR="008D479B" w:rsidRDefault="008D479B" w:rsidP="008D479B">
      <w:pPr>
        <w:pStyle w:val="TextoNormal"/>
      </w:pPr>
    </w:p>
    <w:p w14:paraId="71AFCD25" w14:textId="77777777" w:rsidR="008D479B" w:rsidRDefault="008D479B" w:rsidP="008D479B">
      <w:pPr>
        <w:pStyle w:val="TextoNormal"/>
      </w:pPr>
      <w:r>
        <w:t>La valoración de todos estos diversos factores lleva al delegado del Gobierno a estimar que, en tales circunstancias, no se puede garantizar que se cumplan las medidas sanitarias de distanciamiento, existiendo un riesgo evidente de multiplicación de los contagios entre los participantes en los actos y con los contactos que estos tuvieran, que incidirán en la grave situación epidemiológica en la que se encuentra Madrid. Por tanto, se restringe el derecho fundamental de reunión de la entidad recurrente con base en las razones fundadas que se exponen y que atienden a datos objetivos y reales (cita la STC 193/2011, de 12 de diciembre, FJ 3). Así, el Ministerio Fiscal concluye que no es atribuible a las decisiones administrativas la vulneración del derecho fundamental de reunión por carecer de la motivación suficiente y adecuada para justificar la restricción del derecho.</w:t>
      </w:r>
    </w:p>
    <w:p w14:paraId="3191A384" w14:textId="77777777" w:rsidR="008D479B" w:rsidRDefault="008D479B" w:rsidP="008D479B">
      <w:pPr>
        <w:pStyle w:val="TextoNormal"/>
      </w:pPr>
    </w:p>
    <w:p w14:paraId="172F74A0" w14:textId="77777777" w:rsidR="008D479B" w:rsidRDefault="008D479B" w:rsidP="008D479B">
      <w:pPr>
        <w:pStyle w:val="TextoNormal"/>
      </w:pPr>
      <w:r>
        <w:t xml:space="preserve">El Ministerio Fiscal invoca el ATC 40/2020, de 30 de abril, FJ 4, que analizó la constitucionalidad de la prohibición por la autoridad competente de una manifestación convocada para el día 1 de mayo de 2020 en la ciudad de Vigo. Considera que cabe observar gran similitud entre ambos casos, por lo que es trasladable al presente recurso el razonamiento del citado auto en el que se descarta </w:t>
      </w:r>
      <w:r w:rsidRPr="008D479B">
        <w:rPr>
          <w:i/>
        </w:rPr>
        <w:t>prima facie</w:t>
      </w:r>
      <w:r>
        <w:t xml:space="preserve"> que pueda apreciarse la inconstitucionalidad de la restricción del derecho de manifestación que se alegaba, debiendo tener en cuenta además que, en el presente caso la decisión administrativa no presenta las evidentes carencias de motivación que sí presentaba la resolución administrativa enjuiciada en el ATC 40/2020.</w:t>
      </w:r>
    </w:p>
    <w:p w14:paraId="35BF67F1" w14:textId="77777777" w:rsidR="008D479B" w:rsidRDefault="008D479B" w:rsidP="008D479B">
      <w:pPr>
        <w:pStyle w:val="TextoNormal"/>
      </w:pPr>
    </w:p>
    <w:p w14:paraId="1171CDBE" w14:textId="77777777" w:rsidR="008D479B" w:rsidRDefault="008D479B" w:rsidP="008D479B">
      <w:pPr>
        <w:pStyle w:val="TextoNormal"/>
      </w:pPr>
      <w:r>
        <w:t xml:space="preserve">b) El Ministerio Fiscal, en lo que se refiere a la resolución judicial, afirma que está suficientemente motivada porque, tras exponer las razones por las que se prohibieron gubernativamente las concentraciones, aprecia que no se basan en meras conjeturas o sospechas, sino en datos objetivos derivados de las circunstancias concretas en las que se pretende ejercer el derecho de reunión. Así, examina si se ha respetado el principio </w:t>
      </w:r>
      <w:r w:rsidRPr="008D479B">
        <w:rPr>
          <w:i/>
        </w:rPr>
        <w:t>favor libertatis</w:t>
      </w:r>
      <w:r>
        <w:t xml:space="preserve"> y si se puede considerar cumplido el juicio de proporcionalidad por la medida restrictiva acordada. En este último sentido, se examina si se cumple el test de los tres niveles: (i) si la medida era idónea para garantizar la finalidad legitima perseguida de protección de la salud pública; (ii) si además era necesaria porque la finalidad no podía ser alcanzada con otra medida menos restrictiva del derecho en conflicto; y (iii) si era proporcionada en sentido estricto, es decir, ponderada o equilibrada por derivarse de ella más beneficios o ventajas para el interés general que los perjuicios que supone para los derechos en conflicto.</w:t>
      </w:r>
    </w:p>
    <w:p w14:paraId="3E671BA6" w14:textId="77777777" w:rsidR="008D479B" w:rsidRDefault="008D479B" w:rsidP="008D479B">
      <w:pPr>
        <w:pStyle w:val="TextoNormal"/>
      </w:pPr>
    </w:p>
    <w:p w14:paraId="0088653D" w14:textId="77777777" w:rsidR="008D479B" w:rsidRDefault="008D479B" w:rsidP="008D479B">
      <w:pPr>
        <w:pStyle w:val="TextoNormal"/>
      </w:pPr>
      <w:r>
        <w:t>Considera que la sentencia valora la necesidad y proporcionalidad de la medida en orden a proteger la salud pública, que se veía comprometida en la situación de pandemia en la que se celebraría la concentración comunicada, y lo hace teniendo en cuenta todos los datos sanitarios constatados en el expediente administrativo sobre la situación en la que se encontraba la Comunidad de Madrid y atendiendo a la forma y condiciones en que se proyecta el ejercicio del derecho fundamental de reunión por las asociaciones promotoras, considerando que esas circunstancias no garantizaban que las medidas sanitarias de distanciamiento exigibles pudieran cumplirse puesto que no se ofrecían medidas de seguridad concretas e idóneas para garantizarlas, haciendo solo el ofrecimiento genérico de un servicio de orden.</w:t>
      </w:r>
    </w:p>
    <w:p w14:paraId="28E0244E" w14:textId="77777777" w:rsidR="008D479B" w:rsidRDefault="008D479B" w:rsidP="008D479B">
      <w:pPr>
        <w:pStyle w:val="TextoNormal"/>
      </w:pPr>
    </w:p>
    <w:p w14:paraId="4B63646D" w14:textId="77777777" w:rsidR="008D479B" w:rsidRDefault="008D479B" w:rsidP="008D479B">
      <w:pPr>
        <w:pStyle w:val="TextoNormal"/>
      </w:pPr>
      <w:r>
        <w:t>La sentencia impugnada toma en consideración los informes que obran en el expediente administrativo acerca de las circunstancias en las que se desarrollaría el acto de concentración del día 8 de marzo. En particular, toma en cuenta el informe policial de 3 de marzo que destaca la multitud de concentraciones y manifestaciones previstas en la Comunidad de Madrid entre los días 5 y 8 de marzo, tanto las comunicadas a la autoridad gubernativa, como las que se estaban convocando por redes sociales, lo que hacía muy difícil que los dispositivos policiales pudieran hacer cumplir las normas sanitarias de separación y distanciamiento de los asistentes y de las personas que transitan por los lugares céntricos en los que dichas concentraciones y manifestaciones tendrían lugar. Igualmente, se señala el informe emitido por la directora General de Salud Pública de 3 de marzo de 2021, que se incorporó al expediente administrativo después de dictada la resolución, sobre la incidencia que tendría la concentración propuesta para la salud pública y la transmisión de la enfermedad.</w:t>
      </w:r>
    </w:p>
    <w:p w14:paraId="760842F2" w14:textId="77777777" w:rsidR="008D479B" w:rsidRDefault="008D479B" w:rsidP="008D479B">
      <w:pPr>
        <w:pStyle w:val="TextoNormal"/>
      </w:pPr>
    </w:p>
    <w:p w14:paraId="68B11961" w14:textId="77777777" w:rsidR="008D479B" w:rsidRDefault="008D479B" w:rsidP="008D479B">
      <w:pPr>
        <w:pStyle w:val="TextoNormal"/>
      </w:pPr>
      <w:r>
        <w:t>Con apoyo en todas esas circunstancias, la resolución judicial atiende, por un lado, a la situación de gravísima crisis sanitaria en la que se encontraba la Comunidad de Madrid y las exigencias de protección de la salud de los ciudadanos que demandan estrictas medidas sanitarias; y, por otro lado, a las concretas condiciones en las que se programó la concentración que ha sido prohibida. A partir de aquí, estima que la medida de prohibición de la manifestación cumple los tres criterios del juicio de proporcionalidad, debiendo considerarse necesaria y equilibrada respecto del sacrificio que comporta en el derecho de reunión, que debe en este caso ceder frente a la protección de los derechos a la vida, la integridad física y la salud de las personas.</w:t>
      </w:r>
    </w:p>
    <w:p w14:paraId="1F501C44" w14:textId="77777777" w:rsidR="008D479B" w:rsidRDefault="008D479B" w:rsidP="008D479B">
      <w:pPr>
        <w:pStyle w:val="TextoNormal"/>
      </w:pPr>
    </w:p>
    <w:p w14:paraId="558DC42A" w14:textId="56967135" w:rsidR="008D479B" w:rsidRDefault="008D479B" w:rsidP="008D479B">
      <w:pPr>
        <w:pStyle w:val="TextoNormal"/>
      </w:pPr>
      <w:r>
        <w:t>Por todo lo anteriormente expuesto, el Ministerio Fiscal considera que la sentencia impugnada es una resolución debidamente fundada en Derecho desde la perspectiva de control de constitucionalidad y que realiza un amplio examen de la medida de prohibición de la concentración a la luz de la doctrina constitucional sobre el carácter restrictivo que debe tener toda limitación del derecho fundamental de reunión, pues pondera los valores o derechos concurrentes con el de reunión teniendo en cuenta el contexto en el que se trata de ejercer, que se corresponde con la grave situación de pandemia en la que se encontraba la Comunidad de Madrid y las concretas circunstancias o condiciones en las que se proyecta la concentración, así como la proporcionalidad estricta de la restricción del derecho de reunión, en relación con el beneficio general que comporta para la protección de los derechos concurrentes como la vida y la salud de las personas. Igualmente destaca que se da razón suficiente sobre el cambio sobrevenido de criterio para prohibir finalmente las concentraciones comunicadas.</w:t>
      </w:r>
    </w:p>
    <w:p w14:paraId="62FE7164" w14:textId="77777777" w:rsidR="008D479B" w:rsidRDefault="008D479B" w:rsidP="008D479B">
      <w:pPr>
        <w:pStyle w:val="TextoNormal"/>
      </w:pPr>
    </w:p>
    <w:p w14:paraId="79725E55" w14:textId="77777777" w:rsidR="008D479B" w:rsidRDefault="008D479B" w:rsidP="008D479B">
      <w:pPr>
        <w:pStyle w:val="TextoNormal"/>
      </w:pPr>
      <w:r w:rsidRPr="008D479B">
        <w:rPr>
          <w:rStyle w:val="NumeroAFNegritaCaracter"/>
        </w:rPr>
        <w:t>7</w:t>
      </w:r>
      <w:r>
        <w:t>. El abogado del Estado, mediante escrito registrado en el Tribunal el 24 de febrero de 2022, formuló alegaciones solicitando la inadmisión parcial de la demanda en lo que se refiere a la invocación del art. 24.1 CE, por haber incurrido la sentencia en falta de motivación respecto de las concretas circunstancias de las convocatorias realizadas y la existencia de previas resoluciones dictadas por la Delegación del Gobierno, por considerar que está incursa en la causa de inadmisión de falta de agotamiento de la vía judicial previa por no haber interpuesto un incidente de nulidad de actuaciones como medio impugnatorio apto para el más temprano restablecimiento del derecho fundamental invocado.</w:t>
      </w:r>
    </w:p>
    <w:p w14:paraId="30701C8C" w14:textId="77777777" w:rsidR="008D479B" w:rsidRDefault="008D479B" w:rsidP="008D479B">
      <w:pPr>
        <w:pStyle w:val="TextoNormal"/>
      </w:pPr>
    </w:p>
    <w:p w14:paraId="7ABCDC8B" w14:textId="44911307" w:rsidR="008D479B" w:rsidRDefault="008D479B" w:rsidP="008D479B">
      <w:pPr>
        <w:pStyle w:val="TextoNormal"/>
      </w:pPr>
      <w:r>
        <w:t>Igualmente, solicita la desestimación del recurso en relación con la invocación del derecho de reunión (art. 21 CE) argumentando, con una amplia referencia al ATC 40/2020, de 30 de abril, que se ha respetado el principio de proporcionalidad en las resoluciones impugnadas, ya que se ha expuesto de manera motivada la prevalencia de las razones sanitarias concurrentes y las razones por las que hubo un cambio de criterio para prohibir finalmente las concentraciones convocadas.</w:t>
      </w:r>
    </w:p>
    <w:p w14:paraId="1D3AFA47" w14:textId="77777777" w:rsidR="008D479B" w:rsidRDefault="008D479B" w:rsidP="008D479B">
      <w:pPr>
        <w:pStyle w:val="TextoNormal"/>
      </w:pPr>
    </w:p>
    <w:p w14:paraId="6D4ACE83" w14:textId="69E169B4" w:rsidR="008D479B" w:rsidRDefault="008D479B" w:rsidP="008D479B">
      <w:pPr>
        <w:pStyle w:val="TextoNormal"/>
      </w:pPr>
      <w:r w:rsidRPr="008D479B">
        <w:rPr>
          <w:rStyle w:val="NumeroAFNegritaCaracter"/>
        </w:rPr>
        <w:t>8</w:t>
      </w:r>
      <w:r>
        <w:t>. La asociación demandante de amparo, mediante escrito registrado en el Tribunal el 17 de febrero de 2022, formuló alegaciones ratificándose en los argumentos de la demanda.</w:t>
      </w:r>
    </w:p>
    <w:p w14:paraId="490E96B0" w14:textId="77777777" w:rsidR="008D479B" w:rsidRDefault="008D479B" w:rsidP="008D479B">
      <w:pPr>
        <w:pStyle w:val="TextoNormal"/>
      </w:pPr>
    </w:p>
    <w:p w14:paraId="54A7EF42" w14:textId="4992A4E5" w:rsidR="008D479B" w:rsidRDefault="008D479B" w:rsidP="008D479B">
      <w:pPr>
        <w:pStyle w:val="TextoNormal"/>
      </w:pPr>
      <w:r w:rsidRPr="008D479B">
        <w:rPr>
          <w:rStyle w:val="NumeroAFNegritaCaracter"/>
        </w:rPr>
        <w:t>9</w:t>
      </w:r>
      <w:r>
        <w:t>. Por providencia de 7 de diciembre de 2023 se señaló para deliberación y votación de la presente sentencia el día 11 del mismo mes y año.</w:t>
      </w:r>
    </w:p>
    <w:p w14:paraId="617868AB" w14:textId="77777777" w:rsidR="008D479B" w:rsidRDefault="008D479B" w:rsidP="008D479B">
      <w:pPr>
        <w:pStyle w:val="TextoNormal"/>
      </w:pPr>
    </w:p>
    <w:p w14:paraId="131B260E" w14:textId="77777777" w:rsidR="008D479B" w:rsidRDefault="008D479B" w:rsidP="008D479B">
      <w:pPr>
        <w:pStyle w:val="TextoNormalNegritaCentrado"/>
        <w:keepNext/>
      </w:pPr>
      <w:r>
        <w:t>II. Fundamentos jurídicos</w:t>
      </w:r>
    </w:p>
    <w:p w14:paraId="34421738" w14:textId="66818D6B" w:rsidR="008D479B" w:rsidRDefault="008D479B" w:rsidP="008D479B">
      <w:pPr>
        <w:pStyle w:val="TextoNormalNegritaCentrado"/>
        <w:keepNext/>
      </w:pPr>
    </w:p>
    <w:p w14:paraId="56BA3255" w14:textId="77777777" w:rsidR="008D479B" w:rsidRDefault="008D479B" w:rsidP="008D479B">
      <w:pPr>
        <w:pStyle w:val="TextoNormal"/>
      </w:pPr>
      <w:r w:rsidRPr="008D479B">
        <w:rPr>
          <w:rStyle w:val="TextoNormalNegritaCaracter"/>
        </w:rPr>
        <w:t xml:space="preserve">Único. </w:t>
      </w:r>
      <w:r w:rsidRPr="008D479B">
        <w:rPr>
          <w:i/>
        </w:rPr>
        <w:t>Aplicación de la jurisprudencia establecida en la STC 164/2023, de 21 de noviembre</w:t>
      </w:r>
    </w:p>
    <w:p w14:paraId="1FD2A1FD" w14:textId="77777777" w:rsidR="008D479B" w:rsidRDefault="008D479B" w:rsidP="008D479B">
      <w:pPr>
        <w:pStyle w:val="TextoNormal"/>
      </w:pPr>
    </w:p>
    <w:p w14:paraId="68FF2D7E" w14:textId="77777777" w:rsidR="008D479B" w:rsidRDefault="008D479B" w:rsidP="008D479B">
      <w:pPr>
        <w:pStyle w:val="TextoNormal"/>
      </w:pPr>
      <w:r>
        <w:t>El objeto del presente recurso es determinar si las resoluciones del Delegado del Gobierno en la Comunidad de Madrid, de 3 de marzo de 2021, pronunciadas en los expedientes núm. 198-2021 y 199-2021, han vulnerado los derechos fundamentales de reunión (art. 21 CE) y a la tutela judicial efectiva (art. 24.1 CE) de la asociación demandante de amparo, al prohibir las concentraciones que convocó, junto con otra asociación, en Madrid los días 7 y 8 de marzo de 2021 con motivo de la celebración del día internacional de la mujer, resoluciones que fueron confirmadas por la sentencia de la Sección Décima de la Sala de lo Contencioso-Administrativo del Tribunal Superior de Justicia de Madrid núm. 186/2021, de 6 de marzo, pronunciada en el procedimiento sobre derecho de reunión núm. 280-2021.</w:t>
      </w:r>
    </w:p>
    <w:p w14:paraId="16F18F51" w14:textId="77777777" w:rsidR="008D479B" w:rsidRDefault="008D479B" w:rsidP="008D479B">
      <w:pPr>
        <w:pStyle w:val="TextoNormal"/>
      </w:pPr>
    </w:p>
    <w:p w14:paraId="49A89864" w14:textId="77777777" w:rsidR="008D479B" w:rsidRDefault="008D479B" w:rsidP="008D479B">
      <w:pPr>
        <w:pStyle w:val="TextoNormal"/>
      </w:pPr>
      <w:r>
        <w:t>Este objeto es coincidente con el resuelto por la STC 164/2023, de 21 de noviembre, por lo que es preciso remitirse a sus fundamentos jurídicos 2 y 3, en los que respectivamente se expuso la doctrina constitucional sobre el derecho de reunión y manifestación (art. 21 CE) y se procedió a su aplicación a un supuesto que guarda identidad de razón con el presente.</w:t>
      </w:r>
    </w:p>
    <w:p w14:paraId="4C3211CB" w14:textId="77777777" w:rsidR="008D479B" w:rsidRDefault="008D479B" w:rsidP="008D479B">
      <w:pPr>
        <w:pStyle w:val="TextoNormal"/>
      </w:pPr>
    </w:p>
    <w:p w14:paraId="0FA4C98D" w14:textId="77777777" w:rsidR="008D479B" w:rsidRDefault="008D479B" w:rsidP="008D479B">
      <w:pPr>
        <w:pStyle w:val="TextoNormal"/>
      </w:pPr>
      <w:r>
        <w:t>En efecto, como en la referida sentencia, también aquí el Tribunal debe concluir que la prohibición gubernativa vulneró el art. 21 CE y supuso una restricción injustificada y desproporcionada del derecho de reunión y manifestación del que era titular la parte demandante, dado que la medida de prohibición supuso la máxima afectación del derecho fundamental, con un bajo valor de utilidad para el fin de preservar la salud pública, pues concurría ya en aquel momento una realidad muy distinta a la existente durante la vigencia del primer estado de alarma provocado por la pandemia del virus Covid-19. El resultado del juicio de proporcionalidad estricta revela como muy escasa la incidencia que la prohibición de la reunión reivindicativa convocada tendría en el riesgo de contagio y, por ello, la poca relevancia que aportaría a la satisfacción del interés general representado por la salud pública, finalidad que justificaba la intervención de la autoridad gubernativa.</w:t>
      </w:r>
    </w:p>
    <w:p w14:paraId="657C6501" w14:textId="77777777" w:rsidR="008D479B" w:rsidRDefault="008D479B" w:rsidP="008D479B">
      <w:pPr>
        <w:pStyle w:val="TextoNormal"/>
      </w:pPr>
    </w:p>
    <w:p w14:paraId="16104135" w14:textId="5D17A9DF" w:rsidR="008D479B" w:rsidRDefault="008D479B" w:rsidP="008D479B">
      <w:pPr>
        <w:pStyle w:val="TextoNormal"/>
      </w:pPr>
      <w:r>
        <w:t>En consecuencia, debe otorgarse el amparo solicitado por vulneración del art. 21 CE con la anulación de las resoluciones impugnadas, lo que hace innecesario que el Tribunal tenga que pronunciarse sobre el fondo de la invocación del derecho a la tutela judicial efectiva (art. 24.1 CE) y la eventual causa de inadmisión parcial que respecto de dicha invocación ha sido alegada por el abogado del Estado.</w:t>
      </w:r>
    </w:p>
    <w:p w14:paraId="0374D371" w14:textId="77777777" w:rsidR="008D479B" w:rsidRDefault="008D479B" w:rsidP="008D479B">
      <w:pPr>
        <w:pStyle w:val="TextoNormal"/>
      </w:pPr>
    </w:p>
    <w:p w14:paraId="50416F70" w14:textId="77777777" w:rsidR="008D479B" w:rsidRDefault="008D479B" w:rsidP="008D479B">
      <w:pPr>
        <w:pStyle w:val="TextoNormalCentrado"/>
        <w:keepNext/>
      </w:pPr>
      <w:r>
        <w:t>FALLO</w:t>
      </w:r>
    </w:p>
    <w:p w14:paraId="40E43586" w14:textId="0DE61F0A" w:rsidR="008D479B" w:rsidRDefault="008D479B" w:rsidP="008D479B">
      <w:pPr>
        <w:pStyle w:val="TextoNormalCentrado"/>
        <w:keepNext/>
      </w:pPr>
    </w:p>
    <w:p w14:paraId="17F5FB88" w14:textId="77777777" w:rsidR="008D479B" w:rsidRDefault="008D479B" w:rsidP="008D479B">
      <w:pPr>
        <w:pStyle w:val="TextoNormal"/>
      </w:pPr>
      <w:r>
        <w:t>En atención a todo lo expuesto, el Tribunal Constitucional, por la autoridad que le confiere la Constitución de la Nación española, ha decidido estimar el recurso de amparo interpuesto por el Consejo de las Mujeres de la Ciudad de Madrid, y en su virtud:</w:t>
      </w:r>
    </w:p>
    <w:p w14:paraId="12D4D626" w14:textId="77777777" w:rsidR="008D479B" w:rsidRDefault="008D479B" w:rsidP="008D479B">
      <w:pPr>
        <w:pStyle w:val="TextoNormal"/>
      </w:pPr>
    </w:p>
    <w:p w14:paraId="444DEB41" w14:textId="77777777" w:rsidR="008D479B" w:rsidRDefault="008D479B" w:rsidP="008D479B">
      <w:pPr>
        <w:pStyle w:val="TextoNormal"/>
      </w:pPr>
      <w:r>
        <w:t>1º Declarar que se ha vulnerado su derecho fundamental de reunión y manifestación (art. 21 CE).</w:t>
      </w:r>
    </w:p>
    <w:p w14:paraId="4A160A0D" w14:textId="77777777" w:rsidR="008D479B" w:rsidRDefault="008D479B" w:rsidP="008D479B">
      <w:pPr>
        <w:pStyle w:val="TextoNormal"/>
      </w:pPr>
    </w:p>
    <w:p w14:paraId="1FE01FB9" w14:textId="762B7D52" w:rsidR="008D479B" w:rsidRDefault="008D479B" w:rsidP="008D479B">
      <w:pPr>
        <w:pStyle w:val="TextoNormal"/>
      </w:pPr>
      <w:r>
        <w:t>2º Restablecerle en su derecho y, a tal fin, anular las resoluciones del delegado del Gobierno en la Comunidad de Madrid de 3 de marzo de 2021, pronunciadas en los expedientes núm. 198-2021 y 199-2021, que prohibieron las manifestaciones que la demandante había convocado para los días 7 y 8 de marzo de 2021 en Madrid, y la sentencia de la Sección Décima de la Sala de lo Contencioso-Administrativo del Tribunal Superior de Justicia de Madrid núm. 186/2021, de 6 de marzo, pronunciada en el procedimiento sobre derecho de reunión núm. 280-2021, que desestimó el recurso interpuesto contra las anteriores resoluciones.</w:t>
      </w:r>
    </w:p>
    <w:p w14:paraId="57621194" w14:textId="77777777" w:rsidR="008D479B" w:rsidRDefault="008D479B" w:rsidP="008D479B">
      <w:pPr>
        <w:pStyle w:val="TextoNormal"/>
      </w:pPr>
    </w:p>
    <w:p w14:paraId="569D7495" w14:textId="77777777" w:rsidR="008D479B" w:rsidRDefault="008D479B" w:rsidP="008D479B">
      <w:pPr>
        <w:pStyle w:val="TextoNormal"/>
      </w:pPr>
      <w:r>
        <w:t>Publíquese esta sentencia en el “Boletín Oficial del Estado”.</w:t>
      </w:r>
    </w:p>
    <w:p w14:paraId="7B3EF086" w14:textId="77777777" w:rsidR="008D479B" w:rsidRDefault="008D479B" w:rsidP="008D479B">
      <w:pPr>
        <w:pStyle w:val="TextoNormal"/>
      </w:pPr>
      <w:r>
        <w:t>Dada en Madrid, a once de diciembre de dos mil veintitrés.</w:t>
      </w:r>
    </w:p>
    <w:p w14:paraId="5CE3DF6D" w14:textId="718E4D78" w:rsidR="008D479B" w:rsidRDefault="008D479B" w:rsidP="008D479B">
      <w:pPr>
        <w:pStyle w:val="ParrafoNormal"/>
      </w:pPr>
    </w:p>
    <w:p w14:paraId="49A9448C" w14:textId="77777777" w:rsidR="008D479B" w:rsidRDefault="008D479B" w:rsidP="008D479B">
      <w:pPr>
        <w:pStyle w:val="TextoNormalNegritaCentrado"/>
        <w:keepNext/>
      </w:pPr>
      <w:r>
        <w:t>Voto particular que formulan el magistrado don Ricardo Enríquez Sancho y la magistrada doña Concepción Espejel Jorquera a la sentencia dictada en el recurso de amparo núm. 1965-2021</w:t>
      </w:r>
    </w:p>
    <w:p w14:paraId="2DC75382" w14:textId="52DB7F23" w:rsidR="008D479B" w:rsidRDefault="008D479B" w:rsidP="008D479B">
      <w:pPr>
        <w:pStyle w:val="TextoNormalNegritaCentrado"/>
        <w:keepNext/>
      </w:pPr>
    </w:p>
    <w:p w14:paraId="771A0567" w14:textId="77777777" w:rsidR="008D479B" w:rsidRDefault="008D479B" w:rsidP="008D479B">
      <w:pPr>
        <w:pStyle w:val="TextoNormal"/>
      </w:pPr>
      <w:r>
        <w:t>En el ejercicio de la facultad que nos confiere el artículo 90.2 de la Ley Orgánica del Tribunal Constitucional, y con el máximo respeto a la opinión de la mayoría, formulamos el presente voto particular concurrente por discrepar de una parte de la fundamentación de la sentencia recaída en el recurso de amparo núm. 1965-2021, que ha conducido a la estimación de la demanda por falta de proporcionalidad en sentido estricto de la medida de prohibición del ejercicio del derecho fundamental de reunión y manifestación (art. 21 CE) de la parte demandante, impugnada en el recurso.</w:t>
      </w:r>
    </w:p>
    <w:p w14:paraId="1FE9D2C2" w14:textId="77777777" w:rsidR="008D479B" w:rsidRDefault="008D479B" w:rsidP="008D479B">
      <w:pPr>
        <w:pStyle w:val="TextoNormal"/>
      </w:pPr>
    </w:p>
    <w:p w14:paraId="78E0627F" w14:textId="77777777" w:rsidR="008D479B" w:rsidRDefault="008D479B" w:rsidP="008D479B">
      <w:pPr>
        <w:pStyle w:val="TextoNormal"/>
      </w:pPr>
      <w:r>
        <w:t>Las razones de nuestra discrepancia son idénticas a las expresadas en el voto particular que suscribimos, junto con el magistrado don Enrique Arnaldo Alcubilla, a la STC 164/2023, de 21 de noviembre, en la que se resolvió el recurso de amparo cabecera de esta misma serie, por lo que nos remitimos a lo expuesto entonces.</w:t>
      </w:r>
    </w:p>
    <w:p w14:paraId="653A37F0" w14:textId="77777777" w:rsidR="008D479B" w:rsidRDefault="008D479B" w:rsidP="008D479B">
      <w:pPr>
        <w:pStyle w:val="TextoNormal"/>
      </w:pPr>
    </w:p>
    <w:p w14:paraId="3AF48523" w14:textId="77777777" w:rsidR="008D479B" w:rsidRDefault="008D479B" w:rsidP="008D479B">
      <w:pPr>
        <w:pStyle w:val="TextoNormal"/>
      </w:pPr>
      <w:r>
        <w:t>Y en tal sentido emitimos nuestro voto particular concurrente al presente recurso.</w:t>
      </w:r>
    </w:p>
    <w:p w14:paraId="2872C0CA" w14:textId="77777777" w:rsidR="008D479B" w:rsidRDefault="008D479B" w:rsidP="008D479B">
      <w:pPr>
        <w:pStyle w:val="TextoNormal"/>
      </w:pPr>
    </w:p>
    <w:p w14:paraId="7E9BE3C7" w14:textId="184C953D" w:rsidR="008D479B" w:rsidRDefault="008D479B" w:rsidP="008D479B">
      <w:pPr>
        <w:pStyle w:val="TextoNormal"/>
      </w:pPr>
      <w:r>
        <w:t>Madrid, a once de diciembre de dos mil veintitrés.</w:t>
      </w:r>
    </w:p>
    <w:p w14:paraId="79F22D71" w14:textId="77777777" w:rsidR="008D479B" w:rsidRDefault="008D479B" w:rsidP="008D479B">
      <w:pPr>
        <w:pStyle w:val="TextoNormal"/>
      </w:pPr>
    </w:p>
    <w:p w14:paraId="71FABFDB" w14:textId="77777777" w:rsidR="008D479B" w:rsidRDefault="008D479B" w:rsidP="008D479B">
      <w:pPr>
        <w:pStyle w:val="TextoNormalNegritaCentrado"/>
        <w:keepNext/>
      </w:pPr>
      <w:r>
        <w:t>Voto particular que formula la magistrada doña María Luisa Segoviano Astaburuaga respecto de la sentencia pronunciada en el recurso de amparo núm. 1965-2021</w:t>
      </w:r>
    </w:p>
    <w:p w14:paraId="04A64DBD" w14:textId="7B010A72" w:rsidR="008D479B" w:rsidRDefault="008D479B" w:rsidP="008D479B">
      <w:pPr>
        <w:pStyle w:val="TextoNormalNegritaCentrado"/>
        <w:keepNext/>
      </w:pPr>
    </w:p>
    <w:p w14:paraId="33680FB6" w14:textId="77777777" w:rsidR="008D479B" w:rsidRDefault="008D479B" w:rsidP="008D479B">
      <w:pPr>
        <w:pStyle w:val="TextoNormal"/>
      </w:pPr>
      <w:r>
        <w:t>Con el máximo respeto a los magistrados y magistradas del Tribunal, debo reiterar, en coherencia con mi adhesión al voto particular formulado por la magistrada doña Laura Díez Bueso a la STC 164/2023, de 21 de noviembre, mi discrepancia, por las razones allí expuestas, con la estimación del recurso por vulneración del derecho fundamental de reunión y manifestación (art. 21 CE).</w:t>
      </w:r>
    </w:p>
    <w:p w14:paraId="4D50E7BF" w14:textId="77777777" w:rsidR="008D479B" w:rsidRDefault="008D479B" w:rsidP="008D479B">
      <w:pPr>
        <w:pStyle w:val="TextoNormal"/>
      </w:pPr>
    </w:p>
    <w:p w14:paraId="6B540D5F" w14:textId="33D77071" w:rsidR="008D479B" w:rsidRDefault="008D479B" w:rsidP="008D479B">
      <w:pPr>
        <w:pStyle w:val="TextoNormal"/>
      </w:pPr>
      <w:r>
        <w:t>Madrid, a once de diciembre de dos mil veintitrés.</w:t>
      </w:r>
    </w:p>
    <w:p w14:paraId="2F0C7C98" w14:textId="0D1491CA" w:rsidR="008D479B" w:rsidRDefault="008D479B">
      <w:pPr>
        <w:spacing w:after="160" w:line="278" w:lineRule="auto"/>
        <w:rPr>
          <w:rFonts w:ascii="Times New Roman" w:eastAsia="Times New Roman" w:hAnsi="Times New Roman" w:cs="Times New Roman"/>
          <w:sz w:val="24"/>
          <w:szCs w:val="24"/>
          <w:lang w:eastAsia="es-ES"/>
        </w:rPr>
      </w:pPr>
      <w:r>
        <w:br w:type="page"/>
      </w:r>
    </w:p>
    <w:p w14:paraId="65A34B16" w14:textId="77777777" w:rsidR="008D479B" w:rsidRDefault="008D479B" w:rsidP="008D479B">
      <w:pPr>
        <w:pStyle w:val="TtuloResolucin"/>
      </w:pPr>
      <w:bookmarkStart w:id="99" w:name="SENTENCIA_2023_174"/>
      <w:r>
        <w:t>SENTENCIA 174/2023, de 11 de diciembre de 2023</w:t>
      </w:r>
    </w:p>
    <w:bookmarkEnd w:id="99"/>
    <w:p w14:paraId="024020A1" w14:textId="77777777" w:rsidR="008D479B" w:rsidRDefault="008D479B" w:rsidP="008D479B">
      <w:pPr>
        <w:pStyle w:val="TtuloResolucin"/>
      </w:pPr>
      <w:r>
        <w:t>Sala Segunda</w:t>
      </w:r>
    </w:p>
    <w:p w14:paraId="6857BC46" w14:textId="77777777" w:rsidR="008D479B" w:rsidRDefault="008D479B" w:rsidP="008D479B">
      <w:pPr>
        <w:pStyle w:val="TtuloBOE"/>
      </w:pPr>
      <w:r>
        <w:t>(BOE núm. 16, de 18 de enero de 2024)</w:t>
      </w:r>
    </w:p>
    <w:p w14:paraId="4454DB4E" w14:textId="77777777" w:rsidR="008D479B" w:rsidRDefault="008D479B" w:rsidP="008D479B">
      <w:pPr>
        <w:pStyle w:val="TextoNormalCentrado"/>
      </w:pPr>
      <w:r>
        <w:t>ECLI:ES:TC:2023:174</w:t>
      </w:r>
    </w:p>
    <w:p w14:paraId="633B1C6E" w14:textId="6DBE9B33" w:rsidR="008D479B" w:rsidRDefault="008D479B" w:rsidP="008D479B">
      <w:pPr>
        <w:pStyle w:val="TextoNormalCentrado"/>
      </w:pPr>
    </w:p>
    <w:p w14:paraId="3E4A3FE6" w14:textId="77777777" w:rsidR="008D479B" w:rsidRDefault="008D479B" w:rsidP="008D479B">
      <w:pPr>
        <w:pStyle w:val="SntesisDescriptiva"/>
      </w:pPr>
      <w:r>
        <w:t>Recurso de amparo 2027-2021. Promovido por doña Natalia Blázquez Soto en relación con la sentencia dictada por la Sala de lo Contencioso-Administrativo del Tribunal Superior de Justicia de Madrid que desestimó su demanda frente a la resolución del delegado del Gobierno en Madrid prohibiendo las concentraciones convocadas para el día 8 de marzo de 2021.</w:t>
      </w:r>
    </w:p>
    <w:p w14:paraId="07199548" w14:textId="0E4D15CE" w:rsidR="008D479B" w:rsidRDefault="008D479B" w:rsidP="008D479B">
      <w:pPr>
        <w:pStyle w:val="SntesisDescriptiva"/>
      </w:pPr>
    </w:p>
    <w:p w14:paraId="16258E0D" w14:textId="77777777" w:rsidR="008D479B" w:rsidRDefault="008D479B" w:rsidP="008D479B">
      <w:pPr>
        <w:pStyle w:val="SntesisAnaltica"/>
      </w:pPr>
      <w:r>
        <w:t>Vulneración del derecho de reunión y manifestación: STC 164/2023 (prohibición injustificada y desproporcionada de la convocatoria de concentraciones al aire libre, con número limitado de asistentes y garantizando el uso de mascarillas y el mantenimiento de una distancia interpersonal de seguridad).</w:t>
      </w:r>
    </w:p>
    <w:p w14:paraId="411AB900" w14:textId="38F12502" w:rsidR="008D479B" w:rsidRDefault="008D479B" w:rsidP="008D479B">
      <w:pPr>
        <w:pStyle w:val="SntesisAnaltica"/>
      </w:pPr>
    </w:p>
    <w:p w14:paraId="5DD58B36" w14:textId="644A9120" w:rsidR="008D479B" w:rsidRDefault="008D479B" w:rsidP="008D479B">
      <w:pPr>
        <w:pStyle w:val="Extracto"/>
      </w:pPr>
      <w:r>
        <w:t>1.</w:t>
      </w:r>
      <w:r>
        <w:tab/>
        <w:t>Se aplica la doctrina relativa al derecho de reunión y manifestación en relación con la proporcionalidad debida de las medidas limitativas de su ejercicio  (STC 164/2023) [FJ Único].</w:t>
      </w:r>
    </w:p>
    <w:p w14:paraId="09849212" w14:textId="77777777" w:rsidR="008D479B" w:rsidRDefault="008D479B" w:rsidP="008D479B">
      <w:pPr>
        <w:pStyle w:val="Extracto"/>
      </w:pPr>
    </w:p>
    <w:p w14:paraId="7F67FE19" w14:textId="77777777" w:rsidR="008D479B" w:rsidRDefault="008D479B" w:rsidP="008D479B">
      <w:pPr>
        <w:pStyle w:val="Extracto"/>
      </w:pPr>
    </w:p>
    <w:p w14:paraId="2BF4957E" w14:textId="77777777" w:rsidR="008D479B" w:rsidRDefault="008D479B" w:rsidP="008D479B">
      <w:pPr>
        <w:pStyle w:val="TextoNormal"/>
      </w:pPr>
      <w: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14:paraId="3A97572A" w14:textId="6E2F69A3" w:rsidR="008D479B" w:rsidRDefault="008D479B" w:rsidP="008D479B">
      <w:pPr>
        <w:pStyle w:val="TextoNormal"/>
      </w:pPr>
    </w:p>
    <w:p w14:paraId="39960B07" w14:textId="77777777" w:rsidR="008D479B" w:rsidRDefault="008D479B" w:rsidP="008D479B">
      <w:pPr>
        <w:pStyle w:val="TextoNormalCentrado"/>
        <w:keepNext/>
      </w:pPr>
      <w:r>
        <w:t>EN NOMBRE DEL REY</w:t>
      </w:r>
    </w:p>
    <w:p w14:paraId="048B6330" w14:textId="7268CD39" w:rsidR="008D479B" w:rsidRDefault="008D479B" w:rsidP="008D479B">
      <w:pPr>
        <w:pStyle w:val="TextoNormalCentrado"/>
        <w:keepNext/>
      </w:pPr>
    </w:p>
    <w:p w14:paraId="317EAF2C" w14:textId="77777777" w:rsidR="008D479B" w:rsidRDefault="008D479B" w:rsidP="008D479B">
      <w:pPr>
        <w:pStyle w:val="TextoNormalCentrado"/>
        <w:keepNext/>
      </w:pPr>
    </w:p>
    <w:p w14:paraId="6C497299" w14:textId="77777777" w:rsidR="008D479B" w:rsidRDefault="008D479B" w:rsidP="008D479B">
      <w:pPr>
        <w:pStyle w:val="TextoNormal"/>
      </w:pPr>
      <w:r>
        <w:t>la siguiente</w:t>
      </w:r>
    </w:p>
    <w:p w14:paraId="20338E7D" w14:textId="74EE1285" w:rsidR="008D479B" w:rsidRDefault="008D479B" w:rsidP="008D479B">
      <w:pPr>
        <w:pStyle w:val="TextoNormal"/>
      </w:pPr>
    </w:p>
    <w:p w14:paraId="153E6867" w14:textId="77777777" w:rsidR="008D479B" w:rsidRDefault="008D479B" w:rsidP="008D479B">
      <w:pPr>
        <w:pStyle w:val="TextoNormalCentrado"/>
        <w:keepNext/>
      </w:pPr>
      <w:r>
        <w:t>SENTENCIA</w:t>
      </w:r>
    </w:p>
    <w:p w14:paraId="45912A05" w14:textId="6D05DEBA" w:rsidR="008D479B" w:rsidRDefault="008D479B" w:rsidP="008D479B">
      <w:pPr>
        <w:pStyle w:val="TextoNormalCentrado"/>
        <w:keepNext/>
      </w:pPr>
    </w:p>
    <w:p w14:paraId="0A82997F" w14:textId="77777777" w:rsidR="008D479B" w:rsidRDefault="008D479B" w:rsidP="008D479B">
      <w:pPr>
        <w:pStyle w:val="TextoNormal"/>
      </w:pPr>
      <w:r>
        <w:t>En el recurso de amparo núm. 2027-2021, promovido por doña Natalia Blázquez Soto contra la sentencia de 7 de marzo de 2021 de la Sección Décima de la Sala de lo Contencioso-Administrativo del Tribunal Superior de Justicia de Madrid, recaída en el procedimiento sobre derecho de reunión núm. 276-2021, por la que se desestimó el recurso interpuesto contra la resolución de 3 de marzo de 2021 del delegado del Gobierno en la Comunidad de Madrid, que a su vez acordó la prohibición de las concentraciones convocadas para el día 8 de marzo de 2021. Ha sido parte el abogado del Estado. Ha intervenido el Ministerio Fiscal. Ha sido ponente el magistrado don Enrique Arnaldo Alcubilla.</w:t>
      </w:r>
    </w:p>
    <w:p w14:paraId="28F4B6FB" w14:textId="0AB98727" w:rsidR="008D479B" w:rsidRDefault="008D479B" w:rsidP="008D479B">
      <w:pPr>
        <w:pStyle w:val="TextoNormal"/>
      </w:pPr>
    </w:p>
    <w:p w14:paraId="2E5707E2" w14:textId="77777777" w:rsidR="008D479B" w:rsidRDefault="008D479B" w:rsidP="008D479B">
      <w:pPr>
        <w:pStyle w:val="TextoNormalNegritaCentrado"/>
        <w:keepNext/>
      </w:pPr>
      <w:r>
        <w:t>I. Antecedentes</w:t>
      </w:r>
    </w:p>
    <w:p w14:paraId="5A8DA693" w14:textId="073C4606" w:rsidR="008D479B" w:rsidRDefault="008D479B" w:rsidP="008D479B">
      <w:pPr>
        <w:pStyle w:val="TextoNormalNegritaCentrado"/>
        <w:keepNext/>
      </w:pPr>
    </w:p>
    <w:p w14:paraId="1658ACF7" w14:textId="341747DC" w:rsidR="008D479B" w:rsidRDefault="008D479B" w:rsidP="008D479B">
      <w:pPr>
        <w:pStyle w:val="TextoNormal"/>
      </w:pPr>
      <w:r w:rsidRPr="008D479B">
        <w:rPr>
          <w:rStyle w:val="NumeroAFNegritaCaracter"/>
        </w:rPr>
        <w:t>1</w:t>
      </w:r>
      <w:r>
        <w:t>. Doña Natalia Blázquez Soto, representada por la procuradora de los tribunales doña Virginia Sánchez de León Herencia, bajo la dirección de la letrada doña Ana Méndez Gorbea, interpuso recurso de amparo contra las resoluciones mencionadas en el encabezamiento de esta sentencia mediante escrito registrado en este tribunal el 7 de abril de 2021.</w:t>
      </w:r>
    </w:p>
    <w:p w14:paraId="5253A6E1" w14:textId="77777777" w:rsidR="008D479B" w:rsidRDefault="008D479B" w:rsidP="008D479B">
      <w:pPr>
        <w:pStyle w:val="TextoNormal"/>
      </w:pPr>
    </w:p>
    <w:p w14:paraId="5FF24A43" w14:textId="77777777" w:rsidR="008D479B" w:rsidRDefault="008D479B" w:rsidP="008D479B">
      <w:pPr>
        <w:pStyle w:val="TextoNormal"/>
      </w:pPr>
      <w:r w:rsidRPr="008D479B">
        <w:rPr>
          <w:rStyle w:val="NumeroAFNegritaCaracter"/>
        </w:rPr>
        <w:t>2</w:t>
      </w:r>
      <w:r>
        <w:t>. El recurso tiene su origen en los siguientes antecedentes:</w:t>
      </w:r>
    </w:p>
    <w:p w14:paraId="482B3591" w14:textId="77777777" w:rsidR="008D479B" w:rsidRDefault="008D479B" w:rsidP="008D479B">
      <w:pPr>
        <w:pStyle w:val="TextoNormal"/>
      </w:pPr>
    </w:p>
    <w:p w14:paraId="13C6D1BA" w14:textId="77777777" w:rsidR="008D479B" w:rsidRDefault="008D479B" w:rsidP="008D479B">
      <w:pPr>
        <w:pStyle w:val="TextoNormal"/>
      </w:pPr>
      <w:r>
        <w:t>a) La Comisión Feminista 8 de marzo del Movimiento Feminista de Madrid, comunicó a la Delegación del Gobierno en la Comunidad de Madrid la realización de una manifestación en esta capital, con motivo del día internacional de la mujer, prevista para el día 8 de marzo de 2021, entre las 17:30 y las 21:00 horas, iniciándose el recorrido en cuatro puntos (glorieta de Bilbao, plaza Emilio Castelar, plaza Salvador Dalí y plaza de Neptuno, y finalizando en la plaza de Colón). Con una previsión de asistencia de 10 000 personas.</w:t>
      </w:r>
    </w:p>
    <w:p w14:paraId="3C362758" w14:textId="77777777" w:rsidR="008D479B" w:rsidRDefault="008D479B" w:rsidP="008D479B">
      <w:pPr>
        <w:pStyle w:val="TextoNormal"/>
      </w:pPr>
    </w:p>
    <w:p w14:paraId="286D19EE" w14:textId="77777777" w:rsidR="008D479B" w:rsidRDefault="008D479B" w:rsidP="008D479B">
      <w:pPr>
        <w:pStyle w:val="TextoNormal"/>
      </w:pPr>
      <w:r>
        <w:t>b) La Delegación del Gobierno en la Comunidad de Madrid prohibió la manifestación comunicada, fundamentando la decisión en el informe desfavorable emitido por la Consejería de Sanidad de la Comunidad de Madrid de fecha 25 de febrero de 2021, fundado en la relación de la posible asistencia de 10 000 personas con la situación epidemiológica de dicha comunidad autónoma.</w:t>
      </w:r>
    </w:p>
    <w:p w14:paraId="1B773E4D" w14:textId="77777777" w:rsidR="008D479B" w:rsidRDefault="008D479B" w:rsidP="008D479B">
      <w:pPr>
        <w:pStyle w:val="TextoNormal"/>
      </w:pPr>
    </w:p>
    <w:p w14:paraId="21BD719D" w14:textId="77777777" w:rsidR="008D479B" w:rsidRDefault="008D479B" w:rsidP="008D479B">
      <w:pPr>
        <w:pStyle w:val="TextoNormal"/>
      </w:pPr>
      <w:r>
        <w:t>c) Por escritos de fecha 24 de febrero y 2 de marzo de 2021 la demandante comunicó a la Delegación de Gobierno en la Comunidad de Madrid la celebración de cuatro concentraciones el día 8 de marzo de 2021, entre las 17:00 y las 21:00 horas, y a desarrollar en los siguientes lugares: Puerta del Sol, Plaza del Emperador Carlos V, Glorieta de Embajadores y Plaza de Isabel II. En la comunicación se trasladaba una previsión de asistencia de 499 personas por cada concentración, y la adopción de medidas sanitarias oportunas, incluyendo un servicio de seguridad, la obligatoriedad del uso de mascarilla y de gel hidroalcohólico, así como la obligación de guardar la distancia necesaria de seguridad.</w:t>
      </w:r>
    </w:p>
    <w:p w14:paraId="030D0760" w14:textId="77777777" w:rsidR="008D479B" w:rsidRDefault="008D479B" w:rsidP="008D479B">
      <w:pPr>
        <w:pStyle w:val="TextoNormal"/>
      </w:pPr>
    </w:p>
    <w:p w14:paraId="2C0E50FE" w14:textId="77777777" w:rsidR="008D479B" w:rsidRDefault="008D479B" w:rsidP="008D479B">
      <w:pPr>
        <w:pStyle w:val="TextoNormal"/>
      </w:pPr>
      <w:r>
        <w:t>d) El 3 de marzo de 2021 la Delegación de Gobierno en la Comunidad de Madrid dictó nueva resolución por la que se prohibían las concentraciones comunicadas por razones de salud pública, tomando en consideración la situación sanitaria provocada por la pandemia de covid-19, analizando los datos más recientes de incidencia acumulada de la misma en la Comunidad de Madrid, y la presión hospitalaria en ese momento, y ponderando la necesidad de “conciliar, de una parte, la evolución favorable de la situación de crisis sanitaria y, de otra, la exigencia de evitar la propagación de la enfermedad que demanda la garantía de la vida y la salud humana realizando el oportuno juicio de proporcionalidad”. Tomaba en consideración, asimismo, el hecho de que las máximas autoridades sanitarias habían “realizado notorias declaraciones públicas desaconsejando el modo de concentración de años anteriores” con motivo del día internacional de la mujer (8 de marzo). Además, ponía de manifiesto que tales reuniones coincidían en tan solo tres días (sábado 6, domingo 7 y lunes 8 de marzo) con más de 104 manifestaciones/concentraciones convocadas en la Comunidad de Madrid con distintos objetos (la mayoría relacionadas con el día internacional de la mujer), distintas ubicaciones y número de participantes (desde veinticinco personas en las más pequeñas hasta 10 000 en la más numerosa). Datos que, según la resolución, indicaban la intención de las manifestantes de “salir a la calle de forma masiva” con motivo del día internacional de la mujer.</w:t>
      </w:r>
    </w:p>
    <w:p w14:paraId="5E77574F" w14:textId="77777777" w:rsidR="008D479B" w:rsidRDefault="008D479B" w:rsidP="008D479B">
      <w:pPr>
        <w:pStyle w:val="TextoNormal"/>
      </w:pPr>
    </w:p>
    <w:p w14:paraId="1860F2EE" w14:textId="77777777" w:rsidR="008D479B" w:rsidRDefault="008D479B" w:rsidP="008D479B">
      <w:pPr>
        <w:pStyle w:val="TextoNormal"/>
      </w:pPr>
      <w:r>
        <w:t>La resolución señala también que la Delegación del Gobierno había solicitado a la Dirección General de Salud Pública de la Consejería de Sanidad “el informe sobre estimación del riesgo del acto comunicado”, pero que, sin embargo, no había sido aún recibido, pese a lo cual, tomando en consideración el obligado plazo de resolución para permitir a los interesados el recurso al que tienen derecho, procede a realizar la ponderación de los intereses en juego, tomando en cuenta la información sobre la situación sanitaria publicada ese mismo día en las páginas oficiales de la Comunidad de Madrid y que no ha habido variación en los consejos de las autoridades sanitarias expuestos en la resolución, así como otros informes emitidos por la Dirección General de Salud Pública de la Comunidad de Madrid, con motivo de las otras manifestaciones masivas con motivo del 8 de marzo, en los que constaban que las medidas correctoras y de prevención que proponen las organizaciones, como “distancia”, pueden resultar insuficientes teniendo en cuenta la dificultad de mantener el distanciamiento interpersonal en una concentración.</w:t>
      </w:r>
    </w:p>
    <w:p w14:paraId="6F69A792" w14:textId="77777777" w:rsidR="008D479B" w:rsidRDefault="008D479B" w:rsidP="008D479B">
      <w:pPr>
        <w:pStyle w:val="TextoNormal"/>
      </w:pPr>
    </w:p>
    <w:p w14:paraId="44E45D5B" w14:textId="77777777" w:rsidR="008D479B" w:rsidRDefault="008D479B" w:rsidP="008D479B">
      <w:pPr>
        <w:pStyle w:val="TextoNormal"/>
      </w:pPr>
      <w:r>
        <w:t>La resolución recoge, en el fundamento de derecho undécimo, a modo de conclusión, el sustento en que se basa la prohibición acordada, señalando que “[t]eniendo en cuenta la intencionalidad de los colectivos convocantes, de ejercer su derecho a manifestarse en las calles (es el único formato de reivindicación recibido), buscando un gran número de reuniones en diferentes lugares y teniendo en cuenta las circunstancias epidemiológicas actuales (niveles altos de incidencia y la aparición de nuevas cepas de covid), así como los informes que vienen emitiendo las autoridades sanitarias, la celebración de estas concentraciones eleva el riesgo de contagios de una manera exponencial”.</w:t>
      </w:r>
    </w:p>
    <w:p w14:paraId="76A7C927" w14:textId="77777777" w:rsidR="008D479B" w:rsidRDefault="008D479B" w:rsidP="008D479B">
      <w:pPr>
        <w:pStyle w:val="TextoNormal"/>
      </w:pPr>
    </w:p>
    <w:p w14:paraId="259CD60D" w14:textId="77777777" w:rsidR="008D479B" w:rsidRDefault="008D479B" w:rsidP="008D479B">
      <w:pPr>
        <w:pStyle w:val="TextoNormal"/>
      </w:pPr>
      <w:r>
        <w:t>e) La demandante interpuso recurso contencioso-administrativo contra la anterior resolución ante el Tribunal Superior de Justicia de Madrid, con invocación de los derechos fundamentales de reunión (art. 21 CE) y a la igualdad en su vertiente de prohibición de la discriminación por razón de género (art. 14 CE).</w:t>
      </w:r>
    </w:p>
    <w:p w14:paraId="1BD0204D" w14:textId="77777777" w:rsidR="008D479B" w:rsidRDefault="008D479B" w:rsidP="008D479B">
      <w:pPr>
        <w:pStyle w:val="TextoNormal"/>
      </w:pPr>
    </w:p>
    <w:p w14:paraId="1AF334E4" w14:textId="77777777" w:rsidR="008D479B" w:rsidRDefault="008D479B" w:rsidP="008D479B">
      <w:pPr>
        <w:pStyle w:val="TextoNormal"/>
      </w:pPr>
      <w:r>
        <w:t>f) El recurso fue desestimado por sentencia de 7 de marzo de 2021 dictada por la Sección Décima de la Sala de lo Contencioso-Administrativo del Tribunal Superior de Justicia de Madrid (procedimiento sobre derecho de reunión núm. 276-2021).</w:t>
      </w:r>
    </w:p>
    <w:p w14:paraId="75F75323" w14:textId="77777777" w:rsidR="008D479B" w:rsidRDefault="008D479B" w:rsidP="008D479B">
      <w:pPr>
        <w:pStyle w:val="TextoNormal"/>
      </w:pPr>
    </w:p>
    <w:p w14:paraId="0A7A04FF" w14:textId="77777777" w:rsidR="008D479B" w:rsidRDefault="008D479B" w:rsidP="008D479B">
      <w:pPr>
        <w:pStyle w:val="TextoNormal"/>
      </w:pPr>
      <w:r>
        <w:t>La sentencia, tras analizar el contenido del escrito de comunicación que presentó la recurrente, de la resolución administrativa impugnada, así como de los distintos informes que fueron incorporados a las actuaciones judiciales, y efectuar una detallada exposición de la doctrina de este tribunal y del Tribunal Europeo de Derechos Humanos sobre el ejercicio del derecho de reunión y sobre los límites de este (deteniéndose de modo especial en el ATC 40/2020, de 30 de abril), termina razonando que “la prohibición de la concentración comunicada es: (i) susceptible de conseguir el objetivo propuesto, en este caso, la protección de la salud pública y de los ciudadanos en un escenario de pandemia internacional que implica un grave riesgo para la vida de las personas; (ii) necesaria por no existir otra medida más moderada para la consecución de tal propósito con igual eficacia, atendidas las condiciones tan genéricas y amplias en que se proyectó el desarrollo de la concentración y posterior manifestación; y (iii) proporcionada en sentido estricto, es decir, ponderada o equilibrada por derivarse de ella más beneficios o ventajas para el interés general que protege que perjuicios sobre el derecho de reunión de los manifestantes”; concluyendo, a la vista de las anteriores consideraciones, en el otorgamiento de prevalencia sobre el ejercicio del derecho de reunión a bienes y valores constitucionales como la salud pública y, más concretamente, la salud, la integridad física y la vida de las personas (arts. 15 y 43 CE).</w:t>
      </w:r>
    </w:p>
    <w:p w14:paraId="55EDB1A1" w14:textId="77777777" w:rsidR="008D479B" w:rsidRDefault="008D479B" w:rsidP="008D479B">
      <w:pPr>
        <w:pStyle w:val="TextoNormal"/>
      </w:pPr>
    </w:p>
    <w:p w14:paraId="24C07793" w14:textId="334C6AA2" w:rsidR="008D479B" w:rsidRDefault="008D479B" w:rsidP="008D479B">
      <w:pPr>
        <w:pStyle w:val="TextoNormal"/>
      </w:pPr>
      <w:r>
        <w:t>Por otro lado, la sentencia desestima que la resolución gubernativa haya representado una forma de discriminación por razón de género, para lo que cita doctrina constitucional (STC 3/2007, de 15 de enero, entre otras) expositiva de la noción de discriminación indirecta por razón de sexo, a partir de las formulaciones del Derecho comunitario originario y derivado y su jurisprudencia interpretativa, en el ámbito laboral, que la conciben como la aplicación de una medida que, siendo aparentemente neutra, perjudica en un porcentaje claramente superior a los miembros de un sexo que de otro, salvo que se trate de una medida objetivamente justificada por responder adecuada y necesariamente a una finalidad legítima, planteamiento que el tribunal entiende no es trasladable al presente caso, en que la medida restrictiva se funda en razones de salud pública que la parte recurrente no ha desvirtuado, sin haberse aportado, por lo demás, un término válido de comparación que permitan vislumbrar la existencia de razones implícitas distintas de las razones de salud pública que importan por igual a los ciudadanos y a las ciudadanas.</w:t>
      </w:r>
    </w:p>
    <w:p w14:paraId="3E60B79B" w14:textId="77777777" w:rsidR="008D479B" w:rsidRDefault="008D479B" w:rsidP="008D479B">
      <w:pPr>
        <w:pStyle w:val="TextoNormal"/>
      </w:pPr>
    </w:p>
    <w:p w14:paraId="4A638118" w14:textId="77777777" w:rsidR="008D479B" w:rsidRDefault="008D479B" w:rsidP="008D479B">
      <w:pPr>
        <w:pStyle w:val="TextoNormal"/>
      </w:pPr>
      <w:r w:rsidRPr="008D479B">
        <w:rPr>
          <w:rStyle w:val="NumeroAFNegritaCaracter"/>
        </w:rPr>
        <w:t>3</w:t>
      </w:r>
      <w:r>
        <w:t>. La demanda de amparo, tras efectuar un sintético relato de los hechos que le sirven de fundamento, alega la vulneración de los siguientes derechos fundamentales:</w:t>
      </w:r>
    </w:p>
    <w:p w14:paraId="7E3F944C" w14:textId="77777777" w:rsidR="008D479B" w:rsidRDefault="008D479B" w:rsidP="008D479B">
      <w:pPr>
        <w:pStyle w:val="TextoNormal"/>
      </w:pPr>
    </w:p>
    <w:p w14:paraId="1298F741" w14:textId="77777777" w:rsidR="008D479B" w:rsidRDefault="008D479B" w:rsidP="008D479B">
      <w:pPr>
        <w:pStyle w:val="TextoNormal"/>
      </w:pPr>
      <w:r>
        <w:t>a) El derecho de reunión garantizado en los arts. 21 CE y 11 del Convenio europeo de derechos humanos (CEDH). Sostiene que la resolución del delegado del Gobierno es arbitraria porque prohíbe la concentración sin disponer todavía del informe de la Consejería de Sanidad de la Comunidad de Madrid. Además, considera que la sentencia del Tribunal Superior de Justicia de Madrid hace una valoración errónea de dicho informe, una vez emitido, pues en el mismo se aconsejaba limitar el número de concentraciones y la adopción de medidas de seguridad, condiciones que cumplían las concentraciones convocadas, que no iban a coincidir en el tiempo y en el espacio con ninguna otra. Razona que el tribunal se ha fundado en elementos inconcluyentes: un informe de la Jefatura Superior de Policía de Madrid que plantea meras hipótesis (que la concentración coincida con otras, que los participantes se nieguen a seguir las medidas de seguridad) sin ofrecer datos contrastables; un informe de la directora general de Salud Pública que se refiere a una concentración distinta; unos documentos aportados por el abogado del Estado y finalmente un artículo suscrito por varias sociedades científicas que desaconsejaba la celebración de grandes movilizaciones, como las que habían tenido lugar en años anteriores, pero de características completamente distintas a las convocadas. Ninguno de estos argumentos, sostiene, es capaz de proporcionar las razones convincentes e imperativas y los datos objetivos suficientes derivados de las circunstancias concretas de cada caso que demanda la doctrina constitucional para que pueda entenderse justificada la restricción del derecho de reunión. Tampoco se verificó adecuadamente el juicio de proporcionalidad, porque la prohibición de la concentración no era una medida adecuada para conseguir el objetivo propuesto, la protección de la salud pública, en el contexto social en el que se adoptó, caracterizado por la total normalidad en que se desarrollaba la vida cotidiana madrileña: bares y terrazas abiertas y concurrencia de numerosas personas en espacios cerrados y sin garantizar la distancia de seguridad de 1,5 metros, como en el transporte público, obras de teatro y cines.</w:t>
      </w:r>
    </w:p>
    <w:p w14:paraId="17DCC6C1" w14:textId="77777777" w:rsidR="008D479B" w:rsidRDefault="008D479B" w:rsidP="008D479B">
      <w:pPr>
        <w:pStyle w:val="TextoNormal"/>
      </w:pPr>
    </w:p>
    <w:p w14:paraId="1C99C44B" w14:textId="77777777" w:rsidR="008D479B" w:rsidRDefault="008D479B" w:rsidP="008D479B">
      <w:pPr>
        <w:pStyle w:val="TextoNormal"/>
      </w:pPr>
      <w:r>
        <w:t>b) En segundo término, el derecho a la igualdad en la aplicación de la ley y a la no discriminación, protegidos ambos en el art. 14 CE, manifestando que el hecho de que se prohibieran todas las convocatorias feministas de los días 7 y 8 de marzo de 2021, cuando en la Comunidad de Madrid se venían celebrando desde el mes de enero del mismo año concentraciones y manifestaciones convocadas por otros colectivos, revela que las mujeres feministas han sufrido discriminación directa e indirecta, pues han recibido un trato desigual sin que se les ofreciera una justificación objetiva y razonable, tal y como exige la doctrina constitucional para que la desigualdad de trato sea legítima; y se han visto sujetas a una prohibición por razones de salud pública que les ha afectado de manera desproporcionada en el ejercicio de sus derechos fundamentales a la libertad de expresión y de manifestación respecto del resto de los colectivos, a los que en el mismo contexto social y sanitario de pandemia no se les ha impedido ejercer estos derechos.</w:t>
      </w:r>
    </w:p>
    <w:p w14:paraId="3A02FB30" w14:textId="77777777" w:rsidR="008D479B" w:rsidRDefault="008D479B" w:rsidP="008D479B">
      <w:pPr>
        <w:pStyle w:val="TextoNormal"/>
      </w:pPr>
    </w:p>
    <w:p w14:paraId="2CF4001F" w14:textId="77777777" w:rsidR="008D479B" w:rsidRDefault="008D479B" w:rsidP="008D479B">
      <w:pPr>
        <w:pStyle w:val="TextoNormal"/>
      </w:pPr>
      <w:r>
        <w:t>La demanda justifica la especial trascendencia constitucional del recurso afirmando que “[e]xisten resoluciones judiciales contradictorias sobre el análisis, criterios y ponderación que respecto de los derechos fundamentales en juego realizan los órganos jurisdiccionales; ya sea interpretando de manera distinta la doctrina constitucional, ya sea aplicándola en unos casos y desconociéndola en otros, lo que determina la necesidad de que por parte de este Alto Tribunal se resuelva con un pronunciamiento claro sobre dicha cuestión.” Igualmente, considera que “[n]o existe pronunciamiento por parte de este Alto Tribunal sobre la problemática que se plantea respecto de la posible vulneración del derecho fundamental a la igualdad en su vertiente de principio de no discriminación, al prohibirse el ejercicio del derecho de reunión el día 8 de marzo, frente a otras convocatorias de otros colectivos que no se ven prohibidas ni limitadas pese a concurrir circunstancias cuando menos equivalentes”.</w:t>
      </w:r>
    </w:p>
    <w:p w14:paraId="7672B5CA" w14:textId="77777777" w:rsidR="008D479B" w:rsidRDefault="008D479B" w:rsidP="008D479B">
      <w:pPr>
        <w:pStyle w:val="TextoNormal"/>
      </w:pPr>
    </w:p>
    <w:p w14:paraId="3D9D860D" w14:textId="29B505B0" w:rsidR="008D479B" w:rsidRDefault="008D479B" w:rsidP="008D479B">
      <w:pPr>
        <w:pStyle w:val="TextoNormal"/>
      </w:pPr>
      <w:r>
        <w:t>Interesa por todo ello la demandante que se dicte sentencia estimando su recurso de amparo.</w:t>
      </w:r>
    </w:p>
    <w:p w14:paraId="67735FD4" w14:textId="77777777" w:rsidR="008D479B" w:rsidRDefault="008D479B" w:rsidP="008D479B">
      <w:pPr>
        <w:pStyle w:val="TextoNormal"/>
      </w:pPr>
    </w:p>
    <w:p w14:paraId="014D601D" w14:textId="77777777" w:rsidR="008D479B" w:rsidRDefault="008D479B" w:rsidP="008D479B">
      <w:pPr>
        <w:pStyle w:val="TextoNormal"/>
      </w:pPr>
      <w:r w:rsidRPr="008D479B">
        <w:rPr>
          <w:rStyle w:val="NumeroAFNegritaCaracter"/>
        </w:rPr>
        <w:t>4</w:t>
      </w:r>
      <w:r>
        <w:t>. Por providencia de la Sección Cuarta de este tribunal de 25 de enero de 2022, se acordó la admisión a trámite del recurso, apreciando “que ofrece especial transcendencia constitucional [art. 50.1 de la Ley Orgánica del Tribunal Constitucional (LOTC)] por los siguientes motivos: 1. El recurso puede dar ocasión al Tribunal para aclarar o cambiar su doctrina, como consecuencia del surgimiento de nuevas realidades sociales [STC 155/2009, de 25 de junio, FJ 2 b)]. 2. El asunto suscitado trasciende del caso concreto porque plantea una cuestión jurídica de relevante y general repercusión social o económica [STC 155/2009, FJ 2 g)]”.</w:t>
      </w:r>
    </w:p>
    <w:p w14:paraId="3DA700C3" w14:textId="77777777" w:rsidR="008D479B" w:rsidRDefault="008D479B" w:rsidP="008D479B">
      <w:pPr>
        <w:pStyle w:val="TextoNormal"/>
      </w:pPr>
    </w:p>
    <w:p w14:paraId="644740EF" w14:textId="2DF3F3EE" w:rsidR="008D479B" w:rsidRDefault="008D479B" w:rsidP="008D479B">
      <w:pPr>
        <w:pStyle w:val="TextoNormal"/>
      </w:pPr>
      <w:r>
        <w:t>En la misma resolución también se acordó dirigir atenta comunicación a la Delegación del Gobierno en la Comunidad de Madrid a fin de que remitiera certificación o fotocopia adverada de las actuaciones correspondientes en que se dictó la resolución administrativa impugnada, como igualmente a la Sección Décima de la Sala de lo Contencioso-Administrativo del Tribunal Superior de Justicia de Madrid, a fin de que remitiera certificación o fotocopia adverada de las actuaciones correspondientes y emplazara a quienes hubieran intervenido en el procedimiento para que comparecieran en estas actuaciones, si así lo desearan, excepto la parte recurrente en amparo.</w:t>
      </w:r>
    </w:p>
    <w:p w14:paraId="271C6A5E" w14:textId="77777777" w:rsidR="008D479B" w:rsidRDefault="008D479B" w:rsidP="008D479B">
      <w:pPr>
        <w:pStyle w:val="TextoNormal"/>
      </w:pPr>
    </w:p>
    <w:p w14:paraId="6FAAA804" w14:textId="77777777" w:rsidR="008D479B" w:rsidRDefault="008D479B" w:rsidP="008D479B">
      <w:pPr>
        <w:pStyle w:val="TextoNormal"/>
      </w:pPr>
      <w:r w:rsidRPr="008D479B">
        <w:rPr>
          <w:rStyle w:val="NumeroAFNegritaCaracter"/>
        </w:rPr>
        <w:t>5</w:t>
      </w:r>
      <w:r>
        <w:t>. El Ministerio Fiscal presentó sus alegaciones en el registro de este tribunal el 4 de abril de 2022, en las que propugna la inadmisión del recurso de amparo en cuanto a la vulneración del derecho a la igualdad, y la desestimación en lo restante, efectuando las siguientes consideraciones:</w:t>
      </w:r>
    </w:p>
    <w:p w14:paraId="771778AC" w14:textId="77777777" w:rsidR="008D479B" w:rsidRDefault="008D479B" w:rsidP="008D479B">
      <w:pPr>
        <w:pStyle w:val="TextoNormal"/>
      </w:pPr>
    </w:p>
    <w:p w14:paraId="7CB7CDD1" w14:textId="77777777" w:rsidR="008D479B" w:rsidRDefault="008D479B" w:rsidP="008D479B">
      <w:pPr>
        <w:pStyle w:val="TextoNormal"/>
      </w:pPr>
      <w:r>
        <w:t>a) En primer lugar, argumenta que la cognición limitada del procedimiento elegido por la demandante para impugnar la resolución gubernativa, el procedimiento especial de protección jurisdiccional del derecho fundamental de reunión previsto en el art. 122 de la Ley reguladora de la jurisdicción contencioso-administrativa, constituía un impedimento para el análisis de la vulneración del derecho fundamental a la igualdad y prohibición de la discriminación del art. 14 CE, lo que conduciría a apreciar la falta de agotamiento de la vía judicial.</w:t>
      </w:r>
    </w:p>
    <w:p w14:paraId="21DAD8DD" w14:textId="77777777" w:rsidR="008D479B" w:rsidRDefault="008D479B" w:rsidP="008D479B">
      <w:pPr>
        <w:pStyle w:val="TextoNormal"/>
      </w:pPr>
    </w:p>
    <w:p w14:paraId="714FECF1" w14:textId="77777777" w:rsidR="008D479B" w:rsidRDefault="008D479B" w:rsidP="008D479B">
      <w:pPr>
        <w:pStyle w:val="TextoNormal"/>
      </w:pPr>
      <w:r>
        <w:t>b) Seguidamente, rechaza la alegación de la demandante que imputa a la resolución del delegado del Gobierno la falta de motivación exigible para restringir el derecho fundamental de reunión del art. 21 CE, argumentando que la restricción del referido derecho se efectúa en la resolución administrativa impugnada con fundamento en razones objetivas, y es proporcionada, en cuanto resultaba necesaria para garantizar los derechos a la integridad y salud de las personas.</w:t>
      </w:r>
    </w:p>
    <w:p w14:paraId="50911236" w14:textId="77777777" w:rsidR="008D479B" w:rsidRDefault="008D479B" w:rsidP="008D479B">
      <w:pPr>
        <w:pStyle w:val="TextoNormal"/>
      </w:pPr>
    </w:p>
    <w:p w14:paraId="36E1D849" w14:textId="1DC0B6A3" w:rsidR="008D479B" w:rsidRDefault="008D479B" w:rsidP="008D479B">
      <w:pPr>
        <w:pStyle w:val="TextoNormal"/>
      </w:pPr>
      <w:r>
        <w:t>c) Finalmente, tras exponer la argumentación contenida en la sentencia recurrida acerca del cumplimiento por la resolución administrativa de las exigencias de motivación, del juicio de proporcionalidad realizado y del examen de los informes valorados por el Tribunal Superior de Justicia de Madrid, concluye el fiscal que “en el presente caso la restricción del ejercicio del derecho de reunión tiene una finalidad legítima con cobertura constitucional bastante en los arts. 15 CE (garantía de integridad física y la vida de las personas), y 43 CE (protección de la salud), que como señala la sentencia recurrida ‘deben prevalecer frente a aquel (derecho fundamental de reunión), justificando su sacrificio, al amparo de lo previsto en los arts. 21.2 CE y 11.2 CEDH, en relación con el art. 10.3 CE, que establece el principio de interpretación de los derechos fundamentales y las libertades públicas que la constitución reconoce de conformidad con los tratados y acuerdos internacionales sobre las mismas materias ratificadas por España’”.</w:t>
      </w:r>
    </w:p>
    <w:p w14:paraId="6A60D7D2" w14:textId="77777777" w:rsidR="008D479B" w:rsidRDefault="008D479B" w:rsidP="008D479B">
      <w:pPr>
        <w:pStyle w:val="TextoNormal"/>
      </w:pPr>
    </w:p>
    <w:p w14:paraId="6394146A" w14:textId="77777777" w:rsidR="008D479B" w:rsidRDefault="008D479B" w:rsidP="008D479B">
      <w:pPr>
        <w:pStyle w:val="TextoNormal"/>
      </w:pPr>
      <w:r w:rsidRPr="008D479B">
        <w:rPr>
          <w:rStyle w:val="NumeroAFNegritaCaracter"/>
        </w:rPr>
        <w:t>6</w:t>
      </w:r>
      <w:r>
        <w:t>. La Abogacía del Estado, personada en el procedimiento, presentó sus alegaciones en el registro de este tribunal el 12 de abril de 2022, interesando la desestimación íntegra del recurso.</w:t>
      </w:r>
    </w:p>
    <w:p w14:paraId="2BF20906" w14:textId="77777777" w:rsidR="008D479B" w:rsidRDefault="008D479B" w:rsidP="008D479B">
      <w:pPr>
        <w:pStyle w:val="TextoNormal"/>
      </w:pPr>
    </w:p>
    <w:p w14:paraId="5707CAB5" w14:textId="77777777" w:rsidR="008D479B" w:rsidRDefault="008D479B" w:rsidP="008D479B">
      <w:pPr>
        <w:pStyle w:val="TextoNormal"/>
      </w:pPr>
      <w:r>
        <w:t>En relación con la invocación del derecho de reunión (art. 21 CE) sostiene, con una amplia referencia al ATC 40/2020, de 30 de abril, que se ha respetado el principio de proporcionalidad en las resoluciones impugnadas, ya que se ha expuesto de manera motivada la prevalencia de las razones sanitarias concurrentes y las razones por las que hubo un cambio de criterio para prohibir finalmente las concentraciones convocadas.</w:t>
      </w:r>
    </w:p>
    <w:p w14:paraId="3209F176" w14:textId="77777777" w:rsidR="008D479B" w:rsidRDefault="008D479B" w:rsidP="008D479B">
      <w:pPr>
        <w:pStyle w:val="TextoNormal"/>
      </w:pPr>
    </w:p>
    <w:p w14:paraId="7DD328DF" w14:textId="4C72FC7C" w:rsidR="008D479B" w:rsidRDefault="008D479B" w:rsidP="008D479B">
      <w:pPr>
        <w:pStyle w:val="TextoNormal"/>
      </w:pPr>
      <w:r>
        <w:t>En cuanto a la alegación de discriminación del colectivo feminista, argumenta que tal cuestión fue debidamente abordada y resuelta en la sentencia impugnada, que desestimó la concurrencia de tal discriminación, con cita de la STC 91/2019, de 3 de julio, FJ 7, porque no se aportó un término válido de comparación que permita vislumbrar que en el presente caso la denegación de la concentración solicitada se haya basado implícitamente en razones distintas de las indicadas razones de salud pública que preocupan a todos los ciudadanos por igual, lo que conduce a descartar la pretendida infracción del art. 14 CE.</w:t>
      </w:r>
    </w:p>
    <w:p w14:paraId="107ACE89" w14:textId="77777777" w:rsidR="008D479B" w:rsidRDefault="008D479B" w:rsidP="008D479B">
      <w:pPr>
        <w:pStyle w:val="TextoNormal"/>
      </w:pPr>
    </w:p>
    <w:p w14:paraId="2FCE822F" w14:textId="20650A16" w:rsidR="008D479B" w:rsidRDefault="008D479B" w:rsidP="008D479B">
      <w:pPr>
        <w:pStyle w:val="TextoNormal"/>
      </w:pPr>
      <w:r w:rsidRPr="008D479B">
        <w:rPr>
          <w:rStyle w:val="NumeroAFNegritaCaracter"/>
        </w:rPr>
        <w:t>7</w:t>
      </w:r>
      <w:r>
        <w:t>. La demandante de amparo, mediante escrito registrado en este tribunal el 13 de abril de 2022, formuló alegaciones en las que se ratifica en los argumentos de la demanda.</w:t>
      </w:r>
    </w:p>
    <w:p w14:paraId="4F2B96FF" w14:textId="77777777" w:rsidR="008D479B" w:rsidRDefault="008D479B" w:rsidP="008D479B">
      <w:pPr>
        <w:pStyle w:val="TextoNormal"/>
      </w:pPr>
    </w:p>
    <w:p w14:paraId="51E8D128" w14:textId="6BACC3A5" w:rsidR="008D479B" w:rsidRDefault="008D479B" w:rsidP="008D479B">
      <w:pPr>
        <w:pStyle w:val="TextoNormal"/>
      </w:pPr>
      <w:r w:rsidRPr="008D479B">
        <w:rPr>
          <w:rStyle w:val="NumeroAFNegritaCaracter"/>
        </w:rPr>
        <w:t>8</w:t>
      </w:r>
      <w:r>
        <w:t>. Por providencia de 7 de diciembre de 2023 se señaló para deliberación y votación de la presente sentencia el día 11 del mismo mes y año.</w:t>
      </w:r>
    </w:p>
    <w:p w14:paraId="22C0240E" w14:textId="77777777" w:rsidR="008D479B" w:rsidRDefault="008D479B" w:rsidP="008D479B">
      <w:pPr>
        <w:pStyle w:val="TextoNormal"/>
      </w:pPr>
    </w:p>
    <w:p w14:paraId="462E1257" w14:textId="77777777" w:rsidR="008D479B" w:rsidRDefault="008D479B" w:rsidP="008D479B">
      <w:pPr>
        <w:pStyle w:val="TextoNormalNegritaCentrado"/>
        <w:keepNext/>
      </w:pPr>
      <w:r>
        <w:t>II. Fundamentos jurídicos</w:t>
      </w:r>
    </w:p>
    <w:p w14:paraId="24FDBAAA" w14:textId="34EEBF4F" w:rsidR="008D479B" w:rsidRDefault="008D479B" w:rsidP="008D479B">
      <w:pPr>
        <w:pStyle w:val="TextoNormalNegritaCentrado"/>
        <w:keepNext/>
      </w:pPr>
    </w:p>
    <w:p w14:paraId="66E55E74" w14:textId="77777777" w:rsidR="008D479B" w:rsidRDefault="008D479B" w:rsidP="008D479B">
      <w:pPr>
        <w:pStyle w:val="TextoNormal"/>
      </w:pPr>
      <w:r w:rsidRPr="008D479B">
        <w:rPr>
          <w:rStyle w:val="NumeroAFNegritaCaracter"/>
        </w:rPr>
        <w:t>1</w:t>
      </w:r>
      <w:r>
        <w:t xml:space="preserve">. </w:t>
      </w:r>
      <w:r w:rsidRPr="008D479B">
        <w:rPr>
          <w:i/>
        </w:rPr>
        <w:t>Objeto del recurso y posiciones de las partes</w:t>
      </w:r>
    </w:p>
    <w:p w14:paraId="3513645B" w14:textId="77777777" w:rsidR="008D479B" w:rsidRDefault="008D479B" w:rsidP="008D479B">
      <w:pPr>
        <w:pStyle w:val="TextoNormal"/>
      </w:pPr>
    </w:p>
    <w:p w14:paraId="2B72F297" w14:textId="77777777" w:rsidR="008D479B" w:rsidRDefault="008D479B" w:rsidP="008D479B">
      <w:pPr>
        <w:pStyle w:val="TextoNormal"/>
      </w:pPr>
      <w:r>
        <w:t>El objeto del presente recurso de amparo es dilucidar si ha sido vulnerado el derecho fundamental de reunión y manifestación (art. 21 CE) de la demandante (y en su caso su derecho a la igualdad y a no sufrir discriminación, garantizado por el art. 14 CE) por la resolución de la Delegación del Gobierno en la Comunidad de Madrid de 3 de marzo de 2021, que prohibió la celebración en Madrid de las concentraciones que aquella había convocado para el 8 de marzo de 2021, con motivo del día internacional de la mujer. La resolución del delegado del Gobierno fue confirmada por la sentencia de 7 de marzo de 2021 de la Sección Décima de la Sala de lo Contencioso-Administrativo del Tribunal Superior de Justicia de Madrid.</w:t>
      </w:r>
    </w:p>
    <w:p w14:paraId="3E148BC2" w14:textId="77777777" w:rsidR="008D479B" w:rsidRDefault="008D479B" w:rsidP="008D479B">
      <w:pPr>
        <w:pStyle w:val="TextoNormal"/>
      </w:pPr>
    </w:p>
    <w:p w14:paraId="5AD4E7C9" w14:textId="77777777" w:rsidR="008D479B" w:rsidRDefault="008D479B" w:rsidP="008D479B">
      <w:pPr>
        <w:pStyle w:val="TextoNormal"/>
      </w:pPr>
      <w:r>
        <w:t>La demandante de amparo considera que la prohibición de las concentraciones convocadas no cumple con los requisitos exigidos constitucionalmente para superar el juicio de proporcionalidad exigible para la limitación del ejercicio del derecho de reunión, habiéndose adoptado sin los informes previos que eran exigibles. Asimismo, se alega la vulneración del derecho a la igualdad en la aplicación de la ley y la interdicción de la discriminación por razón de sexo (art. 14 CE), por cuanto se limita el derecho de reunión y manifestación de mujeres feministas por supuestas razones de salud pública, cuando bajo la misma situación de pandemia se han permitido diversas convocatorias de reuniones o manifestaciones que tenían otros contenidos distintos de la reivindicación feminista.</w:t>
      </w:r>
    </w:p>
    <w:p w14:paraId="36A11A50" w14:textId="77777777" w:rsidR="008D479B" w:rsidRDefault="008D479B" w:rsidP="008D479B">
      <w:pPr>
        <w:pStyle w:val="TextoNormal"/>
      </w:pPr>
    </w:p>
    <w:p w14:paraId="32043254" w14:textId="5EC24AEA" w:rsidR="008D479B" w:rsidRDefault="008D479B" w:rsidP="008D479B">
      <w:pPr>
        <w:pStyle w:val="TextoNormal"/>
      </w:pPr>
      <w:r>
        <w:t>El Ministerio Fiscal solicita la inadmisión del recurso en lo relativo a la invocada vulneración del art. 14 CE y su desestimación en cuanto a la denunciada vulneración del art. 21 CE. El abogado del Estado ha interesado la desestimación del recurso, por entender que no ha existido vulneración alguna de los derechos garantizados por los arts. 14 y 21 CE.</w:t>
      </w:r>
    </w:p>
    <w:p w14:paraId="2825D3FC" w14:textId="77777777" w:rsidR="008D479B" w:rsidRDefault="008D479B" w:rsidP="008D479B">
      <w:pPr>
        <w:pStyle w:val="TextoNormal"/>
      </w:pPr>
    </w:p>
    <w:p w14:paraId="3F0CA3D2" w14:textId="77777777" w:rsidR="008D479B" w:rsidRDefault="008D479B" w:rsidP="008D479B">
      <w:pPr>
        <w:pStyle w:val="TextoNormal"/>
      </w:pPr>
      <w:r w:rsidRPr="008D479B">
        <w:rPr>
          <w:rStyle w:val="NumeroAFNegritaCaracter"/>
        </w:rPr>
        <w:t>2</w:t>
      </w:r>
      <w:r>
        <w:t xml:space="preserve">. </w:t>
      </w:r>
      <w:r w:rsidRPr="008D479B">
        <w:rPr>
          <w:i/>
        </w:rPr>
        <w:t>Cuestiones previas: delimitación del objeto del recurso y óbice procesal</w:t>
      </w:r>
    </w:p>
    <w:p w14:paraId="7EEB5C0E" w14:textId="77777777" w:rsidR="008D479B" w:rsidRDefault="008D479B" w:rsidP="008D479B">
      <w:pPr>
        <w:pStyle w:val="TextoNormal"/>
      </w:pPr>
    </w:p>
    <w:p w14:paraId="63295A7A" w14:textId="77777777" w:rsidR="008D479B" w:rsidRDefault="008D479B" w:rsidP="008D479B">
      <w:pPr>
        <w:pStyle w:val="TextoNormal"/>
      </w:pPr>
      <w:r>
        <w:t>a) Nos hallamos ante un recurso de amparo de los previstos en el art. 43 LOTC, ya que el acto de los poderes públicos al que se imputa la lesión del derecho de manifestación es la resolución del delegado del Gobierno en la Comunidad de Madrid de 3 de marzo de 2021, que es la resolución de la “autoridad” (art. 21.2 CE) que prohibió las concentraciones convocadas, junto con otros, por la recurrente, de conformidad con los arts. 8 y ss. de la Ley Orgánica 9/1983, de 15 de julio, reguladora del derecho de reunión.</w:t>
      </w:r>
    </w:p>
    <w:p w14:paraId="22572105" w14:textId="77777777" w:rsidR="008D479B" w:rsidRDefault="008D479B" w:rsidP="008D479B">
      <w:pPr>
        <w:pStyle w:val="TextoNormal"/>
      </w:pPr>
    </w:p>
    <w:p w14:paraId="612814FB" w14:textId="77777777" w:rsidR="008D479B" w:rsidRDefault="008D479B" w:rsidP="008D479B">
      <w:pPr>
        <w:pStyle w:val="TextoNormal"/>
      </w:pPr>
      <w:r>
        <w:t>La posterior sentencia del Tribunal Superior de Justicia de Madrid de 7 de marzo de 2021, que confirmó la resolución administrativa, se impugna porque el órgano judicial no ha reparado la lesión alegada. Es decir, la resolución judicial únicamente lesionaría el derecho de reunión de forma indirecta, por no haber remediado la vulneración ocasionada por la autoridad gubernativa y no, por tanto, de manera propia y autónoma (así, entre otras, SSTC 301/2006, de 23 de octubre, FJ 1, y 24/2015, de 16 de febrero, FJ 1). En consecuencia, aunque la demanda cita ambas resoluciones, la administrativa y la judicial, como actos de los poderes públicos impugnados, debemos atender prioritariamente al contenido de la primera de ellas, la gubernativa, para confrontar su contenido con el art. 21 CE [en el mismo sentido, SSTC 84/2023, de 5 de julio, FJ 1 c), y 88/2023, de 18 de julio, FJ 2 a)].</w:t>
      </w:r>
    </w:p>
    <w:p w14:paraId="48CF3E3E" w14:textId="77777777" w:rsidR="008D479B" w:rsidRDefault="008D479B" w:rsidP="008D479B">
      <w:pPr>
        <w:pStyle w:val="TextoNormal"/>
      </w:pPr>
    </w:p>
    <w:p w14:paraId="4528922F" w14:textId="77777777" w:rsidR="008D479B" w:rsidRDefault="008D479B" w:rsidP="008D479B">
      <w:pPr>
        <w:pStyle w:val="TextoNormal"/>
      </w:pPr>
      <w:r>
        <w:t>b) El Ministerio Fiscal solicita la inadmisión parcial de la demanda en lo que se refiere a la vulneración del art. 14 CE, por considerar que está incursa en la causa de inadmisión de la falta de agotamiento de la vía judicial previa, por haber acudido la demandante a un procedimiento exclusivamente previsto para la tutela del derecho de reunión, con afectación, por ello, del carácter subsidiario del recurso de amparo ante este tribunal.</w:t>
      </w:r>
    </w:p>
    <w:p w14:paraId="111D78C1" w14:textId="77777777" w:rsidR="008D479B" w:rsidRDefault="008D479B" w:rsidP="008D479B">
      <w:pPr>
        <w:pStyle w:val="TextoNormal"/>
      </w:pPr>
    </w:p>
    <w:p w14:paraId="7A742AD6" w14:textId="77777777" w:rsidR="008D479B" w:rsidRDefault="008D479B" w:rsidP="008D479B">
      <w:pPr>
        <w:pStyle w:val="TextoNormal"/>
      </w:pPr>
      <w:r>
        <w:t>El motivo de inadmisión debe rechazarse. Como ya hemos declarado reiteradamente, el requisito de agotar la vía judicial antes de interponer el recurso de amparo obliga a utilizar tan solo aquellos medios de impugnación normales que, de manera clara, se manifiesten como practicables, de forma que no quepa duda respecto de la procedencia y la posibilidad real y efectiva de interponer el recurso, así como de su adecuación para reparar la lesión de los derechos fundamentales invocados en la demanda (STC 62/2007, de 27 de marzo, FJ 2, por todas).</w:t>
      </w:r>
    </w:p>
    <w:p w14:paraId="69BA77BF" w14:textId="77777777" w:rsidR="008D479B" w:rsidRDefault="008D479B" w:rsidP="008D479B">
      <w:pPr>
        <w:pStyle w:val="TextoNormal"/>
      </w:pPr>
    </w:p>
    <w:p w14:paraId="0E80A3A8" w14:textId="77777777" w:rsidR="008D479B" w:rsidRDefault="008D479B" w:rsidP="008D479B">
      <w:pPr>
        <w:pStyle w:val="TextoNormal"/>
      </w:pPr>
      <w:r>
        <w:t>A la hora de examinar el motivo de inadmisión por falta de agotamiento de la vía judicial debe partirse de que su interpretación ha de efectuarse de forma flexible y finalista (entre otras muchas, STC 18/2009, de 26 de enero, FJ 2), no siendo su fin sino la preservación de la subsidiariedad del recurso de amparo, para evitar “que el acceso a esta jurisdicción constitucional se produzca [</w:t>
      </w:r>
      <w:r w:rsidRPr="008D479B">
        <w:rPr>
          <w:i/>
        </w:rPr>
        <w:t>per saltum</w:t>
      </w:r>
      <w:r>
        <w:t>, es decir,] sin brindar a los órganos judiciales la oportunidad de pronunciarse y, en su caso, remediar la lesión invocada como fundamento del recurso de amparo constitucional” (por todas, STC 12/2011, de 28 de febrero, FJ 2).</w:t>
      </w:r>
    </w:p>
    <w:p w14:paraId="122B88DD" w14:textId="77777777" w:rsidR="008D479B" w:rsidRDefault="008D479B" w:rsidP="008D479B">
      <w:pPr>
        <w:pStyle w:val="TextoNormal"/>
      </w:pPr>
    </w:p>
    <w:p w14:paraId="5D2FB3B1" w14:textId="28A1318C" w:rsidR="008D479B" w:rsidRDefault="008D479B" w:rsidP="008D479B">
      <w:pPr>
        <w:pStyle w:val="TextoNormal"/>
      </w:pPr>
      <w:r>
        <w:t>En el presente caso, la subsidiariedad del recurso de amparo se ha visto salvaguardada, al habérsele ofrecido al órgano judicial la oportunidad de pronunciarse sobre la queja referida a la pretendida vulneración del derecho a la igualdad y a no sufrir discriminación (art. 14 CE).</w:t>
      </w:r>
    </w:p>
    <w:p w14:paraId="6F1F8A4E" w14:textId="77777777" w:rsidR="008D479B" w:rsidRDefault="008D479B" w:rsidP="008D479B">
      <w:pPr>
        <w:pStyle w:val="TextoNormal"/>
      </w:pPr>
    </w:p>
    <w:p w14:paraId="5DF174FC" w14:textId="77777777" w:rsidR="008D479B" w:rsidRDefault="008D479B" w:rsidP="008D479B">
      <w:pPr>
        <w:pStyle w:val="TextoNormal"/>
      </w:pPr>
      <w:r w:rsidRPr="008D479B">
        <w:rPr>
          <w:rStyle w:val="NumeroAFNegritaCaracter"/>
        </w:rPr>
        <w:t>3</w:t>
      </w:r>
      <w:r>
        <w:t xml:space="preserve">. </w:t>
      </w:r>
      <w:r w:rsidRPr="008D479B">
        <w:rPr>
          <w:i/>
        </w:rPr>
        <w:t>Aplicación de la doctrina constitucional expuesta en la STC 164/2023, de 21 de noviembre</w:t>
      </w:r>
    </w:p>
    <w:p w14:paraId="15F86B9B" w14:textId="77777777" w:rsidR="008D479B" w:rsidRDefault="008D479B" w:rsidP="008D479B">
      <w:pPr>
        <w:pStyle w:val="TextoNormal"/>
      </w:pPr>
    </w:p>
    <w:p w14:paraId="64A50752" w14:textId="77777777" w:rsidR="008D479B" w:rsidRDefault="008D479B" w:rsidP="008D479B">
      <w:pPr>
        <w:pStyle w:val="TextoNormal"/>
      </w:pPr>
      <w:r>
        <w:t>La cuestión planteada en este recurso de amparo es coincidente con la resuelta por la STC 164/2023, de 21 de noviembre, por lo que debemos remitirnos a sus fundamentos jurídicos 2 y 3, en los que respectivamente expusimos la doctrina constitucional sobre el derecho de reunión y manifestación (art. 21 CE) y procedimos a su aplicación a un supuesto que guarda identidad de razón con el presente.</w:t>
      </w:r>
    </w:p>
    <w:p w14:paraId="48B3C8EB" w14:textId="77777777" w:rsidR="008D479B" w:rsidRDefault="008D479B" w:rsidP="008D479B">
      <w:pPr>
        <w:pStyle w:val="TextoNormal"/>
      </w:pPr>
    </w:p>
    <w:p w14:paraId="48219603" w14:textId="77777777" w:rsidR="008D479B" w:rsidRDefault="008D479B" w:rsidP="008D479B">
      <w:pPr>
        <w:pStyle w:val="TextoNormal"/>
      </w:pPr>
      <w:r>
        <w:t>En efecto, como en la referida sentencia, también aquí debemos concluir que la prohibición gubernativa vulneró el art. 21 CE y supuso una restricción desproporcionada del derecho de reunión y manifestación del que era titular la demandante, dado que la medida de prohibición supuso la máxima afectación del derecho fundamental, con un bajo valor de utilidad para el fin de preservar la salud pública, pues concurría ya en aquel momento una realidad muy distinta a la existente durante la vigencia del primer estado de alarma provocado por la pandemia del virus covid-19. El resultado del juicio de proporcionalidad estricta revela como muy escasa la incidencia que la prohibición de la reunión reivindicativa convocada tendría en el riesgo de contagio y, por ello, la poca relevancia que aportaría a la satisfacción del interés general representado por la salud pública, finalidad que justificaba la intervención de la autoridad gubernativa.</w:t>
      </w:r>
    </w:p>
    <w:p w14:paraId="42D6C233" w14:textId="77777777" w:rsidR="008D479B" w:rsidRDefault="008D479B" w:rsidP="008D479B">
      <w:pPr>
        <w:pStyle w:val="TextoNormal"/>
      </w:pPr>
    </w:p>
    <w:p w14:paraId="71D974B4" w14:textId="77777777" w:rsidR="008D479B" w:rsidRDefault="008D479B" w:rsidP="008D479B">
      <w:pPr>
        <w:pStyle w:val="TextoNormal"/>
      </w:pPr>
      <w:r>
        <w:t>Debe estimarse, en consecuencia, el motivo que denuncia esta lesión y otorgar el amparo solicitado, con nulidad de la resolución de 3 de marzo de 2021 del delegado del Gobierno en la Comunidad de Madrid y de la sentencia que desestimó el recurso interpuesto contra dicha resolución.</w:t>
      </w:r>
    </w:p>
    <w:p w14:paraId="5FD45B00" w14:textId="77777777" w:rsidR="008D479B" w:rsidRDefault="008D479B" w:rsidP="008D479B">
      <w:pPr>
        <w:pStyle w:val="TextoNormal"/>
      </w:pPr>
    </w:p>
    <w:p w14:paraId="1A40DC81" w14:textId="4173EC37" w:rsidR="008D479B" w:rsidRDefault="008D479B" w:rsidP="008D479B">
      <w:pPr>
        <w:pStyle w:val="TextoNormal"/>
      </w:pPr>
      <w:r>
        <w:t>Tal conclusión hace innecesario el examen de la eventual lesión del derecho fundamental a la igualdad y a no sufrir discriminación (art. 14 CE) que también se aduce en la demanda de amparo.</w:t>
      </w:r>
    </w:p>
    <w:p w14:paraId="22A21864" w14:textId="77777777" w:rsidR="008D479B" w:rsidRDefault="008D479B" w:rsidP="008D479B">
      <w:pPr>
        <w:pStyle w:val="TextoNormal"/>
      </w:pPr>
    </w:p>
    <w:p w14:paraId="5C14EEA4" w14:textId="77777777" w:rsidR="008D479B" w:rsidRDefault="008D479B" w:rsidP="008D479B">
      <w:pPr>
        <w:pStyle w:val="TextoNormalCentrado"/>
        <w:keepNext/>
      </w:pPr>
      <w:r>
        <w:t>FALLO</w:t>
      </w:r>
    </w:p>
    <w:p w14:paraId="5883F53A" w14:textId="59639340" w:rsidR="008D479B" w:rsidRDefault="008D479B" w:rsidP="008D479B">
      <w:pPr>
        <w:pStyle w:val="TextoNormalCentrado"/>
        <w:keepNext/>
      </w:pPr>
    </w:p>
    <w:p w14:paraId="68C7C0FB" w14:textId="77777777" w:rsidR="008D479B" w:rsidRDefault="008D479B" w:rsidP="008D479B">
      <w:pPr>
        <w:pStyle w:val="TextoNormal"/>
      </w:pPr>
      <w:r>
        <w:t>En atención a todo lo expuesto, el Tribunal Constitucional, por la autoridad que le confiere la Constitución de la Nación española, ha decidido estimar el recurso de amparo interpuesto por doña Natalia Blázquez Soto, y en su virtud:</w:t>
      </w:r>
    </w:p>
    <w:p w14:paraId="7BB34408" w14:textId="77777777" w:rsidR="008D479B" w:rsidRDefault="008D479B" w:rsidP="008D479B">
      <w:pPr>
        <w:pStyle w:val="TextoNormal"/>
      </w:pPr>
    </w:p>
    <w:p w14:paraId="278B100C" w14:textId="77777777" w:rsidR="008D479B" w:rsidRDefault="008D479B" w:rsidP="008D479B">
      <w:pPr>
        <w:pStyle w:val="TextoNormal"/>
      </w:pPr>
      <w:r>
        <w:t>1º Declarar que se ha vulnerado su derecho fundamental de reunión y manifestación (art. 21 CE).</w:t>
      </w:r>
    </w:p>
    <w:p w14:paraId="3DDA4FF3" w14:textId="77777777" w:rsidR="008D479B" w:rsidRDefault="008D479B" w:rsidP="008D479B">
      <w:pPr>
        <w:pStyle w:val="TextoNormal"/>
      </w:pPr>
    </w:p>
    <w:p w14:paraId="31C7348B" w14:textId="6941A702" w:rsidR="008D479B" w:rsidRDefault="008D479B" w:rsidP="008D479B">
      <w:pPr>
        <w:pStyle w:val="TextoNormal"/>
      </w:pPr>
      <w:r>
        <w:t>2º Restablecerle en su derecho y, a tal fin, anular la resolución del delegado del Gobierno en la Comunidad de Madrid de 3 de marzo de 2021, que prohibió las concentraciones que la demandante había convocado para el día 8 de marzo de 2021 en Madrid, y la sentencia de 7 de marzo de 2021, dictada por la Sección Décima de la Sala de lo Contencioso-Administrativo del Tribunal Superior de Justicia de Madrid en el procedimiento sobre derecho de reunión núm. 276-2021, que desestimó el recurso interpuesto contra la anterior resolución.</w:t>
      </w:r>
    </w:p>
    <w:p w14:paraId="193EEF86" w14:textId="77777777" w:rsidR="008D479B" w:rsidRDefault="008D479B" w:rsidP="008D479B">
      <w:pPr>
        <w:pStyle w:val="TextoNormal"/>
      </w:pPr>
    </w:p>
    <w:p w14:paraId="78DE5134" w14:textId="77777777" w:rsidR="008D479B" w:rsidRDefault="008D479B" w:rsidP="008D479B">
      <w:pPr>
        <w:pStyle w:val="TextoNormal"/>
      </w:pPr>
      <w:r>
        <w:t>Publíquese esta sentencia en el “Boletín Oficial del Estado”.</w:t>
      </w:r>
    </w:p>
    <w:p w14:paraId="7F8ADD7E" w14:textId="77777777" w:rsidR="008D479B" w:rsidRDefault="008D479B" w:rsidP="008D479B">
      <w:pPr>
        <w:pStyle w:val="TextoNormal"/>
      </w:pPr>
      <w:r>
        <w:t>Dada en Madrid, a once de diciembre de dos mil veintitrés.</w:t>
      </w:r>
    </w:p>
    <w:p w14:paraId="3E4C1FE9" w14:textId="0970F1D5" w:rsidR="008D479B" w:rsidRDefault="008D479B">
      <w:pPr>
        <w:spacing w:after="160" w:line="278" w:lineRule="auto"/>
        <w:rPr>
          <w:rFonts w:ascii="Times New Roman" w:eastAsia="Times New Roman" w:hAnsi="Times New Roman" w:cs="Times New Roman"/>
          <w:sz w:val="24"/>
          <w:szCs w:val="24"/>
          <w:lang w:eastAsia="es-ES"/>
        </w:rPr>
      </w:pPr>
      <w:r>
        <w:br w:type="page"/>
      </w:r>
    </w:p>
    <w:p w14:paraId="1548B66D" w14:textId="77777777" w:rsidR="008D479B" w:rsidRDefault="008D479B" w:rsidP="008D479B">
      <w:pPr>
        <w:pStyle w:val="TtuloResolucin"/>
      </w:pPr>
      <w:bookmarkStart w:id="100" w:name="SENTENCIA_2023_175"/>
      <w:r>
        <w:t>SENTENCIA 175/2023, de 11 de diciembre de 2023</w:t>
      </w:r>
    </w:p>
    <w:bookmarkEnd w:id="100"/>
    <w:p w14:paraId="5ED2D7CD" w14:textId="77777777" w:rsidR="008D479B" w:rsidRDefault="008D479B" w:rsidP="008D479B">
      <w:pPr>
        <w:pStyle w:val="TtuloResolucin"/>
      </w:pPr>
      <w:r>
        <w:t>Sala Primera</w:t>
      </w:r>
    </w:p>
    <w:p w14:paraId="75FE4F94" w14:textId="77777777" w:rsidR="008D479B" w:rsidRDefault="008D479B" w:rsidP="008D479B">
      <w:pPr>
        <w:pStyle w:val="TtuloBOE"/>
      </w:pPr>
      <w:r>
        <w:t>(BOE núm. 16, de 18 de enero de 2024)</w:t>
      </w:r>
    </w:p>
    <w:p w14:paraId="2FA5A336" w14:textId="77777777" w:rsidR="008D479B" w:rsidRDefault="008D479B" w:rsidP="008D479B">
      <w:pPr>
        <w:pStyle w:val="TextoNormalCentrado"/>
      </w:pPr>
      <w:r>
        <w:t>ECLI:ES:TC:2023:175</w:t>
      </w:r>
    </w:p>
    <w:p w14:paraId="0597FC91" w14:textId="32C0F5E2" w:rsidR="008D479B" w:rsidRDefault="008D479B" w:rsidP="008D479B">
      <w:pPr>
        <w:pStyle w:val="TextoNormalCentrado"/>
      </w:pPr>
    </w:p>
    <w:p w14:paraId="68F4C37F" w14:textId="77777777" w:rsidR="008D479B" w:rsidRDefault="008D479B" w:rsidP="008D479B">
      <w:pPr>
        <w:pStyle w:val="SntesisDescriptiva"/>
      </w:pPr>
      <w:r>
        <w:t>Recurso de amparo 2028-2021. Promovido por doña Gloria Silvero Salguero en relación con la sentencia dictada por la Sala de lo Contencioso-Administrativo del Tribunal Superior de Justicia de Madrid que desestimó su demanda frente a la resolución del delegado del Gobierno en Madrid prohibiendo la concentración convocada para el día 8 de marzo de 2021.</w:t>
      </w:r>
    </w:p>
    <w:p w14:paraId="607554E8" w14:textId="150E8443" w:rsidR="008D479B" w:rsidRDefault="008D479B" w:rsidP="008D479B">
      <w:pPr>
        <w:pStyle w:val="SntesisDescriptiva"/>
      </w:pPr>
    </w:p>
    <w:p w14:paraId="7B1C164A" w14:textId="77777777" w:rsidR="008D479B" w:rsidRDefault="008D479B" w:rsidP="008D479B">
      <w:pPr>
        <w:pStyle w:val="SntesisAnaltica"/>
      </w:pPr>
      <w:r>
        <w:t>Vulneración del derecho de reunión y manifestación: STC 164/2023 (prohibición injustificada y desproporcionada de la convocatoria de concentración al aire libre, con número limitado de asistentes y garantizando el uso de mascarillas y el mantenimiento de una distancia interpersonal de seguridad). Votos particulares.</w:t>
      </w:r>
    </w:p>
    <w:p w14:paraId="1A8B1C6A" w14:textId="20EB39FB" w:rsidR="008D479B" w:rsidRDefault="008D479B" w:rsidP="008D479B">
      <w:pPr>
        <w:pStyle w:val="SntesisAnaltica"/>
      </w:pPr>
    </w:p>
    <w:p w14:paraId="09999076" w14:textId="6347BD95" w:rsidR="008D479B" w:rsidRDefault="008D479B" w:rsidP="008D479B">
      <w:pPr>
        <w:pStyle w:val="Extracto"/>
      </w:pPr>
      <w:r>
        <w:t>1.</w:t>
      </w:r>
      <w:r>
        <w:tab/>
        <w:t>Se aplica la doctrina relativa al derecho de reunión y manifestación en relación con la proporcionalidad debida de las medidas limitativas de su ejercicio  (STC 164/2023) [FJ Único].</w:t>
      </w:r>
    </w:p>
    <w:p w14:paraId="1CB49792" w14:textId="77777777" w:rsidR="008D479B" w:rsidRDefault="008D479B" w:rsidP="008D479B">
      <w:pPr>
        <w:pStyle w:val="Extracto"/>
      </w:pPr>
    </w:p>
    <w:p w14:paraId="1FDC81E5" w14:textId="77777777" w:rsidR="008D479B" w:rsidRDefault="008D479B" w:rsidP="008D479B">
      <w:pPr>
        <w:pStyle w:val="Extracto"/>
      </w:pPr>
    </w:p>
    <w:p w14:paraId="409678F5" w14:textId="77777777" w:rsidR="008D479B" w:rsidRDefault="008D479B" w:rsidP="008D479B">
      <w:pPr>
        <w:pStyle w:val="TextoNormal"/>
      </w:pPr>
      <w:r>
        <w:t>La Sala Primera del Tribunal Constitucional, compuesta por el magistrado don Cándido Conde-Pumpido Tourón, presidente, y los magistrados y magistradas don Ricardo Enríquez Sancho, doña Concepción Espejel Jorquera, doña María Luisa Segoviano Astaburuaga y don Juan Carlos Campo Moreno, ha pronunciado</w:t>
      </w:r>
    </w:p>
    <w:p w14:paraId="049B8A03" w14:textId="4BA2D371" w:rsidR="008D479B" w:rsidRDefault="008D479B" w:rsidP="008D479B">
      <w:pPr>
        <w:pStyle w:val="TextoNormal"/>
      </w:pPr>
    </w:p>
    <w:p w14:paraId="33B00834" w14:textId="77777777" w:rsidR="008D479B" w:rsidRDefault="008D479B" w:rsidP="008D479B">
      <w:pPr>
        <w:pStyle w:val="TextoNormalCentrado"/>
        <w:keepNext/>
      </w:pPr>
      <w:r>
        <w:t>EN NOMBRE DEL REY</w:t>
      </w:r>
    </w:p>
    <w:p w14:paraId="52B02F7C" w14:textId="4C1A9AC3" w:rsidR="008D479B" w:rsidRDefault="008D479B" w:rsidP="008D479B">
      <w:pPr>
        <w:pStyle w:val="TextoNormalCentrado"/>
        <w:keepNext/>
      </w:pPr>
    </w:p>
    <w:p w14:paraId="013C205B" w14:textId="77777777" w:rsidR="008D479B" w:rsidRDefault="008D479B" w:rsidP="008D479B">
      <w:pPr>
        <w:pStyle w:val="TextoNormalCentrado"/>
        <w:keepNext/>
      </w:pPr>
    </w:p>
    <w:p w14:paraId="307AB11D" w14:textId="77777777" w:rsidR="008D479B" w:rsidRDefault="008D479B" w:rsidP="008D479B">
      <w:pPr>
        <w:pStyle w:val="TextoNormal"/>
      </w:pPr>
      <w:r>
        <w:t>la siguiente</w:t>
      </w:r>
    </w:p>
    <w:p w14:paraId="20DA6420" w14:textId="753FED2C" w:rsidR="008D479B" w:rsidRDefault="008D479B" w:rsidP="008D479B">
      <w:pPr>
        <w:pStyle w:val="TextoNormal"/>
      </w:pPr>
    </w:p>
    <w:p w14:paraId="0205BC00" w14:textId="77777777" w:rsidR="008D479B" w:rsidRDefault="008D479B" w:rsidP="008D479B">
      <w:pPr>
        <w:pStyle w:val="TextoNormalCentrado"/>
        <w:keepNext/>
      </w:pPr>
      <w:r>
        <w:t>SENTENCIA</w:t>
      </w:r>
    </w:p>
    <w:p w14:paraId="4FC6CFAA" w14:textId="19197E0F" w:rsidR="008D479B" w:rsidRDefault="008D479B" w:rsidP="008D479B">
      <w:pPr>
        <w:pStyle w:val="TextoNormalCentrado"/>
        <w:keepNext/>
      </w:pPr>
    </w:p>
    <w:p w14:paraId="1B20E73F" w14:textId="77777777" w:rsidR="008D479B" w:rsidRDefault="008D479B" w:rsidP="008D479B">
      <w:pPr>
        <w:pStyle w:val="TextoNormal"/>
      </w:pPr>
      <w:r>
        <w:t>En el recurso de amparo núm. 2028-2021, promovido por doña Gloria Silvero Salguero contra la sentencia de 7 de marzo de 2021 de la Sección Décima de la Sala de lo Contencioso-Administrativo del Tribunal Superior de Justicia de Madrid, recaída en el procedimiento sobre derecho de reunión núm. 279-2021, por la que se desestimó el recurso interpuesto contra la resolución de 3 de marzo de 2021 del delegado del Gobierno en la Comunidad de Madrid por la que se acordó la prohibición de la concentración convocada para el día 8 de marzo de 2021. Ha sido parte el abogado del Estado. Ha intervenido el Ministerio Fiscal. Ha sido ponente el magistrado don Ricardo Enríquez Sancho.</w:t>
      </w:r>
    </w:p>
    <w:p w14:paraId="73BC999C" w14:textId="2C6433B8" w:rsidR="008D479B" w:rsidRDefault="008D479B" w:rsidP="008D479B">
      <w:pPr>
        <w:pStyle w:val="TextoNormal"/>
      </w:pPr>
    </w:p>
    <w:p w14:paraId="567F6AB2" w14:textId="77777777" w:rsidR="008D479B" w:rsidRDefault="008D479B" w:rsidP="008D479B">
      <w:pPr>
        <w:pStyle w:val="TextoNormalNegritaCentrado"/>
        <w:keepNext/>
      </w:pPr>
      <w:r>
        <w:t>I. Antecedentes</w:t>
      </w:r>
    </w:p>
    <w:p w14:paraId="715B0250" w14:textId="4B74AF8C" w:rsidR="008D479B" w:rsidRDefault="008D479B" w:rsidP="008D479B">
      <w:pPr>
        <w:pStyle w:val="TextoNormalNegritaCentrado"/>
        <w:keepNext/>
      </w:pPr>
    </w:p>
    <w:p w14:paraId="22158378" w14:textId="650EEF1B" w:rsidR="008D479B" w:rsidRDefault="008D479B" w:rsidP="008D479B">
      <w:pPr>
        <w:pStyle w:val="TextoNormal"/>
      </w:pPr>
      <w:r w:rsidRPr="008D479B">
        <w:rPr>
          <w:rStyle w:val="NumeroAFNegritaCaracter"/>
        </w:rPr>
        <w:t>1</w:t>
      </w:r>
      <w:r>
        <w:t>. Doña Gloria Silvero Salguero representada por la procuradora de los tribunales doña Virginia Sánchez de León Herencia, bajo la dirección de la letrada doña Virginia del Castillo Rodríguez, interpuso recurso de amparo contra las resoluciones mencionadas en el encabezamiento de esta sentencia mediante escrito registrado en este tribunal el día 7 de abril de 2021.</w:t>
      </w:r>
    </w:p>
    <w:p w14:paraId="24CF2ED2" w14:textId="77777777" w:rsidR="008D479B" w:rsidRDefault="008D479B" w:rsidP="008D479B">
      <w:pPr>
        <w:pStyle w:val="TextoNormal"/>
      </w:pPr>
    </w:p>
    <w:p w14:paraId="2102B10A" w14:textId="77777777" w:rsidR="008D479B" w:rsidRDefault="008D479B" w:rsidP="008D479B">
      <w:pPr>
        <w:pStyle w:val="TextoNormal"/>
      </w:pPr>
      <w:r w:rsidRPr="008D479B">
        <w:rPr>
          <w:rStyle w:val="NumeroAFNegritaCaracter"/>
        </w:rPr>
        <w:t>2</w:t>
      </w:r>
      <w:r>
        <w:t>. El recurso tiene su origen en los siguientes antecedentes:</w:t>
      </w:r>
    </w:p>
    <w:p w14:paraId="041966E1" w14:textId="77777777" w:rsidR="008D479B" w:rsidRDefault="008D479B" w:rsidP="008D479B">
      <w:pPr>
        <w:pStyle w:val="TextoNormal"/>
      </w:pPr>
    </w:p>
    <w:p w14:paraId="008CFC44" w14:textId="77777777" w:rsidR="008D479B" w:rsidRDefault="008D479B" w:rsidP="008D479B">
      <w:pPr>
        <w:pStyle w:val="TextoNormal"/>
      </w:pPr>
      <w:r>
        <w:t>a) Por escrito de 23 de febrero de 2021, la demandante, en su calidad de representante de la Comisión Feminista 8M-Coordinadora Feminista de Majadahonda, comunicó a la Delegación del Gobierno en la Comunidad de Madrid la realización de una concentración en el parque de Colón de Majadahonda (explanada frente a la calle de Santa Bárbara), el día 8 de marzo de 2021, entre las 18:00 y las 21:00 horas, con el lema “Ante la emergencia social, el feminismo es esencial”. La asistencia prevista por la organización era de unas cien personas, y se ofrecía garantizar todas las medidas sanitarias establecidas por las autoridades correspondientes: mantenimiento de la distancia, mascarillas, gel hidroalcohólico, etc.</w:t>
      </w:r>
    </w:p>
    <w:p w14:paraId="61452305" w14:textId="77777777" w:rsidR="008D479B" w:rsidRDefault="008D479B" w:rsidP="008D479B">
      <w:pPr>
        <w:pStyle w:val="TextoNormal"/>
      </w:pPr>
    </w:p>
    <w:p w14:paraId="3A172825" w14:textId="77777777" w:rsidR="008D479B" w:rsidRDefault="008D479B" w:rsidP="008D479B">
      <w:pPr>
        <w:pStyle w:val="TextoNormal"/>
      </w:pPr>
      <w:r>
        <w:t>b) Por medio de resolución de 3 de marzo de 2021, el delegado del Gobierno en la Comunidad de Madrid acordó prohibir la celebración de dicha concentración por razones de salud pública. A tal efecto, y después de hacer cita tanto de la normativa legal reguladora del derecho de reunión (Ley Orgánica 9/1983, de 15 de julio), como de la normativa sobre el estado de alarma (reales decretos 463/2020, de 14 de marzo, y 926/2020, de 25 de octubre), así como de la doctrina constitucional que entiende aplicable, señala la resolución, en el fundamento de Derecho séptimo, que se han de “considerar los elementos tanto de contexto temporal y territorial como los aspectos concretos del hecho comunicado, siendo el más evidente en estos momentos que tras las consecuencias provocadas por las reuniones familiares de las navidades, estamos afrontando el resultado de la ‘tercera ola’ [del covid-19], si cabe, con mayor virulencia que las anteriores”. Pasa a referirse luego a las medidas adoptadas por las autoridades sanitarias de la Comunidad de Madrid, que han resultado restrictivas de la movilidad, en función de la evolución del virus; si bien la propia Delegación del Gobierno reconoce que una “tendencia a la baja de los datos generales aportados por el Ministerio de Sanidad es patente”, aunque, remacha, la bajada es más lenta en esta comunidad autónoma. Prosigue tratando la resolución, en el fundamento de Derecho octavo, con la gran cantidad de personas que desean manifestarse el 8 de marzo, día internacional de la mujer, y que el propio Gobierno de España ha efectuado llamamientos para que no se realicen concentraciones masivas ese día; advertencia que sin embargo cree que no tiene intención de seguir la Plataforma 8M, dado el número de convocatorias comunicadas en tan solo tres días (setenta y cinco), sin que tras su celebración pueda garantizarse que no exista el riesgo de reagrupamiento de varias concentraciones. Prosigue diciendo en el fundamento de Derecho noveno que luego de “haberse prohibido por motivos sanitarios las dos grandes manifestaciones la semana pasada, se están convocando este tipo de concentraciones más pequeñas que permite ver una misma causa fragmentada; es decir, muchas concentraciones pero con menos personas. La intención no es la de buscar alternativas que permitan reivindicar la causa”. Y añade cuáles a juicio de la Delegación del Gobierno en la Comunidad de Madrid podrían ser tales alternativas: “[S]e han realizado en vehículos, de manera virtual o desde los balcones”.</w:t>
      </w:r>
    </w:p>
    <w:p w14:paraId="35F6D1CC" w14:textId="77777777" w:rsidR="008D479B" w:rsidRDefault="008D479B" w:rsidP="008D479B">
      <w:pPr>
        <w:pStyle w:val="TextoNormal"/>
      </w:pPr>
    </w:p>
    <w:p w14:paraId="2692F794" w14:textId="77777777" w:rsidR="008D479B" w:rsidRDefault="008D479B" w:rsidP="008D479B">
      <w:pPr>
        <w:pStyle w:val="TextoNormal"/>
      </w:pPr>
      <w:r>
        <w:t>Con base en los informes recabados por la Delegación del Gobierno, que indican que últimamente no ha habido variaciones en la situación sanitaria (fundamento de Derecho décimo), se adopta finalmente la decisión sobre la presente convocatoria en el fundamento de Derecho undécimo de la resolución: “Teniendo en cuenta la intencionalidad de los colectivos convocantes, de ejercer su derecho a manifestarse en las calles (es el único formato de reivindicación recibido), buscando un gran número de reuniones en diferentes lugares y teniendo en cuenta las circunstancias epidemiológicas actuales (niveles altos de incidencia y la aparición de nuevas cepas de covid), así como los informes que vienen emitiendo las autoridades sanitarias, la celebración de estas concentraciones eleva el riesgo de contagios de una manera exponencial”.</w:t>
      </w:r>
    </w:p>
    <w:p w14:paraId="3BA9915D" w14:textId="77777777" w:rsidR="008D479B" w:rsidRDefault="008D479B" w:rsidP="008D479B">
      <w:pPr>
        <w:pStyle w:val="TextoNormal"/>
      </w:pPr>
    </w:p>
    <w:p w14:paraId="439257B3" w14:textId="77777777" w:rsidR="008D479B" w:rsidRDefault="008D479B" w:rsidP="008D479B">
      <w:pPr>
        <w:pStyle w:val="TextoNormal"/>
      </w:pPr>
      <w:r>
        <w:t>c) La demandante interpuso recurso contencioso administrativo contra la anterior resolución ante el Tribunal Superior de Justicia de Madrid, con invocación de los derechos fundamentales de reunión (art. 21 CE) y a la igualdad en su vertiente de prohibición de la discriminación por razón de género (art. 14 CE).</w:t>
      </w:r>
    </w:p>
    <w:p w14:paraId="5EE76E4F" w14:textId="77777777" w:rsidR="008D479B" w:rsidRDefault="008D479B" w:rsidP="008D479B">
      <w:pPr>
        <w:pStyle w:val="TextoNormal"/>
      </w:pPr>
    </w:p>
    <w:p w14:paraId="13BFF843" w14:textId="77777777" w:rsidR="008D479B" w:rsidRDefault="008D479B" w:rsidP="008D479B">
      <w:pPr>
        <w:pStyle w:val="TextoNormal"/>
      </w:pPr>
      <w:r>
        <w:t>d) El recurso fue conocido por la Sección Décima de la Sala de lo Contencioso-Administrativo del Tribunal Superior de Justicia de Madrid (procedimiento de derecho de reunión núm. 279-2021), la cual dictó sentencia desestimatoria de 7 de marzo de 2021.</w:t>
      </w:r>
    </w:p>
    <w:p w14:paraId="15882D86" w14:textId="77777777" w:rsidR="008D479B" w:rsidRDefault="008D479B" w:rsidP="008D479B">
      <w:pPr>
        <w:pStyle w:val="TextoNormal"/>
      </w:pPr>
    </w:p>
    <w:p w14:paraId="5AA29ADB" w14:textId="77777777" w:rsidR="008D479B" w:rsidRDefault="008D479B" w:rsidP="008D479B">
      <w:pPr>
        <w:pStyle w:val="TextoNormal"/>
      </w:pPr>
      <w:r>
        <w:t>La sentencia, tras analizar el contenido del escrito de comunicación que presentó la recurrente, de la resolución administrativa impugnada, así como de los distintos informes que fueron incorporados a las actuaciones judiciales, y efectuar una detallada exposición de la doctrina de este Tribunal Constitucional y del Tribunal Europeo de Derechos Humanos sobre el ejercicio del derecho de reunión y sobre los límites de este —deteniéndose de modo especial en el ATC 40/2020, de 30 de abril—, razona en el fundamento de Derecho octavo que la resolución impugnada cumple con el nivel de motivación exigible, ya que exterioriza las razones por las que considera que el ejercicio del derecho de manifestación comunicado por la recurrente entrañaba un grave riesgo para la salud pública, para los propios manifestantes y para quienes tuvieran “accidentalmente” contacto con ellos, debiendo tenerse además en cuenta el llamado principio de precaución o cautela en esta materia.</w:t>
      </w:r>
    </w:p>
    <w:p w14:paraId="5E8EB6EC" w14:textId="77777777" w:rsidR="008D479B" w:rsidRDefault="008D479B" w:rsidP="008D479B">
      <w:pPr>
        <w:pStyle w:val="TextoNormal"/>
      </w:pPr>
    </w:p>
    <w:p w14:paraId="43E2F965" w14:textId="77777777" w:rsidR="008D479B" w:rsidRDefault="008D479B" w:rsidP="008D479B">
      <w:pPr>
        <w:pStyle w:val="TextoNormal"/>
      </w:pPr>
      <w:r>
        <w:t>Más adelante, en el fundamento de Derecho noveno, la Sección juzgadora somete la resolución administrativa al llamado test de proporcionalidad, el cual considera superado favorablemente “utilizando los mismos criterios que en nuestra sentencia de 30 de abril de 2020”, por cuanto: “la prohibición de la concentración comunicada es: (i) susceptible de conseguir el objetivo propuesto —en este caso la protección de la salud pública y de los ciudadanos, en un escenario de pandemia internacional que implica un grave riesgo para la vida de las personas—; (ii) necesaria por no existir otra medida más moderada para la consecución de tal propósito con igual eficacia, atendidas las condiciones tan genéricas y amplias en que se proyectó el desarrollo de la concentración y posterior manifestación; y (iii) proporcionada, en sentido estricto, es decir, ponderada o equilibrada por derivarse de ella más beneficios o ventajas para el interés general que protege que perjuicios sobre el derecho de reunión de los manifestantes”. Concluye así, a la vista de las anteriores consideraciones, en el otorgamiento de prevalencia en favor de bienes y valores constitucionales “como la salud pública y, más concretamente, la salud, la integridad física y la vida de las personas (artículos 15 y 43 CE)”, sobre el ejercicio del derecho de reunión.</w:t>
      </w:r>
    </w:p>
    <w:p w14:paraId="4100889D" w14:textId="77777777" w:rsidR="008D479B" w:rsidRDefault="008D479B" w:rsidP="008D479B">
      <w:pPr>
        <w:pStyle w:val="TextoNormal"/>
      </w:pPr>
    </w:p>
    <w:p w14:paraId="02811456" w14:textId="77777777" w:rsidR="008D479B" w:rsidRDefault="008D479B" w:rsidP="008D479B">
      <w:pPr>
        <w:pStyle w:val="TextoNormal"/>
      </w:pPr>
      <w:r>
        <w:t>Por otro lado, en el fundamento de Derecho décimo, la sentencia desestima que la resolución gubernativa haya representado una forma de discriminación por razón de género, para lo que cita doctrina constitucional —STC 3/2007, de 15 de enero, y otras— expositiva de la noción de discriminación indirecta por razón de sexo, a partir de las formulaciones del Derecho comunitario originario y derivado y su jurisprudencia interpretativa en el ámbito laboral por el Tribunal de Justicia de la Unión Europea, donde se define la discriminación indirecta como la aplicación de una medida que, siendo aparentemente neutra, perjudica en un porcentaje claramente superior a los miembros de un sexo que de otro, salvo que se trate de una medida objetivamente justificada por responder adecuada y necesariamente a una finalidad legítima.</w:t>
      </w:r>
    </w:p>
    <w:p w14:paraId="6FBA8C2B" w14:textId="77777777" w:rsidR="008D479B" w:rsidRDefault="008D479B" w:rsidP="008D479B">
      <w:pPr>
        <w:pStyle w:val="TextoNormal"/>
      </w:pPr>
    </w:p>
    <w:p w14:paraId="38B1516D" w14:textId="03C030E0" w:rsidR="008D479B" w:rsidRDefault="008D479B" w:rsidP="008D479B">
      <w:pPr>
        <w:pStyle w:val="TextoNormal"/>
      </w:pPr>
      <w:r>
        <w:t>La Sección juzgadora entiende que este planteamiento sin embargo no es trasladable al presente caso, en el que la medida restrictiva se funda en razones de salud pública que la parte recurrente no ha desvirtuado, sin haberse aportado en las actuaciones, por lo demás, un término válido de comparación que permita vislumbrar en la medida de prohibición de la convocatoria mencionada, la existencia de razones implícitas distintas de las razones de salud pública, las cuales importan por igual a los ciudadanos y a las ciudadanas.</w:t>
      </w:r>
    </w:p>
    <w:p w14:paraId="7C8136D9" w14:textId="77777777" w:rsidR="008D479B" w:rsidRDefault="008D479B" w:rsidP="008D479B">
      <w:pPr>
        <w:pStyle w:val="TextoNormal"/>
      </w:pPr>
    </w:p>
    <w:p w14:paraId="7710769E" w14:textId="77777777" w:rsidR="008D479B" w:rsidRDefault="008D479B" w:rsidP="008D479B">
      <w:pPr>
        <w:pStyle w:val="TextoNormal"/>
      </w:pPr>
      <w:r w:rsidRPr="008D479B">
        <w:rPr>
          <w:rStyle w:val="NumeroAFNegritaCaracter"/>
        </w:rPr>
        <w:t>3</w:t>
      </w:r>
      <w:r>
        <w:t>. La demanda de amparo, tras efectuar un sintético relato de los hechos que le sirven de fundamento, alega la vulneración de los siguientes derechos fundamentales:</w:t>
      </w:r>
    </w:p>
    <w:p w14:paraId="15914BBC" w14:textId="77777777" w:rsidR="008D479B" w:rsidRDefault="008D479B" w:rsidP="008D479B">
      <w:pPr>
        <w:pStyle w:val="TextoNormal"/>
      </w:pPr>
    </w:p>
    <w:p w14:paraId="7337FA15" w14:textId="77777777" w:rsidR="008D479B" w:rsidRDefault="008D479B" w:rsidP="008D479B">
      <w:pPr>
        <w:pStyle w:val="TextoNormal"/>
      </w:pPr>
      <w:r>
        <w:t>a) El derecho de reunión garantizado en los arts. 21 CE y 11 del Convenio europeo de derechos humanos (CEDH), sosteniendo en primer lugar que tanto la resolución del delegado del Gobierno como la sentencia del Tribunal Superior de Justicia de Madrid son arbitrarias: la primera de ellas, porque prohíbe la concentración sin disponer todavía del informe de la Consejería de Sanidad de la Comunidad de Madrid y la sentencia, por su lado, porque si bien ya dispone del informe referido, extrae de él una valoración errónea pues en el mismo se aconsejaba limitar el número de concentraciones y la adopción de medidas de seguridad, condiciones que cumplía la concentración convocada; esta última además no iba a coincidir en el tiempo y en el espacio con ninguna otra.</w:t>
      </w:r>
    </w:p>
    <w:p w14:paraId="26C84FA5" w14:textId="77777777" w:rsidR="008D479B" w:rsidRDefault="008D479B" w:rsidP="008D479B">
      <w:pPr>
        <w:pStyle w:val="TextoNormal"/>
      </w:pPr>
    </w:p>
    <w:p w14:paraId="7827899B" w14:textId="77777777" w:rsidR="008D479B" w:rsidRDefault="008D479B" w:rsidP="008D479B">
      <w:pPr>
        <w:pStyle w:val="TextoNormal"/>
      </w:pPr>
      <w:r>
        <w:t>Sigue diciendo la demanda que el Tribunal Superior de Justicia de Madrid se ha fundado además en elementos inconcluyentes: (i) un informe de la Jefatura Superior de Policía de Madrid que plantea meras hipótesis (que la concentración puede coincidir con otras, que los participantes pueden negarse a seguir las medidas de seguridad) sin ofrecer datos contrastables; (ii) un informe de la directora general de Salud Pública que se refiere a una concentración distinta; y (iii) unos documentos aportados por el abogado del Estado, en concreto un informe de aguas residuales de la Comunidad de Madrid y un artículo suscrito por varias sociedades científicas que desaconsejaba la celebración de grandes movilizaciones, como las que habían tenido lugar en años anteriores, pero de características completamente distintas a la convocada. Ninguno de estos argumentos, sostiene la recurrente, es capaz de proporcionar las razones convincentes e imperativas y los datos objetivos suficientes derivados de las circunstancias concretas de cada caso, que demanda la doctrina constitucional para que pueda entenderse justificada la restricción del derecho de reunión.</w:t>
      </w:r>
    </w:p>
    <w:p w14:paraId="15C779C2" w14:textId="77777777" w:rsidR="008D479B" w:rsidRDefault="008D479B" w:rsidP="008D479B">
      <w:pPr>
        <w:pStyle w:val="TextoNormal"/>
      </w:pPr>
    </w:p>
    <w:p w14:paraId="61814ECE" w14:textId="77777777" w:rsidR="008D479B" w:rsidRDefault="008D479B" w:rsidP="008D479B">
      <w:pPr>
        <w:pStyle w:val="TextoNormal"/>
      </w:pPr>
      <w:r>
        <w:t>Tampoco se verificó adecuadamente el juicio de proporcionalidad porque la prohibición de la concentración no era una medida adecuada para conseguir el objetivo propuesto, la protección de la salud pública, en el contexto social en el que se adoptó dicha medida, caracterizado por la total normalidad en que se desarrollaba la vida cotidiana madrileña: bares y terrazas abiertas, concurrencia de numerosas personas en espacios cerrados y sin garantizar la distancia de seguridad de 1,5 metros como en el transporte público, obras de teatro y cine. La prohibición no solo “no consiguió el objetivo propuesto sino que […] provocó que muchísimas mujeres salieran a las calles de una forma desorganizada por el barrio, y no como se había previsto por la convocante, que era de forma simbólica, en un punto concreto, con una limitación de aforo y vigilando el cumplimiento respetuoso de todas las medidas de seguridad”. Añade que tampoco fue una medida necesaria, pues al margen de que era la única convocatoria anunciada en ese mismo lugar y hora, “antes que prohibirla podría haberse limitado temporalmente”; o bien en cuanto al aforo calculado, “una medida más moderada antes que la prohibición podría haber sido limitar el número de asistentes a la convocatoria”. Finalmente, niega la recurrente que la prohibición fuera una medida proporcionada en sentido estricto, dado que se ha adoptado sin atender a que en ese momento ya se había reducido el número de convocatorias, y con base en “conjeturas y generalidades”.</w:t>
      </w:r>
    </w:p>
    <w:p w14:paraId="2E46D697" w14:textId="77777777" w:rsidR="008D479B" w:rsidRDefault="008D479B" w:rsidP="008D479B">
      <w:pPr>
        <w:pStyle w:val="TextoNormal"/>
      </w:pPr>
    </w:p>
    <w:p w14:paraId="5C6704AB" w14:textId="77777777" w:rsidR="008D479B" w:rsidRDefault="008D479B" w:rsidP="008D479B">
      <w:pPr>
        <w:pStyle w:val="TextoNormal"/>
      </w:pPr>
      <w:r>
        <w:t>b) El derecho a la igualdad y la no discriminación del art. 14 CE, alegando que el hecho de que se prohibieran todas las convocatorias feministas de los días 7 y 8 de marzo de 2021, cuando en la Comunidad de Madrid se venían celebrando desde el mes de enero del mismo año concentraciones y manifestaciones convocadas por otros colectivos, revela que las mujeres feministas han sufrido discriminación directa e indirecta, pues han recibido un trato desigual sin que se les ofreciera una justificación objetiva y razonable, tal y como exige la doctrina constitucional para que la desigualdad de trato sea legítima. Añade que se han visto sujetas a una prohibición por razones de salud pública que les ha afectado de manera desproporcionada en el ejercicio de sus derechos fundamentales a la libertad de expresión y de manifestación respecto del resto de colectivos, a los que en el mismo contexto social y sanitario de pandemia no se les ha impedido ejercer estos derechos.</w:t>
      </w:r>
    </w:p>
    <w:p w14:paraId="46259A76" w14:textId="77777777" w:rsidR="008D479B" w:rsidRDefault="008D479B" w:rsidP="008D479B">
      <w:pPr>
        <w:pStyle w:val="TextoNormal"/>
      </w:pPr>
    </w:p>
    <w:p w14:paraId="2E16D177" w14:textId="1F4CAB21" w:rsidR="008D479B" w:rsidRDefault="008D479B" w:rsidP="008D479B">
      <w:pPr>
        <w:pStyle w:val="TextoNormal"/>
      </w:pPr>
      <w:r>
        <w:t>El suplico de la demanda de amparo pide que este tribunal dicte sentencia por la que se otorgue a la recurrente el amparo solicitado, “con reconocimiento expreso de los derechos invocados” y declare que las resoluciones impugnadas han vulnerado los derechos fundamentales invocados. Concluye el suplico diciendo que, si bien ya no es posible la restitución íntegra del derecho lesionado, “no le quita sentido al amparo solicitado que mantiene su reparación como restitución moral del derecho fundamental y con efectos ejemplarizantes para próximas ocasiones, en tutela del derecho fundamental de la convocante, así como, del millar de personas, que acuden anualmente a esta manifestación”.</w:t>
      </w:r>
    </w:p>
    <w:p w14:paraId="52B8CC6B" w14:textId="77777777" w:rsidR="008D479B" w:rsidRDefault="008D479B" w:rsidP="008D479B">
      <w:pPr>
        <w:pStyle w:val="TextoNormal"/>
      </w:pPr>
    </w:p>
    <w:p w14:paraId="53A720A2" w14:textId="04F2F92B" w:rsidR="008D479B" w:rsidRDefault="008D479B" w:rsidP="008D479B">
      <w:pPr>
        <w:pStyle w:val="TextoNormal"/>
      </w:pPr>
      <w:r w:rsidRPr="008D479B">
        <w:rPr>
          <w:rStyle w:val="NumeroAFNegritaCaracter"/>
        </w:rPr>
        <w:t>4</w:t>
      </w:r>
      <w:r>
        <w:t xml:space="preserve">. Mediante diligencia de ordenación de la Sección Primera, Sala Primera, de este Tribunal Constitucional, de 9 de abril de 2021, se otorgó un plazo de diez días a la procuradora de la parte recurrente para que acreditase “en legal forma la representación procesal que dice ostentar”. Dicha profesional cumplimentó este requerimiento en virtud de escrito y documentación aportada (certificado electrónico </w:t>
      </w:r>
      <w:r w:rsidRPr="008D479B">
        <w:rPr>
          <w:i/>
        </w:rPr>
        <w:t>apud acta</w:t>
      </w:r>
      <w:r>
        <w:t xml:space="preserve"> de representación procesal) el 13 de abril de 2021; de lo que dejó a su vez constancia la Secretaría de Justicia en diligencia de 14 de abril de 2021.</w:t>
      </w:r>
    </w:p>
    <w:p w14:paraId="56BE247E" w14:textId="77777777" w:rsidR="008D479B" w:rsidRDefault="008D479B" w:rsidP="008D479B">
      <w:pPr>
        <w:pStyle w:val="TextoNormal"/>
      </w:pPr>
    </w:p>
    <w:p w14:paraId="582210E9" w14:textId="77777777" w:rsidR="008D479B" w:rsidRDefault="008D479B" w:rsidP="008D479B">
      <w:pPr>
        <w:pStyle w:val="TextoNormal"/>
      </w:pPr>
      <w:r w:rsidRPr="008D479B">
        <w:rPr>
          <w:rStyle w:val="NumeroAFNegritaCaracter"/>
        </w:rPr>
        <w:t>5</w:t>
      </w:r>
      <w:r>
        <w:t>. Por providencia de la Sección Primera de este tribunal de 24 de enero de 2022, se acordó la admisión a trámite del recurso, apreciando “que concurre en el mismo una especial trascendencia constitucional [art. 50.1 de la Ley Orgánica del Tribunal Constitucional (LOTC)] porque el recurso puede dar ocasión al Tribunal para aclarar o cambiar su doctrina, como consecuencia del surgimiento de nuevas realidades sociales [STC 155/2009, de 25 de junio, FJ 2 b)] y el asunto suscitado trasciende del caso concreto porque plantea una cuestión jurídica de relevante y general repercusión social o económica [STC 155/2009, FJ 2 g)]”.</w:t>
      </w:r>
    </w:p>
    <w:p w14:paraId="5A513407" w14:textId="77777777" w:rsidR="008D479B" w:rsidRDefault="008D479B" w:rsidP="008D479B">
      <w:pPr>
        <w:pStyle w:val="TextoNormal"/>
      </w:pPr>
    </w:p>
    <w:p w14:paraId="0271158A" w14:textId="15EDD95E" w:rsidR="008D479B" w:rsidRDefault="008D479B" w:rsidP="008D479B">
      <w:pPr>
        <w:pStyle w:val="TextoNormal"/>
      </w:pPr>
      <w:r>
        <w:t>En la misma resolución también se acordó dirigir atenta comunicación a la Sección Décima de la Sala de lo Contencioso-Administrativo del Tribunal Superior de Justicia de Madrid, a fin de que remitiera certificación o fotocopia adverada de las actuaciones correspondientes al procedimiento de derecho de reunión núm. 279-2021. Y siendo el abogado del Estado, en representación de la administración, parte interesada, se acordó igualmente que le fuera notificada dicha providencia a efectos de emplazamiento a fin de comparecer en el plazo de diez días, si lo estimara pertinente, en el presente proceso.</w:t>
      </w:r>
    </w:p>
    <w:p w14:paraId="27733D3C" w14:textId="77777777" w:rsidR="008D479B" w:rsidRDefault="008D479B" w:rsidP="008D479B">
      <w:pPr>
        <w:pStyle w:val="TextoNormal"/>
      </w:pPr>
    </w:p>
    <w:p w14:paraId="79BFDE6D" w14:textId="77777777" w:rsidR="008D479B" w:rsidRDefault="008D479B" w:rsidP="008D479B">
      <w:pPr>
        <w:pStyle w:val="TextoNormal"/>
      </w:pPr>
      <w:r w:rsidRPr="008D479B">
        <w:rPr>
          <w:rStyle w:val="NumeroAFNegritaCaracter"/>
        </w:rPr>
        <w:t>6</w:t>
      </w:r>
      <w:r>
        <w:t>. Por escrito presentado en el registro de este tribunal el 9 de febrero de 2022, el abogado del Estado-jefe ante este Tribunal Constitucional, se personó en este recurso con la representación que legalmente ostenta, solicitando se entendiesen con él los posteriores trámites del procedimiento.</w:t>
      </w:r>
    </w:p>
    <w:p w14:paraId="2F5040FB" w14:textId="77777777" w:rsidR="008D479B" w:rsidRDefault="008D479B" w:rsidP="008D479B">
      <w:pPr>
        <w:pStyle w:val="TextoNormal"/>
      </w:pPr>
    </w:p>
    <w:p w14:paraId="3FFB24F7" w14:textId="602F321F" w:rsidR="008D479B" w:rsidRDefault="008D479B" w:rsidP="008D479B">
      <w:pPr>
        <w:pStyle w:val="TextoNormal"/>
      </w:pPr>
      <w:r>
        <w:t>Con fecha 11 de febrero de 2022 la Secretaría de Justicia de la Sala Primera de este tribunal dictó diligencia de ordenación por la que tuvo por personado y parte al abogado del Estado, en nombre y representación de la administración pública demandada; y a tenor de lo previsto en el art. 52 LOTC se dio vista de todas las actuaciones del presente recurso, “en la Secretaría de esta Sala, por un plazo común de veinte días al Ministerio Fiscal y a las partes personadas, para que dentro de dicho término puedan presentar las alegaciones que a su derecho convenga”.</w:t>
      </w:r>
    </w:p>
    <w:p w14:paraId="38B068E8" w14:textId="77777777" w:rsidR="008D479B" w:rsidRDefault="008D479B" w:rsidP="008D479B">
      <w:pPr>
        <w:pStyle w:val="TextoNormal"/>
      </w:pPr>
    </w:p>
    <w:p w14:paraId="78FD1906" w14:textId="77777777" w:rsidR="008D479B" w:rsidRDefault="008D479B" w:rsidP="008D479B">
      <w:pPr>
        <w:pStyle w:val="TextoNormal"/>
      </w:pPr>
      <w:r w:rsidRPr="008D479B">
        <w:rPr>
          <w:rStyle w:val="NumeroAFNegritaCaracter"/>
        </w:rPr>
        <w:t>7</w:t>
      </w:r>
      <w:r>
        <w:t>. La demandante de amparo, mediante escrito registrado en este tribunal el 9 de marzo de 2022, formuló alegaciones en las que se ratifica en los argumentos de la demanda.</w:t>
      </w:r>
    </w:p>
    <w:p w14:paraId="7DB69029" w14:textId="77777777" w:rsidR="008D479B" w:rsidRDefault="008D479B" w:rsidP="008D479B">
      <w:pPr>
        <w:pStyle w:val="TextoNormal"/>
      </w:pPr>
    </w:p>
    <w:p w14:paraId="60F0E967" w14:textId="6E787F76" w:rsidR="008D479B" w:rsidRDefault="008D479B" w:rsidP="008D479B">
      <w:pPr>
        <w:pStyle w:val="TextoNormal"/>
      </w:pPr>
      <w:r>
        <w:t>Reitera en tal sentido que ni la Delegación del Gobierno en Madrid ni el Tribunal Superior de Justicia de Madrid fundaron la prohibición de la concentración en razones convincentes e imperativas que se basaran en datos objetivos suficientes derivados de las circunstancias concurrentes en el caso, como exige la doctrina constitucional para limitar o prohibir el ejercicio del derecho de reunión. Por otro lado, entiende que se produjo un agravio comparativo derivado de que en los meses de enero a marzo de 2021 se celebraron en la Comunidad de Madrid numerosas concentraciones y manifestaciones convocadas por distintos colectivos y con diferente objeto, de características similares a las que se convocaron por el colectivo feminista para los días 7 y 8 de marzo, resultando prohibidas únicamente estas, lo que representó una discriminación directa e indirecta carente de motivación y fundamento objetivo, que ha conllevado consecuencias muy gravosas que afectan de manera desproporcionada a las mujeres feministas. Interesa por ello que teniendo por cumplido el trámite del art. 52 LOTC, se dicte una sentencia estimatoria de su recurso de amparo.</w:t>
      </w:r>
    </w:p>
    <w:p w14:paraId="71AE4669" w14:textId="77777777" w:rsidR="008D479B" w:rsidRDefault="008D479B" w:rsidP="008D479B">
      <w:pPr>
        <w:pStyle w:val="TextoNormal"/>
      </w:pPr>
    </w:p>
    <w:p w14:paraId="6AB6ABE0" w14:textId="77777777" w:rsidR="008D479B" w:rsidRDefault="008D479B" w:rsidP="008D479B">
      <w:pPr>
        <w:pStyle w:val="TextoNormal"/>
      </w:pPr>
      <w:r w:rsidRPr="008D479B">
        <w:rPr>
          <w:rStyle w:val="NumeroAFNegritaCaracter"/>
        </w:rPr>
        <w:t>8</w:t>
      </w:r>
      <w:r>
        <w:t>. La fiscal ante este Tribunal Constitucional presentó sus alegaciones en el registro de este tribunal el día 10 de marzo de 2022, mediante las cuales propugna la inadmisión parcial del recurso en cuanto a la vulneración del derecho a la igualdad por razones procesales, y su desestimación respecto de la denuncia de infracción del derecho de reunión, efectuando para ello las siguientes consideraciones:</w:t>
      </w:r>
    </w:p>
    <w:p w14:paraId="1A202A6A" w14:textId="77777777" w:rsidR="008D479B" w:rsidRDefault="008D479B" w:rsidP="008D479B">
      <w:pPr>
        <w:pStyle w:val="TextoNormal"/>
      </w:pPr>
    </w:p>
    <w:p w14:paraId="2B97EF01" w14:textId="77777777" w:rsidR="008D479B" w:rsidRDefault="008D479B" w:rsidP="008D479B">
      <w:pPr>
        <w:pStyle w:val="TextoNormal"/>
      </w:pPr>
      <w:r>
        <w:t>a) En primer lugar, y luego de hacer un resumen de los antecedentes del caso y del contenido de las resoluciones impugnadas, argumenta la fiscal que la cognición limitada del procedimiento judicial elegido por la actora para impugnar la resolución gubernativa, que es el especial de protección jurisdiccional del derecho fundamental de reunión previsto en el art. 122 de la Ley reguladora de la jurisdicción contencioso-administrativa (LJCA), hace incompatible la acumulación de objeto con otros derechos fundamentales, en concreto con el aquí invocado de igualdad y prohibición de la discriminación del art. 14 CE, ello sin perjuicio de que pudiera tutelarse por otras vías como la del procedimiento para la protección de derechos fundamentales de los arts. 114 y siguientes de la misma LJCA. Por tanto no debe examinarse en amparo esta queja.</w:t>
      </w:r>
    </w:p>
    <w:p w14:paraId="1409BDE0" w14:textId="77777777" w:rsidR="008D479B" w:rsidRDefault="008D479B" w:rsidP="008D479B">
      <w:pPr>
        <w:pStyle w:val="TextoNormal"/>
      </w:pPr>
    </w:p>
    <w:p w14:paraId="16509DDC" w14:textId="77777777" w:rsidR="008D479B" w:rsidRDefault="008D479B" w:rsidP="008D479B">
      <w:pPr>
        <w:pStyle w:val="TextoNormal"/>
      </w:pPr>
      <w:r>
        <w:t>b) Seguidamente, ya en cuanto al fondo de la queja de vulneración del derecho de reunión y manifestación, el escrito de alegaciones de la fiscal rechaza la denuncia de la demandante de amparo, que imputa a la resolución del delegado del Gobierno la falta de motivación exigible para restringir el derecho fundamental de reunión del art. 21 CE. Argumenta la fiscal, con previa cita de doctrina constitucional sobre los límites en el ejercicio de este derecho, que la restricción sufrida por la demandante y la plataforma en la que se integra en cuanto a la concentración convocada, se efectúa en la resolución administrativa impugnada con base en razones objetivas, y es proporcionada en cuanto resultaba necesaria para garantizar los derechos a la integridad y salud de las personas.</w:t>
      </w:r>
    </w:p>
    <w:p w14:paraId="71B0778A" w14:textId="77777777" w:rsidR="008D479B" w:rsidRDefault="008D479B" w:rsidP="008D479B">
      <w:pPr>
        <w:pStyle w:val="TextoNormal"/>
      </w:pPr>
    </w:p>
    <w:p w14:paraId="5CC1D7D7" w14:textId="2F4C1F7A" w:rsidR="008D479B" w:rsidRDefault="008D479B" w:rsidP="008D479B">
      <w:pPr>
        <w:pStyle w:val="TextoNormal"/>
      </w:pPr>
      <w:r>
        <w:t>c) Así, tras exponer la argumentación contenida en la sentencia recurrida acerca del cumplimiento por la resolución administrativa de las exigencias de motivación suficiente y juicio de proporcionalidad realizado por la Delegación del Gobierno, y del examen de los informes valorados por el Tribunal Superior de Justicia de Madrid, concluye la fiscal que “en el presente caso la restricción del ejercicio del derecho de reunión tiene una finalidad legítima con cobertura constitucional bastante en los arts. 15 CE (garantía de la integridad física y la vida de las personas) y 43 CE (protección de la salud), que como señala la sentencia recurrida ‘deben prevalecer frente a aquel (derecho fundamental de reunión), justificando su sacrificio, al amparo de lo previsto en el art. 21.2 CE y 11.2 CEDH, en relación con el artículo 10.3 CE, que establece el principio de interpretación de los derechos fundamentales y las libertades públicas que la Constitución reconoce de conformidad con los tratados y acuerdos internacionales sobre las mismas materias ratificadas por España’”.</w:t>
      </w:r>
    </w:p>
    <w:p w14:paraId="064FFE89" w14:textId="77777777" w:rsidR="008D479B" w:rsidRDefault="008D479B" w:rsidP="008D479B">
      <w:pPr>
        <w:pStyle w:val="TextoNormal"/>
      </w:pPr>
    </w:p>
    <w:p w14:paraId="57FCA4B9" w14:textId="77777777" w:rsidR="008D479B" w:rsidRDefault="008D479B" w:rsidP="008D479B">
      <w:pPr>
        <w:pStyle w:val="TextoNormal"/>
      </w:pPr>
      <w:r w:rsidRPr="008D479B">
        <w:rPr>
          <w:rStyle w:val="NumeroAFNegritaCaracter"/>
        </w:rPr>
        <w:t>9</w:t>
      </w:r>
      <w:r>
        <w:t>. La Abogacía del Estado presentó sus alegaciones en el registro de este tribunal el día 14 de marzo de 2022, interesando la desestimación íntegra del recurso.</w:t>
      </w:r>
    </w:p>
    <w:p w14:paraId="778A0C72" w14:textId="77777777" w:rsidR="008D479B" w:rsidRDefault="008D479B" w:rsidP="008D479B">
      <w:pPr>
        <w:pStyle w:val="TextoNormal"/>
      </w:pPr>
    </w:p>
    <w:p w14:paraId="39D18138" w14:textId="77777777" w:rsidR="008D479B" w:rsidRDefault="008D479B" w:rsidP="008D479B">
      <w:pPr>
        <w:pStyle w:val="TextoNormal"/>
      </w:pPr>
      <w:r>
        <w:t>En relación con la invocación del derecho de reunión (art. 21 CE) sostiene, con una amplia referencia al ATC 40/2020, que se ha respetado el principio de proporcionalidad en las resoluciones impugnadas, ya que se ha expuesto de manera motivada la prevalencia de las razones sanitarias concurrentes para prohibir finalmente las concentraciones convocadas, fundado en los informes obrantes en las actuaciones.</w:t>
      </w:r>
    </w:p>
    <w:p w14:paraId="69B20C22" w14:textId="77777777" w:rsidR="008D479B" w:rsidRDefault="008D479B" w:rsidP="008D479B">
      <w:pPr>
        <w:pStyle w:val="TextoNormal"/>
      </w:pPr>
    </w:p>
    <w:p w14:paraId="68311739" w14:textId="09DEE30A" w:rsidR="008D479B" w:rsidRDefault="008D479B" w:rsidP="008D479B">
      <w:pPr>
        <w:pStyle w:val="TextoNormal"/>
      </w:pPr>
      <w:r>
        <w:t>En cuanto a la alegación de discriminación indirecta del colectivo feminista, argumenta que tal cuestión fue debidamente abordada y resuelta en la sentencia impugnada, que desestimó la concurrencia de tal discriminación, con cita de la STC 91/2019, de 3 de julio, FJ 7, porque no se aportó un término válido de comparación que permita vislumbrar que en el presente caso la denegación de la concentración solicitada se haya basado implícitamente en razones distintas de las alegadas razones de salud pública que preocupan a todas los ciudadanos y ciudadanas por igual.</w:t>
      </w:r>
    </w:p>
    <w:p w14:paraId="37E0E922" w14:textId="77777777" w:rsidR="008D479B" w:rsidRDefault="008D479B" w:rsidP="008D479B">
      <w:pPr>
        <w:pStyle w:val="TextoNormal"/>
      </w:pPr>
    </w:p>
    <w:p w14:paraId="5DEFFB29" w14:textId="76F40627" w:rsidR="008D479B" w:rsidRDefault="008D479B" w:rsidP="008D479B">
      <w:pPr>
        <w:pStyle w:val="TextoNormal"/>
      </w:pPr>
      <w:r w:rsidRPr="008D479B">
        <w:rPr>
          <w:rStyle w:val="NumeroAFNegritaCaracter"/>
        </w:rPr>
        <w:t>10</w:t>
      </w:r>
      <w:r>
        <w:t>. La Secretaría de Justicia dictó una diligencia el 15 de marzo de 2022, dejando constancia de haberse recibido los escritos del Ministerio Fiscal, la procuradora de la recurrente y el abogado del Estado, quedando el presente recurso de amparo pendiente para deliberación cuando por turno corresponda.</w:t>
      </w:r>
    </w:p>
    <w:p w14:paraId="452CBAB5" w14:textId="77777777" w:rsidR="008D479B" w:rsidRDefault="008D479B" w:rsidP="008D479B">
      <w:pPr>
        <w:pStyle w:val="TextoNormal"/>
      </w:pPr>
    </w:p>
    <w:p w14:paraId="025FBFC9" w14:textId="2E4D23E3" w:rsidR="008D479B" w:rsidRDefault="008D479B" w:rsidP="008D479B">
      <w:pPr>
        <w:pStyle w:val="TextoNormal"/>
      </w:pPr>
      <w:r w:rsidRPr="008D479B">
        <w:rPr>
          <w:rStyle w:val="NumeroAFNegritaCaracter"/>
        </w:rPr>
        <w:t>11</w:t>
      </w:r>
      <w:r>
        <w:t>. Por providencia de 7 de diciembre de 2023, se señaló para deliberación y votación de la presente sentencia el día 11 del mismo mes y año.</w:t>
      </w:r>
    </w:p>
    <w:p w14:paraId="5B103349" w14:textId="77777777" w:rsidR="008D479B" w:rsidRDefault="008D479B" w:rsidP="008D479B">
      <w:pPr>
        <w:pStyle w:val="TextoNormal"/>
      </w:pPr>
    </w:p>
    <w:p w14:paraId="62A553C8" w14:textId="77777777" w:rsidR="008D479B" w:rsidRDefault="008D479B" w:rsidP="008D479B">
      <w:pPr>
        <w:pStyle w:val="TextoNormalNegritaCentrado"/>
        <w:keepNext/>
      </w:pPr>
      <w:r>
        <w:t>II. Fundamentos jurídicos</w:t>
      </w:r>
    </w:p>
    <w:p w14:paraId="7E0E5D19" w14:textId="081682D1" w:rsidR="008D479B" w:rsidRDefault="008D479B" w:rsidP="008D479B">
      <w:pPr>
        <w:pStyle w:val="TextoNormalNegritaCentrado"/>
        <w:keepNext/>
      </w:pPr>
    </w:p>
    <w:p w14:paraId="5F556398" w14:textId="77777777" w:rsidR="008D479B" w:rsidRDefault="008D479B" w:rsidP="008D479B">
      <w:pPr>
        <w:pStyle w:val="TextoNormal"/>
      </w:pPr>
      <w:r w:rsidRPr="008D479B">
        <w:rPr>
          <w:rStyle w:val="NumeroAFNegritaCaracter"/>
        </w:rPr>
        <w:t>1</w:t>
      </w:r>
      <w:r>
        <w:t xml:space="preserve">. </w:t>
      </w:r>
      <w:r w:rsidRPr="008D479B">
        <w:rPr>
          <w:i/>
        </w:rPr>
        <w:t>Objeto del recurso</w:t>
      </w:r>
      <w:r>
        <w:t xml:space="preserve"> </w:t>
      </w:r>
      <w:r w:rsidRPr="008D479B">
        <w:rPr>
          <w:i/>
        </w:rPr>
        <w:t>y</w:t>
      </w:r>
      <w:r>
        <w:t xml:space="preserve"> </w:t>
      </w:r>
      <w:r w:rsidRPr="008D479B">
        <w:rPr>
          <w:i/>
        </w:rPr>
        <w:t>posición de las partes</w:t>
      </w:r>
    </w:p>
    <w:p w14:paraId="02A66203" w14:textId="77777777" w:rsidR="008D479B" w:rsidRDefault="008D479B" w:rsidP="008D479B">
      <w:pPr>
        <w:pStyle w:val="TextoNormal"/>
      </w:pPr>
    </w:p>
    <w:p w14:paraId="416C3683" w14:textId="77777777" w:rsidR="008D479B" w:rsidRDefault="008D479B" w:rsidP="008D479B">
      <w:pPr>
        <w:pStyle w:val="TextoNormal"/>
      </w:pPr>
      <w:r>
        <w:t>El objeto del presente proceso es dilucidar si ha sido vulnerado el derecho fundamental de reunión y manifestación (art. 21 CE) y el derecho a la igualdad en su vertiente de no discriminación por razón de género (art. 14 CE) de la parte demandante, mediante la resolución de la Delegación del Gobierno en la Comunidad de Madrid, de 3 de marzo de 2021, que prohibió la celebración de la concentración que había convocado para el día 8 de marzo de 2021 la Comisión Feminista 8M-Coordinadora Feminista de Majadahonda, con motivo del día internacional de la mujer, en el parque de Colón de Majadahonda, explanada frente a la calle de Santa Bárbara, de 18:00 a 21:00 horas. Se impugna también la sentencia de 7 de marzo de 2021, de la Sección Décima de la Sala de lo Contencioso-Administrativo del Tribunal Superior de Justicia de Madrid, que confirmó aquella resolución.</w:t>
      </w:r>
    </w:p>
    <w:p w14:paraId="512C0339" w14:textId="77777777" w:rsidR="008D479B" w:rsidRDefault="008D479B" w:rsidP="008D479B">
      <w:pPr>
        <w:pStyle w:val="TextoNormal"/>
      </w:pPr>
    </w:p>
    <w:p w14:paraId="79073706" w14:textId="5F51264C" w:rsidR="008D479B" w:rsidRDefault="008D479B" w:rsidP="008D479B">
      <w:pPr>
        <w:pStyle w:val="TextoNormal"/>
      </w:pPr>
      <w:r>
        <w:t>Con los argumentos que ya se han resumido en los antecedentes, la demandante interesa la estimación de la demanda por entender vulnerados los referidos derechos fundamentales y la consecuente anulación de las resoluciones, administrativa y judicial, impugnadas. Por su parte, también con arreglo a los motivos que se han hecho constar en esta sentencia, la abogacía del Estado interesa la desestimación íntegra de la demanda; mientras, la fiscal ante este tribunal interesa la inadmisión parcial de la demanda en cuanto a la lesión del art. 14 CE, y la desestimación en todo lo demás.</w:t>
      </w:r>
    </w:p>
    <w:p w14:paraId="25CD6BCE" w14:textId="77777777" w:rsidR="008D479B" w:rsidRDefault="008D479B" w:rsidP="008D479B">
      <w:pPr>
        <w:pStyle w:val="TextoNormal"/>
      </w:pPr>
    </w:p>
    <w:p w14:paraId="1CE35101" w14:textId="77777777" w:rsidR="008D479B" w:rsidRDefault="008D479B" w:rsidP="008D479B">
      <w:pPr>
        <w:pStyle w:val="TextoNormal"/>
      </w:pPr>
      <w:r w:rsidRPr="008D479B">
        <w:rPr>
          <w:rStyle w:val="NumeroAFNegritaCaracter"/>
        </w:rPr>
        <w:t>2</w:t>
      </w:r>
      <w:r>
        <w:t xml:space="preserve">. </w:t>
      </w:r>
      <w:r w:rsidRPr="008D479B">
        <w:rPr>
          <w:i/>
        </w:rPr>
        <w:t>Aplicación de la doctrina constitucional expuesta en la STC 164/2023, de 21 de noviembre</w:t>
      </w:r>
    </w:p>
    <w:p w14:paraId="49CDDB53" w14:textId="77777777" w:rsidR="008D479B" w:rsidRDefault="008D479B" w:rsidP="008D479B">
      <w:pPr>
        <w:pStyle w:val="TextoNormal"/>
      </w:pPr>
    </w:p>
    <w:p w14:paraId="0C3FC53A" w14:textId="77777777" w:rsidR="008D479B" w:rsidRDefault="008D479B" w:rsidP="008D479B">
      <w:pPr>
        <w:pStyle w:val="TextoNormal"/>
      </w:pPr>
      <w:r>
        <w:t>La cuestión planteada en este recurso de amparo es coincidente con la resuelta por la STC 164/2023, por lo que debemos remitirnos a sus fundamentos jurídicos 2 y 3, en los que respectivamente expusimos la doctrina constitucional sobre el derecho de reunión y manifestación (art. 21 CE) y procedimos a su aplicación a un supuesto que guarda identidad de razón con el presente, dado que también entonces se trataba de una manifestación prohibida dentro del territorio de la Comunidad de Madrid el día 8 de marzo de 2021, y este tribunal tuvo en cuenta para su decisión las normas relativas a la movilidad de las personas dictadas en aquel momento por la autoridad sanitaria de dicha comunidad autónoma.</w:t>
      </w:r>
    </w:p>
    <w:p w14:paraId="4B983529" w14:textId="77777777" w:rsidR="008D479B" w:rsidRDefault="008D479B" w:rsidP="008D479B">
      <w:pPr>
        <w:pStyle w:val="TextoNormal"/>
      </w:pPr>
    </w:p>
    <w:p w14:paraId="116EAB6E" w14:textId="77777777" w:rsidR="008D479B" w:rsidRDefault="008D479B" w:rsidP="008D479B">
      <w:pPr>
        <w:pStyle w:val="TextoNormal"/>
      </w:pPr>
      <w:r>
        <w:t>En efecto, como en la referida sentencia, también aquí debemos concluir, que la prohibición gubernativa vulneró el art. 21 CE y supuso una restricción desproporcionada del derecho de reunión y manifestación del que era titular la parte demandante y de los miembros de la plataforma ciudadana en la que aquella se integraba, dado que si bien la motivación de la resolución administrativa fue la exigible, y desde la perspectiva del test de proporcionalidad la medida de prohibición cumplió con los atributos de idoneidad (la medida era la más eficaz para obtener el resultado de evitar los contagios) y necesidad (no cabían medidas alternativas menos invasivas del derecho fundamental), sin embargo, por lo que hace a la proporcionalidad en sentido estricto, la prohibición de la concentración comunicada por la recurrente supuso la máxima afectación del derecho fundamental, con un bajo valor de utilidad para el fin de preservar la salud pública, pues concurría ya en aquel momento una realidad muy distinta a la existente durante la vigencia del primer estado de alarma provocado por la pandemia del virus covid-19.</w:t>
      </w:r>
    </w:p>
    <w:p w14:paraId="44C639FC" w14:textId="77777777" w:rsidR="008D479B" w:rsidRDefault="008D479B" w:rsidP="008D479B">
      <w:pPr>
        <w:pStyle w:val="TextoNormal"/>
      </w:pPr>
    </w:p>
    <w:p w14:paraId="44F7F2F9" w14:textId="77777777" w:rsidR="008D479B" w:rsidRDefault="008D479B" w:rsidP="008D479B">
      <w:pPr>
        <w:pStyle w:val="TextoNormal"/>
      </w:pPr>
      <w:r>
        <w:t>El resultado del juicio de proporcionalidad estricta revela como muy escasa la incidencia que la prohibición de la reunión reivindicativa convocada tendría en el riesgo de contagio y, por ello, la poca relevancia que aportaría a la satisfacción del interés general representado por la salud pública, finalidad que justificaba la intervención de la autoridad gubernativa.</w:t>
      </w:r>
    </w:p>
    <w:p w14:paraId="2F468BE8" w14:textId="77777777" w:rsidR="008D479B" w:rsidRDefault="008D479B" w:rsidP="008D479B">
      <w:pPr>
        <w:pStyle w:val="TextoNormal"/>
      </w:pPr>
    </w:p>
    <w:p w14:paraId="256E8D52" w14:textId="77777777" w:rsidR="008D479B" w:rsidRDefault="008D479B" w:rsidP="008D479B">
      <w:pPr>
        <w:pStyle w:val="TextoNormal"/>
      </w:pPr>
      <w:r>
        <w:t>Debe estimarse, en consecuencia, el motivo que denuncia esta lesión y otorgar el amparo solicitado, con nulidad de la resolución de 3 de marzo de 2021 del delegado del Gobierno en la Comunidad de Madrid y de la sentencia que desestimó el recurso interpuesto contra dicha resolución.</w:t>
      </w:r>
    </w:p>
    <w:p w14:paraId="5E7BF66A" w14:textId="77777777" w:rsidR="008D479B" w:rsidRDefault="008D479B" w:rsidP="008D479B">
      <w:pPr>
        <w:pStyle w:val="TextoNormal"/>
      </w:pPr>
    </w:p>
    <w:p w14:paraId="1F78DDDD" w14:textId="54A935D8" w:rsidR="008D479B" w:rsidRDefault="008D479B" w:rsidP="008D479B">
      <w:pPr>
        <w:pStyle w:val="TextoNormal"/>
      </w:pPr>
      <w:r>
        <w:t>Tal conclusión hace innecesario el examen de otras eventuales lesiones de derechos fundamentales aducidas en la demanda y la eventual causa de inadmisión parcial alegada por la fiscal ante este tribunal.</w:t>
      </w:r>
    </w:p>
    <w:p w14:paraId="2366BFA1" w14:textId="77777777" w:rsidR="008D479B" w:rsidRDefault="008D479B" w:rsidP="008D479B">
      <w:pPr>
        <w:pStyle w:val="TextoNormal"/>
      </w:pPr>
    </w:p>
    <w:p w14:paraId="64BB639F" w14:textId="77777777" w:rsidR="008D479B" w:rsidRDefault="008D479B" w:rsidP="008D479B">
      <w:pPr>
        <w:pStyle w:val="TextoNormalCentrado"/>
        <w:keepNext/>
      </w:pPr>
      <w:r>
        <w:t>FALLO</w:t>
      </w:r>
    </w:p>
    <w:p w14:paraId="183160C8" w14:textId="395AA010" w:rsidR="008D479B" w:rsidRDefault="008D479B" w:rsidP="008D479B">
      <w:pPr>
        <w:pStyle w:val="TextoNormalCentrado"/>
        <w:keepNext/>
      </w:pPr>
    </w:p>
    <w:p w14:paraId="00E5D7BF" w14:textId="77777777" w:rsidR="008D479B" w:rsidRDefault="008D479B" w:rsidP="008D479B">
      <w:pPr>
        <w:pStyle w:val="TextoNormal"/>
      </w:pPr>
      <w:r>
        <w:t>En atención a todo lo expuesto, el Tribunal Constitucional, por la autoridad que le confiere la Constitución de la Nación española, ha decidido estimar el recurso de amparo interpuesto por doña Gloria Silvero Salguero, y en su virtud:</w:t>
      </w:r>
    </w:p>
    <w:p w14:paraId="65E167BC" w14:textId="77777777" w:rsidR="008D479B" w:rsidRDefault="008D479B" w:rsidP="008D479B">
      <w:pPr>
        <w:pStyle w:val="TextoNormal"/>
      </w:pPr>
    </w:p>
    <w:p w14:paraId="25E59F75" w14:textId="77777777" w:rsidR="008D479B" w:rsidRDefault="008D479B" w:rsidP="008D479B">
      <w:pPr>
        <w:pStyle w:val="TextoNormal"/>
      </w:pPr>
      <w:r>
        <w:t>1º Declarar que se ha vulnerado su derecho fundamental de reunión y manifestación (art. 21 CE).</w:t>
      </w:r>
    </w:p>
    <w:p w14:paraId="5D00F94F" w14:textId="77777777" w:rsidR="008D479B" w:rsidRDefault="008D479B" w:rsidP="008D479B">
      <w:pPr>
        <w:pStyle w:val="TextoNormal"/>
      </w:pPr>
    </w:p>
    <w:p w14:paraId="10762D99" w14:textId="2D77121B" w:rsidR="008D479B" w:rsidRDefault="008D479B" w:rsidP="008D479B">
      <w:pPr>
        <w:pStyle w:val="TextoNormal"/>
      </w:pPr>
      <w:r>
        <w:t>2º Restablecerle en su derecho y, a tal fin, anular la resolución del delegado del Gobierno en la Comunidad de Madrid de fecha 3 de marzo de 2021, que prohibió la manifestación que la demandante había convocado para el día 8 de marzo de 2021 en Majadahonda, y la sentencia de 7 de marzo de 2021, dictada por la Sección Décima de la Sala de lo Contencioso-Administrativo del Tribunal Superior de Justicia de Madrid recaída en el procedimiento sobre derecho de reunión núm. 279-2021, que desestimó el recurso interpuesto contra la anterior resolución.</w:t>
      </w:r>
    </w:p>
    <w:p w14:paraId="76B59706" w14:textId="77777777" w:rsidR="008D479B" w:rsidRDefault="008D479B" w:rsidP="008D479B">
      <w:pPr>
        <w:pStyle w:val="TextoNormal"/>
      </w:pPr>
    </w:p>
    <w:p w14:paraId="04B0E8D4" w14:textId="77777777" w:rsidR="008D479B" w:rsidRDefault="008D479B" w:rsidP="008D479B">
      <w:pPr>
        <w:pStyle w:val="TextoNormal"/>
      </w:pPr>
      <w:r>
        <w:t>Publíquese esta sentencia en el “Boletín Oficial del Estado”.</w:t>
      </w:r>
    </w:p>
    <w:p w14:paraId="745FA94C" w14:textId="77777777" w:rsidR="008D479B" w:rsidRDefault="008D479B" w:rsidP="008D479B">
      <w:pPr>
        <w:pStyle w:val="TextoNormal"/>
      </w:pPr>
      <w:r>
        <w:t>Dada en Madrid, a once de diciembre de dos mil veintitrés.</w:t>
      </w:r>
    </w:p>
    <w:p w14:paraId="6AD3DB85" w14:textId="11E0B3D5" w:rsidR="008D479B" w:rsidRDefault="008D479B" w:rsidP="008D479B">
      <w:pPr>
        <w:pStyle w:val="ParrafoNormal"/>
      </w:pPr>
    </w:p>
    <w:p w14:paraId="0C6DB1BE" w14:textId="77777777" w:rsidR="008D479B" w:rsidRDefault="008D479B" w:rsidP="008D479B">
      <w:pPr>
        <w:pStyle w:val="TextoNormalNegritaCentrado"/>
        <w:keepNext/>
      </w:pPr>
      <w:r>
        <w:t>Voto particular que formulan el magistrado don Ricardo Enríquez Sancho y la magistrada doña Concepción Espejel Jorquera a la sentencia dictada en el recurso de amparo núm. 2028-2021</w:t>
      </w:r>
    </w:p>
    <w:p w14:paraId="7FEC8676" w14:textId="2FEF5A73" w:rsidR="008D479B" w:rsidRDefault="008D479B" w:rsidP="008D479B">
      <w:pPr>
        <w:pStyle w:val="TextoNormalNegritaCentrado"/>
        <w:keepNext/>
      </w:pPr>
    </w:p>
    <w:p w14:paraId="7A07559B" w14:textId="77777777" w:rsidR="008D479B" w:rsidRDefault="008D479B" w:rsidP="008D479B">
      <w:pPr>
        <w:pStyle w:val="TextoNormal"/>
      </w:pPr>
      <w:r>
        <w:t>En el ejercicio de la facultad que nos confiere el artículo 90.2 de la Ley Orgánica del Tribunal Constitucional, y con el máximo respeto a la opinión de la mayoría, formulamos el presente voto particular concurrente por discrepar de una parte de la fundamentación de la sentencia recaída en el recurso de amparo núm. 2028-2021, que ha conducido a la estimación de la demanda por falta de proporcionalidad en sentido estricto de la medida de prohibición del ejercicio del derecho fundamental de reunión y manifestación (art. 21 CE) de la parte demandante, impugnada en el recurso.</w:t>
      </w:r>
    </w:p>
    <w:p w14:paraId="78A54D95" w14:textId="77777777" w:rsidR="008D479B" w:rsidRDefault="008D479B" w:rsidP="008D479B">
      <w:pPr>
        <w:pStyle w:val="TextoNormal"/>
      </w:pPr>
    </w:p>
    <w:p w14:paraId="2B1464DA" w14:textId="77777777" w:rsidR="008D479B" w:rsidRDefault="008D479B" w:rsidP="008D479B">
      <w:pPr>
        <w:pStyle w:val="TextoNormal"/>
      </w:pPr>
      <w:r>
        <w:t>Las razones de nuestra discrepancia son idénticas a las expresadas en el voto particular que suscribimos, junto con el magistrado don Enrique Arnaldo Alcubilla, a la STC 164/2023, de 21 de noviembre, en la que se resolvió el recurso de amparo cabecera de esta misma serie, por lo que nos remitimos a lo expuesto entonces.</w:t>
      </w:r>
    </w:p>
    <w:p w14:paraId="36859E77" w14:textId="77777777" w:rsidR="008D479B" w:rsidRDefault="008D479B" w:rsidP="008D479B">
      <w:pPr>
        <w:pStyle w:val="TextoNormal"/>
      </w:pPr>
    </w:p>
    <w:p w14:paraId="55F290EC" w14:textId="77777777" w:rsidR="008D479B" w:rsidRDefault="008D479B" w:rsidP="008D479B">
      <w:pPr>
        <w:pStyle w:val="TextoNormal"/>
      </w:pPr>
      <w:r>
        <w:t>Y en tal sentido emitimos nuestro voto particular concurrente al presente recurso.</w:t>
      </w:r>
    </w:p>
    <w:p w14:paraId="2548D06B" w14:textId="77777777" w:rsidR="008D479B" w:rsidRDefault="008D479B" w:rsidP="008D479B">
      <w:pPr>
        <w:pStyle w:val="TextoNormal"/>
      </w:pPr>
    </w:p>
    <w:p w14:paraId="748F30F1" w14:textId="73F9584A" w:rsidR="008D479B" w:rsidRDefault="008D479B" w:rsidP="008D479B">
      <w:pPr>
        <w:pStyle w:val="TextoNormal"/>
      </w:pPr>
      <w:r>
        <w:t>Madrid, a once de diciembre de dos mil veintitrés.</w:t>
      </w:r>
    </w:p>
    <w:p w14:paraId="512125F3" w14:textId="77777777" w:rsidR="008D479B" w:rsidRDefault="008D479B" w:rsidP="008D479B">
      <w:pPr>
        <w:pStyle w:val="TextoNormal"/>
      </w:pPr>
    </w:p>
    <w:p w14:paraId="328BEEF5" w14:textId="77777777" w:rsidR="008D479B" w:rsidRDefault="008D479B" w:rsidP="008D479B">
      <w:pPr>
        <w:pStyle w:val="TextoNormalNegritaCentrado"/>
        <w:keepNext/>
      </w:pPr>
      <w:r>
        <w:t>Voto particular que formula la magistrada doña María Luisa Segoviano Astaburuaga respecto de la sentencia pronunciada en el recurso de amparo núm. 2028-2021</w:t>
      </w:r>
    </w:p>
    <w:p w14:paraId="112CBFAC" w14:textId="7CC1D16B" w:rsidR="008D479B" w:rsidRDefault="008D479B" w:rsidP="008D479B">
      <w:pPr>
        <w:pStyle w:val="TextoNormalNegritaCentrado"/>
        <w:keepNext/>
      </w:pPr>
    </w:p>
    <w:p w14:paraId="049EAAE6" w14:textId="77777777" w:rsidR="008D479B" w:rsidRDefault="008D479B" w:rsidP="008D479B">
      <w:pPr>
        <w:pStyle w:val="TextoNormal"/>
      </w:pPr>
      <w:r>
        <w:t>Con el máximo respeto a los magistrados y magistradas del Tribunal, debo reiterar, en coherencia con mi adhesión al voto particular formulado por la magistrada doña Laura Díez Bueso a la STC 164/2023, de 21 de noviembre, mi discrepancia, por las razones allí expuestas, con la estimación del recurso por vulneración del derecho fundamental de reunión y manifestación (art. 21 CE).</w:t>
      </w:r>
    </w:p>
    <w:p w14:paraId="1623B805" w14:textId="77777777" w:rsidR="008D479B" w:rsidRDefault="008D479B" w:rsidP="008D479B">
      <w:pPr>
        <w:pStyle w:val="TextoNormal"/>
      </w:pPr>
    </w:p>
    <w:p w14:paraId="312F1C6D" w14:textId="73575973" w:rsidR="008D479B" w:rsidRDefault="008D479B" w:rsidP="008D479B">
      <w:pPr>
        <w:pStyle w:val="TextoNormal"/>
      </w:pPr>
      <w:r>
        <w:t>Madrid, a once de diciembre de dos mil veintitrés.</w:t>
      </w:r>
    </w:p>
    <w:p w14:paraId="26BC5756" w14:textId="38ED916E" w:rsidR="008D479B" w:rsidRDefault="008D479B">
      <w:pPr>
        <w:spacing w:after="160" w:line="278" w:lineRule="auto"/>
        <w:rPr>
          <w:rFonts w:ascii="Times New Roman" w:eastAsia="Times New Roman" w:hAnsi="Times New Roman" w:cs="Times New Roman"/>
          <w:sz w:val="24"/>
          <w:szCs w:val="24"/>
          <w:lang w:eastAsia="es-ES"/>
        </w:rPr>
      </w:pPr>
      <w:r>
        <w:br w:type="page"/>
      </w:r>
    </w:p>
    <w:p w14:paraId="25C4F16C" w14:textId="77777777" w:rsidR="008D479B" w:rsidRDefault="008D479B" w:rsidP="008D479B">
      <w:pPr>
        <w:pStyle w:val="TtuloResolucin"/>
      </w:pPr>
      <w:bookmarkStart w:id="101" w:name="SENTENCIA_2023_176"/>
      <w:r>
        <w:t>SENTENCIA 176/2023, de 11 de diciembre de 2023</w:t>
      </w:r>
    </w:p>
    <w:bookmarkEnd w:id="101"/>
    <w:p w14:paraId="1371A14C" w14:textId="77777777" w:rsidR="008D479B" w:rsidRDefault="008D479B" w:rsidP="008D479B">
      <w:pPr>
        <w:pStyle w:val="TtuloResolucin"/>
      </w:pPr>
      <w:r>
        <w:t>Sala Primera</w:t>
      </w:r>
    </w:p>
    <w:p w14:paraId="00E81B32" w14:textId="77777777" w:rsidR="008D479B" w:rsidRDefault="008D479B" w:rsidP="008D479B">
      <w:pPr>
        <w:pStyle w:val="TtuloBOE"/>
      </w:pPr>
      <w:r>
        <w:t>(BOE núm. 16, de 18 de enero de 2024)</w:t>
      </w:r>
    </w:p>
    <w:p w14:paraId="3E55C2D4" w14:textId="77777777" w:rsidR="008D479B" w:rsidRDefault="008D479B" w:rsidP="008D479B">
      <w:pPr>
        <w:pStyle w:val="TextoNormalCentrado"/>
      </w:pPr>
      <w:r>
        <w:t>ECLI:ES:TC:2023:176</w:t>
      </w:r>
    </w:p>
    <w:p w14:paraId="0A362915" w14:textId="16E3DB03" w:rsidR="008D479B" w:rsidRDefault="008D479B" w:rsidP="008D479B">
      <w:pPr>
        <w:pStyle w:val="TextoNormalCentrado"/>
      </w:pPr>
    </w:p>
    <w:p w14:paraId="6FB5EF00" w14:textId="77777777" w:rsidR="008D479B" w:rsidRDefault="008D479B" w:rsidP="008D479B">
      <w:pPr>
        <w:pStyle w:val="SntesisDescriptiva"/>
      </w:pPr>
      <w:r>
        <w:t>Recurso de amparo 2029-2021. Promovido por doña Irene Moreno Catalán en relación con la sentencia dictada por la Sala de lo Contencioso-Administrativo del Tribunal Superior de Justicia de Madrid que desestimó su demanda frente a la resolución del delegado del Gobierno en Madrid prohibiendo la concentración convocada para el día 8 de marzo de 2021.</w:t>
      </w:r>
    </w:p>
    <w:p w14:paraId="61B46AE0" w14:textId="5F7D947A" w:rsidR="008D479B" w:rsidRDefault="008D479B" w:rsidP="008D479B">
      <w:pPr>
        <w:pStyle w:val="SntesisDescriptiva"/>
      </w:pPr>
    </w:p>
    <w:p w14:paraId="2225BF09" w14:textId="77777777" w:rsidR="008D479B" w:rsidRDefault="008D479B" w:rsidP="008D479B">
      <w:pPr>
        <w:pStyle w:val="SntesisAnaltica"/>
      </w:pPr>
      <w:r>
        <w:t>Vulneración del derecho de reunión y manifestación: STC 164/2023 (prohibición injustificada y desproporcionada de la convocatoria de concentración al aire libre, con número limitado de asistentes y garantizando el uso de mascarillas y el mantenimiento de una distancia interpersonal de seguridad). Votos particulares.</w:t>
      </w:r>
    </w:p>
    <w:p w14:paraId="5CBB7846" w14:textId="2C610C68" w:rsidR="008D479B" w:rsidRDefault="008D479B" w:rsidP="008D479B">
      <w:pPr>
        <w:pStyle w:val="SntesisAnaltica"/>
      </w:pPr>
    </w:p>
    <w:p w14:paraId="18533856" w14:textId="4BA4ED4B" w:rsidR="008D479B" w:rsidRDefault="008D479B" w:rsidP="008D479B">
      <w:pPr>
        <w:pStyle w:val="Extracto"/>
      </w:pPr>
      <w:r>
        <w:t>1.</w:t>
      </w:r>
      <w:r>
        <w:tab/>
        <w:t>Se aplica la doctrina relativa al derecho de reunión y manifestación en relación con la proporcionalidad debida de las medidas limitativas de su ejercicio  (STC 164/2023) [FJ único].</w:t>
      </w:r>
    </w:p>
    <w:p w14:paraId="17640D94" w14:textId="77777777" w:rsidR="008D479B" w:rsidRDefault="008D479B" w:rsidP="008D479B">
      <w:pPr>
        <w:pStyle w:val="Extracto"/>
      </w:pPr>
    </w:p>
    <w:p w14:paraId="2B445AB3" w14:textId="77777777" w:rsidR="008D479B" w:rsidRDefault="008D479B" w:rsidP="008D479B">
      <w:pPr>
        <w:pStyle w:val="Extracto"/>
      </w:pPr>
    </w:p>
    <w:p w14:paraId="4C501F92" w14:textId="77777777" w:rsidR="008D479B" w:rsidRDefault="008D479B" w:rsidP="008D479B">
      <w:pPr>
        <w:pStyle w:val="TextoNormal"/>
      </w:pPr>
      <w:r>
        <w:t>La Sala Primera del Tribunal Constitucional, compuesta por el magistrado don Cándido Conde-Pumpido Tourón, presidente, y los magistrados y magistradas don Ricardo Enríquez Sancho, doña Concepción Espejel Jorquera, doña María Luisa Segoviano Astaburuaga y don Juan Carlos Campo Moreno, ha pronunciado</w:t>
      </w:r>
    </w:p>
    <w:p w14:paraId="69D0B097" w14:textId="4E3B198D" w:rsidR="008D479B" w:rsidRDefault="008D479B" w:rsidP="008D479B">
      <w:pPr>
        <w:pStyle w:val="TextoNormal"/>
      </w:pPr>
    </w:p>
    <w:p w14:paraId="44BDE5AB" w14:textId="77777777" w:rsidR="008D479B" w:rsidRDefault="008D479B" w:rsidP="008D479B">
      <w:pPr>
        <w:pStyle w:val="TextoNormalCentrado"/>
        <w:keepNext/>
      </w:pPr>
      <w:r>
        <w:t>EN NOMBRE DEL REY</w:t>
      </w:r>
    </w:p>
    <w:p w14:paraId="3E7C8CB1" w14:textId="4B2E27E9" w:rsidR="008D479B" w:rsidRDefault="008D479B" w:rsidP="008D479B">
      <w:pPr>
        <w:pStyle w:val="TextoNormalCentrado"/>
        <w:keepNext/>
      </w:pPr>
    </w:p>
    <w:p w14:paraId="3A2169F8" w14:textId="77777777" w:rsidR="008D479B" w:rsidRDefault="008D479B" w:rsidP="008D479B">
      <w:pPr>
        <w:pStyle w:val="TextoNormalCentrado"/>
        <w:keepNext/>
      </w:pPr>
    </w:p>
    <w:p w14:paraId="288B1E51" w14:textId="77777777" w:rsidR="008D479B" w:rsidRDefault="008D479B" w:rsidP="008D479B">
      <w:pPr>
        <w:pStyle w:val="TextoNormal"/>
      </w:pPr>
      <w:r>
        <w:t>la siguiente</w:t>
      </w:r>
    </w:p>
    <w:p w14:paraId="229F8A28" w14:textId="5D83E8E9" w:rsidR="008D479B" w:rsidRDefault="008D479B" w:rsidP="008D479B">
      <w:pPr>
        <w:pStyle w:val="TextoNormal"/>
      </w:pPr>
    </w:p>
    <w:p w14:paraId="55245905" w14:textId="77777777" w:rsidR="008D479B" w:rsidRDefault="008D479B" w:rsidP="008D479B">
      <w:pPr>
        <w:pStyle w:val="TextoNormalCentrado"/>
        <w:keepNext/>
      </w:pPr>
      <w:r>
        <w:t>SENTENCIA</w:t>
      </w:r>
    </w:p>
    <w:p w14:paraId="4E80BA5B" w14:textId="3B7A127F" w:rsidR="008D479B" w:rsidRDefault="008D479B" w:rsidP="008D479B">
      <w:pPr>
        <w:pStyle w:val="TextoNormalCentrado"/>
        <w:keepNext/>
      </w:pPr>
    </w:p>
    <w:p w14:paraId="0A70799A" w14:textId="77777777" w:rsidR="008D479B" w:rsidRDefault="008D479B" w:rsidP="008D479B">
      <w:pPr>
        <w:pStyle w:val="TextoNormal"/>
      </w:pPr>
      <w:r>
        <w:t>En el recurso de amparo núm. 2029-2021, promovido por doña Irene Moreno Catalán contra la sentencia de 7 de marzo de 2021 de la Sección Décima de la Sala de lo Contencioso-Administrativo del Tribunal Superior de Justicia de Madrid, recaída en el procedimiento sobre derecho de reunión núm. 281-2021, por la que se desestimó el recurso interpuesto contra la resolución de 3 de marzo de 2021 dictada por el delegado del Gobierno en la Comunidad de Madrid en el expediente núm. 346-2021, por la que se acordó la prohibición de la concentración convocada para el día 8 de marzo de 2021. Ha sido parte el abogado del Estado. Ha intervenido el Ministerio Fiscal. Ha sido ponente el presidente don Cándido Conde-Pumpido Tourón.</w:t>
      </w:r>
    </w:p>
    <w:p w14:paraId="01DC82CC" w14:textId="0C35E3CA" w:rsidR="008D479B" w:rsidRDefault="008D479B" w:rsidP="008D479B">
      <w:pPr>
        <w:pStyle w:val="TextoNormal"/>
      </w:pPr>
    </w:p>
    <w:p w14:paraId="00168721" w14:textId="77777777" w:rsidR="008D479B" w:rsidRDefault="008D479B" w:rsidP="008D479B">
      <w:pPr>
        <w:pStyle w:val="TextoNormalNegritaCentrado"/>
        <w:keepNext/>
      </w:pPr>
      <w:r>
        <w:t>I. Antecedentes</w:t>
      </w:r>
    </w:p>
    <w:p w14:paraId="4CFE3F9C" w14:textId="50DB1737" w:rsidR="008D479B" w:rsidRDefault="008D479B" w:rsidP="008D479B">
      <w:pPr>
        <w:pStyle w:val="TextoNormalNegritaCentrado"/>
        <w:keepNext/>
      </w:pPr>
    </w:p>
    <w:p w14:paraId="4E232D0D" w14:textId="0711F1F2" w:rsidR="008D479B" w:rsidRDefault="008D479B" w:rsidP="008D479B">
      <w:pPr>
        <w:pStyle w:val="TextoNormal"/>
      </w:pPr>
      <w:r w:rsidRPr="008D479B">
        <w:rPr>
          <w:rStyle w:val="NumeroAFNegritaCaracter"/>
        </w:rPr>
        <w:t>1</w:t>
      </w:r>
      <w:r>
        <w:t>. Doña Irene Moreno Catalán representada por la procuradora de los tribunales doña Virginia Sánchez de León Herencia, bajo la dirección de la letrada doña Sol Román Aguirre de Cárcer, interpuso recurso de amparo contra las resoluciones mencionadas en el encabezamiento de esta sentencia mediante escrito registrado en este tribunal el 7 de abril de 2021.</w:t>
      </w:r>
    </w:p>
    <w:p w14:paraId="61C20A38" w14:textId="77777777" w:rsidR="008D479B" w:rsidRDefault="008D479B" w:rsidP="008D479B">
      <w:pPr>
        <w:pStyle w:val="TextoNormal"/>
      </w:pPr>
    </w:p>
    <w:p w14:paraId="18135BC5" w14:textId="77777777" w:rsidR="008D479B" w:rsidRDefault="008D479B" w:rsidP="008D479B">
      <w:pPr>
        <w:pStyle w:val="TextoNormal"/>
      </w:pPr>
      <w:r w:rsidRPr="008D479B">
        <w:rPr>
          <w:rStyle w:val="NumeroAFNegritaCaracter"/>
        </w:rPr>
        <w:t>2</w:t>
      </w:r>
      <w:r>
        <w:t>. El recurso tiene su origen en los siguientes antecedentes:</w:t>
      </w:r>
    </w:p>
    <w:p w14:paraId="557311B3" w14:textId="77777777" w:rsidR="008D479B" w:rsidRDefault="008D479B" w:rsidP="008D479B">
      <w:pPr>
        <w:pStyle w:val="TextoNormal"/>
      </w:pPr>
    </w:p>
    <w:p w14:paraId="676F1200" w14:textId="77777777" w:rsidR="008D479B" w:rsidRDefault="008D479B" w:rsidP="008D479B">
      <w:pPr>
        <w:pStyle w:val="TextoNormal"/>
      </w:pPr>
      <w:r>
        <w:t>a) Por escrito de fecha 25 de febrero de 2021, la demandante, en nombre del colectivo 8M Vallekas comunicó a la Delegación del Gobierno en la Comunidad de Madrid la realización de una concentración en la plaza del Instituto de Enseñanza Secundaria Vallecas I, situada entre la avenida de la Albufera y la calle Puerto del Monasterio de Madrid, el día 8 de marzo de 2021, entre las 12:00 y las 14:00 horas, previendo una participación de cien personas y siendo su objeto “la visibilización de las mujeres artistas”; se aseguraba que la organización convocante garantizaría, por medio de personas identificables, el mantenimiento de una distancia de seguridad de entre 1,5 y 2 metros entre cada participante y el uso obligatorio de mascarilla.</w:t>
      </w:r>
    </w:p>
    <w:p w14:paraId="7D3C2D60" w14:textId="77777777" w:rsidR="008D479B" w:rsidRDefault="008D479B" w:rsidP="008D479B">
      <w:pPr>
        <w:pStyle w:val="TextoNormal"/>
      </w:pPr>
    </w:p>
    <w:p w14:paraId="25E55F9D" w14:textId="77777777" w:rsidR="008D479B" w:rsidRDefault="008D479B" w:rsidP="008D479B">
      <w:pPr>
        <w:pStyle w:val="TextoNormal"/>
      </w:pPr>
      <w:r>
        <w:t>b) Por medio de resolución de 3 de marzo de 2021 dictada en el expediente núm. 346-2021, el delegado del Gobierno en la Comunidad de Madrid acordó prohibir la celebración de dicha concentración por razones de salud pública. A tal efecto, en el fundamento de derecho undécimo de la resolución se recoge, a modo de conclusión, el sustento en que se basa la prohibición acordada, señalando que “[t]eniendo en cuenta la intencionalidad de los colectivos convocantes, de ejercer su derecho a manifestarse en las calles (es el único formato de reivindicación recibido), buscando un gran número de reuniones en diferentes lugares y teniendo en cuenta las circunstancias epidemiológicas actuales (niveles altos de incidencia y la aparición de nuevas cepas de covid), así como los informes que vienen emitiendo las autoridades sanitarias, la celebración de estas concentraciones eleva el riesgo de contagios de una manera exponencial”.</w:t>
      </w:r>
    </w:p>
    <w:p w14:paraId="566CDF38" w14:textId="77777777" w:rsidR="008D479B" w:rsidRDefault="008D479B" w:rsidP="008D479B">
      <w:pPr>
        <w:pStyle w:val="TextoNormal"/>
      </w:pPr>
    </w:p>
    <w:p w14:paraId="0FA29788" w14:textId="77777777" w:rsidR="008D479B" w:rsidRDefault="008D479B" w:rsidP="008D479B">
      <w:pPr>
        <w:pStyle w:val="TextoNormal"/>
      </w:pPr>
      <w:r>
        <w:t>c) La demandante interpuso recurso contencioso-administrativo contra la anterior resolución ante el Tribunal Superior de Justicia de Madrid, con invocación de los derechos fundamentales de reunión (art. 21 CE) y a la igualdad en su vertiente de prohibición de la discriminación por razón de género (art. 14 CE).</w:t>
      </w:r>
    </w:p>
    <w:p w14:paraId="58937FAB" w14:textId="77777777" w:rsidR="008D479B" w:rsidRDefault="008D479B" w:rsidP="008D479B">
      <w:pPr>
        <w:pStyle w:val="TextoNormal"/>
      </w:pPr>
    </w:p>
    <w:p w14:paraId="6214BF9F" w14:textId="77777777" w:rsidR="008D479B" w:rsidRDefault="008D479B" w:rsidP="008D479B">
      <w:pPr>
        <w:pStyle w:val="TextoNormal"/>
      </w:pPr>
      <w:r>
        <w:t>d) El recurso fue conocido por la Sección Décima de la Sala de lo Contencioso-Administrativo del Tribunal Superior de Justicia de Madrid que dictó sentencia desestimatoria el 7 de marzo de 2021.</w:t>
      </w:r>
    </w:p>
    <w:p w14:paraId="3EADE764" w14:textId="77777777" w:rsidR="008D479B" w:rsidRDefault="008D479B" w:rsidP="008D479B">
      <w:pPr>
        <w:pStyle w:val="TextoNormal"/>
      </w:pPr>
    </w:p>
    <w:p w14:paraId="6579BC2A" w14:textId="77777777" w:rsidR="008D479B" w:rsidRDefault="008D479B" w:rsidP="008D479B">
      <w:pPr>
        <w:pStyle w:val="TextoNormal"/>
      </w:pPr>
      <w:r>
        <w:t>La sentencia, tras analizar el contenido del escrito de comunicación que presentaron las entidades recurrentes, de la resolución administrativa impugnada, así como de los distintos informes que fueron incorporados a las actuaciones judiciales, y efectuar una detallada exposición de la doctrina de este tribunal y del Tribunal Europeo de Derechos Humanos sobre el ejercicio del derecho de reunión y sobre los límites de este —deteniéndose de modo especial en el ATC 40/2020, de 30 de abril— termina razonando que “la prohibición de la concentración comunicada es: (i) susceptible de conseguir el objetivo propuesto, en este caso, la protección de la salud pública y de los ciudadanos en un escenario de pandemia internacional que implica un grave riesgo para la vida de las personas; (ii) necesaria por no existir otra medida más moderada para la consecución de tal propósito con igual eficacia, atendidas las condiciones tan genéricas y amplias en que se proyectó el desarrollo de la concentración y posterior manifestación; y (iii) proporcionada en sentido estricto, es decir, ponderada o equilibrada por derivarse de ella más beneficios o ventajas para el interés general que protege que perjuicios sobre el derecho de reunión de los manifestantes”; concluyendo, a la vista de las anteriores consideraciones, en el otorgamiento de prevalencia sobre el ejercicio del derecho de reunión a bienes y valores constitucionales como la salud pública y, más concretamente, la salud, la integridad física y la vida de las personas (arts. 15 y 43 CE).</w:t>
      </w:r>
    </w:p>
    <w:p w14:paraId="1C1F7883" w14:textId="77777777" w:rsidR="008D479B" w:rsidRDefault="008D479B" w:rsidP="008D479B">
      <w:pPr>
        <w:pStyle w:val="TextoNormal"/>
      </w:pPr>
    </w:p>
    <w:p w14:paraId="0987C34E" w14:textId="5E46B562" w:rsidR="008D479B" w:rsidRDefault="008D479B" w:rsidP="008D479B">
      <w:pPr>
        <w:pStyle w:val="TextoNormal"/>
      </w:pPr>
      <w:r>
        <w:t>Por otro lado, la sentencia desestima que la resolución gubernativa haya representado una forma de discriminación por razón de género, para lo que cita doctrina constitucional —STC 3/2007, de 15 de enero, y otras— expositiva de la noción de discriminación indirecta por razón de sexo, a partir de las formulaciones del Derecho comunitario originario y derivado y su jurisprudencia interpretativa, en el ámbito laboral, que la conciben como la aplicación de una medida que, siendo aparentemente neutra, perjudica en un porcentaje claramente superior a los miembros de un sexo que de otro, salvo que se trate de una medida objetivamente justificada por responder adecuada y necesariamente a una finalidad legítima, planteamiento que el tribunal entiende no es trasladable al presente caso, en que la medida restrictiva se funda en razones de salud pública que la parte recurrente no ha desvirtuado, sin haberse aportado, por lo demás, un término válido de comparación que permita vislumbrar la existencia de razones implícitas distintas de las razones de salud pública que importan por igual a los ciudadanos y a las ciudadanas.</w:t>
      </w:r>
    </w:p>
    <w:p w14:paraId="2DC80F1E" w14:textId="77777777" w:rsidR="008D479B" w:rsidRDefault="008D479B" w:rsidP="008D479B">
      <w:pPr>
        <w:pStyle w:val="TextoNormal"/>
      </w:pPr>
    </w:p>
    <w:p w14:paraId="1CA862D4" w14:textId="77777777" w:rsidR="008D479B" w:rsidRDefault="008D479B" w:rsidP="008D479B">
      <w:pPr>
        <w:pStyle w:val="TextoNormal"/>
      </w:pPr>
      <w:r w:rsidRPr="008D479B">
        <w:rPr>
          <w:rStyle w:val="NumeroAFNegritaCaracter"/>
        </w:rPr>
        <w:t>3</w:t>
      </w:r>
      <w:r>
        <w:t>. La demanda de amparo, tras efectuar un sintético relato de los hechos que le sirven de fundamento, alega la vulneración de los siguientes derechos fundamentales:</w:t>
      </w:r>
    </w:p>
    <w:p w14:paraId="047AC85E" w14:textId="77777777" w:rsidR="008D479B" w:rsidRDefault="008D479B" w:rsidP="008D479B">
      <w:pPr>
        <w:pStyle w:val="TextoNormal"/>
      </w:pPr>
    </w:p>
    <w:p w14:paraId="597F596E" w14:textId="77777777" w:rsidR="008D479B" w:rsidRDefault="008D479B" w:rsidP="008D479B">
      <w:pPr>
        <w:pStyle w:val="TextoNormal"/>
      </w:pPr>
      <w:r>
        <w:t>a) El derecho de reunión garantizado en los arts. 21 CE y 11 del Convenio europeo de derechos humanos (CEDH), sosteniendo que la resolución del delegado del Gobierno es arbitraria porque prohíbe la concentración sin disponer todavía del informe de la Consejería de Sanidad de la Comunidad de Madrid. Por su parte, considera que la sentencia del Tribunal Superior de Justicia de Madrid hace una valoración errónea de dicho informe, una vez emitido, pues en el mismo se aconsejaba limitar el número de concentraciones y la adopción de medidas de seguridad, condiciones que cumplía la concentración convocada, que no iba a coincidir en el tiempo y en el espacio con ninguna otra. Razona que el tribunal se ha fundado en elementos inconcluyentes: un informe de la Jefatura Superior de Policía de Madrid que plantea meras hipótesis (que la concentración coincida con otras, que los participantes se nieguen a seguir las medidas de seguridad) sin ofrecer datos contrastables; un informe de la directora general de Salud Pública que se refiere a una concentración distinta; unos documentos aportados por el abogado del Estado y finalmente un artículo suscrito por varias sociedades científicas que desaconsejaba la celebración de grandes movilizaciones, como las que habían tenido lugar en años anteriores, pero de características completamente distintas a la convocada. Ninguno de estos argumentos, argumenta, es capaz de proporcionar las razones convincentes e imperativas y los datos objetivos suficientes derivados de las circunstancias concretas de cada caso que demanda la doctrina constitucional para que pueda entenderse justificada la restricción del derecho de reunión. Tampoco se verificó adecuadamente el juicio de proporcionalidad porque la prohibición de la concentración no era una medida adecuada para conseguir el objetivo propuesto, la protección de la salud pública, en el contexto social en el que se adoptó, caracterizado por la total normalidad en que se desarrollaba la vida cotidiana madrileña: bares y terrazas abiertas, concurrencia de numerosas personas en espacios cerrados y sin garantizar la distancia de seguridad de 1,5 metros como en el transporte público, obras de teatro y cine.</w:t>
      </w:r>
    </w:p>
    <w:p w14:paraId="027EF0FD" w14:textId="77777777" w:rsidR="008D479B" w:rsidRDefault="008D479B" w:rsidP="008D479B">
      <w:pPr>
        <w:pStyle w:val="TextoNormal"/>
      </w:pPr>
    </w:p>
    <w:p w14:paraId="10E17B54" w14:textId="77777777" w:rsidR="008D479B" w:rsidRDefault="008D479B" w:rsidP="008D479B">
      <w:pPr>
        <w:pStyle w:val="TextoNormal"/>
      </w:pPr>
      <w:r>
        <w:t>b) En segundo término, el derecho a la igualdad y la no discriminación del art. 14 CE, manifestando que el hecho de que se prohibieran todas las convocatorias feministas de los días 7 y 8 de marzo de 2021, cuando en la Comunidad de Madrid se venían celebrando desde el mes de enero del mismo año concentraciones y manifestaciones convocadas por otros colectivos, revela que las mujeres feministas han sufrido discriminación directa e indirecta, pues han recibido un trato desigual sin que se les ofreciera una justificación objetiva y razonable, tal y como exige la doctrina constitucional para que la desigualdad de trato sea legítima, y se han visto sujetas a una prohibición por razones de salud pública que les ha afectado de manera desproporcionada en el ejercicio de sus derechos fundamentales a la libertad de expresión y de manifestación respecto del resto de los colectivos, a los que en el mismo contexto social y sanitario de pandemia no se les ha impedido ejercer estos derechos.</w:t>
      </w:r>
    </w:p>
    <w:p w14:paraId="309B4AC2" w14:textId="77777777" w:rsidR="008D479B" w:rsidRDefault="008D479B" w:rsidP="008D479B">
      <w:pPr>
        <w:pStyle w:val="TextoNormal"/>
      </w:pPr>
    </w:p>
    <w:p w14:paraId="5481E893" w14:textId="2D4A24F9" w:rsidR="008D479B" w:rsidRDefault="008D479B" w:rsidP="008D479B">
      <w:pPr>
        <w:pStyle w:val="TextoNormal"/>
      </w:pPr>
      <w:r>
        <w:t>c) En apartado separado, la demanda justifica la especial trascendencia constitucional del recurso afirmando que “[e]xisten resoluciones judiciales contradictorias sobre el análisis, criterios y ponderación que respecto de los derechos fundamentales en juego realizan los órganos jurisdiccionales; ya sea interpretando de manera distinta la doctrina constitucional, ya sea aplicándola en unos casos y desconociéndola en otros, lo que determina la necesidad de que por parte de este Alto Tribunal se resuelva con un pronunciamiento claro sobre dicha cuestión.” Igualmente, considera que “[n]o existe pronunciamiento por parte de este Alto Tribunal sobre la problemática que se plantea respecto de la posible vulneración del derecho fundamental a la igualdad en su vertiente de principio de no discriminación, al prohibirse el ejercicio del derecho de reunión el día 8 de marzo, frente a otras convocatorias de otros colectivos que no se ven prohibidas ni limitadas pese a concurrir circunstancias cuando menos equivalentes”.</w:t>
      </w:r>
    </w:p>
    <w:p w14:paraId="22C054C9" w14:textId="77777777" w:rsidR="008D479B" w:rsidRDefault="008D479B" w:rsidP="008D479B">
      <w:pPr>
        <w:pStyle w:val="TextoNormal"/>
      </w:pPr>
    </w:p>
    <w:p w14:paraId="4BE340E5" w14:textId="77777777" w:rsidR="008D479B" w:rsidRDefault="008D479B" w:rsidP="008D479B">
      <w:pPr>
        <w:pStyle w:val="TextoNormal"/>
      </w:pPr>
      <w:r w:rsidRPr="008D479B">
        <w:rPr>
          <w:rStyle w:val="NumeroAFNegritaCaracter"/>
        </w:rPr>
        <w:t>4</w:t>
      </w:r>
      <w:r>
        <w:t>. Por providencia de la Sección Tercera de este tribunal de 22 de marzo de 2022, se acordó la admisión a trámite del recurso, apreciando “que concurre en el mismo una especial trascendencia constitucional [art. 50.1 de la Ley Orgánica del Tribunal Constitucional (LOTC)] porque el asunto suscitado trasciende del caso concreto porque plantea una cuestión jurídica de relevante y general repercusión social o económica [STC 155/2009, de 25 de junio, FJ 2 g)]”.</w:t>
      </w:r>
    </w:p>
    <w:p w14:paraId="1A845DF2" w14:textId="77777777" w:rsidR="008D479B" w:rsidRDefault="008D479B" w:rsidP="008D479B">
      <w:pPr>
        <w:pStyle w:val="TextoNormal"/>
      </w:pPr>
    </w:p>
    <w:p w14:paraId="0F0DA41F" w14:textId="1E5DB89C" w:rsidR="008D479B" w:rsidRDefault="008D479B" w:rsidP="008D479B">
      <w:pPr>
        <w:pStyle w:val="TextoNormal"/>
      </w:pPr>
      <w:r>
        <w:t>En la misma resolución también se acordó dirigir atenta comunicación a la Sección Décima de la Sala de lo Contencioso-Administrativo del Tribunal Superior de Justicia de Madrid, a fin de que remitiera certificación o fotocopia adverada de las actuaciones y emplazara a quienes hubieran intervenido en el procedimiento para que comparecieran en estas actuaciones, si así lo desearan, excepto la parte recurrente en amparo.</w:t>
      </w:r>
    </w:p>
    <w:p w14:paraId="3E90B5A6" w14:textId="77777777" w:rsidR="008D479B" w:rsidRDefault="008D479B" w:rsidP="008D479B">
      <w:pPr>
        <w:pStyle w:val="TextoNormal"/>
      </w:pPr>
    </w:p>
    <w:p w14:paraId="1BF45401" w14:textId="77777777" w:rsidR="008D479B" w:rsidRDefault="008D479B" w:rsidP="008D479B">
      <w:pPr>
        <w:pStyle w:val="TextoNormal"/>
      </w:pPr>
      <w:r w:rsidRPr="008D479B">
        <w:rPr>
          <w:rStyle w:val="NumeroAFNegritaCaracter"/>
        </w:rPr>
        <w:t>5</w:t>
      </w:r>
      <w:r>
        <w:t>. La demandante de amparo, mediante escrito registrado en este tribunal el 23 de mayo de 2022, formuló alegaciones en las que se ratifica en los argumentos de la demanda.</w:t>
      </w:r>
    </w:p>
    <w:p w14:paraId="5B51AB76" w14:textId="77777777" w:rsidR="008D479B" w:rsidRDefault="008D479B" w:rsidP="008D479B">
      <w:pPr>
        <w:pStyle w:val="TextoNormal"/>
      </w:pPr>
    </w:p>
    <w:p w14:paraId="6BB7542B" w14:textId="1B611159" w:rsidR="008D479B" w:rsidRDefault="008D479B" w:rsidP="008D479B">
      <w:pPr>
        <w:pStyle w:val="TextoNormal"/>
      </w:pPr>
      <w:r>
        <w:t>Manifiesta que ni la Delegación del Gobierno ni el Tribunal Superior de Justicia de Madrid fundaron la prohibición de la concentración en razones convincentes e imperativas, basados en datos objetivos suficientes derivados de las circunstancias concurrentes en el caso, como exige la doctrina constitucional para limitar o prohibir el ejercicio del derecho de reunión. Por otro lado, entiende que se produjo un agravio comparativo derivado de que en los meses de enero a marzo de 2021 se celebraron en la Comunidad de Madrid numerosas concentraciones y manifestaciones convocadas por distintos colectivos y con diferente objeto, de características similares a las convocadas por el colectivo feminista para los días 7 y 8 de marzo, resultando prohibidas únicamente estas, lo que representó una discriminación directa e indirecta carente de motivación y fundamento objetivo, que ha conllevado consecuencias muy gravosas que afectan de manera desproporcionada a las mujeres feministas; interesa por ello que se dicte una sentencia estimatoria de su recurso de amparo.</w:t>
      </w:r>
    </w:p>
    <w:p w14:paraId="15C2CEA2" w14:textId="77777777" w:rsidR="008D479B" w:rsidRDefault="008D479B" w:rsidP="008D479B">
      <w:pPr>
        <w:pStyle w:val="TextoNormal"/>
      </w:pPr>
    </w:p>
    <w:p w14:paraId="48070D55" w14:textId="77777777" w:rsidR="008D479B" w:rsidRDefault="008D479B" w:rsidP="008D479B">
      <w:pPr>
        <w:pStyle w:val="TextoNormal"/>
      </w:pPr>
      <w:r w:rsidRPr="008D479B">
        <w:rPr>
          <w:rStyle w:val="NumeroAFNegritaCaracter"/>
        </w:rPr>
        <w:t>6</w:t>
      </w:r>
      <w:r>
        <w:t>. La Abogacía del Estado, personada en el procedimiento, presentó sus alegaciones en el registro de este tribunal el día 27 de mayo de 2022, interesando la desestimación íntegra del recurso.</w:t>
      </w:r>
    </w:p>
    <w:p w14:paraId="3330AAA8" w14:textId="77777777" w:rsidR="008D479B" w:rsidRDefault="008D479B" w:rsidP="008D479B">
      <w:pPr>
        <w:pStyle w:val="TextoNormal"/>
      </w:pPr>
    </w:p>
    <w:p w14:paraId="10ED3433" w14:textId="77777777" w:rsidR="008D479B" w:rsidRDefault="008D479B" w:rsidP="008D479B">
      <w:pPr>
        <w:pStyle w:val="TextoNormal"/>
      </w:pPr>
      <w:r>
        <w:t>En relación con la invocación del derecho de reunión (art. 21 CE) sostiene, con una amplia referencia al ATC 40/2020, de 30 de abril, que se ha respetado el principio de proporcionalidad en las resoluciones impugnadas, ya que se ha expuesto de manera motivada la prevalencia de las razones sanitarias concurrentes y las razones por las que hubo un cambio de criterio para prohibir finalmente las concentraciones convocadas.</w:t>
      </w:r>
    </w:p>
    <w:p w14:paraId="2BE386E2" w14:textId="77777777" w:rsidR="008D479B" w:rsidRDefault="008D479B" w:rsidP="008D479B">
      <w:pPr>
        <w:pStyle w:val="TextoNormal"/>
      </w:pPr>
    </w:p>
    <w:p w14:paraId="389C3972" w14:textId="27EF3066" w:rsidR="008D479B" w:rsidRDefault="008D479B" w:rsidP="008D479B">
      <w:pPr>
        <w:pStyle w:val="TextoNormal"/>
      </w:pPr>
      <w:r>
        <w:t>En cuanto a la alegación de discriminación indirecta del colectivo feminista, argumenta que tal cuestión fue debidamente abordada y resuelta en la sentencia impugnada, que desestimó la concurrencia de tal discriminación, con cita de la STC 91/2019, de 3 de julio, FJ 7, porque no se aportó un término válido que de comparación que permita vislumbrar que en el presente caso la denegación de la concentración solicitada se haya basado implícitamente en razones distintas de las confesadas razones de salud pública que preocupan a todos los ciudadanos y ciudadanas por igual.</w:t>
      </w:r>
    </w:p>
    <w:p w14:paraId="429A13FB" w14:textId="77777777" w:rsidR="008D479B" w:rsidRDefault="008D479B" w:rsidP="008D479B">
      <w:pPr>
        <w:pStyle w:val="TextoNormal"/>
      </w:pPr>
    </w:p>
    <w:p w14:paraId="0BE736BA" w14:textId="77777777" w:rsidR="008D479B" w:rsidRDefault="008D479B" w:rsidP="008D479B">
      <w:pPr>
        <w:pStyle w:val="TextoNormal"/>
      </w:pPr>
      <w:r w:rsidRPr="008D479B">
        <w:rPr>
          <w:rStyle w:val="NumeroAFNegritaCaracter"/>
        </w:rPr>
        <w:t>7</w:t>
      </w:r>
      <w:r>
        <w:t>. El Ministerio Fiscal presentó sus alegaciones en el registro de este tribunal el día 2 de junio de 2022, mediante las cuales propugna la inadmisión parcial del recurso en cuanto a la vulneración del derecho a la igualdad por razones procesales, y la desestimación del recurso en lo restante, efectuando las siguientes consideraciones:</w:t>
      </w:r>
    </w:p>
    <w:p w14:paraId="538CB076" w14:textId="77777777" w:rsidR="008D479B" w:rsidRDefault="008D479B" w:rsidP="008D479B">
      <w:pPr>
        <w:pStyle w:val="TextoNormal"/>
      </w:pPr>
    </w:p>
    <w:p w14:paraId="7EBE330A" w14:textId="77777777" w:rsidR="008D479B" w:rsidRDefault="008D479B" w:rsidP="008D479B">
      <w:pPr>
        <w:pStyle w:val="TextoNormal"/>
      </w:pPr>
      <w:r>
        <w:t>a) En primer lugar, argumenta que la cognición limitada del procedimiento elegido por la actora para impugnar la resolución gubernativa, el procedimiento especial de protección jurisdiccional del derecho fundamental de reunión previsto en el art. 122 de la Ley reguladora de la jurisdicción contencioso-administrativa, constituía un impedimento para el análisis de la vulneración del derecho fundamental a la igualdad y prohibición de la discriminación del art. 14 CE debido a la naturaleza subsidiaria del recurso de amparo constitucional.</w:t>
      </w:r>
    </w:p>
    <w:p w14:paraId="130B88B3" w14:textId="77777777" w:rsidR="008D479B" w:rsidRDefault="008D479B" w:rsidP="008D479B">
      <w:pPr>
        <w:pStyle w:val="TextoNormal"/>
      </w:pPr>
    </w:p>
    <w:p w14:paraId="73EB0E20" w14:textId="77777777" w:rsidR="008D479B" w:rsidRDefault="008D479B" w:rsidP="008D479B">
      <w:pPr>
        <w:pStyle w:val="TextoNormal"/>
      </w:pPr>
      <w:r>
        <w:t>b) Seguidamente, rechaza la alegación de la demandante de amparo que imputa a la resolución del delegado del Gobierno la falta de motivación exigible para restringir el derecho fundamental de reunión del art. 21 CE, argumentando que la restricción del referido derecho de la demandante se efectúa en la resolución administrativa impugnada con base en razones objetivas, y es proporcionada en cuanto resultaba necesaria para garantizar los derechos a la integridad y salud de las personas.</w:t>
      </w:r>
    </w:p>
    <w:p w14:paraId="137B55D6" w14:textId="77777777" w:rsidR="008D479B" w:rsidRDefault="008D479B" w:rsidP="008D479B">
      <w:pPr>
        <w:pStyle w:val="TextoNormal"/>
      </w:pPr>
    </w:p>
    <w:p w14:paraId="67AF70C2" w14:textId="2C4B0047" w:rsidR="008D479B" w:rsidRDefault="008D479B" w:rsidP="008D479B">
      <w:pPr>
        <w:pStyle w:val="TextoNormal"/>
      </w:pPr>
      <w:r>
        <w:t>c) Finalmente, tras exponer la argumentación contenida en la sentencia recurrida acerca del cumplimiento por la resolución administrativa de las exigencias de motivación, del juicio de proporcionalidad realizado y del examen de los informes valorados por el Tribunal Superior de Justicia de Madrid, concluye que “en el presente caso la restricción del ejercicio del derecho de reunión tiene una finalidad legítima con cobertura constitucional bastante en los arts. 15 CE (garantía de integridad física y la vida de las personas) y 43 CE (protección de la salud) que, como señala la sentencia recurrida, ‘deben prevalecer frente a aquel (derecho fundamental de reunión), justificando su sacrificio, al amparo de lo previsto en los arts. 21.2 CE y 11.2 CEDH, en relación con el artículo 10.2 CE, que establece el principio de interpretación de los derechos fundamentales y las libertades públicas que la constitución reconoce de conformidad con los tratados y acuerdos internacionales sobre las mismas materias ratificadas por España’”.</w:t>
      </w:r>
    </w:p>
    <w:p w14:paraId="259AF729" w14:textId="77777777" w:rsidR="008D479B" w:rsidRDefault="008D479B" w:rsidP="008D479B">
      <w:pPr>
        <w:pStyle w:val="TextoNormal"/>
      </w:pPr>
    </w:p>
    <w:p w14:paraId="3D938A19" w14:textId="49F88421" w:rsidR="008D479B" w:rsidRDefault="008D479B" w:rsidP="008D479B">
      <w:pPr>
        <w:pStyle w:val="TextoNormal"/>
      </w:pPr>
      <w:r w:rsidRPr="008D479B">
        <w:rPr>
          <w:rStyle w:val="NumeroAFNegritaCaracter"/>
        </w:rPr>
        <w:t>8</w:t>
      </w:r>
      <w:r>
        <w:t>. Por diligencia de ordenación de 25 de enero de 2023 se acordó turnar el presente recurso de amparo a la Sala Primera del Tribunal en virtud del acuerdo adoptado por el Pleno el día 17 de enero de 2023.</w:t>
      </w:r>
    </w:p>
    <w:p w14:paraId="6CB0E1E0" w14:textId="77777777" w:rsidR="008D479B" w:rsidRDefault="008D479B" w:rsidP="008D479B">
      <w:pPr>
        <w:pStyle w:val="TextoNormal"/>
      </w:pPr>
    </w:p>
    <w:p w14:paraId="78FEF8BF" w14:textId="5C31E941" w:rsidR="008D479B" w:rsidRDefault="008D479B" w:rsidP="008D479B">
      <w:pPr>
        <w:pStyle w:val="TextoNormal"/>
      </w:pPr>
      <w:r w:rsidRPr="008D479B">
        <w:rPr>
          <w:rStyle w:val="NumeroAFNegritaCaracter"/>
        </w:rPr>
        <w:t>9</w:t>
      </w:r>
      <w:r>
        <w:t>. Por providencia de 7 de diciembre de 2023 se señaló para deliberación y votación de la presente sentencia el día 11 del mismo mes y año.</w:t>
      </w:r>
    </w:p>
    <w:p w14:paraId="3EC36947" w14:textId="77777777" w:rsidR="008D479B" w:rsidRDefault="008D479B" w:rsidP="008D479B">
      <w:pPr>
        <w:pStyle w:val="TextoNormal"/>
      </w:pPr>
    </w:p>
    <w:p w14:paraId="1319ED62" w14:textId="77777777" w:rsidR="008D479B" w:rsidRDefault="008D479B" w:rsidP="008D479B">
      <w:pPr>
        <w:pStyle w:val="TextoNormalNegritaCentrado"/>
        <w:keepNext/>
      </w:pPr>
      <w:r>
        <w:t>II. Fundamentos jurídicos</w:t>
      </w:r>
    </w:p>
    <w:p w14:paraId="1BD8AD65" w14:textId="2AEE4D58" w:rsidR="008D479B" w:rsidRDefault="008D479B" w:rsidP="008D479B">
      <w:pPr>
        <w:pStyle w:val="TextoNormalNegritaCentrado"/>
        <w:keepNext/>
      </w:pPr>
    </w:p>
    <w:p w14:paraId="0F125C98" w14:textId="77777777" w:rsidR="008D479B" w:rsidRDefault="008D479B" w:rsidP="008D479B">
      <w:pPr>
        <w:pStyle w:val="TextoNormal"/>
      </w:pPr>
      <w:r w:rsidRPr="008D479B">
        <w:rPr>
          <w:rStyle w:val="TextoNormalNegritaCaracter"/>
        </w:rPr>
        <w:t xml:space="preserve">Único. </w:t>
      </w:r>
      <w:r w:rsidRPr="008D479B">
        <w:rPr>
          <w:i/>
        </w:rPr>
        <w:t>Aplicación de la jurisprudencia establecida en la STC 164/2023, de 21 de noviembre</w:t>
      </w:r>
    </w:p>
    <w:p w14:paraId="41B99521" w14:textId="77777777" w:rsidR="008D479B" w:rsidRDefault="008D479B" w:rsidP="008D479B">
      <w:pPr>
        <w:pStyle w:val="TextoNormal"/>
      </w:pPr>
    </w:p>
    <w:p w14:paraId="71D7251F" w14:textId="77777777" w:rsidR="008D479B" w:rsidRDefault="008D479B" w:rsidP="008D479B">
      <w:pPr>
        <w:pStyle w:val="TextoNormal"/>
      </w:pPr>
      <w:r>
        <w:t>El objeto del presente recurso es dilucidar si se ha vulnerado el derecho fundamental de reunión y manifestación (art. 21 CE) y el derecho a la igualdad en su vertiente de no discriminación por razón de género (art. 14 CE) de la parte demandante, mediante la resolución de la Delegación del Gobierno en la Comunidad de Madrid de 3 de marzo de 2021, pronunciada en el expediente núm. 346-2021, que prohibió la celebración en Madrid de la concentración que aquella había convocado para el 8 de marzo de 2021, con motivo del día internacional de la mujer. La resolución del delegado del Gobierno fue confirmada por la sentencia de 7 de marzo de 2021 de la Sección Décima de la Sala de lo Contencioso-Administrativo del Tribunal Superior de Justicia de Madrid, en el procedimiento sobre derecho de reunión núm. 281-2021.</w:t>
      </w:r>
    </w:p>
    <w:p w14:paraId="62AD001E" w14:textId="77777777" w:rsidR="008D479B" w:rsidRDefault="008D479B" w:rsidP="008D479B">
      <w:pPr>
        <w:pStyle w:val="TextoNormal"/>
      </w:pPr>
    </w:p>
    <w:p w14:paraId="2BF1D0B6" w14:textId="77777777" w:rsidR="008D479B" w:rsidRDefault="008D479B" w:rsidP="008D479B">
      <w:pPr>
        <w:pStyle w:val="TextoNormal"/>
      </w:pPr>
      <w:r>
        <w:t>El objeto es coincidente con el resuelto por la STC 164/2023, de 21 de noviembre, por lo que debemos remitirnos a sus fundamentos jurídicos 2 y 3, en los que respectivamente expusimos la doctrina constitucional sobre el derecho de reunión y manifestación (art. 21 CE) y procedimos a su aplicación a un supuesto que guarda identidad de razón con el presente: en aquel caso se prohibió una concentración de 250 personas, a celebrar en un espacio abierto, con mascarillas y distancia interpersonal, y en el presente una concentración de 100 personas, también en espacio abierto, con mascarillas y distancia de seguridad.</w:t>
      </w:r>
    </w:p>
    <w:p w14:paraId="24BCBC53" w14:textId="77777777" w:rsidR="008D479B" w:rsidRDefault="008D479B" w:rsidP="008D479B">
      <w:pPr>
        <w:pStyle w:val="TextoNormal"/>
      </w:pPr>
    </w:p>
    <w:p w14:paraId="794319CB" w14:textId="77777777" w:rsidR="008D479B" w:rsidRDefault="008D479B" w:rsidP="008D479B">
      <w:pPr>
        <w:pStyle w:val="TextoNormal"/>
      </w:pPr>
      <w:r>
        <w:t>En efecto, como en la referida sentencia, también aquí debemos concluir que la prohibición gubernativa vulneró el art. 21 CE y supuso una restricción injustificada y desproporcionada del derecho de reunión y manifestación del que era titular la parte demandante, dado que la medida de prohibición supuso la máxima afectación del derecho fundamental, con un bajo valor de utilidad para el fin de preservar la salud pública, pues concurría ya en aquel momento una realidad muy distinta a la existente durante la vigencia del primer estado de alarma provocado por la pandemia del virus covid-19. El resultado del juicio de proporcionalidad estricta revela como muy escasa la incidencia que la prohibición de la reunión reivindicativa convocada tendría en el riesgo de contagio y, por ello, la poca relevancia que aportaría a la satisfacción del interés general representado por la salud pública, finalidad que justificaba la intervención de la autoridad gubernativa.</w:t>
      </w:r>
    </w:p>
    <w:p w14:paraId="4E5965ED" w14:textId="77777777" w:rsidR="008D479B" w:rsidRDefault="008D479B" w:rsidP="008D479B">
      <w:pPr>
        <w:pStyle w:val="TextoNormal"/>
      </w:pPr>
    </w:p>
    <w:p w14:paraId="013BDB8E" w14:textId="2E4C16BC" w:rsidR="008D479B" w:rsidRDefault="008D479B" w:rsidP="008D479B">
      <w:pPr>
        <w:pStyle w:val="TextoNormal"/>
      </w:pPr>
      <w:r>
        <w:t>Debe estimarse, en consecuencia, el motivo que denuncia esta lesión y otorgar el amparo solicitado, con la anulación de las resoluciones impugnadas, lo que hace innecesario que el Tribunal tenga que pronunciarse sobre el fondo de la invocación del derecho a la igualdad (art. 14 CE) y la eventual causa de inadmisión parcial que respecto de dicha invocación ha sido alegada por el Ministerio Fiscal.</w:t>
      </w:r>
    </w:p>
    <w:p w14:paraId="2D5847D4" w14:textId="77777777" w:rsidR="008D479B" w:rsidRDefault="008D479B" w:rsidP="008D479B">
      <w:pPr>
        <w:pStyle w:val="TextoNormal"/>
      </w:pPr>
    </w:p>
    <w:p w14:paraId="2ED9F516" w14:textId="77777777" w:rsidR="008D479B" w:rsidRDefault="008D479B" w:rsidP="008D479B">
      <w:pPr>
        <w:pStyle w:val="TextoNormalCentrado"/>
        <w:keepNext/>
      </w:pPr>
      <w:r>
        <w:t>FALLO</w:t>
      </w:r>
    </w:p>
    <w:p w14:paraId="34DB439B" w14:textId="255AFE49" w:rsidR="008D479B" w:rsidRDefault="008D479B" w:rsidP="008D479B">
      <w:pPr>
        <w:pStyle w:val="TextoNormalCentrado"/>
        <w:keepNext/>
      </w:pPr>
    </w:p>
    <w:p w14:paraId="28EE5AB6" w14:textId="77777777" w:rsidR="008D479B" w:rsidRDefault="008D479B" w:rsidP="008D479B">
      <w:pPr>
        <w:pStyle w:val="TextoNormal"/>
      </w:pPr>
      <w:r>
        <w:t>En atención a todo lo expuesto, el Tribunal Constitucional, por la autoridad que le confiere la Constitución de la Nación española, ha decidido estimar el recurso de amparo interpuesto por doña Irene Moreno Catalán, y en su virtud:</w:t>
      </w:r>
    </w:p>
    <w:p w14:paraId="2BE798DB" w14:textId="77777777" w:rsidR="008D479B" w:rsidRDefault="008D479B" w:rsidP="008D479B">
      <w:pPr>
        <w:pStyle w:val="TextoNormal"/>
      </w:pPr>
    </w:p>
    <w:p w14:paraId="71EE7659" w14:textId="77777777" w:rsidR="008D479B" w:rsidRDefault="008D479B" w:rsidP="008D479B">
      <w:pPr>
        <w:pStyle w:val="TextoNormal"/>
      </w:pPr>
      <w:r>
        <w:t>1º Declarar que se ha vulnerado su derecho fundamental de reunión y manifestación (art. 21 CE).</w:t>
      </w:r>
    </w:p>
    <w:p w14:paraId="66456F4F" w14:textId="77777777" w:rsidR="008D479B" w:rsidRDefault="008D479B" w:rsidP="008D479B">
      <w:pPr>
        <w:pStyle w:val="TextoNormal"/>
      </w:pPr>
    </w:p>
    <w:p w14:paraId="40378CBC" w14:textId="0E36B067" w:rsidR="008D479B" w:rsidRDefault="008D479B" w:rsidP="008D479B">
      <w:pPr>
        <w:pStyle w:val="TextoNormal"/>
      </w:pPr>
      <w:r>
        <w:t>2º Restablecerle en su derecho y, a tal fin, anular la resolución del delegado del Gobierno en la Comunidad de Madrid de fecha 3 de marzo de 2021, dictada en el expediente núm. 346-2021, que prohibió la manifestación que la demandante había convocado para el día 8 de marzo de 2021 en Madrid, y la sentencia de 7 de marzo de 2021, dictada por la Sección Décima de la Sala de lo Contencioso-Administrativo del Tribunal Superior de Justicia de Madrid en el procedimiento sobre derecho de reunión núm. 281-2021, que desestimó el recurso interpuesto contra la anterior resolución.</w:t>
      </w:r>
    </w:p>
    <w:p w14:paraId="0A42BF07" w14:textId="77777777" w:rsidR="008D479B" w:rsidRDefault="008D479B" w:rsidP="008D479B">
      <w:pPr>
        <w:pStyle w:val="TextoNormal"/>
      </w:pPr>
    </w:p>
    <w:p w14:paraId="7A058D7A" w14:textId="77777777" w:rsidR="008D479B" w:rsidRDefault="008D479B" w:rsidP="008D479B">
      <w:pPr>
        <w:pStyle w:val="TextoNormal"/>
      </w:pPr>
      <w:r>
        <w:t>Publíquese esta sentencia en el “Boletín Oficial del Estado”.</w:t>
      </w:r>
    </w:p>
    <w:p w14:paraId="34666638" w14:textId="77777777" w:rsidR="008D479B" w:rsidRDefault="008D479B" w:rsidP="008D479B">
      <w:pPr>
        <w:pStyle w:val="TextoNormal"/>
      </w:pPr>
      <w:r>
        <w:t>Dada en Madrid, a once de diciembre de dos mil veintitrés.</w:t>
      </w:r>
    </w:p>
    <w:p w14:paraId="5EAACDCB" w14:textId="42117FF3" w:rsidR="008D479B" w:rsidRDefault="008D479B" w:rsidP="008D479B">
      <w:pPr>
        <w:pStyle w:val="ParrafoNormal"/>
      </w:pPr>
    </w:p>
    <w:p w14:paraId="458E8024" w14:textId="77777777" w:rsidR="008D479B" w:rsidRDefault="008D479B" w:rsidP="008D479B">
      <w:pPr>
        <w:pStyle w:val="TextoNormalNegritaCentrado"/>
        <w:keepNext/>
      </w:pPr>
      <w:r>
        <w:t>Voto particular que formulan el magistrado don Ricardo Enríquez Sancho y la magistrada doña Concepción Espejel Jorquera a la sentencia dictada en el recurso de amparo núm. 2029-2021</w:t>
      </w:r>
    </w:p>
    <w:p w14:paraId="6CD4EB14" w14:textId="3F4B4478" w:rsidR="008D479B" w:rsidRDefault="008D479B" w:rsidP="008D479B">
      <w:pPr>
        <w:pStyle w:val="TextoNormalNegritaCentrado"/>
        <w:keepNext/>
      </w:pPr>
    </w:p>
    <w:p w14:paraId="5D1452E4" w14:textId="77777777" w:rsidR="008D479B" w:rsidRDefault="008D479B" w:rsidP="008D479B">
      <w:pPr>
        <w:pStyle w:val="TextoNormal"/>
      </w:pPr>
      <w:r>
        <w:t>En el ejercicio de la facultad que nos confiere el artículo 90.2 de la Ley Orgánica del Tribunal Constitucional, y con el máximo respeto a la opinión de la mayoría, formulamos el presente voto particular concurrente por discrepar de una parte de la fundamentación de la sentencia recaída en el recurso de amparo núm. 2029-2021, que ha conducido a la estimación de la demanda por falta de proporcionalidad en sentido estricto de la medida de prohibición del ejercicio del derecho fundamental de reunión y manifestación (art. 21 CE) de la parte demandante, impugnada en el recurso.</w:t>
      </w:r>
    </w:p>
    <w:p w14:paraId="3D30FB2D" w14:textId="77777777" w:rsidR="008D479B" w:rsidRDefault="008D479B" w:rsidP="008D479B">
      <w:pPr>
        <w:pStyle w:val="TextoNormal"/>
      </w:pPr>
    </w:p>
    <w:p w14:paraId="60887D7F" w14:textId="77777777" w:rsidR="008D479B" w:rsidRDefault="008D479B" w:rsidP="008D479B">
      <w:pPr>
        <w:pStyle w:val="TextoNormal"/>
      </w:pPr>
      <w:r>
        <w:t>Las razones de nuestra discrepancia son idénticas a las expresadas en el voto particular que suscribimos, junto con el magistrado don Enrique Arnaldo Alcubilla, a la STC 164/2023, de 21 de noviembre, en la que se resolvió el recurso de amparo cabecera de esta misma serie, por lo que nos remitimos a lo expuesto entonces.</w:t>
      </w:r>
    </w:p>
    <w:p w14:paraId="059CF39B" w14:textId="77777777" w:rsidR="008D479B" w:rsidRDefault="008D479B" w:rsidP="008D479B">
      <w:pPr>
        <w:pStyle w:val="TextoNormal"/>
      </w:pPr>
    </w:p>
    <w:p w14:paraId="60E5563E" w14:textId="77777777" w:rsidR="008D479B" w:rsidRDefault="008D479B" w:rsidP="008D479B">
      <w:pPr>
        <w:pStyle w:val="TextoNormal"/>
      </w:pPr>
      <w:r>
        <w:t>Y en tal sentido emitimos nuestro voto particular concurrente al presente recurso.</w:t>
      </w:r>
    </w:p>
    <w:p w14:paraId="4BAA48D5" w14:textId="77777777" w:rsidR="008D479B" w:rsidRDefault="008D479B" w:rsidP="008D479B">
      <w:pPr>
        <w:pStyle w:val="TextoNormal"/>
      </w:pPr>
    </w:p>
    <w:p w14:paraId="2B620F14" w14:textId="7A6DEC9D" w:rsidR="008D479B" w:rsidRDefault="008D479B" w:rsidP="008D479B">
      <w:pPr>
        <w:pStyle w:val="TextoNormal"/>
      </w:pPr>
      <w:r>
        <w:t>Madrid, a once de diciembre de dos mil veintitrés.</w:t>
      </w:r>
    </w:p>
    <w:p w14:paraId="493A6FEA" w14:textId="77777777" w:rsidR="008D479B" w:rsidRDefault="008D479B" w:rsidP="008D479B">
      <w:pPr>
        <w:pStyle w:val="TextoNormal"/>
      </w:pPr>
    </w:p>
    <w:p w14:paraId="5B5C5FB5" w14:textId="77777777" w:rsidR="008D479B" w:rsidRDefault="008D479B" w:rsidP="008D479B">
      <w:pPr>
        <w:pStyle w:val="TextoNormalNegritaCentrado"/>
        <w:keepNext/>
      </w:pPr>
      <w:r>
        <w:t>Voto particular que formula la magistrada doña María Luisa Segoviano Astaburuaga respecto de la sentencia pronunciada en el recurso de amparo núm. 2029-2021</w:t>
      </w:r>
    </w:p>
    <w:p w14:paraId="35CEF8D7" w14:textId="5A35C1E5" w:rsidR="008D479B" w:rsidRDefault="008D479B" w:rsidP="008D479B">
      <w:pPr>
        <w:pStyle w:val="TextoNormalNegritaCentrado"/>
        <w:keepNext/>
      </w:pPr>
    </w:p>
    <w:p w14:paraId="54A076EE" w14:textId="77777777" w:rsidR="008D479B" w:rsidRDefault="008D479B" w:rsidP="008D479B">
      <w:pPr>
        <w:pStyle w:val="TextoNormal"/>
      </w:pPr>
      <w:r>
        <w:t>Con el máximo respeto a los magistrados y magistradas del Tribunal, debo reiterar, en coherencia con mi adhesión al voto particular formulado por la magistrada doña Laura Díez Bueso a la STC 164/2023, de 21 de noviembre, mi discrepancia, por las razones allí expuestas, con la estimación del recurso por vulneración del derecho fundamental de reunión y manifestación (art. 21 CE).</w:t>
      </w:r>
    </w:p>
    <w:p w14:paraId="234E0B6E" w14:textId="77777777" w:rsidR="008D479B" w:rsidRDefault="008D479B" w:rsidP="008D479B">
      <w:pPr>
        <w:pStyle w:val="TextoNormal"/>
      </w:pPr>
    </w:p>
    <w:p w14:paraId="13631E65" w14:textId="041941B2" w:rsidR="008D479B" w:rsidRDefault="008D479B" w:rsidP="008D479B">
      <w:pPr>
        <w:pStyle w:val="TextoNormal"/>
      </w:pPr>
      <w:r>
        <w:t>Madrid, a once de diciembre de dos mil veintitrés.</w:t>
      </w:r>
    </w:p>
    <w:p w14:paraId="780878E0" w14:textId="788E560A" w:rsidR="008D479B" w:rsidRDefault="008D479B">
      <w:pPr>
        <w:spacing w:after="160" w:line="278" w:lineRule="auto"/>
        <w:rPr>
          <w:rFonts w:ascii="Times New Roman" w:eastAsia="Times New Roman" w:hAnsi="Times New Roman" w:cs="Times New Roman"/>
          <w:sz w:val="24"/>
          <w:szCs w:val="24"/>
          <w:lang w:eastAsia="es-ES"/>
        </w:rPr>
      </w:pPr>
      <w:r>
        <w:br w:type="page"/>
      </w:r>
    </w:p>
    <w:p w14:paraId="64EDF510" w14:textId="77777777" w:rsidR="008D479B" w:rsidRDefault="008D479B" w:rsidP="008D479B">
      <w:pPr>
        <w:pStyle w:val="TtuloResolucin"/>
      </w:pPr>
      <w:bookmarkStart w:id="102" w:name="SENTENCIA_2023_177"/>
      <w:r>
        <w:t>SENTENCIA 177/2023, de 11 de diciembre de 2023</w:t>
      </w:r>
    </w:p>
    <w:bookmarkEnd w:id="102"/>
    <w:p w14:paraId="27050966" w14:textId="77777777" w:rsidR="008D479B" w:rsidRDefault="008D479B" w:rsidP="008D479B">
      <w:pPr>
        <w:pStyle w:val="TtuloResolucin"/>
      </w:pPr>
      <w:r>
        <w:t>Sala Segunda</w:t>
      </w:r>
    </w:p>
    <w:p w14:paraId="5CB56271" w14:textId="77777777" w:rsidR="008D479B" w:rsidRDefault="008D479B" w:rsidP="008D479B">
      <w:pPr>
        <w:pStyle w:val="TtuloBOE"/>
      </w:pPr>
      <w:r>
        <w:t>(BOE núm. 16, de 18 de enero de 2024)</w:t>
      </w:r>
    </w:p>
    <w:p w14:paraId="3B95746F" w14:textId="77777777" w:rsidR="008D479B" w:rsidRDefault="008D479B" w:rsidP="008D479B">
      <w:pPr>
        <w:pStyle w:val="TextoNormalCentrado"/>
      </w:pPr>
      <w:r>
        <w:t>ECLI:ES:TC:2023:177</w:t>
      </w:r>
    </w:p>
    <w:p w14:paraId="00CEFB09" w14:textId="5DA91B9E" w:rsidR="008D479B" w:rsidRDefault="008D479B" w:rsidP="008D479B">
      <w:pPr>
        <w:pStyle w:val="TextoNormalCentrado"/>
      </w:pPr>
    </w:p>
    <w:p w14:paraId="29692F0F" w14:textId="77777777" w:rsidR="008D479B" w:rsidRDefault="008D479B" w:rsidP="008D479B">
      <w:pPr>
        <w:pStyle w:val="SntesisDescriptiva"/>
      </w:pPr>
      <w:r>
        <w:t>Recurso de amparo 2031-2021. Promovido por doña Camila Banderas Briceño en relación con la sentencia dictada por la Sala de lo Contencioso-Administrativo del Tribunal Superior de Justicia de Madrid que desestimó su demanda frente a la resolución del delegado del Gobierno en Madrid prohibiendo la concentración convocada para el día 7 de marzo de 2021.</w:t>
      </w:r>
    </w:p>
    <w:p w14:paraId="759767F1" w14:textId="3620F524" w:rsidR="008D479B" w:rsidRDefault="008D479B" w:rsidP="008D479B">
      <w:pPr>
        <w:pStyle w:val="SntesisDescriptiva"/>
      </w:pPr>
    </w:p>
    <w:p w14:paraId="23646C24" w14:textId="77777777" w:rsidR="008D479B" w:rsidRDefault="008D479B" w:rsidP="008D479B">
      <w:pPr>
        <w:pStyle w:val="SntesisAnaltica"/>
      </w:pPr>
      <w:r>
        <w:t>Vulneración del derecho de reunión y manifestación: STC 164/2023 (prohibición injustificada y desproporcionada de la convocatoria de concentración al aire libre, con número limitado de asistentes y garantizando el uso de mascarillas y el mantenimiento de una distancia interpersonal de seguridad).</w:t>
      </w:r>
    </w:p>
    <w:p w14:paraId="31FCADAC" w14:textId="12996FD8" w:rsidR="008D479B" w:rsidRDefault="008D479B" w:rsidP="008D479B">
      <w:pPr>
        <w:pStyle w:val="SntesisAnaltica"/>
      </w:pPr>
    </w:p>
    <w:p w14:paraId="5DE1B103" w14:textId="36509C7A" w:rsidR="008D479B" w:rsidRDefault="008D479B" w:rsidP="008D479B">
      <w:pPr>
        <w:pStyle w:val="Extracto"/>
      </w:pPr>
      <w:r>
        <w:t>1.</w:t>
      </w:r>
      <w:r>
        <w:tab/>
        <w:t>Se aplica la doctrina relativa al derecho de reunión y manifestación en relación con la proporcionalidad debida de las medidas limitativas de su ejercicio  (STC 164/2023) [FJ Único].</w:t>
      </w:r>
    </w:p>
    <w:p w14:paraId="702AF5BD" w14:textId="77777777" w:rsidR="008D479B" w:rsidRDefault="008D479B" w:rsidP="008D479B">
      <w:pPr>
        <w:pStyle w:val="Extracto"/>
      </w:pPr>
    </w:p>
    <w:p w14:paraId="28416EE7" w14:textId="77777777" w:rsidR="008D479B" w:rsidRDefault="008D479B" w:rsidP="008D479B">
      <w:pPr>
        <w:pStyle w:val="Extracto"/>
      </w:pPr>
    </w:p>
    <w:p w14:paraId="2F61B7EA" w14:textId="77777777" w:rsidR="008D479B" w:rsidRDefault="008D479B" w:rsidP="008D479B">
      <w:pPr>
        <w:pStyle w:val="TextoNormal"/>
      </w:pPr>
      <w: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14:paraId="19DCF877" w14:textId="21A0C2E6" w:rsidR="008D479B" w:rsidRDefault="008D479B" w:rsidP="008D479B">
      <w:pPr>
        <w:pStyle w:val="TextoNormal"/>
      </w:pPr>
    </w:p>
    <w:p w14:paraId="3D7839D7" w14:textId="77777777" w:rsidR="008D479B" w:rsidRDefault="008D479B" w:rsidP="008D479B">
      <w:pPr>
        <w:pStyle w:val="TextoNormalCentrado"/>
        <w:keepNext/>
      </w:pPr>
      <w:r>
        <w:t>EN NOMBRE DEL REY</w:t>
      </w:r>
    </w:p>
    <w:p w14:paraId="09CA321D" w14:textId="2CF13B2F" w:rsidR="008D479B" w:rsidRDefault="008D479B" w:rsidP="008D479B">
      <w:pPr>
        <w:pStyle w:val="TextoNormalCentrado"/>
        <w:keepNext/>
      </w:pPr>
    </w:p>
    <w:p w14:paraId="019698F3" w14:textId="77777777" w:rsidR="008D479B" w:rsidRDefault="008D479B" w:rsidP="008D479B">
      <w:pPr>
        <w:pStyle w:val="TextoNormalCentrado"/>
        <w:keepNext/>
      </w:pPr>
    </w:p>
    <w:p w14:paraId="628F9FBF" w14:textId="77777777" w:rsidR="008D479B" w:rsidRDefault="008D479B" w:rsidP="008D479B">
      <w:pPr>
        <w:pStyle w:val="TextoNormal"/>
      </w:pPr>
      <w:r>
        <w:t>la siguiente</w:t>
      </w:r>
    </w:p>
    <w:p w14:paraId="45052C62" w14:textId="72848FDA" w:rsidR="008D479B" w:rsidRDefault="008D479B" w:rsidP="008D479B">
      <w:pPr>
        <w:pStyle w:val="TextoNormal"/>
      </w:pPr>
    </w:p>
    <w:p w14:paraId="72DF08CA" w14:textId="77777777" w:rsidR="008D479B" w:rsidRDefault="008D479B" w:rsidP="008D479B">
      <w:pPr>
        <w:pStyle w:val="TextoNormalCentrado"/>
        <w:keepNext/>
      </w:pPr>
      <w:r>
        <w:t>SENTENCIA</w:t>
      </w:r>
    </w:p>
    <w:p w14:paraId="4FF36E9E" w14:textId="48E77778" w:rsidR="008D479B" w:rsidRDefault="008D479B" w:rsidP="008D479B">
      <w:pPr>
        <w:pStyle w:val="TextoNormalCentrado"/>
        <w:keepNext/>
      </w:pPr>
    </w:p>
    <w:p w14:paraId="39A8C722" w14:textId="77777777" w:rsidR="008D479B" w:rsidRDefault="008D479B" w:rsidP="008D479B">
      <w:pPr>
        <w:pStyle w:val="TextoNormal"/>
      </w:pPr>
      <w:r>
        <w:t>En el recurso de amparo núm. 2031-2021, promovido por doña Camila Banderas Briceño contra la sentencia de 6 de marzo de 2021 de la Sección Décima de la Sala de lo Contencioso-Administrativo del Tribunal Superior de Justicia de Madrid, recaída en el procedimiento sobre derecho de reunión núm. 277-2021, por la que se desestimó el recurso interpuesto contra la resolución de 3 de marzo de 2021 del delegado del Gobierno en la Comunidad de Madrid por la que se acordó la prohibición de la concentración convocada para el día 7 de marzo de 2021. Ha sido parte el abogado del Estado. Ha intervenido el Ministerio Fiscal. Ha sido ponente el magistrado don César Tolosa Tribiño.</w:t>
      </w:r>
    </w:p>
    <w:p w14:paraId="2430D557" w14:textId="75DCFB7C" w:rsidR="008D479B" w:rsidRDefault="008D479B" w:rsidP="008D479B">
      <w:pPr>
        <w:pStyle w:val="TextoNormal"/>
      </w:pPr>
    </w:p>
    <w:p w14:paraId="4476CC28" w14:textId="77777777" w:rsidR="008D479B" w:rsidRDefault="008D479B" w:rsidP="008D479B">
      <w:pPr>
        <w:pStyle w:val="TextoNormalNegritaCentrado"/>
        <w:keepNext/>
      </w:pPr>
      <w:r>
        <w:t>I. Antecedentes</w:t>
      </w:r>
    </w:p>
    <w:p w14:paraId="68AAF590" w14:textId="019B78D2" w:rsidR="008D479B" w:rsidRDefault="008D479B" w:rsidP="008D479B">
      <w:pPr>
        <w:pStyle w:val="TextoNormalNegritaCentrado"/>
        <w:keepNext/>
      </w:pPr>
    </w:p>
    <w:p w14:paraId="1DDC4A32" w14:textId="3B4DCCC5" w:rsidR="008D479B" w:rsidRDefault="008D479B" w:rsidP="008D479B">
      <w:pPr>
        <w:pStyle w:val="TextoNormal"/>
      </w:pPr>
      <w:r w:rsidRPr="008D479B">
        <w:rPr>
          <w:rStyle w:val="NumeroAFNegritaCaracter"/>
        </w:rPr>
        <w:t>1</w:t>
      </w:r>
      <w:r>
        <w:t>. Doña Camila Banderas Briceño representada por la procuradora de los tribunales doña Virginia Sánchez de León Herencia, bajo la dirección de la letrada doña Naomi Abad Velasco, interpuso recurso de amparo contra las resoluciones mencionadas en el encabezamiento de esta sentencia mediante escrito registrado en este tribunal el 8 de abril de 2021.</w:t>
      </w:r>
    </w:p>
    <w:p w14:paraId="05EC1C10" w14:textId="77777777" w:rsidR="008D479B" w:rsidRDefault="008D479B" w:rsidP="008D479B">
      <w:pPr>
        <w:pStyle w:val="TextoNormal"/>
      </w:pPr>
    </w:p>
    <w:p w14:paraId="6D7BEECE" w14:textId="77777777" w:rsidR="008D479B" w:rsidRDefault="008D479B" w:rsidP="008D479B">
      <w:pPr>
        <w:pStyle w:val="TextoNormal"/>
      </w:pPr>
      <w:r w:rsidRPr="008D479B">
        <w:rPr>
          <w:rStyle w:val="NumeroAFNegritaCaracter"/>
        </w:rPr>
        <w:t>2</w:t>
      </w:r>
      <w:r>
        <w:t>. . El recurso tiene su origen en los siguientes antecedentes:</w:t>
      </w:r>
    </w:p>
    <w:p w14:paraId="03F6D424" w14:textId="77777777" w:rsidR="008D479B" w:rsidRDefault="008D479B" w:rsidP="008D479B">
      <w:pPr>
        <w:pStyle w:val="TextoNormal"/>
      </w:pPr>
    </w:p>
    <w:p w14:paraId="481B5037" w14:textId="77777777" w:rsidR="008D479B" w:rsidRDefault="008D479B" w:rsidP="008D479B">
      <w:pPr>
        <w:pStyle w:val="TextoNormal"/>
      </w:pPr>
      <w:r>
        <w:t>a) Por escrito de fecha 17 de febrero de 2021, la demandante comunicó a la Delegación del Gobierno en la Comunidad de Madrid la realización de una concentración en el bulevar de Peña Gorbea de Madrid, el día 7 de marzo de 2021, entre las 12:30 y las 14:30 horas, previendo una participación de cincuenta personas, con motivo de la celebración del día de la mujer. La organización preveía la adopción de medidas de seguridad consistentes en la obligación de llevar mascarilla homologada, guardar la distancia de 1,5 metros, e impedir la formación de grupos.</w:t>
      </w:r>
    </w:p>
    <w:p w14:paraId="0D7BF58A" w14:textId="77777777" w:rsidR="008D479B" w:rsidRDefault="008D479B" w:rsidP="008D479B">
      <w:pPr>
        <w:pStyle w:val="TextoNormal"/>
      </w:pPr>
    </w:p>
    <w:p w14:paraId="58F6F149" w14:textId="77777777" w:rsidR="008D479B" w:rsidRDefault="008D479B" w:rsidP="008D479B">
      <w:pPr>
        <w:pStyle w:val="TextoNormal"/>
      </w:pPr>
      <w:r>
        <w:t>b) Por medio de resolución de 3 de marzo de 2021, el delegado del Gobierno en la Comunidad de Madrid acordó prohibir la celebración de dicha concentración por razones de salud pública. A tal efecto, en el fundamento de derecho undécimo de la resolución se recoge, a modo de conclusión, el sustento en que se basa la prohibición acordada, señalando que “[t]eniendo en cuenta la intencionalidad de los colectivos convocantes, de ejercer su derecho a manifestarse en las calles (es el único formato de reivindicación recibido), buscando un gran número de reuniones en diferentes lugares y teniendo en cuenta las circunstancias epidemiológicas actuales (niveles altos de incidencia y la aparición de nuevas cepas de covid), así como los informes que vienen emitiendo las autoridades sanitarias, la celebración de estas concentraciones eleva el riesgo de contagios de una manera exponencial”.</w:t>
      </w:r>
    </w:p>
    <w:p w14:paraId="756E205D" w14:textId="77777777" w:rsidR="008D479B" w:rsidRDefault="008D479B" w:rsidP="008D479B">
      <w:pPr>
        <w:pStyle w:val="TextoNormal"/>
      </w:pPr>
    </w:p>
    <w:p w14:paraId="4BD5B759" w14:textId="77777777" w:rsidR="008D479B" w:rsidRDefault="008D479B" w:rsidP="008D479B">
      <w:pPr>
        <w:pStyle w:val="TextoNormal"/>
      </w:pPr>
      <w:r>
        <w:t>c) La demandante interpuso recurso contencioso-administrativo contra la anterior resolución ante el Tribunal Superior de Justicia de Madrid, con invocación de los derechos fundamentales de reunión (art. 21 CE) y a la igualdad en su vertiente de prohibición de la discriminación por razón de género (art. 14 CE).</w:t>
      </w:r>
    </w:p>
    <w:p w14:paraId="34E60E67" w14:textId="77777777" w:rsidR="008D479B" w:rsidRDefault="008D479B" w:rsidP="008D479B">
      <w:pPr>
        <w:pStyle w:val="TextoNormal"/>
      </w:pPr>
    </w:p>
    <w:p w14:paraId="7B358C9E" w14:textId="77777777" w:rsidR="008D479B" w:rsidRDefault="008D479B" w:rsidP="008D479B">
      <w:pPr>
        <w:pStyle w:val="TextoNormal"/>
      </w:pPr>
      <w:r>
        <w:t>d) El recurso fue conocido por la Sección Décima de la Sala de lo Contencioso-Administrativo del Tribunal Superior de Justicia de Madrid que dictó sentencia desestimatoria de 6 de marzo de 2021.</w:t>
      </w:r>
    </w:p>
    <w:p w14:paraId="228BAAB2" w14:textId="77777777" w:rsidR="008D479B" w:rsidRDefault="008D479B" w:rsidP="008D479B">
      <w:pPr>
        <w:pStyle w:val="TextoNormal"/>
      </w:pPr>
    </w:p>
    <w:p w14:paraId="3E72BA8A" w14:textId="77777777" w:rsidR="008D479B" w:rsidRDefault="008D479B" w:rsidP="008D479B">
      <w:pPr>
        <w:pStyle w:val="TextoNormal"/>
      </w:pPr>
      <w:r>
        <w:t>La sentencia, tras analizar el contenido del escrito de comunicación que presentaron las entidades recurrentes, de la resolución administrativa impugnada, así como de los distintos informes que fueron incorporados a las actuaciones judiciales, y efectuar una detallada exposición de la doctrina de este tribunal y del Tribunal Europeo de Derechos Humanos sobre el ejercicio del derecho de reunión y sobre los límites de este —deteniéndose de modo especial en el ATC 40/2020, de 30 de abril—, termina razonando que “la prohibición de la concentración comunicada es: (i) susceptible de conseguir el objetivo propuesto, en este caso, la protección de la salud pública y de los ciudadanos en un escenario de pandemia internacional que implica un grave riesgo para la vida de las personas; (ii) necesaria por no existir otra medida más moderada para la consecución de tal propósito con igual eficacia, atendidas las condiciones tan genéricas y amplias en que se proyectó el desarrollo de la concentración y posterior manifestación; y (iii) proporcionada en sentido estricto, es decir, ponderada o equilibrada por derivarse de ella más beneficios o ventajas para el interés general que protege que perjuicios sobre el derecho de reunión de los manifestantes”; concluyendo, a la vista de las anteriores consideraciones, en el otorgamiento de prevalencia sobre el ejercicio del derecho de reunión a bienes y valores constitucionales como la salud pública y, más concretamente, la salud, la integridad física y la vida de las personas (arts. 15 y 43 CE).</w:t>
      </w:r>
    </w:p>
    <w:p w14:paraId="729F2DD1" w14:textId="77777777" w:rsidR="008D479B" w:rsidRDefault="008D479B" w:rsidP="008D479B">
      <w:pPr>
        <w:pStyle w:val="TextoNormal"/>
      </w:pPr>
    </w:p>
    <w:p w14:paraId="72B210F0" w14:textId="2A497F9C" w:rsidR="008D479B" w:rsidRDefault="008D479B" w:rsidP="008D479B">
      <w:pPr>
        <w:pStyle w:val="TextoNormal"/>
      </w:pPr>
      <w:r>
        <w:t>Por otro lado, la sentencia desestima que la resolución gubernativa haya representado una forma de discriminación por razón de género, para lo que cita doctrina constitucional —STC 3/2007, de 15 de enero, y otras— expositiva de la noción de discriminación indirecta por razón de sexo, a partir de las formulaciones del Derecho comunitario originario y derivado y su jurisprudencia interpretativa, en el ámbito laboral, que la conciben como la aplicación de una medida que, siendo aparentemente neutra, perjudica en un porcentaje claramente superior a los miembros de un sexo que de otro, salvo que se trate de una medida objetivamente justificada por responder adecuada y necesariamente a una finalidad legítima, planteamiento que el tribunal entiende no es trasladable al presente caso, en que la medida restrictiva se funda en razones de salud pública que la parte recurrente no ha desvirtuado, sin haberse aportado, por lo demás, un término válido de comparación que permitan vislumbrar la existencia de razones implícitas distintas de las razones de salud pública que importan por igual a los ciudadanos y a las ciudadanas.</w:t>
      </w:r>
    </w:p>
    <w:p w14:paraId="5A40E128" w14:textId="77777777" w:rsidR="008D479B" w:rsidRDefault="008D479B" w:rsidP="008D479B">
      <w:pPr>
        <w:pStyle w:val="TextoNormal"/>
      </w:pPr>
    </w:p>
    <w:p w14:paraId="5B9CB72C" w14:textId="77777777" w:rsidR="008D479B" w:rsidRDefault="008D479B" w:rsidP="008D479B">
      <w:pPr>
        <w:pStyle w:val="TextoNormal"/>
      </w:pPr>
      <w:r w:rsidRPr="008D479B">
        <w:rPr>
          <w:rStyle w:val="NumeroAFNegritaCaracter"/>
        </w:rPr>
        <w:t>3</w:t>
      </w:r>
      <w:r>
        <w:t>. La demanda de amparo, tras efectuar un sintético relato de los hechos que le sirven de fundamento, alega la vulneración de los siguientes derechos fundamentales:</w:t>
      </w:r>
    </w:p>
    <w:p w14:paraId="7F627E39" w14:textId="77777777" w:rsidR="008D479B" w:rsidRDefault="008D479B" w:rsidP="008D479B">
      <w:pPr>
        <w:pStyle w:val="TextoNormal"/>
      </w:pPr>
    </w:p>
    <w:p w14:paraId="2B274F78" w14:textId="77777777" w:rsidR="008D479B" w:rsidRDefault="008D479B" w:rsidP="008D479B">
      <w:pPr>
        <w:pStyle w:val="TextoNormal"/>
      </w:pPr>
      <w:r>
        <w:t>a) El derecho de reunión garantizado en los arts. 21 CE y 11 del Convenio europeo de derechos humanos (CEDH), sosteniendo que la resolución del delegado del Gobierno es arbitraria porque prohíbe la concentración sin disponer todavía del informe de la Consejería de Sanidad de la Comunidad de Madrid. Por su parte, considera que la sentencia del Tribunal Superior de Justicia de Madrid hace una valoración errónea de dicho informe, una vez emitido, pues en el mismo se aconsejaba limitar el número de concentraciones y la adopción de medidas de seguridad, condiciones que cumplía la concentración convocada, que no iba a coincidir en el tiempo y en el espacio con ninguna otra. Razona que el tribunal se ha fundado en elementos inconcluyentes: un informe de la Jefatura Superior de Policía de Madrid que plantea meras hipótesis (que la concentración coincida con otras, que los participantes se nieguen a seguir las medidas de seguridad) sin ofrecer datos contrastables; un informe de la directora general de Salud Pública que se refiere a una concentración distinta; unos documentos aportados por el abogado del Estado y finalmente un artículo suscrito por varias sociedades científicas que desaconsejaba la celebración de grandes movilizaciones, como las que habían tenido lugar en años anteriores, pero de características completamente distintas a la convocada. Ninguno de estos argumentos, sostiene, es capaz de proporcionar las razones convincentes e imperativas y los datos objetivos suficientes derivados de las circunstancias concretas de cada caso que demanda la doctrina constitucional para que pueda entenderse justificada la restricción del derecho de reunión. Tampoco se verificó adecuadamente el juicio de proporcionalidad porque la prohibición de la concentración no era una medida adecuada para conseguir el objetivo propuesto, la protección de la salud pública, en el contexto social en el que se adoptó, caracterizado por la total normalidad en que se desarrollaba la vida cotidiana madrileña: bares y terrazas abiertas, concurrencia de numerosas personas en espacios cerrados y sin garantizar la distancia de seguridad de 1,5 metros como en el transporte público, obras de teatro y cine.</w:t>
      </w:r>
    </w:p>
    <w:p w14:paraId="5E479CB7" w14:textId="77777777" w:rsidR="008D479B" w:rsidRDefault="008D479B" w:rsidP="008D479B">
      <w:pPr>
        <w:pStyle w:val="TextoNormal"/>
      </w:pPr>
    </w:p>
    <w:p w14:paraId="3009C9EA" w14:textId="77777777" w:rsidR="008D479B" w:rsidRDefault="008D479B" w:rsidP="008D479B">
      <w:pPr>
        <w:pStyle w:val="TextoNormal"/>
      </w:pPr>
      <w:r>
        <w:t>b) En segundo término, el derecho a la igualdad y la no discriminación del art. 14 CE, manifestando que el hecho de que se prohibieran todas las convocatorias feministas de los días 7 y 8 de marzo de 2021, cuando en la Comunidad de Madrid se venían celebrando desde el mes de enero del mismo año concentraciones y manifestaciones convocadas por otros colectivos, revela que las mujeres feministas han sufrido discriminación directa e indirecta, pues han recibido un trato desigual sin que se les ofreciera una justificación objetiva y razonable, tal y como exige la doctrina constitucional para que la desigualdad de trato sea legítima, y se han visto sujetas a una prohibición por razones de salud pública que les ha afectado de manera desproporcionada en el ejercicio de sus derechos fundamentales a la libertad de expresión y de manifestación respecto del resto de los colectivos, a los que en el mismo contexto social y sanitario de pandemia no se les ha impedido ejercer estos derechos.</w:t>
      </w:r>
    </w:p>
    <w:p w14:paraId="7E402234" w14:textId="77777777" w:rsidR="008D479B" w:rsidRDefault="008D479B" w:rsidP="008D479B">
      <w:pPr>
        <w:pStyle w:val="TextoNormal"/>
      </w:pPr>
    </w:p>
    <w:p w14:paraId="7A6E6904" w14:textId="387E4F47" w:rsidR="008D479B" w:rsidRDefault="008D479B" w:rsidP="008D479B">
      <w:pPr>
        <w:pStyle w:val="TextoNormal"/>
      </w:pPr>
      <w:r>
        <w:t>c) En apartado separado, la demanda justifica la especial trascendencia constitucional del recurso afirmando que “[e]xisten resoluciones judiciales contradictorias sobre el análisis, criterios y ponderación que respecto de los derechos fundamentales en juego realizan los órganos jurisdiccionales; ya sea interpretando de manera distinta la doctrina constitucional, ya sea aplicándola en unos casos y desconociéndola en otros, lo que determina la necesidad de que por parte de este Alto Tribunal se resuelva con un pronunciamiento claro sobre dicha cuestión.” Igualmente, considera que “[n]o existe pronunciamiento por parte de este Alto Tribunal sobre la problemática que se plantea respecto de la posible vulneración del derecho fundamental a la igualdad en su vertiente de principio de no discriminación, al prohibirse el ejercicio del derecho de reunión el día 8 de marzo, frente a otras convocatorias de otros colectivos que no se ven prohibidas ni limitadas pese a concurrir circunstancias cuando menos equivalentes”.</w:t>
      </w:r>
    </w:p>
    <w:p w14:paraId="15ED3B5B" w14:textId="77777777" w:rsidR="008D479B" w:rsidRDefault="008D479B" w:rsidP="008D479B">
      <w:pPr>
        <w:pStyle w:val="TextoNormal"/>
      </w:pPr>
    </w:p>
    <w:p w14:paraId="351ACDF1" w14:textId="77777777" w:rsidR="008D479B" w:rsidRDefault="008D479B" w:rsidP="008D479B">
      <w:pPr>
        <w:pStyle w:val="TextoNormal"/>
      </w:pPr>
      <w:r w:rsidRPr="008D479B">
        <w:rPr>
          <w:rStyle w:val="NumeroAFNegritaCaracter"/>
        </w:rPr>
        <w:t>4</w:t>
      </w:r>
      <w:r>
        <w:t>. Por providencia de la Sección Tercera de este Tribunal de 21 de marzo de 2022, se acordó la admisión a trámite del recurso, apreciando “que concurre en el mismo una especial trascendencia constitucional [art. 50.1 de la Ley Orgánica del Tribunal Constitucional (LOTC)] porque el recurso puede dar ocasión al Tribunal para aclarar o cambiar su doctrina, como consecuencia del surgimiento de nuevas realidades sociales [STC 155/2009, de 25 de junio, FJ 2 b)] y el asunto suscitado trasciende del caso concreto porque plantea una cuestión jurídica de relevante y general repercusión social o económica [STC 155/2009, FJ 2 g)]”.</w:t>
      </w:r>
    </w:p>
    <w:p w14:paraId="2E66A457" w14:textId="77777777" w:rsidR="008D479B" w:rsidRDefault="008D479B" w:rsidP="008D479B">
      <w:pPr>
        <w:pStyle w:val="TextoNormal"/>
      </w:pPr>
    </w:p>
    <w:p w14:paraId="6E5917F5" w14:textId="6EEA1341" w:rsidR="008D479B" w:rsidRDefault="008D479B" w:rsidP="008D479B">
      <w:pPr>
        <w:pStyle w:val="TextoNormal"/>
      </w:pPr>
      <w:r>
        <w:t>En la misma resolución también se acordó dirigir atenta comunicación a la Sección Décima de la Sala de lo Contencioso-Administrativo del Tribunal Superior de Justicia de Madrid, a fin de que remitiera certificación o fotocopia adverada de las actuaciones correspondientes y emplazara a quienes hubieran intervenido en el procedimiento para que comparecieran en estas actuaciones, si así lo desearan, excepto la parte recurrente en amparo.</w:t>
      </w:r>
    </w:p>
    <w:p w14:paraId="6B001DEB" w14:textId="77777777" w:rsidR="008D479B" w:rsidRDefault="008D479B" w:rsidP="008D479B">
      <w:pPr>
        <w:pStyle w:val="TextoNormal"/>
      </w:pPr>
    </w:p>
    <w:p w14:paraId="3D753CA1" w14:textId="77777777" w:rsidR="008D479B" w:rsidRDefault="008D479B" w:rsidP="008D479B">
      <w:pPr>
        <w:pStyle w:val="TextoNormal"/>
      </w:pPr>
      <w:r w:rsidRPr="008D479B">
        <w:rPr>
          <w:rStyle w:val="NumeroAFNegritaCaracter"/>
        </w:rPr>
        <w:t>5</w:t>
      </w:r>
      <w:r>
        <w:t>. La demandante de amparo, mediante escrito registrado en este tribunal el 25 de mayo de 2022, formuló alegaciones en las que se ratifica en los argumentos de la demanda.</w:t>
      </w:r>
    </w:p>
    <w:p w14:paraId="091B9DC0" w14:textId="77777777" w:rsidR="008D479B" w:rsidRDefault="008D479B" w:rsidP="008D479B">
      <w:pPr>
        <w:pStyle w:val="TextoNormal"/>
      </w:pPr>
    </w:p>
    <w:p w14:paraId="702F19EF" w14:textId="71EB83A3" w:rsidR="008D479B" w:rsidRDefault="008D479B" w:rsidP="008D479B">
      <w:pPr>
        <w:pStyle w:val="TextoNormal"/>
      </w:pPr>
      <w:r>
        <w:t>Manifiesta que ni la Delegación del Gobierno ni el Tribunal Superior de Justicia de Madrid fundaron la prohibición de la concentración en razones convincentes e imperativas, basadas en datos objetivos suficientes derivados de las circunstancias concurrentes en el caso, como exige la doctrina constitucional para limitar o prohibir el ejercicio del derecho de reunión. Por otro lado, entiende que se produjo un agravio comparativo derivado de que en los meses de enero a marzo de 2021 se celebraron en la Comunidad de Madrid numerosas concentraciones y manifestaciones convocadas por distintos colectivos y con diferente objeto, de características similares a las convocadas por el colectivo feminista para los días 7 y 8 de marzo, resultando prohibidas únicamente estas, lo que representó una discriminación directa e indirecta carente de motivación y fundamento objetivo, que ha conllevado consecuencias muy gravosas que afectan de manera desproporcionada a las mujeres feministas; interesa por ello que se dicte una sentencia estimatoria de su recurso de amparo.</w:t>
      </w:r>
    </w:p>
    <w:p w14:paraId="7840770D" w14:textId="77777777" w:rsidR="008D479B" w:rsidRDefault="008D479B" w:rsidP="008D479B">
      <w:pPr>
        <w:pStyle w:val="TextoNormal"/>
      </w:pPr>
    </w:p>
    <w:p w14:paraId="5537FFCC" w14:textId="77777777" w:rsidR="008D479B" w:rsidRDefault="008D479B" w:rsidP="008D479B">
      <w:pPr>
        <w:pStyle w:val="TextoNormal"/>
      </w:pPr>
      <w:r w:rsidRPr="008D479B">
        <w:rPr>
          <w:rStyle w:val="NumeroAFNegritaCaracter"/>
        </w:rPr>
        <w:t>6</w:t>
      </w:r>
      <w:r>
        <w:t>. La Abogacía del Estado, personada en el procedimiento, presentó sus alegaciones en el registro de este tribunal el día 2 de junio de 2022, interesando la desestimación íntegra del recurso.</w:t>
      </w:r>
    </w:p>
    <w:p w14:paraId="7132427C" w14:textId="77777777" w:rsidR="008D479B" w:rsidRDefault="008D479B" w:rsidP="008D479B">
      <w:pPr>
        <w:pStyle w:val="TextoNormal"/>
      </w:pPr>
    </w:p>
    <w:p w14:paraId="11412AA3" w14:textId="77777777" w:rsidR="008D479B" w:rsidRDefault="008D479B" w:rsidP="008D479B">
      <w:pPr>
        <w:pStyle w:val="TextoNormal"/>
      </w:pPr>
      <w:r>
        <w:t>En relación con la invocación del derecho de reunión (art. 21 CE) sostiene, con una amplia referencia al ATC 40/2020, de 30 de abril, que se ha respetado el principio de proporcionalidad en las resoluciones impugnadas, ya que se ha expuesto de manera motivada la prevalencia de las razones sanitarias concurrentes y las razones por las que hubo un cambio de criterio para prohibir finalmente las concentraciones convocadas.</w:t>
      </w:r>
    </w:p>
    <w:p w14:paraId="79284B1D" w14:textId="77777777" w:rsidR="008D479B" w:rsidRDefault="008D479B" w:rsidP="008D479B">
      <w:pPr>
        <w:pStyle w:val="TextoNormal"/>
      </w:pPr>
    </w:p>
    <w:p w14:paraId="0552AE4B" w14:textId="7FE96E7F" w:rsidR="008D479B" w:rsidRDefault="008D479B" w:rsidP="008D479B">
      <w:pPr>
        <w:pStyle w:val="TextoNormal"/>
      </w:pPr>
      <w:r>
        <w:t>En cuanto a la alegación de discriminación indirecta del colectivo feminista, argumenta que tal cuestión fue debidamente abordada y resuelta en la sentencia impugnada, que desestimó la concurrencia de tal discriminación, con cita de la STC 91/2019, de 3 de julio, FJ 7, porque no se aportó un término válido de comparación que permita vislumbrar que en el presente caso la denegación de la concentración solicitada se haya basado implícitamente en razones distintas de las confesadas razones de salud pública que preocupan a todas los ciudadanos y ciudadanas por igual.</w:t>
      </w:r>
    </w:p>
    <w:p w14:paraId="5D4866F9" w14:textId="77777777" w:rsidR="008D479B" w:rsidRDefault="008D479B" w:rsidP="008D479B">
      <w:pPr>
        <w:pStyle w:val="TextoNormal"/>
      </w:pPr>
    </w:p>
    <w:p w14:paraId="098BF8BF" w14:textId="77777777" w:rsidR="008D479B" w:rsidRDefault="008D479B" w:rsidP="008D479B">
      <w:pPr>
        <w:pStyle w:val="TextoNormal"/>
      </w:pPr>
      <w:r w:rsidRPr="008D479B">
        <w:rPr>
          <w:rStyle w:val="NumeroAFNegritaCaracter"/>
        </w:rPr>
        <w:t>7</w:t>
      </w:r>
      <w:r>
        <w:t>. El Ministerio Fiscal presentó sus alegaciones en el registro de este tribunal el día 2 de junio de 2022, mediante las cuales propugna la inadmisión parcial del recurso en cuanto a la vulneración del derecho a la igualdad por razones procesales, y la desestimación del recurso en lo restante, efectuando las siguientes consideraciones:</w:t>
      </w:r>
    </w:p>
    <w:p w14:paraId="7A90B87A" w14:textId="77777777" w:rsidR="008D479B" w:rsidRDefault="008D479B" w:rsidP="008D479B">
      <w:pPr>
        <w:pStyle w:val="TextoNormal"/>
      </w:pPr>
    </w:p>
    <w:p w14:paraId="5E17801A" w14:textId="77777777" w:rsidR="008D479B" w:rsidRDefault="008D479B" w:rsidP="008D479B">
      <w:pPr>
        <w:pStyle w:val="TextoNormal"/>
      </w:pPr>
      <w:r>
        <w:t>a) En primer lugar, argumenta que la cognición limitada del procedimiento elegido por la actora para impugnar la resolución gubernativa, el procedimiento especial de protección jurisdiccional del derecho fundamental de reunión previsto en el art. 122 de la Ley reguladora de la jurisdicción contencioso-administrativa, constituía un impedimento para el análisis de la vulneración del derecho fundamental a la igualdad y prohibición de la discriminación del art. 14 CE debido a la naturaleza subsidiaria del recurso de amparo constitucional.</w:t>
      </w:r>
    </w:p>
    <w:p w14:paraId="278BB8E8" w14:textId="77777777" w:rsidR="008D479B" w:rsidRDefault="008D479B" w:rsidP="008D479B">
      <w:pPr>
        <w:pStyle w:val="TextoNormal"/>
      </w:pPr>
    </w:p>
    <w:p w14:paraId="6B32FBB2" w14:textId="77777777" w:rsidR="008D479B" w:rsidRDefault="008D479B" w:rsidP="008D479B">
      <w:pPr>
        <w:pStyle w:val="TextoNormal"/>
      </w:pPr>
      <w:r>
        <w:t>b) Seguidamente, rechaza la alegación de la demandante de amparo que imputa a la resolución del delegado del Gobierno la falta de motivación exigible para restringir el derecho fundamental de reunión del art. 21 CE, argumentando que la restricción del referido derecho de la demandante se efectúa en la resolución administrativa impugnada con base en razones objetivas, y es proporcionada en cuanto resultaba necesaria para garantizar los derechos a la integridad y salud de las personas.</w:t>
      </w:r>
    </w:p>
    <w:p w14:paraId="6E701116" w14:textId="77777777" w:rsidR="008D479B" w:rsidRDefault="008D479B" w:rsidP="008D479B">
      <w:pPr>
        <w:pStyle w:val="TextoNormal"/>
      </w:pPr>
    </w:p>
    <w:p w14:paraId="4B54807F" w14:textId="135EF305" w:rsidR="008D479B" w:rsidRDefault="008D479B" w:rsidP="008D479B">
      <w:pPr>
        <w:pStyle w:val="TextoNormal"/>
      </w:pPr>
      <w:r>
        <w:t>c) Finalmente, tras exponer la argumentación contenida en la sentencia recurrida acerca del cumplimiento por la resolución administrativa de las exigencias de motivación, del juicio de proporcionalidad realizado y del examen de los informes valorados por el Tribunal Superior de Justicia de Madrid, concluye que “en el presente caso la restricción del ejercicio del derecho de reunión tiene una finalidad legítima con cobertura constitucional bastante en los arts. 15 CE (garantía de integridad física y la vida de las personas), y 43 CE (protección de la salud), que como señala la sentencia recurrida ‘deben prevalecer frente a aquel (derecho fundamental de reunión), justificando su sacrificio, al amparo de lo previsto en el art. 21.2 CE y 11.2 CEDH, en relación con el art. 10.3 CE, que establece el principio de interpretación de los derechos fundamentales y las libertades públicas que la constitución reconoce de conformidad con los tratados y acuerdos internacionales sobre las mismas materias ratificadas por España’”.</w:t>
      </w:r>
    </w:p>
    <w:p w14:paraId="6A19DD35" w14:textId="77777777" w:rsidR="008D479B" w:rsidRDefault="008D479B" w:rsidP="008D479B">
      <w:pPr>
        <w:pStyle w:val="TextoNormal"/>
      </w:pPr>
    </w:p>
    <w:p w14:paraId="293FAC59" w14:textId="3F72FF8F" w:rsidR="008D479B" w:rsidRDefault="008D479B" w:rsidP="008D479B">
      <w:pPr>
        <w:pStyle w:val="TextoNormal"/>
      </w:pPr>
      <w:r w:rsidRPr="008D479B">
        <w:rPr>
          <w:rStyle w:val="NumeroAFNegritaCaracter"/>
        </w:rPr>
        <w:t>8</w:t>
      </w:r>
      <w:r>
        <w:t>. Por providencia de 7 de diciembre de 2023 se señaló para deliberación y votación de la presente sentencia el día 11 del mismo mes y año.</w:t>
      </w:r>
    </w:p>
    <w:p w14:paraId="5FBBD5AA" w14:textId="77777777" w:rsidR="008D479B" w:rsidRDefault="008D479B" w:rsidP="008D479B">
      <w:pPr>
        <w:pStyle w:val="TextoNormal"/>
      </w:pPr>
    </w:p>
    <w:p w14:paraId="73119C48" w14:textId="77777777" w:rsidR="008D479B" w:rsidRDefault="008D479B" w:rsidP="008D479B">
      <w:pPr>
        <w:pStyle w:val="TextoNormalNegritaCentrado"/>
        <w:keepNext/>
      </w:pPr>
      <w:r>
        <w:t>II. Fundamentos jurídicos</w:t>
      </w:r>
    </w:p>
    <w:p w14:paraId="4ADE51FB" w14:textId="1F755383" w:rsidR="008D479B" w:rsidRDefault="008D479B" w:rsidP="008D479B">
      <w:pPr>
        <w:pStyle w:val="TextoNormalNegritaCentrado"/>
        <w:keepNext/>
      </w:pPr>
    </w:p>
    <w:p w14:paraId="08046CEE" w14:textId="77777777" w:rsidR="008D479B" w:rsidRDefault="008D479B" w:rsidP="008D479B">
      <w:pPr>
        <w:pStyle w:val="TextoNormal"/>
      </w:pPr>
      <w:r w:rsidRPr="008D479B">
        <w:rPr>
          <w:rStyle w:val="NumeroAFNegritaCaracter"/>
        </w:rPr>
        <w:t>1</w:t>
      </w:r>
      <w:r>
        <w:t xml:space="preserve">. </w:t>
      </w:r>
      <w:r w:rsidRPr="008D479B">
        <w:rPr>
          <w:i/>
        </w:rPr>
        <w:t>Objeto del recurso</w:t>
      </w:r>
      <w:r>
        <w:t xml:space="preserve"> </w:t>
      </w:r>
      <w:r w:rsidRPr="008D479B">
        <w:rPr>
          <w:i/>
        </w:rPr>
        <w:t>y</w:t>
      </w:r>
      <w:r>
        <w:t xml:space="preserve"> </w:t>
      </w:r>
      <w:r w:rsidRPr="008D479B">
        <w:rPr>
          <w:i/>
        </w:rPr>
        <w:t>posición de las partes</w:t>
      </w:r>
    </w:p>
    <w:p w14:paraId="4F0443FE" w14:textId="77777777" w:rsidR="008D479B" w:rsidRDefault="008D479B" w:rsidP="008D479B">
      <w:pPr>
        <w:pStyle w:val="TextoNormal"/>
      </w:pPr>
    </w:p>
    <w:p w14:paraId="6351FD7A" w14:textId="77777777" w:rsidR="008D479B" w:rsidRDefault="008D479B" w:rsidP="008D479B">
      <w:pPr>
        <w:pStyle w:val="TextoNormal"/>
      </w:pPr>
      <w:r>
        <w:t>El objeto del presente proceso es dilucidar si ha sido vulnerado el derecho fundamental de reunión y manifestación (art. 21 CE) y el derecho a la igualdad en su vertiente de no discriminación por razón de género (art. 14 CE) de la parte demandante, mediante la resolución de la Delegación del Gobierno en la Comunidad de Madrid, de 3 de marzo de 2021, que prohibió la celebración en Madrid de la concentración que había convocado para el 7 de marzo de 2021, con motivo del día internacional de la mujer. La resolución del delegado de Gobierno fue confirmada por la sentencia de 6 de marzo de 2021 de la Sección Décima de la Sala de lo Contencioso-Administrativo del Tribunal Superior de Justicia de Madrid.</w:t>
      </w:r>
    </w:p>
    <w:p w14:paraId="600BF6B6" w14:textId="77777777" w:rsidR="008D479B" w:rsidRDefault="008D479B" w:rsidP="008D479B">
      <w:pPr>
        <w:pStyle w:val="TextoNormal"/>
      </w:pPr>
    </w:p>
    <w:p w14:paraId="3129C781" w14:textId="77777777" w:rsidR="008D479B" w:rsidRDefault="008D479B" w:rsidP="008D479B">
      <w:pPr>
        <w:pStyle w:val="TextoNormal"/>
      </w:pPr>
      <w:r>
        <w:t>La demandante interesa la estimación de la demanda por entender vulnerados los referidos derechos fundamentales y la consecuente anulación de las resoluciones, administrativa y judicial, impugnadas.</w:t>
      </w:r>
    </w:p>
    <w:p w14:paraId="251D3A51" w14:textId="77777777" w:rsidR="008D479B" w:rsidRDefault="008D479B" w:rsidP="008D479B">
      <w:pPr>
        <w:pStyle w:val="TextoNormal"/>
      </w:pPr>
    </w:p>
    <w:p w14:paraId="098C0D1C" w14:textId="254FA2F5" w:rsidR="008D479B" w:rsidRDefault="008D479B" w:rsidP="008D479B">
      <w:pPr>
        <w:pStyle w:val="TextoNormal"/>
      </w:pPr>
      <w:r>
        <w:t>La Abogacía del Estado interesa la desestimación íntegra de la demanda. El Ministerio Fiscal solicita la inadmisión parcial de la demanda en cuanto a la lesión del art. 14 CE, y la desestimación de la demanda en todo lo demás.</w:t>
      </w:r>
    </w:p>
    <w:p w14:paraId="78747FB4" w14:textId="77777777" w:rsidR="008D479B" w:rsidRDefault="008D479B" w:rsidP="008D479B">
      <w:pPr>
        <w:pStyle w:val="TextoNormal"/>
      </w:pPr>
    </w:p>
    <w:p w14:paraId="31FD3A55" w14:textId="77777777" w:rsidR="008D479B" w:rsidRDefault="008D479B" w:rsidP="008D479B">
      <w:pPr>
        <w:pStyle w:val="TextoNormal"/>
      </w:pPr>
      <w:r w:rsidRPr="008D479B">
        <w:rPr>
          <w:rStyle w:val="NumeroAFNegritaCaracter"/>
        </w:rPr>
        <w:t>2</w:t>
      </w:r>
      <w:r>
        <w:t xml:space="preserve">. </w:t>
      </w:r>
      <w:r w:rsidRPr="008D479B">
        <w:rPr>
          <w:i/>
        </w:rPr>
        <w:t>Cuestión previa. Óbice procesal por falta de agotamiento</w:t>
      </w:r>
    </w:p>
    <w:p w14:paraId="38C4135F" w14:textId="77777777" w:rsidR="008D479B" w:rsidRDefault="008D479B" w:rsidP="008D479B">
      <w:pPr>
        <w:pStyle w:val="TextoNormal"/>
      </w:pPr>
    </w:p>
    <w:p w14:paraId="49967E5C" w14:textId="77777777" w:rsidR="008D479B" w:rsidRDefault="008D479B" w:rsidP="008D479B">
      <w:pPr>
        <w:pStyle w:val="TextoNormal"/>
      </w:pPr>
      <w:r>
        <w:t>El Ministerio Fiscal solicita la inadmisión parcial de la demanda en lo que se refiere a la vulneración del art. 14 CE, por considerar que está incursa en la causa de inadmisión de la falta de agotamiento de la vía judicial previa por haber acudido a un procedimiento exclusivamente previsto para la tutela del derecho de reunión, con afectación, por ello del carácter subsidiario del recurso de amparo ante este tribunal.</w:t>
      </w:r>
    </w:p>
    <w:p w14:paraId="4CC5F9C5" w14:textId="77777777" w:rsidR="008D479B" w:rsidRDefault="008D479B" w:rsidP="008D479B">
      <w:pPr>
        <w:pStyle w:val="TextoNormal"/>
      </w:pPr>
    </w:p>
    <w:p w14:paraId="12A9A850" w14:textId="77777777" w:rsidR="008D479B" w:rsidRDefault="008D479B" w:rsidP="008D479B">
      <w:pPr>
        <w:pStyle w:val="TextoNormal"/>
      </w:pPr>
      <w:r>
        <w:t>El motivo de inadmisión debe rechazarse. Como ya hemos declarado reiteradamente, el requisito de agotar la vía judicial antes de interponer el recurso de amparo obliga a utilizar tan solo aquellos medios de impugnación normales que, de manera clara, se manifiesten como practicables, de forma que no quepa duda respecto de la procedencia y la posibilidad real y efectiva de interponer el recurso, así como de su adecuación para reparar la lesión de los derechos fundamentales invocados en la demanda (STC 62/2007, de 27 de marzo, FJ 2).</w:t>
      </w:r>
    </w:p>
    <w:p w14:paraId="5DC11471" w14:textId="77777777" w:rsidR="008D479B" w:rsidRDefault="008D479B" w:rsidP="008D479B">
      <w:pPr>
        <w:pStyle w:val="TextoNormal"/>
      </w:pPr>
    </w:p>
    <w:p w14:paraId="2F8A5CF5" w14:textId="77777777" w:rsidR="008D479B" w:rsidRDefault="008D479B" w:rsidP="008D479B">
      <w:pPr>
        <w:pStyle w:val="TextoNormal"/>
      </w:pPr>
      <w:r>
        <w:t>Lo anterior permitiría entender, como sostiene el Ministerio Fiscal, que la articulación de la denuncia de vulneración del derecho de igualdad por vía del procedimiento previsto en el art. 122 de la Ley reguladora de la jurisdicción contencioso-administrativa, fue del todo inadecuada por ser un procedimiento de cognición limitada regulado por el legislador para la exclusiva garantía del derecho de reunión.</w:t>
      </w:r>
    </w:p>
    <w:p w14:paraId="733F919B" w14:textId="77777777" w:rsidR="008D479B" w:rsidRDefault="008D479B" w:rsidP="008D479B">
      <w:pPr>
        <w:pStyle w:val="TextoNormal"/>
      </w:pPr>
    </w:p>
    <w:p w14:paraId="462CAFA5" w14:textId="77777777" w:rsidR="008D479B" w:rsidRDefault="008D479B" w:rsidP="008D479B">
      <w:pPr>
        <w:pStyle w:val="TextoNormal"/>
      </w:pPr>
      <w:r>
        <w:t>Sin embargo, como premisa a la hora de examinar el motivo de inadmisión por falta de agotamiento de la vía judicial debe partirse de que su interpretación ha de efectuarse de forma flexible y finalista (entre otras muchas, STC 18/2009, de 26 de enero, FJ 2), no siendo su fin sino la preservación de la subsidiariedad del recurso de amparo, a fin de evitar “que el acceso a esta jurisdicción constitucional se produzca [</w:t>
      </w:r>
      <w:r w:rsidRPr="008D479B">
        <w:rPr>
          <w:i/>
        </w:rPr>
        <w:t>per saltum</w:t>
      </w:r>
      <w:r>
        <w:t>, es decir,] sin brindar a los órganos judiciales la oportunidad de pronunciarse y, en su caso, remediar la lesión invocada como fundamento del recurso de amparo constitucional” (por todas, STC 12/2011, de 28 de febrero, FJ 2).</w:t>
      </w:r>
    </w:p>
    <w:p w14:paraId="3175E924" w14:textId="77777777" w:rsidR="008D479B" w:rsidRDefault="008D479B" w:rsidP="008D479B">
      <w:pPr>
        <w:pStyle w:val="TextoNormal"/>
      </w:pPr>
    </w:p>
    <w:p w14:paraId="0D989674" w14:textId="61AC1202" w:rsidR="008D479B" w:rsidRDefault="008D479B" w:rsidP="008D479B">
      <w:pPr>
        <w:pStyle w:val="TextoNormal"/>
      </w:pPr>
      <w:r>
        <w:t>En el presente caso, aun cuando la vía empleada por la demandante no fuera la correcta, ello no obsta para entender que la subsidiariedad del recurso de amparo se habría visto aquí salvaguardada al habérsele ofrecido al órgano judicial la oportunidad de pronunciarse sobre la queja que ahora se reitera en amparo, siendo así que el órgano judicial lejos de limitarse a rechazar su examen, procedió a efectuar un análisis de fondo sobre aquella para concluir en una decisión desestimatoria.</w:t>
      </w:r>
    </w:p>
    <w:p w14:paraId="5182D812" w14:textId="77777777" w:rsidR="008D479B" w:rsidRDefault="008D479B" w:rsidP="008D479B">
      <w:pPr>
        <w:pStyle w:val="TextoNormal"/>
      </w:pPr>
    </w:p>
    <w:p w14:paraId="6CA688D0" w14:textId="77777777" w:rsidR="008D479B" w:rsidRDefault="008D479B" w:rsidP="008D479B">
      <w:pPr>
        <w:pStyle w:val="TextoNormal"/>
      </w:pPr>
      <w:r w:rsidRPr="008D479B">
        <w:rPr>
          <w:rStyle w:val="NumeroAFNegritaCaracter"/>
        </w:rPr>
        <w:t>3</w:t>
      </w:r>
      <w:r>
        <w:t xml:space="preserve">. </w:t>
      </w:r>
      <w:r w:rsidRPr="008D479B">
        <w:rPr>
          <w:i/>
        </w:rPr>
        <w:t>Aplicación de la doctrina constitucional expuesta en la STC 164/2023, de 21 de noviembre</w:t>
      </w:r>
    </w:p>
    <w:p w14:paraId="407EA66F" w14:textId="77777777" w:rsidR="008D479B" w:rsidRDefault="008D479B" w:rsidP="008D479B">
      <w:pPr>
        <w:pStyle w:val="TextoNormal"/>
      </w:pPr>
    </w:p>
    <w:p w14:paraId="3E79E497" w14:textId="77777777" w:rsidR="008D479B" w:rsidRDefault="008D479B" w:rsidP="008D479B">
      <w:pPr>
        <w:pStyle w:val="TextoNormal"/>
      </w:pPr>
      <w:r>
        <w:t>La cuestión planteada en este recurso de amparo es coincidente con la resuelta por la STC 164/2023, de 21 de noviembre, por lo que debemos remitirnos a sus fundamentos jurídicos 2 y 3, en los que respectivamente expusimos la doctrina constitucional sobre el derecho de reunión y manifestación (art. 21 CE) y procedimos a su aplicación a un supuesto que guarda identidad de razón con el presente.</w:t>
      </w:r>
    </w:p>
    <w:p w14:paraId="6079E7FE" w14:textId="77777777" w:rsidR="008D479B" w:rsidRDefault="008D479B" w:rsidP="008D479B">
      <w:pPr>
        <w:pStyle w:val="TextoNormal"/>
      </w:pPr>
    </w:p>
    <w:p w14:paraId="376FE3B2" w14:textId="77777777" w:rsidR="008D479B" w:rsidRDefault="008D479B" w:rsidP="008D479B">
      <w:pPr>
        <w:pStyle w:val="TextoNormal"/>
      </w:pPr>
      <w:r>
        <w:t>En efecto, como en la referida sentencia, también aquí debemos concluir que la prohibición gubernativa vulneró el art. 21 CE y supuso una restricción desproporcionada del derecho de reunión y manifestación del que era titular la parte demandante, dado que la medida de prohibición supuso la máxima afectación del derecho fundamental, con un bajo valor de utilidad para el fin de preservar la salud pública, pues concurría ya en aquel momento una realidad muy distinta a la existente durante la vigencia del primer estado de alarma provocado por la pandemia del virus covid-19. El resultado del juicio de proporcionalidad estricta revela como muy escasa la incidencia que la prohibición de la reunión reivindicativa convocada tendría en el riesgo de contagio y, por ello, la poca relevancia que aportaría a la satisfacción del interés general representado por la salud pública, finalidad que justificaba la intervención de la autoridad gubernativa.</w:t>
      </w:r>
    </w:p>
    <w:p w14:paraId="555A0954" w14:textId="77777777" w:rsidR="008D479B" w:rsidRDefault="008D479B" w:rsidP="008D479B">
      <w:pPr>
        <w:pStyle w:val="TextoNormal"/>
      </w:pPr>
    </w:p>
    <w:p w14:paraId="60C88DB9" w14:textId="77777777" w:rsidR="008D479B" w:rsidRDefault="008D479B" w:rsidP="008D479B">
      <w:pPr>
        <w:pStyle w:val="TextoNormal"/>
      </w:pPr>
      <w:r>
        <w:t>Debe estimarse, en consecuencia, el motivo que denuncia esta lesión y otorgar el amparo solicitado, con nulidad de la resolución de 3 de marzo de 2021 del delegado del Gobierno en la Comunidad de Madrid y de la sentencia que desestimó el recurso interpuesto contra dicha resolución.</w:t>
      </w:r>
    </w:p>
    <w:p w14:paraId="441E8121" w14:textId="77777777" w:rsidR="008D479B" w:rsidRDefault="008D479B" w:rsidP="008D479B">
      <w:pPr>
        <w:pStyle w:val="TextoNormal"/>
      </w:pPr>
    </w:p>
    <w:p w14:paraId="5790F026" w14:textId="535D710D" w:rsidR="008D479B" w:rsidRDefault="008D479B" w:rsidP="008D479B">
      <w:pPr>
        <w:pStyle w:val="TextoNormal"/>
      </w:pPr>
      <w:r>
        <w:t>Tal conclusión hace innecesario el examen de otras eventuales lesiones de derechos fundamentales aducidas en la demanda.</w:t>
      </w:r>
    </w:p>
    <w:p w14:paraId="38A187B7" w14:textId="77777777" w:rsidR="008D479B" w:rsidRDefault="008D479B" w:rsidP="008D479B">
      <w:pPr>
        <w:pStyle w:val="TextoNormal"/>
      </w:pPr>
    </w:p>
    <w:p w14:paraId="2BB42BB7" w14:textId="77777777" w:rsidR="008D479B" w:rsidRDefault="008D479B" w:rsidP="008D479B">
      <w:pPr>
        <w:pStyle w:val="TextoNormalCentrado"/>
        <w:keepNext/>
      </w:pPr>
      <w:r>
        <w:t>FALLO</w:t>
      </w:r>
    </w:p>
    <w:p w14:paraId="4E0B1AF0" w14:textId="16829C55" w:rsidR="008D479B" w:rsidRDefault="008D479B" w:rsidP="008D479B">
      <w:pPr>
        <w:pStyle w:val="TextoNormalCentrado"/>
        <w:keepNext/>
      </w:pPr>
    </w:p>
    <w:p w14:paraId="15EEA72F" w14:textId="77777777" w:rsidR="008D479B" w:rsidRDefault="008D479B" w:rsidP="008D479B">
      <w:pPr>
        <w:pStyle w:val="TextoNormal"/>
      </w:pPr>
      <w:r>
        <w:t>En atención a todo lo expuesto, el Tribunal Constitucional, por la autoridad que le confiere la Constitución de la Nación española, ha decidido estimar el recurso de amparo interpuesto por doña Camila Banderas Briceño, y en su virtud:</w:t>
      </w:r>
    </w:p>
    <w:p w14:paraId="636A49AB" w14:textId="77777777" w:rsidR="008D479B" w:rsidRDefault="008D479B" w:rsidP="008D479B">
      <w:pPr>
        <w:pStyle w:val="TextoNormal"/>
      </w:pPr>
    </w:p>
    <w:p w14:paraId="68EEC08C" w14:textId="77777777" w:rsidR="008D479B" w:rsidRDefault="008D479B" w:rsidP="008D479B">
      <w:pPr>
        <w:pStyle w:val="TextoNormal"/>
      </w:pPr>
      <w:r>
        <w:t>1º Declarar que se ha vulnerado su derecho fundamental de reunión y manifestación (art. 21 CE).</w:t>
      </w:r>
    </w:p>
    <w:p w14:paraId="68684BC9" w14:textId="77777777" w:rsidR="008D479B" w:rsidRDefault="008D479B" w:rsidP="008D479B">
      <w:pPr>
        <w:pStyle w:val="TextoNormal"/>
      </w:pPr>
    </w:p>
    <w:p w14:paraId="651043D2" w14:textId="475AF8A2" w:rsidR="008D479B" w:rsidRDefault="008D479B" w:rsidP="008D479B">
      <w:pPr>
        <w:pStyle w:val="TextoNormal"/>
      </w:pPr>
      <w:r>
        <w:t>2º Restablecerle en su derecho y, a tal fin, anular la resolución del delegado del Gobierno en la Comunidad de Madrid de fecha 3 de marzo de 2021, que prohibió la manifestación que la demandante había convocado para el día 7 de marzo de 2021 en Madrid, y la sentencia de 6 de marzo de 2021, dictada por la Sección Décima de la Sala de lo Contencioso-Administrativo del Tribunal Superior de Justicia de Madrid recaída en el procedimiento sobre derecho de reunión núm. 277-2021, que desestimó el recurso interpuesto contra la anterior resolución.</w:t>
      </w:r>
    </w:p>
    <w:p w14:paraId="0F60EA62" w14:textId="77777777" w:rsidR="008D479B" w:rsidRDefault="008D479B" w:rsidP="008D479B">
      <w:pPr>
        <w:pStyle w:val="TextoNormal"/>
      </w:pPr>
    </w:p>
    <w:p w14:paraId="112ABA72" w14:textId="77777777" w:rsidR="008D479B" w:rsidRDefault="008D479B" w:rsidP="008D479B">
      <w:pPr>
        <w:pStyle w:val="TextoNormal"/>
      </w:pPr>
      <w:r>
        <w:t>Publíquese esta sentencia en el “Boletín Oficial del Estado”.</w:t>
      </w:r>
    </w:p>
    <w:p w14:paraId="2CC26C2C" w14:textId="77777777" w:rsidR="008D479B" w:rsidRDefault="008D479B" w:rsidP="008D479B">
      <w:pPr>
        <w:pStyle w:val="TextoNormal"/>
      </w:pPr>
      <w:r>
        <w:t>Dada en Madrid, a once de diciembre de dos mil veintitrés.</w:t>
      </w:r>
    </w:p>
    <w:p w14:paraId="23CFDA04" w14:textId="4114EDF9" w:rsidR="008D479B" w:rsidRDefault="008D479B">
      <w:pPr>
        <w:spacing w:after="160" w:line="278" w:lineRule="auto"/>
        <w:rPr>
          <w:rFonts w:ascii="Times New Roman" w:eastAsia="Times New Roman" w:hAnsi="Times New Roman" w:cs="Times New Roman"/>
          <w:sz w:val="24"/>
          <w:szCs w:val="24"/>
          <w:lang w:eastAsia="es-ES"/>
        </w:rPr>
      </w:pPr>
      <w:r>
        <w:br w:type="page"/>
      </w:r>
    </w:p>
    <w:p w14:paraId="0FF3159B" w14:textId="77777777" w:rsidR="008D479B" w:rsidRDefault="008D479B" w:rsidP="008D479B">
      <w:pPr>
        <w:pStyle w:val="TtuloResolucin"/>
      </w:pPr>
      <w:bookmarkStart w:id="103" w:name="SENTENCIA_2023_178"/>
      <w:r>
        <w:t>SENTENCIA 178/2023, de 11 de diciembre de 2023</w:t>
      </w:r>
    </w:p>
    <w:bookmarkEnd w:id="103"/>
    <w:p w14:paraId="1A94E469" w14:textId="77777777" w:rsidR="008D479B" w:rsidRDefault="008D479B" w:rsidP="008D479B">
      <w:pPr>
        <w:pStyle w:val="TtuloResolucin"/>
      </w:pPr>
      <w:r>
        <w:t>Sala Primera</w:t>
      </w:r>
    </w:p>
    <w:p w14:paraId="678ED1FD" w14:textId="77777777" w:rsidR="008D479B" w:rsidRDefault="008D479B" w:rsidP="008D479B">
      <w:pPr>
        <w:pStyle w:val="TtuloBOE"/>
      </w:pPr>
      <w:r>
        <w:t>(BOE núm. 16, de 18 de enero de 2024)</w:t>
      </w:r>
    </w:p>
    <w:p w14:paraId="2EDA77D2" w14:textId="77777777" w:rsidR="008D479B" w:rsidRDefault="008D479B" w:rsidP="008D479B">
      <w:pPr>
        <w:pStyle w:val="TextoNormalCentrado"/>
      </w:pPr>
      <w:r>
        <w:t>ECLI:ES:TC:2023:178</w:t>
      </w:r>
    </w:p>
    <w:p w14:paraId="0D059366" w14:textId="0CB24A56" w:rsidR="008D479B" w:rsidRDefault="008D479B" w:rsidP="008D479B">
      <w:pPr>
        <w:pStyle w:val="TextoNormalCentrado"/>
      </w:pPr>
    </w:p>
    <w:p w14:paraId="15117182" w14:textId="77777777" w:rsidR="008D479B" w:rsidRDefault="008D479B" w:rsidP="008D479B">
      <w:pPr>
        <w:pStyle w:val="SntesisDescriptiva"/>
      </w:pPr>
      <w:r>
        <w:t>Recurso de amparo 2038-2021. Promovido por doña Miriam Guardia Alonso en relación con la sentencia dictada por la Sala de lo Contencioso-Administrativo del Tribunal Superior de Justicia de Madrid que desestimó su demanda frente a la resolución del delegado del Gobierno en Madrid prohibiendo la concentración convocada para el día 7 de marzo de 2021.</w:t>
      </w:r>
    </w:p>
    <w:p w14:paraId="07DCD38E" w14:textId="24A97C47" w:rsidR="008D479B" w:rsidRDefault="008D479B" w:rsidP="008D479B">
      <w:pPr>
        <w:pStyle w:val="SntesisDescriptiva"/>
      </w:pPr>
    </w:p>
    <w:p w14:paraId="2E595991" w14:textId="77777777" w:rsidR="008D479B" w:rsidRDefault="008D479B" w:rsidP="008D479B">
      <w:pPr>
        <w:pStyle w:val="SntesisAnaltica"/>
      </w:pPr>
      <w:r>
        <w:t>Vulneración del derecho de reunión y manifestación: STC 164/2023 (prohibición injustificada y desproporcionada de la convocatoria de concentración al aire libre, con número limitado de asistentes y garantizando el uso de mascarillas y el mantenimiento de una distancia interpersonal de seguridad). Votos particulares.</w:t>
      </w:r>
    </w:p>
    <w:p w14:paraId="06303582" w14:textId="3AD23C20" w:rsidR="008D479B" w:rsidRDefault="008D479B" w:rsidP="008D479B">
      <w:pPr>
        <w:pStyle w:val="SntesisAnaltica"/>
      </w:pPr>
    </w:p>
    <w:p w14:paraId="1E1A37E1" w14:textId="6EDE8395" w:rsidR="008D479B" w:rsidRDefault="008D479B" w:rsidP="008D479B">
      <w:pPr>
        <w:pStyle w:val="Extracto"/>
      </w:pPr>
      <w:r>
        <w:t>1.</w:t>
      </w:r>
      <w:r>
        <w:tab/>
        <w:t>Se aplica la doctrina relativa al derecho de reunión y manifestación en relación con la proporcionalidad debida de las medidas limitativas de su ejercicio  (STC 164/2023) [FJ Único].</w:t>
      </w:r>
    </w:p>
    <w:p w14:paraId="26329EE7" w14:textId="77777777" w:rsidR="008D479B" w:rsidRDefault="008D479B" w:rsidP="008D479B">
      <w:pPr>
        <w:pStyle w:val="Extracto"/>
      </w:pPr>
    </w:p>
    <w:p w14:paraId="7D2A0143" w14:textId="77777777" w:rsidR="008D479B" w:rsidRDefault="008D479B" w:rsidP="008D479B">
      <w:pPr>
        <w:pStyle w:val="Extracto"/>
      </w:pPr>
    </w:p>
    <w:p w14:paraId="24162174" w14:textId="77777777" w:rsidR="008D479B" w:rsidRDefault="008D479B" w:rsidP="008D479B">
      <w:pPr>
        <w:pStyle w:val="TextoNormal"/>
      </w:pPr>
      <w:r>
        <w:t>La Sala Primera del Tribunal Constitucional, compuesta por el magistrado don Cándido Conde-Pumpido Tourón, presidente, y los magistrados y magistradas don Ricardo Enríquez Sancho, doña Concepción Espejel Jorquera, doña María Luisa Segoviano Astaburuaga y don Juan Carlos Campo Moreno, ha pronunciado</w:t>
      </w:r>
    </w:p>
    <w:p w14:paraId="6211C669" w14:textId="6778E5D6" w:rsidR="008D479B" w:rsidRDefault="008D479B" w:rsidP="008D479B">
      <w:pPr>
        <w:pStyle w:val="TextoNormal"/>
      </w:pPr>
    </w:p>
    <w:p w14:paraId="043D2958" w14:textId="77777777" w:rsidR="008D479B" w:rsidRDefault="008D479B" w:rsidP="008D479B">
      <w:pPr>
        <w:pStyle w:val="TextoNormalCentrado"/>
        <w:keepNext/>
      </w:pPr>
      <w:r>
        <w:t>EN NOMBRE DEL REY</w:t>
      </w:r>
    </w:p>
    <w:p w14:paraId="25D40DFF" w14:textId="5329C37B" w:rsidR="008D479B" w:rsidRDefault="008D479B" w:rsidP="008D479B">
      <w:pPr>
        <w:pStyle w:val="TextoNormalCentrado"/>
        <w:keepNext/>
      </w:pPr>
    </w:p>
    <w:p w14:paraId="52343F36" w14:textId="77777777" w:rsidR="008D479B" w:rsidRDefault="008D479B" w:rsidP="008D479B">
      <w:pPr>
        <w:pStyle w:val="TextoNormalCentrado"/>
        <w:keepNext/>
      </w:pPr>
    </w:p>
    <w:p w14:paraId="686B6879" w14:textId="77777777" w:rsidR="008D479B" w:rsidRDefault="008D479B" w:rsidP="008D479B">
      <w:pPr>
        <w:pStyle w:val="TextoNormal"/>
      </w:pPr>
      <w:r>
        <w:t>la siguiente</w:t>
      </w:r>
    </w:p>
    <w:p w14:paraId="631D8AB1" w14:textId="7F5E86EF" w:rsidR="008D479B" w:rsidRDefault="008D479B" w:rsidP="008D479B">
      <w:pPr>
        <w:pStyle w:val="TextoNormal"/>
      </w:pPr>
    </w:p>
    <w:p w14:paraId="131B9062" w14:textId="77777777" w:rsidR="008D479B" w:rsidRDefault="008D479B" w:rsidP="008D479B">
      <w:pPr>
        <w:pStyle w:val="TextoNormalCentrado"/>
        <w:keepNext/>
      </w:pPr>
      <w:r>
        <w:t>SENTENCIA</w:t>
      </w:r>
    </w:p>
    <w:p w14:paraId="2A4861D3" w14:textId="35DDA54F" w:rsidR="008D479B" w:rsidRDefault="008D479B" w:rsidP="008D479B">
      <w:pPr>
        <w:pStyle w:val="TextoNormalCentrado"/>
        <w:keepNext/>
      </w:pPr>
    </w:p>
    <w:p w14:paraId="395264A0" w14:textId="77777777" w:rsidR="008D479B" w:rsidRDefault="008D479B" w:rsidP="008D479B">
      <w:pPr>
        <w:pStyle w:val="TextoNormal"/>
      </w:pPr>
      <w:r>
        <w:t>En el recurso de amparo núm. 2038-2021, promovido por doña Miriam Guardia Alonso contra la sentencia de la Sección Décima de la Sala de lo Contencioso-Administrativo del Tribunal Superior de Justicia de la Comunidad de Madrid núm. 184/2021, de 6 de marzo, pronunciada en el procedimiento sobre derecho de reunión núm. 278-2021, por la que se desestima el recurso interpuesto contra la resolución del delegado del Gobierno en la Comunidad de Madrid de 3 de marzo de 2021, pronunciada en el expediente núm. 317-2021, acordando la prohibición de la concentración convocada para el día 7 de marzo de 2021. Ha comparecido la Abogacía del Estado. Ha intervenido el Ministerio Fiscal. Ha sido ponente la magistrada doña María Luisa Segoviano Astaburuaga.</w:t>
      </w:r>
    </w:p>
    <w:p w14:paraId="4C8971FE" w14:textId="7467486D" w:rsidR="008D479B" w:rsidRDefault="008D479B" w:rsidP="008D479B">
      <w:pPr>
        <w:pStyle w:val="TextoNormal"/>
      </w:pPr>
    </w:p>
    <w:p w14:paraId="5B0CFD5C" w14:textId="77777777" w:rsidR="008D479B" w:rsidRDefault="008D479B" w:rsidP="008D479B">
      <w:pPr>
        <w:pStyle w:val="TextoNormalNegritaCentrado"/>
        <w:keepNext/>
      </w:pPr>
      <w:r>
        <w:t>I. Antecedentes</w:t>
      </w:r>
    </w:p>
    <w:p w14:paraId="51A18599" w14:textId="3C8F2862" w:rsidR="008D479B" w:rsidRDefault="008D479B" w:rsidP="008D479B">
      <w:pPr>
        <w:pStyle w:val="TextoNormalNegritaCentrado"/>
        <w:keepNext/>
      </w:pPr>
    </w:p>
    <w:p w14:paraId="3D540BEB" w14:textId="034FBA45" w:rsidR="008D479B" w:rsidRDefault="008D479B" w:rsidP="008D479B">
      <w:pPr>
        <w:pStyle w:val="TextoNormal"/>
      </w:pPr>
      <w:r w:rsidRPr="008D479B">
        <w:rPr>
          <w:rStyle w:val="NumeroAFNegritaCaracter"/>
        </w:rPr>
        <w:t>1</w:t>
      </w:r>
      <w:r>
        <w:t>. Doña Miriam Guardia Alonso, representada por la procuradora de los tribunales doña Virginia Sánchez de León Herencia, bajo la dirección de la letrada doña María Andrés Rodríguez, interpuso recurso de amparo contra las resoluciones mencionadas en el encabezamiento de esta sentencia mediante escrito registrado en este tribunal el 8 de abril de 2021.</w:t>
      </w:r>
    </w:p>
    <w:p w14:paraId="293B1AB2" w14:textId="77777777" w:rsidR="008D479B" w:rsidRDefault="008D479B" w:rsidP="008D479B">
      <w:pPr>
        <w:pStyle w:val="TextoNormal"/>
      </w:pPr>
    </w:p>
    <w:p w14:paraId="01E485D2" w14:textId="77777777" w:rsidR="008D479B" w:rsidRDefault="008D479B" w:rsidP="008D479B">
      <w:pPr>
        <w:pStyle w:val="TextoNormal"/>
      </w:pPr>
      <w:r w:rsidRPr="008D479B">
        <w:rPr>
          <w:rStyle w:val="NumeroAFNegritaCaracter"/>
        </w:rPr>
        <w:t>2</w:t>
      </w:r>
      <w:r>
        <w:t>. El recurso tiene su origen en los siguientes antecedentes:</w:t>
      </w:r>
    </w:p>
    <w:p w14:paraId="76017F34" w14:textId="77777777" w:rsidR="008D479B" w:rsidRDefault="008D479B" w:rsidP="008D479B">
      <w:pPr>
        <w:pStyle w:val="TextoNormal"/>
      </w:pPr>
    </w:p>
    <w:p w14:paraId="0EE29E40" w14:textId="77777777" w:rsidR="008D479B" w:rsidRDefault="008D479B" w:rsidP="008D479B">
      <w:pPr>
        <w:pStyle w:val="TextoNormal"/>
      </w:pPr>
      <w:r>
        <w:t>a) Doña Miriam Guardia Alonso, por escrito de 22 de febrero de 2021, comunicó a la Delegación del Gobierno en la Comunidad de Madrid la convocatoria de una concentración el 7 de marzo de 2021 en el Paseo de la Vaguada de Madrid de 15:00 a 20:00 horas con una participación de cincuenta personas con motivo de la celebración del día internacional de la mujer.</w:t>
      </w:r>
    </w:p>
    <w:p w14:paraId="2255DB4C" w14:textId="77777777" w:rsidR="008D479B" w:rsidRDefault="008D479B" w:rsidP="008D479B">
      <w:pPr>
        <w:pStyle w:val="TextoNormal"/>
      </w:pPr>
    </w:p>
    <w:p w14:paraId="22931F86" w14:textId="77777777" w:rsidR="008D479B" w:rsidRDefault="008D479B" w:rsidP="008D479B">
      <w:pPr>
        <w:pStyle w:val="TextoNormal"/>
      </w:pPr>
      <w:r>
        <w:t>b) El delegado del Gobierno en la Comunidad de Madrid por acuerdo de 3 de marzo de 2021 decidió prohibir la celebración de dicha concentración por razones de salud pública.</w:t>
      </w:r>
    </w:p>
    <w:p w14:paraId="3D6CF184" w14:textId="77777777" w:rsidR="008D479B" w:rsidRDefault="008D479B" w:rsidP="008D479B">
      <w:pPr>
        <w:pStyle w:val="TextoNormal"/>
      </w:pPr>
    </w:p>
    <w:p w14:paraId="5C5797DA" w14:textId="77777777" w:rsidR="008D479B" w:rsidRDefault="008D479B" w:rsidP="008D479B">
      <w:pPr>
        <w:pStyle w:val="TextoNormal"/>
      </w:pPr>
      <w:r>
        <w:t>En su resolución, el delegado del Gobierno en la Comunidad de Madrid realiza unas consideraciones generales sobre su competencia para adoptar las medidas necesarias relativas a la celebración de reuniones y manifestaciones con objeto de impedir que se perturbe la seguridad ciudadana (art. 23.1 de la Ley Orgánica 4/2015, 30 de marzo, de protección de la seguridad ciudadana); asimismo, en su resolución recogía unas consideraciones generales sobre el derecho fundamental de reunión y sostiene que este derecho no tiene carácter absoluto, sino que está sujeto a límites establecidos por la Constitución y la ley cuando concurren otros derechos y bienes constitucionalmente protegidos.</w:t>
      </w:r>
    </w:p>
    <w:p w14:paraId="0FE6B2D5" w14:textId="77777777" w:rsidR="008D479B" w:rsidRDefault="008D479B" w:rsidP="008D479B">
      <w:pPr>
        <w:pStyle w:val="TextoNormal"/>
      </w:pPr>
    </w:p>
    <w:p w14:paraId="0B30880C" w14:textId="77777777" w:rsidR="008D479B" w:rsidRDefault="008D479B" w:rsidP="008D479B">
      <w:pPr>
        <w:pStyle w:val="TextoNormal"/>
      </w:pPr>
      <w:r>
        <w:t>A partir del fundamento de Derecho cuarto de su resolución, señala que en las fechas en las que se había convocado la concentración y el día en que iba a tener lugar España afrontaba “una crisis sanitaria sin precedentes y de una extraordinaria amplitud y gravedad ocasionada por la expansión del denominado covid-19, tanto por el extraordinario riesgo de contagio y el alto número de ciudadanos afectados, con la consiguiente presión sobre los servicios sanitarios, como por el elevado coste social y económico derivados de las medidas extraordinarias de contención y distanciamiento adoptadas por los distintos Estados”.</w:t>
      </w:r>
    </w:p>
    <w:p w14:paraId="2CFE80B5" w14:textId="77777777" w:rsidR="008D479B" w:rsidRDefault="008D479B" w:rsidP="008D479B">
      <w:pPr>
        <w:pStyle w:val="TextoNormal"/>
      </w:pPr>
    </w:p>
    <w:p w14:paraId="1556D5E3" w14:textId="77777777" w:rsidR="008D479B" w:rsidRDefault="008D479B" w:rsidP="008D479B">
      <w:pPr>
        <w:pStyle w:val="TextoNormal"/>
      </w:pPr>
      <w:r>
        <w:t>Seguidamente, la resolución del delegado del Gobierno hacía referencia a lo establecido en el art. 7.3 del Real Decreto 926/2020, de 25 de octubre, por el que se declaró el segundo estado de alarma, que estaba en vigor y aplicándose en las fechas de autos, que preveía que las manifestaciones podrían limitarse, condicionarse o prohibirse cuando en la previa comunicación presentada por los promotores no quedara garantizada la distancia personal necesaria para impedir contagios. También alude a las sentencias de la Sala de lo Contencioso-Administrativo del Tribunal Superior de Justicia de Madrid ambas de 30 de abril de 2020 que hacían mención a la posibilidad de establecer limitaciones de la permanencia de grupos de personas en espacios públicos y privados; asimismo, citaba las sentencias dictadas por esta misma Sala de 4 y 11 de febrero de 2021 que aludían a la limitación a que puede verse sometido el ejercicio del derecho fundamental del art. 21 CE cuando entra en conflicto con bienes y valores constitucionales, como la salud pública, la integridad física y la vida de las personas, que deben prevalecer frente a aquel.</w:t>
      </w:r>
    </w:p>
    <w:p w14:paraId="3414AC74" w14:textId="77777777" w:rsidR="008D479B" w:rsidRDefault="008D479B" w:rsidP="008D479B">
      <w:pPr>
        <w:pStyle w:val="TextoNormal"/>
      </w:pPr>
    </w:p>
    <w:p w14:paraId="53F7C7D5" w14:textId="77777777" w:rsidR="008D479B" w:rsidRDefault="008D479B" w:rsidP="008D479B">
      <w:pPr>
        <w:pStyle w:val="TextoNormal"/>
      </w:pPr>
      <w:r>
        <w:t>A continuación, el acuerdo del delegado del Gobierno en la Comunidad de Madrid se refiere a las circunstancias concretas que debían ser ponderadas en el presente caso:</w:t>
      </w:r>
    </w:p>
    <w:p w14:paraId="76B3677E" w14:textId="77777777" w:rsidR="008D479B" w:rsidRDefault="008D479B" w:rsidP="008D479B">
      <w:pPr>
        <w:pStyle w:val="TextoNormal"/>
      </w:pPr>
    </w:p>
    <w:p w14:paraId="2B574CC9" w14:textId="77777777" w:rsidR="008D479B" w:rsidRDefault="008D479B" w:rsidP="008D479B">
      <w:pPr>
        <w:pStyle w:val="TextoNormal"/>
      </w:pPr>
      <w:r>
        <w:t>(i) Primero, pone de manifiesto que el aspecto más evidente en aquellas fechas era que “tras las consecuencias provocadas por las reuniones familiares de las navidades, estamos afrontando el resultado de la ‘tercera ola’, si cabe con mayor virulencia que las anteriores”. Al respecto subraya los siguientes extremos: (a) que la Consejería de Sanidad de la Comunidad de Madrid había tenido que dictar “[ó]rdenes con medidas específicas, temporales y excepcionales, para la contención de la expansión del covid-19” a la vista de la evolución de la pandemia, en las que se daba cuenta de la necesidad de mantener distintas medidas limitativas con objeto de minimizar los riesgos de exposición al virus; (b) que la situación de la Comunidad de Madrid estaba catalogada en aquellos días de “riesgo extremo” siendo una de las tres comunidades autónomas “con mayor incidencia acumulada”, así como “la de mayor presión hospitalaria de toda España (43 por 100 en UCI)”; (c) que la aparición de nuevas cepas como la inglesa, sudafricana, brasileña, mexicana, nigeriana, de Nueva York o Robin, puestas de manifiesto por expertos y autoridades sanitarias, estaba “provocando que los contagios se propag[aran] con mayor rapidez y facilidad”, agregando que el Gobierno de España mantenía restricciones y medidas concretas “hasta finales de marzo para viajeros procedentes de distintos países del mundo, con la intención de frenar la propagación de las citadas variantes del virus”; (d) que, pese al descenso paulatino de la incidencia, “la totalidad de autoridades sanitarias y expertos insisten en que no es posible bajar la guardia”, siendo muy elevado el riesgo de contagios y más teniendo en cuenta la evolución rápida de las nuevas cepas. A tal efecto, la resolución del delegado del Gobierno destaca que se venían cancelando en aquellas fechas todos los eventos multitudinarios previstos debido al alto riesgo de contagios, como las Fallas valencianas, la Semana Santa o la imposibilidad de asistir a eventos deportivos; y (e) que, en las grandes áreas metropolitanas, con un alto índice de población, “la movilidad de las personas es muy alta diariamente y el uso del transporte público puede elevar el riesgo de contagios”.</w:t>
      </w:r>
    </w:p>
    <w:p w14:paraId="06ED885E" w14:textId="77777777" w:rsidR="008D479B" w:rsidRDefault="008D479B" w:rsidP="008D479B">
      <w:pPr>
        <w:pStyle w:val="TextoNormal"/>
      </w:pPr>
    </w:p>
    <w:p w14:paraId="259C745F" w14:textId="77777777" w:rsidR="008D479B" w:rsidRDefault="008D479B" w:rsidP="008D479B">
      <w:pPr>
        <w:pStyle w:val="TextoNormal"/>
      </w:pPr>
      <w:r>
        <w:t>(ii) En relación con la específica celebración del día 8 de marzo, en cuanto día internacional de la mujer, señala la resolución que “cada año se realizan distintos actos reivindicativos que aglutinan gran número de personas en las calles” y que, “[e]n los últimos años, las cifras de manifestantes solamente en Madrid han sido muy elevadas”, lo que ha motivado que las máximas autoridades sanitarias hubieran realizado “notorias declaraciones públicas desaconsejando el modo de concentración de años anteriores”. Al respecto cita las declaraciones de la ministra de Sanidad del día 25 de febrero anterior, en las que afirmó que “no ha lugar” a la celebración de manifestaciones y concentraciones el día 8 de marzo “por el elevado riesgo de contagios que hay hoy en día”; igualmente, el consejero de Sanidad de la Comunidad de Madrid afirmó que “el criterio de salud pública va en contra de la celebración de estas manifestaciones”; y el portavoz del Consejo de Ministros del Gobierno de España, que, en sesión del día 2 de marzo, hizo un llamamiento a que el día 8 de marzo no hubiera concentraciones masivas ni manifestaciones.</w:t>
      </w:r>
    </w:p>
    <w:p w14:paraId="0D884DB1" w14:textId="77777777" w:rsidR="008D479B" w:rsidRDefault="008D479B" w:rsidP="008D479B">
      <w:pPr>
        <w:pStyle w:val="TextoNormal"/>
      </w:pPr>
    </w:p>
    <w:p w14:paraId="074F425E" w14:textId="77777777" w:rsidR="008D479B" w:rsidRDefault="008D479B" w:rsidP="008D479B">
      <w:pPr>
        <w:pStyle w:val="TextoNormal"/>
      </w:pPr>
      <w:r>
        <w:t>(iii) A continuación, la resolución del delegado del Gobierno alude a que en “tan solo tres días (sábado 6, domingo 7 y lunes 8 de marzo), en la Comunidad de Madrid han sido convocadas un total de 104 manifestaciones/concentraciones con distintos objetos (la mayoría relacionadas con el día internacional de la mujer), distintas ubicaciones y número de participantes (desde veinticinco personas en las más pequeñas hasta 10 000 en la más grande)” y, según refiere la resolución, se trataba de un número muy superior al de la media semanal en la Comunidad de Madrid, cifrado en setenta.</w:t>
      </w:r>
    </w:p>
    <w:p w14:paraId="6F7F0234" w14:textId="77777777" w:rsidR="008D479B" w:rsidRDefault="008D479B" w:rsidP="008D479B">
      <w:pPr>
        <w:pStyle w:val="TextoNormal"/>
      </w:pPr>
    </w:p>
    <w:p w14:paraId="654AB650" w14:textId="77777777" w:rsidR="008D479B" w:rsidRDefault="008D479B" w:rsidP="008D479B">
      <w:pPr>
        <w:pStyle w:val="TextoNormal"/>
      </w:pPr>
      <w:r>
        <w:t>De tales datos deduce la resolución “la intención de los manifestantes de salir a las calles de forma masiva”, lo que a su juicio implicaba: (a) el “desconocimiento real del número total de personas que podrían ir en caso de llevarse a cabo”; (b) la “gran movilidad de personas en los trayectos desde los domicilios a las manifestaciones y concentraciones y viceversa”; y (c) el “riesgo alto de contagios, no solamente en los desplazamientos, sino en los lugares de celebración de las concentraciones”.</w:t>
      </w:r>
    </w:p>
    <w:p w14:paraId="1F3EF9BA" w14:textId="77777777" w:rsidR="008D479B" w:rsidRDefault="008D479B" w:rsidP="008D479B">
      <w:pPr>
        <w:pStyle w:val="TextoNormal"/>
      </w:pPr>
    </w:p>
    <w:p w14:paraId="25D7388E" w14:textId="77777777" w:rsidR="008D479B" w:rsidRDefault="008D479B" w:rsidP="008D479B">
      <w:pPr>
        <w:pStyle w:val="TextoNormal"/>
      </w:pPr>
      <w:r>
        <w:t>(iv) La resolución del delegado del Gobierno refiere también que “la información recabada de la Policía Nacional al respecto manifiesta que no puede garantizarse que no exista riesgo del agrupamiento de varias concentraciones o manifestaciones relativamente próximas independientemente del lugar o formato de la convocatoria”. Asimismo, indica que representantes de la Delegación del Gobierno en Madrid “mantuvieron una reunión el pasado 24 de febrero de 2021, con la Plataforma 8-M, con la intención de buscar formatos alternativos a las manifestaciones convocadas”, que permitieran “el ejercicio reivindicativo sin poner en riesgo la salud pública (convocatorias virtuales, manifestarse desde los balcones o manifestaciones en vehículos)”.</w:t>
      </w:r>
    </w:p>
    <w:p w14:paraId="68632BC9" w14:textId="77777777" w:rsidR="008D479B" w:rsidRDefault="008D479B" w:rsidP="008D479B">
      <w:pPr>
        <w:pStyle w:val="TextoNormal"/>
      </w:pPr>
    </w:p>
    <w:p w14:paraId="1A27615C" w14:textId="77777777" w:rsidR="008D479B" w:rsidRDefault="008D479B" w:rsidP="008D479B">
      <w:pPr>
        <w:pStyle w:val="TextoNormal"/>
      </w:pPr>
      <w:r>
        <w:t>(v) Se agrega a lo anterior que, “tras haberse prohibido por motivos sanitarios las dos grandes manifestaciones la semana pasada, se están convocando este tipo de concentraciones más pequeñas que permite ver una misma causa fragmentada; es decir, muchas concentraciones, pero con menos personas”. A esta conclusión llega argumentando que “[l]a intención no es la de buscar alternativas que permitan reivindicar la causa”, sino “salir a la calle de forma masiva”, como lo demuestra el número de manifestaciones/concentraciones convocadas (104) en aquel fin de semana del 6 al 8 de marzo de 2021.</w:t>
      </w:r>
    </w:p>
    <w:p w14:paraId="5C65623C" w14:textId="77777777" w:rsidR="008D479B" w:rsidRDefault="008D479B" w:rsidP="008D479B">
      <w:pPr>
        <w:pStyle w:val="TextoNormal"/>
      </w:pPr>
    </w:p>
    <w:p w14:paraId="0B4953E9" w14:textId="77777777" w:rsidR="008D479B" w:rsidRDefault="008D479B" w:rsidP="008D479B">
      <w:pPr>
        <w:pStyle w:val="TextoNormal"/>
      </w:pPr>
      <w:r>
        <w:t>(vi) Igualmente señala que había solicitado por dos veces un informe a la Consejería de Sanidad de la Comunidad de Madrid sobre “estimación del riesgo del acto comunicado” en fechas 25 de febrero y 1 de marzo de 2021, no habiendo recibido el informe solicitado. Afirma que deben ser tenidos en cuenta los siguientes elementos: (a) la situación sanitaria de la evolución de la covid-19 en la Comunidad de Madrid es de “riesgo extremo”; (b) no ha habido variación en los consejos de las autoridades sanitarias para evitar los riesgos de contagio y propagación de la pandemia, agregando la referencia a una comunicación del día 2 de marzo del Consejo General de Colegios Oficiales de Médicos que hacía un llamamiento a la responsabilidad y compromiso de la ciudadanía ante cualquier tipo de concentración o manifestación que pudiera suponer un riesgo para la salud pública; (c) el detallado análisis del acto comunicado, “puesto en su contexto temporal y espacial, se deduce una posible concurrencia de otros actos comunicados en los mismos días”; y (d) los informes anteriores emitidos por la Dirección General de Salud Pública de la Comunidad de Madrid, los últimos de ellos referidos a manifestaciones masivas del 8 de marzo, “vienen especificando que las medidas correctoras y de prevención que proponen las organizaciones, como distancia… ‘pueden resultar insuficientes teniendo en cuenta la dificultad de mantener el distanciamiento interpersonal en una concentración cuando las personas están de pie y deambulan, quedando únicamente a merced de la protección de la mascarilla y el cuidado con que se haga uso de la misma, lo que podría resultar insuficiente en la situación epidemiológica actual’”.</w:t>
      </w:r>
    </w:p>
    <w:p w14:paraId="7A1537A3" w14:textId="77777777" w:rsidR="008D479B" w:rsidRDefault="008D479B" w:rsidP="008D479B">
      <w:pPr>
        <w:pStyle w:val="TextoNormal"/>
      </w:pPr>
    </w:p>
    <w:p w14:paraId="35D68ECF" w14:textId="77777777" w:rsidR="008D479B" w:rsidRDefault="008D479B" w:rsidP="008D479B">
      <w:pPr>
        <w:pStyle w:val="TextoNormal"/>
      </w:pPr>
      <w:r>
        <w:t>La resolución recoge la conclusión de estos informes destacando que “teniendo en cuenta las circunstancias anteriormente expuestas, especialmente el elevado número de asistentes y la duración prevista de la misma, y de acuerdo con lo establecido en el art. 7.3 del Real Decreto 926/2020, de 25 de octubre […] se informa desfavorablemente sobre la realización de la concentración solicitada por los promotores al inicio de este escrito, desaconsejando su celebración” (en cursiva en el texto de la resolución).</w:t>
      </w:r>
    </w:p>
    <w:p w14:paraId="17A0DDA2" w14:textId="77777777" w:rsidR="008D479B" w:rsidRDefault="008D479B" w:rsidP="008D479B">
      <w:pPr>
        <w:pStyle w:val="TextoNormal"/>
      </w:pPr>
    </w:p>
    <w:p w14:paraId="554E50BA" w14:textId="77777777" w:rsidR="008D479B" w:rsidRDefault="008D479B" w:rsidP="008D479B">
      <w:pPr>
        <w:pStyle w:val="TextoNormal"/>
      </w:pPr>
      <w:r>
        <w:t>(vii) A modo de conclusión, el último de los fundamentos jurídicos de la resolución razona que “[t]eniendo en cuenta la intencionalidad de los colectivos convocantes, de ejercer su derecho a manifestarse en las calles (es el único formato de reivindicación recibido) buscando un gran número de reuniones en diferentes lugares y teniendo en cuenta las circunstancias epidemiológicas actuales (niveles altos de incidencia y la aparición de las nuevas cepas de covid), así como los informes que vienen emitiendo las autoridades sanitarias, la celebración de estas concentraciones eleva el riesgo de contagios de una manera exponencial”.</w:t>
      </w:r>
    </w:p>
    <w:p w14:paraId="027155B9" w14:textId="77777777" w:rsidR="008D479B" w:rsidRDefault="008D479B" w:rsidP="008D479B">
      <w:pPr>
        <w:pStyle w:val="TextoNormal"/>
      </w:pPr>
    </w:p>
    <w:p w14:paraId="186A5D73" w14:textId="77777777" w:rsidR="008D479B" w:rsidRDefault="008D479B" w:rsidP="008D479B">
      <w:pPr>
        <w:pStyle w:val="TextoNormal"/>
      </w:pPr>
      <w:r>
        <w:t>Por todo ello, la resolución del delegado del Gobierno en la Comunidad de Madrid acordó prohibir por razones de salud pública la concentración.</w:t>
      </w:r>
    </w:p>
    <w:p w14:paraId="7ECCC28E" w14:textId="77777777" w:rsidR="008D479B" w:rsidRDefault="008D479B" w:rsidP="008D479B">
      <w:pPr>
        <w:pStyle w:val="TextoNormal"/>
      </w:pPr>
    </w:p>
    <w:p w14:paraId="36DDAF6E" w14:textId="77777777" w:rsidR="008D479B" w:rsidRDefault="008D479B" w:rsidP="008D479B">
      <w:pPr>
        <w:pStyle w:val="TextoNormal"/>
      </w:pPr>
      <w:r>
        <w:t>c) La demandante de amparo interpuso contra dicha resolución un recurso contencioso-administrativo con invocación del derecho fundamental de reunión (art. 21 CE), que fue tramitado por la Sección Décima de la Sala de lo Contencioso-Administrativo del Tribunal Superior de Justicia de la Comunidad de Madrid como procedimiento sobre derecho de reunión núm. 278-2021.</w:t>
      </w:r>
    </w:p>
    <w:p w14:paraId="1EA769AB" w14:textId="77777777" w:rsidR="008D479B" w:rsidRDefault="008D479B" w:rsidP="008D479B">
      <w:pPr>
        <w:pStyle w:val="TextoNormal"/>
      </w:pPr>
    </w:p>
    <w:p w14:paraId="2A668B19" w14:textId="77777777" w:rsidR="008D479B" w:rsidRDefault="008D479B" w:rsidP="008D479B">
      <w:pPr>
        <w:pStyle w:val="TextoNormal"/>
      </w:pPr>
      <w:r>
        <w:t>El recurso fue desestimado por sentencia 184/2021, de 6 de marzo, con la siguiente argumentación:</w:t>
      </w:r>
    </w:p>
    <w:p w14:paraId="1A4891A7" w14:textId="77777777" w:rsidR="008D479B" w:rsidRDefault="008D479B" w:rsidP="008D479B">
      <w:pPr>
        <w:pStyle w:val="TextoNormal"/>
      </w:pPr>
    </w:p>
    <w:p w14:paraId="4E03C7CD" w14:textId="77777777" w:rsidR="008D479B" w:rsidRDefault="008D479B" w:rsidP="008D479B">
      <w:pPr>
        <w:pStyle w:val="TextoNormal"/>
      </w:pPr>
      <w:r>
        <w:t>(i) La sentencia hace una detallada exposición de la doctrina de este tribunal y del Tribunal Europeo de Derechos Humanos sobre el ejercicio del derecho de reunión y sobre los límites del mismo, deteniéndose de modo especial en el ATC 40/2020, de 30 de abril, cuyos fundamentos jurídicos resume para después comenzar el análisis de la resolución gubernativa impugnada.</w:t>
      </w:r>
    </w:p>
    <w:p w14:paraId="791B8DF5" w14:textId="77777777" w:rsidR="008D479B" w:rsidRDefault="008D479B" w:rsidP="008D479B">
      <w:pPr>
        <w:pStyle w:val="TextoNormal"/>
      </w:pPr>
    </w:p>
    <w:p w14:paraId="78CC046E" w14:textId="77777777" w:rsidR="008D479B" w:rsidRDefault="008D479B" w:rsidP="008D479B">
      <w:pPr>
        <w:pStyle w:val="TextoNormal"/>
      </w:pPr>
      <w:r>
        <w:t>A tal efecto, el fundamento jurídico cuarto de la sentencia señala que se “cumple con la necesidad de exteriorizar las razones por las que se llega a la decisión administrativa, con objeto de permitir su conocimiento por los interesados para la posterior defensa de sus derechos”. Agrega que, en particular, aporta las razones por las que el ejercicio del derecho fundamental de reunión “entraña un grave riesgo para la salud pública y, singularmente, para las personas”, tanto los manifestantes como terceros que hubieran podido tener contacto con ellos, porque entiende que era “muy probable” que, de celebrarse la reunión programada, se pudieran producir contagios entre los participantes que pudieran luego “extenderse entre sus círculos de amistad, profesionales y familiares, incrementando de esta manera la crisis sanitaria por más que se adoptaran medidas de seguridad, perturbando de manera desproporcionada otros bienes y derechos protegidos por nuestra Constitución. Consideración que se vincula con la imperiosa necesidad de evitar la difusión de la pandemia con sus secuelas de contagios, fallecimientos y enfermos”.</w:t>
      </w:r>
    </w:p>
    <w:p w14:paraId="47FE10E2" w14:textId="77777777" w:rsidR="008D479B" w:rsidRDefault="008D479B" w:rsidP="008D479B">
      <w:pPr>
        <w:pStyle w:val="TextoNormal"/>
      </w:pPr>
    </w:p>
    <w:p w14:paraId="68A1A461" w14:textId="77777777" w:rsidR="008D479B" w:rsidRDefault="008D479B" w:rsidP="008D479B">
      <w:pPr>
        <w:pStyle w:val="TextoNormal"/>
      </w:pPr>
      <w:r>
        <w:t>La sentencia se detiene en el análisis de la resolución administrativa y reitera que la misma “se encuentra suficientemente motivada” y que el fundamento jurídico séptimo de aquella “contiene una argumentación basada en razones de índole sanitaria” que “no han sido desvirtuadas”. Destaca que la situación de la pandemia en la Comunidad de Madrid ha pasado de “riesgo extremo” a “riesgo alto”, pero se encuentra entre las tres cuya tasa de incidencia acumulada es elevada. También subraya que la parte actora no ha argumentado nada “sobre el incremento de los contagios ocasionados por las nuevas cepas” y “únicamente se limitan a aseverar que dadas las características de la concentración y de la manifestación convocadas tales riesgos sanitarios quedan conjurados”.</w:t>
      </w:r>
    </w:p>
    <w:p w14:paraId="610B2566" w14:textId="77777777" w:rsidR="008D479B" w:rsidRDefault="008D479B" w:rsidP="008D479B">
      <w:pPr>
        <w:pStyle w:val="TextoNormal"/>
      </w:pPr>
    </w:p>
    <w:p w14:paraId="2901DF1E" w14:textId="77777777" w:rsidR="008D479B" w:rsidRDefault="008D479B" w:rsidP="008D479B">
      <w:pPr>
        <w:pStyle w:val="TextoNormal"/>
      </w:pPr>
      <w:r>
        <w:t>(ii) La sentencia examina si la decisión impugnada de prohibir las concentraciones convocadas ha realizado correctamente el juicio de proporcionalidad. A este respecto, la Sala pone de relieve “las extraordinarias circunstancias de crisis de salud pública” en que se encontraba la sociedad española al momento de tener que resolver sobre este recurso, así como la necesidad de tener que adoptar “medidas de muy diversa naturaleza, entre ellas las limitativas del ejercicio de determinados derechos, para reducir la propagación y el contagio del virus”, en protección de la salud que proclama el art. 43 CE. A esos efectos, la Sala destaca la existencia de un informe de la Jefatura Superior de Policía de Madrid, que reseña las concentraciones a celebrar con motivo del día de la mujer, y también se hace eco de un informe emitido el día 3 de marzo de 2021 por la Dirección General de Salud Pública de la Comunidad de Madrid que desaconsejaba “la celebración de concentraciones que comport[aran] una elevada concentración de personas con el fin de evitar la propagación del virus y proteger la salud pública” y se aclara que este informe había sido solicitado por la Delegación del Gobierno, pero que no había sido recibido al tiempo de aprobar la resolución impugnada. Además, se incide en la existencia de una nota del Consejo Oficial de Colegios Médicos fechada el 2 de marzo de 2021 en la que se desaconseja la asistencia a las concentraciones convocadas para estas fechas, toda vez que consideran que existe un riesgo para la salud pública general.</w:t>
      </w:r>
    </w:p>
    <w:p w14:paraId="738DEDC9" w14:textId="77777777" w:rsidR="008D479B" w:rsidRDefault="008D479B" w:rsidP="008D479B">
      <w:pPr>
        <w:pStyle w:val="TextoNormal"/>
      </w:pPr>
    </w:p>
    <w:p w14:paraId="0F403452" w14:textId="77777777" w:rsidR="008D479B" w:rsidRDefault="008D479B" w:rsidP="008D479B">
      <w:pPr>
        <w:pStyle w:val="TextoNormal"/>
      </w:pPr>
      <w:r>
        <w:t>En lo que atañe a la forma y condiciones en que la promotora de la concentración proyectaba ejercitar su derecho de reunión, la sentencia señala que tan solo se afirma que se cumplirían las medidas de seguridad, evitando el riesgo de contagios, pero que no se ofrecieron “medidas de seguridad, concretas e idóneas, para garantizar que durante la concentración se mantenga la distancia social mínimamente necesaria o para evitar que algunas personas lleguen a retirarse la mascarilla para apoyar en voz alta los objetivos de la manifestación”. Concluye afirmando que la “imprecisión de las medidas de seguridad previstas para garantizar la salud pública, especialmente relevantes en el escenario de gravísima pandemia en que nos encontramos, no permite conjurar el alto riesgo de que el desarrollo de unas concentraciones, como las comunicadas por el promotor, favorezca la propagación de coronavirus tanto entre los manifestantes como posteriormente a sus familiares y su círculo social, e incluso, a otras personas ajenas al acto o concentración”. También se destaca la extensión de cinco horas de la concentración por su potencialidad para favorecer los contagios.</w:t>
      </w:r>
    </w:p>
    <w:p w14:paraId="551B38A6" w14:textId="77777777" w:rsidR="008D479B" w:rsidRDefault="008D479B" w:rsidP="008D479B">
      <w:pPr>
        <w:pStyle w:val="TextoNormal"/>
      </w:pPr>
    </w:p>
    <w:p w14:paraId="73BC519B" w14:textId="77777777" w:rsidR="008D479B" w:rsidRDefault="008D479B" w:rsidP="008D479B">
      <w:pPr>
        <w:pStyle w:val="TextoNormal"/>
      </w:pPr>
      <w:r>
        <w:t>A la vista de las consideraciones anteriores y utilizando los mismos criterios que los empleados en la sentencia de la misma Sala de 30 de abril de 2020 en el recurso núm. 309-2020, se razona que “la prohibición de la concentración comunicada es: (i) susceptible de conseguir el objetivo propuesto —en este caso la protección de la salud pública y de los ciudadanos en un escenario de pandemia internacional que implica un grave riesgo para la vida de las personas—; (ii) necesaria por no existir otra medida más moderada para la consecución de tal propósito con igual eficacia, atendidas las condiciones tan genéricas y amplias en que se proyectó el desarrollo de la concentración y posterior manifestación; y (iii) proporcionada en sentido estricto, es decir, ponderada o equilibrada por derivarse de ella más beneficios o ventajas para el interés general que protege que perjuicios sobre el derecho de reunión de los manifestantes”. A la vista de las anteriores consideraciones, la sentencia concluye otorgando prevalencia sobre el ejercicio del derecho de reunión a bienes y valores constitucionales como la salud pública y, más concretamente, la salud, la integridad física y la vida de las personas (arts. 15 y 43 CE).</w:t>
      </w:r>
    </w:p>
    <w:p w14:paraId="2BCAD2B8" w14:textId="77777777" w:rsidR="008D479B" w:rsidRDefault="008D479B" w:rsidP="008D479B">
      <w:pPr>
        <w:pStyle w:val="TextoNormal"/>
      </w:pPr>
    </w:p>
    <w:p w14:paraId="33546CA5" w14:textId="2B1A511F" w:rsidR="008D479B" w:rsidRDefault="008D479B" w:rsidP="008D479B">
      <w:pPr>
        <w:pStyle w:val="TextoNormal"/>
      </w:pPr>
      <w:r>
        <w:t>Por último, la sentencia rechaza la alegación de la discriminación por razón de género, destacando que los motivos básicos de la denegación se centran en razones de salud pública y que no se aporta “un término válido que de comparación que permita vislumbrar que en el presente caso la denegación de las concentraciones solicitadas, se haya basado implícitamente en razones distintas de las confesadas razones de salud pública que preocupan a todos los ciudadanos y ciudadanas por igual”.</w:t>
      </w:r>
    </w:p>
    <w:p w14:paraId="43365BA1" w14:textId="77777777" w:rsidR="008D479B" w:rsidRDefault="008D479B" w:rsidP="008D479B">
      <w:pPr>
        <w:pStyle w:val="TextoNormal"/>
      </w:pPr>
    </w:p>
    <w:p w14:paraId="6AD71C3B" w14:textId="77777777" w:rsidR="008D479B" w:rsidRDefault="008D479B" w:rsidP="008D479B">
      <w:pPr>
        <w:pStyle w:val="TextoNormal"/>
      </w:pPr>
      <w:r w:rsidRPr="008D479B">
        <w:rPr>
          <w:rStyle w:val="NumeroAFNegritaCaracter"/>
        </w:rPr>
        <w:t>3</w:t>
      </w:r>
      <w:r>
        <w:t>. La demandante de amparo solicita que se estime el recurso por vulneración de su derecho de reunión (art. 21 CE) y de los principios de igualdad y prohibición de la discriminación por razón de sexo (art. 14 CE) y se anulen las resoluciones impugnadas.</w:t>
      </w:r>
    </w:p>
    <w:p w14:paraId="44089323" w14:textId="77777777" w:rsidR="008D479B" w:rsidRDefault="008D479B" w:rsidP="008D479B">
      <w:pPr>
        <w:pStyle w:val="TextoNormal"/>
      </w:pPr>
    </w:p>
    <w:p w14:paraId="1BDCE7B3" w14:textId="77777777" w:rsidR="008D479B" w:rsidRDefault="008D479B" w:rsidP="008D479B">
      <w:pPr>
        <w:pStyle w:val="TextoNormal"/>
      </w:pPr>
      <w:r>
        <w:t>a) La demandante fundamenta la invocación del art. 21 CE en que “en circunstancias sanitarias de peor índole, la Delegación del Gobierno no haya dudado en autorizar concentraciones y manifestaciones con mayor concurrencia y en lugares de mayor tránsito, tanto en meses y días anteriores como posteriores al 8 de marzo”; a lo que añade que la resolución administrativa ha incurrido en arbitrariedad “toda vez que prohíbe las concentraciones sin disponer de informe previo de la Consejería de Sanidad de la Comunidad Autónoma de Madrid, dado que este fue incorporado al expediente con posterioridad a que aquella fuera dictada la resolución de la Delegación del Gobierno”.</w:t>
      </w:r>
    </w:p>
    <w:p w14:paraId="27114B64" w14:textId="77777777" w:rsidR="008D479B" w:rsidRDefault="008D479B" w:rsidP="008D479B">
      <w:pPr>
        <w:pStyle w:val="TextoNormal"/>
      </w:pPr>
    </w:p>
    <w:p w14:paraId="63D70171" w14:textId="77777777" w:rsidR="008D479B" w:rsidRDefault="008D479B" w:rsidP="008D479B">
      <w:pPr>
        <w:pStyle w:val="TextoNormal"/>
      </w:pPr>
      <w:r>
        <w:t>Esta vulneración también la proyecta sobre la resolución judicial, destacando que no tomó en consideración que (i) la Consejería de Sanidad de la Comunidad de Madrid no informa desfavorablemente las concentraciones, sino que aconseja limitar su número y que se celebren con las medidas de seguridad pertinentes; y (ii) de todas las concentraciones y manifestaciones prohibidas por la Delegación del Gobierno, un total de 103, solo habían sido objeto de recurso judicial ocho, ninguna de las cuales coincidía espacial ni temporalmente con las que son objeto del presente recurso; y destacando que los informes no aportan “razones convincentes e imperativas para justificar las restricciones impuestas al ejercicio del derecho de reunión mediante la prohibición de la concentración que nos ocupan; mucho menos se argumentan en datos objetivos suficientes derivados de las circunstancias concretas de este caso”. A esos efectos, pone de manifiesto que si bien el motivo alegado para la restricción del derecho fundamental es la situación de emergencia sanitaria y grave crisis de salud pública, pero que se comprueba con las fichas de actualización de la enfermedad provocada por covid-19 elaboradas por el Centro de Coordinación de Alertas y Emergencias Sanitarias desde el 5 de enero al 4 de marzo de 2021, un descenso en la incidencia acumulada de casos desde la fecha del último informe emitido por la Consejería de Sanidad de 25 de febrero de 2021. Por otra parte, se incide en que la concentración comunicada iba a celebrarse en el paseo de la Vaguada de Madrid, que es un recinto habilitado para la celebración de ferias y eventos, alejado del núcleo urbano y al aire libre, y que la convocatoria era para cincuenta personas. De todo ello concluye que las resoluciones impugnadas no respetan el principio de proporcionalidad, ya que tampoco se permitieron soluciones alternativas menos restrictivas del derecho y se constata la existencia en esas mismas fechas de altas concentraciones de personas sin respeto de medidas de distancia social ni uso de mascarillas.</w:t>
      </w:r>
    </w:p>
    <w:p w14:paraId="3FF2855A" w14:textId="77777777" w:rsidR="008D479B" w:rsidRDefault="008D479B" w:rsidP="008D479B">
      <w:pPr>
        <w:pStyle w:val="TextoNormal"/>
      </w:pPr>
    </w:p>
    <w:p w14:paraId="3F4B3344" w14:textId="77777777" w:rsidR="008D479B" w:rsidRDefault="008D479B" w:rsidP="008D479B">
      <w:pPr>
        <w:pStyle w:val="TextoNormal"/>
      </w:pPr>
      <w:r>
        <w:t>b) La demandante fundamenta la invocación del art. 14 CE en que “el hecho de que se hayan celebrado concentraciones y manifestaciones en la Comunidad de Madrid durante los meses de enero, febrero y marzo de 2021, y se hayan prohibido todas las convocatorias feministas del 7 y 8 de marzo (tanto anteriores al 8 de marzo como después de ese día), es un ejemplo directo de dejar ‘aisladas y sin voz’ a estos colectivos”. Se insiste en que “Madrid es el único lugar a nivel estatal donde se han prohibido todas las convocatorias feministas para el 7 y 8 de marzo. Mientras tanto, en esta misma comunidad autónoma, se realizan y se han realizado múltiples concentraciones multitudinarias en espacios cerrados, se permiten aglomeraciones en espacios comerciales y el uso del interior de bares y restaurantes, y vemos una política de incitación al turismo masivo a pesar de las restricciones. Por ello y en este contexto, afirmamos que nos encontramos ante una situación discriminatoria”.</w:t>
      </w:r>
    </w:p>
    <w:p w14:paraId="1FF686F5" w14:textId="77777777" w:rsidR="008D479B" w:rsidRDefault="008D479B" w:rsidP="008D479B">
      <w:pPr>
        <w:pStyle w:val="TextoNormal"/>
      </w:pPr>
    </w:p>
    <w:p w14:paraId="73E46F7E" w14:textId="1E5C5731" w:rsidR="008D479B" w:rsidRDefault="008D479B" w:rsidP="008D479B">
      <w:pPr>
        <w:pStyle w:val="TextoNormal"/>
      </w:pPr>
      <w:r>
        <w:t>c) La demandante justifica la especial transcendencia constitucional del recurso afirmando que existen resoluciones judiciales contradictorias sobre el análisis, criterios y ponderación que respecto de los derechos fundamentales en juego realizan los órganos jurisdiccionales poniendo de manifiesto la sentencia del mismo órgano judicial núm. 214/2020, de 21 de mayo, que en peor situación sanitaria si anuló la prohibición de este derecho, como también sucedió con la sentencia de la Sección Segunda de la Sala de lo Contencioso-Administrativo del Tribunal Superior de Justicia de Castilla-La Mancha núm. 327/2020, de 8 de octubre. También destaca que “no existe pronunciamiento por parte de este alto tribunal sobre la problemática que se plantea respecto de la posible vulneración del derecho fundamental a la igualdad en su vertiente de principio de no discriminación, al prohibirse el ejercicio del derecho de reunión el día 8 de marzo, frente a otras convocatorias de otros colectivos que no se ven prohibidas ni limitadas pese a concurrir circunstancias cuando menos equivalentes”.</w:t>
      </w:r>
    </w:p>
    <w:p w14:paraId="7ABC889E" w14:textId="77777777" w:rsidR="008D479B" w:rsidRDefault="008D479B" w:rsidP="008D479B">
      <w:pPr>
        <w:pStyle w:val="TextoNormal"/>
      </w:pPr>
    </w:p>
    <w:p w14:paraId="68693C26" w14:textId="0D5FF71D" w:rsidR="008D479B" w:rsidRDefault="008D479B" w:rsidP="008D479B">
      <w:pPr>
        <w:pStyle w:val="TextoNormal"/>
      </w:pPr>
      <w:r w:rsidRPr="008D479B">
        <w:rPr>
          <w:rStyle w:val="NumeroAFNegritaCaracter"/>
        </w:rPr>
        <w:t>4</w:t>
      </w:r>
      <w:r>
        <w:t>. La Sección Segunda del Tribunal, por providencia de 20 de diciembre de 2021, acordó admitir a trámite el recurso de amparo apreciando que concurre una especial trascendencia constitucional (art. 50.1 de la Ley Orgánica del Tribunal Constitucional: LOTC), porque el recurso puede dar ocasión al Tribunal para aclarar o cambiar su doctrina, como consecuencia del surgimiento de nuevas realidades sociales y el asunto suscitado trasciende del caso concreto porque plantea una cuestión jurídica de relevante y general repercusión social o económica [STC 155/2009, de 25 de junio, FJ 2 b) y g)]; y dirigir atenta comunicación al órgano judicial para la remisión del testimonio de las actuaciones y el emplazamiento de quienes hubieran sido parte en el procedimiento para que puedan comparecen en el recurso de amparo.</w:t>
      </w:r>
    </w:p>
    <w:p w14:paraId="747F5E3C" w14:textId="77777777" w:rsidR="008D479B" w:rsidRDefault="008D479B" w:rsidP="008D479B">
      <w:pPr>
        <w:pStyle w:val="TextoNormal"/>
      </w:pPr>
    </w:p>
    <w:p w14:paraId="47872C56" w14:textId="10920784" w:rsidR="008D479B" w:rsidRDefault="008D479B" w:rsidP="008D479B">
      <w:pPr>
        <w:pStyle w:val="TextoNormal"/>
      </w:pPr>
      <w:r w:rsidRPr="008D479B">
        <w:rPr>
          <w:rStyle w:val="NumeroAFNegritaCaracter"/>
        </w:rPr>
        <w:t>5</w:t>
      </w:r>
      <w:r>
        <w:t>. La Secretaría de Justicia de la Sala primera del Tribunal, por diligencia de ordenación de 28 de enero de 2022, tuvo por recibido el testimonio de las actuaciones, por personada a la Abogacía del Estado, y acordó dar vista de las actuaciones a las partes personadas y al Ministerio Fiscal, por plazo común de veinte días, a fin de que, conforme con lo previsto en el art. 52 LOTC, pudieran presentar alegaciones.</w:t>
      </w:r>
    </w:p>
    <w:p w14:paraId="2B2E90F6" w14:textId="77777777" w:rsidR="008D479B" w:rsidRDefault="008D479B" w:rsidP="008D479B">
      <w:pPr>
        <w:pStyle w:val="TextoNormal"/>
      </w:pPr>
    </w:p>
    <w:p w14:paraId="12E96975" w14:textId="77777777" w:rsidR="008D479B" w:rsidRDefault="008D479B" w:rsidP="008D479B">
      <w:pPr>
        <w:pStyle w:val="TextoNormal"/>
      </w:pPr>
      <w:r w:rsidRPr="008D479B">
        <w:rPr>
          <w:rStyle w:val="NumeroAFNegritaCaracter"/>
        </w:rPr>
        <w:t>6</w:t>
      </w:r>
      <w:r>
        <w:t>. El Ministerio Fiscal, mediante escrito registrado el 3 de marzo de 2022, formuló sus alegaciones instando la inadmisión del recurso respecto de la invocación de derecho a la igualdad, con fundamento en que el procedimiento especial a través del que se ha agotado la vía judicial previa está reservado para la tutela del derecho de reunión; y la desestimación del recurso respecto de la invocación del derecho de reunión.</w:t>
      </w:r>
    </w:p>
    <w:p w14:paraId="7592C506" w14:textId="77777777" w:rsidR="008D479B" w:rsidRDefault="008D479B" w:rsidP="008D479B">
      <w:pPr>
        <w:pStyle w:val="TextoNormal"/>
      </w:pPr>
    </w:p>
    <w:p w14:paraId="4007908F" w14:textId="23BD5828" w:rsidR="008D479B" w:rsidRDefault="008D479B" w:rsidP="008D479B">
      <w:pPr>
        <w:pStyle w:val="TextoNormal"/>
      </w:pPr>
      <w:r>
        <w:t>El Ministerio Fiscal, después de hacer una detallada descripción de los antecedentes más relevantes del caso, afirma que las resoluciones impugnadas están debidamente motivadas en cuanto a las razones para la prohibición de la concentración que guarda una relación lógica y de necesidad evidente con la finalidad perseguida de evitar la propagación del coronavirus y disminuir con ello su impacto en la salud, integridad física y la vida de los ciudadanos. De ese modo, tras hacer un extenso resumen de la fundamentación de las resoluciones administrativas y judiciales impugnadas, considera que la restricción del derecho está justificada en base a razones objetivas, y es proporcionada en cuanto resultaba necesaria para garantizar los derechos a la integridad y salud de las personas.</w:t>
      </w:r>
    </w:p>
    <w:p w14:paraId="25B0D28A" w14:textId="77777777" w:rsidR="008D479B" w:rsidRDefault="008D479B" w:rsidP="008D479B">
      <w:pPr>
        <w:pStyle w:val="TextoNormal"/>
      </w:pPr>
    </w:p>
    <w:p w14:paraId="173E57C5" w14:textId="397431CA" w:rsidR="008D479B" w:rsidRDefault="008D479B" w:rsidP="008D479B">
      <w:pPr>
        <w:pStyle w:val="TextoNormal"/>
      </w:pPr>
      <w:r w:rsidRPr="008D479B">
        <w:rPr>
          <w:rStyle w:val="NumeroAFNegritaCaracter"/>
        </w:rPr>
        <w:t>7</w:t>
      </w:r>
      <w:r>
        <w:t>. El abogado del Estado, mediante escrito registrado en el tribunal el 28 de febrero de 2022, formuló alegaciones solicitando la desestimación del recurso argumentando, en relación con la invocación del derecho de reunión (art. 21 CE), con una amplia referencia al ATC 40/2020, de 30 de abril, que se ha respetado el principio de proporcionalidad en las resoluciones impugnadas, ya que se ha expuesto de manera motivada la prevalencia de las razones sanitarias concurrentes para prohibir la concentración pretendida; y, en relación con la invocación del derecho a la igualdad y prohibición de discriminación por razón del sexo (art. 14 CE), que la sentencia impugnada una extensa y motivada respuesta sobre la inexistencia de dicha vulneración.</w:t>
      </w:r>
    </w:p>
    <w:p w14:paraId="795587B3" w14:textId="77777777" w:rsidR="008D479B" w:rsidRDefault="008D479B" w:rsidP="008D479B">
      <w:pPr>
        <w:pStyle w:val="TextoNormal"/>
      </w:pPr>
    </w:p>
    <w:p w14:paraId="7F4B626D" w14:textId="087B06B5" w:rsidR="008D479B" w:rsidRDefault="008D479B" w:rsidP="008D479B">
      <w:pPr>
        <w:pStyle w:val="TextoNormal"/>
      </w:pPr>
      <w:r w:rsidRPr="008D479B">
        <w:rPr>
          <w:rStyle w:val="NumeroAFNegritaCaracter"/>
        </w:rPr>
        <w:t>8</w:t>
      </w:r>
      <w:r>
        <w:t>. La demandante de amparo, mediante escrito registrado en el tribunal el 28 de febrero de 2022, formuló alegaciones ratificándose y remitiéndose a los argumentos de la demanda.</w:t>
      </w:r>
    </w:p>
    <w:p w14:paraId="27972396" w14:textId="77777777" w:rsidR="008D479B" w:rsidRDefault="008D479B" w:rsidP="008D479B">
      <w:pPr>
        <w:pStyle w:val="TextoNormal"/>
      </w:pPr>
    </w:p>
    <w:p w14:paraId="399A5176" w14:textId="59BEB5A5" w:rsidR="008D479B" w:rsidRDefault="008D479B" w:rsidP="008D479B">
      <w:pPr>
        <w:pStyle w:val="TextoNormal"/>
      </w:pPr>
      <w:r w:rsidRPr="008D479B">
        <w:rPr>
          <w:rStyle w:val="NumeroAFNegritaCaracter"/>
        </w:rPr>
        <w:t>9</w:t>
      </w:r>
      <w:r>
        <w:t>. Por providencia de 7 de diciembre de 2023 se señaló para deliberación y votación de la presente sentencia el día 11 del mismo mes y año.</w:t>
      </w:r>
    </w:p>
    <w:p w14:paraId="47FDCEBB" w14:textId="77777777" w:rsidR="008D479B" w:rsidRDefault="008D479B" w:rsidP="008D479B">
      <w:pPr>
        <w:pStyle w:val="TextoNormal"/>
      </w:pPr>
    </w:p>
    <w:p w14:paraId="24EEA757" w14:textId="77777777" w:rsidR="008D479B" w:rsidRDefault="008D479B" w:rsidP="008D479B">
      <w:pPr>
        <w:pStyle w:val="TextoNormalNegritaCentrado"/>
        <w:keepNext/>
      </w:pPr>
      <w:r>
        <w:t>II. Fundamentos jurídicos</w:t>
      </w:r>
    </w:p>
    <w:p w14:paraId="5BFCB3DB" w14:textId="57103C85" w:rsidR="008D479B" w:rsidRDefault="008D479B" w:rsidP="008D479B">
      <w:pPr>
        <w:pStyle w:val="TextoNormalNegritaCentrado"/>
        <w:keepNext/>
      </w:pPr>
    </w:p>
    <w:p w14:paraId="6E1CBCDE" w14:textId="77777777" w:rsidR="008D479B" w:rsidRDefault="008D479B" w:rsidP="008D479B">
      <w:pPr>
        <w:pStyle w:val="TextoNormal"/>
      </w:pPr>
      <w:r w:rsidRPr="008D479B">
        <w:rPr>
          <w:rStyle w:val="TextoNormalNegritaCaracter"/>
        </w:rPr>
        <w:t xml:space="preserve">Único. </w:t>
      </w:r>
      <w:r w:rsidRPr="008D479B">
        <w:rPr>
          <w:i/>
        </w:rPr>
        <w:t>Aplicación de la jurisprudencia establecida en la STC 164/2023, de 21 de noviembre</w:t>
      </w:r>
    </w:p>
    <w:p w14:paraId="4453BC47" w14:textId="77777777" w:rsidR="008D479B" w:rsidRDefault="008D479B" w:rsidP="008D479B">
      <w:pPr>
        <w:pStyle w:val="TextoNormal"/>
      </w:pPr>
    </w:p>
    <w:p w14:paraId="1FA5D7E9" w14:textId="77777777" w:rsidR="008D479B" w:rsidRDefault="008D479B" w:rsidP="008D479B">
      <w:pPr>
        <w:pStyle w:val="TextoNormal"/>
      </w:pPr>
      <w:r>
        <w:t>El objeto del presente recurso es determinar si han vulnerado los derechos fundamentales de reunión (art. 21 CE) y a la igualdad (art. 14 CE) de la demandante de amparo la resolución del Delegado del Gobierno en la Comunidad de Madrid de 3 de marzo de 2021, pronunciada en el expediente núm. 317-2021, que prohibió la concentración que convocó en Madrid para el día 7 de marzo de 2021, con motivo de la celebración del Día Internacional de la Mujer, que fue confirmadas por la sentencia de la Sección Décima de la Sala de lo Contencioso-administrativo del Tribunal Superior de Justicia de la Comunidad de Madrid núm. 184/2021, de 6 de marzo, pronunciada en el procedimiento sobre derecho de reunión núm. 278-2021.</w:t>
      </w:r>
    </w:p>
    <w:p w14:paraId="43ECF072" w14:textId="77777777" w:rsidR="008D479B" w:rsidRDefault="008D479B" w:rsidP="008D479B">
      <w:pPr>
        <w:pStyle w:val="TextoNormal"/>
      </w:pPr>
    </w:p>
    <w:p w14:paraId="57A1E7BE" w14:textId="77777777" w:rsidR="008D479B" w:rsidRDefault="008D479B" w:rsidP="008D479B">
      <w:pPr>
        <w:pStyle w:val="TextoNormal"/>
      </w:pPr>
      <w:r>
        <w:t>Este objeto es coincidente con el resuelto por la STC 164/2023, de 21 de noviembre, por lo que es preciso remitirse a los fundamentos jurídicos 2 y 3, en los que respectivamente se expuso la doctrina constitucional sobre el derecho de reunión y manifestación (art. 21 CE) y se procedió a su aplicación a un supuesto que guarda identidad de razón con el presente.</w:t>
      </w:r>
    </w:p>
    <w:p w14:paraId="4D4A9353" w14:textId="77777777" w:rsidR="008D479B" w:rsidRDefault="008D479B" w:rsidP="008D479B">
      <w:pPr>
        <w:pStyle w:val="TextoNormal"/>
      </w:pPr>
    </w:p>
    <w:p w14:paraId="4A5E06CE" w14:textId="77777777" w:rsidR="008D479B" w:rsidRDefault="008D479B" w:rsidP="008D479B">
      <w:pPr>
        <w:pStyle w:val="TextoNormal"/>
      </w:pPr>
      <w:r>
        <w:t>En efecto, como en la referida sentencia, también aquí el Tribunal debe concluir que la prohibición gubernativa vulneró el art. 21 CE y supuso una restricción injustificada y desproporcionada del derecho de reunión y manifestación del que era titular la parte demandante, dado que la medida de prohibición supuso la máxima afectación del derecho fundamental, con un bajo valor de utilidad para el fin de preservar la salud pública, pues concurría ya en aquel momento una realidad muy distinta a la existente durante la vigencia del primer estado de alarma provocado por la pandemia del virus Covid-19. El resultado del juicio de proporcionalidad estricta revela como muy escasa la incidencia que la prohibición de la reunión reivindicativa convocada tendría en el riesgo de contagio y, por ello, la poca relevancia que aportaría a la satisfacción del interés general representado por la salud pública, finalidad que justificaba la intervención de la autoridad gubernativa.</w:t>
      </w:r>
    </w:p>
    <w:p w14:paraId="40EC7D42" w14:textId="77777777" w:rsidR="008D479B" w:rsidRDefault="008D479B" w:rsidP="008D479B">
      <w:pPr>
        <w:pStyle w:val="TextoNormal"/>
      </w:pPr>
    </w:p>
    <w:p w14:paraId="05362B14" w14:textId="293FDCE8" w:rsidR="008D479B" w:rsidRDefault="008D479B" w:rsidP="008D479B">
      <w:pPr>
        <w:pStyle w:val="TextoNormal"/>
      </w:pPr>
      <w:r>
        <w:t>En consecuencia, debe otorgarse el amparo solicitado por vulneración del art. 21 CE con la anulación de las resoluciones impugnadas, lo que hace innecesario que el tribunal tenga que pronunciarse sobre el fondo de la invocación del derecho a la igualdad (art. 14 CE) y la eventual causa de inadmisión parcial que respecto de dicha invocación ha sido alegada por el Ministerio Fiscal.</w:t>
      </w:r>
    </w:p>
    <w:p w14:paraId="35DFFDA2" w14:textId="77777777" w:rsidR="008D479B" w:rsidRDefault="008D479B" w:rsidP="008D479B">
      <w:pPr>
        <w:pStyle w:val="TextoNormal"/>
      </w:pPr>
    </w:p>
    <w:p w14:paraId="5CC6DEDA" w14:textId="77777777" w:rsidR="008D479B" w:rsidRDefault="008D479B" w:rsidP="008D479B">
      <w:pPr>
        <w:pStyle w:val="TextoNormalCentrado"/>
        <w:keepNext/>
      </w:pPr>
      <w:r>
        <w:t>FALLO</w:t>
      </w:r>
    </w:p>
    <w:p w14:paraId="5BEEFBE8" w14:textId="50C97CD5" w:rsidR="008D479B" w:rsidRDefault="008D479B" w:rsidP="008D479B">
      <w:pPr>
        <w:pStyle w:val="TextoNormalCentrado"/>
        <w:keepNext/>
      </w:pPr>
    </w:p>
    <w:p w14:paraId="7C493F97" w14:textId="77777777" w:rsidR="008D479B" w:rsidRDefault="008D479B" w:rsidP="008D479B">
      <w:pPr>
        <w:pStyle w:val="TextoNormal"/>
      </w:pPr>
      <w:r>
        <w:t>En atención a todo lo expuesto, el Tribunal Constitucional, por la autoridad que le confiere la Constitución de la Nación española, ha decidido estimar el recurso de amparo interpuesto por doña Miriam Guardia Alonso, y en su virtud:</w:t>
      </w:r>
    </w:p>
    <w:p w14:paraId="697EF58B" w14:textId="77777777" w:rsidR="008D479B" w:rsidRDefault="008D479B" w:rsidP="008D479B">
      <w:pPr>
        <w:pStyle w:val="TextoNormal"/>
      </w:pPr>
    </w:p>
    <w:p w14:paraId="11E05016" w14:textId="77777777" w:rsidR="008D479B" w:rsidRDefault="008D479B" w:rsidP="008D479B">
      <w:pPr>
        <w:pStyle w:val="TextoNormal"/>
      </w:pPr>
      <w:r>
        <w:t>1º Declarar que se ha vulnerado su derecho fundamental de reunión y manifestación (art. 21 CE).</w:t>
      </w:r>
    </w:p>
    <w:p w14:paraId="231CCA19" w14:textId="77777777" w:rsidR="008D479B" w:rsidRDefault="008D479B" w:rsidP="008D479B">
      <w:pPr>
        <w:pStyle w:val="TextoNormal"/>
      </w:pPr>
    </w:p>
    <w:p w14:paraId="66E6F107" w14:textId="42D747A0" w:rsidR="008D479B" w:rsidRDefault="008D479B" w:rsidP="008D479B">
      <w:pPr>
        <w:pStyle w:val="TextoNormal"/>
      </w:pPr>
      <w:r>
        <w:t>2º Restablecerle en su derecho y, a tal fin, anular la resolución del delegado del Gobierno en la Comunidad de Madrid de 3 de marzo de 2021, pronunciada en el expediente núm. 317-2021, que prohibió la manifestación que la demandante había convocado para el día 7 de marzo de 2021 en Madrid, y la sentencia de la Sección Décima de la Sala de lo Contencioso-Administrativo del Tribunal Superior de Justicia de la Comunidad de Madrid núm. 184/2021, de 6 de marzo, pronunciada en el procedimiento sobre derecho de reunión núm. 278-2021, que desestimó el recurso interpuesto contra la anterior resolución.</w:t>
      </w:r>
    </w:p>
    <w:p w14:paraId="2380A52C" w14:textId="77777777" w:rsidR="008D479B" w:rsidRDefault="008D479B" w:rsidP="008D479B">
      <w:pPr>
        <w:pStyle w:val="TextoNormal"/>
      </w:pPr>
    </w:p>
    <w:p w14:paraId="0093A3B1" w14:textId="77777777" w:rsidR="008D479B" w:rsidRDefault="008D479B" w:rsidP="008D479B">
      <w:pPr>
        <w:pStyle w:val="TextoNormal"/>
      </w:pPr>
      <w:r>
        <w:t>Publíquese esta sentencia en el “Boletín Oficial del Estado”.</w:t>
      </w:r>
    </w:p>
    <w:p w14:paraId="58E92D92" w14:textId="77777777" w:rsidR="008D479B" w:rsidRDefault="008D479B" w:rsidP="008D479B">
      <w:pPr>
        <w:pStyle w:val="TextoNormal"/>
      </w:pPr>
      <w:r>
        <w:t>Dada en Madrid, a once de diciembre de dos mil veintitrés.</w:t>
      </w:r>
    </w:p>
    <w:p w14:paraId="1F4D2218" w14:textId="3AFB61F1" w:rsidR="008D479B" w:rsidRDefault="008D479B" w:rsidP="008D479B">
      <w:pPr>
        <w:pStyle w:val="ParrafoNormal"/>
      </w:pPr>
    </w:p>
    <w:p w14:paraId="2E3F3A52" w14:textId="77777777" w:rsidR="008D479B" w:rsidRDefault="008D479B" w:rsidP="008D479B">
      <w:pPr>
        <w:pStyle w:val="TextoNormalNegritaCentrado"/>
        <w:keepNext/>
      </w:pPr>
      <w:r>
        <w:t>Voto particular que formulan el magistrado don Ricardo Enríquez Sancho y la magistrada doña Concepción Espejel Jorquera a la sentencia dictada en el recurso de amparo núm. 2038-2021</w:t>
      </w:r>
    </w:p>
    <w:p w14:paraId="7DAE3342" w14:textId="1EF16869" w:rsidR="008D479B" w:rsidRDefault="008D479B" w:rsidP="008D479B">
      <w:pPr>
        <w:pStyle w:val="TextoNormalNegritaCentrado"/>
        <w:keepNext/>
      </w:pPr>
    </w:p>
    <w:p w14:paraId="756AF7F9" w14:textId="77777777" w:rsidR="008D479B" w:rsidRDefault="008D479B" w:rsidP="008D479B">
      <w:pPr>
        <w:pStyle w:val="TextoNormal"/>
      </w:pPr>
      <w:r>
        <w:t>En el ejercicio de la facultad que nos confiere el artículo 90.2 de la Ley Orgánica del Tribunal Constitucional, y con el máximo respeto a la opinión de la mayoría, formulamos el presente voto particular concurrente por discrepar de una parte de la fundamentación de la sentencia recaída en el recurso de amparo núm. 2038-2021, que ha conducido a la estimación de la demanda por falta de proporcionalidad en sentido estricto de la medida de prohibición del ejercicio del derecho fundamental de reunión y manifestación (art. 21 CE) de la parte demandante, impugnada en el recurso.</w:t>
      </w:r>
    </w:p>
    <w:p w14:paraId="63234C7D" w14:textId="77777777" w:rsidR="008D479B" w:rsidRDefault="008D479B" w:rsidP="008D479B">
      <w:pPr>
        <w:pStyle w:val="TextoNormal"/>
      </w:pPr>
    </w:p>
    <w:p w14:paraId="672CA7BF" w14:textId="77777777" w:rsidR="008D479B" w:rsidRDefault="008D479B" w:rsidP="008D479B">
      <w:pPr>
        <w:pStyle w:val="TextoNormal"/>
      </w:pPr>
      <w:r>
        <w:t>Las razones de nuestra discrepancia son idénticas a las expresadas en el voto particular que suscribimos, junto con el magistrado don Enrique Arnaldo Alcubilla, a la STC 164/2023, de 21 de noviembre, en la que se resolvió el recurso de amparo cabecera de esta misma serie, por lo que nos remitimos a lo expuesto entonces.</w:t>
      </w:r>
    </w:p>
    <w:p w14:paraId="342E8E77" w14:textId="77777777" w:rsidR="008D479B" w:rsidRDefault="008D479B" w:rsidP="008D479B">
      <w:pPr>
        <w:pStyle w:val="TextoNormal"/>
      </w:pPr>
    </w:p>
    <w:p w14:paraId="4D394DB6" w14:textId="77777777" w:rsidR="008D479B" w:rsidRDefault="008D479B" w:rsidP="008D479B">
      <w:pPr>
        <w:pStyle w:val="TextoNormal"/>
      </w:pPr>
      <w:r>
        <w:t>Y en tal sentido emitimos nuestro voto particular concurrente al presente recurso.</w:t>
      </w:r>
    </w:p>
    <w:p w14:paraId="4ED0D0B6" w14:textId="77777777" w:rsidR="008D479B" w:rsidRDefault="008D479B" w:rsidP="008D479B">
      <w:pPr>
        <w:pStyle w:val="TextoNormal"/>
      </w:pPr>
    </w:p>
    <w:p w14:paraId="63FA8AF3" w14:textId="2AA8473E" w:rsidR="008D479B" w:rsidRDefault="008D479B" w:rsidP="008D479B">
      <w:pPr>
        <w:pStyle w:val="TextoNormal"/>
      </w:pPr>
      <w:r>
        <w:t>Madrid, a once de diciembre de dos mil veintitrés.</w:t>
      </w:r>
    </w:p>
    <w:p w14:paraId="005D5B40" w14:textId="77777777" w:rsidR="008D479B" w:rsidRDefault="008D479B" w:rsidP="008D479B">
      <w:pPr>
        <w:pStyle w:val="TextoNormal"/>
      </w:pPr>
    </w:p>
    <w:p w14:paraId="402B242D" w14:textId="77777777" w:rsidR="008D479B" w:rsidRDefault="008D479B" w:rsidP="008D479B">
      <w:pPr>
        <w:pStyle w:val="TextoNormalNegritaCentrado"/>
        <w:keepNext/>
      </w:pPr>
      <w:r>
        <w:t>Voto particular que formula la magistrada doña María Luisa Segoviano Astaburuaga respecto de la sentencia pronunciada en el recurso de amparo núm. 2038-2021</w:t>
      </w:r>
    </w:p>
    <w:p w14:paraId="510AD75A" w14:textId="407E1652" w:rsidR="008D479B" w:rsidRDefault="008D479B" w:rsidP="008D479B">
      <w:pPr>
        <w:pStyle w:val="TextoNormalNegritaCentrado"/>
        <w:keepNext/>
      </w:pPr>
    </w:p>
    <w:p w14:paraId="1C6D1638" w14:textId="77777777" w:rsidR="008D479B" w:rsidRDefault="008D479B" w:rsidP="008D479B">
      <w:pPr>
        <w:pStyle w:val="TextoNormal"/>
      </w:pPr>
      <w:r>
        <w:t>Con el máximo respeto a los magistrados y magistradas de este tribunal, debo reiterar, en coherencia con mi adhesión al voto particular formulado por la magistrada doña Laura Díez Bueso a la STC 164/2023, de 21 de noviembre, mi discrepancia, por las razones allí expuestas, con la estimación del recurso por vulneración del derecho fundamental de reunión y manifestación (art. 21 CE).</w:t>
      </w:r>
    </w:p>
    <w:p w14:paraId="5AD2EC0D" w14:textId="77777777" w:rsidR="008D479B" w:rsidRDefault="008D479B" w:rsidP="008D479B">
      <w:pPr>
        <w:pStyle w:val="TextoNormal"/>
      </w:pPr>
    </w:p>
    <w:p w14:paraId="1E901D5A" w14:textId="68B6949F" w:rsidR="008D479B" w:rsidRDefault="008D479B" w:rsidP="008D479B">
      <w:pPr>
        <w:pStyle w:val="TextoNormal"/>
      </w:pPr>
      <w:r>
        <w:t>Madrid, a once de diciembre de dos mil veintitrés.</w:t>
      </w:r>
    </w:p>
    <w:p w14:paraId="4F78372D" w14:textId="00EEA43F" w:rsidR="008D479B" w:rsidRDefault="008D479B">
      <w:pPr>
        <w:spacing w:after="160" w:line="278" w:lineRule="auto"/>
        <w:rPr>
          <w:rFonts w:ascii="Times New Roman" w:eastAsia="Times New Roman" w:hAnsi="Times New Roman" w:cs="Times New Roman"/>
          <w:sz w:val="24"/>
          <w:szCs w:val="24"/>
          <w:lang w:eastAsia="es-ES"/>
        </w:rPr>
      </w:pPr>
      <w:r>
        <w:br w:type="page"/>
      </w:r>
    </w:p>
    <w:p w14:paraId="26409BD4" w14:textId="77777777" w:rsidR="008D479B" w:rsidRDefault="008D479B" w:rsidP="008D479B">
      <w:pPr>
        <w:pStyle w:val="TtuloResolucin"/>
      </w:pPr>
      <w:bookmarkStart w:id="104" w:name="SENTENCIA_2023_179"/>
      <w:r>
        <w:t>SENTENCIA 179/2023, de 11 de diciembre de 2023</w:t>
      </w:r>
    </w:p>
    <w:bookmarkEnd w:id="104"/>
    <w:p w14:paraId="4AB57531" w14:textId="77777777" w:rsidR="008D479B" w:rsidRDefault="008D479B" w:rsidP="008D479B">
      <w:pPr>
        <w:pStyle w:val="TtuloResolucin"/>
      </w:pPr>
      <w:r>
        <w:t>Sala Segunda</w:t>
      </w:r>
    </w:p>
    <w:p w14:paraId="000AA79D" w14:textId="77777777" w:rsidR="008D479B" w:rsidRDefault="008D479B" w:rsidP="008D479B">
      <w:pPr>
        <w:pStyle w:val="TtuloBOE"/>
      </w:pPr>
      <w:r>
        <w:t>(BOE núm. 16, de 18 de enero de 2024)</w:t>
      </w:r>
    </w:p>
    <w:p w14:paraId="314E38F8" w14:textId="77777777" w:rsidR="008D479B" w:rsidRDefault="008D479B" w:rsidP="008D479B">
      <w:pPr>
        <w:pStyle w:val="TextoNormalCentrado"/>
      </w:pPr>
      <w:r>
        <w:t>ECLI:ES:TC:2023:179</w:t>
      </w:r>
    </w:p>
    <w:p w14:paraId="00625B6E" w14:textId="5B0D8904" w:rsidR="008D479B" w:rsidRDefault="008D479B" w:rsidP="008D479B">
      <w:pPr>
        <w:pStyle w:val="TextoNormalCentrado"/>
      </w:pPr>
    </w:p>
    <w:p w14:paraId="63A367BB" w14:textId="77777777" w:rsidR="008D479B" w:rsidRDefault="008D479B" w:rsidP="008D479B">
      <w:pPr>
        <w:pStyle w:val="SntesisDescriptiva"/>
      </w:pPr>
      <w:r>
        <w:t>Recurso de amparo 63-2022. Promovido por el Banco Santander, S.A., en relación con los acuerdos del Consejo de Ministros que le sancionaron por la falta de comunicación de operaciones sospechosas de blanqueo de capitales.</w:t>
      </w:r>
    </w:p>
    <w:p w14:paraId="3AFC4DE0" w14:textId="7C444F4E" w:rsidR="008D479B" w:rsidRDefault="008D479B" w:rsidP="008D479B">
      <w:pPr>
        <w:pStyle w:val="SntesisDescriptiva"/>
      </w:pPr>
    </w:p>
    <w:p w14:paraId="06C37C45" w14:textId="77777777" w:rsidR="008D479B" w:rsidRDefault="008D479B" w:rsidP="008D479B">
      <w:pPr>
        <w:pStyle w:val="SntesisAnaltica"/>
      </w:pPr>
      <w:r>
        <w:t>Supuesta vulneración del derecho a la legalidad sancionadora (principios de personalidad y culpabilidad): sanción por inobservancia de la normativa sobre blanqueo de capitales imputable a una entidad de crédito absorbida por la mercantil demandante de amparo.</w:t>
      </w:r>
    </w:p>
    <w:p w14:paraId="6CD5FBCE" w14:textId="2B841FC4" w:rsidR="008D479B" w:rsidRDefault="008D479B" w:rsidP="008D479B">
      <w:pPr>
        <w:pStyle w:val="SntesisAnaltica"/>
      </w:pPr>
    </w:p>
    <w:p w14:paraId="4AAD5060" w14:textId="7CA5EBB7" w:rsidR="008D479B" w:rsidRDefault="008D479B" w:rsidP="008D479B">
      <w:pPr>
        <w:pStyle w:val="Extracto"/>
      </w:pPr>
      <w:r>
        <w:t>1.</w:t>
      </w:r>
      <w:r>
        <w:tab/>
        <w:t>En relación con la sucesión entre entidades bancarias, con arreglo al criterio establecido por la jurisprudencia del Tribunal de Justicia de la Unión Europea (entre otras, sentencias de 24 de septiembre de 2009, asuntos acumulados C-125/07, C-133/07, C-135/07 y C-137/07, y de 5 de marzo de 2015, asunto C-343/13), en los casos de fusión por absorción y en otros supuestos de sucesión entre personas jurídicas, la responsabilidad por infracciones administrativas se transmite siempre que exista una “identidad económica sustancial”, es decir, cuando la actividad económica en el seno de la cual se cometió la conducta infractora continúe en el nuevo titular jurídico [FJ 3].</w:t>
      </w:r>
    </w:p>
    <w:p w14:paraId="1E7C987F" w14:textId="77777777" w:rsidR="008D479B" w:rsidRDefault="008D479B" w:rsidP="008D479B">
      <w:pPr>
        <w:pStyle w:val="Extracto"/>
      </w:pPr>
    </w:p>
    <w:p w14:paraId="59FBE1DD" w14:textId="77777777" w:rsidR="008D479B" w:rsidRDefault="008D479B" w:rsidP="008D479B">
      <w:pPr>
        <w:pStyle w:val="Extracto"/>
      </w:pPr>
    </w:p>
    <w:p w14:paraId="4D66F358" w14:textId="77777777" w:rsidR="008D479B" w:rsidRDefault="008D479B" w:rsidP="008D479B">
      <w:pPr>
        <w:pStyle w:val="TextoNormal"/>
      </w:pPr>
      <w: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14:paraId="12EDE32F" w14:textId="32A3B517" w:rsidR="008D479B" w:rsidRDefault="008D479B" w:rsidP="008D479B">
      <w:pPr>
        <w:pStyle w:val="TextoNormal"/>
      </w:pPr>
    </w:p>
    <w:p w14:paraId="267C38CD" w14:textId="77777777" w:rsidR="008D479B" w:rsidRDefault="008D479B" w:rsidP="008D479B">
      <w:pPr>
        <w:pStyle w:val="TextoNormalCentrado"/>
        <w:keepNext/>
      </w:pPr>
      <w:r>
        <w:t>EN NOMBRE DEL REY</w:t>
      </w:r>
    </w:p>
    <w:p w14:paraId="2AFBC736" w14:textId="181631AB" w:rsidR="008D479B" w:rsidRDefault="008D479B" w:rsidP="008D479B">
      <w:pPr>
        <w:pStyle w:val="TextoNormalCentrado"/>
        <w:keepNext/>
      </w:pPr>
    </w:p>
    <w:p w14:paraId="77035BCE" w14:textId="77777777" w:rsidR="008D479B" w:rsidRDefault="008D479B" w:rsidP="008D479B">
      <w:pPr>
        <w:pStyle w:val="TextoNormalCentrado"/>
        <w:keepNext/>
      </w:pPr>
    </w:p>
    <w:p w14:paraId="5AA98011" w14:textId="77777777" w:rsidR="008D479B" w:rsidRDefault="008D479B" w:rsidP="008D479B">
      <w:pPr>
        <w:pStyle w:val="TextoNormal"/>
      </w:pPr>
      <w:r>
        <w:t>la siguiente</w:t>
      </w:r>
    </w:p>
    <w:p w14:paraId="64D15E8C" w14:textId="4F2507CF" w:rsidR="008D479B" w:rsidRDefault="008D479B" w:rsidP="008D479B">
      <w:pPr>
        <w:pStyle w:val="TextoNormal"/>
      </w:pPr>
    </w:p>
    <w:p w14:paraId="56A11755" w14:textId="77777777" w:rsidR="008D479B" w:rsidRDefault="008D479B" w:rsidP="008D479B">
      <w:pPr>
        <w:pStyle w:val="TextoNormalCentrado"/>
        <w:keepNext/>
      </w:pPr>
      <w:r>
        <w:t>SENTENCIA</w:t>
      </w:r>
    </w:p>
    <w:p w14:paraId="4C23BA72" w14:textId="11B48D65" w:rsidR="008D479B" w:rsidRDefault="008D479B" w:rsidP="008D479B">
      <w:pPr>
        <w:pStyle w:val="TextoNormalCentrado"/>
        <w:keepNext/>
      </w:pPr>
    </w:p>
    <w:p w14:paraId="27E50D2F" w14:textId="77777777" w:rsidR="008D479B" w:rsidRDefault="008D479B" w:rsidP="008D479B">
      <w:pPr>
        <w:pStyle w:val="TextoNormal"/>
      </w:pPr>
      <w:r>
        <w:t>En el recurso de amparo núm. 63-2022, promovido por la mercantil Banco Santander, S.A., representada por el procurador de los tribunales don Eduardo Codes Feijóo y bajo la dirección del letrado don Manuel Vélez Fraga, contra la sentencia 1385/2021 de la Sección Tercera de la Sala de lo Contencioso-Administrativo del Tribunal Supremo, de 25 de noviembre (recurso ordinario núm. 345-2020), que desestimó el recurso contencioso-administrativo interpuesto por dicha entidad contra los acuerdos del Consejo de Ministros de 24 de mayo de 2019 y de 29 de septiembre de 2020. Han sido parte Banco Santander, S.A., y el abogado del Estado. Ha intervenido el Ministerio Fiscal. Ha sido ponente la magistrada doña Laura Díez Bueso.</w:t>
      </w:r>
    </w:p>
    <w:p w14:paraId="25006F1A" w14:textId="3C3066D0" w:rsidR="008D479B" w:rsidRDefault="008D479B" w:rsidP="008D479B">
      <w:pPr>
        <w:pStyle w:val="TextoNormal"/>
      </w:pPr>
    </w:p>
    <w:p w14:paraId="1A9A2CD4" w14:textId="77777777" w:rsidR="008D479B" w:rsidRDefault="008D479B" w:rsidP="008D479B">
      <w:pPr>
        <w:pStyle w:val="TextoNormalNegritaCentrado"/>
        <w:keepNext/>
      </w:pPr>
      <w:r>
        <w:t>I. Antecedentes</w:t>
      </w:r>
    </w:p>
    <w:p w14:paraId="2C50D01C" w14:textId="334C8BC1" w:rsidR="008D479B" w:rsidRDefault="008D479B" w:rsidP="008D479B">
      <w:pPr>
        <w:pStyle w:val="TextoNormalNegritaCentrado"/>
        <w:keepNext/>
      </w:pPr>
    </w:p>
    <w:p w14:paraId="75409DA9" w14:textId="4AED4106" w:rsidR="008D479B" w:rsidRDefault="008D479B" w:rsidP="008D479B">
      <w:pPr>
        <w:pStyle w:val="TextoNormal"/>
      </w:pPr>
      <w:r w:rsidRPr="008D479B">
        <w:rPr>
          <w:rStyle w:val="NumeroAFNegritaCaracter"/>
        </w:rPr>
        <w:t>1</w:t>
      </w:r>
      <w:r>
        <w:t>. El 4 de enero de 2022, la entidad mercantil Banco Santander, S.A., interpuso un recurso de amparo contra las resoluciones mencionadas en el encabezamiento de esta sentencia.</w:t>
      </w:r>
    </w:p>
    <w:p w14:paraId="2895B705" w14:textId="77777777" w:rsidR="008D479B" w:rsidRDefault="008D479B" w:rsidP="008D479B">
      <w:pPr>
        <w:pStyle w:val="TextoNormal"/>
      </w:pPr>
    </w:p>
    <w:p w14:paraId="4D27172D" w14:textId="77777777" w:rsidR="008D479B" w:rsidRDefault="008D479B" w:rsidP="008D479B">
      <w:pPr>
        <w:pStyle w:val="TextoNormal"/>
      </w:pPr>
      <w:r w:rsidRPr="008D479B">
        <w:rPr>
          <w:rStyle w:val="NumeroAFNegritaCaracter"/>
        </w:rPr>
        <w:t>2</w:t>
      </w:r>
      <w:r>
        <w:t>. Los hechos relevantes para resolver el presente recurso de amparo son los siguientes:</w:t>
      </w:r>
    </w:p>
    <w:p w14:paraId="71D8D0D5" w14:textId="77777777" w:rsidR="008D479B" w:rsidRDefault="008D479B" w:rsidP="008D479B">
      <w:pPr>
        <w:pStyle w:val="TextoNormal"/>
      </w:pPr>
    </w:p>
    <w:p w14:paraId="717DCB9A" w14:textId="77777777" w:rsidR="008D479B" w:rsidRDefault="008D479B" w:rsidP="008D479B">
      <w:pPr>
        <w:pStyle w:val="TextoNormal"/>
      </w:pPr>
      <w:r>
        <w:t>a) El Servicio Ejecutivo de la Comisión de Prevención del Blanqueo de Capitales e Infracciones Monetarias (en adelante, SEPBLAC) realizó una inspección al Banco Popular, S.A., para verificar el cumplimiento de sus obligaciones de prevención del blanqueo de capitales. Las conclusiones de la inspección se recogieron en un informe de 26 de octubre de 2017, del que se derivaban ciertas deficiencias en la comunicación al SEPBLAC de operaciones sospechosas de blanqueo. Con base en dicho informe, el 8 de mayo de 2018 se incoó un expediente sancionador al Banco Popular, S.A.</w:t>
      </w:r>
    </w:p>
    <w:p w14:paraId="3EBE2D86" w14:textId="77777777" w:rsidR="008D479B" w:rsidRDefault="008D479B" w:rsidP="008D479B">
      <w:pPr>
        <w:pStyle w:val="TextoNormal"/>
      </w:pPr>
    </w:p>
    <w:p w14:paraId="2CF94B59" w14:textId="77777777" w:rsidR="008D479B" w:rsidRDefault="008D479B" w:rsidP="008D479B">
      <w:pPr>
        <w:pStyle w:val="TextoNormal"/>
      </w:pPr>
      <w:r>
        <w:t>b) El 6 de junio de 2017 el Banco Central Europeo había comunicado que consideraba inviable al Banco Popular, S.A., lo que dio lugar a la “resolución” de la entidad por el procedimiento previsto en el Reglamento (UE) 806/2014, del Parlamento Europeo y del Consejo, de 15 de julio de 2014, por el que se establecen normas uniformes y un procedimiento uniforme para la resolución de entidades de crédito y de determinadas empresas de servicios de inversión en el marco de un mecanismo único de resolución y un fondo único de resolución y se modifica el Reglamento (UE) 1093/2010 [en lo que sigue, Reglamento (UE) 806/2014].</w:t>
      </w:r>
    </w:p>
    <w:p w14:paraId="28309864" w14:textId="77777777" w:rsidR="008D479B" w:rsidRDefault="008D479B" w:rsidP="008D479B">
      <w:pPr>
        <w:pStyle w:val="TextoNormal"/>
      </w:pPr>
    </w:p>
    <w:p w14:paraId="7E77F2D5" w14:textId="77777777" w:rsidR="008D479B" w:rsidRDefault="008D479B" w:rsidP="008D479B">
      <w:pPr>
        <w:pStyle w:val="TextoNormal"/>
      </w:pPr>
      <w:r>
        <w:t>A resultas de dicho procedimiento, todas las acciones de Banco Popular, S.A., se transfirieron a Banco Santander, S.A., que, posteriormente, absorbió a aquella entidad. El 15 de octubre de 2018 la absorción se inscribió en el registro de entidades de crédito del Banco de España y el 28 de abril de 2019 en el Registro Mercantil de Cantabria.</w:t>
      </w:r>
    </w:p>
    <w:p w14:paraId="0ED413F1" w14:textId="77777777" w:rsidR="008D479B" w:rsidRDefault="008D479B" w:rsidP="008D479B">
      <w:pPr>
        <w:pStyle w:val="TextoNormal"/>
      </w:pPr>
    </w:p>
    <w:p w14:paraId="1F8D15CE" w14:textId="77777777" w:rsidR="008D479B" w:rsidRDefault="008D479B" w:rsidP="008D479B">
      <w:pPr>
        <w:pStyle w:val="TextoNormal"/>
      </w:pPr>
      <w:r>
        <w:t>c) Terminada la instrucción del procedimiento sancionador, el 24 de mayo de 2019 el Consejo de Ministros impuso a Banco Santander, S.A., como sucesor de Banco Popular, S.A., una sanción de 1 056 000 € por la comisión de una infracción muy grave del art. 51.1 a) de la Ley 10/2010, de 28 de abril, de prevención del blanqueo de capitales y de la financiación del terrorismo (en adelante, LPBC) [primer acuerdo impugnado]. La conducta infractora fue no comunicar al SEPBLAC determinadas operaciones que los empleados de la entidad habían identificado como sospechosas de blanqueo.</w:t>
      </w:r>
    </w:p>
    <w:p w14:paraId="0BE7C9D7" w14:textId="77777777" w:rsidR="008D479B" w:rsidRDefault="008D479B" w:rsidP="008D479B">
      <w:pPr>
        <w:pStyle w:val="TextoNormal"/>
      </w:pPr>
    </w:p>
    <w:p w14:paraId="450CE53E" w14:textId="77777777" w:rsidR="008D479B" w:rsidRDefault="008D479B" w:rsidP="008D479B">
      <w:pPr>
        <w:pStyle w:val="TextoNormal"/>
      </w:pPr>
      <w:r>
        <w:t>En las alegaciones previas a la imposición de la sanción Banco Santander, S.A., argumentó que no cabía responsabilizarle de los actos previos a la absorción imputables a Banco Popular, S.A.</w:t>
      </w:r>
    </w:p>
    <w:p w14:paraId="53C855C8" w14:textId="77777777" w:rsidR="008D479B" w:rsidRDefault="008D479B" w:rsidP="008D479B">
      <w:pPr>
        <w:pStyle w:val="TextoNormal"/>
      </w:pPr>
    </w:p>
    <w:p w14:paraId="11147D65" w14:textId="77777777" w:rsidR="008D479B" w:rsidRDefault="008D479B" w:rsidP="008D479B">
      <w:pPr>
        <w:pStyle w:val="TextoNormal"/>
      </w:pPr>
      <w:r>
        <w:t>El acuerdo sancionador invoca la STS de 16 de diciembre de 2015 (recurso de casación núm. 1973-2014), según la cual el criterio que justifica la transmisión es la “permanencia de una entidad económica y empresarial o, dicho de otro modo, la identidad sustancial entre las empresas sucesivas. La modulación de los principios de culpabilidad y responsabilidad dependerá de que se constate una quiebra parcial de continuidad económica y empresarial entre las empresas sucesivas”. Añade que “el cambio en el comportamiento de la empresa, tras la adquisición de la anterior, sin duda tiene relevancia como elemento de modulación de su responsabilidad que ha de ser valorada en tanto que circunstancia atenuante de la misma por la actuación anterior —como efectivamente lo ha sido— pero ello no significa que la empresa no haya incurrido en su etapa anterior en las conductas anticompetitivas [en el caso resuelto por dicha sentencia] sancionadas”.</w:t>
      </w:r>
    </w:p>
    <w:p w14:paraId="60B2590B" w14:textId="77777777" w:rsidR="008D479B" w:rsidRDefault="008D479B" w:rsidP="008D479B">
      <w:pPr>
        <w:pStyle w:val="TextoNormal"/>
      </w:pPr>
    </w:p>
    <w:p w14:paraId="1846A20B" w14:textId="77777777" w:rsidR="008D479B" w:rsidRDefault="008D479B" w:rsidP="008D479B">
      <w:pPr>
        <w:pStyle w:val="TextoNormal"/>
      </w:pPr>
      <w:r>
        <w:t>El Consejo de Ministros cita, en apoyo de la transmisión de la sanción, el art. 55 LPBC, “exigibilidad de la responsabilidad administrativa”, según el cual:</w:t>
      </w:r>
    </w:p>
    <w:p w14:paraId="23471E62" w14:textId="77777777" w:rsidR="008D479B" w:rsidRDefault="008D479B" w:rsidP="008D479B">
      <w:pPr>
        <w:pStyle w:val="TextoNormal"/>
      </w:pPr>
    </w:p>
    <w:p w14:paraId="358AC39C" w14:textId="77777777" w:rsidR="008D479B" w:rsidRDefault="008D479B" w:rsidP="008D479B">
      <w:pPr>
        <w:pStyle w:val="TextoNormal"/>
      </w:pPr>
      <w:r>
        <w:t>“[L]a responsabilidad administrativa por infracción de la presente ley será exigible aun cuando con posterioridad al incumplimiento el sujeto obligado hubiera cesado en su actividad o hubiera sido revocada su autorización administrativa para operar. En el caso de sociedades disueltas, los antiguos socios responderán solidariamente de las sanciones administrativas pecuniarias impuestas hasta el límite de lo que hubieran recibido como cuota de liquidación, sin perjuicio de la responsabilidad de los directivos, administradores o liquidadores”.</w:t>
      </w:r>
    </w:p>
    <w:p w14:paraId="4EE13681" w14:textId="77777777" w:rsidR="008D479B" w:rsidRDefault="008D479B" w:rsidP="008D479B">
      <w:pPr>
        <w:pStyle w:val="TextoNormal"/>
      </w:pPr>
    </w:p>
    <w:p w14:paraId="1094137A" w14:textId="77777777" w:rsidR="008D479B" w:rsidRDefault="008D479B" w:rsidP="008D479B">
      <w:pPr>
        <w:pStyle w:val="TextoNormal"/>
      </w:pPr>
      <w:r>
        <w:t>d) La entidad Banco Santander, S.A., planteó un recurso de reposición que fue desestimado por acuerdo de 29 de septiembre de 2020 [segundo acuerdo impugnado]. A continuación, interpuso un recurso contencioso-administrativo ante la Sala de lo Contencioso-Administrativo del Tribunal Supremo en el que reiteraba que era improcedente sancionarle por conductas del antiguo Banco Popular, S.A., pues los hechos acaecieron en los años 2013 a 2015 y Banco Santander, S.A., ni intervino ni pudo intervenir en ellos. Alegaba que la jurisprudencia exige la existencia de vínculos jurídicos económicos u organizativos para la válida transmisión de la responsabilidad sancionadora, vínculos que en el presente supuesto no existen.</w:t>
      </w:r>
    </w:p>
    <w:p w14:paraId="10DBEA96" w14:textId="77777777" w:rsidR="008D479B" w:rsidRDefault="008D479B" w:rsidP="008D479B">
      <w:pPr>
        <w:pStyle w:val="TextoNormal"/>
      </w:pPr>
    </w:p>
    <w:p w14:paraId="2646DCE8" w14:textId="77777777" w:rsidR="008D479B" w:rsidRDefault="008D479B" w:rsidP="008D479B">
      <w:pPr>
        <w:pStyle w:val="TextoNormal"/>
      </w:pPr>
      <w:r>
        <w:t>e) La sentencia 1385/2021, de la Sala de lo Contencioso-Administrativo del Tribunal Supremo, de 25 de noviembre, desestimó el recurso. La Sala justifica la transmisión de la sanción en diversos precedentes en los que tanto dicho órgano judicial como el Tribunal de Justicia de la Unión Europea vienen admitiendo la sucesión en las sanciones. Siguiendo dicha jurisprudencia, el Tribunal Supremo concluye que cabe la transmisión de responsabilidad por infracciones administrativas en los casos de fusión por absorción y otros supuestos de sucesión entre personas jurídicas “cuando concurran las notas de identidad económica, de permanencia o de continuidad de la actividad económica, sobre la base de la consideración de que las sanciones pecuniarias forman parte del pasivo transmitido, sin que ello pueda considerarse contrario al principio de responsabilidad personal que se asienta sobre una concepción de la culpabilidad no trasladable a las personas jurídicas”.</w:t>
      </w:r>
    </w:p>
    <w:p w14:paraId="09D5F301" w14:textId="77777777" w:rsidR="008D479B" w:rsidRDefault="008D479B" w:rsidP="008D479B">
      <w:pPr>
        <w:pStyle w:val="TextoNormal"/>
      </w:pPr>
    </w:p>
    <w:p w14:paraId="268362C6" w14:textId="1742CE68" w:rsidR="008D479B" w:rsidRDefault="008D479B" w:rsidP="008D479B">
      <w:pPr>
        <w:pStyle w:val="TextoNormal"/>
      </w:pPr>
      <w:r>
        <w:t>Para el Tribunal Supremo, en la absorción de Banco Popular, S.A., por el Banco Santander, S.A., se produce una continuidad económica, pues el segundo adquirió la totalidad del patrimonio activo y pasivo del primero y se convirtió en su sucesor universal, continuando en su integridad su actividad económica y empresarial. Por consiguiente, asumió también la responsabilidad por las infracciones cometidas.</w:t>
      </w:r>
    </w:p>
    <w:p w14:paraId="4214D41F" w14:textId="77777777" w:rsidR="008D479B" w:rsidRDefault="008D479B" w:rsidP="008D479B">
      <w:pPr>
        <w:pStyle w:val="TextoNormal"/>
      </w:pPr>
    </w:p>
    <w:p w14:paraId="55FB5600" w14:textId="77777777" w:rsidR="008D479B" w:rsidRDefault="008D479B" w:rsidP="008D479B">
      <w:pPr>
        <w:pStyle w:val="TextoNormal"/>
      </w:pPr>
      <w:r w:rsidRPr="008D479B">
        <w:rPr>
          <w:rStyle w:val="NumeroAFNegritaCaracter"/>
        </w:rPr>
        <w:t>3</w:t>
      </w:r>
      <w:r>
        <w:t>. La demandante de amparo atribuye a los actos dictados por el Consejo de Ministros (sancionador y desestimatorio del recurso de reposición) la vulneración del derecho a la legalidad sancionadora del art. 25.1 CE, en la vertiente del principio de culpabilidad y personalidad de la pena. A la sentencia del Tribunal Supremo de 25 de noviembre de 2021 no le imputa una lesión autónoma, sino únicamente la confirmación de un criterio administrativo que considera lesivo del citado derecho fundamental.</w:t>
      </w:r>
    </w:p>
    <w:p w14:paraId="148E8600" w14:textId="77777777" w:rsidR="008D479B" w:rsidRDefault="008D479B" w:rsidP="008D479B">
      <w:pPr>
        <w:pStyle w:val="TextoNormal"/>
      </w:pPr>
    </w:p>
    <w:p w14:paraId="4C38B101" w14:textId="77777777" w:rsidR="008D479B" w:rsidRDefault="008D479B" w:rsidP="008D479B">
      <w:pPr>
        <w:pStyle w:val="TextoNormal"/>
      </w:pPr>
      <w:r>
        <w:t>a) La demanda no descarta, en general, que las sanciones puedan transmitirse en los casos de sucesión empresarial cuando hay vínculos o continuidad entre la entidad infractora y la sancionada. Sin embargo, sostiene que en este caso no concurrían las notas de permanencia de la organización de la antigua entidad que justifiquen la sucesión en su responsabilidad. El Banco Santander, S.A., no se hizo cargo del Banco Popular, S.A., hasta años después de la supuesta conducta infractora, por lo que se le está trasladando la responsabilidad de forma objetiva, únicamente con base en el dato formal de la sucesión.</w:t>
      </w:r>
    </w:p>
    <w:p w14:paraId="1CD2CE86" w14:textId="77777777" w:rsidR="008D479B" w:rsidRDefault="008D479B" w:rsidP="008D479B">
      <w:pPr>
        <w:pStyle w:val="TextoNormal"/>
      </w:pPr>
    </w:p>
    <w:p w14:paraId="5FE6F496" w14:textId="77777777" w:rsidR="008D479B" w:rsidRDefault="008D479B" w:rsidP="008D479B">
      <w:pPr>
        <w:pStyle w:val="TextoNormal"/>
      </w:pPr>
      <w:r>
        <w:t>Aduce que la responsabilidad sancionadora opera sobre bases distintas que la responsabilidad patrimonial, ya que la sanción tiene una finalidad de reproche y prevención, que no puede articularse de forma objetiva. Sostiene que se habría tenido que analizar si existían vínculos entre el antiguo Banco Popular, S.A., y Banco Santander, S.A., a la fecha de comisión de la supuesta infracción imputada que permitieran la transmisión de responsabilidad. Tales vínculos no existían, ni en el plano jurídico (eran personas independientes); ni económico (cada uno tenía fondos y recursos diferenciados); ni organizativo (cada entidad tenía sus procedimientos de prevención del blanqueo de capitales).</w:t>
      </w:r>
    </w:p>
    <w:p w14:paraId="137B5D0A" w14:textId="77777777" w:rsidR="008D479B" w:rsidRDefault="008D479B" w:rsidP="008D479B">
      <w:pPr>
        <w:pStyle w:val="TextoNormal"/>
      </w:pPr>
    </w:p>
    <w:p w14:paraId="65D00C88" w14:textId="77777777" w:rsidR="008D479B" w:rsidRDefault="008D479B" w:rsidP="008D479B">
      <w:pPr>
        <w:pStyle w:val="TextoNormal"/>
      </w:pPr>
      <w:r>
        <w:t>La aplicación del mecanismo de “resolución” de entidades bancarias conllevó una ruptura radical entre el antiguo Banco Popular, S.A., y el nuevo banco resultante del proceso de “resolución”, que era una realidad jurídica, económica y organizativa distinta. El nuevo Banco Popular, S.A., vendido por el fondo de reestructuración ordenada bancaria a Banco Santander, S.A., era una entidad ajena en todos los aspectos a la entidad que cometió la infracción que se imputa (salvo por el nombre de “Banco Popular”, que se mantuvo en un primer momento por razones comerciales).</w:t>
      </w:r>
    </w:p>
    <w:p w14:paraId="666FEBE5" w14:textId="77777777" w:rsidR="008D479B" w:rsidRDefault="008D479B" w:rsidP="008D479B">
      <w:pPr>
        <w:pStyle w:val="TextoNormal"/>
      </w:pPr>
    </w:p>
    <w:p w14:paraId="7D87FA8C" w14:textId="77777777" w:rsidR="008D479B" w:rsidRDefault="008D479B" w:rsidP="008D479B">
      <w:pPr>
        <w:pStyle w:val="TextoNormal"/>
      </w:pPr>
      <w:r>
        <w:t>Cita la STC 129/2003, de 30 de junio, FJ 8, según la cual la admisión en nuestro Derecho administrativo sancionador de la responsabilidad directa de las personas jurídicas pasa porque tengan “capacidad de infracción” y es claro que en las circunstancias descritas Banco Santander, S.A., no estaba en disposición de cometer ni influir de ningún modo en la conducta infractora, dada la ausencia total de vínculos con Banco Popular, S.A.</w:t>
      </w:r>
    </w:p>
    <w:p w14:paraId="78528F56" w14:textId="77777777" w:rsidR="008D479B" w:rsidRDefault="008D479B" w:rsidP="008D479B">
      <w:pPr>
        <w:pStyle w:val="TextoNormal"/>
      </w:pPr>
    </w:p>
    <w:p w14:paraId="7C073073" w14:textId="77777777" w:rsidR="008D479B" w:rsidRDefault="008D479B" w:rsidP="008D479B">
      <w:pPr>
        <w:pStyle w:val="TextoNormal"/>
      </w:pPr>
      <w:r>
        <w:t>Añade que el Banco Santander, S.A., presentó la única oferta en el procedimiento competitivo de subasta realizado por el fondo de reestructuración ordenada bancaria. Por tanto, sin esa oferta, el proceso de “resolución” de Banco Popular, S.A., hubiera sido un fracaso, haciendo precisa una muy costosa intervención pública. Aclara que la compra de Banco Popular, S.A., por Banco Santander, S.A., no fue una “adquisición” societaria ordinaria en que la parte compradora pudiera adoptar las cautelas necesarias para cubrirse frente a eventuales responsabilidades de la sociedad que compra. Esto debe tenerse en cuenta cuando se ejerce la potestad sancionadora contra el tercero adquirente, que debe quedar protegido.</w:t>
      </w:r>
    </w:p>
    <w:p w14:paraId="7229EC2C" w14:textId="77777777" w:rsidR="008D479B" w:rsidRDefault="008D479B" w:rsidP="008D479B">
      <w:pPr>
        <w:pStyle w:val="TextoNormal"/>
      </w:pPr>
    </w:p>
    <w:p w14:paraId="3AF731AC" w14:textId="77777777" w:rsidR="008D479B" w:rsidRDefault="008D479B" w:rsidP="008D479B">
      <w:pPr>
        <w:pStyle w:val="TextoNormal"/>
      </w:pPr>
      <w:r>
        <w:t>La demanda subraya que los procedimientos y responsables en materia de prevención del blanqueo de capitales cambiaron completamente tras la “resolución” y absorción. De hecho, se instauró un “modo de hacer las cosas” que ha sido considerado correcto por el SEPBLAC, puesto que Banco Santander, S.A., fue también sometido a la misma inspección realizada sobre Banco Popular, S.A., sin que se apreciaran anomalías. Por lo tanto, la nota formal de continuidad en el negocio bancario no resulta de aplicación en este caso. Adicionalmente, alega que el Banco Santander, S.A., no ha obtenido ninguna ventaja, directa o indirecta, de la conducta sancionada, por lo que la mera continuidad de la actividad bancaria anterior de Banco Popular, S.A., no puede legitimar la transmisión de la responsabilidad.</w:t>
      </w:r>
    </w:p>
    <w:p w14:paraId="0B39EC5A" w14:textId="77777777" w:rsidR="008D479B" w:rsidRDefault="008D479B" w:rsidP="008D479B">
      <w:pPr>
        <w:pStyle w:val="TextoNormal"/>
      </w:pPr>
    </w:p>
    <w:p w14:paraId="44627C1B" w14:textId="77777777" w:rsidR="008D479B" w:rsidRDefault="008D479B" w:rsidP="008D479B">
      <w:pPr>
        <w:pStyle w:val="TextoNormal"/>
      </w:pPr>
      <w:r>
        <w:t>En definitiva, en este caso, es improcedente sancionar a Banco Santander, S.A., por una conducta que queda fuera del negocio bancario continuado por él, prueba de lo cual es que cambió radicalmente la forma de hacer las cosas.</w:t>
      </w:r>
    </w:p>
    <w:p w14:paraId="5AA81BB0" w14:textId="77777777" w:rsidR="008D479B" w:rsidRDefault="008D479B" w:rsidP="008D479B">
      <w:pPr>
        <w:pStyle w:val="TextoNormal"/>
      </w:pPr>
    </w:p>
    <w:p w14:paraId="57C1E580" w14:textId="77777777" w:rsidR="008D479B" w:rsidRDefault="008D479B" w:rsidP="008D479B">
      <w:pPr>
        <w:pStyle w:val="TextoNormal"/>
      </w:pPr>
      <w:r>
        <w:t xml:space="preserve">b) La demanda argumenta, en segundo lugar, que la sanción impuesta tiene carácter penal, conforme a los parámetros de la doctrina del Tribunal Europeo de Derechos Humanos (asuntos </w:t>
      </w:r>
      <w:r w:rsidRPr="008D479B">
        <w:rPr>
          <w:i/>
        </w:rPr>
        <w:t>Engel</w:t>
      </w:r>
      <w:r>
        <w:t xml:space="preserve"> y </w:t>
      </w:r>
      <w:r w:rsidRPr="008D479B">
        <w:rPr>
          <w:i/>
        </w:rPr>
        <w:t>Saquetti Iglesias</w:t>
      </w:r>
      <w:r>
        <w:t>). De lo cual se deriva la consecuencia de que debían aplicarse con el máximo rigor las garantías propias del Derecho penal, incluyendo, entre otros, los principios de culpabilidad y personalidad de la pena del art. 25.1 CE. Los “matices” o “modulaciones” con los que pueden aplicarse los principios del Derecho penal sobre sanciones administrativas no caben en este caso, desde luego, no hasta el punto de excepcionar la aplicación de los principios de culpabilidad y personalidad —especialmente en una sanción de “naturaleza penal”—, según la jurisprudencia del Tribunal Europeo de Derechos Humanos.</w:t>
      </w:r>
    </w:p>
    <w:p w14:paraId="1EA51701" w14:textId="77777777" w:rsidR="008D479B" w:rsidRDefault="008D479B" w:rsidP="008D479B">
      <w:pPr>
        <w:pStyle w:val="TextoNormal"/>
      </w:pPr>
    </w:p>
    <w:p w14:paraId="0A4C29A9" w14:textId="77777777" w:rsidR="008D479B" w:rsidRDefault="008D479B" w:rsidP="008D479B">
      <w:pPr>
        <w:pStyle w:val="TextoNormal"/>
      </w:pPr>
      <w:r>
        <w:t xml:space="preserve">La entidad recurrente añade que, si atendemos al modo en el que se construye la responsabilidad de las personas jurídicas en el ámbito del </w:t>
      </w:r>
      <w:r w:rsidRPr="008D479B">
        <w:rPr>
          <w:i/>
        </w:rPr>
        <w:t>ius puniendi</w:t>
      </w:r>
      <w:r>
        <w:t>, podemos entender que lo relevante no es tanto una idea automática de transferencia por hechos de las personas físicas que actúan en representación o en nombre de la persona jurídica, como la idea del “hecho propio” de la persona jurídica, constituida por las medidas de organización interna que haya adoptado. Desde este punto de vista, está aún menos justificado que se pretenda que Banco Santander, S.A., responda por conductas infractoras de Banco Popular, S.A., producidas en el ámbito de la prevención del blanqueo de capitales, sobre todo, cuando se ha acreditado que la organización interna del Banco Santander, S.A., no era merecedora de ningún reproche.</w:t>
      </w:r>
    </w:p>
    <w:p w14:paraId="02D148C0" w14:textId="77777777" w:rsidR="008D479B" w:rsidRDefault="008D479B" w:rsidP="008D479B">
      <w:pPr>
        <w:pStyle w:val="TextoNormal"/>
      </w:pPr>
    </w:p>
    <w:p w14:paraId="43ED72A1" w14:textId="10A76A7B" w:rsidR="008D479B" w:rsidRDefault="008D479B" w:rsidP="008D479B">
      <w:pPr>
        <w:pStyle w:val="TextoNormal"/>
      </w:pPr>
      <w:r>
        <w:t>c) La demanda concluye solicitando al Tribunal que otorgue el amparo porque las resoluciones administrativas y la sentencia del Tribunal Supremo impugnadas han vulnerado los principios de culpabilidad y personalidad de las sanciones contenido en el derecho fundamental a la legalidad penal (art. 25.1 CE), declarando su nulidad.</w:t>
      </w:r>
    </w:p>
    <w:p w14:paraId="651C7541" w14:textId="77777777" w:rsidR="008D479B" w:rsidRDefault="008D479B" w:rsidP="008D479B">
      <w:pPr>
        <w:pStyle w:val="TextoNormal"/>
      </w:pPr>
    </w:p>
    <w:p w14:paraId="0BCC56C7" w14:textId="29813582" w:rsidR="008D479B" w:rsidRDefault="008D479B" w:rsidP="008D479B">
      <w:pPr>
        <w:pStyle w:val="TextoNormal"/>
      </w:pPr>
      <w:r w:rsidRPr="008D479B">
        <w:rPr>
          <w:rStyle w:val="NumeroAFNegritaCaracter"/>
        </w:rPr>
        <w:t>4</w:t>
      </w:r>
      <w:r>
        <w:t>. Mediante providencia de 28 de noviembre de 2022, la Sección Cuarta de este tribunal acordó admitir a trámite el recurso, apreciando que reviste especial trascendencia constitucional (art. 50.1 de la Ley Orgánica del Tribunal Constitucional, en adelante, LOTC), como consecuencia de que el recurso plantea un problema o afecta a una faceta de un derecho fundamental sobre el que no hay doctrina de este tribunal [STC 155/2009, FJ 2 a)]. Acordó igualmente dirigir atenta comunicación a la Sección Tercera de la Sala de lo Contencioso-Administrativo del Tribunal Supremo, a fin de que remitiera testimonio íntegro de lo actuado en el recurso ordinario núm. 345-2020; debiendo previamente emplazarse para que en el plazo de diez días pudieran comparecer en el recurso de amparo a quienes hubieran sido parte en el procedimiento, excepto a la parte recurrente en amparo.</w:t>
      </w:r>
    </w:p>
    <w:p w14:paraId="46D2A5AA" w14:textId="77777777" w:rsidR="008D479B" w:rsidRDefault="008D479B" w:rsidP="008D479B">
      <w:pPr>
        <w:pStyle w:val="TextoNormal"/>
      </w:pPr>
    </w:p>
    <w:p w14:paraId="3B066D35" w14:textId="34E6459D" w:rsidR="008D479B" w:rsidRDefault="008D479B" w:rsidP="008D479B">
      <w:pPr>
        <w:pStyle w:val="TextoNormal"/>
      </w:pPr>
      <w:r w:rsidRPr="008D479B">
        <w:rPr>
          <w:rStyle w:val="NumeroAFNegritaCaracter"/>
        </w:rPr>
        <w:t>5</w:t>
      </w:r>
      <w:r>
        <w:t>. Mediante escrito de 14 de diciembre de 2022, se personó en las actuaciones el abogado del Estado, en la representación que ostenta, solicitando que se entendieran con él los trámites posteriores. Por diligencia de ordenación de 9 de enero de 2023, el secretario de justicia de la Sección Cuarta le tuvo por personado y acordó dar vista de las actuaciones recibidas a las partes personadas y al Ministerio Fiscal, por plazo común de veinte días, para que pudieran presentar las alegaciones que estimasen pertinentes, conforme determina el art. 52.1 LOTC.</w:t>
      </w:r>
    </w:p>
    <w:p w14:paraId="00388D5C" w14:textId="77777777" w:rsidR="008D479B" w:rsidRDefault="008D479B" w:rsidP="008D479B">
      <w:pPr>
        <w:pStyle w:val="TextoNormal"/>
      </w:pPr>
    </w:p>
    <w:p w14:paraId="79CA932F" w14:textId="36FE6669" w:rsidR="008D479B" w:rsidRDefault="008D479B" w:rsidP="008D479B">
      <w:pPr>
        <w:pStyle w:val="TextoNormal"/>
      </w:pPr>
      <w:r w:rsidRPr="008D479B">
        <w:rPr>
          <w:rStyle w:val="NumeroAFNegritaCaracter"/>
        </w:rPr>
        <w:t>6</w:t>
      </w:r>
      <w:r>
        <w:t>. Por diligencia de ordenación de 19 de enero de 2023, el secretario de justicia de la Sección Tercera puso en conocimiento de las partes que el recurso de amparo había sido turnado a dicha Sección, en virtud de lo acordado por el Pleno del tribunal el día 17 anterior.</w:t>
      </w:r>
    </w:p>
    <w:p w14:paraId="0090B370" w14:textId="77777777" w:rsidR="008D479B" w:rsidRDefault="008D479B" w:rsidP="008D479B">
      <w:pPr>
        <w:pStyle w:val="TextoNormal"/>
      </w:pPr>
    </w:p>
    <w:p w14:paraId="0323A1DA" w14:textId="77777777" w:rsidR="008D479B" w:rsidRDefault="008D479B" w:rsidP="008D479B">
      <w:pPr>
        <w:pStyle w:val="TextoNormal"/>
      </w:pPr>
      <w:r w:rsidRPr="008D479B">
        <w:rPr>
          <w:rStyle w:val="NumeroAFNegritaCaracter"/>
        </w:rPr>
        <w:t>7</w:t>
      </w:r>
      <w:r>
        <w:t>. El abogado del Estado presentó su escrito de alegaciones el día 9 de febrero de 2022. En primer lugar, aduce que la demanda es inadmisible en relación con el motivo relativo a la naturaleza penal de la sanción como infracción de los principios de culpabilidad y responsabilidad (art. 25 CE), pues este motivo se introdujo por primera vez en la demanda de amparo, sin que la jurisdicción ordinaria haya podido pronunciarse sobre él.</w:t>
      </w:r>
    </w:p>
    <w:p w14:paraId="19D98DC2" w14:textId="77777777" w:rsidR="008D479B" w:rsidRDefault="008D479B" w:rsidP="008D479B">
      <w:pPr>
        <w:pStyle w:val="TextoNormal"/>
      </w:pPr>
    </w:p>
    <w:p w14:paraId="449CDE7F" w14:textId="77777777" w:rsidR="008D479B" w:rsidRDefault="008D479B" w:rsidP="008D479B">
      <w:pPr>
        <w:pStyle w:val="TextoNormal"/>
      </w:pPr>
      <w:r>
        <w:t>a) Respecto de la alegada vulneración de los principios de culpabilidad y responsabilidad en el ámbito del Derecho administrativo sancionador, razona que, según la doctrina constitucional, tales principios, por un lado, prohíben regular supuestos de responsabilidad objetiva; y, por otro, exigen que la culpabilidad y responsabilidad se acredite mediante un procedimiento con las garantías procedimentales de los arts. 24 y 25 CE, entre ellos la adecuada motivación de las resoluciones sancionadoras. Para el abogado del Estado, la queja de la entidad demandante de amparo se centra en la motivación de la resolución sancionadora, sobre la base de una distinta interpretación de normas legales y europeas, es decir, una cuestión de legalidad ordinaria.</w:t>
      </w:r>
    </w:p>
    <w:p w14:paraId="02994F5C" w14:textId="77777777" w:rsidR="008D479B" w:rsidRDefault="008D479B" w:rsidP="008D479B">
      <w:pPr>
        <w:pStyle w:val="TextoNormal"/>
      </w:pPr>
    </w:p>
    <w:p w14:paraId="35E3EA9C" w14:textId="77777777" w:rsidR="008D479B" w:rsidRDefault="008D479B" w:rsidP="008D479B">
      <w:pPr>
        <w:pStyle w:val="TextoNormal"/>
      </w:pPr>
      <w:r>
        <w:t>Por tanto, la infracción del principio de responsabilidad y personalidad solo se daría si la interpretación de la ley realizada por el órgano sancionador en orden a la transmisión de la responsabilidad administrativa fuera irrazonable, arbitraria o ilógica, cuestión que —a su entender—, no concurre en el caso.</w:t>
      </w:r>
    </w:p>
    <w:p w14:paraId="02D6710A" w14:textId="77777777" w:rsidR="008D479B" w:rsidRDefault="008D479B" w:rsidP="008D479B">
      <w:pPr>
        <w:pStyle w:val="TextoNormal"/>
      </w:pPr>
    </w:p>
    <w:p w14:paraId="5C80585A" w14:textId="77777777" w:rsidR="008D479B" w:rsidRDefault="008D479B" w:rsidP="008D479B">
      <w:pPr>
        <w:pStyle w:val="TextoNormal"/>
      </w:pPr>
      <w:r>
        <w:t>b) El abogado del Estado considera que las resoluciones administrativas impugnadas se ajustan a la consolidada jurisprudencia del Tribunal Supremo y del Tribunal de Justicia de la Unión Europea sobre la transmisión de responsabilidad en caso de sucesión empresarial. En concreto, razona que, de admitirse la interpretación del recurrente, dependería de la exclusiva voluntad de la sociedad eludir las responsabilidades administrativas mediante el simple proceso de extinguirla mediante fusión por absorción. Implicaría también considerar que, por la adquisición del capital social de una sociedad, sin extinción, desaparecerían las responsabilidades administrativas de la sociedad adquirida, aunque esta siga existiendo como tal.</w:t>
      </w:r>
    </w:p>
    <w:p w14:paraId="68643638" w14:textId="77777777" w:rsidR="008D479B" w:rsidRDefault="008D479B" w:rsidP="008D479B">
      <w:pPr>
        <w:pStyle w:val="TextoNormal"/>
      </w:pPr>
    </w:p>
    <w:p w14:paraId="073B9881" w14:textId="77777777" w:rsidR="008D479B" w:rsidRDefault="008D479B" w:rsidP="008D479B">
      <w:pPr>
        <w:pStyle w:val="TextoNormal"/>
      </w:pPr>
      <w:r>
        <w:t>En conexión con lo anterior, subraya que la decisión de participar en la subasta para la adquisición del Banco Popular, S.A., y realizar una fusión por absorción con extinción de su personalidad jurídica con posterioridad fue resultado de un acto libre.</w:t>
      </w:r>
    </w:p>
    <w:p w14:paraId="4B5F61BE" w14:textId="77777777" w:rsidR="008D479B" w:rsidRDefault="008D479B" w:rsidP="008D479B">
      <w:pPr>
        <w:pStyle w:val="TextoNormal"/>
      </w:pPr>
    </w:p>
    <w:p w14:paraId="13F0ED42" w14:textId="14EDCB2A" w:rsidR="008D479B" w:rsidRDefault="008D479B" w:rsidP="008D479B">
      <w:pPr>
        <w:pStyle w:val="TextoNormal"/>
      </w:pPr>
      <w:r>
        <w:t>En suma, la interpretación mantenida por los acuerdos impugnados no es arbitraria, irracional ni ilógica ni infringe los principios de responsabilidad y culpabilidad.</w:t>
      </w:r>
    </w:p>
    <w:p w14:paraId="1D96A088" w14:textId="77777777" w:rsidR="008D479B" w:rsidRDefault="008D479B" w:rsidP="008D479B">
      <w:pPr>
        <w:pStyle w:val="TextoNormal"/>
      </w:pPr>
    </w:p>
    <w:p w14:paraId="5DA3404E" w14:textId="77777777" w:rsidR="008D479B" w:rsidRDefault="008D479B" w:rsidP="008D479B">
      <w:pPr>
        <w:pStyle w:val="TextoNormal"/>
      </w:pPr>
      <w:r w:rsidRPr="008D479B">
        <w:rPr>
          <w:rStyle w:val="NumeroAFNegritaCaracter"/>
        </w:rPr>
        <w:t>8</w:t>
      </w:r>
      <w:r>
        <w:t>. El mismo 9 de febrero de 2023 tuvo entrada en el registro del tribunal el escrito de alegaciones de la entidad Banco Santander, S.A., en el que, ratificándose en lo argumentado en la demanda, añade lo siguiente:</w:t>
      </w:r>
    </w:p>
    <w:p w14:paraId="64F7DA39" w14:textId="77777777" w:rsidR="008D479B" w:rsidRDefault="008D479B" w:rsidP="008D479B">
      <w:pPr>
        <w:pStyle w:val="TextoNormal"/>
      </w:pPr>
    </w:p>
    <w:p w14:paraId="4606EFF3" w14:textId="77777777" w:rsidR="008D479B" w:rsidRDefault="008D479B" w:rsidP="008D479B">
      <w:pPr>
        <w:pStyle w:val="TextoNormal"/>
      </w:pPr>
      <w:r>
        <w:t>a) La aplicación del mecanismo de “resolución” de Banco Popular, S.A., impide considerar que exista una continuidad organizativa y económica en términos suficientes para la exigencia de responsabilidad sancionadora. La ruptura sustancial de la continuidad empresarial entre Banco Popular, S.A., y Banco Santander, S.A., y la inexistente posibilidad para este de evitar el resultado ilícito (que ya se había producido y consumado antes de la “resolución” del banco adquirido), conducen a entender que no puede ser declarado responsable por hechos infractores anteriores a la “resolución”. Especialmente, ante hechos de la naturaleza de los examinados, que se refieren a deficiencias en los procedimientos y órganos internos de prevención del blanqueo de capitales, sobre cuya aplicación por parte de Banco Santander, S.A., no cabe formular tacha alguna.</w:t>
      </w:r>
    </w:p>
    <w:p w14:paraId="3583BC20" w14:textId="77777777" w:rsidR="008D479B" w:rsidRDefault="008D479B" w:rsidP="008D479B">
      <w:pPr>
        <w:pStyle w:val="TextoNormal"/>
      </w:pPr>
    </w:p>
    <w:p w14:paraId="192DDEB6" w14:textId="77777777" w:rsidR="008D479B" w:rsidRDefault="008D479B" w:rsidP="008D479B">
      <w:pPr>
        <w:pStyle w:val="TextoNormal"/>
      </w:pPr>
      <w:r>
        <w:t>Argumenta que la doctrina recogida en las SSTC 246/1991, de 19 de diciembre, y 129/2003, de 30 de junio, hace girar la responsabilidad de las personas jurídicas por infracción sobre la “capacidad de infracción”. No discute que sea compatible con el art. 25 CE trasladar la responsabilidad sancionadora desde una sociedad que cometió la infracción a otra que le suceda en el tráfico jurídico. Sin embargo, no puede predeterminarse que siempre y en todo caso una sucesión suponga automáticamente la transmisión a la sociedad absorbente de la responsabilidad por infracciones de la absorbida. Para ello debería haber una continuidad que en su caso no existe. Banco Santander, S.A., tenía y tiene sus propios procedimientos de prevención del blanqueo de capitales y es responsable de realizar las comunicaciones de operativa sospechosa que le competen, pero no cabe que se le haga responsable de que la organización interna de prevención del blanqueo de capitales de Banco Popular, S.A., no realizara las comunicaciones de operativa sospechosa que le correspondían.</w:t>
      </w:r>
    </w:p>
    <w:p w14:paraId="2F373179" w14:textId="77777777" w:rsidR="008D479B" w:rsidRDefault="008D479B" w:rsidP="008D479B">
      <w:pPr>
        <w:pStyle w:val="TextoNormal"/>
      </w:pPr>
    </w:p>
    <w:p w14:paraId="6CDA0E1C" w14:textId="77777777" w:rsidR="008D479B" w:rsidRDefault="008D479B" w:rsidP="008D479B">
      <w:pPr>
        <w:pStyle w:val="TextoNormal"/>
      </w:pPr>
      <w:r>
        <w:t>La entidad recurrente subraya que la “resolución” de Banco Popular, S.A., supuso la quiebra de su continuidad y su desaparición como centro de imputación de responsabilidades sancionadoras, sin que existan vínculos que legitimen la transmisión de responsabilidad a Banco Santander, S.A. Por tanto, se ha producido una traslación objetiva de responsabilidad incompatible con los principios de culpabilidad y personalidad, según la jurisprudencia constitucional antes citada.</w:t>
      </w:r>
    </w:p>
    <w:p w14:paraId="5FC23115" w14:textId="77777777" w:rsidR="008D479B" w:rsidRDefault="008D479B" w:rsidP="008D479B">
      <w:pPr>
        <w:pStyle w:val="TextoNormal"/>
      </w:pPr>
    </w:p>
    <w:p w14:paraId="53879454" w14:textId="77777777" w:rsidR="008D479B" w:rsidRDefault="008D479B" w:rsidP="008D479B">
      <w:pPr>
        <w:pStyle w:val="TextoNormal"/>
      </w:pPr>
      <w:r>
        <w:t>Tras la “resolución” del Banco Popular, S.A., han desaparecido los elementos caracterizadores de dicha entidad, especialmente en el ámbito de la responsabilidad sancionadora de que se trata. No existe su antiguo accionariado, ni su antiguo consejo de administración ni su antigua organización interna en materia de prevención del blanqueo de capitales.</w:t>
      </w:r>
    </w:p>
    <w:p w14:paraId="52566840" w14:textId="77777777" w:rsidR="008D479B" w:rsidRDefault="008D479B" w:rsidP="008D479B">
      <w:pPr>
        <w:pStyle w:val="TextoNormal"/>
      </w:pPr>
    </w:p>
    <w:p w14:paraId="5EF10299" w14:textId="77777777" w:rsidR="008D479B" w:rsidRDefault="008D479B" w:rsidP="008D479B">
      <w:pPr>
        <w:pStyle w:val="TextoNormal"/>
      </w:pPr>
      <w:r>
        <w:t>b) Considera que la sentencia impugnada no reflexiona sobre el hecho distintivo de que la sucesión de Banco Popular, S.A., es el resultado de la aplicación del mecanismo único de “resolución” de entidades bancarias ordenado por la normativa sobre resolución de entidades de crédito, que es un mecanismo exorbitante de Derecho público que cambió por completo su realidad jurídica, económica y organizativa, y que carecía de precedentes normativos europeos anteriores. No estamos ante una sucesión ordinaria entre personas jurídicas porque la “resolución” afectó a los elementos definitorios de la identidad de Banco Popular, S.A. Mientras que en una sucesión “normal” perviven elementos de la sociedad sucedida en su sucesora, no ocurrió lo mismo en el caso de Banco Popular, S.A., al que se aplicó el primer procedimiento europeo de “resolución” bancaria.</w:t>
      </w:r>
    </w:p>
    <w:p w14:paraId="3E01C1EA" w14:textId="77777777" w:rsidR="008D479B" w:rsidRDefault="008D479B" w:rsidP="008D479B">
      <w:pPr>
        <w:pStyle w:val="TextoNormal"/>
      </w:pPr>
    </w:p>
    <w:p w14:paraId="181DFBE4" w14:textId="77777777" w:rsidR="008D479B" w:rsidRDefault="008D479B" w:rsidP="008D479B">
      <w:pPr>
        <w:pStyle w:val="TextoNormal"/>
      </w:pPr>
      <w:r>
        <w:t>Lo anterior es particularmente importante a la vista de que no se exige una responsabilidad por sanciones ya impuestas respecto de las que se reclame el pago que estuviera pendiente, ni tampoco a procedimientos en curso en el momento de producirse la “resolución” de Banco Popular, S.A. A la entidad recurrente se le exige responder por hechos agotados y consumados dos años antes de la “resolución” del banco infractor, respecto de los cuales no existía ningún procedimiento sancionador en curso.</w:t>
      </w:r>
    </w:p>
    <w:p w14:paraId="4AC62EA6" w14:textId="77777777" w:rsidR="008D479B" w:rsidRDefault="008D479B" w:rsidP="008D479B">
      <w:pPr>
        <w:pStyle w:val="TextoNormal"/>
      </w:pPr>
    </w:p>
    <w:p w14:paraId="324429D8" w14:textId="77777777" w:rsidR="008D479B" w:rsidRDefault="008D479B" w:rsidP="008D479B">
      <w:pPr>
        <w:pStyle w:val="TextoNormal"/>
      </w:pPr>
      <w:r>
        <w:t>Alega que con el mecanismo de “resolución” se buscó garantizar tres funciones esenciales de Banco Popular, S.A.: la toma de depósitos de los hogares y las sociedades no financieras; los préstamos a las pequeñas y medianas empresas y los servicios de pago y efectivo. La continuidad se limitó a estos aspectos, pero no al procedimiento y organización internas en materia de prevención del blanqueo de capitales. Tras la fusión, el procedimiento y organización de Banco Santander, S.A., en dicha materia son los únicos que existen.</w:t>
      </w:r>
    </w:p>
    <w:p w14:paraId="0E57D723" w14:textId="77777777" w:rsidR="008D479B" w:rsidRDefault="008D479B" w:rsidP="008D479B">
      <w:pPr>
        <w:pStyle w:val="TextoNormal"/>
      </w:pPr>
    </w:p>
    <w:p w14:paraId="5D94313A" w14:textId="77777777" w:rsidR="008D479B" w:rsidRDefault="008D479B" w:rsidP="008D479B">
      <w:pPr>
        <w:pStyle w:val="TextoNormal"/>
      </w:pPr>
      <w:r>
        <w:t>La continuidad en el negocio bancario no basta para justificar la traslación de responsabilidad, considerando que, tras la “resolución” de Banco Popular, S.A., los procedimientos, las políticas, la organización y las personas responsables de blanqueo cambiaron radicalmente.</w:t>
      </w:r>
    </w:p>
    <w:p w14:paraId="17DD969A" w14:textId="77777777" w:rsidR="008D479B" w:rsidRDefault="008D479B" w:rsidP="008D479B">
      <w:pPr>
        <w:pStyle w:val="TextoNormal"/>
      </w:pPr>
    </w:p>
    <w:p w14:paraId="34A0D514" w14:textId="77777777" w:rsidR="008D479B" w:rsidRDefault="008D479B" w:rsidP="008D479B">
      <w:pPr>
        <w:pStyle w:val="TextoNormal"/>
      </w:pPr>
      <w:r>
        <w:t xml:space="preserve">A continuación, cita las sentencias del Tribunal General de la Unión Europea de 1 de junio de 2022, asunto </w:t>
      </w:r>
      <w:r w:rsidRPr="008D479B">
        <w:rPr>
          <w:i/>
        </w:rPr>
        <w:t>Aeris Invest Sàrl c. Comisión Europea y Junta Única de Resolución</w:t>
      </w:r>
      <w:r>
        <w:t xml:space="preserve">, T-628/17, y de 6 de octubre de 2021, asunto </w:t>
      </w:r>
      <w:r w:rsidRPr="008D479B">
        <w:rPr>
          <w:i/>
        </w:rPr>
        <w:t>Aeris Invest Sàrl c. Banco Central Europeo</w:t>
      </w:r>
      <w:r>
        <w:t xml:space="preserve">, T-828/17, así como la del Tribunal de Justicia de la Unión Europea en el asunto </w:t>
      </w:r>
      <w:r w:rsidRPr="008D479B">
        <w:rPr>
          <w:i/>
        </w:rPr>
        <w:t>Banco Santander, S.A</w:t>
      </w:r>
      <w:r>
        <w:t>., C-410/20. De ellas se colige que el mecanismo de “resolución” bancaria está presidido por un interés público superior al que pueda existir en sancionar la falta de comunicación por indicio de blanqueo en dos casos puntuales. En concreto, la última sentencia citada impone a los accionistas y acreedores afectados por la “resolución” tener que soportar las pérdidas correspondientes sin que subsista responsabilidad alguna a cargo de la entidad resuelta o su sucesor, pues debe prevalecer la estabilidad del sistema financiero y la evitación de un riesgo sistémico.</w:t>
      </w:r>
    </w:p>
    <w:p w14:paraId="430FC0CF" w14:textId="77777777" w:rsidR="008D479B" w:rsidRDefault="008D479B" w:rsidP="008D479B">
      <w:pPr>
        <w:pStyle w:val="TextoNormal"/>
      </w:pPr>
    </w:p>
    <w:p w14:paraId="2D9FC236" w14:textId="749EE04B" w:rsidR="008D479B" w:rsidRDefault="008D479B" w:rsidP="008D479B">
      <w:pPr>
        <w:pStyle w:val="TextoNormal"/>
      </w:pPr>
      <w:r>
        <w:t>c) Por último, insiste en el argumento de la demanda sobre la naturaleza penal de la sanción aplicada en este caso, lo que exige que los principios de culpabilidad y responsabilidad personal deben aplicarse sin “modulaciones” o “matices” que supongan un debilitamiento de las garantías del Derecho penal que materialmente los excepcionen.</w:t>
      </w:r>
    </w:p>
    <w:p w14:paraId="491D2A16" w14:textId="77777777" w:rsidR="008D479B" w:rsidRDefault="008D479B" w:rsidP="008D479B">
      <w:pPr>
        <w:pStyle w:val="TextoNormal"/>
      </w:pPr>
    </w:p>
    <w:p w14:paraId="38618BA0" w14:textId="77777777" w:rsidR="008D479B" w:rsidRDefault="008D479B" w:rsidP="008D479B">
      <w:pPr>
        <w:pStyle w:val="TextoNormal"/>
      </w:pPr>
      <w:r w:rsidRPr="008D479B">
        <w:rPr>
          <w:rStyle w:val="NumeroAFNegritaCaracter"/>
        </w:rPr>
        <w:t>9</w:t>
      </w:r>
      <w:r>
        <w:t>. El fiscal presentó su escrito de alegaciones el 7 de marzo de 2023, solicitando la desestimación íntegra del recurso de amparo, con base en los razonamientos siguientes:</w:t>
      </w:r>
    </w:p>
    <w:p w14:paraId="6B3F293B" w14:textId="77777777" w:rsidR="008D479B" w:rsidRDefault="008D479B" w:rsidP="008D479B">
      <w:pPr>
        <w:pStyle w:val="TextoNormal"/>
      </w:pPr>
    </w:p>
    <w:p w14:paraId="3C63948C" w14:textId="77777777" w:rsidR="008D479B" w:rsidRDefault="008D479B" w:rsidP="008D479B">
      <w:pPr>
        <w:pStyle w:val="TextoNormal"/>
      </w:pPr>
      <w:r>
        <w:t>a) Tras sintetizar los antecedentes de hecho y los argumentos de la demanda, aborda el segundo de ellos —referido al carácter penal de la sanción impuesta— para señalar que la entidad recurrente tan solo alega que deben aplicarse con el máximo rigor las garantías de culpabilidad y responsabilidad de los arts. 25.1 CE y 7 del Convenio europeo de derechos humanos, pero sin concretar qué consecuencias tendría para este caso dicha aplicación.</w:t>
      </w:r>
    </w:p>
    <w:p w14:paraId="52C50615" w14:textId="77777777" w:rsidR="008D479B" w:rsidRDefault="008D479B" w:rsidP="008D479B">
      <w:pPr>
        <w:pStyle w:val="TextoNormal"/>
      </w:pPr>
    </w:p>
    <w:p w14:paraId="48D83073" w14:textId="77777777" w:rsidR="008D479B" w:rsidRDefault="008D479B" w:rsidP="008D479B">
      <w:pPr>
        <w:pStyle w:val="TextoNormal"/>
      </w:pPr>
      <w:r>
        <w:t>Aun admitiendo el carácter penal de la sanción impuesta, recuerda que el art. 130.2 del Código penal (CP) prevé que la desaparición de una persona jurídica no conlleva la extinción de la responsabilidad criminal. En concreto, el párrafo primero de dicho precepto regula la sucesión en la responsabilidad en los casos de disolución no fraudulenta, citando prácticamente todos los supuestos regulados en la Ley 3/2009, de 3 de abril, sobre modificaciones estructurales de las sociedades mercantiles: transformación, fusión, absorción y escisión. Por su parte, el párrafo segundo del art. 130.2, se refiere a los casos de disolución fraudulenta, lo que considera que no es el caso aquí analizado.</w:t>
      </w:r>
    </w:p>
    <w:p w14:paraId="09F0697A" w14:textId="77777777" w:rsidR="008D479B" w:rsidRDefault="008D479B" w:rsidP="008D479B">
      <w:pPr>
        <w:pStyle w:val="TextoNormal"/>
      </w:pPr>
    </w:p>
    <w:p w14:paraId="55A95872" w14:textId="77777777" w:rsidR="008D479B" w:rsidRDefault="008D479B" w:rsidP="008D479B">
      <w:pPr>
        <w:pStyle w:val="TextoNormal"/>
      </w:pPr>
      <w:r>
        <w:t>Para el fiscal, la regulación del art. 130.2, párrafo primero, CP, que sería la aplicable a este caso, implica un traslado de la responsabilidad por ilícito de la empresa originaria, sin exigir que en la empresa resultante concurra estado alguno de injusto ni que la operación se haya realizado para eludir la responsabilidad. Considera que el traslado de la responsabilidad a la entidad resultante de la transformación, fusión o absorción no se basa en la participación de esta en el hecho típico, sino en la propia operación empresarial de transformación, fusión o absorción y en la continuidad en la actividad empresarial. Por tanto, los principios de culpabilidad y responsabilidad del art. 25.1 CE solo serían predicables de la entidad que cometió en su momento las infracciones pero no de la ahora recurrente. Esta tendría que soportar el traslado de la responsabilidad, en primer lugar, por imperativo del art. 130.2 CP; y, en segundo lugar, porque participó voluntariamente en la absorción de Banco Popular, S.A., y continuó el negocio bancario de esta, como entidad infractora, asumiendo su estructura de empleados y activos, clientes y productos.</w:t>
      </w:r>
    </w:p>
    <w:p w14:paraId="55F41F12" w14:textId="77777777" w:rsidR="008D479B" w:rsidRDefault="008D479B" w:rsidP="008D479B">
      <w:pPr>
        <w:pStyle w:val="TextoNormal"/>
      </w:pPr>
    </w:p>
    <w:p w14:paraId="74CF211C" w14:textId="77777777" w:rsidR="008D479B" w:rsidRDefault="008D479B" w:rsidP="008D479B">
      <w:pPr>
        <w:pStyle w:val="TextoNormal"/>
      </w:pPr>
      <w:r>
        <w:t>Por lo anterior, considera que la vía argumentativa de la demanda ligada al carácter penal de la sanción impuesta no podría prosperar, ya que la aplicación del Derecho penal al caso respaldaría la sucesión en la responsabilidad.</w:t>
      </w:r>
    </w:p>
    <w:p w14:paraId="3BF5A7F4" w14:textId="77777777" w:rsidR="008D479B" w:rsidRDefault="008D479B" w:rsidP="008D479B">
      <w:pPr>
        <w:pStyle w:val="TextoNormal"/>
      </w:pPr>
    </w:p>
    <w:p w14:paraId="0B9E44EB" w14:textId="77777777" w:rsidR="008D479B" w:rsidRDefault="008D479B" w:rsidP="008D479B">
      <w:pPr>
        <w:pStyle w:val="TextoNormal"/>
      </w:pPr>
      <w:r>
        <w:t>b) Desde el punto de vista del Derecho administrativo sancionador, el fiscal recuerda que también es aplicable el principio de culpabilidad, citando la STC 246/1991, FJ 2. Con base en ella, considera que la construcción de la imputabilidad a la persona jurídica debe ser distinta, dado que es una ficción, carente de voluntad en sentido estricto, pero que, a pesar de ello, puede infringir las normas a que está sometida. La capacidad infractora de la persona jurídica deriva del bien jurídico protegido, de la necesidad de que dicha protección sea eficaz y del riesgo que debe asumir la persona jurídica que está sometida al cumplimiento de una norma determinada.</w:t>
      </w:r>
    </w:p>
    <w:p w14:paraId="49CED344" w14:textId="77777777" w:rsidR="008D479B" w:rsidRDefault="008D479B" w:rsidP="008D479B">
      <w:pPr>
        <w:pStyle w:val="TextoNormal"/>
      </w:pPr>
    </w:p>
    <w:p w14:paraId="5B3FB3A1" w14:textId="77777777" w:rsidR="008D479B" w:rsidRDefault="008D479B" w:rsidP="008D479B">
      <w:pPr>
        <w:pStyle w:val="TextoNormal"/>
      </w:pPr>
      <w:r>
        <w:t>A partir de lo expuesto, el fiscal constata que en el Derecho administrativo no existe un precepto semejante al art. 130.2 CP. Sin embargo, tanto el Tribunal Supremo como el Tribunal de Justicia de la Unión Europea han venido dando una respuesta similar al problema de los cambios que, a diferencia de las personas físicas, las personas jurídicas experimentan a lo largo de su existencia. Menciona una serie de sentencias del Tribunal Supremo y del Tribunal de Justicia de la Unión Europea que, en síntesis, admiten la sucesión con base en el criterio de la continuidad económica. En concreto, la STJUE de 5 de marzo de 2015, asunto C-343/13, señala que la absorción de una entidad por otra conlleva la transmisión de su activo y pasivo, incluyendo la expectativa de sanción en que podría incurrir aquella por actuaciones anteriores a la absorción. Por su parte, la STJUE de 14 de marzo de 2019, asunto C-724/17, considera que, cuando hay identidad sustancial entre la antigua y la nueva entidad, imputar a la segunda una responsabilidad de la primera no vulnera el principio de responsabilidad personal.</w:t>
      </w:r>
    </w:p>
    <w:p w14:paraId="31020055" w14:textId="77777777" w:rsidR="008D479B" w:rsidRDefault="008D479B" w:rsidP="008D479B">
      <w:pPr>
        <w:pStyle w:val="TextoNormal"/>
      </w:pPr>
    </w:p>
    <w:p w14:paraId="63065C1B" w14:textId="77777777" w:rsidR="008D479B" w:rsidRDefault="008D479B" w:rsidP="008D479B">
      <w:pPr>
        <w:pStyle w:val="TextoNormal"/>
      </w:pPr>
      <w:r>
        <w:t>Según lo anterior, el fundamento de imponer una sanción administrativa a la sucesora no radica en haber realizado la conducta típica —lo que no hizo— sino en la adquisición de los activos y pasivos de la persona jurídica infractora, en la continuación de la actividad económica adquirida o en ambas circunstancias a la vez. En este sentido, los acuerdos del Consejo de Ministros impugnados siguen dicha línea jurisprudencial, justificando la sanción a Banco Santander, S.A., en la continuidad de la actividad empresarial de Banco Popular, S.A.</w:t>
      </w:r>
    </w:p>
    <w:p w14:paraId="08C3B862" w14:textId="77777777" w:rsidR="008D479B" w:rsidRDefault="008D479B" w:rsidP="008D479B">
      <w:pPr>
        <w:pStyle w:val="TextoNormal"/>
      </w:pPr>
    </w:p>
    <w:p w14:paraId="2038C7EA" w14:textId="77777777" w:rsidR="008D479B" w:rsidRDefault="008D479B" w:rsidP="008D479B">
      <w:pPr>
        <w:pStyle w:val="TextoNormal"/>
      </w:pPr>
      <w:r>
        <w:t>c) Por último, el fiscal considera irrelevantes los argumentos de la demanda referidos a la falta de vínculo entre las entidades implicadas con carácter previo a la absorción; a que cuando esta se produjo el expediente sancionador no estaba todavía incoado; a que no hubo continuidad en materia de procedimientos de prevención del blanqueo de capitales y a que la entidad sancionada evitó costes millonarios a las arcas públicas.</w:t>
      </w:r>
    </w:p>
    <w:p w14:paraId="46F08D1A" w14:textId="77777777" w:rsidR="008D479B" w:rsidRDefault="008D479B" w:rsidP="008D479B">
      <w:pPr>
        <w:pStyle w:val="TextoNormal"/>
      </w:pPr>
    </w:p>
    <w:p w14:paraId="69E19B2A" w14:textId="2F58153D" w:rsidR="008D479B" w:rsidRDefault="008D479B" w:rsidP="008D479B">
      <w:pPr>
        <w:pStyle w:val="TextoNormal"/>
      </w:pPr>
      <w:r>
        <w:t>En cuanto a la falta de continuidad entre ambas entidades, señala que Banco Santander, S.A., controló desde el primer momento toda la actividad de Banco Popular, S.A., y es esa continuidad, sin interrupción, lo que justifica la sucesión en la responsabilidad por infracción. Respecto a que la conducta infractora era ajena a la actividad bancaria, el fiscal sostiene que el origen concreto de la responsabilidad es irrelevante, porque lo fundamental es la continuidad por la absorbente de la actividad económica de la absorbida, insertándose la responsabilidad en el pasivo transmitido.</w:t>
      </w:r>
    </w:p>
    <w:p w14:paraId="2D194BD1" w14:textId="77777777" w:rsidR="008D479B" w:rsidRDefault="008D479B" w:rsidP="008D479B">
      <w:pPr>
        <w:pStyle w:val="TextoNormal"/>
      </w:pPr>
    </w:p>
    <w:p w14:paraId="3FCF6609" w14:textId="621D30F4" w:rsidR="008D479B" w:rsidRDefault="008D479B" w:rsidP="008D479B">
      <w:pPr>
        <w:pStyle w:val="TextoNormal"/>
      </w:pPr>
      <w:r w:rsidRPr="008D479B">
        <w:rPr>
          <w:rStyle w:val="NumeroAFNegritaCaracter"/>
        </w:rPr>
        <w:t>10</w:t>
      </w:r>
      <w:r>
        <w:t>. Por providencia de 7 de diciembre de 2023 se señaló ese mismo día para la deliberación y votación de la presente sentencia.</w:t>
      </w:r>
    </w:p>
    <w:p w14:paraId="1E40F232" w14:textId="77777777" w:rsidR="008D479B" w:rsidRDefault="008D479B" w:rsidP="008D479B">
      <w:pPr>
        <w:pStyle w:val="TextoNormal"/>
      </w:pPr>
    </w:p>
    <w:p w14:paraId="5A68FEF9" w14:textId="77777777" w:rsidR="008D479B" w:rsidRDefault="008D479B" w:rsidP="008D479B">
      <w:pPr>
        <w:pStyle w:val="TextoNormalNegritaCentrado"/>
        <w:keepNext/>
      </w:pPr>
      <w:r>
        <w:t>II. Fundamentos jurídicos</w:t>
      </w:r>
    </w:p>
    <w:p w14:paraId="0AD00097" w14:textId="743CC546" w:rsidR="008D479B" w:rsidRDefault="008D479B" w:rsidP="008D479B">
      <w:pPr>
        <w:pStyle w:val="TextoNormalNegritaCentrado"/>
        <w:keepNext/>
      </w:pPr>
    </w:p>
    <w:p w14:paraId="3A474429" w14:textId="77777777" w:rsidR="008D479B" w:rsidRDefault="008D479B" w:rsidP="008D479B">
      <w:pPr>
        <w:pStyle w:val="TextoNormal"/>
      </w:pPr>
      <w:r w:rsidRPr="008D479B">
        <w:rPr>
          <w:rStyle w:val="NumeroAFNegritaCaracter"/>
        </w:rPr>
        <w:t>1</w:t>
      </w:r>
      <w:r>
        <w:t xml:space="preserve">. </w:t>
      </w:r>
      <w:r w:rsidRPr="008D479B">
        <w:rPr>
          <w:i/>
        </w:rPr>
        <w:t>Objeto del recurso y posiciones de las partes</w:t>
      </w:r>
    </w:p>
    <w:p w14:paraId="5D19D168" w14:textId="77777777" w:rsidR="008D479B" w:rsidRDefault="008D479B" w:rsidP="008D479B">
      <w:pPr>
        <w:pStyle w:val="TextoNormal"/>
      </w:pPr>
    </w:p>
    <w:p w14:paraId="07D868E3" w14:textId="77777777" w:rsidR="008D479B" w:rsidRDefault="008D479B" w:rsidP="008D479B">
      <w:pPr>
        <w:pStyle w:val="TextoNormal"/>
      </w:pPr>
      <w:r>
        <w:t>El presente recurso de amparo impugna, por la vía del art. 43 LOTC, el acuerdo del Consejo de Ministros de 24 de mayo de 2019 que impuso a Banco Santander, S.A., como sucesor de Banco Popular, S.A., una sanción de 1 056 000 € por la comisión de una infracción muy grave del art. 51.1 a) LPBC, consistente en dejar de comunicar al SEPBLAC determinadas operaciones sospechosas de blanqueo de capitales que habían sido identificadas por los empleados de la entidad. Dicho acuerdo fue confirmado en reposición por el de 29 de septiembre de 2020 y, en vía contencioso-administrativa, por la sentencia del Tribunal Supremo núm. 1385/2021, de 25 de noviembre, resoluciones ambas impugnadas también en este proceso.</w:t>
      </w:r>
    </w:p>
    <w:p w14:paraId="6DD48B70" w14:textId="77777777" w:rsidR="008D479B" w:rsidRDefault="008D479B" w:rsidP="008D479B">
      <w:pPr>
        <w:pStyle w:val="TextoNormal"/>
      </w:pPr>
    </w:p>
    <w:p w14:paraId="2035E1C8" w14:textId="77777777" w:rsidR="008D479B" w:rsidRDefault="008D479B" w:rsidP="008D479B">
      <w:pPr>
        <w:pStyle w:val="TextoNormal"/>
      </w:pPr>
      <w:r>
        <w:t>a) Como se ha expuesto con más detalle en los antecedentes, el acuerdo del Consejo de Ministros de 24 de mayo de 2019 fundamenta la imposición de la sanción en que: (i) según una consolidada jurisprudencia del Tribunal Supremo, el criterio prevalente es la permanencia de una entidad económica y empresarial, es decir, la identidad sustancial entre las empresas sucesivas; (ii) la modulación de los principios de culpabilidad y responsabilidad dependerá de que se advierta una quiebra parcial de continuidad económica y empresarial, pero no del mero hecho de un cambio de titularidad jurídica; (iii) en el curso de la inspección ha quedado acreditado el incumplimiento del deber de comunicar al SEPBLAC determinadas operaciones sospechosas de blanqueo; y (iv) la sanción impuesta se sitúa en el primer percentil del intervalo posible, lo que se justifica en que, cuando se deriva una responsabilidad sancionadora al adquirente de una empresa, cabe aplicar un factor de atenuación de la responsabilidad.</w:t>
      </w:r>
    </w:p>
    <w:p w14:paraId="41C3F529" w14:textId="77777777" w:rsidR="008D479B" w:rsidRDefault="008D479B" w:rsidP="008D479B">
      <w:pPr>
        <w:pStyle w:val="TextoNormal"/>
      </w:pPr>
    </w:p>
    <w:p w14:paraId="5C5986C5" w14:textId="77777777" w:rsidR="008D479B" w:rsidRDefault="008D479B" w:rsidP="008D479B">
      <w:pPr>
        <w:pStyle w:val="TextoNormal"/>
      </w:pPr>
      <w:r>
        <w:t>La sentencia del Tribunal Supremo impugnada confirma el citado acuerdo del Consejo de Ministros y el de 29 de septiembre de 2020 que desestimó el recurso de reposición, con remisión a jurisprudencia previa suya y del Tribunal de Justicia de la Unión Europea sobre la sucesión en la responsabilidad por infracción.</w:t>
      </w:r>
    </w:p>
    <w:p w14:paraId="578863D0" w14:textId="77777777" w:rsidR="008D479B" w:rsidRDefault="008D479B" w:rsidP="008D479B">
      <w:pPr>
        <w:pStyle w:val="TextoNormal"/>
      </w:pPr>
    </w:p>
    <w:p w14:paraId="17A0CEF0" w14:textId="77777777" w:rsidR="008D479B" w:rsidRDefault="008D479B" w:rsidP="008D479B">
      <w:pPr>
        <w:pStyle w:val="TextoNormal"/>
      </w:pPr>
      <w:r>
        <w:t>Según la mercantil demandante de amparo, el acuerdo sancionador ha vulnerado el derecho a la legalidad sancionadora del art. 25.1 CE, en la vertiente del principio de culpabilidad y personalidad de la pena. Argumenta que: (i) es posible que las sanciones se transmitan en los casos de sucesión empresarial, cuando hay vínculos o continuidad entre la entidad infractora y la sancionada, pero esto no sucede en su caso, pues hubo una ruptura total entre Banco Popular, S.A., y Banco Santander, S.A.; (ii) esta fue la única entidad que presentó una oferta en la “resolución” de Banco Popular, S.A., procedimiento cuya singularidad no se ha tenido en cuenta y con el que se evitó una intervención pública que habría sido muy costosa; (iii) tras la absorción de Banco Popular, S.A., los procedimientos y responsables de prevención del blanqueo de capitales cambiaron completamente, superando sin tacha la inspección realizada por el SEPBLAC; (iv) la entidad sancionada no ha obtenido ventaja alguna de la conducta infractora, que es ajena al negocio bancario; y (v) la sanción impuesta tiene carácter penal y se le deben aplicar con rigor los principios de culpabilidad y personalidad.</w:t>
      </w:r>
    </w:p>
    <w:p w14:paraId="3083DC19" w14:textId="77777777" w:rsidR="008D479B" w:rsidRDefault="008D479B" w:rsidP="008D479B">
      <w:pPr>
        <w:pStyle w:val="TextoNormal"/>
      </w:pPr>
    </w:p>
    <w:p w14:paraId="08005154" w14:textId="77777777" w:rsidR="008D479B" w:rsidRDefault="008D479B" w:rsidP="008D479B">
      <w:pPr>
        <w:pStyle w:val="TextoNormal"/>
      </w:pPr>
      <w:r>
        <w:t>El abogado del Estado interesa la inadmisión del motivo referido al carácter penal de la sanción administrativa impuesta, al haberse invocado por primera vez en la demanda de amparo, en contra de la subsidiariedad de este recurso. Respecto de la alegada vulneración de los principios de culpabilidad y responsabilidad, considera que debe desestimarse porque la interpretación de la ley realizada por el órgano sancionador no es irrazonable, arbitraria ni ilógica, y se ajusta a la consolidada jurisprudencia del Tribunal Supremo y del Tribunal de Justicia de la Unión Europea sobre la transmisión de responsabilidad en caso de sucesión empresarial.</w:t>
      </w:r>
    </w:p>
    <w:p w14:paraId="26FA434F" w14:textId="77777777" w:rsidR="008D479B" w:rsidRDefault="008D479B" w:rsidP="008D479B">
      <w:pPr>
        <w:pStyle w:val="TextoNormal"/>
      </w:pPr>
    </w:p>
    <w:p w14:paraId="13351AAA" w14:textId="77777777" w:rsidR="008D479B" w:rsidRDefault="008D479B" w:rsidP="008D479B">
      <w:pPr>
        <w:pStyle w:val="TextoNormal"/>
      </w:pPr>
      <w:r>
        <w:t>El fiscal solicita que se desestime el recurso. Razona que, aunque se admita el carácter penal de la sanción impuesta, el art. 130.2 CP ya prevé la sucesión en la responsabilidad criminal entre personas jurídicas. Subraya que el traslado de la responsabilidad a la entidad resultante de una transformación, fusión o absorción no se basa en la participación de esta en el hecho típico, sino en la continuidad en la actividad empresarial, mediante un proceso al que el Banco Santander, S.A., se presentó de manera voluntaria. Para el fiscal, el elemento subjetivo de la culpa no puede aplicarse a las personas jurídicas de la misma forma que a las personas físicas.</w:t>
      </w:r>
    </w:p>
    <w:p w14:paraId="521277A2" w14:textId="77777777" w:rsidR="008D479B" w:rsidRDefault="008D479B" w:rsidP="008D479B">
      <w:pPr>
        <w:pStyle w:val="TextoNormal"/>
      </w:pPr>
    </w:p>
    <w:p w14:paraId="24F9D96A" w14:textId="77777777" w:rsidR="008D479B" w:rsidRDefault="008D479B" w:rsidP="008D479B">
      <w:pPr>
        <w:pStyle w:val="TextoNormal"/>
      </w:pPr>
      <w:r>
        <w:t>b) Debemos comenzar aclarando, respecto de la solicitud del abogado del Estado de que se inadmita el motivo de impugnación basado en el carácter penal de la sanción impuesta, que esta alegación no constituye un motivo independiente de impugnación, sino un argumento para reforzar la tesis de que, al sancionar a Banco Santander, S.A., por una conducta de Banco Popular, S.A., se han vulnerado los principios de culpabilidad y personalidad recogidos en el art. 25.1 CE, que es la única impugnación del recurso de amparo.</w:t>
      </w:r>
    </w:p>
    <w:p w14:paraId="19E776A2" w14:textId="77777777" w:rsidR="008D479B" w:rsidRDefault="008D479B" w:rsidP="008D479B">
      <w:pPr>
        <w:pStyle w:val="TextoNormal"/>
      </w:pPr>
    </w:p>
    <w:p w14:paraId="677D3D60" w14:textId="3705259F" w:rsidR="008D479B" w:rsidRDefault="008D479B" w:rsidP="008D479B">
      <w:pPr>
        <w:pStyle w:val="TextoNormal"/>
      </w:pPr>
      <w:r>
        <w:t>En el fundamento jurídico siguiente sintetizaremos la doctrina constitucional aplicable, para, en el fundamento jurídico tercero, abordar el análisis de la queja.</w:t>
      </w:r>
    </w:p>
    <w:p w14:paraId="6880B5AC" w14:textId="77777777" w:rsidR="008D479B" w:rsidRDefault="008D479B" w:rsidP="008D479B">
      <w:pPr>
        <w:pStyle w:val="TextoNormal"/>
      </w:pPr>
    </w:p>
    <w:p w14:paraId="3662AEFA" w14:textId="77777777" w:rsidR="008D479B" w:rsidRDefault="008D479B" w:rsidP="008D479B">
      <w:pPr>
        <w:pStyle w:val="TextoNormal"/>
      </w:pPr>
      <w:r w:rsidRPr="008D479B">
        <w:rPr>
          <w:rStyle w:val="NumeroAFNegritaCaracter"/>
        </w:rPr>
        <w:t>2</w:t>
      </w:r>
      <w:r>
        <w:t xml:space="preserve">. </w:t>
      </w:r>
      <w:r w:rsidRPr="008D479B">
        <w:rPr>
          <w:i/>
        </w:rPr>
        <w:t>Doctrina constitucional aplicable</w:t>
      </w:r>
    </w:p>
    <w:p w14:paraId="504160FA" w14:textId="77777777" w:rsidR="008D479B" w:rsidRDefault="008D479B" w:rsidP="008D479B">
      <w:pPr>
        <w:pStyle w:val="TextoNormal"/>
      </w:pPr>
    </w:p>
    <w:p w14:paraId="5279DAEC" w14:textId="77777777" w:rsidR="008D479B" w:rsidRDefault="008D479B" w:rsidP="008D479B">
      <w:pPr>
        <w:pStyle w:val="TextoNormal"/>
      </w:pPr>
      <w:r>
        <w:t>a) El principio de personalidad de las sanciones, que forma parte del de legalidad penal y se encuentra, por tanto, comprendido en el derecho reconocido en el art. 25.1 CE, implica que solo se puede responder penalmente por los actos propios y no por los ajenos [SSTC 131/1987, de 20 de julio, FJ 6; 219/1988, de 22 de noviembre, FJ 3; 254/1988, de 21 de diciembre, FJ 5; 246/1991, de 19 de diciembre, FJ 2; 146/1994, de 12 de mayo, FJ 4 b); 93/1996, de 28 de mayo, FJ 1; 137/1997, de 21 de julio, FJ 5; 125/2001, de 4 de junio, FJ 6, y 60/2010, de 7 de octubre, FJ 4]. Dicho principio está estrechamente ligado al de culpabilidad, que es un “principio estructural básico tanto del Derecho penal como del Derecho administrativo sancionador, en virtud del cual queda proscrita la imposición de sanciones sin atender a la conducta del sancionado” [por todas, SSTC 76/1990, de 26 de abril, FFJJ 4 y 5; 246/1991, FJ 2; 86/2017, de 4 de julio, FJ 5 e), y 74/2022, de 14 de junio, FJ 3 C)].</w:t>
      </w:r>
    </w:p>
    <w:p w14:paraId="0499999C" w14:textId="77777777" w:rsidR="008D479B" w:rsidRDefault="008D479B" w:rsidP="008D479B">
      <w:pPr>
        <w:pStyle w:val="TextoNormal"/>
      </w:pPr>
    </w:p>
    <w:p w14:paraId="56E51EC2" w14:textId="77777777" w:rsidR="008D479B" w:rsidRDefault="008D479B" w:rsidP="008D479B">
      <w:pPr>
        <w:pStyle w:val="TextoNormal"/>
      </w:pPr>
      <w:r>
        <w:t xml:space="preserve">La doctrina constitucional sobre los principios de personalidad y culpabilidad a los que está sujeto el ejercicio del </w:t>
      </w:r>
      <w:r w:rsidRPr="008D479B">
        <w:rPr>
          <w:i/>
        </w:rPr>
        <w:t>ius puniendi</w:t>
      </w:r>
      <w:r>
        <w:t xml:space="preserve"> del Estado, si bien se ha desarrollado respecto de las personas físicas, resulta también aplicable a las personas jurídicas, pero de forma distinta a como se hace respecto de aquellas. Así lo pudo constatar la STC 246/1991, FJ 2, que afirma lo siguiente: “nuestro Derecho administrativo admit[e] la responsabilidad directa de las personas jurídicas, reconociéndoles, pues, capacidad infractora. Esto no significa, en absoluto, que para el caso de las infracciones administrativas cometidas por personas jurídicas se haya suprimido el elemento subjetivo de la culpa, sino simplemente que ese principio se ha de aplicar necesariamente de forma distinta a como se hace respecto de las personas físicas. Esta construcción distinta de la imputabilidad de la autoría de la infracción a la persona jurídica nace de la propia naturaleza de ficción jurídica a la que responden estos sujetos. Falta en ellos el elemento volitivo en sentido estricto, pero no la capacidad de infringir las normas a las que están sometidos. Capacidad de infracción y, por ende, reprochabilidad directa que deriva del bien jurídico protegido por la norma que se infringe y la necesidad de que dicha protección sea realmente eficaz (en el presente caso se trata del riguroso cumplimiento de las medidas de seguridad para prevenir la comisión de actos delictivos) y por el riesgo que, en consecuencia, debe asumir la persona jurídica que está sujeta al cumplimiento de dicha norma”.</w:t>
      </w:r>
    </w:p>
    <w:p w14:paraId="767FF26C" w14:textId="77777777" w:rsidR="008D479B" w:rsidRDefault="008D479B" w:rsidP="008D479B">
      <w:pPr>
        <w:pStyle w:val="TextoNormal"/>
      </w:pPr>
    </w:p>
    <w:p w14:paraId="379B9C76" w14:textId="77777777" w:rsidR="008D479B" w:rsidRDefault="008D479B" w:rsidP="008D479B">
      <w:pPr>
        <w:pStyle w:val="TextoNormal"/>
      </w:pPr>
      <w:r>
        <w:t>b) En la temprana STC 23/1989, de 2 de febrero, FJ 3, este tribunal ya señaló, respecto de la aplicación del principio de igualdad del art. 14 CE, que “no existe una necesaria equiparación entre personas físicas y jurídicas”. En este sentido, la STC 117/1998, 2 de junio, FJ 4, añadió que “conviene recordar que las personas jurídicas, a diferencia de lo que ocurre con las personas físicas, cuya existencia jurídica no puede ser negada por el ordenamiento jurídico, pues la persona, esto es, el ser humano, tiene el derecho inviolable a que se reconozca su personalidad jurídica (art. 10 CE y art. 6 de la Declaración Universal de los derechos humanos de 10 de diciembre de 1948), constituyen una creación del legislador, y tanto su existencia como su capacidad jurídica vienen supeditadas al cumplimiento de los requisitos que el ordenamiento jurídico establezca en cada caso […]. De este modo, y dejando a un lado las distintas teorías que han tratado de explicar el fundamento de las personas jurídicas, éstas solo pueden ser rectamente concebidas si se las conceptúa, con las precisiones que sea preciso efectuar en cada caso, como uno más de los instrumentos o de las técnicas que el Derecho y los ordenamientos jurídicos ponen al servicio de la persona para que pueda actuar en el tráfico jurídico y alcanzar variados fines de interés público o privado reconocidos por el propio ordenamiento”.</w:t>
      </w:r>
    </w:p>
    <w:p w14:paraId="6A6D3095" w14:textId="77777777" w:rsidR="008D479B" w:rsidRDefault="008D479B" w:rsidP="008D479B">
      <w:pPr>
        <w:pStyle w:val="TextoNormal"/>
      </w:pPr>
    </w:p>
    <w:p w14:paraId="60523234" w14:textId="022CCF74" w:rsidR="008D479B" w:rsidRDefault="008D479B" w:rsidP="008D479B">
      <w:pPr>
        <w:pStyle w:val="TextoNormal"/>
      </w:pPr>
      <w:r>
        <w:t>La diferente naturaleza de las personas físicas y de las personas jurídicas determina, entre otras consecuencias, que existan actos que, por ser incompatibles con su respectiva naturaleza jurídica, no puedan ser realizados indistintamente por estos sujetos de Derecho. Como recordó la STC 50/2011, de 14 de abril, FJ 4, esto ocurre, por ejemplo, con las “operaciones de naturaleza societaria cuya finalidad se dirige a facilitar una mejor y más adecuada adaptación de los modelos organizativos de las personas jurídicas para la consecución de sus propios fines, mediante la realización de ‘modificaciones estructurales’ de la organización que permiten en unos casos la adopción de una nueva forma jurídica (transformación), la integración en una única entidad jurídica de una pluralidad de organizaciones preexistentes (fusión), o la división de la entidad jurídica (escisión), conservando al propio tiempo la vigencia de las relaciones jurídicas preexistentes”. Estas y otras modificaciones societarias, como la absorción (que es un tipo de fusión), “facilita[n] la continuidad de empresas y actividades económicas o de otro signo ya establecidas, eludiendo con ello las dificultades y perjuicios que, tanto en el plano jurídico como en el económico, entrañaría la disolución y liquidación del conjunto de relaciones jurídicas activas y pasivas ligadas a la entidad (personalidad) para poder alcanzar el objetivo pretendido con aquellas modificaciones”.</w:t>
      </w:r>
    </w:p>
    <w:p w14:paraId="0A73FCBD" w14:textId="77777777" w:rsidR="008D479B" w:rsidRDefault="008D479B" w:rsidP="008D479B">
      <w:pPr>
        <w:pStyle w:val="TextoNormal"/>
      </w:pPr>
    </w:p>
    <w:p w14:paraId="269785D0" w14:textId="77777777" w:rsidR="008D479B" w:rsidRDefault="008D479B" w:rsidP="008D479B">
      <w:pPr>
        <w:pStyle w:val="TextoNormal"/>
      </w:pPr>
      <w:r w:rsidRPr="008D479B">
        <w:rPr>
          <w:rStyle w:val="NumeroAFNegritaCaracter"/>
        </w:rPr>
        <w:t>3</w:t>
      </w:r>
      <w:r>
        <w:t xml:space="preserve">. </w:t>
      </w:r>
      <w:r w:rsidRPr="008D479B">
        <w:rPr>
          <w:i/>
        </w:rPr>
        <w:t>Aplicación de la doctrina al caso. Desestimación</w:t>
      </w:r>
    </w:p>
    <w:p w14:paraId="635D5480" w14:textId="77777777" w:rsidR="008D479B" w:rsidRDefault="008D479B" w:rsidP="008D479B">
      <w:pPr>
        <w:pStyle w:val="TextoNormal"/>
      </w:pPr>
    </w:p>
    <w:p w14:paraId="1EF0139E" w14:textId="77777777" w:rsidR="008D479B" w:rsidRDefault="008D479B" w:rsidP="008D479B">
      <w:pPr>
        <w:pStyle w:val="TextoNormal"/>
      </w:pPr>
      <w:r>
        <w:t>a) La resolución sancionadora impugnada se apoya en un consolidado criterio jurisprudencial, tanto del Tribunal Supremo (entre otras, sentencias de 14 de febrero de 2007, recurso núm. 17-2005; de 23 de noviembre de 2016, recurso núm. 1003-2015; y de 13 de marzo de 2019, recursos acumulados núm. 631-2018 y 638-2018, todas ellas referidas a la sucesión entre entidades bancarias); como del Tribunal de Justicia de la Unión Europea (entre otras, sentencias de 24 de septiembre de 2009, asuntos acumulados C-125/07, C-133/07, C-135/07 y C-137/07, y de 5 de marzo de 2015, asunto C-343/13). Con arreglo a ese criterio, en los casos de fusión por absorción —como el que nos ocupa— y en otros supuestos de sucesión entre personas jurídicas, la responsabilidad por infracciones administrativas se transmite siempre que exista una “identidad económica sustancial”, es decir, cuando la actividad económica en el seno de la cual se cometió la conducta infractora continúe en el nuevo titular jurídico (aquí Banco Santander, S.A.).</w:t>
      </w:r>
    </w:p>
    <w:p w14:paraId="134ACCA1" w14:textId="77777777" w:rsidR="008D479B" w:rsidRDefault="008D479B" w:rsidP="008D479B">
      <w:pPr>
        <w:pStyle w:val="TextoNormal"/>
      </w:pPr>
    </w:p>
    <w:p w14:paraId="258A3491" w14:textId="77777777" w:rsidR="008D479B" w:rsidRDefault="008D479B" w:rsidP="008D479B">
      <w:pPr>
        <w:pStyle w:val="TextoNormal"/>
      </w:pPr>
      <w:r>
        <w:t>En el relato de antecedentes se ha detallado cómo, tras la aplicación del mecanismo de “resolución” de entidades de crédito previsto en el Reglamento (UE) 806/2014 del Parlamento Europeo y del Consejo, de 15 de julio, por el que se establecen normas uniformes y un procedimiento uniforme para la resolución de entidades de crédito, Banco Santander, S.A., en un primer momento, adquirió el 100 por 100 de las acciones de Banco Popular, S.A., para, en una fase ulterior, absorber a esta entidad. A resultas de la fusión por absorción, Banco Popular, S.A., se disolvió sin liquidación, traspasando “en bloque” todos sus activos, pasivos, derechos y obligaciones con clientes, proveedores, empleados, administraciones públicas y resto de operadores jurídicos al Banco Santander, S.A., como sucesor universal.</w:t>
      </w:r>
    </w:p>
    <w:p w14:paraId="65234182" w14:textId="77777777" w:rsidR="008D479B" w:rsidRDefault="008D479B" w:rsidP="008D479B">
      <w:pPr>
        <w:pStyle w:val="TextoNormal"/>
      </w:pPr>
    </w:p>
    <w:p w14:paraId="6BBEFC65" w14:textId="77777777" w:rsidR="008D479B" w:rsidRDefault="008D479B" w:rsidP="008D479B">
      <w:pPr>
        <w:pStyle w:val="TextoNormal"/>
      </w:pPr>
      <w:r>
        <w:t>b) No se puede considerar que el criterio de la “identidad económica sustancial”, como fundamento de la transmisión de la responsabilidad por infracción entre personas jurídicas, sea contrario al principio de culpabilidad y personalidad de las sanciones del art. 25.1 CE. Según señala nuestra jurisprudencia, tales principios son aplicables a las personas jurídicas, pero “necesariamente de forma distinta a como se hace respecto de las personas físicas” (por todas, STC 246/1991, FJ 2). Como recordamos en la anteriormente citada STC 50/2011, FJ 4, la diferente naturaleza de unas y otras hace que determinados actos, como la fusión por absorción, solo puedan realizarse entre personas jurídicas, lo que impide un traslado automático de los conceptos acuñados para la responsabilidad de las personas físicas.</w:t>
      </w:r>
    </w:p>
    <w:p w14:paraId="3A238A9A" w14:textId="77777777" w:rsidR="008D479B" w:rsidRDefault="008D479B" w:rsidP="008D479B">
      <w:pPr>
        <w:pStyle w:val="TextoNormal"/>
      </w:pPr>
    </w:p>
    <w:p w14:paraId="680B7D06" w14:textId="77777777" w:rsidR="008D479B" w:rsidRDefault="008D479B" w:rsidP="008D479B">
      <w:pPr>
        <w:pStyle w:val="TextoNormal"/>
      </w:pPr>
      <w:r>
        <w:t>Admitir que la disolución de una persona jurídica conlleve la extinción de toda responsabilidad por infracción, como sucede con la muerte de las personas físicas (art. 130.1.1 CP), equivaldría —como aducen el abogado del Estado y el fiscal— a permitir que se eludan las responsabilidades por la vía de continuar bajo otra forma jurídica la misma actividad en cuyo ejercicio se incurrió en la conducta típica. Según afirmó la citada STC 246/1991, FJ 2, la capacidad de infracción de personas jurídicas, como ficción del Derecho, “deriva del bien jurídico protegido por la norma que se infringe y la necesidad de que dicha protección sea realmente eficaz”. Dicho objetivo se malograría si un cambio formal de titular jurídico impidiera exigir las responsabilidades en que se haya podido incurrir en el ejercicio de una determinada actividad, cuando esta continúa desarrollándose bajo una “identidad económica sustancial” (doctrina de la prevalencia de la sustancia sobre la forma o de “levantamiento del velo”).</w:t>
      </w:r>
    </w:p>
    <w:p w14:paraId="6C752CF9" w14:textId="77777777" w:rsidR="008D479B" w:rsidRDefault="008D479B" w:rsidP="008D479B">
      <w:pPr>
        <w:pStyle w:val="TextoNormal"/>
      </w:pPr>
    </w:p>
    <w:p w14:paraId="5EF65388" w14:textId="77777777" w:rsidR="008D479B" w:rsidRDefault="008D479B" w:rsidP="008D479B">
      <w:pPr>
        <w:pStyle w:val="TextoNormal"/>
      </w:pPr>
      <w:r>
        <w:t>En el ámbito penal, el art. 130.2, párrafo primero, CP, ha acogido este principio, al disponer que “[l]a transformación, fusión, absorción o escisión de una persona jurídica no extingue su responsabilidad penal, que se trasladará a la entidad o entidades en que se transforme, quede fusionada o absorbida y se extenderá a la entidad o entidades que resulten de la escisión. El juez o Tribunal podrá moderar el traslado de la pena a la persona jurídica en función de la proporción que la persona jurídica originariamente responsable del delito guarde con ella”.</w:t>
      </w:r>
    </w:p>
    <w:p w14:paraId="3DFA6CA7" w14:textId="77777777" w:rsidR="008D479B" w:rsidRDefault="008D479B" w:rsidP="008D479B">
      <w:pPr>
        <w:pStyle w:val="TextoNormal"/>
      </w:pPr>
    </w:p>
    <w:p w14:paraId="781452D1" w14:textId="77777777" w:rsidR="008D479B" w:rsidRDefault="008D479B" w:rsidP="008D479B">
      <w:pPr>
        <w:pStyle w:val="TextoNormal"/>
      </w:pPr>
      <w:r>
        <w:t>Por su parte, el párrafo segundo añade que “[n]o extingue la responsabilidad penal la disolución encubierta o meramente aparente de la persona jurídica. Se considerará en todo caso que existe disolución encubierta o meramente aparente de la persona jurídica cuando se continúe su actividad económica y se mantenga la identidad sustancial de clientes, proveedores y empleados, o de la parte más relevante de todos ellos”.</w:t>
      </w:r>
    </w:p>
    <w:p w14:paraId="05EFA311" w14:textId="77777777" w:rsidR="008D479B" w:rsidRDefault="008D479B" w:rsidP="008D479B">
      <w:pPr>
        <w:pStyle w:val="TextoNormal"/>
      </w:pPr>
    </w:p>
    <w:p w14:paraId="52576996" w14:textId="77777777" w:rsidR="008D479B" w:rsidRDefault="008D479B" w:rsidP="008D479B">
      <w:pPr>
        <w:pStyle w:val="TextoNormal"/>
      </w:pPr>
      <w:r>
        <w:t xml:space="preserve">En el Derecho Administrativo sancionador, a través del que también se ejerce el </w:t>
      </w:r>
      <w:r w:rsidRPr="008D479B">
        <w:rPr>
          <w:i/>
        </w:rPr>
        <w:t>ius puniendi</w:t>
      </w:r>
      <w:r>
        <w:t xml:space="preserve"> del Estado, debe regir idéntica regla. Si bien no hay un precepto general como el art. 130.2 CP, el principio que lo inspira está presente en diversas normas. Tal es el caso de la Ley de prevención del blanqueo de capitales y de la financiación del terrorismo aquí aplicada, cuyo art. 55.1, “exigibilidad de la responsabilidad administrativa”, prevé que “la responsabilidad administrativa por infracción de la presente ley será exigible aun cuando con posterioridad al incumplimiento el sujeto obligado hubiera cesado en su actividad o hubiera sido revocada su autorización administrativa para operar”.</w:t>
      </w:r>
    </w:p>
    <w:p w14:paraId="3C315C2E" w14:textId="77777777" w:rsidR="008D479B" w:rsidRDefault="008D479B" w:rsidP="008D479B">
      <w:pPr>
        <w:pStyle w:val="TextoNormal"/>
      </w:pPr>
    </w:p>
    <w:p w14:paraId="3BC691B8" w14:textId="77777777" w:rsidR="008D479B" w:rsidRDefault="008D479B" w:rsidP="008D479B">
      <w:pPr>
        <w:pStyle w:val="TextoNormal"/>
      </w:pPr>
      <w:r>
        <w:t>Otras normas administrativas que se refieren expresamente a dicha sucesión son el art. 61.1 de la Ley 15/2007, de 3 de julio, de defensa de la competencia “serán sujetos infractores las personas físicas o jurídicas que realicen las acciones u omisiones tipificadas como infracciones en esta ley o, en el caso de empresas, sus sucesores legales o económicos” y el art. 40.5 de la Ley 58/2003, de 17 de diciembre, general tributaria “[l]as sanciones que pudieran proceder por las infracciones cometidas por las sociedades y entidades a las que se refiere este artículo serán exigibles a los sucesores de las mismas”. De manera análoga, el art. 89.2 de la Ley 10/2014, de 26 de junio, de ordenación, supervisión y solvencia de entidades de crédito, extiende la responsabilidad por infracción de una entidad bancaria, entre otros, a sus accionistas significativos, que no podrán así evitar su responsabilidad aduciendo que su personalidad jurídica es distinta a la de la entidad infractora.</w:t>
      </w:r>
    </w:p>
    <w:p w14:paraId="30C1B583" w14:textId="77777777" w:rsidR="008D479B" w:rsidRDefault="008D479B" w:rsidP="008D479B">
      <w:pPr>
        <w:pStyle w:val="TextoNormal"/>
      </w:pPr>
    </w:p>
    <w:p w14:paraId="42E58332" w14:textId="77777777" w:rsidR="008D479B" w:rsidRDefault="008D479B" w:rsidP="008D479B">
      <w:pPr>
        <w:pStyle w:val="TextoNormal"/>
      </w:pPr>
      <w:r>
        <w:t>c) La entidad demandante, que considera justificada “en líneas generales” la sucesión en la sanción, aduce varios argumentos para excluirla en su caso particular. Ninguno de ellos puede tener favorable acogida, por las razones siguientes:</w:t>
      </w:r>
    </w:p>
    <w:p w14:paraId="2BC20728" w14:textId="77777777" w:rsidR="008D479B" w:rsidRDefault="008D479B" w:rsidP="008D479B">
      <w:pPr>
        <w:pStyle w:val="TextoNormal"/>
      </w:pPr>
    </w:p>
    <w:p w14:paraId="7F55CC1F" w14:textId="77777777" w:rsidR="008D479B" w:rsidRDefault="008D479B" w:rsidP="008D479B">
      <w:pPr>
        <w:pStyle w:val="TextoNormal"/>
      </w:pPr>
      <w:r>
        <w:t>(i) En primer lugar, aunque se invoca la singularidad del procedimiento de “resolución” bancaria, lo relevante a nuestros efectos es que este procedimiento desembocó en la absorción por el Banco Santander, S.A., del Banco Popular, S.A., que se disolvió sin liquidación, traspasando “en bloque” todas sus líneas de negocio al sucesor universal, que siguió ejerciéndolas sin solución de continuidad.</w:t>
      </w:r>
    </w:p>
    <w:p w14:paraId="12F95B42" w14:textId="77777777" w:rsidR="008D479B" w:rsidRDefault="008D479B" w:rsidP="008D479B">
      <w:pPr>
        <w:pStyle w:val="TextoNormal"/>
      </w:pPr>
    </w:p>
    <w:p w14:paraId="4FF25762" w14:textId="77777777" w:rsidR="008D479B" w:rsidRDefault="008D479B" w:rsidP="008D479B">
      <w:pPr>
        <w:pStyle w:val="TextoNormal"/>
      </w:pPr>
      <w:r>
        <w:t>Esta continuidad incluye la operativa de captación de depósitos y los servicios de pago, que integra el núcleo de la actividad de un banco comercial, y en cuyo ejercicio se había incurrido en las conductas infractoras. La entidad recurrente alega que el mecanismo de “resolución” buscó garantizar las funciones esenciales de Banco Popular, S.A., entre ellas, la toma de depósitos y los servicios de pago y efectivo, y argumenta que la continuidad se limitó a estos aspectos.</w:t>
      </w:r>
    </w:p>
    <w:p w14:paraId="2687EB99" w14:textId="77777777" w:rsidR="008D479B" w:rsidRDefault="008D479B" w:rsidP="008D479B">
      <w:pPr>
        <w:pStyle w:val="TextoNormal"/>
      </w:pPr>
    </w:p>
    <w:p w14:paraId="60651865" w14:textId="77777777" w:rsidR="008D479B" w:rsidRDefault="008D479B" w:rsidP="008D479B">
      <w:pPr>
        <w:pStyle w:val="TextoNormal"/>
      </w:pPr>
      <w:r>
        <w:t>Sin embargo, debe tenerse en cuenta que las obligaciones de prevención del blanqueo de capitales son inherentes a la actividad bancaria. Así, los primeros sujetos obligados en materia de prevención del blanqueo que cita la Ley de prevención del blanqueo de capitales y de la financiación del terrorismo —de un total de veintisiete— son precisamente las “entidades de crédito” [art. 2.1 a)]. Dicha ley contiene varios preceptos expresamente dedicados a las obligaciones de prevención del blanqueo de las entidades que ejercen la actividad bancaria: art. 13 “[c]orresponsalía bancaria transfronteriza”, art. 41 “[e]nvío de dinero”, art. 43 “[f]ichero de titularidades financieras”, etc.; lo que corrobora que las citadas obligaciones son indisociables de la actividad en la que se produjo la sucesión.</w:t>
      </w:r>
    </w:p>
    <w:p w14:paraId="5AFE7B33" w14:textId="77777777" w:rsidR="008D479B" w:rsidRDefault="008D479B" w:rsidP="008D479B">
      <w:pPr>
        <w:pStyle w:val="TextoNormal"/>
      </w:pPr>
    </w:p>
    <w:p w14:paraId="267DD877" w14:textId="77777777" w:rsidR="008D479B" w:rsidRDefault="008D479B" w:rsidP="008D479B">
      <w:pPr>
        <w:pStyle w:val="TextoNormal"/>
      </w:pPr>
      <w:r>
        <w:t>En suma, mediante la transmisión en bloque del negocio, todas las relaciones del Banco Popular, S.A., con clientes, trabajadores, otras entidades, etc., pasaron al sucesor universal, incluidas las operaciones en cuya gestión se cometieron las conductas sancionadas y las obligaciones de prevención del blanqueo de capitales consustancial a ellas. Por tanto, existe una “identidad económica sustancial” entre el patrimonio empresarial del extinto Banco Popular, S.A., y el del Banco Santander, S.A., que justifica la sucesión en la responsabilidad por infracción.</w:t>
      </w:r>
    </w:p>
    <w:p w14:paraId="4AA40429" w14:textId="77777777" w:rsidR="008D479B" w:rsidRDefault="008D479B" w:rsidP="008D479B">
      <w:pPr>
        <w:pStyle w:val="TextoNormal"/>
      </w:pPr>
    </w:p>
    <w:p w14:paraId="7AA501E6" w14:textId="77777777" w:rsidR="008D479B" w:rsidRDefault="008D479B" w:rsidP="008D479B">
      <w:pPr>
        <w:pStyle w:val="TextoNormal"/>
      </w:pPr>
      <w:r>
        <w:t>(ii) El argumento de que Banco Santander, S.A., fue el único postor en el procedimiento de resolución de Banco Popular, S.A., y que con ello evitó una costosa intervención pública en esta entidad apela a un razonamiento metajurídico que no puede admitirse (SSTC 20/1987, de 19 de febrero, FJ 4, y 89/2011, de 6 de junio, FJ 5).</w:t>
      </w:r>
    </w:p>
    <w:p w14:paraId="603AEC3B" w14:textId="77777777" w:rsidR="008D479B" w:rsidRDefault="008D479B" w:rsidP="008D479B">
      <w:pPr>
        <w:pStyle w:val="TextoNormal"/>
      </w:pPr>
    </w:p>
    <w:p w14:paraId="4C818AD1" w14:textId="77777777" w:rsidR="008D479B" w:rsidRDefault="008D479B" w:rsidP="008D479B">
      <w:pPr>
        <w:pStyle w:val="TextoNormal"/>
      </w:pPr>
      <w:r>
        <w:t>En cualquier caso, conviene subrayar —como apuntan el abogado del Estado y el fiscal—, que la participación de Banco Santander, S.A., en todo el proceso fue enteramente voluntaria y libre.</w:t>
      </w:r>
    </w:p>
    <w:p w14:paraId="349679B6" w14:textId="77777777" w:rsidR="008D479B" w:rsidRDefault="008D479B" w:rsidP="008D479B">
      <w:pPr>
        <w:pStyle w:val="TextoNormal"/>
      </w:pPr>
    </w:p>
    <w:p w14:paraId="3D518EC3" w14:textId="77777777" w:rsidR="008D479B" w:rsidRDefault="008D479B" w:rsidP="008D479B">
      <w:pPr>
        <w:pStyle w:val="TextoNormal"/>
      </w:pPr>
      <w:r>
        <w:t>(iii) Respecto de la alegada modificación de los procedimientos en materia de blanqueo emprendida por el Banco Santander, S.A., se ha atender a la situación existente en el momento de realizarse las conductas típicas, sin perjuicio de que la conducta posterior, en este caso propiciada por un cambio en el titular de la actividad, pueda tener un efecto atenuante en la sanción impuesta.</w:t>
      </w:r>
    </w:p>
    <w:p w14:paraId="06A079E0" w14:textId="77777777" w:rsidR="008D479B" w:rsidRDefault="008D479B" w:rsidP="008D479B">
      <w:pPr>
        <w:pStyle w:val="TextoNormal"/>
      </w:pPr>
    </w:p>
    <w:p w14:paraId="44900F50" w14:textId="77777777" w:rsidR="008D479B" w:rsidRDefault="008D479B" w:rsidP="008D479B">
      <w:pPr>
        <w:pStyle w:val="TextoNormal"/>
      </w:pPr>
      <w:r>
        <w:t>Así ha sucedido en el presente caso, pues, como constata la sentencia del Tribunal Supremo impugnada (fundamento jurídico quinto), para cuantificar la sanción pecuniaria se ha aplicado un factor atenuador de la responsabilidad en atención a la conducta subsiguiente del nuevo titular de la actividad (Banco Santander, S.A.). En concreto, la sanción impuesta ascendió a 1 056 000 €, cuando el intervalo posible era de un mínimo de 150 000 € y un máximo de 625 731 250 €. Por tanto, la multa equivale al 1,68 por 100 de la sanción máxima que podía haberse impuesto. De esta forma, el cambio de comportamiento tras la sucesión sí ha modulado la responsabilidad transmitida, aunque no hasta el punto de eliminarla por completo, pues no se quiebra la “identidad económica sustancial” entre el banco absorbido y el absorbente.</w:t>
      </w:r>
    </w:p>
    <w:p w14:paraId="03505E4B" w14:textId="77777777" w:rsidR="008D479B" w:rsidRDefault="008D479B" w:rsidP="008D479B">
      <w:pPr>
        <w:pStyle w:val="TextoNormal"/>
      </w:pPr>
    </w:p>
    <w:p w14:paraId="7DADA0A6" w14:textId="77777777" w:rsidR="008D479B" w:rsidRDefault="008D479B" w:rsidP="008D479B">
      <w:pPr>
        <w:pStyle w:val="TextoNormal"/>
      </w:pPr>
      <w:r>
        <w:t>(iv) Por último, tampoco cabe oponer la ausencia de beneficio derivado de la conducta infractora. Tal beneficio no integra el tipo infractor aplicado, consistente en dejar de comunicar al SEPBLAC determinadas operaciones identificadas por los empleados de la entidad como sospechosas de blanqueo. Y esto, con independencia de que la sanción se hubiera impuesto a la entidad infractora, de no haberse extinguido, o a la sucesora, como ha sido el caso. El beneficio obtenido gracias a la infracción únicamente puede jugar como criterio de graduación [art. 59.1 b) LPBC], pero no es un requisito para que se incurra en el tipo ni para que la responsabilidad se transmita al sucesor.</w:t>
      </w:r>
    </w:p>
    <w:p w14:paraId="55361A25" w14:textId="77777777" w:rsidR="008D479B" w:rsidRDefault="008D479B" w:rsidP="008D479B">
      <w:pPr>
        <w:pStyle w:val="TextoNormal"/>
      </w:pPr>
    </w:p>
    <w:p w14:paraId="41F1A1AA" w14:textId="6CCF3B8A" w:rsidR="008D479B" w:rsidRDefault="008D479B" w:rsidP="008D479B">
      <w:pPr>
        <w:pStyle w:val="TextoNormal"/>
      </w:pPr>
      <w:r>
        <w:t>En suma, el criterio aplicado por el Consejo de Ministros para imponer una sanción a Banco Santander, S.A., como sucesor de Banco Popular, S.A., no ha vulnerado los principios de culpabilidad y personalidad de la pena derivados del art. 25.1 CE, por lo que el presente recurso de amparo debe ser desestimado.</w:t>
      </w:r>
    </w:p>
    <w:p w14:paraId="109874F6" w14:textId="77777777" w:rsidR="008D479B" w:rsidRDefault="008D479B" w:rsidP="008D479B">
      <w:pPr>
        <w:pStyle w:val="TextoNormal"/>
      </w:pPr>
    </w:p>
    <w:p w14:paraId="400142D4" w14:textId="77777777" w:rsidR="008D479B" w:rsidRDefault="008D479B" w:rsidP="008D479B">
      <w:pPr>
        <w:pStyle w:val="TextoNormalCentrado"/>
        <w:keepNext/>
      </w:pPr>
      <w:r>
        <w:t>FALLO</w:t>
      </w:r>
    </w:p>
    <w:p w14:paraId="5CBDD1AE" w14:textId="282F7752" w:rsidR="008D479B" w:rsidRDefault="008D479B" w:rsidP="008D479B">
      <w:pPr>
        <w:pStyle w:val="TextoNormalCentrado"/>
        <w:keepNext/>
      </w:pPr>
    </w:p>
    <w:p w14:paraId="6838B29D" w14:textId="1A36D5B8" w:rsidR="008D479B" w:rsidRDefault="008D479B" w:rsidP="008D479B">
      <w:pPr>
        <w:pStyle w:val="TextoNormal"/>
      </w:pPr>
      <w:r>
        <w:t>En atención a todo lo expuesto, el Tribunal Constitucional, por la autoridad que le confiere la Constitución de la Nación española, ha decidido desestimar el recurso de amparo interpuesto por Banco Santander, S.A., contra los acuerdos del Consejo de Ministros de 24 de mayo de 2019 y de 29 de septiembre de 2020, confirmados por la sentencia 1385/2021 de la Sección Tercera de la Sala de lo Contencioso-Administrativo del Tribunal Supremo, de 25 de noviembre.</w:t>
      </w:r>
    </w:p>
    <w:p w14:paraId="358C03C8" w14:textId="77777777" w:rsidR="008D479B" w:rsidRDefault="008D479B" w:rsidP="008D479B">
      <w:pPr>
        <w:pStyle w:val="TextoNormal"/>
      </w:pPr>
    </w:p>
    <w:p w14:paraId="2F17623D" w14:textId="77777777" w:rsidR="008D479B" w:rsidRDefault="008D479B" w:rsidP="008D479B">
      <w:pPr>
        <w:pStyle w:val="TextoNormal"/>
      </w:pPr>
      <w:r>
        <w:t>Publíquese esta sentencia en el “Boletín Oficial del Estado”.</w:t>
      </w:r>
    </w:p>
    <w:p w14:paraId="0BE21E50" w14:textId="77777777" w:rsidR="008D479B" w:rsidRDefault="008D479B" w:rsidP="008D479B">
      <w:pPr>
        <w:pStyle w:val="TextoNormal"/>
      </w:pPr>
      <w:r>
        <w:t>Dada en Madrid, a once de diciembre de dos mil veintitrés.</w:t>
      </w:r>
    </w:p>
    <w:p w14:paraId="7CA57A70" w14:textId="1A8F9B0C" w:rsidR="008D479B" w:rsidRDefault="008D479B">
      <w:pPr>
        <w:spacing w:after="160" w:line="278" w:lineRule="auto"/>
        <w:rPr>
          <w:rFonts w:ascii="Times New Roman" w:eastAsia="Times New Roman" w:hAnsi="Times New Roman" w:cs="Times New Roman"/>
          <w:sz w:val="24"/>
          <w:szCs w:val="24"/>
          <w:lang w:eastAsia="es-ES"/>
        </w:rPr>
      </w:pPr>
      <w:r>
        <w:br w:type="page"/>
      </w:r>
    </w:p>
    <w:p w14:paraId="7343C6F7" w14:textId="77777777" w:rsidR="008D479B" w:rsidRDefault="008D479B" w:rsidP="008D479B">
      <w:pPr>
        <w:pStyle w:val="TtuloResolucin"/>
      </w:pPr>
      <w:bookmarkStart w:id="105" w:name="SENTENCIA_2023_180"/>
      <w:r>
        <w:t>SENTENCIA 180/2023, de 11 de diciembre de 2023</w:t>
      </w:r>
    </w:p>
    <w:bookmarkEnd w:id="105"/>
    <w:p w14:paraId="1A7E7BEC" w14:textId="77777777" w:rsidR="008D479B" w:rsidRDefault="008D479B" w:rsidP="008D479B">
      <w:pPr>
        <w:pStyle w:val="TtuloResolucin"/>
      </w:pPr>
      <w:r>
        <w:t>Sala Segunda</w:t>
      </w:r>
    </w:p>
    <w:p w14:paraId="6C437F62" w14:textId="77777777" w:rsidR="008D479B" w:rsidRDefault="008D479B" w:rsidP="008D479B">
      <w:pPr>
        <w:pStyle w:val="TtuloBOE"/>
      </w:pPr>
      <w:r>
        <w:t>(BOE núm. 16, de 18 de enero de 2024)</w:t>
      </w:r>
    </w:p>
    <w:p w14:paraId="137D320B" w14:textId="77777777" w:rsidR="008D479B" w:rsidRDefault="008D479B" w:rsidP="008D479B">
      <w:pPr>
        <w:pStyle w:val="TextoNormalCentrado"/>
      </w:pPr>
      <w:r>
        <w:t>ECLI:ES:TC:2023:180</w:t>
      </w:r>
    </w:p>
    <w:p w14:paraId="1F233884" w14:textId="5CD932C2" w:rsidR="008D479B" w:rsidRDefault="008D479B" w:rsidP="008D479B">
      <w:pPr>
        <w:pStyle w:val="TextoNormalCentrado"/>
      </w:pPr>
    </w:p>
    <w:p w14:paraId="5A9F9726" w14:textId="77777777" w:rsidR="008D479B" w:rsidRDefault="008D479B" w:rsidP="008D479B">
      <w:pPr>
        <w:pStyle w:val="SntesisDescriptiva"/>
      </w:pPr>
      <w:r>
        <w:t>Recurso de amparo 2354-2022. Promovido por doña M.H.D., respecto de los autos dictados por la Audiencia Provincial de Valladolid y un juzgado de primera instancia de esa capital que acordaron la administración de la vacuna frente a la covid-19.</w:t>
      </w:r>
    </w:p>
    <w:p w14:paraId="647CA72C" w14:textId="1D261FD3" w:rsidR="008D479B" w:rsidRDefault="008D479B" w:rsidP="008D479B">
      <w:pPr>
        <w:pStyle w:val="SntesisDescriptiva"/>
      </w:pPr>
    </w:p>
    <w:p w14:paraId="3F690BFE" w14:textId="77777777" w:rsidR="008D479B" w:rsidRDefault="008D479B" w:rsidP="008D479B">
      <w:pPr>
        <w:pStyle w:val="SntesisAnaltica"/>
      </w:pPr>
      <w:r>
        <w:t>Supuesta vulneración del derecho a la integridad física: STC 148/2023 [resoluciones judiciales que realizaron una ponderación adecuada de los intereses de una persona menor de edad (STC 38/2023)].</w:t>
      </w:r>
    </w:p>
    <w:p w14:paraId="511635A9" w14:textId="5C157CFE" w:rsidR="008D479B" w:rsidRDefault="008D479B" w:rsidP="008D479B">
      <w:pPr>
        <w:pStyle w:val="SntesisAnaltica"/>
      </w:pPr>
    </w:p>
    <w:p w14:paraId="748F848D" w14:textId="7C410BB4" w:rsidR="008D479B" w:rsidRDefault="008D479B" w:rsidP="008D479B">
      <w:pPr>
        <w:pStyle w:val="Extracto"/>
      </w:pPr>
      <w:r>
        <w:t>1.</w:t>
      </w:r>
      <w:r>
        <w:tab/>
        <w:t>La capacidad general de autodeterminación de las personas menores de edad, en relación con las actuaciones médicas que les afectan, encuentra su límite en la protección de su interés superior, que se impone como obligación a los progenitores, en cuanto titulares de la patria potestad o autoridad familiar, y a todos los poderes públicos, incluida la autoridad judicial (STC 148/2023) [FJ 3].</w:t>
      </w:r>
    </w:p>
    <w:p w14:paraId="6CAFA25F" w14:textId="77777777" w:rsidR="008D479B" w:rsidRDefault="008D479B" w:rsidP="008D479B">
      <w:pPr>
        <w:pStyle w:val="Extracto"/>
      </w:pPr>
    </w:p>
    <w:p w14:paraId="64C94495" w14:textId="45CDB58C" w:rsidR="008D479B" w:rsidRDefault="008D479B" w:rsidP="008D479B">
      <w:pPr>
        <w:pStyle w:val="Extracto"/>
      </w:pPr>
      <w:r>
        <w:t>2.</w:t>
      </w:r>
      <w:r>
        <w:tab/>
        <w:t>La decisión de los representantes legales relativa al otorgamiento o no del consentimiento informado por representación deberá atender a la protección del derecho a la vida, supervivencia y desarrollo del menor y la satisfacción de sus necesidades básicas, tanto materiales, físicas y educativas como emocionales y afectivas [art. 2.2, letra a) de la Ley Orgánica 1/1996]; y es preciso buscar el mayor beneficio para la vida o salud del paciente menor de edad, teniendo en cuenta las circunstancias concurrentes y sus necesidades, que deben ser atendidas (STC 148/2023) [FJ 3].</w:t>
      </w:r>
    </w:p>
    <w:p w14:paraId="1ABCABFD" w14:textId="77777777" w:rsidR="008D479B" w:rsidRDefault="008D479B" w:rsidP="008D479B">
      <w:pPr>
        <w:pStyle w:val="Extracto"/>
      </w:pPr>
    </w:p>
    <w:p w14:paraId="14787491" w14:textId="77777777" w:rsidR="008D479B" w:rsidRDefault="008D479B" w:rsidP="008D479B">
      <w:pPr>
        <w:pStyle w:val="Extracto"/>
      </w:pPr>
    </w:p>
    <w:p w14:paraId="60E16F9B" w14:textId="77777777" w:rsidR="008D479B" w:rsidRDefault="008D479B" w:rsidP="008D479B">
      <w:pPr>
        <w:pStyle w:val="TextoNormal"/>
      </w:pPr>
      <w: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14:paraId="5F0563AB" w14:textId="7461A41A" w:rsidR="008D479B" w:rsidRDefault="008D479B" w:rsidP="008D479B">
      <w:pPr>
        <w:pStyle w:val="TextoNormal"/>
      </w:pPr>
    </w:p>
    <w:p w14:paraId="1811D078" w14:textId="77777777" w:rsidR="008D479B" w:rsidRDefault="008D479B" w:rsidP="008D479B">
      <w:pPr>
        <w:pStyle w:val="TextoNormalCentrado"/>
        <w:keepNext/>
      </w:pPr>
      <w:r>
        <w:t>EN NOMBRE DEL REY</w:t>
      </w:r>
    </w:p>
    <w:p w14:paraId="1DC35D39" w14:textId="6ADC14AB" w:rsidR="008D479B" w:rsidRDefault="008D479B" w:rsidP="008D479B">
      <w:pPr>
        <w:pStyle w:val="TextoNormalCentrado"/>
        <w:keepNext/>
      </w:pPr>
    </w:p>
    <w:p w14:paraId="068E63DD" w14:textId="77777777" w:rsidR="008D479B" w:rsidRDefault="008D479B" w:rsidP="008D479B">
      <w:pPr>
        <w:pStyle w:val="TextoNormalCentrado"/>
        <w:keepNext/>
      </w:pPr>
    </w:p>
    <w:p w14:paraId="0A4A8C10" w14:textId="77777777" w:rsidR="008D479B" w:rsidRDefault="008D479B" w:rsidP="008D479B">
      <w:pPr>
        <w:pStyle w:val="TextoNormal"/>
      </w:pPr>
      <w:r>
        <w:t>la siguiente</w:t>
      </w:r>
    </w:p>
    <w:p w14:paraId="2D74D326" w14:textId="75D51319" w:rsidR="008D479B" w:rsidRDefault="008D479B" w:rsidP="008D479B">
      <w:pPr>
        <w:pStyle w:val="TextoNormal"/>
      </w:pPr>
    </w:p>
    <w:p w14:paraId="3EA1863C" w14:textId="77777777" w:rsidR="008D479B" w:rsidRDefault="008D479B" w:rsidP="008D479B">
      <w:pPr>
        <w:pStyle w:val="TextoNormalCentrado"/>
        <w:keepNext/>
      </w:pPr>
      <w:r>
        <w:t>SENTENCIA</w:t>
      </w:r>
    </w:p>
    <w:p w14:paraId="64B63659" w14:textId="3D4FEF71" w:rsidR="008D479B" w:rsidRDefault="008D479B" w:rsidP="008D479B">
      <w:pPr>
        <w:pStyle w:val="TextoNormalCentrado"/>
        <w:keepNext/>
      </w:pPr>
    </w:p>
    <w:p w14:paraId="3D4182E2" w14:textId="77777777" w:rsidR="008D479B" w:rsidRDefault="008D479B" w:rsidP="008D479B">
      <w:pPr>
        <w:pStyle w:val="TextoNormal"/>
      </w:pPr>
      <w:r>
        <w:t>En el recurso de amparo núm. 2354-2022, promovido por doña M.H.D., representada por la procuradora de los tribunales doña María Eugenia López Arnáiz y asistida por el letrado don Marcos Rubio Rubio, contra el auto de 15 de noviembre de 2021 dictado por el Juzgado de Primera Instancia núm. 3 de Valladolid en el procedimiento de jurisdicción voluntaria por desacuerdo en el ejercicio de la patria potestad 775-2021, confirmado por el auto de la Sección Primera de la Audiencia Provincial de Valladolid de 17 de febrero de 2022, en el rollo de apelación 45-2022, confirmatorio del anterior. Ha intervenido el Ministerio Fiscal. Ha sido ponente el magistrado don César Tolosa Tribiño.</w:t>
      </w:r>
    </w:p>
    <w:p w14:paraId="0CB19C65" w14:textId="548CEBDE" w:rsidR="008D479B" w:rsidRDefault="008D479B" w:rsidP="008D479B">
      <w:pPr>
        <w:pStyle w:val="TextoNormal"/>
      </w:pPr>
    </w:p>
    <w:p w14:paraId="4901104C" w14:textId="77777777" w:rsidR="008D479B" w:rsidRDefault="008D479B" w:rsidP="008D479B">
      <w:pPr>
        <w:pStyle w:val="TextoNormalNegritaCentrado"/>
        <w:keepNext/>
      </w:pPr>
      <w:r>
        <w:t>I. Antecedentes</w:t>
      </w:r>
    </w:p>
    <w:p w14:paraId="18E143CE" w14:textId="14F2FDD8" w:rsidR="008D479B" w:rsidRDefault="008D479B" w:rsidP="008D479B">
      <w:pPr>
        <w:pStyle w:val="TextoNormalNegritaCentrado"/>
        <w:keepNext/>
      </w:pPr>
    </w:p>
    <w:p w14:paraId="4A0F5413" w14:textId="69F0CAB0" w:rsidR="008D479B" w:rsidRDefault="008D479B" w:rsidP="008D479B">
      <w:pPr>
        <w:pStyle w:val="TextoNormal"/>
      </w:pPr>
      <w:r w:rsidRPr="008D479B">
        <w:rPr>
          <w:rStyle w:val="NumeroAFNegritaCaracter"/>
        </w:rPr>
        <w:t>1</w:t>
      </w:r>
      <w:r>
        <w:t>. En fecha 4 de abril de 2022, la procuradora de los tribunales doña María Eugenia López Arnáiz, en representación de doña M.H.D., y asistida por el letrado don Marcos Rubio Rubio, formalizó ante el registro de este tribunal demanda de amparo contra las resoluciones que constan en el encabezamiento.</w:t>
      </w:r>
    </w:p>
    <w:p w14:paraId="62644CE9" w14:textId="77777777" w:rsidR="008D479B" w:rsidRDefault="008D479B" w:rsidP="008D479B">
      <w:pPr>
        <w:pStyle w:val="TextoNormal"/>
      </w:pPr>
    </w:p>
    <w:p w14:paraId="7D7DB4A4" w14:textId="77777777" w:rsidR="008D479B" w:rsidRDefault="008D479B" w:rsidP="008D479B">
      <w:pPr>
        <w:pStyle w:val="TextoNormal"/>
      </w:pPr>
      <w:r w:rsidRPr="008D479B">
        <w:rPr>
          <w:rStyle w:val="NumeroAFNegritaCaracter"/>
        </w:rPr>
        <w:t>2</w:t>
      </w:r>
      <w:r>
        <w:t>. Los hechos de los que trae causa la presente demanda de amparo son, en síntesis, los siguientes:</w:t>
      </w:r>
    </w:p>
    <w:p w14:paraId="2A092A22" w14:textId="77777777" w:rsidR="008D479B" w:rsidRDefault="008D479B" w:rsidP="008D479B">
      <w:pPr>
        <w:pStyle w:val="TextoNormal"/>
      </w:pPr>
    </w:p>
    <w:p w14:paraId="6E51D719" w14:textId="77777777" w:rsidR="008D479B" w:rsidRDefault="008D479B" w:rsidP="008D479B">
      <w:pPr>
        <w:pStyle w:val="TextoNormal"/>
      </w:pPr>
      <w:r>
        <w:t>a) Don J.G.L.F., presentó escrito solicitando la intervención judicial por desacuerdo de los progenitores en el ejercicio de la patria potestad al amparo del art. 86.1 de la Ley 15/2015, de 2 de julio, de la jurisdicción voluntaria y el art. 156 párrafo tercero del Código civil, en relación con la negativa de la madre, doña M.H.D., para la inoculación de la vacuna contra la covid-19 al hijo común de ambos litigantes, de trece años. Basaba su petición en la recomendación de las autoridades sanitarias, la seguridad y eficacia de la vacuna y en evitar una posible discriminación del hijo respecto de sus compañeros por no estar vacunado.</w:t>
      </w:r>
    </w:p>
    <w:p w14:paraId="5E3F22F4" w14:textId="77777777" w:rsidR="008D479B" w:rsidRDefault="008D479B" w:rsidP="008D479B">
      <w:pPr>
        <w:pStyle w:val="TextoNormal"/>
      </w:pPr>
    </w:p>
    <w:p w14:paraId="54C0CCE5" w14:textId="77777777" w:rsidR="008D479B" w:rsidRDefault="008D479B" w:rsidP="008D479B">
      <w:pPr>
        <w:pStyle w:val="TextoNormal"/>
      </w:pPr>
      <w:r>
        <w:t>b) Por decreto de la letrada de la administración de justicia de 13 de septiembre de 2021, del Juzgado de Primera Instancia núm. 3 de Valladolid, se admitió a trámite la solicitud y se señaló una comparecencia de los progenitores y el menor para el día 27 de septiembre de 2021.</w:t>
      </w:r>
    </w:p>
    <w:p w14:paraId="14F5C865" w14:textId="77777777" w:rsidR="008D479B" w:rsidRDefault="008D479B" w:rsidP="008D479B">
      <w:pPr>
        <w:pStyle w:val="TextoNormal"/>
      </w:pPr>
    </w:p>
    <w:p w14:paraId="2C0704A2" w14:textId="77777777" w:rsidR="008D479B" w:rsidRDefault="008D479B" w:rsidP="008D479B">
      <w:pPr>
        <w:pStyle w:val="TextoNormal"/>
      </w:pPr>
      <w:r>
        <w:t>c) Celebrada la comparecencia, el Juzgado de Primera Instancia núm. 3 de Valladolid dictó auto el 15 de noviembre de 2021 acordando atribuir al padre la facultad de decidir acerca de la vacunación. Parte de considerar que debe resolver en favor de la decisión más favorable al menor dentro de las escogidas por los padres, expone la posición de ambos progenitores y refiere que, en la exploración judicial del menor, este ha manifestado que de momento no quiere vacunarse y del contenido de la exploración se infiere que este alude a las mismas razones de negación de la eficacia de la vacuna que alega su madre. De la documentación aportada, destaca el informe del médico forense y las referencias que en el mismo se hacen a la posición que, sobre la vacunación, han mantenido distintas instituciones sanitarias, así como a la inexistencia de contraindicaciones en relación con la vacunación del menor, a los efectos positivos de la vacuna y a la levedad de los efectos secundarios de la misma y, finalmente, a la conclusión que consta en dicho informe sobre el balance riesgo/beneficio y la conveniencia de la vacunación. Considera que el informe aportado por la madre no está avalado por las autoridades sanitarias.</w:t>
      </w:r>
    </w:p>
    <w:p w14:paraId="36362ED7" w14:textId="77777777" w:rsidR="008D479B" w:rsidRDefault="008D479B" w:rsidP="008D479B">
      <w:pPr>
        <w:pStyle w:val="TextoNormal"/>
      </w:pPr>
    </w:p>
    <w:p w14:paraId="05B8B8AB" w14:textId="77777777" w:rsidR="008D479B" w:rsidRDefault="008D479B" w:rsidP="008D479B">
      <w:pPr>
        <w:pStyle w:val="TextoNormal"/>
      </w:pPr>
      <w:r>
        <w:t>d) Doña M.H.D., formuló recurso de apelación frente al auto de 15 de noviembre de 2021 en el que alegaba que se había vulnerado el art. 6.1 del Convenio de Oviedo, al no existir un beneficio claro y directo para el menor derivado de la vacunación, y sí un riesgo de pericarditis y miocarditis tras la inoculación de la vacuna. Cuestionaba además que el procedimiento de jurisdicción voluntaria fuera la vía adecuada para resolver esta controversia porque en él se reduce el acervo probatorio y se llega a una rápida solución sin practicar prueba científica. Invocaba también la vulneración del art. 15 CE por falta de consentimiento informado, al tratarse de un tratamiento en fase de ensayo clínico y sujeto a aprobación condicional, y alegaba asimismo la vulneración del principio de autonomía del paciente y el art. 24 CE por considerar que el auto no había valorado adecuadamente la voluntad del menor, de trece años. Añadía, por otra parte, que se había infringido el derecho a la autonomía del paciente, al no hacerse mención a la elaboración de un consentimiento informado previo a la firma del progenitor autorizado e indicaba que el menor, por su edad, no podía ser sometido a un ensayo clínico.</w:t>
      </w:r>
    </w:p>
    <w:p w14:paraId="4FC66CCB" w14:textId="77777777" w:rsidR="008D479B" w:rsidRDefault="008D479B" w:rsidP="008D479B">
      <w:pPr>
        <w:pStyle w:val="TextoNormal"/>
      </w:pPr>
    </w:p>
    <w:p w14:paraId="3AB0F605" w14:textId="77777777" w:rsidR="008D479B" w:rsidRDefault="008D479B" w:rsidP="008D479B">
      <w:pPr>
        <w:pStyle w:val="TextoNormal"/>
      </w:pPr>
      <w:r>
        <w:t>e) La recurrente en amparo, mediante escrito fechado el 10 de diciembre de 2021, solicitó del Juzgado de Primera Instancia núm. 3 de Valladolid la suspensión cautelar de la vacunación, por el riesgo existente de menoscabo del ejercicio del derecho de autonomía del paciente. Por auto de 4 de febrero de 2022, el indicado juzgado acordó declarar su incompetencia para conocer de la pieza de medidas cautelares al encontrarse el procedimiento principal recurrido en apelación y remitió la pieza a la Audiencia Provincial de Valladolid.</w:t>
      </w:r>
    </w:p>
    <w:p w14:paraId="37112894" w14:textId="77777777" w:rsidR="008D479B" w:rsidRDefault="008D479B" w:rsidP="008D479B">
      <w:pPr>
        <w:pStyle w:val="TextoNormal"/>
      </w:pPr>
    </w:p>
    <w:p w14:paraId="49328D4C" w14:textId="77777777" w:rsidR="008D479B" w:rsidRDefault="008D479B" w:rsidP="008D479B">
      <w:pPr>
        <w:pStyle w:val="TextoNormal"/>
      </w:pPr>
      <w:r>
        <w:t>Por auto de la Sección Primera de la Audiencia Provincial de Valladolid de 10 de febrero de 2022, se inadmitió la medida cautelar solicitada con base en el art. 567 de la Ley de enjuiciamiento civil y considerando que si el padre presentase una demanda ejecutiva ante el juzgado (no ante la audiencia provincial), pidiendo la ejecución de lo resuelto, la madre del menor podría solicitar la suspensión de la ejecución con arreglo a lo establecido en el citado precepto, teniendo en cuenta que el recurso no paraliza la ejecución de lo resuelto.</w:t>
      </w:r>
    </w:p>
    <w:p w14:paraId="074B87E8" w14:textId="77777777" w:rsidR="008D479B" w:rsidRDefault="008D479B" w:rsidP="008D479B">
      <w:pPr>
        <w:pStyle w:val="TextoNormal"/>
      </w:pPr>
    </w:p>
    <w:p w14:paraId="68B0E77E" w14:textId="77777777" w:rsidR="008D479B" w:rsidRDefault="008D479B" w:rsidP="008D479B">
      <w:pPr>
        <w:pStyle w:val="TextoNormal"/>
      </w:pPr>
      <w:r>
        <w:t>f) La fiscal presentó escrito oponiéndose al recurso de apelación e interesando su desestimación. Considera que la alegada falta de jurisdicción debió haberse alegado en un momento anterior, entendiendo por otra parte que el procedimiento seguido es el adecuado; indica que la vacuna contra la covid-19 no es un ensayo clínico, sino un medicamento aprobado por la Agencia Estatal de Medicamentos y por la Agencia Española del Medicamento y Productos Sanitarios, añadiendo finalmente que no ha quedado acreditado en el procedimiento que la vacuna pueda tener efectos negativos para la salud del menor.</w:t>
      </w:r>
    </w:p>
    <w:p w14:paraId="56B1AF19" w14:textId="77777777" w:rsidR="008D479B" w:rsidRDefault="008D479B" w:rsidP="008D479B">
      <w:pPr>
        <w:pStyle w:val="TextoNormal"/>
      </w:pPr>
    </w:p>
    <w:p w14:paraId="0C26AB7B" w14:textId="2A4284E6" w:rsidR="008D479B" w:rsidRDefault="008D479B" w:rsidP="008D479B">
      <w:pPr>
        <w:pStyle w:val="TextoNormal"/>
      </w:pPr>
      <w:r>
        <w:t>g) Por otro auto de fecha 17 de febrero de 2022, la Sección Primera de la Audiencia Provincial de Valladolid desestimó el recurso de apelación. Considera que el procedimiento seguido es el adecuado y confirma la decisión de primera instancia con fundamento en el contenido del informe médico forense y la pediatra del menor, teniendo en cuenta los criterios del Ministerio de Sanidad y de la Asociación Española de Pediatría y que la vacuna ha sido autorizada por la Agencia Europea del Medicamento para menores entre 12 y 18 años y aprobada para estas edades por la Agencia Estatal de Medicamentos y por la Agencia Española del Medicamento y Productos Sanitarios, con las consiguientes garantías de calidad, seguridad y eficacia. Frente a ello, destaca que los documentos aportados por la apelante no son informes oficiales avalados por las autoridades sanitarias. No considera infringido el Convenio de Oviedo, al no tratarse de una persona mayor de edad, sino de un menor de edad cuya patria potestad es ejercitada conjuntamente por los progenitores de dicho menor de edad, habiendo surgido un desacuerdo o discrepancia en el ejercicio de la patria potestad entre los progenitores. Finalmente, descarta la falta de motivación respecto del resultado de la exploración del menor porque era suficiente con el simple traslado del resultado de aquella en los términos que hubiese estimado oportunos el juzgador, tal y como realizó, lo cual es distinto de la argumentación total de la resolución judicial, debiendo ser valorada la argumentación en su totalidad.</w:t>
      </w:r>
    </w:p>
    <w:p w14:paraId="23C29118" w14:textId="77777777" w:rsidR="008D479B" w:rsidRDefault="008D479B" w:rsidP="008D479B">
      <w:pPr>
        <w:pStyle w:val="TextoNormal"/>
      </w:pPr>
    </w:p>
    <w:p w14:paraId="4BC0ABA1" w14:textId="77777777" w:rsidR="008D479B" w:rsidRDefault="008D479B" w:rsidP="008D479B">
      <w:pPr>
        <w:pStyle w:val="TextoNormal"/>
      </w:pPr>
      <w:r w:rsidRPr="008D479B">
        <w:rPr>
          <w:rStyle w:val="NumeroAFNegritaCaracter"/>
        </w:rPr>
        <w:t>3</w:t>
      </w:r>
      <w:r>
        <w:t>. En el recurso de amparo presentado, la recurrente denuncia la vulneración del derecho fundamental a la igualdad y a no ser discriminado (art. 14 CE), el derecho a la integridad física y moral (art. 15 CE) y el derecho a la tutela judicial efectiva (art. 24.1 CE).</w:t>
      </w:r>
    </w:p>
    <w:p w14:paraId="43181274" w14:textId="77777777" w:rsidR="008D479B" w:rsidRDefault="008D479B" w:rsidP="008D479B">
      <w:pPr>
        <w:pStyle w:val="TextoNormal"/>
      </w:pPr>
    </w:p>
    <w:p w14:paraId="57A7D8BB" w14:textId="77777777" w:rsidR="008D479B" w:rsidRDefault="008D479B" w:rsidP="008D479B">
      <w:pPr>
        <w:pStyle w:val="TextoNormal"/>
      </w:pPr>
      <w:r>
        <w:t>En el escrito presentado, se hace un tratamiento conjunto de estas tres vulneraciones alegando que las resoluciones judiciales han autorizado la inoculación de un medicamento de terapia génica en fase experimental, pese a que la administración del medicamento tiene carácter voluntario para el resto de la población, sin que concurran los requisitos exigidos por el Tribunal Constitucional para la administración forzosa y sin que haya existido prescripción de receta médica ni consentimiento informado veraz conforme a lo exigido en la Ley 41/2002 de autonomía del paciente. La autorización judicial, pese a la exigencia de motivación reforzada, se basa en meras creencias personales o suposiciones sobre los eventuales beneficios de la vacuna, sin que se acredite que el beneficio individual del menor sea superior a los riesgos o que exista un beneficio directo para el menor. Nadie puede ser obligado a vacunarse, pues se parte del principio general de la voluntariedad en las actuaciones de salud pública. Con cita de las SSTC 120/1990, de 27 de junio y 37/2011, de 28 de marzo, y del art. 6.1 del Convenio de Oviedo, afirma que el medicamento experimental no está cumpliendo con la finalidad inmunizadora pretendida ni se han demostrado sus beneficios. Y añade que los efectos a corto plazo de la vacunación son numerosos y graves y que los efectos a medio y largo plazo se desconocen. Con referencia específica al art. 15 CE, insiste en la necesidad de consentimiento informado reconocido en la Ley 41/2002, básica de autonomía del paciente, en la jurisprudencia del Tribunal Europeo de Derechos Humanos y del Tribunal Constitucional, reconociendo que conforme a la doctrina constitucional no todo supuesto de riesgo o daño para la salud implica la vulneración del derecho, sino solo aquel que genere un riesgo grave y cierto para la misma. Concluye su argumentación recordando que es obligación de los Estados adoptar las normas para que la integridad física de los pacientes sea respetada conforme al art. 8 del Convenio europeo de derechos humanos.</w:t>
      </w:r>
    </w:p>
    <w:p w14:paraId="702D0F4A" w14:textId="77777777" w:rsidR="008D479B" w:rsidRDefault="008D479B" w:rsidP="008D479B">
      <w:pPr>
        <w:pStyle w:val="TextoNormal"/>
      </w:pPr>
    </w:p>
    <w:p w14:paraId="40BE13C9" w14:textId="77777777" w:rsidR="008D479B" w:rsidRDefault="008D479B" w:rsidP="008D479B">
      <w:pPr>
        <w:pStyle w:val="TextoNormal"/>
      </w:pPr>
      <w:r>
        <w:t>En el suplico de la demanda de amparo solicita que se declare que no ha lugar al procedimiento de jurisdicción voluntaria para facultar al padre a decidir sobre la inoculación del medicamento génico sobre el menor, debiendo prevalecer la decisión de su madre en tanto en cuanto no se acrediten los presupuestos necesarios, dado que en España la vacunación tiene carácter voluntario y no existe grave peligro para la vida del menor.</w:t>
      </w:r>
    </w:p>
    <w:p w14:paraId="300ED5E8" w14:textId="77777777" w:rsidR="008D479B" w:rsidRDefault="008D479B" w:rsidP="008D479B">
      <w:pPr>
        <w:pStyle w:val="TextoNormal"/>
      </w:pPr>
    </w:p>
    <w:p w14:paraId="1028EB92" w14:textId="251FEC4D" w:rsidR="008D479B" w:rsidRDefault="008D479B" w:rsidP="008D479B">
      <w:pPr>
        <w:pStyle w:val="TextoNormal"/>
      </w:pPr>
      <w:r>
        <w:t>Por medio de otrosí, solicita la suspensión de las resoluciones impugnadas.</w:t>
      </w:r>
    </w:p>
    <w:p w14:paraId="747DC0DE" w14:textId="77777777" w:rsidR="008D479B" w:rsidRDefault="008D479B" w:rsidP="008D479B">
      <w:pPr>
        <w:pStyle w:val="TextoNormal"/>
      </w:pPr>
    </w:p>
    <w:p w14:paraId="415FBC4D" w14:textId="77777777" w:rsidR="008D479B" w:rsidRDefault="008D479B" w:rsidP="008D479B">
      <w:pPr>
        <w:pStyle w:val="TextoNormal"/>
      </w:pPr>
      <w:r w:rsidRPr="008D479B">
        <w:rPr>
          <w:rStyle w:val="NumeroAFNegritaCaracter"/>
        </w:rPr>
        <w:t>4</w:t>
      </w:r>
      <w:r>
        <w:t>. Por providencia de 28 de noviembre de 2022, la Sección Tercera de este tribunal, acordó la admisión a trámite del recurso de amparo, al apreciar que concurre en el mismo una especial trascendencia constitucional [art. 50.1 de la Ley Orgánica del Tribunal Constitucional (LOTC)], porque plantea un problema o afecta a una faceta de un derecho fundamental sobre el que no hay doctrina [STC 155/2009, de 25 de junio, FJ 2 a)]; y porque el asunto trasciende del caso concreto, al concernir a una cuestión jurídica de relevante y general repercusión económica y social [STC 155/2009, FJ 2 g)].</w:t>
      </w:r>
    </w:p>
    <w:p w14:paraId="59EC967F" w14:textId="77777777" w:rsidR="008D479B" w:rsidRDefault="008D479B" w:rsidP="008D479B">
      <w:pPr>
        <w:pStyle w:val="TextoNormal"/>
      </w:pPr>
    </w:p>
    <w:p w14:paraId="167ADEAC" w14:textId="22347AF3" w:rsidR="008D479B" w:rsidRDefault="008D479B" w:rsidP="008D479B">
      <w:pPr>
        <w:pStyle w:val="TextoNormal"/>
      </w:pPr>
      <w:r>
        <w:t>En la misma providencia se acordó, en aplicación de lo dispuesto en el art. 51 LOTC, dirigir atenta comunicación a la Sección Primera de la Audiencia Provincial de Valladolid a fin de que, en plazo que no superior a diez días, remitiera certificación o fotocopia adverada de las actuaciones correspondientes al recurso de apelación 45-2022, e, igualmente, al Juzgado de Primera Instancia núm. 3 de Valladolid a fin de que, en plazo que no excediera de diez días, remitiera certificación o fotocopia adverada de las actuaciones correspondientes al procedimiento sobre intervención judicial por desacuerdo en el ejercicio de la patria potestad núm. 775-2021, debiendo emplazar previamente, para que en el plazo de diez días pudieran comparecer, si lo desearan, en el recurso de amparo, a quienes hubieran sido parte en el procedimiento, excepto la parte recurrente en amparo.</w:t>
      </w:r>
    </w:p>
    <w:p w14:paraId="1242A28D" w14:textId="77777777" w:rsidR="008D479B" w:rsidRDefault="008D479B" w:rsidP="008D479B">
      <w:pPr>
        <w:pStyle w:val="TextoNormal"/>
      </w:pPr>
    </w:p>
    <w:p w14:paraId="09F2B515" w14:textId="628F553A" w:rsidR="008D479B" w:rsidRDefault="008D479B" w:rsidP="008D479B">
      <w:pPr>
        <w:pStyle w:val="TextoNormal"/>
      </w:pPr>
      <w:r w:rsidRPr="008D479B">
        <w:rPr>
          <w:rStyle w:val="NumeroAFNegritaCaracter"/>
        </w:rPr>
        <w:t>5</w:t>
      </w:r>
      <w:r>
        <w:t>. Mediante providencia de 28 de noviembre de 2022 se acordó, a solicitud de la parte actora, la formación de pieza separada de suspensión, iniciándose su tramitación conforme al art. 56 LOTC.</w:t>
      </w:r>
    </w:p>
    <w:p w14:paraId="5E10200D" w14:textId="77777777" w:rsidR="008D479B" w:rsidRDefault="008D479B" w:rsidP="008D479B">
      <w:pPr>
        <w:pStyle w:val="TextoNormal"/>
      </w:pPr>
    </w:p>
    <w:p w14:paraId="1FB3FADC" w14:textId="17F22AA4" w:rsidR="008D479B" w:rsidRDefault="008D479B" w:rsidP="008D479B">
      <w:pPr>
        <w:pStyle w:val="TextoNormal"/>
      </w:pPr>
      <w:r w:rsidRPr="008D479B">
        <w:rPr>
          <w:rStyle w:val="NumeroAFNegritaCaracter"/>
        </w:rPr>
        <w:t>6</w:t>
      </w:r>
      <w:r>
        <w:t>. Mediante diligencia de 6 de octubre de 2023 se acordó dar vista de las actuaciones recibidas a la parte recurrente y al Ministerio Fiscal por plazo común de veinte días, dentro de los cuales podrían presentar las alegaciones que estimasen pertinentes.</w:t>
      </w:r>
    </w:p>
    <w:p w14:paraId="45F3CF80" w14:textId="77777777" w:rsidR="008D479B" w:rsidRDefault="008D479B" w:rsidP="008D479B">
      <w:pPr>
        <w:pStyle w:val="TextoNormal"/>
      </w:pPr>
    </w:p>
    <w:p w14:paraId="42BBB97B" w14:textId="3302D700" w:rsidR="008D479B" w:rsidRDefault="008D479B" w:rsidP="008D479B">
      <w:pPr>
        <w:pStyle w:val="TextoNormal"/>
      </w:pPr>
      <w:r w:rsidRPr="008D479B">
        <w:rPr>
          <w:rStyle w:val="NumeroAFNegritaCaracter"/>
        </w:rPr>
        <w:t>7</w:t>
      </w:r>
      <w:r>
        <w:t>. La recurrente presentó escrito en el que se remite a lo alegado en el recurso de amparo.</w:t>
      </w:r>
    </w:p>
    <w:p w14:paraId="52DF84BF" w14:textId="77777777" w:rsidR="008D479B" w:rsidRDefault="008D479B" w:rsidP="008D479B">
      <w:pPr>
        <w:pStyle w:val="TextoNormal"/>
      </w:pPr>
    </w:p>
    <w:p w14:paraId="7ABA88D2" w14:textId="77777777" w:rsidR="008D479B" w:rsidRDefault="008D479B" w:rsidP="008D479B">
      <w:pPr>
        <w:pStyle w:val="TextoNormal"/>
      </w:pPr>
      <w:r w:rsidRPr="008D479B">
        <w:rPr>
          <w:rStyle w:val="NumeroAFNegritaCaracter"/>
        </w:rPr>
        <w:t>8</w:t>
      </w:r>
      <w:r>
        <w:t>. La fiscal ante el Tribunal Constitucional presentó sus alegaciones indicando, en primer lugar, respecto de la vulneración del principio de igualdad y no discriminación, que concurre el óbice procesal de falta de invocación formal del derecho denunciado [art. 44.1 c) LOTC], siendo un defecto insubsanable. En todo caso, considera que no se ha producido la vulneración denunciada porque está huérfana de toda argumentación fáctica y jurídica y no se aporta un término válido de comparación.</w:t>
      </w:r>
    </w:p>
    <w:p w14:paraId="1ED754D1" w14:textId="77777777" w:rsidR="008D479B" w:rsidRDefault="008D479B" w:rsidP="008D479B">
      <w:pPr>
        <w:pStyle w:val="TextoNormal"/>
      </w:pPr>
    </w:p>
    <w:p w14:paraId="77018BF4" w14:textId="77777777" w:rsidR="008D479B" w:rsidRDefault="008D479B" w:rsidP="008D479B">
      <w:pPr>
        <w:pStyle w:val="TextoNormal"/>
      </w:pPr>
      <w:r>
        <w:t>Respecto de la petición contenida en el suplico de la demanda solicitando que se declare que no ha lugar al procedimiento de jurisdicción voluntaria, parece aludir a una inadecuación del procedimiento que debe ser desestimada, como ya hizo la audiencia provincial, porque el procedimiento de jurisdicción voluntaria está previsto para resolver las discrepancias surgidas entre los progenitores en el ejercicio de la patria potestad.</w:t>
      </w:r>
    </w:p>
    <w:p w14:paraId="214C78AB" w14:textId="77777777" w:rsidR="008D479B" w:rsidRDefault="008D479B" w:rsidP="008D479B">
      <w:pPr>
        <w:pStyle w:val="TextoNormal"/>
      </w:pPr>
    </w:p>
    <w:p w14:paraId="6CCDAC25" w14:textId="40791AC8" w:rsidR="008D479B" w:rsidRDefault="008D479B" w:rsidP="008D479B">
      <w:pPr>
        <w:pStyle w:val="TextoNormal"/>
      </w:pPr>
      <w:r>
        <w:t>La vulneración del derecho a la tutela judicial efectiva es claramente tributaria de la lesión a la integridad física y moral porque la revisión de la motivación de las resoluciones judiciales debe entenderse subsumida en el canon de enjuiciamiento de la vulneración del art. 15 CE. Y respecto de la vulneración del derecho a la integridad física y moral, considera que debe aplicarse la doctrina establecida en la STC 148/2023, de 6 de noviembre. Siguiendo lo establecido en esta sentencia, considera que en este caso debe apreciarse que el menor carecía de la madurez suficiente para prestar el consentimiento informado en relación con la inoculación de la vacuna, y así lo apreciaron los órganos judiciales. El menor fue oído y su punto de vista fue tenido en cuenta por los órganos judiciales, que razonaron que el menor carecía de los elementos de juicio para poder llevar a cabo un análisis de la cuestión suficientemente profundo como para tomar una decisión que respondiera adecuadamente a su superior interés. En cuanto a la falta de información para prestar el consentimiento por parte de los progenitores, carece de toda consistencia a la vista de las informaciones que proporcionaron en el expediente judicial. Por todo ello, no cabe apreciar falta de consentimiento informado. Y la decisión adoptada tuvo como premisa esencial la protección del interés superior del menor basándose en el informe médico forense y la recomendación de las autoridades sanitarias, por lo que solicita la desestimación del recurso de amparo.</w:t>
      </w:r>
    </w:p>
    <w:p w14:paraId="5CD47FAB" w14:textId="77777777" w:rsidR="008D479B" w:rsidRDefault="008D479B" w:rsidP="008D479B">
      <w:pPr>
        <w:pStyle w:val="TextoNormal"/>
      </w:pPr>
    </w:p>
    <w:p w14:paraId="2C7AC3C8" w14:textId="391DD7C1" w:rsidR="008D479B" w:rsidRDefault="008D479B" w:rsidP="008D479B">
      <w:pPr>
        <w:pStyle w:val="TextoNormal"/>
      </w:pPr>
      <w:r w:rsidRPr="008D479B">
        <w:rPr>
          <w:rStyle w:val="NumeroAFNegritaCaracter"/>
        </w:rPr>
        <w:t>9</w:t>
      </w:r>
      <w:r>
        <w:t>. Por providencia de 7 de diciembre de 2023 se señaló para deliberación y votación de la presente sentencia el día 11 del mismo mes y año.</w:t>
      </w:r>
    </w:p>
    <w:p w14:paraId="22EAFE2B" w14:textId="77777777" w:rsidR="008D479B" w:rsidRDefault="008D479B" w:rsidP="008D479B">
      <w:pPr>
        <w:pStyle w:val="TextoNormal"/>
      </w:pPr>
    </w:p>
    <w:p w14:paraId="13072656" w14:textId="77777777" w:rsidR="008D479B" w:rsidRDefault="008D479B" w:rsidP="008D479B">
      <w:pPr>
        <w:pStyle w:val="TextoNormalNegritaCentrado"/>
        <w:keepNext/>
      </w:pPr>
      <w:r>
        <w:t>II. Fundamentos jurídicos</w:t>
      </w:r>
    </w:p>
    <w:p w14:paraId="4048F037" w14:textId="75B7460C" w:rsidR="008D479B" w:rsidRDefault="008D479B" w:rsidP="008D479B">
      <w:pPr>
        <w:pStyle w:val="TextoNormalNegritaCentrado"/>
        <w:keepNext/>
      </w:pPr>
    </w:p>
    <w:p w14:paraId="5C4C7AE3" w14:textId="77777777" w:rsidR="008D479B" w:rsidRDefault="008D479B" w:rsidP="008D479B">
      <w:pPr>
        <w:pStyle w:val="TextoNormal"/>
      </w:pPr>
      <w:r w:rsidRPr="008D479B">
        <w:rPr>
          <w:rStyle w:val="NumeroAFNegritaCaracter"/>
        </w:rPr>
        <w:t>1</w:t>
      </w:r>
      <w:r>
        <w:t xml:space="preserve">. </w:t>
      </w:r>
      <w:r w:rsidRPr="008D479B">
        <w:rPr>
          <w:i/>
        </w:rPr>
        <w:t>Objeto del recurso</w:t>
      </w:r>
    </w:p>
    <w:p w14:paraId="66EE5273" w14:textId="77777777" w:rsidR="008D479B" w:rsidRDefault="008D479B" w:rsidP="008D479B">
      <w:pPr>
        <w:pStyle w:val="TextoNormal"/>
      </w:pPr>
    </w:p>
    <w:p w14:paraId="6AAD5ACA" w14:textId="77777777" w:rsidR="008D479B" w:rsidRDefault="008D479B" w:rsidP="008D479B">
      <w:pPr>
        <w:pStyle w:val="TextoNormal"/>
      </w:pPr>
      <w:r>
        <w:t>El presente recurso de amparo se dirige contra el auto de 15 de noviembre de 2021 dictado por el Juzgado de Primera Instancia núm. 3 de Valladolid en el procedimiento de intervención judicial por desacuerdo en el ejercicio de la patria potestad 775-2021 que atribuyó a don J.G.L.F., la facultad de decidir sobre la administración de la vacuna frente a la covid-19 a su hijo menor de edad. También se impugna el auto de 17 de febrero de 2022, dictado por la Sección Primera de la Audiencia Provincial de Valladolid, en el rollo de apelación núm. 45-2022, confirmatorio del anterior.</w:t>
      </w:r>
    </w:p>
    <w:p w14:paraId="49288CDB" w14:textId="77777777" w:rsidR="008D479B" w:rsidRDefault="008D479B" w:rsidP="008D479B">
      <w:pPr>
        <w:pStyle w:val="TextoNormal"/>
      </w:pPr>
    </w:p>
    <w:p w14:paraId="2291BEB4" w14:textId="5E56C5EC" w:rsidR="008D479B" w:rsidRDefault="008D479B" w:rsidP="008D479B">
      <w:pPr>
        <w:pStyle w:val="TextoNormal"/>
      </w:pPr>
      <w:r>
        <w:t>Dada la naturaleza de los hechos, debe señalarse que, en aplicación de las potestades atribuidas a este tribunal por el art. 86.3 LOTC y el acuerdo del Pleno de 23 de julio de 2015, por el que se regula la exclusión de los datos de identidad personal en la publicación de las resoluciones jurisdiccionales (“Boletín Oficial del Estado” núm. 178, de 27 de julio de 2015), la presente sentencia y demás actuaciones del proceso no incluyen la identificación completa de la persona menor de edad afectada ni la de sus parientes inmediatos que aparecen mencionados en las actuaciones, con el fin de proteger la intimidad de aquella.</w:t>
      </w:r>
    </w:p>
    <w:p w14:paraId="69CBCCF5" w14:textId="77777777" w:rsidR="008D479B" w:rsidRDefault="008D479B" w:rsidP="008D479B">
      <w:pPr>
        <w:pStyle w:val="TextoNormal"/>
      </w:pPr>
    </w:p>
    <w:p w14:paraId="37540447" w14:textId="77777777" w:rsidR="008D479B" w:rsidRDefault="008D479B" w:rsidP="008D479B">
      <w:pPr>
        <w:pStyle w:val="TextoNormal"/>
      </w:pPr>
      <w:r w:rsidRPr="008D479B">
        <w:rPr>
          <w:rStyle w:val="NumeroAFNegritaCaracter"/>
        </w:rPr>
        <w:t>2</w:t>
      </w:r>
      <w:r>
        <w:t xml:space="preserve">. </w:t>
      </w:r>
      <w:r w:rsidRPr="008D479B">
        <w:rPr>
          <w:i/>
        </w:rPr>
        <w:t>Cuestiones previas y delimitación de los derechos fundamentales concernidos</w:t>
      </w:r>
    </w:p>
    <w:p w14:paraId="61213CCD" w14:textId="77777777" w:rsidR="008D479B" w:rsidRDefault="008D479B" w:rsidP="008D479B">
      <w:pPr>
        <w:pStyle w:val="TextoNormal"/>
      </w:pPr>
    </w:p>
    <w:p w14:paraId="03DA1F45" w14:textId="77777777" w:rsidR="008D479B" w:rsidRDefault="008D479B" w:rsidP="008D479B">
      <w:pPr>
        <w:pStyle w:val="TextoNormal"/>
      </w:pPr>
      <w:r>
        <w:t>Con carácter previo al examen de las cuestiones de fondo planteadas en la demanda de amparo, deben hacerse las siguientes precisiones:</w:t>
      </w:r>
    </w:p>
    <w:p w14:paraId="0F0794D3" w14:textId="77777777" w:rsidR="008D479B" w:rsidRDefault="008D479B" w:rsidP="008D479B">
      <w:pPr>
        <w:pStyle w:val="TextoNormal"/>
      </w:pPr>
    </w:p>
    <w:p w14:paraId="275ABB35" w14:textId="77777777" w:rsidR="008D479B" w:rsidRDefault="008D479B" w:rsidP="008D479B">
      <w:pPr>
        <w:pStyle w:val="TextoNormal"/>
      </w:pPr>
      <w:r>
        <w:t>a) Debemos rechazar la alegación de inadecuación del procedimiento de jurisdicción voluntaria por incumplimiento del requisito establecido en el art. 44.1 c) LOTC, que exige que la vulneración del derecho constitucional se haya denunciado formalmente en el proceso tan pronto como, una vez conocida, hubiera lugar para ello. En este caso, debió haberlo denunciado al personarse en el procedimiento, en primera instancia; sin embargo, la recurrente no realizó esta alegación hasta que presentó el recurso de apelación.</w:t>
      </w:r>
    </w:p>
    <w:p w14:paraId="69D078A7" w14:textId="77777777" w:rsidR="008D479B" w:rsidRDefault="008D479B" w:rsidP="008D479B">
      <w:pPr>
        <w:pStyle w:val="TextoNormal"/>
      </w:pPr>
    </w:p>
    <w:p w14:paraId="43BDD290" w14:textId="77777777" w:rsidR="008D479B" w:rsidRDefault="008D479B" w:rsidP="008D479B">
      <w:pPr>
        <w:pStyle w:val="TextoNormal"/>
      </w:pPr>
      <w:r>
        <w:t>b) Respecto de la vulneración del art. 14 CE, se advierte que no fue invocada por la recurrente al plantear el recurso de apelación, por lo que dicho motivo debe ser inadmitido, al concurrir la causa de inadmisión prevista en el art. 50.1 a), en relación con el art. 44.1 c) LOTC, esto es, que haya denunciado formalmente en el proceso, si hubo la oportunidad, la vulneración del derecho fundamental tan pronto como, una vez conocida, hubiera lugar a ello (por todas, STC 201/2000, de 24 de julio, FJ 3).</w:t>
      </w:r>
    </w:p>
    <w:p w14:paraId="1638B39E" w14:textId="77777777" w:rsidR="008D479B" w:rsidRDefault="008D479B" w:rsidP="008D479B">
      <w:pPr>
        <w:pStyle w:val="TextoNormal"/>
      </w:pPr>
    </w:p>
    <w:p w14:paraId="298DD571" w14:textId="5431E220" w:rsidR="008D479B" w:rsidRDefault="008D479B" w:rsidP="008D479B">
      <w:pPr>
        <w:pStyle w:val="TextoNormal"/>
      </w:pPr>
      <w:r>
        <w:t>c) La demanda alega, como núcleo central de su pretensión, la vulneración del derecho a la integridad personal reconocido en el art. 15 CE, de modo que la invocación del art. 24.1 CE, consignada en los antecedentes de esta resolución, debe calificarse de instrumental en relación con la queja de vulneración del derecho a la integridad personal.</w:t>
      </w:r>
    </w:p>
    <w:p w14:paraId="546F1682" w14:textId="77777777" w:rsidR="008D479B" w:rsidRDefault="008D479B" w:rsidP="008D479B">
      <w:pPr>
        <w:pStyle w:val="TextoNormal"/>
      </w:pPr>
    </w:p>
    <w:p w14:paraId="209E18A3" w14:textId="77777777" w:rsidR="008D479B" w:rsidRDefault="008D479B" w:rsidP="008D479B">
      <w:pPr>
        <w:pStyle w:val="TextoNormal"/>
      </w:pPr>
      <w:r w:rsidRPr="008D479B">
        <w:rPr>
          <w:rStyle w:val="NumeroAFNegritaCaracter"/>
        </w:rPr>
        <w:t>3</w:t>
      </w:r>
      <w:r>
        <w:t xml:space="preserve">. </w:t>
      </w:r>
      <w:r w:rsidRPr="008D479B">
        <w:rPr>
          <w:i/>
        </w:rPr>
        <w:t>Aplicación de la doctrina constitucional expuesta en la STC 148/2023, de 6 de noviembre</w:t>
      </w:r>
    </w:p>
    <w:p w14:paraId="378D20D8" w14:textId="77777777" w:rsidR="008D479B" w:rsidRDefault="008D479B" w:rsidP="008D479B">
      <w:pPr>
        <w:pStyle w:val="TextoNormal"/>
      </w:pPr>
    </w:p>
    <w:p w14:paraId="4274AAF9" w14:textId="77777777" w:rsidR="008D479B" w:rsidRDefault="008D479B" w:rsidP="008D479B">
      <w:pPr>
        <w:pStyle w:val="TextoNormal"/>
      </w:pPr>
      <w:r>
        <w:t>La cuestión constitucional suscitada en este recurso en relación con el derecho fundamental a la integridad física y moral (art. 15 CE) es la misma que ya ha sido objeto de análisis por el Pleno de este tribunal en la STC 148/2023, de 6 de noviembre, en cuyos fundamentos jurídicos 4 y 5 se expusieron de manera pormenorizada las pautas de ponderación necesarias para determinar si en este tipo de supuestos se ha vulnerado el derecho a la integridad personal, centrando la cuestión en que la administración de la vacuna, a falta de consentimiento libre, válido e informado de la persona afectada, precisa para su constitucionalidad el cumplimiento de los requisitos generales que, de acuerdo con nuestra doctrina, rigen la restricción de los derechos fundamentales sustantivos.</w:t>
      </w:r>
    </w:p>
    <w:p w14:paraId="117E2A3F" w14:textId="77777777" w:rsidR="008D479B" w:rsidRDefault="008D479B" w:rsidP="008D479B">
      <w:pPr>
        <w:pStyle w:val="TextoNormal"/>
      </w:pPr>
    </w:p>
    <w:p w14:paraId="054F30B4" w14:textId="77777777" w:rsidR="008D479B" w:rsidRDefault="008D479B" w:rsidP="008D479B">
      <w:pPr>
        <w:pStyle w:val="TextoNormal"/>
      </w:pPr>
      <w:r>
        <w:t>En atención a lo expuesto, en este caso, como también se concluyó en la STC 148/2023, FJ 5, el Tribunal rechaza que se haya vulnerado el art. 15 CE al constatarse que (i) se cumple el presupuesto básico que el art. 9.3, letra c) de la Ley 41/2002 establece para que pueda acudirse al consentimiento por representación —otorgado por los progenitores de común acuerdo o por la autoridad judicial en caso de desacuerdo— porque del contenido de la exploración del menor, de trece años, se infería que este aludía a las mismas razones de negación de la eficacia de la vacuna que alegaba su madre, careciendo de la capacidad emocional e intelectual necesarias para comprender el alcance la intervención y los padres contaban con la información adecuada para la prestación del consentimiento desde un momento anterior incluso a la iniciación del procedimiento de jurisdicción voluntaria, por lo que no cabe apreciar la ausencia de consentimiento informado; y (ii) la motivación de las resoluciones judiciales tuvo como fundamento esencial la protección del interés superior del menor en relación con la protección de su salud, teniendo en cuenta la recomendación de las autoridades sanitarias, las cuales, haciendo una ponderación de riesgos y beneficios de la administración de la vacuna a menores de edad, se mostraban a favor de la vacunación, que el órgano judicial no estima desvirtuadas por los informes aportados por el recurrente.</w:t>
      </w:r>
    </w:p>
    <w:p w14:paraId="4F1532CD" w14:textId="77777777" w:rsidR="008D479B" w:rsidRDefault="008D479B" w:rsidP="008D479B">
      <w:pPr>
        <w:pStyle w:val="TextoNormal"/>
      </w:pPr>
    </w:p>
    <w:p w14:paraId="15526D8E" w14:textId="7DB6D444" w:rsidR="008D479B" w:rsidRDefault="008D479B" w:rsidP="008D479B">
      <w:pPr>
        <w:pStyle w:val="TextoNormal"/>
      </w:pPr>
      <w:r>
        <w:t>Por otra parte, la resolución sobre el fondo de este recurso implica que no resulte procedente resolver sobre la medida cautelar de suspensión solicitada por la demandante, lo que determina que deba acordarse el archivo de la pieza separada de suspensión.</w:t>
      </w:r>
    </w:p>
    <w:p w14:paraId="2EDEED7E" w14:textId="77777777" w:rsidR="008D479B" w:rsidRDefault="008D479B" w:rsidP="008D479B">
      <w:pPr>
        <w:pStyle w:val="TextoNormal"/>
      </w:pPr>
    </w:p>
    <w:p w14:paraId="016383E2" w14:textId="77777777" w:rsidR="008D479B" w:rsidRDefault="008D479B" w:rsidP="008D479B">
      <w:pPr>
        <w:pStyle w:val="TextoNormalCentrado"/>
        <w:keepNext/>
      </w:pPr>
      <w:r>
        <w:t>FALLO</w:t>
      </w:r>
    </w:p>
    <w:p w14:paraId="3CC04293" w14:textId="6499F547" w:rsidR="008D479B" w:rsidRDefault="008D479B" w:rsidP="008D479B">
      <w:pPr>
        <w:pStyle w:val="TextoNormalCentrado"/>
        <w:keepNext/>
      </w:pPr>
    </w:p>
    <w:p w14:paraId="2482FB94" w14:textId="659BA744" w:rsidR="008D479B" w:rsidRDefault="008D479B" w:rsidP="008D479B">
      <w:pPr>
        <w:pStyle w:val="TextoNormal"/>
      </w:pPr>
      <w:r>
        <w:t>En atención a todo lo expuesto, el Tribunal Constitucional, por la autoridad que le confiere la Constitución de la Nación española, ha decidido desestimar el recurso de amparo interpuesto por doña M.H.D., y archivar su pieza separada de suspensión.</w:t>
      </w:r>
    </w:p>
    <w:p w14:paraId="68FE1CF7" w14:textId="77777777" w:rsidR="008D479B" w:rsidRDefault="008D479B" w:rsidP="008D479B">
      <w:pPr>
        <w:pStyle w:val="TextoNormal"/>
      </w:pPr>
    </w:p>
    <w:p w14:paraId="123CDB8F" w14:textId="77777777" w:rsidR="008D479B" w:rsidRDefault="008D479B" w:rsidP="008D479B">
      <w:pPr>
        <w:pStyle w:val="TextoNormal"/>
      </w:pPr>
      <w:r>
        <w:t>Publíquese esta sentencia en el “Boletín Oficial del Estado”.</w:t>
      </w:r>
    </w:p>
    <w:p w14:paraId="2CAF0DF6" w14:textId="77777777" w:rsidR="008D479B" w:rsidRDefault="008D479B" w:rsidP="008D479B">
      <w:pPr>
        <w:pStyle w:val="TextoNormal"/>
      </w:pPr>
      <w:r>
        <w:t>Dada en Madrid, a once de diciembre de dos mil veintitrés.</w:t>
      </w:r>
    </w:p>
    <w:p w14:paraId="415B78F3" w14:textId="04696163" w:rsidR="008D479B" w:rsidRDefault="008D479B">
      <w:pPr>
        <w:spacing w:after="160" w:line="278" w:lineRule="auto"/>
        <w:rPr>
          <w:rFonts w:ascii="Times New Roman" w:eastAsia="Times New Roman" w:hAnsi="Times New Roman" w:cs="Times New Roman"/>
          <w:sz w:val="24"/>
          <w:szCs w:val="24"/>
          <w:lang w:eastAsia="es-ES"/>
        </w:rPr>
      </w:pPr>
      <w:r>
        <w:br w:type="page"/>
      </w:r>
    </w:p>
    <w:p w14:paraId="0FB47147" w14:textId="77777777" w:rsidR="008D479B" w:rsidRDefault="008D479B" w:rsidP="008D479B">
      <w:pPr>
        <w:pStyle w:val="TtuloResolucin"/>
      </w:pPr>
      <w:bookmarkStart w:id="106" w:name="SENTENCIA_2023_181"/>
      <w:r>
        <w:t>SENTENCIA 181/2023, de 11 de diciembre de 2023</w:t>
      </w:r>
    </w:p>
    <w:bookmarkEnd w:id="106"/>
    <w:p w14:paraId="47617BDB" w14:textId="77777777" w:rsidR="008D479B" w:rsidRDefault="008D479B" w:rsidP="008D479B">
      <w:pPr>
        <w:pStyle w:val="TtuloResolucin"/>
      </w:pPr>
      <w:r>
        <w:t>Sala Primera</w:t>
      </w:r>
    </w:p>
    <w:p w14:paraId="2B73756C" w14:textId="77777777" w:rsidR="008D479B" w:rsidRDefault="008D479B" w:rsidP="008D479B">
      <w:pPr>
        <w:pStyle w:val="TtuloBOE"/>
      </w:pPr>
      <w:r>
        <w:t>(BOE núm. 16, de 18 de enero de 2024)</w:t>
      </w:r>
    </w:p>
    <w:p w14:paraId="6FF4841D" w14:textId="77777777" w:rsidR="008D479B" w:rsidRDefault="008D479B" w:rsidP="008D479B">
      <w:pPr>
        <w:pStyle w:val="TextoNormalCentrado"/>
      </w:pPr>
      <w:r>
        <w:t>ECLI:ES:TC:2023:181</w:t>
      </w:r>
    </w:p>
    <w:p w14:paraId="159A81A9" w14:textId="21164F7F" w:rsidR="008D479B" w:rsidRDefault="008D479B" w:rsidP="008D479B">
      <w:pPr>
        <w:pStyle w:val="TextoNormalCentrado"/>
      </w:pPr>
    </w:p>
    <w:p w14:paraId="72BDEF9C" w14:textId="77777777" w:rsidR="008D479B" w:rsidRDefault="008D479B" w:rsidP="008D479B">
      <w:pPr>
        <w:pStyle w:val="SntesisDescriptiva"/>
      </w:pPr>
      <w:r>
        <w:t>Recurso de amparo 2769-2022. Promovido por doña M.S.V.R., respecto del auto dictado por la Audiencia Provincial de Santa Cruz de Tenerife que acordó la administración de la vacuna frente a la covid-19.</w:t>
      </w:r>
    </w:p>
    <w:p w14:paraId="37C0A359" w14:textId="74476A17" w:rsidR="008D479B" w:rsidRDefault="008D479B" w:rsidP="008D479B">
      <w:pPr>
        <w:pStyle w:val="SntesisDescriptiva"/>
      </w:pPr>
    </w:p>
    <w:p w14:paraId="1D4B47B3" w14:textId="77777777" w:rsidR="008D479B" w:rsidRDefault="008D479B" w:rsidP="008D479B">
      <w:pPr>
        <w:pStyle w:val="SntesisAnaltica"/>
      </w:pPr>
      <w:r>
        <w:t>Alegada vulneración de los derechos a la integridad física y a la intimidad; supuesta vulneración de los derechos a la tutela judicial efectiva (incongruencia) y a un proceso con todas las garantías: inadmisión parcial del recurso por falta de invocación previa en la vía judicial; exploración del menor no grabada para preservar su intimidad, resolución judicial en la que se guarda la necesaria correspondencia entre lo solicitado y lo acordado, la utilización de la expresión “postulados negacionistas” no basta para apreciar una falta de imparcialidad objetivamente fundada.</w:t>
      </w:r>
    </w:p>
    <w:p w14:paraId="38B0D2D9" w14:textId="308FF232" w:rsidR="008D479B" w:rsidRDefault="008D479B" w:rsidP="008D479B">
      <w:pPr>
        <w:pStyle w:val="SntesisAnaltica"/>
      </w:pPr>
    </w:p>
    <w:p w14:paraId="4A00537E" w14:textId="72093AC7" w:rsidR="008D479B" w:rsidRDefault="008D479B" w:rsidP="008D479B">
      <w:pPr>
        <w:pStyle w:val="Extracto"/>
      </w:pPr>
      <w:r>
        <w:t>1.</w:t>
      </w:r>
      <w:r>
        <w:tab/>
        <w:t>Para preservar su intimidad, el contenido del acta judicial únicamente deberá detallar aquellas manifestaciones de la persona menor de edad imprescindibles por significativas, y por ello estrictamente relevantes para la decisión del expediente (STC 64/2019) [FJ 3].</w:t>
      </w:r>
    </w:p>
    <w:p w14:paraId="25519087" w14:textId="77777777" w:rsidR="008D479B" w:rsidRDefault="008D479B" w:rsidP="008D479B">
      <w:pPr>
        <w:pStyle w:val="Extracto"/>
      </w:pPr>
    </w:p>
    <w:p w14:paraId="708CBF1C" w14:textId="709C630A" w:rsidR="008D479B" w:rsidRDefault="008D479B" w:rsidP="008D479B">
      <w:pPr>
        <w:pStyle w:val="Extracto"/>
      </w:pPr>
      <w:r>
        <w:t>2.</w:t>
      </w:r>
      <w:r>
        <w:tab/>
        <w:t>El deber de congruencia exige que haya adecuación entre lo planteado por las partes y lo resuelto por el órgano judicial, y se extiende tanto a la pretensión como a la causa petendi. El órgano judicial no puede alterar los términos del debate judicial, y debe ajustarse al objeto del proceso sin omitir la decisión sobre el tema propuesto por la parte, ni pronunciarse sobre cuestión no alegada ni discutida (SSTC 142/1987 y 91/1989) [FJ 3].</w:t>
      </w:r>
    </w:p>
    <w:p w14:paraId="4293DC02" w14:textId="77777777" w:rsidR="008D479B" w:rsidRDefault="008D479B" w:rsidP="008D479B">
      <w:pPr>
        <w:pStyle w:val="Extracto"/>
      </w:pPr>
    </w:p>
    <w:p w14:paraId="7B5BF91C" w14:textId="3D57076B" w:rsidR="008D479B" w:rsidRDefault="008D479B" w:rsidP="008D479B">
      <w:pPr>
        <w:pStyle w:val="Extracto"/>
      </w:pPr>
      <w:r>
        <w:t>3.</w:t>
      </w:r>
      <w:r>
        <w:tab/>
        <w:t>Para poder apreciar falta de imparcialidad no basta con que la parte albergue dudas o sospechas; es necesario que existan dudas objetivamente justificadas, exteriorizadas y apoyadas en datos objetivos que permitan afirmar fundadamente que el juez no es ajeno a la causa o que, por cualquier relación con el caso concreto, no va a utilizar como criterio de juicio el previsto en la ley (SSTC 162/1999 o 140/2004). El mero empleo de la expresión “postulados negacionistas” no es suficiente para apreciar una falta de imparcialidad objetivamente fundada [FJ 3].</w:t>
      </w:r>
    </w:p>
    <w:p w14:paraId="0008F512" w14:textId="77777777" w:rsidR="008D479B" w:rsidRDefault="008D479B" w:rsidP="008D479B">
      <w:pPr>
        <w:pStyle w:val="Extracto"/>
      </w:pPr>
    </w:p>
    <w:p w14:paraId="54C03FDC" w14:textId="67765048" w:rsidR="008D479B" w:rsidRDefault="008D479B" w:rsidP="008D479B">
      <w:pPr>
        <w:pStyle w:val="Extracto"/>
      </w:pPr>
      <w:r>
        <w:t>4.</w:t>
      </w:r>
      <w:r>
        <w:tab/>
        <w:t>Reiteración de doctrina en materia de inadmisión del recurso de amparo cuando no se denunció formalmente en el proceso, si hubo oportunidad, la vulneración del derecho constitucional tan pronto como, una vez conocida, hubiera lugar para ello ex art. 44.1 c) LOTC [FJ 2].</w:t>
      </w:r>
    </w:p>
    <w:p w14:paraId="6DAE9EA2" w14:textId="77777777" w:rsidR="008D479B" w:rsidRDefault="008D479B" w:rsidP="008D479B">
      <w:pPr>
        <w:pStyle w:val="Extracto"/>
      </w:pPr>
    </w:p>
    <w:p w14:paraId="48570224" w14:textId="77777777" w:rsidR="008D479B" w:rsidRDefault="008D479B" w:rsidP="008D479B">
      <w:pPr>
        <w:pStyle w:val="Extracto"/>
      </w:pPr>
    </w:p>
    <w:p w14:paraId="4BE38099" w14:textId="77777777" w:rsidR="008D479B" w:rsidRDefault="008D479B" w:rsidP="008D479B">
      <w:pPr>
        <w:pStyle w:val="TextoNormal"/>
      </w:pPr>
      <w:r>
        <w:t>La Sala Primera del Tribunal Constitucional, compuesta por el magistrado don Cándido Conde-Pumpido Tourón, presidente, y los magistrados y magistradas don Ricardo Enríquez Sancho, doña Concepción Espejel Jorquera, doña María Luisa Segoviano Astaburuaga y don Juan Carlos Campo Moreno, ha pronunciado</w:t>
      </w:r>
    </w:p>
    <w:p w14:paraId="2B9075DE" w14:textId="3FA22EA0" w:rsidR="008D479B" w:rsidRDefault="008D479B" w:rsidP="008D479B">
      <w:pPr>
        <w:pStyle w:val="TextoNormal"/>
      </w:pPr>
    </w:p>
    <w:p w14:paraId="5154433F" w14:textId="77777777" w:rsidR="008D479B" w:rsidRDefault="008D479B" w:rsidP="008D479B">
      <w:pPr>
        <w:pStyle w:val="TextoNormalCentrado"/>
        <w:keepNext/>
      </w:pPr>
      <w:r>
        <w:t>EN NOMBRE DEL REY</w:t>
      </w:r>
    </w:p>
    <w:p w14:paraId="3ADA4149" w14:textId="62076901" w:rsidR="008D479B" w:rsidRDefault="008D479B" w:rsidP="008D479B">
      <w:pPr>
        <w:pStyle w:val="TextoNormalCentrado"/>
        <w:keepNext/>
      </w:pPr>
    </w:p>
    <w:p w14:paraId="77F1FF0E" w14:textId="77777777" w:rsidR="008D479B" w:rsidRDefault="008D479B" w:rsidP="008D479B">
      <w:pPr>
        <w:pStyle w:val="TextoNormalCentrado"/>
        <w:keepNext/>
      </w:pPr>
    </w:p>
    <w:p w14:paraId="4339B0B3" w14:textId="77777777" w:rsidR="008D479B" w:rsidRDefault="008D479B" w:rsidP="008D479B">
      <w:pPr>
        <w:pStyle w:val="TextoNormal"/>
      </w:pPr>
      <w:r>
        <w:t>la siguiente</w:t>
      </w:r>
    </w:p>
    <w:p w14:paraId="2F96A416" w14:textId="4121A813" w:rsidR="008D479B" w:rsidRDefault="008D479B" w:rsidP="008D479B">
      <w:pPr>
        <w:pStyle w:val="TextoNormal"/>
      </w:pPr>
    </w:p>
    <w:p w14:paraId="1F1EC604" w14:textId="77777777" w:rsidR="008D479B" w:rsidRDefault="008D479B" w:rsidP="008D479B">
      <w:pPr>
        <w:pStyle w:val="TextoNormalCentrado"/>
        <w:keepNext/>
      </w:pPr>
      <w:r>
        <w:t>SENTENCIA</w:t>
      </w:r>
    </w:p>
    <w:p w14:paraId="29A31718" w14:textId="70B9B341" w:rsidR="008D479B" w:rsidRDefault="008D479B" w:rsidP="008D479B">
      <w:pPr>
        <w:pStyle w:val="TextoNormalCentrado"/>
        <w:keepNext/>
      </w:pPr>
    </w:p>
    <w:p w14:paraId="59118FC9" w14:textId="77777777" w:rsidR="008D479B" w:rsidRDefault="008D479B" w:rsidP="008D479B">
      <w:pPr>
        <w:pStyle w:val="TextoNormal"/>
      </w:pPr>
      <w:r>
        <w:t>En el recurso de amparo núm. 2769-2022, interpuesto por la procuradora de los tribunales doña María Cristina Sosa González, en nombre y representación de doña M.S.V.R., bajo la dirección técnica de la letrada doña Cristina Armas Suárez, contra el auto de 25 de febrero de 2022 dictado por la Sección Primera de la Audiencia Provincial de Santa Cruz de Tenerife, en el rollo de apelación núm. 40-2022, y contra la providencia de 23 de marzo de 2022, de la misma sección, que inadmitió el incidente de nulidad de actuaciones promovido contra aquel. Ha intervenido el Ministerio Fiscal. Ha sido ponente el presidente don Cándido Conde-Pumpido Tourón.</w:t>
      </w:r>
    </w:p>
    <w:p w14:paraId="420359C1" w14:textId="360781F6" w:rsidR="008D479B" w:rsidRDefault="008D479B" w:rsidP="008D479B">
      <w:pPr>
        <w:pStyle w:val="TextoNormal"/>
      </w:pPr>
    </w:p>
    <w:p w14:paraId="30A76C8D" w14:textId="77777777" w:rsidR="008D479B" w:rsidRDefault="008D479B" w:rsidP="008D479B">
      <w:pPr>
        <w:pStyle w:val="TextoNormalNegritaCentrado"/>
        <w:keepNext/>
      </w:pPr>
      <w:r>
        <w:t>I. Antecedentes</w:t>
      </w:r>
    </w:p>
    <w:p w14:paraId="3E9B61FA" w14:textId="6A0A8544" w:rsidR="008D479B" w:rsidRDefault="008D479B" w:rsidP="008D479B">
      <w:pPr>
        <w:pStyle w:val="TextoNormalNegritaCentrado"/>
        <w:keepNext/>
      </w:pPr>
    </w:p>
    <w:p w14:paraId="3D7AFFAF" w14:textId="17B6EC0C" w:rsidR="008D479B" w:rsidRDefault="008D479B" w:rsidP="008D479B">
      <w:pPr>
        <w:pStyle w:val="TextoNormal"/>
      </w:pPr>
      <w:r w:rsidRPr="008D479B">
        <w:rPr>
          <w:rStyle w:val="NumeroAFNegritaCaracter"/>
        </w:rPr>
        <w:t>1</w:t>
      </w:r>
      <w:r>
        <w:t>. Doña M.S.V.R., representada por la procuradora de los tribunales doña María Cristina Sosa González, ha interpuesto recurso de amparo contra las resoluciones reseñadas en el encabezamiento de la presente resolución mediante escrito presentado en el registro de este tribunal el día 19 de abril de 2022.</w:t>
      </w:r>
    </w:p>
    <w:p w14:paraId="466B8139" w14:textId="77777777" w:rsidR="008D479B" w:rsidRDefault="008D479B" w:rsidP="008D479B">
      <w:pPr>
        <w:pStyle w:val="TextoNormal"/>
      </w:pPr>
    </w:p>
    <w:p w14:paraId="6DB90A0F" w14:textId="77777777" w:rsidR="008D479B" w:rsidRDefault="008D479B" w:rsidP="008D479B">
      <w:pPr>
        <w:pStyle w:val="TextoNormal"/>
      </w:pPr>
      <w:r w:rsidRPr="008D479B">
        <w:rPr>
          <w:rStyle w:val="NumeroAFNegritaCaracter"/>
        </w:rPr>
        <w:t>2</w:t>
      </w:r>
      <w:r>
        <w:t>. Los hechos de los que trae causa la demanda de amparo son, en síntesis, los siguientes:</w:t>
      </w:r>
    </w:p>
    <w:p w14:paraId="67C9629F" w14:textId="77777777" w:rsidR="008D479B" w:rsidRDefault="008D479B" w:rsidP="008D479B">
      <w:pPr>
        <w:pStyle w:val="TextoNormal"/>
      </w:pPr>
    </w:p>
    <w:p w14:paraId="66114933" w14:textId="77777777" w:rsidR="008D479B" w:rsidRDefault="008D479B" w:rsidP="008D479B">
      <w:pPr>
        <w:pStyle w:val="TextoNormal"/>
      </w:pPr>
      <w:r>
        <w:t>a) Don A.J.B.G., solicitó la intervención judicial por desacuerdo de los progenitores en el ejercicio de la patria potestad al amparo del art. 86.1 de la Ley de la jurisdicción voluntaria y el art. 156 párrafo tercero del Código civil, ante la negativa de la madre, doña M.S.V.R., para la inoculación de la vacuna contra la covid-19 al hijo común de ambos litigantes. Interesaba en la demanda que el menor, de quince años, fuera citado a la comparecencia y oído en el procedimiento, de conformidad con el art. 85.1 de la Ley de la jurisdicción voluntaria y la Ley Orgánica de protección jurídica del menor.</w:t>
      </w:r>
    </w:p>
    <w:p w14:paraId="5F553E28" w14:textId="77777777" w:rsidR="008D479B" w:rsidRDefault="008D479B" w:rsidP="008D479B">
      <w:pPr>
        <w:pStyle w:val="TextoNormal"/>
      </w:pPr>
    </w:p>
    <w:p w14:paraId="15C0C840" w14:textId="77777777" w:rsidR="008D479B" w:rsidRDefault="008D479B" w:rsidP="008D479B">
      <w:pPr>
        <w:pStyle w:val="TextoNormal"/>
      </w:pPr>
      <w:r>
        <w:t>b) Mediante decreto de 2 de noviembre de 2021 se admitió la solicitud y se acordó citar en comparecencia al menor de edad para ser oído el día 30 de noviembre de 2021 a las 13:30 horas, y la celebración de una comparecencia el día 1 de diciembre de 2021 a las 10:45 horas con citación al solicitante, al Ministerio Fiscal y a doña M.S.V.R.</w:t>
      </w:r>
    </w:p>
    <w:p w14:paraId="64B233AB" w14:textId="77777777" w:rsidR="008D479B" w:rsidRDefault="008D479B" w:rsidP="008D479B">
      <w:pPr>
        <w:pStyle w:val="TextoNormal"/>
      </w:pPr>
    </w:p>
    <w:p w14:paraId="5DAF8BAC" w14:textId="77777777" w:rsidR="008D479B" w:rsidRDefault="008D479B" w:rsidP="008D479B">
      <w:pPr>
        <w:pStyle w:val="TextoNormal"/>
      </w:pPr>
      <w:r>
        <w:t>c) Doña M.S.V.R., formuló oposición a la solicitud presentada por don A.J.B.G., alegando la ausencia de evidencia médica/científica que justificara la inoculación de los medicamentos de terapia génica para la covid-19 en menores de edad, atendiendo a la gravedad de la enfermedad en menores, donde la tasa de mortalidad y de hospitalización es muy baja, y a los efectos adversos que puede llevar aparejada la vacuna, que pueden ser muy superiores a la ausencia de vacunación. A ello añadía que el medicamento se encontraba en fase experimental. Y consideraba que se produciría una vulneración del derecho a la integridad física y moral (art. 15 CE) por la falta de consentimiento informado por escrito en los términos de la Ley 41/2002, básica de autonomía del paciente, en relación con la STC 37/2011, de 28 de marzo, y la vulneración de Código de Nuremberg, el Convenio de Oviedo y la Declaración universal sobre bioética y derechos humanos de la UNESCO.</w:t>
      </w:r>
    </w:p>
    <w:p w14:paraId="13B3098A" w14:textId="77777777" w:rsidR="008D479B" w:rsidRDefault="008D479B" w:rsidP="008D479B">
      <w:pPr>
        <w:pStyle w:val="TextoNormal"/>
      </w:pPr>
    </w:p>
    <w:p w14:paraId="13A30E1B" w14:textId="77777777" w:rsidR="008D479B" w:rsidRDefault="008D479B" w:rsidP="008D479B">
      <w:pPr>
        <w:pStyle w:val="TextoNormal"/>
      </w:pPr>
      <w:r>
        <w:t>d) El día y hora señalados, se llevó a cabo la exploración del menor, extendiéndose acta en la que se reflejaba que el menor conocía la discrepancia de sus padres sobre la vacuna y, en síntesis, manifestó su voluntad de ser vacunado contra la covid-19, aunque sabía que la vacuna no le inmunizaría.</w:t>
      </w:r>
    </w:p>
    <w:p w14:paraId="2DAEE2FE" w14:textId="77777777" w:rsidR="008D479B" w:rsidRDefault="008D479B" w:rsidP="008D479B">
      <w:pPr>
        <w:pStyle w:val="TextoNormal"/>
      </w:pPr>
    </w:p>
    <w:p w14:paraId="76109B58" w14:textId="77777777" w:rsidR="008D479B" w:rsidRDefault="008D479B" w:rsidP="008D479B">
      <w:pPr>
        <w:pStyle w:val="TextoNormal"/>
      </w:pPr>
      <w:r>
        <w:t>e) Tras celebrarse la comparecencia del día 1 de diciembre de 2021, con fecha 10 de diciembre del mismo año el Juzgado de Primera Instancia e Instrucción núm. 2 de Icod de los Vinos dictó auto por el que desestimó la solicitud formulada por don A.J.B.G., y atribuyó a doña M.S.V.R., la facultad de decidir sobre la inoculación de la vacuna respecto del hijo menor de ambos. Basó su decisión en el juicio de ponderación de los riesgos y beneficios de la vacuna, atendiendo a: (i) la baja incidencia de la covid-19 en los menores de edad que reflejaba la prueba documental aportada por doña M.S.V.R. (informe del Instituto Carlos III) y la aportada por la madre como dictamen pericial, los posibles y desconocidos efectos adversos que puede comportar la vacuna a largo plazo, que ninguno de los progenitores ha cuestionado, y que sí han aparecido en otros medicamentos (por vacunación contra la viruela en 1975 y el caso de la talidomida) y los que ya se han constatado a corto plazo (miocarditis y pericarditis), y que ha acreditado la progenitora; (ii) la falta de consentimiento informado, que requiere que un facultativo médico realice una ponderación de riesgos y beneficios, mientras que en casos de campañas de vacunación, son los usuarios quienes, conocedores de la campaña, deciden vacunarse o no y, en el primer caso, asumen el riesgo inherente; (iii) la ausencia de autorización de vacuna que haya finalizado sus ensayos clínicos, existiendo solo autorización condicional de comercialización de emergencia, (iv) que no cabe alegar razones de solidaridad para que el menor sea vacunado porque hay otros medios eficaces para evitar la propagación del virus, como mascarillas u otras precauciones y porque, como el propio menor manifestó en la audiencia, ninguna vacuna que se suministra en España inmuniza frente al virus. De todo ello concluyó que los beneficios de la vacunación eran muy escasos y el riesgo podía ser grave a corto plazo y se desconocía a medio y largo plazo. Destacaba el auto que todo esto quedaba acreditado por la valoración de la prueba documental aportada por la madre, señalando la nula actividad probatoria desplegada por el padre y por el Ministerio Fiscal. Invocaba, finalmente, el principio de prudencia. Y en base a todo ello, acordó atribuir a la madre la facultad de decisión.</w:t>
      </w:r>
    </w:p>
    <w:p w14:paraId="71D36548" w14:textId="77777777" w:rsidR="008D479B" w:rsidRDefault="008D479B" w:rsidP="008D479B">
      <w:pPr>
        <w:pStyle w:val="TextoNormal"/>
      </w:pPr>
    </w:p>
    <w:p w14:paraId="75B1CAE8" w14:textId="77777777" w:rsidR="008D479B" w:rsidRDefault="008D479B" w:rsidP="008D479B">
      <w:pPr>
        <w:pStyle w:val="TextoNormal"/>
      </w:pPr>
      <w:r>
        <w:t>f) El Ministerio Fiscal presentó recurso de apelación contra el auto anterior combatiendo la valoración que realizaba sobre los efectos adversos que podría tener la vacuna, pues consideraba que se trataba de una vacuna eficaz, y que tiene más beneficios que riesgos. Indicaba además que el menor en este caso tenía suficiente juicio y madurez y se había mostrado favorable a ser vacunado; y su consentimiento estaba suficientemente fundado e informado, siendo conocedor de la campaña de vacunación y asumiendo el riesgo inherente a la misma. Cuestionaba asimismo los datos en que se apoyaba el auto de primera instancia en cuanto a la evolución de la enfermedad porque la prueba documental médica revelaba datos de los que se colegía que la vacuna redundaba en un beneficio para la salud del menor, y apuntaba la necesidad de tener presente la voluntad expresa de este, que quería vacunarse. En la ponderación de riesgos y beneficios, entendía que son mucho mayores los beneficios derivados de la vacuna.</w:t>
      </w:r>
    </w:p>
    <w:p w14:paraId="6F6E6147" w14:textId="77777777" w:rsidR="008D479B" w:rsidRDefault="008D479B" w:rsidP="008D479B">
      <w:pPr>
        <w:pStyle w:val="TextoNormal"/>
      </w:pPr>
    </w:p>
    <w:p w14:paraId="65024704" w14:textId="77777777" w:rsidR="008D479B" w:rsidRDefault="008D479B" w:rsidP="008D479B">
      <w:pPr>
        <w:pStyle w:val="TextoNormal"/>
      </w:pPr>
      <w:r>
        <w:t>g) Doña M.S.V.R., formuló oposición al recurso de apelación reiterando su posición en relación con los riesgos y beneficios de la vacuna y añadiendo que no se puede tener en cuenta la voluntad del menor en este caso, dada la trascendencia de la decisión para su salud y su vida por los efectos a medio y largo plazo.</w:t>
      </w:r>
    </w:p>
    <w:p w14:paraId="65DCA26C" w14:textId="77777777" w:rsidR="008D479B" w:rsidRDefault="008D479B" w:rsidP="008D479B">
      <w:pPr>
        <w:pStyle w:val="TextoNormal"/>
      </w:pPr>
    </w:p>
    <w:p w14:paraId="0361D811" w14:textId="77777777" w:rsidR="008D479B" w:rsidRDefault="008D479B" w:rsidP="008D479B">
      <w:pPr>
        <w:pStyle w:val="TextoNormal"/>
      </w:pPr>
      <w:r>
        <w:t>h) Don A.J.B.G., presentó escrito por el que se adhería al recurso de apelación presentado por el Ministerio Fiscal.</w:t>
      </w:r>
    </w:p>
    <w:p w14:paraId="3C7D140F" w14:textId="77777777" w:rsidR="008D479B" w:rsidRDefault="008D479B" w:rsidP="008D479B">
      <w:pPr>
        <w:pStyle w:val="TextoNormal"/>
      </w:pPr>
    </w:p>
    <w:p w14:paraId="2EFD8038" w14:textId="77777777" w:rsidR="008D479B" w:rsidRDefault="008D479B" w:rsidP="008D479B">
      <w:pPr>
        <w:pStyle w:val="TextoNormal"/>
      </w:pPr>
      <w:r>
        <w:t>i) La Sección Tercera de la Audiencia Provincial de Tenerife dictó auto el 25 de febrero de 2022 por el que estimó el recurso de apelación, basando su decisión en: (i) el interés superior del menor frente a postulados negacionistas del auto de primera instancia y de la madre, y (ii) en el resultado de la exploración judicial, teniendo en cuenta el grado de madurez del menor, frente al criterio del auto de primera instancia, que resolvió conforme al principio de prudencia. En base a estas razones, atribuyó al padre la facultad de decidir sobre la administración de la vacuna contra la covid-19.</w:t>
      </w:r>
    </w:p>
    <w:p w14:paraId="2435B202" w14:textId="77777777" w:rsidR="008D479B" w:rsidRDefault="008D479B" w:rsidP="008D479B">
      <w:pPr>
        <w:pStyle w:val="TextoNormal"/>
      </w:pPr>
    </w:p>
    <w:p w14:paraId="2A9D3687" w14:textId="77777777" w:rsidR="008D479B" w:rsidRDefault="008D479B" w:rsidP="008D479B">
      <w:pPr>
        <w:pStyle w:val="TextoNormal"/>
      </w:pPr>
      <w:r>
        <w:t xml:space="preserve">j) Doña M.S.V.R., promovió incidente excepcional de nulidad de actuaciones por vulneración del derecho a la tutela judicial efectiva sin indefensión (art. 24.1 CE) en relación con la incongruencia </w:t>
      </w:r>
      <w:r w:rsidRPr="008D479B">
        <w:rPr>
          <w:i/>
        </w:rPr>
        <w:t>extra petita</w:t>
      </w:r>
      <w:r>
        <w:t>, la falta de motivación, y el derecho a un juez imparcial, y por vulneración del derecho a un procedimiento con todas las garantías legalmente establecidas (art. 24.2 CE) en relación con el principio de inmediación.</w:t>
      </w:r>
    </w:p>
    <w:p w14:paraId="2F92389C" w14:textId="77777777" w:rsidR="008D479B" w:rsidRDefault="008D479B" w:rsidP="008D479B">
      <w:pPr>
        <w:pStyle w:val="TextoNormal"/>
      </w:pPr>
    </w:p>
    <w:p w14:paraId="7EC1590C" w14:textId="77777777" w:rsidR="008D479B" w:rsidRDefault="008D479B" w:rsidP="008D479B">
      <w:pPr>
        <w:pStyle w:val="TextoNormal"/>
      </w:pPr>
      <w:r>
        <w:t xml:space="preserve">Señala en su escrito que la Audiencia Provincial de Tenerife ha revocado el auto de primera instancia en base a una voluntad del menor que fue expresada ante la juez de instancia y no recogida en soporte CD o DVD, incurriendo el auto de segunda instancia en incongruencia </w:t>
      </w:r>
      <w:r w:rsidRPr="008D479B">
        <w:rPr>
          <w:i/>
        </w:rPr>
        <w:t>extra petita</w:t>
      </w:r>
      <w:r>
        <w:t xml:space="preserve"> porque no se había impugnado la valoración de la prueba en apelación. Y al no recogerse la exploración del menor en soporte CD o DVD, se vulneró el principio de inmediación y el derecho a un proceso con todas las garantías. La facultad revisora en la apelación no consistía en suplantar la valoración de la prueba realizada en primera instancia, sino en fiscalizar externamente el proceso deductivo y que no fuera arbitrario. Finalmente, consideraba que la referencia del auto de apelación a “postulados negacionistas” denotaba la absoluta falta de imparcialidad de los magistrados, porque en el procedimiento no se había cuestionado la existencia del virus, de la enfermedad o de la pandemia.</w:t>
      </w:r>
    </w:p>
    <w:p w14:paraId="4C099D23" w14:textId="77777777" w:rsidR="008D479B" w:rsidRDefault="008D479B" w:rsidP="008D479B">
      <w:pPr>
        <w:pStyle w:val="TextoNormal"/>
      </w:pPr>
    </w:p>
    <w:p w14:paraId="7E030D6F" w14:textId="68FBD3CA" w:rsidR="008D479B" w:rsidRDefault="008D479B" w:rsidP="008D479B">
      <w:pPr>
        <w:pStyle w:val="TextoNormal"/>
      </w:pPr>
      <w:r>
        <w:t>k) Mediante providencia de 23 de marzo de 2022, la Audiencia Provincial de Tenerife acordó inadmitir el incidente de nulidad de actuaciones por no apreciar infracción procesal alguna que hubiera causado indefensión, y dado que el párrafo tercero del art. 228.1 de la Ley de enjuiciamiento civil determina la inadmisión de cualquier incidente en el que se pretenda suscitar otras cuestiones.</w:t>
      </w:r>
    </w:p>
    <w:p w14:paraId="23ED766C" w14:textId="77777777" w:rsidR="008D479B" w:rsidRDefault="008D479B" w:rsidP="008D479B">
      <w:pPr>
        <w:pStyle w:val="TextoNormal"/>
      </w:pPr>
    </w:p>
    <w:p w14:paraId="54BFA5C8" w14:textId="77777777" w:rsidR="008D479B" w:rsidRDefault="008D479B" w:rsidP="008D479B">
      <w:pPr>
        <w:pStyle w:val="TextoNormal"/>
      </w:pPr>
      <w:r w:rsidRPr="008D479B">
        <w:rPr>
          <w:rStyle w:val="NumeroAFNegritaCaracter"/>
        </w:rPr>
        <w:t>3</w:t>
      </w:r>
      <w:r>
        <w:t>. La recurrente denuncia que se le han vulnerado los siguientes derechos fundamentales:</w:t>
      </w:r>
    </w:p>
    <w:p w14:paraId="780C8654" w14:textId="77777777" w:rsidR="008D479B" w:rsidRDefault="008D479B" w:rsidP="008D479B">
      <w:pPr>
        <w:pStyle w:val="TextoNormal"/>
      </w:pPr>
    </w:p>
    <w:p w14:paraId="0BE1AD35" w14:textId="77777777" w:rsidR="008D479B" w:rsidRDefault="008D479B" w:rsidP="008D479B">
      <w:pPr>
        <w:pStyle w:val="TextoNormal"/>
      </w:pPr>
      <w:r>
        <w:t>(i) El derecho a la integridad física y moral (art. 15.1 CE) porque no se recabó el consentimiento informado ni del menor ni de sus progenitores. Argumenta que el consentimiento informado del paciente es un derecho reconocido en la Ley 41/2022, básica de autonomía del paciente, en la Carta de los derechos fundamentales de la Unión Europea [art. 3, apartado 2 a)], y en el Convenio relativo a los derechos humanos y la biomedicina hecho en Oviedo el 4 de abril de 1997, y que queda asimismo amparado en el Convenio europeo de derechos humanos (CEDH) como aspecto del derecho a la vida privada y familiar reconocido en el art. 8 CEDH, conforme a la jurisprudencia del Tribunal Europeo de Derechos Humanos. Invoca asimismo la doctrina enunciada en la STC 37/2011, de 28 de marzo, que relaciona el consentimiento informado con el derecho de la persona a la integridad física y moral, entendido como derecho a rechazar intervenciones que afecten a su incolumidad corporal.</w:t>
      </w:r>
    </w:p>
    <w:p w14:paraId="06F2B4B6" w14:textId="77777777" w:rsidR="008D479B" w:rsidRDefault="008D479B" w:rsidP="008D479B">
      <w:pPr>
        <w:pStyle w:val="TextoNormal"/>
      </w:pPr>
    </w:p>
    <w:p w14:paraId="57B35AA6" w14:textId="77777777" w:rsidR="008D479B" w:rsidRDefault="008D479B" w:rsidP="008D479B">
      <w:pPr>
        <w:pStyle w:val="TextoNormal"/>
      </w:pPr>
      <w:r>
        <w:t>(ii) El derecho a la intimidad personal (art. 18.1 CE) como facultad negativa o de exclusión de toda intromisión en el ámbito de su esfera íntima.</w:t>
      </w:r>
    </w:p>
    <w:p w14:paraId="7C7E5AEC" w14:textId="77777777" w:rsidR="008D479B" w:rsidRDefault="008D479B" w:rsidP="008D479B">
      <w:pPr>
        <w:pStyle w:val="TextoNormal"/>
      </w:pPr>
    </w:p>
    <w:p w14:paraId="697DB9C1" w14:textId="77777777" w:rsidR="008D479B" w:rsidRDefault="008D479B" w:rsidP="008D479B">
      <w:pPr>
        <w:pStyle w:val="TextoNormal"/>
      </w:pPr>
      <w:r>
        <w:t xml:space="preserve">(iii) Los derechos a la tutela judicial efectiva (art. 24.1 CE) y a un proceso con todas las garantías (art. 24.2 CE), porque el tribunal </w:t>
      </w:r>
      <w:r w:rsidRPr="008D479B">
        <w:rPr>
          <w:i/>
        </w:rPr>
        <w:t>ad quem</w:t>
      </w:r>
      <w:r>
        <w:t xml:space="preserve"> revocó el auto del juzgado basándose únicamente en la exploración del menor, de quince años, practicada en el juzgado, sin registro en soporte CD o DVD, en la que manifestó que quería vacunarse, de modo que la audiencia provincial habría excedido sus facultades de valoración de la prueba, por carecer de inmediación, e incurrido en incongruencia </w:t>
      </w:r>
      <w:r w:rsidRPr="008D479B">
        <w:rPr>
          <w:i/>
        </w:rPr>
        <w:t>extra petita</w:t>
      </w:r>
      <w:r>
        <w:t xml:space="preserve"> porque nadie había impugnado en realidad la valoración global de la prueba verificada por el juzgado. Añade que en el auto de la audiencia provincial se han empleado expresiones innecesarias, improcedentes y extravagantes cuando se refiere a los “postulados negacionistas” del auto de primera instancia y de la madre, lo que denota falta de imparcialidad.</w:t>
      </w:r>
    </w:p>
    <w:p w14:paraId="5DC0FC71" w14:textId="77777777" w:rsidR="008D479B" w:rsidRDefault="008D479B" w:rsidP="008D479B">
      <w:pPr>
        <w:pStyle w:val="TextoNormal"/>
      </w:pPr>
    </w:p>
    <w:p w14:paraId="1F3FCB4F" w14:textId="77777777" w:rsidR="008D479B" w:rsidRDefault="008D479B" w:rsidP="008D479B">
      <w:pPr>
        <w:pStyle w:val="TextoNormal"/>
      </w:pPr>
      <w:r>
        <w:t>En el suplico de la demanda solicita la nulidad del auto de la audiencia provincial y que se declare que no había lugar al procedimiento de jurisdicción voluntaria para la inoculación de la vacuna contra la covid-19 sin el consentimiento informado y por escrito de los dos progenitores y el menor o, subsidiariamente, de ambos progenitores mientras el hijo sea menor de dieciocho años.</w:t>
      </w:r>
    </w:p>
    <w:p w14:paraId="31EFECAC" w14:textId="77777777" w:rsidR="008D479B" w:rsidRDefault="008D479B" w:rsidP="008D479B">
      <w:pPr>
        <w:pStyle w:val="TextoNormal"/>
      </w:pPr>
    </w:p>
    <w:p w14:paraId="6257D60C" w14:textId="1B7B507C" w:rsidR="008D479B" w:rsidRDefault="008D479B" w:rsidP="008D479B">
      <w:pPr>
        <w:pStyle w:val="TextoNormal"/>
      </w:pPr>
      <w:r>
        <w:t>Por medio de otrosí, solicita la suspensión del auto impugnado, invocando el art. 56.2 de la Ley Orgánica del Tribunal Constitucional (LOTC).</w:t>
      </w:r>
    </w:p>
    <w:p w14:paraId="30F5BFB7" w14:textId="77777777" w:rsidR="008D479B" w:rsidRDefault="008D479B" w:rsidP="008D479B">
      <w:pPr>
        <w:pStyle w:val="TextoNormal"/>
      </w:pPr>
    </w:p>
    <w:p w14:paraId="1D28C1C5" w14:textId="77777777" w:rsidR="008D479B" w:rsidRDefault="008D479B" w:rsidP="008D479B">
      <w:pPr>
        <w:pStyle w:val="TextoNormal"/>
      </w:pPr>
      <w:r w:rsidRPr="008D479B">
        <w:rPr>
          <w:rStyle w:val="NumeroAFNegritaCaracter"/>
        </w:rPr>
        <w:t>4</w:t>
      </w:r>
      <w:r>
        <w:t>. La Sección Tercera del Tribunal Constitucional, por providencia de 28 de noviembre de 2022, acordó admitir a trámite el recurso de amparo apreciando que concurre en el mismo una especial trascendencia constitucional (art. 50.1 LOTC) porque el recurso plantea un problema o afecta a una faceta de un derecho fundamental sobre el que no hay doctrina de este tribunal [STC 155/2009, de 25 de junio, FJ 2 a)] y, asimismo, porque el asunto suscitado trasciende del caso concreto porque plantea una cuestión jurídica de relevante y general repercusión social o económica [STC 155/2009, FJ 2 g)].</w:t>
      </w:r>
    </w:p>
    <w:p w14:paraId="3B0996A1" w14:textId="77777777" w:rsidR="008D479B" w:rsidRDefault="008D479B" w:rsidP="008D479B">
      <w:pPr>
        <w:pStyle w:val="TextoNormal"/>
      </w:pPr>
    </w:p>
    <w:p w14:paraId="685313AD" w14:textId="307A6ABC" w:rsidR="008D479B" w:rsidRDefault="008D479B" w:rsidP="008D479B">
      <w:pPr>
        <w:pStyle w:val="TextoNormal"/>
      </w:pPr>
      <w:r>
        <w:t>En la misma providencia se acordó, en aplicación de lo dispuesto en el art. 51 LOTC, dirigir atenta comunicación a la Sección Primera de la Audiencia Provincial de Santa Cruz de Tenerife a fin de que, en plazo que no superior a diez días, remitiera certificación o fotocopia adverada de las actuaciones correspondientes al recurso de apelación 40-2022, e, igualmente, al Juzgado de Primera Instancia e Instrucción núm. 2 de Icod de los Vinos a fin de que, en plazo que no excediera de diez días, remitiera certificación o fotocopia adverada de las actuaciones correspondientes al procedimiento de jurisdicción voluntaria núm. 482-2021, debiendo emplazar previamente, para que en el plazo de diez días pudieran comparecer, si lo desearan, en el recurso de amparo, a quienes hubieran sido parte en el procedimiento, excepto la parte recurrente en amparo.</w:t>
      </w:r>
    </w:p>
    <w:p w14:paraId="51BDA016" w14:textId="77777777" w:rsidR="008D479B" w:rsidRDefault="008D479B" w:rsidP="008D479B">
      <w:pPr>
        <w:pStyle w:val="TextoNormal"/>
      </w:pPr>
    </w:p>
    <w:p w14:paraId="797765BC" w14:textId="7F02623B" w:rsidR="008D479B" w:rsidRDefault="008D479B" w:rsidP="008D479B">
      <w:pPr>
        <w:pStyle w:val="TextoNormal"/>
      </w:pPr>
      <w:r w:rsidRPr="008D479B">
        <w:rPr>
          <w:rStyle w:val="NumeroAFNegritaCaracter"/>
        </w:rPr>
        <w:t>5</w:t>
      </w:r>
      <w:r>
        <w:t>. Mediante providencia de 28 de noviembre de 2022 se acordó, a solicitud de la parte actora, la formación de pieza separada de suspensión, que tras su tramitación fue resuelta por el ATC 102/2023, de 6 de marzo, que denegó la suspensión cautelar del auto dictado el 25 de febrero de 2022 por la Sección Primera de la Audiencia Provincial de Santa Cruz de Tenerife.</w:t>
      </w:r>
    </w:p>
    <w:p w14:paraId="0944D73C" w14:textId="77777777" w:rsidR="008D479B" w:rsidRDefault="008D479B" w:rsidP="008D479B">
      <w:pPr>
        <w:pStyle w:val="TextoNormal"/>
      </w:pPr>
    </w:p>
    <w:p w14:paraId="1D4C7DFC" w14:textId="0CC54E12" w:rsidR="008D479B" w:rsidRDefault="008D479B" w:rsidP="008D479B">
      <w:pPr>
        <w:pStyle w:val="TextoNormal"/>
      </w:pPr>
      <w:r w:rsidRPr="008D479B">
        <w:rPr>
          <w:rStyle w:val="NumeroAFNegritaCaracter"/>
        </w:rPr>
        <w:t>6</w:t>
      </w:r>
      <w:r>
        <w:t>. Por diligencia de ordenación de la Secretaría de Justicia de la Sala Primera de este tribunal de 2 de febrero de 2023, se puso en conocimiento del Ministerio Fiscal y de las partes, a los efectos oportunos, que, en virtud del acuerdo adoptado por el Pleno del Tribunal Constitucional el día 17 de enero de 2023, publicado en el “Boletín Oficial del Estado” de 19 de enero, el presente recurso de amparo había sido turnado a la Sección Primera de la Sala Primera del Tribunal Constitucional.</w:t>
      </w:r>
    </w:p>
    <w:p w14:paraId="04BF8573" w14:textId="77777777" w:rsidR="008D479B" w:rsidRDefault="008D479B" w:rsidP="008D479B">
      <w:pPr>
        <w:pStyle w:val="TextoNormal"/>
      </w:pPr>
    </w:p>
    <w:p w14:paraId="7A2A2AFD" w14:textId="65F5F88E" w:rsidR="008D479B" w:rsidRDefault="008D479B" w:rsidP="008D479B">
      <w:pPr>
        <w:pStyle w:val="TextoNormal"/>
      </w:pPr>
      <w:r w:rsidRPr="008D479B">
        <w:rPr>
          <w:rStyle w:val="NumeroAFNegritaCaracter"/>
        </w:rPr>
        <w:t>7</w:t>
      </w:r>
      <w:r>
        <w:t>. Por diligencia de ordenación de la Secretaría de Justicia de la Sala Primera de este tribunal de 22 de mayo de 2023, se tuvieron por recibidos los testimonios de las actuaciones que habían sido remitidos por la Audiencia Provincial de Tenerife y por el Juzgado de Primera Instancia e Instrucción núm. 2 de Icod de los Vinos y, a tenor de lo dispuesto en el art. 52 LOTC, se acordó dar vista de las mismas, por un plazo común de diez días, al Ministerio Fiscal y a las partes personadas, para que dentro de dicho término pudieran presentar las alegaciones que a su derecho convenga.</w:t>
      </w:r>
    </w:p>
    <w:p w14:paraId="597DC11E" w14:textId="77777777" w:rsidR="008D479B" w:rsidRDefault="008D479B" w:rsidP="008D479B">
      <w:pPr>
        <w:pStyle w:val="TextoNormal"/>
      </w:pPr>
    </w:p>
    <w:p w14:paraId="4869FE13" w14:textId="77777777" w:rsidR="008D479B" w:rsidRDefault="008D479B" w:rsidP="008D479B">
      <w:pPr>
        <w:pStyle w:val="TextoNormal"/>
      </w:pPr>
      <w:r w:rsidRPr="008D479B">
        <w:rPr>
          <w:rStyle w:val="NumeroAFNegritaCaracter"/>
        </w:rPr>
        <w:t>8</w:t>
      </w:r>
      <w:r>
        <w:t>. Por escrito registrado el 6 de julio de 2023, la fiscal ante el Tribunal Constitucional formuló sus alegaciones, apreciando en primer lugar la legitimación de la recurrente por cuanto ha sido parte en el proceso judicial en el que se cuestionaba, ante la discrepancia de los padres, a quién atribuir la facultad de decidir sobre la inoculación de la vacuna, interviniendo en el procedimiento para defender lo que consideraba más beneficioso para la salud de su hijo.</w:t>
      </w:r>
    </w:p>
    <w:p w14:paraId="61078E34" w14:textId="77777777" w:rsidR="008D479B" w:rsidRDefault="008D479B" w:rsidP="008D479B">
      <w:pPr>
        <w:pStyle w:val="TextoNormal"/>
      </w:pPr>
    </w:p>
    <w:p w14:paraId="287B621A" w14:textId="77777777" w:rsidR="008D479B" w:rsidRDefault="008D479B" w:rsidP="008D479B">
      <w:pPr>
        <w:pStyle w:val="TextoNormal"/>
      </w:pPr>
      <w:r>
        <w:t>Realizada esta precisión, la fiscal interesó, en primer lugar, la inadmisión por falta de agotamiento de la vía judicial previa [art. 44.2 a) LOTC] por no haberse planteado el incidente de nulidad de actuaciones y porque el suplico de la demanda de amparo contenía una pretensión consistente en que se declarase que no había lugar al procedimiento de jurisdicción voluntaria, con lo que parece que se estaría denunciando una inadecuación de procedimiento que no se habría alegado con anterioridad.</w:t>
      </w:r>
    </w:p>
    <w:p w14:paraId="69346909" w14:textId="77777777" w:rsidR="008D479B" w:rsidRDefault="008D479B" w:rsidP="008D479B">
      <w:pPr>
        <w:pStyle w:val="TextoNormal"/>
      </w:pPr>
    </w:p>
    <w:p w14:paraId="18F0401F" w14:textId="77777777" w:rsidR="008D479B" w:rsidRDefault="008D479B" w:rsidP="008D479B">
      <w:pPr>
        <w:pStyle w:val="TextoNormal"/>
      </w:pPr>
      <w:r>
        <w:t xml:space="preserve">Subsidiariamente, para el caso de que no se apreciaran estos óbices procesales, solicitaba la desestimación del recurso de amparo. No aprecia la falta de imparcialidad porque se trataría del mero uso de una expresión coloquial, sin la suficiente consistencia como para cuestionar la imparcialidad judicial, teniendo en cuenta la doctrina constitucional sobre la materia. Por el mismo motivo, tampoco se habría incurrido en incongruencia </w:t>
      </w:r>
      <w:r w:rsidRPr="008D479B">
        <w:rPr>
          <w:i/>
        </w:rPr>
        <w:t>extra petita</w:t>
      </w:r>
      <w:r>
        <w:t>, teniendo en cuenta que la decisión debe adoptarse en atención al interés superior del menor, tomando en consideración sus deseos, sentimientos y opiniones [art. 2.2 b) de la Ley Orgánica de protección jurídica del menor] y su derecho a ser oído y escuchado como parte de su estatuto jurídico indisponible, y que la decisión que se adoptase debía ajustarse al objeto del proceso dentro de los límites establecidos en el debate jurídico entablado por las partes, en este caso, el desacuerdo de los progenitores sobre la vacunación, teniendo en cuenta las declaraciones efectuadas por el menor, que en este caso tiene madurez suficiente, y el valor de la prueba documental aportada. La audiencia provincial no ha realizado una nueva valoración de la voluntad del menor, sino que, supliendo la omisión de la juzgadora de primera instancia, toma en consideración los deseos y opiniones de aquel, que cuenta con suficiente madurez. En cuanto a la alegación relativa a no haberse recogido la audiencia del menor en soporte CD o DVD, carecería de todo fundamento, dado que el art. 18.2 de la Ley 15/2015 establece la obligación de extender acta detallada de la exploración judicial del menor de edad, y, cuando sea posible, su grabación en soporte audiovisual. En este caso, se levantó dicha acta recogiendo sin género de duda cuál era la voluntad del menor, sin que se quiebre el principio de inmediación.</w:t>
      </w:r>
    </w:p>
    <w:p w14:paraId="393FC720" w14:textId="77777777" w:rsidR="008D479B" w:rsidRDefault="008D479B" w:rsidP="008D479B">
      <w:pPr>
        <w:pStyle w:val="TextoNormal"/>
      </w:pPr>
    </w:p>
    <w:p w14:paraId="0D66408C" w14:textId="77777777" w:rsidR="008D479B" w:rsidRDefault="008D479B" w:rsidP="008D479B">
      <w:pPr>
        <w:pStyle w:val="TextoNormal"/>
      </w:pPr>
      <w:r>
        <w:t>Respecto de la vulneración del derecho fundamental a la intimidad reconocido en el art. 18 CE, no se contiene en la demanda de amparo desarrollo específico alguno sobre la vulneración.</w:t>
      </w:r>
    </w:p>
    <w:p w14:paraId="3C0504A2" w14:textId="77777777" w:rsidR="008D479B" w:rsidRDefault="008D479B" w:rsidP="008D479B">
      <w:pPr>
        <w:pStyle w:val="TextoNormal"/>
      </w:pPr>
    </w:p>
    <w:p w14:paraId="41925C5E" w14:textId="77777777" w:rsidR="008D479B" w:rsidRDefault="008D479B" w:rsidP="008D479B">
      <w:pPr>
        <w:pStyle w:val="TextoNormal"/>
      </w:pPr>
      <w:r>
        <w:t>Y en cuanto a la vulneración del art. 15 CE por falta de consentimiento informado, la fiscal pone de relieve en su informe como en este procedimiento la autoridad judicial no autorizó la inoculación de la vacuna del menor, ni le proporcionó la información médica adecuada, sino que su función consistió en atribuir a uno de los progenitores la facultad de decidir sobre la administración de la vacuna ponderando, en atención a las circunstancias del caso, lo que considerase más beneficioso para el menor. Será en un momento posterior, si este progenitor acude al centro médico para que sea administrada la vacuna al menor, cuando deberá cumplirse la normativa relativa al consentimiento informado a fin de evitar una violación del art. 15 CE.</w:t>
      </w:r>
    </w:p>
    <w:p w14:paraId="1F0164F8" w14:textId="77777777" w:rsidR="008D479B" w:rsidRDefault="008D479B" w:rsidP="008D479B">
      <w:pPr>
        <w:pStyle w:val="TextoNormal"/>
      </w:pPr>
    </w:p>
    <w:p w14:paraId="1B39C6F8" w14:textId="3DE493F9" w:rsidR="008D479B" w:rsidRDefault="008D479B" w:rsidP="008D479B">
      <w:pPr>
        <w:pStyle w:val="TextoNormal"/>
      </w:pPr>
      <w:r>
        <w:t>Si, por el contrario, se considerase que la decisión judicial de manera indirecta conlleva la autorización para la vacunación, tampoco cabría apreciar en este caso la vulneración del art. 15 CE porque no estaría incurso en ninguno de los supuestos del art. 9.3 b) y c) de la Ley 41/2002, ya que el menor gozaba de capacidad de juicio suficiente para comprender el alcance de la intervención y consentirla o no, siendo él quien presta su consentimiento y no su representante legal. Tampoco considera que se trate de una actuación de grave riesgo para la vida o salud del menor.</w:t>
      </w:r>
    </w:p>
    <w:p w14:paraId="52053F5A" w14:textId="77777777" w:rsidR="008D479B" w:rsidRDefault="008D479B" w:rsidP="008D479B">
      <w:pPr>
        <w:pStyle w:val="TextoNormal"/>
      </w:pPr>
    </w:p>
    <w:p w14:paraId="5425DDA7" w14:textId="68B015B3" w:rsidR="008D479B" w:rsidRDefault="008D479B" w:rsidP="008D479B">
      <w:pPr>
        <w:pStyle w:val="TextoNormal"/>
      </w:pPr>
      <w:r w:rsidRPr="008D479B">
        <w:rPr>
          <w:rStyle w:val="NumeroAFNegritaCaracter"/>
        </w:rPr>
        <w:t>9</w:t>
      </w:r>
      <w:r>
        <w:t>. Por providencia de 7 de diciembre de 2023 se señaló para deliberación y votación de la presente sentencia el día 11 del mismo mes y año.</w:t>
      </w:r>
    </w:p>
    <w:p w14:paraId="458C1DFD" w14:textId="77777777" w:rsidR="008D479B" w:rsidRDefault="008D479B" w:rsidP="008D479B">
      <w:pPr>
        <w:pStyle w:val="TextoNormal"/>
      </w:pPr>
    </w:p>
    <w:p w14:paraId="0346E527" w14:textId="77777777" w:rsidR="008D479B" w:rsidRDefault="008D479B" w:rsidP="008D479B">
      <w:pPr>
        <w:pStyle w:val="TextoNormalNegritaCentrado"/>
        <w:keepNext/>
      </w:pPr>
      <w:r>
        <w:t>II. Fundamentos jurídicos</w:t>
      </w:r>
    </w:p>
    <w:p w14:paraId="3E89CD28" w14:textId="281D3354" w:rsidR="008D479B" w:rsidRDefault="008D479B" w:rsidP="008D479B">
      <w:pPr>
        <w:pStyle w:val="TextoNormalNegritaCentrado"/>
        <w:keepNext/>
      </w:pPr>
    </w:p>
    <w:p w14:paraId="79F7D109" w14:textId="77777777" w:rsidR="008D479B" w:rsidRDefault="008D479B" w:rsidP="008D479B">
      <w:pPr>
        <w:pStyle w:val="TextoNormal"/>
      </w:pPr>
      <w:r w:rsidRPr="008D479B">
        <w:rPr>
          <w:rStyle w:val="NumeroAFNegritaCaracter"/>
        </w:rPr>
        <w:t>1</w:t>
      </w:r>
      <w:r>
        <w:t xml:space="preserve">. </w:t>
      </w:r>
      <w:r w:rsidRPr="008D479B">
        <w:rPr>
          <w:i/>
        </w:rPr>
        <w:t>Objeto del recurso</w:t>
      </w:r>
    </w:p>
    <w:p w14:paraId="39A7937B" w14:textId="77777777" w:rsidR="008D479B" w:rsidRDefault="008D479B" w:rsidP="008D479B">
      <w:pPr>
        <w:pStyle w:val="TextoNormal"/>
      </w:pPr>
    </w:p>
    <w:p w14:paraId="772F85F8" w14:textId="77777777" w:rsidR="008D479B" w:rsidRDefault="008D479B" w:rsidP="008D479B">
      <w:pPr>
        <w:pStyle w:val="TextoNormal"/>
      </w:pPr>
      <w:r>
        <w:t>El presente recurso de amparo se dirige contra el auto de 25 de febrero de 2022, dictado por la Sección Primera de la Audiencia Provincial de Santa Cruz de Tenerife, en el rollo de apelación núm. 40-2022 —procedente del expediente de jurisdicción voluntaria 482-2021 tramitado ante el Juzgado de Primera Instancia e Instrucción núm. 2 de Icod de los Vinos— que estimó el recurso de apelación de don A.J.B.G., atribuyéndole la facultad de decidir sobre la administración de la vacuna frente al covid-19 a su hijo menor de edad. También se impugna la providencia de 23 de marzo de 2022 de la misma sección que inadmitió el incidente de nulidad de actuaciones promovido contra aquel.</w:t>
      </w:r>
    </w:p>
    <w:p w14:paraId="5289AA4E" w14:textId="77777777" w:rsidR="008D479B" w:rsidRDefault="008D479B" w:rsidP="008D479B">
      <w:pPr>
        <w:pStyle w:val="TextoNormal"/>
      </w:pPr>
    </w:p>
    <w:p w14:paraId="68D35F3E" w14:textId="4DC60C3D" w:rsidR="008D479B" w:rsidRDefault="008D479B" w:rsidP="008D479B">
      <w:pPr>
        <w:pStyle w:val="TextoNormal"/>
      </w:pPr>
      <w:r>
        <w:t>Dada la naturaleza de los hechos, debe señalarse que, en aplicación de las potestades atribuidas a este tribunal por el art. 86.3 LOTC y el acuerdo del Pleno de 23 de julio de 2015, por el que se regula la exclusión de los datos de identidad personal en la publicación de las resoluciones jurisdiccionales (“Boletín Oficial del Estado” núm. 178, de 27 de julio de 2015), la presente sentencia y demás actuaciones del proceso no incluyen la identificación completa de la persona menor de edad afectada ni la de sus parientes inmediatos que aparecen mencionados en las actuaciones, con el fin de proteger la intimidad de aquella.</w:t>
      </w:r>
    </w:p>
    <w:p w14:paraId="278781ED" w14:textId="77777777" w:rsidR="008D479B" w:rsidRDefault="008D479B" w:rsidP="008D479B">
      <w:pPr>
        <w:pStyle w:val="TextoNormal"/>
      </w:pPr>
    </w:p>
    <w:p w14:paraId="736D0149" w14:textId="77777777" w:rsidR="008D479B" w:rsidRDefault="008D479B" w:rsidP="008D479B">
      <w:pPr>
        <w:pStyle w:val="TextoNormal"/>
      </w:pPr>
      <w:r w:rsidRPr="008D479B">
        <w:rPr>
          <w:rStyle w:val="NumeroAFNegritaCaracter"/>
        </w:rPr>
        <w:t>2</w:t>
      </w:r>
      <w:r>
        <w:t xml:space="preserve">. </w:t>
      </w:r>
      <w:r w:rsidRPr="008D479B">
        <w:rPr>
          <w:i/>
        </w:rPr>
        <w:t>Cuestiones previas y delimitación de los derechos fundamentales concernidos</w:t>
      </w:r>
    </w:p>
    <w:p w14:paraId="5A7CDBFD" w14:textId="77777777" w:rsidR="008D479B" w:rsidRDefault="008D479B" w:rsidP="008D479B">
      <w:pPr>
        <w:pStyle w:val="TextoNormal"/>
      </w:pPr>
    </w:p>
    <w:p w14:paraId="26C46496" w14:textId="77777777" w:rsidR="008D479B" w:rsidRDefault="008D479B" w:rsidP="008D479B">
      <w:pPr>
        <w:pStyle w:val="TextoNormal"/>
      </w:pPr>
      <w:r>
        <w:t>Con carácter previo al examen de las cuestiones de fondo planteadas en la demanda de amparo, deben hacerse las siguientes precisiones:</w:t>
      </w:r>
    </w:p>
    <w:p w14:paraId="39DECD92" w14:textId="77777777" w:rsidR="008D479B" w:rsidRDefault="008D479B" w:rsidP="008D479B">
      <w:pPr>
        <w:pStyle w:val="TextoNormal"/>
      </w:pPr>
    </w:p>
    <w:p w14:paraId="64FEADB0" w14:textId="77777777" w:rsidR="008D479B" w:rsidRDefault="008D479B" w:rsidP="008D479B">
      <w:pPr>
        <w:pStyle w:val="TextoNormal"/>
      </w:pPr>
      <w:r>
        <w:t>a) Debe rechazarse la alegación de inadecuación del procedimiento de jurisdicción voluntaria seguido, por los motivos indicados en la STC 148/2023, de 6 de noviembre, FJ 2 b).</w:t>
      </w:r>
    </w:p>
    <w:p w14:paraId="3172183D" w14:textId="77777777" w:rsidR="008D479B" w:rsidRDefault="008D479B" w:rsidP="008D479B">
      <w:pPr>
        <w:pStyle w:val="TextoNormal"/>
      </w:pPr>
    </w:p>
    <w:p w14:paraId="48BED2E5" w14:textId="48E76F05" w:rsidR="008D479B" w:rsidRDefault="008D479B" w:rsidP="008D479B">
      <w:pPr>
        <w:pStyle w:val="TextoNormal"/>
      </w:pPr>
      <w:r>
        <w:t xml:space="preserve">b) Al plantear la recurrente el incidente excepcional de nulidad de actuaciones alegó la vulneración del derecho a la tutela judicial efectiva sin indefensión (art. 24.1 CE) en relación con la incongruencia </w:t>
      </w:r>
      <w:r w:rsidRPr="008D479B">
        <w:rPr>
          <w:i/>
        </w:rPr>
        <w:t>extra petita</w:t>
      </w:r>
      <w:r>
        <w:t>, la falta de motivación, y el derecho a un juez imparcial, y por vulneración del derecho a un procedimiento con todas las garantías legalmente establecidas (art. 24.2 CE) en relación con el principio de inmediación. No invocó ni la vulneración del art. 15 CE ni del art. 18.1 CE, que sí se alegaron en el recurso de amparo, por lo que debe apreciarse la falta de invocación previa respecto de estas dos quejas [art. 44.1 c) LOTC].</w:t>
      </w:r>
    </w:p>
    <w:p w14:paraId="2D8D62B1" w14:textId="77777777" w:rsidR="008D479B" w:rsidRDefault="008D479B" w:rsidP="008D479B">
      <w:pPr>
        <w:pStyle w:val="TextoNormal"/>
      </w:pPr>
    </w:p>
    <w:p w14:paraId="06756F80" w14:textId="77777777" w:rsidR="008D479B" w:rsidRDefault="008D479B" w:rsidP="008D479B">
      <w:pPr>
        <w:pStyle w:val="TextoNormal"/>
      </w:pPr>
      <w:r w:rsidRPr="008D479B">
        <w:rPr>
          <w:rStyle w:val="NumeroAFNegritaCaracter"/>
        </w:rPr>
        <w:t>3</w:t>
      </w:r>
      <w:r>
        <w:t xml:space="preserve">. </w:t>
      </w:r>
      <w:r w:rsidRPr="008D479B">
        <w:rPr>
          <w:i/>
        </w:rPr>
        <w:t>Examen de la eventual vulneración del derecho a la tutela judicial efectiva (art. 24.1 CE) y del derecho a un proceso con todas las garantías (art. 24.2 CE)</w:t>
      </w:r>
    </w:p>
    <w:p w14:paraId="47AD487C" w14:textId="77777777" w:rsidR="008D479B" w:rsidRDefault="008D479B" w:rsidP="008D479B">
      <w:pPr>
        <w:pStyle w:val="TextoNormal"/>
      </w:pPr>
    </w:p>
    <w:p w14:paraId="04D39974" w14:textId="77777777" w:rsidR="008D479B" w:rsidRDefault="008D479B" w:rsidP="008D479B">
      <w:pPr>
        <w:pStyle w:val="TextoNormal"/>
      </w:pPr>
      <w:r>
        <w:t xml:space="preserve">Alega la recurrente la vulneración del art. 24.1 y 2 CE porque la audiencia provincial se excedió en sus facultades valoración de la prueba porque revocó el auto de primera instancia basándose únicamente en la exploración del menor sin que esta constara registrada en soporte CD o DVD, careciendo de inmediación, y por incongruencia </w:t>
      </w:r>
      <w:r w:rsidRPr="008D479B">
        <w:rPr>
          <w:i/>
        </w:rPr>
        <w:t>extra petita</w:t>
      </w:r>
      <w:r>
        <w:t xml:space="preserve"> porque nadie había impugnado en realidad la valoración global de la prueba verificada por el juzgado. Alega también falta de imparcialidad por las expresiones incluidas en el auto de apelación para referirse a la decisión contenida en el auto de primera instancia y a la postura de la madre.</w:t>
      </w:r>
    </w:p>
    <w:p w14:paraId="132BD963" w14:textId="77777777" w:rsidR="008D479B" w:rsidRDefault="008D479B" w:rsidP="008D479B">
      <w:pPr>
        <w:pStyle w:val="TextoNormal"/>
      </w:pPr>
    </w:p>
    <w:p w14:paraId="5F251A90" w14:textId="77777777" w:rsidR="008D479B" w:rsidRDefault="008D479B" w:rsidP="008D479B">
      <w:pPr>
        <w:pStyle w:val="TextoNormal"/>
      </w:pPr>
      <w:r>
        <w:t>No pueden acogerse los planteamientos del recurso de amparo.</w:t>
      </w:r>
    </w:p>
    <w:p w14:paraId="165ACEDF" w14:textId="77777777" w:rsidR="008D479B" w:rsidRDefault="008D479B" w:rsidP="008D479B">
      <w:pPr>
        <w:pStyle w:val="TextoNormal"/>
      </w:pPr>
    </w:p>
    <w:p w14:paraId="68785E5B" w14:textId="77777777" w:rsidR="008D479B" w:rsidRDefault="008D479B" w:rsidP="008D479B">
      <w:pPr>
        <w:pStyle w:val="TextoNormal"/>
      </w:pPr>
      <w:r>
        <w:t>A propósito de la falta de inmediación respecto de la exploración del menor por no haberse registrado esta en soporte CD o DVD, debe tenerse en cuenta que la documentación del resultado de la exploración en un acta en la que se reflejen aquellas manifestaciones del menor imprescindibles por significativas y, por ello, estrictamente relevantes para la decisión del expediente, cuidando de preservar su intimidad, es la forma de proceder que dispone el art. 18.2, apartado 4, párrafo segundo de la Ley de la jurisdicción voluntaria. Como dijimos en la STC 64/2019, de 9 de mayo, FJ 7, tales cautelas legalmente previstas son la medida menos gravosa para la intimidad del menor y, precisamente para preservar su intimidad, concluíamos entonces (FJ 8) que el contenido del acta únicamente deberá detallar aquellas manifestaciones del menor imprescindibles por significativas, y por ello estrictamente relevantes para la decisión del expediente.</w:t>
      </w:r>
    </w:p>
    <w:p w14:paraId="698B32CD" w14:textId="77777777" w:rsidR="008D479B" w:rsidRDefault="008D479B" w:rsidP="008D479B">
      <w:pPr>
        <w:pStyle w:val="TextoNormal"/>
      </w:pPr>
    </w:p>
    <w:p w14:paraId="417D1839" w14:textId="77777777" w:rsidR="008D479B" w:rsidRDefault="008D479B" w:rsidP="008D479B">
      <w:pPr>
        <w:pStyle w:val="TextoNormal"/>
      </w:pPr>
      <w:r>
        <w:t>Teniendo en cuenta, por tanto, la necesidad de preservar la intimidad del menor, la grabación a la que alude la recurrente queda desplazada en la ley por un acta que refleje aquellas manifestaciones del menor estrictamente relevantes para la decisión del expediente. El acta extendida en estos términos resulta suficiente para que la audiencia provincial pueda revisar la decisión de primera instancia y resuelva teniendo en cuenta el resultado de la exploración del menor.</w:t>
      </w:r>
    </w:p>
    <w:p w14:paraId="4F2FFBB1" w14:textId="77777777" w:rsidR="008D479B" w:rsidRDefault="008D479B" w:rsidP="008D479B">
      <w:pPr>
        <w:pStyle w:val="TextoNormal"/>
      </w:pPr>
    </w:p>
    <w:p w14:paraId="63E52FF9" w14:textId="77777777" w:rsidR="008D479B" w:rsidRDefault="008D479B" w:rsidP="008D479B">
      <w:pPr>
        <w:pStyle w:val="TextoNormal"/>
      </w:pPr>
      <w:r>
        <w:t xml:space="preserve">No se ha incurrido, tampoco, en incongruencia </w:t>
      </w:r>
      <w:r w:rsidRPr="008D479B">
        <w:rPr>
          <w:i/>
        </w:rPr>
        <w:t>extra petita</w:t>
      </w:r>
      <w:r>
        <w:t xml:space="preserve">. El deber de congruencia exige que haya adecuación entre lo planteado por las partes y lo resuelto por el órgano judicial, y se extiende tanto a la pretensión como a la </w:t>
      </w:r>
      <w:r w:rsidRPr="008D479B">
        <w:rPr>
          <w:i/>
        </w:rPr>
        <w:t>causa petendi</w:t>
      </w:r>
      <w:r>
        <w:t>. El órgano judicial no puede alterar los términos del debate judicial, y debe ajustarse al objeto del proceso sin omitir la decisión sobre el tema propuesto por la parte, ni pronunciarse sobre cuestión no alegada ni discutida (SSTC 142/1987, de 23 de julio, FJ 3, y 91/1989, de 16 de mayo, FJ 2, entre otras). En este caso, cuando el Ministerio Fiscal presentó su recurso de apelación, combatió la valoración de la prueba realizada por el auto de primera instancia, tanto respecto de los beneficios y riesgos de la vacuna, como de la voluntad manifestada por el menor en la exploración judicial y recogida en un acta que obraba en las actuaciones, y la audiencia provincial resolvió revocando el auto de primera instancia y otorgando la facultad de decidir al padre en atención al interés superior del menor y el resultado de la exploración judicial, donde el menor, de quince años de edad, se había mostrado favorable a la vacunación. No cabe apreciar que la audiencia provincial se haya excedido de los términos del debate judicial o se haya pronunciado sobre una cuestión no alegada o discutida.</w:t>
      </w:r>
    </w:p>
    <w:p w14:paraId="255CF9D0" w14:textId="77777777" w:rsidR="008D479B" w:rsidRDefault="008D479B" w:rsidP="008D479B">
      <w:pPr>
        <w:pStyle w:val="TextoNormal"/>
      </w:pPr>
    </w:p>
    <w:p w14:paraId="6BD0A03C" w14:textId="10C1F7BA" w:rsidR="008D479B" w:rsidRDefault="008D479B" w:rsidP="008D479B">
      <w:pPr>
        <w:pStyle w:val="TextoNormal"/>
      </w:pPr>
      <w:r>
        <w:t>Finalmente, la recurrente alega también falta de imparcialidad del órgano judicial, que vincula con el empleo de expresiones referidas a “postulados negacionistas” en el auto de apelación. Sin embargo, como hemos afirmado reiteradamente, para poder apreciar falta de imparcialidad no basta con que la parte albergue dudas o sospechas. Es necesario que existan dudas objetivamente justificadas, exteriorizadas y apoyadas en datos objetivos que permitan afirmar fundadamente que el juez no es ajeno a la causa o que, por cualquier relación con el caso concreto, no va a utilizar como criterio de juicio el previsto en la ley (entre otras, SSTC 162/1999, de 27 de septiembre, FJ 5; 69/2001, de 17 de marzo, FJ 16, y 140/2004, de 13 de septiembre, FJ 4). En este caso, el mero empleo de la expresión “postulados negacionistas” no es suficiente para apreciar una falta de imparcialidad objetivamente fundada.</w:t>
      </w:r>
    </w:p>
    <w:p w14:paraId="752B00A6" w14:textId="77777777" w:rsidR="008D479B" w:rsidRDefault="008D479B" w:rsidP="008D479B">
      <w:pPr>
        <w:pStyle w:val="TextoNormal"/>
      </w:pPr>
    </w:p>
    <w:p w14:paraId="1805127A" w14:textId="77777777" w:rsidR="008D479B" w:rsidRDefault="008D479B" w:rsidP="008D479B">
      <w:pPr>
        <w:pStyle w:val="TextoNormalCentrado"/>
        <w:keepNext/>
      </w:pPr>
      <w:r>
        <w:t>FALLO</w:t>
      </w:r>
    </w:p>
    <w:p w14:paraId="1CFDF2B9" w14:textId="47C6284E" w:rsidR="008D479B" w:rsidRDefault="008D479B" w:rsidP="008D479B">
      <w:pPr>
        <w:pStyle w:val="TextoNormalCentrado"/>
        <w:keepNext/>
      </w:pPr>
    </w:p>
    <w:p w14:paraId="6ECC69D3" w14:textId="77777777" w:rsidR="008D479B" w:rsidRDefault="008D479B" w:rsidP="008D479B">
      <w:pPr>
        <w:pStyle w:val="TextoNormal"/>
      </w:pPr>
      <w:r>
        <w:t>En atención a todo lo expuesto, el Tribunal Constitucional, por la autoridad que le confiere la Constitución de la Nación española, ha decidido:</w:t>
      </w:r>
    </w:p>
    <w:p w14:paraId="55316477" w14:textId="77777777" w:rsidR="008D479B" w:rsidRDefault="008D479B" w:rsidP="008D479B">
      <w:pPr>
        <w:pStyle w:val="TextoNormal"/>
      </w:pPr>
    </w:p>
    <w:p w14:paraId="355F5F67" w14:textId="77777777" w:rsidR="008D479B" w:rsidRDefault="008D479B" w:rsidP="008D479B">
      <w:pPr>
        <w:pStyle w:val="TextoNormal"/>
      </w:pPr>
      <w:r>
        <w:t>1º Inadmitir la queja relativa a la vulneración del derecho a la integridad física y moral (art. 15 CE) y el derecho a la intimidad personal (art. 18.1 CE) por falta de invocación previa en la vía judicial.</w:t>
      </w:r>
    </w:p>
    <w:p w14:paraId="573268ED" w14:textId="77777777" w:rsidR="008D479B" w:rsidRDefault="008D479B" w:rsidP="008D479B">
      <w:pPr>
        <w:pStyle w:val="TextoNormal"/>
      </w:pPr>
    </w:p>
    <w:p w14:paraId="352E3875" w14:textId="70C96463" w:rsidR="008D479B" w:rsidRDefault="008D479B" w:rsidP="008D479B">
      <w:pPr>
        <w:pStyle w:val="TextoNormal"/>
      </w:pPr>
      <w:r>
        <w:t>2º Desestimar el recurso de amparo en cuanto a la vulneración del derecho a la tutela judicial efectiva (art. 24.1 CE) y a un proceso con todas las garantías (art. 24.2 CE).</w:t>
      </w:r>
    </w:p>
    <w:p w14:paraId="00D9CC37" w14:textId="77777777" w:rsidR="008D479B" w:rsidRDefault="008D479B" w:rsidP="008D479B">
      <w:pPr>
        <w:pStyle w:val="TextoNormal"/>
      </w:pPr>
    </w:p>
    <w:p w14:paraId="129D745D" w14:textId="77777777" w:rsidR="008D479B" w:rsidRDefault="008D479B" w:rsidP="008D479B">
      <w:pPr>
        <w:pStyle w:val="TextoNormal"/>
      </w:pPr>
      <w:r>
        <w:t>Publíquese esta sentencia en el “Boletín Oficial del Estado”.</w:t>
      </w:r>
    </w:p>
    <w:p w14:paraId="51B2B612" w14:textId="77777777" w:rsidR="008D479B" w:rsidRDefault="008D479B" w:rsidP="008D479B">
      <w:pPr>
        <w:pStyle w:val="TextoNormal"/>
      </w:pPr>
      <w:r>
        <w:t>Dada en Madrid, a once de diciembre de dos mil veintitrés.</w:t>
      </w:r>
    </w:p>
    <w:p w14:paraId="15AA9988" w14:textId="7054437D" w:rsidR="008D479B" w:rsidRDefault="008D479B">
      <w:pPr>
        <w:spacing w:after="160" w:line="278" w:lineRule="auto"/>
        <w:rPr>
          <w:rFonts w:ascii="Times New Roman" w:eastAsia="Times New Roman" w:hAnsi="Times New Roman" w:cs="Times New Roman"/>
          <w:sz w:val="24"/>
          <w:szCs w:val="24"/>
          <w:lang w:eastAsia="es-ES"/>
        </w:rPr>
      </w:pPr>
      <w:r>
        <w:br w:type="page"/>
      </w:r>
    </w:p>
    <w:p w14:paraId="76E538E6" w14:textId="77777777" w:rsidR="008D479B" w:rsidRDefault="008D479B" w:rsidP="008D479B">
      <w:pPr>
        <w:pStyle w:val="TtuloResolucin"/>
      </w:pPr>
      <w:bookmarkStart w:id="107" w:name="SENTENCIA_2023_182"/>
      <w:r>
        <w:t>SENTENCIA 182/2023, de 11 de diciembre de 2023</w:t>
      </w:r>
    </w:p>
    <w:bookmarkEnd w:id="107"/>
    <w:p w14:paraId="1BD2725E" w14:textId="77777777" w:rsidR="008D479B" w:rsidRDefault="008D479B" w:rsidP="008D479B">
      <w:pPr>
        <w:pStyle w:val="TtuloResolucin"/>
      </w:pPr>
      <w:r>
        <w:t>Sala Segunda</w:t>
      </w:r>
    </w:p>
    <w:p w14:paraId="6D8438DF" w14:textId="77777777" w:rsidR="008D479B" w:rsidRDefault="008D479B" w:rsidP="008D479B">
      <w:pPr>
        <w:pStyle w:val="TtuloBOE"/>
      </w:pPr>
      <w:r>
        <w:t>(BOE núm. 16, de 18 de enero de 2024)</w:t>
      </w:r>
    </w:p>
    <w:p w14:paraId="23F97529" w14:textId="77777777" w:rsidR="008D479B" w:rsidRDefault="008D479B" w:rsidP="008D479B">
      <w:pPr>
        <w:pStyle w:val="TextoNormalCentrado"/>
      </w:pPr>
      <w:r>
        <w:t>ECLI:ES:TC:2023:182</w:t>
      </w:r>
    </w:p>
    <w:p w14:paraId="6850D791" w14:textId="702058BE" w:rsidR="008D479B" w:rsidRDefault="008D479B" w:rsidP="008D479B">
      <w:pPr>
        <w:pStyle w:val="TextoNormalCentrado"/>
      </w:pPr>
    </w:p>
    <w:p w14:paraId="5894A88B" w14:textId="77777777" w:rsidR="008D479B" w:rsidRDefault="008D479B" w:rsidP="008D479B">
      <w:pPr>
        <w:pStyle w:val="SntesisDescriptiva"/>
      </w:pPr>
      <w:r>
        <w:t>Recurso de amparo 5688-2022. Promovido por doña M.T.V., respecto de los autos dictados por la Audiencia Provincial de Valladolid y un juzgado de primera instancia de esa capital que acordaron la administración de la vacuna frente a la covid-19.</w:t>
      </w:r>
    </w:p>
    <w:p w14:paraId="628F2CB6" w14:textId="29B324B9" w:rsidR="008D479B" w:rsidRDefault="008D479B" w:rsidP="008D479B">
      <w:pPr>
        <w:pStyle w:val="SntesisDescriptiva"/>
      </w:pPr>
    </w:p>
    <w:p w14:paraId="4FE2F612" w14:textId="77777777" w:rsidR="008D479B" w:rsidRDefault="008D479B" w:rsidP="008D479B">
      <w:pPr>
        <w:pStyle w:val="SntesisAnaltica"/>
      </w:pPr>
      <w:r>
        <w:t>Supuesta vulneración del derecho a la integridad física: STC 148/2023 [resoluciones judiciales que realizaron una ponderación adecuada de los intereses de una persona menor de edad (STC 38/2023)].</w:t>
      </w:r>
    </w:p>
    <w:p w14:paraId="22C00EC7" w14:textId="3D03A523" w:rsidR="008D479B" w:rsidRDefault="008D479B" w:rsidP="008D479B">
      <w:pPr>
        <w:pStyle w:val="SntesisAnaltica"/>
      </w:pPr>
    </w:p>
    <w:p w14:paraId="4F216D59" w14:textId="7AE6D234" w:rsidR="008D479B" w:rsidRDefault="008D479B" w:rsidP="008D479B">
      <w:pPr>
        <w:pStyle w:val="Extracto"/>
      </w:pPr>
      <w:r>
        <w:t>1.</w:t>
      </w:r>
      <w:r>
        <w:tab/>
        <w:t>La capacidad general de autodeterminación de las personas menores de edad, en relación con las actuaciones médicas que les afectan, encuentra su límite en la protección de su interés superior, que se impone como obligación a los progenitores, en cuanto titulares de la patria potestad o autoridad familiar, y a todos los poderes públicos, incluida la autoridad judicial (STC 148/2023) [FJ 3].</w:t>
      </w:r>
    </w:p>
    <w:p w14:paraId="2F0AB478" w14:textId="77777777" w:rsidR="008D479B" w:rsidRDefault="008D479B" w:rsidP="008D479B">
      <w:pPr>
        <w:pStyle w:val="Extracto"/>
      </w:pPr>
    </w:p>
    <w:p w14:paraId="14ED0E00" w14:textId="77E5F549" w:rsidR="008D479B" w:rsidRDefault="008D479B" w:rsidP="008D479B">
      <w:pPr>
        <w:pStyle w:val="Extracto"/>
      </w:pPr>
      <w:r>
        <w:t>2.</w:t>
      </w:r>
      <w:r>
        <w:tab/>
        <w:t>La decisión de los representantes legales relativa al otorgamiento o no del consentimiento informado por representación deberá atender a la protección del derecho a la vida, supervivencia y desarrollo del menor y la satisfacción de sus necesidades básicas, tanto materiales, físicas y educativas como emocionales y afectivas [art. 2.2, letra a) de la Ley Orgánica 1/1996]; y es preciso buscar el mayor beneficio para la vida o salud del paciente menor de edad, teniendo en cuenta las circunstancias concurrentes y sus necesidades, que deben ser atendidas (STC 148/2023) [FJ 3].</w:t>
      </w:r>
    </w:p>
    <w:p w14:paraId="4E5C6BA5" w14:textId="77777777" w:rsidR="008D479B" w:rsidRDefault="008D479B" w:rsidP="008D479B">
      <w:pPr>
        <w:pStyle w:val="Extracto"/>
      </w:pPr>
    </w:p>
    <w:p w14:paraId="76D54EBD" w14:textId="77777777" w:rsidR="008D479B" w:rsidRDefault="008D479B" w:rsidP="008D479B">
      <w:pPr>
        <w:pStyle w:val="Extracto"/>
      </w:pPr>
    </w:p>
    <w:p w14:paraId="0A348289" w14:textId="77777777" w:rsidR="008D479B" w:rsidRDefault="008D479B" w:rsidP="008D479B">
      <w:pPr>
        <w:pStyle w:val="TextoNormal"/>
      </w:pPr>
      <w: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14:paraId="5CF43260" w14:textId="43C8D231" w:rsidR="008D479B" w:rsidRDefault="008D479B" w:rsidP="008D479B">
      <w:pPr>
        <w:pStyle w:val="TextoNormal"/>
      </w:pPr>
    </w:p>
    <w:p w14:paraId="3CACC46D" w14:textId="77777777" w:rsidR="008D479B" w:rsidRDefault="008D479B" w:rsidP="008D479B">
      <w:pPr>
        <w:pStyle w:val="TextoNormalCentrado"/>
        <w:keepNext/>
      </w:pPr>
      <w:r>
        <w:t>EN NOMBRE DEL REY</w:t>
      </w:r>
    </w:p>
    <w:p w14:paraId="1E399291" w14:textId="21B876A8" w:rsidR="008D479B" w:rsidRDefault="008D479B" w:rsidP="008D479B">
      <w:pPr>
        <w:pStyle w:val="TextoNormalCentrado"/>
        <w:keepNext/>
      </w:pPr>
    </w:p>
    <w:p w14:paraId="438F981A" w14:textId="77777777" w:rsidR="008D479B" w:rsidRDefault="008D479B" w:rsidP="008D479B">
      <w:pPr>
        <w:pStyle w:val="TextoNormalCentrado"/>
        <w:keepNext/>
      </w:pPr>
    </w:p>
    <w:p w14:paraId="4BCF76E7" w14:textId="77777777" w:rsidR="008D479B" w:rsidRDefault="008D479B" w:rsidP="008D479B">
      <w:pPr>
        <w:pStyle w:val="TextoNormal"/>
      </w:pPr>
      <w:r>
        <w:t>la siguiente</w:t>
      </w:r>
    </w:p>
    <w:p w14:paraId="133759E4" w14:textId="4D803DCB" w:rsidR="008D479B" w:rsidRDefault="008D479B" w:rsidP="008D479B">
      <w:pPr>
        <w:pStyle w:val="TextoNormal"/>
      </w:pPr>
    </w:p>
    <w:p w14:paraId="74C441D1" w14:textId="77777777" w:rsidR="008D479B" w:rsidRDefault="008D479B" w:rsidP="008D479B">
      <w:pPr>
        <w:pStyle w:val="TextoNormalCentrado"/>
        <w:keepNext/>
      </w:pPr>
      <w:r>
        <w:t>SENTENCIA</w:t>
      </w:r>
    </w:p>
    <w:p w14:paraId="2620ED5C" w14:textId="583E9AC4" w:rsidR="008D479B" w:rsidRDefault="008D479B" w:rsidP="008D479B">
      <w:pPr>
        <w:pStyle w:val="TextoNormalCentrado"/>
        <w:keepNext/>
      </w:pPr>
    </w:p>
    <w:p w14:paraId="6567A888" w14:textId="77777777" w:rsidR="008D479B" w:rsidRDefault="008D479B" w:rsidP="008D479B">
      <w:pPr>
        <w:pStyle w:val="TextoNormal"/>
      </w:pPr>
      <w:r>
        <w:t>En el recurso de amparo núm. 5688-2022, interpuesto por la procuradora de los tribunales doña María Cristina Sosa González, en nombre y representación de doña M.T.V., bajo la dirección técnica de la letrada doña Cristina Rosa Armas Suárez, contra el auto de 23 de marzo de 2022 dictado por el Juzgado de Primera Instancia núm. 3 de Valladolid en el procedimiento de jurisdicción voluntaria núm. 15-2022 y contra el auto de 24 de junio de 2022 de la Sección Primera de la Audiencia Provincial de Valladolid, en el rollo de apelación núm. 316-2022. Ha intervenido el Ministerio Fiscal. Ha sido ponente la magistrada doña María Luisa Balaguer Callejón.</w:t>
      </w:r>
    </w:p>
    <w:p w14:paraId="78D97C49" w14:textId="78FEE36C" w:rsidR="008D479B" w:rsidRDefault="008D479B" w:rsidP="008D479B">
      <w:pPr>
        <w:pStyle w:val="TextoNormal"/>
      </w:pPr>
    </w:p>
    <w:p w14:paraId="54150E94" w14:textId="77777777" w:rsidR="008D479B" w:rsidRDefault="008D479B" w:rsidP="008D479B">
      <w:pPr>
        <w:pStyle w:val="TextoNormalNegritaCentrado"/>
        <w:keepNext/>
      </w:pPr>
      <w:r>
        <w:t>I. Antecedentes</w:t>
      </w:r>
    </w:p>
    <w:p w14:paraId="68D014CF" w14:textId="11BB28B3" w:rsidR="008D479B" w:rsidRDefault="008D479B" w:rsidP="008D479B">
      <w:pPr>
        <w:pStyle w:val="TextoNormalNegritaCentrado"/>
        <w:keepNext/>
      </w:pPr>
    </w:p>
    <w:p w14:paraId="5D16E708" w14:textId="61917E04" w:rsidR="008D479B" w:rsidRDefault="008D479B" w:rsidP="008D479B">
      <w:pPr>
        <w:pStyle w:val="TextoNormal"/>
      </w:pPr>
      <w:r w:rsidRPr="008D479B">
        <w:rPr>
          <w:rStyle w:val="NumeroAFNegritaCaracter"/>
        </w:rPr>
        <w:t>1</w:t>
      </w:r>
      <w:r>
        <w:t>. Doña M.T.V., representada por la procuradora de los tribunales doña María Cristina Sosa González, ha interpuesto recurso de amparo contra las resoluciones reseñadas en el encabezamiento de la presente resolución mediante escrito presentado en el registro de este tribunal el día 9 de agosto de 2022.</w:t>
      </w:r>
    </w:p>
    <w:p w14:paraId="5BEB3375" w14:textId="77777777" w:rsidR="008D479B" w:rsidRDefault="008D479B" w:rsidP="008D479B">
      <w:pPr>
        <w:pStyle w:val="TextoNormal"/>
      </w:pPr>
    </w:p>
    <w:p w14:paraId="04B725A1" w14:textId="77777777" w:rsidR="008D479B" w:rsidRDefault="008D479B" w:rsidP="008D479B">
      <w:pPr>
        <w:pStyle w:val="TextoNormal"/>
      </w:pPr>
      <w:r w:rsidRPr="008D479B">
        <w:rPr>
          <w:rStyle w:val="NumeroAFNegritaCaracter"/>
        </w:rPr>
        <w:t>2</w:t>
      </w:r>
      <w:r>
        <w:t>. Los hechos de los que trae causa la demanda de amparo son, en síntesis, los siguientes:</w:t>
      </w:r>
    </w:p>
    <w:p w14:paraId="7114BB17" w14:textId="77777777" w:rsidR="008D479B" w:rsidRDefault="008D479B" w:rsidP="008D479B">
      <w:pPr>
        <w:pStyle w:val="TextoNormal"/>
      </w:pPr>
    </w:p>
    <w:p w14:paraId="431B9AE9" w14:textId="77777777" w:rsidR="008D479B" w:rsidRDefault="008D479B" w:rsidP="008D479B">
      <w:pPr>
        <w:pStyle w:val="TextoNormal"/>
      </w:pPr>
      <w:r>
        <w:t>a) Don J.M.S.A., solicitó la intervención judicial por desacuerdo de los progenitores en el ejercicio de la patria potestad al amparo del art. 86.1 de la Ley 15/2015, de 2 de julio, de la jurisdicción voluntaria  y del art. 156 párrafo tercero del Código civil, ante la negativa de la madre, doña M.T.V., para la inoculación de la vacuna contra la covid-19 a los hijos comunes de los litigantes, ambos de 11 años. Consideraba que debe primar la salud de los menores frente al criterio de cualquiera de los progenitores.</w:t>
      </w:r>
    </w:p>
    <w:p w14:paraId="0BCFA621" w14:textId="77777777" w:rsidR="008D479B" w:rsidRDefault="008D479B" w:rsidP="008D479B">
      <w:pPr>
        <w:pStyle w:val="TextoNormal"/>
      </w:pPr>
    </w:p>
    <w:p w14:paraId="50F7DACE" w14:textId="77777777" w:rsidR="008D479B" w:rsidRDefault="008D479B" w:rsidP="008D479B">
      <w:pPr>
        <w:pStyle w:val="TextoNormal"/>
      </w:pPr>
      <w:r>
        <w:t>b) Mediante decreto de 13 de enero de 2022 se acordó admitir a trámite la demanda y se citó a las partes a una comparecencia el día 28 de febrero de 2022.</w:t>
      </w:r>
    </w:p>
    <w:p w14:paraId="2A86104D" w14:textId="77777777" w:rsidR="008D479B" w:rsidRDefault="008D479B" w:rsidP="008D479B">
      <w:pPr>
        <w:pStyle w:val="TextoNormal"/>
      </w:pPr>
    </w:p>
    <w:p w14:paraId="7C49C413" w14:textId="77777777" w:rsidR="008D479B" w:rsidRDefault="008D479B" w:rsidP="008D479B">
      <w:pPr>
        <w:pStyle w:val="TextoNormal"/>
      </w:pPr>
      <w:r>
        <w:t>c) Doña M.T.V., presentó escrito oponiéndose a lo solicitado por el demandante. Alega la ausencia de evidencia médica-científica que justifique la inoculación de los medicamentos de terapia génica para la covid-19 en menores de edad, atendiendo a la gravedad de la enfermedad en menores, donde la tasa de mortalidad y de hospitalización es muy baja, y a los efectos adversos que puede llevar aparejada la vacuna, que pueden ser muy superiores a la ausencia de vacunación. A ello añade que el medicamento se encuentra en fase experimental. Y considera que se produciría una vulneración del derecho a la integridad física y moral (art. 15 CE) por la falta de consentimiento informado por escrito en los términos de la Ley 41/2002, básica de autonomía del paciente.</w:t>
      </w:r>
    </w:p>
    <w:p w14:paraId="10F27EA2" w14:textId="77777777" w:rsidR="008D479B" w:rsidRDefault="008D479B" w:rsidP="008D479B">
      <w:pPr>
        <w:pStyle w:val="TextoNormal"/>
      </w:pPr>
    </w:p>
    <w:p w14:paraId="7B1C3D23" w14:textId="77777777" w:rsidR="008D479B" w:rsidRDefault="008D479B" w:rsidP="008D479B">
      <w:pPr>
        <w:pStyle w:val="TextoNormal"/>
      </w:pPr>
      <w:r>
        <w:t>d) El Juzgado de Primera Instancia núm. 3 de Valladolid dictó auto el 23 de marzo de 2022 acordando atribuir a don J.M.S.A., la facultad de decidir sobre la administración de la vacuna contra la covid-19 a sus hijos menores de edad. Indica que no corresponde al juzgador decidir sobre la administración de la vacuna supliendo la voluntad de los padres, sino decantar la balanza en favor de la decisión más favorable para el menor dentro de las escogidas por los padres. De la prueba practicada, destaca el informe del médico forense, que considera que lo más conveniente para los menores es que sean vacunados, como recomiendan las autoridades sanitarias y científicas, teniendo en cuenta el balance riesgo/beneficio. Tras referirse a la prueba documental aportada por la madre, señala la evidencia de la pandemia y que la vacuna reduce los riesgos de la enfermedad, añadiendo que el riesgo de miocarditis postvacunal es mínimo y, en todo caso, asociado a la infección natural por SARS-CoV-2, como avalan las autoridades sanitarias. La vacuna, además, ha sido aprobada por la Agencia Estatal de Medicamentos y por la Agencia Española del Medicamento y Productos sanitarios, lo que supone que tiene garantías de calidad, seguridad y eficacia. Indica finalmente que la alegación sobre vulneración del art. 15 CE por falta de consentimiento informado no guarda relación con el objeto del procedimiento, que se limita a atribuir la facultad de decidir a uno de los progenitores.</w:t>
      </w:r>
    </w:p>
    <w:p w14:paraId="2C92649A" w14:textId="77777777" w:rsidR="008D479B" w:rsidRDefault="008D479B" w:rsidP="008D479B">
      <w:pPr>
        <w:pStyle w:val="TextoNormal"/>
      </w:pPr>
    </w:p>
    <w:p w14:paraId="621573A2" w14:textId="77777777" w:rsidR="008D479B" w:rsidRDefault="008D479B" w:rsidP="008D479B">
      <w:pPr>
        <w:pStyle w:val="TextoNormal"/>
      </w:pPr>
      <w:r>
        <w:t>e) Doña M.T.V., presentó recurso de apelación frente al auto de 23 de marzo de 2022. Alega la vulneración de los arts. 216, 217 y 218 de la Ley de enjuiciamiento civil en relación con el art. 24 CE por vulneración del principio de justicia rogada, falta de valoración de la prueba aportada por el recurrente y falta de motivación del auto recurrido, siendo la motivación del auto meramente aparente por déficit valorativo, al considerar que no se han tenido en cuenta las pruebas aportadas por esta parte. Y, considera, además, que se había vulnerado el art. 15 CE por falta de consentimiento informado en relación con la Ley 41/2002, básica de autonomía del paciente, pese a que deberían extremarse las precauciones por tratarse de un medicamento en fase experimental, y en contra también del Convenio de Oviedo.</w:t>
      </w:r>
    </w:p>
    <w:p w14:paraId="24EACBE2" w14:textId="77777777" w:rsidR="008D479B" w:rsidRDefault="008D479B" w:rsidP="008D479B">
      <w:pPr>
        <w:pStyle w:val="TextoNormal"/>
      </w:pPr>
    </w:p>
    <w:p w14:paraId="26BEC603" w14:textId="77777777" w:rsidR="008D479B" w:rsidRDefault="008D479B" w:rsidP="008D479B">
      <w:pPr>
        <w:pStyle w:val="TextoNormal"/>
      </w:pPr>
      <w:r>
        <w:t>f) El fiscal presentó escrito interesando la desestimación del recurso y la confirmación del auto recurrido porque en este se analiza la prueba practicada y es un auto motivado, con independencia de que la parte recurrente no comparta esta motivación. Y considera que el balance riesgo/beneficio es claramente favorable a la vacunación.</w:t>
      </w:r>
    </w:p>
    <w:p w14:paraId="662D9D8D" w14:textId="77777777" w:rsidR="008D479B" w:rsidRDefault="008D479B" w:rsidP="008D479B">
      <w:pPr>
        <w:pStyle w:val="TextoNormal"/>
      </w:pPr>
    </w:p>
    <w:p w14:paraId="487E1B15" w14:textId="77777777" w:rsidR="008D479B" w:rsidRDefault="008D479B" w:rsidP="008D479B">
      <w:pPr>
        <w:pStyle w:val="TextoNormal"/>
      </w:pPr>
      <w:r>
        <w:t>g) Don J.M.S.A., presentó escrito oponiéndose al recurso de apelación en el que cuestiona el valor probatorio de la documental aportada por la parte apelante, entendiendo que no procede una nueva valoración de la prueba, y considera que el auto de primera instancia debe confirmarse debido a la ponderación de riesgos y beneficios de la vacuna. Respecto de la vulneración del art. 15 CE, considera que debe mantenerse el criterio del auto recurrido.</w:t>
      </w:r>
    </w:p>
    <w:p w14:paraId="7B47516A" w14:textId="77777777" w:rsidR="008D479B" w:rsidRDefault="008D479B" w:rsidP="008D479B">
      <w:pPr>
        <w:pStyle w:val="TextoNormal"/>
      </w:pPr>
    </w:p>
    <w:p w14:paraId="3AF2975F" w14:textId="4D0194F3" w:rsidR="008D479B" w:rsidRDefault="008D479B" w:rsidP="008D479B">
      <w:pPr>
        <w:pStyle w:val="TextoNormal"/>
      </w:pPr>
      <w:r>
        <w:t>h) La Sección Primera de la Audiencia Provincial de Valladolid dictó auto el 24 de junio de 2022 por el que desestimó el recurso. Basa su decisión en que la recurrente no ha aportado ningún informe especializado del que pueda inferirse que en el supuesto concreto concurra algún hecho especial vinculado al estado de salud del menor del que se pudiera derivar un riesgo mayor del que comúnmente existe en la vacunación. El informe médico forense recomienda la vacunación, y lo compara con los documentos aportados por el recurrente, que no son informes oficiales avalados por las autoridades sanitarias, concluyendo, en consonancia con los criterios del Ministerio de Sanidad y la Asociación Española de Pediatría, que la vacuna en menores de edad es beneficiosa y ha sido autorizada por la Agencia Europea del Medicamento, por la Agencia Estatal de Medicamentos y por la Agencia Española del Medicamento y Productos Sanitarios.</w:t>
      </w:r>
    </w:p>
    <w:p w14:paraId="5FDBBAF0" w14:textId="77777777" w:rsidR="008D479B" w:rsidRDefault="008D479B" w:rsidP="008D479B">
      <w:pPr>
        <w:pStyle w:val="TextoNormal"/>
      </w:pPr>
    </w:p>
    <w:p w14:paraId="3326D634" w14:textId="77777777" w:rsidR="008D479B" w:rsidRDefault="008D479B" w:rsidP="008D479B">
      <w:pPr>
        <w:pStyle w:val="TextoNormal"/>
      </w:pPr>
      <w:r w:rsidRPr="008D479B">
        <w:rPr>
          <w:rStyle w:val="NumeroAFNegritaCaracter"/>
        </w:rPr>
        <w:t>3</w:t>
      </w:r>
      <w:r>
        <w:t>. La recurrente considera que se ha vulnerado el derecho fundamental a la integridad física y moral (art. 15 CE) por falta del consentimiento informado regulado en la Ley 41/2002, básica de autonomía del paciente, también reconocido en la Carta de los derechos fundamentales de la Unión Europea y en el Convenio de Oviedo y que puede entenderse comprendido en el art. 8 del Convenio europeo de derechos humanos. Solicita en el suplico que se le conceda el amparo solicitado, se declare la nulidad de las resoluciones judiciales antes reseñadas y se declare que no ha lugar al procedimiento de jurisdicción voluntaria para la inoculación de un fármaco en fase de ensayo clínico a los hijos sin la concurrencia del debido consentimiento informado por escrito a los progenitores y a los menores, cuando ni siquiera se ha justificado la necesidad del tratamiento médico invasivo, la vida de los menores no corre peligro alguno y la evidencia científica ha demostrado que el riesgo es mayor que el supuesto beneficio o, subsidiariamente, se declare que es necesario el consentimiento de ambos progenitores mientras los hijos sean menores de edad.</w:t>
      </w:r>
    </w:p>
    <w:p w14:paraId="7F462B14" w14:textId="77777777" w:rsidR="008D479B" w:rsidRDefault="008D479B" w:rsidP="008D479B">
      <w:pPr>
        <w:pStyle w:val="TextoNormal"/>
      </w:pPr>
    </w:p>
    <w:p w14:paraId="5210BE6D" w14:textId="217F6941" w:rsidR="008D479B" w:rsidRDefault="008D479B" w:rsidP="008D479B">
      <w:pPr>
        <w:pStyle w:val="TextoNormal"/>
      </w:pPr>
      <w:r>
        <w:t>Por medio de otrosí solicita la suspensión de la ejecución del auto de 23 de marzo de 2022 al amparo del art. 56.2 de la Ley Orgánica del Tribunal Constitucional (LOTC).</w:t>
      </w:r>
    </w:p>
    <w:p w14:paraId="0465CDDF" w14:textId="77777777" w:rsidR="008D479B" w:rsidRDefault="008D479B" w:rsidP="008D479B">
      <w:pPr>
        <w:pStyle w:val="TextoNormal"/>
      </w:pPr>
    </w:p>
    <w:p w14:paraId="480D1BFF" w14:textId="77777777" w:rsidR="008D479B" w:rsidRDefault="008D479B" w:rsidP="008D479B">
      <w:pPr>
        <w:pStyle w:val="TextoNormal"/>
      </w:pPr>
      <w:r w:rsidRPr="008D479B">
        <w:rPr>
          <w:rStyle w:val="NumeroAFNegritaCaracter"/>
        </w:rPr>
        <w:t>4</w:t>
      </w:r>
      <w:r>
        <w:t>. Mediante providencia de 14 de noviembre de 2022, la Sección Primera del Tribunal Constitucional acordó admitir a trámite el recurso de amparo apreciando que concurre en el mismo una especial trascendencia constitucional (art. 50.1 LOTC) porque el recurso plantea un problema o afecta a una faceta de un derecho fundamental sobre el que no hay doctrina de este tribunal [STC 155/2009, de 25 de junio, FJ 2 a)] y, asimismo, porque el asunto suscitado trasciende del caso concreto porque plantea una cuestión jurídica de relevante y general repercusión social o económica [STC 155/2009, FJ 2 g)].</w:t>
      </w:r>
    </w:p>
    <w:p w14:paraId="7789C2DE" w14:textId="77777777" w:rsidR="008D479B" w:rsidRDefault="008D479B" w:rsidP="008D479B">
      <w:pPr>
        <w:pStyle w:val="TextoNormal"/>
      </w:pPr>
    </w:p>
    <w:p w14:paraId="40D1536C" w14:textId="7DD985CF" w:rsidR="008D479B" w:rsidRDefault="008D479B" w:rsidP="008D479B">
      <w:pPr>
        <w:pStyle w:val="TextoNormal"/>
      </w:pPr>
      <w:r>
        <w:t>En la misma providencia se acordó, en aplicación de lo dispuesto en el art. 51 LOTC, dirigir atenta comunicación a la Sección Primera de la Audiencia Provincial de Valladolid a fin de que, en plazo no superior a diez días, remitiera certificación o fotocopia adverada de las actuaciones correspondientes al recurso de apelación núm. 316-2022, e, igualmente, al Juzgado de Primera Instancia núm. 3 de Valladolid a fin de que, en plazo que no excediera de diez días, remitiera certificación o fotocopia adverada de las actuaciones correspondientes al procedimiento de jurisdicción voluntaria núm. 15-2022, debiendo emplazar previamente a quienes hubieran sido parte en el procedimiento, excepto la parte recurrente en amparo, para que en el plazo de diez días pudieran comparecer, si lo desearan, en el recurso de amparo.</w:t>
      </w:r>
    </w:p>
    <w:p w14:paraId="77A2A229" w14:textId="77777777" w:rsidR="008D479B" w:rsidRDefault="008D479B" w:rsidP="008D479B">
      <w:pPr>
        <w:pStyle w:val="TextoNormal"/>
      </w:pPr>
    </w:p>
    <w:p w14:paraId="50FFCE68" w14:textId="1FA1BDDB" w:rsidR="008D479B" w:rsidRDefault="008D479B" w:rsidP="008D479B">
      <w:pPr>
        <w:pStyle w:val="TextoNormal"/>
      </w:pPr>
      <w:r w:rsidRPr="008D479B">
        <w:rPr>
          <w:rStyle w:val="NumeroAFNegritaCaracter"/>
        </w:rPr>
        <w:t>5</w:t>
      </w:r>
      <w:r>
        <w:t>. En la providencia de 14 de noviembre de 2022 se acordó, asimismo, a solicitud de la parte actora, la formación de pieza separada de suspensión, iniciándose se tramitación conforme al art. 56 LOTC.</w:t>
      </w:r>
    </w:p>
    <w:p w14:paraId="7C56FFF3" w14:textId="77777777" w:rsidR="008D479B" w:rsidRDefault="008D479B" w:rsidP="008D479B">
      <w:pPr>
        <w:pStyle w:val="TextoNormal"/>
      </w:pPr>
    </w:p>
    <w:p w14:paraId="7F8B5EC8" w14:textId="3505A703" w:rsidR="008D479B" w:rsidRDefault="008D479B" w:rsidP="008D479B">
      <w:pPr>
        <w:pStyle w:val="TextoNormal"/>
      </w:pPr>
      <w:r w:rsidRPr="008D479B">
        <w:rPr>
          <w:rStyle w:val="NumeroAFNegritaCaracter"/>
        </w:rPr>
        <w:t>6</w:t>
      </w:r>
      <w:r>
        <w:t>. Mediante diligencia de ordenación del secretario de la Sala Primera del Tribunal Constitucional de 2 de enero de 2023, se tuvieron por recibidos los testimonios de las actuaciones remitidos por la Sección Primera de la Audiencia Provincial de Valladolid así como por el Juzgado de Primera Instancia núm. 3 de Valladolid, y, a tenor de lo dispuesto en el art. 52 LOTC, se acordó dar vista de todas las actuaciones del recurso de amparo, en la Secretaría de esta Sala, por un plazo común de veinte días, al Ministerio Fiscal y a las partes personadas, para que dentro de dicho término pudieran presentar las alegaciones que a su derecho convenga.</w:t>
      </w:r>
    </w:p>
    <w:p w14:paraId="2EBA387C" w14:textId="77777777" w:rsidR="008D479B" w:rsidRDefault="008D479B" w:rsidP="008D479B">
      <w:pPr>
        <w:pStyle w:val="TextoNormal"/>
      </w:pPr>
    </w:p>
    <w:p w14:paraId="50F9CBD2" w14:textId="7899E383" w:rsidR="008D479B" w:rsidRDefault="008D479B" w:rsidP="008D479B">
      <w:pPr>
        <w:pStyle w:val="TextoNormal"/>
      </w:pPr>
      <w:r w:rsidRPr="008D479B">
        <w:rPr>
          <w:rStyle w:val="NumeroAFNegritaCaracter"/>
        </w:rPr>
        <w:t>7</w:t>
      </w:r>
      <w:r>
        <w:t>. Mediante diligencia de ordenación del secretario de la Sala Segunda del Tribunal Constitucional de 20 de enero de 2023 y, en virtud de lo acordado por el Pleno del Tribunal Constitucional del día 17 de enero de 2023, publicado en el “Boletín Oficial del Estado” de 19 de enero, el recurso de amparo fue turnado a la Sala Segunda del Tribunal Constitucional, poniendo este hecho en conocimiento de las partes y del Ministerio Fiscal a los efectos oportunos.</w:t>
      </w:r>
    </w:p>
    <w:p w14:paraId="4B0711C0" w14:textId="77777777" w:rsidR="008D479B" w:rsidRDefault="008D479B" w:rsidP="008D479B">
      <w:pPr>
        <w:pStyle w:val="TextoNormal"/>
      </w:pPr>
    </w:p>
    <w:p w14:paraId="71E2BD4C" w14:textId="6585E6D8" w:rsidR="008D479B" w:rsidRDefault="008D479B" w:rsidP="008D479B">
      <w:pPr>
        <w:pStyle w:val="TextoNormal"/>
      </w:pPr>
      <w:r w:rsidRPr="008D479B">
        <w:rPr>
          <w:rStyle w:val="NumeroAFNegritaCaracter"/>
        </w:rPr>
        <w:t>8</w:t>
      </w:r>
      <w:r>
        <w:t>. Mediante escrito presentado en el registro de este tribunal el 30 de enero de 2023, doña M.T.V., reiteró las alegaciones contenidas en la demanda de amparo, añadiendo que el levantamiento de las restricciones de la pandemia refleja que no existe motivo alguno desde el punto de vista epidemiológico que justifique la vacunación y alegando un incremento de la mortalidad como consecuencia de la vacunación.</w:t>
      </w:r>
    </w:p>
    <w:p w14:paraId="1A9AD7F7" w14:textId="77777777" w:rsidR="008D479B" w:rsidRDefault="008D479B" w:rsidP="008D479B">
      <w:pPr>
        <w:pStyle w:val="TextoNormal"/>
      </w:pPr>
    </w:p>
    <w:p w14:paraId="485971AD" w14:textId="06781144" w:rsidR="008D479B" w:rsidRDefault="008D479B" w:rsidP="008D479B">
      <w:pPr>
        <w:pStyle w:val="TextoNormal"/>
      </w:pPr>
      <w:r w:rsidRPr="008D479B">
        <w:rPr>
          <w:rStyle w:val="NumeroAFNegritaCaracter"/>
        </w:rPr>
        <w:t>9</w:t>
      </w:r>
      <w:r>
        <w:t xml:space="preserve">. Por escrito registrado ante el Tribunal Constitucional el 30 de marzo de 2023, la fiscal ante el Tribunal Constitucional interesó la desestimación íntegra del recurso de amparo interpuesto por doña M.T.V. Aprecia la legitimación activa de la recurrente en cuanto madre de los titulares del derecho fundamental concernido y titular de la patria potestad compartida sobre ellos, y en cuanto parte en el procedimiento del que trae causa el presente recurso de amparo. Señala que en la demanda de amparo se alega para justificar la especial trascendencia constitucional que se está haciendo un uso fraudulento del procedimiento de jurisdicción voluntaria porque el padre debió acreditar el consentimiento informado por escrito a él y los menores, pero señala la fiscal que la acción que ha ejercitado el padre ante una discrepancia en el ejercicio de la patria potestad se dirige a que se le conceda la facultad de decidir sobre la materia discrepante, la administración de la vacuna. Respecto del suplico de la demanda de amparo, no queda claro si está planteando una inadecuación de procedimiento seguido en la instancia, en cuyo caso se estaría denunciado una vulneración del art. 24.2 CE, pero siendo la primera vez que se refiere esta queja, advierte la fiscal que no cabe plantearla </w:t>
      </w:r>
      <w:r w:rsidRPr="008D479B">
        <w:rPr>
          <w:i/>
        </w:rPr>
        <w:t>per saltum</w:t>
      </w:r>
      <w:r>
        <w:t xml:space="preserve"> sin haber sido alegada con anterioridad. La argumentación del recurso de amparo, por otra parte, solo gira en torno al art. 15 CE, sin referencia al derecho a la tutela judicial efectiva en su vertiente de falta de motivación por ausencia de valoración de la prueba aportada, a diferencia de lo que alegó en el recurso de apelación. Y, en el recurso planteado, se basa la vulneración del art. 15 CE en la falta de consentimiento informado y de prescripción médica, pero esta cuestión no tiene conexión con el objeto del procedimiento de jurisdicción voluntaria, que se concreta en resolver un caso de desacuerdo en el ejercicio de la patria potestad (art. 156 CC) para el que se ha seguido el cauce legal previsto en la Ley de la jurisdicción voluntaria. Una vez otorgada por resolución judicial la facultad de decidir a uno de los progenitores, será en un momento posterior, en el acto de la actuación médica, cuando el profesional suministrará la información precisa. La información al menor solo procede cuando se acredita la capacidad intelectual y emocional adecuada, en cuyo caso es titular de un consentimiento autónomo que excluye el del progenitor [art. 9.3 c) de la Ley 41/2002].</w:t>
      </w:r>
    </w:p>
    <w:p w14:paraId="15C91C2A" w14:textId="77777777" w:rsidR="008D479B" w:rsidRDefault="008D479B" w:rsidP="008D479B">
      <w:pPr>
        <w:pStyle w:val="TextoNormal"/>
      </w:pPr>
    </w:p>
    <w:p w14:paraId="119DC66B" w14:textId="711EC79B" w:rsidR="008D479B" w:rsidRDefault="008D479B" w:rsidP="008D479B">
      <w:pPr>
        <w:pStyle w:val="TextoNormal"/>
      </w:pPr>
      <w:r w:rsidRPr="008D479B">
        <w:rPr>
          <w:rStyle w:val="NumeroAFNegritaCaracter"/>
        </w:rPr>
        <w:t>10</w:t>
      </w:r>
      <w:r>
        <w:t>. Por providencia de 7 de diciembre de 2023, se señaló para deliberación y votación de la presente sentencia el día 11 del mismo mes y año.</w:t>
      </w:r>
    </w:p>
    <w:p w14:paraId="406F4C2D" w14:textId="77777777" w:rsidR="008D479B" w:rsidRDefault="008D479B" w:rsidP="008D479B">
      <w:pPr>
        <w:pStyle w:val="TextoNormal"/>
      </w:pPr>
    </w:p>
    <w:p w14:paraId="5B60ECFF" w14:textId="77777777" w:rsidR="008D479B" w:rsidRDefault="008D479B" w:rsidP="008D479B">
      <w:pPr>
        <w:pStyle w:val="TextoNormalNegritaCentrado"/>
        <w:keepNext/>
      </w:pPr>
      <w:r>
        <w:t>II. Fundamentos jurídicos</w:t>
      </w:r>
    </w:p>
    <w:p w14:paraId="73DAFBB0" w14:textId="487C15E6" w:rsidR="008D479B" w:rsidRDefault="008D479B" w:rsidP="008D479B">
      <w:pPr>
        <w:pStyle w:val="TextoNormalNegritaCentrado"/>
        <w:keepNext/>
      </w:pPr>
    </w:p>
    <w:p w14:paraId="013FAC42" w14:textId="77777777" w:rsidR="008D479B" w:rsidRDefault="008D479B" w:rsidP="008D479B">
      <w:pPr>
        <w:pStyle w:val="TextoNormal"/>
      </w:pPr>
      <w:r w:rsidRPr="008D479B">
        <w:rPr>
          <w:rStyle w:val="NumeroAFNegritaCaracter"/>
        </w:rPr>
        <w:t>1</w:t>
      </w:r>
      <w:r>
        <w:t xml:space="preserve">. </w:t>
      </w:r>
      <w:r w:rsidRPr="008D479B">
        <w:rPr>
          <w:i/>
        </w:rPr>
        <w:t>Objeto del recurso</w:t>
      </w:r>
    </w:p>
    <w:p w14:paraId="1BF0EF40" w14:textId="77777777" w:rsidR="008D479B" w:rsidRDefault="008D479B" w:rsidP="008D479B">
      <w:pPr>
        <w:pStyle w:val="TextoNormal"/>
      </w:pPr>
    </w:p>
    <w:p w14:paraId="7102F6D4" w14:textId="77777777" w:rsidR="008D479B" w:rsidRDefault="008D479B" w:rsidP="008D479B">
      <w:pPr>
        <w:pStyle w:val="TextoNormal"/>
      </w:pPr>
      <w:r>
        <w:t>El presente recurso de amparo se dirige contra el auto de 23 de marzo de 2022 dictado por el Juzgado de Primera Instancia núm. 3 de Valladolid en el procedimiento de jurisdicción voluntaria núm. 15-2022, que otorgó a don J.M.S.A., la facultad de decidir sobre la administración de la vacuna frente al covid-19 a sus hijos menores de edad. También se impugna el auto de 24 de junio de 2022 de la Sección Primera de la Audiencia Provincial de Valladolid, en el rollo de apelación núm. 158-2022, confirmatorio del anterior.</w:t>
      </w:r>
    </w:p>
    <w:p w14:paraId="13517B10" w14:textId="77777777" w:rsidR="008D479B" w:rsidRDefault="008D479B" w:rsidP="008D479B">
      <w:pPr>
        <w:pStyle w:val="TextoNormal"/>
      </w:pPr>
    </w:p>
    <w:p w14:paraId="143E9877" w14:textId="0E120BC5" w:rsidR="008D479B" w:rsidRDefault="008D479B" w:rsidP="008D479B">
      <w:pPr>
        <w:pStyle w:val="TextoNormal"/>
      </w:pPr>
      <w:r>
        <w:t>Dada la naturaleza de los hechos, debe señalarse que, en aplicación de las potestades atribuidas a este tribunal por el art. 86.3 LOTC y el acuerdo del Pleno de 23 de julio de 2015, por el que se regula la exclusión de los datos de identidad personal en la publicación de las resoluciones jurisdiccionales (“Boletín Oficial del Estado” núm. 178, de 27 de julio de 2015), la presente sentencia y demás actuaciones del proceso no incluyen la identificación completa de la persona menor de edad afectada ni la de sus parientes inmediatos que aparecen mencionados en las actuaciones, con el fin de proteger la intimidad de aquella.</w:t>
      </w:r>
    </w:p>
    <w:p w14:paraId="26F6249F" w14:textId="77777777" w:rsidR="008D479B" w:rsidRDefault="008D479B" w:rsidP="008D479B">
      <w:pPr>
        <w:pStyle w:val="TextoNormal"/>
      </w:pPr>
    </w:p>
    <w:p w14:paraId="15131DD3" w14:textId="77777777" w:rsidR="008D479B" w:rsidRDefault="008D479B" w:rsidP="008D479B">
      <w:pPr>
        <w:pStyle w:val="TextoNormal"/>
      </w:pPr>
      <w:r w:rsidRPr="008D479B">
        <w:rPr>
          <w:rStyle w:val="NumeroAFNegritaCaracter"/>
        </w:rPr>
        <w:t>2</w:t>
      </w:r>
      <w:r>
        <w:t xml:space="preserve">. </w:t>
      </w:r>
      <w:r w:rsidRPr="008D479B">
        <w:rPr>
          <w:i/>
        </w:rPr>
        <w:t>Cuestiones previas</w:t>
      </w:r>
    </w:p>
    <w:p w14:paraId="5BB0BC6A" w14:textId="77777777" w:rsidR="008D479B" w:rsidRDefault="008D479B" w:rsidP="008D479B">
      <w:pPr>
        <w:pStyle w:val="TextoNormal"/>
      </w:pPr>
    </w:p>
    <w:p w14:paraId="68021110" w14:textId="77F32E1E" w:rsidR="008D479B" w:rsidRDefault="008D479B" w:rsidP="008D479B">
      <w:pPr>
        <w:pStyle w:val="TextoNormal"/>
      </w:pPr>
      <w:r>
        <w:t>Con carácter previo al examen de las cuestiones de fondo planteadas en la demanda de amparo, debemos rechazar la alegación de inadecuación del procedimiento de jurisdicción voluntaria por los motivos indicados en la STC 148/2023, de 6 de noviembre, FJ 2 b).</w:t>
      </w:r>
    </w:p>
    <w:p w14:paraId="5C5D24ED" w14:textId="77777777" w:rsidR="008D479B" w:rsidRDefault="008D479B" w:rsidP="008D479B">
      <w:pPr>
        <w:pStyle w:val="TextoNormal"/>
      </w:pPr>
    </w:p>
    <w:p w14:paraId="1595555E" w14:textId="77777777" w:rsidR="008D479B" w:rsidRDefault="008D479B" w:rsidP="008D479B">
      <w:pPr>
        <w:pStyle w:val="TextoNormal"/>
      </w:pPr>
      <w:r w:rsidRPr="008D479B">
        <w:rPr>
          <w:rStyle w:val="NumeroAFNegritaCaracter"/>
        </w:rPr>
        <w:t>3</w:t>
      </w:r>
      <w:r>
        <w:t xml:space="preserve">. </w:t>
      </w:r>
      <w:r w:rsidRPr="008D479B">
        <w:rPr>
          <w:i/>
        </w:rPr>
        <w:t>Aplicación de la doctrina constitucional expuesta en la STC 148/2023, de 6 de noviembre</w:t>
      </w:r>
    </w:p>
    <w:p w14:paraId="0DF2688E" w14:textId="77777777" w:rsidR="008D479B" w:rsidRDefault="008D479B" w:rsidP="008D479B">
      <w:pPr>
        <w:pStyle w:val="TextoNormal"/>
      </w:pPr>
    </w:p>
    <w:p w14:paraId="2735DE82" w14:textId="77777777" w:rsidR="008D479B" w:rsidRDefault="008D479B" w:rsidP="008D479B">
      <w:pPr>
        <w:pStyle w:val="TextoNormal"/>
      </w:pPr>
      <w:r>
        <w:t>La cuestión constitucional suscitada en este recurso en relación con el derecho fundamental a la integridad física y moral (art. 15 CE) es la misma que ya ha sido objeto de análisis por el Pleno de este tribunal en la STC 148/2023, de 6 de noviembre, en cuyos fundamentos jurídicos 4 y 5 se expusieron de manera pormenorizada las pautas de ponderación necesarias para determinar si en este tipo de supuestos se ha vulnerado el derecho a la integridad personal, centrando la cuestión en que la administración de la vacuna, a falta de consentimiento libre, válido e informado de la persona afectada, precisa para su constitucionalidad el cumplimiento de los requisitos generales que, de acuerdo con nuestra doctrina, rigen la restricción de los derechos fundamentales sustantivos.</w:t>
      </w:r>
    </w:p>
    <w:p w14:paraId="6D146C9A" w14:textId="77777777" w:rsidR="008D479B" w:rsidRDefault="008D479B" w:rsidP="008D479B">
      <w:pPr>
        <w:pStyle w:val="TextoNormal"/>
      </w:pPr>
    </w:p>
    <w:p w14:paraId="274677CA" w14:textId="77777777" w:rsidR="008D479B" w:rsidRDefault="008D479B" w:rsidP="008D479B">
      <w:pPr>
        <w:pStyle w:val="TextoNormal"/>
      </w:pPr>
      <w:r>
        <w:t>En atención a lo expuesto, en este caso, como también se concluyó en la STC 148/2023, FJ 5, el Tribunal rechaza que se haya vulnerado el art. 15 CE al constatarse que (i) se cumple el presupuesto básico que el art. 9.3, letra c) de la Ley 41/2002 establece para que pueda acudirse al consentimiento por representación —otorgado por los progenitores de común acuerdo o por la autoridad judicial en caso de desacuerdo— porque los menores, de once años, carecían de la capacidad emocional e intelectual necesarias para comprender el alcance la intervención y los padres contaban con la información adecuada para la prestación del consentimiento desde un momento anterior incluso a la iniciación del procedimiento de jurisdicción voluntaria, por lo que no cabe apreciar la ausencia de consentimiento informado; y (ii) la motivación de las resoluciones judiciales tuvo como fundamento esencial la protección del interés superior del menor en relación con la protección de su salud, teniendo en cuenta la recomendación de las autoridades sanitarias, las cuales, haciendo una ponderación de riesgos y beneficios de la administración de la vacuna a menores de edad, se mostraban a favor de la vacunación, que el órgano judicial no estima desvirtuadas por los informes aportados por el recurrente.</w:t>
      </w:r>
    </w:p>
    <w:p w14:paraId="013DFFC9" w14:textId="77777777" w:rsidR="008D479B" w:rsidRDefault="008D479B" w:rsidP="008D479B">
      <w:pPr>
        <w:pStyle w:val="TextoNormal"/>
      </w:pPr>
    </w:p>
    <w:p w14:paraId="1B25C215" w14:textId="54ECD942" w:rsidR="008D479B" w:rsidRDefault="008D479B" w:rsidP="008D479B">
      <w:pPr>
        <w:pStyle w:val="TextoNormal"/>
      </w:pPr>
      <w:r>
        <w:t>Por otra parte, la resolución sobre el fondo de este recurso implica que no resulte procedente resolver sobre la medida cautelar de suspensión solicitada por la demandante, lo que determina que deba acordarse el archivo de la pieza separada de suspensión.</w:t>
      </w:r>
    </w:p>
    <w:p w14:paraId="69E81996" w14:textId="77777777" w:rsidR="008D479B" w:rsidRDefault="008D479B" w:rsidP="008D479B">
      <w:pPr>
        <w:pStyle w:val="TextoNormal"/>
      </w:pPr>
    </w:p>
    <w:p w14:paraId="7A4FA82F" w14:textId="77777777" w:rsidR="008D479B" w:rsidRDefault="008D479B" w:rsidP="008D479B">
      <w:pPr>
        <w:pStyle w:val="TextoNormalCentrado"/>
        <w:keepNext/>
      </w:pPr>
      <w:r>
        <w:t>FALLO</w:t>
      </w:r>
    </w:p>
    <w:p w14:paraId="51EC5040" w14:textId="427414D3" w:rsidR="008D479B" w:rsidRDefault="008D479B" w:rsidP="008D479B">
      <w:pPr>
        <w:pStyle w:val="TextoNormalCentrado"/>
        <w:keepNext/>
      </w:pPr>
    </w:p>
    <w:p w14:paraId="6EEF5249" w14:textId="1AC1543E" w:rsidR="008D479B" w:rsidRDefault="008D479B" w:rsidP="008D479B">
      <w:pPr>
        <w:pStyle w:val="TextoNormal"/>
      </w:pPr>
      <w:r>
        <w:t>En atención a todo lo expuesto, el Tribunal Constitucional, por la autoridad que le confiere la Constitución de la Nación española, ha decidido desestimar el recurso de amparo interpuesto por doña M.T.V., y archivar su pieza separada de suspensión.</w:t>
      </w:r>
    </w:p>
    <w:p w14:paraId="4FB79224" w14:textId="77777777" w:rsidR="008D479B" w:rsidRDefault="008D479B" w:rsidP="008D479B">
      <w:pPr>
        <w:pStyle w:val="TextoNormal"/>
      </w:pPr>
    </w:p>
    <w:p w14:paraId="7E733B5F" w14:textId="77777777" w:rsidR="008D479B" w:rsidRDefault="008D479B" w:rsidP="008D479B">
      <w:pPr>
        <w:pStyle w:val="TextoNormal"/>
      </w:pPr>
      <w:r>
        <w:t>Publíquese esta sentencia en el “Boletín Oficial del Estado”.</w:t>
      </w:r>
    </w:p>
    <w:p w14:paraId="5BCD01F4" w14:textId="77777777" w:rsidR="008D479B" w:rsidRDefault="008D479B" w:rsidP="008D479B">
      <w:pPr>
        <w:pStyle w:val="TextoNormal"/>
      </w:pPr>
      <w:r>
        <w:t>Dada en Madrid, a once de diciembre de dos mil veintitrés.</w:t>
      </w:r>
    </w:p>
    <w:p w14:paraId="639A28FA" w14:textId="66A769D3" w:rsidR="008D479B" w:rsidRDefault="008D479B">
      <w:pPr>
        <w:spacing w:after="160" w:line="278" w:lineRule="auto"/>
        <w:rPr>
          <w:rFonts w:ascii="Times New Roman" w:eastAsia="Times New Roman" w:hAnsi="Times New Roman" w:cs="Times New Roman"/>
          <w:sz w:val="24"/>
          <w:szCs w:val="24"/>
          <w:lang w:eastAsia="es-ES"/>
        </w:rPr>
      </w:pPr>
      <w:r>
        <w:br w:type="page"/>
      </w:r>
    </w:p>
    <w:p w14:paraId="02D07608" w14:textId="77777777" w:rsidR="008D479B" w:rsidRDefault="008D479B" w:rsidP="008D479B">
      <w:pPr>
        <w:pStyle w:val="TtuloResolucin"/>
      </w:pPr>
      <w:bookmarkStart w:id="108" w:name="SENTENCIA_2023_183"/>
      <w:r>
        <w:t>SENTENCIA 183/2023, de 11 de diciembre de 2023</w:t>
      </w:r>
    </w:p>
    <w:bookmarkEnd w:id="108"/>
    <w:p w14:paraId="7925AD0A" w14:textId="77777777" w:rsidR="008D479B" w:rsidRDefault="008D479B" w:rsidP="008D479B">
      <w:pPr>
        <w:pStyle w:val="TtuloResolucin"/>
      </w:pPr>
      <w:r>
        <w:t>Sala Segunda</w:t>
      </w:r>
    </w:p>
    <w:p w14:paraId="3CC169AD" w14:textId="77777777" w:rsidR="008D479B" w:rsidRDefault="008D479B" w:rsidP="008D479B">
      <w:pPr>
        <w:pStyle w:val="TtuloBOE"/>
      </w:pPr>
      <w:r>
        <w:t>(BOE núm. 16, de 18 de enero de 2024)</w:t>
      </w:r>
    </w:p>
    <w:p w14:paraId="616FA149" w14:textId="77777777" w:rsidR="008D479B" w:rsidRDefault="008D479B" w:rsidP="008D479B">
      <w:pPr>
        <w:pStyle w:val="TextoNormalCentrado"/>
      </w:pPr>
      <w:r>
        <w:t>ECLI:ES:TC:2023:183</w:t>
      </w:r>
    </w:p>
    <w:p w14:paraId="6588C4A1" w14:textId="0C4F8360" w:rsidR="008D479B" w:rsidRDefault="008D479B" w:rsidP="008D479B">
      <w:pPr>
        <w:pStyle w:val="TextoNormalCentrado"/>
      </w:pPr>
    </w:p>
    <w:p w14:paraId="017246C3" w14:textId="77777777" w:rsidR="008D479B" w:rsidRDefault="008D479B" w:rsidP="008D479B">
      <w:pPr>
        <w:pStyle w:val="SntesisDescriptiva"/>
      </w:pPr>
      <w:r>
        <w:t>Recurso de amparo 5691-2022. Promovido por doña E.G.G., respecto de los autos dictados por la Audiencia Provincial de Guipúzcoa y un juzgado de primera instancia de San Sebastián que acordaron la administración de la vacuna frente a la covid-19.</w:t>
      </w:r>
    </w:p>
    <w:p w14:paraId="07EB5524" w14:textId="6A2DFDE6" w:rsidR="008D479B" w:rsidRDefault="008D479B" w:rsidP="008D479B">
      <w:pPr>
        <w:pStyle w:val="SntesisDescriptiva"/>
      </w:pPr>
    </w:p>
    <w:p w14:paraId="3DC3F0C3" w14:textId="77777777" w:rsidR="008D479B" w:rsidRDefault="008D479B" w:rsidP="008D479B">
      <w:pPr>
        <w:pStyle w:val="SntesisAnaltica"/>
      </w:pPr>
      <w:r>
        <w:t>Supuesta vulneración del derecho a la integridad física: STC 148/2023 [resoluciones judiciales que realizaron una ponderación adecuada de los intereses de una persona menor de edad (STC 38/2023)].</w:t>
      </w:r>
    </w:p>
    <w:p w14:paraId="6ACA8AB4" w14:textId="7738167F" w:rsidR="008D479B" w:rsidRDefault="008D479B" w:rsidP="008D479B">
      <w:pPr>
        <w:pStyle w:val="SntesisAnaltica"/>
      </w:pPr>
    </w:p>
    <w:p w14:paraId="05EF882E" w14:textId="51C3488A" w:rsidR="008D479B" w:rsidRDefault="008D479B" w:rsidP="008D479B">
      <w:pPr>
        <w:pStyle w:val="Extracto"/>
      </w:pPr>
      <w:r>
        <w:t>1.</w:t>
      </w:r>
      <w:r>
        <w:tab/>
        <w:t>La capacidad general de autodeterminación de las personas menores de edad, en relación con las actuaciones médicas que les afectan, encuentra su límite en la protección de su interés superior, que se impone como obligación a los progenitores, en cuanto titulares de la patria potestad o autoridad familiar, y a todos los poderes públicos, incluida la autoridad judicial (STC 148/2023) [FJ 3].</w:t>
      </w:r>
    </w:p>
    <w:p w14:paraId="3454A2A6" w14:textId="77777777" w:rsidR="008D479B" w:rsidRDefault="008D479B" w:rsidP="008D479B">
      <w:pPr>
        <w:pStyle w:val="Extracto"/>
      </w:pPr>
    </w:p>
    <w:p w14:paraId="262F7ADD" w14:textId="14ADEF73" w:rsidR="008D479B" w:rsidRDefault="008D479B" w:rsidP="008D479B">
      <w:pPr>
        <w:pStyle w:val="Extracto"/>
      </w:pPr>
      <w:r>
        <w:t>2.</w:t>
      </w:r>
      <w:r>
        <w:tab/>
        <w:t>La decisión de los representantes legales relativa al otorgamiento o no del consentimiento informado por representación deberá atender a la protección del derecho a la vida, supervivencia y desarrollo del menor y la satisfacción de sus necesidades básicas, tanto materiales, físicas y educativas como emocionales y afectivas [art. 2.2, letra a) de la Ley Orgánica 1/1996]; y es preciso buscar el mayor beneficio para la vida o salud del paciente menor de edad, teniendo en cuenta las circunstancias concurrentes y sus necesidades, que deben ser atendidas (STC 148/2023) [FJ 3].</w:t>
      </w:r>
    </w:p>
    <w:p w14:paraId="1DA1030A" w14:textId="77777777" w:rsidR="008D479B" w:rsidRDefault="008D479B" w:rsidP="008D479B">
      <w:pPr>
        <w:pStyle w:val="Extracto"/>
      </w:pPr>
    </w:p>
    <w:p w14:paraId="0281DA5D" w14:textId="77777777" w:rsidR="008D479B" w:rsidRDefault="008D479B" w:rsidP="008D479B">
      <w:pPr>
        <w:pStyle w:val="Extracto"/>
      </w:pPr>
    </w:p>
    <w:p w14:paraId="36EFD17C" w14:textId="77777777" w:rsidR="008D479B" w:rsidRDefault="008D479B" w:rsidP="008D479B">
      <w:pPr>
        <w:pStyle w:val="TextoNormal"/>
      </w:pPr>
      <w: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14:paraId="588D04C9" w14:textId="4C717059" w:rsidR="008D479B" w:rsidRDefault="008D479B" w:rsidP="008D479B">
      <w:pPr>
        <w:pStyle w:val="TextoNormal"/>
      </w:pPr>
    </w:p>
    <w:p w14:paraId="275E72EE" w14:textId="77777777" w:rsidR="008D479B" w:rsidRDefault="008D479B" w:rsidP="008D479B">
      <w:pPr>
        <w:pStyle w:val="TextoNormalCentrado"/>
        <w:keepNext/>
      </w:pPr>
      <w:r>
        <w:t>EN NOMBRE DEL REY</w:t>
      </w:r>
    </w:p>
    <w:p w14:paraId="462E3DF8" w14:textId="770C2117" w:rsidR="008D479B" w:rsidRDefault="008D479B" w:rsidP="008D479B">
      <w:pPr>
        <w:pStyle w:val="TextoNormalCentrado"/>
        <w:keepNext/>
      </w:pPr>
    </w:p>
    <w:p w14:paraId="51678013" w14:textId="77777777" w:rsidR="008D479B" w:rsidRDefault="008D479B" w:rsidP="008D479B">
      <w:pPr>
        <w:pStyle w:val="TextoNormalCentrado"/>
        <w:keepNext/>
      </w:pPr>
    </w:p>
    <w:p w14:paraId="04553C99" w14:textId="77777777" w:rsidR="008D479B" w:rsidRDefault="008D479B" w:rsidP="008D479B">
      <w:pPr>
        <w:pStyle w:val="TextoNormal"/>
      </w:pPr>
      <w:r>
        <w:t>la siguiente</w:t>
      </w:r>
    </w:p>
    <w:p w14:paraId="2AE33763" w14:textId="69D0A4F5" w:rsidR="008D479B" w:rsidRDefault="008D479B" w:rsidP="008D479B">
      <w:pPr>
        <w:pStyle w:val="TextoNormal"/>
      </w:pPr>
    </w:p>
    <w:p w14:paraId="55AC808D" w14:textId="77777777" w:rsidR="008D479B" w:rsidRDefault="008D479B" w:rsidP="008D479B">
      <w:pPr>
        <w:pStyle w:val="TextoNormalCentrado"/>
        <w:keepNext/>
      </w:pPr>
      <w:r>
        <w:t>SENTENCIA</w:t>
      </w:r>
    </w:p>
    <w:p w14:paraId="6BFFE84A" w14:textId="537F4CA7" w:rsidR="008D479B" w:rsidRDefault="008D479B" w:rsidP="008D479B">
      <w:pPr>
        <w:pStyle w:val="TextoNormalCentrado"/>
        <w:keepNext/>
      </w:pPr>
    </w:p>
    <w:p w14:paraId="5BF7171B" w14:textId="77777777" w:rsidR="008D479B" w:rsidRDefault="008D479B" w:rsidP="008D479B">
      <w:pPr>
        <w:pStyle w:val="TextoNormal"/>
      </w:pPr>
      <w:r>
        <w:t>En el recurso de amparo núm. 5691-2022, promovido por doña E.G.G., representada por la procuradora de los tribunales doña María Cristina Sosa González y asistida por la abogada doña Cristina Armas Suárez, contra el auto dictado el 19 de enero de 2022 por el Juzgado de Primera Instancia núm. 3 de San Sebastián, en procedimiento de jurisdicción voluntaria de intervención judicial sobre desacuerdo en el ejercicio de la patria potestad núm. 570-2021, y contra el auto dictado el 30 de junio de 2022 por la Sección Segunda de la Audiencia Provincial de Guipúzcoa en rollo de apelación núm. 2481-2022, que confirmó el anterior. Ha intervenido el Ministerio Fiscal. Ha sido ponente el magistrado don Enrique Arnaldo Alcubilla.</w:t>
      </w:r>
    </w:p>
    <w:p w14:paraId="6DD59D2A" w14:textId="6481A07F" w:rsidR="008D479B" w:rsidRDefault="008D479B" w:rsidP="008D479B">
      <w:pPr>
        <w:pStyle w:val="TextoNormal"/>
      </w:pPr>
    </w:p>
    <w:p w14:paraId="0C876708" w14:textId="77777777" w:rsidR="008D479B" w:rsidRDefault="008D479B" w:rsidP="008D479B">
      <w:pPr>
        <w:pStyle w:val="TextoNormalNegritaCentrado"/>
        <w:keepNext/>
      </w:pPr>
      <w:r>
        <w:t>I. Antecedentes</w:t>
      </w:r>
    </w:p>
    <w:p w14:paraId="76A8A0B9" w14:textId="3E2AD703" w:rsidR="008D479B" w:rsidRDefault="008D479B" w:rsidP="008D479B">
      <w:pPr>
        <w:pStyle w:val="TextoNormalNegritaCentrado"/>
        <w:keepNext/>
      </w:pPr>
    </w:p>
    <w:p w14:paraId="0475260F" w14:textId="00538199" w:rsidR="008D479B" w:rsidRDefault="008D479B" w:rsidP="008D479B">
      <w:pPr>
        <w:pStyle w:val="TextoNormal"/>
      </w:pPr>
      <w:r w:rsidRPr="008D479B">
        <w:rPr>
          <w:rStyle w:val="NumeroAFNegritaCaracter"/>
        </w:rPr>
        <w:t>1</w:t>
      </w:r>
      <w:r>
        <w:t>. Mediante escrito que tuvo entrada en el registro general de este tribunal el día 10 de agosto de 2022, la procuradora de los tribunales doña María Cristina Sosa González, en nombre y representación de doña E.G.G., interpuso recurso de amparo contra las resoluciones judiciales que se citan en el encabezamiento.</w:t>
      </w:r>
    </w:p>
    <w:p w14:paraId="2D27AAC9" w14:textId="77777777" w:rsidR="008D479B" w:rsidRDefault="008D479B" w:rsidP="008D479B">
      <w:pPr>
        <w:pStyle w:val="TextoNormal"/>
      </w:pPr>
    </w:p>
    <w:p w14:paraId="2BCCF3E5" w14:textId="77777777" w:rsidR="008D479B" w:rsidRDefault="008D479B" w:rsidP="008D479B">
      <w:pPr>
        <w:pStyle w:val="TextoNormal"/>
      </w:pPr>
      <w:r w:rsidRPr="008D479B">
        <w:rPr>
          <w:rStyle w:val="NumeroAFNegritaCaracter"/>
        </w:rPr>
        <w:t>2</w:t>
      </w:r>
      <w:r>
        <w:t>. Los hechos de los que trae causa la demanda, relevantes para la resolución del recurso, son, en síntesis, los siguientes:</w:t>
      </w:r>
    </w:p>
    <w:p w14:paraId="7BD8EF18" w14:textId="77777777" w:rsidR="008D479B" w:rsidRDefault="008D479B" w:rsidP="008D479B">
      <w:pPr>
        <w:pStyle w:val="TextoNormal"/>
      </w:pPr>
    </w:p>
    <w:p w14:paraId="51CA6515" w14:textId="77777777" w:rsidR="008D479B" w:rsidRDefault="008D479B" w:rsidP="008D479B">
      <w:pPr>
        <w:pStyle w:val="TextoNormal"/>
      </w:pPr>
      <w:r>
        <w:t>a) Don J.M.G.G., solicitó la intervención judicial por desacuerdo de los progenitores en el ejercicio de la patria potestad, al amparo del art. 86.1 de la Ley 15/2015, de 2 de julio, de la jurisdicción voluntaria y del art. 156 párrafo tercero del Código civil, ante la negativa de doña E.G.G., a la inoculación de la vacuna contra la covid-19 a la hija común menor de ambos litigantes, de doce años.</w:t>
      </w:r>
    </w:p>
    <w:p w14:paraId="4E34896C" w14:textId="77777777" w:rsidR="008D479B" w:rsidRDefault="008D479B" w:rsidP="008D479B">
      <w:pPr>
        <w:pStyle w:val="TextoNormal"/>
      </w:pPr>
    </w:p>
    <w:p w14:paraId="24A993FC" w14:textId="77777777" w:rsidR="008D479B" w:rsidRDefault="008D479B" w:rsidP="008D479B">
      <w:pPr>
        <w:pStyle w:val="TextoNormal"/>
      </w:pPr>
      <w:r>
        <w:t>b) Mediante decreto de 27 de diciembre de 2021 se admitió la solicitud y se acordó citar a las partes para la celebración de la comparecencia el día 19 de enero de 2022. El Ministerio Fiscal presentó escrito en el que manifestó no oponerse a la autorización judicial solicitada.</w:t>
      </w:r>
    </w:p>
    <w:p w14:paraId="22733573" w14:textId="77777777" w:rsidR="008D479B" w:rsidRDefault="008D479B" w:rsidP="008D479B">
      <w:pPr>
        <w:pStyle w:val="TextoNormal"/>
      </w:pPr>
    </w:p>
    <w:p w14:paraId="2386E57B" w14:textId="77777777" w:rsidR="008D479B" w:rsidRDefault="008D479B" w:rsidP="008D479B">
      <w:pPr>
        <w:pStyle w:val="TextoNormal"/>
      </w:pPr>
      <w:r>
        <w:t>c) Doña E.G.G., formuló oposición a la solicitud presentada y alegó, en esencia, la ausencia de evidencia médica o científica que justificara la inoculación de los medicamentos de terapia génica para la covid-19 en menores de edad, atendiendo a la gravedad de la enfermedad en estos, en los que la tasa de mortalidad y de hospitalización es muy baja, y a los efectos adversos que puede llevar aparejada la vacuna, que pueden ser muy superiores a la ausencia de vacunación.</w:t>
      </w:r>
    </w:p>
    <w:p w14:paraId="6D7725E6" w14:textId="77777777" w:rsidR="008D479B" w:rsidRDefault="008D479B" w:rsidP="008D479B">
      <w:pPr>
        <w:pStyle w:val="TextoNormal"/>
      </w:pPr>
    </w:p>
    <w:p w14:paraId="5425A6B2" w14:textId="77777777" w:rsidR="008D479B" w:rsidRDefault="008D479B" w:rsidP="008D479B">
      <w:pPr>
        <w:pStyle w:val="TextoNormal"/>
      </w:pPr>
      <w:r>
        <w:t>d) En escrito fechado el 4 de enero de 2022, la representación procesal de don J.M.G.G., solicitó, como prueba anticipada, la exploración de la menor, al haber cumplido los doce años de edad. Mediante providencia de 11 de enero de 2022, el juzgado acordó rechazar la prueba interesada por “no haber lugar a lo solicitado conforme a lo establecido en el art. 283 LEC [Ley de enjuiciamiento civil]”, sin que conste recurso contra esa resolución de ninguna de las partes.</w:t>
      </w:r>
    </w:p>
    <w:p w14:paraId="0F7CD385" w14:textId="77777777" w:rsidR="008D479B" w:rsidRDefault="008D479B" w:rsidP="008D479B">
      <w:pPr>
        <w:pStyle w:val="TextoNormal"/>
      </w:pPr>
    </w:p>
    <w:p w14:paraId="46D3A74D" w14:textId="77777777" w:rsidR="008D479B" w:rsidRDefault="008D479B" w:rsidP="008D479B">
      <w:pPr>
        <w:pStyle w:val="TextoNormal"/>
      </w:pPr>
      <w:r>
        <w:t>e) Tras celebrarse la comparecencia del día 19 de enero de 2022, en la misma fecha el juzgado dictó auto en el que desestimó la oposición y atribuyó a don J.M.G.G., la facultad de decidir sobre la inoculación de la vacuna a la niña. El juzgado realiza un juicio de ponderación de los riesgos y beneficios de la vacuna, atendiendo a la baja incidencia de la covid-19 en los menores de edad que refleja la prueba documental aportada y los posibles y desconocidos efectos adversos que puede comportar la vacuna a largo plazo, por lo que no se advierte contraindicación para no administrar la vacuna, a lo que se añade que la vacuna ha sido aprobada por las agencias europea y española del medicamento, lo que permite suponer que se ha elaborado con las máximas garantías de calidad, seguridad y eficacia. Tiene en cuenta asimismo el juzgado las recomendaciones del pediatra de la niña.</w:t>
      </w:r>
    </w:p>
    <w:p w14:paraId="0869DC4A" w14:textId="77777777" w:rsidR="008D479B" w:rsidRDefault="008D479B" w:rsidP="008D479B">
      <w:pPr>
        <w:pStyle w:val="TextoNormal"/>
      </w:pPr>
    </w:p>
    <w:p w14:paraId="240132AF" w14:textId="77777777" w:rsidR="008D479B" w:rsidRDefault="008D479B" w:rsidP="008D479B">
      <w:pPr>
        <w:pStyle w:val="TextoNormal"/>
      </w:pPr>
      <w:r>
        <w:t>f) Doña E.G.G., interpuso recurso de apelación contra el auto y reiteró su posición en relación con los riesgos y beneficios de la vacuna, añadiendo que existía peligro para la niña dada la trascendencia de la decisión para su salud y su vida, por los efectos a medio y largo plazo del medicamento. No formuló alegaciones sobre la exploración de la menor.</w:t>
      </w:r>
    </w:p>
    <w:p w14:paraId="3596EFBF" w14:textId="77777777" w:rsidR="008D479B" w:rsidRDefault="008D479B" w:rsidP="008D479B">
      <w:pPr>
        <w:pStyle w:val="TextoNormal"/>
      </w:pPr>
    </w:p>
    <w:p w14:paraId="28752709" w14:textId="77777777" w:rsidR="008D479B" w:rsidRDefault="008D479B" w:rsidP="008D479B">
      <w:pPr>
        <w:pStyle w:val="TextoNormal"/>
      </w:pPr>
      <w:r>
        <w:t>g) Don J.M.G.G., presentó escrito por el que se opuso al recurso de apelación e interesó la desestimación. En idéntico sentido se pronunció el Ministerio Fiscal.</w:t>
      </w:r>
    </w:p>
    <w:p w14:paraId="649AF4F7" w14:textId="77777777" w:rsidR="008D479B" w:rsidRDefault="008D479B" w:rsidP="008D479B">
      <w:pPr>
        <w:pStyle w:val="TextoNormal"/>
      </w:pPr>
    </w:p>
    <w:p w14:paraId="74CEBB55" w14:textId="542900B5" w:rsidR="008D479B" w:rsidRDefault="008D479B" w:rsidP="008D479B">
      <w:pPr>
        <w:pStyle w:val="TextoNormal"/>
      </w:pPr>
      <w:r>
        <w:t>h) La Audiencia Provincial de Guipúzcoa (Sección Segunda) dictó auto el 30 de junio de 2022 por el que desestimó el recurso de apelación, reiterando los argumentos del auto apelado, que confirma íntegramente.</w:t>
      </w:r>
    </w:p>
    <w:p w14:paraId="7DD53775" w14:textId="77777777" w:rsidR="008D479B" w:rsidRDefault="008D479B" w:rsidP="008D479B">
      <w:pPr>
        <w:pStyle w:val="TextoNormal"/>
      </w:pPr>
    </w:p>
    <w:p w14:paraId="2238D828" w14:textId="77777777" w:rsidR="008D479B" w:rsidRDefault="008D479B" w:rsidP="008D479B">
      <w:pPr>
        <w:pStyle w:val="TextoNormal"/>
      </w:pPr>
      <w:r w:rsidRPr="008D479B">
        <w:rPr>
          <w:rStyle w:val="NumeroAFNegritaCaracter"/>
        </w:rPr>
        <w:t>3</w:t>
      </w:r>
      <w:r>
        <w:t>. La recurrente denuncia que se le han vulnerado los siguientes derechos fundamentales:</w:t>
      </w:r>
    </w:p>
    <w:p w14:paraId="3609EFA5" w14:textId="77777777" w:rsidR="008D479B" w:rsidRDefault="008D479B" w:rsidP="008D479B">
      <w:pPr>
        <w:pStyle w:val="TextoNormal"/>
      </w:pPr>
    </w:p>
    <w:p w14:paraId="5F337A9C" w14:textId="77777777" w:rsidR="008D479B" w:rsidRDefault="008D479B" w:rsidP="008D479B">
      <w:pPr>
        <w:pStyle w:val="TextoNormal"/>
      </w:pPr>
      <w:r>
        <w:t>(i) El derecho a la integridad física y moral (art. 15 CE), porque no se recabó el consentimiento informado de la niña ni de sus progenitores para la inoculación a aquella de la llamada vacuna contra la covid-19, fármaco experimental en fase de ensayo clínico cuya relación entre riesgos y beneficios para los menores de edad no está nada clara.</w:t>
      </w:r>
    </w:p>
    <w:p w14:paraId="1FC3DF5B" w14:textId="77777777" w:rsidR="008D479B" w:rsidRDefault="008D479B" w:rsidP="008D479B">
      <w:pPr>
        <w:pStyle w:val="TextoNormal"/>
      </w:pPr>
    </w:p>
    <w:p w14:paraId="60CD8409" w14:textId="77777777" w:rsidR="008D479B" w:rsidRDefault="008D479B" w:rsidP="008D479B">
      <w:pPr>
        <w:pStyle w:val="TextoNormal"/>
      </w:pPr>
      <w:r>
        <w:t>Argumenta la recurrente que el consentimiento informado del paciente es un derecho reconocido en la Ley 41/2022, de 14 de noviembre, básica reguladora de la autonomía del paciente y de derechos y obligaciones en materia de información y documentación clínica, en el art. 3.2 a) de la Carta de los derechos fundamentales de la Unión Europea, y en el Convenio relativo a los derechos humanos y la biomedicina hecho en Oviedo el 4 de abril de 1997, y que queda asimismo amparado en el art. 8 del Convenio europeo para la protección de los derechos humanos y de las libertades fundamentales como aspecto del derecho a la vida privada y familiar reconocido en dicho precepto, conforme a la jurisprudencia del Tribunal Europeo de Derechos Humanos. Cita asimismo la jurisprudencia constitucional acerca del consentimiento informado.</w:t>
      </w:r>
    </w:p>
    <w:p w14:paraId="44F213F2" w14:textId="77777777" w:rsidR="008D479B" w:rsidRDefault="008D479B" w:rsidP="008D479B">
      <w:pPr>
        <w:pStyle w:val="TextoNormal"/>
      </w:pPr>
    </w:p>
    <w:p w14:paraId="067A1678" w14:textId="77777777" w:rsidR="008D479B" w:rsidRDefault="008D479B" w:rsidP="008D479B">
      <w:pPr>
        <w:pStyle w:val="TextoNormal"/>
      </w:pPr>
      <w:r>
        <w:t>(ii) El derecho a la tutela judicial efectiva (art. 24.1 CE), en relación con el derecho a un procedimiento con todas las garantías (art. 24.2 CE), porque el juzgado procedió a celebrar la comparecencia prevista en el art. 85 de la Ley 15/2015, de 2 de julio, de la jurisdicción voluntaria, dictando inmediatamente auto por el que se atribuye al padre la facultad de decidir sobre la inoculación de la vacuna contra la covid-19 a la niña, sin oír a esta previamente, como es preceptivo conforme al citado precepto legal.</w:t>
      </w:r>
    </w:p>
    <w:p w14:paraId="273C86B6" w14:textId="77777777" w:rsidR="008D479B" w:rsidRDefault="008D479B" w:rsidP="008D479B">
      <w:pPr>
        <w:pStyle w:val="TextoNormal"/>
      </w:pPr>
    </w:p>
    <w:p w14:paraId="20496605" w14:textId="60C7303B" w:rsidR="008D479B" w:rsidRDefault="008D479B" w:rsidP="008D479B">
      <w:pPr>
        <w:pStyle w:val="TextoNormal"/>
      </w:pPr>
      <w:r>
        <w:t>Se solicita por ello que se declare la nulidad de los autos recurridos y que no había lugar al procedimiento de jurisdicción voluntaria para la inoculación de la vacuna contra la covid-19 a la menor sin la concurrencia del consentimiento informado de esta y de sus progenitores; o subsidiariamente que se declare que es necesario el consentimiento de ambos progenitores mientras la hija común sea menor de edad.</w:t>
      </w:r>
    </w:p>
    <w:p w14:paraId="73AC812F" w14:textId="77777777" w:rsidR="008D479B" w:rsidRDefault="008D479B" w:rsidP="008D479B">
      <w:pPr>
        <w:pStyle w:val="TextoNormal"/>
      </w:pPr>
    </w:p>
    <w:p w14:paraId="3E5FC0DB" w14:textId="77777777" w:rsidR="008D479B" w:rsidRDefault="008D479B" w:rsidP="008D479B">
      <w:pPr>
        <w:pStyle w:val="TextoNormal"/>
      </w:pPr>
      <w:r w:rsidRPr="008D479B">
        <w:rPr>
          <w:rStyle w:val="NumeroAFNegritaCaracter"/>
        </w:rPr>
        <w:t>4</w:t>
      </w:r>
      <w:r>
        <w:t>. La Sección Cuarta del Tribunal Constitucional, por providencia de 24 de octubre de 2022, acordó admitir a trámite el recurso de amparo apreciando que concurre en el mismo una especial trascendencia constitucional [art. 50.1 de la Ley Orgánica del Tribunal Constitucional (LOTC)] porque el recurso plantea un problema o afecta a una faceta de un derecho fundamental sobre el que no hay doctrina de este tribunal [STC 155/2009, de 25 de junio, FJ 2 a)] y, asimismo, porque el asunto suscitado trasciende del caso concreto porque plantea una cuestión jurídica de relevante y general repercusión social o económica [STC 155/2009, FJ 2 g)].</w:t>
      </w:r>
    </w:p>
    <w:p w14:paraId="2C33D788" w14:textId="77777777" w:rsidR="008D479B" w:rsidRDefault="008D479B" w:rsidP="008D479B">
      <w:pPr>
        <w:pStyle w:val="TextoNormal"/>
      </w:pPr>
    </w:p>
    <w:p w14:paraId="7C36866E" w14:textId="6B470C0B" w:rsidR="008D479B" w:rsidRDefault="008D479B" w:rsidP="008D479B">
      <w:pPr>
        <w:pStyle w:val="TextoNormal"/>
      </w:pPr>
      <w:r>
        <w:t>En la misma providencia se acordó, en aplicación de lo dispuesto en el art. 51 LOTC, dirigir atenta comunicación a la Audiencia Provincial de Guipúzcoa (Sección Segunda) a fin de que, en plazo no superior a diez días, remitiera certificación o fotocopia adverada de las actuaciones correspondientes al recurso de apelación 2481-2022, e, igualmente, al Juzgado de Primera Instancia núm. 3 de San Sebastián a fin de que, en plazo que no excediera de diez días, remitiera certificación o fotocopia adverada de las actuaciones correspondientes al procedimiento de jurisdicción voluntaria núm. 570-2021, debiendo emplazar previamente, para que en el plazo de diez días pudieran comparecer, si lo desearan, en el recurso de amparo, a quienes hubieran sido parte en el procedimiento, excepto la parte recurrente en amparo.</w:t>
      </w:r>
    </w:p>
    <w:p w14:paraId="3BF9D555" w14:textId="77777777" w:rsidR="008D479B" w:rsidRDefault="008D479B" w:rsidP="008D479B">
      <w:pPr>
        <w:pStyle w:val="TextoNormal"/>
      </w:pPr>
    </w:p>
    <w:p w14:paraId="4AF4823B" w14:textId="4ED6A10A" w:rsidR="008D479B" w:rsidRDefault="008D479B" w:rsidP="008D479B">
      <w:pPr>
        <w:pStyle w:val="TextoNormal"/>
      </w:pPr>
      <w:r w:rsidRPr="008D479B">
        <w:rPr>
          <w:rStyle w:val="NumeroAFNegritaCaracter"/>
        </w:rPr>
        <w:t>5</w:t>
      </w:r>
      <w:r>
        <w:t>. Mediante providencia de 24 de octubre de 2022, se acordó, asimismo, a solicitud de la parte actora, la formación de la pieza separada de suspensión, con inicio de su tramitación de conformidad con lo prevenido en el art. 56 LOTC.</w:t>
      </w:r>
    </w:p>
    <w:p w14:paraId="0BD01C5B" w14:textId="77777777" w:rsidR="008D479B" w:rsidRDefault="008D479B" w:rsidP="008D479B">
      <w:pPr>
        <w:pStyle w:val="TextoNormal"/>
      </w:pPr>
    </w:p>
    <w:p w14:paraId="01F01FA7" w14:textId="56B1CB60" w:rsidR="008D479B" w:rsidRDefault="008D479B" w:rsidP="008D479B">
      <w:pPr>
        <w:pStyle w:val="TextoNormal"/>
      </w:pPr>
      <w:r w:rsidRPr="008D479B">
        <w:rPr>
          <w:rStyle w:val="NumeroAFNegritaCaracter"/>
        </w:rPr>
        <w:t>6</w:t>
      </w:r>
      <w:r>
        <w:t>. Por diligencia de ordenación de la Secretaría de Justicia de la Sala Segunda de este tribunal de 5 de junio de 2023 se tuvieron por recibidos los testimonios de las actuaciones que habían sido remitidos por la Audiencia Provincial de Guipúzcoa y por el Juzgado de Primera Instancia núm. 3 de San Sebastián y, a tenor de lo dispuesto en el art. 52 LOTC, se acordó dar vista de las mismas, por un plazo común de veinte días, al Ministerio Fiscal y a las partes personadas, para que dentro de dicho término pudieran presentar las alegaciones que a su derecho convenga.</w:t>
      </w:r>
    </w:p>
    <w:p w14:paraId="6B3F1825" w14:textId="77777777" w:rsidR="008D479B" w:rsidRDefault="008D479B" w:rsidP="008D479B">
      <w:pPr>
        <w:pStyle w:val="TextoNormal"/>
      </w:pPr>
    </w:p>
    <w:p w14:paraId="5DD3F951" w14:textId="77777777" w:rsidR="008D479B" w:rsidRDefault="008D479B" w:rsidP="008D479B">
      <w:pPr>
        <w:pStyle w:val="TextoNormal"/>
      </w:pPr>
      <w:r w:rsidRPr="008D479B">
        <w:rPr>
          <w:rStyle w:val="NumeroAFNegritaCaracter"/>
        </w:rPr>
        <w:t>7</w:t>
      </w:r>
      <w:r>
        <w:t>. Por escrito registrado el 24 de julio de 2023, el Ministerio Fiscal formuló sus alegaciones en las que, como cuestión preliminar, alega que la pretendida vulneración del derecho a la tutela judicial efectiva (art. 24.1 CE), por falta de audiencia de la menor en el procedimiento de jurisdicción voluntaria, no fue invocada tempestivamente en la vía judicial. La recurrente no interesó que la niña fuera oída cuando presentó su escrito inicial de oposición a la solicitud del padre, ni tampoco formuló tal pretensión en el recurso de apelación contra el auto dictado por el juzgado. En consecuencia, esta queja debe ser inadmitida por falta de invocación de la vulneración del derecho en el proceso judicial [art. 44.1 c) LOTC].</w:t>
      </w:r>
    </w:p>
    <w:p w14:paraId="1E51FA75" w14:textId="77777777" w:rsidR="008D479B" w:rsidRDefault="008D479B" w:rsidP="008D479B">
      <w:pPr>
        <w:pStyle w:val="TextoNormal"/>
      </w:pPr>
    </w:p>
    <w:p w14:paraId="5354CF63" w14:textId="77777777" w:rsidR="008D479B" w:rsidRDefault="008D479B" w:rsidP="008D479B">
      <w:pPr>
        <w:pStyle w:val="TextoNormal"/>
      </w:pPr>
      <w:r>
        <w:t>En caso de que no se apreciara este óbice, sostiene el fiscal que la queja debería ser estimada, pues de acuerdo con lo dispuesto en la Ley Orgánica 1/1996, de 15 de enero, de protección jurídica del menor, y en el art. 85 de la Ley 15/2015, de 2 de julio, de la jurisdicción voluntaria, así como la doctrina constitucional al respecto, el derecho del menor a ser oído y escuchado en aquellos asuntos que le afecten, que forma parte del estatuto jurídico indisponible de los menores de edad, se garantizará cuando el menor tenga suficiente madurez, considerándose, en todo caso, que “tiene suficiente madurez cuando tenga doce años cumplidos” (art. 9.2 de la Ley Orgánica 1/1996; y en sentido similar, art. 85.1 de la Ley 15/2015, de la jurisdicción voluntaria). Por tanto, como la menor, de doce años en este caso, no fue escuchada por el juez en el expediente de jurisdicción voluntaria, ha de concluirse que se le vulneró su derecho a la tutela judicial (art. 24.1 CE), puesto que, al no ser escuchada, no se pudo tomar en consideración sus opiniones y deseos sobre si quería o no ser vacunada frente a la covid-19. De este modo, la infracción constitucional tiene un doble fundamento: el primero la omisión de un trámite esencial en el procedimiento y el segundo que esa omisión no se fundamenta en razón alguna, incurriendo por ello el órgano judicial en arbitrariedad en cuanto que es únicamente la voluntad del juzgador la que impide a la menor de edad, pero mayor de doce años, ejercer su derecho a ser escuchada en un asunto que le afecta directamente.</w:t>
      </w:r>
    </w:p>
    <w:p w14:paraId="0C8F3FA6" w14:textId="77777777" w:rsidR="008D479B" w:rsidRDefault="008D479B" w:rsidP="008D479B">
      <w:pPr>
        <w:pStyle w:val="TextoNormal"/>
      </w:pPr>
    </w:p>
    <w:p w14:paraId="29FE3E24" w14:textId="77777777" w:rsidR="008D479B" w:rsidRDefault="008D479B" w:rsidP="008D479B">
      <w:pPr>
        <w:pStyle w:val="TextoNormal"/>
      </w:pPr>
      <w:r>
        <w:t>En cuanto a la alegada vulneración del derecho a la integridad física y moral (art. 15 CE) por falta de consentimiento informado de la menor y sus progenitores, el fiscal sostiene que en este procedimiento de jurisdicción voluntaria la autoridad judicial no autoriza la inoculación de la vacuna del menor, sino que resuelve atribuir a uno de los progenitores (el padre) la facultad de decidir sobre la administración de la vacuna ponderando, en atención a las circunstancias del caso, lo que considere más beneficioso para el menor. Es en un momento posterior, si este progenitor acude al centro médico, cuando el personal sanitario le informará sobre la vacunación, y si el menor tiene capacidad para comprender el alcance de la intervención, prestará el consentimiento, y de no tenerla, lo prestará su progenitor. El juez no sustituye al progenitor en la decisión de vacunar, y el consentimiento informado opera en un momento posterior a la intervención judicial. Si en este momento ulterior se incumpliera la normativa relativa al consentimiento informado, se podría producir la violación del derecho garantizado por el art. 15 CE.</w:t>
      </w:r>
    </w:p>
    <w:p w14:paraId="10F6C4C0" w14:textId="77777777" w:rsidR="008D479B" w:rsidRDefault="008D479B" w:rsidP="008D479B">
      <w:pPr>
        <w:pStyle w:val="TextoNormal"/>
      </w:pPr>
    </w:p>
    <w:p w14:paraId="46B213C9" w14:textId="336F5946" w:rsidR="008D479B" w:rsidRDefault="008D479B" w:rsidP="008D479B">
      <w:pPr>
        <w:pStyle w:val="TextoNormal"/>
      </w:pPr>
      <w:r>
        <w:t>No obstante, si por este tribunal se considerase que la decisión judicial impugnada en amparo conlleva de manera indirecta la autorización para la vacunación a la menor, entonces sí cabría apreciar la vulneración del derecho de esta a la integridad física y moral (art. 15 CE), porque se trata de una actuación médica sobre su cuerpo que se inserta en el ámbito de protección otorgado por ese derecho fundamental, precisando por ello su consentimiento, dado que ya tenía cumplidos los doce años de edad.</w:t>
      </w:r>
    </w:p>
    <w:p w14:paraId="47456356" w14:textId="77777777" w:rsidR="008D479B" w:rsidRDefault="008D479B" w:rsidP="008D479B">
      <w:pPr>
        <w:pStyle w:val="TextoNormal"/>
      </w:pPr>
    </w:p>
    <w:p w14:paraId="5922B844" w14:textId="1F186184" w:rsidR="008D479B" w:rsidRDefault="008D479B" w:rsidP="008D479B">
      <w:pPr>
        <w:pStyle w:val="TextoNormal"/>
      </w:pPr>
      <w:r w:rsidRPr="008D479B">
        <w:rPr>
          <w:rStyle w:val="NumeroAFNegritaCaracter"/>
        </w:rPr>
        <w:t>8</w:t>
      </w:r>
      <w:r>
        <w:t>. Por providencia de 7 de diciembre de 2023 se señaló para deliberación y votación de la presente sentencia el día 11 del mismo mes y año.</w:t>
      </w:r>
    </w:p>
    <w:p w14:paraId="08D52E3A" w14:textId="77777777" w:rsidR="008D479B" w:rsidRDefault="008D479B" w:rsidP="008D479B">
      <w:pPr>
        <w:pStyle w:val="TextoNormal"/>
      </w:pPr>
    </w:p>
    <w:p w14:paraId="506701BC" w14:textId="77777777" w:rsidR="008D479B" w:rsidRDefault="008D479B" w:rsidP="008D479B">
      <w:pPr>
        <w:pStyle w:val="TextoNormalNegritaCentrado"/>
        <w:keepNext/>
      </w:pPr>
      <w:r>
        <w:t>II. Fundamentos jurídicos</w:t>
      </w:r>
    </w:p>
    <w:p w14:paraId="6543FA07" w14:textId="6E04FCE6" w:rsidR="008D479B" w:rsidRDefault="008D479B" w:rsidP="008D479B">
      <w:pPr>
        <w:pStyle w:val="TextoNormalNegritaCentrado"/>
        <w:keepNext/>
      </w:pPr>
    </w:p>
    <w:p w14:paraId="32F4CB33" w14:textId="77777777" w:rsidR="008D479B" w:rsidRDefault="008D479B" w:rsidP="008D479B">
      <w:pPr>
        <w:pStyle w:val="TextoNormal"/>
      </w:pPr>
      <w:r w:rsidRPr="008D479B">
        <w:rPr>
          <w:rStyle w:val="NumeroAFNegritaCaracter"/>
        </w:rPr>
        <w:t>1</w:t>
      </w:r>
      <w:r>
        <w:t xml:space="preserve">. </w:t>
      </w:r>
      <w:r w:rsidRPr="008D479B">
        <w:rPr>
          <w:i/>
        </w:rPr>
        <w:t>Objeto del recurso</w:t>
      </w:r>
    </w:p>
    <w:p w14:paraId="298A5C68" w14:textId="77777777" w:rsidR="008D479B" w:rsidRDefault="008D479B" w:rsidP="008D479B">
      <w:pPr>
        <w:pStyle w:val="TextoNormal"/>
      </w:pPr>
    </w:p>
    <w:p w14:paraId="488C09C3" w14:textId="77777777" w:rsidR="008D479B" w:rsidRDefault="008D479B" w:rsidP="008D479B">
      <w:pPr>
        <w:pStyle w:val="TextoNormal"/>
      </w:pPr>
      <w:r>
        <w:t>El presente recurso de amparo se dirige contra el auto de 19 de enero de 2022 del Juzgado de Primera Instancia núm. 3 de San Sebastián, dictado en el procedimiento de jurisdicción voluntaria núm. 570-2021, que atribuyó a don J.M.G.G., la facultad de decidir sobre la administración de la vacuna frente a la covid-19 a su hija menor (de doce años), y contra el auto de la Sección Segunda de la Audiencia Provincial de Guipúzcoa de 30 de junio de 2022, dictado en el rollo de apelación núm. 2481-2022, confirmatorio del anterior.</w:t>
      </w:r>
    </w:p>
    <w:p w14:paraId="459CD7F0" w14:textId="77777777" w:rsidR="008D479B" w:rsidRDefault="008D479B" w:rsidP="008D479B">
      <w:pPr>
        <w:pStyle w:val="TextoNormal"/>
      </w:pPr>
    </w:p>
    <w:p w14:paraId="4059672C" w14:textId="05556B20" w:rsidR="008D479B" w:rsidRDefault="008D479B" w:rsidP="008D479B">
      <w:pPr>
        <w:pStyle w:val="TextoNormal"/>
      </w:pPr>
      <w:r>
        <w:t>Dada la naturaleza de los hechos, debe señalarse que, en aplicación de las potestades atribuidas a este tribunal por el art. 86.3 LOTC y el acuerdo del Pleno de 23 de julio de 2015, por el que se regula la exclusión de los datos de identidad personal en la publicación de las resoluciones jurisdiccionales (“Boletín Oficial del Estado” núm. 178, de 27 de julio de 2015), la presente sentencia y demás actuaciones del proceso no incluyen la identificación completa de la persona menor de edad afectada ni la de sus parientes inmediatos que aparecen mencionados en las mismas, con el fin de proteger la intimidad de aquella.</w:t>
      </w:r>
    </w:p>
    <w:p w14:paraId="50F9C010" w14:textId="77777777" w:rsidR="008D479B" w:rsidRDefault="008D479B" w:rsidP="008D479B">
      <w:pPr>
        <w:pStyle w:val="TextoNormal"/>
      </w:pPr>
    </w:p>
    <w:p w14:paraId="291DE713" w14:textId="77777777" w:rsidR="008D479B" w:rsidRDefault="008D479B" w:rsidP="008D479B">
      <w:pPr>
        <w:pStyle w:val="TextoNormal"/>
      </w:pPr>
      <w:r w:rsidRPr="008D479B">
        <w:rPr>
          <w:rStyle w:val="NumeroAFNegritaCaracter"/>
        </w:rPr>
        <w:t>2</w:t>
      </w:r>
      <w:r>
        <w:t xml:space="preserve">. </w:t>
      </w:r>
      <w:r w:rsidRPr="008D479B">
        <w:rPr>
          <w:i/>
        </w:rPr>
        <w:t>Cuestiones previas y delimitación de los derechos fundamentales concernidos</w:t>
      </w:r>
    </w:p>
    <w:p w14:paraId="74CDA78D" w14:textId="77777777" w:rsidR="008D479B" w:rsidRDefault="008D479B" w:rsidP="008D479B">
      <w:pPr>
        <w:pStyle w:val="TextoNormal"/>
      </w:pPr>
    </w:p>
    <w:p w14:paraId="2A8DFEF3" w14:textId="77777777" w:rsidR="008D479B" w:rsidRDefault="008D479B" w:rsidP="008D479B">
      <w:pPr>
        <w:pStyle w:val="TextoNormal"/>
      </w:pPr>
      <w:r>
        <w:t>Con carácter previo al examen de las cuestiones de fondo planteadas en la demanda de amparo, deben hacerse las siguientes precisiones:</w:t>
      </w:r>
    </w:p>
    <w:p w14:paraId="094B7284" w14:textId="77777777" w:rsidR="008D479B" w:rsidRDefault="008D479B" w:rsidP="008D479B">
      <w:pPr>
        <w:pStyle w:val="TextoNormal"/>
      </w:pPr>
    </w:p>
    <w:p w14:paraId="34937F1A" w14:textId="77777777" w:rsidR="008D479B" w:rsidRDefault="008D479B" w:rsidP="008D479B">
      <w:pPr>
        <w:pStyle w:val="TextoNormal"/>
      </w:pPr>
      <w:r>
        <w:t>a) En el recurso de amparo se alega la vulneración del derecho a la tutela judicial efectiva (art 24.1 CE), en relación con el derecho a un procedimiento con todas las garantías (art. 24.2 CE), porque el juzgado procedió a celebrar la comparecencia prevista en el art. 85 de la Ley de la jurisdicción voluntaria, dictando inmediatamente auto por el que se atribuye al padre la facultad de decidir sobre la inoculación de la vacuna contra la covid-19 a la niña, de doce años, sin oír a esta previamente, como es preceptivo conforme al citado precepto legal.</w:t>
      </w:r>
    </w:p>
    <w:p w14:paraId="56B7A31E" w14:textId="77777777" w:rsidR="008D479B" w:rsidRDefault="008D479B" w:rsidP="008D479B">
      <w:pPr>
        <w:pStyle w:val="TextoNormal"/>
      </w:pPr>
    </w:p>
    <w:p w14:paraId="194F63C0" w14:textId="77777777" w:rsidR="008D479B" w:rsidRDefault="008D479B" w:rsidP="008D479B">
      <w:pPr>
        <w:pStyle w:val="TextoNormal"/>
      </w:pPr>
      <w:r>
        <w:t xml:space="preserve">Conforme a lo interesado por el Ministerio Fiscal, esta queja debe ser inadmitida por incurrir en el óbice de falta de invocación tempestiva en la vía judicial [art. 44.1 c) LOTC]. En efecto, la queja se plantea </w:t>
      </w:r>
      <w:r w:rsidRPr="008D479B">
        <w:rPr>
          <w:i/>
        </w:rPr>
        <w:t>per saltum</w:t>
      </w:r>
      <w:r>
        <w:t xml:space="preserve"> en el recurso de amparo, pues la recurrente no interesó que la niña fuera oída en el expediente de jurisdicción voluntaria cuando presentó su escrito inicial de oposición a la solicitud del padre, ni tampoco lo hizo en el recurso de apelación contra el auto dictado por el juzgado que desestimó la oposición y atribuyó al padre la facultad de decidir sobre la inoculación de la vacuna frente a la covid-19 a la menor.</w:t>
      </w:r>
    </w:p>
    <w:p w14:paraId="7C53F289" w14:textId="77777777" w:rsidR="008D479B" w:rsidRDefault="008D479B" w:rsidP="008D479B">
      <w:pPr>
        <w:pStyle w:val="TextoNormal"/>
      </w:pPr>
    </w:p>
    <w:p w14:paraId="41E053DA" w14:textId="28E07EAC" w:rsidR="008D479B" w:rsidRDefault="008D479B" w:rsidP="008D479B">
      <w:pPr>
        <w:pStyle w:val="TextoNormal"/>
      </w:pPr>
      <w:r>
        <w:t>b) El objeto del recurso de amparo queda, en consecuencia, constreñido a examinar si se ha producido la alegada vulneración del derecho a la integridad física y moral (art. 15 CE), por falta de consentimiento informado de la menor y de sus progenitores para la inoculación a aquella de la vacuna contra la covid-19. Esta es la lesión constitucional que se imputa a la decisión judicial, confirmada en apelación, que atribuye la facultad de decidir al progenitor favorable a la vacunación.</w:t>
      </w:r>
    </w:p>
    <w:p w14:paraId="72DB4D13" w14:textId="77777777" w:rsidR="008D479B" w:rsidRDefault="008D479B" w:rsidP="008D479B">
      <w:pPr>
        <w:pStyle w:val="TextoNormal"/>
      </w:pPr>
    </w:p>
    <w:p w14:paraId="2C247C3C" w14:textId="77777777" w:rsidR="008D479B" w:rsidRDefault="008D479B" w:rsidP="008D479B">
      <w:pPr>
        <w:pStyle w:val="TextoNormal"/>
      </w:pPr>
      <w:r w:rsidRPr="008D479B">
        <w:rPr>
          <w:rStyle w:val="NumeroAFNegritaCaracter"/>
        </w:rPr>
        <w:t>3</w:t>
      </w:r>
      <w:r>
        <w:t xml:space="preserve">. </w:t>
      </w:r>
      <w:r w:rsidRPr="008D479B">
        <w:rPr>
          <w:i/>
        </w:rPr>
        <w:t>Aplicación de la doctrina constitucional expuesta en la STC 148/2023, de 6 de noviembre</w:t>
      </w:r>
    </w:p>
    <w:p w14:paraId="475E8D5E" w14:textId="77777777" w:rsidR="008D479B" w:rsidRDefault="008D479B" w:rsidP="008D479B">
      <w:pPr>
        <w:pStyle w:val="TextoNormal"/>
      </w:pPr>
    </w:p>
    <w:p w14:paraId="1B5A70A5" w14:textId="77777777" w:rsidR="008D479B" w:rsidRDefault="008D479B" w:rsidP="008D479B">
      <w:pPr>
        <w:pStyle w:val="TextoNormal"/>
      </w:pPr>
      <w:r>
        <w:t>La cuestión constitucional suscitada, por tanto, en este recurso en relación con el derecho fundamental a la integridad física y moral (art. 15 CE) es la misma que ya ha sido objeto de análisis por el Pleno de este tribunal en la STC 148/2023, de 6 de noviembre, en cuyos fundamentos jurídicos 4 y 5 se expusieron de manera pormenorizada las pautas de ponderación necesarias para determinar si en este tipo de supuestos se ha vulnerado el derecho a la integridad personal, centrando la cuestión en que la administración de la vacuna, a falta de consentimiento libre, válido e informado de la persona afectada, precisa, para ser conforme con la Constitución, el cumplimiento de los requisitos generales que, de acuerdo con nuestra doctrina, rigen la restricción de los derechos fundamentales sustantivos.</w:t>
      </w:r>
    </w:p>
    <w:p w14:paraId="57C5BED0" w14:textId="77777777" w:rsidR="008D479B" w:rsidRDefault="008D479B" w:rsidP="008D479B">
      <w:pPr>
        <w:pStyle w:val="TextoNormal"/>
      </w:pPr>
    </w:p>
    <w:p w14:paraId="6EFAFB9B" w14:textId="77777777" w:rsidR="008D479B" w:rsidRDefault="008D479B" w:rsidP="008D479B">
      <w:pPr>
        <w:pStyle w:val="TextoNormal"/>
      </w:pPr>
      <w:r>
        <w:t>En atención a lo expuesto, en este caso, como también se concluyó en la STC 148/2023, FJ 5, el Tribunal rechaza que se haya vulnerado el derecho garantizado por el art. 15 CE al constatarse que: (i) se cumple el presupuesto básico que el art. 9.3, letra c), de la Ley 41/2002 establece para que pueda acudirse al consentimiento por representación —otorgado por los progenitores de común acuerdo o por la autoridad judicial en caso de desacuerdo— porque los padres contaban con la información adecuada para la prestación del consentimiento desde un momento anterior incluso a la iniciación del procedimiento de jurisdicción voluntaria, por lo que no cabe apreciar la ausencia de consentimiento informado; y (ii) la motivación de las resoluciones judiciales tuvo como fundamento esencial la protección del interés superior de la menor en relación con la protección de su salud, teniendo en cuenta la recomendación de las autoridades sanitarias, que se mostraban a favor de la vacunación de menores, haciendo una ponderación de riesgos y beneficios de la vacuna que los órganos judiciales no estiman desvirtuada por los informes aportados por la recurrente.</w:t>
      </w:r>
    </w:p>
    <w:p w14:paraId="0B747611" w14:textId="77777777" w:rsidR="008D479B" w:rsidRDefault="008D479B" w:rsidP="008D479B">
      <w:pPr>
        <w:pStyle w:val="TextoNormal"/>
      </w:pPr>
    </w:p>
    <w:p w14:paraId="6EC6BFA6" w14:textId="3786F69B" w:rsidR="008D479B" w:rsidRDefault="008D479B" w:rsidP="008D479B">
      <w:pPr>
        <w:pStyle w:val="TextoNormal"/>
      </w:pPr>
      <w:r>
        <w:t>Por otra parte, la resolución sobre el fondo de este recurso implica que no resulte procedente resolver sobre la medida cautelar de suspensión solicitada por la recurrente, lo que determina que deba acordarse el archivo de la pieza separada de suspensión.</w:t>
      </w:r>
    </w:p>
    <w:p w14:paraId="2D3835B9" w14:textId="77777777" w:rsidR="008D479B" w:rsidRDefault="008D479B" w:rsidP="008D479B">
      <w:pPr>
        <w:pStyle w:val="TextoNormal"/>
      </w:pPr>
    </w:p>
    <w:p w14:paraId="08CC7B1D" w14:textId="77777777" w:rsidR="008D479B" w:rsidRDefault="008D479B" w:rsidP="008D479B">
      <w:pPr>
        <w:pStyle w:val="TextoNormalCentrado"/>
        <w:keepNext/>
      </w:pPr>
      <w:r>
        <w:t>FALLO</w:t>
      </w:r>
    </w:p>
    <w:p w14:paraId="6B762ED1" w14:textId="597F6EDA" w:rsidR="008D479B" w:rsidRDefault="008D479B" w:rsidP="008D479B">
      <w:pPr>
        <w:pStyle w:val="TextoNormalCentrado"/>
        <w:keepNext/>
      </w:pPr>
    </w:p>
    <w:p w14:paraId="66B13899" w14:textId="236C5091" w:rsidR="008D479B" w:rsidRDefault="008D479B" w:rsidP="008D479B">
      <w:pPr>
        <w:pStyle w:val="TextoNormal"/>
      </w:pPr>
      <w:r>
        <w:t>En atención a todo lo expuesto, el Tribunal Constitucional, por la autoridad que le confiere la Constitución de la Nación española, ha decidido desestimar el recurso de amparo interpuesto por doña E.G.G., y archivar la pieza separada de suspensión.</w:t>
      </w:r>
    </w:p>
    <w:p w14:paraId="2CE08BED" w14:textId="77777777" w:rsidR="008D479B" w:rsidRDefault="008D479B" w:rsidP="008D479B">
      <w:pPr>
        <w:pStyle w:val="TextoNormal"/>
      </w:pPr>
    </w:p>
    <w:p w14:paraId="5F91819F" w14:textId="77777777" w:rsidR="008D479B" w:rsidRDefault="008D479B" w:rsidP="008D479B">
      <w:pPr>
        <w:pStyle w:val="TextoNormal"/>
      </w:pPr>
      <w:r>
        <w:t>Publíquese esta sentencia en el “Boletín Oficial del Estado”.</w:t>
      </w:r>
    </w:p>
    <w:p w14:paraId="1DE224A5" w14:textId="77777777" w:rsidR="008D479B" w:rsidRDefault="008D479B" w:rsidP="008D479B">
      <w:pPr>
        <w:pStyle w:val="TextoNormal"/>
      </w:pPr>
      <w:r>
        <w:t>Dada en Madrid, a once de diciembre de dos mil veintitrés.</w:t>
      </w:r>
    </w:p>
    <w:p w14:paraId="4B8A441F" w14:textId="567CD743" w:rsidR="008D479B" w:rsidRDefault="008D479B">
      <w:pPr>
        <w:spacing w:after="160" w:line="278" w:lineRule="auto"/>
        <w:rPr>
          <w:rFonts w:ascii="Times New Roman" w:eastAsia="Times New Roman" w:hAnsi="Times New Roman" w:cs="Times New Roman"/>
          <w:sz w:val="24"/>
          <w:szCs w:val="24"/>
          <w:lang w:eastAsia="es-ES"/>
        </w:rPr>
      </w:pPr>
      <w:r>
        <w:br w:type="page"/>
      </w:r>
    </w:p>
    <w:p w14:paraId="04D3D5CD" w14:textId="77777777" w:rsidR="008D479B" w:rsidRDefault="008D479B" w:rsidP="008D479B">
      <w:pPr>
        <w:pStyle w:val="TtuloResolucin"/>
      </w:pPr>
      <w:bookmarkStart w:id="109" w:name="SENTENCIA_2023_184"/>
      <w:r>
        <w:t>SENTENCIA 184/2023, de 11 de diciembre de 2023</w:t>
      </w:r>
    </w:p>
    <w:bookmarkEnd w:id="109"/>
    <w:p w14:paraId="4A553384" w14:textId="77777777" w:rsidR="008D479B" w:rsidRDefault="008D479B" w:rsidP="008D479B">
      <w:pPr>
        <w:pStyle w:val="TtuloResolucin"/>
      </w:pPr>
      <w:r>
        <w:t>Sala Primera</w:t>
      </w:r>
    </w:p>
    <w:p w14:paraId="1E3AB765" w14:textId="77777777" w:rsidR="008D479B" w:rsidRDefault="008D479B" w:rsidP="008D479B">
      <w:pPr>
        <w:pStyle w:val="TtuloBOE"/>
      </w:pPr>
      <w:r>
        <w:t>(BOE núm. 16, de 18 de enero de 2024)</w:t>
      </w:r>
    </w:p>
    <w:p w14:paraId="65C52C88" w14:textId="77777777" w:rsidR="008D479B" w:rsidRDefault="008D479B" w:rsidP="008D479B">
      <w:pPr>
        <w:pStyle w:val="TextoNormalCentrado"/>
      </w:pPr>
      <w:r>
        <w:t>ECLI:ES:TC:2023:184</w:t>
      </w:r>
    </w:p>
    <w:p w14:paraId="4F10888D" w14:textId="5A93738F" w:rsidR="008D479B" w:rsidRDefault="008D479B" w:rsidP="008D479B">
      <w:pPr>
        <w:pStyle w:val="TextoNormalCentrado"/>
      </w:pPr>
    </w:p>
    <w:p w14:paraId="245DC901" w14:textId="77777777" w:rsidR="008D479B" w:rsidRDefault="008D479B" w:rsidP="008D479B">
      <w:pPr>
        <w:pStyle w:val="SntesisDescriptiva"/>
      </w:pPr>
      <w:r>
        <w:t>Recurso de amparo 7685-2022. Promovido por don César Muñoz Jiménez en relación con los autos dictados por la Audiencia Provincial de Madrid en ejecución de sentencia penal.</w:t>
      </w:r>
    </w:p>
    <w:p w14:paraId="7DDE6A8D" w14:textId="58AA9D34" w:rsidR="008D479B" w:rsidRDefault="008D479B" w:rsidP="008D479B">
      <w:pPr>
        <w:pStyle w:val="SntesisDescriptiva"/>
      </w:pPr>
    </w:p>
    <w:p w14:paraId="71813313" w14:textId="77777777" w:rsidR="008D479B" w:rsidRDefault="008D479B" w:rsidP="008D479B">
      <w:pPr>
        <w:pStyle w:val="SntesisAnaltica"/>
      </w:pPr>
      <w:r>
        <w:t>Vulneración del derecho a la tutela judicial efectiva en relación con el derecho a la libertad personal: revocación de la suspensión de ejecución de pena privativa de libertad que no satisface las exigencias de motivación reforzada.</w:t>
      </w:r>
    </w:p>
    <w:p w14:paraId="3DB63F31" w14:textId="13A30EF3" w:rsidR="008D479B" w:rsidRDefault="008D479B" w:rsidP="008D479B">
      <w:pPr>
        <w:pStyle w:val="SntesisAnaltica"/>
      </w:pPr>
    </w:p>
    <w:p w14:paraId="2C7FEAFD" w14:textId="090792CF" w:rsidR="008D479B" w:rsidRDefault="008D479B" w:rsidP="008D479B">
      <w:pPr>
        <w:pStyle w:val="Extracto"/>
      </w:pPr>
      <w:r>
        <w:t>1.</w:t>
      </w:r>
      <w:r>
        <w:tab/>
        <w:t>Ni la suspensión ni la revocación de la ejecución de la pena pueden condicionarse al pago de la responsabilidad civil cuando es imposible ese pago. Y la motivación de las decisiones judiciales que revocan una suspensión deben tener presente esta regla en su examen de la concurrencia de los presupuestos legales de tal consecuencia, que a su vez la reflejan [art. 86.1 d) CP: ‘salvo que careciera de capacidad económica para ello’], junto con la ponderación de los bienes y derechos en conflicto de conformidad con los fines constitucionalmente fijados de las penas privativas de libertad y la orientación a la reeducación y reinserción social inherente a la figura de la suspensión como alternativa a los efectos contrarios de las penas privativas de libertad cortas [FJ 3].</w:t>
      </w:r>
    </w:p>
    <w:p w14:paraId="66B8A90A" w14:textId="77777777" w:rsidR="008D479B" w:rsidRDefault="008D479B" w:rsidP="008D479B">
      <w:pPr>
        <w:pStyle w:val="Extracto"/>
      </w:pPr>
    </w:p>
    <w:p w14:paraId="020520A2" w14:textId="77777777" w:rsidR="008D479B" w:rsidRDefault="008D479B" w:rsidP="008D479B">
      <w:pPr>
        <w:pStyle w:val="Extracto"/>
      </w:pPr>
    </w:p>
    <w:p w14:paraId="1E2A4EAF" w14:textId="77777777" w:rsidR="008D479B" w:rsidRDefault="008D479B" w:rsidP="008D479B">
      <w:pPr>
        <w:pStyle w:val="TextoNormal"/>
      </w:pPr>
      <w:r>
        <w:t>La Sala Primera del Tribunal Constitucional, compuesta por el magistrado don Cándido Conde-Pumpido Tourón, presidente, y los magistrados y magistradas don Ricardo Enríquez Sancho, doña Concepción Espejel Jorquera, doña María Luisa Segoviano Astaburuaga y don Juan Carlos Campo Moreno, ha pronunciado</w:t>
      </w:r>
    </w:p>
    <w:p w14:paraId="1BF9C5B2" w14:textId="7A22A53F" w:rsidR="008D479B" w:rsidRDefault="008D479B" w:rsidP="008D479B">
      <w:pPr>
        <w:pStyle w:val="TextoNormal"/>
      </w:pPr>
    </w:p>
    <w:p w14:paraId="275475DA" w14:textId="77777777" w:rsidR="008D479B" w:rsidRDefault="008D479B" w:rsidP="008D479B">
      <w:pPr>
        <w:pStyle w:val="TextoNormalCentrado"/>
        <w:keepNext/>
      </w:pPr>
      <w:r>
        <w:t>EN NOMBRE DEL REY</w:t>
      </w:r>
    </w:p>
    <w:p w14:paraId="2CD85FDE" w14:textId="03E29AAC" w:rsidR="008D479B" w:rsidRDefault="008D479B" w:rsidP="008D479B">
      <w:pPr>
        <w:pStyle w:val="TextoNormalCentrado"/>
        <w:keepNext/>
      </w:pPr>
    </w:p>
    <w:p w14:paraId="100CFA5C" w14:textId="77777777" w:rsidR="008D479B" w:rsidRDefault="008D479B" w:rsidP="008D479B">
      <w:pPr>
        <w:pStyle w:val="TextoNormalCentrado"/>
        <w:keepNext/>
      </w:pPr>
    </w:p>
    <w:p w14:paraId="1252CC95" w14:textId="77777777" w:rsidR="008D479B" w:rsidRDefault="008D479B" w:rsidP="008D479B">
      <w:pPr>
        <w:pStyle w:val="TextoNormal"/>
      </w:pPr>
      <w:r>
        <w:t>la siguiente</w:t>
      </w:r>
    </w:p>
    <w:p w14:paraId="5AF4452C" w14:textId="680E940E" w:rsidR="008D479B" w:rsidRDefault="008D479B" w:rsidP="008D479B">
      <w:pPr>
        <w:pStyle w:val="TextoNormal"/>
      </w:pPr>
    </w:p>
    <w:p w14:paraId="236AF213" w14:textId="77777777" w:rsidR="008D479B" w:rsidRDefault="008D479B" w:rsidP="008D479B">
      <w:pPr>
        <w:pStyle w:val="TextoNormalCentrado"/>
        <w:keepNext/>
      </w:pPr>
      <w:r>
        <w:t>SENTENCIA</w:t>
      </w:r>
    </w:p>
    <w:p w14:paraId="54C82BAC" w14:textId="1E404A31" w:rsidR="008D479B" w:rsidRDefault="008D479B" w:rsidP="008D479B">
      <w:pPr>
        <w:pStyle w:val="TextoNormalCentrado"/>
        <w:keepNext/>
      </w:pPr>
    </w:p>
    <w:p w14:paraId="2400F178" w14:textId="77777777" w:rsidR="008D479B" w:rsidRDefault="008D479B" w:rsidP="008D479B">
      <w:pPr>
        <w:pStyle w:val="TextoNormal"/>
      </w:pPr>
      <w:r>
        <w:t>En el recurso de amparo núm. 7685-2022, promovido por don César Muñoz Jiménez, representado por la procuradora de los tribunales doña María Jesús Fernández Salagre, bajo la dirección del letrado don Eduardo Sánchez Cubel, contra el auto de 4 de octubre de 2022, de la Sección Quinta de la Audiencia Provincial de Madrid, dictado en la ejecutoria penal/expediente de ejecución núm. 81-2018, por el que se desestimó el recurso de súplica interpuesto contra el auto de 6 de septiembre de 2022, también impugnado. Ha intervenido el Ministerio Fiscal. Ha sido ponente la magistrada doña Concepción Espejel Jorquera.</w:t>
      </w:r>
    </w:p>
    <w:p w14:paraId="56C8D850" w14:textId="51256E2F" w:rsidR="008D479B" w:rsidRDefault="008D479B" w:rsidP="008D479B">
      <w:pPr>
        <w:pStyle w:val="TextoNormal"/>
      </w:pPr>
    </w:p>
    <w:p w14:paraId="3DB7B08B" w14:textId="77777777" w:rsidR="008D479B" w:rsidRDefault="008D479B" w:rsidP="008D479B">
      <w:pPr>
        <w:pStyle w:val="TextoNormalNegritaCentrado"/>
        <w:keepNext/>
      </w:pPr>
      <w:r>
        <w:t>I. Antecedentes</w:t>
      </w:r>
    </w:p>
    <w:p w14:paraId="48A9AED4" w14:textId="30A4CF76" w:rsidR="008D479B" w:rsidRDefault="008D479B" w:rsidP="008D479B">
      <w:pPr>
        <w:pStyle w:val="TextoNormalNegritaCentrado"/>
        <w:keepNext/>
      </w:pPr>
    </w:p>
    <w:p w14:paraId="24BE1CBB" w14:textId="1ECBE21C" w:rsidR="008D479B" w:rsidRDefault="008D479B" w:rsidP="008D479B">
      <w:pPr>
        <w:pStyle w:val="TextoNormal"/>
      </w:pPr>
      <w:r w:rsidRPr="008D479B">
        <w:rPr>
          <w:rStyle w:val="NumeroAFNegritaCaracter"/>
        </w:rPr>
        <w:t>1</w:t>
      </w:r>
      <w:r>
        <w:t>. Mediante escrito presentado en el registro general de este tribunal el 21 de noviembre de 2022, la procuradora de los tribunales doña María Jesús Fernández Salagre, actuando en nombre y representación de don César Muñoz Jiménez, bajo la defensa del abogado don Eduardo Francisco Sánchez Cubel, interpuso demanda de amparo contra las resoluciones arriba mencionadas.</w:t>
      </w:r>
    </w:p>
    <w:p w14:paraId="01C65B07" w14:textId="77777777" w:rsidR="008D479B" w:rsidRDefault="008D479B" w:rsidP="008D479B">
      <w:pPr>
        <w:pStyle w:val="TextoNormal"/>
      </w:pPr>
    </w:p>
    <w:p w14:paraId="7898DFE0" w14:textId="77777777" w:rsidR="008D479B" w:rsidRDefault="008D479B" w:rsidP="008D479B">
      <w:pPr>
        <w:pStyle w:val="TextoNormal"/>
      </w:pPr>
      <w:r w:rsidRPr="008D479B">
        <w:rPr>
          <w:rStyle w:val="NumeroAFNegritaCaracter"/>
        </w:rPr>
        <w:t>2</w:t>
      </w:r>
      <w:r>
        <w:t>. Los hechos con relevancia para la resolución del presente recurso de amparo y a los que se refiere la demanda presentada, son los siguientes:</w:t>
      </w:r>
    </w:p>
    <w:p w14:paraId="523523D3" w14:textId="77777777" w:rsidR="008D479B" w:rsidRDefault="008D479B" w:rsidP="008D479B">
      <w:pPr>
        <w:pStyle w:val="TextoNormal"/>
      </w:pPr>
    </w:p>
    <w:p w14:paraId="51D3A16B" w14:textId="77777777" w:rsidR="008D479B" w:rsidRDefault="008D479B" w:rsidP="008D479B">
      <w:pPr>
        <w:pStyle w:val="TextoNormal"/>
      </w:pPr>
      <w:r>
        <w:t>a) El 12 de abril de 2018 la Sección Quinta de la Audiencia Provincial de Madrid dictó la sentencia núm. 29/2018, en el procedimiento abreviado núm. 3330-2017 procedente del procedimiento abreviado núm. 9426-2014 del Juzgado de Instrucción núm. 30 de Madrid, con la siguiente parte dispositiva:</w:t>
      </w:r>
    </w:p>
    <w:p w14:paraId="5BA88A3C" w14:textId="77777777" w:rsidR="008D479B" w:rsidRDefault="008D479B" w:rsidP="008D479B">
      <w:pPr>
        <w:pStyle w:val="TextoNormal"/>
      </w:pPr>
    </w:p>
    <w:p w14:paraId="2B256C02" w14:textId="77777777" w:rsidR="008D479B" w:rsidRDefault="008D479B" w:rsidP="008D479B">
      <w:pPr>
        <w:pStyle w:val="TextoNormal"/>
      </w:pPr>
      <w:r>
        <w:t>“Que debemos condenar y condenamos al acusado César Muñoz Jiménez, como autor responsable de un delito de estafa, con la concurrencia de la circunstancia atenuante de la responsabilidad criminal de dilaciones indebidas, a la pena de un año de prisión, con la accesoria de inhabilitación especial para el derecho de sufragio pasivo durante el tiempo de la condena, y multa de seis meses, con una cuota diaria de seis euros, sujeta a una responsabilidad personal subsidiaria de un día de privación de libertad por cada dos cuotas diarias no satisfechas, conforme a lo dispuesto en el artículo 53 del Código penal, al pago de las costas procesales, incluidas las de la acusación particular y a que indemnice a Charaf Lamchachti El Fazazi en la cantidad de 4 333 € por los perjuicios sufridos, a Mohamed Lamchachti Lamchachti en la cantidad de 4 334 € por los perjuicios sufridos y a Noureddine El Fadili en la cantidad de 4 333 € por los perjuicios sufridos, cantidades estas que devengarán los intereses previstos en el artículo 576 de la LEC, y que deberán ser satisfechas por la mercantil ‘Albufera Hogar, S.L.U.’ como responsable civil subsidiario en caso de impago por el acusado”.</w:t>
      </w:r>
    </w:p>
    <w:p w14:paraId="76E4CF45" w14:textId="77777777" w:rsidR="008D479B" w:rsidRDefault="008D479B" w:rsidP="008D479B">
      <w:pPr>
        <w:pStyle w:val="TextoNormal"/>
      </w:pPr>
    </w:p>
    <w:p w14:paraId="3ED0119E" w14:textId="77777777" w:rsidR="008D479B" w:rsidRDefault="008D479B" w:rsidP="008D479B">
      <w:pPr>
        <w:pStyle w:val="TextoNormal"/>
      </w:pPr>
      <w:r>
        <w:t>b) Contra la sentencia de instancia el condenado interpuso recurso de casación, que fue inadmitido por la Sala de lo Penal del Tribunal Supremo mediante el auto núm. 1163/2018, de 13 de septiembre, dictado en el recurso de casación núm. 1587-2018.</w:t>
      </w:r>
    </w:p>
    <w:p w14:paraId="7E94ADBF" w14:textId="77777777" w:rsidR="008D479B" w:rsidRDefault="008D479B" w:rsidP="008D479B">
      <w:pPr>
        <w:pStyle w:val="TextoNormal"/>
      </w:pPr>
    </w:p>
    <w:p w14:paraId="1FD7C7C7" w14:textId="77777777" w:rsidR="008D479B" w:rsidRDefault="008D479B" w:rsidP="008D479B">
      <w:pPr>
        <w:pStyle w:val="TextoNormal"/>
      </w:pPr>
      <w:r>
        <w:t xml:space="preserve">c) Una vez declarada la firmeza de la sentencia de instancia mediante auto de 7 de noviembre de 2018, la Sección </w:t>
      </w:r>
      <w:r w:rsidRPr="008D479B">
        <w:rPr>
          <w:i/>
        </w:rPr>
        <w:t>a quo</w:t>
      </w:r>
      <w:r>
        <w:t xml:space="preserve"> dictó providencia de 19 de noviembre de 2018 en el procedimiento de ejecutoria penal/expediente de ejecución 81-2018, en la que acordó, en lo que ahora interesa, dar traslado a las partes interesadas para que en el plazo de cinco días puedan formular alegaciones sobre la posible suspensión de la pena de prisión, pudiendo exponer, en su caso, lo que estimen oportuno sobre la imposibilidad de satisfacer las responsabilidades civiles.</w:t>
      </w:r>
    </w:p>
    <w:p w14:paraId="14909AA0" w14:textId="77777777" w:rsidR="008D479B" w:rsidRDefault="008D479B" w:rsidP="008D479B">
      <w:pPr>
        <w:pStyle w:val="TextoNormal"/>
      </w:pPr>
    </w:p>
    <w:p w14:paraId="1EA740D6" w14:textId="77777777" w:rsidR="008D479B" w:rsidRDefault="008D479B" w:rsidP="008D479B">
      <w:pPr>
        <w:pStyle w:val="TextoNormal"/>
      </w:pPr>
      <w:r>
        <w:t>d) El 27 de noviembre de 2018, el ahora recurrente fue requerido para el pago de la pena de multa y de las responsabilidades civiles por importe de 13 000 €.</w:t>
      </w:r>
    </w:p>
    <w:p w14:paraId="6D1670C5" w14:textId="77777777" w:rsidR="008D479B" w:rsidRDefault="008D479B" w:rsidP="008D479B">
      <w:pPr>
        <w:pStyle w:val="TextoNormal"/>
      </w:pPr>
    </w:p>
    <w:p w14:paraId="0DD9F8A6" w14:textId="77777777" w:rsidR="008D479B" w:rsidRDefault="008D479B" w:rsidP="008D479B">
      <w:pPr>
        <w:pStyle w:val="TextoNormal"/>
      </w:pPr>
      <w:r>
        <w:t>En la diligencia de requerimiento consta que el penado manifestó lo siguiente:</w:t>
      </w:r>
    </w:p>
    <w:p w14:paraId="600447A5" w14:textId="77777777" w:rsidR="008D479B" w:rsidRDefault="008D479B" w:rsidP="008D479B">
      <w:pPr>
        <w:pStyle w:val="TextoNormal"/>
      </w:pPr>
    </w:p>
    <w:p w14:paraId="2E90E828" w14:textId="77777777" w:rsidR="008D479B" w:rsidRDefault="008D479B" w:rsidP="008D479B">
      <w:pPr>
        <w:pStyle w:val="TextoNormal"/>
      </w:pPr>
      <w:r>
        <w:t>“Solicita la suspensión de la pena privativa de libertad manifestando estar arrepentido por los hechos y solicitando perdón por los mismos alegando que nunca tuvo intención de perjudicar a nadie. Que tras la crisis inmobiliaria le han ido mal los negocios y que actualmente no tiene trabajo, si bien lo está buscando y cursando formación para encontrar empleo rápidamente, habiendo hablado con familiares para poder hacer frente al pago de la multa y responsabilidad civil, por lo que podría abonar 400 € al mes, subsidiariamente si no le fuera concedida la suspensión ordinaria solicita la suspensión extraordinaria del 80.3 del CP estando dispuesto a cumplir trabajos en beneficio de la comunidad o cualesquiera condiciones o restricciones que se le pudieran imponer”.</w:t>
      </w:r>
    </w:p>
    <w:p w14:paraId="5C5FF8BB" w14:textId="77777777" w:rsidR="008D479B" w:rsidRDefault="008D479B" w:rsidP="008D479B">
      <w:pPr>
        <w:pStyle w:val="TextoNormal"/>
      </w:pPr>
    </w:p>
    <w:p w14:paraId="757502BE" w14:textId="77777777" w:rsidR="008D479B" w:rsidRDefault="008D479B" w:rsidP="008D479B">
      <w:pPr>
        <w:pStyle w:val="TextoNormal"/>
      </w:pPr>
      <w:r>
        <w:t>e) Mediante escrito de 4 de diciembre de 2018, la representación procesal del ahora demandante de amparo refirió que:</w:t>
      </w:r>
    </w:p>
    <w:p w14:paraId="3980B4E3" w14:textId="77777777" w:rsidR="008D479B" w:rsidRDefault="008D479B" w:rsidP="008D479B">
      <w:pPr>
        <w:pStyle w:val="TextoNormal"/>
      </w:pPr>
    </w:p>
    <w:p w14:paraId="2E8E7164" w14:textId="77777777" w:rsidR="008D479B" w:rsidRDefault="008D479B" w:rsidP="008D479B">
      <w:pPr>
        <w:pStyle w:val="TextoNormal"/>
      </w:pPr>
      <w:r>
        <w:t>“[A] pesar de lo manifestado [pago fraccionado de 400 € mensuales], y en aras de poder indemnizar a la mayor brevedad a la parte perjudicada, […] ha estado buscando ayuda y financiación de terceros, habiendo llegado a un acuerdo con la acusación particular, incrementando la cuantía a pagar hasta los 1 000 € mensuales”.</w:t>
      </w:r>
    </w:p>
    <w:p w14:paraId="1BFB5D03" w14:textId="77777777" w:rsidR="008D479B" w:rsidRDefault="008D479B" w:rsidP="008D479B">
      <w:pPr>
        <w:pStyle w:val="TextoNormal"/>
      </w:pPr>
    </w:p>
    <w:p w14:paraId="4FC2670E" w14:textId="77777777" w:rsidR="008D479B" w:rsidRDefault="008D479B" w:rsidP="008D479B">
      <w:pPr>
        <w:pStyle w:val="TextoNormal"/>
      </w:pPr>
      <w:r>
        <w:t>f) El Ministerio Fiscal presentó alegaciones en sentido favorable a la concesión de suspensión de la condena. Asimismo, los perjudicados a través de su representación procesal se mostraron favorables a la concesión de la suspensión siempre que el compromiso de pago que debiese asumir el condenado ascendiese a la cantidad de 1 000 € mensuales.</w:t>
      </w:r>
    </w:p>
    <w:p w14:paraId="25BF6434" w14:textId="77777777" w:rsidR="008D479B" w:rsidRDefault="008D479B" w:rsidP="008D479B">
      <w:pPr>
        <w:pStyle w:val="TextoNormal"/>
      </w:pPr>
    </w:p>
    <w:p w14:paraId="4DA002B0" w14:textId="77777777" w:rsidR="008D479B" w:rsidRDefault="008D479B" w:rsidP="008D479B">
      <w:pPr>
        <w:pStyle w:val="TextoNormal"/>
      </w:pPr>
      <w:r>
        <w:t xml:space="preserve">La Sección </w:t>
      </w:r>
      <w:r w:rsidRPr="008D479B">
        <w:rPr>
          <w:i/>
        </w:rPr>
        <w:t>a quo</w:t>
      </w:r>
      <w:r>
        <w:t xml:space="preserve"> dictó auto de 18 de diciembre de 2018, por el que acordó conceder la suspensión de la ejecución de la pena de prisión impuesta al demandante de amparo por un plazo de dos años, condicionada a que el penado no vuelva a delinquir en el plazo de suspensión y al pago de la indemnización.</w:t>
      </w:r>
    </w:p>
    <w:p w14:paraId="5E1E3DE7" w14:textId="77777777" w:rsidR="008D479B" w:rsidRDefault="008D479B" w:rsidP="008D479B">
      <w:pPr>
        <w:pStyle w:val="TextoNormal"/>
      </w:pPr>
    </w:p>
    <w:p w14:paraId="30085D6F" w14:textId="77777777" w:rsidR="008D479B" w:rsidRDefault="008D479B" w:rsidP="008D479B">
      <w:pPr>
        <w:pStyle w:val="TextoNormal"/>
      </w:pPr>
      <w:r>
        <w:t>g) El día 16 de enero de 2019 el recurrente acreditó el ingreso de 1 000 € efectuado el anterior día 14, “correspondiente a la primera mensualidad del pago a cuenta de la responsabilidad civil decretada en sentencia, según el acuerdo alcanzado con la acusación particular”.</w:t>
      </w:r>
    </w:p>
    <w:p w14:paraId="17EA5648" w14:textId="77777777" w:rsidR="008D479B" w:rsidRDefault="008D479B" w:rsidP="008D479B">
      <w:pPr>
        <w:pStyle w:val="TextoNormal"/>
      </w:pPr>
    </w:p>
    <w:p w14:paraId="689F30DC" w14:textId="77777777" w:rsidR="008D479B" w:rsidRDefault="008D479B" w:rsidP="008D479B">
      <w:pPr>
        <w:pStyle w:val="TextoNormal"/>
      </w:pPr>
      <w:r>
        <w:t>Asimismo, consta acreditado que con posterioridad el recurrente efectuó otros ingresos, hasta un importe total de 4000 € (1000 € el 20 de marzo de 2019 y 2000 € el 24 de mayo de 2019).</w:t>
      </w:r>
    </w:p>
    <w:p w14:paraId="4480B928" w14:textId="77777777" w:rsidR="008D479B" w:rsidRDefault="008D479B" w:rsidP="008D479B">
      <w:pPr>
        <w:pStyle w:val="TextoNormal"/>
      </w:pPr>
    </w:p>
    <w:p w14:paraId="2D56B9DE" w14:textId="77777777" w:rsidR="008D479B" w:rsidRDefault="008D479B" w:rsidP="008D479B">
      <w:pPr>
        <w:pStyle w:val="TextoNormal"/>
      </w:pPr>
      <w:r>
        <w:t>h) Por escrito fechado el 21 de octubre de 2019, la representación procesal de los perjudicados presentó escrito por el que interesó la revocación de la suspensión de condena, fundada en que “el ejecutado ha incumplido gravemente el auto de fecha 18 de diciembre de 2018 […]. A mayor abundamiento el penado ha quebrantado así mismo su compromiso de pago fraccionado, según consta en autos”, por lo que interesaron que “sea revocada la suspensión de la pena privativa de libertad objeto de condena mientras el señor Muñoz no reintegre a sus víctimas, y ya de un solo pago, la cantidad restante hasta alcanzar como mínimo 13 000 €, que en total les fueron estafados, en concepto de responsabilidad civil, así como los intereses y las costas de esta acusación particular”, para añadir que “[e]n este momento no hay motivos creíbles suficientes para pensar que el penado albergue una voluntad real dirigida resueltamente a reparar el daño causado por el delito, de una sola vez o en forma fraccionada”.</w:t>
      </w:r>
    </w:p>
    <w:p w14:paraId="78D5C187" w14:textId="77777777" w:rsidR="008D479B" w:rsidRDefault="008D479B" w:rsidP="008D479B">
      <w:pPr>
        <w:pStyle w:val="TextoNormal"/>
      </w:pPr>
    </w:p>
    <w:p w14:paraId="142DAFC6" w14:textId="77777777" w:rsidR="008D479B" w:rsidRDefault="008D479B" w:rsidP="008D479B">
      <w:pPr>
        <w:pStyle w:val="TextoNormal"/>
      </w:pPr>
      <w:r>
        <w:t>i) En diligencia de constancia de 30 de octubre de 2019, el órgano de ejecución expuso lo que sigue:</w:t>
      </w:r>
    </w:p>
    <w:p w14:paraId="6783E7C0" w14:textId="77777777" w:rsidR="008D479B" w:rsidRDefault="008D479B" w:rsidP="008D479B">
      <w:pPr>
        <w:pStyle w:val="TextoNormal"/>
      </w:pPr>
    </w:p>
    <w:p w14:paraId="19F25946" w14:textId="77777777" w:rsidR="008D479B" w:rsidRDefault="008D479B" w:rsidP="008D479B">
      <w:pPr>
        <w:pStyle w:val="TextoNormal"/>
      </w:pPr>
      <w:r>
        <w:t>“Según conversación telefónica mantenida con el penado don César Muñoz Jiménez en el día de la fecha, y habiendo sido requerido de pago de la responsabilidad civil, manifiesta que no ha podido abonar los pagos mensuales por carecer de ingresos, y que estando pendiente de la venta de una vivienda, procederá al pago total de la indemnización una vez se lleve a efecto la venta que prevé tendrá lugar durante el mes de noviembre”.</w:t>
      </w:r>
    </w:p>
    <w:p w14:paraId="14D5D12C" w14:textId="77777777" w:rsidR="008D479B" w:rsidRDefault="008D479B" w:rsidP="008D479B">
      <w:pPr>
        <w:pStyle w:val="TextoNormal"/>
      </w:pPr>
    </w:p>
    <w:p w14:paraId="56BFBF23" w14:textId="77777777" w:rsidR="008D479B" w:rsidRDefault="008D479B" w:rsidP="008D479B">
      <w:pPr>
        <w:pStyle w:val="TextoNormal"/>
      </w:pPr>
      <w:r>
        <w:t>j) Dado traslado al Ministerio Fiscal para que formulase alegaciones, interesó que se estuviese a la espera de la venta durante el mes de noviembre de 2019 de una vivienda propiedad del penado, para ser de nuevo requerido para el cumplimiento de la responsabilidad civil transcurrido dicho plazo.</w:t>
      </w:r>
    </w:p>
    <w:p w14:paraId="51B19BC5" w14:textId="77777777" w:rsidR="008D479B" w:rsidRDefault="008D479B" w:rsidP="008D479B">
      <w:pPr>
        <w:pStyle w:val="TextoNormal"/>
      </w:pPr>
    </w:p>
    <w:p w14:paraId="3DFC8748" w14:textId="77777777" w:rsidR="008D479B" w:rsidRDefault="008D479B" w:rsidP="008D479B">
      <w:pPr>
        <w:pStyle w:val="TextoNormal"/>
      </w:pPr>
      <w:r>
        <w:t>k) Transcurrido el plazo anterior y ante la falta de pago de la responsabilidad civil por parte del ahora recurrente en amparo, consta en nota de referencia de 11 de febrero de 2020, extendida por el órgano de ejecución, que aquel manifestó la imposibilidad de hacer frente al pago de la responsabilidad civil y que “a finales del presente mes procederá al ingreso de 6000 €, y respecto a la venta del inmueble, debido a desavenencias familiares, está pendiente de la fecha de la firma”.</w:t>
      </w:r>
    </w:p>
    <w:p w14:paraId="48CF7F9A" w14:textId="77777777" w:rsidR="008D479B" w:rsidRDefault="008D479B" w:rsidP="008D479B">
      <w:pPr>
        <w:pStyle w:val="TextoNormal"/>
      </w:pPr>
    </w:p>
    <w:p w14:paraId="0F5A9E05" w14:textId="77777777" w:rsidR="008D479B" w:rsidRDefault="008D479B" w:rsidP="008D479B">
      <w:pPr>
        <w:pStyle w:val="TextoNormal"/>
      </w:pPr>
      <w:r>
        <w:t>l) El 17 de marzo de 2020, la representación procesal de los perjudicados presentó escrito por el que interesaron la revocación de la suspensión de la ejecución de la pena concedida al recurrente en amparo, con reiteración de las alegaciones contenidas en su escrito de 21 de octubre de 2019, que modificaron en el único sentido de denunciar que el penado llevaba prácticamente un año sin hacer “ningún pago, aunque fuera pequeño, en orden a dar fe de su intención real y efectiva de reparar el daño causado”.</w:t>
      </w:r>
    </w:p>
    <w:p w14:paraId="43187818" w14:textId="77777777" w:rsidR="008D479B" w:rsidRDefault="008D479B" w:rsidP="008D479B">
      <w:pPr>
        <w:pStyle w:val="TextoNormal"/>
      </w:pPr>
    </w:p>
    <w:p w14:paraId="537BA45D" w14:textId="77777777" w:rsidR="008D479B" w:rsidRDefault="008D479B" w:rsidP="008D479B">
      <w:pPr>
        <w:pStyle w:val="TextoNormal"/>
      </w:pPr>
      <w:r>
        <w:t>m) Por diligencia de ordenación de 18 de junio de 2020, el órgano de ejecución, oído el Ministerio Fiscal, acordó proceder a la averiguación patrimonial del ejecutado, que dio resultado negativo.</w:t>
      </w:r>
    </w:p>
    <w:p w14:paraId="2053187A" w14:textId="77777777" w:rsidR="008D479B" w:rsidRDefault="008D479B" w:rsidP="008D479B">
      <w:pPr>
        <w:pStyle w:val="TextoNormal"/>
      </w:pPr>
    </w:p>
    <w:p w14:paraId="45D15C22" w14:textId="77777777" w:rsidR="008D479B" w:rsidRDefault="008D479B" w:rsidP="008D479B">
      <w:pPr>
        <w:pStyle w:val="TextoNormal"/>
      </w:pPr>
      <w:r>
        <w:t>Por auto de 25 de junio de 2020, previo informe favorable del Ministerio Fiscal y a la vista del resultado negativo de la averiguación patrimonial, el tribunal de la ejecución resolvió prorrogar el plazo de suspensión por un año, “a fin de completar el pago de la indemnización”, de conformidad con lo prevenido en el art. 84.2 letras a) y b) del Código penal.</w:t>
      </w:r>
    </w:p>
    <w:p w14:paraId="20E38EB3" w14:textId="77777777" w:rsidR="008D479B" w:rsidRDefault="008D479B" w:rsidP="008D479B">
      <w:pPr>
        <w:pStyle w:val="TextoNormal"/>
      </w:pPr>
    </w:p>
    <w:p w14:paraId="13BAB5CF" w14:textId="77777777" w:rsidR="008D479B" w:rsidRDefault="008D479B" w:rsidP="008D479B">
      <w:pPr>
        <w:pStyle w:val="TextoNormal"/>
      </w:pPr>
      <w:r>
        <w:t>n) Transcurrido un año desde la anterior resolución, consta en nota de referencia de 15 de junio de 2021 que el ejecutado, “requerido de pago telefónicamente en el día de la fecha, manifiesta que no tiene ingreso alguno, y tan pronto empiece a trabajar retomará los pagos. Asimismo, [afirma que respecto del] inmueble que tenía intención de vender no se ha podido hacer efectiva la venta hasta hoy por encontrarse pendiente de resolver cuestiones en los tribunales”.</w:t>
      </w:r>
    </w:p>
    <w:p w14:paraId="5A4F13F6" w14:textId="77777777" w:rsidR="008D479B" w:rsidRDefault="008D479B" w:rsidP="008D479B">
      <w:pPr>
        <w:pStyle w:val="TextoNormal"/>
      </w:pPr>
    </w:p>
    <w:p w14:paraId="1F1359C1" w14:textId="77777777" w:rsidR="008D479B" w:rsidRDefault="008D479B" w:rsidP="008D479B">
      <w:pPr>
        <w:pStyle w:val="TextoNormal"/>
      </w:pPr>
      <w:r>
        <w:t>Asimismo, consta en nota de referencia de 17 de enero de 2022 una nueva comunicación con el ejecutado en la que manifiesta que “la venta de la vivienda para hacer frente a la responsabilidad civil se está demorando por causas ajenas a él, pero que está en trámite teniendo ya un comprador”.</w:t>
      </w:r>
    </w:p>
    <w:p w14:paraId="403A4E91" w14:textId="77777777" w:rsidR="008D479B" w:rsidRDefault="008D479B" w:rsidP="008D479B">
      <w:pPr>
        <w:pStyle w:val="TextoNormal"/>
      </w:pPr>
    </w:p>
    <w:p w14:paraId="455C0AE3" w14:textId="77777777" w:rsidR="008D479B" w:rsidRDefault="008D479B" w:rsidP="008D479B">
      <w:pPr>
        <w:pStyle w:val="TextoNormal"/>
      </w:pPr>
      <w:r>
        <w:t>ñ) Por diligencia de ordenación de 28 de marzo de 2022, se dio traslado al Ministerio Fiscal a fin de que informase sobre la eventual revocación de la suspensión de la pena de prisión, al amparo del artículo 86.1 b) y d) del Código penal, al haber “transcurrido el plazo de suspensión y abonado a día de la fecha la cantidad de 4000 €”.</w:t>
      </w:r>
    </w:p>
    <w:p w14:paraId="504B6FE7" w14:textId="77777777" w:rsidR="008D479B" w:rsidRDefault="008D479B" w:rsidP="008D479B">
      <w:pPr>
        <w:pStyle w:val="TextoNormal"/>
      </w:pPr>
    </w:p>
    <w:p w14:paraId="03D90BF9" w14:textId="77777777" w:rsidR="008D479B" w:rsidRDefault="008D479B" w:rsidP="008D479B">
      <w:pPr>
        <w:pStyle w:val="TextoNormal"/>
      </w:pPr>
      <w:r>
        <w:t>A tal efecto, el fiscal emitió informe el 31 de marzo de 2022, en el que interesó la revocación de la suspensión de la pena de prisión “ante [el] incumplimiento grave y reiterado del pago aplazado durante el plazo de suspensión y el de su prórroga”.</w:t>
      </w:r>
    </w:p>
    <w:p w14:paraId="5F568801" w14:textId="77777777" w:rsidR="008D479B" w:rsidRDefault="008D479B" w:rsidP="008D479B">
      <w:pPr>
        <w:pStyle w:val="TextoNormal"/>
      </w:pPr>
    </w:p>
    <w:p w14:paraId="6593ED97" w14:textId="77777777" w:rsidR="008D479B" w:rsidRDefault="008D479B" w:rsidP="008D479B">
      <w:pPr>
        <w:pStyle w:val="TextoNormal"/>
      </w:pPr>
      <w:r>
        <w:t>o) La representación procesal de los perjudicados, por escrito de 20 de abril de 2022, solicitó al tribunal de ejecución la revocación del beneficio de suspensión de condena por cuanto “el esfuerzo del condenado por reparar el daño ha sido ‘prácticamente nulo’ hasta la fecha, costando mucho creer a esta parte que el penado no haya abonado menos de un tercio de los 13 000 € en cuatro años, en orden a dar fe de su intención real y efectiva de reparar el daño causado”.</w:t>
      </w:r>
    </w:p>
    <w:p w14:paraId="0A18EDBB" w14:textId="77777777" w:rsidR="008D479B" w:rsidRDefault="008D479B" w:rsidP="008D479B">
      <w:pPr>
        <w:pStyle w:val="TextoNormal"/>
      </w:pPr>
    </w:p>
    <w:p w14:paraId="521141D6" w14:textId="77777777" w:rsidR="008D479B" w:rsidRDefault="008D479B" w:rsidP="008D479B">
      <w:pPr>
        <w:pStyle w:val="TextoNormal"/>
      </w:pPr>
      <w:r>
        <w:t>p) Por diligencia de ordenación de 29 de junio de 2022, se requirió al hoy recurrente a fin de que compareciese en el tribunal de ejecución el día 1 de junio [así se hace constar por error] de 2022, posteriormente aplazada al día 4 de julio de 2022. En esta comparecencia se le requirió del pago de la responsabilidad civil por importe de 9 000 €, de la multa de seis meses con una cuota diaria de seis euros, cuya cuantía asciende a 1 080 €, y de las costas procesales por importe de 11 979,27 €.</w:t>
      </w:r>
    </w:p>
    <w:p w14:paraId="5121AAD3" w14:textId="77777777" w:rsidR="008D479B" w:rsidRDefault="008D479B" w:rsidP="008D479B">
      <w:pPr>
        <w:pStyle w:val="TextoNormal"/>
      </w:pPr>
    </w:p>
    <w:p w14:paraId="725886B8" w14:textId="77777777" w:rsidR="008D479B" w:rsidRDefault="008D479B" w:rsidP="008D479B">
      <w:pPr>
        <w:pStyle w:val="TextoNormal"/>
      </w:pPr>
      <w:r>
        <w:t>Asimismo, fue apercibido del deber de hacer efectivas dichas cantidades y de que, en caso contrario, se procederá a su exacción por la vía de apremio.</w:t>
      </w:r>
    </w:p>
    <w:p w14:paraId="170269AB" w14:textId="77777777" w:rsidR="008D479B" w:rsidRDefault="008D479B" w:rsidP="008D479B">
      <w:pPr>
        <w:pStyle w:val="TextoNormal"/>
      </w:pPr>
    </w:p>
    <w:p w14:paraId="4A97B0DC" w14:textId="77777777" w:rsidR="008D479B" w:rsidRDefault="008D479B" w:rsidP="008D479B">
      <w:pPr>
        <w:pStyle w:val="TextoNormal"/>
      </w:pPr>
      <w:r>
        <w:t>En respuesta a lo anterior, el penado manifestó que “[p]rocederá al pago de la cantidad de 18 000 € mediante ingreso bancario. Que a día de la fecha no percibe ingresos y se declara insolvente para abonar la cantidad restante, y que tan pronto mejore su situación económica procederá al pago de la misma”.</w:t>
      </w:r>
    </w:p>
    <w:p w14:paraId="25542DB9" w14:textId="77777777" w:rsidR="008D479B" w:rsidRDefault="008D479B" w:rsidP="008D479B">
      <w:pPr>
        <w:pStyle w:val="TextoNormal"/>
      </w:pPr>
    </w:p>
    <w:p w14:paraId="7787922F" w14:textId="77777777" w:rsidR="008D479B" w:rsidRDefault="008D479B" w:rsidP="008D479B">
      <w:pPr>
        <w:pStyle w:val="TextoNormal"/>
      </w:pPr>
      <w:r>
        <w:t>El día 31 de agosto de 2022, el actor comunicó al tribunal lo siguiente:</w:t>
      </w:r>
    </w:p>
    <w:p w14:paraId="45E7686A" w14:textId="77777777" w:rsidR="008D479B" w:rsidRDefault="008D479B" w:rsidP="008D479B">
      <w:pPr>
        <w:pStyle w:val="TextoNormal"/>
      </w:pPr>
    </w:p>
    <w:p w14:paraId="3FA3A14C" w14:textId="77777777" w:rsidR="008D479B" w:rsidRDefault="008D479B" w:rsidP="008D479B">
      <w:pPr>
        <w:pStyle w:val="TextoNormal"/>
      </w:pPr>
      <w:r>
        <w:t>“Después de mi última comparecencia, he tenido problemas personales y de salud y me ha sido imposible ingresar. Bien, sé que dispongo de poca credibilidad pero quiero que quede constancia que en los próximos días (y digo días, no meses, no creo que más de quince) voy a ingresar la totalidad de las costas, absolutamente todo. Mi horizonte profesional ha cambiado este mes de agosto. Ruego una última oportunidad de pago”.</w:t>
      </w:r>
    </w:p>
    <w:p w14:paraId="70731DE5" w14:textId="77777777" w:rsidR="008D479B" w:rsidRDefault="008D479B" w:rsidP="008D479B">
      <w:pPr>
        <w:pStyle w:val="TextoNormal"/>
      </w:pPr>
    </w:p>
    <w:p w14:paraId="58F3923C" w14:textId="77777777" w:rsidR="008D479B" w:rsidRDefault="008D479B" w:rsidP="008D479B">
      <w:pPr>
        <w:pStyle w:val="TextoNormal"/>
      </w:pPr>
      <w:r>
        <w:t xml:space="preserve">q) Por auto de 6 de septiembre de 2022, la Sección </w:t>
      </w:r>
      <w:r w:rsidRPr="008D479B">
        <w:rPr>
          <w:i/>
        </w:rPr>
        <w:t>a quo</w:t>
      </w:r>
      <w:r>
        <w:t xml:space="preserve"> acordó la revocación de la suspensión de condena y decretó el ingreso en prisión del penado, por el incumplimiento de las obligaciones impuestas en el auto de suspensión, “atendiendo a la entidad del incumplimiento grave y reiterado del pago aplazado durante el plazo de suspensión y el de su prórroga”.</w:t>
      </w:r>
    </w:p>
    <w:p w14:paraId="4C80FF4A" w14:textId="77777777" w:rsidR="008D479B" w:rsidRDefault="008D479B" w:rsidP="008D479B">
      <w:pPr>
        <w:pStyle w:val="TextoNormal"/>
      </w:pPr>
    </w:p>
    <w:p w14:paraId="0E64F920" w14:textId="77777777" w:rsidR="008D479B" w:rsidRDefault="008D479B" w:rsidP="008D479B">
      <w:pPr>
        <w:pStyle w:val="TextoNormal"/>
      </w:pPr>
      <w:r>
        <w:t>r) Contra la anterior resolución, la representación procesal del condenado interpuso recurso de súplica fundado en los siguientes argumentos:</w:t>
      </w:r>
    </w:p>
    <w:p w14:paraId="29681ADC" w14:textId="77777777" w:rsidR="008D479B" w:rsidRDefault="008D479B" w:rsidP="008D479B">
      <w:pPr>
        <w:pStyle w:val="TextoNormal"/>
      </w:pPr>
    </w:p>
    <w:p w14:paraId="238A8EE4" w14:textId="77777777" w:rsidR="008D479B" w:rsidRDefault="008D479B" w:rsidP="008D479B">
      <w:pPr>
        <w:pStyle w:val="TextoNormal"/>
      </w:pPr>
      <w:r>
        <w:t>“En primer lugar, la resolución recurrida carece de la necesaria motivación, dentro del canon reforzado exigido por el Tribunal Constitucional, vulnerándose el art. 24.1 y 17 de la CE. Así se hace referencia y transcribe el auto impugnado el art. 84 del CP pero en su antigua redacción, antes de la reforma operada por la Ley Orgánica 1/2015.</w:t>
      </w:r>
    </w:p>
    <w:p w14:paraId="16509363" w14:textId="77777777" w:rsidR="008D479B" w:rsidRDefault="008D479B" w:rsidP="008D479B">
      <w:pPr>
        <w:pStyle w:val="TextoNormal"/>
      </w:pPr>
    </w:p>
    <w:p w14:paraId="65728BBE" w14:textId="77777777" w:rsidR="008D479B" w:rsidRDefault="008D479B" w:rsidP="008D479B">
      <w:pPr>
        <w:pStyle w:val="TextoNormal"/>
      </w:pPr>
      <w:r>
        <w:t>Además habla el auto de la ‘gravedad y reiteración del incumplimiento’, cuando el vigente artículo 86.1 b) y c) anudan dicho incumplimiento a las prohibiciones, deberes y condiciones impuestas por los arts. 83 y 84, entre las que no se encuentra el impago de la responsabilidad civil. O dicho de otro modo, para revocar la suspensión por impago de la responsabilidad civil, no debería atenderse a su gravedad o reiteración, sino a la capacidad económica y los parámetros específicos del art. 86.1 d) del CP, no existiendo mención alguna a los mismos en la resolución dictada.</w:t>
      </w:r>
    </w:p>
    <w:p w14:paraId="09270EBC" w14:textId="77777777" w:rsidR="008D479B" w:rsidRDefault="008D479B" w:rsidP="008D479B">
      <w:pPr>
        <w:pStyle w:val="TextoNormal"/>
      </w:pPr>
    </w:p>
    <w:p w14:paraId="021A733A" w14:textId="77777777" w:rsidR="008D479B" w:rsidRDefault="008D479B" w:rsidP="008D479B">
      <w:pPr>
        <w:pStyle w:val="TextoNormal"/>
      </w:pPr>
      <w:r>
        <w:t>Además, la motivación del auto es absolutamente genérica, no haciéndose referencia al caso concreto, más allá de referir el impago de la responsabilidad civil.</w:t>
      </w:r>
    </w:p>
    <w:p w14:paraId="16BE4A51" w14:textId="77777777" w:rsidR="008D479B" w:rsidRDefault="008D479B" w:rsidP="008D479B">
      <w:pPr>
        <w:pStyle w:val="TextoNormal"/>
      </w:pPr>
    </w:p>
    <w:p w14:paraId="5A97AA83" w14:textId="77777777" w:rsidR="008D479B" w:rsidRDefault="008D479B" w:rsidP="008D479B">
      <w:pPr>
        <w:pStyle w:val="TextoNormal"/>
      </w:pPr>
      <w:r>
        <w:t>En segundo lugar, en el auto inicial de suspensión de la ejecución de la pena de 18 de diciembre de 2018 no constaba ningún calendario de pagos de la responsabilidad civil, más allá de su abono durante el plazo de la suspensión. Tampoco consta mediante consulta al punto neutro que […] tenga capacidad económica para el pago y no haya querido llevarlo a cabo de forma voluntaria, o que haya tratado de ocultar los bienes que posee, ni comparativa de su situación económica al tiempo de la suspensión y en el momento de la revocación. Así, se califica el incumplimiento de grave y reiterado, sin constatarse siquiera si mi representado tiene capacidad económica o ingresos para hacer frente al pago.</w:t>
      </w:r>
    </w:p>
    <w:p w14:paraId="39FE7CE6" w14:textId="77777777" w:rsidR="008D479B" w:rsidRDefault="008D479B" w:rsidP="008D479B">
      <w:pPr>
        <w:pStyle w:val="TextoNormal"/>
      </w:pPr>
    </w:p>
    <w:p w14:paraId="54477E2B" w14:textId="77777777" w:rsidR="008D479B" w:rsidRDefault="008D479B" w:rsidP="008D479B">
      <w:pPr>
        <w:pStyle w:val="TextoNormal"/>
      </w:pPr>
      <w:r>
        <w:t>Por tanto, la resolución impugnada no puede anclar la revocación de la suspensión en el incumplimiento del compromiso de pago como consecuencia automática del mismo y desplazar al interesado la acreditación de una sobrevenida insolvencia, pues con ello no solo se vulnera nuevamente la tutela judicial, sino que se obvia ponderar las circunstancias individuales del penado como exige la orientación de la suspensión a hacer efectivo el principio de reeducación y reinserción social.</w:t>
      </w:r>
    </w:p>
    <w:p w14:paraId="44454F38" w14:textId="77777777" w:rsidR="008D479B" w:rsidRDefault="008D479B" w:rsidP="008D479B">
      <w:pPr>
        <w:pStyle w:val="TextoNormal"/>
      </w:pPr>
    </w:p>
    <w:p w14:paraId="74016176" w14:textId="77777777" w:rsidR="008D479B" w:rsidRDefault="008D479B" w:rsidP="008D479B">
      <w:pPr>
        <w:pStyle w:val="TextoNormal"/>
      </w:pPr>
      <w:r>
        <w:t>A mayor abundamiento, debemos tener en cuenta que […] ha pagado 4 000 € de los 13 000 € a los que fue condenado y, además, ha estado en permanente contacto con la secretaria del tribunal para informarle de todos los esfuerzos realizados para el pago de la responsabilidad civil, así como de su situación económica [e], incluso, de las gestiones realizadas para tratar de conseguir ingresos, según consta en las distintas comparecencias judiciales realizadas, al igual que en los escritos presentados en esta ejecutoria.</w:t>
      </w:r>
    </w:p>
    <w:p w14:paraId="79493E15" w14:textId="77777777" w:rsidR="008D479B" w:rsidRDefault="008D479B" w:rsidP="008D479B">
      <w:pPr>
        <w:pStyle w:val="TextoNormal"/>
      </w:pPr>
    </w:p>
    <w:p w14:paraId="06D01461" w14:textId="77777777" w:rsidR="008D479B" w:rsidRDefault="008D479B" w:rsidP="008D479B">
      <w:pPr>
        <w:pStyle w:val="TextoNormal"/>
      </w:pPr>
      <w:r>
        <w:t>De este modo, el derecho a la reparación de la víctima encuentra su límite en la prohibición de condicionarla al pago de la responsabilidad civil cuando no hay capacidad de cumplimiento, no pudiendo ‘revocarse la suspensión de la pena’ como medida de presión, ante la tardanza en el pago, cuando no ha existido ocultación de bienes ni actitud fraudulenta, sino simplemente una mera situación de insolvencia.</w:t>
      </w:r>
    </w:p>
    <w:p w14:paraId="621340EA" w14:textId="77777777" w:rsidR="008D479B" w:rsidRDefault="008D479B" w:rsidP="008D479B">
      <w:pPr>
        <w:pStyle w:val="TextoNormal"/>
      </w:pPr>
    </w:p>
    <w:p w14:paraId="3B2DE7A1" w14:textId="77777777" w:rsidR="008D479B" w:rsidRDefault="008D479B" w:rsidP="008D479B">
      <w:pPr>
        <w:pStyle w:val="TextoNormal"/>
      </w:pPr>
      <w:r>
        <w:t>En tercer lugar, debemos resaltar que el periodo de suspensión de la ejecución finalizó el día 25 de junio de 2021, es decir, hace más de un año. La revocación de la suspensión, por su propia naturaleza, parte de la vigencia del periodo de suspensión, que queda revocado. Lo que no puede admitirse es que, una vez concluido el mismo, al año siguiente pueda revocarse lo que ya no existe ni está en suspenso, so pena de dejar vacío de contenido el plazo de suspensión, pues en caso contrario daría igual incumplir las medidas durante el mismo o con posterioridad, dado que la consecuencia jurídica sería similar.</w:t>
      </w:r>
    </w:p>
    <w:p w14:paraId="24B8D88B" w14:textId="77777777" w:rsidR="008D479B" w:rsidRDefault="008D479B" w:rsidP="008D479B">
      <w:pPr>
        <w:pStyle w:val="TextoNormal"/>
      </w:pPr>
    </w:p>
    <w:p w14:paraId="6F3DFF71" w14:textId="77777777" w:rsidR="008D479B" w:rsidRDefault="008D479B" w:rsidP="008D479B">
      <w:pPr>
        <w:pStyle w:val="TextoNormal"/>
      </w:pPr>
      <w:r>
        <w:t>En cuarto y último lugar, atendiendo a las circunstancias concurrentes, la medida de la revocación de la suspensión es la más gravosa que puede adoptarse, pudiendo haberse acordado otras medidas dentro de las previstas en el art. 86.2 del CP. De hecho, ya se prorrogó una vez el periodo de suspensión, ante el impago de la responsabilidad civil, derivada de la situación de insolvencia de mi mandante y, ahora, en la misma circunstancia, se adopta una medida más gravosa”.</w:t>
      </w:r>
    </w:p>
    <w:p w14:paraId="442CDBB0" w14:textId="77777777" w:rsidR="008D479B" w:rsidRDefault="008D479B" w:rsidP="008D479B">
      <w:pPr>
        <w:pStyle w:val="TextoNormal"/>
      </w:pPr>
    </w:p>
    <w:p w14:paraId="514E0853" w14:textId="77777777" w:rsidR="008D479B" w:rsidRDefault="008D479B" w:rsidP="008D479B">
      <w:pPr>
        <w:pStyle w:val="TextoNormal"/>
      </w:pPr>
      <w:r>
        <w:t>En consecuencia, suplica la revocación del auto impugnado y que se dejen sin efecto la remisión de la revocación de condena y el ingreso en prisión.</w:t>
      </w:r>
    </w:p>
    <w:p w14:paraId="1FA0E0B9" w14:textId="77777777" w:rsidR="008D479B" w:rsidRDefault="008D479B" w:rsidP="008D479B">
      <w:pPr>
        <w:pStyle w:val="TextoNormal"/>
      </w:pPr>
    </w:p>
    <w:p w14:paraId="57B8DBCE" w14:textId="77777777" w:rsidR="008D479B" w:rsidRDefault="008D479B" w:rsidP="008D479B">
      <w:pPr>
        <w:pStyle w:val="TextoNormal"/>
      </w:pPr>
      <w:r>
        <w:t>Dado traslado del recurso de súplica al Ministerio Fiscal y a la representación procesal de los perjudicados, el primero interesó su estimación y la remisión de la pena de prisión al amparo del artículo 87 del Código penal, mientras que la representación procesal de los perjudicados solicitó la desestimación.</w:t>
      </w:r>
    </w:p>
    <w:p w14:paraId="35B5AED3" w14:textId="77777777" w:rsidR="008D479B" w:rsidRDefault="008D479B" w:rsidP="008D479B">
      <w:pPr>
        <w:pStyle w:val="TextoNormal"/>
      </w:pPr>
    </w:p>
    <w:p w14:paraId="2FB4F1AB" w14:textId="77777777" w:rsidR="008D479B" w:rsidRDefault="008D479B" w:rsidP="008D479B">
      <w:pPr>
        <w:pStyle w:val="TextoNormal"/>
      </w:pPr>
      <w:r>
        <w:t>s) Mediante auto de 4 de octubre de 2022, el tribunal de ejecución desestimó el recurso de súplica con el siguiente razonamiento jurídico único:</w:t>
      </w:r>
    </w:p>
    <w:p w14:paraId="04A7A501" w14:textId="77777777" w:rsidR="008D479B" w:rsidRDefault="008D479B" w:rsidP="008D479B">
      <w:pPr>
        <w:pStyle w:val="TextoNormal"/>
      </w:pPr>
    </w:p>
    <w:p w14:paraId="2AA5A68B" w14:textId="77777777" w:rsidR="008D479B" w:rsidRDefault="008D479B" w:rsidP="008D479B">
      <w:pPr>
        <w:pStyle w:val="TextoNormal"/>
      </w:pPr>
      <w:r>
        <w:t>“Subsistiendo los motivos tenidos en cuenta para dictar el auto de fecha 6 de septiembre de 2022, sin que las alegaciones efectuadas por el recurrente hayan desvirtuado los hechos y los fundamentos de Derecho consignado en el mismo al constar en autos el reiterado incumplimiento por el recurrente de las obligaciones que se le impusieron para acordar la suspensión del cumplimiento de la pena privativa de libertad, conociendo el mismo las consecuencias, que […] tal incumplimiento supondría el cumplimiento de tal pena en el centro penitenciario, por ello procede desestimar el recurso de súplica interpuesto contra dicha resolución”.</w:t>
      </w:r>
    </w:p>
    <w:p w14:paraId="15FB559C" w14:textId="77777777" w:rsidR="008D479B" w:rsidRDefault="008D479B" w:rsidP="008D479B">
      <w:pPr>
        <w:pStyle w:val="TextoNormal"/>
      </w:pPr>
    </w:p>
    <w:p w14:paraId="77658A9F" w14:textId="0E3F38D7" w:rsidR="008D479B" w:rsidRDefault="008D479B" w:rsidP="008D479B">
      <w:pPr>
        <w:pStyle w:val="TextoNormal"/>
      </w:pPr>
      <w:r>
        <w:t xml:space="preserve">t) Mediante escrito de 5 de diciembre de 2022, el ahora demandante puso en conocimiento del tribunal </w:t>
      </w:r>
      <w:r w:rsidRPr="008D479B">
        <w:rPr>
          <w:i/>
        </w:rPr>
        <w:t>a quo</w:t>
      </w:r>
      <w:r>
        <w:t xml:space="preserve"> la consignación de 3000 €, importe “conseguido a través de familiares […] para el pago de la responsabilidad civil, interesando su entrega a los perjudicados”.</w:t>
      </w:r>
    </w:p>
    <w:p w14:paraId="3268CE9A" w14:textId="77777777" w:rsidR="008D479B" w:rsidRDefault="008D479B" w:rsidP="008D479B">
      <w:pPr>
        <w:pStyle w:val="TextoNormal"/>
      </w:pPr>
    </w:p>
    <w:p w14:paraId="03B522CF" w14:textId="77777777" w:rsidR="008D479B" w:rsidRDefault="008D479B" w:rsidP="008D479B">
      <w:pPr>
        <w:pStyle w:val="TextoNormal"/>
      </w:pPr>
      <w:r w:rsidRPr="008D479B">
        <w:rPr>
          <w:rStyle w:val="NumeroAFNegritaCaracter"/>
        </w:rPr>
        <w:t>3</w:t>
      </w:r>
      <w:r>
        <w:t>. El demandante interpuso, a través de su representación procesal, recurso de amparo el 21 de noviembre de 2022, en el que alegó como único motivo de impugnación la vulneración del derecho a la libertad (art. 17.1 CE) en relación con el derecho a la tutela judicial efectiva (art. 24.1 CE) en su exigencia de motivación reforzada.</w:t>
      </w:r>
    </w:p>
    <w:p w14:paraId="760F6685" w14:textId="77777777" w:rsidR="008D479B" w:rsidRDefault="008D479B" w:rsidP="008D479B">
      <w:pPr>
        <w:pStyle w:val="TextoNormal"/>
      </w:pPr>
    </w:p>
    <w:p w14:paraId="16F512C4" w14:textId="77777777" w:rsidR="008D479B" w:rsidRDefault="008D479B" w:rsidP="008D479B">
      <w:pPr>
        <w:pStyle w:val="TextoNormal"/>
      </w:pPr>
      <w:r>
        <w:t xml:space="preserve">Tras la cita de la doctrina constitucional que estima aplicable al caso, en particular la sentada en la STC 32/2022, de 7 de marzo, el recurrente afirma que fue incumplida por el tribunal </w:t>
      </w:r>
      <w:r w:rsidRPr="008D479B">
        <w:rPr>
          <w:i/>
        </w:rPr>
        <w:t>a quo</w:t>
      </w:r>
      <w:r>
        <w:t xml:space="preserve"> en el auto de 6 de septiembre de 2022, por el que revocó la suspensión de la ejecución de la pena de prisión que le fue impuesta, así como en el auto de 4 de octubre de 2022, desestimatorio del recurso de súplica interpuesto contra el anterior.</w:t>
      </w:r>
    </w:p>
    <w:p w14:paraId="1D7CB21B" w14:textId="77777777" w:rsidR="008D479B" w:rsidRDefault="008D479B" w:rsidP="008D479B">
      <w:pPr>
        <w:pStyle w:val="TextoNormal"/>
      </w:pPr>
    </w:p>
    <w:p w14:paraId="4E7839DE" w14:textId="77777777" w:rsidR="008D479B" w:rsidRDefault="008D479B" w:rsidP="008D479B">
      <w:pPr>
        <w:pStyle w:val="TextoNormal"/>
      </w:pPr>
      <w:r>
        <w:t>En relación con la primera de aquellas resoluciones, aduce que la Sala revocó el beneficio suspensivo “basándose exclusivamente en el mero impago de la responsabilidad civil, sin hacerse alusión ni justificación alguna a la concurrencia de la causa de revocación legalmente prevista en el art. 86.1 d) del CP, es decir, a la existencia de un impago injustificado por ostentarse capacidad económica, obviando la ponderación de las circunstancias de solvencia del penado y de los bienes y derechos en conflicto de conformidad con los fines constitucionalmente fijados de las penas privativas de libertad y la orientación a la reeducación social inherente a la figura de la suspensión como alternativa a los efectos contrarios de las penas privativas de libertad cortas, que no deben verse cumplidas por el mero impago de la responsabilidad civil de forma discriminatoria”.</w:t>
      </w:r>
    </w:p>
    <w:p w14:paraId="3BC511F1" w14:textId="77777777" w:rsidR="008D479B" w:rsidRDefault="008D479B" w:rsidP="008D479B">
      <w:pPr>
        <w:pStyle w:val="TextoNormal"/>
      </w:pPr>
    </w:p>
    <w:p w14:paraId="04F32FF3" w14:textId="77777777" w:rsidR="008D479B" w:rsidRDefault="008D479B" w:rsidP="008D479B">
      <w:pPr>
        <w:pStyle w:val="TextoNormal"/>
      </w:pPr>
      <w:r>
        <w:t>Añade que la motivación ofrecida en dicho auto se fundamentó en la “entidad del incumplimiento grave y reiterado”, sin que dichas circunstancias puedan servir para fundar la revocación del beneficio suspensivo al ser ajenas a los criterios de ponderación a los que se refiere el artículo 86.1 d) del Código penal.</w:t>
      </w:r>
    </w:p>
    <w:p w14:paraId="432616F8" w14:textId="77777777" w:rsidR="008D479B" w:rsidRDefault="008D479B" w:rsidP="008D479B">
      <w:pPr>
        <w:pStyle w:val="TextoNormal"/>
      </w:pPr>
    </w:p>
    <w:p w14:paraId="26848E99" w14:textId="77777777" w:rsidR="008D479B" w:rsidRDefault="008D479B" w:rsidP="008D479B">
      <w:pPr>
        <w:pStyle w:val="TextoNormal"/>
      </w:pPr>
      <w:r>
        <w:t>Finalmente, sostiene que en el mismo auto de 6 de septiembre de 2022 se acordó la revocación del beneficio suspensivo “una vez transcurrido más de un año desde que terminó el propio plazo de suspensión, con afección del principio de reeducación y reinserción como mandato legislativo contenido en el art. 25.2 de la CE, el cual [identifica] una de las finalidades legítimas de las penas privativas de libertad y guía el instituto de su suspensión, en caso de penas de corta duración, proyectando su eficacia en el deber de motivación reforzada, a modo de juicio de ponderación”.</w:t>
      </w:r>
    </w:p>
    <w:p w14:paraId="4F067E27" w14:textId="77777777" w:rsidR="008D479B" w:rsidRDefault="008D479B" w:rsidP="008D479B">
      <w:pPr>
        <w:pStyle w:val="TextoNormal"/>
      </w:pPr>
    </w:p>
    <w:p w14:paraId="6367A964" w14:textId="77777777" w:rsidR="008D479B" w:rsidRDefault="008D479B" w:rsidP="008D479B">
      <w:pPr>
        <w:pStyle w:val="TextoNormal"/>
      </w:pPr>
      <w:r>
        <w:t>En cuanto al auto de 4 de octubre de 2022, por el que se desestimó el recurso de súplica, el recurrente en amparo afirma que esta resolución adolece de “ausencia total de motivación reforzada […] que obvia cualquier tipo de ponderación de las circunstancias de solvencia del penado y de los derechos en conflicto, para valorar la existencia o no de un impago injustificado, basándose no solo en el mero incumplimiento de la responsabilidad civil, sino reiterando que el mismo, por sí solo y de forma objetiva, ya es causa de revocación de la suspensión, desoyendo así toda la doctrina de esta Sala, bajo la premisa de que el penado sabía las consecuencias de su impago (ingreso en prisión)”.</w:t>
      </w:r>
    </w:p>
    <w:p w14:paraId="4480CB3D" w14:textId="77777777" w:rsidR="008D479B" w:rsidRDefault="008D479B" w:rsidP="008D479B">
      <w:pPr>
        <w:pStyle w:val="TextoNormal"/>
      </w:pPr>
    </w:p>
    <w:p w14:paraId="2EEAFB3E" w14:textId="77777777" w:rsidR="008D479B" w:rsidRDefault="008D479B" w:rsidP="008D479B">
      <w:pPr>
        <w:pStyle w:val="TextoNormal"/>
      </w:pPr>
      <w:r>
        <w:t>Concluye que “[e]n definitiva, al motivar las resoluciones impugnadas la revocación de la suspensión de la ejecución de la pena de forma no compatible con las exigencias constitucionales se ha vulnerado el derecho […] a la tutela judicial efectiva en relación con el derecho a su libertad (arts. 24.1 y 17.1 CE)”.</w:t>
      </w:r>
    </w:p>
    <w:p w14:paraId="4F076E17" w14:textId="77777777" w:rsidR="008D479B" w:rsidRDefault="008D479B" w:rsidP="008D479B">
      <w:pPr>
        <w:pStyle w:val="TextoNormal"/>
      </w:pPr>
    </w:p>
    <w:p w14:paraId="2DF9CA79" w14:textId="236D4047" w:rsidR="008D479B" w:rsidRDefault="008D479B" w:rsidP="008D479B">
      <w:pPr>
        <w:pStyle w:val="TextoNormal"/>
      </w:pPr>
      <w:r>
        <w:t>En el suplico de la demanda solicita que (i) se declare que ha sido vulnerado su derecho a la tutela judicial efectiva (art. 24.1 CE) en relación con el derecho a la libertad (art. 17.1 CE) y que (ii) se le restablezca en su integridad su derecho, “anulándose los autos dictados por la Sección Quinta de la Audiencia Provincial de Madrid, de fechas 6 de septiembre de 2022 y 4 de octubre de 2022, retrotrayéndose las actuaciones al momento anterior a dictarse la primera de dichas resoluciones, a fin de que la Sala dicte otra resolución que sea respetuosa con el derecho fundamental reconocido”.</w:t>
      </w:r>
    </w:p>
    <w:p w14:paraId="779C348B" w14:textId="77777777" w:rsidR="008D479B" w:rsidRDefault="008D479B" w:rsidP="008D479B">
      <w:pPr>
        <w:pStyle w:val="TextoNormal"/>
      </w:pPr>
    </w:p>
    <w:p w14:paraId="6D9EF508" w14:textId="21C88480" w:rsidR="008D479B" w:rsidRDefault="008D479B" w:rsidP="008D479B">
      <w:pPr>
        <w:pStyle w:val="TextoNormal"/>
      </w:pPr>
      <w:r w:rsidRPr="008D479B">
        <w:rPr>
          <w:rStyle w:val="NumeroAFNegritaCaracter"/>
        </w:rPr>
        <w:t>4</w:t>
      </w:r>
      <w:r>
        <w:t>. La Secretaría de Justicia de la Sección Tercera, Sala Segunda, de este tribunal dictó diligencia de ordenación el 22 de diciembre de 2022, por la que acordó dirigir atenta comunicación a la Sección Quinta de la Audiencia Provincial de Madrid a fin de que, a la mayor brevedad posible, remita certificación o fotocopia adverada de las actuaciones correspondientes a la ejecutoria penal 81-2018, desde el auto de suspensión de 18 de diciembre de 2018, hasta el día de la fecha.</w:t>
      </w:r>
    </w:p>
    <w:p w14:paraId="5C55624F" w14:textId="77777777" w:rsidR="008D479B" w:rsidRDefault="008D479B" w:rsidP="008D479B">
      <w:pPr>
        <w:pStyle w:val="TextoNormal"/>
      </w:pPr>
    </w:p>
    <w:p w14:paraId="3F04D95E" w14:textId="77777777" w:rsidR="008D479B" w:rsidRDefault="008D479B" w:rsidP="008D479B">
      <w:pPr>
        <w:pStyle w:val="TextoNormal"/>
      </w:pPr>
      <w:r w:rsidRPr="008D479B">
        <w:rPr>
          <w:rStyle w:val="NumeroAFNegritaCaracter"/>
        </w:rPr>
        <w:t>5</w:t>
      </w:r>
      <w:r>
        <w:t>. La Sección Tercera de este tribunal dictó providencia el 29 de diciembre 2022 por la que acordó admitir a trámite el recurso, “apreciando que concurre en el mismo una especial trascendencia constitucional (art. 50.1 LOTC) como consecuencia de que el órgano judicial pudiera haber incurrido en una negativa manifiesta del deber de acatamiento de la doctrina de este tribunal [STC 155/2009, de 25 de junio, FJ 2 f)]”.</w:t>
      </w:r>
    </w:p>
    <w:p w14:paraId="696D7019" w14:textId="77777777" w:rsidR="008D479B" w:rsidRDefault="008D479B" w:rsidP="008D479B">
      <w:pPr>
        <w:pStyle w:val="TextoNormal"/>
      </w:pPr>
    </w:p>
    <w:p w14:paraId="7656BD1B" w14:textId="18568EC6" w:rsidR="008D479B" w:rsidRDefault="008D479B" w:rsidP="008D479B">
      <w:pPr>
        <w:pStyle w:val="TextoNormal"/>
      </w:pPr>
      <w:r>
        <w:t>En la misma resolución se dispuso que “[c]onstando en el presente recurso copia de las actuaciones de la Sección Quinta de la Audiencia Provincial de Madrid, ejecutoria penal 81-2018, diríjase atenta comunicación a la misma a fin de que, en plazo que no exceda de diez días, emplace a quienes hubieren sido parte en el procedimiento, excepto al recurrente en amparo, para que en el plazo de diez días puedan comparecer, si lo desean, en el mismo”.</w:t>
      </w:r>
    </w:p>
    <w:p w14:paraId="5525D995" w14:textId="77777777" w:rsidR="008D479B" w:rsidRDefault="008D479B" w:rsidP="008D479B">
      <w:pPr>
        <w:pStyle w:val="TextoNormal"/>
      </w:pPr>
    </w:p>
    <w:p w14:paraId="386A2BDF" w14:textId="77777777" w:rsidR="008D479B" w:rsidRDefault="008D479B" w:rsidP="008D479B">
      <w:pPr>
        <w:pStyle w:val="TextoNormal"/>
      </w:pPr>
      <w:r w:rsidRPr="008D479B">
        <w:rPr>
          <w:rStyle w:val="NumeroAFNegritaCaracter"/>
        </w:rPr>
        <w:t>6</w:t>
      </w:r>
      <w:r>
        <w:t>. El recurrente solicitó por medio de otrosí en el escrito de demanda “la suspensión de los efectos derivados de los autos recurridos, de fechas 6 de septiembre de 2022 y 4 de octubre de 2022, siendo estos la revocación de la suspensión de la ejecución de la pena privativa de libertad y con ello el ingreso en prisión […], o la suspensión de la pena de un año privativa de libertad impuesta […] en la sentencia de 2 de abril de 2018, dictada por la Sección Quinta de la Audiencia Provincial de Madrid, al entender que, en caso contrario, se causaría un grave perjuicio haciendo perder al amparo su finalidad, pues cuando la citada solicitud de amparo fuera resuelta ya se habría cumplido la pena de prisión, dada su corta duración”.</w:t>
      </w:r>
    </w:p>
    <w:p w14:paraId="1B403318" w14:textId="77777777" w:rsidR="008D479B" w:rsidRDefault="008D479B" w:rsidP="008D479B">
      <w:pPr>
        <w:pStyle w:val="TextoNormal"/>
      </w:pPr>
    </w:p>
    <w:p w14:paraId="76A18F43" w14:textId="77777777" w:rsidR="008D479B" w:rsidRDefault="008D479B" w:rsidP="008D479B">
      <w:pPr>
        <w:pStyle w:val="TextoNormal"/>
      </w:pPr>
      <w:r>
        <w:t>En apoyo de su pretensión cautelar, el demandante la justificó por la escasa gravedad de la pena impuesta (un año de prisión), a la fecha de comisión de los hechos (entre los meses de junio y octubre de 2014) y a la inexistencia de “perjuicio alguno a la víctima o a terceros, ni a los intereses generales”.</w:t>
      </w:r>
    </w:p>
    <w:p w14:paraId="776631E6" w14:textId="77777777" w:rsidR="008D479B" w:rsidRDefault="008D479B" w:rsidP="008D479B">
      <w:pPr>
        <w:pStyle w:val="TextoNormal"/>
      </w:pPr>
    </w:p>
    <w:p w14:paraId="5FC7D33B" w14:textId="77777777" w:rsidR="008D479B" w:rsidRDefault="008D479B" w:rsidP="008D479B">
      <w:pPr>
        <w:pStyle w:val="TextoNormal"/>
      </w:pPr>
      <w:r>
        <w:t>Dicha pretensión cautelar fue reiterada por el demandante de amparo mediante escrito de 19 de diciembre de 2022, en el que además interesó, por los mismos motivos expuestos en la demanda, la suspensión de la providencia de 14 de diciembre de 2022 dictada por el tribunal de instancia en la que ordenó su inmediato ingreso en prisión.</w:t>
      </w:r>
    </w:p>
    <w:p w14:paraId="538274BD" w14:textId="77777777" w:rsidR="008D479B" w:rsidRDefault="008D479B" w:rsidP="008D479B">
      <w:pPr>
        <w:pStyle w:val="TextoNormal"/>
      </w:pPr>
    </w:p>
    <w:p w14:paraId="5139CC0C" w14:textId="1FE13287" w:rsidR="008D479B" w:rsidRDefault="008D479B" w:rsidP="008D479B">
      <w:pPr>
        <w:pStyle w:val="TextoNormal"/>
      </w:pPr>
      <w:r>
        <w:t>En la misma providencia de admisión del recurso de amparo, de 6 de mayo de 2022, ya citada, la Sección Primera de este tribunal, en respuesta a la petición cautelar dispuso que “[h]abiéndose solicitado por la procuradora doña María Jesús Fernández Salagre, en nombre y representación del recurrente César Muñoz Jiménez, la suspensión de la ejecución de los autos de 6 de septiembre, 4 de octubre de 2022 y providencia de 14 de diciembre de 2022 […] y apreciando la Sección la urgencia excepcional a que se refiere el art. 56.6 de la Ley Orgánica del Tribunal Constitucional, toda vez que dicha ejecución produciría un perjuicio de imposible o muy difícil reparación que haría perder su finalidad al recurso de amparo, la Sección acuerda la suspensión cautelar de las resoluciones antes referenciadas”, y se acordó la formación de pieza separada para sustanciación del incidente de nulidad.</w:t>
      </w:r>
    </w:p>
    <w:p w14:paraId="36A8D2FD" w14:textId="77777777" w:rsidR="008D479B" w:rsidRDefault="008D479B" w:rsidP="008D479B">
      <w:pPr>
        <w:pStyle w:val="TextoNormal"/>
      </w:pPr>
    </w:p>
    <w:p w14:paraId="10733765" w14:textId="33533948" w:rsidR="008D479B" w:rsidRDefault="008D479B" w:rsidP="008D479B">
      <w:pPr>
        <w:pStyle w:val="TextoNormal"/>
      </w:pPr>
      <w:r w:rsidRPr="008D479B">
        <w:rPr>
          <w:rStyle w:val="NumeroAFNegritaCaracter"/>
        </w:rPr>
        <w:t>7</w:t>
      </w:r>
      <w:r>
        <w:t>. En diligencia de ordenación de 26 de enero de 2023, se acuerda poner en conocimiento del Ministerio Fiscal y de las partes que en virtud del acuerdo adoptado por el Pleno del Tribunal Constitucional el día 17 de enero de 2023, publicado en el “Boletín Oficial del Estado” del siguiente 19 de enero, el presente recurso de amparo ha sido turnado a la Sección Primera de la Sala Primera del Tribunal Constitucional.</w:t>
      </w:r>
    </w:p>
    <w:p w14:paraId="66ADCBD0" w14:textId="77777777" w:rsidR="008D479B" w:rsidRDefault="008D479B" w:rsidP="008D479B">
      <w:pPr>
        <w:pStyle w:val="TextoNormal"/>
      </w:pPr>
    </w:p>
    <w:p w14:paraId="12A9AEF6" w14:textId="52214D60" w:rsidR="008D479B" w:rsidRDefault="008D479B" w:rsidP="008D479B">
      <w:pPr>
        <w:pStyle w:val="TextoNormal"/>
      </w:pPr>
      <w:r w:rsidRPr="008D479B">
        <w:rPr>
          <w:rStyle w:val="NumeroAFNegritaCaracter"/>
        </w:rPr>
        <w:t>8</w:t>
      </w:r>
      <w:r>
        <w:t>. Tras el trámite de alegaciones la Sala Primera dictó el ATC 103/2023, de 6 de marzo, por el que acordó mantener la medida cautelar adoptada con carácter de urgencia mediante providencia de 29 de diciembre de 2022, de suspensión de la ejecución de las resoluciones impugnadas y del consiguiente ingreso en prisión derivado de estas, mientras se tramita el presente recurso de amparo.</w:t>
      </w:r>
    </w:p>
    <w:p w14:paraId="54547347" w14:textId="77777777" w:rsidR="008D479B" w:rsidRDefault="008D479B" w:rsidP="008D479B">
      <w:pPr>
        <w:pStyle w:val="TextoNormal"/>
      </w:pPr>
    </w:p>
    <w:p w14:paraId="328D252E" w14:textId="259DE3BF" w:rsidR="008D479B" w:rsidRDefault="008D479B" w:rsidP="008D479B">
      <w:pPr>
        <w:pStyle w:val="TextoNormal"/>
      </w:pPr>
      <w:r w:rsidRPr="008D479B">
        <w:rPr>
          <w:rStyle w:val="NumeroAFNegritaCaracter"/>
        </w:rPr>
        <w:t>9</w:t>
      </w:r>
      <w:r>
        <w:t>. La representación procesal de los perjudicados, tras ser emplazados ante este tribunal, mediante escrito de 28 de febrero de 2023, manifestó la voluntad de aquellos de no personarse en este recurso de amparo.</w:t>
      </w:r>
    </w:p>
    <w:p w14:paraId="6D42FC49" w14:textId="77777777" w:rsidR="008D479B" w:rsidRDefault="008D479B" w:rsidP="008D479B">
      <w:pPr>
        <w:pStyle w:val="TextoNormal"/>
      </w:pPr>
    </w:p>
    <w:p w14:paraId="1257D01D" w14:textId="77777777" w:rsidR="008D479B" w:rsidRDefault="008D479B" w:rsidP="008D479B">
      <w:pPr>
        <w:pStyle w:val="TextoNormal"/>
      </w:pPr>
      <w:r w:rsidRPr="008D479B">
        <w:rPr>
          <w:rStyle w:val="NumeroAFNegritaCaracter"/>
        </w:rPr>
        <w:t>10</w:t>
      </w:r>
      <w:r>
        <w:t>. El 7 de marzo de 2023 el letrado de la administración de justicia de la Sección Quinta de la Audiencia Provincial de Madrid acordó la remisión a este tribunal de testimonio de la ejecutoria penal/expediente de ejecución 81-2018, que se tuvo por recibido mediante diligencia de ordenación de 14 de marzo de 2023.</w:t>
      </w:r>
    </w:p>
    <w:p w14:paraId="6497249A" w14:textId="77777777" w:rsidR="008D479B" w:rsidRDefault="008D479B" w:rsidP="008D479B">
      <w:pPr>
        <w:pStyle w:val="TextoNormal"/>
      </w:pPr>
    </w:p>
    <w:p w14:paraId="5A2DE2CD" w14:textId="3DC412B8" w:rsidR="008D479B" w:rsidRDefault="008D479B" w:rsidP="008D479B">
      <w:pPr>
        <w:pStyle w:val="TextoNormal"/>
      </w:pPr>
      <w:r>
        <w:t>En esta última resolución se acordó dar vista de las actuaciones a las partes personadas y al Ministerio Fiscal, por plazo común de veinte días, a fin de que pudieran presentar las alegaciones que estimasen pertinentes conforme con lo previsto en el art. 52 de la Ley Orgánica del Tribunal Constitucional.</w:t>
      </w:r>
    </w:p>
    <w:p w14:paraId="411D5ED4" w14:textId="77777777" w:rsidR="008D479B" w:rsidRDefault="008D479B" w:rsidP="008D479B">
      <w:pPr>
        <w:pStyle w:val="TextoNormal"/>
      </w:pPr>
    </w:p>
    <w:p w14:paraId="24A59440" w14:textId="77777777" w:rsidR="008D479B" w:rsidRDefault="008D479B" w:rsidP="008D479B">
      <w:pPr>
        <w:pStyle w:val="TextoNormal"/>
      </w:pPr>
      <w:r w:rsidRPr="008D479B">
        <w:rPr>
          <w:rStyle w:val="NumeroAFNegritaCaracter"/>
        </w:rPr>
        <w:t>11</w:t>
      </w:r>
      <w:r>
        <w:t>. La representación procesal del recurrente presentó escrito de alegaciones el 14 de abril de 2023. Formula una única alegación que sintetiza la queja planteada en la demanda de amparo y sus antecedentes fácticos y procesales. En particular, afirma que “[e]l recurso de amparo se basa en la vulneración del derecho a la libertad (art. 17.1 CE) en relación con el derecho a la tutela judicial efectiva (art. 24.1 CE) en su exigencia de motivación reforzada, respecto de los autos dictados por la Sección Quinta de la Audiencia Provincial de Madrid, de fecha 6 de septiembre de 2022, que acordó revocar la suspensión de la ejecución de la pena de prisión de un año […] decretando su ingreso en prisión, y de fecha 4 de octubre de 2022, que desestimó el recurso de súplica interpuesto contra el anterior auto”.</w:t>
      </w:r>
    </w:p>
    <w:p w14:paraId="34F81F69" w14:textId="77777777" w:rsidR="008D479B" w:rsidRDefault="008D479B" w:rsidP="008D479B">
      <w:pPr>
        <w:pStyle w:val="TextoNormal"/>
      </w:pPr>
    </w:p>
    <w:p w14:paraId="4DE21BFB" w14:textId="77777777" w:rsidR="008D479B" w:rsidRDefault="008D479B" w:rsidP="008D479B">
      <w:pPr>
        <w:pStyle w:val="TextoNormal"/>
      </w:pPr>
      <w:r>
        <w:t>A su juicio, ambos autos incumplieron el deber de motivación reforzada al resolver cuestiones que afectaban al derecho de libertad del condenado, dando audiencia al penado para luego relajar dicho deber de motivación y no hacer ponderación alguna de las circunstancias económicas del sujeto afectado.</w:t>
      </w:r>
    </w:p>
    <w:p w14:paraId="34D376B9" w14:textId="77777777" w:rsidR="008D479B" w:rsidRDefault="008D479B" w:rsidP="008D479B">
      <w:pPr>
        <w:pStyle w:val="TextoNormal"/>
      </w:pPr>
    </w:p>
    <w:p w14:paraId="01614914" w14:textId="2F7E5ADE" w:rsidR="008D479B" w:rsidRDefault="008D479B" w:rsidP="008D479B">
      <w:pPr>
        <w:pStyle w:val="TextoNormal"/>
      </w:pPr>
      <w:r>
        <w:t>En el suplico interesa la concesión del amparo solicitado en el escrito de demanda.</w:t>
      </w:r>
    </w:p>
    <w:p w14:paraId="06468493" w14:textId="77777777" w:rsidR="008D479B" w:rsidRDefault="008D479B" w:rsidP="008D479B">
      <w:pPr>
        <w:pStyle w:val="TextoNormal"/>
      </w:pPr>
    </w:p>
    <w:p w14:paraId="22A3667C" w14:textId="77777777" w:rsidR="008D479B" w:rsidRDefault="008D479B" w:rsidP="008D479B">
      <w:pPr>
        <w:pStyle w:val="TextoNormal"/>
      </w:pPr>
      <w:r w:rsidRPr="008D479B">
        <w:rPr>
          <w:rStyle w:val="NumeroAFNegritaCaracter"/>
        </w:rPr>
        <w:t>12</w:t>
      </w:r>
      <w:r>
        <w:t>. El fiscal ante el Tribunal Constitucional presentó escrito de alegaciones el 26 de abril de 2023 interesando: (i) la estimación del recurso y el otorgamiento de amparo al demandante; (ii) la declaración de vulneración del derecho a la tutela judicial efectiva sin indefensión (art. 24.1 CE) en relación con el derecho a la libertad individual (art. 17 CE) y (iii) el restablecimiento del demandante en su derecho y, en consecuencia, la declaración de nulidad de las resoluciones judiciales impugnadas y de todas las actuaciones posteriores dirigidas a la ejecución de la pena privativa de libertad impuesta al recurrente.</w:t>
      </w:r>
    </w:p>
    <w:p w14:paraId="0B9B83C4" w14:textId="77777777" w:rsidR="008D479B" w:rsidRDefault="008D479B" w:rsidP="008D479B">
      <w:pPr>
        <w:pStyle w:val="TextoNormal"/>
      </w:pPr>
    </w:p>
    <w:p w14:paraId="2BFC30FF" w14:textId="77777777" w:rsidR="008D479B" w:rsidRDefault="008D479B" w:rsidP="008D479B">
      <w:pPr>
        <w:pStyle w:val="TextoNormal"/>
      </w:pPr>
      <w:r>
        <w:t>Tras la exposición de los antecedentes del caso, el fiscal delimita el objeto del recurso; a su juicio, el demandante de amparo solo considera infringido el derecho a la tutela judicial efectiva del art. 24.1 CE, con la modulación que respecto a la motivación de las resoluciones judiciales supone el hecho de que la decisión que se tome afectará al derecho a la libertad; en concreto, la necesidad de motivación reforzada y que la referencia al derecho a la libertad e incluso al fin de resocialización de las penas (art. 25.2 CE) solo se realizan para argumentar la necesidad de la motivación reforzada y que la violación del art. 24.1 CE se ha producido precisamente porque la motivación de los autos impugnados no cumple esa exigencia constitucional.</w:t>
      </w:r>
    </w:p>
    <w:p w14:paraId="1472F410" w14:textId="77777777" w:rsidR="008D479B" w:rsidRDefault="008D479B" w:rsidP="008D479B">
      <w:pPr>
        <w:pStyle w:val="TextoNormal"/>
      </w:pPr>
    </w:p>
    <w:p w14:paraId="08848BA0" w14:textId="77777777" w:rsidR="008D479B" w:rsidRDefault="008D479B" w:rsidP="008D479B">
      <w:pPr>
        <w:pStyle w:val="TextoNormal"/>
      </w:pPr>
      <w:r>
        <w:t>En el análisis de fondo del recurso, el fiscal recuerda que este tribunal ha declarado de forma reiterada que el derecho a la libertad del art. 17.1 CE no resulta directamente vulnerado por las decisiones judiciales relativas a la suspensión de las penas privativas de libertad [ATC 3/2018, de 23 de enero, FJ 5 ii), que cita, entre otras, la STC 320/2006, de 15 de noviembre, FJ 4].</w:t>
      </w:r>
    </w:p>
    <w:p w14:paraId="27AFAECF" w14:textId="77777777" w:rsidR="008D479B" w:rsidRDefault="008D479B" w:rsidP="008D479B">
      <w:pPr>
        <w:pStyle w:val="TextoNormal"/>
      </w:pPr>
    </w:p>
    <w:p w14:paraId="6A9CAF1E" w14:textId="77777777" w:rsidR="008D479B" w:rsidRDefault="008D479B" w:rsidP="008D479B">
      <w:pPr>
        <w:pStyle w:val="TextoNormal"/>
      </w:pPr>
      <w:r>
        <w:t>Ahora bien, descartada de este modo una vulneración autónoma del citado derecho fundamental, el propio ATC 3/2018, con referencia a la STC 226/2015, de 2 de noviembre, FJ 4, también advertía que el artículo 17 CE sí proyecta sus efectos sobre la interpretación judicial de la suspensión condicional, que está sujeta a un deber reforzado de motivación (art. 24.1 CE en relación con el art. 17 CE), dentro del marco regulativo fijado por el legislador de forma discrecional.</w:t>
      </w:r>
    </w:p>
    <w:p w14:paraId="77E975E1" w14:textId="77777777" w:rsidR="008D479B" w:rsidRDefault="008D479B" w:rsidP="008D479B">
      <w:pPr>
        <w:pStyle w:val="TextoNormal"/>
      </w:pPr>
    </w:p>
    <w:p w14:paraId="715A9723" w14:textId="77777777" w:rsidR="008D479B" w:rsidRDefault="008D479B" w:rsidP="008D479B">
      <w:pPr>
        <w:pStyle w:val="TextoNormal"/>
      </w:pPr>
      <w:r>
        <w:t>De acuerdo con dicha jurisprudencia y la sentada en las SSTC 32/2022, de 7 de marzo, y 132/2022, de 24 de octubre, el fiscal concluye que no procede estimar la pretensión de amparo basada en la vulneración del artículo 17 CE, sin perjuicio de tener en cuenta la observación que se acaba de reproducir en relación con la posible infracción del artículo 24.1 CE que también denuncia el recurrente.</w:t>
      </w:r>
    </w:p>
    <w:p w14:paraId="2C6FEE6F" w14:textId="77777777" w:rsidR="008D479B" w:rsidRDefault="008D479B" w:rsidP="008D479B">
      <w:pPr>
        <w:pStyle w:val="TextoNormal"/>
      </w:pPr>
    </w:p>
    <w:p w14:paraId="646AD852" w14:textId="77777777" w:rsidR="008D479B" w:rsidRDefault="008D479B" w:rsidP="008D479B">
      <w:pPr>
        <w:pStyle w:val="TextoNormal"/>
      </w:pPr>
      <w:r>
        <w:t>A continuación, el fiscal examina la denuncia de vulneración del derecho a la tutela judicial efectiva del artículo 24.1 CE, en su vertiente del deber de motivación en relación con el derecho a la libertad del artículo 17.1 CE.</w:t>
      </w:r>
    </w:p>
    <w:p w14:paraId="14690C66" w14:textId="77777777" w:rsidR="008D479B" w:rsidRDefault="008D479B" w:rsidP="008D479B">
      <w:pPr>
        <w:pStyle w:val="TextoNormal"/>
      </w:pPr>
    </w:p>
    <w:p w14:paraId="643E3678" w14:textId="77777777" w:rsidR="008D479B" w:rsidRDefault="008D479B" w:rsidP="008D479B">
      <w:pPr>
        <w:pStyle w:val="TextoNormal"/>
      </w:pPr>
      <w:r>
        <w:t>Tras extractar las alegaciones del demandante y examinar la doctrina constitucional que estima aplicable, en particular, los citados ATC 3/2018, de 23 de enero, FJ 5, y las SSTC 32/2022, de 7 de marzo, FJ 4, y 132/2022, de 24 de octubre, FFJJ 3 y 4, procede a la aplicación de esta doctrina al caso concreto.</w:t>
      </w:r>
    </w:p>
    <w:p w14:paraId="789EF8B9" w14:textId="77777777" w:rsidR="008D479B" w:rsidRDefault="008D479B" w:rsidP="008D479B">
      <w:pPr>
        <w:pStyle w:val="TextoNormal"/>
      </w:pPr>
    </w:p>
    <w:p w14:paraId="250095E0" w14:textId="77777777" w:rsidR="008D479B" w:rsidRDefault="008D479B" w:rsidP="008D479B">
      <w:pPr>
        <w:pStyle w:val="TextoNormal"/>
      </w:pPr>
      <w:r>
        <w:t>(i) En relación con el auto de 6 de septiembre de 2022, por el que el tribunal de ejecución acordó la revocación de la suspensión de la ejecución de la pena por incumplimiento de la condición del pago de la responsabilidad civil, el fiscal afirma que “la argumentación es tan parca, [que] ni siquiera explica en qué ha consistido ese incumplimiento grave y reiterado, pues consta en la causa [que] el reo ha pagado en diversas ocasiones hasta un total de 4000 € de los 13 000 a los que fue condenado en total, cerca de la tercera parte. Luego parece necesario, sobre todo a la vista del canon de motivación reforzada, que el auto hubiera explicado las razones por las que considera que el incumplimiento es grave y reiterado, por tanto ya desde este primer punto de vista habría vulneración del derecho a la tutela judicial efectiva sin indefensión por la falta de motivación suficiente de la decisión”.</w:t>
      </w:r>
    </w:p>
    <w:p w14:paraId="0061C42C" w14:textId="77777777" w:rsidR="008D479B" w:rsidRDefault="008D479B" w:rsidP="008D479B">
      <w:pPr>
        <w:pStyle w:val="TextoNormal"/>
      </w:pPr>
    </w:p>
    <w:p w14:paraId="31C45DE4" w14:textId="77777777" w:rsidR="008D479B" w:rsidRDefault="008D479B" w:rsidP="008D479B">
      <w:pPr>
        <w:pStyle w:val="TextoNormal"/>
      </w:pPr>
      <w:r>
        <w:t>El fiscal aduce que se puede discutir si el impago de más de dos tercios de las cantidades adeudadas, tras haber sido concedido un nuevo plazo para el pago mediante una primera prórroga de la suspensión, pueda ser calificado o no de incumplimiento grave o reiterado, y si esa gravedad y reiteración que se menciona de forma explícita para el caso de los incumplimientos de las condiciones establecidas en los arts. 83 y 84 CP, es aplicable también al supuesto de impago de la responsabilidad civil, pero este debate no excusa el deber de motivación reforzada que se concreta en “la expresión de la ponderación, de conformidad con los fines de la institución y los constitucionalmente fijados a las penas privativas de libertad, de los bienes y derechos en conflicto” (STC 32/2022, FJ 4). Uno de los factores imprescindibles de la ponderación de las circunstancias en presencia ha de ser, continúa el fiscal, la capacidad económica real del penado a la hora de justificar la revocación de la suspensión de la ejecución por impago de la responsabilidad civil. La STC 32/2022, FJ 4, rechazó un razonamiento idéntico, subrayando que “las decisiones sobre revocación asentadas en la falta de pago de la responsabilidad civil [...] deben tener presente la doctrina constitucional relativa al papel que la capacidad económica del sujeto desempeña en este marco”, de donde resulta que “ni la suspensión ni la revocación pueden condicionarse al pago de la responsabilidad civil cuando es imposible ese pago”. Por ello, “vincular sin solución de continuidad la revocación con el impago de la responsabilidad civil no solo desconoce la previsión del art. 86.4 CP”, (que “no anuda automáticamente esa consecuencia al incumplimiento del compromiso de pago, sino que exige comprobar la paralela capacidad económica para satisfacerla”), sino que además “[o]bvia también que esa salvedad legal sostiene la compatibilidad con el derecho a la igualdad (art. 14 CE) de la vinculación de la figura de la suspensión con la satisfacción de las indemnizaciones por la responsabilidad civil derivada del delito característica del diseño de esta forma sustitutiva de cumplimiento”.</w:t>
      </w:r>
    </w:p>
    <w:p w14:paraId="62F11E94" w14:textId="77777777" w:rsidR="008D479B" w:rsidRDefault="008D479B" w:rsidP="008D479B">
      <w:pPr>
        <w:pStyle w:val="TextoNormal"/>
      </w:pPr>
    </w:p>
    <w:p w14:paraId="56743650" w14:textId="77777777" w:rsidR="008D479B" w:rsidRDefault="008D479B" w:rsidP="008D479B">
      <w:pPr>
        <w:pStyle w:val="TextoNormal"/>
      </w:pPr>
      <w:r>
        <w:t>Matiza el fiscal que, siendo cierto que en el presente caso el penado no fue declarado insolvente, sí se había efectuado una averiguación patrimonial de cuyo resultado negativo no hace la más mínima referencia el auto de revocación. Tampoco se hace mención alguna a los 4000 € que el condenado había pagado hasta ese momento (no se dice que el impago es parcial), ni se argumentan las razones por las cuales el órgano judicial de ejecución califica el incumplimiento de grave y reiterado, sin que, a juicio del fiscal, nada hay que induzca a deducir que esa calificación provenga de que le resultaba posible pagar puntualmente los plazos que se le fijaron.</w:t>
      </w:r>
    </w:p>
    <w:p w14:paraId="1A940DE7" w14:textId="77777777" w:rsidR="008D479B" w:rsidRDefault="008D479B" w:rsidP="008D479B">
      <w:pPr>
        <w:pStyle w:val="TextoNormal"/>
      </w:pPr>
    </w:p>
    <w:p w14:paraId="45FB52BE" w14:textId="77777777" w:rsidR="008D479B" w:rsidRDefault="008D479B" w:rsidP="008D479B">
      <w:pPr>
        <w:pStyle w:val="TextoNormal"/>
      </w:pPr>
      <w:r>
        <w:t>En definitiva, concluye el fiscal en este punto, la decisión judicial no incluye en la fundamentación fáctica y jurídica ninguna referencia a la investigación patrimonial, ni valoración alguna relativa a la situación económica que se desprende del resultado de sus propias diligencias, ni a si esa información permite concluir que el impago es fruto de una voluntad reticente al cumplimiento, pese a disponer el penado de recursos para poder cumplir totalmente su obligación, o si, por el contrario, es un dato objetivo que aquel carecía de bienes con los que afrontar su obligación pecuniaria más allá de la parte en la que lo hizo. Falta, por tanto, ese elemento central de la ponderación constitucionalmente exigible.</w:t>
      </w:r>
    </w:p>
    <w:p w14:paraId="492885B6" w14:textId="77777777" w:rsidR="008D479B" w:rsidRDefault="008D479B" w:rsidP="008D479B">
      <w:pPr>
        <w:pStyle w:val="TextoNormal"/>
      </w:pPr>
    </w:p>
    <w:p w14:paraId="118DED83" w14:textId="77777777" w:rsidR="008D479B" w:rsidRDefault="008D479B" w:rsidP="008D479B">
      <w:pPr>
        <w:pStyle w:val="TextoNormal"/>
      </w:pPr>
      <w:r>
        <w:t>(ii) A continuación, el fiscal examina la fundamentación del auto de 4 de octubre de 2022, resolutorio del recurso de súplica interpuesto por el demandante contra el auto de 6 de septiembre de 2022, y su incompatibilidad con la jurisprudencia constitucional (las ya citadas SSTC 32/2022, FJ 4, y 132/2022, FJ 3).</w:t>
      </w:r>
    </w:p>
    <w:p w14:paraId="2932AD0D" w14:textId="77777777" w:rsidR="008D479B" w:rsidRDefault="008D479B" w:rsidP="008D479B">
      <w:pPr>
        <w:pStyle w:val="TextoNormal"/>
      </w:pPr>
    </w:p>
    <w:p w14:paraId="5F806446" w14:textId="77777777" w:rsidR="008D479B" w:rsidRDefault="008D479B" w:rsidP="008D479B">
      <w:pPr>
        <w:pStyle w:val="TextoNormal"/>
      </w:pPr>
      <w:r>
        <w:t>Destaca que el auto dictado en súplica de nuevo omite valorar la situación económica del ahora recurrente, ni menciona los pagos efectuados de 4000 y 3000 €, ni tampoco declara si el impago del resto de la indemnización es fruto de una voluntad reticente al cumplimiento, ni si el interesado carecía de capacidad económica para abonar el resto de la indemnización, como tampoco le imputa una ocultación de bienes.</w:t>
      </w:r>
    </w:p>
    <w:p w14:paraId="4E09A61D" w14:textId="77777777" w:rsidR="008D479B" w:rsidRDefault="008D479B" w:rsidP="008D479B">
      <w:pPr>
        <w:pStyle w:val="TextoNormal"/>
      </w:pPr>
    </w:p>
    <w:p w14:paraId="0C9A2390" w14:textId="77777777" w:rsidR="008D479B" w:rsidRDefault="008D479B" w:rsidP="008D479B">
      <w:pPr>
        <w:pStyle w:val="TextoNormal"/>
      </w:pPr>
      <w:r>
        <w:t>Para el fiscal, el órgano judicial hizo un uso limitado de sus posibilidades de investigación patrimonial y luego ignoró completamente —hasta el punto de no mencionarlo— el resultado de dicha investigación, tanto para revocar la suspensión de la ejecución por el mero incumplimiento del pago, como en este segundo auto al confirmar la revocación sin comprobar ni valorar la capacidad económica del reo.</w:t>
      </w:r>
    </w:p>
    <w:p w14:paraId="5A532512" w14:textId="77777777" w:rsidR="008D479B" w:rsidRDefault="008D479B" w:rsidP="008D479B">
      <w:pPr>
        <w:pStyle w:val="TextoNormal"/>
      </w:pPr>
    </w:p>
    <w:p w14:paraId="5BD5F9D0" w14:textId="77777777" w:rsidR="008D479B" w:rsidRDefault="008D479B" w:rsidP="008D479B">
      <w:pPr>
        <w:pStyle w:val="TextoNormal"/>
      </w:pPr>
      <w:r>
        <w:t>Para terminar con esta parte de sus alegaciones, afirma el fiscal que una circunstancia que hace aún más evidente la necesidad de mayor motivación en este segundo auto es que cuando se dicta el mismo el penado había llegado a pagar hasta 7 000 € de los 13.000 a los que se le condenó, por lo que difícilmente puede imputársele una voluntad rebelde al pago, salvo que se hubiera acreditado que pudo pagar el resto, a lo que el auto ni siquiera se refiere.</w:t>
      </w:r>
    </w:p>
    <w:p w14:paraId="5E9388BE" w14:textId="77777777" w:rsidR="008D479B" w:rsidRDefault="008D479B" w:rsidP="008D479B">
      <w:pPr>
        <w:pStyle w:val="TextoNormal"/>
      </w:pPr>
    </w:p>
    <w:p w14:paraId="767556E6" w14:textId="77777777" w:rsidR="008D479B" w:rsidRDefault="008D479B" w:rsidP="008D479B">
      <w:pPr>
        <w:pStyle w:val="TextoNormal"/>
      </w:pPr>
      <w:r>
        <w:t>En el apartado dedicado a la extensión y alcance del amparo, el fiscal entiende que, por las razones y en términos similares a los expuestos en la citada STC 132/2022, FJ 3, en el presente caso debe otorgarse el amparo al recurrente por vulneración de su derecho a la tutela judicial efectiva (art. 24.1 CE) en relación con el derecho a la libertad (art. 17 CE). Sin embargo, estima que no procede la retroacción de las actuaciones para que se dicte una nueva resolución respetuosa con el derecho vulnerado, teniendo en cuenta que (i) el derecho a la libertad del art. 17 CE, si bien no es directamente vulnerado en las resoluciones impugnadas, sí que resulta afectado; y (ii) la revocación de la suspensión de la ejecución por impago se acordó después de haberse cumplido el periodo de suspensión de la ejecución, incluida la prórroga, por lo que no procedería conceder una nueva prórroga. Además, los autos no solo vulneran el canon de motivación reforzada, sino que no hacen referencia alguna a que el reo tuviera capacidad para hacer frente a la responsabilidad civil para la revocación y por tanto, y por lo que respecta al incumplimiento del compromiso de pago de la responsabilidad civil, no sería procedente acordar la revocación de la suspensión, sin perjuicio de la pervivencia de dicha responsabilidad civil.</w:t>
      </w:r>
    </w:p>
    <w:p w14:paraId="4FE3A109" w14:textId="77777777" w:rsidR="008D479B" w:rsidRDefault="008D479B" w:rsidP="008D479B">
      <w:pPr>
        <w:pStyle w:val="TextoNormal"/>
      </w:pPr>
    </w:p>
    <w:p w14:paraId="04F565DA" w14:textId="74F6EA96" w:rsidR="008D479B" w:rsidRDefault="008D479B" w:rsidP="008D479B">
      <w:pPr>
        <w:pStyle w:val="TextoNormal"/>
      </w:pPr>
      <w:r>
        <w:t>Para terminar, tampoco considera procedente el fiscal que se acuerde por este tribunal la remisión definitiva, al estimar que debe ser la jurisdicción ordinaria la competente para decidir al respecto, examinando si concurren otras circunstancias que puedan dar lugar a la revocación de la suspensión.</w:t>
      </w:r>
    </w:p>
    <w:p w14:paraId="29F591F5" w14:textId="77777777" w:rsidR="008D479B" w:rsidRDefault="008D479B" w:rsidP="008D479B">
      <w:pPr>
        <w:pStyle w:val="TextoNormal"/>
      </w:pPr>
    </w:p>
    <w:p w14:paraId="24372FEB" w14:textId="190129D4" w:rsidR="008D479B" w:rsidRDefault="008D479B" w:rsidP="008D479B">
      <w:pPr>
        <w:pStyle w:val="TextoNormal"/>
      </w:pPr>
      <w:r w:rsidRPr="008D479B">
        <w:rPr>
          <w:rStyle w:val="NumeroAFNegritaCaracter"/>
        </w:rPr>
        <w:t>13</w:t>
      </w:r>
      <w:r>
        <w:t>. Mediante providencia de 7 de diciembre de 2023 se señaló para deliberación y votación de la presente sentencia el día 11 del mismo mes y año.</w:t>
      </w:r>
    </w:p>
    <w:p w14:paraId="149F92EC" w14:textId="77777777" w:rsidR="008D479B" w:rsidRDefault="008D479B" w:rsidP="008D479B">
      <w:pPr>
        <w:pStyle w:val="TextoNormal"/>
      </w:pPr>
    </w:p>
    <w:p w14:paraId="18C3B6B7" w14:textId="77777777" w:rsidR="008D479B" w:rsidRDefault="008D479B" w:rsidP="008D479B">
      <w:pPr>
        <w:pStyle w:val="TextoNormalNegritaCentrado"/>
        <w:keepNext/>
      </w:pPr>
      <w:r>
        <w:t>II. Fundamentos jurídicos</w:t>
      </w:r>
    </w:p>
    <w:p w14:paraId="62659279" w14:textId="05E0B671" w:rsidR="008D479B" w:rsidRDefault="008D479B" w:rsidP="008D479B">
      <w:pPr>
        <w:pStyle w:val="TextoNormalNegritaCentrado"/>
        <w:keepNext/>
      </w:pPr>
    </w:p>
    <w:p w14:paraId="71C05AD1" w14:textId="77777777" w:rsidR="008D479B" w:rsidRDefault="008D479B" w:rsidP="008D479B">
      <w:pPr>
        <w:pStyle w:val="TextoNormal"/>
      </w:pPr>
      <w:r w:rsidRPr="008D479B">
        <w:rPr>
          <w:rStyle w:val="NumeroAFNegritaCaracter"/>
        </w:rPr>
        <w:t>1</w:t>
      </w:r>
      <w:r>
        <w:t xml:space="preserve">. </w:t>
      </w:r>
      <w:r w:rsidRPr="008D479B">
        <w:rPr>
          <w:i/>
        </w:rPr>
        <w:t>Objeto del recurso de amparo y pretensiones de las partes</w:t>
      </w:r>
    </w:p>
    <w:p w14:paraId="05F17D43" w14:textId="77777777" w:rsidR="008D479B" w:rsidRDefault="008D479B" w:rsidP="008D479B">
      <w:pPr>
        <w:pStyle w:val="TextoNormal"/>
      </w:pPr>
    </w:p>
    <w:p w14:paraId="04740D06" w14:textId="77777777" w:rsidR="008D479B" w:rsidRDefault="008D479B" w:rsidP="008D479B">
      <w:pPr>
        <w:pStyle w:val="TextoNormal"/>
      </w:pPr>
      <w:r>
        <w:t>El recurso de amparo se interpone frente al auto de 4 de octubre de 2022, dictado por la Sección Quinta de la Audiencia Provincial de Madrid que desestimó el recurso de súplica interpuesto por el demandante contra el auto de 6 de septiembre de 2022, que revocó la suspensión de la ejecución de la pena de un año de prisión impuesta al demandante, con motivo del “grave y reiterado” incumplimiento de la obligación de pago de la responsabilidad civil.</w:t>
      </w:r>
    </w:p>
    <w:p w14:paraId="5286D415" w14:textId="77777777" w:rsidR="008D479B" w:rsidRDefault="008D479B" w:rsidP="008D479B">
      <w:pPr>
        <w:pStyle w:val="TextoNormal"/>
      </w:pPr>
    </w:p>
    <w:p w14:paraId="7CEF3BCB" w14:textId="77777777" w:rsidR="008D479B" w:rsidRDefault="008D479B" w:rsidP="008D479B">
      <w:pPr>
        <w:pStyle w:val="TextoNormal"/>
      </w:pPr>
      <w:r>
        <w:t>El demandante denuncia en un único motivo de amparo la “vulneración del derecho a la libertad (art. 17.1 CE) en relación con el derecho a la tutela judicial efectiva (art. 24.1 CE) en su exigencia de motivación reforzada”. Bajo dicha rúbrica, en síntesis, sostiene que la decisión de revocar la suspensión de la ejecución de la pena de un año de prisión adoptada en el auto de 6 de septiembre de 2022, adoleció de falta de la debida motivación reforzada, pues se fundó en el mero impago de la responsabilidad civil, pese a que quedó acreditado en el procedimiento de ejecución que carecía de capacidad económica al efecto, circunstancia que puso reiteradamente en conocimiento del tribunal de ejecución. En segundo lugar, extiende la queja al auto resolutorio del recurso de súplica, de 4 de octubre de 2022, porque incurrió en el mismo déficit de motivación, al remitirse a los fundamentos del auto impugnado.</w:t>
      </w:r>
    </w:p>
    <w:p w14:paraId="28430255" w14:textId="77777777" w:rsidR="008D479B" w:rsidRDefault="008D479B" w:rsidP="008D479B">
      <w:pPr>
        <w:pStyle w:val="TextoNormal"/>
      </w:pPr>
    </w:p>
    <w:p w14:paraId="2960CB62" w14:textId="5D623F37" w:rsidR="008D479B" w:rsidRDefault="008D479B" w:rsidP="008D479B">
      <w:pPr>
        <w:pStyle w:val="TextoNormal"/>
      </w:pPr>
      <w:r>
        <w:t xml:space="preserve">El fiscal interesa la estimación del recurso en la medida en que la motivación común ofrecida por el tribunal </w:t>
      </w:r>
      <w:r w:rsidRPr="008D479B">
        <w:rPr>
          <w:i/>
        </w:rPr>
        <w:t>a quo</w:t>
      </w:r>
      <w:r>
        <w:t xml:space="preserve"> para fundar tanto la revocación de la suspensión de condena, como su confirmación en la resolución del recurso de súplica, fue manifiestamente insuficiente, pues obvió la exigencia constitucional de atender a los bienes y derechos en conflicto y de ponderar las circunstancias individuales del penado.</w:t>
      </w:r>
    </w:p>
    <w:p w14:paraId="19AEE00B" w14:textId="77777777" w:rsidR="008D479B" w:rsidRDefault="008D479B" w:rsidP="008D479B">
      <w:pPr>
        <w:pStyle w:val="TextoNormal"/>
      </w:pPr>
    </w:p>
    <w:p w14:paraId="25EF60B2" w14:textId="77777777" w:rsidR="008D479B" w:rsidRDefault="008D479B" w:rsidP="008D479B">
      <w:pPr>
        <w:pStyle w:val="TextoNormal"/>
      </w:pPr>
      <w:r w:rsidRPr="008D479B">
        <w:rPr>
          <w:rStyle w:val="NumeroAFNegritaCaracter"/>
        </w:rPr>
        <w:t>2</w:t>
      </w:r>
      <w:r>
        <w:t xml:space="preserve">. </w:t>
      </w:r>
      <w:r w:rsidRPr="008D479B">
        <w:rPr>
          <w:i/>
        </w:rPr>
        <w:t>Consideración previa</w:t>
      </w:r>
    </w:p>
    <w:p w14:paraId="738F3574" w14:textId="77777777" w:rsidR="008D479B" w:rsidRDefault="008D479B" w:rsidP="008D479B">
      <w:pPr>
        <w:pStyle w:val="TextoNormal"/>
      </w:pPr>
    </w:p>
    <w:p w14:paraId="3C87CD70" w14:textId="77777777" w:rsidR="008D479B" w:rsidRDefault="008D479B" w:rsidP="008D479B">
      <w:pPr>
        <w:pStyle w:val="TextoNormal"/>
      </w:pPr>
      <w:r>
        <w:t>Con carácter previo al examen de fondo de la vulneración denunciada, es preciso constatar, tal y como advierte el Ministerio Fiscal, que en el único motivo del recurso el actor pone en relación la vulneración del derecho a la tutela judicial efectiva, en su vertiente de deber de motivación reforzada, con la lesión autónoma del derecho a la libertad personal, como efectos de la decisión del tribunal de ejecución de revocar la suspensión de la ejecución de la pena de prisión que le fue impuesta.</w:t>
      </w:r>
    </w:p>
    <w:p w14:paraId="172BF8BE" w14:textId="77777777" w:rsidR="008D479B" w:rsidRDefault="008D479B" w:rsidP="008D479B">
      <w:pPr>
        <w:pStyle w:val="TextoNormal"/>
      </w:pPr>
    </w:p>
    <w:p w14:paraId="44CEA1B6" w14:textId="77777777" w:rsidR="008D479B" w:rsidRDefault="008D479B" w:rsidP="008D479B">
      <w:pPr>
        <w:pStyle w:val="TextoNormal"/>
      </w:pPr>
      <w:r>
        <w:t>A la vista de este planteamiento de la queja, ha de recordarse la constante doctrina de este tribunal, según la cual “las resoluciones que conceden o deniegan la suspensión de la ejecución de una pena privativa de libertad, si bien no constituyen decisiones sobre la restricción de la libertad en sentido estricto, ya que tienen como presupuesto la existencia de una sentencia firme condenatoria que constituye el título legítimo de la restricción de la libertad del condenado, sin embargo afectan al valor libertad, en cuanto modalizan la forma en que la ejecución de la restricción de la libertad se llevará a cabo (SSTC 25/2000, de 31 de enero, FJ 3; 8/2001, de 15 de enero, FJ 2, y 5/2002, de 14 de enero, FJ 2)” (STC 320/2006, de 15 de noviembre, FJ 4). Conectado con la alegada vulneración autónoma del art. 17 CE, la STC 132/2022, de 24 de octubre, FJ 3 d), declara que procede remitirse al ATC 3/2018, FJ 5 (iii), “que niega la afectación directa de este derecho fundamental por la normativa reguladora de la suspensión de la pena de prisión:</w:t>
      </w:r>
    </w:p>
    <w:p w14:paraId="202D4C88" w14:textId="77777777" w:rsidR="008D479B" w:rsidRDefault="008D479B" w:rsidP="008D479B">
      <w:pPr>
        <w:pStyle w:val="TextoNormal"/>
      </w:pPr>
    </w:p>
    <w:p w14:paraId="75BBB5E6" w14:textId="77777777" w:rsidR="008D479B" w:rsidRDefault="008D479B" w:rsidP="008D479B">
      <w:pPr>
        <w:pStyle w:val="TextoNormal"/>
      </w:pPr>
      <w:r>
        <w:t>‘Conviene añadir que, de acuerdo con la doctrina de este tribunal, la suspensión de la ejecución de la pena tampoco afecta directamente al derecho fundamental a la libertad personal (art. 17 CE). Según hemos señalado, la suspensión de la ejecución no es el título habilitante de la pérdida de libertad, sino una incidencia ejecutiva que modaliza, en beneficio del reo, el cumplimiento de la pena impuesto en dicho título, que es la sentencia condenatoria (por todas, STC 320/2006, de 15 de noviembre, FJ 4). El artículo 17 CE tampoco puede resultar, por ello, directamente comprometido en la regulación de la suspensión que se cuestiona, proyectando, eso sí, sus efectos, sobre la interpretación judicial de dicho instituto, que está también sujeta a un deber reforzado de motivación (art. 24.1 CE en relación con el art. 17 CE), dentro del marco regulativo fijado por el legislador de forma discrecional (STC 226/2015, de 2 de noviembre, FJ 4)’.</w:t>
      </w:r>
    </w:p>
    <w:p w14:paraId="16C3BFD9" w14:textId="77777777" w:rsidR="008D479B" w:rsidRDefault="008D479B" w:rsidP="008D479B">
      <w:pPr>
        <w:pStyle w:val="TextoNormal"/>
      </w:pPr>
    </w:p>
    <w:p w14:paraId="0A35DBAB" w14:textId="77777777" w:rsidR="008D479B" w:rsidRDefault="008D479B" w:rsidP="008D479B">
      <w:pPr>
        <w:pStyle w:val="TextoNormal"/>
      </w:pPr>
      <w:r>
        <w:t>Sí afecta al valor libertad, como señala en estas últimas líneas el ATC 3/2018 —y las resoluciones que en él se citan—, la interpretación y aplicación que hagan los órganos judiciales de las normas sobre suspensión y en su caso sobre revocación de la suspensión ya concedida. Entre otros supuestos, por incumplir el deber de motivación reforzada respecto del juicio de ponderación para resolver sobre la suspensión de la ejecución de una pena de prisión [ATC 3/2018, FFJJ 5 y 7; SSTC 320/2006, de 15 de noviembre, FJ 4, y 104/2022, FJ 3 B)], o para decidir su revocación (STC 32/2022, FFJJ 4 y 5), apareciendo como afectado el derecho a la tutela judicial efectiva, en relación con el derecho a la libertad individual”.</w:t>
      </w:r>
    </w:p>
    <w:p w14:paraId="53098862" w14:textId="77777777" w:rsidR="008D479B" w:rsidRDefault="008D479B" w:rsidP="008D479B">
      <w:pPr>
        <w:pStyle w:val="TextoNormal"/>
      </w:pPr>
    </w:p>
    <w:p w14:paraId="29C768C6" w14:textId="418B88DD" w:rsidR="008D479B" w:rsidRDefault="008D479B" w:rsidP="008D479B">
      <w:pPr>
        <w:pStyle w:val="TextoNormal"/>
      </w:pPr>
      <w:r>
        <w:t>De conformidad con lo expuesto, no es dable la pretensión de amparo fundada en la lesión autónoma del derecho a la libertad (art. 17 CE).</w:t>
      </w:r>
    </w:p>
    <w:p w14:paraId="004E5DC4" w14:textId="77777777" w:rsidR="008D479B" w:rsidRDefault="008D479B" w:rsidP="008D479B">
      <w:pPr>
        <w:pStyle w:val="TextoNormal"/>
      </w:pPr>
    </w:p>
    <w:p w14:paraId="062F1298" w14:textId="77777777" w:rsidR="008D479B" w:rsidRDefault="008D479B" w:rsidP="008D479B">
      <w:pPr>
        <w:pStyle w:val="TextoNormal"/>
      </w:pPr>
      <w:r w:rsidRPr="008D479B">
        <w:rPr>
          <w:rStyle w:val="NumeroAFNegritaCaracter"/>
        </w:rPr>
        <w:t>3</w:t>
      </w:r>
      <w:r>
        <w:t xml:space="preserve">. </w:t>
      </w:r>
      <w:r w:rsidRPr="008D479B">
        <w:rPr>
          <w:i/>
        </w:rPr>
        <w:t>Doctrina constitucional sobre motivación de las decisiones de revocación de la suspensión de la ejecución de penas privativas de libertad</w:t>
      </w:r>
    </w:p>
    <w:p w14:paraId="472ED243" w14:textId="77777777" w:rsidR="008D479B" w:rsidRDefault="008D479B" w:rsidP="008D479B">
      <w:pPr>
        <w:pStyle w:val="TextoNormal"/>
      </w:pPr>
    </w:p>
    <w:p w14:paraId="7FBF962C" w14:textId="77777777" w:rsidR="008D479B" w:rsidRDefault="008D479B" w:rsidP="008D479B">
      <w:pPr>
        <w:pStyle w:val="TextoNormal"/>
      </w:pPr>
      <w:r>
        <w:t>Este tribunal ha afirmado la existencia de un canon reforzado de motivación cuando el derecho a la tutela judicial efectiva incide de alguna manera en la libertad como valor superior del ordenamiento jurídico, lo que sucede en los supuestos de resoluciones judiciales que deciden sobre medidas alternativas a la prisión o sobre beneficios penitenciarios, como la libertad condicional, los permisos de salida penitenciarios o, como en el caso ahora planteado, la suspensión de la ejecución de la pena de prisión. En concreto, por lo que atañe a las resoluciones que conceden o deniegan la suspensión de la ejecución de una pena privativa de libertad regulada en los artículos 80 y siguientes del Código penal, se considera que “si bien no constituyen decisiones sobre la restricción de la libertad en sentido estricto, ya que tienen como presupuesto la existencia de una sentencia firme condenatoria que constituye el título legítimo de la restricción de la libertad del condenado, sin embargo afectan al valor libertad, en cuanto modalizan la forma en que la ejecución de la restricción de la libertad se llevará a cabo” (por todas, STC 320/2006, de 15 de noviembre, FJ 4).</w:t>
      </w:r>
    </w:p>
    <w:p w14:paraId="03D0170C" w14:textId="77777777" w:rsidR="008D479B" w:rsidRDefault="008D479B" w:rsidP="008D479B">
      <w:pPr>
        <w:pStyle w:val="TextoNormal"/>
      </w:pPr>
    </w:p>
    <w:p w14:paraId="6C9563FD" w14:textId="77777777" w:rsidR="008D479B" w:rsidRDefault="008D479B" w:rsidP="008D479B">
      <w:pPr>
        <w:pStyle w:val="TextoNormal"/>
      </w:pPr>
      <w:r>
        <w:t>Tal afectación al valor libertad determina que una resolución fundada en Derecho relativa a la suspensión requiere que el fundamento de la decisión no solo constituya una aplicación no arbitraria de las normas adecuadas al caso, sino también que su adopción esté presidida, más allá de la mera exteriorización de la concurrencia o no de los requisitos legales, por la expresión de la ponderación, de conformidad con los fines de la institución y los constitucionalmente fijados a las penas privativas de libertad, de los bienes y derechos en conflicto (entre otras muchas, SSTC 25/2000, de 31 de enero, FFJJ 2, 3 y 7, y 57/2007, de 12 de marzo, FJ 2).</w:t>
      </w:r>
    </w:p>
    <w:p w14:paraId="72F5EF8E" w14:textId="77777777" w:rsidR="008D479B" w:rsidRDefault="008D479B" w:rsidP="008D479B">
      <w:pPr>
        <w:pStyle w:val="TextoNormal"/>
      </w:pPr>
    </w:p>
    <w:p w14:paraId="03C2CB9A" w14:textId="77777777" w:rsidR="008D479B" w:rsidRDefault="008D479B" w:rsidP="008D479B">
      <w:pPr>
        <w:pStyle w:val="TextoNormal"/>
      </w:pPr>
      <w:r>
        <w:t>El deber reforzado de motivación se traduce en materia de suspensión de condena en dos consideraciones de signo contrario: “Por un lado, en sentido negativo, se ha rechazado reiteradamente que la simple referencia al carácter discrecional de la decisión del órgano judicial constituya motivación suficiente del ejercicio de dicha facultad, en el entendimiento de que ‘la facultad legalmente atribuida a un órgano judicial para que adopte con carácter discrecional una decisión en un sentido o en otro no constituye por sí misma justificación suficiente de la decisión finalmente adoptada, sino que, por el contrario, el ejercicio de dicha facultad viene condicionado estrechamente a la exigencia de que tal resolución esté motivada, pues solo así puede procederse a un control posterior de la misma’ (SSTC 224/1992, de 14 de diciembre, FJ 3; 115/1997, de 16 de junio, FJ 2; 25/2000, de 31 de enero, FJ 2; 163/2002, de 16 de septiembre, FJ 4, y 202/2004, de 15 de noviembre, FJ 3, entre otras).</w:t>
      </w:r>
    </w:p>
    <w:p w14:paraId="00CF9F64" w14:textId="77777777" w:rsidR="008D479B" w:rsidRDefault="008D479B" w:rsidP="008D479B">
      <w:pPr>
        <w:pStyle w:val="TextoNormal"/>
      </w:pPr>
    </w:p>
    <w:p w14:paraId="14E4449A" w14:textId="77777777" w:rsidR="008D479B" w:rsidRDefault="008D479B" w:rsidP="008D479B">
      <w:pPr>
        <w:pStyle w:val="TextoNormal"/>
      </w:pPr>
      <w:r>
        <w:t>Por otro lado, ya en sentido positivo, se ha especificado que el deber de fundamentación de estas resoluciones judiciales requiere la ponderación de las circunstancias individuales del penado, así como de los valores y bienes jurídicos comprometidos en la decisión, teniendo en cuenta la finalidad principal de la institución, la reeducación y reinserción social, y las otras finalidades, de prevención general, que legitiman la pena privativa de libertad (por todas SSTC 25/2000, de 31 de enero, FFJJ 4 y 7; 8/2001, de 15 de enero, FJ 3; 163/2002, de 16 de septiembre, FJ 4, y 202/2004, de 15 de noviembre, FJ 3)” (STC 320/2006, FJ 4).</w:t>
      </w:r>
    </w:p>
    <w:p w14:paraId="71ABDD8A" w14:textId="77777777" w:rsidR="008D479B" w:rsidRDefault="008D479B" w:rsidP="008D479B">
      <w:pPr>
        <w:pStyle w:val="TextoNormal"/>
      </w:pPr>
    </w:p>
    <w:p w14:paraId="7FFF7BAA" w14:textId="77777777" w:rsidR="008D479B" w:rsidRDefault="008D479B" w:rsidP="008D479B">
      <w:pPr>
        <w:pStyle w:val="TextoNormal"/>
      </w:pPr>
      <w:r>
        <w:t>Ciertamente, tal y como se afirma en la STC 32/2022, de 7 de marzo, FJ 4, “la doctrina anterior sobre motivación reforzada no alude de forma expresa a la revocación de la suspensión prevista en el actual art. 86 CP, pero sin duda es extrapolable a ella, en tanto […] se integra en el diseño legal de la institución (sección primera ‘De la suspensión de la ejecución de las penas privativas de libertad’ del capítulo III ‘De las formas sustitutivas de la ejecución de las penas privativas de libertad y de la libertad condicional’) como elemento estructural de esa forma sustitutiva y la decisión al respecto afecta a la libertad personal del sujeto, pues determina el modo de cumplimiento hasta el punto de determinar el ingreso en prisión.</w:t>
      </w:r>
    </w:p>
    <w:p w14:paraId="12B5DE07" w14:textId="77777777" w:rsidR="008D479B" w:rsidRDefault="008D479B" w:rsidP="008D479B">
      <w:pPr>
        <w:pStyle w:val="TextoNormal"/>
      </w:pPr>
    </w:p>
    <w:p w14:paraId="594A55E9" w14:textId="77777777" w:rsidR="008D479B" w:rsidRDefault="008D479B" w:rsidP="008D479B">
      <w:pPr>
        <w:pStyle w:val="TextoNormal"/>
      </w:pPr>
      <w:r>
        <w:t xml:space="preserve">En particular, las decisiones sobre revocación asentadas en la falta de pago de la responsabilidad civil que aquí interesan deben tener presente la doctrina constitucional relativa al papel que la capacidad económica del sujeto desempeña en este marco. Este tribunal ha tenido ocasión de pronunciarse sobre ese papel en la configuración actual de la figura de la suspensión, fruto de la reforma operada por la Ley Orgánica 1/2015, de 30 de marzo, en el ATC 3/2018, de 23 de enero, que inadmite la cuestión de inconstitucionalidad planteada respecto al art. 80.2.3 desde la perspectiva del derecho a la igualdad (art. 14 CE). El auto enlaza con la doctrina vertida en la STC 14/1988, de 4 de febrero, y el ATC 259/2000, de 13 de noviembre, donde se excluyó que la suspensión de la ejecución pueda subordinarse de forma absoluta al pago de la indemnización por responsabilidad civil (FJ 2 y FJ 3, respectivamente), debiéndose atender a la voluntad de no cumplimiento de quien pueda hacerlo como dato decisivo (ATC 259/2000, FJ 3). En consonancia con estas resoluciones, el ATC 3/2018 descarta la infracción del art. 14 CE del nuevo diseño de la suspensión introducido por la Ley Orgánica 1/2015 situando precisamente en el momento de la revocación el juicio sobre la capacidad económica del penado. De conformidad con lo expresado por el legislador (preámbulo de la Ley Orgánica 1/2015, IV), concluimos allí que la nueva regulación trata ‘de vincular la concesión de la suspensión, en todo caso y cualquiera que sea la situación económica por la que circunstancialmente pase el penado, a la asunción por parte del reo de su deber de resarcir a la víctima en la medida de sus posibilidades, de modo que dicho deber no desaparezca rituariamente al inicio de la ejecución de la condena, exigiéndose en todo momento una actitud positiva hacia el cumplimiento de la responsabilidad civil. Las razones por las que la indemnización no resulta, finalmente, satisfecha se valoran, por ello, como el legislador advierte expresamente en el preámbulo y materializa normativamente en el citado artículo 86.1 d) CP, en el momento en que el plazo conferido expira sin que se haya pagado. […] [L]a regulación cuestionada se limita a arbitrar un sistema en el que no se exime </w:t>
      </w:r>
      <w:r w:rsidRPr="008D479B">
        <w:rPr>
          <w:i/>
        </w:rPr>
        <w:t>ab initio</w:t>
      </w:r>
      <w:r>
        <w:t xml:space="preserve"> al penado de la obligación de indemnizar y en el que el condenado debe asumir la obligación de realizar un cierto esfuerzo para resarcir a su víctima, si quiere evitar el cumplimiento efectivo de la pena de prisión impuesta. Si ese resarcimiento no llega a producirse por razón de la precaria situación económica del reo, la suspensión no se verá en ningún caso revocada’ (FJ 7). Ese entendimiento, que sitúa en la revocación el momento de examinar si la falta de abono de la responsabilidad civil se debe a la imposibilidad material, condujo a rechazar que la previsión legal vulnere el derecho a la igualdad por impedir el acceso a la suspensión de los condenados que carecen de capacidad económica frente a los que disponen de ella.</w:t>
      </w:r>
    </w:p>
    <w:p w14:paraId="7C9AB617" w14:textId="77777777" w:rsidR="008D479B" w:rsidRDefault="008D479B" w:rsidP="008D479B">
      <w:pPr>
        <w:pStyle w:val="TextoNormal"/>
      </w:pPr>
    </w:p>
    <w:p w14:paraId="4F4169B7" w14:textId="77777777" w:rsidR="008D479B" w:rsidRDefault="008D479B" w:rsidP="008D479B">
      <w:pPr>
        <w:pStyle w:val="TextoNormal"/>
      </w:pPr>
      <w:r>
        <w:t>De acuerdo con lo expuesto, ni la suspensión ni la revocación pueden condicionarse al pago de la responsabilidad civil cuando es imposible ese pago. En especial, la motivación de las decisiones judiciales que revocan una suspensión deben tener presente esta regla en su examen de la concurrencia de los presupuestos legales de tal consecuencia, que a su vez la reflejan [art. 86.1 d) CP: ‘salvo que careciera de capacidad económica para ello’], junto con la ponderación de los bienes y derechos en conflicto de conformidad con los fines constitucionalmente fijados de las penas privativas de libertad y la orientación a la reeducación y reinserción social inherente a la figura de la suspensión como alternativa a los efectos contrarios de las penas privativas de libertad cortas”.</w:t>
      </w:r>
    </w:p>
    <w:p w14:paraId="517D1DC0" w14:textId="77777777" w:rsidR="008D479B" w:rsidRDefault="008D479B" w:rsidP="008D479B">
      <w:pPr>
        <w:pStyle w:val="TextoNormal"/>
      </w:pPr>
    </w:p>
    <w:p w14:paraId="7B080A79" w14:textId="244FF138" w:rsidR="008D479B" w:rsidRDefault="008D479B" w:rsidP="008D479B">
      <w:pPr>
        <w:pStyle w:val="TextoNormal"/>
      </w:pPr>
      <w:r>
        <w:t>Hasta aquí la exposición del parámetro constitucional desde el que examinar la queja planteada por el recurrente.</w:t>
      </w:r>
    </w:p>
    <w:p w14:paraId="56F0274C" w14:textId="77777777" w:rsidR="008D479B" w:rsidRDefault="008D479B" w:rsidP="008D479B">
      <w:pPr>
        <w:pStyle w:val="TextoNormal"/>
      </w:pPr>
    </w:p>
    <w:p w14:paraId="537ABC70" w14:textId="77777777" w:rsidR="008D479B" w:rsidRDefault="008D479B" w:rsidP="008D479B">
      <w:pPr>
        <w:pStyle w:val="TextoNormal"/>
      </w:pPr>
      <w:r w:rsidRPr="008D479B">
        <w:rPr>
          <w:rStyle w:val="NumeroAFNegritaCaracter"/>
        </w:rPr>
        <w:t>4</w:t>
      </w:r>
      <w:r>
        <w:t xml:space="preserve">. </w:t>
      </w:r>
      <w:r w:rsidRPr="008D479B">
        <w:rPr>
          <w:i/>
        </w:rPr>
        <w:t>Análisis de la queja de incumplimiento de las exigencias constitucionales de motivación de la decisión de revocar la suspensión de la ejecución de la pena privativa de libertad</w:t>
      </w:r>
    </w:p>
    <w:p w14:paraId="4A002159" w14:textId="77777777" w:rsidR="008D479B" w:rsidRDefault="008D479B" w:rsidP="008D479B">
      <w:pPr>
        <w:pStyle w:val="TextoNormal"/>
      </w:pPr>
    </w:p>
    <w:p w14:paraId="315A2394" w14:textId="77777777" w:rsidR="008D479B" w:rsidRDefault="008D479B" w:rsidP="008D479B">
      <w:pPr>
        <w:pStyle w:val="TextoNormal"/>
      </w:pPr>
      <w:r>
        <w:t>Como quedó consignado con mayor detalle en los antecedentes de esta sentencia, el inicial auto de 6 de septiembre de 2022, que acordó la revocación de la suspensión, se limitó a fundar la decisión en el incumplimiento “grave y reiterado” del pago íntegro de la responsabilidad civil, mientras que el auto posterior desestimatorio del recurso de súplica se remitió a los motivos determinantes de la revocación (el impago de la totalidad de la responsabilidad civil impuesta en sentencia) y a negar valor alguno a las nuevas consideraciones efectuadas por el actor, pues a tenor de la decisión judicial el impago se produjo “conociendo el mismo las consecuencias, que […] tal incumplimiento supondría el cumplimiento de tal pena en el centro penitenciario”.</w:t>
      </w:r>
    </w:p>
    <w:p w14:paraId="0F763529" w14:textId="77777777" w:rsidR="008D479B" w:rsidRDefault="008D479B" w:rsidP="008D479B">
      <w:pPr>
        <w:pStyle w:val="TextoNormal"/>
      </w:pPr>
    </w:p>
    <w:p w14:paraId="0D5027F4" w14:textId="77777777" w:rsidR="008D479B" w:rsidRDefault="008D479B" w:rsidP="008D479B">
      <w:pPr>
        <w:pStyle w:val="TextoNormal"/>
      </w:pPr>
      <w:r>
        <w:t>A la luz de la doctrina de este tribunal, reproducida en el fundamento jurídico anterior, ha de concluirse que la común motivación ofrecida por las resoluciones impugnadas no colma las exigencias reforzadas que impone el artículo 24.1 CE en relación con el artículo 17 CE, que en estos supuestos exige atender a la capacidad económica del sujeto.</w:t>
      </w:r>
    </w:p>
    <w:p w14:paraId="0538EA0A" w14:textId="77777777" w:rsidR="008D479B" w:rsidRDefault="008D479B" w:rsidP="008D479B">
      <w:pPr>
        <w:pStyle w:val="TextoNormal"/>
      </w:pPr>
    </w:p>
    <w:p w14:paraId="12DF26DD" w14:textId="77777777" w:rsidR="008D479B" w:rsidRDefault="008D479B" w:rsidP="008D479B">
      <w:pPr>
        <w:pStyle w:val="TextoNormal"/>
      </w:pPr>
      <w:r>
        <w:t xml:space="preserve">En efecto, en primer término, el auto de 6 de septiembre de 2022 por el que se acuerda la revocación de la suspensión de la ejecución de la pena de prisión omite toda referencia a las circunstancias del caso: el pago de 4 000 € de un total de 13 000 a fecha 6 de septiembre de 2022; el resultado negativo de la diligencia de averiguación patrimonial (practicada el 18 de junio de 2020, es decir, más de dos años antes de que se dictase el auto de revocación del beneficio suspensivo); y las comunicaciones mantenidas con la oficina judicial reveladoras de la voluntad de afrontar el pago. Y en segundo término, justifica la decisión revocatoria de forma estereotipada, mediante la genérica referencia al incumplimiento “grave y reiterado” del compromiso de pago. Todo ello evidencia que el tribunal </w:t>
      </w:r>
      <w:r w:rsidRPr="008D479B">
        <w:rPr>
          <w:i/>
        </w:rPr>
        <w:t>a quo</w:t>
      </w:r>
      <w:r>
        <w:t xml:space="preserve"> fundamentó su resolución en la mera falta de pago de la totalidad de la responsabilidad civil por parte del penado, sin ponderar, por tanto, las circunstancias concurrentes ni los valores y bienes constitucionales en juego, en contravención con la doctrina de este tribunal.</w:t>
      </w:r>
    </w:p>
    <w:p w14:paraId="30C49CC6" w14:textId="77777777" w:rsidR="008D479B" w:rsidRDefault="008D479B" w:rsidP="008D479B">
      <w:pPr>
        <w:pStyle w:val="TextoNormal"/>
      </w:pPr>
    </w:p>
    <w:p w14:paraId="47E45093" w14:textId="77777777" w:rsidR="008D479B" w:rsidRDefault="008D479B" w:rsidP="008D479B">
      <w:pPr>
        <w:pStyle w:val="TextoNormal"/>
      </w:pPr>
      <w:r>
        <w:t>En este punto, debe recalcarse que la infracción del deber de motivación no radica solo en la falta absoluta de valoración de las circunstancias concurrentes con infracción del deber de ponderación, sino también en la inconsistente calificación como “grave y reiterado” del incumplimiento de pago, pues no puede reputarse como tal el impago que encuentra su origen en la imposibilidad de hacer frente al mismo por falta de capacidad económica.</w:t>
      </w:r>
    </w:p>
    <w:p w14:paraId="568BBCE9" w14:textId="77777777" w:rsidR="008D479B" w:rsidRDefault="008D479B" w:rsidP="008D479B">
      <w:pPr>
        <w:pStyle w:val="TextoNormal"/>
      </w:pPr>
    </w:p>
    <w:p w14:paraId="75FC205E" w14:textId="77777777" w:rsidR="008D479B" w:rsidRDefault="008D479B" w:rsidP="008D479B">
      <w:pPr>
        <w:pStyle w:val="TextoNormal"/>
      </w:pPr>
      <w:r>
        <w:t>Por todo lo expuesto y en cuanto al auto de 6 de septiembre de 2022 se trata, procede, conforme a nuestra jurisprudencia, declarar la existencia de la vulneración de su derecho a la tutela judicial efectiva en su vertiente del deber de motivación reforzado, por falta de ponderación de las circunstancias determinantes del impago de la responsabilidad civil para revocar el beneficio de suspensión de condena (art. 24 CE), en relación con el derecho a la libertad personal (art. 17 CE).</w:t>
      </w:r>
    </w:p>
    <w:p w14:paraId="1D9705CB" w14:textId="77777777" w:rsidR="008D479B" w:rsidRDefault="008D479B" w:rsidP="008D479B">
      <w:pPr>
        <w:pStyle w:val="TextoNormal"/>
      </w:pPr>
    </w:p>
    <w:p w14:paraId="30751BAB" w14:textId="77777777" w:rsidR="008D479B" w:rsidRDefault="008D479B" w:rsidP="008D479B">
      <w:pPr>
        <w:pStyle w:val="TextoNormal"/>
      </w:pPr>
      <w:r>
        <w:t>Y, en cuanto se refiere al auto de 4 de octubre de 2022, resolutorio del recurso de súplica interpuesto contra aquella resolución, se advierte que la lectura de dicha resolución conduce al mismo resultado pues, por un lado, este auto se remitió al impugnado en el recurso de súplica, cuya motivación ya ha sido censurada; y, por otra parte, desoyó la doctrina de este tribunal que, en lo fundamental alegó el actor en su recurso de súplica, con el empleo de una fórmula estereotipada: “las alegaciones efectuadas por el recurrente [no han] desvirtuado los hechos y los fundamentos de Derecho consignado[s]” en el auto de 6 de septiembre de 2022.</w:t>
      </w:r>
    </w:p>
    <w:p w14:paraId="534ADF51" w14:textId="77777777" w:rsidR="008D479B" w:rsidRDefault="008D479B" w:rsidP="008D479B">
      <w:pPr>
        <w:pStyle w:val="TextoNormal"/>
      </w:pPr>
    </w:p>
    <w:p w14:paraId="2F96C3E9" w14:textId="355BCB6E" w:rsidR="008D479B" w:rsidRDefault="008D479B" w:rsidP="008D479B">
      <w:pPr>
        <w:pStyle w:val="TextoNormal"/>
      </w:pPr>
      <w:r>
        <w:t>De acuerdo con todo lo expuesto, se ha producido la vulneración del derecho fundamental a la tutela judicial efectiva del recurrente (art. 24.1 CE), en relación con el derecho a la libertad (art. 17 CE), al carecer las resoluciones de la motivación reforzada exigible en materia de concesión de la suspensión de la ejecución de las penas privativas de libertad o de su revocación.</w:t>
      </w:r>
    </w:p>
    <w:p w14:paraId="4C605042" w14:textId="77777777" w:rsidR="008D479B" w:rsidRDefault="008D479B" w:rsidP="008D479B">
      <w:pPr>
        <w:pStyle w:val="TextoNormal"/>
      </w:pPr>
    </w:p>
    <w:p w14:paraId="3D74B4D5" w14:textId="77777777" w:rsidR="008D479B" w:rsidRDefault="008D479B" w:rsidP="008D479B">
      <w:pPr>
        <w:pStyle w:val="TextoNormal"/>
      </w:pPr>
      <w:r w:rsidRPr="008D479B">
        <w:rPr>
          <w:rStyle w:val="NumeroAFNegritaCaracter"/>
        </w:rPr>
        <w:t>5</w:t>
      </w:r>
      <w:r>
        <w:t xml:space="preserve">. </w:t>
      </w:r>
      <w:r w:rsidRPr="008D479B">
        <w:rPr>
          <w:i/>
        </w:rPr>
        <w:t>Alcance del amparo</w:t>
      </w:r>
    </w:p>
    <w:p w14:paraId="5383ED61" w14:textId="77777777" w:rsidR="008D479B" w:rsidRDefault="008D479B" w:rsidP="008D479B">
      <w:pPr>
        <w:pStyle w:val="TextoNormal"/>
      </w:pPr>
    </w:p>
    <w:p w14:paraId="51A74CE6" w14:textId="77777777" w:rsidR="008D479B" w:rsidRDefault="008D479B" w:rsidP="008D479B">
      <w:pPr>
        <w:pStyle w:val="TextoNormal"/>
      </w:pPr>
      <w:r>
        <w:t>Una vez declarada la vulneración del derecho fundamental, debe concretarse el alcance del amparo concedido.</w:t>
      </w:r>
    </w:p>
    <w:p w14:paraId="58A02122" w14:textId="77777777" w:rsidR="008D479B" w:rsidRDefault="008D479B" w:rsidP="008D479B">
      <w:pPr>
        <w:pStyle w:val="TextoNormal"/>
      </w:pPr>
    </w:p>
    <w:p w14:paraId="5B4A4983" w14:textId="77777777" w:rsidR="008D479B" w:rsidRDefault="008D479B" w:rsidP="008D479B">
      <w:pPr>
        <w:pStyle w:val="TextoNormal"/>
      </w:pPr>
      <w:r>
        <w:t>El actor en el suplico de su demanda interesa, previa declaración de la vulneración de su derecho a la tutela judicial efectiva en los términos antes expuestos, que se acuerde la nulidad de los autos de 6 de septiembre y de 4 de octubre de 2022 “retrotrayéndose las actuaciones al momento anterior a dictarse la primera de dichas resoluciones, a fin de que la Sala dicte otra resolución que sea respetuosa con el derecho fundamental reconocido”.</w:t>
      </w:r>
    </w:p>
    <w:p w14:paraId="43B7D564" w14:textId="77777777" w:rsidR="008D479B" w:rsidRDefault="008D479B" w:rsidP="008D479B">
      <w:pPr>
        <w:pStyle w:val="TextoNormal"/>
      </w:pPr>
    </w:p>
    <w:p w14:paraId="62707474" w14:textId="77777777" w:rsidR="008D479B" w:rsidRDefault="008D479B" w:rsidP="008D479B">
      <w:pPr>
        <w:pStyle w:val="TextoNormal"/>
      </w:pPr>
      <w:r>
        <w:t>Por su parte, el Ministerio Fiscal también interesa que se conceda el amparo al recurrente, si bien estima que “no es pertinente la retroacción de las actuaciones para que se dicte una nueva resolución respetuosa con el derecho vulnerado, teniendo en cuenta que […] la revocación de la suspensión de la ejecución por impago se acordó después de haberse cumplido el periodo de suspensión de la ejecución, incluida la prórroga […] sin perjuicio de la pervivencia de dicha responsabilidad civil”. Asimismo, considera que no cabe pronunciarse acerca de la remisión definitiva de la pena, pues dicha facultad corresponde en exclusiva al órgano de ejecución.</w:t>
      </w:r>
    </w:p>
    <w:p w14:paraId="4F5A60C9" w14:textId="77777777" w:rsidR="008D479B" w:rsidRDefault="008D479B" w:rsidP="008D479B">
      <w:pPr>
        <w:pStyle w:val="TextoNormal"/>
      </w:pPr>
    </w:p>
    <w:p w14:paraId="4DA27A88" w14:textId="77777777" w:rsidR="008D479B" w:rsidRDefault="008D479B" w:rsidP="008D479B">
      <w:pPr>
        <w:pStyle w:val="TextoNormal"/>
      </w:pPr>
      <w:r>
        <w:t>La pretensión del Ministerio Fiscal en relación con el alcance del amparo ha de ser estimada. Otorgado el amparo por este tribunal y declarada la vulneración del derecho a la tutela judicial efectiva (art. 24.1 CE) en su vertiente del deber de motivación reforzada, en relación con el derecho a la libertad personal (art. 17 CE), no cabe acordar la retroacción de las actuaciones a fin de que el tribunal de ejecución dicte un nuevo auto respetuoso con tal derecho, pues cualquiera que fuese su sentido, en ningún caso podría desembocar en una revocación de la suspensión de la ejecución de la pena de prisión impuesta al demandante al haber transcurrido, al tiempo en que se resolviera sobre tal revocación, el plazo de suspensión fijado para la concesión del beneficio de suspensión.</w:t>
      </w:r>
    </w:p>
    <w:p w14:paraId="546BD199" w14:textId="77777777" w:rsidR="008D479B" w:rsidRDefault="008D479B" w:rsidP="008D479B">
      <w:pPr>
        <w:pStyle w:val="TextoNormal"/>
      </w:pPr>
    </w:p>
    <w:p w14:paraId="4000AD20" w14:textId="1E562970" w:rsidR="008D479B" w:rsidRDefault="008D479B" w:rsidP="008D479B">
      <w:pPr>
        <w:pStyle w:val="TextoNormal"/>
      </w:pPr>
      <w:r>
        <w:t xml:space="preserve">Tampoco resulta pertinente declarar la remisión de la pena de prisión impuesta (pretensión no incluida en el suplico de la demanda, pero implícita en las alegaciones del actor), pues dicha decisión corresponde en exclusiva al tribunal </w:t>
      </w:r>
      <w:r w:rsidRPr="008D479B">
        <w:rPr>
          <w:i/>
        </w:rPr>
        <w:t>a quo</w:t>
      </w:r>
      <w:r>
        <w:t xml:space="preserve"> en los términos prevenidos en el artículo 87 del Código penal y de conformidad con el contenido de esta sentencia.</w:t>
      </w:r>
    </w:p>
    <w:p w14:paraId="15A1B1F3" w14:textId="77777777" w:rsidR="008D479B" w:rsidRDefault="008D479B" w:rsidP="008D479B">
      <w:pPr>
        <w:pStyle w:val="TextoNormal"/>
      </w:pPr>
    </w:p>
    <w:p w14:paraId="57F86D8F" w14:textId="77777777" w:rsidR="008D479B" w:rsidRDefault="008D479B" w:rsidP="008D479B">
      <w:pPr>
        <w:pStyle w:val="TextoNormalCentrado"/>
        <w:keepNext/>
      </w:pPr>
      <w:r>
        <w:t>FALLO</w:t>
      </w:r>
    </w:p>
    <w:p w14:paraId="2DBD98E4" w14:textId="74897272" w:rsidR="008D479B" w:rsidRDefault="008D479B" w:rsidP="008D479B">
      <w:pPr>
        <w:pStyle w:val="TextoNormalCentrado"/>
        <w:keepNext/>
      </w:pPr>
    </w:p>
    <w:p w14:paraId="55082AAE" w14:textId="77777777" w:rsidR="008D479B" w:rsidRDefault="008D479B" w:rsidP="008D479B">
      <w:pPr>
        <w:pStyle w:val="TextoNormal"/>
      </w:pPr>
      <w:r>
        <w:t>En atención a todo lo expuesto, el Tribunal Constitucional, por la autoridad que le confiere la Constitución de la Nación española, ha decidido otorgar el amparo a don César Muñoz Jiménez y, en consecuencia:</w:t>
      </w:r>
    </w:p>
    <w:p w14:paraId="5FC337C8" w14:textId="77777777" w:rsidR="008D479B" w:rsidRDefault="008D479B" w:rsidP="008D479B">
      <w:pPr>
        <w:pStyle w:val="TextoNormal"/>
      </w:pPr>
    </w:p>
    <w:p w14:paraId="04206D35" w14:textId="77777777" w:rsidR="008D479B" w:rsidRDefault="008D479B" w:rsidP="008D479B">
      <w:pPr>
        <w:pStyle w:val="TextoNormal"/>
      </w:pPr>
      <w:r>
        <w:t>1º Declarar que ha sido vulnerado el derecho a la tutela judicial efectiva (art. 24.1 CE) en relación con el derecho a la libertad personal (art. 17 CE).</w:t>
      </w:r>
    </w:p>
    <w:p w14:paraId="045EF00E" w14:textId="77777777" w:rsidR="008D479B" w:rsidRDefault="008D479B" w:rsidP="008D479B">
      <w:pPr>
        <w:pStyle w:val="TextoNormal"/>
      </w:pPr>
    </w:p>
    <w:p w14:paraId="6B00D209" w14:textId="6C5F7460" w:rsidR="008D479B" w:rsidRDefault="008D479B" w:rsidP="008D479B">
      <w:pPr>
        <w:pStyle w:val="TextoNormal"/>
      </w:pPr>
      <w:r>
        <w:t>2º Restablecerle en su derecho y, en consecuencia, declarar la nulidad de los autos objeto de este recurso dictados por la Sección Quinta de la Audiencia Provincial de Madrid fechados los días 6 de septiembre y 4 de octubre de 2022, en los autos de ejecución penal 81-2018, y la de todas las actuaciones posteriores dirigidas, como consecuencia de dichas resoluciones, a la ejecución de la pena privativa de libertad impuesta al recurrente.</w:t>
      </w:r>
    </w:p>
    <w:p w14:paraId="02C9AEAA" w14:textId="77777777" w:rsidR="008D479B" w:rsidRDefault="008D479B" w:rsidP="008D479B">
      <w:pPr>
        <w:pStyle w:val="TextoNormal"/>
      </w:pPr>
    </w:p>
    <w:p w14:paraId="39D14F77" w14:textId="77777777" w:rsidR="008D479B" w:rsidRDefault="008D479B" w:rsidP="008D479B">
      <w:pPr>
        <w:pStyle w:val="TextoNormal"/>
      </w:pPr>
      <w:r>
        <w:t>Publíquese esta sentencia en el “Boletín Oficial del Estado”.</w:t>
      </w:r>
    </w:p>
    <w:p w14:paraId="5F4C700E" w14:textId="77777777" w:rsidR="008D479B" w:rsidRDefault="008D479B" w:rsidP="008D479B">
      <w:pPr>
        <w:pStyle w:val="TextoNormal"/>
      </w:pPr>
      <w:r>
        <w:t>Dada en Madrid, a once de diciembre de dos mil veintitrés.</w:t>
      </w:r>
    </w:p>
    <w:p w14:paraId="10848046" w14:textId="023340DC" w:rsidR="008D479B" w:rsidRDefault="008D479B">
      <w:pPr>
        <w:spacing w:after="160" w:line="278" w:lineRule="auto"/>
        <w:rPr>
          <w:rFonts w:ascii="Times New Roman" w:eastAsia="Times New Roman" w:hAnsi="Times New Roman" w:cs="Times New Roman"/>
          <w:sz w:val="24"/>
          <w:szCs w:val="24"/>
          <w:lang w:eastAsia="es-ES"/>
        </w:rPr>
      </w:pPr>
      <w:r>
        <w:br w:type="page"/>
      </w:r>
    </w:p>
    <w:p w14:paraId="7E640D0E" w14:textId="77777777" w:rsidR="008D479B" w:rsidRDefault="008D479B" w:rsidP="008D479B">
      <w:pPr>
        <w:pStyle w:val="TtuloResolucin"/>
      </w:pPr>
      <w:bookmarkStart w:id="110" w:name="SENTENCIA_2023_185"/>
      <w:r>
        <w:t>SENTENCIA 185/2023, de 11 de diciembre de 2023</w:t>
      </w:r>
    </w:p>
    <w:bookmarkEnd w:id="110"/>
    <w:p w14:paraId="28DC0B83" w14:textId="77777777" w:rsidR="008D479B" w:rsidRDefault="008D479B" w:rsidP="008D479B">
      <w:pPr>
        <w:pStyle w:val="TtuloResolucin"/>
      </w:pPr>
      <w:r>
        <w:t>Sala Primera</w:t>
      </w:r>
    </w:p>
    <w:p w14:paraId="78F4161A" w14:textId="77777777" w:rsidR="008D479B" w:rsidRDefault="008D479B" w:rsidP="008D479B">
      <w:pPr>
        <w:pStyle w:val="TtuloBOE"/>
      </w:pPr>
      <w:r>
        <w:t>(BOE núm. 16, de 18 de enero de 2024)</w:t>
      </w:r>
    </w:p>
    <w:p w14:paraId="542BE835" w14:textId="77777777" w:rsidR="008D479B" w:rsidRDefault="008D479B" w:rsidP="008D479B">
      <w:pPr>
        <w:pStyle w:val="TextoNormalCentrado"/>
      </w:pPr>
      <w:r>
        <w:t>ECLI:ES:TC:2023:185</w:t>
      </w:r>
    </w:p>
    <w:p w14:paraId="048C436A" w14:textId="4E23F2F1" w:rsidR="008D479B" w:rsidRDefault="008D479B" w:rsidP="008D479B">
      <w:pPr>
        <w:pStyle w:val="TextoNormalCentrado"/>
      </w:pPr>
    </w:p>
    <w:p w14:paraId="05486D1F" w14:textId="77777777" w:rsidR="008D479B" w:rsidRDefault="008D479B" w:rsidP="008D479B">
      <w:pPr>
        <w:pStyle w:val="SntesisDescriptiva"/>
      </w:pPr>
      <w:r>
        <w:t>Recurso de amparo 705-2023. Promovido por don J.D.O.M., respecto de los autos dictados por la Audiencia Provincial de Málaga y un juzgado de primera instancia de esa capital que acordaron la administración de la vacuna frente a la covid-19.</w:t>
      </w:r>
    </w:p>
    <w:p w14:paraId="72F4D337" w14:textId="3557D30D" w:rsidR="008D479B" w:rsidRDefault="008D479B" w:rsidP="008D479B">
      <w:pPr>
        <w:pStyle w:val="SntesisDescriptiva"/>
      </w:pPr>
    </w:p>
    <w:p w14:paraId="4191270C" w14:textId="77777777" w:rsidR="008D479B" w:rsidRDefault="008D479B" w:rsidP="008D479B">
      <w:pPr>
        <w:pStyle w:val="SntesisAnaltica"/>
      </w:pPr>
      <w:r>
        <w:t>Supuesta vulneración del derecho a la integridad física: STC 148/2023 [resoluciones judiciales que realizaron una ponderación adecuada de los intereses de una persona menor de edad (STC 38/2023)].</w:t>
      </w:r>
    </w:p>
    <w:p w14:paraId="13BDB33B" w14:textId="6F91A5C3" w:rsidR="008D479B" w:rsidRDefault="008D479B" w:rsidP="008D479B">
      <w:pPr>
        <w:pStyle w:val="SntesisAnaltica"/>
      </w:pPr>
    </w:p>
    <w:p w14:paraId="344AC056" w14:textId="411CA081" w:rsidR="008D479B" w:rsidRDefault="008D479B" w:rsidP="008D479B">
      <w:pPr>
        <w:pStyle w:val="Extracto"/>
      </w:pPr>
      <w:r>
        <w:t>1.</w:t>
      </w:r>
      <w:r>
        <w:tab/>
        <w:t>La capacidad general de autodeterminación de las personas menores de edad, en relación con las actuaciones médicas que les afectan, encuentra su límite en la protección de su interés superior, que se impone como obligación a los progenitores, en cuanto titulares de la patria potestad o autoridad familiar, y a todos los poderes públicos, incluida la autoridad judicial (STC 148/2023) [FJ 3].</w:t>
      </w:r>
    </w:p>
    <w:p w14:paraId="5D1AB5B5" w14:textId="77777777" w:rsidR="008D479B" w:rsidRDefault="008D479B" w:rsidP="008D479B">
      <w:pPr>
        <w:pStyle w:val="Extracto"/>
      </w:pPr>
    </w:p>
    <w:p w14:paraId="56484178" w14:textId="48B42BBD" w:rsidR="008D479B" w:rsidRDefault="008D479B" w:rsidP="008D479B">
      <w:pPr>
        <w:pStyle w:val="Extracto"/>
      </w:pPr>
      <w:r>
        <w:t>2.</w:t>
      </w:r>
      <w:r>
        <w:tab/>
        <w:t>La decisión de los representantes legales relativa al otorgamiento o no del consentimiento informado por representación deberá atender a la protección del derecho a la vida, supervivencia y desarrollo del menor y la satisfacción de sus necesidades básicas, tanto materiales, físicas y educativas como emocionales y afectivas [art. 2.2, letra a) de la Ley Orgánica 1/1996]; y es preciso buscar el mayor beneficio para la vida o salud del paciente menor de edad, teniendo en cuenta las circunstancias concurrentes y sus necesidades, que deben ser atendidas (STC 148/2023) [FJ 3].</w:t>
      </w:r>
    </w:p>
    <w:p w14:paraId="774D8EEF" w14:textId="77777777" w:rsidR="008D479B" w:rsidRDefault="008D479B" w:rsidP="008D479B">
      <w:pPr>
        <w:pStyle w:val="Extracto"/>
      </w:pPr>
    </w:p>
    <w:p w14:paraId="451D222C" w14:textId="77777777" w:rsidR="008D479B" w:rsidRDefault="008D479B" w:rsidP="008D479B">
      <w:pPr>
        <w:pStyle w:val="Extracto"/>
      </w:pPr>
    </w:p>
    <w:p w14:paraId="7AECCBFB" w14:textId="77777777" w:rsidR="008D479B" w:rsidRDefault="008D479B" w:rsidP="008D479B">
      <w:pPr>
        <w:pStyle w:val="TextoNormal"/>
      </w:pPr>
      <w:r>
        <w:t>La Sala Primera del Tribunal Constitucional, compuesta por el magistrado don Cándido Conde-Pumpido Tourón, presidente, y los magistrados y magistradas don Ricardo Enríquez Sancho, doña Concepción Espejel Jorquera, doña María Luisa Segoviano Astaburuaga y don Juan Carlos Campo Moreno, ha pronunciado</w:t>
      </w:r>
    </w:p>
    <w:p w14:paraId="56DC38F8" w14:textId="59F3D986" w:rsidR="008D479B" w:rsidRDefault="008D479B" w:rsidP="008D479B">
      <w:pPr>
        <w:pStyle w:val="TextoNormal"/>
      </w:pPr>
    </w:p>
    <w:p w14:paraId="7C2BA0E1" w14:textId="77777777" w:rsidR="008D479B" w:rsidRDefault="008D479B" w:rsidP="008D479B">
      <w:pPr>
        <w:pStyle w:val="TextoNormalCentrado"/>
        <w:keepNext/>
      </w:pPr>
      <w:r>
        <w:t>EN NOMBRE DEL REY</w:t>
      </w:r>
    </w:p>
    <w:p w14:paraId="39B18172" w14:textId="69BFBFBD" w:rsidR="008D479B" w:rsidRDefault="008D479B" w:rsidP="008D479B">
      <w:pPr>
        <w:pStyle w:val="TextoNormalCentrado"/>
        <w:keepNext/>
      </w:pPr>
    </w:p>
    <w:p w14:paraId="41A253F0" w14:textId="77777777" w:rsidR="008D479B" w:rsidRDefault="008D479B" w:rsidP="008D479B">
      <w:pPr>
        <w:pStyle w:val="TextoNormalCentrado"/>
        <w:keepNext/>
      </w:pPr>
    </w:p>
    <w:p w14:paraId="433D22B8" w14:textId="77777777" w:rsidR="008D479B" w:rsidRDefault="008D479B" w:rsidP="008D479B">
      <w:pPr>
        <w:pStyle w:val="TextoNormal"/>
      </w:pPr>
      <w:r>
        <w:t>la siguiente</w:t>
      </w:r>
    </w:p>
    <w:p w14:paraId="480FA013" w14:textId="1A7CDD29" w:rsidR="008D479B" w:rsidRDefault="008D479B" w:rsidP="008D479B">
      <w:pPr>
        <w:pStyle w:val="TextoNormal"/>
      </w:pPr>
    </w:p>
    <w:p w14:paraId="7EEBC3F3" w14:textId="77777777" w:rsidR="008D479B" w:rsidRDefault="008D479B" w:rsidP="008D479B">
      <w:pPr>
        <w:pStyle w:val="TextoNormalCentrado"/>
        <w:keepNext/>
      </w:pPr>
      <w:r>
        <w:t>SENTENCIA</w:t>
      </w:r>
    </w:p>
    <w:p w14:paraId="17E2EDCB" w14:textId="77C941BC" w:rsidR="008D479B" w:rsidRDefault="008D479B" w:rsidP="008D479B">
      <w:pPr>
        <w:pStyle w:val="TextoNormalCentrado"/>
        <w:keepNext/>
      </w:pPr>
    </w:p>
    <w:p w14:paraId="7EADFA93" w14:textId="77777777" w:rsidR="008D479B" w:rsidRDefault="008D479B" w:rsidP="008D479B">
      <w:pPr>
        <w:pStyle w:val="TextoNormal"/>
      </w:pPr>
      <w:r>
        <w:t>En el recurso de amparo núm. 705-2023, interpuesto por don J.D.O.M., contra el auto de 14 de julio de 2022 dictado por el Juzgado de Primera Instancia núm. 16 de Málaga, en los autos de jurisdicción voluntaria núm. 500-2022, y contra el auto dictado por la Sección Sexta de la Audiencia Provincial de Málaga el 27 de diciembre de 2022, en el rollo de apelación núm. 1718-2022. Ha comparecido doña M.J.L.B. Ha intervenido el Ministerio Fiscal. Ha sido ponente el magistrado don Ricardo Enríquez Sancho.</w:t>
      </w:r>
    </w:p>
    <w:p w14:paraId="40ADD243" w14:textId="201FCAA6" w:rsidR="008D479B" w:rsidRDefault="008D479B" w:rsidP="008D479B">
      <w:pPr>
        <w:pStyle w:val="TextoNormal"/>
      </w:pPr>
    </w:p>
    <w:p w14:paraId="5BBE2D08" w14:textId="77777777" w:rsidR="008D479B" w:rsidRDefault="008D479B" w:rsidP="008D479B">
      <w:pPr>
        <w:pStyle w:val="TextoNormalNegritaCentrado"/>
        <w:keepNext/>
      </w:pPr>
      <w:r>
        <w:t>I. Antecedentes</w:t>
      </w:r>
    </w:p>
    <w:p w14:paraId="6A59D3BE" w14:textId="131D07BA" w:rsidR="008D479B" w:rsidRDefault="008D479B" w:rsidP="008D479B">
      <w:pPr>
        <w:pStyle w:val="TextoNormalNegritaCentrado"/>
        <w:keepNext/>
      </w:pPr>
    </w:p>
    <w:p w14:paraId="10FA5D1A" w14:textId="78DD600B" w:rsidR="008D479B" w:rsidRDefault="008D479B" w:rsidP="008D479B">
      <w:pPr>
        <w:pStyle w:val="TextoNormal"/>
      </w:pPr>
      <w:r w:rsidRPr="008D479B">
        <w:rPr>
          <w:rStyle w:val="NumeroAFNegritaCaracter"/>
        </w:rPr>
        <w:t>1</w:t>
      </w:r>
      <w:r>
        <w:t>. Mediante escrito que tuvo entrada en el registro general de este tribunal el día 6 de febrero de 2023, la procuradora de los tribunales doña María José Ríos Padrón, en nombre y representación de don J.D.O.M., y bajo la defensa del abogado don Alexis José Aneas Fernández interpuso recurso de amparo contra las resoluciones judiciales que se citan en el encabezamiento.</w:t>
      </w:r>
    </w:p>
    <w:p w14:paraId="1571D4AB" w14:textId="77777777" w:rsidR="008D479B" w:rsidRDefault="008D479B" w:rsidP="008D479B">
      <w:pPr>
        <w:pStyle w:val="TextoNormal"/>
      </w:pPr>
    </w:p>
    <w:p w14:paraId="65E82D9C" w14:textId="77777777" w:rsidR="008D479B" w:rsidRDefault="008D479B" w:rsidP="008D479B">
      <w:pPr>
        <w:pStyle w:val="TextoNormal"/>
      </w:pPr>
      <w:r w:rsidRPr="008D479B">
        <w:rPr>
          <w:rStyle w:val="NumeroAFNegritaCaracter"/>
        </w:rPr>
        <w:t>2</w:t>
      </w:r>
      <w:r>
        <w:t>. Los hechos de los que trae causa la demanda, relevantes para la resolución del recurso, son, en síntesis, los siguientes:</w:t>
      </w:r>
    </w:p>
    <w:p w14:paraId="5BE4C6A9" w14:textId="77777777" w:rsidR="008D479B" w:rsidRDefault="008D479B" w:rsidP="008D479B">
      <w:pPr>
        <w:pStyle w:val="TextoNormal"/>
      </w:pPr>
    </w:p>
    <w:p w14:paraId="5182C7B5" w14:textId="77777777" w:rsidR="008D479B" w:rsidRDefault="008D479B" w:rsidP="008D479B">
      <w:pPr>
        <w:pStyle w:val="TextoNormal"/>
      </w:pPr>
      <w:r>
        <w:t>a) Doña M.J.L.B., solicitó la intervención judicial por desacuerdo de los progenitores en el ejercicio de la patria potestad al amparo del art. 86.1 de la Ley de jurisdicción voluntaria y el art. 156 párrafo tercero del Código civil (CC), ante la negativa del padre, don J.D.O.M., para la inoculación de la vacuna contra el covid-19 al hijo común de ambos litigantes, don M.O.L., de ocho años. Se alegó que la vacuna era beneficiosa para la salud del menor, que los riesgos eran mínimos y que el niño había recibido las dosis correspondientes del calendario de vacunas con consentimiento de ambos progenitores. Por último, se argumentó que la madre trabajaba como enfermera en una planta de infecciosos en la especialidad de pediatría, por lo que los riesgos de contraer una infección transmisible al menor eran superiores a lo usual, y podían evitarse con la administración de la vacuna.</w:t>
      </w:r>
    </w:p>
    <w:p w14:paraId="6DCDC62A" w14:textId="77777777" w:rsidR="008D479B" w:rsidRDefault="008D479B" w:rsidP="008D479B">
      <w:pPr>
        <w:pStyle w:val="TextoNormal"/>
      </w:pPr>
    </w:p>
    <w:p w14:paraId="1E34AD3F" w14:textId="77777777" w:rsidR="008D479B" w:rsidRDefault="008D479B" w:rsidP="008D479B">
      <w:pPr>
        <w:pStyle w:val="TextoNormal"/>
      </w:pPr>
      <w:r>
        <w:t>b) El conocimiento de la causa recayó en el Juzgado de Primera Instancia núm. 16 de Málaga. Admitida la solicitud por decreto de 24 de mayo de 2022 [procedimiento; Jurisdicción voluntaria (genérico) núm. 500-2022], se dio traslado a la parte contraria y se acordó citar a las partes y al Ministerio Fiscal a la comparecencia de 13 de junio de 2022. Don J.D.O.M., formuló oposición a la solicitud presentada por doña M.J.L.B., y alegó, en esencia, la ausencia de evidencia médica/científica que justificara la inoculación de los medicamentos de terapia génica para el covid-19 en menores de edad, atendiendo a la gravedad de la enfermedad en menores, donde la tasa de mortalidad y de hospitalización es muy baja, y se incidió en los efectos adversos que puede llevar aparejada la vacuna, que pueden ser muy superiores a la ausencia de vacunación. Asimismo, invocó la vulneración del derecho al consentimiento informado y de la Ley de autonomía del paciente.</w:t>
      </w:r>
    </w:p>
    <w:p w14:paraId="6DA05BC5" w14:textId="77777777" w:rsidR="008D479B" w:rsidRDefault="008D479B" w:rsidP="008D479B">
      <w:pPr>
        <w:pStyle w:val="TextoNormal"/>
      </w:pPr>
    </w:p>
    <w:p w14:paraId="2CCF0693" w14:textId="77777777" w:rsidR="008D479B" w:rsidRDefault="008D479B" w:rsidP="008D479B">
      <w:pPr>
        <w:pStyle w:val="TextoNormal"/>
      </w:pPr>
      <w:r>
        <w:t>c) Tras celebrarse la comparecencia señalada, con fecha 14 de julio de 2022 el juzgado dictó auto en el que desestimó la oposición y atribuyó a doña M.J.L.B., la facultad de decidir sobre la inoculación de la vacuna respecto del hijo menor de ambos, “sin necesidad de intervención del padre en tal decisión”.</w:t>
      </w:r>
    </w:p>
    <w:p w14:paraId="2169EE7F" w14:textId="77777777" w:rsidR="008D479B" w:rsidRDefault="008D479B" w:rsidP="008D479B">
      <w:pPr>
        <w:pStyle w:val="TextoNormal"/>
      </w:pPr>
    </w:p>
    <w:p w14:paraId="51AB1E14" w14:textId="77777777" w:rsidR="008D479B" w:rsidRDefault="008D479B" w:rsidP="008D479B">
      <w:pPr>
        <w:pStyle w:val="TextoNormal"/>
      </w:pPr>
      <w:r>
        <w:t>El juzgado realiza a tal efecto un juicio de ponderación de los riesgos y beneficios de la vacuna y otorga prevalencia al carácter seguro de la vacuna covid-19, que cuenta con la aprobación de las autoridades sanitarias y en especial de la Sociedad Española de Pediatría. Indica, además, que el padre del menor “no ha ofrecido argumentos médicos referidos específicamente a las condiciones del propio hijo, por alguna circunstancia específica que le afectara e hiciera uso no recomendable para él la vacuna a diferencia de otros menores, sino que se remite a argumentos generalistas”. En todo caso, prosigue diciendo el auto, concurre una situación específica que hace recomendable la vacunación del niño, como es la condición profesional de la madre, enfermera en una planta de infecciosos en la especialidad de pediatría, por lo que la inoculación de la vacuna supondría la disminución de riesgo de contagio para el menor Que se desprende de la prueba documental practicada que este último ha recibido diversas vacunas del calendario infantil con consentimiento de ambos progenitores, “resultando de conocimiento común que todas las vacunas pueden tener efectos secundarios, pese a lo cual no existió impedimento para ponerlas”.</w:t>
      </w:r>
    </w:p>
    <w:p w14:paraId="232CC217" w14:textId="77777777" w:rsidR="008D479B" w:rsidRDefault="008D479B" w:rsidP="008D479B">
      <w:pPr>
        <w:pStyle w:val="TextoNormal"/>
      </w:pPr>
    </w:p>
    <w:p w14:paraId="07C72005" w14:textId="77777777" w:rsidR="008D479B" w:rsidRDefault="008D479B" w:rsidP="008D479B">
      <w:pPr>
        <w:pStyle w:val="TextoNormal"/>
      </w:pPr>
      <w:r>
        <w:t>El juzgado finaliza su razonamiento diciendo que ha de estimarse que “el criterio de la madre es el que puede realmente permitir proteger el superior interés del hijo, pues no se niega a considerar la opción de vacunación […]; valora para el menor todas las posibilidades sin excluir a priori ninguna, criterio que será el que finalmente decida ella aplicar conforme a la recomendación médica oportuna”.</w:t>
      </w:r>
    </w:p>
    <w:p w14:paraId="6A0DEC8C" w14:textId="77777777" w:rsidR="008D479B" w:rsidRDefault="008D479B" w:rsidP="008D479B">
      <w:pPr>
        <w:pStyle w:val="TextoNormal"/>
      </w:pPr>
    </w:p>
    <w:p w14:paraId="634B7903" w14:textId="77777777" w:rsidR="008D479B" w:rsidRDefault="008D479B" w:rsidP="008D479B">
      <w:pPr>
        <w:pStyle w:val="TextoNormal"/>
      </w:pPr>
      <w:r>
        <w:t>d) Don J.D.O.M., interpuso recurso de apelación, cuyo conocimiento recayó en la Sección Sexta de la Audiencia Provincial de Málaga (rollo de apelación núm. 1718-2022), El recurrente reiteró su tesis en relación con los riesgos y beneficios de la vacuna y añadió que existía peligro para el menor dada la trascendencia de la decisión para su salud y su vida por los efectos a medio y largo plazo. En el citado recurso se interesó la nulidad de la resolución recurrida por su falta de motivación.</w:t>
      </w:r>
    </w:p>
    <w:p w14:paraId="6108F4EB" w14:textId="77777777" w:rsidR="008D479B" w:rsidRDefault="008D479B" w:rsidP="008D479B">
      <w:pPr>
        <w:pStyle w:val="TextoNormal"/>
      </w:pPr>
    </w:p>
    <w:p w14:paraId="7B782E05" w14:textId="77777777" w:rsidR="008D479B" w:rsidRDefault="008D479B" w:rsidP="008D479B">
      <w:pPr>
        <w:pStyle w:val="TextoNormal"/>
      </w:pPr>
      <w:r>
        <w:t>e) Doña M.J.L.B., presentó escrito por el que se opuso al recurso de apelación e interesó la desestimación. En idéntico sentido se pronunció el Ministerio Fiscal.</w:t>
      </w:r>
    </w:p>
    <w:p w14:paraId="7676F437" w14:textId="77777777" w:rsidR="008D479B" w:rsidRDefault="008D479B" w:rsidP="008D479B">
      <w:pPr>
        <w:pStyle w:val="TextoNormal"/>
      </w:pPr>
    </w:p>
    <w:p w14:paraId="71EF3C39" w14:textId="77777777" w:rsidR="008D479B" w:rsidRDefault="008D479B" w:rsidP="008D479B">
      <w:pPr>
        <w:pStyle w:val="TextoNormal"/>
      </w:pPr>
      <w:r>
        <w:t>f) La Sección Sexta dictó auto el 27 de diciembre de 2022 por el que desestimó el recurso de apelación. En la resolución judicial se desestima, en primer lugar, el motivo de falta de motivación del auto apelado, afirmando que en dicha resolución “se recogen las consideraciones que le son exigibles para sentar una determinada conclusión”, sin que la parte haya hecho uso de los recursos de aclaración y complemento, “muy posiblemente por entender que los razonamientos ofrecidos le eran suficientes como para poder comprender el porqué de la estimación de la pretensión actora”.</w:t>
      </w:r>
    </w:p>
    <w:p w14:paraId="7CD4B80F" w14:textId="77777777" w:rsidR="008D479B" w:rsidRDefault="008D479B" w:rsidP="008D479B">
      <w:pPr>
        <w:pStyle w:val="TextoNormal"/>
      </w:pPr>
    </w:p>
    <w:p w14:paraId="3CA81924" w14:textId="77777777" w:rsidR="008D479B" w:rsidRDefault="008D479B" w:rsidP="008D479B">
      <w:pPr>
        <w:pStyle w:val="TextoNormal"/>
      </w:pPr>
      <w:r>
        <w:t>A continuación, partiendo del que es el objeto de la controversia como es dirimir la discrepancia entre ambos progenitores sobre la vacunación del hijo menor contra el covid-19, la Audiencia ahonda en la inexistencia de riesgo para la integridad física del menor, todo ello en concordancia con las recomendaciones del Ministerio de Sanidad y la Asociación Española de Pediatría, en cuya virtud se deduce que “la mayoría de los estudios científicos llevan a concluir que los beneficios son innegables, tanto individual como poblacionalmente, indicando que esta vacuna, como otras, son los instrumentos más eficaces de lucha contra las enfermedades infecciosas, estando catalogada como medicamento inmunológico especial, ampliando la Agencia Europea del Medicamento la autorización de la vacuna contra el covid”.</w:t>
      </w:r>
    </w:p>
    <w:p w14:paraId="074FD1BA" w14:textId="77777777" w:rsidR="008D479B" w:rsidRDefault="008D479B" w:rsidP="008D479B">
      <w:pPr>
        <w:pStyle w:val="TextoNormal"/>
      </w:pPr>
    </w:p>
    <w:p w14:paraId="6737248E" w14:textId="1ACC648E" w:rsidR="008D479B" w:rsidRDefault="008D479B" w:rsidP="008D479B">
      <w:pPr>
        <w:pStyle w:val="TextoNormal"/>
      </w:pPr>
      <w:r>
        <w:t xml:space="preserve">Añade la Sección </w:t>
      </w:r>
      <w:r w:rsidRPr="008D479B">
        <w:rPr>
          <w:i/>
        </w:rPr>
        <w:t>ad quem</w:t>
      </w:r>
      <w:r>
        <w:t xml:space="preserve"> que el hijo menor de los progenitores no tiene patología alguna y ha recibido vacunas antes sin ningún problema, sin olvidar la condición de enfermera de la madre en una planta de pediatría, lo que implica “mayores factores” de riesgo de “poder contagiar a su hijo”.</w:t>
      </w:r>
    </w:p>
    <w:p w14:paraId="693F743D" w14:textId="77777777" w:rsidR="008D479B" w:rsidRDefault="008D479B" w:rsidP="008D479B">
      <w:pPr>
        <w:pStyle w:val="TextoNormal"/>
      </w:pPr>
    </w:p>
    <w:p w14:paraId="3E2396A1" w14:textId="77777777" w:rsidR="008D479B" w:rsidRDefault="008D479B" w:rsidP="008D479B">
      <w:pPr>
        <w:pStyle w:val="TextoNormal"/>
      </w:pPr>
      <w:r w:rsidRPr="008D479B">
        <w:rPr>
          <w:rStyle w:val="NumeroAFNegritaCaracter"/>
        </w:rPr>
        <w:t>3</w:t>
      </w:r>
      <w:r>
        <w:t>. El recurrente denuncia en su demanda de amparo que se le han vulnerado los siguientes derechos fundamentales:</w:t>
      </w:r>
    </w:p>
    <w:p w14:paraId="6B594275" w14:textId="77777777" w:rsidR="008D479B" w:rsidRDefault="008D479B" w:rsidP="008D479B">
      <w:pPr>
        <w:pStyle w:val="TextoNormal"/>
      </w:pPr>
    </w:p>
    <w:p w14:paraId="089682A9" w14:textId="77777777" w:rsidR="008D479B" w:rsidRDefault="008D479B" w:rsidP="008D479B">
      <w:pPr>
        <w:pStyle w:val="TextoNormal"/>
      </w:pPr>
      <w:r>
        <w:t>(i) El derecho del padre a la igualdad ante la ley y a no ser discriminado (art. 14 CE), al otorgar la capacidad de decidir sobre la vacuna a la madre. Se aduce en sostén de esta queja que “cuando los juzgados y tribunales exigen un trato diferente a menores que poseen inmunidad natural se produce una vulneración del art. 14 CE, esto es, ante realidades semejantes, el juez exige un trato diferente al menor no vacunado contra la covid-19”, y produce también abuso de derecho.</w:t>
      </w:r>
    </w:p>
    <w:p w14:paraId="77F711F2" w14:textId="77777777" w:rsidR="008D479B" w:rsidRDefault="008D479B" w:rsidP="008D479B">
      <w:pPr>
        <w:pStyle w:val="TextoNormal"/>
      </w:pPr>
    </w:p>
    <w:p w14:paraId="5AA878B0" w14:textId="77777777" w:rsidR="008D479B" w:rsidRDefault="008D479B" w:rsidP="008D479B">
      <w:pPr>
        <w:pStyle w:val="TextoNormal"/>
      </w:pPr>
      <w:r>
        <w:t>(ii) El derecho a la integridad física y moral (art. 15.1 CE), porque no se recabó el consentimiento informado ni del menor ni de sus progenitores. Argumenta que el consentimiento informado del paciente es un derecho reconocido en la Ley 41/2002, básica de autonomía del paciente. Se añade que “si la vacuna contra la covid-19 solo tiene un relativo beneficio individual en la población vulnerable —que no comprende los menores de edad—, y no frena la transmisión a terceros no se cumple el requisito de exclusión al derecho constitucional de obtener el consentimiento informado de ambos progenitores”, y con ello del derecho a la integridad física del art. 15 CE.</w:t>
      </w:r>
    </w:p>
    <w:p w14:paraId="631A6151" w14:textId="77777777" w:rsidR="008D479B" w:rsidRDefault="008D479B" w:rsidP="008D479B">
      <w:pPr>
        <w:pStyle w:val="TextoNormal"/>
      </w:pPr>
    </w:p>
    <w:p w14:paraId="67A5EDEA" w14:textId="77777777" w:rsidR="008D479B" w:rsidRDefault="008D479B" w:rsidP="008D479B">
      <w:pPr>
        <w:pStyle w:val="TextoNormal"/>
      </w:pPr>
      <w:r>
        <w:t>(iii) El derecho a la tutela judicial efectiva (art. 24.1 CE), porque los tribunales ordinarios han valorado las pruebas de manera errónea, en particular los informes científicos de que disponían. Las resoluciones judiciales combatidas incurren en defecto de motivación suficiente.</w:t>
      </w:r>
    </w:p>
    <w:p w14:paraId="4D18876D" w14:textId="77777777" w:rsidR="008D479B" w:rsidRDefault="008D479B" w:rsidP="008D479B">
      <w:pPr>
        <w:pStyle w:val="TextoNormal"/>
      </w:pPr>
    </w:p>
    <w:p w14:paraId="2645905F" w14:textId="77777777" w:rsidR="008D479B" w:rsidRDefault="008D479B" w:rsidP="008D479B">
      <w:pPr>
        <w:pStyle w:val="TextoNormal"/>
      </w:pPr>
      <w:r>
        <w:t>En la demanda se solicita la nulidad de los autos recurridos y que se declare que no había lugar al procedimiento de jurisdicción voluntaria para la inoculación de la vacuna contra la covid-19 al hijo menor del recurrente.</w:t>
      </w:r>
    </w:p>
    <w:p w14:paraId="4D382980" w14:textId="77777777" w:rsidR="008D479B" w:rsidRDefault="008D479B" w:rsidP="008D479B">
      <w:pPr>
        <w:pStyle w:val="TextoNormal"/>
      </w:pPr>
    </w:p>
    <w:p w14:paraId="6A907878" w14:textId="77777777" w:rsidR="008D479B" w:rsidRDefault="008D479B" w:rsidP="008D479B">
      <w:pPr>
        <w:pStyle w:val="TextoNormal"/>
      </w:pPr>
      <w:r>
        <w:t>Mediante un primer otrosí digo se solicitó en el mismo escrito la suspensión cautelar de la ejecución de los autos recurridos hasta que este tribunal decida la cuestión de fondo, pues de lo contrario se causarían “perjuicios de imposible reparación”.</w:t>
      </w:r>
    </w:p>
    <w:p w14:paraId="66849B05" w14:textId="77777777" w:rsidR="008D479B" w:rsidRDefault="008D479B" w:rsidP="008D479B">
      <w:pPr>
        <w:pStyle w:val="TextoNormal"/>
      </w:pPr>
    </w:p>
    <w:p w14:paraId="61674C96" w14:textId="62F43F9C" w:rsidR="008D479B" w:rsidRDefault="008D479B" w:rsidP="008D479B">
      <w:pPr>
        <w:pStyle w:val="TextoNormal"/>
      </w:pPr>
      <w:r>
        <w:t>En el formulario del registro electrónico del Tribunal conteniendo los datos de la demanda, el procurador incurrió en un error en el nombre del recurrente, lo que fue subsanado por escrito presentado el 7 de febrero de 2023, dándose por efectuada la subsanación por la Secretaría de Justicia de la Sala Primera, Sección Segunda, de este Tribunal Constitucional, mediante diligencia de ordenación de 9 de febrero de 2023.</w:t>
      </w:r>
    </w:p>
    <w:p w14:paraId="35C06408" w14:textId="77777777" w:rsidR="008D479B" w:rsidRDefault="008D479B" w:rsidP="008D479B">
      <w:pPr>
        <w:pStyle w:val="TextoNormal"/>
      </w:pPr>
    </w:p>
    <w:p w14:paraId="49CF269B" w14:textId="77777777" w:rsidR="008D479B" w:rsidRDefault="008D479B" w:rsidP="008D479B">
      <w:pPr>
        <w:pStyle w:val="TextoNormal"/>
      </w:pPr>
      <w:r w:rsidRPr="008D479B">
        <w:rPr>
          <w:rStyle w:val="NumeroAFNegritaCaracter"/>
        </w:rPr>
        <w:t>4</w:t>
      </w:r>
      <w:r>
        <w:t>. La Sección Segunda de este Tribunal Constitucional, por providencia de 8 de mayo de 2023, acordó admitir a trámite el recurso de amparo “apreciando que concurre en el mismo una especial trascendencia constitucional (art. 50.1 LOTC) porque el recurso plantea un problema o afecta a una faceta de un derecho fundamental sobre el que no hay doctrina de este tribunal [STC 155/2009, de 25 de junio, FJ 2 a)], y el asunto suscitado trasciende del caso concreto porque plantea una cuestión jurídica de relevante y general repercusión social o económica [STC 155/2009, FJ 2 g)]”.</w:t>
      </w:r>
    </w:p>
    <w:p w14:paraId="11A45D47" w14:textId="77777777" w:rsidR="008D479B" w:rsidRDefault="008D479B" w:rsidP="008D479B">
      <w:pPr>
        <w:pStyle w:val="TextoNormal"/>
      </w:pPr>
    </w:p>
    <w:p w14:paraId="145CEFEC" w14:textId="77777777" w:rsidR="008D479B" w:rsidRDefault="008D479B" w:rsidP="008D479B">
      <w:pPr>
        <w:pStyle w:val="TextoNormal"/>
      </w:pPr>
      <w:r>
        <w:t>En la misma providencia se acordó, en aplicación de lo dispuesto en el art. 51 de la Ley Orgánica del Tribunal Constitucional (LOTC), dirigir “atenta comunicación a la Sección Sexta de la Audiencia Provincial de Málaga a fin de que, en plazo que no exceda de diez días, remita certificación o fotocopia adverada de las actuaciones correspondientes al recurso de apelación 1718-2022”. Igualmente dirigir “atenta comunicación al Juzgado de Primera Instancia núm. 16 (familia) de Málaga a fin de que, en plazo que no exceda de diez días, remita certificación o fotocopia adverada de las actuaciones correspondientes al procedimiento de jurisdicción voluntaria 500-2022, debiendo previamente emplazarse, para que en el plazo de diez días puedan comparecer, si lo desean, en el recurso de amparo, a quienes hubieran sido parte en el procedimiento, excepto la parte recurrente en amparo”.</w:t>
      </w:r>
    </w:p>
    <w:p w14:paraId="083B2735" w14:textId="77777777" w:rsidR="008D479B" w:rsidRDefault="008D479B" w:rsidP="008D479B">
      <w:pPr>
        <w:pStyle w:val="TextoNormal"/>
      </w:pPr>
    </w:p>
    <w:p w14:paraId="398A21D7" w14:textId="3B574076" w:rsidR="008D479B" w:rsidRDefault="008D479B" w:rsidP="008D479B">
      <w:pPr>
        <w:pStyle w:val="TextoNormal"/>
      </w:pPr>
      <w:r>
        <w:t>Finalmente, en la misma providencia se acordó, a solicitud de la parte actora, formar la correspondiente pieza separada de suspensión.</w:t>
      </w:r>
    </w:p>
    <w:p w14:paraId="59B9C4BD" w14:textId="77777777" w:rsidR="008D479B" w:rsidRDefault="008D479B" w:rsidP="008D479B">
      <w:pPr>
        <w:pStyle w:val="TextoNormal"/>
      </w:pPr>
    </w:p>
    <w:p w14:paraId="23F01BC3" w14:textId="14BB88B1" w:rsidR="008D479B" w:rsidRDefault="008D479B" w:rsidP="008D479B">
      <w:pPr>
        <w:pStyle w:val="TextoNormal"/>
      </w:pPr>
      <w:r w:rsidRPr="008D479B">
        <w:rPr>
          <w:rStyle w:val="NumeroAFNegritaCaracter"/>
        </w:rPr>
        <w:t>5</w:t>
      </w:r>
      <w:r>
        <w:t>. Mediante otra providencia de la Sección Segunda dictada en la misma fecha (8 de mayo de 2023), de conformidad con lo prevenido en el art. 56 LOTC, se acordó, a instancia de la parte actora, la formación de pieza separada de suspensión. Tras la apertura de la pieza incidental, el recurrente expresó su voluntad de desistir únicamente respecto de este procedimiento accesorio, petición a la que no se opusieron ni la fiscal ante este tribunal ni doña M.J.L.B., personada también en la pieza. La cuestión fue resuelta por ATC 472/2023, de 23 de octubre, que acordó aceptar el desistimiento formulado por el recurrente respecto de su solicitud de suspensión cautelar de las resoluciones impugnadas.</w:t>
      </w:r>
    </w:p>
    <w:p w14:paraId="202AB0B0" w14:textId="77777777" w:rsidR="008D479B" w:rsidRDefault="008D479B" w:rsidP="008D479B">
      <w:pPr>
        <w:pStyle w:val="TextoNormal"/>
      </w:pPr>
    </w:p>
    <w:p w14:paraId="1BDB374A" w14:textId="77777777" w:rsidR="008D479B" w:rsidRDefault="008D479B" w:rsidP="008D479B">
      <w:pPr>
        <w:pStyle w:val="TextoNormal"/>
      </w:pPr>
      <w:r w:rsidRPr="008D479B">
        <w:rPr>
          <w:rStyle w:val="NumeroAFNegritaCaracter"/>
        </w:rPr>
        <w:t>6</w:t>
      </w:r>
      <w:r>
        <w:t>. De nuevo con relación al proceso principal, cabe indicar que por escrito de 28 de septiembre de 2023 el procurador de los tribunales don Antonio Ortega Fuentes, actuando en nombre y representación de doña M.J.L.B., manifestó su voluntad de personarse en el procedimiento de referencia, interesando la notificación de las actuaciones a las que hubiere lugar y el traslado de todo lo actuado hasta la fecha.</w:t>
      </w:r>
    </w:p>
    <w:p w14:paraId="3E931CA2" w14:textId="77777777" w:rsidR="008D479B" w:rsidRDefault="008D479B" w:rsidP="008D479B">
      <w:pPr>
        <w:pStyle w:val="TextoNormal"/>
      </w:pPr>
    </w:p>
    <w:p w14:paraId="77D7F6A4" w14:textId="043825D8" w:rsidR="008D479B" w:rsidRDefault="008D479B" w:rsidP="008D479B">
      <w:pPr>
        <w:pStyle w:val="TextoNormal"/>
      </w:pPr>
      <w:r>
        <w:t>La Secretaría de Justicia de la Sala Primera de este tribunal dictó diligencia de ordenación de 29 de septiembre de 2023, por la que tuvo por recibidos los testimonios de las actuaciones que habían sido remitidos por la Sección Sexta de la Audiencia Provincial de Málaga y por el Juzgado de Primera Instancia núm. 16 de Málaga, así como el escrito del procurador don Antonio Fuertes Ortega, “a quien se tiene por personado y parte en nombre y representación de M.J.L.B.”. Además, a tenor de lo dispuesto en el art. 52 LOTC, se acordó dar vista de las actuaciones, por un plazo común de veinte días, al Ministerio Fiscal y a las partes personadas, para que dentro de dicho término pudieran presentar las alegaciones que a su derecho conviniese.</w:t>
      </w:r>
    </w:p>
    <w:p w14:paraId="04C3114B" w14:textId="77777777" w:rsidR="008D479B" w:rsidRDefault="008D479B" w:rsidP="008D479B">
      <w:pPr>
        <w:pStyle w:val="TextoNormal"/>
      </w:pPr>
    </w:p>
    <w:p w14:paraId="0864F70A" w14:textId="27E1746B" w:rsidR="008D479B" w:rsidRDefault="008D479B" w:rsidP="008D479B">
      <w:pPr>
        <w:pStyle w:val="TextoNormal"/>
      </w:pPr>
      <w:r w:rsidRPr="008D479B">
        <w:rPr>
          <w:rStyle w:val="NumeroAFNegritaCaracter"/>
        </w:rPr>
        <w:t>7</w:t>
      </w:r>
      <w:r>
        <w:t>. Con fecha 27 de octubre de 2023 se registró escrito presentado por la representación procesal de doña M.J.L.B., en el que se solicitó la desestimación del recurso. Se funda dicha pretensión en que las resoluciones judiciales han realizado un análisis profuso de la documentación aportada y de los informes científicos sobre la materia, en especial de las recomendaciones de la Agencia Europea del Medicamento y de la Agencia Española del Medicamento, de las que se colige que los riesgos de la vacuna son muy bajos en proporción a sus beneficios potenciales. Se recuerda que el Ministerio de Sanidad y la Asociación Española de Pediatría sostienen, en síntesis, que la vacuna no causa perjuicio para la salud, sino antes al contrario los beneficios resultan innegables en el ámbito inmunológico. Descarta las vulneraciones denunciadas y concluye que el menor no presenta patologías previas y ha sido vacunado sin problemas de las dosis correspondientes del calendario de vacunas, por lo que las resoluciones impugnadas no han producido “lesión alguna del derecho a la integridad física ni moral del menor (art. 15 CE)”.</w:t>
      </w:r>
    </w:p>
    <w:p w14:paraId="7D8D9185" w14:textId="77777777" w:rsidR="008D479B" w:rsidRDefault="008D479B" w:rsidP="008D479B">
      <w:pPr>
        <w:pStyle w:val="TextoNormal"/>
      </w:pPr>
    </w:p>
    <w:p w14:paraId="28A6B7BA" w14:textId="3333EEB0" w:rsidR="008D479B" w:rsidRDefault="008D479B" w:rsidP="008D479B">
      <w:pPr>
        <w:pStyle w:val="TextoNormal"/>
      </w:pPr>
      <w:r w:rsidRPr="008D479B">
        <w:rPr>
          <w:rStyle w:val="NumeroAFNegritaCaracter"/>
        </w:rPr>
        <w:t>8</w:t>
      </w:r>
      <w:r>
        <w:t>. Con fecha 7 de noviembre de 2023, la representante procesal del recurrente presentó su escrito de alegaciones por el que interesó su admisión y que se tuviera por evacuado el trámite recogido en el art. 52.1 LOTC. En el escrito dicha parte “manifiesta que se reitera en el contenido del recurso de amparo” presentado, cuyo contenido vuelve a detallar.</w:t>
      </w:r>
    </w:p>
    <w:p w14:paraId="3600EB7D" w14:textId="77777777" w:rsidR="008D479B" w:rsidRDefault="008D479B" w:rsidP="008D479B">
      <w:pPr>
        <w:pStyle w:val="TextoNormal"/>
      </w:pPr>
    </w:p>
    <w:p w14:paraId="4F0FFE71" w14:textId="77777777" w:rsidR="008D479B" w:rsidRDefault="008D479B" w:rsidP="008D479B">
      <w:pPr>
        <w:pStyle w:val="TextoNormal"/>
      </w:pPr>
      <w:r w:rsidRPr="008D479B">
        <w:rPr>
          <w:rStyle w:val="NumeroAFNegritaCaracter"/>
        </w:rPr>
        <w:t>9</w:t>
      </w:r>
      <w:r>
        <w:t>. Por escrito registrado el 16 de noviembre de 2023, la fiscal ante este Tribunal Constitucional solicitó la desestimación íntegra del recurso.</w:t>
      </w:r>
    </w:p>
    <w:p w14:paraId="42D6A8BF" w14:textId="77777777" w:rsidR="008D479B" w:rsidRDefault="008D479B" w:rsidP="008D479B">
      <w:pPr>
        <w:pStyle w:val="TextoNormal"/>
      </w:pPr>
    </w:p>
    <w:p w14:paraId="4EA93A2D" w14:textId="77777777" w:rsidR="008D479B" w:rsidRDefault="008D479B" w:rsidP="008D479B">
      <w:pPr>
        <w:pStyle w:val="TextoNormal"/>
      </w:pPr>
      <w:r>
        <w:t>a) Formuló sus alegaciones sosteniendo, en primer término y refiriéndose a las quejas de la demanda de amparo, que en el procedimiento judicial se había respetado el derecho a la tutela judicial efectiva del art. 24.1 CE, dada la motivación suficiente y coherente de las resoluciones judiciales combatidas, aunque el demandante discrepe del resultado de la valoración de las pruebas; resoluciones que han ponderado suficientemente el interés superior del menor. Por ello procede su desestimación.</w:t>
      </w:r>
    </w:p>
    <w:p w14:paraId="51369356" w14:textId="77777777" w:rsidR="008D479B" w:rsidRDefault="008D479B" w:rsidP="008D479B">
      <w:pPr>
        <w:pStyle w:val="TextoNormal"/>
      </w:pPr>
    </w:p>
    <w:p w14:paraId="67B5054B" w14:textId="77777777" w:rsidR="008D479B" w:rsidRDefault="008D479B" w:rsidP="008D479B">
      <w:pPr>
        <w:pStyle w:val="TextoNormal"/>
      </w:pPr>
      <w:r>
        <w:t>b) En segundo lugar, respecto de la vulneración del derecho a la igualdad del art. 14 CE, considera que en la demanda “falta un mínimo de desarrollo argumental y no se ha aportado un término de comparación válido” que sostenga la queja, por lo que “sin más razonamientos, procede su desestimación”.</w:t>
      </w:r>
    </w:p>
    <w:p w14:paraId="5733F5D0" w14:textId="77777777" w:rsidR="008D479B" w:rsidRDefault="008D479B" w:rsidP="008D479B">
      <w:pPr>
        <w:pStyle w:val="TextoNormal"/>
      </w:pPr>
    </w:p>
    <w:p w14:paraId="485A8F2A" w14:textId="77777777" w:rsidR="008D479B" w:rsidRDefault="008D479B" w:rsidP="008D479B">
      <w:pPr>
        <w:pStyle w:val="TextoNormal"/>
      </w:pPr>
      <w:r>
        <w:t>c) En cuanto a la vulneración del art. 15 CE por falta de consentimiento informado, analiza en su escrito la fiscal con profusión la “reciente sentencia del Tribunal Constitucional, de 6 noviembre de 2023” (STC 148/2023), dictada en un caso similar al presente de autorización para vacunar a un menor de edad, donde este tribunal en el fundamento jurídico 4 b), recuerda cuáles son los requisitos necesarios de toda resolución judicial que restringe derechos fundamentales para ser constitucional: la exigencia de una habilitación legal; que la resolución ofrezca una motivación reforzada de la decisión; que la medida se dirija al cumplimiento de un fin legítimo, y que se respete el juicio de proporcionalidad. Así, en cuanto al primer aspecto, dice que existe habilitación legal en los presupuestos del consentimiento por representación en actuaciones sanitarias [art. 9.3 c) de la Ley 41/2002, en relación con el art. 9 de la Ley Orgánica 1/1996, de protección jurídica del menor] y en la obligación que los representantes legales tienen de actuar en función del interés superior del menor.</w:t>
      </w:r>
    </w:p>
    <w:p w14:paraId="2480C522" w14:textId="77777777" w:rsidR="008D479B" w:rsidRDefault="008D479B" w:rsidP="008D479B">
      <w:pPr>
        <w:pStyle w:val="TextoNormal"/>
      </w:pPr>
    </w:p>
    <w:p w14:paraId="68A6B702" w14:textId="77777777" w:rsidR="008D479B" w:rsidRDefault="008D479B" w:rsidP="008D479B">
      <w:pPr>
        <w:pStyle w:val="TextoNormal"/>
      </w:pPr>
      <w:r>
        <w:t>Incide el escrito de la fiscal ante este tribunal, que la STC 148/2023, de 6 de noviembre de 2023, es aplicable al caso analizado y que en este supuesto no se planteó en ningún momento, en el procedimiento de jurisdicción voluntaria, que el niño de ocho años tuviera la capacidad emocional e intelectual necesarias para prestar el consentimiento a la vacunación y que los dos progenitores en primer término, y los órganos judiciales en sus resoluciones, entendieron que el menor carecía razonablemente de la capacidad intelectiva y de los elementos de juicio para emitir un consentimiento informado por sí mismo. Por este motivo, y al igual que se apreció en la STC 148/2023, en opinión de la fiscal no era preciso que los tribunales ordinarios escucharan al menor. Y es justamente la discrepancia entre los progenitores la que “justifica legalmente la intervención de los órganos judiciales con arreglo al art. 156 CC”.</w:t>
      </w:r>
    </w:p>
    <w:p w14:paraId="315C267D" w14:textId="77777777" w:rsidR="008D479B" w:rsidRDefault="008D479B" w:rsidP="008D479B">
      <w:pPr>
        <w:pStyle w:val="TextoNormal"/>
      </w:pPr>
    </w:p>
    <w:p w14:paraId="0EE622E0" w14:textId="77777777" w:rsidR="008D479B" w:rsidRDefault="008D479B" w:rsidP="008D479B">
      <w:pPr>
        <w:pStyle w:val="TextoNormal"/>
      </w:pPr>
      <w:r>
        <w:t>Valora el Ministerio Público a continuación que los órganos judiciales cumplieron con el canon de motivación reforzada que resultaba exigible, respetando el interés superior del menor en atención a las recomendaciones del Ministerio de Sanidad y de la Asociación Española de Pediatría, sin olvidar que la madre desempeña su trabajo en una planta de pediatría con mayor riesgo de contagio para su hijo.</w:t>
      </w:r>
    </w:p>
    <w:p w14:paraId="5354668B" w14:textId="77777777" w:rsidR="008D479B" w:rsidRDefault="008D479B" w:rsidP="008D479B">
      <w:pPr>
        <w:pStyle w:val="TextoNormal"/>
      </w:pPr>
    </w:p>
    <w:p w14:paraId="08F9E2E6" w14:textId="7AABF27B" w:rsidR="008D479B" w:rsidRDefault="008D479B" w:rsidP="008D479B">
      <w:pPr>
        <w:pStyle w:val="TextoNormal"/>
      </w:pPr>
      <w:r>
        <w:t>En definitiva, concluye la fiscal, en línea con lo sostenido en la STC 148/2023, que los razonamientos empleados en las resoluciones impugnadas están avalados por los informes, dictámenes y recomendaciones de las autoridades sanitarias, en oposición a los argumentos esgrimidos por el demandante de amparo, “que carecían de un respaldo científico objetivo suficientemente sólido como para poner en cuestión las conclusiones de todos los organismos oficiales citados y, consiguientemente, las bases de la argumentación desarrollada por los órganos judiciales”.</w:t>
      </w:r>
    </w:p>
    <w:p w14:paraId="329F5BF7" w14:textId="77777777" w:rsidR="008D479B" w:rsidRDefault="008D479B" w:rsidP="008D479B">
      <w:pPr>
        <w:pStyle w:val="TextoNormal"/>
      </w:pPr>
    </w:p>
    <w:p w14:paraId="395B845F" w14:textId="20C791B4" w:rsidR="008D479B" w:rsidRDefault="008D479B" w:rsidP="008D479B">
      <w:pPr>
        <w:pStyle w:val="TextoNormal"/>
      </w:pPr>
      <w:r w:rsidRPr="008D479B">
        <w:rPr>
          <w:rStyle w:val="NumeroAFNegritaCaracter"/>
        </w:rPr>
        <w:t>10</w:t>
      </w:r>
      <w:r>
        <w:t>. La Secretaría de Justicia hizo constar en diligencia de 17 de noviembre de 2023, haberse recibido los escritos de alegaciones del Ministerio Fiscal y de los procuradores del recurrente y la parte personada, quedando el recurso pendiente para deliberación cuando por turno corresponda.</w:t>
      </w:r>
    </w:p>
    <w:p w14:paraId="7D6522BC" w14:textId="77777777" w:rsidR="008D479B" w:rsidRDefault="008D479B" w:rsidP="008D479B">
      <w:pPr>
        <w:pStyle w:val="TextoNormal"/>
      </w:pPr>
    </w:p>
    <w:p w14:paraId="7A47AF3E" w14:textId="188FD202" w:rsidR="008D479B" w:rsidRDefault="008D479B" w:rsidP="008D479B">
      <w:pPr>
        <w:pStyle w:val="TextoNormal"/>
      </w:pPr>
      <w:r w:rsidRPr="008D479B">
        <w:rPr>
          <w:rStyle w:val="NumeroAFNegritaCaracter"/>
        </w:rPr>
        <w:t>11</w:t>
      </w:r>
      <w:r>
        <w:t>. Por providencia de 7 de diciembre de 2023, se señaló para deliberación y votación de la presente sentencia el día 11 del mismo mes y año.</w:t>
      </w:r>
    </w:p>
    <w:p w14:paraId="14DA10D0" w14:textId="77777777" w:rsidR="008D479B" w:rsidRDefault="008D479B" w:rsidP="008D479B">
      <w:pPr>
        <w:pStyle w:val="TextoNormal"/>
      </w:pPr>
    </w:p>
    <w:p w14:paraId="7A5818BB" w14:textId="77777777" w:rsidR="008D479B" w:rsidRDefault="008D479B" w:rsidP="008D479B">
      <w:pPr>
        <w:pStyle w:val="TextoNormalNegritaCentrado"/>
        <w:keepNext/>
      </w:pPr>
      <w:r>
        <w:t>II. Fundamentos jurídicos</w:t>
      </w:r>
    </w:p>
    <w:p w14:paraId="146DFD40" w14:textId="238D2F30" w:rsidR="008D479B" w:rsidRDefault="008D479B" w:rsidP="008D479B">
      <w:pPr>
        <w:pStyle w:val="TextoNormalNegritaCentrado"/>
        <w:keepNext/>
      </w:pPr>
    </w:p>
    <w:p w14:paraId="468800F2" w14:textId="77777777" w:rsidR="008D479B" w:rsidRDefault="008D479B" w:rsidP="008D479B">
      <w:pPr>
        <w:pStyle w:val="TextoNormal"/>
      </w:pPr>
      <w:r w:rsidRPr="008D479B">
        <w:rPr>
          <w:rStyle w:val="NumeroAFNegritaCaracter"/>
        </w:rPr>
        <w:t>1</w:t>
      </w:r>
      <w:r>
        <w:t xml:space="preserve">. </w:t>
      </w:r>
      <w:r w:rsidRPr="008D479B">
        <w:rPr>
          <w:i/>
        </w:rPr>
        <w:t>Objeto del recurso</w:t>
      </w:r>
    </w:p>
    <w:p w14:paraId="0F0327B2" w14:textId="77777777" w:rsidR="008D479B" w:rsidRDefault="008D479B" w:rsidP="008D479B">
      <w:pPr>
        <w:pStyle w:val="TextoNormal"/>
      </w:pPr>
    </w:p>
    <w:p w14:paraId="3E586856" w14:textId="77777777" w:rsidR="008D479B" w:rsidRDefault="008D479B" w:rsidP="008D479B">
      <w:pPr>
        <w:pStyle w:val="TextoNormal"/>
      </w:pPr>
      <w:r>
        <w:t>El presente recurso de amparo se dirige contra el auto de 14 de julio de 2022 del Juzgado de Primera Instancia núm. 16 de Málaga en el procedimiento de jurisdicción voluntaria núm. 500-2022, que atribuyó a doña M.J.L.B., la facultad de decidir sobre la administración de la vacuna frente a la covid-19 a su hijo menor de edad, don M.O.L., y contra el auto de 27 de diciembre de 2022 dictado por la Sección Sexta de la Audiencia Provincial de Málaga en el rollo de apelación núm. 1718-2022, confirmatorio del anterior.</w:t>
      </w:r>
    </w:p>
    <w:p w14:paraId="14C072C7" w14:textId="77777777" w:rsidR="008D479B" w:rsidRDefault="008D479B" w:rsidP="008D479B">
      <w:pPr>
        <w:pStyle w:val="TextoNormal"/>
      </w:pPr>
    </w:p>
    <w:p w14:paraId="15343CDE" w14:textId="7BDF42F3" w:rsidR="008D479B" w:rsidRDefault="008D479B" w:rsidP="008D479B">
      <w:pPr>
        <w:pStyle w:val="TextoNormal"/>
      </w:pPr>
      <w:r>
        <w:t>Dada la naturaleza de los hechos, debe señalarse que, en aplicación de las potestades atribuidas a este tribunal por el art. 86.3 LOTC y el acuerdo del Pleno de 23 de julio de 2015, por el que se regula la exclusión de los datos de identidad personal en la publicación de las resoluciones jurisdiccionales (“Boletín Oficial del Estado” núm. 178, de 27 de julio de 2015), la presente sentencia y demás actuaciones del proceso no incluyen la identificación completa de la persona menor de edad afectada ni la de sus parientes inmediatos que aparecen mencionados en las actuaciones, con el fin de proteger la intimidad de aquella.</w:t>
      </w:r>
    </w:p>
    <w:p w14:paraId="2B857D53" w14:textId="77777777" w:rsidR="008D479B" w:rsidRDefault="008D479B" w:rsidP="008D479B">
      <w:pPr>
        <w:pStyle w:val="TextoNormal"/>
      </w:pPr>
    </w:p>
    <w:p w14:paraId="5C1C22B8" w14:textId="77777777" w:rsidR="008D479B" w:rsidRDefault="008D479B" w:rsidP="008D479B">
      <w:pPr>
        <w:pStyle w:val="TextoNormal"/>
      </w:pPr>
      <w:r w:rsidRPr="008D479B">
        <w:rPr>
          <w:rStyle w:val="NumeroAFNegritaCaracter"/>
        </w:rPr>
        <w:t>2</w:t>
      </w:r>
      <w:r>
        <w:t xml:space="preserve">. </w:t>
      </w:r>
      <w:r w:rsidRPr="008D479B">
        <w:rPr>
          <w:i/>
        </w:rPr>
        <w:t>Cuestiones previas y delimitación de los derechos fundamentales concernidos</w:t>
      </w:r>
    </w:p>
    <w:p w14:paraId="7202CBB8" w14:textId="77777777" w:rsidR="008D479B" w:rsidRDefault="008D479B" w:rsidP="008D479B">
      <w:pPr>
        <w:pStyle w:val="TextoNormal"/>
      </w:pPr>
    </w:p>
    <w:p w14:paraId="08B11C78" w14:textId="77777777" w:rsidR="008D479B" w:rsidRDefault="008D479B" w:rsidP="008D479B">
      <w:pPr>
        <w:pStyle w:val="TextoNormal"/>
      </w:pPr>
      <w:r>
        <w:t>Con carácter previo al examen de las cuestiones de fondo planteadas en la demanda de amparo, deben hacerse las siguientes precisiones:</w:t>
      </w:r>
    </w:p>
    <w:p w14:paraId="7ECFB1D7" w14:textId="77777777" w:rsidR="008D479B" w:rsidRDefault="008D479B" w:rsidP="008D479B">
      <w:pPr>
        <w:pStyle w:val="TextoNormal"/>
      </w:pPr>
    </w:p>
    <w:p w14:paraId="42F2DFEC" w14:textId="77777777" w:rsidR="008D479B" w:rsidRDefault="008D479B" w:rsidP="008D479B">
      <w:pPr>
        <w:pStyle w:val="TextoNormal"/>
      </w:pPr>
      <w:r>
        <w:t>En el recurso de amparo se alega la vulneración del derecho a la tutela judicial efectiva (art. 24.1 CE) porque las resoluciones judiciales no se ajustan al derecho positivo al conculcar los principios sobre valoración de la prueba, motivación y derecho de defensa, y residenciar su decisión en la recomendación de las autoridades sanitarias sin valorar los informes científicos aportados por el recurrente.</w:t>
      </w:r>
    </w:p>
    <w:p w14:paraId="65234F97" w14:textId="77777777" w:rsidR="008D479B" w:rsidRDefault="008D479B" w:rsidP="008D479B">
      <w:pPr>
        <w:pStyle w:val="TextoNormal"/>
      </w:pPr>
    </w:p>
    <w:p w14:paraId="2E7E91C4" w14:textId="77777777" w:rsidR="008D479B" w:rsidRDefault="008D479B" w:rsidP="008D479B">
      <w:pPr>
        <w:pStyle w:val="TextoNormal"/>
      </w:pPr>
      <w:r>
        <w:t>Se invoca también la vulneración del derecho a la integridad física y moral (art. 15 CE) por falta de consentimiento informado. Todas estas vulneraciones se imputan a la decisión judicial que atribuye la facultad de decidir al progenitor favorable a la vacunación.</w:t>
      </w:r>
    </w:p>
    <w:p w14:paraId="5D457CD1" w14:textId="77777777" w:rsidR="008D479B" w:rsidRDefault="008D479B" w:rsidP="008D479B">
      <w:pPr>
        <w:pStyle w:val="TextoNormal"/>
      </w:pPr>
    </w:p>
    <w:p w14:paraId="2B7C38F0" w14:textId="77777777" w:rsidR="008D479B" w:rsidRDefault="008D479B" w:rsidP="008D479B">
      <w:pPr>
        <w:pStyle w:val="TextoNormal"/>
      </w:pPr>
      <w:r>
        <w:t>En realidad, todas estas cuestiones están directamente vinculadas con la posible lesión del derecho fundamental a la integridad personal, reconocido en el art. 15 CE de modo que las distintas quejas planteadas bajo la cobertura del art. 24.1 CE, pueden recibir una respuesta conjunta en el fundamento jurídico siguiente, puesto que deben calificarse como instrumentales en el presente caso.</w:t>
      </w:r>
    </w:p>
    <w:p w14:paraId="597C8812" w14:textId="77777777" w:rsidR="008D479B" w:rsidRDefault="008D479B" w:rsidP="008D479B">
      <w:pPr>
        <w:pStyle w:val="TextoNormal"/>
      </w:pPr>
    </w:p>
    <w:p w14:paraId="7F1F6DB6" w14:textId="6D3036F2" w:rsidR="008D479B" w:rsidRDefault="008D479B" w:rsidP="008D479B">
      <w:pPr>
        <w:pStyle w:val="TextoNormal"/>
      </w:pPr>
      <w:r>
        <w:t>Y con relación, en fin, a la alegada vulneración del derecho a la igualdad (art. 14 CE), la demanda de amparo no llega a individualizar, en los términos exigidos por la doctrina de este tribunal, un término de comparación válido, como fundamento de la existencia de discriminación.</w:t>
      </w:r>
    </w:p>
    <w:p w14:paraId="6493E08A" w14:textId="77777777" w:rsidR="008D479B" w:rsidRDefault="008D479B" w:rsidP="008D479B">
      <w:pPr>
        <w:pStyle w:val="TextoNormal"/>
      </w:pPr>
    </w:p>
    <w:p w14:paraId="1777AA0C" w14:textId="77777777" w:rsidR="008D479B" w:rsidRDefault="008D479B" w:rsidP="008D479B">
      <w:pPr>
        <w:pStyle w:val="TextoNormal"/>
      </w:pPr>
      <w:r w:rsidRPr="008D479B">
        <w:rPr>
          <w:rStyle w:val="NumeroAFNegritaCaracter"/>
        </w:rPr>
        <w:t>3</w:t>
      </w:r>
      <w:r>
        <w:t xml:space="preserve">. </w:t>
      </w:r>
      <w:r w:rsidRPr="008D479B">
        <w:rPr>
          <w:i/>
        </w:rPr>
        <w:t>Aplicación de la doctrina constitucional expuesta en la STC 148/2023, de 6 de noviembre</w:t>
      </w:r>
    </w:p>
    <w:p w14:paraId="34BE1E04" w14:textId="77777777" w:rsidR="008D479B" w:rsidRDefault="008D479B" w:rsidP="008D479B">
      <w:pPr>
        <w:pStyle w:val="TextoNormal"/>
      </w:pPr>
    </w:p>
    <w:p w14:paraId="1527EBEA" w14:textId="77777777" w:rsidR="008D479B" w:rsidRDefault="008D479B" w:rsidP="008D479B">
      <w:pPr>
        <w:pStyle w:val="TextoNormal"/>
      </w:pPr>
      <w:r>
        <w:t>La cuestión constitucional suscitada en este recurso en relación con el derecho fundamental a la integridad física y moral (art. 15 CE) y si este ha sido vulnerado por autorizarse judicialmente a uno de los padres a que provea a la vacunación del hijo menor de edad contra el virus del covid-19, en caso de discrepancia con el otro progenitor (o en su caso autorizar al Ministerio Fiscal si ambos padres se oponen a la vacuna), es la misma que ya ha sido objeto de análisis por el Pleno de este tribunal en la STC 148/2023, de 6 de noviembre, en cuyos FFJJ 4 y 5 se expusieron de manera pormenorizada las pautas de ponderación necesarias para determinar si en este tipo de supuestos se ha vulnerado el derecho a la integridad personal, centrando la cuestión en que la administración de la vacuna, a falta de consentimiento libre, válido e informado de la persona afectada, precisa para su constitucionalidad el cumplimiento de los requisitos generales que, de acuerdo con nuestra doctrina, rigen la restricción de los derechos fundamentales sustantivos.</w:t>
      </w:r>
    </w:p>
    <w:p w14:paraId="7E6D8670" w14:textId="77777777" w:rsidR="008D479B" w:rsidRDefault="008D479B" w:rsidP="008D479B">
      <w:pPr>
        <w:pStyle w:val="TextoNormal"/>
      </w:pPr>
    </w:p>
    <w:p w14:paraId="4A1327ED" w14:textId="6986C81A" w:rsidR="008D479B" w:rsidRDefault="008D479B" w:rsidP="008D479B">
      <w:pPr>
        <w:pStyle w:val="TextoNormal"/>
      </w:pPr>
      <w:r>
        <w:t>En atención a lo expuesto, en este caso, como también se concluyó en la STC 148/2023, FJ 5, el Tribunal rechaza que se haya vulnerado el art. 15 CE al constatarse que (i) se cumple el presupuesto básico que el art. 9.3 c) de la Ley 41/2002 establece para que pueda acudirse al consentimiento por representación —otorgado por los progenitores de común acuerdo o por la autoridad judicial en caso de desacuerdo— porque el menor, dada su edad, carecía de la capacidad emocional e intelectual necesarias para comprender el alcance la intervención y los padres contaban con la información adecuada para la prestación del consentimiento desde un momento anterior incluso a la iniciación del procedimiento de jurisdicción voluntaria, por lo que no cabe apreciar la ausencia de consentimiento informado; y (ii) la motivación de las resoluciones judiciales tuvo como fundamento esencial la protección del interés superior de los menores en relación con la protección de su salud, teniendo en cuenta la recomendación de las autoridades sanitarias, que se mostraban a favor de la vacunación de menores haciendo una ponderación de riesgos y beneficios de la vacuna, que el órgano judicial no estima desvirtuada por los informes obrantes en los autos; sin que se haya acreditado contraindicación alguna para la vacunación del hijo menor del aquí demandante de amparo.</w:t>
      </w:r>
    </w:p>
    <w:p w14:paraId="4C460CC8" w14:textId="77777777" w:rsidR="008D479B" w:rsidRDefault="008D479B" w:rsidP="008D479B">
      <w:pPr>
        <w:pStyle w:val="TextoNormal"/>
      </w:pPr>
    </w:p>
    <w:p w14:paraId="50AD8C87" w14:textId="77777777" w:rsidR="008D479B" w:rsidRDefault="008D479B" w:rsidP="008D479B">
      <w:pPr>
        <w:pStyle w:val="TextoNormalCentrado"/>
        <w:keepNext/>
      </w:pPr>
      <w:r>
        <w:t>FALLO</w:t>
      </w:r>
    </w:p>
    <w:p w14:paraId="1997E289" w14:textId="10560FEC" w:rsidR="008D479B" w:rsidRDefault="008D479B" w:rsidP="008D479B">
      <w:pPr>
        <w:pStyle w:val="TextoNormalCentrado"/>
        <w:keepNext/>
      </w:pPr>
    </w:p>
    <w:p w14:paraId="78579EC4" w14:textId="51F2B8CA" w:rsidR="008D479B" w:rsidRDefault="008D479B" w:rsidP="008D479B">
      <w:pPr>
        <w:pStyle w:val="TextoNormal"/>
      </w:pPr>
      <w:r>
        <w:t>En atención a todo lo expuesto, el Tribunal Constitucional, por la autoridad que le confiere la Constitución de la Nación española, ha decidido  desestimar el recurso de amparo interpuesto por don J.D.O.M.</w:t>
      </w:r>
    </w:p>
    <w:p w14:paraId="392F2ADC" w14:textId="77777777" w:rsidR="008D479B" w:rsidRDefault="008D479B" w:rsidP="008D479B">
      <w:pPr>
        <w:pStyle w:val="TextoNormal"/>
      </w:pPr>
    </w:p>
    <w:p w14:paraId="2653AFAA" w14:textId="77777777" w:rsidR="008D479B" w:rsidRDefault="008D479B" w:rsidP="008D479B">
      <w:pPr>
        <w:pStyle w:val="TextoNormal"/>
      </w:pPr>
      <w:r>
        <w:t>Publíquese esta sentencia en el “Boletín Oficial del Estado”.</w:t>
      </w:r>
    </w:p>
    <w:p w14:paraId="13FF6A2B" w14:textId="77777777" w:rsidR="008D479B" w:rsidRDefault="008D479B" w:rsidP="008D479B">
      <w:pPr>
        <w:pStyle w:val="TextoNormal"/>
      </w:pPr>
      <w:r>
        <w:t>Dada en Madrid, a once de diciembre de dos mil veintitrés.</w:t>
      </w:r>
    </w:p>
    <w:p w14:paraId="498BCC65" w14:textId="1A74F797" w:rsidR="008D479B" w:rsidRDefault="008D479B">
      <w:pPr>
        <w:spacing w:after="160" w:line="278" w:lineRule="auto"/>
        <w:rPr>
          <w:rFonts w:ascii="Times New Roman" w:eastAsia="Times New Roman" w:hAnsi="Times New Roman" w:cs="Times New Roman"/>
          <w:sz w:val="24"/>
          <w:szCs w:val="24"/>
          <w:lang w:eastAsia="es-ES"/>
        </w:rPr>
      </w:pPr>
      <w:r>
        <w:br w:type="page"/>
      </w:r>
    </w:p>
    <w:p w14:paraId="36696A2F" w14:textId="77777777" w:rsidR="008D479B" w:rsidRDefault="008D479B" w:rsidP="008D479B">
      <w:pPr>
        <w:pStyle w:val="TtuloResolucin"/>
      </w:pPr>
      <w:bookmarkStart w:id="111" w:name="SENTENCIA_2023_186"/>
      <w:r>
        <w:t>SENTENCIA 186/2023, de 11 de diciembre de 2023</w:t>
      </w:r>
    </w:p>
    <w:bookmarkEnd w:id="111"/>
    <w:p w14:paraId="7183BDF0" w14:textId="77777777" w:rsidR="008D479B" w:rsidRDefault="008D479B" w:rsidP="008D479B">
      <w:pPr>
        <w:pStyle w:val="TtuloResolucin"/>
      </w:pPr>
      <w:r>
        <w:t>Sala Segunda</w:t>
      </w:r>
    </w:p>
    <w:p w14:paraId="4F36F8BA" w14:textId="77777777" w:rsidR="008D479B" w:rsidRDefault="008D479B" w:rsidP="008D479B">
      <w:pPr>
        <w:pStyle w:val="TtuloBOE"/>
      </w:pPr>
      <w:r>
        <w:t>(BOE núm. 16, de 18 de enero de 2024)</w:t>
      </w:r>
    </w:p>
    <w:p w14:paraId="26044126" w14:textId="77777777" w:rsidR="008D479B" w:rsidRDefault="008D479B" w:rsidP="008D479B">
      <w:pPr>
        <w:pStyle w:val="TextoNormalCentrado"/>
      </w:pPr>
      <w:r>
        <w:t>ECLI:ES:TC:2023:186</w:t>
      </w:r>
    </w:p>
    <w:p w14:paraId="2329EA07" w14:textId="366D9BF1" w:rsidR="008D479B" w:rsidRDefault="008D479B" w:rsidP="008D479B">
      <w:pPr>
        <w:pStyle w:val="TextoNormalCentrado"/>
      </w:pPr>
    </w:p>
    <w:p w14:paraId="0976169C" w14:textId="77777777" w:rsidR="008D479B" w:rsidRDefault="008D479B" w:rsidP="008D479B">
      <w:pPr>
        <w:pStyle w:val="SntesisDescriptiva"/>
      </w:pPr>
      <w:r>
        <w:t>Recurso de amparo 1069-2023. Promovido por doña I.C.L., respecto de los autos dictados por la Audiencia Provincial de Lugo y un juzgado de primera instancia de esa capital que acordaron la administración de la vacuna frente a la covid-19.</w:t>
      </w:r>
    </w:p>
    <w:p w14:paraId="53F9FF83" w14:textId="38CC1CB5" w:rsidR="008D479B" w:rsidRDefault="008D479B" w:rsidP="008D479B">
      <w:pPr>
        <w:pStyle w:val="SntesisDescriptiva"/>
      </w:pPr>
    </w:p>
    <w:p w14:paraId="5E64C4D5" w14:textId="77777777" w:rsidR="008D479B" w:rsidRDefault="008D479B" w:rsidP="008D479B">
      <w:pPr>
        <w:pStyle w:val="SntesisAnaltica"/>
      </w:pPr>
      <w:r>
        <w:t>Supuesta vulneración del derecho a la integridad física: STC 148/2023 [resoluciones judiciales que realizaron una ponderación adecuada de los intereses de una persona menor de edad (STC 38/2023)].</w:t>
      </w:r>
    </w:p>
    <w:p w14:paraId="4F5A0D9E" w14:textId="4CC9378C" w:rsidR="008D479B" w:rsidRDefault="008D479B" w:rsidP="008D479B">
      <w:pPr>
        <w:pStyle w:val="SntesisAnaltica"/>
      </w:pPr>
    </w:p>
    <w:p w14:paraId="380C794F" w14:textId="18BE8ED0" w:rsidR="008D479B" w:rsidRDefault="008D479B" w:rsidP="008D479B">
      <w:pPr>
        <w:pStyle w:val="Extracto"/>
      </w:pPr>
      <w:r>
        <w:t>1.</w:t>
      </w:r>
      <w:r>
        <w:tab/>
        <w:t>La capacidad general de autodeterminación de las personas menores de edad, en relación con las actuaciones médicas que les afectan, encuentra su límite en la protección de su interés superior, que se impone como obligación a los progenitores, en cuanto titulares de la patria potestad o autoridad familiar, y a todos los poderes públicos, incluida la autoridad judicial (STC 148/2023) [FJ 3].</w:t>
      </w:r>
    </w:p>
    <w:p w14:paraId="612CA1A4" w14:textId="77777777" w:rsidR="008D479B" w:rsidRDefault="008D479B" w:rsidP="008D479B">
      <w:pPr>
        <w:pStyle w:val="Extracto"/>
      </w:pPr>
    </w:p>
    <w:p w14:paraId="7306C242" w14:textId="58EDEE66" w:rsidR="008D479B" w:rsidRDefault="008D479B" w:rsidP="008D479B">
      <w:pPr>
        <w:pStyle w:val="Extracto"/>
      </w:pPr>
      <w:r>
        <w:t>2.</w:t>
      </w:r>
      <w:r>
        <w:tab/>
        <w:t>La decisión de los representantes legales relativa al otorgamiento o no del consentimiento informado por representación deberá atender a la protección del derecho a la vida, supervivencia y desarrollo del menor y la satisfacción de sus necesidades básicas, tanto materiales, físicas y educativas como emocionales y afectivas [art. 2.2, letra a) de la Ley Orgánica 1/1996]; y es preciso buscar el mayor beneficio para la vida o salud del paciente menor de edad, teniendo en cuenta las circunstancias concurrentes y sus necesidades, que deben ser atendidas (STC 148/2023) [FJ 3].</w:t>
      </w:r>
    </w:p>
    <w:p w14:paraId="25F27508" w14:textId="77777777" w:rsidR="008D479B" w:rsidRDefault="008D479B" w:rsidP="008D479B">
      <w:pPr>
        <w:pStyle w:val="Extracto"/>
      </w:pPr>
    </w:p>
    <w:p w14:paraId="08E72B2A" w14:textId="77777777" w:rsidR="008D479B" w:rsidRDefault="008D479B" w:rsidP="008D479B">
      <w:pPr>
        <w:pStyle w:val="Extracto"/>
      </w:pPr>
    </w:p>
    <w:p w14:paraId="20B51661" w14:textId="77777777" w:rsidR="008D479B" w:rsidRDefault="008D479B" w:rsidP="008D479B">
      <w:pPr>
        <w:pStyle w:val="TextoNormal"/>
      </w:pPr>
      <w: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14:paraId="27EE4140" w14:textId="3A4914F0" w:rsidR="008D479B" w:rsidRDefault="008D479B" w:rsidP="008D479B">
      <w:pPr>
        <w:pStyle w:val="TextoNormal"/>
      </w:pPr>
    </w:p>
    <w:p w14:paraId="2EF38679" w14:textId="77777777" w:rsidR="008D479B" w:rsidRDefault="008D479B" w:rsidP="008D479B">
      <w:pPr>
        <w:pStyle w:val="TextoNormalCentrado"/>
        <w:keepNext/>
      </w:pPr>
      <w:r>
        <w:t>EN NOMBRE DEL REY</w:t>
      </w:r>
    </w:p>
    <w:p w14:paraId="5655CADF" w14:textId="3454A966" w:rsidR="008D479B" w:rsidRDefault="008D479B" w:rsidP="008D479B">
      <w:pPr>
        <w:pStyle w:val="TextoNormalCentrado"/>
        <w:keepNext/>
      </w:pPr>
    </w:p>
    <w:p w14:paraId="590561B8" w14:textId="77777777" w:rsidR="008D479B" w:rsidRDefault="008D479B" w:rsidP="008D479B">
      <w:pPr>
        <w:pStyle w:val="TextoNormalCentrado"/>
        <w:keepNext/>
      </w:pPr>
    </w:p>
    <w:p w14:paraId="26C8FEB0" w14:textId="77777777" w:rsidR="008D479B" w:rsidRDefault="008D479B" w:rsidP="008D479B">
      <w:pPr>
        <w:pStyle w:val="TextoNormal"/>
      </w:pPr>
      <w:r>
        <w:t>la siguiente</w:t>
      </w:r>
    </w:p>
    <w:p w14:paraId="10166D24" w14:textId="4765C87B" w:rsidR="008D479B" w:rsidRDefault="008D479B" w:rsidP="008D479B">
      <w:pPr>
        <w:pStyle w:val="TextoNormal"/>
      </w:pPr>
    </w:p>
    <w:p w14:paraId="12036E9A" w14:textId="77777777" w:rsidR="008D479B" w:rsidRDefault="008D479B" w:rsidP="008D479B">
      <w:pPr>
        <w:pStyle w:val="TextoNormalCentrado"/>
        <w:keepNext/>
      </w:pPr>
      <w:r>
        <w:t>SENTENCIA</w:t>
      </w:r>
    </w:p>
    <w:p w14:paraId="6788ACBB" w14:textId="01576D29" w:rsidR="008D479B" w:rsidRDefault="008D479B" w:rsidP="008D479B">
      <w:pPr>
        <w:pStyle w:val="TextoNormalCentrado"/>
        <w:keepNext/>
      </w:pPr>
    </w:p>
    <w:p w14:paraId="08DB62B0" w14:textId="77777777" w:rsidR="008D479B" w:rsidRDefault="008D479B" w:rsidP="008D479B">
      <w:pPr>
        <w:pStyle w:val="TextoNormal"/>
      </w:pPr>
      <w:r>
        <w:t>En el recurso de amparo núm. 1069-2023, promovido por doña I.C.L., representada por la procuradora de los tribunales doña Gema Fernández-Blanco San Miguel y asistida por la abogada doña Zoila Gulín Bejarano, contra el auto de fecha 30 de mayo de 2023 dictado por el Juzgado de Primera Instancia núm. 5 de Lugo, en los autos de jurisdicción voluntaria de intervención judicial sobre desacuerdo en el ejercicio de la patria potestad núm. 114-2022, y contra el auto de fecha 22 de diciembre de 2022 dictado por la Audiencia Provincial de Lugo en rollo de apelación núm. 739-2022, que confirmó íntegramente el auto de primer grado. Ha intervenido el Ministerio Fiscal y don J.M.L.C., representado por la procuradora doña Isabel Cendán Fernández-Peinado y asistido por el abogado don Jesús Antonio Amarelo Fernández. Ha sido ponente la magistrada doña María Luisa Balaguer Callejón.</w:t>
      </w:r>
    </w:p>
    <w:p w14:paraId="16DB8214" w14:textId="70FF2FD8" w:rsidR="008D479B" w:rsidRDefault="008D479B" w:rsidP="008D479B">
      <w:pPr>
        <w:pStyle w:val="TextoNormal"/>
      </w:pPr>
    </w:p>
    <w:p w14:paraId="1FA88A16" w14:textId="77777777" w:rsidR="008D479B" w:rsidRDefault="008D479B" w:rsidP="008D479B">
      <w:pPr>
        <w:pStyle w:val="TextoNormalNegritaCentrado"/>
        <w:keepNext/>
      </w:pPr>
      <w:r>
        <w:t>I. Antecedentes</w:t>
      </w:r>
    </w:p>
    <w:p w14:paraId="7A2B188B" w14:textId="6259874D" w:rsidR="008D479B" w:rsidRDefault="008D479B" w:rsidP="008D479B">
      <w:pPr>
        <w:pStyle w:val="TextoNormalNegritaCentrado"/>
        <w:keepNext/>
      </w:pPr>
    </w:p>
    <w:p w14:paraId="38DC7E2D" w14:textId="4754E6BA" w:rsidR="008D479B" w:rsidRDefault="008D479B" w:rsidP="008D479B">
      <w:pPr>
        <w:pStyle w:val="TextoNormal"/>
      </w:pPr>
      <w:r w:rsidRPr="008D479B">
        <w:rPr>
          <w:rStyle w:val="NumeroAFNegritaCaracter"/>
        </w:rPr>
        <w:t>1</w:t>
      </w:r>
      <w:r>
        <w:t>. Mediante escrito que tuvo entrada en el registro general de este tribunal el día 20 de febrero de 2023, la procuradora de los tribunales doña Gema Fernández-Blanco San Miguel, en nombre y representación de doña I.C.L., interpuso recurso de amparo contra las resoluciones judiciales que se citan en el encabezamiento.</w:t>
      </w:r>
    </w:p>
    <w:p w14:paraId="24E40A9A" w14:textId="77777777" w:rsidR="008D479B" w:rsidRDefault="008D479B" w:rsidP="008D479B">
      <w:pPr>
        <w:pStyle w:val="TextoNormal"/>
      </w:pPr>
    </w:p>
    <w:p w14:paraId="26ED0427" w14:textId="77777777" w:rsidR="008D479B" w:rsidRDefault="008D479B" w:rsidP="008D479B">
      <w:pPr>
        <w:pStyle w:val="TextoNormal"/>
      </w:pPr>
      <w:r w:rsidRPr="008D479B">
        <w:rPr>
          <w:rStyle w:val="NumeroAFNegritaCaracter"/>
        </w:rPr>
        <w:t>2</w:t>
      </w:r>
      <w:r>
        <w:t>. Los hechos de los que trae causa la demanda, relevantes para la resolución del recurso, son, en síntesis, los siguientes:</w:t>
      </w:r>
    </w:p>
    <w:p w14:paraId="3E6FB67C" w14:textId="77777777" w:rsidR="008D479B" w:rsidRDefault="008D479B" w:rsidP="008D479B">
      <w:pPr>
        <w:pStyle w:val="TextoNormal"/>
      </w:pPr>
    </w:p>
    <w:p w14:paraId="0CFD3A3B" w14:textId="77777777" w:rsidR="008D479B" w:rsidRDefault="008D479B" w:rsidP="008D479B">
      <w:pPr>
        <w:pStyle w:val="TextoNormal"/>
      </w:pPr>
      <w:r>
        <w:t>a) Don J.M.L.C., solicitó la intervención judicial por desacuerdo de los progenitores en el ejercicio de la patria potestad al amparo del art. 86.1 de la Ley 15/2015, de 2 de julio, de la jurisdicción voluntaria y el art. 156 párrafo tercero del Código civil, ante la negativa de la madre, doña I.C.L., para la inoculación de la vacuna contra la covid-19 al hijo común de ambos litigantes, de siete años.</w:t>
      </w:r>
    </w:p>
    <w:p w14:paraId="14598355" w14:textId="77777777" w:rsidR="008D479B" w:rsidRDefault="008D479B" w:rsidP="008D479B">
      <w:pPr>
        <w:pStyle w:val="TextoNormal"/>
      </w:pPr>
    </w:p>
    <w:p w14:paraId="6225C374" w14:textId="77777777" w:rsidR="008D479B" w:rsidRDefault="008D479B" w:rsidP="008D479B">
      <w:pPr>
        <w:pStyle w:val="TextoNormal"/>
      </w:pPr>
      <w:r>
        <w:t>b) Mediante decreto de 25 de febrero de 2022 se admitió la solicitud y se acordó citar a las partes para la celebración de la comparecencia el día 28 de abril de 2022. El juzgado no consideró precisa la exploración del niño al ser menor de doce años. El Ministerio Fiscal presentó escrito el 4 de marzo de 2022 en el sentido de no oponerse a la autorización judicial solicitada “en interés del menor y de la salud pública”.</w:t>
      </w:r>
    </w:p>
    <w:p w14:paraId="5FB2572C" w14:textId="77777777" w:rsidR="008D479B" w:rsidRDefault="008D479B" w:rsidP="008D479B">
      <w:pPr>
        <w:pStyle w:val="TextoNormal"/>
      </w:pPr>
    </w:p>
    <w:p w14:paraId="6C514128" w14:textId="77777777" w:rsidR="008D479B" w:rsidRDefault="008D479B" w:rsidP="008D479B">
      <w:pPr>
        <w:pStyle w:val="TextoNormal"/>
      </w:pPr>
      <w:r>
        <w:t>c) Doña I.C.L., formuló oposición a la solicitud presentada y alegó, en esencia, la ausencia de evidencia médica-científica que justificara la inoculación de los medicamentos de terapia génica para la covid-19 en menores de edad, atendiendo a la gravedad de la enfermedad en menores, donde la tasa de mortalidad y de hospitalización es muy baja, y a los efectos adversos que puede llevar aparejada la vacuna, que pueden ser muy superiores a la ausencia de vacunación.</w:t>
      </w:r>
    </w:p>
    <w:p w14:paraId="4983D8F1" w14:textId="77777777" w:rsidR="008D479B" w:rsidRDefault="008D479B" w:rsidP="008D479B">
      <w:pPr>
        <w:pStyle w:val="TextoNormal"/>
      </w:pPr>
    </w:p>
    <w:p w14:paraId="318272EE" w14:textId="77777777" w:rsidR="008D479B" w:rsidRDefault="008D479B" w:rsidP="008D479B">
      <w:pPr>
        <w:pStyle w:val="TextoNormal"/>
      </w:pPr>
      <w:r>
        <w:t>d) Tras celebrarse la comparecencia del día 28 de abril de 2022, con fecha 30 de mayo del mismo año el Juzgado de Primera Instancia núm. 5 de Lugo dictó auto por el que desestimó la oposición y atribuyó a don J.M.L.C., la facultad de decidir sobre la inoculación de la vacuna respecto del hijo menor de ambos. El juzgado realiza un juicio de ponderación de los riesgos y beneficios de la vacuna, atendiendo a la baja incidencia de la covid-19 en los menores de edad que refleja la prueba documental aportada, y los posibles y desconocidos efectos adversos que puede comportar la vacuna a largo plazo, por lo que no se advierte contraindicación para no administrar la vacuna, sin olvidar que la vacuna ha sido aprobada por la Agencia Europea del Medicamento y por la Agencia Española del Medicamento, lo que permite suponer que se ha elaborado con las máximas garantías de calidad, seguridad y eficacia. Tiene en cuenta el juzgado las recomendaciones del pediatra del niño.</w:t>
      </w:r>
    </w:p>
    <w:p w14:paraId="676AB9BC" w14:textId="77777777" w:rsidR="008D479B" w:rsidRDefault="008D479B" w:rsidP="008D479B">
      <w:pPr>
        <w:pStyle w:val="TextoNormal"/>
      </w:pPr>
    </w:p>
    <w:p w14:paraId="57020A2C" w14:textId="77777777" w:rsidR="008D479B" w:rsidRDefault="008D479B" w:rsidP="008D479B">
      <w:pPr>
        <w:pStyle w:val="TextoNormal"/>
      </w:pPr>
      <w:r>
        <w:t>e) Doña I.C.L., interpuso recurso de apelación y reiteró su posición en relación con los riesgos y beneficios de la vacuna y añadió que existían riesgos para los menores dada la trascendencia de la decisión para su salud y su vida por los efectos a medio y largo plazo.</w:t>
      </w:r>
    </w:p>
    <w:p w14:paraId="1CD02DE3" w14:textId="77777777" w:rsidR="008D479B" w:rsidRDefault="008D479B" w:rsidP="008D479B">
      <w:pPr>
        <w:pStyle w:val="TextoNormal"/>
      </w:pPr>
    </w:p>
    <w:p w14:paraId="35F8CCF9" w14:textId="77777777" w:rsidR="008D479B" w:rsidRDefault="008D479B" w:rsidP="008D479B">
      <w:pPr>
        <w:pStyle w:val="TextoNormal"/>
      </w:pPr>
      <w:r>
        <w:t>f) Don J.M.L.C., presentó escrito por el que se opuso al recurso de apelación e interesó la desestimación. En idéntico sentido se pronunció el Ministerio Fiscal.</w:t>
      </w:r>
    </w:p>
    <w:p w14:paraId="2F459D05" w14:textId="77777777" w:rsidR="008D479B" w:rsidRDefault="008D479B" w:rsidP="008D479B">
      <w:pPr>
        <w:pStyle w:val="TextoNormal"/>
      </w:pPr>
    </w:p>
    <w:p w14:paraId="14FD54ED" w14:textId="40EADC51" w:rsidR="008D479B" w:rsidRDefault="008D479B" w:rsidP="008D479B">
      <w:pPr>
        <w:pStyle w:val="TextoNormal"/>
      </w:pPr>
      <w:r>
        <w:t>g) La Audiencia Provincial de Lugo (Sección Primera) dictó auto el 22 de diciembre de 2022 por el que desestimó el recurso de apelación. En la resolución judicial se razona que el objeto de la controversia no es decidir sobre la vacunación, sino atribuir a uno de los progenitores la facultad de decidir. Se añade que los informes periciales obrantes ponen de manifiesto la inexistencia de riesgo para la integridad física del menor y que no se aprecia riesgo para la integridad física del niño, todo ello en conexión con el informe de la pediatra que recomienda la vacunación.</w:t>
      </w:r>
    </w:p>
    <w:p w14:paraId="29EC13CA" w14:textId="77777777" w:rsidR="008D479B" w:rsidRDefault="008D479B" w:rsidP="008D479B">
      <w:pPr>
        <w:pStyle w:val="TextoNormal"/>
      </w:pPr>
    </w:p>
    <w:p w14:paraId="2CAF3C72" w14:textId="77777777" w:rsidR="008D479B" w:rsidRDefault="008D479B" w:rsidP="008D479B">
      <w:pPr>
        <w:pStyle w:val="TextoNormal"/>
      </w:pPr>
      <w:r w:rsidRPr="008D479B">
        <w:rPr>
          <w:rStyle w:val="NumeroAFNegritaCaracter"/>
        </w:rPr>
        <w:t>3</w:t>
      </w:r>
      <w:r>
        <w:t>. La recurrente denuncia que se le han vulnerado los siguientes derechos fundamentales:</w:t>
      </w:r>
    </w:p>
    <w:p w14:paraId="1FD6B857" w14:textId="77777777" w:rsidR="008D479B" w:rsidRDefault="008D479B" w:rsidP="008D479B">
      <w:pPr>
        <w:pStyle w:val="TextoNormal"/>
      </w:pPr>
    </w:p>
    <w:p w14:paraId="1887A8B3" w14:textId="77777777" w:rsidR="008D479B" w:rsidRDefault="008D479B" w:rsidP="008D479B">
      <w:pPr>
        <w:pStyle w:val="TextoNormal"/>
      </w:pPr>
      <w:r>
        <w:t>(i) El derecho que consagra el art. 24.1 CE en relación con el art. 15 CE. Se aduce que aunque el juzgado y la audiencia provincial sostienen que no les corresponde valorar si procede o no vacunar al menor se pronuncian sobre ello. Este juicio, según afirma la demandante, lo han efectuado tomando en consideración únicamente los argumentos de una las partes, la que es favorable a la vacunación, sin valorar los argumentos contrarios aducidos por la ahora recurrente en amparo. Por ello entiende que los órganos judiciales, al no tomar en consideración sus argumentos, le han causado indefensión, han efectuado una indebida ponderación de la prueba —al no valorar debidamente los informes aportados por la otra parte— y no han motivado suficientemente sus resoluciones.</w:t>
      </w:r>
    </w:p>
    <w:p w14:paraId="1C3A8AE0" w14:textId="77777777" w:rsidR="008D479B" w:rsidRDefault="008D479B" w:rsidP="008D479B">
      <w:pPr>
        <w:pStyle w:val="TextoNormal"/>
      </w:pPr>
    </w:p>
    <w:p w14:paraId="338BFA81" w14:textId="77777777" w:rsidR="008D479B" w:rsidRDefault="008D479B" w:rsidP="008D479B">
      <w:pPr>
        <w:pStyle w:val="TextoNormal"/>
      </w:pPr>
      <w:r>
        <w:t>(ii) El derecho a la igualdad de trato de la madre (art. 14.1 CE). La recurrente afirma que al otorgar la capacidad de decidir sobre la vacuna al padre, quien no ostenta la guarda y custodia del menor y que no se ha ocupado nunca de forma activa del niño ni del seguimiento de su salud, en particular de sus revisiones pediátricas, se ha vulnerado el referido derecho fundamental. Se añade que el derecho a la igualdad exige de los poderes públicos un deber de abstención para no generar diferencias arbitrarias como la que se ha producido en este caso, donde la diferencia de trato ni está justificada ni es razonable.</w:t>
      </w:r>
    </w:p>
    <w:p w14:paraId="12C40F76" w14:textId="77777777" w:rsidR="008D479B" w:rsidRDefault="008D479B" w:rsidP="008D479B">
      <w:pPr>
        <w:pStyle w:val="TextoNormal"/>
      </w:pPr>
    </w:p>
    <w:p w14:paraId="3A47B6E1" w14:textId="1701E8D4" w:rsidR="008D479B" w:rsidRDefault="008D479B" w:rsidP="008D479B">
      <w:pPr>
        <w:pStyle w:val="TextoNormal"/>
      </w:pPr>
      <w:r>
        <w:t>En consecuencia, en la demanda se solicita que se declare vulnerado el derecho de la recurrente a la tutela judicial efectiva (art. 24.1 CE) y el derecho a la igualdad (art. 14 CE), ambos en relación con el derecho a la integridad física del menor (art. 15 CE); que se declare la nulidad de los autos de 30 de mayo de 2022 del Juzgado de Primera Instancia, núm. 5 de Lugo y del auto 193/2022, de 22 de diciembre de 2022, de la Sección Primera de la Audiencia Provincial de Lugo y que se retrotraigan las actuaciones al momento anterior a haberse dictado la primera de las referidas resoluciones para que se dice una resolución respetuosa con los derechos fundamentales vulnerados. Asimismo, al amparo del art. 56 LOTC, se solicita la suspensión de las resoluciones impugnadas.</w:t>
      </w:r>
    </w:p>
    <w:p w14:paraId="3065BC95" w14:textId="77777777" w:rsidR="008D479B" w:rsidRDefault="008D479B" w:rsidP="008D479B">
      <w:pPr>
        <w:pStyle w:val="TextoNormal"/>
      </w:pPr>
    </w:p>
    <w:p w14:paraId="24191FE5" w14:textId="77777777" w:rsidR="008D479B" w:rsidRDefault="008D479B" w:rsidP="008D479B">
      <w:pPr>
        <w:pStyle w:val="TextoNormal"/>
      </w:pPr>
      <w:r w:rsidRPr="008D479B">
        <w:rPr>
          <w:rStyle w:val="NumeroAFNegritaCaracter"/>
        </w:rPr>
        <w:t>4</w:t>
      </w:r>
      <w:r>
        <w:t>. La Sección Cuarta del Tribunal Constitucional, por providencia de 8 de mayo de 2023, acordó admitir a trámite el recurso de amparo apreciando que concurre en el mismo una especial trascendencia constitucional [art. 50.1 de la Ley Orgánica del Tribunal Constitucional (LOTC)] porque el recurso plantea un problema o afecta a una faceta de un derecho fundamental sobre el que no hay doctrina de este tribunal [STC 155/2009, de 25 de junio, FJ 2 a)] y porque el asunto suscitado trasciende del caso concreto al plantear una cuestión jurídica de relevante y general repercusión social o económica [STC 155/2009, FJ 2 g)].</w:t>
      </w:r>
    </w:p>
    <w:p w14:paraId="7E578FC9" w14:textId="77777777" w:rsidR="008D479B" w:rsidRDefault="008D479B" w:rsidP="008D479B">
      <w:pPr>
        <w:pStyle w:val="TextoNormal"/>
      </w:pPr>
    </w:p>
    <w:p w14:paraId="7D64319B" w14:textId="1110EE71" w:rsidR="008D479B" w:rsidRDefault="008D479B" w:rsidP="008D479B">
      <w:pPr>
        <w:pStyle w:val="TextoNormal"/>
      </w:pPr>
      <w:r>
        <w:t>En la misma providencia se acordó, en aplicación de lo dispuesto en el art. 51 LOTC, dirigir atenta comunicación a la Audiencia Provincial de Lugo a fin de que, en plazo no superior a diez días, remitiera certificación o fotocopia adverada de las actuaciones correspondientes al recurso de apelación núm. 739-2022, e, igualmente, al Juzgado de Primera Instancia núm. 5 de Lugo a fin de que, en plazo que no excediera de diez días, remitiera certificación o fotocopia adverada de las actuaciones correspondientes al procedimiento de jurisdicción voluntaria núm. 114-2022, debiendo emplazar previamente, para que en el plazo de diez días pudieran comparecer, si lo desearan, en el recurso de amparo, a quienes hubieran sido parte en el procedimiento, excepto la parte recurrente en amparo.</w:t>
      </w:r>
    </w:p>
    <w:p w14:paraId="03315988" w14:textId="77777777" w:rsidR="008D479B" w:rsidRDefault="008D479B" w:rsidP="008D479B">
      <w:pPr>
        <w:pStyle w:val="TextoNormal"/>
      </w:pPr>
    </w:p>
    <w:p w14:paraId="1343F422" w14:textId="05FACEA2" w:rsidR="008D479B" w:rsidRDefault="008D479B" w:rsidP="008D479B">
      <w:pPr>
        <w:pStyle w:val="TextoNormal"/>
      </w:pPr>
      <w:r w:rsidRPr="008D479B">
        <w:rPr>
          <w:rStyle w:val="NumeroAFNegritaCaracter"/>
        </w:rPr>
        <w:t>5</w:t>
      </w:r>
      <w:r>
        <w:t>. Por diligencia de ordenación de la Secretaría de Justicia de la Sala Segunda de este tribunal de 8 de junio de 2023, se acordó tener por personado y parte en el procedimiento a la procuradora doña Isabel Cendán Fernández-Peinado en nombre y representación de don J.M.L.C., y, a tenor de lo dispuesto en el art. 52 LOTC, dar vista de las actuaciones, por un plazo común de veinte días, al Ministerio Fiscal y a las partes personadas, para que dentro de dicho término presentaran las alegaciones pertinentes.</w:t>
      </w:r>
    </w:p>
    <w:p w14:paraId="11F30C6F" w14:textId="77777777" w:rsidR="008D479B" w:rsidRDefault="008D479B" w:rsidP="008D479B">
      <w:pPr>
        <w:pStyle w:val="TextoNormal"/>
      </w:pPr>
    </w:p>
    <w:p w14:paraId="25B645EF" w14:textId="1AF40994" w:rsidR="008D479B" w:rsidRDefault="008D479B" w:rsidP="008D479B">
      <w:pPr>
        <w:pStyle w:val="TextoNormal"/>
      </w:pPr>
      <w:r w:rsidRPr="008D479B">
        <w:rPr>
          <w:rStyle w:val="NumeroAFNegritaCaracter"/>
        </w:rPr>
        <w:t>6</w:t>
      </w:r>
      <w:r>
        <w:t>. Mediante escrito registrado en este tribunal el 7 de julio de 2023, don J.M.L.C., a través de su representación procesal presentó las alegaciones. Aduce, en primer lugar, que el recurso de amparo, de forma sobrevenida, ha perdido su objeto, ya que el menor ha sido ya vacunado y por ello solicita la terminación del proceso por pérdida sobrevenida de objeto. Subsidiariamente solicita la desestimación del recurso al considerar que no se ha producido la vulneración de los derechos fundamentales alegados. Esta parte procesal entiende que los órganos judiciales han realizado un análisis profuso de la documentación aportada y de los informes científicos sobre la materia, en especial de los estudios de la Asociación Española de Pediatría, de los que se colige que los riesgos de la vacuna son muy bajos en proporción a sus beneficios potenciales. Por último, se pone de relieve que la vacuna se recomienda por la Agencia Europea del Medicamento y por la Agencia Española del Medicamento y Productos Sanitarios.</w:t>
      </w:r>
    </w:p>
    <w:p w14:paraId="472AF608" w14:textId="77777777" w:rsidR="008D479B" w:rsidRDefault="008D479B" w:rsidP="008D479B">
      <w:pPr>
        <w:pStyle w:val="TextoNormal"/>
      </w:pPr>
    </w:p>
    <w:p w14:paraId="559396DA" w14:textId="77777777" w:rsidR="008D479B" w:rsidRDefault="008D479B" w:rsidP="008D479B">
      <w:pPr>
        <w:pStyle w:val="TextoNormal"/>
      </w:pPr>
      <w:r w:rsidRPr="008D479B">
        <w:rPr>
          <w:rStyle w:val="NumeroAFNegritaCaracter"/>
        </w:rPr>
        <w:t>7</w:t>
      </w:r>
      <w:r>
        <w:t>. Por escrito registrado el 30 de agosto de 2023, la fiscal ante el Tribunal Constitucional formuló sus alegaciones. Sostiene, en primer lugar, que en relación con la queja por la que se aduce la vulneración del art. 14 CE concurre la causa de inadmisibilidad prevista en el art. 44.1 c) LOTC, ya que la vulneración de este derecho fundamental no fue alegada en la vía judicial. Según el Ministerio Fiscal, la demandante de amparo recurrió en apelación por error en la valoración de la prueba y centró la controversia en el análisis de los informes médicos y científicos, pero “en ningún momento se alegó la vulneración del derecho fundamental a la igualdad”. Subsidiariamente aduce que hay una ausencia manifiesta de fundamentación sobre la vulneración alegada, ya que la mera alegación sobre la guarda y custodia del hijo o que la madre se haya encargado de llevar al menor al pediatra, son insuficientes para pretender justificar una desigualdad de trato en relación con la decisión sobre la administración de la vacuna. Por este motivo, interesa, de forma subsidiaria, la desestimación del presente recurso.</w:t>
      </w:r>
    </w:p>
    <w:p w14:paraId="50A037A7" w14:textId="77777777" w:rsidR="008D479B" w:rsidRDefault="008D479B" w:rsidP="008D479B">
      <w:pPr>
        <w:pStyle w:val="TextoNormal"/>
      </w:pPr>
    </w:p>
    <w:p w14:paraId="25E181B5" w14:textId="77777777" w:rsidR="008D479B" w:rsidRDefault="008D479B" w:rsidP="008D479B">
      <w:pPr>
        <w:pStyle w:val="TextoNormal"/>
      </w:pPr>
      <w:r>
        <w:t>Respecto del resto de vulneraciones, solicita la desestimación del recurso de amparo. Entiende que no cabe apreciar la vulneración del derecho a la tutela judicial del art. 24.1 CE por falta de motivación, dado que las resoluciones judiciales combatidas, que atribuyen al padre la facultad de decisión, han dado una respuesta fundada a la cuestión planteada y han motivado de forma suficiente su decisión.</w:t>
      </w:r>
    </w:p>
    <w:p w14:paraId="60F016A1" w14:textId="77777777" w:rsidR="008D479B" w:rsidRDefault="008D479B" w:rsidP="008D479B">
      <w:pPr>
        <w:pStyle w:val="TextoNormal"/>
      </w:pPr>
    </w:p>
    <w:p w14:paraId="4CB04E41" w14:textId="082557AF" w:rsidR="008D479B" w:rsidRDefault="008D479B" w:rsidP="008D479B">
      <w:pPr>
        <w:pStyle w:val="TextoNormal"/>
      </w:pPr>
      <w:r>
        <w:t>Por lo que se refiere a la vulneración del derecho a la integridad física del menor (art. 15 CE), la fiscal alega que la demanda de amparo no argumenta específicamente sobre esta alegación, ya que se limita a conectar esta vulneración con la lesión del art. 24.1 CE. En todo caso, considera que esta vulneración no se ha podido producir porque la actuación sanitaria que afectaría a este derecho no se decide en los actos impugnados.</w:t>
      </w:r>
    </w:p>
    <w:p w14:paraId="60DEC980" w14:textId="77777777" w:rsidR="008D479B" w:rsidRDefault="008D479B" w:rsidP="008D479B">
      <w:pPr>
        <w:pStyle w:val="TextoNormal"/>
      </w:pPr>
    </w:p>
    <w:p w14:paraId="309C3DA3" w14:textId="60FEB511" w:rsidR="008D479B" w:rsidRDefault="008D479B" w:rsidP="008D479B">
      <w:pPr>
        <w:pStyle w:val="TextoNormal"/>
      </w:pPr>
      <w:r w:rsidRPr="008D479B">
        <w:rPr>
          <w:rStyle w:val="NumeroAFNegritaCaracter"/>
        </w:rPr>
        <w:t>8</w:t>
      </w:r>
      <w:r>
        <w:t>. Por providencia de 7 de diciembre de 2023, se señaló para deliberación y votación de la presente sentencia el día 11 del mismo mes y año.</w:t>
      </w:r>
    </w:p>
    <w:p w14:paraId="0717C057" w14:textId="77777777" w:rsidR="008D479B" w:rsidRDefault="008D479B" w:rsidP="008D479B">
      <w:pPr>
        <w:pStyle w:val="TextoNormal"/>
      </w:pPr>
    </w:p>
    <w:p w14:paraId="6E1CA652" w14:textId="77777777" w:rsidR="008D479B" w:rsidRDefault="008D479B" w:rsidP="008D479B">
      <w:pPr>
        <w:pStyle w:val="TextoNormalNegritaCentrado"/>
        <w:keepNext/>
      </w:pPr>
      <w:r>
        <w:t>II. Fundamentos jurídicos</w:t>
      </w:r>
    </w:p>
    <w:p w14:paraId="5F35D907" w14:textId="26964688" w:rsidR="008D479B" w:rsidRDefault="008D479B" w:rsidP="008D479B">
      <w:pPr>
        <w:pStyle w:val="TextoNormalNegritaCentrado"/>
        <w:keepNext/>
      </w:pPr>
    </w:p>
    <w:p w14:paraId="3F982AB1" w14:textId="77777777" w:rsidR="008D479B" w:rsidRDefault="008D479B" w:rsidP="008D479B">
      <w:pPr>
        <w:pStyle w:val="TextoNormal"/>
      </w:pPr>
      <w:r w:rsidRPr="008D479B">
        <w:rPr>
          <w:rStyle w:val="NumeroAFNegritaCaracter"/>
        </w:rPr>
        <w:t>1</w:t>
      </w:r>
      <w:r>
        <w:t xml:space="preserve">. </w:t>
      </w:r>
      <w:r w:rsidRPr="008D479B">
        <w:rPr>
          <w:i/>
        </w:rPr>
        <w:t>Objeto del recurso</w:t>
      </w:r>
    </w:p>
    <w:p w14:paraId="6C68AD41" w14:textId="77777777" w:rsidR="008D479B" w:rsidRDefault="008D479B" w:rsidP="008D479B">
      <w:pPr>
        <w:pStyle w:val="TextoNormal"/>
      </w:pPr>
    </w:p>
    <w:p w14:paraId="34A78ECF" w14:textId="77777777" w:rsidR="008D479B" w:rsidRDefault="008D479B" w:rsidP="008D479B">
      <w:pPr>
        <w:pStyle w:val="TextoNormal"/>
      </w:pPr>
      <w:r>
        <w:t>El presente recurso de amparo se dirige contra el auto de 30 de mayo de 2022 del Juzgado de Primera Instancia núm. 5 de Lugo en el procedimiento de jurisdicción voluntaria núm. 114-2022, que atribuyó a don J.M.L.C., la facultad de decidir sobre la administración de la vacuna frente a la covid-19 a su hijo menor de edad, y contra el auto de 22 de diciembre de 2022 dictado por la Sección Primera de la Audiencia Provincial de Lugo en el rollo de apelación núm. 739-2022, confirmatorio del anterior.</w:t>
      </w:r>
    </w:p>
    <w:p w14:paraId="77A2B326" w14:textId="77777777" w:rsidR="008D479B" w:rsidRDefault="008D479B" w:rsidP="008D479B">
      <w:pPr>
        <w:pStyle w:val="TextoNormal"/>
      </w:pPr>
    </w:p>
    <w:p w14:paraId="27F2D5D8" w14:textId="07F61203" w:rsidR="008D479B" w:rsidRDefault="008D479B" w:rsidP="008D479B">
      <w:pPr>
        <w:pStyle w:val="TextoNormal"/>
      </w:pPr>
      <w:r>
        <w:t>Dada la naturaleza de los hechos, debe señalarse que, en aplicación de las potestades atribuidas a este tribunal por el art. 86.3 LOTC y el acuerdo del Pleno de 23 de julio de 2015, por el que se regula la exclusión de los datos de identidad personal en la publicación de las resoluciones jurisdiccionales (“Boletín Oficial del Estado” núm. 178, de 27 de julio de 2015), la presente sentencia y demás actuaciones del proceso no incluyen la identificación completa de la persona menor de edad afectada ni la de sus parientes inmediatos que aparecen mencionados en las actuaciones, con el fin de proteger la intimidad de aquella.</w:t>
      </w:r>
    </w:p>
    <w:p w14:paraId="6F47274C" w14:textId="77777777" w:rsidR="008D479B" w:rsidRDefault="008D479B" w:rsidP="008D479B">
      <w:pPr>
        <w:pStyle w:val="TextoNormal"/>
      </w:pPr>
    </w:p>
    <w:p w14:paraId="20E030A9" w14:textId="77777777" w:rsidR="008D479B" w:rsidRDefault="008D479B" w:rsidP="008D479B">
      <w:pPr>
        <w:pStyle w:val="TextoNormal"/>
      </w:pPr>
      <w:r w:rsidRPr="008D479B">
        <w:rPr>
          <w:rStyle w:val="NumeroAFNegritaCaracter"/>
        </w:rPr>
        <w:t>2</w:t>
      </w:r>
      <w:r>
        <w:t xml:space="preserve">. </w:t>
      </w:r>
      <w:r w:rsidRPr="008D479B">
        <w:rPr>
          <w:i/>
        </w:rPr>
        <w:t>Cuestiones previas y delimitación de los derechos fundamentales concernidos</w:t>
      </w:r>
    </w:p>
    <w:p w14:paraId="448E0A30" w14:textId="77777777" w:rsidR="008D479B" w:rsidRDefault="008D479B" w:rsidP="008D479B">
      <w:pPr>
        <w:pStyle w:val="TextoNormal"/>
      </w:pPr>
    </w:p>
    <w:p w14:paraId="103741FF" w14:textId="77777777" w:rsidR="008D479B" w:rsidRDefault="008D479B" w:rsidP="008D479B">
      <w:pPr>
        <w:pStyle w:val="TextoNormal"/>
      </w:pPr>
      <w:r>
        <w:t>Con carácter previo al examen de las cuestiones de fondo planteadas en la demanda de amparo, deben hacerse las siguientes precisiones:</w:t>
      </w:r>
    </w:p>
    <w:p w14:paraId="11DEC75F" w14:textId="77777777" w:rsidR="008D479B" w:rsidRDefault="008D479B" w:rsidP="008D479B">
      <w:pPr>
        <w:pStyle w:val="TextoNormal"/>
      </w:pPr>
    </w:p>
    <w:p w14:paraId="6E154DFD" w14:textId="77777777" w:rsidR="008D479B" w:rsidRDefault="008D479B" w:rsidP="008D479B">
      <w:pPr>
        <w:pStyle w:val="TextoNormal"/>
      </w:pPr>
      <w:r>
        <w:t>En el recurso de amparo se alega la vulneración del derecho a la tutela judicial efectiva (art. 24.1 CE) porque las resoluciones judiciales no se ajustan al derecho positivo al conculcar los principios sobre valoración de la prueba, motivación y derecho de defensa, y residenciar su decisión en la recomendación de las autoridades sanitarias sin valorar los informes científicos aportados por el recurrente.</w:t>
      </w:r>
    </w:p>
    <w:p w14:paraId="258E507D" w14:textId="77777777" w:rsidR="008D479B" w:rsidRDefault="008D479B" w:rsidP="008D479B">
      <w:pPr>
        <w:pStyle w:val="TextoNormal"/>
      </w:pPr>
    </w:p>
    <w:p w14:paraId="3E91969B" w14:textId="77777777" w:rsidR="008D479B" w:rsidRDefault="008D479B" w:rsidP="008D479B">
      <w:pPr>
        <w:pStyle w:val="TextoNormal"/>
      </w:pPr>
      <w:r>
        <w:t>En realidad, estas cuestiones están directamente vinculadas con la posible lesión del derecho fundamental a la integridad personal, reconocido en el art. 15 CE de modo que las distintas quejas planteadas bajo la cobertura del art. 24.1 y 2 CE, pueden recibir una respuesta conjunta en el fundamento jurídico siguiente, puesto que deben calificarse como instrumentales en el presente caso.</w:t>
      </w:r>
    </w:p>
    <w:p w14:paraId="59E779D1" w14:textId="77777777" w:rsidR="008D479B" w:rsidRDefault="008D479B" w:rsidP="008D479B">
      <w:pPr>
        <w:pStyle w:val="TextoNormal"/>
      </w:pPr>
    </w:p>
    <w:p w14:paraId="70D17AE8" w14:textId="4E7C24E7" w:rsidR="008D479B" w:rsidRDefault="008D479B" w:rsidP="008D479B">
      <w:pPr>
        <w:pStyle w:val="TextoNormal"/>
      </w:pPr>
      <w:r>
        <w:t>En relación con la vulneración del derecho a la igualdad (art. 14 CE), el recurrente no invocó en su momento la lesión del derecho.</w:t>
      </w:r>
    </w:p>
    <w:p w14:paraId="168E0358" w14:textId="77777777" w:rsidR="008D479B" w:rsidRDefault="008D479B" w:rsidP="008D479B">
      <w:pPr>
        <w:pStyle w:val="TextoNormal"/>
      </w:pPr>
    </w:p>
    <w:p w14:paraId="59706ECC" w14:textId="77777777" w:rsidR="008D479B" w:rsidRDefault="008D479B" w:rsidP="008D479B">
      <w:pPr>
        <w:pStyle w:val="TextoNormal"/>
      </w:pPr>
      <w:r w:rsidRPr="008D479B">
        <w:rPr>
          <w:rStyle w:val="NumeroAFNegritaCaracter"/>
        </w:rPr>
        <w:t>3</w:t>
      </w:r>
      <w:r>
        <w:t xml:space="preserve">. </w:t>
      </w:r>
      <w:r w:rsidRPr="008D479B">
        <w:rPr>
          <w:i/>
        </w:rPr>
        <w:t>Aplicación de la doctrina constitucional expuesta en la STC 148/2023, de 6 de noviembre</w:t>
      </w:r>
    </w:p>
    <w:p w14:paraId="3B2F981A" w14:textId="77777777" w:rsidR="008D479B" w:rsidRDefault="008D479B" w:rsidP="008D479B">
      <w:pPr>
        <w:pStyle w:val="TextoNormal"/>
      </w:pPr>
    </w:p>
    <w:p w14:paraId="3C89BACF" w14:textId="77777777" w:rsidR="008D479B" w:rsidRDefault="008D479B" w:rsidP="008D479B">
      <w:pPr>
        <w:pStyle w:val="TextoNormal"/>
      </w:pPr>
      <w:r>
        <w:t>La cuestión constitucional suscitada en este recurso en relación con el derecho fundamental a la integridad física y moral (art. 15 CE) es la misma que ya ha sido objeto de análisis por el Pleno de este tribunal en la STC 148/2023, de 6 de noviembre, en sus fundamentos jurídicos 4 y 5.</w:t>
      </w:r>
    </w:p>
    <w:p w14:paraId="7AC99013" w14:textId="77777777" w:rsidR="008D479B" w:rsidRDefault="008D479B" w:rsidP="008D479B">
      <w:pPr>
        <w:pStyle w:val="TextoNormal"/>
      </w:pPr>
    </w:p>
    <w:p w14:paraId="09ABDB8E" w14:textId="415B0853" w:rsidR="008D479B" w:rsidRDefault="008D479B" w:rsidP="008D479B">
      <w:pPr>
        <w:pStyle w:val="TextoNormal"/>
      </w:pPr>
      <w:r>
        <w:t>En atención a lo expuesto, en este caso, como también se concluyó en la STC 148/2023, FJ 5, el Tribunal rechaza que se haya vulnerado el art. 24.1 CE en relación con el art. 15 CE, dado que la motivación de las resoluciones judiciales tuvo como fundamento esencial la protección del interés superior del menor en relación con la protección de su salud, teniendo en cuenta la recomendación de las autoridades sanitarias, que se mostraban a favor de la vacunación de menores haciendo una ponderación de riesgos y beneficios de la vacuna, que el órgano judicial no estima desvirtuada por los informes obrantes en los autos.</w:t>
      </w:r>
    </w:p>
    <w:p w14:paraId="1F4A975A" w14:textId="77777777" w:rsidR="008D479B" w:rsidRDefault="008D479B" w:rsidP="008D479B">
      <w:pPr>
        <w:pStyle w:val="TextoNormal"/>
      </w:pPr>
    </w:p>
    <w:p w14:paraId="0412B389" w14:textId="77777777" w:rsidR="008D479B" w:rsidRDefault="008D479B" w:rsidP="008D479B">
      <w:pPr>
        <w:pStyle w:val="TextoNormalCentrado"/>
        <w:keepNext/>
      </w:pPr>
      <w:r>
        <w:t>FALLO</w:t>
      </w:r>
    </w:p>
    <w:p w14:paraId="6656E895" w14:textId="6FDCC8DD" w:rsidR="008D479B" w:rsidRDefault="008D479B" w:rsidP="008D479B">
      <w:pPr>
        <w:pStyle w:val="TextoNormalCentrado"/>
        <w:keepNext/>
      </w:pPr>
    </w:p>
    <w:p w14:paraId="256AD2E7" w14:textId="5BFE042F" w:rsidR="008D479B" w:rsidRDefault="008D479B" w:rsidP="008D479B">
      <w:pPr>
        <w:pStyle w:val="TextoNormal"/>
      </w:pPr>
      <w:r>
        <w:t>En atención a todo lo expuesto, el Tribunal Constitucional, por la autoridad que le confiere la Constitución de la Nación española, ha decidido desestimar el recurso de amparo interpuesto por doña I.C.L.</w:t>
      </w:r>
    </w:p>
    <w:p w14:paraId="1F9594C3" w14:textId="77777777" w:rsidR="008D479B" w:rsidRDefault="008D479B" w:rsidP="008D479B">
      <w:pPr>
        <w:pStyle w:val="TextoNormal"/>
      </w:pPr>
    </w:p>
    <w:p w14:paraId="1423FB0B" w14:textId="77777777" w:rsidR="008D479B" w:rsidRDefault="008D479B" w:rsidP="008D479B">
      <w:pPr>
        <w:pStyle w:val="TextoNormal"/>
      </w:pPr>
      <w:r>
        <w:t>Publíquese esta sentencia en el “Boletín Oficial del Estado”.</w:t>
      </w:r>
    </w:p>
    <w:p w14:paraId="34CFCA81" w14:textId="77777777" w:rsidR="008D479B" w:rsidRDefault="008D479B" w:rsidP="008D479B">
      <w:pPr>
        <w:pStyle w:val="TextoNormal"/>
      </w:pPr>
      <w:r>
        <w:t>Dada en Madrid, a once de diciembre de dos mil veintitrés.</w:t>
      </w:r>
    </w:p>
    <w:p w14:paraId="0F51F343" w14:textId="6AE9F10A" w:rsidR="008D479B" w:rsidRDefault="008D479B">
      <w:pPr>
        <w:spacing w:after="160" w:line="278" w:lineRule="auto"/>
        <w:rPr>
          <w:rFonts w:ascii="Times New Roman" w:eastAsia="Times New Roman" w:hAnsi="Times New Roman" w:cs="Times New Roman"/>
          <w:sz w:val="24"/>
          <w:szCs w:val="24"/>
          <w:lang w:eastAsia="es-ES"/>
        </w:rPr>
      </w:pPr>
      <w:r>
        <w:br w:type="page"/>
      </w:r>
    </w:p>
    <w:p w14:paraId="08617D2A" w14:textId="77777777" w:rsidR="008D479B" w:rsidRDefault="008D479B" w:rsidP="008D479B">
      <w:pPr>
        <w:pStyle w:val="TtuloResolucin"/>
      </w:pPr>
      <w:bookmarkStart w:id="112" w:name="SENTENCIA_2023_187"/>
      <w:r>
        <w:t>SENTENCIA 187/2023, de 11 de diciembre de 2023</w:t>
      </w:r>
    </w:p>
    <w:bookmarkEnd w:id="112"/>
    <w:p w14:paraId="6FABBECE" w14:textId="77777777" w:rsidR="008D479B" w:rsidRDefault="008D479B" w:rsidP="008D479B">
      <w:pPr>
        <w:pStyle w:val="TtuloResolucin"/>
      </w:pPr>
      <w:r>
        <w:t>Sala Primera</w:t>
      </w:r>
    </w:p>
    <w:p w14:paraId="25809F16" w14:textId="77777777" w:rsidR="008D479B" w:rsidRDefault="008D479B" w:rsidP="008D479B">
      <w:pPr>
        <w:pStyle w:val="TtuloBOE"/>
      </w:pPr>
      <w:r>
        <w:t>(BOE núm. 16, de 18 de enero de 2024)</w:t>
      </w:r>
    </w:p>
    <w:p w14:paraId="68F4C2E3" w14:textId="77777777" w:rsidR="008D479B" w:rsidRDefault="008D479B" w:rsidP="008D479B">
      <w:pPr>
        <w:pStyle w:val="TextoNormalCentrado"/>
      </w:pPr>
      <w:r>
        <w:t>ECLI:ES:TC:2023:187</w:t>
      </w:r>
    </w:p>
    <w:p w14:paraId="12A8525D" w14:textId="6B38467B" w:rsidR="008D479B" w:rsidRDefault="008D479B" w:rsidP="008D479B">
      <w:pPr>
        <w:pStyle w:val="TextoNormalCentrado"/>
      </w:pPr>
    </w:p>
    <w:p w14:paraId="0078D471" w14:textId="77777777" w:rsidR="008D479B" w:rsidRDefault="008D479B" w:rsidP="008D479B">
      <w:pPr>
        <w:pStyle w:val="SntesisDescriptiva"/>
      </w:pPr>
      <w:r>
        <w:t>Recurso de amparo 1289-2023. Promovido por doña R.M.S.P., respecto de los autos dictados por la Audiencia Provincial de Sevilla y un juzgado de primera instancia de esa capital que acordaron la administración de la vacuna frente a la covid-19.</w:t>
      </w:r>
    </w:p>
    <w:p w14:paraId="6B22F208" w14:textId="36AC0642" w:rsidR="008D479B" w:rsidRDefault="008D479B" w:rsidP="008D479B">
      <w:pPr>
        <w:pStyle w:val="SntesisDescriptiva"/>
      </w:pPr>
    </w:p>
    <w:p w14:paraId="135D0B0B" w14:textId="77777777" w:rsidR="008D479B" w:rsidRDefault="008D479B" w:rsidP="008D479B">
      <w:pPr>
        <w:pStyle w:val="SntesisAnaltica"/>
      </w:pPr>
      <w:r>
        <w:t>Supuesta vulneración del derecho a la integridad física: STC 148/2023 [resoluciones judiciales que realizaron una ponderación adecuada de los intereses de una persona menor de edad (STC 38/2023)].</w:t>
      </w:r>
    </w:p>
    <w:p w14:paraId="3F1503B0" w14:textId="243B55F3" w:rsidR="008D479B" w:rsidRDefault="008D479B" w:rsidP="008D479B">
      <w:pPr>
        <w:pStyle w:val="SntesisAnaltica"/>
      </w:pPr>
    </w:p>
    <w:p w14:paraId="09F248EA" w14:textId="7692C9A2" w:rsidR="008D479B" w:rsidRDefault="008D479B" w:rsidP="008D479B">
      <w:pPr>
        <w:pStyle w:val="Extracto"/>
      </w:pPr>
      <w:r>
        <w:t>1.</w:t>
      </w:r>
      <w:r>
        <w:tab/>
        <w:t>La capacidad general de autodeterminación de las personas menores de edad, en relación con las actuaciones médicas que les afectan, encuentra su límite en la protección de su interés superior, que se impone como obligación a los progenitores, en cuanto titulares de la patria potestad o autoridad familiar, y a todos los poderes públicos, incluida la autoridad judicial (STC 148/2023) [FJ 3].</w:t>
      </w:r>
    </w:p>
    <w:p w14:paraId="4216D8BC" w14:textId="77777777" w:rsidR="008D479B" w:rsidRDefault="008D479B" w:rsidP="008D479B">
      <w:pPr>
        <w:pStyle w:val="Extracto"/>
      </w:pPr>
    </w:p>
    <w:p w14:paraId="7A6A9F22" w14:textId="5BDAB170" w:rsidR="008D479B" w:rsidRDefault="008D479B" w:rsidP="008D479B">
      <w:pPr>
        <w:pStyle w:val="Extracto"/>
      </w:pPr>
      <w:r>
        <w:t>2.</w:t>
      </w:r>
      <w:r>
        <w:tab/>
        <w:t>La decisión de los representantes legales relativa al otorgamiento o no del consentimiento informado por representación deberá atender a la protección del derecho a la vida, supervivencia y desarrollo del menor y la satisfacción de sus necesidades básicas, tanto materiales, físicas y educativas como emocionales y afectivas [art. 2.2, letra a) de la Ley Orgánica 1/1996]; y es preciso buscar el mayor beneficio para la vida o salud del paciente menor de edad, teniendo en cuenta las circunstancias concurrentes y sus necesidades, que deben ser atendidas (STC 148/2023) [FJ 3].</w:t>
      </w:r>
    </w:p>
    <w:p w14:paraId="7D0E38EB" w14:textId="77777777" w:rsidR="008D479B" w:rsidRDefault="008D479B" w:rsidP="008D479B">
      <w:pPr>
        <w:pStyle w:val="Extracto"/>
      </w:pPr>
    </w:p>
    <w:p w14:paraId="06C34C06" w14:textId="77777777" w:rsidR="008D479B" w:rsidRDefault="008D479B" w:rsidP="008D479B">
      <w:pPr>
        <w:pStyle w:val="Extracto"/>
      </w:pPr>
    </w:p>
    <w:p w14:paraId="503C9EAE" w14:textId="77777777" w:rsidR="008D479B" w:rsidRDefault="008D479B" w:rsidP="008D479B">
      <w:pPr>
        <w:pStyle w:val="TextoNormal"/>
      </w:pPr>
      <w:r>
        <w:t>La Sala Primera del Tribunal Constitucional, compuesta por el magistrado don Cándido Conde-Pumpido Tourón, presidente, y los magistrados y magistradas don Ricardo Enríquez Sancho, doña Concepción Espejel Jorquera, doña María Luisa Segoviano Astaburuaga y don Juan Carlos Campo Moreno, ha pronunciado</w:t>
      </w:r>
    </w:p>
    <w:p w14:paraId="616754CD" w14:textId="42EB1976" w:rsidR="008D479B" w:rsidRDefault="008D479B" w:rsidP="008D479B">
      <w:pPr>
        <w:pStyle w:val="TextoNormal"/>
      </w:pPr>
    </w:p>
    <w:p w14:paraId="482FEAB8" w14:textId="77777777" w:rsidR="008D479B" w:rsidRDefault="008D479B" w:rsidP="008D479B">
      <w:pPr>
        <w:pStyle w:val="TextoNormalCentrado"/>
        <w:keepNext/>
      </w:pPr>
      <w:r>
        <w:t>EN NOMBRE DEL REY</w:t>
      </w:r>
    </w:p>
    <w:p w14:paraId="473DA528" w14:textId="22F5BBBC" w:rsidR="008D479B" w:rsidRDefault="008D479B" w:rsidP="008D479B">
      <w:pPr>
        <w:pStyle w:val="TextoNormalCentrado"/>
        <w:keepNext/>
      </w:pPr>
    </w:p>
    <w:p w14:paraId="1790375A" w14:textId="77777777" w:rsidR="008D479B" w:rsidRDefault="008D479B" w:rsidP="008D479B">
      <w:pPr>
        <w:pStyle w:val="TextoNormalCentrado"/>
        <w:keepNext/>
      </w:pPr>
    </w:p>
    <w:p w14:paraId="1B6D236A" w14:textId="77777777" w:rsidR="008D479B" w:rsidRDefault="008D479B" w:rsidP="008D479B">
      <w:pPr>
        <w:pStyle w:val="TextoNormal"/>
      </w:pPr>
      <w:r>
        <w:t>la siguiente</w:t>
      </w:r>
    </w:p>
    <w:p w14:paraId="35A44181" w14:textId="7971BD03" w:rsidR="008D479B" w:rsidRDefault="008D479B" w:rsidP="008D479B">
      <w:pPr>
        <w:pStyle w:val="TextoNormal"/>
      </w:pPr>
    </w:p>
    <w:p w14:paraId="428216DC" w14:textId="77777777" w:rsidR="008D479B" w:rsidRDefault="008D479B" w:rsidP="008D479B">
      <w:pPr>
        <w:pStyle w:val="TextoNormalCentrado"/>
        <w:keepNext/>
      </w:pPr>
      <w:r>
        <w:t>SENTENCIA</w:t>
      </w:r>
    </w:p>
    <w:p w14:paraId="100B6D30" w14:textId="216889FB" w:rsidR="008D479B" w:rsidRDefault="008D479B" w:rsidP="008D479B">
      <w:pPr>
        <w:pStyle w:val="TextoNormalCentrado"/>
        <w:keepNext/>
      </w:pPr>
    </w:p>
    <w:p w14:paraId="201B7E42" w14:textId="77777777" w:rsidR="008D479B" w:rsidRDefault="008D479B" w:rsidP="008D479B">
      <w:pPr>
        <w:pStyle w:val="TextoNormal"/>
      </w:pPr>
      <w:r>
        <w:t>En el recurso de amparo núm. 1289-2023, interpuesto por la procuradora de los tribunales doña Natalia Vanesa Gurrea Martínez, en nombre y representación de doña R.M.S.P., contra el auto de 23 de junio de 2022 dictado por el Juzgado de Primera Instancia núm. 17 de Sevilla, en los autos de jurisdicción voluntaria de intervención judicial sobre desacuerdo en el ejercicio de la patria potestad núm. 244-2022, y contra el auto dictado por la Sección Segunda de la Audiencia Provincial de Sevilla el 16 de enero de 2023, en el rollo de apelación núm. 8036-2022. Ha intervenido el Ministerio Fiscal. Ha sido ponente el magistrado don Ricardo Enríquez Sancho.</w:t>
      </w:r>
    </w:p>
    <w:p w14:paraId="279DE498" w14:textId="664FD7ED" w:rsidR="008D479B" w:rsidRDefault="008D479B" w:rsidP="008D479B">
      <w:pPr>
        <w:pStyle w:val="TextoNormal"/>
      </w:pPr>
    </w:p>
    <w:p w14:paraId="3D4D907E" w14:textId="77777777" w:rsidR="008D479B" w:rsidRDefault="008D479B" w:rsidP="008D479B">
      <w:pPr>
        <w:pStyle w:val="TextoNormalNegritaCentrado"/>
        <w:keepNext/>
      </w:pPr>
      <w:r>
        <w:t>I. Antecedentes</w:t>
      </w:r>
    </w:p>
    <w:p w14:paraId="78F85E28" w14:textId="6B4125A1" w:rsidR="008D479B" w:rsidRDefault="008D479B" w:rsidP="008D479B">
      <w:pPr>
        <w:pStyle w:val="TextoNormalNegritaCentrado"/>
        <w:keepNext/>
      </w:pPr>
    </w:p>
    <w:p w14:paraId="717ADD8A" w14:textId="2612A3DA" w:rsidR="003508CA" w:rsidRDefault="008D479B">
      <w:r w:rsidRPr="008D479B">
        <w:rPr>
          <w:rStyle w:val="NumeroAFNegritaCaracter"/>
        </w:rPr>
        <w:t>1</w:t>
      </w:r>
      <w:r>
        <w:t>. Mediante escrito que tuvo entrada en el registro general de este tribunal el día 27 de febrero de 2023, la procuradora de los tribunales doña Natalia Vanesa Gurrera Martínez, en nombre y representación de R.M.S.P., bajo la defensa del abogado don Alexis José Aneas Fernández, interpuso recurso de amparo contra las resoluciones judiciales que se citan en el encabezamiento.</w:t>
      </w:r>
    </w:p>
    <w:p w14:paraId="0DB8C9AE" w14:textId="77777777" w:rsidR="008D479B" w:rsidRDefault="008D479B" w:rsidP="008D479B"/>
    <w:p w14:paraId="76CDC086" w14:textId="77777777" w:rsidR="008D479B" w:rsidRDefault="008D479B" w:rsidP="008D479B">
      <w:pPr>
        <w:pStyle w:val="TextoNormal"/>
      </w:pPr>
      <w:r w:rsidRPr="008D479B">
        <w:rPr>
          <w:rStyle w:val="NumeroAFNegritaCaracter"/>
        </w:rPr>
        <w:t>2</w:t>
      </w:r>
      <w:r>
        <w:t>. Los hechos de los que trae causa la demanda, relevantes para la resolución del recurso, son, en síntesis, los siguientes:</w:t>
      </w:r>
    </w:p>
    <w:p w14:paraId="4B406D66" w14:textId="77777777" w:rsidR="008D479B" w:rsidRDefault="008D479B" w:rsidP="008D479B">
      <w:pPr>
        <w:pStyle w:val="TextoNormal"/>
      </w:pPr>
    </w:p>
    <w:p w14:paraId="36964B67" w14:textId="77777777" w:rsidR="008D479B" w:rsidRDefault="008D479B" w:rsidP="008D479B">
      <w:pPr>
        <w:pStyle w:val="TextoNormal"/>
      </w:pPr>
      <w:r>
        <w:t>a) Don M.F.F., solicitó la intervención judicial por desacuerdo de los progenitores en el ejercicio de la patria potestad al amparo del art. 86.1 de la Ley 15/2015, de 2 de julio, de la jurisdicción voluntaria y el art. 156 párrafo tercero del Código civil, ante la negativa de la madre, doña R.M.S.P., para la inoculación de la vacuna contra la covid-19 a los dos hijos comunes de ambos litigantes, don J.M.F.S., de 8 años, y doña E.F.S., de 6 años. Se alegó que la vacuna era beneficiosa para la salud de los menores, que los riesgos de la vacuna eran mínimos y que la pediatra de la niña aconsejaba la administración de la misma.</w:t>
      </w:r>
    </w:p>
    <w:p w14:paraId="6F08CCD5" w14:textId="77777777" w:rsidR="008D479B" w:rsidRDefault="008D479B" w:rsidP="008D479B">
      <w:pPr>
        <w:pStyle w:val="TextoNormal"/>
      </w:pPr>
    </w:p>
    <w:p w14:paraId="53B4DAF9" w14:textId="77777777" w:rsidR="008D479B" w:rsidRDefault="008D479B" w:rsidP="008D479B">
      <w:pPr>
        <w:pStyle w:val="TextoNormal"/>
      </w:pPr>
      <w:r>
        <w:t>b) Admitida la solicitud por el Juzgado de Primera Instancia núm. 17 de Sevilla (procedimiento de intervención judicial por desacuerdo en el ejercicio de la patria potestad núm. 244-2022), mediante providencia del 24 de marzo de 2022 el Juzgado acordó que “no considerando necesaria la celebración de la comparecencia a que se refiere el art. 17.2 de la Ley 15/2015, de 2 de julio, de la jurisdicción voluntaria por no darse ninguna de las circunstancias indicadas en el mismo, confiérase traslado de la petición a la parte contraria y al Ministerio Fiscal a fin de que manifiesten en el término de diez días sobre si se oponen a lo solicitado por la parte actora”.</w:t>
      </w:r>
    </w:p>
    <w:p w14:paraId="53141A8E" w14:textId="77777777" w:rsidR="008D479B" w:rsidRDefault="008D479B" w:rsidP="008D479B">
      <w:pPr>
        <w:pStyle w:val="TextoNormal"/>
      </w:pPr>
    </w:p>
    <w:p w14:paraId="4CE5EAB4" w14:textId="77777777" w:rsidR="008D479B" w:rsidRDefault="008D479B" w:rsidP="008D479B">
      <w:pPr>
        <w:pStyle w:val="TextoNormal"/>
      </w:pPr>
      <w:r>
        <w:t>Doña R.M.S.P., presentó alegaciones formulando oposición a la solicitud presentada por don M.F.F y adujo, en esencia, la ausencia de evidencia médica-científica que justificara la inoculación de los medicamentos de terapia génica para la covid-19 en menores de edad, atendiendo a la gravedad de la enfermedad en menores, donde la tasa de mortalidad y de hospitalización es muy baja, y a los efectos adversos que puede llevar aparejada la vacuna, que pueden ser muy superiores a la ausencia de vacunación. Asimismo, invocó la vulneración del derecho al consentimiento informado y de la Ley 41/2002, de 14 de noviembre, básica reguladora de la autonomía del paciente y de derechos y obligaciones en materia de información y documentación clínica.</w:t>
      </w:r>
    </w:p>
    <w:p w14:paraId="14C1B126" w14:textId="77777777" w:rsidR="008D479B" w:rsidRDefault="008D479B" w:rsidP="008D479B">
      <w:pPr>
        <w:pStyle w:val="TextoNormal"/>
      </w:pPr>
    </w:p>
    <w:p w14:paraId="11618E83" w14:textId="77777777" w:rsidR="008D479B" w:rsidRDefault="008D479B" w:rsidP="008D479B">
      <w:pPr>
        <w:pStyle w:val="TextoNormal"/>
      </w:pPr>
      <w:r>
        <w:t>c) Con fecha 23 de junio de 2022 el juzgado dictó auto por el que desestimó la oposición y atribuyó a don M.F.F., la facultad de decidir sobre la inoculación de la vacuna respecto de los hijos menores de ambos. El juzgado realiza un juicio de ponderación de los riesgos y beneficios de la vacuna y otorga prevalencia al “carácter seguro” de la vacuna de la covid-19, que cuenta con la aprobación de la Agencia Europea del Medicamento, “siendo en todo caso mayor el riesgo de contraer la infección por coronavirus que la de padecer algún efecto secundario grave.</w:t>
      </w:r>
    </w:p>
    <w:p w14:paraId="61368D33" w14:textId="77777777" w:rsidR="008D479B" w:rsidRDefault="008D479B" w:rsidP="008D479B">
      <w:pPr>
        <w:pStyle w:val="TextoNormal"/>
      </w:pPr>
    </w:p>
    <w:p w14:paraId="4F8DAF6C" w14:textId="77777777" w:rsidR="008D479B" w:rsidRDefault="008D479B" w:rsidP="008D479B">
      <w:pPr>
        <w:pStyle w:val="TextoNormal"/>
      </w:pPr>
      <w:r>
        <w:t>Indica, además, que los niños, en atención a la prueba documental practicada, han recibido diversas vacunas del calendario infantil, y que no existen incompatibilidades en ninguno de los menores para el suministro de la citada vacuna, en atención al informe médico del pediatra de los niños, que descarta antecedentes patológicos. Por tanto, se abunda en la resolución judicial, la vacuna es una medida eficaz para la protección de la vida.</w:t>
      </w:r>
    </w:p>
    <w:p w14:paraId="65ED505D" w14:textId="77777777" w:rsidR="008D479B" w:rsidRDefault="008D479B" w:rsidP="008D479B">
      <w:pPr>
        <w:pStyle w:val="TextoNormal"/>
      </w:pPr>
    </w:p>
    <w:p w14:paraId="2903F21B" w14:textId="77777777" w:rsidR="008D479B" w:rsidRDefault="008D479B" w:rsidP="008D479B">
      <w:pPr>
        <w:pStyle w:val="TextoNormal"/>
      </w:pPr>
      <w:r>
        <w:t>d) Contra el auto indicado doña R.M.S.P interpuso recurso de apelación en el que reiteró su posición en relación con los riesgos y beneficios de la vacuna y añadió que existía peligro para los menores dada la trascendencia de la decisión para su salud y su vida por los efectos a medio y largo plazo. En el citado recurso se interesó la nulidad de la resolución recurrida por falta de motivación. El asunto recayó en la Sección Segunda de la Audiencia Provincial de Sevilla (recurso de apelación núm. 8036-2022).</w:t>
      </w:r>
    </w:p>
    <w:p w14:paraId="1B524447" w14:textId="77777777" w:rsidR="008D479B" w:rsidRDefault="008D479B" w:rsidP="008D479B">
      <w:pPr>
        <w:pStyle w:val="TextoNormal"/>
      </w:pPr>
    </w:p>
    <w:p w14:paraId="339907ED" w14:textId="77777777" w:rsidR="008D479B" w:rsidRDefault="008D479B" w:rsidP="008D479B">
      <w:pPr>
        <w:pStyle w:val="TextoNormal"/>
      </w:pPr>
      <w:r>
        <w:t>e) Don M.F.F., presentó escrito por el que se opuso al recurso de apelación e interesó la desestimación. En idéntico sentido se pronunció el Ministerio Fiscal.</w:t>
      </w:r>
    </w:p>
    <w:p w14:paraId="5DB18A14" w14:textId="77777777" w:rsidR="008D479B" w:rsidRDefault="008D479B" w:rsidP="008D479B">
      <w:pPr>
        <w:pStyle w:val="TextoNormal"/>
      </w:pPr>
    </w:p>
    <w:p w14:paraId="61082888" w14:textId="59E7FDC1" w:rsidR="008D479B" w:rsidRDefault="008D479B" w:rsidP="008D479B">
      <w:pPr>
        <w:pStyle w:val="TextoNormal"/>
      </w:pPr>
      <w:r>
        <w:t xml:space="preserve">f) La Sección Segunda dictó auto el 16 de enero de 2023 por el que desestimó el recurso interpuesto En la resolución judicial se razona que el objeto de la controversia es decidir sobre la atribución a uno de los progenitores de la facultad de decidir la vacunación de los hijos menores. Se considera en tal sentido que el auto recurrido está suficientemente motivado y que resulta correcta la ponderación efectuada por el juzgado </w:t>
      </w:r>
      <w:r w:rsidRPr="008D479B">
        <w:rPr>
          <w:i/>
        </w:rPr>
        <w:t>a quo</w:t>
      </w:r>
      <w:r>
        <w:t>, teniendo en cuenta que los informes periciales obrantes en las actuaciones ponen de manifiesto la inexistencia de riesgo para la integridad física de los menores, todo ello en conexión con el informe médico aportado que recomienda la vacunación.</w:t>
      </w:r>
    </w:p>
    <w:p w14:paraId="4FBDD374" w14:textId="77777777" w:rsidR="008D479B" w:rsidRDefault="008D479B" w:rsidP="008D479B">
      <w:pPr>
        <w:pStyle w:val="TextoNormal"/>
      </w:pPr>
    </w:p>
    <w:p w14:paraId="004F993C" w14:textId="77777777" w:rsidR="008D479B" w:rsidRDefault="008D479B" w:rsidP="008D479B">
      <w:pPr>
        <w:pStyle w:val="TextoNormal"/>
      </w:pPr>
      <w:r w:rsidRPr="008D479B">
        <w:rPr>
          <w:rStyle w:val="NumeroAFNegritaCaracter"/>
        </w:rPr>
        <w:t>3</w:t>
      </w:r>
      <w:r>
        <w:t>. La recurrente denuncia en su demanda de amparo que se le han vulnerado los siguientes derechos fundamentales:</w:t>
      </w:r>
    </w:p>
    <w:p w14:paraId="54455682" w14:textId="77777777" w:rsidR="008D479B" w:rsidRDefault="008D479B" w:rsidP="008D479B">
      <w:pPr>
        <w:pStyle w:val="TextoNormal"/>
      </w:pPr>
    </w:p>
    <w:p w14:paraId="083A497E" w14:textId="77777777" w:rsidR="008D479B" w:rsidRDefault="008D479B" w:rsidP="008D479B">
      <w:pPr>
        <w:pStyle w:val="TextoNormal"/>
      </w:pPr>
      <w:r>
        <w:t>(i) El derecho a la igualdad de trato de la madre (art. 14.1 CE), al otorgar la capacidad de decidir sobre la vacuna al padre. Se añade que el derecho a la igualdad exige de los poderes públicos un deber de abstención para no generar diferencias arbitrarias como la que se ha producido en este caso, donde la diferencia de trato ni está justificada ni es razonable.</w:t>
      </w:r>
    </w:p>
    <w:p w14:paraId="183C531C" w14:textId="77777777" w:rsidR="008D479B" w:rsidRDefault="008D479B" w:rsidP="008D479B">
      <w:pPr>
        <w:pStyle w:val="TextoNormal"/>
      </w:pPr>
    </w:p>
    <w:p w14:paraId="743E2AF1" w14:textId="77777777" w:rsidR="008D479B" w:rsidRDefault="008D479B" w:rsidP="008D479B">
      <w:pPr>
        <w:pStyle w:val="TextoNormal"/>
      </w:pPr>
      <w:r>
        <w:t>(ii) El derecho a la integridad física y moral (art. 15.1 CE) porque no se recabó el consentimiento informado ni del menor ni de sus progenitores. Argumenta que el consentimiento informado del paciente es un derecho reconocido en la Ley 41/2002, básica de autonomía del paciente.</w:t>
      </w:r>
    </w:p>
    <w:p w14:paraId="46933BB0" w14:textId="77777777" w:rsidR="008D479B" w:rsidRDefault="008D479B" w:rsidP="008D479B">
      <w:pPr>
        <w:pStyle w:val="TextoNormal"/>
      </w:pPr>
    </w:p>
    <w:p w14:paraId="5AA9A24E" w14:textId="77777777" w:rsidR="008D479B" w:rsidRDefault="008D479B" w:rsidP="008D479B">
      <w:pPr>
        <w:pStyle w:val="TextoNormal"/>
      </w:pPr>
      <w:r>
        <w:t>Se añade que no hay evidencias científicas que acrediten la bondad de la vacuna ni el beneficio individual para los niños, lo que supone que se ha vulnerado el interés superior de los menores, puesto que los estudios científicos demuestran que el riesgo para su salud derivado de la ausencia de vacuna es menor que el riesgo de contraer la enfermedad.</w:t>
      </w:r>
    </w:p>
    <w:p w14:paraId="64B65C51" w14:textId="77777777" w:rsidR="008D479B" w:rsidRDefault="008D479B" w:rsidP="008D479B">
      <w:pPr>
        <w:pStyle w:val="TextoNormal"/>
      </w:pPr>
    </w:p>
    <w:p w14:paraId="43FA78B8" w14:textId="77777777" w:rsidR="008D479B" w:rsidRDefault="008D479B" w:rsidP="008D479B">
      <w:pPr>
        <w:pStyle w:val="TextoNormal"/>
      </w:pPr>
      <w:r>
        <w:t>(iii) El derecho a la tutela judicial efectiva (art. 24.1 CE), porque los tribunales ordinarios han valorado las pruebas de manera errónea, en particular los informes científicos de que disponían. Las resoluciones judiciales combatidas incurren en defecto de motivación suficiente.</w:t>
      </w:r>
    </w:p>
    <w:p w14:paraId="49A8E710" w14:textId="77777777" w:rsidR="008D479B" w:rsidRDefault="008D479B" w:rsidP="008D479B">
      <w:pPr>
        <w:pStyle w:val="TextoNormal"/>
      </w:pPr>
    </w:p>
    <w:p w14:paraId="598DC4E3" w14:textId="77777777" w:rsidR="008D479B" w:rsidRDefault="008D479B" w:rsidP="008D479B">
      <w:pPr>
        <w:pStyle w:val="TextoNormal"/>
      </w:pPr>
      <w:r>
        <w:t>En la demanda se solicita el otorgamiento del amparo a “don [J.D.O.M.]”, la nulidad de los autos recurridos y que se declare que “no ha lugar el procedimiento de jurisdicción voluntaria para atribuir la facultad de decidir unilateralmente al progenitor la inoculación a los menores de edad” de la vacuna contra la covid-19.</w:t>
      </w:r>
    </w:p>
    <w:p w14:paraId="29D900AF" w14:textId="77777777" w:rsidR="008D479B" w:rsidRDefault="008D479B" w:rsidP="008D479B">
      <w:pPr>
        <w:pStyle w:val="TextoNormal"/>
      </w:pPr>
    </w:p>
    <w:p w14:paraId="567176FD" w14:textId="77777777" w:rsidR="008D479B" w:rsidRDefault="008D479B" w:rsidP="008D479B">
      <w:pPr>
        <w:pStyle w:val="TextoNormal"/>
      </w:pPr>
      <w:r>
        <w:t>Por medio de otrosí digo se solicitó en el mismo escrito la suspensión cautelar de la ejecución de los dos autos recurridos, hasta que se dicte sentencia en el recurso de amparo, a fin de evitar la causación de “perjuicios de imposible reparación”.</w:t>
      </w:r>
    </w:p>
    <w:p w14:paraId="36D0A59B" w14:textId="77777777" w:rsidR="008D479B" w:rsidRDefault="008D479B" w:rsidP="008D479B">
      <w:pPr>
        <w:pStyle w:val="TextoNormal"/>
      </w:pPr>
    </w:p>
    <w:p w14:paraId="6F310FA0" w14:textId="77777777" w:rsidR="008D479B" w:rsidRDefault="008D479B" w:rsidP="008D479B">
      <w:pPr>
        <w:pStyle w:val="TextoNormal"/>
      </w:pPr>
      <w:r>
        <w:t>Con fecha 19 de marzo de 2023, la representante procesal de la recurrente en amparo presentó escrito manifestando que “venimos a subsanar un error en la redacción del recurso de amparo, ya que, en el suplico […] en realidad debió escribirse: ‘1. Se otorgue a doña R. M. S. P. el amparo solicitado’”. Se solicita por tanto que se tenga por subsanado el citado error.</w:t>
      </w:r>
    </w:p>
    <w:p w14:paraId="2AE9E6FB" w14:textId="77777777" w:rsidR="008D479B" w:rsidRDefault="008D479B" w:rsidP="008D479B">
      <w:pPr>
        <w:pStyle w:val="TextoNormal"/>
      </w:pPr>
    </w:p>
    <w:p w14:paraId="21E69028" w14:textId="7352B66E" w:rsidR="008D479B" w:rsidRDefault="008D479B" w:rsidP="008D479B">
      <w:pPr>
        <w:pStyle w:val="TextoNormal"/>
      </w:pPr>
      <w:r>
        <w:t>La Secretaría de Justicia de la Sección Segunda, Sala Primera, de este tribunal, dictó una diligencia de ordenación el 21 de marzo de 2023 teniendo por recibido el escrito, y dando por subsanado el error de referencia.</w:t>
      </w:r>
    </w:p>
    <w:p w14:paraId="374A1F6D" w14:textId="77777777" w:rsidR="008D479B" w:rsidRDefault="008D479B" w:rsidP="008D479B">
      <w:pPr>
        <w:pStyle w:val="TextoNormal"/>
      </w:pPr>
    </w:p>
    <w:p w14:paraId="1E4A7AB1" w14:textId="77777777" w:rsidR="008D479B" w:rsidRDefault="008D479B" w:rsidP="008D479B">
      <w:pPr>
        <w:pStyle w:val="TextoNormal"/>
      </w:pPr>
      <w:r w:rsidRPr="008D479B">
        <w:rPr>
          <w:rStyle w:val="NumeroAFNegritaCaracter"/>
        </w:rPr>
        <w:t>4</w:t>
      </w:r>
      <w:r>
        <w:t>. La Sección Segunda del Tribunal Constitucional, por providencia de 8 de mayo de 2023, acordó admitir a trámite el recurso de amparo, “apreciando que concurre en el mismo una especial trascendencia constitucional [art. 50.1 de la Ley Orgánica del Tribunal Constitucional (LOTC)] porque el recurso plantea un problema o afecta a una faceta de un derecho fundamental sobre el que no hay doctrina de este tribunal [STC 155/2009, de 25 de junio, FJ 2 a)], y el asunto suscitado trasciende del caso concreto porque plantea una cuestión jurídica de relevante y general repercusión social o económica [STC 155/2009, FJ 2 g)]”.</w:t>
      </w:r>
    </w:p>
    <w:p w14:paraId="1543E4C7" w14:textId="77777777" w:rsidR="008D479B" w:rsidRDefault="008D479B" w:rsidP="008D479B">
      <w:pPr>
        <w:pStyle w:val="TextoNormal"/>
      </w:pPr>
    </w:p>
    <w:p w14:paraId="069BDC85" w14:textId="77777777" w:rsidR="008D479B" w:rsidRDefault="008D479B" w:rsidP="008D479B">
      <w:pPr>
        <w:pStyle w:val="TextoNormal"/>
      </w:pPr>
      <w:r>
        <w:t>En la misma providencia se acordó, en aplicación de lo dispuesto en el art. 51 LOTC, “dirigir atenta comunicación a la Sección Segunda de la Audiencia Provincial de Sevilla, a fin de que, en plazo que no exceda de diez días, remita certificación o fotocopia adverada de las actuaciones correspondientes al recurso de apelación 8036-2022,”, así como “al Juzgado de Primera Instancia núm. 17 de Sevilla a fin de que, en plazo que no exceda de diez días, remita certificación o fotocopia adverada de las actuaciones correspondientes al procedimiento de jurisdicción voluntaria nº 244-2022, debiendo previamente emplazarse, para que en el plazo de diez días puedan comparecer, si lo desean, en el recurso de amparo a quienes hubieran sido parte en el procedimiento, excepto la parte recurrente en amparo”.</w:t>
      </w:r>
    </w:p>
    <w:p w14:paraId="355E11C8" w14:textId="77777777" w:rsidR="008D479B" w:rsidRDefault="008D479B" w:rsidP="008D479B">
      <w:pPr>
        <w:pStyle w:val="TextoNormal"/>
      </w:pPr>
    </w:p>
    <w:p w14:paraId="0E569263" w14:textId="5A3EAF88" w:rsidR="008D479B" w:rsidRDefault="008D479B" w:rsidP="008D479B">
      <w:pPr>
        <w:pStyle w:val="TextoNormal"/>
      </w:pPr>
      <w:r>
        <w:t>Finalmente, en la misma providencia se resolvió, de acuerdo con lo solicitado por la parte recurrente, formar la correspondiente pieza separada de suspensión.</w:t>
      </w:r>
    </w:p>
    <w:p w14:paraId="1A3DC293" w14:textId="77777777" w:rsidR="008D479B" w:rsidRDefault="008D479B" w:rsidP="008D479B">
      <w:pPr>
        <w:pStyle w:val="TextoNormal"/>
      </w:pPr>
    </w:p>
    <w:p w14:paraId="134CBD4E" w14:textId="63AB976C" w:rsidR="008D479B" w:rsidRDefault="008D479B" w:rsidP="008D479B">
      <w:pPr>
        <w:pStyle w:val="TextoNormal"/>
      </w:pPr>
      <w:r w:rsidRPr="008D479B">
        <w:rPr>
          <w:rStyle w:val="NumeroAFNegritaCaracter"/>
        </w:rPr>
        <w:t>5</w:t>
      </w:r>
      <w:r>
        <w:t>. Mediante otra providencia dictada en la misma fecha que la de admisión a trámite del recurso (8 de mayo de 2023), y de conformidad con lo prevenido en el art. 56 LOTC, la Sección Segunda acordó, a instancia de la parte actora, la formación de pieza separada de suspensión, que tras su tramitación fue resuelta por la Sala Primera de este tribunal, mediante ATC 436/2023, de 25 de septiembre, que denegó la suspensión cautelar del auto impugnado.</w:t>
      </w:r>
    </w:p>
    <w:p w14:paraId="5FEF7581" w14:textId="77777777" w:rsidR="008D479B" w:rsidRDefault="008D479B" w:rsidP="008D479B">
      <w:pPr>
        <w:pStyle w:val="TextoNormal"/>
      </w:pPr>
    </w:p>
    <w:p w14:paraId="24B436B1" w14:textId="75095CD4" w:rsidR="008D479B" w:rsidRDefault="008D479B" w:rsidP="008D479B">
      <w:pPr>
        <w:pStyle w:val="TextoNormal"/>
      </w:pPr>
      <w:r w:rsidRPr="008D479B">
        <w:rPr>
          <w:rStyle w:val="NumeroAFNegritaCaracter"/>
        </w:rPr>
        <w:t>6</w:t>
      </w:r>
      <w:r>
        <w:t>. De nuevo con relación al proceso principal, por diligencia de ordenación de la Secretaría de Justicia de la Sala Primera de este tribunal de 13 de junio de 2023, se tuvieron por recibidos los testimonios de las actuaciones que habían sido remitidos por la Sección Segunda de la Audiencia Provincial de Sevilla y por el Juzgado de Primera Instancia núm. 17 de Sevilla y, a tenor de lo dispuesto en el art. 52 LOTC, se acordó dar vista de las actuaciones, por un plazo común de veinte días, al Ministerio Fiscal y a las partes personadas, para que dentro de dicho término pudieran presentar las alegaciones que a su derecho conviniese.</w:t>
      </w:r>
    </w:p>
    <w:p w14:paraId="110FC0C4" w14:textId="77777777" w:rsidR="008D479B" w:rsidRDefault="008D479B" w:rsidP="008D479B">
      <w:pPr>
        <w:pStyle w:val="TextoNormal"/>
      </w:pPr>
    </w:p>
    <w:p w14:paraId="7F95163C" w14:textId="5BA02E0A" w:rsidR="008D479B" w:rsidRDefault="008D479B" w:rsidP="008D479B">
      <w:pPr>
        <w:pStyle w:val="TextoNormal"/>
      </w:pPr>
      <w:r w:rsidRPr="008D479B">
        <w:rPr>
          <w:rStyle w:val="NumeroAFNegritaCaracter"/>
        </w:rPr>
        <w:t>7</w:t>
      </w:r>
      <w:r>
        <w:t>. Con fecha 13 de julio de 2023 la representante procesal de la recurrente presentó escrito de alegaciones por el que interesó, con reafirmación de todo lo dicho en el escrito de demanda, y “en las alegaciones presentadas en relación a la pieza de suspensión”, que se diera por evacuado el trámite del art. 52 LOTC. A tal efecto se lleva a cabo en el escrito una reiteración de lo ya alegado en sus escritos previos ante este tribunal.</w:t>
      </w:r>
    </w:p>
    <w:p w14:paraId="195317F2" w14:textId="77777777" w:rsidR="008D479B" w:rsidRDefault="008D479B" w:rsidP="008D479B">
      <w:pPr>
        <w:pStyle w:val="TextoNormal"/>
      </w:pPr>
    </w:p>
    <w:p w14:paraId="6361D2D2" w14:textId="77777777" w:rsidR="008D479B" w:rsidRDefault="008D479B" w:rsidP="008D479B">
      <w:pPr>
        <w:pStyle w:val="TextoNormal"/>
      </w:pPr>
      <w:r w:rsidRPr="008D479B">
        <w:rPr>
          <w:rStyle w:val="NumeroAFNegritaCaracter"/>
        </w:rPr>
        <w:t>8</w:t>
      </w:r>
      <w:r>
        <w:t>. Por escrito registrado el 7 de septiembre de 2023, la fiscal ante este Tribunal Constitucional formuló sus alegaciones interesando la inadmisión parcial del recurso respecto de la alegada vulneración del art. 14 CE; la desestimación del recurso en lo demás, si bien subsidiariamente postula que se habría vulnerado el art. 15 CE por no haber oído el juez a los menores.</w:t>
      </w:r>
    </w:p>
    <w:p w14:paraId="7D26A489" w14:textId="77777777" w:rsidR="008D479B" w:rsidRDefault="008D479B" w:rsidP="008D479B">
      <w:pPr>
        <w:pStyle w:val="TextoNormal"/>
      </w:pPr>
    </w:p>
    <w:p w14:paraId="4EF09F66" w14:textId="77777777" w:rsidR="008D479B" w:rsidRDefault="008D479B" w:rsidP="008D479B">
      <w:pPr>
        <w:pStyle w:val="TextoNormal"/>
      </w:pPr>
      <w:r>
        <w:t>a) Como primera cuestión se refiere la fiscal al cumplimiento de los requisitos procesales para interponer la demanda de amparo, entendiendo a su parecer que concurren todos en el escrito presentado por la actora, excepto el de la invocación temporánea [art. 44.1 c) LOTC] de la lesión del art. 14 CE en la vía judicial previa, pues nada se dice en este punto en el escrito de apelación, siendo por tanto un defecto de carácter insubsanable conforme a doctrina constitucional reiterada, que cita.</w:t>
      </w:r>
    </w:p>
    <w:p w14:paraId="650519DE" w14:textId="77777777" w:rsidR="008D479B" w:rsidRDefault="008D479B" w:rsidP="008D479B">
      <w:pPr>
        <w:pStyle w:val="TextoNormal"/>
      </w:pPr>
    </w:p>
    <w:p w14:paraId="6D6F21FD" w14:textId="77777777" w:rsidR="008D479B" w:rsidRDefault="008D479B" w:rsidP="008D479B">
      <w:pPr>
        <w:pStyle w:val="TextoNormal"/>
      </w:pPr>
      <w:r>
        <w:t>b) Ya en cuanto al fondo, la fiscal ante este tribunal aprovecha de una vez para destacar, respecto de la alegada lesión del art. 14 CE —por si no se acordara su inadmisión—, que dicha queja “está huérfana de cualquier argumentación fáctica ni jurídica”, limitándose la demanda a decir que hay discriminación porque los menores ya gozan de inmunidad natural, por lo que procede su desestimación.</w:t>
      </w:r>
    </w:p>
    <w:p w14:paraId="223A91AA" w14:textId="77777777" w:rsidR="008D479B" w:rsidRDefault="008D479B" w:rsidP="008D479B">
      <w:pPr>
        <w:pStyle w:val="TextoNormal"/>
      </w:pPr>
    </w:p>
    <w:p w14:paraId="730C7162" w14:textId="77777777" w:rsidR="008D479B" w:rsidRDefault="008D479B" w:rsidP="008D479B">
      <w:pPr>
        <w:pStyle w:val="TextoNormal"/>
      </w:pPr>
      <w:r>
        <w:t>c) En segundo lugar, aprecia que en el procedimiento judicial se había respetado el derecho a la tutela judicial efectiva del art. 24.1 CE, dada la existencia de una motivación suficiente y coherente en las resoluciones judiciales combatidas, si bien reconoce que el auto dictado por la audiencia provincial completa la motivación expresada por el juzgado. Señala también que las resoluciones judiciales han ponderado suficientemente el interés superior de los menores y que los órganos judiciales no deciden sobre la administración de la vacuna, sino que se limitan a atribuir a uno de los progenitores la facultad decisoria sobre ese extremo. Por este motivo, sostiene la fiscal, procede su desestimación.</w:t>
      </w:r>
    </w:p>
    <w:p w14:paraId="5F0AAEC2" w14:textId="77777777" w:rsidR="008D479B" w:rsidRDefault="008D479B" w:rsidP="008D479B">
      <w:pPr>
        <w:pStyle w:val="TextoNormal"/>
      </w:pPr>
    </w:p>
    <w:p w14:paraId="7291616D" w14:textId="77777777" w:rsidR="008D479B" w:rsidRDefault="008D479B" w:rsidP="008D479B">
      <w:pPr>
        <w:pStyle w:val="TextoNormal"/>
      </w:pPr>
      <w:r>
        <w:t>d) Y en cuanto a la vulneración del art. 15 CE por falta de consentimiento informado, la fiscal pone de relieve en su escrito de alegaciones cómo en este procedimiento la autoridad judicial no autoriza la inoculación de la vacuna de los menores, ni le proporciona la información médica adecuada, sino que resuelve atribuir a uno de los progenitores la facultad de decidir sobre la administración de la vacuna ponderando, en atención a las circunstancias del caso, lo que considere más beneficioso para el menor. Es en un momento posterior, si este progenitor acude al centro médico, cuando el personal sanitario le informará sobre la actuación médica consistente en la vacunación, y si el menor tiene capacidad para comprender el alcance de la intervención prestará el consentimiento, y de no tenerla lo prestará su progenitor. El juez no sustituye al progenitor en la decisión de vacunar, continúa razonando la fiscal en su escrito, y el consentimiento informado opera en un momento posterior a la intervención judicial, por lo que debe desestimarse también este motivo de la demanda.</w:t>
      </w:r>
    </w:p>
    <w:p w14:paraId="753F6AB8" w14:textId="77777777" w:rsidR="008D479B" w:rsidRDefault="008D479B" w:rsidP="008D479B">
      <w:pPr>
        <w:pStyle w:val="TextoNormal"/>
      </w:pPr>
    </w:p>
    <w:p w14:paraId="24FB2A2A" w14:textId="65FEC696" w:rsidR="008D479B" w:rsidRDefault="008D479B" w:rsidP="008D479B">
      <w:pPr>
        <w:pStyle w:val="TextoNormal"/>
      </w:pPr>
      <w:r>
        <w:t>Sentado esto último, no obstante, la fiscal señala que si este tribunal llegase a estimar que los actos impugnados comportan “la autorización, si bien indirecta, de una actuación médica sobre el cuerpo del menor”, entonces se habría vulnerado el derecho fundamental del art. 15 CE, “siguiendo la doctrina sentada en los fundamentos jurídicos 5, 6, y 7.a) de la reciente STC 38/2023, de 20 de abril”, en la que se interpreta el mandato de consentimiento informado de los arts. 8 y 9.3 c) de la Ley 41/2002 de autonomía del paciente, con remisión a lo dispuesto en el art. 9 de la Ley Orgánica 1/1996, de 15 de enero, de protección jurídica del menor. Y ello porque en este caso “los menores no han sido oídos ni se ha realizado ninguna diligencia tendente a determinar si tienen capacidad para comprender el alcance de la intervención, ni tampoco para averiguar su grado de madurez a los efectos de la relevancia que haya que dársele a su opinión”.</w:t>
      </w:r>
    </w:p>
    <w:p w14:paraId="1F92868A" w14:textId="77777777" w:rsidR="008D479B" w:rsidRDefault="008D479B" w:rsidP="008D479B">
      <w:pPr>
        <w:pStyle w:val="TextoNormal"/>
      </w:pPr>
    </w:p>
    <w:p w14:paraId="5FE23475" w14:textId="0EE1D64C" w:rsidR="008D479B" w:rsidRDefault="008D479B" w:rsidP="008D479B">
      <w:pPr>
        <w:pStyle w:val="TextoNormal"/>
      </w:pPr>
      <w:r w:rsidRPr="008D479B">
        <w:rPr>
          <w:rStyle w:val="NumeroAFNegritaCaracter"/>
        </w:rPr>
        <w:t>9</w:t>
      </w:r>
      <w:r>
        <w:t>. Por diligencia de la Secretaría de Justicia de 8 de septiembre de 2023 se hizo constar haberse recibido los escritos de alegaciones de la representante procesal de la recurrente y del Ministerio Fiscal, quedando pendiente la causa para su deliberación cuando por turno corresponda.</w:t>
      </w:r>
    </w:p>
    <w:p w14:paraId="1A27C310" w14:textId="77777777" w:rsidR="008D479B" w:rsidRDefault="008D479B" w:rsidP="008D479B">
      <w:pPr>
        <w:pStyle w:val="TextoNormal"/>
      </w:pPr>
    </w:p>
    <w:p w14:paraId="27FD7769" w14:textId="77777777" w:rsidR="008D479B" w:rsidRDefault="008D479B" w:rsidP="008D479B">
      <w:pPr>
        <w:pStyle w:val="TextoNormal"/>
      </w:pPr>
      <w:r w:rsidRPr="008D479B">
        <w:rPr>
          <w:rStyle w:val="NumeroAFNegritaCaracter"/>
        </w:rPr>
        <w:t>10</w:t>
      </w:r>
      <w:r>
        <w:t>. Con fecha 3 de octubre de 2023 la procuradora de la demandante de amparo presentó un escrito en la pieza separada de suspensión, solicitando la “aclaración y, en su caso, rectificación” del auto de la Sala Primera de este tribunal que resolvió desestimar su solicitud de suspensión cautelar de las resoluciones judiciales impugnadas. El escrito sostiene que existen errores materiales al recoger afirmaciones de la demanda, y discrepa de que no se hubieren aportado informes periciales que contraindicaran la vacunación de los menores; informes que a su criterio sí están aportados.</w:t>
      </w:r>
    </w:p>
    <w:p w14:paraId="000C4231" w14:textId="77777777" w:rsidR="008D479B" w:rsidRDefault="008D479B" w:rsidP="008D479B">
      <w:pPr>
        <w:pStyle w:val="TextoNormal"/>
      </w:pPr>
    </w:p>
    <w:p w14:paraId="1227EE24" w14:textId="3FA6031B" w:rsidR="008D479B" w:rsidRDefault="008D479B" w:rsidP="008D479B">
      <w:pPr>
        <w:pStyle w:val="TextoNormal"/>
      </w:pPr>
      <w:r>
        <w:t>La Secretaría de Justicia de la Sección Segunda de este tribunal dictó diligencia de ordenación el 4 de octubre de 2023, teniendo por recibido dicho escrito, del que se pasa a dar cuenta a la Sección; petición que no ha resuelto, sin perjuicio de lo que se dirá en la presente sentencia.</w:t>
      </w:r>
    </w:p>
    <w:p w14:paraId="3646DB77" w14:textId="77777777" w:rsidR="008D479B" w:rsidRDefault="008D479B" w:rsidP="008D479B">
      <w:pPr>
        <w:pStyle w:val="TextoNormal"/>
      </w:pPr>
    </w:p>
    <w:p w14:paraId="775E713D" w14:textId="77777777" w:rsidR="008D479B" w:rsidRDefault="008D479B" w:rsidP="008D479B">
      <w:pPr>
        <w:pStyle w:val="TextoNormal"/>
      </w:pPr>
      <w:r w:rsidRPr="008D479B">
        <w:rPr>
          <w:rStyle w:val="NumeroAFNegritaCaracter"/>
        </w:rPr>
        <w:t>11</w:t>
      </w:r>
      <w:r>
        <w:t>. Con fecha 3 de noviembre del año en curso, la representante procesal de la recurrente en amparo presentó escrito en la pieza principal pidiendo que se tuviera por presentada la documental que se acompaña, sobre una decisión de la Comisión Europea autorizando la comercialización de un medicamento y los posibles efectos adversos de este, “y se admita como nueva prueba”.</w:t>
      </w:r>
    </w:p>
    <w:p w14:paraId="7A400EEA" w14:textId="77777777" w:rsidR="008D479B" w:rsidRDefault="008D479B" w:rsidP="008D479B">
      <w:pPr>
        <w:pStyle w:val="TextoNormal"/>
      </w:pPr>
    </w:p>
    <w:p w14:paraId="52836C9C" w14:textId="566D1777" w:rsidR="008D479B" w:rsidRDefault="008D479B" w:rsidP="008D479B">
      <w:pPr>
        <w:pStyle w:val="TextoNormal"/>
      </w:pPr>
      <w:r>
        <w:t>La Secretaría de Justicia de la Sección Segunda de este tribunal dictó diligencia de ordenación el 6 de noviembre de 2023, teniendo por recibido dicho escrito, del que se pasa a dar cuenta a la Sección; petición que no ha resuelto, sin perjuicio de lo que se dirá en la presente sentencia.</w:t>
      </w:r>
    </w:p>
    <w:p w14:paraId="161E14AF" w14:textId="77777777" w:rsidR="008D479B" w:rsidRDefault="008D479B" w:rsidP="008D479B">
      <w:pPr>
        <w:pStyle w:val="TextoNormal"/>
      </w:pPr>
    </w:p>
    <w:p w14:paraId="3CDF7B9D" w14:textId="6495FBB7" w:rsidR="008D479B" w:rsidRDefault="008D479B" w:rsidP="008D479B">
      <w:pPr>
        <w:pStyle w:val="TextoNormal"/>
      </w:pPr>
      <w:r w:rsidRPr="008D479B">
        <w:rPr>
          <w:rStyle w:val="NumeroAFNegritaCaracter"/>
        </w:rPr>
        <w:t>12</w:t>
      </w:r>
      <w:r>
        <w:t>. Por providencia de 7 de diciembre de 2023, se señaló para deliberación y votación de la presente sentencia el día 11 del mismo mes y año.</w:t>
      </w:r>
    </w:p>
    <w:p w14:paraId="71821F28" w14:textId="77777777" w:rsidR="008D479B" w:rsidRDefault="008D479B" w:rsidP="008D479B">
      <w:pPr>
        <w:pStyle w:val="TextoNormal"/>
      </w:pPr>
    </w:p>
    <w:p w14:paraId="44391576" w14:textId="77777777" w:rsidR="008D479B" w:rsidRDefault="008D479B" w:rsidP="008D479B">
      <w:pPr>
        <w:pStyle w:val="TextoNormalNegritaCentrado"/>
        <w:keepNext/>
      </w:pPr>
      <w:r>
        <w:t>II. Fundamentos jurídicos</w:t>
      </w:r>
    </w:p>
    <w:p w14:paraId="14381664" w14:textId="46BFB96B" w:rsidR="008D479B" w:rsidRDefault="008D479B" w:rsidP="008D479B">
      <w:pPr>
        <w:pStyle w:val="TextoNormalNegritaCentrado"/>
        <w:keepNext/>
      </w:pPr>
    </w:p>
    <w:p w14:paraId="25CC9442" w14:textId="77777777" w:rsidR="008D479B" w:rsidRDefault="008D479B" w:rsidP="008D479B">
      <w:pPr>
        <w:pStyle w:val="TextoNormal"/>
      </w:pPr>
      <w:r w:rsidRPr="008D479B">
        <w:rPr>
          <w:rStyle w:val="NumeroAFNegritaCaracter"/>
        </w:rPr>
        <w:t>1</w:t>
      </w:r>
      <w:r>
        <w:t xml:space="preserve">. </w:t>
      </w:r>
      <w:r w:rsidRPr="008D479B">
        <w:rPr>
          <w:i/>
        </w:rPr>
        <w:t>Objeto del recurso</w:t>
      </w:r>
    </w:p>
    <w:p w14:paraId="72A3A026" w14:textId="77777777" w:rsidR="008D479B" w:rsidRDefault="008D479B" w:rsidP="008D479B">
      <w:pPr>
        <w:pStyle w:val="TextoNormal"/>
      </w:pPr>
    </w:p>
    <w:p w14:paraId="73E64436" w14:textId="77777777" w:rsidR="008D479B" w:rsidRDefault="008D479B" w:rsidP="008D479B">
      <w:pPr>
        <w:pStyle w:val="TextoNormal"/>
      </w:pPr>
      <w:r>
        <w:t>El presente recurso de amparo se dirige contra el auto de 23 de junio de 2022 del Juzgado de Primera Instancia núm. 17 de Sevilla en el procedimiento de jurisdicción voluntaria núm. 244-2022, que atribuyó a don M.F.D. la facultad de decidir sobre la administración de la vacuna contra la covid-19 a sus hijos menores de edad, don J.M.F.S., de 8 años y doña E.F.S., de 6 años, y contra el auto de 16 de enero de 2023 dictado por la Sección Segunda de la Audiencia Provincial de Sevilla en el rollo de apelación núm. 8036-2022, confirmatorio del anterior.</w:t>
      </w:r>
    </w:p>
    <w:p w14:paraId="4B1A58D5" w14:textId="77777777" w:rsidR="008D479B" w:rsidRDefault="008D479B" w:rsidP="008D479B">
      <w:pPr>
        <w:pStyle w:val="TextoNormal"/>
      </w:pPr>
    </w:p>
    <w:p w14:paraId="6661A736" w14:textId="63416463" w:rsidR="008D479B" w:rsidRDefault="008D479B" w:rsidP="008D479B">
      <w:pPr>
        <w:pStyle w:val="TextoNormal"/>
      </w:pPr>
      <w:r>
        <w:t>Dada la naturaleza de los hechos, debe señalarse que, en aplicación de las potestades atribuidas a este tribunal por el art. 86.3 LOTC y el acuerdo del Pleno de 23 de julio de 2015, por el que se regula la exclusión de los datos de identidad personal en la publicación de las resoluciones jurisdiccionales (“Boletín Oficial del Estado” núm. 178, de 27 de julio de 2015), la presente sentencia y demás actuaciones del proceso no incluyen la identificación completa de las personas menores de edad afectadas ni la de sus parientes inmediatos que aparecen mencionados en las actuaciones, con el fin de proteger la intimidad de aquella.</w:t>
      </w:r>
    </w:p>
    <w:p w14:paraId="651A1C92" w14:textId="77777777" w:rsidR="008D479B" w:rsidRDefault="008D479B" w:rsidP="008D479B">
      <w:pPr>
        <w:pStyle w:val="TextoNormal"/>
      </w:pPr>
    </w:p>
    <w:p w14:paraId="425E87A7" w14:textId="77777777" w:rsidR="008D479B" w:rsidRDefault="008D479B" w:rsidP="008D479B">
      <w:pPr>
        <w:pStyle w:val="TextoNormal"/>
      </w:pPr>
      <w:r w:rsidRPr="008D479B">
        <w:rPr>
          <w:rStyle w:val="NumeroAFNegritaCaracter"/>
        </w:rPr>
        <w:t>2</w:t>
      </w:r>
      <w:r>
        <w:t xml:space="preserve">. </w:t>
      </w:r>
      <w:r w:rsidRPr="008D479B">
        <w:rPr>
          <w:i/>
        </w:rPr>
        <w:t>Cuestiones previas y delimitación de los derechos fundamentales concernidos</w:t>
      </w:r>
    </w:p>
    <w:p w14:paraId="384A51C6" w14:textId="77777777" w:rsidR="008D479B" w:rsidRDefault="008D479B" w:rsidP="008D479B">
      <w:pPr>
        <w:pStyle w:val="TextoNormal"/>
      </w:pPr>
    </w:p>
    <w:p w14:paraId="4A2AAE19" w14:textId="77777777" w:rsidR="008D479B" w:rsidRDefault="008D479B" w:rsidP="008D479B">
      <w:pPr>
        <w:pStyle w:val="TextoNormal"/>
      </w:pPr>
      <w:r>
        <w:t>Con carácter previo al examen de las cuestiones de fondo planteadas en la demanda de amparo, deben hacerse las siguientes precisiones:</w:t>
      </w:r>
    </w:p>
    <w:p w14:paraId="77443F74" w14:textId="77777777" w:rsidR="008D479B" w:rsidRDefault="008D479B" w:rsidP="008D479B">
      <w:pPr>
        <w:pStyle w:val="TextoNormal"/>
      </w:pPr>
    </w:p>
    <w:p w14:paraId="3AA04514" w14:textId="77777777" w:rsidR="008D479B" w:rsidRDefault="008D479B" w:rsidP="008D479B">
      <w:pPr>
        <w:pStyle w:val="TextoNormal"/>
      </w:pPr>
      <w:r>
        <w:t>a) En el recurso de amparo se alega la vulneración del derecho a la tutela judicial efectiva (art. 24.1 CE) porque las resoluciones judiciales no se ajustan al derecho positivo al conculcar los principios sobre valoración de la prueba, motivación y derecho de defensa, y residenciar su decisión en la recomendación de las autoridades sanitarias sin valorar los informes científicos aportados por el recurrente.</w:t>
      </w:r>
    </w:p>
    <w:p w14:paraId="1EA2C503" w14:textId="77777777" w:rsidR="008D479B" w:rsidRDefault="008D479B" w:rsidP="008D479B">
      <w:pPr>
        <w:pStyle w:val="TextoNormal"/>
      </w:pPr>
    </w:p>
    <w:p w14:paraId="196717CA" w14:textId="77777777" w:rsidR="008D479B" w:rsidRDefault="008D479B" w:rsidP="008D479B">
      <w:pPr>
        <w:pStyle w:val="TextoNormal"/>
      </w:pPr>
      <w:r>
        <w:t>Se invoca también la vulneración del derecho a la integridad física y moral (art. 15 CE) por falta de consentimiento informado. Todas estas vulneraciones se imputan a la decisión judicial que atribuye la facultad de decidir al progenitor favorable a la vacunación.</w:t>
      </w:r>
    </w:p>
    <w:p w14:paraId="1565A3FB" w14:textId="77777777" w:rsidR="008D479B" w:rsidRDefault="008D479B" w:rsidP="008D479B">
      <w:pPr>
        <w:pStyle w:val="TextoNormal"/>
      </w:pPr>
    </w:p>
    <w:p w14:paraId="57023245" w14:textId="77777777" w:rsidR="008D479B" w:rsidRDefault="008D479B" w:rsidP="008D479B">
      <w:pPr>
        <w:pStyle w:val="TextoNormal"/>
      </w:pPr>
      <w:r>
        <w:t>En realidad, todas estas cuestiones están directamente vinculadas con la posible lesión del derecho fundamental a la integridad personal, reconocido en el art. 15 CE de modo que las distintas quejas planteadas bajo la cobertura del art. 24.1 CE, pueden recibir una respuesta conjunta en el fundamento jurídico siguiente, puesto que deben calificarse como instrumentales en el presente caso.</w:t>
      </w:r>
    </w:p>
    <w:p w14:paraId="20EC4D21" w14:textId="77777777" w:rsidR="008D479B" w:rsidRDefault="008D479B" w:rsidP="008D479B">
      <w:pPr>
        <w:pStyle w:val="TextoNormal"/>
      </w:pPr>
    </w:p>
    <w:p w14:paraId="008F3759" w14:textId="77777777" w:rsidR="008D479B" w:rsidRDefault="008D479B" w:rsidP="008D479B">
      <w:pPr>
        <w:pStyle w:val="TextoNormal"/>
      </w:pPr>
      <w:r>
        <w:t>Y con relación, en fin, a la alegada vulneración del derecho a la igualdad (art. 14 CE), si bien esta fue invocada en el recurso de apelación y por ende no es de inadmitir de plano —como sostiene la fiscal ante este tribunal—, de todos modos la demanda de amparo no llega a individualizar, en los términos exigidos por la doctrina de este tribunal, un término de comparación válido, como fundamento de la existencia de discriminación.</w:t>
      </w:r>
    </w:p>
    <w:p w14:paraId="06B962BB" w14:textId="77777777" w:rsidR="008D479B" w:rsidRDefault="008D479B" w:rsidP="008D479B">
      <w:pPr>
        <w:pStyle w:val="TextoNormal"/>
      </w:pPr>
    </w:p>
    <w:p w14:paraId="2C7141F2" w14:textId="0724AD67" w:rsidR="008D479B" w:rsidRDefault="008D479B" w:rsidP="008D479B">
      <w:pPr>
        <w:pStyle w:val="TextoNormal"/>
      </w:pPr>
      <w:r>
        <w:t xml:space="preserve">b) Como ya tuvimos ocasión de señalar recientemente en la STC 163/2023, de 20 de noviembre, FJ único, a); respecto de una alegación similar, no forma parte del objeto de este recurso, en cambio, la queja deducida </w:t>
      </w:r>
      <w:r w:rsidRPr="008D479B">
        <w:rPr>
          <w:i/>
        </w:rPr>
        <w:t>ex novo</w:t>
      </w:r>
      <w:r>
        <w:t xml:space="preserve"> por el fiscal ante este tribunal en su escrito de alegaciones, respecto de la eventual lesión del art. 15 CE por no haberse recabado el consentimiento informado de don D.R.O. en la vista celebrada en el procedimiento, a la que no fue convocado. Este motivo no ha sido deducido por la aquí demandante de amparo, y no puede convertirse en una pretensión autónoma del Ministerio Fiscal ya que este último no actúa como promotor del presente recurso [pese a tener legitimación para haberlo interpuesto, </w:t>
      </w:r>
      <w:r w:rsidRPr="008D479B">
        <w:rPr>
          <w:i/>
        </w:rPr>
        <w:t>ex</w:t>
      </w:r>
      <w:r>
        <w:t xml:space="preserve"> art. 46.1 b) LOTC], sino que expresa su criterio en cuanto a los términos de la demanda efectivamente deducida, conforme con lo previsto en el art. 52.1 LOTC.</w:t>
      </w:r>
    </w:p>
    <w:p w14:paraId="61660F7A" w14:textId="77777777" w:rsidR="008D479B" w:rsidRDefault="008D479B" w:rsidP="008D479B">
      <w:pPr>
        <w:pStyle w:val="TextoNormal"/>
      </w:pPr>
    </w:p>
    <w:p w14:paraId="19597A70" w14:textId="77777777" w:rsidR="008D479B" w:rsidRDefault="008D479B" w:rsidP="008D479B">
      <w:pPr>
        <w:pStyle w:val="TextoNormal"/>
      </w:pPr>
      <w:r w:rsidRPr="008D479B">
        <w:rPr>
          <w:rStyle w:val="NumeroAFNegritaCaracter"/>
        </w:rPr>
        <w:t>3</w:t>
      </w:r>
      <w:r>
        <w:t xml:space="preserve">. </w:t>
      </w:r>
      <w:r w:rsidRPr="008D479B">
        <w:rPr>
          <w:i/>
        </w:rPr>
        <w:t>Aplicación de la doctrina constitucional expuesta en la STC 148/2023, de 6 de noviembre</w:t>
      </w:r>
    </w:p>
    <w:p w14:paraId="5186D2CD" w14:textId="77777777" w:rsidR="008D479B" w:rsidRDefault="008D479B" w:rsidP="008D479B">
      <w:pPr>
        <w:pStyle w:val="TextoNormal"/>
      </w:pPr>
    </w:p>
    <w:p w14:paraId="20F1B9C7" w14:textId="77777777" w:rsidR="008D479B" w:rsidRDefault="008D479B" w:rsidP="008D479B">
      <w:pPr>
        <w:pStyle w:val="TextoNormal"/>
      </w:pPr>
      <w:r>
        <w:t>La cuestión constitucional suscitada en este recurso en relación con el derecho fundamental a la integridad física y moral (art. 15 CE) y si este ha sido vulnerado por autorizarse judicialmente a uno de los padres a que provea a la vacunación del hijo menor de edad contra el virus de la covid-19, en caso de discrepancia con el otro progenitor (o en su caso autorizar al Ministerio Fiscal si ambos padres se oponen a la vacuna), es la misma que ya ha sido objeto de análisis por el Pleno de este tribunal en la STC 148/2023, de 6 de noviembre, en cuyos fundamentos jurídicos 4 y 5 se expusieron de manera pormenorizada las pautas de ponderación necesarias para determinar si en este tipo de supuestos se ha vulnerado el derecho a la integridad personal, centrando la cuestión en que la administración de la vacuna, a falta de consentimiento libre, válido e informado de la persona afectada, precisa para su constitucionalidad el cumplimiento de los requisitos generales que, de acuerdo con nuestra doctrina, rigen la restricción de los derechos fundamentales sustantivos.</w:t>
      </w:r>
    </w:p>
    <w:p w14:paraId="24EA9B88" w14:textId="77777777" w:rsidR="008D479B" w:rsidRDefault="008D479B" w:rsidP="008D479B">
      <w:pPr>
        <w:pStyle w:val="TextoNormal"/>
      </w:pPr>
    </w:p>
    <w:p w14:paraId="1363BF4B" w14:textId="77777777" w:rsidR="008D479B" w:rsidRDefault="008D479B" w:rsidP="008D479B">
      <w:pPr>
        <w:pStyle w:val="TextoNormal"/>
      </w:pPr>
      <w:r>
        <w:t>En atención a lo expuesto, en este caso, como también se concluyó en la STC 148/2023, FJ 5, el Tribunal rechaza que se haya vulnerado el art. 15 CE al constatarse que (i) se cumple el presupuesto básico que el art. 9.3, letra c) de la Ley 41/2002 establece para que pueda acudirse al consentimiento por representación —otorgado por los progenitores de común acuerdo o por la autoridad judicial en caso de desacuerdo— porque los menores, dada su edad, carecían de la capacidad emocional e intelectual necesarias para comprender el alcance la intervención y los padres contaban con la información adecuada para la prestación del consentimiento desde un momento anterior incluso a la iniciación del procedimiento de jurisdicción voluntaria, por lo que no cabe apreciar la ausencia de consentimiento informado; y (ii) la motivación de las resoluciones judiciales tuvo como fundamento esencial la protección del interés superior de los menores en relación con la protección de su salud, teniendo en cuenta la recomendación de las autoridades sanitarias, que se mostraban a favor de la vacunación de menores haciendo una ponderación de riesgos y beneficios de la vacuna, que el órgano judicial no estima desvirtuada por los informes obrantes en los autos, en particular los aportados por la aquí demandante de amparo, sin que se haya acreditado que ninguno de esos informes haya acreditado, ya en la pieza principal de este proceso —incluyendo la aportada fuera de plazo— como en la pieza separada de suspensión [donde hizo constar tal vacío probatorio el ya citado ATC 436/2023, en su fundamento jurídico 4 a)], contraindicación alguna para la vacunación de los menores don J.M.F.S., y doña E.F.S.</w:t>
      </w:r>
    </w:p>
    <w:p w14:paraId="5DB7DE6C" w14:textId="77777777" w:rsidR="008D479B" w:rsidRDefault="008D479B" w:rsidP="008D479B">
      <w:pPr>
        <w:pStyle w:val="TextoNormal"/>
      </w:pPr>
    </w:p>
    <w:p w14:paraId="1B0450A4" w14:textId="3C90E26B" w:rsidR="008D479B" w:rsidRDefault="008D479B" w:rsidP="008D479B">
      <w:pPr>
        <w:pStyle w:val="TextoNormal"/>
      </w:pPr>
      <w:r>
        <w:t>Finalmente, respecto del escrito instando la aclaración y rectificación del ATC 436/2023, escrito que resulta materialmente de mera discrepancia con los términos empleados en nuestro auto para desestimar su solicitud de suspensión cautelar de las resoluciones impugnadas, no ha lugar a dar respuesta a lo pretendido toda vez que ha quedado ya resuelto el fondo principal del recurso en la presente sentencia.</w:t>
      </w:r>
    </w:p>
    <w:p w14:paraId="5D86498D" w14:textId="77777777" w:rsidR="008D479B" w:rsidRDefault="008D479B" w:rsidP="008D479B">
      <w:pPr>
        <w:pStyle w:val="TextoNormal"/>
      </w:pPr>
    </w:p>
    <w:p w14:paraId="726D40D0" w14:textId="77777777" w:rsidR="008D479B" w:rsidRDefault="008D479B" w:rsidP="008D479B">
      <w:pPr>
        <w:pStyle w:val="TextoNormalCentrado"/>
        <w:keepNext/>
      </w:pPr>
      <w:r>
        <w:t>FALLO</w:t>
      </w:r>
    </w:p>
    <w:p w14:paraId="0D08DFF3" w14:textId="2884318A" w:rsidR="008D479B" w:rsidRDefault="008D479B" w:rsidP="008D479B">
      <w:pPr>
        <w:pStyle w:val="TextoNormalCentrado"/>
        <w:keepNext/>
      </w:pPr>
    </w:p>
    <w:p w14:paraId="73AAF89C" w14:textId="01107DE6" w:rsidR="008D479B" w:rsidRDefault="008D479B" w:rsidP="008D479B">
      <w:pPr>
        <w:pStyle w:val="TextoNormal"/>
      </w:pPr>
      <w:r>
        <w:t>En atención a todo lo expuesto, el Tribunal Constitucional, por la autoridad que le confiere la Constitución de la Nación española, ha decidido desestimar el recurso de amparo interpuesto por doña R.M.S.P.</w:t>
      </w:r>
    </w:p>
    <w:p w14:paraId="40944B2B" w14:textId="77777777" w:rsidR="008D479B" w:rsidRDefault="008D479B" w:rsidP="008D479B">
      <w:pPr>
        <w:pStyle w:val="TextoNormal"/>
      </w:pPr>
    </w:p>
    <w:p w14:paraId="3827E595" w14:textId="77777777" w:rsidR="008D479B" w:rsidRDefault="008D479B" w:rsidP="008D479B">
      <w:pPr>
        <w:pStyle w:val="TextoNormal"/>
      </w:pPr>
      <w:r>
        <w:t>Publíquese esta sentencia en el “Boletín Oficial del Estado”.</w:t>
      </w:r>
    </w:p>
    <w:p w14:paraId="177DF116" w14:textId="77777777" w:rsidR="008D479B" w:rsidRDefault="008D479B" w:rsidP="008D479B">
      <w:pPr>
        <w:pStyle w:val="TextoNormal"/>
      </w:pPr>
      <w:r>
        <w:t>Dada en Madrid, a once de diciembre de dos mil veintitrés.</w:t>
      </w:r>
    </w:p>
    <w:p w14:paraId="0C5B207A" w14:textId="1EF98FA9" w:rsidR="008D479B" w:rsidRDefault="008D479B">
      <w:pPr>
        <w:spacing w:after="160" w:line="278" w:lineRule="auto"/>
        <w:rPr>
          <w:rFonts w:ascii="Times New Roman" w:eastAsia="Times New Roman" w:hAnsi="Times New Roman" w:cs="Times New Roman"/>
          <w:sz w:val="24"/>
          <w:szCs w:val="24"/>
          <w:lang w:eastAsia="es-ES"/>
        </w:rPr>
      </w:pPr>
      <w:r>
        <w:br w:type="page"/>
      </w:r>
    </w:p>
    <w:p w14:paraId="559DE5BC" w14:textId="77777777" w:rsidR="008D479B" w:rsidRDefault="008D479B" w:rsidP="008D479B">
      <w:pPr>
        <w:pStyle w:val="TtuloResolucin"/>
      </w:pPr>
      <w:bookmarkStart w:id="113" w:name="SENTENCIA_2023_188"/>
      <w:r>
        <w:t>SENTENCIA 188/2023, de 12 de diciembre de 2023</w:t>
      </w:r>
    </w:p>
    <w:bookmarkEnd w:id="113"/>
    <w:p w14:paraId="7D927B98" w14:textId="77777777" w:rsidR="008D479B" w:rsidRDefault="008D479B" w:rsidP="008D479B">
      <w:pPr>
        <w:pStyle w:val="TtuloResolucin"/>
      </w:pPr>
      <w:r>
        <w:t>Pleno</w:t>
      </w:r>
    </w:p>
    <w:p w14:paraId="2C4D1033" w14:textId="77777777" w:rsidR="008D479B" w:rsidRDefault="008D479B" w:rsidP="008D479B">
      <w:pPr>
        <w:pStyle w:val="TtuloBOE"/>
      </w:pPr>
      <w:r>
        <w:t>(BOE núm. 16, de 18 de enero de 2024)</w:t>
      </w:r>
    </w:p>
    <w:p w14:paraId="1834AB54" w14:textId="77777777" w:rsidR="008D479B" w:rsidRDefault="008D479B" w:rsidP="008D479B">
      <w:pPr>
        <w:pStyle w:val="TextoNormalCentrado"/>
      </w:pPr>
      <w:r>
        <w:t>ECLI:ES:TC:2023:188</w:t>
      </w:r>
    </w:p>
    <w:p w14:paraId="191F42FF" w14:textId="5F59EF0D" w:rsidR="008D479B" w:rsidRDefault="008D479B" w:rsidP="008D479B">
      <w:pPr>
        <w:pStyle w:val="TextoNormalCentrado"/>
      </w:pPr>
    </w:p>
    <w:p w14:paraId="741BC125" w14:textId="77777777" w:rsidR="008D479B" w:rsidRDefault="008D479B" w:rsidP="008D479B">
      <w:pPr>
        <w:pStyle w:val="SntesisDescriptiva"/>
      </w:pPr>
      <w:r>
        <w:t>Recurso de amparo 1294-2021. Promovido por la Unión Sindical de Madrid Región de Comisiones Obreras en relación con la sentencia dictada por la Sala de lo Contencioso-Administrativo del Tribunal Superior de Justicia de Madrid que desestimó su demanda frente a la resolución del delegado del Gobierno en Madrid prohibiendo la concentración convocada para el día 8 de marzo de 2021.</w:t>
      </w:r>
    </w:p>
    <w:p w14:paraId="5A219831" w14:textId="6C25758E" w:rsidR="008D479B" w:rsidRDefault="008D479B" w:rsidP="008D479B">
      <w:pPr>
        <w:pStyle w:val="SntesisDescriptiva"/>
      </w:pPr>
    </w:p>
    <w:p w14:paraId="0D6A18E2" w14:textId="77777777" w:rsidR="008D479B" w:rsidRDefault="008D479B" w:rsidP="008D479B">
      <w:pPr>
        <w:pStyle w:val="SntesisAnaltica"/>
      </w:pPr>
      <w:r>
        <w:t>Vulneración del derecho de reunión y manifestación: STC 164/2023 (prohibición injustificada y desproporcionada de la convocatoria de concentración al aire libre, con número limitado de asistentes y garantizando el uso de mascarillas y el mantenimiento de una distancia interpersonal de seguridad). Votos particulares.</w:t>
      </w:r>
    </w:p>
    <w:p w14:paraId="54896C11" w14:textId="23624E7F" w:rsidR="008D479B" w:rsidRDefault="008D479B" w:rsidP="008D479B">
      <w:pPr>
        <w:pStyle w:val="SntesisAnaltica"/>
      </w:pPr>
    </w:p>
    <w:p w14:paraId="7E1475AA" w14:textId="71F2E946" w:rsidR="008D479B" w:rsidRDefault="008D479B" w:rsidP="008D479B">
      <w:pPr>
        <w:pStyle w:val="Extracto"/>
      </w:pPr>
      <w:r>
        <w:t>1.</w:t>
      </w:r>
      <w:r>
        <w:tab/>
        <w:t>Se aplica la doctrina relativa al derecho de reunión y manifestación en relación con la proporcionalidad debida de las medidas limitativas de su ejercicio (STC 164/2023) [FJ Único].</w:t>
      </w:r>
    </w:p>
    <w:p w14:paraId="138677C6" w14:textId="77777777" w:rsidR="008D479B" w:rsidRDefault="008D479B" w:rsidP="008D479B">
      <w:pPr>
        <w:pStyle w:val="Extracto"/>
      </w:pPr>
    </w:p>
    <w:p w14:paraId="29B85A8C" w14:textId="77777777" w:rsidR="008D479B" w:rsidRDefault="008D479B" w:rsidP="008D479B">
      <w:pPr>
        <w:pStyle w:val="Extracto"/>
      </w:pPr>
    </w:p>
    <w:p w14:paraId="32A8C10F" w14:textId="77777777" w:rsidR="008D479B" w:rsidRDefault="008D479B" w:rsidP="008D479B">
      <w:pPr>
        <w:pStyle w:val="TextoNormal"/>
      </w:pPr>
      <w: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 ha pronunciado</w:t>
      </w:r>
    </w:p>
    <w:p w14:paraId="7A296017" w14:textId="75A0BE12" w:rsidR="008D479B" w:rsidRDefault="008D479B" w:rsidP="008D479B">
      <w:pPr>
        <w:pStyle w:val="TextoNormal"/>
      </w:pPr>
    </w:p>
    <w:p w14:paraId="05E949C3" w14:textId="77777777" w:rsidR="008D479B" w:rsidRDefault="008D479B" w:rsidP="008D479B">
      <w:pPr>
        <w:pStyle w:val="TextoNormalCentrado"/>
        <w:keepNext/>
      </w:pPr>
      <w:r>
        <w:t>EN NOMBRE DEL REY</w:t>
      </w:r>
    </w:p>
    <w:p w14:paraId="0B7D962F" w14:textId="6BF73641" w:rsidR="008D479B" w:rsidRDefault="008D479B" w:rsidP="008D479B">
      <w:pPr>
        <w:pStyle w:val="TextoNormalCentrado"/>
        <w:keepNext/>
      </w:pPr>
    </w:p>
    <w:p w14:paraId="08820111" w14:textId="77777777" w:rsidR="008D479B" w:rsidRDefault="008D479B" w:rsidP="008D479B">
      <w:pPr>
        <w:pStyle w:val="TextoNormalCentrado"/>
        <w:keepNext/>
      </w:pPr>
    </w:p>
    <w:p w14:paraId="6C99DF6F" w14:textId="77777777" w:rsidR="008D479B" w:rsidRDefault="008D479B" w:rsidP="008D479B">
      <w:pPr>
        <w:pStyle w:val="TextoNormal"/>
      </w:pPr>
      <w:r>
        <w:t>la siguiente</w:t>
      </w:r>
    </w:p>
    <w:p w14:paraId="4C0F703E" w14:textId="0751EA65" w:rsidR="008D479B" w:rsidRDefault="008D479B" w:rsidP="008D479B">
      <w:pPr>
        <w:pStyle w:val="TextoNormal"/>
      </w:pPr>
    </w:p>
    <w:p w14:paraId="0250BACD" w14:textId="77777777" w:rsidR="008D479B" w:rsidRDefault="008D479B" w:rsidP="008D479B">
      <w:pPr>
        <w:pStyle w:val="TextoNormalCentrado"/>
        <w:keepNext/>
      </w:pPr>
      <w:r>
        <w:t>SENTENCIA</w:t>
      </w:r>
    </w:p>
    <w:p w14:paraId="43FF1B7D" w14:textId="2CCE52F1" w:rsidR="008D479B" w:rsidRDefault="008D479B" w:rsidP="008D479B">
      <w:pPr>
        <w:pStyle w:val="TextoNormalCentrado"/>
        <w:keepNext/>
      </w:pPr>
    </w:p>
    <w:p w14:paraId="3946133E" w14:textId="77777777" w:rsidR="008D479B" w:rsidRDefault="008D479B" w:rsidP="008D479B">
      <w:pPr>
        <w:pStyle w:val="TextoNormal"/>
      </w:pPr>
      <w:r>
        <w:t>En el recurso de amparo núm. 1294-2021, promovido por la Unión Sindical de Madrid Región de Comisiones Obreras, contra la sentencia de la Sección Décima de la Sala de lo Contencioso-Administrativo del Tribunal Superior de Justicia de Madrid, de 7 de marzo de 2021, pronunciada en el procedimiento sobre derecho de reunión núm. 275-2021, que desestimó el recurso interpuesto por el precitado sindicato contra la resolución del delegado del Gobierno en la Comunidad de Madrid de 3 de marzo de 2021, pronunciada en el expediente núm. 325-2021, que, por razones de salud pública, acordó la prohibición de la concentración convocada por el sindicato ahora recurrente, junto con otro sindicato, para el día 8 de marzo de 2021, de 11:00 a 14:30 horas en la plaza de Cibeles de Madrid. Ha intervenido el Ministerio Fiscal. Ha sido ponente la magistrada doña María Luisa Segoviano Astaburuaga.</w:t>
      </w:r>
    </w:p>
    <w:p w14:paraId="7CB9DD29" w14:textId="45571825" w:rsidR="008D479B" w:rsidRDefault="008D479B" w:rsidP="008D479B">
      <w:pPr>
        <w:pStyle w:val="TextoNormal"/>
      </w:pPr>
    </w:p>
    <w:p w14:paraId="6501CF94" w14:textId="77777777" w:rsidR="008D479B" w:rsidRDefault="008D479B" w:rsidP="008D479B">
      <w:pPr>
        <w:pStyle w:val="TextoNormalNegritaCentrado"/>
        <w:keepNext/>
      </w:pPr>
      <w:r>
        <w:t>I. Antecedentes</w:t>
      </w:r>
    </w:p>
    <w:p w14:paraId="2D297309" w14:textId="2A2EEB33" w:rsidR="008D479B" w:rsidRDefault="008D479B" w:rsidP="008D479B">
      <w:pPr>
        <w:pStyle w:val="TextoNormalNegritaCentrado"/>
        <w:keepNext/>
      </w:pPr>
    </w:p>
    <w:p w14:paraId="3E100E8C" w14:textId="7FC9EA00" w:rsidR="008D479B" w:rsidRDefault="008D479B" w:rsidP="008D479B">
      <w:pPr>
        <w:pStyle w:val="TextoNormal"/>
      </w:pPr>
      <w:r w:rsidRPr="008D479B">
        <w:rPr>
          <w:rStyle w:val="NumeroAFNegritaCaracter"/>
        </w:rPr>
        <w:t>1</w:t>
      </w:r>
      <w:r>
        <w:t>. La Unión Sindical de Madrid Región de Comisiones Obreras, representada por la procuradora de los tribunales doña Dolores Maroto Gómez, bajo la dirección del letrado don Carlos Fuentes Varea, interpuso recurso de amparo contra las resoluciones mencionadas en el encabezamiento de esta sentencia mediante escrito registrado en este tribunal el 8 de marzo de 2021.</w:t>
      </w:r>
    </w:p>
    <w:p w14:paraId="5BE721BD" w14:textId="77777777" w:rsidR="008D479B" w:rsidRDefault="008D479B" w:rsidP="008D479B">
      <w:pPr>
        <w:pStyle w:val="TextoNormal"/>
      </w:pPr>
    </w:p>
    <w:p w14:paraId="23DAAE17" w14:textId="77777777" w:rsidR="008D479B" w:rsidRDefault="008D479B" w:rsidP="008D479B">
      <w:pPr>
        <w:pStyle w:val="TextoNormal"/>
      </w:pPr>
      <w:r w:rsidRPr="008D479B">
        <w:rPr>
          <w:rStyle w:val="NumeroAFNegritaCaracter"/>
        </w:rPr>
        <w:t>2</w:t>
      </w:r>
      <w:r>
        <w:t>. El recurso tiene su origen en los siguientes antecedentes:</w:t>
      </w:r>
    </w:p>
    <w:p w14:paraId="45FAAF23" w14:textId="77777777" w:rsidR="008D479B" w:rsidRDefault="008D479B" w:rsidP="008D479B">
      <w:pPr>
        <w:pStyle w:val="TextoNormal"/>
      </w:pPr>
    </w:p>
    <w:p w14:paraId="5ABD7E21" w14:textId="77777777" w:rsidR="008D479B" w:rsidRDefault="008D479B" w:rsidP="008D479B">
      <w:pPr>
        <w:pStyle w:val="TextoNormal"/>
      </w:pPr>
      <w:r>
        <w:t>a) La secretaria de organización de la Unión Sindical de Madrid de Comisiones Obreras, junto con otro sindicato, por escrito de 22 de febrero de 2021, comunicó a la Delegación del Gobierno de Madrid la convocatoria de una concentración en la Plaza de Cibeles de Madrid el 8 de marzo de 2021 entre las 11:00 y las 14:30 horas con motivo de la celebración del día de la mujer. El lema de la citada concentración era “En la igualdad, Ni un paso atrás” y la organización preveía la asistencia de 250 personas, así como la instalación de una estructura con megafonía para la intervención de oradores, un servicio de orden como medida de seguridad prevista por los organizadores y dos vehículos de apoyo.</w:t>
      </w:r>
    </w:p>
    <w:p w14:paraId="3C9E97A9" w14:textId="77777777" w:rsidR="008D479B" w:rsidRDefault="008D479B" w:rsidP="008D479B">
      <w:pPr>
        <w:pStyle w:val="TextoNormal"/>
      </w:pPr>
    </w:p>
    <w:p w14:paraId="5DC1E617" w14:textId="77777777" w:rsidR="008D479B" w:rsidRDefault="008D479B" w:rsidP="008D479B">
      <w:pPr>
        <w:pStyle w:val="TextoNormal"/>
      </w:pPr>
      <w:r>
        <w:t>b) El delegado del Gobierno en Madrid por acuerdo de 3 de marzo de 2021 decidió prohibir la celebración de dicha concentración por razones de salud pública.</w:t>
      </w:r>
    </w:p>
    <w:p w14:paraId="3D475450" w14:textId="77777777" w:rsidR="008D479B" w:rsidRDefault="008D479B" w:rsidP="008D479B">
      <w:pPr>
        <w:pStyle w:val="TextoNormal"/>
      </w:pPr>
    </w:p>
    <w:p w14:paraId="2985B005" w14:textId="77777777" w:rsidR="008D479B" w:rsidRDefault="008D479B" w:rsidP="008D479B">
      <w:pPr>
        <w:pStyle w:val="TextoNormal"/>
      </w:pPr>
      <w:r>
        <w:t>En su resolución, el delegado del Gobierno en la Comunidad de Madrid realiza unas consideraciones generales sobre su competencia para adoptar las medidas necesarias relativas a la celebración de reuniones y manifestaciones con objeto de impedir que se perturbe la seguridad ciudadana (art. 23.1 de la Ley Orgánica 4/2015, 30 de marzo, de protección de la seguridad ciudadana); asimismo, en su resolución recogía unas consideraciones generales sobre el derecho fundamental de reunión y sostiene que este derecho no tiene carácter absoluto, sino que está sujeto a límites establecidos por la Constitución y la ley cuando concurren otros derechos y bienes constitucionalmente protegidos.</w:t>
      </w:r>
    </w:p>
    <w:p w14:paraId="0C5B55C1" w14:textId="77777777" w:rsidR="008D479B" w:rsidRDefault="008D479B" w:rsidP="008D479B">
      <w:pPr>
        <w:pStyle w:val="TextoNormal"/>
      </w:pPr>
    </w:p>
    <w:p w14:paraId="2871A0BF" w14:textId="77777777" w:rsidR="008D479B" w:rsidRDefault="008D479B" w:rsidP="008D479B">
      <w:pPr>
        <w:pStyle w:val="TextoNormal"/>
      </w:pPr>
      <w:r>
        <w:t>A partir del fundamento de derecho cuarto de su resolución, señala que en las fechas en las que se había convocado la concentración y el día en que iba a tener lugar España afrontaba “una crisis sanitaria sin precedentes y de una extraordinaria amplitud y gravedad ocasionada por la expansión del denominado covid-19, tanto por el extraordinario riesgo de contagio y el alto número de ciudadanos afectados, con la consiguiente presión sobre los servicios sanitarios, como por el elevado coste social y económico derivados de las medidas extraordinarias de contención y distanciamiento adoptadas por los distintos Estados”.</w:t>
      </w:r>
    </w:p>
    <w:p w14:paraId="2159E6F3" w14:textId="77777777" w:rsidR="008D479B" w:rsidRDefault="008D479B" w:rsidP="008D479B">
      <w:pPr>
        <w:pStyle w:val="TextoNormal"/>
      </w:pPr>
    </w:p>
    <w:p w14:paraId="0D330E1A" w14:textId="77777777" w:rsidR="008D479B" w:rsidRDefault="008D479B" w:rsidP="008D479B">
      <w:pPr>
        <w:pStyle w:val="TextoNormal"/>
      </w:pPr>
      <w:r>
        <w:t>Seguidamente, la resolución del delegado del Gobierno hacía referencia a lo establecido en el art. 7.3 del Real Decreto 926/2020, de 25 de octubre, por el que se declaró el segundo estado de alarma, que estaba en vigor y aplicándose en las fechas de autos, que preveía que las manifestaciones podrían limitarse, condicionarse o prohibirse cuando en la previa comunicación presentada por los promotores no quedara garantizada la distancia personal necesaria para impedir contagios. También alude a las sentencias de la Sala de lo Contencioso-Administrativo del Tribunal Superior de Justicia de Madrid ambas de 30 de abril de 2020 que hacían mención a la posibilidad de establecer limitaciones de la permanencia de grupos de personas en espacios públicos y privados; asimismo, citaba las sentencias dictadas por esta misma Sala de 4 y 11 de febrero de 2021 que aludían a la limitación a que puede verse sometido el ejercicio del derecho fundamental del art. 21 CE cuando entra en conflicto con bienes y valores constitucionales, como la salud pública, la integridad física y la vida de las personas, que deben prevalecer frente a aquel.</w:t>
      </w:r>
    </w:p>
    <w:p w14:paraId="690AD032" w14:textId="77777777" w:rsidR="008D479B" w:rsidRDefault="008D479B" w:rsidP="008D479B">
      <w:pPr>
        <w:pStyle w:val="TextoNormal"/>
      </w:pPr>
    </w:p>
    <w:p w14:paraId="1DB62735" w14:textId="77777777" w:rsidR="008D479B" w:rsidRDefault="008D479B" w:rsidP="008D479B">
      <w:pPr>
        <w:pStyle w:val="TextoNormal"/>
      </w:pPr>
      <w:r>
        <w:t>A continuación, el acuerdo del delegado del Gobierno en la Comunidad de Madrid se refiere a las circunstancias concretas que debían ser ponderadas en el presente caso:</w:t>
      </w:r>
    </w:p>
    <w:p w14:paraId="6BE6B28C" w14:textId="77777777" w:rsidR="008D479B" w:rsidRDefault="008D479B" w:rsidP="008D479B">
      <w:pPr>
        <w:pStyle w:val="TextoNormal"/>
      </w:pPr>
    </w:p>
    <w:p w14:paraId="117A5EE7" w14:textId="77777777" w:rsidR="008D479B" w:rsidRDefault="008D479B" w:rsidP="008D479B">
      <w:pPr>
        <w:pStyle w:val="TextoNormal"/>
      </w:pPr>
      <w:r>
        <w:t>(i) Primero, pone de manifiesto que el aspecto más evidente en aquellas fechas era que “tras las consecuencias provocadas por las reuniones familiares de las navidades, estamos afrontando el resultado de la ‘tercera ola’, si cabe con mayor virulencia que las anteriores”. Al respecto subraya los siguientes extremos: (a) que la Consejería de Sanidad de la Comunidad de Madrid había tenido que dictar “[ó]rdenes con medidas específicas, temporales y excepcionales, para la contención de la expansión del covid-19” a la vista de la evolución de la pandemia, en las que se daba cuenta de la necesidad de mantener distintas medidas limitativas con objeto de minimizar los riesgos de exposición al virus; (b) que la situación de la Comunidad de Madrid estaba catalogada en aquellos días de “riesgo extremo” siendo una de las tres comunidades autónomas “con mayor incidencia acumulada”, así como “la de mayor presión hospitalaria de toda España (43 por 100 en UCI)”; (c) que la aparición de nuevas cepas como la inglesa, sudafricana, brasileña, mexicana, nigeriana, de Nueva York o Robin, puestas de manifiesto por expertos y autoridades sanitarias, estaba “provocando que los contagios se propag[aran] con mayor rapidez y facilidad”, agregando que el Gobierno de España mantenía restricciones y medidas concretas “hasta finales de marzo para viajeros procedentes de distintos países del mundo, con la intención de frenar la propagación de las citadas variantes del virus”; d) que, pese al descenso paulatino de la incidencia, “la totalidad de autoridades sanitarias y expertos insisten en que no es posible bajar la guardia”, siendo muy elevado el riesgo de contagios y más teniendo en cuenta la evolución rápida de las nuevas cepas. A tal efecto, la resolución del delegado del Gobierno destaca que se venían cancelando en aquellas fechas todos los eventos multitudinarios previstos debido al alto riesgo de contagios, como las Fallas valencianas, la Semana Santa o la imposibilidad de asistir a eventos deportivos; y (e) que, en las grandes áreas metropolitanas, con un alto índice de población, “la movilidad de las personas es muy alta diariamente y el uso del transporte público puede elevar el riesgo de contagios”.</w:t>
      </w:r>
    </w:p>
    <w:p w14:paraId="34A0E5CB" w14:textId="77777777" w:rsidR="008D479B" w:rsidRDefault="008D479B" w:rsidP="008D479B">
      <w:pPr>
        <w:pStyle w:val="TextoNormal"/>
      </w:pPr>
    </w:p>
    <w:p w14:paraId="2C3D2001" w14:textId="77777777" w:rsidR="008D479B" w:rsidRDefault="008D479B" w:rsidP="008D479B">
      <w:pPr>
        <w:pStyle w:val="TextoNormal"/>
      </w:pPr>
      <w:r>
        <w:t>(ii) En relación con la específica celebración del día 8 de marzo, en cuanto día internacional de la mujer, señala la resolución que “cada año se realizan distintos actos reivindicativos que aglutinan gran número de personas en las calles” y que, “[e]n los últimos años, las cifras de manifestantes solamente en Madrid han sido muy elevadas”, lo que ha motivado que las máximas autoridades sanitarias hubieran realizado “notorias declaraciones públicas desaconsejando el modo de concentración de años anteriores”. Al respecto cita las declaraciones de la ministra de Sanidad del día 25 de febrero anterior, en las que afirmó que “no ha lugar” a la celebración de manifestaciones y concentraciones el día 8 de marzo “por el elevado riesgo de contagios que hay hoy en día”; igualmente, el consejero de Sanidad de la Comunidad de Madrid afirmó que “el criterio de salud pública va en contra de la celebración de estas manifestaciones”; y el portavoz del Consejo de Ministros del Gobierno de España, que, en sesión del día 2 de marzo, hizo un llamamiento a que el día 8 de marzo no hubiera concentraciones masivas ni manifestaciones.</w:t>
      </w:r>
    </w:p>
    <w:p w14:paraId="1497B42D" w14:textId="77777777" w:rsidR="008D479B" w:rsidRDefault="008D479B" w:rsidP="008D479B">
      <w:pPr>
        <w:pStyle w:val="TextoNormal"/>
      </w:pPr>
    </w:p>
    <w:p w14:paraId="4C171360" w14:textId="77777777" w:rsidR="008D479B" w:rsidRDefault="008D479B" w:rsidP="008D479B">
      <w:pPr>
        <w:pStyle w:val="TextoNormal"/>
      </w:pPr>
      <w:r>
        <w:t>(iii) A continuación, la resolución del delegado del Gobierno alude a que en “tan solo tres días (sábado 6, domingo 7 y lunes 8 de marzo), en la Comunidad de Madrid han sido convocadas un total de 104 manifestaciones/concentraciones con distintos objetos (la mayoría relacionadas con el día internacional de la mujer), distintas ubicaciones y número de participantes (desde veinticinco personas en las más pequeñas hasta 10 000 en la más grande)” y, según refiere la resolución, se trataba de un número muy superior al de la media semanal en la Comunidad de Madrid, cifrado en setenta.</w:t>
      </w:r>
    </w:p>
    <w:p w14:paraId="742DE8BC" w14:textId="77777777" w:rsidR="008D479B" w:rsidRDefault="008D479B" w:rsidP="008D479B">
      <w:pPr>
        <w:pStyle w:val="TextoNormal"/>
      </w:pPr>
    </w:p>
    <w:p w14:paraId="52DBEA55" w14:textId="77777777" w:rsidR="008D479B" w:rsidRDefault="008D479B" w:rsidP="008D479B">
      <w:pPr>
        <w:pStyle w:val="TextoNormal"/>
      </w:pPr>
      <w:r>
        <w:t>De tales datos deduce la resolución “la intención de los manifestantes de salir a las calles de forma masiva”, lo que a su juicio implicaba: (a) el “desconocimiento real del número total de personas que podrían ir en caso de llevarse a cabo”; (b) la “gran movilidad de personas en los trayectos desde los domicilios a las manifestaciones y concentraciones y viceversa”; y (c) el “riesgo alto de contagios, no solamente en los desplazamientos, sino en los lugares de celebración de las concentraciones”.</w:t>
      </w:r>
    </w:p>
    <w:p w14:paraId="3F754468" w14:textId="77777777" w:rsidR="008D479B" w:rsidRDefault="008D479B" w:rsidP="008D479B">
      <w:pPr>
        <w:pStyle w:val="TextoNormal"/>
      </w:pPr>
    </w:p>
    <w:p w14:paraId="5EAEA8CA" w14:textId="77777777" w:rsidR="008D479B" w:rsidRDefault="008D479B" w:rsidP="008D479B">
      <w:pPr>
        <w:pStyle w:val="TextoNormal"/>
      </w:pPr>
      <w:r>
        <w:t>(iv) La resolución del delegado del Gobierno refiere también que “la información recabada de la Policía Nacional al respecto manifiesta que no puede garantizarse que no exista riesgo del agrupamiento de varias concentraciones o manifestaciones relativamente próximas independientemente del lugar o formato de la convocatoria”. Asimismo, indica que representantes de la Delegación del Gobierno en Madrid “mantuvieron una reunión el pasado 24 de febrero de 2021, con la Plataforma 8-M, con la intención de buscar formatos alternativos a las manifestaciones convocadas”, que permitieran “el ejercicio reivindicativo sin poner en riesgo la salud pública (convocatorias virtuales, manifestarse desde los balcones o manifestaciones en vehículos)”.</w:t>
      </w:r>
    </w:p>
    <w:p w14:paraId="06744E7B" w14:textId="77777777" w:rsidR="008D479B" w:rsidRDefault="008D479B" w:rsidP="008D479B">
      <w:pPr>
        <w:pStyle w:val="TextoNormal"/>
      </w:pPr>
    </w:p>
    <w:p w14:paraId="46DDC003" w14:textId="77777777" w:rsidR="008D479B" w:rsidRDefault="008D479B" w:rsidP="008D479B">
      <w:pPr>
        <w:pStyle w:val="TextoNormal"/>
      </w:pPr>
      <w:r>
        <w:t>(v) Se agrega a lo anterior que, “[t]ras haberse prohibido por motivos sanitarios las dos grandes manifestaciones la semana pasada, se están convocando este tipo de concentraciones más pequeñas que permite ver una misma causa fragmentada; es decir, muchas concentraciones, pero con menos personas”. A esta conclusión llega argumentando que “[l]a intención no es la de buscar alternativas que permitan reivindicar la causa”, sino “salir a la calle de forma masiva”, como lo demuestra el número de manifestaciones/concentraciones convocadas (104) en aquel fin de semana del 6 al 8 de marzo de 2021.</w:t>
      </w:r>
    </w:p>
    <w:p w14:paraId="05F1B810" w14:textId="77777777" w:rsidR="008D479B" w:rsidRDefault="008D479B" w:rsidP="008D479B">
      <w:pPr>
        <w:pStyle w:val="TextoNormal"/>
      </w:pPr>
    </w:p>
    <w:p w14:paraId="3578BBFA" w14:textId="77777777" w:rsidR="008D479B" w:rsidRDefault="008D479B" w:rsidP="008D479B">
      <w:pPr>
        <w:pStyle w:val="TextoNormal"/>
      </w:pPr>
      <w:r>
        <w:t>(vi) Igualmente señala que había solicitado por dos veces un informe a la Consejería de Sanidad de la Comunidad de Madrid sobre “estimación del riesgo del acto comunicado” en fechas 25 de febrero y 1 de marzo de 2021, no habiendo recibido el informe solicitado. Afirma que deben ser tenidos en cuenta los siguientes elementos: (a) la situación sanitaria de la evolución de la covid-19 en la Comunidad de Madrid es de “riesgo extremo”; (b) no ha habido variación en los consejos de las autoridades sanitarias para evitar los riesgos de contagio y propagación de la pandemia, agregando la referencia a una comunicación del día 2 de marzo del Consejo General de Colegios Oficiales de Médicos que hacía un llamamiento a la responsabilidad y compromiso de la ciudadanía ante cualquier tipo de concentración o manifestación que pudiera suponer un riesgo para la salud pública; (c) el detallado análisis del acto comunicado, “puesto en su contexto temporal y espacial, se deduce una posible concurrencia de otros actos comunicados en los mismos días”; y (d) los informes anteriores emitidos por la Dirección General de Salud Pública de la Comunidad de Madrid, los últimos de ellos referidos a manifestaciones masivas del 8 de marzo, “vienen especificando que las medidas correctoras y de prevención que proponen las organizaciones, como distancia… ‘pueden resultar insuficientes teniendo en cuenta la dificultad de mantener el distanciamiento interpersonal en una concentración cuando las personas están de pie y deambulan, quedando únicamente a merced de la protección de la mascarilla y el cuidado con que se haga uso de la misma, lo que podría resultar insuficiente en la situación epidemiológica actual’”.</w:t>
      </w:r>
    </w:p>
    <w:p w14:paraId="17916349" w14:textId="77777777" w:rsidR="008D479B" w:rsidRDefault="008D479B" w:rsidP="008D479B">
      <w:pPr>
        <w:pStyle w:val="TextoNormal"/>
      </w:pPr>
    </w:p>
    <w:p w14:paraId="2BD8FC34" w14:textId="77777777" w:rsidR="008D479B" w:rsidRDefault="008D479B" w:rsidP="008D479B">
      <w:pPr>
        <w:pStyle w:val="TextoNormal"/>
      </w:pPr>
      <w:r>
        <w:t>La resolución recoge la conclusión de estos informes destacando que “teniendo en cuenta las circunstancias anteriormente expuestas, especialmente el elevado número de asistentes y la duración prevista de la misma, y de acuerdo con lo establecido” en el art. 7.3 del Real Decreto 926/2020, de 25 de octubre, “se informa desfavorablemente sobre la realización de la concentración solicitada por los promotores al inicio de este escrito, desaconsejando su celebración” (en cursiva en el texto de la resolución).</w:t>
      </w:r>
    </w:p>
    <w:p w14:paraId="24D4CE55" w14:textId="77777777" w:rsidR="008D479B" w:rsidRDefault="008D479B" w:rsidP="008D479B">
      <w:pPr>
        <w:pStyle w:val="TextoNormal"/>
      </w:pPr>
    </w:p>
    <w:p w14:paraId="56B6CF11" w14:textId="77777777" w:rsidR="008D479B" w:rsidRDefault="008D479B" w:rsidP="008D479B">
      <w:pPr>
        <w:pStyle w:val="TextoNormal"/>
      </w:pPr>
      <w:r>
        <w:t>(vii) A modo de conclusión, el último de los fundamentos jurídicos de la resolución razona que “[t]eniendo en cuenta la intencionalidad de los colectivos convocantes, de ejercer su derecho a manifestarse en las calles (es el único formato de reivindicación recibido) buscando un gran número de reuniones en diferentes lugares y teniendo en cuenta las circunstancias epidemiológicas actuales (niveles altos de incidencia y la aparición de las nuevas cepas de covid), así como los informes que vienen emitiendo las autoridades sanitarias, la celebración de estas concentraciones eleva el riesgo de contagios de una manera exponencial”.</w:t>
      </w:r>
    </w:p>
    <w:p w14:paraId="35252BA3" w14:textId="77777777" w:rsidR="008D479B" w:rsidRDefault="008D479B" w:rsidP="008D479B">
      <w:pPr>
        <w:pStyle w:val="TextoNormal"/>
      </w:pPr>
    </w:p>
    <w:p w14:paraId="77C8F732" w14:textId="77777777" w:rsidR="008D479B" w:rsidRDefault="008D479B" w:rsidP="008D479B">
      <w:pPr>
        <w:pStyle w:val="TextoNormal"/>
      </w:pPr>
      <w:r>
        <w:t>Por todo ello, la resolución del delegado del Gobierno en la Comunidad de Madrid acordó prohibir por razones de salud pública la concentración.</w:t>
      </w:r>
    </w:p>
    <w:p w14:paraId="2E3AD5EE" w14:textId="77777777" w:rsidR="008D479B" w:rsidRDefault="008D479B" w:rsidP="008D479B">
      <w:pPr>
        <w:pStyle w:val="TextoNormal"/>
      </w:pPr>
    </w:p>
    <w:p w14:paraId="17B4A286" w14:textId="77777777" w:rsidR="008D479B" w:rsidRDefault="008D479B" w:rsidP="008D479B">
      <w:pPr>
        <w:pStyle w:val="TextoNormal"/>
      </w:pPr>
      <w:r>
        <w:t>c) El sindicato demandante, junto con otro sindicato, interpuso un recurso contencioso-administrativo contra esa resolución ante la Sala correspondiente del Tribunal Superior de Justicia de Madrid, que dio inicio al procedimiento sobre derecho de reunión núm. 275-2021.</w:t>
      </w:r>
    </w:p>
    <w:p w14:paraId="2AD381CC" w14:textId="77777777" w:rsidR="008D479B" w:rsidRDefault="008D479B" w:rsidP="008D479B">
      <w:pPr>
        <w:pStyle w:val="TextoNormal"/>
      </w:pPr>
    </w:p>
    <w:p w14:paraId="33A87857" w14:textId="77777777" w:rsidR="008D479B" w:rsidRDefault="008D479B" w:rsidP="008D479B">
      <w:pPr>
        <w:pStyle w:val="TextoNormal"/>
      </w:pPr>
      <w:r>
        <w:t>El recurso sostiene que la existencia de un marco pandémico no ha supuesto el decaimiento en absoluto del derecho de reunión y manifestación pues, como indica la propia resolución impugnada, “la media de concentraciones y manifestaciones que viene habiendo en la Comunidad de Madrid es de setenta por semana”.</w:t>
      </w:r>
    </w:p>
    <w:p w14:paraId="41832831" w14:textId="77777777" w:rsidR="008D479B" w:rsidRDefault="008D479B" w:rsidP="008D479B">
      <w:pPr>
        <w:pStyle w:val="TextoNormal"/>
      </w:pPr>
    </w:p>
    <w:p w14:paraId="7D5B2D1B" w14:textId="77777777" w:rsidR="008D479B" w:rsidRDefault="008D479B" w:rsidP="008D479B">
      <w:pPr>
        <w:pStyle w:val="TextoNormal"/>
      </w:pPr>
      <w:r>
        <w:t>Añade que la solicitud no entraña riesgo de que se convierta en una concentración masiva o en una manifestación, pues viene limitada a 250 personas y del cumplimiento de dicho límite se encargaría el servicio de orden de los sindicatos convocantes. El acto no entraña recorrido alguno al ser una concentración, por lo que no existe movilidad de personas.</w:t>
      </w:r>
    </w:p>
    <w:p w14:paraId="46E1A0E7" w14:textId="77777777" w:rsidR="008D479B" w:rsidRDefault="008D479B" w:rsidP="008D479B">
      <w:pPr>
        <w:pStyle w:val="TextoNormal"/>
      </w:pPr>
    </w:p>
    <w:p w14:paraId="6A150E38" w14:textId="77777777" w:rsidR="008D479B" w:rsidRDefault="008D479B" w:rsidP="008D479B">
      <w:pPr>
        <w:pStyle w:val="TextoNormal"/>
      </w:pPr>
      <w:r>
        <w:t>Sostiene que “nos debe perdonar la comparación, pero el riesgo que entraña esta concentración no es superior, en absoluto, al que pueda existir, por ejemplo, en cualquier gran comercio de la Comunidad de Madrid, cuya actividad, como se sabe, está perfectamente permitida”. No se puede argumentar que el desplazamiento de las personas que tengan previsto acudir a nuestra concentración va a propagar el virus, porque no son desplazamientos superiores, ni de lejos, a los que se producen todos los días o con motivo de acudir las personas a sus trabajos, quehaceres y obligaciones de todo tipo, ya sea en transporte público, ya en privado.</w:t>
      </w:r>
    </w:p>
    <w:p w14:paraId="6674E057" w14:textId="77777777" w:rsidR="008D479B" w:rsidRDefault="008D479B" w:rsidP="008D479B">
      <w:pPr>
        <w:pStyle w:val="TextoNormal"/>
      </w:pPr>
    </w:p>
    <w:p w14:paraId="22B9E7D5" w14:textId="77777777" w:rsidR="008D479B" w:rsidRDefault="008D479B" w:rsidP="008D479B">
      <w:pPr>
        <w:pStyle w:val="TextoNormal"/>
      </w:pPr>
      <w:r>
        <w:t>Aduce que se trata de una concentración limitada a 250 personas “en un espacio público al aire libre y amplísimo”. La Delegación del Gobierno no aporta prueba alguna de una suerte de acuerdo de voluntades entre los 104 convocantes para generar una especie de manifestación masiva. No existe tal concierto de voluntades.</w:t>
      </w:r>
    </w:p>
    <w:p w14:paraId="77413DC1" w14:textId="77777777" w:rsidR="008D479B" w:rsidRDefault="008D479B" w:rsidP="008D479B">
      <w:pPr>
        <w:pStyle w:val="TextoNormal"/>
      </w:pPr>
    </w:p>
    <w:p w14:paraId="15ED681B" w14:textId="77777777" w:rsidR="008D479B" w:rsidRDefault="008D479B" w:rsidP="008D479B">
      <w:pPr>
        <w:pStyle w:val="TextoNormal"/>
      </w:pPr>
      <w:r>
        <w:t>No se argumenta que la concentración coincida con ninguna otra que haya de producirse en el mismo espacio elegido. Incluso “aunque fuera así, deberían ponderarse las características de las concentraciones para, en su caso, limitarlas, pero no prohibirlas”. Concluye afirmando que el acuerdo no discrimina las diferentes manifestaciones/concentraciones solicitadas, cuando debería hacerlo al existir enormes diferencias entre unas y otras.</w:t>
      </w:r>
    </w:p>
    <w:p w14:paraId="04B54AAA" w14:textId="77777777" w:rsidR="008D479B" w:rsidRDefault="008D479B" w:rsidP="008D479B">
      <w:pPr>
        <w:pStyle w:val="TextoNormal"/>
      </w:pPr>
    </w:p>
    <w:p w14:paraId="1A80BFD2" w14:textId="77777777" w:rsidR="008D479B" w:rsidRDefault="008D479B" w:rsidP="008D479B">
      <w:pPr>
        <w:pStyle w:val="TextoNormal"/>
      </w:pPr>
      <w:r>
        <w:t>d) La Sección Décima de la Sala de lo Contencioso-Administrativo del Tribunal Superior de Justicia de Madrid dictó sentencia el día 7 de marzo de 2021, por la que desestimó el anterior recurso con la siguiente argumentación:</w:t>
      </w:r>
    </w:p>
    <w:p w14:paraId="6703F79D" w14:textId="77777777" w:rsidR="008D479B" w:rsidRDefault="008D479B" w:rsidP="008D479B">
      <w:pPr>
        <w:pStyle w:val="TextoNormal"/>
      </w:pPr>
    </w:p>
    <w:p w14:paraId="52472A09" w14:textId="77777777" w:rsidR="008D479B" w:rsidRDefault="008D479B" w:rsidP="008D479B">
      <w:pPr>
        <w:pStyle w:val="TextoNormal"/>
      </w:pPr>
      <w:r>
        <w:t>(i) En primer lugar, la Sala hace referencia a “la base fáctica de la presente controversia” y parte del contenido del escrito de comunicación que presentaron el sindicato recurrente y otro sindicato el día 22 de febrero de 2021 ante la Delegación del Gobierno en Madrid. A continuación, alude a “una nota del Consejo Oficial de Colegios Médicos fechada el 2 de marzo de 2021 en la que se desaconseja la asistencia a las concentraciones convocadas para estas fechas, toda vez que consideran que existe un riesgo para la salud pública general”. Acto seguido, destaca la existencia de un informe de la Jefatura Superior de Policía de Madrid, que reseña las concentraciones a celebrar con motivo del día de la mujer. Por último, también se hace eco de un informe emitido el día 3 de marzo por la Dirección General de Salud Pública de la Comunidad de Madrid que desaconsejaba “la celebración de concentraciones que comport[aran] una elevada concentración de personas con el fin de evitar la propagación del virus y proteger la salud pública” y se aclara que este informe había sido solicitado por la Delegación del Gobierno, pero que no había sido recibido al tiempo de aprobar la resolución impugnada.</w:t>
      </w:r>
    </w:p>
    <w:p w14:paraId="06962EDD" w14:textId="77777777" w:rsidR="008D479B" w:rsidRDefault="008D479B" w:rsidP="008D479B">
      <w:pPr>
        <w:pStyle w:val="TextoNormal"/>
      </w:pPr>
    </w:p>
    <w:p w14:paraId="60853349" w14:textId="77777777" w:rsidR="008D479B" w:rsidRDefault="008D479B" w:rsidP="008D479B">
      <w:pPr>
        <w:pStyle w:val="TextoNormal"/>
      </w:pPr>
      <w:r>
        <w:t>(ii) A continuación, la sentencia hace una detallada exposición de la doctrina de este tribunal y del Tribunal Europeo de Derechos Humanos sobre el ejercicio del derecho de reunión y sobre los límites de este, deteniéndose de modo especial en el ATC 40/2020, de 30 de abril, cuyos fundamentos jurídicos resume para después comenzar el análisis de la resolución gubernativa impugnada.</w:t>
      </w:r>
    </w:p>
    <w:p w14:paraId="28DCD23D" w14:textId="77777777" w:rsidR="008D479B" w:rsidRDefault="008D479B" w:rsidP="008D479B">
      <w:pPr>
        <w:pStyle w:val="TextoNormal"/>
      </w:pPr>
    </w:p>
    <w:p w14:paraId="47AC2F3C" w14:textId="77777777" w:rsidR="008D479B" w:rsidRDefault="008D479B" w:rsidP="008D479B">
      <w:pPr>
        <w:pStyle w:val="TextoNormal"/>
      </w:pPr>
      <w:r>
        <w:t>A tal efecto, el fundamento jurídico octavo de la sentencia señala que el acuerdo del delegado del Gobierno “cumple con la necesidad de exteriorizar las razones por las que se llega a la decisión administrativa, con objeto de permitir su conocimiento por los interesados para la posterior defensa de sus derechos”. Agrega que, en particular, aporta las razones por las que el ejercicio del derecho fundamental de reunión “entraña un grave riesgo para la salud pública y, singularmente, para las personas”, tanto manifestantes como terceros que hubieran podido tener contacto con ellos, porque entiende que era “muy probable” que, de celebrarse la reunión programada, se pudieran producir contagios entre los participantes que pudieran luego “extenderse entre sus círculos de amistad, profesionales y familiares, incrementando de esta manera la crisis sanitaria por más que se adopt[aran] medidas de seguridad, perturbando de manera desproporcionada otros bienes y derechos protegidos por nuestra Constitución. Consideración que se vincula con la imperiosa necesidad de evitar la difusión de la pandemia con sus secuelas de contagios, fallecimientos y enfermos”. Asimismo, el indicado fundamento jurídico trae a colación el “principio de precaución o cautela”, recogido en el art. 191.2 Tratado de funcionamiento de la Unión Europea e incorporado a la legislación sanitaria, en concreto en los arts. 3.4 y 27 de la Ley 33/2011, de 4 de octubre, general de salud pública.</w:t>
      </w:r>
    </w:p>
    <w:p w14:paraId="258924E6" w14:textId="77777777" w:rsidR="008D479B" w:rsidRDefault="008D479B" w:rsidP="008D479B">
      <w:pPr>
        <w:pStyle w:val="TextoNormal"/>
      </w:pPr>
    </w:p>
    <w:p w14:paraId="17E119E9" w14:textId="77777777" w:rsidR="008D479B" w:rsidRDefault="008D479B" w:rsidP="008D479B">
      <w:pPr>
        <w:pStyle w:val="TextoNormal"/>
      </w:pPr>
      <w:r>
        <w:t xml:space="preserve">(iii) Acto seguido, la sentencia se detiene en el análisis de la resolución administrativa y reitera que la misma “se encuentra suficientemente motivada” y que el fundamento jurídico séptimo de aquella “contiene una argumentación basada en razones de índole sanitaria” que “no han sido desvirtuadas por las entidades recurrentes”. Destaca que la situación de la pandemia en la Comunidad de Madrid ha pasado de “riesgo extremo” a “riesgo alto”, pero se encuentra entre las tres cuya tasa de incidencia acumulada es elevada. También subraya que la parte actora no ha argumentado nada “sobre el incremento de los contagios ocasionados por las nuevas cepas” y “únicamente se limita a aseverar que dadas las características de la concentración convocada (250 personas en un único espacio) tales riesgos sanitarios quedan conjurados”. Señala que tampoco se dice nada del dato de la duración de tres horas y treinta minutos que, a juicio de la Sala, “es relevante”. Tampoco aclara nada sobre “cómo se puede conseguir que 250 personas permanezcan en la misma postura guardando la distancia interpersonal requerida”. Añade que “solo se nos dice que el servicio de orden de los sindicatos convocantes tiene mucha experiencia, pero no tenemos elementos para asegurar, </w:t>
      </w:r>
      <w:r w:rsidRPr="008D479B">
        <w:rPr>
          <w:i/>
        </w:rPr>
        <w:t>a priori</w:t>
      </w:r>
      <w:r>
        <w:t>, que será capaz de garantizar las mínimas exigencias de seguridad sanitaria; tampoco se explica cuál es la razón por la que si se trata de una concentración estática se llevan dos coches, ni se comenta sobre lo expresado en el fundamento décimo del acto recurrido, en el que se expresan consideraciones sanitarias a la vez que se refleja en (</w:t>
      </w:r>
      <w:r w:rsidRPr="008D479B">
        <w:rPr>
          <w:i/>
        </w:rPr>
        <w:t>sic</w:t>
      </w:r>
      <w:r>
        <w:t>) contenido del informe emitido por el Consejo General de Colegios Médicos, desaconsejando la asistencia a estas concentraciones/manifestaciones por el riesgo que implican para la salud pública de la población en general”.</w:t>
      </w:r>
    </w:p>
    <w:p w14:paraId="2450EEEF" w14:textId="77777777" w:rsidR="008D479B" w:rsidRDefault="008D479B" w:rsidP="008D479B">
      <w:pPr>
        <w:pStyle w:val="TextoNormal"/>
      </w:pPr>
    </w:p>
    <w:p w14:paraId="0FA2C831" w14:textId="77777777" w:rsidR="008D479B" w:rsidRDefault="008D479B" w:rsidP="008D479B">
      <w:pPr>
        <w:pStyle w:val="TextoNormal"/>
      </w:pPr>
      <w:r>
        <w:t>(iv) Seguidamente, la Sala examina si la resolución impugnada ha realizado correctamente la ponderación de los intereses en conflicto. A lo que añade la necesidad de ponerlo en conexión con la forma y las condiciones proyectadas por el promotor de la concentración para ejercitar el derecho de reunión. A este respecto, la Sala pone de relieve “las extraordinarias circunstancias de crisis de salud pública” en que se encontraba la sociedad española, así como la necesidad de tener que adoptar “medidas de muy diversa naturaleza, entre ellas las limitativas del ejercicio de determinados derechos, para reducir la propagación y el contagio del virus”, en protección de la salud que proclama el art. 43 CE.</w:t>
      </w:r>
    </w:p>
    <w:p w14:paraId="1B07B379" w14:textId="77777777" w:rsidR="008D479B" w:rsidRDefault="008D479B" w:rsidP="008D479B">
      <w:pPr>
        <w:pStyle w:val="TextoNormal"/>
      </w:pPr>
    </w:p>
    <w:p w14:paraId="6E7E0A6B" w14:textId="77777777" w:rsidR="008D479B" w:rsidRDefault="008D479B" w:rsidP="008D479B">
      <w:pPr>
        <w:pStyle w:val="TextoNormal"/>
      </w:pPr>
      <w:r>
        <w:t>Y en lo que atañe a la forma y condiciones en que los sindicatos promotores de la concentración proyectaban ejercitar su derecho de reunión, la sentencia señala que “en la comunicación realizada a la Delegación del Gobierno se limita[ron] a anunciar su propósito de llevar a cabo una concentración el día 8 de marzo”, como la mera afirmación de que se contaría “con el oportuno servicio de orden”, pero sin que se contemplara “la adopción de ninguna medida para hacer efectivo el exigible distanciamiento social”. Añade que las comunicaciones realizadas por los promotores de la concentración no ofrecieron “medidas de seguridad, concretas e idóneas, para garantizar que durante la concentración se mant[uviera] la distancia social mínimamente necesaria o para evitar que algunas personas lleg[aran] a retirarse la mascarilla para apoyar en voz alta los objetivos de esta”. Concluye afirmando que la “imprecisión de las medidas de seguridad previstas para garantizar la salud pública, especialmente relevantes en el escenario de gravísima pandemia […] no permite conjurar el alto riesgo de que el desarrollo de una concentración, como la comunicada por el promotor, favore[ciera] la propagación del coronavirus tanto entre los manifestantes como posteriormente a sus familiares y su círculo social, e incluso, a otras personas ajenas al acto o concentración”.</w:t>
      </w:r>
    </w:p>
    <w:p w14:paraId="063601A7" w14:textId="77777777" w:rsidR="008D479B" w:rsidRDefault="008D479B" w:rsidP="008D479B">
      <w:pPr>
        <w:pStyle w:val="TextoNormal"/>
      </w:pPr>
    </w:p>
    <w:p w14:paraId="363A053E" w14:textId="77777777" w:rsidR="008D479B" w:rsidRDefault="008D479B" w:rsidP="008D479B">
      <w:pPr>
        <w:pStyle w:val="TextoNormal"/>
      </w:pPr>
      <w:r>
        <w:t>(v) El fundamento jurídico noveno de la sentencia está dedicado al análisis de tres informes que fueron incorporados a las actuaciones judiciales:</w:t>
      </w:r>
    </w:p>
    <w:p w14:paraId="5EC2ADB5" w14:textId="77777777" w:rsidR="008D479B" w:rsidRDefault="008D479B" w:rsidP="008D479B">
      <w:pPr>
        <w:pStyle w:val="TextoNormal"/>
      </w:pPr>
    </w:p>
    <w:p w14:paraId="0E9B960D" w14:textId="77777777" w:rsidR="008D479B" w:rsidRDefault="008D479B" w:rsidP="008D479B">
      <w:pPr>
        <w:pStyle w:val="TextoNormal"/>
      </w:pPr>
      <w:r>
        <w:t>- El primero, de fecha 3 de marzo de 2021, de la Jefatura Superior de Policía de Madrid, que ponía de manifiesto la convocatoria de un total de 105 actos colectivos comunicados, de los que cincuenta y nueve correspondían a manifestaciones y cuarenta y seis a concentraciones. Según el informe, tal número de actos convocados entre el 5 y el 8 de marzo de 2021 entrañaba “la dificultad de establecer dispositivos policiales bien dimensionados y con capacidad operativa para hacer cumplir las mencionadas normas sanitarias, como son la separación de asistentes o el porte de mascarillas”. Además, expresaba que “la experiencia policial en el último año, nos ha enseñado que esto no es así [en referencia al cumplimiento de las medidas de prevención sanitaria apuntadas] y que recae en los efectivos policiales esta labor [la de exigir el cumplimiento de aquellas normas de prevención], en algunos casos, con gran resistencia de los mismos organizadores que lo ven como una injerencia”. El informe también duda de que el fraccionamiento de los manifestantes o concentrados en grupos de personas más pequeños pueda resultar eficaz para la prevención de la salud pública “en tanto en cuanto en espacios tan emblemáticos como Callao, la Puerta del Sol o Glorieta de Embajadores están habitualmente llenos de viandantes que se confunden con los concentrados y que no dejan aplicar las distancias de seguridad necesarias para preservar la salud de los asistentes”.</w:t>
      </w:r>
    </w:p>
    <w:p w14:paraId="5A875A7E" w14:textId="77777777" w:rsidR="008D479B" w:rsidRDefault="008D479B" w:rsidP="008D479B">
      <w:pPr>
        <w:pStyle w:val="TextoNormal"/>
      </w:pPr>
    </w:p>
    <w:p w14:paraId="4A249C03" w14:textId="77777777" w:rsidR="008D479B" w:rsidRDefault="008D479B" w:rsidP="008D479B">
      <w:pPr>
        <w:pStyle w:val="TextoNormal"/>
      </w:pPr>
      <w:r>
        <w:t>- El segundo informe fue emitido en fecha 3 de marzo de 2021 por la directora general de Salud Pública de la Comunidad de Madrid y es de alcance general, pues afirma que “debe limitarse la celebración de eventos que comporten concentración de personas con el fin de evitar la propagación del virus y proteger la salud pública”. Y añade que, “[e]n todo caso se recuerda que debe garantizarse el cumplimiento de las medidas de contención y prevención establecidas, manteniendo en todo momento las distancias de seguridad, la limitación de aforos, las medidas higiénicas y la evitación de aglomeraciones”.</w:t>
      </w:r>
    </w:p>
    <w:p w14:paraId="0D2E71FF" w14:textId="77777777" w:rsidR="008D479B" w:rsidRDefault="008D479B" w:rsidP="008D479B">
      <w:pPr>
        <w:pStyle w:val="TextoNormal"/>
      </w:pPr>
    </w:p>
    <w:p w14:paraId="35C33833" w14:textId="77777777" w:rsidR="008D479B" w:rsidRDefault="008D479B" w:rsidP="008D479B">
      <w:pPr>
        <w:pStyle w:val="TextoNormal"/>
      </w:pPr>
      <w:r>
        <w:t>- El tercero de los informes, facilitado por el abogado del Estado, aludía a la “presencia del SARS-CoV-2 en el agua residual de la Comunidad de Madrid, actualizado a 2 de marzo de 2021”, informe que incluía “los gráficos de la evolución general en la Comunidad de Madrid y que evidencia[ba] el aumento de la presencia” del virus en el mes de marzo del citado año.</w:t>
      </w:r>
    </w:p>
    <w:p w14:paraId="1A166EE0" w14:textId="77777777" w:rsidR="008D479B" w:rsidRDefault="008D479B" w:rsidP="008D479B">
      <w:pPr>
        <w:pStyle w:val="TextoNormal"/>
      </w:pPr>
    </w:p>
    <w:p w14:paraId="05F7AC7D" w14:textId="77777777" w:rsidR="008D479B" w:rsidRDefault="008D479B" w:rsidP="008D479B">
      <w:pPr>
        <w:pStyle w:val="TextoNormal"/>
      </w:pPr>
      <w:r>
        <w:t>Por último, quedó incorporado a las actuaciones judiciales un documento “que se refiere a la nota de alerta compartida firmada por trece sociedades científicas”, en la que se destacaba que las circunstancias epidemiológicas de aquellas fechas eran de “alto riesgo”, a lo que se añadía que, si bien el nivel de hospitalizaciones iba descendiendo, las cifras de incidencia acumulada y de ingresos en las unidades de cuidados intensivos aconsejaban “insistir en mantener las medidas de prevención de contagios”. El informe terminaba poniendo de relieve que parecía “obligado evitar a fecha de hoy todo tipo de eventos que fomenten aglomeración y aumenten el riesgo de transmisión” y apoyaba “la prohibición o denegación de autorizaciones para reuniones que exced[ieran] los límites de las recomendaciones vigentes”.</w:t>
      </w:r>
    </w:p>
    <w:p w14:paraId="7CB35FE5" w14:textId="77777777" w:rsidR="008D479B" w:rsidRDefault="008D479B" w:rsidP="008D479B">
      <w:pPr>
        <w:pStyle w:val="TextoNormal"/>
      </w:pPr>
    </w:p>
    <w:p w14:paraId="0813CF03" w14:textId="77777777" w:rsidR="008D479B" w:rsidRDefault="008D479B" w:rsidP="008D479B">
      <w:pPr>
        <w:pStyle w:val="TextoNormal"/>
      </w:pPr>
      <w:r>
        <w:t>A la vista de las consideraciones anteriores y utilizando los mismos criterios de la sentencia de la misma Sala de 30 de abril de 2020, en el recurso 309-2020, razona que “la prohibición de la concentración comunicada es: (i) susceptible de conseguir el objetivo propuesto, en este caso, la protección de la salud pública y de los ciudadanos en un escenario de pandemia internacional que implica un grave riesgo para la vida de las personas; (ii) necesaria por no existir otra medida más moderada para la consecución de tal propósito con igual eficacia, atendidas las condiciones tan genéricas y amplias en que se proyectó el desarrollo de la concentración y posterior manifestación; y (iii) proporcionada en sentido estricto, es decir, ponderada o equilibrada por derivarse de ella más beneficios o ventajas para el interés general que protege que perjuicios sobre el derecho de reunión de los manifestantes”.</w:t>
      </w:r>
    </w:p>
    <w:p w14:paraId="4DBC8104" w14:textId="77777777" w:rsidR="008D479B" w:rsidRDefault="008D479B" w:rsidP="008D479B">
      <w:pPr>
        <w:pStyle w:val="TextoNormal"/>
      </w:pPr>
    </w:p>
    <w:p w14:paraId="64A21753" w14:textId="77777777" w:rsidR="008D479B" w:rsidRDefault="008D479B" w:rsidP="008D479B">
      <w:pPr>
        <w:pStyle w:val="TextoNormal"/>
      </w:pPr>
      <w:r>
        <w:t>A la vista de las anteriores consideraciones, la sentencia concluye otorgando prevalencia sobre el ejercicio del derecho de reunión a bienes y valores constitucionales como la salud pública y, más concretamente, la salud, la integridad física y la vida de las personas (arts. 15 y 43 CE). Por todo ello, desestima el recurso interpuesto.</w:t>
      </w:r>
    </w:p>
    <w:p w14:paraId="0D8B3E06" w14:textId="77777777" w:rsidR="008D479B" w:rsidRDefault="008D479B" w:rsidP="008D479B">
      <w:pPr>
        <w:pStyle w:val="TextoNormal"/>
      </w:pPr>
    </w:p>
    <w:p w14:paraId="1A2A95D9" w14:textId="77777777" w:rsidR="008D479B" w:rsidRDefault="008D479B" w:rsidP="008D479B">
      <w:pPr>
        <w:pStyle w:val="TextoNormal"/>
      </w:pPr>
      <w:r>
        <w:t>El recurso sostiene que la existencia de un marco pandémico no ha supuesto el decaimiento en absoluto del derecho de reunión y manifestación pues, como indica la propia resolución impugnada, “la media de concentraciones y manifestaciones que viene habiendo en la Comunidad de Madrid es de setenta por semana”.</w:t>
      </w:r>
    </w:p>
    <w:p w14:paraId="58850F04" w14:textId="77777777" w:rsidR="008D479B" w:rsidRDefault="008D479B" w:rsidP="008D479B">
      <w:pPr>
        <w:pStyle w:val="TextoNormal"/>
      </w:pPr>
    </w:p>
    <w:p w14:paraId="2E22CD0B" w14:textId="77777777" w:rsidR="008D479B" w:rsidRDefault="008D479B" w:rsidP="008D479B">
      <w:pPr>
        <w:pStyle w:val="TextoNormal"/>
      </w:pPr>
      <w:r>
        <w:t>Añade que la solicitud efectuada no entraña la potencialidad de que se convierta en una concentración masiva o en una manifestación pues viene limitada a 250 personas y del cumplimiento de dicho límite se encargaría el servicio de orden de los sindicatos convocantes.</w:t>
      </w:r>
    </w:p>
    <w:p w14:paraId="74221979" w14:textId="77777777" w:rsidR="008D479B" w:rsidRDefault="008D479B" w:rsidP="008D479B">
      <w:pPr>
        <w:pStyle w:val="TextoNormal"/>
      </w:pPr>
    </w:p>
    <w:p w14:paraId="1313FAD3" w14:textId="77777777" w:rsidR="008D479B" w:rsidRDefault="008D479B" w:rsidP="008D479B">
      <w:pPr>
        <w:pStyle w:val="TextoNormal"/>
      </w:pPr>
      <w:r>
        <w:t>La convocatoria no entraña recorrido alguno al ser una concentración, por lo que no existe movilidad de personas al no estar previsto trayecto alguno.</w:t>
      </w:r>
    </w:p>
    <w:p w14:paraId="501166B8" w14:textId="77777777" w:rsidR="008D479B" w:rsidRDefault="008D479B" w:rsidP="008D479B">
      <w:pPr>
        <w:pStyle w:val="TextoNormal"/>
      </w:pPr>
    </w:p>
    <w:p w14:paraId="7C0AA2B9" w14:textId="77777777" w:rsidR="008D479B" w:rsidRDefault="008D479B" w:rsidP="008D479B">
      <w:pPr>
        <w:pStyle w:val="TextoNormal"/>
      </w:pPr>
      <w:r>
        <w:t>Sostiene que “nos debe perdonar la comparación, pero el riesgo que entraña esta concentración no es superior, en absoluto, al que pueda existir, por ejemplo, en cualquier gran comercio de la Comunidad de Madrid, cuya actividad, como se sabe, está perfectamente permitida”. No se puede argumentar que el desplazamiento de las personas que tengan previsto acudir a nuestra concentración va a propagar el virus, porque no son desplazamientos superiores, ni de lejos, a los que se producen todos los días o con motivo de acudir las personas a sus trabajos, quehaceres y obligaciones de todo tipo, ya sea en transporte público, ya en privado.</w:t>
      </w:r>
    </w:p>
    <w:p w14:paraId="1E87E962" w14:textId="77777777" w:rsidR="008D479B" w:rsidRDefault="008D479B" w:rsidP="008D479B">
      <w:pPr>
        <w:pStyle w:val="TextoNormal"/>
      </w:pPr>
    </w:p>
    <w:p w14:paraId="0BB722C1" w14:textId="77777777" w:rsidR="008D479B" w:rsidRDefault="008D479B" w:rsidP="008D479B">
      <w:pPr>
        <w:pStyle w:val="TextoNormal"/>
      </w:pPr>
      <w:r>
        <w:t>Aduce que se trata de una concentración limitada a 250 personas “en un espacio público al aire libre y amplísimo”. La Delegación del Gobierno no aporta prueba alguna de una suerte de acuerdo de voluntades entre los 104 convocantes para generar una especie de manifestación masiva. No existe tal concierto de voluntades.</w:t>
      </w:r>
    </w:p>
    <w:p w14:paraId="6BF964F0" w14:textId="77777777" w:rsidR="008D479B" w:rsidRDefault="008D479B" w:rsidP="008D479B">
      <w:pPr>
        <w:pStyle w:val="TextoNormal"/>
      </w:pPr>
    </w:p>
    <w:p w14:paraId="046F65A7" w14:textId="68FB8739" w:rsidR="008D479B" w:rsidRDefault="008D479B" w:rsidP="008D479B">
      <w:pPr>
        <w:pStyle w:val="TextoNormal"/>
      </w:pPr>
      <w:r>
        <w:t>No se argumenta que la concentración coincida con ninguna otra que haya de producirse en el mismo espacio elegido. Incluso “aunque fuera así, deberían ponderarse las características de las concentraciones para, en su caso, limitarlas, pero no prohibirlas”. Concluye afirmando que el acuerdo no discrimina las diferentes manifestaciones/concentraciones solicitadas, cuando debería hacerlo al existir enormes diferencias entre unas y otras.</w:t>
      </w:r>
    </w:p>
    <w:p w14:paraId="7C706B48" w14:textId="77777777" w:rsidR="008D479B" w:rsidRDefault="008D479B" w:rsidP="008D479B">
      <w:pPr>
        <w:pStyle w:val="TextoNormal"/>
      </w:pPr>
    </w:p>
    <w:p w14:paraId="7A13E993" w14:textId="77777777" w:rsidR="008D479B" w:rsidRDefault="008D479B" w:rsidP="008D479B">
      <w:pPr>
        <w:pStyle w:val="TextoNormal"/>
      </w:pPr>
      <w:r w:rsidRPr="008D479B">
        <w:rPr>
          <w:rStyle w:val="NumeroAFNegritaCaracter"/>
        </w:rPr>
        <w:t>3</w:t>
      </w:r>
      <w:r>
        <w:t>. La demanda de amparo alega la vulneración de los siguientes derechos fundamentales:</w:t>
      </w:r>
    </w:p>
    <w:p w14:paraId="0E35408F" w14:textId="77777777" w:rsidR="008D479B" w:rsidRDefault="008D479B" w:rsidP="008D479B">
      <w:pPr>
        <w:pStyle w:val="TextoNormal"/>
      </w:pPr>
    </w:p>
    <w:p w14:paraId="50C79471" w14:textId="77777777" w:rsidR="008D479B" w:rsidRDefault="008D479B" w:rsidP="008D479B">
      <w:pPr>
        <w:pStyle w:val="TextoNormal"/>
      </w:pPr>
      <w:r>
        <w:t>a) En primer lugar, bajo el epígrafe de “[f]alta de motivación suficiente de la sentencia” denuncia la vulneración del art. 21.2 CE, en relación con la Ley Orgánica 9/1983, de 15 de julio, reguladora del derecho de reunión. Sostiene que la cuestión suscitada en este recurso es si el ejercicio del derecho de reunión “pone en peligro la salud, la integridad física y la vida de las personas” y niega que exista tal peligro. Para ello, se apoyaba en la descripción de las características del acto convocado, en los mismos términos que ya se ha hecho constar.</w:t>
      </w:r>
    </w:p>
    <w:p w14:paraId="146818D1" w14:textId="77777777" w:rsidR="008D479B" w:rsidRDefault="008D479B" w:rsidP="008D479B">
      <w:pPr>
        <w:pStyle w:val="TextoNormal"/>
      </w:pPr>
    </w:p>
    <w:p w14:paraId="3AE153CC" w14:textId="77777777" w:rsidR="008D479B" w:rsidRDefault="008D479B" w:rsidP="008D479B">
      <w:pPr>
        <w:pStyle w:val="TextoNormal"/>
      </w:pPr>
      <w:r>
        <w:t>Acto seguido, analiza el contenido del fundamento jurídico octavo de la sentencia del Tribunal Superior de Justicia de Madrid y se detiene en el análisis de los informes recogidos en el mismo: (i) respecto del informe policial entiende que “si este informe sirve para prohibir cualquier evento masivo estamos dejando en manos de la policía el derecho de reunión y manifestación, haya o no estado de alarma”; (ii) en cuanto al informe de la directora general de Salud Pública de la Comunidad de Madrid entiende que propone “limitar” no “prohibir”. Y que, si se aplicara estrictamente el mismo, no tendría sentido permitir el “terraceo” en Madrid; (iii) pone de manifiesto que el documento que aportó el Abogado del Estado en el acto de la vista era una “hoja descargada de internet, sin firmar”, actualizada a 2 de marzo de 2021, “un día antes de que el delegado del Gobierno dictara su resolución sin que aludiera a la misma por lo que, aparte de su nulo valor probatorio, es extemporánea”; y (iv) por último, con referencia al informe emitido por trece sociedades científicas, la demanda objeta que era igualmente una “hoja sin firmar con una nota de alerta […] aconsejando evitar todo tipo de eventos que fomenten aglomeraciones y aumenten el riesgo de transmisión” y que esas mismas sociedades científicas “podrían firmar otra nota de alerta contra los riesgos del tabaco y no por ello sería causa suficiente para prohibir el fumar a toda la población”.</w:t>
      </w:r>
    </w:p>
    <w:p w14:paraId="6F0A1A70" w14:textId="77777777" w:rsidR="008D479B" w:rsidRDefault="008D479B" w:rsidP="008D479B">
      <w:pPr>
        <w:pStyle w:val="TextoNormal"/>
      </w:pPr>
    </w:p>
    <w:p w14:paraId="0993509C" w14:textId="77777777" w:rsidR="008D479B" w:rsidRDefault="008D479B" w:rsidP="008D479B">
      <w:pPr>
        <w:pStyle w:val="TextoNormal"/>
      </w:pPr>
      <w:r>
        <w:t xml:space="preserve">Con invocación de la STC 193/2011, de 12 de diciembre, la demanda concluye expresando, que las “razones alegadas por la sentencia no son razonables, no son convincentes, no se fundan en datos objetivos que prueben que la celebración de la concentración atenta contra la salud, la integridad física y la vida de las personas por lo que si existen dudas razonables debe aplicarse el principio </w:t>
      </w:r>
      <w:r w:rsidRPr="008D479B">
        <w:rPr>
          <w:i/>
        </w:rPr>
        <w:t>favor libertatis</w:t>
      </w:r>
      <w:r>
        <w:t xml:space="preserve"> y permitir la concentración programada”.</w:t>
      </w:r>
    </w:p>
    <w:p w14:paraId="4AD3C0F9" w14:textId="77777777" w:rsidR="008D479B" w:rsidRDefault="008D479B" w:rsidP="008D479B">
      <w:pPr>
        <w:pStyle w:val="TextoNormal"/>
      </w:pPr>
    </w:p>
    <w:p w14:paraId="454423A0" w14:textId="77777777" w:rsidR="008D479B" w:rsidRDefault="008D479B" w:rsidP="008D479B">
      <w:pPr>
        <w:pStyle w:val="TextoNormal"/>
      </w:pPr>
      <w:r>
        <w:t>b) En segundo término, la demanda denuncia la “[a]usencia de juicio de proporcionalidad y constitucionalidad de la limitación impuesta”.</w:t>
      </w:r>
    </w:p>
    <w:p w14:paraId="3A46CDE8" w14:textId="77777777" w:rsidR="008D479B" w:rsidRDefault="008D479B" w:rsidP="008D479B">
      <w:pPr>
        <w:pStyle w:val="TextoNormal"/>
      </w:pPr>
    </w:p>
    <w:p w14:paraId="3F40AF7E" w14:textId="77777777" w:rsidR="008D479B" w:rsidRDefault="008D479B" w:rsidP="008D479B">
      <w:pPr>
        <w:pStyle w:val="TextoNormal"/>
      </w:pPr>
      <w:r>
        <w:t>Comienza el desarrollo de su argumentación afirmando que lo que se está juzgando en el caso de autos es “la justa proporción entre derechos y deberes” y pone como ejemplo que si el deber de trabajar “permite y exige que 250 personas se desplacen a su trabajo dentro de un vagón de metro, un espacio cerrado, sin posibilidad de mantener las distancias de protección recomendadas por las autoridades sanitarias, lo justo y equitativo es que 250 personas tengan derecho a reunirse en un espacio al aire libre manteniendo la distancia de seguridad en defensa de sus derechos”. Por ello, deduce que, si a estas últimas personas se les prohíbe el ejercicio de su derecho de reunión por reconocer la preeminencia del derecho a la salud, “con qué derecho se les puede exigir que tengan que desplazarse a su centro de trabajo en el transporte público, poniendo en riesgo su salud”.</w:t>
      </w:r>
    </w:p>
    <w:p w14:paraId="25D740D1" w14:textId="77777777" w:rsidR="008D479B" w:rsidRDefault="008D479B" w:rsidP="008D479B">
      <w:pPr>
        <w:pStyle w:val="TextoNormal"/>
      </w:pPr>
    </w:p>
    <w:p w14:paraId="77B3820C" w14:textId="77777777" w:rsidR="008D479B" w:rsidRDefault="008D479B" w:rsidP="008D479B">
      <w:pPr>
        <w:pStyle w:val="TextoNormal"/>
      </w:pPr>
      <w:r>
        <w:t>Por otro lado, el sindicato recurrente niega que la concentración pudiera convertirse potencialmente en masiva o en una manifestación, dado el número de manifestantes convocados, la existencia de un servicio de orden y la ausencia de recorrido. Según la demanda, “[e]l riesgo de esta concentración no e[ra] superior, en absoluto, al que pu[diera] existir, por ejemplo, en cualquier gran comercio de la Comunidad de Madrid, cuya actividad, como se sabe, está perfectamente permitida”. A continuación, insiste en que la intencionalidad de los sindicatos convocantes no era salir a la calle de forma masiva y que “la Delegación del Gobierno da[ba] a entender una suerte de acuerdo de voluntades entre los 104 convocantes para generar una especie de manifestación masiva, pero sin aportar prueba alguna de ello, y quedándose esa afirmación en la mera conjetura, entre otras cosas porque no existe concierto de voluntades para celebrar tal ‘macro manifestación’”.</w:t>
      </w:r>
    </w:p>
    <w:p w14:paraId="21F21CDB" w14:textId="77777777" w:rsidR="008D479B" w:rsidRDefault="008D479B" w:rsidP="008D479B">
      <w:pPr>
        <w:pStyle w:val="TextoNormal"/>
      </w:pPr>
    </w:p>
    <w:p w14:paraId="75C6F899" w14:textId="77777777" w:rsidR="008D479B" w:rsidRDefault="008D479B" w:rsidP="008D479B">
      <w:pPr>
        <w:pStyle w:val="TextoNormal"/>
      </w:pPr>
      <w:r>
        <w:t xml:space="preserve">Seguidamente, defiende que el riesgo de contagio en la concentración sería el mismo que existía en aquellas fechas al utilizar los medios de transporte para desplazarse al lugar de trabajo. Además, sostiene que no se argumenta en la sentencia que la concentración prohibida coincidiera “con ninguna otra que h[ubiera] de producirse en el lugar elegido (plaza de Cibeles). Incluso aunque así fuera, deberían ponderarse las características de las concentraciones para, en su caso, limitarlas, pero no prohibirlas”. Teniendo en cuenta el principio del </w:t>
      </w:r>
      <w:r w:rsidRPr="008D479B">
        <w:rPr>
          <w:i/>
        </w:rPr>
        <w:t>favor libertatis</w:t>
      </w:r>
      <w:r>
        <w:t>, a juicio del sindicato demandante, había “vías menos gravosas para conciliar el derecho en cuestión con la protección de la salud pública y los derechos o intereses constitucionalmente protegibles de los ciudadanos, pero la Delegación del Gobierno de Madrid ha optado por prohibir todas las manifestaciones y concentraciones más acorde con un estado de excepción o sitio que un estado de alarma”.</w:t>
      </w:r>
    </w:p>
    <w:p w14:paraId="32FE9E76" w14:textId="77777777" w:rsidR="008D479B" w:rsidRDefault="008D479B" w:rsidP="008D479B">
      <w:pPr>
        <w:pStyle w:val="TextoNormal"/>
      </w:pPr>
    </w:p>
    <w:p w14:paraId="7E44590F" w14:textId="77777777" w:rsidR="008D479B" w:rsidRDefault="008D479B" w:rsidP="008D479B">
      <w:pPr>
        <w:pStyle w:val="TextoNormal"/>
      </w:pPr>
      <w:r>
        <w:t>El recurso finaliza con el suplico de que sea otorgado el amparo pretendido y que, en consecuencia, este tribunal reconozca al sindicato demandante su derecho fundamental de reunión del art. 21.2 CE, así como que declare la nulidad de la sentencia impugnada.</w:t>
      </w:r>
    </w:p>
    <w:p w14:paraId="3104580A" w14:textId="77777777" w:rsidR="008D479B" w:rsidRDefault="008D479B" w:rsidP="008D479B">
      <w:pPr>
        <w:pStyle w:val="TextoNormal"/>
      </w:pPr>
    </w:p>
    <w:p w14:paraId="7565E177" w14:textId="77777777" w:rsidR="008D479B" w:rsidRDefault="008D479B" w:rsidP="008D479B">
      <w:pPr>
        <w:pStyle w:val="TextoNormal"/>
      </w:pPr>
      <w:r>
        <w:t>c) En apartado separado, la demanda justifica la especial transcendencia constitucional del recurso afirmando que el supuesto de hecho sometido a enjuiciamiento permitiría al Tribunal el análisis del ejercicio del derecho de reunión (art. 21.2 CE) durante la vigencia del estado de alarma, toda vez que el ATC 40/2020, de 30 de abril, que inadmitió a trámite otro recurso de amparo, difiere en hechos y fundamentos de derecho del presente recurso de amparo. Es por ello “por lo que corresponde al Tribunal Constitucional evaluar si la prohibición del ejercicio concreto del derecho de reunión en el supuesto específico planteado por el recurrente en amparo es adecuada al canon constitucional o no lo es”.</w:t>
      </w:r>
    </w:p>
    <w:p w14:paraId="4A71506F" w14:textId="77777777" w:rsidR="008D479B" w:rsidRDefault="008D479B" w:rsidP="008D479B">
      <w:pPr>
        <w:pStyle w:val="TextoNormal"/>
      </w:pPr>
    </w:p>
    <w:p w14:paraId="00A25B55" w14:textId="5EC4A44A" w:rsidR="008D479B" w:rsidRDefault="008D479B" w:rsidP="008D479B">
      <w:pPr>
        <w:pStyle w:val="TextoNormal"/>
      </w:pPr>
      <w:r>
        <w:t>d) La demanda de amparo solicita, por Otrosí, la suspensión inmediata por urgencia excepcional de la sentencia recurrida en amparo, con fundamento en el art. 56.6, en relación con el art. 56.2, ambos de la Ley Orgánica del Tribunal Constitucional (LOTC). La razón de pedir la suspensión es que la demanda de amparo fue presentada por vía telemática en la sede electrónica de este tribunal a las 07:27 horas del día 8 de marzo de 2021 y la concentración estaba prevista entre las 11:00 y las 14:30 horas de aquel mismo día, por lo que, de no suspenderse aquella resolución, el amparo “perdería su finalidad legítima, produciendo perjuicios irreparables” al recurrente, toda vez que el objeto de la concentración era la celebración del día internacional de la mujer y la celebración en otra fecha haría perder la “carga simbólica que ese día representa”.</w:t>
      </w:r>
    </w:p>
    <w:p w14:paraId="756E96C9" w14:textId="77777777" w:rsidR="008D479B" w:rsidRDefault="008D479B" w:rsidP="008D479B">
      <w:pPr>
        <w:pStyle w:val="TextoNormal"/>
      </w:pPr>
    </w:p>
    <w:p w14:paraId="6757651C" w14:textId="77777777" w:rsidR="008D479B" w:rsidRDefault="008D479B" w:rsidP="008D479B">
      <w:pPr>
        <w:pStyle w:val="TextoNormal"/>
      </w:pPr>
      <w:r w:rsidRPr="008D479B">
        <w:rPr>
          <w:rStyle w:val="NumeroAFNegritaCaracter"/>
        </w:rPr>
        <w:t>4</w:t>
      </w:r>
      <w:r>
        <w:t>. El Pleno del Tribunal, por providencia de 8 de marzo de 2021, conforme establece el art. 10.1 n) LOTC y a propuesta del Presidente, acordó recabar para sí el conocimiento de este recurso de amparo y su admisión a trámite, apreciando “que concurre en el mismo una especial trascendencia constitucional (art. 50.1 LOTC), por cuanto el asunto suscitado puede dar ocasión al Tribunal para aclarar o cambiar su doctrina, como consecuencia del surgimiento de nuevas realidades sociales [STC 155/2009, de 25 de junio, FJ 2 b)] y porque el asunto trasciende del caso concreto, porque plantea una cuestión jurídica de relevante y general repercusión social [STC 155/2009, FJ 2 g)]”.</w:t>
      </w:r>
    </w:p>
    <w:p w14:paraId="0101568B" w14:textId="77777777" w:rsidR="008D479B" w:rsidRDefault="008D479B" w:rsidP="008D479B">
      <w:pPr>
        <w:pStyle w:val="TextoNormal"/>
      </w:pPr>
    </w:p>
    <w:p w14:paraId="34E3F9F2" w14:textId="77777777" w:rsidR="008D479B" w:rsidRDefault="008D479B" w:rsidP="008D479B">
      <w:pPr>
        <w:pStyle w:val="TextoNormal"/>
      </w:pPr>
      <w:r>
        <w:t>En la misma resolución también se acordó dirigir atenta comunicación a la Sección Décima de la Sala de lo Contencioso-Administrativo del Tribunal Superior de Justicia de Madrid, a fin de que remitiera certificación o fotocopia adverada de las actuaciones correspondientes a los autos del derecho de reunión núm. 275-2021, debiendo emplazar a quienes hubieran intervenido en el procedimiento para que comparecieran en estas actuaciones, si así lo desearan, excepto a la parte recurrente en amparo.</w:t>
      </w:r>
    </w:p>
    <w:p w14:paraId="5FFDEBFF" w14:textId="77777777" w:rsidR="008D479B" w:rsidRDefault="008D479B" w:rsidP="008D479B">
      <w:pPr>
        <w:pStyle w:val="TextoNormal"/>
      </w:pPr>
    </w:p>
    <w:p w14:paraId="0EE901D9" w14:textId="77777777" w:rsidR="008D479B" w:rsidRDefault="008D479B" w:rsidP="008D479B">
      <w:pPr>
        <w:pStyle w:val="TextoNormal"/>
      </w:pPr>
      <w:r>
        <w:t>En relación con la solicitud de suspensión formulada en la demanda de amparo, la providencia agregaba que el Pleno no apreciaba la urgencia excepcional a que se refiere el art. 56.6 LOTC “por lo que no procede resolver inaudita parte, dado que el asunto presenta elementos sustantivos específicos que abogan por un estudio meditado y contradictorio de la medida cautelarísima instada”. Por el contrario, el Pleno ordenó formar la oportuna pieza separada de suspensión y, a tal fin, conceder al Ministerio Fiscal y a la parte recurrente un plazo de tres días para que efectuaran las alegaciones que estimaran procedentes respecto a dicha petición.</w:t>
      </w:r>
    </w:p>
    <w:p w14:paraId="2CAF906A" w14:textId="77777777" w:rsidR="008D479B" w:rsidRDefault="008D479B" w:rsidP="008D479B">
      <w:pPr>
        <w:pStyle w:val="TextoNormal"/>
      </w:pPr>
    </w:p>
    <w:p w14:paraId="211F7A26" w14:textId="57535547" w:rsidR="008D479B" w:rsidRDefault="008D479B" w:rsidP="008D479B">
      <w:pPr>
        <w:pStyle w:val="TextoNormal"/>
      </w:pPr>
      <w:r>
        <w:t>El Pleno del Tribunal, por ATC 52/2021, de 22 de abril, acordó “denegar la suspensión cautelar de la ejecución de la sentencia de 7 de marzo de 2021, dictada por la Sección Décima de la Sala de lo Contencioso-Administrativo del Tribunal Superior de Justicia de Madrid, solicitada por el recurrente de amparo”.</w:t>
      </w:r>
    </w:p>
    <w:p w14:paraId="6FEEA415" w14:textId="77777777" w:rsidR="008D479B" w:rsidRDefault="008D479B" w:rsidP="008D479B">
      <w:pPr>
        <w:pStyle w:val="TextoNormal"/>
      </w:pPr>
    </w:p>
    <w:p w14:paraId="40B92C32" w14:textId="510D1FC9" w:rsidR="008D479B" w:rsidRDefault="008D479B" w:rsidP="008D479B">
      <w:pPr>
        <w:pStyle w:val="TextoNormal"/>
      </w:pPr>
      <w:r w:rsidRPr="008D479B">
        <w:rPr>
          <w:rStyle w:val="NumeroAFNegritaCaracter"/>
        </w:rPr>
        <w:t>5</w:t>
      </w:r>
      <w:r>
        <w:t>. La Secretaría de Justicia del Pleno del Tribunal, por diligencia de ordenación de 5 de abril de 2021, tuvo por recibido el testimonio de las actuaciones y acordó dar vista de las actuaciones a la parte recurrente y al Ministerio Fiscal, por plazo común de veinte días, a fin de que, conforme con lo previsto en el art. 52 LOTC, pudieran presentar alegaciones.</w:t>
      </w:r>
    </w:p>
    <w:p w14:paraId="4F6291BD" w14:textId="77777777" w:rsidR="008D479B" w:rsidRDefault="008D479B" w:rsidP="008D479B">
      <w:pPr>
        <w:pStyle w:val="TextoNormal"/>
      </w:pPr>
    </w:p>
    <w:p w14:paraId="435E19EC" w14:textId="77777777" w:rsidR="008D479B" w:rsidRDefault="008D479B" w:rsidP="008D479B">
      <w:pPr>
        <w:pStyle w:val="TextoNormal"/>
      </w:pPr>
      <w:r w:rsidRPr="008D479B">
        <w:rPr>
          <w:rStyle w:val="NumeroAFNegritaCaracter"/>
        </w:rPr>
        <w:t>6</w:t>
      </w:r>
      <w:r>
        <w:t>. El sindicato demandante de amparo, mediante escrito registrado en el Tribunal el 7 de mayo de 2021, formuló alegaciones en las que se ratifica en los argumentos de la demanda, recalcando los siguientes aspectos:</w:t>
      </w:r>
    </w:p>
    <w:p w14:paraId="26500A49" w14:textId="77777777" w:rsidR="008D479B" w:rsidRDefault="008D479B" w:rsidP="008D479B">
      <w:pPr>
        <w:pStyle w:val="TextoNormal"/>
      </w:pPr>
    </w:p>
    <w:p w14:paraId="2EB6F071" w14:textId="77777777" w:rsidR="008D479B" w:rsidRDefault="008D479B" w:rsidP="008D479B">
      <w:pPr>
        <w:pStyle w:val="TextoNormal"/>
      </w:pPr>
      <w:r>
        <w:t>a) Todas las manifestaciones y concentraciones previstas para el 8 de marzo en la Comunidad de Madrid, que precisamente días antes había rebajado la calificación sanitaria de riesgo extremo a simplemente “alto”, fueron prohibidas, mientras que en el resto de comunidades autónomas, incluso con niveles de riesgo “extremo”, no solo no se prohibieron sino que se celebraron significativos eventos, lo cual induce a pensar que, bajo un estado de alarma, se aplicaron medidas de un estado de excepción o de sitio, conculcando derechos fundamentales.</w:t>
      </w:r>
    </w:p>
    <w:p w14:paraId="28CBCAD2" w14:textId="77777777" w:rsidR="008D479B" w:rsidRDefault="008D479B" w:rsidP="008D479B">
      <w:pPr>
        <w:pStyle w:val="TextoNormal"/>
      </w:pPr>
    </w:p>
    <w:p w14:paraId="5FC2C183" w14:textId="61860B60" w:rsidR="008D479B" w:rsidRDefault="008D479B" w:rsidP="008D479B">
      <w:pPr>
        <w:pStyle w:val="TextoNormal"/>
      </w:pPr>
      <w:r>
        <w:t xml:space="preserve">b) La resolución impugnada no hizo un auténtico juicio de proporcionalidad de la limitación impuesta, sino que dio por hecho que entrañaba la potencial conversión en una concentración masiva o el riesgo de extender los contagios. En el expediente judicial tampoco se justifica que la concentración hubiera coincidido con otra que se produjera en el mismo espacio, esto es, la Plaza de Cibeles. Concluye reiterando que debe prevalecer el </w:t>
      </w:r>
      <w:r w:rsidRPr="008D479B">
        <w:rPr>
          <w:i/>
        </w:rPr>
        <w:t>favor libertatis</w:t>
      </w:r>
      <w:r>
        <w:t xml:space="preserve"> y que se habrían debido escoger vías menos gravosas para conciliar la protección de la salud pública y los derechos de los ciudadanos.</w:t>
      </w:r>
    </w:p>
    <w:p w14:paraId="40354068" w14:textId="77777777" w:rsidR="008D479B" w:rsidRDefault="008D479B" w:rsidP="008D479B">
      <w:pPr>
        <w:pStyle w:val="TextoNormal"/>
      </w:pPr>
    </w:p>
    <w:p w14:paraId="09534290" w14:textId="77777777" w:rsidR="008D479B" w:rsidRDefault="008D479B" w:rsidP="008D479B">
      <w:pPr>
        <w:pStyle w:val="TextoNormal"/>
      </w:pPr>
      <w:r w:rsidRPr="008D479B">
        <w:rPr>
          <w:rStyle w:val="NumeroAFNegritaCaracter"/>
        </w:rPr>
        <w:t>7</w:t>
      </w:r>
      <w:r>
        <w:t>. El Ministerio Fiscal presentó sus alegaciones en el registro de este tribunal el día 13 de mayo de 2021, mediante las cuales propugna la desestimación de la demanda de amparo. Después de hacer una detallada descripción de los antecedentes más relevantes del caso, formula las siguientes consideraciones:</w:t>
      </w:r>
    </w:p>
    <w:p w14:paraId="158F5091" w14:textId="77777777" w:rsidR="008D479B" w:rsidRDefault="008D479B" w:rsidP="008D479B">
      <w:pPr>
        <w:pStyle w:val="TextoNormal"/>
      </w:pPr>
    </w:p>
    <w:p w14:paraId="60DA98E2" w14:textId="77777777" w:rsidR="008D479B" w:rsidRDefault="008D479B" w:rsidP="008D479B">
      <w:pPr>
        <w:pStyle w:val="TextoNormal"/>
      </w:pPr>
      <w:r>
        <w:t>a) Debe rechazarse la alegación de la demandante de amparo que imputa a la resolución administrativa del delegado de Gobierno en Madrid la falta de motivación exigible para restringir el derecho fundamental de reunión del art 21 CE. Dicha resolución no se basa en razones de peligro abstracto para la salud pública, sino que pondera los datos objetivos temporales y espaciales concurrentes en el contexto de una situación de pandemia, con referencia al estado de alarma acordado en virtud del Real Decreto 926/2020 y a las resoluciones de la Consejería de Sanidad de la Comunidad de Madrid, que adoptaron medidas limitativas en función de la evolución de la propagación del virus y la incidencia acumulada de los contagios. Asimismo, atiende a la coincidencia del acto con múltiples manifestaciones y concentraciones, que tenían el mismo objeto, en el mismo día y en lugares cercanos.</w:t>
      </w:r>
    </w:p>
    <w:p w14:paraId="41A27169" w14:textId="77777777" w:rsidR="008D479B" w:rsidRDefault="008D479B" w:rsidP="008D479B">
      <w:pPr>
        <w:pStyle w:val="TextoNormal"/>
      </w:pPr>
    </w:p>
    <w:p w14:paraId="4C6EBABB" w14:textId="77777777" w:rsidR="008D479B" w:rsidRDefault="008D479B" w:rsidP="008D479B">
      <w:pPr>
        <w:pStyle w:val="TextoNormal"/>
      </w:pPr>
      <w:r>
        <w:t>La valoración de estos factores llevó al delegado del Gobierno a estimar que, en tales circunstancias, no se podía garantizar el cumplimiento de las medidas sanitarias de distanciamiento, existiendo un riesgo evidente de multiplicación de los contagios entre los participantes en los actos y los contactos que estos tuvieran, lo que incidiría en la grave situación epidemiológica de Madrid. Por tanto, se restringe el derecho fundamental de reunión con base en razones fundadas que atienden a datos objetivos y reales (con cita de la STC 193/2011, FJ 3). Así, la fiscal concluye que no es atribuible a la resolución administrativa del delegado del Gobierno la vulneración del derecho fundamental de reunión por carecer de motivación.</w:t>
      </w:r>
    </w:p>
    <w:p w14:paraId="12DE04EA" w14:textId="77777777" w:rsidR="008D479B" w:rsidRDefault="008D479B" w:rsidP="008D479B">
      <w:pPr>
        <w:pStyle w:val="TextoNormal"/>
      </w:pPr>
    </w:p>
    <w:p w14:paraId="66A03131" w14:textId="77777777" w:rsidR="008D479B" w:rsidRDefault="008D479B" w:rsidP="008D479B">
      <w:pPr>
        <w:pStyle w:val="TextoNormal"/>
      </w:pPr>
      <w:r>
        <w:t>La fiscal invoca el ATC 40/2020, de 30 de abril, FJ 4, que analizó la constitucionalidad de la prohibición por la autoridad competente de una manifestación convocada para el día 1 de mayo de 2020 en la ciudad de Vigo. Considera que hay gran similitud entre ambos casos, por lo que es trasladable al presente recurso su razonamiento, debiendo tener en cuenta además que la resolución de la Delegación del Gobierno de Madrid no presenta las carencias de motivación que tenía la resolución administrativa enjuiciada en aquel auto.</w:t>
      </w:r>
    </w:p>
    <w:p w14:paraId="599D5543" w14:textId="77777777" w:rsidR="008D479B" w:rsidRDefault="008D479B" w:rsidP="008D479B">
      <w:pPr>
        <w:pStyle w:val="TextoNormal"/>
      </w:pPr>
    </w:p>
    <w:p w14:paraId="495FC085" w14:textId="77777777" w:rsidR="008D479B" w:rsidRDefault="008D479B" w:rsidP="008D479B">
      <w:pPr>
        <w:pStyle w:val="TextoNormal"/>
      </w:pPr>
      <w:r>
        <w:t>b) A continuación, aborda la lesión atribuida a la sentencia dictada por la Sala de lo Contencioso-Administrativo del Tribunal Superior de Justicia de Madrid. Parte de que no se le achaca una lesión autónoma del art. 24.1 CE, sino haber acogido los argumentos de la resolución administrativa. Para el Ministerio Fiscal la sentencia está suficientemente motivada porque, tras exponer las razones por las que la resolución gubernativa prohibió la concentración, aprecia que no se basan en meras conjeturas o sospechas, sino en datos objetivos derivados de las circunstancias concretas en las que se pretende ejercer el derecho de reunión.</w:t>
      </w:r>
    </w:p>
    <w:p w14:paraId="5FA4E332" w14:textId="77777777" w:rsidR="008D479B" w:rsidRDefault="008D479B" w:rsidP="008D479B">
      <w:pPr>
        <w:pStyle w:val="TextoNormal"/>
      </w:pPr>
    </w:p>
    <w:p w14:paraId="70947B30" w14:textId="77777777" w:rsidR="008D479B" w:rsidRDefault="008D479B" w:rsidP="008D479B">
      <w:pPr>
        <w:pStyle w:val="TextoNormal"/>
      </w:pPr>
      <w:r>
        <w:t xml:space="preserve">La sentencia también examinaba si se había respetado el principio </w:t>
      </w:r>
      <w:r w:rsidRPr="008D479B">
        <w:rPr>
          <w:i/>
        </w:rPr>
        <w:t>favor libertatis</w:t>
      </w:r>
      <w:r>
        <w:t xml:space="preserve"> y si se podía considerar cumplido el juicio de proporcionalidad. En este último sentido, se examina si se cumple el test de los tres niveles: (i) si la medida era idónea para garantizar la finalidad legitima perseguida de protección de la salud pública; (ii) si, además, era necesaria porque la finalidad no podía ser alcanzada con otra medida menos restrictiva del derecho en conflicto; y (iii) si era proporcionada en sentido estricto, es decir, ponderada o equilibrada por derivarse de ella más beneficios o ventajas para el interés general que los perjuicios que supone para los derechos en conflicto.</w:t>
      </w:r>
    </w:p>
    <w:p w14:paraId="38CE8935" w14:textId="77777777" w:rsidR="008D479B" w:rsidRDefault="008D479B" w:rsidP="008D479B">
      <w:pPr>
        <w:pStyle w:val="TextoNormal"/>
      </w:pPr>
    </w:p>
    <w:p w14:paraId="4FC25470" w14:textId="77777777" w:rsidR="008D479B" w:rsidRDefault="008D479B" w:rsidP="008D479B">
      <w:pPr>
        <w:pStyle w:val="TextoNormal"/>
      </w:pPr>
      <w:r>
        <w:t>Considera que la sentencia valora la necesidad y proporcionalidad de la medida en orden a proteger la salud pública, que se veía comprometida en la situación de pandemia en la que se celebraría la concentración comunicada. Y lo hace teniendo en cuenta todos los datos sanitarios constatados en el expediente administrativo sobre la situación en la que se encontraba la Comunidad de Madrid, considerando que esas circunstancias no garantizaban que las medidas sanitarias pudieran cumplirse puesto que no se ofrecían por los promotores medidas de seguridad concretas e idóneas para garantizarlas, haciendo solo el ofrecimiento genérico de un servicio de orden. En particular, la sentencia toma en cuenta el informe policial de 3 de marzo que destacaba la multitud de concentraciones y manifestaciones previstas en la Comunidad de Madrid entre los días 5 y 8 de marzo, tanto las comunicadas a la autoridad gubernativa, como las que se estaban convocando por redes sociales, lo que hacía muy difícil que los dispositivos policiales pudieran hacer cumplir las normas sanitarias de separación y distanciamiento. Igualmente, la sentencia atendía al informe emitido por la directora general de Salud Pública, de 3 de marzo de 2021, que se incorporó al expediente administrativo después de dictada la resolución, sobre la incidencia que tendría la concentración propuesta para la salud pública y la transmisión de la enfermedad.</w:t>
      </w:r>
    </w:p>
    <w:p w14:paraId="212C5C53" w14:textId="77777777" w:rsidR="008D479B" w:rsidRDefault="008D479B" w:rsidP="008D479B">
      <w:pPr>
        <w:pStyle w:val="TextoNormal"/>
      </w:pPr>
    </w:p>
    <w:p w14:paraId="25F9C455" w14:textId="14CE3185" w:rsidR="008D479B" w:rsidRDefault="008D479B" w:rsidP="008D479B">
      <w:pPr>
        <w:pStyle w:val="TextoNormal"/>
      </w:pPr>
      <w:r>
        <w:t>Con apoyo en todas esas circunstancias, la Sala de lo Contencioso-Administrativo del Tribunal Superior de Justicia de Madrid estima que la medida de prohibición de la manifestación cumple los tres criterios del juicio de proporcionalidad, debiendo considerarse necesaria y equilibrada respecto del sacrificio que comporta en el derecho de reunión, que ha de ceder frente a la protección al derecho a la vida, la integridad física y la salud de las personas.</w:t>
      </w:r>
    </w:p>
    <w:p w14:paraId="6F72B718" w14:textId="77777777" w:rsidR="008D479B" w:rsidRDefault="008D479B" w:rsidP="008D479B">
      <w:pPr>
        <w:pStyle w:val="TextoNormal"/>
      </w:pPr>
    </w:p>
    <w:p w14:paraId="1EDD99F9" w14:textId="3668AD3D" w:rsidR="008D479B" w:rsidRDefault="008D479B" w:rsidP="008D479B">
      <w:pPr>
        <w:pStyle w:val="TextoNormal"/>
      </w:pPr>
      <w:r w:rsidRPr="008D479B">
        <w:rPr>
          <w:rStyle w:val="NumeroAFNegritaCaracter"/>
        </w:rPr>
        <w:t>8</w:t>
      </w:r>
      <w:r>
        <w:t>. Por providencia de 12 de diciembre de 2023 se señaló ese mismo día para deliberación y votación de la presente sentencia.</w:t>
      </w:r>
    </w:p>
    <w:p w14:paraId="48B82BE5" w14:textId="77777777" w:rsidR="008D479B" w:rsidRDefault="008D479B" w:rsidP="008D479B">
      <w:pPr>
        <w:pStyle w:val="TextoNormal"/>
      </w:pPr>
    </w:p>
    <w:p w14:paraId="2B6E9172" w14:textId="77777777" w:rsidR="008D479B" w:rsidRDefault="008D479B" w:rsidP="008D479B">
      <w:pPr>
        <w:pStyle w:val="TextoNormalNegritaCentrado"/>
        <w:keepNext/>
      </w:pPr>
      <w:r>
        <w:t>II. Fundamentos jurídicos</w:t>
      </w:r>
    </w:p>
    <w:p w14:paraId="22E54FD2" w14:textId="5233E1E9" w:rsidR="008D479B" w:rsidRDefault="008D479B" w:rsidP="008D479B">
      <w:pPr>
        <w:pStyle w:val="TextoNormalNegritaCentrado"/>
        <w:keepNext/>
      </w:pPr>
    </w:p>
    <w:p w14:paraId="30824E41" w14:textId="77777777" w:rsidR="008D479B" w:rsidRDefault="008D479B" w:rsidP="008D479B">
      <w:pPr>
        <w:pStyle w:val="TextoNormal"/>
      </w:pPr>
      <w:r w:rsidRPr="008D479B">
        <w:rPr>
          <w:rStyle w:val="TextoNormalNegritaCaracter"/>
        </w:rPr>
        <w:t xml:space="preserve">Único. </w:t>
      </w:r>
      <w:r w:rsidRPr="008D479B">
        <w:rPr>
          <w:i/>
        </w:rPr>
        <w:t>Aplicación de la jurisprudencia establecida en la STC 164/2023, de 21 de noviembre</w:t>
      </w:r>
    </w:p>
    <w:p w14:paraId="4937C616" w14:textId="77777777" w:rsidR="008D479B" w:rsidRDefault="008D479B" w:rsidP="008D479B">
      <w:pPr>
        <w:pStyle w:val="TextoNormal"/>
      </w:pPr>
    </w:p>
    <w:p w14:paraId="44369088" w14:textId="77777777" w:rsidR="008D479B" w:rsidRDefault="008D479B" w:rsidP="008D479B">
      <w:pPr>
        <w:pStyle w:val="TextoNormal"/>
      </w:pPr>
      <w:r>
        <w:t>El objeto del presente recurso es determinar si ha vulnerado el derecho fundamental de reunión (art. 21 CE) del sindicato demandante de amparo la resolución del delegado del Gobierno en la Comunidad de Madrid de 3 de marzo de 2021, pronunciada en el expediente núm. 325-2021, que prohibió la concentración que convocó, junto con otro sindicato, para el día 8 de marzo de 2021, con motivo del día internacional de la mujer, que fue confirmada por la sentencia de la Sección Décima de la Sala de lo Contencioso-Administrativo del Tribunal Superior de Justicia de Madrid de 7 de marzo de 2021, pronunciada en el procedimiento sobre derecho de reunión núm. 275-2021.</w:t>
      </w:r>
    </w:p>
    <w:p w14:paraId="2A7993ED" w14:textId="77777777" w:rsidR="008D479B" w:rsidRDefault="008D479B" w:rsidP="008D479B">
      <w:pPr>
        <w:pStyle w:val="TextoNormal"/>
      </w:pPr>
    </w:p>
    <w:p w14:paraId="1404C1DA" w14:textId="77777777" w:rsidR="008D479B" w:rsidRDefault="008D479B" w:rsidP="008D479B">
      <w:pPr>
        <w:pStyle w:val="TextoNormal"/>
      </w:pPr>
      <w:r>
        <w:t>El objeto de este recurso es el mismo que el resuelto por la STC 164/2023, de 21 de noviembre, en el que el sindicato que convocó con el ahora demandante de amparo la concentración prohibida por las resoluciones impugnadas también las recurrió en amparo con invocación de su derecho de reunión. En dicha sentencia, el Tribunal concluyó que la prohibición gubernativa vulneró el art. 21 CE y supuso una restricción desproporcionada del derecho de reunión y manifestación del que era titular la parte demandante, dado que la medida de prohibición supuso la máxima afectación del derecho fundamental, con un bajo valor de utilidad para el fin de preservar la salud pública, pues concurría ya en aquel momento una realidad muy distinta a la existente durante la vigencia del primer estado de alarma provocado por la pandemia del virus covid-19. El resultado del juicio de proporcionalidad estricta revela como muy escasa la incidencia que la prohibición de la reunión reivindicativa convocada tendría en el riesgo de contagio y, por ello, la poca relevancia que aportaría a la satisfacción del interés general representado por la salud pública, finalidad que justificaba la intervención de la autoridad gubernativa.</w:t>
      </w:r>
    </w:p>
    <w:p w14:paraId="6F07F014" w14:textId="77777777" w:rsidR="008D479B" w:rsidRDefault="008D479B" w:rsidP="008D479B">
      <w:pPr>
        <w:pStyle w:val="TextoNormal"/>
      </w:pPr>
    </w:p>
    <w:p w14:paraId="1CF81A88" w14:textId="65C167F7" w:rsidR="008D479B" w:rsidRDefault="008D479B" w:rsidP="008D479B">
      <w:pPr>
        <w:pStyle w:val="TextoNormal"/>
      </w:pPr>
      <w:r>
        <w:t>Por tanto, con remisión a los argumentos expuestos en dicha sentencia, procede ahora la estimación del presente recurso de amparo con anulación de las resoluciones impugnadas también respecto del sindicato demandante en este recurso de amparo.</w:t>
      </w:r>
    </w:p>
    <w:p w14:paraId="6F81BAB1" w14:textId="77777777" w:rsidR="008D479B" w:rsidRDefault="008D479B" w:rsidP="008D479B">
      <w:pPr>
        <w:pStyle w:val="TextoNormal"/>
      </w:pPr>
    </w:p>
    <w:p w14:paraId="68C7BB01" w14:textId="77777777" w:rsidR="008D479B" w:rsidRDefault="008D479B" w:rsidP="008D479B">
      <w:pPr>
        <w:pStyle w:val="TextoNormalCentrado"/>
        <w:keepNext/>
      </w:pPr>
      <w:r>
        <w:t>FALLO</w:t>
      </w:r>
    </w:p>
    <w:p w14:paraId="6E7BCAD2" w14:textId="1E20BB8C" w:rsidR="008D479B" w:rsidRDefault="008D479B" w:rsidP="008D479B">
      <w:pPr>
        <w:pStyle w:val="TextoNormalCentrado"/>
        <w:keepNext/>
      </w:pPr>
    </w:p>
    <w:p w14:paraId="191D1D03" w14:textId="77777777" w:rsidR="008D479B" w:rsidRDefault="008D479B" w:rsidP="008D479B">
      <w:pPr>
        <w:pStyle w:val="TextoNormal"/>
      </w:pPr>
      <w:r>
        <w:t>En atención a todo lo expuesto, el Tribunal Constitucional, por la autoridad que le confiere la Constitución de la Nación española, ha decidido estimar el recurso de amparo interpuesto por la Unión Sindical de Madrid Región de Comisiones Obreras, y en su virtud:</w:t>
      </w:r>
    </w:p>
    <w:p w14:paraId="3E3383EE" w14:textId="77777777" w:rsidR="008D479B" w:rsidRDefault="008D479B" w:rsidP="008D479B">
      <w:pPr>
        <w:pStyle w:val="TextoNormal"/>
      </w:pPr>
    </w:p>
    <w:p w14:paraId="4BB55C6B" w14:textId="77777777" w:rsidR="008D479B" w:rsidRDefault="008D479B" w:rsidP="008D479B">
      <w:pPr>
        <w:pStyle w:val="TextoNormal"/>
      </w:pPr>
      <w:r>
        <w:t>1º Declarar que se ha vulnerado su derecho fundamental de reunión y manifestación (art. 21 CE).</w:t>
      </w:r>
    </w:p>
    <w:p w14:paraId="39806269" w14:textId="77777777" w:rsidR="008D479B" w:rsidRDefault="008D479B" w:rsidP="008D479B">
      <w:pPr>
        <w:pStyle w:val="TextoNormal"/>
      </w:pPr>
    </w:p>
    <w:p w14:paraId="22268208" w14:textId="39A0D3C2" w:rsidR="008D479B" w:rsidRDefault="008D479B" w:rsidP="008D479B">
      <w:pPr>
        <w:pStyle w:val="TextoNormal"/>
      </w:pPr>
      <w:r>
        <w:t>2º Restablecerle en su derecho y, a tal fin, anular la resolución del delegado del Gobierno en la Comunidad de Madrid de 3 de marzo de 2021, pronunciada en el expediente núm. 325-2021, que prohibió la manifestación que la demandante había convocado para el día 8 de marzo de 2021 en Madrid, y la sentencia de la Sección Décima de la Sala de lo Contencioso-Administrativo del Tribunal Superior de Justicia de Madrid de 7 de marzo de 2021, pronunciada en el procedimiento sobre derecho de reunión núm. 275-2021, que desestimó el recurso interpuesto contra la anterior resolución.</w:t>
      </w:r>
    </w:p>
    <w:p w14:paraId="16CDA59D" w14:textId="77777777" w:rsidR="008D479B" w:rsidRDefault="008D479B" w:rsidP="008D479B">
      <w:pPr>
        <w:pStyle w:val="TextoNormal"/>
      </w:pPr>
    </w:p>
    <w:p w14:paraId="1FAFEE07" w14:textId="77777777" w:rsidR="008D479B" w:rsidRDefault="008D479B" w:rsidP="008D479B">
      <w:pPr>
        <w:pStyle w:val="TextoNormal"/>
      </w:pPr>
      <w:r>
        <w:t>Publíquese esta sentencia en el “Boletín Oficial del Estado”.</w:t>
      </w:r>
    </w:p>
    <w:p w14:paraId="52526DBC" w14:textId="77777777" w:rsidR="008D479B" w:rsidRDefault="008D479B" w:rsidP="008D479B">
      <w:pPr>
        <w:pStyle w:val="TextoNormal"/>
      </w:pPr>
      <w:r>
        <w:t>Dada en Madrid, a doce de diciembre de dos mil veintitrés.</w:t>
      </w:r>
    </w:p>
    <w:p w14:paraId="2FE1D318" w14:textId="3B4B4993" w:rsidR="008D479B" w:rsidRDefault="008D479B" w:rsidP="008D479B">
      <w:pPr>
        <w:pStyle w:val="ParrafoNormal"/>
      </w:pPr>
    </w:p>
    <w:p w14:paraId="434273BF" w14:textId="77777777" w:rsidR="008D479B" w:rsidRDefault="008D479B" w:rsidP="008D479B">
      <w:pPr>
        <w:pStyle w:val="TextoNormalNegritaCentrado"/>
        <w:keepNext/>
      </w:pPr>
      <w:r>
        <w:t>Voto particular que formulan los magistrados don Ricardo Enríquez Sancho y don Enrique Arnaldo Alcubilla y la magistrada doña Concepción Espejel Jorquera a la sentencia dictada por el Pleno en el recurso de amparo núm. 1294-2021</w:t>
      </w:r>
    </w:p>
    <w:p w14:paraId="4A50DA37" w14:textId="1AD0470D" w:rsidR="008D479B" w:rsidRDefault="008D479B" w:rsidP="008D479B">
      <w:pPr>
        <w:pStyle w:val="TextoNormalNegritaCentrado"/>
        <w:keepNext/>
      </w:pPr>
    </w:p>
    <w:p w14:paraId="0E6B6280" w14:textId="77777777" w:rsidR="008D479B" w:rsidRDefault="008D479B" w:rsidP="008D479B">
      <w:pPr>
        <w:pStyle w:val="TextoNormal"/>
      </w:pPr>
      <w:r>
        <w:t>En el ejercicio de la facultad que nos confiere el artículo 90.2 de la Ley Orgánica del Tribunal Constitucional, y con el máximo respeto a la opinión de la mayoría, formulamos el presente voto particular concurrente por discrepar en parte de la fundamentación de la sentencia recaída en el recurso de amparo núm. 1294-2021, que ha conducido a la estimación de la demanda por falta de proporcionalidad en sentido estricto de la medida de prohibición del ejercicio del derecho fundamental de reunión y manifestación (art. 21 CE) de la parte demandante.</w:t>
      </w:r>
    </w:p>
    <w:p w14:paraId="67BD442A" w14:textId="77777777" w:rsidR="008D479B" w:rsidRDefault="008D479B" w:rsidP="008D479B">
      <w:pPr>
        <w:pStyle w:val="TextoNormal"/>
      </w:pPr>
    </w:p>
    <w:p w14:paraId="0D56A9A4" w14:textId="77777777" w:rsidR="008D479B" w:rsidRDefault="008D479B" w:rsidP="008D479B">
      <w:pPr>
        <w:pStyle w:val="TextoNormal"/>
      </w:pPr>
      <w:r>
        <w:t>Las razones de nuestra discrepancia son idénticas a las expresadas en el voto particular concurrente que suscribimos a la STC 164/2023, de 21 de noviembre, en la que el Pleno resolvió el recurso de amparo interpuesto por otro sindicato con el mismo objeto; cuya doctrina aplica íntegramente la presente sentencia, por lo que procede que nos remitamos sin más a lo expuesto en aquel voto.</w:t>
      </w:r>
    </w:p>
    <w:p w14:paraId="0C88B487" w14:textId="77777777" w:rsidR="008D479B" w:rsidRDefault="008D479B" w:rsidP="008D479B">
      <w:pPr>
        <w:pStyle w:val="TextoNormal"/>
      </w:pPr>
    </w:p>
    <w:p w14:paraId="2E5AD8E2" w14:textId="73824C72" w:rsidR="008D479B" w:rsidRDefault="008D479B" w:rsidP="008D479B">
      <w:pPr>
        <w:pStyle w:val="TextoNormal"/>
      </w:pPr>
      <w:r>
        <w:t>Madrid, a doce de diciembre de dos mil veintitrés.</w:t>
      </w:r>
    </w:p>
    <w:p w14:paraId="0407073C" w14:textId="77777777" w:rsidR="008D479B" w:rsidRDefault="008D479B" w:rsidP="008D479B">
      <w:pPr>
        <w:pStyle w:val="TextoNormal"/>
      </w:pPr>
    </w:p>
    <w:p w14:paraId="46C23217" w14:textId="77777777" w:rsidR="008D479B" w:rsidRDefault="008D479B" w:rsidP="008D479B">
      <w:pPr>
        <w:pStyle w:val="TextoNormalNegritaCentrado"/>
        <w:keepNext/>
      </w:pPr>
      <w:r>
        <w:t>Voto particular que formula la magistrada doña María Luisa Segoviano Astaburuaga respecto de la sentencia dictada en el recurso de amparo avocado núm. 1294-2021, al que se adhiere la magistrada doña Laura Díez Bueso</w:t>
      </w:r>
    </w:p>
    <w:p w14:paraId="3D6F7548" w14:textId="77F32AE9" w:rsidR="008D479B" w:rsidRDefault="008D479B" w:rsidP="008D479B">
      <w:pPr>
        <w:pStyle w:val="TextoNormalNegritaCentrado"/>
        <w:keepNext/>
      </w:pPr>
    </w:p>
    <w:p w14:paraId="4292DAFA" w14:textId="77777777" w:rsidR="008D479B" w:rsidRDefault="008D479B" w:rsidP="008D479B">
      <w:pPr>
        <w:pStyle w:val="TextoNormal"/>
      </w:pPr>
      <w:r>
        <w:t>Con el máximo respeto a los magistrados y magistradas de este tribunal, debo reiterar, en coherencia con el voto particular formulado a la STC 164/2023, de 21 de noviembre, mi discrepancia, por las razones allí expuestas, con la estimación del recurso por vulneración del derecho fundamental de reunión y manifestación (art. 21 CE).</w:t>
      </w:r>
    </w:p>
    <w:p w14:paraId="4D18F8B6" w14:textId="77777777" w:rsidR="008D479B" w:rsidRDefault="008D479B" w:rsidP="008D479B">
      <w:pPr>
        <w:pStyle w:val="TextoNormal"/>
      </w:pPr>
    </w:p>
    <w:p w14:paraId="37CD6EE4" w14:textId="520A460B" w:rsidR="008D479B" w:rsidRDefault="008D479B" w:rsidP="008D479B">
      <w:pPr>
        <w:pStyle w:val="TextoNormal"/>
      </w:pPr>
      <w:r>
        <w:t>Madrid, a doce de diciembre de dos mil veintitrés.</w:t>
      </w:r>
    </w:p>
    <w:p w14:paraId="4FAB20AE" w14:textId="7311A194" w:rsidR="008D479B" w:rsidRDefault="008D479B">
      <w:pPr>
        <w:spacing w:after="160" w:line="278" w:lineRule="auto"/>
        <w:rPr>
          <w:rFonts w:ascii="Times New Roman" w:eastAsia="Times New Roman" w:hAnsi="Times New Roman" w:cs="Times New Roman"/>
          <w:sz w:val="24"/>
          <w:szCs w:val="24"/>
          <w:lang w:eastAsia="es-ES"/>
        </w:rPr>
      </w:pPr>
      <w:r>
        <w:br w:type="page"/>
      </w:r>
    </w:p>
    <w:p w14:paraId="311BFC6A" w14:textId="77777777" w:rsidR="008D479B" w:rsidRDefault="008D479B" w:rsidP="008D479B">
      <w:pPr>
        <w:pStyle w:val="TtuloResolucin"/>
      </w:pPr>
      <w:bookmarkStart w:id="114" w:name="SENTENCIA_2023_189"/>
      <w:r>
        <w:t>SENTENCIA 189/2023, de 12 de diciembre de 2023</w:t>
      </w:r>
    </w:p>
    <w:bookmarkEnd w:id="114"/>
    <w:p w14:paraId="272ED77B" w14:textId="77777777" w:rsidR="008D479B" w:rsidRDefault="008D479B" w:rsidP="008D479B">
      <w:pPr>
        <w:pStyle w:val="TtuloResolucin"/>
      </w:pPr>
      <w:r>
        <w:t>Pleno</w:t>
      </w:r>
    </w:p>
    <w:p w14:paraId="027BBD89" w14:textId="77777777" w:rsidR="008D479B" w:rsidRDefault="008D479B" w:rsidP="008D479B">
      <w:pPr>
        <w:pStyle w:val="TtuloBOE"/>
      </w:pPr>
      <w:r>
        <w:t>(BOE núm. 16, de 18 de enero de 2024)</w:t>
      </w:r>
    </w:p>
    <w:p w14:paraId="2521B2EB" w14:textId="77777777" w:rsidR="008D479B" w:rsidRDefault="008D479B" w:rsidP="008D479B">
      <w:pPr>
        <w:pStyle w:val="TextoNormalCentrado"/>
      </w:pPr>
      <w:r>
        <w:t>ECLI:ES:TC:2023:189</w:t>
      </w:r>
    </w:p>
    <w:p w14:paraId="33EEC9D5" w14:textId="6AC1BAA1" w:rsidR="008D479B" w:rsidRDefault="008D479B" w:rsidP="008D479B">
      <w:pPr>
        <w:pStyle w:val="TextoNormalCentrado"/>
      </w:pPr>
    </w:p>
    <w:p w14:paraId="638B981C" w14:textId="77777777" w:rsidR="008D479B" w:rsidRDefault="008D479B" w:rsidP="008D479B">
      <w:pPr>
        <w:pStyle w:val="SntesisDescriptiva"/>
      </w:pPr>
      <w:r>
        <w:t>Recurso de inconstitucionalidad 1922-2023. Interpuesto por la Asamblea de Madrid respecto del artículo 3 de la Ley 38/2022, de 27 de diciembre, para el establecimiento de gravámenes temporales energético y de entidades de crédito y establecimientos financieros de crédito y por la que se crea el impuesto temporal de solidaridad de las grandes fortunas, y se modifican determinadas normas tributarias.</w:t>
      </w:r>
    </w:p>
    <w:p w14:paraId="5A3EEE62" w14:textId="6EC70159" w:rsidR="008D479B" w:rsidRDefault="008D479B" w:rsidP="008D479B">
      <w:pPr>
        <w:pStyle w:val="SntesisDescriptiva"/>
      </w:pPr>
    </w:p>
    <w:p w14:paraId="60426880" w14:textId="77777777" w:rsidR="008D479B" w:rsidRDefault="008D479B" w:rsidP="008D479B">
      <w:pPr>
        <w:pStyle w:val="SntesisAnaltica"/>
      </w:pPr>
      <w:r>
        <w:t>Supuesta vulneración del derecho al ejercicio de las funciones representativas (homogeneidad de las enmiendas parlamentarias respecto del texto que se pretende modificar), principios de legalidad tributaria, capacidad económica y no confiscatoriedad, corresponsabilidad fiscal y lealtad institucional: STC 149/2023 (constitucionalidad del precepto legal que crea el impuesto temporal sobre grandes fortunas como tributo directo, de naturaleza personal y complementario del impuesto sobre el patrimonio). Voto particular.</w:t>
      </w:r>
    </w:p>
    <w:p w14:paraId="319667B2" w14:textId="00F8B4F2" w:rsidR="008D479B" w:rsidRDefault="008D479B" w:rsidP="008D479B">
      <w:pPr>
        <w:pStyle w:val="SntesisAnaltica"/>
      </w:pPr>
    </w:p>
    <w:p w14:paraId="57D18A21" w14:textId="32660198" w:rsidR="008D479B" w:rsidRDefault="008D479B" w:rsidP="008D479B">
      <w:pPr>
        <w:pStyle w:val="Extracto"/>
      </w:pPr>
      <w:r>
        <w:t>1.</w:t>
      </w:r>
      <w:r>
        <w:tab/>
        <w:t xml:space="preserve">En aplicación de la doctrina dictada en la STC 149/2023, los principios de lealtad institucional -reconocido en el art. 2.1 g) LOFCA- y de igualdad no quedan afectados por el establecimiento del impuesto temporal de solidaridad de las grandes fortunas porque este tributo genera desigualdad ni pérdida recaudatoria para las comunidades autónomas </w:t>
      </w:r>
    </w:p>
    <w:p w14:paraId="5C95A6D7" w14:textId="77777777" w:rsidR="008D479B" w:rsidRDefault="008D479B" w:rsidP="008D479B">
      <w:pPr>
        <w:pStyle w:val="Extracto"/>
      </w:pPr>
    </w:p>
    <w:p w14:paraId="35BE4F13" w14:textId="77777777" w:rsidR="008D479B" w:rsidRDefault="008D479B" w:rsidP="008D479B">
      <w:pPr>
        <w:pStyle w:val="Extracto"/>
      </w:pPr>
    </w:p>
    <w:p w14:paraId="3EAECFD4" w14:textId="77777777" w:rsidR="008D479B" w:rsidRDefault="008D479B" w:rsidP="008D479B">
      <w:pPr>
        <w:pStyle w:val="TextoNormal"/>
      </w:pPr>
      <w: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 ha pronunciado</w:t>
      </w:r>
    </w:p>
    <w:p w14:paraId="65339C49" w14:textId="6EC2B536" w:rsidR="008D479B" w:rsidRDefault="008D479B" w:rsidP="008D479B">
      <w:pPr>
        <w:pStyle w:val="TextoNormal"/>
      </w:pPr>
    </w:p>
    <w:p w14:paraId="6ED7051F" w14:textId="77777777" w:rsidR="008D479B" w:rsidRDefault="008D479B" w:rsidP="008D479B">
      <w:pPr>
        <w:pStyle w:val="TextoNormalCentrado"/>
        <w:keepNext/>
      </w:pPr>
      <w:r>
        <w:t>EN NOMBRE DEL REY</w:t>
      </w:r>
    </w:p>
    <w:p w14:paraId="41772C11" w14:textId="13E26205" w:rsidR="008D479B" w:rsidRDefault="008D479B" w:rsidP="008D479B">
      <w:pPr>
        <w:pStyle w:val="TextoNormalCentrado"/>
        <w:keepNext/>
      </w:pPr>
    </w:p>
    <w:p w14:paraId="0F7845C2" w14:textId="77777777" w:rsidR="008D479B" w:rsidRDefault="008D479B" w:rsidP="008D479B">
      <w:pPr>
        <w:pStyle w:val="TextoNormalCentrado"/>
        <w:keepNext/>
      </w:pPr>
    </w:p>
    <w:p w14:paraId="661B50C8" w14:textId="77777777" w:rsidR="008D479B" w:rsidRDefault="008D479B" w:rsidP="008D479B">
      <w:pPr>
        <w:pStyle w:val="TextoNormal"/>
      </w:pPr>
      <w:r>
        <w:t>la siguiente</w:t>
      </w:r>
    </w:p>
    <w:p w14:paraId="04624B1B" w14:textId="49E80BD9" w:rsidR="008D479B" w:rsidRDefault="008D479B" w:rsidP="008D479B">
      <w:pPr>
        <w:pStyle w:val="TextoNormal"/>
      </w:pPr>
    </w:p>
    <w:p w14:paraId="6905D379" w14:textId="77777777" w:rsidR="008D479B" w:rsidRDefault="008D479B" w:rsidP="008D479B">
      <w:pPr>
        <w:pStyle w:val="TextoNormalCentrado"/>
        <w:keepNext/>
      </w:pPr>
      <w:r>
        <w:t>SENTENCIA</w:t>
      </w:r>
    </w:p>
    <w:p w14:paraId="36CB48A7" w14:textId="2FAF0955" w:rsidR="008D479B" w:rsidRDefault="008D479B" w:rsidP="008D479B">
      <w:pPr>
        <w:pStyle w:val="TextoNormalCentrado"/>
        <w:keepNext/>
      </w:pPr>
    </w:p>
    <w:p w14:paraId="1F2A7562" w14:textId="77777777" w:rsidR="008D479B" w:rsidRDefault="008D479B" w:rsidP="008D479B">
      <w:pPr>
        <w:pStyle w:val="TextoNormal"/>
      </w:pPr>
      <w:r>
        <w:t>En el recurso de inconstitucionalidad núm. 1922-2023, interpuesto por la Asamblea de Madrid contra el artículo 3 de la Ley 38/2022, de 27 de diciembre, para el establecimiento de gravámenes temporales energético y de entidades de crédito y establecimientos financieros de crédito y por la que se crea el impuesto temporal de solidaridad de las grandes fortunas, y se modifican determinadas normas tributarias. Han comparecido el Congreso de los Diputados, el Senado y el Gobierno de la Nación. Han formulado alegaciones la letrada de las Cortes Generales, en representación del Congreso, y el abogado del Estado, en representación del Gobierno. Ha sido ponente la magistrada doña María Luisa Balaguer Callejón.</w:t>
      </w:r>
    </w:p>
    <w:p w14:paraId="73672D53" w14:textId="597CADF5" w:rsidR="008D479B" w:rsidRDefault="008D479B" w:rsidP="008D479B">
      <w:pPr>
        <w:pStyle w:val="TextoNormal"/>
      </w:pPr>
    </w:p>
    <w:p w14:paraId="54AD55FF" w14:textId="77777777" w:rsidR="008D479B" w:rsidRDefault="008D479B" w:rsidP="008D479B">
      <w:pPr>
        <w:pStyle w:val="TextoNormalNegritaCentrado"/>
        <w:keepNext/>
      </w:pPr>
      <w:r>
        <w:t>I. Antecedentes</w:t>
      </w:r>
    </w:p>
    <w:p w14:paraId="064C2EDF" w14:textId="33AED1A4" w:rsidR="008D479B" w:rsidRDefault="008D479B" w:rsidP="008D479B">
      <w:pPr>
        <w:pStyle w:val="TextoNormalNegritaCentrado"/>
        <w:keepNext/>
      </w:pPr>
    </w:p>
    <w:p w14:paraId="00C361F8" w14:textId="77777777" w:rsidR="008D479B" w:rsidRDefault="008D479B" w:rsidP="008D479B">
      <w:pPr>
        <w:pStyle w:val="TextoNormal"/>
      </w:pPr>
      <w:r w:rsidRPr="008D479B">
        <w:rPr>
          <w:rStyle w:val="NumeroAFNegritaCaracter"/>
        </w:rPr>
        <w:t>1</w:t>
      </w:r>
      <w:r>
        <w:t>. Mediante escrito presentado el 22 de marzo de 2023 en el registro del Tribunal Constitucional, los letrados de la Asamblea de Madrid, en nombre y representación de la Cámara, interpusieron un recurso de inconstitucionalidad contra el art. 3 de la Ley 38/2022, de 27 de diciembre, para el establecimiento de gravámenes temporales energético y de entidades de crédito y establecimientos financieros de crédito y por la que se crea el impuesto temporal de solidaridad de las grandes fortunas, y se modifican determinadas normas tributarias (en adelante, Ley 38/2022). Dicha Ley fue publicada en el “Boletín Oficial del Estado” núm. 311, de 28 de diciembre de 2022 (corrección de errores publicada en el “BOE” núm. 54, de 4 de marzo de 2023, que no afecta al precepto impugnado). El art. 3 que se impugna lleva por rúbrica “Impuesto Temporal de Solidaridad de las Grandes Fortunas”.</w:t>
      </w:r>
    </w:p>
    <w:p w14:paraId="1A62A118" w14:textId="77777777" w:rsidR="008D479B" w:rsidRDefault="008D479B" w:rsidP="008D479B">
      <w:pPr>
        <w:pStyle w:val="TextoNormal"/>
      </w:pPr>
    </w:p>
    <w:p w14:paraId="13EDFC4A" w14:textId="77777777" w:rsidR="008D479B" w:rsidRDefault="008D479B" w:rsidP="008D479B">
      <w:pPr>
        <w:pStyle w:val="TextoNormal"/>
      </w:pPr>
      <w:r>
        <w:t>El recurso de inconstitucionalidad denuncia la vulneración de: a) la libertad de configuración normativa del Parlamento autonómico; b) los arts. 23, 66.2 y 87 CE, en relación con los arts. 110 y 126.5 del Reglamento del Congreso de los Diputados; c) la autonomía financiera de las comunidades autónomas [arts. 156.1 y 157.1 a) CE, en relación con el art. 51 y la disposición adicional primera, apartado 3 del Estatuto de Autonomía de la Comunidad de Madrid y los arts. 3, 10, 11 y 19 de la Ley Orgánica 8/1980, de 22 de septiembre, de financiación de las comunidades autónomas (en adelante, LOFCA)]; d) la reserva de ley orgánica del art. 157.3 CE; e) los principios de igualdad tributaria y capacidad económica (art. 31.1 CE); y f) el principio de seguridad jurídica (art. 9.3 CE).</w:t>
      </w:r>
    </w:p>
    <w:p w14:paraId="56B063F5" w14:textId="77777777" w:rsidR="008D479B" w:rsidRDefault="008D479B" w:rsidP="008D479B">
      <w:pPr>
        <w:pStyle w:val="TextoNormal"/>
      </w:pPr>
    </w:p>
    <w:p w14:paraId="6A5F9D77" w14:textId="77777777" w:rsidR="008D479B" w:rsidRDefault="008D479B" w:rsidP="008D479B">
      <w:pPr>
        <w:pStyle w:val="TextoNormal"/>
      </w:pPr>
      <w:r>
        <w:t>a) La demanda denuncia, en primer lugar, la vulneración de la libertad de configuración normativa del Parlamento autonómico, en el marco de la previa cesión de competencias efectuada por el Estado con base en los arts. 156 y 157 CE y en el resto de las normas del bloque de la constitucionalidad. Considera que la regulación de las comunidades autónomas, como la de Madrid, que tienen una bonificación de la cuota en el impuesto sobre el patrimonio, se ve superada para los sujetos pasivos del nuevo impuesto. Según alegan los letrados de la Asamblea, este tiene una regulación mimética a la del  impuesto sobre el patrimonio, estableciéndose mediante una norma paralela, sin haber seguido los cauces establecidos al efecto. Con ello se prescinde por completo de la libertad de configuración normativa del Parlamento autonómico, al hacer de imposible aplicación efectiva su regulación. Consideran que esto infringe los arts. 152.1, 156 y 157 CE, en relación con el art. 51 y el apartado 3 de la disposición adicional primera del Estatuto de Autonomía de la Comunidad de Madrid, con los arts. 3, 10, 11 b) y 19.2 LOFCA y con los arts. 25.1 b) y 31 de la Ley 22/2009, de 18 de diciembre, por la que se regula el sistema de financiación de las comunidades autónomas.</w:t>
      </w:r>
    </w:p>
    <w:p w14:paraId="480118F6" w14:textId="77777777" w:rsidR="008D479B" w:rsidRDefault="008D479B" w:rsidP="008D479B">
      <w:pPr>
        <w:pStyle w:val="TextoNormal"/>
      </w:pPr>
    </w:p>
    <w:p w14:paraId="4BCDDD2A" w14:textId="77777777" w:rsidR="008D479B" w:rsidRDefault="008D479B" w:rsidP="008D479B">
      <w:pPr>
        <w:pStyle w:val="TextoNormal"/>
      </w:pPr>
      <w:r>
        <w:t>b) En segundo lugar, los letrados de la Asamblea argumentan que la enmienda por la que se introdujo el impuesto temporal de solidaridad de las grandes fortunas no guarda relación alguna con el contenido previo de la proposición de ley. Con base en la doctrina constitucional sobre la exigible congruencia y homogeneidad entre la enmienda y el texto enmendado afirman que, aun cuando ambos se pudieran ubicar en el mismo sector material del ordenamiento jurídico, es preciso, además, que versen sobre el mismo objeto, lo que no acontece en el presente supuesto.</w:t>
      </w:r>
    </w:p>
    <w:p w14:paraId="2D56FADB" w14:textId="77777777" w:rsidR="008D479B" w:rsidRDefault="008D479B" w:rsidP="008D479B">
      <w:pPr>
        <w:pStyle w:val="TextoNormal"/>
      </w:pPr>
    </w:p>
    <w:p w14:paraId="0DBC498C" w14:textId="77777777" w:rsidR="008D479B" w:rsidRDefault="008D479B" w:rsidP="008D479B">
      <w:pPr>
        <w:pStyle w:val="TextoNormal"/>
      </w:pPr>
      <w:r>
        <w:t xml:space="preserve">Además, mediante la introducción del impuesto temporal de solidaridad de las grandes fortunas, por vía de enmienda, se elimina la posibilidad de un pronunciamiento del Pleno de la Cámara, a través del debate de toma en consideración de la proposición de ley con relación al nuevo tributo que se crea. La demanda considera que esto lesiona los arts. 66.2 y 87 CE y el </w:t>
      </w:r>
      <w:r w:rsidRPr="008D479B">
        <w:rPr>
          <w:i/>
        </w:rPr>
        <w:t>ius in officium</w:t>
      </w:r>
      <w:r>
        <w:t xml:space="preserve"> de los parlamentarios y, por tanto, el art. 23 CE, en conexión con el art. 110 del Reglamento del Congreso de los Diputados, referido al derecho de enmienda.</w:t>
      </w:r>
    </w:p>
    <w:p w14:paraId="36071162" w14:textId="77777777" w:rsidR="008D479B" w:rsidRDefault="008D479B" w:rsidP="008D479B">
      <w:pPr>
        <w:pStyle w:val="TextoNormal"/>
      </w:pPr>
    </w:p>
    <w:p w14:paraId="59694127" w14:textId="77777777" w:rsidR="008D479B" w:rsidRDefault="008D479B" w:rsidP="008D479B">
      <w:pPr>
        <w:pStyle w:val="TextoNormal"/>
      </w:pPr>
      <w:r>
        <w:t>c) También se vulnera la autonomía financiera porque estamos ante un impuesto que es creado como complemento del impuesto sobre el patrimonio, afectando a la regulación de este allí donde las comunidades autónomas hayan aprobado una bonificación, como es el caso de la Comunidad de Madrid. La demanda subraya que la regulación madrileña se ve completamente comprometida por la actuación del legislador estatal.</w:t>
      </w:r>
    </w:p>
    <w:p w14:paraId="1F57CC3A" w14:textId="77777777" w:rsidR="008D479B" w:rsidRDefault="008D479B" w:rsidP="008D479B">
      <w:pPr>
        <w:pStyle w:val="TextoNormal"/>
      </w:pPr>
    </w:p>
    <w:p w14:paraId="7CD2061C" w14:textId="77777777" w:rsidR="008D479B" w:rsidRDefault="008D479B" w:rsidP="008D479B">
      <w:pPr>
        <w:pStyle w:val="TextoNormal"/>
      </w:pPr>
      <w:r>
        <w:t>Añade que se vulnera también la corresponsabilidad fiscal porque la nueva regulación, además de suponer una modificación subrepticia del régimen del impuesto sobre el patrimonio en las comunidades autónomas que han aprobado una bonificación en la cuota, se realiza sin seguir los cauces establecidos al efecto en las normas integrantes del bloque de la constitucionalidad. Ni se ha reunido el Consejo de Política Fiscal y Financiera ni la Comisión Mixta entre el Estado y la comunidad autónoma, pese al importante papel de ambos órganos, reconocido por la jurisprudencia constitucional (cita la STC 13/2007, de 18 de enero, FJ 8).</w:t>
      </w:r>
    </w:p>
    <w:p w14:paraId="07EA0B50" w14:textId="77777777" w:rsidR="008D479B" w:rsidRDefault="008D479B" w:rsidP="008D479B">
      <w:pPr>
        <w:pStyle w:val="TextoNormal"/>
      </w:pPr>
    </w:p>
    <w:p w14:paraId="689FBFA5" w14:textId="77777777" w:rsidR="008D479B" w:rsidRDefault="008D479B" w:rsidP="008D479B">
      <w:pPr>
        <w:pStyle w:val="TextoNormal"/>
      </w:pPr>
      <w:r>
        <w:t>La intervención de las comisiones mixtas y, en lo atinente a la Comunidad de Madrid, de la comisión a que se refiere la disposición adicional primera de su estatuto, resultaba absolutamente necesaria, toda vez que el art. 3 de la Ley 38/2022 establece una regulación que hace “tabla rasa” del régimen jurídico de las comunidades autónomas que han ejercido su libertad de configuración normativa. Habiéndose preterido por completo los cauces establecidos en el ordenamiento con la finalidad de alcanzar un acuerdo previo entre las diversas instancias administrativas para lograr la satisfacción de los intereses generales, la lesión del principio de lealtad constitucional resulta patente.</w:t>
      </w:r>
    </w:p>
    <w:p w14:paraId="2709BAA2" w14:textId="77777777" w:rsidR="008D479B" w:rsidRDefault="008D479B" w:rsidP="008D479B">
      <w:pPr>
        <w:pStyle w:val="TextoNormal"/>
      </w:pPr>
    </w:p>
    <w:p w14:paraId="6DEF0819" w14:textId="77777777" w:rsidR="008D479B" w:rsidRDefault="008D479B" w:rsidP="008D479B">
      <w:pPr>
        <w:pStyle w:val="TextoNormal"/>
      </w:pPr>
      <w:r>
        <w:t>d) La demanda denuncia, asimismo, que se conculca la reserva de ley orgánica que establece el art. 157.3 CE respecto del ejercicio de las competencias financieras enumeradas en el apartado 1 del art. 157 CE.</w:t>
      </w:r>
    </w:p>
    <w:p w14:paraId="297662CF" w14:textId="77777777" w:rsidR="008D479B" w:rsidRDefault="008D479B" w:rsidP="008D479B">
      <w:pPr>
        <w:pStyle w:val="TextoNormal"/>
      </w:pPr>
    </w:p>
    <w:p w14:paraId="66F145BB" w14:textId="77777777" w:rsidR="008D479B" w:rsidRDefault="008D479B" w:rsidP="008D479B">
      <w:pPr>
        <w:pStyle w:val="TextoNormal"/>
      </w:pPr>
      <w:r>
        <w:t>Esto se debe a que el impuesto sobre el patrimonio es un impuesto cedido y la superación, a través de la regulación contenida en un precepto aprobado mediante una ley ordinaria, del régimen establecido en las comunidades autónomas que han establecido una bonificación en la cuota de dicho tributo, infringe dicha reserva de ley orgánica.</w:t>
      </w:r>
    </w:p>
    <w:p w14:paraId="7DB93155" w14:textId="77777777" w:rsidR="008D479B" w:rsidRDefault="008D479B" w:rsidP="008D479B">
      <w:pPr>
        <w:pStyle w:val="TextoNormal"/>
      </w:pPr>
    </w:p>
    <w:p w14:paraId="0C28789B" w14:textId="77777777" w:rsidR="008D479B" w:rsidRDefault="008D479B" w:rsidP="008D479B">
      <w:pPr>
        <w:pStyle w:val="TextoNormal"/>
      </w:pPr>
      <w:r>
        <w:t>e) Los letrados de la Asamblea de Madrid sostienen que también se lesiona el principio de igualdad, reconocido en el art. 14 CE y, en lo que respecta al ámbito tributario, en el art. 31.1 CE. Entienden que el tratamiento jurídico diferenciado en el impuesto temporal de solidaridad de las grandes fortunas que atiende, única y exclusivamente, a la residencia fiscal del contribuyente y no a la capacidad económica, es contrario al principio de igualdad.</w:t>
      </w:r>
    </w:p>
    <w:p w14:paraId="4076A52F" w14:textId="77777777" w:rsidR="008D479B" w:rsidRDefault="008D479B" w:rsidP="008D479B">
      <w:pPr>
        <w:pStyle w:val="TextoNormal"/>
      </w:pPr>
    </w:p>
    <w:p w14:paraId="4E875D9D" w14:textId="77777777" w:rsidR="008D479B" w:rsidRDefault="008D479B" w:rsidP="008D479B">
      <w:pPr>
        <w:pStyle w:val="TextoNormal"/>
      </w:pPr>
      <w:r>
        <w:t>Junto al principio de igualdad tributaria, la demanda considera adicionalmente que se vulnera del principio de capacidad económica del art. 31.1 CE porque la Ley 38/2022 permite deducir de la cuota del nuevo impuesto el importe de la cuota del impuesto sobre el patrimonio efectivamente satisfecha. Por tanto, el tributo impugnado tendrá una mayor repercusión o incidencia en los sujetos pasivos que residan en las comunidades autónomas en las que haya una bonificación en el impuesto sobre el patrimonio.</w:t>
      </w:r>
    </w:p>
    <w:p w14:paraId="57CFF0F8" w14:textId="77777777" w:rsidR="008D479B" w:rsidRDefault="008D479B" w:rsidP="008D479B">
      <w:pPr>
        <w:pStyle w:val="TextoNormal"/>
      </w:pPr>
    </w:p>
    <w:p w14:paraId="050A8A5D" w14:textId="61A630FC" w:rsidR="008D479B" w:rsidRDefault="008D479B" w:rsidP="008D479B">
      <w:pPr>
        <w:pStyle w:val="TextoNormal"/>
      </w:pPr>
      <w:r>
        <w:t>f) Por último, se alega como vulnerado el principio de seguridad jurídica (art. 9.3 CE) porque el devengo del impuesto temporal de solidaridad de las grandes fortunas se produce el 31 de diciembre y la Ley fue publicada el 28 de diciembre, lo que, fuera de toda duda, impide el conocimiento de las normas válidas y vigentes por los ciudadanos. Atendiendo a la doctrina constitucional, la confianza de los ciudadanos se ve completamente mermada, ya que en el momento de publicarse la norma restaban solo tres días para el momento del devengo del impuesto, lo que impide que los sujetos pasivos puedan conocer la nueva figura tributaria creada por el precepto impugnado. En concreto, a los sujetos pasivos por obligación personal no les fue posible modificar su residencia, que requiere la permanencia de más de 183 días al año en otro territorio distinto al español.</w:t>
      </w:r>
    </w:p>
    <w:p w14:paraId="2DBE0341" w14:textId="77777777" w:rsidR="008D479B" w:rsidRDefault="008D479B" w:rsidP="008D479B">
      <w:pPr>
        <w:pStyle w:val="TextoNormal"/>
      </w:pPr>
    </w:p>
    <w:p w14:paraId="3CA5C3FE" w14:textId="62DEACE5" w:rsidR="008D479B" w:rsidRDefault="008D479B" w:rsidP="008D479B">
      <w:pPr>
        <w:pStyle w:val="TextoNormal"/>
      </w:pPr>
      <w:r w:rsidRPr="008D479B">
        <w:rPr>
          <w:rStyle w:val="NumeroAFNegritaCaracter"/>
        </w:rPr>
        <w:t>2</w:t>
      </w:r>
      <w:r>
        <w:t>. El Pleno del Tribunal Constitucional, a propuesta de la Sección Cuarta, mediante providencia de 9 de mayo de 2023, acordó admitir a trámite el presente recurso de inconstitucionalidad, dando traslado de la demanda y documentos presentados, conforme establece el art. 34 de la Ley Orgánica 2/1979, de 3 de octubre, del Tribunal Constitucional (LOTC), al Congreso de los Diputados y al Senado, por conducto de sus presidentes, y al Gobierno, a través de la ministra de Justicia, al objeto de que, en el plazo de quince días, pudieran personarse en el proceso y formular las alegaciones que estimaren convenientes; y publicar la incoación del recurso en el “Boletín Oficial del Estado”, lo que tuvo lugar el 18 de mayo de 2023.</w:t>
      </w:r>
    </w:p>
    <w:p w14:paraId="5823EFE4" w14:textId="77777777" w:rsidR="008D479B" w:rsidRDefault="008D479B" w:rsidP="008D479B">
      <w:pPr>
        <w:pStyle w:val="TextoNormal"/>
      </w:pPr>
    </w:p>
    <w:p w14:paraId="06568070" w14:textId="2C705F5C" w:rsidR="008D479B" w:rsidRDefault="008D479B" w:rsidP="008D479B">
      <w:pPr>
        <w:pStyle w:val="TextoNormal"/>
      </w:pPr>
      <w:r w:rsidRPr="008D479B">
        <w:rPr>
          <w:rStyle w:val="NumeroAFNegritaCaracter"/>
        </w:rPr>
        <w:t>3</w:t>
      </w:r>
      <w:r>
        <w:t>. Por escrito registrado el día 18 de mayo de 2023, la presidenta del Congreso de los Diputados comunicó el acuerdo de la mesa por el que se personaba en el proceso, a los solos efectos de formular alegaciones sobre los vicios de procedimiento legislativo que se denuncian en la demanda, en lo que afecta a dicha Cámara; y encomendaba su representación y defensa a la letrada de las Cortes Generales que dirige la asesoría jurídica de la Secretaría General del Congreso.</w:t>
      </w:r>
    </w:p>
    <w:p w14:paraId="238D276D" w14:textId="77777777" w:rsidR="008D479B" w:rsidRDefault="008D479B" w:rsidP="008D479B">
      <w:pPr>
        <w:pStyle w:val="TextoNormal"/>
      </w:pPr>
    </w:p>
    <w:p w14:paraId="016A56B6" w14:textId="678D27B5" w:rsidR="008D479B" w:rsidRDefault="008D479B" w:rsidP="008D479B">
      <w:pPr>
        <w:pStyle w:val="TextoNormal"/>
      </w:pPr>
      <w:r w:rsidRPr="008D479B">
        <w:rPr>
          <w:rStyle w:val="NumeroAFNegritaCaracter"/>
        </w:rPr>
        <w:t>4</w:t>
      </w:r>
      <w:r>
        <w:t>. Mediante un escrito registrado el 31 de mayo de 2023, el presidente del Senado comunicó el acuerdo de la mesa de la Cámara por el que se daba por personada en el proceso y por ofrecida su colaboración a los efectos del art. 88.1 LOTC.</w:t>
      </w:r>
    </w:p>
    <w:p w14:paraId="05D8C5DD" w14:textId="77777777" w:rsidR="008D479B" w:rsidRDefault="008D479B" w:rsidP="008D479B">
      <w:pPr>
        <w:pStyle w:val="TextoNormal"/>
      </w:pPr>
    </w:p>
    <w:p w14:paraId="249401F3" w14:textId="77777777" w:rsidR="008D479B" w:rsidRDefault="008D479B" w:rsidP="008D479B">
      <w:pPr>
        <w:pStyle w:val="TextoNormal"/>
      </w:pPr>
      <w:r w:rsidRPr="008D479B">
        <w:rPr>
          <w:rStyle w:val="NumeroAFNegritaCaracter"/>
        </w:rPr>
        <w:t>5</w:t>
      </w:r>
      <w:r>
        <w:t>. La letrada de las Cortes Generales, actuando en nombre y representación del Congreso de los Diputados, presentó su escrito de alegaciones el 2 de junio de 2023. En él aborda, en primer lugar, la supuesta vulneración del art. 157.3 CE por no respetar la norma impugnada el rango de ley orgánica exigible y omitir las garantías previstas en el Estatuto de Autonomía de la Comunidad de Madrid. Considera que dicha vulneración parte de una equiparación entre el impuesto temporal de solidaridad de las grandes fortunas y el impuesto sobre el patrimonio que no se puede compartir. El art. 3 de la Ley 38/2022 —afirma— no altera las condiciones o el alcance de la cesión del impuesto sobre el patrimonio, por lo que no requiere de una modificación de la Ley Orgánica de financiación de las comunidades autónomas ni de las demás normas aplicables, de acuerdo con las garantías procedimentales contenidas en el Estatuto. El preámbulo de la ley afirma que el nuevo impuesto es complementario del impuesto sobre el patrimonio, pero, a diferencia de este, no es susceptible de cesión y su umbral de tributación es muy superior.</w:t>
      </w:r>
    </w:p>
    <w:p w14:paraId="034F43A2" w14:textId="77777777" w:rsidR="008D479B" w:rsidRDefault="008D479B" w:rsidP="008D479B">
      <w:pPr>
        <w:pStyle w:val="TextoNormal"/>
      </w:pPr>
    </w:p>
    <w:p w14:paraId="0163CC5E" w14:textId="77777777" w:rsidR="008D479B" w:rsidRDefault="008D479B" w:rsidP="008D479B">
      <w:pPr>
        <w:pStyle w:val="TextoNormal"/>
      </w:pPr>
      <w:r>
        <w:t>a) La letrada subraya que el art. 3 de la Ley 38/2022 no modifica el art. 11 LOFCA, que establece los impuestos estatales que pueden ser cedidos; ni las competencias normativas de las comunidades autónomas en el impuesto sobre el patrimonio previstas en el art. 19.2 b) de dicha ley; ni la Ley 22/2009, de 18 de diciembre, reguladora del sistema de financiación de las comunidades autónomas; ni la Ley 29/2010, de 16 de julio, del régimen de cesión de tributos del Estado a la Comunidad de Madrid. La finalidad armonizadora del  Ley 29/2010, de 16 de julio, del régimen de cesión de tributos a la Comunidad de Madrid no neutraliza la competencia normativa autonómica sobre el impuesto sobre el patrimonio, que se mantiene intacta. Estamos ante una figura tributaria distinta, cuya finalidad es correctiva, gravando por razones armonizadoras y recaudatorias aquellas manifestaciones de capacidad de pago que no han sido gravadas por la comunidad autónoma a través del impuesto sobre el patrimonio. Invoca la STC 26/2015, de 19 de febrero, que, al analizar el impuesto sobre depósitos en entidades de crédito, admitió que el Estado es competente para establecer un impuesto con finalidad armonizadora, puesto que tiene preferencia en la ocupación de los hechos imponibles, tal y como recoge el art. 6 LOFCA. Dicha sentencia descartó expresamente que la competencia de armonización debiera ejercerse mediante ley orgánica, admitiendo que por ley ordinaria se cree una figura tributaria nueva, tanto para gravar situaciones que anteriormente no estaban gravadas por las comunidades autónomas como para cuando ya lo estuvieran, supuesto al que se refiere el art. 6.2 LOFCA. Por otro lado, tampoco estamos ante la regulación de ningún medio de resolución de conflictos de acuerdo con los arts. 23 y 24 LOFCA, por lo que tampoco se requiere una ley orgánica.</w:t>
      </w:r>
    </w:p>
    <w:p w14:paraId="63CA3E08" w14:textId="77777777" w:rsidR="008D479B" w:rsidRDefault="008D479B" w:rsidP="008D479B">
      <w:pPr>
        <w:pStyle w:val="TextoNormal"/>
      </w:pPr>
    </w:p>
    <w:p w14:paraId="3216D33E" w14:textId="77777777" w:rsidR="008D479B" w:rsidRDefault="008D479B" w:rsidP="008D479B">
      <w:pPr>
        <w:pStyle w:val="TextoNormal"/>
      </w:pPr>
      <w:r>
        <w:t>La letrada de las Cortes Generales insiste en que, conforme a la doctrina constitucional, la potestad originaria del Estado para establecer tributos (art. 133.1 CE) comprende la posibilidad de crear cualquier figura tributaria, siempre y cuando se respeten las garantías constitucionales. Desde un enfoque competencial, el límite para crear tributos lo tienen las comunidades autónomas, no el Estado. Con cita de la STC 35/2012, de 15 de marzo, FJ 6, recuerda el amplio margen de configuración que permite al Estado, en principio, establecerlos sobre cualquier fuente de capacidad económica, sin perjuicio de respetar lo dispuesto en el art. 6.2 LOFCA cuando sea aplicable, lo que aquí no es el caso.</w:t>
      </w:r>
    </w:p>
    <w:p w14:paraId="53172426" w14:textId="77777777" w:rsidR="008D479B" w:rsidRDefault="008D479B" w:rsidP="008D479B">
      <w:pPr>
        <w:pStyle w:val="TextoNormal"/>
      </w:pPr>
    </w:p>
    <w:p w14:paraId="7ED68EC7" w14:textId="77777777" w:rsidR="008D479B" w:rsidRDefault="008D479B" w:rsidP="008D479B">
      <w:pPr>
        <w:pStyle w:val="TextoNormal"/>
      </w:pPr>
      <w:r>
        <w:t>Por otra parte, al no haberse modificado la disposición adicional primera del Estatuto de Autonomía de la Comunidad Madrid, referido al alcance y las condiciones de la cesión, no se precisaba del acuerdo entre el Estado y la comunidad autónoma, ni de la convocatoria de la comisión mixta mencionada en la disposición transitoria segunda de su estatuto.</w:t>
      </w:r>
    </w:p>
    <w:p w14:paraId="437649D9" w14:textId="77777777" w:rsidR="008D479B" w:rsidRDefault="008D479B" w:rsidP="008D479B">
      <w:pPr>
        <w:pStyle w:val="TextoNormal"/>
      </w:pPr>
    </w:p>
    <w:p w14:paraId="111FB407" w14:textId="77777777" w:rsidR="008D479B" w:rsidRDefault="008D479B" w:rsidP="008D479B">
      <w:pPr>
        <w:pStyle w:val="TextoNormal"/>
      </w:pPr>
      <w:r>
        <w:t>Tampoco se precisaba de un proyecto de ley aprobado por el Consejo de Ministros, con todas las exigencias previas a las que están sujetas estas iniciativas. Tratándose de una proposición de ley, los únicos requisitos, de acuerdo con el art. 124 del Reglamento del Congreso y la práctica habitual de la Cámara, son que se incorpore una exposición de motivos y una breve relación de las normas vigentes que la proposición de ley pretende modificar, exigencias que aquí se cumplieron.</w:t>
      </w:r>
    </w:p>
    <w:p w14:paraId="20181CB2" w14:textId="77777777" w:rsidR="008D479B" w:rsidRDefault="008D479B" w:rsidP="008D479B">
      <w:pPr>
        <w:pStyle w:val="TextoNormal"/>
      </w:pPr>
    </w:p>
    <w:p w14:paraId="1C70A764" w14:textId="77777777" w:rsidR="008D479B" w:rsidRDefault="008D479B" w:rsidP="008D479B">
      <w:pPr>
        <w:pStyle w:val="TextoNormal"/>
      </w:pPr>
      <w:r>
        <w:t>b) En otro bloque de alegaciones la letrada de las Cortes Generales aborda la supuesta falta de homogeneidad de la enmienda por la que se incluyó el precepto impugnado. Empieza recordando que el requisito de la homogeneidad es de creación jurisprudencial y, en el caso de las enmiendas al articulado, no está previsto en el Reglamento de la Cámara. La exigencia de congruencia de las enmiendas es, por tanto, una excepción establecida por el propio Tribunal Constitucional a la configuración legal del derecho fundamental de enmienda, que se ha añadido como un requisito de admisión, a pesar de no estar recogido en el Reglamento del Congreso.</w:t>
      </w:r>
    </w:p>
    <w:p w14:paraId="2909617A" w14:textId="77777777" w:rsidR="008D479B" w:rsidRDefault="008D479B" w:rsidP="008D479B">
      <w:pPr>
        <w:pStyle w:val="TextoNormal"/>
      </w:pPr>
    </w:p>
    <w:p w14:paraId="3FD14799" w14:textId="77777777" w:rsidR="008D479B" w:rsidRDefault="008D479B" w:rsidP="008D479B">
      <w:pPr>
        <w:pStyle w:val="TextoNormal"/>
      </w:pPr>
      <w:r>
        <w:t>De los distintos pronunciamientos constitucionales, en especial las SSTC 119/2011, de 5 de julio, y 136/2011, de 13 de septiembre, se desprende el requisito de que una enmienda al articulado debe respetar una conexión mínima de homogeneidad con el texto enmendado. Pero los órganos de gobierno de las Cámaras deben contar con un amplio margen de apreciación para determinar la existencia de conexión material entre la enmienda y la iniciativa objeto de debate, rechazando la admisión de aquella solo cuando la falta de conexión sea “evidente y manifiesta”. Aclara que la conexión reclamada no tiene que ser de identidad con las medidas previstas en la iniciativa, sino de afinidad con ellas, de modo que la conexión de homogeneidad se entienda de modo flexible, atendiendo a la función que cumple.</w:t>
      </w:r>
    </w:p>
    <w:p w14:paraId="5D7BBE3B" w14:textId="77777777" w:rsidR="008D479B" w:rsidRDefault="008D479B" w:rsidP="008D479B">
      <w:pPr>
        <w:pStyle w:val="TextoNormal"/>
      </w:pPr>
    </w:p>
    <w:p w14:paraId="01BBBF2F" w14:textId="77777777" w:rsidR="008D479B" w:rsidRDefault="008D479B" w:rsidP="008D479B">
      <w:pPr>
        <w:pStyle w:val="TextoNormal"/>
      </w:pPr>
      <w:r>
        <w:t>En segundo lugar, la aducida vulneración del art. 23.2 CE exigiría, además, que la infracción de la legalidad parlamentaria hubiera afectado al núcleo de su función representativa ya que, de acuerdo con una reiterada doctrina constitucional, no toda violación del procedimiento legislativo convierte en inconstitucional al resultado final.</w:t>
      </w:r>
    </w:p>
    <w:p w14:paraId="5B0777B6" w14:textId="77777777" w:rsidR="008D479B" w:rsidRDefault="008D479B" w:rsidP="008D479B">
      <w:pPr>
        <w:pStyle w:val="TextoNormal"/>
      </w:pPr>
    </w:p>
    <w:p w14:paraId="2636822F" w14:textId="77777777" w:rsidR="008D479B" w:rsidRDefault="008D479B" w:rsidP="008D479B">
      <w:pPr>
        <w:pStyle w:val="TextoNormal"/>
      </w:pPr>
      <w:r>
        <w:t>Aplicando la anterior doctrina al caso, la letrada de las Cortes afirma que uno de los objetivos del impuesto temporal de solidaridad de las grandes fortunas coincide con la finalidad original de la proposición de ley, que es exigir un esfuerzo solidario en momentos de subida de precios y de crisis energética; sin que, por tanto, hubiera una evidente falta de homogeneidad que hubiera debido llevar a la mesa de la comisión a inadmitir la enmienda. Con el impuesto impugnado se persigue el esfuerzo solidario al que la proposición de ley estaba dirigida desde un principio, por lo que no hay falta de congruencia.</w:t>
      </w:r>
    </w:p>
    <w:p w14:paraId="1D1421B7" w14:textId="77777777" w:rsidR="008D479B" w:rsidRDefault="008D479B" w:rsidP="008D479B">
      <w:pPr>
        <w:pStyle w:val="TextoNormal"/>
      </w:pPr>
    </w:p>
    <w:p w14:paraId="62B829E5" w14:textId="77777777" w:rsidR="008D479B" w:rsidRDefault="008D479B" w:rsidP="008D479B">
      <w:pPr>
        <w:pStyle w:val="TextoNormal"/>
      </w:pPr>
      <w:r>
        <w:t>Respecto de la distinta naturaleza del impuesto temporal de solidaridad de las grandes fortunas y las prestaciones patrimoniales no tributarias que eran el objeto de la proposición de ley original, cita la STC 63/2019, de 9 de mayo, FJ 5, de acuerdo con la cual “el tributo es una especie, dentro de la más genérica categoría de prestaciones patrimoniales de carácter público”. Por tanto, aunque el Tribunal haya distinguido con precisión las prestaciones patrimoniales públicas de carácter tributario y las que no lo son, ambas categorías forman parte del género de las prestaciones patrimoniales, coactivas y de interés público.</w:t>
      </w:r>
    </w:p>
    <w:p w14:paraId="0F2D0984" w14:textId="77777777" w:rsidR="008D479B" w:rsidRDefault="008D479B" w:rsidP="008D479B">
      <w:pPr>
        <w:pStyle w:val="TextoNormal"/>
      </w:pPr>
    </w:p>
    <w:p w14:paraId="2667E2E5" w14:textId="77777777" w:rsidR="008D479B" w:rsidRDefault="008D479B" w:rsidP="008D479B">
      <w:pPr>
        <w:pStyle w:val="TextoNormal"/>
      </w:pPr>
      <w:r>
        <w:t>La letrada parlamentaria termina aseverando que, incluso aunque todavía se tuvieran dudas sobre la homogeneidad, esto no basta para concluir que la tramitación parlamentaria está afectada de un vicio de inconstitucionalidad. Las enmiendas pueden ser incongruentes y, aun así, no producirse un vicio de procedimiento si se han respetado los derechos de los parlamentarios y no ha quedado alterada la voluntad de la Cámara. Afirma, en contra de lo que sostiene la parte recurrente, que la enmienda cuestionada, como el resto de las formuladas a la iniciativa, ha podido ser ampliamente debatida. Los grupos, sin ningún tipo de restricción, han podido manifestar su posición sobre ella en los debates, tanto en la comisión como en el Pleno. La enmienda nunca fue un texto definitivo e intangible, sino susceptible de modificarse a través de la presentación de enmiendas transaccionales tanto en comisión como en el Pleno (arts. 114.3 y 118.3 del Reglamento del Congreso). Incluso habría sido posible suprimir la enmienda mediante la presentación de un voto particular para no tenerla por incorporada y volver al texto inicial (art. 117 del Reglamento). La letrada se remite a los documentos en los que constan las enmiendas transaccionales presentadas en la comisión y en el Pleno y concluye que las minorías parlamentarias no usaron ninguna de estas vías parlamentarias para modificar lo introducido por la enmienda.</w:t>
      </w:r>
    </w:p>
    <w:p w14:paraId="71CF4EA8" w14:textId="77777777" w:rsidR="008D479B" w:rsidRDefault="008D479B" w:rsidP="008D479B">
      <w:pPr>
        <w:pStyle w:val="TextoNormal"/>
      </w:pPr>
    </w:p>
    <w:p w14:paraId="65DFC8D5" w14:textId="390975E6" w:rsidR="008D479B" w:rsidRDefault="008D479B" w:rsidP="008D479B">
      <w:pPr>
        <w:pStyle w:val="TextoNormal"/>
      </w:pPr>
      <w:r>
        <w:t>Por todo lo expuesto, concluye que no cabe declarar la inconstitucionalidad del art. 3 de la Ley 38/2022 por motivos formales.</w:t>
      </w:r>
    </w:p>
    <w:p w14:paraId="0D012252" w14:textId="77777777" w:rsidR="008D479B" w:rsidRDefault="008D479B" w:rsidP="008D479B">
      <w:pPr>
        <w:pStyle w:val="TextoNormal"/>
      </w:pPr>
    </w:p>
    <w:p w14:paraId="57F2CCF3" w14:textId="77777777" w:rsidR="008D479B" w:rsidRDefault="008D479B" w:rsidP="008D479B">
      <w:pPr>
        <w:pStyle w:val="TextoNormal"/>
      </w:pPr>
      <w:r w:rsidRPr="008D479B">
        <w:rPr>
          <w:rStyle w:val="NumeroAFNegritaCaracter"/>
        </w:rPr>
        <w:t>6</w:t>
      </w:r>
      <w:r>
        <w:t>. El abogado del Estado se personó en las actuaciones mediante un escrito presentado el 31 de mayo de 2023, en el que solicitaba una prórroga del plazo para la presentación de alegaciones, que fue ampliado en ocho días por diligencia de ordenación del secretario de justicia del Pleno de 1 de junio de 2023.</w:t>
      </w:r>
    </w:p>
    <w:p w14:paraId="510D70E2" w14:textId="77777777" w:rsidR="008D479B" w:rsidRDefault="008D479B" w:rsidP="008D479B">
      <w:pPr>
        <w:pStyle w:val="TextoNormal"/>
      </w:pPr>
    </w:p>
    <w:p w14:paraId="0D6A4DDE" w14:textId="77777777" w:rsidR="008D479B" w:rsidRDefault="008D479B" w:rsidP="008D479B">
      <w:pPr>
        <w:pStyle w:val="TextoNormal"/>
      </w:pPr>
      <w:r>
        <w:t>Por medio de un escrito presentado el siguiente día 14 de junio, formuló sus alegaciones, en las que interesa la desestimación, con los argumentos que se exponen a continuación:</w:t>
      </w:r>
    </w:p>
    <w:p w14:paraId="44B600DB" w14:textId="77777777" w:rsidR="008D479B" w:rsidRDefault="008D479B" w:rsidP="008D479B">
      <w:pPr>
        <w:pStyle w:val="TextoNormal"/>
      </w:pPr>
    </w:p>
    <w:p w14:paraId="15F05FA6" w14:textId="77777777" w:rsidR="008D479B" w:rsidRDefault="008D479B" w:rsidP="008D479B">
      <w:pPr>
        <w:pStyle w:val="TextoNormal"/>
      </w:pPr>
      <w:r>
        <w:t>a) Tras resumir la naturaleza y regulación del impuesto temporal de solidaridad de las grandes fortunas, analiza la tacha referida a la vulneración del procedimiento legislativo y del art. 23.2 CE. Subraya que en el debate en comisión todos los grupos parlamentarios tuvieron un turno de palabra y que en el Pleno volvieron a tener ocasión de pronunciarse sobre las enmiendas formuladas a la iniciativa legislativa. Por tanto, no se privó a los grupos parlamentarios ni a los diputados de la posibilidad de pronunciarse sobre la enmienda, ni en la comisión, ni en el Pleno. La incorporación de la enmienda ha sido conforme con los usos parlamentarios, por lo que no ha vulnerado el art. 23.2 CE.</w:t>
      </w:r>
    </w:p>
    <w:p w14:paraId="1E8BF0CB" w14:textId="77777777" w:rsidR="008D479B" w:rsidRDefault="008D479B" w:rsidP="008D479B">
      <w:pPr>
        <w:pStyle w:val="TextoNormal"/>
      </w:pPr>
    </w:p>
    <w:p w14:paraId="16FF3CE1" w14:textId="77777777" w:rsidR="008D479B" w:rsidRDefault="008D479B" w:rsidP="008D479B">
      <w:pPr>
        <w:pStyle w:val="TextoNormal"/>
      </w:pPr>
      <w:r>
        <w:t>Respecto de la alegada falta de homogeneidad entre la enmienda y el texto inicial de la proposición de ley, argumenta, con cita de las SSTC 70/2018, de 21 de junio, FJ 6, y 119/2011, de 5 de julio, FJ 7, así como del preámbulo de la Ley 38/2022, que el impuesto temporal de solidaridad de las grandes fortunas y los gravámenes no tributarios creados por ella obedecen al mismo objetivo y finalidad común, que es afrontar la particular situación excepcional derivada de la crisis energética y la inflación.</w:t>
      </w:r>
    </w:p>
    <w:p w14:paraId="1FB1543A" w14:textId="77777777" w:rsidR="008D479B" w:rsidRDefault="008D479B" w:rsidP="008D479B">
      <w:pPr>
        <w:pStyle w:val="TextoNormal"/>
      </w:pPr>
    </w:p>
    <w:p w14:paraId="5296DF96" w14:textId="77777777" w:rsidR="008D479B" w:rsidRDefault="008D479B" w:rsidP="008D479B">
      <w:pPr>
        <w:pStyle w:val="TextoNormal"/>
      </w:pPr>
      <w:r>
        <w:t>En relación con la falta de emisión de informes, argumenta que el Tribunal ya ha señalado que estos no son exigibles en el caso de las proposiciones de ley. Cita, en concreto, la reciente STC 19/2023, de 22 de marzo, FJ 3, que recoge la jurisprudencia del Tribunal sobre la inexistencia de inconstitucionalidad formal en el caso de falta de informes sobre las proposiciones de ley, confirmando que estas no requieren, ni en su presentación ni en su tramitación ulterior, de tales informes.</w:t>
      </w:r>
    </w:p>
    <w:p w14:paraId="538A5203" w14:textId="77777777" w:rsidR="008D479B" w:rsidRDefault="008D479B" w:rsidP="008D479B">
      <w:pPr>
        <w:pStyle w:val="TextoNormal"/>
      </w:pPr>
    </w:p>
    <w:p w14:paraId="4FC89492" w14:textId="77777777" w:rsidR="008D479B" w:rsidRDefault="008D479B" w:rsidP="008D479B">
      <w:pPr>
        <w:pStyle w:val="TextoNormal"/>
      </w:pPr>
      <w:r>
        <w:t>b) A continuación, examina la alegada vulneración de la autonomía financiera. Considera que el recurso parte de un error de base, ya que el impuesto temporal de solidaridad de las grandes fortunas no se inserta en el sistema de financiación autonómica, sino que se configura como un impuesto estatal, no susceptible de cesión a las comunidades autónomas, cuyo objetivo es gravar con una cuota adicional los patrimonios de las personas físicas de cuantía superior a tres millones de euros. Es un impuesto complementario del impuesto sobre el patrimonio, cuya configuración corresponde al Estado en virtud del art. 133.1 CE, que le reconoce la potestad tributaria originaria, y del art. 149.1.14 CE, que le atribuye la competencia exclusiva sobre “hacienda general”, título que le permite fijar la estructura del sistema tributario.</w:t>
      </w:r>
    </w:p>
    <w:p w14:paraId="45D49C24" w14:textId="77777777" w:rsidR="008D479B" w:rsidRDefault="008D479B" w:rsidP="008D479B">
      <w:pPr>
        <w:pStyle w:val="TextoNormal"/>
      </w:pPr>
    </w:p>
    <w:p w14:paraId="6E09985D" w14:textId="77777777" w:rsidR="008D479B" w:rsidRDefault="008D479B" w:rsidP="008D479B">
      <w:pPr>
        <w:pStyle w:val="TextoNormal"/>
      </w:pPr>
      <w:r>
        <w:t>El impuesto temporal de solidaridad de las grandes fortunas no incide en el hecho imponible de ningún tributo propio de la comunidad autónoma recurrente y se afirma expresamente que no es susceptible de cesión. Para el abogado del Estado tiene una finalidad recaudatoria autónoma en el sistema tributario estatal, dentro del bloque de los tributos no cedidos, luego es ajeno al sistema de financiación.</w:t>
      </w:r>
    </w:p>
    <w:p w14:paraId="5319AA8E" w14:textId="77777777" w:rsidR="008D479B" w:rsidRDefault="008D479B" w:rsidP="008D479B">
      <w:pPr>
        <w:pStyle w:val="TextoNormal"/>
      </w:pPr>
    </w:p>
    <w:p w14:paraId="39A05927" w14:textId="77777777" w:rsidR="008D479B" w:rsidRDefault="008D479B" w:rsidP="008D479B">
      <w:pPr>
        <w:pStyle w:val="TextoNormal"/>
      </w:pPr>
      <w:r>
        <w:t>El impuesto recurrido tampoco afecta a la financiación de ninguna comunidad autónoma, pues aquellas que no hayan establecido una bonificación total mantendrán la recaudación del impuesto sobre el patrimonio, cuyas cuotas son deducibles del nuevo impuesto. La finalidad armonizadora, competencia que corresponde al Estado como titular de la potestad tributaria, se logra sin afectar a la autonomía financiera. Las comunidades autónomas que lo decidan podrán seguir bonificando total o parcialmente la cuota del impuesto sobre el patrimonio. Las que no lo hagan conservarán la recaudación íntegra del impuesto sobre el patrimonio cedido.</w:t>
      </w:r>
    </w:p>
    <w:p w14:paraId="3F51A43A" w14:textId="77777777" w:rsidR="008D479B" w:rsidRDefault="008D479B" w:rsidP="008D479B">
      <w:pPr>
        <w:pStyle w:val="TextoNormal"/>
      </w:pPr>
    </w:p>
    <w:p w14:paraId="18A414CD" w14:textId="77777777" w:rsidR="008D479B" w:rsidRDefault="008D479B" w:rsidP="008D479B">
      <w:pPr>
        <w:pStyle w:val="TextoNormal"/>
      </w:pPr>
      <w:r>
        <w:t xml:space="preserve">El representante del Gobierno invoca la STC 26/2015, de 19 de febrero, FJ 5, que, en el caso del impuesto estatal sobre depósitos en entidades de crédito, supuesto no idéntico pero con analogías, mantuvo que la competencia de armonización tributaria es del Estado y negó que la creación de un impuesto estatal debiera someterse al mecanismo de las leyes de armonización </w:t>
      </w:r>
      <w:r w:rsidRPr="008D479B">
        <w:rPr>
          <w:i/>
        </w:rPr>
        <w:t>ex</w:t>
      </w:r>
      <w:r>
        <w:t xml:space="preserve"> art. 150.3 CE. Dicha sentencia ratificó que el art. 149.1.14 CE, junto con los arts. 133.1 y 157.3 CE, permiten al Estado no solo “regular sus propios tributos, sino específicamente ‘el marco general de todo el sistema tributario y la delimitación de las competencias financieras de las comunidades autónomas respecto de las del propio Estado’”. La STC 26/2015 concluyó que el Estado es competente para establecer un tributo con fines armonizadores, como sucede con el impuesto temporal de solidaridad de las grandes fortunas, sin que la autonomía financiera de las comunidades autónomas quede afectada. En todo caso, dicha autonomía no puede limitar la potestad tributaria ni la competencia de coordinación del Estado.</w:t>
      </w:r>
    </w:p>
    <w:p w14:paraId="551A3BCF" w14:textId="77777777" w:rsidR="008D479B" w:rsidRDefault="008D479B" w:rsidP="008D479B">
      <w:pPr>
        <w:pStyle w:val="TextoNormal"/>
      </w:pPr>
    </w:p>
    <w:p w14:paraId="23A5BDD6" w14:textId="77777777" w:rsidR="008D479B" w:rsidRDefault="008D479B" w:rsidP="008D479B">
      <w:pPr>
        <w:pStyle w:val="TextoNormal"/>
      </w:pPr>
      <w:r>
        <w:t>Insiste en que el impuesto temporal de solidaridad de las grandes fortunas impugnado no vacía de competencias normativas a las comunidades autónomas, ya que el art. 3 de la Ley 38/2022 no incide en la regulación del impuesto sobre el patrimonio. Las competencias para regular su tipo de gravamen, el mínimo exento y las deducciones y bonificaciones se mantienen intactas. Al prever que la cuota del impuesto sobre el patrimonio se deduzca de la del nuevo impuesto temporal se hace que este complemente a aquel, sin sustituirlo. Prueba de ello es que el art. 3 impugnado no modifica ni la Ley 19/1991, de 6 de junio, del impuesto sobre el patrimonio, ni la Ley 22/2009, reguladora del sistema de financiación de las comunidades autónomas y de la cesión de tributos.</w:t>
      </w:r>
    </w:p>
    <w:p w14:paraId="019F2E34" w14:textId="77777777" w:rsidR="008D479B" w:rsidRDefault="008D479B" w:rsidP="008D479B">
      <w:pPr>
        <w:pStyle w:val="TextoNormal"/>
      </w:pPr>
    </w:p>
    <w:p w14:paraId="311BD857" w14:textId="77777777" w:rsidR="008D479B" w:rsidRDefault="008D479B" w:rsidP="008D479B">
      <w:pPr>
        <w:pStyle w:val="TextoNormal"/>
      </w:pPr>
      <w:r>
        <w:t>El abogado del Estado expone que la cuota del impuesto temporal de solidaridad de las grandes fortunas solo resultará a ingresar cuando sea superior a la del impuesto sobre el patrimonio, pero nunca minorará la cuota de este último impuesto, por lo que no es cierto que se vulneren las competencias autonómicas. Por ello, no procede modificar la LOFCA, ni la ley de cesión de tributos, ni son necesarios acuerdos de la comisión mixta entre el Estado y la comunidad autónoma.</w:t>
      </w:r>
    </w:p>
    <w:p w14:paraId="110D5045" w14:textId="77777777" w:rsidR="008D479B" w:rsidRDefault="008D479B" w:rsidP="008D479B">
      <w:pPr>
        <w:pStyle w:val="TextoNormal"/>
      </w:pPr>
    </w:p>
    <w:p w14:paraId="5E091855" w14:textId="77777777" w:rsidR="008D479B" w:rsidRDefault="008D479B" w:rsidP="008D479B">
      <w:pPr>
        <w:pStyle w:val="TextoNormal"/>
      </w:pPr>
      <w:r>
        <w:t>Para el representante del Gobierno, tampoco se vulnera el principio de lealtad institucional porque, por un lado, no se crean nuevas obligaciones de gasto; y, por otro, no hay una disminución de los ingresos autonómicos. El impuesto temporal de solidaridad de las grandes fortunas no suprime ningún tributo ni altera los ingresos autonómicos, que es la premisa para reclamar al Estado medidas de compensación en virtud del citado principio [art. 2.1 g) LOFCA]. Por otro lado, no se produce doble imposición porque los contribuyentes del impuesto temporal de solidaridad de las grandes fortunas solo tributan por la parte que no haya gravado la comunidad autónoma.</w:t>
      </w:r>
    </w:p>
    <w:p w14:paraId="35C4414C" w14:textId="77777777" w:rsidR="008D479B" w:rsidRDefault="008D479B" w:rsidP="008D479B">
      <w:pPr>
        <w:pStyle w:val="TextoNormal"/>
      </w:pPr>
    </w:p>
    <w:p w14:paraId="1813EC1B" w14:textId="77777777" w:rsidR="008D479B" w:rsidRDefault="008D479B" w:rsidP="008D479B">
      <w:pPr>
        <w:pStyle w:val="TextoNormal"/>
      </w:pPr>
      <w:r>
        <w:t>c) En lo atinente a la supuesta vulneración del principio de seguridad jurídica, las alegaciones del representante del Gobierno de la Nación subrayan que el impuesto temporal de solidaridad de las grandes fortunas entró en vigor el 29 de diciembre de 2022, antes del primer devengo, producido el 31 de diciembre de dicho año. No hay, por tanto, retroactividad, ya que el impuesto es de devengo instantáneo, sin que existan situaciones consolidadas previas a su aplicación.</w:t>
      </w:r>
    </w:p>
    <w:p w14:paraId="21752282" w14:textId="77777777" w:rsidR="008D479B" w:rsidRDefault="008D479B" w:rsidP="008D479B">
      <w:pPr>
        <w:pStyle w:val="TextoNormal"/>
      </w:pPr>
    </w:p>
    <w:p w14:paraId="02DB0CD1" w14:textId="77777777" w:rsidR="008D479B" w:rsidRDefault="008D479B" w:rsidP="008D479B">
      <w:pPr>
        <w:pStyle w:val="TextoNormal"/>
      </w:pPr>
      <w:r>
        <w:t>Para el caso de que se estimase que el impuesto sí tiene una eficacia retroactiva, invoca la doctrina de la STC 126/1987, de 16 de julio, FJ 9, que admite dicho efecto en función de la ponderación de intereses en cada caso. En concreto, cabe recordar su finalidad recaudatoria de exigir en tiempos de crisis energética y de inflación un mayor esfuerzo a quienes disponen de una mayor capacidad económica; y armonizadora de reducir las diferencias entre las comunidades autónomas en el gravamen del patrimonio.</w:t>
      </w:r>
    </w:p>
    <w:p w14:paraId="6B99AAA2" w14:textId="77777777" w:rsidR="008D479B" w:rsidRDefault="008D479B" w:rsidP="008D479B">
      <w:pPr>
        <w:pStyle w:val="TextoNormal"/>
      </w:pPr>
    </w:p>
    <w:p w14:paraId="72ED864C" w14:textId="77777777" w:rsidR="008D479B" w:rsidRDefault="008D479B" w:rsidP="008D479B">
      <w:pPr>
        <w:pStyle w:val="TextoNormal"/>
      </w:pPr>
      <w:r>
        <w:t>d) En último lugar, aborda la alegada vulneración de los principios de capacidad económica e igualdad tributaria del art. 31.1 CE.</w:t>
      </w:r>
    </w:p>
    <w:p w14:paraId="23BBCF2C" w14:textId="77777777" w:rsidR="008D479B" w:rsidRDefault="008D479B" w:rsidP="008D479B">
      <w:pPr>
        <w:pStyle w:val="TextoNormal"/>
      </w:pPr>
    </w:p>
    <w:p w14:paraId="6B0D0956" w14:textId="77777777" w:rsidR="008D479B" w:rsidRDefault="008D479B" w:rsidP="008D479B">
      <w:pPr>
        <w:pStyle w:val="TextoNormal"/>
      </w:pPr>
      <w:r>
        <w:t>Respecto del primero, pone de manifiesto que lo único que argumenta la demanda es que se produce una doble imposición por el solapamiento del impuesto temporal de solidaridad de las grandes fortunas con el impuesto sobre el patrimonio. Sin embargo, el abogado del Estado reitera que en la liquidación del nuevo tributo se prevé deducir la cuota de lo satisfecho por el impuesto sobre el patrimonio, lo que se hace precisamente para evitar la doble imposición.</w:t>
      </w:r>
    </w:p>
    <w:p w14:paraId="2C49CF7E" w14:textId="77777777" w:rsidR="008D479B" w:rsidRDefault="008D479B" w:rsidP="008D479B">
      <w:pPr>
        <w:pStyle w:val="TextoNormal"/>
      </w:pPr>
    </w:p>
    <w:p w14:paraId="46FD0F0A" w14:textId="77777777" w:rsidR="008D479B" w:rsidRDefault="008D479B" w:rsidP="008D479B">
      <w:pPr>
        <w:pStyle w:val="TextoNormal"/>
      </w:pPr>
      <w:r>
        <w:t>En relación con la vulneración del principio de igualdad, el único argumento que emplea la Asamblea de Madrid es que existe una diferencia de trato según la regulación del impuesto sobre el patrimonio y su bonificación que establezcan las comunidades autónomas y, por tanto, se crea una diferencia de trato en función de la comunidad autónoma de residencia. Para el representante del Gobierno, el argumento es precisamente el contrario, la eventual diferencia de trato se articula por las comunidades autónomas en función de la regulación que ellas realicen de un impuesto cedido, en aplicación de su autonomía financiera.</w:t>
      </w:r>
    </w:p>
    <w:p w14:paraId="52FE67BD" w14:textId="77777777" w:rsidR="008D479B" w:rsidRDefault="008D479B" w:rsidP="008D479B">
      <w:pPr>
        <w:pStyle w:val="TextoNormal"/>
      </w:pPr>
    </w:p>
    <w:p w14:paraId="11DC2735" w14:textId="04DEA849" w:rsidR="008D479B" w:rsidRDefault="008D479B" w:rsidP="008D479B">
      <w:pPr>
        <w:pStyle w:val="TextoNormal"/>
      </w:pPr>
      <w:r>
        <w:t>Por todo lo anterior, finaliza solicitando que el Tribunal dicte sentencia por la que desestime íntegramente el recurso de inconstitucionalidad.</w:t>
      </w:r>
    </w:p>
    <w:p w14:paraId="048FA7E3" w14:textId="77777777" w:rsidR="008D479B" w:rsidRDefault="008D479B" w:rsidP="008D479B">
      <w:pPr>
        <w:pStyle w:val="TextoNormal"/>
      </w:pPr>
    </w:p>
    <w:p w14:paraId="25C1D0BA" w14:textId="17712B71" w:rsidR="008D479B" w:rsidRDefault="008D479B" w:rsidP="008D479B">
      <w:pPr>
        <w:pStyle w:val="TextoNormal"/>
      </w:pPr>
      <w:r w:rsidRPr="008D479B">
        <w:rPr>
          <w:rStyle w:val="NumeroAFNegritaCaracter"/>
        </w:rPr>
        <w:t>7</w:t>
      </w:r>
      <w:r>
        <w:t>. Por providencia de 12 de diciembre de 2023, se señaló ese mismo día para la deliberación y votación de la presente sentencia.</w:t>
      </w:r>
    </w:p>
    <w:p w14:paraId="654B410C" w14:textId="77777777" w:rsidR="008D479B" w:rsidRDefault="008D479B" w:rsidP="008D479B">
      <w:pPr>
        <w:pStyle w:val="TextoNormal"/>
      </w:pPr>
    </w:p>
    <w:p w14:paraId="03F595EC" w14:textId="77777777" w:rsidR="008D479B" w:rsidRDefault="008D479B" w:rsidP="008D479B">
      <w:pPr>
        <w:pStyle w:val="TextoNormalNegritaCentrado"/>
        <w:keepNext/>
      </w:pPr>
      <w:r>
        <w:t>II. Fundamentos jurídicos</w:t>
      </w:r>
    </w:p>
    <w:p w14:paraId="36ACD8B2" w14:textId="2001E687" w:rsidR="008D479B" w:rsidRDefault="008D479B" w:rsidP="008D479B">
      <w:pPr>
        <w:pStyle w:val="TextoNormalNegritaCentrado"/>
        <w:keepNext/>
      </w:pPr>
    </w:p>
    <w:p w14:paraId="2D917556" w14:textId="77777777" w:rsidR="008D479B" w:rsidRDefault="008D479B" w:rsidP="008D479B">
      <w:pPr>
        <w:pStyle w:val="TextoNormal"/>
      </w:pPr>
      <w:r w:rsidRPr="008D479B">
        <w:rPr>
          <w:rStyle w:val="NumeroAFNegritaCaracter"/>
        </w:rPr>
        <w:t>1</w:t>
      </w:r>
      <w:r>
        <w:t xml:space="preserve">. </w:t>
      </w:r>
      <w:r w:rsidRPr="008D479B">
        <w:rPr>
          <w:i/>
        </w:rPr>
        <w:t>Objeto del recurso y posiciones de las partes</w:t>
      </w:r>
    </w:p>
    <w:p w14:paraId="3B5839F0" w14:textId="77777777" w:rsidR="008D479B" w:rsidRDefault="008D479B" w:rsidP="008D479B">
      <w:pPr>
        <w:pStyle w:val="TextoNormal"/>
      </w:pPr>
    </w:p>
    <w:p w14:paraId="7476506F" w14:textId="77777777" w:rsidR="008D479B" w:rsidRDefault="008D479B" w:rsidP="008D479B">
      <w:pPr>
        <w:pStyle w:val="TextoNormal"/>
      </w:pPr>
      <w:r>
        <w:t>La Asamblea de Madrid interpone un recurso de inconstitucionalidad contra el art. 3 de la Ley 38/2022, de 27 de diciembre, para el establecimiento de gravámenes temporales energético y de entidades de crédito y establecimientos financieros de crédito y por la que se crea el impuesto temporal de solidaridad de las grandes fortunas, y se modifican determinadas normas tributarias.</w:t>
      </w:r>
    </w:p>
    <w:p w14:paraId="53088C42" w14:textId="77777777" w:rsidR="008D479B" w:rsidRDefault="008D479B" w:rsidP="008D479B">
      <w:pPr>
        <w:pStyle w:val="TextoNormal"/>
      </w:pPr>
    </w:p>
    <w:p w14:paraId="79DFA810" w14:textId="77777777" w:rsidR="008D479B" w:rsidRDefault="008D479B" w:rsidP="008D479B">
      <w:pPr>
        <w:pStyle w:val="TextoNormal"/>
      </w:pPr>
      <w:r>
        <w:t>a) Como ha quedado detalladamente expuesto en los antecedentes, la demanda imputa al art. 3 de la Ley 38/2022 la vulneración de: (i) la libertad de configuración normativa del Parlamento autonómico (art. 152.1 CE), la autonomía financiera de la Comunidad de Madrid y la reserva de ley orgánica [arts. 156.1, 157.1 a) y 157.3 CE, en relación con los preceptos conexos del Estatuto de Autonomía de la Comunidad de Madrid y de la Ley Orgánica de financiación de las comunidades autónomas]; (ii) los arts. 23, 66.2 y 87 CE, en relación con los preceptos respectivos del Reglamento del Congreso de los Diputados; (iii) los principios de igualdad tributaria y de capacidad económica (art. 31.1 CE); y (iv) el principio de seguridad jurídica (art. 9.3 CE).</w:t>
      </w:r>
    </w:p>
    <w:p w14:paraId="5DEB5DF7" w14:textId="77777777" w:rsidR="008D479B" w:rsidRDefault="008D479B" w:rsidP="008D479B">
      <w:pPr>
        <w:pStyle w:val="TextoNormal"/>
      </w:pPr>
    </w:p>
    <w:p w14:paraId="09C520AE" w14:textId="77777777" w:rsidR="008D479B" w:rsidRDefault="008D479B" w:rsidP="008D479B">
      <w:pPr>
        <w:pStyle w:val="TextoNormal"/>
      </w:pPr>
      <w:r>
        <w:t>La letrada de las Cortes ha formulado alegaciones únicamente respecto de los citados motivos (i) y (ii), descartando los vicios respectivos. Por su parte, el abogado del Estado niega todas las infracciones, interesando la desestimación íntegra del recurso.</w:t>
      </w:r>
    </w:p>
    <w:p w14:paraId="5068A431" w14:textId="77777777" w:rsidR="008D479B" w:rsidRDefault="008D479B" w:rsidP="008D479B">
      <w:pPr>
        <w:pStyle w:val="TextoNormal"/>
      </w:pPr>
    </w:p>
    <w:p w14:paraId="68BAAE1B" w14:textId="77777777" w:rsidR="008D479B" w:rsidRDefault="008D479B" w:rsidP="008D479B">
      <w:pPr>
        <w:pStyle w:val="TextoNormal"/>
      </w:pPr>
      <w:r>
        <w:t>b) El art. 3 de la Ley 38/2022 ha sido ya objeto de un pronunciamiento de este tribunal que, por la STC 149/2023, de 7 de noviembre, ha desestimado íntegramente el recurso de inconstitucionalidad núm. 616-2023, interpuesto contra dicho precepto por el Consejo de Gobierno de la Comunidad de Madrid. Todos los motivos de inconstitucionalidad que esgrime el recurso de la Asamblea de Madrid han sido ya enjuiciados en dicha sentencia, cuya doctrina, por tanto, es aplicable para resolver el presente proceso.</w:t>
      </w:r>
    </w:p>
    <w:p w14:paraId="54631D8A" w14:textId="77777777" w:rsidR="008D479B" w:rsidRDefault="008D479B" w:rsidP="008D479B">
      <w:pPr>
        <w:pStyle w:val="TextoNormal"/>
      </w:pPr>
    </w:p>
    <w:p w14:paraId="32F5AC5F" w14:textId="06072E7B" w:rsidR="008D479B" w:rsidRDefault="008D479B" w:rsidP="008D479B">
      <w:pPr>
        <w:pStyle w:val="TextoNormal"/>
      </w:pPr>
      <w:r>
        <w:t>Debemos comenzar dando por reproducida aquí la síntesis de la estructura y finalidad del impuesto temporal de solidaridad de las grandes fortunas que hace la STC 149/2023, FJ 1 a) y b). A continuación, en los fundamentos jurídicos que siguen enjuiciaremos, por remisión a los fundamentos correspondientes de la citada sentencia, las impugnaciones planteadas por la Asamblea de Madrid.</w:t>
      </w:r>
    </w:p>
    <w:p w14:paraId="6E13198E" w14:textId="77777777" w:rsidR="008D479B" w:rsidRDefault="008D479B" w:rsidP="008D479B">
      <w:pPr>
        <w:pStyle w:val="TextoNormal"/>
      </w:pPr>
    </w:p>
    <w:p w14:paraId="3F44D7C9" w14:textId="77777777" w:rsidR="008D479B" w:rsidRDefault="008D479B" w:rsidP="008D479B">
      <w:pPr>
        <w:pStyle w:val="TextoNormal"/>
      </w:pPr>
      <w:r w:rsidRPr="008D479B">
        <w:rPr>
          <w:rStyle w:val="NumeroAFNegritaCaracter"/>
        </w:rPr>
        <w:t>2</w:t>
      </w:r>
      <w:r>
        <w:t xml:space="preserve">. </w:t>
      </w:r>
      <w:r w:rsidRPr="008D479B">
        <w:rPr>
          <w:i/>
        </w:rPr>
        <w:t>Examen de la alegada vulneración de la libertad de configuración normativa del Parlamento autonómico y de los arts. 156.1, 157.1 a) y 157.3 CE. Desestimación por remisión a la STC 149/2023, FJ 3</w:t>
      </w:r>
    </w:p>
    <w:p w14:paraId="42F47582" w14:textId="77777777" w:rsidR="008D479B" w:rsidRDefault="008D479B" w:rsidP="008D479B">
      <w:pPr>
        <w:pStyle w:val="TextoNormal"/>
      </w:pPr>
    </w:p>
    <w:p w14:paraId="016E32DD" w14:textId="77777777" w:rsidR="008D479B" w:rsidRDefault="008D479B" w:rsidP="008D479B">
      <w:pPr>
        <w:pStyle w:val="TextoNormal"/>
      </w:pPr>
      <w:r>
        <w:t>a) Los letrados de la Asamblea de Madrid aducen que el impuesto temporal de solidaridad de las grandes fortunas ha sido introducido con la única finalidad de vaciar de contenido la competencia normativa de las comunidades autónomas sobre el impuesto sobre el patrimonio, particularmente con la intención de neutralizar las bonificaciones introducidas por algunas de ellas —incluida la Comunidad de Madrid—, lo que lesiona la libertad de configuración normativa del Parlamento autonómico, la autonomía financiera del art. 156.1 CE y la reserva de ley orgánica para la regulación del ejercicio de las competencias financieras de las comunidades autónomas del art. 157.3 CE.</w:t>
      </w:r>
    </w:p>
    <w:p w14:paraId="1201C578" w14:textId="77777777" w:rsidR="008D479B" w:rsidRDefault="008D479B" w:rsidP="008D479B">
      <w:pPr>
        <w:pStyle w:val="TextoNormal"/>
      </w:pPr>
    </w:p>
    <w:p w14:paraId="1477AC4C" w14:textId="77777777" w:rsidR="008D479B" w:rsidRDefault="008D479B" w:rsidP="008D479B">
      <w:pPr>
        <w:pStyle w:val="TextoNormal"/>
      </w:pPr>
      <w:r>
        <w:t>b) La letrada de las Cortes Generales y el abogado del Estado argumentan de contrario que el impuesto temporal de solidaridad de las grandes fortunas no afecta a la normativa ni a la cesión del impuesto sobre el patrimonio, que se mantienen intactas. Subrayan que el nuevo tributo no afecta a la recaudación del impuesto sobre el patrimonio, por lo que no se vulneran las competencias autonómicas, ni la autonomía financiera (ni política), ni el resto de los principios del art. 156.1 CE. Al no modificarse el régimen de cesión, ni regularse ningún medio de resolución de conflictos, tampoco consideran aplicable la reserva de ley orgánica del art. 157.3 CE.</w:t>
      </w:r>
    </w:p>
    <w:p w14:paraId="483D6CDE" w14:textId="77777777" w:rsidR="008D479B" w:rsidRDefault="008D479B" w:rsidP="008D479B">
      <w:pPr>
        <w:pStyle w:val="TextoNormal"/>
      </w:pPr>
    </w:p>
    <w:p w14:paraId="7D2F41C2" w14:textId="77777777" w:rsidR="008D479B" w:rsidRDefault="008D479B" w:rsidP="008D479B">
      <w:pPr>
        <w:pStyle w:val="TextoNormal"/>
      </w:pPr>
      <w:r>
        <w:t>c) La impugnación planteada por la Asamblea de Madrid debe desestimarse. En la STC 149/2023, FJ 3 C) a), hemos concluido que el impuesto temporal de solidaridad de las grandes fortunas deja intactas las competencias normativas autonómicas reconocidas en el régimen de cesión del impuesto sobre el patrimonio. El mínimo exento, la tarifa, las deducciones y las bonificaciones aplicables a los contribuyentes con residencia habitual en una comunidad autónoma seguirán siendo, única y exclusivamente, los que ella decida, en ejercicio de las competencias previstas en la LOFCA, en la Ley 22/2009 y en la ley específica de cesión de tributos a dicha comunidad. Por consiguiente, la libertad de configuración normativa del Parlamento autonómico (art. 152.1 CE) queda incólume.</w:t>
      </w:r>
    </w:p>
    <w:p w14:paraId="6138BA4D" w14:textId="77777777" w:rsidR="008D479B" w:rsidRDefault="008D479B" w:rsidP="008D479B">
      <w:pPr>
        <w:pStyle w:val="TextoNormal"/>
      </w:pPr>
    </w:p>
    <w:p w14:paraId="28866D60" w14:textId="77777777" w:rsidR="008D479B" w:rsidRDefault="008D479B" w:rsidP="008D479B">
      <w:pPr>
        <w:pStyle w:val="TextoNormal"/>
      </w:pPr>
      <w:r>
        <w:t xml:space="preserve">Asimismo, hemos recordado que las comunidades autónomas pueden utilizar sus competencias tributarias con fines extrafiscales, como fomentar la generación de riqueza —según alega la demanda— pero no impedir que el Estado, titular de la potestad tributaria originaria </w:t>
      </w:r>
      <w:r w:rsidRPr="008D479B">
        <w:rPr>
          <w:i/>
        </w:rPr>
        <w:t>ex</w:t>
      </w:r>
      <w:r>
        <w:t xml:space="preserve"> art. 133.1 CE y de la competencia exclusiva en materia de “hacienda general” </w:t>
      </w:r>
      <w:r w:rsidRPr="008D479B">
        <w:rPr>
          <w:i/>
        </w:rPr>
        <w:t>ex</w:t>
      </w:r>
      <w:r>
        <w:t xml:space="preserve"> art. 149.1.14 CE, establezca un nuevo tributo sobre el patrimonio que la comunidad autónoma ha dejado libre de gravamen.</w:t>
      </w:r>
    </w:p>
    <w:p w14:paraId="60C32D1E" w14:textId="77777777" w:rsidR="008D479B" w:rsidRDefault="008D479B" w:rsidP="008D479B">
      <w:pPr>
        <w:pStyle w:val="TextoNormal"/>
      </w:pPr>
    </w:p>
    <w:p w14:paraId="3B4BDB2B" w14:textId="58028E3F" w:rsidR="008D479B" w:rsidRDefault="008D479B" w:rsidP="008D479B">
      <w:pPr>
        <w:pStyle w:val="TextoNormal"/>
      </w:pPr>
      <w:r>
        <w:t>Por otra parte, no se vulnera la reserva de ley orgánica del art. 157.3 CE dado que el impuesto temporal de solidaridad de las grandes fortunas no se crea en aplicación de la LOFCA, sino en ejercicio de las competencias reconocidas al Estado por los arts. 133.1 y 149.1.14 CE, las cuales no deben instrumentarse mediante ley orgánica. Tampoco concurre ninguno de los demás supuestos para los que el art. 157.3 CE establece una reserva de ley orgánica, como hemos razonado en la STC 149/2023, FJ 3 D).</w:t>
      </w:r>
    </w:p>
    <w:p w14:paraId="33CC8670" w14:textId="77777777" w:rsidR="008D479B" w:rsidRDefault="008D479B" w:rsidP="008D479B">
      <w:pPr>
        <w:pStyle w:val="TextoNormal"/>
      </w:pPr>
    </w:p>
    <w:p w14:paraId="65706B82" w14:textId="77777777" w:rsidR="008D479B" w:rsidRDefault="008D479B" w:rsidP="008D479B">
      <w:pPr>
        <w:pStyle w:val="TextoNormal"/>
      </w:pPr>
      <w:r w:rsidRPr="008D479B">
        <w:rPr>
          <w:rStyle w:val="NumeroAFNegritaCaracter"/>
        </w:rPr>
        <w:t>3</w:t>
      </w:r>
      <w:r>
        <w:t xml:space="preserve">. </w:t>
      </w:r>
      <w:r w:rsidRPr="008D479B">
        <w:rPr>
          <w:i/>
        </w:rPr>
        <w:t>Examen de la alegada vulneración de los arts. 23.2, 66.2 y 87 CE. Desestimación por remisión a la STC 149/2023, FJ 2</w:t>
      </w:r>
    </w:p>
    <w:p w14:paraId="3E304502" w14:textId="77777777" w:rsidR="008D479B" w:rsidRDefault="008D479B" w:rsidP="008D479B">
      <w:pPr>
        <w:pStyle w:val="TextoNormal"/>
      </w:pPr>
    </w:p>
    <w:p w14:paraId="424FECE1" w14:textId="77777777" w:rsidR="008D479B" w:rsidRDefault="008D479B" w:rsidP="008D479B">
      <w:pPr>
        <w:pStyle w:val="TextoNormal"/>
      </w:pPr>
      <w:r>
        <w:t xml:space="preserve">a) La Cámara autonómica denuncia que la disposición impugnada vulnera el </w:t>
      </w:r>
      <w:r w:rsidRPr="008D479B">
        <w:rPr>
          <w:i/>
        </w:rPr>
        <w:t>ius in officium</w:t>
      </w:r>
      <w:r>
        <w:t xml:space="preserve"> del art. 23.2 CE porque el objeto de deliberación de una iniciativa legislativa se alteró a través de una enmienda, que dio lugar al precepto impugnado, que no guardaba una mínima conexión de homogeneidad con la proposición de ley que había sido admitida a trámite. En conexión con esto, alega que se vulneraron también los arts. 66.2 y 87 CE (potestad e iniciativa legislativa).</w:t>
      </w:r>
    </w:p>
    <w:p w14:paraId="0AFA6AA9" w14:textId="77777777" w:rsidR="008D479B" w:rsidRDefault="008D479B" w:rsidP="008D479B">
      <w:pPr>
        <w:pStyle w:val="TextoNormal"/>
      </w:pPr>
    </w:p>
    <w:p w14:paraId="517C7F6D" w14:textId="77777777" w:rsidR="008D479B" w:rsidRDefault="008D479B" w:rsidP="008D479B">
      <w:pPr>
        <w:pStyle w:val="TextoNormal"/>
      </w:pPr>
      <w:r>
        <w:t>b) El abogado del Estado y la letrada de las Cortes Generales descartan la infracción. Ambos consideran que el nuevo impuesto sí guarda conexión con el objetivo de la proposición de ley en la que se integró, ya que sirve, como el resto de las medidas de la iniciativa, para generar ingresos con los que afrontar la situación excepcional derivada de la crisis energética y la inflación.</w:t>
      </w:r>
    </w:p>
    <w:p w14:paraId="728FDDB0" w14:textId="77777777" w:rsidR="008D479B" w:rsidRDefault="008D479B" w:rsidP="008D479B">
      <w:pPr>
        <w:pStyle w:val="TextoNormal"/>
      </w:pPr>
    </w:p>
    <w:p w14:paraId="3B1FABB8" w14:textId="77777777" w:rsidR="008D479B" w:rsidRDefault="008D479B" w:rsidP="008D479B">
      <w:pPr>
        <w:pStyle w:val="TextoNormal"/>
      </w:pPr>
      <w:r>
        <w:t>c) Por las razones expuestas en la STC 149/2023, FJ 2, la impugnación no puede prosperar. Aplicando la doctrina de las SSTC 119/2011, de 5 de julio, y 136/2011, de 13 de septiembre, dicha sentencia ha descartado en este caso la vulneración del derecho de enmienda, invocando otros precedentes análogos (SSTC 209/2012, de 14 de noviembre, respecto de la creación del impuesto sobre las ventas minoristas de determinados hidrocarburos, y 59/2015, de 18 de marzo, sobre el establecimiento del impuesto estatal sobre depósitos en entidades de crédito).</w:t>
      </w:r>
    </w:p>
    <w:p w14:paraId="59BB789A" w14:textId="77777777" w:rsidR="008D479B" w:rsidRDefault="008D479B" w:rsidP="008D479B">
      <w:pPr>
        <w:pStyle w:val="TextoNormal"/>
      </w:pPr>
    </w:p>
    <w:p w14:paraId="7C328237" w14:textId="3D975F9C" w:rsidR="008D479B" w:rsidRDefault="008D479B" w:rsidP="008D479B">
      <w:pPr>
        <w:pStyle w:val="TextoNormal"/>
      </w:pPr>
      <w:r>
        <w:t xml:space="preserve">Por tanto, dado que el derecho de enmienda se ha ejercido conforme a la legalidad parlamentaria, no se ha infringido el </w:t>
      </w:r>
      <w:r w:rsidRPr="008D479B">
        <w:rPr>
          <w:i/>
        </w:rPr>
        <w:t>ius in officium</w:t>
      </w:r>
      <w:r>
        <w:t xml:space="preserve"> del art. 23.2 CE. Por la misma razón, tampoco se han violado los arts. 66.2 y 87 CE, en relación con la potestad y la iniciativa legislativa.</w:t>
      </w:r>
    </w:p>
    <w:p w14:paraId="575D8B31" w14:textId="77777777" w:rsidR="008D479B" w:rsidRDefault="008D479B" w:rsidP="008D479B">
      <w:pPr>
        <w:pStyle w:val="TextoNormal"/>
      </w:pPr>
    </w:p>
    <w:p w14:paraId="5833BB56" w14:textId="77777777" w:rsidR="008D479B" w:rsidRDefault="008D479B" w:rsidP="008D479B">
      <w:pPr>
        <w:pStyle w:val="TextoNormal"/>
      </w:pPr>
      <w:r w:rsidRPr="008D479B">
        <w:rPr>
          <w:rStyle w:val="NumeroAFNegritaCaracter"/>
        </w:rPr>
        <w:t>4</w:t>
      </w:r>
      <w:r>
        <w:t xml:space="preserve">. </w:t>
      </w:r>
      <w:r w:rsidRPr="008D479B">
        <w:rPr>
          <w:i/>
        </w:rPr>
        <w:t>Examen de la alegada vulneración de los principios de capacidad económica e igualdad tributaria del art. 31.1 CE. Desestimación por remisión a la STC 149/2023, FJ 4</w:t>
      </w:r>
    </w:p>
    <w:p w14:paraId="3EB3D5D1" w14:textId="77777777" w:rsidR="008D479B" w:rsidRDefault="008D479B" w:rsidP="008D479B">
      <w:pPr>
        <w:pStyle w:val="TextoNormal"/>
      </w:pPr>
    </w:p>
    <w:p w14:paraId="7B624730" w14:textId="77777777" w:rsidR="008D479B" w:rsidRDefault="008D479B" w:rsidP="008D479B">
      <w:pPr>
        <w:pStyle w:val="TextoNormal"/>
      </w:pPr>
      <w:r>
        <w:t>a) La demanda aduce que se vulneran los principios de capacidad económica e igualdad tributaria del art. 31.1 CE porque la cuota del impuesto temporal de solidaridad de las grandes fortunas se minora en función del importe efectivamente satisfecho por el impuesto sobre el patrimonio, por lo que el tributo impugnado tendrá una mayor repercusión en los sujetos pasivos que residan en las comunidades autónomas que hayan aprobado una bonificación en el impuesto sobre el patrimonio, como es la Comunidad de Madrid.</w:t>
      </w:r>
    </w:p>
    <w:p w14:paraId="557332A3" w14:textId="77777777" w:rsidR="008D479B" w:rsidRDefault="008D479B" w:rsidP="008D479B">
      <w:pPr>
        <w:pStyle w:val="TextoNormal"/>
      </w:pPr>
    </w:p>
    <w:p w14:paraId="4CDBCC9D" w14:textId="77777777" w:rsidR="008D479B" w:rsidRDefault="008D479B" w:rsidP="008D479B">
      <w:pPr>
        <w:pStyle w:val="TextoNormal"/>
      </w:pPr>
      <w:r>
        <w:t>b) El abogado del Estado niega que dichos principios se hayan visto afectados. Respecto del de capacidad económica, alega que la deducción de lo satisfecho por el impuesto sobre el patrimonio se arbitra precisamente para evitar la doble imposición. En cuanto al principio de igualdad, la diferencia de trato entre comunidades autónomas como consecuencia de la distinta regulación del impuesto sobre el patrimonio justamente se armoniza mediante la aplicación del nuevo tributo. La letrada de las Cortes Generales no formula alegaciones sobre este motivo.</w:t>
      </w:r>
    </w:p>
    <w:p w14:paraId="330D69EE" w14:textId="77777777" w:rsidR="008D479B" w:rsidRDefault="008D479B" w:rsidP="008D479B">
      <w:pPr>
        <w:pStyle w:val="TextoNormal"/>
      </w:pPr>
    </w:p>
    <w:p w14:paraId="2B4A1288" w14:textId="77777777" w:rsidR="008D479B" w:rsidRDefault="008D479B" w:rsidP="008D479B">
      <w:pPr>
        <w:pStyle w:val="TextoNormal"/>
      </w:pPr>
      <w:r>
        <w:t>c) La STC 149/2023, FJ 4 C) b) ha concluido que el impuesto temporal de solidaridad de las grandes fortunas recae sobre un índice revelador de capacidad económica, como es la titularidad de un patrimonio neto de cuantía superior a tres millones de euros y que los tipos efectivos de gravamen no se pueden considerar desproporcionados. Por tanto, no vulnera el principio de capacidad económica.</w:t>
      </w:r>
    </w:p>
    <w:p w14:paraId="7E31E101" w14:textId="77777777" w:rsidR="008D479B" w:rsidRDefault="008D479B" w:rsidP="008D479B">
      <w:pPr>
        <w:pStyle w:val="TextoNormal"/>
      </w:pPr>
    </w:p>
    <w:p w14:paraId="4CBE61AA" w14:textId="396FBB8A" w:rsidR="008D479B" w:rsidRDefault="008D479B" w:rsidP="008D479B">
      <w:pPr>
        <w:pStyle w:val="TextoNormal"/>
      </w:pPr>
      <w:r>
        <w:t>Por lo que se refiere al principio de igualdad, dicha sentencia, en su FJ 3 C), subraya que el impuesto sobre el patrimonio opera como una suerte de tributo “a cuenta” del impuesto temporal de solidaridad de las grandes fortunas, para cumplir con el fin armonizador que le atribuye el preámbulo de la Ley 38/2022. Por tanto, es consustancial al tributo impugnado que su cuantía varíe en función de cómo haya ejercido sus competencias normativas en el impuesto sobre el patrimonio la comunidad autónoma de residencia del sujeto pasivo. Si el principio de igualdad tributaria no se quebranta por el hecho de que el nivel de gravamen del impuesto sobre el patrimonio sea distinto entre comunidades autónomas (consecuencia inherente al principio de autonomía financiera), con menor razón se podrá entender vulnerado cuando el Estado, en el ejercicio de sus competencias, establece un impuesto complementario, precisamente con el objetivo —en palabras del preámbulo— de “disminuir las diferencias en el gravamen del patrimonio en las distintas comunidades autónomas”.</w:t>
      </w:r>
    </w:p>
    <w:p w14:paraId="085EA0B9" w14:textId="77777777" w:rsidR="008D479B" w:rsidRDefault="008D479B" w:rsidP="008D479B">
      <w:pPr>
        <w:pStyle w:val="TextoNormal"/>
      </w:pPr>
    </w:p>
    <w:p w14:paraId="05AF191B" w14:textId="77777777" w:rsidR="008D479B" w:rsidRDefault="008D479B" w:rsidP="008D479B">
      <w:pPr>
        <w:pStyle w:val="TextoNormal"/>
      </w:pPr>
      <w:r w:rsidRPr="008D479B">
        <w:rPr>
          <w:rStyle w:val="NumeroAFNegritaCaracter"/>
        </w:rPr>
        <w:t>5</w:t>
      </w:r>
      <w:r>
        <w:t xml:space="preserve">. </w:t>
      </w:r>
      <w:r w:rsidRPr="008D479B">
        <w:rPr>
          <w:i/>
        </w:rPr>
        <w:t>Examen de la alegada vulneración del art. 9.3 CE. Desestimación por remisión a la STC 149/2023, FJ 5</w:t>
      </w:r>
    </w:p>
    <w:p w14:paraId="4EC48E36" w14:textId="77777777" w:rsidR="008D479B" w:rsidRDefault="008D479B" w:rsidP="008D479B">
      <w:pPr>
        <w:pStyle w:val="TextoNormal"/>
      </w:pPr>
    </w:p>
    <w:p w14:paraId="1818D46C" w14:textId="77777777" w:rsidR="008D479B" w:rsidRDefault="008D479B" w:rsidP="008D479B">
      <w:pPr>
        <w:pStyle w:val="TextoNormal"/>
      </w:pPr>
      <w:r>
        <w:t>a) Finalmente, los letrados de la Asamblea atribuyen al impuesto temporal de solidaridad de las grandes fortunas la infracción del principio de seguridad jurídica del art. 9.3 CE, por tener efectos retroactivos. Alegan que los destinatarios del nuevo tributo no pudieron prever su establecimiento y quedaron sin posibilidades de reacción frente a él.</w:t>
      </w:r>
    </w:p>
    <w:p w14:paraId="29DE69AC" w14:textId="77777777" w:rsidR="008D479B" w:rsidRDefault="008D479B" w:rsidP="008D479B">
      <w:pPr>
        <w:pStyle w:val="TextoNormal"/>
      </w:pPr>
    </w:p>
    <w:p w14:paraId="29FC5C4E" w14:textId="77777777" w:rsidR="008D479B" w:rsidRDefault="008D479B" w:rsidP="008D479B">
      <w:pPr>
        <w:pStyle w:val="TextoNormal"/>
      </w:pPr>
      <w:r>
        <w:t>b) El abogado del Estado niega la vulneración, pues considera que el impuesto temporal de solidaridad de las grandes fortunas es de carácter instantáneo, no periódico, por lo que no afecta a situaciones previas a su entrada en vigor. La letrada de las Cortes Generales no formula alegaciones sobre este motivo.</w:t>
      </w:r>
    </w:p>
    <w:p w14:paraId="00EC00A6" w14:textId="77777777" w:rsidR="008D479B" w:rsidRDefault="008D479B" w:rsidP="008D479B">
      <w:pPr>
        <w:pStyle w:val="TextoNormal"/>
      </w:pPr>
    </w:p>
    <w:p w14:paraId="08BCF24D" w14:textId="77777777" w:rsidR="008D479B" w:rsidRDefault="008D479B" w:rsidP="008D479B">
      <w:pPr>
        <w:pStyle w:val="TextoNormal"/>
      </w:pPr>
      <w:r>
        <w:t>c) La impugnación se desestima con base en lo razonado en la STC 149/2023, FJ 5. En ella constatamos que el hecho imponible del impuesto temporal de solidaridad de las grandes fortunas no se va generando a lo largo de un período de tiempo, sino que se agota en sí mismo el día 31 de diciembre. Es, por tanto, un tributo sin periodo impositivo (instantáneo), que se devengó, por primera vez, el 31 de diciembre de 2022, una vez que ya había entrado en vigor el precepto impugnado el anterior día 29. Así pues, no produce ningún efecto retroactivo.</w:t>
      </w:r>
    </w:p>
    <w:p w14:paraId="73CAA649" w14:textId="77777777" w:rsidR="008D479B" w:rsidRDefault="008D479B" w:rsidP="008D479B">
      <w:pPr>
        <w:pStyle w:val="TextoNormal"/>
      </w:pPr>
    </w:p>
    <w:p w14:paraId="47A0235E" w14:textId="5E2B534C" w:rsidR="008D479B" w:rsidRDefault="008D479B" w:rsidP="008D479B">
      <w:pPr>
        <w:pStyle w:val="TextoNormal"/>
      </w:pPr>
      <w:r>
        <w:t>Respecto de que se creara de forma “imprevisible”, en la citada sentencia hemos recordado nuestra reiterada doctrina según la cual “entre las exigencias de la seguridad jurídica no se incluye derecho alguno a la inalterabilidad del régimen fiscal, ni, en general, a la ‘congelación del ordenamiento jurídico existente’”.</w:t>
      </w:r>
    </w:p>
    <w:p w14:paraId="69F9CB42" w14:textId="77777777" w:rsidR="008D479B" w:rsidRDefault="008D479B" w:rsidP="008D479B">
      <w:pPr>
        <w:pStyle w:val="TextoNormal"/>
      </w:pPr>
    </w:p>
    <w:p w14:paraId="3B21E96B" w14:textId="77777777" w:rsidR="008D479B" w:rsidRDefault="008D479B" w:rsidP="008D479B">
      <w:pPr>
        <w:pStyle w:val="TextoNormalCentrado"/>
        <w:keepNext/>
      </w:pPr>
      <w:r>
        <w:t>FALLO</w:t>
      </w:r>
    </w:p>
    <w:p w14:paraId="6D1C4ECE" w14:textId="72081531" w:rsidR="008D479B" w:rsidRDefault="008D479B" w:rsidP="008D479B">
      <w:pPr>
        <w:pStyle w:val="TextoNormalCentrado"/>
        <w:keepNext/>
      </w:pPr>
    </w:p>
    <w:p w14:paraId="6B7D52F7" w14:textId="576C0982" w:rsidR="008D479B" w:rsidRDefault="008D479B" w:rsidP="008D479B">
      <w:pPr>
        <w:pStyle w:val="TextoNormal"/>
      </w:pPr>
      <w:r>
        <w:t>En atención a todo lo expuesto, el Tribunal Constitucional, por la autoridad que le confiere la Constitución de la Nación española, ha decidido desestimar íntegramente el recurso de inconstitucionalidad interpuesto por la Asamblea de Madrid contra el art. 3 de la Ley 38/2022, de 27 de diciembre, para el establecimiento de gravámenes temporales energético y de entidades de crédito y establecimientos financieros de crédito y por la que se crea el impuesto temporal de solidaridad de las grandes fortunas, y se modifican determinadas normas tributarias.</w:t>
      </w:r>
    </w:p>
    <w:p w14:paraId="5F715505" w14:textId="77777777" w:rsidR="008D479B" w:rsidRDefault="008D479B" w:rsidP="008D479B">
      <w:pPr>
        <w:pStyle w:val="TextoNormal"/>
      </w:pPr>
    </w:p>
    <w:p w14:paraId="09339E90" w14:textId="77777777" w:rsidR="008D479B" w:rsidRDefault="008D479B" w:rsidP="008D479B">
      <w:pPr>
        <w:pStyle w:val="TextoNormal"/>
      </w:pPr>
      <w:r>
        <w:t>Publíquese esta sentencia en el “Boletín Oficial del Estado”.</w:t>
      </w:r>
    </w:p>
    <w:p w14:paraId="46B474C4" w14:textId="77777777" w:rsidR="008D479B" w:rsidRDefault="008D479B" w:rsidP="008D479B">
      <w:pPr>
        <w:pStyle w:val="TextoNormal"/>
      </w:pPr>
      <w:r>
        <w:t>Dada en Madrid, a doce de diciembre de dos mil veintitrés.</w:t>
      </w:r>
    </w:p>
    <w:p w14:paraId="7C2CFDD1" w14:textId="1C56BD9A" w:rsidR="008D479B" w:rsidRDefault="008D479B" w:rsidP="008D479B">
      <w:pPr>
        <w:pStyle w:val="ParrafoNormal"/>
      </w:pPr>
    </w:p>
    <w:p w14:paraId="58FBE7CE" w14:textId="77777777" w:rsidR="008D479B" w:rsidRDefault="008D479B" w:rsidP="008D479B">
      <w:pPr>
        <w:pStyle w:val="TextoNormalNegritaCentrado"/>
        <w:keepNext/>
      </w:pPr>
      <w:r>
        <w:t>Voto particular que formulan los magistrados don Ricardo Enríquez Sancho y don Enrique Arnaldo Alcubilla, la magistrada doña Concepción Espejel Jorquera y el magistrado don César Tolosa Tribiño, a la sentencia del Pleno del Tribunal Constitucional que resuelve el recurso de inconstitucionalidad núm. 1922-2023</w:t>
      </w:r>
    </w:p>
    <w:p w14:paraId="56D05645" w14:textId="09994BC1" w:rsidR="008D479B" w:rsidRDefault="008D479B" w:rsidP="008D479B">
      <w:pPr>
        <w:pStyle w:val="TextoNormalNegritaCentrado"/>
        <w:keepNext/>
      </w:pPr>
    </w:p>
    <w:p w14:paraId="4EFB32ED" w14:textId="77777777" w:rsidR="008D479B" w:rsidRDefault="008D479B" w:rsidP="008D479B">
      <w:pPr>
        <w:pStyle w:val="TextoNormal"/>
      </w:pPr>
      <w:r>
        <w:t>En el ejercicio de la facultad que nos confiere el art. 90.2 de la Ley Orgánica del Tribunal Constitucional, y con respeto a la opinión de los magistrados que han conformado la mayoría del Pleno, formulamos el presente voto particular para expresar nuestra discrepancia con la fundamentación y con el fallo de la sentencia recaída en el presente recurso de inconstitucionalidad, el cual consideramos que debió ser estimado, declarando inconstitucional y nulo el art. 3 de la Ley 38/2022, de 27 de diciembre, que crea el impuesto temporal de solidaridad de las grandes fortunas.</w:t>
      </w:r>
    </w:p>
    <w:p w14:paraId="715B3556" w14:textId="77777777" w:rsidR="008D479B" w:rsidRDefault="008D479B" w:rsidP="008D479B">
      <w:pPr>
        <w:pStyle w:val="TextoNormal"/>
      </w:pPr>
    </w:p>
    <w:p w14:paraId="4CF32601" w14:textId="77777777" w:rsidR="008D479B" w:rsidRDefault="008D479B" w:rsidP="008D479B">
      <w:pPr>
        <w:pStyle w:val="TextoNormal"/>
      </w:pPr>
      <w:r>
        <w:t>Las razones de nuestra discrepancia son las expuestas en el voto particular conjunto que formulamos a la STC 149/2023, de 7 de noviembre, a la que la presente sentencia se remite en cuanto procede. En consecuencia, no consideramos necesario reiterar en detalle los argumentos que en dicho voto particular se contienen (cuya extensión resultaba justificada por la gravedad del problema constitucional planteado), siendo suficiente con remitirnos a aquel, resumiendo los motivos por los que entendemos que este tribunal debió declarar la inconstitucionalidad y consiguiente nulidad del precepto legal impugnado.</w:t>
      </w:r>
    </w:p>
    <w:p w14:paraId="2323A551" w14:textId="77777777" w:rsidR="008D479B" w:rsidRDefault="008D479B" w:rsidP="008D479B">
      <w:pPr>
        <w:pStyle w:val="TextoNormal"/>
      </w:pPr>
    </w:p>
    <w:p w14:paraId="0E232A72" w14:textId="77777777" w:rsidR="008D479B" w:rsidRDefault="008D479B" w:rsidP="008D479B">
      <w:pPr>
        <w:pStyle w:val="TextoNormal"/>
      </w:pPr>
      <w:r>
        <w:t>En primer lugar, porque el precepto legal impugnado vulnera la autonomía financiera y política de las comunidades autónomas, garantizada por los arts. 2, 137, 156.1 y 157.3 CE, al neutralizar la defensa de los intereses respectivos en el ejercicio de las competencias propias. El art. 19.2 b) de la Ley Orgánica de financiación de las comunidades autónomas, que forma parte del bloque de la constitucionalidad, prevé que las comunidades autónomas puedan asumir las bonificaciones del impuesto sobre el patrimonio, y la Ley 22/2009 determina que se ceden a aquellas las competencias normativas en materia de bonificaciones de la cuota en el impuesto sobre el patrimonio. La “armonización” pretendida por la Ley 38/2022 con la creación del impuesto temporal de solidaridad de las grandes fortunas pretende neutralizar las bonificaciones en el impuesto sobre el patrimonio establecidas por algunas comunidades autónomas, sin seguir el procedimiento establecido para la modificación de las condiciones de cesión del impuesto sobre el patrimonio, que es un impuesto cedido, vulnerando así la autonomía política y financiera de estas, que comprende la opción de bonificar los tributos cedidos.</w:t>
      </w:r>
    </w:p>
    <w:p w14:paraId="478AD046" w14:textId="77777777" w:rsidR="008D479B" w:rsidRDefault="008D479B" w:rsidP="008D479B">
      <w:pPr>
        <w:pStyle w:val="TextoNormal"/>
      </w:pPr>
    </w:p>
    <w:p w14:paraId="1E90BBBA" w14:textId="77777777" w:rsidR="008D479B" w:rsidRDefault="008D479B" w:rsidP="008D479B">
      <w:pPr>
        <w:pStyle w:val="TextoNormal"/>
      </w:pPr>
      <w:r>
        <w:t>En segundo lugar, porque la forma de aprobación de la iniciativa legislativa controvertida que ha dado lugar a la Ley 38/2022 supone un neto menosprecio al principio democrático, a los derechos de representación política de las minorías y al principio de legalidad tributaria. El precepto legal impugnado incurre en vulneración de los arts. 1.1, 23.2, 66.2 y 87.1 CE, al haberse introducido la regulación impugnada mediante enmienda que no guarda la conexión mínima de homogeneidad exigible con la proposición de ley que dio lugar a la Ley 38/2022, de 27 de diciembre. Es cierto que en las SSTC 209/2012, de 14 de noviembre, y 59/2015, de 18 de marzo, se desestimaron tachas similares, pero fue porque en aquellos casos las enmiendas creaban tributos y los proyectos de ley versaban sobre medidas tributarias. Por el contrario, en el presente caso, pese a lo afirmado en la sentencia de la que disentimos, no existe la conexión de objeto y materia constitucionalmente exigible (STC 136/2011, de 13 de septiembre, FJ 8) entre la enmienda que introdujo el impuesto temporal de solidaridad de las grandes fortunas y los gravámenes previstos en la iniciativa legislativa, que no tenían carácter tributario.</w:t>
      </w:r>
    </w:p>
    <w:p w14:paraId="621B40CF" w14:textId="77777777" w:rsidR="008D479B" w:rsidRDefault="008D479B" w:rsidP="008D479B">
      <w:pPr>
        <w:pStyle w:val="TextoNormal"/>
      </w:pPr>
    </w:p>
    <w:p w14:paraId="1897FA8F" w14:textId="77777777" w:rsidR="008D479B" w:rsidRDefault="008D479B" w:rsidP="008D479B">
      <w:pPr>
        <w:pStyle w:val="TextoNormal"/>
      </w:pPr>
      <w:r>
        <w:t>Por último, porque el precepto impugnado vulnera el principio de seguridad jurídica, reconocido por el art. 9.3 CE, y la protección de la confianza legítima de los ciudadanos en la actuación de los poderes públicos que de él se deriva, por la sorpresiva aplicación del impuesto impugnado. Frente a lo afirmado por la sentencia de la que disentimos, resulta que, conforme a lo dispuesto en el art. 3 de la Ley 38/2022, de 27 de diciembre, el impuesto temporal de solidaridad de las grandes fortunas se aplica a todo el ejercicio 2022, casi agotado cuando entra en vigor dicha ley (el 29 de diciembre de 2022, día siguiente a su publicación en el “Boletín Oficial del Estado”), lo que ha impedido a los sujetos pasivos del impuesto ordenar sus relaciones económicas con tiempo suficiente. Además, la creación del nuevo impuesto no era previsible, ya que no se pudo conocer realmente como pronto hasta la publicación de la enmienda en el “Boletín Oficial de las Cortes Generales” el 18 de noviembre de 2022, lo que abunda en la infracción del principio constitucional de seguridad jurídica (por todas, STC 173/1996, de 31 de octubre, FJ 3).</w:t>
      </w:r>
    </w:p>
    <w:p w14:paraId="113D038A" w14:textId="77777777" w:rsidR="008D479B" w:rsidRDefault="008D479B" w:rsidP="008D479B">
      <w:pPr>
        <w:pStyle w:val="TextoNormal"/>
      </w:pPr>
    </w:p>
    <w:p w14:paraId="2EB8EE05" w14:textId="77777777" w:rsidR="008D479B" w:rsidRDefault="008D479B" w:rsidP="008D479B">
      <w:pPr>
        <w:pStyle w:val="TextoNormal"/>
      </w:pPr>
      <w:r>
        <w:t>En definitiva, ni toda razón política puede vestirse, sin más, de una legitimación constitucional, ni el poder financiero del Estado puede desconocer, so pretexto de ser soberano, el ámbito competencial propio de las comunidades autónomas, socavando de forma ilegítima su autonomía política constitucionalmente consagrada, ni, en fin, el poder público puede traicionar abiertamente las expectativas generadas en los ciudadanos de cara al cumplimiento de las obligaciones impuestas.</w:t>
      </w:r>
    </w:p>
    <w:p w14:paraId="3D73292B" w14:textId="77777777" w:rsidR="008D479B" w:rsidRDefault="008D479B" w:rsidP="008D479B">
      <w:pPr>
        <w:pStyle w:val="TextoNormal"/>
      </w:pPr>
    </w:p>
    <w:p w14:paraId="122B435D" w14:textId="05FF2C91" w:rsidR="008D479B" w:rsidRDefault="008D479B" w:rsidP="008D479B">
      <w:pPr>
        <w:pStyle w:val="TextoNormal"/>
      </w:pPr>
      <w:r>
        <w:t>Madrid, a doce de diciembre de dos mil veintitrés.</w:t>
      </w:r>
    </w:p>
    <w:p w14:paraId="01B53536" w14:textId="1FC7135D" w:rsidR="008D479B" w:rsidRDefault="008D479B">
      <w:pPr>
        <w:spacing w:after="160" w:line="278" w:lineRule="auto"/>
        <w:rPr>
          <w:rFonts w:ascii="Times New Roman" w:eastAsia="Times New Roman" w:hAnsi="Times New Roman" w:cs="Times New Roman"/>
          <w:sz w:val="24"/>
          <w:szCs w:val="24"/>
          <w:lang w:eastAsia="es-ES"/>
        </w:rPr>
      </w:pPr>
      <w:r>
        <w:br w:type="page"/>
      </w:r>
    </w:p>
    <w:p w14:paraId="51A81409" w14:textId="77777777" w:rsidR="008D479B" w:rsidRDefault="008D479B" w:rsidP="008D479B">
      <w:pPr>
        <w:pStyle w:val="TtuloResolucin"/>
      </w:pPr>
      <w:bookmarkStart w:id="115" w:name="SENTENCIA_2023_190"/>
      <w:r>
        <w:t>SENTENCIA 190/2023, de 12 de diciembre de 2023</w:t>
      </w:r>
    </w:p>
    <w:bookmarkEnd w:id="115"/>
    <w:p w14:paraId="09925532" w14:textId="77777777" w:rsidR="008D479B" w:rsidRDefault="008D479B" w:rsidP="008D479B">
      <w:pPr>
        <w:pStyle w:val="TtuloResolucin"/>
      </w:pPr>
      <w:r>
        <w:t>Pleno</w:t>
      </w:r>
    </w:p>
    <w:p w14:paraId="159E208C" w14:textId="77777777" w:rsidR="008D479B" w:rsidRDefault="008D479B" w:rsidP="008D479B">
      <w:pPr>
        <w:pStyle w:val="TtuloBOE"/>
      </w:pPr>
      <w:r>
        <w:t>(BOE núm. 16, de 18 de enero de 2024)</w:t>
      </w:r>
    </w:p>
    <w:p w14:paraId="65AF7587" w14:textId="77777777" w:rsidR="008D479B" w:rsidRDefault="008D479B" w:rsidP="008D479B">
      <w:pPr>
        <w:pStyle w:val="TextoNormalCentrado"/>
      </w:pPr>
      <w:r>
        <w:t>ECLI:ES:TC:2023:190</w:t>
      </w:r>
    </w:p>
    <w:p w14:paraId="109FE080" w14:textId="607438AF" w:rsidR="008D479B" w:rsidRDefault="008D479B" w:rsidP="008D479B">
      <w:pPr>
        <w:pStyle w:val="TextoNormalCentrado"/>
      </w:pPr>
    </w:p>
    <w:p w14:paraId="17BDE3B9" w14:textId="77777777" w:rsidR="008D479B" w:rsidRDefault="008D479B" w:rsidP="008D479B">
      <w:pPr>
        <w:pStyle w:val="SntesisDescriptiva"/>
      </w:pPr>
      <w:r>
        <w:t>Recurso de inconstitucionalidad 1993-2023. Interpuesto por el Consejo de Gobierno de la Región de Murcia respecto del artículo 3 de la Ley 38/2022, de 27 de diciembre, para el establecimiento de gravámenes temporales energético y de entidades de crédito y establecimientos financieros de crédito y por la que se crea el impuesto temporal de solidaridad de las grandes fortunas, y se modifican determinadas normas tributarias.</w:t>
      </w:r>
    </w:p>
    <w:p w14:paraId="49D4390D" w14:textId="4F3DFA73" w:rsidR="008D479B" w:rsidRDefault="008D479B" w:rsidP="008D479B">
      <w:pPr>
        <w:pStyle w:val="SntesisDescriptiva"/>
      </w:pPr>
    </w:p>
    <w:p w14:paraId="155C5437" w14:textId="77777777" w:rsidR="008D479B" w:rsidRDefault="008D479B" w:rsidP="008D479B">
      <w:pPr>
        <w:pStyle w:val="SntesisAnaltica"/>
      </w:pPr>
      <w:r>
        <w:t>Supuesta vulneración del derecho al ejercicio de las funciones representativas (homogeneidad de las enmiendas parlamentarias respecto del texto que se pretende modificar), principios de legalidad tributaria, capacidad económica y no confiscatoriedad, corresponsabilidad fiscal y lealtad institucional: STC 149/2023 (constitucionalidad del precepto legal que crea el impuesto temporal sobre grandes fortunas como tributo directo, de naturaleza personal y complementario del impuesto sobre el patrimonio). Voto particular.</w:t>
      </w:r>
    </w:p>
    <w:p w14:paraId="24A61960" w14:textId="4B6FA6BC" w:rsidR="008D479B" w:rsidRDefault="008D479B" w:rsidP="008D479B">
      <w:pPr>
        <w:pStyle w:val="SntesisAnaltica"/>
      </w:pPr>
    </w:p>
    <w:p w14:paraId="1B0FEBA5" w14:textId="5B776FD1" w:rsidR="008D479B" w:rsidRDefault="008D479B" w:rsidP="008D479B">
      <w:pPr>
        <w:pStyle w:val="Extracto"/>
      </w:pPr>
      <w:r>
        <w:t>1.</w:t>
      </w:r>
      <w:r>
        <w:tab/>
        <w:t xml:space="preserve">En aplicación de la doctrina dictada en la STC 149/2023, los principios de lealtad institucional -reconocido en el art. 2.1 g) LOFCA- y de igualdad no quedan afectados por el establecimiento del impuesto temporal de solidaridad de las grandes fortunas porque este tributo genera desigualdad ni pérdida recaudatoria para las comunidades autónomas </w:t>
      </w:r>
    </w:p>
    <w:p w14:paraId="59A11C3C" w14:textId="77777777" w:rsidR="008D479B" w:rsidRDefault="008D479B" w:rsidP="008D479B">
      <w:pPr>
        <w:pStyle w:val="Extracto"/>
      </w:pPr>
    </w:p>
    <w:p w14:paraId="645A5F32" w14:textId="77777777" w:rsidR="008D479B" w:rsidRDefault="008D479B" w:rsidP="008D479B">
      <w:pPr>
        <w:pStyle w:val="Extracto"/>
      </w:pPr>
    </w:p>
    <w:p w14:paraId="6FDDC80A" w14:textId="77777777" w:rsidR="008D479B" w:rsidRDefault="008D479B" w:rsidP="008D479B">
      <w:pPr>
        <w:pStyle w:val="TextoNormal"/>
      </w:pPr>
      <w: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 ha pronunciado</w:t>
      </w:r>
    </w:p>
    <w:p w14:paraId="5EC0172F" w14:textId="457335A5" w:rsidR="008D479B" w:rsidRDefault="008D479B" w:rsidP="008D479B">
      <w:pPr>
        <w:pStyle w:val="TextoNormal"/>
      </w:pPr>
    </w:p>
    <w:p w14:paraId="057FB586" w14:textId="77777777" w:rsidR="008D479B" w:rsidRDefault="008D479B" w:rsidP="008D479B">
      <w:pPr>
        <w:pStyle w:val="TextoNormalCentrado"/>
        <w:keepNext/>
      </w:pPr>
      <w:r>
        <w:t>EN NOMBRE DEL REY</w:t>
      </w:r>
    </w:p>
    <w:p w14:paraId="0B3C7941" w14:textId="2A046411" w:rsidR="008D479B" w:rsidRDefault="008D479B" w:rsidP="008D479B">
      <w:pPr>
        <w:pStyle w:val="TextoNormalCentrado"/>
        <w:keepNext/>
      </w:pPr>
    </w:p>
    <w:p w14:paraId="77EDBC92" w14:textId="77777777" w:rsidR="008D479B" w:rsidRDefault="008D479B" w:rsidP="008D479B">
      <w:pPr>
        <w:pStyle w:val="TextoNormalCentrado"/>
        <w:keepNext/>
      </w:pPr>
    </w:p>
    <w:p w14:paraId="1D3C955A" w14:textId="77777777" w:rsidR="008D479B" w:rsidRDefault="008D479B" w:rsidP="008D479B">
      <w:pPr>
        <w:pStyle w:val="TextoNormal"/>
      </w:pPr>
      <w:r>
        <w:t>la siguiente</w:t>
      </w:r>
    </w:p>
    <w:p w14:paraId="77A9493D" w14:textId="346B8E3D" w:rsidR="008D479B" w:rsidRDefault="008D479B" w:rsidP="008D479B">
      <w:pPr>
        <w:pStyle w:val="TextoNormal"/>
      </w:pPr>
    </w:p>
    <w:p w14:paraId="4A75DEE5" w14:textId="77777777" w:rsidR="008D479B" w:rsidRDefault="008D479B" w:rsidP="008D479B">
      <w:pPr>
        <w:pStyle w:val="TextoNormalCentrado"/>
        <w:keepNext/>
      </w:pPr>
      <w:r>
        <w:t>SENTENCIA</w:t>
      </w:r>
    </w:p>
    <w:p w14:paraId="55A44757" w14:textId="1A51AD66" w:rsidR="008D479B" w:rsidRDefault="008D479B" w:rsidP="008D479B">
      <w:pPr>
        <w:pStyle w:val="TextoNormalCentrado"/>
        <w:keepNext/>
      </w:pPr>
    </w:p>
    <w:p w14:paraId="47F503AF" w14:textId="77777777" w:rsidR="008D479B" w:rsidRDefault="008D479B" w:rsidP="008D479B">
      <w:pPr>
        <w:pStyle w:val="TextoNormal"/>
      </w:pPr>
      <w:r>
        <w:t>En el recurso de inconstitucionalidad núm. 1993-2023, interpuesto por el Consejo de Gobierno de la Región de Murcia contra el art. 3 de la Ley 38/2022, de 27 de diciembre, para el establecimiento de gravámenes temporales energético y de entidades de crédito y establecimientos financieros de crédito y por la que se crea el impuesto temporal de solidaridad de las grandes fortunas, y se modifican determinadas normas tributarias. Han comparecido el Congreso de los Diputados, el Senado y el Gobierno de la Nación. Han formulado alegaciones la letrada de las Cortes Generales, en representación del Congreso, y el abogado del Estado, en representación del Gobierno. Ha sido ponente la magistrada doña Inmaculada Montalbán Huertas.</w:t>
      </w:r>
    </w:p>
    <w:p w14:paraId="44FA83DB" w14:textId="052718F4" w:rsidR="008D479B" w:rsidRDefault="008D479B" w:rsidP="008D479B">
      <w:pPr>
        <w:pStyle w:val="TextoNormal"/>
      </w:pPr>
    </w:p>
    <w:p w14:paraId="325DD6DA" w14:textId="77777777" w:rsidR="008D479B" w:rsidRDefault="008D479B" w:rsidP="008D479B">
      <w:pPr>
        <w:pStyle w:val="TextoNormalNegritaCentrado"/>
        <w:keepNext/>
      </w:pPr>
      <w:r>
        <w:t>I. Antecedentes</w:t>
      </w:r>
    </w:p>
    <w:p w14:paraId="70FB2D75" w14:textId="6F0BCA53" w:rsidR="008D479B" w:rsidRDefault="008D479B" w:rsidP="008D479B">
      <w:pPr>
        <w:pStyle w:val="TextoNormalNegritaCentrado"/>
        <w:keepNext/>
      </w:pPr>
    </w:p>
    <w:p w14:paraId="686AB936" w14:textId="77777777" w:rsidR="008D479B" w:rsidRDefault="008D479B" w:rsidP="008D479B">
      <w:pPr>
        <w:pStyle w:val="TextoNormal"/>
      </w:pPr>
      <w:r w:rsidRPr="008D479B">
        <w:rPr>
          <w:rStyle w:val="NumeroAFNegritaCaracter"/>
        </w:rPr>
        <w:t>1</w:t>
      </w:r>
      <w:r>
        <w:t>. Mediante escrito presentado el 27 de marzo de 2023 en el registro del Tribunal Constitucional, el Consejo de Gobierno de la Región de Murcia interpuso un recurso de inconstitucionalidad contra el art. 3 de la Ley 38/2022, de 27 de diciembre, para el establecimiento de gravámenes temporales energético y de entidades de crédito y establecimientos financieros de crédito y por la que se crea el impuesto temporal de solidaridad de las grandes fortunas, y se modifican determinadas normas tributarias (en adelante, Ley 38/2022). Dicha Ley fue publicada en el “Boletín Oficial del Estado” núm. 311, de 28 de diciembre de 2022 (corrección de errores publicada en el “BOE” núm. 54, de 4 de marzo de 2023, que no afecta al precepto impugnado). El art. 3 que se impugna lleva por rúbrica “Impuesto Temporal de Solidaridad de las Grandes Fortunas”.</w:t>
      </w:r>
    </w:p>
    <w:p w14:paraId="5E2D4227" w14:textId="77777777" w:rsidR="008D479B" w:rsidRDefault="008D479B" w:rsidP="008D479B">
      <w:pPr>
        <w:pStyle w:val="TextoNormal"/>
      </w:pPr>
    </w:p>
    <w:p w14:paraId="5C838715" w14:textId="77777777" w:rsidR="008D479B" w:rsidRDefault="008D479B" w:rsidP="008D479B">
      <w:pPr>
        <w:pStyle w:val="TextoNormal"/>
      </w:pPr>
      <w:r>
        <w:t xml:space="preserve">El recurso de inconstitucionalidad se funda en los siguientes motivos: a) vulneración de la autonomía financiera de las comunidades autónomas, de la lealtad institucional y del bloque de la constitucionalidad en materia de tributos cedidos (arts. 156 y 157 CE), debido a la modificación unilateral del régimen de cesión del impuesto sobre el patrimonio y a la neutralización de las competencias normativas autonómicas sobre este impuesto; b) infracción del principio democrático y del procedimiento legislativo, con afectación del </w:t>
      </w:r>
      <w:r w:rsidRPr="008D479B">
        <w:rPr>
          <w:i/>
        </w:rPr>
        <w:t>ius in officium</w:t>
      </w:r>
      <w:r>
        <w:t xml:space="preserve"> (art. 23.2 CE), debido a la tramitación parlamentaria que ha seguido el precepto impugnado; c) infracción de los principios de seguridad jurídica (art. 9.3 CE), igualdad (art. 14 CE) y capacidad económica (art. 31.1 CE).</w:t>
      </w:r>
    </w:p>
    <w:p w14:paraId="46429491" w14:textId="77777777" w:rsidR="008D479B" w:rsidRDefault="008D479B" w:rsidP="008D479B">
      <w:pPr>
        <w:pStyle w:val="TextoNormal"/>
      </w:pPr>
    </w:p>
    <w:p w14:paraId="0252A48B" w14:textId="77777777" w:rsidR="008D479B" w:rsidRDefault="008D479B" w:rsidP="008D479B">
      <w:pPr>
        <w:pStyle w:val="TextoNormal"/>
      </w:pPr>
      <w:r>
        <w:t>a) La demanda denuncia, en primer lugar y de forma principal, la vulneración de la autonomía financiera de la Región de Murcia, del bloque de la constitucionalidad en materia de tributos cedidos y del principio de lealtad institucional (arts. 156 y 157 CE).</w:t>
      </w:r>
    </w:p>
    <w:p w14:paraId="23DF3FEF" w14:textId="77777777" w:rsidR="008D479B" w:rsidRDefault="008D479B" w:rsidP="008D479B">
      <w:pPr>
        <w:pStyle w:val="TextoNormal"/>
      </w:pPr>
    </w:p>
    <w:p w14:paraId="6476A754" w14:textId="77777777" w:rsidR="008D479B" w:rsidRDefault="008D479B" w:rsidP="008D479B">
      <w:pPr>
        <w:pStyle w:val="TextoNormal"/>
      </w:pPr>
      <w:r>
        <w:t>El gobierno autonómico argumenta que los principios de solidaridad, colaboración y lealtad constitucional son inherentes al Estado autonómico y que la autonomía y la corresponsabilidad fiscal son claves en el vigente sistema de financiación. Por ello, el solapamiento que ha generado el nuevo impuesto no solo se produce al margen del sistema de financiación autonómica, sino en contra de la propia tendencia del sistema hacia una mayor corresponsabilidad fiscal; principio que aspira a que las comunidades autónomas participen y se hagan responsables en la determinación de la presión fiscal y la obtención de ingresos con los que financiar el creciente gasto público.</w:t>
      </w:r>
    </w:p>
    <w:p w14:paraId="504662E2" w14:textId="77777777" w:rsidR="008D479B" w:rsidRDefault="008D479B" w:rsidP="008D479B">
      <w:pPr>
        <w:pStyle w:val="TextoNormal"/>
      </w:pPr>
    </w:p>
    <w:p w14:paraId="6B027E7C" w14:textId="77777777" w:rsidR="008D479B" w:rsidRDefault="008D479B" w:rsidP="008D479B">
      <w:pPr>
        <w:pStyle w:val="TextoNormal"/>
      </w:pPr>
      <w:r>
        <w:t>Pues bien, a través de la disposición recurrida, se han infringido los principios anteriores, entrometiéndose el Estado, ilícita e inconstitucionalmente, en el libre ejercicio de las competencias normativas que corresponden a las comunidades autónomas en virtud de la autonomía financiera y política que les reconoce la Constitución.</w:t>
      </w:r>
    </w:p>
    <w:p w14:paraId="0147136B" w14:textId="77777777" w:rsidR="008D479B" w:rsidRDefault="008D479B" w:rsidP="008D479B">
      <w:pPr>
        <w:pStyle w:val="TextoNormal"/>
      </w:pPr>
    </w:p>
    <w:p w14:paraId="3CAFD84B" w14:textId="77777777" w:rsidR="008D479B" w:rsidRDefault="008D479B" w:rsidP="008D479B">
      <w:pPr>
        <w:pStyle w:val="TextoNormal"/>
      </w:pPr>
      <w:r>
        <w:t>Subraya que el nuevo tributo no completa ni perfecciona el impuesto sobre el patrimonio, sino que lo duplica. La única diferencia entre ambos es el umbral de tributación de tres millones de euros. El principio de autonomía financiera ampara, tanto normativa como jurisprudencialmente, la facultad de las comunidades autónomas para ejercer la potestad normativa que han asumido sobre los tributos cedidos y la posibilidad de establecer beneficios o incentivos fiscales. La creación del impuesto temporal de solidaridad de las grandes fortunas ha provocado una alteración de las condiciones y el alcance de la cesión del impuesto sobre el patrimonio. No estamos ante la decisión del Estado de gravar un hecho imponible previamente gravado por una comunidad autónoma, sino ante la creación de un impuesto estatal que viene a duplicar otro, también estatal, con el mismo hecho imponible. Todo ello con el único objetivo de neutralizar las decisiones autonómicas sobre el impuesto sobre el patrimonio y condicionar su legítimo ejercicio en el futuro. Por consiguiente, se vulnera la autonomía política y financiera que garantizan los arts. 2, 137 y 156 CE.</w:t>
      </w:r>
    </w:p>
    <w:p w14:paraId="24E02665" w14:textId="77777777" w:rsidR="008D479B" w:rsidRDefault="008D479B" w:rsidP="008D479B">
      <w:pPr>
        <w:pStyle w:val="TextoNormal"/>
      </w:pPr>
    </w:p>
    <w:p w14:paraId="62D3C772" w14:textId="77777777" w:rsidR="008D479B" w:rsidRDefault="008D479B" w:rsidP="008D479B">
      <w:pPr>
        <w:pStyle w:val="TextoNormal"/>
      </w:pPr>
      <w:r>
        <w:t>La demanda añade que si el Estado, como titular del impuesto cedido, quiere neutralizar o alterar las competencias normativas asumidas por las comunidades autónomas, está obligado constitucionalmente a hacerlo conforme a lo previsto en el bloque de constitucionalidad que regula la cesión. La ley impugnada —de rango ordinario— desvirtúa el sistema y soslaya el régimen de competencias normativas autonómicas, marginando a la Ley Orgánica 8/1980, de 22 de septiembre, de financiación de las comunidades autónomas (LOFCA). Por ello, además del art. 156 CE se vulnera también el art. 157 CE.</w:t>
      </w:r>
    </w:p>
    <w:p w14:paraId="517A6318" w14:textId="77777777" w:rsidR="008D479B" w:rsidRDefault="008D479B" w:rsidP="008D479B">
      <w:pPr>
        <w:pStyle w:val="TextoNormal"/>
      </w:pPr>
    </w:p>
    <w:p w14:paraId="590F3D99" w14:textId="77777777" w:rsidR="008D479B" w:rsidRDefault="008D479B" w:rsidP="008D479B">
      <w:pPr>
        <w:pStyle w:val="TextoNormal"/>
      </w:pPr>
      <w:r>
        <w:t>De forma mediata, se produce, asimismo, un impacto sobre la suficiencia financiera y sobre la posibilidad, constitucionalmente reconocida, de ejercer el poder tributario autonómico para desarrollar una función extrafiscal de los tributos cedidos.</w:t>
      </w:r>
    </w:p>
    <w:p w14:paraId="778F066E" w14:textId="77777777" w:rsidR="008D479B" w:rsidRDefault="008D479B" w:rsidP="008D479B">
      <w:pPr>
        <w:pStyle w:val="TextoNormal"/>
      </w:pPr>
    </w:p>
    <w:p w14:paraId="454BD831" w14:textId="77777777" w:rsidR="008D479B" w:rsidRDefault="008D479B" w:rsidP="008D479B">
      <w:pPr>
        <w:pStyle w:val="TextoNormal"/>
      </w:pPr>
      <w:r>
        <w:t>El letrado autonómico admite que la autonomía política y financiera de las comunidades autónomas no son valores absolutos. Por ello, debe analizarse si la modificación unilateral del régimen de cesión en el impuesto sobre el patrimonio respeta el principio de proporcionalidad. La respuesta debe ser negativa. La limitación de la autonomía financiera de las comunidades autónomas no se justifica por el régimen de reparto de competencias entre estas y el Estado porque la nueva figura tributaria no contribuye a la coherencia y coordinación del sistema tributario, no consigue armonizar una determinada materia tributaria y, además, modifica sustancialmente el régimen de cesión al margen del sistema de financiación autonómica.</w:t>
      </w:r>
    </w:p>
    <w:p w14:paraId="00AE9FC7" w14:textId="77777777" w:rsidR="008D479B" w:rsidRDefault="008D479B" w:rsidP="008D479B">
      <w:pPr>
        <w:pStyle w:val="TextoNormal"/>
      </w:pPr>
    </w:p>
    <w:p w14:paraId="2AF56978" w14:textId="77777777" w:rsidR="008D479B" w:rsidRDefault="008D479B" w:rsidP="008D479B">
      <w:pPr>
        <w:pStyle w:val="TextoNormal"/>
      </w:pPr>
      <w:r>
        <w:t>A lo anterior agrega que el Estado no puede crear nuevos impuestos sobre hechos imponibles cuyo funcionamiento básico deben decidirlo las comunidades autónomas, en virtud del bloque de constitucionalidad, y al amparo de las competencias normativas cuya cesión sigue vigente. Y esto, aunque la titularidad del tributo y de las competencias cedidas las conserve el Estado.</w:t>
      </w:r>
    </w:p>
    <w:p w14:paraId="476E59A7" w14:textId="77777777" w:rsidR="008D479B" w:rsidRDefault="008D479B" w:rsidP="008D479B">
      <w:pPr>
        <w:pStyle w:val="TextoNormal"/>
      </w:pPr>
    </w:p>
    <w:p w14:paraId="1A754D34" w14:textId="77777777" w:rsidR="008D479B" w:rsidRDefault="008D479B" w:rsidP="008D479B">
      <w:pPr>
        <w:pStyle w:val="TextoNormal"/>
      </w:pPr>
      <w:r>
        <w:t>A fin de demostrar la falta de proporcionalidad de la medida, la demanda analiza los fines perseguidos por el impuesto temporal de solidaridad de las grandes fortunas. En cuanto a la función recaudatoria, señala que el rendimiento del impuesto sobre el patrimonio a nivel nacional supuso en 2020 apenas el 0,5 por 100 de la recaudación tributaria total, por lo que cabe anticipar que el rendimiento del impuesto temporal de solidaridad de las grandes fortunas será igualmente marginal. En cuanto a la finalidad armonizadora, advierte que la disposición impugnada no prevé ninguna regla de homogenización con respecto al impuesto sobre el patrimonio. Su configuración legal no asegura que lo abonado por los sujetos pasivos coincida en todo el territorio nacional. Incluso se excluye de su ámbito de aplicación a los territorios de Navarra y al País Vasco, remitiéndose al régimen de concierto y convenio económico (artículo 3.2.1 de la Ley 38/2022).</w:t>
      </w:r>
    </w:p>
    <w:p w14:paraId="4FBD1C9D" w14:textId="77777777" w:rsidR="008D479B" w:rsidRDefault="008D479B" w:rsidP="008D479B">
      <w:pPr>
        <w:pStyle w:val="TextoNormal"/>
      </w:pPr>
    </w:p>
    <w:p w14:paraId="36370A9D" w14:textId="77777777" w:rsidR="008D479B" w:rsidRDefault="008D479B" w:rsidP="008D479B">
      <w:pPr>
        <w:pStyle w:val="TextoNormal"/>
      </w:pPr>
      <w:r>
        <w:t>Por tanto, al exceso con respecto al título competencial invocado para acometer una modificación encubierta del régimen de cesión hay que sumar la falta de legitimidad y virtualidad de los fines perseguidos. Si los objetivos del preámbulo no son consistentes, hay que preguntarse cuál es, entonces, el fin legítimo que podría buscar la norma impugnada. Concluye que no puede aceptarse como tal el de neutralizar las normas autonómicas que regulan un impuesto cedido mediante la creación de un nuevo impuesto, complementario de otro estatal cuya titularidad ya ostenta.</w:t>
      </w:r>
    </w:p>
    <w:p w14:paraId="0594B031" w14:textId="77777777" w:rsidR="008D479B" w:rsidRDefault="008D479B" w:rsidP="008D479B">
      <w:pPr>
        <w:pStyle w:val="TextoNormal"/>
      </w:pPr>
    </w:p>
    <w:p w14:paraId="67DE18BE" w14:textId="77777777" w:rsidR="008D479B" w:rsidRDefault="008D479B" w:rsidP="008D479B">
      <w:pPr>
        <w:pStyle w:val="TextoNormal"/>
      </w:pPr>
      <w:r>
        <w:t>El letrado autonómico finaliza este apartado indicando que ninguna de las previsiones por las que se habría llevado a efecto la llamada “desfiscalización” total o parcial del impuesto sobre el patrimonio, y que merecen ahora el reproche del legislador estatal, ha sido impugnada ante el Tribunal Constitucional.</w:t>
      </w:r>
    </w:p>
    <w:p w14:paraId="0952E801" w14:textId="77777777" w:rsidR="008D479B" w:rsidRDefault="008D479B" w:rsidP="008D479B">
      <w:pPr>
        <w:pStyle w:val="TextoNormal"/>
      </w:pPr>
    </w:p>
    <w:p w14:paraId="0024DF8A" w14:textId="77777777" w:rsidR="008D479B" w:rsidRDefault="008D479B" w:rsidP="008D479B">
      <w:pPr>
        <w:pStyle w:val="TextoNormal"/>
      </w:pPr>
      <w:r>
        <w:t>b) El segundo motivo de impugnación denuncia que la tramitación parlamentaria que ha seguido el artículo recurrido ha vulnerado el principio democrático, el principio de representación parlamentaria y el de participación ciudadana en los asuntos públicos del art. 23.2 CE.</w:t>
      </w:r>
    </w:p>
    <w:p w14:paraId="22DE73B9" w14:textId="77777777" w:rsidR="008D479B" w:rsidRDefault="008D479B" w:rsidP="008D479B">
      <w:pPr>
        <w:pStyle w:val="TextoNormal"/>
      </w:pPr>
    </w:p>
    <w:p w14:paraId="798572E2" w14:textId="77777777" w:rsidR="008D479B" w:rsidRDefault="008D479B" w:rsidP="008D479B">
      <w:pPr>
        <w:pStyle w:val="TextoNormal"/>
      </w:pPr>
      <w:r>
        <w:t>Considera que la aprobación de la norma legal se ha realizado en fraude de ley, en los términos del art. 6.4 del Código civil, habiéndose aprobado sin respetar el proceso de formación de la voluntad de las Cámaras. Cita la STC 42/2019, de 27 de marzo, para destacar la importancia de este proceso, que aquí se ha incumplido, eludiendo el debate parlamentario y menospreciando los derechos de las minorías, con vulneración del art. 23.2 CE.</w:t>
      </w:r>
    </w:p>
    <w:p w14:paraId="6AA8053D" w14:textId="77777777" w:rsidR="008D479B" w:rsidRDefault="008D479B" w:rsidP="008D479B">
      <w:pPr>
        <w:pStyle w:val="TextoNormal"/>
      </w:pPr>
    </w:p>
    <w:p w14:paraId="3F829AF2" w14:textId="77777777" w:rsidR="008D479B" w:rsidRDefault="008D479B" w:rsidP="008D479B">
      <w:pPr>
        <w:pStyle w:val="TextoNormal"/>
      </w:pPr>
      <w:r>
        <w:t>Recuerda, con cita de la STC 119/2011, de 5 de julio, que aceptar el ejercicio del derecho de enmienda como mecanismo paliativo o sustitutivo de las insuficiencias que pudieran tener los procedimientos legislativos supondría tanto como hacer caso omiso de la voluntad del constituyente. Con base en dicha sentencia, el letrado de la comunidad autónoma argumenta que la disposición legal recurrida contraviene la doctrina constitucional sobre homogeneidad normativa. Se inserta en una proposición de ley que nada tiene que ver con la tributación del patrimonio de las personas físicas. Advierte que no estamos ante una ley de contenido heterogéneo, sino ante una proposición que nace con un contenido definido y determinado, y que concluye con el mismo contenido, al que se suma, posteriormente, la creación de un nuevo impuesto sobre el patrimonio. Por ello, considera que no se da la necesaria coherencia entre el sentido de la enmienda y el objeto, espíritu y finalidad esencial de la proposición a la que se adiciona. El objetivo inicial y último de la proposición era crear dos gravámenes transitorios a cargo de las empresas del sector de la energía y de las entidades de crédito como contribución al llamado “pacto de rentas” y en compensación a los beneficios extraordinarios obtenidos como consecuencia del incremento del precio de la energía y de los tipos de interés en el sector bancario. No existe, pues, homogeneidad entre el preciso contenido de la proposición de ley y el objeto del impuesto que se crea mediante enmienda. Por su origen y objeto, esta enmienda encubre y suplanta una iniciativa legislativa subrepticia que, debiendo tramitarse como proyecto de ley, debiera al menos haberse promovido como una proposición de ley autónoma en lugar de haberse introducido apresurada y acríticamente en una proposición anterior que ya estaba tramitándose.</w:t>
      </w:r>
    </w:p>
    <w:p w14:paraId="73810852" w14:textId="77777777" w:rsidR="008D479B" w:rsidRDefault="008D479B" w:rsidP="008D479B">
      <w:pPr>
        <w:pStyle w:val="TextoNormal"/>
      </w:pPr>
    </w:p>
    <w:p w14:paraId="71B094FA" w14:textId="77777777" w:rsidR="008D479B" w:rsidRDefault="008D479B" w:rsidP="008D479B">
      <w:pPr>
        <w:pStyle w:val="TextoNormal"/>
      </w:pPr>
      <w:r>
        <w:t>c) En tercer y último lugar, el letrado autonómico imputa al impuesto temporal de solidaridad de las grandes fortunas una serie de vulneraciones sustantivas o materiales, en relación con los principios de seguridad jurídica (art. 9.3 CE), igualdad (art. 14 CE) y capacidad económica (art. 31.1 CE).</w:t>
      </w:r>
    </w:p>
    <w:p w14:paraId="02D91644" w14:textId="77777777" w:rsidR="008D479B" w:rsidRDefault="008D479B" w:rsidP="008D479B">
      <w:pPr>
        <w:pStyle w:val="TextoNormal"/>
      </w:pPr>
    </w:p>
    <w:p w14:paraId="04EEA979" w14:textId="77777777" w:rsidR="008D479B" w:rsidRDefault="008D479B" w:rsidP="008D479B">
      <w:pPr>
        <w:pStyle w:val="TextoNormal"/>
      </w:pPr>
      <w:r>
        <w:t>Respecto del primero de ellos, considera vulnerado el derecho de los ciudadanos a conocer con suficiente antelación las decisiones de los poderes públicos que afecten a sus obligaciones tributarias. Asimismo, las comunidades autónomas deben conocer previamente los cambios relevantes que afecten al sistema tributario nacional, por si procediera adoptar medidas de adaptación o coordinación en ejercicio de su autonomía política y financiera.</w:t>
      </w:r>
    </w:p>
    <w:p w14:paraId="30EB9372" w14:textId="77777777" w:rsidR="008D479B" w:rsidRDefault="008D479B" w:rsidP="008D479B">
      <w:pPr>
        <w:pStyle w:val="TextoNormal"/>
      </w:pPr>
    </w:p>
    <w:p w14:paraId="512CB940" w14:textId="77777777" w:rsidR="008D479B" w:rsidRDefault="008D479B" w:rsidP="008D479B">
      <w:pPr>
        <w:pStyle w:val="TextoNormal"/>
      </w:pPr>
      <w:r>
        <w:t>La demanda considera que el impuesto temporal de solidaridad de las grandes fortunas tiene carácter retroactivo. La situación patrimonial sobre la que se aplica no es ajena al periodo impositivo, ni el gravamen de “una foto” en un momento determinado puede justificar que dicho periodo se acorte a solo dos días. Aunque la norma no produzca efectos hacia el pasado, el impuesto creado sí proyecta el gravamen sobre un patrimonio prexistente. En suma, el régimen de entrada en vigor y devengo inmediato justifica la queja constitucional, estrechamente relacionada con el principio de seguridad jurídica que establece el art. 9.3 CE y con la vulneración de la legítima confianza de los contribuyentes en general, y de quienes establecieron su residencia fiscal en España y no han tenido tiempo de reaccionar a través de su derecho a la planificación fiscal.</w:t>
      </w:r>
    </w:p>
    <w:p w14:paraId="0E8753D7" w14:textId="77777777" w:rsidR="008D479B" w:rsidRDefault="008D479B" w:rsidP="008D479B">
      <w:pPr>
        <w:pStyle w:val="TextoNormal"/>
      </w:pPr>
    </w:p>
    <w:p w14:paraId="0BEDB35A" w14:textId="77777777" w:rsidR="008D479B" w:rsidRDefault="008D479B" w:rsidP="008D479B">
      <w:pPr>
        <w:pStyle w:val="TextoNormal"/>
      </w:pPr>
      <w:r>
        <w:t>Junto a lo anterior, considera también vulnerado el art. 14 CE porque el nuevo impuesto establece una diferencia de trato injustificado entre los obligados tributarios basada en una circunstancia puramente subjetiva. Esta diferencia descansa simplemente en la residencia, y discrimina a los sujetos pasivos en función de dónde decidan establecerla. Para el letrado autonómico, un impuesto estatal que aspira a armonizar el gravamen sobre el patrimonio en todo el territorio nacional no puede hacer depender su cuota de las diferencias de regulación que hacen las comunidades autónomas en otro impuesto, al que está llamado a completar y perfeccionar.</w:t>
      </w:r>
    </w:p>
    <w:p w14:paraId="4028D184" w14:textId="77777777" w:rsidR="008D479B" w:rsidRDefault="008D479B" w:rsidP="008D479B">
      <w:pPr>
        <w:pStyle w:val="TextoNormal"/>
      </w:pPr>
    </w:p>
    <w:p w14:paraId="798940A2" w14:textId="77777777" w:rsidR="008D479B" w:rsidRDefault="008D479B" w:rsidP="008D479B">
      <w:pPr>
        <w:pStyle w:val="TextoNormal"/>
      </w:pPr>
      <w:r>
        <w:t xml:space="preserve">Por último, el representante de la Región de Murcia imputa al impuesto temporal de solidaridad de las grandes fortunas la lesión del principio de capacidad económica, </w:t>
      </w:r>
      <w:r w:rsidRPr="008D479B">
        <w:rPr>
          <w:i/>
        </w:rPr>
        <w:t>ex</w:t>
      </w:r>
      <w:r>
        <w:t xml:space="preserve"> art. 31.1 CE. Entiende que los contribuyentes que son titulares de un patrimonio neto superior a tres millones de euros manifiestan la misma capacidad económica gravada en el impuesto sobre el patrimonio que en el nuevo impuesto. Es decir, aunque el tipo de gravamen sea del 0 por 100 hasta ese umbral, también es patrimonio sujeto por otro impuesto estatal, el impuesto sobre el patrimonio, que además está cedido a las comunidades autónomas. Por eso, aunque el patrimonio neto a partir del cual opera el nuevo impuesto temporal de solidaridad de las grandes fortunas dependa de las normas propias de las comunidades autónomas, la manifestación de capacidad económica es la misma y esta queda gravada doblemente.</w:t>
      </w:r>
    </w:p>
    <w:p w14:paraId="7DDF9B98" w14:textId="77777777" w:rsidR="008D479B" w:rsidRDefault="008D479B" w:rsidP="008D479B">
      <w:pPr>
        <w:pStyle w:val="TextoNormal"/>
      </w:pPr>
    </w:p>
    <w:p w14:paraId="106E7256" w14:textId="066104AB" w:rsidR="008D479B" w:rsidRDefault="008D479B" w:rsidP="008D479B">
      <w:pPr>
        <w:pStyle w:val="TextoNormal"/>
      </w:pPr>
      <w:r>
        <w:t>Termina solicitando que, por las razones expuestas, se declare la inconstitucionalidad y nulidad del art. 3 de la Ley 38/2022.</w:t>
      </w:r>
    </w:p>
    <w:p w14:paraId="45069B53" w14:textId="77777777" w:rsidR="008D479B" w:rsidRDefault="008D479B" w:rsidP="008D479B">
      <w:pPr>
        <w:pStyle w:val="TextoNormal"/>
      </w:pPr>
    </w:p>
    <w:p w14:paraId="6CCE4ED2" w14:textId="507BA1AB" w:rsidR="008D479B" w:rsidRDefault="008D479B" w:rsidP="008D479B">
      <w:pPr>
        <w:pStyle w:val="TextoNormal"/>
      </w:pPr>
      <w:r w:rsidRPr="008D479B">
        <w:rPr>
          <w:rStyle w:val="NumeroAFNegritaCaracter"/>
        </w:rPr>
        <w:t>2</w:t>
      </w:r>
      <w:r>
        <w:t>. El Pleno del Tribunal Constitucional, a propuesta de la Sección Tercera, mediante providencia de 9 de mayo de 2023, acordó admitir a trámite el presente recurso de inconstitucionalidad, dando traslado de la demanda y documentos presentados, conforme establece el art. 34 de la Ley Orgánica 2/1979, de 3 de octubre, del Tribunal Constitucional (LOTC), al Congreso de los Diputados y al Senado, por conducto de sus presidentes, y al Gobierno, a través de la ministra de Justicia, al objeto de que, en el plazo de quince días, pudieran personarse en el proceso y formular las alegaciones que estimaren convenientes; y publicar la incoación del recurso en el “BOE”, lo que tuvo lugar el 18 de mayo de 2023.</w:t>
      </w:r>
    </w:p>
    <w:p w14:paraId="46044D8A" w14:textId="77777777" w:rsidR="008D479B" w:rsidRDefault="008D479B" w:rsidP="008D479B">
      <w:pPr>
        <w:pStyle w:val="TextoNormal"/>
      </w:pPr>
    </w:p>
    <w:p w14:paraId="09FCBE20" w14:textId="3905FEC0" w:rsidR="008D479B" w:rsidRDefault="008D479B" w:rsidP="008D479B">
      <w:pPr>
        <w:pStyle w:val="TextoNormal"/>
      </w:pPr>
      <w:r w:rsidRPr="008D479B">
        <w:rPr>
          <w:rStyle w:val="NumeroAFNegritaCaracter"/>
        </w:rPr>
        <w:t>3</w:t>
      </w:r>
      <w:r>
        <w:t>. Mediante escrito registrado el mismo día 18 de mayo de 2023, la presidenta del Congreso de los Diputados comunicó el acuerdo de la mesa por el que se personaba en el proceso, a los solos efectos de formular alegaciones sobre los vicios de procedimiento legislativo que se denuncian en la demanda, en lo que afecta a dicha Cámara; y encomendaba su representación y defensa a la letrada de las Cortes Generales que dirige la asesoría jurídica de la Secretaría General del Congreso.</w:t>
      </w:r>
    </w:p>
    <w:p w14:paraId="59DD519F" w14:textId="77777777" w:rsidR="008D479B" w:rsidRDefault="008D479B" w:rsidP="008D479B">
      <w:pPr>
        <w:pStyle w:val="TextoNormal"/>
      </w:pPr>
    </w:p>
    <w:p w14:paraId="4FB88972" w14:textId="757DCCC0" w:rsidR="008D479B" w:rsidRDefault="008D479B" w:rsidP="008D479B">
      <w:pPr>
        <w:pStyle w:val="TextoNormal"/>
      </w:pPr>
      <w:r w:rsidRPr="008D479B">
        <w:rPr>
          <w:rStyle w:val="NumeroAFNegritaCaracter"/>
        </w:rPr>
        <w:t>4</w:t>
      </w:r>
      <w:r>
        <w:t>. Por escrito registrado el día 31 de mayo de 2023, el presidente del Senado comunicó el acuerdo de la mesa de la Cámara por el que se daba por personada en el proceso y por ofrecida su colaboración a los efectos del art. 88.1 LOTC.</w:t>
      </w:r>
    </w:p>
    <w:p w14:paraId="010B533C" w14:textId="77777777" w:rsidR="008D479B" w:rsidRDefault="008D479B" w:rsidP="008D479B">
      <w:pPr>
        <w:pStyle w:val="TextoNormal"/>
      </w:pPr>
    </w:p>
    <w:p w14:paraId="45D70230" w14:textId="7C7B48DB" w:rsidR="008D479B" w:rsidRDefault="008D479B" w:rsidP="008D479B">
      <w:pPr>
        <w:pStyle w:val="TextoNormal"/>
      </w:pPr>
      <w:r w:rsidRPr="008D479B">
        <w:rPr>
          <w:rStyle w:val="NumeroAFNegritaCaracter"/>
        </w:rPr>
        <w:t>5</w:t>
      </w:r>
      <w:r>
        <w:t>. El abogado del Estado se personó en las actuaciones mediante escrito presentado también el 31 de mayo de 2023, en el que solicitaba una prórroga del plazo para la presentación de alegaciones, que fue ampliado en ocho días por diligencia de ordenación del secretario de justicia del Pleno de la misma fecha.</w:t>
      </w:r>
    </w:p>
    <w:p w14:paraId="3F52D066" w14:textId="77777777" w:rsidR="008D479B" w:rsidRDefault="008D479B" w:rsidP="008D479B">
      <w:pPr>
        <w:pStyle w:val="TextoNormal"/>
      </w:pPr>
    </w:p>
    <w:p w14:paraId="229E7117" w14:textId="77777777" w:rsidR="008D479B" w:rsidRDefault="008D479B" w:rsidP="008D479B">
      <w:pPr>
        <w:pStyle w:val="TextoNormal"/>
      </w:pPr>
      <w:r w:rsidRPr="008D479B">
        <w:rPr>
          <w:rStyle w:val="NumeroAFNegritaCaracter"/>
        </w:rPr>
        <w:t>6</w:t>
      </w:r>
      <w:r>
        <w:t>. El escrito de alegaciones de la letrada de las Cortes Generales, actuando en nombre y representación del Congreso de los Diputados, tuvo entrada en el registro general del Tribunal con fecha 2 de junio de 2023. En primer lugar, aborda la supuesta vulneración del art. 157.3 CE, por no respetar la norma impugnada el rango de ley orgánica exigible y omitir las garantías previstas en el Estatuto de Autonomía para la Región de Murcia. La letrada de las Cortes considera que dicha vulneración parte de una equiparación entre el impuesto temporal de solidaridad de las grandes fortunas y el impuesto sobre el patrimonio que no se puede compartir. El art. 3 de la Ley 38/2022 —afirma— no altera las condiciones ni el alcance de la cesión del impuesto sobre el patrimonio, por lo que no requiere de una modificación de la LOFCA, ni de las demás normas aplicables, de acuerdo con las garantías procedimentales contenidas en el estatuto. El preámbulo de la ley afirma que el nuevo impuesto es complementario del impuesto sobre el patrimonio, pero, a diferencia de este, no es susceptible de cesión y su umbral de tributación es muy superior.</w:t>
      </w:r>
    </w:p>
    <w:p w14:paraId="4F360634" w14:textId="77777777" w:rsidR="008D479B" w:rsidRDefault="008D479B" w:rsidP="008D479B">
      <w:pPr>
        <w:pStyle w:val="TextoNormal"/>
      </w:pPr>
    </w:p>
    <w:p w14:paraId="56CFA2C2" w14:textId="77777777" w:rsidR="008D479B" w:rsidRDefault="008D479B" w:rsidP="008D479B">
      <w:pPr>
        <w:pStyle w:val="TextoNormal"/>
      </w:pPr>
      <w:r>
        <w:t>a) La letrada subraya que el art. 3 de la Ley 38/2022 no modifica el art. 11 LOFCA, que establece los impuestos estatales que pueden ser cedidos; ni las competencias normativas de las comunidades autónomas en el impuesto sobre el patrimonio previstas en el art. 19.2 b) de dicha ley; ni la Ley 22/2009, de 18 de diciembre, reguladora del sistema de financiación de las comunidades autónomas; ni la Ley 22/2010, de 16 de julio, de cesión de tributos a la Comunidad Autónoma de la Región de Murcia. La finalidad armonizadora del impuesto temporal de solidaridad de las grandes fortunas no neutraliza la competencia normativa autonómica sobre el impuesto sobre el patrimonio, que se mantiene intacta. Estamos ante una figura tributaria distinta, cuya finalidad es correctiva, gravando por razones armonizadoras y recaudatorias aquellas manifestaciones de capacidad de pago que no han sido gravadas por la comunidad autónoma a través del impuesto sobre el patrimonio. Invoca la STC 26/2015, de 19 de febrero, que, al analizar el impuesto sobre depósitos en entidades de crédito, admitió que el Estado es competente para establecer un impuesto con finalidad armonizadora, puesto que tiene preferencia en la ocupación de los hechos imponibles, tal y como recoge el art. 6 LOFCA. Dicha sentencia descartó expresamente que la competencia de armonización debiera ejercerse mediante ley orgánica, admitiendo que por ley ordinaria se cree una figura tributaria nueva, tanto para gravar situaciones que anteriormente no estaban gravadas por las comunidades autónomas, como para cuando ya lo estuvieran, supuesto al que se refiere el art. 6.2 LOFCA. Por otro lado, tampoco estamos ante la regulación de ningún medio de resolución de conflictos, de acuerdo con los arts. 23 y 24 LOFCA, por lo que tampoco se requiere de una ley orgánica.</w:t>
      </w:r>
    </w:p>
    <w:p w14:paraId="06E4619B" w14:textId="77777777" w:rsidR="008D479B" w:rsidRDefault="008D479B" w:rsidP="008D479B">
      <w:pPr>
        <w:pStyle w:val="TextoNormal"/>
      </w:pPr>
    </w:p>
    <w:p w14:paraId="7719EDD3" w14:textId="77777777" w:rsidR="008D479B" w:rsidRDefault="008D479B" w:rsidP="008D479B">
      <w:pPr>
        <w:pStyle w:val="TextoNormal"/>
      </w:pPr>
      <w:r>
        <w:t>La letrada de las Cortes Generales insiste en que, conforme a la doctrina constitucional, la potestad originaria del Estado para establecer tributos (art. 133.1 CE) comprende la posibilidad de crear cualquier figura tributaria, siempre y cuando se respeten las garantías constitucionales. Desde un enfoque competencial, el límite para crear tributos lo tienen las comunidades autónomas, no el Estado. Con cita de la STC 35/2012, de 15 de marzo, FJ 6, recuerda el amplio margen de configuración que permite al Estado, en principio, establecerlos sobre cualquier fuente de capacidad económica, sin perjuicio de respetar lo dispuesto en el art. 6.2 LOFCA, cuando sea aplicable, lo que aquí no es el caso.</w:t>
      </w:r>
    </w:p>
    <w:p w14:paraId="111D417C" w14:textId="77777777" w:rsidR="008D479B" w:rsidRDefault="008D479B" w:rsidP="008D479B">
      <w:pPr>
        <w:pStyle w:val="TextoNormal"/>
      </w:pPr>
    </w:p>
    <w:p w14:paraId="4B3FBF91" w14:textId="77777777" w:rsidR="008D479B" w:rsidRDefault="008D479B" w:rsidP="008D479B">
      <w:pPr>
        <w:pStyle w:val="TextoNormal"/>
      </w:pPr>
      <w:r>
        <w:t>Tampoco se precisaba de un proyecto de ley aprobado por el Consejo de Ministros, con todas las exigencias previas a las que están sujetas estas iniciativas. Tratándose de una proposición de ley, los únicos requisitos, de acuerdo con el art. 124 del Reglamento del Congreso y la práctica habitual de la Cámara, son que se incorpore una exposición de motivos y una breve relación de las normas vigentes que la proposición de ley pretende modificar, exigencias que aquí se cumplieron.</w:t>
      </w:r>
    </w:p>
    <w:p w14:paraId="40D4BC50" w14:textId="77777777" w:rsidR="008D479B" w:rsidRDefault="008D479B" w:rsidP="008D479B">
      <w:pPr>
        <w:pStyle w:val="TextoNormal"/>
      </w:pPr>
    </w:p>
    <w:p w14:paraId="61AB2C9E" w14:textId="77777777" w:rsidR="008D479B" w:rsidRDefault="008D479B" w:rsidP="008D479B">
      <w:pPr>
        <w:pStyle w:val="TextoNormal"/>
      </w:pPr>
      <w:r>
        <w:t>b) En otro bloque de alegaciones, la letrada de las Cortes Generales aborda la supuesta falta de homogeneidad de la enmienda por la que se incluyó el precepto impugnado. Empieza recordando que el requisito de la homogeneidad es de creación jurisprudencial y, en el caso de las enmiendas al articulado, no está previsto en el reglamento de la Cámara. La exigencia de congruencia de las enmiendas es, por tanto, una excepción establecida por el propio Tribunal Constitucional a la configuración legal del derecho fundamental de enmienda, que se ha añadido como un requisito de admisión, a pesar de no estar recogido en el Reglamento del Congreso.</w:t>
      </w:r>
    </w:p>
    <w:p w14:paraId="485D34C7" w14:textId="77777777" w:rsidR="008D479B" w:rsidRDefault="008D479B" w:rsidP="008D479B">
      <w:pPr>
        <w:pStyle w:val="TextoNormal"/>
      </w:pPr>
    </w:p>
    <w:p w14:paraId="21A905EF" w14:textId="77777777" w:rsidR="008D479B" w:rsidRDefault="008D479B" w:rsidP="008D479B">
      <w:pPr>
        <w:pStyle w:val="TextoNormal"/>
      </w:pPr>
      <w:r>
        <w:t>De los distintos pronunciamientos constitucionales, en especial las SSTC 119/2011, de 5 de julio, y 136/2011, de 13 de septiembre, se desprende el requisito de que una enmienda al articulado debe respetar una conexión mínima de homogeneidad con el texto enmendado. Pero los órganos de gobierno de las Cámaras deben contar con un amplio margen de apreciación para determinar la existencia de conexión material entre la enmienda y la iniciativa objeto de debate, rechazando la admisión de aquella solo cuando la falta de conexión sea “evidente y manifiesta”. Aclara que la conexión reclamada no tiene que ser de identidad con las medidas previstas en la iniciativa, sino de afinidad con ellas, de modo de que la conexión de homogeneidad se entienda de modo flexible, atendiendo a la función que cumple.</w:t>
      </w:r>
    </w:p>
    <w:p w14:paraId="2387BC30" w14:textId="77777777" w:rsidR="008D479B" w:rsidRDefault="008D479B" w:rsidP="008D479B">
      <w:pPr>
        <w:pStyle w:val="TextoNormal"/>
      </w:pPr>
    </w:p>
    <w:p w14:paraId="59E66302" w14:textId="77777777" w:rsidR="008D479B" w:rsidRDefault="008D479B" w:rsidP="008D479B">
      <w:pPr>
        <w:pStyle w:val="TextoNormal"/>
      </w:pPr>
      <w:r>
        <w:t>En segundo lugar, la aducida vulneración del art. 23.2 CE exigiría, además, que la infracción de la legalidad parlamentaria hubiera afectado al núcleo de su función representativa ya que, de acuerdo con una reiterada doctrina constitucional, no toda violación del procedimiento legislativo convierte en inconstitucional al resultado final.</w:t>
      </w:r>
    </w:p>
    <w:p w14:paraId="6E87BE53" w14:textId="77777777" w:rsidR="008D479B" w:rsidRDefault="008D479B" w:rsidP="008D479B">
      <w:pPr>
        <w:pStyle w:val="TextoNormal"/>
      </w:pPr>
    </w:p>
    <w:p w14:paraId="44B9BFA1" w14:textId="77777777" w:rsidR="008D479B" w:rsidRDefault="008D479B" w:rsidP="008D479B">
      <w:pPr>
        <w:pStyle w:val="TextoNormal"/>
      </w:pPr>
      <w:r>
        <w:t>Aplicando la anterior doctrina al caso, la letrada de las Cortes afirma que uno de los objetivos del impuesto temporal de solidaridad de las grandes fortunas coincide con la finalidad original de la proposición de ley, que es exigir un esfuerzo solidario en momentos de subida de precios y de crisis energética; sin que, por tanto, hubiera una evidente falta de homogeneidad que hubiera debido llevar a la mesa de la comisión a inadmitir la enmienda. Con el impuesto impugnado se persigue el esfuerzo solidario al que la proposición de ley estaba dirigida desde un principio, por lo que no hay falta de congruencia.</w:t>
      </w:r>
    </w:p>
    <w:p w14:paraId="0EEB40C4" w14:textId="77777777" w:rsidR="008D479B" w:rsidRDefault="008D479B" w:rsidP="008D479B">
      <w:pPr>
        <w:pStyle w:val="TextoNormal"/>
      </w:pPr>
    </w:p>
    <w:p w14:paraId="4E3722F4" w14:textId="77777777" w:rsidR="008D479B" w:rsidRDefault="008D479B" w:rsidP="008D479B">
      <w:pPr>
        <w:pStyle w:val="TextoNormal"/>
      </w:pPr>
      <w:r>
        <w:t>Respecto de la distinta naturaleza del impuesto temporal de solidaridad de las grandes fortunas y las prestaciones patrimoniales no tributarias que eran el objeto de la proposición de ley original, cita la STC 63/2019, de 9 de mayo, FJ 5, de acuerdo con la cual “el tributo es una especie, dentro de la más genérica categoría de prestaciones patrimoniales de carácter público”. Por tanto, aunque el Tribunal haya distinguido con precisión las prestaciones patrimoniales públicas de carácter tributario y las que no lo son, ambas categorías forman parte del género de las prestaciones patrimoniales, coactivas y de interés público.</w:t>
      </w:r>
    </w:p>
    <w:p w14:paraId="50882DF2" w14:textId="77777777" w:rsidR="008D479B" w:rsidRDefault="008D479B" w:rsidP="008D479B">
      <w:pPr>
        <w:pStyle w:val="TextoNormal"/>
      </w:pPr>
    </w:p>
    <w:p w14:paraId="38E221A0" w14:textId="77777777" w:rsidR="008D479B" w:rsidRDefault="008D479B" w:rsidP="008D479B">
      <w:pPr>
        <w:pStyle w:val="TextoNormal"/>
      </w:pPr>
      <w:r>
        <w:t>La letrada parlamentaria termina aseverando que, incluso aunque todavía se tuvieran dudas sobre la homogeneidad, esto no basta para concluir que la tramitación parlamentaria está afectada de un vicio de inconstitucionalidad. Las enmiendas pueden ser incongruentes y, aun así, no producirse un vicio de procedimiento, si se han respetado los derechos de los parlamentarios y no ha quedado alterada la voluntad de la Cámara. Afirma, en contra de lo que sostiene la parte recurrente, que la enmienda cuestionada, como el resto de las formuladas a la iniciativa, ha podido ser ampliamente debatida. Los grupos, sin ningún tipo de restricción, han podido manifestar su posición sobre ella en los debates, tanto en la comisión como en el Pleno. La enmienda nunca fue un texto definitivo e intangible, sino susceptible de modificarse a través de la presentación de enmiendas transaccionales, tanto en comisión como en el Pleno (arts. 114.3 y 118.3 del Reglamento del Congreso). Incluso habría sido posible suprimir la enmienda mediante la presentación de un voto particular para no tenerla por incorporada y volver al texto inicial (art. 117 del Reglamento). La letrada se remite a los documentos en los que constan las enmiendas transaccionales presentadas en la comisión y en el Pleno y concluye que las minorías parlamentarias no usaron ninguna de estas vías parlamentarias para modificar lo introducido por la enmienda.</w:t>
      </w:r>
    </w:p>
    <w:p w14:paraId="2A93BC7B" w14:textId="77777777" w:rsidR="008D479B" w:rsidRDefault="008D479B" w:rsidP="008D479B">
      <w:pPr>
        <w:pStyle w:val="TextoNormal"/>
      </w:pPr>
    </w:p>
    <w:p w14:paraId="2DCF23F1" w14:textId="5B88E66A" w:rsidR="008D479B" w:rsidRDefault="008D479B" w:rsidP="008D479B">
      <w:pPr>
        <w:pStyle w:val="TextoNormal"/>
      </w:pPr>
      <w:r>
        <w:t>Por todo lo expuesto, concluye que no cabe declarar la inconstitucionalidad del art. 3 de la Ley 38/2022 por motivos formales.</w:t>
      </w:r>
    </w:p>
    <w:p w14:paraId="4474E1AE" w14:textId="77777777" w:rsidR="008D479B" w:rsidRDefault="008D479B" w:rsidP="008D479B">
      <w:pPr>
        <w:pStyle w:val="TextoNormal"/>
      </w:pPr>
    </w:p>
    <w:p w14:paraId="1342D98B" w14:textId="77777777" w:rsidR="008D479B" w:rsidRDefault="008D479B" w:rsidP="008D479B">
      <w:pPr>
        <w:pStyle w:val="TextoNormal"/>
      </w:pPr>
      <w:r w:rsidRPr="008D479B">
        <w:rPr>
          <w:rStyle w:val="NumeroAFNegritaCaracter"/>
        </w:rPr>
        <w:t>7</w:t>
      </w:r>
      <w:r>
        <w:t>. Por medio de un escrito presentado el 14 de junio de 2023, formuló sus alegaciones el abogado del Estado, en las que interesa la desestimación, con los argumentos que se exponen a continuación:</w:t>
      </w:r>
    </w:p>
    <w:p w14:paraId="53D8EE93" w14:textId="77777777" w:rsidR="008D479B" w:rsidRDefault="008D479B" w:rsidP="008D479B">
      <w:pPr>
        <w:pStyle w:val="TextoNormal"/>
      </w:pPr>
    </w:p>
    <w:p w14:paraId="262A9240" w14:textId="77777777" w:rsidR="008D479B" w:rsidRDefault="008D479B" w:rsidP="008D479B">
      <w:pPr>
        <w:pStyle w:val="TextoNormal"/>
      </w:pPr>
      <w:r>
        <w:t>a) Tras resumir la naturaleza y regulación del impuesto temporal de solidaridad de las grandes fortunas, analiza la tacha referida a la vulneración del procedimiento legislativo y del art. 23.2 CE. Subraya que en el debate en comisión todos los grupos parlamentarios tuvieron un turno de palabra y que en el Pleno volvieron a tener ocasión de pronunciarse sobre las enmiendas formuladas a la iniciativa legislativa. Por tanto, no se privó a los grupos parlamentarios ni a los diputados de la posibilidad de pronunciarse sobre la enmienda, ni en la comisión, ni en el Pleno. La incorporación de la enmienda ha sido conforme con los usos parlamentarios, por lo que no ha vulnerado el art. 23.2 CE.</w:t>
      </w:r>
    </w:p>
    <w:p w14:paraId="19735BB2" w14:textId="77777777" w:rsidR="008D479B" w:rsidRDefault="008D479B" w:rsidP="008D479B">
      <w:pPr>
        <w:pStyle w:val="TextoNormal"/>
      </w:pPr>
    </w:p>
    <w:p w14:paraId="58D92A70" w14:textId="77777777" w:rsidR="008D479B" w:rsidRDefault="008D479B" w:rsidP="008D479B">
      <w:pPr>
        <w:pStyle w:val="TextoNormal"/>
      </w:pPr>
      <w:r>
        <w:t>Respecto de la alegada falta de homogeneidad de la enmienda con el texto inicial de la proposición de ley, argumenta, citando las SSTC 70/2018, de 21 de junio, FJ 6, y 119/2011, de 5 de julio, FJ 7, y el preámbulo de la Ley 38/2022, que el impuesto temporal de solidaridad de las grandes fortunas y los gravámenes no tributarios creados por ella obedecen al mismo objetivo y finalidad común, que es afrontar la particular situación excepcional derivada de la crisis energética y la inflación.</w:t>
      </w:r>
    </w:p>
    <w:p w14:paraId="46556DA6" w14:textId="77777777" w:rsidR="008D479B" w:rsidRDefault="008D479B" w:rsidP="008D479B">
      <w:pPr>
        <w:pStyle w:val="TextoNormal"/>
      </w:pPr>
    </w:p>
    <w:p w14:paraId="234B8758" w14:textId="77777777" w:rsidR="008D479B" w:rsidRDefault="008D479B" w:rsidP="008D479B">
      <w:pPr>
        <w:pStyle w:val="TextoNormal"/>
      </w:pPr>
      <w:r>
        <w:t>En relación con la falta de emisión de informes, argumenta que el Tribunal ya ha señalado que estos no son exigibles en el caso de las proposiciones de ley. Cita, en concreto, la reciente STC 19/2023, de 22 de marzo, FJ 3, que recoge la jurisprudencia del Tribunal sobre la inexistencia de inconstitucionalidad formal en el caso de falta de informes sobre las proposiciones de ley, confirmando que estas no requieren, ni en su presentación ni en su tramitación ulterior, de tales informes.</w:t>
      </w:r>
    </w:p>
    <w:p w14:paraId="7EEA092B" w14:textId="77777777" w:rsidR="008D479B" w:rsidRDefault="008D479B" w:rsidP="008D479B">
      <w:pPr>
        <w:pStyle w:val="TextoNormal"/>
      </w:pPr>
    </w:p>
    <w:p w14:paraId="0C4D2322" w14:textId="77777777" w:rsidR="008D479B" w:rsidRDefault="008D479B" w:rsidP="008D479B">
      <w:pPr>
        <w:pStyle w:val="TextoNormal"/>
      </w:pPr>
      <w:r>
        <w:t>b) A continuación, examina la alegada vulneración de la autonomía financiera. Considera que el recurso parte de un error de base, ya que el impuesto temporal de solidaridad de las grandes fortunas no se inserta en el sistema de financiación autonómica, sino que se configura como un impuesto estatal complementario del impuesto sobre el patrimonio, no susceptible de cesión a las comunidades autónomas, cuyo objetivo es gravar con una cuota adicional los patrimonios de las personas físicas de cuantía superior a tres millones de euros. Es un impuesto complementario del impuesto sobre el patrimonio, cuya configuración corresponde al Estado en virtud del art. 133.1 CE, que le reconoce la potestad tributaria originaria, y del art. 149.1.14 CE, que le atribuye la competencia exclusiva sobre “hacienda general”, título que le permite fijar la estructura del sistema tributario.</w:t>
      </w:r>
    </w:p>
    <w:p w14:paraId="4D215134" w14:textId="77777777" w:rsidR="008D479B" w:rsidRDefault="008D479B" w:rsidP="008D479B">
      <w:pPr>
        <w:pStyle w:val="TextoNormal"/>
      </w:pPr>
    </w:p>
    <w:p w14:paraId="49FCB7A5" w14:textId="77777777" w:rsidR="008D479B" w:rsidRDefault="008D479B" w:rsidP="008D479B">
      <w:pPr>
        <w:pStyle w:val="TextoNormal"/>
      </w:pPr>
      <w:r>
        <w:t>El impuesto temporal de solidaridad de las grandes fortunas no incide en el hecho imponible de ningún tributo propio de la comunidad autónoma recurrente y se afirma expresamente que no es susceptible de cesión. Para el abogado del Estado, tiene una finalidad recaudatoria autónoma en el sistema tributario estatal, dentro del bloque de los tributos no cedidos, luego es ajeno al sistema de financiación.</w:t>
      </w:r>
    </w:p>
    <w:p w14:paraId="3F18A11B" w14:textId="77777777" w:rsidR="008D479B" w:rsidRDefault="008D479B" w:rsidP="008D479B">
      <w:pPr>
        <w:pStyle w:val="TextoNormal"/>
      </w:pPr>
    </w:p>
    <w:p w14:paraId="4094F2B9" w14:textId="77777777" w:rsidR="008D479B" w:rsidRDefault="008D479B" w:rsidP="008D479B">
      <w:pPr>
        <w:pStyle w:val="TextoNormal"/>
      </w:pPr>
      <w:r>
        <w:t>El impuesto recurrido tampoco afecta a la financiación de ninguna comunidad autónoma, pues aquellas que no hayan establecido una bonificación total mantendrán la recaudación del impuesto sobre el patrimonio, cuyas cuotas son deducibles del nuevo impuesto. La finalidad armonizadora, competencia que corresponde al Estado como titular de la potestad tributaria, se logra sin afectar a la autonomía financiera. Las comunidades autónomas que lo decidan podrán seguir bonificando total o parcialmente la cuota del impuesto sobre el patrimonio. Las que no lo hagan conservarán la recaudación íntegra del impuesto sobre el patrimonio cedido.</w:t>
      </w:r>
    </w:p>
    <w:p w14:paraId="37990E46" w14:textId="77777777" w:rsidR="008D479B" w:rsidRDefault="008D479B" w:rsidP="008D479B">
      <w:pPr>
        <w:pStyle w:val="TextoNormal"/>
      </w:pPr>
    </w:p>
    <w:p w14:paraId="1A5657BB" w14:textId="77777777" w:rsidR="008D479B" w:rsidRDefault="008D479B" w:rsidP="008D479B">
      <w:pPr>
        <w:pStyle w:val="TextoNormal"/>
      </w:pPr>
      <w:r>
        <w:t xml:space="preserve">El representante del Gobierno invoca la STC 26/2015, de 19 de febrero, FJ 5, que, en el caso del impuesto sobre depósitos en entidades de crédito, supuesto no idéntico, pero análogo, mantuvo que la competencia de armonización tributaria es del Estado y negó que la creación de un impuesto estatal debiera someterse al mecanismo de las leyes de armonización </w:t>
      </w:r>
      <w:r w:rsidRPr="008D479B">
        <w:rPr>
          <w:i/>
        </w:rPr>
        <w:t>ex</w:t>
      </w:r>
      <w:r>
        <w:t xml:space="preserve"> art. 150.3 CE. Dicha sentencia ratificó que el art. 149.1.14 CE, junto con los arts. 133.1 y 157.3 CE, permiten al Estado no solo “regular sus propios tributos, sino específicamente ‘el marco general de todo el sistema tributario y la delimitación de las competencias financieras de las comunidades autónomas respecto de las del propio Estado’”. La STC 26/2015 concluyó que el Estado es competente para establecer un tributo con fines armonizadores, como sucede con el impuesto temporal de solidaridad de las grandes fortunas, sin que la autonomía financiera de las comunidades autónomas quede afectada. En todo caso, dicha autonomía no puede limitar la potestad tributaria ni la competencia de coordinación del Estado.</w:t>
      </w:r>
    </w:p>
    <w:p w14:paraId="5D70C321" w14:textId="77777777" w:rsidR="008D479B" w:rsidRDefault="008D479B" w:rsidP="008D479B">
      <w:pPr>
        <w:pStyle w:val="TextoNormal"/>
      </w:pPr>
    </w:p>
    <w:p w14:paraId="4DD165A1" w14:textId="77777777" w:rsidR="008D479B" w:rsidRDefault="008D479B" w:rsidP="008D479B">
      <w:pPr>
        <w:pStyle w:val="TextoNormal"/>
      </w:pPr>
      <w:r>
        <w:t>Insiste en que el impuesto temporal de solidaridad de las grandes fortunas impugnado no vacía de competencias normativas a las comunidades autónomas, ya que el art. 3 de la Ley 38/2022 no incide en la regulación del impuesto sobre el patrimonio. Las competencias para regular su tipo de gravamen, el mínimo exento y las deducciones y bonificaciones se mantienen intactas. Al prever que la cuota del impuesto sobre el patrimonio se deduzca de la del impuesto temporal de solidaridad de las grandes fortunas se logra que este complemente a aquel, sin sustituirlo. Prueba de ello es que el art. 3 impugnado no modifica ni la Ley 19/1991, de 6 de junio, por la que se regula el impuesto sobre el patrimonio, ni la Ley 22/2009, reguladora de la cesión de tributos.</w:t>
      </w:r>
    </w:p>
    <w:p w14:paraId="7E7E3FA0" w14:textId="77777777" w:rsidR="008D479B" w:rsidRDefault="008D479B" w:rsidP="008D479B">
      <w:pPr>
        <w:pStyle w:val="TextoNormal"/>
      </w:pPr>
    </w:p>
    <w:p w14:paraId="7F4D434B" w14:textId="77777777" w:rsidR="008D479B" w:rsidRDefault="008D479B" w:rsidP="008D479B">
      <w:pPr>
        <w:pStyle w:val="TextoNormal"/>
      </w:pPr>
      <w:r>
        <w:t>El abogado del Estado expone que la cuota del impuesto temporal de solidaridad de las grandes fortunas solo resultará a ingresar cuando sea superior a la del impuesto sobre el patrimonio, pero nunca minorará la cuota de este último impuesto, por lo que no es cierto que se vulneren las competencias autonómicas. Por ello, no procede modificar la LOFCA, ni la ley de cesión de tributos, ni son necesarios acuerdos de la comisión mixta entre el Estado y la comunidad autónoma.</w:t>
      </w:r>
    </w:p>
    <w:p w14:paraId="076B4DE8" w14:textId="77777777" w:rsidR="008D479B" w:rsidRDefault="008D479B" w:rsidP="008D479B">
      <w:pPr>
        <w:pStyle w:val="TextoNormal"/>
      </w:pPr>
    </w:p>
    <w:p w14:paraId="2CE30038" w14:textId="77777777" w:rsidR="008D479B" w:rsidRDefault="008D479B" w:rsidP="008D479B">
      <w:pPr>
        <w:pStyle w:val="TextoNormal"/>
      </w:pPr>
      <w:r>
        <w:t>Para el representante del Gobierno, tampoco se vulnera el principio de lealtad institucional porque, por un lado, no se crean nuevas obligaciones de gasto; ni, por otro, hay una disminución de los ingresos autonómicos. El impuesto temporal de solidaridad de las grandes fortunas no suprime ningún tributo ni altera los ingresos autonómicos, que es la premisa para reclamar al Estado medidas de compensación en virtud del citado principio [art. 2.1 g) LOFCA]. Por otro lado, no se produce doble imposición porque los contribuyentes del impuesto temporal de solidaridad de las grandes fortunas solo tributan por la parte de su patrimonio que no haya gravado la comunidad autónoma.</w:t>
      </w:r>
    </w:p>
    <w:p w14:paraId="6E4E81D7" w14:textId="77777777" w:rsidR="008D479B" w:rsidRDefault="008D479B" w:rsidP="008D479B">
      <w:pPr>
        <w:pStyle w:val="TextoNormal"/>
      </w:pPr>
    </w:p>
    <w:p w14:paraId="0999DF04" w14:textId="77777777" w:rsidR="008D479B" w:rsidRDefault="008D479B" w:rsidP="008D479B">
      <w:pPr>
        <w:pStyle w:val="TextoNormal"/>
      </w:pPr>
      <w:r>
        <w:t>c) Por último, en lo atinente a la supuesta vulneración del principio de seguridad jurídica, las alegaciones del representante del Gobierno de la Nación subrayan que el impuesto temporal de solidaridad de las grandes fortunas entró en vigor el 29 de diciembre de 2022, antes del primer devengo, producido el 31 de diciembre de dicho año. No hay, por tanto, retroactividad, ya que el impuesto es de devengo instantáneo, sin que existan situaciones consolidadas previas a su aplicación.</w:t>
      </w:r>
    </w:p>
    <w:p w14:paraId="6C1F365F" w14:textId="77777777" w:rsidR="008D479B" w:rsidRDefault="008D479B" w:rsidP="008D479B">
      <w:pPr>
        <w:pStyle w:val="TextoNormal"/>
      </w:pPr>
    </w:p>
    <w:p w14:paraId="53A623E0" w14:textId="77777777" w:rsidR="008D479B" w:rsidRDefault="008D479B" w:rsidP="008D479B">
      <w:pPr>
        <w:pStyle w:val="TextoNormal"/>
      </w:pPr>
      <w:r>
        <w:t>Para el caso de que se estimase que el impuesto sí tiene una eficacia retroactiva, invoca la doctrina de la STC 126/1987, de 16 de julio, FJ 9, que admite dicho efecto en función de la ponderación de intereses en cada caso. En concreto, recuerda su finalidad recaudatoria de exigir en tiempos de crisis energética y de inflación un mayor esfuerzo a quienes disponen de una mayor capacidad económica; y armonizadora de reducir las diferencias entre las comunidades autónomas en el gravamen del patrimonio.</w:t>
      </w:r>
    </w:p>
    <w:p w14:paraId="52B1B76B" w14:textId="77777777" w:rsidR="008D479B" w:rsidRDefault="008D479B" w:rsidP="008D479B">
      <w:pPr>
        <w:pStyle w:val="TextoNormal"/>
      </w:pPr>
    </w:p>
    <w:p w14:paraId="2B6FDFBB" w14:textId="77777777" w:rsidR="008D479B" w:rsidRDefault="008D479B" w:rsidP="008D479B">
      <w:pPr>
        <w:pStyle w:val="TextoNormal"/>
      </w:pPr>
      <w:r>
        <w:t>Respecto del principio de capacidad económica, pone de manifiesto que lo único que argumenta la demanda es que se produce una doble imposición por el solapamiento del impuesto temporal de solidaridad de las grandes fortunas con el impuesto sobre el patrimonio. Sin embargo, se ha de reiterar que en la liquidación del nuevo tributo se prevé deducir la cuota de lo satisfecho por el impuesto sobre el patrimonio, lo que se hace precisamente para evitar la doble imposición.</w:t>
      </w:r>
    </w:p>
    <w:p w14:paraId="1DFB3314" w14:textId="77777777" w:rsidR="008D479B" w:rsidRDefault="008D479B" w:rsidP="008D479B">
      <w:pPr>
        <w:pStyle w:val="TextoNormal"/>
      </w:pPr>
    </w:p>
    <w:p w14:paraId="4C80C43D" w14:textId="77777777" w:rsidR="008D479B" w:rsidRDefault="008D479B" w:rsidP="008D479B">
      <w:pPr>
        <w:pStyle w:val="TextoNormal"/>
      </w:pPr>
      <w:r>
        <w:t>En relación con la vulneración del principio de igualdad, el único argumento de la demanda es que existe una diferencia de trato según la regulación del impuesto sobre el patrimonio y su bonificación que establezcan las comunidades autónomas y, por tanto, se crea una diferencia de trato en función de la comunidad autónoma de residencia. Para el representante del Gobierno, el argumento es precisamente el contrario, la eventual diferencia de trato se articula por las comunidades autónomas en función de la regulación que ellas realicen de un impuesto cedido, en aplicación de su autonomía financiera.</w:t>
      </w:r>
    </w:p>
    <w:p w14:paraId="126C889C" w14:textId="77777777" w:rsidR="008D479B" w:rsidRDefault="008D479B" w:rsidP="008D479B">
      <w:pPr>
        <w:pStyle w:val="TextoNormal"/>
      </w:pPr>
    </w:p>
    <w:p w14:paraId="2A3C6FA3" w14:textId="6037F853" w:rsidR="008D479B" w:rsidRDefault="008D479B" w:rsidP="008D479B">
      <w:pPr>
        <w:pStyle w:val="TextoNormal"/>
      </w:pPr>
      <w:r>
        <w:t>Por todo lo anterior, finaliza solicitando que el Tribunal dicte sentencia por la que desestime íntegramente el recurso de inconstitucionalidad.</w:t>
      </w:r>
    </w:p>
    <w:p w14:paraId="1D9218CC" w14:textId="77777777" w:rsidR="008D479B" w:rsidRDefault="008D479B" w:rsidP="008D479B">
      <w:pPr>
        <w:pStyle w:val="TextoNormal"/>
      </w:pPr>
    </w:p>
    <w:p w14:paraId="633E0160" w14:textId="5CC7AEEB" w:rsidR="008D479B" w:rsidRDefault="008D479B" w:rsidP="008D479B">
      <w:pPr>
        <w:pStyle w:val="TextoNormal"/>
      </w:pPr>
      <w:r w:rsidRPr="008D479B">
        <w:rPr>
          <w:rStyle w:val="NumeroAFNegritaCaracter"/>
        </w:rPr>
        <w:t>8</w:t>
      </w:r>
      <w:r>
        <w:t>. Por providencia de 12 de diciembre de 2023, se señaló ese mismo día para la deliberación y votación de la presente sentencia.</w:t>
      </w:r>
    </w:p>
    <w:p w14:paraId="3568679E" w14:textId="77777777" w:rsidR="008D479B" w:rsidRDefault="008D479B" w:rsidP="008D479B">
      <w:pPr>
        <w:pStyle w:val="TextoNormal"/>
      </w:pPr>
    </w:p>
    <w:p w14:paraId="2839324B" w14:textId="77777777" w:rsidR="008D479B" w:rsidRDefault="008D479B" w:rsidP="008D479B">
      <w:pPr>
        <w:pStyle w:val="TextoNormalNegritaCentrado"/>
        <w:keepNext/>
      </w:pPr>
      <w:r>
        <w:t>II. Fundamentos jurídicos</w:t>
      </w:r>
    </w:p>
    <w:p w14:paraId="3C4F8387" w14:textId="51759DF2" w:rsidR="008D479B" w:rsidRDefault="008D479B" w:rsidP="008D479B">
      <w:pPr>
        <w:pStyle w:val="TextoNormalNegritaCentrado"/>
        <w:keepNext/>
      </w:pPr>
    </w:p>
    <w:p w14:paraId="01A538E2" w14:textId="77777777" w:rsidR="008D479B" w:rsidRDefault="008D479B" w:rsidP="008D479B">
      <w:pPr>
        <w:pStyle w:val="TextoNormal"/>
      </w:pPr>
      <w:r w:rsidRPr="008D479B">
        <w:rPr>
          <w:rStyle w:val="NumeroAFNegritaCaracter"/>
        </w:rPr>
        <w:t>1</w:t>
      </w:r>
      <w:r>
        <w:t xml:space="preserve">. </w:t>
      </w:r>
      <w:r w:rsidRPr="008D479B">
        <w:rPr>
          <w:i/>
        </w:rPr>
        <w:t>Objeto del recurso</w:t>
      </w:r>
    </w:p>
    <w:p w14:paraId="72AD188A" w14:textId="77777777" w:rsidR="008D479B" w:rsidRDefault="008D479B" w:rsidP="008D479B">
      <w:pPr>
        <w:pStyle w:val="TextoNormal"/>
      </w:pPr>
    </w:p>
    <w:p w14:paraId="1F68FB90" w14:textId="77777777" w:rsidR="008D479B" w:rsidRDefault="008D479B" w:rsidP="008D479B">
      <w:pPr>
        <w:pStyle w:val="TextoNormal"/>
      </w:pPr>
      <w:r>
        <w:t>El Gobierno de la Región de Murcia interpone un recurso de inconstitucionalidad contra el art. 3 de la Ley 38/2022, de 27 de diciembre, para el establecimiento de gravámenes temporales energético y de entidades de crédito y establecimientos financieros de crédito y por la que se crea el impuesto temporal de solidaridad de las grandes fortunas, y se modifican determinadas normas tributarias.</w:t>
      </w:r>
    </w:p>
    <w:p w14:paraId="00D5E7AA" w14:textId="77777777" w:rsidR="008D479B" w:rsidRDefault="008D479B" w:rsidP="008D479B">
      <w:pPr>
        <w:pStyle w:val="TextoNormal"/>
      </w:pPr>
    </w:p>
    <w:p w14:paraId="2376E10C" w14:textId="77777777" w:rsidR="008D479B" w:rsidRDefault="008D479B" w:rsidP="008D479B">
      <w:pPr>
        <w:pStyle w:val="TextoNormal"/>
      </w:pPr>
      <w:r>
        <w:t xml:space="preserve">a) Como ha quedado detalladamente expuesto en los antecedentes, el gobierno autonómico recurrente imputa al art. 3 de la Ley 38/2022, por el que se establece el impuesto temporal de solidaridad de las grandes fortunas, las siguientes infracciones constitucionales: (i) vulneración de la autonomía financiera de las comunidades autónomas, de la lealtad institucional y del bloque de la constitucionalidad en materia de tributos cedidos (arts. 156 y 157 CE), debido a la modificación unilateral del régimen de cesión del impuesto sobre el patrimonio; (ii) infracción del principio democrático y del procedimiento legislativo con afectación del </w:t>
      </w:r>
      <w:r w:rsidRPr="008D479B">
        <w:rPr>
          <w:i/>
        </w:rPr>
        <w:t>ius in officium</w:t>
      </w:r>
      <w:r>
        <w:t xml:space="preserve"> (art. 23.2 CE), debido a la tramitación parlamentaria que ha seguido el precepto impugnado; y (iii) infracción de los principios de seguridad jurídica (art. 9.3 CE), igualdad (art. 14 CE) y capacidad económica (art. 31.1 CE).</w:t>
      </w:r>
    </w:p>
    <w:p w14:paraId="154DE66C" w14:textId="77777777" w:rsidR="008D479B" w:rsidRDefault="008D479B" w:rsidP="008D479B">
      <w:pPr>
        <w:pStyle w:val="TextoNormal"/>
      </w:pPr>
    </w:p>
    <w:p w14:paraId="47CEC361" w14:textId="77777777" w:rsidR="008D479B" w:rsidRDefault="008D479B" w:rsidP="008D479B">
      <w:pPr>
        <w:pStyle w:val="TextoNormal"/>
      </w:pPr>
      <w:r>
        <w:t>La letrada de las Cortes ha formulado alegaciones únicamente respecto de los citados motivos (i) y (ii), descartando los vicios respectivos. Por su parte, el abogado del Estado niega todas las infracciones, interesando la desestimación íntegra del recurso.</w:t>
      </w:r>
    </w:p>
    <w:p w14:paraId="0B2ACA1C" w14:textId="77777777" w:rsidR="008D479B" w:rsidRDefault="008D479B" w:rsidP="008D479B">
      <w:pPr>
        <w:pStyle w:val="TextoNormal"/>
      </w:pPr>
    </w:p>
    <w:p w14:paraId="1B64978F" w14:textId="77777777" w:rsidR="008D479B" w:rsidRDefault="008D479B" w:rsidP="008D479B">
      <w:pPr>
        <w:pStyle w:val="TextoNormal"/>
      </w:pPr>
      <w:r>
        <w:t>b) El art. 3 de la Ley 38/2022 ha sido ya objeto de un pronunciamiento de este tribunal que, por la STC 149/2023, de 7 de noviembre, ha desestimado íntegramente el recurso de inconstitucionalidad núm. 616-2023, interpuesto contra dicho precepto por el Consejo de Gobierno de la Comunidad de Madrid. Todos los motivos de inconstitucionalidad que esgrime el recurso del Consejo de Gobierno de la Región de Murcia han sido ya enjuiciados en dicha sentencia, cuya doctrina, por tanto, es aplicable para resolver el presente proceso.</w:t>
      </w:r>
    </w:p>
    <w:p w14:paraId="7914CE47" w14:textId="77777777" w:rsidR="008D479B" w:rsidRDefault="008D479B" w:rsidP="008D479B">
      <w:pPr>
        <w:pStyle w:val="TextoNormal"/>
      </w:pPr>
    </w:p>
    <w:p w14:paraId="42F62817" w14:textId="15EDEBCC" w:rsidR="008D479B" w:rsidRDefault="008D479B" w:rsidP="008D479B">
      <w:pPr>
        <w:pStyle w:val="TextoNormal"/>
      </w:pPr>
      <w:r>
        <w:t>Debemos comenzar dando por reproducida la síntesis de la estructura y finalidad del impuesto temporal de solidaridad de las grandes fortunas que hace la STC 149/2023, FJ 1 a) y b). A continuación, en los fundamentos jurídicos que siguen enjuiciaremos, por remisión a los fundamentos correspondientes de la citada sentencia, las impugnaciones planteadas por el Gobierno de la Región de Murcia.</w:t>
      </w:r>
    </w:p>
    <w:p w14:paraId="1C9EDB0D" w14:textId="77777777" w:rsidR="008D479B" w:rsidRDefault="008D479B" w:rsidP="008D479B">
      <w:pPr>
        <w:pStyle w:val="TextoNormal"/>
      </w:pPr>
    </w:p>
    <w:p w14:paraId="624A7E05" w14:textId="77777777" w:rsidR="008D479B" w:rsidRDefault="008D479B" w:rsidP="008D479B">
      <w:pPr>
        <w:pStyle w:val="TextoNormal"/>
      </w:pPr>
      <w:r w:rsidRPr="008D479B">
        <w:rPr>
          <w:rStyle w:val="NumeroAFNegritaCaracter"/>
        </w:rPr>
        <w:t>2</w:t>
      </w:r>
      <w:r>
        <w:t xml:space="preserve">. </w:t>
      </w:r>
      <w:r w:rsidRPr="008D479B">
        <w:rPr>
          <w:i/>
        </w:rPr>
        <w:t>Examen de la alegada vulneración de los arts. 156.1 y 157.3 CE. Desestimación por remisión a la STC 149/2023, FJ 3</w:t>
      </w:r>
    </w:p>
    <w:p w14:paraId="2274B484" w14:textId="77777777" w:rsidR="008D479B" w:rsidRDefault="008D479B" w:rsidP="008D479B">
      <w:pPr>
        <w:pStyle w:val="TextoNormal"/>
      </w:pPr>
    </w:p>
    <w:p w14:paraId="05174357" w14:textId="77777777" w:rsidR="008D479B" w:rsidRDefault="008D479B" w:rsidP="008D479B">
      <w:pPr>
        <w:pStyle w:val="TextoNormal"/>
      </w:pPr>
      <w:r>
        <w:t>a) El letrado de la Región de Murcia aduce que el impuesto temporal de solidaridad de las grandes fortunas ha sido introducido con la única finalidad de vaciar de contenido la competencia normativa de las comunidades autónomas sobre el impuesto sobre el patrimonio, particularmente con la intención de neutralizar las bonificaciones introducidas por algunas de ellas, lo que lesiona su autonomía financiera. Con ello —afirma— se vulnera también la reserva de ley orgánica para la regulación del ejercicio de las competencias financieras de las comunidades autónomas establecida en el art. 157.3 CE, así como el principio de lealtad institucional.</w:t>
      </w:r>
    </w:p>
    <w:p w14:paraId="70AA9ED9" w14:textId="77777777" w:rsidR="008D479B" w:rsidRDefault="008D479B" w:rsidP="008D479B">
      <w:pPr>
        <w:pStyle w:val="TextoNormal"/>
      </w:pPr>
    </w:p>
    <w:p w14:paraId="0F2EE1C2" w14:textId="77777777" w:rsidR="008D479B" w:rsidRDefault="008D479B" w:rsidP="008D479B">
      <w:pPr>
        <w:pStyle w:val="TextoNormal"/>
      </w:pPr>
      <w:r>
        <w:t>b) La letrada de las Cortes Generales y el abogado del Estado argumentan de contrario que el impuesto temporal de solidaridad de las grandes fortunas no afecta a la normativa ni a la cesión del impuesto sobre el patrimonio, que se mantienen intactas. Subrayan que el nuevo tributo no afecta a la recaudación del impuesto sobre el patrimonio, por lo que no se vulneran las competencias autonómicas, ni la autonomía financiera (ni política), ni el resto de los principios del art. 156.1 CE. Al no modificarse el régimen de cesión, ni regularse ningún medio de resolución de conflictos, tampoco consideran aplicable la reserva de ley orgánica del art. 157.3 CE.</w:t>
      </w:r>
    </w:p>
    <w:p w14:paraId="1328C095" w14:textId="77777777" w:rsidR="008D479B" w:rsidRDefault="008D479B" w:rsidP="008D479B">
      <w:pPr>
        <w:pStyle w:val="TextoNormal"/>
      </w:pPr>
    </w:p>
    <w:p w14:paraId="641C4CFA" w14:textId="77777777" w:rsidR="008D479B" w:rsidRDefault="008D479B" w:rsidP="008D479B">
      <w:pPr>
        <w:pStyle w:val="TextoNormal"/>
      </w:pPr>
      <w:r>
        <w:t>c) La impugnación planteada por el Gobierno de la Región de Murcia debe desestimarse. En la STC 149/2023, FJ 3 C) a), hemos concluido que el impuesto temporal de solidaridad de las grandes fortunas deja intactas las competencias normativas autonómicas reconocidas en el régimen de cesión del impuesto sobre el patrimonio. El mínimo exento, la tarifa, las deducciones y las bonificaciones aplicables a los contribuyentes con residencia habitual en una comunidad autónoma seguirán siendo, única y exclusivamente, los que ella decida, en ejercicio de las competencias previstas en la LOFCA, en la Ley 22/2009 y en la ley específica de cesión de tributos a dicha comunidad.</w:t>
      </w:r>
    </w:p>
    <w:p w14:paraId="26AC608D" w14:textId="77777777" w:rsidR="008D479B" w:rsidRDefault="008D479B" w:rsidP="008D479B">
      <w:pPr>
        <w:pStyle w:val="TextoNormal"/>
      </w:pPr>
    </w:p>
    <w:p w14:paraId="0D01E126" w14:textId="77777777" w:rsidR="008D479B" w:rsidRDefault="008D479B" w:rsidP="008D479B">
      <w:pPr>
        <w:pStyle w:val="TextoNormal"/>
      </w:pPr>
      <w:r>
        <w:t xml:space="preserve">Asimismo, hemos recordado que las comunidades autónomas pueden utilizar sus competencias tributarias con fines extrafiscales, pero no impedir que el Estado, titular de la potestad tributaria originaria </w:t>
      </w:r>
      <w:r w:rsidRPr="008D479B">
        <w:rPr>
          <w:i/>
        </w:rPr>
        <w:t>ex</w:t>
      </w:r>
      <w:r>
        <w:t xml:space="preserve"> art. 133.1 CE y de la competencia exclusiva en materia de “hacienda general” </w:t>
      </w:r>
      <w:r w:rsidRPr="008D479B">
        <w:rPr>
          <w:i/>
        </w:rPr>
        <w:t>ex</w:t>
      </w:r>
      <w:r>
        <w:t xml:space="preserve"> art. 149.1.14 CE, establezca un nuevo tributo sobre el patrimonio que la comunidad autónoma ha dejado libre de gravamen.</w:t>
      </w:r>
    </w:p>
    <w:p w14:paraId="272C755E" w14:textId="77777777" w:rsidR="008D479B" w:rsidRDefault="008D479B" w:rsidP="008D479B">
      <w:pPr>
        <w:pStyle w:val="TextoNormal"/>
      </w:pPr>
    </w:p>
    <w:p w14:paraId="3BFA0B0C" w14:textId="77777777" w:rsidR="008D479B" w:rsidRDefault="008D479B" w:rsidP="008D479B">
      <w:pPr>
        <w:pStyle w:val="TextoNormal"/>
      </w:pPr>
      <w:r>
        <w:t>Por otra parte, no se vulnera la reserva de ley orgánica del art. 157.3 CE dado que el impuesto temporal de solidaridad de las grandes fortunas no se crea en aplicación de la LOFCA, sino en ejercicio de las competencias reconocidas al Estado por los arts. 133.1 y 149.1.14 CE, las cuales no deben instrumentarse mediante ley orgánica. Tampoco concurre ninguno de los demás supuestos para los que el art. 157.3 CE establece una reserva de ley orgánica, como hemos razonado en la STC 149/2023, FJ 3 D).</w:t>
      </w:r>
    </w:p>
    <w:p w14:paraId="04651138" w14:textId="77777777" w:rsidR="008D479B" w:rsidRDefault="008D479B" w:rsidP="008D479B">
      <w:pPr>
        <w:pStyle w:val="TextoNormal"/>
      </w:pPr>
    </w:p>
    <w:p w14:paraId="425C8CB9" w14:textId="5194A70F" w:rsidR="008D479B" w:rsidRDefault="008D479B" w:rsidP="008D479B">
      <w:pPr>
        <w:pStyle w:val="TextoNormal"/>
      </w:pPr>
      <w:r>
        <w:t>Finalmente, en lo atinente al principio de lealtad institucional, en la STC 149/2023, FJ 3 C) c), hemos verificado que no queda afectado por el establecimiento del impuesto temporal de solidaridad de las grandes fortunas porque este no genera ninguna pérdida recaudatoria para las comunidades autónomas.</w:t>
      </w:r>
    </w:p>
    <w:p w14:paraId="158F5289" w14:textId="77777777" w:rsidR="008D479B" w:rsidRDefault="008D479B" w:rsidP="008D479B">
      <w:pPr>
        <w:pStyle w:val="TextoNormal"/>
      </w:pPr>
    </w:p>
    <w:p w14:paraId="7D371AD7" w14:textId="77777777" w:rsidR="008D479B" w:rsidRDefault="008D479B" w:rsidP="008D479B">
      <w:pPr>
        <w:pStyle w:val="TextoNormal"/>
      </w:pPr>
      <w:r w:rsidRPr="008D479B">
        <w:rPr>
          <w:rStyle w:val="NumeroAFNegritaCaracter"/>
        </w:rPr>
        <w:t>3</w:t>
      </w:r>
      <w:r>
        <w:t xml:space="preserve">. </w:t>
      </w:r>
      <w:r w:rsidRPr="008D479B">
        <w:rPr>
          <w:i/>
        </w:rPr>
        <w:t>Examen de la alegada vulneración del art. 23.2 CE. Desestimación por remisión a la STC 149/2023, FJ 2</w:t>
      </w:r>
    </w:p>
    <w:p w14:paraId="16C119A3" w14:textId="77777777" w:rsidR="008D479B" w:rsidRDefault="008D479B" w:rsidP="008D479B">
      <w:pPr>
        <w:pStyle w:val="TextoNormal"/>
      </w:pPr>
    </w:p>
    <w:p w14:paraId="0B5BD05F" w14:textId="77777777" w:rsidR="008D479B" w:rsidRDefault="008D479B" w:rsidP="008D479B">
      <w:pPr>
        <w:pStyle w:val="TextoNormal"/>
      </w:pPr>
      <w:r>
        <w:t xml:space="preserve">a) El Gobierno de la Región de Murcia denuncia que la disposición impugnada vulnera el </w:t>
      </w:r>
      <w:r w:rsidRPr="008D479B">
        <w:rPr>
          <w:i/>
        </w:rPr>
        <w:t>ius in officium</w:t>
      </w:r>
      <w:r>
        <w:t xml:space="preserve"> del art. 23.2 CE porque el objeto de deliberación de una iniciativa legislativa se alteró a través de una enmienda, que dio lugar al precepto impugnado, que no guardaba una mínima conexión de homogeneidad con la proposición de ley que había sido admitida a trámite.</w:t>
      </w:r>
    </w:p>
    <w:p w14:paraId="5583B0F2" w14:textId="77777777" w:rsidR="008D479B" w:rsidRDefault="008D479B" w:rsidP="008D479B">
      <w:pPr>
        <w:pStyle w:val="TextoNormal"/>
      </w:pPr>
    </w:p>
    <w:p w14:paraId="34BE2197" w14:textId="77777777" w:rsidR="008D479B" w:rsidRDefault="008D479B" w:rsidP="008D479B">
      <w:pPr>
        <w:pStyle w:val="TextoNormal"/>
      </w:pPr>
      <w:r>
        <w:t>b) El abogado del Estado y la letrada de las Cortes Generales descartan la infracción. Ambos consideran que el nuevo impuesto sí guarda conexión con el objetivo de la proposición de ley en la que se integró, ya que sirve, como el resto de las medidas de la iniciativa, para generar ingresos con los que afrontar la situación excepcional derivada de la crisis energética y la inflación.</w:t>
      </w:r>
    </w:p>
    <w:p w14:paraId="1E8A1ED8" w14:textId="77777777" w:rsidR="008D479B" w:rsidRDefault="008D479B" w:rsidP="008D479B">
      <w:pPr>
        <w:pStyle w:val="TextoNormal"/>
      </w:pPr>
    </w:p>
    <w:p w14:paraId="527A36D9" w14:textId="4DF5AC02" w:rsidR="008D479B" w:rsidRDefault="008D479B" w:rsidP="008D479B">
      <w:pPr>
        <w:pStyle w:val="TextoNormal"/>
      </w:pPr>
      <w:r>
        <w:t>c) Por las razones expuestas en la STC 149/2023, FJ 2, la impugnación no puede prosperar. Aplicando la doctrina de las SSTC 119/2011 y 136/2011, dicha sentencia ha descartado en este caso la vulneración del derecho de enmienda, invocando otros precedentes análogos (SSTC 209/2012, de 14 de noviembre, respecto de la creación del impuesto sobre las ventas minoristas de determinados hidrocarburos; y 59/2015, de 18 de marzo, sobre el establecimiento del impuesto sobre los depósitos en las entidades de crédito).</w:t>
      </w:r>
    </w:p>
    <w:p w14:paraId="4EBAB74D" w14:textId="77777777" w:rsidR="008D479B" w:rsidRDefault="008D479B" w:rsidP="008D479B">
      <w:pPr>
        <w:pStyle w:val="TextoNormal"/>
      </w:pPr>
    </w:p>
    <w:p w14:paraId="1D30FC43" w14:textId="77777777" w:rsidR="008D479B" w:rsidRDefault="008D479B" w:rsidP="008D479B">
      <w:pPr>
        <w:pStyle w:val="TextoNormal"/>
      </w:pPr>
      <w:r w:rsidRPr="008D479B">
        <w:rPr>
          <w:rStyle w:val="NumeroAFNegritaCaracter"/>
        </w:rPr>
        <w:t>4</w:t>
      </w:r>
      <w:r>
        <w:t xml:space="preserve">. </w:t>
      </w:r>
      <w:r w:rsidRPr="008D479B">
        <w:rPr>
          <w:i/>
        </w:rPr>
        <w:t>Examen de la alegada vulneración de los arts. 9.3, 14 y 31.1 CE. Desestimación por remisión a la STC 149/2023, FFJJ 4 y 5</w:t>
      </w:r>
    </w:p>
    <w:p w14:paraId="709EF350" w14:textId="77777777" w:rsidR="008D479B" w:rsidRDefault="008D479B" w:rsidP="008D479B">
      <w:pPr>
        <w:pStyle w:val="TextoNormal"/>
      </w:pPr>
    </w:p>
    <w:p w14:paraId="29FA43EC" w14:textId="77777777" w:rsidR="008D479B" w:rsidRDefault="008D479B" w:rsidP="008D479B">
      <w:pPr>
        <w:pStyle w:val="TextoNormal"/>
      </w:pPr>
      <w:r>
        <w:t>a) El gobierno autonómico recurrente atribuye al impuesto temporal de solidaridad de las grandes fortunas la infracción del principio de seguridad jurídica del art. 9.3 CE, por tener efectos retroactivos. Alega que los destinatarios del nuevo tributo no pudieron prever su establecimiento y quedaron sin posibilidades de reacción frente a él. Asimismo, aduce que se vulneran los principios de igualdad tributaria y capacidad económica de los arts. 14 y 31.1 CE porque la cuota del impuesto temporal de solidaridad de las grandes fortunas se minora en función del importe efectivamente satisfecho por el impuesto sobre el patrimonio, por lo que el tributo impugnado tendrá una distinta repercusión según cómo haya ejercido sus competencias normativas en el impuesto sobre el patrimonio la comunidad autónoma de residencia del sujeto pasivo. Además, sostiene que la capacidad económica gravada es la misma que en el impuesto sobre el patrimonio.</w:t>
      </w:r>
    </w:p>
    <w:p w14:paraId="5930F5CC" w14:textId="77777777" w:rsidR="008D479B" w:rsidRDefault="008D479B" w:rsidP="008D479B">
      <w:pPr>
        <w:pStyle w:val="TextoNormal"/>
      </w:pPr>
    </w:p>
    <w:p w14:paraId="28A84B98" w14:textId="77777777" w:rsidR="008D479B" w:rsidRDefault="008D479B" w:rsidP="008D479B">
      <w:pPr>
        <w:pStyle w:val="TextoNormal"/>
      </w:pPr>
      <w:r>
        <w:t>b) El abogado del Estado niega la vulneración del art. 9.3 CE, pues considera que el impuesto temporal de solidaridad de las grandes fortunas es de carácter instantáneo, no periódico, por lo que no afecta a situaciones previas a su entrada en vigor. Respecto del principio de capacidad económica, alega que la deducción de lo satisfecho por el impuesto sobre el patrimonio se arbitra precisamente para evitar la doble imposición. En cuanto al principio de igualdad, la diferencia de trato entre comunidades autónomas como consecuencia de la distinta regulación del impuesto sobre el patrimonio justamente se armoniza mediante la aplicación del nuevo tributo. La letrada de las Cortes Generales no formula alegaciones sobre este motivo.</w:t>
      </w:r>
    </w:p>
    <w:p w14:paraId="5F9C85D0" w14:textId="77777777" w:rsidR="008D479B" w:rsidRDefault="008D479B" w:rsidP="008D479B">
      <w:pPr>
        <w:pStyle w:val="TextoNormal"/>
      </w:pPr>
    </w:p>
    <w:p w14:paraId="5B4695DC" w14:textId="77777777" w:rsidR="008D479B" w:rsidRDefault="008D479B" w:rsidP="008D479B">
      <w:pPr>
        <w:pStyle w:val="TextoNormal"/>
      </w:pPr>
      <w:r>
        <w:t>c) La impugnación se desestima, con base en lo razonado en la STC 149/2023, FFJJ 4 y 5. En este último fundamento constatamos que el hecho imponible del impuesto temporal de solidaridad de las grandes fortunas no se va generando a lo largo de un periodo de tiempo, sino que se agota en sí mismo el día 31 de diciembre. Es, por tanto, un tributo sin periodo impositivo (instantáneo), que se devengó, por primera vez, el 31 de diciembre de 2022, una vez que ya había entrado en vigor el precepto impugnado el anterior día 29. Así pues, no produce ningún efecto retroactivo.</w:t>
      </w:r>
    </w:p>
    <w:p w14:paraId="3B631BF1" w14:textId="77777777" w:rsidR="008D479B" w:rsidRDefault="008D479B" w:rsidP="008D479B">
      <w:pPr>
        <w:pStyle w:val="TextoNormal"/>
      </w:pPr>
    </w:p>
    <w:p w14:paraId="2925CD02" w14:textId="77777777" w:rsidR="008D479B" w:rsidRDefault="008D479B" w:rsidP="008D479B">
      <w:pPr>
        <w:pStyle w:val="TextoNormal"/>
      </w:pPr>
      <w:r>
        <w:t>Respecto de que se estableciera de forma “imprevisible”, en la citada sentencia, fundamento jurídico 5 c), hemos recordado nuestra reiterada doctrina según la cual “entre las exigencias de la seguridad jurídica no se incluye derecho alguno a la inalterabilidad del régimen fiscal, ni, en general, a la ‘congelación del ordenamiento jurídico existente’”.</w:t>
      </w:r>
    </w:p>
    <w:p w14:paraId="0A35CAA4" w14:textId="77777777" w:rsidR="008D479B" w:rsidRDefault="008D479B" w:rsidP="008D479B">
      <w:pPr>
        <w:pStyle w:val="TextoNormal"/>
      </w:pPr>
    </w:p>
    <w:p w14:paraId="6D2E6837" w14:textId="77777777" w:rsidR="008D479B" w:rsidRDefault="008D479B" w:rsidP="008D479B">
      <w:pPr>
        <w:pStyle w:val="TextoNormal"/>
      </w:pPr>
      <w:r>
        <w:t>En conclusión, el principio de seguridad jurídica del art. 9.3 CE no se ha infringido.</w:t>
      </w:r>
    </w:p>
    <w:p w14:paraId="2D090CE4" w14:textId="77777777" w:rsidR="008D479B" w:rsidRDefault="008D479B" w:rsidP="008D479B">
      <w:pPr>
        <w:pStyle w:val="TextoNormal"/>
      </w:pPr>
    </w:p>
    <w:p w14:paraId="7FA61E5D" w14:textId="77777777" w:rsidR="008D479B" w:rsidRDefault="008D479B" w:rsidP="008D479B">
      <w:pPr>
        <w:pStyle w:val="TextoNormal"/>
      </w:pPr>
      <w:r>
        <w:t>Sobre la denunciada infracción del principio de capacidad económica, la STC 149/2023, FJ 4 C) b), ha concluido que el impuesto temporal de solidaridad de las grandes fortunas recae sobre un índice revelador de capacidad económica, como es la titularidad de un patrimonio neto de cuantía superior a tres millones de euros y que los tipos efectivos de gravamen no se pueden considerar desproporcionados.</w:t>
      </w:r>
    </w:p>
    <w:p w14:paraId="33D81359" w14:textId="77777777" w:rsidR="008D479B" w:rsidRDefault="008D479B" w:rsidP="008D479B">
      <w:pPr>
        <w:pStyle w:val="TextoNormal"/>
      </w:pPr>
    </w:p>
    <w:p w14:paraId="430A3345" w14:textId="2101CBFB" w:rsidR="008D479B" w:rsidRDefault="008D479B" w:rsidP="008D479B">
      <w:pPr>
        <w:pStyle w:val="TextoNormal"/>
      </w:pPr>
      <w:r>
        <w:t>Por lo que se refiere al principio de igualdad, dicha sentencia, FJ 3 C), subraya que el impuesto sobre el patrimonio opera como una suerte de tributo “a cuenta” del impuesto temporal de solidaridad de las grandes fortunas, para cumplir con el fin armonizador que le atribuye el preámbulo de la Ley 38/2022. Por tanto, es consustancial al tributo impugnado que su cuantía varíe en función de cómo haya ejercido sus competencias normativas en el impuesto sobre el patrimonio la comunidad autónoma de residencia del sujeto pasivo. Si el principio de igualdad tributaria no se quebranta por el hecho de que el nivel de gravamen del impuesto sobre el patrimonio sea distinto entre comunidades autónomas (consecuencia inherente al principio de autonomía financiera), con menor razón se podrá entender vulnerado cuando el Estado, en el ejercicio de sus competencias, establece un impuesto complementario, precisamente con el objetivo —en palabras del preámbulo— de “disminuir las diferencias en el gravamen del patrimonio en las distintas comunidades autónomas”.</w:t>
      </w:r>
    </w:p>
    <w:p w14:paraId="2B8B2A68" w14:textId="77777777" w:rsidR="008D479B" w:rsidRDefault="008D479B" w:rsidP="008D479B">
      <w:pPr>
        <w:pStyle w:val="TextoNormal"/>
      </w:pPr>
    </w:p>
    <w:p w14:paraId="17821027" w14:textId="77777777" w:rsidR="008D479B" w:rsidRDefault="008D479B" w:rsidP="008D479B">
      <w:pPr>
        <w:pStyle w:val="TextoNormalCentrado"/>
        <w:keepNext/>
      </w:pPr>
      <w:r>
        <w:t>FALLO</w:t>
      </w:r>
    </w:p>
    <w:p w14:paraId="709519CD" w14:textId="230BD1F3" w:rsidR="008D479B" w:rsidRDefault="008D479B" w:rsidP="008D479B">
      <w:pPr>
        <w:pStyle w:val="TextoNormalCentrado"/>
        <w:keepNext/>
      </w:pPr>
    </w:p>
    <w:p w14:paraId="51B22FB4" w14:textId="55761812" w:rsidR="008D479B" w:rsidRDefault="008D479B" w:rsidP="008D479B">
      <w:pPr>
        <w:pStyle w:val="TextoNormal"/>
      </w:pPr>
      <w:r>
        <w:t>En atención a todo lo expuesto, el Tribunal Constitucional, por la autoridad que le confiere la Constitución de la Nación española, ha decidido desestimar íntegramente el recurso de inconstitucionalidad interpuesto por el Gobierno de la Región de Murcia contra el art. 3 de la Ley 38/2022, de 27 de diciembre, para el establecimiento de gravámenes temporales energético y de entidades de crédito y establecimientos financieros de crédito y por la que se crea el impuesto temporal de solidaridad de las grandes fortunas, y se modifican determinadas normas tributarias.</w:t>
      </w:r>
    </w:p>
    <w:p w14:paraId="6FF16F4C" w14:textId="77777777" w:rsidR="008D479B" w:rsidRDefault="008D479B" w:rsidP="008D479B">
      <w:pPr>
        <w:pStyle w:val="TextoNormal"/>
      </w:pPr>
    </w:p>
    <w:p w14:paraId="282889DF" w14:textId="77777777" w:rsidR="008D479B" w:rsidRDefault="008D479B" w:rsidP="008D479B">
      <w:pPr>
        <w:pStyle w:val="TextoNormal"/>
      </w:pPr>
      <w:r>
        <w:t>Publíquese esta sentencia en el “Boletín Oficial del Estado”.</w:t>
      </w:r>
    </w:p>
    <w:p w14:paraId="0312D8A2" w14:textId="77777777" w:rsidR="008D479B" w:rsidRDefault="008D479B" w:rsidP="008D479B">
      <w:pPr>
        <w:pStyle w:val="TextoNormal"/>
      </w:pPr>
      <w:r>
        <w:t>Dada en Madrid, a doce de diciembre de dos mil veintitrés.</w:t>
      </w:r>
    </w:p>
    <w:p w14:paraId="0246690A" w14:textId="363DFCAA" w:rsidR="008D479B" w:rsidRDefault="008D479B" w:rsidP="008D479B">
      <w:pPr>
        <w:pStyle w:val="ParrafoNormal"/>
      </w:pPr>
    </w:p>
    <w:p w14:paraId="1DBAD78B" w14:textId="77777777" w:rsidR="008D479B" w:rsidRDefault="008D479B" w:rsidP="008D479B">
      <w:pPr>
        <w:pStyle w:val="TextoNormalNegritaCentrado"/>
        <w:keepNext/>
      </w:pPr>
      <w:r>
        <w:t>Voto particular que formulan los magistrados don Ricardo Enríquez Sancho y don Enrique Arnaldo Alcubilla, la magistrada doña Concepción Espejel Jorquera y el magistrado don César Tolosa Tribiño, a la sentencia del Pleno del Tribunal Constitucional que resuelve el recurso de inconstitucionalidad núm. 1993-2023</w:t>
      </w:r>
    </w:p>
    <w:p w14:paraId="6D5748B9" w14:textId="05977046" w:rsidR="008D479B" w:rsidRDefault="008D479B" w:rsidP="008D479B">
      <w:pPr>
        <w:pStyle w:val="TextoNormalNegritaCentrado"/>
        <w:keepNext/>
      </w:pPr>
    </w:p>
    <w:p w14:paraId="31A1C19A" w14:textId="77777777" w:rsidR="008D479B" w:rsidRDefault="008D479B" w:rsidP="008D479B">
      <w:pPr>
        <w:pStyle w:val="TextoNormal"/>
      </w:pPr>
      <w:r>
        <w:t>En el ejercicio de la facultad que nos confiere el art. 90.2 de la Ley Orgánica del Tribunal Constitucional, y con respeto a la opinión de los magistrados que han conformado la mayoría del Pleno, formulamos el presente voto particular para expresar nuestra discrepancia con la fundamentación y con el fallo de la sentencia recaída en el presente recurso de inconstitucionalidad, el cual consideramos que debió ser estimado, declarando inconstitucional y nulo el art. 3 de la Ley 38/2022, de 27 de diciembre, que crea el impuesto temporal de solidaridad de las grandes fortunas.</w:t>
      </w:r>
    </w:p>
    <w:p w14:paraId="2F790BF8" w14:textId="77777777" w:rsidR="008D479B" w:rsidRDefault="008D479B" w:rsidP="008D479B">
      <w:pPr>
        <w:pStyle w:val="TextoNormal"/>
      </w:pPr>
    </w:p>
    <w:p w14:paraId="473E2439" w14:textId="77777777" w:rsidR="008D479B" w:rsidRDefault="008D479B" w:rsidP="008D479B">
      <w:pPr>
        <w:pStyle w:val="TextoNormal"/>
      </w:pPr>
      <w:r>
        <w:t>Las razones de nuestra discrepancia son las expuestas en el voto particular conjunto que formulamos a la STC 149/2023, de 7 de noviembre, a la que la presente sentencia se remite en cuanto procede. En consecuencia, no consideramos necesario reiterar en detalle los argumentos que en dicho voto particular se contienen (cuya extensión resultaba justificada por la gravedad del problema constitucional planteado), siendo suficiente con remitirnos a aquel, resumiendo los motivos por los que entendemos que este tribunal debió declarar la inconstitucionalidad y consiguiente nulidad del precepto legal impugnado.</w:t>
      </w:r>
    </w:p>
    <w:p w14:paraId="498AF6A3" w14:textId="77777777" w:rsidR="008D479B" w:rsidRDefault="008D479B" w:rsidP="008D479B">
      <w:pPr>
        <w:pStyle w:val="TextoNormal"/>
      </w:pPr>
    </w:p>
    <w:p w14:paraId="53EB08C6" w14:textId="77777777" w:rsidR="008D479B" w:rsidRDefault="008D479B" w:rsidP="008D479B">
      <w:pPr>
        <w:pStyle w:val="TextoNormal"/>
      </w:pPr>
      <w:r>
        <w:t>En primer lugar, porque el precepto legal impugnado vulnera la autonomía financiera y política de las comunidades autónomas, garantizada por los arts. 2, 137, 156.1 y 157.3 CE, al neutralizar la defensa de los intereses respectivos en el ejercicio de las competencias propias. El art. 19.2 b) de la Ley Orgánica de financiación de las comunidades autónomas, que forma parte del bloque de la constitucionalidad, prevé que las comunidades autónomas puedan asumir las bonificaciones del impuesto sobre el patrimonio, y la Ley 22/2009 determina que se ceden a aquellas las competencias normativas en materia de bonificaciones de la cuota en el impuesto sobre el patrimonio. La “armonización” pretendida por la Ley 38/2022 con la creación del impuesto temporal de solidaridad de las grandes fortunas pretende neutralizar las bonificaciones en el impuesto sobre el patrimonio establecidas por algunas comunidades autónomas, sin seguir el procedimiento establecido para la modificación de las condiciones de cesión del impuesto sobre el patrimonio, que es un impuesto cedido, vulnerando así la autonomía política y financiera de estas, que comprende la opción de bonificar los tributos cedidos.</w:t>
      </w:r>
    </w:p>
    <w:p w14:paraId="2C4CF366" w14:textId="77777777" w:rsidR="008D479B" w:rsidRDefault="008D479B" w:rsidP="008D479B">
      <w:pPr>
        <w:pStyle w:val="TextoNormal"/>
      </w:pPr>
    </w:p>
    <w:p w14:paraId="3034C62D" w14:textId="77777777" w:rsidR="008D479B" w:rsidRDefault="008D479B" w:rsidP="008D479B">
      <w:pPr>
        <w:pStyle w:val="TextoNormal"/>
      </w:pPr>
      <w:r>
        <w:t>En segundo lugar, porque la forma de aprobación de la iniciativa legislativa controvertida que ha dado lugar a la Ley 38/2022 supone un neto menosprecio al principio democrático, a los derechos de representación política de las minorías y al principio de legalidad tributaria. El precepto legal impugnado incurre en vulneración de los arts. 1.1, 23.2, 66.2 y 87.1 CE, al haberse introducido la regulación impugnada mediante enmienda que no guarda la conexión mínima de homogeneidad exigible con la proposición de ley que dio lugar a la Ley 38/2022, de 27 de diciembre. Es cierto que en las SSTC 209/2012, de 14 de noviembre, y 59/2015, de 18 de marzo, se desestimaron tachas similares, pero fue porque en aquellos casos las enmiendas creaban tributos y los proyectos de ley versaban sobre medidas tributarias. Por el contrario, en el presente caso, pese a lo afirmado en la sentencia de la que disentimos, no existe la conexión de objeto y materia constitucionalmente exigible (STC 136/2011, de 13 de septiembre, FJ 8) entre la enmienda que introdujo el impuesto temporal de solidaridad de las grandes fortunas y los gravámenes previstos en la iniciativa legislativa, que no tenían carácter tributario.</w:t>
      </w:r>
    </w:p>
    <w:p w14:paraId="5EE1E4D7" w14:textId="77777777" w:rsidR="008D479B" w:rsidRDefault="008D479B" w:rsidP="008D479B">
      <w:pPr>
        <w:pStyle w:val="TextoNormal"/>
      </w:pPr>
    </w:p>
    <w:p w14:paraId="5D1153EA" w14:textId="77777777" w:rsidR="008D479B" w:rsidRDefault="008D479B" w:rsidP="008D479B">
      <w:pPr>
        <w:pStyle w:val="TextoNormal"/>
      </w:pPr>
      <w:r>
        <w:t>Por último, porque el precepto impugnado vulnera el principio de seguridad jurídica, reconocido por el art. 9.3 CE, y la protección de la confianza legítima de los ciudadanos en la actuación de los poderes públicos que de él se deriva, por la sorpresiva aplicación del impuesto impugnado. Frente a lo afirmado por la sentencia de la que disentimos, resulta que, conforme a lo dispuesto en el art. 3 de la Ley 38/2022, de 27 de diciembre, el impuesto temporal de solidaridad de las grandes fortunas se aplica a todo el ejercicio 2022, casi agotado cuando entra en vigor dicha ley (el 29 de diciembre de 2022, día siguiente a su publicación en el “Boletín Oficial del Estado”), lo que ha impedido a los sujetos pasivos del impuesto ordenar sus relaciones económicas con tiempo suficiente. Además, la creación del nuevo impuesto no era previsible, ya que no se pudo conocer realmente como pronto hasta la publicación de la enmienda en el “Boletín Oficial de las Cortes Generales” el 18 de noviembre de 2022, lo que abunda en la infracción del principio constitucional de seguridad jurídica (por todas, STC 173/1996, de 31 de octubre, FJ 3).</w:t>
      </w:r>
    </w:p>
    <w:p w14:paraId="636335CB" w14:textId="77777777" w:rsidR="008D479B" w:rsidRDefault="008D479B" w:rsidP="008D479B">
      <w:pPr>
        <w:pStyle w:val="TextoNormal"/>
      </w:pPr>
    </w:p>
    <w:p w14:paraId="352C4AB9" w14:textId="77777777" w:rsidR="008D479B" w:rsidRDefault="008D479B" w:rsidP="008D479B">
      <w:pPr>
        <w:pStyle w:val="TextoNormal"/>
      </w:pPr>
      <w:r>
        <w:t>En definitiva, ni toda razón política puede vestirse, sin más, de una legitimación constitucional, ni el poder financiero del Estado puede desconocer, so pretexto de ser soberano, el ámbito competencial propio de las comunidades autónomas, socavando de forma ilegítima su autonomía política constitucionalmente consagrada, ni, en fin, el poder público puede traicionar abiertamente las expectativas generadas en los ciudadanos de cara al cumplimiento de las obligaciones impuestas.</w:t>
      </w:r>
    </w:p>
    <w:p w14:paraId="27DAD577" w14:textId="77777777" w:rsidR="008D479B" w:rsidRDefault="008D479B" w:rsidP="008D479B">
      <w:pPr>
        <w:pStyle w:val="TextoNormal"/>
      </w:pPr>
    </w:p>
    <w:p w14:paraId="2ADA1AFB" w14:textId="113BEB35" w:rsidR="008D479B" w:rsidRDefault="008D479B" w:rsidP="008D479B">
      <w:pPr>
        <w:pStyle w:val="TextoNormal"/>
      </w:pPr>
      <w:r>
        <w:t>Madrid, a doce de diciembre de dos mil veintitrés.</w:t>
      </w:r>
    </w:p>
    <w:p w14:paraId="75B2B6B6" w14:textId="64186B36" w:rsidR="00F64776" w:rsidRDefault="00F64776">
      <w:pPr>
        <w:spacing w:after="160" w:line="278" w:lineRule="auto"/>
        <w:rPr>
          <w:rFonts w:ascii="Times New Roman" w:eastAsia="Times New Roman" w:hAnsi="Times New Roman" w:cs="Times New Roman"/>
          <w:sz w:val="24"/>
          <w:szCs w:val="24"/>
          <w:lang w:eastAsia="es-ES"/>
        </w:rPr>
      </w:pPr>
      <w:r>
        <w:br w:type="page"/>
      </w:r>
    </w:p>
    <w:p w14:paraId="17D5E3A4" w14:textId="77777777" w:rsidR="00F64776" w:rsidRDefault="00F64776" w:rsidP="00F64776">
      <w:pPr>
        <w:pStyle w:val="TextoNormal"/>
      </w:pPr>
    </w:p>
    <w:p w14:paraId="7E507DBE" w14:textId="77777777" w:rsidR="00F64776" w:rsidRDefault="00F64776" w:rsidP="00F64776">
      <w:pPr>
        <w:pStyle w:val="TextoNormal"/>
      </w:pPr>
    </w:p>
    <w:p w14:paraId="7EB9EFAD" w14:textId="77777777" w:rsidR="00F64776" w:rsidRDefault="00F64776" w:rsidP="00F64776">
      <w:pPr>
        <w:pStyle w:val="TextoNormal"/>
      </w:pPr>
    </w:p>
    <w:p w14:paraId="569F7B28" w14:textId="77777777" w:rsidR="00F64776" w:rsidRDefault="00F64776" w:rsidP="00F64776">
      <w:pPr>
        <w:pStyle w:val="TextoNormal"/>
      </w:pPr>
    </w:p>
    <w:p w14:paraId="458B1C58" w14:textId="77777777" w:rsidR="00F64776" w:rsidRDefault="00F64776" w:rsidP="00F64776">
      <w:pPr>
        <w:pStyle w:val="TextoNormal"/>
      </w:pPr>
    </w:p>
    <w:p w14:paraId="030CF5AD" w14:textId="77777777" w:rsidR="00F64776" w:rsidRDefault="00F64776" w:rsidP="00F64776">
      <w:pPr>
        <w:pStyle w:val="TextoNormal"/>
      </w:pPr>
    </w:p>
    <w:p w14:paraId="75DD5417" w14:textId="77777777" w:rsidR="00F64776" w:rsidRDefault="00F64776" w:rsidP="00F64776">
      <w:pPr>
        <w:pStyle w:val="TextoNormal"/>
      </w:pPr>
    </w:p>
    <w:p w14:paraId="7CEFB36B" w14:textId="77777777" w:rsidR="00F64776" w:rsidRDefault="00F64776" w:rsidP="00F64776">
      <w:pPr>
        <w:pStyle w:val="TextoNormal"/>
      </w:pPr>
    </w:p>
    <w:p w14:paraId="618B8C5E" w14:textId="77777777" w:rsidR="00F64776" w:rsidRDefault="00F64776" w:rsidP="00F64776">
      <w:pPr>
        <w:pStyle w:val="TextoNormal"/>
      </w:pPr>
    </w:p>
    <w:p w14:paraId="06D7FE43" w14:textId="77777777" w:rsidR="00F64776" w:rsidRDefault="00F64776" w:rsidP="00F64776">
      <w:pPr>
        <w:pStyle w:val="TextoNormal"/>
      </w:pPr>
    </w:p>
    <w:p w14:paraId="2D427BF3" w14:textId="77777777" w:rsidR="00F64776" w:rsidRDefault="00F64776" w:rsidP="00F64776">
      <w:pPr>
        <w:pStyle w:val="TextoNormal"/>
      </w:pPr>
    </w:p>
    <w:p w14:paraId="2C5BD6BD" w14:textId="77777777" w:rsidR="00F64776" w:rsidRDefault="00F64776" w:rsidP="00F64776">
      <w:pPr>
        <w:pStyle w:val="TextoNormal"/>
      </w:pPr>
    </w:p>
    <w:p w14:paraId="6000EA51" w14:textId="77777777" w:rsidR="00F64776" w:rsidRDefault="00F64776" w:rsidP="00F64776">
      <w:pPr>
        <w:pStyle w:val="TextoNormal"/>
      </w:pPr>
    </w:p>
    <w:p w14:paraId="4DD59666" w14:textId="77777777" w:rsidR="00F64776" w:rsidRDefault="00F64776" w:rsidP="00F64776">
      <w:pPr>
        <w:pStyle w:val="CabeceraApartado"/>
      </w:pPr>
      <w:r>
        <w:t>AUTOS</w:t>
      </w:r>
    </w:p>
    <w:p w14:paraId="588272C1" w14:textId="1F7929F6" w:rsidR="00F64776" w:rsidRDefault="00F64776">
      <w:pPr>
        <w:spacing w:after="160" w:line="278" w:lineRule="auto"/>
        <w:rPr>
          <w:rFonts w:ascii="Times New Roman" w:eastAsia="Times New Roman" w:hAnsi="Times New Roman" w:cs="Times New Roman"/>
          <w:sz w:val="48"/>
          <w:szCs w:val="24"/>
          <w:lang w:eastAsia="es-ES"/>
        </w:rPr>
      </w:pPr>
      <w:r>
        <w:br w:type="page"/>
      </w:r>
    </w:p>
    <w:p w14:paraId="0F44BB26" w14:textId="77777777" w:rsidR="00F64776" w:rsidRDefault="00F64776" w:rsidP="00F64776">
      <w:pPr>
        <w:pStyle w:val="TtuloResolucin"/>
      </w:pPr>
      <w:bookmarkStart w:id="116" w:name="AUTO_2023_331"/>
      <w:r>
        <w:t>AUTO 331/2023, de 3 de julio de 2023</w:t>
      </w:r>
    </w:p>
    <w:bookmarkEnd w:id="116"/>
    <w:p w14:paraId="6DC75EA5" w14:textId="77777777" w:rsidR="00F64776" w:rsidRDefault="00F64776" w:rsidP="00F64776">
      <w:pPr>
        <w:pStyle w:val="TtuloResolucin"/>
      </w:pPr>
      <w:r>
        <w:t>Sala Segunda</w:t>
      </w:r>
    </w:p>
    <w:p w14:paraId="089A0B9C" w14:textId="77777777" w:rsidR="00F64776" w:rsidRDefault="00F64776" w:rsidP="00F64776">
      <w:pPr>
        <w:pStyle w:val="TextoNormalCentrado"/>
      </w:pPr>
      <w:r>
        <w:t>ECLI:ES:TC:2023:331A</w:t>
      </w:r>
    </w:p>
    <w:p w14:paraId="14D622AD" w14:textId="75FD11A0" w:rsidR="00F64776" w:rsidRDefault="00F64776" w:rsidP="00F64776">
      <w:pPr>
        <w:pStyle w:val="TextoNormalCentrado"/>
      </w:pPr>
    </w:p>
    <w:p w14:paraId="742AF2F7" w14:textId="77777777" w:rsidR="00F64776" w:rsidRDefault="00F64776" w:rsidP="00F64776">
      <w:pPr>
        <w:pStyle w:val="SntesisDescriptiva"/>
      </w:pPr>
      <w:r>
        <w:t>Excms. Srs. doña Inmaculada Montalbán Huertas, doña María Luisa Balaguer Callejón, don Ramón Sáez Valcárcel, don Enrique Arnaldo Alcubilla, don César Tolosa Tribiño y doña Laura Díez Bueso.</w:t>
      </w:r>
    </w:p>
    <w:p w14:paraId="0F564007" w14:textId="7AE311B3" w:rsidR="00F64776" w:rsidRDefault="00F64776" w:rsidP="00F64776">
      <w:pPr>
        <w:pStyle w:val="SntesisDescriptiva"/>
      </w:pPr>
    </w:p>
    <w:p w14:paraId="14F17FDA" w14:textId="77777777" w:rsidR="00F64776" w:rsidRDefault="00F64776" w:rsidP="00F64776">
      <w:pPr>
        <w:pStyle w:val="SntesisDescriptiva"/>
      </w:pPr>
      <w:r>
        <w:t>Deniega la solicitud de aclaración formulada en relación con la STC 39/2023, de 8 de mayo, dictada en el recurso de amparo 296-2020, promovido por doña María Rosa Coll Colom en proceso contencioso-administrativo.</w:t>
      </w:r>
    </w:p>
    <w:p w14:paraId="51115DD9" w14:textId="224A3C21" w:rsidR="00F64776" w:rsidRDefault="00F64776" w:rsidP="00F64776">
      <w:pPr>
        <w:pStyle w:val="SntesisDescriptiva"/>
      </w:pPr>
    </w:p>
    <w:p w14:paraId="37C3E951" w14:textId="77777777" w:rsidR="00F64776" w:rsidRDefault="00F64776" w:rsidP="00F64776">
      <w:pPr>
        <w:pStyle w:val="SntesisDescriptiva"/>
      </w:pPr>
    </w:p>
    <w:p w14:paraId="691A58B2" w14:textId="77777777" w:rsidR="00F64776" w:rsidRDefault="00F64776" w:rsidP="00F64776">
      <w:pPr>
        <w:pStyle w:val="SntesisDescriptiva"/>
      </w:pPr>
    </w:p>
    <w:p w14:paraId="2F36379F" w14:textId="77777777" w:rsidR="00F64776" w:rsidRDefault="00F64776" w:rsidP="00F64776">
      <w:pPr>
        <w:pStyle w:val="TextoNormalNegritaCentrado"/>
      </w:pPr>
      <w:r>
        <w:t>AUTO</w:t>
      </w:r>
    </w:p>
    <w:p w14:paraId="75F731B9" w14:textId="273B764D" w:rsidR="00F64776" w:rsidRDefault="00F64776" w:rsidP="00F64776">
      <w:pPr>
        <w:pStyle w:val="TextoNormalNegritaCentrado"/>
      </w:pPr>
    </w:p>
    <w:p w14:paraId="6BA2608D" w14:textId="77777777" w:rsidR="00F64776" w:rsidRDefault="00F64776" w:rsidP="00F64776">
      <w:pPr>
        <w:pStyle w:val="TextoNormalNegritaCentrado"/>
        <w:keepNext/>
      </w:pPr>
      <w:r>
        <w:t>I. Antecedentes</w:t>
      </w:r>
    </w:p>
    <w:p w14:paraId="1CA84F54" w14:textId="7FF8174A" w:rsidR="00F64776" w:rsidRDefault="00F64776" w:rsidP="00F64776">
      <w:pPr>
        <w:pStyle w:val="TextoNormalNegritaCentrado"/>
        <w:keepNext/>
      </w:pPr>
    </w:p>
    <w:p w14:paraId="045774A6" w14:textId="77777777" w:rsidR="00F64776" w:rsidRDefault="00F64776" w:rsidP="00F64776">
      <w:pPr>
        <w:pStyle w:val="TextoNormal"/>
      </w:pPr>
      <w:r w:rsidRPr="00F64776">
        <w:rPr>
          <w:rStyle w:val="NumeroAFNegritaCaracter"/>
        </w:rPr>
        <w:t>1</w:t>
      </w:r>
      <w:r>
        <w:t>. En el recurso de amparo núm. 296-2020, interpuesto por doña María Rosa Coll Colom, contra la sentencia del Juzgado de lo Contencioso-Administrativo núm. 1 de Lleida, de 23 de septiembre de 2019, que desestimó los recursos contencioso-administrativos núm. 302-2018 y 457-2018, en el que han intervenido además el abogado del Estado, el Organismo Autónomo de Gestión y Recaptación de Tributos Locales de la Diputación de Lleida, y el Ministerio Fiscal, se dictó sentencia por esta Sala Segunda, con fecha 8 de mayo de 2023.</w:t>
      </w:r>
    </w:p>
    <w:p w14:paraId="12E84EB3" w14:textId="77777777" w:rsidR="00F64776" w:rsidRDefault="00F64776" w:rsidP="00F64776">
      <w:pPr>
        <w:pStyle w:val="TextoNormal"/>
      </w:pPr>
    </w:p>
    <w:p w14:paraId="6371E5FD" w14:textId="77777777" w:rsidR="00F64776" w:rsidRDefault="00F64776" w:rsidP="00F64776">
      <w:pPr>
        <w:pStyle w:val="TextoNormal"/>
      </w:pPr>
      <w:r>
        <w:t>a) En el fallo de la sentencia se acuerda “estimar el recurso de amparo interpuesto por doña María Rosa Coll Colom y, en consecuencia:</w:t>
      </w:r>
    </w:p>
    <w:p w14:paraId="0E5195A9" w14:textId="77777777" w:rsidR="00F64776" w:rsidRDefault="00F64776" w:rsidP="00F64776">
      <w:pPr>
        <w:pStyle w:val="TextoNormal"/>
      </w:pPr>
    </w:p>
    <w:p w14:paraId="039B0733" w14:textId="77777777" w:rsidR="00F64776" w:rsidRDefault="00F64776" w:rsidP="00F64776">
      <w:pPr>
        <w:pStyle w:val="TextoNormal"/>
      </w:pPr>
      <w:r>
        <w:t>1º Declarar que ha sido vulnerado el derecho fundamental de la demandante de amparo a la tutela judicial efectiva sin indefensión (art. 24.1 CE).</w:t>
      </w:r>
    </w:p>
    <w:p w14:paraId="77421C18" w14:textId="77777777" w:rsidR="00F64776" w:rsidRDefault="00F64776" w:rsidP="00F64776">
      <w:pPr>
        <w:pStyle w:val="TextoNormal"/>
      </w:pPr>
    </w:p>
    <w:p w14:paraId="46765B02" w14:textId="77777777" w:rsidR="00F64776" w:rsidRDefault="00F64776" w:rsidP="00F64776">
      <w:pPr>
        <w:pStyle w:val="TextoNormal"/>
      </w:pPr>
      <w:r>
        <w:t>2º Restablecerla en su derecho y, a tal fin, declarar la nulidad de la sentencia de 23 de septiembre de 2019 y del auto de 10 de diciembre de 2019 dictados por el Juzgado de lo Contencioso-Administrativo núm. 1 de Lleida en el procedimiento abreviado núm. 302-2018”.</w:t>
      </w:r>
    </w:p>
    <w:p w14:paraId="7A735B50" w14:textId="77777777" w:rsidR="00F64776" w:rsidRDefault="00F64776" w:rsidP="00F64776">
      <w:pPr>
        <w:pStyle w:val="TextoNormal"/>
      </w:pPr>
    </w:p>
    <w:p w14:paraId="4E0A383D" w14:textId="77777777" w:rsidR="00F64776" w:rsidRDefault="00F64776" w:rsidP="00F64776">
      <w:pPr>
        <w:pStyle w:val="TextoNormal"/>
      </w:pPr>
      <w:r>
        <w:t>b) En el fundamento jurídico quinto de la sentencia se establecen como efectos derivados de la estimación de la queja de amparo “la retroacción de actuaciones al momento inmediatamente anterior al del dictado de la sentencia de 23 de septiembre de 2019, para que el Juzgado de lo Contencioso-Administrativo núm. 1 de Lleida resuelva las demandas interpuestas en sendos recursos contencioso-administrativos con respeto al derecho fundamental reconocido”.</w:t>
      </w:r>
    </w:p>
    <w:p w14:paraId="4EA634F9" w14:textId="77777777" w:rsidR="00F64776" w:rsidRDefault="00F64776" w:rsidP="00F64776">
      <w:pPr>
        <w:pStyle w:val="TextoNormal"/>
      </w:pPr>
    </w:p>
    <w:p w14:paraId="1C282A69" w14:textId="594B1D6E" w:rsidR="00F64776" w:rsidRDefault="00F64776" w:rsidP="00F64776">
      <w:pPr>
        <w:pStyle w:val="TextoNormal"/>
      </w:pPr>
      <w:r>
        <w:t>c) La sentencia fue notificada a la recurrente el pasado día 16 de mayo de 2023.</w:t>
      </w:r>
    </w:p>
    <w:p w14:paraId="05947077" w14:textId="77777777" w:rsidR="00F64776" w:rsidRDefault="00F64776" w:rsidP="00F64776">
      <w:pPr>
        <w:pStyle w:val="TextoNormal"/>
      </w:pPr>
    </w:p>
    <w:p w14:paraId="03C57F49" w14:textId="7BA0CCDD" w:rsidR="00F64776" w:rsidRDefault="00F64776" w:rsidP="00F64776">
      <w:pPr>
        <w:pStyle w:val="TextoNormal"/>
      </w:pPr>
      <w:r w:rsidRPr="00F64776">
        <w:rPr>
          <w:rStyle w:val="NumeroAFNegritaCaracter"/>
        </w:rPr>
        <w:t>2</w:t>
      </w:r>
      <w:r>
        <w:t>. Mediante escrito registrado en este tribunal el día 17 de mayo, la recurrente solicita al amparo del art. 93.1 de la Ley Orgánica del Tribunal Constitucional (LOTC) la aclaración de dicha sentencia, en el sentido de que este tribunal se pronuncie sobre el “tema de la devolución de ‘[…] todas las costas exigidas y abonadas como consecuencia de la sentencia y del auto impugnados, así como los intereses devengados que legalmente correspondan’”.</w:t>
      </w:r>
    </w:p>
    <w:p w14:paraId="50083588" w14:textId="77777777" w:rsidR="00F64776" w:rsidRDefault="00F64776" w:rsidP="00F64776">
      <w:pPr>
        <w:pStyle w:val="TextoNormal"/>
      </w:pPr>
    </w:p>
    <w:p w14:paraId="53132F73" w14:textId="77777777" w:rsidR="00F64776" w:rsidRDefault="00F64776" w:rsidP="00F64776">
      <w:pPr>
        <w:pStyle w:val="TextoNormalNegritaCentrado"/>
        <w:keepNext/>
      </w:pPr>
      <w:r>
        <w:t>II. Fundamentos jurídicos</w:t>
      </w:r>
    </w:p>
    <w:p w14:paraId="572F5B07" w14:textId="4EC412D4" w:rsidR="00F64776" w:rsidRDefault="00F64776" w:rsidP="00F64776">
      <w:pPr>
        <w:pStyle w:val="TextoNormalNegritaCentrado"/>
        <w:keepNext/>
      </w:pPr>
    </w:p>
    <w:p w14:paraId="73E488EF" w14:textId="77777777" w:rsidR="00F64776" w:rsidRDefault="00F64776" w:rsidP="00F64776">
      <w:pPr>
        <w:pStyle w:val="TextoNormal"/>
      </w:pPr>
      <w:r w:rsidRPr="00F64776">
        <w:rPr>
          <w:rStyle w:val="TextoNormalNegritaCaracter"/>
        </w:rPr>
        <w:t xml:space="preserve">Único. </w:t>
      </w:r>
      <w:r>
        <w:t>Este tribunal ha declarado reiteradamente que la solicitud de aclaración prevista en el art. 93.1 LOTC no constituye un medio de impugnación para la sustitución o revisión de la decisión adoptada, pues contra las sentencias del Tribunal Constitucional no cabe recurso alguno. El objeto de la aclaración está limitado a la corrección de errores materiales manifiestos o errores aritméticos, a la aclaración de algún concepto oscuro, a suplir cualquier omisión o a la rectificación de alguna contradicción manifiesta que se evidencie del propio texto de la sentencia, sin necesidad de nuevas deducciones o interpretaciones (entre otros muchos, AATC 285/2009, de 4 de noviembre, FJ 1; 94/2013, de 7 de mayo, FJ 1; 48/2014, de 24 de febrero, FJ único, y 128/2017, de 22 de septiembre, FJ único).</w:t>
      </w:r>
    </w:p>
    <w:p w14:paraId="6950572B" w14:textId="77777777" w:rsidR="00F64776" w:rsidRDefault="00F64776" w:rsidP="00F64776">
      <w:pPr>
        <w:pStyle w:val="TextoNormal"/>
      </w:pPr>
    </w:p>
    <w:p w14:paraId="0DBF0835" w14:textId="77777777" w:rsidR="00F64776" w:rsidRDefault="00F64776" w:rsidP="00F64776">
      <w:pPr>
        <w:pStyle w:val="TextoNormal"/>
      </w:pPr>
      <w:r>
        <w:t>La parte solicitante de la aclaración interesa que nos pronunciemos sobre la devolución de las costas que fueron abonadas en la vía judicial previa, con sus intereses legales. Dichas costas se impusieron tanto por la sentencia de 23 de septiembre de 2019 (que impuso las costas hasta el límite de cien euros) como por el auto de 10 de diciembre de 2019 (que impuso las costas hasta el límite de cincuenta euros), resoluciones judiciales anuladas en nuestra sentencia de 8 de mayo de 2023. Por lo tanto, la petición de la actora concierne a los efectos que deban derivarse de la anulación de dichas resoluciones judiciales, y dichos efectos son una cuestión que deberá determinar el órgano judicial de instancia dado que es de su competencia dar cumplimiento a la sentencia resolutoria del recurso de amparo (en sentido similar, ATC 102/2020, de 21 de septiembre).</w:t>
      </w:r>
    </w:p>
    <w:p w14:paraId="4C0E48D1" w14:textId="77777777" w:rsidR="00F64776" w:rsidRDefault="00F64776" w:rsidP="00F64776">
      <w:pPr>
        <w:pStyle w:val="TextoNormal"/>
      </w:pPr>
    </w:p>
    <w:p w14:paraId="0092CEF7" w14:textId="00B771BF" w:rsidR="00F64776" w:rsidRDefault="00F64776" w:rsidP="00F64776">
      <w:pPr>
        <w:pStyle w:val="TextoNormal"/>
      </w:pPr>
      <w:r>
        <w:t>No procede, por tanto, acceder a lo interesado por la parte compareciente, pues no existen en este caso conceptos oscuros que aclarar, ni omisión alguna que suplir.</w:t>
      </w:r>
    </w:p>
    <w:p w14:paraId="65C955E0" w14:textId="77777777" w:rsidR="00F64776" w:rsidRDefault="00F64776" w:rsidP="00F64776">
      <w:pPr>
        <w:pStyle w:val="TextoNormal"/>
      </w:pPr>
    </w:p>
    <w:p w14:paraId="32F87BAD" w14:textId="77777777" w:rsidR="00F64776" w:rsidRDefault="00F64776" w:rsidP="00F64776">
      <w:pPr>
        <w:pStyle w:val="TextoNormal"/>
      </w:pPr>
      <w:r>
        <w:t>Por lo expuesto, la Sala</w:t>
      </w:r>
    </w:p>
    <w:p w14:paraId="5A56685B" w14:textId="3FEE45CC" w:rsidR="00F64776" w:rsidRDefault="00F64776" w:rsidP="00F64776">
      <w:pPr>
        <w:pStyle w:val="TextoNormal"/>
      </w:pPr>
    </w:p>
    <w:p w14:paraId="2BEBE5C9" w14:textId="77777777" w:rsidR="00F64776" w:rsidRDefault="00F64776" w:rsidP="00F64776">
      <w:pPr>
        <w:pStyle w:val="TextoNormalCentrado"/>
      </w:pPr>
      <w:r>
        <w:t>ACUERDA</w:t>
      </w:r>
    </w:p>
    <w:p w14:paraId="26A9DFD1" w14:textId="5DFC1CDB" w:rsidR="00F64776" w:rsidRDefault="00F64776" w:rsidP="00F64776">
      <w:pPr>
        <w:pStyle w:val="TextoNormalCentrado"/>
      </w:pPr>
    </w:p>
    <w:p w14:paraId="07EAB9D2" w14:textId="52E77478" w:rsidR="00F64776" w:rsidRDefault="00F64776" w:rsidP="00F64776">
      <w:pPr>
        <w:pStyle w:val="TextoNormal"/>
      </w:pPr>
      <w:r>
        <w:t>No haber lugar a la aclaración solicitada.</w:t>
      </w:r>
    </w:p>
    <w:p w14:paraId="10830403" w14:textId="77777777" w:rsidR="00F64776" w:rsidRDefault="00F64776" w:rsidP="00F64776">
      <w:pPr>
        <w:pStyle w:val="TextoNormal"/>
      </w:pPr>
    </w:p>
    <w:p w14:paraId="2B302403" w14:textId="77777777" w:rsidR="00F64776" w:rsidRDefault="00F64776" w:rsidP="00F64776">
      <w:pPr>
        <w:pStyle w:val="TextoNormal"/>
      </w:pPr>
      <w:r>
        <w:t>Madrid, a tres de julio de dos mil veintitrés.</w:t>
      </w:r>
    </w:p>
    <w:p w14:paraId="32C81485" w14:textId="40C80590" w:rsidR="00F64776" w:rsidRDefault="00F64776">
      <w:pPr>
        <w:spacing w:after="160" w:line="278" w:lineRule="auto"/>
        <w:rPr>
          <w:rFonts w:ascii="Times New Roman" w:eastAsia="Times New Roman" w:hAnsi="Times New Roman" w:cs="Times New Roman"/>
          <w:sz w:val="24"/>
          <w:szCs w:val="24"/>
          <w:lang w:eastAsia="es-ES"/>
        </w:rPr>
      </w:pPr>
      <w:r>
        <w:br w:type="page"/>
      </w:r>
    </w:p>
    <w:p w14:paraId="2651268A" w14:textId="77777777" w:rsidR="00F64776" w:rsidRDefault="00F64776" w:rsidP="00F64776">
      <w:pPr>
        <w:pStyle w:val="TtuloResolucin"/>
      </w:pPr>
      <w:bookmarkStart w:id="117" w:name="AUTO_2023_332"/>
      <w:r>
        <w:t>AUTO 332/2023, de 3 de julio de 2023</w:t>
      </w:r>
    </w:p>
    <w:bookmarkEnd w:id="117"/>
    <w:p w14:paraId="14B61375" w14:textId="77777777" w:rsidR="00F64776" w:rsidRDefault="00F64776" w:rsidP="00F64776">
      <w:pPr>
        <w:pStyle w:val="TtuloResolucin"/>
      </w:pPr>
      <w:r>
        <w:t>Sala Segunda</w:t>
      </w:r>
    </w:p>
    <w:p w14:paraId="2C2F1937" w14:textId="77777777" w:rsidR="00F64776" w:rsidRDefault="00F64776" w:rsidP="00F64776">
      <w:pPr>
        <w:pStyle w:val="TextoNormalCentrado"/>
      </w:pPr>
      <w:r>
        <w:t>ECLI:ES:TC:2023:332A</w:t>
      </w:r>
    </w:p>
    <w:p w14:paraId="4F2DBA5F" w14:textId="2853A6B4" w:rsidR="00F64776" w:rsidRDefault="00F64776" w:rsidP="00F64776">
      <w:pPr>
        <w:pStyle w:val="TextoNormalCentrado"/>
      </w:pPr>
    </w:p>
    <w:p w14:paraId="1D67E67C" w14:textId="77777777" w:rsidR="00F64776" w:rsidRDefault="00F64776" w:rsidP="00F64776">
      <w:pPr>
        <w:pStyle w:val="SntesisDescriptiva"/>
      </w:pPr>
      <w:r>
        <w:t>Excms. Srs. doña Inmaculada Montalbán Huertas, doña María Luisa Balaguer Callejón, don Ramón Sáez Valcárcel, don Enrique Arnaldo Alcubilla y doña Laura Díez Bueso.</w:t>
      </w:r>
    </w:p>
    <w:p w14:paraId="30D32862" w14:textId="2FC115A3" w:rsidR="00F64776" w:rsidRDefault="00F64776" w:rsidP="00F64776">
      <w:pPr>
        <w:pStyle w:val="SntesisDescriptiva"/>
      </w:pPr>
    </w:p>
    <w:p w14:paraId="045CB844" w14:textId="77777777" w:rsidR="00F64776" w:rsidRDefault="00F64776" w:rsidP="00F64776">
      <w:pPr>
        <w:pStyle w:val="SntesisDescriptiva"/>
      </w:pPr>
      <w:r>
        <w:t>Acepta una abstención en el recurso de amparo 4397-2021, promovido por la mercantil Emplazamientos Radiales, S.L., en proceso contencioso-administrativo.</w:t>
      </w:r>
    </w:p>
    <w:p w14:paraId="3E14B974" w14:textId="3C1B74CD" w:rsidR="00F64776" w:rsidRDefault="00F64776" w:rsidP="00F64776">
      <w:pPr>
        <w:pStyle w:val="SntesisDescriptiva"/>
      </w:pPr>
    </w:p>
    <w:p w14:paraId="7E0F82D7" w14:textId="77777777" w:rsidR="00F64776" w:rsidRDefault="00F64776" w:rsidP="00F64776">
      <w:pPr>
        <w:pStyle w:val="SntesisDescriptiva"/>
      </w:pPr>
    </w:p>
    <w:p w14:paraId="1BB8158D" w14:textId="77777777" w:rsidR="00F64776" w:rsidRDefault="00F64776" w:rsidP="00F64776">
      <w:pPr>
        <w:pStyle w:val="SntesisDescriptiva"/>
      </w:pPr>
    </w:p>
    <w:p w14:paraId="0D65C3C5" w14:textId="77777777" w:rsidR="00F64776" w:rsidRDefault="00F64776" w:rsidP="00F64776">
      <w:pPr>
        <w:pStyle w:val="TextoNormalNegritaCentrado"/>
      </w:pPr>
      <w:r>
        <w:t>AUTO</w:t>
      </w:r>
    </w:p>
    <w:p w14:paraId="40736C24" w14:textId="27088868" w:rsidR="00F64776" w:rsidRDefault="00F64776" w:rsidP="00F64776">
      <w:pPr>
        <w:pStyle w:val="TextoNormalNegritaCentrado"/>
      </w:pPr>
    </w:p>
    <w:p w14:paraId="0B1C1D96" w14:textId="77777777" w:rsidR="00F64776" w:rsidRDefault="00F64776" w:rsidP="00F64776">
      <w:pPr>
        <w:pStyle w:val="TextoNormalNegritaCentrado"/>
        <w:keepNext/>
      </w:pPr>
      <w:r>
        <w:t>I. Antecedentes</w:t>
      </w:r>
    </w:p>
    <w:p w14:paraId="591B5FB9" w14:textId="0A341527" w:rsidR="00F64776" w:rsidRDefault="00F64776" w:rsidP="00F64776">
      <w:pPr>
        <w:pStyle w:val="TextoNormalNegritaCentrado"/>
        <w:keepNext/>
      </w:pPr>
    </w:p>
    <w:p w14:paraId="33220B3D" w14:textId="48AA74B2" w:rsidR="00F64776" w:rsidRDefault="00F64776" w:rsidP="00F64776">
      <w:pPr>
        <w:pStyle w:val="TextoNormal"/>
      </w:pPr>
      <w:r w:rsidRPr="00F64776">
        <w:rPr>
          <w:rStyle w:val="NumeroAFNegritaCaracter"/>
        </w:rPr>
        <w:t>1</w:t>
      </w:r>
      <w:r>
        <w:t>. Mediante escrito registrado en este tribunal el 28 de junio de 2021 la procuradora de los tribunales doña Raquel Zamora Martínez, en nombre y representación de la mercantil Emplazamientos Radiales, S.L., y bajo la dirección de letrado don Jaime Rodríguez Díez, interpuso demanda de amparo contra la desestimación presunta del recurso de alzada planteado el 2 de septiembre de 2018 ante el Consejería de Fomento, contra la resolución de 27 de julio de 2018, acordada por el director general de Telecomunicaciones y Nuevas Tecnologías, por la que se deniega la solicitud de convocatoria de concurso de licencias audiovisuales de radiodifusión sonora digital integradas en los bloques de frecuencias asignados a Castilla-La Mancha.</w:t>
      </w:r>
    </w:p>
    <w:p w14:paraId="4629BBEF" w14:textId="77777777" w:rsidR="00F64776" w:rsidRDefault="00F64776" w:rsidP="00F64776">
      <w:pPr>
        <w:pStyle w:val="TextoNormal"/>
      </w:pPr>
    </w:p>
    <w:p w14:paraId="207859B5" w14:textId="0E13A687" w:rsidR="00F64776" w:rsidRDefault="00F64776" w:rsidP="00F64776">
      <w:pPr>
        <w:pStyle w:val="TextoNormal"/>
      </w:pPr>
      <w:r w:rsidRPr="00F64776">
        <w:rPr>
          <w:rStyle w:val="NumeroAFNegritaCaracter"/>
        </w:rPr>
        <w:t>2</w:t>
      </w:r>
      <w:r>
        <w:t>. Por escrito de 9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providencia de inadmisión del recurso de casación, contra la sentencia núm. 11/2021, de 18 de enero, dictada por la Sala de lo Contencioso-Administrativo del Tribunal Superior de Justicia de Castilla-La Mancha que desestimó el recurso contencioso-administrativo núm. 664-2018, contra la resolución impugnada en amparo.</w:t>
      </w:r>
    </w:p>
    <w:p w14:paraId="40CE5E5A" w14:textId="77777777" w:rsidR="00F64776" w:rsidRDefault="00F64776" w:rsidP="00F64776">
      <w:pPr>
        <w:pStyle w:val="TextoNormal"/>
      </w:pPr>
    </w:p>
    <w:p w14:paraId="797A8B6A" w14:textId="77777777" w:rsidR="00F64776" w:rsidRDefault="00F64776" w:rsidP="00F64776">
      <w:pPr>
        <w:pStyle w:val="TextoNormalNegritaCentrado"/>
        <w:keepNext/>
      </w:pPr>
      <w:r>
        <w:t>II. Fundamentos jurídicos</w:t>
      </w:r>
    </w:p>
    <w:p w14:paraId="3D48D568" w14:textId="2E2FC3E2" w:rsidR="00F64776" w:rsidRDefault="00F64776" w:rsidP="00F64776">
      <w:pPr>
        <w:pStyle w:val="TextoNormalNegritaCentrado"/>
        <w:keepNext/>
      </w:pPr>
    </w:p>
    <w:p w14:paraId="4247B7DF" w14:textId="5D476DD5"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6E8874F5" w14:textId="77777777" w:rsidR="00F64776" w:rsidRDefault="00F64776" w:rsidP="00F64776">
      <w:pPr>
        <w:pStyle w:val="TextoNormal"/>
      </w:pPr>
    </w:p>
    <w:p w14:paraId="4726A6A2" w14:textId="77777777" w:rsidR="00F64776" w:rsidRDefault="00F64776" w:rsidP="00F64776">
      <w:pPr>
        <w:pStyle w:val="TextoNormal"/>
      </w:pPr>
      <w:r>
        <w:t>Por lo expuesto, la Sala</w:t>
      </w:r>
    </w:p>
    <w:p w14:paraId="6D7A7000" w14:textId="0D27B3BA" w:rsidR="00F64776" w:rsidRDefault="00F64776" w:rsidP="00F64776">
      <w:pPr>
        <w:pStyle w:val="TextoNormal"/>
      </w:pPr>
    </w:p>
    <w:p w14:paraId="599BED84" w14:textId="77777777" w:rsidR="00F64776" w:rsidRDefault="00F64776" w:rsidP="00F64776">
      <w:pPr>
        <w:pStyle w:val="TextoNormalCentrado"/>
      </w:pPr>
      <w:r>
        <w:t>ACUERDA</w:t>
      </w:r>
    </w:p>
    <w:p w14:paraId="7FE03C7B" w14:textId="587D4A65" w:rsidR="00F64776" w:rsidRDefault="00F64776" w:rsidP="00F64776">
      <w:pPr>
        <w:pStyle w:val="TextoNormalCentrado"/>
      </w:pPr>
    </w:p>
    <w:p w14:paraId="01C5F588" w14:textId="22691E33" w:rsidR="00F64776" w:rsidRDefault="00F64776" w:rsidP="00F64776">
      <w:pPr>
        <w:pStyle w:val="TextoNormal"/>
      </w:pPr>
      <w:r>
        <w:t>Estimar justificada la abstención formulada por el magistrado don César Tolosa Tribiño en el recurso de amparo núm. 4397-2021 y apartarle definitivamente del conocimiento del referido recurso y de todas sus incidencias.</w:t>
      </w:r>
    </w:p>
    <w:p w14:paraId="7DA4962F" w14:textId="77777777" w:rsidR="00F64776" w:rsidRDefault="00F64776" w:rsidP="00F64776">
      <w:pPr>
        <w:pStyle w:val="TextoNormal"/>
      </w:pPr>
    </w:p>
    <w:p w14:paraId="0DB636AD" w14:textId="77777777" w:rsidR="00F64776" w:rsidRDefault="00F64776" w:rsidP="00F64776">
      <w:pPr>
        <w:pStyle w:val="TextoNormal"/>
      </w:pPr>
      <w:r>
        <w:t>Madrid, a tres de julio de dos mil veintitrés.</w:t>
      </w:r>
    </w:p>
    <w:p w14:paraId="4A25ACED" w14:textId="2267CC4D" w:rsidR="00F64776" w:rsidRDefault="00F64776">
      <w:pPr>
        <w:spacing w:after="160" w:line="278" w:lineRule="auto"/>
        <w:rPr>
          <w:rFonts w:ascii="Times New Roman" w:eastAsia="Times New Roman" w:hAnsi="Times New Roman" w:cs="Times New Roman"/>
          <w:sz w:val="24"/>
          <w:szCs w:val="24"/>
          <w:lang w:eastAsia="es-ES"/>
        </w:rPr>
      </w:pPr>
      <w:r>
        <w:br w:type="page"/>
      </w:r>
    </w:p>
    <w:p w14:paraId="2D06F863" w14:textId="77777777" w:rsidR="00F64776" w:rsidRDefault="00F64776" w:rsidP="00F64776">
      <w:pPr>
        <w:pStyle w:val="TtuloResolucin"/>
      </w:pPr>
      <w:bookmarkStart w:id="118" w:name="AUTO_2023_333"/>
      <w:r>
        <w:t>AUTO 333/2023, de 3 de julio de 2023</w:t>
      </w:r>
    </w:p>
    <w:bookmarkEnd w:id="118"/>
    <w:p w14:paraId="38183C36" w14:textId="77777777" w:rsidR="00F64776" w:rsidRDefault="00F64776" w:rsidP="00F64776">
      <w:pPr>
        <w:pStyle w:val="TtuloResolucin"/>
      </w:pPr>
      <w:r>
        <w:t>Sala Segunda</w:t>
      </w:r>
    </w:p>
    <w:p w14:paraId="1F987599" w14:textId="77777777" w:rsidR="00F64776" w:rsidRDefault="00F64776" w:rsidP="00F64776">
      <w:pPr>
        <w:pStyle w:val="TextoNormalCentrado"/>
      </w:pPr>
      <w:r>
        <w:t>ECLI:ES:TC:2023:333A</w:t>
      </w:r>
    </w:p>
    <w:p w14:paraId="3D356CD2" w14:textId="459C7DF2" w:rsidR="00F64776" w:rsidRDefault="00F64776" w:rsidP="00F64776">
      <w:pPr>
        <w:pStyle w:val="TextoNormalCentrado"/>
      </w:pPr>
    </w:p>
    <w:p w14:paraId="63EA1DB8" w14:textId="77777777" w:rsidR="00F64776" w:rsidRDefault="00F64776" w:rsidP="00F64776">
      <w:pPr>
        <w:pStyle w:val="SntesisDescriptiva"/>
      </w:pPr>
      <w:r>
        <w:t>Excms. Srs. doña Inmaculada Montalbán Huertas, doña María Luisa Balaguer Callejón, don Ramón Sáez Valcárcel, don Enrique Arnaldo Alcubilla y doña Laura Díez Bueso.</w:t>
      </w:r>
    </w:p>
    <w:p w14:paraId="2CD151C4" w14:textId="753A981A" w:rsidR="00F64776" w:rsidRDefault="00F64776" w:rsidP="00F64776">
      <w:pPr>
        <w:pStyle w:val="SntesisDescriptiva"/>
      </w:pPr>
    </w:p>
    <w:p w14:paraId="3E62D760" w14:textId="77777777" w:rsidR="00F64776" w:rsidRDefault="00F64776" w:rsidP="00F64776">
      <w:pPr>
        <w:pStyle w:val="SntesisDescriptiva"/>
      </w:pPr>
      <w:r>
        <w:t>Acepta una abstención en el recurso de amparo 7042-2021, promovido por la mercantil Tubos Reunidos, S.A., en proceso contencioso-administrativo.</w:t>
      </w:r>
    </w:p>
    <w:p w14:paraId="02C524AB" w14:textId="601C7289" w:rsidR="00F64776" w:rsidRDefault="00F64776" w:rsidP="00F64776">
      <w:pPr>
        <w:pStyle w:val="SntesisDescriptiva"/>
      </w:pPr>
    </w:p>
    <w:p w14:paraId="5BBDFF7D" w14:textId="77777777" w:rsidR="00F64776" w:rsidRDefault="00F64776" w:rsidP="00F64776">
      <w:pPr>
        <w:pStyle w:val="SntesisDescriptiva"/>
      </w:pPr>
    </w:p>
    <w:p w14:paraId="3593701C" w14:textId="77777777" w:rsidR="00F64776" w:rsidRDefault="00F64776" w:rsidP="00F64776">
      <w:pPr>
        <w:pStyle w:val="SntesisDescriptiva"/>
      </w:pPr>
    </w:p>
    <w:p w14:paraId="6E10651A" w14:textId="77777777" w:rsidR="00F64776" w:rsidRDefault="00F64776" w:rsidP="00F64776">
      <w:pPr>
        <w:pStyle w:val="TextoNormalNegritaCentrado"/>
      </w:pPr>
      <w:r>
        <w:t>AUTO</w:t>
      </w:r>
    </w:p>
    <w:p w14:paraId="7065C1E8" w14:textId="0ACCCE3B" w:rsidR="00F64776" w:rsidRDefault="00F64776" w:rsidP="00F64776">
      <w:pPr>
        <w:pStyle w:val="TextoNormalNegritaCentrado"/>
      </w:pPr>
    </w:p>
    <w:p w14:paraId="39028663" w14:textId="77777777" w:rsidR="00F64776" w:rsidRDefault="00F64776" w:rsidP="00F64776">
      <w:pPr>
        <w:pStyle w:val="TextoNormalNegritaCentrado"/>
        <w:keepNext/>
      </w:pPr>
      <w:r>
        <w:t>I. Antecedentes</w:t>
      </w:r>
    </w:p>
    <w:p w14:paraId="4C0D1C5D" w14:textId="2E060BE1" w:rsidR="00F64776" w:rsidRDefault="00F64776" w:rsidP="00F64776">
      <w:pPr>
        <w:pStyle w:val="TextoNormalNegritaCentrado"/>
        <w:keepNext/>
      </w:pPr>
    </w:p>
    <w:p w14:paraId="6AA57957" w14:textId="30BE7D00" w:rsidR="00F64776" w:rsidRDefault="00F64776" w:rsidP="00F64776">
      <w:pPr>
        <w:pStyle w:val="TextoNormal"/>
      </w:pPr>
      <w:r w:rsidRPr="00F64776">
        <w:rPr>
          <w:rStyle w:val="NumeroAFNegritaCaracter"/>
        </w:rPr>
        <w:t>1</w:t>
      </w:r>
      <w:r>
        <w:t>. Mediante escrito registrado en este tribunal el 5 de noviembre de 2021 el procurador de los tribunales don Jacobo Gandarillas Martos, en nombre y representación de la mercantil Tubos Reunidos, S.A., y bajo la dirección de letrado don Alfonso del Castillo Bonet, interpuso demanda de amparo contra sentencia núm. 188/2020, de 29 de junio, dictada por la Sección Primera de la Sala de lo Contencioso-Administrativo del Tribunal Superior de Justicia del País Vasco, en el recurso contencioso-administrativo núm. 132-2019; la providencia de 22 de abril de 2021, dictada por la Sección Primera de la Sala de lo Contencioso-Administrativo del Tribunal Supremo, por la que se acuerda la inadmisión del recurso de casación núm. 5168-2020; y la providencia de 21 de septiembre de 2021, por la que se inadmite el incidente de nulidad promovido frente a la providencia de inadmisión del recurso de casación.</w:t>
      </w:r>
    </w:p>
    <w:p w14:paraId="7E88AA92" w14:textId="77777777" w:rsidR="00F64776" w:rsidRDefault="00F64776" w:rsidP="00F64776">
      <w:pPr>
        <w:pStyle w:val="TextoNormal"/>
      </w:pPr>
    </w:p>
    <w:p w14:paraId="3A33850C" w14:textId="50F4611B" w:rsidR="00F64776" w:rsidRDefault="00F64776" w:rsidP="00F64776">
      <w:pPr>
        <w:pStyle w:val="TextoNormal"/>
      </w:pPr>
      <w:r w:rsidRPr="00F64776">
        <w:rPr>
          <w:rStyle w:val="NumeroAFNegritaCaracter"/>
        </w:rPr>
        <w:t>2</w:t>
      </w:r>
      <w:r>
        <w:t>. Por escrito de 9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providencia de inadmisión del recurso de casación.</w:t>
      </w:r>
    </w:p>
    <w:p w14:paraId="4F702D32" w14:textId="77777777" w:rsidR="00F64776" w:rsidRDefault="00F64776" w:rsidP="00F64776">
      <w:pPr>
        <w:pStyle w:val="TextoNormal"/>
      </w:pPr>
    </w:p>
    <w:p w14:paraId="3C3A246B" w14:textId="77777777" w:rsidR="00F64776" w:rsidRDefault="00F64776" w:rsidP="00F64776">
      <w:pPr>
        <w:pStyle w:val="TextoNormalNegritaCentrado"/>
        <w:keepNext/>
      </w:pPr>
      <w:r>
        <w:t>II. Fundamentos jurídicos</w:t>
      </w:r>
    </w:p>
    <w:p w14:paraId="3C3A291A" w14:textId="1E479C0B" w:rsidR="00F64776" w:rsidRDefault="00F64776" w:rsidP="00F64776">
      <w:pPr>
        <w:pStyle w:val="TextoNormalNegritaCentrado"/>
        <w:keepNext/>
      </w:pPr>
    </w:p>
    <w:p w14:paraId="1901E8E2" w14:textId="0646E0DB"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1F1BC7C5" w14:textId="77777777" w:rsidR="00F64776" w:rsidRDefault="00F64776" w:rsidP="00F64776">
      <w:pPr>
        <w:pStyle w:val="TextoNormal"/>
      </w:pPr>
    </w:p>
    <w:p w14:paraId="5A8D5FBD" w14:textId="77777777" w:rsidR="00F64776" w:rsidRDefault="00F64776" w:rsidP="00F64776">
      <w:pPr>
        <w:pStyle w:val="TextoNormal"/>
      </w:pPr>
      <w:r>
        <w:t>Por lo expuesto, la Sala</w:t>
      </w:r>
    </w:p>
    <w:p w14:paraId="26E89C69" w14:textId="44C5279C" w:rsidR="00F64776" w:rsidRDefault="00F64776" w:rsidP="00F64776">
      <w:pPr>
        <w:pStyle w:val="TextoNormal"/>
      </w:pPr>
    </w:p>
    <w:p w14:paraId="70340009" w14:textId="77777777" w:rsidR="00F64776" w:rsidRDefault="00F64776" w:rsidP="00F64776">
      <w:pPr>
        <w:pStyle w:val="TextoNormalCentrado"/>
      </w:pPr>
      <w:r>
        <w:t>ACUERDA</w:t>
      </w:r>
    </w:p>
    <w:p w14:paraId="2D1B1C50" w14:textId="0419E35C" w:rsidR="00F64776" w:rsidRDefault="00F64776" w:rsidP="00F64776">
      <w:pPr>
        <w:pStyle w:val="TextoNormalCentrado"/>
      </w:pPr>
    </w:p>
    <w:p w14:paraId="5368413F" w14:textId="619BFFC7" w:rsidR="00F64776" w:rsidRDefault="00F64776" w:rsidP="00F64776">
      <w:pPr>
        <w:pStyle w:val="TextoNormal"/>
      </w:pPr>
      <w:r>
        <w:t>Estimar justificada la abstención formulada por el magistrado señor don César Tolosa Tribiño en el recurso de amparo núm. 7042-2021 y apartarle definitivamente del conocimiento del referido recurso y de todas sus incidencias.</w:t>
      </w:r>
    </w:p>
    <w:p w14:paraId="62D50F1C" w14:textId="77777777" w:rsidR="00F64776" w:rsidRDefault="00F64776" w:rsidP="00F64776">
      <w:pPr>
        <w:pStyle w:val="TextoNormal"/>
      </w:pPr>
    </w:p>
    <w:p w14:paraId="239CF745" w14:textId="77777777" w:rsidR="00F64776" w:rsidRDefault="00F64776" w:rsidP="00F64776">
      <w:pPr>
        <w:pStyle w:val="TextoNormal"/>
      </w:pPr>
      <w:r>
        <w:t>Madrid, a tres de julio de dos mil veintitrés.</w:t>
      </w:r>
    </w:p>
    <w:p w14:paraId="028EF4E7" w14:textId="4155E309" w:rsidR="00F64776" w:rsidRDefault="00F64776">
      <w:pPr>
        <w:spacing w:after="160" w:line="278" w:lineRule="auto"/>
        <w:rPr>
          <w:rFonts w:ascii="Times New Roman" w:eastAsia="Times New Roman" w:hAnsi="Times New Roman" w:cs="Times New Roman"/>
          <w:sz w:val="24"/>
          <w:szCs w:val="24"/>
          <w:lang w:eastAsia="es-ES"/>
        </w:rPr>
      </w:pPr>
      <w:r>
        <w:br w:type="page"/>
      </w:r>
    </w:p>
    <w:p w14:paraId="1E3AA532" w14:textId="77777777" w:rsidR="00F64776" w:rsidRDefault="00F64776" w:rsidP="00F64776">
      <w:pPr>
        <w:pStyle w:val="TtuloResolucin"/>
      </w:pPr>
      <w:bookmarkStart w:id="119" w:name="AUTO_2023_334"/>
      <w:r>
        <w:t>AUTO 334/2023, de 3 de julio de 2023</w:t>
      </w:r>
    </w:p>
    <w:bookmarkEnd w:id="119"/>
    <w:p w14:paraId="18D937D0" w14:textId="77777777" w:rsidR="00F64776" w:rsidRDefault="00F64776" w:rsidP="00F64776">
      <w:pPr>
        <w:pStyle w:val="TtuloResolucin"/>
      </w:pPr>
      <w:r>
        <w:t>Sala Primera</w:t>
      </w:r>
    </w:p>
    <w:p w14:paraId="718B9D2A" w14:textId="77777777" w:rsidR="00F64776" w:rsidRDefault="00F64776" w:rsidP="00F64776">
      <w:pPr>
        <w:pStyle w:val="TextoNormalCentrado"/>
      </w:pPr>
      <w:r>
        <w:t>ECLI:ES:TC:2023:334A</w:t>
      </w:r>
    </w:p>
    <w:p w14:paraId="6553CDE8" w14:textId="5B0F35B1" w:rsidR="00F64776" w:rsidRDefault="00F64776" w:rsidP="00F64776">
      <w:pPr>
        <w:pStyle w:val="TextoNormalCentrado"/>
      </w:pPr>
    </w:p>
    <w:p w14:paraId="286EF3D1" w14:textId="77777777" w:rsidR="00F64776" w:rsidRDefault="00F64776" w:rsidP="00F64776">
      <w:pPr>
        <w:pStyle w:val="SntesisDescriptiva"/>
      </w:pPr>
      <w:r>
        <w:t>Excms. Srs. don Cándido Conde-Pumpido Tourón, don Ricardo Enríquez Sancho, doña Concepción Espejel Jorquera, doña María Luisa Segoviano Astaburuaga y don Juan Carlos Campo Moreno.</w:t>
      </w:r>
    </w:p>
    <w:p w14:paraId="26A22C6D" w14:textId="368F0992" w:rsidR="00F64776" w:rsidRDefault="00F64776" w:rsidP="00F64776">
      <w:pPr>
        <w:pStyle w:val="SntesisDescriptiva"/>
      </w:pPr>
    </w:p>
    <w:p w14:paraId="10AF663F" w14:textId="77777777" w:rsidR="00F64776" w:rsidRDefault="00F64776" w:rsidP="00F64776">
      <w:pPr>
        <w:pStyle w:val="SntesisDescriptiva"/>
      </w:pPr>
      <w:r>
        <w:t>Deniega la suspensión en el recurso de amparo 921-2022, promovido por la entidad Auro New Transport Concept, S.L., en pleito civil.</w:t>
      </w:r>
    </w:p>
    <w:p w14:paraId="255F4A0F" w14:textId="53A8E03D" w:rsidR="00F64776" w:rsidRDefault="00F64776" w:rsidP="00F64776">
      <w:pPr>
        <w:pStyle w:val="SntesisDescriptiva"/>
      </w:pPr>
    </w:p>
    <w:p w14:paraId="6C2CDAD8" w14:textId="77777777" w:rsidR="00F64776" w:rsidRDefault="00F64776" w:rsidP="00F64776">
      <w:pPr>
        <w:pStyle w:val="SntesisDescriptiva"/>
      </w:pPr>
    </w:p>
    <w:p w14:paraId="676E976F" w14:textId="77777777" w:rsidR="00F64776" w:rsidRDefault="00F64776" w:rsidP="00F64776">
      <w:pPr>
        <w:pStyle w:val="SntesisDescriptiva"/>
      </w:pPr>
    </w:p>
    <w:p w14:paraId="490497D2" w14:textId="77777777" w:rsidR="00F64776" w:rsidRDefault="00F64776" w:rsidP="00F64776">
      <w:pPr>
        <w:pStyle w:val="TextoNormalNegritaCentrado"/>
      </w:pPr>
      <w:r>
        <w:t>AUTO</w:t>
      </w:r>
    </w:p>
    <w:p w14:paraId="16D14EED" w14:textId="76CD9CC8" w:rsidR="00F64776" w:rsidRDefault="00F64776" w:rsidP="00F64776">
      <w:pPr>
        <w:pStyle w:val="TextoNormalNegritaCentrado"/>
      </w:pPr>
    </w:p>
    <w:p w14:paraId="1817F3A7" w14:textId="77777777" w:rsidR="00F64776" w:rsidRDefault="00F64776" w:rsidP="00F64776">
      <w:pPr>
        <w:pStyle w:val="TextoNormalNegritaCentrado"/>
        <w:keepNext/>
      </w:pPr>
      <w:r>
        <w:t>I. Antecedentes</w:t>
      </w:r>
    </w:p>
    <w:p w14:paraId="46ED5861" w14:textId="1A646233" w:rsidR="00F64776" w:rsidRDefault="00F64776" w:rsidP="00F64776">
      <w:pPr>
        <w:pStyle w:val="TextoNormalNegritaCentrado"/>
        <w:keepNext/>
      </w:pPr>
    </w:p>
    <w:p w14:paraId="58B1CAC8" w14:textId="2FE13D58" w:rsidR="00F64776" w:rsidRDefault="00F64776" w:rsidP="00F64776">
      <w:pPr>
        <w:pStyle w:val="TextoNormal"/>
      </w:pPr>
      <w:r w:rsidRPr="00F64776">
        <w:rPr>
          <w:rStyle w:val="NumeroAFNegritaCaracter"/>
        </w:rPr>
        <w:t>1</w:t>
      </w:r>
      <w:r>
        <w:t>. Con fecha 11 de febrero de 2022 tuvo entrada en el registro general de este Tribunal Constitucional un escrito del procurador de los tribunales don Ramón Rodríguez Nogueira, actuando en representación de Auro New Transport Concept, S.L., y bajo la defensa del abogado don Miguel Moscardó Morales-Vara del Rey y la abogada doña María Luisa García-Blanco, por el que interpuso recurso de amparo núm. 921-2022 contra (i) la sentencia de la Sala de lo Civil y Penal del Tribunal Superior de Justicia de Madrid, de 22 de octubre de 2021, recaída en el asunto civil núm. 24-2021, procedimiento de anulación de laudo arbitral núm. 17-2021; y (ii) contra el auto de la misma Sala del 11 de enero de 2022, que desestimó el incidente de nulidad de actuaciones formulado frente a aquella sentencia (auto de 11 de enero de 2022, aclarado a su vez por otro auto posterior de 25 de enero de 2022 que denegó completar o corregir al anterior).</w:t>
      </w:r>
    </w:p>
    <w:p w14:paraId="3557A6B1" w14:textId="77777777" w:rsidR="00F64776" w:rsidRDefault="00F64776" w:rsidP="00F64776">
      <w:pPr>
        <w:pStyle w:val="TextoNormal"/>
      </w:pPr>
    </w:p>
    <w:p w14:paraId="763E900D" w14:textId="77777777" w:rsidR="00F64776" w:rsidRDefault="00F64776" w:rsidP="00F64776">
      <w:pPr>
        <w:pStyle w:val="TextoNormal"/>
      </w:pPr>
      <w:r w:rsidRPr="00F64776">
        <w:rPr>
          <w:rStyle w:val="NumeroAFNegritaCaracter"/>
        </w:rPr>
        <w:t>2</w:t>
      </w:r>
      <w:r>
        <w:t>. Los hechos relevantes para la resolución de esta pieza de suspensión son los siguientes:</w:t>
      </w:r>
    </w:p>
    <w:p w14:paraId="1E5E16D5" w14:textId="77777777" w:rsidR="00F64776" w:rsidRDefault="00F64776" w:rsidP="00F64776">
      <w:pPr>
        <w:pStyle w:val="TextoNormal"/>
      </w:pPr>
    </w:p>
    <w:p w14:paraId="51C9312B" w14:textId="77777777" w:rsidR="00F64776" w:rsidRDefault="00F64776" w:rsidP="00F64776">
      <w:pPr>
        <w:pStyle w:val="TextoNormal"/>
      </w:pPr>
      <w:r>
        <w:t>A) Laudo definitivo dictado</w:t>
      </w:r>
    </w:p>
    <w:p w14:paraId="20D9B0D7" w14:textId="77777777" w:rsidR="00F64776" w:rsidRDefault="00F64776" w:rsidP="00F64776">
      <w:pPr>
        <w:pStyle w:val="TextoNormal"/>
      </w:pPr>
    </w:p>
    <w:p w14:paraId="15EF7EAD" w14:textId="77777777" w:rsidR="00F64776" w:rsidRDefault="00F64776" w:rsidP="00F64776">
      <w:pPr>
        <w:pStyle w:val="TextoNormal"/>
      </w:pPr>
      <w:r>
        <w:t>Con fecha 29 de diciembre de 2020, el Tribunal Arbitral de la Corte de Arbitraje de la Cámara Oficial de Comercio, Industria y Servicios de Madrid, constituido para resolver el asunto CAM 2956-19/AM-SG planteado entre la entidad Maxi Mobility Spain, S.L.U., como demandante, y la entidad Auro New Transport Concept, S.L., como demandada, dictó un laudo final por mayoría de dos de los tres árbitros designados, al que se acompañó un voto particular discrepante del tercer árbitro designado.</w:t>
      </w:r>
    </w:p>
    <w:p w14:paraId="420AAC21" w14:textId="77777777" w:rsidR="00F64776" w:rsidRDefault="00F64776" w:rsidP="00F64776">
      <w:pPr>
        <w:pStyle w:val="TextoNormal"/>
      </w:pPr>
    </w:p>
    <w:p w14:paraId="26168B30" w14:textId="77777777" w:rsidR="00F64776" w:rsidRDefault="00F64776" w:rsidP="00F64776">
      <w:pPr>
        <w:pStyle w:val="TextoNormal"/>
      </w:pPr>
      <w:r>
        <w:t>a) El laudo tiene esta parte dispositiva:</w:t>
      </w:r>
    </w:p>
    <w:p w14:paraId="2848C606" w14:textId="77777777" w:rsidR="00F64776" w:rsidRDefault="00F64776" w:rsidP="00F64776">
      <w:pPr>
        <w:pStyle w:val="TextoNormal"/>
      </w:pPr>
    </w:p>
    <w:p w14:paraId="795EE6D2" w14:textId="77777777" w:rsidR="00F64776" w:rsidRDefault="00F64776" w:rsidP="00F64776">
      <w:pPr>
        <w:pStyle w:val="TextoNormal"/>
      </w:pPr>
      <w:r>
        <w:t xml:space="preserve">“404. Por las razones expuestas, el Tribunal Arbitral resuelve, por mayoría, tomando en cuenta los respectivos </w:t>
      </w:r>
      <w:r w:rsidRPr="00F64776">
        <w:rPr>
          <w:i/>
        </w:rPr>
        <w:t>petita</w:t>
      </w:r>
      <w:r>
        <w:t xml:space="preserve"> de las partes, lo siguiente:</w:t>
      </w:r>
    </w:p>
    <w:p w14:paraId="096501BA" w14:textId="77777777" w:rsidR="00F64776" w:rsidRDefault="00F64776" w:rsidP="00F64776">
      <w:pPr>
        <w:pStyle w:val="TextoNormal"/>
      </w:pPr>
    </w:p>
    <w:p w14:paraId="3498169B" w14:textId="77777777" w:rsidR="00F64776" w:rsidRDefault="00F64776" w:rsidP="00F64776">
      <w:pPr>
        <w:pStyle w:val="TextoNormal"/>
      </w:pPr>
      <w:r>
        <w:t>1. Declarar la nulidad de pleno derecho de las cláusulas 2.2 y 10 g) e (i) del contrato, por infringir el artículo 1.1 LDC [Ley 15/2007, de 3 de julio, de defensa de la competencia], estimando que dicha nulidad tiene efecto desde la firma de dicho contrato, el día 5 de diciembre de 2018, no habiendo lugar a restitución de las obligaciones de las partes en relación con las obligaciones de ambas surgidas al amparo de estas dos cláusulas.</w:t>
      </w:r>
    </w:p>
    <w:p w14:paraId="4D744881" w14:textId="77777777" w:rsidR="00F64776" w:rsidRDefault="00F64776" w:rsidP="00F64776">
      <w:pPr>
        <w:pStyle w:val="TextoNormal"/>
      </w:pPr>
    </w:p>
    <w:p w14:paraId="278209DD" w14:textId="77777777" w:rsidR="00F64776" w:rsidRDefault="00F64776" w:rsidP="00F64776">
      <w:pPr>
        <w:pStyle w:val="TextoNormal"/>
      </w:pPr>
      <w:r>
        <w:t>2. Como consecuencia del pronunciamiento anterior, estimatorio de la pretensión principal de Auro en la contestación a la demanda, no procede pronunciamiento alguno respecto de las pretensiones formuladas por Cabify consistentes en (i) la declaración de incumplimiento por Auro de la obligación de no competencia establecida en la cláusula 2.2 del contrato, (ii) la condena a Auro a cesar inmediatamente de operar las licencias VTC [vehículos de turismo con conductor] adscritas a la Plataforma Cabify a través de Auro Travel y (iii) la condena a Auro a abonar a Cabify la cuantía de 41 796 713,22 € en concepto de penalización prevista en la cláusula 10 del contrato; y decaen también las pretensiones subsidiarias formuladas por Auro.</w:t>
      </w:r>
    </w:p>
    <w:p w14:paraId="06D1EEA6" w14:textId="77777777" w:rsidR="00F64776" w:rsidRDefault="00F64776" w:rsidP="00F64776">
      <w:pPr>
        <w:pStyle w:val="TextoNormal"/>
      </w:pPr>
    </w:p>
    <w:p w14:paraId="7FA89AB1" w14:textId="77777777" w:rsidR="00F64776" w:rsidRDefault="00F64776" w:rsidP="00F64776">
      <w:pPr>
        <w:pStyle w:val="TextoNormal"/>
      </w:pPr>
      <w:r>
        <w:t>3. Declarar su competencia para decidir exclusivamente acerca de los incumplimientos contractuales imputados Cabify [</w:t>
      </w:r>
      <w:r w:rsidRPr="00F64776">
        <w:rPr>
          <w:i/>
        </w:rPr>
        <w:t>sic</w:t>
      </w:r>
      <w:r>
        <w:t>] consistentes en ‘[l]a falta de pago del Service Fee’ y ‘[l]a incorporación de nuevos vehículos. Expansión geográfica’.</w:t>
      </w:r>
    </w:p>
    <w:p w14:paraId="72B4B01F" w14:textId="77777777" w:rsidR="00F64776" w:rsidRDefault="00F64776" w:rsidP="00F64776">
      <w:pPr>
        <w:pStyle w:val="TextoNormal"/>
      </w:pPr>
    </w:p>
    <w:p w14:paraId="0B14C3A6" w14:textId="77777777" w:rsidR="00F64776" w:rsidRDefault="00F64776" w:rsidP="00F64776">
      <w:pPr>
        <w:pStyle w:val="TextoNormal"/>
      </w:pPr>
      <w:r>
        <w:t>4. Rechazar la declaración de incumplimientos contractuales formulados por Auro frente a Cabify en relación con ‘[l]a falta de pago del Service Fee’ y ‘[l]a incorporación de nuevos vehículos. Expansión geográfica’ y, en consecuencia, rechazar la declaración de resolución del contrato y la indemnización de los daños y perjuicios por estos conceptos.</w:t>
      </w:r>
    </w:p>
    <w:p w14:paraId="109F440E" w14:textId="77777777" w:rsidR="00F64776" w:rsidRDefault="00F64776" w:rsidP="00F64776">
      <w:pPr>
        <w:pStyle w:val="TextoNormal"/>
      </w:pPr>
    </w:p>
    <w:p w14:paraId="00B19E7D" w14:textId="77777777" w:rsidR="00F64776" w:rsidRDefault="00F64776" w:rsidP="00F64776">
      <w:pPr>
        <w:pStyle w:val="TextoNormal"/>
      </w:pPr>
      <w:r>
        <w:t>5. Rechazar la condena a Cabify al abono de los intereses.</w:t>
      </w:r>
    </w:p>
    <w:p w14:paraId="2DA46A2D" w14:textId="77777777" w:rsidR="00F64776" w:rsidRDefault="00F64776" w:rsidP="00F64776">
      <w:pPr>
        <w:pStyle w:val="TextoNormal"/>
      </w:pPr>
    </w:p>
    <w:p w14:paraId="2B1F688A" w14:textId="77777777" w:rsidR="00F64776" w:rsidRDefault="00F64776" w:rsidP="00F64776">
      <w:pPr>
        <w:pStyle w:val="TextoNormal"/>
      </w:pPr>
      <w:r>
        <w:t>6. No hacer imposición de las costas del arbitraje, debiendo satisfacer las partes los gastos comunes del arbitraje a partes iguales y haciéndose cargo cada parte de sus propios gastos de defensa. A tales efectos, se deja constancia de que Auro adeuda a Cabify 6086,40 € en concepto de gastos comunes del arbitraje que deberán ser reintegrados a Cabify por Auro.</w:t>
      </w:r>
    </w:p>
    <w:p w14:paraId="1253E6B8" w14:textId="77777777" w:rsidR="00F64776" w:rsidRDefault="00F64776" w:rsidP="00F64776">
      <w:pPr>
        <w:pStyle w:val="TextoNormal"/>
      </w:pPr>
    </w:p>
    <w:p w14:paraId="1B973195" w14:textId="77777777" w:rsidR="00F64776" w:rsidRDefault="00F64776" w:rsidP="00F64776">
      <w:pPr>
        <w:pStyle w:val="TextoNormal"/>
      </w:pPr>
      <w:r>
        <w:t>7. Rechazar cualesquiera otras pretensiones principales y/o subsidiarias de cualesquiera de las partes que no hayan sido expresamente acogidas y estimadas en la parte dispositiva de este laudo final”.</w:t>
      </w:r>
    </w:p>
    <w:p w14:paraId="05D7C14C" w14:textId="77777777" w:rsidR="00F64776" w:rsidRDefault="00F64776" w:rsidP="00F64776">
      <w:pPr>
        <w:pStyle w:val="TextoNormal"/>
      </w:pPr>
    </w:p>
    <w:p w14:paraId="62A0F272" w14:textId="77777777" w:rsidR="00F64776" w:rsidRDefault="00F64776" w:rsidP="00F64776">
      <w:pPr>
        <w:pStyle w:val="TextoNormal"/>
      </w:pPr>
      <w:r>
        <w:t>b) En lo que importa al presente recurso de amparo, en el del laudo final se incluyen los siguientes razonamientos:</w:t>
      </w:r>
    </w:p>
    <w:p w14:paraId="3BBCB324" w14:textId="77777777" w:rsidR="00F64776" w:rsidRDefault="00F64776" w:rsidP="00F64776">
      <w:pPr>
        <w:pStyle w:val="TextoNormal"/>
      </w:pPr>
    </w:p>
    <w:p w14:paraId="6B4B4EEB" w14:textId="77777777" w:rsidR="00F64776" w:rsidRDefault="00F64776" w:rsidP="00F64776">
      <w:pPr>
        <w:pStyle w:val="TextoNormal"/>
      </w:pPr>
      <w:r>
        <w:t>“XI. Sobre el fondo de la disputa: decisión sobre las pretensiones de las partes</w:t>
      </w:r>
    </w:p>
    <w:p w14:paraId="2B1722B4" w14:textId="77777777" w:rsidR="00F64776" w:rsidRDefault="00F64776" w:rsidP="00F64776">
      <w:pPr>
        <w:pStyle w:val="TextoNormal"/>
      </w:pPr>
    </w:p>
    <w:p w14:paraId="28AD2769" w14:textId="77777777" w:rsidR="00F64776" w:rsidRDefault="00F64776" w:rsidP="00F64776">
      <w:pPr>
        <w:pStyle w:val="TextoNormal"/>
      </w:pPr>
      <w:r>
        <w:t>A) La nulidad de la cláusula 2.2 y cláusulas vinculadas del contrato solicitada por Auro</w:t>
      </w:r>
    </w:p>
    <w:p w14:paraId="0DF35D71" w14:textId="77777777" w:rsidR="00F64776" w:rsidRDefault="00F64776" w:rsidP="00F64776">
      <w:pPr>
        <w:pStyle w:val="TextoNormal"/>
      </w:pPr>
    </w:p>
    <w:p w14:paraId="5FF57176" w14:textId="77777777" w:rsidR="00F64776" w:rsidRDefault="00F64776" w:rsidP="00F64776">
      <w:pPr>
        <w:pStyle w:val="TextoNormal"/>
      </w:pPr>
      <w:r>
        <w:t>[…]</w:t>
      </w:r>
    </w:p>
    <w:p w14:paraId="599D6666" w14:textId="77777777" w:rsidR="00F64776" w:rsidRDefault="00F64776" w:rsidP="00F64776">
      <w:pPr>
        <w:pStyle w:val="TextoNormal"/>
      </w:pPr>
    </w:p>
    <w:p w14:paraId="4C53B2FE" w14:textId="77777777" w:rsidR="00F64776" w:rsidRDefault="00F64776" w:rsidP="00F64776">
      <w:pPr>
        <w:pStyle w:val="TextoNormal"/>
      </w:pPr>
      <w:r>
        <w:t>(ii) Análisis del Tribunal Arbitral</w:t>
      </w:r>
    </w:p>
    <w:p w14:paraId="11F9C7E0" w14:textId="77777777" w:rsidR="00F64776" w:rsidRDefault="00F64776" w:rsidP="00F64776">
      <w:pPr>
        <w:pStyle w:val="TextoNormal"/>
      </w:pPr>
    </w:p>
    <w:p w14:paraId="5587221A" w14:textId="77777777" w:rsidR="00F64776" w:rsidRDefault="00F64776" w:rsidP="00F64776">
      <w:pPr>
        <w:pStyle w:val="TextoNormal"/>
      </w:pPr>
      <w:r>
        <w:t>[…]</w:t>
      </w:r>
    </w:p>
    <w:p w14:paraId="36812E45" w14:textId="77777777" w:rsidR="00F64776" w:rsidRDefault="00F64776" w:rsidP="00F64776">
      <w:pPr>
        <w:pStyle w:val="TextoNormal"/>
      </w:pPr>
    </w:p>
    <w:p w14:paraId="5CF99B08" w14:textId="77777777" w:rsidR="00F64776" w:rsidRDefault="00F64776" w:rsidP="00F64776">
      <w:pPr>
        <w:pStyle w:val="TextoNormal"/>
      </w:pPr>
      <w:r>
        <w:t>284. La conducta analizada por la resolución se enmarca en las regiones en las cuales operan las demandadas, e incluyen Madrid, Barcelona, Valencia, Sevilla, Málaga y Alicante por parte de Cabify. Uber no está presente en el momento de la resolución ni en Valencia ni en Alicante. Por su parte, Mytaxi está presente en Barcelona, Madrid, Valencia y Sevilla. Por todo ello, la resolución indica que el mercado geográfico relevante sería autonómico, ‘abarcando la conducta denunciada a varias CCAA’, si bien resulta apropiado dejar la definición de mercado abierta ya que las conclusiones del análisis no varían en virtud de la definición de mercado establecida.</w:t>
      </w:r>
    </w:p>
    <w:p w14:paraId="728F3362" w14:textId="77777777" w:rsidR="00F64776" w:rsidRDefault="00F64776" w:rsidP="00F64776">
      <w:pPr>
        <w:pStyle w:val="TextoNormal"/>
      </w:pPr>
    </w:p>
    <w:p w14:paraId="4530F247" w14:textId="77777777" w:rsidR="00F64776" w:rsidRDefault="00F64776" w:rsidP="00F64776">
      <w:pPr>
        <w:pStyle w:val="TextoNormal"/>
      </w:pPr>
      <w:r>
        <w:t>[…]</w:t>
      </w:r>
    </w:p>
    <w:p w14:paraId="724B0F6B" w14:textId="77777777" w:rsidR="00F64776" w:rsidRDefault="00F64776" w:rsidP="00F64776">
      <w:pPr>
        <w:pStyle w:val="TextoNormal"/>
      </w:pPr>
    </w:p>
    <w:p w14:paraId="00DACD0E" w14:textId="77777777" w:rsidR="00F64776" w:rsidRDefault="00F64776" w:rsidP="00F64776">
      <w:pPr>
        <w:pStyle w:val="TextoNormal"/>
      </w:pPr>
      <w:r>
        <w:t>286. Sobre el mercado relevante, y en especial sobre su conformación fáctica, las partes han debatido a lo largo del procedimiento intensamente, sin perjuicio de que, en todo caso, el Tribunal Arbitral estaba obligado a determinarlo incluso de oficio para poder llegar a la solución del problema, que es lo que exige la redacción debida de este laudo final. Ello porque para decidir sobre la nulidad de la cláusula 2.2 solicitada, es inevitable decidir sobre la realidad en la que la cláusula se aplica. Además, no conviene olvidar que, en materia de nulidad, la cuestión es de derecho imperativo y en buena medida de orden público. A este respecto, el Tribunal Arbitral, por unanimidad o por mayoría, debe decidir sobre la nulidad invocada con la misma fuerza con la que lo haría la jurisdicción ordinaria o el regulador. El deber de control de oficio además hace irrelevante el juicio sobre la conducta, oportunista o no, de la parte que plantea la nulidad.</w:t>
      </w:r>
    </w:p>
    <w:p w14:paraId="4A531275" w14:textId="77777777" w:rsidR="00F64776" w:rsidRDefault="00F64776" w:rsidP="00F64776">
      <w:pPr>
        <w:pStyle w:val="TextoNormal"/>
      </w:pPr>
    </w:p>
    <w:p w14:paraId="183ADABA" w14:textId="77777777" w:rsidR="00F64776" w:rsidRDefault="00F64776" w:rsidP="00F64776">
      <w:pPr>
        <w:pStyle w:val="TextoNormal"/>
      </w:pPr>
      <w:r>
        <w:t>[…]</w:t>
      </w:r>
    </w:p>
    <w:p w14:paraId="1DAE3011" w14:textId="77777777" w:rsidR="00F64776" w:rsidRDefault="00F64776" w:rsidP="00F64776">
      <w:pPr>
        <w:pStyle w:val="TextoNormal"/>
      </w:pPr>
    </w:p>
    <w:p w14:paraId="0CF5E50E" w14:textId="77777777" w:rsidR="00F64776" w:rsidRDefault="00F64776" w:rsidP="00F64776">
      <w:pPr>
        <w:pStyle w:val="TextoNormal"/>
      </w:pPr>
      <w:r>
        <w:t>288. Por tanto, el Tribunal Arbitral por mayoría entiende que el mercado de producto relevante en este supuesto, en el que lo que se discute es si la conducta de Cabify implica una restricción de la competencia respecto de quienes pueden ser o son ya operadores, no tiene en este caso la extensión que pretende darle el profesor Alfaro [experto], que incluye los 63 989 taxis que circulan en España, sino solo aquellos de los 16 500 VTC a que también se refiere el propio profesor, junto a aquellos taxis conectados a una plataforma tecnológica que además operen en las ciudades en que operan Cabify y su flota, y Uber y, en su caso, Mytaxi u otra plataforma de VTC, tesis esta más cercana a lo que sostiene el profesor Illescas [experto], si bien incluyendo los taxis con app, y no solo a los dos claros operadores significativos de este mercado, Cabify y Uber.</w:t>
      </w:r>
    </w:p>
    <w:p w14:paraId="3664B289" w14:textId="77777777" w:rsidR="00F64776" w:rsidRDefault="00F64776" w:rsidP="00F64776">
      <w:pPr>
        <w:pStyle w:val="TextoNormal"/>
      </w:pPr>
    </w:p>
    <w:p w14:paraId="416F9C06" w14:textId="77777777" w:rsidR="00F64776" w:rsidRDefault="00F64776" w:rsidP="00F64776">
      <w:pPr>
        <w:pStyle w:val="TextoNormal"/>
      </w:pPr>
      <w:r>
        <w:t>[…]</w:t>
      </w:r>
    </w:p>
    <w:p w14:paraId="211DF2BC" w14:textId="77777777" w:rsidR="00F64776" w:rsidRDefault="00F64776" w:rsidP="00F64776">
      <w:pPr>
        <w:pStyle w:val="TextoNormal"/>
      </w:pPr>
    </w:p>
    <w:p w14:paraId="7CB3FCFB" w14:textId="77777777" w:rsidR="00F64776" w:rsidRDefault="00F64776" w:rsidP="00F64776">
      <w:pPr>
        <w:pStyle w:val="TextoNormal"/>
      </w:pPr>
      <w:r>
        <w:t>293. Centrado el punto del mercado relevante, y pasando al análisis del Derecho de la competencia, es claro que la legislación aplicable para analizar la posible infracción en materia de restricción de la competencia es la legislación española, no la comunitaria, sin perjuicio del carácter orientador que esta última tiene siempre y, por supuesto, teniendo en cuenta, en su caso, su función subsidiaria o supletoria cuando así se establezca o proceda.</w:t>
      </w:r>
    </w:p>
    <w:p w14:paraId="4DCD90D9" w14:textId="77777777" w:rsidR="00F64776" w:rsidRDefault="00F64776" w:rsidP="00F64776">
      <w:pPr>
        <w:pStyle w:val="TextoNormal"/>
      </w:pPr>
    </w:p>
    <w:p w14:paraId="23427406" w14:textId="77777777" w:rsidR="00F64776" w:rsidRDefault="00F64776" w:rsidP="00F64776">
      <w:pPr>
        <w:pStyle w:val="TextoNormal"/>
      </w:pPr>
      <w:r>
        <w:t>Existe un consenso doctrinal generalizado sobre el hecho de que el criterio que sirve para delimitar el ámbito de aplicación de las normas en materia de control de conductas es el elemento de la afectación del comercio, siendo claro en este caso que la conducta que se le imputa a Cabify afectaría en todo caso exclusivamente al mercado nacional, por lo que decaería el problema de la dualidad normativa [se abre nota al pie con cita de doctrina científica].</w:t>
      </w:r>
    </w:p>
    <w:p w14:paraId="3F1C2203" w14:textId="77777777" w:rsidR="00F64776" w:rsidRDefault="00F64776" w:rsidP="00F64776">
      <w:pPr>
        <w:pStyle w:val="TextoNormal"/>
      </w:pPr>
    </w:p>
    <w:p w14:paraId="234B696C" w14:textId="77777777" w:rsidR="00F64776" w:rsidRDefault="00F64776" w:rsidP="00F64776">
      <w:pPr>
        <w:pStyle w:val="TextoNormal"/>
      </w:pPr>
      <w:r>
        <w:t>294. Por lo tanto, serán la LDC y el RDC [Real Decreto 261/2008, de 22 de febrero, por el que se aprueba el Reglamento de defensa de la competencia] y la LCD [Ley 3/1991, de 10 de enero, de competencia desleal] las normas básicas a tener en cuenta para formar el criterio mayoritario del Tribunal Arbitral. Aunque las partes y los expertos han debatido extensamente este extremo, no parece que la cuestión requiera mayor fundamentación. El carácter orientador y de guía interpretativa del Derecho europeo en cuestiones de Derecho interno de la Competencia no puede ser puesto en duda. Su alcance obviamente dependerá de la cuestión de que se trate, como se verá.</w:t>
      </w:r>
    </w:p>
    <w:p w14:paraId="79D54CCD" w14:textId="77777777" w:rsidR="00F64776" w:rsidRDefault="00F64776" w:rsidP="00F64776">
      <w:pPr>
        <w:pStyle w:val="TextoNormal"/>
      </w:pPr>
    </w:p>
    <w:p w14:paraId="0411938F" w14:textId="77777777" w:rsidR="00F64776" w:rsidRDefault="00F64776" w:rsidP="00F64776">
      <w:pPr>
        <w:pStyle w:val="TextoNormal"/>
      </w:pPr>
      <w:r>
        <w:t>295. Son dos las infracciones de la competencia en las que Auro entiende que ha incurrido Cabify. La primera es la infracción del artículo 1.2 LDC, que implica una restricción indebida de la competencia, al impedir que Auro pueda operar independientemente en el mismo mercado que Cabify, lo que lleva a analizar si la cláusula 2.2 del contrato restringe la competencia, bien por su objeto, bien por sus efectos; y, en segundo lugar, si, de acuerdo con el artículo 16.2 LCD, Auro se encuentra en una situación de dependencia económica respecto de Cabify que constituye un supuesto de competencia desleal de esta respecto de aquella.</w:t>
      </w:r>
    </w:p>
    <w:p w14:paraId="5F4C7450" w14:textId="77777777" w:rsidR="00F64776" w:rsidRDefault="00F64776" w:rsidP="00F64776">
      <w:pPr>
        <w:pStyle w:val="TextoNormal"/>
      </w:pPr>
    </w:p>
    <w:p w14:paraId="327CBB4C" w14:textId="77777777" w:rsidR="00F64776" w:rsidRDefault="00F64776" w:rsidP="00F64776">
      <w:pPr>
        <w:pStyle w:val="TextoNormal"/>
      </w:pPr>
      <w:r>
        <w:t>296. Respecto del primero de los dos posibles motivos —la actuación contraria a la competencia por parte de Cabify— procede señalar que para que la misma sea apreciada debemos estar ante prácticas colusorias en los términos del artículo 1.1 LDC:</w:t>
      </w:r>
    </w:p>
    <w:p w14:paraId="4896A4DE" w14:textId="77777777" w:rsidR="00F64776" w:rsidRDefault="00F64776" w:rsidP="00F64776">
      <w:pPr>
        <w:pStyle w:val="TextoNormal"/>
      </w:pPr>
    </w:p>
    <w:p w14:paraId="7FDF5723" w14:textId="77777777" w:rsidR="00F64776" w:rsidRDefault="00F64776" w:rsidP="00F64776">
      <w:pPr>
        <w:pStyle w:val="TextoNormal"/>
      </w:pPr>
      <w:r>
        <w:t>‘Se prohíbe todo acuerdo, decisión o recomendación colectiva, o práctica concertada o conscientemente paralela que tenga por objeto, produzca o pueda producir el efecto de impedir, restringir o falsear la competencia en todo o parte del mercado nacional y, en particular, los que consistan en:</w:t>
      </w:r>
    </w:p>
    <w:p w14:paraId="55E05D78" w14:textId="77777777" w:rsidR="00F64776" w:rsidRDefault="00F64776" w:rsidP="00F64776">
      <w:pPr>
        <w:pStyle w:val="TextoNormal"/>
      </w:pPr>
    </w:p>
    <w:p w14:paraId="7E47F3EA" w14:textId="77777777" w:rsidR="00F64776" w:rsidRDefault="00F64776" w:rsidP="00F64776">
      <w:pPr>
        <w:pStyle w:val="TextoNormal"/>
      </w:pPr>
      <w:r>
        <w:t>a) La fijación, de forma directa o indirecta, de precios o de otras condiciones comerciales o de servicio.</w:t>
      </w:r>
    </w:p>
    <w:p w14:paraId="2F9CC54D" w14:textId="77777777" w:rsidR="00F64776" w:rsidRDefault="00F64776" w:rsidP="00F64776">
      <w:pPr>
        <w:pStyle w:val="TextoNormal"/>
      </w:pPr>
    </w:p>
    <w:p w14:paraId="16D4F859" w14:textId="77777777" w:rsidR="00F64776" w:rsidRDefault="00F64776" w:rsidP="00F64776">
      <w:pPr>
        <w:pStyle w:val="TextoNormal"/>
      </w:pPr>
      <w:r>
        <w:t>b) La limitación o el control de la producción, la distribución, el desarrollo técnico o las inversiones.</w:t>
      </w:r>
    </w:p>
    <w:p w14:paraId="02EF40BC" w14:textId="77777777" w:rsidR="00F64776" w:rsidRDefault="00F64776" w:rsidP="00F64776">
      <w:pPr>
        <w:pStyle w:val="TextoNormal"/>
      </w:pPr>
    </w:p>
    <w:p w14:paraId="3ABB11A7" w14:textId="77777777" w:rsidR="00F64776" w:rsidRDefault="00F64776" w:rsidP="00F64776">
      <w:pPr>
        <w:pStyle w:val="TextoNormal"/>
      </w:pPr>
      <w:r>
        <w:t>c) El reparto del mercado o de las fuentes de aprovisionamiento.</w:t>
      </w:r>
    </w:p>
    <w:p w14:paraId="7C53FFA2" w14:textId="77777777" w:rsidR="00F64776" w:rsidRDefault="00F64776" w:rsidP="00F64776">
      <w:pPr>
        <w:pStyle w:val="TextoNormal"/>
      </w:pPr>
    </w:p>
    <w:p w14:paraId="2F7DF925" w14:textId="77777777" w:rsidR="00F64776" w:rsidRDefault="00F64776" w:rsidP="00F64776">
      <w:pPr>
        <w:pStyle w:val="TextoNormal"/>
      </w:pPr>
      <w:r>
        <w:t>d) La aplicación, en las relaciones comerciales o de servicio, de condiciones desiguales para prestaciones equivalentes que coloquen a unos competidores en situación desventajosa frente a otros.</w:t>
      </w:r>
    </w:p>
    <w:p w14:paraId="39883B9C" w14:textId="77777777" w:rsidR="00F64776" w:rsidRDefault="00F64776" w:rsidP="00F64776">
      <w:pPr>
        <w:pStyle w:val="TextoNormal"/>
      </w:pPr>
    </w:p>
    <w:p w14:paraId="3C2AAADB" w14:textId="77777777" w:rsidR="00F64776" w:rsidRDefault="00F64776" w:rsidP="00F64776">
      <w:pPr>
        <w:pStyle w:val="TextoNormal"/>
      </w:pPr>
      <w:r>
        <w:t>e) La subordinación de la celebración de contratos a la aceptación de prestaciones suplementarias que, por su naturaleza o con arreglo a los usos de comercio, no guarden relación con el objeto de tales contratos’.</w:t>
      </w:r>
    </w:p>
    <w:p w14:paraId="53CC2299" w14:textId="77777777" w:rsidR="00F64776" w:rsidRDefault="00F64776" w:rsidP="00F64776">
      <w:pPr>
        <w:pStyle w:val="TextoNormal"/>
      </w:pPr>
    </w:p>
    <w:p w14:paraId="4C311631" w14:textId="77777777" w:rsidR="00F64776" w:rsidRDefault="00F64776" w:rsidP="00F64776">
      <w:pPr>
        <w:pStyle w:val="TextoNormal"/>
      </w:pPr>
      <w:r>
        <w:t>297. En definitiva, la actuación es contraria a la competencia si, aparte de encajar en las citadas categorías del artículo 1.1 LDC, conlleva una afectación a la competencia en tanto en cuanto tenga por objeto o por efecto (‘produzcan o puedan producir el efecto’ en los términos del artículo 1.1 LDC) impedir, restringir o falsear la competencia en todo o en parte del mercado nacional, no estando por otra parte incursa en una excepción por categorías a las que alude el artículo 1.4 LDC, que se refiere a las contempladas por el apartado 3 del artículo 81 del Tratado CE, o cuando no se trate de una conducta de menor importancia a las que alude el artículo 5 LDC (reg</w:t>
      </w:r>
      <w:r w:rsidRPr="00F64776">
        <w:rPr>
          <w:i/>
        </w:rPr>
        <w:t>la ‘de min</w:t>
      </w:r>
      <w:r>
        <w:t>imis’).</w:t>
      </w:r>
    </w:p>
    <w:p w14:paraId="6DD0D27C" w14:textId="77777777" w:rsidR="00F64776" w:rsidRDefault="00F64776" w:rsidP="00F64776">
      <w:pPr>
        <w:pStyle w:val="TextoNormal"/>
      </w:pPr>
    </w:p>
    <w:p w14:paraId="357EC516" w14:textId="77777777" w:rsidR="00F64776" w:rsidRDefault="00F64776" w:rsidP="00F64776">
      <w:pPr>
        <w:pStyle w:val="TextoNormal"/>
      </w:pPr>
      <w:r>
        <w:t>[…]</w:t>
      </w:r>
    </w:p>
    <w:p w14:paraId="68931A46" w14:textId="77777777" w:rsidR="00F64776" w:rsidRDefault="00F64776" w:rsidP="00F64776">
      <w:pPr>
        <w:pStyle w:val="TextoNormal"/>
      </w:pPr>
    </w:p>
    <w:p w14:paraId="57B9F560" w14:textId="77777777" w:rsidR="00F64776" w:rsidRDefault="00F64776" w:rsidP="00F64776">
      <w:pPr>
        <w:pStyle w:val="TextoNormal"/>
      </w:pPr>
      <w:r>
        <w:t>316. A la vista de todo ello, el Tribunal Arbitral declara por mayoría que estima que la cláusula 2.2 del contrato, así como la 10 g) y (i), son contrarias al artículo 1.1 LDC y, en consecuencia, en aplicación del artículo 1.2 LDC, son nulas de pleno derecho, con eficaci</w:t>
      </w:r>
      <w:r w:rsidRPr="00F64776">
        <w:rPr>
          <w:i/>
        </w:rPr>
        <w:t>a ex tu</w:t>
      </w:r>
      <w:r>
        <w:t>nc.</w:t>
      </w:r>
    </w:p>
    <w:p w14:paraId="7658A149" w14:textId="77777777" w:rsidR="00F64776" w:rsidRDefault="00F64776" w:rsidP="00F64776">
      <w:pPr>
        <w:pStyle w:val="TextoNormal"/>
      </w:pPr>
    </w:p>
    <w:p w14:paraId="0F3EFC92" w14:textId="77777777" w:rsidR="00F64776" w:rsidRDefault="00F64776" w:rsidP="00F64776">
      <w:pPr>
        <w:pStyle w:val="TextoNormal"/>
      </w:pPr>
      <w:r>
        <w:t>317. Por lo que respecta a la situación de dependencia económica argumentada por Auro en virtud de lo dispuesto por el artículo 16.2 LCD [se abre nota al pie para reproducir el art. 16.2 LCD] la misma deviene ociosa con la anulación acordada por mayoría por el Tribunal Arbitral de los apartados referidos de las cláusulas 2.2 y 10 del contrato. Por tanto, el mismo Tribunal Arbitral no entrará en consideraciones respecto de aquella situación.</w:t>
      </w:r>
    </w:p>
    <w:p w14:paraId="18C0103E" w14:textId="77777777" w:rsidR="00F64776" w:rsidRDefault="00F64776" w:rsidP="00F64776">
      <w:pPr>
        <w:pStyle w:val="TextoNormal"/>
      </w:pPr>
    </w:p>
    <w:p w14:paraId="63E6FECE" w14:textId="77777777" w:rsidR="00F64776" w:rsidRDefault="00F64776" w:rsidP="00F64776">
      <w:pPr>
        <w:pStyle w:val="TextoNormal"/>
      </w:pPr>
      <w:r>
        <w:t>[…]</w:t>
      </w:r>
    </w:p>
    <w:p w14:paraId="737B41AC" w14:textId="77777777" w:rsidR="00F64776" w:rsidRDefault="00F64776" w:rsidP="00F64776">
      <w:pPr>
        <w:pStyle w:val="TextoNormal"/>
      </w:pPr>
    </w:p>
    <w:p w14:paraId="5FAA36EC" w14:textId="77777777" w:rsidR="00F64776" w:rsidRDefault="00F64776" w:rsidP="00F64776">
      <w:pPr>
        <w:pStyle w:val="TextoNormal"/>
      </w:pPr>
      <w:r>
        <w:t>D. Los incumplimientos contractuales imputados a Cabify, la indemnización de los daños y perjuicios y la resolución del contrato</w:t>
      </w:r>
    </w:p>
    <w:p w14:paraId="386F4ABE" w14:textId="77777777" w:rsidR="00F64776" w:rsidRDefault="00F64776" w:rsidP="00F64776">
      <w:pPr>
        <w:pStyle w:val="TextoNormal"/>
      </w:pPr>
    </w:p>
    <w:p w14:paraId="487CE9AF" w14:textId="77777777" w:rsidR="00F64776" w:rsidRDefault="00F64776" w:rsidP="00F64776">
      <w:pPr>
        <w:pStyle w:val="TextoNormal"/>
      </w:pPr>
      <w:r>
        <w:t>[…]</w:t>
      </w:r>
    </w:p>
    <w:p w14:paraId="3E6C49DA" w14:textId="77777777" w:rsidR="00F64776" w:rsidRDefault="00F64776" w:rsidP="00F64776">
      <w:pPr>
        <w:pStyle w:val="TextoNormal"/>
      </w:pPr>
    </w:p>
    <w:p w14:paraId="048A3B75" w14:textId="77777777" w:rsidR="00F64776" w:rsidRDefault="00F64776" w:rsidP="00F64776">
      <w:pPr>
        <w:pStyle w:val="TextoNormal"/>
      </w:pPr>
      <w:r>
        <w:t>362. En todo caso, Auro sostiene que Cabify no tenía que ofrecer a Auro estas posibilidades de expansión porque, de una parte, Auro, que había iniciado la explotación de Auro Travel estaba en flagrante incumplimiento de sus obligaciones de no competencia por lo que, de acuerdo con la cláusula 2.3.5 del contrato, no estaba en condiciones de exigir el cumplimiento de la obligación de Cabify; y, por otro lado, Auro no estaba en disposición de concurrir a ninguna de las dos comunidades por cuanto que no tiene presencia en las mismas, siendo de aplicación el artículo 91 de la Ley 16/1987, de 30 de julio, de ordenación de los transportes, que textualmente señala:</w:t>
      </w:r>
    </w:p>
    <w:p w14:paraId="15632CB8" w14:textId="77777777" w:rsidR="00F64776" w:rsidRDefault="00F64776" w:rsidP="00F64776">
      <w:pPr>
        <w:pStyle w:val="TextoNormal"/>
      </w:pPr>
    </w:p>
    <w:p w14:paraId="2137F062" w14:textId="77777777" w:rsidR="00F64776" w:rsidRDefault="00F64776" w:rsidP="00F64776">
      <w:pPr>
        <w:pStyle w:val="TextoNormal"/>
      </w:pPr>
      <w:r>
        <w:t>‘[L]os servicios de arrendamiento de vehículos con conductor deberán iniciarse en el territorio de la comunidad autónoma en que se encuentre domiciliada la correspondiente autorización. A tal efecto, se entenderá que el origen o inicio del transporte se produce en el lugar en el que son recogidos los pasajeros de forma efectiva’”.</w:t>
      </w:r>
    </w:p>
    <w:p w14:paraId="7A1A4688" w14:textId="77777777" w:rsidR="00F64776" w:rsidRDefault="00F64776" w:rsidP="00F64776">
      <w:pPr>
        <w:pStyle w:val="TextoNormal"/>
      </w:pPr>
    </w:p>
    <w:p w14:paraId="68B46885" w14:textId="77777777" w:rsidR="00F64776" w:rsidRDefault="00F64776" w:rsidP="00F64776">
      <w:pPr>
        <w:pStyle w:val="TextoNormal"/>
      </w:pPr>
      <w:r>
        <w:t>B) Laudo de complemento y aclaración</w:t>
      </w:r>
    </w:p>
    <w:p w14:paraId="56660EAC" w14:textId="77777777" w:rsidR="00F64776" w:rsidRDefault="00F64776" w:rsidP="00F64776">
      <w:pPr>
        <w:pStyle w:val="TextoNormal"/>
      </w:pPr>
    </w:p>
    <w:p w14:paraId="43ECB792" w14:textId="77777777" w:rsidR="00F64776" w:rsidRDefault="00F64776" w:rsidP="00F64776">
      <w:pPr>
        <w:pStyle w:val="TextoNormal"/>
      </w:pPr>
      <w:r>
        <w:t>Con fecha 24 de febrero de 2021, los dos árbitros que habían emitido por mayoría el laudo final de 29 de diciembre de 2020, dictaron a instancia de la parte demandada y aquí recurrente en amparo un “laudo de complemento y subsidiaria aclaración” de aquel primer laudo, con esta parte dispositiva:</w:t>
      </w:r>
    </w:p>
    <w:p w14:paraId="3EFFEEAE" w14:textId="77777777" w:rsidR="00F64776" w:rsidRDefault="00F64776" w:rsidP="00F64776">
      <w:pPr>
        <w:pStyle w:val="TextoNormal"/>
      </w:pPr>
    </w:p>
    <w:p w14:paraId="5393791A" w14:textId="77777777" w:rsidR="00F64776" w:rsidRDefault="00F64776" w:rsidP="00F64776">
      <w:pPr>
        <w:pStyle w:val="TextoNormal"/>
      </w:pPr>
      <w:r>
        <w:t>“71. Por las razones expuestas, el Tribunal Arbitral resuelve, por mayoría, tomando en cuenta los respectivo</w:t>
      </w:r>
      <w:r w:rsidRPr="00F64776">
        <w:rPr>
          <w:i/>
        </w:rPr>
        <w:t>s peti</w:t>
      </w:r>
      <w:r>
        <w:t>ta de las partes, lo siguiente:</w:t>
      </w:r>
    </w:p>
    <w:p w14:paraId="34CB2D7E" w14:textId="77777777" w:rsidR="00F64776" w:rsidRDefault="00F64776" w:rsidP="00F64776">
      <w:pPr>
        <w:pStyle w:val="TextoNormal"/>
      </w:pPr>
    </w:p>
    <w:p w14:paraId="2F219FC1" w14:textId="77777777" w:rsidR="00F64776" w:rsidRDefault="00F64776" w:rsidP="00F64776">
      <w:pPr>
        <w:pStyle w:val="TextoNormal"/>
      </w:pPr>
      <w:r>
        <w:t>1. Rechazar la solicitud de complemento y subsidiaria aclaración del laudo final formulada por Auro.</w:t>
      </w:r>
    </w:p>
    <w:p w14:paraId="21FA4397" w14:textId="77777777" w:rsidR="00F64776" w:rsidRDefault="00F64776" w:rsidP="00F64776">
      <w:pPr>
        <w:pStyle w:val="TextoNormal"/>
      </w:pPr>
    </w:p>
    <w:p w14:paraId="72240916" w14:textId="77777777" w:rsidR="00F64776" w:rsidRDefault="00F64776" w:rsidP="00F64776">
      <w:pPr>
        <w:pStyle w:val="TextoNormal"/>
      </w:pPr>
      <w:r>
        <w:t>2. Rechazar cualesquiera otras pretensiones principales y/o subsidiarias de cualesquiera de las partes que no hayan sido expresamente acogidas y estimadas en la parte dispositiva de este laudo de complemento y subsidiaria aclaración del laudo final.</w:t>
      </w:r>
    </w:p>
    <w:p w14:paraId="498BB041" w14:textId="77777777" w:rsidR="00F64776" w:rsidRDefault="00F64776" w:rsidP="00F64776">
      <w:pPr>
        <w:pStyle w:val="TextoNormal"/>
      </w:pPr>
    </w:p>
    <w:p w14:paraId="6FC4A6D5" w14:textId="77777777" w:rsidR="00F64776" w:rsidRDefault="00F64776" w:rsidP="00F64776">
      <w:pPr>
        <w:pStyle w:val="TextoNormal"/>
      </w:pPr>
      <w:r>
        <w:t>3. No hacer imposición de las costas de este incidente, debiendo hacerse cargo cada parte de sus propios gastos de defensa”.</w:t>
      </w:r>
    </w:p>
    <w:p w14:paraId="6C653C3D" w14:textId="77777777" w:rsidR="00F64776" w:rsidRDefault="00F64776" w:rsidP="00F64776">
      <w:pPr>
        <w:pStyle w:val="TextoNormal"/>
      </w:pPr>
    </w:p>
    <w:p w14:paraId="579C5916" w14:textId="77777777" w:rsidR="00F64776" w:rsidRDefault="00F64776" w:rsidP="00F64776">
      <w:pPr>
        <w:pStyle w:val="TextoNormal"/>
      </w:pPr>
      <w:r>
        <w:t>Lo resuelto por el laudo de 24 de febrero de 2021 resulta irrelevante para la cuestión planteada en este recurso de amparo.</w:t>
      </w:r>
    </w:p>
    <w:p w14:paraId="75DF3074" w14:textId="77777777" w:rsidR="00F64776" w:rsidRDefault="00F64776" w:rsidP="00F64776">
      <w:pPr>
        <w:pStyle w:val="TextoNormal"/>
      </w:pPr>
    </w:p>
    <w:p w14:paraId="19485822" w14:textId="77777777" w:rsidR="00F64776" w:rsidRDefault="00F64776" w:rsidP="00F64776">
      <w:pPr>
        <w:pStyle w:val="TextoNormal"/>
      </w:pPr>
      <w:r>
        <w:t>C) Demanda de anulación de laudo arbitral definitivo</w:t>
      </w:r>
    </w:p>
    <w:p w14:paraId="02506DC0" w14:textId="77777777" w:rsidR="00F64776" w:rsidRDefault="00F64776" w:rsidP="00F64776">
      <w:pPr>
        <w:pStyle w:val="TextoNormal"/>
      </w:pPr>
    </w:p>
    <w:p w14:paraId="324AF676" w14:textId="77777777" w:rsidR="00F64776" w:rsidRDefault="00F64776" w:rsidP="00F64776">
      <w:pPr>
        <w:pStyle w:val="TextoNormal"/>
      </w:pPr>
      <w:r>
        <w:t>Con fecha 27 de abril de 2021 la representación procesal de la entidad Maxi Mobility Spain, S.L.U., interpuso ante la Sala de lo Civil y Penal del Tribunal Superior de Justicia de Madrid, escrito por el que dicha parte ejercitó acción de anulación contra los pronunciamientos 1 y 2 de la parte dispositiva del laudo final de 29 de diciembre de 2020, al amparo de lo previsto en los apartados c) y f) del art. 41.1 de la Ley 60/2003, de 23 de diciembre, de arbitraje. El escrito basó su impugnación en dos motivos:</w:t>
      </w:r>
    </w:p>
    <w:p w14:paraId="57AFB00D" w14:textId="77777777" w:rsidR="00F64776" w:rsidRDefault="00F64776" w:rsidP="00F64776">
      <w:pPr>
        <w:pStyle w:val="TextoNormal"/>
      </w:pPr>
    </w:p>
    <w:p w14:paraId="76207B05" w14:textId="77777777" w:rsidR="00F64776" w:rsidRDefault="00F64776" w:rsidP="00F64776">
      <w:pPr>
        <w:pStyle w:val="TextoNormal"/>
      </w:pPr>
      <w:r>
        <w:t>a) “En primer lugar, porque en ellos [los pronunciamientos 1 y 2 de la parte dispositiva del laudo definitivo] se resuelve la controversia sobre la validez de la cláusula 2.2 del contrato de colaboración novado en términos distintos de aquellos en los que las partes del arbitraje la sometieron al Tribunal Arbitral, lo que es determinante de su nulidad conforme al artículo 41.1 c) de la [Ley de arbitraje]”.</w:t>
      </w:r>
    </w:p>
    <w:p w14:paraId="7862CDFB" w14:textId="77777777" w:rsidR="00F64776" w:rsidRDefault="00F64776" w:rsidP="00F64776">
      <w:pPr>
        <w:pStyle w:val="TextoNormal"/>
      </w:pPr>
    </w:p>
    <w:p w14:paraId="4015C0E0" w14:textId="77777777" w:rsidR="00F64776" w:rsidRDefault="00F64776" w:rsidP="00F64776">
      <w:pPr>
        <w:pStyle w:val="TextoNormal"/>
      </w:pPr>
      <w:r>
        <w:t>Se alega al respecto que el laudo definitivo incurrió en “incongruencia artículo 41.1 c [de la Ley de arbitraje] y, como resultado de esta, vulneración de los principios de audiencia y contradicción, con resultado de indefensión (artículo 41.1 b [de la Ley de arbitraje])”, por cuanto “[l] los pronunciamientos 1 y 2 de la parte dispositiva del laudo final deben ser declarados nulos porque declaran la nulidad de la cláusula 2.2 del contrato de colaboración novado a partir de una motivación que incluye premisas fácticas introducidas de oficio por la mayoría del Tribunal Arbitral que lo suscribe y resultan determinantes del sentido de su decisión sobre la controversia relativa a la validez de la cláusula. Al proceder así, decidiendo la controversia a partir de datos fácticos no alegados por las partes, el Tribunal Arbitral ha provocado que el laudo final esté, en ese concreto extremo, viciado de incongruencia y sea, en consecuencia, nul</w:t>
      </w:r>
      <w:r w:rsidRPr="00F64776">
        <w:rPr>
          <w:i/>
        </w:rPr>
        <w:t xml:space="preserve">o </w:t>
      </w:r>
      <w:r>
        <w:t>ex artículo 41.1 c) de la Ley de arbitraje”.</w:t>
      </w:r>
    </w:p>
    <w:p w14:paraId="7BF8AD8F" w14:textId="77777777" w:rsidR="00F64776" w:rsidRDefault="00F64776" w:rsidP="00F64776">
      <w:pPr>
        <w:pStyle w:val="TextoNormal"/>
      </w:pPr>
    </w:p>
    <w:p w14:paraId="284D2C1C" w14:textId="77777777" w:rsidR="00F64776" w:rsidRDefault="00F64776" w:rsidP="00F64776">
      <w:pPr>
        <w:pStyle w:val="TextoNormal"/>
      </w:pPr>
      <w:r>
        <w:t xml:space="preserve">Tras identificar “los concretos datos de hecho que la mayoría del Tribunal Arbitral introdujo </w:t>
      </w:r>
      <w:r w:rsidRPr="00F64776">
        <w:rPr>
          <w:i/>
        </w:rPr>
        <w:t>ex novo</w:t>
      </w:r>
      <w:r>
        <w:t xml:space="preserve"> en el laudo final” y por qué estos habrían resultado relevantes para resolver la controversia en los términos que declara el laudo, se insiste en que dicha resolución es incongruente, causando además “vulneración de los principios de audiencia y contradicción enunciados en el artículo 24.1 de la Ley de arbitraje, con el resultado de indefensión para mi representada”, pues “si los hechos introducidos de manera sobrevenida en el laudo final hubieran formado parte, cuando correspondía, de la controversia, mi mandante podría haber ejercido su derecho de defensa respecto a los mismos, habiendo podido poner de manifiesto” argumentos de oposición, de los que ejemplifica algunos.</w:t>
      </w:r>
    </w:p>
    <w:p w14:paraId="66825625" w14:textId="77777777" w:rsidR="00F64776" w:rsidRDefault="00F64776" w:rsidP="00F64776">
      <w:pPr>
        <w:pStyle w:val="TextoNormal"/>
      </w:pPr>
    </w:p>
    <w:p w14:paraId="5D75F1B8" w14:textId="77777777" w:rsidR="00F64776" w:rsidRDefault="00F64776" w:rsidP="00F64776">
      <w:pPr>
        <w:pStyle w:val="TextoNormal"/>
      </w:pPr>
      <w:r>
        <w:t>b) “En segundo lugar, porque la motivación empleada por la mayoría del Tribunal Arbitral para concluir que la cláusula 2.2 del contrato de colaboración novado es contraria al artículo 1.1. de la Ley de defensa de la competencia no solo es errónea y arbitraria, sino que vulnera principios esenciales del Derecho de la competencia, que son de orden público, lo que es igualmente determinante de la nulidad de los pronunciamientos impugnados por mandato de lo dispuesto en el artículo 41.1 e) de la Ley de arbitraje”.</w:t>
      </w:r>
    </w:p>
    <w:p w14:paraId="3FA15B00" w14:textId="77777777" w:rsidR="00F64776" w:rsidRDefault="00F64776" w:rsidP="00F64776">
      <w:pPr>
        <w:pStyle w:val="TextoNormal"/>
      </w:pPr>
    </w:p>
    <w:p w14:paraId="1BEAE513" w14:textId="77777777" w:rsidR="00F64776" w:rsidRDefault="00F64776" w:rsidP="00F64776">
      <w:pPr>
        <w:pStyle w:val="TextoNormal"/>
      </w:pPr>
      <w:r>
        <w:t>En concreto, los pronunciamientos contenidos en los apartados 1 y 2 de la parte dispositiva del laudo definitivo que declaran la nulidad de la cláusula 2.2 del contrato de colaboración novado por infringir el artículo 1 LDC, evidencian su “contravención del orden público (artículo 41.1 f de la Ley de arbitraje), por aplicación arbitraria e ilógica del artículo 1 de la Ley de defensa de la competencia y, como consecuencia de esta, de los principios de libre iniciativa privada y libertad económica reconocidos en el artículo 38 de la Constitución como fundamento del orden público-económico constitucional”.</w:t>
      </w:r>
    </w:p>
    <w:p w14:paraId="7172339D" w14:textId="77777777" w:rsidR="00F64776" w:rsidRDefault="00F64776" w:rsidP="00F64776">
      <w:pPr>
        <w:pStyle w:val="TextoNormal"/>
      </w:pPr>
    </w:p>
    <w:p w14:paraId="0FEFD242" w14:textId="77777777" w:rsidR="00F64776" w:rsidRDefault="00F64776" w:rsidP="00F64776">
      <w:pPr>
        <w:pStyle w:val="TextoNormal"/>
      </w:pPr>
      <w:r>
        <w:t>Dentro de este segundo motivo de la demanda se argumenta sobre una omisión indebida de enjuiciamiento por parte del laudo definitivo, al no aplicar el Derecho de la Unión Europea. Dice el escrito de anulación:</w:t>
      </w:r>
    </w:p>
    <w:p w14:paraId="0B3E3A63" w14:textId="77777777" w:rsidR="00F64776" w:rsidRDefault="00F64776" w:rsidP="00F64776">
      <w:pPr>
        <w:pStyle w:val="TextoNormal"/>
      </w:pPr>
    </w:p>
    <w:p w14:paraId="646194EC" w14:textId="77777777" w:rsidR="00F64776" w:rsidRDefault="00F64776" w:rsidP="00F64776">
      <w:pPr>
        <w:pStyle w:val="TextoNormal"/>
      </w:pPr>
      <w:r>
        <w:t>“61 […] el laudo final incurre en la misma tacha de arbitrariedad en cuanto a la selección del Derecho aplicable, que realiza excluyendo la aplicabilidad, junto al artículo 1 de la Ley de defensa de la competencia, del artículo 101 del Tratado de Funcionamiento de la Unión Europa [TFUE], con el argumento de que ‘[e]xiste un consenso doctrinal generalizado sobre el hecho de que el criterio que sirve para delimitar el ámbito de aplicación de las normas en materia de control de conductas es el elemento de la afectación del comercio, siendo claro en este caso que la conducta que se le imputa a Cabify afectaría en todo caso exclusivamente al mercado nacional, por lo que decaería el problema de la dualidad normativa’.</w:t>
      </w:r>
    </w:p>
    <w:p w14:paraId="6F8EC714" w14:textId="77777777" w:rsidR="00F64776" w:rsidRDefault="00F64776" w:rsidP="00F64776">
      <w:pPr>
        <w:pStyle w:val="TextoNormal"/>
      </w:pPr>
    </w:p>
    <w:p w14:paraId="60C398F6" w14:textId="77777777" w:rsidR="00F64776" w:rsidRDefault="00F64776" w:rsidP="00F64776">
      <w:pPr>
        <w:pStyle w:val="TextoNormal"/>
      </w:pPr>
      <w:r>
        <w:t>62. No hay una sola palabra de verdad en esa frase: el ‘consenso doctrinal’ al que se refiere de un modo absolutamente críptico, sin mencionar un solo exponente de esa doctrina, no existe. Es más: el problema jurídico que se plantea está resuelto, pero en sentido contrario, por la Comisión Europea, quien tiene declarado que si una cláusula de exclusividad vertical despliega efectos de exclusión en un mercado relevante de ámbito nacional, es perfectamente posible y parece hasta cierto punto inevitable que afecte el comercio intra-UE, es decir, que obstaculice la entrada en el mercado español por parte de nuevos competidores (Directrices de la CE relativas al concepto de efecto sobre el comercio en el art 101 del TFUE).</w:t>
      </w:r>
    </w:p>
    <w:p w14:paraId="263554A2" w14:textId="77777777" w:rsidR="00F64776" w:rsidRDefault="00F64776" w:rsidP="00F64776">
      <w:pPr>
        <w:pStyle w:val="TextoNormal"/>
      </w:pPr>
    </w:p>
    <w:p w14:paraId="2DECE8FC" w14:textId="77777777" w:rsidR="00F64776" w:rsidRDefault="00F64776" w:rsidP="00F64776">
      <w:pPr>
        <w:pStyle w:val="TextoNormal"/>
      </w:pPr>
      <w:r>
        <w:t>63. El razonamiento jurídico que conduce a la declaración de nulidad de la cláusula 2.2 del contrato de colaboración contiene errores de derecho tan gruesos que lo hacen contrario al orden público por arbitrariedad. Los árbitros no han decidido conforme a Derecho porque su decisión es el resultado de una selección y aplicación puramente caprichosa de las normas aplicables para la resolución de este concreto objeto de la controversia, que se aparta abiertamente de cualquier interpretación razonable del artículo 1 de la Ley de defensa de la competencia, así como del abundante cuerpo de doctrina que el Derecho europeo ha elaborado sobre la materia y que, como es bien sabido, resulta de plena aplicación aquí, siquiera sea porque nuestro Derecho de la competencia es un mero trasunto del Derecho comunitario y el artículo 101 del Tratado de Funcionamiento de la Unión Europea es en todo equivalente al artículo 1 de la Ley de defensa de la competencia.</w:t>
      </w:r>
    </w:p>
    <w:p w14:paraId="0E4A9650" w14:textId="77777777" w:rsidR="00F64776" w:rsidRDefault="00F64776" w:rsidP="00F64776">
      <w:pPr>
        <w:pStyle w:val="TextoNormal"/>
      </w:pPr>
    </w:p>
    <w:p w14:paraId="50D7B22F" w14:textId="77777777" w:rsidR="00F64776" w:rsidRDefault="00F64776" w:rsidP="00F64776">
      <w:pPr>
        <w:pStyle w:val="TextoNormal"/>
      </w:pPr>
      <w:r>
        <w:t>[…]</w:t>
      </w:r>
    </w:p>
    <w:p w14:paraId="6AE9B9F8" w14:textId="77777777" w:rsidR="00F64776" w:rsidRDefault="00F64776" w:rsidP="00F64776">
      <w:pPr>
        <w:pStyle w:val="TextoNormal"/>
      </w:pPr>
    </w:p>
    <w:p w14:paraId="370E97EB" w14:textId="77777777" w:rsidR="00F64776" w:rsidRDefault="00F64776" w:rsidP="00F64776">
      <w:pPr>
        <w:pStyle w:val="TextoNormal"/>
      </w:pPr>
      <w:r>
        <w:t>65. Cuanto acaba de decirse se resume, por tanto, en una manifiesta vulneración por el laudo final del artículo 1 de la Ley de defensa de la competencia (y 101 del TFUE), que se produce por aplicarlo indebidamente para declarar nula una cláusula que no lo es.</w:t>
      </w:r>
    </w:p>
    <w:p w14:paraId="4676AB7F" w14:textId="77777777" w:rsidR="00F64776" w:rsidRDefault="00F64776" w:rsidP="00F64776">
      <w:pPr>
        <w:pStyle w:val="TextoNormal"/>
      </w:pPr>
    </w:p>
    <w:p w14:paraId="5923BF7D" w14:textId="77777777" w:rsidR="00F64776" w:rsidRDefault="00F64776" w:rsidP="00F64776">
      <w:pPr>
        <w:pStyle w:val="TextoNormal"/>
      </w:pPr>
      <w:r>
        <w:t>Esta indebida aplicación del artículo 1 de la Ley de defensa de la competencia no es solo la vulneración de una norma legal, sino más que eso, una vulneración del orden público, porque la norma en cuestión, como todas las reguladoras del Derecho de la competencia participan de esta naturaleza. Así está perfectamente establecido en el Derecho europeo por el Tribunal de Justicia de la Unión y no hay razón alguna para entender que pueda ocurrir otra cosa con una norma nacional que no es sino trasunto de la comunitaria.</w:t>
      </w:r>
    </w:p>
    <w:p w14:paraId="06D5CB88" w14:textId="77777777" w:rsidR="00F64776" w:rsidRDefault="00F64776" w:rsidP="00F64776">
      <w:pPr>
        <w:pStyle w:val="TextoNormal"/>
      </w:pPr>
    </w:p>
    <w:p w14:paraId="2D304967" w14:textId="77777777" w:rsidR="00F64776" w:rsidRDefault="00F64776" w:rsidP="00F64776">
      <w:pPr>
        <w:pStyle w:val="TextoNormal"/>
      </w:pPr>
      <w:r>
        <w:t xml:space="preserve">66. Que las normas del Derecho de la competencia forman parte del orden público, no solo comunitario, sino también nacional de los Estados miembros quedó primeramente establecido en la sentencia de 1 de junio de 1999 (asunto C-126/97 </w:t>
      </w:r>
      <w:r w:rsidRPr="00F64776">
        <w:rPr>
          <w:i/>
        </w:rPr>
        <w:t>Eco Swiss China Time Ltd./Benetton International NV</w:t>
      </w:r>
      <w:r>
        <w:t>), que, tras reconocer (implícitamente) la arbitrabilidad del Derecho de la competencia de la Unión Europa, declaró que debe considerarse que estas normas forman parte del orden público interno de los Estados miembros y pueden acarrear la anulación del laudo que no las tenga en cuenta. Y así lo ha recogido también la práctica española, cuyo mejor exponente se encuentra en la sentencia de la Audiencia Nacional de Barcelona de 7 de junio de 2000, que anuló un laudo arbitral dictado sobre un pacto de no competencia por entender la Audiencia que la aplicación que los árbitros habían hecho del Derecho de la competencia no era ajustada a Derecho y ello suponía necesariamente una contravención del orden público. Y el propio laudo final lo reconoce (parágrafo 286): [se reproduce dicho fundamento 286, y también los fundamentos 106 a 108 de un laudo parcial anterior al definitivo donde el Tribunal Arbitral declaraba su competencia para conocer de los temas del Derecho de la competencia].</w:t>
      </w:r>
    </w:p>
    <w:p w14:paraId="3EC52E5D" w14:textId="77777777" w:rsidR="00F64776" w:rsidRDefault="00F64776" w:rsidP="00F64776">
      <w:pPr>
        <w:pStyle w:val="TextoNormal"/>
      </w:pPr>
    </w:p>
    <w:p w14:paraId="1CE43EA2" w14:textId="77777777" w:rsidR="00F64776" w:rsidRDefault="00F64776" w:rsidP="00F64776">
      <w:pPr>
        <w:pStyle w:val="TextoNormal"/>
      </w:pPr>
      <w:r>
        <w:t>[…]</w:t>
      </w:r>
    </w:p>
    <w:p w14:paraId="6AD7E312" w14:textId="77777777" w:rsidR="00F64776" w:rsidRDefault="00F64776" w:rsidP="00F64776">
      <w:pPr>
        <w:pStyle w:val="TextoNormal"/>
      </w:pPr>
    </w:p>
    <w:p w14:paraId="61F9E7B4" w14:textId="77777777" w:rsidR="00F64776" w:rsidRDefault="00F64776" w:rsidP="00F64776">
      <w:pPr>
        <w:pStyle w:val="TextoNormal"/>
      </w:pPr>
      <w:r>
        <w:t>68. Y estas conclusiones no son desvirtuadas por las recientes sentencias del Tribunal Constitucional, que claramente han puesto de relieve que ‘el orden público comprende los derechos fundamentales y las libertades garantizados por la Constitución, así como otros principios esenciales indisponibles para el legislador por exigencia constitucional o de la aplicación de principios admitidos internacionalmente’ (STC 46/2020, de 15 de junio, FJ 4). La acción de anulación, por consiguiente, solo puede tener como objeto el análisis de los posibles errores procesales en que haya podido incurrir el proceso arbitral, referidos al cumplimiento de las garantías fundamentales, como lo son, por ejemplo, el derecho de defensa, igualdad, bilateralidad, contradicción y prueba, o cuando el laudo carezca de motivación, sea incongruente, infrinja normas legales imperativas o vulnere la intangibilidad de una resolución firme anterior. Y si la resolución arbitral puede tacharse de arbitraria, ilógica, absurda o irracional, cabe declarar su nulidad amparándose en la noción de orden público.</w:t>
      </w:r>
    </w:p>
    <w:p w14:paraId="2AD6CA1F" w14:textId="77777777" w:rsidR="00F64776" w:rsidRDefault="00F64776" w:rsidP="00F64776">
      <w:pPr>
        <w:pStyle w:val="TextoNormal"/>
      </w:pPr>
    </w:p>
    <w:p w14:paraId="4FCA24F1" w14:textId="77777777" w:rsidR="00F64776" w:rsidRDefault="00F64776" w:rsidP="00F64776">
      <w:pPr>
        <w:pStyle w:val="TextoNormal"/>
      </w:pPr>
      <w:r>
        <w:t>69. En el presente caso, los errores denunciados en el laudo final son tan graves y fundamentales que es necesario anularlo por cuanto puede tacharse de ‘arbitrario, ilógico, absurdo o irracional’, porque, como ya se ha señalado, se ha incurrido en arbitrariedad respecto a ley aplicable (no se aplica el artículo 101 del TFUE), respecto al propio concepto de afectación del comercio intracomunitario (ligado a la premisa anterior), y respecto al propio concepto de mercado relevante (el laudo final dice que hace falta substituibilidad en ambos lados del mercado).</w:t>
      </w:r>
    </w:p>
    <w:p w14:paraId="00BFAE27" w14:textId="77777777" w:rsidR="00F64776" w:rsidRDefault="00F64776" w:rsidP="00F64776">
      <w:pPr>
        <w:pStyle w:val="TextoNormal"/>
      </w:pPr>
    </w:p>
    <w:p w14:paraId="229D3E6A" w14:textId="77777777" w:rsidR="00F64776" w:rsidRDefault="00F64776" w:rsidP="00F64776">
      <w:pPr>
        <w:pStyle w:val="TextoNormal"/>
      </w:pPr>
      <w:r>
        <w:t>70. No puede olvidarse, y esto ha de ser necesariamente destacado, que no es solo la inaplicación del Derecho de la competencia lo que comporta la anulación del laudo, sino también —y por fuerza— la aplicación indebida, errónea o arbitraria de esa normativa.</w:t>
      </w:r>
    </w:p>
    <w:p w14:paraId="3BABC4AA" w14:textId="77777777" w:rsidR="00F64776" w:rsidRDefault="00F64776" w:rsidP="00F64776">
      <w:pPr>
        <w:pStyle w:val="TextoNormal"/>
      </w:pPr>
    </w:p>
    <w:p w14:paraId="0CAB1900" w14:textId="77777777" w:rsidR="00F64776" w:rsidRDefault="00F64776" w:rsidP="00F64776">
      <w:pPr>
        <w:pStyle w:val="TextoNormal"/>
      </w:pPr>
      <w:r>
        <w:t>[…]</w:t>
      </w:r>
    </w:p>
    <w:p w14:paraId="3D72B279" w14:textId="77777777" w:rsidR="00F64776" w:rsidRDefault="00F64776" w:rsidP="00F64776">
      <w:pPr>
        <w:pStyle w:val="TextoNormal"/>
      </w:pPr>
    </w:p>
    <w:p w14:paraId="60CC82B9" w14:textId="77777777" w:rsidR="00F64776" w:rsidRDefault="00F64776" w:rsidP="00F64776">
      <w:pPr>
        <w:pStyle w:val="TextoNormal"/>
      </w:pPr>
      <w:r>
        <w:t>77. Quiere todo ello decir que la infracción del orden público que se denuncia alcanza también al orden público económico constitucional, representado por el principio de autonomía privada del que deriva el principio de libertad de contratación, cuya vulneración debe determinar igualmente la anulación de los pronunciamientos impugnados”.</w:t>
      </w:r>
    </w:p>
    <w:p w14:paraId="7969542F" w14:textId="77777777" w:rsidR="00F64776" w:rsidRDefault="00F64776" w:rsidP="00F64776">
      <w:pPr>
        <w:pStyle w:val="TextoNormal"/>
      </w:pPr>
    </w:p>
    <w:p w14:paraId="61BFEB7B" w14:textId="77777777" w:rsidR="00F64776" w:rsidRDefault="00F64776" w:rsidP="00F64776">
      <w:pPr>
        <w:pStyle w:val="TextoNormal"/>
      </w:pPr>
      <w:r>
        <w:t>Cerrada la fundamentación jurídica, en el suplico del escrito de anulación se solicitó que se tuviera por formulada “demanda en ejercicio de la acción de anulación, respecto de los puntos 1 y 2 de la parte dispositiva del laudo final y, en su día, previo recibimiento del pleito a prueba y celebración de vista, dicte sentencia que estime la demanda y, en consecuencia, anule los pronunciamientos impugnados, con costas”.</w:t>
      </w:r>
    </w:p>
    <w:p w14:paraId="6378A204" w14:textId="77777777" w:rsidR="00F64776" w:rsidRDefault="00F64776" w:rsidP="00F64776">
      <w:pPr>
        <w:pStyle w:val="TextoNormal"/>
      </w:pPr>
    </w:p>
    <w:p w14:paraId="793ADB6D" w14:textId="77777777" w:rsidR="00F64776" w:rsidRDefault="00F64776" w:rsidP="00F64776">
      <w:pPr>
        <w:pStyle w:val="TextoNormal"/>
      </w:pPr>
      <w:r>
        <w:t>D) Sentencia resolutoria de la acción de anulación</w:t>
      </w:r>
    </w:p>
    <w:p w14:paraId="578A1BE4" w14:textId="77777777" w:rsidR="00F64776" w:rsidRDefault="00F64776" w:rsidP="00F64776">
      <w:pPr>
        <w:pStyle w:val="TextoNormal"/>
      </w:pPr>
    </w:p>
    <w:p w14:paraId="6E5DDE79" w14:textId="77777777" w:rsidR="00F64776" w:rsidRDefault="00F64776" w:rsidP="00F64776">
      <w:pPr>
        <w:pStyle w:val="TextoNormal"/>
      </w:pPr>
      <w:r>
        <w:t>La Sala de lo Civil y Penal del Tribunal Superior de Justicia de Madrid admitió la demanda por decreto del letrado de la administración de justicia de 10 de mayo de 2022. Tras la tramitación del procedimiento (asunto civil núm. 24-2021, procedimiento anulación de laudo arbitral núm. 17-2021), en el que se admitió la prueba documental propuesta y se denegó la celebración de vista pública —por auto de 19 de julio de 2021—, la Sala dictó sentencia núm. 66/2021, de 22 de octubre de 2021.</w:t>
      </w:r>
    </w:p>
    <w:p w14:paraId="284D1DFF" w14:textId="77777777" w:rsidR="00F64776" w:rsidRDefault="00F64776" w:rsidP="00F64776">
      <w:pPr>
        <w:pStyle w:val="TextoNormal"/>
      </w:pPr>
    </w:p>
    <w:p w14:paraId="41C80B21" w14:textId="77777777" w:rsidR="00F64776" w:rsidRDefault="00F64776" w:rsidP="00F64776">
      <w:pPr>
        <w:pStyle w:val="TextoNormal"/>
      </w:pPr>
      <w:r>
        <w:t>a) Parte dispositiva</w:t>
      </w:r>
    </w:p>
    <w:p w14:paraId="1F9BDCB3" w14:textId="77777777" w:rsidR="00F64776" w:rsidRDefault="00F64776" w:rsidP="00F64776">
      <w:pPr>
        <w:pStyle w:val="TextoNormal"/>
      </w:pPr>
    </w:p>
    <w:p w14:paraId="44B4512C" w14:textId="77777777" w:rsidR="00F64776" w:rsidRDefault="00F64776" w:rsidP="00F64776">
      <w:pPr>
        <w:pStyle w:val="TextoNormal"/>
      </w:pPr>
      <w:r>
        <w:t>“Estimamos la demanda de anulación parcial del laudo arbitral formulada por el procurador de los tribunales don Ignacio López Chocarro, en nombre y representación de Maxi Mobility Spain, S.L.U., contra Auro New Transport Concept, S.L., y en su virtud anulamos los puntos 1 y 2 de la parte dispositiva del laudo final de 29 de diciembre de 2020 —cuya aclaración y complemento se deniega por laudo de 24 de febrero de 2021—”.</w:t>
      </w:r>
    </w:p>
    <w:p w14:paraId="527D4C2E" w14:textId="77777777" w:rsidR="00F64776" w:rsidRDefault="00F64776" w:rsidP="00F64776">
      <w:pPr>
        <w:pStyle w:val="TextoNormal"/>
      </w:pPr>
    </w:p>
    <w:p w14:paraId="59D07B74" w14:textId="77777777" w:rsidR="00F64776" w:rsidRDefault="00F64776" w:rsidP="00F64776">
      <w:pPr>
        <w:pStyle w:val="TextoNormal"/>
      </w:pPr>
      <w:r>
        <w:t>b) Fundamentos de la sentencia</w:t>
      </w:r>
    </w:p>
    <w:p w14:paraId="27470728" w14:textId="77777777" w:rsidR="00F64776" w:rsidRDefault="00F64776" w:rsidP="00F64776">
      <w:pPr>
        <w:pStyle w:val="TextoNormal"/>
      </w:pPr>
    </w:p>
    <w:p w14:paraId="4036E282" w14:textId="77777777" w:rsidR="00F64776" w:rsidRDefault="00F64776" w:rsidP="00F64776">
      <w:pPr>
        <w:pStyle w:val="TextoNormal"/>
      </w:pPr>
      <w:r>
        <w:t xml:space="preserve">- En cuanto al primero de los motivos de la demanda, la alegada incongruencia </w:t>
      </w:r>
      <w:r w:rsidRPr="00F64776">
        <w:rPr>
          <w:i/>
        </w:rPr>
        <w:t>extra petita</w:t>
      </w:r>
      <w:r>
        <w:t xml:space="preserve"> causante de indefensión con base en las causas de anulación del art. 41.1, las de los apartados c) (“que los árbitros han resuelto sobre cuestiones no sometidas a su decisión”) y f) (“que el laudo es contrario al orden público”) de la Ley de arbitraje, la sentencia lo desestima en su fundamento de Derecho segundo, al no haber intentado la parte interesada la reparación de la falta ante el propio Tribunal Arbitral, en concreto mediante el incidente de rectificación de la extralimitación parcial del laudo previsto en el art. 39.1.d) de la Ley de arbitraje. Por ello, dice la Sala </w:t>
      </w:r>
      <w:r w:rsidRPr="00F64776">
        <w:rPr>
          <w:i/>
        </w:rPr>
        <w:t>a quo</w:t>
      </w:r>
      <w:r>
        <w:t>, “la eventual indefensión ocasionada por dicho exceso no tendría relevancia constitucional al ser también imputable a la negligencia de la parte que de ella se queja”; además y “a mayor abundamiento —pues lo que antecede excluye la viabilidad del motivo—”, la sentencia da sus razones para poner en duda que tal incongruencia se hubiere producido.</w:t>
      </w:r>
    </w:p>
    <w:p w14:paraId="4DDCADB0" w14:textId="77777777" w:rsidR="00F64776" w:rsidRDefault="00F64776" w:rsidP="00F64776">
      <w:pPr>
        <w:pStyle w:val="TextoNormal"/>
      </w:pPr>
    </w:p>
    <w:p w14:paraId="1138FB9C" w14:textId="77777777" w:rsidR="00F64776" w:rsidRDefault="00F64776" w:rsidP="00F64776">
      <w:pPr>
        <w:pStyle w:val="TextoNormal"/>
      </w:pPr>
      <w:r>
        <w:t>- El segundo motivo de la demanda de anulación, el cual plantea la vulneración de principios rectores del Derecho de la competencia que serían de orden público [art. 41.1 f) de la Ley de arbitraje], se examina a su vez por la sentencia en un extenso fundamento cuarto que procedemos a resumir y que se inicia con la siguiente declaración de principio:</w:t>
      </w:r>
    </w:p>
    <w:p w14:paraId="2FE3E6F3" w14:textId="77777777" w:rsidR="00F64776" w:rsidRDefault="00F64776" w:rsidP="00F64776">
      <w:pPr>
        <w:pStyle w:val="TextoNormal"/>
      </w:pPr>
    </w:p>
    <w:p w14:paraId="6A347E0E" w14:textId="77777777" w:rsidR="00F64776" w:rsidRDefault="00F64776" w:rsidP="00F64776">
      <w:pPr>
        <w:pStyle w:val="TextoNormal"/>
      </w:pPr>
      <w:r>
        <w:t>“[A]ntes de analizar el contenido del laudo y la infracción del orden público que se le achaca, es preciso sentar con la debida claridad los parámetros que han de delimitar nuestro enjuiciamiento tanto por lo que concierne al Derecho aplicable, como en lo que toca a si este tribunal ha de verificar, más allá de un control puramente formal o externo, si la motivación del laudo se acomoda a normas imperativas del Derecho de la competencia tal y como son entendidas por los Supremos Tribunales llamados a interpretarlas y, de modo particular, por el TJUE.</w:t>
      </w:r>
    </w:p>
    <w:p w14:paraId="50FA68E9" w14:textId="77777777" w:rsidR="00F64776" w:rsidRDefault="00F64776" w:rsidP="00F64776">
      <w:pPr>
        <w:pStyle w:val="TextoNormal"/>
      </w:pPr>
    </w:p>
    <w:p w14:paraId="19DCD13E" w14:textId="77777777" w:rsidR="00F64776" w:rsidRDefault="00F64776" w:rsidP="00F64776">
      <w:pPr>
        <w:pStyle w:val="TextoNormal"/>
      </w:pPr>
      <w:r>
        <w:t>1. Referencia al marco normativo aplicable como condicionante del inexcusable deber de análisis del Tribunal Arbitral: la insoslayable aplicación al caso del Derecho de la Unión Europea”:</w:t>
      </w:r>
    </w:p>
    <w:p w14:paraId="7CB56AC7" w14:textId="77777777" w:rsidR="00F64776" w:rsidRDefault="00F64776" w:rsidP="00F64776">
      <w:pPr>
        <w:pStyle w:val="TextoNormal"/>
      </w:pPr>
    </w:p>
    <w:p w14:paraId="4E4D88E8" w14:textId="77777777" w:rsidR="00F64776" w:rsidRDefault="00F64776" w:rsidP="00F64776">
      <w:pPr>
        <w:pStyle w:val="TextoNormal"/>
      </w:pPr>
      <w:r>
        <w:t>La sentencia empieza por reproducir el art. 1 LDC, incluyendo el apartado 4 en el que se precisa que la prohibición del apartado 1 (definición y ejemplos de conductas colusorias) no se aplica “a los acuerdos, decisiones, o recomendaciones colectivas, o prácticas concertadas o conscientemente paralelas que cumplan las disposiciones establecidas en los reglamentos comunitarios relativos a la aplicación del apartado 3 del artículo 81 del Tratado CE —hoy art. 101.3 TFUE— a determinadas categorías de acuerdos, decisiones de asociaciones de empresa y prácticas concertadas, incluso cuando las correspondientes conductas no puedan afectar al comercio entre los Estados miembros de la UE” (la aclaración entre guiones es de la sentencia). Continúa diciendo:</w:t>
      </w:r>
    </w:p>
    <w:p w14:paraId="3E391800" w14:textId="77777777" w:rsidR="00F64776" w:rsidRDefault="00F64776" w:rsidP="00F64776">
      <w:pPr>
        <w:pStyle w:val="TextoNormal"/>
      </w:pPr>
    </w:p>
    <w:p w14:paraId="6CA68658" w14:textId="77777777" w:rsidR="00F64776" w:rsidRDefault="00F64776" w:rsidP="00F64776">
      <w:pPr>
        <w:pStyle w:val="TextoNormal"/>
      </w:pPr>
      <w:r>
        <w:t>“Este último apartado —art. 1.4 LDC— es expresión genuina del calificativo que la común doctrina ha dado a nuestro ordenamiento de defensa de la competencia como ‘sistema de espejo’ o ‘de doble barrera’, consistente en verificar que los acuerdos a los que se haya de aplicar el Derecho español respeten la normativa de la Unión, aunque solo afecten a nuestro mercado interior. El sistema español de defensa de la competencia se caracteriza, pues, por que aquellos acuerdos que respeten</w:t>
      </w:r>
      <w:r w:rsidRPr="00F64776">
        <w:rPr>
          <w:i/>
        </w:rPr>
        <w:t xml:space="preserve"> [s</w:t>
      </w:r>
      <w:r>
        <w:t>ic] la normativa comunitaria, aunque solo se proyecten sobre el mercado interior español, se reputan válidos (art 1.4 LDC).</w:t>
      </w:r>
    </w:p>
    <w:p w14:paraId="10C5CB56" w14:textId="77777777" w:rsidR="00F64776" w:rsidRDefault="00F64776" w:rsidP="00F64776">
      <w:pPr>
        <w:pStyle w:val="TextoNormal"/>
      </w:pPr>
    </w:p>
    <w:p w14:paraId="1D8C42B4" w14:textId="77777777" w:rsidR="00F64776" w:rsidRDefault="00F64776" w:rsidP="00F64776">
      <w:pPr>
        <w:pStyle w:val="TextoNormal"/>
      </w:pPr>
      <w:r>
        <w:t>Por consiguiente, para determinar si un acuerdo, practica concertada o conscientemente paralela [</w:t>
      </w:r>
      <w:r w:rsidRPr="00F64776">
        <w:rPr>
          <w:i/>
        </w:rPr>
        <w:t>sic</w:t>
      </w:r>
      <w:r>
        <w:t>] es contraria a la normativa de defensa de la competencia (aun cuando ataña únicamente al mercado español y no real ni potencialmente al comercio entre los Estados miembros de la UE) se ha de acudir a la normativa comunitaria: la posibilidad de establecer restricciones a la libre competencia viene autorizada por el Reglamento (UE) 330/2010, de la Comisión de 20 de abril, de aplicación del artículo 101, apartado 3, del Tratado de Funcionamiento de la Unión Europea, aplicable a determinadas categorías de acuerdos verticales y prácticas concertadas —reglamento también denominado ‘de Restricciones Verticales’; para la correcta interpretación de este reglamento la Comisión publicó las llamadas ‘Directrices relativas a las restricciones verticales 2010/C 130/01’”.</w:t>
      </w:r>
    </w:p>
    <w:p w14:paraId="5BB9D025" w14:textId="77777777" w:rsidR="00F64776" w:rsidRDefault="00F64776" w:rsidP="00F64776">
      <w:pPr>
        <w:pStyle w:val="TextoNormal"/>
      </w:pPr>
    </w:p>
    <w:p w14:paraId="419154F0" w14:textId="77777777" w:rsidR="00F64776" w:rsidRDefault="00F64776" w:rsidP="00F64776">
      <w:pPr>
        <w:pStyle w:val="TextoNormal"/>
      </w:pPr>
      <w:r>
        <w:t>Luego de unas consideraciones sobre el contenido del Reglamento 330/2010, de 20 de abril, de la Comisión Europea; la cita de algunas comunicaciones dictadas por esta última sobre acuerdos restrictivos de la competencia (“Comunicación d</w:t>
      </w:r>
      <w:r w:rsidRPr="00F64776">
        <w:rPr>
          <w:i/>
        </w:rPr>
        <w:t>e minim</w:t>
      </w:r>
      <w:r>
        <w:t>is”), la traslación de estas reglas al art. 5 LDC y su desarrollo por los arts. 1 a 3 del Reglamento de defensa de la competencia, sostiene la sentencia que:</w:t>
      </w:r>
    </w:p>
    <w:p w14:paraId="2A6DBC0E" w14:textId="77777777" w:rsidR="00F64776" w:rsidRDefault="00F64776" w:rsidP="00F64776">
      <w:pPr>
        <w:pStyle w:val="TextoNormal"/>
      </w:pPr>
    </w:p>
    <w:p w14:paraId="4E79D88D" w14:textId="77777777" w:rsidR="00F64776" w:rsidRDefault="00F64776" w:rsidP="00F64776">
      <w:pPr>
        <w:pStyle w:val="TextoNormal"/>
      </w:pPr>
      <w:r>
        <w:t>“De lo expuesto se sigue, con expreso y terminante fundamento legal, que la ley aplicable española incorpora ineluctablemente, por remisión legal expresa y más allá del ámbito de aplicación territorial de la normativa comunitaria, esa misma normativa de la UE: si un pacto restrictivo de la competencia está autorizado por el Derecho de la Unión el legislador español, lo repetimos, de un modo explícito y terminante, lo reputa asimismo lícito, siempre, claro está, a salvo de la eventual existencia de previsiones más estrictas de nuestro Derecho interno.</w:t>
      </w:r>
    </w:p>
    <w:p w14:paraId="3CF6F109" w14:textId="77777777" w:rsidR="00F64776" w:rsidRDefault="00F64776" w:rsidP="00F64776">
      <w:pPr>
        <w:pStyle w:val="TextoNormal"/>
      </w:pPr>
    </w:p>
    <w:p w14:paraId="70026916" w14:textId="77777777" w:rsidR="00F64776" w:rsidRDefault="00F64776" w:rsidP="00F64776">
      <w:pPr>
        <w:pStyle w:val="TextoNormal"/>
      </w:pPr>
      <w:r>
        <w:t>Y lo que es tan importante: el mero hecho de que el pacto de exclusiva aquí litigioso pudiese no estar amparado por las exenciones del precitado Reglamento 330/2010 de la Comisión —a todas luces aplicable al caso—, tampoco presuponía necesariamente su invalidez; ahora bien, ello obligaba a verificar si, en las circunstancias del caso, ese pacto falseaba o alteraba significativamente la libre competencia”.</w:t>
      </w:r>
    </w:p>
    <w:p w14:paraId="67788D89" w14:textId="77777777" w:rsidR="00F64776" w:rsidRDefault="00F64776" w:rsidP="00F64776">
      <w:pPr>
        <w:pStyle w:val="TextoNormal"/>
      </w:pPr>
    </w:p>
    <w:p w14:paraId="32F1D3FB" w14:textId="77777777" w:rsidR="00F64776" w:rsidRDefault="00F64776" w:rsidP="00F64776">
      <w:pPr>
        <w:pStyle w:val="TextoNormal"/>
      </w:pPr>
      <w:r>
        <w:t>Se hace cita de la sentencia del Tribunal Supremo 899/2007, de 31 de julio; de las Directrices de la Comisión Europea “relativas al concepto de efecto sobre el comercio en el art. 101 TFUE”, de la que reproduce algunas de ellas; afirmando a continuación lo siguiente:</w:t>
      </w:r>
    </w:p>
    <w:p w14:paraId="6CD2BEF5" w14:textId="77777777" w:rsidR="00F64776" w:rsidRDefault="00F64776" w:rsidP="00F64776">
      <w:pPr>
        <w:pStyle w:val="TextoNormal"/>
      </w:pPr>
    </w:p>
    <w:p w14:paraId="0E91476F" w14:textId="77777777" w:rsidR="00F64776" w:rsidRDefault="00F64776" w:rsidP="00F64776">
      <w:pPr>
        <w:pStyle w:val="TextoNormal"/>
      </w:pPr>
      <w:r>
        <w:t xml:space="preserve">«La mera lectura de lo que antecede justifica, sin necesidad de mayor comentario, que, a diferencia de lo que con suma parquedad postula el laudo —§ 293 y 294— en relación con el Derecho aplicable, es insoslayable no excluir la aplicación del Derecho de la competencia de la Unión Europea respecto de un pacto restrictivo que el propio laudo califica como de colusorio por razón del objeto, con incidencia </w:t>
      </w:r>
      <w:r w:rsidRPr="00F64776">
        <w:rPr>
          <w:i/>
        </w:rPr>
        <w:t>per se</w:t>
      </w:r>
      <w:r>
        <w:t xml:space="preserve"> en la libertad de competencia, y máxime cuando se repara en que estamos ante un mercado emergente con pocos operadores, alguno de los cuales actúa a su vez en otros Estados de la Unión —como es, este sí, notoriamente, el caso de Uber—, de modo que resulta evidente que el pacto de exclusiva litigioso podría ocasionar un cambio apreciable en las corrientes comerciales entre Estados miembros desde el prisma de la libertad de establecimiento de empresas nacionales o de otros Estados de la Unión en el mercado de referencia considerado.</w:t>
      </w:r>
    </w:p>
    <w:p w14:paraId="7B06DD78" w14:textId="77777777" w:rsidR="00F64776" w:rsidRDefault="00F64776" w:rsidP="00F64776">
      <w:pPr>
        <w:pStyle w:val="TextoNormal"/>
      </w:pPr>
    </w:p>
    <w:p w14:paraId="3EF9AB9B" w14:textId="77777777" w:rsidR="00F64776" w:rsidRDefault="00F64776" w:rsidP="00F64776">
      <w:pPr>
        <w:pStyle w:val="TextoNormal"/>
      </w:pPr>
      <w:r>
        <w:t xml:space="preserve">El laudo determina arbitrariamente la selección del Derecho aplicable, cuando, </w:t>
      </w:r>
      <w:r w:rsidRPr="00F64776">
        <w:rPr>
          <w:i/>
        </w:rPr>
        <w:t>in casu</w:t>
      </w:r>
      <w:r>
        <w:t>, se limita a considerar “que el criterio que sirve para delimitar el ámbito de aplicación de las normas en materia de control de conductas es el elemento de la afectación del comercio, siendo claro en este caso que la conducta que se le imputa a Cabify afectaría en todo caso exclusivamente al mercado nacional, por lo que decaería el problema de la dualidad normativa” (§ 293). Sobre esta base —que afirma ser expresión de un consenso doctrinal generalizado— entiende que “es claro que la legislación aplicable es la española, no la comunitaria” —la LDC y el RDC—, sin perjuicio “de su función subsidiaria o supletoria cuando así se establezca o proceda” (§ 293), y “del carácter orientador y de guía interpretativa del Derecho europeo” (§ 294). A lo que añade el laudo: “no parece que la cuestión —pese a que las partes han debatido extensamente sobre este extremo— requiera mayor fundamentación” (§ 294).</w:t>
      </w:r>
    </w:p>
    <w:p w14:paraId="2B359872" w14:textId="77777777" w:rsidR="00F64776" w:rsidRDefault="00F64776" w:rsidP="00F64776">
      <w:pPr>
        <w:pStyle w:val="TextoNormal"/>
      </w:pPr>
    </w:p>
    <w:p w14:paraId="56516469" w14:textId="77777777" w:rsidR="00F64776" w:rsidRDefault="00F64776" w:rsidP="00F64776">
      <w:pPr>
        <w:pStyle w:val="TextoNormal"/>
      </w:pPr>
      <w:r>
        <w:t xml:space="preserve">Ni la fundamentación ni la conclusión del laudo sobre esta cuestión básica pueden ser compartidas. Lo expuesto sobre las Directrices de la Comisión, sustentadas en jurisprudencia específica del TJUE, revela, sin lugar a dudas, que el marco geográfico de aplicación de la cláusula de exclusiva en absoluto permite excluir, sin más, la aplicación del Derecho de la Unión. Derecho cuya aplicabilidad no puede ser desechada de un modo axiomático —como el laudo hace—, sin considerar los aspectos definitorios del mercado implicado, cuando precisamente la naturaleza que se atribuye a la práctica restrictiva y los rasgos del mercado en el que esta opera patentizan lo contrario, esto es, que más allá del ámbito geográfico del pacto de exclusiva, la entidad de los operadores concernidos —el laudo califica a Cabify de </w:t>
      </w:r>
      <w:r w:rsidRPr="00F64776">
        <w:rPr>
          <w:i/>
        </w:rPr>
        <w:t>incumbent</w:t>
      </w:r>
      <w:r>
        <w:t xml:space="preserve">, esto es, “como uno de los operadores que marcan el funcionamiento y la evolución del mercado” (§ 289)—, su limitado número en España para la actividad implicada y la actuación en varios países de la Unión de Uber —principal competidor de Cabify en España—, son elementos reveladores de cómo el pacto restrictivo controvertido puede en pura hipótesis contribuir a cerrar el mercado nacional con incidencia evidente en el mercado interior de la Unión. En este sentido llama la atención la inmotivada selección del Derecho aplicable que adopta el laudo cuando, solo por citar un ejemplo, poco antes, en su nota 170, dice lo siguiente sobre Cabify: “Cabify es la segunda </w:t>
      </w:r>
      <w:r w:rsidRPr="00F64776">
        <w:rPr>
          <w:i/>
        </w:rPr>
        <w:t>start-up</w:t>
      </w:r>
      <w:r>
        <w:t xml:space="preserve"> española por capitalización. Es lo que el sector denomina un ‘unicornio’, es decir, una empresa de esta clase que vale más de mil millones. Su valoración se sitúa entre 1200 y 1500 millones de euros, sus ingresos anuales han sido 202M€, el Ebitda es de 7,8M€, la deuda neta es de 19M€ y la proyección de ingresos para 2028 es de 7835M€, todo ello según datos recogidos en el estudio sobre startups españolas llevado a cabo por el banco de inversión Closa y publicado en la revista semanal ‘Actualidad Económica’ (revista semanal de ‘El Mundo’) del 6 al 12 de diciembre de 2020”.</w:t>
      </w:r>
    </w:p>
    <w:p w14:paraId="2AC1C1FB" w14:textId="77777777" w:rsidR="00F64776" w:rsidRDefault="00F64776" w:rsidP="00F64776">
      <w:pPr>
        <w:pStyle w:val="TextoNormal"/>
      </w:pPr>
    </w:p>
    <w:p w14:paraId="399A3F4B" w14:textId="77777777" w:rsidR="00F64776" w:rsidRDefault="00F64776" w:rsidP="00F64776">
      <w:pPr>
        <w:pStyle w:val="TextoNormal"/>
      </w:pPr>
      <w:r>
        <w:t>En esta misma línea argumentativa la sola lectura de la cláusula 2.3.5 del contrato entre Cabify y Auro, de la que el propio laudo da cuenta en su § 153, no hace sino ratificar la conclusión que se viene defendiendo de que resulta ineludible la aplicaci</w:t>
      </w:r>
      <w:r w:rsidRPr="00F64776">
        <w:rPr>
          <w:i/>
        </w:rPr>
        <w:t xml:space="preserve">ón, in </w:t>
      </w:r>
      <w:r>
        <w:t>casu, del art. 101 TFUE y de la jurisprudencia del Tribunal de Justicia de la Unión Europea que lo interpreta de forma auténtica.</w:t>
      </w:r>
    </w:p>
    <w:p w14:paraId="21129897" w14:textId="77777777" w:rsidR="00F64776" w:rsidRDefault="00F64776" w:rsidP="00F64776">
      <w:pPr>
        <w:pStyle w:val="TextoNormal"/>
      </w:pPr>
    </w:p>
    <w:p w14:paraId="51888FE9" w14:textId="77777777" w:rsidR="00F64776" w:rsidRDefault="00F64776" w:rsidP="00F64776">
      <w:pPr>
        <w:pStyle w:val="TextoNormal"/>
      </w:pPr>
      <w:r>
        <w:t>[…]</w:t>
      </w:r>
    </w:p>
    <w:p w14:paraId="188DEB08" w14:textId="77777777" w:rsidR="00F64776" w:rsidRDefault="00F64776" w:rsidP="00F64776">
      <w:pPr>
        <w:pStyle w:val="TextoNormal"/>
      </w:pPr>
    </w:p>
    <w:p w14:paraId="6DA24025" w14:textId="77777777" w:rsidR="00F64776" w:rsidRDefault="00F64776" w:rsidP="00F64776">
      <w:pPr>
        <w:pStyle w:val="TextoNormal"/>
      </w:pPr>
      <w:r>
        <w:t>2. La “infracción del orden público” y el llamado “control de fondo” en la acción de anulación: especial referencia a la necesaria verificación por el Tribunal competente de que el laudo observa las reglas imperativas y, en particular, las normas esenciales del Derecho de la Competencia de la Unión Europea, tal y como son entendidas por el TJUE».</w:t>
      </w:r>
    </w:p>
    <w:p w14:paraId="4B4E56F9" w14:textId="77777777" w:rsidR="00F64776" w:rsidRDefault="00F64776" w:rsidP="00F64776">
      <w:pPr>
        <w:pStyle w:val="TextoNormal"/>
      </w:pPr>
    </w:p>
    <w:p w14:paraId="1BA62A8B" w14:textId="77777777" w:rsidR="00F64776" w:rsidRDefault="00F64776" w:rsidP="00F64776">
      <w:pPr>
        <w:pStyle w:val="TextoNormal"/>
      </w:pPr>
      <w:r>
        <w:t xml:space="preserve">Avanza el fundamento de Derecho cuarto de la sentencia para tratar sobre el alcance del control judicial de los tribunales superiores de justicia al resolver las acciones de anulación de laudos arbitrales, trayendo a colación pronunciamientos de este Tribunal Constitucional. Si bien reconoce la sentencia que la acción de anulación “no abre una segunda instancia, un </w:t>
      </w:r>
      <w:r w:rsidRPr="00F64776">
        <w:rPr>
          <w:i/>
        </w:rPr>
        <w:t>novum iudicium</w:t>
      </w:r>
      <w:r>
        <w:t xml:space="preserve"> en el que pueda revisar sin limitaciones con ‘plenitud de jurisdicción’ —en locución del Tribunal Europeo de Derechos Humanos— el juicio de hecho y el razonamiento de derecho efectuado por el tribunal arbitral”, ni es tampoco una “suerte de casación”, ello no implica sin embargo, continúa diciendo la sentencia, que esté excluido de su ámbito de jurisdicción todo análisis del fondo de la controversia, como por ejemplo “la naturaleza disponible; o no, de la materia controvertida, su régimen jurídico”, siendo que “no pocas materias son disponibles, perfectamente susceptibles de arbitraje, pese a que aspectos de su ordenación estén regulados por normas imperativas, lo que no excusa el deber de los árbitros de aplicar dichas normas, so pena de infringir el orden público”. Sobre esta base, asegura la sentencia, tras hacer una cita de doctrina científica, que:</w:t>
      </w:r>
    </w:p>
    <w:p w14:paraId="282B2F68" w14:textId="77777777" w:rsidR="00F64776" w:rsidRDefault="00F64776" w:rsidP="00F64776">
      <w:pPr>
        <w:pStyle w:val="TextoNormal"/>
      </w:pPr>
    </w:p>
    <w:p w14:paraId="2D491283" w14:textId="77777777" w:rsidR="00F64776" w:rsidRDefault="00F64776" w:rsidP="00F64776">
      <w:pPr>
        <w:pStyle w:val="TextoNormal"/>
      </w:pPr>
      <w:r>
        <w:t>“[…] a la vez que se postula que el respeto de las normas imperativas es un deber del árbitro que, si incumplido, vulnera el orden público, se afirma un incomprensible ‘exceso de jurisdicción’ cuando el tribunal llamado a juzgar, precisamente, si el laudo ha infringido dicho orden público se decide a comprobar si, al dictarlo, se han observado, o no, esas mismas normas imperativas…</w:t>
      </w:r>
    </w:p>
    <w:p w14:paraId="372B5AC1" w14:textId="77777777" w:rsidR="00F64776" w:rsidRDefault="00F64776" w:rsidP="00F64776">
      <w:pPr>
        <w:pStyle w:val="TextoNormal"/>
      </w:pPr>
    </w:p>
    <w:p w14:paraId="1EABD520" w14:textId="77777777" w:rsidR="00F64776" w:rsidRDefault="00F64776" w:rsidP="00F64776">
      <w:pPr>
        <w:pStyle w:val="TextoNormal"/>
      </w:pPr>
      <w:r>
        <w:t>De lo que venimos diciendo —y de lo transcrito— se sigue con igual claridad que el concepto de orden público no se limita a la infracción de derechos fundamentales y/o de garantías de índole procesal, ni en las normas internacionales (Ley modelo Uncitral o Convenio de Nueva York) ni en las internas que son trasunto de aquellas; criterio que deriva de una exégesis lógica de tales normas legales y convencionales, por lo demás asumida por la jurisprudencia patria, que siempre ha hablado —lo habremos de reiterar— de que ‘por orden público han de estimarse aquel conjunto de principios, normas rectoras generales y derechos fundamentales constitucionalizados en el ordenamiento jurídico español, siendo sus normas jurídicas básicas e inderogables por la voluntad de las partes, tanto en lo social como en lo económico (sentencia del Tribunal Constitucional, 3 Sala 2ª</w:t>
      </w:r>
      <w:r w:rsidRPr="00F64776">
        <w:rPr>
          <w:i/>
        </w:rPr>
        <w:t xml:space="preserve"> [s</w:t>
      </w:r>
      <w:r>
        <w:t>ic], núm. 54/1989, de 23 de febrero)’ (entre muchas, sentencia de esta sala 58/2015, de 21 de julio, FJ 2)”.</w:t>
      </w:r>
    </w:p>
    <w:p w14:paraId="674E41A6" w14:textId="77777777" w:rsidR="00F64776" w:rsidRDefault="00F64776" w:rsidP="00F64776">
      <w:pPr>
        <w:pStyle w:val="TextoNormal"/>
      </w:pPr>
    </w:p>
    <w:p w14:paraId="73B6EDC4" w14:textId="77777777" w:rsidR="00F64776" w:rsidRDefault="00F64776" w:rsidP="00F64776">
      <w:pPr>
        <w:pStyle w:val="TextoNormal"/>
      </w:pPr>
      <w:r>
        <w:t>Párrafo que, añade, reiteran otras sentencias de la misma Sal</w:t>
      </w:r>
      <w:r w:rsidRPr="00F64776">
        <w:rPr>
          <w:i/>
        </w:rPr>
        <w:t>a a q</w:t>
      </w:r>
      <w:r>
        <w:t>uo en las que también se precisa que:</w:t>
      </w:r>
    </w:p>
    <w:p w14:paraId="7AB8E79E" w14:textId="77777777" w:rsidR="00F64776" w:rsidRDefault="00F64776" w:rsidP="00F64776">
      <w:pPr>
        <w:pStyle w:val="TextoNormal"/>
      </w:pPr>
    </w:p>
    <w:p w14:paraId="4B8F9FA8" w14:textId="77777777" w:rsidR="00F64776" w:rsidRDefault="00F64776" w:rsidP="00F64776">
      <w:pPr>
        <w:pStyle w:val="TextoNormal"/>
      </w:pPr>
      <w:r>
        <w:t>“‘ […] por ende, a los efectos previstos en el citado artículo, debe considerarse contrario al orden público, aquel laudo que vulnere los derechos y libertades fundamentales reconocidos en el Capítulo II, Título I de la Constitución, garantizados a través de lo dispuesto en términos de generalidad en el artículo 24 de la misma, incluyendo la arbitrariedad patente referida en el art. 9.3 de la Constitución, y desde luego, quedando fuera de este concepto la posible justicia del laudo, las deficiencias del fallo o el modo más o menos acertado de resolver la cuestión...’.</w:t>
      </w:r>
    </w:p>
    <w:p w14:paraId="1CF77FEF" w14:textId="77777777" w:rsidR="00F64776" w:rsidRDefault="00F64776" w:rsidP="00F64776">
      <w:pPr>
        <w:pStyle w:val="TextoNormal"/>
      </w:pPr>
    </w:p>
    <w:p w14:paraId="12872AFB" w14:textId="77777777" w:rsidR="00F64776" w:rsidRDefault="00F64776" w:rsidP="00F64776">
      <w:pPr>
        <w:pStyle w:val="TextoNormal"/>
      </w:pPr>
      <w:r>
        <w:t>Al orden público económico se refiere explícitamente el Tribunal Constitucional en la precitada sentencia 54/1989, e implícita, pero inequívocamente, en sus sentencias 46/2020, 17/2021, 55/2021 y 65/2021, cuando dice: que el orden público comprende los derechos fundamentales y las libertades garantizados por la Constitución, así como otros principios esenciales indisponibles para el legislador por exigencia constitucional o de la aplicación de principios admitidos internacionalmente. Entre esos principios se incluyen, evidentemente, las libertades fundamentales de la Unión, la interpretación y aplicación que del Derecho primario y derivado hacen el Tribunal de Justicia de la Unión Europea y, en su seguimiento y adaptación al Derecho interno, la Sala Primera del Tribunal Supremo, que en los últimos años viene desarrollando una labor encomiable de traslación y aplicación de ese orden público europeo, de preeminente —aunque no exclusiva—, naturaleza económica. Supremacía exegética del Tribunal de Justicia de la Unión Europea en el ámbito del Derecho de la Unión asumida convencionalmente por España y reconocida en numerosas ocasiones de forma expresa y categórica por el propio Tribunal Constitucional”.</w:t>
      </w:r>
    </w:p>
    <w:p w14:paraId="236BCCAB" w14:textId="77777777" w:rsidR="00F64776" w:rsidRDefault="00F64776" w:rsidP="00F64776">
      <w:pPr>
        <w:pStyle w:val="TextoNormal"/>
      </w:pPr>
    </w:p>
    <w:p w14:paraId="440276D6" w14:textId="77777777" w:rsidR="00F64776" w:rsidRDefault="00F64776" w:rsidP="00F64776">
      <w:pPr>
        <w:pStyle w:val="TextoNormal"/>
      </w:pPr>
      <w:r>
        <w:t>Continúa refiriéndose al orden público económico diciendo que:</w:t>
      </w:r>
    </w:p>
    <w:p w14:paraId="67A51C50" w14:textId="77777777" w:rsidR="00F64776" w:rsidRDefault="00F64776" w:rsidP="00F64776">
      <w:pPr>
        <w:pStyle w:val="TextoNormal"/>
      </w:pPr>
    </w:p>
    <w:p w14:paraId="22B9D93F" w14:textId="77777777" w:rsidR="00F64776" w:rsidRDefault="00F64776" w:rsidP="00F64776">
      <w:pPr>
        <w:pStyle w:val="TextoNormal"/>
      </w:pPr>
      <w:r>
        <w:t>“Hoy no cabe dudar, a la vista de la jurisprudencia del Tribunal de Justicia de la Unión Europea y del Pleno de la Sala Primera del Tribunal Supremo, v.gr., desde sus sentencias de 20 de enero de 2014 y 265/2015, de 22 de abril, de que, dentro de ese concepto jurídico indeterminado denominado ‘orden público’, ha de incluirse el ‘orden público económico’, que se prevé en normas imperativas y en principios básicos de inexcusable observancia en supuestos necesitados de especial protección por las más variopintas razones: protección del consumidor, salvaguarda del pequeño o mediano inversor o, más ampliamente, tutela de las libertades fundamentales que conforman la Unión Europea...</w:t>
      </w:r>
    </w:p>
    <w:p w14:paraId="2052A046" w14:textId="77777777" w:rsidR="00F64776" w:rsidRDefault="00F64776" w:rsidP="00F64776">
      <w:pPr>
        <w:pStyle w:val="TextoNormal"/>
      </w:pPr>
    </w:p>
    <w:p w14:paraId="7505730B" w14:textId="77777777" w:rsidR="00F64776" w:rsidRDefault="00F64776" w:rsidP="00F64776">
      <w:pPr>
        <w:pStyle w:val="TextoNormal"/>
      </w:pPr>
      <w:r>
        <w:t>Viene, al caso, como ejemplo señero de esas normas imperativas las que regulan con carácter estructural las libertades fundamentales del Derecho de la Unión (v.gr., la libre competencia). Así, la STJCE de 1 de junio de 1999 [asunto C-126/1997 (</w:t>
      </w:r>
      <w:r w:rsidRPr="00F64776">
        <w:rPr>
          <w:i/>
        </w:rPr>
        <w:t>Eco Swiss v. Benetton</w:t>
      </w:r>
      <w:r>
        <w:t>)], declara expresamente (cfr., § 36 y 39) que el art. 81.1 del Tratado Constitutivo CE —hoy art. 101.1 del TFUE— relativo, como es sabido, a la libre competencia, es una disposición fundamental para el funcionamiento del mercado cuya inobservancia justifica la anulación o el no reconocimiento de un laudo precisamente por infracción del orden público; criterio confirmado, entre otras, por la senten</w:t>
      </w:r>
      <w:r w:rsidRPr="00F64776">
        <w:rPr>
          <w:i/>
        </w:rPr>
        <w:t>cia Gaz</w:t>
      </w:r>
      <w:r>
        <w:t xml:space="preserve">prom de 13 de mayo de 2015 (C-536/13). </w:t>
      </w:r>
    </w:p>
    <w:p w14:paraId="4D9E2D47" w14:textId="77777777" w:rsidR="00F64776" w:rsidRDefault="00F64776" w:rsidP="00F64776">
      <w:pPr>
        <w:pStyle w:val="TextoNormal"/>
      </w:pPr>
    </w:p>
    <w:p w14:paraId="3B2FD051" w14:textId="77777777" w:rsidR="00F64776" w:rsidRDefault="00F64776" w:rsidP="00F64776">
      <w:pPr>
        <w:pStyle w:val="TextoNormal"/>
      </w:pPr>
      <w:r>
        <w:t>[…]</w:t>
      </w:r>
    </w:p>
    <w:p w14:paraId="1CDC0680" w14:textId="77777777" w:rsidR="00F64776" w:rsidRDefault="00F64776" w:rsidP="00F64776">
      <w:pPr>
        <w:pStyle w:val="TextoNormal"/>
      </w:pPr>
    </w:p>
    <w:p w14:paraId="061CA57C" w14:textId="77777777" w:rsidR="00F64776" w:rsidRDefault="00F64776" w:rsidP="00F64776">
      <w:pPr>
        <w:pStyle w:val="TextoNormal"/>
      </w:pPr>
      <w:r>
        <w:t>Es comúnmente admitido, también en el ámbito del arbitraje internacional, que la normativa de defensa de la competencia forma parte del orden público transnacional, siendo singular exponente de ello el art. 81 TCE, —hoy art. 101 TFUE —y la normativa de la Unión que lo desarrolla.</w:t>
      </w:r>
    </w:p>
    <w:p w14:paraId="2682869B" w14:textId="77777777" w:rsidR="00F64776" w:rsidRDefault="00F64776" w:rsidP="00F64776">
      <w:pPr>
        <w:pStyle w:val="TextoNormal"/>
      </w:pPr>
    </w:p>
    <w:p w14:paraId="6681C0A7" w14:textId="77777777" w:rsidR="00F64776" w:rsidRDefault="00F64776" w:rsidP="00F64776">
      <w:pPr>
        <w:pStyle w:val="TextoNormal"/>
      </w:pPr>
      <w:r>
        <w:t xml:space="preserve">[…] nuestro ordenamiento ha evolucionado hacia un entendimiento cada vez más acusado de su efecto vinculante sobre los tribunales funcionalmente inferiores —v.gr., STC 37/2012, de 19 de marzo, FJ 7—, con declaración incluso de vulneración del art. 24.1 CE en determinados casos: v.gr., no está de más traer a colación —además del supuesto analizado por la STC 37/2012—, cómo la propia doctrina del Tribunal Constitucional —con los requisitos que en ella se contienen— anuda la lesión del derecho a la tutela judicial efectiva del art. 24.1 CE a la ignorancia de postulados claros bien de la normativa de la Unión —principio de primacía en conexión con el de eficacia directa—, bien de la jurisprudencia conteste del Tribunal de Justicia de la Unión Europea (SSTC 232/2015, 148/2016, 206/2016, 207/2016, 208/2016, 209/2016, 218/2016, 221/2016, 223/2016, 3/2017 y 4/2017). Y ello por no hablar, de nuevo a título de ejemplo, de lo expresamente dispuesto en el art. 5.1 LOPJ [Ley Orgánica del Poder Judicial] respecto de la doctrina del Tribunal Constitucional, y del hecho de que la manifiesta negativa al deber de acatamiento de dicha doctrina por los tribunales confiera especial trascendencia constitucional al recurso de amparo (STC 155/2009)” —FJ </w:t>
      </w:r>
      <w:r w:rsidRPr="00F64776">
        <w:rPr>
          <w:i/>
        </w:rPr>
        <w:t>3 in limi</w:t>
      </w:r>
      <w:r>
        <w:t>ne de la precitada sentencia 61/2017 en autos de anulación de laudo arbitral núm. 37/2017.</w:t>
      </w:r>
    </w:p>
    <w:p w14:paraId="2293956B" w14:textId="77777777" w:rsidR="00F64776" w:rsidRDefault="00F64776" w:rsidP="00F64776">
      <w:pPr>
        <w:pStyle w:val="TextoNormal"/>
      </w:pPr>
    </w:p>
    <w:p w14:paraId="09245735" w14:textId="77777777" w:rsidR="00F64776" w:rsidRDefault="00F64776" w:rsidP="00F64776">
      <w:pPr>
        <w:pStyle w:val="TextoNormal"/>
      </w:pPr>
      <w:r>
        <w:t>Dicho sea esto en un contexto en que la doctrina constitucional es muy clara: al Tribunal Constitucional le corresponde velar, siempre subsidiariamente respecto de los tribunales ordinarios, por el respeto al principio de primacía del Derecho de la Unión y de su exégesis auténtica efectuada por el Tribunal de Justicia de la Unión Europea. Sería una exégesis contextualmente inadmisible de la jurisprudencia del Tribunal Constitucional sobre el ámbito de la acción de anulación aquella que, en la práctica, impidiese que el órgano judicial conocedor de dicha acción no pudiese hacer efectivo ese principio de primacía [sigue la cita de un pasaje de la STC 37/2019, FJ 4, sobre el concepto de “acto aclarado” y el control del principio de primacía por este Tribunal Constitucional].</w:t>
      </w:r>
    </w:p>
    <w:p w14:paraId="6C8A3D31" w14:textId="77777777" w:rsidR="00F64776" w:rsidRDefault="00F64776" w:rsidP="00F64776">
      <w:pPr>
        <w:pStyle w:val="TextoNormal"/>
      </w:pPr>
    </w:p>
    <w:p w14:paraId="3C1D4E46" w14:textId="77777777" w:rsidR="00F64776" w:rsidRDefault="00F64776" w:rsidP="00F64776">
      <w:pPr>
        <w:pStyle w:val="TextoNormal"/>
      </w:pPr>
      <w:r>
        <w:t>[…]</w:t>
      </w:r>
    </w:p>
    <w:p w14:paraId="6F1178E3" w14:textId="77777777" w:rsidR="00F64776" w:rsidRDefault="00F64776" w:rsidP="00F64776">
      <w:pPr>
        <w:pStyle w:val="TextoNormal"/>
      </w:pPr>
    </w:p>
    <w:p w14:paraId="0B6B48BF" w14:textId="77777777" w:rsidR="00F64776" w:rsidRDefault="00F64776" w:rsidP="00F64776">
      <w:pPr>
        <w:pStyle w:val="TextoNormal"/>
      </w:pPr>
      <w:r>
        <w:t>No obsta, pues, a lo que decimos el hecho de que, en general, la Ley de arbitraje interna establezca un ámbito limitado de enjuiciamiento en la acción de anulación, pues el orden público reviste en cada caso el alcance que le es propio. Esta objeción, que el ámbito limitado de la acción de anulación impide al Tribunal verificar el acierto del árbitro a la hora de aplicar las normas de defensa de la competencia —el control de su motivación sería meramente formal o externo—, ha sido expresamente planteada en el asunto C-567/14</w:t>
      </w:r>
      <w:r w:rsidRPr="00F64776">
        <w:rPr>
          <w:i/>
        </w:rPr>
        <w:t>, Genentech Inc. y Hoechst GmbH, Sanofi-Aventis Deutschland Gm</w:t>
      </w:r>
      <w:r>
        <w:t>bH, resuelto por la STJUE de 7 de julio de 2016, que rechaza ese planteamiento y entra a analizar en sentido propio el fondo del asunto.</w:t>
      </w:r>
    </w:p>
    <w:p w14:paraId="7DCECCD1" w14:textId="77777777" w:rsidR="00F64776" w:rsidRDefault="00F64776" w:rsidP="00F64776">
      <w:pPr>
        <w:pStyle w:val="TextoNormal"/>
      </w:pPr>
    </w:p>
    <w:p w14:paraId="1423EB94" w14:textId="77777777" w:rsidR="00F64776" w:rsidRDefault="00F64776" w:rsidP="00F64776">
      <w:pPr>
        <w:pStyle w:val="TextoNormal"/>
      </w:pPr>
      <w:r>
        <w:t xml:space="preserve">Y ello con independencia de que, como también hemos dicho tras la doctrina sentada por el Tribunal Constitucional en sus SS 46/2020, 17/2021, 55/2021 y 65/2021, “no se trata de que esta Sala deba exigir del árbitro el acierto en su decisión; pero sí debemos demandarle, por imperativo constitucional, que su decisión sea expresión de una genuina motivación, acertada o no, pero en ningún caso arbitraria o fruto de la mera expresión de un acto de voluntad. Los tribunales de justicia, genuinos poderes públicos, infringiríamos la Constitución si no verificásemos que el razonamiento de los laudos, en la interpretación normativa y en la valoración probatoria, no es arbitrario, irrazonable, absurdo, patentemente errado, meramente aparente o inexistente, concerniendo también tales exigencias a la motivación del juicio de hecho, esto es, a la ponderación de la prueba directamente conectada con la </w:t>
      </w:r>
      <w:r w:rsidRPr="00F64776">
        <w:rPr>
          <w:i/>
        </w:rPr>
        <w:t>ratio decidendi</w:t>
      </w:r>
      <w:r>
        <w:t>. Da igual cuál sea el origen o la raíz, legal o constitucional, del deber de motivación del laudo: lo que no es cuestionable —y no lo es tampoco por la más reciente jurisprudencia constitucional— es que un tribunal de justicia que no repara un déficit de motivación constitucionalmente relevante infringe él mismo el art. 24.1 CE. Y los parámetros de esa verificación jurisdiccional han de ser, a todas luces, los que conforman el contenido esencial del derecho fundamental implicado y, más ampliamente aún, el contenido constitucionalmente declarado de ese derecho fundamental, precepto o principio constitucional concernido, o principio internacionalmente admitido; en este sentid</w:t>
      </w:r>
      <w:r w:rsidRPr="00F64776">
        <w:rPr>
          <w:i/>
        </w:rPr>
        <w:t>o expressis verb</w:t>
      </w:r>
      <w:r>
        <w:t>is, la STC 65/2021, FJ 5” –Auto 11/2021, de 21 de septiembre».</w:t>
      </w:r>
    </w:p>
    <w:p w14:paraId="4D14051E" w14:textId="77777777" w:rsidR="00F64776" w:rsidRDefault="00F64776" w:rsidP="00F64776">
      <w:pPr>
        <w:pStyle w:val="TextoNormal"/>
      </w:pPr>
    </w:p>
    <w:p w14:paraId="2E9C8B5E" w14:textId="77777777" w:rsidR="00F64776" w:rsidRDefault="00F64776" w:rsidP="00F64776">
      <w:pPr>
        <w:pStyle w:val="TextoNormal"/>
      </w:pPr>
      <w:r>
        <w:t>Tras detenerse en transcribir las conclusiones del abogado general en el asunto resuelto por la STJUE de 7 de julio de 2016 previamente indicada; el fundamento jurídico 26 de esa STJUE; y las conclusiones de la abogada general en el asunto C-109/20 (</w:t>
      </w:r>
      <w:r w:rsidRPr="00F64776">
        <w:rPr>
          <w:i/>
        </w:rPr>
        <w:t>República de Polonia c. PL Holdings Sàrl</w:t>
      </w:r>
      <w:r>
        <w:t xml:space="preserve">); la sentencia de la Sala </w:t>
      </w:r>
      <w:r w:rsidRPr="00F64776">
        <w:rPr>
          <w:i/>
        </w:rPr>
        <w:t>a quo</w:t>
      </w:r>
      <w:r>
        <w:t xml:space="preserve"> recuerda que en el fundamento jurídico 286 del laudo definitivo se asevera que la materia controvertida es de derecho imperativo y en buena medida de orden público, lo que conlleva el deber de control de oficio del tribunal arbitral tal y como lo haría la jurisdicción ordinaria o el regulador, “[c]riterio que no puede ser sino compartido, salvo en aquellos aspectos de defensa de la competencia, claro está, que no sean susceptibles de arbitraje”. Colige además de las citas de SSTJUE que son premisas aplicables en este ámbito “la aplicación del Derecho de la competencia de la Unión y plenitud de la revisión de este tribunal respecto de la motivación </w:t>
      </w:r>
      <w:r w:rsidRPr="00F64776">
        <w:rPr>
          <w:i/>
        </w:rPr>
        <w:t>in iure</w:t>
      </w:r>
      <w:r>
        <w:t xml:space="preserve"> del laudo cuando aparecen concernidas normas imperativas de la defensa de la competencia”, y comenta luego la sentencia algunos ejemplos de pactos restrictivos de la competencia y su tratamiento por la jurisprudencia del Tribunal de Justicia de la Unión Europea, citando algunas resoluciones, cerrando con ello su fundamento de Derecho cuarto.</w:t>
      </w:r>
    </w:p>
    <w:p w14:paraId="52AA80D7" w14:textId="77777777" w:rsidR="00F64776" w:rsidRDefault="00F64776" w:rsidP="00F64776">
      <w:pPr>
        <w:pStyle w:val="TextoNormal"/>
      </w:pPr>
    </w:p>
    <w:p w14:paraId="56DE70DB" w14:textId="77777777" w:rsidR="00F64776" w:rsidRDefault="00F64776" w:rsidP="00F64776">
      <w:pPr>
        <w:pStyle w:val="TextoNormal"/>
      </w:pPr>
      <w:r>
        <w:t>- Resolución del caso: la Sala del Tribunal Superior de Justicia, tras todo lo anterior, pasa a resolver en el fundamento quinto el motivo de impugnación planteado:</w:t>
      </w:r>
    </w:p>
    <w:p w14:paraId="419E9061" w14:textId="77777777" w:rsidR="00F64776" w:rsidRDefault="00F64776" w:rsidP="00F64776">
      <w:pPr>
        <w:pStyle w:val="TextoNormal"/>
      </w:pPr>
    </w:p>
    <w:p w14:paraId="4ADAB419" w14:textId="77777777" w:rsidR="00F64776" w:rsidRDefault="00F64776" w:rsidP="00F64776">
      <w:pPr>
        <w:pStyle w:val="TextoNormal"/>
      </w:pPr>
      <w:r>
        <w:t>“En total congruencia con lo que antecede, visto de modo particular cuanto hemos dicho en el fundamento precedente sobre el marco normativo aplicable y sobre el principio de primacía del Derecho de la Unión como integrados en el orden público tutelado por esta Sala en el seno de la acción de anulación, es palmario que el Tribunal Arbitral ha excluido sin el menor fundamento la aplicación del Derecho de la Unión Europea. Al proceder así ha incurrido realmente en un déficit de motivación constitucionalmente relevante; podría decirse que estamos ante una carencia absoluta de motivación, que esta es más aparente que real al sustentarse en unas premisas de enjuiciamiento equivocadas.</w:t>
      </w:r>
    </w:p>
    <w:p w14:paraId="6DF88BB3" w14:textId="77777777" w:rsidR="00F64776" w:rsidRDefault="00F64776" w:rsidP="00F64776">
      <w:pPr>
        <w:pStyle w:val="TextoNormal"/>
      </w:pPr>
    </w:p>
    <w:p w14:paraId="5FA62A70" w14:textId="77777777" w:rsidR="00F64776" w:rsidRDefault="00F64776" w:rsidP="00F64776">
      <w:pPr>
        <w:pStyle w:val="TextoNormal"/>
      </w:pPr>
      <w:r>
        <w:t>El laudo incurre en un error manifiesto en la selección del Derecho aplicable, sin que a ello se oponga —es evidente de toda evidencia— que las partes hayan pactado la aplicación del Derecho español, en el que no puede dejar de incluirse el Derecho convencional y el Derecho de la Unión Europea. Lo anterior tiene como consecuencia que los principios de primacía y efecto directo del Derecho de la Unión se han visto preteridos desde el punto y hora en que el laudo no repara, debiendo haberlo hecho, en el art. 101 TFUE expresamente invocado —y demás normas con él concordantes—, ni en la jurisprudencia del Tribunal de Justicia de la Unión Europea que interpreta de forma auténtica esa normativa y precisa qué es lo que el Tribunal, sea jurisdiccional o arbitral, ha de verificar y razonar antes de concluir que un pacto es colusorio por razón de su objeto. Jurisprudencia del Tribunal de Justicia de la Unión Europea que, una vez emitida con la suficiente claridad en su contenido y aplicabilidad al caso —como aquí sucede—, goza de una especial fuerza vinculante, pues se constituye en garante principal de los precitados principios de primacía y efecto directo. Dicho sea esto sin perjuicio, claro está, del deber que asiste a los Tribunales nacionales de plantear en su caso la correspondiente cuestión prejudicial.</w:t>
      </w:r>
    </w:p>
    <w:p w14:paraId="78A8F25B" w14:textId="77777777" w:rsidR="00F64776" w:rsidRDefault="00F64776" w:rsidP="00F64776">
      <w:pPr>
        <w:pStyle w:val="TextoNormal"/>
      </w:pPr>
    </w:p>
    <w:p w14:paraId="67851A63" w14:textId="77777777" w:rsidR="00F64776" w:rsidRDefault="00F64776" w:rsidP="00F64776">
      <w:pPr>
        <w:pStyle w:val="TextoNormal"/>
      </w:pPr>
      <w:r>
        <w:t xml:space="preserve">En definitiva, el laudo final ha de ser anulado parcialmente en los términos que interesa la actora —ceñidos a los dos primeros apartados del fallo, pues el punto segundo de la parte dispositiva es indisociable de su apartado primero—; anulación por infracción del orden público [art. 41.1 f) LA] que trae causa de que el </w:t>
      </w:r>
      <w:r w:rsidRPr="00F64776">
        <w:rPr>
          <w:i/>
        </w:rPr>
        <w:t>error iuris</w:t>
      </w:r>
      <w:r>
        <w:t xml:space="preserve"> en la selección del Derecho aplicable vicia de raíz las premisas de enjuiciamiento asumidas por el Tribunal Arbitral y lleva aparejado como consecuencia un déficit absoluto de motivación, derivado de la exclusión del Derecho preferente de la Unión Europea y de la doctrina del Tribunal de Justicia de la Unión Europea aplicable al caso, y de no haber justificado dicha exclusión normativa y jurisprudencial”.</w:t>
      </w:r>
    </w:p>
    <w:p w14:paraId="06F81330" w14:textId="77777777" w:rsidR="00F64776" w:rsidRDefault="00F64776" w:rsidP="00F64776">
      <w:pPr>
        <w:pStyle w:val="TextoNormal"/>
      </w:pPr>
    </w:p>
    <w:p w14:paraId="735D9F2F" w14:textId="77777777" w:rsidR="00F64776" w:rsidRDefault="00F64776" w:rsidP="00F64776">
      <w:pPr>
        <w:pStyle w:val="TextoNormal"/>
      </w:pPr>
      <w:r>
        <w:t>c) A la sentencia se acompaña un voto particular del magistrado presidente de la Sala, donde sostiene que la resolución mayoritaria es contraria a la jurisprudencia de este Tribunal Constitucional “en torno al alcance de la función de control de los laudos arbitrales por parte de los tribunales de justicia, así como en la apreciación indebida de lo que puede ser considerado un déficit de motivación de los laudos arbitrales y cuestión de orden público”.</w:t>
      </w:r>
    </w:p>
    <w:p w14:paraId="3B85128B" w14:textId="77777777" w:rsidR="00F64776" w:rsidRDefault="00F64776" w:rsidP="00F64776">
      <w:pPr>
        <w:pStyle w:val="TextoNormal"/>
      </w:pPr>
    </w:p>
    <w:p w14:paraId="5C86AE13" w14:textId="77777777" w:rsidR="00F64776" w:rsidRDefault="00F64776" w:rsidP="00F64776">
      <w:pPr>
        <w:pStyle w:val="TextoNormal"/>
      </w:pPr>
      <w:r>
        <w:t>E) Incidente de nulidad de actuaciones contra la sentencia de 22 de octubre de 2021</w:t>
      </w:r>
    </w:p>
    <w:p w14:paraId="2C40DE65" w14:textId="77777777" w:rsidR="00F64776" w:rsidRDefault="00F64776" w:rsidP="00F64776">
      <w:pPr>
        <w:pStyle w:val="TextoNormal"/>
      </w:pPr>
    </w:p>
    <w:p w14:paraId="78C3FB1F" w14:textId="77777777" w:rsidR="00F64776" w:rsidRDefault="00F64776" w:rsidP="00F64776">
      <w:pPr>
        <w:pStyle w:val="TextoNormal"/>
      </w:pPr>
      <w:r>
        <w:t>a) El representante procesal de la mercantil Auro New Transport Concept, S.L., presentó escrito de incidente de nulidad de actuaciones contra la sentencia dictada, alegando la vulneración del derecho fundamental a la tutela judicial efectiva (art. 24.1 CE), en la doble faceta o vertiente del derecho a una resolución motivada y a una resolución que sea fundada en Derecho por no incurrir en falta de razonabilidad, “al realizar la resolución impugnada un ensanchamiento del concepto de orden público para revisar el fondo del litigio, excediendo el alcance de la acción de anulación y, a su vez desconociendo el poder de enjuiciamiento de los árbitros y la autonomía de la voluntad de las partes, por lo que la vulneración del artículo 24.1 CE se lleva a cabo en conexión con el artículo 10.1 del texto constitucional”.</w:t>
      </w:r>
    </w:p>
    <w:p w14:paraId="561DAC03" w14:textId="77777777" w:rsidR="00F64776" w:rsidRDefault="00F64776" w:rsidP="00F64776">
      <w:pPr>
        <w:pStyle w:val="TextoNormal"/>
      </w:pPr>
    </w:p>
    <w:p w14:paraId="2D0149CE" w14:textId="77777777" w:rsidR="00F64776" w:rsidRDefault="00F64776" w:rsidP="00F64776">
      <w:pPr>
        <w:pStyle w:val="TextoNormal"/>
      </w:pPr>
      <w:r>
        <w:t>Se concreta más adelante en el escrito que la sentencia incurre en defecto de motivación “ya que la anulación del laudo arbitral se ha fundamentado en una interpretación irrazonable de la concurrencia de la causa de nulidad de orden público establecido en el artículo 41.1 f) [de la Ley de arbitraje], pues la exigencia de motivación de los laudos arbitrales no resulta equivalente al deber de motivación propio de la tutela judicial efectiva”. Luego de recordar que este Tribunal Constitucional ha dictado las SSTC 46/2020, 17/2021, 55/2021 y 65/2021 estimando recursos de amparo contra sentencias de la Sala de lo Civil y Penal del Tribunal Superior de Justicia de Madrid, estimatorias de acciones de anulación de laudos arbitrales, se sostiene que la ahora impugnada proviene de la misma sala y adolece de una “motivación irrazonable generada, a nuestro juicio, otra vez, por la pertinaz voluntad del órgano judicial de sustituir al tribunal arbitral en su decisión de fondo”, añadiendo la cita del ATC 149/2020, de 26 de noviembre, FJ 4 c) acerca de cuándo concurre la causa de especial trascendencia constitucional del recurso por negativa manifiesta implícita a acatar doctrina del Tribunal Constitucional.</w:t>
      </w:r>
    </w:p>
    <w:p w14:paraId="371D6913" w14:textId="77777777" w:rsidR="00F64776" w:rsidRDefault="00F64776" w:rsidP="00F64776">
      <w:pPr>
        <w:pStyle w:val="TextoNormal"/>
      </w:pPr>
    </w:p>
    <w:p w14:paraId="5DB44443" w14:textId="77777777" w:rsidR="00F64776" w:rsidRDefault="00F64776" w:rsidP="00F64776">
      <w:pPr>
        <w:pStyle w:val="TextoNormal"/>
      </w:pPr>
      <w:r>
        <w:t>A continuación el escrito hace un recordatorio de diversos aspectos de la jurisprudencia de este Tribunal Constitucional sobre la actividad arbitral y su control en esta jurisdicción, haciendo hincapié: (i) en la distinta naturaleza de los procedimientos judiciales y arbitrales (con cita de las SSTC 46/2020, FJ 4; 17/2021, FJ 2, y 65/2021, FJ4); (ii) la excepcionalidad del control judicial de las actuaciones arbitrales, siempre en los términos que señale la Ley de arbitraje (con cita de las SSTC 9/2005, de 17 de enero, FJ 5; 17/2021, FJ 2, y 65/2021, FFJJ 4 y 5), excluyendo la posibilidad de que los tribunales conozcan del fondo del asunto (con cita de las SSTC 174/1995, 75/1996, citadas por la 46/2020 de 15 de junio, FJ 4); (iii) se recogen también diversas referencias de la doctrina constitucional al concepto de orden público del art. 41.1 f) de la Ley de arbitraje (con cita de las SSTC 46/2020, FJ 4, y 65/2021, FJ 2) y a la necesidad de su interpretación restrictiva para evitar que se convierta en un pretexto del órgano judicial a fin de revisar la cuestión de fondo (con cita de las SSTC 46/2020, FJ 4 —se indica por error 46/2021—; 17/2021, FJ 2, y 65/2021, FJ 3).</w:t>
      </w:r>
    </w:p>
    <w:p w14:paraId="3C6FF497" w14:textId="77777777" w:rsidR="00F64776" w:rsidRDefault="00F64776" w:rsidP="00F64776">
      <w:pPr>
        <w:pStyle w:val="TextoNormal"/>
      </w:pPr>
    </w:p>
    <w:p w14:paraId="5B3C3D79" w14:textId="77777777" w:rsidR="00F64776" w:rsidRDefault="00F64776" w:rsidP="00F64776">
      <w:pPr>
        <w:pStyle w:val="TextoNormal"/>
      </w:pPr>
      <w:r>
        <w:t>b) Sobre esta base, en el escrito de nulidad se alega que la sentencia supone una “intromisión del órgano judicial en la decisión de fondo del órgano arbitral pues es —obviamente— una valoración por parte de la mayoría de la Sala de las conclusiones alcanzadas por el tribunal arbitral, que considera nulas, erróneas o insuficientes”, pronunciamiento corrector este que resulta “a todas luces, vulnerador del derecho a la tutela judicial efectiva en su vertiente de derecho a una resolución motivada no incursa en irrazonabilidad”. Señala como ejemplos de esta vulneración:</w:t>
      </w:r>
    </w:p>
    <w:p w14:paraId="2E7C06D7" w14:textId="77777777" w:rsidR="00F64776" w:rsidRDefault="00F64776" w:rsidP="00F64776">
      <w:pPr>
        <w:pStyle w:val="TextoNormal"/>
      </w:pPr>
    </w:p>
    <w:p w14:paraId="078EA312" w14:textId="77777777" w:rsidR="00F64776" w:rsidRDefault="00F64776" w:rsidP="00F64776">
      <w:pPr>
        <w:pStyle w:val="TextoNormal"/>
      </w:pPr>
      <w:r>
        <w:t xml:space="preserve">(i) El criterio de la Sala </w:t>
      </w:r>
      <w:r w:rsidRPr="00F64776">
        <w:rPr>
          <w:i/>
        </w:rPr>
        <w:t>a quo</w:t>
      </w:r>
      <w:r>
        <w:t xml:space="preserve"> de que debe aplicarse un doble estándar o dualidad normativa del Derecho nacional y el de la Unión Europea —dualidad que el apartado 293 del laudo rechaza—, lo que cuestiona el escrito de nulidad tratándose de acuerdos o prácticas concertadas que resulten colusorias conforme con el art. 101 TFUE, puesto que “lo que está permitido en el Derecho de la Unión tiene que estar permitido en el Derecho nacional” y por tanto este último no puede prohibir lo que no esté prohibido por el Derecho de la Unión Europea “como dispone el Reglamento (CE) No 1/2003 del Consejo, de 16 de diciembre de 2002, Considerando núm. 8”, y señaló el voto particular del presidente de la Sala </w:t>
      </w:r>
      <w:r w:rsidRPr="00F64776">
        <w:rPr>
          <w:i/>
        </w:rPr>
        <w:t>a quo</w:t>
      </w:r>
      <w:r>
        <w:t>. Cuestión distinta es si se hablara de prácticas unilaterales, donde sí es necesario el doble estándar. Este debate en todo caso “forma parte del fondo del asunto y, en consecuencia, quedaba extramuros de las competencias que ostenta en virtud de la acción de anulación de un laudo arbitral”.</w:t>
      </w:r>
    </w:p>
    <w:p w14:paraId="139CEE70" w14:textId="77777777" w:rsidR="00F64776" w:rsidRDefault="00F64776" w:rsidP="00F64776">
      <w:pPr>
        <w:pStyle w:val="TextoNormal"/>
      </w:pPr>
    </w:p>
    <w:p w14:paraId="5631C197" w14:textId="77777777" w:rsidR="00F64776" w:rsidRDefault="00F64776" w:rsidP="00F64776">
      <w:pPr>
        <w:pStyle w:val="TextoNormal"/>
      </w:pPr>
      <w:r>
        <w:t xml:space="preserve">(ii) El considerar el Tribunal Superior de Justicia que la nulidad de la cláusula del contrato en litigio no debía examinarse solo en virtud de su encaje en alguna de las prácticas colusorias descritas en el art. 1 LDC, sino que esta es una regla de </w:t>
      </w:r>
      <w:r w:rsidRPr="00F64776">
        <w:rPr>
          <w:i/>
        </w:rPr>
        <w:t>minimis</w:t>
      </w:r>
      <w:r>
        <w:t xml:space="preserve"> y también se sujetaba al control del reglamento relativo a las exenciones por categorías, es un razonamiento que también “forma parte del fondo del asunto, quedaba extramuros de su competencia y resulta contrario a la reciente jurisprudencia del Tribunal Constitucional, extractada”.</w:t>
      </w:r>
    </w:p>
    <w:p w14:paraId="249D035A" w14:textId="77777777" w:rsidR="00F64776" w:rsidRDefault="00F64776" w:rsidP="00F64776">
      <w:pPr>
        <w:pStyle w:val="TextoNormal"/>
      </w:pPr>
    </w:p>
    <w:p w14:paraId="52DF8AE3" w14:textId="77777777" w:rsidR="00F64776" w:rsidRDefault="00F64776" w:rsidP="00F64776">
      <w:pPr>
        <w:pStyle w:val="TextoNormal"/>
      </w:pPr>
      <w:r>
        <w:t>(iii) Enjuiciar si la cláusula controvertida podía constituir una restricción de la competencia, como afirmó positivamente el laudo, confrontando la sentencia dicha cláusula con la jurisprudencia del Tribunal de Justicia de la Unión Europea, supone un “juego de intentar recalificar las posiciones del tribunal arbitral, que sin duda constituyen un exceso de intervención del Tribunal Superior de Justicia de Madrid, también son traídas a colación por el presidente de la Sala en su voto particular”.</w:t>
      </w:r>
    </w:p>
    <w:p w14:paraId="034161F0" w14:textId="77777777" w:rsidR="00F64776" w:rsidRDefault="00F64776" w:rsidP="00F64776">
      <w:pPr>
        <w:pStyle w:val="TextoNormal"/>
      </w:pPr>
    </w:p>
    <w:p w14:paraId="14684930" w14:textId="77777777" w:rsidR="00F64776" w:rsidRDefault="00F64776" w:rsidP="00F64776">
      <w:pPr>
        <w:pStyle w:val="TextoNormal"/>
      </w:pPr>
      <w:r>
        <w:t xml:space="preserve">(iv) También entraña una intromisión en el fondo el epígrafe del fundamento de Derecho cuarto de la sentencia, que abarca dieciocho páginas, dedicado a la “infracción del orden público y el llamado control de fondo de la acción de anulación: especial referencia a la necesidad de verificar por el tribunal competente —de la acción de anulación— de que el laudo observa las reglas imperativas” y donde la Sala </w:t>
      </w:r>
      <w:r w:rsidRPr="00F64776">
        <w:rPr>
          <w:i/>
        </w:rPr>
        <w:t>a quo</w:t>
      </w:r>
      <w:r>
        <w:t xml:space="preserve"> concluye que el tribunal arbitral ha vulnerado el principio de primacía del Derecho de la Unión Europea, al haber aplicado el Derecho nacional de la competencia. Sostiene que la Sala une con “poco rigor […] primacía, normas legales de carácter imperativo y orden público, en un esfuerzo por reunir las piezas que le encajen en el concepto de orden público recién confirmado por el Tribunal Constitucional”. Acota el escrito de nulidad que el principio de primacía “se activa solo cuando existe en el ordenamiento nacional una norma que es contradictoria con el Derecho de la Unión”, no cuando hay “armonía” entre los dos ordenamientos, como sucede justamente en el ámbito de los pactos colusorios. Si no hay conflicto, “cualquier mención en el asunto al principio de primacía resulta banal y poco riguroso”.</w:t>
      </w:r>
    </w:p>
    <w:p w14:paraId="637D5FD8" w14:textId="77777777" w:rsidR="00F64776" w:rsidRDefault="00F64776" w:rsidP="00F64776">
      <w:pPr>
        <w:pStyle w:val="TextoNormal"/>
      </w:pPr>
    </w:p>
    <w:p w14:paraId="390CA5BB" w14:textId="77777777" w:rsidR="00F64776" w:rsidRDefault="00F64776" w:rsidP="00F64776">
      <w:pPr>
        <w:pStyle w:val="TextoNormal"/>
      </w:pPr>
      <w:r>
        <w:t>(v) “Finalmente, existe una tensión patente y palmaria sobre el concepto de orden público entre el Tribunal Constitucional español y el Tribunal Superior de Justicia de Madrid […]. El Tribunal Constitucional afirma en su sentencia 17/2021 que, precisamente porque el orden público es un concepto poco nítido se multiplica el riesgo de que se convierta en un mero pretexto para que el órgano judicial reexamine las cuestiones debatidas en el procedimiento arbitral desnaturalizando la institución arbitral y vulnerando al final la autonomía de la voluntad de las partes y el Tribunal Superior de Justicia de Madrid debe acatar esta jurisprudencia y no retarla, so pena de incurrir sucesivamente en vulneraciones del artículo 24.1 CE en relación con el 10 del mismo texto legal”.</w:t>
      </w:r>
    </w:p>
    <w:p w14:paraId="44F05835" w14:textId="77777777" w:rsidR="00F64776" w:rsidRDefault="00F64776" w:rsidP="00F64776">
      <w:pPr>
        <w:pStyle w:val="TextoNormal"/>
      </w:pPr>
    </w:p>
    <w:p w14:paraId="4AD76E17" w14:textId="77777777" w:rsidR="00F64776" w:rsidRDefault="00F64776" w:rsidP="00F64776">
      <w:pPr>
        <w:pStyle w:val="TextoNormal"/>
      </w:pPr>
      <w:r>
        <w:t xml:space="preserve">c) El escrito suplica que con estimación de lo solicitado la Sala </w:t>
      </w:r>
      <w:r w:rsidRPr="00F64776">
        <w:rPr>
          <w:i/>
        </w:rPr>
        <w:t>a quo</w:t>
      </w:r>
      <w:r>
        <w:t xml:space="preserve"> declare vulnerado el derecho de la recurrente a la tutela judicial efectiva (art. 24.1 CE), en su vertiente de motivación irrazonable, “acatando la jurisprudencia de nuestro Tribunal Constitucional”, y por ello declare nula la sentencia de 22 de octubre de 2021, con retroacción de las actuaciones para que dicte nueva resolución que conforme al derecho fundamental vulnerado desestime la acción de anulación interpuesta.</w:t>
      </w:r>
    </w:p>
    <w:p w14:paraId="3ACEBEEB" w14:textId="77777777" w:rsidR="00F64776" w:rsidRDefault="00F64776" w:rsidP="00F64776">
      <w:pPr>
        <w:pStyle w:val="TextoNormal"/>
      </w:pPr>
    </w:p>
    <w:p w14:paraId="205A5660" w14:textId="77777777" w:rsidR="00F64776" w:rsidRDefault="00F64776" w:rsidP="00F64776">
      <w:pPr>
        <w:pStyle w:val="TextoNormal"/>
      </w:pPr>
      <w:r>
        <w:t>F) Desestimación del incidente de nulidad</w:t>
      </w:r>
    </w:p>
    <w:p w14:paraId="3CB4C5F4" w14:textId="77777777" w:rsidR="00F64776" w:rsidRDefault="00F64776" w:rsidP="00F64776">
      <w:pPr>
        <w:pStyle w:val="TextoNormal"/>
      </w:pPr>
    </w:p>
    <w:p w14:paraId="4ACA2599" w14:textId="77777777" w:rsidR="00F64776" w:rsidRDefault="00F64776" w:rsidP="00F64776">
      <w:pPr>
        <w:pStyle w:val="TextoNormal"/>
      </w:pPr>
      <w:r>
        <w:t>Con fecha 11 de enero de 2022 la Sala de lo Civil y Penal del mismo Tribunal Superior de Justicia dictó auto desestimando el incidente de nulidad, condenando en las costas del incidente a la aquí demandante de amparo, y acordó asimismo denegar la suspensión de la eficacia de la sentencia impugnada.</w:t>
      </w:r>
    </w:p>
    <w:p w14:paraId="581E73DD" w14:textId="77777777" w:rsidR="00F64776" w:rsidRDefault="00F64776" w:rsidP="00F64776">
      <w:pPr>
        <w:pStyle w:val="TextoNormal"/>
      </w:pPr>
    </w:p>
    <w:p w14:paraId="4A17A243" w14:textId="77777777" w:rsidR="00F64776" w:rsidRDefault="00F64776" w:rsidP="00F64776">
      <w:pPr>
        <w:pStyle w:val="TextoNormal"/>
      </w:pPr>
      <w:r>
        <w:t>a) En el fundamento de Derecho segundo la Sala, sin resolver todavía la pretensión de nulidad, adelanta su valoración sobre algunas afirmaciones contenidas en el escrito de la aquí recurrente y cómo entiende que ha sido su actuación jurisdiccional:</w:t>
      </w:r>
    </w:p>
    <w:p w14:paraId="539E90D1" w14:textId="77777777" w:rsidR="00F64776" w:rsidRDefault="00F64776" w:rsidP="00F64776">
      <w:pPr>
        <w:pStyle w:val="TextoNormal"/>
      </w:pPr>
    </w:p>
    <w:p w14:paraId="582727F3" w14:textId="77777777" w:rsidR="00F64776" w:rsidRDefault="00F64776" w:rsidP="00F64776">
      <w:pPr>
        <w:pStyle w:val="TextoNormal"/>
      </w:pPr>
      <w:r>
        <w:t>(i) Respecto a la invocación por el escrito de nulidad de la doctrina de este Tribunal Constitucional sobre el alcance revisor de la acción de nulidad de laudos arbitrales, doctrina que el escrito pedía a la Sala acatar, dice el auto que:</w:t>
      </w:r>
    </w:p>
    <w:p w14:paraId="067A6256" w14:textId="77777777" w:rsidR="00F64776" w:rsidRDefault="00F64776" w:rsidP="00F64776">
      <w:pPr>
        <w:pStyle w:val="TextoNormal"/>
      </w:pPr>
    </w:p>
    <w:p w14:paraId="02DA56F1" w14:textId="77777777" w:rsidR="00F64776" w:rsidRDefault="00F64776" w:rsidP="00F64776">
      <w:pPr>
        <w:pStyle w:val="TextoNormal"/>
      </w:pPr>
      <w:r>
        <w:t>“Sabedor de que para que un eventual recurso de amparo sea admisible desde el prisma de su trascendencia constitucional por infracción consciente de la doctrina del Tribunal Constitucional es necesario apreciar un elemento intencional en el tribunal del Poder Judicial, el incidente rememora lo que denomina ‘contenido esencial del derecho fundamental a una resolución motivada, en el marco de una causa de nulidad de laudos arbitrales’, según las precitadas sentencias (§ 39 y 42)”.</w:t>
      </w:r>
    </w:p>
    <w:p w14:paraId="51AA6903" w14:textId="77777777" w:rsidR="00F64776" w:rsidRDefault="00F64776" w:rsidP="00F64776">
      <w:pPr>
        <w:pStyle w:val="TextoNormal"/>
      </w:pPr>
    </w:p>
    <w:p w14:paraId="45A76B48" w14:textId="77777777" w:rsidR="00F64776" w:rsidRDefault="00F64776" w:rsidP="00F64776">
      <w:pPr>
        <w:pStyle w:val="TextoNormal"/>
      </w:pPr>
      <w:r>
        <w:t>(ii) “Hemos de reiterar lo que ya expresa en la sentencia [</w:t>
      </w:r>
      <w:r w:rsidRPr="00F64776">
        <w:rPr>
          <w:i/>
        </w:rPr>
        <w:t>sic</w:t>
      </w:r>
      <w:r>
        <w:t>] con toda claridad: en ningún momento esta Sala ha dicho cuál hubiera sido el resultado de haber aplicado el Derecho de la Unión —sin que ello signifique, como veremos, que en su función de garantizar los principios de primacía y eficacia directa este tribunal no esté llamado a verificar el cumplimiento material de normas imperativas del Derecho de la Unión; lo que sí hemos reprochado al laudo adoptado por mayoría, en un estadio previo, es que, con ignorancia patente de la doctrina del Tribunal de Justicia de la Unión Europea sobre cuándo se ha de aplicar el Derecho de la Unión en materia de libre competencia y de qué se entiende a tal fin por ‘afectación del mercado interior’, haya excluido la aplicabilidad al caso del art. 101 TFUE en relación con lo que sean las prácticas colusorias por razón del objeto, y ello con la subsiguiente ignorancia también de la jurisprudencia específica del Tribunal de Justicia de la Unión Europea en la materia, que, para apreciar cuándo un pacto es colusorio por su objeto, obligaba a analizar una serie de extremos que el laudo anulado ha obviado por completo.</w:t>
      </w:r>
    </w:p>
    <w:p w14:paraId="12175D36" w14:textId="77777777" w:rsidR="00F64776" w:rsidRDefault="00F64776" w:rsidP="00F64776">
      <w:pPr>
        <w:pStyle w:val="TextoNormal"/>
      </w:pPr>
    </w:p>
    <w:p w14:paraId="60A9D867" w14:textId="77777777" w:rsidR="00F64776" w:rsidRDefault="00F64776" w:rsidP="00F64776">
      <w:pPr>
        <w:pStyle w:val="TextoNormal"/>
      </w:pPr>
      <w:r>
        <w:t>[…]</w:t>
      </w:r>
    </w:p>
    <w:p w14:paraId="1D33228B" w14:textId="77777777" w:rsidR="00F64776" w:rsidRDefault="00F64776" w:rsidP="00F64776">
      <w:pPr>
        <w:pStyle w:val="TextoNormal"/>
      </w:pPr>
    </w:p>
    <w:p w14:paraId="0238BC3D" w14:textId="77777777" w:rsidR="00F64776" w:rsidRDefault="00F64776" w:rsidP="00F64776">
      <w:pPr>
        <w:pStyle w:val="TextoNormal"/>
      </w:pPr>
      <w:r>
        <w:t>Hemos de decirlo con toda contundencia: esta Sala no ha confrontado al razonamiento de los árbitros una lectura ‘concreta’ de la jurisprudencia europea, como si con el adjetivo ‘concreta’ se quisiera enfatizar la constatación sesgada o parcial de lo que el Tribunal de Justicia de la Unión Europea dice. La Sala ha constatado en términos literales la doctrina de las sentencias específicas del Tribunal de Justicia de la Unión Europea sobre pactos colusorios por razón del objeto no para censurar las conclusiones a que llegan los árbitros —que por supuesto pueden contravenir normas imperativas de la Unión con infracción del orden público—, sino que esa constatación, en un estadio previo, ha respondido a la finalidad de destacar lo que de por sí es evidente: que, a la hora de laudar, la mayoría del colegio arbitral ha obviado las labores de enjuiciamiento que demanda el Tribunal de Justicia de la Unión Europea, partiendo de unas premisas de análisis contrarias a la doctrina del Tribunal de Justicia de la Unión Europea, con la ineluctable consecuencia de que ese yerro ha viciado de raíz la posterior labor de enjuiciamiento”.</w:t>
      </w:r>
    </w:p>
    <w:p w14:paraId="17C899B3" w14:textId="77777777" w:rsidR="00F64776" w:rsidRDefault="00F64776" w:rsidP="00F64776">
      <w:pPr>
        <w:pStyle w:val="TextoNormal"/>
      </w:pPr>
    </w:p>
    <w:p w14:paraId="78CA5EA5" w14:textId="77777777" w:rsidR="00F64776" w:rsidRDefault="00F64776" w:rsidP="00F64776">
      <w:pPr>
        <w:pStyle w:val="TextoNormal"/>
      </w:pPr>
      <w:r>
        <w:t>b) En el fundamento de Derecho tercero, el auto entra a resolver el incidente planteado. Acerca del deber de acatamiento a la doctrina constitucional ya referenciada, se formula la siguiente declaración de principio:</w:t>
      </w:r>
    </w:p>
    <w:p w14:paraId="6F11DB30" w14:textId="77777777" w:rsidR="00F64776" w:rsidRDefault="00F64776" w:rsidP="00F64776">
      <w:pPr>
        <w:pStyle w:val="TextoNormal"/>
      </w:pPr>
    </w:p>
    <w:p w14:paraId="72C6AC1D" w14:textId="77777777" w:rsidR="00F64776" w:rsidRDefault="00F64776" w:rsidP="00F64776">
      <w:pPr>
        <w:pStyle w:val="TextoNormal"/>
      </w:pPr>
      <w:r>
        <w:t>«El deber de acatamiento que consagra el art. 5.1 LOPJ no excluye la “discrepancia razonada”, inherente a la independencia judicial, que responde, además, a una necesidad reiteradamente puesta de manifiesto por el propio Tribunal Constitucional: la de evitar la petrificación del ordenamiento —v.gr., SSTC 242/1992, 141/1994, 205/1994…—; razón imperiosa de la que da cuenta por cierto el art. 3.1 CC [Código civil], cuando establece la interpretación de las normas conforme a la realidad social del tiempo en que han de ser aplicadas.</w:t>
      </w:r>
    </w:p>
    <w:p w14:paraId="1EB0B42D" w14:textId="77777777" w:rsidR="00F64776" w:rsidRDefault="00F64776" w:rsidP="00F64776">
      <w:pPr>
        <w:pStyle w:val="TextoNormal"/>
      </w:pPr>
    </w:p>
    <w:p w14:paraId="7C469130" w14:textId="77777777" w:rsidR="00F64776" w:rsidRDefault="00F64776" w:rsidP="00F64776">
      <w:pPr>
        <w:pStyle w:val="TextoNormal"/>
      </w:pPr>
      <w:r>
        <w:t xml:space="preserve">Esta evidencia resulta del mismo art. 50.1 b) de la Ley Orgánica del Tribunal Constitucional (LOTC), tal y como es interpretado por el Tribunal Constitucional, quien atribuye especial trascendencia constitucional a un recurso de amparo para la determinación del contenido y alcance de los derechos fundamentales, cuando el Tribunal Constitucional considera que debe aclarar, precisar o incluso cambiar su precedente doctrina —entre muchas, SSTC 155/2009, FJ 2 b) y 132/2020, FJ 2. </w:t>
      </w:r>
      <w:r w:rsidRPr="00F64776">
        <w:rPr>
          <w:i/>
        </w:rPr>
        <w:t>Item</w:t>
      </w:r>
      <w:r>
        <w:t xml:space="preserve"> más: el Tribunal Constitucional, cuando examina la aplicación de su doctrina por los tribunales ordinarios, verifica siempre “si en el caso concurre algún elemento distintivo que obligue a una fundamentación o resultado diferente a lo declarado (hasta) entonces” (v.gr., STC 64/2021, de 20 de marzo, FJ 3). Esto ha de ser así no ya solo porque el Tribunal Constitucional puede aclarar, precisar o variar su jurisprudencia, sino también porque lo exige la naturaleza concreta del recurso de amparo: justamente porque su función es servir de cauce al enjuiciamiento de actos u omisiones que se pretenden contrarios a derechos y libertades fundamentales, el Tribunal Constitucional, como un juez más del caso concreto, tiene que aplicar, cuando no adaptar, sus formulaciones teóricas, su, digamos, “doctrina general”, a las singulares características del objeto que enjuicia en cada caso.</w:t>
      </w:r>
    </w:p>
    <w:p w14:paraId="4E04D66E" w14:textId="77777777" w:rsidR="00F64776" w:rsidRDefault="00F64776" w:rsidP="00F64776">
      <w:pPr>
        <w:pStyle w:val="TextoNormal"/>
      </w:pPr>
    </w:p>
    <w:p w14:paraId="13EADF22" w14:textId="77777777" w:rsidR="00F64776" w:rsidRDefault="00F64776" w:rsidP="00F64776">
      <w:pPr>
        <w:pStyle w:val="TextoNormal"/>
      </w:pPr>
      <w:r>
        <w:t>Hilando con lo que acabamos de decir —cfr. también infra § 4, penúltimo párrafo, de este mismo fundamento: menos aún impide el deber de acatamiento una exégesis sistemática de la doctrina constitucional que precise el sentido y alcance de sus distintas decisiones poniendo de relieve su intrínseca compatibilidad. Tal es, justamente, lo que este tribunal ha verificado de forma explícita en la sentencia cuya nulidad se pretende. Cumple recordar que el FJ 4.2 B, se intitula “el orden público económico de la Unión Europea: especial referencia a la necesidad de observar las normas de defensa de la competencia (art. 101 TFUE y concordantes), tal y como son entendidas por el Tribunal de Justicia de la Unión Europea, también cuando su aplicación tenga lugar al laudar; compatibilidad con la reciente doctrina del Tribunal Constitucional sobre el ámbito de la acción de anulación”.</w:t>
      </w:r>
    </w:p>
    <w:p w14:paraId="7FA36EC1" w14:textId="77777777" w:rsidR="00F64776" w:rsidRDefault="00F64776" w:rsidP="00F64776">
      <w:pPr>
        <w:pStyle w:val="TextoNormal"/>
      </w:pPr>
    </w:p>
    <w:p w14:paraId="3B87DFBE" w14:textId="77777777" w:rsidR="00F64776" w:rsidRDefault="00F64776" w:rsidP="00F64776">
      <w:pPr>
        <w:pStyle w:val="TextoNormal"/>
      </w:pPr>
      <w:r>
        <w:t>Claro que el recurso de amparo adquiere trascendencia constituciona</w:t>
      </w:r>
      <w:r w:rsidRPr="00F64776">
        <w:rPr>
          <w:i/>
        </w:rPr>
        <w:t>l ope leg</w:t>
      </w:r>
      <w:r>
        <w:t>is, con toda lógica, por cierto, cuando el órgano judicial revele una consciente, deliberada e inmotivada oposición a la observancia de lo que el Tribunal Constitucional ha dicho sobre una cuestión específica.</w:t>
      </w:r>
    </w:p>
    <w:p w14:paraId="0A65C8AF" w14:textId="77777777" w:rsidR="00F64776" w:rsidRDefault="00F64776" w:rsidP="00F64776">
      <w:pPr>
        <w:pStyle w:val="TextoNormal"/>
      </w:pPr>
    </w:p>
    <w:p w14:paraId="155F01E8" w14:textId="77777777" w:rsidR="00F64776" w:rsidRDefault="00F64776" w:rsidP="00F64776">
      <w:pPr>
        <w:pStyle w:val="TextoNormal"/>
      </w:pPr>
      <w:r>
        <w:t xml:space="preserve">Pero en absoluto es el caso: antes al contrario, esta Sala, sin la menor elusión motivadora en la respuesta debida a los alegatos de las partes, ha entendido razonadamente en su sentencia que la doctrina del Tribunal Constitucional sobre el ámbito objetivo de la acción de anulación y su referencia a “que el orden público comprende los derechos fundamentales y las libertades garantizados por la Constitución, así como otros principios esenciales indisponibles para el legislador por exigencia constitucional o de la aplicación de principios admitidos internacionalmente”, no puede dejar de entenderse como que entre esos principios admitidos internacionalmente se incluyen, con toda evidencia, los principios de primacía y eficacia directa del Derecho de la Unión, sus libertades fundamentales y la interpretación y aplicación que del Derecho primario y derivado hacen el Tribunal de Justicia de la Unión Europea y, en su seguimiento y adaptación al Derecho interno, la Sala Primera del Tribunal Supremo, que en los últimos años viene desarrollando una labor encomiable de traslación y aplicación de ese orden público europeo, de preeminente —aunque no exclusiva—, naturaleza económica. Supremacía exegética del Tribunal de Justicia de la Unión Europea en el ámbito del Derecho de la Unión asumida convencionalmente por España y reconocida en numerosas ocasiones de forma expresa y categórica por el propio Tribunal Constitucional —cfr. supra FJ 1 </w:t>
      </w:r>
      <w:r w:rsidRPr="00F64776">
        <w:rPr>
          <w:i/>
        </w:rPr>
        <w:t>in fine</w:t>
      </w:r>
      <w:r>
        <w:t>—; supremacía exegética del Tribunal de Justicia de la Unión Europea también evidenciada por el hecho mismo de que el Tribunal Constitucional ha planteado la cuestión prejudicial ante el Tribunal de Justicia de la Unión Europea —ATC 86/2011, en el recurso de amparo 6922/2008.</w:t>
      </w:r>
    </w:p>
    <w:p w14:paraId="3232FEF8" w14:textId="77777777" w:rsidR="00F64776" w:rsidRDefault="00F64776" w:rsidP="00F64776">
      <w:pPr>
        <w:pStyle w:val="TextoNormal"/>
      </w:pPr>
    </w:p>
    <w:p w14:paraId="6FDC433D" w14:textId="77777777" w:rsidR="00F64776" w:rsidRDefault="00F64776" w:rsidP="00F64776">
      <w:pPr>
        <w:pStyle w:val="TextoNormal"/>
      </w:pPr>
      <w:r>
        <w:t>En este sentido, no está de más reiterar que el Tribunal Constitucional ha afirmado que, si bien no le corresponde controlar la adecuación de la actividad de los jueces nacionales al Derecho de la Unión Europea [STC 75/2017, FJ 2), sí debe velar por el respeto del principio de primacía en los casos en los que el Tribunal de Justicia de la Unión Europea haya efectuado una interpretación auténtica de la norma concurrida:</w:t>
      </w:r>
    </w:p>
    <w:p w14:paraId="286A019B" w14:textId="77777777" w:rsidR="00F64776" w:rsidRDefault="00F64776" w:rsidP="00F64776">
      <w:pPr>
        <w:pStyle w:val="TextoNormal"/>
      </w:pPr>
    </w:p>
    <w:p w14:paraId="78EB1E02" w14:textId="77777777" w:rsidR="00F64776" w:rsidRDefault="00F64776" w:rsidP="00F64776">
      <w:pPr>
        <w:pStyle w:val="TextoNormal"/>
      </w:pPr>
      <w:r>
        <w:t>(i) “a este Tribunal ‘corresponde […] velar por el respeto del principio de primacía del Derecho de la Unión cuando […] exista una interpretación auténtica efectuada por el propio Tribunal de Justicia de la Unión Europea’ [FJ 5 c)].</w:t>
      </w:r>
    </w:p>
    <w:p w14:paraId="4CEBAA37" w14:textId="77777777" w:rsidR="00F64776" w:rsidRDefault="00F64776" w:rsidP="00F64776">
      <w:pPr>
        <w:pStyle w:val="TextoNormal"/>
      </w:pPr>
    </w:p>
    <w:p w14:paraId="299256F2" w14:textId="77777777" w:rsidR="00F64776" w:rsidRDefault="00F64776" w:rsidP="00F64776">
      <w:pPr>
        <w:pStyle w:val="TextoNormal"/>
      </w:pPr>
      <w:r>
        <w:t>(ii) el desconocimiento y preterición de una norma de Derecho de la Unión, tal y como ha sido interpretada por el Tribunal de Justicia, ‘puede suponer una selección irrazonable y arbitraria de una norma aplicable al proceso, lo cual puede dar lugar a una vulneración del derecho a la tutela judicial efectiva (STC 145/2012, de 2 de julio, FFJJ 5 y 6)’ [FJ 5 c)].</w:t>
      </w:r>
    </w:p>
    <w:p w14:paraId="1AD5CDC4" w14:textId="77777777" w:rsidR="00F64776" w:rsidRDefault="00F64776" w:rsidP="00F64776">
      <w:pPr>
        <w:pStyle w:val="TextoNormal"/>
      </w:pPr>
    </w:p>
    <w:p w14:paraId="5E764DBD" w14:textId="77777777" w:rsidR="00F64776" w:rsidRDefault="00F64776" w:rsidP="00F64776">
      <w:pPr>
        <w:pStyle w:val="TextoNormal"/>
      </w:pPr>
      <w:r>
        <w:t>(iii) prescindir por ‘propia, autónoma y exclusiva decisión’ del órgano judicial, de la interpretación de un precepto de una norma europea impuesta y señalada por el órgano competente para hacerlo con carácter vinculante, es decir el Tribunal de Justicia de la Unión Europea, vulnera el principio de primacía del Derecho de la Unión Europea [FJ 6 b)]”.</w:t>
      </w:r>
    </w:p>
    <w:p w14:paraId="0E075DC2" w14:textId="77777777" w:rsidR="00F64776" w:rsidRDefault="00F64776" w:rsidP="00F64776">
      <w:pPr>
        <w:pStyle w:val="TextoNormal"/>
      </w:pPr>
    </w:p>
    <w:p w14:paraId="060995EA" w14:textId="77777777" w:rsidR="00F64776" w:rsidRDefault="00F64776" w:rsidP="00F64776">
      <w:pPr>
        <w:pStyle w:val="TextoNormal"/>
      </w:pPr>
      <w:r>
        <w:t>Son palabras de la STC 31/2019, FJ 4, en línea con la doctrina sentada en la STC 232/2015.</w:t>
      </w:r>
    </w:p>
    <w:p w14:paraId="1079FC4E" w14:textId="77777777" w:rsidR="00F64776" w:rsidRDefault="00F64776" w:rsidP="00F64776">
      <w:pPr>
        <w:pStyle w:val="TextoNormal"/>
      </w:pPr>
    </w:p>
    <w:p w14:paraId="62D6E0F7" w14:textId="77777777" w:rsidR="00F64776" w:rsidRDefault="00F64776" w:rsidP="00F64776">
      <w:pPr>
        <w:pStyle w:val="TextoNormal"/>
      </w:pPr>
      <w:r>
        <w:t>Añádase a lo anterior que la sentencia cuya nulidad se pretende se cuida de explicar, con jurisprudencia categórica del Tribunal de Justicia de la Unión Europea, cómo los tribunales internos deben controlar que, al laudar, los árbitros respetan normas imperativas del Derecho de la Unión, tal y como son entendidas por el Tribunal de Justicia de la Unión Europea, y máxime si estas normas conciernen a, concretan y/o desarrollan las libertades fundamentales de la Unión» (Comillas interiores suprimidas).</w:t>
      </w:r>
    </w:p>
    <w:p w14:paraId="44377847" w14:textId="77777777" w:rsidR="00F64776" w:rsidRDefault="00F64776" w:rsidP="00F64776">
      <w:pPr>
        <w:pStyle w:val="TextoNormal"/>
      </w:pPr>
    </w:p>
    <w:p w14:paraId="3503D400" w14:textId="77777777" w:rsidR="00F64776" w:rsidRDefault="00F64776" w:rsidP="00F64776">
      <w:pPr>
        <w:pStyle w:val="TextoNormal"/>
      </w:pPr>
      <w:r>
        <w:t>El auto entra luego a resumir algunas de las sentencias del Tribunal de Justicia europeo. Tras ello señala:</w:t>
      </w:r>
    </w:p>
    <w:p w14:paraId="738B35B1" w14:textId="77777777" w:rsidR="00F64776" w:rsidRDefault="00F64776" w:rsidP="00F64776">
      <w:pPr>
        <w:pStyle w:val="TextoNormal"/>
      </w:pPr>
    </w:p>
    <w:p w14:paraId="68D69634" w14:textId="77777777" w:rsidR="00F64776" w:rsidRDefault="00F64776" w:rsidP="00F64776">
      <w:pPr>
        <w:pStyle w:val="TextoNormal"/>
      </w:pPr>
      <w:r>
        <w:t>“Nuestra sentencia 66/2021 entiende, sin atisbo de arbitrariedad lesiva del derecho a la tutela judicial efectiva, que el control de la motivación de los laudos, en casos como el que nos ocupa —normas imperativas, así declaradas por el Tribunal de Justicia de la Unión Europea, sobre libertades fundamentales de la Unión—, exige, si se ha de respetar el principio de primacía, salvaguardar la observancia de la exégesis clara, inequívoca y auténtica que el Tribunal de Justicia de la Unión Europea haya efectuado de las normas aplicables al caso… Conclusión que no solo es compatible con la doctrina constitucional, sino que se acomoda a su dicción explícita —v.gr. SSTC supra citadas 232/2015, 31/2019 y concordantes—, resultando avalada también por las SSTC 46/2020, 17, 55 y 65/2021, cuando declaran que el orden público controlable por las salas de lo civil y penal de los tribunales superiores de justicia comprende la salvaguarda de la aplicación de principios admitidos internacionalmente; aserto que tiene que ser entendido en conexión con la expresa y categórica inclusión en el principio de primacía del deber de observar la doctrina sentada por el Tribunal de Justicia de la Unión Europea en la interpretación de una norma europea, aseverando el Tribunal Constituciona</w:t>
      </w:r>
      <w:r w:rsidRPr="00F64776">
        <w:rPr>
          <w:i/>
        </w:rPr>
        <w:t>l expressis verb</w:t>
      </w:r>
      <w:r>
        <w:t>is que el Tribunal de Justicia de la Unión Europea es el órgano competente para imponer esa exégesis con carácter vinculante…</w:t>
      </w:r>
    </w:p>
    <w:p w14:paraId="2E8F942D" w14:textId="77777777" w:rsidR="00F64776" w:rsidRDefault="00F64776" w:rsidP="00F64776">
      <w:pPr>
        <w:pStyle w:val="TextoNormal"/>
      </w:pPr>
    </w:p>
    <w:p w14:paraId="613AE5F3" w14:textId="77777777" w:rsidR="00F64776" w:rsidRDefault="00F64776" w:rsidP="00F64776">
      <w:pPr>
        <w:pStyle w:val="TextoNormal"/>
      </w:pPr>
      <w:r>
        <w:t>Ante esta incontrovertible realidad sobre el alcance del orden público cuando resulta concernido el Derecho imperativo de la UE, no parece discutible que la motivación del laudo haya de ser examinada por el tribunal que conoce de la acción de anulación y/o de la solicitud de reconocimiento en España de un laudo extranjero. Y es que la infracción del orden público como causa de anulación ha de comprender la verificación de que el laudo colma aquellos deberes de motivación declarados inexcusables bien por ministerio de la ley, bien, en nuestro caso, por determinación de los Tribunales Constitucional y de Justicia de la Unión Europea, y ello haciendo cuestión aparte de que tal control exceda con toda evidencia el análisis de un erro</w:t>
      </w:r>
      <w:r w:rsidRPr="00F64776">
        <w:rPr>
          <w:i/>
        </w:rPr>
        <w:t>r in proceden</w:t>
      </w:r>
      <w:r>
        <w:t>do”.</w:t>
      </w:r>
    </w:p>
    <w:p w14:paraId="79832FE3" w14:textId="77777777" w:rsidR="00F64776" w:rsidRDefault="00F64776" w:rsidP="00F64776">
      <w:pPr>
        <w:pStyle w:val="TextoNormal"/>
      </w:pPr>
    </w:p>
    <w:p w14:paraId="4897ADBA" w14:textId="77777777" w:rsidR="00F64776" w:rsidRDefault="00F64776" w:rsidP="00F64776">
      <w:pPr>
        <w:pStyle w:val="TextoNormal"/>
      </w:pPr>
      <w:r>
        <w:t>Critica el auto a continuación lo afirmado en el escrito de nulidad sobre la no necesidad de aplicar el principio de primacía del Derecho de la Unión Europea en el asunto controvertido, afirmación que tacha de “visión fragmentaria y parcial del principio en cuestión”, pues también integra este último:</w:t>
      </w:r>
    </w:p>
    <w:p w14:paraId="13B73A97" w14:textId="77777777" w:rsidR="00F64776" w:rsidRDefault="00F64776" w:rsidP="00F64776">
      <w:pPr>
        <w:pStyle w:val="TextoNormal"/>
      </w:pPr>
    </w:p>
    <w:p w14:paraId="30B21B57" w14:textId="77777777" w:rsidR="00F64776" w:rsidRDefault="00F64776" w:rsidP="00F64776">
      <w:pPr>
        <w:pStyle w:val="TextoNormal"/>
      </w:pPr>
      <w:r>
        <w:t>“[E]l deber de observar la interpretación vinculante y auténtica que de esas normas haya efectuado el Tribunal de Justicia de la Unión Europea […]; con independencia de la elaboración normativa del Estado miembro, al margen de que el Estado regule o no regule en contra del Derecho de la Unión, este ha de ser observado en el ámbito de aplicación que le es propio, y ha de serlo tal y como ese Derecho sea entendido de manera clara y conteste por el Tribunal de Justicia de la Unión Europea; y esto es así con mayor razón, si cabe, cuando aparecen concernidas normas imperativas delimitadoras del contenido esencial de las libertades fundamentales de la Unión”.</w:t>
      </w:r>
    </w:p>
    <w:p w14:paraId="2731D14A" w14:textId="77777777" w:rsidR="00F64776" w:rsidRDefault="00F64776" w:rsidP="00F64776">
      <w:pPr>
        <w:pStyle w:val="TextoNormal"/>
      </w:pPr>
    </w:p>
    <w:p w14:paraId="1A28EEAA" w14:textId="77777777" w:rsidR="00F64776" w:rsidRDefault="00F64776" w:rsidP="00F64776">
      <w:pPr>
        <w:pStyle w:val="TextoNormal"/>
      </w:pPr>
      <w:r>
        <w:t>Así se desprende también de “la reiterada doctrina del Tribunal de Justicia de la Unión Europea sobre la eficacia inmediata de las directivas no traspuestas o insuficientemente traspuestas […]; el principio de efecto directo —como el de primacía de construcción jurisprudencial—, rige también cuando no exista norma nacional —no solo cuando esta se opone a la directiva— o cuando la norma nacional traspone deficiente o insuficientemente la directiva: principio de eficacia directa que es concreción de la prevalencia del Derecho de la Unión Europea, que responde a la necesidad imperiosa de que el Derecho de la Unión goce de autonomía y sea, en su seno, uniformemente entendido y aplicado.</w:t>
      </w:r>
    </w:p>
    <w:p w14:paraId="76194ADD" w14:textId="77777777" w:rsidR="00F64776" w:rsidRDefault="00F64776" w:rsidP="00F64776">
      <w:pPr>
        <w:pStyle w:val="TextoNormal"/>
      </w:pPr>
    </w:p>
    <w:p w14:paraId="6CC0A4F3" w14:textId="77777777" w:rsidR="00F64776" w:rsidRDefault="00F64776" w:rsidP="00F64776">
      <w:pPr>
        <w:pStyle w:val="TextoNormal"/>
      </w:pPr>
      <w:r>
        <w:t>[…]</w:t>
      </w:r>
    </w:p>
    <w:p w14:paraId="49C4AAC6" w14:textId="77777777" w:rsidR="00F64776" w:rsidRDefault="00F64776" w:rsidP="00F64776">
      <w:pPr>
        <w:pStyle w:val="TextoNormal"/>
      </w:pPr>
    </w:p>
    <w:p w14:paraId="619A92F9" w14:textId="77777777" w:rsidR="00F64776" w:rsidRDefault="00F64776" w:rsidP="00F64776">
      <w:pPr>
        <w:pStyle w:val="TextoNormal"/>
      </w:pPr>
      <w:r>
        <w:t>Pues bien, la primera y más evidente manifestación del principio de primacía ha de ser, en términos lógicos y jurídicos, la que consagra un deber inexcusable del juez nacional: verificar, de acuerdo con la jurisprudencia del Tribunal de Justicia de la Unión Europea, si el Derecho de la Unión resulta aplicable al caso. […] dejar el principio de primacía en manos de quienes no tienen los medios para preservarlo —v.gr., los árbitros adolecen de legitimación para plantear la cuestión prejudicial— es de todo punto insostenible por contrario a una lógica jurídica elemental; lógica jurídica de la que hace gala la reiterada jurisprudencia del Tribunal de Justicia de la Unión Europea y del Tribunal Constitucional a que nos hemos referido cumplidamente”.</w:t>
      </w:r>
    </w:p>
    <w:p w14:paraId="1D55120B" w14:textId="77777777" w:rsidR="00F64776" w:rsidRDefault="00F64776" w:rsidP="00F64776">
      <w:pPr>
        <w:pStyle w:val="TextoNormal"/>
      </w:pPr>
    </w:p>
    <w:p w14:paraId="355D1A91" w14:textId="77777777" w:rsidR="00F64776" w:rsidRDefault="00F64776" w:rsidP="00F64776">
      <w:pPr>
        <w:pStyle w:val="TextoNormal"/>
      </w:pPr>
      <w:r>
        <w:t>Tras defender que la sentencia actuó dentro del marco de su competencia, reprocha al laudo que no haya reparado “en el art. 101 TFUE expresamente invocado por Cabify —ni en las demás normas con él concordantes—, ni en la jurisprudencia del Tribunal de Justicia de la Unión Europea que interpreta de forma auténtica esa normativa”, y señala algunos ejemplos de lo que el laudo debía haber analizado y no lo hizo. Se ratifica en la conclusión alcanzada en la sentencia, en el sentido de que el laudo impugnado incurrió en “erro</w:t>
      </w:r>
      <w:r w:rsidRPr="00F64776">
        <w:rPr>
          <w:i/>
        </w:rPr>
        <w:t>r iur</w:t>
      </w:r>
      <w:r>
        <w:t>is en la selección del derecho aplicable, [que] ha viciado de raíz las premisas de enjuiciamiento asumidas por el tribunal arbitral, con el consecuente déficit radical de motivación”; y continúa razonando:</w:t>
      </w:r>
    </w:p>
    <w:p w14:paraId="20D1492E" w14:textId="77777777" w:rsidR="00F64776" w:rsidRDefault="00F64776" w:rsidP="00F64776">
      <w:pPr>
        <w:pStyle w:val="TextoNormal"/>
      </w:pPr>
    </w:p>
    <w:p w14:paraId="1A22E949" w14:textId="77777777" w:rsidR="00F64776" w:rsidRDefault="00F64776" w:rsidP="00F64776">
      <w:pPr>
        <w:pStyle w:val="TextoNormal"/>
      </w:pPr>
      <w:r>
        <w:t>“[E]l arbitraje, como equivalente jurisdiccional que es —por la fuerza de cosa juzgada de sus decisiones, tal y como precisa la reciente doctrina del Tribunal Constitucional—, no puede sustraerse a los preceptos, principios y derechos constitucionales, entre ellos los derechos fundamentales que son de inexcusable observancia y de insoslayable control, real y efectivo, por parte de los tribunales llamados a conocer de la acción de anulación; o que el arbitraje ha de respetar el Derecho imperativo de la Unión y/o sus principios esenciales, entre ellos los de eficacia directa y primacía… tribunales de justicia que inconcusamente estarían infringiendo el art. 24.1 CE al conocer de la acción de anulación si, verbigracia, no impidiesen mediante la declaración de nulidad que la motivación de un laudo dé carta de naturaleza a déficits de motivación constitucionalmente relevantes.</w:t>
      </w:r>
    </w:p>
    <w:p w14:paraId="198877DE" w14:textId="77777777" w:rsidR="00F64776" w:rsidRDefault="00F64776" w:rsidP="00F64776">
      <w:pPr>
        <w:pStyle w:val="TextoNormal"/>
      </w:pPr>
    </w:p>
    <w:p w14:paraId="4D8D2AD2" w14:textId="77777777" w:rsidR="00F64776" w:rsidRDefault="00F64776" w:rsidP="00F64776">
      <w:pPr>
        <w:pStyle w:val="TextoNormal"/>
      </w:pPr>
      <w:r>
        <w:t>Ya hemos dejado clara constancia en la sentencia y en el auto que ahora dictamos de que la propia doctrina del Tribunal Constitucional —con los requisitos que en ella se contienen— anuda la lesión del derecho a la tutela judicial efectiva del art. 24.1 CE a la ignorancia de postulados claros bien de la normativa de la Unión —principio de primacía en conexión con el de eficacia directa—, bien de la jurisprudencia conteste del Tribunal de Justicia de la Unión Europea. También queda dicho que esa doctrina constitucional ha de ser compatibilizada con la que define —en un plano de legalidad ordinaria— el ámbito de la acción de anulación: no entenderlo así, excluir de raíz la verificación de que el laudo se acomoda a la jurisprudencia que define en cada caso en qué consista el orden público, sería tanto como intentar la cuadratura del círculo. Sería un entendimiento maximalista y errado de la jurisprudencia constitucional, amén de generador de una insoportable inseguridad jurídica en el ámbito del arbitraje nacional e internacional desarrollado en España, estimar —dicho sea a modo de ejemplo— que si un laudo infringe abiertamente la doctrina, clara y estable, del Tribunal de Justicia de la Unión Europea sobre las reglas estructurales de la libre competencia, de la libertad de establecimiento…, o sobre los derechos irrenunciables de los consumidores y/o de los inversores no profesionales (Directiva</w:t>
      </w:r>
      <w:r w:rsidRPr="00F64776">
        <w:rPr>
          <w:i/>
        </w:rPr>
        <w:t>s MiF</w:t>
      </w:r>
      <w:r>
        <w:t>id), no se estaría vulnerando el orden público económico de la Unión, como causa de anulación de un laudo.</w:t>
      </w:r>
    </w:p>
    <w:p w14:paraId="01D054E9" w14:textId="77777777" w:rsidR="00F64776" w:rsidRDefault="00F64776" w:rsidP="00F64776">
      <w:pPr>
        <w:pStyle w:val="TextoNormal"/>
      </w:pPr>
    </w:p>
    <w:p w14:paraId="7D4E0D19" w14:textId="77777777" w:rsidR="00F64776" w:rsidRDefault="00F64776" w:rsidP="00F64776">
      <w:pPr>
        <w:pStyle w:val="TextoNormal"/>
      </w:pPr>
      <w:r>
        <w:t>En esta línea de pensamiento, no hay que entender fuera de su contexto algunas afirmaciones de la reciente doctrina constitucional, como cuando, en un momento dado, dice la STC 17/2021 ‘que la acción de anulación no es un mecanismo de control de la correcta aplicación de la jurisprudencia’. Este aserto está emitido en un contexto muy claro: que la acción de anulación no es una nueva instancia revisora de los hechos y del derecho aplicado por el laudo. Pero ello en el bien entendido de que el control del orden público afecta a lo que afecta: a veces no quedará más remedio, para verificar el ámbito material y procesal del orden público —tal y como ha sido declarado por el propio Tribunal Constitucional—, que acudir a la jurisprudencia en sentido estricto (y más si esta es la de los Tribunales Constitucional y de Justicia de la Unión) para verificar si se ha infringido una norma o un principio imperativos, un derecho fundamental…</w:t>
      </w:r>
    </w:p>
    <w:p w14:paraId="2337255F" w14:textId="77777777" w:rsidR="00F64776" w:rsidRDefault="00F64776" w:rsidP="00F64776">
      <w:pPr>
        <w:pStyle w:val="TextoNormal"/>
      </w:pPr>
    </w:p>
    <w:p w14:paraId="75C15303" w14:textId="77777777" w:rsidR="00F64776" w:rsidRDefault="00F64776" w:rsidP="00F64776">
      <w:pPr>
        <w:pStyle w:val="TextoNormal"/>
      </w:pPr>
      <w:r>
        <w:t>En este punto, en verdad delicado, una cosa es la independencia de criterio del árbitro —que, como la del juez, ha de ser respetada— y otra que ese criterio no se acomode ostensiblemente al contenido constitucionalmente declarado de un derecho fundamental, o a la interpretación clara y conteste que del Derecho imperativo de la Unión haga el Tribunal de Justicia de la Unión Europea, en cuyos casos ese orden público que es causa de anulación sí puede entenderse conculcado por la contravención de la doctrina jurisprudencial. Decimos esto sin perjuicio de que el árbitro —como el juez— justifique su criterio e incluso razone, ante una eventual acción de anulación, la procedencia de que el tribunal llamado a conocerla suscite una cuestión prejudicial o una cuestión de inconstitucionalidad, para cuyo planteamiento el árbitro adolece de legitimación...; y sin menoscabo, también, por supuesto, de que el tribunal de justicia pueda rectificar su propia jurisprudencia a la vista de lo argüido por el árbitro y/o cumplir con el deber que le pueda asistir de plantear la correspondiente cuestión prejudicial y/o de inconstitucionalidad”.</w:t>
      </w:r>
    </w:p>
    <w:p w14:paraId="075800DD" w14:textId="77777777" w:rsidR="00F64776" w:rsidRDefault="00F64776" w:rsidP="00F64776">
      <w:pPr>
        <w:pStyle w:val="TextoNormal"/>
      </w:pPr>
    </w:p>
    <w:p w14:paraId="06EC74FC" w14:textId="77777777" w:rsidR="00F64776" w:rsidRDefault="00F64776" w:rsidP="00F64776">
      <w:pPr>
        <w:pStyle w:val="TextoNormal"/>
      </w:pPr>
      <w:r>
        <w:t>Finaliza el auto su argumentación para desestimar el incidente de nulidad, diciendo:</w:t>
      </w:r>
    </w:p>
    <w:p w14:paraId="091B528D" w14:textId="77777777" w:rsidR="00F64776" w:rsidRDefault="00F64776" w:rsidP="00F64776">
      <w:pPr>
        <w:pStyle w:val="TextoNormal"/>
      </w:pPr>
    </w:p>
    <w:p w14:paraId="7CA1C9D0" w14:textId="77777777" w:rsidR="00F64776" w:rsidRDefault="00F64776" w:rsidP="00F64776">
      <w:pPr>
        <w:pStyle w:val="TextoNormal"/>
      </w:pPr>
      <w:r>
        <w:t>“Qué sea o deje de ser el orden público, precisamente por su carácter imperativo, en cierto modo extraordinario y restrictivo de la libertad individual y colectiva, no puede quedar al albur de la inseguridad jurídica que derivaría de que, por el hecho de someterse arbitraje</w:t>
      </w:r>
      <w:r w:rsidRPr="00F64776">
        <w:rPr>
          <w:i/>
        </w:rPr>
        <w:t xml:space="preserve"> [s</w:t>
      </w:r>
      <w:r>
        <w:t>ic], no cupiese una aplicación y definición mínimamente unitarias de ese orden público. Para eso, precisamente, está la acción de anulación”.</w:t>
      </w:r>
    </w:p>
    <w:p w14:paraId="4B9385EB" w14:textId="77777777" w:rsidR="00F64776" w:rsidRDefault="00F64776" w:rsidP="00F64776">
      <w:pPr>
        <w:pStyle w:val="TextoNormal"/>
      </w:pPr>
    </w:p>
    <w:p w14:paraId="7D27B8F9" w14:textId="77777777" w:rsidR="00F64776" w:rsidRDefault="00F64776" w:rsidP="00F64776">
      <w:pPr>
        <w:pStyle w:val="TextoNormal"/>
      </w:pPr>
      <w:r>
        <w:t>c) El auto resolutorio del incidente de nulidad se acompaña también de un voto particular formulado por el magistrado presidente de la Sala, en el que sostiene que debió acordarse la nulidad y que el auto, en cuanto ratifica los “planteamientos” de la sentencia, “se aparta de los criterios claramente establecidos por el Tribunal Constitucional en cuanto a la delimitación del alcance de la intervención de los tribunales de justicia en la acción de anulación de los laudos arbitrales”.</w:t>
      </w:r>
    </w:p>
    <w:p w14:paraId="5451A1C2" w14:textId="77777777" w:rsidR="00F64776" w:rsidRDefault="00F64776" w:rsidP="00F64776">
      <w:pPr>
        <w:pStyle w:val="TextoNormal"/>
      </w:pPr>
    </w:p>
    <w:p w14:paraId="4D71EA81" w14:textId="77777777" w:rsidR="00F64776" w:rsidRDefault="00F64776" w:rsidP="00F64776">
      <w:pPr>
        <w:pStyle w:val="TextoNormal"/>
      </w:pPr>
      <w:r>
        <w:t>G) Solicitud de complemento y rectificación del auto de 11 de enero de 2022</w:t>
      </w:r>
    </w:p>
    <w:p w14:paraId="3D7FDCCD" w14:textId="77777777" w:rsidR="00F64776" w:rsidRDefault="00F64776" w:rsidP="00F64776">
      <w:pPr>
        <w:pStyle w:val="TextoNormal"/>
      </w:pPr>
    </w:p>
    <w:p w14:paraId="6C8A237E" w14:textId="77777777" w:rsidR="00F64776" w:rsidRDefault="00F64776" w:rsidP="00F64776">
      <w:pPr>
        <w:pStyle w:val="TextoNormal"/>
      </w:pPr>
      <w:r>
        <w:t>Por escrito del representante procesal de la aquí demandante de amparo que tuvo entrada en la Sal</w:t>
      </w:r>
      <w:r w:rsidRPr="00F64776">
        <w:rPr>
          <w:i/>
        </w:rPr>
        <w:t>a a q</w:t>
      </w:r>
      <w:r>
        <w:t>uo el 18 de enero de 2022, se formalizó solicitud de complemento y corrección del auto de 11 de enero de 2022. La Sala dictó auto el 25 de enero de 2022 acordando no haber lugar a lo solicitado, al entender que no se ha cometido ningún error que deba ser rectificado porque:</w:t>
      </w:r>
    </w:p>
    <w:p w14:paraId="7EFE68A8" w14:textId="77777777" w:rsidR="00F64776" w:rsidRDefault="00F64776" w:rsidP="00F64776">
      <w:pPr>
        <w:pStyle w:val="TextoNormal"/>
      </w:pPr>
    </w:p>
    <w:p w14:paraId="4517E73E" w14:textId="77777777" w:rsidR="00F64776" w:rsidRDefault="00F64776" w:rsidP="00F64776">
      <w:pPr>
        <w:pStyle w:val="TextoNormal"/>
      </w:pPr>
      <w:r>
        <w:t xml:space="preserve">“Esta Sala en todo momento ha tenido en cuenta y ha analizado la doctrina del Tribunal Constitucional que la representación de Auro reputa infringida, concretada fundamentalmente en sus sentencias 46/2020, 17/2021 y 65/2021, y lo ha hecho desde la misma sentencia cuya nulidad se ha pretendido. Tan es así que, si bien por mayoría, hemos argumentado con extensión —en epígrafe específico— cómo dicha doctrina es perfectamente compatible con la también doctrina constitucional relativa a la necesidad de preservar el principio de primacía del Derecho de la Unión. En este contexto, afirmada esa compatibilidad, la Sala —con voto particular discrepante del Excmo. señor presidente—, tanto en la sentencia como en el auto resolutorio del incidente de nulidad ha analizado y explicado y en esa medida respondido a los argumentos que sustentaban la pretensión anulatoria —entendiendo en favor del solicitante que la </w:t>
      </w:r>
      <w:r w:rsidRPr="00F64776">
        <w:rPr>
          <w:i/>
        </w:rPr>
        <w:t>causa petendi</w:t>
      </w:r>
      <w:r>
        <w:t xml:space="preserve"> de la pretensión anulatoria, al formar parte de ella, ha de ser objeto del debido análisis. Pues bien, la Sala ha argumentado su parecer mayoritario de que reiterada doctrina del Tribunal de Justicia de la Unión Europea impide reputar inaplicable al caso de autos el Derecho de la Unión y de cómo la exclusión de esa inexcusable aplicación se ha traducido en un déficit de motivación del laudo anulado constitucionalmente relevante, dado que la no ponderación del Derecho de la Unión, tal y como es entendido por el Tribunal de Justicia de la Unión Europea, ha viciado de raíz la argumentación del tribunal arbitral, que no ha analizado extremos que la doctrina, clara y conteste, del Tribunal de Justicia de la Unión Europea obligaba a examinar antes de poder concluir que un pacto de exclusiva es colusorio por razón de su objeto”.</w:t>
      </w:r>
    </w:p>
    <w:p w14:paraId="7851C586" w14:textId="77777777" w:rsidR="00F64776" w:rsidRDefault="00F64776" w:rsidP="00F64776">
      <w:pPr>
        <w:pStyle w:val="TextoNormal"/>
      </w:pPr>
    </w:p>
    <w:p w14:paraId="40FCB864" w14:textId="7413AC53" w:rsidR="00F64776" w:rsidRDefault="00F64776" w:rsidP="00F64776">
      <w:pPr>
        <w:pStyle w:val="TextoNormal"/>
      </w:pPr>
      <w:r>
        <w:t>H) Notificada esta última resolución judicial se interpone el presente recurso de amparo.</w:t>
      </w:r>
    </w:p>
    <w:p w14:paraId="340217DD" w14:textId="77777777" w:rsidR="00F64776" w:rsidRDefault="00F64776" w:rsidP="00F64776">
      <w:pPr>
        <w:pStyle w:val="TextoNormal"/>
      </w:pPr>
    </w:p>
    <w:p w14:paraId="0D7CA165" w14:textId="77777777" w:rsidR="00F64776" w:rsidRDefault="00F64776" w:rsidP="00F64776">
      <w:pPr>
        <w:pStyle w:val="TextoNormal"/>
      </w:pPr>
      <w:r w:rsidRPr="00F64776">
        <w:rPr>
          <w:rStyle w:val="NumeroAFNegritaCaracter"/>
        </w:rPr>
        <w:t>3</w:t>
      </w:r>
      <w:r>
        <w:t>. La demanda de amparo, dirigida contra las dos resoluciones judiciales a las que se ha hecho mención en el encabezamiento del presente auto, alega que ambas han vulnerado el derecho fundamental de la entidad recurrente a la tutela judicial efectiva (art. 24.1 CE).</w:t>
      </w:r>
    </w:p>
    <w:p w14:paraId="51ADC7A2" w14:textId="77777777" w:rsidR="00F64776" w:rsidRDefault="00F64776" w:rsidP="00F64776">
      <w:pPr>
        <w:pStyle w:val="TextoNormal"/>
      </w:pPr>
    </w:p>
    <w:p w14:paraId="61E5753E" w14:textId="77777777" w:rsidR="00F64776" w:rsidRDefault="00F64776" w:rsidP="00F64776">
      <w:pPr>
        <w:pStyle w:val="TextoNormal"/>
      </w:pPr>
      <w:r>
        <w:t>A) Fundamentación</w:t>
      </w:r>
    </w:p>
    <w:p w14:paraId="4FC1DC03" w14:textId="77777777" w:rsidR="00F64776" w:rsidRDefault="00F64776" w:rsidP="00F64776">
      <w:pPr>
        <w:pStyle w:val="TextoNormal"/>
      </w:pPr>
    </w:p>
    <w:p w14:paraId="6F4324CC" w14:textId="77777777" w:rsidR="00F64776" w:rsidRDefault="00F64776" w:rsidP="00F64776">
      <w:pPr>
        <w:pStyle w:val="TextoNormal"/>
      </w:pPr>
      <w:r>
        <w:t xml:space="preserve">Se hace ante todo cita de las sentencias que ha dictado este tribunal en relación con sentencias de la Sala </w:t>
      </w:r>
      <w:r w:rsidRPr="00F64776">
        <w:rPr>
          <w:i/>
        </w:rPr>
        <w:t>a quo</w:t>
      </w:r>
      <w:r>
        <w:t xml:space="preserve"> anulatorias de laudos arbitrales (SSTC 46/2020, de 11 de enero; 17/2021, de 15 de febrero; 55/2021, de 15 de marzo, y 65/2021, de 15 de marzo), órgano judicial que, dice la demanda, “persiste en una inconcebible resistencia a aplicar la jurisprudencia constitucional llegando a apelar en su auto de 11 de enero de 2022 a un supuesto derecho de la Sala a mantener una ‘discrepancia razonada’ con la doctrina del Alto Tribunal”, obligando además al presidente de dicho órgano a dictar votos particulares discrepantes. El escrito hace un recordatorio y reproducción parcial de algunos fundamentos de las sentencias que conforman la doctrina constitucional a la que se hace referencia, en concreto en cuanto a la naturaleza del arbitraje y su reconocimiento constitucional (con cita de la STC 65/2021, FJ 4); el deber de motivación de los laudos (STC 65/2021, FJ 5); la infracción del orden público como motivo de anulación de los laudos arbitrales y su proyección sobre el derecho a la tutela judicial efectiva (STC 65/2021, FJ 3); y sobre la censura que merecía en aquel caso la decisión del Tribunal Superior de Justicia de Madrid de entrar en el fondo del debate (STC 65/2021, FJ 6).</w:t>
      </w:r>
    </w:p>
    <w:p w14:paraId="376EC4A4" w14:textId="77777777" w:rsidR="00F64776" w:rsidRDefault="00F64776" w:rsidP="00F64776">
      <w:pPr>
        <w:pStyle w:val="TextoNormal"/>
      </w:pPr>
    </w:p>
    <w:p w14:paraId="103330C4" w14:textId="77777777" w:rsidR="00F64776" w:rsidRDefault="00F64776" w:rsidP="00F64776">
      <w:pPr>
        <w:pStyle w:val="TextoNormal"/>
      </w:pPr>
      <w:r>
        <w:t>Señala que la sentencia y auto aquí impugnados “se presentan como una verdadera enmienda a la jurisprudencia constitucional”, al argumentar en su fundamento de derecho cuarto que debía “verificar, más allá de un control puramente formal o externo, si la motivación del laudo se acomoda a normas imperativas del Derecho de la competencia tal y como son entendidas por los supremos tribunales llamados a interpretarlas y, de modo particular, por el Tribunal de Justicia de la Unión Europea”; cuando precisamente la doctrina constitucional dice que debe ser un “mero control externo”. Pese a que el laudo está motivado, porque la Sala entiende su razón de decidir, entra sin embargo en el fondo y realiza un nuevo enjuiciamiento, “con la excusa de una pretendida vulneración del orden público […] imponiendo las propias conclusiones y valoraciones sobre las alcanzadas por el colegio arbitral”.</w:t>
      </w:r>
    </w:p>
    <w:p w14:paraId="093DD016" w14:textId="77777777" w:rsidR="00F64776" w:rsidRDefault="00F64776" w:rsidP="00F64776">
      <w:pPr>
        <w:pStyle w:val="TextoNormal"/>
      </w:pPr>
    </w:p>
    <w:p w14:paraId="7D051CAC" w14:textId="77777777" w:rsidR="00F64776" w:rsidRDefault="00F64776" w:rsidP="00F64776">
      <w:pPr>
        <w:pStyle w:val="TextoNormal"/>
      </w:pPr>
      <w:r>
        <w:t>Explica la demanda que esto se evidencia desde una cuádruple constatación:</w:t>
      </w:r>
    </w:p>
    <w:p w14:paraId="0CBD56C6" w14:textId="77777777" w:rsidR="00F64776" w:rsidRDefault="00F64776" w:rsidP="00F64776">
      <w:pPr>
        <w:pStyle w:val="TextoNormal"/>
      </w:pPr>
    </w:p>
    <w:p w14:paraId="3742CAA2" w14:textId="77777777" w:rsidR="00F64776" w:rsidRDefault="00F64776" w:rsidP="00F64776">
      <w:pPr>
        <w:pStyle w:val="TextoNormal"/>
      </w:pPr>
      <w:r>
        <w:t xml:space="preserve">a) La Sala </w:t>
      </w:r>
      <w:r w:rsidRPr="00F64776">
        <w:rPr>
          <w:i/>
        </w:rPr>
        <w:t>a quo</w:t>
      </w:r>
      <w:r>
        <w:t xml:space="preserve"> “ha sustituido el criterio del tribunal arbitral, con puro pretexto de velar por el cumplimiento del principio de primacía del Derecho de la Unión”.</w:t>
      </w:r>
    </w:p>
    <w:p w14:paraId="63D9A7C1" w14:textId="77777777" w:rsidR="00F64776" w:rsidRDefault="00F64776" w:rsidP="00F64776">
      <w:pPr>
        <w:pStyle w:val="TextoNormal"/>
      </w:pPr>
    </w:p>
    <w:p w14:paraId="60FA56A8" w14:textId="77777777" w:rsidR="00F64776" w:rsidRDefault="00F64776" w:rsidP="00F64776">
      <w:pPr>
        <w:pStyle w:val="TextoNormal"/>
      </w:pPr>
      <w:r>
        <w:t xml:space="preserve">En este apartado la demanda discrepa de la aseveración de principio de la sentencia, referente a que la defensa de la competencia se articula en un sistema de espejo o doble barrera que exige comprobar que también se respeta la normativa de la Unión Europea, aunque los acuerdos solo afecten al mercado interior. Entiende la recurrente que eso no es así, como explicó el laudo definitivo, y que la legislación aplicable es solo la española (LDC, RDC y LCD). Reitera luego argumentos ya vertidos en el anterior escrito de nulidad de actuaciones: el principio de primacía resulta forzado por la sentencia impugnada para poder afirmar esta la vulneración —por el laudo— de una norma imperativa; el citado principio de primacía solo existe si el ordenamiento nacional es contradictorio con el Derecho de la Unión; y ni la sentencia ni el auto posterior —que deniega el incidente de nulidad— se percatan de que existe armonía entre ambos ordenamientos en materia de pactos colusorios, a cuyo efecto la demanda coteja el tenor del art. 101 TFUE y el del art. 1 LDC. No se vulneró por el laudo el principio de primacía, sigue diciendo la entidad recurrente, sino que opera la “interpretación conforme del Derecho nacional con el ordenamiento jurídico de la Unión”, salvo que en aplicación de todas las técnicas hermenéuticas se llegara a un resultado contrario al tenor literal de la norma nacional (se cita STJUE asunto </w:t>
      </w:r>
      <w:r w:rsidRPr="00F64776">
        <w:rPr>
          <w:i/>
        </w:rPr>
        <w:t>Pupino</w:t>
      </w:r>
      <w:r>
        <w:t>, C-105/03, apartados 44 y 47), lo que no ha sucedido en este caso.</w:t>
      </w:r>
    </w:p>
    <w:p w14:paraId="40FE81DE" w14:textId="77777777" w:rsidR="00F64776" w:rsidRDefault="00F64776" w:rsidP="00F64776">
      <w:pPr>
        <w:pStyle w:val="TextoNormal"/>
      </w:pPr>
    </w:p>
    <w:p w14:paraId="3CDDCD7C" w14:textId="77777777" w:rsidR="00F64776" w:rsidRDefault="00F64776" w:rsidP="00F64776">
      <w:pPr>
        <w:pStyle w:val="TextoNormal"/>
      </w:pPr>
      <w:r>
        <w:t xml:space="preserve">b) La Sala </w:t>
      </w:r>
      <w:r w:rsidRPr="00F64776">
        <w:rPr>
          <w:i/>
        </w:rPr>
        <w:t>a quo</w:t>
      </w:r>
      <w:r>
        <w:t xml:space="preserve"> “no respeta el canon de control constitucional de la acción de anulación cuando aplica la jurisprudencia del Tribunal Constitucional relativa al principio de primacía del Derecho de la Unión Europea y el artículo 24 CE”:</w:t>
      </w:r>
    </w:p>
    <w:p w14:paraId="1AF45D97" w14:textId="77777777" w:rsidR="00F64776" w:rsidRDefault="00F64776" w:rsidP="00F64776">
      <w:pPr>
        <w:pStyle w:val="TextoNormal"/>
      </w:pPr>
    </w:p>
    <w:p w14:paraId="463B6026" w14:textId="77777777" w:rsidR="00F64776" w:rsidRDefault="00F64776" w:rsidP="00F64776">
      <w:pPr>
        <w:pStyle w:val="TextoNormal"/>
      </w:pPr>
      <w:r>
        <w:t xml:space="preserve">En una primera reflexión, la demanda afirma que la Sala </w:t>
      </w:r>
      <w:r w:rsidRPr="00F64776">
        <w:rPr>
          <w:i/>
        </w:rPr>
        <w:t>a quo</w:t>
      </w:r>
      <w:r>
        <w:t xml:space="preserve"> incluye en sus resoluciones la cita de doctrina constitucional sobre el derecho fundamental a la tutela judicial efectiva y su supuesta aplicación al ámbito del arbitraje (en concreto la Sala cita las SSTC 232/2015, 148/2016, 206/2016, 207/2016, 208/2016, 209/2016, 218/2016, 221/2016, 223/2016, 3/2017 y 4/2017), ignorando sin embargo al hacerlo el mandato de este Tribunal Constitucional relativo a que el arbitraje se asienta en los artículos 1 y 10 CE y no en el artículo 24 CE (con cita en apoyo de este último aserto, de las SSTC 9/2005, de 17 de enero, FJ 5; 17/2021, FJ 2, y 65/2021, FFJJ 4 y 5). Se refiere después a pasajes de la sentencia recurrida que achacan al laudo arbitral la vulneración del principio de primacía del Derecho de la Unión Europea, lo que además conforme al auto posterior denegando la nulidad supondría una infracción del art. 24.1 CE. De todas las sentencias de este Tribunal Constitucional que trae a colación la Sala </w:t>
      </w:r>
      <w:r w:rsidRPr="00F64776">
        <w:rPr>
          <w:i/>
        </w:rPr>
        <w:t>a quo</w:t>
      </w:r>
      <w:r>
        <w:t>, advierte la demanda, solo dos se refieren al principio de primacía (las SSTC 232/2015 y 148/2016), la mayoría restante no, lo que revela un “uso poco serio de la jurisprudencia” constitucional, ignorando a la par aquella que sí le resultaba directamente aplicable (las SSTC 46/2020, 17/2021, 55/2021 y 65/2021). En todo caso tampoco las dos sentencias antes citadas resultan relevantes, ambas referidas al planteamiento de cuestiones prejudiciales ante el Tribunal de Justicia de la Unión Europea, pues como ya se ha dicho el arbitraje queda al margen del art. 24 CE, conforme también a doctrina de este tribunal, y porque además en ellas se plantean supuestos de incompatibilidad entre el Derecho nacional y el de la Unión Europea, lo que aquí no sucede.</w:t>
      </w:r>
    </w:p>
    <w:p w14:paraId="4CE86044" w14:textId="77777777" w:rsidR="00F64776" w:rsidRDefault="00F64776" w:rsidP="00F64776">
      <w:pPr>
        <w:pStyle w:val="TextoNormal"/>
      </w:pPr>
    </w:p>
    <w:p w14:paraId="3E0FB4B5" w14:textId="77777777" w:rsidR="00F64776" w:rsidRDefault="00F64776" w:rsidP="00F64776">
      <w:pPr>
        <w:pStyle w:val="TextoNormal"/>
      </w:pPr>
      <w:r>
        <w:t xml:space="preserve">c) La Sala </w:t>
      </w:r>
      <w:r w:rsidRPr="00F64776">
        <w:rPr>
          <w:i/>
        </w:rPr>
        <w:t>a quo</w:t>
      </w:r>
      <w:r>
        <w:t xml:space="preserve"> “ha llevado a cabo una interpretación extensiva del orden público presuntamente justificada en la jurisprudencia del Tribunal de Justicia en el asunt</w:t>
      </w:r>
      <w:r w:rsidRPr="00F64776">
        <w:rPr>
          <w:i/>
        </w:rPr>
        <w:t>o Eco Swi</w:t>
      </w:r>
      <w:r>
        <w:t>ss”.</w:t>
      </w:r>
    </w:p>
    <w:p w14:paraId="04113654" w14:textId="77777777" w:rsidR="00F64776" w:rsidRDefault="00F64776" w:rsidP="00F64776">
      <w:pPr>
        <w:pStyle w:val="TextoNormal"/>
      </w:pPr>
    </w:p>
    <w:p w14:paraId="128513B0" w14:textId="77777777" w:rsidR="00F64776" w:rsidRDefault="00F64776" w:rsidP="00F64776">
      <w:pPr>
        <w:pStyle w:val="TextoNormal"/>
      </w:pPr>
      <w:r>
        <w:t xml:space="preserve">Aclara de entrada el escrito de demanda a este respecto, que el Tribunal de Justicia de la Unión Europea, en el asunto </w:t>
      </w:r>
      <w:r w:rsidRPr="00F64776">
        <w:rPr>
          <w:i/>
        </w:rPr>
        <w:t>Eco Swiss</w:t>
      </w:r>
      <w:r>
        <w:t xml:space="preserve"> se limitó a declarar que la prohibición de determinadas conductas en el artículo 101 TFUE actual (antiguo 85 TCE) debía considerarse orden público”. Las consideraciones que, no obstante, vierte la Sala </w:t>
      </w:r>
      <w:r w:rsidRPr="00F64776">
        <w:rPr>
          <w:i/>
        </w:rPr>
        <w:t>a quo</w:t>
      </w:r>
      <w:r>
        <w:t xml:space="preserve"> en el auto desestimatorio del incidente de nulidad, sobre esa sentencia del Alto Tribunal europeo, supone tergiversar esta última, motivo por el cual pasa la demanda a realizar su propio análisis de ella. Más adelante observa el escrito de la recurrente que el laudo definitivo, a diferencia de lo que sostiene la Sala </w:t>
      </w:r>
      <w:r w:rsidRPr="00F64776">
        <w:rPr>
          <w:i/>
        </w:rPr>
        <w:t>a quo</w:t>
      </w:r>
      <w:r>
        <w:t xml:space="preserve">, sí aplicó las causas de nulidad del art. 101 TFUE porque estas tienen una redacción “casi idéntica” a las del art. 1 LDC, alcanzando sin embargo la Sala </w:t>
      </w:r>
      <w:r w:rsidRPr="00F64776">
        <w:rPr>
          <w:i/>
        </w:rPr>
        <w:t>a quo</w:t>
      </w:r>
      <w:r>
        <w:t xml:space="preserve"> un resultado contrario al del laudo.</w:t>
      </w:r>
    </w:p>
    <w:p w14:paraId="3DD40CF6" w14:textId="77777777" w:rsidR="00F64776" w:rsidRDefault="00F64776" w:rsidP="00F64776">
      <w:pPr>
        <w:pStyle w:val="TextoNormal"/>
      </w:pPr>
    </w:p>
    <w:p w14:paraId="6BF57230" w14:textId="77777777" w:rsidR="00F64776" w:rsidRDefault="00F64776" w:rsidP="00F64776">
      <w:pPr>
        <w:pStyle w:val="TextoNormal"/>
      </w:pPr>
      <w:r>
        <w:t xml:space="preserve">d) La Sala </w:t>
      </w:r>
      <w:r w:rsidRPr="00F64776">
        <w:rPr>
          <w:i/>
        </w:rPr>
        <w:t>a quo</w:t>
      </w:r>
      <w:r>
        <w:t xml:space="preserve"> “se ha introducido en la revisión del fondo del asunto y lleva a cabo un enjuiciamiento paralelo al realizado por el Tribunal arbitral”.</w:t>
      </w:r>
    </w:p>
    <w:p w14:paraId="7711FACA" w14:textId="77777777" w:rsidR="00F64776" w:rsidRDefault="00F64776" w:rsidP="00F64776">
      <w:pPr>
        <w:pStyle w:val="TextoNormal"/>
      </w:pPr>
    </w:p>
    <w:p w14:paraId="557B87DB" w14:textId="77777777" w:rsidR="00F64776" w:rsidRDefault="00F64776" w:rsidP="00F64776">
      <w:pPr>
        <w:pStyle w:val="TextoNormal"/>
      </w:pPr>
      <w:r>
        <w:t xml:space="preserve">Se ataca la sentencia del Tribunal Superior de Justicia rescatando más argumentos del previo escrito de nulidad de actuaciones, como el de ser dicha resolución una “verdadera enmienda” a la doctrina constitucional en cuanto al alcance del control de fondo de ese órgano judicial en materia de acción de anulación de laudos arbitrales, postulando la Sala la “plenitud de la revisión […] respecto de la motivación </w:t>
      </w:r>
      <w:r w:rsidRPr="00F64776">
        <w:rPr>
          <w:i/>
        </w:rPr>
        <w:t>in iure</w:t>
      </w:r>
      <w:r>
        <w:t xml:space="preserve"> del laudo cuando aparecen concernidas normas imperativas de defensa de la competencia”; e imputa a la sentencia haber realizado una implícita crítica a la jurisprudencia constitucional —a propósito de recoger un comentario de doctrina científica—. Para la recurrente, en línea con lo opinado en el voto particular del presidente de la Sala </w:t>
      </w:r>
      <w:r w:rsidRPr="00F64776">
        <w:rPr>
          <w:i/>
        </w:rPr>
        <w:t>a quo</w:t>
      </w:r>
      <w:r>
        <w:t>, la sentencia mayoritaria ha entrado en el fondo y contradicho así la doctrina de este Tribunal Constitucional, haciendo una lectura alternativa a la del laudo sobre los pactos restrictivos de la competencia por su objeto, y aplicando el art. 101 TFUE y SSTJUE.</w:t>
      </w:r>
    </w:p>
    <w:p w14:paraId="4FD0A9C8" w14:textId="77777777" w:rsidR="00F64776" w:rsidRDefault="00F64776" w:rsidP="00F64776">
      <w:pPr>
        <w:pStyle w:val="TextoNormal"/>
      </w:pPr>
    </w:p>
    <w:p w14:paraId="716207A4" w14:textId="77777777" w:rsidR="00F64776" w:rsidRDefault="00F64776" w:rsidP="00F64776">
      <w:pPr>
        <w:pStyle w:val="TextoNormal"/>
      </w:pPr>
      <w:r>
        <w:t xml:space="preserve">Finaliza sus consideraciones la demanda haciendo referencia “al mayor reto que la mayoría de la Sala del Tribunal Superior de Justicia de Madrid lanza al Tribunal Constitucional en el auto de 11 de enero de 2022 desestimatorio del incidente de nulidad de actuaciones”, como es la afirmación de un derecho de la Sala </w:t>
      </w:r>
      <w:r w:rsidRPr="00F64776">
        <w:rPr>
          <w:i/>
        </w:rPr>
        <w:t>a quo</w:t>
      </w:r>
      <w:r>
        <w:t xml:space="preserve"> a la “discrepancia razonada, inherente a la independencia judicial”, lo que según la recurrente supone reconocer por los magistrados de la mayoría, que su sentencia conculca dicha doctrina constitucional; y que al hablar además aquella —en el auto desestimatorio de la nulidad— del carácter evolutivo y cambiante de la jurisprudencia constitucional, parece querer indicarle a este tribunal que debe cambiarla y así permitir a la Sala </w:t>
      </w:r>
      <w:r w:rsidRPr="00F64776">
        <w:rPr>
          <w:i/>
        </w:rPr>
        <w:t>a quo</w:t>
      </w:r>
      <w:r>
        <w:t xml:space="preserve"> “persistir en su flagrante vulneración del artículo 24.1 CE”.</w:t>
      </w:r>
    </w:p>
    <w:p w14:paraId="28220349" w14:textId="77777777" w:rsidR="00F64776" w:rsidRDefault="00F64776" w:rsidP="00F64776">
      <w:pPr>
        <w:pStyle w:val="TextoNormal"/>
      </w:pPr>
    </w:p>
    <w:p w14:paraId="55CEC1CB" w14:textId="77777777" w:rsidR="00F64776" w:rsidRDefault="00F64776" w:rsidP="00F64776">
      <w:pPr>
        <w:pStyle w:val="TextoNormal"/>
      </w:pPr>
      <w:r>
        <w:t>B) Suplico</w:t>
      </w:r>
    </w:p>
    <w:p w14:paraId="692E0330" w14:textId="77777777" w:rsidR="00F64776" w:rsidRDefault="00F64776" w:rsidP="00F64776">
      <w:pPr>
        <w:pStyle w:val="TextoNormal"/>
      </w:pPr>
    </w:p>
    <w:p w14:paraId="4045E889" w14:textId="77777777" w:rsidR="00F64776" w:rsidRDefault="00F64776" w:rsidP="00F64776">
      <w:pPr>
        <w:pStyle w:val="TextoNormal"/>
      </w:pPr>
      <w:r>
        <w:t>El escrito de demanda solicitó que este tribunal dictase sentencia otorgando el amparo pretendido, reconociendo el derecho fundamental violado, con nulidad de las dos resoluciones impugnadas y la retroacción de las actuaciones “al momento anterior al dictado de la sentencia 66/2021 para que por el órgano judicial se resuelva de forma respetuosa con los derechos fundamentales vulnerados”.</w:t>
      </w:r>
    </w:p>
    <w:p w14:paraId="1787A3D1" w14:textId="77777777" w:rsidR="00F64776" w:rsidRDefault="00F64776" w:rsidP="00F64776">
      <w:pPr>
        <w:pStyle w:val="TextoNormal"/>
      </w:pPr>
    </w:p>
    <w:p w14:paraId="465193C7" w14:textId="77777777" w:rsidR="00F64776" w:rsidRDefault="00F64776" w:rsidP="00F64776">
      <w:pPr>
        <w:pStyle w:val="TextoNormal"/>
      </w:pPr>
      <w:r>
        <w:t>C) Petición de la medida de suspensión de las resoluciones judiciales impugnadas</w:t>
      </w:r>
    </w:p>
    <w:p w14:paraId="6901AFCD" w14:textId="77777777" w:rsidR="00F64776" w:rsidRDefault="00F64776" w:rsidP="00F64776">
      <w:pPr>
        <w:pStyle w:val="TextoNormal"/>
      </w:pPr>
    </w:p>
    <w:p w14:paraId="30B77B37" w14:textId="77777777" w:rsidR="00F64776" w:rsidRDefault="00F64776" w:rsidP="00F64776">
      <w:pPr>
        <w:pStyle w:val="TextoNormal"/>
      </w:pPr>
      <w:r>
        <w:t>Por medio de otrosí dice en el propio escrito de demanda, la mercantil recurrente solicitó que acordásemos la suspensión de la sentencia y auto de nulidad atacados, mientras se tramita este proceso de amparo. Tras reproducir el tenor del art. 56.2 LOTC, y parte de la fundamentación del ATC 150/2020, de 30 de noviembre, FJ 2, que alude a la doctrina general de este tribunal sobre la posibilidad de suspender el acto o sentencia recurrido a fin de que el amparo interpuesto no pierda su finalidad, el escrito se detiene en la concurrencia de los requisitos para su adopción:</w:t>
      </w:r>
    </w:p>
    <w:p w14:paraId="0A66CE46" w14:textId="77777777" w:rsidR="00F64776" w:rsidRDefault="00F64776" w:rsidP="00F64776">
      <w:pPr>
        <w:pStyle w:val="TextoNormal"/>
      </w:pPr>
    </w:p>
    <w:p w14:paraId="0A30DE88" w14:textId="77777777" w:rsidR="00F64776" w:rsidRDefault="00F64776" w:rsidP="00F64776">
      <w:pPr>
        <w:pStyle w:val="TextoNormal"/>
      </w:pPr>
      <w:r>
        <w:t xml:space="preserve">a) Respecto del relativo a la llamada “apariencia de buen derecho”, reconoce que con carácter general la doctrina constitucional no pondera este factor en orden a suspender o no la resolución impugnada </w:t>
      </w:r>
      <w:r w:rsidRPr="00F64776">
        <w:rPr>
          <w:i/>
        </w:rPr>
        <w:t>ex</w:t>
      </w:r>
      <w:r>
        <w:t xml:space="preserve"> art. 56 LOTC. Con todo, observa (i) que en algún caso este tribunal ha aceptado la conveniencia de efectuar “una mirada de soslayo” al fondo (con cita del ATC 216/1997, de 23 de junio, FJ 1); y (ii) que incluso en ocasiones y para resolver supuestos sustancialmente iguales se ha aceptado la aplicación del </w:t>
      </w:r>
      <w:r w:rsidRPr="00F64776">
        <w:rPr>
          <w:i/>
        </w:rPr>
        <w:t>fumus boni iuris</w:t>
      </w:r>
      <w:r>
        <w:t>, con cita de los AATC 120/1993 y 125/1993, FJ 3, el último de los cuales transcribe.</w:t>
      </w:r>
    </w:p>
    <w:p w14:paraId="15DF5CBC" w14:textId="77777777" w:rsidR="00F64776" w:rsidRDefault="00F64776" w:rsidP="00F64776">
      <w:pPr>
        <w:pStyle w:val="TextoNormal"/>
      </w:pPr>
    </w:p>
    <w:p w14:paraId="6AA82195" w14:textId="77777777" w:rsidR="00F64776" w:rsidRDefault="00F64776" w:rsidP="00F64776">
      <w:pPr>
        <w:pStyle w:val="TextoNormal"/>
      </w:pPr>
      <w:r>
        <w:t xml:space="preserve">Ya casi al final la recurrente vuelve a referirse a este requisito, a fin de añadir que un dato que lo acredita sería la negativa manifiesta mostrada por la Sala </w:t>
      </w:r>
      <w:r w:rsidRPr="00F64776">
        <w:rPr>
          <w:i/>
        </w:rPr>
        <w:t>a quo</w:t>
      </w:r>
      <w:r>
        <w:t xml:space="preserve"> en acatar la doctrina constitucional en la materia, al apelar a un supuesto de derecho a “discrepar razonadamente” de dicha doctrina para así poder reincidir en sus particulares criterios de enjuiciamiento.</w:t>
      </w:r>
    </w:p>
    <w:p w14:paraId="2D8797F3" w14:textId="77777777" w:rsidR="00F64776" w:rsidRDefault="00F64776" w:rsidP="00F64776">
      <w:pPr>
        <w:pStyle w:val="TextoNormal"/>
      </w:pPr>
    </w:p>
    <w:p w14:paraId="0C362F0A" w14:textId="77777777" w:rsidR="00F64776" w:rsidRDefault="00F64776" w:rsidP="00F64776">
      <w:pPr>
        <w:pStyle w:val="TextoNormal"/>
      </w:pPr>
      <w:r>
        <w:t xml:space="preserve">b) Sobre el </w:t>
      </w:r>
      <w:r w:rsidRPr="00F64776">
        <w:rPr>
          <w:i/>
        </w:rPr>
        <w:t>periculum in mora</w:t>
      </w:r>
      <w:r>
        <w:t>, afirma el escrito que de no adoptarse la medida solicitada “se causarían perjuicios irreparables que harían perder al amparo su finalidad”. Tras decir qué es lo que dicha entidad jurídica ha pretendido con la interposición del presente recurso, a saber, que se anulen los actos impugnados, se restituya validez al laudo y se aplique la doctrina constitucional en la materia, considera que tal finalidad quedará frustrada de no acordarse la suspensión porque tras la anulación del laudo, Cabify ha interpuesto el 17 de diciembre de 2021 una nueva solicitud de arbitraje CAM 3120, reproduciendo las cuestiones desestimadas por aquel laudo de diciembre de 2020, frente a la que la recurrente ha contestado y formulado reconvención, asimismo respondida por la otra empresa; pretensiones tocantes al incumplimiento por Auro de la cláusula que había sido anulada por el laudo, más una reclamación por cláusula penal contenida en el contrato y otra “indemnización millonaria, a determinar pericialmente por los supuestos daños causados”, todo lo cual, “vistos los cálculos efectuados por Cabify en el primer arbitraje, podría superar la suma de 200 millones de euros”.</w:t>
      </w:r>
    </w:p>
    <w:p w14:paraId="3542983D" w14:textId="77777777" w:rsidR="00F64776" w:rsidRDefault="00F64776" w:rsidP="00F64776">
      <w:pPr>
        <w:pStyle w:val="TextoNormal"/>
      </w:pPr>
    </w:p>
    <w:p w14:paraId="550B3801" w14:textId="77777777" w:rsidR="00F64776" w:rsidRDefault="00F64776" w:rsidP="00F64776">
      <w:pPr>
        <w:pStyle w:val="TextoNormal"/>
      </w:pPr>
      <w:r>
        <w:t>Añade que examinando lo actuado en los recursos de amparo resueltos por las SSTC 46/2020, 17/2021, 55/2021 y 65/2021, se deduce que la media de duración de estos recursos es aproximadamente de “dos años y, en ningún caso, ha recaído resolución antes de un año”. De allí que sea previsible que el nuevo arbitraje —que deriva de la sentencia aquí impugnada, al anular el laudo de 29 de diciembre de 2020— se tramitará y resolverá antes de que haya recaído sentencia en este recurso de amparo, lo que entiende que privaría de “toda finalidad práctica” a la eventual sentencia estimatoria que en su día se dictase, porque el nuevo laudo que se dictase ya sería para entonces “inatacable, aun siendo eventualmente contradictorio respecto al inicial, habiéndose consumado inexorablemente la vulneración de derechos fundamentales ocasionada por la STC 66/2021 en cuanto quedaría santificada la inconstitucional anulación del laudo de 29 de diciembre de 2020”. La doctrina constitucional permite la suspensión tanto en caso de “irreparabilidad” de los daños, como de “grave dificultad” de la reparación; en este caso aunque se acordarse la nulidad de la sentencia impugnada, habría esa grave dificultad de reparar porque para entonces “existirían dos laudos válidos y potencialmente contradictorios entre las mismas partes y sobre la misma controversia”.</w:t>
      </w:r>
    </w:p>
    <w:p w14:paraId="32B2778A" w14:textId="77777777" w:rsidR="00F64776" w:rsidRDefault="00F64776" w:rsidP="00F64776">
      <w:pPr>
        <w:pStyle w:val="TextoNormal"/>
      </w:pPr>
    </w:p>
    <w:p w14:paraId="6DB3D505" w14:textId="77777777" w:rsidR="00F64776" w:rsidRDefault="00F64776" w:rsidP="00F64776">
      <w:pPr>
        <w:pStyle w:val="TextoNormal"/>
      </w:pPr>
      <w:r>
        <w:t xml:space="preserve">Continúa diciendo que Cabify mantiene contra Auro varios procedimientos judiciales (se identifican hasta tres), en el primero de los cuales y según la demanda, aquella entidad habría pedido al juzgado en la reconvención “exactamente lo mismo que solicitó en el arbitraje”, además con solicitud de diversas medidas cautelares si bien de objeto casi idéntico, a fin de imponer a Auro la prohibición de operar en el mercado si no es en exclusiva con Cabify. Siendo que “Auro, en la legítima convicción de que el laudo después anulado por el Tribunal Superior de Justicia de Madrid le permitía libertad de operar con otras plataformas, entabló en su momento relaciones contractuales con Uber, manteniendo siempre simultáneamente el cumplimiento de sus obligaciones aún vigentes en el contrato de colaboración respecto de Cabify, como así ha hecho”; habiendo adquirido un crédito con Uber por el mismo importe del que tenía contraído con Cabify —20 000 000 €—. “El cese, siquiera provisional, de Auro en sus operaciones con Uber, simultaneadas con las que desarrolla con Cabify, como consecuencia de la adopción de cualquiera de las medidas cautelares que ha articulado Cabify en los procedimientos en curso, daría al traste con toda posibilidad de su reintegro a Uber, a la imposibilidad de mantener sus contratos de </w:t>
      </w:r>
      <w:r w:rsidRPr="00F64776">
        <w:rPr>
          <w:i/>
        </w:rPr>
        <w:t>leasing</w:t>
      </w:r>
      <w:r>
        <w:t xml:space="preserve"> en virtud de los cuales explota los vehículos con licencias VTC, el cese en el suministro por terceros de combustible y la pérdida absoluta de ingresos con los que acometer sus gastos, entre ellos el pago de las nóminas de más de dos mil empleados, abocando al Grupo Auro al concurso de acreedores y a la liquidación de la compañía, con pérdida definitiva de los puestos de trabajo y de las propias licencias VTC”.</w:t>
      </w:r>
    </w:p>
    <w:p w14:paraId="4AEE4F57" w14:textId="77777777" w:rsidR="00F64776" w:rsidRDefault="00F64776" w:rsidP="00F64776">
      <w:pPr>
        <w:pStyle w:val="TextoNormal"/>
      </w:pPr>
    </w:p>
    <w:p w14:paraId="00955160" w14:textId="77777777" w:rsidR="00F64776" w:rsidRDefault="00F64776" w:rsidP="00F64776">
      <w:pPr>
        <w:pStyle w:val="TextoNormal"/>
      </w:pPr>
      <w:r>
        <w:t>Finaliza el escrito suplicando que se tengan por efectuadas dichas manifestaciones y se deje en suspenso la ejecución y eficacia de las resoluciones recurridas en este amparo.</w:t>
      </w:r>
    </w:p>
    <w:p w14:paraId="1B5B7891" w14:textId="77777777" w:rsidR="00F64776" w:rsidRDefault="00F64776" w:rsidP="00F64776">
      <w:pPr>
        <w:pStyle w:val="TextoNormal"/>
      </w:pPr>
    </w:p>
    <w:p w14:paraId="54F7BE08" w14:textId="243D27C2" w:rsidR="00F64776" w:rsidRDefault="00F64776" w:rsidP="00F64776">
      <w:pPr>
        <w:pStyle w:val="TextoNormal"/>
      </w:pPr>
      <w:r>
        <w:t>D) Con fecha 20 de febrero de 2023 el representante procesal de la entidad recurrente presentó en el registro de este tribunal un escrito de manifestaciones reiterando que el recurso tiene especial trascendencia constitucional, e informando de los perjuicios que para dicha mercantil se le ocasionaban con la apertura de un nuevo procedimiento de arbitraje, acordada tras haber sido anulado el laudo ya dictado por la sentencia que se impugna.</w:t>
      </w:r>
    </w:p>
    <w:p w14:paraId="650AB185" w14:textId="77777777" w:rsidR="00F64776" w:rsidRDefault="00F64776" w:rsidP="00F64776">
      <w:pPr>
        <w:pStyle w:val="TextoNormal"/>
      </w:pPr>
    </w:p>
    <w:p w14:paraId="5E7EA7E5" w14:textId="77777777" w:rsidR="00F64776" w:rsidRDefault="00F64776" w:rsidP="00F64776">
      <w:pPr>
        <w:pStyle w:val="TextoNormal"/>
      </w:pPr>
      <w:r w:rsidRPr="00F64776">
        <w:rPr>
          <w:rStyle w:val="NumeroAFNegritaCaracter"/>
        </w:rPr>
        <w:t>4</w:t>
      </w:r>
      <w:r>
        <w:t>. La Sala Primera, Sección Segunda, de este tribunal, dictó providencia el 22 de mayo de 2023, del siguiente tenor: “La Sección Segunda ha examinado el recurso de amparo y ha acordado admitirlo a trámite, apreciando que concurre en el mismo una especial trascendencia constitucional (art. 50.1 LOTC) porque el recurso puede dar ocasión al Tribunal para aclarar o cambiar su doctrina, como consecuencia de un proceso de reflexión interna [STC 155/2009, FJ 2 b)], y el órgano judicial pudiera haber incurrido en una negativa manifiesta del deber de acatamiento de la doctrina de este tribunal [STC 155/2009, FJ 2 f)].</w:t>
      </w:r>
    </w:p>
    <w:p w14:paraId="49CA05FF" w14:textId="77777777" w:rsidR="00F64776" w:rsidRDefault="00F64776" w:rsidP="00F64776">
      <w:pPr>
        <w:pStyle w:val="TextoNormal"/>
      </w:pPr>
    </w:p>
    <w:p w14:paraId="5866BCBC" w14:textId="77777777" w:rsidR="00F64776" w:rsidRDefault="00F64776" w:rsidP="00F64776">
      <w:pPr>
        <w:pStyle w:val="TextoNormal"/>
      </w:pPr>
      <w:r>
        <w:t>Por ello, en aplicación de lo dispuesto en el art. 51 LOTC, diríjase atenta comunicación a la Sala de lo Civil y Penal del Tribunal Superior de Justicia de Madrid a fin de que, en el plazo que no exceda de diez días, remita certificación o fotocopia adverada de las actuaciones correspondientes al procedimiento asunto civil 24-2021 dimanante de procedimiento de laudo arbitral 17-2021; debiendo previamente emplazarse, para que en el plazo de diez días puedan comparecer, si lo desean, en el recurso de amparo a quienes hubieran sido parte en el procedimiento, excepto la parte recurrente en amparo.</w:t>
      </w:r>
    </w:p>
    <w:p w14:paraId="152D7C12" w14:textId="77777777" w:rsidR="00F64776" w:rsidRDefault="00F64776" w:rsidP="00F64776">
      <w:pPr>
        <w:pStyle w:val="TextoNormal"/>
      </w:pPr>
    </w:p>
    <w:p w14:paraId="1DB785F4" w14:textId="7444FB84" w:rsidR="00F64776" w:rsidRDefault="00F64776" w:rsidP="00F64776">
      <w:pPr>
        <w:pStyle w:val="TextoNormal"/>
      </w:pPr>
      <w:r>
        <w:t>De conformidad con la solicitud de la parte actora, fórmese la correspondiente pieza separada de suspensión”.</w:t>
      </w:r>
    </w:p>
    <w:p w14:paraId="4E859DE6" w14:textId="77777777" w:rsidR="00F64776" w:rsidRDefault="00F64776" w:rsidP="00F64776">
      <w:pPr>
        <w:pStyle w:val="TextoNormal"/>
      </w:pPr>
    </w:p>
    <w:p w14:paraId="73CF9C12" w14:textId="5BAD39D2" w:rsidR="00F64776" w:rsidRDefault="00F64776" w:rsidP="00F64776">
      <w:pPr>
        <w:pStyle w:val="TextoNormal"/>
      </w:pPr>
      <w:r w:rsidRPr="00F64776">
        <w:rPr>
          <w:rStyle w:val="NumeroAFNegritaCaracter"/>
        </w:rPr>
        <w:t>5</w:t>
      </w:r>
      <w:r>
        <w:t>. Por nueva providencia dictada por la Sección Segunda de este tribunal en la misma fecha —22 de mayo de 2023—, se dispuso “formar con el precedente testimonio la presente pieza separada de suspensión y, de conformidad con lo prevenido en el art. 56 de la Ley Orgánica del Tribunal Constitucional, conceder un plazo común de tres días, al Ministerio Fiscal y a la solicitante del amparo, para que dentro de dicho término aleguen lo que estimen pertinente en relación con la petición de suspensión interesada”.</w:t>
      </w:r>
    </w:p>
    <w:p w14:paraId="7767E0E0" w14:textId="77777777" w:rsidR="00F64776" w:rsidRDefault="00F64776" w:rsidP="00F64776">
      <w:pPr>
        <w:pStyle w:val="TextoNormal"/>
      </w:pPr>
    </w:p>
    <w:p w14:paraId="200BB97A" w14:textId="77777777" w:rsidR="00F64776" w:rsidRDefault="00F64776" w:rsidP="00F64776">
      <w:pPr>
        <w:pStyle w:val="TextoNormal"/>
      </w:pPr>
      <w:r w:rsidRPr="00F64776">
        <w:rPr>
          <w:rStyle w:val="NumeroAFNegritaCaracter"/>
        </w:rPr>
        <w:t>6</w:t>
      </w:r>
      <w:r>
        <w:t>. Con fecha 7 de junio de 2023 el fiscal presentó en el registro de este tribunal su escrito de alegaciones en esta pieza incidental, por el que interesó “que no procede acordar la suspensión solicitada”.</w:t>
      </w:r>
    </w:p>
    <w:p w14:paraId="6B4EBC0A" w14:textId="77777777" w:rsidR="00F64776" w:rsidRDefault="00F64776" w:rsidP="00F64776">
      <w:pPr>
        <w:pStyle w:val="TextoNormal"/>
      </w:pPr>
    </w:p>
    <w:p w14:paraId="755A7AA5" w14:textId="77777777" w:rsidR="00F64776" w:rsidRDefault="00F64776" w:rsidP="00F64776">
      <w:pPr>
        <w:pStyle w:val="TextoNormal"/>
      </w:pPr>
      <w:r>
        <w:t xml:space="preserve">Tras exponer los antecedentes relevantes del proceso </w:t>
      </w:r>
      <w:r w:rsidRPr="00F64776">
        <w:rPr>
          <w:i/>
        </w:rPr>
        <w:t>a quo</w:t>
      </w:r>
      <w:r>
        <w:t>, el fiscal recuerda el tenor de los dos apartados del art. 56 LOTC, con cita de doctrina general de este tribunal sobre el carácter excepcional y de interpretación restrictiva de la suspensión cautelar, salvo que de no acordarse la medida el amparo pierda su finalidad (con cita del ATC 1/2016, de 18 de enero, FJ 1). También cita doctrina sobre la no suspensión en caso de perjuicios de carácter o contenido patrimonial o económico, ya que son por su naturaleza reparables, salvo ciertas excepciones como la transmisión a terceros de determinados bienes, el desalojo de viviendas o locales de negocios, o la demolición de viviendas (ATC 5/2018, de 27 de enero, FJ 2). En todo caso, y conforme a doctrina constitucional de la que también hace cita el fiscal, corresponde a quien pretende la suspensión acreditar la realidad de ese perjuicio susceptible de hacer perder al amparo su finalidad, sin que pueda referirse a perjuicios futuros o hipotéticos (con cita de los AATC 160/2017, de 21 de noviembre, FJ 2, y 84/2019, de 15 de julio, FJ 3).</w:t>
      </w:r>
    </w:p>
    <w:p w14:paraId="04375EF5" w14:textId="77777777" w:rsidR="00F64776" w:rsidRDefault="00F64776" w:rsidP="00F64776">
      <w:pPr>
        <w:pStyle w:val="TextoNormal"/>
      </w:pPr>
    </w:p>
    <w:p w14:paraId="1BC65DAB" w14:textId="77777777" w:rsidR="00F64776" w:rsidRDefault="00F64776" w:rsidP="00F64776">
      <w:pPr>
        <w:pStyle w:val="TextoNormal"/>
      </w:pPr>
      <w:r>
        <w:t>Con base en esa doctrina y haciendo aplicación al caso, el fiscal “considera que la empresa recurrente no ha acreditado que la no suspensión de las resoluciones recurridas cause un perjuicio irreparable que haría perder al amparo su finalidad. Como queda recogido en los antecedentes la sentencia de la Sala de lo Civil y Penal del Tribunal Superior de Justicia de Madrid declara la anulación parcial del laudo arbitral y anula los puntos 1 y 2 de la parte dispositiva del laudo final de 29 de diciembre de 2020, que declaraba —como queda recogido en los antecedentes [de su escrito]— la nulidad de pleno derecho de las cláusulas 2.2 y 10 g) e (i) del contrato, por infringir el artículo 1.1 LDC, estimando que dicha nulidad tiene efecto desde la firma de dicho contrato, el día 5 de diciembre de 2018, no habiendo lugar a restitución de las obligaciones de las partes en relación con las obligaciones de ambas surgidas al amparo de estas dos cláusulas.</w:t>
      </w:r>
    </w:p>
    <w:p w14:paraId="4C6DEF64" w14:textId="77777777" w:rsidR="00F64776" w:rsidRDefault="00F64776" w:rsidP="00F64776">
      <w:pPr>
        <w:pStyle w:val="TextoNormal"/>
      </w:pPr>
    </w:p>
    <w:p w14:paraId="75490F19" w14:textId="76606DA4" w:rsidR="00F64776" w:rsidRDefault="00F64776" w:rsidP="00F64776">
      <w:pPr>
        <w:pStyle w:val="TextoNormal"/>
      </w:pPr>
      <w:r>
        <w:t>Las alegaciones de la empresa demandante, por legítimas que puedan ser, no pueden entenderse como una excepción a la doctrina expuesta en relación a los perjuicios de carácter o contenido patrimonial o económico, que, por más que puedan producir efectos desfavorables a quien demanda amparo en los pleitos que mantiene con la otra empresa -como manifiesta la recurrente-, no pueden considerarse, en principio, como causa suficiente para acordar la suspensión de una resolución judicial firme (doctrina reiterada por el reciente ATC 57/2022, de 21 de marzo), pues dichos perjuicios son susceptibles de ser reparados en la hipótesis de que la pretensión de amparo sea estimada”.</w:t>
      </w:r>
    </w:p>
    <w:p w14:paraId="7EA41F7D" w14:textId="77777777" w:rsidR="00F64776" w:rsidRDefault="00F64776" w:rsidP="00F64776">
      <w:pPr>
        <w:pStyle w:val="TextoNormal"/>
      </w:pPr>
    </w:p>
    <w:p w14:paraId="663DDE01" w14:textId="754F07A4" w:rsidR="00F64776" w:rsidRDefault="00F64776" w:rsidP="00F64776">
      <w:pPr>
        <w:pStyle w:val="TextoNormal"/>
      </w:pPr>
      <w:r w:rsidRPr="00F64776">
        <w:rPr>
          <w:rStyle w:val="NumeroAFNegritaCaracter"/>
        </w:rPr>
        <w:t>7</w:t>
      </w:r>
      <w:r>
        <w:t>. Por diligencia de 8 de junio de 2023, la Secretaría de Justicia dejó constancia de que, tras la recepción de los escritos presentados en la pieza —el del Ministerio Fiscal solamente—, esta quedaba conclusa para su deliberación por la Sala cuando por turno corresponda.</w:t>
      </w:r>
    </w:p>
    <w:p w14:paraId="37C3B170" w14:textId="77777777" w:rsidR="00F64776" w:rsidRDefault="00F64776" w:rsidP="00F64776">
      <w:pPr>
        <w:pStyle w:val="TextoNormal"/>
      </w:pPr>
    </w:p>
    <w:p w14:paraId="65BF647B" w14:textId="77777777" w:rsidR="00F64776" w:rsidRDefault="00F64776" w:rsidP="00F64776">
      <w:pPr>
        <w:pStyle w:val="TextoNormalNegritaCentrado"/>
        <w:keepNext/>
      </w:pPr>
      <w:r>
        <w:t>II. Fundamentos jurídicos</w:t>
      </w:r>
    </w:p>
    <w:p w14:paraId="2C71DDA6" w14:textId="2750E71F" w:rsidR="00F64776" w:rsidRDefault="00F64776" w:rsidP="00F64776">
      <w:pPr>
        <w:pStyle w:val="TextoNormalNegritaCentrado"/>
        <w:keepNext/>
      </w:pPr>
    </w:p>
    <w:p w14:paraId="1394001D" w14:textId="77777777" w:rsidR="00F64776" w:rsidRDefault="00F64776" w:rsidP="00F64776">
      <w:pPr>
        <w:pStyle w:val="TextoNormal"/>
      </w:pPr>
      <w:r w:rsidRPr="00F64776">
        <w:rPr>
          <w:rStyle w:val="NumeroAFNegritaCaracter"/>
        </w:rPr>
        <w:t>1</w:t>
      </w:r>
      <w:r>
        <w:t>. 1. La entidad recurrente solicita por medio de “otrosí dice” en su demanda de amparo —no ha presentado alegaciones durante la pieza cautelar— que este tribunal suspenda la ejecución de la sentencia impugnada que dictó la Sala de lo Civil y Penal del Tribunal Superior de Justicia de Madrid, la cual acordó en su parte dispositiva anular “los puntos 1 y 2 de la parte dispositiva del laudo final de 29 de diciembre de 2020 —cuya aclaración y complemento se deniega por laudo de 24 de febrero de 2021—”, así como también la suspensión del auto posterior que rechazó el incidente de nulidad de actuaciones contra aquella sentencia. Cabe indicar que el punto 1 de la parte dispositiva del laudo al que alude la sentencia, había declarado la nulidad de pleno derecho de dos de las cláusulas del contrato de colaboración que habían pactado la entidad Maxi Mobility Spain, S.L.U., (Cabify), demandante en el procedimiento arbitral, y la aquí recurrente en amparo, demandada en el mismo procedimiento; decidiendo además en el mismo punto 1 “no haber lugar a restitución de las obligaciones de las partes en relación con las obligaciones de ambos surgidas al amparo de esas dos cláusulas”. A su vez, en el punto 2 de la parte dispositiva del laudo y como resultado de dicha nulidad, se dejan imprejuzgadas ciertas pretensiones económicas deducidas por Cabify contra Auro.</w:t>
      </w:r>
    </w:p>
    <w:p w14:paraId="1EC6F7E6" w14:textId="77777777" w:rsidR="00F64776" w:rsidRDefault="00F64776" w:rsidP="00F64776">
      <w:pPr>
        <w:pStyle w:val="TextoNormal"/>
      </w:pPr>
    </w:p>
    <w:p w14:paraId="65AEDE37" w14:textId="77777777" w:rsidR="00F64776" w:rsidRDefault="00F64776" w:rsidP="00F64776">
      <w:pPr>
        <w:pStyle w:val="TextoNormal"/>
      </w:pPr>
      <w:r>
        <w:t>Afirma esta última mercantil, aquí demandante de amparo, que de no acordarse la suspensión se le causarían daños al menos de difícil reparación que podrían afectar a su viabilidad económica como empresa, teniendo en cuenta que se ha abierto un nuevo procedimiento arbitral a raíz de lo resuelto por la sentencia impugnada, y varias causas instadas en su contra por Cabify en varios juzgados de primera instancia, donde se piden medidas cautelares que afectarían a su negocio actual.</w:t>
      </w:r>
    </w:p>
    <w:p w14:paraId="28F88A5B" w14:textId="77777777" w:rsidR="00F64776" w:rsidRDefault="00F64776" w:rsidP="00F64776">
      <w:pPr>
        <w:pStyle w:val="TextoNormal"/>
      </w:pPr>
    </w:p>
    <w:p w14:paraId="04710AFF" w14:textId="7CF86BDE" w:rsidR="00F64776" w:rsidRDefault="00F64776" w:rsidP="00F64776">
      <w:pPr>
        <w:pStyle w:val="TextoNormal"/>
      </w:pPr>
      <w:r>
        <w:t>El fiscal ante este tribunal, quien sí ha formulado alegaciones en la pieza, entiende que no procede acordar la suspensión acogiéndose a la doctrina constitucional que, salvo excepciones que aquí no concurren, viene negando la suspensión de resoluciones judiciales cuando se trata de controversias de carácter patrimonial, dada la posibilidad de reparación de los daños.</w:t>
      </w:r>
    </w:p>
    <w:p w14:paraId="35360753" w14:textId="77777777" w:rsidR="00F64776" w:rsidRDefault="00F64776" w:rsidP="00F64776">
      <w:pPr>
        <w:pStyle w:val="TextoNormal"/>
      </w:pPr>
    </w:p>
    <w:p w14:paraId="38E2779F" w14:textId="77777777" w:rsidR="00F64776" w:rsidRDefault="00F64776" w:rsidP="00F64776">
      <w:pPr>
        <w:pStyle w:val="TextoNormal"/>
      </w:pPr>
      <w:r w:rsidRPr="00F64776">
        <w:rPr>
          <w:rStyle w:val="NumeroAFNegritaCaracter"/>
        </w:rPr>
        <w:t>2</w:t>
      </w:r>
      <w:r>
        <w:t>. Es normativa y doctrina constitucional aplicable para resolver la solicitud planteada, la siguiente:</w:t>
      </w:r>
    </w:p>
    <w:p w14:paraId="0CBB3A09" w14:textId="77777777" w:rsidR="00F64776" w:rsidRDefault="00F64776" w:rsidP="00F64776">
      <w:pPr>
        <w:pStyle w:val="TextoNormal"/>
      </w:pPr>
    </w:p>
    <w:p w14:paraId="6DFBD074" w14:textId="77777777" w:rsidR="00F64776" w:rsidRDefault="00F64776" w:rsidP="00F64776">
      <w:pPr>
        <w:pStyle w:val="TextoNormal"/>
      </w:pPr>
      <w:r>
        <w:t>a) El art. 56 de nuestra Ley Orgánica reguladora dispone en sus dos primeros apartados: “1. La interposición del recurso de amparo no suspenderá los efectos del acto o sentencia impugnados.- 2. Ello no obstante,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14:paraId="6A85D0AF" w14:textId="77777777" w:rsidR="00F64776" w:rsidRDefault="00F64776" w:rsidP="00F64776">
      <w:pPr>
        <w:pStyle w:val="TextoNormal"/>
      </w:pPr>
    </w:p>
    <w:p w14:paraId="03A82189" w14:textId="77777777" w:rsidR="00F64776" w:rsidRDefault="00F64776" w:rsidP="00F64776">
      <w:pPr>
        <w:pStyle w:val="TextoNormal"/>
      </w:pPr>
      <w:r>
        <w:t>b) Este tribunal tiene doctrina general reiterada, resumida por ejemplo en el ATC 91/2022, de 13 de junio, FJ 2, a propósito de la suspensión de resoluciones judiciales civiles, que: «[u]na interpretación conjunta de ambos apartados configura la suspensión de la ejecución de las resoluciones firmes como una medida excepcional y, por lo tanto, de interpretación restrictiva (ATC 117/2015, de 6 de julio, FJ 1). Esta naturaleza se deriva de la necesidad de preservar el interés general, de la garantía de la efectividad de las decisiones de los poderes públicos, y del aseguramiento de la ejecución de las resoluciones dictadas por jueces y tribunales en el ejercicio de la potestad jurisdiccional que les confiere el art. 117.3 CE. Así se pronuncian, entre otros, los AATC 2/2001, de 15 de enero, FJ 1; 4/2006, de 16 de enero, FJ 1, y 127/2010, de 4 de octubre, FJ 1. En definitiva, se trata de preservar la “presunción de legitimidad que alcanza a todas las actuaciones de los poderes públicos, presunción inherente a la entera actividad pública (legislativa, ejecutiva y judicial)” (ATC 190/2015, de 5 de noviembre, FJ 2).</w:t>
      </w:r>
    </w:p>
    <w:p w14:paraId="016C7008" w14:textId="77777777" w:rsidR="00F64776" w:rsidRDefault="00F64776" w:rsidP="00F64776">
      <w:pPr>
        <w:pStyle w:val="TextoNormal"/>
      </w:pPr>
    </w:p>
    <w:p w14:paraId="33690110" w14:textId="77777777" w:rsidR="00F64776" w:rsidRDefault="00F64776" w:rsidP="00F64776">
      <w:pPr>
        <w:pStyle w:val="TextoNormal"/>
      </w:pPr>
      <w:r>
        <w:t>En relación con “los perjuicios de carácter patrimonial o económico se ha señalado que, por más que puedan producir efectos desfavorables a quien demanda en amparo, en principio, no deben considerarse causa suficiente para acordar la suspensión de una resolución judicial firme, pues dichos perjuicios son susceptibles de ser reparados en la hipótesis de que la pretensión de amparo sea estimada, de modo que no conllevan un perjuicio irremediable que pueda hacer perder la finalidad del recurso (entre tantos otros, ATC 176/2012, de 1 de octubre, FJ 2, y los allí citados). De ahí que se haya accedido a la suspensión ‘en aquellos supuestos en los que la ejecución de lo acordado acarree perjuicios patrimoniales difícilmente reparables por su entidad, por la imposibilidad de repercutir su costo o por la irreversibilidad de las situaciones jurídicas que puedan producirse, como ocurre en los casos en que, con la ejecución de lo acordado, se pueda producir la transmisión irrecuperable del dominio sobre un bien determinado (en ese sentido, ATC 69/2016, de 11 de abril, FJ 2)’ (ATC 117/2018, de 29 de octubre, FJ 2; en el mismo sentido AATC 21/2018, de 5 de marzo, FJ 2, y 66/2008, de 25 de febrero, FJ único)”».</w:t>
      </w:r>
    </w:p>
    <w:p w14:paraId="54BA0A07" w14:textId="77777777" w:rsidR="00F64776" w:rsidRDefault="00F64776" w:rsidP="00F64776">
      <w:pPr>
        <w:pStyle w:val="TextoNormal"/>
      </w:pPr>
    </w:p>
    <w:p w14:paraId="6E54427E" w14:textId="77777777" w:rsidR="00F64776" w:rsidRDefault="00F64776" w:rsidP="00F64776">
      <w:pPr>
        <w:pStyle w:val="TextoNormal"/>
      </w:pPr>
      <w:r>
        <w:t xml:space="preserve">c) En el fundamento jurídico 3 del mismo ATC 91/2022 hemos recordado respecto a la no valoración de la apariencia del buen derecho como requisito para conceder la medida de suspensión </w:t>
      </w:r>
      <w:r w:rsidRPr="00F64776">
        <w:rPr>
          <w:i/>
        </w:rPr>
        <w:t>ex</w:t>
      </w:r>
      <w:r>
        <w:t xml:space="preserve"> art. 56 LOTC, que: «[c]omo recuerda el ATC 55/2018, de 22 de mayo, FJ 2 c), “la perspectiva única que ha de ser tenida en cuenta para decidir sobre cualquier pretensión cautelar formulada en el proceso de amparo ha de ser el de la preservación de la eficacia de un posible pronunciamiento estimatorio, sin prejuzgar cuál haya de ser el sentido de la futura sentencia que le ponga fin (por todos, AATC 64/1990, de 30 de enero, y 319/2003, de 13 de octubre); previsión tanto más difícil en cuanto el recurso de amparo […] verse sobre aspectos o facetas del derecho fundamental invocado acerca de los cuales el tribunal no ha tenido aún ocasión de pronunciarse. En tal medida, ‘no procede en este incidente examinar ni la concurrencia ni la ausencia de apariencia de buen derecho’ de la pretensión de amparo formulada, criterio este del que no se vale la regulación del artículo 56 LOTC para conceder o denegar la protección cautelar pretendida (AATC 187/2003, de 2 de junio, y 258/1996, de 24 de septiembre)”».</w:t>
      </w:r>
    </w:p>
    <w:p w14:paraId="43A75C39" w14:textId="77777777" w:rsidR="00F64776" w:rsidRDefault="00F64776" w:rsidP="00F64776">
      <w:pPr>
        <w:pStyle w:val="TextoNormal"/>
      </w:pPr>
    </w:p>
    <w:p w14:paraId="1553A287" w14:textId="5F2FE101" w:rsidR="00F64776" w:rsidRDefault="00F64776" w:rsidP="00F64776">
      <w:pPr>
        <w:pStyle w:val="TextoNormal"/>
      </w:pPr>
      <w:r>
        <w:t>d) Y respecto de la carga procesal exigible al solicitante de la medida: “este tribunal viene exigiendo a quien solicita la adopción de la medida cautelar de suspensión del acto o resolución judicial recurrido que alegue, pruebe o justifique, ofreciendo un principio razonable de prueba, la irreparabilidad o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51/1989, de 30 de enero; 290/1995, de 23 de octubre; 370/1996, de 16 de diciembre; 283/1999, de 29 de noviembre; 90/2014, de 27 de marzo, FJ 1; 190/2015, de 5 de noviembre, FJ 2 a); 59/2017, de 24 de abril, FJ 1] (ATC 147/2017, de 13 de noviembre, FJ 1)” (ATC 91/2022, FJ 3).</w:t>
      </w:r>
    </w:p>
    <w:p w14:paraId="540068DA" w14:textId="77777777" w:rsidR="00F64776" w:rsidRDefault="00F64776" w:rsidP="00F64776">
      <w:pPr>
        <w:pStyle w:val="TextoNormal"/>
      </w:pPr>
    </w:p>
    <w:p w14:paraId="06A3E89D" w14:textId="77777777" w:rsidR="00F64776" w:rsidRDefault="00F64776" w:rsidP="00F64776">
      <w:pPr>
        <w:pStyle w:val="TextoNormal"/>
      </w:pPr>
      <w:r w:rsidRPr="00F64776">
        <w:rPr>
          <w:rStyle w:val="NumeroAFNegritaCaracter"/>
        </w:rPr>
        <w:t>3</w:t>
      </w:r>
      <w:r>
        <w:t>. De manera más específica al objeto de esta pieza incidental, este tribunal, en su ATC 135/2020, de 4 de noviembre, tuvo la oportunidad de enjuiciar la pretensión de suspender cautelarmente la resolución judicial impugnada en el recurso de amparo núm. 976-2020, donde se impugnaba igualmente una sentencia de la Sala de lo Civil y Penal del Tribunal Superior de Justicia de Madrid anulatoria de un laudo arbitral; proceso donde meses más tarde dictamos la STC 65/2021, de 15 de marzo, otorgando el amparo. Denegamos en aquel auto lo pedido, al apreciar que se trataba de “una controversia de exclusivo carácter económico, ya que lo es en relación con la eventual validez o nulidad de un contrato de carácter financiero suscrito entre dos entidades mercantiles, sin que se ponga de manifiesto por la entidad recurrente ni la eventual irrogación de perjuicios económicos muy difícilmente reparables ni la irreversibilidad de las situaciones jurídicas que puedan producirse, ya que los efectos de un eventual pronunciamiento arbitral y judicial contradictorio con el que pueda resultar de este procedimiento de amparo quedarían solventados, en su caso, con la resolución dictada por este tribunal”.</w:t>
      </w:r>
    </w:p>
    <w:p w14:paraId="262CCC4D" w14:textId="77777777" w:rsidR="00F64776" w:rsidRDefault="00F64776" w:rsidP="00F64776">
      <w:pPr>
        <w:pStyle w:val="TextoNormal"/>
      </w:pPr>
    </w:p>
    <w:p w14:paraId="163E1AA2" w14:textId="33A6A817" w:rsidR="00F64776" w:rsidRDefault="00F64776" w:rsidP="00F64776">
      <w:pPr>
        <w:pStyle w:val="TextoNormal"/>
      </w:pPr>
      <w:r>
        <w:t>Por otro lado, frente a la pretensión cautelar de que suspendiéramos un laudo arbitral que no había sido anulado por una sentencia entonces de la Audiencia Provincial de Madrid, señalamos en el ATC 125/2003, de 23 de abril, que el laudo no constituye un “acto de los poderes públicos” a los que se refiere el art. 56 LOTC a objeto de su posible suspensión, por lo que no se entraba a examinar tal solicitud; cosa distinta sería en su caso el procedimiento judicial de ejecución de dicho laudo, si se abriera, el cual sí entraña la actuación de un poder público.</w:t>
      </w:r>
    </w:p>
    <w:p w14:paraId="488C11F8" w14:textId="77777777" w:rsidR="00F64776" w:rsidRDefault="00F64776" w:rsidP="00F64776">
      <w:pPr>
        <w:pStyle w:val="TextoNormal"/>
      </w:pPr>
    </w:p>
    <w:p w14:paraId="3616BA3E" w14:textId="77777777" w:rsidR="00F64776" w:rsidRDefault="00F64776" w:rsidP="00F64776">
      <w:pPr>
        <w:pStyle w:val="TextoNormal"/>
      </w:pPr>
      <w:r w:rsidRPr="00F64776">
        <w:rPr>
          <w:rStyle w:val="NumeroAFNegritaCaracter"/>
        </w:rPr>
        <w:t>4</w:t>
      </w:r>
      <w:r>
        <w:t>. La aplicación de las normas y de la doctrina constitucional que se ha detallado, conducen a la desestimación de la petición de suspensión formulada por la entidad recurrente.</w:t>
      </w:r>
    </w:p>
    <w:p w14:paraId="41A4D414" w14:textId="77777777" w:rsidR="00F64776" w:rsidRDefault="00F64776" w:rsidP="00F64776">
      <w:pPr>
        <w:pStyle w:val="TextoNormal"/>
      </w:pPr>
    </w:p>
    <w:p w14:paraId="4C4514DE" w14:textId="77777777" w:rsidR="00F64776" w:rsidRDefault="00F64776" w:rsidP="00F64776">
      <w:pPr>
        <w:pStyle w:val="TextoNormal"/>
      </w:pPr>
      <w:r>
        <w:t>a) De un lado, es claro que la controversia de fondo resuelta por el laudo arbitral definitivo de 29 de diciembre de 2020, que resulta anulado por la sentencia del Tribunal Superior de Justicia aquí recurrida, tiene un contenido patrimonial o económico que por su naturaleza y conforme a nuestra reiterada doctrina, presenta por tanto un carácter reparable respecto de los efectos que pueda causar la demora en la resolución del presente proceso constitucional, y ello si la sentencia fuera estimatoria.</w:t>
      </w:r>
    </w:p>
    <w:p w14:paraId="24184745" w14:textId="77777777" w:rsidR="00F64776" w:rsidRDefault="00F64776" w:rsidP="00F64776">
      <w:pPr>
        <w:pStyle w:val="TextoNormal"/>
      </w:pPr>
    </w:p>
    <w:p w14:paraId="64AB39B6" w14:textId="77777777" w:rsidR="00F64776" w:rsidRDefault="00F64776" w:rsidP="00F64776">
      <w:pPr>
        <w:pStyle w:val="TextoNormal"/>
      </w:pPr>
      <w:r>
        <w:t>b) De otro lado, la demanda fundamenta el posible daño irreparable o de difícil reparación en la reapertura de un nuevo procedimiento arbitral que, dice, tendría a las mismas partes y con el mismo objeto esencial del ya resuelto en el laudo de 29 de diciembre de 2020. Sin embargo, aunque ello fuera así la propia existencia de ese otro procedimiento arbitral queda extramuros del objeto del presente recurso de amparo, amén de no constituir dicho procedimiento la expresión de actos de los poderes públicos susceptibles de tutela en este proceso constitucional.</w:t>
      </w:r>
    </w:p>
    <w:p w14:paraId="6902FFBE" w14:textId="77777777" w:rsidR="00F64776" w:rsidRDefault="00F64776" w:rsidP="00F64776">
      <w:pPr>
        <w:pStyle w:val="TextoNormal"/>
      </w:pPr>
    </w:p>
    <w:p w14:paraId="3E7A2A77" w14:textId="77777777" w:rsidR="00F64776" w:rsidRDefault="00F64776" w:rsidP="00F64776">
      <w:pPr>
        <w:pStyle w:val="TextoNormal"/>
      </w:pPr>
      <w:r>
        <w:t>c) La mención de la demanda a la existencia también de varias causas abiertas contra la recurrente por Cabify, ante diversos juzgados de primera instancia, resulta un hecho ajeno por completo al objeto del presente recurso de amparo, siendo obvio que dentro de cada uno de esos procesos la aquí recurrente dispone de los instrumentos de defensa jurídica que le brinda el ordenamiento para oponerse a esas pretensiones, tanto las principales como las cautelares que se hayan presentado.</w:t>
      </w:r>
    </w:p>
    <w:p w14:paraId="187DCCD1" w14:textId="77777777" w:rsidR="00F64776" w:rsidRDefault="00F64776" w:rsidP="00F64776">
      <w:pPr>
        <w:pStyle w:val="TextoNormal"/>
      </w:pPr>
    </w:p>
    <w:p w14:paraId="3827B841" w14:textId="77777777" w:rsidR="00F64776" w:rsidRDefault="00F64776" w:rsidP="00F64776">
      <w:pPr>
        <w:pStyle w:val="TextoNormal"/>
      </w:pPr>
      <w:r>
        <w:t>Igualmente ajeno al objeto de este amparo son las consideraciones que formula en su demanda sobre un acuerdo posterior suscrito con la empresa Uber, la cual no es parte en el procedimiento arbitral finalizado con el laudo citado de 29 de diciembre de 2020, ni tampoco lo es en el proceso de anulación de laudo sustanciado ante el Tribunal Superior de Justicia, por lo que nada cabe decir ni en esta pieza incidental ni en la sentencia que habremos de dictar, sobre las consecuencias que pudiera deparar el paralizar dicho convenio de colaboración, o el haber contraído la recurrente al parecer una deuda con Uber.</w:t>
      </w:r>
    </w:p>
    <w:p w14:paraId="003D15E0" w14:textId="77777777" w:rsidR="00F64776" w:rsidRDefault="00F64776" w:rsidP="00F64776">
      <w:pPr>
        <w:pStyle w:val="TextoNormal"/>
      </w:pPr>
    </w:p>
    <w:p w14:paraId="5534774F" w14:textId="77777777" w:rsidR="00F64776" w:rsidRDefault="00F64776" w:rsidP="00F64776">
      <w:pPr>
        <w:pStyle w:val="TextoNormal"/>
      </w:pPr>
      <w:r>
        <w:t>d) Excluyendo todo lo que no pueden ser hechos a ponderar, pues, en orden a la suspensión solicitada, tenemos que la demanda en realidad se limita a describir un panorama económico de difícil viabilidad de la empresa si se dieran una serie de circunstancias todavía no producidas (que Cabify tuviera éxito en sus demandas contra ella, etcétera), argumento que no puede resultar suficiente en orden a levantar la carga procesal que pesa sobre todo solicitante de la suspensión, de acreditar la realidad —y no meramente potencialidad futura: ATC 150/2020, de 30 de noviembre, FJ 3— de los daños irreversibles o de difícil reparación. Carga que aquí concluimos no ha levantado.</w:t>
      </w:r>
    </w:p>
    <w:p w14:paraId="0806A1A7" w14:textId="77777777" w:rsidR="00F64776" w:rsidRDefault="00F64776" w:rsidP="00F64776">
      <w:pPr>
        <w:pStyle w:val="TextoNormal"/>
      </w:pPr>
    </w:p>
    <w:p w14:paraId="29AEA749" w14:textId="77777777" w:rsidR="00F64776" w:rsidRDefault="00F64776" w:rsidP="00F64776">
      <w:pPr>
        <w:pStyle w:val="TextoNormal"/>
      </w:pPr>
      <w:r>
        <w:t xml:space="preserve">e) Por último, respecto de la mención reiterada que hace la recurrente en su escrito a que concurre el requisito de la apariencia del buen derecho, lo cierto es que no se justifica que excepcionemos nuestra doctrina general sobre la no relevancia de ese factor para la pieza incidental </w:t>
      </w:r>
      <w:r w:rsidRPr="00F64776">
        <w:rPr>
          <w:i/>
        </w:rPr>
        <w:t>ex</w:t>
      </w:r>
      <w:r>
        <w:t xml:space="preserve"> art. 56 LOTC (a diferencia de lo que sucede, como sabemos, en la jurisdicción ordinaria, art. 728.2 de la Ley de enjuiciamiento civil).</w:t>
      </w:r>
    </w:p>
    <w:p w14:paraId="3E9482B1" w14:textId="77777777" w:rsidR="00F64776" w:rsidRDefault="00F64776" w:rsidP="00F64776">
      <w:pPr>
        <w:pStyle w:val="TextoNormal"/>
      </w:pPr>
    </w:p>
    <w:p w14:paraId="6316F66D" w14:textId="77777777" w:rsidR="00F64776" w:rsidRDefault="00F64776" w:rsidP="00F64776">
      <w:pPr>
        <w:pStyle w:val="TextoNormal"/>
      </w:pPr>
      <w:r>
        <w:t>No solo no se ha tenido en cuenta tal cosa en el ATC 135/2020 arriba citado, donde ya se contaba con el antecedente de la STC 46/2020 estimatoria, sino que las resoluciones de este tribunal que cita la demanda tampoco permiten llegar a su conclusión. El ATC 216/1997, de 23 de junio, denegó la suspensión de la multa que se pedía, precisamente porque no se acreditó la pérdida de la finalidad del recurso de amparo en caso contrario; mientras que los AATC 120/1993 y 125/1993, de 19 de abril, además de ser anteriores a la jurisprudencia que hemos citado en el anterior fundamento jurídico 2, se referían a un grupo de personas condenadas por hechos sustancialmente idénticos y en los que ya habían recaído paras otros, sentencias de amparo estimatorias.</w:t>
      </w:r>
    </w:p>
    <w:p w14:paraId="16EED57D" w14:textId="77777777" w:rsidR="00F64776" w:rsidRDefault="00F64776" w:rsidP="00F64776">
      <w:pPr>
        <w:pStyle w:val="TextoNormal"/>
      </w:pPr>
    </w:p>
    <w:p w14:paraId="766DF154" w14:textId="28716A1D" w:rsidR="00F64776" w:rsidRDefault="00F64776" w:rsidP="00F64776">
      <w:pPr>
        <w:pStyle w:val="TextoNormal"/>
      </w:pPr>
      <w:r>
        <w:t xml:space="preserve">Aquí, si bien el problema jurídico planteado puede coincidir en algunos aspectos con los resueltos en la doctrina constitucional que tanto la recurrente, como la propia sentencia y auto del Tribunal Superior de Justicia impugnados invocan, no predetermina </w:t>
      </w:r>
      <w:r w:rsidRPr="00F64776">
        <w:rPr>
          <w:i/>
        </w:rPr>
        <w:t>per se</w:t>
      </w:r>
      <w:r>
        <w:t xml:space="preserve"> con ello el resultado estimatorio de la demanda, debiendo enjuiciar este tribunal la aplicabilidad de esa doctrina a la luz de la concreta fundamentación dada por dichas resoluciones y la contenida en los escritos procesales de las partes de este recurso de amparo. Se trata en definitiva de la cuestión de fondo planteada, de la que nada cabe adelantar ni prejuzgar en esta resolución incidental, así como tampoco acerca del significado que puedan merecer determinadas expresiones incluidas en el auto desestimatorio del incidente de nulidad de actuaciones, en cuanto a si evidencian una falta de acatamiento a la doctrina de este Tribunal Constitucional.</w:t>
      </w:r>
    </w:p>
    <w:p w14:paraId="0E17CF71" w14:textId="77777777" w:rsidR="00F64776" w:rsidRDefault="00F64776" w:rsidP="00F64776">
      <w:pPr>
        <w:pStyle w:val="TextoNormal"/>
      </w:pPr>
    </w:p>
    <w:p w14:paraId="47052F97" w14:textId="77777777" w:rsidR="00F64776" w:rsidRDefault="00F64776" w:rsidP="00F64776">
      <w:pPr>
        <w:pStyle w:val="TextoNormal"/>
      </w:pPr>
      <w:r>
        <w:t>Por lo expuesto, la Sala</w:t>
      </w:r>
    </w:p>
    <w:p w14:paraId="70784D95" w14:textId="524548C3" w:rsidR="00F64776" w:rsidRDefault="00F64776" w:rsidP="00F64776">
      <w:pPr>
        <w:pStyle w:val="TextoNormal"/>
      </w:pPr>
    </w:p>
    <w:p w14:paraId="576CEC3F" w14:textId="77777777" w:rsidR="00F64776" w:rsidRDefault="00F64776" w:rsidP="00F64776">
      <w:pPr>
        <w:pStyle w:val="TextoNormalCentrado"/>
      </w:pPr>
      <w:r>
        <w:t>ACUERDA</w:t>
      </w:r>
    </w:p>
    <w:p w14:paraId="5DF8B624" w14:textId="29706204" w:rsidR="00F64776" w:rsidRDefault="00F64776" w:rsidP="00F64776">
      <w:pPr>
        <w:pStyle w:val="TextoNormalCentrado"/>
      </w:pPr>
    </w:p>
    <w:p w14:paraId="4C825433" w14:textId="3EE515B3" w:rsidR="00F64776" w:rsidRDefault="00F64776" w:rsidP="00F64776">
      <w:pPr>
        <w:pStyle w:val="TextoNormal"/>
      </w:pPr>
      <w:r>
        <w:t>Denegar la suspensión de las resoluciones judiciales impugnadas en este recurso.</w:t>
      </w:r>
    </w:p>
    <w:p w14:paraId="077B8679" w14:textId="77777777" w:rsidR="00F64776" w:rsidRDefault="00F64776" w:rsidP="00F64776">
      <w:pPr>
        <w:pStyle w:val="TextoNormal"/>
      </w:pPr>
    </w:p>
    <w:p w14:paraId="13289B7B" w14:textId="77777777" w:rsidR="00F64776" w:rsidRDefault="00F64776" w:rsidP="00F64776">
      <w:pPr>
        <w:pStyle w:val="TextoNormal"/>
      </w:pPr>
      <w:r>
        <w:t>Madrid, a tres de julio de dos mil veintitrés.</w:t>
      </w:r>
    </w:p>
    <w:p w14:paraId="40C46C4A" w14:textId="4A7B1F62" w:rsidR="00F64776" w:rsidRDefault="00F64776">
      <w:pPr>
        <w:spacing w:after="160" w:line="278" w:lineRule="auto"/>
        <w:rPr>
          <w:rFonts w:ascii="Times New Roman" w:eastAsia="Times New Roman" w:hAnsi="Times New Roman" w:cs="Times New Roman"/>
          <w:sz w:val="24"/>
          <w:szCs w:val="24"/>
          <w:lang w:eastAsia="es-ES"/>
        </w:rPr>
      </w:pPr>
      <w:r>
        <w:br w:type="page"/>
      </w:r>
    </w:p>
    <w:p w14:paraId="42F0DF32" w14:textId="77777777" w:rsidR="00F64776" w:rsidRDefault="00F64776" w:rsidP="00F64776">
      <w:pPr>
        <w:pStyle w:val="TtuloResolucin"/>
      </w:pPr>
      <w:bookmarkStart w:id="120" w:name="AUTO_2023_335"/>
      <w:r>
        <w:t>AUTO 335/2023, de 3 de julio de 2023</w:t>
      </w:r>
    </w:p>
    <w:bookmarkEnd w:id="120"/>
    <w:p w14:paraId="4C128AA3" w14:textId="77777777" w:rsidR="00F64776" w:rsidRDefault="00F64776" w:rsidP="00F64776">
      <w:pPr>
        <w:pStyle w:val="TtuloResolucin"/>
      </w:pPr>
      <w:r>
        <w:t>Sección Tercera</w:t>
      </w:r>
    </w:p>
    <w:p w14:paraId="09C1304A" w14:textId="77777777" w:rsidR="00F64776" w:rsidRDefault="00F64776" w:rsidP="00F64776">
      <w:pPr>
        <w:pStyle w:val="TextoNormalCentrado"/>
      </w:pPr>
      <w:r>
        <w:t>ECLI:ES:TC:2023:335A</w:t>
      </w:r>
    </w:p>
    <w:p w14:paraId="62C4968A" w14:textId="2AD0079F" w:rsidR="00F64776" w:rsidRDefault="00F64776" w:rsidP="00F64776">
      <w:pPr>
        <w:pStyle w:val="TextoNormalCentrado"/>
      </w:pPr>
    </w:p>
    <w:p w14:paraId="5FB15E23" w14:textId="77777777" w:rsidR="00F64776" w:rsidRDefault="00F64776" w:rsidP="00F64776">
      <w:pPr>
        <w:pStyle w:val="SntesisDescriptiva"/>
      </w:pPr>
      <w:r>
        <w:t>Excms. Srs. doña Inmaculada Montalbán Huertas y doña Laura Díez Bueso.</w:t>
      </w:r>
    </w:p>
    <w:p w14:paraId="455C1877" w14:textId="792370F5" w:rsidR="00F64776" w:rsidRDefault="00F64776" w:rsidP="00F64776">
      <w:pPr>
        <w:pStyle w:val="SntesisDescriptiva"/>
      </w:pPr>
    </w:p>
    <w:p w14:paraId="6687DF9E" w14:textId="77777777" w:rsidR="00F64776" w:rsidRDefault="00F64776" w:rsidP="00F64776">
      <w:pPr>
        <w:pStyle w:val="SntesisDescriptiva"/>
      </w:pPr>
      <w:r>
        <w:t>Acepta una abstención en el recurso de amparo 4996-2022, promovido en proceso contencioso-administrativo.</w:t>
      </w:r>
    </w:p>
    <w:p w14:paraId="7E62B8B9" w14:textId="2C557C22" w:rsidR="00F64776" w:rsidRDefault="00F64776" w:rsidP="00F64776">
      <w:pPr>
        <w:pStyle w:val="SntesisDescriptiva"/>
      </w:pPr>
    </w:p>
    <w:p w14:paraId="189B8AF5" w14:textId="77777777" w:rsidR="00F64776" w:rsidRDefault="00F64776" w:rsidP="00F64776">
      <w:pPr>
        <w:pStyle w:val="SntesisDescriptiva"/>
      </w:pPr>
    </w:p>
    <w:p w14:paraId="72E94D26" w14:textId="77777777" w:rsidR="00F64776" w:rsidRDefault="00F64776" w:rsidP="00F64776">
      <w:pPr>
        <w:pStyle w:val="SntesisDescriptiva"/>
      </w:pPr>
    </w:p>
    <w:p w14:paraId="0B833473" w14:textId="77777777" w:rsidR="00F64776" w:rsidRDefault="00F64776" w:rsidP="00F64776">
      <w:pPr>
        <w:pStyle w:val="TextoNormalNegritaCentrado"/>
      </w:pPr>
      <w:r>
        <w:t>AUTO</w:t>
      </w:r>
    </w:p>
    <w:p w14:paraId="7E956F60" w14:textId="45DEB2EE" w:rsidR="00F64776" w:rsidRDefault="00F64776" w:rsidP="00F64776">
      <w:pPr>
        <w:pStyle w:val="TextoNormalNegritaCentrado"/>
      </w:pPr>
    </w:p>
    <w:p w14:paraId="37E7AA6E" w14:textId="77777777" w:rsidR="00F64776" w:rsidRDefault="00F64776" w:rsidP="00F64776">
      <w:pPr>
        <w:pStyle w:val="TextoNormalNegritaCentrado"/>
        <w:keepNext/>
      </w:pPr>
      <w:r>
        <w:t>I. Antecedentes</w:t>
      </w:r>
    </w:p>
    <w:p w14:paraId="15B312D2" w14:textId="11E5CC9F" w:rsidR="00F64776" w:rsidRDefault="00F64776" w:rsidP="00F64776">
      <w:pPr>
        <w:pStyle w:val="TextoNormalNegritaCentrado"/>
        <w:keepNext/>
      </w:pPr>
    </w:p>
    <w:p w14:paraId="318EE1EC" w14:textId="688C9807" w:rsidR="00F64776" w:rsidRDefault="00F64776" w:rsidP="00F64776">
      <w:pPr>
        <w:pStyle w:val="TextoNormal"/>
      </w:pPr>
      <w:r w:rsidRPr="00F64776">
        <w:rPr>
          <w:rStyle w:val="NumeroAFNegritaCaracter"/>
        </w:rPr>
        <w:t>1</w:t>
      </w:r>
      <w:r>
        <w:t>. Mediante escrito registrado en este tribunal el 8 de julio de 2022 el procurador de los tribunales don José María Ruiz de la Cuesta Vacas, en nombre y representación de doña María del Carmen Ordóñez Martín y bajo la dirección del letrado don Francisco Javier Araúz de Robles Dávila, interpuso demanda de amparo contra la providencia de 26 de mayo de 2022 de la Sección Primera de la Sala de lo Contencioso-Administrativo del Tribunal Supremo en recurso de casación núm. 4018-2021.</w:t>
      </w:r>
    </w:p>
    <w:p w14:paraId="4E7F1261" w14:textId="77777777" w:rsidR="00F64776" w:rsidRDefault="00F64776" w:rsidP="00F64776">
      <w:pPr>
        <w:pStyle w:val="TextoNormal"/>
      </w:pPr>
    </w:p>
    <w:p w14:paraId="65146650" w14:textId="2EF40269" w:rsidR="00F64776" w:rsidRDefault="00F64776" w:rsidP="00F64776">
      <w:pPr>
        <w:pStyle w:val="TextoNormal"/>
      </w:pPr>
      <w:r w:rsidRPr="00F64776">
        <w:rPr>
          <w:rStyle w:val="NumeroAFNegritaCaracter"/>
        </w:rPr>
        <w:t>2</w:t>
      </w:r>
      <w:r>
        <w:t>. Por escrito de 22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32E2124F" w14:textId="77777777" w:rsidR="00F64776" w:rsidRDefault="00F64776" w:rsidP="00F64776">
      <w:pPr>
        <w:pStyle w:val="TextoNormal"/>
      </w:pPr>
    </w:p>
    <w:p w14:paraId="348BAE9A" w14:textId="77777777" w:rsidR="00F64776" w:rsidRDefault="00F64776" w:rsidP="00F64776">
      <w:pPr>
        <w:pStyle w:val="TextoNormalNegritaCentrado"/>
        <w:keepNext/>
      </w:pPr>
      <w:r>
        <w:t>II. Fundamentos jurídicos</w:t>
      </w:r>
    </w:p>
    <w:p w14:paraId="62603BB4" w14:textId="20DF60A7" w:rsidR="00F64776" w:rsidRDefault="00F64776" w:rsidP="00F64776">
      <w:pPr>
        <w:pStyle w:val="TextoNormalNegritaCentrado"/>
        <w:keepNext/>
      </w:pPr>
    </w:p>
    <w:p w14:paraId="11FD7576" w14:textId="01EC1A53"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684159AF" w14:textId="77777777" w:rsidR="00F64776" w:rsidRDefault="00F64776" w:rsidP="00F64776">
      <w:pPr>
        <w:pStyle w:val="TextoNormal"/>
      </w:pPr>
    </w:p>
    <w:p w14:paraId="349E61E0" w14:textId="77777777" w:rsidR="00F64776" w:rsidRDefault="00F64776" w:rsidP="00F64776">
      <w:pPr>
        <w:pStyle w:val="TextoNormal"/>
      </w:pPr>
      <w:r>
        <w:t>Por lo expuesto, la Sección</w:t>
      </w:r>
    </w:p>
    <w:p w14:paraId="48971FFD" w14:textId="68B2F643" w:rsidR="00F64776" w:rsidRDefault="00F64776" w:rsidP="00F64776">
      <w:pPr>
        <w:pStyle w:val="TextoNormal"/>
      </w:pPr>
    </w:p>
    <w:p w14:paraId="3C82C9F7" w14:textId="77777777" w:rsidR="00F64776" w:rsidRDefault="00F64776" w:rsidP="00F64776">
      <w:pPr>
        <w:pStyle w:val="TextoNormalCentrado"/>
      </w:pPr>
      <w:r>
        <w:t>ACUERDA</w:t>
      </w:r>
    </w:p>
    <w:p w14:paraId="62ACB569" w14:textId="16B86EE3" w:rsidR="00F64776" w:rsidRDefault="00F64776" w:rsidP="00F64776">
      <w:pPr>
        <w:pStyle w:val="TextoNormalCentrado"/>
      </w:pPr>
    </w:p>
    <w:p w14:paraId="189AF6EC" w14:textId="0BFF8458" w:rsidR="00F64776" w:rsidRDefault="00F64776" w:rsidP="00F64776">
      <w:pPr>
        <w:pStyle w:val="TextoNormal"/>
      </w:pPr>
      <w:r>
        <w:t>Estimar justificada la abstención formulada por el magistrado señor don César Tolosa Tribiño en el recurso de amparo núm. 4996-2022 y apartarle definitivamente del conocimiento del referido recurso y de todas sus incidencias.</w:t>
      </w:r>
    </w:p>
    <w:p w14:paraId="57586170" w14:textId="77777777" w:rsidR="00F64776" w:rsidRDefault="00F64776" w:rsidP="00F64776">
      <w:pPr>
        <w:pStyle w:val="TextoNormal"/>
      </w:pPr>
    </w:p>
    <w:p w14:paraId="460D4FF2" w14:textId="77777777" w:rsidR="00F64776" w:rsidRDefault="00F64776" w:rsidP="00F64776">
      <w:pPr>
        <w:pStyle w:val="TextoNormal"/>
      </w:pPr>
      <w:r>
        <w:t>Madrid, a tres de julio de dos mil veintitrés.</w:t>
      </w:r>
    </w:p>
    <w:p w14:paraId="0CECB894" w14:textId="7071C77A" w:rsidR="00F64776" w:rsidRDefault="00F64776">
      <w:pPr>
        <w:spacing w:after="160" w:line="278" w:lineRule="auto"/>
        <w:rPr>
          <w:rFonts w:ascii="Times New Roman" w:eastAsia="Times New Roman" w:hAnsi="Times New Roman" w:cs="Times New Roman"/>
          <w:sz w:val="24"/>
          <w:szCs w:val="24"/>
          <w:lang w:eastAsia="es-ES"/>
        </w:rPr>
      </w:pPr>
      <w:r>
        <w:br w:type="page"/>
      </w:r>
    </w:p>
    <w:p w14:paraId="69DBD056" w14:textId="77777777" w:rsidR="00F64776" w:rsidRDefault="00F64776" w:rsidP="00F64776">
      <w:pPr>
        <w:pStyle w:val="TtuloResolucin"/>
      </w:pPr>
      <w:bookmarkStart w:id="121" w:name="AUTO_2023_336"/>
      <w:r>
        <w:t>AUTO 336/2023, de 3 de julio de 2023</w:t>
      </w:r>
    </w:p>
    <w:bookmarkEnd w:id="121"/>
    <w:p w14:paraId="6E10D8E1" w14:textId="77777777" w:rsidR="00F64776" w:rsidRDefault="00F64776" w:rsidP="00F64776">
      <w:pPr>
        <w:pStyle w:val="TtuloResolucin"/>
      </w:pPr>
      <w:r>
        <w:t>Sección Tercera</w:t>
      </w:r>
    </w:p>
    <w:p w14:paraId="70EA977B" w14:textId="77777777" w:rsidR="00F64776" w:rsidRDefault="00F64776" w:rsidP="00F64776">
      <w:pPr>
        <w:pStyle w:val="TextoNormalCentrado"/>
      </w:pPr>
      <w:r>
        <w:t>ECLI:ES:TC:2023:336A</w:t>
      </w:r>
    </w:p>
    <w:p w14:paraId="6AEE5A5A" w14:textId="550D0E4E" w:rsidR="00F64776" w:rsidRDefault="00F64776" w:rsidP="00F64776">
      <w:pPr>
        <w:pStyle w:val="TextoNormalCentrado"/>
      </w:pPr>
    </w:p>
    <w:p w14:paraId="336EE968" w14:textId="77777777" w:rsidR="00F64776" w:rsidRDefault="00F64776" w:rsidP="00F64776">
      <w:pPr>
        <w:pStyle w:val="SntesisDescriptiva"/>
      </w:pPr>
      <w:r>
        <w:t>Excms. Srs. doña Inmaculada Montalbán Huertas y doña Laura Díez Bueso.</w:t>
      </w:r>
    </w:p>
    <w:p w14:paraId="66214B48" w14:textId="265203F7" w:rsidR="00F64776" w:rsidRDefault="00F64776" w:rsidP="00F64776">
      <w:pPr>
        <w:pStyle w:val="SntesisDescriptiva"/>
      </w:pPr>
    </w:p>
    <w:p w14:paraId="1D25B391" w14:textId="77777777" w:rsidR="00F64776" w:rsidRDefault="00F64776" w:rsidP="00F64776">
      <w:pPr>
        <w:pStyle w:val="SntesisDescriptiva"/>
      </w:pPr>
      <w:r>
        <w:t>Acepta una abstención en el recurso de amparo 5082-2022, promovido en proceso contencioso-administrativo.</w:t>
      </w:r>
    </w:p>
    <w:p w14:paraId="71F35DE9" w14:textId="2066A71C" w:rsidR="00F64776" w:rsidRDefault="00F64776" w:rsidP="00F64776">
      <w:pPr>
        <w:pStyle w:val="SntesisDescriptiva"/>
      </w:pPr>
    </w:p>
    <w:p w14:paraId="5A246E42" w14:textId="77777777" w:rsidR="00F64776" w:rsidRDefault="00F64776" w:rsidP="00F64776">
      <w:pPr>
        <w:pStyle w:val="SntesisDescriptiva"/>
      </w:pPr>
    </w:p>
    <w:p w14:paraId="11BA3A2D" w14:textId="77777777" w:rsidR="00F64776" w:rsidRDefault="00F64776" w:rsidP="00F64776">
      <w:pPr>
        <w:pStyle w:val="SntesisDescriptiva"/>
      </w:pPr>
    </w:p>
    <w:p w14:paraId="616135C8" w14:textId="77777777" w:rsidR="00F64776" w:rsidRDefault="00F64776" w:rsidP="00F64776">
      <w:pPr>
        <w:pStyle w:val="TextoNormalNegritaCentrado"/>
      </w:pPr>
      <w:r>
        <w:t>AUTO</w:t>
      </w:r>
    </w:p>
    <w:p w14:paraId="31871A9D" w14:textId="2714BB46" w:rsidR="00F64776" w:rsidRDefault="00F64776" w:rsidP="00F64776">
      <w:pPr>
        <w:pStyle w:val="TextoNormalNegritaCentrado"/>
      </w:pPr>
    </w:p>
    <w:p w14:paraId="6F6ED327" w14:textId="77777777" w:rsidR="00F64776" w:rsidRDefault="00F64776" w:rsidP="00F64776">
      <w:pPr>
        <w:pStyle w:val="TextoNormalNegritaCentrado"/>
        <w:keepNext/>
      </w:pPr>
      <w:r>
        <w:t>I. Antecedentes</w:t>
      </w:r>
    </w:p>
    <w:p w14:paraId="74EB5AD9" w14:textId="04092F78" w:rsidR="00F64776" w:rsidRDefault="00F64776" w:rsidP="00F64776">
      <w:pPr>
        <w:pStyle w:val="TextoNormalNegritaCentrado"/>
        <w:keepNext/>
      </w:pPr>
    </w:p>
    <w:p w14:paraId="68E2A174" w14:textId="3EF641BD" w:rsidR="00F64776" w:rsidRDefault="00F64776" w:rsidP="00F64776">
      <w:pPr>
        <w:pStyle w:val="TextoNormal"/>
      </w:pPr>
      <w:r w:rsidRPr="00F64776">
        <w:rPr>
          <w:rStyle w:val="NumeroAFNegritaCaracter"/>
        </w:rPr>
        <w:t>1</w:t>
      </w:r>
      <w:r>
        <w:t>. Mediante escrito registrado en este tribunal el 12 de julio de 2022 el procurador de los tribunales don José María Ruiz de la Cuesta Vacas, en nombre y representación de doña Elena Soledad Santiesteban Muriel y bajo la dirección del letrado don Francisco Javier Araúz de Robles Dávila, interpuso demanda de amparo contra la providencia de 2 de junio de 2022 de la Sección Primera de la  Sala de lo Contencioso-Administrativo del Tribunal Supremo en recurso de casación núm. 5798-2021.</w:t>
      </w:r>
    </w:p>
    <w:p w14:paraId="52DBDAB2" w14:textId="77777777" w:rsidR="00F64776" w:rsidRDefault="00F64776" w:rsidP="00F64776">
      <w:pPr>
        <w:pStyle w:val="TextoNormal"/>
      </w:pPr>
    </w:p>
    <w:p w14:paraId="5C968B86" w14:textId="665FABED" w:rsidR="00F64776" w:rsidRDefault="00F64776" w:rsidP="00F64776">
      <w:pPr>
        <w:pStyle w:val="TextoNormal"/>
      </w:pPr>
      <w:r w:rsidRPr="00F64776">
        <w:rPr>
          <w:rStyle w:val="NumeroAFNegritaCaracter"/>
        </w:rPr>
        <w:t>2</w:t>
      </w:r>
      <w:r>
        <w:t>. Por escrito de 29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41B8EBAD" w14:textId="77777777" w:rsidR="00F64776" w:rsidRDefault="00F64776" w:rsidP="00F64776">
      <w:pPr>
        <w:pStyle w:val="TextoNormal"/>
      </w:pPr>
    </w:p>
    <w:p w14:paraId="002FBDC2" w14:textId="77777777" w:rsidR="00F64776" w:rsidRDefault="00F64776" w:rsidP="00F64776">
      <w:pPr>
        <w:pStyle w:val="TextoNormalNegritaCentrado"/>
        <w:keepNext/>
      </w:pPr>
      <w:r>
        <w:t>II. Fundamentos jurídicos</w:t>
      </w:r>
    </w:p>
    <w:p w14:paraId="30674A8E" w14:textId="05A403BB" w:rsidR="00F64776" w:rsidRDefault="00F64776" w:rsidP="00F64776">
      <w:pPr>
        <w:pStyle w:val="TextoNormalNegritaCentrado"/>
        <w:keepNext/>
      </w:pPr>
    </w:p>
    <w:p w14:paraId="2D8E1FB6" w14:textId="3E6DF2F9"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29CD18D7" w14:textId="77777777" w:rsidR="00F64776" w:rsidRDefault="00F64776" w:rsidP="00F64776">
      <w:pPr>
        <w:pStyle w:val="TextoNormal"/>
      </w:pPr>
    </w:p>
    <w:p w14:paraId="1369CA32" w14:textId="77777777" w:rsidR="00F64776" w:rsidRDefault="00F64776" w:rsidP="00F64776">
      <w:pPr>
        <w:pStyle w:val="TextoNormal"/>
      </w:pPr>
      <w:r>
        <w:t>Por lo expuesto, la Sección</w:t>
      </w:r>
    </w:p>
    <w:p w14:paraId="4B3B8F9C" w14:textId="47012EB6" w:rsidR="00F64776" w:rsidRDefault="00F64776" w:rsidP="00F64776">
      <w:pPr>
        <w:pStyle w:val="TextoNormal"/>
      </w:pPr>
    </w:p>
    <w:p w14:paraId="7946F122" w14:textId="77777777" w:rsidR="00F64776" w:rsidRDefault="00F64776" w:rsidP="00F64776">
      <w:pPr>
        <w:pStyle w:val="TextoNormalCentrado"/>
      </w:pPr>
      <w:r>
        <w:t>ACUERDA</w:t>
      </w:r>
    </w:p>
    <w:p w14:paraId="2F4D79CA" w14:textId="4A45F7F9" w:rsidR="00F64776" w:rsidRDefault="00F64776" w:rsidP="00F64776">
      <w:pPr>
        <w:pStyle w:val="TextoNormalCentrado"/>
      </w:pPr>
    </w:p>
    <w:p w14:paraId="303C020C" w14:textId="09275796" w:rsidR="00F64776" w:rsidRDefault="00F64776" w:rsidP="00F64776">
      <w:pPr>
        <w:pStyle w:val="TextoNormal"/>
      </w:pPr>
      <w:r>
        <w:t>Estimar justificada la abstención formulada por el magistrado señor don César Tolosa Tribiño en el recurso de amparo núm. 5082-2022 y apartarle definitivamente del conocimiento del referido recurso y de todas sus incidencias.</w:t>
      </w:r>
    </w:p>
    <w:p w14:paraId="53302A7D" w14:textId="77777777" w:rsidR="00F64776" w:rsidRDefault="00F64776" w:rsidP="00F64776">
      <w:pPr>
        <w:pStyle w:val="TextoNormal"/>
      </w:pPr>
    </w:p>
    <w:p w14:paraId="63018B76" w14:textId="77777777" w:rsidR="00F64776" w:rsidRDefault="00F64776" w:rsidP="00F64776">
      <w:pPr>
        <w:pStyle w:val="TextoNormal"/>
      </w:pPr>
      <w:r>
        <w:t>Madrid, a tres de julio de dos mil veintitrés.</w:t>
      </w:r>
    </w:p>
    <w:p w14:paraId="15F911C0" w14:textId="0F2ABAE9" w:rsidR="00F64776" w:rsidRDefault="00F64776">
      <w:pPr>
        <w:spacing w:after="160" w:line="278" w:lineRule="auto"/>
        <w:rPr>
          <w:rFonts w:ascii="Times New Roman" w:eastAsia="Times New Roman" w:hAnsi="Times New Roman" w:cs="Times New Roman"/>
          <w:sz w:val="24"/>
          <w:szCs w:val="24"/>
          <w:lang w:eastAsia="es-ES"/>
        </w:rPr>
      </w:pPr>
      <w:r>
        <w:br w:type="page"/>
      </w:r>
    </w:p>
    <w:p w14:paraId="3BF442C6" w14:textId="77777777" w:rsidR="00F64776" w:rsidRDefault="00F64776" w:rsidP="00F64776">
      <w:pPr>
        <w:pStyle w:val="TtuloResolucin"/>
      </w:pPr>
      <w:bookmarkStart w:id="122" w:name="AUTO_2023_337"/>
      <w:r>
        <w:t>AUTO 337/2023, de 3 de julio de 2023</w:t>
      </w:r>
    </w:p>
    <w:bookmarkEnd w:id="122"/>
    <w:p w14:paraId="1C42FC76" w14:textId="77777777" w:rsidR="00F64776" w:rsidRDefault="00F64776" w:rsidP="00F64776">
      <w:pPr>
        <w:pStyle w:val="TtuloResolucin"/>
      </w:pPr>
      <w:r>
        <w:t>Sección Tercera</w:t>
      </w:r>
    </w:p>
    <w:p w14:paraId="256AC7D6" w14:textId="77777777" w:rsidR="00F64776" w:rsidRDefault="00F64776" w:rsidP="00F64776">
      <w:pPr>
        <w:pStyle w:val="TextoNormalCentrado"/>
      </w:pPr>
      <w:r>
        <w:t>ECLI:ES:TC:2023:337A</w:t>
      </w:r>
    </w:p>
    <w:p w14:paraId="233BF626" w14:textId="4E5EC9A6" w:rsidR="00F64776" w:rsidRDefault="00F64776" w:rsidP="00F64776">
      <w:pPr>
        <w:pStyle w:val="TextoNormalCentrado"/>
      </w:pPr>
    </w:p>
    <w:p w14:paraId="1E2DD4C7" w14:textId="77777777" w:rsidR="00F64776" w:rsidRDefault="00F64776" w:rsidP="00F64776">
      <w:pPr>
        <w:pStyle w:val="SntesisDescriptiva"/>
      </w:pPr>
      <w:r>
        <w:t>Excms. Srs. doña Inmaculada Montalbán Huertas y doña Laura Díez Bueso.</w:t>
      </w:r>
    </w:p>
    <w:p w14:paraId="0F63D5B6" w14:textId="040A6769" w:rsidR="00F64776" w:rsidRDefault="00F64776" w:rsidP="00F64776">
      <w:pPr>
        <w:pStyle w:val="SntesisDescriptiva"/>
      </w:pPr>
    </w:p>
    <w:p w14:paraId="2A5EECE5" w14:textId="77777777" w:rsidR="00F64776" w:rsidRDefault="00F64776" w:rsidP="00F64776">
      <w:pPr>
        <w:pStyle w:val="SntesisDescriptiva"/>
      </w:pPr>
      <w:r>
        <w:t>Acepta una abstención en el recurso de amparo 5119-2022, promovido en proceso contencioso-administrativo.</w:t>
      </w:r>
    </w:p>
    <w:p w14:paraId="3D1824BA" w14:textId="6245C9E3" w:rsidR="00F64776" w:rsidRDefault="00F64776" w:rsidP="00F64776">
      <w:pPr>
        <w:pStyle w:val="SntesisDescriptiva"/>
      </w:pPr>
    </w:p>
    <w:p w14:paraId="688C8D1E" w14:textId="77777777" w:rsidR="00F64776" w:rsidRDefault="00F64776" w:rsidP="00F64776">
      <w:pPr>
        <w:pStyle w:val="SntesisDescriptiva"/>
      </w:pPr>
    </w:p>
    <w:p w14:paraId="166BF29D" w14:textId="77777777" w:rsidR="00F64776" w:rsidRDefault="00F64776" w:rsidP="00F64776">
      <w:pPr>
        <w:pStyle w:val="SntesisDescriptiva"/>
      </w:pPr>
    </w:p>
    <w:p w14:paraId="69B45385" w14:textId="77777777" w:rsidR="00F64776" w:rsidRDefault="00F64776" w:rsidP="00F64776">
      <w:pPr>
        <w:pStyle w:val="TextoNormalNegritaCentrado"/>
      </w:pPr>
      <w:r>
        <w:t>AUTO</w:t>
      </w:r>
    </w:p>
    <w:p w14:paraId="4D5EBECE" w14:textId="46CAB5FC" w:rsidR="00F64776" w:rsidRDefault="00F64776" w:rsidP="00F64776">
      <w:pPr>
        <w:pStyle w:val="TextoNormalNegritaCentrado"/>
      </w:pPr>
    </w:p>
    <w:p w14:paraId="41CED985" w14:textId="77777777" w:rsidR="00F64776" w:rsidRDefault="00F64776" w:rsidP="00F64776">
      <w:pPr>
        <w:pStyle w:val="TextoNormalNegritaCentrado"/>
        <w:keepNext/>
      </w:pPr>
      <w:r>
        <w:t>I. Antecedentes</w:t>
      </w:r>
    </w:p>
    <w:p w14:paraId="03553606" w14:textId="77062538" w:rsidR="00F64776" w:rsidRDefault="00F64776" w:rsidP="00F64776">
      <w:pPr>
        <w:pStyle w:val="TextoNormalNegritaCentrado"/>
        <w:keepNext/>
      </w:pPr>
    </w:p>
    <w:p w14:paraId="00B90F02" w14:textId="3E97EA4A" w:rsidR="00F64776" w:rsidRDefault="00F64776" w:rsidP="00F64776">
      <w:pPr>
        <w:pStyle w:val="TextoNormal"/>
      </w:pPr>
      <w:r w:rsidRPr="00F64776">
        <w:rPr>
          <w:rStyle w:val="NumeroAFNegritaCaracter"/>
        </w:rPr>
        <w:t>1</w:t>
      </w:r>
      <w:r>
        <w:t>. Mediante escrito registrado en este tribunal el 13 de julio de 2022 el procurador de los tribunales don José María Ruiz de la Cuesta Vacas, en nombre y representación de María Teresa Albares Jiménez y bajo la dirección del letrado don Francisco Javier Araúz de Robles Dávila, interpuso demanda de amparo contra providencia de la Sección Primera de la Sala de lo Contencioso-Administrativo del Tribunal Supremo en recurso de casación núm. 2936-2021.</w:t>
      </w:r>
    </w:p>
    <w:p w14:paraId="62C89D49" w14:textId="77777777" w:rsidR="00F64776" w:rsidRDefault="00F64776" w:rsidP="00F64776">
      <w:pPr>
        <w:pStyle w:val="TextoNormal"/>
      </w:pPr>
    </w:p>
    <w:p w14:paraId="48FC2409" w14:textId="590A895B" w:rsidR="00F64776" w:rsidRDefault="00F64776" w:rsidP="00F64776">
      <w:pPr>
        <w:pStyle w:val="TextoNormal"/>
      </w:pPr>
      <w:r w:rsidRPr="00F64776">
        <w:rPr>
          <w:rStyle w:val="NumeroAFNegritaCaracter"/>
        </w:rPr>
        <w:t>2</w:t>
      </w:r>
      <w:r>
        <w:t>. Por escrito de 22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49AF4594" w14:textId="77777777" w:rsidR="00F64776" w:rsidRDefault="00F64776" w:rsidP="00F64776">
      <w:pPr>
        <w:pStyle w:val="TextoNormal"/>
      </w:pPr>
    </w:p>
    <w:p w14:paraId="0B452D78" w14:textId="77777777" w:rsidR="00F64776" w:rsidRDefault="00F64776" w:rsidP="00F64776">
      <w:pPr>
        <w:pStyle w:val="TextoNormalNegritaCentrado"/>
        <w:keepNext/>
      </w:pPr>
      <w:r>
        <w:t>II. Fundamentos jurídicos</w:t>
      </w:r>
    </w:p>
    <w:p w14:paraId="680DC61B" w14:textId="7375DA50" w:rsidR="00F64776" w:rsidRDefault="00F64776" w:rsidP="00F64776">
      <w:pPr>
        <w:pStyle w:val="TextoNormalNegritaCentrado"/>
        <w:keepNext/>
      </w:pPr>
    </w:p>
    <w:p w14:paraId="7892204C" w14:textId="7F5CC590"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107FEFAC" w14:textId="77777777" w:rsidR="00F64776" w:rsidRDefault="00F64776" w:rsidP="00F64776">
      <w:pPr>
        <w:pStyle w:val="TextoNormal"/>
      </w:pPr>
    </w:p>
    <w:p w14:paraId="78B36EDA" w14:textId="77777777" w:rsidR="00F64776" w:rsidRDefault="00F64776" w:rsidP="00F64776">
      <w:pPr>
        <w:pStyle w:val="TextoNormal"/>
      </w:pPr>
      <w:r>
        <w:t>Por lo expuesto, la Sección</w:t>
      </w:r>
    </w:p>
    <w:p w14:paraId="680CDF45" w14:textId="50DE3C12" w:rsidR="00F64776" w:rsidRDefault="00F64776" w:rsidP="00F64776">
      <w:pPr>
        <w:pStyle w:val="TextoNormal"/>
      </w:pPr>
    </w:p>
    <w:p w14:paraId="2D1D56CB" w14:textId="77777777" w:rsidR="00F64776" w:rsidRDefault="00F64776" w:rsidP="00F64776">
      <w:pPr>
        <w:pStyle w:val="TextoNormalCentrado"/>
      </w:pPr>
      <w:r>
        <w:t>ACUERDA</w:t>
      </w:r>
    </w:p>
    <w:p w14:paraId="48F7B35E" w14:textId="61A90B24" w:rsidR="00F64776" w:rsidRDefault="00F64776" w:rsidP="00F64776">
      <w:pPr>
        <w:pStyle w:val="TextoNormalCentrado"/>
      </w:pPr>
    </w:p>
    <w:p w14:paraId="0C94B710" w14:textId="403FA080" w:rsidR="00F64776" w:rsidRDefault="00F64776" w:rsidP="00F64776">
      <w:pPr>
        <w:pStyle w:val="TextoNormal"/>
      </w:pPr>
      <w:r>
        <w:t>Estimar justificada la abstención formulada por el magistrado señor don César Tolosa Tribiño en el recurso de amparo núm. 5119-2022 y apartarle definitivamente del conocimiento del referido recurso y de todas sus incidencias.</w:t>
      </w:r>
    </w:p>
    <w:p w14:paraId="04460928" w14:textId="77777777" w:rsidR="00F64776" w:rsidRDefault="00F64776" w:rsidP="00F64776">
      <w:pPr>
        <w:pStyle w:val="TextoNormal"/>
      </w:pPr>
    </w:p>
    <w:p w14:paraId="7B2CFCB8" w14:textId="77777777" w:rsidR="00F64776" w:rsidRDefault="00F64776" w:rsidP="00F64776">
      <w:pPr>
        <w:pStyle w:val="TextoNormal"/>
      </w:pPr>
      <w:r>
        <w:t>Madrid, a tres de julio de dos mil veintitrés.</w:t>
      </w:r>
    </w:p>
    <w:p w14:paraId="704C31E6" w14:textId="36232E81" w:rsidR="00F64776" w:rsidRDefault="00F64776">
      <w:pPr>
        <w:spacing w:after="160" w:line="278" w:lineRule="auto"/>
        <w:rPr>
          <w:rFonts w:ascii="Times New Roman" w:eastAsia="Times New Roman" w:hAnsi="Times New Roman" w:cs="Times New Roman"/>
          <w:sz w:val="24"/>
          <w:szCs w:val="24"/>
          <w:lang w:eastAsia="es-ES"/>
        </w:rPr>
      </w:pPr>
      <w:r>
        <w:br w:type="page"/>
      </w:r>
    </w:p>
    <w:p w14:paraId="3F7EEB19" w14:textId="77777777" w:rsidR="00F64776" w:rsidRDefault="00F64776" w:rsidP="00F64776">
      <w:pPr>
        <w:pStyle w:val="TtuloResolucin"/>
      </w:pPr>
      <w:bookmarkStart w:id="123" w:name="AUTO_2023_338"/>
      <w:r>
        <w:t>AUTO 338/2023, de 3 de julio de 2023</w:t>
      </w:r>
    </w:p>
    <w:bookmarkEnd w:id="123"/>
    <w:p w14:paraId="0E485736" w14:textId="77777777" w:rsidR="00F64776" w:rsidRDefault="00F64776" w:rsidP="00F64776">
      <w:pPr>
        <w:pStyle w:val="TtuloResolucin"/>
      </w:pPr>
      <w:r>
        <w:t>Sala Segunda</w:t>
      </w:r>
    </w:p>
    <w:p w14:paraId="0C3B360E" w14:textId="77777777" w:rsidR="00F64776" w:rsidRDefault="00F64776" w:rsidP="00F64776">
      <w:pPr>
        <w:pStyle w:val="TtuloBOE"/>
      </w:pPr>
      <w:r>
        <w:t>(BOE núm. 184, de 3 de agosto de 2023)</w:t>
      </w:r>
    </w:p>
    <w:p w14:paraId="1BAB2CC4" w14:textId="77777777" w:rsidR="00F64776" w:rsidRDefault="00F64776" w:rsidP="00F64776">
      <w:pPr>
        <w:pStyle w:val="TextoNormalCentrado"/>
      </w:pPr>
      <w:r>
        <w:t>ECLI:ES:TC:2023:338A</w:t>
      </w:r>
    </w:p>
    <w:p w14:paraId="3CF22A50" w14:textId="314E15E8" w:rsidR="00F64776" w:rsidRDefault="00F64776" w:rsidP="00F64776">
      <w:pPr>
        <w:pStyle w:val="TextoNormalCentrado"/>
      </w:pPr>
    </w:p>
    <w:p w14:paraId="371A3C2C" w14:textId="77777777" w:rsidR="00F64776" w:rsidRDefault="00F64776" w:rsidP="00F64776">
      <w:pPr>
        <w:pStyle w:val="SntesisDescriptiva"/>
      </w:pPr>
      <w:r>
        <w:t>Excms. Srs. doña Inmaculada Montalbán Huertas, doña María Luisa Balaguer Callejón, don Ramón Sáez Valcárcel, don Enrique Arnaldo Alcubilla, don César Tolosa Tribiño y doña Laura Díez Bueso.</w:t>
      </w:r>
    </w:p>
    <w:p w14:paraId="20FA329B" w14:textId="397420C7" w:rsidR="00F64776" w:rsidRDefault="00F64776" w:rsidP="00F64776">
      <w:pPr>
        <w:pStyle w:val="SntesisDescriptiva"/>
      </w:pPr>
    </w:p>
    <w:p w14:paraId="28A636BE" w14:textId="77777777" w:rsidR="00F64776" w:rsidRDefault="00F64776" w:rsidP="00F64776">
      <w:pPr>
        <w:pStyle w:val="SntesisDescriptiva"/>
      </w:pPr>
      <w:r>
        <w:t>Admite a trámite el recurso de amparo 5165-2022, promovido por la asociación Coordinadora de Barrios para el Seguimiento de Menores y Jóvenes y otras en causa penal. Voto particular.</w:t>
      </w:r>
    </w:p>
    <w:p w14:paraId="72DAF2DB" w14:textId="54A3BD69" w:rsidR="00F64776" w:rsidRDefault="00F64776" w:rsidP="00F64776">
      <w:pPr>
        <w:pStyle w:val="SntesisDescriptiva"/>
      </w:pPr>
    </w:p>
    <w:p w14:paraId="049E8CC4" w14:textId="77777777" w:rsidR="00F64776" w:rsidRDefault="00F64776" w:rsidP="00F64776">
      <w:pPr>
        <w:pStyle w:val="SntesisDescriptiva"/>
      </w:pPr>
    </w:p>
    <w:p w14:paraId="57C893D7" w14:textId="77777777" w:rsidR="00F64776" w:rsidRDefault="00F64776" w:rsidP="00F64776">
      <w:pPr>
        <w:pStyle w:val="SntesisDescriptiva"/>
      </w:pPr>
    </w:p>
    <w:p w14:paraId="082C1586" w14:textId="77777777" w:rsidR="00F64776" w:rsidRDefault="00F64776" w:rsidP="00F64776">
      <w:pPr>
        <w:pStyle w:val="TextoNormalNegritaCentrado"/>
      </w:pPr>
      <w:r>
        <w:t>AUTO</w:t>
      </w:r>
    </w:p>
    <w:p w14:paraId="356E4326" w14:textId="6212D96D" w:rsidR="00F64776" w:rsidRDefault="00F64776" w:rsidP="00F64776">
      <w:pPr>
        <w:pStyle w:val="TextoNormalNegritaCentrado"/>
      </w:pPr>
    </w:p>
    <w:p w14:paraId="68659A66" w14:textId="77777777" w:rsidR="00F64776" w:rsidRDefault="00F64776" w:rsidP="00F64776">
      <w:pPr>
        <w:pStyle w:val="TextoNormalNegritaCentrado"/>
        <w:keepNext/>
      </w:pPr>
      <w:r>
        <w:t>I. Antecedentes</w:t>
      </w:r>
    </w:p>
    <w:p w14:paraId="2F4CCE45" w14:textId="3091E75D" w:rsidR="00F64776" w:rsidRDefault="00F64776" w:rsidP="00F64776">
      <w:pPr>
        <w:pStyle w:val="TextoNormalNegritaCentrado"/>
        <w:keepNext/>
      </w:pPr>
    </w:p>
    <w:p w14:paraId="1B22B22E" w14:textId="5C07EFE0" w:rsidR="00F64776" w:rsidRDefault="00F64776" w:rsidP="00F64776">
      <w:pPr>
        <w:pStyle w:val="TextoNormal"/>
      </w:pPr>
      <w:r w:rsidRPr="00F64776">
        <w:rPr>
          <w:rStyle w:val="NumeroAFNegritaCaracter"/>
        </w:rPr>
        <w:t>1</w:t>
      </w:r>
      <w:r>
        <w:t>. Por escrito registrado en este tribunal el 14 de julio de 2022, la asociación Coordinadora de Barrios para el Seguimiento de Menores y Jóvenes, la Asociación Pro Derechos Humanos de España y la Comisión Española de Ayuda al Refugiado, representadas por la procuradora de los tribunales doña María de los Ángeles Martínez Fernández y bajo la dirección de la letrada doña Patricia Fernández Vicens, interpusieron recurso de amparo contra la sentencia núm. 553/2022 de la Sala de lo Penal del Tribunal Supremo, dictada el 27 de mayo de 2022 en recurso de casación núm. 1203-2021, y contra el auto de sobreseimiento libre de 27 de julio de 2020, dictado por la Sección Sexta de la Audiencia Provincial de Cádiz, en el recurso de apelación núm. 37-2020.</w:t>
      </w:r>
    </w:p>
    <w:p w14:paraId="52473EB0" w14:textId="77777777" w:rsidR="00F64776" w:rsidRDefault="00F64776" w:rsidP="00F64776">
      <w:pPr>
        <w:pStyle w:val="TextoNormal"/>
      </w:pPr>
    </w:p>
    <w:p w14:paraId="402F0529" w14:textId="77777777" w:rsidR="00F64776" w:rsidRDefault="00F64776" w:rsidP="00F64776">
      <w:pPr>
        <w:pStyle w:val="TextoNormal"/>
      </w:pPr>
      <w:r w:rsidRPr="00F64776">
        <w:rPr>
          <w:rStyle w:val="NumeroAFNegritaCaracter"/>
        </w:rPr>
        <w:t>2</w:t>
      </w:r>
      <w:r>
        <w:t>. El recurso tiene su origen en los siguientes antecedentes:</w:t>
      </w:r>
    </w:p>
    <w:p w14:paraId="1900553D" w14:textId="77777777" w:rsidR="00F64776" w:rsidRDefault="00F64776" w:rsidP="00F64776">
      <w:pPr>
        <w:pStyle w:val="TextoNormal"/>
      </w:pPr>
    </w:p>
    <w:p w14:paraId="50120C40" w14:textId="77777777" w:rsidR="00F64776" w:rsidRDefault="00F64776" w:rsidP="00F64776">
      <w:pPr>
        <w:pStyle w:val="TextoNormal"/>
      </w:pPr>
      <w:r>
        <w:t>a) En el marco de las diligencias previas núm. 123-2014, el 24 de septiembre de 2019 fue dictado, por el Juzgado de Instrucción núm. 6 de Ceuta, auto incoando procedimiento abreviado frente a quince agentes de la Guardia Civil por la posible comisión de delitos de homicidio por imprudencia grave y denegación de auxilio. Entendía el titular del juzgado de instrucción que los hechos investigados eran indiciariamente constitutivos de infracciones penales contra la vida y la indemnidad de las personas, bienes jurídicos tutelados por los arts. 142 (homicidio imprudente) y 412.3 del Código penal (denegación de auxilio). Dicho auto acordaba, no obstante, el sobreseimiento provisional respecto al delito de lesiones dolosas y el sobreseimiento libre respecto al posible delito de prevaricación.</w:t>
      </w:r>
    </w:p>
    <w:p w14:paraId="6AD9CA7A" w14:textId="77777777" w:rsidR="00F64776" w:rsidRDefault="00F64776" w:rsidP="00F64776">
      <w:pPr>
        <w:pStyle w:val="TextoNormal"/>
      </w:pPr>
    </w:p>
    <w:p w14:paraId="7A7BA009" w14:textId="77777777" w:rsidR="00F64776" w:rsidRDefault="00F64776" w:rsidP="00F64776">
      <w:pPr>
        <w:pStyle w:val="TextoNormal"/>
      </w:pPr>
      <w:r>
        <w:t>Como relato de hechos punibles explicita la citada resolución:</w:t>
      </w:r>
    </w:p>
    <w:p w14:paraId="5D0FF2EB" w14:textId="77777777" w:rsidR="00F64776" w:rsidRDefault="00F64776" w:rsidP="00F64776">
      <w:pPr>
        <w:pStyle w:val="TextoNormal"/>
      </w:pPr>
    </w:p>
    <w:p w14:paraId="7B59DC61" w14:textId="77777777" w:rsidR="00F64776" w:rsidRDefault="00F64776" w:rsidP="00F64776">
      <w:pPr>
        <w:pStyle w:val="TextoNormal"/>
      </w:pPr>
      <w:r>
        <w:t>“De lo actuado resulta indiciariamente que el 6 de febrero de 2014, cientos de personas se lanzaron al mar con el propósito de llegar a España a nado, y de entre ellas quince fallecieron ahogadas en la playa ceutí del Tarajal, y un número indeterminado de otras resultaron lesionadas, mientras los agentes de la Guardia Civil investigados utilizaban material de dispersión para disuadirlos, disparando en consecuencia bolas de goma y botes de humo al mar en que nadaban, en defensa de las fronteras españolas. Dicha actuación pudo contribuir, co-causalmente, a título de imprudencia, a la muerte por ahogamiento de las mismas, concurriendo indicios sobre posible falta de proporcionalidad de la actuación desplegada por los investigados, los cuales, indiciariamente asimismo, omitieron socorrer a las personas que se hallaban nadando en el mar con riesgo vital”.</w:t>
      </w:r>
    </w:p>
    <w:p w14:paraId="6014FA4C" w14:textId="77777777" w:rsidR="00F64776" w:rsidRDefault="00F64776" w:rsidP="00F64776">
      <w:pPr>
        <w:pStyle w:val="TextoNormal"/>
      </w:pPr>
    </w:p>
    <w:p w14:paraId="1039C28F" w14:textId="77777777" w:rsidR="00F64776" w:rsidRDefault="00F64776" w:rsidP="00F64776">
      <w:pPr>
        <w:pStyle w:val="TextoNormal"/>
      </w:pPr>
      <w:r>
        <w:t>b) Frente a dicho auto fue interpuesto, por el Ministerio Fiscal y la Abogacía del Estado recurso de reforma solicitando el sobreseimiento provisional de las actuaciones. Dicho recurso fue impugnado por la representación procesal de quienes hoy actúan como demandantes de amparo.</w:t>
      </w:r>
    </w:p>
    <w:p w14:paraId="2946DBE4" w14:textId="77777777" w:rsidR="00F64776" w:rsidRDefault="00F64776" w:rsidP="00F64776">
      <w:pPr>
        <w:pStyle w:val="TextoNormal"/>
      </w:pPr>
    </w:p>
    <w:p w14:paraId="705835D3" w14:textId="77777777" w:rsidR="00F64776" w:rsidRDefault="00F64776" w:rsidP="00F64776">
      <w:pPr>
        <w:pStyle w:val="TextoNormal"/>
      </w:pPr>
      <w:r>
        <w:t>El 29 de octubre de 2019 fue dictado por el juzgado de instrucción auto estimando el recurso de reforma interpuesto por el Ministerio Fiscal contra el auto de continuación por los trámites del procedimiento abreviado, y decretando el sobreseimiento provisional de la causa respecto a la totalidad de los investigados, por los delitos de homicidio imprudente y denegación de auxilio y ello, dice el auto en su parte dispositiva “exclusivamente por aplicación de la ‘doctrina Botín’ y conforme a los artículos 782.1 y 783 de la LECrim, con el consecuente archivo de los presentes autos respecto a todos los encausados”.</w:t>
      </w:r>
    </w:p>
    <w:p w14:paraId="7A0E5CBB" w14:textId="77777777" w:rsidR="00F64776" w:rsidRDefault="00F64776" w:rsidP="00F64776">
      <w:pPr>
        <w:pStyle w:val="TextoNormal"/>
      </w:pPr>
    </w:p>
    <w:p w14:paraId="1CC2EE4E" w14:textId="77777777" w:rsidR="00F64776" w:rsidRDefault="00F64776" w:rsidP="00F64776">
      <w:pPr>
        <w:pStyle w:val="TextoNormal"/>
      </w:pPr>
      <w:r>
        <w:t>A pesar de ello, la resolución mantiene la consideración de que existen indicios de delito “puesto que hallándose las personas víctimas de estos hechos en situación efectivamente de peligro, los agentes investigados tenían la obligación jurídica de auxiliarlas, y concurren indicios de su abstención”. Sin perjuicio de la constatación precedente, el órgano judicial explicita que solo las acusaciones populares habían manifestado su intención de acusar, no existiendo acusación particular personada en aquel momento. Sobre la base de las anteriores consideraciones, y ante la alegación expresa del Ministerio Fiscal en este sentido, el auto aplica la denominada “doctrina Botín” sobre la extensión de la acción popular, a través de una interpretación literal del art. 782 de la Ley de enjuiciamiento criminal (LECrim). Habida cuenta de que el bien jurídico protegido en este caso era un bien eminentemente personal, que solo han mostrado su propósito de instar la celebración del juicio oral las acusaciones populares y que quien encarna la acusación pública, esto es, el Ministerio Fiscal, en vía de reforma, solicita el sobreseimiento de los autos, el juzgado acuerda el archivo de las actuaciones.</w:t>
      </w:r>
    </w:p>
    <w:p w14:paraId="22B0A6E9" w14:textId="77777777" w:rsidR="00F64776" w:rsidRDefault="00F64776" w:rsidP="00F64776">
      <w:pPr>
        <w:pStyle w:val="TextoNormal"/>
      </w:pPr>
    </w:p>
    <w:p w14:paraId="676B651B" w14:textId="77777777" w:rsidR="00F64776" w:rsidRDefault="00F64776" w:rsidP="00F64776">
      <w:pPr>
        <w:pStyle w:val="TextoNormal"/>
      </w:pPr>
      <w:r>
        <w:t>c) Frente a dicha resolución fue interpuesto recurso de apelación por el Ministerio Fiscal, la Abogacía del Estado y la defensa de algunos investigados, interesando el sobreseimiento libre, y por la representación procesal de la demandante de amparo, que contestaba, entre otros extremos, la aplicación al caso de la “doctrina Botín”, solicitaba la revocación del sobreseimiento y alegaba ya en ese momento la lesión del art. 15 CE en relación con el art. 24 CE.</w:t>
      </w:r>
    </w:p>
    <w:p w14:paraId="4F20B6D0" w14:textId="77777777" w:rsidR="00F64776" w:rsidRDefault="00F64776" w:rsidP="00F64776">
      <w:pPr>
        <w:pStyle w:val="TextoNormal"/>
      </w:pPr>
    </w:p>
    <w:p w14:paraId="5191EF51" w14:textId="77777777" w:rsidR="00F64776" w:rsidRDefault="00F64776" w:rsidP="00F64776">
      <w:pPr>
        <w:pStyle w:val="TextoNormal"/>
      </w:pPr>
      <w:r>
        <w:t>Dicho recurso fue resuelto por la Audiencia Provincial de Cádiz mediante auto de 27 de julio de 2020, que estima parcialmente los recursos de apelación interpuestos por el Ministerio Fiscal y por la Abogacía del Estado y acuerda el sobreseimiento libre de las actuaciones.</w:t>
      </w:r>
    </w:p>
    <w:p w14:paraId="441C62BA" w14:textId="77777777" w:rsidR="00F64776" w:rsidRDefault="00F64776" w:rsidP="00F64776">
      <w:pPr>
        <w:pStyle w:val="TextoNormal"/>
      </w:pPr>
    </w:p>
    <w:p w14:paraId="0AA1934A" w14:textId="77777777" w:rsidR="00F64776" w:rsidRDefault="00F64776" w:rsidP="00F64776">
      <w:pPr>
        <w:pStyle w:val="TextoNormal"/>
      </w:pPr>
      <w:r>
        <w:t>En lo que interesa a la presente demanda de amparo, el auto explicita lo siguiente: (i) la “doctrina Botín” no resulta aplicable a este caso habida cuenta que la posición de la acción popular en el proceso no puede ser condicionada al hecho de que el acusador particular se persone en el procedimiento, siendo que de la literalidad del art. 782.1 LECrim se deduce que debe producirse una doble petición de sobreseimiento (Ministerio Fiscal y perjudicado por el delito), lo que no concurre en el presente caso; (ii) la versión de los hechos mantenida por las acusaciones y que orbita sobre la circunstancia de que los agentes de la Guardia Civil dirigieron deliberadamente pelotazos y gases lacrimógenos a las personas que se encontraban nadando en el mar no viene reflejada en el relato fáctico contenido en el auto. Este aspecto no ha sido recurrido por las defensas, por lo que no procede reformar el auto para la inclusión de este relato fáctico. Por lo tanto, las acusaciones populares se han aquietado a la delimitación de hechos acogidos en el auto al igual que no han reaccionado frente al sobreseimiento provisional y sobreseimiento libre acordado respecto a los delitos de lesiones y la prevaricación; (iii) aunque el auto hace referencia a que la acción de los agentes pudo contribuir al fallecimiento de las quince víctimas, ello se hace sin mayores explicaciones fácticas o jurídicas que no alcanza el nivel de probabilidad suficiente para pasar a la siguiente fase procedimental; (iv) no existe una relación de causalidad entre la actuación de los investigados y el resultado de muerte por ahogamiento; (v) no hay indicios de que los actos se encaminaran a menoscabar la integridad física de los nadadores que habían logrado atravesar la línea fronteriza, y así lo demuestran los soportes videográficos y los testimonios. La actuación policial fue proporcionada; (vi) determinar el sobreseimiento libre en fase de apelación no supone invadir funciones de enjuiciamiento ni realizar una pseudo sentencia anticipada, sino que la decisión adoptada es propia del momento procesal concurrente evitando penas de banquillo; (vii) respecto al delito de denegación de auxilio, la Audiencia Provincial señalaba que los agentes de la Guardia Civil que estaban en el espigón no tenían obligación de socorrer a los nadadores: ni se ha acreditado que los mismos hicieran algún requerimiento al respecto, ni existe prueba alguna de que en su presencia se estuviera nadie ahogando ni en peligro pudiéndose observar esta circunstancia con claridad en las grabaciones; (viii) la Audiencia Provincial entiende que los hechos carecen de una concreción individualizada, lo que impide atribuir a todos y cada uno de los investigados la responsabilidad criminal por alguna hipotética desviación de algún miembro del grupo más descuidado o materialmente malintencionado. No se puede hablar de una coautoría pues no existe un previo acuerdo de voluntades ya que se trata de una actuación llevada a cabo por una fuerza militarizada bajo el mando de un capitán que si bien no dio una orden expresa para el uso de material antidisturbios, llevó a efecto algunos lanzamientos y disparos para que sus subordinados los emularan, de manera que al no existir dicho concierto de voluntades, tendría que haberse determinado qué actos concretos protagonizados por cada uno de los investigados provocaron el resultado de muerte o confluyeron al mismo con otras acciones imprudentes. La falta de determinación conduce irremediablemente al sobreseimiento libre.</w:t>
      </w:r>
    </w:p>
    <w:p w14:paraId="4AF5FE65" w14:textId="77777777" w:rsidR="00F64776" w:rsidRDefault="00F64776" w:rsidP="00F64776">
      <w:pPr>
        <w:pStyle w:val="TextoNormal"/>
      </w:pPr>
    </w:p>
    <w:p w14:paraId="14FC717A" w14:textId="77777777" w:rsidR="00F64776" w:rsidRDefault="00F64776" w:rsidP="00F64776">
      <w:pPr>
        <w:pStyle w:val="TextoNormal"/>
      </w:pPr>
      <w:r>
        <w:t>En la indicación de pie de recurso del auto se apunta que, contra el mismo “podrá prepararse recurso de casación por infracción de ley en el plazo de cinco días desde la última notificación”.</w:t>
      </w:r>
    </w:p>
    <w:p w14:paraId="3AFF215D" w14:textId="77777777" w:rsidR="00F64776" w:rsidRDefault="00F64776" w:rsidP="00F64776">
      <w:pPr>
        <w:pStyle w:val="TextoNormal"/>
      </w:pPr>
    </w:p>
    <w:p w14:paraId="3195D6D5" w14:textId="77777777" w:rsidR="00F64776" w:rsidRDefault="00F64776" w:rsidP="00F64776">
      <w:pPr>
        <w:pStyle w:val="TextoNormal"/>
      </w:pPr>
      <w:r>
        <w:t>d) Conforme a la instrucción de recurso, se anunció por las acusaciones la interposición de recurso de casación el 3 de agosto de 2020 que se tuvo por preparado mediante auto de 3 de febrero de 2021. Comparecidos ante el Tribunal Supremo se formalizó el recurso de casación el 19 de abril de 2021. El 28 de septiembre de 2021 se dio trámite a la parte recurrente para alegar sobre la inadmisibilidad del recurso de casación. Por la sala de admisiones del Tribunal Supremo se admitió a trámite y el 27 de julio de 2022 se dictó sentencia por la que se desestimaba el recurso de casación con condena en costas a los recurrentes.</w:t>
      </w:r>
    </w:p>
    <w:p w14:paraId="5348DA68" w14:textId="77777777" w:rsidR="00F64776" w:rsidRDefault="00F64776" w:rsidP="00F64776">
      <w:pPr>
        <w:pStyle w:val="TextoNormal"/>
      </w:pPr>
    </w:p>
    <w:p w14:paraId="418190DA" w14:textId="2492ACE7" w:rsidR="00F64776" w:rsidRDefault="00F64776" w:rsidP="00F64776">
      <w:pPr>
        <w:pStyle w:val="TextoNormal"/>
      </w:pPr>
      <w:r>
        <w:t>Señala el Tribunal Supremo que los delitos por los que se había formulado acusación eran competencia del juzgado de lo penal, por lo que las resoluciones de aquel solo serían recurribles ante la Audiencia Provincial (la fecha de incoación del procedimiento es anterior a la entrada en vigor de la Ley 41/2015), de modo que no cabría casación ni frente a la sentencia de la Audiencia Provincial ni frente al auto acordando el sobreseimiento libre. Tampoco cabría casación frente al auto de sobreseimiento libre dictado respecto a los delitos de homicidio imprudente y de lesiones toda vez que el sobreseimiento se ajusta a lo previsto en el art. 637.1 LECrim.</w:t>
      </w:r>
    </w:p>
    <w:p w14:paraId="5668E280" w14:textId="77777777" w:rsidR="00F64776" w:rsidRDefault="00F64776" w:rsidP="00F64776">
      <w:pPr>
        <w:pStyle w:val="TextoNormal"/>
      </w:pPr>
    </w:p>
    <w:p w14:paraId="30F83416" w14:textId="77777777" w:rsidR="00F64776" w:rsidRDefault="00F64776" w:rsidP="00F64776">
      <w:pPr>
        <w:pStyle w:val="TextoNormal"/>
      </w:pPr>
      <w:r w:rsidRPr="00F64776">
        <w:rPr>
          <w:rStyle w:val="NumeroAFNegritaCaracter"/>
        </w:rPr>
        <w:t>3</w:t>
      </w:r>
      <w:r>
        <w:t>. La demanda de amparo denuncia la vulneración, por parte de las resoluciones impugnadas, del derecho a la vida y a la integridad física (art. 15 CE) en su vertiente procesal (art. 24.1 CE), tal y como viene esta última configurada por el Tribunal Europeo de Derechos Humanos al interpretar el art. 3 del Convenio europeo de derechos humanos (CEDH).</w:t>
      </w:r>
    </w:p>
    <w:p w14:paraId="4ED08FF6" w14:textId="77777777" w:rsidR="00F64776" w:rsidRDefault="00F64776" w:rsidP="00F64776">
      <w:pPr>
        <w:pStyle w:val="TextoNormal"/>
      </w:pPr>
    </w:p>
    <w:p w14:paraId="4AABEB2D" w14:textId="77777777" w:rsidR="00F64776" w:rsidRDefault="00F64776" w:rsidP="00F64776">
      <w:pPr>
        <w:pStyle w:val="TextoNormal"/>
      </w:pPr>
      <w:r>
        <w:t xml:space="preserve">Señala la demanda que el </w:t>
      </w:r>
      <w:r w:rsidRPr="00F64776">
        <w:rPr>
          <w:i/>
        </w:rPr>
        <w:t>ius ut procedatur</w:t>
      </w:r>
      <w:r>
        <w:t xml:space="preserve"> no queda limitado a un genérico derecho de motivación de las resoluciones judiciales, sino que el deber de facilitar el acceso a la jurisdicción aparece reforzado en supuestos en que están en juego otros derechos fundamentales sustantivos como el derecho a no sufrir tortura. De hecho, el Tribunal Europeo de Derechos Humanos ha admitido que puede existir vulneración del art. 3 CEDH en casos de ausencia de investigación exhaustiva y eficaz cuando ha existido incluso una vista con absolución de los encausados (STEDH de 24 de julio de 2012, asunto </w:t>
      </w:r>
      <w:r w:rsidRPr="00F64776">
        <w:rPr>
          <w:i/>
        </w:rPr>
        <w:t>B.S. c. España</w:t>
      </w:r>
      <w:r>
        <w:t xml:space="preserve">) y también cuando, existiendo una sentencia condenatoria, la absolución se produjo en el recurso de casación (STEDH de 13 de febrero de 2018, asunto </w:t>
      </w:r>
      <w:r w:rsidRPr="00F64776">
        <w:rPr>
          <w:i/>
        </w:rPr>
        <w:t>Portu Juanenea y Sarasola Yarzabal c. España</w:t>
      </w:r>
      <w:r>
        <w:t>). En ambas resoluciones lo que se viene a declarar es que resulta preciso que la jurisdicción nacional determine los hechos y el conjunto de circunstancias de conformidad con el art. 3 CEDH.</w:t>
      </w:r>
    </w:p>
    <w:p w14:paraId="3DBB0CE9" w14:textId="77777777" w:rsidR="00F64776" w:rsidRDefault="00F64776" w:rsidP="00F64776">
      <w:pPr>
        <w:pStyle w:val="TextoNormal"/>
      </w:pPr>
    </w:p>
    <w:p w14:paraId="20BDCF00" w14:textId="77777777" w:rsidR="00F64776" w:rsidRDefault="00F64776" w:rsidP="00F64776">
      <w:pPr>
        <w:pStyle w:val="TextoNormal"/>
      </w:pPr>
      <w:r>
        <w:t>La demanda sostiene que es posible trasladar esta jurisprudencia a la determinación de un parámetro de control constitucional en relación con las invocaciones de la eventual lesión del derecho a la vida en su dimensión procesal, tal y como ha hecho el Tribunal Europeo de Derechos Humanos desde los supuestos de tortura y malos tratos prohibidos por el art. 3 CEDH a los de privación de la vida en el contexto del uso de la fuerza por agentes de la autoridad analizados al amparo del art. 2 CEDH.</w:t>
      </w:r>
    </w:p>
    <w:p w14:paraId="1D0E1B1E" w14:textId="77777777" w:rsidR="00F64776" w:rsidRDefault="00F64776" w:rsidP="00F64776">
      <w:pPr>
        <w:pStyle w:val="TextoNormal"/>
      </w:pPr>
    </w:p>
    <w:p w14:paraId="4B2D9C7C" w14:textId="77777777" w:rsidR="00F64776" w:rsidRDefault="00F64776" w:rsidP="00F64776">
      <w:pPr>
        <w:pStyle w:val="TextoNormal"/>
      </w:pPr>
      <w:r>
        <w:t>Tras explicitar las exigencias derivadas de los arts. 2 y 3 CEDH, especialmente el primero, las demandantes señalan que el fundamento de este sobreseimiento libre trae causa de la consideración de que los hechos objeto de las diligencias de investigación penal eran atípicos, en atención a que las diligencias de instrucción no habían evidenciado la relación de causalidad entre la actuación de los investigados y la muerte por ahogamiento de varias personas. Ahora bien, la demanda considera que dicha resolución no es respetuosa con la necesidad de proporcionar una investigación exhaustiva y eficaz por los siguientes motivos:</w:t>
      </w:r>
    </w:p>
    <w:p w14:paraId="37A41FBB" w14:textId="77777777" w:rsidR="00F64776" w:rsidRDefault="00F64776" w:rsidP="00F64776">
      <w:pPr>
        <w:pStyle w:val="TextoNormal"/>
      </w:pPr>
    </w:p>
    <w:p w14:paraId="4F1B4602" w14:textId="77777777" w:rsidR="00F64776" w:rsidRDefault="00F64776" w:rsidP="00F64776">
      <w:pPr>
        <w:pStyle w:val="TextoNormal"/>
      </w:pPr>
      <w:r>
        <w:t>(i) la decisión de sobreseimiento libre no se fundamenta a partir de una verdadera y genuina actividad probatoria, lo que impide la posibilidad de alcanzar la verdad judicial sobre cómo se desarrollaron los hechos en instrucción y esclarecer eventuales responsabilidades penales;</w:t>
      </w:r>
    </w:p>
    <w:p w14:paraId="5A12E274" w14:textId="77777777" w:rsidR="00F64776" w:rsidRDefault="00F64776" w:rsidP="00F64776">
      <w:pPr>
        <w:pStyle w:val="TextoNormal"/>
      </w:pPr>
    </w:p>
    <w:p w14:paraId="6AE7286A" w14:textId="77777777" w:rsidR="00F64776" w:rsidRDefault="00F64776" w:rsidP="00F64776">
      <w:pPr>
        <w:pStyle w:val="TextoNormal"/>
      </w:pPr>
      <w:r>
        <w:t>(ii) la no apertura de juicio supone la imposibilidad de practicar la actividad probatoria pertinente y adecuada para el esclarecimiento de los hechos;</w:t>
      </w:r>
    </w:p>
    <w:p w14:paraId="2D4444EF" w14:textId="77777777" w:rsidR="00F64776" w:rsidRDefault="00F64776" w:rsidP="00F64776">
      <w:pPr>
        <w:pStyle w:val="TextoNormal"/>
      </w:pPr>
    </w:p>
    <w:p w14:paraId="07ABDF31" w14:textId="77777777" w:rsidR="00F64776" w:rsidRDefault="00F64776" w:rsidP="00F64776">
      <w:pPr>
        <w:pStyle w:val="TextoNormal"/>
      </w:pPr>
      <w:r>
        <w:t>(iii) a pesar de que el auto de sobreseimiento libre se encuentra aparentemente motivado, se hace con fundamento en unas valoraciones que por el carácter normativo de los elementos que lo configuran (por ejemplo, la existencia o no de imprudencia o de imputación objetiva) y la complejidad de su acreditación son absolutamente inadecuadas en ese momento procesal en tanto que anticipan valoraciones que puede resultar complejo realizar incluso tras la práctica de la prueba, pero que un sistema de justicia penal —por el carácter general de estos elementos— no puede sistemáticamente renunciar a que sean objeto de prueba en un juicio oral;</w:t>
      </w:r>
    </w:p>
    <w:p w14:paraId="355A2E2E" w14:textId="77777777" w:rsidR="00F64776" w:rsidRDefault="00F64776" w:rsidP="00F64776">
      <w:pPr>
        <w:pStyle w:val="TextoNormal"/>
      </w:pPr>
    </w:p>
    <w:p w14:paraId="594ADCEA" w14:textId="77777777" w:rsidR="00F64776" w:rsidRDefault="00F64776" w:rsidP="00F64776">
      <w:pPr>
        <w:pStyle w:val="TextoNormal"/>
      </w:pPr>
      <w:r>
        <w:t>(iv) existe un deber de motivación reforzado habida cuenta del fallecimiento de varias personas, muerte que además podría estar vinculada a una actuación de las fuerzas y cuerpos de seguridad del Estado;</w:t>
      </w:r>
    </w:p>
    <w:p w14:paraId="1C0B59F0" w14:textId="77777777" w:rsidR="00F64776" w:rsidRDefault="00F64776" w:rsidP="00F64776">
      <w:pPr>
        <w:pStyle w:val="TextoNormal"/>
      </w:pPr>
    </w:p>
    <w:p w14:paraId="704D0E7A" w14:textId="77777777" w:rsidR="00F64776" w:rsidRDefault="00F64776" w:rsidP="00F64776">
      <w:pPr>
        <w:pStyle w:val="TextoNormal"/>
      </w:pPr>
      <w:r>
        <w:t xml:space="preserve">(v) la queja se fundamenta en que la valoración que de esa actividad de investigación se ha hecho sin ponderar que el objeto de la instrucción no respondía al mero ejercicio de una acción penal, sino a que las diligencias previas sobreseídas libremente lo eran en relación con la muerte de catorce personas en el contexto de una actuación de agentes de un cuerpo de seguridad del Estado que dispararon material antidisturbios contra personas que estaban nadando en el mar para alcanzar una playa española. Por tanto, al estar comprometido como un interés constitucional esencial la necesidad, por un lado, de que la investigación esté dirigida a conocer la verdad sobre los hechos sin lagunas (STEDH de 22 de noviembre de 2005, asunto </w:t>
      </w:r>
      <w:r w:rsidRPr="00F64776">
        <w:rPr>
          <w:i/>
        </w:rPr>
        <w:t>Belkiza Kaya y otros c. Turquía</w:t>
      </w:r>
      <w:r>
        <w:t xml:space="preserve">, § 89) y, por otro, que se reaccione de manera adecuada, empleando todos los medios de los que se dispone, judiciales u otros, de manera tal que se permita reprimir y sancionar las violaciones del derecho a la vida (STEDH de 30 de noviembre de 2004, asunto </w:t>
      </w:r>
      <w:r w:rsidRPr="00F64776">
        <w:rPr>
          <w:i/>
        </w:rPr>
        <w:t>Öneryildiz c. Turquía</w:t>
      </w:r>
      <w:r>
        <w:t>, § 91), en garantía del principio de no repetición, hubiera sido necesaria una ponderación de estos extremos en aras de posibilitar la continuación del procedimiento mediante la celebración de una vista oral en cuyo marco, mediante una actividad probatoria de cargo y descargo practicada con todas las garantías, pudiera estarse más cerca de una verdad judicial sobre los hechos que la propiciada sobre la valoración judicial que aportan meras diligencias de instrucción;</w:t>
      </w:r>
    </w:p>
    <w:p w14:paraId="1918AE0E" w14:textId="77777777" w:rsidR="00F64776" w:rsidRDefault="00F64776" w:rsidP="00F64776">
      <w:pPr>
        <w:pStyle w:val="TextoNormal"/>
      </w:pPr>
    </w:p>
    <w:p w14:paraId="0F249043" w14:textId="77777777" w:rsidR="00F64776" w:rsidRDefault="00F64776" w:rsidP="00F64776">
      <w:pPr>
        <w:pStyle w:val="TextoNormal"/>
      </w:pPr>
      <w:r>
        <w:t>(vi) la decisión de sobreseimiento libre se produce, además, en el marco de una instrucción que denota una renuencia al esclarecimiento de los hechos. En este sentido, se afirma que la investigación fue desarrollada por los mismos agentes a los que se les imputaban los hechos, introduciendo un elemento de distorsión que solo podía ser enervado mediante su sometimiento a contradicción en el juicio oral. Se ha mostrado una desatención evidente en la investigación y esclarecimiento de los hechos. Así, desde una perspectiva eminentemente de fondo, considera que la actuación policial no se ajustó a las exigencias de la jurisprudencia del Tribunal Europeo de Derechos Humanos toda vez que: (a) es exigible un escrutinio especialmente cuidadoso que tome en consideración los aspectos de planificación y control de las conductas desarrolladas, debiéndose valorar si se han adoptado las precauciones necesarias para evitar cualquier riesgo para la vida de los terceros; (b) el uso de armas de fuego debe atender al principio de estricta proporcionalidad, existiendo otros instrumentos legales para restaurar la legalidad migratoria; y (c) debe verificarse la existencia de un marco legal y administrativo adecuado para definir las circunstancias limitativas en que las fuerzas y cuerpos de seguridad del Estado pueden usar la fuerza.</w:t>
      </w:r>
    </w:p>
    <w:p w14:paraId="28281292" w14:textId="77777777" w:rsidR="00F64776" w:rsidRDefault="00F64776" w:rsidP="00F64776">
      <w:pPr>
        <w:pStyle w:val="TextoNormal"/>
      </w:pPr>
    </w:p>
    <w:p w14:paraId="47AF1840" w14:textId="77777777" w:rsidR="00F64776" w:rsidRDefault="00F64776" w:rsidP="00F64776">
      <w:pPr>
        <w:pStyle w:val="TextoNormal"/>
      </w:pPr>
      <w:r>
        <w:t>Por último, en la demanda se justifica la concurrencia, en este caso, de especial trascendencia constitucional en el recurso de amparo, señalando que concurren tres motivos:</w:t>
      </w:r>
    </w:p>
    <w:p w14:paraId="3CA223DB" w14:textId="77777777" w:rsidR="00F64776" w:rsidRDefault="00F64776" w:rsidP="00F64776">
      <w:pPr>
        <w:pStyle w:val="TextoNormal"/>
      </w:pPr>
    </w:p>
    <w:p w14:paraId="1D22BD71" w14:textId="77777777" w:rsidR="00F64776" w:rsidRDefault="00F64776" w:rsidP="00F64776">
      <w:pPr>
        <w:pStyle w:val="TextoNormal"/>
      </w:pPr>
      <w:r>
        <w:t xml:space="preserve">a) El recurso plantea un problema o afecta a una faceta de un derecho fundamental sobre la que no hay doctrina. En este sentido, tras relacionar los arts. 15 y 24.1 CE con el incumplimiento de la obligación del Estado de proteger la vida, y el hecho de que catorce personas murieran en el marco de una actuación de las fuerzas y cuerpos de seguridad del Estado, señala que en la perspectiva procesal de dichos derechos concurren aspectos singulares en esta demanda de amparo: (i) este caso se refiere a la terminación anticipada de un proceso en relación con un derecho sustantivo —el derecho a la vida— sobre el que todavía no hay un pronunciamiento sobre el fondo en cuanto a la elaboración de un concreto parámetro de control de constitucionalidad del deber reforzado de motivación aplicable; (ii) a diferencia del resto de supuestos de </w:t>
      </w:r>
      <w:r w:rsidRPr="00F64776">
        <w:rPr>
          <w:i/>
        </w:rPr>
        <w:t>ius ut procedatur</w:t>
      </w:r>
      <w:r>
        <w:t xml:space="preserve"> planteados hasta ahora en la jurisprudencia constitucional, en este caso la lesión procesal invocada se habría producido no con motivo de la interrupción de una instrucción sino impidiendo la apertura del juicio oral. Por tanto, con carácter innovador, lo que habría que analizar es el impedimento judicial a poder desarrollar la actividad probatoria ante un órgano judicial de enjuiciamiento, que es un aspecto inédito en la jurisprudencia constitucional. Por otro lado, y desde la dimensión sustantiva de este derecho fundamental, señala la demanda que no se conoce ninguna resolución del Tribunal Constitucional, porque la jurisprudencia constitucional solo se ha pronunciado sobre la dimensión procesal de la eventual vulneración de los derechos sustantivos cuya investigación se desarrollaba en el proceso penal prematuramente cerrado, pero nunca sobre su dimensión material, por lo que este recurso daría la posibilidad de establecer una doctrina jurisprudencial al efecto, esto es, en relación con la garantía del derecho a la vida en el contexto de la actuación de agentes de las fuerzas y cuerpos de seguridad del Estado.</w:t>
      </w:r>
    </w:p>
    <w:p w14:paraId="6840F7DA" w14:textId="77777777" w:rsidR="00F64776" w:rsidRDefault="00F64776" w:rsidP="00F64776">
      <w:pPr>
        <w:pStyle w:val="TextoNormal"/>
      </w:pPr>
    </w:p>
    <w:p w14:paraId="39712142" w14:textId="77777777" w:rsidR="00F64776" w:rsidRDefault="00F64776" w:rsidP="00F64776">
      <w:pPr>
        <w:pStyle w:val="TextoNormal"/>
      </w:pPr>
      <w:r>
        <w:t>b) En segundo lugar, el recurso puede dar ocasión al Tribunal para aclarar su doctrina, como consecuencia de un proceso de reflexión interna, en diálogo con la doctrina de los órganos de garantía encargados de la interpretación de los tratados y acuerdos internacionales a los que se refiere el art. 10.2 CE [STC 155/2009, FJ 2 b)]. La demanda explicita que, a diferencia del Tribunal Europeo de Derechos Humanos, el Tribunal Constitucional no se ha pronunciado sobre la vertiente procesal y material del derecho a la vida. A estos efectos, señala como aspectos a tratar: (i) la presencia de un contexto en que se produce la muerte o desaparición de una persona en circunstancias violentas o sospechosas con la correlativa obligación de garantizar la aplicación efectiva de las leyes que salvaguardan el derecho a la vida y, en los casos en que están implicados agentes u organismos del Estado, garantizar su responsabilidad por las muertes ocurridas; (ii) la necesidad de que se desarrolle una investigación de oficio, sin dejarlo a la iniciativa de los familiares; y (iii) el cumplimiento de los requisitos de independencia, prontitud y razonable celeridad, escrutinio público y participación de los familiares.</w:t>
      </w:r>
    </w:p>
    <w:p w14:paraId="0DE3D5AC" w14:textId="77777777" w:rsidR="00F64776" w:rsidRDefault="00F64776" w:rsidP="00F64776">
      <w:pPr>
        <w:pStyle w:val="TextoNormal"/>
      </w:pPr>
    </w:p>
    <w:p w14:paraId="1BEC779C" w14:textId="4EAF7A9F" w:rsidR="00F64776" w:rsidRDefault="00F64776" w:rsidP="00F64776">
      <w:pPr>
        <w:pStyle w:val="TextoNormal"/>
      </w:pPr>
      <w:r>
        <w:t>c) En tercer lugar, el asunto suscitado trasciende del caso concreto porque plantea una cuestión jurídica de relevante y general repercusión social o económica [STC 155/2009, FJ 2 g)]. En este apartado la demanda relaciona la especial trascendencia constitucional con la política de control migratorio en relación con determinados accesos irregulares a territorio español, que están provocando ciertas actuaciones de las autoridades españolas que han supuesto fatales desenlaces en relación con la vida de las personas que estaban intentado acceder a territorio español. Ello determina que el tema de la reacción estatal con consecuencias letales y la eventual responsabilidad en que puedan incurrir el Estado español o sus agentes en la muerte de estas personas alcance un interés general en la sociedad española. En concreto, en relación con los hechos que dieron lugar a la incoación de las diligencias penales cuyo sobreseimiento se impugna en este recurso de amparo, la repercusión social fue muy destacada no solo por el amplio seguimiento que de los acontecimientos se produjo en los medios de comunicación social, sino también por la repercusión institucional y social que provocó, pudiendo citarse, por ejemplo, la comparecencia del entonces Ministro del Interior, a petición propia y la de diversos grupos parlamentarios, para informar sobre las trágicas muertes.</w:t>
      </w:r>
    </w:p>
    <w:p w14:paraId="43738ED3" w14:textId="77777777" w:rsidR="00F64776" w:rsidRDefault="00F64776" w:rsidP="00F64776">
      <w:pPr>
        <w:pStyle w:val="TextoNormal"/>
      </w:pPr>
    </w:p>
    <w:p w14:paraId="4C7C7FE0" w14:textId="0F9E16E0" w:rsidR="00F64776" w:rsidRDefault="00F64776" w:rsidP="00F64776">
      <w:pPr>
        <w:pStyle w:val="TextoNormal"/>
      </w:pPr>
      <w:r w:rsidRPr="00F64776">
        <w:rPr>
          <w:rStyle w:val="NumeroAFNegritaCaracter"/>
        </w:rPr>
        <w:t>4</w:t>
      </w:r>
      <w:r>
        <w:t>. En reunión celebrada el 27 de junio de 2023, la Sección Cuarta deliberó sobre la admisión a trámite del presente recurso de amparo. Por providencia fechada el mismo día se comunicó a las recurrentes en amparo la admisión a trámite del recurso. La providencia apreciaba la concurrencia de dos motivos de admisión: “1. El recurso plantea un problema o afecta a una faceta de un derecho fundamental sobre el que no hay doctrina de este tribunal [STC 155/2009, FJ 2 a)]. 2. El recurso puede dar ocasión al Tribunal para aclarar o cambiar su doctrina, como consecuencia de un proceso de reflexión interna [STC 155/2009, FJ 2 b)]”.</w:t>
      </w:r>
    </w:p>
    <w:p w14:paraId="3BD35DFB" w14:textId="77777777" w:rsidR="00F64776" w:rsidRDefault="00F64776" w:rsidP="00F64776">
      <w:pPr>
        <w:pStyle w:val="TextoNormal"/>
      </w:pPr>
    </w:p>
    <w:p w14:paraId="004590FA" w14:textId="77777777" w:rsidR="00F64776" w:rsidRDefault="00F64776" w:rsidP="00F64776">
      <w:pPr>
        <w:pStyle w:val="TextoNormalNegritaCentrado"/>
        <w:keepNext/>
      </w:pPr>
      <w:r>
        <w:t>II. Fundamentos jurídicos</w:t>
      </w:r>
    </w:p>
    <w:p w14:paraId="61119EB4" w14:textId="7C025360" w:rsidR="00F64776" w:rsidRDefault="00F64776" w:rsidP="00F64776">
      <w:pPr>
        <w:pStyle w:val="TextoNormalNegritaCentrado"/>
        <w:keepNext/>
      </w:pPr>
    </w:p>
    <w:p w14:paraId="67695668" w14:textId="31D4B02E" w:rsidR="00F64776" w:rsidRDefault="00F64776" w:rsidP="00F64776">
      <w:pPr>
        <w:pStyle w:val="TextoNormal"/>
      </w:pPr>
      <w:r w:rsidRPr="00F64776">
        <w:rPr>
          <w:rStyle w:val="NumeroAFNegritaCaracter"/>
        </w:rPr>
        <w:t>1</w:t>
      </w:r>
      <w:r>
        <w:t>. Por escrito registrado en este tribunal el 14 de julio de 2022, la asociación Coordinadora de Barrios para el seguimiento de Menores y Jóvenes, la Asociación Pro Derechos Humanos de España y la Comisión Española de Ayuda al Refugiado, representadas por la procuradora de los tribunales doña María de los Ángeles Martínez Fernández y bajo la dirección de la letrada doña Patricia Fernández Vicens, interpusieron recurso de amparo contra la sentencia núm. 553/2022 de la Sala de lo Penal del Tribunal Supremo, dictada el 27 de mayo de 2022, en recurso de casación núm. 1203-2021 y contra el auto de sobreseimiento libre de 27 de julio de 2020, dictado por la Sección Sexta de la Audiencia Provincial de Cádiz, en el recurso de apelación núm. 37-2020.</w:t>
      </w:r>
    </w:p>
    <w:p w14:paraId="54B2716E" w14:textId="77777777" w:rsidR="00F64776" w:rsidRDefault="00F64776" w:rsidP="00F64776">
      <w:pPr>
        <w:pStyle w:val="TextoNormal"/>
      </w:pPr>
    </w:p>
    <w:p w14:paraId="5C6C1EF8" w14:textId="31D0D9B7" w:rsidR="00F64776" w:rsidRDefault="00F64776" w:rsidP="00F64776">
      <w:pPr>
        <w:pStyle w:val="TextoNormal"/>
      </w:pPr>
      <w:r w:rsidRPr="00F64776">
        <w:rPr>
          <w:rStyle w:val="NumeroAFNegritaCaracter"/>
        </w:rPr>
        <w:t>2</w:t>
      </w:r>
      <w:r>
        <w:t>. La Sala constata que, por error, se comunicó la admisión a trámite del recurso por providencia de 27 de junio de 2023. En aplicación de lo previsto en el art. 267 de la Ley Orgánica del Poder Judicial (LOPJ), la Sala rectifica el error material, acordando dejar sin efecto la providencia notificada el 27 de junio de 2023, y remplazándola por la decisión adoptada en el presente auto.</w:t>
      </w:r>
    </w:p>
    <w:p w14:paraId="27146D0D" w14:textId="77777777" w:rsidR="00F64776" w:rsidRDefault="00F64776" w:rsidP="00F64776">
      <w:pPr>
        <w:pStyle w:val="TextoNormal"/>
      </w:pPr>
    </w:p>
    <w:p w14:paraId="33569026" w14:textId="55BD3DCA" w:rsidR="00F64776" w:rsidRDefault="00F64776" w:rsidP="00F64776">
      <w:pPr>
        <w:pStyle w:val="TextoNormal"/>
      </w:pPr>
      <w:r w:rsidRPr="00F64776">
        <w:rPr>
          <w:rStyle w:val="NumeroAFNegritaCaracter"/>
        </w:rPr>
        <w:t>3</w:t>
      </w:r>
      <w:r>
        <w:t xml:space="preserve">. La Sala Segunda, una vez examinada la demanda de amparo, cuyo contenido se expone sucintamente en los antecedentes, aprecia que las vulneraciones de derechos fundamentales alegadas no carecen </w:t>
      </w:r>
      <w:r w:rsidRPr="00F64776">
        <w:rPr>
          <w:i/>
        </w:rPr>
        <w:t>prima facie</w:t>
      </w:r>
      <w:r>
        <w:t xml:space="preserve"> de verosimilitud. Asimismo no aprecia, en esta fase procesal, y sin perjuicio de ulteriores pronunciamientos, la concurrencia de óbices procesales que impidan la admisibilidad del recurso de amparo.</w:t>
      </w:r>
    </w:p>
    <w:p w14:paraId="6C2836AB" w14:textId="77777777" w:rsidR="00F64776" w:rsidRDefault="00F64776" w:rsidP="00F64776">
      <w:pPr>
        <w:pStyle w:val="TextoNormal"/>
      </w:pPr>
    </w:p>
    <w:p w14:paraId="69414663" w14:textId="77777777" w:rsidR="00F64776" w:rsidRDefault="00F64776" w:rsidP="00F64776">
      <w:pPr>
        <w:pStyle w:val="TextoNormal"/>
      </w:pPr>
      <w:r w:rsidRPr="00F64776">
        <w:rPr>
          <w:rStyle w:val="NumeroAFNegritaCaracter"/>
        </w:rPr>
        <w:t>4</w:t>
      </w:r>
      <w:r>
        <w:t>. La Sala aprecia que concurre en el recurso una especial trascendencia constitucional [art. 50.1 de la Ley Orgánica del Tribunal Constitucional (LOTC)], porque el recurso plantea un problema o afecta a una faceta de un derecho fundamental sobre el que no hay doctrina de este tribunal [STC 155/2009, FJ 2 a)], y porque el recurso puede dar ocasión al Tribunal para aclarar o cambiar su doctrina, como consecuencia de un proceso de reflexión interna [STC 155/2009, FJ 2 b)].</w:t>
      </w:r>
    </w:p>
    <w:p w14:paraId="1FCEB1C0" w14:textId="77777777" w:rsidR="00F64776" w:rsidRDefault="00F64776" w:rsidP="00F64776">
      <w:pPr>
        <w:pStyle w:val="TextoNormal"/>
      </w:pPr>
    </w:p>
    <w:p w14:paraId="62D09B29" w14:textId="77777777" w:rsidR="00F64776" w:rsidRDefault="00F64776" w:rsidP="00F64776">
      <w:pPr>
        <w:pStyle w:val="TextoNormal"/>
      </w:pPr>
      <w:r>
        <w:t xml:space="preserve">A pesar de que este tribunal ha tenido la oportunidad de pronunciarse en reiteradas ocasiones sobre el derecho a la investigación exhaustiva y eficaz en relación con delitos de torturas y tratos inhumanos o degradantes (STC 53/2022, de 4 de abril, entre otras) y en el ámbito de la violencia de género (STC 87/2020, de 20 de julio) este canon no se ha aplicado, por el momento, respecto a supuestos de delitos cometidos contra la vida (art. 2 CEDH) que hubieran podido ser perpetrados por agentes o miembros de las fuerzas y cuerpos de seguridad del Estado. Además, la situación que se plantea en el presente supuesto divergiría especialmente de los supuestos anteriormente señalados toda vez que no estaríamos ante una resolución que supusiera una terminación anticipada de la fase de investigación judicial (supuesto al que parecen referirse las sentencias dictadas por este tribunal) sino ante un supuesto en el que, conclusa la investigación, y ante la decisión del juez de instrucción de abrir la fase intermedia por la posible comisión de un delito de homicidio y de denegación de auxilio, la Audiencia Provincial acuerda el sobreseimiento libre de las actuaciones, archivando definitivamente el procedimiento. Así, la cuestión controvertida atañe no tanto al carácter de conclusa o no de la instrucción, sino a que la existencia de indicios razonables de delito permite plantearse si es adecuado desplazar el canon que debe aplicar este tribunal desde la obligación de desarrollar una investigación exhaustiva y eficaz al </w:t>
      </w:r>
      <w:r w:rsidRPr="00F64776">
        <w:rPr>
          <w:i/>
        </w:rPr>
        <w:t>ius ut procedatur</w:t>
      </w:r>
      <w:r>
        <w:t xml:space="preserve"> en su vertiente del derecho a obtener una resolución motivada. En otras palabras, no estaríamos ante un supuesto en el que se estaría debatiendo la suficiencia o no de la investigación desarrollada por el juzgado de instrucción, sino ante un supuesto en el que lo que en realidad se cuestionaría es la motivación de la Audiencia Provincial al denegar la apertura de la fase intermedia y, consecuentemente, la decisión de impedir a la acusación popular acudir al juicio oral.</w:t>
      </w:r>
    </w:p>
    <w:p w14:paraId="0012F5F0" w14:textId="77777777" w:rsidR="00F64776" w:rsidRDefault="00F64776" w:rsidP="00F64776">
      <w:pPr>
        <w:pStyle w:val="TextoNormal"/>
      </w:pPr>
    </w:p>
    <w:p w14:paraId="17076249" w14:textId="50D6C23F" w:rsidR="00F64776" w:rsidRDefault="00F64776" w:rsidP="00F64776">
      <w:pPr>
        <w:pStyle w:val="TextoNormal"/>
      </w:pPr>
      <w:r>
        <w:t xml:space="preserve">Este supuesto daría oportunidad al Tribunal para valorar si es adecuado conjugar la exigencia de una motivación razonada, lógica y no arbitraria en las decisiones de conclusión del procedimiento mediante aplicación de los arts. 637 y 641 LECrim, con las obligaciones procesales positivas derivadas del art. 2 CEDH. Estas obligaciones procesales han sido interpretadas por el Tribunal Europeo de Derechos Humanos en el sentido de que debe proporcionarse una respuesta adecuada y oportuna en consonancia con la obligación del Estado de facilitar el acceso a un sistema judicial efectivo (STEDH de 28 de agosto de 2011, asunto </w:t>
      </w:r>
      <w:r w:rsidRPr="00F64776">
        <w:rPr>
          <w:i/>
        </w:rPr>
        <w:t>Todorova c. Bulgaria</w:t>
      </w:r>
      <w:r>
        <w:t xml:space="preserve">) debiéndose prever un procedimiento de investigación oficial, independiente e imparcial capaz de determinar la causa de las lesiones e identificar a los responsables con vistas a su sanción (STEDH de 12 de enero de 2012, asunto </w:t>
      </w:r>
      <w:r w:rsidRPr="00F64776">
        <w:rPr>
          <w:i/>
        </w:rPr>
        <w:t>Igor Shevchenko c. Ucrania</w:t>
      </w:r>
      <w:r>
        <w:t>). El ajuste a la jurisprudencia del Tribunal Europeo de Derechos Humanos permitiría a este tribunal pronunciarse —como corolario de la doctrina sobre investigación exhaustiva y eficaz— sobre la exigencia de una motivación especialmente reforzada en los supuestos de archivo de procedimientos judiciales cuyo objeto es el esclarecimiento de delitos de lesiones u homicidios consecuencia de acciones u omisiones cometidas por agentes dependientes del Estado.</w:t>
      </w:r>
    </w:p>
    <w:p w14:paraId="04105104" w14:textId="77777777" w:rsidR="00F64776" w:rsidRDefault="00F64776" w:rsidP="00F64776">
      <w:pPr>
        <w:pStyle w:val="TextoNormal"/>
      </w:pPr>
    </w:p>
    <w:p w14:paraId="128DE0C9" w14:textId="67F531F8" w:rsidR="00F64776" w:rsidRDefault="00F64776" w:rsidP="00F64776">
      <w:pPr>
        <w:pStyle w:val="TextoNormal"/>
      </w:pPr>
      <w:r w:rsidRPr="00F64776">
        <w:rPr>
          <w:rStyle w:val="NumeroAFNegritaCaracter"/>
        </w:rPr>
        <w:t>5</w:t>
      </w:r>
      <w:r>
        <w:t>. Adicionalmente, la Sala acuerda proponer la avocación al Pleno del presente recurso de amparo, de conformidad con lo dispuesto en el art. 10.1 n) LOTC.</w:t>
      </w:r>
    </w:p>
    <w:p w14:paraId="212E4C8B" w14:textId="77777777" w:rsidR="00F64776" w:rsidRDefault="00F64776" w:rsidP="00F64776">
      <w:pPr>
        <w:pStyle w:val="TextoNormal"/>
      </w:pPr>
    </w:p>
    <w:p w14:paraId="0AD76F65" w14:textId="77777777" w:rsidR="00F64776" w:rsidRDefault="00F64776" w:rsidP="00F64776">
      <w:pPr>
        <w:pStyle w:val="TextoNormal"/>
      </w:pPr>
      <w:r>
        <w:t>Por lo expuesto, la Sala</w:t>
      </w:r>
    </w:p>
    <w:p w14:paraId="613309DE" w14:textId="7E0E6F79" w:rsidR="00F64776" w:rsidRDefault="00F64776" w:rsidP="00F64776">
      <w:pPr>
        <w:pStyle w:val="TextoNormal"/>
      </w:pPr>
    </w:p>
    <w:p w14:paraId="4E30ED0F" w14:textId="77777777" w:rsidR="00F64776" w:rsidRDefault="00F64776" w:rsidP="00F64776">
      <w:pPr>
        <w:pStyle w:val="TextoNormalCentrado"/>
      </w:pPr>
      <w:r>
        <w:t>ACUERDA</w:t>
      </w:r>
    </w:p>
    <w:p w14:paraId="44364D3D" w14:textId="723DF6C6" w:rsidR="00F64776" w:rsidRDefault="00F64776" w:rsidP="00F64776">
      <w:pPr>
        <w:pStyle w:val="TextoNormalCentrado"/>
      </w:pPr>
    </w:p>
    <w:p w14:paraId="20692A30" w14:textId="77777777" w:rsidR="00F64776" w:rsidRDefault="00F64776" w:rsidP="00F64776">
      <w:pPr>
        <w:pStyle w:val="TextoNormal"/>
      </w:pPr>
      <w:r>
        <w:t>1º Admitir a trámite el recurso de amparo, apreciando que concurre en el mismo una especial trascendencia constitucional (art. 50.1 LOTC) porque el recurso plantea un problema o afecta a una faceta de un derecho fundamental sobre el que no hay doctrina de este tribunal [STC 155/2009, FJ 2 a)], y porque el recurso puede dar ocasión al Tribunal para aclarar o cambiar su doctrina, como consecuencia de un proceso de reflexión interna [STC 155/2009, FJ 2 b)].</w:t>
      </w:r>
    </w:p>
    <w:p w14:paraId="5445749D" w14:textId="77777777" w:rsidR="00F64776" w:rsidRDefault="00F64776" w:rsidP="00F64776">
      <w:pPr>
        <w:pStyle w:val="TextoNormal"/>
      </w:pPr>
    </w:p>
    <w:p w14:paraId="5822ADFB" w14:textId="77777777" w:rsidR="00F64776" w:rsidRDefault="00F64776" w:rsidP="00F64776">
      <w:pPr>
        <w:pStyle w:val="TextoNormal"/>
      </w:pPr>
      <w:r>
        <w:t>2º En aplicación de lo dispuesto en el art. 51 LOTC, requerir atentamente a la Sección Sexta de la Audiencia Provincial de Cádiz a fin de que, en plazo que no exceda de diez días, remita copia de las actuaciones correspondientes al recurso de apelación núm. 37-2020, y al Juzgado de Instrucción núm. 6 de Ceuta a fin de que, en plazo que no exceda de diez días, remita copia de las actuaciones correspondientes a las diligencias previas núm. 123-2014; debiendo previamente emplazarse, para que en el plazo de diez días puedan comparecer, si lo desean, en el recurso de amparo a quienes hubieran sido parte en el procedimiento, excepto la parte recurrente en amparo.</w:t>
      </w:r>
    </w:p>
    <w:p w14:paraId="5E2A37DF" w14:textId="77777777" w:rsidR="00F64776" w:rsidRDefault="00F64776" w:rsidP="00F64776">
      <w:pPr>
        <w:pStyle w:val="TextoNormal"/>
      </w:pPr>
    </w:p>
    <w:p w14:paraId="7C9AB6F1" w14:textId="77777777" w:rsidR="00F64776" w:rsidRDefault="00F64776" w:rsidP="00F64776">
      <w:pPr>
        <w:pStyle w:val="TextoNormal"/>
      </w:pPr>
      <w:r>
        <w:t>3º Dejar sin efecto, en aplicación del art. 267.1 LOPJ, la providencia notificada el 27 de junio de 2023.</w:t>
      </w:r>
    </w:p>
    <w:p w14:paraId="1BB66900" w14:textId="77777777" w:rsidR="00F64776" w:rsidRDefault="00F64776" w:rsidP="00F64776">
      <w:pPr>
        <w:pStyle w:val="TextoNormal"/>
      </w:pPr>
    </w:p>
    <w:p w14:paraId="2E37277D" w14:textId="19DA0627" w:rsidR="00F64776" w:rsidRDefault="00F64776" w:rsidP="00F64776">
      <w:pPr>
        <w:pStyle w:val="TextoNormal"/>
      </w:pPr>
      <w:r>
        <w:t>Publíquese este auto en el “Boletín Oficial del Estado”.</w:t>
      </w:r>
    </w:p>
    <w:p w14:paraId="716AFAB8" w14:textId="77777777" w:rsidR="00F64776" w:rsidRDefault="00F64776" w:rsidP="00F64776">
      <w:pPr>
        <w:pStyle w:val="TextoNormal"/>
      </w:pPr>
    </w:p>
    <w:p w14:paraId="5DFC6620" w14:textId="77777777" w:rsidR="00F64776" w:rsidRDefault="00F64776" w:rsidP="00F64776">
      <w:pPr>
        <w:pStyle w:val="TextoNormal"/>
      </w:pPr>
      <w:r>
        <w:t>Madrid, a tres de julio de dos mil veintitrés.</w:t>
      </w:r>
    </w:p>
    <w:p w14:paraId="09628F63" w14:textId="25238044" w:rsidR="00F64776" w:rsidRDefault="00F64776" w:rsidP="00F64776">
      <w:pPr>
        <w:pStyle w:val="ParrafoNormal"/>
      </w:pPr>
    </w:p>
    <w:p w14:paraId="072632A6" w14:textId="77777777" w:rsidR="00F64776" w:rsidRDefault="00F64776" w:rsidP="00F64776">
      <w:pPr>
        <w:pStyle w:val="TextoNormalNegritaCentrado"/>
        <w:keepNext/>
      </w:pPr>
      <w:r>
        <w:t>Voto particular que formulan los magistrados don Enrique Arnaldo Alcubilla y don César Tolosa Tribiño al auto de la Sala Segunda de 3 de julio de 2023 por el que se acuerda la admisión a trámite del recurso de amparo núm. 5165-2022, con propuesta de avocación al Pleno</w:t>
      </w:r>
    </w:p>
    <w:p w14:paraId="00C679DA" w14:textId="1EDFB4C2" w:rsidR="00F64776" w:rsidRDefault="00F64776" w:rsidP="00F64776">
      <w:pPr>
        <w:pStyle w:val="TextoNormalNegritaCentrado"/>
        <w:keepNext/>
      </w:pPr>
    </w:p>
    <w:p w14:paraId="4C5D276D" w14:textId="77777777" w:rsidR="00F64776" w:rsidRDefault="00F64776" w:rsidP="00F64776">
      <w:pPr>
        <w:pStyle w:val="TextoNormal"/>
      </w:pPr>
      <w:r>
        <w:t>En el ejercicio de la facultad que nos confiere el artículo 90.2 de la Ley Orgánica del Tribunal Constitucional y con respeto a la opinión de los magistrados y las magistradas que han conformado la mayoría de la Sala, manifestamos nuestra discrepancia con la decisión de admitir a trámite el presente recurso de amparo. Por las razones defendidas en su momento durante la deliberación y que exponemos a continuación, consideramos que el recurso de amparo hubiera debido ser inadmitido, bien por inexistencia de la vulneración denunciada, bien por carecer de especial trascendencia constitucional.</w:t>
      </w:r>
    </w:p>
    <w:p w14:paraId="1D4170A1" w14:textId="77777777" w:rsidR="00F64776" w:rsidRDefault="00F64776" w:rsidP="00F64776">
      <w:pPr>
        <w:pStyle w:val="TextoNormal"/>
      </w:pPr>
    </w:p>
    <w:p w14:paraId="26F42EA7" w14:textId="77777777" w:rsidR="00F64776" w:rsidRDefault="00F64776" w:rsidP="00F64776">
      <w:pPr>
        <w:pStyle w:val="TextoNormal"/>
      </w:pPr>
      <w:r>
        <w:t>Como es sobradamente conocido (por todas, STC 155/2009, de 25 de junio, FJ 2), en la actual configuración del amparo constitucional no es suficiente para la admisión del recurso de amparo con constatar que es verosímil la lesión de un derecho fundamental o libertad pública tutelable en amparo que alegue el recurrente [arts. 53.2 y 161.1 b) CE y 41 LOTC], sino que además es indispensable que el recurso tenga especial trascendencia constitucional [art. 50.1 b) LOTC].</w:t>
      </w:r>
    </w:p>
    <w:p w14:paraId="41BD2E55" w14:textId="77777777" w:rsidR="00F64776" w:rsidRDefault="00F64776" w:rsidP="00F64776">
      <w:pPr>
        <w:pStyle w:val="TextoNormal"/>
      </w:pPr>
    </w:p>
    <w:p w14:paraId="1D199FA5" w14:textId="77777777" w:rsidR="00F64776" w:rsidRDefault="00F64776" w:rsidP="00F64776">
      <w:pPr>
        <w:pStyle w:val="TextoNormal"/>
      </w:pPr>
      <w:r>
        <w:t>El auto aprobado por la mayoría de la Sala acuerda admitir este recurso de amparo al apreciar que las vulneraciones de derechos fundamentales alegadas por la asociación recurrente no carecen prima facie de verosimilitud y asimismo que el recurso reviste especial trascendencia constitucional, porque “plantea un problema o afecta a una faceta de un derecho fundamental sobre el que no hay doctrina de este tribunal [STC 155/2009, FJ 2 a)], y porque el recurso puede dar ocasión al Tribunal para aclarar o cambiar su doctrina, como consecuencia de un proceso de reflexión interna [STC 155/2009, FJ 2 b)]”. Disentimos de tal apreciación por entender que ninguno de los dos requisitos, la verosimilitud de la lesión y la especial trascendencia constitucional concurre en el presente caso.</w:t>
      </w:r>
    </w:p>
    <w:p w14:paraId="6DB72443" w14:textId="77777777" w:rsidR="00F64776" w:rsidRDefault="00F64776" w:rsidP="00F64776">
      <w:pPr>
        <w:pStyle w:val="TextoNormal"/>
      </w:pPr>
    </w:p>
    <w:p w14:paraId="0FBB4187" w14:textId="77777777" w:rsidR="00F64776" w:rsidRDefault="00F64776" w:rsidP="00F64776">
      <w:pPr>
        <w:pStyle w:val="TextoNormal"/>
      </w:pPr>
      <w:r>
        <w:t xml:space="preserve">Primero. Sobre la falta de verosimilitud de la lesión de su </w:t>
      </w:r>
      <w:r w:rsidRPr="00F64776">
        <w:rPr>
          <w:i/>
        </w:rPr>
        <w:t>ius ut procedatur</w:t>
      </w:r>
      <w:r>
        <w:t xml:space="preserve"> invocada por el recurrente</w:t>
      </w:r>
    </w:p>
    <w:p w14:paraId="73E3C2AA" w14:textId="77777777" w:rsidR="00F64776" w:rsidRDefault="00F64776" w:rsidP="00F64776">
      <w:pPr>
        <w:pStyle w:val="TextoNormal"/>
      </w:pPr>
    </w:p>
    <w:p w14:paraId="7FC6786B" w14:textId="77777777" w:rsidR="00F64776" w:rsidRDefault="00F64776" w:rsidP="00F64776">
      <w:pPr>
        <w:pStyle w:val="TextoNormal"/>
      </w:pPr>
      <w:r>
        <w:t>En cuanto a lo primero, ha de señalarse que la asociación recurrente, disconforme con el sobreseimiento libre, acordado en apelación por la Audiencia Provincial de Cádiz, de las actuaciones seguidas por los trágicos sucesos acaecidos en la playa ceutí del Tarajal el 6 de febrero de 2014, donde resultaron muertas por ahogamiento quince personas que formaban parte de un numeroso grupo de inmigrantes que trataba de forzar el acceso a Ceuta por vía marítima. Alega en su demanda de amparo que esa decisión judicial vulnera el derecho a la vida (art. 15 CE y art. 2 CEDH), en sus dimensiones sustantiva y procesal, en relación con el derecho a la tutela judicial efectiva (art. 24.1 CE), por no haberse colmado el deber de investigación suficiente y efectiva en caso de muerte producida por la actuación de fuerzas y cuerpos de seguridad del Estado. En su opinión, debería haberse producido la apertura del juicio oral para dilucidar en este la responsabilidad de los agentes de la Guardia Civil investigados.</w:t>
      </w:r>
    </w:p>
    <w:p w14:paraId="246412D4" w14:textId="77777777" w:rsidR="00F64776" w:rsidRDefault="00F64776" w:rsidP="00F64776">
      <w:pPr>
        <w:pStyle w:val="TextoNormal"/>
      </w:pPr>
    </w:p>
    <w:p w14:paraId="5B092973" w14:textId="77777777" w:rsidR="00F64776" w:rsidRDefault="00F64776" w:rsidP="00F64776">
      <w:pPr>
        <w:pStyle w:val="TextoNormal"/>
      </w:pPr>
      <w:r>
        <w:t>La Audiencia Provincial de Cádiz ha revocado el auto de incoación del procedimiento abreviado por posibles delitos de homicidio por imprudencia grave y de denegación de auxilio, dictado por el Juzgado de Instrucción núm. 6 de Ceuta frente a quince agentes de la Guardia Civil que repelieron con material antidisturbios el intento de entrada por la fuerza de los inmigrantes en territorio español, declarando el sobreseimiento libre de las actuaciones. La Audiencia Provincial estima que de la dilatada y extensa investigación realizada por el instructor no se desprende que exista relación de causalidad entre la actuación de los agentes de la Guardia Civil, en cumplimiento de su deber de proteger la frontera española, y el resultado de muerte de las quince personas que pretendían acceder a España nadando, y asimismo que los hechos carecen de una concreción individualizada.</w:t>
      </w:r>
    </w:p>
    <w:p w14:paraId="440D49E2" w14:textId="77777777" w:rsidR="00F64776" w:rsidRDefault="00F64776" w:rsidP="00F64776">
      <w:pPr>
        <w:pStyle w:val="TextoNormal"/>
      </w:pPr>
    </w:p>
    <w:p w14:paraId="40E6AE89" w14:textId="77777777" w:rsidR="00F64776" w:rsidRDefault="00F64776" w:rsidP="00F64776">
      <w:pPr>
        <w:pStyle w:val="TextoNormal"/>
      </w:pPr>
      <w:r>
        <w:t xml:space="preserve">Pues bien, debe recordarse que, conforme a reiterada doctrina constitucional, la Constitución no otorga ningún pretendido derecho a obtener condenas penales (SSTC 147/1985, de 27 de marzo, FJ 2; 83/1989, de 10 de mayo, FJ 2; 157/1990, de 18 de octubre, FJ 4; 31/1996, de 27 de febrero, FJ 10; 21/2000, de 31 de diciembre, FJ 2; 168/2001, de 16 de julio, FJ 7; 232/2002, de 9 de diciembre, FJ 5, y 189/2004, de 2 de noviembre, FJ 5, entre otras muchas). El </w:t>
      </w:r>
      <w:r w:rsidRPr="00F64776">
        <w:rPr>
          <w:i/>
        </w:rPr>
        <w:t>ius ut procedatur</w:t>
      </w:r>
      <w:r>
        <w:t xml:space="preserve"> que ostenta el querellante o denunciante no comporta un derecho incondicionado a la apertura y plena sustanciación del proceso penal, por lo que las exigencias constitucionales derivadas del derecho al proceso se verán satisfechas por la resolución judicial de inadmisión si esta se fundamenta de forma razonable en la exclusión </w:t>
      </w:r>
      <w:r w:rsidRPr="00F64776">
        <w:rPr>
          <w:i/>
        </w:rPr>
        <w:t>ab initio</w:t>
      </w:r>
      <w:r>
        <w:t xml:space="preserve"> del carácter delictivo de los hechos imputados, o bien, en caso de admitirse la denuncia o querella, por la resolución judicial que acuerda la terminación anticipada del proceso penal, sin apertura de la fase de plenario, sobre una razonada y razonable concurrencia de los motivos legalmente previstos de sobreseimiento, libre o provisional, de conformidad con las previsiones legales (SSTC 120/2000, de 10 de mayo, FJ 4; 12/2006, de 16 de enero, FJ 2; 34/2008, de 25 de febrero, FJ 2, y 26/2018, de 5 de marzo, FJ 3, entre otras muchas).</w:t>
      </w:r>
    </w:p>
    <w:p w14:paraId="7DE36880" w14:textId="77777777" w:rsidR="00F64776" w:rsidRDefault="00F64776" w:rsidP="00F64776">
      <w:pPr>
        <w:pStyle w:val="TextoNormal"/>
      </w:pPr>
    </w:p>
    <w:p w14:paraId="58A2002A" w14:textId="77777777" w:rsidR="00F64776" w:rsidRDefault="00F64776" w:rsidP="00F64776">
      <w:pPr>
        <w:pStyle w:val="TextoNormal"/>
      </w:pPr>
      <w:r>
        <w:t xml:space="preserve">Pues bien, en el presente caso entendemos que la resolución judicial impugnada —el auto por el que la Audiencia Provincial de Cádiz acuerda el sobreseimiento libre— ha respetado las garantías del </w:t>
      </w:r>
      <w:r w:rsidRPr="00F64776">
        <w:rPr>
          <w:i/>
        </w:rPr>
        <w:t>ius ut procedatur</w:t>
      </w:r>
      <w:r>
        <w:t xml:space="preserve"> de la asociación recurrente en amparo, que solicitaba como acusación popular la protección penal de los derechos que las leyes en vigor le reconocen, pues esa resolución judicial acuerda la terminación anticipada del procedimiento penal con una motivación que no resulta insatisfactoria desde el canon reforzado del art. 24.1 CE que cabe exigirle, por su conexión con el art. 15 CE en las circunstancias del caso. El sobreseimiento libre decidido en apelación por la Audiencia Provincial de Cádiz satisface el </w:t>
      </w:r>
      <w:r w:rsidRPr="00F64776">
        <w:rPr>
          <w:i/>
        </w:rPr>
        <w:t>ius ut procedatur</w:t>
      </w:r>
      <w:r>
        <w:t xml:space="preserve"> de la asociación recurrente, pues la valoración realizada por ese órgano judicial de la ausencia de los presupuestos necesarios para apreciar indicios de delito en la actuación de los agentes de la Guardia Civil investigados se expresa mediante un juicio motivado, en ejercicio de la facultad que le confiere el art. 117.3 CE, no incurso en irrazonabilidad, arbitrariedad o en error patente, sin que corresponda a este tribunal resolver acerca de si es o no correcta tal apreciación de atipicidad efectuada por la Audiencia Provincial, descartando la presencia de algunos de los elementos definidores de las concretas figuras penales sometidas a controversia, al ser cuestión que pertenece al ámbito de la legalidad ordinaria.</w:t>
      </w:r>
    </w:p>
    <w:p w14:paraId="7C754211" w14:textId="77777777" w:rsidR="00F64776" w:rsidRDefault="00F64776" w:rsidP="00F64776">
      <w:pPr>
        <w:pStyle w:val="TextoNormal"/>
      </w:pPr>
    </w:p>
    <w:p w14:paraId="54708441" w14:textId="77777777" w:rsidR="00F64776" w:rsidRDefault="00F64776" w:rsidP="00F64776">
      <w:pPr>
        <w:pStyle w:val="TextoNormal"/>
      </w:pPr>
      <w:r>
        <w:t xml:space="preserve">Cabe descartar, pues, que la asociación recurrente, que no es titular del derecho a la vida garantizado por el art. 15 CE, haya sufrido vulneración efectiva de su </w:t>
      </w:r>
      <w:r w:rsidRPr="00F64776">
        <w:rPr>
          <w:i/>
        </w:rPr>
        <w:t>ius ut procedatur</w:t>
      </w:r>
      <w:r>
        <w:t>, en cuanto denunciante y acusación popular, como manifestación del derecho a la tutela judicial efectiva en su vertiente de derecho de acceso al proceso penal.</w:t>
      </w:r>
    </w:p>
    <w:p w14:paraId="25917DF0" w14:textId="77777777" w:rsidR="00F64776" w:rsidRDefault="00F64776" w:rsidP="00F64776">
      <w:pPr>
        <w:pStyle w:val="TextoNormal"/>
      </w:pPr>
    </w:p>
    <w:p w14:paraId="28477AAB" w14:textId="77777777" w:rsidR="00F64776" w:rsidRDefault="00F64776" w:rsidP="00F64776">
      <w:pPr>
        <w:pStyle w:val="TextoNormal"/>
      </w:pPr>
      <w:r>
        <w:t>Lo dicho sería suficiente para acordar la inadmisión del recurso de amparo. Sin perjuicio de ello, no se advierte que el asunto planteado revista especial trascendencia constitucional.</w:t>
      </w:r>
    </w:p>
    <w:p w14:paraId="1858594B" w14:textId="77777777" w:rsidR="00F64776" w:rsidRDefault="00F64776" w:rsidP="00F64776">
      <w:pPr>
        <w:pStyle w:val="TextoNormal"/>
      </w:pPr>
    </w:p>
    <w:p w14:paraId="407925C4" w14:textId="77777777" w:rsidR="00F64776" w:rsidRDefault="00F64776" w:rsidP="00F64776">
      <w:pPr>
        <w:pStyle w:val="TextoNormal"/>
      </w:pPr>
      <w:r>
        <w:t>Segundo. Sobre la falta de trascendencia constitucional</w:t>
      </w:r>
    </w:p>
    <w:p w14:paraId="6619B2E2" w14:textId="77777777" w:rsidR="00F64776" w:rsidRDefault="00F64776" w:rsidP="00F64776">
      <w:pPr>
        <w:pStyle w:val="TextoNormal"/>
      </w:pPr>
    </w:p>
    <w:p w14:paraId="214191DF" w14:textId="77777777" w:rsidR="00F64776" w:rsidRDefault="00F64776" w:rsidP="00F64776">
      <w:pPr>
        <w:pStyle w:val="TextoNormal"/>
      </w:pPr>
      <w:r>
        <w:t>Dejando aparte que resulta contradictorio afirmar, como se hace en el auto del que discrepamos, que el presente recurso de amparo “plantea un problema o afecta a una faceta de un derecho fundamental sobre el que no hay doctrina de este tribunal” y al mismo tiempo que “el recurso puede dar ocasión al Tribunal para aclarar o cambiar su doctrina, como consecuencia de un proceso de reflexión interna”, pues, o bien existe esa doctrina, o bien no existe, es lo cierto que difícilmente puede entenderse que concurra uno u otro motivo de especial trascendencia constitucional en el caso que nos ocupa.</w:t>
      </w:r>
    </w:p>
    <w:p w14:paraId="094C1006" w14:textId="77777777" w:rsidR="00F64776" w:rsidRDefault="00F64776" w:rsidP="00F64776">
      <w:pPr>
        <w:pStyle w:val="TextoNormal"/>
      </w:pPr>
    </w:p>
    <w:p w14:paraId="179A2AA1" w14:textId="77777777" w:rsidR="00F64776" w:rsidRDefault="00F64776" w:rsidP="00F64776">
      <w:pPr>
        <w:pStyle w:val="TextoNormal"/>
      </w:pPr>
      <w:r>
        <w:t xml:space="preserve">Como se ha dicho, existe doctrina constitucional reiterada sobre el alcance del </w:t>
      </w:r>
      <w:r w:rsidRPr="00F64776">
        <w:rPr>
          <w:i/>
        </w:rPr>
        <w:t>ius ut procedatur</w:t>
      </w:r>
      <w:r>
        <w:t xml:space="preserve"> que ostentan los querellantes o denunciantes como manifestación del derecho a la tutela judicial efectiva (art. 24.1 CE) en su vertiente de derecho de acceso al proceso penal. Y no se advierte que sea necesario aclarar o modificar esa consolidada doctrina constitucional.</w:t>
      </w:r>
    </w:p>
    <w:p w14:paraId="21E548E2" w14:textId="77777777" w:rsidR="00F64776" w:rsidRDefault="00F64776" w:rsidP="00F64776">
      <w:pPr>
        <w:pStyle w:val="TextoNormal"/>
      </w:pPr>
    </w:p>
    <w:p w14:paraId="711B1F46" w14:textId="77777777" w:rsidR="00F64776" w:rsidRDefault="00F64776" w:rsidP="00F64776">
      <w:pPr>
        <w:pStyle w:val="TextoNormal"/>
      </w:pPr>
      <w:r>
        <w:t>Por otra parte, en la medida en que la asociación recurrente en amparo alude a la proyección al caso de la doctrina constitucional acerca de la “investigación efectiva (o eficaz)” de las denuncias de torturas y tratos inhumanos y degradantes que se dicen padecidos bajo custodia policial, como vertiente procedimental o procesal del derecho garantizado en el art. 15 CE, así como en el art. 3 CEDH, el auto del que discrepamos considera que la especial trascendencia constitucional del recurso consistiría en proyectar esa doctrina a supuestos de delitos contra la vida presuntamente cometidos por agentes o miembros de las fuerzas y cuerpos de seguridad del Estado. Disentimos de tal apreciación.</w:t>
      </w:r>
    </w:p>
    <w:p w14:paraId="6039A8E9" w14:textId="77777777" w:rsidR="00F64776" w:rsidRDefault="00F64776" w:rsidP="00F64776">
      <w:pPr>
        <w:pStyle w:val="TextoNormal"/>
      </w:pPr>
    </w:p>
    <w:p w14:paraId="7A3D2C49" w14:textId="77777777" w:rsidR="00F64776" w:rsidRDefault="00F64776" w:rsidP="00F64776">
      <w:pPr>
        <w:pStyle w:val="TextoNormal"/>
      </w:pPr>
      <w:r>
        <w:t xml:space="preserve">Conviene recordar que existe reiterada doctrina constitucional acerca del deber de investigación exhaustiva y eficaz de en relación con las torturas y tratos inhumanos o degradantes que se dicen padecidos bajo custodia policial, doctrina que se acomoda plenamente a la elaborada por la jurisprudencia del Tribunal Europeo de Derechos Humanos, sintetizada de manera precisa en la sentencia dictada en el asunto </w:t>
      </w:r>
      <w:r w:rsidRPr="00F64776">
        <w:rPr>
          <w:i/>
        </w:rPr>
        <w:t>Martínez Sala y otros c. España</w:t>
      </w:r>
      <w:r>
        <w:t>, de 2 de noviembre de 2004. De acuerdo con esa consolidada doctrina constitucional, para que una investigación pueda reputarse efectiva, han de cumplirse, entre otros requisitos, las exigencias de que sea adecuada y exhaustiva, lo que supone que han de apurarse las posibilidades de averiguar lo sucedido. Se trata, en suma, de agotar cuantas posibilidades razonables de indagación resulten útiles para aclarar los hechos, lo que no significa una exigencia constitucional de que se practiquen todas y cada una de las diligencias solicitadas o imaginables, sino de que, en un contexto aún de incertidumbre acerca de lo acaecido, se practiquen aquellas que a priori se revelen susceptibles de despejar las sospechas razonables de maltrato que pudieran existir (SSTC 224/2007, de 22 de octubre; 34/2008, de 25 de febrero; 123/2008, de 20 de octubre; 63/2010, de 18 de octubre; 182/2012, de 17 de octubre; 12/2013, de 28 de enero, y 166/2021, de 4 de octubre, entre otras). Se impone así un canon reforzado de motivación a las decisiones judiciales que acuerdan el sobreseimiento y archivo de las actuaciones penales seguidas por malos tratos que se dicen padecidos bajo custodia de agentes policiales.</w:t>
      </w:r>
    </w:p>
    <w:p w14:paraId="76B975A4" w14:textId="77777777" w:rsidR="00F64776" w:rsidRDefault="00F64776" w:rsidP="00F64776">
      <w:pPr>
        <w:pStyle w:val="TextoNormal"/>
      </w:pPr>
    </w:p>
    <w:p w14:paraId="6BB78AD1" w14:textId="77777777" w:rsidR="00F64776" w:rsidRDefault="00F64776" w:rsidP="00F64776">
      <w:pPr>
        <w:pStyle w:val="TextoNormal"/>
      </w:pPr>
      <w:r>
        <w:t>Es pertinente recordar que esta consolidada doctrina constitucional sobre vulneración del derecho a la tutela judicial efectiva (en relación con el derecho garantizado por el art. 15 CE) por ausencia de una investigación suficiente de las torturas o malos tratos supuestamente padecidos bajo custodia de las fuerzas de seguridad se ha extendido a otros supuestos; entre ellos, por la STC 53/2022, de 4 de abril (que se cita en el propio auto de admisión del recurso de amparo), al caso de las lesiones que se decían ocasionadas por una carga policial para disolver una manifestación ilegal. El paralelismo con los trágicos sucesos a los que se refiere el presente recurso de amparo resulta evidente.</w:t>
      </w:r>
    </w:p>
    <w:p w14:paraId="1507CDC3" w14:textId="77777777" w:rsidR="00F64776" w:rsidRDefault="00F64776" w:rsidP="00F64776">
      <w:pPr>
        <w:pStyle w:val="TextoNormal"/>
      </w:pPr>
    </w:p>
    <w:p w14:paraId="42B23529" w14:textId="77777777" w:rsidR="00F64776" w:rsidRDefault="00F64776" w:rsidP="00F64776">
      <w:pPr>
        <w:pStyle w:val="TextoNormal"/>
      </w:pPr>
      <w:r>
        <w:t>Existe, pues, también sobre este punto una doctrina constitucional consolidada que no necesita de aclaración o modificación, debiendo por otra parte hacerse notar que la asociación recurrente en amparo no dice qué otras diligencias de investigación debieron practicarse para esclarecer los hechos investigados, ni se queja en realidad de que la investigación judicial se haya clausurado anticipadamente sin agotar cuantas posibilidades razonables de indagación resulten útiles para aclarar los hechos. Lo que sostiene es que, tal como pretendía el juez instructor, debe procederse a la apertura del juicio oral para dilucidar en este la responsabilidad de los agentes de la Guardia Civil investigados. Dicho de otro modo, la asociación recurrente en amparo no denuncia propiamente ninguna falta de investigación efectiva y suficiente de los trágicos sucesos de la playa del Tarajal, como no deja de reconocerse en el propio auto del que disentimos, sino que se limita a discrepar de la valoración efectuada por la Audiencia Provincial de Cádiz acerca de la actividad indagatoria desarrollada por el juez instructor. Así planteada, la cuestión suscitada por la asociación recurrente pertenece al ámbito de la legalidad ordinaria, debiendo volver a recordarse que nuestra Constitución no reconoce a quien ejercita la acción penal ningún supuesto derecho a obtener condenas penales.</w:t>
      </w:r>
    </w:p>
    <w:p w14:paraId="39D9031D" w14:textId="77777777" w:rsidR="00F64776" w:rsidRDefault="00F64776" w:rsidP="00F64776">
      <w:pPr>
        <w:pStyle w:val="TextoNormal"/>
      </w:pPr>
    </w:p>
    <w:p w14:paraId="6ABF51B4" w14:textId="55593059" w:rsidR="00F64776" w:rsidRDefault="00F64776" w:rsidP="00F64776">
      <w:pPr>
        <w:pStyle w:val="TextoNormal"/>
      </w:pPr>
      <w:r>
        <w:t>Madrid, a seis de julio de dos mil veintitrés.</w:t>
      </w:r>
    </w:p>
    <w:p w14:paraId="02DCE1C5" w14:textId="6ECE06C0" w:rsidR="00F64776" w:rsidRDefault="00F64776">
      <w:pPr>
        <w:spacing w:after="160" w:line="278" w:lineRule="auto"/>
        <w:rPr>
          <w:rFonts w:ascii="Times New Roman" w:eastAsia="Times New Roman" w:hAnsi="Times New Roman" w:cs="Times New Roman"/>
          <w:sz w:val="24"/>
          <w:szCs w:val="24"/>
          <w:lang w:eastAsia="es-ES"/>
        </w:rPr>
      </w:pPr>
      <w:r>
        <w:br w:type="page"/>
      </w:r>
    </w:p>
    <w:p w14:paraId="1A68F768" w14:textId="77777777" w:rsidR="00F64776" w:rsidRDefault="00F64776" w:rsidP="00F64776">
      <w:pPr>
        <w:pStyle w:val="TtuloResolucin"/>
      </w:pPr>
      <w:bookmarkStart w:id="124" w:name="AUTO_2023_339"/>
      <w:r>
        <w:t>AUTO 339/2023, de 3 de julio de 2023</w:t>
      </w:r>
    </w:p>
    <w:bookmarkEnd w:id="124"/>
    <w:p w14:paraId="042D76CF" w14:textId="77777777" w:rsidR="00F64776" w:rsidRDefault="00F64776" w:rsidP="00F64776">
      <w:pPr>
        <w:pStyle w:val="TtuloResolucin"/>
      </w:pPr>
      <w:r>
        <w:t>Sección Tercera</w:t>
      </w:r>
    </w:p>
    <w:p w14:paraId="60BC3570" w14:textId="77777777" w:rsidR="00F64776" w:rsidRDefault="00F64776" w:rsidP="00F64776">
      <w:pPr>
        <w:pStyle w:val="TextoNormalCentrado"/>
      </w:pPr>
      <w:r>
        <w:t>ECLI:ES:TC:2023:339A</w:t>
      </w:r>
    </w:p>
    <w:p w14:paraId="5BD73D9C" w14:textId="6B636F92" w:rsidR="00F64776" w:rsidRDefault="00F64776" w:rsidP="00F64776">
      <w:pPr>
        <w:pStyle w:val="TextoNormalCentrado"/>
      </w:pPr>
    </w:p>
    <w:p w14:paraId="0E8EC7AE" w14:textId="77777777" w:rsidR="00F64776" w:rsidRDefault="00F64776" w:rsidP="00F64776">
      <w:pPr>
        <w:pStyle w:val="SntesisDescriptiva"/>
      </w:pPr>
      <w:r>
        <w:t>Excms. Srs. doña Inmaculada Montalbán Huertas y doña Laura Díez Bueso.</w:t>
      </w:r>
    </w:p>
    <w:p w14:paraId="3719AD6C" w14:textId="6F1EE046" w:rsidR="00F64776" w:rsidRDefault="00F64776" w:rsidP="00F64776">
      <w:pPr>
        <w:pStyle w:val="SntesisDescriptiva"/>
      </w:pPr>
    </w:p>
    <w:p w14:paraId="1B10E5A0" w14:textId="77777777" w:rsidR="00F64776" w:rsidRDefault="00F64776" w:rsidP="00F64776">
      <w:pPr>
        <w:pStyle w:val="SntesisDescriptiva"/>
      </w:pPr>
      <w:r>
        <w:t>Acepta una abstención en el recurso de amparo 5203-2022, promovido en proceso contencioso-administrativo.</w:t>
      </w:r>
    </w:p>
    <w:p w14:paraId="23E58F3F" w14:textId="38B53722" w:rsidR="00F64776" w:rsidRDefault="00F64776" w:rsidP="00F64776">
      <w:pPr>
        <w:pStyle w:val="SntesisDescriptiva"/>
      </w:pPr>
    </w:p>
    <w:p w14:paraId="00032E65" w14:textId="77777777" w:rsidR="00F64776" w:rsidRDefault="00F64776" w:rsidP="00F64776">
      <w:pPr>
        <w:pStyle w:val="SntesisDescriptiva"/>
      </w:pPr>
    </w:p>
    <w:p w14:paraId="41BFB26F" w14:textId="77777777" w:rsidR="00F64776" w:rsidRDefault="00F64776" w:rsidP="00F64776">
      <w:pPr>
        <w:pStyle w:val="SntesisDescriptiva"/>
      </w:pPr>
    </w:p>
    <w:p w14:paraId="1D8B665A" w14:textId="77777777" w:rsidR="00F64776" w:rsidRDefault="00F64776" w:rsidP="00F64776">
      <w:pPr>
        <w:pStyle w:val="TextoNormalNegritaCentrado"/>
      </w:pPr>
      <w:r>
        <w:t>AUTO</w:t>
      </w:r>
    </w:p>
    <w:p w14:paraId="6D95F6DD" w14:textId="2D2C74D9" w:rsidR="00F64776" w:rsidRDefault="00F64776" w:rsidP="00F64776">
      <w:pPr>
        <w:pStyle w:val="TextoNormalNegritaCentrado"/>
      </w:pPr>
    </w:p>
    <w:p w14:paraId="1F56D0A9" w14:textId="77777777" w:rsidR="00F64776" w:rsidRDefault="00F64776" w:rsidP="00F64776">
      <w:pPr>
        <w:pStyle w:val="TextoNormalNegritaCentrado"/>
        <w:keepNext/>
      </w:pPr>
      <w:r>
        <w:t>I. Antecedentes</w:t>
      </w:r>
    </w:p>
    <w:p w14:paraId="62CF2FA3" w14:textId="4163739B" w:rsidR="00F64776" w:rsidRDefault="00F64776" w:rsidP="00F64776">
      <w:pPr>
        <w:pStyle w:val="TextoNormalNegritaCentrado"/>
        <w:keepNext/>
      </w:pPr>
    </w:p>
    <w:p w14:paraId="1033BB11" w14:textId="227A058C" w:rsidR="00F64776" w:rsidRDefault="00F64776" w:rsidP="00F64776">
      <w:pPr>
        <w:pStyle w:val="TextoNormal"/>
      </w:pPr>
      <w:r w:rsidRPr="00F64776">
        <w:rPr>
          <w:rStyle w:val="NumeroAFNegritaCaracter"/>
        </w:rPr>
        <w:t>1</w:t>
      </w:r>
      <w:r>
        <w:t>. Mediante escrito registrado en este tribunal el 15 de julio de 2022 el procurador de los tribunales don José María Ruiz de la Cuesta Vacas, en nombre y representación de don Diego Martín Gil Movilla y bajo la dirección del letrado don Francisco Javier Araúz de Robles Dávila, interpuso demanda de amparo contra providencias de la Sección Primera de la Sala de lo Contencioso-Administrativo del Tribunal Supremo en recurso de casación núm. 4010-2021.</w:t>
      </w:r>
    </w:p>
    <w:p w14:paraId="5C96EAA6" w14:textId="77777777" w:rsidR="00F64776" w:rsidRDefault="00F64776" w:rsidP="00F64776">
      <w:pPr>
        <w:pStyle w:val="TextoNormal"/>
      </w:pPr>
    </w:p>
    <w:p w14:paraId="46E18F3F" w14:textId="22CF78E1" w:rsidR="00F64776" w:rsidRDefault="00F64776" w:rsidP="00F64776">
      <w:pPr>
        <w:pStyle w:val="TextoNormal"/>
      </w:pPr>
      <w:r w:rsidRPr="00F64776">
        <w:rPr>
          <w:rStyle w:val="NumeroAFNegritaCaracter"/>
        </w:rPr>
        <w:t>2</w:t>
      </w:r>
      <w:r>
        <w:t>. Por escrito de 24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68E3948B" w14:textId="77777777" w:rsidR="00F64776" w:rsidRDefault="00F64776" w:rsidP="00F64776">
      <w:pPr>
        <w:pStyle w:val="TextoNormal"/>
      </w:pPr>
    </w:p>
    <w:p w14:paraId="5C22E9D3" w14:textId="77777777" w:rsidR="00F64776" w:rsidRDefault="00F64776" w:rsidP="00F64776">
      <w:pPr>
        <w:pStyle w:val="TextoNormalNegritaCentrado"/>
        <w:keepNext/>
      </w:pPr>
      <w:r>
        <w:t>II. Fundamentos jurídicos</w:t>
      </w:r>
    </w:p>
    <w:p w14:paraId="46922010" w14:textId="6EE4D742" w:rsidR="00F64776" w:rsidRDefault="00F64776" w:rsidP="00F64776">
      <w:pPr>
        <w:pStyle w:val="TextoNormalNegritaCentrado"/>
        <w:keepNext/>
      </w:pPr>
    </w:p>
    <w:p w14:paraId="5FDB017E" w14:textId="602BED87"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27135590" w14:textId="77777777" w:rsidR="00F64776" w:rsidRDefault="00F64776" w:rsidP="00F64776">
      <w:pPr>
        <w:pStyle w:val="TextoNormal"/>
      </w:pPr>
    </w:p>
    <w:p w14:paraId="0DF7E643" w14:textId="77777777" w:rsidR="00F64776" w:rsidRDefault="00F64776" w:rsidP="00F64776">
      <w:pPr>
        <w:pStyle w:val="TextoNormal"/>
      </w:pPr>
      <w:r>
        <w:t>Por lo expuesto, la Sección</w:t>
      </w:r>
    </w:p>
    <w:p w14:paraId="6EACC14F" w14:textId="7480D853" w:rsidR="00F64776" w:rsidRDefault="00F64776" w:rsidP="00F64776">
      <w:pPr>
        <w:pStyle w:val="TextoNormal"/>
      </w:pPr>
    </w:p>
    <w:p w14:paraId="09D38820" w14:textId="77777777" w:rsidR="00F64776" w:rsidRDefault="00F64776" w:rsidP="00F64776">
      <w:pPr>
        <w:pStyle w:val="TextoNormalCentrado"/>
      </w:pPr>
      <w:r>
        <w:t>ACUERDA</w:t>
      </w:r>
    </w:p>
    <w:p w14:paraId="50D01F9A" w14:textId="5B593F05" w:rsidR="00F64776" w:rsidRDefault="00F64776" w:rsidP="00F64776">
      <w:pPr>
        <w:pStyle w:val="TextoNormalCentrado"/>
      </w:pPr>
    </w:p>
    <w:p w14:paraId="5C45634F" w14:textId="6CFFB938" w:rsidR="00F64776" w:rsidRDefault="00F64776" w:rsidP="00F64776">
      <w:pPr>
        <w:pStyle w:val="TextoNormal"/>
      </w:pPr>
      <w:r>
        <w:t>Estimar justificada la abstención formulada por el magistrado señor don César Tolosa Tribiño en el recurso de amparo núm. 5203-2022 y apartarle definitivamente del conocimiento del referido recurso y de todas sus incidencias.</w:t>
      </w:r>
    </w:p>
    <w:p w14:paraId="041F9893" w14:textId="77777777" w:rsidR="00F64776" w:rsidRDefault="00F64776" w:rsidP="00F64776">
      <w:pPr>
        <w:pStyle w:val="TextoNormal"/>
      </w:pPr>
    </w:p>
    <w:p w14:paraId="0FFF57EA" w14:textId="77777777" w:rsidR="00F64776" w:rsidRDefault="00F64776" w:rsidP="00F64776">
      <w:pPr>
        <w:pStyle w:val="TextoNormal"/>
      </w:pPr>
      <w:r>
        <w:t>Madrid, a tres de julio de dos mil veintitrés.</w:t>
      </w:r>
    </w:p>
    <w:p w14:paraId="10F6EAD0" w14:textId="6B9AED19" w:rsidR="00F64776" w:rsidRDefault="00F64776">
      <w:pPr>
        <w:spacing w:after="160" w:line="278" w:lineRule="auto"/>
        <w:rPr>
          <w:rFonts w:ascii="Times New Roman" w:eastAsia="Times New Roman" w:hAnsi="Times New Roman" w:cs="Times New Roman"/>
          <w:sz w:val="24"/>
          <w:szCs w:val="24"/>
          <w:lang w:eastAsia="es-ES"/>
        </w:rPr>
      </w:pPr>
      <w:r>
        <w:br w:type="page"/>
      </w:r>
    </w:p>
    <w:p w14:paraId="7642C14F" w14:textId="77777777" w:rsidR="00F64776" w:rsidRDefault="00F64776" w:rsidP="00F64776">
      <w:pPr>
        <w:pStyle w:val="TtuloResolucin"/>
      </w:pPr>
      <w:bookmarkStart w:id="125" w:name="AUTO_2023_340"/>
      <w:r>
        <w:t>AUTO 340/2023, de 3 de julio de 2023</w:t>
      </w:r>
    </w:p>
    <w:bookmarkEnd w:id="125"/>
    <w:p w14:paraId="03A20684" w14:textId="77777777" w:rsidR="00F64776" w:rsidRDefault="00F64776" w:rsidP="00F64776">
      <w:pPr>
        <w:pStyle w:val="TtuloResolucin"/>
      </w:pPr>
      <w:r>
        <w:t>Sección Tercera</w:t>
      </w:r>
    </w:p>
    <w:p w14:paraId="21296B28" w14:textId="77777777" w:rsidR="00F64776" w:rsidRDefault="00F64776" w:rsidP="00F64776">
      <w:pPr>
        <w:pStyle w:val="TextoNormalCentrado"/>
      </w:pPr>
      <w:r>
        <w:t>ECLI:ES:TC:2023:340A</w:t>
      </w:r>
    </w:p>
    <w:p w14:paraId="3D829398" w14:textId="55651026" w:rsidR="00F64776" w:rsidRDefault="00F64776" w:rsidP="00F64776">
      <w:pPr>
        <w:pStyle w:val="TextoNormalCentrado"/>
      </w:pPr>
    </w:p>
    <w:p w14:paraId="21D36B69" w14:textId="77777777" w:rsidR="00F64776" w:rsidRDefault="00F64776" w:rsidP="00F64776">
      <w:pPr>
        <w:pStyle w:val="SntesisDescriptiva"/>
      </w:pPr>
      <w:r>
        <w:t>Excms. Srs. doña Inmaculada Montalbán Huertas y doña Laura Díez Bueso.</w:t>
      </w:r>
    </w:p>
    <w:p w14:paraId="7225A8C9" w14:textId="29C91265" w:rsidR="00F64776" w:rsidRDefault="00F64776" w:rsidP="00F64776">
      <w:pPr>
        <w:pStyle w:val="SntesisDescriptiva"/>
      </w:pPr>
    </w:p>
    <w:p w14:paraId="1019F39E" w14:textId="77777777" w:rsidR="00F64776" w:rsidRDefault="00F64776" w:rsidP="00F64776">
      <w:pPr>
        <w:pStyle w:val="SntesisDescriptiva"/>
      </w:pPr>
      <w:r>
        <w:t>Acepta una abstención en el recurso de amparo 5311-2022, promovido en proceso contencioso-administrativo</w:t>
      </w:r>
    </w:p>
    <w:p w14:paraId="4EB55027" w14:textId="1CD0C4C8" w:rsidR="00F64776" w:rsidRDefault="00F64776" w:rsidP="00F64776">
      <w:pPr>
        <w:pStyle w:val="SntesisDescriptiva"/>
      </w:pPr>
    </w:p>
    <w:p w14:paraId="77802D23" w14:textId="77777777" w:rsidR="00F64776" w:rsidRDefault="00F64776" w:rsidP="00F64776">
      <w:pPr>
        <w:pStyle w:val="SntesisDescriptiva"/>
      </w:pPr>
    </w:p>
    <w:p w14:paraId="2F3CB465" w14:textId="77777777" w:rsidR="00F64776" w:rsidRDefault="00F64776" w:rsidP="00F64776">
      <w:pPr>
        <w:pStyle w:val="SntesisDescriptiva"/>
      </w:pPr>
    </w:p>
    <w:p w14:paraId="3956E461" w14:textId="77777777" w:rsidR="00F64776" w:rsidRDefault="00F64776" w:rsidP="00F64776">
      <w:pPr>
        <w:pStyle w:val="TextoNormalNegritaCentrado"/>
      </w:pPr>
      <w:r>
        <w:t>AUTO</w:t>
      </w:r>
    </w:p>
    <w:p w14:paraId="2B98CD3E" w14:textId="2006A0E3" w:rsidR="00F64776" w:rsidRDefault="00F64776" w:rsidP="00F64776">
      <w:pPr>
        <w:pStyle w:val="TextoNormalNegritaCentrado"/>
      </w:pPr>
    </w:p>
    <w:p w14:paraId="606B886B" w14:textId="77777777" w:rsidR="00F64776" w:rsidRDefault="00F64776" w:rsidP="00F64776">
      <w:pPr>
        <w:pStyle w:val="TextoNormalNegritaCentrado"/>
        <w:keepNext/>
      </w:pPr>
      <w:r>
        <w:t>I. Antecedentes</w:t>
      </w:r>
    </w:p>
    <w:p w14:paraId="3C0838B5" w14:textId="22743D97" w:rsidR="00F64776" w:rsidRDefault="00F64776" w:rsidP="00F64776">
      <w:pPr>
        <w:pStyle w:val="TextoNormalNegritaCentrado"/>
        <w:keepNext/>
      </w:pPr>
    </w:p>
    <w:p w14:paraId="399F56B4" w14:textId="6D4F6C67" w:rsidR="00F64776" w:rsidRDefault="00F64776" w:rsidP="00F64776">
      <w:pPr>
        <w:pStyle w:val="TextoNormal"/>
      </w:pPr>
      <w:r w:rsidRPr="00F64776">
        <w:rPr>
          <w:rStyle w:val="NumeroAFNegritaCaracter"/>
        </w:rPr>
        <w:t>1</w:t>
      </w:r>
      <w:r>
        <w:t>. Mediante escrito registrado en este tribunal el 19 de julio de 2022 el procurador de los tribunales don José María Ruiz de la Cuesta Vacas, en nombre y representación de doña Cecilia Carolina Carrasco Vidoz y otros y bajo la dirección del letrado don Francisco Javier Araúz de Robles Dávila, interpuso demanda de amparo contra providencia de la Sección Primera de la Sala de lo Contencioso-Administrativo del Tribunal Supremo en recurso de casación núm. 397-2022.</w:t>
      </w:r>
    </w:p>
    <w:p w14:paraId="36A628F6" w14:textId="77777777" w:rsidR="00F64776" w:rsidRDefault="00F64776" w:rsidP="00F64776">
      <w:pPr>
        <w:pStyle w:val="TextoNormal"/>
      </w:pPr>
    </w:p>
    <w:p w14:paraId="47D8D69C" w14:textId="0040757C" w:rsidR="00F64776" w:rsidRDefault="00F64776" w:rsidP="00F64776">
      <w:pPr>
        <w:pStyle w:val="TextoNormal"/>
      </w:pPr>
      <w:r w:rsidRPr="00F64776">
        <w:rPr>
          <w:rStyle w:val="NumeroAFNegritaCaracter"/>
        </w:rPr>
        <w:t>2</w:t>
      </w:r>
      <w:r>
        <w:t>. Por escrito de 24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2B25AE25" w14:textId="77777777" w:rsidR="00F64776" w:rsidRDefault="00F64776" w:rsidP="00F64776">
      <w:pPr>
        <w:pStyle w:val="TextoNormal"/>
      </w:pPr>
    </w:p>
    <w:p w14:paraId="57CBC728" w14:textId="77777777" w:rsidR="00F64776" w:rsidRDefault="00F64776" w:rsidP="00F64776">
      <w:pPr>
        <w:pStyle w:val="TextoNormalNegritaCentrado"/>
        <w:keepNext/>
      </w:pPr>
      <w:r>
        <w:t>II. Fundamentos jurídicos</w:t>
      </w:r>
    </w:p>
    <w:p w14:paraId="2B8E7BD8" w14:textId="1431DBD9" w:rsidR="00F64776" w:rsidRDefault="00F64776" w:rsidP="00F64776">
      <w:pPr>
        <w:pStyle w:val="TextoNormalNegritaCentrado"/>
        <w:keepNext/>
      </w:pPr>
    </w:p>
    <w:p w14:paraId="37012075" w14:textId="5A8B2EA6"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401AF983" w14:textId="77777777" w:rsidR="00F64776" w:rsidRDefault="00F64776" w:rsidP="00F64776">
      <w:pPr>
        <w:pStyle w:val="TextoNormal"/>
      </w:pPr>
    </w:p>
    <w:p w14:paraId="487C3AEE" w14:textId="77777777" w:rsidR="00F64776" w:rsidRDefault="00F64776" w:rsidP="00F64776">
      <w:pPr>
        <w:pStyle w:val="TextoNormal"/>
      </w:pPr>
      <w:r>
        <w:t>Por lo expuesto, la Sección</w:t>
      </w:r>
    </w:p>
    <w:p w14:paraId="4EE9553A" w14:textId="68776C22" w:rsidR="00F64776" w:rsidRDefault="00F64776" w:rsidP="00F64776">
      <w:pPr>
        <w:pStyle w:val="TextoNormal"/>
      </w:pPr>
    </w:p>
    <w:p w14:paraId="6CB7F549" w14:textId="77777777" w:rsidR="00F64776" w:rsidRDefault="00F64776" w:rsidP="00F64776">
      <w:pPr>
        <w:pStyle w:val="TextoNormalCentrado"/>
      </w:pPr>
      <w:r>
        <w:t>ACUERDA</w:t>
      </w:r>
    </w:p>
    <w:p w14:paraId="21BAC06F" w14:textId="14752277" w:rsidR="00F64776" w:rsidRDefault="00F64776" w:rsidP="00F64776">
      <w:pPr>
        <w:pStyle w:val="TextoNormalCentrado"/>
      </w:pPr>
    </w:p>
    <w:p w14:paraId="5028AEE9" w14:textId="43CAF384" w:rsidR="00F64776" w:rsidRDefault="00F64776" w:rsidP="00F64776">
      <w:pPr>
        <w:pStyle w:val="TextoNormal"/>
      </w:pPr>
      <w:r>
        <w:t>Estimar justificada la abstención formulada por el magistrado señor don César Tolosa Tribiño en el recurso de amparo núm. 5311-2022 y apartarle definitivamente del conocimiento del referido recurso y de todas sus incidencias.</w:t>
      </w:r>
    </w:p>
    <w:p w14:paraId="2A104C67" w14:textId="77777777" w:rsidR="00F64776" w:rsidRDefault="00F64776" w:rsidP="00F64776">
      <w:pPr>
        <w:pStyle w:val="TextoNormal"/>
      </w:pPr>
    </w:p>
    <w:p w14:paraId="720C6FFD" w14:textId="77777777" w:rsidR="00F64776" w:rsidRDefault="00F64776" w:rsidP="00F64776">
      <w:pPr>
        <w:pStyle w:val="TextoNormal"/>
      </w:pPr>
      <w:r>
        <w:t>Madrid, a tres de julio de dos mil veintitrés.</w:t>
      </w:r>
    </w:p>
    <w:p w14:paraId="1367714A" w14:textId="0271DAE2" w:rsidR="00F64776" w:rsidRDefault="00F64776">
      <w:pPr>
        <w:spacing w:after="160" w:line="278" w:lineRule="auto"/>
        <w:rPr>
          <w:rFonts w:ascii="Times New Roman" w:eastAsia="Times New Roman" w:hAnsi="Times New Roman" w:cs="Times New Roman"/>
          <w:sz w:val="24"/>
          <w:szCs w:val="24"/>
          <w:lang w:eastAsia="es-ES"/>
        </w:rPr>
      </w:pPr>
      <w:r>
        <w:br w:type="page"/>
      </w:r>
    </w:p>
    <w:p w14:paraId="3E7D20EE" w14:textId="77777777" w:rsidR="00F64776" w:rsidRDefault="00F64776" w:rsidP="00F64776">
      <w:pPr>
        <w:pStyle w:val="TtuloResolucin"/>
      </w:pPr>
      <w:bookmarkStart w:id="126" w:name="AUTO_2023_341"/>
      <w:r>
        <w:t>AUTO 341/2023, de 3 de julio de 2023</w:t>
      </w:r>
    </w:p>
    <w:bookmarkEnd w:id="126"/>
    <w:p w14:paraId="537F419F" w14:textId="77777777" w:rsidR="00F64776" w:rsidRDefault="00F64776" w:rsidP="00F64776">
      <w:pPr>
        <w:pStyle w:val="TtuloResolucin"/>
      </w:pPr>
      <w:r>
        <w:t>Sección Tercera</w:t>
      </w:r>
    </w:p>
    <w:p w14:paraId="4AE79590" w14:textId="77777777" w:rsidR="00F64776" w:rsidRDefault="00F64776" w:rsidP="00F64776">
      <w:pPr>
        <w:pStyle w:val="TextoNormalCentrado"/>
      </w:pPr>
      <w:r>
        <w:t>ECLI:ES:TC:2023:341A</w:t>
      </w:r>
    </w:p>
    <w:p w14:paraId="6A7D528B" w14:textId="64D49867" w:rsidR="00F64776" w:rsidRDefault="00F64776" w:rsidP="00F64776">
      <w:pPr>
        <w:pStyle w:val="TextoNormalCentrado"/>
      </w:pPr>
    </w:p>
    <w:p w14:paraId="1FB5B18D" w14:textId="77777777" w:rsidR="00F64776" w:rsidRDefault="00F64776" w:rsidP="00F64776">
      <w:pPr>
        <w:pStyle w:val="SntesisDescriptiva"/>
      </w:pPr>
      <w:r>
        <w:t>Excms. Srs. doña Inmaculada Montalbán Huertas y doña Laura Díez Bueso.</w:t>
      </w:r>
    </w:p>
    <w:p w14:paraId="69DA6094" w14:textId="79B7EAC0" w:rsidR="00F64776" w:rsidRDefault="00F64776" w:rsidP="00F64776">
      <w:pPr>
        <w:pStyle w:val="SntesisDescriptiva"/>
      </w:pPr>
    </w:p>
    <w:p w14:paraId="079160E5" w14:textId="77777777" w:rsidR="00F64776" w:rsidRDefault="00F64776" w:rsidP="00F64776">
      <w:pPr>
        <w:pStyle w:val="SntesisDescriptiva"/>
      </w:pPr>
      <w:r>
        <w:t>Acepta una abstención en el recurso de amparo 5395-2022, promovido en proceso contencioso-administrativo.</w:t>
      </w:r>
    </w:p>
    <w:p w14:paraId="41D42D92" w14:textId="03E51CE0" w:rsidR="00F64776" w:rsidRDefault="00F64776" w:rsidP="00F64776">
      <w:pPr>
        <w:pStyle w:val="SntesisDescriptiva"/>
      </w:pPr>
    </w:p>
    <w:p w14:paraId="5B66FF53" w14:textId="77777777" w:rsidR="00F64776" w:rsidRDefault="00F64776" w:rsidP="00F64776">
      <w:pPr>
        <w:pStyle w:val="SntesisDescriptiva"/>
      </w:pPr>
    </w:p>
    <w:p w14:paraId="46E5F514" w14:textId="77777777" w:rsidR="00F64776" w:rsidRDefault="00F64776" w:rsidP="00F64776">
      <w:pPr>
        <w:pStyle w:val="SntesisDescriptiva"/>
      </w:pPr>
    </w:p>
    <w:p w14:paraId="3F2073F1" w14:textId="77777777" w:rsidR="00F64776" w:rsidRDefault="00F64776" w:rsidP="00F64776">
      <w:pPr>
        <w:pStyle w:val="TextoNormalNegritaCentrado"/>
      </w:pPr>
      <w:r>
        <w:t>AUTO</w:t>
      </w:r>
    </w:p>
    <w:p w14:paraId="44397A97" w14:textId="6C20BDDB" w:rsidR="00F64776" w:rsidRDefault="00F64776" w:rsidP="00F64776">
      <w:pPr>
        <w:pStyle w:val="TextoNormalNegritaCentrado"/>
      </w:pPr>
    </w:p>
    <w:p w14:paraId="24AC273C" w14:textId="77777777" w:rsidR="00F64776" w:rsidRDefault="00F64776" w:rsidP="00F64776">
      <w:pPr>
        <w:pStyle w:val="TextoNormalNegritaCentrado"/>
        <w:keepNext/>
      </w:pPr>
      <w:r>
        <w:t>I. Antecedentes</w:t>
      </w:r>
    </w:p>
    <w:p w14:paraId="61F06E51" w14:textId="5FC5070B" w:rsidR="00F64776" w:rsidRDefault="00F64776" w:rsidP="00F64776">
      <w:pPr>
        <w:pStyle w:val="TextoNormalNegritaCentrado"/>
        <w:keepNext/>
      </w:pPr>
    </w:p>
    <w:p w14:paraId="6F041A41" w14:textId="6A5471C2" w:rsidR="00F64776" w:rsidRDefault="00F64776" w:rsidP="00F64776">
      <w:pPr>
        <w:pStyle w:val="TextoNormal"/>
      </w:pPr>
      <w:r w:rsidRPr="00F64776">
        <w:rPr>
          <w:rStyle w:val="NumeroAFNegritaCaracter"/>
        </w:rPr>
        <w:t>1</w:t>
      </w:r>
      <w:r>
        <w:t>. Mediante escrito registrado en este tribunal el 21 de julio de 2022 la procuradora de los tribunales doña Ana María Araúz de Robles Villalón, en nombre y representación de doña María Asunción Poblaciones Valdés y bajo la dirección del letrado don Francisco Javier Araúz de Robles Dávila, interpuso demanda de amparo contra providencias de la Sección Primera de la Sala de lo Contencioso-Administrativo del Tribunal Supremo en recurso de casación núm. 7833-2021.</w:t>
      </w:r>
    </w:p>
    <w:p w14:paraId="5596C447" w14:textId="77777777" w:rsidR="00F64776" w:rsidRDefault="00F64776" w:rsidP="00F64776">
      <w:pPr>
        <w:pStyle w:val="TextoNormal"/>
      </w:pPr>
    </w:p>
    <w:p w14:paraId="2E327B4F" w14:textId="69CE03C8" w:rsidR="00F64776" w:rsidRDefault="00F64776" w:rsidP="00F64776">
      <w:pPr>
        <w:pStyle w:val="TextoNormal"/>
      </w:pPr>
      <w:r w:rsidRPr="00F64776">
        <w:rPr>
          <w:rStyle w:val="NumeroAFNegritaCaracter"/>
        </w:rPr>
        <w:t>2</w:t>
      </w:r>
      <w:r>
        <w:t>. Por escrito de 24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3F020597" w14:textId="77777777" w:rsidR="00F64776" w:rsidRDefault="00F64776" w:rsidP="00F64776">
      <w:pPr>
        <w:pStyle w:val="TextoNormal"/>
      </w:pPr>
    </w:p>
    <w:p w14:paraId="345B5A7C" w14:textId="77777777" w:rsidR="00F64776" w:rsidRDefault="00F64776" w:rsidP="00F64776">
      <w:pPr>
        <w:pStyle w:val="TextoNormalNegritaCentrado"/>
        <w:keepNext/>
      </w:pPr>
      <w:r>
        <w:t>II. Fundamentos jurídicos</w:t>
      </w:r>
    </w:p>
    <w:p w14:paraId="6CAA1A9E" w14:textId="54CC1556" w:rsidR="00F64776" w:rsidRDefault="00F64776" w:rsidP="00F64776">
      <w:pPr>
        <w:pStyle w:val="TextoNormalNegritaCentrado"/>
        <w:keepNext/>
      </w:pPr>
    </w:p>
    <w:p w14:paraId="28BE2F22" w14:textId="0E3540E3"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21C49156" w14:textId="77777777" w:rsidR="00F64776" w:rsidRDefault="00F64776" w:rsidP="00F64776">
      <w:pPr>
        <w:pStyle w:val="TextoNormal"/>
      </w:pPr>
    </w:p>
    <w:p w14:paraId="66BA1B43" w14:textId="77777777" w:rsidR="00F64776" w:rsidRDefault="00F64776" w:rsidP="00F64776">
      <w:pPr>
        <w:pStyle w:val="TextoNormal"/>
      </w:pPr>
      <w:r>
        <w:t>Por lo expuesto, la Sección</w:t>
      </w:r>
    </w:p>
    <w:p w14:paraId="16422028" w14:textId="01D86C29" w:rsidR="00F64776" w:rsidRDefault="00F64776" w:rsidP="00F64776">
      <w:pPr>
        <w:pStyle w:val="TextoNormal"/>
      </w:pPr>
    </w:p>
    <w:p w14:paraId="5C3E8A03" w14:textId="77777777" w:rsidR="00F64776" w:rsidRDefault="00F64776" w:rsidP="00F64776">
      <w:pPr>
        <w:pStyle w:val="TextoNormalCentrado"/>
      </w:pPr>
      <w:r>
        <w:t>ACUERDA</w:t>
      </w:r>
    </w:p>
    <w:p w14:paraId="200F8BA4" w14:textId="0F6CCE99" w:rsidR="00F64776" w:rsidRDefault="00F64776" w:rsidP="00F64776">
      <w:pPr>
        <w:pStyle w:val="TextoNormalCentrado"/>
      </w:pPr>
    </w:p>
    <w:p w14:paraId="6F8F635F" w14:textId="6AE43117" w:rsidR="00F64776" w:rsidRDefault="00F64776" w:rsidP="00F64776">
      <w:pPr>
        <w:pStyle w:val="TextoNormal"/>
      </w:pPr>
      <w:r>
        <w:t>Estimar justificada la abstención formulada por el magistrado señor don César Tolosa Tribiño en el recurso de amparo núm. 5395-2022 y apartarle definitivamente del conocimiento del referido recurso y de todas sus incidencias.</w:t>
      </w:r>
    </w:p>
    <w:p w14:paraId="5217C875" w14:textId="77777777" w:rsidR="00F64776" w:rsidRDefault="00F64776" w:rsidP="00F64776">
      <w:pPr>
        <w:pStyle w:val="TextoNormal"/>
      </w:pPr>
    </w:p>
    <w:p w14:paraId="6B0136F3" w14:textId="77777777" w:rsidR="00F64776" w:rsidRDefault="00F64776" w:rsidP="00F64776">
      <w:pPr>
        <w:pStyle w:val="TextoNormal"/>
      </w:pPr>
      <w:r>
        <w:t>Madrid, a tres de julio de dos mil veintitrés.</w:t>
      </w:r>
    </w:p>
    <w:p w14:paraId="007E5807" w14:textId="0A03AC8F" w:rsidR="00F64776" w:rsidRDefault="00F64776">
      <w:pPr>
        <w:spacing w:after="160" w:line="278" w:lineRule="auto"/>
        <w:rPr>
          <w:rFonts w:ascii="Times New Roman" w:eastAsia="Times New Roman" w:hAnsi="Times New Roman" w:cs="Times New Roman"/>
          <w:sz w:val="24"/>
          <w:szCs w:val="24"/>
          <w:lang w:eastAsia="es-ES"/>
        </w:rPr>
      </w:pPr>
      <w:r>
        <w:br w:type="page"/>
      </w:r>
    </w:p>
    <w:p w14:paraId="614008C9" w14:textId="77777777" w:rsidR="00F64776" w:rsidRDefault="00F64776" w:rsidP="00F64776">
      <w:pPr>
        <w:pStyle w:val="TtuloResolucin"/>
      </w:pPr>
      <w:bookmarkStart w:id="127" w:name="AUTO_2023_342"/>
      <w:r>
        <w:t>AUTO 342/2023, de 3 de julio de 2023</w:t>
      </w:r>
    </w:p>
    <w:bookmarkEnd w:id="127"/>
    <w:p w14:paraId="31C88A42" w14:textId="77777777" w:rsidR="00F64776" w:rsidRDefault="00F64776" w:rsidP="00F64776">
      <w:pPr>
        <w:pStyle w:val="TtuloResolucin"/>
      </w:pPr>
      <w:r>
        <w:t>Sección Tercera</w:t>
      </w:r>
    </w:p>
    <w:p w14:paraId="4FE6E095" w14:textId="77777777" w:rsidR="00F64776" w:rsidRDefault="00F64776" w:rsidP="00F64776">
      <w:pPr>
        <w:pStyle w:val="TextoNormalCentrado"/>
      </w:pPr>
      <w:r>
        <w:t>ECLI:ES:TC:2023:342A</w:t>
      </w:r>
    </w:p>
    <w:p w14:paraId="6BD3521B" w14:textId="2501C4C8" w:rsidR="00F64776" w:rsidRDefault="00F64776" w:rsidP="00F64776">
      <w:pPr>
        <w:pStyle w:val="TextoNormalCentrado"/>
      </w:pPr>
    </w:p>
    <w:p w14:paraId="582DE046" w14:textId="77777777" w:rsidR="00F64776" w:rsidRDefault="00F64776" w:rsidP="00F64776">
      <w:pPr>
        <w:pStyle w:val="SntesisDescriptiva"/>
      </w:pPr>
      <w:r>
        <w:t>Excms. Srs. doña Inmaculada Montalbán Huertas y doña Laura Díez Bueso.</w:t>
      </w:r>
    </w:p>
    <w:p w14:paraId="2D0404D2" w14:textId="0E39BDAA" w:rsidR="00F64776" w:rsidRDefault="00F64776" w:rsidP="00F64776">
      <w:pPr>
        <w:pStyle w:val="SntesisDescriptiva"/>
      </w:pPr>
    </w:p>
    <w:p w14:paraId="13B858C0" w14:textId="77777777" w:rsidR="00F64776" w:rsidRDefault="00F64776" w:rsidP="00F64776">
      <w:pPr>
        <w:pStyle w:val="SntesisDescriptiva"/>
      </w:pPr>
      <w:r>
        <w:t>Acepta una abstención en el recurso de amparo 5478-2022, promovido en proceso contencioso-administrativo.</w:t>
      </w:r>
    </w:p>
    <w:p w14:paraId="0CA5F500" w14:textId="55B4CA0E" w:rsidR="00F64776" w:rsidRDefault="00F64776" w:rsidP="00F64776">
      <w:pPr>
        <w:pStyle w:val="SntesisDescriptiva"/>
      </w:pPr>
    </w:p>
    <w:p w14:paraId="5E1C4C61" w14:textId="77777777" w:rsidR="00F64776" w:rsidRDefault="00F64776" w:rsidP="00F64776">
      <w:pPr>
        <w:pStyle w:val="SntesisDescriptiva"/>
      </w:pPr>
    </w:p>
    <w:p w14:paraId="0227E702" w14:textId="77777777" w:rsidR="00F64776" w:rsidRDefault="00F64776" w:rsidP="00F64776">
      <w:pPr>
        <w:pStyle w:val="SntesisDescriptiva"/>
      </w:pPr>
    </w:p>
    <w:p w14:paraId="181E8692" w14:textId="77777777" w:rsidR="00F64776" w:rsidRDefault="00F64776" w:rsidP="00F64776">
      <w:pPr>
        <w:pStyle w:val="TextoNormalNegritaCentrado"/>
      </w:pPr>
      <w:r>
        <w:t>AUTO</w:t>
      </w:r>
    </w:p>
    <w:p w14:paraId="7A9205DD" w14:textId="4EF7EBD1" w:rsidR="00F64776" w:rsidRDefault="00F64776" w:rsidP="00F64776">
      <w:pPr>
        <w:pStyle w:val="TextoNormalNegritaCentrado"/>
      </w:pPr>
    </w:p>
    <w:p w14:paraId="32D7E3BE" w14:textId="77777777" w:rsidR="00F64776" w:rsidRDefault="00F64776" w:rsidP="00F64776">
      <w:pPr>
        <w:pStyle w:val="TextoNormalNegritaCentrado"/>
        <w:keepNext/>
      </w:pPr>
      <w:r>
        <w:t>I. Antecedentes</w:t>
      </w:r>
    </w:p>
    <w:p w14:paraId="4269580D" w14:textId="5E63B9B3" w:rsidR="00F64776" w:rsidRDefault="00F64776" w:rsidP="00F64776">
      <w:pPr>
        <w:pStyle w:val="TextoNormalNegritaCentrado"/>
        <w:keepNext/>
      </w:pPr>
    </w:p>
    <w:p w14:paraId="1EE90F2B" w14:textId="4FC93AC9" w:rsidR="00F64776" w:rsidRDefault="00F64776" w:rsidP="00F64776">
      <w:pPr>
        <w:pStyle w:val="TextoNormal"/>
      </w:pPr>
      <w:r w:rsidRPr="00F64776">
        <w:rPr>
          <w:rStyle w:val="NumeroAFNegritaCaracter"/>
        </w:rPr>
        <w:t>1</w:t>
      </w:r>
      <w:r>
        <w:t>. Mediante escrito registrado en este tribunal el 26 de julio de 2022 el procurador de los tribunales don José María Ruiz de la Cuesta Vacas, en nombre y representación de María del Valle Gómez Toledano y otros y bajo la dirección del letrado don Francisco Javier Araúz de Robles Dávila, interpuso demanda de amparo contra la providencia de 14 de junio de 2022 de la Sección Primera Sala de lo Contencioso-Administrativo del Tribunal Supremo en recurso de casación núm. 8564-2021.</w:t>
      </w:r>
    </w:p>
    <w:p w14:paraId="57A951BA" w14:textId="77777777" w:rsidR="00F64776" w:rsidRDefault="00F64776" w:rsidP="00F64776">
      <w:pPr>
        <w:pStyle w:val="TextoNormal"/>
      </w:pPr>
    </w:p>
    <w:p w14:paraId="4B06BA31" w14:textId="16B1785F" w:rsidR="00F64776" w:rsidRDefault="00F64776" w:rsidP="00F64776">
      <w:pPr>
        <w:pStyle w:val="TextoNormal"/>
      </w:pPr>
      <w:r w:rsidRPr="00F64776">
        <w:rPr>
          <w:rStyle w:val="NumeroAFNegritaCaracter"/>
        </w:rPr>
        <w:t>2</w:t>
      </w:r>
      <w:r>
        <w:t>. Por escrito de 29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56CB93E3" w14:textId="77777777" w:rsidR="00F64776" w:rsidRDefault="00F64776" w:rsidP="00F64776">
      <w:pPr>
        <w:pStyle w:val="TextoNormal"/>
      </w:pPr>
    </w:p>
    <w:p w14:paraId="35EB198E" w14:textId="77777777" w:rsidR="00F64776" w:rsidRDefault="00F64776" w:rsidP="00F64776">
      <w:pPr>
        <w:pStyle w:val="TextoNormalNegritaCentrado"/>
        <w:keepNext/>
      </w:pPr>
      <w:r>
        <w:t>II. Fundamentos jurídicos</w:t>
      </w:r>
    </w:p>
    <w:p w14:paraId="0DBE5B08" w14:textId="5AB6E7E5" w:rsidR="00F64776" w:rsidRDefault="00F64776" w:rsidP="00F64776">
      <w:pPr>
        <w:pStyle w:val="TextoNormalNegritaCentrado"/>
        <w:keepNext/>
      </w:pPr>
    </w:p>
    <w:p w14:paraId="77A60D92" w14:textId="5CA5F65C"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3996F9D8" w14:textId="77777777" w:rsidR="00F64776" w:rsidRDefault="00F64776" w:rsidP="00F64776">
      <w:pPr>
        <w:pStyle w:val="TextoNormal"/>
      </w:pPr>
    </w:p>
    <w:p w14:paraId="59D1305B" w14:textId="77777777" w:rsidR="00F64776" w:rsidRDefault="00F64776" w:rsidP="00F64776">
      <w:pPr>
        <w:pStyle w:val="TextoNormal"/>
      </w:pPr>
      <w:r>
        <w:t>Por lo expuesto, la Sección</w:t>
      </w:r>
    </w:p>
    <w:p w14:paraId="25C71AC7" w14:textId="625B0B66" w:rsidR="00F64776" w:rsidRDefault="00F64776" w:rsidP="00F64776">
      <w:pPr>
        <w:pStyle w:val="TextoNormal"/>
      </w:pPr>
    </w:p>
    <w:p w14:paraId="3F67456B" w14:textId="77777777" w:rsidR="00F64776" w:rsidRDefault="00F64776" w:rsidP="00F64776">
      <w:pPr>
        <w:pStyle w:val="TextoNormalCentrado"/>
      </w:pPr>
      <w:r>
        <w:t>ACUERDA</w:t>
      </w:r>
    </w:p>
    <w:p w14:paraId="3F167BDF" w14:textId="5C9AF2F3" w:rsidR="00F64776" w:rsidRDefault="00F64776" w:rsidP="00F64776">
      <w:pPr>
        <w:pStyle w:val="TextoNormalCentrado"/>
      </w:pPr>
    </w:p>
    <w:p w14:paraId="1744AAF3" w14:textId="405EF6AE" w:rsidR="00F64776" w:rsidRDefault="00F64776" w:rsidP="00F64776">
      <w:pPr>
        <w:pStyle w:val="TextoNormal"/>
      </w:pPr>
      <w:r>
        <w:t>Estimar justificada la abstención formulada por el magistrado señor don César Tolosa Tribiño en el recurso de amparo núm. 5478-2022 y apartarle definitivamente del conocimiento del referido recurso y de todas sus incidencias.</w:t>
      </w:r>
    </w:p>
    <w:p w14:paraId="71AD4AF3" w14:textId="77777777" w:rsidR="00F64776" w:rsidRDefault="00F64776" w:rsidP="00F64776">
      <w:pPr>
        <w:pStyle w:val="TextoNormal"/>
      </w:pPr>
    </w:p>
    <w:p w14:paraId="11833524" w14:textId="77777777" w:rsidR="00F64776" w:rsidRDefault="00F64776" w:rsidP="00F64776">
      <w:pPr>
        <w:pStyle w:val="TextoNormal"/>
      </w:pPr>
      <w:r>
        <w:t>Madrid, a tres de julio de dos mil veintitrés.</w:t>
      </w:r>
    </w:p>
    <w:p w14:paraId="4BE5B1AD" w14:textId="45DE1D47" w:rsidR="00F64776" w:rsidRDefault="00F64776">
      <w:pPr>
        <w:spacing w:after="160" w:line="278" w:lineRule="auto"/>
        <w:rPr>
          <w:rFonts w:ascii="Times New Roman" w:eastAsia="Times New Roman" w:hAnsi="Times New Roman" w:cs="Times New Roman"/>
          <w:sz w:val="24"/>
          <w:szCs w:val="24"/>
          <w:lang w:eastAsia="es-ES"/>
        </w:rPr>
      </w:pPr>
      <w:r>
        <w:br w:type="page"/>
      </w:r>
    </w:p>
    <w:p w14:paraId="531D3811" w14:textId="77777777" w:rsidR="00F64776" w:rsidRDefault="00F64776" w:rsidP="00F64776">
      <w:pPr>
        <w:pStyle w:val="TtuloResolucin"/>
      </w:pPr>
      <w:bookmarkStart w:id="128" w:name="AUTO_2023_343"/>
      <w:r>
        <w:t>AUTO 343/2023, de 3 de julio de 2023</w:t>
      </w:r>
    </w:p>
    <w:bookmarkEnd w:id="128"/>
    <w:p w14:paraId="33B2685F" w14:textId="77777777" w:rsidR="00F64776" w:rsidRDefault="00F64776" w:rsidP="00F64776">
      <w:pPr>
        <w:pStyle w:val="TtuloResolucin"/>
      </w:pPr>
      <w:r>
        <w:t>Sección Tercera</w:t>
      </w:r>
    </w:p>
    <w:p w14:paraId="0DA09A67" w14:textId="77777777" w:rsidR="00F64776" w:rsidRDefault="00F64776" w:rsidP="00F64776">
      <w:pPr>
        <w:pStyle w:val="TextoNormalCentrado"/>
      </w:pPr>
      <w:r>
        <w:t>ECLI:ES:TC:2023:343A</w:t>
      </w:r>
    </w:p>
    <w:p w14:paraId="5CCC4E7D" w14:textId="24EC05A0" w:rsidR="00F64776" w:rsidRDefault="00F64776" w:rsidP="00F64776">
      <w:pPr>
        <w:pStyle w:val="TextoNormalCentrado"/>
      </w:pPr>
    </w:p>
    <w:p w14:paraId="4470FEAA" w14:textId="77777777" w:rsidR="00F64776" w:rsidRDefault="00F64776" w:rsidP="00F64776">
      <w:pPr>
        <w:pStyle w:val="SntesisDescriptiva"/>
      </w:pPr>
      <w:r>
        <w:t>Excms. Srs. doña Inmaculada Montalbán Huertas y doña Laura Díez Bueso.</w:t>
      </w:r>
    </w:p>
    <w:p w14:paraId="7EA3BE51" w14:textId="6AC937DD" w:rsidR="00F64776" w:rsidRDefault="00F64776" w:rsidP="00F64776">
      <w:pPr>
        <w:pStyle w:val="SntesisDescriptiva"/>
      </w:pPr>
    </w:p>
    <w:p w14:paraId="42E6A110" w14:textId="77777777" w:rsidR="00F64776" w:rsidRDefault="00F64776" w:rsidP="00F64776">
      <w:pPr>
        <w:pStyle w:val="SntesisDescriptiva"/>
      </w:pPr>
      <w:r>
        <w:t>Acepta una abstención en el recurso de amparo 5801-2022, promovido en proceso contencioso-administrativo.</w:t>
      </w:r>
    </w:p>
    <w:p w14:paraId="666A8AD9" w14:textId="205DA098" w:rsidR="00F64776" w:rsidRDefault="00F64776" w:rsidP="00F64776">
      <w:pPr>
        <w:pStyle w:val="SntesisDescriptiva"/>
      </w:pPr>
    </w:p>
    <w:p w14:paraId="1F489557" w14:textId="77777777" w:rsidR="00F64776" w:rsidRDefault="00F64776" w:rsidP="00F64776">
      <w:pPr>
        <w:pStyle w:val="SntesisDescriptiva"/>
      </w:pPr>
    </w:p>
    <w:p w14:paraId="197DBA63" w14:textId="77777777" w:rsidR="00F64776" w:rsidRDefault="00F64776" w:rsidP="00F64776">
      <w:pPr>
        <w:pStyle w:val="SntesisDescriptiva"/>
      </w:pPr>
    </w:p>
    <w:p w14:paraId="4DCC415E" w14:textId="77777777" w:rsidR="00F64776" w:rsidRDefault="00F64776" w:rsidP="00F64776">
      <w:pPr>
        <w:pStyle w:val="TextoNormalNegritaCentrado"/>
      </w:pPr>
      <w:r>
        <w:t>AUTO</w:t>
      </w:r>
    </w:p>
    <w:p w14:paraId="00528B30" w14:textId="79B271FF" w:rsidR="00F64776" w:rsidRDefault="00F64776" w:rsidP="00F64776">
      <w:pPr>
        <w:pStyle w:val="TextoNormalNegritaCentrado"/>
      </w:pPr>
    </w:p>
    <w:p w14:paraId="3D9CC12F" w14:textId="77777777" w:rsidR="00F64776" w:rsidRDefault="00F64776" w:rsidP="00F64776">
      <w:pPr>
        <w:pStyle w:val="TextoNormalNegritaCentrado"/>
        <w:keepNext/>
      </w:pPr>
      <w:r>
        <w:t>I. Antecedentes</w:t>
      </w:r>
    </w:p>
    <w:p w14:paraId="004395FC" w14:textId="3BDD8DFC" w:rsidR="00F64776" w:rsidRDefault="00F64776" w:rsidP="00F64776">
      <w:pPr>
        <w:pStyle w:val="TextoNormalNegritaCentrado"/>
        <w:keepNext/>
      </w:pPr>
    </w:p>
    <w:p w14:paraId="72EF3C19" w14:textId="0ECE7414" w:rsidR="00F64776" w:rsidRDefault="00F64776" w:rsidP="00F64776">
      <w:pPr>
        <w:pStyle w:val="TextoNormal"/>
      </w:pPr>
      <w:r w:rsidRPr="00F64776">
        <w:rPr>
          <w:rStyle w:val="NumeroAFNegritaCaracter"/>
        </w:rPr>
        <w:t>1</w:t>
      </w:r>
      <w:r>
        <w:t>. Mediante escrito registrado en este tribunal el 2 de septiembre de 2022 el procurador de los tribunales don José María Ruiz de la Cuesta Vacas, en nombre y representación de doña Luisa González Galán y otros y bajo la dirección del letrado don Francisco Javier Araúz de Robles Dávila, interpuso demanda de amparo contra providencia de la Sala de lo Contencioso-Administrativo del Tribunal Supremo en recurso de casación núm. 5484-2021.</w:t>
      </w:r>
    </w:p>
    <w:p w14:paraId="5D3F5A99" w14:textId="77777777" w:rsidR="00F64776" w:rsidRDefault="00F64776" w:rsidP="00F64776">
      <w:pPr>
        <w:pStyle w:val="TextoNormal"/>
      </w:pPr>
    </w:p>
    <w:p w14:paraId="6A710369" w14:textId="753FC7B4" w:rsidR="00F64776" w:rsidRDefault="00F64776" w:rsidP="00F64776">
      <w:pPr>
        <w:pStyle w:val="TextoNormal"/>
      </w:pPr>
      <w:r w:rsidRPr="00F64776">
        <w:rPr>
          <w:rStyle w:val="NumeroAFNegritaCaracter"/>
        </w:rPr>
        <w:t>2</w:t>
      </w:r>
      <w:r>
        <w:t>. Por escrito de 24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02C60DC4" w14:textId="77777777" w:rsidR="00F64776" w:rsidRDefault="00F64776" w:rsidP="00F64776">
      <w:pPr>
        <w:pStyle w:val="TextoNormal"/>
      </w:pPr>
    </w:p>
    <w:p w14:paraId="4587EF6C" w14:textId="77777777" w:rsidR="00F64776" w:rsidRDefault="00F64776" w:rsidP="00F64776">
      <w:pPr>
        <w:pStyle w:val="TextoNormalNegritaCentrado"/>
        <w:keepNext/>
      </w:pPr>
      <w:r>
        <w:t>II. Fundamentos jurídicos</w:t>
      </w:r>
    </w:p>
    <w:p w14:paraId="4D7FE30D" w14:textId="3E3655D7" w:rsidR="00F64776" w:rsidRDefault="00F64776" w:rsidP="00F64776">
      <w:pPr>
        <w:pStyle w:val="TextoNormalNegritaCentrado"/>
        <w:keepNext/>
      </w:pPr>
    </w:p>
    <w:p w14:paraId="66C979EC" w14:textId="62691A9E"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289A8E20" w14:textId="77777777" w:rsidR="00F64776" w:rsidRDefault="00F64776" w:rsidP="00F64776">
      <w:pPr>
        <w:pStyle w:val="TextoNormal"/>
      </w:pPr>
    </w:p>
    <w:p w14:paraId="060583C9" w14:textId="77777777" w:rsidR="00F64776" w:rsidRDefault="00F64776" w:rsidP="00F64776">
      <w:pPr>
        <w:pStyle w:val="TextoNormal"/>
      </w:pPr>
      <w:r>
        <w:t>Por lo expuesto, la Sección</w:t>
      </w:r>
    </w:p>
    <w:p w14:paraId="78444ECD" w14:textId="6F90186A" w:rsidR="00F64776" w:rsidRDefault="00F64776" w:rsidP="00F64776">
      <w:pPr>
        <w:pStyle w:val="TextoNormal"/>
      </w:pPr>
    </w:p>
    <w:p w14:paraId="623997A9" w14:textId="77777777" w:rsidR="00F64776" w:rsidRDefault="00F64776" w:rsidP="00F64776">
      <w:pPr>
        <w:pStyle w:val="TextoNormalCentrado"/>
      </w:pPr>
      <w:r>
        <w:t>ACUERDA</w:t>
      </w:r>
    </w:p>
    <w:p w14:paraId="24F1B893" w14:textId="6842B57E" w:rsidR="00F64776" w:rsidRDefault="00F64776" w:rsidP="00F64776">
      <w:pPr>
        <w:pStyle w:val="TextoNormalCentrado"/>
      </w:pPr>
    </w:p>
    <w:p w14:paraId="6555EA27" w14:textId="2C04D773" w:rsidR="00F64776" w:rsidRDefault="00F64776" w:rsidP="00F64776">
      <w:pPr>
        <w:pStyle w:val="TextoNormal"/>
      </w:pPr>
      <w:r>
        <w:t>Estimar justificada la abstención formulada por el magistrado señor don César Tolosa Tribiño en el recurso de amparo núm. 5801-2022 y apartarle definitivamente del conocimiento del referido recurso y de todas sus incidencias.</w:t>
      </w:r>
    </w:p>
    <w:p w14:paraId="760302BA" w14:textId="77777777" w:rsidR="00F64776" w:rsidRDefault="00F64776" w:rsidP="00F64776">
      <w:pPr>
        <w:pStyle w:val="TextoNormal"/>
      </w:pPr>
    </w:p>
    <w:p w14:paraId="3F348F43" w14:textId="77777777" w:rsidR="00F64776" w:rsidRDefault="00F64776" w:rsidP="00F64776">
      <w:pPr>
        <w:pStyle w:val="TextoNormal"/>
      </w:pPr>
      <w:r>
        <w:t>Madrid, a tres de julio de dos mil veintitrés.</w:t>
      </w:r>
    </w:p>
    <w:p w14:paraId="752567A0" w14:textId="370550CC" w:rsidR="00F64776" w:rsidRDefault="00F64776">
      <w:pPr>
        <w:spacing w:after="160" w:line="278" w:lineRule="auto"/>
        <w:rPr>
          <w:rFonts w:ascii="Times New Roman" w:eastAsia="Times New Roman" w:hAnsi="Times New Roman" w:cs="Times New Roman"/>
          <w:sz w:val="24"/>
          <w:szCs w:val="24"/>
          <w:lang w:eastAsia="es-ES"/>
        </w:rPr>
      </w:pPr>
      <w:r>
        <w:br w:type="page"/>
      </w:r>
    </w:p>
    <w:p w14:paraId="7B466892" w14:textId="77777777" w:rsidR="00F64776" w:rsidRDefault="00F64776" w:rsidP="00F64776">
      <w:pPr>
        <w:pStyle w:val="TtuloResolucin"/>
      </w:pPr>
      <w:bookmarkStart w:id="129" w:name="AUTO_2023_344"/>
      <w:r>
        <w:t>AUTO 344/2023, de 3 de julio de 2023</w:t>
      </w:r>
    </w:p>
    <w:bookmarkEnd w:id="129"/>
    <w:p w14:paraId="2680E84E" w14:textId="77777777" w:rsidR="00F64776" w:rsidRDefault="00F64776" w:rsidP="00F64776">
      <w:pPr>
        <w:pStyle w:val="TtuloResolucin"/>
      </w:pPr>
      <w:r>
        <w:t>Sección Tercera</w:t>
      </w:r>
    </w:p>
    <w:p w14:paraId="0594435C" w14:textId="77777777" w:rsidR="00F64776" w:rsidRDefault="00F64776" w:rsidP="00F64776">
      <w:pPr>
        <w:pStyle w:val="TextoNormalCentrado"/>
      </w:pPr>
      <w:r>
        <w:t>ECLI:ES:TC:2023:344A</w:t>
      </w:r>
    </w:p>
    <w:p w14:paraId="13F04961" w14:textId="043BCF81" w:rsidR="00F64776" w:rsidRDefault="00F64776" w:rsidP="00F64776">
      <w:pPr>
        <w:pStyle w:val="TextoNormalCentrado"/>
      </w:pPr>
    </w:p>
    <w:p w14:paraId="4162D445" w14:textId="77777777" w:rsidR="00F64776" w:rsidRDefault="00F64776" w:rsidP="00F64776">
      <w:pPr>
        <w:pStyle w:val="SntesisDescriptiva"/>
      </w:pPr>
      <w:r>
        <w:t>Excms. Srs. doña Inmaculada Montalbán Huertas y doña Laura Díez Bueso.</w:t>
      </w:r>
    </w:p>
    <w:p w14:paraId="55D2C635" w14:textId="120ABF8A" w:rsidR="00F64776" w:rsidRDefault="00F64776" w:rsidP="00F64776">
      <w:pPr>
        <w:pStyle w:val="SntesisDescriptiva"/>
      </w:pPr>
    </w:p>
    <w:p w14:paraId="3F33DBC3" w14:textId="77777777" w:rsidR="00F64776" w:rsidRDefault="00F64776" w:rsidP="00F64776">
      <w:pPr>
        <w:pStyle w:val="SntesisDescriptiva"/>
      </w:pPr>
      <w:r>
        <w:t>Acepta una abstención en el recurso de amparo 5841-2022, promovido en proceso contencioso-administrativo.</w:t>
      </w:r>
    </w:p>
    <w:p w14:paraId="29E16A2E" w14:textId="47B328DF" w:rsidR="00F64776" w:rsidRDefault="00F64776" w:rsidP="00F64776">
      <w:pPr>
        <w:pStyle w:val="SntesisDescriptiva"/>
      </w:pPr>
    </w:p>
    <w:p w14:paraId="051FA649" w14:textId="77777777" w:rsidR="00F64776" w:rsidRDefault="00F64776" w:rsidP="00F64776">
      <w:pPr>
        <w:pStyle w:val="SntesisDescriptiva"/>
      </w:pPr>
    </w:p>
    <w:p w14:paraId="3051AD1B" w14:textId="77777777" w:rsidR="00F64776" w:rsidRDefault="00F64776" w:rsidP="00F64776">
      <w:pPr>
        <w:pStyle w:val="SntesisDescriptiva"/>
      </w:pPr>
    </w:p>
    <w:p w14:paraId="64AF6E8C" w14:textId="77777777" w:rsidR="00F64776" w:rsidRDefault="00F64776" w:rsidP="00F64776">
      <w:pPr>
        <w:pStyle w:val="TextoNormalNegritaCentrado"/>
      </w:pPr>
      <w:r>
        <w:t>AUTO</w:t>
      </w:r>
    </w:p>
    <w:p w14:paraId="70772B4B" w14:textId="26C4BDBB" w:rsidR="00F64776" w:rsidRDefault="00F64776" w:rsidP="00F64776">
      <w:pPr>
        <w:pStyle w:val="TextoNormalNegritaCentrado"/>
      </w:pPr>
    </w:p>
    <w:p w14:paraId="309A6D78" w14:textId="77777777" w:rsidR="00F64776" w:rsidRDefault="00F64776" w:rsidP="00F64776">
      <w:pPr>
        <w:pStyle w:val="TextoNormalNegritaCentrado"/>
        <w:keepNext/>
      </w:pPr>
      <w:r>
        <w:t>I. Antecedentes</w:t>
      </w:r>
    </w:p>
    <w:p w14:paraId="6F842F32" w14:textId="3D138321" w:rsidR="00F64776" w:rsidRDefault="00F64776" w:rsidP="00F64776">
      <w:pPr>
        <w:pStyle w:val="TextoNormalNegritaCentrado"/>
        <w:keepNext/>
      </w:pPr>
    </w:p>
    <w:p w14:paraId="3DD9C02C" w14:textId="68D984E1" w:rsidR="00F64776" w:rsidRDefault="00F64776" w:rsidP="00F64776">
      <w:pPr>
        <w:pStyle w:val="TextoNormal"/>
      </w:pPr>
      <w:r w:rsidRPr="00F64776">
        <w:rPr>
          <w:rStyle w:val="NumeroAFNegritaCaracter"/>
        </w:rPr>
        <w:t>1</w:t>
      </w:r>
      <w:r>
        <w:t>. Mediante escrito registrado en este tribunal el 5 de septiembre de 2022 el procurador de los tribunales don José María Ruiz de la Cuesta Vacas, en nombre y representación de doña María Cristina López Ortego y otros y bajo la dirección del letrado don Francisco Javier Araúz de Robles Dávila, interpuso demanda de amparo contra providencia de la Sección Primera del Tribunal Supremo en recurso de casación núm. 8892-2021.</w:t>
      </w:r>
    </w:p>
    <w:p w14:paraId="4DC1430B" w14:textId="77777777" w:rsidR="00F64776" w:rsidRDefault="00F64776" w:rsidP="00F64776">
      <w:pPr>
        <w:pStyle w:val="TextoNormal"/>
      </w:pPr>
    </w:p>
    <w:p w14:paraId="50234E88" w14:textId="14F95B63" w:rsidR="00F64776" w:rsidRDefault="00F64776" w:rsidP="00F64776">
      <w:pPr>
        <w:pStyle w:val="TextoNormal"/>
      </w:pPr>
      <w:r w:rsidRPr="00F64776">
        <w:rPr>
          <w:rStyle w:val="NumeroAFNegritaCaracter"/>
        </w:rPr>
        <w:t>2</w:t>
      </w:r>
      <w:r>
        <w:t>. Por escrito de 22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00C4E935" w14:textId="77777777" w:rsidR="00F64776" w:rsidRDefault="00F64776" w:rsidP="00F64776">
      <w:pPr>
        <w:pStyle w:val="TextoNormal"/>
      </w:pPr>
    </w:p>
    <w:p w14:paraId="2989AA94" w14:textId="77777777" w:rsidR="00F64776" w:rsidRDefault="00F64776" w:rsidP="00F64776">
      <w:pPr>
        <w:pStyle w:val="TextoNormalNegritaCentrado"/>
        <w:keepNext/>
      </w:pPr>
      <w:r>
        <w:t>II. Fundamentos jurídicos</w:t>
      </w:r>
    </w:p>
    <w:p w14:paraId="54301624" w14:textId="53CE39BB" w:rsidR="00F64776" w:rsidRDefault="00F64776" w:rsidP="00F64776">
      <w:pPr>
        <w:pStyle w:val="TextoNormalNegritaCentrado"/>
        <w:keepNext/>
      </w:pPr>
    </w:p>
    <w:p w14:paraId="79173EB9" w14:textId="7E97DC9A"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75CE0601" w14:textId="77777777" w:rsidR="00F64776" w:rsidRDefault="00F64776" w:rsidP="00F64776">
      <w:pPr>
        <w:pStyle w:val="TextoNormal"/>
      </w:pPr>
    </w:p>
    <w:p w14:paraId="39DEEBE4" w14:textId="77777777" w:rsidR="00F64776" w:rsidRDefault="00F64776" w:rsidP="00F64776">
      <w:pPr>
        <w:pStyle w:val="TextoNormal"/>
      </w:pPr>
      <w:r>
        <w:t>Por lo expuesto, la Sección</w:t>
      </w:r>
    </w:p>
    <w:p w14:paraId="73D8465A" w14:textId="4B0FD804" w:rsidR="00F64776" w:rsidRDefault="00F64776" w:rsidP="00F64776">
      <w:pPr>
        <w:pStyle w:val="TextoNormal"/>
      </w:pPr>
    </w:p>
    <w:p w14:paraId="4C61F3CE" w14:textId="77777777" w:rsidR="00F64776" w:rsidRDefault="00F64776" w:rsidP="00F64776">
      <w:pPr>
        <w:pStyle w:val="TextoNormalCentrado"/>
      </w:pPr>
      <w:r>
        <w:t>ACUERDA</w:t>
      </w:r>
    </w:p>
    <w:p w14:paraId="5BE44EE1" w14:textId="60B2F4B0" w:rsidR="00F64776" w:rsidRDefault="00F64776" w:rsidP="00F64776">
      <w:pPr>
        <w:pStyle w:val="TextoNormalCentrado"/>
      </w:pPr>
    </w:p>
    <w:p w14:paraId="3D8CC5A6" w14:textId="5C8740BA" w:rsidR="00F64776" w:rsidRDefault="00F64776" w:rsidP="00F64776">
      <w:pPr>
        <w:pStyle w:val="TextoNormal"/>
      </w:pPr>
      <w:r>
        <w:t>Estimar justificada la abstención formulada por el magistrado señor don César Tolosa Tribiño en el recurso de amparo núm. 5841-2022 y apartarle definitivamente del conocimiento del referido recurso y de todas sus incidencias.</w:t>
      </w:r>
    </w:p>
    <w:p w14:paraId="47E85F1F" w14:textId="77777777" w:rsidR="00F64776" w:rsidRDefault="00F64776" w:rsidP="00F64776">
      <w:pPr>
        <w:pStyle w:val="TextoNormal"/>
      </w:pPr>
    </w:p>
    <w:p w14:paraId="540C1977" w14:textId="77777777" w:rsidR="00F64776" w:rsidRDefault="00F64776" w:rsidP="00F64776">
      <w:pPr>
        <w:pStyle w:val="TextoNormal"/>
      </w:pPr>
      <w:r>
        <w:t>Madrid, a tres de julio de dos mil veintitrés.</w:t>
      </w:r>
    </w:p>
    <w:p w14:paraId="153AE2B0" w14:textId="0F1747F1" w:rsidR="00F64776" w:rsidRDefault="00F64776">
      <w:pPr>
        <w:spacing w:after="160" w:line="278" w:lineRule="auto"/>
        <w:rPr>
          <w:rFonts w:ascii="Times New Roman" w:eastAsia="Times New Roman" w:hAnsi="Times New Roman" w:cs="Times New Roman"/>
          <w:sz w:val="24"/>
          <w:szCs w:val="24"/>
          <w:lang w:eastAsia="es-ES"/>
        </w:rPr>
      </w:pPr>
      <w:r>
        <w:br w:type="page"/>
      </w:r>
    </w:p>
    <w:p w14:paraId="3300D673" w14:textId="77777777" w:rsidR="00F64776" w:rsidRDefault="00F64776" w:rsidP="00F64776">
      <w:pPr>
        <w:pStyle w:val="TtuloResolucin"/>
      </w:pPr>
      <w:bookmarkStart w:id="130" w:name="AUTO_2023_345"/>
      <w:r>
        <w:t>AUTO 345/2023, de 3 de julio de 2023</w:t>
      </w:r>
    </w:p>
    <w:bookmarkEnd w:id="130"/>
    <w:p w14:paraId="3887BBE1" w14:textId="77777777" w:rsidR="00F64776" w:rsidRDefault="00F64776" w:rsidP="00F64776">
      <w:pPr>
        <w:pStyle w:val="TtuloResolucin"/>
      </w:pPr>
      <w:r>
        <w:t>Sección Tercera</w:t>
      </w:r>
    </w:p>
    <w:p w14:paraId="2D7393FD" w14:textId="77777777" w:rsidR="00F64776" w:rsidRDefault="00F64776" w:rsidP="00F64776">
      <w:pPr>
        <w:pStyle w:val="TextoNormalCentrado"/>
      </w:pPr>
      <w:r>
        <w:t>ECLI:ES:TC:2023:345A</w:t>
      </w:r>
    </w:p>
    <w:p w14:paraId="026531BC" w14:textId="7F319D7C" w:rsidR="00F64776" w:rsidRDefault="00F64776" w:rsidP="00F64776">
      <w:pPr>
        <w:pStyle w:val="TextoNormalCentrado"/>
      </w:pPr>
    </w:p>
    <w:p w14:paraId="00DF2686" w14:textId="77777777" w:rsidR="00F64776" w:rsidRDefault="00F64776" w:rsidP="00F64776">
      <w:pPr>
        <w:pStyle w:val="SntesisDescriptiva"/>
      </w:pPr>
      <w:r>
        <w:t>Excms. Srs. doña Inmaculada Montalbán Huertas y doña Laura Díez Bueso.</w:t>
      </w:r>
    </w:p>
    <w:p w14:paraId="14217DDA" w14:textId="63E5C5B9" w:rsidR="00F64776" w:rsidRDefault="00F64776" w:rsidP="00F64776">
      <w:pPr>
        <w:pStyle w:val="SntesisDescriptiva"/>
      </w:pPr>
    </w:p>
    <w:p w14:paraId="7110B9B3" w14:textId="77777777" w:rsidR="00F64776" w:rsidRDefault="00F64776" w:rsidP="00F64776">
      <w:pPr>
        <w:pStyle w:val="SntesisDescriptiva"/>
      </w:pPr>
      <w:r>
        <w:t>Acepta una abstención en el recurso de amparo 5985-2022, promovido en proceso contencioso-administrativo.</w:t>
      </w:r>
    </w:p>
    <w:p w14:paraId="21F68FD2" w14:textId="0AF84236" w:rsidR="00F64776" w:rsidRDefault="00F64776" w:rsidP="00F64776">
      <w:pPr>
        <w:pStyle w:val="SntesisDescriptiva"/>
      </w:pPr>
    </w:p>
    <w:p w14:paraId="089B257E" w14:textId="77777777" w:rsidR="00F64776" w:rsidRDefault="00F64776" w:rsidP="00F64776">
      <w:pPr>
        <w:pStyle w:val="SntesisDescriptiva"/>
      </w:pPr>
    </w:p>
    <w:p w14:paraId="0A5ED2FD" w14:textId="77777777" w:rsidR="00F64776" w:rsidRDefault="00F64776" w:rsidP="00F64776">
      <w:pPr>
        <w:pStyle w:val="SntesisDescriptiva"/>
      </w:pPr>
    </w:p>
    <w:p w14:paraId="43632C8C" w14:textId="77777777" w:rsidR="00F64776" w:rsidRDefault="00F64776" w:rsidP="00F64776">
      <w:pPr>
        <w:pStyle w:val="TextoNormalNegritaCentrado"/>
      </w:pPr>
      <w:r>
        <w:t>AUTO</w:t>
      </w:r>
    </w:p>
    <w:p w14:paraId="1C3EE76E" w14:textId="34412CDF" w:rsidR="00F64776" w:rsidRDefault="00F64776" w:rsidP="00F64776">
      <w:pPr>
        <w:pStyle w:val="TextoNormalNegritaCentrado"/>
      </w:pPr>
    </w:p>
    <w:p w14:paraId="71C67D91" w14:textId="77777777" w:rsidR="00F64776" w:rsidRDefault="00F64776" w:rsidP="00F64776">
      <w:pPr>
        <w:pStyle w:val="TextoNormalNegritaCentrado"/>
        <w:keepNext/>
      </w:pPr>
      <w:r>
        <w:t>I. Antecedentes</w:t>
      </w:r>
    </w:p>
    <w:p w14:paraId="076FF9C1" w14:textId="6DCD230C" w:rsidR="00F64776" w:rsidRDefault="00F64776" w:rsidP="00F64776">
      <w:pPr>
        <w:pStyle w:val="TextoNormalNegritaCentrado"/>
        <w:keepNext/>
      </w:pPr>
    </w:p>
    <w:p w14:paraId="7BA413D5" w14:textId="1867616F" w:rsidR="00F64776" w:rsidRDefault="00F64776" w:rsidP="00F64776">
      <w:pPr>
        <w:pStyle w:val="TextoNormal"/>
      </w:pPr>
      <w:r w:rsidRPr="00F64776">
        <w:rPr>
          <w:rStyle w:val="NumeroAFNegritaCaracter"/>
        </w:rPr>
        <w:t>1</w:t>
      </w:r>
      <w:r>
        <w:t>. Mediante escrito registrado en este tribunal el 12 de septiembre de 2022 la procuradora de los tribunales doña Ana María Araúz de Robles Villalón, en nombre y representación de don Luis Enrique López de La Guardia Egido y otros y bajo la dirección del letrado don Francisco Javier Araúz de Robles Dávila, interpuso demanda de amparo contra la providencia de 28 de junio de 2022, dictada por la Sección Primera de la Sala de lo Contencioso-Administrativo del Tribunal Supremo en recurso de casación núm. 8596-2021.</w:t>
      </w:r>
    </w:p>
    <w:p w14:paraId="2C16BEAE" w14:textId="77777777" w:rsidR="00F64776" w:rsidRDefault="00F64776" w:rsidP="00F64776">
      <w:pPr>
        <w:pStyle w:val="TextoNormal"/>
      </w:pPr>
    </w:p>
    <w:p w14:paraId="64A84343" w14:textId="191A8B01" w:rsidR="00F64776" w:rsidRDefault="00F64776" w:rsidP="00F64776">
      <w:pPr>
        <w:pStyle w:val="TextoNormal"/>
      </w:pPr>
      <w:r w:rsidRPr="00F64776">
        <w:rPr>
          <w:rStyle w:val="NumeroAFNegritaCaracter"/>
        </w:rPr>
        <w:t>2</w:t>
      </w:r>
      <w:r>
        <w:t>. Por escrito de 29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5AF13CDD" w14:textId="77777777" w:rsidR="00F64776" w:rsidRDefault="00F64776" w:rsidP="00F64776">
      <w:pPr>
        <w:pStyle w:val="TextoNormal"/>
      </w:pPr>
    </w:p>
    <w:p w14:paraId="7A18C63B" w14:textId="77777777" w:rsidR="00F64776" w:rsidRDefault="00F64776" w:rsidP="00F64776">
      <w:pPr>
        <w:pStyle w:val="TextoNormalNegritaCentrado"/>
        <w:keepNext/>
      </w:pPr>
      <w:r>
        <w:t>II. Fundamentos jurídicos</w:t>
      </w:r>
    </w:p>
    <w:p w14:paraId="11BED782" w14:textId="615E4F65" w:rsidR="00F64776" w:rsidRDefault="00F64776" w:rsidP="00F64776">
      <w:pPr>
        <w:pStyle w:val="TextoNormalNegritaCentrado"/>
        <w:keepNext/>
      </w:pPr>
    </w:p>
    <w:p w14:paraId="78C0A76C" w14:textId="6CB5D2A4"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4C8F6018" w14:textId="77777777" w:rsidR="00F64776" w:rsidRDefault="00F64776" w:rsidP="00F64776">
      <w:pPr>
        <w:pStyle w:val="TextoNormal"/>
      </w:pPr>
    </w:p>
    <w:p w14:paraId="3F6FAB2D" w14:textId="77777777" w:rsidR="00F64776" w:rsidRDefault="00F64776" w:rsidP="00F64776">
      <w:pPr>
        <w:pStyle w:val="TextoNormal"/>
      </w:pPr>
      <w:r>
        <w:t>Por lo expuesto, la Sección</w:t>
      </w:r>
    </w:p>
    <w:p w14:paraId="79D88E55" w14:textId="03D93916" w:rsidR="00F64776" w:rsidRDefault="00F64776" w:rsidP="00F64776">
      <w:pPr>
        <w:pStyle w:val="TextoNormal"/>
      </w:pPr>
    </w:p>
    <w:p w14:paraId="64A814CF" w14:textId="77777777" w:rsidR="00F64776" w:rsidRDefault="00F64776" w:rsidP="00F64776">
      <w:pPr>
        <w:pStyle w:val="TextoNormalCentrado"/>
      </w:pPr>
      <w:r>
        <w:t>ACUERDA</w:t>
      </w:r>
    </w:p>
    <w:p w14:paraId="313A9AEA" w14:textId="3055BFB3" w:rsidR="00F64776" w:rsidRDefault="00F64776" w:rsidP="00F64776">
      <w:pPr>
        <w:pStyle w:val="TextoNormalCentrado"/>
      </w:pPr>
    </w:p>
    <w:p w14:paraId="5C231B4B" w14:textId="49DAED6E" w:rsidR="00F64776" w:rsidRDefault="00F64776" w:rsidP="00F64776">
      <w:pPr>
        <w:pStyle w:val="TextoNormal"/>
      </w:pPr>
      <w:r>
        <w:t>Estimar justificada la abstención formulada por el magistrado señor don César Tolosa Tribiño en el recurso de amparo núm. 5985-2022 y apartarle definitivamente del conocimiento del referido recurso y de todas sus incidencias.</w:t>
      </w:r>
    </w:p>
    <w:p w14:paraId="3DEFFB6F" w14:textId="77777777" w:rsidR="00F64776" w:rsidRDefault="00F64776" w:rsidP="00F64776">
      <w:pPr>
        <w:pStyle w:val="TextoNormal"/>
      </w:pPr>
    </w:p>
    <w:p w14:paraId="6FD13FBB" w14:textId="77777777" w:rsidR="00F64776" w:rsidRDefault="00F64776" w:rsidP="00F64776">
      <w:pPr>
        <w:pStyle w:val="TextoNormal"/>
      </w:pPr>
      <w:r>
        <w:t>Madrid, a tres de julio de dos mil veintitrés.</w:t>
      </w:r>
    </w:p>
    <w:p w14:paraId="5674436E" w14:textId="454BA409" w:rsidR="00F64776" w:rsidRDefault="00F64776">
      <w:pPr>
        <w:spacing w:after="160" w:line="278" w:lineRule="auto"/>
        <w:rPr>
          <w:rFonts w:ascii="Times New Roman" w:eastAsia="Times New Roman" w:hAnsi="Times New Roman" w:cs="Times New Roman"/>
          <w:sz w:val="24"/>
          <w:szCs w:val="24"/>
          <w:lang w:eastAsia="es-ES"/>
        </w:rPr>
      </w:pPr>
      <w:r>
        <w:br w:type="page"/>
      </w:r>
    </w:p>
    <w:p w14:paraId="56BE1BE2" w14:textId="77777777" w:rsidR="00F64776" w:rsidRDefault="00F64776" w:rsidP="00F64776">
      <w:pPr>
        <w:pStyle w:val="TtuloResolucin"/>
      </w:pPr>
      <w:bookmarkStart w:id="131" w:name="AUTO_2023_346"/>
      <w:r>
        <w:t>AUTO 346/2023, de 3 de julio de 2023</w:t>
      </w:r>
    </w:p>
    <w:bookmarkEnd w:id="131"/>
    <w:p w14:paraId="4552C378" w14:textId="77777777" w:rsidR="00F64776" w:rsidRDefault="00F64776" w:rsidP="00F64776">
      <w:pPr>
        <w:pStyle w:val="TtuloResolucin"/>
      </w:pPr>
      <w:r>
        <w:t>Sección Tercera</w:t>
      </w:r>
    </w:p>
    <w:p w14:paraId="4D842940" w14:textId="77777777" w:rsidR="00F64776" w:rsidRDefault="00F64776" w:rsidP="00F64776">
      <w:pPr>
        <w:pStyle w:val="TextoNormalCentrado"/>
      </w:pPr>
      <w:r>
        <w:t>ECLI:ES:TC:2023:346A</w:t>
      </w:r>
    </w:p>
    <w:p w14:paraId="0D68356E" w14:textId="71D6839E" w:rsidR="00F64776" w:rsidRDefault="00F64776" w:rsidP="00F64776">
      <w:pPr>
        <w:pStyle w:val="TextoNormalCentrado"/>
      </w:pPr>
    </w:p>
    <w:p w14:paraId="25B368B9" w14:textId="77777777" w:rsidR="00F64776" w:rsidRDefault="00F64776" w:rsidP="00F64776">
      <w:pPr>
        <w:pStyle w:val="SntesisDescriptiva"/>
      </w:pPr>
      <w:r>
        <w:t>Excms. Srs. doña Inmaculada Montalbán Huertas y doña Laura Díez Bueso.</w:t>
      </w:r>
    </w:p>
    <w:p w14:paraId="046FD527" w14:textId="5150D976" w:rsidR="00F64776" w:rsidRDefault="00F64776" w:rsidP="00F64776">
      <w:pPr>
        <w:pStyle w:val="SntesisDescriptiva"/>
      </w:pPr>
    </w:p>
    <w:p w14:paraId="2E6D95A1" w14:textId="77777777" w:rsidR="00F64776" w:rsidRDefault="00F64776" w:rsidP="00F64776">
      <w:pPr>
        <w:pStyle w:val="SntesisDescriptiva"/>
      </w:pPr>
      <w:r>
        <w:t>Acepta una abstención en el recurso de amparo 6011-2022, promovido en proceso contencioso-administrativo.</w:t>
      </w:r>
    </w:p>
    <w:p w14:paraId="69F34DB5" w14:textId="35F90CD2" w:rsidR="00F64776" w:rsidRDefault="00F64776" w:rsidP="00F64776">
      <w:pPr>
        <w:pStyle w:val="SntesisDescriptiva"/>
      </w:pPr>
    </w:p>
    <w:p w14:paraId="772E5F89" w14:textId="77777777" w:rsidR="00F64776" w:rsidRDefault="00F64776" w:rsidP="00F64776">
      <w:pPr>
        <w:pStyle w:val="SntesisDescriptiva"/>
      </w:pPr>
    </w:p>
    <w:p w14:paraId="1E1BA50E" w14:textId="77777777" w:rsidR="00F64776" w:rsidRDefault="00F64776" w:rsidP="00F64776">
      <w:pPr>
        <w:pStyle w:val="SntesisDescriptiva"/>
      </w:pPr>
    </w:p>
    <w:p w14:paraId="6701F863" w14:textId="77777777" w:rsidR="00F64776" w:rsidRDefault="00F64776" w:rsidP="00F64776">
      <w:pPr>
        <w:pStyle w:val="TextoNormalNegritaCentrado"/>
      </w:pPr>
      <w:r>
        <w:t>AUTO</w:t>
      </w:r>
    </w:p>
    <w:p w14:paraId="1C616EA9" w14:textId="60DF064F" w:rsidR="00F64776" w:rsidRDefault="00F64776" w:rsidP="00F64776">
      <w:pPr>
        <w:pStyle w:val="TextoNormalNegritaCentrado"/>
      </w:pPr>
    </w:p>
    <w:p w14:paraId="22C142E7" w14:textId="77777777" w:rsidR="00F64776" w:rsidRDefault="00F64776" w:rsidP="00F64776">
      <w:pPr>
        <w:pStyle w:val="TextoNormalNegritaCentrado"/>
        <w:keepNext/>
      </w:pPr>
      <w:r>
        <w:t>I. Antecedentes</w:t>
      </w:r>
    </w:p>
    <w:p w14:paraId="6E66C1BD" w14:textId="77235D5A" w:rsidR="00F64776" w:rsidRDefault="00F64776" w:rsidP="00F64776">
      <w:pPr>
        <w:pStyle w:val="TextoNormalNegritaCentrado"/>
        <w:keepNext/>
      </w:pPr>
    </w:p>
    <w:p w14:paraId="7D2E52A7" w14:textId="45BC98EA" w:rsidR="00F64776" w:rsidRDefault="00F64776" w:rsidP="00F64776">
      <w:pPr>
        <w:pStyle w:val="TextoNormal"/>
      </w:pPr>
      <w:r w:rsidRPr="00F64776">
        <w:rPr>
          <w:rStyle w:val="NumeroAFNegritaCaracter"/>
        </w:rPr>
        <w:t>1</w:t>
      </w:r>
      <w:r>
        <w:t>. Mediante escrito registrado en este tribunal el 13 de septiembre de 2022 la procuradora de los tribunales doña Ana María Araúz de Robles Villalón, en nombre y representación de doña Elena Gómez Saiz y otros y bajo la dirección del letrado don Francisco Javier Araúz de Robles Dávila, interpuso demanda de amparo contra la providencia de 28 de junio de 2022 de la Sala de lo Contencioso-Administrativo del Tribunal Supremo en recurso de casación núm. 8174-2021.</w:t>
      </w:r>
    </w:p>
    <w:p w14:paraId="7F295EA7" w14:textId="77777777" w:rsidR="00F64776" w:rsidRDefault="00F64776" w:rsidP="00F64776">
      <w:pPr>
        <w:pStyle w:val="TextoNormal"/>
      </w:pPr>
    </w:p>
    <w:p w14:paraId="21B4ADE6" w14:textId="6A01EEBF" w:rsidR="00F64776" w:rsidRDefault="00F64776" w:rsidP="00F64776">
      <w:pPr>
        <w:pStyle w:val="TextoNormal"/>
      </w:pPr>
      <w:r w:rsidRPr="00F64776">
        <w:rPr>
          <w:rStyle w:val="NumeroAFNegritaCaracter"/>
        </w:rPr>
        <w:t>2</w:t>
      </w:r>
      <w:r>
        <w:t>. Por escrito de 22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60135F2A" w14:textId="77777777" w:rsidR="00F64776" w:rsidRDefault="00F64776" w:rsidP="00F64776">
      <w:pPr>
        <w:pStyle w:val="TextoNormal"/>
      </w:pPr>
    </w:p>
    <w:p w14:paraId="01565039" w14:textId="77777777" w:rsidR="00F64776" w:rsidRDefault="00F64776" w:rsidP="00F64776">
      <w:pPr>
        <w:pStyle w:val="TextoNormalNegritaCentrado"/>
        <w:keepNext/>
      </w:pPr>
      <w:r>
        <w:t>II. Fundamentos jurídicos</w:t>
      </w:r>
    </w:p>
    <w:p w14:paraId="69A16D4C" w14:textId="70EAF8C3" w:rsidR="00F64776" w:rsidRDefault="00F64776" w:rsidP="00F64776">
      <w:pPr>
        <w:pStyle w:val="TextoNormalNegritaCentrado"/>
        <w:keepNext/>
      </w:pPr>
    </w:p>
    <w:p w14:paraId="5A1670D5" w14:textId="7C8B6F83"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57F47187" w14:textId="77777777" w:rsidR="00F64776" w:rsidRDefault="00F64776" w:rsidP="00F64776">
      <w:pPr>
        <w:pStyle w:val="TextoNormal"/>
      </w:pPr>
    </w:p>
    <w:p w14:paraId="084317EA" w14:textId="77777777" w:rsidR="00F64776" w:rsidRDefault="00F64776" w:rsidP="00F64776">
      <w:pPr>
        <w:pStyle w:val="TextoNormal"/>
      </w:pPr>
      <w:r>
        <w:t>Por lo expuesto, la Sección</w:t>
      </w:r>
    </w:p>
    <w:p w14:paraId="37562C50" w14:textId="7FEED3DF" w:rsidR="00F64776" w:rsidRDefault="00F64776" w:rsidP="00F64776">
      <w:pPr>
        <w:pStyle w:val="TextoNormal"/>
      </w:pPr>
    </w:p>
    <w:p w14:paraId="164ECE44" w14:textId="77777777" w:rsidR="00F64776" w:rsidRDefault="00F64776" w:rsidP="00F64776">
      <w:pPr>
        <w:pStyle w:val="TextoNormalCentrado"/>
      </w:pPr>
      <w:r>
        <w:t>ACUERDA</w:t>
      </w:r>
    </w:p>
    <w:p w14:paraId="60D68ED8" w14:textId="2232EA2F" w:rsidR="00F64776" w:rsidRDefault="00F64776" w:rsidP="00F64776">
      <w:pPr>
        <w:pStyle w:val="TextoNormalCentrado"/>
      </w:pPr>
    </w:p>
    <w:p w14:paraId="53323156" w14:textId="479B9791" w:rsidR="00F64776" w:rsidRDefault="00F64776" w:rsidP="00F64776">
      <w:pPr>
        <w:pStyle w:val="TextoNormal"/>
      </w:pPr>
      <w:r>
        <w:t>Estimar justificada la abstención formulada por el magistrado señor don César Tolosa Tribiño en el recurso de amparo núm. 6011-2022 y apartarle definitivamente del conocimiento del referido recurso y de todas sus incidencias.</w:t>
      </w:r>
    </w:p>
    <w:p w14:paraId="5C12ECAE" w14:textId="77777777" w:rsidR="00F64776" w:rsidRDefault="00F64776" w:rsidP="00F64776">
      <w:pPr>
        <w:pStyle w:val="TextoNormal"/>
      </w:pPr>
    </w:p>
    <w:p w14:paraId="0DB4B01A" w14:textId="77777777" w:rsidR="00F64776" w:rsidRDefault="00F64776" w:rsidP="00F64776">
      <w:pPr>
        <w:pStyle w:val="TextoNormal"/>
      </w:pPr>
      <w:r>
        <w:t>Madrid, a tres de julio de dos mil veintitrés.</w:t>
      </w:r>
    </w:p>
    <w:p w14:paraId="60FFC71C" w14:textId="4F866865" w:rsidR="00F64776" w:rsidRDefault="00F64776">
      <w:pPr>
        <w:spacing w:after="160" w:line="278" w:lineRule="auto"/>
        <w:rPr>
          <w:rFonts w:ascii="Times New Roman" w:eastAsia="Times New Roman" w:hAnsi="Times New Roman" w:cs="Times New Roman"/>
          <w:sz w:val="24"/>
          <w:szCs w:val="24"/>
          <w:lang w:eastAsia="es-ES"/>
        </w:rPr>
      </w:pPr>
      <w:r>
        <w:br w:type="page"/>
      </w:r>
    </w:p>
    <w:p w14:paraId="3068F5C7" w14:textId="77777777" w:rsidR="00F64776" w:rsidRDefault="00F64776" w:rsidP="00F64776">
      <w:pPr>
        <w:pStyle w:val="TtuloResolucin"/>
      </w:pPr>
      <w:bookmarkStart w:id="132" w:name="AUTO_2023_347"/>
      <w:r>
        <w:t>AUTO 347/2023, de 3 de julio de 2023</w:t>
      </w:r>
    </w:p>
    <w:bookmarkEnd w:id="132"/>
    <w:p w14:paraId="5E24CB2E" w14:textId="77777777" w:rsidR="00F64776" w:rsidRDefault="00F64776" w:rsidP="00F64776">
      <w:pPr>
        <w:pStyle w:val="TtuloResolucin"/>
      </w:pPr>
      <w:r>
        <w:t>Sección Tercera</w:t>
      </w:r>
    </w:p>
    <w:p w14:paraId="04290758" w14:textId="77777777" w:rsidR="00F64776" w:rsidRDefault="00F64776" w:rsidP="00F64776">
      <w:pPr>
        <w:pStyle w:val="TextoNormalCentrado"/>
      </w:pPr>
      <w:r>
        <w:t>ECLI:ES:TC:2023:347A</w:t>
      </w:r>
    </w:p>
    <w:p w14:paraId="6B07A797" w14:textId="1FB52A6B" w:rsidR="00F64776" w:rsidRDefault="00F64776" w:rsidP="00F64776">
      <w:pPr>
        <w:pStyle w:val="TextoNormalCentrado"/>
      </w:pPr>
    </w:p>
    <w:p w14:paraId="247341A0" w14:textId="77777777" w:rsidR="00F64776" w:rsidRDefault="00F64776" w:rsidP="00F64776">
      <w:pPr>
        <w:pStyle w:val="SntesisDescriptiva"/>
      </w:pPr>
      <w:r>
        <w:t>Excms. Srs. doña Inmaculada Montalbán Huertas y doña Laura Díez Bueso.</w:t>
      </w:r>
    </w:p>
    <w:p w14:paraId="6F26B8A3" w14:textId="3B86262C" w:rsidR="00F64776" w:rsidRDefault="00F64776" w:rsidP="00F64776">
      <w:pPr>
        <w:pStyle w:val="SntesisDescriptiva"/>
      </w:pPr>
    </w:p>
    <w:p w14:paraId="38CD07C3" w14:textId="77777777" w:rsidR="00F64776" w:rsidRDefault="00F64776" w:rsidP="00F64776">
      <w:pPr>
        <w:pStyle w:val="SntesisDescriptiva"/>
      </w:pPr>
      <w:r>
        <w:t>Acepta una abstención en el recurso de amparo 6094-2022, promovido en proceso contencioso-administrativo.</w:t>
      </w:r>
    </w:p>
    <w:p w14:paraId="0C105FB1" w14:textId="6B33AEFD" w:rsidR="00F64776" w:rsidRDefault="00F64776" w:rsidP="00F64776">
      <w:pPr>
        <w:pStyle w:val="SntesisDescriptiva"/>
      </w:pPr>
    </w:p>
    <w:p w14:paraId="66DC7DEB" w14:textId="77777777" w:rsidR="00F64776" w:rsidRDefault="00F64776" w:rsidP="00F64776">
      <w:pPr>
        <w:pStyle w:val="SntesisDescriptiva"/>
      </w:pPr>
    </w:p>
    <w:p w14:paraId="6E3E66DA" w14:textId="77777777" w:rsidR="00F64776" w:rsidRDefault="00F64776" w:rsidP="00F64776">
      <w:pPr>
        <w:pStyle w:val="SntesisDescriptiva"/>
      </w:pPr>
    </w:p>
    <w:p w14:paraId="2634294D" w14:textId="77777777" w:rsidR="00F64776" w:rsidRDefault="00F64776" w:rsidP="00F64776">
      <w:pPr>
        <w:pStyle w:val="TextoNormalNegritaCentrado"/>
      </w:pPr>
      <w:r>
        <w:t>AUTO</w:t>
      </w:r>
    </w:p>
    <w:p w14:paraId="7DB2560C" w14:textId="3D9C09E3" w:rsidR="00F64776" w:rsidRDefault="00F64776" w:rsidP="00F64776">
      <w:pPr>
        <w:pStyle w:val="TextoNormalNegritaCentrado"/>
      </w:pPr>
    </w:p>
    <w:p w14:paraId="399BE738" w14:textId="77777777" w:rsidR="00F64776" w:rsidRDefault="00F64776" w:rsidP="00F64776">
      <w:pPr>
        <w:pStyle w:val="TextoNormalNegritaCentrado"/>
        <w:keepNext/>
      </w:pPr>
      <w:r>
        <w:t>I. Antecedentes</w:t>
      </w:r>
    </w:p>
    <w:p w14:paraId="3E1CD0E6" w14:textId="7286D4BA" w:rsidR="00F64776" w:rsidRDefault="00F64776" w:rsidP="00F64776">
      <w:pPr>
        <w:pStyle w:val="TextoNormalNegritaCentrado"/>
        <w:keepNext/>
      </w:pPr>
    </w:p>
    <w:p w14:paraId="0130F087" w14:textId="791BF097" w:rsidR="00F64776" w:rsidRDefault="00F64776" w:rsidP="00F64776">
      <w:pPr>
        <w:pStyle w:val="TextoNormal"/>
      </w:pPr>
      <w:r w:rsidRPr="00F64776">
        <w:rPr>
          <w:rStyle w:val="NumeroAFNegritaCaracter"/>
        </w:rPr>
        <w:t>1</w:t>
      </w:r>
      <w:r>
        <w:t>. Mediante escrito registrado en este tribunal el 16 de septiembre de 2022 el procurador de los tribunales don José María Ruiz de la Cuesta Vacas, en nombre y representación de doña Ángeles Pérez Fernández y otros y bajo la dirección del letrado don Francisco Javier Araúz de Robles Dávila, interpuso demanda de amparo contra la providencia de 7 de julio de 2022 de la Sala de lo Contencioso-Administrativo del Tribunal Supremo en recurso de casación núm. 8891-2021.</w:t>
      </w:r>
    </w:p>
    <w:p w14:paraId="0892D7CA" w14:textId="77777777" w:rsidR="00F64776" w:rsidRDefault="00F64776" w:rsidP="00F64776">
      <w:pPr>
        <w:pStyle w:val="TextoNormal"/>
      </w:pPr>
    </w:p>
    <w:p w14:paraId="660A62D4" w14:textId="011E5250" w:rsidR="00F64776" w:rsidRDefault="00F64776" w:rsidP="00F64776">
      <w:pPr>
        <w:pStyle w:val="TextoNormal"/>
      </w:pPr>
      <w:r w:rsidRPr="00F64776">
        <w:rPr>
          <w:rStyle w:val="NumeroAFNegritaCaracter"/>
        </w:rPr>
        <w:t>2</w:t>
      </w:r>
      <w:r>
        <w:t>. Por escrito de 29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0C220DDF" w14:textId="77777777" w:rsidR="00F64776" w:rsidRDefault="00F64776" w:rsidP="00F64776">
      <w:pPr>
        <w:pStyle w:val="TextoNormal"/>
      </w:pPr>
    </w:p>
    <w:p w14:paraId="20299403" w14:textId="77777777" w:rsidR="00F64776" w:rsidRDefault="00F64776" w:rsidP="00F64776">
      <w:pPr>
        <w:pStyle w:val="TextoNormalNegritaCentrado"/>
        <w:keepNext/>
      </w:pPr>
      <w:r>
        <w:t>II. Fundamentos jurídicos</w:t>
      </w:r>
    </w:p>
    <w:p w14:paraId="341A9973" w14:textId="7B7DB22E" w:rsidR="00F64776" w:rsidRDefault="00F64776" w:rsidP="00F64776">
      <w:pPr>
        <w:pStyle w:val="TextoNormalNegritaCentrado"/>
        <w:keepNext/>
      </w:pPr>
    </w:p>
    <w:p w14:paraId="230D66C6" w14:textId="4C14188C"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78B59AAD" w14:textId="77777777" w:rsidR="00F64776" w:rsidRDefault="00F64776" w:rsidP="00F64776">
      <w:pPr>
        <w:pStyle w:val="TextoNormal"/>
      </w:pPr>
    </w:p>
    <w:p w14:paraId="25B8EB41" w14:textId="77777777" w:rsidR="00F64776" w:rsidRDefault="00F64776" w:rsidP="00F64776">
      <w:pPr>
        <w:pStyle w:val="TextoNormal"/>
      </w:pPr>
      <w:r>
        <w:t>Por lo expuesto, la Sección</w:t>
      </w:r>
    </w:p>
    <w:p w14:paraId="7B3EEEC8" w14:textId="385B6831" w:rsidR="00F64776" w:rsidRDefault="00F64776" w:rsidP="00F64776">
      <w:pPr>
        <w:pStyle w:val="TextoNormal"/>
      </w:pPr>
    </w:p>
    <w:p w14:paraId="385C8B9B" w14:textId="77777777" w:rsidR="00F64776" w:rsidRDefault="00F64776" w:rsidP="00F64776">
      <w:pPr>
        <w:pStyle w:val="TextoNormalCentrado"/>
      </w:pPr>
      <w:r>
        <w:t>ACUERDA</w:t>
      </w:r>
    </w:p>
    <w:p w14:paraId="46A792BE" w14:textId="25B553CC" w:rsidR="00F64776" w:rsidRDefault="00F64776" w:rsidP="00F64776">
      <w:pPr>
        <w:pStyle w:val="TextoNormalCentrado"/>
      </w:pPr>
    </w:p>
    <w:p w14:paraId="795599EB" w14:textId="63FED724" w:rsidR="00F64776" w:rsidRDefault="00F64776" w:rsidP="00F64776">
      <w:pPr>
        <w:pStyle w:val="TextoNormal"/>
      </w:pPr>
      <w:r>
        <w:t>Estimar justificada la abstención formulada por el magistrado señor don César Tolosa Tribiño en el recurso de amparo núm. 6094-2022 y apartarle definitivamente del conocimiento del referido recurso y de todas sus incidencias.</w:t>
      </w:r>
    </w:p>
    <w:p w14:paraId="36D65E0B" w14:textId="77777777" w:rsidR="00F64776" w:rsidRDefault="00F64776" w:rsidP="00F64776">
      <w:pPr>
        <w:pStyle w:val="TextoNormal"/>
      </w:pPr>
    </w:p>
    <w:p w14:paraId="47C1C790" w14:textId="77777777" w:rsidR="00F64776" w:rsidRDefault="00F64776" w:rsidP="00F64776">
      <w:pPr>
        <w:pStyle w:val="TextoNormal"/>
      </w:pPr>
      <w:r>
        <w:t>Madrid, a tres de julio de dos mil veintitrés.</w:t>
      </w:r>
    </w:p>
    <w:p w14:paraId="740712AE" w14:textId="4E649937" w:rsidR="00F64776" w:rsidRDefault="00F64776">
      <w:pPr>
        <w:spacing w:after="160" w:line="278" w:lineRule="auto"/>
        <w:rPr>
          <w:rFonts w:ascii="Times New Roman" w:eastAsia="Times New Roman" w:hAnsi="Times New Roman" w:cs="Times New Roman"/>
          <w:sz w:val="24"/>
          <w:szCs w:val="24"/>
          <w:lang w:eastAsia="es-ES"/>
        </w:rPr>
      </w:pPr>
      <w:r>
        <w:br w:type="page"/>
      </w:r>
    </w:p>
    <w:p w14:paraId="6511FD34" w14:textId="77777777" w:rsidR="00F64776" w:rsidRDefault="00F64776" w:rsidP="00F64776">
      <w:pPr>
        <w:pStyle w:val="TtuloResolucin"/>
      </w:pPr>
      <w:bookmarkStart w:id="133" w:name="AUTO_2023_348"/>
      <w:r>
        <w:t>AUTO 348/2023, de 3 de julio de 2023</w:t>
      </w:r>
    </w:p>
    <w:bookmarkEnd w:id="133"/>
    <w:p w14:paraId="136E9983" w14:textId="77777777" w:rsidR="00F64776" w:rsidRDefault="00F64776" w:rsidP="00F64776">
      <w:pPr>
        <w:pStyle w:val="TtuloResolucin"/>
      </w:pPr>
      <w:r>
        <w:t>Sección Tercera</w:t>
      </w:r>
    </w:p>
    <w:p w14:paraId="57547B2F" w14:textId="77777777" w:rsidR="00F64776" w:rsidRDefault="00F64776" w:rsidP="00F64776">
      <w:pPr>
        <w:pStyle w:val="TextoNormalCentrado"/>
      </w:pPr>
      <w:r>
        <w:t>ECLI:ES:TC:2023:348A</w:t>
      </w:r>
    </w:p>
    <w:p w14:paraId="519F06B3" w14:textId="5CD0F504" w:rsidR="00F64776" w:rsidRDefault="00F64776" w:rsidP="00F64776">
      <w:pPr>
        <w:pStyle w:val="TextoNormalCentrado"/>
      </w:pPr>
    </w:p>
    <w:p w14:paraId="3BFB61EE" w14:textId="77777777" w:rsidR="00F64776" w:rsidRDefault="00F64776" w:rsidP="00F64776">
      <w:pPr>
        <w:pStyle w:val="SntesisDescriptiva"/>
      </w:pPr>
      <w:r>
        <w:t>Excms. Srs. doña Inmaculada Montalbán Huertas y doña Laura Díez Bueso.</w:t>
      </w:r>
    </w:p>
    <w:p w14:paraId="7FBED2DF" w14:textId="56ACBDD4" w:rsidR="00F64776" w:rsidRDefault="00F64776" w:rsidP="00F64776">
      <w:pPr>
        <w:pStyle w:val="SntesisDescriptiva"/>
      </w:pPr>
    </w:p>
    <w:p w14:paraId="5ABB3262" w14:textId="77777777" w:rsidR="00F64776" w:rsidRDefault="00F64776" w:rsidP="00F64776">
      <w:pPr>
        <w:pStyle w:val="SntesisDescriptiva"/>
      </w:pPr>
      <w:r>
        <w:t>Acepta una abstención en el recurso de amparo 6143-2022, promovido en proceso contencioso-administrativo.</w:t>
      </w:r>
    </w:p>
    <w:p w14:paraId="25E7D9E7" w14:textId="4A9F4231" w:rsidR="00F64776" w:rsidRDefault="00F64776" w:rsidP="00F64776">
      <w:pPr>
        <w:pStyle w:val="SntesisDescriptiva"/>
      </w:pPr>
    </w:p>
    <w:p w14:paraId="4A1F1ECD" w14:textId="77777777" w:rsidR="00F64776" w:rsidRDefault="00F64776" w:rsidP="00F64776">
      <w:pPr>
        <w:pStyle w:val="SntesisDescriptiva"/>
      </w:pPr>
    </w:p>
    <w:p w14:paraId="7CBDA2CB" w14:textId="77777777" w:rsidR="00F64776" w:rsidRDefault="00F64776" w:rsidP="00F64776">
      <w:pPr>
        <w:pStyle w:val="SntesisDescriptiva"/>
      </w:pPr>
    </w:p>
    <w:p w14:paraId="2B4227A9" w14:textId="77777777" w:rsidR="00F64776" w:rsidRDefault="00F64776" w:rsidP="00F64776">
      <w:pPr>
        <w:pStyle w:val="TextoNormalNegritaCentrado"/>
      </w:pPr>
      <w:r>
        <w:t>AUTO</w:t>
      </w:r>
    </w:p>
    <w:p w14:paraId="03406060" w14:textId="57BDE68A" w:rsidR="00F64776" w:rsidRDefault="00F64776" w:rsidP="00F64776">
      <w:pPr>
        <w:pStyle w:val="TextoNormalNegritaCentrado"/>
      </w:pPr>
    </w:p>
    <w:p w14:paraId="3741DE4B" w14:textId="77777777" w:rsidR="00F64776" w:rsidRDefault="00F64776" w:rsidP="00F64776">
      <w:pPr>
        <w:pStyle w:val="TextoNormalNegritaCentrado"/>
        <w:keepNext/>
      </w:pPr>
      <w:r>
        <w:t>I. Antecedentes</w:t>
      </w:r>
    </w:p>
    <w:p w14:paraId="2C8A2751" w14:textId="4B131CBA" w:rsidR="00F64776" w:rsidRDefault="00F64776" w:rsidP="00F64776">
      <w:pPr>
        <w:pStyle w:val="TextoNormalNegritaCentrado"/>
        <w:keepNext/>
      </w:pPr>
    </w:p>
    <w:p w14:paraId="0463AC1C" w14:textId="511A113B" w:rsidR="00F64776" w:rsidRDefault="00F64776" w:rsidP="00F64776">
      <w:pPr>
        <w:pStyle w:val="TextoNormal"/>
      </w:pPr>
      <w:r w:rsidRPr="00F64776">
        <w:rPr>
          <w:rStyle w:val="NumeroAFNegritaCaracter"/>
        </w:rPr>
        <w:t>1</w:t>
      </w:r>
      <w:r>
        <w:t>. Mediante escrito registrado en este tribunal el 20 de septiembre de 2022 la procuradora de los tribunales doña Ana María Araúz de Robles Villalón, en nombre y representación de doña Guadalupe Pérez-Miranda Castillo y bajo la dirección del letrado don Francisco Javier Araúz de Robles Dávila, interpuso demanda de amparo contra providencia de la Sección Primera de la Sala de lo Contencioso-Administrativo del Tribunal Supremo en recurso de casación núm. 5081-2021.</w:t>
      </w:r>
    </w:p>
    <w:p w14:paraId="46E0E27B" w14:textId="77777777" w:rsidR="00F64776" w:rsidRDefault="00F64776" w:rsidP="00F64776">
      <w:pPr>
        <w:pStyle w:val="TextoNormal"/>
      </w:pPr>
    </w:p>
    <w:p w14:paraId="62DC1FE8" w14:textId="50AE66BE" w:rsidR="00F64776" w:rsidRDefault="00F64776" w:rsidP="00F64776">
      <w:pPr>
        <w:pStyle w:val="TextoNormal"/>
      </w:pPr>
      <w:r w:rsidRPr="00F64776">
        <w:rPr>
          <w:rStyle w:val="NumeroAFNegritaCaracter"/>
        </w:rPr>
        <w:t>2</w:t>
      </w:r>
      <w:r>
        <w:t>. Por escrito de 22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4FC6CDE3" w14:textId="77777777" w:rsidR="00F64776" w:rsidRDefault="00F64776" w:rsidP="00F64776">
      <w:pPr>
        <w:pStyle w:val="TextoNormal"/>
      </w:pPr>
    </w:p>
    <w:p w14:paraId="62FA1C1B" w14:textId="77777777" w:rsidR="00F64776" w:rsidRDefault="00F64776" w:rsidP="00F64776">
      <w:pPr>
        <w:pStyle w:val="TextoNormalNegritaCentrado"/>
        <w:keepNext/>
      </w:pPr>
      <w:r>
        <w:t>II. Fundamentos jurídicos</w:t>
      </w:r>
    </w:p>
    <w:p w14:paraId="4D0FCB29" w14:textId="71F1C406" w:rsidR="00F64776" w:rsidRDefault="00F64776" w:rsidP="00F64776">
      <w:pPr>
        <w:pStyle w:val="TextoNormalNegritaCentrado"/>
        <w:keepNext/>
      </w:pPr>
    </w:p>
    <w:p w14:paraId="5B6D4099" w14:textId="7843052E"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04220B55" w14:textId="77777777" w:rsidR="00F64776" w:rsidRDefault="00F64776" w:rsidP="00F64776">
      <w:pPr>
        <w:pStyle w:val="TextoNormal"/>
      </w:pPr>
    </w:p>
    <w:p w14:paraId="53EF14A2" w14:textId="77777777" w:rsidR="00F64776" w:rsidRDefault="00F64776" w:rsidP="00F64776">
      <w:pPr>
        <w:pStyle w:val="TextoNormal"/>
      </w:pPr>
      <w:r>
        <w:t>Por lo expuesto, la Sección</w:t>
      </w:r>
    </w:p>
    <w:p w14:paraId="500E2504" w14:textId="49AEDA07" w:rsidR="00F64776" w:rsidRDefault="00F64776" w:rsidP="00F64776">
      <w:pPr>
        <w:pStyle w:val="TextoNormal"/>
      </w:pPr>
    </w:p>
    <w:p w14:paraId="5AD88217" w14:textId="77777777" w:rsidR="00F64776" w:rsidRDefault="00F64776" w:rsidP="00F64776">
      <w:pPr>
        <w:pStyle w:val="TextoNormalCentrado"/>
      </w:pPr>
      <w:r>
        <w:t>ACUERDA</w:t>
      </w:r>
    </w:p>
    <w:p w14:paraId="7B2C9441" w14:textId="78406E68" w:rsidR="00F64776" w:rsidRDefault="00F64776" w:rsidP="00F64776">
      <w:pPr>
        <w:pStyle w:val="TextoNormalCentrado"/>
      </w:pPr>
    </w:p>
    <w:p w14:paraId="214E3EEE" w14:textId="51D0F505" w:rsidR="00F64776" w:rsidRDefault="00F64776" w:rsidP="00F64776">
      <w:pPr>
        <w:pStyle w:val="TextoNormal"/>
      </w:pPr>
      <w:r>
        <w:t>Estimar justificada la abstención formulada por el magistrado señor don César Tolosa Tribiño en el recurso de amparo núm. 6143-2022 y apartarle definitivamente del conocimiento del referido recurso y de todas sus incidencias.</w:t>
      </w:r>
    </w:p>
    <w:p w14:paraId="41E60362" w14:textId="77777777" w:rsidR="00F64776" w:rsidRDefault="00F64776" w:rsidP="00F64776">
      <w:pPr>
        <w:pStyle w:val="TextoNormal"/>
      </w:pPr>
    </w:p>
    <w:p w14:paraId="2C976DE7" w14:textId="77777777" w:rsidR="00F64776" w:rsidRDefault="00F64776" w:rsidP="00F64776">
      <w:pPr>
        <w:pStyle w:val="TextoNormal"/>
      </w:pPr>
      <w:r>
        <w:t>Madrid, a tres de julio de dos mil veintitrés.</w:t>
      </w:r>
    </w:p>
    <w:p w14:paraId="23E94845" w14:textId="47863D42" w:rsidR="00F64776" w:rsidRDefault="00F64776">
      <w:pPr>
        <w:spacing w:after="160" w:line="278" w:lineRule="auto"/>
        <w:rPr>
          <w:rFonts w:ascii="Times New Roman" w:eastAsia="Times New Roman" w:hAnsi="Times New Roman" w:cs="Times New Roman"/>
          <w:sz w:val="24"/>
          <w:szCs w:val="24"/>
          <w:lang w:eastAsia="es-ES"/>
        </w:rPr>
      </w:pPr>
      <w:r>
        <w:br w:type="page"/>
      </w:r>
    </w:p>
    <w:p w14:paraId="177A9D50" w14:textId="77777777" w:rsidR="00F64776" w:rsidRDefault="00F64776" w:rsidP="00F64776">
      <w:pPr>
        <w:pStyle w:val="TtuloResolucin"/>
      </w:pPr>
      <w:bookmarkStart w:id="134" w:name="AUTO_2023_349"/>
      <w:r>
        <w:t>AUTO 349/2023, de 3 de julio de 2023</w:t>
      </w:r>
    </w:p>
    <w:bookmarkEnd w:id="134"/>
    <w:p w14:paraId="17CCCFD1" w14:textId="77777777" w:rsidR="00F64776" w:rsidRDefault="00F64776" w:rsidP="00F64776">
      <w:pPr>
        <w:pStyle w:val="TtuloResolucin"/>
      </w:pPr>
      <w:r>
        <w:t>Sección Tercera</w:t>
      </w:r>
    </w:p>
    <w:p w14:paraId="522E3F03" w14:textId="77777777" w:rsidR="00F64776" w:rsidRDefault="00F64776" w:rsidP="00F64776">
      <w:pPr>
        <w:pStyle w:val="TextoNormalCentrado"/>
      </w:pPr>
      <w:r>
        <w:t>ECLI:ES:TC:2023:349A</w:t>
      </w:r>
    </w:p>
    <w:p w14:paraId="57AAA266" w14:textId="4825189E" w:rsidR="00F64776" w:rsidRDefault="00F64776" w:rsidP="00F64776">
      <w:pPr>
        <w:pStyle w:val="TextoNormalCentrado"/>
      </w:pPr>
    </w:p>
    <w:p w14:paraId="4B2B84D0" w14:textId="77777777" w:rsidR="00F64776" w:rsidRDefault="00F64776" w:rsidP="00F64776">
      <w:pPr>
        <w:pStyle w:val="SntesisDescriptiva"/>
      </w:pPr>
      <w:r>
        <w:t>Excms. Srs. doña Inmaculada Montalbán Huertas y doña Laura Díez Bueso.</w:t>
      </w:r>
    </w:p>
    <w:p w14:paraId="7DC4F463" w14:textId="07E083C3" w:rsidR="00F64776" w:rsidRDefault="00F64776" w:rsidP="00F64776">
      <w:pPr>
        <w:pStyle w:val="SntesisDescriptiva"/>
      </w:pPr>
    </w:p>
    <w:p w14:paraId="4078AE3F" w14:textId="77777777" w:rsidR="00F64776" w:rsidRDefault="00F64776" w:rsidP="00F64776">
      <w:pPr>
        <w:pStyle w:val="SntesisDescriptiva"/>
      </w:pPr>
      <w:r>
        <w:t>Acepta una abstención en el recurso de amparo 6154-2022, promovido en proceso contencioso-administrativo.</w:t>
      </w:r>
    </w:p>
    <w:p w14:paraId="2FE0EE35" w14:textId="631F3D1F" w:rsidR="00F64776" w:rsidRDefault="00F64776" w:rsidP="00F64776">
      <w:pPr>
        <w:pStyle w:val="SntesisDescriptiva"/>
      </w:pPr>
    </w:p>
    <w:p w14:paraId="489FA652" w14:textId="77777777" w:rsidR="00F64776" w:rsidRDefault="00F64776" w:rsidP="00F64776">
      <w:pPr>
        <w:pStyle w:val="SntesisDescriptiva"/>
      </w:pPr>
    </w:p>
    <w:p w14:paraId="6E3FDE0D" w14:textId="77777777" w:rsidR="00F64776" w:rsidRDefault="00F64776" w:rsidP="00F64776">
      <w:pPr>
        <w:pStyle w:val="SntesisDescriptiva"/>
      </w:pPr>
    </w:p>
    <w:p w14:paraId="1B43F24D" w14:textId="77777777" w:rsidR="00F64776" w:rsidRDefault="00F64776" w:rsidP="00F64776">
      <w:pPr>
        <w:pStyle w:val="TextoNormalNegritaCentrado"/>
      </w:pPr>
      <w:r>
        <w:t>AUTO</w:t>
      </w:r>
    </w:p>
    <w:p w14:paraId="633AB4FE" w14:textId="5E3E68B6" w:rsidR="00F64776" w:rsidRDefault="00F64776" w:rsidP="00F64776">
      <w:pPr>
        <w:pStyle w:val="TextoNormalNegritaCentrado"/>
      </w:pPr>
    </w:p>
    <w:p w14:paraId="1964547D" w14:textId="77777777" w:rsidR="00F64776" w:rsidRDefault="00F64776" w:rsidP="00F64776">
      <w:pPr>
        <w:pStyle w:val="TextoNormalNegritaCentrado"/>
        <w:keepNext/>
      </w:pPr>
      <w:r>
        <w:t>I. Antecedentes</w:t>
      </w:r>
    </w:p>
    <w:p w14:paraId="38EC59A4" w14:textId="5E37AFE9" w:rsidR="00F64776" w:rsidRDefault="00F64776" w:rsidP="00F64776">
      <w:pPr>
        <w:pStyle w:val="TextoNormalNegritaCentrado"/>
        <w:keepNext/>
      </w:pPr>
    </w:p>
    <w:p w14:paraId="7ED0F82B" w14:textId="35E24D54" w:rsidR="00F64776" w:rsidRDefault="00F64776" w:rsidP="00F64776">
      <w:pPr>
        <w:pStyle w:val="TextoNormal"/>
      </w:pPr>
      <w:r w:rsidRPr="00F64776">
        <w:rPr>
          <w:rStyle w:val="NumeroAFNegritaCaracter"/>
        </w:rPr>
        <w:t>1</w:t>
      </w:r>
      <w:r>
        <w:t>. Mediante escrito registrado en este tribunal el 20 de septiembre de 2022 el procurador de los tribunales don José María Ruiz de la Cuesta Vacas, en nombre y representación de doña María Begoña Hidalgo Vázquez y bajo la dirección del letrado don Francisco Javier Araúz de Robles Dávila, interpuso demanda de amparo contra providencias de la Sección Primera de la Sala de lo Contencioso-Administrativo del Tribunal Supremo en recurso de casación núm. 6979-2021.</w:t>
      </w:r>
    </w:p>
    <w:p w14:paraId="0C1B5548" w14:textId="77777777" w:rsidR="00F64776" w:rsidRDefault="00F64776" w:rsidP="00F64776">
      <w:pPr>
        <w:pStyle w:val="TextoNormal"/>
      </w:pPr>
    </w:p>
    <w:p w14:paraId="08B1A731" w14:textId="00D9A72F" w:rsidR="00F64776" w:rsidRDefault="00F64776" w:rsidP="00F64776">
      <w:pPr>
        <w:pStyle w:val="TextoNormal"/>
      </w:pPr>
      <w:r w:rsidRPr="00F64776">
        <w:rPr>
          <w:rStyle w:val="NumeroAFNegritaCaracter"/>
        </w:rPr>
        <w:t>2</w:t>
      </w:r>
      <w:r>
        <w:t>. Por escrito de 24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52720640" w14:textId="77777777" w:rsidR="00F64776" w:rsidRDefault="00F64776" w:rsidP="00F64776">
      <w:pPr>
        <w:pStyle w:val="TextoNormal"/>
      </w:pPr>
    </w:p>
    <w:p w14:paraId="03A4E4B2" w14:textId="77777777" w:rsidR="00F64776" w:rsidRDefault="00F64776" w:rsidP="00F64776">
      <w:pPr>
        <w:pStyle w:val="TextoNormalNegritaCentrado"/>
        <w:keepNext/>
      </w:pPr>
      <w:r>
        <w:t>II. Fundamentos jurídicos</w:t>
      </w:r>
    </w:p>
    <w:p w14:paraId="2C287910" w14:textId="27B91D47" w:rsidR="00F64776" w:rsidRDefault="00F64776" w:rsidP="00F64776">
      <w:pPr>
        <w:pStyle w:val="TextoNormalNegritaCentrado"/>
        <w:keepNext/>
      </w:pPr>
    </w:p>
    <w:p w14:paraId="1A5CCCCE" w14:textId="5E38C064"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3AE30C03" w14:textId="77777777" w:rsidR="00F64776" w:rsidRDefault="00F64776" w:rsidP="00F64776">
      <w:pPr>
        <w:pStyle w:val="TextoNormal"/>
      </w:pPr>
    </w:p>
    <w:p w14:paraId="77C13C44" w14:textId="77777777" w:rsidR="00F64776" w:rsidRDefault="00F64776" w:rsidP="00F64776">
      <w:pPr>
        <w:pStyle w:val="TextoNormal"/>
      </w:pPr>
      <w:r>
        <w:t>Por lo expuesto, la Sección</w:t>
      </w:r>
    </w:p>
    <w:p w14:paraId="36E0D5FB" w14:textId="6A7DD0D4" w:rsidR="00F64776" w:rsidRDefault="00F64776" w:rsidP="00F64776">
      <w:pPr>
        <w:pStyle w:val="TextoNormal"/>
      </w:pPr>
    </w:p>
    <w:p w14:paraId="45ACBEA6" w14:textId="77777777" w:rsidR="00F64776" w:rsidRDefault="00F64776" w:rsidP="00F64776">
      <w:pPr>
        <w:pStyle w:val="TextoNormalCentrado"/>
      </w:pPr>
      <w:r>
        <w:t>ACUERDA</w:t>
      </w:r>
    </w:p>
    <w:p w14:paraId="0082AD70" w14:textId="30444235" w:rsidR="00F64776" w:rsidRDefault="00F64776" w:rsidP="00F64776">
      <w:pPr>
        <w:pStyle w:val="TextoNormalCentrado"/>
      </w:pPr>
    </w:p>
    <w:p w14:paraId="3DC467BD" w14:textId="32CC8D4F" w:rsidR="00F64776" w:rsidRDefault="00F64776" w:rsidP="00F64776">
      <w:pPr>
        <w:pStyle w:val="TextoNormal"/>
      </w:pPr>
      <w:r>
        <w:t>Estimar justificada la abstención formulada por el magistrado señor don César Tolosa Tribiño en el recurso de amparo núm. 6154-2022 y apartarle definitivamente del conocimiento del referido recurso y de todas sus incidencias.</w:t>
      </w:r>
    </w:p>
    <w:p w14:paraId="3768BF3F" w14:textId="77777777" w:rsidR="00F64776" w:rsidRDefault="00F64776" w:rsidP="00F64776">
      <w:pPr>
        <w:pStyle w:val="TextoNormal"/>
      </w:pPr>
    </w:p>
    <w:p w14:paraId="32AC0EF1" w14:textId="77777777" w:rsidR="00F64776" w:rsidRDefault="00F64776" w:rsidP="00F64776">
      <w:pPr>
        <w:pStyle w:val="TextoNormal"/>
      </w:pPr>
      <w:r>
        <w:t>Madrid, a tres de julio de dos mil veintitrés.</w:t>
      </w:r>
    </w:p>
    <w:p w14:paraId="03163A54" w14:textId="06C86DAE" w:rsidR="00F64776" w:rsidRDefault="00F64776">
      <w:pPr>
        <w:spacing w:after="160" w:line="278" w:lineRule="auto"/>
        <w:rPr>
          <w:rFonts w:ascii="Times New Roman" w:eastAsia="Times New Roman" w:hAnsi="Times New Roman" w:cs="Times New Roman"/>
          <w:sz w:val="24"/>
          <w:szCs w:val="24"/>
          <w:lang w:eastAsia="es-ES"/>
        </w:rPr>
      </w:pPr>
      <w:r>
        <w:br w:type="page"/>
      </w:r>
    </w:p>
    <w:p w14:paraId="481B83B3" w14:textId="77777777" w:rsidR="00F64776" w:rsidRDefault="00F64776" w:rsidP="00F64776">
      <w:pPr>
        <w:pStyle w:val="TtuloResolucin"/>
      </w:pPr>
      <w:bookmarkStart w:id="135" w:name="AUTO_2023_350"/>
      <w:r>
        <w:t>AUTO 350/2023, de 3 de julio de 2023</w:t>
      </w:r>
    </w:p>
    <w:bookmarkEnd w:id="135"/>
    <w:p w14:paraId="234FA83F" w14:textId="77777777" w:rsidR="00F64776" w:rsidRDefault="00F64776" w:rsidP="00F64776">
      <w:pPr>
        <w:pStyle w:val="TtuloResolucin"/>
      </w:pPr>
      <w:r>
        <w:t>Sección Tercera</w:t>
      </w:r>
    </w:p>
    <w:p w14:paraId="40A6465B" w14:textId="77777777" w:rsidR="00F64776" w:rsidRDefault="00F64776" w:rsidP="00F64776">
      <w:pPr>
        <w:pStyle w:val="TextoNormalCentrado"/>
      </w:pPr>
      <w:r>
        <w:t>ECLI:ES:TC:2023:350A</w:t>
      </w:r>
    </w:p>
    <w:p w14:paraId="1FE2117D" w14:textId="3EC5ADB8" w:rsidR="00F64776" w:rsidRDefault="00F64776" w:rsidP="00F64776">
      <w:pPr>
        <w:pStyle w:val="TextoNormalCentrado"/>
      </w:pPr>
    </w:p>
    <w:p w14:paraId="1053C7CE" w14:textId="77777777" w:rsidR="00F64776" w:rsidRDefault="00F64776" w:rsidP="00F64776">
      <w:pPr>
        <w:pStyle w:val="SntesisDescriptiva"/>
      </w:pPr>
      <w:r>
        <w:t>Excms. Srs. doña Inmaculada Montalbán Huertas y doña Laura Díez Bueso.</w:t>
      </w:r>
    </w:p>
    <w:p w14:paraId="7F242DE3" w14:textId="2A01562D" w:rsidR="00F64776" w:rsidRDefault="00F64776" w:rsidP="00F64776">
      <w:pPr>
        <w:pStyle w:val="SntesisDescriptiva"/>
      </w:pPr>
    </w:p>
    <w:p w14:paraId="1CB6257C" w14:textId="77777777" w:rsidR="00F64776" w:rsidRDefault="00F64776" w:rsidP="00F64776">
      <w:pPr>
        <w:pStyle w:val="SntesisDescriptiva"/>
      </w:pPr>
      <w:r>
        <w:t>Acepta una abstención en el recurso de amparo 6169-2022, promovido en proceso contencioso-administrativo.</w:t>
      </w:r>
    </w:p>
    <w:p w14:paraId="1554D4E9" w14:textId="7278BB4B" w:rsidR="00F64776" w:rsidRDefault="00F64776" w:rsidP="00F64776">
      <w:pPr>
        <w:pStyle w:val="SntesisDescriptiva"/>
      </w:pPr>
    </w:p>
    <w:p w14:paraId="38ECA214" w14:textId="77777777" w:rsidR="00F64776" w:rsidRDefault="00F64776" w:rsidP="00F64776">
      <w:pPr>
        <w:pStyle w:val="SntesisDescriptiva"/>
      </w:pPr>
    </w:p>
    <w:p w14:paraId="0AFB40AD" w14:textId="77777777" w:rsidR="00F64776" w:rsidRDefault="00F64776" w:rsidP="00F64776">
      <w:pPr>
        <w:pStyle w:val="SntesisDescriptiva"/>
      </w:pPr>
    </w:p>
    <w:p w14:paraId="32E4F263" w14:textId="77777777" w:rsidR="00F64776" w:rsidRDefault="00F64776" w:rsidP="00F64776">
      <w:pPr>
        <w:pStyle w:val="TextoNormalNegritaCentrado"/>
      </w:pPr>
      <w:r>
        <w:t>AUTO</w:t>
      </w:r>
    </w:p>
    <w:p w14:paraId="4F789F65" w14:textId="6187D435" w:rsidR="00F64776" w:rsidRDefault="00F64776" w:rsidP="00F64776">
      <w:pPr>
        <w:pStyle w:val="TextoNormalNegritaCentrado"/>
      </w:pPr>
    </w:p>
    <w:p w14:paraId="371A0A15" w14:textId="77777777" w:rsidR="00F64776" w:rsidRDefault="00F64776" w:rsidP="00F64776">
      <w:pPr>
        <w:pStyle w:val="TextoNormalNegritaCentrado"/>
        <w:keepNext/>
      </w:pPr>
      <w:r>
        <w:t>I. Antecedentes</w:t>
      </w:r>
    </w:p>
    <w:p w14:paraId="1D604817" w14:textId="11BA674F" w:rsidR="00F64776" w:rsidRDefault="00F64776" w:rsidP="00F64776">
      <w:pPr>
        <w:pStyle w:val="TextoNormalNegritaCentrado"/>
        <w:keepNext/>
      </w:pPr>
    </w:p>
    <w:p w14:paraId="3B954B63" w14:textId="0494B47B" w:rsidR="00F64776" w:rsidRDefault="00F64776" w:rsidP="00F64776">
      <w:pPr>
        <w:pStyle w:val="TextoNormal"/>
      </w:pPr>
      <w:r w:rsidRPr="00F64776">
        <w:rPr>
          <w:rStyle w:val="NumeroAFNegritaCaracter"/>
        </w:rPr>
        <w:t>1</w:t>
      </w:r>
      <w:r>
        <w:t>. Mediante escrito registrado en este tribunal el 20 de septiembre de 2022 la procuradora de los tribunales doña Ana María Araúz de Robles Villalón, en nombre y representación de doña Antonia Candelario Hernández y bajo la dirección del letrado don Francisco Javier Araúz de Robles Dávila, interpuso demanda de amparo contra la providencia de 6 de julio de 2022 de la Sección Primera de la Sala de lo Contencioso-Administrativo del Tribunal Supremo en recurso de casación núm. 4630-2021.</w:t>
      </w:r>
    </w:p>
    <w:p w14:paraId="3FB7FFBA" w14:textId="77777777" w:rsidR="00F64776" w:rsidRDefault="00F64776" w:rsidP="00F64776">
      <w:pPr>
        <w:pStyle w:val="TextoNormal"/>
      </w:pPr>
    </w:p>
    <w:p w14:paraId="217D17D2" w14:textId="5C05629C" w:rsidR="00F64776" w:rsidRDefault="00F64776" w:rsidP="00F64776">
      <w:pPr>
        <w:pStyle w:val="TextoNormal"/>
      </w:pPr>
      <w:r w:rsidRPr="00F64776">
        <w:rPr>
          <w:rStyle w:val="NumeroAFNegritaCaracter"/>
        </w:rPr>
        <w:t>2</w:t>
      </w:r>
      <w:r>
        <w:t>. Por escrito de 29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2F11FBEB" w14:textId="77777777" w:rsidR="00F64776" w:rsidRDefault="00F64776" w:rsidP="00F64776">
      <w:pPr>
        <w:pStyle w:val="TextoNormal"/>
      </w:pPr>
    </w:p>
    <w:p w14:paraId="38AD7DA7" w14:textId="77777777" w:rsidR="00F64776" w:rsidRDefault="00F64776" w:rsidP="00F64776">
      <w:pPr>
        <w:pStyle w:val="TextoNormalNegritaCentrado"/>
        <w:keepNext/>
      </w:pPr>
      <w:r>
        <w:t>II. Fundamentos jurídicos</w:t>
      </w:r>
    </w:p>
    <w:p w14:paraId="1DA972DD" w14:textId="08A8395E" w:rsidR="00F64776" w:rsidRDefault="00F64776" w:rsidP="00F64776">
      <w:pPr>
        <w:pStyle w:val="TextoNormalNegritaCentrado"/>
        <w:keepNext/>
      </w:pPr>
    </w:p>
    <w:p w14:paraId="01C01F9B" w14:textId="22FF0DC2"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28FA0B58" w14:textId="77777777" w:rsidR="00F64776" w:rsidRDefault="00F64776" w:rsidP="00F64776">
      <w:pPr>
        <w:pStyle w:val="TextoNormal"/>
      </w:pPr>
    </w:p>
    <w:p w14:paraId="703237EF" w14:textId="77777777" w:rsidR="00F64776" w:rsidRDefault="00F64776" w:rsidP="00F64776">
      <w:pPr>
        <w:pStyle w:val="TextoNormal"/>
      </w:pPr>
      <w:r>
        <w:t>Por lo expuesto, la Sección</w:t>
      </w:r>
    </w:p>
    <w:p w14:paraId="4BFB83C9" w14:textId="0AFB928F" w:rsidR="00F64776" w:rsidRDefault="00F64776" w:rsidP="00F64776">
      <w:pPr>
        <w:pStyle w:val="TextoNormal"/>
      </w:pPr>
    </w:p>
    <w:p w14:paraId="20CD070E" w14:textId="77777777" w:rsidR="00F64776" w:rsidRDefault="00F64776" w:rsidP="00F64776">
      <w:pPr>
        <w:pStyle w:val="TextoNormalCentrado"/>
      </w:pPr>
      <w:r>
        <w:t>ACUERDA</w:t>
      </w:r>
    </w:p>
    <w:p w14:paraId="06158634" w14:textId="02CA2A7F" w:rsidR="00F64776" w:rsidRDefault="00F64776" w:rsidP="00F64776">
      <w:pPr>
        <w:pStyle w:val="TextoNormalCentrado"/>
      </w:pPr>
    </w:p>
    <w:p w14:paraId="1D7A439F" w14:textId="7680DB76" w:rsidR="00F64776" w:rsidRDefault="00F64776" w:rsidP="00F64776">
      <w:pPr>
        <w:pStyle w:val="TextoNormal"/>
      </w:pPr>
      <w:r>
        <w:t>Estimar justificada la abstención formulada por el magistrado señor don César Tolosa Tribiño en el recurso de amparo núm. 6169-2022 y apartarle definitivamente del conocimiento del referido recurso y de todas sus incidencias.</w:t>
      </w:r>
    </w:p>
    <w:p w14:paraId="156BC5E4" w14:textId="77777777" w:rsidR="00F64776" w:rsidRDefault="00F64776" w:rsidP="00F64776">
      <w:pPr>
        <w:pStyle w:val="TextoNormal"/>
      </w:pPr>
    </w:p>
    <w:p w14:paraId="414C5DDB" w14:textId="77777777" w:rsidR="00F64776" w:rsidRDefault="00F64776" w:rsidP="00F64776">
      <w:pPr>
        <w:pStyle w:val="TextoNormal"/>
      </w:pPr>
      <w:r>
        <w:t>Madrid, a tres de julio de dos mil veintitrés.</w:t>
      </w:r>
    </w:p>
    <w:p w14:paraId="4C768A6C" w14:textId="7AA92FCA" w:rsidR="00F64776" w:rsidRDefault="00F64776">
      <w:pPr>
        <w:spacing w:after="160" w:line="278" w:lineRule="auto"/>
        <w:rPr>
          <w:rFonts w:ascii="Times New Roman" w:eastAsia="Times New Roman" w:hAnsi="Times New Roman" w:cs="Times New Roman"/>
          <w:sz w:val="24"/>
          <w:szCs w:val="24"/>
          <w:lang w:eastAsia="es-ES"/>
        </w:rPr>
      </w:pPr>
      <w:r>
        <w:br w:type="page"/>
      </w:r>
    </w:p>
    <w:p w14:paraId="1995879E" w14:textId="77777777" w:rsidR="00F64776" w:rsidRDefault="00F64776" w:rsidP="00F64776">
      <w:pPr>
        <w:pStyle w:val="TtuloResolucin"/>
      </w:pPr>
      <w:bookmarkStart w:id="136" w:name="AUTO_2023_351"/>
      <w:r>
        <w:t>AUTO 351/2023, de 3 de julio de 2023</w:t>
      </w:r>
    </w:p>
    <w:bookmarkEnd w:id="136"/>
    <w:p w14:paraId="73DD6406" w14:textId="77777777" w:rsidR="00F64776" w:rsidRDefault="00F64776" w:rsidP="00F64776">
      <w:pPr>
        <w:pStyle w:val="TtuloResolucin"/>
      </w:pPr>
      <w:r>
        <w:t>Sección Tercera</w:t>
      </w:r>
    </w:p>
    <w:p w14:paraId="274E3F74" w14:textId="77777777" w:rsidR="00F64776" w:rsidRDefault="00F64776" w:rsidP="00F64776">
      <w:pPr>
        <w:pStyle w:val="TextoNormalCentrado"/>
      </w:pPr>
      <w:r>
        <w:t>ECLI:ES:TC:2023:351A</w:t>
      </w:r>
    </w:p>
    <w:p w14:paraId="0583A3E8" w14:textId="2633ABB0" w:rsidR="00F64776" w:rsidRDefault="00F64776" w:rsidP="00F64776">
      <w:pPr>
        <w:pStyle w:val="TextoNormalCentrado"/>
      </w:pPr>
    </w:p>
    <w:p w14:paraId="5FEABF6A" w14:textId="77777777" w:rsidR="00F64776" w:rsidRDefault="00F64776" w:rsidP="00F64776">
      <w:pPr>
        <w:pStyle w:val="SntesisDescriptiva"/>
      </w:pPr>
      <w:r>
        <w:t>Excms. Srs. doña Inmaculada Montalbán Huertas y doña Laura Díez Bueso.</w:t>
      </w:r>
    </w:p>
    <w:p w14:paraId="21095F51" w14:textId="7F9A5CE5" w:rsidR="00F64776" w:rsidRDefault="00F64776" w:rsidP="00F64776">
      <w:pPr>
        <w:pStyle w:val="SntesisDescriptiva"/>
      </w:pPr>
    </w:p>
    <w:p w14:paraId="3117612B" w14:textId="77777777" w:rsidR="00F64776" w:rsidRDefault="00F64776" w:rsidP="00F64776">
      <w:pPr>
        <w:pStyle w:val="SntesisDescriptiva"/>
      </w:pPr>
      <w:r>
        <w:t>Acepta una abstención en el recurso de amparo 6174-2022, promovido en proceso contencioso-administrativo.</w:t>
      </w:r>
    </w:p>
    <w:p w14:paraId="71DBE885" w14:textId="1C7434B9" w:rsidR="00F64776" w:rsidRDefault="00F64776" w:rsidP="00F64776">
      <w:pPr>
        <w:pStyle w:val="SntesisDescriptiva"/>
      </w:pPr>
    </w:p>
    <w:p w14:paraId="79C81938" w14:textId="77777777" w:rsidR="00F64776" w:rsidRDefault="00F64776" w:rsidP="00F64776">
      <w:pPr>
        <w:pStyle w:val="SntesisDescriptiva"/>
      </w:pPr>
    </w:p>
    <w:p w14:paraId="1D6CABC0" w14:textId="77777777" w:rsidR="00F64776" w:rsidRDefault="00F64776" w:rsidP="00F64776">
      <w:pPr>
        <w:pStyle w:val="SntesisDescriptiva"/>
      </w:pPr>
    </w:p>
    <w:p w14:paraId="551E4D2B" w14:textId="77777777" w:rsidR="00F64776" w:rsidRDefault="00F64776" w:rsidP="00F64776">
      <w:pPr>
        <w:pStyle w:val="TextoNormalNegritaCentrado"/>
      </w:pPr>
      <w:r>
        <w:t>AUTO</w:t>
      </w:r>
    </w:p>
    <w:p w14:paraId="277785E1" w14:textId="2F57C49B" w:rsidR="00F64776" w:rsidRDefault="00F64776" w:rsidP="00F64776">
      <w:pPr>
        <w:pStyle w:val="TextoNormalNegritaCentrado"/>
      </w:pPr>
    </w:p>
    <w:p w14:paraId="7ED9A831" w14:textId="77777777" w:rsidR="00F64776" w:rsidRDefault="00F64776" w:rsidP="00F64776">
      <w:pPr>
        <w:pStyle w:val="TextoNormalNegritaCentrado"/>
        <w:keepNext/>
      </w:pPr>
      <w:r>
        <w:t>I. Antecedentes</w:t>
      </w:r>
    </w:p>
    <w:p w14:paraId="30ECDD85" w14:textId="09FB0ACA" w:rsidR="00F64776" w:rsidRDefault="00F64776" w:rsidP="00F64776">
      <w:pPr>
        <w:pStyle w:val="TextoNormalNegritaCentrado"/>
        <w:keepNext/>
      </w:pPr>
    </w:p>
    <w:p w14:paraId="42A2DFDC" w14:textId="38EBD36D" w:rsidR="00F64776" w:rsidRDefault="00F64776" w:rsidP="00F64776">
      <w:pPr>
        <w:pStyle w:val="TextoNormal"/>
      </w:pPr>
      <w:r w:rsidRPr="00F64776">
        <w:rPr>
          <w:rStyle w:val="NumeroAFNegritaCaracter"/>
        </w:rPr>
        <w:t>1</w:t>
      </w:r>
      <w:r>
        <w:t>. Mediante escrito registrado en este tribunal el 21 de septiembre de 2022 la procuradora de los tribunales doña Ana María Araúz de Robles Villalón, en nombre y representación de doña Ana María de Castro Fernández y otros y bajo la dirección del letrado don Francisco Javier Araúz de Robles Dávila, interpuso demanda de amparo contra providencia de la Salade lo Contencioso-Administrativo del Tribunal Supremo en recurso de casación núm. 8019-2021.</w:t>
      </w:r>
    </w:p>
    <w:p w14:paraId="0308D3B5" w14:textId="77777777" w:rsidR="00F64776" w:rsidRDefault="00F64776" w:rsidP="00F64776">
      <w:pPr>
        <w:pStyle w:val="TextoNormal"/>
      </w:pPr>
    </w:p>
    <w:p w14:paraId="35463317" w14:textId="0FA23FA6" w:rsidR="00F64776" w:rsidRDefault="00F64776" w:rsidP="00F64776">
      <w:pPr>
        <w:pStyle w:val="TextoNormal"/>
      </w:pPr>
      <w:r w:rsidRPr="00F64776">
        <w:rPr>
          <w:rStyle w:val="NumeroAFNegritaCaracter"/>
        </w:rPr>
        <w:t>2</w:t>
      </w:r>
      <w:r>
        <w:t>. Por escrito de 22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1E66A75A" w14:textId="77777777" w:rsidR="00F64776" w:rsidRDefault="00F64776" w:rsidP="00F64776">
      <w:pPr>
        <w:pStyle w:val="TextoNormal"/>
      </w:pPr>
    </w:p>
    <w:p w14:paraId="0481714F" w14:textId="77777777" w:rsidR="00F64776" w:rsidRDefault="00F64776" w:rsidP="00F64776">
      <w:pPr>
        <w:pStyle w:val="TextoNormalNegritaCentrado"/>
        <w:keepNext/>
      </w:pPr>
      <w:r>
        <w:t>II. Fundamentos jurídicos</w:t>
      </w:r>
    </w:p>
    <w:p w14:paraId="1B07B137" w14:textId="11264713" w:rsidR="00F64776" w:rsidRDefault="00F64776" w:rsidP="00F64776">
      <w:pPr>
        <w:pStyle w:val="TextoNormalNegritaCentrado"/>
        <w:keepNext/>
      </w:pPr>
    </w:p>
    <w:p w14:paraId="021AA183" w14:textId="3079B021"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482A0940" w14:textId="77777777" w:rsidR="00F64776" w:rsidRDefault="00F64776" w:rsidP="00F64776">
      <w:pPr>
        <w:pStyle w:val="TextoNormal"/>
      </w:pPr>
    </w:p>
    <w:p w14:paraId="21A5A900" w14:textId="77777777" w:rsidR="00F64776" w:rsidRDefault="00F64776" w:rsidP="00F64776">
      <w:pPr>
        <w:pStyle w:val="TextoNormal"/>
      </w:pPr>
      <w:r>
        <w:t>Por lo expuesto, la Sección</w:t>
      </w:r>
    </w:p>
    <w:p w14:paraId="32AE5EFB" w14:textId="667E984D" w:rsidR="00F64776" w:rsidRDefault="00F64776" w:rsidP="00F64776">
      <w:pPr>
        <w:pStyle w:val="TextoNormal"/>
      </w:pPr>
    </w:p>
    <w:p w14:paraId="5838AAF2" w14:textId="77777777" w:rsidR="00F64776" w:rsidRDefault="00F64776" w:rsidP="00F64776">
      <w:pPr>
        <w:pStyle w:val="TextoNormalCentrado"/>
      </w:pPr>
      <w:r>
        <w:t>ACUERDA</w:t>
      </w:r>
    </w:p>
    <w:p w14:paraId="2AD02453" w14:textId="0E0E5DFF" w:rsidR="00F64776" w:rsidRDefault="00F64776" w:rsidP="00F64776">
      <w:pPr>
        <w:pStyle w:val="TextoNormalCentrado"/>
      </w:pPr>
    </w:p>
    <w:p w14:paraId="4E538127" w14:textId="748E9632" w:rsidR="00F64776" w:rsidRDefault="00F64776" w:rsidP="00F64776">
      <w:pPr>
        <w:pStyle w:val="TextoNormal"/>
      </w:pPr>
      <w:r>
        <w:t>Estimar justificada la abstención formulada por el magistrado señor don César Tolosa Tribiño en el recurso de amparo núm. 6174-2022 y apartarle definitivamente del conocimiento del referido recurso y de todas sus incidencias.</w:t>
      </w:r>
    </w:p>
    <w:p w14:paraId="303D0519" w14:textId="77777777" w:rsidR="00F64776" w:rsidRDefault="00F64776" w:rsidP="00F64776">
      <w:pPr>
        <w:pStyle w:val="TextoNormal"/>
      </w:pPr>
    </w:p>
    <w:p w14:paraId="7B045D01" w14:textId="77777777" w:rsidR="00F64776" w:rsidRDefault="00F64776" w:rsidP="00F64776">
      <w:pPr>
        <w:pStyle w:val="TextoNormal"/>
      </w:pPr>
      <w:r>
        <w:t>Madrid, a tres de julio de dos mil veintitrés.</w:t>
      </w:r>
    </w:p>
    <w:p w14:paraId="130E11BC" w14:textId="1DCB1FF5" w:rsidR="00F64776" w:rsidRDefault="00F64776">
      <w:pPr>
        <w:spacing w:after="160" w:line="278" w:lineRule="auto"/>
        <w:rPr>
          <w:rFonts w:ascii="Times New Roman" w:eastAsia="Times New Roman" w:hAnsi="Times New Roman" w:cs="Times New Roman"/>
          <w:sz w:val="24"/>
          <w:szCs w:val="24"/>
          <w:lang w:eastAsia="es-ES"/>
        </w:rPr>
      </w:pPr>
      <w:r>
        <w:br w:type="page"/>
      </w:r>
    </w:p>
    <w:p w14:paraId="28A15F61" w14:textId="77777777" w:rsidR="00F64776" w:rsidRDefault="00F64776" w:rsidP="00F64776">
      <w:pPr>
        <w:pStyle w:val="TtuloResolucin"/>
      </w:pPr>
      <w:bookmarkStart w:id="137" w:name="AUTO_2023_352"/>
      <w:r>
        <w:t>AUTO 352/2023, de 3 de julio de 2023</w:t>
      </w:r>
    </w:p>
    <w:bookmarkEnd w:id="137"/>
    <w:p w14:paraId="1D363FF7" w14:textId="77777777" w:rsidR="00F64776" w:rsidRDefault="00F64776" w:rsidP="00F64776">
      <w:pPr>
        <w:pStyle w:val="TtuloResolucin"/>
      </w:pPr>
      <w:r>
        <w:t>Sección Tercera</w:t>
      </w:r>
    </w:p>
    <w:p w14:paraId="52374F30" w14:textId="77777777" w:rsidR="00F64776" w:rsidRDefault="00F64776" w:rsidP="00F64776">
      <w:pPr>
        <w:pStyle w:val="TextoNormalCentrado"/>
      </w:pPr>
      <w:r>
        <w:t>ECLI:ES:TC:2023:352A</w:t>
      </w:r>
    </w:p>
    <w:p w14:paraId="5CA79B0F" w14:textId="24F47B9F" w:rsidR="00F64776" w:rsidRDefault="00F64776" w:rsidP="00F64776">
      <w:pPr>
        <w:pStyle w:val="TextoNormalCentrado"/>
      </w:pPr>
    </w:p>
    <w:p w14:paraId="72F7D7A2" w14:textId="77777777" w:rsidR="00F64776" w:rsidRDefault="00F64776" w:rsidP="00F64776">
      <w:pPr>
        <w:pStyle w:val="SntesisDescriptiva"/>
      </w:pPr>
      <w:r>
        <w:t>Excms. Srs. doña Inmaculada Montalbán Huertas y doña Laura Díez Bueso.</w:t>
      </w:r>
    </w:p>
    <w:p w14:paraId="33924760" w14:textId="0DC8FF53" w:rsidR="00F64776" w:rsidRDefault="00F64776" w:rsidP="00F64776">
      <w:pPr>
        <w:pStyle w:val="SntesisDescriptiva"/>
      </w:pPr>
    </w:p>
    <w:p w14:paraId="5F147866" w14:textId="77777777" w:rsidR="00F64776" w:rsidRDefault="00F64776" w:rsidP="00F64776">
      <w:pPr>
        <w:pStyle w:val="SntesisDescriptiva"/>
      </w:pPr>
      <w:r>
        <w:t>Acepta una abstención en el recurso de amparo 6203-2022, promovido en proceso contencioso-administrativo.</w:t>
      </w:r>
    </w:p>
    <w:p w14:paraId="390DA1CB" w14:textId="5B04B805" w:rsidR="00F64776" w:rsidRDefault="00F64776" w:rsidP="00F64776">
      <w:pPr>
        <w:pStyle w:val="SntesisDescriptiva"/>
      </w:pPr>
    </w:p>
    <w:p w14:paraId="6DE40BF0" w14:textId="77777777" w:rsidR="00F64776" w:rsidRDefault="00F64776" w:rsidP="00F64776">
      <w:pPr>
        <w:pStyle w:val="SntesisDescriptiva"/>
      </w:pPr>
    </w:p>
    <w:p w14:paraId="174B6837" w14:textId="77777777" w:rsidR="00F64776" w:rsidRDefault="00F64776" w:rsidP="00F64776">
      <w:pPr>
        <w:pStyle w:val="SntesisDescriptiva"/>
      </w:pPr>
    </w:p>
    <w:p w14:paraId="15DF2BC2" w14:textId="77777777" w:rsidR="00F64776" w:rsidRDefault="00F64776" w:rsidP="00F64776">
      <w:pPr>
        <w:pStyle w:val="TextoNormalNegritaCentrado"/>
      </w:pPr>
      <w:r>
        <w:t>AUTO</w:t>
      </w:r>
    </w:p>
    <w:p w14:paraId="731E779F" w14:textId="72DFFC4E" w:rsidR="00F64776" w:rsidRDefault="00F64776" w:rsidP="00F64776">
      <w:pPr>
        <w:pStyle w:val="TextoNormalNegritaCentrado"/>
      </w:pPr>
    </w:p>
    <w:p w14:paraId="31C03208" w14:textId="77777777" w:rsidR="00F64776" w:rsidRDefault="00F64776" w:rsidP="00F64776">
      <w:pPr>
        <w:pStyle w:val="TextoNormalNegritaCentrado"/>
        <w:keepNext/>
      </w:pPr>
      <w:r>
        <w:t>I. Antecedentes</w:t>
      </w:r>
    </w:p>
    <w:p w14:paraId="49C01EE9" w14:textId="6A6EA516" w:rsidR="00F64776" w:rsidRDefault="00F64776" w:rsidP="00F64776">
      <w:pPr>
        <w:pStyle w:val="TextoNormalNegritaCentrado"/>
        <w:keepNext/>
      </w:pPr>
    </w:p>
    <w:p w14:paraId="2A88088A" w14:textId="3937CB1D" w:rsidR="00F64776" w:rsidRDefault="00F64776" w:rsidP="00F64776">
      <w:pPr>
        <w:pStyle w:val="TextoNormal"/>
      </w:pPr>
      <w:r w:rsidRPr="00F64776">
        <w:rPr>
          <w:rStyle w:val="NumeroAFNegritaCaracter"/>
        </w:rPr>
        <w:t>1</w:t>
      </w:r>
      <w:r>
        <w:t>. Mediante escrito registrado en este tribunal el 21 de septiembre de 2022 la procuradora de los tribunales doña Ana María Araúz de Robles Villalón, en nombre y representación de doña María del Pilar Valcárcel Cidad y bajo la dirección del letrado don Francisco Javier Araúz de Robles Dávila, interpuso demanda de amparo contra la providencia de 6 de julio de 2022 dictada por la Sección Primera de la Sala de lo Contencioso-Administrativo del Tribunal Supremo en recurso de casación núm. 8518-2021.</w:t>
      </w:r>
    </w:p>
    <w:p w14:paraId="11E3B0FF" w14:textId="77777777" w:rsidR="00F64776" w:rsidRDefault="00F64776" w:rsidP="00F64776">
      <w:pPr>
        <w:pStyle w:val="TextoNormal"/>
      </w:pPr>
    </w:p>
    <w:p w14:paraId="01600C6F" w14:textId="400A5EE8" w:rsidR="00F64776" w:rsidRDefault="00F64776" w:rsidP="00F64776">
      <w:pPr>
        <w:pStyle w:val="TextoNormal"/>
      </w:pPr>
      <w:r w:rsidRPr="00F64776">
        <w:rPr>
          <w:rStyle w:val="NumeroAFNegritaCaracter"/>
        </w:rPr>
        <w:t>2</w:t>
      </w:r>
      <w:r>
        <w:t>. Por escrito de 29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1CD1DCA7" w14:textId="77777777" w:rsidR="00F64776" w:rsidRDefault="00F64776" w:rsidP="00F64776">
      <w:pPr>
        <w:pStyle w:val="TextoNormal"/>
      </w:pPr>
    </w:p>
    <w:p w14:paraId="1D4B7B86" w14:textId="77777777" w:rsidR="00F64776" w:rsidRDefault="00F64776" w:rsidP="00F64776">
      <w:pPr>
        <w:pStyle w:val="TextoNormalNegritaCentrado"/>
        <w:keepNext/>
      </w:pPr>
      <w:r>
        <w:t>II. Fundamentos jurídicos</w:t>
      </w:r>
    </w:p>
    <w:p w14:paraId="49A25C6D" w14:textId="74C0A373" w:rsidR="00F64776" w:rsidRDefault="00F64776" w:rsidP="00F64776">
      <w:pPr>
        <w:pStyle w:val="TextoNormalNegritaCentrado"/>
        <w:keepNext/>
      </w:pPr>
    </w:p>
    <w:p w14:paraId="41FC62E2" w14:textId="2DA80746"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0632DE29" w14:textId="77777777" w:rsidR="00F64776" w:rsidRDefault="00F64776" w:rsidP="00F64776">
      <w:pPr>
        <w:pStyle w:val="TextoNormal"/>
      </w:pPr>
    </w:p>
    <w:p w14:paraId="155DB2B9" w14:textId="77777777" w:rsidR="00F64776" w:rsidRDefault="00F64776" w:rsidP="00F64776">
      <w:pPr>
        <w:pStyle w:val="TextoNormal"/>
      </w:pPr>
      <w:r>
        <w:t>Por lo expuesto, la Sección</w:t>
      </w:r>
    </w:p>
    <w:p w14:paraId="497B23F6" w14:textId="141F71CE" w:rsidR="00F64776" w:rsidRDefault="00F64776" w:rsidP="00F64776">
      <w:pPr>
        <w:pStyle w:val="TextoNormal"/>
      </w:pPr>
    </w:p>
    <w:p w14:paraId="5DF6FF10" w14:textId="77777777" w:rsidR="00F64776" w:rsidRDefault="00F64776" w:rsidP="00F64776">
      <w:pPr>
        <w:pStyle w:val="TextoNormalCentrado"/>
      </w:pPr>
      <w:r>
        <w:t>ACUERDA</w:t>
      </w:r>
    </w:p>
    <w:p w14:paraId="03967396" w14:textId="3DDCE2D6" w:rsidR="00F64776" w:rsidRDefault="00F64776" w:rsidP="00F64776">
      <w:pPr>
        <w:pStyle w:val="TextoNormalCentrado"/>
      </w:pPr>
    </w:p>
    <w:p w14:paraId="6EB59F3D" w14:textId="48AACF16" w:rsidR="00F64776" w:rsidRDefault="00F64776" w:rsidP="00F64776">
      <w:pPr>
        <w:pStyle w:val="TextoNormal"/>
      </w:pPr>
      <w:r>
        <w:t>Estimar justificada la abstención formulada por el magistrado señor don César Tolosa Tribiño en el recurso de amparo núm. 6203-2022 y apartarle definitivamente del conocimiento del referido recurso y de todas sus incidencias.</w:t>
      </w:r>
    </w:p>
    <w:p w14:paraId="6F1BB930" w14:textId="77777777" w:rsidR="00F64776" w:rsidRDefault="00F64776" w:rsidP="00F64776">
      <w:pPr>
        <w:pStyle w:val="TextoNormal"/>
      </w:pPr>
    </w:p>
    <w:p w14:paraId="6039AB14" w14:textId="77777777" w:rsidR="00F64776" w:rsidRDefault="00F64776" w:rsidP="00F64776">
      <w:pPr>
        <w:pStyle w:val="TextoNormal"/>
      </w:pPr>
      <w:r>
        <w:t>Madrid, a tres de julio de dos mil veintitrés.</w:t>
      </w:r>
    </w:p>
    <w:p w14:paraId="032F6BB6" w14:textId="4D43E3C2" w:rsidR="00F64776" w:rsidRDefault="00F64776">
      <w:pPr>
        <w:spacing w:after="160" w:line="278" w:lineRule="auto"/>
        <w:rPr>
          <w:rFonts w:ascii="Times New Roman" w:eastAsia="Times New Roman" w:hAnsi="Times New Roman" w:cs="Times New Roman"/>
          <w:sz w:val="24"/>
          <w:szCs w:val="24"/>
          <w:lang w:eastAsia="es-ES"/>
        </w:rPr>
      </w:pPr>
      <w:r>
        <w:br w:type="page"/>
      </w:r>
    </w:p>
    <w:p w14:paraId="6DDC5D13" w14:textId="77777777" w:rsidR="00F64776" w:rsidRDefault="00F64776" w:rsidP="00F64776">
      <w:pPr>
        <w:pStyle w:val="TtuloResolucin"/>
      </w:pPr>
      <w:bookmarkStart w:id="138" w:name="AUTO_2023_353"/>
      <w:r>
        <w:t>AUTO 353/2023, de 4 de julio de 2023</w:t>
      </w:r>
    </w:p>
    <w:bookmarkEnd w:id="138"/>
    <w:p w14:paraId="35602596" w14:textId="77777777" w:rsidR="00F64776" w:rsidRDefault="00F64776" w:rsidP="00F64776">
      <w:pPr>
        <w:pStyle w:val="TtuloResolucin"/>
      </w:pPr>
      <w:r>
        <w:t>Pleno</w:t>
      </w:r>
    </w:p>
    <w:p w14:paraId="282373B3" w14:textId="77777777" w:rsidR="00F64776" w:rsidRDefault="00F64776" w:rsidP="00F64776">
      <w:pPr>
        <w:pStyle w:val="TextoNormalCentrado"/>
      </w:pPr>
      <w:r>
        <w:t>ECLI:ES:TC:2023:353A</w:t>
      </w:r>
    </w:p>
    <w:p w14:paraId="32BC907E" w14:textId="07000DF0" w:rsidR="00F64776" w:rsidRDefault="00F64776" w:rsidP="00F64776">
      <w:pPr>
        <w:pStyle w:val="TextoNormalCentrado"/>
      </w:pPr>
    </w:p>
    <w:p w14:paraId="65543543" w14:textId="77777777" w:rsidR="00F64776" w:rsidRDefault="00F64776" w:rsidP="00F64776">
      <w:pPr>
        <w:pStyle w:val="SntesisDescriptiva"/>
      </w:pPr>
      <w:r>
        <w:t>Excms. Srs. doña Inmaculada Montalbán Huertas, doña María Luisa Balaguer Callejón, don Ramón Sáez Valcárcel, don Enrique Arnaldo Alcubilla, doña Concepción Espejel Jorquera, doña María Luisa Segoviano Astaburuaga, don César Tolosa Tribiño y doña Laura Díez Bueso.</w:t>
      </w:r>
    </w:p>
    <w:p w14:paraId="6708FB52" w14:textId="7E38D51A" w:rsidR="00F64776" w:rsidRDefault="00F64776" w:rsidP="00F64776">
      <w:pPr>
        <w:pStyle w:val="SntesisDescriptiva"/>
      </w:pPr>
    </w:p>
    <w:p w14:paraId="444AED9B" w14:textId="77777777" w:rsidR="00F64776" w:rsidRDefault="00F64776" w:rsidP="00F64776">
      <w:pPr>
        <w:pStyle w:val="SntesisDescriptiva"/>
      </w:pPr>
      <w:r>
        <w:t>Estima el recurso de súplica interpuesto en relación con el ATC 236/2023, de 9 de mayo, que inadmitió las recusaciones planteadas en el recurso de amparo 1234-2022, promovido por don Josep Costa i Roselló en causa penal.</w:t>
      </w:r>
    </w:p>
    <w:p w14:paraId="7BD7E8D0" w14:textId="250B79C3" w:rsidR="00F64776" w:rsidRDefault="00F64776" w:rsidP="00F64776">
      <w:pPr>
        <w:pStyle w:val="SntesisDescriptiva"/>
      </w:pPr>
    </w:p>
    <w:p w14:paraId="1283188B" w14:textId="77777777" w:rsidR="00F64776" w:rsidRDefault="00F64776" w:rsidP="00F64776">
      <w:pPr>
        <w:pStyle w:val="SntesisDescriptiva"/>
      </w:pPr>
    </w:p>
    <w:p w14:paraId="2BC7D158" w14:textId="77777777" w:rsidR="00F64776" w:rsidRDefault="00F64776" w:rsidP="00F64776">
      <w:pPr>
        <w:pStyle w:val="SntesisDescriptiva"/>
      </w:pPr>
    </w:p>
    <w:p w14:paraId="3F369D11" w14:textId="77777777" w:rsidR="00F64776" w:rsidRDefault="00F64776" w:rsidP="00F64776">
      <w:pPr>
        <w:pStyle w:val="TextoNormalNegritaCentrado"/>
      </w:pPr>
      <w:r>
        <w:t>AUTO</w:t>
      </w:r>
    </w:p>
    <w:p w14:paraId="4EEB0736" w14:textId="29806F32" w:rsidR="00F64776" w:rsidRDefault="00F64776" w:rsidP="00F64776">
      <w:pPr>
        <w:pStyle w:val="TextoNormalNegritaCentrado"/>
      </w:pPr>
    </w:p>
    <w:p w14:paraId="798BEE9C" w14:textId="77777777" w:rsidR="00F64776" w:rsidRDefault="00F64776" w:rsidP="00F64776">
      <w:pPr>
        <w:pStyle w:val="TextoNormalNegritaCentrado"/>
        <w:keepNext/>
      </w:pPr>
      <w:r>
        <w:t>I. Antecedentes</w:t>
      </w:r>
    </w:p>
    <w:p w14:paraId="6286D6E1" w14:textId="69EE6455" w:rsidR="00F64776" w:rsidRDefault="00F64776" w:rsidP="00F64776">
      <w:pPr>
        <w:pStyle w:val="TextoNormalNegritaCentrado"/>
        <w:keepNext/>
      </w:pPr>
    </w:p>
    <w:p w14:paraId="4F3789E3" w14:textId="133B1839" w:rsidR="00F64776" w:rsidRDefault="00F64776" w:rsidP="00F64776">
      <w:pPr>
        <w:pStyle w:val="TextoNormal"/>
      </w:pPr>
      <w:r w:rsidRPr="00F64776">
        <w:rPr>
          <w:rStyle w:val="NumeroAFNegritaCaracter"/>
        </w:rPr>
        <w:t>1</w:t>
      </w:r>
      <w:r>
        <w:t>. Mediante escrito registrado en este tribunal el 24 de febrero de 2022, el procurador de los tribunales don Carlos Ricardo Estévez Sanz, en nombre y representación de don Josep Costa i Roselló, quien asume su propia defensa, interpuso un recurso de amparo contra las siguientes resoluciones: (i) el auto de 25 de octubre de 2021, dictado por la magistrada instructora de las diligencias previas núm. 2-2021, seguidas por delito de desobediencia ante el Tribunal Superior de Justicia de Cataluña respecto del ahora recurrente, entre otros, por el que se acordaba su detención; (ii) el auto de 23 de noviembre de 2021, por el que se desestimó el recurso de reforma interpuesto contra la resolución anterior, y (iii) el auto de 11 de enero de 2022, dictado por la Sala de lo Civil y Penal del Tribunal Superior de Justicia de Cataluña, por el que se desestimó el recurso de apelación interpuesto contra el auto de 23 de noviembre de 2021. En la demanda se alega la vulneración de los derechos fundamentales reconocidos en los arts. 17, 19, 23 y 24 CE, en relación con los arts. 14, 16, 20 y 21 CE; así como el art. 5 del Convenio europeo de derechos humanos (CEDH), en relación con los arts. 6, 9, 10, 11 y 14 CEDH, el art. 3 del Protocolo núm. 1 al CEDH, el art. 2 del Protocolo núm. 4 al CEDH, el art. 18 CEDH y el art. 1 del Protocolo núm. 12 al CEDH.</w:t>
      </w:r>
    </w:p>
    <w:p w14:paraId="3D64C07E" w14:textId="77777777" w:rsidR="00F64776" w:rsidRDefault="00F64776" w:rsidP="00F64776">
      <w:pPr>
        <w:pStyle w:val="TextoNormal"/>
      </w:pPr>
    </w:p>
    <w:p w14:paraId="02535BAF" w14:textId="3F8CB932" w:rsidR="00F64776" w:rsidRDefault="00F64776" w:rsidP="00F64776">
      <w:pPr>
        <w:pStyle w:val="TextoNormal"/>
      </w:pPr>
      <w:r w:rsidRPr="00F64776">
        <w:rPr>
          <w:rStyle w:val="NumeroAFNegritaCaracter"/>
        </w:rPr>
        <w:t>2</w:t>
      </w:r>
      <w:r>
        <w:t>. En el escrito de demanda, y por medio de otrosí digo primero, se formuló recusación contra los magistrados don Pedro José González-Trevijano Sánchez, don Juan Antonio Xiol Ríos, don Santiago Martínez-Vares García, don Antonio Narváez Rodríguez, don Alfredo Montoya Melgar, don Ricardo Enríquez Sancho y don Cándido Conde-Pumpido Tourón, y contra la magistrada doña María Luisa Balaguer Callejón. El recurrente consideró que concurren en todos ellos las causas de recusación previstas en los apartados 7, 10, 11 y 13 del art. 219 de la Ley Orgánica del Poder Judicial (LOPJ), por haber intervenido en anteriores instancias y haber actuado como denunciantes de los hechos objeto de la causa penal seguida contra el ahora demandante.</w:t>
      </w:r>
    </w:p>
    <w:p w14:paraId="446B8C61" w14:textId="77777777" w:rsidR="00F64776" w:rsidRDefault="00F64776" w:rsidP="00F64776">
      <w:pPr>
        <w:pStyle w:val="TextoNormal"/>
      </w:pPr>
    </w:p>
    <w:p w14:paraId="73141AFE" w14:textId="77777777" w:rsidR="00F64776" w:rsidRDefault="00F64776" w:rsidP="00F64776">
      <w:pPr>
        <w:pStyle w:val="TextoNormal"/>
      </w:pPr>
      <w:r w:rsidRPr="00F64776">
        <w:rPr>
          <w:rStyle w:val="NumeroAFNegritaCaracter"/>
        </w:rPr>
        <w:t>3</w:t>
      </w:r>
      <w:r>
        <w:t>. Por ATC 75/2022, de 27 de abril, el Pleno del Tribunal acordó la inadmisión a trámite de las recusaciones promovidas. Tras recordar la singular naturaleza de este órgano constitucional y sus miembros (FJ 2), el Tribunal inadmitió la pretensión por aplicación de su conocida doctrina (AATC 62/2020 y 63/2020, de 17 de junio, FJ 3 de ambos, y 86/2021, de 16 de septiembre, FJ 3) que permite adoptar este tipo de decisiones cuando “la recusación se dirija contra todos los magistrados del Tribunal, situación que ha sido asimilada a la recusación de tal número de magistrados que supongan una ‘paralización inaceptable’ de sus funciones. Eso determina la inadmisión de plano de las recusaciones formuladas ‘por comportar un uso manifiestamente abusivo del ejercicio de esa facultad [de recusación], tendente a impedir el normal ejercicio’ de la jurisdicción constitucional (ATC 107/2021, de 15 de diciembre, FJ 3)” (FJ 3).</w:t>
      </w:r>
    </w:p>
    <w:p w14:paraId="260116EF" w14:textId="77777777" w:rsidR="00F64776" w:rsidRDefault="00F64776" w:rsidP="00F64776">
      <w:pPr>
        <w:pStyle w:val="TextoNormal"/>
      </w:pPr>
    </w:p>
    <w:p w14:paraId="1725B814" w14:textId="147B5369" w:rsidR="00F64776" w:rsidRDefault="00F64776" w:rsidP="00F64776">
      <w:pPr>
        <w:pStyle w:val="TextoNormal"/>
      </w:pPr>
      <w:r>
        <w:t>No obstante, el Tribunal reiteró al recurrente (como ya le había sido indicado en el ATC 86/2021, de 16 de septiembre, FJ 4) que este tipo de peticiones “no puede prosperar. Las causas de recusación alegadas se fundamentan en el ejercicio mismo de las funciones del Tribunal que, por su carácter de ‘único en su género’ y ser ‘sus miembros […] insustituibles’, no puede ‘dejar de cumplir’ sus atribuciones por ‘haber resuelto otros procesos constitucionales […] que puedan tener relación con las cuestiones planteadas en este recurso de amparo’. La ‘tacha’ dirigida contra este tribunal es ‘equivalente a la descalificación del órgano mismo […], por lo que, de acuerdo con la jurisprudencia constitucional, la recusación formulada carece de sustantividad jurídica y no es acreedora de una decisión sobre el fondo (AATC 268/2014, de 4 de noviembre, FJ 2; 269/2014, de 4 de noviembre, FJ 2; 119/2017, de 7 de septiembre, FJ 3; 125/2017, de 20 de septiembre, FJ 5; 132/2017, de 3 de octubre; 62/2020, FJ 4, y 63/2020, FJ 4)’. Esta doctrina fue reiterada en el ATC 111/2021, de 16 de diciembre, FJ 4, confirmatorio del anterior, como el recurrente igualmente conoce”.</w:t>
      </w:r>
    </w:p>
    <w:p w14:paraId="3D4749D4" w14:textId="77777777" w:rsidR="00F64776" w:rsidRDefault="00F64776" w:rsidP="00F64776">
      <w:pPr>
        <w:pStyle w:val="TextoNormal"/>
      </w:pPr>
    </w:p>
    <w:p w14:paraId="4D166CDA" w14:textId="705AD2B7" w:rsidR="00F64776" w:rsidRDefault="00F64776" w:rsidP="00F64776">
      <w:pPr>
        <w:pStyle w:val="TextoNormal"/>
      </w:pPr>
      <w:r w:rsidRPr="00F64776">
        <w:rPr>
          <w:rStyle w:val="NumeroAFNegritaCaracter"/>
        </w:rPr>
        <w:t>4</w:t>
      </w:r>
      <w:r>
        <w:t>. Frente al auto anterior el demandante interpuso recurso de súplica, que fue desestimado por el ATC 96/2022, de 15 de junio.</w:t>
      </w:r>
    </w:p>
    <w:p w14:paraId="693A6049" w14:textId="77777777" w:rsidR="00F64776" w:rsidRDefault="00F64776" w:rsidP="00F64776">
      <w:pPr>
        <w:pStyle w:val="TextoNormal"/>
      </w:pPr>
    </w:p>
    <w:p w14:paraId="5489E4E9" w14:textId="39FA23B3" w:rsidR="00F64776" w:rsidRDefault="00F64776" w:rsidP="00F64776">
      <w:pPr>
        <w:pStyle w:val="TextoNormal"/>
      </w:pPr>
      <w:r w:rsidRPr="00F64776">
        <w:rPr>
          <w:rStyle w:val="NumeroAFNegritaCaracter"/>
        </w:rPr>
        <w:t>5</w:t>
      </w:r>
      <w:r>
        <w:t>. Bajo la misma representación procesal y defensa, el recurrente presentó el 16 de marzo de 2023 en el registro de este tribunal, escrito por el que recusa a su presidente, don Cándido Conde-Pumpido Tourón, y a los magistrados don Ricardo Enríquez Sancho y don Juan Carlos Campo Moreno, de conformidad con lo previsto en el art. 219.1, 4, 9, 10, 12, 14 y 15 LOPJ, en relación con el art. 80 de la Ley Orgánica del Tribunal Constitucional (LOTC), con invocación del derecho al juez imparcial y del derecho a la igualdad en la aplicación de la ley, esto último ante precedentes autos estimatorios de abstenciones que son citados por el recurrente.</w:t>
      </w:r>
    </w:p>
    <w:p w14:paraId="2B8F9F7C" w14:textId="77777777" w:rsidR="00F64776" w:rsidRDefault="00F64776" w:rsidP="00F64776">
      <w:pPr>
        <w:pStyle w:val="TextoNormal"/>
      </w:pPr>
    </w:p>
    <w:p w14:paraId="7A2C24A1" w14:textId="0A862D6D" w:rsidR="00F64776" w:rsidRDefault="00F64776" w:rsidP="00F64776">
      <w:pPr>
        <w:pStyle w:val="TextoNormal"/>
      </w:pPr>
      <w:r w:rsidRPr="00F64776">
        <w:rPr>
          <w:rStyle w:val="NumeroAFNegritaCaracter"/>
        </w:rPr>
        <w:t>6</w:t>
      </w:r>
      <w:r>
        <w:t>. El secretario de justicia de la Sala Primera de este tribunal dictó diligencia de ordenación el 21 de marzo de 2023, en la que acordó dar cuenta al Pleno del escrito de recusación presentado, a los efectos oportunos.</w:t>
      </w:r>
    </w:p>
    <w:p w14:paraId="2A813932" w14:textId="77777777" w:rsidR="00F64776" w:rsidRDefault="00F64776" w:rsidP="00F64776">
      <w:pPr>
        <w:pStyle w:val="TextoNormal"/>
      </w:pPr>
    </w:p>
    <w:p w14:paraId="415F8FD1" w14:textId="17A2B45D" w:rsidR="00F64776" w:rsidRDefault="00F64776" w:rsidP="00F64776">
      <w:pPr>
        <w:pStyle w:val="TextoNormal"/>
      </w:pPr>
      <w:r w:rsidRPr="00F64776">
        <w:rPr>
          <w:rStyle w:val="NumeroAFNegritaCaracter"/>
        </w:rPr>
        <w:t>7</w:t>
      </w:r>
      <w:r>
        <w:t>. El secretario de justicia del Pleno de este tribunal dictó diligencia de ordenación el 22 de marzo de 2023, por la que se tiene por recibida la anterior comunicación de la Sala Primera “y se acuerda designar ponente del incidente de recusación a la magistrada doña Concepción Espejel Jorquera, a la que por turno corresponde, a fin de que proponga al Pleno la resolución que proceda”.</w:t>
      </w:r>
    </w:p>
    <w:p w14:paraId="645C8732" w14:textId="77777777" w:rsidR="00F64776" w:rsidRDefault="00F64776" w:rsidP="00F64776">
      <w:pPr>
        <w:pStyle w:val="TextoNormal"/>
      </w:pPr>
    </w:p>
    <w:p w14:paraId="02449DFD" w14:textId="77777777" w:rsidR="00F64776" w:rsidRDefault="00F64776" w:rsidP="00F64776">
      <w:pPr>
        <w:pStyle w:val="TextoNormal"/>
      </w:pPr>
      <w:r w:rsidRPr="00F64776">
        <w:rPr>
          <w:rStyle w:val="NumeroAFNegritaCaracter"/>
        </w:rPr>
        <w:t>8</w:t>
      </w:r>
      <w:r>
        <w:t>. Por ATC 236/2023, de 9 de mayo, el Pleno del Tribunal acordó la inadmisión a trámite por extemporaneidad de las recusaciones promovidas. La inadmisión se fundamenta en que el escrito promotor del incidente fue presentado en el registro de este tribunal el día 16 de marzo de 2023, una vez trascurrido en exceso el plazo de diez días a que se refiere el art. 223.1 LOPJ desde el momento en que el recusante tuvo conocimiento efectivo de que los magistrados recusados forman parte de la Sala Primera de este tribunal, cuya Sección Primera está llamada en principio a decidir sobre la admisión a trámite del recurso de amparo núm. 1234-2022.</w:t>
      </w:r>
    </w:p>
    <w:p w14:paraId="13FF2559" w14:textId="77777777" w:rsidR="00F64776" w:rsidRDefault="00F64776" w:rsidP="00F64776">
      <w:pPr>
        <w:pStyle w:val="TextoNormal"/>
      </w:pPr>
    </w:p>
    <w:p w14:paraId="61703A72" w14:textId="77777777" w:rsidR="00F64776" w:rsidRDefault="00F64776" w:rsidP="00F64776">
      <w:pPr>
        <w:pStyle w:val="TextoNormal"/>
      </w:pPr>
      <w:r>
        <w:t>El conocimiento por el recurrente de la composición actual de la Sala Primera y de la Sección Primera de este tribunal es efecto de la publicación en el “Boletín Oficial del Estado” núm. 16, de 19 de enero de 2023, del acuerdo de 17 de enero de 2023, del Pleno del Tribunal Constitucional, por el que se dispone la composición de las Salas y Secciones del Tribunal Constitucional, cuyo artículo 1.1 determina la composición de la Sala Primera y sus apartados 2 y 3 la respectiva composición de las Secciones Primera y Segunda. Igualmente, a partir de esa fecha de publicación, el demandante tuvo conocimiento de la asignación del recurso de amparo que interpuso a la Sección Primera de la Sala Primera de este tribunal, en aplicación del artículo 3.1 del citado acuerdo del Pleno del Tribunal Constitucional, por el cual “[l]os magistrados conservarán las ponencias que tuvieren asignadas, cualquiera que sea la clase y fase en que se encuentre el proceso y de que su conocimiento competa al Pleno, a las salas o a las secciones” y, en lo que aquí respecta, que conserve la ponencia la magistrada doña Concepción Espejel Jorquera, quien pasa a formar parte de la Sala Primera (art. 1.1 del mismo acuerdo del Pleno), como también los tres magistrados recusados.</w:t>
      </w:r>
    </w:p>
    <w:p w14:paraId="0AE3CF52" w14:textId="77777777" w:rsidR="00F64776" w:rsidRDefault="00F64776" w:rsidP="00F64776">
      <w:pPr>
        <w:pStyle w:val="TextoNormal"/>
      </w:pPr>
    </w:p>
    <w:p w14:paraId="41846539" w14:textId="77777777" w:rsidR="00F64776" w:rsidRDefault="00F64776" w:rsidP="00F64776">
      <w:pPr>
        <w:pStyle w:val="TextoNormal"/>
      </w:pPr>
      <w:r>
        <w:t>Conforme al criterio formado por este tribunal, entre otros, en los AATC 256/2013, de 6 de noviembre, FJ único, y 54/2014, de 25 de febrero, FJ 2, sobre el cómputo del plazo de diez días para la recusación de los magistrados que integran sus Salas y Secciones, el demandante de amparo conocía desde el 19 de enero de 2023 que los magistrados recusados forman parte de la Sala Primera llamada resolver este recurso de amparo salvo que, en su caso, sea previamente inadmitido por la Sección Primera.</w:t>
      </w:r>
    </w:p>
    <w:p w14:paraId="29F5A584" w14:textId="77777777" w:rsidR="00F64776" w:rsidRDefault="00F64776" w:rsidP="00F64776">
      <w:pPr>
        <w:pStyle w:val="TextoNormal"/>
      </w:pPr>
    </w:p>
    <w:p w14:paraId="02EAEBD1" w14:textId="77777777" w:rsidR="00F64776" w:rsidRDefault="00F64776" w:rsidP="00F64776">
      <w:pPr>
        <w:pStyle w:val="TextoNormal"/>
      </w:pPr>
      <w:r>
        <w:t xml:space="preserve">En definitiva, transcurrió con creces el plazo para plantear la recusación, a contar desde la fecha de publicación del acuerdo del Pleno en el “Boletín Oficial del Estado” el 19 de enero de 2023, hasta el día 16 de marzo de 2023 en que el demandante promovió este segundo incidente de recusación, por lo que resulta evidente y manifiesta la extemporaneidad de esta recusación que, por tal motivo, fue rechazada </w:t>
      </w:r>
      <w:r w:rsidRPr="00F64776">
        <w:rPr>
          <w:i/>
        </w:rPr>
        <w:t>a limine</w:t>
      </w:r>
      <w:r>
        <w:t xml:space="preserve"> de acuerdo con lo dispuesto en el art. 223.1 LOPJ.</w:t>
      </w:r>
    </w:p>
    <w:p w14:paraId="13000721" w14:textId="77777777" w:rsidR="00F64776" w:rsidRDefault="00F64776" w:rsidP="00F64776">
      <w:pPr>
        <w:pStyle w:val="TextoNormal"/>
      </w:pPr>
    </w:p>
    <w:p w14:paraId="7C641ED2" w14:textId="77777777" w:rsidR="00F64776" w:rsidRDefault="00F64776" w:rsidP="00F64776">
      <w:pPr>
        <w:pStyle w:val="TextoNormal"/>
      </w:pPr>
      <w:r>
        <w:t>Finalmente, el auto concluye que la inadmisión a trámite de las recusaciones hace innecesario ahondar en la inadmisión de aquellas causas de recusación que ya fueron planteadas por el recurrente frente a los magistrados don Cándido Conde-Pumpido Tourón y don Ricardo Enríquez Sancho, entre otros, que dieron lugar al incidente resuelto por el ATC 75/2022, de 27 de abril, confirmado en súplica por el ATC 96/2022, de 15 de junio.</w:t>
      </w:r>
    </w:p>
    <w:p w14:paraId="087A54BD" w14:textId="77777777" w:rsidR="00F64776" w:rsidRDefault="00F64776" w:rsidP="00F64776">
      <w:pPr>
        <w:pStyle w:val="TextoNormal"/>
      </w:pPr>
    </w:p>
    <w:p w14:paraId="4F0DC9CA" w14:textId="31F06947" w:rsidR="00F64776" w:rsidRDefault="00F64776" w:rsidP="00F64776">
      <w:pPr>
        <w:pStyle w:val="TextoNormal"/>
      </w:pPr>
      <w:r>
        <w:t>El ATC 236/2023, de 9 de mayo, fue notificado el 17 de mayo de 2023 al procurador que representa al recusante.</w:t>
      </w:r>
    </w:p>
    <w:p w14:paraId="7985D264" w14:textId="77777777" w:rsidR="00F64776" w:rsidRDefault="00F64776" w:rsidP="00F64776">
      <w:pPr>
        <w:pStyle w:val="TextoNormal"/>
      </w:pPr>
    </w:p>
    <w:p w14:paraId="353D7A22" w14:textId="77777777" w:rsidR="00F64776" w:rsidRDefault="00F64776" w:rsidP="00F64776">
      <w:pPr>
        <w:pStyle w:val="TextoNormal"/>
      </w:pPr>
      <w:r w:rsidRPr="00F64776">
        <w:rPr>
          <w:rStyle w:val="NumeroAFNegritaCaracter"/>
        </w:rPr>
        <w:t>9</w:t>
      </w:r>
      <w:r>
        <w:t>. Frente al auto anterior, el demandante interpuso recurso de súplica el 22 de mayo de 2023. Resumidamente expuestas, las alegaciones del demandante son las siguientes:</w:t>
      </w:r>
    </w:p>
    <w:p w14:paraId="4E1034AD" w14:textId="77777777" w:rsidR="00F64776" w:rsidRDefault="00F64776" w:rsidP="00F64776">
      <w:pPr>
        <w:pStyle w:val="TextoNormal"/>
      </w:pPr>
    </w:p>
    <w:p w14:paraId="46A16512" w14:textId="77777777" w:rsidR="00F64776" w:rsidRDefault="00F64776" w:rsidP="00F64776">
      <w:pPr>
        <w:pStyle w:val="TextoNormal"/>
      </w:pPr>
      <w:r>
        <w:t>(i) La inadmisión de la recusación por motivos formales no puede subsanar o eliminar las tachas de parcialidad que concurren en los magistrados recusados; la inadmisión arbitraria del incidente no puede convalidar la palmaria vulneración del derecho a un tribunal independiente e imparcial.</w:t>
      </w:r>
    </w:p>
    <w:p w14:paraId="36F4D6D9" w14:textId="77777777" w:rsidR="00F64776" w:rsidRDefault="00F64776" w:rsidP="00F64776">
      <w:pPr>
        <w:pStyle w:val="TextoNormal"/>
      </w:pPr>
    </w:p>
    <w:p w14:paraId="5563A664" w14:textId="77777777" w:rsidR="00F64776" w:rsidRDefault="00F64776" w:rsidP="00F64776">
      <w:pPr>
        <w:pStyle w:val="TextoNormal"/>
      </w:pPr>
      <w:r>
        <w:t>(ii) La fundamentación del auto impugnado no hace referencia a la diligencia de ordenación de 2 de marzo de 2023 —del secretario de justicia de la Sala Primera de este tribunal—, notificada el 3 de marzo siguiente, por la que se trasladó a esta parte que el conocimiento del recurso de amparo se había turnado a la Sala Primera del Tribunal Constitucional. La citada diligencia de ordenación, notificada el 3 de marzo siguiente, es del siguiente tenor: “En virtud del acuerdo adoptado por el Pleno del Tribunal Constitucional el día 17 de enero de 2023, publicado en el ‘BOE’ de 19 de enero, el presente recurso de amparo ha sido turnado a la […] Sala Primera del Tribunal Constitucional, lo que se pone en conocimiento de las partes y del Ministerio Fiscal a los efectos oportunos”.</w:t>
      </w:r>
    </w:p>
    <w:p w14:paraId="10B329C6" w14:textId="77777777" w:rsidR="00F64776" w:rsidRDefault="00F64776" w:rsidP="00F64776">
      <w:pPr>
        <w:pStyle w:val="TextoNormal"/>
      </w:pPr>
    </w:p>
    <w:p w14:paraId="0272A44A" w14:textId="77777777" w:rsidR="00F64776" w:rsidRDefault="00F64776" w:rsidP="00F64776">
      <w:pPr>
        <w:pStyle w:val="TextoNormal"/>
      </w:pPr>
      <w:r>
        <w:t>Al recurrente no le cabe ninguna duda de que esta omisión no es un error, sino que es “una omisión consciente, malintencionada y dolosa”, por la que se “trata de fingir por un lado la irrelevancia de esta notificación expresa sobre la asignación concreta del recurso a unos magistrados determinados”, porque esta notificación, a su juicio, tiene y produce unos efectos.</w:t>
      </w:r>
    </w:p>
    <w:p w14:paraId="66E5B4AE" w14:textId="77777777" w:rsidR="00F64776" w:rsidRDefault="00F64776" w:rsidP="00F64776">
      <w:pPr>
        <w:pStyle w:val="TextoNormal"/>
      </w:pPr>
    </w:p>
    <w:p w14:paraId="5D01F7D7" w14:textId="77777777" w:rsidR="00F64776" w:rsidRDefault="00F64776" w:rsidP="00F64776">
      <w:pPr>
        <w:pStyle w:val="TextoNormal"/>
      </w:pPr>
      <w:r>
        <w:t>(iii) Se pretende atribuir a la publicación en el “Boletín Oficial del Estado” de la nueva composición del Tribunal y sus Salas y Secciones el efecto de dar a conocer qué sala concretamente va a conocer de cada recurso. Para el recurrente ello es imposible de deducir del contenido del acuerdo de 17 de enero de 2023, que tiene exclusivamente carácter general. Considera que aparentemente se pretende aplicar el artículo 3.1 del acuerdo en cuestión, que determina que los magistrados debían conservar las ponencias que tuvieren asignadas con anterioridad, pero entiende el recurrente que la toma de posesión de unos magistrados y el cambio de Sala de otros no puede producir el efecto de sustituir la comunicación de la composición de la Sala, que es una exigencia del derecho a un proceso con todas las garantías.</w:t>
      </w:r>
    </w:p>
    <w:p w14:paraId="6F88DFBD" w14:textId="77777777" w:rsidR="00F64776" w:rsidRDefault="00F64776" w:rsidP="00F64776">
      <w:pPr>
        <w:pStyle w:val="TextoNormal"/>
      </w:pPr>
    </w:p>
    <w:p w14:paraId="3A09C3E5" w14:textId="77777777" w:rsidR="00F64776" w:rsidRDefault="00F64776" w:rsidP="00F64776">
      <w:pPr>
        <w:pStyle w:val="TextoNormal"/>
      </w:pPr>
      <w:r>
        <w:t>(iv) El auto impugnado da por supuesto que el recurrente conocía ya que la magistrada doña Concepción Espejel Jorquera tenía asignada previamente la ponencia del presente recurso de amparo. Aduce que la “mendacidad” de dicha afirmación se pone de manifiesto por la omisión de cualquier referencia al tiempo ni la forma de dicha inexistente designación; cuanto menos inexistente a los efectos pretendidos, por no haber sido nunca notificada a la parte recurrente.</w:t>
      </w:r>
    </w:p>
    <w:p w14:paraId="3E310A38" w14:textId="77777777" w:rsidR="00F64776" w:rsidRDefault="00F64776" w:rsidP="00F64776">
      <w:pPr>
        <w:pStyle w:val="TextoNormal"/>
      </w:pPr>
    </w:p>
    <w:p w14:paraId="6786F092" w14:textId="77777777" w:rsidR="00F64776" w:rsidRDefault="00F64776" w:rsidP="00F64776">
      <w:pPr>
        <w:pStyle w:val="TextoNormal"/>
      </w:pPr>
      <w:r>
        <w:t xml:space="preserve">(v) El auto infringe el art. 223.1 LOPJ en relación con el art. 80 LOTC, dado que la recusación se ha formulado dentro de los diez días siguientes a la notificación de la primera resolución que identifica la Sala que conocerá del recurso de amparo —en referencia a la citada diligencia de ordenación de 2 de marzo de 2023— y el art. 223.1 LOPJ se refiere a “la notificación de la primera resolución por la que se conozca la identidad del juez o magistrado a recusar”, como </w:t>
      </w:r>
      <w:r w:rsidRPr="00F64776">
        <w:rPr>
          <w:i/>
        </w:rPr>
        <w:t>dies a quo</w:t>
      </w:r>
      <w:r>
        <w:t xml:space="preserve"> del plazo para formular el incidente.</w:t>
      </w:r>
    </w:p>
    <w:p w14:paraId="19D7A564" w14:textId="77777777" w:rsidR="00F64776" w:rsidRDefault="00F64776" w:rsidP="00F64776">
      <w:pPr>
        <w:pStyle w:val="TextoNormal"/>
      </w:pPr>
    </w:p>
    <w:p w14:paraId="384C854D" w14:textId="77777777" w:rsidR="00F64776" w:rsidRDefault="00F64776" w:rsidP="00F64776">
      <w:pPr>
        <w:pStyle w:val="TextoNormal"/>
      </w:pPr>
      <w:r>
        <w:t>(vi) Asimismo, afirma el recurrente la infracción de los arts. 150, 151 y 152 de la Ley de enjuiciamiento civil (LEC) en relación con el art. 80 LOTC. Los tres primeros artículos disponen que todas las resoluciones procesales deben notificarse a las partes en el plazo de tres días desde la fecha o desde la publicación de la resolución, y que dichas comunicaciones deben efectuarse a través de los procuradores, por lo que la publicación de una resolución o acuerdo del Tribunal que afecte a los derechos de las partes en un proceso no produce efectos en el mismo antes de su notificación formal.</w:t>
      </w:r>
    </w:p>
    <w:p w14:paraId="7E898689" w14:textId="77777777" w:rsidR="00F64776" w:rsidRDefault="00F64776" w:rsidP="00F64776">
      <w:pPr>
        <w:pStyle w:val="TextoNormal"/>
      </w:pPr>
    </w:p>
    <w:p w14:paraId="30A3541E" w14:textId="77777777" w:rsidR="00F64776" w:rsidRDefault="00F64776" w:rsidP="00F64776">
      <w:pPr>
        <w:pStyle w:val="TextoNormal"/>
      </w:pPr>
      <w:r>
        <w:t>(vii) En cuanto a la vulneración del derecho a una resolución motivada y fundada en Derecho, sostiene que el Tribunal declara arbitrariamente que la recusación es extemporánea pese a que el incidente planteado acredita una verdadera lesión del derecho a un tribunal imparcial que conozca y resuelva el presente recurso de amparo. Insiste en que le fue notificada la atribución del procedimiento a la Sala Primera y que a partir de esa notificación presentó la recusación en tiempo y forma contra parte de sus miembros. El auto impugnado omite de manera arbitraria la necesidad de motivación de por qué no son de aplicación los preceptos legales y la jurisprudencia sobre las formas y efectos de las notificaciones en sede procesal.</w:t>
      </w:r>
    </w:p>
    <w:p w14:paraId="72FE04E4" w14:textId="77777777" w:rsidR="00F64776" w:rsidRDefault="00F64776" w:rsidP="00F64776">
      <w:pPr>
        <w:pStyle w:val="TextoNormal"/>
      </w:pPr>
    </w:p>
    <w:p w14:paraId="17D66E8D" w14:textId="77777777" w:rsidR="00F64776" w:rsidRDefault="00F64776" w:rsidP="00F64776">
      <w:pPr>
        <w:pStyle w:val="TextoNormal"/>
      </w:pPr>
      <w:r>
        <w:t>(viii) Finalmente, el recurrente alega la vulneración del derecho a un tribunal imparcial, por estimar abusivo el rechazo por supuesta extemporaneidad de una recusación “cuya formulación en tiempo y forma es clara, sin consideración alguna por los derechos fundamentales que están en juego”. Expone que “[a]demás, resulta que otra recusación planteada preventivamente cuando no se conocía qu[é] Sala tramitaría el recurso de amparo fue admitida de manera arbitraria por una causa que ya no concurre y que no impedía la sustanciación de los motivos de fondo que obligan a los magistrados recusados a abstenerse por falta de imparcialidad. Y ello porqu[e] su abstención en modo alguno bloquearía ahora el funcionamiento del Tribunal”.</w:t>
      </w:r>
    </w:p>
    <w:p w14:paraId="1841DB40" w14:textId="77777777" w:rsidR="00F64776" w:rsidRDefault="00F64776" w:rsidP="00F64776">
      <w:pPr>
        <w:pStyle w:val="TextoNormal"/>
      </w:pPr>
    </w:p>
    <w:p w14:paraId="7F2328E9" w14:textId="50064D3A" w:rsidR="00F64776" w:rsidRDefault="00F64776" w:rsidP="00F64776">
      <w:pPr>
        <w:pStyle w:val="TextoNormal"/>
      </w:pPr>
      <w:r>
        <w:t>El recurso concluye con la solicitud de estimación y admisión a trámite de la recusación planteada, así como “de la que el presente recurso trae causa”.</w:t>
      </w:r>
    </w:p>
    <w:p w14:paraId="1213E149" w14:textId="77777777" w:rsidR="00F64776" w:rsidRDefault="00F64776" w:rsidP="00F64776">
      <w:pPr>
        <w:pStyle w:val="TextoNormal"/>
      </w:pPr>
    </w:p>
    <w:p w14:paraId="36180141" w14:textId="51F4E311" w:rsidR="00F64776" w:rsidRDefault="00F64776" w:rsidP="00F64776">
      <w:pPr>
        <w:pStyle w:val="TextoNormal"/>
      </w:pPr>
      <w:r w:rsidRPr="00F64776">
        <w:rPr>
          <w:rStyle w:val="NumeroAFNegritaCaracter"/>
        </w:rPr>
        <w:t>10</w:t>
      </w:r>
      <w:r>
        <w:t>. Por diligencia de ordenación dictada el 23 de mayo de 2023, se dio traslado del recurso de súplica al Ministerio Fiscal para que, en el plazo de tres días, pudiera alegar lo que estimase procedente en relación con dicho recurso.</w:t>
      </w:r>
    </w:p>
    <w:p w14:paraId="3E5E2952" w14:textId="77777777" w:rsidR="00F64776" w:rsidRDefault="00F64776" w:rsidP="00F64776">
      <w:pPr>
        <w:pStyle w:val="TextoNormal"/>
      </w:pPr>
    </w:p>
    <w:p w14:paraId="1B7E2049" w14:textId="77777777" w:rsidR="00F64776" w:rsidRDefault="00F64776" w:rsidP="00F64776">
      <w:pPr>
        <w:pStyle w:val="TextoNormal"/>
      </w:pPr>
      <w:r w:rsidRPr="00F64776">
        <w:rPr>
          <w:rStyle w:val="NumeroAFNegritaCaracter"/>
        </w:rPr>
        <w:t>11</w:t>
      </w:r>
      <w:r>
        <w:t>. El escrito de alegaciones del Ministerio Fiscal tuvo entrada el 9 de junio de 2023. Tras resumir los antecedentes del caso y el objeto de la demanda de amparo, hace referencia a la primera recusación planteada por el demandante contra ocho de los por entonces integrantes de este tribunal y a la tramitación procesal que ha seguido el presente recurso de amparo, en particular de la derivada de los acuerdos del Pleno de 19 de noviembre de 2021 y de 17 de enero de 2023, por los que se dispone la respectiva composición de las Salas y Secciones del Tribunal Constitucional. En este punto cita la diligencia de ordenación de 2 de marzo de 2023, que ha sido reproducida en el antecedente 9 (ii).</w:t>
      </w:r>
    </w:p>
    <w:p w14:paraId="087FE0DD" w14:textId="77777777" w:rsidR="00F64776" w:rsidRDefault="00F64776" w:rsidP="00F64776">
      <w:pPr>
        <w:pStyle w:val="TextoNormal"/>
      </w:pPr>
    </w:p>
    <w:p w14:paraId="2CB65274" w14:textId="77777777" w:rsidR="00F64776" w:rsidRDefault="00F64776" w:rsidP="00F64776">
      <w:pPr>
        <w:pStyle w:val="TextoNormal"/>
      </w:pPr>
      <w:r>
        <w:t>A continuación, resume los AATC 75/2022, de 27 de abril, y 96/2022, de 15 de junio, por los que el Pleno acordó, en el primero, no admitir a trámite la recusación planteada en la demanda de amparo y, en el segundo auto, desestimar el recurso de súplica interpuesto por el recurrente contra el auto anterior.</w:t>
      </w:r>
    </w:p>
    <w:p w14:paraId="561EBA2A" w14:textId="77777777" w:rsidR="00F64776" w:rsidRDefault="00F64776" w:rsidP="00F64776">
      <w:pPr>
        <w:pStyle w:val="TextoNormal"/>
      </w:pPr>
    </w:p>
    <w:p w14:paraId="25BD948E" w14:textId="77777777" w:rsidR="00F64776" w:rsidRDefault="00F64776" w:rsidP="00F64776">
      <w:pPr>
        <w:pStyle w:val="TextoNormal"/>
      </w:pPr>
      <w:r>
        <w:t>En cuanto a la segunda recusación presentada por el mismo demandante el 16 de marzo de 2023, el fiscal reseña su objeto, reproduce la diligencia de ordenación de 22 de marzo de 2023, por la que se designa ponente del incidente de recusación a la magistrada doña Concepción Espejel Jorquera, y el contenido del auto de 9 de mayo de 2023, por el que el Pleno no admite a trámite por extemporaneidad las recusaciones planteadas. Así mismo, el fiscal reproduce en su esencia las alegaciones del recusante formuladas en el recurso de súplica que interpuso frente al último de los autos citados.</w:t>
      </w:r>
    </w:p>
    <w:p w14:paraId="099ACE63" w14:textId="77777777" w:rsidR="00F64776" w:rsidRDefault="00F64776" w:rsidP="00F64776">
      <w:pPr>
        <w:pStyle w:val="TextoNormal"/>
      </w:pPr>
    </w:p>
    <w:p w14:paraId="60CD057A" w14:textId="77777777" w:rsidR="00F64776" w:rsidRDefault="00F64776" w:rsidP="00F64776">
      <w:pPr>
        <w:pStyle w:val="TextoNormal"/>
      </w:pPr>
      <w:r>
        <w:t>En el apartado dedicado a las consideraciones jurídicas, el fiscal se remite a la doctrina constitucional sobre recusación y, en particular, sobre el óbice de extemporaneidad, para a continuación exponer una serie de argumentos que cabe resumir en estos términos:</w:t>
      </w:r>
    </w:p>
    <w:p w14:paraId="2FEF7CD9" w14:textId="77777777" w:rsidR="00F64776" w:rsidRDefault="00F64776" w:rsidP="00F64776">
      <w:pPr>
        <w:pStyle w:val="TextoNormal"/>
      </w:pPr>
    </w:p>
    <w:p w14:paraId="61C9FE53" w14:textId="77777777" w:rsidR="00F64776" w:rsidRDefault="00F64776" w:rsidP="00F64776">
      <w:pPr>
        <w:pStyle w:val="TextoNormal"/>
      </w:pPr>
      <w:r>
        <w:t>(i) La “composición general” de la Sala Primera y Sección Primera de este tribunal, en virtud del citado acuerdo del Pleno de 17 de enero de 2023, se pone en conocimiento del recurrente a través de la diligencia de ordenación de 2 de marzo de 2023 de la Sala Primera, “de modo que los integrantes —excluido el Excmo. señor Xiol Ríos, por término del mandato— de la Sección Tercera de 2021, compuesta por los Excmos. señores don Juan Antonio Xiol Ríos, don Cándido Conde-Pumpido Tourón y doña Concepción Espejel Jorquera, pasan a ser la Sección Primera de la Sala Primera, presidida por el presidente del Tribunal, que estará integrada por don Cándido Conde-Pumpido Tourón, doña Concepción Espejel Jorquera y doña María Luisa Segoviano Astaburuaga, que sustituye a don Juan Antonio Xiol Ríos”.</w:t>
      </w:r>
    </w:p>
    <w:p w14:paraId="22956410" w14:textId="77777777" w:rsidR="00F64776" w:rsidRDefault="00F64776" w:rsidP="00F64776">
      <w:pPr>
        <w:pStyle w:val="TextoNormal"/>
      </w:pPr>
    </w:p>
    <w:p w14:paraId="56D895C9" w14:textId="77777777" w:rsidR="00F64776" w:rsidRDefault="00F64776" w:rsidP="00F64776">
      <w:pPr>
        <w:pStyle w:val="TextoNormal"/>
      </w:pPr>
      <w:r>
        <w:t>(ii) En ningún momento consta en las actuaciones la existencia del nombramiento de ponente en este recurso de amparo con conocimiento del recurrente, sin perjuicio de la tramitación de la recusación, competencia del Pleno [art. 10.1 k) LOTC], para cuya resolución, en este caso, sí que consta el nombramiento de la magistrada doña Concepción Espejel Jorquera como ponente del incidente de recusación tramitado ante el Pleno, según diligencia de ordenación de 22 de marzo de 2023.</w:t>
      </w:r>
    </w:p>
    <w:p w14:paraId="1F56B42D" w14:textId="77777777" w:rsidR="00F64776" w:rsidRDefault="00F64776" w:rsidP="00F64776">
      <w:pPr>
        <w:pStyle w:val="TextoNormal"/>
      </w:pPr>
    </w:p>
    <w:p w14:paraId="7A0BE056" w14:textId="77777777" w:rsidR="00F64776" w:rsidRDefault="00F64776" w:rsidP="00F64776">
      <w:pPr>
        <w:pStyle w:val="TextoNormal"/>
      </w:pPr>
      <w:r>
        <w:t>(iii) A juicio del fiscal, “no era posible conocer cuál de los magistrados tenía atribuido el recurso de amparo 1234-2022”, que según la inicial diligencia de ordenación de 28 de febrero de 2022 era la Sala Segunda, Sección Tercera, compuesta por entonces por don Juan Antonio Xiol Ríos, don Cándido Conde-Pumpido Tourón y doña Concepción Espejel Jorquera.</w:t>
      </w:r>
    </w:p>
    <w:p w14:paraId="7FD9818A" w14:textId="77777777" w:rsidR="00F64776" w:rsidRDefault="00F64776" w:rsidP="00F64776">
      <w:pPr>
        <w:pStyle w:val="TextoNormal"/>
      </w:pPr>
    </w:p>
    <w:p w14:paraId="296E8AAB" w14:textId="77777777" w:rsidR="00F64776" w:rsidRDefault="00F64776" w:rsidP="00F64776">
      <w:pPr>
        <w:pStyle w:val="TextoNormal"/>
      </w:pPr>
      <w:r>
        <w:t>Estima el fiscal que “no podía saberse, conforme al apartado 3.1 del acuerdo del Pleno del Tribunal Constitucional cu[á]l era el magistrado asignado, pues podría provenir no solo de esta última, sino también del magistrado que había cesado ya, en cuyo caso existían normas de reparto especial de acuerdo al apartado 3.2 del citado Acuerdo de 17 de enero de 2023” y, en consecuencia, no era posible conocer cuál era la Sala o Sección vinculada al ponente, en concreto, a doña Concepción Espejel Jorquera, por lo que no sería de aplicación el apartado 3.1 del Acuerdo del Pleno de 17 de enero de 2023 con anterioridad a la diligencia de ordenación de 2 de marzo de 2023, “[p]or lo que el plazo de diez días que previene el art. 223.1.1 LOPJ no podía ser aplicable. Además, no constando el ponente, tampoco estaba determinado si, en el caso de que, hipotéticamente se hubiera atribuido en su momento al Excmo. señor Xiol Ríos, cuál de los integrantes del Tribunal Constitucional, podría hacerse cargo del asunto, en virtud del apartado 3.2 del Acuerdo de 17 de enero de 2023”.</w:t>
      </w:r>
    </w:p>
    <w:p w14:paraId="477D81A9" w14:textId="77777777" w:rsidR="00F64776" w:rsidRDefault="00F64776" w:rsidP="00F64776">
      <w:pPr>
        <w:pStyle w:val="TextoNormal"/>
      </w:pPr>
    </w:p>
    <w:p w14:paraId="6BF8F8BC" w14:textId="77777777" w:rsidR="00F64776" w:rsidRDefault="00F64776" w:rsidP="00F64776">
      <w:pPr>
        <w:pStyle w:val="TextoNormal"/>
      </w:pPr>
      <w:r>
        <w:t>En definitiva, al no constar accesible para el recurrente la designación de ponente de este recurso de amparo ni, por tanto, la Sala o Sección en enero de 2023, solo pudo tener dicho conocimiento desde la notificación de la diligencia de ordenación de 2 de marzo 2023, sin que quepa presumir que el recurrente lo conociese con anterioridad, por lo que la interposición del incidente de recusación en el plazo de diez días a contar desde la citada diligencia de ordenación puede considerarse temporánea. De esta manera, continúa el fiscal, siendo la razón del cómputo inicial del plazo para la recusación el conocimiento de la Sala a partir del conocimiento del ponente —como precisa el auto recurrido, fundamento jurídico 3—, y no constando comunicada la identidad del ponente al recurrente, no devendría aplicable la norma 3.1 del Acuerdo del Pleno de 17 de enero de 2023.</w:t>
      </w:r>
    </w:p>
    <w:p w14:paraId="33AE2E8F" w14:textId="77777777" w:rsidR="00F64776" w:rsidRDefault="00F64776" w:rsidP="00F64776">
      <w:pPr>
        <w:pStyle w:val="TextoNormal"/>
      </w:pPr>
    </w:p>
    <w:p w14:paraId="056C0274" w14:textId="77777777" w:rsidR="00F64776" w:rsidRDefault="00F64776" w:rsidP="00F64776">
      <w:pPr>
        <w:pStyle w:val="TextoNormal"/>
      </w:pPr>
      <w:r>
        <w:t>(iv) El fiscal cita a continuación la STC 6/2018, de 22 de enero, FJ 5, como expresión de la doctrina que declara que el derecho a la tutela judicial efectiva se vulnera cuando el órgano judicial incurre en un error patente en la determinación y selección del material de hecho o del presupuesto sobre el que asiente su decisión, que produzca efectos negativos en la esfera jurídica del ciudadano, siempre que se trate de un error verificable, de forma incontrovertible, a partir de las actuaciones judiciales, y que sea determinante de la decisión adoptada, constituyendo el soporte único o básico (</w:t>
      </w:r>
      <w:r w:rsidRPr="00F64776">
        <w:rPr>
          <w:i/>
        </w:rPr>
        <w:t>ratio decidendi</w:t>
      </w:r>
      <w:r>
        <w:t>) de la resolución, de forma que no pueda saberse cuál hubiera sido el criterio del órgano judicial de no haber incurrido en dicho error.</w:t>
      </w:r>
    </w:p>
    <w:p w14:paraId="67D404F3" w14:textId="77777777" w:rsidR="00F64776" w:rsidRDefault="00F64776" w:rsidP="00F64776">
      <w:pPr>
        <w:pStyle w:val="TextoNormal"/>
      </w:pPr>
    </w:p>
    <w:p w14:paraId="7B0E181F" w14:textId="77777777" w:rsidR="00F64776" w:rsidRDefault="00F64776" w:rsidP="00F64776">
      <w:pPr>
        <w:pStyle w:val="TextoNormal"/>
      </w:pPr>
      <w:r>
        <w:t>A partir de esta doctrina, afirma el fiscal que al no estar acreditado el presupuesto de hecho que constituye la base de la aplicación del apartado 3.1 del Acuerdo de 17 de enero de 2023, no resultaría posible retrotraer los efectos de la notificación a la publicación de dicho acuerdo sin el punto de conexión que es la designación del ponente, “[e]llo sin perjuicio de que, existiendo los presupuestos de hecho, sea plenamente aplicable la fecha de publicación en el ‘BOE’, como en el caso de que tenga aplicación por el completo conocimiento de la composición de la[s] salas y atribución de asuntos, como señala, entre otros, el ATC 17/2022, de 25 de enero, FJ 3 B), referido al Pleno”.</w:t>
      </w:r>
    </w:p>
    <w:p w14:paraId="7C139874" w14:textId="77777777" w:rsidR="00F64776" w:rsidRDefault="00F64776" w:rsidP="00F64776">
      <w:pPr>
        <w:pStyle w:val="TextoNormal"/>
      </w:pPr>
    </w:p>
    <w:p w14:paraId="53232F03" w14:textId="77777777" w:rsidR="00F64776" w:rsidRDefault="00F64776" w:rsidP="00F64776">
      <w:pPr>
        <w:pStyle w:val="TextoNormal"/>
      </w:pPr>
      <w:r>
        <w:t>(v) En cuanto a los efectos de la estimación del recurso de súplica, el fiscal los limita a la anulación del auto recurrido, sin que su estimación implique la admisión de la recusación, dejando pendiente el estudio y decisión sobre su admisión, con reposición de las actuaciones al momento anterior a dictarse el auto impugnado para el dictado del que corresponda.</w:t>
      </w:r>
    </w:p>
    <w:p w14:paraId="3A80350C" w14:textId="77777777" w:rsidR="00F64776" w:rsidRDefault="00F64776" w:rsidP="00F64776">
      <w:pPr>
        <w:pStyle w:val="TextoNormal"/>
      </w:pPr>
    </w:p>
    <w:p w14:paraId="3E675FCB" w14:textId="3A967B11" w:rsidR="00F64776" w:rsidRDefault="00F64776" w:rsidP="00F64776">
      <w:pPr>
        <w:pStyle w:val="TextoNormal"/>
      </w:pPr>
      <w:r>
        <w:t>Por todo lo anterior, el fiscal considera que procede la estimación del recurso de súplica, la anulación del auto impugnado y el dictado en su lugar de la resolución procedente.</w:t>
      </w:r>
    </w:p>
    <w:p w14:paraId="13B6EF0C" w14:textId="77777777" w:rsidR="00F64776" w:rsidRDefault="00F64776" w:rsidP="00F64776">
      <w:pPr>
        <w:pStyle w:val="TextoNormal"/>
      </w:pPr>
    </w:p>
    <w:p w14:paraId="1C0D88CA" w14:textId="77777777" w:rsidR="00F64776" w:rsidRDefault="00F64776" w:rsidP="00F64776">
      <w:pPr>
        <w:pStyle w:val="TextoNormalNegritaCentrado"/>
        <w:keepNext/>
      </w:pPr>
      <w:r>
        <w:t>II. Fundamentos jurídicos</w:t>
      </w:r>
    </w:p>
    <w:p w14:paraId="70542DEE" w14:textId="6872ED7B" w:rsidR="00F64776" w:rsidRDefault="00F64776" w:rsidP="00F64776">
      <w:pPr>
        <w:pStyle w:val="TextoNormalNegritaCentrado"/>
        <w:keepNext/>
      </w:pPr>
    </w:p>
    <w:p w14:paraId="2975BF6B" w14:textId="77777777" w:rsidR="00F64776" w:rsidRDefault="00F64776" w:rsidP="00F64776">
      <w:pPr>
        <w:pStyle w:val="TextoNormal"/>
      </w:pPr>
      <w:r w:rsidRPr="00F64776">
        <w:rPr>
          <w:rStyle w:val="NumeroAFNegritaCaracter"/>
        </w:rPr>
        <w:t>1</w:t>
      </w:r>
      <w:r>
        <w:t xml:space="preserve">. </w:t>
      </w:r>
      <w:r w:rsidRPr="00F64776">
        <w:rPr>
          <w:i/>
        </w:rPr>
        <w:t>Objeto de la presente resolución</w:t>
      </w:r>
    </w:p>
    <w:p w14:paraId="39075B8B" w14:textId="77777777" w:rsidR="00F64776" w:rsidRDefault="00F64776" w:rsidP="00F64776">
      <w:pPr>
        <w:pStyle w:val="TextoNormal"/>
      </w:pPr>
    </w:p>
    <w:p w14:paraId="0F0C75C8" w14:textId="77777777" w:rsidR="00F64776" w:rsidRDefault="00F64776" w:rsidP="00F64776">
      <w:pPr>
        <w:pStyle w:val="TextoNormal"/>
      </w:pPr>
      <w:r>
        <w:t>El objeto del presente auto es la resolución del recurso de súplica planteado por el demandante de amparo contra el ATC 236/2023, de 9 de mayo, del Pleno del Tribunal, que acordó no admitir a trámite por extemporaneidad las recusaciones del presidente del Tribunal Constitucional, el magistrado don Cándido Conde-Pumpido Tourón, y de los magistrados don Ricardo Enríquez Sancho y don Juan Carlos Campo Moreno.</w:t>
      </w:r>
    </w:p>
    <w:p w14:paraId="203FE0A0" w14:textId="77777777" w:rsidR="00F64776" w:rsidRDefault="00F64776" w:rsidP="00F64776">
      <w:pPr>
        <w:pStyle w:val="TextoNormal"/>
      </w:pPr>
    </w:p>
    <w:p w14:paraId="48CB6332" w14:textId="77777777" w:rsidR="00F64776" w:rsidRDefault="00F64776" w:rsidP="00F64776">
      <w:pPr>
        <w:pStyle w:val="TextoNormal"/>
      </w:pPr>
      <w:r>
        <w:t xml:space="preserve">El recurrente alega, en esencia, que el auto impugnado pretende atribuir a la publicación en el “Boletín Oficial del Estado” el día 19 de enero de 2023, del acuerdo de 17 del mismo mes y año, del Pleno del Tribunal Constitucional, por el que se dispone la nueva composición de sus Salas y Secciones, el efecto de dar a conocer qué Sala concretamente va a conocer de cada recurso, lo cual, a su juicio, es imposible de deducir del contenido de tal acuerdo, que tiene exclusivamente carácter general. Considera que, aparentemente, se pretende aplicar el artículo 3.1 del citado acuerdo, conforme al cual los magistrados conservan las ponencias asignadas con anterioridad, pero afirma que la toma de posesión de unos magistrados y el cambio de Sala de otros no puede producir el efecto de sustituir la comunicación de la composición de la Sala, que es una exigencia del derecho a un proceso con todas las garantías. El auto impugnado da por supuesto que el recurrente conocía que la magistrada doña Concepción Espejel Jorquera tenía asignada previamente la ponencia del presente recurso de amparo; aduce que, por el contrario, es a partir de la notificación de la diligencia de ordenación de 2 de marzo de 2023, dictada por el secretario de justicia de la Sala Primera de este Tribunal, notificada el 3 de marzo siguiente, que trasladó a esta parte que el conocimiento del recurso de amparo se había turnado a la Sala Primera del Tribunal Constitucional, cuando toma conocimiento de la identidad de los magistrados a recusar y que, por tal motivo, se erige en </w:t>
      </w:r>
      <w:r w:rsidRPr="00F64776">
        <w:rPr>
          <w:i/>
        </w:rPr>
        <w:t>dies a quo</w:t>
      </w:r>
      <w:r>
        <w:t xml:space="preserve"> del plazo para promover el incidente. En suma, el recurrente entiende que la inadmisión por extemporaneidad de las recusaciones vulneró sus derechos al juez imparcial y a una resolución motivada y fundada en Derecho.</w:t>
      </w:r>
    </w:p>
    <w:p w14:paraId="258A710B" w14:textId="77777777" w:rsidR="00F64776" w:rsidRDefault="00F64776" w:rsidP="00F64776">
      <w:pPr>
        <w:pStyle w:val="TextoNormal"/>
      </w:pPr>
    </w:p>
    <w:p w14:paraId="7E76AC72" w14:textId="10F28761" w:rsidR="00F64776" w:rsidRDefault="00F64776" w:rsidP="00F64776">
      <w:pPr>
        <w:pStyle w:val="TextoNormal"/>
      </w:pPr>
      <w:r>
        <w:t>Por su parte, el Ministerio Fiscal apoya la estimación del recurso de súplica con la subsiguiente anulación del auto impugnado y el dictado en su lugar de la resolución que proceda.</w:t>
      </w:r>
    </w:p>
    <w:p w14:paraId="15175D21" w14:textId="77777777" w:rsidR="00F64776" w:rsidRDefault="00F64776" w:rsidP="00F64776">
      <w:pPr>
        <w:pStyle w:val="TextoNormal"/>
      </w:pPr>
    </w:p>
    <w:p w14:paraId="57110BB8" w14:textId="77777777" w:rsidR="00F64776" w:rsidRDefault="00F64776" w:rsidP="00F64776">
      <w:pPr>
        <w:pStyle w:val="TextoNormal"/>
      </w:pPr>
      <w:r w:rsidRPr="00F64776">
        <w:rPr>
          <w:rStyle w:val="NumeroAFNegritaCaracter"/>
        </w:rPr>
        <w:t>2</w:t>
      </w:r>
      <w:r>
        <w:t xml:space="preserve">. </w:t>
      </w:r>
      <w:r w:rsidRPr="00F64776">
        <w:rPr>
          <w:i/>
        </w:rPr>
        <w:t>Doctrina constitucional aplicable</w:t>
      </w:r>
    </w:p>
    <w:p w14:paraId="23895A45" w14:textId="77777777" w:rsidR="00F64776" w:rsidRDefault="00F64776" w:rsidP="00F64776">
      <w:pPr>
        <w:pStyle w:val="TextoNormal"/>
      </w:pPr>
    </w:p>
    <w:p w14:paraId="1962BF78" w14:textId="77777777" w:rsidR="00F64776" w:rsidRDefault="00F64776" w:rsidP="00F64776">
      <w:pPr>
        <w:pStyle w:val="TextoNormal"/>
      </w:pPr>
      <w:r>
        <w:t>En primer lugar, a fin de evitar reiteraciones innecesarias, nos remitimos en este punto a la doctrina de este tribunal en materia de incidentes de recusación de sus magistrados en recursos de amparo, expuesta en el auto impugnado, fundamento jurídico 2, que a su vez reproduce la doctrina extraída del ATC 82/2022, de 11 de mayo, FFJJ 2 y 3.</w:t>
      </w:r>
    </w:p>
    <w:p w14:paraId="5BDC35A3" w14:textId="77777777" w:rsidR="00F64776" w:rsidRDefault="00F64776" w:rsidP="00F64776">
      <w:pPr>
        <w:pStyle w:val="TextoNormal"/>
      </w:pPr>
    </w:p>
    <w:p w14:paraId="7A202580" w14:textId="77777777" w:rsidR="00F64776" w:rsidRDefault="00F64776" w:rsidP="00F64776">
      <w:pPr>
        <w:pStyle w:val="TextoNormal"/>
      </w:pPr>
      <w:r>
        <w:t>En segundo término, dados los términos del recurso de súplica y de las alegaciones presentadas por el fiscal, es oportuno añadir en este apartado de doctrina constitucional los precedentes sobre el régimen jurídico de las ponencias de sus magistrados.</w:t>
      </w:r>
    </w:p>
    <w:p w14:paraId="73DC0959" w14:textId="77777777" w:rsidR="00F64776" w:rsidRDefault="00F64776" w:rsidP="00F64776">
      <w:pPr>
        <w:pStyle w:val="TextoNormal"/>
      </w:pPr>
    </w:p>
    <w:p w14:paraId="0342AD52" w14:textId="77777777" w:rsidR="00F64776" w:rsidRDefault="00F64776" w:rsidP="00F64776">
      <w:pPr>
        <w:pStyle w:val="TextoNormal"/>
      </w:pPr>
      <w:r>
        <w:t>La STC 172/2016, de 17 de octubre, FJ 2, declara que “el art. 8.1 LOTC establece una regulación autónoma para la jurisdicción constitucional, que no forma parte del Poder Judicial, sobre competencia para el despacho ordinario, decisiones y propuestas en los procedimientos constitucionales, estableciendo su carácter colegiado, por lo que no cabe hacer una aplicación supletoria de la designación y funciones otorgadas al magistrado ponente en los órganos judiciales colegiados en la Ley Orgánica del Poder Judicial, tal como pretende la parte comparecida (ATC 95/2014, de 7 de abril)”.</w:t>
      </w:r>
    </w:p>
    <w:p w14:paraId="064FCEEC" w14:textId="77777777" w:rsidR="00F64776" w:rsidRDefault="00F64776" w:rsidP="00F64776">
      <w:pPr>
        <w:pStyle w:val="TextoNormal"/>
      </w:pPr>
    </w:p>
    <w:p w14:paraId="4103BD08" w14:textId="472A2776" w:rsidR="00F64776" w:rsidRDefault="00F64776" w:rsidP="00F64776">
      <w:pPr>
        <w:pStyle w:val="TextoNormal"/>
      </w:pPr>
      <w:r>
        <w:t>Y, por último, en este apartado, en lo que respecta a las diligencias de ordenación, para este tribunal “constituyen actos del secretario judicial orientados por el principio de celeridad en relación a la cuestión sometida al Tribunal y apoyada, por tanto, en razones de economía procesal dentro de los márgenes competenciales del órgano. Ciertamente, estas diligencias tienen un límite: no pueden afectar ningún derecho, ni material, ni procesal, de las partes” (ATC 418/2003, de 15 de diciembre, FJ 2).</w:t>
      </w:r>
    </w:p>
    <w:p w14:paraId="160DD006" w14:textId="77777777" w:rsidR="00F64776" w:rsidRDefault="00F64776" w:rsidP="00F64776">
      <w:pPr>
        <w:pStyle w:val="TextoNormal"/>
      </w:pPr>
    </w:p>
    <w:p w14:paraId="1CD03C7E" w14:textId="77777777" w:rsidR="00F64776" w:rsidRDefault="00F64776" w:rsidP="00F64776">
      <w:pPr>
        <w:pStyle w:val="TextoNormal"/>
      </w:pPr>
      <w:r w:rsidRPr="00F64776">
        <w:rPr>
          <w:rStyle w:val="NumeroAFNegritaCaracter"/>
        </w:rPr>
        <w:t>3</w:t>
      </w:r>
      <w:r>
        <w:t xml:space="preserve">. </w:t>
      </w:r>
      <w:r w:rsidRPr="00F64776">
        <w:rPr>
          <w:i/>
        </w:rPr>
        <w:t>Resolución de la impugnación</w:t>
      </w:r>
    </w:p>
    <w:p w14:paraId="47898E20" w14:textId="77777777" w:rsidR="00F64776" w:rsidRDefault="00F64776" w:rsidP="00F64776">
      <w:pPr>
        <w:pStyle w:val="TextoNormal"/>
      </w:pPr>
    </w:p>
    <w:p w14:paraId="19E2CB73" w14:textId="77777777" w:rsidR="00F64776" w:rsidRDefault="00F64776" w:rsidP="00F64776">
      <w:pPr>
        <w:pStyle w:val="TextoNormal"/>
      </w:pPr>
      <w:r>
        <w:t xml:space="preserve">La doctrina constitucional es clara cuando declara, a efectos del cómputo del plazo para plantear la recusación de magistrados de este tribunal, que las partes toman conocimiento de la composición del Tribunal, de sus salas y secciones, cuando se hace público el acuerdo del Pleno en el “Boletín Oficial del Estado”, para quedar fijado en cada caso el </w:t>
      </w:r>
      <w:r w:rsidRPr="00F64776">
        <w:rPr>
          <w:i/>
        </w:rPr>
        <w:t>dies a quo</w:t>
      </w:r>
      <w:r>
        <w:t xml:space="preserve"> del cómputo del plazo en función de la fecha de planteamiento del proceso constitucional, pues difiere la situación dependiendo de que la interposición del recurso se produzca antes o después de la publicación oficial del acuerdo.</w:t>
      </w:r>
    </w:p>
    <w:p w14:paraId="22ADB3C1" w14:textId="77777777" w:rsidR="00F64776" w:rsidRDefault="00F64776" w:rsidP="00F64776">
      <w:pPr>
        <w:pStyle w:val="TextoNormal"/>
      </w:pPr>
    </w:p>
    <w:p w14:paraId="5F638D7D" w14:textId="77777777" w:rsidR="00F64776" w:rsidRDefault="00F64776" w:rsidP="00F64776">
      <w:pPr>
        <w:pStyle w:val="TextoNormal"/>
      </w:pPr>
      <w:r>
        <w:t>También es nítido que las diligencias de ordenación que se dictan en los procesos constitucionales sirven exclusivamente para impulsarlos en los distintos trámites de que se componen; así se desprende tanto de la exposición de motivos, apartado IX, de la Ley de enjuiciamiento civil, según la cual tales diligencias sirven a la adecuada ordenación del proceso, como del art. 206.2.1 LEC: “Se dictará diligencia de ordenación cuando la resolución tenga por objeto dar a los autos el curso que la ley establezca”. Esta regulación se complementa con el art. 456 LOPJ, que confiere al letrado de la administración de justicia el impulso el proceso en los términos que establecen las leyes procesales y que, a tal efecto, dictará las resoluciones necesarias para la tramitación del proceso, salvo aquellas que las leyes procesales reserven a jueces o tribunales, resoluciones que se denominan “diligencias” y que podrán ser de ordenación, de constancia, de comunicación o de ejecución.</w:t>
      </w:r>
    </w:p>
    <w:p w14:paraId="3E492F67" w14:textId="77777777" w:rsidR="00F64776" w:rsidRDefault="00F64776" w:rsidP="00F64776">
      <w:pPr>
        <w:pStyle w:val="TextoNormal"/>
      </w:pPr>
    </w:p>
    <w:p w14:paraId="1E44653B" w14:textId="77777777" w:rsidR="00F64776" w:rsidRDefault="00F64776" w:rsidP="00F64776">
      <w:pPr>
        <w:pStyle w:val="TextoNormal"/>
      </w:pPr>
      <w:r>
        <w:t>Este régimen jurídico supone que, con carácter general, las diligencias de ordenación y su notificación no alteran el régimen de publicidad de la composición del Pleno, Salas y Secciones de este tribunal, a efectos de cómputo del plazo para formular la recusación, ni tampoco abren un nuevo plazo, dada la preclusión operada por el transcurso del tiempo.</w:t>
      </w:r>
    </w:p>
    <w:p w14:paraId="42D43F08" w14:textId="77777777" w:rsidR="00F64776" w:rsidRDefault="00F64776" w:rsidP="00F64776">
      <w:pPr>
        <w:pStyle w:val="TextoNormal"/>
      </w:pPr>
    </w:p>
    <w:p w14:paraId="6C9BE2F9" w14:textId="77777777" w:rsidR="00F64776" w:rsidRDefault="00F64776" w:rsidP="00F64776">
      <w:pPr>
        <w:pStyle w:val="TextoNormal"/>
      </w:pPr>
      <w:r>
        <w:t>Sin embargo, en el presente caso concurren circunstancias singulares que dan pie a una reconsideración de nuestra decisión de inadmisión por extemporaneidad, en aras de garantizar el derecho del demandante a no verse privado del análisis de la recusación planteada por una rigurosa decisión de inadmisión por extemporaneidad.</w:t>
      </w:r>
    </w:p>
    <w:p w14:paraId="6C5280BF" w14:textId="77777777" w:rsidR="00F64776" w:rsidRDefault="00F64776" w:rsidP="00F64776">
      <w:pPr>
        <w:pStyle w:val="TextoNormal"/>
      </w:pPr>
    </w:p>
    <w:p w14:paraId="552315A6" w14:textId="77777777" w:rsidR="00F64776" w:rsidRDefault="00F64776" w:rsidP="00F64776">
      <w:pPr>
        <w:pStyle w:val="TextoNormal"/>
      </w:pPr>
      <w:r>
        <w:t>Cuando el recurrente interpuso su recurso de amparo el 24 de febrero de 2022, le constaba, en virtud de la diligencia de ordenación de 28 de febrero de 2022, dictada por el secretario de justicia de la Sala Segunda, Sección Tercera, que estos dos órganos eran los competentes en primer término para resolver su recurso de amparo; y que por acuerdo de 19 de noviembre de 2021, del Pleno del Tribunal Constitucional, publicado en el “Boletín Oficial del Estado” de 23 de noviembre de 2021, la Sección Tercera estaba entonces integrada por los magistrados don Juan Antonio Xiol Ríos, vicepresidente del Tribunal, don Cándido Conde-Pumpido Tourón y doña Concepción Espejel Jorquera (art. 2.2) y la Sala Segunda estaba compuesta, además de por los tres magistrados acabados de citar, por don Antonio Narváez Rodríguez, don Ramón Sáez Valcárcel y don Enrique Arnaldo Alcubilla (art. 2.1).</w:t>
      </w:r>
    </w:p>
    <w:p w14:paraId="7C6980DC" w14:textId="77777777" w:rsidR="00F64776" w:rsidRDefault="00F64776" w:rsidP="00F64776">
      <w:pPr>
        <w:pStyle w:val="TextoNormal"/>
      </w:pPr>
    </w:p>
    <w:p w14:paraId="63801E58" w14:textId="77777777" w:rsidR="00F64776" w:rsidRDefault="00F64776" w:rsidP="00F64776">
      <w:pPr>
        <w:pStyle w:val="TextoNormal"/>
      </w:pPr>
      <w:r>
        <w:t>Este conocimiento era el que tenía el recurrente de la composición de los órganos llamados a conocer de su recurso a fecha de la publicación en el “Boletín Oficial del Estado” de 19 de enero de 2023, del acuerdo del anterior día 17 de enero dictado por el Pleno del Tribunal Constitucional, por el que se dispone la composición de sus salas y secciones, cuyo artículo 3.1 prevé que “[l]os magistrados conservarán las ponencias que tuvieren asignadas, cualquiera que sea la clase y fase en que se encuentre el proceso y de que su conocimiento competa al Pleno, a las salas o a las secciones”, y el apartado 2 del mismo artículo que “[l]as ponencias correspondientes a los magistrados que hayan dejado de formar parte del Tribunal se distribuirán, según el orden de antigüedad y mayor edad de los anteriores y de los nuevos miembros”, previsiones ambas determinantes de que al tener asignada doña Concepción Espejel Jorquera la ponencia de este recurso de amparo, el asunto pasara de la Sala Segunda, Sección Tercera, a la Sección Primera, Sala Primera, integrada la primera por el presidente del Tribunal, don Cándido Conde-Pumpido Tourón, y por las magistradas doña Concepción Espejel Jorquera y doña María Luisa Segoviano Astaburuaga, mientras que la Sala Primera queda también integrada por los magistrados de la Sección Segunda, don Ricardo Enríquez Sancho y don Juan Carlos Campo Moreno.</w:t>
      </w:r>
    </w:p>
    <w:p w14:paraId="69EB1BE7" w14:textId="77777777" w:rsidR="00F64776" w:rsidRDefault="00F64776" w:rsidP="00F64776">
      <w:pPr>
        <w:pStyle w:val="TextoNormal"/>
      </w:pPr>
    </w:p>
    <w:p w14:paraId="27847FFA" w14:textId="77777777" w:rsidR="00F64776" w:rsidRDefault="00F64776" w:rsidP="00F64776">
      <w:pPr>
        <w:pStyle w:val="TextoNormal"/>
      </w:pPr>
      <w:r>
        <w:t>Si bien el recurrente estaba informado por la publicación oficial del acuerdo de 19 de noviembre de 2021, de la composición de la Sección Tercera y de la Sala Segunda, y por la publicación del acuerdo de 17 de enero de 2023, de la composición de la Sección Primera y de la Sala Primera y, en concreto, de que los magistrados don Cándido Conde-Pumpido Tourón y doña Concepción Espejel Jorquera se asignaban a la Sección Primera, no hay certeza de que el ahora impugnante fuera conocedor de a cuál de los tres magistrados integrantes de la por entonces Sección Tercera había correspondido la ponencia de su recurso y, en consecuencia, de que por asignación de la ponencia a la magistrada doña Concepción Espejel Jorquera, que continúa en el Tribunal, el asunto pasaba de la Sala Segunda, Sección Tercera, a la Sala Primera, Sección Primera, extremo del que con seguridad tuvo constancia al serle notificada el 2 de marzo de 2023 la diligencia de ordenación de la misma fecha, mediante la cual quedaba reflejado en las actuaciones el cambio orgánico operado como consecuencia del acuerdo de 17 de enero de 2023.</w:t>
      </w:r>
    </w:p>
    <w:p w14:paraId="0D76F350" w14:textId="77777777" w:rsidR="00F64776" w:rsidRDefault="00F64776" w:rsidP="00F64776">
      <w:pPr>
        <w:pStyle w:val="TextoNormal"/>
      </w:pPr>
    </w:p>
    <w:p w14:paraId="273D8351" w14:textId="163A9E02" w:rsidR="00F64776" w:rsidRDefault="00F64776" w:rsidP="00F64776">
      <w:pPr>
        <w:pStyle w:val="TextoNormal"/>
      </w:pPr>
      <w:r>
        <w:t>En conclusión, el escrito de recusación fue presentado el 16 de marzo de 2023 dentro del plazo de diez días fijado en el art. 223.1 LOPJ, por remisión del art. 80 LOTC, computado a partir de la fecha de notificación de la diligencia de ordenación de 2 de marzo de 2023, lo que determina la estimación del recurso de súplica y la revocación del auto impugnado, que se deja sin efecto y queda pendiente de decisión la admisibilidad de las recusaciones planteadas.</w:t>
      </w:r>
    </w:p>
    <w:p w14:paraId="7D989B19" w14:textId="77777777" w:rsidR="00F64776" w:rsidRDefault="00F64776" w:rsidP="00F64776">
      <w:pPr>
        <w:pStyle w:val="TextoNormal"/>
      </w:pPr>
    </w:p>
    <w:p w14:paraId="7896ADCE" w14:textId="77777777" w:rsidR="00F64776" w:rsidRDefault="00F64776" w:rsidP="00F64776">
      <w:pPr>
        <w:pStyle w:val="TextoNormal"/>
      </w:pPr>
      <w:r>
        <w:t>Por lo expuesto, el Pleno</w:t>
      </w:r>
    </w:p>
    <w:p w14:paraId="5646D508" w14:textId="76676B92" w:rsidR="00F64776" w:rsidRDefault="00F64776" w:rsidP="00F64776">
      <w:pPr>
        <w:pStyle w:val="TextoNormal"/>
      </w:pPr>
    </w:p>
    <w:p w14:paraId="400AA294" w14:textId="77777777" w:rsidR="00F64776" w:rsidRDefault="00F64776" w:rsidP="00F64776">
      <w:pPr>
        <w:pStyle w:val="TextoNormalCentrado"/>
      </w:pPr>
      <w:r>
        <w:t>ACUERDA</w:t>
      </w:r>
    </w:p>
    <w:p w14:paraId="4483F8A3" w14:textId="15E652FE" w:rsidR="00F64776" w:rsidRDefault="00F64776" w:rsidP="00F64776">
      <w:pPr>
        <w:pStyle w:val="TextoNormalCentrado"/>
      </w:pPr>
    </w:p>
    <w:p w14:paraId="72A708E6" w14:textId="509BDB36" w:rsidR="00F64776" w:rsidRDefault="00F64776" w:rsidP="00F64776">
      <w:pPr>
        <w:pStyle w:val="TextoNormal"/>
      </w:pPr>
      <w:r>
        <w:t>Estimar el recurso de súplica interpuesto por don Josep Costa i Rosselló contra el ATC 236/2023, de 9 de mayo, que se revoca y deja sin efectos, quedando pendiente de resolución la decisión sobre admisibilidad de las recusaciones planteadas en el recurso de amparo núm. 1234-2022.</w:t>
      </w:r>
    </w:p>
    <w:p w14:paraId="4F9622C4" w14:textId="77777777" w:rsidR="00F64776" w:rsidRDefault="00F64776" w:rsidP="00F64776">
      <w:pPr>
        <w:pStyle w:val="TextoNormal"/>
      </w:pPr>
    </w:p>
    <w:p w14:paraId="1C0D1B64" w14:textId="77777777" w:rsidR="00F64776" w:rsidRDefault="00F64776" w:rsidP="00F64776">
      <w:pPr>
        <w:pStyle w:val="TextoNormal"/>
      </w:pPr>
      <w:r>
        <w:t>Madrid, a cuatro de julio de dos mil veintitrés.</w:t>
      </w:r>
    </w:p>
    <w:p w14:paraId="688D1515" w14:textId="076EBF6B" w:rsidR="00F64776" w:rsidRDefault="00F64776">
      <w:pPr>
        <w:spacing w:after="160" w:line="278" w:lineRule="auto"/>
        <w:rPr>
          <w:rFonts w:ascii="Times New Roman" w:eastAsia="Times New Roman" w:hAnsi="Times New Roman" w:cs="Times New Roman"/>
          <w:sz w:val="24"/>
          <w:szCs w:val="24"/>
          <w:lang w:eastAsia="es-ES"/>
        </w:rPr>
      </w:pPr>
      <w:r>
        <w:br w:type="page"/>
      </w:r>
    </w:p>
    <w:p w14:paraId="1DB981B0" w14:textId="77777777" w:rsidR="00F64776" w:rsidRDefault="00F64776" w:rsidP="00F64776">
      <w:pPr>
        <w:pStyle w:val="TtuloResolucin"/>
      </w:pPr>
      <w:bookmarkStart w:id="139" w:name="AUTO_2023_354"/>
      <w:r>
        <w:t>AUTO 354/2023, de 4 de julio de 2023</w:t>
      </w:r>
    </w:p>
    <w:bookmarkEnd w:id="139"/>
    <w:p w14:paraId="25D5385D" w14:textId="77777777" w:rsidR="00F64776" w:rsidRDefault="00F64776" w:rsidP="00F64776">
      <w:pPr>
        <w:pStyle w:val="TtuloResolucin"/>
      </w:pPr>
      <w:r>
        <w:t>Pleno</w:t>
      </w:r>
    </w:p>
    <w:p w14:paraId="5BA31FA2" w14:textId="77777777" w:rsidR="00F64776" w:rsidRDefault="00F64776" w:rsidP="00F64776">
      <w:pPr>
        <w:pStyle w:val="TextoNormalCentrado"/>
      </w:pPr>
      <w:r>
        <w:t>ECLI:ES:TC:2023:354A</w:t>
      </w:r>
    </w:p>
    <w:p w14:paraId="52771FD1" w14:textId="3F0C72F6" w:rsidR="00F64776" w:rsidRDefault="00F64776" w:rsidP="00F64776">
      <w:pPr>
        <w:pStyle w:val="TextoNormalCentrado"/>
      </w:pPr>
    </w:p>
    <w:p w14:paraId="28146293" w14:textId="77777777" w:rsidR="00F64776" w:rsidRDefault="00F64776" w:rsidP="00F64776">
      <w:pPr>
        <w:pStyle w:val="SntesisDescriptiva"/>
      </w:pPr>
      <w:r>
        <w:t>Excms. Srs. don Cándido Conde-Pumpido Tourón,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w:t>
      </w:r>
    </w:p>
    <w:p w14:paraId="40CD134B" w14:textId="7BD7FD11" w:rsidR="00F64776" w:rsidRDefault="00F64776" w:rsidP="00F64776">
      <w:pPr>
        <w:pStyle w:val="SntesisDescriptiva"/>
      </w:pPr>
    </w:p>
    <w:p w14:paraId="14F831D1" w14:textId="77777777" w:rsidR="00F64776" w:rsidRDefault="00F64776" w:rsidP="00F64776">
      <w:pPr>
        <w:pStyle w:val="SntesisDescriptiva"/>
      </w:pPr>
      <w:r>
        <w:t>Inadmite a trámite el conflicto en defensa de la autonomía local 1631-2023, promovido por el Consell Insular de Formentera en relación con varios preceptos de la Ley del Parlamento de las Illes Balears 6/2022, de 5 de agosto, de archivos y gestión documental de las Illes Balears.</w:t>
      </w:r>
    </w:p>
    <w:p w14:paraId="092F0046" w14:textId="4F3DE7F3" w:rsidR="00F64776" w:rsidRDefault="00F64776" w:rsidP="00F64776">
      <w:pPr>
        <w:pStyle w:val="SntesisDescriptiva"/>
      </w:pPr>
    </w:p>
    <w:p w14:paraId="46C3957E" w14:textId="77777777" w:rsidR="00F64776" w:rsidRDefault="00F64776" w:rsidP="00F64776">
      <w:pPr>
        <w:pStyle w:val="SntesisDescriptiva"/>
      </w:pPr>
    </w:p>
    <w:p w14:paraId="4B462179" w14:textId="77777777" w:rsidR="00F64776" w:rsidRDefault="00F64776" w:rsidP="00F64776">
      <w:pPr>
        <w:pStyle w:val="SntesisDescriptiva"/>
      </w:pPr>
    </w:p>
    <w:p w14:paraId="7A309C82" w14:textId="77777777" w:rsidR="00F64776" w:rsidRDefault="00F64776" w:rsidP="00F64776">
      <w:pPr>
        <w:pStyle w:val="TextoNormalNegritaCentrado"/>
      </w:pPr>
      <w:r>
        <w:t>AUTO</w:t>
      </w:r>
    </w:p>
    <w:p w14:paraId="76600703" w14:textId="5CF9E770" w:rsidR="00F64776" w:rsidRDefault="00F64776" w:rsidP="00F64776">
      <w:pPr>
        <w:pStyle w:val="TextoNormalNegritaCentrado"/>
      </w:pPr>
    </w:p>
    <w:p w14:paraId="60513F3A" w14:textId="77777777" w:rsidR="00F64776" w:rsidRDefault="00F64776" w:rsidP="00F64776">
      <w:pPr>
        <w:pStyle w:val="TextoNormalNegritaCentrado"/>
        <w:keepNext/>
      </w:pPr>
      <w:r>
        <w:t>I. Antecedentes</w:t>
      </w:r>
    </w:p>
    <w:p w14:paraId="117E407F" w14:textId="337D1311" w:rsidR="00F64776" w:rsidRDefault="00F64776" w:rsidP="00F64776">
      <w:pPr>
        <w:pStyle w:val="TextoNormalNegritaCentrado"/>
        <w:keepNext/>
      </w:pPr>
    </w:p>
    <w:p w14:paraId="59C66923" w14:textId="77777777" w:rsidR="00F64776" w:rsidRDefault="00F64776" w:rsidP="00F64776">
      <w:pPr>
        <w:pStyle w:val="TextoNormal"/>
      </w:pPr>
      <w:r w:rsidRPr="00F64776">
        <w:rPr>
          <w:rStyle w:val="TextoNormalNegritaCaracter"/>
        </w:rPr>
        <w:t xml:space="preserve">Único. </w:t>
      </w:r>
      <w:r>
        <w:t xml:space="preserve">Mediante escrito presentado en el registro del Tribunal Constitucional el 10 de marzo de 2023, el procurador de los tribunales don Luis Pozas Osset, actuando en nombre y representación del Consell Insular de Formentera, promueve conflicto en defensa de la autonomía local contra los arts. 35, apartados 1, primer inciso, </w:t>
      </w:r>
      <w:r w:rsidRPr="00F64776">
        <w:rPr>
          <w:i/>
        </w:rPr>
        <w:t>in fine</w:t>
      </w:r>
      <w:r>
        <w:t>, y segundo inciso, letra a), y 2; y 39.6, de la Ley del Parlamento de las Illes Balears 6/2022, de 5 de agosto, de archivos y gestión documental de las Illes Balears (en adelante Ley 6/2022).</w:t>
      </w:r>
    </w:p>
    <w:p w14:paraId="738EB458" w14:textId="77777777" w:rsidR="00F64776" w:rsidRDefault="00F64776" w:rsidP="00F64776">
      <w:pPr>
        <w:pStyle w:val="TextoNormal"/>
      </w:pPr>
    </w:p>
    <w:p w14:paraId="231CD7C2" w14:textId="77777777" w:rsidR="00F64776" w:rsidRDefault="00F64776" w:rsidP="00F64776">
      <w:pPr>
        <w:pStyle w:val="TextoNormal"/>
      </w:pPr>
      <w:r>
        <w:t>El escrito de interposición del conflicto comienza con una amplia referencia histórica a la creación del Ayuntamiento de Formentera, del Consell Insular de Formentera y del Archivo Histórico de Ibiza y Formentera, a la que sigue un extenso relato de los antecedentes de la Ley 6/2022, describiendo pormenorizadamente su tramitación en lo relativo a los preceptos que son objeto del conflicto. Menciona, igualmente, que se adoptó el preceptivo acuerdo del Pleno del Consell Insular de Formentera, y la solicitud y emisión del preceptivo dictamen del consejo consultivo autonómico, respecto de cuyas conclusiones se solicitó aclaración, por considerar que incurrían en oscuridades y omisiones. El Pleno del Consejo Consultivo, en su sesión de 8 de marzo de 2023, acordó responder a dicha solicitud indicando que el escrito del Consell Insular de Formentera va más allá de lo que es una aclaración, pues lo que hace es manifestar una discrepancia respecto del contenido del dictamen 5/2023, a cuyas consideraciones jurídicas se remitía en relación con la legitimación para plantear el conflicto.</w:t>
      </w:r>
    </w:p>
    <w:p w14:paraId="74FB3FC8" w14:textId="77777777" w:rsidR="00F64776" w:rsidRDefault="00F64776" w:rsidP="00F64776">
      <w:pPr>
        <w:pStyle w:val="TextoNormal"/>
      </w:pPr>
    </w:p>
    <w:p w14:paraId="795B27C2" w14:textId="77777777" w:rsidR="00F64776" w:rsidRDefault="00F64776" w:rsidP="00F64776">
      <w:pPr>
        <w:pStyle w:val="TextoNormal"/>
      </w:pPr>
      <w:r>
        <w:t xml:space="preserve">En sus fundamentos de Derecho, el escrito se refiere, en primer lugar, a la legitimación del Consell Insular para promover el conflicto en defensa de la autonomía local contra la parte final del primer inciso del art. 35.1 de la Ley 6/2022, de acuerdo con el art. 75 </w:t>
      </w:r>
      <w:r w:rsidRPr="00F64776">
        <w:rPr>
          <w:i/>
        </w:rPr>
        <w:t>ter</w:t>
      </w:r>
      <w:r>
        <w:t xml:space="preserve"> 1 a) y la disposición adicional tercera, apartado 1 de la Ley Orgánica del Tribunal Constitucional (LOTC), ya que Formentera aparece citada explícitamente en esa parte final por dos veces, indicando que el legislador —fruto de un error histórico flagrante— comete una ilegalidad y desconoce que entre 1822 y 1870 hubo un ayuntamiento de Formentera, y que hay documentos de esa época tanto en el archivo histórico de titularidad del Ayuntamiento de Ibiza como en el archivo del Consell Insular de Formentera. Se afirma que nos encontramos ante una regla de la cual es destinatario único, en lo nocivo para su autonomía, el Consell Insular de Formentera, mientras que el ayuntamiento de la ciudad de Ibiza recibe con la regla del precepto reseñado un régimen exorbitante de cara a la gestión del archivo histórico de su titularidad. Como justificación de su legitimación invoca la STC 132/2014, de 22 de julio.</w:t>
      </w:r>
    </w:p>
    <w:p w14:paraId="63FC9F07" w14:textId="77777777" w:rsidR="00F64776" w:rsidRDefault="00F64776" w:rsidP="00F64776">
      <w:pPr>
        <w:pStyle w:val="TextoNormal"/>
      </w:pPr>
    </w:p>
    <w:p w14:paraId="59AED530" w14:textId="77777777" w:rsidR="00F64776" w:rsidRDefault="00F64776" w:rsidP="00F64776">
      <w:pPr>
        <w:pStyle w:val="TextoNormal"/>
      </w:pPr>
      <w:r>
        <w:t xml:space="preserve">A continuación, se fundamenta la legitimación del consell insular para la interposición del conflicto respecto del art. 35.1, segundo inciso, letra a), de acuerdo también con el art. 75 </w:t>
      </w:r>
      <w:r w:rsidRPr="00F64776">
        <w:rPr>
          <w:i/>
        </w:rPr>
        <w:t>ter</w:t>
      </w:r>
      <w:r>
        <w:t xml:space="preserve"> 1 a) y disposición adicional tercera, apartado 1 LOTC, con cita, nuevamente, de la STC 132/2014; argumentos que se reiteran para respaldar la legitimación en cuanto a la interposición del conflicto respecto del art. 35.2 de la Ley 6/2022, por el absoluto desequilibrio que resulta del precepto, ya que no se prevé ninguna intervención del Consell Insular de Formentera, y también por lo que se refiere a la impugnación del art. 39.6, puesto que se contrapone a lo señalado en el apartado II de la exposición de motivos de la ley sobre el archivo histórico de Eivissa y Formentera, no incluyendo un régimen de verdadera interinsularidad y dando lugar a un tratamiento desfavorable del que el único sujeto destinatario es el Consell Insular de Formentera.</w:t>
      </w:r>
    </w:p>
    <w:p w14:paraId="52907C96" w14:textId="77777777" w:rsidR="00F64776" w:rsidRDefault="00F64776" w:rsidP="00F64776">
      <w:pPr>
        <w:pStyle w:val="TextoNormal"/>
      </w:pPr>
    </w:p>
    <w:p w14:paraId="7E3CDCC7" w14:textId="77777777" w:rsidR="00F64776" w:rsidRDefault="00F64776" w:rsidP="00F64776">
      <w:pPr>
        <w:pStyle w:val="TextoNormal"/>
      </w:pPr>
      <w:r>
        <w:t xml:space="preserve">Subsidiariamente, se invoca, para justificar la legitimación, el art. 75 </w:t>
      </w:r>
      <w:r w:rsidRPr="00F64776">
        <w:rPr>
          <w:i/>
        </w:rPr>
        <w:t>ter</w:t>
      </w:r>
      <w:r>
        <w:t>.1 b) LOTC, porque, según las cifras oficiales vigentes en la actualidad, Formentera es mucho más que un séptimo de los municipios existentes en el ámbito territorial de aplicación (que se constriñe estrictamente al municipio de Ibiza y a Formentera), y su población representa, como mínimo, un sexto de la población oficial del ámbito territorial correspondiente (50 715 habitantes Ibiza y 11 418 habitantes Formentera, lo que da un total de 62 133 habitantes).</w:t>
      </w:r>
    </w:p>
    <w:p w14:paraId="04F7E0EC" w14:textId="77777777" w:rsidR="00F64776" w:rsidRDefault="00F64776" w:rsidP="00F64776">
      <w:pPr>
        <w:pStyle w:val="TextoNormal"/>
      </w:pPr>
    </w:p>
    <w:p w14:paraId="2154A4E7" w14:textId="77777777" w:rsidR="00F64776" w:rsidRDefault="00F64776" w:rsidP="00F64776">
      <w:pPr>
        <w:pStyle w:val="TextoNormal"/>
      </w:pPr>
      <w:r>
        <w:t>Por lo que se refiere al fondo del asunto, el escrito de interposición del conflicto, con exposición de la normativa constitucional y estatutaria, así como de la doctrina constitucional, y reivindicando la existencia de una identidad formenterense distinta de la ibicenca, así como de una identidad pitiusa, fundamenta la vulneración de la autonomía del Consell Insular de Formentera, en síntesis, en los siguientes motivos:</w:t>
      </w:r>
    </w:p>
    <w:p w14:paraId="06CC9A81" w14:textId="77777777" w:rsidR="00F64776" w:rsidRDefault="00F64776" w:rsidP="00F64776">
      <w:pPr>
        <w:pStyle w:val="TextoNormal"/>
      </w:pPr>
    </w:p>
    <w:p w14:paraId="3BA873A7" w14:textId="77777777" w:rsidR="00F64776" w:rsidRDefault="00F64776" w:rsidP="00F64776">
      <w:pPr>
        <w:pStyle w:val="TextoNormal"/>
      </w:pPr>
      <w:r>
        <w:t>a) En la parte final del primer inciso del art. 35.1 de la Ley 6/2022 se afecta a dicha autonomía al desconocer que entre 1822 y 1870 existió un ayuntamiento de Formentera que produjo documentos depositados en parte en el Archivo Histórico de Ibiza y Formentera y en el Archivo del Consell Insular de Formentera, y si aparecieran otros de esa época deberían depositarse en este último.</w:t>
      </w:r>
    </w:p>
    <w:p w14:paraId="15E7B373" w14:textId="77777777" w:rsidR="00F64776" w:rsidRDefault="00F64776" w:rsidP="00F64776">
      <w:pPr>
        <w:pStyle w:val="TextoNormal"/>
      </w:pPr>
    </w:p>
    <w:p w14:paraId="1E682C50" w14:textId="77777777" w:rsidR="00F64776" w:rsidRDefault="00F64776" w:rsidP="00F64776">
      <w:pPr>
        <w:pStyle w:val="TextoNormal"/>
      </w:pPr>
      <w:r>
        <w:t>b) La letra a) del segundo inciso del art. 35.1 implica que, pese a tener las obligaciones propias de un consell insular para contar con un archivo histórico, conforme a los arts. 36 y 37 de la ley, si entre esos fondos hay algunos que se refieran a instituciones históricas comunes a las Pitiusas, o aparecieran en el futuro, aunque se mencione solo a Formentera, deja de ser competente en favor del archivo histórico de titularidad de la ciudad de Ibiza.</w:t>
      </w:r>
    </w:p>
    <w:p w14:paraId="3ACA8CEF" w14:textId="77777777" w:rsidR="00F64776" w:rsidRDefault="00F64776" w:rsidP="00F64776">
      <w:pPr>
        <w:pStyle w:val="TextoNormal"/>
      </w:pPr>
    </w:p>
    <w:p w14:paraId="1A851701" w14:textId="77777777" w:rsidR="00F64776" w:rsidRDefault="00F64776" w:rsidP="00F64776">
      <w:pPr>
        <w:pStyle w:val="TextoNormal"/>
      </w:pPr>
      <w:r>
        <w:t>c) Vulnera su autonomía el art. 35.2 porque no establece ninguna forma de intervención reglada del Consell Insular de Formentera en la gestión del Archivo Histórico de Ibiza y Formentera. Aun reconociendo que los documentos se encuentran en ese archivo histórico y son de titularidad del Ayuntamiento de Ibiza, aduce, sin embargo, que se refieren a Formentera, a solas o con la isla de Ibiza, y que aquel tiene la voz directiva en cuanto a la celebración de algún acuerdo de colaboración.</w:t>
      </w:r>
    </w:p>
    <w:p w14:paraId="192278C2" w14:textId="77777777" w:rsidR="00F64776" w:rsidRDefault="00F64776" w:rsidP="00F64776">
      <w:pPr>
        <w:pStyle w:val="TextoNormal"/>
      </w:pPr>
    </w:p>
    <w:p w14:paraId="1FD3EBB1" w14:textId="77777777" w:rsidR="00F64776" w:rsidRDefault="00F64776" w:rsidP="00F64776">
      <w:pPr>
        <w:pStyle w:val="TextoNormal"/>
      </w:pPr>
      <w:r>
        <w:t>d) El art. 39.6 incurriría en dicha vulneración por la referencia que incluye al Archivo Histórico de Ibiza y Formentera, que está en clara contradicción con el reconocimiento del subsistema archivístico del Archivo Histórico de Ibiza y Formentera, atendiendo a su carácter interinsular, que resulta de la exposición de motivos de la ley, mientras que el art. 39.6 no establece un régimen incontestable de verdadera y auténtica interinsularidad, ya que contempla un régimen petrificado donde el consell insular (incluso el de Ibiza) poco o nada tendrá que decir.</w:t>
      </w:r>
    </w:p>
    <w:p w14:paraId="12EDCE85" w14:textId="77777777" w:rsidR="00F64776" w:rsidRDefault="00F64776" w:rsidP="00F64776">
      <w:pPr>
        <w:pStyle w:val="TextoNormal"/>
      </w:pPr>
    </w:p>
    <w:p w14:paraId="3795FF12" w14:textId="4C54939D" w:rsidR="00F64776" w:rsidRDefault="00F64776" w:rsidP="00F64776">
      <w:pPr>
        <w:pStyle w:val="TextoNormal"/>
      </w:pPr>
      <w:r>
        <w:t>e) Finalmente, y a modo de cierre, se señala que los arts. 35 y 39.6 de la Ley 6/2022 tratan incorrectamente la “variable” Formentera, puesto que no se reconoce debidamente la particularidad de lo que representa incluirla en la denominación del archivo histórico por primera vez, ni se ha establecido un límite territorial, distinguiendo por islas de procedencia de la documentación que ha de integrarse en el archivo de cara al futuro. Debería haberse hecho una regulación verdaderamente interinsular pitiusa, reconociendo las competencias y la capacidad de intervención y de incidencia del más pequeño frente al más grande. En este sentido, se menciona la Ley del Parlamento de las Illes Balears 16/2019, de 8 de abril, del estatuto especial de capitalidad de la ciudad de Ibiza, que contempla la presencia de Formentera en el Consejo de Capitalidad de la ciudad de Ibiza.</w:t>
      </w:r>
    </w:p>
    <w:p w14:paraId="69B06CC0" w14:textId="77777777" w:rsidR="00F64776" w:rsidRDefault="00F64776" w:rsidP="00F64776">
      <w:pPr>
        <w:pStyle w:val="TextoNormal"/>
      </w:pPr>
    </w:p>
    <w:p w14:paraId="4C1F1C85" w14:textId="77777777" w:rsidR="00F64776" w:rsidRDefault="00F64776" w:rsidP="00F64776">
      <w:pPr>
        <w:pStyle w:val="TextoNormalNegritaCentrado"/>
        <w:keepNext/>
      </w:pPr>
      <w:r>
        <w:t>II. Fundamentos jurídicos</w:t>
      </w:r>
    </w:p>
    <w:p w14:paraId="7B5E4500" w14:textId="6A8A0643" w:rsidR="00F64776" w:rsidRDefault="00F64776" w:rsidP="00F64776">
      <w:pPr>
        <w:pStyle w:val="TextoNormalNegritaCentrado"/>
        <w:keepNext/>
      </w:pPr>
    </w:p>
    <w:p w14:paraId="2124B4FA" w14:textId="77777777" w:rsidR="00F64776" w:rsidRDefault="00F64776" w:rsidP="00F64776">
      <w:pPr>
        <w:pStyle w:val="TextoNormal"/>
      </w:pPr>
      <w:r w:rsidRPr="00F64776">
        <w:rPr>
          <w:rStyle w:val="NumeroAFNegritaCaracter"/>
        </w:rPr>
        <w:t>1</w:t>
      </w:r>
      <w:r>
        <w:t xml:space="preserve">. El Consell Insular de Formentera ha promovido ante este tribunal conflicto en defensa de la autonomía local contra los arts. 35, apartados 1, primer inciso, </w:t>
      </w:r>
      <w:r w:rsidRPr="00F64776">
        <w:rPr>
          <w:i/>
        </w:rPr>
        <w:t>in fine</w:t>
      </w:r>
      <w:r>
        <w:t>, y segundo inciso, letra a), y 2; y 39.6, de la Ley del Parlamento de las Illes Balears 6/2022, de 5 de agosto, de archivos y gestión documental de las Illes Balears.</w:t>
      </w:r>
    </w:p>
    <w:p w14:paraId="59D8448E" w14:textId="77777777" w:rsidR="00F64776" w:rsidRDefault="00F64776" w:rsidP="00F64776">
      <w:pPr>
        <w:pStyle w:val="TextoNormal"/>
      </w:pPr>
    </w:p>
    <w:p w14:paraId="38CB01A0" w14:textId="77777777" w:rsidR="00F64776" w:rsidRDefault="00F64776" w:rsidP="00F64776">
      <w:pPr>
        <w:pStyle w:val="TextoNormal"/>
      </w:pPr>
      <w:r>
        <w:t xml:space="preserve">El conflicto se fundamenta en la vulneración de la autonomía local del Consell Insular de Formentera, en cuanto destinatario único de los preceptos impugnados. Por lo que se refiere al art. 35.1, primer inciso </w:t>
      </w:r>
      <w:r w:rsidRPr="00F64776">
        <w:rPr>
          <w:i/>
        </w:rPr>
        <w:t>in fine</w:t>
      </w:r>
      <w:r>
        <w:t>, de la Ley 6/2022 se le imputa el desconocimiento de la existencia entre 1822 y 1870 de un ayuntamiento de Formentera que produjo documentos depositados en parte en el Archivo Histórico de Ibiza y Formentera y en el del propio consell, y, si aparecieran otros de esa época, deberían ser depositados en este último. En cuanto a la letra a) del segundo inciso del art. 35.1, se afirma que su contenido implica que, pese a las competencias y obligaciones que el Consell Insular tiene conforme a los arts. 36 y 37 de la ley, si entre los fondos documentales hay algunos que se refieran a instituciones históricas comunes a las Pitiusas, o bien aparecieran en el futuro, pierde su competencia en favor del Archivo Histórico de Ibiza y Formentera, aunque los documentos solo conciernan a esta última. Con respecto al art. 35.2 se aduce que no establece ninguna forma de intervención reglada del Consell Insular de Formentera en la gestión del Archivo Histórico de Ibiza y Formentera, y que es el Ayuntamiento de Ibiza el que tiene la voz directiva en cuanto a la celebración de algún acuerdo de colaboración. Por su parte, el art. 39.6 vulneraría la autonomía del consell por la referencia que incluye al Archivo Histórico de Ibiza y Formentera, en clara contradicción con el reconocimiento del carácter interinsular del subsistema archivístico del Archivo Histórico de Ibiza y Formentera, según resulta de la exposición de motivos de la ley. Por último, se denuncia que los arts. 35 y 39.6 de la Ley 6/2022 tratan incorrectamente la “variable” Formentera, puesto que no se reconoce debidamente lo que representa su inclusión en la denominación del Archivo Histórico de Ibiza y Formentera por primera vez, ya que ni se ha establecido un límite territorial, con distinción por islas de procedencia de la documentación que ha de integrarse en el archivo de cara al futuro, ni se ha reconocido al Consell Insular de Formentera la capacidad de intervención y de incidencia en la gestión del Archivo Histórico.</w:t>
      </w:r>
    </w:p>
    <w:p w14:paraId="21594FB2" w14:textId="77777777" w:rsidR="00F64776" w:rsidRDefault="00F64776" w:rsidP="00F64776">
      <w:pPr>
        <w:pStyle w:val="TextoNormal"/>
      </w:pPr>
    </w:p>
    <w:p w14:paraId="0576C154" w14:textId="1C468FC4" w:rsidR="00F64776" w:rsidRDefault="00F64776" w:rsidP="00F64776">
      <w:pPr>
        <w:pStyle w:val="TextoNormal"/>
      </w:pPr>
      <w:r>
        <w:t xml:space="preserve">El art. 75 </w:t>
      </w:r>
      <w:r w:rsidRPr="00F64776">
        <w:rPr>
          <w:i/>
        </w:rPr>
        <w:t>quinquies</w:t>
      </w:r>
      <w:r>
        <w:t xml:space="preserve"> 1 de la Ley Orgánica del Tribunal Constitucional (LOTC) dispone que “[p]lanteado el conflicto, el Tribunal podrá acordar, mediante auto motivado, la inadmisión por falta de legitimación u otros requisitos exigibles y no subsanables o cuando estuviere notoriamente infundada la controversia suscitada”. Por consiguiente, el objeto de esta resolución es determinar si el Consell Insular de Formentera cumple el requisito de la legitimación para promover el presente conflicto, así como, en su caso, los otros exigidos en la ley.</w:t>
      </w:r>
    </w:p>
    <w:p w14:paraId="36B277C0" w14:textId="77777777" w:rsidR="00F64776" w:rsidRDefault="00F64776" w:rsidP="00F64776">
      <w:pPr>
        <w:pStyle w:val="TextoNormal"/>
      </w:pPr>
    </w:p>
    <w:p w14:paraId="5F4B251E" w14:textId="77777777" w:rsidR="00F64776" w:rsidRDefault="00F64776" w:rsidP="00F64776">
      <w:pPr>
        <w:pStyle w:val="TextoNormal"/>
      </w:pPr>
      <w:r w:rsidRPr="00F64776">
        <w:rPr>
          <w:rStyle w:val="NumeroAFNegritaCaracter"/>
        </w:rPr>
        <w:t>2</w:t>
      </w:r>
      <w:r>
        <w:t xml:space="preserve">. El primero de los requisitos insubsanables a que hace referencia el art. 75 </w:t>
      </w:r>
      <w:r w:rsidRPr="00F64776">
        <w:rPr>
          <w:i/>
        </w:rPr>
        <w:t>quinquies</w:t>
      </w:r>
      <w:r>
        <w:t xml:space="preserve"> 1 LOTC, se refiere a la legitimación exigible para plantear el conflicto en defensa de la autonomía local. Dicho requisito se encuentra regulado en el art. 75 </w:t>
      </w:r>
      <w:r w:rsidRPr="00F64776">
        <w:rPr>
          <w:i/>
        </w:rPr>
        <w:t>ter</w:t>
      </w:r>
      <w:r>
        <w:t xml:space="preserve"> 1 LOTC, que la atribuye a los municipios y provincias en que la ley resulte aplicable, pudiendo aquellos entes locales hacerlo por sí solos, cuando sean destinatarios únicos de la ley, o bien de manera conjunta, exigiéndose en este último caso, además, que dichos municipios o provincias representen una determinada mayoría y unos determinados porcentajes de la población correspondiente al ámbito de aplicación de la ley. En el caso que nos ocupa, ambas previsiones han de ponerse en relación con la disposición adicional tercera, apartado 1 LOTC, según la cual “[l]as referencias a las provincias contenidas en esta ley se entenderán realizadas a las islas en las Comunidades Autónomas de las Illes Balears y Canarias”.</w:t>
      </w:r>
    </w:p>
    <w:p w14:paraId="6AA08BC9" w14:textId="77777777" w:rsidR="00F64776" w:rsidRDefault="00F64776" w:rsidP="00F64776">
      <w:pPr>
        <w:pStyle w:val="TextoNormal"/>
      </w:pPr>
    </w:p>
    <w:p w14:paraId="7DDA08D7" w14:textId="77777777" w:rsidR="00F64776" w:rsidRDefault="00F64776" w:rsidP="00F64776">
      <w:pPr>
        <w:pStyle w:val="TextoNormal"/>
      </w:pPr>
      <w:r>
        <w:t xml:space="preserve">En este caso, el Consell Insular de Formentera ha sustentado su legitimación, de manera principal, en el supuesto a) del art. 75 </w:t>
      </w:r>
      <w:r w:rsidRPr="00F64776">
        <w:rPr>
          <w:i/>
        </w:rPr>
        <w:t>ter</w:t>
      </w:r>
      <w:r>
        <w:t>1 LOTC, manifestando que es el destinatario único de los preceptos que impugna, y, subsidiariamente, ha invocado el supuesto b) del mismo precepto, sosteniendo que representa más de un séptimo de los municipios existentes en el ámbito territorial de aplicación de los preceptos que se impugnan (que, según entiende, serían Formentera y la ciudad de Ibiza), y más de un sexto de la población de ese mismo ámbito territorial.</w:t>
      </w:r>
    </w:p>
    <w:p w14:paraId="6F92782B" w14:textId="77777777" w:rsidR="00F64776" w:rsidRDefault="00F64776" w:rsidP="00F64776">
      <w:pPr>
        <w:pStyle w:val="TextoNormal"/>
      </w:pPr>
    </w:p>
    <w:p w14:paraId="14DD808B" w14:textId="77777777" w:rsidR="00F64776" w:rsidRDefault="00F64776" w:rsidP="00F64776">
      <w:pPr>
        <w:pStyle w:val="TextoNormal"/>
      </w:pPr>
      <w:r>
        <w:t>Hemos de analizar, por tanto, si cumple el presupuesto de legitimación defendido en el conflicto, a cuyo fin, resulta necesario reproducir los preceptos que son objeto del mismo, resaltando en cursiva los concretos extremos que han sido discutidos:</w:t>
      </w:r>
    </w:p>
    <w:p w14:paraId="5A88C4FB" w14:textId="77777777" w:rsidR="00F64776" w:rsidRDefault="00F64776" w:rsidP="00F64776">
      <w:pPr>
        <w:pStyle w:val="TextoNormal"/>
      </w:pPr>
    </w:p>
    <w:p w14:paraId="34AE003B" w14:textId="77777777" w:rsidR="00F64776" w:rsidRDefault="00F64776" w:rsidP="00F64776">
      <w:pPr>
        <w:pStyle w:val="TextoNormal"/>
      </w:pPr>
      <w:r>
        <w:t>“Artículo 35. Definición y funciones.</w:t>
      </w:r>
    </w:p>
    <w:p w14:paraId="7BB7694A" w14:textId="77777777" w:rsidR="00F64776" w:rsidRDefault="00F64776" w:rsidP="00F64776">
      <w:pPr>
        <w:pStyle w:val="TextoNormal"/>
      </w:pPr>
    </w:p>
    <w:p w14:paraId="3CBA3C3E" w14:textId="77777777" w:rsidR="00F64776" w:rsidRPr="00F64776" w:rsidRDefault="00F64776" w:rsidP="00F64776">
      <w:pPr>
        <w:pStyle w:val="TextoNormal"/>
        <w:rPr>
          <w:i/>
        </w:rPr>
      </w:pPr>
      <w:r>
        <w:t xml:space="preserve">1. Sin perjuicio de que sea de titularidad y gestión municipales, el Archivo Histórico de Ibiza y Formentera es responsable de recoger, conservar, organizar, describir, servir y divulgar los fondos de las instituciones históricas, custodiar la documentación histórica de la antigua Curia de la Real Gobernación, la antigua Universidad de Ibiza y Formentera, regulada en el año 1299, así como la </w:t>
      </w:r>
      <w:r w:rsidRPr="00F64776">
        <w:rPr>
          <w:i/>
        </w:rPr>
        <w:t>del Ayuntamiento de Ibiza y Formentera, creado a partir del Decreto de Nueva Planta de 1715, hasta la creación definitiva del Ayuntamiento de Formentera, en el año</w:t>
      </w:r>
      <w:r>
        <w:t xml:space="preserve"> 1889. </w:t>
      </w:r>
      <w:r w:rsidRPr="00F64776">
        <w:rPr>
          <w:i/>
        </w:rPr>
        <w:t>Además, se encarga de:</w:t>
      </w:r>
    </w:p>
    <w:p w14:paraId="2D3C435D" w14:textId="77777777" w:rsidR="00F64776" w:rsidRPr="00F64776" w:rsidRDefault="00F64776" w:rsidP="00F64776">
      <w:pPr>
        <w:pStyle w:val="TextoNormal"/>
        <w:rPr>
          <w:i/>
        </w:rPr>
      </w:pPr>
    </w:p>
    <w:p w14:paraId="2F1EA8EC" w14:textId="77777777" w:rsidR="00F64776" w:rsidRPr="00F64776" w:rsidRDefault="00F64776" w:rsidP="00F64776">
      <w:pPr>
        <w:pStyle w:val="TextoNormal"/>
        <w:rPr>
          <w:i/>
        </w:rPr>
      </w:pPr>
      <w:r w:rsidRPr="00F64776">
        <w:rPr>
          <w:i/>
        </w:rPr>
        <w:t>a) Recoger, conservar, organizar, describir, servir y divulgar los fondos de las instituciones históricas en las islas de Ibiza y Formentera.</w:t>
      </w:r>
    </w:p>
    <w:p w14:paraId="18C04C0F" w14:textId="77777777" w:rsidR="00F64776" w:rsidRDefault="00F64776" w:rsidP="00F64776">
      <w:pPr>
        <w:pStyle w:val="TextoNormal"/>
      </w:pPr>
    </w:p>
    <w:p w14:paraId="41B9163F" w14:textId="77777777" w:rsidR="00F64776" w:rsidRDefault="00F64776" w:rsidP="00F64776">
      <w:pPr>
        <w:pStyle w:val="TextoNormal"/>
      </w:pPr>
      <w:r>
        <w:t>b) Recoger, conservar, organizar, describir, servir y divulgar los fondos de los organismos del Estado radicados en las islas de Ibiza y Formentera que le correspondan por ley estatal.</w:t>
      </w:r>
    </w:p>
    <w:p w14:paraId="6904CDCE" w14:textId="77777777" w:rsidR="00F64776" w:rsidRDefault="00F64776" w:rsidP="00F64776">
      <w:pPr>
        <w:pStyle w:val="TextoNormal"/>
      </w:pPr>
    </w:p>
    <w:p w14:paraId="62BA2AEB" w14:textId="77777777" w:rsidR="00F64776" w:rsidRDefault="00F64776" w:rsidP="00F64776">
      <w:pPr>
        <w:pStyle w:val="TextoNormal"/>
      </w:pPr>
      <w:r>
        <w:t>c) Recoger, conservar, organizar, describir, servir y divulgar los protocolos notariales con más de cien años de antigüedad radicados en las islas de Ibiza y Formentera.</w:t>
      </w:r>
    </w:p>
    <w:p w14:paraId="6B9F74DF" w14:textId="77777777" w:rsidR="00F64776" w:rsidRDefault="00F64776" w:rsidP="00F64776">
      <w:pPr>
        <w:pStyle w:val="TextoNormal"/>
      </w:pPr>
    </w:p>
    <w:p w14:paraId="21A531E2" w14:textId="77777777" w:rsidR="00F64776" w:rsidRDefault="00F64776" w:rsidP="00F64776">
      <w:pPr>
        <w:pStyle w:val="TextoNormal"/>
      </w:pPr>
      <w:r w:rsidRPr="00F64776">
        <w:rPr>
          <w:i/>
        </w:rPr>
        <w:t>No obstante, el Archivo General del Consejo Insular de Formentera podrá ejercer las mismas funciones que el Archivo Histórico de Ibiza y Formentera respecto a la documentación histórica a que se refiere el apartado anterior, en los supuestos y las condiciones que se establezcan en los acuerdos de colaboración que, a este efecto, subscriban el Ayuntamiento de Ibiza y el Consejo Insular de Formentera</w:t>
      </w:r>
      <w:r>
        <w:t>”.</w:t>
      </w:r>
    </w:p>
    <w:p w14:paraId="57457977" w14:textId="77777777" w:rsidR="00F64776" w:rsidRDefault="00F64776" w:rsidP="00F64776">
      <w:pPr>
        <w:pStyle w:val="TextoNormal"/>
      </w:pPr>
    </w:p>
    <w:p w14:paraId="1CBC396F" w14:textId="77777777" w:rsidR="00F64776" w:rsidRDefault="00F64776" w:rsidP="00F64776">
      <w:pPr>
        <w:pStyle w:val="TextoNormal"/>
      </w:pPr>
      <w:r>
        <w:t>“Artículo 39. Administraciones municipales.</w:t>
      </w:r>
    </w:p>
    <w:p w14:paraId="5EBC1035" w14:textId="77777777" w:rsidR="00F64776" w:rsidRDefault="00F64776" w:rsidP="00F64776">
      <w:pPr>
        <w:pStyle w:val="TextoNormal"/>
      </w:pPr>
    </w:p>
    <w:p w14:paraId="35C20525" w14:textId="77777777" w:rsidR="00F64776" w:rsidRDefault="00F64776" w:rsidP="00F64776">
      <w:pPr>
        <w:pStyle w:val="TextoNormal"/>
      </w:pPr>
      <w:r>
        <w:t>[…]</w:t>
      </w:r>
    </w:p>
    <w:p w14:paraId="577554BA" w14:textId="77777777" w:rsidR="00F64776" w:rsidRDefault="00F64776" w:rsidP="00F64776">
      <w:pPr>
        <w:pStyle w:val="TextoNormal"/>
      </w:pPr>
    </w:p>
    <w:p w14:paraId="239A473F" w14:textId="7C6F2092" w:rsidR="00F64776" w:rsidRDefault="00F64776" w:rsidP="00F64776">
      <w:pPr>
        <w:pStyle w:val="TextoNormal"/>
      </w:pPr>
      <w:r>
        <w:t xml:space="preserve">6. El Archivo Municipal de Ciutadella, el Archivo Municipal de Palma </w:t>
      </w:r>
      <w:r w:rsidRPr="00F64776">
        <w:rPr>
          <w:i/>
        </w:rPr>
        <w:t>y el Archivo Histórico de Ibiza y Formentera, como depositarios de la documentación de los antiguos municipios con jurisdicción insular y de fondos documentales de gran relevancia para la historia de las Illes Balears, a pesar de su carácter municipal</w:t>
      </w:r>
      <w:r>
        <w:t>, deben alcanzar la misma categoría y consideración que los otros archivos históricos de las Illes Balears”.</w:t>
      </w:r>
    </w:p>
    <w:p w14:paraId="3F39599A" w14:textId="77777777" w:rsidR="00F64776" w:rsidRDefault="00F64776" w:rsidP="00F64776">
      <w:pPr>
        <w:pStyle w:val="TextoNormal"/>
      </w:pPr>
    </w:p>
    <w:p w14:paraId="2C93A3AB" w14:textId="77777777" w:rsidR="00F64776" w:rsidRDefault="00F64776" w:rsidP="00F64776">
      <w:pPr>
        <w:pStyle w:val="TextoNormal"/>
      </w:pPr>
      <w:r w:rsidRPr="00F64776">
        <w:rPr>
          <w:rStyle w:val="NumeroAFNegritaCaracter"/>
        </w:rPr>
        <w:t>3</w:t>
      </w:r>
      <w:r>
        <w:t xml:space="preserve">. Para comprobar si se cumple el presupuesto del art. 75 </w:t>
      </w:r>
      <w:r w:rsidRPr="00F64776">
        <w:rPr>
          <w:i/>
        </w:rPr>
        <w:t>ter</w:t>
      </w:r>
      <w:r>
        <w:t xml:space="preserve"> 1 a) LOTC en el caso del Consell Insular de Formentera respecto de las tres normas impugnadas en orden a la determinación de su legitimación para promover el presente conflicto, es preciso referirse a la doctrina del Tribunal en torno al entendimiento de la expresión “destinatario único” que emplea nuestra ley orgánica.</w:t>
      </w:r>
    </w:p>
    <w:p w14:paraId="497509C6" w14:textId="77777777" w:rsidR="00F64776" w:rsidRDefault="00F64776" w:rsidP="00F64776">
      <w:pPr>
        <w:pStyle w:val="TextoNormal"/>
      </w:pPr>
    </w:p>
    <w:p w14:paraId="2E474903" w14:textId="706B1DEA" w:rsidR="00F64776" w:rsidRDefault="00F64776" w:rsidP="00F64776">
      <w:pPr>
        <w:pStyle w:val="TextoNormal"/>
      </w:pPr>
      <w:r>
        <w:t xml:space="preserve">La STC 121/2012, de 5 de junio, FJ 3, concreta este concepto, señalando que “[e]l supuesto contemplado en este precepto de nuestra ley orgánica se refiere al municipio o provincia que sea destinatario único de la ley, expresión que no puede considerarse equivalente o exactamente coincidente con las denominadas leyes singulares o leyes de caso único. Ya hemos definido este último tipo de normas como ‘aquellas dictadas en atención a un supuesto de hecho concreto y singular, que agotan su contenido y eficacia en la adopción y ejecución de la medida tomada por el legislador ante ese supuesto de hecho, aislado en la Ley singular y no comunicable con ningún otro’ (STC 166/1986, de 19 de diciembre, FJ 10; en el mismo sentido, ATC 291/1997, de 22 de julio). Por el contrario, el caso contemplado en el art. 75 </w:t>
      </w:r>
      <w:r w:rsidRPr="00F64776">
        <w:rPr>
          <w:i/>
        </w:rPr>
        <w:t>ter</w:t>
      </w:r>
      <w:r>
        <w:t xml:space="preserve"> 1 a) LOTC no puede ser definido en tan estrictos términos, sino que bastará, a efectos de entender satisfecho lo previsto en el mismo, con que la norma resulte aplicable exclusivamente a ese concreto municipio o provincia, hallándonos en el supuesto contemplado por nuestra ley orgánica cuando de la norma en cuestión resulte claro que, desde el punto de vista material, se encuentra dirigida a regular la situación de un solo sujeto, que resulta ser el único al que, en realidad, resultaría aplicable la ley o el precepto cuestionado”. Por su parte, la STC 37/2014, de 11 de marzo, FJ 2, precisa que el concepto de destinatario único del art. 75 </w:t>
      </w:r>
      <w:r w:rsidRPr="00F64776">
        <w:rPr>
          <w:i/>
        </w:rPr>
        <w:t>ter</w:t>
      </w:r>
      <w:r>
        <w:t xml:space="preserve"> 1 a) LOTC “debe ser determinado caso por caso, a partir del ámbito territorial de la disposición legal presuntamente vulneradora de la autonomía local y de su contenido material”.</w:t>
      </w:r>
    </w:p>
    <w:p w14:paraId="15D9864E" w14:textId="77777777" w:rsidR="00F64776" w:rsidRDefault="00F64776" w:rsidP="00F64776">
      <w:pPr>
        <w:pStyle w:val="TextoNormal"/>
      </w:pPr>
    </w:p>
    <w:p w14:paraId="4AB1B82C" w14:textId="77777777" w:rsidR="00F64776" w:rsidRDefault="00F64776" w:rsidP="00F64776">
      <w:pPr>
        <w:pStyle w:val="TextoNormal"/>
      </w:pPr>
      <w:r w:rsidRPr="00F64776">
        <w:rPr>
          <w:rStyle w:val="NumeroAFNegritaCaracter"/>
        </w:rPr>
        <w:t>4</w:t>
      </w:r>
      <w:r>
        <w:t xml:space="preserve">. Partiendo de los anteriores criterios, podemos deducir sin dificultad que, en el caso del presente conflicto, no es posible considerar que Formentera sea la destinataria única de los preceptos objeto del conflicto. El argumento que se desarrolla en relación con cada uno de ellos es que dan lugar a un tratamiento desfavorable del que el único sujeto destinatario es el Consell Insular de Formentera, mientras que el único beneficiado es el Ayuntamiento de Ibiza, titular del Archivo Histórico de Ibiza y Formentera a que se refiere el art. 35 de la Ley 6/2022, invocando, como supuesto equiparable, el resuelto en la STC 132/2014, de 22 de julio. Sin embargo, esa argumentación no permite atribuir a Formentera la condición de “destinatario único” del art. 75 </w:t>
      </w:r>
      <w:r w:rsidRPr="00F64776">
        <w:rPr>
          <w:i/>
        </w:rPr>
        <w:t>ter</w:t>
      </w:r>
      <w:r>
        <w:t xml:space="preserve"> 1 LOTC, en el sentido que este tribunal ha dado a dicha expresión, por las siguientes razones:</w:t>
      </w:r>
    </w:p>
    <w:p w14:paraId="74758B91" w14:textId="77777777" w:rsidR="00F64776" w:rsidRDefault="00F64776" w:rsidP="00F64776">
      <w:pPr>
        <w:pStyle w:val="TextoNormal"/>
      </w:pPr>
    </w:p>
    <w:p w14:paraId="6C08A3F1" w14:textId="77777777" w:rsidR="00F64776" w:rsidRDefault="00F64776" w:rsidP="00F64776">
      <w:pPr>
        <w:pStyle w:val="TextoNormal"/>
      </w:pPr>
      <w:r>
        <w:t>a) El conflicto se asienta sobre una especie de idea de pertenencia de determinados documentos históricos, planteándolo a modo de una disputa competencial sobre ellos que se desarrollaría exclusivamente entre el propio Consell Insular de Formentera y el Ayuntamiento de Ibiza. Sin embargo, olvida, por una parte, el innegable carácter general de la regulación de la Ley 6/2022 que, según su art. 3.1, “se aplica a los archivos cuya titularidad corresponde a la administración de la comunidad autónoma de las Illes Balears, a las administraciones de los consejos insulares y de los ayuntamientos, y a otros entes locales radicados en la comunidad autónoma de las Illes Balears”. Por otra, que todos esos documentos que se reivindican pertenecen al patrimonio documental de las Illes Balears, que, tal y como determina el art. 5 de la ley, en su apartado 1, “está constituido por todos los documentos, comprendidos o no en archivos y generados en cualquier época, que hayan sido producidos, reunidos o conservados en el ejercicio de sus funciones por cualquiera de los organismos a que hace referencia el apartado 1 del artículo 10 de esta ley” (que incluye a los consejos insulares y a las entidades locales). Y su apartado 2 añade que “[a] efectos del apartado anterior, en todo caso forman parte del patrimonio documental de las Illes Balears los documentos integrantes de los fondos del Archivo de la Corona de Aragón y de los archivos históricos que se indican en esta ley”. Por último, no se puede soslayar que todos los archivos de las distintas administraciones y entidades de la comunidad autónoma forman parte del sistema archivístico de las Illes Balears, definido en el art. 20.1 de la Ley como “el conjunto de órganos de las administraciones públicas y de subsistemas autónomos, relacionados entre sí por órganos de coordinación, que garantizan la identificación, la gestión, la conservación, la protección, el acceso y la difusión del patrimonio documental de las Illes Balears”; sistema en el que se incluyen el subsistema del Archivo Histórico de Ibiza y Formentera y los subsistemas de cada uno de los consejos insulares [art. 24 g) y h)]. Por tanto, el fundamento del conflicto prescinde de esa perspectiva general, y de la relevancia autonómica que se otorga a los fondos documentales de los archivos históricos, que puede deducirse, en el caso del Archivo Histórico de Ibiza y Formentera, de las referencias que contiene el art. 35.1 de la Ley 6/2022 y de la relevancia que le otorga el art. 39.6, que trascienden del limitado ámbito al que se pretende circunscribir el problema de fondo.</w:t>
      </w:r>
    </w:p>
    <w:p w14:paraId="15B36A58" w14:textId="77777777" w:rsidR="00F64776" w:rsidRDefault="00F64776" w:rsidP="00F64776">
      <w:pPr>
        <w:pStyle w:val="TextoNormal"/>
      </w:pPr>
    </w:p>
    <w:p w14:paraId="0FFE2F9C" w14:textId="77777777" w:rsidR="00F64776" w:rsidRDefault="00F64776" w:rsidP="00F64776">
      <w:pPr>
        <w:pStyle w:val="TextoNormal"/>
      </w:pPr>
      <w:r>
        <w:t xml:space="preserve">b) Como ya se ha apuntado más arriba, el Consell Insular de Formentera invoca la doctrina aplicada en la STC 132/2014, de 22 de julio. No obstante, se ha de precisar que, en aquel caso, el conflicto era planteado por el municipio de Torremontalbo, en relación con la ley que aprobaba la segregación de parte de su término municipal para agregarlo al de Uruñuela, supuesto en el que aquel no podía acudir a la jurisdicción contencioso-administrativa en defensa de su territorio, cauce habitual para discutir las alteraciones del término municipal, por lo que la única vía de impugnación de la segregación municipal aprobada por ley era la jurisdicción constitucional. Partiendo de esta consideración, y con el fin de garantizar la eficacia del principio </w:t>
      </w:r>
      <w:r w:rsidRPr="00F64776">
        <w:rPr>
          <w:i/>
        </w:rPr>
        <w:t>pro actione</w:t>
      </w:r>
      <w:r>
        <w:t xml:space="preserve">, este tribunal razonó que debía “realizar una interpretación flexible del apartado a) del art. 75 </w:t>
      </w:r>
      <w:r w:rsidRPr="00F64776">
        <w:rPr>
          <w:i/>
        </w:rPr>
        <w:t>ter</w:t>
      </w:r>
      <w:r>
        <w:t xml:space="preserve"> 1 LOTC y considerar que estamos ante un supuesto de destinatario único”, por lo que reconoció la legitimación al municipio de Torremontalbo, como destinatario único, ya que “se reacciona con la interposición del conflicto frente a una ley singular y autoaplicativa que se agota en su contenido, y que afecta a dos municipios, que son destinatarios de la misma, y para los que produce efectos jurídicos directos y simultáneos, pero que solo presuntamente vulnera la autonomía de aquel al que priva de una parte importante de su término municipal”.</w:t>
      </w:r>
    </w:p>
    <w:p w14:paraId="1E3A22A3" w14:textId="77777777" w:rsidR="00F64776" w:rsidRDefault="00F64776" w:rsidP="00F64776">
      <w:pPr>
        <w:pStyle w:val="TextoNormal"/>
      </w:pPr>
    </w:p>
    <w:p w14:paraId="1F4B4653" w14:textId="77777777" w:rsidR="00F64776" w:rsidRDefault="00F64776" w:rsidP="00F64776">
      <w:pPr>
        <w:pStyle w:val="TextoNormal"/>
      </w:pPr>
      <w:r>
        <w:t>Sin embargo, esa doctrina no es trasladable a este caso. No nos hallamos ante una ley singular y autoaplicativa que se agote en su contenido, sino ante una ley que, por lo que se refiere a los concretos preceptos que se mencionan en el conflicto, no afecta únicamente a Formentera y su consell insular, como se ha pretendido hacer ver en la demanda rectora. Se trata de una regulación que, como ya hemos razonado, tiene un carácter abstracto y general, sin perjuicio de que se refiera particularmente a determinadas instituciones o entidades, pero sin que pueda reducirse, como hace el conflicto, bajo la invocación de errores históricos, a su conceptuación como una normativa que afecte únicamente a Formentera por considerarse la única perjudicada, frente al municipio de Ibiza, que sería —según defienden— el único beneficiado.</w:t>
      </w:r>
    </w:p>
    <w:p w14:paraId="0D6BBD39" w14:textId="77777777" w:rsidR="00F64776" w:rsidRDefault="00F64776" w:rsidP="00F64776">
      <w:pPr>
        <w:pStyle w:val="TextoNormal"/>
      </w:pPr>
    </w:p>
    <w:p w14:paraId="5CD354F2" w14:textId="77777777" w:rsidR="00F64776" w:rsidRDefault="00F64776" w:rsidP="00F64776">
      <w:pPr>
        <w:pStyle w:val="TextoNormal"/>
      </w:pPr>
      <w:r>
        <w:t>c) En efecto, por lo que se refiere al art. 35, el conflicto disgrega aquellas partes que interesan a sus planteamientos, prescindiendo del conjunto de su regulación, referida al Archivo Histórico de Ibiza y Formentera, como subsistema archivístico, que, sin perjuicio de su titularidad y gestión municipales, “es responsable de recoger, conservar, organizar, describir, servir y divulgar los fondos de las instituciones históricas, custodiar la documentación histórica de la antigua Curia de la Real Gobernación, la antigua Universidad de Ibiza y Formentera [primitivo órgano de autogobierno de las islas de Ibiza y Formentera], regulada en el año 1299, así como la del Ayuntamiento de Ibiza y Formentera, creado a partir del Decreto de Nueva Planta de 1715, hasta la creación definitiva del Ayuntamiento de Formentera, en el año 1889”. Y, le corresponde, además, recoger, conservar, organizar, describir, servir y divulgar los fondos de las instituciones históricas en las islas de Ibiza y Formentera, los fondos de los organismos del Estado radicados en las islas de Ibiza y Formentera que le correspondan por ley estatal, y los protocolos notariales con más de cien años de antigüedad radicados en las islas de Ibiza y Formentera.</w:t>
      </w:r>
    </w:p>
    <w:p w14:paraId="59F552A3" w14:textId="77777777" w:rsidR="00F64776" w:rsidRDefault="00F64776" w:rsidP="00F64776">
      <w:pPr>
        <w:pStyle w:val="TextoNormal"/>
      </w:pPr>
    </w:p>
    <w:p w14:paraId="1B73AD91" w14:textId="77777777" w:rsidR="00F64776" w:rsidRDefault="00F64776" w:rsidP="00F64776">
      <w:pPr>
        <w:pStyle w:val="TextoNormal"/>
      </w:pPr>
      <w:r>
        <w:t>Es innegable, por consiguiente, que no es una norma de destinatario único, ya que, al margen del alcance general al que nos hemos referido en el apartado a), afectaría tanto a la isla de Formentera como a la de Ibiza, y, por consiguiente, a las instituciones de gobierno presentes en una y otra, sea a nivel municipal o insular, sin olvidar que también extiende sus competencias el archivo histórico sobre documentación procedente de otras instituciones, como las estatales radicadas en ambas islas. Es más, la propia demanda del conflicto reconoce que la regulación que se discute también afectaría al Consell Insular de Ibiza en cuanto al ejercicio de sus competencias respecto de los subsistemas archivísticos de los consejos insulares, que se regulan en los arts. 36 y 37 de la Ley 6/2022.</w:t>
      </w:r>
    </w:p>
    <w:p w14:paraId="1EA78479" w14:textId="77777777" w:rsidR="00F64776" w:rsidRDefault="00F64776" w:rsidP="00F64776">
      <w:pPr>
        <w:pStyle w:val="TextoNormal"/>
      </w:pPr>
    </w:p>
    <w:p w14:paraId="5D2364D2" w14:textId="77777777" w:rsidR="00F64776" w:rsidRDefault="00F64776" w:rsidP="00F64776">
      <w:pPr>
        <w:pStyle w:val="TextoNormal"/>
      </w:pPr>
      <w:r>
        <w:t>Sin ignorar la singularidad institucional de Formentera, resultante del art. 63.2 del Estatuto de Autonomía de las Illes Balears y del art. 1.3 y el título IX de la Ley 4/2022, de 28 de junio, de consejos insulares, ya dijo este tribunal en su ATC 277/2014, de 2 de noviembre, FJ 3, que esa singularidad no es relevante a los efectos de la aplicación de la doctrina de la STC 121/2012 sobre la legitimación para plantear conflictos, “en la medida en que esa afirmada peculiaridad no viene dada por las normas que impugna, pues resulta claro que tanto una como otra no se encuentran dirigidas a regular la situación de un solo sujeto, sino que, en todo caso, tienen un carácter abstracto y general y, tanto se aplique una como otra, resulta que el Consejo Insular de Formentera no es su único destinatario”.</w:t>
      </w:r>
    </w:p>
    <w:p w14:paraId="6D1D2456" w14:textId="77777777" w:rsidR="00F64776" w:rsidRDefault="00F64776" w:rsidP="00F64776">
      <w:pPr>
        <w:pStyle w:val="TextoNormal"/>
      </w:pPr>
    </w:p>
    <w:p w14:paraId="62236173" w14:textId="77777777" w:rsidR="00F64776" w:rsidRDefault="00F64776" w:rsidP="00F64776">
      <w:pPr>
        <w:pStyle w:val="TextoNormal"/>
      </w:pPr>
      <w:r>
        <w:t>d) A igual conclusión hay que llegar en cuanto al art. 35.2 de la Ley 6/2022, pues, además del Consell Insular de Formentera, sería destinatario de la norma también el Ayuntamiento de Ibiza, en cuanto titular y gestor del Archivo Histórico de Ibiza y Formentera, ya que se prevé la celebración de acuerdos de colaboración entre ambas instituciones para que el Archivo General del Consejo Insular de Formentera ejerza las mismas funciones que aquel respecto a la documentación histórica a que se refiere el art. 35.1. No está de más significar que este apartado, visto desde una perspectiva distinta a la que se plantea en el conflicto, recoge una prerrogativa del Archivo del Consell Insular de Formentera que, sin embargo, no se reconoce al Archivo del Consell Insular de Ibiza.</w:t>
      </w:r>
    </w:p>
    <w:p w14:paraId="7BFDF63E" w14:textId="77777777" w:rsidR="00F64776" w:rsidRDefault="00F64776" w:rsidP="00F64776">
      <w:pPr>
        <w:pStyle w:val="TextoNormal"/>
      </w:pPr>
    </w:p>
    <w:p w14:paraId="78BF4ACB" w14:textId="77777777" w:rsidR="00F64776" w:rsidRDefault="00F64776" w:rsidP="00F64776">
      <w:pPr>
        <w:pStyle w:val="TextoNormal"/>
      </w:pPr>
      <w:r>
        <w:t>e) Más evidente aún resulta la conclusión en cuanto al art. 39.6 que, con un notorio alcance general, determina que tanto el Archivo Municipal de Ciutadella, como el Archivo Municipal de Palma y el Archivo Histórico de Ibiza y Formentera, en tanto que “depositarios de la documentación de los antiguos municipios con jurisdicción insular y de fondos documentales de gran relevancia para la historia de las Illes Balears, a pesar de su carácter municipal, deben alcanzar la misma categoría y consideración que los otros archivos históricos”. Esto es, se establece una previsión que, más allá de la afección que pueda tener respecto de las islas de Ibiza y Formentera en cuanto se refiere al Archivo Histórico de Ibiza y Formentera, es de interés para el conjunto de la comunidad autónoma, por la relevancia de los fondos documentales conservados en tales archivos que, como ya se ha expuesto anteriormente, forman parte, en todo caso, del patrimonio documental de las Illes Balears (art. 5.2 de la Ley 6/2022).</w:t>
      </w:r>
    </w:p>
    <w:p w14:paraId="29E8923C" w14:textId="77777777" w:rsidR="00F64776" w:rsidRDefault="00F64776" w:rsidP="00F64776">
      <w:pPr>
        <w:pStyle w:val="TextoNormal"/>
      </w:pPr>
    </w:p>
    <w:p w14:paraId="4A7DD53A" w14:textId="37D92D9B" w:rsidR="00F64776" w:rsidRDefault="00F64776" w:rsidP="00F64776">
      <w:pPr>
        <w:pStyle w:val="TextoNormal"/>
      </w:pPr>
      <w:r>
        <w:t xml:space="preserve">De las anteriores consideraciones se desprende, sin ningún género de duda, que el Consell Insular de Formentera no es el destinatario único de los preceptos impugnados, por lo que carece de legitimación para promover por sí solo el presente conflicto en defensa de la autonomía local con fundamento en el art. 75 </w:t>
      </w:r>
      <w:r w:rsidRPr="00F64776">
        <w:rPr>
          <w:i/>
        </w:rPr>
        <w:t>ter</w:t>
      </w:r>
      <w:r>
        <w:t xml:space="preserve"> 1 a) LOTC.</w:t>
      </w:r>
    </w:p>
    <w:p w14:paraId="13311002" w14:textId="77777777" w:rsidR="00F64776" w:rsidRDefault="00F64776" w:rsidP="00F64776">
      <w:pPr>
        <w:pStyle w:val="TextoNormal"/>
      </w:pPr>
    </w:p>
    <w:p w14:paraId="13E8EDDB" w14:textId="77777777" w:rsidR="00F64776" w:rsidRDefault="00F64776" w:rsidP="00F64776">
      <w:pPr>
        <w:pStyle w:val="TextoNormal"/>
      </w:pPr>
      <w:r w:rsidRPr="00F64776">
        <w:rPr>
          <w:rStyle w:val="NumeroAFNegritaCaracter"/>
        </w:rPr>
        <w:t>5</w:t>
      </w:r>
      <w:r>
        <w:t xml:space="preserve">. No obstante, es preciso examinar también si concurre el otro supuesto de legitimación que alega el Consell Insular de Formentera que, subsidiariamente, se acoge al supuesto del art. 75 </w:t>
      </w:r>
      <w:r w:rsidRPr="00F64776">
        <w:rPr>
          <w:i/>
        </w:rPr>
        <w:t>ter</w:t>
      </w:r>
      <w:r>
        <w:t xml:space="preserve"> 1 b) LOTC, según el cual, están también legitimados para plantear el conflicto un número de municipios que supongan al menos un séptimo de los existentes en el ámbito territorial de aplicación de la disposición con rango de ley, y representen como mínimo un sexto de la población oficial del ámbito territorial correspondiente. El Consell de Formentera aduce que la regulación afectaría solo a Formentera y al municipio de Ibiza, que Formentera representa la mitad de los municipios afectados, y que su población, según los últimos datos aprobados, es más de un séptimo dentro del ámbito territorial concernido.</w:t>
      </w:r>
    </w:p>
    <w:p w14:paraId="26C0A17F" w14:textId="77777777" w:rsidR="00F64776" w:rsidRDefault="00F64776" w:rsidP="00F64776">
      <w:pPr>
        <w:pStyle w:val="TextoNormal"/>
      </w:pPr>
    </w:p>
    <w:p w14:paraId="60E843D0" w14:textId="77777777" w:rsidR="00F64776" w:rsidRDefault="00F64776" w:rsidP="00F64776">
      <w:pPr>
        <w:pStyle w:val="TextoNormal"/>
      </w:pPr>
      <w:r>
        <w:t>Esa argumentación resulta contradictoria con las alegaciones anteriormente formuladas en cuanto admite que las normas objeto del conflicto no le son aplicables en su condición de destinatario único y supone, como se dijo en el ATC 168/2015, de 6 de octubre, FJ 3, pretender aplicar dos reglas de legitimación distintas y excluyentes entre sí en la interposición del conflicto.</w:t>
      </w:r>
    </w:p>
    <w:p w14:paraId="11EA933A" w14:textId="77777777" w:rsidR="00F64776" w:rsidRDefault="00F64776" w:rsidP="00F64776">
      <w:pPr>
        <w:pStyle w:val="TextoNormal"/>
      </w:pPr>
    </w:p>
    <w:p w14:paraId="41F6DD32" w14:textId="77777777" w:rsidR="00F64776" w:rsidRDefault="00F64776" w:rsidP="00F64776">
      <w:pPr>
        <w:pStyle w:val="TextoNormal"/>
      </w:pPr>
      <w:r>
        <w:t xml:space="preserve">Dicho esto, no cabe admitir que, amparándose en su singularidad institucional ya reseñada, el Consell Insular de Formentera adopte esa posición o la de municipio, a su conveniencia, para justificar su legitimación. En este caso, la regla que resultaría aplicable es la del art. 75 </w:t>
      </w:r>
      <w:r w:rsidRPr="00F64776">
        <w:rPr>
          <w:i/>
        </w:rPr>
        <w:t>ter</w:t>
      </w:r>
      <w:r>
        <w:t xml:space="preserve"> 1 c) LOTC, en relación con la disposición adicional tercera, apartado 2 de la misma ley, lo que exigiría la concurrencia de la voluntad impugnatoria de, al menos, dos consejos insulares para plantear un proceso de este tipo frente a normas con rango de ley de las Illes Balears, concurrencia que no se ha producido en este supuesto.</w:t>
      </w:r>
    </w:p>
    <w:p w14:paraId="65DC50C4" w14:textId="77777777" w:rsidR="00F64776" w:rsidRDefault="00F64776" w:rsidP="00F64776">
      <w:pPr>
        <w:pStyle w:val="TextoNormal"/>
      </w:pPr>
    </w:p>
    <w:p w14:paraId="1856BEBA" w14:textId="708AEAB0" w:rsidR="00F64776" w:rsidRDefault="00F64776" w:rsidP="00F64776">
      <w:pPr>
        <w:pStyle w:val="TextoNormal"/>
      </w:pPr>
      <w:r>
        <w:t xml:space="preserve">En cualquier caso, de admitir hipotéticamente que procediera esta vía conflictual, tampoco a través de ella ostentaría legitimación el Consell Insular de Formentera, porque, al margen del alcance general de la regulación impugnada, esta afectaría a las islas de Ibiza y Formentera, por lo que la población a tener en cuenta sería la de las dos islas en su conjunto (11 418 habitantes de Formentera y 159 074 habitantes de la isla de Ibiza, según datos del Instituto Nacional de Estadística a 1 de enero de 2023), de modo que la población de Formentera no alcanzaría la cifra mínima de un sexto exigida por el art. 75 </w:t>
      </w:r>
      <w:r w:rsidRPr="00F64776">
        <w:rPr>
          <w:i/>
        </w:rPr>
        <w:t>ter</w:t>
      </w:r>
      <w:r>
        <w:t xml:space="preserve"> 1 b) LOTC.</w:t>
      </w:r>
    </w:p>
    <w:p w14:paraId="51F55684" w14:textId="77777777" w:rsidR="00F64776" w:rsidRDefault="00F64776" w:rsidP="00F64776">
      <w:pPr>
        <w:pStyle w:val="TextoNormal"/>
      </w:pPr>
    </w:p>
    <w:p w14:paraId="7171E745" w14:textId="6AA097D1" w:rsidR="00F64776" w:rsidRDefault="00F64776" w:rsidP="00F64776">
      <w:pPr>
        <w:pStyle w:val="TextoNormal"/>
      </w:pPr>
      <w:r w:rsidRPr="00F64776">
        <w:rPr>
          <w:rStyle w:val="NumeroAFNegritaCaracter"/>
        </w:rPr>
        <w:t>6</w:t>
      </w:r>
      <w:r>
        <w:t xml:space="preserve">. De lo hasta aquí razonado se desprende que el Consell Insular de Formentera carece de legitimación, desde las dos perspectivas alegadas, para interponer el presente conflicto en defensa de la autonomía local. Por consiguiente, con arreglo a lo dispuesto en el art. 75 </w:t>
      </w:r>
      <w:r w:rsidRPr="00F64776">
        <w:rPr>
          <w:i/>
        </w:rPr>
        <w:t>quinquies</w:t>
      </w:r>
      <w:r>
        <w:t xml:space="preserve"> 1 LOTC, procede declarar la inadmisión del presente conflicto por dicho motivo.</w:t>
      </w:r>
    </w:p>
    <w:p w14:paraId="7C065DE5" w14:textId="77777777" w:rsidR="00F64776" w:rsidRDefault="00F64776" w:rsidP="00F64776">
      <w:pPr>
        <w:pStyle w:val="TextoNormal"/>
      </w:pPr>
    </w:p>
    <w:p w14:paraId="6DD7CDBF" w14:textId="77777777" w:rsidR="00F64776" w:rsidRDefault="00F64776" w:rsidP="00F64776">
      <w:pPr>
        <w:pStyle w:val="TextoNormal"/>
      </w:pPr>
      <w:r>
        <w:t>Por lo expuesto, el Pleno</w:t>
      </w:r>
    </w:p>
    <w:p w14:paraId="75A76121" w14:textId="314637CF" w:rsidR="00F64776" w:rsidRDefault="00F64776" w:rsidP="00F64776">
      <w:pPr>
        <w:pStyle w:val="TextoNormal"/>
      </w:pPr>
    </w:p>
    <w:p w14:paraId="3A3808A1" w14:textId="77777777" w:rsidR="00F64776" w:rsidRDefault="00F64776" w:rsidP="00F64776">
      <w:pPr>
        <w:pStyle w:val="TextoNormalCentrado"/>
      </w:pPr>
      <w:r>
        <w:t>ACUERDA</w:t>
      </w:r>
    </w:p>
    <w:p w14:paraId="7A0A3220" w14:textId="7431EC02" w:rsidR="00F64776" w:rsidRDefault="00F64776" w:rsidP="00F64776">
      <w:pPr>
        <w:pStyle w:val="TextoNormalCentrado"/>
      </w:pPr>
    </w:p>
    <w:p w14:paraId="01344DBC" w14:textId="4E96D896" w:rsidR="00F64776" w:rsidRDefault="00F64776" w:rsidP="00F64776">
      <w:pPr>
        <w:pStyle w:val="TextoNormal"/>
      </w:pPr>
      <w:r>
        <w:t>Inadmitir a trámite el presente conflicto en defensa de la autonomía local.</w:t>
      </w:r>
    </w:p>
    <w:p w14:paraId="6E58F11B" w14:textId="77777777" w:rsidR="00F64776" w:rsidRDefault="00F64776" w:rsidP="00F64776">
      <w:pPr>
        <w:pStyle w:val="TextoNormal"/>
      </w:pPr>
    </w:p>
    <w:p w14:paraId="0390C03B" w14:textId="77777777" w:rsidR="00F64776" w:rsidRDefault="00F64776" w:rsidP="00F64776">
      <w:pPr>
        <w:pStyle w:val="TextoNormal"/>
      </w:pPr>
      <w:r>
        <w:t>Madrid, a cuatro de julio de dos mil veintitrés.</w:t>
      </w:r>
    </w:p>
    <w:p w14:paraId="0F4FF989" w14:textId="0A24B0C6" w:rsidR="00F64776" w:rsidRDefault="00F64776">
      <w:pPr>
        <w:spacing w:after="160" w:line="278" w:lineRule="auto"/>
        <w:rPr>
          <w:rFonts w:ascii="Times New Roman" w:eastAsia="Times New Roman" w:hAnsi="Times New Roman" w:cs="Times New Roman"/>
          <w:sz w:val="24"/>
          <w:szCs w:val="24"/>
          <w:lang w:eastAsia="es-ES"/>
        </w:rPr>
      </w:pPr>
      <w:r>
        <w:br w:type="page"/>
      </w:r>
    </w:p>
    <w:p w14:paraId="01991641" w14:textId="77777777" w:rsidR="00F64776" w:rsidRDefault="00F64776" w:rsidP="00F64776">
      <w:pPr>
        <w:pStyle w:val="TtuloResolucin"/>
      </w:pPr>
      <w:bookmarkStart w:id="140" w:name="AUTO_2023_355"/>
      <w:r>
        <w:t>AUTO 355/2023, de 4 de julio de 2023</w:t>
      </w:r>
    </w:p>
    <w:bookmarkEnd w:id="140"/>
    <w:p w14:paraId="46FB9A53" w14:textId="77777777" w:rsidR="00F64776" w:rsidRDefault="00F64776" w:rsidP="00F64776">
      <w:pPr>
        <w:pStyle w:val="TtuloResolucin"/>
      </w:pPr>
      <w:r>
        <w:t>Pleno</w:t>
      </w:r>
    </w:p>
    <w:p w14:paraId="6074D6BB" w14:textId="77777777" w:rsidR="00F64776" w:rsidRDefault="00F64776" w:rsidP="00F64776">
      <w:pPr>
        <w:pStyle w:val="TextoNormalCentrado"/>
      </w:pPr>
      <w:r>
        <w:t>ECLI:ES:TC:2023:355A</w:t>
      </w:r>
    </w:p>
    <w:p w14:paraId="1587BBAF" w14:textId="1337D862" w:rsidR="00F64776" w:rsidRDefault="00F64776" w:rsidP="00F64776">
      <w:pPr>
        <w:pStyle w:val="TextoNormalCentrado"/>
      </w:pPr>
    </w:p>
    <w:p w14:paraId="1634FBE1" w14:textId="77777777" w:rsidR="00F64776" w:rsidRDefault="00F64776" w:rsidP="00F64776">
      <w:pPr>
        <w:pStyle w:val="SntesisDescriptiva"/>
      </w:pPr>
      <w:r>
        <w:t>Excms. Srs. don Cándido Conde-Pumpido Tourón, doña Inmaculada Montalbán Huertas, don Ricardo Enríquez Sancho, doña María Luisa Balaguer Callejón, don Ramón Sáez Valcárcel, don Enrique Arnaldo Alcubilla, doña Concepción Espejel Jorquera, doña María Luisa Segoviano Astaburuaga, don César Tolosa Tribiño y doña Laura Díez Bueso.</w:t>
      </w:r>
    </w:p>
    <w:p w14:paraId="2FF24A7F" w14:textId="6B397471" w:rsidR="00F64776" w:rsidRDefault="00F64776" w:rsidP="00F64776">
      <w:pPr>
        <w:pStyle w:val="SntesisDescriptiva"/>
      </w:pPr>
    </w:p>
    <w:p w14:paraId="16B5D0E3" w14:textId="77777777" w:rsidR="00F64776" w:rsidRDefault="00F64776" w:rsidP="00F64776">
      <w:pPr>
        <w:pStyle w:val="SntesisDescriptiva"/>
      </w:pPr>
      <w:r>
        <w:t>Acepta una abstención en la cuestión de inconstitucionalidad 2577-2023, planteada por la Sala de lo Contencioso-Administrativo de la Audiencia Nacional, en relación con los apartados primero y segundo del artículo 3.1 del Real Decreto-ley 3/2016, de 2 de diciembre, por el que se adoptan medidas en el ámbito tributario dirigidas a la consolidación de las finanzas públicas y otras medidas urgentes en materia social.</w:t>
      </w:r>
    </w:p>
    <w:p w14:paraId="2C4E02D8" w14:textId="0A87CC50" w:rsidR="00F64776" w:rsidRDefault="00F64776" w:rsidP="00F64776">
      <w:pPr>
        <w:pStyle w:val="SntesisDescriptiva"/>
      </w:pPr>
    </w:p>
    <w:p w14:paraId="2B7E04E3" w14:textId="77777777" w:rsidR="00F64776" w:rsidRDefault="00F64776" w:rsidP="00F64776">
      <w:pPr>
        <w:pStyle w:val="SntesisDescriptiva"/>
      </w:pPr>
    </w:p>
    <w:p w14:paraId="16BC9CC4" w14:textId="77777777" w:rsidR="00F64776" w:rsidRDefault="00F64776" w:rsidP="00F64776">
      <w:pPr>
        <w:pStyle w:val="SntesisDescriptiva"/>
      </w:pPr>
    </w:p>
    <w:p w14:paraId="37ED57CC" w14:textId="77777777" w:rsidR="00F64776" w:rsidRDefault="00F64776" w:rsidP="00F64776">
      <w:pPr>
        <w:pStyle w:val="TextoNormalNegritaCentrado"/>
      </w:pPr>
      <w:r>
        <w:t>AUTO</w:t>
      </w:r>
    </w:p>
    <w:p w14:paraId="71FAE77C" w14:textId="418F77A2" w:rsidR="00F64776" w:rsidRDefault="00F64776" w:rsidP="00F64776">
      <w:pPr>
        <w:pStyle w:val="TextoNormalNegritaCentrado"/>
      </w:pPr>
    </w:p>
    <w:p w14:paraId="2B3EC480" w14:textId="77777777" w:rsidR="00F64776" w:rsidRDefault="00F64776" w:rsidP="00F64776">
      <w:pPr>
        <w:pStyle w:val="TextoNormalNegritaCentrado"/>
        <w:keepNext/>
      </w:pPr>
      <w:r>
        <w:t>I. Antecedentes</w:t>
      </w:r>
    </w:p>
    <w:p w14:paraId="56F4A203" w14:textId="01F83CBD" w:rsidR="00F64776" w:rsidRDefault="00F64776" w:rsidP="00F64776">
      <w:pPr>
        <w:pStyle w:val="TextoNormalNegritaCentrado"/>
        <w:keepNext/>
      </w:pPr>
    </w:p>
    <w:p w14:paraId="5B21D18C" w14:textId="7202A7D5" w:rsidR="00F64776" w:rsidRDefault="00F64776" w:rsidP="00F64776">
      <w:pPr>
        <w:pStyle w:val="TextoNormal"/>
      </w:pPr>
      <w:r w:rsidRPr="00F64776">
        <w:rPr>
          <w:rStyle w:val="NumeroAFNegritaCaracter"/>
        </w:rPr>
        <w:t>1</w:t>
      </w:r>
      <w:r>
        <w:t>. Por escrito fechado el día 27 de junio de 2023, el magistrado don Juan Carlos Campo Moreno comunicó al señor presidente, a los efectos oportunos, su voluntad de abstenerse de intervenir en el conocimiento de la cuestión de inconstitucionalidad núm. 2577-2023.</w:t>
      </w:r>
    </w:p>
    <w:p w14:paraId="34DC84BA" w14:textId="77777777" w:rsidR="00F64776" w:rsidRDefault="00F64776" w:rsidP="00F64776">
      <w:pPr>
        <w:pStyle w:val="TextoNormal"/>
      </w:pPr>
    </w:p>
    <w:p w14:paraId="4BD64AC5" w14:textId="38A28E48" w:rsidR="00F64776" w:rsidRDefault="00F64776" w:rsidP="00F64776">
      <w:pPr>
        <w:pStyle w:val="TextoNormal"/>
      </w:pPr>
      <w:r w:rsidRPr="00F64776">
        <w:rPr>
          <w:rStyle w:val="NumeroAFNegritaCaracter"/>
        </w:rPr>
        <w:t>2</w:t>
      </w:r>
      <w:r>
        <w:t>. La solicitud de abstención se vincula al hecho de haber participado el magistrado, en su anterior condición de diputado, en la votación del Pleno del Congreso de los Diputados de 15 de diciembre de 2016, en la que se convalidó el Real Decreto-ley 3/2016, de 2 de diciembre, por el que se adoptan medidas urgentes en el ámbito tributario dirigidas a la consolidación de las finanzas públicas y otras medidas urgentes en materia social.</w:t>
      </w:r>
    </w:p>
    <w:p w14:paraId="6258B2F6" w14:textId="77777777" w:rsidR="00F64776" w:rsidRDefault="00F64776" w:rsidP="00F64776">
      <w:pPr>
        <w:pStyle w:val="TextoNormal"/>
      </w:pPr>
    </w:p>
    <w:p w14:paraId="0634D299" w14:textId="77777777" w:rsidR="00F64776" w:rsidRDefault="00F64776" w:rsidP="00F64776">
      <w:pPr>
        <w:pStyle w:val="TextoNormalNegritaCentrado"/>
        <w:keepNext/>
      </w:pPr>
      <w:r>
        <w:t>II. Fundamentos jurídicos</w:t>
      </w:r>
    </w:p>
    <w:p w14:paraId="60A0A5CD" w14:textId="0E058E68" w:rsidR="00F64776" w:rsidRDefault="00F64776" w:rsidP="00F64776">
      <w:pPr>
        <w:pStyle w:val="TextoNormalNegritaCentrado"/>
        <w:keepNext/>
      </w:pPr>
    </w:p>
    <w:p w14:paraId="5063F438" w14:textId="78492919" w:rsidR="00F64776" w:rsidRDefault="00F64776" w:rsidP="00F64776">
      <w:pPr>
        <w:pStyle w:val="TextoNormal"/>
      </w:pPr>
      <w:r w:rsidRPr="00F64776">
        <w:rPr>
          <w:rStyle w:val="TextoNormalNegritaCaracter"/>
        </w:rPr>
        <w:t xml:space="preserve">Único. </w:t>
      </w:r>
      <w:r>
        <w:t>Visto el contenido de la comunicación efectuada por el magistrado don Juan Carlos Campo Moreno, en virtud de lo previsto en los arts. 80 de la Ley Orgánica del Tribunal Constitucional y 221.4 de la Ley Orgánica del Poder Judicial (LOPJ), se estima justificada la causa de la abstención formulada. La participación del magistrado, en su anterior condición de diputado, en la votación del Pleno del Congreso de los Diputados de 15 de diciembre de 2016, en la que se convalidó el Real Decreto-ley 3/2016, de 2 de diciembre, objeto de la presente cuestión de inconstitucionalidad, integra la causa de abstención recogida en el art. 219.13 LOPJ, según la cual lo es: “[h]aber ocupado cargo público, desempeñado empleo o ejercido profesión con ocasión de los cuales haya participado directa o indirectamente en el asunto objeto del pleito o causa o en otro relacionado con el mismo”.</w:t>
      </w:r>
    </w:p>
    <w:p w14:paraId="7488C0F1" w14:textId="77777777" w:rsidR="00F64776" w:rsidRDefault="00F64776" w:rsidP="00F64776">
      <w:pPr>
        <w:pStyle w:val="TextoNormal"/>
      </w:pPr>
    </w:p>
    <w:p w14:paraId="753840FA" w14:textId="77777777" w:rsidR="00F64776" w:rsidRDefault="00F64776" w:rsidP="00F64776">
      <w:pPr>
        <w:pStyle w:val="TextoNormal"/>
      </w:pPr>
      <w:r>
        <w:t>Por lo expuesto, el Pleno</w:t>
      </w:r>
    </w:p>
    <w:p w14:paraId="793D8000" w14:textId="47647DBB" w:rsidR="00F64776" w:rsidRDefault="00F64776" w:rsidP="00F64776">
      <w:pPr>
        <w:pStyle w:val="TextoNormal"/>
      </w:pPr>
    </w:p>
    <w:p w14:paraId="7D24A241" w14:textId="77777777" w:rsidR="00F64776" w:rsidRDefault="00F64776" w:rsidP="00F64776">
      <w:pPr>
        <w:pStyle w:val="TextoNormalCentrado"/>
      </w:pPr>
      <w:r>
        <w:t>ACUERDA</w:t>
      </w:r>
    </w:p>
    <w:p w14:paraId="2F84B7C1" w14:textId="118A2E73" w:rsidR="00F64776" w:rsidRDefault="00F64776" w:rsidP="00F64776">
      <w:pPr>
        <w:pStyle w:val="TextoNormalCentrado"/>
      </w:pPr>
    </w:p>
    <w:p w14:paraId="3DC79853" w14:textId="2D2B866A" w:rsidR="00F64776" w:rsidRDefault="00F64776" w:rsidP="00F64776">
      <w:pPr>
        <w:pStyle w:val="TextoNormal"/>
      </w:pPr>
      <w:r>
        <w:t>Estimar justificada la abstención formulada por el magistrado don Juan Carlos Campo Moreno, apartándole definitivamente del conocimiento de la cuestión de inconstitucionalidad núm. 2577-2023.</w:t>
      </w:r>
    </w:p>
    <w:p w14:paraId="48B28ADA" w14:textId="77777777" w:rsidR="00F64776" w:rsidRDefault="00F64776" w:rsidP="00F64776">
      <w:pPr>
        <w:pStyle w:val="TextoNormal"/>
      </w:pPr>
    </w:p>
    <w:p w14:paraId="3D6F632A" w14:textId="77777777" w:rsidR="00F64776" w:rsidRDefault="00F64776" w:rsidP="00F64776">
      <w:pPr>
        <w:pStyle w:val="TextoNormal"/>
      </w:pPr>
      <w:r>
        <w:t>Madrid, a cuatro de julio de dos mil veintitrés.</w:t>
      </w:r>
    </w:p>
    <w:p w14:paraId="1CCCCB3E" w14:textId="779DBDE5" w:rsidR="00F64776" w:rsidRDefault="00F64776">
      <w:pPr>
        <w:spacing w:after="160" w:line="278" w:lineRule="auto"/>
        <w:rPr>
          <w:rFonts w:ascii="Times New Roman" w:eastAsia="Times New Roman" w:hAnsi="Times New Roman" w:cs="Times New Roman"/>
          <w:sz w:val="24"/>
          <w:szCs w:val="24"/>
          <w:lang w:eastAsia="es-ES"/>
        </w:rPr>
      </w:pPr>
      <w:r>
        <w:br w:type="page"/>
      </w:r>
    </w:p>
    <w:p w14:paraId="56836ED9" w14:textId="77777777" w:rsidR="00F64776" w:rsidRDefault="00F64776" w:rsidP="00F64776">
      <w:pPr>
        <w:pStyle w:val="TtuloResolucin"/>
      </w:pPr>
      <w:bookmarkStart w:id="141" w:name="AUTO_2023_356"/>
      <w:r>
        <w:t>AUTO 356/2023, de 17 de julio de 2023</w:t>
      </w:r>
    </w:p>
    <w:bookmarkEnd w:id="141"/>
    <w:p w14:paraId="735D26AA" w14:textId="77777777" w:rsidR="00F64776" w:rsidRDefault="00F64776" w:rsidP="00F64776">
      <w:pPr>
        <w:pStyle w:val="TtuloResolucin"/>
      </w:pPr>
      <w:r>
        <w:t>Sección Tercera</w:t>
      </w:r>
    </w:p>
    <w:p w14:paraId="238246B1" w14:textId="77777777" w:rsidR="00F64776" w:rsidRDefault="00F64776" w:rsidP="00F64776">
      <w:pPr>
        <w:pStyle w:val="TextoNormalCentrado"/>
      </w:pPr>
      <w:r>
        <w:t>ECLI:ES:TC:2023:356A</w:t>
      </w:r>
    </w:p>
    <w:p w14:paraId="5CDD4D88" w14:textId="30F4342C" w:rsidR="00F64776" w:rsidRDefault="00F64776" w:rsidP="00F64776">
      <w:pPr>
        <w:pStyle w:val="TextoNormalCentrado"/>
      </w:pPr>
    </w:p>
    <w:p w14:paraId="25883AA7" w14:textId="77777777" w:rsidR="00F64776" w:rsidRDefault="00F64776" w:rsidP="00F64776">
      <w:pPr>
        <w:pStyle w:val="SntesisDescriptiva"/>
      </w:pPr>
      <w:r>
        <w:t>Excms. Srs. doña Inmaculada Montalbán Huertas y doña Laura Díez Bueso.</w:t>
      </w:r>
    </w:p>
    <w:p w14:paraId="3F3A546C" w14:textId="3BC5923E" w:rsidR="00F64776" w:rsidRDefault="00F64776" w:rsidP="00F64776">
      <w:pPr>
        <w:pStyle w:val="SntesisDescriptiva"/>
      </w:pPr>
    </w:p>
    <w:p w14:paraId="0AB388DE" w14:textId="77777777" w:rsidR="00F64776" w:rsidRDefault="00F64776" w:rsidP="00F64776">
      <w:pPr>
        <w:pStyle w:val="SntesisDescriptiva"/>
      </w:pPr>
      <w:r>
        <w:t>Acepta una abstención en el recurso de amparo 4670-2022, promovido en proceso contencioso-administrativo.</w:t>
      </w:r>
    </w:p>
    <w:p w14:paraId="00566C04" w14:textId="0E7A73A7" w:rsidR="00F64776" w:rsidRDefault="00F64776" w:rsidP="00F64776">
      <w:pPr>
        <w:pStyle w:val="SntesisDescriptiva"/>
      </w:pPr>
    </w:p>
    <w:p w14:paraId="37340DDE" w14:textId="77777777" w:rsidR="00F64776" w:rsidRDefault="00F64776" w:rsidP="00F64776">
      <w:pPr>
        <w:pStyle w:val="SntesisDescriptiva"/>
      </w:pPr>
    </w:p>
    <w:p w14:paraId="481712C2" w14:textId="77777777" w:rsidR="00F64776" w:rsidRDefault="00F64776" w:rsidP="00F64776">
      <w:pPr>
        <w:pStyle w:val="SntesisDescriptiva"/>
      </w:pPr>
    </w:p>
    <w:p w14:paraId="7920851B" w14:textId="77777777" w:rsidR="00F64776" w:rsidRDefault="00F64776" w:rsidP="00F64776">
      <w:pPr>
        <w:pStyle w:val="TextoNormalNegritaCentrado"/>
      </w:pPr>
      <w:r>
        <w:t>AUTO</w:t>
      </w:r>
    </w:p>
    <w:p w14:paraId="773B0099" w14:textId="2D92F07C" w:rsidR="00F64776" w:rsidRDefault="00F64776" w:rsidP="00F64776">
      <w:pPr>
        <w:pStyle w:val="TextoNormalNegritaCentrado"/>
      </w:pPr>
    </w:p>
    <w:p w14:paraId="1DB5C639" w14:textId="77777777" w:rsidR="00F64776" w:rsidRDefault="00F64776" w:rsidP="00F64776">
      <w:pPr>
        <w:pStyle w:val="TextoNormalNegritaCentrado"/>
        <w:keepNext/>
      </w:pPr>
      <w:r>
        <w:t>I. Antecedentes</w:t>
      </w:r>
    </w:p>
    <w:p w14:paraId="2E31A7BE" w14:textId="41FCE3A3" w:rsidR="00F64776" w:rsidRDefault="00F64776" w:rsidP="00F64776">
      <w:pPr>
        <w:pStyle w:val="TextoNormalNegritaCentrado"/>
        <w:keepNext/>
      </w:pPr>
    </w:p>
    <w:p w14:paraId="6C67CD58" w14:textId="0A19C887" w:rsidR="00F64776" w:rsidRDefault="00F64776" w:rsidP="00F64776">
      <w:pPr>
        <w:pStyle w:val="TextoNormal"/>
      </w:pPr>
      <w:r w:rsidRPr="00F64776">
        <w:rPr>
          <w:rStyle w:val="NumeroAFNegritaCaracter"/>
        </w:rPr>
        <w:t>1</w:t>
      </w:r>
      <w:r>
        <w:t>. Mediante escrito registrado en este tribunal el 28 de junio de 2022 el procurador de los tribunales don José María Ruiz de la Cuesta Vacas, en nombre y representación de don Daniel Guardado Corón y bajo la dirección del letrado don Francisco Javier Araúz de Robles Dávila, interpuso demanda de amparo contra la providencia de 18 de mayo de 2022 de la Sección Primera de la Sala de lo Contencioso-Administrativo del Tribunal Supremo en recurso de casación núm. 5791-2021.</w:t>
      </w:r>
    </w:p>
    <w:p w14:paraId="08655D16" w14:textId="77777777" w:rsidR="00F64776" w:rsidRDefault="00F64776" w:rsidP="00F64776">
      <w:pPr>
        <w:pStyle w:val="TextoNormal"/>
      </w:pPr>
    </w:p>
    <w:p w14:paraId="2163459F" w14:textId="5F38CE7A" w:rsidR="00F64776" w:rsidRDefault="00F64776" w:rsidP="00F64776">
      <w:pPr>
        <w:pStyle w:val="TextoNormal"/>
      </w:pPr>
      <w:r w:rsidRPr="00F64776">
        <w:rPr>
          <w:rStyle w:val="NumeroAFNegritaCaracter"/>
        </w:rPr>
        <w:t>2</w:t>
      </w:r>
      <w:r>
        <w:t>. Por escrito de 29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7D262BA5" w14:textId="77777777" w:rsidR="00F64776" w:rsidRDefault="00F64776" w:rsidP="00F64776">
      <w:pPr>
        <w:pStyle w:val="TextoNormal"/>
      </w:pPr>
    </w:p>
    <w:p w14:paraId="3B2FC998" w14:textId="77777777" w:rsidR="00F64776" w:rsidRDefault="00F64776" w:rsidP="00F64776">
      <w:pPr>
        <w:pStyle w:val="TextoNormalNegritaCentrado"/>
        <w:keepNext/>
      </w:pPr>
      <w:r>
        <w:t>II. Fundamentos jurídicos</w:t>
      </w:r>
    </w:p>
    <w:p w14:paraId="1702B33A" w14:textId="5DA26CAB" w:rsidR="00F64776" w:rsidRDefault="00F64776" w:rsidP="00F64776">
      <w:pPr>
        <w:pStyle w:val="TextoNormalNegritaCentrado"/>
        <w:keepNext/>
      </w:pPr>
    </w:p>
    <w:p w14:paraId="36DA415D" w14:textId="1BEB2985"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717181C6" w14:textId="77777777" w:rsidR="00F64776" w:rsidRDefault="00F64776" w:rsidP="00F64776">
      <w:pPr>
        <w:pStyle w:val="TextoNormal"/>
      </w:pPr>
    </w:p>
    <w:p w14:paraId="0B8A64B5" w14:textId="77777777" w:rsidR="00F64776" w:rsidRDefault="00F64776" w:rsidP="00F64776">
      <w:pPr>
        <w:pStyle w:val="TextoNormal"/>
      </w:pPr>
      <w:r>
        <w:t>Por lo expuesto, la Sección</w:t>
      </w:r>
    </w:p>
    <w:p w14:paraId="690056EE" w14:textId="4D13CC1D" w:rsidR="00F64776" w:rsidRDefault="00F64776" w:rsidP="00F64776">
      <w:pPr>
        <w:pStyle w:val="TextoNormal"/>
      </w:pPr>
    </w:p>
    <w:p w14:paraId="2A0A5DA7" w14:textId="77777777" w:rsidR="00F64776" w:rsidRDefault="00F64776" w:rsidP="00F64776">
      <w:pPr>
        <w:pStyle w:val="TextoNormalCentrado"/>
      </w:pPr>
      <w:r>
        <w:t>ACUERDA</w:t>
      </w:r>
    </w:p>
    <w:p w14:paraId="65019F08" w14:textId="0A3EE601" w:rsidR="00F64776" w:rsidRDefault="00F64776" w:rsidP="00F64776">
      <w:pPr>
        <w:pStyle w:val="TextoNormalCentrado"/>
      </w:pPr>
    </w:p>
    <w:p w14:paraId="2B882C0B" w14:textId="220E6FC6" w:rsidR="00F64776" w:rsidRDefault="00F64776" w:rsidP="00F64776">
      <w:pPr>
        <w:pStyle w:val="TextoNormal"/>
      </w:pPr>
      <w:r>
        <w:t>Estimar justificada la abstención formulada por el magistrado señor don César Tolosa Tribiño en el recurso de amparo núm. 4670-2022 y apartarle definitivamente del conocimiento del referido recurso y de todas sus incidencias.</w:t>
      </w:r>
    </w:p>
    <w:p w14:paraId="7D022D7F" w14:textId="77777777" w:rsidR="00F64776" w:rsidRDefault="00F64776" w:rsidP="00F64776">
      <w:pPr>
        <w:pStyle w:val="TextoNormal"/>
      </w:pPr>
    </w:p>
    <w:p w14:paraId="2842912B" w14:textId="77777777" w:rsidR="00F64776" w:rsidRDefault="00F64776" w:rsidP="00F64776">
      <w:pPr>
        <w:pStyle w:val="TextoNormal"/>
      </w:pPr>
      <w:r>
        <w:t>Madrid, a diecisiete de julio de dos mil veintitrés.</w:t>
      </w:r>
    </w:p>
    <w:p w14:paraId="3D3D936E" w14:textId="7E4DC2AE" w:rsidR="00F64776" w:rsidRDefault="00F64776">
      <w:pPr>
        <w:spacing w:after="160" w:line="278" w:lineRule="auto"/>
        <w:rPr>
          <w:rFonts w:ascii="Times New Roman" w:eastAsia="Times New Roman" w:hAnsi="Times New Roman" w:cs="Times New Roman"/>
          <w:sz w:val="24"/>
          <w:szCs w:val="24"/>
          <w:lang w:eastAsia="es-ES"/>
        </w:rPr>
      </w:pPr>
      <w:r>
        <w:br w:type="page"/>
      </w:r>
    </w:p>
    <w:p w14:paraId="4DF23651" w14:textId="77777777" w:rsidR="00F64776" w:rsidRDefault="00F64776" w:rsidP="00F64776">
      <w:pPr>
        <w:pStyle w:val="TtuloResolucin"/>
      </w:pPr>
      <w:bookmarkStart w:id="142" w:name="AUTO_2023_357"/>
      <w:r>
        <w:t>AUTO 357/2023, de 17 de julio de 2023</w:t>
      </w:r>
    </w:p>
    <w:bookmarkEnd w:id="142"/>
    <w:p w14:paraId="06A49980" w14:textId="77777777" w:rsidR="00F64776" w:rsidRDefault="00F64776" w:rsidP="00F64776">
      <w:pPr>
        <w:pStyle w:val="TtuloResolucin"/>
      </w:pPr>
      <w:r>
        <w:t>Sección Tercera</w:t>
      </w:r>
    </w:p>
    <w:p w14:paraId="132A3713" w14:textId="77777777" w:rsidR="00F64776" w:rsidRDefault="00F64776" w:rsidP="00F64776">
      <w:pPr>
        <w:pStyle w:val="TextoNormalCentrado"/>
      </w:pPr>
      <w:r>
        <w:t>ECLI:ES:TC:2023:357A</w:t>
      </w:r>
    </w:p>
    <w:p w14:paraId="14D9C0EF" w14:textId="00CB528A" w:rsidR="00F64776" w:rsidRDefault="00F64776" w:rsidP="00F64776">
      <w:pPr>
        <w:pStyle w:val="TextoNormalCentrado"/>
      </w:pPr>
    </w:p>
    <w:p w14:paraId="0F55A95E" w14:textId="77777777" w:rsidR="00F64776" w:rsidRDefault="00F64776" w:rsidP="00F64776">
      <w:pPr>
        <w:pStyle w:val="SntesisDescriptiva"/>
      </w:pPr>
      <w:r>
        <w:t>Excms. Srs. doña Inmaculada Montalbán Huertas y doña Laura Díez Bueso.</w:t>
      </w:r>
    </w:p>
    <w:p w14:paraId="342572CC" w14:textId="1BB1CEC2" w:rsidR="00F64776" w:rsidRDefault="00F64776" w:rsidP="00F64776">
      <w:pPr>
        <w:pStyle w:val="SntesisDescriptiva"/>
      </w:pPr>
    </w:p>
    <w:p w14:paraId="3F2BDEB9" w14:textId="77777777" w:rsidR="00F64776" w:rsidRDefault="00F64776" w:rsidP="00F64776">
      <w:pPr>
        <w:pStyle w:val="SntesisDescriptiva"/>
      </w:pPr>
      <w:r>
        <w:t>Acepta una abstención en el recurso de amparo 4682-2022, promovido en proceso contencioso-administrativo.</w:t>
      </w:r>
    </w:p>
    <w:p w14:paraId="11EE63F4" w14:textId="017D4E27" w:rsidR="00F64776" w:rsidRDefault="00F64776" w:rsidP="00F64776">
      <w:pPr>
        <w:pStyle w:val="SntesisDescriptiva"/>
      </w:pPr>
    </w:p>
    <w:p w14:paraId="1B407228" w14:textId="77777777" w:rsidR="00F64776" w:rsidRDefault="00F64776" w:rsidP="00F64776">
      <w:pPr>
        <w:pStyle w:val="SntesisDescriptiva"/>
      </w:pPr>
    </w:p>
    <w:p w14:paraId="3FA56349" w14:textId="77777777" w:rsidR="00F64776" w:rsidRDefault="00F64776" w:rsidP="00F64776">
      <w:pPr>
        <w:pStyle w:val="SntesisDescriptiva"/>
      </w:pPr>
    </w:p>
    <w:p w14:paraId="4D0A1245" w14:textId="77777777" w:rsidR="00F64776" w:rsidRDefault="00F64776" w:rsidP="00F64776">
      <w:pPr>
        <w:pStyle w:val="TextoNormalNegritaCentrado"/>
      </w:pPr>
      <w:r>
        <w:t>AUTO</w:t>
      </w:r>
    </w:p>
    <w:p w14:paraId="75A3BADB" w14:textId="25446CAE" w:rsidR="00F64776" w:rsidRDefault="00F64776" w:rsidP="00F64776">
      <w:pPr>
        <w:pStyle w:val="TextoNormalNegritaCentrado"/>
      </w:pPr>
    </w:p>
    <w:p w14:paraId="7A486B8F" w14:textId="77777777" w:rsidR="00F64776" w:rsidRDefault="00F64776" w:rsidP="00F64776">
      <w:pPr>
        <w:pStyle w:val="TextoNormalNegritaCentrado"/>
        <w:keepNext/>
      </w:pPr>
      <w:r>
        <w:t>I. Antecedentes</w:t>
      </w:r>
    </w:p>
    <w:p w14:paraId="1D444D24" w14:textId="60500E7B" w:rsidR="00F64776" w:rsidRDefault="00F64776" w:rsidP="00F64776">
      <w:pPr>
        <w:pStyle w:val="TextoNormalNegritaCentrado"/>
        <w:keepNext/>
      </w:pPr>
    </w:p>
    <w:p w14:paraId="3883C64D" w14:textId="7569BE34" w:rsidR="00F64776" w:rsidRDefault="00F64776" w:rsidP="00F64776">
      <w:pPr>
        <w:pStyle w:val="TextoNormal"/>
      </w:pPr>
      <w:r w:rsidRPr="00F64776">
        <w:rPr>
          <w:rStyle w:val="NumeroAFNegritaCaracter"/>
        </w:rPr>
        <w:t>1</w:t>
      </w:r>
      <w:r>
        <w:t>. Mediante escrito registrado en este tribunal el 28 de junio de 2022 el procurador de los tribunales don José María Ruiz de la Cuesta Vacas, en nombre y representación de María Luz Rosado Bernáldez y bajo la dirección del letrado don Francisco Javier Araúz de Robles Dávila, interpuso demanda de amparo contra providencias de la Sección Primera de la Sala de lo Contencioso-Administrativo del Tribunal Supremo en recurso de casación núm. 8560-2021.</w:t>
      </w:r>
    </w:p>
    <w:p w14:paraId="0B0977AC" w14:textId="77777777" w:rsidR="00F64776" w:rsidRDefault="00F64776" w:rsidP="00F64776">
      <w:pPr>
        <w:pStyle w:val="TextoNormal"/>
      </w:pPr>
    </w:p>
    <w:p w14:paraId="21117485" w14:textId="36ECE442" w:rsidR="00F64776" w:rsidRDefault="00F64776" w:rsidP="00F64776">
      <w:pPr>
        <w:pStyle w:val="TextoNormal"/>
      </w:pPr>
      <w:r w:rsidRPr="00F64776">
        <w:rPr>
          <w:rStyle w:val="NumeroAFNegritaCaracter"/>
        </w:rPr>
        <w:t>2</w:t>
      </w:r>
      <w:r>
        <w:t>. Por escrito de 29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72A1D2AA" w14:textId="77777777" w:rsidR="00F64776" w:rsidRDefault="00F64776" w:rsidP="00F64776">
      <w:pPr>
        <w:pStyle w:val="TextoNormal"/>
      </w:pPr>
    </w:p>
    <w:p w14:paraId="6C21AAE1" w14:textId="77777777" w:rsidR="00F64776" w:rsidRDefault="00F64776" w:rsidP="00F64776">
      <w:pPr>
        <w:pStyle w:val="TextoNormalNegritaCentrado"/>
        <w:keepNext/>
      </w:pPr>
      <w:r>
        <w:t>II. Fundamentos jurídicos</w:t>
      </w:r>
    </w:p>
    <w:p w14:paraId="538A5983" w14:textId="7D98DB4A" w:rsidR="00F64776" w:rsidRDefault="00F64776" w:rsidP="00F64776">
      <w:pPr>
        <w:pStyle w:val="TextoNormalNegritaCentrado"/>
        <w:keepNext/>
      </w:pPr>
    </w:p>
    <w:p w14:paraId="69285284" w14:textId="54401856"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259C5724" w14:textId="77777777" w:rsidR="00F64776" w:rsidRDefault="00F64776" w:rsidP="00F64776">
      <w:pPr>
        <w:pStyle w:val="TextoNormal"/>
      </w:pPr>
    </w:p>
    <w:p w14:paraId="05AEFF8E" w14:textId="77777777" w:rsidR="00F64776" w:rsidRDefault="00F64776" w:rsidP="00F64776">
      <w:pPr>
        <w:pStyle w:val="TextoNormal"/>
      </w:pPr>
      <w:r>
        <w:t>Por lo expuesto, la Sección</w:t>
      </w:r>
    </w:p>
    <w:p w14:paraId="7D5FBED5" w14:textId="5D28EA3D" w:rsidR="00F64776" w:rsidRDefault="00F64776" w:rsidP="00F64776">
      <w:pPr>
        <w:pStyle w:val="TextoNormal"/>
      </w:pPr>
    </w:p>
    <w:p w14:paraId="076D8753" w14:textId="77777777" w:rsidR="00F64776" w:rsidRDefault="00F64776" w:rsidP="00F64776">
      <w:pPr>
        <w:pStyle w:val="TextoNormalCentrado"/>
      </w:pPr>
      <w:r>
        <w:t>ACUERDA</w:t>
      </w:r>
    </w:p>
    <w:p w14:paraId="056E427D" w14:textId="71F96390" w:rsidR="00F64776" w:rsidRDefault="00F64776" w:rsidP="00F64776">
      <w:pPr>
        <w:pStyle w:val="TextoNormalCentrado"/>
      </w:pPr>
    </w:p>
    <w:p w14:paraId="66828500" w14:textId="383542D1" w:rsidR="00F64776" w:rsidRDefault="00F64776" w:rsidP="00F64776">
      <w:pPr>
        <w:pStyle w:val="TextoNormal"/>
      </w:pPr>
      <w:r>
        <w:t>Estimar justificada la abstención formulada por el magistrado señor don César Tolosa Tribiño en el recurso de amparo núm. 4682-2022 y apartarle definitivamente del conocimiento del referido recurso y de todas sus incidencias.</w:t>
      </w:r>
    </w:p>
    <w:p w14:paraId="39A147B2" w14:textId="77777777" w:rsidR="00F64776" w:rsidRDefault="00F64776" w:rsidP="00F64776">
      <w:pPr>
        <w:pStyle w:val="TextoNormal"/>
      </w:pPr>
    </w:p>
    <w:p w14:paraId="4EC268DF" w14:textId="77777777" w:rsidR="00F64776" w:rsidRDefault="00F64776" w:rsidP="00F64776">
      <w:pPr>
        <w:pStyle w:val="TextoNormal"/>
      </w:pPr>
      <w:r>
        <w:t>Madrid, a diecisiete de julio de dos mil veintitrés.</w:t>
      </w:r>
    </w:p>
    <w:p w14:paraId="4DE49FDA" w14:textId="56D53FF1" w:rsidR="00F64776" w:rsidRDefault="00F64776">
      <w:pPr>
        <w:spacing w:after="160" w:line="278" w:lineRule="auto"/>
        <w:rPr>
          <w:rFonts w:ascii="Times New Roman" w:eastAsia="Times New Roman" w:hAnsi="Times New Roman" w:cs="Times New Roman"/>
          <w:sz w:val="24"/>
          <w:szCs w:val="24"/>
          <w:lang w:eastAsia="es-ES"/>
        </w:rPr>
      </w:pPr>
      <w:r>
        <w:br w:type="page"/>
      </w:r>
    </w:p>
    <w:p w14:paraId="0FD7D5E1" w14:textId="77777777" w:rsidR="00F64776" w:rsidRDefault="00F64776" w:rsidP="00F64776">
      <w:pPr>
        <w:pStyle w:val="TtuloResolucin"/>
      </w:pPr>
      <w:bookmarkStart w:id="143" w:name="AUTO_2023_358"/>
      <w:r>
        <w:t>AUTO 358/2023, de 17 de julio de 2023</w:t>
      </w:r>
    </w:p>
    <w:bookmarkEnd w:id="143"/>
    <w:p w14:paraId="158CE974" w14:textId="77777777" w:rsidR="00F64776" w:rsidRDefault="00F64776" w:rsidP="00F64776">
      <w:pPr>
        <w:pStyle w:val="TtuloResolucin"/>
      </w:pPr>
      <w:r>
        <w:t>Sección Tercera</w:t>
      </w:r>
    </w:p>
    <w:p w14:paraId="0AEF0964" w14:textId="77777777" w:rsidR="00F64776" w:rsidRDefault="00F64776" w:rsidP="00F64776">
      <w:pPr>
        <w:pStyle w:val="TextoNormalCentrado"/>
      </w:pPr>
      <w:r>
        <w:t>ECLI:ES:TC:2023:358A</w:t>
      </w:r>
    </w:p>
    <w:p w14:paraId="367095BA" w14:textId="182CD4DE" w:rsidR="00F64776" w:rsidRDefault="00F64776" w:rsidP="00F64776">
      <w:pPr>
        <w:pStyle w:val="TextoNormalCentrado"/>
      </w:pPr>
    </w:p>
    <w:p w14:paraId="7FFC82B5" w14:textId="77777777" w:rsidR="00F64776" w:rsidRDefault="00F64776" w:rsidP="00F64776">
      <w:pPr>
        <w:pStyle w:val="SntesisDescriptiva"/>
      </w:pPr>
      <w:r>
        <w:t>Excms. Srs. doña Inmaculada Montalbán Huertas y doña Laura Díez Bueso.</w:t>
      </w:r>
    </w:p>
    <w:p w14:paraId="5E15ED22" w14:textId="0A372113" w:rsidR="00F64776" w:rsidRDefault="00F64776" w:rsidP="00F64776">
      <w:pPr>
        <w:pStyle w:val="SntesisDescriptiva"/>
      </w:pPr>
    </w:p>
    <w:p w14:paraId="42EA4C57" w14:textId="77777777" w:rsidR="00F64776" w:rsidRDefault="00F64776" w:rsidP="00F64776">
      <w:pPr>
        <w:pStyle w:val="SntesisDescriptiva"/>
      </w:pPr>
      <w:r>
        <w:t>Acepta una abstención en el recurso de amparo 4718-2022, promovido en proceso contencioso-administrativo.</w:t>
      </w:r>
    </w:p>
    <w:p w14:paraId="4DC207F0" w14:textId="27B76D56" w:rsidR="00F64776" w:rsidRDefault="00F64776" w:rsidP="00F64776">
      <w:pPr>
        <w:pStyle w:val="SntesisDescriptiva"/>
      </w:pPr>
    </w:p>
    <w:p w14:paraId="0448DE94" w14:textId="77777777" w:rsidR="00F64776" w:rsidRDefault="00F64776" w:rsidP="00F64776">
      <w:pPr>
        <w:pStyle w:val="SntesisDescriptiva"/>
      </w:pPr>
    </w:p>
    <w:p w14:paraId="71B9AADF" w14:textId="77777777" w:rsidR="00F64776" w:rsidRDefault="00F64776" w:rsidP="00F64776">
      <w:pPr>
        <w:pStyle w:val="SntesisDescriptiva"/>
      </w:pPr>
    </w:p>
    <w:p w14:paraId="482EC021" w14:textId="77777777" w:rsidR="00F64776" w:rsidRDefault="00F64776" w:rsidP="00F64776">
      <w:pPr>
        <w:pStyle w:val="TextoNormalNegritaCentrado"/>
      </w:pPr>
      <w:r>
        <w:t>AUTO</w:t>
      </w:r>
    </w:p>
    <w:p w14:paraId="46C287E1" w14:textId="2FE39097" w:rsidR="00F64776" w:rsidRDefault="00F64776" w:rsidP="00F64776">
      <w:pPr>
        <w:pStyle w:val="TextoNormalNegritaCentrado"/>
      </w:pPr>
    </w:p>
    <w:p w14:paraId="19219DDA" w14:textId="77777777" w:rsidR="00F64776" w:rsidRDefault="00F64776" w:rsidP="00F64776">
      <w:pPr>
        <w:pStyle w:val="TextoNormalNegritaCentrado"/>
        <w:keepNext/>
      </w:pPr>
      <w:r>
        <w:t>I. Antecedentes</w:t>
      </w:r>
    </w:p>
    <w:p w14:paraId="1ABEC8FE" w14:textId="243179FD" w:rsidR="00F64776" w:rsidRDefault="00F64776" w:rsidP="00F64776">
      <w:pPr>
        <w:pStyle w:val="TextoNormalNegritaCentrado"/>
        <w:keepNext/>
      </w:pPr>
    </w:p>
    <w:p w14:paraId="62A35DFA" w14:textId="67E09B8B" w:rsidR="00F64776" w:rsidRDefault="00F64776" w:rsidP="00F64776">
      <w:pPr>
        <w:pStyle w:val="TextoNormal"/>
      </w:pPr>
      <w:r w:rsidRPr="00F64776">
        <w:rPr>
          <w:rStyle w:val="NumeroAFNegritaCaracter"/>
        </w:rPr>
        <w:t>1</w:t>
      </w:r>
      <w:r>
        <w:t>. Mediante escrito registrado en este tribunal el 29 de junio de 2022 la procuradora de los tribunales doña Ana María Araúz de Robles Villalón, en nombre y representación de doña María José Civantos Sánchez y otros y bajo la dirección del letrado don Francisco Javier Araúz de Robles Dávila, interpuso demanda de amparo contra la providencia de 19 de mayo de 2022 de la Sección Primera de la Sala de lo Contencioso-Administrativo del Tribunal Supremo en recurso de casación núm. 6951-2021.</w:t>
      </w:r>
    </w:p>
    <w:p w14:paraId="009BB3C2" w14:textId="77777777" w:rsidR="00F64776" w:rsidRDefault="00F64776" w:rsidP="00F64776">
      <w:pPr>
        <w:pStyle w:val="TextoNormal"/>
      </w:pPr>
    </w:p>
    <w:p w14:paraId="26D48062" w14:textId="69D88534" w:rsidR="00F64776" w:rsidRDefault="00F64776" w:rsidP="00F64776">
      <w:pPr>
        <w:pStyle w:val="TextoNormal"/>
      </w:pPr>
      <w:r w:rsidRPr="00F64776">
        <w:rPr>
          <w:rStyle w:val="NumeroAFNegritaCaracter"/>
        </w:rPr>
        <w:t>2</w:t>
      </w:r>
      <w:r>
        <w:t>. Por escrito de 29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3567F39F" w14:textId="77777777" w:rsidR="00F64776" w:rsidRDefault="00F64776" w:rsidP="00F64776">
      <w:pPr>
        <w:pStyle w:val="TextoNormal"/>
      </w:pPr>
    </w:p>
    <w:p w14:paraId="4805461C" w14:textId="77777777" w:rsidR="00F64776" w:rsidRDefault="00F64776" w:rsidP="00F64776">
      <w:pPr>
        <w:pStyle w:val="TextoNormalNegritaCentrado"/>
        <w:keepNext/>
      </w:pPr>
      <w:r>
        <w:t>II. Fundamentos jurídicos</w:t>
      </w:r>
    </w:p>
    <w:p w14:paraId="5EF0BA3E" w14:textId="5425C50C" w:rsidR="00F64776" w:rsidRDefault="00F64776" w:rsidP="00F64776">
      <w:pPr>
        <w:pStyle w:val="TextoNormalNegritaCentrado"/>
        <w:keepNext/>
      </w:pPr>
    </w:p>
    <w:p w14:paraId="74B34EC3" w14:textId="6FCF3B09"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5C1D8F28" w14:textId="77777777" w:rsidR="00F64776" w:rsidRDefault="00F64776" w:rsidP="00F64776">
      <w:pPr>
        <w:pStyle w:val="TextoNormal"/>
      </w:pPr>
    </w:p>
    <w:p w14:paraId="3DC50219" w14:textId="77777777" w:rsidR="00F64776" w:rsidRDefault="00F64776" w:rsidP="00F64776">
      <w:pPr>
        <w:pStyle w:val="TextoNormal"/>
      </w:pPr>
      <w:r>
        <w:t>Por lo expuesto, la Sección</w:t>
      </w:r>
    </w:p>
    <w:p w14:paraId="15023F38" w14:textId="124009CF" w:rsidR="00F64776" w:rsidRDefault="00F64776" w:rsidP="00F64776">
      <w:pPr>
        <w:pStyle w:val="TextoNormal"/>
      </w:pPr>
    </w:p>
    <w:p w14:paraId="46D5A741" w14:textId="77777777" w:rsidR="00F64776" w:rsidRDefault="00F64776" w:rsidP="00F64776">
      <w:pPr>
        <w:pStyle w:val="TextoNormalCentrado"/>
      </w:pPr>
      <w:r>
        <w:t>ACUERDA</w:t>
      </w:r>
    </w:p>
    <w:p w14:paraId="1B69A6B6" w14:textId="3F2D45A5" w:rsidR="00F64776" w:rsidRDefault="00F64776" w:rsidP="00F64776">
      <w:pPr>
        <w:pStyle w:val="TextoNormalCentrado"/>
      </w:pPr>
    </w:p>
    <w:p w14:paraId="01C81129" w14:textId="73470212" w:rsidR="00F64776" w:rsidRDefault="00F64776" w:rsidP="00F64776">
      <w:pPr>
        <w:pStyle w:val="TextoNormal"/>
      </w:pPr>
      <w:r>
        <w:t>Estimar justificada la abstención formulada por el magistrado señor don César Tolosa Tribiño en el recurso de amparo núm. 4718-2022 y apartarle definitivamente del conocimiento del referido recurso y de todas sus incidencias.</w:t>
      </w:r>
    </w:p>
    <w:p w14:paraId="3055CB5B" w14:textId="77777777" w:rsidR="00F64776" w:rsidRDefault="00F64776" w:rsidP="00F64776">
      <w:pPr>
        <w:pStyle w:val="TextoNormal"/>
      </w:pPr>
    </w:p>
    <w:p w14:paraId="726CD560" w14:textId="77777777" w:rsidR="00F64776" w:rsidRDefault="00F64776" w:rsidP="00F64776">
      <w:pPr>
        <w:pStyle w:val="TextoNormal"/>
      </w:pPr>
      <w:r>
        <w:t>Madrid, a diecisiete de julio de dos mil veintitrés.</w:t>
      </w:r>
    </w:p>
    <w:p w14:paraId="1E43FDA4" w14:textId="31664376" w:rsidR="00F64776" w:rsidRDefault="00F64776">
      <w:pPr>
        <w:spacing w:after="160" w:line="278" w:lineRule="auto"/>
        <w:rPr>
          <w:rFonts w:ascii="Times New Roman" w:eastAsia="Times New Roman" w:hAnsi="Times New Roman" w:cs="Times New Roman"/>
          <w:sz w:val="24"/>
          <w:szCs w:val="24"/>
          <w:lang w:eastAsia="es-ES"/>
        </w:rPr>
      </w:pPr>
      <w:r>
        <w:br w:type="page"/>
      </w:r>
    </w:p>
    <w:p w14:paraId="3C764064" w14:textId="77777777" w:rsidR="00F64776" w:rsidRDefault="00F64776" w:rsidP="00F64776">
      <w:pPr>
        <w:pStyle w:val="TtuloResolucin"/>
      </w:pPr>
      <w:bookmarkStart w:id="144" w:name="AUTO_2023_359"/>
      <w:r>
        <w:t>AUTO 359/2023, de 17 de julio de 2023</w:t>
      </w:r>
    </w:p>
    <w:bookmarkEnd w:id="144"/>
    <w:p w14:paraId="260263A4" w14:textId="77777777" w:rsidR="00F64776" w:rsidRDefault="00F64776" w:rsidP="00F64776">
      <w:pPr>
        <w:pStyle w:val="TtuloResolucin"/>
      </w:pPr>
      <w:r>
        <w:t>Sección Tercera</w:t>
      </w:r>
    </w:p>
    <w:p w14:paraId="47B5F48C" w14:textId="77777777" w:rsidR="00F64776" w:rsidRDefault="00F64776" w:rsidP="00F64776">
      <w:pPr>
        <w:pStyle w:val="TextoNormalCentrado"/>
      </w:pPr>
      <w:r>
        <w:t>ECLI:ES:TC:2023:359A</w:t>
      </w:r>
    </w:p>
    <w:p w14:paraId="7A05FAA4" w14:textId="526D572B" w:rsidR="00F64776" w:rsidRDefault="00F64776" w:rsidP="00F64776">
      <w:pPr>
        <w:pStyle w:val="TextoNormalCentrado"/>
      </w:pPr>
    </w:p>
    <w:p w14:paraId="1E6186CF" w14:textId="77777777" w:rsidR="00F64776" w:rsidRDefault="00F64776" w:rsidP="00F64776">
      <w:pPr>
        <w:pStyle w:val="SntesisDescriptiva"/>
      </w:pPr>
      <w:r>
        <w:t>Excms. Srs. doña Inmaculada Montalbán Huertas y doña Laura Díez Bueso.</w:t>
      </w:r>
    </w:p>
    <w:p w14:paraId="536D1867" w14:textId="1B4E1AA9" w:rsidR="00F64776" w:rsidRDefault="00F64776" w:rsidP="00F64776">
      <w:pPr>
        <w:pStyle w:val="SntesisDescriptiva"/>
      </w:pPr>
    </w:p>
    <w:p w14:paraId="427BA2C1" w14:textId="77777777" w:rsidR="00F64776" w:rsidRDefault="00F64776" w:rsidP="00F64776">
      <w:pPr>
        <w:pStyle w:val="SntesisDescriptiva"/>
      </w:pPr>
      <w:r>
        <w:t>Acepta una abstención en el recurso de amparo 4754-2022, promovido en proceso contencioso-administrativo.</w:t>
      </w:r>
    </w:p>
    <w:p w14:paraId="69C63063" w14:textId="733B3C0D" w:rsidR="00F64776" w:rsidRDefault="00F64776" w:rsidP="00F64776">
      <w:pPr>
        <w:pStyle w:val="SntesisDescriptiva"/>
      </w:pPr>
    </w:p>
    <w:p w14:paraId="015CC6F1" w14:textId="77777777" w:rsidR="00F64776" w:rsidRDefault="00F64776" w:rsidP="00F64776">
      <w:pPr>
        <w:pStyle w:val="SntesisDescriptiva"/>
      </w:pPr>
    </w:p>
    <w:p w14:paraId="045C86A7" w14:textId="77777777" w:rsidR="00F64776" w:rsidRDefault="00F64776" w:rsidP="00F64776">
      <w:pPr>
        <w:pStyle w:val="SntesisDescriptiva"/>
      </w:pPr>
    </w:p>
    <w:p w14:paraId="3832F019" w14:textId="77777777" w:rsidR="00F64776" w:rsidRDefault="00F64776" w:rsidP="00F64776">
      <w:pPr>
        <w:pStyle w:val="TextoNormalNegritaCentrado"/>
      </w:pPr>
      <w:r>
        <w:t>AUTO</w:t>
      </w:r>
    </w:p>
    <w:p w14:paraId="3597C74F" w14:textId="1AC5FACB" w:rsidR="00F64776" w:rsidRDefault="00F64776" w:rsidP="00F64776">
      <w:pPr>
        <w:pStyle w:val="TextoNormalNegritaCentrado"/>
      </w:pPr>
    </w:p>
    <w:p w14:paraId="1530A480" w14:textId="77777777" w:rsidR="00F64776" w:rsidRDefault="00F64776" w:rsidP="00F64776">
      <w:pPr>
        <w:pStyle w:val="TextoNormalNegritaCentrado"/>
        <w:keepNext/>
      </w:pPr>
      <w:r>
        <w:t>I. Antecedentes</w:t>
      </w:r>
    </w:p>
    <w:p w14:paraId="392C8EB3" w14:textId="7D6B372D" w:rsidR="00F64776" w:rsidRDefault="00F64776" w:rsidP="00F64776">
      <w:pPr>
        <w:pStyle w:val="TextoNormalNegritaCentrado"/>
        <w:keepNext/>
      </w:pPr>
    </w:p>
    <w:p w14:paraId="77EFBF87" w14:textId="0D9E5181" w:rsidR="00F64776" w:rsidRDefault="00F64776" w:rsidP="00F64776">
      <w:pPr>
        <w:pStyle w:val="TextoNormal"/>
      </w:pPr>
      <w:r w:rsidRPr="00F64776">
        <w:rPr>
          <w:rStyle w:val="NumeroAFNegritaCaracter"/>
        </w:rPr>
        <w:t>1</w:t>
      </w:r>
      <w:r>
        <w:t>. Mediante escrito registrado en este tribunal el 30 de junio de 2022 la procuradora de los tribunales doña Ana María Araúz de Robles Villalón, en nombre y representación de doña María Guadalupe León López y bajo la dirección del letrado don Francisco Javier Araúz de Robles Dávila, interpuso demanda de amparo contra la providencia de 30 de mayo de 2022 de la Sección Primera de la Sala de lo Contencioso-Administrativo del Tribunal Supremo en recurso de casación núm. 5503-2021.</w:t>
      </w:r>
    </w:p>
    <w:p w14:paraId="39B0F4A6" w14:textId="77777777" w:rsidR="00F64776" w:rsidRDefault="00F64776" w:rsidP="00F64776">
      <w:pPr>
        <w:pStyle w:val="TextoNormal"/>
      </w:pPr>
    </w:p>
    <w:p w14:paraId="0B73FA44" w14:textId="7D1CE606" w:rsidR="00F64776" w:rsidRDefault="00F64776" w:rsidP="00F64776">
      <w:pPr>
        <w:pStyle w:val="TextoNormal"/>
      </w:pPr>
      <w:r w:rsidRPr="00F64776">
        <w:rPr>
          <w:rStyle w:val="NumeroAFNegritaCaracter"/>
        </w:rPr>
        <w:t>2</w:t>
      </w:r>
      <w:r>
        <w:t>. Por escrito de 29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2B2C60F4" w14:textId="77777777" w:rsidR="00F64776" w:rsidRDefault="00F64776" w:rsidP="00F64776">
      <w:pPr>
        <w:pStyle w:val="TextoNormal"/>
      </w:pPr>
    </w:p>
    <w:p w14:paraId="6BEE65EB" w14:textId="77777777" w:rsidR="00F64776" w:rsidRDefault="00F64776" w:rsidP="00F64776">
      <w:pPr>
        <w:pStyle w:val="TextoNormalNegritaCentrado"/>
        <w:keepNext/>
      </w:pPr>
      <w:r>
        <w:t>II. Fundamentos jurídicos</w:t>
      </w:r>
    </w:p>
    <w:p w14:paraId="17C0224D" w14:textId="40F0AB74" w:rsidR="00F64776" w:rsidRDefault="00F64776" w:rsidP="00F64776">
      <w:pPr>
        <w:pStyle w:val="TextoNormalNegritaCentrado"/>
        <w:keepNext/>
      </w:pPr>
    </w:p>
    <w:p w14:paraId="5122667D" w14:textId="5A42714F"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56F3D2C3" w14:textId="77777777" w:rsidR="00F64776" w:rsidRDefault="00F64776" w:rsidP="00F64776">
      <w:pPr>
        <w:pStyle w:val="TextoNormal"/>
      </w:pPr>
    </w:p>
    <w:p w14:paraId="5733A5F7" w14:textId="77777777" w:rsidR="00F64776" w:rsidRDefault="00F64776" w:rsidP="00F64776">
      <w:pPr>
        <w:pStyle w:val="TextoNormal"/>
      </w:pPr>
      <w:r>
        <w:t>Por lo expuesto, la Sección</w:t>
      </w:r>
    </w:p>
    <w:p w14:paraId="2F139FAF" w14:textId="1EE1CAF4" w:rsidR="00F64776" w:rsidRDefault="00F64776" w:rsidP="00F64776">
      <w:pPr>
        <w:pStyle w:val="TextoNormal"/>
      </w:pPr>
    </w:p>
    <w:p w14:paraId="698F7111" w14:textId="77777777" w:rsidR="00F64776" w:rsidRDefault="00F64776" w:rsidP="00F64776">
      <w:pPr>
        <w:pStyle w:val="TextoNormalCentrado"/>
      </w:pPr>
      <w:r>
        <w:t>ACUERDA</w:t>
      </w:r>
    </w:p>
    <w:p w14:paraId="2ED63053" w14:textId="6A08AADB" w:rsidR="00F64776" w:rsidRDefault="00F64776" w:rsidP="00F64776">
      <w:pPr>
        <w:pStyle w:val="TextoNormalCentrado"/>
      </w:pPr>
    </w:p>
    <w:p w14:paraId="37F9E20E" w14:textId="0861F2DB" w:rsidR="00F64776" w:rsidRDefault="00F64776" w:rsidP="00F64776">
      <w:pPr>
        <w:pStyle w:val="TextoNormal"/>
      </w:pPr>
      <w:r>
        <w:t>Estimar justificada la abstención formulada por el magistrado señor don César Tolosa Tribiño en el recurso de amparo núm. 4754-2022 y apartarle definitivamente del conocimiento del referido recurso y de todas sus incidencias.</w:t>
      </w:r>
    </w:p>
    <w:p w14:paraId="2C76BA02" w14:textId="77777777" w:rsidR="00F64776" w:rsidRDefault="00F64776" w:rsidP="00F64776">
      <w:pPr>
        <w:pStyle w:val="TextoNormal"/>
      </w:pPr>
    </w:p>
    <w:p w14:paraId="6AD2A5A3" w14:textId="77777777" w:rsidR="00F64776" w:rsidRDefault="00F64776" w:rsidP="00F64776">
      <w:pPr>
        <w:pStyle w:val="TextoNormal"/>
      </w:pPr>
      <w:r>
        <w:t>Madrid, a diecisiete de julio de dos mil veintitrés.</w:t>
      </w:r>
    </w:p>
    <w:p w14:paraId="01B97BD6" w14:textId="43D066F5" w:rsidR="00F64776" w:rsidRDefault="00F64776">
      <w:pPr>
        <w:spacing w:after="160" w:line="278" w:lineRule="auto"/>
        <w:rPr>
          <w:rFonts w:ascii="Times New Roman" w:eastAsia="Times New Roman" w:hAnsi="Times New Roman" w:cs="Times New Roman"/>
          <w:sz w:val="24"/>
          <w:szCs w:val="24"/>
          <w:lang w:eastAsia="es-ES"/>
        </w:rPr>
      </w:pPr>
      <w:r>
        <w:br w:type="page"/>
      </w:r>
    </w:p>
    <w:p w14:paraId="29E2451A" w14:textId="77777777" w:rsidR="00F64776" w:rsidRDefault="00F64776" w:rsidP="00F64776">
      <w:pPr>
        <w:pStyle w:val="TtuloResolucin"/>
      </w:pPr>
      <w:bookmarkStart w:id="145" w:name="AUTO_2023_360"/>
      <w:r>
        <w:t>AUTO 360/2023, de 17 de julio de 2023</w:t>
      </w:r>
    </w:p>
    <w:bookmarkEnd w:id="145"/>
    <w:p w14:paraId="3EB2AAE3" w14:textId="77777777" w:rsidR="00F64776" w:rsidRDefault="00F64776" w:rsidP="00F64776">
      <w:pPr>
        <w:pStyle w:val="TtuloResolucin"/>
      </w:pPr>
      <w:r>
        <w:t>Sección Tercera</w:t>
      </w:r>
    </w:p>
    <w:p w14:paraId="284D043E" w14:textId="77777777" w:rsidR="00F64776" w:rsidRDefault="00F64776" w:rsidP="00F64776">
      <w:pPr>
        <w:pStyle w:val="TextoNormalCentrado"/>
      </w:pPr>
      <w:r>
        <w:t>ECLI:ES:TC:2023:360A</w:t>
      </w:r>
    </w:p>
    <w:p w14:paraId="69245343" w14:textId="319B27A7" w:rsidR="00F64776" w:rsidRDefault="00F64776" w:rsidP="00F64776">
      <w:pPr>
        <w:pStyle w:val="TextoNormalCentrado"/>
      </w:pPr>
    </w:p>
    <w:p w14:paraId="245FF8F6" w14:textId="77777777" w:rsidR="00F64776" w:rsidRDefault="00F64776" w:rsidP="00F64776">
      <w:pPr>
        <w:pStyle w:val="SntesisDescriptiva"/>
      </w:pPr>
      <w:r>
        <w:t>Excms. Srs. doña Inmaculada Montalbán Huertas y doña Laura Díez Bueso.</w:t>
      </w:r>
    </w:p>
    <w:p w14:paraId="652A6709" w14:textId="26BFBA6F" w:rsidR="00F64776" w:rsidRDefault="00F64776" w:rsidP="00F64776">
      <w:pPr>
        <w:pStyle w:val="SntesisDescriptiva"/>
      </w:pPr>
    </w:p>
    <w:p w14:paraId="08981EB7" w14:textId="77777777" w:rsidR="00F64776" w:rsidRDefault="00F64776" w:rsidP="00F64776">
      <w:pPr>
        <w:pStyle w:val="SntesisDescriptiva"/>
      </w:pPr>
      <w:r>
        <w:t>Acepta una abstención en el recurso de amparo 4800-2022, promovido en proceso contencioso-administrativo.</w:t>
      </w:r>
    </w:p>
    <w:p w14:paraId="6EE4AF8F" w14:textId="562FF35D" w:rsidR="00F64776" w:rsidRDefault="00F64776" w:rsidP="00F64776">
      <w:pPr>
        <w:pStyle w:val="SntesisDescriptiva"/>
      </w:pPr>
    </w:p>
    <w:p w14:paraId="5C957DF1" w14:textId="77777777" w:rsidR="00F64776" w:rsidRDefault="00F64776" w:rsidP="00F64776">
      <w:pPr>
        <w:pStyle w:val="SntesisDescriptiva"/>
      </w:pPr>
    </w:p>
    <w:p w14:paraId="15486AB2" w14:textId="77777777" w:rsidR="00F64776" w:rsidRDefault="00F64776" w:rsidP="00F64776">
      <w:pPr>
        <w:pStyle w:val="SntesisDescriptiva"/>
      </w:pPr>
    </w:p>
    <w:p w14:paraId="0BE59C87" w14:textId="77777777" w:rsidR="00F64776" w:rsidRDefault="00F64776" w:rsidP="00F64776">
      <w:pPr>
        <w:pStyle w:val="TextoNormalNegritaCentrado"/>
      </w:pPr>
      <w:r>
        <w:t>AUTO</w:t>
      </w:r>
    </w:p>
    <w:p w14:paraId="32D94B3F" w14:textId="5528738C" w:rsidR="00F64776" w:rsidRDefault="00F64776" w:rsidP="00F64776">
      <w:pPr>
        <w:pStyle w:val="TextoNormalNegritaCentrado"/>
      </w:pPr>
    </w:p>
    <w:p w14:paraId="7414EADB" w14:textId="77777777" w:rsidR="00F64776" w:rsidRDefault="00F64776" w:rsidP="00F64776">
      <w:pPr>
        <w:pStyle w:val="TextoNormalNegritaCentrado"/>
        <w:keepNext/>
      </w:pPr>
      <w:r>
        <w:t>I. Antecedentes</w:t>
      </w:r>
    </w:p>
    <w:p w14:paraId="1936C8E6" w14:textId="65C5E5FC" w:rsidR="00F64776" w:rsidRDefault="00F64776" w:rsidP="00F64776">
      <w:pPr>
        <w:pStyle w:val="TextoNormalNegritaCentrado"/>
        <w:keepNext/>
      </w:pPr>
    </w:p>
    <w:p w14:paraId="3D8726AC" w14:textId="23966898" w:rsidR="00F64776" w:rsidRDefault="00F64776" w:rsidP="00F64776">
      <w:pPr>
        <w:pStyle w:val="TextoNormal"/>
      </w:pPr>
      <w:r w:rsidRPr="00F64776">
        <w:rPr>
          <w:rStyle w:val="NumeroAFNegritaCaracter"/>
        </w:rPr>
        <w:t>1</w:t>
      </w:r>
      <w:r>
        <w:t>. Mediante escrito registrado en este tribunal el 1 de julio de 2022 el procurador de los tribunales don José María Ruiz de la Cuesta Vacas, en nombre y representación de don Calixto García Rosado y bajo la dirección del letrado don Francisco Javier Araúz de Robles Dávila, interpuso demanda de amparo contra providencia de 18 de mayo de 2022 dictada por la Sección Primera de la Sala de lo Contencioso-Administrativo del Tribunal Supremo en recurso de casación núm. 4543-2021.</w:t>
      </w:r>
    </w:p>
    <w:p w14:paraId="5014AC2E" w14:textId="77777777" w:rsidR="00F64776" w:rsidRDefault="00F64776" w:rsidP="00F64776">
      <w:pPr>
        <w:pStyle w:val="TextoNormal"/>
      </w:pPr>
    </w:p>
    <w:p w14:paraId="56180C23" w14:textId="6E07FCFF" w:rsidR="00F64776" w:rsidRDefault="00F64776" w:rsidP="00F64776">
      <w:pPr>
        <w:pStyle w:val="TextoNormal"/>
      </w:pPr>
      <w:r w:rsidRPr="00F64776">
        <w:rPr>
          <w:rStyle w:val="NumeroAFNegritaCaracter"/>
        </w:rPr>
        <w:t>2</w:t>
      </w:r>
      <w:r>
        <w:t>. Por escrito de 29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62CF12DA" w14:textId="77777777" w:rsidR="00F64776" w:rsidRDefault="00F64776" w:rsidP="00F64776">
      <w:pPr>
        <w:pStyle w:val="TextoNormal"/>
      </w:pPr>
    </w:p>
    <w:p w14:paraId="64FFC044" w14:textId="77777777" w:rsidR="00F64776" w:rsidRDefault="00F64776" w:rsidP="00F64776">
      <w:pPr>
        <w:pStyle w:val="TextoNormalNegritaCentrado"/>
        <w:keepNext/>
      </w:pPr>
      <w:r>
        <w:t>II. Fundamentos jurídicos</w:t>
      </w:r>
    </w:p>
    <w:p w14:paraId="22D5142C" w14:textId="63739A9F" w:rsidR="00F64776" w:rsidRDefault="00F64776" w:rsidP="00F64776">
      <w:pPr>
        <w:pStyle w:val="TextoNormalNegritaCentrado"/>
        <w:keepNext/>
      </w:pPr>
    </w:p>
    <w:p w14:paraId="686B5E4E" w14:textId="7CD001A0"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423C5413" w14:textId="77777777" w:rsidR="00F64776" w:rsidRDefault="00F64776" w:rsidP="00F64776">
      <w:pPr>
        <w:pStyle w:val="TextoNormal"/>
      </w:pPr>
    </w:p>
    <w:p w14:paraId="18585B74" w14:textId="77777777" w:rsidR="00F64776" w:rsidRDefault="00F64776" w:rsidP="00F64776">
      <w:pPr>
        <w:pStyle w:val="TextoNormal"/>
      </w:pPr>
      <w:r>
        <w:t>Por lo expuesto, la Sección</w:t>
      </w:r>
    </w:p>
    <w:p w14:paraId="7C713FC5" w14:textId="1FA85883" w:rsidR="00F64776" w:rsidRDefault="00F64776" w:rsidP="00F64776">
      <w:pPr>
        <w:pStyle w:val="TextoNormal"/>
      </w:pPr>
    </w:p>
    <w:p w14:paraId="30757C90" w14:textId="77777777" w:rsidR="00F64776" w:rsidRDefault="00F64776" w:rsidP="00F64776">
      <w:pPr>
        <w:pStyle w:val="TextoNormalCentrado"/>
      </w:pPr>
      <w:r>
        <w:t>ACUERDA</w:t>
      </w:r>
    </w:p>
    <w:p w14:paraId="42AE976D" w14:textId="3EF3F7C8" w:rsidR="00F64776" w:rsidRDefault="00F64776" w:rsidP="00F64776">
      <w:pPr>
        <w:pStyle w:val="TextoNormalCentrado"/>
      </w:pPr>
    </w:p>
    <w:p w14:paraId="799CCAFC" w14:textId="0F2426BA" w:rsidR="00F64776" w:rsidRDefault="00F64776" w:rsidP="00F64776">
      <w:pPr>
        <w:pStyle w:val="TextoNormal"/>
      </w:pPr>
      <w:r>
        <w:t>Estimar justificada la abstención formulada por el magistrado señor don César Tolosa Tribiño en el recurso de amparo núm. 4800-2022 y apartarle definitivamente del conocimiento del referido recurso y de todas sus incidencias.</w:t>
      </w:r>
    </w:p>
    <w:p w14:paraId="6CE85133" w14:textId="77777777" w:rsidR="00F64776" w:rsidRDefault="00F64776" w:rsidP="00F64776">
      <w:pPr>
        <w:pStyle w:val="TextoNormal"/>
      </w:pPr>
    </w:p>
    <w:p w14:paraId="56B38473" w14:textId="77777777" w:rsidR="00F64776" w:rsidRDefault="00F64776" w:rsidP="00F64776">
      <w:pPr>
        <w:pStyle w:val="TextoNormal"/>
      </w:pPr>
      <w:r>
        <w:t>Madrid, a diecisiete de julio de dos mil veintitrés.</w:t>
      </w:r>
    </w:p>
    <w:p w14:paraId="04125E83" w14:textId="4FC0893A" w:rsidR="00F64776" w:rsidRDefault="00F64776">
      <w:pPr>
        <w:spacing w:after="160" w:line="278" w:lineRule="auto"/>
        <w:rPr>
          <w:rFonts w:ascii="Times New Roman" w:eastAsia="Times New Roman" w:hAnsi="Times New Roman" w:cs="Times New Roman"/>
          <w:sz w:val="24"/>
          <w:szCs w:val="24"/>
          <w:lang w:eastAsia="es-ES"/>
        </w:rPr>
      </w:pPr>
      <w:r>
        <w:br w:type="page"/>
      </w:r>
    </w:p>
    <w:p w14:paraId="6F6F2141" w14:textId="77777777" w:rsidR="00F64776" w:rsidRDefault="00F64776" w:rsidP="00F64776">
      <w:pPr>
        <w:pStyle w:val="TtuloResolucin"/>
      </w:pPr>
      <w:bookmarkStart w:id="146" w:name="AUTO_2023_361"/>
      <w:r>
        <w:t>AUTO 361/2023, de 17 de julio de 2023</w:t>
      </w:r>
    </w:p>
    <w:bookmarkEnd w:id="146"/>
    <w:p w14:paraId="76C72F6A" w14:textId="77777777" w:rsidR="00F64776" w:rsidRDefault="00F64776" w:rsidP="00F64776">
      <w:pPr>
        <w:pStyle w:val="TtuloResolucin"/>
      </w:pPr>
      <w:r>
        <w:t>Sección Tercera</w:t>
      </w:r>
    </w:p>
    <w:p w14:paraId="18F29B4B" w14:textId="77777777" w:rsidR="00F64776" w:rsidRDefault="00F64776" w:rsidP="00F64776">
      <w:pPr>
        <w:pStyle w:val="TextoNormalCentrado"/>
      </w:pPr>
      <w:r>
        <w:t>ECLI:ES:TC:2023:361A</w:t>
      </w:r>
    </w:p>
    <w:p w14:paraId="1D7A4DC3" w14:textId="7805FE1D" w:rsidR="00F64776" w:rsidRDefault="00F64776" w:rsidP="00F64776">
      <w:pPr>
        <w:pStyle w:val="TextoNormalCentrado"/>
      </w:pPr>
    </w:p>
    <w:p w14:paraId="7B5AD480" w14:textId="77777777" w:rsidR="00F64776" w:rsidRDefault="00F64776" w:rsidP="00F64776">
      <w:pPr>
        <w:pStyle w:val="SntesisDescriptiva"/>
      </w:pPr>
      <w:r>
        <w:t>Excms. Srs. doña Inmaculada Montalbán Huertas y doña Laura Díez Bueso.</w:t>
      </w:r>
    </w:p>
    <w:p w14:paraId="5CCB8F3A" w14:textId="084287A7" w:rsidR="00F64776" w:rsidRDefault="00F64776" w:rsidP="00F64776">
      <w:pPr>
        <w:pStyle w:val="SntesisDescriptiva"/>
      </w:pPr>
    </w:p>
    <w:p w14:paraId="76560FE3" w14:textId="77777777" w:rsidR="00F64776" w:rsidRDefault="00F64776" w:rsidP="00F64776">
      <w:pPr>
        <w:pStyle w:val="SntesisDescriptiva"/>
      </w:pPr>
      <w:r>
        <w:t>Acepta una abstención en el recurso de amparo 4957-2022, promovido en proceso contencioso-administrativo.</w:t>
      </w:r>
    </w:p>
    <w:p w14:paraId="46F40571" w14:textId="1A818849" w:rsidR="00F64776" w:rsidRDefault="00F64776" w:rsidP="00F64776">
      <w:pPr>
        <w:pStyle w:val="SntesisDescriptiva"/>
      </w:pPr>
    </w:p>
    <w:p w14:paraId="1ACDBD8E" w14:textId="77777777" w:rsidR="00F64776" w:rsidRDefault="00F64776" w:rsidP="00F64776">
      <w:pPr>
        <w:pStyle w:val="SntesisDescriptiva"/>
      </w:pPr>
    </w:p>
    <w:p w14:paraId="780045D9" w14:textId="77777777" w:rsidR="00F64776" w:rsidRDefault="00F64776" w:rsidP="00F64776">
      <w:pPr>
        <w:pStyle w:val="SntesisDescriptiva"/>
      </w:pPr>
    </w:p>
    <w:p w14:paraId="22E12358" w14:textId="77777777" w:rsidR="00F64776" w:rsidRDefault="00F64776" w:rsidP="00F64776">
      <w:pPr>
        <w:pStyle w:val="TextoNormalNegritaCentrado"/>
      </w:pPr>
      <w:r>
        <w:t>AUTO</w:t>
      </w:r>
    </w:p>
    <w:p w14:paraId="69F6A597" w14:textId="363B7AC2" w:rsidR="00F64776" w:rsidRDefault="00F64776" w:rsidP="00F64776">
      <w:pPr>
        <w:pStyle w:val="TextoNormalNegritaCentrado"/>
      </w:pPr>
    </w:p>
    <w:p w14:paraId="6D5ACDA0" w14:textId="77777777" w:rsidR="00F64776" w:rsidRDefault="00F64776" w:rsidP="00F64776">
      <w:pPr>
        <w:pStyle w:val="TextoNormalNegritaCentrado"/>
        <w:keepNext/>
      </w:pPr>
      <w:r>
        <w:t>I. Antecedentes</w:t>
      </w:r>
    </w:p>
    <w:p w14:paraId="72BBE8FC" w14:textId="2DE60BAE" w:rsidR="00F64776" w:rsidRDefault="00F64776" w:rsidP="00F64776">
      <w:pPr>
        <w:pStyle w:val="TextoNormalNegritaCentrado"/>
        <w:keepNext/>
      </w:pPr>
    </w:p>
    <w:p w14:paraId="3992B080" w14:textId="6027B895" w:rsidR="00F64776" w:rsidRDefault="00F64776" w:rsidP="00F64776">
      <w:pPr>
        <w:pStyle w:val="TextoNormal"/>
      </w:pPr>
      <w:r w:rsidRPr="00F64776">
        <w:rPr>
          <w:rStyle w:val="NumeroAFNegritaCaracter"/>
        </w:rPr>
        <w:t>1</w:t>
      </w:r>
      <w:r>
        <w:t>. Mediante escrito registrado en este tribunal el 7 de julio de 2022 el procurador de los tribunales don José María Ruiz de la Cuesta Vacas, en nombre y representación de don Carlos Yuste Monge y bajo la dirección del letrado don Francisco Javier Araúz de Robles Dávila, interpuso demanda de amparo contra providencia de fecha 25 de mayo de 2022 dictada por la Sala de lo Contencioso-Administrativo del Tribunal Supremo en recurso de casación núm. 7759-2021 contra la sentencia dictada por la Sala Contencioso-Administrativo del Tribunal Superior de Extremadura en procedimiento ordinario núm. 159-2020.</w:t>
      </w:r>
    </w:p>
    <w:p w14:paraId="4B04DD60" w14:textId="77777777" w:rsidR="00F64776" w:rsidRDefault="00F64776" w:rsidP="00F64776">
      <w:pPr>
        <w:pStyle w:val="TextoNormal"/>
      </w:pPr>
    </w:p>
    <w:p w14:paraId="61204171" w14:textId="757605AA" w:rsidR="00F64776" w:rsidRDefault="00F64776" w:rsidP="00F64776">
      <w:pPr>
        <w:pStyle w:val="TextoNormal"/>
      </w:pPr>
      <w:r w:rsidRPr="00F64776">
        <w:rPr>
          <w:rStyle w:val="NumeroAFNegritaCaracter"/>
        </w:rPr>
        <w:t>2</w:t>
      </w:r>
      <w:r>
        <w:t>. Por escrito de 29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43ECD795" w14:textId="77777777" w:rsidR="00F64776" w:rsidRDefault="00F64776" w:rsidP="00F64776">
      <w:pPr>
        <w:pStyle w:val="TextoNormal"/>
      </w:pPr>
    </w:p>
    <w:p w14:paraId="7500A8A9" w14:textId="77777777" w:rsidR="00F64776" w:rsidRDefault="00F64776" w:rsidP="00F64776">
      <w:pPr>
        <w:pStyle w:val="TextoNormalNegritaCentrado"/>
        <w:keepNext/>
      </w:pPr>
      <w:r>
        <w:t>II. Fundamentos jurídicos</w:t>
      </w:r>
    </w:p>
    <w:p w14:paraId="45B3A228" w14:textId="1760BB5D" w:rsidR="00F64776" w:rsidRDefault="00F64776" w:rsidP="00F64776">
      <w:pPr>
        <w:pStyle w:val="TextoNormalNegritaCentrado"/>
        <w:keepNext/>
      </w:pPr>
    </w:p>
    <w:p w14:paraId="3EA6A19E" w14:textId="38640657"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64AF6E44" w14:textId="77777777" w:rsidR="00F64776" w:rsidRDefault="00F64776" w:rsidP="00F64776">
      <w:pPr>
        <w:pStyle w:val="TextoNormal"/>
      </w:pPr>
    </w:p>
    <w:p w14:paraId="22C1E68A" w14:textId="77777777" w:rsidR="00F64776" w:rsidRDefault="00F64776" w:rsidP="00F64776">
      <w:pPr>
        <w:pStyle w:val="TextoNormal"/>
      </w:pPr>
      <w:r>
        <w:t>Por lo expuesto, la Sección</w:t>
      </w:r>
    </w:p>
    <w:p w14:paraId="02D59BD3" w14:textId="57C7B043" w:rsidR="00F64776" w:rsidRDefault="00F64776" w:rsidP="00F64776">
      <w:pPr>
        <w:pStyle w:val="TextoNormal"/>
      </w:pPr>
    </w:p>
    <w:p w14:paraId="0E8A42DC" w14:textId="77777777" w:rsidR="00F64776" w:rsidRDefault="00F64776" w:rsidP="00F64776">
      <w:pPr>
        <w:pStyle w:val="TextoNormalCentrado"/>
      </w:pPr>
      <w:r>
        <w:t>ACUERDA</w:t>
      </w:r>
    </w:p>
    <w:p w14:paraId="362355E8" w14:textId="04A379F4" w:rsidR="00F64776" w:rsidRDefault="00F64776" w:rsidP="00F64776">
      <w:pPr>
        <w:pStyle w:val="TextoNormalCentrado"/>
      </w:pPr>
    </w:p>
    <w:p w14:paraId="7C95604E" w14:textId="099C975C" w:rsidR="00F64776" w:rsidRDefault="00F64776" w:rsidP="00F64776">
      <w:pPr>
        <w:pStyle w:val="TextoNormal"/>
      </w:pPr>
      <w:r>
        <w:t>Estimar justificada la abstención formulada por el magistrado señor don César Tolosa Tribiño en el recurso de amparo núm. 4957-2022 y apartarle definitivamente del conocimiento del referido recurso y de todas sus incidencias.</w:t>
      </w:r>
    </w:p>
    <w:p w14:paraId="347B4F05" w14:textId="77777777" w:rsidR="00F64776" w:rsidRDefault="00F64776" w:rsidP="00F64776">
      <w:pPr>
        <w:pStyle w:val="TextoNormal"/>
      </w:pPr>
    </w:p>
    <w:p w14:paraId="326C1997" w14:textId="77777777" w:rsidR="00F64776" w:rsidRDefault="00F64776" w:rsidP="00F64776">
      <w:pPr>
        <w:pStyle w:val="TextoNormal"/>
      </w:pPr>
      <w:r>
        <w:t>Madrid, a diecisiete de julio de dos mil veintitrés.</w:t>
      </w:r>
    </w:p>
    <w:p w14:paraId="489524A9" w14:textId="1CAC52EB" w:rsidR="00F64776" w:rsidRDefault="00F64776">
      <w:pPr>
        <w:spacing w:after="160" w:line="278" w:lineRule="auto"/>
        <w:rPr>
          <w:rFonts w:ascii="Times New Roman" w:eastAsia="Times New Roman" w:hAnsi="Times New Roman" w:cs="Times New Roman"/>
          <w:sz w:val="24"/>
          <w:szCs w:val="24"/>
          <w:lang w:eastAsia="es-ES"/>
        </w:rPr>
      </w:pPr>
      <w:r>
        <w:br w:type="page"/>
      </w:r>
    </w:p>
    <w:p w14:paraId="174F51A1" w14:textId="77777777" w:rsidR="00F64776" w:rsidRDefault="00F64776" w:rsidP="00F64776">
      <w:pPr>
        <w:pStyle w:val="TtuloResolucin"/>
      </w:pPr>
      <w:bookmarkStart w:id="147" w:name="AUTO_2023_362"/>
      <w:r>
        <w:t>AUTO 362/2023, de 17 de julio de 2023</w:t>
      </w:r>
    </w:p>
    <w:bookmarkEnd w:id="147"/>
    <w:p w14:paraId="48A6752E" w14:textId="77777777" w:rsidR="00F64776" w:rsidRDefault="00F64776" w:rsidP="00F64776">
      <w:pPr>
        <w:pStyle w:val="TtuloResolucin"/>
      </w:pPr>
      <w:r>
        <w:t>Sección Tercera</w:t>
      </w:r>
    </w:p>
    <w:p w14:paraId="091DEBE7" w14:textId="77777777" w:rsidR="00F64776" w:rsidRDefault="00F64776" w:rsidP="00F64776">
      <w:pPr>
        <w:pStyle w:val="TextoNormalCentrado"/>
      </w:pPr>
      <w:r>
        <w:t>ECLI:ES:TC:2023:362A</w:t>
      </w:r>
    </w:p>
    <w:p w14:paraId="1A2A4F2C" w14:textId="642C0DE5" w:rsidR="00F64776" w:rsidRDefault="00F64776" w:rsidP="00F64776">
      <w:pPr>
        <w:pStyle w:val="TextoNormalCentrado"/>
      </w:pPr>
    </w:p>
    <w:p w14:paraId="2CAF9D3F" w14:textId="77777777" w:rsidR="00F64776" w:rsidRDefault="00F64776" w:rsidP="00F64776">
      <w:pPr>
        <w:pStyle w:val="SntesisDescriptiva"/>
      </w:pPr>
      <w:r>
        <w:t>Excms. Srs. doña Inmaculada Montalbán Huertas y doña Laura Díez Bueso.</w:t>
      </w:r>
    </w:p>
    <w:p w14:paraId="157306FA" w14:textId="78DF6196" w:rsidR="00F64776" w:rsidRDefault="00F64776" w:rsidP="00F64776">
      <w:pPr>
        <w:pStyle w:val="SntesisDescriptiva"/>
      </w:pPr>
    </w:p>
    <w:p w14:paraId="6EE627EA" w14:textId="77777777" w:rsidR="00F64776" w:rsidRDefault="00F64776" w:rsidP="00F64776">
      <w:pPr>
        <w:pStyle w:val="SntesisDescriptiva"/>
      </w:pPr>
      <w:r>
        <w:t>Acepta una abstención en el recurso de amparo 5106-2022, promovido en proceso contencioso-administrativo.</w:t>
      </w:r>
    </w:p>
    <w:p w14:paraId="30C18C2B" w14:textId="0C2B2990" w:rsidR="00F64776" w:rsidRDefault="00F64776" w:rsidP="00F64776">
      <w:pPr>
        <w:pStyle w:val="SntesisDescriptiva"/>
      </w:pPr>
    </w:p>
    <w:p w14:paraId="3473F6A9" w14:textId="77777777" w:rsidR="00F64776" w:rsidRDefault="00F64776" w:rsidP="00F64776">
      <w:pPr>
        <w:pStyle w:val="SntesisDescriptiva"/>
      </w:pPr>
    </w:p>
    <w:p w14:paraId="73F3E084" w14:textId="77777777" w:rsidR="00F64776" w:rsidRDefault="00F64776" w:rsidP="00F64776">
      <w:pPr>
        <w:pStyle w:val="SntesisDescriptiva"/>
      </w:pPr>
    </w:p>
    <w:p w14:paraId="086672C6" w14:textId="77777777" w:rsidR="00F64776" w:rsidRDefault="00F64776" w:rsidP="00F64776">
      <w:pPr>
        <w:pStyle w:val="TextoNormalNegritaCentrado"/>
      </w:pPr>
      <w:r>
        <w:t>AUTO</w:t>
      </w:r>
    </w:p>
    <w:p w14:paraId="12DF7A6A" w14:textId="2267EFC7" w:rsidR="00F64776" w:rsidRDefault="00F64776" w:rsidP="00F64776">
      <w:pPr>
        <w:pStyle w:val="TextoNormalNegritaCentrado"/>
      </w:pPr>
    </w:p>
    <w:p w14:paraId="156B3915" w14:textId="77777777" w:rsidR="00F64776" w:rsidRDefault="00F64776" w:rsidP="00F64776">
      <w:pPr>
        <w:pStyle w:val="TextoNormalNegritaCentrado"/>
        <w:keepNext/>
      </w:pPr>
      <w:r>
        <w:t>I. Antecedentes</w:t>
      </w:r>
    </w:p>
    <w:p w14:paraId="18BDF793" w14:textId="4ACF7FEB" w:rsidR="00F64776" w:rsidRDefault="00F64776" w:rsidP="00F64776">
      <w:pPr>
        <w:pStyle w:val="TextoNormalNegritaCentrado"/>
        <w:keepNext/>
      </w:pPr>
    </w:p>
    <w:p w14:paraId="1F7257C5" w14:textId="4609CB8F" w:rsidR="00F64776" w:rsidRDefault="00F64776" w:rsidP="00F64776">
      <w:pPr>
        <w:pStyle w:val="TextoNormal"/>
      </w:pPr>
      <w:r w:rsidRPr="00F64776">
        <w:rPr>
          <w:rStyle w:val="NumeroAFNegritaCaracter"/>
        </w:rPr>
        <w:t>1</w:t>
      </w:r>
      <w:r>
        <w:t>. Mediante escrito registrado en este tribunal el 13 de julio de 2022 la procuradora de los tribunales doña Ana María Araúz de Robles Villalón, en nombre y representación de doña Luisa María Abril García y otros y bajo la dirección del letrado don Francisco Javier Araúz de Robles Dávila, interpuso demanda de amparo contra la providencia de 31 de mayo de 2022 de la Sala de lo Contencioso-Administrativo del Tribunal Supremo en recurso de casación núm. 8497-2021.</w:t>
      </w:r>
    </w:p>
    <w:p w14:paraId="3AE08EB5" w14:textId="77777777" w:rsidR="00F64776" w:rsidRDefault="00F64776" w:rsidP="00F64776">
      <w:pPr>
        <w:pStyle w:val="TextoNormal"/>
      </w:pPr>
    </w:p>
    <w:p w14:paraId="5E59E51E" w14:textId="54CF3F6E" w:rsidR="00F64776" w:rsidRDefault="00F64776" w:rsidP="00F64776">
      <w:pPr>
        <w:pStyle w:val="TextoNormal"/>
      </w:pPr>
      <w:r w:rsidRPr="00F64776">
        <w:rPr>
          <w:rStyle w:val="NumeroAFNegritaCaracter"/>
        </w:rPr>
        <w:t>2</w:t>
      </w:r>
      <w:r>
        <w:t>. Por escrito de 29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69BB15FC" w14:textId="77777777" w:rsidR="00F64776" w:rsidRDefault="00F64776" w:rsidP="00F64776">
      <w:pPr>
        <w:pStyle w:val="TextoNormal"/>
      </w:pPr>
    </w:p>
    <w:p w14:paraId="5CD6A7FE" w14:textId="77777777" w:rsidR="00F64776" w:rsidRDefault="00F64776" w:rsidP="00F64776">
      <w:pPr>
        <w:pStyle w:val="TextoNormalNegritaCentrado"/>
        <w:keepNext/>
      </w:pPr>
      <w:r>
        <w:t>II. Fundamentos jurídicos</w:t>
      </w:r>
    </w:p>
    <w:p w14:paraId="524FF2AA" w14:textId="601D3DBF" w:rsidR="00F64776" w:rsidRDefault="00F64776" w:rsidP="00F64776">
      <w:pPr>
        <w:pStyle w:val="TextoNormalNegritaCentrado"/>
        <w:keepNext/>
      </w:pPr>
    </w:p>
    <w:p w14:paraId="1974DD77" w14:textId="25F7CBCE"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2A02D956" w14:textId="77777777" w:rsidR="00F64776" w:rsidRDefault="00F64776" w:rsidP="00F64776">
      <w:pPr>
        <w:pStyle w:val="TextoNormal"/>
      </w:pPr>
    </w:p>
    <w:p w14:paraId="01E9812F" w14:textId="77777777" w:rsidR="00F64776" w:rsidRDefault="00F64776" w:rsidP="00F64776">
      <w:pPr>
        <w:pStyle w:val="TextoNormal"/>
      </w:pPr>
      <w:r>
        <w:t>Por lo expuesto, la Sección</w:t>
      </w:r>
    </w:p>
    <w:p w14:paraId="3F8AA819" w14:textId="455FA92A" w:rsidR="00F64776" w:rsidRDefault="00F64776" w:rsidP="00F64776">
      <w:pPr>
        <w:pStyle w:val="TextoNormal"/>
      </w:pPr>
    </w:p>
    <w:p w14:paraId="07FE00C3" w14:textId="77777777" w:rsidR="00F64776" w:rsidRDefault="00F64776" w:rsidP="00F64776">
      <w:pPr>
        <w:pStyle w:val="TextoNormalCentrado"/>
      </w:pPr>
      <w:r>
        <w:t>ACUERDA</w:t>
      </w:r>
    </w:p>
    <w:p w14:paraId="3CDF575E" w14:textId="5F27769B" w:rsidR="00F64776" w:rsidRDefault="00F64776" w:rsidP="00F64776">
      <w:pPr>
        <w:pStyle w:val="TextoNormalCentrado"/>
      </w:pPr>
    </w:p>
    <w:p w14:paraId="475856C0" w14:textId="2304E0D0" w:rsidR="00F64776" w:rsidRDefault="00F64776" w:rsidP="00F64776">
      <w:pPr>
        <w:pStyle w:val="TextoNormal"/>
      </w:pPr>
      <w:r>
        <w:t>Estimar justificada la abstención formulada por el magistrado señor don César Tolosa Tribiño en el recurso de amparo núm. 5106-2022 y apartarle definitivamente del conocimiento del referido recurso y de todas sus incidencias.</w:t>
      </w:r>
    </w:p>
    <w:p w14:paraId="38BBCCBB" w14:textId="77777777" w:rsidR="00F64776" w:rsidRDefault="00F64776" w:rsidP="00F64776">
      <w:pPr>
        <w:pStyle w:val="TextoNormal"/>
      </w:pPr>
    </w:p>
    <w:p w14:paraId="2B46A2B6" w14:textId="77777777" w:rsidR="00F64776" w:rsidRDefault="00F64776" w:rsidP="00F64776">
      <w:pPr>
        <w:pStyle w:val="TextoNormal"/>
      </w:pPr>
      <w:r>
        <w:t>Madrid, a diecisiete de julio de dos mil veintitrés.</w:t>
      </w:r>
    </w:p>
    <w:p w14:paraId="67746B74" w14:textId="784B41F0" w:rsidR="00F64776" w:rsidRDefault="00F64776">
      <w:pPr>
        <w:spacing w:after="160" w:line="278" w:lineRule="auto"/>
        <w:rPr>
          <w:rFonts w:ascii="Times New Roman" w:eastAsia="Times New Roman" w:hAnsi="Times New Roman" w:cs="Times New Roman"/>
          <w:sz w:val="24"/>
          <w:szCs w:val="24"/>
          <w:lang w:eastAsia="es-ES"/>
        </w:rPr>
      </w:pPr>
      <w:r>
        <w:br w:type="page"/>
      </w:r>
    </w:p>
    <w:p w14:paraId="10A283C3" w14:textId="77777777" w:rsidR="00F64776" w:rsidRDefault="00F64776" w:rsidP="00F64776">
      <w:pPr>
        <w:pStyle w:val="TtuloResolucin"/>
      </w:pPr>
      <w:bookmarkStart w:id="148" w:name="AUTO_2023_363"/>
      <w:r>
        <w:t>AUTO 363/2023, de 17 de julio de 2023</w:t>
      </w:r>
    </w:p>
    <w:bookmarkEnd w:id="148"/>
    <w:p w14:paraId="25317631" w14:textId="77777777" w:rsidR="00F64776" w:rsidRDefault="00F64776" w:rsidP="00F64776">
      <w:pPr>
        <w:pStyle w:val="TtuloResolucin"/>
      </w:pPr>
      <w:r>
        <w:t>Sección Tercera</w:t>
      </w:r>
    </w:p>
    <w:p w14:paraId="0A53363B" w14:textId="77777777" w:rsidR="00F64776" w:rsidRDefault="00F64776" w:rsidP="00F64776">
      <w:pPr>
        <w:pStyle w:val="TextoNormalCentrado"/>
      </w:pPr>
      <w:r>
        <w:t>ECLI:ES:TC:2023:363A</w:t>
      </w:r>
    </w:p>
    <w:p w14:paraId="3283FA73" w14:textId="0C2BE094" w:rsidR="00F64776" w:rsidRDefault="00F64776" w:rsidP="00F64776">
      <w:pPr>
        <w:pStyle w:val="TextoNormalCentrado"/>
      </w:pPr>
    </w:p>
    <w:p w14:paraId="6188DA7C" w14:textId="77777777" w:rsidR="00F64776" w:rsidRDefault="00F64776" w:rsidP="00F64776">
      <w:pPr>
        <w:pStyle w:val="SntesisDescriptiva"/>
      </w:pPr>
      <w:r>
        <w:t>Excms. Srs. doña Inmaculada Montalbán Huertas y doña Laura Díez Bueso.</w:t>
      </w:r>
    </w:p>
    <w:p w14:paraId="55F0D926" w14:textId="13C75808" w:rsidR="00F64776" w:rsidRDefault="00F64776" w:rsidP="00F64776">
      <w:pPr>
        <w:pStyle w:val="SntesisDescriptiva"/>
      </w:pPr>
    </w:p>
    <w:p w14:paraId="079357CA" w14:textId="77777777" w:rsidR="00F64776" w:rsidRDefault="00F64776" w:rsidP="00F64776">
      <w:pPr>
        <w:pStyle w:val="SntesisDescriptiva"/>
      </w:pPr>
      <w:r>
        <w:t>Acepta una abstención en el recurso de amparo 5260-2022, promovido en proceso contencioso-administrativo.</w:t>
      </w:r>
    </w:p>
    <w:p w14:paraId="271F8B85" w14:textId="0038369A" w:rsidR="00F64776" w:rsidRDefault="00F64776" w:rsidP="00F64776">
      <w:pPr>
        <w:pStyle w:val="SntesisDescriptiva"/>
      </w:pPr>
    </w:p>
    <w:p w14:paraId="7BF4B0F2" w14:textId="77777777" w:rsidR="00F64776" w:rsidRDefault="00F64776" w:rsidP="00F64776">
      <w:pPr>
        <w:pStyle w:val="SntesisDescriptiva"/>
      </w:pPr>
    </w:p>
    <w:p w14:paraId="11A4FCAF" w14:textId="77777777" w:rsidR="00F64776" w:rsidRDefault="00F64776" w:rsidP="00F64776">
      <w:pPr>
        <w:pStyle w:val="SntesisDescriptiva"/>
      </w:pPr>
    </w:p>
    <w:p w14:paraId="28A8DCE6" w14:textId="77777777" w:rsidR="00F64776" w:rsidRDefault="00F64776" w:rsidP="00F64776">
      <w:pPr>
        <w:pStyle w:val="TextoNormalNegritaCentrado"/>
      </w:pPr>
      <w:r>
        <w:t>AUTO</w:t>
      </w:r>
    </w:p>
    <w:p w14:paraId="2966853F" w14:textId="5D127895" w:rsidR="00F64776" w:rsidRDefault="00F64776" w:rsidP="00F64776">
      <w:pPr>
        <w:pStyle w:val="TextoNormalNegritaCentrado"/>
      </w:pPr>
    </w:p>
    <w:p w14:paraId="6119DCEE" w14:textId="77777777" w:rsidR="00F64776" w:rsidRDefault="00F64776" w:rsidP="00F64776">
      <w:pPr>
        <w:pStyle w:val="TextoNormalNegritaCentrado"/>
        <w:keepNext/>
      </w:pPr>
      <w:r>
        <w:t>I. Antecedentes</w:t>
      </w:r>
    </w:p>
    <w:p w14:paraId="210904F4" w14:textId="720FBEDB" w:rsidR="00F64776" w:rsidRDefault="00F64776" w:rsidP="00F64776">
      <w:pPr>
        <w:pStyle w:val="TextoNormalNegritaCentrado"/>
        <w:keepNext/>
      </w:pPr>
    </w:p>
    <w:p w14:paraId="3776F65C" w14:textId="4F8E54F2" w:rsidR="00F64776" w:rsidRDefault="00F64776" w:rsidP="00F64776">
      <w:pPr>
        <w:pStyle w:val="TextoNormal"/>
      </w:pPr>
      <w:r w:rsidRPr="00F64776">
        <w:rPr>
          <w:rStyle w:val="NumeroAFNegritaCaracter"/>
        </w:rPr>
        <w:t>1</w:t>
      </w:r>
      <w:r>
        <w:t>. Mediante escrito registrado en este tribunal el 18 de julio de 2022 el procurador de los tribunales don José María Ruiz de la Cuesta Vacas, en nombre y representación de doña María Josefa Hurtado Trujillo y otros y bajo la dirección del letrado don Francisco Javier Araúz de Robles Dávila, interpuso demanda de amparo contra providencia de fecha 23 de junio de 2022, dictada por la Sección Primera de la Sala de lo Contencioso-Administrativo del Tribunal Supremo en recurso de casación núm. 4274-2021.</w:t>
      </w:r>
    </w:p>
    <w:p w14:paraId="7E2CEE1C" w14:textId="77777777" w:rsidR="00F64776" w:rsidRDefault="00F64776" w:rsidP="00F64776">
      <w:pPr>
        <w:pStyle w:val="TextoNormal"/>
      </w:pPr>
    </w:p>
    <w:p w14:paraId="49A9E051" w14:textId="086E7768" w:rsidR="00F64776" w:rsidRDefault="00F64776" w:rsidP="00F64776">
      <w:pPr>
        <w:pStyle w:val="TextoNormal"/>
      </w:pPr>
      <w:r w:rsidRPr="00F64776">
        <w:rPr>
          <w:rStyle w:val="NumeroAFNegritaCaracter"/>
        </w:rPr>
        <w:t>2</w:t>
      </w:r>
      <w:r>
        <w:t>. Por escrito de 29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1CAA0B13" w14:textId="77777777" w:rsidR="00F64776" w:rsidRDefault="00F64776" w:rsidP="00F64776">
      <w:pPr>
        <w:pStyle w:val="TextoNormal"/>
      </w:pPr>
    </w:p>
    <w:p w14:paraId="1348FE24" w14:textId="77777777" w:rsidR="00F64776" w:rsidRDefault="00F64776" w:rsidP="00F64776">
      <w:pPr>
        <w:pStyle w:val="TextoNormalNegritaCentrado"/>
        <w:keepNext/>
      </w:pPr>
      <w:r>
        <w:t>II. Fundamentos jurídicos</w:t>
      </w:r>
    </w:p>
    <w:p w14:paraId="0024EEAA" w14:textId="23E49586" w:rsidR="00F64776" w:rsidRDefault="00F64776" w:rsidP="00F64776">
      <w:pPr>
        <w:pStyle w:val="TextoNormalNegritaCentrado"/>
        <w:keepNext/>
      </w:pPr>
    </w:p>
    <w:p w14:paraId="66D45679" w14:textId="3BDAF6A4"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345031DB" w14:textId="77777777" w:rsidR="00F64776" w:rsidRDefault="00F64776" w:rsidP="00F64776">
      <w:pPr>
        <w:pStyle w:val="TextoNormal"/>
      </w:pPr>
    </w:p>
    <w:p w14:paraId="683FB8A6" w14:textId="77777777" w:rsidR="00F64776" w:rsidRDefault="00F64776" w:rsidP="00F64776">
      <w:pPr>
        <w:pStyle w:val="TextoNormal"/>
      </w:pPr>
      <w:r>
        <w:t>Por lo expuesto, la Sección</w:t>
      </w:r>
    </w:p>
    <w:p w14:paraId="1946E693" w14:textId="500844AE" w:rsidR="00F64776" w:rsidRDefault="00F64776" w:rsidP="00F64776">
      <w:pPr>
        <w:pStyle w:val="TextoNormal"/>
      </w:pPr>
    </w:p>
    <w:p w14:paraId="073382EA" w14:textId="77777777" w:rsidR="00F64776" w:rsidRDefault="00F64776" w:rsidP="00F64776">
      <w:pPr>
        <w:pStyle w:val="TextoNormalCentrado"/>
      </w:pPr>
      <w:r>
        <w:t>ACUERDA</w:t>
      </w:r>
    </w:p>
    <w:p w14:paraId="5E1C068B" w14:textId="7433EDB7" w:rsidR="00F64776" w:rsidRDefault="00F64776" w:rsidP="00F64776">
      <w:pPr>
        <w:pStyle w:val="TextoNormalCentrado"/>
      </w:pPr>
    </w:p>
    <w:p w14:paraId="42E75B52" w14:textId="40A73F38" w:rsidR="00F64776" w:rsidRDefault="00F64776" w:rsidP="00F64776">
      <w:pPr>
        <w:pStyle w:val="TextoNormal"/>
      </w:pPr>
      <w:r>
        <w:t>Estimar justificada la abstención formulada por el magistrado señor don César Tolosa Tribiño en el recurso de amparo núm. 5260-2022 y apartarle definitivamente del conocimiento del referido recurso y de todas sus incidencias.</w:t>
      </w:r>
    </w:p>
    <w:p w14:paraId="54F88F15" w14:textId="77777777" w:rsidR="00F64776" w:rsidRDefault="00F64776" w:rsidP="00F64776">
      <w:pPr>
        <w:pStyle w:val="TextoNormal"/>
      </w:pPr>
    </w:p>
    <w:p w14:paraId="048B6229" w14:textId="77777777" w:rsidR="00F64776" w:rsidRDefault="00F64776" w:rsidP="00F64776">
      <w:pPr>
        <w:pStyle w:val="TextoNormal"/>
      </w:pPr>
      <w:r>
        <w:t>Madrid, a diecisiete de julio de dos mil veintitrés.</w:t>
      </w:r>
    </w:p>
    <w:p w14:paraId="540135DB" w14:textId="4D7BEE7F" w:rsidR="00F64776" w:rsidRDefault="00F64776">
      <w:pPr>
        <w:spacing w:after="160" w:line="278" w:lineRule="auto"/>
        <w:rPr>
          <w:rFonts w:ascii="Times New Roman" w:eastAsia="Times New Roman" w:hAnsi="Times New Roman" w:cs="Times New Roman"/>
          <w:sz w:val="24"/>
          <w:szCs w:val="24"/>
          <w:lang w:eastAsia="es-ES"/>
        </w:rPr>
      </w:pPr>
      <w:r>
        <w:br w:type="page"/>
      </w:r>
    </w:p>
    <w:p w14:paraId="26B34F46" w14:textId="77777777" w:rsidR="00F64776" w:rsidRDefault="00F64776" w:rsidP="00F64776">
      <w:pPr>
        <w:pStyle w:val="TtuloResolucin"/>
      </w:pPr>
      <w:bookmarkStart w:id="149" w:name="AUTO_2023_364"/>
      <w:r>
        <w:t>AUTO 364/2023, de 17 de julio de 2023</w:t>
      </w:r>
    </w:p>
    <w:bookmarkEnd w:id="149"/>
    <w:p w14:paraId="31C4F59F" w14:textId="77777777" w:rsidR="00F64776" w:rsidRDefault="00F64776" w:rsidP="00F64776">
      <w:pPr>
        <w:pStyle w:val="TtuloResolucin"/>
      </w:pPr>
      <w:r>
        <w:t>Sección Tercera</w:t>
      </w:r>
    </w:p>
    <w:p w14:paraId="5156D4B8" w14:textId="77777777" w:rsidR="00F64776" w:rsidRDefault="00F64776" w:rsidP="00F64776">
      <w:pPr>
        <w:pStyle w:val="TextoNormalCentrado"/>
      </w:pPr>
      <w:r>
        <w:t>ECLI:ES:TC:2023:364A</w:t>
      </w:r>
    </w:p>
    <w:p w14:paraId="2EE9AFCB" w14:textId="5609CEFE" w:rsidR="00F64776" w:rsidRDefault="00F64776" w:rsidP="00F64776">
      <w:pPr>
        <w:pStyle w:val="TextoNormalCentrado"/>
      </w:pPr>
    </w:p>
    <w:p w14:paraId="3BC4854C" w14:textId="77777777" w:rsidR="00F64776" w:rsidRDefault="00F64776" w:rsidP="00F64776">
      <w:pPr>
        <w:pStyle w:val="SntesisDescriptiva"/>
      </w:pPr>
      <w:r>
        <w:t>Excms. Srs. doña Inmaculada Montalbán Huertas y doña Laura Díez Bueso.</w:t>
      </w:r>
    </w:p>
    <w:p w14:paraId="585A2BD9" w14:textId="1650FB47" w:rsidR="00F64776" w:rsidRDefault="00F64776" w:rsidP="00F64776">
      <w:pPr>
        <w:pStyle w:val="SntesisDescriptiva"/>
      </w:pPr>
    </w:p>
    <w:p w14:paraId="2CE772FA" w14:textId="77777777" w:rsidR="00F64776" w:rsidRDefault="00F64776" w:rsidP="00F64776">
      <w:pPr>
        <w:pStyle w:val="SntesisDescriptiva"/>
      </w:pPr>
      <w:r>
        <w:t>Acepta una abstención en el recurso de amparo 5287-2022, promovido en proceso contencioso-administrativo.</w:t>
      </w:r>
    </w:p>
    <w:p w14:paraId="0AC0C03D" w14:textId="1F9B891A" w:rsidR="00F64776" w:rsidRDefault="00F64776" w:rsidP="00F64776">
      <w:pPr>
        <w:pStyle w:val="SntesisDescriptiva"/>
      </w:pPr>
    </w:p>
    <w:p w14:paraId="2232C273" w14:textId="77777777" w:rsidR="00F64776" w:rsidRDefault="00F64776" w:rsidP="00F64776">
      <w:pPr>
        <w:pStyle w:val="SntesisDescriptiva"/>
      </w:pPr>
    </w:p>
    <w:p w14:paraId="7A0E570E" w14:textId="77777777" w:rsidR="00F64776" w:rsidRDefault="00F64776" w:rsidP="00F64776">
      <w:pPr>
        <w:pStyle w:val="SntesisDescriptiva"/>
      </w:pPr>
    </w:p>
    <w:p w14:paraId="6DF48DF2" w14:textId="77777777" w:rsidR="00F64776" w:rsidRDefault="00F64776" w:rsidP="00F64776">
      <w:pPr>
        <w:pStyle w:val="TextoNormalNegritaCentrado"/>
      </w:pPr>
      <w:r>
        <w:t>AUTO</w:t>
      </w:r>
    </w:p>
    <w:p w14:paraId="4A169CEE" w14:textId="608F2112" w:rsidR="00F64776" w:rsidRDefault="00F64776" w:rsidP="00F64776">
      <w:pPr>
        <w:pStyle w:val="TextoNormalNegritaCentrado"/>
      </w:pPr>
    </w:p>
    <w:p w14:paraId="1E4AE383" w14:textId="77777777" w:rsidR="00F64776" w:rsidRDefault="00F64776" w:rsidP="00F64776">
      <w:pPr>
        <w:pStyle w:val="TextoNormalNegritaCentrado"/>
        <w:keepNext/>
      </w:pPr>
      <w:r>
        <w:t>I. Antecedentes</w:t>
      </w:r>
    </w:p>
    <w:p w14:paraId="3F78394A" w14:textId="023AA14E" w:rsidR="00F64776" w:rsidRDefault="00F64776" w:rsidP="00F64776">
      <w:pPr>
        <w:pStyle w:val="TextoNormalNegritaCentrado"/>
        <w:keepNext/>
      </w:pPr>
    </w:p>
    <w:p w14:paraId="2AF8CE3B" w14:textId="45AF0824" w:rsidR="00F64776" w:rsidRDefault="00F64776" w:rsidP="00F64776">
      <w:pPr>
        <w:pStyle w:val="TextoNormal"/>
      </w:pPr>
      <w:r w:rsidRPr="00F64776">
        <w:rPr>
          <w:rStyle w:val="NumeroAFNegritaCaracter"/>
        </w:rPr>
        <w:t>1</w:t>
      </w:r>
      <w:r>
        <w:t>. Mediante escrito registrado en este tribunal el 19 de julio de 2022 la procuradora de los tribunales doña Ana María Araúz de Robles Villalón, en nombre y representación de doña Sandra Gordillo García y bajo la dirección del letrado don Francisco Javier Araúz de Robles Dávila, interpuso demanda de amparo contra providencia de la Sección Primera de la Sala de lo Contencioso-Administrativo del Tribunal Supremo en recurso de casación núm. 4606-2021.</w:t>
      </w:r>
    </w:p>
    <w:p w14:paraId="0EAD07C9" w14:textId="77777777" w:rsidR="00F64776" w:rsidRDefault="00F64776" w:rsidP="00F64776">
      <w:pPr>
        <w:pStyle w:val="TextoNormal"/>
      </w:pPr>
    </w:p>
    <w:p w14:paraId="53AB8E1E" w14:textId="4DE96786" w:rsidR="00F64776" w:rsidRDefault="00F64776" w:rsidP="00F64776">
      <w:pPr>
        <w:pStyle w:val="TextoNormal"/>
      </w:pPr>
      <w:r w:rsidRPr="00F64776">
        <w:rPr>
          <w:rStyle w:val="NumeroAFNegritaCaracter"/>
        </w:rPr>
        <w:t>2</w:t>
      </w:r>
      <w:r>
        <w:t>. Por escrito de 1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2F67989C" w14:textId="77777777" w:rsidR="00F64776" w:rsidRDefault="00F64776" w:rsidP="00F64776">
      <w:pPr>
        <w:pStyle w:val="TextoNormal"/>
      </w:pPr>
    </w:p>
    <w:p w14:paraId="64B42FD4" w14:textId="77777777" w:rsidR="00F64776" w:rsidRDefault="00F64776" w:rsidP="00F64776">
      <w:pPr>
        <w:pStyle w:val="TextoNormalNegritaCentrado"/>
        <w:keepNext/>
      </w:pPr>
      <w:r>
        <w:t>II. Fundamentos jurídicos</w:t>
      </w:r>
    </w:p>
    <w:p w14:paraId="736E1D84" w14:textId="626F58F2" w:rsidR="00F64776" w:rsidRDefault="00F64776" w:rsidP="00F64776">
      <w:pPr>
        <w:pStyle w:val="TextoNormalNegritaCentrado"/>
        <w:keepNext/>
      </w:pPr>
    </w:p>
    <w:p w14:paraId="7F625C8B" w14:textId="3FDC7E1F"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79B8391D" w14:textId="77777777" w:rsidR="00F64776" w:rsidRDefault="00F64776" w:rsidP="00F64776">
      <w:pPr>
        <w:pStyle w:val="TextoNormal"/>
      </w:pPr>
    </w:p>
    <w:p w14:paraId="5916C11D" w14:textId="77777777" w:rsidR="00F64776" w:rsidRDefault="00F64776" w:rsidP="00F64776">
      <w:pPr>
        <w:pStyle w:val="TextoNormal"/>
      </w:pPr>
      <w:r>
        <w:t>Por lo expuesto, la Sección</w:t>
      </w:r>
    </w:p>
    <w:p w14:paraId="1B883CB5" w14:textId="548DA599" w:rsidR="00F64776" w:rsidRDefault="00F64776" w:rsidP="00F64776">
      <w:pPr>
        <w:pStyle w:val="TextoNormal"/>
      </w:pPr>
    </w:p>
    <w:p w14:paraId="7A65DCB5" w14:textId="77777777" w:rsidR="00F64776" w:rsidRDefault="00F64776" w:rsidP="00F64776">
      <w:pPr>
        <w:pStyle w:val="TextoNormalCentrado"/>
      </w:pPr>
      <w:r>
        <w:t>ACUERDA</w:t>
      </w:r>
    </w:p>
    <w:p w14:paraId="6475E9AC" w14:textId="1A925224" w:rsidR="00F64776" w:rsidRDefault="00F64776" w:rsidP="00F64776">
      <w:pPr>
        <w:pStyle w:val="TextoNormalCentrado"/>
      </w:pPr>
    </w:p>
    <w:p w14:paraId="6F67C7D8" w14:textId="7B6A97C3" w:rsidR="00F64776" w:rsidRDefault="00F64776" w:rsidP="00F64776">
      <w:pPr>
        <w:pStyle w:val="TextoNormal"/>
      </w:pPr>
      <w:r>
        <w:t>Estimar justificada la abstención formulada por el magistrado señor don César Tolosa Tribiño en el recurso de amparo núm. 5287-2022 y apartarle definitivamente del conocimiento del referido recurso y de todas sus incidencias.</w:t>
      </w:r>
    </w:p>
    <w:p w14:paraId="7B6EE520" w14:textId="77777777" w:rsidR="00F64776" w:rsidRDefault="00F64776" w:rsidP="00F64776">
      <w:pPr>
        <w:pStyle w:val="TextoNormal"/>
      </w:pPr>
    </w:p>
    <w:p w14:paraId="1443A048" w14:textId="77777777" w:rsidR="00F64776" w:rsidRDefault="00F64776" w:rsidP="00F64776">
      <w:pPr>
        <w:pStyle w:val="TextoNormal"/>
      </w:pPr>
      <w:r>
        <w:t>Madrid, a diecisiete de julio de dos mil veintitrés.</w:t>
      </w:r>
    </w:p>
    <w:p w14:paraId="25B07ECF" w14:textId="7EFD9AC5" w:rsidR="00F64776" w:rsidRDefault="00F64776">
      <w:pPr>
        <w:spacing w:after="160" w:line="278" w:lineRule="auto"/>
        <w:rPr>
          <w:rFonts w:ascii="Times New Roman" w:eastAsia="Times New Roman" w:hAnsi="Times New Roman" w:cs="Times New Roman"/>
          <w:sz w:val="24"/>
          <w:szCs w:val="24"/>
          <w:lang w:eastAsia="es-ES"/>
        </w:rPr>
      </w:pPr>
      <w:r>
        <w:br w:type="page"/>
      </w:r>
    </w:p>
    <w:p w14:paraId="54B5270A" w14:textId="77777777" w:rsidR="00F64776" w:rsidRDefault="00F64776" w:rsidP="00F64776">
      <w:pPr>
        <w:pStyle w:val="TtuloResolucin"/>
      </w:pPr>
      <w:bookmarkStart w:id="150" w:name="AUTO_2023_365"/>
      <w:r>
        <w:t>AUTO 365/2023, de 17 de julio de 2023</w:t>
      </w:r>
    </w:p>
    <w:bookmarkEnd w:id="150"/>
    <w:p w14:paraId="37D3DED5" w14:textId="77777777" w:rsidR="00F64776" w:rsidRDefault="00F64776" w:rsidP="00F64776">
      <w:pPr>
        <w:pStyle w:val="TtuloResolucin"/>
      </w:pPr>
      <w:r>
        <w:t>Sección Tercera</w:t>
      </w:r>
    </w:p>
    <w:p w14:paraId="5487988F" w14:textId="77777777" w:rsidR="00F64776" w:rsidRDefault="00F64776" w:rsidP="00F64776">
      <w:pPr>
        <w:pStyle w:val="TextoNormalCentrado"/>
      </w:pPr>
      <w:r>
        <w:t>ECLI:ES:TC:2023:365A</w:t>
      </w:r>
    </w:p>
    <w:p w14:paraId="7E8EBAC6" w14:textId="44A04BC5" w:rsidR="00F64776" w:rsidRDefault="00F64776" w:rsidP="00F64776">
      <w:pPr>
        <w:pStyle w:val="TextoNormalCentrado"/>
      </w:pPr>
    </w:p>
    <w:p w14:paraId="3B0E2E99" w14:textId="77777777" w:rsidR="00F64776" w:rsidRDefault="00F64776" w:rsidP="00F64776">
      <w:pPr>
        <w:pStyle w:val="SntesisDescriptiva"/>
      </w:pPr>
      <w:r>
        <w:t>Excms. Srs. doña Inmaculada Montalbán Huertas y doña Laura Díez Bueso.</w:t>
      </w:r>
    </w:p>
    <w:p w14:paraId="6FC9BAC4" w14:textId="290EE259" w:rsidR="00F64776" w:rsidRDefault="00F64776" w:rsidP="00F64776">
      <w:pPr>
        <w:pStyle w:val="SntesisDescriptiva"/>
      </w:pPr>
    </w:p>
    <w:p w14:paraId="3783CDB4" w14:textId="77777777" w:rsidR="00F64776" w:rsidRDefault="00F64776" w:rsidP="00F64776">
      <w:pPr>
        <w:pStyle w:val="SntesisDescriptiva"/>
      </w:pPr>
      <w:r>
        <w:t>Acepta una abstención en el recurso de amparo 5356-2022, promovido en proceso contencioso-administrativo.</w:t>
      </w:r>
    </w:p>
    <w:p w14:paraId="0B20F8D5" w14:textId="0AF6C22C" w:rsidR="00F64776" w:rsidRDefault="00F64776" w:rsidP="00F64776">
      <w:pPr>
        <w:pStyle w:val="SntesisDescriptiva"/>
      </w:pPr>
    </w:p>
    <w:p w14:paraId="385E347F" w14:textId="77777777" w:rsidR="00F64776" w:rsidRDefault="00F64776" w:rsidP="00F64776">
      <w:pPr>
        <w:pStyle w:val="SntesisDescriptiva"/>
      </w:pPr>
    </w:p>
    <w:p w14:paraId="4A37889F" w14:textId="77777777" w:rsidR="00F64776" w:rsidRDefault="00F64776" w:rsidP="00F64776">
      <w:pPr>
        <w:pStyle w:val="SntesisDescriptiva"/>
      </w:pPr>
    </w:p>
    <w:p w14:paraId="264168DC" w14:textId="77777777" w:rsidR="00F64776" w:rsidRDefault="00F64776" w:rsidP="00F64776">
      <w:pPr>
        <w:pStyle w:val="TextoNormalNegritaCentrado"/>
      </w:pPr>
      <w:r>
        <w:t>AUTO</w:t>
      </w:r>
    </w:p>
    <w:p w14:paraId="6E764165" w14:textId="49B7ABAA" w:rsidR="00F64776" w:rsidRDefault="00F64776" w:rsidP="00F64776">
      <w:pPr>
        <w:pStyle w:val="TextoNormalNegritaCentrado"/>
      </w:pPr>
    </w:p>
    <w:p w14:paraId="0A46F51C" w14:textId="77777777" w:rsidR="00F64776" w:rsidRDefault="00F64776" w:rsidP="00F64776">
      <w:pPr>
        <w:pStyle w:val="TextoNormalNegritaCentrado"/>
        <w:keepNext/>
      </w:pPr>
      <w:r>
        <w:t>I. Antecedentes</w:t>
      </w:r>
    </w:p>
    <w:p w14:paraId="4AD10EA3" w14:textId="512B6ED0" w:rsidR="00F64776" w:rsidRDefault="00F64776" w:rsidP="00F64776">
      <w:pPr>
        <w:pStyle w:val="TextoNormalNegritaCentrado"/>
        <w:keepNext/>
      </w:pPr>
    </w:p>
    <w:p w14:paraId="2F0753CB" w14:textId="18F94235" w:rsidR="00F64776" w:rsidRDefault="00F64776" w:rsidP="00F64776">
      <w:pPr>
        <w:pStyle w:val="TextoNormal"/>
      </w:pPr>
      <w:r w:rsidRPr="00F64776">
        <w:rPr>
          <w:rStyle w:val="NumeroAFNegritaCaracter"/>
        </w:rPr>
        <w:t>1</w:t>
      </w:r>
      <w:r>
        <w:t>. Mediante escrito registrado en este tribunal el 20 de julio de 2022 el procurador de los tribunales don José María Ruiz de la Cuesta Vacas, en nombre y representación de don José Antonio Flores Naranjo y bajo la dirección del letrado don Francisco Javier Araúz de Robles Dávila, interpuso demanda de amparo contra providencia de fecha 6 de junio de 2022, dictada por la Sección Primera de la Sala de lo Contencioso-Administrativo del Tribunal Supremo en recurso de casación núm. 5759-2021 contra sentencia de la Sala de lo Contencioso-Administrativo del Tribunal Superior de Justicia de Extremadura en procedimiento ordinario núm. 515-2020.</w:t>
      </w:r>
    </w:p>
    <w:p w14:paraId="643AFD67" w14:textId="77777777" w:rsidR="00F64776" w:rsidRDefault="00F64776" w:rsidP="00F64776">
      <w:pPr>
        <w:pStyle w:val="TextoNormal"/>
      </w:pPr>
    </w:p>
    <w:p w14:paraId="2AAE6FBE" w14:textId="35FA4FD5" w:rsidR="00F64776" w:rsidRDefault="00F64776" w:rsidP="00F64776">
      <w:pPr>
        <w:pStyle w:val="TextoNormal"/>
      </w:pPr>
      <w:r w:rsidRPr="00F64776">
        <w:rPr>
          <w:rStyle w:val="NumeroAFNegritaCaracter"/>
        </w:rPr>
        <w:t>2</w:t>
      </w:r>
      <w:r>
        <w:t>. Por escrito de 29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3AA92510" w14:textId="77777777" w:rsidR="00F64776" w:rsidRDefault="00F64776" w:rsidP="00F64776">
      <w:pPr>
        <w:pStyle w:val="TextoNormal"/>
      </w:pPr>
    </w:p>
    <w:p w14:paraId="02D804D7" w14:textId="77777777" w:rsidR="00F64776" w:rsidRDefault="00F64776" w:rsidP="00F64776">
      <w:pPr>
        <w:pStyle w:val="TextoNormalNegritaCentrado"/>
        <w:keepNext/>
      </w:pPr>
      <w:r>
        <w:t>II. Fundamentos jurídicos</w:t>
      </w:r>
    </w:p>
    <w:p w14:paraId="3D0C09A2" w14:textId="11DA6817" w:rsidR="00F64776" w:rsidRDefault="00F64776" w:rsidP="00F64776">
      <w:pPr>
        <w:pStyle w:val="TextoNormalNegritaCentrado"/>
        <w:keepNext/>
      </w:pPr>
    </w:p>
    <w:p w14:paraId="66C2EB2B" w14:textId="3E35EFB7"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6C99DF97" w14:textId="77777777" w:rsidR="00F64776" w:rsidRDefault="00F64776" w:rsidP="00F64776">
      <w:pPr>
        <w:pStyle w:val="TextoNormal"/>
      </w:pPr>
    </w:p>
    <w:p w14:paraId="2CBD0A04" w14:textId="77777777" w:rsidR="00F64776" w:rsidRDefault="00F64776" w:rsidP="00F64776">
      <w:pPr>
        <w:pStyle w:val="TextoNormal"/>
      </w:pPr>
      <w:r>
        <w:t>Por lo expuesto, la Sección</w:t>
      </w:r>
    </w:p>
    <w:p w14:paraId="7DCD2279" w14:textId="41B08A79" w:rsidR="00F64776" w:rsidRDefault="00F64776" w:rsidP="00F64776">
      <w:pPr>
        <w:pStyle w:val="TextoNormal"/>
      </w:pPr>
    </w:p>
    <w:p w14:paraId="5362D898" w14:textId="77777777" w:rsidR="00F64776" w:rsidRDefault="00F64776" w:rsidP="00F64776">
      <w:pPr>
        <w:pStyle w:val="TextoNormalCentrado"/>
      </w:pPr>
      <w:r>
        <w:t>ACUERDA</w:t>
      </w:r>
    </w:p>
    <w:p w14:paraId="275B7CB4" w14:textId="7BCBC573" w:rsidR="00F64776" w:rsidRDefault="00F64776" w:rsidP="00F64776">
      <w:pPr>
        <w:pStyle w:val="TextoNormalCentrado"/>
      </w:pPr>
    </w:p>
    <w:p w14:paraId="2351AB38" w14:textId="0F223E9E" w:rsidR="00F64776" w:rsidRDefault="00F64776" w:rsidP="00F64776">
      <w:pPr>
        <w:pStyle w:val="TextoNormal"/>
      </w:pPr>
      <w:r>
        <w:t>Estimar justificada la abstención formulada por el magistrado señor don César Tolosa Tribiño en el recurso de amparo núm. 5356-2022 y apartarle definitivamente del conocimiento del referido recurso y de todas sus incidencias.</w:t>
      </w:r>
    </w:p>
    <w:p w14:paraId="4773A663" w14:textId="77777777" w:rsidR="00F64776" w:rsidRDefault="00F64776" w:rsidP="00F64776">
      <w:pPr>
        <w:pStyle w:val="TextoNormal"/>
      </w:pPr>
    </w:p>
    <w:p w14:paraId="463D12D1" w14:textId="77777777" w:rsidR="00F64776" w:rsidRDefault="00F64776" w:rsidP="00F64776">
      <w:pPr>
        <w:pStyle w:val="TextoNormal"/>
      </w:pPr>
      <w:r>
        <w:t>Madrid, a diecisiete de julio de dos mil veintitrés.</w:t>
      </w:r>
    </w:p>
    <w:p w14:paraId="3392A957" w14:textId="1C77448D" w:rsidR="00F64776" w:rsidRDefault="00F64776">
      <w:pPr>
        <w:spacing w:after="160" w:line="278" w:lineRule="auto"/>
        <w:rPr>
          <w:rFonts w:ascii="Times New Roman" w:eastAsia="Times New Roman" w:hAnsi="Times New Roman" w:cs="Times New Roman"/>
          <w:sz w:val="24"/>
          <w:szCs w:val="24"/>
          <w:lang w:eastAsia="es-ES"/>
        </w:rPr>
      </w:pPr>
      <w:r>
        <w:br w:type="page"/>
      </w:r>
    </w:p>
    <w:p w14:paraId="77906B48" w14:textId="77777777" w:rsidR="00F64776" w:rsidRDefault="00F64776" w:rsidP="00F64776">
      <w:pPr>
        <w:pStyle w:val="TtuloResolucin"/>
      </w:pPr>
      <w:bookmarkStart w:id="151" w:name="AUTO_2023_366"/>
      <w:r>
        <w:t>AUTO 366/2023, de 17 de julio de 2023</w:t>
      </w:r>
    </w:p>
    <w:bookmarkEnd w:id="151"/>
    <w:p w14:paraId="292E7685" w14:textId="77777777" w:rsidR="00F64776" w:rsidRDefault="00F64776" w:rsidP="00F64776">
      <w:pPr>
        <w:pStyle w:val="TtuloResolucin"/>
      </w:pPr>
      <w:r>
        <w:t>Sección Tercera</w:t>
      </w:r>
    </w:p>
    <w:p w14:paraId="344F2077" w14:textId="77777777" w:rsidR="00F64776" w:rsidRDefault="00F64776" w:rsidP="00F64776">
      <w:pPr>
        <w:pStyle w:val="TextoNormalCentrado"/>
      </w:pPr>
      <w:r>
        <w:t>ECLI:ES:TC:2023:366A</w:t>
      </w:r>
    </w:p>
    <w:p w14:paraId="7D0E0330" w14:textId="1D9D3D8E" w:rsidR="00F64776" w:rsidRDefault="00F64776" w:rsidP="00F64776">
      <w:pPr>
        <w:pStyle w:val="TextoNormalCentrado"/>
      </w:pPr>
    </w:p>
    <w:p w14:paraId="7D46868A" w14:textId="77777777" w:rsidR="00F64776" w:rsidRDefault="00F64776" w:rsidP="00F64776">
      <w:pPr>
        <w:pStyle w:val="SntesisDescriptiva"/>
      </w:pPr>
      <w:r>
        <w:t>Excms. Srs. doña Inmaculada Montalbán Huertas y doña Laura Díez Bueso.</w:t>
      </w:r>
    </w:p>
    <w:p w14:paraId="784ACE0C" w14:textId="68CF8C4E" w:rsidR="00F64776" w:rsidRDefault="00F64776" w:rsidP="00F64776">
      <w:pPr>
        <w:pStyle w:val="SntesisDescriptiva"/>
      </w:pPr>
    </w:p>
    <w:p w14:paraId="4C5E841A" w14:textId="77777777" w:rsidR="00F64776" w:rsidRDefault="00F64776" w:rsidP="00F64776">
      <w:pPr>
        <w:pStyle w:val="SntesisDescriptiva"/>
      </w:pPr>
      <w:r>
        <w:t>Acepta una abstención en el recurso de amparo 5358-2022, promovido en proceso contencioso-administrativo.</w:t>
      </w:r>
    </w:p>
    <w:p w14:paraId="5A02179F" w14:textId="1D5120A8" w:rsidR="00F64776" w:rsidRDefault="00F64776" w:rsidP="00F64776">
      <w:pPr>
        <w:pStyle w:val="SntesisDescriptiva"/>
      </w:pPr>
    </w:p>
    <w:p w14:paraId="291947B3" w14:textId="77777777" w:rsidR="00F64776" w:rsidRDefault="00F64776" w:rsidP="00F64776">
      <w:pPr>
        <w:pStyle w:val="SntesisDescriptiva"/>
      </w:pPr>
    </w:p>
    <w:p w14:paraId="3E97E88B" w14:textId="77777777" w:rsidR="00F64776" w:rsidRDefault="00F64776" w:rsidP="00F64776">
      <w:pPr>
        <w:pStyle w:val="SntesisDescriptiva"/>
      </w:pPr>
    </w:p>
    <w:p w14:paraId="7834F652" w14:textId="77777777" w:rsidR="00F64776" w:rsidRDefault="00F64776" w:rsidP="00F64776">
      <w:pPr>
        <w:pStyle w:val="TextoNormalNegritaCentrado"/>
      </w:pPr>
      <w:r>
        <w:t>AUTO</w:t>
      </w:r>
    </w:p>
    <w:p w14:paraId="2E845C7B" w14:textId="26DC9B0D" w:rsidR="00F64776" w:rsidRDefault="00F64776" w:rsidP="00F64776">
      <w:pPr>
        <w:pStyle w:val="TextoNormalNegritaCentrado"/>
      </w:pPr>
    </w:p>
    <w:p w14:paraId="348F8410" w14:textId="77777777" w:rsidR="00F64776" w:rsidRDefault="00F64776" w:rsidP="00F64776">
      <w:pPr>
        <w:pStyle w:val="TextoNormalNegritaCentrado"/>
        <w:keepNext/>
      </w:pPr>
      <w:r>
        <w:t>I. Antecedentes</w:t>
      </w:r>
    </w:p>
    <w:p w14:paraId="6BCB0AC2" w14:textId="6768A504" w:rsidR="00F64776" w:rsidRDefault="00F64776" w:rsidP="00F64776">
      <w:pPr>
        <w:pStyle w:val="TextoNormalNegritaCentrado"/>
        <w:keepNext/>
      </w:pPr>
    </w:p>
    <w:p w14:paraId="6C041CD8" w14:textId="70BB4E67" w:rsidR="00F64776" w:rsidRDefault="00F64776" w:rsidP="00F64776">
      <w:pPr>
        <w:pStyle w:val="TextoNormal"/>
      </w:pPr>
      <w:r w:rsidRPr="00F64776">
        <w:rPr>
          <w:rStyle w:val="NumeroAFNegritaCaracter"/>
        </w:rPr>
        <w:t>1</w:t>
      </w:r>
      <w:r>
        <w:t>. Mediante escrito registrado en este tribunal el 20 de julio de 2022 el procurador de los tribunales don José María Ruiz de la Cuesta Vacas, en nombre y representación de doña Elena Picapiedra Solana y bajo la dirección del letrado don Francisco Javier Araúz de Robles Dávila, interpuso demanda de amparo contra la providencia 8 de junio de 2022 de la Sección Primera de la Sala de lo Contencioso-Administrativo del Tribunal Supremo en recurso de casación núm. 4032-2021.</w:t>
      </w:r>
    </w:p>
    <w:p w14:paraId="2A31BB2A" w14:textId="77777777" w:rsidR="00F64776" w:rsidRDefault="00F64776" w:rsidP="00F64776">
      <w:pPr>
        <w:pStyle w:val="TextoNormal"/>
      </w:pPr>
    </w:p>
    <w:p w14:paraId="25D4724C" w14:textId="25A41BF1" w:rsidR="00F64776" w:rsidRDefault="00F64776" w:rsidP="00F64776">
      <w:pPr>
        <w:pStyle w:val="TextoNormal"/>
      </w:pPr>
      <w:r w:rsidRPr="00F64776">
        <w:rPr>
          <w:rStyle w:val="NumeroAFNegritaCaracter"/>
        </w:rPr>
        <w:t>2</w:t>
      </w:r>
      <w:r>
        <w:t>. Por escrito de 29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1AB3E360" w14:textId="77777777" w:rsidR="00F64776" w:rsidRDefault="00F64776" w:rsidP="00F64776">
      <w:pPr>
        <w:pStyle w:val="TextoNormal"/>
      </w:pPr>
    </w:p>
    <w:p w14:paraId="748840EA" w14:textId="77777777" w:rsidR="00F64776" w:rsidRDefault="00F64776" w:rsidP="00F64776">
      <w:pPr>
        <w:pStyle w:val="TextoNormalNegritaCentrado"/>
        <w:keepNext/>
      </w:pPr>
      <w:r>
        <w:t>II. Fundamentos jurídicos</w:t>
      </w:r>
    </w:p>
    <w:p w14:paraId="1CAD6000" w14:textId="42488E4F" w:rsidR="00F64776" w:rsidRDefault="00F64776" w:rsidP="00F64776">
      <w:pPr>
        <w:pStyle w:val="TextoNormalNegritaCentrado"/>
        <w:keepNext/>
      </w:pPr>
    </w:p>
    <w:p w14:paraId="1B5EBCBB" w14:textId="383D6B4A"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545CAD45" w14:textId="77777777" w:rsidR="00F64776" w:rsidRDefault="00F64776" w:rsidP="00F64776">
      <w:pPr>
        <w:pStyle w:val="TextoNormal"/>
      </w:pPr>
    </w:p>
    <w:p w14:paraId="72721C68" w14:textId="77777777" w:rsidR="00F64776" w:rsidRDefault="00F64776" w:rsidP="00F64776">
      <w:pPr>
        <w:pStyle w:val="TextoNormal"/>
      </w:pPr>
      <w:r>
        <w:t>Por lo expuesto, la Sección</w:t>
      </w:r>
    </w:p>
    <w:p w14:paraId="1DE88A16" w14:textId="7D0636D2" w:rsidR="00F64776" w:rsidRDefault="00F64776" w:rsidP="00F64776">
      <w:pPr>
        <w:pStyle w:val="TextoNormal"/>
      </w:pPr>
    </w:p>
    <w:p w14:paraId="358843EF" w14:textId="77777777" w:rsidR="00F64776" w:rsidRDefault="00F64776" w:rsidP="00F64776">
      <w:pPr>
        <w:pStyle w:val="TextoNormalCentrado"/>
      </w:pPr>
      <w:r>
        <w:t>ACUERDA</w:t>
      </w:r>
    </w:p>
    <w:p w14:paraId="55C6DE03" w14:textId="493FF434" w:rsidR="00F64776" w:rsidRDefault="00F64776" w:rsidP="00F64776">
      <w:pPr>
        <w:pStyle w:val="TextoNormalCentrado"/>
      </w:pPr>
    </w:p>
    <w:p w14:paraId="7E8514BF" w14:textId="5279E41D" w:rsidR="00F64776" w:rsidRDefault="00F64776" w:rsidP="00F64776">
      <w:pPr>
        <w:pStyle w:val="TextoNormal"/>
      </w:pPr>
      <w:r>
        <w:t>Estimar justificada la abstención formulada por el magistrado señor don César Tolosa Tribiño en el recurso de amparo núm. 5358-2022 y apartarle definitivamente del conocimiento del referido recurso y de todas sus incidencias.</w:t>
      </w:r>
    </w:p>
    <w:p w14:paraId="592A5E68" w14:textId="77777777" w:rsidR="00F64776" w:rsidRDefault="00F64776" w:rsidP="00F64776">
      <w:pPr>
        <w:pStyle w:val="TextoNormal"/>
      </w:pPr>
    </w:p>
    <w:p w14:paraId="4275B8E3" w14:textId="77777777" w:rsidR="00F64776" w:rsidRDefault="00F64776" w:rsidP="00F64776">
      <w:pPr>
        <w:pStyle w:val="TextoNormal"/>
      </w:pPr>
      <w:r>
        <w:t>Madrid, a diecisiete de julio de dos mil veintitrés.</w:t>
      </w:r>
    </w:p>
    <w:p w14:paraId="4DE2F0D2" w14:textId="163D8055" w:rsidR="00F64776" w:rsidRDefault="00F64776">
      <w:pPr>
        <w:spacing w:after="160" w:line="278" w:lineRule="auto"/>
        <w:rPr>
          <w:rFonts w:ascii="Times New Roman" w:eastAsia="Times New Roman" w:hAnsi="Times New Roman" w:cs="Times New Roman"/>
          <w:sz w:val="24"/>
          <w:szCs w:val="24"/>
          <w:lang w:eastAsia="es-ES"/>
        </w:rPr>
      </w:pPr>
      <w:r>
        <w:br w:type="page"/>
      </w:r>
    </w:p>
    <w:p w14:paraId="51160961" w14:textId="77777777" w:rsidR="00F64776" w:rsidRDefault="00F64776" w:rsidP="00F64776">
      <w:pPr>
        <w:pStyle w:val="TtuloResolucin"/>
      </w:pPr>
      <w:bookmarkStart w:id="152" w:name="AUTO_2023_367"/>
      <w:r>
        <w:t>AUTO 367/2023, de 17 de julio de 2023</w:t>
      </w:r>
    </w:p>
    <w:bookmarkEnd w:id="152"/>
    <w:p w14:paraId="782BD2F5" w14:textId="77777777" w:rsidR="00F64776" w:rsidRDefault="00F64776" w:rsidP="00F64776">
      <w:pPr>
        <w:pStyle w:val="TtuloResolucin"/>
      </w:pPr>
      <w:r>
        <w:t>Sección Tercera</w:t>
      </w:r>
    </w:p>
    <w:p w14:paraId="4957CF65" w14:textId="77777777" w:rsidR="00F64776" w:rsidRDefault="00F64776" w:rsidP="00F64776">
      <w:pPr>
        <w:pStyle w:val="TextoNormalCentrado"/>
      </w:pPr>
      <w:r>
        <w:t>ECLI:ES:TC:2023:367A</w:t>
      </w:r>
    </w:p>
    <w:p w14:paraId="3BFA4B74" w14:textId="0C2D8519" w:rsidR="00F64776" w:rsidRDefault="00F64776" w:rsidP="00F64776">
      <w:pPr>
        <w:pStyle w:val="TextoNormalCentrado"/>
      </w:pPr>
    </w:p>
    <w:p w14:paraId="04EFBD66" w14:textId="77777777" w:rsidR="00F64776" w:rsidRDefault="00F64776" w:rsidP="00F64776">
      <w:pPr>
        <w:pStyle w:val="SntesisDescriptiva"/>
      </w:pPr>
      <w:r>
        <w:t>Excms. Srs. doña Inmaculada Montalbán Huertas y doña Laura Díez Bueso.</w:t>
      </w:r>
    </w:p>
    <w:p w14:paraId="094E6BE6" w14:textId="208E0F5A" w:rsidR="00F64776" w:rsidRDefault="00F64776" w:rsidP="00F64776">
      <w:pPr>
        <w:pStyle w:val="SntesisDescriptiva"/>
      </w:pPr>
    </w:p>
    <w:p w14:paraId="699B27B2" w14:textId="77777777" w:rsidR="00F64776" w:rsidRDefault="00F64776" w:rsidP="00F64776">
      <w:pPr>
        <w:pStyle w:val="SntesisDescriptiva"/>
      </w:pPr>
      <w:r>
        <w:t>Acepta una abstención en el recurso de amparo 5588-2022, promovido en proceso contencioso-administrativo.</w:t>
      </w:r>
    </w:p>
    <w:p w14:paraId="3E088CB7" w14:textId="690B17C1" w:rsidR="00F64776" w:rsidRDefault="00F64776" w:rsidP="00F64776">
      <w:pPr>
        <w:pStyle w:val="SntesisDescriptiva"/>
      </w:pPr>
    </w:p>
    <w:p w14:paraId="66C2CA9C" w14:textId="77777777" w:rsidR="00F64776" w:rsidRDefault="00F64776" w:rsidP="00F64776">
      <w:pPr>
        <w:pStyle w:val="SntesisDescriptiva"/>
      </w:pPr>
    </w:p>
    <w:p w14:paraId="0F482780" w14:textId="77777777" w:rsidR="00F64776" w:rsidRDefault="00F64776" w:rsidP="00F64776">
      <w:pPr>
        <w:pStyle w:val="SntesisDescriptiva"/>
      </w:pPr>
    </w:p>
    <w:p w14:paraId="0208D321" w14:textId="77777777" w:rsidR="00F64776" w:rsidRDefault="00F64776" w:rsidP="00F64776">
      <w:pPr>
        <w:pStyle w:val="TextoNormalNegritaCentrado"/>
      </w:pPr>
      <w:r>
        <w:t>AUTO</w:t>
      </w:r>
    </w:p>
    <w:p w14:paraId="4686AE87" w14:textId="37E25CA4" w:rsidR="00F64776" w:rsidRDefault="00F64776" w:rsidP="00F64776">
      <w:pPr>
        <w:pStyle w:val="TextoNormalNegritaCentrado"/>
      </w:pPr>
    </w:p>
    <w:p w14:paraId="59A914B6" w14:textId="77777777" w:rsidR="00F64776" w:rsidRDefault="00F64776" w:rsidP="00F64776">
      <w:pPr>
        <w:pStyle w:val="TextoNormalNegritaCentrado"/>
        <w:keepNext/>
      </w:pPr>
      <w:r>
        <w:t>I. Antecedentes</w:t>
      </w:r>
    </w:p>
    <w:p w14:paraId="1A93A95B" w14:textId="2DD4D982" w:rsidR="00F64776" w:rsidRDefault="00F64776" w:rsidP="00F64776">
      <w:pPr>
        <w:pStyle w:val="TextoNormalNegritaCentrado"/>
        <w:keepNext/>
      </w:pPr>
    </w:p>
    <w:p w14:paraId="64ECB969" w14:textId="404107E3" w:rsidR="00F64776" w:rsidRDefault="00F64776" w:rsidP="00F64776">
      <w:pPr>
        <w:pStyle w:val="TextoNormal"/>
      </w:pPr>
      <w:r w:rsidRPr="00F64776">
        <w:rPr>
          <w:rStyle w:val="NumeroAFNegritaCaracter"/>
        </w:rPr>
        <w:t>1</w:t>
      </w:r>
      <w:r>
        <w:t>. Mediante escrito registrado en este tribunal el 28 de julio de 2022 la procuradora de los tribunales doña Ana María Araúz de Robles Villalón, en nombre y representación de doña Lydia González López y otros y bajo la dirección del letrado don Francisco Javier Araúz de Robles Dávila, interpuso demanda de amparo contra providencia de 16 de junio de 2022 de la Sección Primera de la Sala de lo Contencioso-Administrativo del Tribunal supremo en recurso de casación núm. 8207-2021.</w:t>
      </w:r>
    </w:p>
    <w:p w14:paraId="1C69BCBD" w14:textId="77777777" w:rsidR="00F64776" w:rsidRDefault="00F64776" w:rsidP="00F64776">
      <w:pPr>
        <w:pStyle w:val="TextoNormal"/>
      </w:pPr>
    </w:p>
    <w:p w14:paraId="32E1980F" w14:textId="15F2D1F0" w:rsidR="00F64776" w:rsidRDefault="00F64776" w:rsidP="00F64776">
      <w:pPr>
        <w:pStyle w:val="TextoNormal"/>
      </w:pPr>
      <w:r w:rsidRPr="00F64776">
        <w:rPr>
          <w:rStyle w:val="NumeroAFNegritaCaracter"/>
        </w:rPr>
        <w:t>2</w:t>
      </w:r>
      <w:r>
        <w:t>. Por escrito de 29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23E667BA" w14:textId="77777777" w:rsidR="00F64776" w:rsidRDefault="00F64776" w:rsidP="00F64776">
      <w:pPr>
        <w:pStyle w:val="TextoNormal"/>
      </w:pPr>
    </w:p>
    <w:p w14:paraId="1FD29853" w14:textId="77777777" w:rsidR="00F64776" w:rsidRDefault="00F64776" w:rsidP="00F64776">
      <w:pPr>
        <w:pStyle w:val="TextoNormalNegritaCentrado"/>
        <w:keepNext/>
      </w:pPr>
      <w:r>
        <w:t>II. Fundamentos jurídicos</w:t>
      </w:r>
    </w:p>
    <w:p w14:paraId="21EBDFE5" w14:textId="70F91CCB" w:rsidR="00F64776" w:rsidRDefault="00F64776" w:rsidP="00F64776">
      <w:pPr>
        <w:pStyle w:val="TextoNormalNegritaCentrado"/>
        <w:keepNext/>
      </w:pPr>
    </w:p>
    <w:p w14:paraId="376F15AC" w14:textId="6618B027"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6CC95F0C" w14:textId="77777777" w:rsidR="00F64776" w:rsidRDefault="00F64776" w:rsidP="00F64776">
      <w:pPr>
        <w:pStyle w:val="TextoNormal"/>
      </w:pPr>
    </w:p>
    <w:p w14:paraId="7BBB0C68" w14:textId="77777777" w:rsidR="00F64776" w:rsidRDefault="00F64776" w:rsidP="00F64776">
      <w:pPr>
        <w:pStyle w:val="TextoNormal"/>
      </w:pPr>
      <w:r>
        <w:t>Por lo expuesto, la Sección</w:t>
      </w:r>
    </w:p>
    <w:p w14:paraId="17A75D76" w14:textId="0AB92487" w:rsidR="00F64776" w:rsidRDefault="00F64776" w:rsidP="00F64776">
      <w:pPr>
        <w:pStyle w:val="TextoNormal"/>
      </w:pPr>
    </w:p>
    <w:p w14:paraId="02301A5D" w14:textId="77777777" w:rsidR="00F64776" w:rsidRDefault="00F64776" w:rsidP="00F64776">
      <w:pPr>
        <w:pStyle w:val="TextoNormalCentrado"/>
      </w:pPr>
      <w:r>
        <w:t>ACUERDA</w:t>
      </w:r>
    </w:p>
    <w:p w14:paraId="34A0C0C5" w14:textId="16101631" w:rsidR="00F64776" w:rsidRDefault="00F64776" w:rsidP="00F64776">
      <w:pPr>
        <w:pStyle w:val="TextoNormalCentrado"/>
      </w:pPr>
    </w:p>
    <w:p w14:paraId="1C595F1C" w14:textId="2BA2759D" w:rsidR="00F64776" w:rsidRDefault="00F64776" w:rsidP="00F64776">
      <w:pPr>
        <w:pStyle w:val="TextoNormal"/>
      </w:pPr>
      <w:r>
        <w:t>Estimar justificada la abstención formulada por el magistrado señor don César Tolosa Tribiño en el recurso de amparo núm. 5588-2022 y apartarle definitivamente del conocimiento del referido recurso y de todas sus incidencias.</w:t>
      </w:r>
    </w:p>
    <w:p w14:paraId="570AD44B" w14:textId="77777777" w:rsidR="00F64776" w:rsidRDefault="00F64776" w:rsidP="00F64776">
      <w:pPr>
        <w:pStyle w:val="TextoNormal"/>
      </w:pPr>
    </w:p>
    <w:p w14:paraId="36F9FB2E" w14:textId="77777777" w:rsidR="00F64776" w:rsidRDefault="00F64776" w:rsidP="00F64776">
      <w:pPr>
        <w:pStyle w:val="TextoNormal"/>
      </w:pPr>
      <w:r>
        <w:t>Madrid, a diecisiete de julio de dos mil veintitrés.</w:t>
      </w:r>
    </w:p>
    <w:p w14:paraId="59F7EFD9" w14:textId="17B92BFB" w:rsidR="00F64776" w:rsidRDefault="00F64776">
      <w:pPr>
        <w:spacing w:after="160" w:line="278" w:lineRule="auto"/>
        <w:rPr>
          <w:rFonts w:ascii="Times New Roman" w:eastAsia="Times New Roman" w:hAnsi="Times New Roman" w:cs="Times New Roman"/>
          <w:sz w:val="24"/>
          <w:szCs w:val="24"/>
          <w:lang w:eastAsia="es-ES"/>
        </w:rPr>
      </w:pPr>
      <w:r>
        <w:br w:type="page"/>
      </w:r>
    </w:p>
    <w:p w14:paraId="01B5C48E" w14:textId="77777777" w:rsidR="00F64776" w:rsidRDefault="00F64776" w:rsidP="00F64776">
      <w:pPr>
        <w:pStyle w:val="TtuloResolucin"/>
      </w:pPr>
      <w:bookmarkStart w:id="153" w:name="AUTO_2023_368"/>
      <w:r>
        <w:t>AUTO 368/2023, de 17 de julio de 2023</w:t>
      </w:r>
    </w:p>
    <w:bookmarkEnd w:id="153"/>
    <w:p w14:paraId="0F4076A9" w14:textId="77777777" w:rsidR="00F64776" w:rsidRDefault="00F64776" w:rsidP="00F64776">
      <w:pPr>
        <w:pStyle w:val="TtuloResolucin"/>
      </w:pPr>
      <w:r>
        <w:t>Sección Tercera</w:t>
      </w:r>
    </w:p>
    <w:p w14:paraId="6B471D5F" w14:textId="77777777" w:rsidR="00F64776" w:rsidRDefault="00F64776" w:rsidP="00F64776">
      <w:pPr>
        <w:pStyle w:val="TextoNormalCentrado"/>
      </w:pPr>
      <w:r>
        <w:t>ECLI:ES:TC:2023:368A</w:t>
      </w:r>
    </w:p>
    <w:p w14:paraId="37B12FC7" w14:textId="2382C833" w:rsidR="00F64776" w:rsidRDefault="00F64776" w:rsidP="00F64776">
      <w:pPr>
        <w:pStyle w:val="TextoNormalCentrado"/>
      </w:pPr>
    </w:p>
    <w:p w14:paraId="274FD204" w14:textId="77777777" w:rsidR="00F64776" w:rsidRDefault="00F64776" w:rsidP="00F64776">
      <w:pPr>
        <w:pStyle w:val="SntesisDescriptiva"/>
      </w:pPr>
      <w:r>
        <w:t>Excms. Srs. doña Inmaculada Montalbán Huertas y doña Laura Díez Bueso.</w:t>
      </w:r>
    </w:p>
    <w:p w14:paraId="61C252F1" w14:textId="76F4C5A9" w:rsidR="00F64776" w:rsidRDefault="00F64776" w:rsidP="00F64776">
      <w:pPr>
        <w:pStyle w:val="SntesisDescriptiva"/>
      </w:pPr>
    </w:p>
    <w:p w14:paraId="2825C7CA" w14:textId="77777777" w:rsidR="00F64776" w:rsidRDefault="00F64776" w:rsidP="00F64776">
      <w:pPr>
        <w:pStyle w:val="SntesisDescriptiva"/>
      </w:pPr>
      <w:r>
        <w:t>Acepta una abstención en el recurso de amparo 5634-2022, promovido en proceso contencioso-administrativo.</w:t>
      </w:r>
    </w:p>
    <w:p w14:paraId="2CA32B4D" w14:textId="0AC0F939" w:rsidR="00F64776" w:rsidRDefault="00F64776" w:rsidP="00F64776">
      <w:pPr>
        <w:pStyle w:val="SntesisDescriptiva"/>
      </w:pPr>
    </w:p>
    <w:p w14:paraId="416CAFB5" w14:textId="77777777" w:rsidR="00F64776" w:rsidRDefault="00F64776" w:rsidP="00F64776">
      <w:pPr>
        <w:pStyle w:val="SntesisDescriptiva"/>
      </w:pPr>
    </w:p>
    <w:p w14:paraId="165ADB8C" w14:textId="77777777" w:rsidR="00F64776" w:rsidRDefault="00F64776" w:rsidP="00F64776">
      <w:pPr>
        <w:pStyle w:val="SntesisDescriptiva"/>
      </w:pPr>
    </w:p>
    <w:p w14:paraId="4A97D1A0" w14:textId="77777777" w:rsidR="00F64776" w:rsidRDefault="00F64776" w:rsidP="00F64776">
      <w:pPr>
        <w:pStyle w:val="TextoNormalNegritaCentrado"/>
      </w:pPr>
      <w:r>
        <w:t>AUTO</w:t>
      </w:r>
    </w:p>
    <w:p w14:paraId="444905D1" w14:textId="40710349" w:rsidR="00F64776" w:rsidRDefault="00F64776" w:rsidP="00F64776">
      <w:pPr>
        <w:pStyle w:val="TextoNormalNegritaCentrado"/>
      </w:pPr>
    </w:p>
    <w:p w14:paraId="4CFBA217" w14:textId="77777777" w:rsidR="00F64776" w:rsidRDefault="00F64776" w:rsidP="00F64776">
      <w:pPr>
        <w:pStyle w:val="TextoNormalNegritaCentrado"/>
        <w:keepNext/>
      </w:pPr>
      <w:r>
        <w:t>I. Antecedentes</w:t>
      </w:r>
    </w:p>
    <w:p w14:paraId="2B8EA352" w14:textId="1A1C5BD4" w:rsidR="00F64776" w:rsidRDefault="00F64776" w:rsidP="00F64776">
      <w:pPr>
        <w:pStyle w:val="TextoNormalNegritaCentrado"/>
        <w:keepNext/>
      </w:pPr>
    </w:p>
    <w:p w14:paraId="5CFC46A2" w14:textId="76FC8FBC" w:rsidR="00F64776" w:rsidRDefault="00F64776" w:rsidP="00F64776">
      <w:pPr>
        <w:pStyle w:val="TextoNormal"/>
      </w:pPr>
      <w:r w:rsidRPr="00F64776">
        <w:rPr>
          <w:rStyle w:val="NumeroAFNegritaCaracter"/>
        </w:rPr>
        <w:t>1</w:t>
      </w:r>
      <w:r>
        <w:t>. Mediante escrito registrado en este tribunal el 29 de julio de 2022 la procuradora de los tribunales doña Ana María Araúz de Robles Villalón, en nombre y representación de doña Elisabeth Luengo Román y otras y bajo la dirección del letrado don Francisco Javier Araúz de Robles Dávila, interpuso demanda de amparo contra providencia de fecha 16 de junio de 2022 dictada por la Sección Primera de la Sala de lo Contencioso-Administrativo del Tribunal Supremo en recurso de casación núm. 8521-2021.</w:t>
      </w:r>
    </w:p>
    <w:p w14:paraId="26E4159D" w14:textId="77777777" w:rsidR="00F64776" w:rsidRDefault="00F64776" w:rsidP="00F64776">
      <w:pPr>
        <w:pStyle w:val="TextoNormal"/>
      </w:pPr>
    </w:p>
    <w:p w14:paraId="71EAC632" w14:textId="79E9D94E" w:rsidR="00F64776" w:rsidRDefault="00F64776" w:rsidP="00F64776">
      <w:pPr>
        <w:pStyle w:val="TextoNormal"/>
      </w:pPr>
      <w:r w:rsidRPr="00F64776">
        <w:rPr>
          <w:rStyle w:val="NumeroAFNegritaCaracter"/>
        </w:rPr>
        <w:t>2</w:t>
      </w:r>
      <w:r>
        <w:t>. Por escrito de 29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6279EBE9" w14:textId="77777777" w:rsidR="00F64776" w:rsidRDefault="00F64776" w:rsidP="00F64776">
      <w:pPr>
        <w:pStyle w:val="TextoNormal"/>
      </w:pPr>
    </w:p>
    <w:p w14:paraId="56A7ADB9" w14:textId="77777777" w:rsidR="00F64776" w:rsidRDefault="00F64776" w:rsidP="00F64776">
      <w:pPr>
        <w:pStyle w:val="TextoNormalNegritaCentrado"/>
        <w:keepNext/>
      </w:pPr>
      <w:r>
        <w:t>II. Fundamentos jurídicos</w:t>
      </w:r>
    </w:p>
    <w:p w14:paraId="3CB8B2FC" w14:textId="14B74A3C" w:rsidR="00F64776" w:rsidRDefault="00F64776" w:rsidP="00F64776">
      <w:pPr>
        <w:pStyle w:val="TextoNormalNegritaCentrado"/>
        <w:keepNext/>
      </w:pPr>
    </w:p>
    <w:p w14:paraId="0AF36DD9" w14:textId="536CE102"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27ECD7E5" w14:textId="77777777" w:rsidR="00F64776" w:rsidRDefault="00F64776" w:rsidP="00F64776">
      <w:pPr>
        <w:pStyle w:val="TextoNormal"/>
      </w:pPr>
    </w:p>
    <w:p w14:paraId="2012EECF" w14:textId="77777777" w:rsidR="00F64776" w:rsidRDefault="00F64776" w:rsidP="00F64776">
      <w:pPr>
        <w:pStyle w:val="TextoNormal"/>
      </w:pPr>
      <w:r>
        <w:t>Por lo expuesto, la Sección</w:t>
      </w:r>
    </w:p>
    <w:p w14:paraId="17A73991" w14:textId="05581B10" w:rsidR="00F64776" w:rsidRDefault="00F64776" w:rsidP="00F64776">
      <w:pPr>
        <w:pStyle w:val="TextoNormal"/>
      </w:pPr>
    </w:p>
    <w:p w14:paraId="24E724E9" w14:textId="77777777" w:rsidR="00F64776" w:rsidRDefault="00F64776" w:rsidP="00F64776">
      <w:pPr>
        <w:pStyle w:val="TextoNormalCentrado"/>
      </w:pPr>
      <w:r>
        <w:t>ACUERDA</w:t>
      </w:r>
    </w:p>
    <w:p w14:paraId="4A22EA37" w14:textId="38801660" w:rsidR="00F64776" w:rsidRDefault="00F64776" w:rsidP="00F64776">
      <w:pPr>
        <w:pStyle w:val="TextoNormalCentrado"/>
      </w:pPr>
    </w:p>
    <w:p w14:paraId="1B460EBA" w14:textId="69AFA6A5" w:rsidR="00F64776" w:rsidRDefault="00F64776" w:rsidP="00F64776">
      <w:pPr>
        <w:pStyle w:val="TextoNormal"/>
      </w:pPr>
      <w:r>
        <w:t>Estimar justificada la abstención formulada por el magistrado señor don César Tolosa Tribiño en el recurso de amparo núm. 5634-2022 y apartarle definitivamente del conocimiento del referido recurso y de todas sus incidencias.</w:t>
      </w:r>
    </w:p>
    <w:p w14:paraId="13B4E6CC" w14:textId="77777777" w:rsidR="00F64776" w:rsidRDefault="00F64776" w:rsidP="00F64776">
      <w:pPr>
        <w:pStyle w:val="TextoNormal"/>
      </w:pPr>
    </w:p>
    <w:p w14:paraId="37F8457A" w14:textId="77777777" w:rsidR="00F64776" w:rsidRDefault="00F64776" w:rsidP="00F64776">
      <w:pPr>
        <w:pStyle w:val="TextoNormal"/>
      </w:pPr>
      <w:r>
        <w:t>Madrid, a diecisiete de julio de dos mil veintitrés.</w:t>
      </w:r>
    </w:p>
    <w:p w14:paraId="49B57B71" w14:textId="524D7052" w:rsidR="00F64776" w:rsidRDefault="00F64776">
      <w:pPr>
        <w:spacing w:after="160" w:line="278" w:lineRule="auto"/>
        <w:rPr>
          <w:rFonts w:ascii="Times New Roman" w:eastAsia="Times New Roman" w:hAnsi="Times New Roman" w:cs="Times New Roman"/>
          <w:sz w:val="24"/>
          <w:szCs w:val="24"/>
          <w:lang w:eastAsia="es-ES"/>
        </w:rPr>
      </w:pPr>
      <w:r>
        <w:br w:type="page"/>
      </w:r>
    </w:p>
    <w:p w14:paraId="2B2B0E93" w14:textId="77777777" w:rsidR="00F64776" w:rsidRDefault="00F64776" w:rsidP="00F64776">
      <w:pPr>
        <w:pStyle w:val="TtuloResolucin"/>
      </w:pPr>
      <w:bookmarkStart w:id="154" w:name="AUTO_2023_369"/>
      <w:r>
        <w:t>AUTO 369/2023, de 17 de julio de 2023</w:t>
      </w:r>
    </w:p>
    <w:bookmarkEnd w:id="154"/>
    <w:p w14:paraId="5B1B25E0" w14:textId="77777777" w:rsidR="00F64776" w:rsidRDefault="00F64776" w:rsidP="00F64776">
      <w:pPr>
        <w:pStyle w:val="TtuloResolucin"/>
      </w:pPr>
      <w:r>
        <w:t>Sección Tercera</w:t>
      </w:r>
    </w:p>
    <w:p w14:paraId="5E327E42" w14:textId="77777777" w:rsidR="00F64776" w:rsidRDefault="00F64776" w:rsidP="00F64776">
      <w:pPr>
        <w:pStyle w:val="TextoNormalCentrado"/>
      </w:pPr>
      <w:r>
        <w:t>ECLI:ES:TC:2023:369A</w:t>
      </w:r>
    </w:p>
    <w:p w14:paraId="0D3592FE" w14:textId="5B54C5BB" w:rsidR="00F64776" w:rsidRDefault="00F64776" w:rsidP="00F64776">
      <w:pPr>
        <w:pStyle w:val="TextoNormalCentrado"/>
      </w:pPr>
    </w:p>
    <w:p w14:paraId="43D60762" w14:textId="77777777" w:rsidR="00F64776" w:rsidRDefault="00F64776" w:rsidP="00F64776">
      <w:pPr>
        <w:pStyle w:val="SntesisDescriptiva"/>
      </w:pPr>
      <w:r>
        <w:t>Excms. Srs. doña Inmaculada Montalbán Huertas y doña Laura Díez Bueso.</w:t>
      </w:r>
    </w:p>
    <w:p w14:paraId="07B978C5" w14:textId="715ACF77" w:rsidR="00F64776" w:rsidRDefault="00F64776" w:rsidP="00F64776">
      <w:pPr>
        <w:pStyle w:val="SntesisDescriptiva"/>
      </w:pPr>
    </w:p>
    <w:p w14:paraId="1582CBE8" w14:textId="77777777" w:rsidR="00F64776" w:rsidRDefault="00F64776" w:rsidP="00F64776">
      <w:pPr>
        <w:pStyle w:val="SntesisDescriptiva"/>
      </w:pPr>
      <w:r>
        <w:t>Acepta una abstención en el recurso de amparo 5999-2022, promovido en proceso contencioso-administrativo.</w:t>
      </w:r>
    </w:p>
    <w:p w14:paraId="7356635A" w14:textId="542E7672" w:rsidR="00F64776" w:rsidRDefault="00F64776" w:rsidP="00F64776">
      <w:pPr>
        <w:pStyle w:val="SntesisDescriptiva"/>
      </w:pPr>
    </w:p>
    <w:p w14:paraId="729C3FE0" w14:textId="77777777" w:rsidR="00F64776" w:rsidRDefault="00F64776" w:rsidP="00F64776">
      <w:pPr>
        <w:pStyle w:val="SntesisDescriptiva"/>
      </w:pPr>
    </w:p>
    <w:p w14:paraId="3A03E346" w14:textId="77777777" w:rsidR="00F64776" w:rsidRDefault="00F64776" w:rsidP="00F64776">
      <w:pPr>
        <w:pStyle w:val="SntesisDescriptiva"/>
      </w:pPr>
    </w:p>
    <w:p w14:paraId="2AA9AE9A" w14:textId="77777777" w:rsidR="00F64776" w:rsidRDefault="00F64776" w:rsidP="00F64776">
      <w:pPr>
        <w:pStyle w:val="TextoNormalNegritaCentrado"/>
      </w:pPr>
      <w:r>
        <w:t>AUTO</w:t>
      </w:r>
    </w:p>
    <w:p w14:paraId="671B88E2" w14:textId="265F220A" w:rsidR="00F64776" w:rsidRDefault="00F64776" w:rsidP="00F64776">
      <w:pPr>
        <w:pStyle w:val="TextoNormalNegritaCentrado"/>
      </w:pPr>
    </w:p>
    <w:p w14:paraId="21D02C07" w14:textId="77777777" w:rsidR="00F64776" w:rsidRDefault="00F64776" w:rsidP="00F64776">
      <w:pPr>
        <w:pStyle w:val="TextoNormalNegritaCentrado"/>
        <w:keepNext/>
      </w:pPr>
      <w:r>
        <w:t>I. Antecedentes</w:t>
      </w:r>
    </w:p>
    <w:p w14:paraId="10DED480" w14:textId="4F8AFB1B" w:rsidR="00F64776" w:rsidRDefault="00F64776" w:rsidP="00F64776">
      <w:pPr>
        <w:pStyle w:val="TextoNormalNegritaCentrado"/>
        <w:keepNext/>
      </w:pPr>
    </w:p>
    <w:p w14:paraId="7F4A6F58" w14:textId="0D741CCD" w:rsidR="00F64776" w:rsidRDefault="00F64776" w:rsidP="00F64776">
      <w:pPr>
        <w:pStyle w:val="TextoNormal"/>
      </w:pPr>
      <w:r w:rsidRPr="00F64776">
        <w:rPr>
          <w:rStyle w:val="NumeroAFNegritaCaracter"/>
        </w:rPr>
        <w:t>1</w:t>
      </w:r>
      <w:r>
        <w:t>. Mediante escrito registrado en este tribunal el 12 de septiembre de 2022 la procuradora de los tribunales doña Ana María Araúz de Robles Villalón, en nombre y representación de doña María de las Mercedes Moreno Lorente y otros y bajo la dirección del letrado don Francisco Javier Araúz de Robles Dávila, interpuso demanda de amparo contra la providencia de 28 de junio de 2022 de la Sección Primera de la Sala de lo Contencioso-Administrativo del Tribunal Supremo en recurso de casación núm. 8261-2021.</w:t>
      </w:r>
    </w:p>
    <w:p w14:paraId="18CEB588" w14:textId="77777777" w:rsidR="00F64776" w:rsidRDefault="00F64776" w:rsidP="00F64776">
      <w:pPr>
        <w:pStyle w:val="TextoNormal"/>
      </w:pPr>
    </w:p>
    <w:p w14:paraId="7EFB7D93" w14:textId="497AF517" w:rsidR="00F64776" w:rsidRDefault="00F64776" w:rsidP="00F64776">
      <w:pPr>
        <w:pStyle w:val="TextoNormal"/>
      </w:pPr>
      <w:r w:rsidRPr="00F64776">
        <w:rPr>
          <w:rStyle w:val="NumeroAFNegritaCaracter"/>
        </w:rPr>
        <w:t>2</w:t>
      </w:r>
      <w:r>
        <w:t>. Por escrito de 29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1F2EE347" w14:textId="77777777" w:rsidR="00F64776" w:rsidRDefault="00F64776" w:rsidP="00F64776">
      <w:pPr>
        <w:pStyle w:val="TextoNormal"/>
      </w:pPr>
    </w:p>
    <w:p w14:paraId="65A26145" w14:textId="77777777" w:rsidR="00F64776" w:rsidRDefault="00F64776" w:rsidP="00F64776">
      <w:pPr>
        <w:pStyle w:val="TextoNormalNegritaCentrado"/>
        <w:keepNext/>
      </w:pPr>
      <w:r>
        <w:t>II. Fundamentos jurídicos</w:t>
      </w:r>
    </w:p>
    <w:p w14:paraId="6202464B" w14:textId="0C4F9F63" w:rsidR="00F64776" w:rsidRDefault="00F64776" w:rsidP="00F64776">
      <w:pPr>
        <w:pStyle w:val="TextoNormalNegritaCentrado"/>
        <w:keepNext/>
      </w:pPr>
    </w:p>
    <w:p w14:paraId="77E00EAE" w14:textId="3E92DBCA"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50A485E8" w14:textId="77777777" w:rsidR="00F64776" w:rsidRDefault="00F64776" w:rsidP="00F64776">
      <w:pPr>
        <w:pStyle w:val="TextoNormal"/>
      </w:pPr>
    </w:p>
    <w:p w14:paraId="61E9A4E6" w14:textId="77777777" w:rsidR="00F64776" w:rsidRDefault="00F64776" w:rsidP="00F64776">
      <w:pPr>
        <w:pStyle w:val="TextoNormal"/>
      </w:pPr>
      <w:r>
        <w:t>Por lo expuesto, la Sección</w:t>
      </w:r>
    </w:p>
    <w:p w14:paraId="1062DC19" w14:textId="3BA27184" w:rsidR="00F64776" w:rsidRDefault="00F64776" w:rsidP="00F64776">
      <w:pPr>
        <w:pStyle w:val="TextoNormal"/>
      </w:pPr>
    </w:p>
    <w:p w14:paraId="366DF5D5" w14:textId="77777777" w:rsidR="00F64776" w:rsidRDefault="00F64776" w:rsidP="00F64776">
      <w:pPr>
        <w:pStyle w:val="TextoNormalCentrado"/>
      </w:pPr>
      <w:r>
        <w:t>ACUERDA</w:t>
      </w:r>
    </w:p>
    <w:p w14:paraId="7160A2B8" w14:textId="234F5B4A" w:rsidR="00F64776" w:rsidRDefault="00F64776" w:rsidP="00F64776">
      <w:pPr>
        <w:pStyle w:val="TextoNormalCentrado"/>
      </w:pPr>
    </w:p>
    <w:p w14:paraId="12B67707" w14:textId="7D010F9F" w:rsidR="00F64776" w:rsidRDefault="00F64776" w:rsidP="00F64776">
      <w:pPr>
        <w:pStyle w:val="TextoNormal"/>
      </w:pPr>
      <w:r>
        <w:t>Estimar justificada la abstención formulada por el magistrado señor don César Tolosa Tribiño en el recurso de amparo núm. 5999-2022 y apartarle definitivamente del conocimiento del referido recurso y de todas sus incidencias.</w:t>
      </w:r>
    </w:p>
    <w:p w14:paraId="0C4B14CF" w14:textId="77777777" w:rsidR="00F64776" w:rsidRDefault="00F64776" w:rsidP="00F64776">
      <w:pPr>
        <w:pStyle w:val="TextoNormal"/>
      </w:pPr>
    </w:p>
    <w:p w14:paraId="5063DDBA" w14:textId="77777777" w:rsidR="00F64776" w:rsidRDefault="00F64776" w:rsidP="00F64776">
      <w:pPr>
        <w:pStyle w:val="TextoNormal"/>
      </w:pPr>
      <w:r>
        <w:t>Madrid, a diecisiete de julio de dos mil veintitrés.</w:t>
      </w:r>
    </w:p>
    <w:p w14:paraId="42A128C7" w14:textId="3BA63C13" w:rsidR="00F64776" w:rsidRDefault="00F64776">
      <w:pPr>
        <w:spacing w:after="160" w:line="278" w:lineRule="auto"/>
        <w:rPr>
          <w:rFonts w:ascii="Times New Roman" w:eastAsia="Times New Roman" w:hAnsi="Times New Roman" w:cs="Times New Roman"/>
          <w:sz w:val="24"/>
          <w:szCs w:val="24"/>
          <w:lang w:eastAsia="es-ES"/>
        </w:rPr>
      </w:pPr>
      <w:r>
        <w:br w:type="page"/>
      </w:r>
    </w:p>
    <w:p w14:paraId="46C605D5" w14:textId="77777777" w:rsidR="00F64776" w:rsidRDefault="00F64776" w:rsidP="00F64776">
      <w:pPr>
        <w:pStyle w:val="TtuloResolucin"/>
      </w:pPr>
      <w:bookmarkStart w:id="155" w:name="AUTO_2023_370"/>
      <w:r>
        <w:t>AUTO 370/2023, de 17 de julio de 2023</w:t>
      </w:r>
    </w:p>
    <w:bookmarkEnd w:id="155"/>
    <w:p w14:paraId="26C7636A" w14:textId="77777777" w:rsidR="00F64776" w:rsidRDefault="00F64776" w:rsidP="00F64776">
      <w:pPr>
        <w:pStyle w:val="TtuloResolucin"/>
      </w:pPr>
      <w:r>
        <w:t>Sala Primera</w:t>
      </w:r>
    </w:p>
    <w:p w14:paraId="68DBD3B1" w14:textId="77777777" w:rsidR="00F64776" w:rsidRDefault="00F64776" w:rsidP="00F64776">
      <w:pPr>
        <w:pStyle w:val="TextoNormalCentrado"/>
      </w:pPr>
      <w:r>
        <w:t>ECLI:ES:TC:2023:370A</w:t>
      </w:r>
    </w:p>
    <w:p w14:paraId="3A4763D3" w14:textId="5FCD7A5B" w:rsidR="00F64776" w:rsidRDefault="00F64776" w:rsidP="00F64776">
      <w:pPr>
        <w:pStyle w:val="TextoNormalCentrado"/>
      </w:pPr>
    </w:p>
    <w:p w14:paraId="0C132698" w14:textId="77777777" w:rsidR="00F64776" w:rsidRDefault="00F64776" w:rsidP="00F64776">
      <w:pPr>
        <w:pStyle w:val="SntesisDescriptiva"/>
      </w:pPr>
      <w:r>
        <w:t>Excms. Srs. don Cándido Conde-Pumpido Tourón, don Ricardo Enríquez Sancho, doña Concepción Espejel Jorquera, doña María Luisa Segoviano Astaburuaga y don Juan Carlos Campo Moreno.</w:t>
      </w:r>
    </w:p>
    <w:p w14:paraId="33FC9A17" w14:textId="7CB021F1" w:rsidR="00F64776" w:rsidRDefault="00F64776" w:rsidP="00F64776">
      <w:pPr>
        <w:pStyle w:val="SntesisDescriptiva"/>
      </w:pPr>
    </w:p>
    <w:p w14:paraId="50E75067" w14:textId="77777777" w:rsidR="00F64776" w:rsidRDefault="00F64776" w:rsidP="00F64776">
      <w:pPr>
        <w:pStyle w:val="SntesisDescriptiva"/>
      </w:pPr>
      <w:r>
        <w:t>Deniega la suspensión y ordena la anotación preventiva de la demanda en el recurso de amparo 6255-2022, promovido por Penrei Inversiones, S.L., en pleito civil.</w:t>
      </w:r>
    </w:p>
    <w:p w14:paraId="16E209C5" w14:textId="789D9844" w:rsidR="00F64776" w:rsidRDefault="00F64776" w:rsidP="00F64776">
      <w:pPr>
        <w:pStyle w:val="SntesisDescriptiva"/>
      </w:pPr>
    </w:p>
    <w:p w14:paraId="251FF0C9" w14:textId="77777777" w:rsidR="00F64776" w:rsidRDefault="00F64776" w:rsidP="00F64776">
      <w:pPr>
        <w:pStyle w:val="SntesisDescriptiva"/>
      </w:pPr>
    </w:p>
    <w:p w14:paraId="22033272" w14:textId="77777777" w:rsidR="00F64776" w:rsidRDefault="00F64776" w:rsidP="00F64776">
      <w:pPr>
        <w:pStyle w:val="SntesisDescriptiva"/>
      </w:pPr>
    </w:p>
    <w:p w14:paraId="49E37964" w14:textId="77777777" w:rsidR="00F64776" w:rsidRDefault="00F64776" w:rsidP="00F64776">
      <w:pPr>
        <w:pStyle w:val="TextoNormalNegritaCentrado"/>
      </w:pPr>
      <w:r>
        <w:t>AUTO</w:t>
      </w:r>
    </w:p>
    <w:p w14:paraId="021BB630" w14:textId="7C28F247" w:rsidR="00F64776" w:rsidRDefault="00F64776" w:rsidP="00F64776">
      <w:pPr>
        <w:pStyle w:val="TextoNormalNegritaCentrado"/>
      </w:pPr>
    </w:p>
    <w:p w14:paraId="23A42ADC" w14:textId="77777777" w:rsidR="00F64776" w:rsidRDefault="00F64776" w:rsidP="00F64776">
      <w:pPr>
        <w:pStyle w:val="TextoNormalNegritaCentrado"/>
        <w:keepNext/>
      </w:pPr>
      <w:r>
        <w:t>I. Antecedentes</w:t>
      </w:r>
    </w:p>
    <w:p w14:paraId="01A5F8DD" w14:textId="5748EC75" w:rsidR="00F64776" w:rsidRDefault="00F64776" w:rsidP="00F64776">
      <w:pPr>
        <w:pStyle w:val="TextoNormalNegritaCentrado"/>
        <w:keepNext/>
      </w:pPr>
    </w:p>
    <w:p w14:paraId="7A9993E9" w14:textId="77777777" w:rsidR="00F64776" w:rsidRDefault="00F64776" w:rsidP="00F64776">
      <w:pPr>
        <w:pStyle w:val="TextoNormal"/>
      </w:pPr>
      <w:r w:rsidRPr="00F64776">
        <w:rPr>
          <w:rStyle w:val="NumeroAFNegritaCaracter"/>
        </w:rPr>
        <w:t>1</w:t>
      </w:r>
      <w:r>
        <w:t>. Mediante escrito presentado en el registro general de este tribunal el día 22 de septiembre de 2022 la procuradora de los tribunales doña Blanca Berriatua Horta, en nombre y representación de Penrei Inversiones, S.L., interpuso recurso de amparo contra (i) el auto de 14 de noviembre de 2018 dictado por el Juzgado de Primera Instancia e Instrucción núm. 4 de Lorca, en el procedimiento de ejecución hipotecaria núm. 355-2018, promovido por Banco de Sabadell, S.A., por el que se inadmitía a trámite, por extemporánea, la demanda de oposición a la ejecución formulada por Penrei Inversiones, S.L., y por la otra entidad demandada en el mismo procedimiento, Euroinversiones Inmobiliarias Costa Sur, S.L., y (ii) contra el subsiguiente auto, que no lleva fecha, y que le fue notificado a la recurrente el 11 de julio de 2022, desestimatorio del recurso de reposición que interpuso contra la anterior resolución.</w:t>
      </w:r>
    </w:p>
    <w:p w14:paraId="66E320CE" w14:textId="77777777" w:rsidR="00F64776" w:rsidRDefault="00F64776" w:rsidP="00F64776">
      <w:pPr>
        <w:pStyle w:val="TextoNormal"/>
      </w:pPr>
    </w:p>
    <w:p w14:paraId="469E5CF6" w14:textId="77777777" w:rsidR="00F64776" w:rsidRDefault="00F64776" w:rsidP="00F64776">
      <w:pPr>
        <w:pStyle w:val="TextoNormal"/>
      </w:pPr>
      <w:r>
        <w:t>La recurrente alega que estas resoluciones judiciales vulneraron su derecho fundamental a la tutela judicial efectiva sin indefensión (art. 24.1 CE) porque el juzgado le dio traslado de la demanda de ejecución hipotecaria, del auto ordenando el requerimiento de pago y el despacho de la ejecución y de los demás documentos aportados por la parte ejecutante por medio de un correo electrónico que, conforme a doctrina constitucional consolidada, de la que son muestra las SSTC 40/2020, de 27 de febrero y 43/2020, de 9 de marzo, no cumple los requisitos exigibles al primer emplazamiento o citación al demandado fijados en el art. 155 de la Ley de enjuiciamiento civil (en soporte papel y en su domicilio) y consecuentemente no puede ser tomado en consideración para el cómputo del plazo de diez días establecido en la ley procesal para la interposición de la correspondiente demanda de oposición a la ejecución, como ha sido el caso, en que su demanda de oposición a la ejecución ha sido inadmitida por extemporánea. Solicita la nulidad de ambas resoluciones judiciales y la retroacción del procedimiento al momento oportuno para que se practique el emplazamiento de la recurrente de forma correcta.</w:t>
      </w:r>
    </w:p>
    <w:p w14:paraId="5F6224F9" w14:textId="77777777" w:rsidR="00F64776" w:rsidRDefault="00F64776" w:rsidP="00F64776">
      <w:pPr>
        <w:pStyle w:val="TextoNormal"/>
      </w:pPr>
    </w:p>
    <w:p w14:paraId="4411CA0F" w14:textId="268E147C" w:rsidR="00F64776" w:rsidRDefault="00F64776" w:rsidP="00F64776">
      <w:pPr>
        <w:pStyle w:val="TextoNormal"/>
      </w:pPr>
      <w:r>
        <w:t>Asimismo, en el otrosí segundo del recurso solicita la suspensión de la continuación del procedimiento de ejecución hipotecaria, pues su prosecución, con celebración de subasta y eventual adjudicación del bien hipotecado a terceros, podría hacer perder al recurso de amparo su finalidad.</w:t>
      </w:r>
    </w:p>
    <w:p w14:paraId="34E0CFEA" w14:textId="77777777" w:rsidR="00F64776" w:rsidRDefault="00F64776" w:rsidP="00F64776">
      <w:pPr>
        <w:pStyle w:val="TextoNormal"/>
      </w:pPr>
    </w:p>
    <w:p w14:paraId="0730D94D" w14:textId="27926293" w:rsidR="00F64776" w:rsidRDefault="00F64776" w:rsidP="00F64776">
      <w:pPr>
        <w:pStyle w:val="TextoNormal"/>
      </w:pPr>
      <w:r w:rsidRPr="00F64776">
        <w:rPr>
          <w:rStyle w:val="NumeroAFNegritaCaracter"/>
        </w:rPr>
        <w:t>2</w:t>
      </w:r>
      <w:r>
        <w:t>. Por diligencia de ordenación de 20 de enero de 2023 se puso en conocimiento de las partes y del Ministerio Fiscal que en virtud del acuerdo adoptado por el Pleno del Tribunal Constitucional el día 17 de enero de 2023, publicado en el “Boletín Oficial del Estado” de 19 de enero de 2023, el presente recurso de amparo había sido turnado a la Sección Primera de la Sala Primera del Tribunal Constitucional.</w:t>
      </w:r>
    </w:p>
    <w:p w14:paraId="61FE7E68" w14:textId="77777777" w:rsidR="00F64776" w:rsidRDefault="00F64776" w:rsidP="00F64776">
      <w:pPr>
        <w:pStyle w:val="TextoNormal"/>
      </w:pPr>
    </w:p>
    <w:p w14:paraId="1D9A3423" w14:textId="77777777" w:rsidR="00F64776" w:rsidRDefault="00F64776" w:rsidP="00F64776">
      <w:pPr>
        <w:pStyle w:val="TextoNormal"/>
      </w:pPr>
      <w:r w:rsidRPr="00F64776">
        <w:rPr>
          <w:rStyle w:val="NumeroAFNegritaCaracter"/>
        </w:rPr>
        <w:t>3</w:t>
      </w:r>
      <w:r>
        <w:t>. La Sección Primera del Tribunal Constitucional por providencia de 19 de junio de 2023 acordó admitir a trámite el recurso de amparo apreciando que concurre en el mismo una especial trascendencia constitucional (art. 50.1 de la Ley Orgánica del Tribunal Constitucional: LOTC) como consecuencia de que el órgano judicial pudiera haber incurrido en una negativa manifiesta del deber de acatamiento de la doctrina de este tribunal [STC 155/2009, FJ 2 f)].</w:t>
      </w:r>
    </w:p>
    <w:p w14:paraId="008B1E7B" w14:textId="77777777" w:rsidR="00F64776" w:rsidRDefault="00F64776" w:rsidP="00F64776">
      <w:pPr>
        <w:pStyle w:val="TextoNormal"/>
      </w:pPr>
    </w:p>
    <w:p w14:paraId="05D20385" w14:textId="1C299F4A" w:rsidR="00F64776" w:rsidRDefault="00F64776" w:rsidP="00F64776">
      <w:pPr>
        <w:pStyle w:val="TextoNormal"/>
      </w:pPr>
      <w:r>
        <w:t>En la misma resolución se acordaba dirigir atenta comunicación al Juzgado de Primera Instancia e Instrucción núm. 4 de Lorca para que emplazasen, en el plazo de diez días, a quienes hubieran sido parte en el procedimiento, excepto a la parte recurrente en amparo, para que pudieran comparecer si lo desearan en el recurso de amparo.</w:t>
      </w:r>
    </w:p>
    <w:p w14:paraId="75D6D10B" w14:textId="77777777" w:rsidR="00F64776" w:rsidRDefault="00F64776" w:rsidP="00F64776">
      <w:pPr>
        <w:pStyle w:val="TextoNormal"/>
      </w:pPr>
    </w:p>
    <w:p w14:paraId="284CC559" w14:textId="220736D3" w:rsidR="00F64776" w:rsidRDefault="00F64776" w:rsidP="00F64776">
      <w:pPr>
        <w:pStyle w:val="TextoNormal"/>
      </w:pPr>
      <w:r w:rsidRPr="00F64776">
        <w:rPr>
          <w:rStyle w:val="NumeroAFNegritaCaracter"/>
        </w:rPr>
        <w:t>4</w:t>
      </w:r>
      <w:r>
        <w:t>. Por providencia de la misma fecha la Sección Primera que acordó la formación de pieza separada de suspensión y el otorgamiento, conforme al art. 56 LOTC, de un plazo común de tres días al Ministerio Fiscal y a la solicitante de amparo para que alegasen lo que estimasen pertinente en relación con la petición de suspensión cautelar.</w:t>
      </w:r>
    </w:p>
    <w:p w14:paraId="6543381D" w14:textId="77777777" w:rsidR="00F64776" w:rsidRDefault="00F64776" w:rsidP="00F64776">
      <w:pPr>
        <w:pStyle w:val="TextoNormal"/>
      </w:pPr>
    </w:p>
    <w:p w14:paraId="68836F6F" w14:textId="3ECC2AA1" w:rsidR="00F64776" w:rsidRDefault="00F64776" w:rsidP="00F64776">
      <w:pPr>
        <w:pStyle w:val="TextoNormal"/>
      </w:pPr>
      <w:r w:rsidRPr="00F64776">
        <w:rPr>
          <w:rStyle w:val="NumeroAFNegritaCaracter"/>
        </w:rPr>
        <w:t>5</w:t>
      </w:r>
      <w:r>
        <w:t>. El 27 de junio de 2023 la representación procesal de la entidad recurrente presentó escrito de alegaciones en el que, previa cita de los AATC 21/2018, de 5 de marzo; 58/2018, de 4 de junio, y 117/2018, de 29 de octubre, sostiene que de seguirse adelante la ejecución podría producirse la transmisión irrecuperable del dominio del bien inmueble, creándose una situación difícilmente reversible que menoscabaría los fines del presente recurso de amparo.</w:t>
      </w:r>
    </w:p>
    <w:p w14:paraId="518EEFBC" w14:textId="77777777" w:rsidR="00F64776" w:rsidRDefault="00F64776" w:rsidP="00F64776">
      <w:pPr>
        <w:pStyle w:val="TextoNormal"/>
      </w:pPr>
    </w:p>
    <w:p w14:paraId="3882B3A5" w14:textId="77777777" w:rsidR="00F64776" w:rsidRDefault="00F64776" w:rsidP="00F64776">
      <w:pPr>
        <w:pStyle w:val="TextoNormal"/>
      </w:pPr>
      <w:r w:rsidRPr="00F64776">
        <w:rPr>
          <w:rStyle w:val="NumeroAFNegritaCaracter"/>
        </w:rPr>
        <w:t>6</w:t>
      </w:r>
      <w:r>
        <w:t>. El 7 de julio de 2023 la Fiscalía ante el Tribunal Constitucional presentó escrito de alegaciones en el que se opuso a la suspensión del procedimiento.</w:t>
      </w:r>
    </w:p>
    <w:p w14:paraId="7496E5C4" w14:textId="77777777" w:rsidR="00F64776" w:rsidRDefault="00F64776" w:rsidP="00F64776">
      <w:pPr>
        <w:pStyle w:val="TextoNormal"/>
      </w:pPr>
    </w:p>
    <w:p w14:paraId="5C6C3D7E" w14:textId="77777777" w:rsidR="00F64776" w:rsidRDefault="00F64776" w:rsidP="00F64776">
      <w:pPr>
        <w:pStyle w:val="TextoNormal"/>
      </w:pPr>
      <w:r>
        <w:t>La fiscal que suscribe el escrito, tras sintetizar las vicisitudes del procedimiento de ejecución hipotecaria del que trae causa el recurso de amparo, cita doctrina constitucional en relación con los perjuicios de contenido patrimonial o económico, doctrina en la que se señala que por más que puedan producir efectos desfavorables al demandante de amparo, no pueden considerarse en principio causa suficiente para acordar la suspensión de una resolución judicial firme, pues dichos prejuicios son susceptibles de ser reparados en la hipótesis de que la petición de amparo sea estimada (AATC 116/2008, de 28 de abril; 25/2009, de 26 de enero; 145/2010, de 18 de octubre, y 199/2010, de 21 de diciembre, FJ 2); señala seguidamente que, como excepción a esta regla, el Tribunal Constitucional ha accedido a la suspensión solo en aquellos supuestos en los que la ejecución de lo acordado acarree perjuicios patrimoniales difícilmente reparables por su entidad, por la imposibilidad de repercutir su costo o por la irreversibilidad de las situaciones jurídicas que puedan producirse, como cuando con la ejecución de lo acordado se pueda producir la transmisión irrecuperable del dominio sobre un determinado bien (ATC 117/2018, de 29 de octubre, FJ 2) y aduce que en el presente caso la recurrente no ha cumplido mínimamente la carga de alegar y probar el riesgo de que se produzca una situación irreversible, pues “conforme a lo expresado en el escrito de alegaciones presentado por la demandante de amparo en la pieza de suspensión, en el procedimiento de ejecución todavía no ha sido celebrada la subasta, así se deduce cuando manifiesta que ‘de continuar adelante con la subasta y posible adjudicación a terceros de buena fe o al propio ejecutante, y la desposesión del bien ejecutado, conllevaría a situaciones irreversibles, con un inevitable perjuicio para mi representada’”.</w:t>
      </w:r>
    </w:p>
    <w:p w14:paraId="2BA567DA" w14:textId="77777777" w:rsidR="00F64776" w:rsidRDefault="00F64776" w:rsidP="00F64776">
      <w:pPr>
        <w:pStyle w:val="TextoNormal"/>
      </w:pPr>
    </w:p>
    <w:p w14:paraId="6FC94E0D" w14:textId="6C3462AF" w:rsidR="00F64776" w:rsidRDefault="00F64776" w:rsidP="00F64776">
      <w:pPr>
        <w:pStyle w:val="TextoNormal"/>
      </w:pPr>
      <w:r>
        <w:t>Considera, no obstante, que “para evitar el perjuicio que pudiera suponer la adquisición de la finca por terceros de buena fe, que la hicieran irreivindicable, procede, si el Tribunal Constitucional lo estimara oportuno, de oficio, dado que no se ha solicitado así por la parte recurrente, acordar la anotación preventiva de la demanda en el registro de la propiedad, a tenor de lo previsto en el art. 56.3 LOTC, siempre que el estado de las actuaciones lo permita para no perjudicar los derechos de los terceros de buena fe”.</w:t>
      </w:r>
    </w:p>
    <w:p w14:paraId="0AEDE486" w14:textId="77777777" w:rsidR="00F64776" w:rsidRDefault="00F64776" w:rsidP="00F64776">
      <w:pPr>
        <w:pStyle w:val="TextoNormal"/>
      </w:pPr>
    </w:p>
    <w:p w14:paraId="1FBB2B34" w14:textId="77777777" w:rsidR="00F64776" w:rsidRDefault="00F64776" w:rsidP="00F64776">
      <w:pPr>
        <w:pStyle w:val="TextoNormalNegritaCentrado"/>
        <w:keepNext/>
      </w:pPr>
      <w:r>
        <w:t>II. Fundamentos jurídicos</w:t>
      </w:r>
    </w:p>
    <w:p w14:paraId="250CA49C" w14:textId="7113CD62" w:rsidR="00F64776" w:rsidRDefault="00F64776" w:rsidP="00F64776">
      <w:pPr>
        <w:pStyle w:val="TextoNormalNegritaCentrado"/>
        <w:keepNext/>
      </w:pPr>
    </w:p>
    <w:p w14:paraId="7DB2BCE2" w14:textId="33BE0E53" w:rsidR="00F64776" w:rsidRDefault="00F64776" w:rsidP="00F64776">
      <w:pPr>
        <w:pStyle w:val="TextoNormal"/>
      </w:pPr>
      <w:r w:rsidRPr="00F64776">
        <w:rPr>
          <w:rStyle w:val="NumeroAFNegritaCaracter"/>
        </w:rPr>
        <w:t>1</w:t>
      </w:r>
      <w:r>
        <w:t>. El objeto de esta pieza es determinar si procede suspender la tramitación del procedimiento de ejecución hipotecaria núm. 355-2018 seguido en el Juzgado de Primera Instancia e Instrucción núm. 4 de Lorca, lo que ha sido solicitado por la recurrente porque a su entender la continuación del procedimiento podría conducir a la transmisión del dominio del bien inmueble hipotecado, creándose una situación difícilmente reversible que menoscabaría los fines del recurso de amparo. El Ministerio Fiscal se opone a la suspensión solicitada porque considera que la recurrente no ha cumplido la carga de alegar y probar el perjuicio irreversible al que hace referencia, sin determinar siquiera si el bien ha sido subastado, aunque considera que sería procedente la anotación preventiva de la demanda en el registro de la propiedad para preservar los derechos de terceros de buena fe.</w:t>
      </w:r>
    </w:p>
    <w:p w14:paraId="155D353E" w14:textId="77777777" w:rsidR="00F64776" w:rsidRDefault="00F64776" w:rsidP="00F64776">
      <w:pPr>
        <w:pStyle w:val="TextoNormal"/>
      </w:pPr>
    </w:p>
    <w:p w14:paraId="07123498" w14:textId="77777777" w:rsidR="00F64776" w:rsidRDefault="00F64776" w:rsidP="00F64776">
      <w:pPr>
        <w:pStyle w:val="TextoNormal"/>
      </w:pPr>
      <w:r w:rsidRPr="00F64776">
        <w:rPr>
          <w:rStyle w:val="NumeroAFNegritaCaracter"/>
        </w:rPr>
        <w:t>2</w:t>
      </w:r>
      <w:r>
        <w:t>. El art. 56.2 LOTC dispone que cuando la ejecución del acto o sentencia impugnados produzca un perjuicio al recurrente que pudiera hacer perder al amparo su finalidad, se podrá acordar, de oficio o a instancia del recurrente, la suspensión, total o parcial, de sus efectos, siempre y cuando la suspensión no ocasione perturbación grave a un interés constitucionalmente protegido, ni a los derechos fundamentales o libertades de otra persona.</w:t>
      </w:r>
    </w:p>
    <w:p w14:paraId="03153884" w14:textId="77777777" w:rsidR="00F64776" w:rsidRDefault="00F64776" w:rsidP="00F64776">
      <w:pPr>
        <w:pStyle w:val="TextoNormal"/>
      </w:pPr>
    </w:p>
    <w:p w14:paraId="2CCACBF8" w14:textId="77777777" w:rsidR="00F64776" w:rsidRDefault="00F64776" w:rsidP="00F64776">
      <w:pPr>
        <w:pStyle w:val="TextoNormal"/>
      </w:pPr>
      <w:r>
        <w:t>Se trata de una medida de carácter excepcional y de aplicación restrictiva (por todos, AATC 117/2015, de 6 de julio, FJ 1, y 59/2017, de 24 de abril, FJ 1), por lo que la regla general es la improcedencia de la suspensión de las resoluciones judiciales, por la perturbación de la función jurisdiccional que la misma supone, salvo en los casos en los que se acredite tanto el carácter irreparable del perjuicio para los derechos fundamentales, como la pérdida de la finalidad del amparo en caso de mantenerse la ejecución de la resolución (por todos, AATC 40/2008, de 11 de febrero; 59/2008, de 20 de febrero; 2/2009, de 12 de enero, y 12/2009, de 26 de enero).</w:t>
      </w:r>
    </w:p>
    <w:p w14:paraId="3DCCC031" w14:textId="77777777" w:rsidR="00F64776" w:rsidRDefault="00F64776" w:rsidP="00F64776">
      <w:pPr>
        <w:pStyle w:val="TextoNormal"/>
      </w:pPr>
    </w:p>
    <w:p w14:paraId="6EC99979" w14:textId="77777777" w:rsidR="00F64776" w:rsidRDefault="00F64776" w:rsidP="00F64776">
      <w:pPr>
        <w:pStyle w:val="TextoNormal"/>
      </w:pPr>
      <w:r>
        <w:t>Por perjuicio irreparable se ha de entender aquel que provoque que el restablecimiento del recurrente en el derecho constitucional vulnerado sea tardío y convierta el amparo en meramente ilusorio y nominal (por todos, AATC 274/2008, de 15 de septiembre, 26/2009, de 26 de enero, y 173/2009, de 1 de junio). Resulta, en definitiva, que la protección del interés general que subyace a la ejecución de lo juzgado debe ceder en aquellos supuestos en los que, de no acordarse la suspensión, el amparo perdería toda finalidad, lo que explica que, en principio, proceda suspender aquellos pronunciamientos judiciales que no admiten la reparación o la restitución íntegra de lo ejecutado (AATC 44/2008, de 11 de febrero, FJ 1; 59/2008, de 20 de febrero, FJ 1; 67/2008, de 25 de febrero, FJ 1; 109/2008, de 14 de abril, FJ 1; 111/2008, de 14 de abril, FJ 1; 118/2008, de 28 de abril, FJ 1, y 172/2008, de 23 de junio, FJ 1).</w:t>
      </w:r>
    </w:p>
    <w:p w14:paraId="0AB87395" w14:textId="77777777" w:rsidR="00F64776" w:rsidRDefault="00F64776" w:rsidP="00F64776">
      <w:pPr>
        <w:pStyle w:val="TextoNormal"/>
      </w:pPr>
    </w:p>
    <w:p w14:paraId="635AD2A0" w14:textId="77777777" w:rsidR="00F64776" w:rsidRDefault="00F64776" w:rsidP="00F64776">
      <w:pPr>
        <w:pStyle w:val="TextoNormal"/>
      </w:pPr>
      <w:r>
        <w:t>Este tribunal ha establecido asimismo como criterio general la improcedencia de la suspensión de la ejecución de aquellos fallos judiciales que admiten la restitución íntegra de lo ejecutado —como sucede, como regla general, en las condenas de contenido patrimonial— a diferencia de aquellos otros en los que, por afectar a bienes o derechos del recurrente de imposible o muy difícil restitución a su estado anterior, procede acordarla, lo cual sucede, por ejemplo, en las condenas a penas privativas de libertad (por todos, AATC 251/2000, de 30 de octubre, FJ 1; 63/2001, de 26 de marzo, FJ 1; 170/2001, de 22 de junio, FJ 1; 9/2003, de 20 de enero, FJ 1; 338/2005, de 26 de septiembre, FJ 1; 286/2007, de 18 de junio, FJ 1, y 233/2008, de 21 de julio, FJ 1).</w:t>
      </w:r>
    </w:p>
    <w:p w14:paraId="2F8A7862" w14:textId="77777777" w:rsidR="00F64776" w:rsidRDefault="00F64776" w:rsidP="00F64776">
      <w:pPr>
        <w:pStyle w:val="TextoNormal"/>
      </w:pPr>
    </w:p>
    <w:p w14:paraId="10F4ACE9" w14:textId="77777777" w:rsidR="00F64776" w:rsidRDefault="00F64776" w:rsidP="00F64776">
      <w:pPr>
        <w:pStyle w:val="TextoNormal"/>
      </w:pPr>
      <w:r>
        <w:t>Solo hemos accedido a la suspensión en aquellos supuestos en los que la ejecución de lo acordado acarrea perjuicios patrimoniales difícilmente reparables por su entidad, por la imposibilidad de repercutir su costo o por la irreversibilidad de las situaciones jurídicas que puedan producirse, como ocurre en los casos en que por la ejecución de lo acordado se produce la transmisión irrecuperable del dominio sobre un bien determinado (AATC 565/1986, de 2 de julio, FJ único, y 52/1989, de 30 de enero, FJ único).</w:t>
      </w:r>
    </w:p>
    <w:p w14:paraId="55C61377" w14:textId="77777777" w:rsidR="00F64776" w:rsidRDefault="00F64776" w:rsidP="00F64776">
      <w:pPr>
        <w:pStyle w:val="TextoNormal"/>
      </w:pPr>
    </w:p>
    <w:p w14:paraId="604E042F" w14:textId="77777777" w:rsidR="00F64776" w:rsidRDefault="00F64776" w:rsidP="00F64776">
      <w:pPr>
        <w:pStyle w:val="TextoNormal"/>
      </w:pPr>
      <w:r>
        <w:t>Asimismo, una consolidada doctrina constitucional, de la que son buena muestra, entre otros muchos, los AATC 220/2008, de 14 de julio, FJ 2, y 64/2009, de 23 de febrero, FJ 2, o los más recientes AATC 56/2013, de 25 de febrero, FJ 2; 74/2013, de 8 de abril, FJ 2; 152/2013, de 8 de julio, FJ 2; 37/2014, de 10 de febrero, FJ 2; 282/2014, de 17 de noviembre, FJ 3, y 59/2015, de 16 de marzo,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aquellos, con la consiguiente consolidación de una posición jurídicamente inatacable o de muy difícil y costoso restablecimiento”.</w:t>
      </w:r>
    </w:p>
    <w:p w14:paraId="17FB14BC" w14:textId="77777777" w:rsidR="00F64776" w:rsidRDefault="00F64776" w:rsidP="00F64776">
      <w:pPr>
        <w:pStyle w:val="TextoNormal"/>
      </w:pPr>
    </w:p>
    <w:p w14:paraId="77B15E33" w14:textId="77777777" w:rsidR="00F64776" w:rsidRDefault="00F64776" w:rsidP="00F64776">
      <w:pPr>
        <w:pStyle w:val="TextoNormal"/>
      </w:pPr>
      <w:r>
        <w:t>Adicionalmente, este tribunal viene exigiendo a quien solicita la adopción de la medida cautelar de suspensión del acto o resolución judicial recurrido que alegue o justifique, ofreciendo un principio razonable de prueba, el carácter no reparable o la dificultad de la reparación de los perjuicios derivados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90/2014, de 27 de marzo, FJ 1; 190/2015, de 5 de noviembre, FJ 2 a); 59/2017, de 24 de abril, FJ 1, y 147/2017, de 13 de noviembre, FJ 1].</w:t>
      </w:r>
    </w:p>
    <w:p w14:paraId="0F394A3D" w14:textId="77777777" w:rsidR="00F64776" w:rsidRDefault="00F64776" w:rsidP="00F64776">
      <w:pPr>
        <w:pStyle w:val="TextoNormal"/>
      </w:pPr>
    </w:p>
    <w:p w14:paraId="5A101203" w14:textId="00BD5B79" w:rsidR="00F64776" w:rsidRDefault="00F64776" w:rsidP="00F64776">
      <w:pPr>
        <w:pStyle w:val="TextoNormal"/>
      </w:pPr>
      <w:r>
        <w:t>En cuanto a la anotación preventiva de la demanda de amparo, “se trata de una medida cautelar que este tribunal, de conformidad con el artículo 56 LOTC, puede adoptar de oficio o a instancia de parte, con fundamento en el artículo 42.1 de la Ley hipotecaria (AATC 274/2002, de 18 de diciembre, 257/2003, de 14 de julio, 230/2007, de 7 de mayo, FJ 3; 415/2007, de 5 de noviembre, FJ 4, y 28/2009, de 26 de enero, FJ 2), limitándose nuestra decisión en esta materia a ordenar que se practique la anotación preventiva, remitiendo al órgano judicial la práctica de las actuaciones pertinentes para que pueda llevarse a efecto la medida, de conformidad con la legislación procesal e hipotecaria (AATC 257/2003, de 14 de julio; 406/2003, de 15 de diciembre; 230/2007, de 7 de mayo, FJ 3; 415/2007, de 5 de noviembre, FJ 4, y 217/2012, de 26 de noviembre, FJ 2)” (ATC 21/2018, de 5 de marzo, FJ 5).</w:t>
      </w:r>
    </w:p>
    <w:p w14:paraId="5111CDBE" w14:textId="77777777" w:rsidR="00F64776" w:rsidRDefault="00F64776" w:rsidP="00F64776">
      <w:pPr>
        <w:pStyle w:val="TextoNormal"/>
      </w:pPr>
    </w:p>
    <w:p w14:paraId="515F4CA2" w14:textId="77777777" w:rsidR="00F64776" w:rsidRDefault="00F64776" w:rsidP="00F64776">
      <w:pPr>
        <w:pStyle w:val="TextoNormal"/>
      </w:pPr>
      <w:r w:rsidRPr="00F64776">
        <w:rPr>
          <w:rStyle w:val="NumeroAFNegritaCaracter"/>
        </w:rPr>
        <w:t>3</w:t>
      </w:r>
      <w:r>
        <w:t>. La aplicación de esta doctrina al supuesto que aquí se examina permite concluir, de acuerdo con lo manifestado en sus alegaciones por la fiscal, que resulta improcedente la suspensión solicitada y, por el contrario, aparece como medida idónea la anotación preventiva de la demanda de amparo en el registro de la propiedad.</w:t>
      </w:r>
    </w:p>
    <w:p w14:paraId="6FD68700" w14:textId="77777777" w:rsidR="00F64776" w:rsidRDefault="00F64776" w:rsidP="00F64776">
      <w:pPr>
        <w:pStyle w:val="TextoNormal"/>
      </w:pPr>
    </w:p>
    <w:p w14:paraId="0FDA95CE" w14:textId="77777777" w:rsidR="00F64776" w:rsidRDefault="00F64776" w:rsidP="00F64776">
      <w:pPr>
        <w:pStyle w:val="TextoNormal"/>
      </w:pPr>
      <w:r>
        <w:t>La parte recurrente hace referencia de una manera genérica a que la continuación del procedimiento podría dar lugar a la transmisión de la propiedad del bien inmueble creando una situación irreversible, pero lo hace sin aportar dato o información alguna que permita a este tribunal apreciar esa circunstancia, no siendo posible afirmar que la continuación del curso del procedimiento judicial provoque por sí solo un perjuicio determinante de la pérdida de la finalidad del presente recurso de amparo.</w:t>
      </w:r>
    </w:p>
    <w:p w14:paraId="6FF96D11" w14:textId="77777777" w:rsidR="00F64776" w:rsidRDefault="00F64776" w:rsidP="00F64776">
      <w:pPr>
        <w:pStyle w:val="TextoNormal"/>
      </w:pPr>
    </w:p>
    <w:p w14:paraId="5C788EE2" w14:textId="7DA540BB" w:rsidR="00F64776" w:rsidRDefault="00F64776" w:rsidP="00F64776">
      <w:pPr>
        <w:pStyle w:val="TextoNormal"/>
      </w:pPr>
      <w:r>
        <w:t>Por el contrario, el tribunal entiende que procede acordar, de modo alternativo, la medida cautelar de anotación preventiva de la demanda de amparo en el registro de la propiedad, en cuanto se reputa medida idónea para evitar el perjuicio derivado de que la adquisición del bien por un tercero de buena fe lo hiciera irreivindicable, situación a la que hace referencia la fiscal en su escrito de alegaciones. Se trata de una solución que ha sido acogida, entre otros, en los AATC 106/2017, de 17 de julio, FJ 3; 88/2018, de 17 de septiembre, FJ 5; 2/2019, de 9 de enero, FJ 4; 85/2019, de 15 de julio; 177/2019, de 16 de diciembre, FJ 3, o 171/2022, de 28 de noviembre, FJ 3.</w:t>
      </w:r>
    </w:p>
    <w:p w14:paraId="74DCD57B" w14:textId="77777777" w:rsidR="00F64776" w:rsidRDefault="00F64776" w:rsidP="00F64776">
      <w:pPr>
        <w:pStyle w:val="TextoNormal"/>
      </w:pPr>
    </w:p>
    <w:p w14:paraId="2A4BE96E" w14:textId="77777777" w:rsidR="00F64776" w:rsidRDefault="00F64776" w:rsidP="00F64776">
      <w:pPr>
        <w:pStyle w:val="TextoNormal"/>
      </w:pPr>
      <w:r>
        <w:t>Por lo expuesto, la Sala</w:t>
      </w:r>
    </w:p>
    <w:p w14:paraId="517E9815" w14:textId="009D36CC" w:rsidR="00F64776" w:rsidRDefault="00F64776" w:rsidP="00F64776">
      <w:pPr>
        <w:pStyle w:val="TextoNormal"/>
      </w:pPr>
    </w:p>
    <w:p w14:paraId="767DF92E" w14:textId="77777777" w:rsidR="00F64776" w:rsidRDefault="00F64776" w:rsidP="00F64776">
      <w:pPr>
        <w:pStyle w:val="TextoNormalCentrado"/>
      </w:pPr>
      <w:r>
        <w:t>ACUERDA</w:t>
      </w:r>
    </w:p>
    <w:p w14:paraId="22D60318" w14:textId="07417DA6" w:rsidR="00F64776" w:rsidRDefault="00F64776" w:rsidP="00F64776">
      <w:pPr>
        <w:pStyle w:val="TextoNormalCentrado"/>
      </w:pPr>
    </w:p>
    <w:p w14:paraId="48C8DF1A" w14:textId="77777777" w:rsidR="00F64776" w:rsidRDefault="00F64776" w:rsidP="00F64776">
      <w:pPr>
        <w:pStyle w:val="TextoNormal"/>
      </w:pPr>
      <w:r>
        <w:t>1º Denegar la suspensión cautelar solicitada del procedimiento de ejecución hipotecaria núm. 355-2018 seguido en el Juzgado de Primera Instancia e Instrucción núm. 4 de Lorca.</w:t>
      </w:r>
    </w:p>
    <w:p w14:paraId="3ED5E838" w14:textId="77777777" w:rsidR="00F64776" w:rsidRDefault="00F64776" w:rsidP="00F64776">
      <w:pPr>
        <w:pStyle w:val="TextoNormal"/>
      </w:pPr>
    </w:p>
    <w:p w14:paraId="6948980C" w14:textId="731AEC2A" w:rsidR="00F64776" w:rsidRDefault="00F64776" w:rsidP="00F64776">
      <w:pPr>
        <w:pStyle w:val="TextoNormal"/>
      </w:pPr>
      <w:r>
        <w:t>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14:paraId="239C2071" w14:textId="77777777" w:rsidR="00F64776" w:rsidRDefault="00F64776" w:rsidP="00F64776">
      <w:pPr>
        <w:pStyle w:val="TextoNormal"/>
      </w:pPr>
    </w:p>
    <w:p w14:paraId="3E874120" w14:textId="77777777" w:rsidR="00F64776" w:rsidRDefault="00F64776" w:rsidP="00F64776">
      <w:pPr>
        <w:pStyle w:val="TextoNormal"/>
      </w:pPr>
      <w:r>
        <w:t>Madrid, a diecisiete de julio de dos mil veintitrés.</w:t>
      </w:r>
    </w:p>
    <w:p w14:paraId="7E072580" w14:textId="7336883F" w:rsidR="00F64776" w:rsidRDefault="00F64776">
      <w:pPr>
        <w:spacing w:after="160" w:line="278" w:lineRule="auto"/>
        <w:rPr>
          <w:rFonts w:ascii="Times New Roman" w:eastAsia="Times New Roman" w:hAnsi="Times New Roman" w:cs="Times New Roman"/>
          <w:sz w:val="24"/>
          <w:szCs w:val="24"/>
          <w:lang w:eastAsia="es-ES"/>
        </w:rPr>
      </w:pPr>
      <w:r>
        <w:br w:type="page"/>
      </w:r>
    </w:p>
    <w:p w14:paraId="28A09E4E" w14:textId="77777777" w:rsidR="00F64776" w:rsidRDefault="00F64776" w:rsidP="00F64776">
      <w:pPr>
        <w:pStyle w:val="TtuloResolucin"/>
      </w:pPr>
      <w:bookmarkStart w:id="156" w:name="AUTO_2023_371"/>
      <w:r>
        <w:t>AUTO 371/2023, de 17 de julio de 2023</w:t>
      </w:r>
    </w:p>
    <w:bookmarkEnd w:id="156"/>
    <w:p w14:paraId="55B1C9EF" w14:textId="77777777" w:rsidR="00F64776" w:rsidRDefault="00F64776" w:rsidP="00F64776">
      <w:pPr>
        <w:pStyle w:val="TtuloResolucin"/>
      </w:pPr>
      <w:r>
        <w:t>Sección Tercera</w:t>
      </w:r>
    </w:p>
    <w:p w14:paraId="118307C4" w14:textId="77777777" w:rsidR="00F64776" w:rsidRDefault="00F64776" w:rsidP="00F64776">
      <w:pPr>
        <w:pStyle w:val="TextoNormalCentrado"/>
      </w:pPr>
      <w:r>
        <w:t>ECLI:ES:TC:2023:371A</w:t>
      </w:r>
    </w:p>
    <w:p w14:paraId="397896FC" w14:textId="62452400" w:rsidR="00F64776" w:rsidRDefault="00F64776" w:rsidP="00F64776">
      <w:pPr>
        <w:pStyle w:val="TextoNormalCentrado"/>
      </w:pPr>
    </w:p>
    <w:p w14:paraId="732C61C6" w14:textId="77777777" w:rsidR="00F64776" w:rsidRDefault="00F64776" w:rsidP="00F64776">
      <w:pPr>
        <w:pStyle w:val="SntesisDescriptiva"/>
      </w:pPr>
      <w:r>
        <w:t>Excms. Srs. doña Inmaculada Montalbán Huertas y doña Laura Díez Bueso.</w:t>
      </w:r>
    </w:p>
    <w:p w14:paraId="5DAFF1D7" w14:textId="41DDC070" w:rsidR="00F64776" w:rsidRDefault="00F64776" w:rsidP="00F64776">
      <w:pPr>
        <w:pStyle w:val="SntesisDescriptiva"/>
      </w:pPr>
    </w:p>
    <w:p w14:paraId="7089D5E2" w14:textId="77777777" w:rsidR="00F64776" w:rsidRDefault="00F64776" w:rsidP="00F64776">
      <w:pPr>
        <w:pStyle w:val="SntesisDescriptiva"/>
      </w:pPr>
      <w:r>
        <w:t>Acepta una abstención en el recurso de amparo 6737-2022, promovido en proceso contencioso-administrativo.</w:t>
      </w:r>
    </w:p>
    <w:p w14:paraId="7D4CA638" w14:textId="0091B2ED" w:rsidR="00F64776" w:rsidRDefault="00F64776" w:rsidP="00F64776">
      <w:pPr>
        <w:pStyle w:val="SntesisDescriptiva"/>
      </w:pPr>
    </w:p>
    <w:p w14:paraId="7664B4E2" w14:textId="77777777" w:rsidR="00F64776" w:rsidRDefault="00F64776" w:rsidP="00F64776">
      <w:pPr>
        <w:pStyle w:val="SntesisDescriptiva"/>
      </w:pPr>
    </w:p>
    <w:p w14:paraId="0AE2F242" w14:textId="77777777" w:rsidR="00F64776" w:rsidRDefault="00F64776" w:rsidP="00F64776">
      <w:pPr>
        <w:pStyle w:val="SntesisDescriptiva"/>
      </w:pPr>
    </w:p>
    <w:p w14:paraId="7553C61D" w14:textId="77777777" w:rsidR="00F64776" w:rsidRDefault="00F64776" w:rsidP="00F64776">
      <w:pPr>
        <w:pStyle w:val="TextoNormalNegritaCentrado"/>
      </w:pPr>
      <w:r>
        <w:t>AUTO</w:t>
      </w:r>
    </w:p>
    <w:p w14:paraId="45175379" w14:textId="2AEA3082" w:rsidR="00F64776" w:rsidRDefault="00F64776" w:rsidP="00F64776">
      <w:pPr>
        <w:pStyle w:val="TextoNormalNegritaCentrado"/>
      </w:pPr>
    </w:p>
    <w:p w14:paraId="5A1978F0" w14:textId="77777777" w:rsidR="00F64776" w:rsidRDefault="00F64776" w:rsidP="00F64776">
      <w:pPr>
        <w:pStyle w:val="TextoNormalNegritaCentrado"/>
        <w:keepNext/>
      </w:pPr>
      <w:r>
        <w:t>I. Antecedentes</w:t>
      </w:r>
    </w:p>
    <w:p w14:paraId="3D6DCFBE" w14:textId="38C78A82" w:rsidR="00F64776" w:rsidRDefault="00F64776" w:rsidP="00F64776">
      <w:pPr>
        <w:pStyle w:val="TextoNormalNegritaCentrado"/>
        <w:keepNext/>
      </w:pPr>
    </w:p>
    <w:p w14:paraId="165B62CE" w14:textId="15E93CC5" w:rsidR="00F64776" w:rsidRDefault="00F64776" w:rsidP="00F64776">
      <w:pPr>
        <w:pStyle w:val="TextoNormal"/>
      </w:pPr>
      <w:r w:rsidRPr="00F64776">
        <w:rPr>
          <w:rStyle w:val="NumeroAFNegritaCaracter"/>
        </w:rPr>
        <w:t>1</w:t>
      </w:r>
      <w:r>
        <w:t>. Mediante escrito registrado en este tribunal el 14 de octubre de 2022 el procurador de los tribunales don José María Ruiz de la Cuesta Vacas, en nombre y representación de doña Inés Gómez Álvarez y otros y bajo la dirección del letrado don Francisco Javier Araúz de Robles Dávila, interpuso demanda de amparo contra providencia de 27 de julio de 2022 dictada por la Sección Primera de la Sala de lo Contencioso-Administrativo del Tribunal Supremo en recurso de casación núm. 6935-2021.</w:t>
      </w:r>
    </w:p>
    <w:p w14:paraId="69806F0F" w14:textId="77777777" w:rsidR="00F64776" w:rsidRDefault="00F64776" w:rsidP="00F64776">
      <w:pPr>
        <w:pStyle w:val="TextoNormal"/>
      </w:pPr>
    </w:p>
    <w:p w14:paraId="2A35F4F7" w14:textId="65753367" w:rsidR="00F64776" w:rsidRDefault="00F64776" w:rsidP="00F64776">
      <w:pPr>
        <w:pStyle w:val="TextoNormal"/>
      </w:pPr>
      <w:r w:rsidRPr="00F64776">
        <w:rPr>
          <w:rStyle w:val="NumeroAFNegritaCaracter"/>
        </w:rPr>
        <w:t>2</w:t>
      </w:r>
      <w:r>
        <w:t>. Por escrito de 29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678E1B3A" w14:textId="77777777" w:rsidR="00F64776" w:rsidRDefault="00F64776" w:rsidP="00F64776">
      <w:pPr>
        <w:pStyle w:val="TextoNormal"/>
      </w:pPr>
    </w:p>
    <w:p w14:paraId="2D1BF36C" w14:textId="77777777" w:rsidR="00F64776" w:rsidRDefault="00F64776" w:rsidP="00F64776">
      <w:pPr>
        <w:pStyle w:val="TextoNormalNegritaCentrado"/>
        <w:keepNext/>
      </w:pPr>
      <w:r>
        <w:t>II. Fundamentos jurídicos</w:t>
      </w:r>
    </w:p>
    <w:p w14:paraId="06569F67" w14:textId="442DD39C" w:rsidR="00F64776" w:rsidRDefault="00F64776" w:rsidP="00F64776">
      <w:pPr>
        <w:pStyle w:val="TextoNormalNegritaCentrado"/>
        <w:keepNext/>
      </w:pPr>
    </w:p>
    <w:p w14:paraId="15DC30D7" w14:textId="3034E2F4"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551FA97E" w14:textId="77777777" w:rsidR="00F64776" w:rsidRDefault="00F64776" w:rsidP="00F64776">
      <w:pPr>
        <w:pStyle w:val="TextoNormal"/>
      </w:pPr>
    </w:p>
    <w:p w14:paraId="4DD8837F" w14:textId="77777777" w:rsidR="00F64776" w:rsidRDefault="00F64776" w:rsidP="00F64776">
      <w:pPr>
        <w:pStyle w:val="TextoNormal"/>
      </w:pPr>
      <w:r>
        <w:t>Por lo expuesto, la Sección</w:t>
      </w:r>
    </w:p>
    <w:p w14:paraId="77DFFAC6" w14:textId="66A472E4" w:rsidR="00F64776" w:rsidRDefault="00F64776" w:rsidP="00F64776">
      <w:pPr>
        <w:pStyle w:val="TextoNormal"/>
      </w:pPr>
    </w:p>
    <w:p w14:paraId="0B4071E3" w14:textId="77777777" w:rsidR="00F64776" w:rsidRDefault="00F64776" w:rsidP="00F64776">
      <w:pPr>
        <w:pStyle w:val="TextoNormalCentrado"/>
      </w:pPr>
      <w:r>
        <w:t>ACUERDA</w:t>
      </w:r>
    </w:p>
    <w:p w14:paraId="281755E3" w14:textId="2246A54E" w:rsidR="00F64776" w:rsidRDefault="00F64776" w:rsidP="00F64776">
      <w:pPr>
        <w:pStyle w:val="TextoNormalCentrado"/>
      </w:pPr>
    </w:p>
    <w:p w14:paraId="3FBFA7AE" w14:textId="3690A158" w:rsidR="00F64776" w:rsidRDefault="00F64776" w:rsidP="00F64776">
      <w:pPr>
        <w:pStyle w:val="TextoNormal"/>
      </w:pPr>
      <w:r>
        <w:t>Estimar justificada la abstención formulada por el magistrado señor don César Tolosa Tribiño en el recurso de amparo núm. 6737-2022 y apartarle definitivamente del conocimiento del referido recurso y de todas sus incidencias.</w:t>
      </w:r>
    </w:p>
    <w:p w14:paraId="0A6BD287" w14:textId="77777777" w:rsidR="00F64776" w:rsidRDefault="00F64776" w:rsidP="00F64776">
      <w:pPr>
        <w:pStyle w:val="TextoNormal"/>
      </w:pPr>
    </w:p>
    <w:p w14:paraId="744A84AA" w14:textId="77777777" w:rsidR="00F64776" w:rsidRDefault="00F64776" w:rsidP="00F64776">
      <w:pPr>
        <w:pStyle w:val="TextoNormal"/>
      </w:pPr>
      <w:r>
        <w:t>Madrid, a diecisiete de julio de dos mil veintitrés.</w:t>
      </w:r>
    </w:p>
    <w:p w14:paraId="7BC9AB87" w14:textId="02C655FA" w:rsidR="00F64776" w:rsidRDefault="00F64776">
      <w:pPr>
        <w:spacing w:after="160" w:line="278" w:lineRule="auto"/>
        <w:rPr>
          <w:rFonts w:ascii="Times New Roman" w:eastAsia="Times New Roman" w:hAnsi="Times New Roman" w:cs="Times New Roman"/>
          <w:sz w:val="24"/>
          <w:szCs w:val="24"/>
          <w:lang w:eastAsia="es-ES"/>
        </w:rPr>
      </w:pPr>
      <w:r>
        <w:br w:type="page"/>
      </w:r>
    </w:p>
    <w:p w14:paraId="510A460E" w14:textId="77777777" w:rsidR="00F64776" w:rsidRDefault="00F64776" w:rsidP="00F64776">
      <w:pPr>
        <w:pStyle w:val="TtuloResolucin"/>
      </w:pPr>
      <w:bookmarkStart w:id="157" w:name="AUTO_2023_372"/>
      <w:r>
        <w:t>AUTO 372/2023, de 17 de julio de 2023</w:t>
      </w:r>
    </w:p>
    <w:bookmarkEnd w:id="157"/>
    <w:p w14:paraId="331D4B8C" w14:textId="77777777" w:rsidR="00F64776" w:rsidRDefault="00F64776" w:rsidP="00F64776">
      <w:pPr>
        <w:pStyle w:val="TtuloResolucin"/>
      </w:pPr>
      <w:r>
        <w:t>Sección Tercera</w:t>
      </w:r>
    </w:p>
    <w:p w14:paraId="6B7B8651" w14:textId="77777777" w:rsidR="00F64776" w:rsidRDefault="00F64776" w:rsidP="00F64776">
      <w:pPr>
        <w:pStyle w:val="TextoNormalCentrado"/>
      </w:pPr>
      <w:r>
        <w:t>ECLI:ES:TC:2023:372A</w:t>
      </w:r>
    </w:p>
    <w:p w14:paraId="342E815B" w14:textId="772542AB" w:rsidR="00F64776" w:rsidRDefault="00F64776" w:rsidP="00F64776">
      <w:pPr>
        <w:pStyle w:val="TextoNormalCentrado"/>
      </w:pPr>
    </w:p>
    <w:p w14:paraId="14B048B0" w14:textId="77777777" w:rsidR="00F64776" w:rsidRDefault="00F64776" w:rsidP="00F64776">
      <w:pPr>
        <w:pStyle w:val="SntesisDescriptiva"/>
      </w:pPr>
      <w:r>
        <w:t>Excms. Srs. doña Inmaculada Montalbán Huertas y doña Laura Díez Bueso.</w:t>
      </w:r>
    </w:p>
    <w:p w14:paraId="5BBD5BB3" w14:textId="0A73B9EC" w:rsidR="00F64776" w:rsidRDefault="00F64776" w:rsidP="00F64776">
      <w:pPr>
        <w:pStyle w:val="SntesisDescriptiva"/>
      </w:pPr>
    </w:p>
    <w:p w14:paraId="49D0889E" w14:textId="77777777" w:rsidR="00F64776" w:rsidRDefault="00F64776" w:rsidP="00F64776">
      <w:pPr>
        <w:pStyle w:val="SntesisDescriptiva"/>
      </w:pPr>
      <w:r>
        <w:t>Acepta una abstención en el recurso de amparo 7159-2022, promovido en proceso contencioso-administrativo.</w:t>
      </w:r>
    </w:p>
    <w:p w14:paraId="3CF91DF6" w14:textId="3BFF3CE9" w:rsidR="00F64776" w:rsidRDefault="00F64776" w:rsidP="00F64776">
      <w:pPr>
        <w:pStyle w:val="SntesisDescriptiva"/>
      </w:pPr>
    </w:p>
    <w:p w14:paraId="42E41BB7" w14:textId="77777777" w:rsidR="00F64776" w:rsidRDefault="00F64776" w:rsidP="00F64776">
      <w:pPr>
        <w:pStyle w:val="SntesisDescriptiva"/>
      </w:pPr>
    </w:p>
    <w:p w14:paraId="0343D231" w14:textId="77777777" w:rsidR="00F64776" w:rsidRDefault="00F64776" w:rsidP="00F64776">
      <w:pPr>
        <w:pStyle w:val="SntesisDescriptiva"/>
      </w:pPr>
    </w:p>
    <w:p w14:paraId="6A68EE4C" w14:textId="77777777" w:rsidR="00F64776" w:rsidRDefault="00F64776" w:rsidP="00F64776">
      <w:pPr>
        <w:pStyle w:val="TextoNormalNegritaCentrado"/>
      </w:pPr>
      <w:r>
        <w:t>AUTO</w:t>
      </w:r>
    </w:p>
    <w:p w14:paraId="189279F0" w14:textId="465C9FBD" w:rsidR="00F64776" w:rsidRDefault="00F64776" w:rsidP="00F64776">
      <w:pPr>
        <w:pStyle w:val="TextoNormalNegritaCentrado"/>
      </w:pPr>
    </w:p>
    <w:p w14:paraId="0EDE696D" w14:textId="77777777" w:rsidR="00F64776" w:rsidRDefault="00F64776" w:rsidP="00F64776">
      <w:pPr>
        <w:pStyle w:val="TextoNormalNegritaCentrado"/>
        <w:keepNext/>
      </w:pPr>
      <w:r>
        <w:t>I. Antecedentes</w:t>
      </w:r>
    </w:p>
    <w:p w14:paraId="7E4EE04A" w14:textId="32FF8001" w:rsidR="00F64776" w:rsidRDefault="00F64776" w:rsidP="00F64776">
      <w:pPr>
        <w:pStyle w:val="TextoNormalNegritaCentrado"/>
        <w:keepNext/>
      </w:pPr>
    </w:p>
    <w:p w14:paraId="6B1024F9" w14:textId="4A179E85" w:rsidR="00F64776" w:rsidRDefault="00F64776" w:rsidP="00F64776">
      <w:pPr>
        <w:pStyle w:val="TextoNormal"/>
      </w:pPr>
      <w:r w:rsidRPr="00F64776">
        <w:rPr>
          <w:rStyle w:val="NumeroAFNegritaCaracter"/>
        </w:rPr>
        <w:t>1</w:t>
      </w:r>
      <w:r>
        <w:t>. Mediante escrito registrado en este tribunal el 3 de noviembre de 2022 el procurador de los tribunales don José María Ruiz de la Cuesta Vacas, en nombre y representación de doña María Soterraña Calvo Barrio y bajo la dirección del letrado don Francisco Javier Araúz de Robles Dávila, interpuso demanda de amparo contra la providencia de fecha 22 de septiembre de 2022, dictada por la Sección Primera de la Sala de lo Contencioso-Administrativo del Tribunal Supremo en el recurso de casación núm. 553-2022.</w:t>
      </w:r>
    </w:p>
    <w:p w14:paraId="5075365E" w14:textId="77777777" w:rsidR="00F64776" w:rsidRDefault="00F64776" w:rsidP="00F64776">
      <w:pPr>
        <w:pStyle w:val="TextoNormal"/>
      </w:pPr>
    </w:p>
    <w:p w14:paraId="74BF3908" w14:textId="69A264E1" w:rsidR="00F64776" w:rsidRDefault="00F64776" w:rsidP="00F64776">
      <w:pPr>
        <w:pStyle w:val="TextoNormal"/>
      </w:pPr>
      <w:r w:rsidRPr="00F64776">
        <w:rPr>
          <w:rStyle w:val="NumeroAFNegritaCaracter"/>
        </w:rPr>
        <w:t>2</w:t>
      </w:r>
      <w:r>
        <w:t>. Por escrito de 29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5774B314" w14:textId="77777777" w:rsidR="00F64776" w:rsidRDefault="00F64776" w:rsidP="00F64776">
      <w:pPr>
        <w:pStyle w:val="TextoNormal"/>
      </w:pPr>
    </w:p>
    <w:p w14:paraId="29C282C9" w14:textId="77777777" w:rsidR="00F64776" w:rsidRDefault="00F64776" w:rsidP="00F64776">
      <w:pPr>
        <w:pStyle w:val="TextoNormalNegritaCentrado"/>
        <w:keepNext/>
      </w:pPr>
      <w:r>
        <w:t>II. Fundamentos jurídicos</w:t>
      </w:r>
    </w:p>
    <w:p w14:paraId="2D487585" w14:textId="4FD1414A" w:rsidR="00F64776" w:rsidRDefault="00F64776" w:rsidP="00F64776">
      <w:pPr>
        <w:pStyle w:val="TextoNormalNegritaCentrado"/>
        <w:keepNext/>
      </w:pPr>
    </w:p>
    <w:p w14:paraId="23149DDD" w14:textId="2E4098C3"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204FEF4B" w14:textId="77777777" w:rsidR="00F64776" w:rsidRDefault="00F64776" w:rsidP="00F64776">
      <w:pPr>
        <w:pStyle w:val="TextoNormal"/>
      </w:pPr>
    </w:p>
    <w:p w14:paraId="626F335F" w14:textId="77777777" w:rsidR="00F64776" w:rsidRDefault="00F64776" w:rsidP="00F64776">
      <w:pPr>
        <w:pStyle w:val="TextoNormal"/>
      </w:pPr>
      <w:r>
        <w:t>Por lo expuesto, la Sección</w:t>
      </w:r>
    </w:p>
    <w:p w14:paraId="338823B1" w14:textId="08CE03AA" w:rsidR="00F64776" w:rsidRDefault="00F64776" w:rsidP="00F64776">
      <w:pPr>
        <w:pStyle w:val="TextoNormal"/>
      </w:pPr>
    </w:p>
    <w:p w14:paraId="3456F93E" w14:textId="77777777" w:rsidR="00F64776" w:rsidRDefault="00F64776" w:rsidP="00F64776">
      <w:pPr>
        <w:pStyle w:val="TextoNormalCentrado"/>
      </w:pPr>
      <w:r>
        <w:t>ACUERDA</w:t>
      </w:r>
    </w:p>
    <w:p w14:paraId="33C1DDBC" w14:textId="2F644279" w:rsidR="00F64776" w:rsidRDefault="00F64776" w:rsidP="00F64776">
      <w:pPr>
        <w:pStyle w:val="TextoNormalCentrado"/>
      </w:pPr>
    </w:p>
    <w:p w14:paraId="489EC138" w14:textId="0D675890" w:rsidR="00F64776" w:rsidRDefault="00F64776" w:rsidP="00F64776">
      <w:pPr>
        <w:pStyle w:val="TextoNormal"/>
      </w:pPr>
      <w:r>
        <w:t>Estimar justificada la abstención formulada por el magistrado señor don César Tolosa Tribiño en el recurso de amparo núm. 7159-2022 y apartarle definitivamente del conocimiento del referido recurso y de todas sus incidencias.</w:t>
      </w:r>
    </w:p>
    <w:p w14:paraId="09BD5D9B" w14:textId="77777777" w:rsidR="00F64776" w:rsidRDefault="00F64776" w:rsidP="00F64776">
      <w:pPr>
        <w:pStyle w:val="TextoNormal"/>
      </w:pPr>
    </w:p>
    <w:p w14:paraId="7495DA6D" w14:textId="77777777" w:rsidR="00F64776" w:rsidRDefault="00F64776" w:rsidP="00F64776">
      <w:pPr>
        <w:pStyle w:val="TextoNormal"/>
      </w:pPr>
      <w:r>
        <w:t>Madrid, a diecisiete de julio de dos mil veintitrés.</w:t>
      </w:r>
    </w:p>
    <w:p w14:paraId="209E5A23" w14:textId="75F4ADDA" w:rsidR="00F64776" w:rsidRDefault="00F64776">
      <w:pPr>
        <w:spacing w:after="160" w:line="278" w:lineRule="auto"/>
        <w:rPr>
          <w:rFonts w:ascii="Times New Roman" w:eastAsia="Times New Roman" w:hAnsi="Times New Roman" w:cs="Times New Roman"/>
          <w:sz w:val="24"/>
          <w:szCs w:val="24"/>
          <w:lang w:eastAsia="es-ES"/>
        </w:rPr>
      </w:pPr>
      <w:r>
        <w:br w:type="page"/>
      </w:r>
    </w:p>
    <w:p w14:paraId="0E150297" w14:textId="77777777" w:rsidR="00F64776" w:rsidRDefault="00F64776" w:rsidP="00F64776">
      <w:pPr>
        <w:pStyle w:val="TtuloResolucin"/>
      </w:pPr>
      <w:bookmarkStart w:id="158" w:name="AUTO_2023_373"/>
      <w:r>
        <w:t>AUTO 373/2023, de 17 de julio de 2023</w:t>
      </w:r>
    </w:p>
    <w:bookmarkEnd w:id="158"/>
    <w:p w14:paraId="12792A6A" w14:textId="77777777" w:rsidR="00F64776" w:rsidRDefault="00F64776" w:rsidP="00F64776">
      <w:pPr>
        <w:pStyle w:val="TtuloResolucin"/>
      </w:pPr>
      <w:r>
        <w:t>Sección Tercera</w:t>
      </w:r>
    </w:p>
    <w:p w14:paraId="095727D7" w14:textId="77777777" w:rsidR="00F64776" w:rsidRDefault="00F64776" w:rsidP="00F64776">
      <w:pPr>
        <w:pStyle w:val="TextoNormalCentrado"/>
      </w:pPr>
      <w:r>
        <w:t>ECLI:ES:TC:2023:373A</w:t>
      </w:r>
    </w:p>
    <w:p w14:paraId="00BC4EDB" w14:textId="5329E586" w:rsidR="00F64776" w:rsidRDefault="00F64776" w:rsidP="00F64776">
      <w:pPr>
        <w:pStyle w:val="TextoNormalCentrado"/>
      </w:pPr>
    </w:p>
    <w:p w14:paraId="4FBA3428" w14:textId="77777777" w:rsidR="00F64776" w:rsidRDefault="00F64776" w:rsidP="00F64776">
      <w:pPr>
        <w:pStyle w:val="SntesisDescriptiva"/>
      </w:pPr>
      <w:r>
        <w:t>Excms. Srs. doña Inmaculada Montalbán Huertas y doña Laura Díez Bueso.</w:t>
      </w:r>
    </w:p>
    <w:p w14:paraId="519FBE35" w14:textId="7850D2F7" w:rsidR="00F64776" w:rsidRDefault="00F64776" w:rsidP="00F64776">
      <w:pPr>
        <w:pStyle w:val="SntesisDescriptiva"/>
      </w:pPr>
    </w:p>
    <w:p w14:paraId="2A05E25C" w14:textId="77777777" w:rsidR="00F64776" w:rsidRDefault="00F64776" w:rsidP="00F64776">
      <w:pPr>
        <w:pStyle w:val="SntesisDescriptiva"/>
      </w:pPr>
      <w:r>
        <w:t>Acepta una abstención en el recurso de amparo 7202-2022, promovido en proceso contencioso-administrativo.</w:t>
      </w:r>
    </w:p>
    <w:p w14:paraId="65540116" w14:textId="62BA8ED1" w:rsidR="00F64776" w:rsidRDefault="00F64776" w:rsidP="00F64776">
      <w:pPr>
        <w:pStyle w:val="SntesisDescriptiva"/>
      </w:pPr>
    </w:p>
    <w:p w14:paraId="5B495234" w14:textId="77777777" w:rsidR="00F64776" w:rsidRDefault="00F64776" w:rsidP="00F64776">
      <w:pPr>
        <w:pStyle w:val="SntesisDescriptiva"/>
      </w:pPr>
    </w:p>
    <w:p w14:paraId="7DCB5139" w14:textId="77777777" w:rsidR="00F64776" w:rsidRDefault="00F64776" w:rsidP="00F64776">
      <w:pPr>
        <w:pStyle w:val="SntesisDescriptiva"/>
      </w:pPr>
    </w:p>
    <w:p w14:paraId="4CC09F5C" w14:textId="77777777" w:rsidR="00F64776" w:rsidRDefault="00F64776" w:rsidP="00F64776">
      <w:pPr>
        <w:pStyle w:val="TextoNormalNegritaCentrado"/>
      </w:pPr>
      <w:r>
        <w:t>AUTO</w:t>
      </w:r>
    </w:p>
    <w:p w14:paraId="246EC495" w14:textId="48785E25" w:rsidR="00F64776" w:rsidRDefault="00F64776" w:rsidP="00F64776">
      <w:pPr>
        <w:pStyle w:val="TextoNormalNegritaCentrado"/>
      </w:pPr>
    </w:p>
    <w:p w14:paraId="31EC4BD3" w14:textId="77777777" w:rsidR="00F64776" w:rsidRDefault="00F64776" w:rsidP="00F64776">
      <w:pPr>
        <w:pStyle w:val="TextoNormalNegritaCentrado"/>
        <w:keepNext/>
      </w:pPr>
      <w:r>
        <w:t>I. Antecedentes</w:t>
      </w:r>
    </w:p>
    <w:p w14:paraId="7EF1735E" w14:textId="0FE3D197" w:rsidR="00F64776" w:rsidRDefault="00F64776" w:rsidP="00F64776">
      <w:pPr>
        <w:pStyle w:val="TextoNormalNegritaCentrado"/>
        <w:keepNext/>
      </w:pPr>
    </w:p>
    <w:p w14:paraId="5D949FC0" w14:textId="7D7C8F2B" w:rsidR="00F64776" w:rsidRDefault="00F64776" w:rsidP="00F64776">
      <w:pPr>
        <w:pStyle w:val="TextoNormal"/>
      </w:pPr>
      <w:r w:rsidRPr="00F64776">
        <w:rPr>
          <w:rStyle w:val="NumeroAFNegritaCaracter"/>
        </w:rPr>
        <w:t>1</w:t>
      </w:r>
      <w:r>
        <w:t>. Mediante escrito registrado en este tribunal el 4 de noviembre de 2022 el procurador de los tribunales don José María Ruiz de la Cuesta Vacas, en nombre y representación de don Juan Carlos Nieto Lozano y otros y bajo la dirección del letrado don Francisco Javier Araúz de Robles Dávila, interpuso demanda de amparo contra providencia de la Sección Primera Sala de lo Contencioso-Administrativo del Tribunal Supremo en recurso de casación núm. 2250-2021.</w:t>
      </w:r>
    </w:p>
    <w:p w14:paraId="7F1A3E93" w14:textId="77777777" w:rsidR="00F64776" w:rsidRDefault="00F64776" w:rsidP="00F64776">
      <w:pPr>
        <w:pStyle w:val="TextoNormal"/>
      </w:pPr>
    </w:p>
    <w:p w14:paraId="161A72B6" w14:textId="5A2D061E" w:rsidR="00F64776" w:rsidRDefault="00F64776" w:rsidP="00F64776">
      <w:pPr>
        <w:pStyle w:val="TextoNormal"/>
      </w:pPr>
      <w:r w:rsidRPr="00F64776">
        <w:rPr>
          <w:rStyle w:val="NumeroAFNegritaCaracter"/>
        </w:rPr>
        <w:t>2</w:t>
      </w:r>
      <w:r>
        <w:t>. Por escrito de 29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09FA1F11" w14:textId="77777777" w:rsidR="00F64776" w:rsidRDefault="00F64776" w:rsidP="00F64776">
      <w:pPr>
        <w:pStyle w:val="TextoNormal"/>
      </w:pPr>
    </w:p>
    <w:p w14:paraId="1BD66F0A" w14:textId="77777777" w:rsidR="00F64776" w:rsidRDefault="00F64776" w:rsidP="00F64776">
      <w:pPr>
        <w:pStyle w:val="TextoNormalNegritaCentrado"/>
        <w:keepNext/>
      </w:pPr>
      <w:r>
        <w:t>II. Fundamentos jurídicos</w:t>
      </w:r>
    </w:p>
    <w:p w14:paraId="52353381" w14:textId="5E05B3FA" w:rsidR="00F64776" w:rsidRDefault="00F64776" w:rsidP="00F64776">
      <w:pPr>
        <w:pStyle w:val="TextoNormalNegritaCentrado"/>
        <w:keepNext/>
      </w:pPr>
    </w:p>
    <w:p w14:paraId="4D3D59CC" w14:textId="431217F1"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6BC78EA1" w14:textId="77777777" w:rsidR="00F64776" w:rsidRDefault="00F64776" w:rsidP="00F64776">
      <w:pPr>
        <w:pStyle w:val="TextoNormal"/>
      </w:pPr>
    </w:p>
    <w:p w14:paraId="1A6FC2BD" w14:textId="77777777" w:rsidR="00F64776" w:rsidRDefault="00F64776" w:rsidP="00F64776">
      <w:pPr>
        <w:pStyle w:val="TextoNormal"/>
      </w:pPr>
      <w:r>
        <w:t>Por lo expuesto, la Sección</w:t>
      </w:r>
    </w:p>
    <w:p w14:paraId="5EAF2438" w14:textId="000D5483" w:rsidR="00F64776" w:rsidRDefault="00F64776" w:rsidP="00F64776">
      <w:pPr>
        <w:pStyle w:val="TextoNormal"/>
      </w:pPr>
    </w:p>
    <w:p w14:paraId="03F89BD5" w14:textId="77777777" w:rsidR="00F64776" w:rsidRDefault="00F64776" w:rsidP="00F64776">
      <w:pPr>
        <w:pStyle w:val="TextoNormalCentrado"/>
      </w:pPr>
      <w:r>
        <w:t>ACUERDA</w:t>
      </w:r>
    </w:p>
    <w:p w14:paraId="42FFD339" w14:textId="6B57021A" w:rsidR="00F64776" w:rsidRDefault="00F64776" w:rsidP="00F64776">
      <w:pPr>
        <w:pStyle w:val="TextoNormalCentrado"/>
      </w:pPr>
    </w:p>
    <w:p w14:paraId="6C454724" w14:textId="38C7293D" w:rsidR="00F64776" w:rsidRDefault="00F64776" w:rsidP="00F64776">
      <w:pPr>
        <w:pStyle w:val="TextoNormal"/>
      </w:pPr>
      <w:r>
        <w:t>Estimar justificada la abstención formulada por el magistrado señor don César Tolosa Tribiño en el recurso de amparo núm. 7202-2022 y apartarle definitivamente del conocimiento del referido recurso y de todas sus incidencias.</w:t>
      </w:r>
    </w:p>
    <w:p w14:paraId="68BE9B8D" w14:textId="77777777" w:rsidR="00F64776" w:rsidRDefault="00F64776" w:rsidP="00F64776">
      <w:pPr>
        <w:pStyle w:val="TextoNormal"/>
      </w:pPr>
    </w:p>
    <w:p w14:paraId="1AB6B369" w14:textId="77777777" w:rsidR="00F64776" w:rsidRDefault="00F64776" w:rsidP="00F64776">
      <w:pPr>
        <w:pStyle w:val="TextoNormal"/>
      </w:pPr>
      <w:r>
        <w:t>Madrid, a diecisiete de julio de dos mil veintitrés.</w:t>
      </w:r>
    </w:p>
    <w:p w14:paraId="14A0CE0B" w14:textId="780D27AD" w:rsidR="00F64776" w:rsidRDefault="00F64776">
      <w:pPr>
        <w:spacing w:after="160" w:line="278" w:lineRule="auto"/>
        <w:rPr>
          <w:rFonts w:ascii="Times New Roman" w:eastAsia="Times New Roman" w:hAnsi="Times New Roman" w:cs="Times New Roman"/>
          <w:sz w:val="24"/>
          <w:szCs w:val="24"/>
          <w:lang w:eastAsia="es-ES"/>
        </w:rPr>
      </w:pPr>
      <w:r>
        <w:br w:type="page"/>
      </w:r>
    </w:p>
    <w:p w14:paraId="7145DB9D" w14:textId="77777777" w:rsidR="00F64776" w:rsidRDefault="00F64776" w:rsidP="00F64776">
      <w:pPr>
        <w:pStyle w:val="TtuloResolucin"/>
      </w:pPr>
      <w:bookmarkStart w:id="159" w:name="AUTO_2023_374"/>
      <w:r>
        <w:t>AUTO 374/2023, de 18 de julio de 2023</w:t>
      </w:r>
    </w:p>
    <w:bookmarkEnd w:id="159"/>
    <w:p w14:paraId="62E01908" w14:textId="77777777" w:rsidR="00F64776" w:rsidRDefault="00F64776" w:rsidP="00F64776">
      <w:pPr>
        <w:pStyle w:val="TtuloResolucin"/>
      </w:pPr>
      <w:r>
        <w:t>Pleno</w:t>
      </w:r>
    </w:p>
    <w:p w14:paraId="41DC6AF3" w14:textId="77777777" w:rsidR="00F64776" w:rsidRDefault="00F64776" w:rsidP="00F64776">
      <w:pPr>
        <w:pStyle w:val="TextoNormalCentrado"/>
      </w:pPr>
      <w:r>
        <w:t>ECLI:ES:TC:2023:374A</w:t>
      </w:r>
    </w:p>
    <w:p w14:paraId="42267A88" w14:textId="59378454" w:rsidR="00F64776" w:rsidRDefault="00F64776" w:rsidP="00F64776">
      <w:pPr>
        <w:pStyle w:val="TextoNormalCentrado"/>
      </w:pPr>
    </w:p>
    <w:p w14:paraId="402658FF" w14:textId="77777777" w:rsidR="00F64776" w:rsidRDefault="00F64776" w:rsidP="00F64776">
      <w:pPr>
        <w:pStyle w:val="SntesisDescriptiva"/>
      </w:pPr>
      <w:r>
        <w:t>Excms. Srs. don Cándido Conde-Pumpido Tourón, doña Inmaculada Montalbán Huertas, don Ricardo Enríquez Sancho, doña María Luisa Balaguer Callejón, don Ramón Sáez Valcárcel, don Enrique Arnaldo Alcubilla, doña Concepción Espejel Jorquera, doña María Luisa Segoviano Astaburuaga, don César Tolosa Tribiño y doña Laura Díez Bueso.</w:t>
      </w:r>
    </w:p>
    <w:p w14:paraId="19CCE277" w14:textId="224EB299" w:rsidR="00F64776" w:rsidRDefault="00F64776" w:rsidP="00F64776">
      <w:pPr>
        <w:pStyle w:val="SntesisDescriptiva"/>
      </w:pPr>
    </w:p>
    <w:p w14:paraId="6C6E094F" w14:textId="77777777" w:rsidR="00F64776" w:rsidRDefault="00F64776" w:rsidP="00F64776">
      <w:pPr>
        <w:pStyle w:val="SntesisDescriptiva"/>
      </w:pPr>
      <w:r>
        <w:t>Acepta una abstención en el recurso de amparo 3616-2022, promovido en procedimiento parlamentario.</w:t>
      </w:r>
    </w:p>
    <w:p w14:paraId="0A071995" w14:textId="4D6D1290" w:rsidR="00F64776" w:rsidRDefault="00F64776" w:rsidP="00F64776">
      <w:pPr>
        <w:pStyle w:val="SntesisDescriptiva"/>
      </w:pPr>
    </w:p>
    <w:p w14:paraId="3576E788" w14:textId="77777777" w:rsidR="00F64776" w:rsidRDefault="00F64776" w:rsidP="00F64776">
      <w:pPr>
        <w:pStyle w:val="SntesisDescriptiva"/>
      </w:pPr>
    </w:p>
    <w:p w14:paraId="017AA8EF" w14:textId="77777777" w:rsidR="00F64776" w:rsidRDefault="00F64776" w:rsidP="00F64776">
      <w:pPr>
        <w:pStyle w:val="SntesisDescriptiva"/>
      </w:pPr>
    </w:p>
    <w:p w14:paraId="12604ACE" w14:textId="77777777" w:rsidR="00F64776" w:rsidRDefault="00F64776" w:rsidP="00F64776">
      <w:pPr>
        <w:pStyle w:val="TextoNormalNegritaCentrado"/>
      </w:pPr>
      <w:r>
        <w:t>AUTO</w:t>
      </w:r>
    </w:p>
    <w:p w14:paraId="2F09D906" w14:textId="27D786EF" w:rsidR="00F64776" w:rsidRDefault="00F64776" w:rsidP="00F64776">
      <w:pPr>
        <w:pStyle w:val="TextoNormalNegritaCentrado"/>
      </w:pPr>
    </w:p>
    <w:p w14:paraId="5598F459" w14:textId="77777777" w:rsidR="00F64776" w:rsidRDefault="00F64776" w:rsidP="00F64776">
      <w:pPr>
        <w:pStyle w:val="TextoNormalNegritaCentrado"/>
        <w:keepNext/>
      </w:pPr>
      <w:r>
        <w:t>I. Antecedentes</w:t>
      </w:r>
    </w:p>
    <w:p w14:paraId="74AD7438" w14:textId="3D5088B2" w:rsidR="00F64776" w:rsidRDefault="00F64776" w:rsidP="00F64776">
      <w:pPr>
        <w:pStyle w:val="TextoNormalNegritaCentrado"/>
        <w:keepNext/>
      </w:pPr>
    </w:p>
    <w:p w14:paraId="37C68BCC" w14:textId="7EE2AEE3" w:rsidR="00F64776" w:rsidRDefault="00F64776" w:rsidP="00F64776">
      <w:pPr>
        <w:pStyle w:val="TextoNormal"/>
      </w:pPr>
      <w:r w:rsidRPr="00F64776">
        <w:rPr>
          <w:rStyle w:val="NumeroAFNegritaCaracter"/>
        </w:rPr>
        <w:t>1</w:t>
      </w:r>
      <w:r>
        <w:t>. Por escrito fechado el día 7 de julio de 2023, el magistrado don Juan Carlos Campo Moreno comunicó al señor presidente, a los efectos oportunos, su voluntad de abstenerse de intervenir en el conocimiento de recurso de amparo núm. 3616-2022, promovido por el Grupo Parlamentario Popular en el Congreso contra la decisión de la señora presidenta del Congreso de los Diputados de 3 de febrero de 2022 y el acuerdo de la mesa del Congreso de los Diputados de 21 de febrero de 2022.</w:t>
      </w:r>
    </w:p>
    <w:p w14:paraId="429C9FEF" w14:textId="77777777" w:rsidR="00F64776" w:rsidRDefault="00F64776" w:rsidP="00F64776">
      <w:pPr>
        <w:pStyle w:val="TextoNormal"/>
      </w:pPr>
    </w:p>
    <w:p w14:paraId="448B8302" w14:textId="372DB626" w:rsidR="00F64776" w:rsidRDefault="00F64776" w:rsidP="00F64776">
      <w:pPr>
        <w:pStyle w:val="TextoNormal"/>
      </w:pPr>
      <w:r w:rsidRPr="00F64776">
        <w:rPr>
          <w:rStyle w:val="NumeroAFNegritaCaracter"/>
        </w:rPr>
        <w:t>2</w:t>
      </w:r>
      <w:r>
        <w:t>. La solicitud de abstención se fundamenta en la relación personal que el magistrado mantiene con la Excma. Sra. presidenta del Congreso de los Diputados, autoridad que dictó una de las resoluciones parlamentarias impugnadas.</w:t>
      </w:r>
    </w:p>
    <w:p w14:paraId="0CA67D8D" w14:textId="77777777" w:rsidR="00F64776" w:rsidRDefault="00F64776" w:rsidP="00F64776">
      <w:pPr>
        <w:pStyle w:val="TextoNormal"/>
      </w:pPr>
    </w:p>
    <w:p w14:paraId="2F37AC85" w14:textId="77777777" w:rsidR="00F64776" w:rsidRDefault="00F64776" w:rsidP="00F64776">
      <w:pPr>
        <w:pStyle w:val="TextoNormalNegritaCentrado"/>
        <w:keepNext/>
      </w:pPr>
      <w:r>
        <w:t>II. Fundamentos jurídicos</w:t>
      </w:r>
    </w:p>
    <w:p w14:paraId="1663DF4A" w14:textId="1079E44A" w:rsidR="00F64776" w:rsidRDefault="00F64776" w:rsidP="00F64776">
      <w:pPr>
        <w:pStyle w:val="TextoNormalNegritaCentrado"/>
        <w:keepNext/>
      </w:pPr>
    </w:p>
    <w:p w14:paraId="0BB29C8D" w14:textId="2F93B2A0" w:rsidR="00F64776" w:rsidRDefault="00F64776" w:rsidP="00F64776">
      <w:pPr>
        <w:pStyle w:val="TextoNormal"/>
      </w:pPr>
      <w:r w:rsidRPr="00F64776">
        <w:rPr>
          <w:rStyle w:val="TextoNormalNegritaCaracter"/>
        </w:rPr>
        <w:t xml:space="preserve">Único. </w:t>
      </w:r>
      <w:r>
        <w:t>Vista el contenido de la comunicación efectuada por el magistrado don Juan Carlos Campo, en virtud de lo previsto en los arts. 80 de la Ley Orgánica del Tribunal Constitucional y 221.4 de la Ley Orgánica del Poder Judicial (LOPJ), se estima justificada la causa de abstención formulada, que se fundamenta en la relación personal del magistrado con la Excma. Sra. presidenta del Congreso de los Diputados, de acuerdo con las causas 1, 14 y 15 LOPJ, que definen como motivo de abstención: el vínculo matrimonial o situación de hecho asimilable y el parentesco por consanguinidad o afinidad dentro del cuarto grado con las partes o el representante del Ministerio Fiscal (causa 1); en los procesos en que sea parte la administración pública, encontrarse el juez o magistrado con la autoridad o funcionario que hubiese dictado el acto o informado respecto del mismo o realizado el hecho por razón de los cuales se sigue el proceso en alguna de las circunstancias mencionadas en las causas 1 a 9, 12, 13 y 15 de este artículo (causa 14); y el vínculo matrimonial o situación de hecho asimilable, o el parentesco dentro del segundo grado de consanguinidad o afinidad, con el juez o magistrado que hubiera dictado resolución o practicado actuación a valorar por vía de recurso o en cualquier fase ulterior del proceso (causa 15).</w:t>
      </w:r>
    </w:p>
    <w:p w14:paraId="1E5A0B8A" w14:textId="77777777" w:rsidR="00F64776" w:rsidRDefault="00F64776" w:rsidP="00F64776">
      <w:pPr>
        <w:pStyle w:val="TextoNormal"/>
      </w:pPr>
    </w:p>
    <w:p w14:paraId="3FA5A045" w14:textId="77777777" w:rsidR="00F64776" w:rsidRDefault="00F64776" w:rsidP="00F64776">
      <w:pPr>
        <w:pStyle w:val="TextoNormal"/>
      </w:pPr>
      <w:r>
        <w:t>Por lo expuesto, el Pleno</w:t>
      </w:r>
    </w:p>
    <w:p w14:paraId="713C52A8" w14:textId="323BEAA6" w:rsidR="00F64776" w:rsidRDefault="00F64776" w:rsidP="00F64776">
      <w:pPr>
        <w:pStyle w:val="TextoNormal"/>
      </w:pPr>
    </w:p>
    <w:p w14:paraId="6CF23E66" w14:textId="77777777" w:rsidR="00F64776" w:rsidRDefault="00F64776" w:rsidP="00F64776">
      <w:pPr>
        <w:pStyle w:val="TextoNormalCentrado"/>
      </w:pPr>
      <w:r>
        <w:t>ACUERDA</w:t>
      </w:r>
    </w:p>
    <w:p w14:paraId="32BCD6A4" w14:textId="11831611" w:rsidR="00F64776" w:rsidRDefault="00F64776" w:rsidP="00F64776">
      <w:pPr>
        <w:pStyle w:val="TextoNormalCentrado"/>
      </w:pPr>
    </w:p>
    <w:p w14:paraId="7B8F3EB9" w14:textId="416649C0" w:rsidR="00F64776" w:rsidRDefault="00F64776" w:rsidP="00F64776">
      <w:pPr>
        <w:pStyle w:val="TextoNormal"/>
      </w:pPr>
      <w:r>
        <w:t>Estimar justificada la abstención formulada por el magistrado don Juan Carlos Campo Moreno en el recurso de amparo núm. 3616-2022, apartándole definitivamente del conocimiento del mismo, así como de todas sus incidencias.</w:t>
      </w:r>
    </w:p>
    <w:p w14:paraId="7A3BD018" w14:textId="77777777" w:rsidR="00F64776" w:rsidRDefault="00F64776" w:rsidP="00F64776">
      <w:pPr>
        <w:pStyle w:val="TextoNormal"/>
      </w:pPr>
    </w:p>
    <w:p w14:paraId="4FBDCB9C" w14:textId="77777777" w:rsidR="00F64776" w:rsidRDefault="00F64776" w:rsidP="00F64776">
      <w:pPr>
        <w:pStyle w:val="TextoNormal"/>
      </w:pPr>
      <w:r>
        <w:t>Madrid, a dieciocho de julio de dos mil veintitrés.</w:t>
      </w:r>
    </w:p>
    <w:p w14:paraId="0B1EA1DB" w14:textId="31340542" w:rsidR="00F64776" w:rsidRDefault="00F64776">
      <w:pPr>
        <w:spacing w:after="160" w:line="278" w:lineRule="auto"/>
        <w:rPr>
          <w:rFonts w:ascii="Times New Roman" w:eastAsia="Times New Roman" w:hAnsi="Times New Roman" w:cs="Times New Roman"/>
          <w:sz w:val="24"/>
          <w:szCs w:val="24"/>
          <w:lang w:eastAsia="es-ES"/>
        </w:rPr>
      </w:pPr>
      <w:r>
        <w:br w:type="page"/>
      </w:r>
    </w:p>
    <w:p w14:paraId="1504C67F" w14:textId="77777777" w:rsidR="00F64776" w:rsidRDefault="00F64776" w:rsidP="00F64776">
      <w:pPr>
        <w:pStyle w:val="TtuloResolucin"/>
      </w:pPr>
      <w:bookmarkStart w:id="160" w:name="AUTO_2023_375"/>
      <w:r>
        <w:t>AUTO 375/2023, de 18 de julio de 2023</w:t>
      </w:r>
    </w:p>
    <w:bookmarkEnd w:id="160"/>
    <w:p w14:paraId="00FA0ACA" w14:textId="77777777" w:rsidR="00F64776" w:rsidRDefault="00F64776" w:rsidP="00F64776">
      <w:pPr>
        <w:pStyle w:val="TtuloResolucin"/>
      </w:pPr>
      <w:r>
        <w:t>Sección Cuarta</w:t>
      </w:r>
    </w:p>
    <w:p w14:paraId="223EF8B8" w14:textId="77777777" w:rsidR="00F64776" w:rsidRDefault="00F64776" w:rsidP="00F64776">
      <w:pPr>
        <w:pStyle w:val="TextoNormalCentrado"/>
      </w:pPr>
      <w:r>
        <w:t>ECLI:ES:TC:2023:375A</w:t>
      </w:r>
    </w:p>
    <w:p w14:paraId="2B59BD9C" w14:textId="2CCBD1DE" w:rsidR="00F64776" w:rsidRDefault="00F64776" w:rsidP="00F64776">
      <w:pPr>
        <w:pStyle w:val="TextoNormalCentrado"/>
      </w:pPr>
    </w:p>
    <w:p w14:paraId="2319D8DD" w14:textId="77777777" w:rsidR="00F64776" w:rsidRDefault="00F64776" w:rsidP="00F64776">
      <w:pPr>
        <w:pStyle w:val="SntesisDescriptiva"/>
      </w:pPr>
      <w:r>
        <w:t>Excms. Srs. doña María Luisa Balaguer Callejón, don Ramón Sáez Valcárcel y don Enrique Arnaldo Alcubilla.</w:t>
      </w:r>
    </w:p>
    <w:p w14:paraId="5D2AACC0" w14:textId="4932209C" w:rsidR="00F64776" w:rsidRDefault="00F64776" w:rsidP="00F64776">
      <w:pPr>
        <w:pStyle w:val="SntesisDescriptiva"/>
      </w:pPr>
    </w:p>
    <w:p w14:paraId="712A4BA3" w14:textId="77777777" w:rsidR="00F64776" w:rsidRDefault="00F64776" w:rsidP="00F64776">
      <w:pPr>
        <w:pStyle w:val="SntesisDescriptiva"/>
      </w:pPr>
      <w:r>
        <w:t>Estima el recurso de súplica interpuesto por el Ministerio Fiscal en relación con la providencia de inadmisión, e inadmite a trámite el recurso de amparo 3873-2022, promovido por don Simone Perrella en causa penal.</w:t>
      </w:r>
    </w:p>
    <w:p w14:paraId="7767E687" w14:textId="6803B457" w:rsidR="00F64776" w:rsidRDefault="00F64776" w:rsidP="00F64776">
      <w:pPr>
        <w:pStyle w:val="SntesisDescriptiva"/>
      </w:pPr>
    </w:p>
    <w:p w14:paraId="0E3AF969" w14:textId="77777777" w:rsidR="00F64776" w:rsidRDefault="00F64776" w:rsidP="00F64776">
      <w:pPr>
        <w:pStyle w:val="SntesisDescriptiva"/>
      </w:pPr>
    </w:p>
    <w:p w14:paraId="2D965116" w14:textId="77777777" w:rsidR="00F64776" w:rsidRDefault="00F64776" w:rsidP="00F64776">
      <w:pPr>
        <w:pStyle w:val="SntesisDescriptiva"/>
      </w:pPr>
    </w:p>
    <w:p w14:paraId="6180BF88" w14:textId="77777777" w:rsidR="00F64776" w:rsidRDefault="00F64776" w:rsidP="00F64776">
      <w:pPr>
        <w:pStyle w:val="TextoNormalNegritaCentrado"/>
      </w:pPr>
      <w:r>
        <w:t>AUTO</w:t>
      </w:r>
    </w:p>
    <w:p w14:paraId="7D6DEB03" w14:textId="7CDDBBF6" w:rsidR="00F64776" w:rsidRDefault="00F64776" w:rsidP="00F64776">
      <w:pPr>
        <w:pStyle w:val="TextoNormalNegritaCentrado"/>
      </w:pPr>
    </w:p>
    <w:p w14:paraId="1B3594D9" w14:textId="77777777" w:rsidR="00F64776" w:rsidRDefault="00F64776" w:rsidP="00F64776">
      <w:pPr>
        <w:pStyle w:val="TextoNormalNegritaCentrado"/>
        <w:keepNext/>
      </w:pPr>
      <w:r>
        <w:t>I. Antecedentes</w:t>
      </w:r>
    </w:p>
    <w:p w14:paraId="1A03FDE5" w14:textId="263004D1" w:rsidR="00F64776" w:rsidRDefault="00F64776" w:rsidP="00F64776">
      <w:pPr>
        <w:pStyle w:val="TextoNormalNegritaCentrado"/>
        <w:keepNext/>
      </w:pPr>
    </w:p>
    <w:p w14:paraId="7E03A75F" w14:textId="79F66F95" w:rsidR="00F64776" w:rsidRDefault="00F64776" w:rsidP="00F64776">
      <w:pPr>
        <w:pStyle w:val="TextoNormal"/>
      </w:pPr>
      <w:r w:rsidRPr="00F64776">
        <w:rPr>
          <w:rStyle w:val="NumeroAFNegritaCaracter"/>
        </w:rPr>
        <w:t>1</w:t>
      </w:r>
      <w:r>
        <w:t>. Mediante escrito registrado el 24 de mayo de 2023, el fiscal ante el Tribunal Constitucional interpuso recurso de súplica contra la providencia de 27 de abril de 2023, en la que se decidió la inadmisión a trámite del recurso de amparo núm. 3873-2022, interpuesto por don Simone Perrella, contra sentencia de 31 de marzo de 2022, de la Sección Vigesimosegunda de la Audiencia Provincial de Barcelona, en recurso de apelación núm. 501-2021 interpuesto contra la dictada por el Juzgado de lo Penal núm. 27 de Barcelona (procedimiento abreviado núm. 412-2020).</w:t>
      </w:r>
    </w:p>
    <w:p w14:paraId="39D70E0B" w14:textId="77777777" w:rsidR="00F64776" w:rsidRDefault="00F64776" w:rsidP="00F64776">
      <w:pPr>
        <w:pStyle w:val="TextoNormal"/>
      </w:pPr>
    </w:p>
    <w:p w14:paraId="52DFDD92" w14:textId="77777777" w:rsidR="00F64776" w:rsidRDefault="00F64776" w:rsidP="00F64776">
      <w:pPr>
        <w:pStyle w:val="TextoNormal"/>
      </w:pPr>
      <w:r w:rsidRPr="00F64776">
        <w:rPr>
          <w:rStyle w:val="NumeroAFNegritaCaracter"/>
        </w:rPr>
        <w:t>2</w:t>
      </w:r>
      <w:r>
        <w:t>. Los hechos relevantes para resolver el presente recurso de súplica son, sucintamente expuestos, los siguientes:</w:t>
      </w:r>
    </w:p>
    <w:p w14:paraId="5BD98371" w14:textId="77777777" w:rsidR="00F64776" w:rsidRDefault="00F64776" w:rsidP="00F64776">
      <w:pPr>
        <w:pStyle w:val="TextoNormal"/>
      </w:pPr>
    </w:p>
    <w:p w14:paraId="502DF3C1" w14:textId="77777777" w:rsidR="00F64776" w:rsidRDefault="00F64776" w:rsidP="00F64776">
      <w:pPr>
        <w:pStyle w:val="TextoNormal"/>
      </w:pPr>
      <w:r>
        <w:t>a) El recurrente en amparo fue condenado por el Juzgado de lo Penal núm. 27 de Barcelona (sentencia núm. 322/2021, de 28 de julio) como autor de un delito de lesiones en la persona de su esposa y “en el ámbito de la violencia sobre la mujer” (art. 153.1 y 3 del Código penal), a penas de prisión, accesorias legales, alejamiento, prohibición de comunicación, abono de responsabilidad civil y costas. En esencia, la prueba objeto de valoración consistió en la declaración de la perjudicada y de un vecino que fue testigo presencial de los hechos, así como el informe médico correspondiente.</w:t>
      </w:r>
    </w:p>
    <w:p w14:paraId="59BAC273" w14:textId="77777777" w:rsidR="00F64776" w:rsidRDefault="00F64776" w:rsidP="00F64776">
      <w:pPr>
        <w:pStyle w:val="TextoNormal"/>
      </w:pPr>
    </w:p>
    <w:p w14:paraId="4C9955F5" w14:textId="77777777" w:rsidR="00F64776" w:rsidRDefault="00F64776" w:rsidP="00F64776">
      <w:pPr>
        <w:pStyle w:val="TextoNormal"/>
      </w:pPr>
      <w:r>
        <w:t>b) Interpuesto recurso de apelación, este fue desestimado por la Sección Vigesimosegunda de la Audiencia Provincial de Barcelona (sentencia núm. 428/2022, de 31 de marzo), que aceptó la totalidad de hechos probados de la sentencia de instancia. De la lectura de la sentencia se deduce que la demanda de apelación alegó la vulneración de los derechos a la presunción de inocencia, a la defensa, a un proceso con todas las garantías y de los principios de contradicción e igualdad de armas, esto último en relación con la forma en que se produjo la toma de declaración del testigo en fase de instrucción. La Audiencia Provincial consideró: (i) que se practicó en la instancia prueba de cargo suficiente, y que concurrieron todos los elementos del delito objeto de condena, acreditados mediante una valoración racional de la prueba, suficientemente motivada; (ii) que no se vulneró el derecho a la defensa y a un proceso con todas las garantías, porque no es necesario someter a contradicción a un testigo en la fase de instrucción, en la medida en que el momento en que deben primar los principios de inmediación y contradicción es el acto del juicio oral.</w:t>
      </w:r>
    </w:p>
    <w:p w14:paraId="196B8BE3" w14:textId="77777777" w:rsidR="00F64776" w:rsidRDefault="00F64776" w:rsidP="00F64776">
      <w:pPr>
        <w:pStyle w:val="TextoNormal"/>
      </w:pPr>
    </w:p>
    <w:p w14:paraId="62D23FF9" w14:textId="77777777" w:rsidR="00F64776" w:rsidRDefault="00F64776" w:rsidP="00F64776">
      <w:pPr>
        <w:pStyle w:val="TextoNormal"/>
      </w:pPr>
      <w:r>
        <w:t>La sentencia, que se dicta en catalán, contiene el correspondiente pie de recurso, indicando la posibilidad de interponer recurso de casación por infracción de precepto legal si, a la vista de los hechos declarados probados, entiende el apelante que se ha infringido un precepto penal de carácter sustantivo u otra norma jurídica del mismo carácter que haya de ser observada en la aplicación de la ley penal.</w:t>
      </w:r>
    </w:p>
    <w:p w14:paraId="4425F49A" w14:textId="77777777" w:rsidR="00F64776" w:rsidRDefault="00F64776" w:rsidP="00F64776">
      <w:pPr>
        <w:pStyle w:val="TextoNormal"/>
      </w:pPr>
    </w:p>
    <w:p w14:paraId="66F6AD56" w14:textId="77777777" w:rsidR="00F64776" w:rsidRDefault="00F64776" w:rsidP="00F64776">
      <w:pPr>
        <w:pStyle w:val="TextoNormal"/>
      </w:pPr>
      <w:r>
        <w:t>c) No se interpone recurso de casación, ni incidente de nulidad de actuaciones. El 31 de mayo de 2022, en el penúltimo día del plazo ordinario para interponer recurso de amparo, contado desde la notificación de la resolución de la Audiencia Provincial (13 de abril de 2022), se presenta escrito en el registro del Tribunal Constitucional, anunciando la voluntad de interponer un recurso de amparo. El escrito de anuncio es firmado por el letrado del recurrente, don Marc Monroig Llop, que solicita la designación de procurador de oficio.</w:t>
      </w:r>
    </w:p>
    <w:p w14:paraId="4EDE49CA" w14:textId="77777777" w:rsidR="00F64776" w:rsidRDefault="00F64776" w:rsidP="00F64776">
      <w:pPr>
        <w:pStyle w:val="TextoNormal"/>
      </w:pPr>
    </w:p>
    <w:p w14:paraId="3B85951F" w14:textId="77777777" w:rsidR="00F64776" w:rsidRDefault="00F64776" w:rsidP="00F64776">
      <w:pPr>
        <w:pStyle w:val="TextoNormal"/>
      </w:pPr>
      <w:r>
        <w:t>Por diligencia de ordenación del secretario de justicia de la Sección Primera de 2 de junio de 2022, se insta al recurrente para que acredite haber gozado de asistencia jurídica gratuita en la vía judicial previa, constatando que “de no haber gozado de beneficio de justicia gratuita en la vía judicial previa, no cabe instar a este Tribunal Constitucional que interese la designación de procurador de oficio, que solo podrá pedir al servicio de orientación jurídica del Colegio de Abogados de Madrid, mediante solicitud que procede formular directamente al mismo”. Asimismo, se solicita al letrado que acredite su designación del turno de oficio para defensa del recurrente.</w:t>
      </w:r>
    </w:p>
    <w:p w14:paraId="0C74164A" w14:textId="77777777" w:rsidR="00F64776" w:rsidRDefault="00F64776" w:rsidP="00F64776">
      <w:pPr>
        <w:pStyle w:val="TextoNormal"/>
      </w:pPr>
    </w:p>
    <w:p w14:paraId="5D68489F" w14:textId="77777777" w:rsidR="00F64776" w:rsidRDefault="00F64776" w:rsidP="00F64776">
      <w:pPr>
        <w:pStyle w:val="TextoNormal"/>
      </w:pPr>
      <w:r>
        <w:t>d) Por escrito presentado el 23 de junio de 2022, el letrado del recurrente en amparo pone de manifiesto haber actuado en el procedimiento previo por designa particular, declarando que se designará, asimismo, procurador particular para el proceso de amparo. En el mismo escrito formula petición de que se le tenga por desistido de la previa solicitud de designa de procurador de oficio. Adicionalmente se pide otorgamiento de plazo para designar procurador particular.</w:t>
      </w:r>
    </w:p>
    <w:p w14:paraId="77918B11" w14:textId="77777777" w:rsidR="00F64776" w:rsidRDefault="00F64776" w:rsidP="00F64776">
      <w:pPr>
        <w:pStyle w:val="TextoNormal"/>
      </w:pPr>
    </w:p>
    <w:p w14:paraId="4F1985AA" w14:textId="77777777" w:rsidR="00F64776" w:rsidRDefault="00F64776" w:rsidP="00F64776">
      <w:pPr>
        <w:pStyle w:val="TextoNormal"/>
      </w:pPr>
      <w:r>
        <w:t>e) Mediante nueva diligencia de ordenación, fechada el 7 de julio de 2022 y notificada el día 14 de julio, el secretario de justicia de la Sección Primera concede al recurrente un nuevo plazo de diez días para que, dentro de dicho término, comparezca por medio de procurador, con poder al efecto, debiendo en el mismo plazo formular demanda con los requisitos del art. 49 de la Ley Orgánica del Tribunal Constitucional (LOTC). En la misma diligencia se solicita que aporte, de conformidad con el art. 231.4 de la Ley Orgánica del Poder Judicial (LOPJ), copia traducida al castellano de la sentencia recurrida en amparo dictada por la Sección Vigesimosegunda de la Audiencia Provincial de Barcelona.</w:t>
      </w:r>
    </w:p>
    <w:p w14:paraId="56292CEA" w14:textId="77777777" w:rsidR="00F64776" w:rsidRDefault="00F64776" w:rsidP="00F64776">
      <w:pPr>
        <w:pStyle w:val="TextoNormal"/>
      </w:pPr>
    </w:p>
    <w:p w14:paraId="3A5A8111" w14:textId="77777777" w:rsidR="00F64776" w:rsidRDefault="00F64776" w:rsidP="00F64776">
      <w:pPr>
        <w:pStyle w:val="TextoNormal"/>
      </w:pPr>
      <w:r>
        <w:t>f) Por escrito presentado el 27 de julio de 2022, el procurador de los tribunales don Juan Torrecilla Jiménez, se persona en el procedimiento de referencia alegando la imposibilidad de aportar la copia solicitada y solicitando se permita interponer el recurso de amparo igualmente. El 29 de julio de 2022, se dicta una nueva diligencia de ordenación, concediendo un plazo de diez días adicionales al procurador para que acredite la representación que manifiesta ostentar y aporte copia traducida de la sentencia, sin perjuicio de una eventual ampliación del plazo hasta que le sea entregada esa copia por el Tribunal sentenciador.</w:t>
      </w:r>
    </w:p>
    <w:p w14:paraId="17A8DE10" w14:textId="77777777" w:rsidR="00F64776" w:rsidRDefault="00F64776" w:rsidP="00F64776">
      <w:pPr>
        <w:pStyle w:val="TextoNormal"/>
      </w:pPr>
    </w:p>
    <w:p w14:paraId="3E9E7BEB" w14:textId="77777777" w:rsidR="00F64776" w:rsidRDefault="00F64776" w:rsidP="00F64776">
      <w:pPr>
        <w:pStyle w:val="TextoNormal"/>
      </w:pPr>
      <w:r>
        <w:t>g) Turnado el recurso de amparo a la sección cuarta, el 1 de febrero de 2023 se dicta de nuevo diligencia de ordenación instando a la formalización de la demanda de amparo, ordenándose asimismo que se libre comunicación a la Sección Vigesimosegunda de la Audiencia Provincial de Barcelona, a fin de que se expida y remita copia traducida al castellano de la sentencia dictada en el recurso de apelación núm. 501-2021, de 31 de marzo.</w:t>
      </w:r>
    </w:p>
    <w:p w14:paraId="0C380159" w14:textId="77777777" w:rsidR="00F64776" w:rsidRDefault="00F64776" w:rsidP="00F64776">
      <w:pPr>
        <w:pStyle w:val="TextoNormal"/>
      </w:pPr>
    </w:p>
    <w:p w14:paraId="3433AA2E" w14:textId="3CB90E16" w:rsidR="00F64776" w:rsidRDefault="00F64776" w:rsidP="00F64776">
      <w:pPr>
        <w:pStyle w:val="TextoNormal"/>
      </w:pPr>
      <w:r>
        <w:t>h) Finalmente, el 16 de febrero de 2023 se formaliza la demanda de amparo en la que se denuncian las siguientes vulneraciones: (i) derecho a la tutela judicial efectiva (art. 24.1 CE), sin indefensión y en su vertiente de derecho de acceso al recurso, puesto en relación con el derecho a la traducción de las resoluciones judiciales. Esta vulneración se atribuye a la Audiencia Provincial, puesto que la sentencia de apelación infringe la doctrina de este tribunal al ser redactada en catalán y no traducida al español ni notificada personalmente al interesado (con cita de la STC 41/2022, de 21 de marzo); (ii) derecho a un proceso con todas las garantías, en relación con el derecho a la defensa y a la presunción de inocencia (art. 24.2 CE), denuncia vinculada a la indebida inadmisión de la impugnación formulada en su escrito de defensa respecto de la declaración en vista oral del testigo presencial, prueba testifical propuesta por las partes acusadoras, por no haber podido someterle a contradicción en la fase de instrucción; y (iii) derecho a un proceso con todas las garantías (art. 24.2 CE), en relación con el derecho a la tutela judicial efectiva (art. 24.1 CE) y a utilizar los medios de prueba pertinentes para la defensa (art. 24.2 CE), lesión vinculada con la indebida inadmisión de su petición de transformación del juicio rápido en diligencias previas, con la finalidad de que se tomara declaración al vecino antes de acordar la culminación de la fase de instrucción (con cita de la STC 87/2020, de 20 de julio).</w:t>
      </w:r>
    </w:p>
    <w:p w14:paraId="15779D0D" w14:textId="77777777" w:rsidR="00F64776" w:rsidRDefault="00F64776" w:rsidP="00F64776">
      <w:pPr>
        <w:pStyle w:val="TextoNormal"/>
      </w:pPr>
    </w:p>
    <w:p w14:paraId="2EB6E1E9" w14:textId="77777777" w:rsidR="00F64776" w:rsidRDefault="00F64776" w:rsidP="00F64776">
      <w:pPr>
        <w:pStyle w:val="TextoNormal"/>
      </w:pPr>
      <w:r w:rsidRPr="00F64776">
        <w:rPr>
          <w:rStyle w:val="NumeroAFNegritaCaracter"/>
        </w:rPr>
        <w:t>3</w:t>
      </w:r>
      <w:r>
        <w:t xml:space="preserve">. El Ministerio Fiscal, interpuso recurso de súplica </w:t>
      </w:r>
      <w:r w:rsidRPr="00F64776">
        <w:rPr>
          <w:i/>
        </w:rPr>
        <w:t>ex</w:t>
      </w:r>
      <w:r>
        <w:t xml:space="preserve"> art. 50.3 LOTC contra la providencia de 27 de abril de 2023 que inadmitió a trámite el presente recurso de amparo, interesando que se dejara esta sin efecto, dictándose otra en su lugar admitiendo el recurso de amparo.</w:t>
      </w:r>
    </w:p>
    <w:p w14:paraId="2184D7E5" w14:textId="77777777" w:rsidR="00F64776" w:rsidRDefault="00F64776" w:rsidP="00F64776">
      <w:pPr>
        <w:pStyle w:val="TextoNormal"/>
      </w:pPr>
    </w:p>
    <w:p w14:paraId="6BE62647" w14:textId="12832DC9" w:rsidR="00F64776" w:rsidRDefault="00F64776" w:rsidP="00F64776">
      <w:pPr>
        <w:pStyle w:val="TextoNormal"/>
      </w:pPr>
      <w:r>
        <w:t>El Ministerio Fiscal argumenta en su recurso que la demanda de amparo entró en el Tribunal el 31 de mayo de 2022 a las 18:45 horas, dirigiéndose directamente contra la sentencia núm. 428/2022 de 31 de marzo de 2022, notificada el 13 de abril de 2022. Teniendo estas fechas en cuenta, y aludiendo al art. 44.2 LOTC y al plazo de treinta días allí previsto, así como a la posibilidad de presentar el recurso hasta las 15:00 horas del día siguiente al de finalización del plazo anterior, el fiscal considera que la demanda fue presentada dentro de plazo, pues el recurso podía presentarse hasta el 1 de junio de 2022 a las 15:00 horas. Por tanto, sin perjuicio de que pudiera existir otra causa de inadmisión, el fiscal interesa que se deje sin efecto la providencia de inadmisión de 27 de abril de 2023.</w:t>
      </w:r>
    </w:p>
    <w:p w14:paraId="4B9B1B95" w14:textId="77777777" w:rsidR="00F64776" w:rsidRDefault="00F64776" w:rsidP="00F64776">
      <w:pPr>
        <w:pStyle w:val="TextoNormal"/>
      </w:pPr>
    </w:p>
    <w:p w14:paraId="32B51AE8" w14:textId="68D60BC6" w:rsidR="00F64776" w:rsidRDefault="00F64776" w:rsidP="00F64776">
      <w:pPr>
        <w:pStyle w:val="TextoNormal"/>
      </w:pPr>
      <w:r w:rsidRPr="00F64776">
        <w:rPr>
          <w:rStyle w:val="NumeroAFNegritaCaracter"/>
        </w:rPr>
        <w:t>4</w:t>
      </w:r>
      <w:r>
        <w:t>. Mediante diligencia de ordenación de 25 de mayo de 2023, se acordó dar traslado del recurso a la representación del recurrente y concederle un plazo de tres días a fin de que alegue lo que estime pertinente (art. 93.2 LOTC).</w:t>
      </w:r>
    </w:p>
    <w:p w14:paraId="55FB1A8E" w14:textId="77777777" w:rsidR="00F64776" w:rsidRDefault="00F64776" w:rsidP="00F64776">
      <w:pPr>
        <w:pStyle w:val="TextoNormal"/>
      </w:pPr>
    </w:p>
    <w:p w14:paraId="52860579" w14:textId="7A8CE705" w:rsidR="00F64776" w:rsidRDefault="00F64776" w:rsidP="00F64776">
      <w:pPr>
        <w:pStyle w:val="TextoNormal"/>
      </w:pPr>
      <w:r w:rsidRPr="00F64776">
        <w:rPr>
          <w:rStyle w:val="NumeroAFNegritaCaracter"/>
        </w:rPr>
        <w:t>5</w:t>
      </w:r>
      <w:r>
        <w:t>. La parte recurrente, mediante escrito registrado el 25 de mayo de 2023, se adhiere al recurso de súplica interpuesto por el Ministerio Fiscal y solicita a este tribunal que admita a trámite el recurso de amparo.</w:t>
      </w:r>
    </w:p>
    <w:p w14:paraId="0E0CBAC8" w14:textId="77777777" w:rsidR="00F64776" w:rsidRDefault="00F64776" w:rsidP="00F64776">
      <w:pPr>
        <w:pStyle w:val="TextoNormal"/>
      </w:pPr>
    </w:p>
    <w:p w14:paraId="46537E3B" w14:textId="77777777" w:rsidR="00F64776" w:rsidRDefault="00F64776" w:rsidP="00F64776">
      <w:pPr>
        <w:pStyle w:val="TextoNormalNegritaCentrado"/>
        <w:keepNext/>
      </w:pPr>
      <w:r>
        <w:t>II. Fundamentos jurídicos</w:t>
      </w:r>
    </w:p>
    <w:p w14:paraId="03140866" w14:textId="3292D71F" w:rsidR="00F64776" w:rsidRDefault="00F64776" w:rsidP="00F64776">
      <w:pPr>
        <w:pStyle w:val="TextoNormalNegritaCentrado"/>
        <w:keepNext/>
      </w:pPr>
    </w:p>
    <w:p w14:paraId="372F379B" w14:textId="77777777" w:rsidR="00F64776" w:rsidRDefault="00F64776" w:rsidP="00F64776">
      <w:pPr>
        <w:pStyle w:val="TextoNormal"/>
      </w:pPr>
      <w:r w:rsidRPr="00F64776">
        <w:rPr>
          <w:rStyle w:val="NumeroAFNegritaCaracter"/>
        </w:rPr>
        <w:t>1</w:t>
      </w:r>
      <w:r>
        <w:t xml:space="preserve">. </w:t>
      </w:r>
      <w:r w:rsidRPr="00F64776">
        <w:rPr>
          <w:i/>
        </w:rPr>
        <w:t>Resolución del recurso de súplica</w:t>
      </w:r>
    </w:p>
    <w:p w14:paraId="087D1161" w14:textId="77777777" w:rsidR="00F64776" w:rsidRDefault="00F64776" w:rsidP="00F64776">
      <w:pPr>
        <w:pStyle w:val="TextoNormal"/>
      </w:pPr>
    </w:p>
    <w:p w14:paraId="40A0CCE8" w14:textId="370EF9F9" w:rsidR="00F64776" w:rsidRDefault="00F64776" w:rsidP="00F64776">
      <w:pPr>
        <w:pStyle w:val="TextoNormal"/>
      </w:pPr>
      <w:r>
        <w:t>El examen de las actuaciones, a la vista de las alegaciones del Ministerio Fiscal expuestas en el recurso de súplica, pone de relieve que, en efecto, el recurso de amparo fue anunciado dentro del plazo de treinta días hábiles establecido en el art. 44.2 LOTC, aunque la demanda se formalizase tiempo después por las circunstancias que han quedado debidamente expuestas en los antecedentes del auto. Por tanto, procede estimar el recurso de súplica interpuesto y dejar sin efecto la providencia de esta Sección de 27 de abril de 2023.</w:t>
      </w:r>
    </w:p>
    <w:p w14:paraId="7A7242D4" w14:textId="77777777" w:rsidR="00F64776" w:rsidRDefault="00F64776" w:rsidP="00F64776">
      <w:pPr>
        <w:pStyle w:val="TextoNormal"/>
      </w:pPr>
    </w:p>
    <w:p w14:paraId="49DF4225" w14:textId="77777777" w:rsidR="00F64776" w:rsidRDefault="00F64776" w:rsidP="00F64776">
      <w:pPr>
        <w:pStyle w:val="TextoNormal"/>
      </w:pPr>
      <w:r w:rsidRPr="00F64776">
        <w:rPr>
          <w:rStyle w:val="NumeroAFNegritaCaracter"/>
        </w:rPr>
        <w:t>2</w:t>
      </w:r>
      <w:r>
        <w:t xml:space="preserve">. </w:t>
      </w:r>
      <w:r w:rsidRPr="00F64776">
        <w:rPr>
          <w:i/>
        </w:rPr>
        <w:t>Examen subsiguiente de admisibilidad de la demanda de amparo</w:t>
      </w:r>
    </w:p>
    <w:p w14:paraId="3E7876F1" w14:textId="77777777" w:rsidR="00F64776" w:rsidRDefault="00F64776" w:rsidP="00F64776">
      <w:pPr>
        <w:pStyle w:val="TextoNormal"/>
      </w:pPr>
    </w:p>
    <w:p w14:paraId="769461FC" w14:textId="77777777" w:rsidR="00F64776" w:rsidRDefault="00F64776" w:rsidP="00F64776">
      <w:pPr>
        <w:pStyle w:val="TextoNormal"/>
      </w:pPr>
      <w:r>
        <w:t>a) La estimación del recurso de súplica determina que deba analizarse el cumplimiento de los demás requisitos de admisibilidad del recurso de amparo, que quedaron excluidos del análisis en el momento de apreciarse el óbice procesal determinante de la inadmisión que ahora se deja sin efecto.</w:t>
      </w:r>
    </w:p>
    <w:p w14:paraId="09F19FC7" w14:textId="77777777" w:rsidR="00F64776" w:rsidRDefault="00F64776" w:rsidP="00F64776">
      <w:pPr>
        <w:pStyle w:val="TextoNormal"/>
      </w:pPr>
    </w:p>
    <w:p w14:paraId="14F9C41D" w14:textId="77777777" w:rsidR="00F64776" w:rsidRDefault="00F64776" w:rsidP="00F64776">
      <w:pPr>
        <w:pStyle w:val="TextoNormal"/>
      </w:pPr>
      <w:r>
        <w:t>Si bien es posible formular el juicio de admisibilidad con posterioridad a la resolución del recurso de súplica, defiriendo a una posterior providencia la decisión de la Sección sobre la admisión a trámite del recurso, razones de economía procesal pueden aconsejar que, tras examinar nuevamente la demanda de amparo, la sección resuelva sobre la admisibilidad en el propio auto estimatorio del recurso de súplica (en el mismo sentido, AATC 239/2014, de 10 de octubre; 161/2019, de 26 de noviembre, y 45/2021, de 20 de abril).</w:t>
      </w:r>
    </w:p>
    <w:p w14:paraId="14D5023C" w14:textId="77777777" w:rsidR="00F64776" w:rsidRDefault="00F64776" w:rsidP="00F64776">
      <w:pPr>
        <w:pStyle w:val="TextoNormal"/>
      </w:pPr>
    </w:p>
    <w:p w14:paraId="57DF65AB" w14:textId="77777777" w:rsidR="00F64776" w:rsidRDefault="00F64776" w:rsidP="00F64776">
      <w:pPr>
        <w:pStyle w:val="TextoNormal"/>
      </w:pPr>
      <w:r>
        <w:t>En el caso que ahora nos ocupa, la fecha en la que se presentó el anuncio de la demanda de amparo (31 de mayo de 2022) aconseja resolver inmediatamente sobre la admisión o inadmisión a trámite del presente recurso de amparo.</w:t>
      </w:r>
    </w:p>
    <w:p w14:paraId="766C21C7" w14:textId="77777777" w:rsidR="00F64776" w:rsidRDefault="00F64776" w:rsidP="00F64776">
      <w:pPr>
        <w:pStyle w:val="TextoNormal"/>
      </w:pPr>
    </w:p>
    <w:p w14:paraId="2BB280F3" w14:textId="77777777" w:rsidR="00F64776" w:rsidRDefault="00F64776" w:rsidP="00F64776">
      <w:pPr>
        <w:pStyle w:val="TextoNormal"/>
      </w:pPr>
      <w:r>
        <w:t xml:space="preserve">b) En relación con la alegación relativa al derecho a la tutela judicial efectiva sin indefensión, en su vertiente de derecho de acceso al recurso (art. 24.1 CE), puesto en relación con el derecho a la traducción de las resoluciones judiciales, la demanda incurre en el óbice procesal del inadecuado agotamiento de la vía judicial previa [art. 44.1 a) LOTC, en relación con el art. 50.1 a) LOTC, </w:t>
      </w:r>
      <w:r w:rsidRPr="00F64776">
        <w:rPr>
          <w:i/>
        </w:rPr>
        <w:t>sensu contrario</w:t>
      </w:r>
      <w:r>
        <w:t>].</w:t>
      </w:r>
    </w:p>
    <w:p w14:paraId="5ED5FCB2" w14:textId="77777777" w:rsidR="00F64776" w:rsidRDefault="00F64776" w:rsidP="00F64776">
      <w:pPr>
        <w:pStyle w:val="TextoNormal"/>
      </w:pPr>
    </w:p>
    <w:p w14:paraId="7CAF5D3D" w14:textId="77777777" w:rsidR="00F64776" w:rsidRDefault="00F64776" w:rsidP="00F64776">
      <w:pPr>
        <w:pStyle w:val="TextoNormal"/>
      </w:pPr>
      <w:r>
        <w:t xml:space="preserve">Habiéndose atribuido la vulneración a la sentencia resolutoria del recurso de apelación dictada por la Audiencia Provincial, el recurrente decidió no formular incidente de nulidad alguno, acudiendo directamente en amparo ante esta jurisdicción, sin dar la oportunidad al órgano judicial al que se atribuye la lesión de reparar, en su caso, la vulneración denunciada (STC 59/2022, de 9 de mayo, FJ 2, por todas). Por tanto, dándose las condiciones legalmente previstas para interponer un incidente de nulidad de actuaciones </w:t>
      </w:r>
      <w:r w:rsidRPr="00F64776">
        <w:rPr>
          <w:i/>
        </w:rPr>
        <w:t>ex</w:t>
      </w:r>
      <w:r>
        <w:t xml:space="preserve"> art. 241 LOPJ, el recurrente en amparo optó por no utilizar esta garantía procesal a su alcance, lo que deviene en un inadecuado agotamiento de la vía judicial previa y, por tanto, es una desatención del principio de subsidiariedad del recurso de amparo constitucional.</w:t>
      </w:r>
    </w:p>
    <w:p w14:paraId="787E4111" w14:textId="77777777" w:rsidR="00F64776" w:rsidRDefault="00F64776" w:rsidP="00F64776">
      <w:pPr>
        <w:pStyle w:val="TextoNormal"/>
      </w:pPr>
    </w:p>
    <w:p w14:paraId="3F2968A1" w14:textId="77777777" w:rsidR="00F64776" w:rsidRDefault="00F64776" w:rsidP="00F64776">
      <w:pPr>
        <w:pStyle w:val="TextoNormal"/>
      </w:pPr>
      <w:r>
        <w:t>c) En relación con los otros dos motivos que sustentan la demanda de amparo, la parte no alega la concurrencia de causa alguna de especial trascendencia constitucional, lo que no impide que la Sección pudiera apreciarla de considerarlo pertinente.</w:t>
      </w:r>
    </w:p>
    <w:p w14:paraId="331A82C7" w14:textId="77777777" w:rsidR="00F64776" w:rsidRDefault="00F64776" w:rsidP="00F64776">
      <w:pPr>
        <w:pStyle w:val="TextoNormal"/>
      </w:pPr>
    </w:p>
    <w:p w14:paraId="288AFB66" w14:textId="77777777" w:rsidR="00F64776" w:rsidRDefault="00F64776" w:rsidP="00F64776">
      <w:pPr>
        <w:pStyle w:val="TextoNormal"/>
      </w:pPr>
      <w:r>
        <w:t>Este tribunal viene declarando que es de su exclusiva competencia apreciar la concurrencia de este requisito en las demandas de amparo. En este sentido, las SSTC 63/2022, de 10 de mayo, FJ 2, y 68/2022, de 2 de junio, FJ 2, declaran que corresponde “únicamente a este tribunal apreciar en cada caso la existencia o inexistencia de esa especial trascendencia constitucional, esto es, si el contenido del recurso justifica una decisión sobre el fondo, atendiendo, conforme al art. 50.1 b) LOTC, ‘a su importancia para la interpretación de la Constitución, para su aplicación o para su general eficacia, y para la determinación del contenido y alcance de los derechos fundamentales’ (por todas, SSTC 166/2016, de 6 de octubre, FJ 2; 136/2017, de 27 de noviembre, FJ 2; 80/2020, de 15 de julio, FJ 2, y 155/2020, de 4 de noviembre, FJ 2)”.</w:t>
      </w:r>
    </w:p>
    <w:p w14:paraId="5388F667" w14:textId="77777777" w:rsidR="00F64776" w:rsidRDefault="00F64776" w:rsidP="00F64776">
      <w:pPr>
        <w:pStyle w:val="TextoNormal"/>
      </w:pPr>
    </w:p>
    <w:p w14:paraId="582CA560" w14:textId="0DD6ADB7" w:rsidR="00F64776" w:rsidRDefault="00F64776" w:rsidP="00F64776">
      <w:pPr>
        <w:pStyle w:val="TextoNormal"/>
      </w:pPr>
      <w:r>
        <w:t>En este caso, no se observa por parte del Tribunal ningún elemento que cualifique el recurso planteado y lo haga acreedor de “una decisión sobre el fondo por parte del Tribunal Constitucional en razón de su especial trascendencia constitucional, que se apreciará atendiendo a su importancia para la interpretación de la Constitución, para su aplicación o para su general eficacia, y para la determinación del contenido y alcance de los derechos fundamentales de un pronunciamiento de fondo” [art. 50.1 b) LOTC]. Lo único que ponen de manifiesto las alegaciones relativas al derecho a un proceso con todas las garantías, en relación con el derecho a la defensa y a la presunción de inocencia (art. 24.2 CE), y en relación con el derecho a la tutela judicial efectiva (art. 24.1 CE) y a utilizar los medios de prueba pertinentes para la defensa (art. 24.2 CE), es que el recurrente en amparo discrepa de la interpretación realizada por el órgano de instancia, y sucesivamente por la Audiencia Provincial, respecto de la proyección del principio de contradicción en relación con la declaración testifical, que el recurrente contesta en la medida en que corrobora la declaración de la víctima y refuerza la prueba de cargo. En suma, lo que se plantea en la demanda de amparo es un manifiesto desacuerdo del recurrente con la valoración de la prueba realizada por el juzgado de instancia, que viene a ser ratificada por la sentencia desestimatoria de la apelación dictada por la Audiencia Provincial. Y esa mera discrepancia, sin entrar siquiera a valorar la verosimilitud de la lesión, no puede ser considerada bastante como para atribuir trascendencia constitucional al recurso de amparo, máxime cuando la jurisprudencia constitucional sobre las cuestiones planteadas es una jurisprudencia clara, constante y que no es preciso revisar ni matizar en este momento.</w:t>
      </w:r>
    </w:p>
    <w:p w14:paraId="5B130745" w14:textId="77777777" w:rsidR="00F64776" w:rsidRDefault="00F64776" w:rsidP="00F64776">
      <w:pPr>
        <w:pStyle w:val="TextoNormal"/>
      </w:pPr>
    </w:p>
    <w:p w14:paraId="24F357CC" w14:textId="77777777" w:rsidR="00F64776" w:rsidRDefault="00F64776" w:rsidP="00F64776">
      <w:pPr>
        <w:pStyle w:val="TextoNormal"/>
      </w:pPr>
      <w:r>
        <w:t>Por lo expuesto, la Sección</w:t>
      </w:r>
    </w:p>
    <w:p w14:paraId="2D8965EB" w14:textId="0B17A3CB" w:rsidR="00F64776" w:rsidRDefault="00F64776" w:rsidP="00F64776">
      <w:pPr>
        <w:pStyle w:val="TextoNormal"/>
      </w:pPr>
    </w:p>
    <w:p w14:paraId="3C3BF0F2" w14:textId="77777777" w:rsidR="00F64776" w:rsidRDefault="00F64776" w:rsidP="00F64776">
      <w:pPr>
        <w:pStyle w:val="TextoNormalCentrado"/>
      </w:pPr>
      <w:r>
        <w:t>ACUERDA</w:t>
      </w:r>
    </w:p>
    <w:p w14:paraId="79804D0E" w14:textId="4A1900AE" w:rsidR="00F64776" w:rsidRDefault="00F64776" w:rsidP="00F64776">
      <w:pPr>
        <w:pStyle w:val="TextoNormalCentrado"/>
      </w:pPr>
    </w:p>
    <w:p w14:paraId="4242A66B" w14:textId="77777777" w:rsidR="00F64776" w:rsidRDefault="00F64776" w:rsidP="00F64776">
      <w:pPr>
        <w:pStyle w:val="TextoNormal"/>
      </w:pPr>
      <w:r>
        <w:t>1º Estimar el recurso de súplica interpuesto por el Ministerio Fiscal contra la providencia de Sección de 27 de abril de 2023, que declaró la inadmisión del presente recurso de amparo, dejándola sin efecto.</w:t>
      </w:r>
    </w:p>
    <w:p w14:paraId="526DCF4A" w14:textId="77777777" w:rsidR="00F64776" w:rsidRDefault="00F64776" w:rsidP="00F64776">
      <w:pPr>
        <w:pStyle w:val="TextoNormal"/>
      </w:pPr>
    </w:p>
    <w:p w14:paraId="71828CEC" w14:textId="77777777" w:rsidR="00F64776" w:rsidRDefault="00F64776" w:rsidP="00F64776">
      <w:pPr>
        <w:pStyle w:val="TextoNormal"/>
      </w:pPr>
      <w:r>
        <w:t>2º Inadmitir a trámite el recurso de amparo núm. 3873-2022, interpuesto por don Simone Perrella, en relación con la alegación relativa al derecho a la tutela judicial efectiva sin indefensión, en su vertiente de derecho de acceso al recurso (art. 24.1 CE), puesto en relación con el derecho a la traducción de las resoluciones judiciales, por inadecuado agotamiento de la vía judicial previa [art. 44.1 a) LOTC].</w:t>
      </w:r>
    </w:p>
    <w:p w14:paraId="1AB228E0" w14:textId="77777777" w:rsidR="00F64776" w:rsidRDefault="00F64776" w:rsidP="00F64776">
      <w:pPr>
        <w:pStyle w:val="TextoNormal"/>
      </w:pPr>
    </w:p>
    <w:p w14:paraId="226CD080" w14:textId="2D8943DC" w:rsidR="00F64776" w:rsidRDefault="00F64776" w:rsidP="00F64776">
      <w:pPr>
        <w:pStyle w:val="TextoNormal"/>
      </w:pPr>
      <w:r>
        <w:t>3º Inadmitir a trámite el resto de las alegaciones del presente recurso de amparo por falta de especial trascendencia constitucional [art. 50.1 b) LOTC].</w:t>
      </w:r>
    </w:p>
    <w:p w14:paraId="5CC0EA9F" w14:textId="77777777" w:rsidR="00F64776" w:rsidRDefault="00F64776" w:rsidP="00F64776">
      <w:pPr>
        <w:pStyle w:val="TextoNormal"/>
      </w:pPr>
    </w:p>
    <w:p w14:paraId="4A94B6B2" w14:textId="77777777" w:rsidR="00F64776" w:rsidRDefault="00F64776" w:rsidP="00F64776">
      <w:pPr>
        <w:pStyle w:val="TextoNormal"/>
      </w:pPr>
      <w:r>
        <w:t>Madrid, a dieciocho de julio de dos mil veintitrés.</w:t>
      </w:r>
    </w:p>
    <w:p w14:paraId="79D136E9" w14:textId="6A348818" w:rsidR="00F64776" w:rsidRDefault="00F64776">
      <w:pPr>
        <w:spacing w:after="160" w:line="278" w:lineRule="auto"/>
        <w:rPr>
          <w:rFonts w:ascii="Times New Roman" w:eastAsia="Times New Roman" w:hAnsi="Times New Roman" w:cs="Times New Roman"/>
          <w:sz w:val="24"/>
          <w:szCs w:val="24"/>
          <w:lang w:eastAsia="es-ES"/>
        </w:rPr>
      </w:pPr>
      <w:r>
        <w:br w:type="page"/>
      </w:r>
    </w:p>
    <w:p w14:paraId="3843B7B4" w14:textId="77777777" w:rsidR="00F64776" w:rsidRDefault="00F64776" w:rsidP="00F64776">
      <w:pPr>
        <w:pStyle w:val="TtuloResolucin"/>
      </w:pPr>
      <w:bookmarkStart w:id="161" w:name="AUTO_2023_376"/>
      <w:r>
        <w:t>AUTO 376/2023, de 18 de julio de 2023</w:t>
      </w:r>
    </w:p>
    <w:bookmarkEnd w:id="161"/>
    <w:p w14:paraId="00725D22" w14:textId="77777777" w:rsidR="00F64776" w:rsidRDefault="00F64776" w:rsidP="00F64776">
      <w:pPr>
        <w:pStyle w:val="TtuloResolucin"/>
      </w:pPr>
      <w:r>
        <w:t>Pleno</w:t>
      </w:r>
    </w:p>
    <w:p w14:paraId="1BD29DC3" w14:textId="77777777" w:rsidR="00F64776" w:rsidRDefault="00F64776" w:rsidP="00F64776">
      <w:pPr>
        <w:pStyle w:val="TextoNormalCentrado"/>
      </w:pPr>
      <w:r>
        <w:t>ECLI:ES:TC:2023:376A</w:t>
      </w:r>
    </w:p>
    <w:p w14:paraId="41DFE7AE" w14:textId="45C7C4B8" w:rsidR="00F64776" w:rsidRDefault="00F64776" w:rsidP="00F64776">
      <w:pPr>
        <w:pStyle w:val="TextoNormalCentrado"/>
      </w:pPr>
    </w:p>
    <w:p w14:paraId="1E2BB380" w14:textId="77777777" w:rsidR="00F64776" w:rsidRDefault="00F64776" w:rsidP="00F64776">
      <w:pPr>
        <w:pStyle w:val="SntesisDescriptiva"/>
      </w:pPr>
      <w:r>
        <w:t>Excms. Srs. don Cándido Conde-Pumpido Tourón,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w:t>
      </w:r>
    </w:p>
    <w:p w14:paraId="68D4D6EB" w14:textId="3B4D43B8" w:rsidR="00F64776" w:rsidRDefault="00F64776" w:rsidP="00F64776">
      <w:pPr>
        <w:pStyle w:val="SntesisDescriptiva"/>
      </w:pPr>
    </w:p>
    <w:p w14:paraId="5E36141C" w14:textId="77777777" w:rsidR="00F64776" w:rsidRDefault="00F64776" w:rsidP="00F64776">
      <w:pPr>
        <w:pStyle w:val="SntesisDescriptiva"/>
      </w:pPr>
      <w:r>
        <w:t>Inadmite a trámite la cuestión de inconstitucionalidad 1577-2023, planteada por el Juzgado de lo Contencioso-Administrativo núm. 33 de Madrid, respecto del art. 104.5 del texto refundido de la Ley reguladora de las haciendas locales, aprobado por el Real Decreto Legislativo 2/2004, de 5 de marzo, en la redacción dada por el Real Decreto-ley 26/2021, de 8 de noviembre.</w:t>
      </w:r>
    </w:p>
    <w:p w14:paraId="7B74C1DD" w14:textId="7180331F" w:rsidR="00F64776" w:rsidRDefault="00F64776" w:rsidP="00F64776">
      <w:pPr>
        <w:pStyle w:val="SntesisDescriptiva"/>
      </w:pPr>
    </w:p>
    <w:p w14:paraId="4D9BA295" w14:textId="77777777" w:rsidR="00F64776" w:rsidRDefault="00F64776" w:rsidP="00F64776">
      <w:pPr>
        <w:pStyle w:val="SntesisDescriptiva"/>
      </w:pPr>
    </w:p>
    <w:p w14:paraId="6539B255" w14:textId="77777777" w:rsidR="00F64776" w:rsidRDefault="00F64776" w:rsidP="00F64776">
      <w:pPr>
        <w:pStyle w:val="SntesisDescriptiva"/>
      </w:pPr>
    </w:p>
    <w:p w14:paraId="6ED8B701" w14:textId="77777777" w:rsidR="00F64776" w:rsidRDefault="00F64776" w:rsidP="00F64776">
      <w:pPr>
        <w:pStyle w:val="TextoNormalNegritaCentrado"/>
      </w:pPr>
      <w:r>
        <w:t>AUTO</w:t>
      </w:r>
    </w:p>
    <w:p w14:paraId="6A35808E" w14:textId="2191BBA7" w:rsidR="00F64776" w:rsidRDefault="00F64776" w:rsidP="00F64776">
      <w:pPr>
        <w:pStyle w:val="TextoNormalNegritaCentrado"/>
      </w:pPr>
    </w:p>
    <w:p w14:paraId="39CF2496" w14:textId="77777777" w:rsidR="00F64776" w:rsidRDefault="00F64776" w:rsidP="00F64776">
      <w:pPr>
        <w:pStyle w:val="TextoNormalNegritaCentrado"/>
        <w:keepNext/>
      </w:pPr>
      <w:r>
        <w:t>I. Antecedentes</w:t>
      </w:r>
    </w:p>
    <w:p w14:paraId="32E65636" w14:textId="498621E5" w:rsidR="00F64776" w:rsidRDefault="00F64776" w:rsidP="00F64776">
      <w:pPr>
        <w:pStyle w:val="TextoNormalNegritaCentrado"/>
        <w:keepNext/>
      </w:pPr>
    </w:p>
    <w:p w14:paraId="3FA88241" w14:textId="3001E9EC" w:rsidR="00F64776" w:rsidRDefault="00F64776" w:rsidP="00F64776">
      <w:pPr>
        <w:pStyle w:val="TextoNormal"/>
      </w:pPr>
      <w:r w:rsidRPr="00F64776">
        <w:rPr>
          <w:rStyle w:val="NumeroAFNegritaCaracter"/>
        </w:rPr>
        <w:t>1</w:t>
      </w:r>
      <w:r>
        <w:t>. Por escrito registrado en este tribunal el día 9 de marzo de 2023, el Juzgado de lo Contencioso-Administrativo núm. 33 de Madrid remitió, junto con las actuaciones correspondientes al procedimiento abreviado núm. 544-2022, el auto de 24 de febrero de 2023 por el que plantea cuestión de inconstitucionalidad en relación con el precepto citado en el encabezamiento de la presente resolución.</w:t>
      </w:r>
    </w:p>
    <w:p w14:paraId="153066C2" w14:textId="77777777" w:rsidR="00F64776" w:rsidRDefault="00F64776" w:rsidP="00F64776">
      <w:pPr>
        <w:pStyle w:val="TextoNormal"/>
      </w:pPr>
    </w:p>
    <w:p w14:paraId="280A972F" w14:textId="77777777" w:rsidR="00F64776" w:rsidRDefault="00F64776" w:rsidP="00F64776">
      <w:pPr>
        <w:pStyle w:val="TextoNormal"/>
      </w:pPr>
      <w:r w:rsidRPr="00F64776">
        <w:rPr>
          <w:rStyle w:val="NumeroAFNegritaCaracter"/>
        </w:rPr>
        <w:t>2</w:t>
      </w:r>
      <w:r>
        <w:t>. El planteamiento de la cuestión de inconstitucionalidad tiene origen en los siguientes antecedentes:</w:t>
      </w:r>
    </w:p>
    <w:p w14:paraId="4CD72AAB" w14:textId="77777777" w:rsidR="00F64776" w:rsidRDefault="00F64776" w:rsidP="00F64776">
      <w:pPr>
        <w:pStyle w:val="TextoNormal"/>
      </w:pPr>
    </w:p>
    <w:p w14:paraId="51ED875A" w14:textId="77777777" w:rsidR="00F64776" w:rsidRDefault="00F64776" w:rsidP="00F64776">
      <w:pPr>
        <w:pStyle w:val="TextoNormal"/>
      </w:pPr>
      <w:r>
        <w:t>a) La entidad Raimconsa, S.A., adquirió, con fecha de 29 de septiembre de 2005, un solar sito en Villanueva de la Cañada, por importe de 1 138 317,16 €. En el solar se promovió un edificio de once viviendas, once plazas de garaje y un trastero. Con fecha de 27 de octubre de 2021 se otorgó escritura pública de declaración de obra nueva y división horizontal.</w:t>
      </w:r>
    </w:p>
    <w:p w14:paraId="492A0DB4" w14:textId="77777777" w:rsidR="00F64776" w:rsidRDefault="00F64776" w:rsidP="00F64776">
      <w:pPr>
        <w:pStyle w:val="TextoNormal"/>
      </w:pPr>
    </w:p>
    <w:p w14:paraId="79390FDA" w14:textId="77777777" w:rsidR="00F64776" w:rsidRDefault="00F64776" w:rsidP="00F64776">
      <w:pPr>
        <w:pStyle w:val="TextoNormal"/>
      </w:pPr>
      <w:r>
        <w:t>Con fecha 10 de diciembre de 2021 la mercantil transmitió la edificación completa mediante once escrituras públicas. En concreto, la vivienda objeto de este proceso (vivienda 3 B) tuvo un precio de venta de 179 653,00 €.</w:t>
      </w:r>
    </w:p>
    <w:p w14:paraId="3ED5B952" w14:textId="77777777" w:rsidR="00F64776" w:rsidRDefault="00F64776" w:rsidP="00F64776">
      <w:pPr>
        <w:pStyle w:val="TextoNormal"/>
      </w:pPr>
    </w:p>
    <w:p w14:paraId="0D5B4ADC" w14:textId="77777777" w:rsidR="00F64776" w:rsidRDefault="00F64776" w:rsidP="00F64776">
      <w:pPr>
        <w:pStyle w:val="TextoNormal"/>
      </w:pPr>
      <w:r>
        <w:t>b) El Ayuntamiento de Villanueva de la Cañada practicó por la venta que la entidad había llevado a cabo de dicha vivienda la liquidación del impuesto sobre el incremento de valor de los terrenos de naturaleza urbana (IIVTNU) en relación con cada vivienda, correspondiendo a la vivienda objeto de este proceso una cantidad de 1954,25 € (liquidación núm.65-2022).</w:t>
      </w:r>
    </w:p>
    <w:p w14:paraId="59B4FB9D" w14:textId="77777777" w:rsidR="00F64776" w:rsidRDefault="00F64776" w:rsidP="00F64776">
      <w:pPr>
        <w:pStyle w:val="TextoNormal"/>
      </w:pPr>
    </w:p>
    <w:p w14:paraId="5FF3CF93" w14:textId="77777777" w:rsidR="00F64776" w:rsidRDefault="00F64776" w:rsidP="00F64776">
      <w:pPr>
        <w:pStyle w:val="TextoNormal"/>
      </w:pPr>
      <w:r>
        <w:t>Para hallar el valor de transmisión del terreno y comprobar la concurrencia del hecho imponible, el ayuntamiento aplica el método recogido en el párrafo cuarto del art. 104.5 TRLHL, consistente en la aplicación de la proporcionalidad catastral entre el valor del suelo respecto del total del valor del inmueble. El catastro estimó que el valor del suelo representa el 70,89 por 100 del valor catastral al momento del devengo del IIVTNU, proporción que aplicado al valor total del inmueble transmitido (179 653,00 €) da un resultado de 127 356,01 € (valor del suelo en el año 2021).</w:t>
      </w:r>
    </w:p>
    <w:p w14:paraId="6C9369BF" w14:textId="77777777" w:rsidR="00F64776" w:rsidRDefault="00F64776" w:rsidP="00F64776">
      <w:pPr>
        <w:pStyle w:val="TextoNormal"/>
      </w:pPr>
    </w:p>
    <w:p w14:paraId="1FC47404" w14:textId="77777777" w:rsidR="00F64776" w:rsidRDefault="00F64776" w:rsidP="00F64776">
      <w:pPr>
        <w:pStyle w:val="TextoNormal"/>
      </w:pPr>
      <w:r>
        <w:t>Y siendo el precio de compra del solar, no discutido por las partes, de 1 138 317,16 €, el valor del suelo del piso en dicho momento se calcula aplicando el coeficiente de participación en relación con el valor total del edificio, al no existir construcción en dicha fecha (7,70 por 100), arrojando un resultado de 87 650,21 € (valor del suelo en el año 2005).</w:t>
      </w:r>
    </w:p>
    <w:p w14:paraId="73AB1887" w14:textId="77777777" w:rsidR="00F64776" w:rsidRDefault="00F64776" w:rsidP="00F64776">
      <w:pPr>
        <w:pStyle w:val="TextoNormal"/>
      </w:pPr>
    </w:p>
    <w:p w14:paraId="4E8DACDB" w14:textId="77777777" w:rsidR="00F64776" w:rsidRDefault="00F64776" w:rsidP="00F64776">
      <w:pPr>
        <w:pStyle w:val="TextoNormal"/>
      </w:pPr>
      <w:r>
        <w:t>c) La entidad interpuso recurso de reposición contra dicha liquidación ante el Ayuntamiento de Villanueva de la Cañada, en el que aportó informe pericial aplicando el método residual de valoración, considerando el coste del suelo como “residuo” que se produce al deducir al valor de venta todos los gastos y beneficios más los costes de la construcción. Y aplicando dicho método concluye a tal efecto que con la transmisión de la vivienda no solo no se ha manifestado un incremento de valor del suelo, sino un detrimento del valor del mismo, evaluable en la cifra de 14 958,87 €. Calculó el valor del suelo en el momento de la adquisición también en 87 650,42 €, pero en el momento de la venta lo calculó en 62 691,55 €.</w:t>
      </w:r>
    </w:p>
    <w:p w14:paraId="5E3E63D7" w14:textId="77777777" w:rsidR="00F64776" w:rsidRDefault="00F64776" w:rsidP="00F64776">
      <w:pPr>
        <w:pStyle w:val="TextoNormal"/>
      </w:pPr>
    </w:p>
    <w:p w14:paraId="3214CFEC" w14:textId="77777777" w:rsidR="00F64776" w:rsidRDefault="00F64776" w:rsidP="00F64776">
      <w:pPr>
        <w:pStyle w:val="TextoNormal"/>
      </w:pPr>
      <w:r>
        <w:t>La administración desestimó el recurso de reposición mediante resolución de 15 de marzo de 2022 motivando que la nueva redacción del TRLHL establece unos métodos para conocer si se ha producido el hecho imponible del IIVTNU, excluyendo la prueba en contrario, y determinado que únicamente sería posible practicar esa prueba si no se aplicasen correctamente los métodos fijados por la normativa.</w:t>
      </w:r>
    </w:p>
    <w:p w14:paraId="43D7DCA0" w14:textId="77777777" w:rsidR="00F64776" w:rsidRDefault="00F64776" w:rsidP="00F64776">
      <w:pPr>
        <w:pStyle w:val="TextoNormal"/>
      </w:pPr>
    </w:p>
    <w:p w14:paraId="44AB5D48" w14:textId="77777777" w:rsidR="00F64776" w:rsidRDefault="00F64776" w:rsidP="00F64776">
      <w:pPr>
        <w:pStyle w:val="TextoNormal"/>
      </w:pPr>
      <w:r>
        <w:t>d) Tras la desestimación del recurso de reposición Raimconsa, S.A., interpuso recurso contencioso-administrativo ante el Juzgado de lo Contencioso-Administrativo número 33 de Madrid que dio lugar al procedimiento abreviado núm. 544-2022.</w:t>
      </w:r>
    </w:p>
    <w:p w14:paraId="46ABDEBF" w14:textId="77777777" w:rsidR="00F64776" w:rsidRDefault="00F64776" w:rsidP="00F64776">
      <w:pPr>
        <w:pStyle w:val="TextoNormal"/>
      </w:pPr>
    </w:p>
    <w:p w14:paraId="24BAFB29" w14:textId="77777777" w:rsidR="00F64776" w:rsidRDefault="00F64776" w:rsidP="00F64776">
      <w:pPr>
        <w:pStyle w:val="TextoNormal"/>
      </w:pPr>
      <w:r>
        <w:t>En su demanda, el recurrente alegó, por una parte, que no puede liquidarse una plusvalía en caso de que no exista un incremento de valor, y, por otro lado, que la nueva regulación del impuesto dada por el Real Decreto-ley 26/2021, de 8 de noviembre, por el que se adapta el texto refundido de la Ley reguladora de las haciendas locales, a la reciente jurisprudencia del Tribunal Constitucional respecto del impuesto sobre el incremento de valor de los terrenos de naturaleza urbana permite una valoración del suelo sin que el método recogido en la nueva redacción del párrafo cuarto del art. 104.5, de la referida ley sea único o excluyente, pudiendo de contrario presentarse pruebas que acrediten que el suelo ha experimentado aumento de valor.</w:t>
      </w:r>
    </w:p>
    <w:p w14:paraId="6785B220" w14:textId="77777777" w:rsidR="00F64776" w:rsidRDefault="00F64776" w:rsidP="00F64776">
      <w:pPr>
        <w:pStyle w:val="TextoNormal"/>
      </w:pPr>
    </w:p>
    <w:p w14:paraId="769F17F9" w14:textId="77777777" w:rsidR="00F64776" w:rsidRDefault="00F64776" w:rsidP="00F64776">
      <w:pPr>
        <w:pStyle w:val="TextoNormal"/>
      </w:pPr>
      <w:r>
        <w:t>e) El Juzgado dictó providencia de 9 de enero de 2023 dando audiencia a las partes personadas y al Ministerio Fiscal sobre la pertinencia de plantear cuestión de inconstitucionalidad en relación con el art. 104.5 TRLHL, tras la modificación experimentada por el Real Decreto-ley 26/2021, de 8 de noviembre. Recuerda que esta última modificación normativa pretende adecuar el IIVTNU a la jurisprudencia del Tribunal Constitucional que consideró aquel tributo confiscatorio y contrario al principio de capacidad económica, siendo una de la bases de las diferentes sentencias la imposibilidad de los sujetos pasivos de acreditar la pérdida de valor del terreno transmitido al no admitirse la posibilidad de probar precisamente esta, doctrina que, explica el órgano judicial, se encuentra recogida en las SSTC 26/2017, de 16 de febrero; 48/2017, de 27 de abril; 59/2017, de 11 de mayo; 126/2019, de 31 de octubre; 66/2020, de 29 de junio, 37/2022, de 10 de marzo, y la más reciente STC 182/2021, de 26 de octubre.</w:t>
      </w:r>
    </w:p>
    <w:p w14:paraId="335C8DB6" w14:textId="77777777" w:rsidR="00F64776" w:rsidRDefault="00F64776" w:rsidP="00F64776">
      <w:pPr>
        <w:pStyle w:val="TextoNormal"/>
      </w:pPr>
    </w:p>
    <w:p w14:paraId="48D1D8C9" w14:textId="77777777" w:rsidR="00F64776" w:rsidRDefault="00F64776" w:rsidP="00F64776">
      <w:pPr>
        <w:pStyle w:val="TextoNormal"/>
      </w:pPr>
      <w:r>
        <w:t xml:space="preserve">Razona el órgano judicial: </w:t>
      </w:r>
    </w:p>
    <w:p w14:paraId="1E558838" w14:textId="77777777" w:rsidR="00F64776" w:rsidRDefault="00F64776" w:rsidP="00F64776">
      <w:pPr>
        <w:pStyle w:val="TextoNormal"/>
      </w:pPr>
    </w:p>
    <w:p w14:paraId="6FA10044" w14:textId="77777777" w:rsidR="00F64776" w:rsidRDefault="00F64776" w:rsidP="00F64776">
      <w:pPr>
        <w:pStyle w:val="TextoNormal"/>
      </w:pPr>
      <w:r>
        <w:t>“En el presente caso, se trata de una finca adquirida como solar y transformada en un inmueble con edificación por la parte actora, quien pretende acreditar la pérdida de valor del terreno transmitido a través de un informe pericial. Este medio de prueba no es admitido por la administración demandada que alega haber aplicado el precepto transcrito, en concreto el párrafo cuarto, considerando que establece unas reglas taxativas de valoración de los inmuebles, que no admiten prueba en contrario.</w:t>
      </w:r>
    </w:p>
    <w:p w14:paraId="6589CD02" w14:textId="77777777" w:rsidR="00F64776" w:rsidRDefault="00F64776" w:rsidP="00F64776">
      <w:pPr>
        <w:pStyle w:val="TextoNormal"/>
      </w:pPr>
    </w:p>
    <w:p w14:paraId="155C7675" w14:textId="77777777" w:rsidR="00F64776" w:rsidRDefault="00F64776" w:rsidP="00F64776">
      <w:pPr>
        <w:pStyle w:val="TextoNormal"/>
      </w:pPr>
      <w:r>
        <w:t>Por estas razones entiende esta juzgadora que las normas impuestas pueden contravenir la doctrina constitucional sobre la capacidad económica, prohibición de carácter confiscatorio y progresividad de los tributos, de tal modo que la adecuación o no del artículo 104.5 del TRLHL al artículo 31 de la Constitución resulta determinante del sentido del fallo que se haya de dictar en los presentes autos”.</w:t>
      </w:r>
    </w:p>
    <w:p w14:paraId="08DC735D" w14:textId="77777777" w:rsidR="00F64776" w:rsidRDefault="00F64776" w:rsidP="00F64776">
      <w:pPr>
        <w:pStyle w:val="TextoNormal"/>
      </w:pPr>
    </w:p>
    <w:p w14:paraId="244EFBAE" w14:textId="77777777" w:rsidR="00F64776" w:rsidRDefault="00F64776" w:rsidP="00F64776">
      <w:pPr>
        <w:pStyle w:val="TextoNormal"/>
      </w:pPr>
      <w:r>
        <w:t>f) La representación del recurrente presentó escrito de alegaciones el 27 de enero de 2023, en el que consideraba que el planteamiento de la cuestión de inconstitucionalidad no era necesario si el art. 104.5 TRLHL se interpreta y considera como una presunción de valor iuris tantum, contra la que cabe prueba. Argumenta que la jurisprudencia permite que el administrado pruebe que el valor de transmisión ha supuesto una pérdida patrimonial que da lugar a la no sujeción del tributo, recurriendo a la STC 138/2021, de 4 de febrero, que permite al contribuyente probar el verdadero valor del suelo en el momento de la transmisión y este criterio es plenamente aplicable a la nueva y vigente redacción del art. 104.5 TRLHL.</w:t>
      </w:r>
    </w:p>
    <w:p w14:paraId="54378177" w14:textId="77777777" w:rsidR="00F64776" w:rsidRDefault="00F64776" w:rsidP="00F64776">
      <w:pPr>
        <w:pStyle w:val="TextoNormal"/>
      </w:pPr>
    </w:p>
    <w:p w14:paraId="211F639B" w14:textId="77777777" w:rsidR="00F64776" w:rsidRDefault="00F64776" w:rsidP="00F64776">
      <w:pPr>
        <w:pStyle w:val="TextoNormal"/>
      </w:pPr>
      <w:r>
        <w:t>g) El Ministerio Fiscal presentó su escrito de alegaciones el 18 de enero de 2023, analizando, en primer lugar, el cumplimiento de los presupuestos formales de la cuestión de inconstitucionalidad, y, a continuación, el juicio de aplicabilidad y el juicio de relevancia.</w:t>
      </w:r>
    </w:p>
    <w:p w14:paraId="5A384120" w14:textId="77777777" w:rsidR="00F64776" w:rsidRDefault="00F64776" w:rsidP="00F64776">
      <w:pPr>
        <w:pStyle w:val="TextoNormal"/>
      </w:pPr>
    </w:p>
    <w:p w14:paraId="79373E81" w14:textId="77777777" w:rsidR="00F64776" w:rsidRDefault="00F64776" w:rsidP="00F64776">
      <w:pPr>
        <w:pStyle w:val="TextoNormal"/>
      </w:pPr>
      <w:r>
        <w:t>Entiende que los presupuestos formales y el juicio de aplicabilidad se han cumplido debidamente, si bien hace una “pequeña observación sobre la norma legal afectada”, que solo se refiere a los párrafos tercero y cuarto del art. 104.5 TRLHL, no viéndose afectados el resto de los párrafos, si bien la referencia íntegra al precepto no afecta a la corrección del trámite de audiencia dado que la posterior concreción de los términos de la duda permite acotar debidamente cuáles son los contenidos del precepto concretamente afectados a los fines de realizar alegaciones.</w:t>
      </w:r>
    </w:p>
    <w:p w14:paraId="796C8EAD" w14:textId="77777777" w:rsidR="00F64776" w:rsidRDefault="00F64776" w:rsidP="00F64776">
      <w:pPr>
        <w:pStyle w:val="TextoNormal"/>
      </w:pPr>
    </w:p>
    <w:p w14:paraId="29EFA11E" w14:textId="77777777" w:rsidR="00F64776" w:rsidRDefault="00F64776" w:rsidP="00F64776">
      <w:pPr>
        <w:pStyle w:val="TextoNormal"/>
      </w:pPr>
      <w:r>
        <w:t>No obstante, considera que el juicio de relevancia no se ha efectuado debidamente. En primer lugar, argumentó que el órgano judicial debería precisar en un eventual auto de planteamiento “los concretos párrafos del art. 104.5 que quedan afectados por la duda de constitucionalidad”, en particular, si lo que determina la infracción del art. 31.1 CE es: (i) la obligación de computar como valor de la finca el mayor de los dos previstos en el art. 104.5, párrafo 3 (el reflejado documentalmente o el comprobado por la administración); (ii) la sujeción obligatoria a la proporción entre el valor del suelo y el valor total resultante del catastro prevista en el párrafo cuarto; o (iii) las dos reglas, en su aplicación conjunta.</w:t>
      </w:r>
    </w:p>
    <w:p w14:paraId="780D1666" w14:textId="77777777" w:rsidR="00F64776" w:rsidRDefault="00F64776" w:rsidP="00F64776">
      <w:pPr>
        <w:pStyle w:val="TextoNormal"/>
      </w:pPr>
    </w:p>
    <w:p w14:paraId="0EBFB385" w14:textId="77777777" w:rsidR="00F64776" w:rsidRDefault="00F64776" w:rsidP="00F64776">
      <w:pPr>
        <w:pStyle w:val="TextoNormal"/>
      </w:pPr>
      <w:r>
        <w:t>En lo que se refiere a la imposibilidad de utilizar un método de valoración del suelo distinto al expresamente contemplado en el art. 104.5 TRLHL, pone de manifiesto que la interpretación que hace el órgano judicial de que las reglas de valoración del art. 104.5 TRLHL son de aplicación imperativa “no es, en modo alguno, irrazonable”. Si bien el primer párrafo admite ciertamente la posibilidad de acreditar la ausencia de incremento de valor del terreno, exige, acto seguido que el obligado tributario acredite esa circunstancia de un modo determinado, que es el previsto en los párrafos posteriores.</w:t>
      </w:r>
    </w:p>
    <w:p w14:paraId="78A17961" w14:textId="77777777" w:rsidR="00F64776" w:rsidRDefault="00F64776" w:rsidP="00F64776">
      <w:pPr>
        <w:pStyle w:val="TextoNormal"/>
      </w:pPr>
    </w:p>
    <w:p w14:paraId="4E9F1287" w14:textId="77777777" w:rsidR="00F64776" w:rsidRDefault="00F64776" w:rsidP="00F64776">
      <w:pPr>
        <w:pStyle w:val="TextoNormal"/>
      </w:pPr>
      <w:r>
        <w:t>No obstante, considera que el juicio de relevancia requiere algo más, el órgano judicial ha de determinar, antes de plantear la cuestión, si la validez de la norma cuestionada tiene influjo directo en el fallo del asunto, para lo cual ha de despejar la incógnita relativa a si, en el supuesto planteado, se produce el resultado lesivo del art. 31.1 CE: el gravamen de una transmisión en la que no hay capacidad económica porque no ha habido incremento de valor.</w:t>
      </w:r>
    </w:p>
    <w:p w14:paraId="7693EA34" w14:textId="77777777" w:rsidR="00F64776" w:rsidRDefault="00F64776" w:rsidP="00F64776">
      <w:pPr>
        <w:pStyle w:val="TextoNormal"/>
      </w:pPr>
    </w:p>
    <w:p w14:paraId="27204FD6" w14:textId="66D3E53E" w:rsidR="00F64776" w:rsidRDefault="00F64776" w:rsidP="00F64776">
      <w:pPr>
        <w:pStyle w:val="TextoNormal"/>
      </w:pPr>
      <w:r>
        <w:t>h) El Ayuntamiento de Villanueva de la Cañada presentó alegaciones el 25 de enero de 2023 defendiendo la improcedencia del planteamiento de la cuestión de inconstitucionalidad. Argumentó que los interesados no pueden a voluntad y bajo su criterio presentar alteraciones al método de valoración del impuesto que no esté contemplado en la norma. La nueva redacción ha eliminado la presunción de incremento de valor y ha admitido la existencia de situaciones en donde no haya incremento, pero para ello el interesado en acreditar dicha inexistencia debe aportar los títulos que documenten la transmisión y la adquisición, es decir, las escrituras de adquisición y transmisión del terreno. Se podría haber optado por otro método para determinarlo dado que existen multitud de valoraciones de un inmueble, pero no se ha permitido que el interesado decida qué método se ajusta mejor a su situación para evitar la imposición del tributo. Sería desproporcionado que la normativa permitiera que cada interesado escogiera el método que le fuera más beneficioso para determinar cuando existe o no incremento.</w:t>
      </w:r>
    </w:p>
    <w:p w14:paraId="46E454CE" w14:textId="77777777" w:rsidR="00F64776" w:rsidRDefault="00F64776" w:rsidP="00F64776">
      <w:pPr>
        <w:pStyle w:val="TextoNormal"/>
      </w:pPr>
    </w:p>
    <w:p w14:paraId="0A898A14" w14:textId="77777777" w:rsidR="00F64776" w:rsidRDefault="00F64776" w:rsidP="00F64776">
      <w:pPr>
        <w:pStyle w:val="TextoNormal"/>
      </w:pPr>
      <w:r w:rsidRPr="00F64776">
        <w:rPr>
          <w:rStyle w:val="NumeroAFNegritaCaracter"/>
        </w:rPr>
        <w:t>3</w:t>
      </w:r>
      <w:r>
        <w:t>. Del contenido del auto de planteamiento interesa destacar lo siguiente:</w:t>
      </w:r>
    </w:p>
    <w:p w14:paraId="0D9252E5" w14:textId="77777777" w:rsidR="00F64776" w:rsidRDefault="00F64776" w:rsidP="00F64776">
      <w:pPr>
        <w:pStyle w:val="TextoNormal"/>
      </w:pPr>
    </w:p>
    <w:p w14:paraId="03979003" w14:textId="77777777" w:rsidR="00F64776" w:rsidRDefault="00F64776" w:rsidP="00F64776">
      <w:pPr>
        <w:pStyle w:val="TextoNormal"/>
      </w:pPr>
      <w:r>
        <w:t xml:space="preserve">a) El auto de planteamiento alude, en el primer fundamento de derecho, al art. 163 CE y a los arts. 35 a 37 de la Ley Orgánica del Tribunal Constitucional (LOTC), y explica que la cuestión jurídica que se plantea en el proceso </w:t>
      </w:r>
      <w:r w:rsidRPr="00F64776">
        <w:rPr>
          <w:i/>
        </w:rPr>
        <w:t>a quo</w:t>
      </w:r>
      <w:r>
        <w:t xml:space="preserve"> radica en que la administración ha descartado la prueba aportada para comprobar la diferencia de valor del suelo entre la fecha de adquisición y venta, por establecer el TRLHL unos métodos para conocer si se ha producido el hecho imponible y excluyendo prueba en contrario. Por el contrario, el recurrente cuestiona la interpretación de la administración porque, primero, no puede liquidarse una plusvalía si no hay un incremento de valor, y, segundo, la nueva regulación del impuesto dada por el Real Decreto-ley 26/2021, permite presentar pruebas de contra que acrediten que el suelo no ha experimentado aumento de valor.</w:t>
      </w:r>
    </w:p>
    <w:p w14:paraId="0AE5DE74" w14:textId="77777777" w:rsidR="00F64776" w:rsidRDefault="00F64776" w:rsidP="00F64776">
      <w:pPr>
        <w:pStyle w:val="TextoNormal"/>
      </w:pPr>
    </w:p>
    <w:p w14:paraId="1612D807" w14:textId="77777777" w:rsidR="00F64776" w:rsidRDefault="00F64776" w:rsidP="00F64776">
      <w:pPr>
        <w:pStyle w:val="TextoNormal"/>
      </w:pPr>
      <w:r>
        <w:t>b) A continuación, en el segundo fundamento de derecho, aborda el cumplimiento de los requisitos de la cuestión de inconstitucionalidad que considera cumplidos.</w:t>
      </w:r>
    </w:p>
    <w:p w14:paraId="611A7A9D" w14:textId="77777777" w:rsidR="00F64776" w:rsidRDefault="00F64776" w:rsidP="00F64776">
      <w:pPr>
        <w:pStyle w:val="TextoNormal"/>
      </w:pPr>
    </w:p>
    <w:p w14:paraId="3889371B" w14:textId="77777777" w:rsidR="00F64776" w:rsidRDefault="00F64776" w:rsidP="00F64776">
      <w:pPr>
        <w:pStyle w:val="TextoNormal"/>
      </w:pPr>
      <w:r>
        <w:t>c) Reproduce en el fundamento de Derecho tercero el art. 104.5 TRLHL, en su redacción aprobada tras el Real Decreto-ley 26/2021, de 8 de noviembre, y lo interpreta en el sentido de que la norma establece una delimitación del hecho imponible a través de un supuesto de no sujeción, “regulando a continuación los métodos para acreditar la situación de ausencia de incremento de valor de los terrenos”.</w:t>
      </w:r>
    </w:p>
    <w:p w14:paraId="2BEEB9DE" w14:textId="77777777" w:rsidR="00F64776" w:rsidRDefault="00F64776" w:rsidP="00F64776">
      <w:pPr>
        <w:pStyle w:val="TextoNormal"/>
      </w:pPr>
    </w:p>
    <w:p w14:paraId="40426C7C" w14:textId="77777777" w:rsidR="00F64776" w:rsidRDefault="00F64776" w:rsidP="00F64776">
      <w:pPr>
        <w:pStyle w:val="TextoNormal"/>
      </w:pPr>
      <w:r>
        <w:t>d) En el fundamento cuarto aborda las razones que le llevan a considerar que puede darse una vulneración del principio constitucional de capacidad económica ex art. 31 CE que actúa como “límite al legislador impidiendo gravar situaciones que no son expresivas de riqueza”, habiendo prohibido este tribunal gravar riquezas ficticias o inexistentes “inexpresivas de capacidad económica”, lo que llevó a la declaración de inconstitucionalidad el IIVTNU (SSTC 26/2017; 37/2017, de 1 de marzo; 59/2017; 72/2017, de 5 de junio; 126/2019, de 31 de octubre, y 182/2021).</w:t>
      </w:r>
    </w:p>
    <w:p w14:paraId="33B66248" w14:textId="77777777" w:rsidR="00F64776" w:rsidRDefault="00F64776" w:rsidP="00F64776">
      <w:pPr>
        <w:pStyle w:val="TextoNormal"/>
      </w:pPr>
    </w:p>
    <w:p w14:paraId="4FAC6C68" w14:textId="77777777" w:rsidR="00F64776" w:rsidRDefault="00F64776" w:rsidP="00F64776">
      <w:pPr>
        <w:pStyle w:val="TextoNormal"/>
      </w:pPr>
      <w:r>
        <w:t>Explica el auto de planteamiento que una constante en la doctrina constitucional sobre el IIVTNU radica en que la objetividad del tributo llevaba aparejada la imposibilidad de probar por parte del contribuyente la ausencia de hecho imponible, al establecer un método objetivo para su liquidación que no admite prueba en contrario, lo que no tiene encaje en la Constitución. En concreto, la mera titularidad del terreno durante un periodo de tiempo tenía como consecuencia irrefutable un incremento de valor sometido a tributación cuantificado de forma automática, con independencia de la existencia del propio incremento. Lo que llevó al Tribunal a declarar la inconstitucionalidad de las normas de cálculo del IIVTNU a través de las diferentes sentencias culminando con la STC 182/2021.</w:t>
      </w:r>
    </w:p>
    <w:p w14:paraId="1CCD5064" w14:textId="77777777" w:rsidR="00F64776" w:rsidRDefault="00F64776" w:rsidP="00F64776">
      <w:pPr>
        <w:pStyle w:val="TextoNormal"/>
      </w:pPr>
    </w:p>
    <w:p w14:paraId="2C26CAB4" w14:textId="77777777" w:rsidR="00F64776" w:rsidRDefault="00F64776" w:rsidP="00F64776">
      <w:pPr>
        <w:pStyle w:val="TextoNormal"/>
      </w:pPr>
      <w:r>
        <w:t>Tras dicha sentencia el Real Decreto-ley 26/2021 modificó el art. 104.5 TRLHL que declaró no sujetos a tributación situaciones inexpresivas de capacidad económica estableciendo unos medios para probar esa circunstancia, entre ellos, un sistema de proporcionalidad del valor catastral que consiste en la aplicación de la proporción que representa el valor del suelo en el valor catastral total al momento del devengo del impuesto.</w:t>
      </w:r>
    </w:p>
    <w:p w14:paraId="61F51274" w14:textId="77777777" w:rsidR="00F64776" w:rsidRDefault="00F64776" w:rsidP="00F64776">
      <w:pPr>
        <w:pStyle w:val="TextoNormal"/>
      </w:pPr>
    </w:p>
    <w:p w14:paraId="0637FAF8" w14:textId="77777777" w:rsidR="00F64776" w:rsidRDefault="00F64776" w:rsidP="00F64776">
      <w:pPr>
        <w:pStyle w:val="TextoNormal"/>
      </w:pPr>
      <w:r>
        <w:t>Explica no obstante que “[e]l problema radica que en un caso como el presente se aplica el mismo porcentaje a elementos heterogéneos, pues al momento de la compra el bien inmueble era un solar y al momento de la transmisión la finca está formada por el suelo y la edificación levantada por el sujeto pasivo, y no hay que olvidar que el valor del suelo está en función de lo que soporta. Quiere ello decir que el porcentaje que representa el valor de suelo en el valor catastral total cuando cuenta con una construcción no puede ser el mismo que cuando carece de ella.</w:t>
      </w:r>
    </w:p>
    <w:p w14:paraId="2108C964" w14:textId="77777777" w:rsidR="00F64776" w:rsidRDefault="00F64776" w:rsidP="00F64776">
      <w:pPr>
        <w:pStyle w:val="TextoNormal"/>
      </w:pPr>
    </w:p>
    <w:p w14:paraId="0472A0B5" w14:textId="77777777" w:rsidR="00F64776" w:rsidRDefault="00F64776" w:rsidP="00F64776">
      <w:pPr>
        <w:pStyle w:val="TextoNormal"/>
      </w:pPr>
      <w:r>
        <w:t>De este modo, se debe comprobar si se vulnera el principio de capacidad económica del artículo 31 de la CE en los supuestos, como el presente, en el que la contribuyente está obligada al sostenimiento de los gastos públicos mediante el IIVTNU que no mide su capacidad económica puesta de manifiesto por el rendimiento obtenido por la transmisión de un terreno”.</w:t>
      </w:r>
    </w:p>
    <w:p w14:paraId="6015EF12" w14:textId="77777777" w:rsidR="00F64776" w:rsidRDefault="00F64776" w:rsidP="00F64776">
      <w:pPr>
        <w:pStyle w:val="TextoNormal"/>
      </w:pPr>
    </w:p>
    <w:p w14:paraId="6A77BDA1" w14:textId="77777777" w:rsidR="00F64776" w:rsidRDefault="00F64776" w:rsidP="00F64776">
      <w:pPr>
        <w:pStyle w:val="TextoNormal"/>
      </w:pPr>
      <w:r>
        <w:t>e) En el fundamento de Derecho quinto razona la posible vulneración del principio constitucional de interdicción de la confiscatoriedad, dado que el art. 31.1 CE se vulnera no solo cuando un tributo grava una situación inexpresiva de capacidad económica sino también cuando agota la riqueza imponible, dado que en ambos casos tiene un alcance confiscatorio. Cita a tal efecto las SSTC 26/2017, 59/2017 y 182/2021. Y en este supuesto explica que “si lo que se ha producido es una minoración del valor del suelo”, cualquier imposición concreta basada en el crecimiento de dicho valor en el mercado tendría carácter confiscatorio. Lo que sucede en la medida en que el catastro determina que la construcción únicamente representa el 29,11 por 100 del importe total del valor catastral, arrojando un resultado de coste para la construcción a nuevo completamente alejada de la inversión necesaria para llevar a término una vivienda de l00 metros cuadrados en la provincia de Madrid.</w:t>
      </w:r>
    </w:p>
    <w:p w14:paraId="78868449" w14:textId="77777777" w:rsidR="00F64776" w:rsidRDefault="00F64776" w:rsidP="00F64776">
      <w:pPr>
        <w:pStyle w:val="TextoNormal"/>
      </w:pPr>
    </w:p>
    <w:p w14:paraId="0EC5ABC8" w14:textId="77777777" w:rsidR="00F64776" w:rsidRDefault="00F64776" w:rsidP="00F64776">
      <w:pPr>
        <w:pStyle w:val="TextoNormal"/>
      </w:pPr>
      <w:r>
        <w:t>f) Finalmente, en el fundamento sexto, concreta que el catastro fijó el porcentaje que el valor del suelo del piso supone sobre el valor total del inmueble en un 70,89 por 100 del valor catastral total, lo que resulta que en 2021 el terreno tenía un valor de 127 356,91 €. Dado que la vivienda tenía un coeficiente de participación en relación con el valor del solar de 7,70 por 100, en el 2005 el suelo tenía un valor de 87 650,42 €. El cálculo del valor del terreno así efectuado lleva a la conclusión de que el importe del coste de la urbanización y edificación únicamente alcanzan a 52 296,99 €, “lo que resulta alejado de la realidad del mercado pues no se puede construir una vivienda de 99,44 metros cuadrados en la Comunidad de Madrid por ese precio”.</w:t>
      </w:r>
    </w:p>
    <w:p w14:paraId="6E47551B" w14:textId="77777777" w:rsidR="00F64776" w:rsidRDefault="00F64776" w:rsidP="00F64776">
      <w:pPr>
        <w:pStyle w:val="TextoNormal"/>
      </w:pPr>
    </w:p>
    <w:p w14:paraId="5A6AA4F6" w14:textId="77777777" w:rsidR="00F64776" w:rsidRDefault="00F64776" w:rsidP="00F64776">
      <w:pPr>
        <w:pStyle w:val="TextoNormal"/>
      </w:pPr>
      <w:r>
        <w:t>Por el contrario, el informe del perito concluye que si la adquisición del suelo se produjo el 29 de septiembre de 2005 por 87 650,42 €, aplicando el método residual estático asciende a la cifra de 62 691,55 €, por lo que ha manifestado un “detrimento del valor del mismo, evaluable en la cifra de -24.958,87 €”. Advierte que frente a este informe pericial la administración no ha efectuado actuación ni comprobación alguna, que se ha limitado a defender que actúa conforme a derecho.</w:t>
      </w:r>
    </w:p>
    <w:p w14:paraId="763632B8" w14:textId="77777777" w:rsidR="00F64776" w:rsidRDefault="00F64776" w:rsidP="00F64776">
      <w:pPr>
        <w:pStyle w:val="TextoNormal"/>
      </w:pPr>
    </w:p>
    <w:p w14:paraId="4BF7B9B4" w14:textId="77777777" w:rsidR="00F64776" w:rsidRDefault="00F64776" w:rsidP="00F64776">
      <w:pPr>
        <w:pStyle w:val="TextoNormal"/>
      </w:pPr>
      <w:r>
        <w:t>Interpreta el órgano judicial que “la norma es taxativa y a la vez que define un supuesto de no sujeción dejando fuera del hecho imponible situaciones inexpresivas de capacidad económica, establece el método de forma imperativa para el cálculo del incremento del valor de los terrenos de naturaleza urbana que producirá el nacimiento de la obligación tributaria, siendo que precisamente la imposibilidad de probar en contrario el incremento real operado durante el tiempo de tenencia de los bienes inmuebles es un elemento determinante de la doctrina del Tribunal Constitucional sobre este impuesto”.</w:t>
      </w:r>
    </w:p>
    <w:p w14:paraId="7219EF6C" w14:textId="77777777" w:rsidR="00F64776" w:rsidRDefault="00F64776" w:rsidP="00F64776">
      <w:pPr>
        <w:pStyle w:val="TextoNormal"/>
      </w:pPr>
    </w:p>
    <w:p w14:paraId="11D367F7" w14:textId="77777777" w:rsidR="00F64776" w:rsidRDefault="00F64776" w:rsidP="00F64776">
      <w:pPr>
        <w:pStyle w:val="TextoNormal"/>
      </w:pPr>
      <w:r>
        <w:t>Argumenta que en un caso como el de autos “la necesidad de poder constatar la existencia del aumento o decremento del valor del suelo de una forma diferente, no solo por el método objetivo establecido por la norma, deviene fundamental, pues como se ha dicho se trata de un supuesto en que el precio de compra se refiere únicamente al suelo, no existiendo construcción y el de venta se refiere al edificio y al terreno, cuando esa transformación obedece a la inversión efectuada por el contribuyente”. De modo que “[l]a ausencia de previsibilidad de prueba en contrario ocasiona la presunción de que, siempre y en todo caso, cualquier transmisión de suelo urbano supone una manifestación de riqueza gravable reveladora de capacidad económica, cuando en un supuesto como el de autos ello no responde a la realidad, lo que plantea a esta juzgadora las dudas de constitucionalidad del artículo l04.5 del TRLHL respecto del artículo 31 CE, que según la doctrina constitucional no permite gravar situaciones ficticias de capacidad económica , ni agotar la riqueza”. En concreto “atenta contra el principio de capacidad económica y no confiscatoriedad y por ende atenta contra un sistema tributario justo base de toda la tributación”.</w:t>
      </w:r>
    </w:p>
    <w:p w14:paraId="4A82C3D6" w14:textId="77777777" w:rsidR="00F64776" w:rsidRDefault="00F64776" w:rsidP="00F64776">
      <w:pPr>
        <w:pStyle w:val="TextoNormal"/>
      </w:pPr>
    </w:p>
    <w:p w14:paraId="5F0725FE" w14:textId="159FC847" w:rsidR="00F64776" w:rsidRDefault="00F64776" w:rsidP="00F64776">
      <w:pPr>
        <w:pStyle w:val="TextoNormal"/>
      </w:pPr>
      <w:r>
        <w:t>De acuerdo con todo lo anterior, acuerda plantear la cuestión de inconstitucionalidad.</w:t>
      </w:r>
    </w:p>
    <w:p w14:paraId="15FEC48E" w14:textId="77777777" w:rsidR="00F64776" w:rsidRDefault="00F64776" w:rsidP="00F64776">
      <w:pPr>
        <w:pStyle w:val="TextoNormal"/>
      </w:pPr>
    </w:p>
    <w:p w14:paraId="1BEC0D63" w14:textId="74182488" w:rsidR="00F64776" w:rsidRDefault="00F64776" w:rsidP="00F64776">
      <w:pPr>
        <w:pStyle w:val="TextoNormal"/>
      </w:pPr>
      <w:r w:rsidRPr="00F64776">
        <w:rPr>
          <w:rStyle w:val="NumeroAFNegritaCaracter"/>
        </w:rPr>
        <w:t>4</w:t>
      </w:r>
      <w:r>
        <w:t>. Mediante providencia de 23 de mayo de 2023 el Pleno acordó oír al fiscal general del Estado para que, en el plazo de diez días, y a los efectos que determina el art. 37.1 LOTC, alegase lo que considerase conveniente acerca de la admisibilidad de la presente cuestión de inconstitucionalidad en relación con el cumplimiento de los requisitos procesales (art. 35.2 LOTC), y por si fuera notoriamente infundada.</w:t>
      </w:r>
    </w:p>
    <w:p w14:paraId="401314C4" w14:textId="77777777" w:rsidR="00F64776" w:rsidRDefault="00F64776" w:rsidP="00F64776">
      <w:pPr>
        <w:pStyle w:val="TextoNormal"/>
      </w:pPr>
    </w:p>
    <w:p w14:paraId="26A302C8" w14:textId="77777777" w:rsidR="00F64776" w:rsidRDefault="00F64776" w:rsidP="00F64776">
      <w:pPr>
        <w:pStyle w:val="TextoNormal"/>
      </w:pPr>
      <w:r w:rsidRPr="00F64776">
        <w:rPr>
          <w:rStyle w:val="NumeroAFNegritaCaracter"/>
        </w:rPr>
        <w:t>5</w:t>
      </w:r>
      <w:r>
        <w:t>. El fiscal general del Estado evacuó el trámite conferido mediante escrito registrado en este tribunal el 23 de junio de 2023, en el que considera que la cuestión de inconstitucionalidad debe ser inadmitida por no haberse realizado adecuadamente el juicio de relevancia y por ser manifiestamente infundada.</w:t>
      </w:r>
    </w:p>
    <w:p w14:paraId="00D23B81" w14:textId="77777777" w:rsidR="00F64776" w:rsidRDefault="00F64776" w:rsidP="00F64776">
      <w:pPr>
        <w:pStyle w:val="TextoNormal"/>
      </w:pPr>
    </w:p>
    <w:p w14:paraId="331722A6" w14:textId="77777777" w:rsidR="00F64776" w:rsidRDefault="00F64776" w:rsidP="00F64776">
      <w:pPr>
        <w:pStyle w:val="TextoNormal"/>
      </w:pPr>
      <w:r>
        <w:t>a) Tras exponer los antecedentes de los que trae causa la presente cuestión y reproducir el contenido del precepto cuestionado, alude a la duda de constitucionalidad que plantea el órgano judicial, reproduciendo el tenor del auto de planteamiento de la cuestión.</w:t>
      </w:r>
    </w:p>
    <w:p w14:paraId="1EA86812" w14:textId="77777777" w:rsidR="00F64776" w:rsidRDefault="00F64776" w:rsidP="00F64776">
      <w:pPr>
        <w:pStyle w:val="TextoNormal"/>
      </w:pPr>
    </w:p>
    <w:p w14:paraId="4F76FDCF" w14:textId="77777777" w:rsidR="00F64776" w:rsidRDefault="00F64776" w:rsidP="00F64776">
      <w:pPr>
        <w:pStyle w:val="TextoNormal"/>
      </w:pPr>
      <w:r>
        <w:t>b) Seguidamente, el fiscal general del Estado explica que, como cuestión previa, debe determinarse cuáles de los concretos párrafos del art. 104.5 TRLHL son aplicables a la controversia planteada en el litigio judicial. Así, si bien el órgano judicial plantea en bloque la constitucionalidad de todo el precepto, entiende que ante la controversia planteada en el litigio, la determinación del valor del terreno conforme a la regla del art. 104.5, párrafo cuarto, o conforme a la pericial aportada por la parte demandante, “el objeto de la cuestión de inconstitucionalidad es el párrafo cuarto del art. 104.5 TRLHL, precepto que el propio órgano judicial declara de aplicación al litigio y que es cuestionado en su auto de planteamiento porque establece un método imperativo, que no admite prueba en contrario, para determinar el porcentaje que debe aplicarse a los valores de adquisición y transmisión del terreno, y vinculado a esta norma, está el párrafo tercero del precepto por cuanto establece la fórmula de determinación de la inexistencia de incremento de valor por referencia a los títulos que documentan la operación de venta, ya que los párrafos primero y segundo del art. 104.5 TRLHL prevén la posibilidad genérica de acreditar la inexistencia de aumento de valor y la obligación consiguiente de aportar los títulos que documenten la operación y el párrafo quinto se refiere a operaciones a título lucrativo, estando ante un supuesto de venta a título oneroso”.</w:t>
      </w:r>
    </w:p>
    <w:p w14:paraId="7F78C057" w14:textId="77777777" w:rsidR="00F64776" w:rsidRDefault="00F64776" w:rsidP="00F64776">
      <w:pPr>
        <w:pStyle w:val="TextoNormal"/>
      </w:pPr>
    </w:p>
    <w:p w14:paraId="5E992F70" w14:textId="77777777" w:rsidR="00F64776" w:rsidRDefault="00F64776" w:rsidP="00F64776">
      <w:pPr>
        <w:pStyle w:val="TextoNormal"/>
      </w:pPr>
      <w:r>
        <w:t>c) Así delimitado el objeto de la cuestión, el fiscal general del Estado señala que debe analizarse si el trámite de audiencia realizado por el órgano judicial responde a los mandatos del art. 35.2 LOTC y si por el órgano judicial se ha explicitado suficientemente el juicio de aplicabilidad y relevancia. Estima, con cita del ATC 267/2013, de 19 de noviembre, FJ 3, y de la STC 95/2015, de 25 de mayo, FJ 2, que se han cumplido los presupuestos procedimentales del trámite de audiencia, al haberse oído a las partes y al Ministerio Fiscal, en términos que les han permitido pronunciarse sobre la duda de inconstitucionalidad que sometía a su consideración el órgano judicial, contribuyendo, con sus alegaciones, a la formación de la decisión del órgano judicial sobre la pertinencia o no de su planteamiento.</w:t>
      </w:r>
    </w:p>
    <w:p w14:paraId="4A73C782" w14:textId="77777777" w:rsidR="00F64776" w:rsidRDefault="00F64776" w:rsidP="00F64776">
      <w:pPr>
        <w:pStyle w:val="TextoNormal"/>
      </w:pPr>
    </w:p>
    <w:p w14:paraId="2B3AB27F" w14:textId="77777777" w:rsidR="00F64776" w:rsidRDefault="00F64776" w:rsidP="00F64776">
      <w:pPr>
        <w:pStyle w:val="TextoNormal"/>
      </w:pPr>
      <w:r>
        <w:t xml:space="preserve">d) En cuanto al juicio de aplicabilidad, considera, tras citar los AATC 63/2019, de 18 de junio, FJ 3, y 20/2022, de 26 de enero, FJ 4, que este debe entenderse adecuadamente establecido dado que en el proceso </w:t>
      </w:r>
      <w:r w:rsidRPr="00F64776">
        <w:rPr>
          <w:i/>
        </w:rPr>
        <w:t>a quo</w:t>
      </w:r>
      <w:r>
        <w:t xml:space="preserve"> el demandante se alza contra la liquidación del IIVTNU girada por el Ayuntamiento de Villanueva de la Cañada por entender que no se ha producido un incremento de valor con ocasión de la transmisión del inmueble de su propiedad, para lo que frente al método empleado por la administración, el señalado por el art. 104.5, párrafo cuarto, TRLHL, aporta una prueba pericial que acreditaría que no ha existido un incremento de valor y por tanto no procedería la exacción del impuesto.</w:t>
      </w:r>
    </w:p>
    <w:p w14:paraId="42F526CA" w14:textId="77777777" w:rsidR="00F64776" w:rsidRDefault="00F64776" w:rsidP="00F64776">
      <w:pPr>
        <w:pStyle w:val="TextoNormal"/>
      </w:pPr>
    </w:p>
    <w:p w14:paraId="14925787" w14:textId="77777777" w:rsidR="00F64776" w:rsidRDefault="00F64776" w:rsidP="00F64776">
      <w:pPr>
        <w:pStyle w:val="TextoNormal"/>
      </w:pPr>
      <w:r>
        <w:t>e) Respecto del juicio de relevancia propiamente dicho, razona el fiscal general del Estado que “se presenta como duda razonable si el juicio de relevancia se ha efectuado adecuadamente en la medida que el órgano judicial parece plantearse como hipótesis la existencia de `una minoración del suelo´, así lo recoge su auto de planteamiento de la cuestión de inconstitucionalidad con ocasión de fundamentar la vulneración del principio de prohibición de la confiscatoriedad. Así, declara: ‘Efectivamente, en el caso de autos si lo que se ha producido es una minoración del valor del suelo, cualquier imposición concreta basada en el crecimiento de dicho valor en el mercado tendría carácter confiscatorio, al no existir riqueza imponible el pago de cualquier tributo sobre este objeto imponible seria desproporcionado y confiscatorio’”.</w:t>
      </w:r>
    </w:p>
    <w:p w14:paraId="725BD2B2" w14:textId="77777777" w:rsidR="00F64776" w:rsidRDefault="00F64776" w:rsidP="00F64776">
      <w:pPr>
        <w:pStyle w:val="TextoNormal"/>
      </w:pPr>
    </w:p>
    <w:p w14:paraId="1D51A6F2" w14:textId="77777777" w:rsidR="00F64776" w:rsidRDefault="00F64776" w:rsidP="00F64776">
      <w:pPr>
        <w:pStyle w:val="TextoNormal"/>
      </w:pPr>
      <w:r>
        <w:t>Esta condicionalidad también se refleja con ocasión de lo expuesto por el órgano judicial para justificar el juicio de relevancia cuando declara que “de la admisión y práctica de la prueba propuesta por la actora en el proceso depende la sujeción al tributo de la transmisión y, por tanto, el sentido del fallo”, lo que, explica el fiscal, conlleva que la cuestión de inconstitucionalidad pierda su finalidad y se convierta en un juicio abstracto de constitucionalidad de la norma cuestionada, lo que está vedado por este tribunal ya que la norma debe ser aplicable al caso y de su validez dependa el fallo.</w:t>
      </w:r>
    </w:p>
    <w:p w14:paraId="67559DB4" w14:textId="77777777" w:rsidR="00F64776" w:rsidRDefault="00F64776" w:rsidP="00F64776">
      <w:pPr>
        <w:pStyle w:val="TextoNormal"/>
      </w:pPr>
    </w:p>
    <w:p w14:paraId="4F2E3FA6" w14:textId="77777777" w:rsidR="00F64776" w:rsidRDefault="00F64776" w:rsidP="00F64776">
      <w:pPr>
        <w:pStyle w:val="TextoNormal"/>
      </w:pPr>
      <w:r>
        <w:t>A juicio del fiscal, “[n]ada le impedía al órgano judicial, en aplicación de las reglas sobre admisión de la prueba en el proceso, admitir la pericial aportada por la parte demandante y, dado su contenido y los motivos que expone para cuestionar la inconstitucionalidad del párrafo cuarto del art. 104.5 TRLHL, pendiente el proceso de dictarse sentencia, plantear la duda de inconstitucionalidad sobre la viabilidad de apreciar valores diferentes a los asignados al terreno conforme al método que establece el precepto legal con ocasión de las pruebas aportadas por la demandante”.</w:t>
      </w:r>
    </w:p>
    <w:p w14:paraId="60527BD7" w14:textId="77777777" w:rsidR="00F64776" w:rsidRDefault="00F64776" w:rsidP="00F64776">
      <w:pPr>
        <w:pStyle w:val="TextoNormal"/>
      </w:pPr>
    </w:p>
    <w:p w14:paraId="1C346B41" w14:textId="77777777" w:rsidR="00F64776" w:rsidRDefault="00F64776" w:rsidP="00F64776">
      <w:pPr>
        <w:pStyle w:val="TextoNormal"/>
      </w:pPr>
      <w:r>
        <w:t>Y afirma que estas circunstancias conllevan “que debamos afirmar que el juicio de relevancia no se haya formulado correctamente por el órgano judicial y determina la inadmisibilidad de la cuestión de inconstitucionalidad, se altera la naturaleza de la cuestión de inconstitucionalidad. Esta es una modalidad procedimental en la que la función depurativa abstracta de la norma con rango de ley ha de circunscribirse a lo que resulte aplicable y relevante para la resolución del litigio entablado, convirtiéndose, por tanto, en el presente caso, en un instrumento procesal para buscar una depuración abstracta del ordenamiento ya que se utilizaría ‘para obtener un pronunciamiento innecesario o indiferente para la decisión del proceso en el que la cuestión se suscita’ (STC 64/2003, de 27 de marzo, FJ 5)”.</w:t>
      </w:r>
    </w:p>
    <w:p w14:paraId="748EAF3D" w14:textId="77777777" w:rsidR="00F64776" w:rsidRDefault="00F64776" w:rsidP="00F64776">
      <w:pPr>
        <w:pStyle w:val="TextoNormal"/>
      </w:pPr>
    </w:p>
    <w:p w14:paraId="65E6D2DE" w14:textId="77777777" w:rsidR="00F64776" w:rsidRDefault="00F64776" w:rsidP="00F64776">
      <w:pPr>
        <w:pStyle w:val="TextoNormal"/>
      </w:pPr>
      <w:r>
        <w:t>f) Por último, el fiscal sostiene que la cuestión de inconstitucionalidad puede considerarse notoriamente infundada dado que, según razona, el Tribunal Constitucional ya ha valorado la constitucionalidad del art. 104.5 TRLHL que regula el método de estimación directa y las reglas que lo componen para el cálculo del valor del terreno en el momento de la transmisión, en su STC 17/2023, de 9 de marzo, reproduciendo el fundamento jurídico 3 B) de dicha sentencia.</w:t>
      </w:r>
    </w:p>
    <w:p w14:paraId="6FC3F09C" w14:textId="77777777" w:rsidR="00F64776" w:rsidRDefault="00F64776" w:rsidP="00F64776">
      <w:pPr>
        <w:pStyle w:val="TextoNormal"/>
      </w:pPr>
    </w:p>
    <w:p w14:paraId="6DEFC836" w14:textId="77777777" w:rsidR="00F64776" w:rsidRDefault="00F64776" w:rsidP="00F64776">
      <w:pPr>
        <w:pStyle w:val="TextoNormal"/>
      </w:pPr>
      <w:r>
        <w:t>A ello añade que los motivos expuestos por el órgano judicial sobre la inconstitucionalidad de la norma carecen de fundamento, explicando que “el método de cálculo del terreno que prevé el art. 104.5, párrafo cuarto, TRLHL permite obtener valores del terreno conformes a la realidad económica del momento en que se produce su transmisión y, por ende, el devengo del impuesto”. Y el “carácter imperativo del método de cálculo del valor del terreno, en los supuestos en que no esté determinado en los títulos que documentan la adquisición y transmisión, que también defiende el órgano promotor de la cuestión, vendría conformado por la propia dicción del art. 104.5 párrafo cuarto y refrendado por lo dispuesto en los arts. 107.5 y 110.4 del TRLHL”.</w:t>
      </w:r>
    </w:p>
    <w:p w14:paraId="1F5A5902" w14:textId="77777777" w:rsidR="00F64776" w:rsidRDefault="00F64776" w:rsidP="00F64776">
      <w:pPr>
        <w:pStyle w:val="TextoNormal"/>
      </w:pPr>
    </w:p>
    <w:p w14:paraId="00917226" w14:textId="77777777" w:rsidR="00F64776" w:rsidRDefault="00F64776" w:rsidP="00F64776">
      <w:pPr>
        <w:pStyle w:val="TextoNormal"/>
      </w:pPr>
      <w:r>
        <w:t>Es decir, explica el fiscal, que “el legislador ha venido a fijar como se ha de probar el valor del terreno en los supuestos en que no se haya fijado en los títulos de adquisición y trasmisión su valor para lo cual establece qué elementos deben tenerse en cuanta para su determinación, esto es, el método consiste en aplicar la proporción que represente, en la fecha de devengo del impuesto, el valor catastral del terreno respecto del valor catastral total y esta proporción se aplicará tanto al valor de transmisión como, en su caso, al de adquisición, sin permitir otro medio de prueba”.</w:t>
      </w:r>
    </w:p>
    <w:p w14:paraId="0CED1129" w14:textId="77777777" w:rsidR="00F64776" w:rsidRDefault="00F64776" w:rsidP="00F64776">
      <w:pPr>
        <w:pStyle w:val="TextoNormal"/>
      </w:pPr>
    </w:p>
    <w:p w14:paraId="6C5F64FE" w14:textId="77777777" w:rsidR="00F64776" w:rsidRDefault="00F64776" w:rsidP="00F64776">
      <w:pPr>
        <w:pStyle w:val="TextoNormal"/>
      </w:pPr>
      <w:r>
        <w:t>Este carácter imperativo de la regla de cálculo, a su vez, “inhabilita la posibilidad de acudir a métodos de cálculo diferentes al establecido legalmente”, de modo que no se permite al sujeto pasivo determinar un decremento de valor con ocasión de la transmisión del terreno por otro procedimiento distinto al previsto en el art. 104.5, y tampoco puede la administración apartarse de dicha norma reguladora. Si bien, en su opinión, “ello no sería contrario a la doctrina de este tribunal que, en su STC 59/2017, de 11 de mayo, declaró inconstitucional y nulo el artículo 110.4 LHL, al impedir a los sujetos pasivos que puedan acreditar la existencia de una situación inexpresiva de capacidad económica [SSTC 26/2017, FJ 5, y 37/2017, FJ 5 b)]”.</w:t>
      </w:r>
    </w:p>
    <w:p w14:paraId="2CDA3B47" w14:textId="77777777" w:rsidR="00F64776" w:rsidRDefault="00F64776" w:rsidP="00F64776">
      <w:pPr>
        <w:pStyle w:val="TextoNormal"/>
      </w:pPr>
    </w:p>
    <w:p w14:paraId="73F870EC" w14:textId="77777777" w:rsidR="00F64776" w:rsidRDefault="00F64776" w:rsidP="00F64776">
      <w:pPr>
        <w:pStyle w:val="TextoNormal"/>
      </w:pPr>
      <w:r>
        <w:t>La inconstitucionalidad anterior, explica, era resultado de la configuración del impuesto, cuando lo que ahora se ha hecho es introducir el método de estimación directa, que permite obtener valores reales exponentes de la existencia o inexistencia de un incremento del valor del terreno en el momento de la transmisión.</w:t>
      </w:r>
    </w:p>
    <w:p w14:paraId="31C68825" w14:textId="77777777" w:rsidR="00F64776" w:rsidRDefault="00F64776" w:rsidP="00F64776">
      <w:pPr>
        <w:pStyle w:val="TextoNormal"/>
      </w:pPr>
    </w:p>
    <w:p w14:paraId="28F6680E" w14:textId="77777777" w:rsidR="00F64776" w:rsidRDefault="00F64776" w:rsidP="00F64776">
      <w:pPr>
        <w:pStyle w:val="TextoNormal"/>
      </w:pPr>
      <w:r>
        <w:t>Además, al establecer el párrafo cuarto del art. 104.5 TRLHL el porcentaje por referencia al valor catastral, ello respondería a razones de técnica tributaria en orden a simplificar el cálculo del porcentaje a aplicar lo que hace que tenga una justificación objetiva y razonable, porcentaje que se aplica por referencia a los valores de transmisión y adquisición. La regla no está así al margen de la capacidad económica gravada por el impuesto y demostrada por el contribuyente y no desconocería el principio de capacidad económica como criterio de imposición, ni el principio de prohibición de la confiscatoriedad (art. 31.1 CE).</w:t>
      </w:r>
    </w:p>
    <w:p w14:paraId="4FC7B5F0" w14:textId="77777777" w:rsidR="00F64776" w:rsidRDefault="00F64776" w:rsidP="00F64776">
      <w:pPr>
        <w:pStyle w:val="TextoNormal"/>
      </w:pPr>
    </w:p>
    <w:p w14:paraId="0F93F56B" w14:textId="5C2F31D7" w:rsidR="00F64776" w:rsidRDefault="00F64776" w:rsidP="00F64776">
      <w:pPr>
        <w:pStyle w:val="TextoNormal"/>
      </w:pPr>
      <w:r>
        <w:t>Finalmente concluye señalando que tampoco “es dable admitir, como argumento de la inconstitucionalidad del precepto, que, por la diferencia de los valores de construcción y de suelo, resultaba un valor de la construcción que no permite adquirir una vivienda en Madrid”.</w:t>
      </w:r>
    </w:p>
    <w:p w14:paraId="74A3C0D0" w14:textId="77777777" w:rsidR="00F64776" w:rsidRDefault="00F64776" w:rsidP="00F64776">
      <w:pPr>
        <w:pStyle w:val="TextoNormal"/>
      </w:pPr>
    </w:p>
    <w:p w14:paraId="1BDB2CAE" w14:textId="77777777" w:rsidR="00F64776" w:rsidRDefault="00F64776" w:rsidP="00F64776">
      <w:pPr>
        <w:pStyle w:val="TextoNormalNegritaCentrado"/>
        <w:keepNext/>
      </w:pPr>
      <w:r>
        <w:t>II. Fundamentos jurídicos</w:t>
      </w:r>
    </w:p>
    <w:p w14:paraId="407C804D" w14:textId="0352D5A7" w:rsidR="00F64776" w:rsidRDefault="00F64776" w:rsidP="00F64776">
      <w:pPr>
        <w:pStyle w:val="TextoNormalNegritaCentrado"/>
        <w:keepNext/>
      </w:pPr>
    </w:p>
    <w:p w14:paraId="2EC01EBA" w14:textId="77777777" w:rsidR="00F64776" w:rsidRDefault="00F64776" w:rsidP="00F64776">
      <w:pPr>
        <w:pStyle w:val="TextoNormal"/>
      </w:pPr>
      <w:r w:rsidRPr="00F64776">
        <w:rPr>
          <w:rStyle w:val="NumeroAFNegritaCaracter"/>
        </w:rPr>
        <w:t>1</w:t>
      </w:r>
      <w:r>
        <w:t>. El Juzgado de lo Contencioso-Administrativo núm. 33 de Madrid plantea cuestión de inconstitucionalidad en relación con el art. 104.5 del texto refundido de la Ley reguladora de las haciendas locales (TRLHL), aprobado por el Real Decreto-legislativo 2/2004, de 5 de marzo, por contravenir el principio de capacidad económica como criterio de la imposición del art. 31.1 de la Constitución.</w:t>
      </w:r>
    </w:p>
    <w:p w14:paraId="6E47B440" w14:textId="77777777" w:rsidR="00F64776" w:rsidRDefault="00F64776" w:rsidP="00F64776">
      <w:pPr>
        <w:pStyle w:val="TextoNormal"/>
      </w:pPr>
    </w:p>
    <w:p w14:paraId="128D0F30" w14:textId="77777777" w:rsidR="00F64776" w:rsidRDefault="00F64776" w:rsidP="00F64776">
      <w:pPr>
        <w:pStyle w:val="TextoNormal"/>
      </w:pPr>
      <w:r>
        <w:t>a) El precepto cuestionado en la presente cuestión de inconstitucionalidad, en su redacción aprobada tras el Real Decreto-ley 26/2021, de 8 de noviembre, establece lo siguiente:</w:t>
      </w:r>
    </w:p>
    <w:p w14:paraId="4F1A8F61" w14:textId="77777777" w:rsidR="00F64776" w:rsidRDefault="00F64776" w:rsidP="00F64776">
      <w:pPr>
        <w:pStyle w:val="TextoNormal"/>
      </w:pPr>
    </w:p>
    <w:p w14:paraId="797468D6" w14:textId="77777777" w:rsidR="00F64776" w:rsidRDefault="00F64776" w:rsidP="00F64776">
      <w:pPr>
        <w:pStyle w:val="TextoNormal"/>
      </w:pPr>
      <w:r>
        <w:t>“5. No se producirá la sujeción al impuesto en las transmisiones de terrenos respecto de los cuales se constate la inexistencia de incremento de valor por diferencia entre los valores de dichos terrenos en las fechas de transmisión y adquisición.</w:t>
      </w:r>
    </w:p>
    <w:p w14:paraId="0C8F5558" w14:textId="77777777" w:rsidR="00F64776" w:rsidRDefault="00F64776" w:rsidP="00F64776">
      <w:pPr>
        <w:pStyle w:val="TextoNormal"/>
      </w:pPr>
    </w:p>
    <w:p w14:paraId="72256822" w14:textId="77777777" w:rsidR="00F64776" w:rsidRDefault="00F64776" w:rsidP="00F64776">
      <w:pPr>
        <w:pStyle w:val="TextoNormal"/>
      </w:pPr>
      <w:r>
        <w:t>Para ello, el interesado en acreditar la inexistencia de incremento de valor deberá declarar la transmisión, así como aportar los títulos que documenten la transmisión y la adquisición, entendiéndose por interesados, a estos efectos, las personas o entidades a que se refiere el artículo 106.</w:t>
      </w:r>
    </w:p>
    <w:p w14:paraId="76209142" w14:textId="77777777" w:rsidR="00F64776" w:rsidRDefault="00F64776" w:rsidP="00F64776">
      <w:pPr>
        <w:pStyle w:val="TextoNormal"/>
      </w:pPr>
    </w:p>
    <w:p w14:paraId="27F02506" w14:textId="77777777" w:rsidR="00F64776" w:rsidRDefault="00F64776" w:rsidP="00F64776">
      <w:pPr>
        <w:pStyle w:val="TextoNormal"/>
      </w:pPr>
      <w:r>
        <w:t>Para constatar la inexistencia de incremento de valor, como valor de transmisión o de adquisición del terreno se tomará en cada caso el mayor de los siguientes valores, sin que a estos efectos puedan computarse los gastos o tributos que graven dichas operaciones: el que conste en el título que documente la operación o el comprobado, en su caso, por la administración tributaria.</w:t>
      </w:r>
    </w:p>
    <w:p w14:paraId="37FAC610" w14:textId="77777777" w:rsidR="00F64776" w:rsidRDefault="00F64776" w:rsidP="00F64776">
      <w:pPr>
        <w:pStyle w:val="TextoNormal"/>
      </w:pPr>
    </w:p>
    <w:p w14:paraId="7DC80942" w14:textId="77777777" w:rsidR="00F64776" w:rsidRDefault="00F64776" w:rsidP="00F64776">
      <w:pPr>
        <w:pStyle w:val="TextoNormal"/>
      </w:pPr>
      <w:r>
        <w:t>Cuando se trate de la transmisión de un inmueble en el que haya suelo y construcción, se tomará como valor del suelo a estos efectos el que resulte de aplicar la proporción que represente en la fecha de devengo del impuesto el valor catastral del terreno respecto del valor catastral total y esta proporción se aplicará tanto al valor de transmisión como, en su caso, al de adquisición.</w:t>
      </w:r>
    </w:p>
    <w:p w14:paraId="01550B6D" w14:textId="77777777" w:rsidR="00F64776" w:rsidRDefault="00F64776" w:rsidP="00F64776">
      <w:pPr>
        <w:pStyle w:val="TextoNormal"/>
      </w:pPr>
    </w:p>
    <w:p w14:paraId="7EDA8690" w14:textId="77777777" w:rsidR="00F64776" w:rsidRDefault="00F64776" w:rsidP="00F64776">
      <w:pPr>
        <w:pStyle w:val="TextoNormal"/>
      </w:pPr>
      <w:r>
        <w:t>Si la adquisición o la transmisión hubiera sido a título lucrativo se aplicarán las reglas de los párrafos anteriores tomando, en su caso, por el primero de los dos valores a comparar señalados anteriormente, el declarado en el impuesto sobre sucesiones y donaciones.</w:t>
      </w:r>
    </w:p>
    <w:p w14:paraId="7FB3E482" w14:textId="77777777" w:rsidR="00F64776" w:rsidRDefault="00F64776" w:rsidP="00F64776">
      <w:pPr>
        <w:pStyle w:val="TextoNormal"/>
      </w:pPr>
    </w:p>
    <w:p w14:paraId="281256E4" w14:textId="77777777" w:rsidR="00F64776" w:rsidRDefault="00F64776" w:rsidP="00F64776">
      <w:pPr>
        <w:pStyle w:val="TextoNormal"/>
      </w:pPr>
      <w:r>
        <w:t>En la posterior transmisión de los inmuebles a los que se refiere este apartado, para el cómputo del número de años a lo largo de los cuales se ha puesto de manifiesto el incremento de valor de los terrenos, no se tendrá en cuenta el periodo anterior a su adquisición. Lo dispuesto en este párrafo no será de aplicación en los supuestos de aportaciones o transmisiones de bienes inmuebles que resulten no sujetas en virtud de lo dispuesto en el apartado 3 de este artículo o en la disposición adicional segunda de la Ley 27/2014, de 27 de noviembre, del impuesto sobre sociedades”.</w:t>
      </w:r>
    </w:p>
    <w:p w14:paraId="1DC5222B" w14:textId="77777777" w:rsidR="00F64776" w:rsidRDefault="00F64776" w:rsidP="00F64776">
      <w:pPr>
        <w:pStyle w:val="TextoNormal"/>
      </w:pPr>
    </w:p>
    <w:p w14:paraId="7D11A038" w14:textId="77777777" w:rsidR="00F64776" w:rsidRDefault="00F64776" w:rsidP="00F64776">
      <w:pPr>
        <w:pStyle w:val="TextoNormal"/>
      </w:pPr>
      <w:r>
        <w:t xml:space="preserve">b) Como ha quedado expuesto en los antecedentes, aunque el órgano </w:t>
      </w:r>
      <w:r w:rsidRPr="00F64776">
        <w:rPr>
          <w:i/>
        </w:rPr>
        <w:t>a quo</w:t>
      </w:r>
      <w:r>
        <w:t xml:space="preserve"> plantea la cuestión de inconstitucionalidad formalmente respecto a todo el contenido del art. 104.5 TRLHL, las dudas de constitucionalidad solo afectan materialmente al párrafo cuarto, que establece un método para determinar el valor del suelo, cuando se transmite un inmueble con suelo y construcción, que será el que resulte de aplicar la proporción que represente en la fecha de devengo del impuesto el valor catastral del terreno respecto del valor catastral total, y esta proporción se aplicará tanto al valor de transmisión como, en su caso, al de adquisición. Por lo tanto, tal y como también ha advertido el fiscal, el párrafo cuarto es el único cuya constitucionalidad se cuestiona en la presente cuestión de inconstitucionalidad.</w:t>
      </w:r>
    </w:p>
    <w:p w14:paraId="363CAF05" w14:textId="77777777" w:rsidR="00F64776" w:rsidRDefault="00F64776" w:rsidP="00F64776">
      <w:pPr>
        <w:pStyle w:val="TextoNormal"/>
      </w:pPr>
    </w:p>
    <w:p w14:paraId="5D9611D4" w14:textId="77777777" w:rsidR="00F64776" w:rsidRDefault="00F64776" w:rsidP="00F64776">
      <w:pPr>
        <w:pStyle w:val="TextoNormal"/>
      </w:pPr>
      <w:r>
        <w:t>c) Razona el órgano judicial que al configurar el legislador este método de forma imperativa, sin admitir prueba en contrario, se vulnera el principio de capacidad económica del art. 31 CE, porque lo es con independencia de que haya habido o no un incremento, con fundamento en la doctrina constitucional que culminó con la STC 182/2021, de 26 de octubre. Explica así que “si lo que se ha producido es una minusvaloración del valor del suelo, cualquier imposición concreta basada en el crecimiento de dicho valor en el mercado tendría carácter confiscatorio”.</w:t>
      </w:r>
    </w:p>
    <w:p w14:paraId="110601E7" w14:textId="77777777" w:rsidR="00F64776" w:rsidRDefault="00F64776" w:rsidP="00F64776">
      <w:pPr>
        <w:pStyle w:val="TextoNormal"/>
      </w:pPr>
    </w:p>
    <w:p w14:paraId="74082BBD" w14:textId="77777777" w:rsidR="00F64776" w:rsidRDefault="00F64776" w:rsidP="00F64776">
      <w:pPr>
        <w:pStyle w:val="TextoNormal"/>
      </w:pPr>
      <w:r>
        <w:t>Entiende además que, en el caso de autos, dado que en el momento de la compra el bien inmueble era un solar y al momento de la transmisión la finca está formada por suelo y edificación, el porcentaje que representa el valor de suelo en el valor catastral total cuando cuenta con una construcción no puede ser el mismo que cuando carece de ella.</w:t>
      </w:r>
    </w:p>
    <w:p w14:paraId="4ED9873F" w14:textId="77777777" w:rsidR="00F64776" w:rsidRDefault="00F64776" w:rsidP="00F64776">
      <w:pPr>
        <w:pStyle w:val="TextoNormal"/>
      </w:pPr>
    </w:p>
    <w:p w14:paraId="42B733AF" w14:textId="68137B8F" w:rsidR="00F64776" w:rsidRDefault="00F64776" w:rsidP="00F64776">
      <w:pPr>
        <w:pStyle w:val="TextoNormal"/>
      </w:pPr>
      <w:r>
        <w:t xml:space="preserve">d) El fiscal general del Estado, en el trámite previsto en el art. 37.1 LOTC, se ha opuesto a la admisión de la presente cuestión de inconstitucionalidad por entender que no se cumplen los requisitos procesales exigidos por el art. 35 LOTC en cuanto a la adecuada formulación del juicio de relevancia, dado que el juzgado </w:t>
      </w:r>
      <w:r w:rsidRPr="00F64776">
        <w:rPr>
          <w:i/>
        </w:rPr>
        <w:t>a quo</w:t>
      </w:r>
      <w:r>
        <w:t xml:space="preserve"> ha planteado la cuestión de inconstitucionalidad para la hipótesis de que hubiera una minusvaloración, advirtiendo que al formular el juicio de relevancia también expresa que de la admisión y práctica de la prueba propuesta por la actora en el proceso depende la sujeción al tributo de la transmisión y, por tanto, el sentido del fallo. Ello conlleva que la cuestión de inconstitucionalidad se convierta en un juicio abstracto de la norma cuestionada. También entiende que la cuestión es notoriamente infundada porque el método establecido, aunque reconoce que es imperativo, no se aleja de la realidad económica del valor de los terrenos urbanos.</w:t>
      </w:r>
    </w:p>
    <w:p w14:paraId="6D03E0E1" w14:textId="77777777" w:rsidR="00F64776" w:rsidRDefault="00F64776" w:rsidP="00F64776">
      <w:pPr>
        <w:pStyle w:val="TextoNormal"/>
      </w:pPr>
    </w:p>
    <w:p w14:paraId="7A51BD40" w14:textId="00F1AA46" w:rsidR="00F64776" w:rsidRDefault="00F64776" w:rsidP="00F64776">
      <w:pPr>
        <w:pStyle w:val="TextoNormal"/>
      </w:pPr>
      <w:r w:rsidRPr="00F64776">
        <w:rPr>
          <w:rStyle w:val="NumeroAFNegritaCaracter"/>
        </w:rPr>
        <w:t>2</w:t>
      </w:r>
      <w:r>
        <w:t xml:space="preserve">. El art. 37.1 LOTC permite a este tribunal rechazar </w:t>
      </w:r>
      <w:r w:rsidRPr="00F64776">
        <w:rPr>
          <w:i/>
        </w:rPr>
        <w:t>a limine</w:t>
      </w:r>
      <w:r>
        <w:t xml:space="preserve"> las cuestiones de inconstitucionalidad, mediante auto y sin otra audiencia que la del fiscal general del Estado, cuando faltaren las condiciones procesales o fuere notoriamente infundada la cuestión suscitada. El análisis de la cuestión de inconstitucionalidad que se somete a nuestra consideración revela la concurrencia del primer motivo de inadmisión, dado que, como también ha señalado el fiscal general, no satisface las exigencias para promoverla que imponen los arts. 163 CE y 35 a 37 LOTC.</w:t>
      </w:r>
    </w:p>
    <w:p w14:paraId="62F3B4D5" w14:textId="77777777" w:rsidR="00F64776" w:rsidRDefault="00F64776" w:rsidP="00F64776">
      <w:pPr>
        <w:pStyle w:val="TextoNormal"/>
      </w:pPr>
    </w:p>
    <w:p w14:paraId="6CBCC682" w14:textId="77777777" w:rsidR="00F64776" w:rsidRDefault="00F64776" w:rsidP="00F64776">
      <w:pPr>
        <w:pStyle w:val="TextoNormal"/>
      </w:pPr>
      <w:r w:rsidRPr="00F64776">
        <w:rPr>
          <w:rStyle w:val="NumeroAFNegritaCaracter"/>
        </w:rPr>
        <w:t>3</w:t>
      </w:r>
      <w:r>
        <w:t>. Son condiciones procesales de la cuestión de inconstitucionalidad que los preceptos cuestionados resulten “aplicables al caso” (juicio de aplicabilidad) y que de su “validez dependa el fallo” (juicio de relevancia), tal y como exigen los arts. 163 CE y 35 LOTC. Es esta una doble condición necesaria y sucesiva para que este proceso mantenga su naturaleza incidental y no se convierta en un juicio abstracto de constitucionalidad desligado de las circunstancias del caso concreto, lo que daría lugar a una ampliación de la legitimación para interponer recurso abstracto o directo de inconstitucionalidad establecida en la Constitución [art. 162.1 a)] y en la Ley Orgánica del Tribunal Constitucional (art. 32.1).</w:t>
      </w:r>
    </w:p>
    <w:p w14:paraId="3D24BA3A" w14:textId="77777777" w:rsidR="00F64776" w:rsidRDefault="00F64776" w:rsidP="00F64776">
      <w:pPr>
        <w:pStyle w:val="TextoNormal"/>
      </w:pPr>
    </w:p>
    <w:p w14:paraId="6009741C" w14:textId="77777777" w:rsidR="00F64776" w:rsidRDefault="00F64776" w:rsidP="00F64776">
      <w:pPr>
        <w:pStyle w:val="TextoNormal"/>
      </w:pPr>
      <w:r>
        <w:t>Conforme a reiterada doctrina constitucional, que sintetizamos recientemente en los AATC 154/2022, de 16 de noviembre, FJ 3, y 188/2023, de 18 de abril, FJ 3, “es competencia del órgano promotor de la cuestión tanto ‘determinar cuáles son efectivamente las normas aplicables al caso que ha de decidir’ (STC 17/1981, de 1 de junio, FJ 1), como exteriorizar el juicio de relevancia, esto es, ‘el esquema argumental dirigido a probar que el fallo del proceso judicial depende de la validez de la norma cuestionada’ (por todos, ATC 21/2001, de 30 de enero, FJ 1), pues ‘si bien la aplicabilidad de la norma es condición necesaria para que el fallo dependa de su validez, no es, en modo alguno, condición suficiente’ (ATC 111/2018, de 16 de octubre, FJ 2). Este juicio de relevancia ‘constituye una de las más esenciales condiciones procesales de las cuestiones de inconstitucionalidad en garantía de que su planteamiento no desborde la función de control concreto o incidental de la constitucionalidad de las leyes, por no versar sobre la norma de cuya validez depende el fallo, único objeto posible de este tipo de procedimientos’ [STC 150/2020, de 22 de octubre, FJ 2 b), citando la STC 104/2018, de 4 de octubre, FJ 2].</w:t>
      </w:r>
    </w:p>
    <w:p w14:paraId="6A948107" w14:textId="77777777" w:rsidR="00F64776" w:rsidRDefault="00F64776" w:rsidP="00F64776">
      <w:pPr>
        <w:pStyle w:val="TextoNormal"/>
      </w:pPr>
    </w:p>
    <w:p w14:paraId="50F5265C" w14:textId="77777777" w:rsidR="00F64776" w:rsidRDefault="00F64776" w:rsidP="00F64776">
      <w:pPr>
        <w:pStyle w:val="TextoNormal"/>
      </w:pPr>
      <w:r>
        <w:t>Sobre ambos juicios, de aplicabilidad y relevancia, este tribunal ejerce un control ‘meramente externo’ (ATC 159/2016, de 20 de septiembre, FJ 2), lo que significa que debe verificar su concurrencia a fin de que no se haga un uso de la cuestión de inconstitucionalidad ‘no acomodado a su naturaleza y finalidad propias’ (ATC 9/2019, de 12 de febrero, FJ 2, con cita de otros), pero no sustituir al órgano judicial en la determinación de ese nexo causal (STC 41/1990, de 15 de marzo, FJ 2), que es una tarea propiamente jurisdiccional y por tanto reservada a aquel (art. 117.3 CE).</w:t>
      </w:r>
    </w:p>
    <w:p w14:paraId="4DE0FBA2" w14:textId="77777777" w:rsidR="00F64776" w:rsidRDefault="00F64776" w:rsidP="00F64776">
      <w:pPr>
        <w:pStyle w:val="TextoNormal"/>
      </w:pPr>
    </w:p>
    <w:p w14:paraId="091AF7C9" w14:textId="6924AC30" w:rsidR="00F64776" w:rsidRDefault="00F64776" w:rsidP="00F64776">
      <w:pPr>
        <w:pStyle w:val="TextoNormal"/>
      </w:pPr>
      <w:r>
        <w:t xml:space="preserve">No es, en principio, el Tribunal Constitucional el que ha de decidir las cuestiones de hecho o de legalidad ordinaria que se susciten en el proceso </w:t>
      </w:r>
      <w:r w:rsidRPr="00F64776">
        <w:rPr>
          <w:i/>
        </w:rPr>
        <w:t>a quo</w:t>
      </w:r>
      <w:r>
        <w:t xml:space="preserve"> y que puedan tener repercusión con la relevancia de la duda de constitucionalidad que eleva el juez promotor. Estas apreciaciones corresponden inicialmente al órgano judicial en el ejercicio de la función que constitucionalmente le corresponde. Pero corresponde a este tribunal verificar que el órgano judicial ha argumentado suficientemente la relación entre su duda de constitucionalidad y el proceso que está pendiente ante él, pues de lo contrario la cuestión de inconstitucionalidad puede perder el carácter concreto que la caracteriza (ATC 20/2022, de 26 de enero, FJ 4). Y, consecuentemente, el Tribunal Constitucional, en el ejercicio de sus facultades de control externo del juicio formulado por los órganos judiciales al plantear la cuestión de inconstitucionalidad, puede declarar su inadmisibilidad por resultar inconsistente o errada la argumentación judicial sobre la aplicabilidad y relevancia de la norma cuestionada (ATC 173/2020, de 15 de diciembre, FJ 2)”.</w:t>
      </w:r>
    </w:p>
    <w:p w14:paraId="60C854F4" w14:textId="77777777" w:rsidR="00F64776" w:rsidRDefault="00F64776" w:rsidP="00F64776">
      <w:pPr>
        <w:pStyle w:val="TextoNormal"/>
      </w:pPr>
    </w:p>
    <w:p w14:paraId="46D98824" w14:textId="77777777" w:rsidR="00F64776" w:rsidRDefault="00F64776" w:rsidP="00F64776">
      <w:pPr>
        <w:pStyle w:val="TextoNormal"/>
      </w:pPr>
      <w:r w:rsidRPr="00F64776">
        <w:rPr>
          <w:rStyle w:val="NumeroAFNegritaCaracter"/>
        </w:rPr>
        <w:t>4</w:t>
      </w:r>
      <w:r>
        <w:t>. En el presente caso, por las razones que se exponen a continuación, debe considerarse que el auto de planteamiento no cumple el requisito ex art. 35.2 LOTC por el que se exige al órgano judicial que especifique o justifique en qué medida la decisión del proceso depende de la validez de la norma en cuestión.</w:t>
      </w:r>
    </w:p>
    <w:p w14:paraId="55CB72FA" w14:textId="77777777" w:rsidR="00F64776" w:rsidRDefault="00F64776" w:rsidP="00F64776">
      <w:pPr>
        <w:pStyle w:val="TextoNormal"/>
      </w:pPr>
    </w:p>
    <w:p w14:paraId="7DA49CC5" w14:textId="77777777" w:rsidR="00F64776" w:rsidRDefault="00F64776" w:rsidP="00F64776">
      <w:pPr>
        <w:pStyle w:val="TextoNormal"/>
      </w:pPr>
      <w:r>
        <w:t>El órgano judicial no indica en el auto de planteamiento si se ha producido una minoración del valor del suelo, sino que, como pone acertadamente de manifiesto el fiscal general del Estado, plantea la cuestión en términos meramente hipotéticos. Así, señala que solo “si lo que se ha producido es una minoración del valor del suelo, cualquier imposición concreta basada en el crecimiento de dicho valor en el mercado tendría carácter confiscatorio”; y al formular el juicio de relevancia explica que de la admisión y práctica de la prueba propuesta por la actora en el proceso depende la sujeción al tributo de la transmisión y por tanto el sentido del fallo.</w:t>
      </w:r>
    </w:p>
    <w:p w14:paraId="58AE7C5E" w14:textId="77777777" w:rsidR="00F64776" w:rsidRDefault="00F64776" w:rsidP="00F64776">
      <w:pPr>
        <w:pStyle w:val="TextoNormal"/>
      </w:pPr>
    </w:p>
    <w:p w14:paraId="159BDDAE" w14:textId="77777777" w:rsidR="00F64776" w:rsidRDefault="00F64776" w:rsidP="00F64776">
      <w:pPr>
        <w:pStyle w:val="TextoNormal"/>
      </w:pPr>
      <w:r>
        <w:t>El recurrente ha presentado un informe pericial con la finalidad de probar que se ha producido dicha minusvalía, si bien el órgano remitente no lo ha valorado ni ha llevado a cabo ninguna reflexión sobre su viabilidad, por lo que se desconoce si dicho informe acredita verdaderamente dicha minusvalía o, incluso, si el método que emplea es idóneo a dichos efectos. Adicionalmente, no puede suplirse una valoración del suelo con la simple afirmación de que el valor utilizado por la administración arrojaría un coste de la urbanización y edificación de 52 296,99 €, precio “alejado de la realidad del mercado pues no se puede construir una vivienda de 99,44 metros cuadrados en la Comunidad de Madrid por ese precio”; aquí lo relevante es determinar el valor que tiene el suelo, no el valor de construcción que se espera que tenga una vivienda en la Comunidad de Madrid.</w:t>
      </w:r>
    </w:p>
    <w:p w14:paraId="2555EE2E" w14:textId="77777777" w:rsidR="00F64776" w:rsidRDefault="00F64776" w:rsidP="00F64776">
      <w:pPr>
        <w:pStyle w:val="TextoNormal"/>
      </w:pPr>
    </w:p>
    <w:p w14:paraId="590A239B" w14:textId="77777777" w:rsidR="00F64776" w:rsidRDefault="00F64776" w:rsidP="00F64776">
      <w:pPr>
        <w:pStyle w:val="TextoNormal"/>
      </w:pPr>
      <w:r>
        <w:t>De este modo, solo si verdaderamente se ha producido una minusvalía en el valor del terreno adquirirían relevancia las dudas de constitucionalidad planteadas por el órgano judicial remitente con relación al párrafo cuarto del art. 104.5 TRLHL. Por lo que resultaba indispensable para plantear la cuestión de inconstitucionalidad que el órgano remitente se pronunciase sobre el valor del suelo y si efectivamente la prueba aportada, que no ha valorado, arroja una minusvalía que pueda amparar un cuestionamiento constitucional de la regla establecida en dicho precepto que, según razona, no admitiría prueba en contrario.</w:t>
      </w:r>
    </w:p>
    <w:p w14:paraId="55FD6AF0" w14:textId="77777777" w:rsidR="00F64776" w:rsidRDefault="00F64776" w:rsidP="00F64776">
      <w:pPr>
        <w:pStyle w:val="TextoNormal"/>
      </w:pPr>
    </w:p>
    <w:p w14:paraId="2E680EB9" w14:textId="77777777" w:rsidR="00F64776" w:rsidRDefault="00F64776" w:rsidP="00F64776">
      <w:pPr>
        <w:pStyle w:val="TextoNormal"/>
      </w:pPr>
      <w:r>
        <w:t xml:space="preserve">De lo contrario, si no hubiera minusvalía en el valor del terreno no sería necesario un pronunciamiento de este tribunal sobre la constitucionalidad del párrafo cuarto del art. 104.5 TRLHL, por haberse configurado supuestamente de forma taxativa, por lo que se corre el riesgo de que la respuesta que dé este tribunal a la cuestión se convierta en un juicio de constitucionalidad en abstracto, desligado del proceso </w:t>
      </w:r>
      <w:r w:rsidRPr="00F64776">
        <w:rPr>
          <w:i/>
        </w:rPr>
        <w:t>a quo</w:t>
      </w:r>
      <w:r>
        <w:t>, “lo que, cabalmente, no puede constituir nunca el objeto de un procedimiento constitucional de este tipo” (SSTC 6/2010, de 14 de abril, FJ 2, y 147/2012, de 5 de julio, FJ 3, y ATC 57/2014, de 25 de febrero, FJ 4).</w:t>
      </w:r>
    </w:p>
    <w:p w14:paraId="2E45F578" w14:textId="77777777" w:rsidR="00F64776" w:rsidRDefault="00F64776" w:rsidP="00F64776">
      <w:pPr>
        <w:pStyle w:val="TextoNormal"/>
      </w:pPr>
    </w:p>
    <w:p w14:paraId="63923A08" w14:textId="28BD8E2E" w:rsidR="00F64776" w:rsidRDefault="00F64776" w:rsidP="00F64776">
      <w:pPr>
        <w:pStyle w:val="TextoNormal"/>
      </w:pPr>
      <w:r>
        <w:t>Por lo tanto, cabe concluir que el órgano judicial no ha exteriorizado debidamente el esquema argumental dirigido a probar que el fallo del proceso judicial depende de la validez de la norma cuestionada. Tal y como argumentamos en el reciente ATC 154/2022 “el juicio de relevancia se efectúa con una argumentación incompleta, sin que se logre justificar de manera precisa que la decisión del procedimiento depende de la constitucionalidad de la norma que cuestiona. No habiendo justificado la relevancia, se incumple lo exigido por el art. 35.2 LOTC, lo que determina la inadmisión a trámite de esta cuestión de inconstitucionalidad, pues esta ‘no puede resultar desvirtuada por un uso no acomodado a su naturaleza y finalidad propias, lo que sucedería si se permitiera que se utilizase para obtener pronunciamientos innecesarios o indiferentes para la decisión del proceso en que la cuestión se suscita’ (por todas, SSTC 115/2009, de 18 de mayo, FJ 2, y 87/2012, de 18 de abril, FJ 2)”.</w:t>
      </w:r>
    </w:p>
    <w:p w14:paraId="3F661FD1" w14:textId="77777777" w:rsidR="00F64776" w:rsidRDefault="00F64776" w:rsidP="00F64776">
      <w:pPr>
        <w:pStyle w:val="TextoNormal"/>
      </w:pPr>
    </w:p>
    <w:p w14:paraId="7FBBBEFE" w14:textId="77777777" w:rsidR="00F64776" w:rsidRDefault="00F64776" w:rsidP="00F64776">
      <w:pPr>
        <w:pStyle w:val="TextoNormal"/>
      </w:pPr>
      <w:r>
        <w:t>Por lo expuesto, el Pleno</w:t>
      </w:r>
    </w:p>
    <w:p w14:paraId="57F66C5D" w14:textId="23A8045A" w:rsidR="00F64776" w:rsidRDefault="00F64776" w:rsidP="00F64776">
      <w:pPr>
        <w:pStyle w:val="TextoNormal"/>
      </w:pPr>
    </w:p>
    <w:p w14:paraId="146A87D7" w14:textId="77777777" w:rsidR="00F64776" w:rsidRDefault="00F64776" w:rsidP="00F64776">
      <w:pPr>
        <w:pStyle w:val="TextoNormalCentrado"/>
      </w:pPr>
      <w:r>
        <w:t>ACUERDA</w:t>
      </w:r>
    </w:p>
    <w:p w14:paraId="680038B8" w14:textId="6B8CD23E" w:rsidR="00F64776" w:rsidRDefault="00F64776" w:rsidP="00F64776">
      <w:pPr>
        <w:pStyle w:val="TextoNormalCentrado"/>
      </w:pPr>
    </w:p>
    <w:p w14:paraId="20AA2D4A" w14:textId="3B9820A9" w:rsidR="00F64776" w:rsidRDefault="00F64776" w:rsidP="00F64776">
      <w:pPr>
        <w:pStyle w:val="TextoNormal"/>
      </w:pPr>
      <w:r>
        <w:t>Inadmitir a trámite la presente cuestión de inconstitucionalidad.</w:t>
      </w:r>
    </w:p>
    <w:p w14:paraId="1E20580C" w14:textId="77777777" w:rsidR="00F64776" w:rsidRDefault="00F64776" w:rsidP="00F64776">
      <w:pPr>
        <w:pStyle w:val="TextoNormal"/>
      </w:pPr>
    </w:p>
    <w:p w14:paraId="7A4A36AB" w14:textId="77777777" w:rsidR="00F64776" w:rsidRDefault="00F64776" w:rsidP="00F64776">
      <w:pPr>
        <w:pStyle w:val="TextoNormal"/>
      </w:pPr>
      <w:r>
        <w:t>Madrid, a dieciocho de julio de dos mil veintitrés.</w:t>
      </w:r>
    </w:p>
    <w:p w14:paraId="487D3082" w14:textId="05BAC140" w:rsidR="00F64776" w:rsidRDefault="00F64776">
      <w:pPr>
        <w:spacing w:after="160" w:line="278" w:lineRule="auto"/>
        <w:rPr>
          <w:rFonts w:ascii="Times New Roman" w:eastAsia="Times New Roman" w:hAnsi="Times New Roman" w:cs="Times New Roman"/>
          <w:sz w:val="24"/>
          <w:szCs w:val="24"/>
          <w:lang w:eastAsia="es-ES"/>
        </w:rPr>
      </w:pPr>
      <w:r>
        <w:br w:type="page"/>
      </w:r>
    </w:p>
    <w:p w14:paraId="6D976297" w14:textId="77777777" w:rsidR="00F64776" w:rsidRDefault="00F64776" w:rsidP="00F64776">
      <w:pPr>
        <w:pStyle w:val="TtuloResolucin"/>
      </w:pPr>
      <w:bookmarkStart w:id="162" w:name="AUTO_2023_377"/>
      <w:r>
        <w:t>AUTO 377/2023, de 18 de julio de 2023</w:t>
      </w:r>
    </w:p>
    <w:bookmarkEnd w:id="162"/>
    <w:p w14:paraId="427323B9" w14:textId="77777777" w:rsidR="00F64776" w:rsidRDefault="00F64776" w:rsidP="00F64776">
      <w:pPr>
        <w:pStyle w:val="TtuloResolucin"/>
      </w:pPr>
      <w:r>
        <w:t>Pleno</w:t>
      </w:r>
    </w:p>
    <w:p w14:paraId="4F768EA0" w14:textId="77777777" w:rsidR="00F64776" w:rsidRDefault="00F64776" w:rsidP="00F64776">
      <w:pPr>
        <w:pStyle w:val="TextoNormalCentrado"/>
      </w:pPr>
      <w:r>
        <w:t>ECLI:ES:TC:2023:377A</w:t>
      </w:r>
    </w:p>
    <w:p w14:paraId="4803E9BB" w14:textId="592A867F" w:rsidR="00F64776" w:rsidRDefault="00F64776" w:rsidP="00F64776">
      <w:pPr>
        <w:pStyle w:val="TextoNormalCentrado"/>
      </w:pPr>
    </w:p>
    <w:p w14:paraId="34FDFA4C" w14:textId="77777777" w:rsidR="00F64776" w:rsidRDefault="00F64776" w:rsidP="00F64776">
      <w:pPr>
        <w:pStyle w:val="SntesisDescriptiva"/>
      </w:pPr>
      <w:r>
        <w:t>Excms. Srs. don Cándido Conde-Pumpido Tourón, doña Inmaculada Montalbán Huertas, don Ricardo Enríquez Sancho, doña María Luisa Balaguer Callejón, don Ramón Sáez Valcárcel, don Enrique Arnaldo Alcubilla, doña Concepción Espejel Jorquera, doña María Luisa Segoviano Astaburuaga, don César Tolosa Tribiño y doña Laura Díez Bueso.</w:t>
      </w:r>
    </w:p>
    <w:p w14:paraId="28FE4B29" w14:textId="20CEB4E2" w:rsidR="00F64776" w:rsidRDefault="00F64776" w:rsidP="00F64776">
      <w:pPr>
        <w:pStyle w:val="SntesisDescriptiva"/>
      </w:pPr>
    </w:p>
    <w:p w14:paraId="64F6607B" w14:textId="77777777" w:rsidR="00F64776" w:rsidRDefault="00F64776" w:rsidP="00F64776">
      <w:pPr>
        <w:pStyle w:val="SntesisDescriptiva"/>
      </w:pPr>
      <w:r>
        <w:t>Acepta una abstención en la cuestión de inconstitucionalidad 2800-2023, planteada por la Sala de lo Contencioso-Administrativo de la Audiencia Nacional, en relación con los apartados primero y segundo del artículo 3.1 del Real Decreto-ley 3/2016, de 2 de diciembre, por el que se adoptan medidas en el ámbito tributario dirigidas a la consolidación de las finanzas públicas y otras medidas urgentes en materia social.</w:t>
      </w:r>
    </w:p>
    <w:p w14:paraId="0F8D58C7" w14:textId="002D4D2D" w:rsidR="00F64776" w:rsidRDefault="00F64776" w:rsidP="00F64776">
      <w:pPr>
        <w:pStyle w:val="SntesisDescriptiva"/>
      </w:pPr>
    </w:p>
    <w:p w14:paraId="68A42D04" w14:textId="77777777" w:rsidR="00F64776" w:rsidRDefault="00F64776" w:rsidP="00F64776">
      <w:pPr>
        <w:pStyle w:val="SntesisDescriptiva"/>
      </w:pPr>
    </w:p>
    <w:p w14:paraId="6077BC0B" w14:textId="77777777" w:rsidR="00F64776" w:rsidRDefault="00F64776" w:rsidP="00F64776">
      <w:pPr>
        <w:pStyle w:val="SntesisDescriptiva"/>
      </w:pPr>
    </w:p>
    <w:p w14:paraId="5F3A7DEB" w14:textId="77777777" w:rsidR="00F64776" w:rsidRDefault="00F64776" w:rsidP="00F64776">
      <w:pPr>
        <w:pStyle w:val="TextoNormalNegritaCentrado"/>
      </w:pPr>
      <w:r>
        <w:t>AUTO</w:t>
      </w:r>
    </w:p>
    <w:p w14:paraId="384988E3" w14:textId="78152BB4" w:rsidR="00F64776" w:rsidRDefault="00F64776" w:rsidP="00F64776">
      <w:pPr>
        <w:pStyle w:val="TextoNormalNegritaCentrado"/>
      </w:pPr>
    </w:p>
    <w:p w14:paraId="1B0A7B03" w14:textId="77777777" w:rsidR="00F64776" w:rsidRDefault="00F64776" w:rsidP="00F64776">
      <w:pPr>
        <w:pStyle w:val="TextoNormalNegritaCentrado"/>
        <w:keepNext/>
      </w:pPr>
      <w:r>
        <w:t>I. Antecedentes</w:t>
      </w:r>
    </w:p>
    <w:p w14:paraId="5D30DBA1" w14:textId="3666A666" w:rsidR="00F64776" w:rsidRDefault="00F64776" w:rsidP="00F64776">
      <w:pPr>
        <w:pStyle w:val="TextoNormalNegritaCentrado"/>
        <w:keepNext/>
      </w:pPr>
    </w:p>
    <w:p w14:paraId="6D382F78" w14:textId="567C7389" w:rsidR="00F64776" w:rsidRDefault="00F64776" w:rsidP="00F64776">
      <w:pPr>
        <w:pStyle w:val="TextoNormal"/>
      </w:pPr>
      <w:r w:rsidRPr="00F64776">
        <w:rPr>
          <w:rStyle w:val="NumeroAFNegritaCaracter"/>
        </w:rPr>
        <w:t>1</w:t>
      </w:r>
      <w:r>
        <w:t>. Por escrito fechado el día 7 de julio de 2023, el magistrado don Juan Carlos Campo Moreno comunicó al señor presidente, a los efectos oportunos, su voluntad de abstenerse de intervenir en el conocimiento de la cuestión de inconstitucionalidad núm. 2800-2023.</w:t>
      </w:r>
    </w:p>
    <w:p w14:paraId="00BD950C" w14:textId="77777777" w:rsidR="00F64776" w:rsidRDefault="00F64776" w:rsidP="00F64776">
      <w:pPr>
        <w:pStyle w:val="TextoNormal"/>
      </w:pPr>
    </w:p>
    <w:p w14:paraId="4AC49ED5" w14:textId="5EF732F9" w:rsidR="00F64776" w:rsidRDefault="00F64776" w:rsidP="00F64776">
      <w:pPr>
        <w:pStyle w:val="TextoNormal"/>
      </w:pPr>
      <w:r w:rsidRPr="00F64776">
        <w:rPr>
          <w:rStyle w:val="NumeroAFNegritaCaracter"/>
        </w:rPr>
        <w:t>2</w:t>
      </w:r>
      <w:r>
        <w:t>. La solicitud de abstención se vincula al hecho de haber participado el magistrado, en su anterior condición de diputado, en la votación del Pleno del Congreso de los Diputados de 15 de diciembre de 2016, en la que se convalidó el Real Decreto-ley 3/2016, de 2 de diciembre, por el que se adoptan medidas urgentes en el ámbito tributario dirigidas a la consolidación de las finanzas públicas y otras medidas urgentes en materia social.</w:t>
      </w:r>
    </w:p>
    <w:p w14:paraId="4D8AADE6" w14:textId="77777777" w:rsidR="00F64776" w:rsidRDefault="00F64776" w:rsidP="00F64776">
      <w:pPr>
        <w:pStyle w:val="TextoNormal"/>
      </w:pPr>
    </w:p>
    <w:p w14:paraId="696FCF21" w14:textId="77777777" w:rsidR="00F64776" w:rsidRDefault="00F64776" w:rsidP="00F64776">
      <w:pPr>
        <w:pStyle w:val="TextoNormalNegritaCentrado"/>
        <w:keepNext/>
      </w:pPr>
      <w:r>
        <w:t>II. Fundamentos jurídicos</w:t>
      </w:r>
    </w:p>
    <w:p w14:paraId="5B00D2ED" w14:textId="49A8BD37" w:rsidR="00F64776" w:rsidRDefault="00F64776" w:rsidP="00F64776">
      <w:pPr>
        <w:pStyle w:val="TextoNormalNegritaCentrado"/>
        <w:keepNext/>
      </w:pPr>
    </w:p>
    <w:p w14:paraId="5065F316" w14:textId="25C87348" w:rsidR="00F64776" w:rsidRDefault="00F64776" w:rsidP="00F64776">
      <w:pPr>
        <w:pStyle w:val="TextoNormal"/>
      </w:pPr>
      <w:r w:rsidRPr="00F64776">
        <w:rPr>
          <w:rStyle w:val="TextoNormalNegritaCaracter"/>
        </w:rPr>
        <w:t xml:space="preserve">Único. </w:t>
      </w:r>
      <w:r>
        <w:t>Visto el contenido de la comunicación efectuada por el magistrado don Juan Carlos Campo Moreno, en virtud de lo previsto en los arts. 80 de la Ley Orgánica del Tribunal Constitucional y 221.4 de la Ley Orgánica del Poder Judicial (LOPJ), se estima justificada la causa de la abstención formulada. La participación del magistrado, en su anterior condición de diputado, en la votación del Pleno del Congreso de los Diputados de 15 de diciembre de 2016, en la que se convalidó el Real Decreto-ley 3/2016, de 2 de diciembre, objeto de la presente cuestión de inconstitucionalidad, integra la causa de abstención recogida en el art. 219.13 LOPJ, según la cual lo es: “Haber ocupado cargo público, desempeñado empleo o ejercido profesión con ocasión de los cuales haya participado directa o indirectamente en el asunto objeto del pleito o causa o en otro relacionado con el mismo”.</w:t>
      </w:r>
    </w:p>
    <w:p w14:paraId="67EB99D3" w14:textId="77777777" w:rsidR="00F64776" w:rsidRDefault="00F64776" w:rsidP="00F64776">
      <w:pPr>
        <w:pStyle w:val="TextoNormal"/>
      </w:pPr>
    </w:p>
    <w:p w14:paraId="6213EA4E" w14:textId="77777777" w:rsidR="00F64776" w:rsidRDefault="00F64776" w:rsidP="00F64776">
      <w:pPr>
        <w:pStyle w:val="TextoNormal"/>
      </w:pPr>
      <w:r>
        <w:t>Por lo expuesto, el Pleno</w:t>
      </w:r>
    </w:p>
    <w:p w14:paraId="4814F240" w14:textId="669E4D9A" w:rsidR="00F64776" w:rsidRDefault="00F64776" w:rsidP="00F64776">
      <w:pPr>
        <w:pStyle w:val="TextoNormal"/>
      </w:pPr>
    </w:p>
    <w:p w14:paraId="16842923" w14:textId="77777777" w:rsidR="00F64776" w:rsidRDefault="00F64776" w:rsidP="00F64776">
      <w:pPr>
        <w:pStyle w:val="TextoNormalCentrado"/>
      </w:pPr>
      <w:r>
        <w:t>ACUERDA</w:t>
      </w:r>
    </w:p>
    <w:p w14:paraId="01962224" w14:textId="77A881B0" w:rsidR="00F64776" w:rsidRDefault="00F64776" w:rsidP="00F64776">
      <w:pPr>
        <w:pStyle w:val="TextoNormalCentrado"/>
      </w:pPr>
    </w:p>
    <w:p w14:paraId="61448101" w14:textId="77777777" w:rsidR="00F64776" w:rsidRDefault="00F64776" w:rsidP="00F64776">
      <w:pPr>
        <w:pStyle w:val="TextoNormal"/>
      </w:pPr>
      <w:r>
        <w:t>Estimar justificada la abstención formulada por el magistrado don Juan Carlos Campo Moreno, apartándole definitivamente del conocimiento de la cuestión de inconstitucionalidad núm. 2800-2023.</w:t>
      </w:r>
    </w:p>
    <w:p w14:paraId="0D7DA972" w14:textId="77777777" w:rsidR="00F64776" w:rsidRDefault="00F64776" w:rsidP="00F64776">
      <w:pPr>
        <w:pStyle w:val="TextoNormal"/>
      </w:pPr>
    </w:p>
    <w:p w14:paraId="5F8B54DE" w14:textId="28DA35FC" w:rsidR="00F64776" w:rsidRDefault="00F64776" w:rsidP="00F64776">
      <w:pPr>
        <w:pStyle w:val="TextoNormal"/>
      </w:pPr>
      <w:r>
        <w:t>Notifíquese a las partes.</w:t>
      </w:r>
    </w:p>
    <w:p w14:paraId="33D49515" w14:textId="77777777" w:rsidR="00F64776" w:rsidRDefault="00F64776" w:rsidP="00F64776">
      <w:pPr>
        <w:pStyle w:val="TextoNormal"/>
      </w:pPr>
    </w:p>
    <w:p w14:paraId="62A2B410" w14:textId="77777777" w:rsidR="00F64776" w:rsidRDefault="00F64776" w:rsidP="00F64776">
      <w:pPr>
        <w:pStyle w:val="TextoNormal"/>
      </w:pPr>
      <w:r>
        <w:t>Madrid, a dieciocho de julio de dos mil veintitrés.</w:t>
      </w:r>
    </w:p>
    <w:p w14:paraId="10BB4330" w14:textId="7B0D37B7" w:rsidR="00F64776" w:rsidRDefault="00F64776">
      <w:pPr>
        <w:spacing w:after="160" w:line="278" w:lineRule="auto"/>
        <w:rPr>
          <w:rFonts w:ascii="Times New Roman" w:eastAsia="Times New Roman" w:hAnsi="Times New Roman" w:cs="Times New Roman"/>
          <w:sz w:val="24"/>
          <w:szCs w:val="24"/>
          <w:lang w:eastAsia="es-ES"/>
        </w:rPr>
      </w:pPr>
      <w:r>
        <w:br w:type="page"/>
      </w:r>
    </w:p>
    <w:p w14:paraId="35706B8F" w14:textId="77777777" w:rsidR="00F64776" w:rsidRDefault="00F64776" w:rsidP="00F64776">
      <w:pPr>
        <w:pStyle w:val="TtuloResolucin"/>
      </w:pPr>
      <w:bookmarkStart w:id="163" w:name="AUTO_2023_378"/>
      <w:r>
        <w:t>AUTO 378/2023, de 9 de agosto de 2023</w:t>
      </w:r>
    </w:p>
    <w:bookmarkEnd w:id="163"/>
    <w:p w14:paraId="1BE1FFB9" w14:textId="77777777" w:rsidR="00F64776" w:rsidRDefault="00F64776" w:rsidP="00F64776">
      <w:pPr>
        <w:pStyle w:val="TtuloResolucin"/>
      </w:pPr>
      <w:r>
        <w:t>Sección de Vacaciones</w:t>
      </w:r>
    </w:p>
    <w:p w14:paraId="4C0C096E" w14:textId="77777777" w:rsidR="00F64776" w:rsidRDefault="00F64776" w:rsidP="00F64776">
      <w:pPr>
        <w:pStyle w:val="TextoNormalCentrado"/>
      </w:pPr>
      <w:r>
        <w:t>ECLI:ES:TC:2023:378A</w:t>
      </w:r>
    </w:p>
    <w:p w14:paraId="79C02527" w14:textId="5B5E4F10" w:rsidR="00F64776" w:rsidRDefault="00F64776" w:rsidP="00F64776">
      <w:pPr>
        <w:pStyle w:val="TextoNormalCentrado"/>
      </w:pPr>
    </w:p>
    <w:p w14:paraId="1B8C9983" w14:textId="77777777" w:rsidR="00F64776" w:rsidRDefault="00F64776" w:rsidP="00F64776">
      <w:pPr>
        <w:pStyle w:val="SntesisDescriptiva"/>
      </w:pPr>
      <w:r>
        <w:t>Excms. Srs. doña Concepción Espejel Jorquera, don César Tolosa Tribiño y doña Laura Díez Bueso.</w:t>
      </w:r>
    </w:p>
    <w:p w14:paraId="34165A37" w14:textId="588FB12B" w:rsidR="00F64776" w:rsidRDefault="00F64776" w:rsidP="00F64776">
      <w:pPr>
        <w:pStyle w:val="SntesisDescriptiva"/>
      </w:pPr>
    </w:p>
    <w:p w14:paraId="142A9E23" w14:textId="77777777" w:rsidR="00F64776" w:rsidRDefault="00F64776" w:rsidP="00F64776">
      <w:pPr>
        <w:pStyle w:val="SntesisDescriptiva"/>
      </w:pPr>
      <w:r>
        <w:t>Inadmite a trámite el recurso de amparo 5439-2023, promovido por don Carles Puigdemont i Casamajó y don Antoni Comín i Oliveres en causa penal. Voto particular.</w:t>
      </w:r>
    </w:p>
    <w:p w14:paraId="6602E812" w14:textId="188DD4D5" w:rsidR="00F64776" w:rsidRDefault="00F64776" w:rsidP="00F64776">
      <w:pPr>
        <w:pStyle w:val="SntesisDescriptiva"/>
      </w:pPr>
    </w:p>
    <w:p w14:paraId="4A9B0AB6" w14:textId="77777777" w:rsidR="00F64776" w:rsidRDefault="00F64776" w:rsidP="00F64776">
      <w:pPr>
        <w:pStyle w:val="SntesisDescriptiva"/>
      </w:pPr>
    </w:p>
    <w:p w14:paraId="6DF4603E" w14:textId="77777777" w:rsidR="00F64776" w:rsidRDefault="00F64776" w:rsidP="00F64776">
      <w:pPr>
        <w:pStyle w:val="SntesisDescriptiva"/>
      </w:pPr>
    </w:p>
    <w:p w14:paraId="3ABBE7A5" w14:textId="77777777" w:rsidR="00F64776" w:rsidRDefault="00F64776" w:rsidP="00F64776">
      <w:pPr>
        <w:pStyle w:val="TextoNormalNegritaCentrado"/>
      </w:pPr>
      <w:r>
        <w:t>AUTO</w:t>
      </w:r>
    </w:p>
    <w:p w14:paraId="28D0D4C9" w14:textId="6E7FDFDC" w:rsidR="00F64776" w:rsidRDefault="00F64776" w:rsidP="00F64776">
      <w:pPr>
        <w:pStyle w:val="TextoNormalNegritaCentrado"/>
      </w:pPr>
    </w:p>
    <w:p w14:paraId="632BA931" w14:textId="77777777" w:rsidR="00F64776" w:rsidRDefault="00F64776" w:rsidP="00F64776">
      <w:pPr>
        <w:pStyle w:val="TextoNormalNegritaCentrado"/>
        <w:keepNext/>
      </w:pPr>
      <w:r>
        <w:t>I. Antecedentes</w:t>
      </w:r>
    </w:p>
    <w:p w14:paraId="71C7C816" w14:textId="1853D554" w:rsidR="00F64776" w:rsidRDefault="00F64776" w:rsidP="00F64776">
      <w:pPr>
        <w:pStyle w:val="TextoNormalNegritaCentrado"/>
        <w:keepNext/>
      </w:pPr>
    </w:p>
    <w:p w14:paraId="3872E936" w14:textId="0817C9FB" w:rsidR="00F64776" w:rsidRDefault="00F64776" w:rsidP="00F64776">
      <w:pPr>
        <w:pStyle w:val="TextoNormal"/>
      </w:pPr>
      <w:r w:rsidRPr="00F64776">
        <w:rPr>
          <w:rStyle w:val="NumeroAFNegritaCaracter"/>
        </w:rPr>
        <w:t>1</w:t>
      </w:r>
      <w:r>
        <w:t>. Mediante escrito recibido en este tribunal el 31 de julio de 2023, el procurador de los tribunales don Carlos Ricardo Estévez Sanz, actuando en nombre y representación de don Carles Puigdemont i Casamajó y don Antoni Comín i Oliveres, bajo la dirección del letrado don Gonzalo Boye Tuset, interpuso recurso de amparo dirigido contra los autos de 12 de enero, 21 de marzo y 13 de junio de 2023, dictados en la causa especial núm. 20907-2017, por los que respectivamente el magistrado instructor inicialmente acordó librar orden de detención y entrega y desestimar el recurso de reforma, y por el que la Sala de lo Penal desestimó el recurso de apelación interpuesto contra el auto de 21 de maro de 2023.</w:t>
      </w:r>
    </w:p>
    <w:p w14:paraId="57674EA8" w14:textId="77777777" w:rsidR="00F64776" w:rsidRDefault="00F64776" w:rsidP="00F64776">
      <w:pPr>
        <w:pStyle w:val="TextoNormal"/>
      </w:pPr>
    </w:p>
    <w:p w14:paraId="74FAAC86" w14:textId="77777777" w:rsidR="00F64776" w:rsidRDefault="00F64776" w:rsidP="00F64776">
      <w:pPr>
        <w:pStyle w:val="TextoNormal"/>
      </w:pPr>
      <w:r w:rsidRPr="00F64776">
        <w:rPr>
          <w:rStyle w:val="NumeroAFNegritaCaracter"/>
        </w:rPr>
        <w:t>2</w:t>
      </w:r>
      <w:r>
        <w:t>. Los antecedentes relevantes para pronunciarse sobre la pretensión de amparo obtenidos de la demanda y de resoluciones ya dictadas por este tribunal, son los siguientes:</w:t>
      </w:r>
    </w:p>
    <w:p w14:paraId="1D179E81" w14:textId="77777777" w:rsidR="00F64776" w:rsidRDefault="00F64776" w:rsidP="00F64776">
      <w:pPr>
        <w:pStyle w:val="TextoNormal"/>
      </w:pPr>
    </w:p>
    <w:p w14:paraId="77CF9CF0" w14:textId="77777777" w:rsidR="00F64776" w:rsidRDefault="00F64776" w:rsidP="00F64776">
      <w:pPr>
        <w:pStyle w:val="TextoNormal"/>
      </w:pPr>
      <w:r>
        <w:t>a) Los demandantes de amparo fueron procesados por auto de 21 de marzo de 2018, dictado por el magistrado instructor de la causa especial núm. 20907-2017, por delitos de rebelión y malversación de caudales públicos. Posteriormente, tras dictarse, en la citada causa, la sentencia de la Sala Segunda del Tribunal Supremo de 14 de octubre de 2019, el magistrado instructor dictó los autos de 14 de octubre y 4 de noviembre de 2019, por los que calificó como delito de sedición los hechos inicialmente calificados como delito de rebelión.</w:t>
      </w:r>
    </w:p>
    <w:p w14:paraId="7AB79C5A" w14:textId="77777777" w:rsidR="00F64776" w:rsidRDefault="00F64776" w:rsidP="00F64776">
      <w:pPr>
        <w:pStyle w:val="TextoNormal"/>
      </w:pPr>
    </w:p>
    <w:p w14:paraId="2EE00516" w14:textId="77777777" w:rsidR="00F64776" w:rsidRDefault="00F64776" w:rsidP="00F64776">
      <w:pPr>
        <w:pStyle w:val="TextoNormal"/>
      </w:pPr>
      <w:r>
        <w:t>b) Los recurrentes posteriormente a su inicial procesamiento fueron candidatos por la coalición “Lliures per Europa (Junts)” en las elecciones al Parlamento Europeo celebradas el 26 de mayo de 2019. Tras realizar el escrutinio general, el recuento de los votos emitidos a nivel nacional y la atribución de escaños a las distintas candidaturas, mediante acuerdos de 13 de junio de 2019, la Junta Electoral Central acordó la publicación en el “BOE” de los resultados de las elecciones de diputados al Parlamento Europeo convocadas por Real Decreto 206/2019, de 1 de abril, y celebradas el 26 de mayo de 2019 y procedió a la proclamación de los diputados electos al Parlamento Europeo en las citadas elecciones. En el número dieciocho de la relación de diputados elegidos aparece don Carles Puigdemont i Casamajó y en el número treinta y ocho, don Antoni Comín i Oliveres.</w:t>
      </w:r>
    </w:p>
    <w:p w14:paraId="3DCD4CB6" w14:textId="77777777" w:rsidR="00F64776" w:rsidRDefault="00F64776" w:rsidP="00F64776">
      <w:pPr>
        <w:pStyle w:val="TextoNormal"/>
      </w:pPr>
    </w:p>
    <w:p w14:paraId="2A698820" w14:textId="77777777" w:rsidR="00F64776" w:rsidRDefault="00F64776" w:rsidP="00F64776">
      <w:pPr>
        <w:pStyle w:val="TextoNormal"/>
      </w:pPr>
      <w:r>
        <w:t>c) En la sesión plenaria de 13 de enero de 2020, el Parlamento Europeo, tomó nota de la elección de los señores Puigdemont y Comín como diputados del Parlamento Europeo con efecto retroactivo a partir del 2 de julio de 2019, fecha en la que se abrió su primera sesión tras las elecciones de 26 de mayo de 2019. En consecuencia, fueron autorizados a asumir sus funciones, a ejercer sus mandatos representativos y a ocupar sus escaños, ejerciendo plenamente desde entonces los derechos correspondientes al estatuto de diputado europeo.</w:t>
      </w:r>
    </w:p>
    <w:p w14:paraId="3A07C568" w14:textId="77777777" w:rsidR="00F64776" w:rsidRDefault="00F64776" w:rsidP="00F64776">
      <w:pPr>
        <w:pStyle w:val="TextoNormal"/>
      </w:pPr>
    </w:p>
    <w:p w14:paraId="3495875C" w14:textId="77777777" w:rsidR="00F64776" w:rsidRDefault="00F64776" w:rsidP="00F64776">
      <w:pPr>
        <w:pStyle w:val="TextoNormal"/>
      </w:pPr>
      <w:r>
        <w:t>d) Por auto de 12 de enero de 2023, dictado por el magistrado instructor de la citada causa especial, atendida la derogación del delito de sedición por la Ley Orgánica 14/2022, de 22 de diciembre, por la que se aprobó la reforma parcial del Código penal, se razona que los hechos por los que fueron procesados, entre otros, los recurrentes —y de los que da extensa cuenta en los antecedentes de dicha resolución— son subsumibles en el delito de desobediencia del artículo 410 y en el delito de malversación de caudales públicos del artículo 432 del Código penal vigente a la fecha en que los hechos tuvieron lugar. Y acuerda en su parte dispositiva, en lo que interesa al presente recurso de amparo, ratificar la declaración de rebeldía de los recurrentes y acordar la busca y captura e ingreso en prisión, como presuntos autores de sendos delitos de desobediencia y malversación de caudales de los recurrentes en amparo. En tal sentido, se acuerda en la parte dispositiva de dicha resolución:</w:t>
      </w:r>
    </w:p>
    <w:p w14:paraId="4D5BC548" w14:textId="77777777" w:rsidR="00F64776" w:rsidRDefault="00F64776" w:rsidP="00F64776">
      <w:pPr>
        <w:pStyle w:val="TextoNormal"/>
      </w:pPr>
    </w:p>
    <w:p w14:paraId="6D714CB2" w14:textId="77777777" w:rsidR="00F64776" w:rsidRDefault="00F64776" w:rsidP="00F64776">
      <w:pPr>
        <w:pStyle w:val="TextoNormal"/>
      </w:pPr>
      <w:r>
        <w:t>“Ratificar la declaración de rebeldía de Carles Puigdemont i Casamajó; Antonio Comín i Oliveres […].</w:t>
      </w:r>
    </w:p>
    <w:p w14:paraId="1F398C20" w14:textId="77777777" w:rsidR="00F64776" w:rsidRDefault="00F64776" w:rsidP="00F64776">
      <w:pPr>
        <w:pStyle w:val="TextoNormal"/>
      </w:pPr>
    </w:p>
    <w:p w14:paraId="2D88C52B" w14:textId="77777777" w:rsidR="00F64776" w:rsidRDefault="00F64776" w:rsidP="00F64776">
      <w:pPr>
        <w:pStyle w:val="TextoNormal"/>
      </w:pPr>
      <w:r>
        <w:t>Continuar la tramitación de las piezas de situación personal abiertas respecto de los procesados que a continuación se señalan, a los solos efectos del aseguramiento personal que se acuerda.</w:t>
      </w:r>
    </w:p>
    <w:p w14:paraId="7EB55EF9" w14:textId="77777777" w:rsidR="00F64776" w:rsidRDefault="00F64776" w:rsidP="00F64776">
      <w:pPr>
        <w:pStyle w:val="TextoNormal"/>
      </w:pPr>
    </w:p>
    <w:p w14:paraId="67BF32C6" w14:textId="77777777" w:rsidR="00F64776" w:rsidRDefault="00F64776" w:rsidP="00F64776">
      <w:pPr>
        <w:pStyle w:val="TextoNormal"/>
      </w:pPr>
      <w:r>
        <w:t>Dejar sin efecto la busca y captura e ingreso en prisión, así como las órdenes nacionales, europeas e internacionales de detención acordadas en esta causa contra Carles Puigdemont i Casamajó; Antonio Comín i Oliveres […], por haber cambiado, por derogación y modificación legislativa, los tipos penales que se les atribuyen y que motivaron su emisión; lo que se pondrá en conocimiento de los órganos judiciales de ejecución de Bélgica e Italia que actualmente conocen de alguno de los procedimientos de entrega, a los efectos oportunos.</w:t>
      </w:r>
    </w:p>
    <w:p w14:paraId="3756E83A" w14:textId="77777777" w:rsidR="00F64776" w:rsidRDefault="00F64776" w:rsidP="00F64776">
      <w:pPr>
        <w:pStyle w:val="TextoNormal"/>
      </w:pPr>
    </w:p>
    <w:p w14:paraId="3CF45394" w14:textId="77777777" w:rsidR="00F64776" w:rsidRDefault="00F64776" w:rsidP="00F64776">
      <w:pPr>
        <w:pStyle w:val="TextoNormal"/>
      </w:pPr>
      <w:r>
        <w:t>Acordar por esta resolución la busca y captura e ingreso en prisión, como presuntos autores de sendos delitos de desobediencia y malversación de caudales públicos del artículo 432 del Código Penal, de</w:t>
      </w:r>
    </w:p>
    <w:p w14:paraId="5071AB1B" w14:textId="77777777" w:rsidR="00F64776" w:rsidRDefault="00F64776" w:rsidP="00F64776">
      <w:pPr>
        <w:pStyle w:val="TextoNormal"/>
      </w:pPr>
    </w:p>
    <w:p w14:paraId="1C9F9C26" w14:textId="77777777" w:rsidR="00F64776" w:rsidRDefault="00F64776" w:rsidP="00F64776">
      <w:pPr>
        <w:pStyle w:val="TextoNormal"/>
      </w:pPr>
      <w:r>
        <w:t>- Carles Puigdemont i Casamajó, nacido el 29 de diciembre de 1962 en Amer (Girona), España, hijo de Xavier y de Nuria.</w:t>
      </w:r>
    </w:p>
    <w:p w14:paraId="63FED240" w14:textId="77777777" w:rsidR="00F64776" w:rsidRDefault="00F64776" w:rsidP="00F64776">
      <w:pPr>
        <w:pStyle w:val="TextoNormal"/>
      </w:pPr>
    </w:p>
    <w:p w14:paraId="598F6832" w14:textId="77777777" w:rsidR="00F64776" w:rsidRDefault="00F64776" w:rsidP="00F64776">
      <w:pPr>
        <w:pStyle w:val="TextoNormal"/>
      </w:pPr>
      <w:r>
        <w:t>- Antonio Comín i Oliveres, nacido el 7 de marzo de 1971 en Barcelona, hijo de Alfonso y de María Luisa.</w:t>
      </w:r>
    </w:p>
    <w:p w14:paraId="3FC1F975" w14:textId="77777777" w:rsidR="00F64776" w:rsidRDefault="00F64776" w:rsidP="00F64776">
      <w:pPr>
        <w:pStyle w:val="TextoNormal"/>
      </w:pPr>
    </w:p>
    <w:p w14:paraId="03CE1144" w14:textId="77777777" w:rsidR="00F64776" w:rsidRDefault="00F64776" w:rsidP="00F64776">
      <w:pPr>
        <w:pStyle w:val="TextoNormal"/>
      </w:pPr>
      <w:r>
        <w:t>[…]</w:t>
      </w:r>
    </w:p>
    <w:p w14:paraId="23E8C22A" w14:textId="77777777" w:rsidR="00F64776" w:rsidRDefault="00F64776" w:rsidP="00F64776">
      <w:pPr>
        <w:pStyle w:val="TextoNormal"/>
      </w:pPr>
    </w:p>
    <w:p w14:paraId="0CEDF13E" w14:textId="77777777" w:rsidR="00F64776" w:rsidRDefault="00F64776" w:rsidP="00F64776">
      <w:pPr>
        <w:pStyle w:val="TextoNormal"/>
      </w:pPr>
      <w:r>
        <w:t>Líbrese la oportuna orden nacional de detención y puesta a disposición, de los procesados que se han indicado.</w:t>
      </w:r>
    </w:p>
    <w:p w14:paraId="594070DB" w14:textId="77777777" w:rsidR="00F64776" w:rsidRDefault="00F64776" w:rsidP="00F64776">
      <w:pPr>
        <w:pStyle w:val="TextoNormal"/>
      </w:pPr>
    </w:p>
    <w:p w14:paraId="384DBE79" w14:textId="77777777" w:rsidR="00F64776" w:rsidRDefault="00F64776" w:rsidP="00F64776">
      <w:pPr>
        <w:pStyle w:val="TextoNormal"/>
      </w:pPr>
      <w:r>
        <w:t>Remítase la oportuna requisitoria a los Iltmos Sres. Directores Generales de la Policía y de la Guardia Civil a los efectos de la busca y captura nacional de los citados rebeldes.</w:t>
      </w:r>
    </w:p>
    <w:p w14:paraId="6830211C" w14:textId="77777777" w:rsidR="00F64776" w:rsidRDefault="00F64776" w:rsidP="00F64776">
      <w:pPr>
        <w:pStyle w:val="TextoNormal"/>
      </w:pPr>
    </w:p>
    <w:p w14:paraId="655AD241" w14:textId="77777777" w:rsidR="00F64776" w:rsidRDefault="00F64776" w:rsidP="00F64776">
      <w:pPr>
        <w:pStyle w:val="TextoNormal"/>
      </w:pPr>
      <w:r>
        <w:t>Respecto de la emisión de nuevas órdenes europeas de detención y entrega, y órdenes internacionales de detención con fines extradicionales, que posibiliten la prosecución del procedimiento contra los procesados Carles Puigdemont i Casamajó, Antonio Comín i Oliveres y […], únicos procesados a quienes se atribuye la comisión de hechos que pueden ser sancionados con una pena privativa de libertad que posibilita la utilización de estos instrumentos, deberá de posponerse la decisión hasta que el Tribunal General de la Unión Europea (TGUE) resuelva sobre la eventual retirada de la inmunidad parlamentaria de la que los dos primeros procesados son actual y cautelarmente merecedores. Asimismo, se estará a la resolución de la cuestión prejudicial planteada por este Instructor al Tribunal de Justicia de la Unión Europea (TJUE), al ser la misma precisa para fundar determinadas decisiones de retirada, mantenimiento o reiteración de su orden de detención y entrega”.</w:t>
      </w:r>
    </w:p>
    <w:p w14:paraId="1DBC7DCE" w14:textId="77777777" w:rsidR="00F64776" w:rsidRDefault="00F64776" w:rsidP="00F64776">
      <w:pPr>
        <w:pStyle w:val="TextoNormal"/>
      </w:pPr>
    </w:p>
    <w:p w14:paraId="370250AC" w14:textId="77777777" w:rsidR="00F64776" w:rsidRDefault="00F64776" w:rsidP="00F64776">
      <w:pPr>
        <w:pStyle w:val="TextoNormal"/>
      </w:pPr>
      <w:r>
        <w:t>e) Mediante auto de 21 de marzo de 2023 se desestimaron los recursos de reforma interpuestos entre otros por don Carles Puigdemont i Casamajó y don Antonio Comín i Oliveres, contra el auto anterior.</w:t>
      </w:r>
    </w:p>
    <w:p w14:paraId="4A8E48A4" w14:textId="77777777" w:rsidR="00F64776" w:rsidRDefault="00F64776" w:rsidP="00F64776">
      <w:pPr>
        <w:pStyle w:val="TextoNormal"/>
      </w:pPr>
    </w:p>
    <w:p w14:paraId="36B6A49A" w14:textId="54D8A37D" w:rsidR="00F64776" w:rsidRDefault="00F64776" w:rsidP="00F64776">
      <w:pPr>
        <w:pStyle w:val="TextoNormal"/>
      </w:pPr>
      <w:r>
        <w:t>f) Finalmente por auto de 13 de junio de 2023, la Sala de lo Penal del Tribunal Supremo desestimó el recurso de apelación interpuesto por la representación de los ahora recurrentes en amparo.</w:t>
      </w:r>
    </w:p>
    <w:p w14:paraId="51280467" w14:textId="77777777" w:rsidR="00F64776" w:rsidRDefault="00F64776" w:rsidP="00F64776">
      <w:pPr>
        <w:pStyle w:val="TextoNormal"/>
      </w:pPr>
    </w:p>
    <w:p w14:paraId="7AE517E1" w14:textId="77777777" w:rsidR="00F64776" w:rsidRDefault="00F64776" w:rsidP="00F64776">
      <w:pPr>
        <w:pStyle w:val="TextoNormal"/>
      </w:pPr>
      <w:r w:rsidRPr="00F64776">
        <w:rPr>
          <w:rStyle w:val="NumeroAFNegritaCaracter"/>
        </w:rPr>
        <w:t>3</w:t>
      </w:r>
      <w:r>
        <w:t>. Los recurrentes alegan en su demanda dos motivos de amparo:</w:t>
      </w:r>
    </w:p>
    <w:p w14:paraId="2F9B626D" w14:textId="77777777" w:rsidR="00F64776" w:rsidRDefault="00F64776" w:rsidP="00F64776">
      <w:pPr>
        <w:pStyle w:val="TextoNormal"/>
      </w:pPr>
    </w:p>
    <w:p w14:paraId="3B2B152F" w14:textId="77777777" w:rsidR="00F64776" w:rsidRDefault="00F64776" w:rsidP="00F64776">
      <w:pPr>
        <w:pStyle w:val="TextoNormal"/>
      </w:pPr>
      <w:r>
        <w:t>a) En el primer motivo de amparo, se invocan conjuntamente los derechos a la tutela judicial efectiva, al juez ordinario predeterminado por la ley, a un proceso con todas las garantías (art. 24.1 CE en relación con el art. 47 de la Carta de los derechos fundamentales de la Unión Europea —en adelante CDFUE— y artículos 6 y 13 del Convenio europeo para la protección de los derechos humanos y de las libertades fundamentales —en adelante CEDH—), así como los artículos 23.2 CE (en relación con el art. 39.2 CDFUE), 17 y 19 CE (en relación con los artículos. 6 y 45 CDFUE).</w:t>
      </w:r>
    </w:p>
    <w:p w14:paraId="54B2C6E0" w14:textId="77777777" w:rsidR="00F64776" w:rsidRDefault="00F64776" w:rsidP="00F64776">
      <w:pPr>
        <w:pStyle w:val="TextoNormal"/>
      </w:pPr>
    </w:p>
    <w:p w14:paraId="27910854" w14:textId="77777777" w:rsidR="00F64776" w:rsidRDefault="00F64776" w:rsidP="00F64776">
      <w:pPr>
        <w:pStyle w:val="TextoNormal"/>
      </w:pPr>
      <w:r>
        <w:t>La demanda pone de manifiesto que los actores son diputados del Parlamento Europeo, por lo que se encontrarían protegidos por la inmunidad parlamentaria, prevista en el art. 9 del Protocolo núm. 7 sobre los privilegios e inmunidades de la Unión Europea desde el momento de su proclamación. Conforme a este artículo, los diputados al Parlamento Europeo gozarán de inmunidad “cuando se dirijan al lugar de reunión del Parlamento Europeo o regresen de este”, lo que pretende garantizar la libertad de movimientos de los miembros del Parlamento para ejercer sus funciones, y específicamente participar en sus sesiones. La demanda destaca, asimismo, que conforme al citado artículo 9, párrafo primero, del Protocolo núm. 7 “mientras el Parlamento Europeo esté en período de sesiones” sus miembros gozan en el Estado de origen “de las inmunidades reconocidas a los miembros del Parlamento de su país”. Al respecto, el art. 71.2 CE dispone que “[d]urante el período de su mandato los diputados y senadores gozarán asimismo de inmunidad y solo podrán ser detenidos en caso de flagrante delito. No podrán ser inculpados ni procesados sin la previa autorización de la Cámara respectiva”. De esta forma, se sostiene, la decisión de no levantar la orden de busca, captura y puesta a disposición habría supuesto la privación del derecho a circular libremente por España, circunscripción por la que resultaron elegidos, privándoles de la posibilidad de mantener vínculos con sus representados.</w:t>
      </w:r>
    </w:p>
    <w:p w14:paraId="556370DE" w14:textId="77777777" w:rsidR="00F64776" w:rsidRDefault="00F64776" w:rsidP="00F64776">
      <w:pPr>
        <w:pStyle w:val="TextoNormal"/>
      </w:pPr>
    </w:p>
    <w:p w14:paraId="289834AE" w14:textId="77777777" w:rsidR="00F64776" w:rsidRDefault="00F64776" w:rsidP="00F64776">
      <w:pPr>
        <w:pStyle w:val="TextoNormal"/>
      </w:pPr>
      <w:r>
        <w:t>La demanda, invocando el principio de igualdad, cita dos precedentes. Por una parte, el del caso de don Ángel Linares Alcalde, el cual fue elegido diputado en un momento en que se encontraba en prisión provisional, pese a lo cual, el Tribunal Supremo por auto de 1 de diciembre de 1989 decidió que, mientras se tramitaba el pertinente suplicatorio, se alzasen todas las medidas cautelares adoptadas. El segundo, sería el de don José María Ruiz Mateos, del que se dice que, una vez elegido diputado europeo, se levantaron las medidas privativas de libertad dictadas contra él (se cita el diario “El País”, como fuente).</w:t>
      </w:r>
    </w:p>
    <w:p w14:paraId="47180A7C" w14:textId="77777777" w:rsidR="00F64776" w:rsidRDefault="00F64776" w:rsidP="00F64776">
      <w:pPr>
        <w:pStyle w:val="TextoNormal"/>
      </w:pPr>
    </w:p>
    <w:p w14:paraId="49EF6494" w14:textId="77777777" w:rsidR="00F64776" w:rsidRDefault="00F64776" w:rsidP="00F64776">
      <w:pPr>
        <w:pStyle w:val="TextoNormal"/>
      </w:pPr>
      <w:r>
        <w:t>Se indica literalmente que “sí que fue este Alto Tribunal quien cursó la petición de suplicatorio al Parlamento Europeo petición y concesión de suplicatorio que han devenido inoperantes por el dictado, por el propio y Excmo. Magistrado-Instructor del auto de 12 de enero de 2023 del que trae origen esta demanda de amparo”. Dichas afirmaciones se realizan al hilo de los anteriores precedentes, pero parece sugerir la necesidad de un nuevo suplicatorio.</w:t>
      </w:r>
    </w:p>
    <w:p w14:paraId="0D4FCD67" w14:textId="77777777" w:rsidR="00F64776" w:rsidRDefault="00F64776" w:rsidP="00F64776">
      <w:pPr>
        <w:pStyle w:val="TextoNormal"/>
      </w:pPr>
    </w:p>
    <w:p w14:paraId="6BD9C5E4" w14:textId="77777777" w:rsidR="00F64776" w:rsidRDefault="00F64776" w:rsidP="00F64776">
      <w:pPr>
        <w:pStyle w:val="TextoNormal"/>
      </w:pPr>
      <w:r>
        <w:t>Según la demanda de amparo, resultaría “evidente” que “el dictado, de una orden nacional de busca, captura, e ingreso en prisión contra mis mandantes es absolutamente incompatible con la inmunidad que protege a mis defendidos” (se cita en su apoyo la STJUE de 19 de diciembre de 2019) “sin la previa obtención de una autorización para ello del Parlamento europeo de conformidad con lo previsto en el artículo 9, párrafo tercero del Protocolo núm. 7”, por lo que la orden debería ser inmediatamente levantada.</w:t>
      </w:r>
    </w:p>
    <w:p w14:paraId="6B2A6EC9" w14:textId="77777777" w:rsidR="00F64776" w:rsidRDefault="00F64776" w:rsidP="00F64776">
      <w:pPr>
        <w:pStyle w:val="TextoNormal"/>
      </w:pPr>
    </w:p>
    <w:p w14:paraId="067907EA" w14:textId="77777777" w:rsidR="00F64776" w:rsidRDefault="00F64776" w:rsidP="00F64776">
      <w:pPr>
        <w:pStyle w:val="TextoNormal"/>
      </w:pPr>
      <w:r>
        <w:t>Por fin, se sostiene que la orden de detención resulta manifiestamente desproporcionada “pues no solo se ha dictado sin haber practicado la correspondiente citación con las debidas formalidades legales, sino que, en cualquier caso, se ha dictado sin haber explorado antes otras opciones menos lesivas para el mencionado derecho fundamental”.</w:t>
      </w:r>
    </w:p>
    <w:p w14:paraId="3BD14D90" w14:textId="77777777" w:rsidR="00F64776" w:rsidRDefault="00F64776" w:rsidP="00F64776">
      <w:pPr>
        <w:pStyle w:val="TextoNormal"/>
      </w:pPr>
    </w:p>
    <w:p w14:paraId="5CFDDDA6" w14:textId="77777777" w:rsidR="00F64776" w:rsidRDefault="00F64776" w:rsidP="00F64776">
      <w:pPr>
        <w:pStyle w:val="TextoNormal"/>
      </w:pPr>
      <w:r>
        <w:t>b) Vulneración del derecho a un juez independiente e imparcial, del derecho a un juez predeterminado por la ley, del derecho a un proceso con todas las garantías, del derecho a la igualdad en la aplicación de la ley, al mantenerse el asunto en manos del Tribunal Supremo, sin plantear la correspondiente cuestión prejudicial, proporcionando un “tratamiento distinto al concedido por la propia Sala de lo Penal del Tribunal Supremo, en su auto de 1 de julio de 2019, respecto de cuestiones que son análogas a las del presente recurso o guardan con él identidad de razón”. Asimismo, se estima vulnerado el derecho a un juez imparcial “condición que no reúne el Magistrado Instructor del Tribunal Supremo, que aceptó el premio otorgado por la Fundación Villacisneros en consideración a su función como Magistrado, y que había reclamado prisión para los recurrentes en amparo”. Por lo que respecta al juez predeterminado por la ley, se sostiene que no existe norma que otorgue cobertura a la competencia del Tribunal Supremo para el conocimiento de esta causa.</w:t>
      </w:r>
    </w:p>
    <w:p w14:paraId="669BD48E" w14:textId="77777777" w:rsidR="00F64776" w:rsidRDefault="00F64776" w:rsidP="00F64776">
      <w:pPr>
        <w:pStyle w:val="TextoNormal"/>
      </w:pPr>
    </w:p>
    <w:p w14:paraId="69C879A9" w14:textId="53BEA4CC" w:rsidR="00F64776" w:rsidRDefault="00F64776" w:rsidP="00F64776">
      <w:pPr>
        <w:pStyle w:val="TextoNormal"/>
      </w:pPr>
      <w:r>
        <w:t>Por otrosí solicita la adopción de manera cautelarísima de la medida cautelar de suspensión de las resoluciones impugnadas de conformidad con el art. 56.6 de la Ley Orgánica del Tribunal Constitucional (en adelante LOTC), o subsidiariamente, de conformidad con los artículos 56.2 y 3 LOTC, para evitar la pérdida de la finalidad del presente recurso, “dado el daño irreparable continuado que se viene produciendo”.</w:t>
      </w:r>
    </w:p>
    <w:p w14:paraId="48F4E66F" w14:textId="77777777" w:rsidR="00F64776" w:rsidRDefault="00F64776" w:rsidP="00F64776">
      <w:pPr>
        <w:pStyle w:val="TextoNormal"/>
      </w:pPr>
    </w:p>
    <w:p w14:paraId="23B1DFE6" w14:textId="77777777" w:rsidR="00F64776" w:rsidRDefault="00F64776" w:rsidP="00F64776">
      <w:pPr>
        <w:pStyle w:val="TextoNormalNegritaCentrado"/>
        <w:keepNext/>
      </w:pPr>
      <w:r>
        <w:t>II. Fundamentos jurídicos</w:t>
      </w:r>
    </w:p>
    <w:p w14:paraId="047BA81E" w14:textId="16ED2BB1" w:rsidR="00F64776" w:rsidRDefault="00F64776" w:rsidP="00F64776">
      <w:pPr>
        <w:pStyle w:val="TextoNormalNegritaCentrado"/>
        <w:keepNext/>
      </w:pPr>
    </w:p>
    <w:p w14:paraId="0869326E" w14:textId="77777777" w:rsidR="00F64776" w:rsidRDefault="00F64776" w:rsidP="00F64776">
      <w:pPr>
        <w:pStyle w:val="TextoNormal"/>
      </w:pPr>
      <w:r w:rsidRPr="00F64776">
        <w:rPr>
          <w:rStyle w:val="NumeroAFNegritaCaracter"/>
        </w:rPr>
        <w:t>1</w:t>
      </w:r>
      <w:r>
        <w:t xml:space="preserve">. </w:t>
      </w:r>
      <w:r w:rsidRPr="00F64776">
        <w:rPr>
          <w:i/>
        </w:rPr>
        <w:t>Objeto del recurso de amparo y competencia de la Sección de Vacaciones del Tribunal Constitucional</w:t>
      </w:r>
    </w:p>
    <w:p w14:paraId="5EBAB242" w14:textId="77777777" w:rsidR="00F64776" w:rsidRDefault="00F64776" w:rsidP="00F64776">
      <w:pPr>
        <w:pStyle w:val="TextoNormal"/>
      </w:pPr>
    </w:p>
    <w:p w14:paraId="41B3A6F0" w14:textId="77777777" w:rsidR="00F64776" w:rsidRDefault="00F64776" w:rsidP="00F64776">
      <w:pPr>
        <w:pStyle w:val="TextoNormal"/>
      </w:pPr>
      <w:r>
        <w:t>El demandante de amparo impugna los autos dictados el 12 de enero y el 21 de marzo de 2023 por el magistrado instructor en la causa especial núm. 20907-2017 y el auto de 13 de junio de 2023 dictado por la Sala de lo Penal del Tribunal Supremo, por los que se acuerda y confirma, respectivamente, acomodar el auto de procesamiento de los recurrentes de amparo a la reforma operada por la Ley Orgánica 14/2022, de 22 de diciembre, por la que se aprobó la reforma parcial del Código penal, y se acuerda ratificar la declaración de rebeldía de los recurrentes y acordar su busca y captura e ingreso en prisión, como presuntos autores de sendos delitos de desobediencia y malversación de caudales de los recurrentes en amparo.</w:t>
      </w:r>
    </w:p>
    <w:p w14:paraId="4BCA2875" w14:textId="77777777" w:rsidR="00F64776" w:rsidRDefault="00F64776" w:rsidP="00F64776">
      <w:pPr>
        <w:pStyle w:val="TextoNormal"/>
      </w:pPr>
    </w:p>
    <w:p w14:paraId="117CB748" w14:textId="77777777" w:rsidR="00F64776" w:rsidRDefault="00F64776" w:rsidP="00F64776">
      <w:pPr>
        <w:pStyle w:val="TextoNormal"/>
      </w:pPr>
      <w:r>
        <w:t>Sustancialmente los demandantes, consideran que dicha decisión menoscaba la garantía de inmunidad que tienen reconocida como miembros del Parlamento Europeo y con ella se vulnera la pluralidad de derechos fundamentales aludidos, reconocidos tanto en la Constitución Española (arts. 17, 19 y 23.1) como en la Carta de los derechos fundamentales de la Unión Europea —CDFUE— (arts. 6, 39.2, 45 y 47) y en el Convenio europeo para la protección de los derechos humanos y de las libertades fundamentales —CEDH— (arts. 6 y 13). Y por otra parte, invocan la vulneración del derecho a un juez independiente e imparcial, a la igualdad y a un proceso con todas las garantías al haberse adoptado dicha decisión por el magistrado instructor y por el Tribunal Supremo.</w:t>
      </w:r>
    </w:p>
    <w:p w14:paraId="4980EB26" w14:textId="77777777" w:rsidR="00F64776" w:rsidRDefault="00F64776" w:rsidP="00F64776">
      <w:pPr>
        <w:pStyle w:val="TextoNormal"/>
      </w:pPr>
    </w:p>
    <w:p w14:paraId="6CCE4637" w14:textId="69EB113B" w:rsidR="00F64776" w:rsidRDefault="00F64776" w:rsidP="00F64776">
      <w:pPr>
        <w:pStyle w:val="TextoNormal"/>
      </w:pPr>
      <w:r>
        <w:t>Esta Sección de Vacaciones es la competente para conocer sobre la decisión de admisión del presente recurso de amparo, al venir esta exigida por la necesidad de resolver sobre la solicitud de adopción de la medida cautelarísima solicitada de suspensión de una resolución judicial que acuerda la privación de libertad.</w:t>
      </w:r>
    </w:p>
    <w:p w14:paraId="141BB2E4" w14:textId="77777777" w:rsidR="00F64776" w:rsidRDefault="00F64776" w:rsidP="00F64776">
      <w:pPr>
        <w:pStyle w:val="TextoNormal"/>
      </w:pPr>
    </w:p>
    <w:p w14:paraId="20179464" w14:textId="77777777" w:rsidR="00F64776" w:rsidRDefault="00F64776" w:rsidP="00F64776">
      <w:pPr>
        <w:pStyle w:val="TextoNormal"/>
      </w:pPr>
      <w:r w:rsidRPr="00F64776">
        <w:rPr>
          <w:rStyle w:val="NumeroAFNegritaCaracter"/>
        </w:rPr>
        <w:t>2</w:t>
      </w:r>
      <w:r>
        <w:t xml:space="preserve">. </w:t>
      </w:r>
      <w:r w:rsidRPr="00F64776">
        <w:rPr>
          <w:i/>
        </w:rPr>
        <w:t>Sobre la inexistencia de las vulneraciones invocadas</w:t>
      </w:r>
    </w:p>
    <w:p w14:paraId="1806CB7C" w14:textId="77777777" w:rsidR="00F64776" w:rsidRDefault="00F64776" w:rsidP="00F64776">
      <w:pPr>
        <w:pStyle w:val="TextoNormal"/>
      </w:pPr>
    </w:p>
    <w:p w14:paraId="12D0C105" w14:textId="77777777" w:rsidR="00F64776" w:rsidRDefault="00F64776" w:rsidP="00F64776">
      <w:pPr>
        <w:pStyle w:val="TextoNormal"/>
      </w:pPr>
      <w:r>
        <w:t>A) Las vulneraciones invocadas por los recurrentes derivadas del eventual menoscabo de su garantía de inmunidad parlamentaria, por no haber solicitado el suplicatorio, carecen de sustento constitucional, pues omiten hacer referencia tanto a las decisiones P9_TA(2021)0059, P9_TA(2021)0060 y P9_TA(2021)0061 del Parlamento Europeo, de 9 de marzo de 2021, sobre el suplicatorio de suspensión de su inmunidad, como a la sentencia de 5 de julio de 2023, dictada por la Sala Sexta (ampliada) del Tribunal General de la Unión Europea en el asunto T-272/21, que desestima el recurso interpuesto contra aquellas decisiones, entre otros, por los ahora demandantes de amparo.</w:t>
      </w:r>
    </w:p>
    <w:p w14:paraId="4FDC1127" w14:textId="77777777" w:rsidR="00F64776" w:rsidRDefault="00F64776" w:rsidP="00F64776">
      <w:pPr>
        <w:pStyle w:val="TextoNormal"/>
      </w:pPr>
    </w:p>
    <w:p w14:paraId="0CA114D6" w14:textId="77777777" w:rsidR="00F64776" w:rsidRDefault="00F64776" w:rsidP="00F64776">
      <w:pPr>
        <w:pStyle w:val="TextoNormal"/>
      </w:pPr>
      <w:r>
        <w:t>a) En efecto, debe resaltarse en primer lugar, que el 13 de enero de 2020, el presidente del Tribunal Supremo remitió al Parlamento Europeo el suplicatorio de 10 de enero de 2020, que le había transmitido el presidente de la Sala de lo Penal de dicho tribunal y dimanante de un auto de la misma fecha del magistrado instructor de la referida sala, con el objeto de que se suspendiera la inmunidad parlamentaria de los demandantes por los mismos hechos y en la misma causa que ahora suscita el presente recurso de amparo.</w:t>
      </w:r>
    </w:p>
    <w:p w14:paraId="63042D4E" w14:textId="77777777" w:rsidR="00F64776" w:rsidRDefault="00F64776" w:rsidP="00F64776">
      <w:pPr>
        <w:pStyle w:val="TextoNormal"/>
      </w:pPr>
    </w:p>
    <w:p w14:paraId="5DDD0CFF" w14:textId="77777777" w:rsidR="00F64776" w:rsidRDefault="00F64776" w:rsidP="00F64776">
      <w:pPr>
        <w:pStyle w:val="TextoNormal"/>
      </w:pPr>
      <w:r>
        <w:t>Como se ha anticipado, el Parlamento Europeo mediante las decisiones P9_TA(2021)0059, P9_TA(2021)0060 y P9_TA(2021)0061 del Parlamento Europeo, de 9 de marzo de 2021 y previos informes emitidos por la Comisión de Asuntos Jurídicos, concedió los suplicatorios solicitados respecto de los recurrentes de amparo, entre otros. Específicamente se hizo constar en las letras K a N de dichas decisiones que, en relación con los suplicatorios de suspensión de la inmunidad, el artículo 71 CE no requiere recabar autorización parlamentaria para ejercer acciones penales contra una persona que adquiera la condición de parlamentario después de su procesamiento y que, por tanto, no era necesario solicitar la suspensión de la inmunidad contemplada en el artículo 9, párrafo primero, letra a), del Protocolo núm. 7. Acto seguido precisó que no le correspondía interpretar las normas nacionales en materia de inmunidades de los parlamentarios (letra N).</w:t>
      </w:r>
    </w:p>
    <w:p w14:paraId="6ACF4679" w14:textId="77777777" w:rsidR="00F64776" w:rsidRDefault="00F64776" w:rsidP="00F64776">
      <w:pPr>
        <w:pStyle w:val="TextoNormal"/>
      </w:pPr>
    </w:p>
    <w:p w14:paraId="1AC1C874" w14:textId="77777777" w:rsidR="00F64776" w:rsidRDefault="00F64776" w:rsidP="00F64776">
      <w:pPr>
        <w:pStyle w:val="TextoNormal"/>
      </w:pPr>
      <w:r>
        <w:t>Finalmente, la reciente sentencia de 5 de julio de 2023 dictada por el Tribunal General de la Unión Europea en el asunto T-272/21 desestimó los recursos interpuestos por don Carles Puigdemont i Casamajó y don Antoni Comín i Oliveres contra la concesión del suplicatorio.</w:t>
      </w:r>
    </w:p>
    <w:p w14:paraId="377122E6" w14:textId="77777777" w:rsidR="00F64776" w:rsidRDefault="00F64776" w:rsidP="00F64776">
      <w:pPr>
        <w:pStyle w:val="TextoNormal"/>
      </w:pPr>
    </w:p>
    <w:p w14:paraId="2047D2BA" w14:textId="77777777" w:rsidR="00F64776" w:rsidRDefault="00F64776" w:rsidP="00F64776">
      <w:pPr>
        <w:pStyle w:val="TextoNormal"/>
      </w:pPr>
      <w:r>
        <w:t>A ello no obsta que esta última resolución pueda ser revocada en el caso de que se estimara el recurso de casación eventualmente interpuesto por los recurrentes, pues sostener la vulneración del derecho fundamental en una futura e hipotética decisión del Tribunal de Justicia de la Unión Europea no resulta admisible. No solo por el carácter no suspensivo del eventual recurso interpuesto, sino también atendido el carácter esencialmente reformable de las decisiones que afectan a la libertad personal y en el que los recurrentes podrían sustentar una eventual pretensión revisora de su situación personal.</w:t>
      </w:r>
    </w:p>
    <w:p w14:paraId="0D508CE9" w14:textId="77777777" w:rsidR="00F64776" w:rsidRDefault="00F64776" w:rsidP="00F64776">
      <w:pPr>
        <w:pStyle w:val="TextoNormal"/>
      </w:pPr>
    </w:p>
    <w:p w14:paraId="2D93DD7D" w14:textId="77777777" w:rsidR="00F64776" w:rsidRDefault="00F64776" w:rsidP="00F64776">
      <w:pPr>
        <w:pStyle w:val="TextoNormal"/>
      </w:pPr>
      <w:r>
        <w:t>b) En segundo lugar, es obligado traer a colación la doctrina de este tribunal, a la que debemos atender, expuesta por el Pleno en las SSTC 70/2021 y 71/2021, de 18 de marzo, y recordada en la más reciente STC 87/2022, de 28 de junio, en virtud de la cual “[l]a interpretación sostenida por la Sala, en primer lugar, es conforme a la letra o al sentido exacto y propio del art. 71.2 CE (STC 9/1990, FJ 4), que configura la previa autorización de la respectiva cámara como condición de procedibilidad expresamente para inculpar o procesar a sus miembros (SSTC 123/2001 y 124/2001, FFJJ 5), no para el desarrollo de una fase posterior a las fases de instrucción o intermedia del proceso penal, en las que tiene lugar la inculpación o el procesamiento, como es la del juicio oral” [FJ 3.3 C) c)].</w:t>
      </w:r>
    </w:p>
    <w:p w14:paraId="7C288C55" w14:textId="77777777" w:rsidR="00F64776" w:rsidRDefault="00F64776" w:rsidP="00F64776">
      <w:pPr>
        <w:pStyle w:val="TextoNormal"/>
      </w:pPr>
    </w:p>
    <w:p w14:paraId="57E6827C" w14:textId="77777777" w:rsidR="00F64776" w:rsidRDefault="00F64776" w:rsidP="00F64776">
      <w:pPr>
        <w:pStyle w:val="TextoNormal"/>
      </w:pPr>
      <w:r>
        <w:t xml:space="preserve">A mayor abundamiento en el fundamento mencionado —al que debemos remitirnos— se continuaba razonando que a la precedente consideración, se añade que “dicho criterio hermenéutico se compadece asimismo con la interpretación necesariamente estricta que ha de hacerse de la prerrogativa de la inmunidad, al no extenderla a un supuesto que no aparece contemplado explícitamente en el texto constitucional, como es la exigencia de autorización [de] las Cámaras para continuar el proceso penal contra quien, habiendo sido ya procesado o inculpado, es proclamado miembro electo de una de ellas durante el juicio oral”. Y se insistía en que la necesidad de una interpretación estricta del alcance de la prerrogativa “resulta de la prohibición de su entendimiento como ‘un privilegio̕ personal o como expresión ‘de un pretendido </w:t>
      </w:r>
      <w:r w:rsidRPr="00F64776">
        <w:rPr>
          <w:i/>
        </w:rPr>
        <w:t>ius singulare</w:t>
      </w:r>
      <w:r>
        <w:t>’ establecido a fin de pretender sustraer los comportamientos de los diputados o senadores del conocimiento o decisión de jueces y tribunales, [pues], la existencia de tal tipo de privilegios pugnaría, entre otras cosas, con los valores de ‘justicia’ e ‘igualdad’ que el art. 1.1. CE reconoce como ‘superiores’ de nuestro ordenamiento jurídico (STC 90/1985, FJ 6)”.</w:t>
      </w:r>
    </w:p>
    <w:p w14:paraId="53959396" w14:textId="77777777" w:rsidR="00F64776" w:rsidRDefault="00F64776" w:rsidP="00F64776">
      <w:pPr>
        <w:pStyle w:val="TextoNormal"/>
      </w:pPr>
    </w:p>
    <w:p w14:paraId="020950BB" w14:textId="77777777" w:rsidR="00F64776" w:rsidRDefault="00F64776" w:rsidP="00F64776">
      <w:pPr>
        <w:pStyle w:val="TextoNormal"/>
      </w:pPr>
      <w:r>
        <w:t>B) En segundo lugar, la misma decisión de inadmisión debe proyectarse sobre el resto de las vulneraciones invocadas de forma asistemática y que con carácter general cuestionan la competencia del Tribunal Supremo y la idoneidad del magistrado instructor para dictar las resoluciones impugnadas, así como al derecho a la igualdad. Estas quejas no son sino reiteración de otras invocadas en anteriores recursos de amparo interpuestos por los mismos recurrentes. En concreto debemos indicar que tales vulneraciones son análogas a las invocadas en su día frente a la decisión del Tribunal Supremo de solicitar el suplicatorio acordada por el magistrado instructor de la citada causa especial y confirmado por la Sala del Tribunal Supremo y que ya fueron desestimadas por el Pleno de este tribunal en la STC 149/2022, de 29 de noviembre.</w:t>
      </w:r>
    </w:p>
    <w:p w14:paraId="2FBA5BEE" w14:textId="77777777" w:rsidR="00F64776" w:rsidRDefault="00F64776" w:rsidP="00F64776">
      <w:pPr>
        <w:pStyle w:val="TextoNormal"/>
      </w:pPr>
    </w:p>
    <w:p w14:paraId="55D1E12A" w14:textId="77777777" w:rsidR="00F64776" w:rsidRDefault="00F64776" w:rsidP="00F64776">
      <w:pPr>
        <w:pStyle w:val="TextoNormal"/>
      </w:pPr>
      <w:r>
        <w:t>En dicha sentencia, con cita de otras anteriores —entre estas la STC 27/2019, de 26 de febrero, FFJJ 4, 5 y 6, a los que nos debemos remitir—, apreciamos la falta de agotamiento de la vía judicial previa en relación con la invocada lesión del derecho al juez ordinario predeterminado por la ley.</w:t>
      </w:r>
    </w:p>
    <w:p w14:paraId="7FAE251E" w14:textId="77777777" w:rsidR="00F64776" w:rsidRDefault="00F64776" w:rsidP="00F64776">
      <w:pPr>
        <w:pStyle w:val="TextoNormal"/>
      </w:pPr>
    </w:p>
    <w:p w14:paraId="18716A05" w14:textId="77777777" w:rsidR="00F64776" w:rsidRDefault="00F64776" w:rsidP="00F64776">
      <w:pPr>
        <w:pStyle w:val="TextoNormal"/>
      </w:pPr>
      <w:r>
        <w:t xml:space="preserve">A la misma conclusión debe llegarse en relación con la vulneración del derecho al juez imparcial, pues ya se hizo valer por los mismos recurrentes frente al magistrado instructor mediante incidente de recusación dando lugar en su día al auto de la Sala de lo Penal del Tribunal Supremo de 14 de febrero de 2022 en el que se desestimó la recusación planteada, sin que quepa plantear </w:t>
      </w:r>
      <w:r w:rsidRPr="00F64776">
        <w:rPr>
          <w:i/>
        </w:rPr>
        <w:t>per saltum</w:t>
      </w:r>
      <w:r>
        <w:t xml:space="preserve"> en amparo mediante la invocación del derecho al juez imparcial otras causas de recusación que no fueron invocadas ante la jurisdicción ordinaria.</w:t>
      </w:r>
    </w:p>
    <w:p w14:paraId="7226FB39" w14:textId="77777777" w:rsidR="00F64776" w:rsidRDefault="00F64776" w:rsidP="00F64776">
      <w:pPr>
        <w:pStyle w:val="TextoNormal"/>
      </w:pPr>
    </w:p>
    <w:p w14:paraId="51F338D6" w14:textId="77777777" w:rsidR="00F64776" w:rsidRDefault="00F64776" w:rsidP="00F64776">
      <w:pPr>
        <w:pStyle w:val="TextoNormal"/>
      </w:pPr>
      <w:r>
        <w:t>Por último, carece de viabilidad alguna la invocada vulneración del derecho a la igualdad en la aplicación de la ley (art. 14 CE) al no aportarse por los recurrentes término válido de comparación que la sustente.</w:t>
      </w:r>
    </w:p>
    <w:p w14:paraId="590F557C" w14:textId="77777777" w:rsidR="00F64776" w:rsidRDefault="00F64776" w:rsidP="00F64776">
      <w:pPr>
        <w:pStyle w:val="TextoNormal"/>
      </w:pPr>
    </w:p>
    <w:p w14:paraId="7A306A86" w14:textId="3C4F5CC6" w:rsidR="00F64776" w:rsidRDefault="00F64776" w:rsidP="00F64776">
      <w:pPr>
        <w:pStyle w:val="TextoNormal"/>
      </w:pPr>
      <w:r>
        <w:t>En suma, no concurren, pues, razones desde las que entender lesionados la pluralidad de derechos invocados.</w:t>
      </w:r>
    </w:p>
    <w:p w14:paraId="5EC1024C" w14:textId="77777777" w:rsidR="00F64776" w:rsidRDefault="00F64776" w:rsidP="00F64776">
      <w:pPr>
        <w:pStyle w:val="TextoNormal"/>
      </w:pPr>
    </w:p>
    <w:p w14:paraId="175A6022" w14:textId="77777777" w:rsidR="00F64776" w:rsidRDefault="00F64776" w:rsidP="00F64776">
      <w:pPr>
        <w:pStyle w:val="TextoNormal"/>
      </w:pPr>
      <w:r>
        <w:t>Por lo expuesto, la Sección</w:t>
      </w:r>
    </w:p>
    <w:p w14:paraId="70298F7D" w14:textId="05729212" w:rsidR="00F64776" w:rsidRDefault="00F64776" w:rsidP="00F64776">
      <w:pPr>
        <w:pStyle w:val="TextoNormal"/>
      </w:pPr>
    </w:p>
    <w:p w14:paraId="4BA5613D" w14:textId="77777777" w:rsidR="00F64776" w:rsidRDefault="00F64776" w:rsidP="00F64776">
      <w:pPr>
        <w:pStyle w:val="TextoNormalCentrado"/>
      </w:pPr>
      <w:r>
        <w:t>ACUERDA</w:t>
      </w:r>
    </w:p>
    <w:p w14:paraId="79890F32" w14:textId="1A18FCC2" w:rsidR="00F64776" w:rsidRDefault="00F64776" w:rsidP="00F64776">
      <w:pPr>
        <w:pStyle w:val="TextoNormalCentrado"/>
      </w:pPr>
    </w:p>
    <w:p w14:paraId="79DB6894" w14:textId="77777777" w:rsidR="00F64776" w:rsidRDefault="00F64776" w:rsidP="00F64776">
      <w:pPr>
        <w:pStyle w:val="TextoNormal"/>
      </w:pPr>
      <w:r>
        <w:t>Inadmitir el recurso de amparo núm. 5439-2023, interpuesto por don Carles Puigdemont i Casamajó y don Antoni Comín i Oliveres dada la manifiesta inexistencia de violación de un derecho fundamental tutelable en amparo.</w:t>
      </w:r>
    </w:p>
    <w:p w14:paraId="72044DA2" w14:textId="77777777" w:rsidR="00F64776" w:rsidRDefault="00F64776" w:rsidP="00F64776">
      <w:pPr>
        <w:pStyle w:val="TextoNormal"/>
      </w:pPr>
    </w:p>
    <w:p w14:paraId="46F1022D" w14:textId="220A511E" w:rsidR="00F64776" w:rsidRDefault="00F64776" w:rsidP="00F64776">
      <w:pPr>
        <w:pStyle w:val="TextoNormal"/>
      </w:pPr>
      <w:r>
        <w:t>Notifíquese con indicación de que, si el Ministerio Fiscal no hubiere interpuesto recurso de súplica en el plazo legal de tres días, se archivarán estas actuaciones sin más trámite (art. 50.3 LOTC).</w:t>
      </w:r>
    </w:p>
    <w:p w14:paraId="447C19BF" w14:textId="77777777" w:rsidR="00F64776" w:rsidRDefault="00F64776" w:rsidP="00F64776">
      <w:pPr>
        <w:pStyle w:val="TextoNormal"/>
      </w:pPr>
    </w:p>
    <w:p w14:paraId="0DA2D8BF" w14:textId="77777777" w:rsidR="00F64776" w:rsidRDefault="00F64776" w:rsidP="00F64776">
      <w:pPr>
        <w:pStyle w:val="TextoNormal"/>
      </w:pPr>
      <w:r>
        <w:t>Madrid, a nueve de agosto de dos mil veintitrés.</w:t>
      </w:r>
    </w:p>
    <w:p w14:paraId="2AF0107E" w14:textId="56B58B03" w:rsidR="00F64776" w:rsidRDefault="00F64776" w:rsidP="00F64776">
      <w:pPr>
        <w:pStyle w:val="ParrafoNormal"/>
      </w:pPr>
    </w:p>
    <w:p w14:paraId="17ECACFA" w14:textId="77777777" w:rsidR="00F64776" w:rsidRDefault="00F64776" w:rsidP="00F64776">
      <w:pPr>
        <w:pStyle w:val="TextoNormalNegritaCentrado"/>
        <w:keepNext/>
      </w:pPr>
      <w:r>
        <w:t>Voto particular que formula la magistrada doña Laura Díez Bueso al auto dictado en el recurso de amparo núm. 5439-2023</w:t>
      </w:r>
    </w:p>
    <w:p w14:paraId="74796A19" w14:textId="70E83957" w:rsidR="00F64776" w:rsidRDefault="00F64776" w:rsidP="00F64776">
      <w:pPr>
        <w:pStyle w:val="TextoNormalNegritaCentrado"/>
        <w:keepNext/>
      </w:pPr>
    </w:p>
    <w:p w14:paraId="204291B7" w14:textId="77777777" w:rsidR="00F64776" w:rsidRDefault="00F64776" w:rsidP="00F64776">
      <w:pPr>
        <w:pStyle w:val="TextoNormal"/>
      </w:pPr>
      <w:r>
        <w:t>En ejercicio de la facultad que me confiere el art. 90.2 de la Ley Orgánica del Tribunal Constitucional formulo el presente voto particular al auto dictado en el recurso de amparo núm. 5439-2023. Los motivos de mi discrepancia se refieren tanto a la necesidad de resolver sobre la admisión del presente amparo por parte de la Sección de Vacaciones, como a la decisión de inadmitir el recurso planteado.</w:t>
      </w:r>
    </w:p>
    <w:p w14:paraId="1878849B" w14:textId="77777777" w:rsidR="00F64776" w:rsidRDefault="00F64776" w:rsidP="00F64776">
      <w:pPr>
        <w:pStyle w:val="TextoNormal"/>
      </w:pPr>
    </w:p>
    <w:p w14:paraId="1AE070B2" w14:textId="77777777" w:rsidR="00F64776" w:rsidRDefault="00F64776" w:rsidP="00F64776">
      <w:pPr>
        <w:pStyle w:val="TextoNormal"/>
      </w:pPr>
      <w:r>
        <w:t>En primer lugar, a diferencia de la opinión mayoritaria, no considero que la simple solicitud de medidas cautelares por parte de los recurrentes justifique de por sí la necesidad de decidir sobre la admisión de un asunto por parte de la Sección de Vacaciones. Considero que, además de la solicitud, debe existir urgencia en la toma de decisión sobre estas medidas cautelares de manera que la concesión o no de las mismas pueda “hacer perder al amparo su finalidad”, tal como prescribe el art. 56.2 LOTC. A mi parecer, esta urgencia no concurre en el presente amparo.</w:t>
      </w:r>
    </w:p>
    <w:p w14:paraId="30428753" w14:textId="77777777" w:rsidR="00F64776" w:rsidRDefault="00F64776" w:rsidP="00F64776">
      <w:pPr>
        <w:pStyle w:val="TextoNormal"/>
      </w:pPr>
    </w:p>
    <w:p w14:paraId="429D9976" w14:textId="77777777" w:rsidR="00F64776" w:rsidRDefault="00F64776" w:rsidP="00F64776">
      <w:pPr>
        <w:pStyle w:val="TextoNormal"/>
      </w:pPr>
      <w:r>
        <w:t>Según consta en la demanda de amparo, se solicita la suspensión del auto de la Sala de lo Penal del Tribunal Supremo de 13 de junio de 2023, así como de las órdenes de busca y captura e ingreso en prisión que pesan sobre los recurrentes. En mi opinión, no existe urgencia en resolver sobre la eventual suspensión de estas medidas, fundamentalmente, por dos razones. En primer lugar, los recurrentes no se encuentran en territorio español, único lugar donde pueden ejecutarse las órdenes decretadas. En segundo lugar, no puede llegar a producirse una vulneración efectiva de derechos que deban protegerse, puesto que los recurrentes desarrollan sus funciones representativas fuera del territorio nacional. A mayor abundamiento, ninguno de los dos recurrentes se encuentra actualmente privado de libertad.</w:t>
      </w:r>
    </w:p>
    <w:p w14:paraId="4D85EA64" w14:textId="77777777" w:rsidR="00F64776" w:rsidRDefault="00F64776" w:rsidP="00F64776">
      <w:pPr>
        <w:pStyle w:val="TextoNormal"/>
      </w:pPr>
    </w:p>
    <w:p w14:paraId="1A1C1214" w14:textId="77777777" w:rsidR="00F64776" w:rsidRDefault="00F64776" w:rsidP="00F64776">
      <w:pPr>
        <w:pStyle w:val="TextoNormal"/>
      </w:pPr>
      <w:r>
        <w:t>La simple solicitud de una medida cautelar, o la posibilidad abstracta de nuevas situaciones de hecho que la hagan necesaria, no puede por sí misma justificar la necesidad de resolver por parte de la Sección de Vacaciones. Y, como acabo de exponer, no concurre ninguna circunstancia de especial urgencia en relación con la eventual concesión o denegación de medidas cautelares que justifique la actuación de esta sección. Por ello, no comparto la premura por decidir sobre un asunto que bien pudiera haberse tramitado tras la pausa estival siguiendo el sistema ordinario de reparto y resolución de los asuntos en el Tribunal Constitucional.</w:t>
      </w:r>
    </w:p>
    <w:p w14:paraId="6B4F7A2F" w14:textId="77777777" w:rsidR="00F64776" w:rsidRDefault="00F64776" w:rsidP="00F64776">
      <w:pPr>
        <w:pStyle w:val="TextoNormal"/>
      </w:pPr>
    </w:p>
    <w:p w14:paraId="1C6D7E37" w14:textId="77777777" w:rsidR="00F64776" w:rsidRDefault="00F64776" w:rsidP="00F64776">
      <w:pPr>
        <w:pStyle w:val="TextoNormal"/>
      </w:pPr>
      <w:r>
        <w:t>En segundo lugar, disiento sobre la decisión de inadmitir este recurso de amparo. La opinión mayoritaria sostiene que las vulneraciones invocadas por los recurrentes derivadas del eventual menoscabo de su garantía de inmunidad parlamentaria carecen de sustento constitucional por omitir la referencia a las decisiones del Parlamento Europeo, de 9 de marzo de 2021, y a la sentencia del Tribunal General de la Unión, de 5 de julio de 2023. Es cierto que estas resoluciones suspenden la inmunidad de los recurrentes, pero ello no puede justificar sin más la inadmisión del amparo por los siguientes motivos.</w:t>
      </w:r>
    </w:p>
    <w:p w14:paraId="36D43CCF" w14:textId="77777777" w:rsidR="00F64776" w:rsidRDefault="00F64776" w:rsidP="00F64776">
      <w:pPr>
        <w:pStyle w:val="TextoNormal"/>
      </w:pPr>
    </w:p>
    <w:p w14:paraId="43EBB98F" w14:textId="77777777" w:rsidR="00F64776" w:rsidRDefault="00F64776" w:rsidP="00F64776">
      <w:pPr>
        <w:pStyle w:val="TextoNormal"/>
      </w:pPr>
      <w:r>
        <w:t>La opinión mayoritaria descarta de plano la vulneración del derecho fundamental argumentado que así se determina en estas resoluciones sin valorar adecuadamente que en el momento actual ni siquiera son definitivas, por ser posible aún la casación ante el Tribunal de Justicia de la Unión Europea. En mi opinión, esta decisión que descarta de plano la inmunidad no es la propia de un trámite de admisión pues, dada la falta de firmeza de la resolución del Tribunal General, en este trámite se debería reconocer la existencia de una posibilidad de vulneración del derecho que justifica la admisión del recurso.</w:t>
      </w:r>
    </w:p>
    <w:p w14:paraId="6F7BE6EF" w14:textId="77777777" w:rsidR="00F64776" w:rsidRDefault="00F64776" w:rsidP="00F64776">
      <w:pPr>
        <w:pStyle w:val="TextoNormal"/>
      </w:pPr>
    </w:p>
    <w:p w14:paraId="75BF4694" w14:textId="77777777" w:rsidR="00F64776" w:rsidRDefault="00F64776" w:rsidP="00F64776">
      <w:pPr>
        <w:pStyle w:val="TextoNormal"/>
      </w:pPr>
      <w:r>
        <w:t>Y ello todavía con más razón si tenemos en cuenta que se trata de una cuestión jurídica, todavía abierta a nivel europeo, sobre la cual el Tribunal Constitucional no ha dictaminado todavía. En efecto, este tribunal no ha sentado doctrina sobre cuál es el alcance sobre la inmunidad parlamentaria de las medidas cautelares privativas de libertad adoptadas por un juez o tribunal sobre un investigado o procesado antes de ser proclamado diputado. A ello cabe añadir que esta cuestión jurídica no resuelta todavía por el Tribunal Constitucional es un tema que trasciende del caso concreto, al suscitar una cuestión jurídica de relevante y general repercusión.</w:t>
      </w:r>
    </w:p>
    <w:p w14:paraId="1155A3EF" w14:textId="77777777" w:rsidR="00F64776" w:rsidRDefault="00F64776" w:rsidP="00F64776">
      <w:pPr>
        <w:pStyle w:val="TextoNormal"/>
      </w:pPr>
    </w:p>
    <w:p w14:paraId="1B6B687C" w14:textId="77777777" w:rsidR="00F64776" w:rsidRDefault="00F64776" w:rsidP="00F64776">
      <w:pPr>
        <w:pStyle w:val="TextoNormal"/>
      </w:pPr>
      <w:r>
        <w:t>De hecho, tanto la ausencia de doctrina constitucional como su relevante y general repercusión fueron los dos motivos que justificaron la admisión del asunto 64-2020, en el que se plantea una temática plenamente coincidente con la suscitada por los ahora recurrentes de amparo. Y también ambos motivos justificaron su avocación al Pleno por Acuerdo de 14 julio 2020, que apreció que concurría una especial trascendencia constitucional (art. 50.1 LOTC) porque el recurso planteaba un problema o afectaba a una faceta de un derecho fundamental sobre el que no hay doctrina de este tribunal [STC 155/2009, FJ 2 a)] y porque el asunto suscitado trascendía del caso concreto porque planteaba una cuestión jurídica de relevante y general repercusión social o económica [STC 155/2009, FJ 2 g)].</w:t>
      </w:r>
    </w:p>
    <w:p w14:paraId="0613ED4D" w14:textId="77777777" w:rsidR="00F64776" w:rsidRDefault="00F64776" w:rsidP="00F64776">
      <w:pPr>
        <w:pStyle w:val="TextoNormal"/>
      </w:pPr>
    </w:p>
    <w:p w14:paraId="3A430FC2" w14:textId="77777777" w:rsidR="00F64776" w:rsidRDefault="00F64776" w:rsidP="00F64776">
      <w:pPr>
        <w:pStyle w:val="TextoNormal"/>
      </w:pPr>
      <w:r>
        <w:t>A todo ello conviene añadir que se trata del primer caso de inadmisión de un recurso de amparo relativo a un asunto vinculado a la causa especial 20907-2017, puesto que la práctica constante de este tribunal en relación con estos amparos ha sido siempre su admisión y avocación a Pleno para su posterior resolución.</w:t>
      </w:r>
    </w:p>
    <w:p w14:paraId="2149B84D" w14:textId="77777777" w:rsidR="00F64776" w:rsidRDefault="00F64776" w:rsidP="00F64776">
      <w:pPr>
        <w:pStyle w:val="TextoNormal"/>
      </w:pPr>
    </w:p>
    <w:p w14:paraId="73711D6B" w14:textId="77777777" w:rsidR="00F64776" w:rsidRDefault="00F64776" w:rsidP="00F64776">
      <w:pPr>
        <w:pStyle w:val="TextoNormal"/>
      </w:pPr>
      <w:r>
        <w:t>En suma, y en primer lugar, considero que se ha precipitado innecesariamente una decisión que no debió adoptarse en la Sección de Vacaciones, sino que el asunto debió haberse tramitado tras el periodo estival siguiendo el sistema ordinario de reparto y resolución de los asuntos en el Tribunal Constitucional. La petición de medidas cautelares no justifica por sí sola la resolución de asuntos por esta sección, sino que deben concurrir las pertinentes circunstancias de urgencia que no concurren en este supuesto, ya que los recurrentes no se encuentran en el territorio afectado por las órdenes de busca y captura, pueden desarrollar sus funciones representativas fuera del territorio nacional y tampoco se encuentran en este momento privados de libertad. En segundo lugar, considero que la decisión debió de ser la admisión del recurso de amparo por estar todavía abierta la cuestión jurídica a nivel europeo y por su evidente transcendencia constitucional, dada la ausencia de doctrina de este tribunal relativa a esta cuestión jurídica que, además, trasciende del caso concreto. Y, en el supuesto de haberse admitido el recurso de amparo, deberían haberse denegado las medidas cautelares solicitadas, toda vez que las mismas coinciden sustancialmente con el objeto del recurso y este tribunal ha sostenido que, en estos casos, no procede la suspensión de las medidas cautelares privativas de libertad pues ello equivaldría a un otorgamiento anticipado del amparo. Finalmente, y a mayor abundamiento, la inadmisión del presente recurso de amparo se aparta, por primera vez, de la práctica seguida por este tribunal en relación con los amparos presentados en relación con la causa especial 20907-2017, que han sido sistemáticamente admitidos y avocados a Pleno para su resolución.</w:t>
      </w:r>
    </w:p>
    <w:p w14:paraId="0B3F2AB1" w14:textId="77777777" w:rsidR="00F64776" w:rsidRDefault="00F64776" w:rsidP="00F64776">
      <w:pPr>
        <w:pStyle w:val="TextoNormal"/>
      </w:pPr>
    </w:p>
    <w:p w14:paraId="6C857513" w14:textId="1155897E" w:rsidR="00F64776" w:rsidRDefault="00F64776" w:rsidP="00F64776">
      <w:pPr>
        <w:pStyle w:val="TextoNormal"/>
      </w:pPr>
      <w:r>
        <w:t>Madrid, a nueve de agosto de dos mil veintitrés.</w:t>
      </w:r>
    </w:p>
    <w:p w14:paraId="1F23591D" w14:textId="2A1E7398" w:rsidR="00F64776" w:rsidRDefault="00F64776">
      <w:pPr>
        <w:spacing w:after="160" w:line="278" w:lineRule="auto"/>
        <w:rPr>
          <w:rFonts w:ascii="Times New Roman" w:eastAsia="Times New Roman" w:hAnsi="Times New Roman" w:cs="Times New Roman"/>
          <w:sz w:val="24"/>
          <w:szCs w:val="24"/>
          <w:lang w:eastAsia="es-ES"/>
        </w:rPr>
      </w:pPr>
      <w:r>
        <w:br w:type="page"/>
      </w:r>
    </w:p>
    <w:p w14:paraId="2FF62B05" w14:textId="77777777" w:rsidR="00F64776" w:rsidRDefault="00F64776" w:rsidP="00F64776">
      <w:pPr>
        <w:pStyle w:val="TtuloResolucin"/>
      </w:pPr>
      <w:bookmarkStart w:id="164" w:name="AUTO_2023_379"/>
      <w:r>
        <w:t>AUTO 379/2023, de 4 de septiembre de 2023</w:t>
      </w:r>
    </w:p>
    <w:bookmarkEnd w:id="164"/>
    <w:p w14:paraId="68AE6C19" w14:textId="77777777" w:rsidR="00F64776" w:rsidRDefault="00F64776" w:rsidP="00F64776">
      <w:pPr>
        <w:pStyle w:val="TtuloResolucin"/>
      </w:pPr>
      <w:r>
        <w:t>Sección Tercera</w:t>
      </w:r>
    </w:p>
    <w:p w14:paraId="1B70865A" w14:textId="77777777" w:rsidR="00F64776" w:rsidRDefault="00F64776" w:rsidP="00F64776">
      <w:pPr>
        <w:pStyle w:val="TextoNormalCentrado"/>
      </w:pPr>
      <w:r>
        <w:t>ECLI:ES:TC:2023:379A</w:t>
      </w:r>
    </w:p>
    <w:p w14:paraId="757E3070" w14:textId="05154123" w:rsidR="00F64776" w:rsidRDefault="00F64776" w:rsidP="00F64776">
      <w:pPr>
        <w:pStyle w:val="TextoNormalCentrado"/>
      </w:pPr>
    </w:p>
    <w:p w14:paraId="5F9A1596" w14:textId="77777777" w:rsidR="00F64776" w:rsidRDefault="00F64776" w:rsidP="00F64776">
      <w:pPr>
        <w:pStyle w:val="SntesisDescriptiva"/>
      </w:pPr>
      <w:r>
        <w:t>Excms. Srs. doña Inmaculada Montalbán Huertas y doña Laura Díez Bueso.</w:t>
      </w:r>
    </w:p>
    <w:p w14:paraId="5952A74F" w14:textId="52E96A26" w:rsidR="00F64776" w:rsidRDefault="00F64776" w:rsidP="00F64776">
      <w:pPr>
        <w:pStyle w:val="SntesisDescriptiva"/>
      </w:pPr>
    </w:p>
    <w:p w14:paraId="3644FDBB" w14:textId="77777777" w:rsidR="00F64776" w:rsidRDefault="00F64776" w:rsidP="00F64776">
      <w:pPr>
        <w:pStyle w:val="SntesisDescriptiva"/>
      </w:pPr>
      <w:r>
        <w:t>Acepta una abstención en el recurso de amparo 305-2022, promovido en proceso contencioso-administrativo.</w:t>
      </w:r>
    </w:p>
    <w:p w14:paraId="66500284" w14:textId="267D76D8" w:rsidR="00F64776" w:rsidRDefault="00F64776" w:rsidP="00F64776">
      <w:pPr>
        <w:pStyle w:val="SntesisDescriptiva"/>
      </w:pPr>
    </w:p>
    <w:p w14:paraId="5944B7C3" w14:textId="77777777" w:rsidR="00F64776" w:rsidRDefault="00F64776" w:rsidP="00F64776">
      <w:pPr>
        <w:pStyle w:val="SntesisDescriptiva"/>
      </w:pPr>
    </w:p>
    <w:p w14:paraId="16015D2B" w14:textId="77777777" w:rsidR="00F64776" w:rsidRDefault="00F64776" w:rsidP="00F64776">
      <w:pPr>
        <w:pStyle w:val="SntesisDescriptiva"/>
      </w:pPr>
    </w:p>
    <w:p w14:paraId="31446460" w14:textId="77777777" w:rsidR="00F64776" w:rsidRDefault="00F64776" w:rsidP="00F64776">
      <w:pPr>
        <w:pStyle w:val="TextoNormalNegritaCentrado"/>
      </w:pPr>
      <w:r>
        <w:t>AUTO</w:t>
      </w:r>
    </w:p>
    <w:p w14:paraId="75C1066B" w14:textId="09202552" w:rsidR="00F64776" w:rsidRDefault="00F64776" w:rsidP="00F64776">
      <w:pPr>
        <w:pStyle w:val="TextoNormalNegritaCentrado"/>
      </w:pPr>
    </w:p>
    <w:p w14:paraId="17B9F880" w14:textId="77777777" w:rsidR="00F64776" w:rsidRDefault="00F64776" w:rsidP="00F64776">
      <w:pPr>
        <w:pStyle w:val="TextoNormalNegritaCentrado"/>
        <w:keepNext/>
      </w:pPr>
      <w:r>
        <w:t>I. Antecedentes</w:t>
      </w:r>
    </w:p>
    <w:p w14:paraId="4120A382" w14:textId="1C2D7A4F" w:rsidR="00F64776" w:rsidRDefault="00F64776" w:rsidP="00F64776">
      <w:pPr>
        <w:pStyle w:val="TextoNormalNegritaCentrado"/>
        <w:keepNext/>
      </w:pPr>
    </w:p>
    <w:p w14:paraId="64452BEA" w14:textId="7BE5B2E4" w:rsidR="00F64776" w:rsidRDefault="00F64776" w:rsidP="00F64776">
      <w:pPr>
        <w:pStyle w:val="TextoNormal"/>
      </w:pPr>
      <w:r w:rsidRPr="00F64776">
        <w:rPr>
          <w:rStyle w:val="NumeroAFNegritaCaracter"/>
        </w:rPr>
        <w:t>1</w:t>
      </w:r>
      <w:r>
        <w:t>. Mediante escrito registrado en este tribunal el 17 de enero de 2022 la procuradora de los tribunales doña Ruth María Oterino Sánchez, en nombre y representación de doña María Cristina Moposita Guamán y bajo la dirección del letrado don Manuel Francisco Alonso García, interpuso demanda de amparo contra la providencia de 2 de diciembre de 2021 de la Sección Primera de la Sala de lo Contencioso-Administrativo del Tribunal Supremo en recurso de casación  núm. 7902-2020.</w:t>
      </w:r>
    </w:p>
    <w:p w14:paraId="26D0D495" w14:textId="77777777" w:rsidR="00F64776" w:rsidRDefault="00F64776" w:rsidP="00F64776">
      <w:pPr>
        <w:pStyle w:val="TextoNormal"/>
      </w:pPr>
    </w:p>
    <w:p w14:paraId="0213696B" w14:textId="027A6470" w:rsidR="00F64776" w:rsidRDefault="00F64776" w:rsidP="00F64776">
      <w:pPr>
        <w:pStyle w:val="TextoNormal"/>
      </w:pPr>
      <w:r w:rsidRPr="00F64776">
        <w:rPr>
          <w:rStyle w:val="NumeroAFNegritaCaracter"/>
        </w:rPr>
        <w:t>2</w:t>
      </w:r>
      <w:r>
        <w:t>. Por escrito de 4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3D57815E" w14:textId="77777777" w:rsidR="00F64776" w:rsidRDefault="00F64776" w:rsidP="00F64776">
      <w:pPr>
        <w:pStyle w:val="TextoNormal"/>
      </w:pPr>
    </w:p>
    <w:p w14:paraId="15FD66EC" w14:textId="77777777" w:rsidR="00F64776" w:rsidRDefault="00F64776" w:rsidP="00F64776">
      <w:pPr>
        <w:pStyle w:val="TextoNormalNegritaCentrado"/>
        <w:keepNext/>
      </w:pPr>
      <w:r>
        <w:t>II. Fundamentos jurídicos</w:t>
      </w:r>
    </w:p>
    <w:p w14:paraId="73E014AD" w14:textId="7686371E" w:rsidR="00F64776" w:rsidRDefault="00F64776" w:rsidP="00F64776">
      <w:pPr>
        <w:pStyle w:val="TextoNormalNegritaCentrado"/>
        <w:keepNext/>
      </w:pPr>
    </w:p>
    <w:p w14:paraId="331A65AA" w14:textId="1FF13027"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28AE5F75" w14:textId="77777777" w:rsidR="00F64776" w:rsidRDefault="00F64776" w:rsidP="00F64776">
      <w:pPr>
        <w:pStyle w:val="TextoNormal"/>
      </w:pPr>
    </w:p>
    <w:p w14:paraId="031BF78D" w14:textId="77777777" w:rsidR="00F64776" w:rsidRDefault="00F64776" w:rsidP="00F64776">
      <w:pPr>
        <w:pStyle w:val="TextoNormal"/>
      </w:pPr>
      <w:r>
        <w:t>Por lo expuesto, la Sección</w:t>
      </w:r>
    </w:p>
    <w:p w14:paraId="0273EF69" w14:textId="34B44731" w:rsidR="00F64776" w:rsidRDefault="00F64776" w:rsidP="00F64776">
      <w:pPr>
        <w:pStyle w:val="TextoNormal"/>
      </w:pPr>
    </w:p>
    <w:p w14:paraId="3DAB5449" w14:textId="77777777" w:rsidR="00F64776" w:rsidRDefault="00F64776" w:rsidP="00F64776">
      <w:pPr>
        <w:pStyle w:val="TextoNormalCentrado"/>
      </w:pPr>
      <w:r>
        <w:t>ACUERDA</w:t>
      </w:r>
    </w:p>
    <w:p w14:paraId="6890FE0A" w14:textId="1D6EC5EA" w:rsidR="00F64776" w:rsidRDefault="00F64776" w:rsidP="00F64776">
      <w:pPr>
        <w:pStyle w:val="TextoNormalCentrado"/>
      </w:pPr>
    </w:p>
    <w:p w14:paraId="0C0F66E7" w14:textId="45EB6430" w:rsidR="00F64776" w:rsidRDefault="00F64776" w:rsidP="00F64776">
      <w:pPr>
        <w:pStyle w:val="TextoNormal"/>
      </w:pPr>
      <w:r>
        <w:t>Estimar justificada la abstención formulada por el magistrado señor don César Tolosa Tribiño en el recurso de amparo núm. 305-2022 y apartarle definitivamente del conocimiento del referido recurso y de todas sus incidencias.</w:t>
      </w:r>
    </w:p>
    <w:p w14:paraId="38057D2E" w14:textId="77777777" w:rsidR="00F64776" w:rsidRDefault="00F64776" w:rsidP="00F64776">
      <w:pPr>
        <w:pStyle w:val="TextoNormal"/>
      </w:pPr>
    </w:p>
    <w:p w14:paraId="1146C333" w14:textId="77777777" w:rsidR="00F64776" w:rsidRDefault="00F64776" w:rsidP="00F64776">
      <w:pPr>
        <w:pStyle w:val="TextoNormal"/>
      </w:pPr>
      <w:r>
        <w:t>Madrid, a cuatro de septiembre de dos mil veintitrés.</w:t>
      </w:r>
    </w:p>
    <w:p w14:paraId="445170A7" w14:textId="035B935C" w:rsidR="00F64776" w:rsidRDefault="00F64776">
      <w:pPr>
        <w:spacing w:after="160" w:line="278" w:lineRule="auto"/>
        <w:rPr>
          <w:rFonts w:ascii="Times New Roman" w:eastAsia="Times New Roman" w:hAnsi="Times New Roman" w:cs="Times New Roman"/>
          <w:sz w:val="24"/>
          <w:szCs w:val="24"/>
          <w:lang w:eastAsia="es-ES"/>
        </w:rPr>
      </w:pPr>
      <w:r>
        <w:br w:type="page"/>
      </w:r>
    </w:p>
    <w:p w14:paraId="205685EC" w14:textId="77777777" w:rsidR="00F64776" w:rsidRDefault="00F64776" w:rsidP="00F64776">
      <w:pPr>
        <w:pStyle w:val="TtuloResolucin"/>
      </w:pPr>
      <w:bookmarkStart w:id="165" w:name="AUTO_2023_380"/>
      <w:r>
        <w:t>AUTO 380/2023, de 4 de septiembre de 2023</w:t>
      </w:r>
    </w:p>
    <w:bookmarkEnd w:id="165"/>
    <w:p w14:paraId="1FFFA885" w14:textId="77777777" w:rsidR="00F64776" w:rsidRDefault="00F64776" w:rsidP="00F64776">
      <w:pPr>
        <w:pStyle w:val="TtuloResolucin"/>
      </w:pPr>
      <w:r>
        <w:t>Sección Tercera</w:t>
      </w:r>
    </w:p>
    <w:p w14:paraId="360CB3FF" w14:textId="77777777" w:rsidR="00F64776" w:rsidRDefault="00F64776" w:rsidP="00F64776">
      <w:pPr>
        <w:pStyle w:val="TextoNormalCentrado"/>
      </w:pPr>
      <w:r>
        <w:t>ECLI:ES:TC:2023:380A</w:t>
      </w:r>
    </w:p>
    <w:p w14:paraId="066C2E60" w14:textId="7F3BD94F" w:rsidR="00F64776" w:rsidRDefault="00F64776" w:rsidP="00F64776">
      <w:pPr>
        <w:pStyle w:val="TextoNormalCentrado"/>
      </w:pPr>
    </w:p>
    <w:p w14:paraId="56E5D564" w14:textId="77777777" w:rsidR="00F64776" w:rsidRDefault="00F64776" w:rsidP="00F64776">
      <w:pPr>
        <w:pStyle w:val="SntesisDescriptiva"/>
      </w:pPr>
      <w:r>
        <w:t>Excms. Srs. doña Inmaculada Montalbán Huertas y doña Laura Díez Bueso.</w:t>
      </w:r>
    </w:p>
    <w:p w14:paraId="415DC358" w14:textId="451BCF20" w:rsidR="00F64776" w:rsidRDefault="00F64776" w:rsidP="00F64776">
      <w:pPr>
        <w:pStyle w:val="SntesisDescriptiva"/>
      </w:pPr>
    </w:p>
    <w:p w14:paraId="69EC7F92" w14:textId="77777777" w:rsidR="00F64776" w:rsidRDefault="00F64776" w:rsidP="00F64776">
      <w:pPr>
        <w:pStyle w:val="SntesisDescriptiva"/>
      </w:pPr>
      <w:r>
        <w:t>Acepta una abstención en el recurso de amparo 3545-2022, promovido en proceso contencioso-administrativo.</w:t>
      </w:r>
    </w:p>
    <w:p w14:paraId="6EAF6ACB" w14:textId="5AA0E7E1" w:rsidR="00F64776" w:rsidRDefault="00F64776" w:rsidP="00F64776">
      <w:pPr>
        <w:pStyle w:val="SntesisDescriptiva"/>
      </w:pPr>
    </w:p>
    <w:p w14:paraId="29E82CB5" w14:textId="77777777" w:rsidR="00F64776" w:rsidRDefault="00F64776" w:rsidP="00F64776">
      <w:pPr>
        <w:pStyle w:val="SntesisDescriptiva"/>
      </w:pPr>
    </w:p>
    <w:p w14:paraId="0627364A" w14:textId="77777777" w:rsidR="00F64776" w:rsidRDefault="00F64776" w:rsidP="00F64776">
      <w:pPr>
        <w:pStyle w:val="SntesisDescriptiva"/>
      </w:pPr>
    </w:p>
    <w:p w14:paraId="2CC8C7C9" w14:textId="77777777" w:rsidR="00F64776" w:rsidRDefault="00F64776" w:rsidP="00F64776">
      <w:pPr>
        <w:pStyle w:val="TextoNormalNegritaCentrado"/>
      </w:pPr>
      <w:r>
        <w:t>AUTO</w:t>
      </w:r>
    </w:p>
    <w:p w14:paraId="1ED9E56B" w14:textId="2842FBF6" w:rsidR="00F64776" w:rsidRDefault="00F64776" w:rsidP="00F64776">
      <w:pPr>
        <w:pStyle w:val="TextoNormalNegritaCentrado"/>
      </w:pPr>
    </w:p>
    <w:p w14:paraId="691CD4B6" w14:textId="77777777" w:rsidR="00F64776" w:rsidRDefault="00F64776" w:rsidP="00F64776">
      <w:pPr>
        <w:pStyle w:val="TextoNormalNegritaCentrado"/>
        <w:keepNext/>
      </w:pPr>
      <w:r>
        <w:t>I. Antecedentes</w:t>
      </w:r>
    </w:p>
    <w:p w14:paraId="5B020327" w14:textId="773FE40E" w:rsidR="00F64776" w:rsidRDefault="00F64776" w:rsidP="00F64776">
      <w:pPr>
        <w:pStyle w:val="TextoNormalNegritaCentrado"/>
        <w:keepNext/>
      </w:pPr>
    </w:p>
    <w:p w14:paraId="57E32D48" w14:textId="45B464B7" w:rsidR="00F64776" w:rsidRDefault="00F64776" w:rsidP="00F64776">
      <w:pPr>
        <w:pStyle w:val="TextoNormal"/>
      </w:pPr>
      <w:r w:rsidRPr="00F64776">
        <w:rPr>
          <w:rStyle w:val="NumeroAFNegritaCaracter"/>
        </w:rPr>
        <w:t>1</w:t>
      </w:r>
      <w:r>
        <w:t>. Mediante escrito registrado en este tribunal el 18 de mayo de 2022 el procurador de los tribunales don José Antonio del Campo Barcón, en nombre y representación de don Ramiro Andrés Camacho Pardo y otros y bajo la dirección del letrado don Jesús José Suárez Balmaseda, interpuso demanda de amparo contra Providencia de 11 de mayo de 2022, dictada por la Sección Primera de la Sala de lo Contencioso-Administrativo del Tribunal Supremo en recurso de casación núm. 579-2022.</w:t>
      </w:r>
    </w:p>
    <w:p w14:paraId="7A35AF32" w14:textId="77777777" w:rsidR="00F64776" w:rsidRDefault="00F64776" w:rsidP="00F64776">
      <w:pPr>
        <w:pStyle w:val="TextoNormal"/>
      </w:pPr>
    </w:p>
    <w:p w14:paraId="22BF9EBA" w14:textId="22A57CCA" w:rsidR="00F64776" w:rsidRDefault="00F64776" w:rsidP="00F64776">
      <w:pPr>
        <w:pStyle w:val="TextoNormal"/>
      </w:pPr>
      <w:r w:rsidRPr="00F64776">
        <w:rPr>
          <w:rStyle w:val="NumeroAFNegritaCaracter"/>
        </w:rPr>
        <w:t>2</w:t>
      </w:r>
      <w:r>
        <w:t>. Por escrito de 3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42055BB6" w14:textId="77777777" w:rsidR="00F64776" w:rsidRDefault="00F64776" w:rsidP="00F64776">
      <w:pPr>
        <w:pStyle w:val="TextoNormal"/>
      </w:pPr>
    </w:p>
    <w:p w14:paraId="6FFF7E29" w14:textId="77777777" w:rsidR="00F64776" w:rsidRDefault="00F64776" w:rsidP="00F64776">
      <w:pPr>
        <w:pStyle w:val="TextoNormalNegritaCentrado"/>
        <w:keepNext/>
      </w:pPr>
      <w:r>
        <w:t>II. Fundamentos jurídicos</w:t>
      </w:r>
    </w:p>
    <w:p w14:paraId="1BDC4906" w14:textId="6CEA34FB" w:rsidR="00F64776" w:rsidRDefault="00F64776" w:rsidP="00F64776">
      <w:pPr>
        <w:pStyle w:val="TextoNormalNegritaCentrado"/>
        <w:keepNext/>
      </w:pPr>
    </w:p>
    <w:p w14:paraId="541E028C" w14:textId="2B7AABA4"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4ECBD289" w14:textId="77777777" w:rsidR="00F64776" w:rsidRDefault="00F64776" w:rsidP="00F64776">
      <w:pPr>
        <w:pStyle w:val="TextoNormal"/>
      </w:pPr>
    </w:p>
    <w:p w14:paraId="0A66821D" w14:textId="77777777" w:rsidR="00F64776" w:rsidRDefault="00F64776" w:rsidP="00F64776">
      <w:pPr>
        <w:pStyle w:val="TextoNormal"/>
      </w:pPr>
      <w:r>
        <w:t>Por lo expuesto, la Sección</w:t>
      </w:r>
    </w:p>
    <w:p w14:paraId="6EC547F9" w14:textId="21671392" w:rsidR="00F64776" w:rsidRDefault="00F64776" w:rsidP="00F64776">
      <w:pPr>
        <w:pStyle w:val="TextoNormal"/>
      </w:pPr>
    </w:p>
    <w:p w14:paraId="1EE665BB" w14:textId="77777777" w:rsidR="00F64776" w:rsidRDefault="00F64776" w:rsidP="00F64776">
      <w:pPr>
        <w:pStyle w:val="TextoNormalCentrado"/>
      </w:pPr>
      <w:r>
        <w:t>ACUERDA</w:t>
      </w:r>
    </w:p>
    <w:p w14:paraId="337B49F0" w14:textId="1BD03DFA" w:rsidR="00F64776" w:rsidRDefault="00F64776" w:rsidP="00F64776">
      <w:pPr>
        <w:pStyle w:val="TextoNormalCentrado"/>
      </w:pPr>
    </w:p>
    <w:p w14:paraId="13F0D885" w14:textId="19AF2D5A" w:rsidR="00F64776" w:rsidRDefault="00F64776" w:rsidP="00F64776">
      <w:pPr>
        <w:pStyle w:val="TextoNormal"/>
      </w:pPr>
      <w:r>
        <w:t>Estimar justificada la abstención formulada por el magistrado señor don César Tolosa Tribiño en el recurso de amparo núm. 3545-2022 y apartarle definitivamente del conocimiento del referido recurso y de todas sus incidencias.</w:t>
      </w:r>
    </w:p>
    <w:p w14:paraId="6999A1B9" w14:textId="77777777" w:rsidR="00F64776" w:rsidRDefault="00F64776" w:rsidP="00F64776">
      <w:pPr>
        <w:pStyle w:val="TextoNormal"/>
      </w:pPr>
    </w:p>
    <w:p w14:paraId="201905DE" w14:textId="77777777" w:rsidR="00F64776" w:rsidRDefault="00F64776" w:rsidP="00F64776">
      <w:pPr>
        <w:pStyle w:val="TextoNormal"/>
      </w:pPr>
      <w:r>
        <w:t>Madrid, a cuatro de septiembre de dos mil veintitrés.</w:t>
      </w:r>
    </w:p>
    <w:p w14:paraId="354C5DE7" w14:textId="4DBB2748" w:rsidR="00F64776" w:rsidRDefault="00F64776">
      <w:pPr>
        <w:spacing w:after="160" w:line="278" w:lineRule="auto"/>
        <w:rPr>
          <w:rFonts w:ascii="Times New Roman" w:eastAsia="Times New Roman" w:hAnsi="Times New Roman" w:cs="Times New Roman"/>
          <w:sz w:val="24"/>
          <w:szCs w:val="24"/>
          <w:lang w:eastAsia="es-ES"/>
        </w:rPr>
      </w:pPr>
      <w:r>
        <w:br w:type="page"/>
      </w:r>
    </w:p>
    <w:p w14:paraId="3BF88A73" w14:textId="77777777" w:rsidR="00F64776" w:rsidRDefault="00F64776" w:rsidP="00F64776">
      <w:pPr>
        <w:pStyle w:val="TtuloResolucin"/>
      </w:pPr>
      <w:bookmarkStart w:id="166" w:name="AUTO_2023_381"/>
      <w:r>
        <w:t>AUTO 381/2023, de 4 de septiembre de 2023</w:t>
      </w:r>
    </w:p>
    <w:bookmarkEnd w:id="166"/>
    <w:p w14:paraId="4576B18A" w14:textId="77777777" w:rsidR="00F64776" w:rsidRDefault="00F64776" w:rsidP="00F64776">
      <w:pPr>
        <w:pStyle w:val="TtuloResolucin"/>
      </w:pPr>
      <w:r>
        <w:t>Sección Tercera</w:t>
      </w:r>
    </w:p>
    <w:p w14:paraId="70902CC1" w14:textId="77777777" w:rsidR="00F64776" w:rsidRDefault="00F64776" w:rsidP="00F64776">
      <w:pPr>
        <w:pStyle w:val="TextoNormalCentrado"/>
      </w:pPr>
      <w:r>
        <w:t>ECLI:ES:TC:2023:381A</w:t>
      </w:r>
    </w:p>
    <w:p w14:paraId="2B30FBA8" w14:textId="11331A99" w:rsidR="00F64776" w:rsidRDefault="00F64776" w:rsidP="00F64776">
      <w:pPr>
        <w:pStyle w:val="TextoNormalCentrado"/>
      </w:pPr>
    </w:p>
    <w:p w14:paraId="039D40EF" w14:textId="77777777" w:rsidR="00F64776" w:rsidRDefault="00F64776" w:rsidP="00F64776">
      <w:pPr>
        <w:pStyle w:val="SntesisDescriptiva"/>
      </w:pPr>
      <w:r>
        <w:t>Excms. Srs. doña Inmaculada Montalbán Huertas y doña Laura Díez Bueso.</w:t>
      </w:r>
    </w:p>
    <w:p w14:paraId="1EC5E067" w14:textId="283E9314" w:rsidR="00F64776" w:rsidRDefault="00F64776" w:rsidP="00F64776">
      <w:pPr>
        <w:pStyle w:val="SntesisDescriptiva"/>
      </w:pPr>
    </w:p>
    <w:p w14:paraId="662F880B" w14:textId="77777777" w:rsidR="00F64776" w:rsidRDefault="00F64776" w:rsidP="00F64776">
      <w:pPr>
        <w:pStyle w:val="SntesisDescriptiva"/>
      </w:pPr>
      <w:r>
        <w:t>Acepta una abstención en el recurso de amparo 3787-2022, promovido en proceso contencioso-administrativo.</w:t>
      </w:r>
    </w:p>
    <w:p w14:paraId="3A49C2CD" w14:textId="3AC301F9" w:rsidR="00F64776" w:rsidRDefault="00F64776" w:rsidP="00F64776">
      <w:pPr>
        <w:pStyle w:val="SntesisDescriptiva"/>
      </w:pPr>
    </w:p>
    <w:p w14:paraId="647D0673" w14:textId="77777777" w:rsidR="00F64776" w:rsidRDefault="00F64776" w:rsidP="00F64776">
      <w:pPr>
        <w:pStyle w:val="SntesisDescriptiva"/>
      </w:pPr>
    </w:p>
    <w:p w14:paraId="1E59C170" w14:textId="77777777" w:rsidR="00F64776" w:rsidRDefault="00F64776" w:rsidP="00F64776">
      <w:pPr>
        <w:pStyle w:val="SntesisDescriptiva"/>
      </w:pPr>
    </w:p>
    <w:p w14:paraId="06432151" w14:textId="77777777" w:rsidR="00F64776" w:rsidRDefault="00F64776" w:rsidP="00F64776">
      <w:pPr>
        <w:pStyle w:val="TextoNormalNegritaCentrado"/>
      </w:pPr>
      <w:r>
        <w:t>AUTO</w:t>
      </w:r>
    </w:p>
    <w:p w14:paraId="7D26D524" w14:textId="55CBCB4D" w:rsidR="00F64776" w:rsidRDefault="00F64776" w:rsidP="00F64776">
      <w:pPr>
        <w:pStyle w:val="TextoNormalNegritaCentrado"/>
      </w:pPr>
    </w:p>
    <w:p w14:paraId="0D1B6B9F" w14:textId="77777777" w:rsidR="00F64776" w:rsidRDefault="00F64776" w:rsidP="00F64776">
      <w:pPr>
        <w:pStyle w:val="TextoNormalNegritaCentrado"/>
        <w:keepNext/>
      </w:pPr>
      <w:r>
        <w:t>I. Antecedentes</w:t>
      </w:r>
    </w:p>
    <w:p w14:paraId="7D949721" w14:textId="4876B570" w:rsidR="00F64776" w:rsidRDefault="00F64776" w:rsidP="00F64776">
      <w:pPr>
        <w:pStyle w:val="TextoNormalNegritaCentrado"/>
        <w:keepNext/>
      </w:pPr>
    </w:p>
    <w:p w14:paraId="00F99CA4" w14:textId="6D8DD150" w:rsidR="00F64776" w:rsidRDefault="00F64776" w:rsidP="00F64776">
      <w:pPr>
        <w:pStyle w:val="TextoNormal"/>
      </w:pPr>
      <w:r w:rsidRPr="00F64776">
        <w:rPr>
          <w:rStyle w:val="NumeroAFNegritaCaracter"/>
        </w:rPr>
        <w:t>1</w:t>
      </w:r>
      <w:r>
        <w:t>. Mediante escrito registrado en este tribunal el 26 de mayo de 2022 la procuradora de los tribunales doña Mónica Izquierdo Pedrero, en nombre y representación de don David Enrique Morales Leiva y otros y bajo la dirección de la letrada doña Ana Fernández Martín, interpuso demanda de amparo contra la providencia de 20 de abril de 2022 de la Sección Primera de la Sala de lo Contencioso-Administrativo del Tribunal Supremo en recurso de casación núm. 990-2022.</w:t>
      </w:r>
    </w:p>
    <w:p w14:paraId="4C7D9E95" w14:textId="77777777" w:rsidR="00F64776" w:rsidRDefault="00F64776" w:rsidP="00F64776">
      <w:pPr>
        <w:pStyle w:val="TextoNormal"/>
      </w:pPr>
    </w:p>
    <w:p w14:paraId="5D30AB4D" w14:textId="40A23210" w:rsidR="00F64776" w:rsidRDefault="00F64776" w:rsidP="00F64776">
      <w:pPr>
        <w:pStyle w:val="TextoNormal"/>
      </w:pPr>
      <w:r w:rsidRPr="00F64776">
        <w:rPr>
          <w:rStyle w:val="NumeroAFNegritaCaracter"/>
        </w:rPr>
        <w:t>2</w:t>
      </w:r>
      <w:r>
        <w:t>. Por escrito de 8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7D86D1C5" w14:textId="77777777" w:rsidR="00F64776" w:rsidRDefault="00F64776" w:rsidP="00F64776">
      <w:pPr>
        <w:pStyle w:val="TextoNormal"/>
      </w:pPr>
    </w:p>
    <w:p w14:paraId="195A8749" w14:textId="77777777" w:rsidR="00F64776" w:rsidRDefault="00F64776" w:rsidP="00F64776">
      <w:pPr>
        <w:pStyle w:val="TextoNormalNegritaCentrado"/>
        <w:keepNext/>
      </w:pPr>
      <w:r>
        <w:t>II. Fundamentos jurídicos</w:t>
      </w:r>
    </w:p>
    <w:p w14:paraId="4F4843E6" w14:textId="2261B49C" w:rsidR="00F64776" w:rsidRDefault="00F64776" w:rsidP="00F64776">
      <w:pPr>
        <w:pStyle w:val="TextoNormalNegritaCentrado"/>
        <w:keepNext/>
      </w:pPr>
    </w:p>
    <w:p w14:paraId="1C31A069" w14:textId="55F4F6CF"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5E61B66C" w14:textId="77777777" w:rsidR="00F64776" w:rsidRDefault="00F64776" w:rsidP="00F64776">
      <w:pPr>
        <w:pStyle w:val="TextoNormal"/>
      </w:pPr>
    </w:p>
    <w:p w14:paraId="1658A675" w14:textId="77777777" w:rsidR="00F64776" w:rsidRDefault="00F64776" w:rsidP="00F64776">
      <w:pPr>
        <w:pStyle w:val="TextoNormal"/>
      </w:pPr>
      <w:r>
        <w:t>Por lo expuesto, la Sección</w:t>
      </w:r>
    </w:p>
    <w:p w14:paraId="506EA2E1" w14:textId="3F6B66EF" w:rsidR="00F64776" w:rsidRDefault="00F64776" w:rsidP="00F64776">
      <w:pPr>
        <w:pStyle w:val="TextoNormal"/>
      </w:pPr>
    </w:p>
    <w:p w14:paraId="0426CB51" w14:textId="77777777" w:rsidR="00F64776" w:rsidRDefault="00F64776" w:rsidP="00F64776">
      <w:pPr>
        <w:pStyle w:val="TextoNormalCentrado"/>
      </w:pPr>
      <w:r>
        <w:t>ACUERDA</w:t>
      </w:r>
    </w:p>
    <w:p w14:paraId="20A308D3" w14:textId="29964020" w:rsidR="00F64776" w:rsidRDefault="00F64776" w:rsidP="00F64776">
      <w:pPr>
        <w:pStyle w:val="TextoNormalCentrado"/>
      </w:pPr>
    </w:p>
    <w:p w14:paraId="3382EA13" w14:textId="405A9D52" w:rsidR="00F64776" w:rsidRDefault="00F64776" w:rsidP="00F64776">
      <w:pPr>
        <w:pStyle w:val="TextoNormal"/>
      </w:pPr>
      <w:r>
        <w:t>Estimar justificada la abstención formulada por el magistrado señor don César Tolosa Tribiño en el recurso de amparo núm. 3787-2022 y apartarle definitivamente del conocimiento del referido recurso y de todas sus incidencias.</w:t>
      </w:r>
    </w:p>
    <w:p w14:paraId="40658897" w14:textId="77777777" w:rsidR="00F64776" w:rsidRDefault="00F64776" w:rsidP="00F64776">
      <w:pPr>
        <w:pStyle w:val="TextoNormal"/>
      </w:pPr>
    </w:p>
    <w:p w14:paraId="156E3AB4" w14:textId="77777777" w:rsidR="00F64776" w:rsidRDefault="00F64776" w:rsidP="00F64776">
      <w:pPr>
        <w:pStyle w:val="TextoNormal"/>
      </w:pPr>
      <w:r>
        <w:t>Madrid, a cuatro de septiembre de dos mil veintitrés.</w:t>
      </w:r>
    </w:p>
    <w:p w14:paraId="55E7A30B" w14:textId="3266CCDD" w:rsidR="00F64776" w:rsidRDefault="00F64776">
      <w:pPr>
        <w:spacing w:after="160" w:line="278" w:lineRule="auto"/>
        <w:rPr>
          <w:rFonts w:ascii="Times New Roman" w:eastAsia="Times New Roman" w:hAnsi="Times New Roman" w:cs="Times New Roman"/>
          <w:sz w:val="24"/>
          <w:szCs w:val="24"/>
          <w:lang w:eastAsia="es-ES"/>
        </w:rPr>
      </w:pPr>
      <w:r>
        <w:br w:type="page"/>
      </w:r>
    </w:p>
    <w:p w14:paraId="150C1965" w14:textId="77777777" w:rsidR="00F64776" w:rsidRDefault="00F64776" w:rsidP="00F64776">
      <w:pPr>
        <w:pStyle w:val="TtuloResolucin"/>
      </w:pPr>
      <w:bookmarkStart w:id="167" w:name="AUTO_2023_382"/>
      <w:r>
        <w:t>AUTO 382/2023, de 4 de septiembre de 2023</w:t>
      </w:r>
    </w:p>
    <w:bookmarkEnd w:id="167"/>
    <w:p w14:paraId="1A626EC3" w14:textId="77777777" w:rsidR="00F64776" w:rsidRDefault="00F64776" w:rsidP="00F64776">
      <w:pPr>
        <w:pStyle w:val="TtuloResolucin"/>
      </w:pPr>
      <w:r>
        <w:t>Sección Tercera</w:t>
      </w:r>
    </w:p>
    <w:p w14:paraId="1DD7FF68" w14:textId="77777777" w:rsidR="00F64776" w:rsidRDefault="00F64776" w:rsidP="00F64776">
      <w:pPr>
        <w:pStyle w:val="TextoNormalCentrado"/>
      </w:pPr>
      <w:r>
        <w:t>ECLI:ES:TC:2023:382A</w:t>
      </w:r>
    </w:p>
    <w:p w14:paraId="27C004C1" w14:textId="0C8322BA" w:rsidR="00F64776" w:rsidRDefault="00F64776" w:rsidP="00F64776">
      <w:pPr>
        <w:pStyle w:val="TextoNormalCentrado"/>
      </w:pPr>
    </w:p>
    <w:p w14:paraId="470BD0D8" w14:textId="77777777" w:rsidR="00F64776" w:rsidRDefault="00F64776" w:rsidP="00F64776">
      <w:pPr>
        <w:pStyle w:val="SntesisDescriptiva"/>
      </w:pPr>
      <w:r>
        <w:t>Excms. Srs. doña Inmaculada Montalbán Huertas y doña Laura Díez Bueso.</w:t>
      </w:r>
    </w:p>
    <w:p w14:paraId="7D6ADDE6" w14:textId="07CFB97E" w:rsidR="00F64776" w:rsidRDefault="00F64776" w:rsidP="00F64776">
      <w:pPr>
        <w:pStyle w:val="SntesisDescriptiva"/>
      </w:pPr>
    </w:p>
    <w:p w14:paraId="12AFD617" w14:textId="77777777" w:rsidR="00F64776" w:rsidRDefault="00F64776" w:rsidP="00F64776">
      <w:pPr>
        <w:pStyle w:val="SntesisDescriptiva"/>
      </w:pPr>
      <w:r>
        <w:t>Acepta una abstención en el recurso de amparo 3884-2022, promovido en proceso contencioso-administrativo.</w:t>
      </w:r>
    </w:p>
    <w:p w14:paraId="0E9E356C" w14:textId="66743205" w:rsidR="00F64776" w:rsidRDefault="00F64776" w:rsidP="00F64776">
      <w:pPr>
        <w:pStyle w:val="SntesisDescriptiva"/>
      </w:pPr>
    </w:p>
    <w:p w14:paraId="7F49F4E1" w14:textId="77777777" w:rsidR="00F64776" w:rsidRDefault="00F64776" w:rsidP="00F64776">
      <w:pPr>
        <w:pStyle w:val="SntesisDescriptiva"/>
      </w:pPr>
    </w:p>
    <w:p w14:paraId="011D7794" w14:textId="77777777" w:rsidR="00F64776" w:rsidRDefault="00F64776" w:rsidP="00F64776">
      <w:pPr>
        <w:pStyle w:val="SntesisDescriptiva"/>
      </w:pPr>
    </w:p>
    <w:p w14:paraId="0B4AE65C" w14:textId="77777777" w:rsidR="00F64776" w:rsidRDefault="00F64776" w:rsidP="00F64776">
      <w:pPr>
        <w:pStyle w:val="TextoNormalNegritaCentrado"/>
      </w:pPr>
      <w:r>
        <w:t>AUTO</w:t>
      </w:r>
    </w:p>
    <w:p w14:paraId="131649D7" w14:textId="591B66FD" w:rsidR="00F64776" w:rsidRDefault="00F64776" w:rsidP="00F64776">
      <w:pPr>
        <w:pStyle w:val="TextoNormalNegritaCentrado"/>
      </w:pPr>
    </w:p>
    <w:p w14:paraId="409DAE37" w14:textId="77777777" w:rsidR="00F64776" w:rsidRDefault="00F64776" w:rsidP="00F64776">
      <w:pPr>
        <w:pStyle w:val="TextoNormalNegritaCentrado"/>
        <w:keepNext/>
      </w:pPr>
      <w:r>
        <w:t>I. Antecedentes</w:t>
      </w:r>
    </w:p>
    <w:p w14:paraId="299526EC" w14:textId="5A03032D" w:rsidR="00F64776" w:rsidRDefault="00F64776" w:rsidP="00F64776">
      <w:pPr>
        <w:pStyle w:val="TextoNormalNegritaCentrado"/>
        <w:keepNext/>
      </w:pPr>
    </w:p>
    <w:p w14:paraId="7A61B516" w14:textId="48267437" w:rsidR="00F64776" w:rsidRDefault="00F64776" w:rsidP="00F64776">
      <w:pPr>
        <w:pStyle w:val="TextoNormal"/>
      </w:pPr>
      <w:r w:rsidRPr="00F64776">
        <w:rPr>
          <w:rStyle w:val="NumeroAFNegritaCaracter"/>
        </w:rPr>
        <w:t>1</w:t>
      </w:r>
      <w:r>
        <w:t>. Mediante escrito registrado en este tribunal el 1 de junio de 2022 la procuradora de los tribunales doña María José Carnero López, en nombre y representación de doña Rocío Galindo Escobar y bajo la dirección de la letrada doña María Dolores Pena Rey, interpuso demanda de amparo contra el auto de fecha 18 de mayo de 2022 dictado por la Sala de lo Contencioso-Administrativo del Tribunal Supremo en recurso de queja contra auto de la Sección Cuarta de la Sala de lo Contencioso-Administrativo de la Audiencia Nacional.</w:t>
      </w:r>
    </w:p>
    <w:p w14:paraId="27544D23" w14:textId="77777777" w:rsidR="00F64776" w:rsidRDefault="00F64776" w:rsidP="00F64776">
      <w:pPr>
        <w:pStyle w:val="TextoNormal"/>
      </w:pPr>
    </w:p>
    <w:p w14:paraId="2FD89712" w14:textId="5FCDC903" w:rsidR="00F64776" w:rsidRDefault="00F64776" w:rsidP="00F64776">
      <w:pPr>
        <w:pStyle w:val="TextoNormal"/>
      </w:pPr>
      <w:r w:rsidRPr="00F64776">
        <w:rPr>
          <w:rStyle w:val="NumeroAFNegritaCaracter"/>
        </w:rPr>
        <w:t>2</w:t>
      </w:r>
      <w:r>
        <w:t>. Por escrito de 8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088683A2" w14:textId="77777777" w:rsidR="00F64776" w:rsidRDefault="00F64776" w:rsidP="00F64776">
      <w:pPr>
        <w:pStyle w:val="TextoNormal"/>
      </w:pPr>
    </w:p>
    <w:p w14:paraId="642F6135" w14:textId="77777777" w:rsidR="00F64776" w:rsidRDefault="00F64776" w:rsidP="00F64776">
      <w:pPr>
        <w:pStyle w:val="TextoNormalNegritaCentrado"/>
        <w:keepNext/>
      </w:pPr>
      <w:r>
        <w:t>II. Fundamentos jurídicos</w:t>
      </w:r>
    </w:p>
    <w:p w14:paraId="3106A00D" w14:textId="6636ED02" w:rsidR="00F64776" w:rsidRDefault="00F64776" w:rsidP="00F64776">
      <w:pPr>
        <w:pStyle w:val="TextoNormalNegritaCentrado"/>
        <w:keepNext/>
      </w:pPr>
    </w:p>
    <w:p w14:paraId="603447C1" w14:textId="49D012C2"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30BC21D8" w14:textId="77777777" w:rsidR="00F64776" w:rsidRDefault="00F64776" w:rsidP="00F64776">
      <w:pPr>
        <w:pStyle w:val="TextoNormal"/>
      </w:pPr>
    </w:p>
    <w:p w14:paraId="5D2D2EBB" w14:textId="77777777" w:rsidR="00F64776" w:rsidRDefault="00F64776" w:rsidP="00F64776">
      <w:pPr>
        <w:pStyle w:val="TextoNormal"/>
      </w:pPr>
      <w:r>
        <w:t>Por lo expuesto, la Sección</w:t>
      </w:r>
    </w:p>
    <w:p w14:paraId="73821C10" w14:textId="617B95C2" w:rsidR="00F64776" w:rsidRDefault="00F64776" w:rsidP="00F64776">
      <w:pPr>
        <w:pStyle w:val="TextoNormal"/>
      </w:pPr>
    </w:p>
    <w:p w14:paraId="4546EA0B" w14:textId="77777777" w:rsidR="00F64776" w:rsidRDefault="00F64776" w:rsidP="00F64776">
      <w:pPr>
        <w:pStyle w:val="TextoNormalCentrado"/>
      </w:pPr>
      <w:r>
        <w:t>ACUERDA</w:t>
      </w:r>
    </w:p>
    <w:p w14:paraId="494EFB66" w14:textId="760F5543" w:rsidR="00F64776" w:rsidRDefault="00F64776" w:rsidP="00F64776">
      <w:pPr>
        <w:pStyle w:val="TextoNormalCentrado"/>
      </w:pPr>
    </w:p>
    <w:p w14:paraId="759B0513" w14:textId="571E95DF" w:rsidR="00F64776" w:rsidRDefault="00F64776" w:rsidP="00F64776">
      <w:pPr>
        <w:pStyle w:val="TextoNormal"/>
      </w:pPr>
      <w:r>
        <w:t>Estimar justificada la abstención formulada por el magistrado señor don César Tolosa Tribiño en el recurso de amparo núm. 3884-2022 y apartarle definitivamente del conocimiento del referido recurso y de todas sus incidencias.</w:t>
      </w:r>
    </w:p>
    <w:p w14:paraId="03623C78" w14:textId="77777777" w:rsidR="00F64776" w:rsidRDefault="00F64776" w:rsidP="00F64776">
      <w:pPr>
        <w:pStyle w:val="TextoNormal"/>
      </w:pPr>
    </w:p>
    <w:p w14:paraId="74922E28" w14:textId="77777777" w:rsidR="00F64776" w:rsidRDefault="00F64776" w:rsidP="00F64776">
      <w:pPr>
        <w:pStyle w:val="TextoNormal"/>
      </w:pPr>
      <w:r>
        <w:t>Madrid, a cuatro de septiembre de dos mil veintitrés.</w:t>
      </w:r>
    </w:p>
    <w:p w14:paraId="079940CF" w14:textId="1D57F980" w:rsidR="00F64776" w:rsidRDefault="00F64776">
      <w:pPr>
        <w:spacing w:after="160" w:line="278" w:lineRule="auto"/>
        <w:rPr>
          <w:rFonts w:ascii="Times New Roman" w:eastAsia="Times New Roman" w:hAnsi="Times New Roman" w:cs="Times New Roman"/>
          <w:sz w:val="24"/>
          <w:szCs w:val="24"/>
          <w:lang w:eastAsia="es-ES"/>
        </w:rPr>
      </w:pPr>
      <w:r>
        <w:br w:type="page"/>
      </w:r>
    </w:p>
    <w:p w14:paraId="5A0AB135" w14:textId="77777777" w:rsidR="00F64776" w:rsidRDefault="00F64776" w:rsidP="00F64776">
      <w:pPr>
        <w:pStyle w:val="TtuloResolucin"/>
      </w:pPr>
      <w:bookmarkStart w:id="168" w:name="AUTO_2023_383"/>
      <w:r>
        <w:t>AUTO 383/2023, de 4 de septiembre de 2023</w:t>
      </w:r>
    </w:p>
    <w:bookmarkEnd w:id="168"/>
    <w:p w14:paraId="305DB4F5" w14:textId="77777777" w:rsidR="00F64776" w:rsidRDefault="00F64776" w:rsidP="00F64776">
      <w:pPr>
        <w:pStyle w:val="TtuloResolucin"/>
      </w:pPr>
      <w:r>
        <w:t>Sección Tercera</w:t>
      </w:r>
    </w:p>
    <w:p w14:paraId="63FAB6C4" w14:textId="77777777" w:rsidR="00F64776" w:rsidRDefault="00F64776" w:rsidP="00F64776">
      <w:pPr>
        <w:pStyle w:val="TextoNormalCentrado"/>
      </w:pPr>
      <w:r>
        <w:t>ECLI:ES:TC:2023:383A</w:t>
      </w:r>
    </w:p>
    <w:p w14:paraId="46C08549" w14:textId="62C61404" w:rsidR="00F64776" w:rsidRDefault="00F64776" w:rsidP="00F64776">
      <w:pPr>
        <w:pStyle w:val="TextoNormalCentrado"/>
      </w:pPr>
    </w:p>
    <w:p w14:paraId="44A19D7D" w14:textId="77777777" w:rsidR="00F64776" w:rsidRDefault="00F64776" w:rsidP="00F64776">
      <w:pPr>
        <w:pStyle w:val="SntesisDescriptiva"/>
      </w:pPr>
      <w:r>
        <w:t>Excms. Srs. doña Inmaculada Montalbán Huertas y doña Laura Díez Bueso.</w:t>
      </w:r>
    </w:p>
    <w:p w14:paraId="083D3C59" w14:textId="3040E518" w:rsidR="00F64776" w:rsidRDefault="00F64776" w:rsidP="00F64776">
      <w:pPr>
        <w:pStyle w:val="SntesisDescriptiva"/>
      </w:pPr>
    </w:p>
    <w:p w14:paraId="1E83AE77" w14:textId="77777777" w:rsidR="00F64776" w:rsidRDefault="00F64776" w:rsidP="00F64776">
      <w:pPr>
        <w:pStyle w:val="SntesisDescriptiva"/>
      </w:pPr>
      <w:r>
        <w:t>Acepta una abstención en el recurso de amparo 3910-2022, promovido en proceso contencioso-administrativo.</w:t>
      </w:r>
    </w:p>
    <w:p w14:paraId="39953AA2" w14:textId="2CF718EB" w:rsidR="00F64776" w:rsidRDefault="00F64776" w:rsidP="00F64776">
      <w:pPr>
        <w:pStyle w:val="SntesisDescriptiva"/>
      </w:pPr>
    </w:p>
    <w:p w14:paraId="7BF2BB4D" w14:textId="77777777" w:rsidR="00F64776" w:rsidRDefault="00F64776" w:rsidP="00F64776">
      <w:pPr>
        <w:pStyle w:val="SntesisDescriptiva"/>
      </w:pPr>
    </w:p>
    <w:p w14:paraId="2353F721" w14:textId="77777777" w:rsidR="00F64776" w:rsidRDefault="00F64776" w:rsidP="00F64776">
      <w:pPr>
        <w:pStyle w:val="SntesisDescriptiva"/>
      </w:pPr>
    </w:p>
    <w:p w14:paraId="5B38B4F2" w14:textId="77777777" w:rsidR="00F64776" w:rsidRDefault="00F64776" w:rsidP="00F64776">
      <w:pPr>
        <w:pStyle w:val="TextoNormalNegritaCentrado"/>
      </w:pPr>
      <w:r>
        <w:t>AUTO</w:t>
      </w:r>
    </w:p>
    <w:p w14:paraId="5B8C40EE" w14:textId="2EA3C13B" w:rsidR="00F64776" w:rsidRDefault="00F64776" w:rsidP="00F64776">
      <w:pPr>
        <w:pStyle w:val="TextoNormalNegritaCentrado"/>
      </w:pPr>
    </w:p>
    <w:p w14:paraId="2CF338BF" w14:textId="77777777" w:rsidR="00F64776" w:rsidRDefault="00F64776" w:rsidP="00F64776">
      <w:pPr>
        <w:pStyle w:val="TextoNormalNegritaCentrado"/>
        <w:keepNext/>
      </w:pPr>
      <w:r>
        <w:t>I. Antecedentes</w:t>
      </w:r>
    </w:p>
    <w:p w14:paraId="30168521" w14:textId="6AFDFD81" w:rsidR="00F64776" w:rsidRDefault="00F64776" w:rsidP="00F64776">
      <w:pPr>
        <w:pStyle w:val="TextoNormalNegritaCentrado"/>
        <w:keepNext/>
      </w:pPr>
    </w:p>
    <w:p w14:paraId="3CE71661" w14:textId="5A159CF0" w:rsidR="00F64776" w:rsidRDefault="00F64776" w:rsidP="00F64776">
      <w:pPr>
        <w:pStyle w:val="TextoNormal"/>
      </w:pPr>
      <w:r w:rsidRPr="00F64776">
        <w:rPr>
          <w:rStyle w:val="NumeroAFNegritaCaracter"/>
        </w:rPr>
        <w:t>1</w:t>
      </w:r>
      <w:r>
        <w:t>. Mediante escrito registrado en este tribunal el 1 de junio de 2022 la procuradora de los tribunales doña María Begoña López Cerezo, en nombre y representación de don Linekert Yitzhak Díaz Valenzuela y bajo la dirección del letrado don Javier Veiga Mora, interpuso demanda de amparo contra la providencia de 25 de mayo de 2022 de la Sección Primera de la Sala de lo Contencioso-Administrativo del Tribunal Supremo en recurso de casación núm. 1247-2022.</w:t>
      </w:r>
    </w:p>
    <w:p w14:paraId="50886978" w14:textId="77777777" w:rsidR="00F64776" w:rsidRDefault="00F64776" w:rsidP="00F64776">
      <w:pPr>
        <w:pStyle w:val="TextoNormal"/>
      </w:pPr>
    </w:p>
    <w:p w14:paraId="522C335F" w14:textId="2F8CF4F8" w:rsidR="00F64776" w:rsidRDefault="00F64776" w:rsidP="00F64776">
      <w:pPr>
        <w:pStyle w:val="TextoNormal"/>
      </w:pPr>
      <w:r w:rsidRPr="00F64776">
        <w:rPr>
          <w:rStyle w:val="NumeroAFNegritaCaracter"/>
        </w:rPr>
        <w:t>2</w:t>
      </w:r>
      <w:r>
        <w:t>. Por escrito de 8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573EF44B" w14:textId="77777777" w:rsidR="00F64776" w:rsidRDefault="00F64776" w:rsidP="00F64776">
      <w:pPr>
        <w:pStyle w:val="TextoNormal"/>
      </w:pPr>
    </w:p>
    <w:p w14:paraId="382C8956" w14:textId="77777777" w:rsidR="00F64776" w:rsidRDefault="00F64776" w:rsidP="00F64776">
      <w:pPr>
        <w:pStyle w:val="TextoNormalNegritaCentrado"/>
        <w:keepNext/>
      </w:pPr>
      <w:r>
        <w:t>II. Fundamentos jurídicos</w:t>
      </w:r>
    </w:p>
    <w:p w14:paraId="0E083E71" w14:textId="6D502F1E" w:rsidR="00F64776" w:rsidRDefault="00F64776" w:rsidP="00F64776">
      <w:pPr>
        <w:pStyle w:val="TextoNormalNegritaCentrado"/>
        <w:keepNext/>
      </w:pPr>
    </w:p>
    <w:p w14:paraId="2AD63E3C" w14:textId="3CFB8A6B"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48B0A184" w14:textId="77777777" w:rsidR="00F64776" w:rsidRDefault="00F64776" w:rsidP="00F64776">
      <w:pPr>
        <w:pStyle w:val="TextoNormal"/>
      </w:pPr>
    </w:p>
    <w:p w14:paraId="7EE01136" w14:textId="77777777" w:rsidR="00F64776" w:rsidRDefault="00F64776" w:rsidP="00F64776">
      <w:pPr>
        <w:pStyle w:val="TextoNormal"/>
      </w:pPr>
      <w:r>
        <w:t>Por lo expuesto, la Sección</w:t>
      </w:r>
    </w:p>
    <w:p w14:paraId="66AAE117" w14:textId="448A0B4B" w:rsidR="00F64776" w:rsidRDefault="00F64776" w:rsidP="00F64776">
      <w:pPr>
        <w:pStyle w:val="TextoNormal"/>
      </w:pPr>
    </w:p>
    <w:p w14:paraId="6CBD6E00" w14:textId="77777777" w:rsidR="00F64776" w:rsidRDefault="00F64776" w:rsidP="00F64776">
      <w:pPr>
        <w:pStyle w:val="TextoNormalCentrado"/>
      </w:pPr>
      <w:r>
        <w:t>ACUERDA</w:t>
      </w:r>
    </w:p>
    <w:p w14:paraId="7B5BCB6F" w14:textId="0B984C8D" w:rsidR="00F64776" w:rsidRDefault="00F64776" w:rsidP="00F64776">
      <w:pPr>
        <w:pStyle w:val="TextoNormalCentrado"/>
      </w:pPr>
    </w:p>
    <w:p w14:paraId="4523E055" w14:textId="0C61F67F" w:rsidR="00F64776" w:rsidRDefault="00F64776" w:rsidP="00F64776">
      <w:pPr>
        <w:pStyle w:val="TextoNormal"/>
      </w:pPr>
      <w:r>
        <w:t>Estimar justificada la abstención formulada por el magistrado señor don César Tolosa Tribiño en el recurso de amparo núm. 3910-2022 y apartarle definitivamente del conocimiento del referido recurso y de todas sus incidencias.</w:t>
      </w:r>
    </w:p>
    <w:p w14:paraId="4259DDAC" w14:textId="77777777" w:rsidR="00F64776" w:rsidRDefault="00F64776" w:rsidP="00F64776">
      <w:pPr>
        <w:pStyle w:val="TextoNormal"/>
      </w:pPr>
    </w:p>
    <w:p w14:paraId="56335FC0" w14:textId="77777777" w:rsidR="00F64776" w:rsidRDefault="00F64776" w:rsidP="00F64776">
      <w:pPr>
        <w:pStyle w:val="TextoNormal"/>
      </w:pPr>
      <w:r>
        <w:t>Madrid, a cuatro de septiembre de dos mil veintitrés.</w:t>
      </w:r>
    </w:p>
    <w:p w14:paraId="24B37CC0" w14:textId="14C5A719" w:rsidR="00F64776" w:rsidRDefault="00F64776">
      <w:pPr>
        <w:spacing w:after="160" w:line="278" w:lineRule="auto"/>
        <w:rPr>
          <w:rFonts w:ascii="Times New Roman" w:eastAsia="Times New Roman" w:hAnsi="Times New Roman" w:cs="Times New Roman"/>
          <w:sz w:val="24"/>
          <w:szCs w:val="24"/>
          <w:lang w:eastAsia="es-ES"/>
        </w:rPr>
      </w:pPr>
      <w:r>
        <w:br w:type="page"/>
      </w:r>
    </w:p>
    <w:p w14:paraId="67A9C175" w14:textId="77777777" w:rsidR="00F64776" w:rsidRDefault="00F64776" w:rsidP="00F64776">
      <w:pPr>
        <w:pStyle w:val="TtuloResolucin"/>
      </w:pPr>
      <w:bookmarkStart w:id="169" w:name="AUTO_2023_384"/>
      <w:r>
        <w:t>AUTO 384/2023, de 4 de septiembre de 2023</w:t>
      </w:r>
    </w:p>
    <w:bookmarkEnd w:id="169"/>
    <w:p w14:paraId="779209A5" w14:textId="77777777" w:rsidR="00F64776" w:rsidRDefault="00F64776" w:rsidP="00F64776">
      <w:pPr>
        <w:pStyle w:val="TtuloResolucin"/>
      </w:pPr>
      <w:r>
        <w:t>Sección Tercera</w:t>
      </w:r>
    </w:p>
    <w:p w14:paraId="5BC1894A" w14:textId="77777777" w:rsidR="00F64776" w:rsidRDefault="00F64776" w:rsidP="00F64776">
      <w:pPr>
        <w:pStyle w:val="TextoNormalCentrado"/>
      </w:pPr>
      <w:r>
        <w:t>ECLI:ES:TC:2023:384A</w:t>
      </w:r>
    </w:p>
    <w:p w14:paraId="7724A90D" w14:textId="54765C58" w:rsidR="00F64776" w:rsidRDefault="00F64776" w:rsidP="00F64776">
      <w:pPr>
        <w:pStyle w:val="TextoNormalCentrado"/>
      </w:pPr>
    </w:p>
    <w:p w14:paraId="7B10C17D" w14:textId="77777777" w:rsidR="00F64776" w:rsidRDefault="00F64776" w:rsidP="00F64776">
      <w:pPr>
        <w:pStyle w:val="SntesisDescriptiva"/>
      </w:pPr>
      <w:r>
        <w:t>Excms. Srs. doña Inmaculada Montalbán Huertas y doña Laura Díez Bueso.</w:t>
      </w:r>
    </w:p>
    <w:p w14:paraId="246681A3" w14:textId="0B87FD65" w:rsidR="00F64776" w:rsidRDefault="00F64776" w:rsidP="00F64776">
      <w:pPr>
        <w:pStyle w:val="SntesisDescriptiva"/>
      </w:pPr>
    </w:p>
    <w:p w14:paraId="4F43BF9A" w14:textId="77777777" w:rsidR="00F64776" w:rsidRDefault="00F64776" w:rsidP="00F64776">
      <w:pPr>
        <w:pStyle w:val="SntesisDescriptiva"/>
      </w:pPr>
      <w:r>
        <w:t>Acepta una abstención en el recurso de amparo 3995-2022, promovido en proceso contencioso-administrativo.</w:t>
      </w:r>
    </w:p>
    <w:p w14:paraId="148B2C23" w14:textId="3A28EE1E" w:rsidR="00F64776" w:rsidRDefault="00F64776" w:rsidP="00F64776">
      <w:pPr>
        <w:pStyle w:val="SntesisDescriptiva"/>
      </w:pPr>
    </w:p>
    <w:p w14:paraId="0E26DA5C" w14:textId="77777777" w:rsidR="00F64776" w:rsidRDefault="00F64776" w:rsidP="00F64776">
      <w:pPr>
        <w:pStyle w:val="SntesisDescriptiva"/>
      </w:pPr>
    </w:p>
    <w:p w14:paraId="52171155" w14:textId="77777777" w:rsidR="00F64776" w:rsidRDefault="00F64776" w:rsidP="00F64776">
      <w:pPr>
        <w:pStyle w:val="SntesisDescriptiva"/>
      </w:pPr>
    </w:p>
    <w:p w14:paraId="7473EF09" w14:textId="77777777" w:rsidR="00F64776" w:rsidRDefault="00F64776" w:rsidP="00F64776">
      <w:pPr>
        <w:pStyle w:val="TextoNormalNegritaCentrado"/>
      </w:pPr>
      <w:r>
        <w:t>AUTO</w:t>
      </w:r>
    </w:p>
    <w:p w14:paraId="4FED3108" w14:textId="597EE715" w:rsidR="00F64776" w:rsidRDefault="00F64776" w:rsidP="00F64776">
      <w:pPr>
        <w:pStyle w:val="TextoNormalNegritaCentrado"/>
      </w:pPr>
    </w:p>
    <w:p w14:paraId="04910EC2" w14:textId="77777777" w:rsidR="00F64776" w:rsidRDefault="00F64776" w:rsidP="00F64776">
      <w:pPr>
        <w:pStyle w:val="TextoNormalNegritaCentrado"/>
        <w:keepNext/>
      </w:pPr>
      <w:r>
        <w:t>I. Antecedentes</w:t>
      </w:r>
    </w:p>
    <w:p w14:paraId="23E6BE11" w14:textId="66166798" w:rsidR="00F64776" w:rsidRDefault="00F64776" w:rsidP="00F64776">
      <w:pPr>
        <w:pStyle w:val="TextoNormalNegritaCentrado"/>
        <w:keepNext/>
      </w:pPr>
    </w:p>
    <w:p w14:paraId="1697793B" w14:textId="7E7F6B44" w:rsidR="00F64776" w:rsidRDefault="00F64776" w:rsidP="00F64776">
      <w:pPr>
        <w:pStyle w:val="TextoNormal"/>
      </w:pPr>
      <w:r w:rsidRPr="00F64776">
        <w:rPr>
          <w:rStyle w:val="NumeroAFNegritaCaracter"/>
        </w:rPr>
        <w:t>1</w:t>
      </w:r>
      <w:r>
        <w:t>. Mediante escrito registrado en este tribunal el 6 de junio de 2022 la procuradora de los tribunales doña Ana Fuentes Hernangómez, en nombre y representación de don Martín Alejandro López Díaz y otros y bajo la dirección de la letrada doña Ana María Rodríguez Peña, interpuso demanda de amparo contra la providencia de 11 de mayo de 2022 de la Sección Primera de la Sala de lo Contencioso-Administrativo del Tribunal Supremo en recurso de casación 1071-2022.</w:t>
      </w:r>
    </w:p>
    <w:p w14:paraId="1EB75295" w14:textId="77777777" w:rsidR="00F64776" w:rsidRDefault="00F64776" w:rsidP="00F64776">
      <w:pPr>
        <w:pStyle w:val="TextoNormal"/>
      </w:pPr>
    </w:p>
    <w:p w14:paraId="4FB6DE14" w14:textId="083D558C" w:rsidR="00F64776" w:rsidRDefault="00F64776" w:rsidP="00F64776">
      <w:pPr>
        <w:pStyle w:val="TextoNormal"/>
      </w:pPr>
      <w:r w:rsidRPr="00F64776">
        <w:rPr>
          <w:rStyle w:val="NumeroAFNegritaCaracter"/>
        </w:rPr>
        <w:t>2</w:t>
      </w:r>
      <w:r>
        <w:t>. Por escrito de 8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22EFD273" w14:textId="77777777" w:rsidR="00F64776" w:rsidRDefault="00F64776" w:rsidP="00F64776">
      <w:pPr>
        <w:pStyle w:val="TextoNormal"/>
      </w:pPr>
    </w:p>
    <w:p w14:paraId="4A623217" w14:textId="77777777" w:rsidR="00F64776" w:rsidRDefault="00F64776" w:rsidP="00F64776">
      <w:pPr>
        <w:pStyle w:val="TextoNormalNegritaCentrado"/>
        <w:keepNext/>
      </w:pPr>
      <w:r>
        <w:t>II. Fundamentos jurídicos</w:t>
      </w:r>
    </w:p>
    <w:p w14:paraId="11AC39F1" w14:textId="1737952A" w:rsidR="00F64776" w:rsidRDefault="00F64776" w:rsidP="00F64776">
      <w:pPr>
        <w:pStyle w:val="TextoNormalNegritaCentrado"/>
        <w:keepNext/>
      </w:pPr>
    </w:p>
    <w:p w14:paraId="22A2F897" w14:textId="40B8C772"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1DCB4621" w14:textId="77777777" w:rsidR="00F64776" w:rsidRDefault="00F64776" w:rsidP="00F64776">
      <w:pPr>
        <w:pStyle w:val="TextoNormal"/>
      </w:pPr>
    </w:p>
    <w:p w14:paraId="4D928188" w14:textId="77777777" w:rsidR="00F64776" w:rsidRDefault="00F64776" w:rsidP="00F64776">
      <w:pPr>
        <w:pStyle w:val="TextoNormal"/>
      </w:pPr>
      <w:r>
        <w:t>Por lo expuesto, la Sección</w:t>
      </w:r>
    </w:p>
    <w:p w14:paraId="42C5F173" w14:textId="3ECCB041" w:rsidR="00F64776" w:rsidRDefault="00F64776" w:rsidP="00F64776">
      <w:pPr>
        <w:pStyle w:val="TextoNormal"/>
      </w:pPr>
    </w:p>
    <w:p w14:paraId="210D3660" w14:textId="77777777" w:rsidR="00F64776" w:rsidRDefault="00F64776" w:rsidP="00F64776">
      <w:pPr>
        <w:pStyle w:val="TextoNormalCentrado"/>
      </w:pPr>
      <w:r>
        <w:t>ACUERDA</w:t>
      </w:r>
    </w:p>
    <w:p w14:paraId="66521A40" w14:textId="76C5E5C9" w:rsidR="00F64776" w:rsidRDefault="00F64776" w:rsidP="00F64776">
      <w:pPr>
        <w:pStyle w:val="TextoNormalCentrado"/>
      </w:pPr>
    </w:p>
    <w:p w14:paraId="0AF01E6A" w14:textId="38CB79A9" w:rsidR="00F64776" w:rsidRDefault="00F64776" w:rsidP="00F64776">
      <w:pPr>
        <w:pStyle w:val="TextoNormal"/>
      </w:pPr>
      <w:r>
        <w:t>Estimar justificada la abstención formulada por el magistrado señor don César Tolosa Tribiño en el recurso de amparo núm. 3995-2022 y apartarle definitivamente del conocimiento del referido recurso y de todas sus incidencias.</w:t>
      </w:r>
    </w:p>
    <w:p w14:paraId="3A9F1F20" w14:textId="77777777" w:rsidR="00F64776" w:rsidRDefault="00F64776" w:rsidP="00F64776">
      <w:pPr>
        <w:pStyle w:val="TextoNormal"/>
      </w:pPr>
    </w:p>
    <w:p w14:paraId="65703F78" w14:textId="77777777" w:rsidR="00F64776" w:rsidRDefault="00F64776" w:rsidP="00F64776">
      <w:pPr>
        <w:pStyle w:val="TextoNormal"/>
      </w:pPr>
      <w:r>
        <w:t>Madrid, a cuatro de septiembre de dos mil veintitrés.</w:t>
      </w:r>
    </w:p>
    <w:p w14:paraId="12C90FFE" w14:textId="46773C4B" w:rsidR="00F64776" w:rsidRDefault="00F64776">
      <w:pPr>
        <w:spacing w:after="160" w:line="278" w:lineRule="auto"/>
        <w:rPr>
          <w:rFonts w:ascii="Times New Roman" w:eastAsia="Times New Roman" w:hAnsi="Times New Roman" w:cs="Times New Roman"/>
          <w:sz w:val="24"/>
          <w:szCs w:val="24"/>
          <w:lang w:eastAsia="es-ES"/>
        </w:rPr>
      </w:pPr>
      <w:r>
        <w:br w:type="page"/>
      </w:r>
    </w:p>
    <w:p w14:paraId="6D967C5A" w14:textId="77777777" w:rsidR="00F64776" w:rsidRDefault="00F64776" w:rsidP="00F64776">
      <w:pPr>
        <w:pStyle w:val="TtuloResolucin"/>
      </w:pPr>
      <w:bookmarkStart w:id="170" w:name="AUTO_2023_385"/>
      <w:r>
        <w:t>AUTO 385/2023, de 4 de septiembre de 2023</w:t>
      </w:r>
    </w:p>
    <w:bookmarkEnd w:id="170"/>
    <w:p w14:paraId="2C6B515C" w14:textId="77777777" w:rsidR="00F64776" w:rsidRDefault="00F64776" w:rsidP="00F64776">
      <w:pPr>
        <w:pStyle w:val="TtuloResolucin"/>
      </w:pPr>
      <w:r>
        <w:t>Sección Tercera</w:t>
      </w:r>
    </w:p>
    <w:p w14:paraId="7C470F02" w14:textId="77777777" w:rsidR="00F64776" w:rsidRDefault="00F64776" w:rsidP="00F64776">
      <w:pPr>
        <w:pStyle w:val="TextoNormalCentrado"/>
      </w:pPr>
      <w:r>
        <w:t>ECLI:ES:TC:2023:385A</w:t>
      </w:r>
    </w:p>
    <w:p w14:paraId="6D42E2D8" w14:textId="3A0566D7" w:rsidR="00F64776" w:rsidRDefault="00F64776" w:rsidP="00F64776">
      <w:pPr>
        <w:pStyle w:val="TextoNormalCentrado"/>
      </w:pPr>
    </w:p>
    <w:p w14:paraId="612223F8" w14:textId="77777777" w:rsidR="00F64776" w:rsidRDefault="00F64776" w:rsidP="00F64776">
      <w:pPr>
        <w:pStyle w:val="SntesisDescriptiva"/>
      </w:pPr>
      <w:r>
        <w:t>Excms. Srs. doña Inmaculada Montalbán Huertas y doña Laura Díez Bueso.</w:t>
      </w:r>
    </w:p>
    <w:p w14:paraId="01819FE1" w14:textId="64DF2F30" w:rsidR="00F64776" w:rsidRDefault="00F64776" w:rsidP="00F64776">
      <w:pPr>
        <w:pStyle w:val="SntesisDescriptiva"/>
      </w:pPr>
    </w:p>
    <w:p w14:paraId="08F6CE4F" w14:textId="77777777" w:rsidR="00F64776" w:rsidRDefault="00F64776" w:rsidP="00F64776">
      <w:pPr>
        <w:pStyle w:val="SntesisDescriptiva"/>
      </w:pPr>
      <w:r>
        <w:t>Acepta una abstención en el recurso de amparo 4164-2022, promovido en proceso contencioso-administrativo.</w:t>
      </w:r>
    </w:p>
    <w:p w14:paraId="2C1F367A" w14:textId="44799FDE" w:rsidR="00F64776" w:rsidRDefault="00F64776" w:rsidP="00F64776">
      <w:pPr>
        <w:pStyle w:val="SntesisDescriptiva"/>
      </w:pPr>
    </w:p>
    <w:p w14:paraId="0AFDFD03" w14:textId="77777777" w:rsidR="00F64776" w:rsidRDefault="00F64776" w:rsidP="00F64776">
      <w:pPr>
        <w:pStyle w:val="SntesisDescriptiva"/>
      </w:pPr>
    </w:p>
    <w:p w14:paraId="4BE73228" w14:textId="77777777" w:rsidR="00F64776" w:rsidRDefault="00F64776" w:rsidP="00F64776">
      <w:pPr>
        <w:pStyle w:val="SntesisDescriptiva"/>
      </w:pPr>
    </w:p>
    <w:p w14:paraId="3D76C840" w14:textId="77777777" w:rsidR="00F64776" w:rsidRDefault="00F64776" w:rsidP="00F64776">
      <w:pPr>
        <w:pStyle w:val="TextoNormalNegritaCentrado"/>
      </w:pPr>
      <w:r>
        <w:t>AUTO</w:t>
      </w:r>
    </w:p>
    <w:p w14:paraId="528B4271" w14:textId="4380C0F1" w:rsidR="00F64776" w:rsidRDefault="00F64776" w:rsidP="00F64776">
      <w:pPr>
        <w:pStyle w:val="TextoNormalNegritaCentrado"/>
      </w:pPr>
    </w:p>
    <w:p w14:paraId="33E37DA8" w14:textId="77777777" w:rsidR="00F64776" w:rsidRDefault="00F64776" w:rsidP="00F64776">
      <w:pPr>
        <w:pStyle w:val="TextoNormalNegritaCentrado"/>
        <w:keepNext/>
      </w:pPr>
      <w:r>
        <w:t>I. Antecedentes</w:t>
      </w:r>
    </w:p>
    <w:p w14:paraId="63E68D6F" w14:textId="1ECCDA68" w:rsidR="00F64776" w:rsidRDefault="00F64776" w:rsidP="00F64776">
      <w:pPr>
        <w:pStyle w:val="TextoNormalNegritaCentrado"/>
        <w:keepNext/>
      </w:pPr>
    </w:p>
    <w:p w14:paraId="10FE6964" w14:textId="1511B6A3" w:rsidR="00F64776" w:rsidRDefault="00F64776" w:rsidP="00F64776">
      <w:pPr>
        <w:pStyle w:val="TextoNormal"/>
      </w:pPr>
      <w:r w:rsidRPr="00F64776">
        <w:rPr>
          <w:rStyle w:val="NumeroAFNegritaCaracter"/>
        </w:rPr>
        <w:t>1</w:t>
      </w:r>
      <w:r>
        <w:t>. Mediante escrito registrado en este tribunal el 10 de junio de 2022 la procuradora de los tribunales doña Inés Verdú Roldán, en nombre y representación de don Luis Alberto Quintero Rivera y otros y bajo la dirección del letrado don Juan Antonio Iglesias Fernández, interpuso demanda de amparo contra la providencia de 8 de junio de 2022 de la Sección Primera de la Sala de lo Contencioso-Administrativo del Tribunal Supremo en recurso de casación núm. 3253-2022.</w:t>
      </w:r>
    </w:p>
    <w:p w14:paraId="63A9B276" w14:textId="77777777" w:rsidR="00F64776" w:rsidRDefault="00F64776" w:rsidP="00F64776">
      <w:pPr>
        <w:pStyle w:val="TextoNormal"/>
      </w:pPr>
    </w:p>
    <w:p w14:paraId="568B9F1A" w14:textId="18334BEE" w:rsidR="00F64776" w:rsidRDefault="00F64776" w:rsidP="00F64776">
      <w:pPr>
        <w:pStyle w:val="TextoNormal"/>
      </w:pPr>
      <w:r w:rsidRPr="00F64776">
        <w:rPr>
          <w:rStyle w:val="NumeroAFNegritaCaracter"/>
        </w:rPr>
        <w:t>2</w:t>
      </w:r>
      <w:r>
        <w:t>. Por escrito de 4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7F887A16" w14:textId="77777777" w:rsidR="00F64776" w:rsidRDefault="00F64776" w:rsidP="00F64776">
      <w:pPr>
        <w:pStyle w:val="TextoNormal"/>
      </w:pPr>
    </w:p>
    <w:p w14:paraId="0F98FF27" w14:textId="77777777" w:rsidR="00F64776" w:rsidRDefault="00F64776" w:rsidP="00F64776">
      <w:pPr>
        <w:pStyle w:val="TextoNormalNegritaCentrado"/>
        <w:keepNext/>
      </w:pPr>
      <w:r>
        <w:t>II. Fundamentos jurídicos</w:t>
      </w:r>
    </w:p>
    <w:p w14:paraId="4414BD57" w14:textId="6AB07C2F" w:rsidR="00F64776" w:rsidRDefault="00F64776" w:rsidP="00F64776">
      <w:pPr>
        <w:pStyle w:val="TextoNormalNegritaCentrado"/>
        <w:keepNext/>
      </w:pPr>
    </w:p>
    <w:p w14:paraId="52C1DBB7" w14:textId="73C59CA5"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3D328828" w14:textId="77777777" w:rsidR="00F64776" w:rsidRDefault="00F64776" w:rsidP="00F64776">
      <w:pPr>
        <w:pStyle w:val="TextoNormal"/>
      </w:pPr>
    </w:p>
    <w:p w14:paraId="37A14DCA" w14:textId="77777777" w:rsidR="00F64776" w:rsidRDefault="00F64776" w:rsidP="00F64776">
      <w:pPr>
        <w:pStyle w:val="TextoNormal"/>
      </w:pPr>
      <w:r>
        <w:t>Por lo expuesto, la Sección</w:t>
      </w:r>
    </w:p>
    <w:p w14:paraId="11713EAB" w14:textId="407DDD58" w:rsidR="00F64776" w:rsidRDefault="00F64776" w:rsidP="00F64776">
      <w:pPr>
        <w:pStyle w:val="TextoNormal"/>
      </w:pPr>
    </w:p>
    <w:p w14:paraId="70F9041C" w14:textId="77777777" w:rsidR="00F64776" w:rsidRDefault="00F64776" w:rsidP="00F64776">
      <w:pPr>
        <w:pStyle w:val="TextoNormalCentrado"/>
      </w:pPr>
      <w:r>
        <w:t>ACUERDA</w:t>
      </w:r>
    </w:p>
    <w:p w14:paraId="60A1D4F8" w14:textId="3B741FE9" w:rsidR="00F64776" w:rsidRDefault="00F64776" w:rsidP="00F64776">
      <w:pPr>
        <w:pStyle w:val="TextoNormalCentrado"/>
      </w:pPr>
    </w:p>
    <w:p w14:paraId="1F26DD39" w14:textId="31019738" w:rsidR="00F64776" w:rsidRDefault="00F64776" w:rsidP="00F64776">
      <w:pPr>
        <w:pStyle w:val="TextoNormal"/>
      </w:pPr>
      <w:r>
        <w:t>Estimar justificada la abstención formulada por el magistrado señor don César Tolosa Tribiño en el recurso de amparo núm. 4164-2022 y apartarle definitivamente del conocimiento del referido recurso y de todas sus incidencias.</w:t>
      </w:r>
    </w:p>
    <w:p w14:paraId="66C2E860" w14:textId="77777777" w:rsidR="00F64776" w:rsidRDefault="00F64776" w:rsidP="00F64776">
      <w:pPr>
        <w:pStyle w:val="TextoNormal"/>
      </w:pPr>
    </w:p>
    <w:p w14:paraId="45930CE4" w14:textId="77777777" w:rsidR="00F64776" w:rsidRDefault="00F64776" w:rsidP="00F64776">
      <w:pPr>
        <w:pStyle w:val="TextoNormal"/>
      </w:pPr>
      <w:r>
        <w:t>Madrid, a cuatro de septiembre de dos mil veintitrés.</w:t>
      </w:r>
    </w:p>
    <w:p w14:paraId="180F89B9" w14:textId="27232C5D" w:rsidR="00F64776" w:rsidRDefault="00F64776">
      <w:pPr>
        <w:spacing w:after="160" w:line="278" w:lineRule="auto"/>
        <w:rPr>
          <w:rFonts w:ascii="Times New Roman" w:eastAsia="Times New Roman" w:hAnsi="Times New Roman" w:cs="Times New Roman"/>
          <w:sz w:val="24"/>
          <w:szCs w:val="24"/>
          <w:lang w:eastAsia="es-ES"/>
        </w:rPr>
      </w:pPr>
      <w:r>
        <w:br w:type="page"/>
      </w:r>
    </w:p>
    <w:p w14:paraId="55C0AD9F" w14:textId="77777777" w:rsidR="00F64776" w:rsidRDefault="00F64776" w:rsidP="00F64776">
      <w:pPr>
        <w:pStyle w:val="TtuloResolucin"/>
      </w:pPr>
      <w:bookmarkStart w:id="171" w:name="AUTO_2023_386"/>
      <w:r>
        <w:t>AUTO 386/2023, de 4 de septiembre de 2023</w:t>
      </w:r>
    </w:p>
    <w:bookmarkEnd w:id="171"/>
    <w:p w14:paraId="7C9B9C6C" w14:textId="77777777" w:rsidR="00F64776" w:rsidRDefault="00F64776" w:rsidP="00F64776">
      <w:pPr>
        <w:pStyle w:val="TtuloResolucin"/>
      </w:pPr>
      <w:r>
        <w:t>Sección Tercera</w:t>
      </w:r>
    </w:p>
    <w:p w14:paraId="4EB9B7CD" w14:textId="77777777" w:rsidR="00F64776" w:rsidRDefault="00F64776" w:rsidP="00F64776">
      <w:pPr>
        <w:pStyle w:val="TextoNormalCentrado"/>
      </w:pPr>
      <w:r>
        <w:t>ECLI:ES:TC:2023:386A</w:t>
      </w:r>
    </w:p>
    <w:p w14:paraId="63030C5A" w14:textId="06FDB948" w:rsidR="00F64776" w:rsidRDefault="00F64776" w:rsidP="00F64776">
      <w:pPr>
        <w:pStyle w:val="TextoNormalCentrado"/>
      </w:pPr>
    </w:p>
    <w:p w14:paraId="4FDAE4B9" w14:textId="77777777" w:rsidR="00F64776" w:rsidRDefault="00F64776" w:rsidP="00F64776">
      <w:pPr>
        <w:pStyle w:val="SntesisDescriptiva"/>
      </w:pPr>
      <w:r>
        <w:t>Excms. Srs. doña Inmaculada Montalbán Huertas y doña Laura Díez Bueso.</w:t>
      </w:r>
    </w:p>
    <w:p w14:paraId="3B685F6B" w14:textId="2E215587" w:rsidR="00F64776" w:rsidRDefault="00F64776" w:rsidP="00F64776">
      <w:pPr>
        <w:pStyle w:val="SntesisDescriptiva"/>
      </w:pPr>
    </w:p>
    <w:p w14:paraId="1CD6C7F3" w14:textId="77777777" w:rsidR="00F64776" w:rsidRDefault="00F64776" w:rsidP="00F64776">
      <w:pPr>
        <w:pStyle w:val="SntesisDescriptiva"/>
      </w:pPr>
      <w:r>
        <w:t>Acepta una abstención en el recurso de amparo 4332-2022, por la entidad Transformación de Materia Vegetal (TRAMAVE, S.L.), promovido en proceso contencioso-administrativo.</w:t>
      </w:r>
    </w:p>
    <w:p w14:paraId="5A6452B4" w14:textId="55C5B5A8" w:rsidR="00F64776" w:rsidRDefault="00F64776" w:rsidP="00F64776">
      <w:pPr>
        <w:pStyle w:val="SntesisDescriptiva"/>
      </w:pPr>
    </w:p>
    <w:p w14:paraId="74AE87DA" w14:textId="77777777" w:rsidR="00F64776" w:rsidRDefault="00F64776" w:rsidP="00F64776">
      <w:pPr>
        <w:pStyle w:val="SntesisDescriptiva"/>
      </w:pPr>
    </w:p>
    <w:p w14:paraId="701ECBF0" w14:textId="77777777" w:rsidR="00F64776" w:rsidRDefault="00F64776" w:rsidP="00F64776">
      <w:pPr>
        <w:pStyle w:val="SntesisDescriptiva"/>
      </w:pPr>
    </w:p>
    <w:p w14:paraId="4811F34B" w14:textId="77777777" w:rsidR="00F64776" w:rsidRDefault="00F64776" w:rsidP="00F64776">
      <w:pPr>
        <w:pStyle w:val="TextoNormalNegritaCentrado"/>
      </w:pPr>
      <w:r>
        <w:t>AUTO</w:t>
      </w:r>
    </w:p>
    <w:p w14:paraId="53A0B695" w14:textId="57894466" w:rsidR="00F64776" w:rsidRDefault="00F64776" w:rsidP="00F64776">
      <w:pPr>
        <w:pStyle w:val="TextoNormalNegritaCentrado"/>
      </w:pPr>
    </w:p>
    <w:p w14:paraId="0CE24EE5" w14:textId="77777777" w:rsidR="00F64776" w:rsidRDefault="00F64776" w:rsidP="00F64776">
      <w:pPr>
        <w:pStyle w:val="TextoNormalNegritaCentrado"/>
        <w:keepNext/>
      </w:pPr>
      <w:r>
        <w:t>I. Antecedentes</w:t>
      </w:r>
    </w:p>
    <w:p w14:paraId="3B99BB81" w14:textId="13BB20B4" w:rsidR="00F64776" w:rsidRDefault="00F64776" w:rsidP="00F64776">
      <w:pPr>
        <w:pStyle w:val="TextoNormalNegritaCentrado"/>
        <w:keepNext/>
      </w:pPr>
    </w:p>
    <w:p w14:paraId="3FB918E7" w14:textId="1EECEDD7" w:rsidR="00F64776" w:rsidRDefault="00F64776" w:rsidP="00F64776">
      <w:pPr>
        <w:pStyle w:val="TextoNormal"/>
      </w:pPr>
      <w:r w:rsidRPr="00F64776">
        <w:rPr>
          <w:rStyle w:val="NumeroAFNegritaCaracter"/>
        </w:rPr>
        <w:t>1</w:t>
      </w:r>
      <w:r>
        <w:t>. Mediante escrito registrado en este tribunal el 16 de junio de 2022 el procurador de los tribunales don Javier Iglesias Gómez, en nombre y representación de Transformación de Materia Vegetal, S.L. (TRAMAVE, S.L.), y bajo la dirección del letrado don Francisco Luis Blanc Clavero, interpuso demanda de amparo contra la providencia de 4 de mayo de 2022 de la Sala de lo Contencioso-Administrativo del Tribunal Supremo en recurso de casación 6284-2021.</w:t>
      </w:r>
    </w:p>
    <w:p w14:paraId="2CCB48FD" w14:textId="77777777" w:rsidR="00F64776" w:rsidRDefault="00F64776" w:rsidP="00F64776">
      <w:pPr>
        <w:pStyle w:val="TextoNormal"/>
      </w:pPr>
    </w:p>
    <w:p w14:paraId="7D728BDF" w14:textId="204B9538" w:rsidR="00F64776" w:rsidRDefault="00F64776" w:rsidP="00F64776">
      <w:pPr>
        <w:pStyle w:val="TextoNormal"/>
      </w:pPr>
      <w:r w:rsidRPr="00F64776">
        <w:rPr>
          <w:rStyle w:val="NumeroAFNegritaCaracter"/>
        </w:rPr>
        <w:t>2</w:t>
      </w:r>
      <w:r>
        <w:t>. Por escrito de 4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69A39EE9" w14:textId="77777777" w:rsidR="00F64776" w:rsidRDefault="00F64776" w:rsidP="00F64776">
      <w:pPr>
        <w:pStyle w:val="TextoNormal"/>
      </w:pPr>
    </w:p>
    <w:p w14:paraId="0DCF9B11" w14:textId="77777777" w:rsidR="00F64776" w:rsidRDefault="00F64776" w:rsidP="00F64776">
      <w:pPr>
        <w:pStyle w:val="TextoNormalNegritaCentrado"/>
        <w:keepNext/>
      </w:pPr>
      <w:r>
        <w:t>II. Fundamentos jurídicos</w:t>
      </w:r>
    </w:p>
    <w:p w14:paraId="36B94EA7" w14:textId="7E0B2D23" w:rsidR="00F64776" w:rsidRDefault="00F64776" w:rsidP="00F64776">
      <w:pPr>
        <w:pStyle w:val="TextoNormalNegritaCentrado"/>
        <w:keepNext/>
      </w:pPr>
    </w:p>
    <w:p w14:paraId="017E8855" w14:textId="49B5E15A"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616FCB4E" w14:textId="77777777" w:rsidR="00F64776" w:rsidRDefault="00F64776" w:rsidP="00F64776">
      <w:pPr>
        <w:pStyle w:val="TextoNormal"/>
      </w:pPr>
    </w:p>
    <w:p w14:paraId="036DB2B3" w14:textId="77777777" w:rsidR="00F64776" w:rsidRDefault="00F64776" w:rsidP="00F64776">
      <w:pPr>
        <w:pStyle w:val="TextoNormal"/>
      </w:pPr>
      <w:r>
        <w:t>Por lo expuesto, la Sección</w:t>
      </w:r>
    </w:p>
    <w:p w14:paraId="1630543F" w14:textId="571CB58C" w:rsidR="00F64776" w:rsidRDefault="00F64776" w:rsidP="00F64776">
      <w:pPr>
        <w:pStyle w:val="TextoNormal"/>
      </w:pPr>
    </w:p>
    <w:p w14:paraId="05859281" w14:textId="77777777" w:rsidR="00F64776" w:rsidRDefault="00F64776" w:rsidP="00F64776">
      <w:pPr>
        <w:pStyle w:val="TextoNormalCentrado"/>
      </w:pPr>
      <w:r>
        <w:t>ACUERDA</w:t>
      </w:r>
    </w:p>
    <w:p w14:paraId="610C1EA2" w14:textId="29002484" w:rsidR="00F64776" w:rsidRDefault="00F64776" w:rsidP="00F64776">
      <w:pPr>
        <w:pStyle w:val="TextoNormalCentrado"/>
      </w:pPr>
    </w:p>
    <w:p w14:paraId="639BE75F" w14:textId="6F0810C9" w:rsidR="00F64776" w:rsidRDefault="00F64776" w:rsidP="00F64776">
      <w:pPr>
        <w:pStyle w:val="TextoNormal"/>
      </w:pPr>
      <w:r>
        <w:t>Estimar justificada la abstención formulada por el magistrado señor don César Tolosa Tribiño en el recurso de amparo núm. 4332-2022 y apartarle definitivamente del conocimiento del referido recurso y de todas sus incidencias.</w:t>
      </w:r>
    </w:p>
    <w:p w14:paraId="6CEC4403" w14:textId="77777777" w:rsidR="00F64776" w:rsidRDefault="00F64776" w:rsidP="00F64776">
      <w:pPr>
        <w:pStyle w:val="TextoNormal"/>
      </w:pPr>
    </w:p>
    <w:p w14:paraId="57B5BDA2" w14:textId="77777777" w:rsidR="00F64776" w:rsidRDefault="00F64776" w:rsidP="00F64776">
      <w:pPr>
        <w:pStyle w:val="TextoNormal"/>
      </w:pPr>
      <w:r>
        <w:t>Madrid, a cuatro de septiembre de dos mil veintitrés.</w:t>
      </w:r>
    </w:p>
    <w:p w14:paraId="0984271F" w14:textId="2DDD7D72" w:rsidR="00F64776" w:rsidRDefault="00F64776">
      <w:pPr>
        <w:spacing w:after="160" w:line="278" w:lineRule="auto"/>
        <w:rPr>
          <w:rFonts w:ascii="Times New Roman" w:eastAsia="Times New Roman" w:hAnsi="Times New Roman" w:cs="Times New Roman"/>
          <w:sz w:val="24"/>
          <w:szCs w:val="24"/>
          <w:lang w:eastAsia="es-ES"/>
        </w:rPr>
      </w:pPr>
      <w:r>
        <w:br w:type="page"/>
      </w:r>
    </w:p>
    <w:p w14:paraId="26292543" w14:textId="77777777" w:rsidR="00F64776" w:rsidRDefault="00F64776" w:rsidP="00F64776">
      <w:pPr>
        <w:pStyle w:val="TtuloResolucin"/>
      </w:pPr>
      <w:bookmarkStart w:id="172" w:name="AUTO_2023_387"/>
      <w:r>
        <w:t>AUTO 387/2023, de 4 de septiembre de 2023</w:t>
      </w:r>
    </w:p>
    <w:bookmarkEnd w:id="172"/>
    <w:p w14:paraId="7B1E915E" w14:textId="77777777" w:rsidR="00F64776" w:rsidRDefault="00F64776" w:rsidP="00F64776">
      <w:pPr>
        <w:pStyle w:val="TtuloResolucin"/>
      </w:pPr>
      <w:r>
        <w:t>Sección Tercera</w:t>
      </w:r>
    </w:p>
    <w:p w14:paraId="1606CFE9" w14:textId="77777777" w:rsidR="00F64776" w:rsidRDefault="00F64776" w:rsidP="00F64776">
      <w:pPr>
        <w:pStyle w:val="TextoNormalCentrado"/>
      </w:pPr>
      <w:r>
        <w:t>ECLI:ES:TC:2023:387A</w:t>
      </w:r>
    </w:p>
    <w:p w14:paraId="613FC81A" w14:textId="66EC65B5" w:rsidR="00F64776" w:rsidRDefault="00F64776" w:rsidP="00F64776">
      <w:pPr>
        <w:pStyle w:val="TextoNormalCentrado"/>
      </w:pPr>
    </w:p>
    <w:p w14:paraId="6C6AFE02" w14:textId="77777777" w:rsidR="00F64776" w:rsidRDefault="00F64776" w:rsidP="00F64776">
      <w:pPr>
        <w:pStyle w:val="SntesisDescriptiva"/>
      </w:pPr>
      <w:r>
        <w:t>Excms. Srs. doña Inmaculada Montalbán Huertas y doña Laura Díez Bueso.</w:t>
      </w:r>
    </w:p>
    <w:p w14:paraId="0E4BB28E" w14:textId="090DAB22" w:rsidR="00F64776" w:rsidRDefault="00F64776" w:rsidP="00F64776">
      <w:pPr>
        <w:pStyle w:val="SntesisDescriptiva"/>
      </w:pPr>
    </w:p>
    <w:p w14:paraId="33360D3B" w14:textId="77777777" w:rsidR="00F64776" w:rsidRDefault="00F64776" w:rsidP="00F64776">
      <w:pPr>
        <w:pStyle w:val="SntesisDescriptiva"/>
      </w:pPr>
      <w:r>
        <w:t>Acepta una abstención en el recurso de amparo 4523-2022, promovido por el Ayuntamiento de Zamora, en proceso contencioso-administrativo.</w:t>
      </w:r>
    </w:p>
    <w:p w14:paraId="49FD8405" w14:textId="1DBE93BA" w:rsidR="00F64776" w:rsidRDefault="00F64776" w:rsidP="00F64776">
      <w:pPr>
        <w:pStyle w:val="SntesisDescriptiva"/>
      </w:pPr>
    </w:p>
    <w:p w14:paraId="762EA04D" w14:textId="77777777" w:rsidR="00F64776" w:rsidRDefault="00F64776" w:rsidP="00F64776">
      <w:pPr>
        <w:pStyle w:val="SntesisDescriptiva"/>
      </w:pPr>
    </w:p>
    <w:p w14:paraId="2F57A4F5" w14:textId="77777777" w:rsidR="00F64776" w:rsidRDefault="00F64776" w:rsidP="00F64776">
      <w:pPr>
        <w:pStyle w:val="SntesisDescriptiva"/>
      </w:pPr>
    </w:p>
    <w:p w14:paraId="20FF8250" w14:textId="77777777" w:rsidR="00F64776" w:rsidRDefault="00F64776" w:rsidP="00F64776">
      <w:pPr>
        <w:pStyle w:val="TextoNormalNegritaCentrado"/>
      </w:pPr>
      <w:r>
        <w:t>AUTO</w:t>
      </w:r>
    </w:p>
    <w:p w14:paraId="7055426A" w14:textId="11E1DD9D" w:rsidR="00F64776" w:rsidRDefault="00F64776" w:rsidP="00F64776">
      <w:pPr>
        <w:pStyle w:val="TextoNormalNegritaCentrado"/>
      </w:pPr>
    </w:p>
    <w:p w14:paraId="05672D84" w14:textId="77777777" w:rsidR="00F64776" w:rsidRDefault="00F64776" w:rsidP="00F64776">
      <w:pPr>
        <w:pStyle w:val="TextoNormalNegritaCentrado"/>
        <w:keepNext/>
      </w:pPr>
      <w:r>
        <w:t>I. Antecedentes</w:t>
      </w:r>
    </w:p>
    <w:p w14:paraId="6EAAEBBE" w14:textId="2E22BADB" w:rsidR="00F64776" w:rsidRDefault="00F64776" w:rsidP="00F64776">
      <w:pPr>
        <w:pStyle w:val="TextoNormalNegritaCentrado"/>
        <w:keepNext/>
      </w:pPr>
    </w:p>
    <w:p w14:paraId="05DF1EC0" w14:textId="075F7D14" w:rsidR="00F64776" w:rsidRDefault="00F64776" w:rsidP="00F64776">
      <w:pPr>
        <w:pStyle w:val="TextoNormal"/>
      </w:pPr>
      <w:r w:rsidRPr="00F64776">
        <w:rPr>
          <w:rStyle w:val="NumeroAFNegritaCaracter"/>
        </w:rPr>
        <w:t>1</w:t>
      </w:r>
      <w:r>
        <w:t>. Mediante escrito registrado en este tribunal el 22 de junio de 2022 la procuradora de los tribunales doña Myriam Álvarez del Valle Lavesque, en nombre y representación de Exmo. Ayuntamiento de Zamora y bajo la dirección del letrado don Oscar Rodríguez Díaz , interpuso demanda de amparo contra providencia de fecha 27 de abril de 2022, dictada por la Sección Primera de la  Sala de lo Contencioso-Administrativo del Tribunal Supremo en recurso de casación 1281-2022 contra sentencia del Tribunal Superior de Justicia de Castilla y León en recurso de apelación 316-2020.</w:t>
      </w:r>
    </w:p>
    <w:p w14:paraId="51D88AB1" w14:textId="77777777" w:rsidR="00F64776" w:rsidRDefault="00F64776" w:rsidP="00F64776">
      <w:pPr>
        <w:pStyle w:val="TextoNormal"/>
      </w:pPr>
    </w:p>
    <w:p w14:paraId="6A944D92" w14:textId="4123DD33" w:rsidR="00F64776" w:rsidRDefault="00F64776" w:rsidP="00F64776">
      <w:pPr>
        <w:pStyle w:val="TextoNormal"/>
      </w:pPr>
      <w:r w:rsidRPr="00F64776">
        <w:rPr>
          <w:rStyle w:val="NumeroAFNegritaCaracter"/>
        </w:rPr>
        <w:t>2</w:t>
      </w:r>
      <w:r>
        <w:t>. Por escrito de 4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7B679749" w14:textId="77777777" w:rsidR="00F64776" w:rsidRDefault="00F64776" w:rsidP="00F64776">
      <w:pPr>
        <w:pStyle w:val="TextoNormal"/>
      </w:pPr>
    </w:p>
    <w:p w14:paraId="3CB7454E" w14:textId="77777777" w:rsidR="00F64776" w:rsidRDefault="00F64776" w:rsidP="00F64776">
      <w:pPr>
        <w:pStyle w:val="TextoNormalNegritaCentrado"/>
        <w:keepNext/>
      </w:pPr>
      <w:r>
        <w:t>II. Fundamentos jurídicos</w:t>
      </w:r>
    </w:p>
    <w:p w14:paraId="09E93756" w14:textId="52FC8641" w:rsidR="00F64776" w:rsidRDefault="00F64776" w:rsidP="00F64776">
      <w:pPr>
        <w:pStyle w:val="TextoNormalNegritaCentrado"/>
        <w:keepNext/>
      </w:pPr>
    </w:p>
    <w:p w14:paraId="2A23FFAA" w14:textId="11419045"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408186C8" w14:textId="77777777" w:rsidR="00F64776" w:rsidRDefault="00F64776" w:rsidP="00F64776">
      <w:pPr>
        <w:pStyle w:val="TextoNormal"/>
      </w:pPr>
    </w:p>
    <w:p w14:paraId="222C5343" w14:textId="77777777" w:rsidR="00F64776" w:rsidRDefault="00F64776" w:rsidP="00F64776">
      <w:pPr>
        <w:pStyle w:val="TextoNormal"/>
      </w:pPr>
      <w:r>
        <w:t>Por lo expuesto, la Sección</w:t>
      </w:r>
    </w:p>
    <w:p w14:paraId="15353168" w14:textId="34B5167C" w:rsidR="00F64776" w:rsidRDefault="00F64776" w:rsidP="00F64776">
      <w:pPr>
        <w:pStyle w:val="TextoNormal"/>
      </w:pPr>
    </w:p>
    <w:p w14:paraId="22D86597" w14:textId="77777777" w:rsidR="00F64776" w:rsidRDefault="00F64776" w:rsidP="00F64776">
      <w:pPr>
        <w:pStyle w:val="TextoNormalCentrado"/>
      </w:pPr>
      <w:r>
        <w:t>ACUERDA</w:t>
      </w:r>
    </w:p>
    <w:p w14:paraId="6168D0D3" w14:textId="0D201528" w:rsidR="00F64776" w:rsidRDefault="00F64776" w:rsidP="00F64776">
      <w:pPr>
        <w:pStyle w:val="TextoNormalCentrado"/>
      </w:pPr>
    </w:p>
    <w:p w14:paraId="196684D8" w14:textId="0D0316A8" w:rsidR="00F64776" w:rsidRDefault="00F64776" w:rsidP="00F64776">
      <w:pPr>
        <w:pStyle w:val="TextoNormal"/>
      </w:pPr>
      <w:r>
        <w:t>Estimar justificada la abstención formulada por el magistrado señor don César Tolosa Tribiño en el recurso de amparo núm. 4523-2022 y apartarle definitivamente del conocimiento del referido recurso y de todas sus incidencias.</w:t>
      </w:r>
    </w:p>
    <w:p w14:paraId="017C1F81" w14:textId="77777777" w:rsidR="00F64776" w:rsidRDefault="00F64776" w:rsidP="00F64776">
      <w:pPr>
        <w:pStyle w:val="TextoNormal"/>
      </w:pPr>
    </w:p>
    <w:p w14:paraId="0D79DB79" w14:textId="77777777" w:rsidR="00F64776" w:rsidRDefault="00F64776" w:rsidP="00F64776">
      <w:pPr>
        <w:pStyle w:val="TextoNormal"/>
      </w:pPr>
      <w:r>
        <w:t>Madrid, a cuatro de septiembre de dos mil veintitrés.</w:t>
      </w:r>
    </w:p>
    <w:p w14:paraId="7C45F5A8" w14:textId="22EE2D00" w:rsidR="00F64776" w:rsidRDefault="00F64776">
      <w:pPr>
        <w:spacing w:after="160" w:line="278" w:lineRule="auto"/>
        <w:rPr>
          <w:rFonts w:ascii="Times New Roman" w:eastAsia="Times New Roman" w:hAnsi="Times New Roman" w:cs="Times New Roman"/>
          <w:sz w:val="24"/>
          <w:szCs w:val="24"/>
          <w:lang w:eastAsia="es-ES"/>
        </w:rPr>
      </w:pPr>
      <w:r>
        <w:br w:type="page"/>
      </w:r>
    </w:p>
    <w:p w14:paraId="33657643" w14:textId="77777777" w:rsidR="00F64776" w:rsidRDefault="00F64776" w:rsidP="00F64776">
      <w:pPr>
        <w:pStyle w:val="TtuloResolucin"/>
      </w:pPr>
      <w:bookmarkStart w:id="173" w:name="AUTO_2023_388"/>
      <w:r>
        <w:t>AUTO 388/2023, de 4 de septiembre de 2023</w:t>
      </w:r>
    </w:p>
    <w:bookmarkEnd w:id="173"/>
    <w:p w14:paraId="13DAF755" w14:textId="77777777" w:rsidR="00F64776" w:rsidRDefault="00F64776" w:rsidP="00F64776">
      <w:pPr>
        <w:pStyle w:val="TtuloResolucin"/>
      </w:pPr>
      <w:r>
        <w:t>Sección Tercera</w:t>
      </w:r>
    </w:p>
    <w:p w14:paraId="65FBADFF" w14:textId="77777777" w:rsidR="00F64776" w:rsidRDefault="00F64776" w:rsidP="00F64776">
      <w:pPr>
        <w:pStyle w:val="TextoNormalCentrado"/>
      </w:pPr>
      <w:r>
        <w:t>ECLI:ES:TC:2023:388A</w:t>
      </w:r>
    </w:p>
    <w:p w14:paraId="425612B2" w14:textId="7B181572" w:rsidR="00F64776" w:rsidRDefault="00F64776" w:rsidP="00F64776">
      <w:pPr>
        <w:pStyle w:val="TextoNormalCentrado"/>
      </w:pPr>
    </w:p>
    <w:p w14:paraId="5435E707" w14:textId="77777777" w:rsidR="00F64776" w:rsidRDefault="00F64776" w:rsidP="00F64776">
      <w:pPr>
        <w:pStyle w:val="SntesisDescriptiva"/>
      </w:pPr>
      <w:r>
        <w:t>Excms. Srs. doña Inmaculada Montalbán Huertas y doña Laura Díez Bueso.</w:t>
      </w:r>
    </w:p>
    <w:p w14:paraId="21CD4F40" w14:textId="5C661B65" w:rsidR="00F64776" w:rsidRDefault="00F64776" w:rsidP="00F64776">
      <w:pPr>
        <w:pStyle w:val="SntesisDescriptiva"/>
      </w:pPr>
    </w:p>
    <w:p w14:paraId="2AD9E14A" w14:textId="77777777" w:rsidR="00F64776" w:rsidRDefault="00F64776" w:rsidP="00F64776">
      <w:pPr>
        <w:pStyle w:val="SntesisDescriptiva"/>
      </w:pPr>
      <w:r>
        <w:t>Acepta una abstención en el recurso de amparo 4790-2022, promovido en proceso contencioso-administrativo.</w:t>
      </w:r>
    </w:p>
    <w:p w14:paraId="7AB7F126" w14:textId="7DAB2C92" w:rsidR="00F64776" w:rsidRDefault="00F64776" w:rsidP="00F64776">
      <w:pPr>
        <w:pStyle w:val="SntesisDescriptiva"/>
      </w:pPr>
    </w:p>
    <w:p w14:paraId="5D593E85" w14:textId="77777777" w:rsidR="00F64776" w:rsidRDefault="00F64776" w:rsidP="00F64776">
      <w:pPr>
        <w:pStyle w:val="SntesisDescriptiva"/>
      </w:pPr>
    </w:p>
    <w:p w14:paraId="442F9E72" w14:textId="77777777" w:rsidR="00F64776" w:rsidRDefault="00F64776" w:rsidP="00F64776">
      <w:pPr>
        <w:pStyle w:val="SntesisDescriptiva"/>
      </w:pPr>
    </w:p>
    <w:p w14:paraId="42CABFD6" w14:textId="77777777" w:rsidR="00F64776" w:rsidRDefault="00F64776" w:rsidP="00F64776">
      <w:pPr>
        <w:pStyle w:val="TextoNormalNegritaCentrado"/>
      </w:pPr>
      <w:r>
        <w:t>AUTO</w:t>
      </w:r>
    </w:p>
    <w:p w14:paraId="0EF15E80" w14:textId="5CC3135D" w:rsidR="00F64776" w:rsidRDefault="00F64776" w:rsidP="00F64776">
      <w:pPr>
        <w:pStyle w:val="TextoNormalNegritaCentrado"/>
      </w:pPr>
    </w:p>
    <w:p w14:paraId="3DB4A73A" w14:textId="77777777" w:rsidR="00F64776" w:rsidRDefault="00F64776" w:rsidP="00F64776">
      <w:pPr>
        <w:pStyle w:val="TextoNormalNegritaCentrado"/>
        <w:keepNext/>
      </w:pPr>
      <w:r>
        <w:t>I. Antecedentes</w:t>
      </w:r>
    </w:p>
    <w:p w14:paraId="5A69A93A" w14:textId="228E0724" w:rsidR="00F64776" w:rsidRDefault="00F64776" w:rsidP="00F64776">
      <w:pPr>
        <w:pStyle w:val="TextoNormalNegritaCentrado"/>
        <w:keepNext/>
      </w:pPr>
    </w:p>
    <w:p w14:paraId="7C2530B4" w14:textId="271928C2" w:rsidR="00F64776" w:rsidRDefault="00F64776" w:rsidP="00F64776">
      <w:pPr>
        <w:pStyle w:val="TextoNormal"/>
      </w:pPr>
      <w:r w:rsidRPr="00F64776">
        <w:rPr>
          <w:rStyle w:val="NumeroAFNegritaCaracter"/>
        </w:rPr>
        <w:t>1</w:t>
      </w:r>
      <w:r>
        <w:t>. Mediante escrito registrado en este tribunal el 1 de julio de 2022 la procuradora de los tribunales doña Pilar Marta Bermejillo de Hevia, en nombre y representación de doña Arelys de Jesús Ospino Saballet y bajo la dirección de la letrada doña María Esperanza Pies Hernández, interpuso demanda de amparo contra la providencia de 1 de junio de 2022 de la Sección Primera de la Sala de lo Contencioso-Administrativo del Tribunal Supremo en recurso de casación núm. 2937-2022.</w:t>
      </w:r>
    </w:p>
    <w:p w14:paraId="4D11D6B6" w14:textId="77777777" w:rsidR="00F64776" w:rsidRDefault="00F64776" w:rsidP="00F64776">
      <w:pPr>
        <w:pStyle w:val="TextoNormal"/>
      </w:pPr>
    </w:p>
    <w:p w14:paraId="48BF0AC0" w14:textId="4340466B" w:rsidR="00F64776" w:rsidRDefault="00F64776" w:rsidP="00F64776">
      <w:pPr>
        <w:pStyle w:val="TextoNormal"/>
      </w:pPr>
      <w:r w:rsidRPr="00F64776">
        <w:rPr>
          <w:rStyle w:val="NumeroAFNegritaCaracter"/>
        </w:rPr>
        <w:t>2</w:t>
      </w:r>
      <w:r>
        <w:t>. Por escrito de 3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395A07A9" w14:textId="77777777" w:rsidR="00F64776" w:rsidRDefault="00F64776" w:rsidP="00F64776">
      <w:pPr>
        <w:pStyle w:val="TextoNormal"/>
      </w:pPr>
    </w:p>
    <w:p w14:paraId="6BD89867" w14:textId="77777777" w:rsidR="00F64776" w:rsidRDefault="00F64776" w:rsidP="00F64776">
      <w:pPr>
        <w:pStyle w:val="TextoNormalNegritaCentrado"/>
        <w:keepNext/>
      </w:pPr>
      <w:r>
        <w:t>II. Fundamentos jurídicos</w:t>
      </w:r>
    </w:p>
    <w:p w14:paraId="59CD4F5B" w14:textId="346A44A7" w:rsidR="00F64776" w:rsidRDefault="00F64776" w:rsidP="00F64776">
      <w:pPr>
        <w:pStyle w:val="TextoNormalNegritaCentrado"/>
        <w:keepNext/>
      </w:pPr>
    </w:p>
    <w:p w14:paraId="06614DAD" w14:textId="7CF22FE9"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0F2E4AF6" w14:textId="77777777" w:rsidR="00F64776" w:rsidRDefault="00F64776" w:rsidP="00F64776">
      <w:pPr>
        <w:pStyle w:val="TextoNormal"/>
      </w:pPr>
    </w:p>
    <w:p w14:paraId="7D503A71" w14:textId="77777777" w:rsidR="00F64776" w:rsidRDefault="00F64776" w:rsidP="00F64776">
      <w:pPr>
        <w:pStyle w:val="TextoNormal"/>
      </w:pPr>
      <w:r>
        <w:t>Por lo expuesto, la Sección</w:t>
      </w:r>
    </w:p>
    <w:p w14:paraId="292070C2" w14:textId="5C928DA1" w:rsidR="00F64776" w:rsidRDefault="00F64776" w:rsidP="00F64776">
      <w:pPr>
        <w:pStyle w:val="TextoNormal"/>
      </w:pPr>
    </w:p>
    <w:p w14:paraId="6054717D" w14:textId="77777777" w:rsidR="00F64776" w:rsidRDefault="00F64776" w:rsidP="00F64776">
      <w:pPr>
        <w:pStyle w:val="TextoNormalCentrado"/>
      </w:pPr>
      <w:r>
        <w:t>ACUERDA</w:t>
      </w:r>
    </w:p>
    <w:p w14:paraId="0BEB583A" w14:textId="5EA44E15" w:rsidR="00F64776" w:rsidRDefault="00F64776" w:rsidP="00F64776">
      <w:pPr>
        <w:pStyle w:val="TextoNormalCentrado"/>
      </w:pPr>
    </w:p>
    <w:p w14:paraId="0D8C01D3" w14:textId="4F2EB3EC" w:rsidR="00F64776" w:rsidRDefault="00F64776" w:rsidP="00F64776">
      <w:pPr>
        <w:pStyle w:val="TextoNormal"/>
      </w:pPr>
      <w:r>
        <w:t>Estimar justificada la abstención formulada por el magistrado señor don César Tolosa Tribiño en el recurso de amparo núm. 4790-2022 y apartarle definitivamente del conocimiento del referido recurso y de todas sus incidencias.</w:t>
      </w:r>
    </w:p>
    <w:p w14:paraId="5900E3C9" w14:textId="77777777" w:rsidR="00F64776" w:rsidRDefault="00F64776" w:rsidP="00F64776">
      <w:pPr>
        <w:pStyle w:val="TextoNormal"/>
      </w:pPr>
    </w:p>
    <w:p w14:paraId="6301FC5A" w14:textId="77777777" w:rsidR="00F64776" w:rsidRDefault="00F64776" w:rsidP="00F64776">
      <w:pPr>
        <w:pStyle w:val="TextoNormal"/>
      </w:pPr>
      <w:r>
        <w:t>Madrid, a cuatro de septiembre de dos mil veintitrés.</w:t>
      </w:r>
    </w:p>
    <w:p w14:paraId="16E0131D" w14:textId="2D49F81C" w:rsidR="00F64776" w:rsidRDefault="00F64776">
      <w:pPr>
        <w:spacing w:after="160" w:line="278" w:lineRule="auto"/>
        <w:rPr>
          <w:rFonts w:ascii="Times New Roman" w:eastAsia="Times New Roman" w:hAnsi="Times New Roman" w:cs="Times New Roman"/>
          <w:sz w:val="24"/>
          <w:szCs w:val="24"/>
          <w:lang w:eastAsia="es-ES"/>
        </w:rPr>
      </w:pPr>
      <w:r>
        <w:br w:type="page"/>
      </w:r>
    </w:p>
    <w:p w14:paraId="4E37A072" w14:textId="77777777" w:rsidR="00F64776" w:rsidRDefault="00F64776" w:rsidP="00F64776">
      <w:pPr>
        <w:pStyle w:val="TtuloResolucin"/>
      </w:pPr>
      <w:bookmarkStart w:id="174" w:name="AUTO_2023_389"/>
      <w:r>
        <w:t>AUTO 389/2023, de 4 de septiembre de 2023</w:t>
      </w:r>
    </w:p>
    <w:bookmarkEnd w:id="174"/>
    <w:p w14:paraId="4FA8F86C" w14:textId="77777777" w:rsidR="00F64776" w:rsidRDefault="00F64776" w:rsidP="00F64776">
      <w:pPr>
        <w:pStyle w:val="TtuloResolucin"/>
      </w:pPr>
      <w:r>
        <w:t>Sección Tercera</w:t>
      </w:r>
    </w:p>
    <w:p w14:paraId="3DF4955C" w14:textId="77777777" w:rsidR="00F64776" w:rsidRDefault="00F64776" w:rsidP="00F64776">
      <w:pPr>
        <w:pStyle w:val="TextoNormalCentrado"/>
      </w:pPr>
      <w:r>
        <w:t>ECLI:ES:TC:2023:389A</w:t>
      </w:r>
    </w:p>
    <w:p w14:paraId="18471579" w14:textId="7A0F747B" w:rsidR="00F64776" w:rsidRDefault="00F64776" w:rsidP="00F64776">
      <w:pPr>
        <w:pStyle w:val="TextoNormalCentrado"/>
      </w:pPr>
    </w:p>
    <w:p w14:paraId="084235EB" w14:textId="77777777" w:rsidR="00F64776" w:rsidRDefault="00F64776" w:rsidP="00F64776">
      <w:pPr>
        <w:pStyle w:val="SntesisDescriptiva"/>
      </w:pPr>
      <w:r>
        <w:t>Excms. Srs. doña Inmaculada Montalbán Huertas y doña Laura Díez Bueso.</w:t>
      </w:r>
    </w:p>
    <w:p w14:paraId="0CBB11F2" w14:textId="7FAC18D9" w:rsidR="00F64776" w:rsidRDefault="00F64776" w:rsidP="00F64776">
      <w:pPr>
        <w:pStyle w:val="SntesisDescriptiva"/>
      </w:pPr>
    </w:p>
    <w:p w14:paraId="07749FDC" w14:textId="77777777" w:rsidR="00F64776" w:rsidRDefault="00F64776" w:rsidP="00F64776">
      <w:pPr>
        <w:pStyle w:val="SntesisDescriptiva"/>
      </w:pPr>
      <w:r>
        <w:t>Acepta una abstención en el recurso de amparo 4910-2022, promovido en proceso contencioso-administrativo.</w:t>
      </w:r>
    </w:p>
    <w:p w14:paraId="0CEC95BC" w14:textId="6B391201" w:rsidR="00F64776" w:rsidRDefault="00F64776" w:rsidP="00F64776">
      <w:pPr>
        <w:pStyle w:val="SntesisDescriptiva"/>
      </w:pPr>
    </w:p>
    <w:p w14:paraId="58A6FE1A" w14:textId="77777777" w:rsidR="00F64776" w:rsidRDefault="00F64776" w:rsidP="00F64776">
      <w:pPr>
        <w:pStyle w:val="SntesisDescriptiva"/>
      </w:pPr>
    </w:p>
    <w:p w14:paraId="562730CA" w14:textId="77777777" w:rsidR="00F64776" w:rsidRDefault="00F64776" w:rsidP="00F64776">
      <w:pPr>
        <w:pStyle w:val="SntesisDescriptiva"/>
      </w:pPr>
    </w:p>
    <w:p w14:paraId="0676D0F2" w14:textId="77777777" w:rsidR="00F64776" w:rsidRDefault="00F64776" w:rsidP="00F64776">
      <w:pPr>
        <w:pStyle w:val="TextoNormalNegritaCentrado"/>
      </w:pPr>
      <w:r>
        <w:t>AUTO</w:t>
      </w:r>
    </w:p>
    <w:p w14:paraId="4BE4FAB3" w14:textId="2A728576" w:rsidR="00F64776" w:rsidRDefault="00F64776" w:rsidP="00F64776">
      <w:pPr>
        <w:pStyle w:val="TextoNormalNegritaCentrado"/>
      </w:pPr>
    </w:p>
    <w:p w14:paraId="74DE88D9" w14:textId="77777777" w:rsidR="00F64776" w:rsidRDefault="00F64776" w:rsidP="00F64776">
      <w:pPr>
        <w:pStyle w:val="TextoNormalNegritaCentrado"/>
        <w:keepNext/>
      </w:pPr>
      <w:r>
        <w:t>I. Antecedentes</w:t>
      </w:r>
    </w:p>
    <w:p w14:paraId="3A91704C" w14:textId="788DD984" w:rsidR="00F64776" w:rsidRDefault="00F64776" w:rsidP="00F64776">
      <w:pPr>
        <w:pStyle w:val="TextoNormalNegritaCentrado"/>
        <w:keepNext/>
      </w:pPr>
    </w:p>
    <w:p w14:paraId="7E50213E" w14:textId="36B52E9C" w:rsidR="00F64776" w:rsidRDefault="00F64776" w:rsidP="00F64776">
      <w:pPr>
        <w:pStyle w:val="TextoNormal"/>
      </w:pPr>
      <w:r w:rsidRPr="00F64776">
        <w:rPr>
          <w:rStyle w:val="NumeroAFNegritaCaracter"/>
        </w:rPr>
        <w:t>1</w:t>
      </w:r>
      <w:r>
        <w:t>. Mediante escrito registrado en este tribunal el 5 de julio de 2022 la procuradora de los tribunales doña Paloma González del Yerro Valdés, en nombre y representación de don Aboudramane Diably y bajo la dirección del letrado don Luis Ramón Burgos Rodríguez, interpuso demanda de amparo contra la providencia de 28 de junio de 2022 de la Sección Primera de la Sala de lo Contencioso-Administrativo del Tribunal Supremo en recurso de queja núm. 237-2022.</w:t>
      </w:r>
    </w:p>
    <w:p w14:paraId="5FDD919E" w14:textId="77777777" w:rsidR="00F64776" w:rsidRDefault="00F64776" w:rsidP="00F64776">
      <w:pPr>
        <w:pStyle w:val="TextoNormal"/>
      </w:pPr>
    </w:p>
    <w:p w14:paraId="6AE77FA6" w14:textId="2FA2CFAB" w:rsidR="00F64776" w:rsidRDefault="00F64776" w:rsidP="00F64776">
      <w:pPr>
        <w:pStyle w:val="TextoNormal"/>
      </w:pPr>
      <w:r w:rsidRPr="00F64776">
        <w:rPr>
          <w:rStyle w:val="NumeroAFNegritaCaracter"/>
        </w:rPr>
        <w:t>2</w:t>
      </w:r>
      <w:r>
        <w:t>. Por escrito de 3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376D5AB0" w14:textId="77777777" w:rsidR="00F64776" w:rsidRDefault="00F64776" w:rsidP="00F64776">
      <w:pPr>
        <w:pStyle w:val="TextoNormal"/>
      </w:pPr>
    </w:p>
    <w:p w14:paraId="5E82FCF0" w14:textId="77777777" w:rsidR="00F64776" w:rsidRDefault="00F64776" w:rsidP="00F64776">
      <w:pPr>
        <w:pStyle w:val="TextoNormalNegritaCentrado"/>
        <w:keepNext/>
      </w:pPr>
      <w:r>
        <w:t>II. Fundamentos jurídicos</w:t>
      </w:r>
    </w:p>
    <w:p w14:paraId="3119E3DF" w14:textId="4947B1F6" w:rsidR="00F64776" w:rsidRDefault="00F64776" w:rsidP="00F64776">
      <w:pPr>
        <w:pStyle w:val="TextoNormalNegritaCentrado"/>
        <w:keepNext/>
      </w:pPr>
    </w:p>
    <w:p w14:paraId="162A762D" w14:textId="22B5B271"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10370F5F" w14:textId="77777777" w:rsidR="00F64776" w:rsidRDefault="00F64776" w:rsidP="00F64776">
      <w:pPr>
        <w:pStyle w:val="TextoNormal"/>
      </w:pPr>
    </w:p>
    <w:p w14:paraId="66922BA5" w14:textId="77777777" w:rsidR="00F64776" w:rsidRDefault="00F64776" w:rsidP="00F64776">
      <w:pPr>
        <w:pStyle w:val="TextoNormal"/>
      </w:pPr>
      <w:r>
        <w:t>Por lo expuesto, la Sección</w:t>
      </w:r>
    </w:p>
    <w:p w14:paraId="056199FC" w14:textId="0C5CFE3D" w:rsidR="00F64776" w:rsidRDefault="00F64776" w:rsidP="00F64776">
      <w:pPr>
        <w:pStyle w:val="TextoNormal"/>
      </w:pPr>
    </w:p>
    <w:p w14:paraId="1A0979CA" w14:textId="77777777" w:rsidR="00F64776" w:rsidRDefault="00F64776" w:rsidP="00F64776">
      <w:pPr>
        <w:pStyle w:val="TextoNormalCentrado"/>
      </w:pPr>
      <w:r>
        <w:t>ACUERDA</w:t>
      </w:r>
    </w:p>
    <w:p w14:paraId="4CE867C6" w14:textId="0AE1F891" w:rsidR="00F64776" w:rsidRDefault="00F64776" w:rsidP="00F64776">
      <w:pPr>
        <w:pStyle w:val="TextoNormalCentrado"/>
      </w:pPr>
    </w:p>
    <w:p w14:paraId="71C9B5A7" w14:textId="624AAB8C" w:rsidR="00F64776" w:rsidRDefault="00F64776" w:rsidP="00F64776">
      <w:pPr>
        <w:pStyle w:val="TextoNormal"/>
      </w:pPr>
      <w:r>
        <w:t>Estimar justificada la abstención formulada por el magistrado señor don César Tolosa Tribiño en el recurso de amparo núm. 4910-2022 y apartarle definitivamente del conocimiento del referido recurso y de todas sus incidencias.</w:t>
      </w:r>
    </w:p>
    <w:p w14:paraId="5E86A32A" w14:textId="77777777" w:rsidR="00F64776" w:rsidRDefault="00F64776" w:rsidP="00F64776">
      <w:pPr>
        <w:pStyle w:val="TextoNormal"/>
      </w:pPr>
    </w:p>
    <w:p w14:paraId="1E29054A" w14:textId="77777777" w:rsidR="00F64776" w:rsidRDefault="00F64776" w:rsidP="00F64776">
      <w:pPr>
        <w:pStyle w:val="TextoNormal"/>
      </w:pPr>
      <w:r>
        <w:t>Madrid, a cuatro de septiembre de dos mil veintitrés.</w:t>
      </w:r>
    </w:p>
    <w:p w14:paraId="312D15B8" w14:textId="29A6F9D4" w:rsidR="00F64776" w:rsidRDefault="00F64776">
      <w:pPr>
        <w:spacing w:after="160" w:line="278" w:lineRule="auto"/>
        <w:rPr>
          <w:rFonts w:ascii="Times New Roman" w:eastAsia="Times New Roman" w:hAnsi="Times New Roman" w:cs="Times New Roman"/>
          <w:sz w:val="24"/>
          <w:szCs w:val="24"/>
          <w:lang w:eastAsia="es-ES"/>
        </w:rPr>
      </w:pPr>
      <w:r>
        <w:br w:type="page"/>
      </w:r>
    </w:p>
    <w:p w14:paraId="3A5F3249" w14:textId="77777777" w:rsidR="00F64776" w:rsidRDefault="00F64776" w:rsidP="00F64776">
      <w:pPr>
        <w:pStyle w:val="TtuloResolucin"/>
      </w:pPr>
      <w:bookmarkStart w:id="175" w:name="AUTO_2023_390"/>
      <w:r>
        <w:t>AUTO 390/2023, de 4 de septiembre de 2023</w:t>
      </w:r>
    </w:p>
    <w:bookmarkEnd w:id="175"/>
    <w:p w14:paraId="7D262D02" w14:textId="77777777" w:rsidR="00F64776" w:rsidRDefault="00F64776" w:rsidP="00F64776">
      <w:pPr>
        <w:pStyle w:val="TtuloResolucin"/>
      </w:pPr>
      <w:r>
        <w:t>Sección Tercera</w:t>
      </w:r>
    </w:p>
    <w:p w14:paraId="4CC81A5D" w14:textId="77777777" w:rsidR="00F64776" w:rsidRDefault="00F64776" w:rsidP="00F64776">
      <w:pPr>
        <w:pStyle w:val="TextoNormalCentrado"/>
      </w:pPr>
      <w:r>
        <w:t>ECLI:ES:TC:2023:390A</w:t>
      </w:r>
    </w:p>
    <w:p w14:paraId="6A5A916B" w14:textId="2F89993A" w:rsidR="00F64776" w:rsidRDefault="00F64776" w:rsidP="00F64776">
      <w:pPr>
        <w:pStyle w:val="TextoNormalCentrado"/>
      </w:pPr>
    </w:p>
    <w:p w14:paraId="715BCA70" w14:textId="77777777" w:rsidR="00F64776" w:rsidRDefault="00F64776" w:rsidP="00F64776">
      <w:pPr>
        <w:pStyle w:val="SntesisDescriptiva"/>
      </w:pPr>
      <w:r>
        <w:t>Excms. Srs. doña Inmaculada Montalbán Huertas y doña Laura Díez Bueso.</w:t>
      </w:r>
    </w:p>
    <w:p w14:paraId="33AED99E" w14:textId="55DF44B5" w:rsidR="00F64776" w:rsidRDefault="00F64776" w:rsidP="00F64776">
      <w:pPr>
        <w:pStyle w:val="SntesisDescriptiva"/>
      </w:pPr>
    </w:p>
    <w:p w14:paraId="2BA04EED" w14:textId="77777777" w:rsidR="00F64776" w:rsidRDefault="00F64776" w:rsidP="00F64776">
      <w:pPr>
        <w:pStyle w:val="SntesisDescriptiva"/>
      </w:pPr>
      <w:r>
        <w:t>Acepta una abstención en el recurso de amparo 5116-2022, promovido en proceso contencioso-administrativo.</w:t>
      </w:r>
    </w:p>
    <w:p w14:paraId="342F7EBF" w14:textId="1D1E39E9" w:rsidR="00F64776" w:rsidRDefault="00F64776" w:rsidP="00F64776">
      <w:pPr>
        <w:pStyle w:val="SntesisDescriptiva"/>
      </w:pPr>
    </w:p>
    <w:p w14:paraId="73CD8955" w14:textId="77777777" w:rsidR="00F64776" w:rsidRDefault="00F64776" w:rsidP="00F64776">
      <w:pPr>
        <w:pStyle w:val="SntesisDescriptiva"/>
      </w:pPr>
    </w:p>
    <w:p w14:paraId="27DA8758" w14:textId="77777777" w:rsidR="00F64776" w:rsidRDefault="00F64776" w:rsidP="00F64776">
      <w:pPr>
        <w:pStyle w:val="SntesisDescriptiva"/>
      </w:pPr>
    </w:p>
    <w:p w14:paraId="60786E49" w14:textId="77777777" w:rsidR="00F64776" w:rsidRDefault="00F64776" w:rsidP="00F64776">
      <w:pPr>
        <w:pStyle w:val="TextoNormalNegritaCentrado"/>
      </w:pPr>
      <w:r>
        <w:t>AUTO</w:t>
      </w:r>
    </w:p>
    <w:p w14:paraId="7675EE3D" w14:textId="25419832" w:rsidR="00F64776" w:rsidRDefault="00F64776" w:rsidP="00F64776">
      <w:pPr>
        <w:pStyle w:val="TextoNormalNegritaCentrado"/>
      </w:pPr>
    </w:p>
    <w:p w14:paraId="4EA522D6" w14:textId="77777777" w:rsidR="00F64776" w:rsidRDefault="00F64776" w:rsidP="00F64776">
      <w:pPr>
        <w:pStyle w:val="TextoNormalNegritaCentrado"/>
        <w:keepNext/>
      </w:pPr>
      <w:r>
        <w:t>I. Antecedentes</w:t>
      </w:r>
    </w:p>
    <w:p w14:paraId="5697B277" w14:textId="14A66609" w:rsidR="00F64776" w:rsidRDefault="00F64776" w:rsidP="00F64776">
      <w:pPr>
        <w:pStyle w:val="TextoNormalNegritaCentrado"/>
        <w:keepNext/>
      </w:pPr>
    </w:p>
    <w:p w14:paraId="2E1CD97C" w14:textId="61D943C4" w:rsidR="00F64776" w:rsidRDefault="00F64776" w:rsidP="00F64776">
      <w:pPr>
        <w:pStyle w:val="TextoNormal"/>
      </w:pPr>
      <w:r w:rsidRPr="00F64776">
        <w:rPr>
          <w:rStyle w:val="NumeroAFNegritaCaracter"/>
        </w:rPr>
        <w:t>1</w:t>
      </w:r>
      <w:r>
        <w:t>. Mediante escrito registrado en este tribunal el 13 de julio de 2022 la procuradora de los tribunales doña María Sandra García Fernández-Villa, en nombre y representación de doña Carla Irlanda Montenegro y otros, y bajo la dirección del letrado don César Muñoz Carpintero, interpuso demanda de amparo contra auto de 6 de julio de 2022 dictado por la Sección Primera de la Sala de lo Contencioso-Administrativo del Tribunal Supremo en recurso de queja núm. 196-2022 contra auto de la Sección Tercera de la Sala de lo Contencioso-Administrativo de la Audiencia Nacional.</w:t>
      </w:r>
    </w:p>
    <w:p w14:paraId="79CD0F47" w14:textId="77777777" w:rsidR="00F64776" w:rsidRDefault="00F64776" w:rsidP="00F64776">
      <w:pPr>
        <w:pStyle w:val="TextoNormal"/>
      </w:pPr>
    </w:p>
    <w:p w14:paraId="2CEF3C4C" w14:textId="35E8C04A" w:rsidR="00F64776" w:rsidRDefault="00F64776" w:rsidP="00F64776">
      <w:pPr>
        <w:pStyle w:val="TextoNormal"/>
      </w:pPr>
      <w:r w:rsidRPr="00F64776">
        <w:rPr>
          <w:rStyle w:val="NumeroAFNegritaCaracter"/>
        </w:rPr>
        <w:t>2</w:t>
      </w:r>
      <w:r>
        <w:t>. Por escrito de 8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67029D05" w14:textId="77777777" w:rsidR="00F64776" w:rsidRDefault="00F64776" w:rsidP="00F64776">
      <w:pPr>
        <w:pStyle w:val="TextoNormal"/>
      </w:pPr>
    </w:p>
    <w:p w14:paraId="14516CFA" w14:textId="77777777" w:rsidR="00F64776" w:rsidRDefault="00F64776" w:rsidP="00F64776">
      <w:pPr>
        <w:pStyle w:val="TextoNormalNegritaCentrado"/>
        <w:keepNext/>
      </w:pPr>
      <w:r>
        <w:t>II. Fundamentos jurídicos</w:t>
      </w:r>
    </w:p>
    <w:p w14:paraId="67C281AE" w14:textId="2BF5EB52" w:rsidR="00F64776" w:rsidRDefault="00F64776" w:rsidP="00F64776">
      <w:pPr>
        <w:pStyle w:val="TextoNormalNegritaCentrado"/>
        <w:keepNext/>
      </w:pPr>
    </w:p>
    <w:p w14:paraId="437B9980" w14:textId="1923AD55"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639F581B" w14:textId="77777777" w:rsidR="00F64776" w:rsidRDefault="00F64776" w:rsidP="00F64776">
      <w:pPr>
        <w:pStyle w:val="TextoNormal"/>
      </w:pPr>
    </w:p>
    <w:p w14:paraId="752DA5FF" w14:textId="77777777" w:rsidR="00F64776" w:rsidRDefault="00F64776" w:rsidP="00F64776">
      <w:pPr>
        <w:pStyle w:val="TextoNormal"/>
      </w:pPr>
      <w:r>
        <w:t>Por lo expuesto, la Sección</w:t>
      </w:r>
    </w:p>
    <w:p w14:paraId="76B13718" w14:textId="079B8AEF" w:rsidR="00F64776" w:rsidRDefault="00F64776" w:rsidP="00F64776">
      <w:pPr>
        <w:pStyle w:val="TextoNormal"/>
      </w:pPr>
    </w:p>
    <w:p w14:paraId="1AA2D417" w14:textId="77777777" w:rsidR="00F64776" w:rsidRDefault="00F64776" w:rsidP="00F64776">
      <w:pPr>
        <w:pStyle w:val="TextoNormalCentrado"/>
      </w:pPr>
      <w:r>
        <w:t>ACUERDA</w:t>
      </w:r>
    </w:p>
    <w:p w14:paraId="12AE64BD" w14:textId="475B74F6" w:rsidR="00F64776" w:rsidRDefault="00F64776" w:rsidP="00F64776">
      <w:pPr>
        <w:pStyle w:val="TextoNormalCentrado"/>
      </w:pPr>
    </w:p>
    <w:p w14:paraId="68F16BA7" w14:textId="10BBD0BE" w:rsidR="00F64776" w:rsidRDefault="00F64776" w:rsidP="00F64776">
      <w:pPr>
        <w:pStyle w:val="TextoNormal"/>
      </w:pPr>
      <w:r>
        <w:t>Estimar justificada la abstención formulada por el magistrado señor don César Tolosa Tribiño en el recurso de amparo núm. 5116-2022 y apartarle definitivamente del conocimiento del referido recurso y de todas sus incidencias.</w:t>
      </w:r>
    </w:p>
    <w:p w14:paraId="14E206CD" w14:textId="77777777" w:rsidR="00F64776" w:rsidRDefault="00F64776" w:rsidP="00F64776">
      <w:pPr>
        <w:pStyle w:val="TextoNormal"/>
      </w:pPr>
    </w:p>
    <w:p w14:paraId="04F0FF78" w14:textId="77777777" w:rsidR="00F64776" w:rsidRDefault="00F64776" w:rsidP="00F64776">
      <w:pPr>
        <w:pStyle w:val="TextoNormal"/>
      </w:pPr>
      <w:r>
        <w:t>Madrid, a cuatro de septiembre de dos mil veintitrés.</w:t>
      </w:r>
    </w:p>
    <w:p w14:paraId="135F3A8E" w14:textId="47562663" w:rsidR="00F64776" w:rsidRDefault="00F64776">
      <w:pPr>
        <w:spacing w:after="160" w:line="278" w:lineRule="auto"/>
        <w:rPr>
          <w:rFonts w:ascii="Times New Roman" w:eastAsia="Times New Roman" w:hAnsi="Times New Roman" w:cs="Times New Roman"/>
          <w:sz w:val="24"/>
          <w:szCs w:val="24"/>
          <w:lang w:eastAsia="es-ES"/>
        </w:rPr>
      </w:pPr>
      <w:r>
        <w:br w:type="page"/>
      </w:r>
    </w:p>
    <w:p w14:paraId="5401E172" w14:textId="77777777" w:rsidR="00F64776" w:rsidRDefault="00F64776" w:rsidP="00F64776">
      <w:pPr>
        <w:pStyle w:val="TtuloResolucin"/>
      </w:pPr>
      <w:bookmarkStart w:id="176" w:name="AUTO_2023_391"/>
      <w:r>
        <w:t>AUTO 391/2023, de 4 de septiembre de 2023</w:t>
      </w:r>
    </w:p>
    <w:bookmarkEnd w:id="176"/>
    <w:p w14:paraId="74B97FB9" w14:textId="77777777" w:rsidR="00F64776" w:rsidRDefault="00F64776" w:rsidP="00F64776">
      <w:pPr>
        <w:pStyle w:val="TtuloResolucin"/>
      </w:pPr>
      <w:r>
        <w:t>Sección Tercera</w:t>
      </w:r>
    </w:p>
    <w:p w14:paraId="51022DCA" w14:textId="77777777" w:rsidR="00F64776" w:rsidRDefault="00F64776" w:rsidP="00F64776">
      <w:pPr>
        <w:pStyle w:val="TextoNormalCentrado"/>
      </w:pPr>
      <w:r>
        <w:t>ECLI:ES:TC:2023:391A</w:t>
      </w:r>
    </w:p>
    <w:p w14:paraId="5EC82E40" w14:textId="40A33A59" w:rsidR="00F64776" w:rsidRDefault="00F64776" w:rsidP="00F64776">
      <w:pPr>
        <w:pStyle w:val="TextoNormalCentrado"/>
      </w:pPr>
    </w:p>
    <w:p w14:paraId="159F1488" w14:textId="77777777" w:rsidR="00F64776" w:rsidRDefault="00F64776" w:rsidP="00F64776">
      <w:pPr>
        <w:pStyle w:val="SntesisDescriptiva"/>
      </w:pPr>
      <w:r>
        <w:t>Excms. Srs. doña Inmaculada Montalbán Huertas y doña Laura Díez Bueso.</w:t>
      </w:r>
    </w:p>
    <w:p w14:paraId="1C673441" w14:textId="3E4C7130" w:rsidR="00F64776" w:rsidRDefault="00F64776" w:rsidP="00F64776">
      <w:pPr>
        <w:pStyle w:val="SntesisDescriptiva"/>
      </w:pPr>
    </w:p>
    <w:p w14:paraId="32EB8F75" w14:textId="77777777" w:rsidR="00F64776" w:rsidRDefault="00F64776" w:rsidP="00F64776">
      <w:pPr>
        <w:pStyle w:val="SntesisDescriptiva"/>
      </w:pPr>
      <w:r>
        <w:t>Acepta una abstención en el recurso de amparo 5214-2022, promovido en proceso contencioso-administrativo.</w:t>
      </w:r>
    </w:p>
    <w:p w14:paraId="52F1A136" w14:textId="1AC2816A" w:rsidR="00F64776" w:rsidRDefault="00F64776" w:rsidP="00F64776">
      <w:pPr>
        <w:pStyle w:val="SntesisDescriptiva"/>
      </w:pPr>
    </w:p>
    <w:p w14:paraId="0B1F0F30" w14:textId="77777777" w:rsidR="00F64776" w:rsidRDefault="00F64776" w:rsidP="00F64776">
      <w:pPr>
        <w:pStyle w:val="SntesisDescriptiva"/>
      </w:pPr>
    </w:p>
    <w:p w14:paraId="421042A7" w14:textId="77777777" w:rsidR="00F64776" w:rsidRDefault="00F64776" w:rsidP="00F64776">
      <w:pPr>
        <w:pStyle w:val="SntesisDescriptiva"/>
      </w:pPr>
    </w:p>
    <w:p w14:paraId="5735A666" w14:textId="77777777" w:rsidR="00F64776" w:rsidRDefault="00F64776" w:rsidP="00F64776">
      <w:pPr>
        <w:pStyle w:val="TextoNormalNegritaCentrado"/>
      </w:pPr>
      <w:r>
        <w:t>AUTO</w:t>
      </w:r>
    </w:p>
    <w:p w14:paraId="44A3D015" w14:textId="5B729E74" w:rsidR="00F64776" w:rsidRDefault="00F64776" w:rsidP="00F64776">
      <w:pPr>
        <w:pStyle w:val="TextoNormalNegritaCentrado"/>
      </w:pPr>
    </w:p>
    <w:p w14:paraId="4CE0D29C" w14:textId="77777777" w:rsidR="00F64776" w:rsidRDefault="00F64776" w:rsidP="00F64776">
      <w:pPr>
        <w:pStyle w:val="TextoNormalNegritaCentrado"/>
        <w:keepNext/>
      </w:pPr>
      <w:r>
        <w:t>I. Antecedentes</w:t>
      </w:r>
    </w:p>
    <w:p w14:paraId="333B2C63" w14:textId="0022AA03" w:rsidR="00F64776" w:rsidRDefault="00F64776" w:rsidP="00F64776">
      <w:pPr>
        <w:pStyle w:val="TextoNormalNegritaCentrado"/>
        <w:keepNext/>
      </w:pPr>
    </w:p>
    <w:p w14:paraId="72DD6FF7" w14:textId="63F62812" w:rsidR="00F64776" w:rsidRDefault="00F64776" w:rsidP="00F64776">
      <w:pPr>
        <w:pStyle w:val="TextoNormal"/>
      </w:pPr>
      <w:r w:rsidRPr="00F64776">
        <w:rPr>
          <w:rStyle w:val="NumeroAFNegritaCaracter"/>
        </w:rPr>
        <w:t>1</w:t>
      </w:r>
      <w:r>
        <w:t>. Mediante escrito registrado en este tribunal el 15 de julio de 2022 la procuradora de los tribunales doña María del Pilar Tello Sánchez, en nombre y representación de don Ayoub Salhi y bajo la dirección de la letrada doña Ana Luisa Barquín Pechero, interpuso demanda de amparo contra la providencia de 13 de julio de 2022 de la Sala de lo Contencioso-Administrativo del Tribunal Supremo en recurso de casación núm. 1848/2022.</w:t>
      </w:r>
    </w:p>
    <w:p w14:paraId="50A3E466" w14:textId="77777777" w:rsidR="00F64776" w:rsidRDefault="00F64776" w:rsidP="00F64776">
      <w:pPr>
        <w:pStyle w:val="TextoNormal"/>
      </w:pPr>
    </w:p>
    <w:p w14:paraId="0D4782F0" w14:textId="697FF2D4" w:rsidR="00F64776" w:rsidRDefault="00F64776" w:rsidP="00F64776">
      <w:pPr>
        <w:pStyle w:val="TextoNormal"/>
      </w:pPr>
      <w:r w:rsidRPr="00F64776">
        <w:rPr>
          <w:rStyle w:val="NumeroAFNegritaCaracter"/>
        </w:rPr>
        <w:t>2</w:t>
      </w:r>
      <w:r>
        <w:t>. Por escrito de 4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738B8481" w14:textId="77777777" w:rsidR="00F64776" w:rsidRDefault="00F64776" w:rsidP="00F64776">
      <w:pPr>
        <w:pStyle w:val="TextoNormal"/>
      </w:pPr>
    </w:p>
    <w:p w14:paraId="03F11D56" w14:textId="77777777" w:rsidR="00F64776" w:rsidRDefault="00F64776" w:rsidP="00F64776">
      <w:pPr>
        <w:pStyle w:val="TextoNormalNegritaCentrado"/>
        <w:keepNext/>
      </w:pPr>
      <w:r>
        <w:t>II. Fundamentos jurídicos</w:t>
      </w:r>
    </w:p>
    <w:p w14:paraId="74010A3C" w14:textId="66F29954" w:rsidR="00F64776" w:rsidRDefault="00F64776" w:rsidP="00F64776">
      <w:pPr>
        <w:pStyle w:val="TextoNormalNegritaCentrado"/>
        <w:keepNext/>
      </w:pPr>
    </w:p>
    <w:p w14:paraId="7B2E8111" w14:textId="08EDAFB6"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7772FDBD" w14:textId="77777777" w:rsidR="00F64776" w:rsidRDefault="00F64776" w:rsidP="00F64776">
      <w:pPr>
        <w:pStyle w:val="TextoNormal"/>
      </w:pPr>
    </w:p>
    <w:p w14:paraId="21E085FA" w14:textId="77777777" w:rsidR="00F64776" w:rsidRDefault="00F64776" w:rsidP="00F64776">
      <w:pPr>
        <w:pStyle w:val="TextoNormal"/>
      </w:pPr>
      <w:r>
        <w:t>Por lo expuesto, la Sección</w:t>
      </w:r>
    </w:p>
    <w:p w14:paraId="0B0CCEDE" w14:textId="0568D5D8" w:rsidR="00F64776" w:rsidRDefault="00F64776" w:rsidP="00F64776">
      <w:pPr>
        <w:pStyle w:val="TextoNormal"/>
      </w:pPr>
    </w:p>
    <w:p w14:paraId="0673891D" w14:textId="77777777" w:rsidR="00F64776" w:rsidRDefault="00F64776" w:rsidP="00F64776">
      <w:pPr>
        <w:pStyle w:val="TextoNormalCentrado"/>
      </w:pPr>
      <w:r>
        <w:t>ACUERDA</w:t>
      </w:r>
    </w:p>
    <w:p w14:paraId="31A733FF" w14:textId="76827947" w:rsidR="00F64776" w:rsidRDefault="00F64776" w:rsidP="00F64776">
      <w:pPr>
        <w:pStyle w:val="TextoNormalCentrado"/>
      </w:pPr>
    </w:p>
    <w:p w14:paraId="74BCC5DB" w14:textId="08FF4C49" w:rsidR="00F64776" w:rsidRDefault="00F64776" w:rsidP="00F64776">
      <w:pPr>
        <w:pStyle w:val="TextoNormal"/>
      </w:pPr>
      <w:r>
        <w:t>Estimar justificada la abstención formulada por el magistrado señor don César Tolosa Tribiño en el recurso de amparo núm. 5214-2022 y apartarle definitivamente del conocimiento del referido recurso y de todas sus incidencias.</w:t>
      </w:r>
    </w:p>
    <w:p w14:paraId="363ED7A7" w14:textId="77777777" w:rsidR="00F64776" w:rsidRDefault="00F64776" w:rsidP="00F64776">
      <w:pPr>
        <w:pStyle w:val="TextoNormal"/>
      </w:pPr>
    </w:p>
    <w:p w14:paraId="4C6631EF" w14:textId="77777777" w:rsidR="00F64776" w:rsidRDefault="00F64776" w:rsidP="00F64776">
      <w:pPr>
        <w:pStyle w:val="TextoNormal"/>
      </w:pPr>
      <w:r>
        <w:t>Madrid, a cuatro de septiembre de dos mil veintitrés.</w:t>
      </w:r>
    </w:p>
    <w:p w14:paraId="31403487" w14:textId="072BED46" w:rsidR="00F64776" w:rsidRDefault="00F64776">
      <w:pPr>
        <w:spacing w:after="160" w:line="278" w:lineRule="auto"/>
        <w:rPr>
          <w:rFonts w:ascii="Times New Roman" w:eastAsia="Times New Roman" w:hAnsi="Times New Roman" w:cs="Times New Roman"/>
          <w:sz w:val="24"/>
          <w:szCs w:val="24"/>
          <w:lang w:eastAsia="es-ES"/>
        </w:rPr>
      </w:pPr>
      <w:r>
        <w:br w:type="page"/>
      </w:r>
    </w:p>
    <w:p w14:paraId="0F8B1897" w14:textId="77777777" w:rsidR="00F64776" w:rsidRDefault="00F64776" w:rsidP="00F64776">
      <w:pPr>
        <w:pStyle w:val="TtuloResolucin"/>
      </w:pPr>
      <w:bookmarkStart w:id="177" w:name="AUTO_2023_392"/>
      <w:r>
        <w:t>AUTO 392/2023, de 4 de septiembre de 2023</w:t>
      </w:r>
    </w:p>
    <w:bookmarkEnd w:id="177"/>
    <w:p w14:paraId="32DBA2DE" w14:textId="77777777" w:rsidR="00F64776" w:rsidRDefault="00F64776" w:rsidP="00F64776">
      <w:pPr>
        <w:pStyle w:val="TtuloResolucin"/>
      </w:pPr>
      <w:r>
        <w:t>Sección Tercera</w:t>
      </w:r>
    </w:p>
    <w:p w14:paraId="6AF20544" w14:textId="77777777" w:rsidR="00F64776" w:rsidRDefault="00F64776" w:rsidP="00F64776">
      <w:pPr>
        <w:pStyle w:val="TextoNormalCentrado"/>
      </w:pPr>
      <w:r>
        <w:t>ECLI:ES:TC:2023:392A</w:t>
      </w:r>
    </w:p>
    <w:p w14:paraId="433BC94B" w14:textId="67A61EA1" w:rsidR="00F64776" w:rsidRDefault="00F64776" w:rsidP="00F64776">
      <w:pPr>
        <w:pStyle w:val="TextoNormalCentrado"/>
      </w:pPr>
    </w:p>
    <w:p w14:paraId="2CF113F7" w14:textId="77777777" w:rsidR="00F64776" w:rsidRDefault="00F64776" w:rsidP="00F64776">
      <w:pPr>
        <w:pStyle w:val="SntesisDescriptiva"/>
      </w:pPr>
      <w:r>
        <w:t>Excms. Srs. doña Inmaculada Montalbán Huertas y doña Laura Díez Bueso.</w:t>
      </w:r>
    </w:p>
    <w:p w14:paraId="07936A16" w14:textId="3D597BD9" w:rsidR="00F64776" w:rsidRDefault="00F64776" w:rsidP="00F64776">
      <w:pPr>
        <w:pStyle w:val="SntesisDescriptiva"/>
      </w:pPr>
    </w:p>
    <w:p w14:paraId="77A70AE2" w14:textId="77777777" w:rsidR="00F64776" w:rsidRDefault="00F64776" w:rsidP="00F64776">
      <w:pPr>
        <w:pStyle w:val="SntesisDescriptiva"/>
      </w:pPr>
      <w:r>
        <w:t>Acepta una abstención en el recurso de amparo 5224-2022, promovido en proceso contencioso-administrativo.</w:t>
      </w:r>
    </w:p>
    <w:p w14:paraId="25E7571E" w14:textId="3705E175" w:rsidR="00F64776" w:rsidRDefault="00F64776" w:rsidP="00F64776">
      <w:pPr>
        <w:pStyle w:val="SntesisDescriptiva"/>
      </w:pPr>
    </w:p>
    <w:p w14:paraId="2BC134E5" w14:textId="77777777" w:rsidR="00F64776" w:rsidRDefault="00F64776" w:rsidP="00F64776">
      <w:pPr>
        <w:pStyle w:val="SntesisDescriptiva"/>
      </w:pPr>
    </w:p>
    <w:p w14:paraId="41220BB2" w14:textId="77777777" w:rsidR="00F64776" w:rsidRDefault="00F64776" w:rsidP="00F64776">
      <w:pPr>
        <w:pStyle w:val="SntesisDescriptiva"/>
      </w:pPr>
    </w:p>
    <w:p w14:paraId="61CAA90D" w14:textId="77777777" w:rsidR="00F64776" w:rsidRDefault="00F64776" w:rsidP="00F64776">
      <w:pPr>
        <w:pStyle w:val="TextoNormalNegritaCentrado"/>
      </w:pPr>
      <w:r>
        <w:t>AUTO</w:t>
      </w:r>
    </w:p>
    <w:p w14:paraId="3E336C1E" w14:textId="55C781C8" w:rsidR="00F64776" w:rsidRDefault="00F64776" w:rsidP="00F64776">
      <w:pPr>
        <w:pStyle w:val="TextoNormalNegritaCentrado"/>
      </w:pPr>
    </w:p>
    <w:p w14:paraId="6F37CE5D" w14:textId="77777777" w:rsidR="00F64776" w:rsidRDefault="00F64776" w:rsidP="00F64776">
      <w:pPr>
        <w:pStyle w:val="TextoNormalNegritaCentrado"/>
        <w:keepNext/>
      </w:pPr>
      <w:r>
        <w:t>I. Antecedentes</w:t>
      </w:r>
    </w:p>
    <w:p w14:paraId="60C154A5" w14:textId="73D9379F" w:rsidR="00F64776" w:rsidRDefault="00F64776" w:rsidP="00F64776">
      <w:pPr>
        <w:pStyle w:val="TextoNormalNegritaCentrado"/>
        <w:keepNext/>
      </w:pPr>
    </w:p>
    <w:p w14:paraId="2015A67E" w14:textId="27DFFC6C" w:rsidR="00F64776" w:rsidRDefault="00F64776" w:rsidP="00F64776">
      <w:pPr>
        <w:pStyle w:val="TextoNormal"/>
      </w:pPr>
      <w:r w:rsidRPr="00F64776">
        <w:rPr>
          <w:rStyle w:val="NumeroAFNegritaCaracter"/>
        </w:rPr>
        <w:t>1</w:t>
      </w:r>
      <w:r>
        <w:t>. Mediante escrito registrado en este tribunal el 17 de julio de 2022 el procurador de los tribunales don Francisco Fernández Rosa, en nombre y representación de doña Amira Benkhaled y bajo la dirección del letrado don Raimundo Sánchez Jiménez, interpuso demanda de amparo contra providencia de 18 de mayo de 2022, dictada por la Sección Primera de la Sala de lo Contencioso-Administrativo del Tribunal Supremo en recurso de casación 842-2022 contra sentencia de la Sección Tercera de la Sala de lo Contencioso-Administrativo de la Audiencia Nacional en procedimiento ordinario 413-2020.</w:t>
      </w:r>
    </w:p>
    <w:p w14:paraId="6EF2A416" w14:textId="77777777" w:rsidR="00F64776" w:rsidRDefault="00F64776" w:rsidP="00F64776">
      <w:pPr>
        <w:pStyle w:val="TextoNormal"/>
      </w:pPr>
    </w:p>
    <w:p w14:paraId="767A145C" w14:textId="7EE3956C" w:rsidR="00F64776" w:rsidRDefault="00F64776" w:rsidP="00F64776">
      <w:pPr>
        <w:pStyle w:val="TextoNormal"/>
      </w:pPr>
      <w:r w:rsidRPr="00F64776">
        <w:rPr>
          <w:rStyle w:val="NumeroAFNegritaCaracter"/>
        </w:rPr>
        <w:t>2</w:t>
      </w:r>
      <w:r>
        <w:t>. Por escrito de 8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19ECCFD0" w14:textId="77777777" w:rsidR="00F64776" w:rsidRDefault="00F64776" w:rsidP="00F64776">
      <w:pPr>
        <w:pStyle w:val="TextoNormal"/>
      </w:pPr>
    </w:p>
    <w:p w14:paraId="42CDF478" w14:textId="77777777" w:rsidR="00F64776" w:rsidRDefault="00F64776" w:rsidP="00F64776">
      <w:pPr>
        <w:pStyle w:val="TextoNormalNegritaCentrado"/>
        <w:keepNext/>
      </w:pPr>
      <w:r>
        <w:t>II. Fundamentos jurídicos</w:t>
      </w:r>
    </w:p>
    <w:p w14:paraId="22352921" w14:textId="6C77964D" w:rsidR="00F64776" w:rsidRDefault="00F64776" w:rsidP="00F64776">
      <w:pPr>
        <w:pStyle w:val="TextoNormalNegritaCentrado"/>
        <w:keepNext/>
      </w:pPr>
    </w:p>
    <w:p w14:paraId="14BB9422" w14:textId="483E9C6C"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1C8551B6" w14:textId="77777777" w:rsidR="00F64776" w:rsidRDefault="00F64776" w:rsidP="00F64776">
      <w:pPr>
        <w:pStyle w:val="TextoNormal"/>
      </w:pPr>
    </w:p>
    <w:p w14:paraId="5092D0E2" w14:textId="77777777" w:rsidR="00F64776" w:rsidRDefault="00F64776" w:rsidP="00F64776">
      <w:pPr>
        <w:pStyle w:val="TextoNormal"/>
      </w:pPr>
      <w:r>
        <w:t>Por lo expuesto, la Sección</w:t>
      </w:r>
    </w:p>
    <w:p w14:paraId="2AFE4587" w14:textId="77BE0A01" w:rsidR="00F64776" w:rsidRDefault="00F64776" w:rsidP="00F64776">
      <w:pPr>
        <w:pStyle w:val="TextoNormal"/>
      </w:pPr>
    </w:p>
    <w:p w14:paraId="7B3F455C" w14:textId="77777777" w:rsidR="00F64776" w:rsidRDefault="00F64776" w:rsidP="00F64776">
      <w:pPr>
        <w:pStyle w:val="TextoNormalCentrado"/>
      </w:pPr>
      <w:r>
        <w:t>ACUERDA</w:t>
      </w:r>
    </w:p>
    <w:p w14:paraId="4FD26671" w14:textId="55B0D098" w:rsidR="00F64776" w:rsidRDefault="00F64776" w:rsidP="00F64776">
      <w:pPr>
        <w:pStyle w:val="TextoNormalCentrado"/>
      </w:pPr>
    </w:p>
    <w:p w14:paraId="2F92CBD5" w14:textId="2DA287BE" w:rsidR="00F64776" w:rsidRDefault="00F64776" w:rsidP="00F64776">
      <w:pPr>
        <w:pStyle w:val="TextoNormal"/>
      </w:pPr>
      <w:r>
        <w:t>Estimar justificada la abstención formulada por el magistrado señor don César Tolosa Tribiño en el recurso de amparo núm. 5224-2022 y apartarle definitivamente del conocimiento del referido recurso y de todas sus incidencias.</w:t>
      </w:r>
    </w:p>
    <w:p w14:paraId="22C125B5" w14:textId="77777777" w:rsidR="00F64776" w:rsidRDefault="00F64776" w:rsidP="00F64776">
      <w:pPr>
        <w:pStyle w:val="TextoNormal"/>
      </w:pPr>
    </w:p>
    <w:p w14:paraId="1606B8FA" w14:textId="77777777" w:rsidR="00F64776" w:rsidRDefault="00F64776" w:rsidP="00F64776">
      <w:pPr>
        <w:pStyle w:val="TextoNormal"/>
      </w:pPr>
      <w:r>
        <w:t>Madrid, a cuatro de septiembre de dos mil veintitrés.</w:t>
      </w:r>
    </w:p>
    <w:p w14:paraId="79555C23" w14:textId="5ABCAE5D" w:rsidR="00F64776" w:rsidRDefault="00F64776">
      <w:pPr>
        <w:spacing w:after="160" w:line="278" w:lineRule="auto"/>
        <w:rPr>
          <w:rFonts w:ascii="Times New Roman" w:eastAsia="Times New Roman" w:hAnsi="Times New Roman" w:cs="Times New Roman"/>
          <w:sz w:val="24"/>
          <w:szCs w:val="24"/>
          <w:lang w:eastAsia="es-ES"/>
        </w:rPr>
      </w:pPr>
      <w:r>
        <w:br w:type="page"/>
      </w:r>
    </w:p>
    <w:p w14:paraId="6B11FD68" w14:textId="77777777" w:rsidR="00F64776" w:rsidRDefault="00F64776" w:rsidP="00F64776">
      <w:pPr>
        <w:pStyle w:val="TtuloResolucin"/>
      </w:pPr>
      <w:bookmarkStart w:id="178" w:name="AUTO_2023_393"/>
      <w:r>
        <w:t>AUTO 393/2023, de 4 de septiembre de 2023</w:t>
      </w:r>
    </w:p>
    <w:bookmarkEnd w:id="178"/>
    <w:p w14:paraId="711B5E14" w14:textId="77777777" w:rsidR="00F64776" w:rsidRDefault="00F64776" w:rsidP="00F64776">
      <w:pPr>
        <w:pStyle w:val="TtuloResolucin"/>
      </w:pPr>
      <w:r>
        <w:t>Sección Tercera</w:t>
      </w:r>
    </w:p>
    <w:p w14:paraId="19533E61" w14:textId="77777777" w:rsidR="00F64776" w:rsidRDefault="00F64776" w:rsidP="00F64776">
      <w:pPr>
        <w:pStyle w:val="TextoNormalCentrado"/>
      </w:pPr>
      <w:r>
        <w:t>ECLI:ES:TC:2023:393A</w:t>
      </w:r>
    </w:p>
    <w:p w14:paraId="742FA3D3" w14:textId="62ACC6CB" w:rsidR="00F64776" w:rsidRDefault="00F64776" w:rsidP="00F64776">
      <w:pPr>
        <w:pStyle w:val="TextoNormalCentrado"/>
      </w:pPr>
    </w:p>
    <w:p w14:paraId="4F770823" w14:textId="77777777" w:rsidR="00F64776" w:rsidRDefault="00F64776" w:rsidP="00F64776">
      <w:pPr>
        <w:pStyle w:val="SntesisDescriptiva"/>
      </w:pPr>
      <w:r>
        <w:t>Excms. Srs. doña Inmaculada Montalbán Huertas y doña Laura Díez Bueso.</w:t>
      </w:r>
    </w:p>
    <w:p w14:paraId="4F3BEB4B" w14:textId="48BE8166" w:rsidR="00F64776" w:rsidRDefault="00F64776" w:rsidP="00F64776">
      <w:pPr>
        <w:pStyle w:val="SntesisDescriptiva"/>
      </w:pPr>
    </w:p>
    <w:p w14:paraId="6F428678" w14:textId="77777777" w:rsidR="00F64776" w:rsidRDefault="00F64776" w:rsidP="00F64776">
      <w:pPr>
        <w:pStyle w:val="SntesisDescriptiva"/>
      </w:pPr>
      <w:r>
        <w:t>Acepta una abstención en el recurso de amparo 6649-2022, promovido en proceso contencioso-administrativo.</w:t>
      </w:r>
    </w:p>
    <w:p w14:paraId="21ACE63F" w14:textId="0109C7CC" w:rsidR="00F64776" w:rsidRDefault="00F64776" w:rsidP="00F64776">
      <w:pPr>
        <w:pStyle w:val="SntesisDescriptiva"/>
      </w:pPr>
    </w:p>
    <w:p w14:paraId="7C9F0505" w14:textId="77777777" w:rsidR="00F64776" w:rsidRDefault="00F64776" w:rsidP="00F64776">
      <w:pPr>
        <w:pStyle w:val="SntesisDescriptiva"/>
      </w:pPr>
    </w:p>
    <w:p w14:paraId="71693D65" w14:textId="77777777" w:rsidR="00F64776" w:rsidRDefault="00F64776" w:rsidP="00F64776">
      <w:pPr>
        <w:pStyle w:val="SntesisDescriptiva"/>
      </w:pPr>
    </w:p>
    <w:p w14:paraId="27BD97AD" w14:textId="77777777" w:rsidR="00F64776" w:rsidRDefault="00F64776" w:rsidP="00F64776">
      <w:pPr>
        <w:pStyle w:val="TextoNormalNegritaCentrado"/>
      </w:pPr>
      <w:r>
        <w:t>AUTO</w:t>
      </w:r>
    </w:p>
    <w:p w14:paraId="1D3505F6" w14:textId="16326E49" w:rsidR="00F64776" w:rsidRDefault="00F64776" w:rsidP="00F64776">
      <w:pPr>
        <w:pStyle w:val="TextoNormalNegritaCentrado"/>
      </w:pPr>
    </w:p>
    <w:p w14:paraId="686DFD5C" w14:textId="77777777" w:rsidR="00F64776" w:rsidRDefault="00F64776" w:rsidP="00F64776">
      <w:pPr>
        <w:pStyle w:val="TextoNormalNegritaCentrado"/>
        <w:keepNext/>
      </w:pPr>
      <w:r>
        <w:t>I. Antecedentes</w:t>
      </w:r>
    </w:p>
    <w:p w14:paraId="34FA8C72" w14:textId="0AEAAFFC" w:rsidR="00F64776" w:rsidRDefault="00F64776" w:rsidP="00F64776">
      <w:pPr>
        <w:pStyle w:val="TextoNormalNegritaCentrado"/>
        <w:keepNext/>
      </w:pPr>
    </w:p>
    <w:p w14:paraId="1BC4BA3D" w14:textId="032208BB" w:rsidR="00F64776" w:rsidRDefault="00F64776" w:rsidP="00F64776">
      <w:pPr>
        <w:pStyle w:val="TextoNormal"/>
      </w:pPr>
      <w:r w:rsidRPr="00F64776">
        <w:rPr>
          <w:rStyle w:val="NumeroAFNegritaCaracter"/>
        </w:rPr>
        <w:t>1</w:t>
      </w:r>
      <w:r>
        <w:t>. Mediante escrito registrado en este tribunal el 10 de octubre de 2022 la procuradora de los tribunales doña Bárbara Sánchez Lorente, en nombre y representación de doña Rosa María Martínez González y bajo la dirección del letrado don Julio Pérez Martín, interpuso demanda de amparo contra providencia de la Sala Contencioso-Administrativo del Tribunal Supremo en recurso de casación núm. 1649-2022.</w:t>
      </w:r>
    </w:p>
    <w:p w14:paraId="14766E5F" w14:textId="77777777" w:rsidR="00F64776" w:rsidRDefault="00F64776" w:rsidP="00F64776">
      <w:pPr>
        <w:pStyle w:val="TextoNormal"/>
      </w:pPr>
    </w:p>
    <w:p w14:paraId="0565CF8F" w14:textId="61CF2CE0" w:rsidR="00F64776" w:rsidRDefault="00F64776" w:rsidP="00F64776">
      <w:pPr>
        <w:pStyle w:val="TextoNormal"/>
      </w:pPr>
      <w:r w:rsidRPr="00F64776">
        <w:rPr>
          <w:rStyle w:val="NumeroAFNegritaCaracter"/>
        </w:rPr>
        <w:t>2</w:t>
      </w:r>
      <w:r>
        <w:t>. Por escrito de 4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7640A960" w14:textId="77777777" w:rsidR="00F64776" w:rsidRDefault="00F64776" w:rsidP="00F64776">
      <w:pPr>
        <w:pStyle w:val="TextoNormal"/>
      </w:pPr>
    </w:p>
    <w:p w14:paraId="4E2D4E0F" w14:textId="77777777" w:rsidR="00F64776" w:rsidRDefault="00F64776" w:rsidP="00F64776">
      <w:pPr>
        <w:pStyle w:val="TextoNormalNegritaCentrado"/>
        <w:keepNext/>
      </w:pPr>
      <w:r>
        <w:t>II. Fundamentos jurídicos</w:t>
      </w:r>
    </w:p>
    <w:p w14:paraId="31979514" w14:textId="1F3EFAEE" w:rsidR="00F64776" w:rsidRDefault="00F64776" w:rsidP="00F64776">
      <w:pPr>
        <w:pStyle w:val="TextoNormalNegritaCentrado"/>
        <w:keepNext/>
      </w:pPr>
    </w:p>
    <w:p w14:paraId="001433FA" w14:textId="737574C6"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37446D8D" w14:textId="77777777" w:rsidR="00F64776" w:rsidRDefault="00F64776" w:rsidP="00F64776">
      <w:pPr>
        <w:pStyle w:val="TextoNormal"/>
      </w:pPr>
    </w:p>
    <w:p w14:paraId="431575D0" w14:textId="77777777" w:rsidR="00F64776" w:rsidRDefault="00F64776" w:rsidP="00F64776">
      <w:pPr>
        <w:pStyle w:val="TextoNormal"/>
      </w:pPr>
      <w:r>
        <w:t>Por lo expuesto, la Sección</w:t>
      </w:r>
    </w:p>
    <w:p w14:paraId="3F126D84" w14:textId="410049A1" w:rsidR="00F64776" w:rsidRDefault="00F64776" w:rsidP="00F64776">
      <w:pPr>
        <w:pStyle w:val="TextoNormal"/>
      </w:pPr>
    </w:p>
    <w:p w14:paraId="37B963D5" w14:textId="77777777" w:rsidR="00F64776" w:rsidRDefault="00F64776" w:rsidP="00F64776">
      <w:pPr>
        <w:pStyle w:val="TextoNormalCentrado"/>
      </w:pPr>
      <w:r>
        <w:t>ACUERDA</w:t>
      </w:r>
    </w:p>
    <w:p w14:paraId="35D1366A" w14:textId="362154A7" w:rsidR="00F64776" w:rsidRDefault="00F64776" w:rsidP="00F64776">
      <w:pPr>
        <w:pStyle w:val="TextoNormalCentrado"/>
      </w:pPr>
    </w:p>
    <w:p w14:paraId="7BB81882" w14:textId="60911F32" w:rsidR="00F64776" w:rsidRDefault="00F64776" w:rsidP="00F64776">
      <w:pPr>
        <w:pStyle w:val="TextoNormal"/>
      </w:pPr>
      <w:r>
        <w:t>Estimar justificada la abstención formulada por el magistrado señor don César Tolosa Tribiño en el recurso de amparo núm. 6649-2022 y apartarle definitivamente del conocimiento del referido recurso y de todas sus incidencias.</w:t>
      </w:r>
    </w:p>
    <w:p w14:paraId="119F55A3" w14:textId="77777777" w:rsidR="00F64776" w:rsidRDefault="00F64776" w:rsidP="00F64776">
      <w:pPr>
        <w:pStyle w:val="TextoNormal"/>
      </w:pPr>
    </w:p>
    <w:p w14:paraId="6C740730" w14:textId="77777777" w:rsidR="00F64776" w:rsidRDefault="00F64776" w:rsidP="00F64776">
      <w:pPr>
        <w:pStyle w:val="TextoNormal"/>
      </w:pPr>
      <w:r>
        <w:t>Madrid, a cuatro de septiembre de dos mil veintitrés.</w:t>
      </w:r>
    </w:p>
    <w:p w14:paraId="79143C2F" w14:textId="1855DEB2" w:rsidR="00F64776" w:rsidRDefault="00F64776">
      <w:pPr>
        <w:spacing w:after="160" w:line="278" w:lineRule="auto"/>
        <w:rPr>
          <w:rFonts w:ascii="Times New Roman" w:eastAsia="Times New Roman" w:hAnsi="Times New Roman" w:cs="Times New Roman"/>
          <w:sz w:val="24"/>
          <w:szCs w:val="24"/>
          <w:lang w:eastAsia="es-ES"/>
        </w:rPr>
      </w:pPr>
      <w:r>
        <w:br w:type="page"/>
      </w:r>
    </w:p>
    <w:p w14:paraId="469EBFD8" w14:textId="77777777" w:rsidR="00F64776" w:rsidRDefault="00F64776" w:rsidP="00F64776">
      <w:pPr>
        <w:pStyle w:val="TtuloResolucin"/>
      </w:pPr>
      <w:bookmarkStart w:id="179" w:name="AUTO_2023_394"/>
      <w:r>
        <w:t>AUTO 394/2023, de 4 de septiembre de 2023</w:t>
      </w:r>
    </w:p>
    <w:bookmarkEnd w:id="179"/>
    <w:p w14:paraId="596F6F21" w14:textId="77777777" w:rsidR="00F64776" w:rsidRDefault="00F64776" w:rsidP="00F64776">
      <w:pPr>
        <w:pStyle w:val="TtuloResolucin"/>
      </w:pPr>
      <w:r>
        <w:t>Sección Tercera</w:t>
      </w:r>
    </w:p>
    <w:p w14:paraId="01EC56F6" w14:textId="77777777" w:rsidR="00F64776" w:rsidRDefault="00F64776" w:rsidP="00F64776">
      <w:pPr>
        <w:pStyle w:val="TextoNormalCentrado"/>
      </w:pPr>
      <w:r>
        <w:t>ECLI:ES:TC:2023:394A</w:t>
      </w:r>
    </w:p>
    <w:p w14:paraId="6347BBE9" w14:textId="5200C0AC" w:rsidR="00F64776" w:rsidRDefault="00F64776" w:rsidP="00F64776">
      <w:pPr>
        <w:pStyle w:val="TextoNormalCentrado"/>
      </w:pPr>
    </w:p>
    <w:p w14:paraId="76B863C1" w14:textId="77777777" w:rsidR="00F64776" w:rsidRDefault="00F64776" w:rsidP="00F64776">
      <w:pPr>
        <w:pStyle w:val="SntesisDescriptiva"/>
      </w:pPr>
      <w:r>
        <w:t>Excms. Srs. doña Inmaculada Montalbán Huertas y doña Laura Díez Bueso.</w:t>
      </w:r>
    </w:p>
    <w:p w14:paraId="0FD9A6A3" w14:textId="2BDA749D" w:rsidR="00F64776" w:rsidRDefault="00F64776" w:rsidP="00F64776">
      <w:pPr>
        <w:pStyle w:val="SntesisDescriptiva"/>
      </w:pPr>
    </w:p>
    <w:p w14:paraId="365A3DDA" w14:textId="77777777" w:rsidR="00F64776" w:rsidRDefault="00F64776" w:rsidP="00F64776">
      <w:pPr>
        <w:pStyle w:val="SntesisDescriptiva"/>
      </w:pPr>
      <w:r>
        <w:t>Acepta una abstención en el recurso de amparo 6763-2022, promovido por la entidad Ayacasay, S.L., en proceso contencioso-administrativo.</w:t>
      </w:r>
    </w:p>
    <w:p w14:paraId="64BB107A" w14:textId="7773F3BB" w:rsidR="00F64776" w:rsidRDefault="00F64776" w:rsidP="00F64776">
      <w:pPr>
        <w:pStyle w:val="SntesisDescriptiva"/>
      </w:pPr>
    </w:p>
    <w:p w14:paraId="09B17289" w14:textId="77777777" w:rsidR="00F64776" w:rsidRDefault="00F64776" w:rsidP="00F64776">
      <w:pPr>
        <w:pStyle w:val="SntesisDescriptiva"/>
      </w:pPr>
    </w:p>
    <w:p w14:paraId="0E170E34" w14:textId="77777777" w:rsidR="00F64776" w:rsidRDefault="00F64776" w:rsidP="00F64776">
      <w:pPr>
        <w:pStyle w:val="SntesisDescriptiva"/>
      </w:pPr>
    </w:p>
    <w:p w14:paraId="179E066B" w14:textId="77777777" w:rsidR="00F64776" w:rsidRDefault="00F64776" w:rsidP="00F64776">
      <w:pPr>
        <w:pStyle w:val="TextoNormalNegritaCentrado"/>
      </w:pPr>
      <w:r>
        <w:t>AUTO</w:t>
      </w:r>
    </w:p>
    <w:p w14:paraId="3D1E5D9A" w14:textId="50F9BB94" w:rsidR="00F64776" w:rsidRDefault="00F64776" w:rsidP="00F64776">
      <w:pPr>
        <w:pStyle w:val="TextoNormalNegritaCentrado"/>
      </w:pPr>
    </w:p>
    <w:p w14:paraId="67452DB6" w14:textId="77777777" w:rsidR="00F64776" w:rsidRDefault="00F64776" w:rsidP="00F64776">
      <w:pPr>
        <w:pStyle w:val="TextoNormalNegritaCentrado"/>
        <w:keepNext/>
      </w:pPr>
      <w:r>
        <w:t>I. Antecedentes</w:t>
      </w:r>
    </w:p>
    <w:p w14:paraId="15F4831A" w14:textId="60563BE8" w:rsidR="00F64776" w:rsidRDefault="00F64776" w:rsidP="00F64776">
      <w:pPr>
        <w:pStyle w:val="TextoNormalNegritaCentrado"/>
        <w:keepNext/>
      </w:pPr>
    </w:p>
    <w:p w14:paraId="16A97386" w14:textId="05980377" w:rsidR="00F64776" w:rsidRDefault="00F64776" w:rsidP="00F64776">
      <w:pPr>
        <w:pStyle w:val="TextoNormal"/>
      </w:pPr>
      <w:r w:rsidRPr="00F64776">
        <w:rPr>
          <w:rStyle w:val="NumeroAFNegritaCaracter"/>
        </w:rPr>
        <w:t>1</w:t>
      </w:r>
      <w:r>
        <w:t>. Mediante escrito registrado en este tribunal el 17 de octubre de 2022 la procuradora de los tribunales doña María Isabel Torres Ruiz, en nombre y representación de la entidad Ayacasay, S.L., y bajo la dirección del letrado don Jaime Casado Ruiz, interpuso demanda de amparo contra la providencia de 20 de julio de 2022 de la Sección Primera de la Sala de lo Contencioso-Administrativo del Tribunal Supremo en recurso de casación núm. 1610-2022.</w:t>
      </w:r>
    </w:p>
    <w:p w14:paraId="5A2BA6F9" w14:textId="77777777" w:rsidR="00F64776" w:rsidRDefault="00F64776" w:rsidP="00F64776">
      <w:pPr>
        <w:pStyle w:val="TextoNormal"/>
      </w:pPr>
    </w:p>
    <w:p w14:paraId="53125739" w14:textId="4BDEE9D7" w:rsidR="00F64776" w:rsidRDefault="00F64776" w:rsidP="00F64776">
      <w:pPr>
        <w:pStyle w:val="TextoNormal"/>
      </w:pPr>
      <w:r w:rsidRPr="00F64776">
        <w:rPr>
          <w:rStyle w:val="NumeroAFNegritaCaracter"/>
        </w:rPr>
        <w:t>2</w:t>
      </w:r>
      <w:r>
        <w:t>. Por escrito de 3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27A16DB9" w14:textId="77777777" w:rsidR="00F64776" w:rsidRDefault="00F64776" w:rsidP="00F64776">
      <w:pPr>
        <w:pStyle w:val="TextoNormal"/>
      </w:pPr>
    </w:p>
    <w:p w14:paraId="327EA7D6" w14:textId="77777777" w:rsidR="00F64776" w:rsidRDefault="00F64776" w:rsidP="00F64776">
      <w:pPr>
        <w:pStyle w:val="TextoNormalNegritaCentrado"/>
        <w:keepNext/>
      </w:pPr>
      <w:r>
        <w:t>II. Fundamentos jurídicos</w:t>
      </w:r>
    </w:p>
    <w:p w14:paraId="194C22C6" w14:textId="18DEB2D1" w:rsidR="00F64776" w:rsidRDefault="00F64776" w:rsidP="00F64776">
      <w:pPr>
        <w:pStyle w:val="TextoNormalNegritaCentrado"/>
        <w:keepNext/>
      </w:pPr>
    </w:p>
    <w:p w14:paraId="7D3EFA84" w14:textId="2E0909C8"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59279C62" w14:textId="77777777" w:rsidR="00F64776" w:rsidRDefault="00F64776" w:rsidP="00F64776">
      <w:pPr>
        <w:pStyle w:val="TextoNormal"/>
      </w:pPr>
    </w:p>
    <w:p w14:paraId="40DE0035" w14:textId="77777777" w:rsidR="00F64776" w:rsidRDefault="00F64776" w:rsidP="00F64776">
      <w:pPr>
        <w:pStyle w:val="TextoNormal"/>
      </w:pPr>
      <w:r>
        <w:t>Por lo expuesto, la Sección</w:t>
      </w:r>
    </w:p>
    <w:p w14:paraId="2BEB0B09" w14:textId="73132777" w:rsidR="00F64776" w:rsidRDefault="00F64776" w:rsidP="00F64776">
      <w:pPr>
        <w:pStyle w:val="TextoNormal"/>
      </w:pPr>
    </w:p>
    <w:p w14:paraId="1E4802A0" w14:textId="77777777" w:rsidR="00F64776" w:rsidRDefault="00F64776" w:rsidP="00F64776">
      <w:pPr>
        <w:pStyle w:val="TextoNormalCentrado"/>
      </w:pPr>
      <w:r>
        <w:t>ACUERDA</w:t>
      </w:r>
    </w:p>
    <w:p w14:paraId="013CCC37" w14:textId="1473170D" w:rsidR="00F64776" w:rsidRDefault="00F64776" w:rsidP="00F64776">
      <w:pPr>
        <w:pStyle w:val="TextoNormalCentrado"/>
      </w:pPr>
    </w:p>
    <w:p w14:paraId="11A9718A" w14:textId="2C756AB7" w:rsidR="00F64776" w:rsidRDefault="00F64776" w:rsidP="00F64776">
      <w:pPr>
        <w:pStyle w:val="TextoNormal"/>
      </w:pPr>
      <w:r>
        <w:t>Estimar justificada la abstención formulada por el magistrado señor don César Tolosa Tribiño en el recurso de amparo núm. 6763-2022 y apartarle definitivamente del conocimiento del referido recurso y de todas sus incidencias.</w:t>
      </w:r>
    </w:p>
    <w:p w14:paraId="1CC80F0C" w14:textId="77777777" w:rsidR="00F64776" w:rsidRDefault="00F64776" w:rsidP="00F64776">
      <w:pPr>
        <w:pStyle w:val="TextoNormal"/>
      </w:pPr>
    </w:p>
    <w:p w14:paraId="33FE8D73" w14:textId="77777777" w:rsidR="00F64776" w:rsidRDefault="00F64776" w:rsidP="00F64776">
      <w:pPr>
        <w:pStyle w:val="TextoNormal"/>
      </w:pPr>
      <w:r>
        <w:t>Madrid, a cuatro de septiembre de dos mil veintitrés.</w:t>
      </w:r>
    </w:p>
    <w:p w14:paraId="5E96470C" w14:textId="46306E20" w:rsidR="00F64776" w:rsidRDefault="00F64776">
      <w:pPr>
        <w:spacing w:after="160" w:line="278" w:lineRule="auto"/>
        <w:rPr>
          <w:rFonts w:ascii="Times New Roman" w:eastAsia="Times New Roman" w:hAnsi="Times New Roman" w:cs="Times New Roman"/>
          <w:sz w:val="24"/>
          <w:szCs w:val="24"/>
          <w:lang w:eastAsia="es-ES"/>
        </w:rPr>
      </w:pPr>
      <w:r>
        <w:br w:type="page"/>
      </w:r>
    </w:p>
    <w:p w14:paraId="375F7149" w14:textId="77777777" w:rsidR="00F64776" w:rsidRDefault="00F64776" w:rsidP="00F64776">
      <w:pPr>
        <w:pStyle w:val="TtuloResolucin"/>
      </w:pPr>
      <w:bookmarkStart w:id="180" w:name="AUTO_2023_395"/>
      <w:r>
        <w:t>AUTO 395/2023, de 4 de septiembre de 2023</w:t>
      </w:r>
    </w:p>
    <w:bookmarkEnd w:id="180"/>
    <w:p w14:paraId="02A4ECC1" w14:textId="77777777" w:rsidR="00F64776" w:rsidRDefault="00F64776" w:rsidP="00F64776">
      <w:pPr>
        <w:pStyle w:val="TtuloResolucin"/>
      </w:pPr>
      <w:r>
        <w:t>Sección Tercera</w:t>
      </w:r>
    </w:p>
    <w:p w14:paraId="30CABCB1" w14:textId="77777777" w:rsidR="00F64776" w:rsidRDefault="00F64776" w:rsidP="00F64776">
      <w:pPr>
        <w:pStyle w:val="TextoNormalCentrado"/>
      </w:pPr>
      <w:r>
        <w:t>ECLI:ES:TC:2023:395A</w:t>
      </w:r>
    </w:p>
    <w:p w14:paraId="0FDAA9F0" w14:textId="52B62588" w:rsidR="00F64776" w:rsidRDefault="00F64776" w:rsidP="00F64776">
      <w:pPr>
        <w:pStyle w:val="TextoNormalCentrado"/>
      </w:pPr>
    </w:p>
    <w:p w14:paraId="7C163DF4" w14:textId="77777777" w:rsidR="00F64776" w:rsidRDefault="00F64776" w:rsidP="00F64776">
      <w:pPr>
        <w:pStyle w:val="SntesisDescriptiva"/>
      </w:pPr>
      <w:r>
        <w:t>Excms. Srs. doña Inmaculada Montalbán Huertas y doña Laura Díez Bueso.</w:t>
      </w:r>
    </w:p>
    <w:p w14:paraId="0109F89A" w14:textId="7692E2DD" w:rsidR="00F64776" w:rsidRDefault="00F64776" w:rsidP="00F64776">
      <w:pPr>
        <w:pStyle w:val="SntesisDescriptiva"/>
      </w:pPr>
    </w:p>
    <w:p w14:paraId="7D314EE3" w14:textId="77777777" w:rsidR="00F64776" w:rsidRDefault="00F64776" w:rsidP="00F64776">
      <w:pPr>
        <w:pStyle w:val="SntesisDescriptiva"/>
      </w:pPr>
      <w:r>
        <w:t>Acepta una abstención en el recurso de amparo 7082-2022, promovido en proceso contencioso-administrativo.</w:t>
      </w:r>
    </w:p>
    <w:p w14:paraId="3361AAAC" w14:textId="44DD69D1" w:rsidR="00F64776" w:rsidRDefault="00F64776" w:rsidP="00F64776">
      <w:pPr>
        <w:pStyle w:val="SntesisDescriptiva"/>
      </w:pPr>
    </w:p>
    <w:p w14:paraId="5B895392" w14:textId="77777777" w:rsidR="00F64776" w:rsidRDefault="00F64776" w:rsidP="00F64776">
      <w:pPr>
        <w:pStyle w:val="SntesisDescriptiva"/>
      </w:pPr>
    </w:p>
    <w:p w14:paraId="50277C61" w14:textId="77777777" w:rsidR="00F64776" w:rsidRDefault="00F64776" w:rsidP="00F64776">
      <w:pPr>
        <w:pStyle w:val="SntesisDescriptiva"/>
      </w:pPr>
    </w:p>
    <w:p w14:paraId="5A40ABDF" w14:textId="77777777" w:rsidR="00F64776" w:rsidRDefault="00F64776" w:rsidP="00F64776">
      <w:pPr>
        <w:pStyle w:val="TextoNormalNegritaCentrado"/>
      </w:pPr>
      <w:r>
        <w:t>AUTO</w:t>
      </w:r>
    </w:p>
    <w:p w14:paraId="305A3EE6" w14:textId="112BD96C" w:rsidR="00F64776" w:rsidRDefault="00F64776" w:rsidP="00F64776">
      <w:pPr>
        <w:pStyle w:val="TextoNormalNegritaCentrado"/>
      </w:pPr>
    </w:p>
    <w:p w14:paraId="177490D2" w14:textId="77777777" w:rsidR="00F64776" w:rsidRDefault="00F64776" w:rsidP="00F64776">
      <w:pPr>
        <w:pStyle w:val="TextoNormalNegritaCentrado"/>
        <w:keepNext/>
      </w:pPr>
      <w:r>
        <w:t>I. Antecedentes</w:t>
      </w:r>
    </w:p>
    <w:p w14:paraId="239277DB" w14:textId="450CCF2B" w:rsidR="00F64776" w:rsidRDefault="00F64776" w:rsidP="00F64776">
      <w:pPr>
        <w:pStyle w:val="TextoNormalNegritaCentrado"/>
        <w:keepNext/>
      </w:pPr>
    </w:p>
    <w:p w14:paraId="1704E442" w14:textId="17FC31E9" w:rsidR="00F64776" w:rsidRDefault="00F64776" w:rsidP="00F64776">
      <w:pPr>
        <w:pStyle w:val="TextoNormal"/>
      </w:pPr>
      <w:r w:rsidRPr="00F64776">
        <w:rPr>
          <w:rStyle w:val="NumeroAFNegritaCaracter"/>
        </w:rPr>
        <w:t>1</w:t>
      </w:r>
      <w:r>
        <w:t>. Mediante escrito registrado en este tribunal el 31 de octubre de 2022 la procuradora de los tribunales doña Ana Julia Vaquero Blanco, en nombre y representación de don Ramón Figuera Palacios y bajo la dirección de la letrada doña Marta Figuera Español, interpuso demanda de amparo contra providencias de la Sección Primera de la Sala de lo Contencioso-Administrativo del Tribunal Supremo en recurso de casación núm. 1333-2022.</w:t>
      </w:r>
    </w:p>
    <w:p w14:paraId="225D264A" w14:textId="77777777" w:rsidR="00F64776" w:rsidRDefault="00F64776" w:rsidP="00F64776">
      <w:pPr>
        <w:pStyle w:val="TextoNormal"/>
      </w:pPr>
    </w:p>
    <w:p w14:paraId="14DD73BE" w14:textId="45688462" w:rsidR="00F64776" w:rsidRDefault="00F64776" w:rsidP="00F64776">
      <w:pPr>
        <w:pStyle w:val="TextoNormal"/>
      </w:pPr>
      <w:r w:rsidRPr="00F64776">
        <w:rPr>
          <w:rStyle w:val="NumeroAFNegritaCaracter"/>
        </w:rPr>
        <w:t>2</w:t>
      </w:r>
      <w:r>
        <w:t>. Por escrito de 4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2F7F43A5" w14:textId="77777777" w:rsidR="00F64776" w:rsidRDefault="00F64776" w:rsidP="00F64776">
      <w:pPr>
        <w:pStyle w:val="TextoNormal"/>
      </w:pPr>
    </w:p>
    <w:p w14:paraId="5BD25B38" w14:textId="77777777" w:rsidR="00F64776" w:rsidRDefault="00F64776" w:rsidP="00F64776">
      <w:pPr>
        <w:pStyle w:val="TextoNormalNegritaCentrado"/>
        <w:keepNext/>
      </w:pPr>
      <w:r>
        <w:t>II. Fundamentos jurídicos</w:t>
      </w:r>
    </w:p>
    <w:p w14:paraId="47ACB056" w14:textId="46F5B94B" w:rsidR="00F64776" w:rsidRDefault="00F64776" w:rsidP="00F64776">
      <w:pPr>
        <w:pStyle w:val="TextoNormalNegritaCentrado"/>
        <w:keepNext/>
      </w:pPr>
    </w:p>
    <w:p w14:paraId="0C4B3733" w14:textId="2EFBF598"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7472816B" w14:textId="77777777" w:rsidR="00F64776" w:rsidRDefault="00F64776" w:rsidP="00F64776">
      <w:pPr>
        <w:pStyle w:val="TextoNormal"/>
      </w:pPr>
    </w:p>
    <w:p w14:paraId="3B719B06" w14:textId="77777777" w:rsidR="00F64776" w:rsidRDefault="00F64776" w:rsidP="00F64776">
      <w:pPr>
        <w:pStyle w:val="TextoNormal"/>
      </w:pPr>
      <w:r>
        <w:t>Por lo expuesto, la Sección</w:t>
      </w:r>
    </w:p>
    <w:p w14:paraId="79B19D19" w14:textId="2DE4BE9F" w:rsidR="00F64776" w:rsidRDefault="00F64776" w:rsidP="00F64776">
      <w:pPr>
        <w:pStyle w:val="TextoNormal"/>
      </w:pPr>
    </w:p>
    <w:p w14:paraId="30467FA0" w14:textId="77777777" w:rsidR="00F64776" w:rsidRDefault="00F64776" w:rsidP="00F64776">
      <w:pPr>
        <w:pStyle w:val="TextoNormalCentrado"/>
      </w:pPr>
      <w:r>
        <w:t>ACUERDA</w:t>
      </w:r>
    </w:p>
    <w:p w14:paraId="1996F465" w14:textId="4F2A9943" w:rsidR="00F64776" w:rsidRDefault="00F64776" w:rsidP="00F64776">
      <w:pPr>
        <w:pStyle w:val="TextoNormalCentrado"/>
      </w:pPr>
    </w:p>
    <w:p w14:paraId="2B6718FD" w14:textId="2D36669F" w:rsidR="00F64776" w:rsidRDefault="00F64776" w:rsidP="00F64776">
      <w:pPr>
        <w:pStyle w:val="TextoNormal"/>
      </w:pPr>
      <w:r>
        <w:t>Estimar justificada la abstención formulada por el magistrado señor don César Tolosa Tribiño en el recurso de amparo núm. 7082-2022 y apartarle definitivamente del conocimiento del referido recurso y de todas sus incidencias.</w:t>
      </w:r>
    </w:p>
    <w:p w14:paraId="29A7D175" w14:textId="77777777" w:rsidR="00F64776" w:rsidRDefault="00F64776" w:rsidP="00F64776">
      <w:pPr>
        <w:pStyle w:val="TextoNormal"/>
      </w:pPr>
    </w:p>
    <w:p w14:paraId="10957271" w14:textId="77777777" w:rsidR="00F64776" w:rsidRDefault="00F64776" w:rsidP="00F64776">
      <w:pPr>
        <w:pStyle w:val="TextoNormal"/>
      </w:pPr>
      <w:r>
        <w:t>Madrid, a cuatro de septiembre de dos mil veintitrés.</w:t>
      </w:r>
    </w:p>
    <w:p w14:paraId="46DB4166" w14:textId="6468CCA1" w:rsidR="00F64776" w:rsidRDefault="00F64776">
      <w:pPr>
        <w:spacing w:after="160" w:line="278" w:lineRule="auto"/>
        <w:rPr>
          <w:rFonts w:ascii="Times New Roman" w:eastAsia="Times New Roman" w:hAnsi="Times New Roman" w:cs="Times New Roman"/>
          <w:sz w:val="24"/>
          <w:szCs w:val="24"/>
          <w:lang w:eastAsia="es-ES"/>
        </w:rPr>
      </w:pPr>
      <w:r>
        <w:br w:type="page"/>
      </w:r>
    </w:p>
    <w:p w14:paraId="3890258B" w14:textId="77777777" w:rsidR="00F64776" w:rsidRDefault="00F64776" w:rsidP="00F64776">
      <w:pPr>
        <w:pStyle w:val="TtuloResolucin"/>
      </w:pPr>
      <w:bookmarkStart w:id="181" w:name="AUTO_2023_396"/>
      <w:r>
        <w:t>AUTO 396/2023, de 4 de septiembre de 2023</w:t>
      </w:r>
    </w:p>
    <w:bookmarkEnd w:id="181"/>
    <w:p w14:paraId="61A86B1E" w14:textId="77777777" w:rsidR="00F64776" w:rsidRDefault="00F64776" w:rsidP="00F64776">
      <w:pPr>
        <w:pStyle w:val="TtuloResolucin"/>
      </w:pPr>
      <w:r>
        <w:t>Sección Tercera</w:t>
      </w:r>
    </w:p>
    <w:p w14:paraId="19D35ECB" w14:textId="77777777" w:rsidR="00F64776" w:rsidRDefault="00F64776" w:rsidP="00F64776">
      <w:pPr>
        <w:pStyle w:val="TextoNormalCentrado"/>
      </w:pPr>
      <w:r>
        <w:t>ECLI:ES:TC:2023:396A</w:t>
      </w:r>
    </w:p>
    <w:p w14:paraId="5EC6880D" w14:textId="015E4D98" w:rsidR="00F64776" w:rsidRDefault="00F64776" w:rsidP="00F64776">
      <w:pPr>
        <w:pStyle w:val="TextoNormalCentrado"/>
      </w:pPr>
    </w:p>
    <w:p w14:paraId="07218494" w14:textId="77777777" w:rsidR="00F64776" w:rsidRDefault="00F64776" w:rsidP="00F64776">
      <w:pPr>
        <w:pStyle w:val="SntesisDescriptiva"/>
      </w:pPr>
      <w:r>
        <w:t>Excms. Srs. doña Inmaculada Montalbán Huertas y doña Laura Díez Bueso.</w:t>
      </w:r>
    </w:p>
    <w:p w14:paraId="2EAEB75A" w14:textId="7FBCC013" w:rsidR="00F64776" w:rsidRDefault="00F64776" w:rsidP="00F64776">
      <w:pPr>
        <w:pStyle w:val="SntesisDescriptiva"/>
      </w:pPr>
    </w:p>
    <w:p w14:paraId="33FEEE5C" w14:textId="77777777" w:rsidR="00F64776" w:rsidRDefault="00F64776" w:rsidP="00F64776">
      <w:pPr>
        <w:pStyle w:val="SntesisDescriptiva"/>
      </w:pPr>
      <w:r>
        <w:t>Acepta una abstención en el recurso de amparo 7125-2022, promovido por la entidad Bandera de San Andrés, S.L., en proceso contencioso-administrativo.</w:t>
      </w:r>
    </w:p>
    <w:p w14:paraId="1B61F7EB" w14:textId="1870A1E1" w:rsidR="00F64776" w:rsidRDefault="00F64776" w:rsidP="00F64776">
      <w:pPr>
        <w:pStyle w:val="SntesisDescriptiva"/>
      </w:pPr>
    </w:p>
    <w:p w14:paraId="01006619" w14:textId="77777777" w:rsidR="00F64776" w:rsidRDefault="00F64776" w:rsidP="00F64776">
      <w:pPr>
        <w:pStyle w:val="SntesisDescriptiva"/>
      </w:pPr>
    </w:p>
    <w:p w14:paraId="0CC300DD" w14:textId="77777777" w:rsidR="00F64776" w:rsidRDefault="00F64776" w:rsidP="00F64776">
      <w:pPr>
        <w:pStyle w:val="SntesisDescriptiva"/>
      </w:pPr>
    </w:p>
    <w:p w14:paraId="18E52A18" w14:textId="77777777" w:rsidR="00F64776" w:rsidRDefault="00F64776" w:rsidP="00F64776">
      <w:pPr>
        <w:pStyle w:val="TextoNormalNegritaCentrado"/>
      </w:pPr>
      <w:r>
        <w:t>AUTO</w:t>
      </w:r>
    </w:p>
    <w:p w14:paraId="216BE987" w14:textId="43EA91B8" w:rsidR="00F64776" w:rsidRDefault="00F64776" w:rsidP="00F64776">
      <w:pPr>
        <w:pStyle w:val="TextoNormalNegritaCentrado"/>
      </w:pPr>
    </w:p>
    <w:p w14:paraId="44029470" w14:textId="77777777" w:rsidR="00F64776" w:rsidRDefault="00F64776" w:rsidP="00F64776">
      <w:pPr>
        <w:pStyle w:val="TextoNormalNegritaCentrado"/>
        <w:keepNext/>
      </w:pPr>
      <w:r>
        <w:t>I. Antecedentes</w:t>
      </w:r>
    </w:p>
    <w:p w14:paraId="41ABED74" w14:textId="7BC15C65" w:rsidR="00F64776" w:rsidRDefault="00F64776" w:rsidP="00F64776">
      <w:pPr>
        <w:pStyle w:val="TextoNormalNegritaCentrado"/>
        <w:keepNext/>
      </w:pPr>
    </w:p>
    <w:p w14:paraId="62D3AC29" w14:textId="798BDAF1" w:rsidR="00F64776" w:rsidRDefault="00F64776" w:rsidP="00F64776">
      <w:pPr>
        <w:pStyle w:val="TextoNormal"/>
      </w:pPr>
      <w:r w:rsidRPr="00F64776">
        <w:rPr>
          <w:rStyle w:val="NumeroAFNegritaCaracter"/>
        </w:rPr>
        <w:t>1</w:t>
      </w:r>
      <w:r>
        <w:t>. Mediante escrito registrado en este tribunal el 2 de noviembre de 2022 el procurador de los tribunales don Pedro Barno Urdiain, en nombre y representación de la entidad Bandera de San Andrés, S.L., y bajo la dirección del letrado don Raúl de Francisco Garrido, interpuso demanda de amparo contra la providencia de 3 de octubre de 2022 de la Sección Primera de la Sala de lo Contencioso-Administrativo del Tribunal Supremo en recurso de casación 1077-2022.</w:t>
      </w:r>
    </w:p>
    <w:p w14:paraId="1ABEF47C" w14:textId="77777777" w:rsidR="00F64776" w:rsidRDefault="00F64776" w:rsidP="00F64776">
      <w:pPr>
        <w:pStyle w:val="TextoNormal"/>
      </w:pPr>
    </w:p>
    <w:p w14:paraId="21453696" w14:textId="33160CAC" w:rsidR="00F64776" w:rsidRDefault="00F64776" w:rsidP="00F64776">
      <w:pPr>
        <w:pStyle w:val="TextoNormal"/>
      </w:pPr>
      <w:r w:rsidRPr="00F64776">
        <w:rPr>
          <w:rStyle w:val="NumeroAFNegritaCaracter"/>
        </w:rPr>
        <w:t>2</w:t>
      </w:r>
      <w:r>
        <w:t>. Por escrito de 3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06EAFD6C" w14:textId="77777777" w:rsidR="00F64776" w:rsidRDefault="00F64776" w:rsidP="00F64776">
      <w:pPr>
        <w:pStyle w:val="TextoNormal"/>
      </w:pPr>
    </w:p>
    <w:p w14:paraId="7FC50250" w14:textId="77777777" w:rsidR="00F64776" w:rsidRDefault="00F64776" w:rsidP="00F64776">
      <w:pPr>
        <w:pStyle w:val="TextoNormalNegritaCentrado"/>
        <w:keepNext/>
      </w:pPr>
      <w:r>
        <w:t>II. Fundamentos jurídicos</w:t>
      </w:r>
    </w:p>
    <w:p w14:paraId="69BE7658" w14:textId="4ACEEF74" w:rsidR="00F64776" w:rsidRDefault="00F64776" w:rsidP="00F64776">
      <w:pPr>
        <w:pStyle w:val="TextoNormalNegritaCentrado"/>
        <w:keepNext/>
      </w:pPr>
    </w:p>
    <w:p w14:paraId="2C34C326" w14:textId="54926C06"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0DA3E47A" w14:textId="77777777" w:rsidR="00F64776" w:rsidRDefault="00F64776" w:rsidP="00F64776">
      <w:pPr>
        <w:pStyle w:val="TextoNormal"/>
      </w:pPr>
    </w:p>
    <w:p w14:paraId="5AFAD4AF" w14:textId="77777777" w:rsidR="00F64776" w:rsidRDefault="00F64776" w:rsidP="00F64776">
      <w:pPr>
        <w:pStyle w:val="TextoNormal"/>
      </w:pPr>
      <w:r>
        <w:t>Por lo expuesto, la Sección</w:t>
      </w:r>
    </w:p>
    <w:p w14:paraId="5E7A24BF" w14:textId="0EE0A3DB" w:rsidR="00F64776" w:rsidRDefault="00F64776" w:rsidP="00F64776">
      <w:pPr>
        <w:pStyle w:val="TextoNormal"/>
      </w:pPr>
    </w:p>
    <w:p w14:paraId="516EA7F1" w14:textId="77777777" w:rsidR="00F64776" w:rsidRDefault="00F64776" w:rsidP="00F64776">
      <w:pPr>
        <w:pStyle w:val="TextoNormalCentrado"/>
      </w:pPr>
      <w:r>
        <w:t>ACUERDA</w:t>
      </w:r>
    </w:p>
    <w:p w14:paraId="2B043972" w14:textId="5C1CA18E" w:rsidR="00F64776" w:rsidRDefault="00F64776" w:rsidP="00F64776">
      <w:pPr>
        <w:pStyle w:val="TextoNormalCentrado"/>
      </w:pPr>
    </w:p>
    <w:p w14:paraId="234C58A0" w14:textId="42F0BCE7" w:rsidR="00F64776" w:rsidRDefault="00F64776" w:rsidP="00F64776">
      <w:pPr>
        <w:pStyle w:val="TextoNormal"/>
      </w:pPr>
      <w:r>
        <w:t>Estimar justificada la abstención formulada por el magistrado señor don César Tolosa Tribiño en el recurso de amparo núm. 7125-2022 y apartarle definitivamente del conocimiento del referido recurso y de todas sus incidencias.</w:t>
      </w:r>
    </w:p>
    <w:p w14:paraId="1679E8C9" w14:textId="77777777" w:rsidR="00F64776" w:rsidRDefault="00F64776" w:rsidP="00F64776">
      <w:pPr>
        <w:pStyle w:val="TextoNormal"/>
      </w:pPr>
    </w:p>
    <w:p w14:paraId="0317C453" w14:textId="77777777" w:rsidR="00F64776" w:rsidRDefault="00F64776" w:rsidP="00F64776">
      <w:pPr>
        <w:pStyle w:val="TextoNormal"/>
      </w:pPr>
      <w:r>
        <w:t>Madrid, a cuatro de septiembre de dos mil veintitrés.</w:t>
      </w:r>
    </w:p>
    <w:p w14:paraId="64820567" w14:textId="6B161FB9" w:rsidR="00F64776" w:rsidRDefault="00F64776">
      <w:pPr>
        <w:spacing w:after="160" w:line="278" w:lineRule="auto"/>
        <w:rPr>
          <w:rFonts w:ascii="Times New Roman" w:eastAsia="Times New Roman" w:hAnsi="Times New Roman" w:cs="Times New Roman"/>
          <w:sz w:val="24"/>
          <w:szCs w:val="24"/>
          <w:lang w:eastAsia="es-ES"/>
        </w:rPr>
      </w:pPr>
      <w:r>
        <w:br w:type="page"/>
      </w:r>
    </w:p>
    <w:p w14:paraId="5F4B0D8F" w14:textId="77777777" w:rsidR="00F64776" w:rsidRDefault="00F64776" w:rsidP="00F64776">
      <w:pPr>
        <w:pStyle w:val="TtuloResolucin"/>
      </w:pPr>
      <w:bookmarkStart w:id="182" w:name="AUTO_2023_397"/>
      <w:r>
        <w:t>AUTO 397/2023, de 4 de septiembre de 2023</w:t>
      </w:r>
    </w:p>
    <w:bookmarkEnd w:id="182"/>
    <w:p w14:paraId="57B94530" w14:textId="77777777" w:rsidR="00F64776" w:rsidRDefault="00F64776" w:rsidP="00F64776">
      <w:pPr>
        <w:pStyle w:val="TtuloResolucin"/>
      </w:pPr>
      <w:r>
        <w:t>Sección Tercera</w:t>
      </w:r>
    </w:p>
    <w:p w14:paraId="72DC88D6" w14:textId="77777777" w:rsidR="00F64776" w:rsidRDefault="00F64776" w:rsidP="00F64776">
      <w:pPr>
        <w:pStyle w:val="TextoNormalCentrado"/>
      </w:pPr>
      <w:r>
        <w:t>ECLI:ES:TC:2023:397A</w:t>
      </w:r>
    </w:p>
    <w:p w14:paraId="0EDC9C4C" w14:textId="4064B766" w:rsidR="00F64776" w:rsidRDefault="00F64776" w:rsidP="00F64776">
      <w:pPr>
        <w:pStyle w:val="TextoNormalCentrado"/>
      </w:pPr>
    </w:p>
    <w:p w14:paraId="147B6FBA" w14:textId="77777777" w:rsidR="00F64776" w:rsidRDefault="00F64776" w:rsidP="00F64776">
      <w:pPr>
        <w:pStyle w:val="SntesisDescriptiva"/>
      </w:pPr>
      <w:r>
        <w:t>Excms. Srs. doña Inmaculada Montalbán Huertas y doña Laura Díez Bueso.</w:t>
      </w:r>
    </w:p>
    <w:p w14:paraId="78D25CDB" w14:textId="39412D81" w:rsidR="00F64776" w:rsidRDefault="00F64776" w:rsidP="00F64776">
      <w:pPr>
        <w:pStyle w:val="SntesisDescriptiva"/>
      </w:pPr>
    </w:p>
    <w:p w14:paraId="20B9578D" w14:textId="77777777" w:rsidR="00F64776" w:rsidRDefault="00F64776" w:rsidP="00F64776">
      <w:pPr>
        <w:pStyle w:val="SntesisDescriptiva"/>
      </w:pPr>
      <w:r>
        <w:t>Acepta una abstención en el recurso de amparo 7542-2022, promovido en proceso contencioso-administrativo.</w:t>
      </w:r>
    </w:p>
    <w:p w14:paraId="743A4E92" w14:textId="7BE52495" w:rsidR="00F64776" w:rsidRDefault="00F64776" w:rsidP="00F64776">
      <w:pPr>
        <w:pStyle w:val="SntesisDescriptiva"/>
      </w:pPr>
    </w:p>
    <w:p w14:paraId="6C3F70F9" w14:textId="77777777" w:rsidR="00F64776" w:rsidRDefault="00F64776" w:rsidP="00F64776">
      <w:pPr>
        <w:pStyle w:val="SntesisDescriptiva"/>
      </w:pPr>
    </w:p>
    <w:p w14:paraId="545C9841" w14:textId="77777777" w:rsidR="00F64776" w:rsidRDefault="00F64776" w:rsidP="00F64776">
      <w:pPr>
        <w:pStyle w:val="SntesisDescriptiva"/>
      </w:pPr>
    </w:p>
    <w:p w14:paraId="5BFA57F1" w14:textId="77777777" w:rsidR="00F64776" w:rsidRDefault="00F64776" w:rsidP="00F64776">
      <w:pPr>
        <w:pStyle w:val="TextoNormalNegritaCentrado"/>
      </w:pPr>
      <w:r>
        <w:t>AUTO</w:t>
      </w:r>
    </w:p>
    <w:p w14:paraId="0065FA29" w14:textId="633AA5DF" w:rsidR="00F64776" w:rsidRDefault="00F64776" w:rsidP="00F64776">
      <w:pPr>
        <w:pStyle w:val="TextoNormalNegritaCentrado"/>
      </w:pPr>
    </w:p>
    <w:p w14:paraId="33D91EDA" w14:textId="77777777" w:rsidR="00F64776" w:rsidRDefault="00F64776" w:rsidP="00F64776">
      <w:pPr>
        <w:pStyle w:val="TextoNormalNegritaCentrado"/>
        <w:keepNext/>
      </w:pPr>
      <w:r>
        <w:t>I. Antecedentes</w:t>
      </w:r>
    </w:p>
    <w:p w14:paraId="3C9FEB80" w14:textId="5E1A591A" w:rsidR="00F64776" w:rsidRDefault="00F64776" w:rsidP="00F64776">
      <w:pPr>
        <w:pStyle w:val="TextoNormalNegritaCentrado"/>
        <w:keepNext/>
      </w:pPr>
    </w:p>
    <w:p w14:paraId="77EDDC52" w14:textId="1CDC293B" w:rsidR="00F64776" w:rsidRDefault="00F64776" w:rsidP="00F64776">
      <w:pPr>
        <w:pStyle w:val="TextoNormal"/>
      </w:pPr>
      <w:r w:rsidRPr="00F64776">
        <w:rPr>
          <w:rStyle w:val="NumeroAFNegritaCaracter"/>
        </w:rPr>
        <w:t>1</w:t>
      </w:r>
      <w:r>
        <w:t>. Mediante escrito registrado en este tribunal el 16 de noviembre de 2022 la procuradora de los tribunales doña Ana Julia Vaquero Blanco, en nombre y representación de don Ramón Figuera Palacios y bajo la dirección de la letrada doña Marta Figuera Español, interpuso demanda de amparo contra providencias de la Sala de lo Contencioso-Administrativo del Tribunal Supremo en recurso de casación núm. 1341-2022.</w:t>
      </w:r>
    </w:p>
    <w:p w14:paraId="7082F996" w14:textId="77777777" w:rsidR="00F64776" w:rsidRDefault="00F64776" w:rsidP="00F64776">
      <w:pPr>
        <w:pStyle w:val="TextoNormal"/>
      </w:pPr>
    </w:p>
    <w:p w14:paraId="0A7B154B" w14:textId="46E3DDC1" w:rsidR="00F64776" w:rsidRDefault="00F64776" w:rsidP="00F64776">
      <w:pPr>
        <w:pStyle w:val="TextoNormal"/>
      </w:pPr>
      <w:r w:rsidRPr="00F64776">
        <w:rPr>
          <w:rStyle w:val="NumeroAFNegritaCaracter"/>
        </w:rPr>
        <w:t>2</w:t>
      </w:r>
      <w:r>
        <w:t>. Por escrito de 4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7456E52B" w14:textId="77777777" w:rsidR="00F64776" w:rsidRDefault="00F64776" w:rsidP="00F64776">
      <w:pPr>
        <w:pStyle w:val="TextoNormal"/>
      </w:pPr>
    </w:p>
    <w:p w14:paraId="5A7514F0" w14:textId="77777777" w:rsidR="00F64776" w:rsidRDefault="00F64776" w:rsidP="00F64776">
      <w:pPr>
        <w:pStyle w:val="TextoNormalNegritaCentrado"/>
        <w:keepNext/>
      </w:pPr>
      <w:r>
        <w:t>II. Fundamentos jurídicos</w:t>
      </w:r>
    </w:p>
    <w:p w14:paraId="2ED18474" w14:textId="36D31262" w:rsidR="00F64776" w:rsidRDefault="00F64776" w:rsidP="00F64776">
      <w:pPr>
        <w:pStyle w:val="TextoNormalNegritaCentrado"/>
        <w:keepNext/>
      </w:pPr>
    </w:p>
    <w:p w14:paraId="57EC7855" w14:textId="6461C15E"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729E4A72" w14:textId="77777777" w:rsidR="00F64776" w:rsidRDefault="00F64776" w:rsidP="00F64776">
      <w:pPr>
        <w:pStyle w:val="TextoNormal"/>
      </w:pPr>
    </w:p>
    <w:p w14:paraId="27D1D182" w14:textId="77777777" w:rsidR="00F64776" w:rsidRDefault="00F64776" w:rsidP="00F64776">
      <w:pPr>
        <w:pStyle w:val="TextoNormal"/>
      </w:pPr>
      <w:r>
        <w:t>Por lo expuesto, la Sección</w:t>
      </w:r>
    </w:p>
    <w:p w14:paraId="7A377B74" w14:textId="3D880FC5" w:rsidR="00F64776" w:rsidRDefault="00F64776" w:rsidP="00F64776">
      <w:pPr>
        <w:pStyle w:val="TextoNormal"/>
      </w:pPr>
    </w:p>
    <w:p w14:paraId="755412B2" w14:textId="77777777" w:rsidR="00F64776" w:rsidRDefault="00F64776" w:rsidP="00F64776">
      <w:pPr>
        <w:pStyle w:val="TextoNormalCentrado"/>
      </w:pPr>
      <w:r>
        <w:t>ACUERDA</w:t>
      </w:r>
    </w:p>
    <w:p w14:paraId="7FBED52C" w14:textId="5704FC68" w:rsidR="00F64776" w:rsidRDefault="00F64776" w:rsidP="00F64776">
      <w:pPr>
        <w:pStyle w:val="TextoNormalCentrado"/>
      </w:pPr>
    </w:p>
    <w:p w14:paraId="3591A617" w14:textId="2F9D8A89" w:rsidR="00F64776" w:rsidRDefault="00F64776" w:rsidP="00F64776">
      <w:pPr>
        <w:pStyle w:val="TextoNormal"/>
      </w:pPr>
      <w:r>
        <w:t>Estimar justificada la abstención formulada por el magistrado señor don César Tolosa Tribiño en el recurso de amparo núm. 7542-2022 y apartarle definitivamente del conocimiento del referido recurso y de todas sus incidencias.</w:t>
      </w:r>
    </w:p>
    <w:p w14:paraId="113B14FC" w14:textId="77777777" w:rsidR="00F64776" w:rsidRDefault="00F64776" w:rsidP="00F64776">
      <w:pPr>
        <w:pStyle w:val="TextoNormal"/>
      </w:pPr>
    </w:p>
    <w:p w14:paraId="5788D6D9" w14:textId="77777777" w:rsidR="00F64776" w:rsidRDefault="00F64776" w:rsidP="00F64776">
      <w:pPr>
        <w:pStyle w:val="TextoNormal"/>
      </w:pPr>
      <w:r>
        <w:t>Madrid, a cuatro de septiembre de dos mil veintitrés.</w:t>
      </w:r>
    </w:p>
    <w:p w14:paraId="1FCD5220" w14:textId="22D45FBB" w:rsidR="00F64776" w:rsidRDefault="00F64776">
      <w:pPr>
        <w:spacing w:after="160" w:line="278" w:lineRule="auto"/>
        <w:rPr>
          <w:rFonts w:ascii="Times New Roman" w:eastAsia="Times New Roman" w:hAnsi="Times New Roman" w:cs="Times New Roman"/>
          <w:sz w:val="24"/>
          <w:szCs w:val="24"/>
          <w:lang w:eastAsia="es-ES"/>
        </w:rPr>
      </w:pPr>
      <w:r>
        <w:br w:type="page"/>
      </w:r>
    </w:p>
    <w:p w14:paraId="39E39658" w14:textId="77777777" w:rsidR="00F64776" w:rsidRDefault="00F64776" w:rsidP="00F64776">
      <w:pPr>
        <w:pStyle w:val="TtuloResolucin"/>
      </w:pPr>
      <w:bookmarkStart w:id="183" w:name="AUTO_2023_398"/>
      <w:r>
        <w:t>AUTO 398/2023, de 4 de septiembre de 2023</w:t>
      </w:r>
    </w:p>
    <w:bookmarkEnd w:id="183"/>
    <w:p w14:paraId="7B673150" w14:textId="77777777" w:rsidR="00F64776" w:rsidRDefault="00F64776" w:rsidP="00F64776">
      <w:pPr>
        <w:pStyle w:val="TtuloResolucin"/>
      </w:pPr>
      <w:r>
        <w:t>Sección Tercera</w:t>
      </w:r>
    </w:p>
    <w:p w14:paraId="37592A38" w14:textId="77777777" w:rsidR="00F64776" w:rsidRDefault="00F64776" w:rsidP="00F64776">
      <w:pPr>
        <w:pStyle w:val="TextoNormalCentrado"/>
      </w:pPr>
      <w:r>
        <w:t>ECLI:ES:TC:2023:398A</w:t>
      </w:r>
    </w:p>
    <w:p w14:paraId="4A1C6DC3" w14:textId="3FABA802" w:rsidR="00F64776" w:rsidRDefault="00F64776" w:rsidP="00F64776">
      <w:pPr>
        <w:pStyle w:val="TextoNormalCentrado"/>
      </w:pPr>
    </w:p>
    <w:p w14:paraId="674C2BA6" w14:textId="77777777" w:rsidR="00F64776" w:rsidRDefault="00F64776" w:rsidP="00F64776">
      <w:pPr>
        <w:pStyle w:val="SntesisDescriptiva"/>
      </w:pPr>
      <w:r>
        <w:t>Excms. Srs. doña Inmaculada Montalbán Huertas y doña Laura Díez Bueso.</w:t>
      </w:r>
    </w:p>
    <w:p w14:paraId="6411BE8B" w14:textId="17C7CE90" w:rsidR="00F64776" w:rsidRDefault="00F64776" w:rsidP="00F64776">
      <w:pPr>
        <w:pStyle w:val="SntesisDescriptiva"/>
      </w:pPr>
    </w:p>
    <w:p w14:paraId="7345F7FD" w14:textId="77777777" w:rsidR="00F64776" w:rsidRDefault="00F64776" w:rsidP="00F64776">
      <w:pPr>
        <w:pStyle w:val="SntesisDescriptiva"/>
      </w:pPr>
      <w:r>
        <w:t>Acepta una abstención en el recurso de amparo 7545-2022, promovido en proceso contencioso-administrativo.</w:t>
      </w:r>
    </w:p>
    <w:p w14:paraId="6DF649B1" w14:textId="1C75EE5C" w:rsidR="00F64776" w:rsidRDefault="00F64776" w:rsidP="00F64776">
      <w:pPr>
        <w:pStyle w:val="SntesisDescriptiva"/>
      </w:pPr>
    </w:p>
    <w:p w14:paraId="7E62322C" w14:textId="77777777" w:rsidR="00F64776" w:rsidRDefault="00F64776" w:rsidP="00F64776">
      <w:pPr>
        <w:pStyle w:val="SntesisDescriptiva"/>
      </w:pPr>
    </w:p>
    <w:p w14:paraId="60302F7E" w14:textId="77777777" w:rsidR="00F64776" w:rsidRDefault="00F64776" w:rsidP="00F64776">
      <w:pPr>
        <w:pStyle w:val="SntesisDescriptiva"/>
      </w:pPr>
    </w:p>
    <w:p w14:paraId="3CFB2D7F" w14:textId="77777777" w:rsidR="00F64776" w:rsidRDefault="00F64776" w:rsidP="00F64776">
      <w:pPr>
        <w:pStyle w:val="TextoNormalNegritaCentrado"/>
      </w:pPr>
      <w:r>
        <w:t>AUTO</w:t>
      </w:r>
    </w:p>
    <w:p w14:paraId="3A08D05F" w14:textId="7F2EAEF7" w:rsidR="00F64776" w:rsidRDefault="00F64776" w:rsidP="00F64776">
      <w:pPr>
        <w:pStyle w:val="TextoNormalNegritaCentrado"/>
      </w:pPr>
    </w:p>
    <w:p w14:paraId="458A89DA" w14:textId="77777777" w:rsidR="00F64776" w:rsidRDefault="00F64776" w:rsidP="00F64776">
      <w:pPr>
        <w:pStyle w:val="TextoNormalNegritaCentrado"/>
        <w:keepNext/>
      </w:pPr>
      <w:r>
        <w:t>I. Antecedentes</w:t>
      </w:r>
    </w:p>
    <w:p w14:paraId="521E6CC5" w14:textId="743F902A" w:rsidR="00F64776" w:rsidRDefault="00F64776" w:rsidP="00F64776">
      <w:pPr>
        <w:pStyle w:val="TextoNormalNegritaCentrado"/>
        <w:keepNext/>
      </w:pPr>
    </w:p>
    <w:p w14:paraId="4F29C00F" w14:textId="6B8652E0" w:rsidR="00F64776" w:rsidRDefault="00F64776" w:rsidP="00F64776">
      <w:pPr>
        <w:pStyle w:val="TextoNormal"/>
      </w:pPr>
      <w:r w:rsidRPr="00F64776">
        <w:rPr>
          <w:rStyle w:val="NumeroAFNegritaCaracter"/>
        </w:rPr>
        <w:t>1</w:t>
      </w:r>
      <w:r>
        <w:t>. Mediante escrito registrado en este tribunal el 16 de noviembre de 2022 la procuradora de los tribunales doña Ana María Araúz de Robles Villalón, en nombre y representación de doña Asunción Paloma Ruiz Díaz y otros y bajo la dirección del letrado don Francisco Javier Araúz de Robles Dávila, interpuso demanda de amparo contra la providencia de 29 de septiembre de 2022 de la Sección Primera de la Sala de lo Contencioso-Administrativo del Tribunal Supremo en recuso de casación 8014-2021.</w:t>
      </w:r>
    </w:p>
    <w:p w14:paraId="26EDAD09" w14:textId="77777777" w:rsidR="00F64776" w:rsidRDefault="00F64776" w:rsidP="00F64776">
      <w:pPr>
        <w:pStyle w:val="TextoNormal"/>
      </w:pPr>
    </w:p>
    <w:p w14:paraId="24611F88" w14:textId="46129678" w:rsidR="00F64776" w:rsidRDefault="00F64776" w:rsidP="00F64776">
      <w:pPr>
        <w:pStyle w:val="TextoNormal"/>
      </w:pPr>
      <w:r w:rsidRPr="00F64776">
        <w:rPr>
          <w:rStyle w:val="NumeroAFNegritaCaracter"/>
        </w:rPr>
        <w:t>2</w:t>
      </w:r>
      <w:r>
        <w:t>. Por escrito de 5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30F9B2DA" w14:textId="77777777" w:rsidR="00F64776" w:rsidRDefault="00F64776" w:rsidP="00F64776">
      <w:pPr>
        <w:pStyle w:val="TextoNormal"/>
      </w:pPr>
    </w:p>
    <w:p w14:paraId="0EF50DBF" w14:textId="77777777" w:rsidR="00F64776" w:rsidRDefault="00F64776" w:rsidP="00F64776">
      <w:pPr>
        <w:pStyle w:val="TextoNormalNegritaCentrado"/>
        <w:keepNext/>
      </w:pPr>
      <w:r>
        <w:t>II. Fundamentos jurídicos</w:t>
      </w:r>
    </w:p>
    <w:p w14:paraId="5251518B" w14:textId="14B215A5" w:rsidR="00F64776" w:rsidRDefault="00F64776" w:rsidP="00F64776">
      <w:pPr>
        <w:pStyle w:val="TextoNormalNegritaCentrado"/>
        <w:keepNext/>
      </w:pPr>
    </w:p>
    <w:p w14:paraId="3E6A8ECF" w14:textId="199B0933"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3DE2E0E8" w14:textId="77777777" w:rsidR="00F64776" w:rsidRDefault="00F64776" w:rsidP="00F64776">
      <w:pPr>
        <w:pStyle w:val="TextoNormal"/>
      </w:pPr>
    </w:p>
    <w:p w14:paraId="61A69E0A" w14:textId="77777777" w:rsidR="00F64776" w:rsidRDefault="00F64776" w:rsidP="00F64776">
      <w:pPr>
        <w:pStyle w:val="TextoNormal"/>
      </w:pPr>
      <w:r>
        <w:t>Por lo expuesto, la Sección</w:t>
      </w:r>
    </w:p>
    <w:p w14:paraId="42A744B1" w14:textId="260324C7" w:rsidR="00F64776" w:rsidRDefault="00F64776" w:rsidP="00F64776">
      <w:pPr>
        <w:pStyle w:val="TextoNormal"/>
      </w:pPr>
    </w:p>
    <w:p w14:paraId="58FFE55D" w14:textId="77777777" w:rsidR="00F64776" w:rsidRDefault="00F64776" w:rsidP="00F64776">
      <w:pPr>
        <w:pStyle w:val="TextoNormalCentrado"/>
      </w:pPr>
      <w:r>
        <w:t>ACUERDA</w:t>
      </w:r>
    </w:p>
    <w:p w14:paraId="6E260F8F" w14:textId="452FE20D" w:rsidR="00F64776" w:rsidRDefault="00F64776" w:rsidP="00F64776">
      <w:pPr>
        <w:pStyle w:val="TextoNormalCentrado"/>
      </w:pPr>
    </w:p>
    <w:p w14:paraId="6EF8E439" w14:textId="5D5863B4" w:rsidR="00F64776" w:rsidRDefault="00F64776" w:rsidP="00F64776">
      <w:pPr>
        <w:pStyle w:val="TextoNormal"/>
      </w:pPr>
      <w:r>
        <w:t>Estimar justificada la abstención formulada por el magistrado señor don César Tolosa Tribiño en el recurso de amparo núm. 7545-2022 y apartarle definitivamente del conocimiento del referido recurso y de todas sus incidencias.</w:t>
      </w:r>
    </w:p>
    <w:p w14:paraId="4CBD6FB0" w14:textId="77777777" w:rsidR="00F64776" w:rsidRDefault="00F64776" w:rsidP="00F64776">
      <w:pPr>
        <w:pStyle w:val="TextoNormal"/>
      </w:pPr>
    </w:p>
    <w:p w14:paraId="1F34E9CB" w14:textId="77777777" w:rsidR="00F64776" w:rsidRDefault="00F64776" w:rsidP="00F64776">
      <w:pPr>
        <w:pStyle w:val="TextoNormal"/>
      </w:pPr>
      <w:r>
        <w:t>Madrid, a cuatro de septiembre de dos mil veintitrés.</w:t>
      </w:r>
    </w:p>
    <w:p w14:paraId="4B02ECAF" w14:textId="4A3EDC73" w:rsidR="00F64776" w:rsidRDefault="00F64776">
      <w:pPr>
        <w:spacing w:after="160" w:line="278" w:lineRule="auto"/>
        <w:rPr>
          <w:rFonts w:ascii="Times New Roman" w:eastAsia="Times New Roman" w:hAnsi="Times New Roman" w:cs="Times New Roman"/>
          <w:sz w:val="24"/>
          <w:szCs w:val="24"/>
          <w:lang w:eastAsia="es-ES"/>
        </w:rPr>
      </w:pPr>
      <w:r>
        <w:br w:type="page"/>
      </w:r>
    </w:p>
    <w:p w14:paraId="05AE9BF5" w14:textId="77777777" w:rsidR="00F64776" w:rsidRDefault="00F64776" w:rsidP="00F64776">
      <w:pPr>
        <w:pStyle w:val="TtuloResolucin"/>
      </w:pPr>
      <w:bookmarkStart w:id="184" w:name="AUTO_2023_399"/>
      <w:r>
        <w:t>AUTO 399/2023, de 4 de septiembre de 2023</w:t>
      </w:r>
    </w:p>
    <w:bookmarkEnd w:id="184"/>
    <w:p w14:paraId="06C06FBA" w14:textId="77777777" w:rsidR="00F64776" w:rsidRDefault="00F64776" w:rsidP="00F64776">
      <w:pPr>
        <w:pStyle w:val="TtuloResolucin"/>
      </w:pPr>
      <w:r>
        <w:t>Sección Tercera</w:t>
      </w:r>
    </w:p>
    <w:p w14:paraId="0949D0E1" w14:textId="77777777" w:rsidR="00F64776" w:rsidRDefault="00F64776" w:rsidP="00F64776">
      <w:pPr>
        <w:pStyle w:val="TextoNormalCentrado"/>
      </w:pPr>
      <w:r>
        <w:t>ECLI:ES:TC:2023:399A</w:t>
      </w:r>
    </w:p>
    <w:p w14:paraId="2C638628" w14:textId="011E7A63" w:rsidR="00F64776" w:rsidRDefault="00F64776" w:rsidP="00F64776">
      <w:pPr>
        <w:pStyle w:val="TextoNormalCentrado"/>
      </w:pPr>
    </w:p>
    <w:p w14:paraId="14B3BBBF" w14:textId="77777777" w:rsidR="00F64776" w:rsidRDefault="00F64776" w:rsidP="00F64776">
      <w:pPr>
        <w:pStyle w:val="SntesisDescriptiva"/>
      </w:pPr>
      <w:r>
        <w:t>Excms. Srs. doña Inmaculada Montalbán Huertas y doña Laura Díez Bueso.</w:t>
      </w:r>
    </w:p>
    <w:p w14:paraId="242E3C14" w14:textId="1CC38AE2" w:rsidR="00F64776" w:rsidRDefault="00F64776" w:rsidP="00F64776">
      <w:pPr>
        <w:pStyle w:val="SntesisDescriptiva"/>
      </w:pPr>
    </w:p>
    <w:p w14:paraId="5701A289" w14:textId="77777777" w:rsidR="00F64776" w:rsidRDefault="00F64776" w:rsidP="00F64776">
      <w:pPr>
        <w:pStyle w:val="SntesisDescriptiva"/>
      </w:pPr>
      <w:r>
        <w:t>Acepta una abstención en el recurso de amparo 7581-2022, promovido en proceso contencioso-administrativo.</w:t>
      </w:r>
    </w:p>
    <w:p w14:paraId="434629BF" w14:textId="75BC61D2" w:rsidR="00F64776" w:rsidRDefault="00F64776" w:rsidP="00F64776">
      <w:pPr>
        <w:pStyle w:val="SntesisDescriptiva"/>
      </w:pPr>
    </w:p>
    <w:p w14:paraId="4C9B2C35" w14:textId="77777777" w:rsidR="00F64776" w:rsidRDefault="00F64776" w:rsidP="00F64776">
      <w:pPr>
        <w:pStyle w:val="SntesisDescriptiva"/>
      </w:pPr>
    </w:p>
    <w:p w14:paraId="1128B45C" w14:textId="77777777" w:rsidR="00F64776" w:rsidRDefault="00F64776" w:rsidP="00F64776">
      <w:pPr>
        <w:pStyle w:val="SntesisDescriptiva"/>
      </w:pPr>
    </w:p>
    <w:p w14:paraId="3151D793" w14:textId="77777777" w:rsidR="00F64776" w:rsidRDefault="00F64776" w:rsidP="00F64776">
      <w:pPr>
        <w:pStyle w:val="TextoNormalNegritaCentrado"/>
      </w:pPr>
      <w:r>
        <w:t>AUTO</w:t>
      </w:r>
    </w:p>
    <w:p w14:paraId="0BC39DE2" w14:textId="6A8CA990" w:rsidR="00F64776" w:rsidRDefault="00F64776" w:rsidP="00F64776">
      <w:pPr>
        <w:pStyle w:val="TextoNormalNegritaCentrado"/>
      </w:pPr>
    </w:p>
    <w:p w14:paraId="1D6BA03F" w14:textId="77777777" w:rsidR="00F64776" w:rsidRDefault="00F64776" w:rsidP="00F64776">
      <w:pPr>
        <w:pStyle w:val="TextoNormalNegritaCentrado"/>
        <w:keepNext/>
      </w:pPr>
      <w:r>
        <w:t>I. Antecedentes</w:t>
      </w:r>
    </w:p>
    <w:p w14:paraId="7788054E" w14:textId="38407F97" w:rsidR="00F64776" w:rsidRDefault="00F64776" w:rsidP="00F64776">
      <w:pPr>
        <w:pStyle w:val="TextoNormalNegritaCentrado"/>
        <w:keepNext/>
      </w:pPr>
    </w:p>
    <w:p w14:paraId="123F4591" w14:textId="19B193E2" w:rsidR="00F64776" w:rsidRDefault="00F64776" w:rsidP="00F64776">
      <w:pPr>
        <w:pStyle w:val="TextoNormal"/>
      </w:pPr>
      <w:r w:rsidRPr="00F64776">
        <w:rPr>
          <w:rStyle w:val="NumeroAFNegritaCaracter"/>
        </w:rPr>
        <w:t>1</w:t>
      </w:r>
      <w:r>
        <w:t>. Mediante escrito registrado en este tribunal el 17 de noviembre de 2022 la procuradora de los tribunales doña Pilar Gema Pinto Campos, en nombre y representación de don Jonathan Carvajal Jiménez y bajo la dirección del letrado don Fernando Sánchez García, interpuso demanda de amparo contra la providencia de 16 de noviembre de 2022 de la Sala de lo Contencioso-Administrativo del Tribunal Supremo en recurso de casación núm. 5018-2022.</w:t>
      </w:r>
    </w:p>
    <w:p w14:paraId="58FFA67F" w14:textId="77777777" w:rsidR="00F64776" w:rsidRDefault="00F64776" w:rsidP="00F64776">
      <w:pPr>
        <w:pStyle w:val="TextoNormal"/>
      </w:pPr>
    </w:p>
    <w:p w14:paraId="28F8C10E" w14:textId="761502C3" w:rsidR="00F64776" w:rsidRDefault="00F64776" w:rsidP="00F64776">
      <w:pPr>
        <w:pStyle w:val="TextoNormal"/>
      </w:pPr>
      <w:r w:rsidRPr="00F64776">
        <w:rPr>
          <w:rStyle w:val="NumeroAFNegritaCaracter"/>
        </w:rPr>
        <w:t>2</w:t>
      </w:r>
      <w:r>
        <w:t>. Por escrito de 8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7269BA78" w14:textId="77777777" w:rsidR="00F64776" w:rsidRDefault="00F64776" w:rsidP="00F64776">
      <w:pPr>
        <w:pStyle w:val="TextoNormal"/>
      </w:pPr>
    </w:p>
    <w:p w14:paraId="4828AD16" w14:textId="77777777" w:rsidR="00F64776" w:rsidRDefault="00F64776" w:rsidP="00F64776">
      <w:pPr>
        <w:pStyle w:val="TextoNormalNegritaCentrado"/>
        <w:keepNext/>
      </w:pPr>
      <w:r>
        <w:t>II. Fundamentos jurídicos</w:t>
      </w:r>
    </w:p>
    <w:p w14:paraId="387F375F" w14:textId="037C0717" w:rsidR="00F64776" w:rsidRDefault="00F64776" w:rsidP="00F64776">
      <w:pPr>
        <w:pStyle w:val="TextoNormalNegritaCentrado"/>
        <w:keepNext/>
      </w:pPr>
    </w:p>
    <w:p w14:paraId="1A684F25" w14:textId="5814D553"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27BDD07E" w14:textId="77777777" w:rsidR="00F64776" w:rsidRDefault="00F64776" w:rsidP="00F64776">
      <w:pPr>
        <w:pStyle w:val="TextoNormal"/>
      </w:pPr>
    </w:p>
    <w:p w14:paraId="1019703B" w14:textId="77777777" w:rsidR="00F64776" w:rsidRDefault="00F64776" w:rsidP="00F64776">
      <w:pPr>
        <w:pStyle w:val="TextoNormal"/>
      </w:pPr>
      <w:r>
        <w:t>Por lo expuesto, la Sección</w:t>
      </w:r>
    </w:p>
    <w:p w14:paraId="2E9E9EE5" w14:textId="16427F46" w:rsidR="00F64776" w:rsidRDefault="00F64776" w:rsidP="00F64776">
      <w:pPr>
        <w:pStyle w:val="TextoNormal"/>
      </w:pPr>
    </w:p>
    <w:p w14:paraId="06A4744A" w14:textId="77777777" w:rsidR="00F64776" w:rsidRDefault="00F64776" w:rsidP="00F64776">
      <w:pPr>
        <w:pStyle w:val="TextoNormalCentrado"/>
      </w:pPr>
      <w:r>
        <w:t>ACUERDA</w:t>
      </w:r>
    </w:p>
    <w:p w14:paraId="70422895" w14:textId="351BCD6C" w:rsidR="00F64776" w:rsidRDefault="00F64776" w:rsidP="00F64776">
      <w:pPr>
        <w:pStyle w:val="TextoNormalCentrado"/>
      </w:pPr>
    </w:p>
    <w:p w14:paraId="0D403930" w14:textId="73DEA7B2" w:rsidR="00F64776" w:rsidRDefault="00F64776" w:rsidP="00F64776">
      <w:pPr>
        <w:pStyle w:val="TextoNormal"/>
      </w:pPr>
      <w:r>
        <w:t>Estimar justificada la abstención formulada por el magistrado señor don César Tolosa Tribiño en el recurso de amparo núm. 7581-2022 y apartarle definitivamente del conocimiento del referido recurso y de todas sus incidencias.</w:t>
      </w:r>
    </w:p>
    <w:p w14:paraId="516F43A2" w14:textId="77777777" w:rsidR="00F64776" w:rsidRDefault="00F64776" w:rsidP="00F64776">
      <w:pPr>
        <w:pStyle w:val="TextoNormal"/>
      </w:pPr>
    </w:p>
    <w:p w14:paraId="4C5BFB41" w14:textId="77777777" w:rsidR="00F64776" w:rsidRDefault="00F64776" w:rsidP="00F64776">
      <w:pPr>
        <w:pStyle w:val="TextoNormal"/>
      </w:pPr>
      <w:r>
        <w:t>Madrid, a cuatro de septiembre de dos mil veintitrés.</w:t>
      </w:r>
    </w:p>
    <w:p w14:paraId="702FABB2" w14:textId="6FDABD54" w:rsidR="00F64776" w:rsidRDefault="00F64776">
      <w:pPr>
        <w:spacing w:after="160" w:line="278" w:lineRule="auto"/>
        <w:rPr>
          <w:rFonts w:ascii="Times New Roman" w:eastAsia="Times New Roman" w:hAnsi="Times New Roman" w:cs="Times New Roman"/>
          <w:sz w:val="24"/>
          <w:szCs w:val="24"/>
          <w:lang w:eastAsia="es-ES"/>
        </w:rPr>
      </w:pPr>
      <w:r>
        <w:br w:type="page"/>
      </w:r>
    </w:p>
    <w:p w14:paraId="5327295C" w14:textId="77777777" w:rsidR="00F64776" w:rsidRDefault="00F64776" w:rsidP="00F64776">
      <w:pPr>
        <w:pStyle w:val="TtuloResolucin"/>
      </w:pPr>
      <w:bookmarkStart w:id="185" w:name="AUTO_2023_400"/>
      <w:r>
        <w:t>AUTO 400/2023, de 4 de septiembre de 2023</w:t>
      </w:r>
    </w:p>
    <w:bookmarkEnd w:id="185"/>
    <w:p w14:paraId="6A666098" w14:textId="77777777" w:rsidR="00F64776" w:rsidRDefault="00F64776" w:rsidP="00F64776">
      <w:pPr>
        <w:pStyle w:val="TtuloResolucin"/>
      </w:pPr>
      <w:r>
        <w:t>Sección Tercera</w:t>
      </w:r>
    </w:p>
    <w:p w14:paraId="5A06AA1C" w14:textId="77777777" w:rsidR="00F64776" w:rsidRDefault="00F64776" w:rsidP="00F64776">
      <w:pPr>
        <w:pStyle w:val="TextoNormalCentrado"/>
      </w:pPr>
      <w:r>
        <w:t>ECLI:ES:TC:2023:400A</w:t>
      </w:r>
    </w:p>
    <w:p w14:paraId="02E54E92" w14:textId="3203E220" w:rsidR="00F64776" w:rsidRDefault="00F64776" w:rsidP="00F64776">
      <w:pPr>
        <w:pStyle w:val="TextoNormalCentrado"/>
      </w:pPr>
    </w:p>
    <w:p w14:paraId="67F48EE7" w14:textId="77777777" w:rsidR="00F64776" w:rsidRDefault="00F64776" w:rsidP="00F64776">
      <w:pPr>
        <w:pStyle w:val="SntesisDescriptiva"/>
      </w:pPr>
      <w:r>
        <w:t>Excms. Srs. doña Inmaculada Montalbán Huertas y doña Laura Díez Bueso.</w:t>
      </w:r>
    </w:p>
    <w:p w14:paraId="3CB3EA16" w14:textId="5D2823DC" w:rsidR="00F64776" w:rsidRDefault="00F64776" w:rsidP="00F64776">
      <w:pPr>
        <w:pStyle w:val="SntesisDescriptiva"/>
      </w:pPr>
    </w:p>
    <w:p w14:paraId="5FC75FF4" w14:textId="77777777" w:rsidR="00F64776" w:rsidRDefault="00F64776" w:rsidP="00F64776">
      <w:pPr>
        <w:pStyle w:val="SntesisDescriptiva"/>
      </w:pPr>
      <w:r>
        <w:t>Acepta una abstención en el recurso de amparo 7591-2022, promovido en proceso contencioso-administrativo.</w:t>
      </w:r>
    </w:p>
    <w:p w14:paraId="43636728" w14:textId="577933DC" w:rsidR="00F64776" w:rsidRDefault="00F64776" w:rsidP="00F64776">
      <w:pPr>
        <w:pStyle w:val="SntesisDescriptiva"/>
      </w:pPr>
    </w:p>
    <w:p w14:paraId="18C5EA7C" w14:textId="77777777" w:rsidR="00F64776" w:rsidRDefault="00F64776" w:rsidP="00F64776">
      <w:pPr>
        <w:pStyle w:val="SntesisDescriptiva"/>
      </w:pPr>
    </w:p>
    <w:p w14:paraId="44FDDE31" w14:textId="77777777" w:rsidR="00F64776" w:rsidRDefault="00F64776" w:rsidP="00F64776">
      <w:pPr>
        <w:pStyle w:val="SntesisDescriptiva"/>
      </w:pPr>
    </w:p>
    <w:p w14:paraId="75C0F054" w14:textId="77777777" w:rsidR="00F64776" w:rsidRDefault="00F64776" w:rsidP="00F64776">
      <w:pPr>
        <w:pStyle w:val="TextoNormalNegritaCentrado"/>
      </w:pPr>
      <w:r>
        <w:t>AUTO</w:t>
      </w:r>
    </w:p>
    <w:p w14:paraId="41558E8F" w14:textId="0A4AE1B1" w:rsidR="00F64776" w:rsidRDefault="00F64776" w:rsidP="00F64776">
      <w:pPr>
        <w:pStyle w:val="TextoNormalNegritaCentrado"/>
      </w:pPr>
    </w:p>
    <w:p w14:paraId="64975B66" w14:textId="77777777" w:rsidR="00F64776" w:rsidRDefault="00F64776" w:rsidP="00F64776">
      <w:pPr>
        <w:pStyle w:val="TextoNormalNegritaCentrado"/>
        <w:keepNext/>
      </w:pPr>
      <w:r>
        <w:t>I. Antecedentes</w:t>
      </w:r>
    </w:p>
    <w:p w14:paraId="107F7E6F" w14:textId="0622154A" w:rsidR="00F64776" w:rsidRDefault="00F64776" w:rsidP="00F64776">
      <w:pPr>
        <w:pStyle w:val="TextoNormalNegritaCentrado"/>
        <w:keepNext/>
      </w:pPr>
    </w:p>
    <w:p w14:paraId="61D1C736" w14:textId="4A727F55" w:rsidR="00F64776" w:rsidRDefault="00F64776" w:rsidP="00F64776">
      <w:pPr>
        <w:pStyle w:val="TextoNormal"/>
      </w:pPr>
      <w:r w:rsidRPr="00F64776">
        <w:rPr>
          <w:rStyle w:val="NumeroAFNegritaCaracter"/>
        </w:rPr>
        <w:t>1</w:t>
      </w:r>
      <w:r>
        <w:t>. Mediante escrito registrado en este tribunal el 17 de noviembre de 2022 el procurador de los tribunales don Ramón Blanco Blanco, en nombre y representación de don Mamadou Oury Diallo y bajo la dirección del letrado don Juan José Moreno Carrasco, interpuso demanda de amparo contra providencia de fecha 19 de octubre de 2022 dictada por la Sección Primera de la Sala de lo Contencioso-Administrativo del Tribunal Supremo en recurso de casación núm. 4665-2022 contra sentencia de la Sección Tercera de la Sala de lo Contencioso-administrativo de la Audiencia Nacional, procedimiento ordinario núm. 1474-2020.</w:t>
      </w:r>
    </w:p>
    <w:p w14:paraId="7BDF3F55" w14:textId="77777777" w:rsidR="00F64776" w:rsidRDefault="00F64776" w:rsidP="00F64776">
      <w:pPr>
        <w:pStyle w:val="TextoNormal"/>
      </w:pPr>
    </w:p>
    <w:p w14:paraId="593D8311" w14:textId="7530418E" w:rsidR="00F64776" w:rsidRDefault="00F64776" w:rsidP="00F64776">
      <w:pPr>
        <w:pStyle w:val="TextoNormal"/>
      </w:pPr>
      <w:r w:rsidRPr="00F64776">
        <w:rPr>
          <w:rStyle w:val="NumeroAFNegritaCaracter"/>
        </w:rPr>
        <w:t>2</w:t>
      </w:r>
      <w:r>
        <w:t>. Por escrito de 3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2EF4CBF6" w14:textId="77777777" w:rsidR="00F64776" w:rsidRDefault="00F64776" w:rsidP="00F64776">
      <w:pPr>
        <w:pStyle w:val="TextoNormal"/>
      </w:pPr>
    </w:p>
    <w:p w14:paraId="2ED7560E" w14:textId="77777777" w:rsidR="00F64776" w:rsidRDefault="00F64776" w:rsidP="00F64776">
      <w:pPr>
        <w:pStyle w:val="TextoNormalNegritaCentrado"/>
        <w:keepNext/>
      </w:pPr>
      <w:r>
        <w:t>II. Fundamentos jurídicos</w:t>
      </w:r>
    </w:p>
    <w:p w14:paraId="68E25220" w14:textId="4D757A08" w:rsidR="00F64776" w:rsidRDefault="00F64776" w:rsidP="00F64776">
      <w:pPr>
        <w:pStyle w:val="TextoNormalNegritaCentrado"/>
        <w:keepNext/>
      </w:pPr>
    </w:p>
    <w:p w14:paraId="23C5EAD4" w14:textId="63AA66FB"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22C041DF" w14:textId="77777777" w:rsidR="00F64776" w:rsidRDefault="00F64776" w:rsidP="00F64776">
      <w:pPr>
        <w:pStyle w:val="TextoNormal"/>
      </w:pPr>
    </w:p>
    <w:p w14:paraId="78A6A081" w14:textId="77777777" w:rsidR="00F64776" w:rsidRDefault="00F64776" w:rsidP="00F64776">
      <w:pPr>
        <w:pStyle w:val="TextoNormal"/>
      </w:pPr>
      <w:r>
        <w:t>Por lo expuesto, la Sección</w:t>
      </w:r>
    </w:p>
    <w:p w14:paraId="0C586FAC" w14:textId="37C0C086" w:rsidR="00F64776" w:rsidRDefault="00F64776" w:rsidP="00F64776">
      <w:pPr>
        <w:pStyle w:val="TextoNormal"/>
      </w:pPr>
    </w:p>
    <w:p w14:paraId="27779DB9" w14:textId="77777777" w:rsidR="00F64776" w:rsidRDefault="00F64776" w:rsidP="00F64776">
      <w:pPr>
        <w:pStyle w:val="TextoNormalCentrado"/>
      </w:pPr>
      <w:r>
        <w:t>ACUERDA</w:t>
      </w:r>
    </w:p>
    <w:p w14:paraId="5289642B" w14:textId="7BD4A2D4" w:rsidR="00F64776" w:rsidRDefault="00F64776" w:rsidP="00F64776">
      <w:pPr>
        <w:pStyle w:val="TextoNormalCentrado"/>
      </w:pPr>
    </w:p>
    <w:p w14:paraId="3BC8503D" w14:textId="0EBB1918" w:rsidR="00F64776" w:rsidRDefault="00F64776" w:rsidP="00F64776">
      <w:pPr>
        <w:pStyle w:val="TextoNormal"/>
      </w:pPr>
      <w:r>
        <w:t>Estimar justificada la abstención formulada por el magistrado señor don César Tolosa Tribiño en el recurso de amparo núm. 7591-2022 y apartarle definitivamente del conocimiento del referido recurso y de todas sus incidencias.</w:t>
      </w:r>
    </w:p>
    <w:p w14:paraId="32BDC2B1" w14:textId="77777777" w:rsidR="00F64776" w:rsidRDefault="00F64776" w:rsidP="00F64776">
      <w:pPr>
        <w:pStyle w:val="TextoNormal"/>
      </w:pPr>
    </w:p>
    <w:p w14:paraId="05767D42" w14:textId="77777777" w:rsidR="00F64776" w:rsidRDefault="00F64776" w:rsidP="00F64776">
      <w:pPr>
        <w:pStyle w:val="TextoNormal"/>
      </w:pPr>
      <w:r>
        <w:t>Madrid, a cuatro de septiembre de dos mil veintitrés.</w:t>
      </w:r>
    </w:p>
    <w:p w14:paraId="55C04049" w14:textId="4B6F0171" w:rsidR="00F64776" w:rsidRDefault="00F64776">
      <w:pPr>
        <w:spacing w:after="160" w:line="278" w:lineRule="auto"/>
        <w:rPr>
          <w:rFonts w:ascii="Times New Roman" w:eastAsia="Times New Roman" w:hAnsi="Times New Roman" w:cs="Times New Roman"/>
          <w:sz w:val="24"/>
          <w:szCs w:val="24"/>
          <w:lang w:eastAsia="es-ES"/>
        </w:rPr>
      </w:pPr>
      <w:r>
        <w:br w:type="page"/>
      </w:r>
    </w:p>
    <w:p w14:paraId="60CB076A" w14:textId="77777777" w:rsidR="00F64776" w:rsidRDefault="00F64776" w:rsidP="00F64776">
      <w:pPr>
        <w:pStyle w:val="TtuloResolucin"/>
      </w:pPr>
      <w:bookmarkStart w:id="186" w:name="AUTO_2023_401"/>
      <w:r>
        <w:t>AUTO 401/2023, de 4 de septiembre de 2023</w:t>
      </w:r>
    </w:p>
    <w:bookmarkEnd w:id="186"/>
    <w:p w14:paraId="6136B7D7" w14:textId="77777777" w:rsidR="00F64776" w:rsidRDefault="00F64776" w:rsidP="00F64776">
      <w:pPr>
        <w:pStyle w:val="TtuloResolucin"/>
      </w:pPr>
      <w:r>
        <w:t>Sección Tercera</w:t>
      </w:r>
    </w:p>
    <w:p w14:paraId="1559A57E" w14:textId="77777777" w:rsidR="00F64776" w:rsidRDefault="00F64776" w:rsidP="00F64776">
      <w:pPr>
        <w:pStyle w:val="TextoNormalCentrado"/>
      </w:pPr>
      <w:r>
        <w:t>ECLI:ES:TC:2023:401A</w:t>
      </w:r>
    </w:p>
    <w:p w14:paraId="6F6E7755" w14:textId="7BE4D8AF" w:rsidR="00F64776" w:rsidRDefault="00F64776" w:rsidP="00F64776">
      <w:pPr>
        <w:pStyle w:val="TextoNormalCentrado"/>
      </w:pPr>
    </w:p>
    <w:p w14:paraId="01854CA5" w14:textId="77777777" w:rsidR="00F64776" w:rsidRDefault="00F64776" w:rsidP="00F64776">
      <w:pPr>
        <w:pStyle w:val="SntesisDescriptiva"/>
      </w:pPr>
      <w:r>
        <w:t>Excms. Srs. doña Inmaculada Montalbán Huertas y doña Laura Díez Bueso.</w:t>
      </w:r>
    </w:p>
    <w:p w14:paraId="2DB7DADA" w14:textId="0153A8F4" w:rsidR="00F64776" w:rsidRDefault="00F64776" w:rsidP="00F64776">
      <w:pPr>
        <w:pStyle w:val="SntesisDescriptiva"/>
      </w:pPr>
    </w:p>
    <w:p w14:paraId="3AB68574" w14:textId="77777777" w:rsidR="00F64776" w:rsidRDefault="00F64776" w:rsidP="00F64776">
      <w:pPr>
        <w:pStyle w:val="SntesisDescriptiva"/>
      </w:pPr>
      <w:r>
        <w:t>Acepta una abstención en el recurso de amparo 7895-2022, promovido en proceso contencioso-administrativo.</w:t>
      </w:r>
    </w:p>
    <w:p w14:paraId="2CB7BE80" w14:textId="201402A7" w:rsidR="00F64776" w:rsidRDefault="00F64776" w:rsidP="00F64776">
      <w:pPr>
        <w:pStyle w:val="SntesisDescriptiva"/>
      </w:pPr>
    </w:p>
    <w:p w14:paraId="04F99BAC" w14:textId="77777777" w:rsidR="00F64776" w:rsidRDefault="00F64776" w:rsidP="00F64776">
      <w:pPr>
        <w:pStyle w:val="SntesisDescriptiva"/>
      </w:pPr>
    </w:p>
    <w:p w14:paraId="02465A26" w14:textId="77777777" w:rsidR="00F64776" w:rsidRDefault="00F64776" w:rsidP="00F64776">
      <w:pPr>
        <w:pStyle w:val="SntesisDescriptiva"/>
      </w:pPr>
    </w:p>
    <w:p w14:paraId="6F56117E" w14:textId="77777777" w:rsidR="00F64776" w:rsidRDefault="00F64776" w:rsidP="00F64776">
      <w:pPr>
        <w:pStyle w:val="TextoNormalNegritaCentrado"/>
      </w:pPr>
      <w:r>
        <w:t>AUTO</w:t>
      </w:r>
    </w:p>
    <w:p w14:paraId="2E847BB2" w14:textId="2B8A2FBC" w:rsidR="00F64776" w:rsidRDefault="00F64776" w:rsidP="00F64776">
      <w:pPr>
        <w:pStyle w:val="TextoNormalNegritaCentrado"/>
      </w:pPr>
    </w:p>
    <w:p w14:paraId="68925CE8" w14:textId="77777777" w:rsidR="00F64776" w:rsidRDefault="00F64776" w:rsidP="00F64776">
      <w:pPr>
        <w:pStyle w:val="TextoNormalNegritaCentrado"/>
        <w:keepNext/>
      </w:pPr>
      <w:r>
        <w:t>I. Antecedentes</w:t>
      </w:r>
    </w:p>
    <w:p w14:paraId="038619A3" w14:textId="4A9245F3" w:rsidR="00F64776" w:rsidRDefault="00F64776" w:rsidP="00F64776">
      <w:pPr>
        <w:pStyle w:val="TextoNormalNegritaCentrado"/>
        <w:keepNext/>
      </w:pPr>
    </w:p>
    <w:p w14:paraId="14225C92" w14:textId="6849C83D" w:rsidR="00F64776" w:rsidRDefault="00F64776" w:rsidP="00F64776">
      <w:pPr>
        <w:pStyle w:val="TextoNormal"/>
      </w:pPr>
      <w:r w:rsidRPr="00F64776">
        <w:rPr>
          <w:rStyle w:val="NumeroAFNegritaCaracter"/>
        </w:rPr>
        <w:t>1</w:t>
      </w:r>
      <w:r>
        <w:t>. Mediante escrito registrado en este tribunal el 29 de noviembre de 2022 el procurador de los tribunales don José María Ruiz de la Cuesta Vacas, en nombre y representación de Marta Pérez Rodríguez y otros y bajo la dirección del letrado don Francisco Javier Araúz de Robles Dávila, interpuso demanda de amparo contra la providencia de 19 de octubre de 2022 de la Sección Primera de la Sala de lo Contencioso-Administrativo del Tribunal Supremo en recurso de casación núm. 7310-2021.</w:t>
      </w:r>
    </w:p>
    <w:p w14:paraId="490EF744" w14:textId="77777777" w:rsidR="00F64776" w:rsidRDefault="00F64776" w:rsidP="00F64776">
      <w:pPr>
        <w:pStyle w:val="TextoNormal"/>
      </w:pPr>
    </w:p>
    <w:p w14:paraId="1022B6A7" w14:textId="2A37F021" w:rsidR="00F64776" w:rsidRDefault="00F64776" w:rsidP="00F64776">
      <w:pPr>
        <w:pStyle w:val="TextoNormal"/>
      </w:pPr>
      <w:r w:rsidRPr="00F64776">
        <w:rPr>
          <w:rStyle w:val="NumeroAFNegritaCaracter"/>
        </w:rPr>
        <w:t>2</w:t>
      </w:r>
      <w:r>
        <w:t>. Por escrito de 5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12A7F651" w14:textId="77777777" w:rsidR="00F64776" w:rsidRDefault="00F64776" w:rsidP="00F64776">
      <w:pPr>
        <w:pStyle w:val="TextoNormal"/>
      </w:pPr>
    </w:p>
    <w:p w14:paraId="48E18373" w14:textId="77777777" w:rsidR="00F64776" w:rsidRDefault="00F64776" w:rsidP="00F64776">
      <w:pPr>
        <w:pStyle w:val="TextoNormalNegritaCentrado"/>
        <w:keepNext/>
      </w:pPr>
      <w:r>
        <w:t>II. Fundamentos jurídicos</w:t>
      </w:r>
    </w:p>
    <w:p w14:paraId="55A4FA80" w14:textId="352AE009" w:rsidR="00F64776" w:rsidRDefault="00F64776" w:rsidP="00F64776">
      <w:pPr>
        <w:pStyle w:val="TextoNormalNegritaCentrado"/>
        <w:keepNext/>
      </w:pPr>
    </w:p>
    <w:p w14:paraId="0ADDD871" w14:textId="52FC45B3"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3CEC4D4A" w14:textId="77777777" w:rsidR="00F64776" w:rsidRDefault="00F64776" w:rsidP="00F64776">
      <w:pPr>
        <w:pStyle w:val="TextoNormal"/>
      </w:pPr>
    </w:p>
    <w:p w14:paraId="617C89A1" w14:textId="77777777" w:rsidR="00F64776" w:rsidRDefault="00F64776" w:rsidP="00F64776">
      <w:pPr>
        <w:pStyle w:val="TextoNormal"/>
      </w:pPr>
      <w:r>
        <w:t>Por lo expuesto, la Sección</w:t>
      </w:r>
    </w:p>
    <w:p w14:paraId="3B808B0A" w14:textId="4D62C717" w:rsidR="00F64776" w:rsidRDefault="00F64776" w:rsidP="00F64776">
      <w:pPr>
        <w:pStyle w:val="TextoNormal"/>
      </w:pPr>
    </w:p>
    <w:p w14:paraId="09958C9C" w14:textId="77777777" w:rsidR="00F64776" w:rsidRDefault="00F64776" w:rsidP="00F64776">
      <w:pPr>
        <w:pStyle w:val="TextoNormalCentrado"/>
      </w:pPr>
      <w:r>
        <w:t>ACUERDA</w:t>
      </w:r>
    </w:p>
    <w:p w14:paraId="5768ADBB" w14:textId="65DDD086" w:rsidR="00F64776" w:rsidRDefault="00F64776" w:rsidP="00F64776">
      <w:pPr>
        <w:pStyle w:val="TextoNormalCentrado"/>
      </w:pPr>
    </w:p>
    <w:p w14:paraId="028645A8" w14:textId="742AE48B" w:rsidR="00F64776" w:rsidRDefault="00F64776" w:rsidP="00F64776">
      <w:pPr>
        <w:pStyle w:val="TextoNormal"/>
      </w:pPr>
      <w:r>
        <w:t>Estimar justificada la abstención formulada por el magistrado señor don César Tolosa Tribiño en el recurso de amparo núm. 7895-2022 y apartarle definitivamente del conocimiento del referido recurso y de todas sus incidencias.</w:t>
      </w:r>
    </w:p>
    <w:p w14:paraId="7441ADDC" w14:textId="77777777" w:rsidR="00F64776" w:rsidRDefault="00F64776" w:rsidP="00F64776">
      <w:pPr>
        <w:pStyle w:val="TextoNormal"/>
      </w:pPr>
    </w:p>
    <w:p w14:paraId="1B317D49" w14:textId="77777777" w:rsidR="00F64776" w:rsidRDefault="00F64776" w:rsidP="00F64776">
      <w:pPr>
        <w:pStyle w:val="TextoNormal"/>
      </w:pPr>
      <w:r>
        <w:t>Madrid, a cuatro de septiembre de dos mil veintitrés.</w:t>
      </w:r>
    </w:p>
    <w:p w14:paraId="1D612A51" w14:textId="33A1281D" w:rsidR="00F64776" w:rsidRDefault="00F64776">
      <w:pPr>
        <w:spacing w:after="160" w:line="278" w:lineRule="auto"/>
        <w:rPr>
          <w:rFonts w:ascii="Times New Roman" w:eastAsia="Times New Roman" w:hAnsi="Times New Roman" w:cs="Times New Roman"/>
          <w:sz w:val="24"/>
          <w:szCs w:val="24"/>
          <w:lang w:eastAsia="es-ES"/>
        </w:rPr>
      </w:pPr>
      <w:r>
        <w:br w:type="page"/>
      </w:r>
    </w:p>
    <w:p w14:paraId="2BAFC946" w14:textId="77777777" w:rsidR="00F64776" w:rsidRDefault="00F64776" w:rsidP="00F64776">
      <w:pPr>
        <w:pStyle w:val="TtuloResolucin"/>
      </w:pPr>
      <w:bookmarkStart w:id="187" w:name="AUTO_2023_402"/>
      <w:r>
        <w:t>AUTO 402/2023, de 4 de septiembre de 2023</w:t>
      </w:r>
    </w:p>
    <w:bookmarkEnd w:id="187"/>
    <w:p w14:paraId="44C4A0BF" w14:textId="77777777" w:rsidR="00F64776" w:rsidRDefault="00F64776" w:rsidP="00F64776">
      <w:pPr>
        <w:pStyle w:val="TtuloResolucin"/>
      </w:pPr>
      <w:r>
        <w:t>Sección Tercera</w:t>
      </w:r>
    </w:p>
    <w:p w14:paraId="575E5D24" w14:textId="77777777" w:rsidR="00F64776" w:rsidRDefault="00F64776" w:rsidP="00F64776">
      <w:pPr>
        <w:pStyle w:val="TextoNormalCentrado"/>
      </w:pPr>
      <w:r>
        <w:t>ECLI:ES:TC:2023:402A</w:t>
      </w:r>
    </w:p>
    <w:p w14:paraId="2808C9FB" w14:textId="74395AD4" w:rsidR="00F64776" w:rsidRDefault="00F64776" w:rsidP="00F64776">
      <w:pPr>
        <w:pStyle w:val="TextoNormalCentrado"/>
      </w:pPr>
    </w:p>
    <w:p w14:paraId="7D3339DE" w14:textId="77777777" w:rsidR="00F64776" w:rsidRDefault="00F64776" w:rsidP="00F64776">
      <w:pPr>
        <w:pStyle w:val="SntesisDescriptiva"/>
      </w:pPr>
      <w:r>
        <w:t>Excms. Srs. doña Inmaculada Montalbán Huertas y doña Laura Díez Bueso.</w:t>
      </w:r>
    </w:p>
    <w:p w14:paraId="3A12B736" w14:textId="7B0B57C6" w:rsidR="00F64776" w:rsidRDefault="00F64776" w:rsidP="00F64776">
      <w:pPr>
        <w:pStyle w:val="SntesisDescriptiva"/>
      </w:pPr>
    </w:p>
    <w:p w14:paraId="76EBF056" w14:textId="77777777" w:rsidR="00F64776" w:rsidRDefault="00F64776" w:rsidP="00F64776">
      <w:pPr>
        <w:pStyle w:val="SntesisDescriptiva"/>
      </w:pPr>
      <w:r>
        <w:t>Acepta una abstención en el recurso de amparo 8115-2022, promovido en proceso contencioso-administrativo.</w:t>
      </w:r>
    </w:p>
    <w:p w14:paraId="7DBA3196" w14:textId="6B0D43B9" w:rsidR="00F64776" w:rsidRDefault="00F64776" w:rsidP="00F64776">
      <w:pPr>
        <w:pStyle w:val="SntesisDescriptiva"/>
      </w:pPr>
    </w:p>
    <w:p w14:paraId="6AEBCB0E" w14:textId="77777777" w:rsidR="00F64776" w:rsidRDefault="00F64776" w:rsidP="00F64776">
      <w:pPr>
        <w:pStyle w:val="SntesisDescriptiva"/>
      </w:pPr>
    </w:p>
    <w:p w14:paraId="27F29BBC" w14:textId="77777777" w:rsidR="00F64776" w:rsidRDefault="00F64776" w:rsidP="00F64776">
      <w:pPr>
        <w:pStyle w:val="SntesisDescriptiva"/>
      </w:pPr>
    </w:p>
    <w:p w14:paraId="755157D6" w14:textId="77777777" w:rsidR="00F64776" w:rsidRDefault="00F64776" w:rsidP="00F64776">
      <w:pPr>
        <w:pStyle w:val="TextoNormalNegritaCentrado"/>
      </w:pPr>
      <w:r>
        <w:t>AUTO</w:t>
      </w:r>
    </w:p>
    <w:p w14:paraId="6D3CE901" w14:textId="54C3C45F" w:rsidR="00F64776" w:rsidRDefault="00F64776" w:rsidP="00F64776">
      <w:pPr>
        <w:pStyle w:val="TextoNormalNegritaCentrado"/>
      </w:pPr>
    </w:p>
    <w:p w14:paraId="1DCA1573" w14:textId="77777777" w:rsidR="00F64776" w:rsidRDefault="00F64776" w:rsidP="00F64776">
      <w:pPr>
        <w:pStyle w:val="TextoNormalNegritaCentrado"/>
        <w:keepNext/>
      </w:pPr>
      <w:r>
        <w:t>I. Antecedentes</w:t>
      </w:r>
    </w:p>
    <w:p w14:paraId="0A807A61" w14:textId="7DE38DF6" w:rsidR="00F64776" w:rsidRDefault="00F64776" w:rsidP="00F64776">
      <w:pPr>
        <w:pStyle w:val="TextoNormalNegritaCentrado"/>
        <w:keepNext/>
      </w:pPr>
    </w:p>
    <w:p w14:paraId="293E9B1A" w14:textId="29213A98" w:rsidR="00F64776" w:rsidRDefault="00F64776" w:rsidP="00F64776">
      <w:pPr>
        <w:pStyle w:val="TextoNormal"/>
      </w:pPr>
      <w:r w:rsidRPr="00F64776">
        <w:rPr>
          <w:rStyle w:val="NumeroAFNegritaCaracter"/>
        </w:rPr>
        <w:t>1</w:t>
      </w:r>
      <w:r>
        <w:t>. Mediante escrito registrado en este tribunal el 7 de diciembre de 2022 la procuradora de los tribunales doña Ana María Araúz de Robles Villalón, en nombre y representación de doña María Paloma Lema Waldomar y bajo la dirección del letrado don Francisco Javier Araúz de Robles Dávila, interpuso demanda de amparo contra providencias de la Sección Primera de la Sala de lo Contencioso-Administrativo del Tribunal Supremo en recurso de casación 7102-2021.</w:t>
      </w:r>
    </w:p>
    <w:p w14:paraId="574B3517" w14:textId="77777777" w:rsidR="00F64776" w:rsidRDefault="00F64776" w:rsidP="00F64776">
      <w:pPr>
        <w:pStyle w:val="TextoNormal"/>
      </w:pPr>
    </w:p>
    <w:p w14:paraId="76C60536" w14:textId="41539312" w:rsidR="00F64776" w:rsidRDefault="00F64776" w:rsidP="00F64776">
      <w:pPr>
        <w:pStyle w:val="TextoNormal"/>
      </w:pPr>
      <w:r w:rsidRPr="00F64776">
        <w:rPr>
          <w:rStyle w:val="NumeroAFNegritaCaracter"/>
        </w:rPr>
        <w:t>2</w:t>
      </w:r>
      <w:r>
        <w:t>. Por escrito de 29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69D9BFF8" w14:textId="77777777" w:rsidR="00F64776" w:rsidRDefault="00F64776" w:rsidP="00F64776">
      <w:pPr>
        <w:pStyle w:val="TextoNormal"/>
      </w:pPr>
    </w:p>
    <w:p w14:paraId="465D6D67" w14:textId="77777777" w:rsidR="00F64776" w:rsidRDefault="00F64776" w:rsidP="00F64776">
      <w:pPr>
        <w:pStyle w:val="TextoNormalNegritaCentrado"/>
        <w:keepNext/>
      </w:pPr>
      <w:r>
        <w:t>II. Fundamentos jurídicos</w:t>
      </w:r>
    </w:p>
    <w:p w14:paraId="49F27789" w14:textId="75E0A66C" w:rsidR="00F64776" w:rsidRDefault="00F64776" w:rsidP="00F64776">
      <w:pPr>
        <w:pStyle w:val="TextoNormalNegritaCentrado"/>
        <w:keepNext/>
      </w:pPr>
    </w:p>
    <w:p w14:paraId="0EF80E60" w14:textId="511CEA09"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2A04BC0D" w14:textId="77777777" w:rsidR="00F64776" w:rsidRDefault="00F64776" w:rsidP="00F64776">
      <w:pPr>
        <w:pStyle w:val="TextoNormal"/>
      </w:pPr>
    </w:p>
    <w:p w14:paraId="672E7590" w14:textId="77777777" w:rsidR="00F64776" w:rsidRDefault="00F64776" w:rsidP="00F64776">
      <w:pPr>
        <w:pStyle w:val="TextoNormal"/>
      </w:pPr>
      <w:r>
        <w:t>Por lo expuesto, la Sección</w:t>
      </w:r>
    </w:p>
    <w:p w14:paraId="607C72EF" w14:textId="215223A7" w:rsidR="00F64776" w:rsidRDefault="00F64776" w:rsidP="00F64776">
      <w:pPr>
        <w:pStyle w:val="TextoNormal"/>
      </w:pPr>
    </w:p>
    <w:p w14:paraId="1D4B6DF9" w14:textId="77777777" w:rsidR="00F64776" w:rsidRDefault="00F64776" w:rsidP="00F64776">
      <w:pPr>
        <w:pStyle w:val="TextoNormalCentrado"/>
      </w:pPr>
      <w:r>
        <w:t>ACUERDA</w:t>
      </w:r>
    </w:p>
    <w:p w14:paraId="42F633AD" w14:textId="7A294BBC" w:rsidR="00F64776" w:rsidRDefault="00F64776" w:rsidP="00F64776">
      <w:pPr>
        <w:pStyle w:val="TextoNormalCentrado"/>
      </w:pPr>
    </w:p>
    <w:p w14:paraId="6DE91530" w14:textId="21DECE12" w:rsidR="00F64776" w:rsidRDefault="00F64776" w:rsidP="00F64776">
      <w:pPr>
        <w:pStyle w:val="TextoNormal"/>
      </w:pPr>
      <w:r>
        <w:t>Estimar justificada la abstención formulada por el magistrado señor don César Tolosa Tribiño en el recurso de amparo núm. 8115-2022 y apartarle definitivamente del conocimiento del referido recurso y de todas sus incidencias.</w:t>
      </w:r>
    </w:p>
    <w:p w14:paraId="04E5880E" w14:textId="77777777" w:rsidR="00F64776" w:rsidRDefault="00F64776" w:rsidP="00F64776">
      <w:pPr>
        <w:pStyle w:val="TextoNormal"/>
      </w:pPr>
    </w:p>
    <w:p w14:paraId="6867F6CC" w14:textId="77777777" w:rsidR="00F64776" w:rsidRDefault="00F64776" w:rsidP="00F64776">
      <w:pPr>
        <w:pStyle w:val="TextoNormal"/>
      </w:pPr>
      <w:r>
        <w:t>Madrid, a cuatro de septiembre de dos mil veintitrés.</w:t>
      </w:r>
    </w:p>
    <w:p w14:paraId="334D5BF7" w14:textId="39CDD066" w:rsidR="00F64776" w:rsidRDefault="00F64776">
      <w:pPr>
        <w:spacing w:after="160" w:line="278" w:lineRule="auto"/>
        <w:rPr>
          <w:rFonts w:ascii="Times New Roman" w:eastAsia="Times New Roman" w:hAnsi="Times New Roman" w:cs="Times New Roman"/>
          <w:sz w:val="24"/>
          <w:szCs w:val="24"/>
          <w:lang w:eastAsia="es-ES"/>
        </w:rPr>
      </w:pPr>
      <w:r>
        <w:br w:type="page"/>
      </w:r>
    </w:p>
    <w:p w14:paraId="54451E36" w14:textId="77777777" w:rsidR="00F64776" w:rsidRDefault="00F64776" w:rsidP="00F64776">
      <w:pPr>
        <w:pStyle w:val="TtuloResolucin"/>
      </w:pPr>
      <w:bookmarkStart w:id="188" w:name="AUTO_2023_403"/>
      <w:r>
        <w:t>AUTO 403/2023, de 4 de septiembre de 2023</w:t>
      </w:r>
    </w:p>
    <w:bookmarkEnd w:id="188"/>
    <w:p w14:paraId="0FD5680A" w14:textId="77777777" w:rsidR="00F64776" w:rsidRDefault="00F64776" w:rsidP="00F64776">
      <w:pPr>
        <w:pStyle w:val="TtuloResolucin"/>
      </w:pPr>
      <w:r>
        <w:t>Sección Tercera</w:t>
      </w:r>
    </w:p>
    <w:p w14:paraId="18E6D0FA" w14:textId="77777777" w:rsidR="00F64776" w:rsidRDefault="00F64776" w:rsidP="00F64776">
      <w:pPr>
        <w:pStyle w:val="TextoNormalCentrado"/>
      </w:pPr>
      <w:r>
        <w:t>ECLI:ES:TC:2023:403A</w:t>
      </w:r>
    </w:p>
    <w:p w14:paraId="21ABD59E" w14:textId="582EDD26" w:rsidR="00F64776" w:rsidRDefault="00F64776" w:rsidP="00F64776">
      <w:pPr>
        <w:pStyle w:val="TextoNormalCentrado"/>
      </w:pPr>
    </w:p>
    <w:p w14:paraId="0DE414DE" w14:textId="77777777" w:rsidR="00F64776" w:rsidRDefault="00F64776" w:rsidP="00F64776">
      <w:pPr>
        <w:pStyle w:val="SntesisDescriptiva"/>
      </w:pPr>
      <w:r>
        <w:t>Excms. Srs. doña Inmaculada Montalbán Huertas y doña Laura Díez Bueso.</w:t>
      </w:r>
    </w:p>
    <w:p w14:paraId="6EAD1352" w14:textId="00CB2F59" w:rsidR="00F64776" w:rsidRDefault="00F64776" w:rsidP="00F64776">
      <w:pPr>
        <w:pStyle w:val="SntesisDescriptiva"/>
      </w:pPr>
    </w:p>
    <w:p w14:paraId="7D8F2668" w14:textId="77777777" w:rsidR="00F64776" w:rsidRDefault="00F64776" w:rsidP="00F64776">
      <w:pPr>
        <w:pStyle w:val="SntesisDescriptiva"/>
      </w:pPr>
      <w:r>
        <w:t>Acepta una abstención en el recurso de amparo 1756-2023, promovido en proceso contencioso-administrativo.</w:t>
      </w:r>
    </w:p>
    <w:p w14:paraId="092684CB" w14:textId="25C12402" w:rsidR="00F64776" w:rsidRDefault="00F64776" w:rsidP="00F64776">
      <w:pPr>
        <w:pStyle w:val="SntesisDescriptiva"/>
      </w:pPr>
    </w:p>
    <w:p w14:paraId="50B85135" w14:textId="77777777" w:rsidR="00F64776" w:rsidRDefault="00F64776" w:rsidP="00F64776">
      <w:pPr>
        <w:pStyle w:val="SntesisDescriptiva"/>
      </w:pPr>
    </w:p>
    <w:p w14:paraId="6CBA7193" w14:textId="77777777" w:rsidR="00F64776" w:rsidRDefault="00F64776" w:rsidP="00F64776">
      <w:pPr>
        <w:pStyle w:val="SntesisDescriptiva"/>
      </w:pPr>
    </w:p>
    <w:p w14:paraId="53B7AA87" w14:textId="77777777" w:rsidR="00F64776" w:rsidRDefault="00F64776" w:rsidP="00F64776">
      <w:pPr>
        <w:pStyle w:val="TextoNormalNegritaCentrado"/>
      </w:pPr>
      <w:r>
        <w:t>AUTO</w:t>
      </w:r>
    </w:p>
    <w:p w14:paraId="4215E71A" w14:textId="5D4FA69D" w:rsidR="00F64776" w:rsidRDefault="00F64776" w:rsidP="00F64776">
      <w:pPr>
        <w:pStyle w:val="TextoNormalNegritaCentrado"/>
      </w:pPr>
    </w:p>
    <w:p w14:paraId="0E85932A" w14:textId="77777777" w:rsidR="00F64776" w:rsidRDefault="00F64776" w:rsidP="00F64776">
      <w:pPr>
        <w:pStyle w:val="TextoNormalNegritaCentrado"/>
        <w:keepNext/>
      </w:pPr>
      <w:r>
        <w:t>I. Antecedentes</w:t>
      </w:r>
    </w:p>
    <w:p w14:paraId="2C35682C" w14:textId="17EA31CF" w:rsidR="00F64776" w:rsidRDefault="00F64776" w:rsidP="00F64776">
      <w:pPr>
        <w:pStyle w:val="TextoNormalNegritaCentrado"/>
        <w:keepNext/>
      </w:pPr>
    </w:p>
    <w:p w14:paraId="21567A5C" w14:textId="6CF1C1F1" w:rsidR="00F64776" w:rsidRDefault="00F64776" w:rsidP="00F64776">
      <w:pPr>
        <w:pStyle w:val="TextoNormal"/>
      </w:pPr>
      <w:r w:rsidRPr="00F64776">
        <w:rPr>
          <w:rStyle w:val="NumeroAFNegritaCaracter"/>
        </w:rPr>
        <w:t>1</w:t>
      </w:r>
      <w:r>
        <w:t>. Mediante escrito registrado en este tribunal el 15 de marzo de 2023 la procuradora de los tribunales doña Rosa María García Bardón, en nombre y representación de don Lamin Conde y bajo la dirección del letrado don Luis Ramón Burgos Rodríguez, interpuso demanda de amparo contra auto y providencia de la Sección Primera Sala de lo Contencioso-Administrativo del Tribunal Supremo en recurso de queja núm. 605-2022.</w:t>
      </w:r>
    </w:p>
    <w:p w14:paraId="464461D6" w14:textId="77777777" w:rsidR="00F64776" w:rsidRDefault="00F64776" w:rsidP="00F64776">
      <w:pPr>
        <w:pStyle w:val="TextoNormal"/>
      </w:pPr>
    </w:p>
    <w:p w14:paraId="291CEAE7" w14:textId="38B0F0E3" w:rsidR="00F64776" w:rsidRDefault="00F64776" w:rsidP="00F64776">
      <w:pPr>
        <w:pStyle w:val="TextoNormal"/>
      </w:pPr>
      <w:r w:rsidRPr="00F64776">
        <w:rPr>
          <w:rStyle w:val="NumeroAFNegritaCaracter"/>
        </w:rPr>
        <w:t>2</w:t>
      </w:r>
      <w:r>
        <w:t>. Por escrito de 3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25D62500" w14:textId="77777777" w:rsidR="00F64776" w:rsidRDefault="00F64776" w:rsidP="00F64776">
      <w:pPr>
        <w:pStyle w:val="TextoNormal"/>
      </w:pPr>
    </w:p>
    <w:p w14:paraId="6C5136AA" w14:textId="77777777" w:rsidR="00F64776" w:rsidRDefault="00F64776" w:rsidP="00F64776">
      <w:pPr>
        <w:pStyle w:val="TextoNormalNegritaCentrado"/>
        <w:keepNext/>
      </w:pPr>
      <w:r>
        <w:t>II. Fundamentos jurídicos</w:t>
      </w:r>
    </w:p>
    <w:p w14:paraId="3BE760CD" w14:textId="36797383" w:rsidR="00F64776" w:rsidRDefault="00F64776" w:rsidP="00F64776">
      <w:pPr>
        <w:pStyle w:val="TextoNormalNegritaCentrado"/>
        <w:keepNext/>
      </w:pPr>
    </w:p>
    <w:p w14:paraId="72C83889" w14:textId="28804A95"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679C1EEE" w14:textId="77777777" w:rsidR="00F64776" w:rsidRDefault="00F64776" w:rsidP="00F64776">
      <w:pPr>
        <w:pStyle w:val="TextoNormal"/>
      </w:pPr>
    </w:p>
    <w:p w14:paraId="51FB122A" w14:textId="77777777" w:rsidR="00F64776" w:rsidRDefault="00F64776" w:rsidP="00F64776">
      <w:pPr>
        <w:pStyle w:val="TextoNormal"/>
      </w:pPr>
      <w:r>
        <w:t>Por lo expuesto, la Sección</w:t>
      </w:r>
    </w:p>
    <w:p w14:paraId="2F6E2219" w14:textId="2F1EF71E" w:rsidR="00F64776" w:rsidRDefault="00F64776" w:rsidP="00F64776">
      <w:pPr>
        <w:pStyle w:val="TextoNormal"/>
      </w:pPr>
    </w:p>
    <w:p w14:paraId="60280C38" w14:textId="77777777" w:rsidR="00F64776" w:rsidRDefault="00F64776" w:rsidP="00F64776">
      <w:pPr>
        <w:pStyle w:val="TextoNormalCentrado"/>
      </w:pPr>
      <w:r>
        <w:t>ACUERDA</w:t>
      </w:r>
    </w:p>
    <w:p w14:paraId="162ECC54" w14:textId="1C6169E4" w:rsidR="00F64776" w:rsidRDefault="00F64776" w:rsidP="00F64776">
      <w:pPr>
        <w:pStyle w:val="TextoNormalCentrado"/>
      </w:pPr>
    </w:p>
    <w:p w14:paraId="2FD7804A" w14:textId="79616614" w:rsidR="00F64776" w:rsidRDefault="00F64776" w:rsidP="00F64776">
      <w:pPr>
        <w:pStyle w:val="TextoNormal"/>
      </w:pPr>
      <w:r>
        <w:t>Estimar justificada la abstención formulada por el magistrado señor don César Tolosa Tribiño en el recurso de amparo núm. 1756-2023 y apartarle definitivamente del conocimiento del referido recurso y de todas sus incidencias.</w:t>
      </w:r>
    </w:p>
    <w:p w14:paraId="1F86E6A8" w14:textId="77777777" w:rsidR="00F64776" w:rsidRDefault="00F64776" w:rsidP="00F64776">
      <w:pPr>
        <w:pStyle w:val="TextoNormal"/>
      </w:pPr>
    </w:p>
    <w:p w14:paraId="6887C460" w14:textId="77777777" w:rsidR="00F64776" w:rsidRDefault="00F64776" w:rsidP="00F64776">
      <w:pPr>
        <w:pStyle w:val="TextoNormal"/>
      </w:pPr>
      <w:r>
        <w:t>Madrid, a cuatro de septiembre de dos mil veintitrés.</w:t>
      </w:r>
    </w:p>
    <w:p w14:paraId="0F38497C" w14:textId="7D67CB7F" w:rsidR="00F64776" w:rsidRDefault="00F64776">
      <w:pPr>
        <w:spacing w:after="160" w:line="278" w:lineRule="auto"/>
        <w:rPr>
          <w:rFonts w:ascii="Times New Roman" w:eastAsia="Times New Roman" w:hAnsi="Times New Roman" w:cs="Times New Roman"/>
          <w:sz w:val="24"/>
          <w:szCs w:val="24"/>
          <w:lang w:eastAsia="es-ES"/>
        </w:rPr>
      </w:pPr>
      <w:r>
        <w:br w:type="page"/>
      </w:r>
    </w:p>
    <w:p w14:paraId="362D599D" w14:textId="77777777" w:rsidR="00F64776" w:rsidRDefault="00F64776" w:rsidP="00F64776">
      <w:pPr>
        <w:pStyle w:val="TtuloResolucin"/>
      </w:pPr>
      <w:bookmarkStart w:id="189" w:name="AUTO_2023_404"/>
      <w:r>
        <w:t>AUTO 404/2023, de 4 de septiembre de 2023</w:t>
      </w:r>
    </w:p>
    <w:bookmarkEnd w:id="189"/>
    <w:p w14:paraId="429F6961" w14:textId="77777777" w:rsidR="00F64776" w:rsidRDefault="00F64776" w:rsidP="00F64776">
      <w:pPr>
        <w:pStyle w:val="TtuloResolucin"/>
      </w:pPr>
      <w:r>
        <w:t>Sección Tercera</w:t>
      </w:r>
    </w:p>
    <w:p w14:paraId="7A8D92A0" w14:textId="77777777" w:rsidR="00F64776" w:rsidRDefault="00F64776" w:rsidP="00F64776">
      <w:pPr>
        <w:pStyle w:val="TextoNormalCentrado"/>
      </w:pPr>
      <w:r>
        <w:t>ECLI:ES:TC:2023:404A</w:t>
      </w:r>
    </w:p>
    <w:p w14:paraId="5DF85B31" w14:textId="1BCF4B6F" w:rsidR="00F64776" w:rsidRDefault="00F64776" w:rsidP="00F64776">
      <w:pPr>
        <w:pStyle w:val="TextoNormalCentrado"/>
      </w:pPr>
    </w:p>
    <w:p w14:paraId="6C553327" w14:textId="77777777" w:rsidR="00F64776" w:rsidRDefault="00F64776" w:rsidP="00F64776">
      <w:pPr>
        <w:pStyle w:val="SntesisDescriptiva"/>
      </w:pPr>
      <w:r>
        <w:t>Excms. Srs. doña Inmaculada Montalbán Huertas y doña Laura Díez Bueso.</w:t>
      </w:r>
    </w:p>
    <w:p w14:paraId="0AF74941" w14:textId="4BC1FEB5" w:rsidR="00F64776" w:rsidRDefault="00F64776" w:rsidP="00F64776">
      <w:pPr>
        <w:pStyle w:val="SntesisDescriptiva"/>
      </w:pPr>
    </w:p>
    <w:p w14:paraId="5E580452" w14:textId="77777777" w:rsidR="00F64776" w:rsidRDefault="00F64776" w:rsidP="00F64776">
      <w:pPr>
        <w:pStyle w:val="SntesisDescriptiva"/>
      </w:pPr>
      <w:r>
        <w:t>Acepta una abstención en el recurso de amparo 1849-2023, promovido en proceso contencioso-administrativo.</w:t>
      </w:r>
    </w:p>
    <w:p w14:paraId="1137BA8B" w14:textId="21FC1255" w:rsidR="00F64776" w:rsidRDefault="00F64776" w:rsidP="00F64776">
      <w:pPr>
        <w:pStyle w:val="SntesisDescriptiva"/>
      </w:pPr>
    </w:p>
    <w:p w14:paraId="383750C8" w14:textId="77777777" w:rsidR="00F64776" w:rsidRDefault="00F64776" w:rsidP="00F64776">
      <w:pPr>
        <w:pStyle w:val="SntesisDescriptiva"/>
      </w:pPr>
    </w:p>
    <w:p w14:paraId="7E57F3CE" w14:textId="77777777" w:rsidR="00F64776" w:rsidRDefault="00F64776" w:rsidP="00F64776">
      <w:pPr>
        <w:pStyle w:val="SntesisDescriptiva"/>
      </w:pPr>
    </w:p>
    <w:p w14:paraId="3ED2CA31" w14:textId="77777777" w:rsidR="00F64776" w:rsidRDefault="00F64776" w:rsidP="00F64776">
      <w:pPr>
        <w:pStyle w:val="TextoNormalNegritaCentrado"/>
      </w:pPr>
      <w:r>
        <w:t>AUTO</w:t>
      </w:r>
    </w:p>
    <w:p w14:paraId="34955278" w14:textId="5F89A6D9" w:rsidR="00F64776" w:rsidRDefault="00F64776" w:rsidP="00F64776">
      <w:pPr>
        <w:pStyle w:val="TextoNormalNegritaCentrado"/>
      </w:pPr>
    </w:p>
    <w:p w14:paraId="2DFD61E6" w14:textId="77777777" w:rsidR="00F64776" w:rsidRDefault="00F64776" w:rsidP="00F64776">
      <w:pPr>
        <w:pStyle w:val="TextoNormalNegritaCentrado"/>
        <w:keepNext/>
      </w:pPr>
      <w:r>
        <w:t>I. Antecedentes</w:t>
      </w:r>
    </w:p>
    <w:p w14:paraId="6CD7F280" w14:textId="337F1961" w:rsidR="00F64776" w:rsidRDefault="00F64776" w:rsidP="00F64776">
      <w:pPr>
        <w:pStyle w:val="TextoNormalNegritaCentrado"/>
        <w:keepNext/>
      </w:pPr>
    </w:p>
    <w:p w14:paraId="6A1D3DAC" w14:textId="524A1953" w:rsidR="00F64776" w:rsidRDefault="00F64776" w:rsidP="00F64776">
      <w:pPr>
        <w:pStyle w:val="TextoNormal"/>
      </w:pPr>
      <w:r w:rsidRPr="00F64776">
        <w:rPr>
          <w:rStyle w:val="NumeroAFNegritaCaracter"/>
        </w:rPr>
        <w:t>1</w:t>
      </w:r>
      <w:r>
        <w:t>. Mediante escrito registrado en este tribunal el 21 de marzo de 2023 el procurador de los tribunales don José María Ruiz de la Cuesta Vacas, en nombre y representación de doña Marina Álvarez Miranda y otros, y bajo la dirección del letrado don Francisco Javier Araúz de Robles Dávila, interpuso demanda de amparo contra la providencia de 24 de noviembre de 2022 dictada por la Sala de lo Contencioso-Administrativo del Tribunal Supremo en recurso de casación núm. 2538-2021 contra la sentencia dictada por la Sección Tercera de la Sala de lo Contencioso-Administrativo del Tribunal Superior de Justicia de Madrid en recurso núm. 83-2020.</w:t>
      </w:r>
    </w:p>
    <w:p w14:paraId="2F86FDA8" w14:textId="77777777" w:rsidR="00F64776" w:rsidRDefault="00F64776" w:rsidP="00F64776">
      <w:pPr>
        <w:pStyle w:val="TextoNormal"/>
      </w:pPr>
    </w:p>
    <w:p w14:paraId="58DED8BC" w14:textId="073834C4" w:rsidR="00F64776" w:rsidRDefault="00F64776" w:rsidP="00F64776">
      <w:pPr>
        <w:pStyle w:val="TextoNormal"/>
      </w:pPr>
      <w:r w:rsidRPr="00F64776">
        <w:rPr>
          <w:rStyle w:val="NumeroAFNegritaCaracter"/>
        </w:rPr>
        <w:t>2</w:t>
      </w:r>
      <w:r>
        <w:t>. Por escrito de 8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2DFC3EBF" w14:textId="77777777" w:rsidR="00F64776" w:rsidRDefault="00F64776" w:rsidP="00F64776">
      <w:pPr>
        <w:pStyle w:val="TextoNormal"/>
      </w:pPr>
    </w:p>
    <w:p w14:paraId="38D07919" w14:textId="77777777" w:rsidR="00F64776" w:rsidRDefault="00F64776" w:rsidP="00F64776">
      <w:pPr>
        <w:pStyle w:val="TextoNormalNegritaCentrado"/>
        <w:keepNext/>
      </w:pPr>
      <w:r>
        <w:t>II. Fundamentos jurídicos</w:t>
      </w:r>
    </w:p>
    <w:p w14:paraId="355A037D" w14:textId="5944A08F" w:rsidR="00F64776" w:rsidRDefault="00F64776" w:rsidP="00F64776">
      <w:pPr>
        <w:pStyle w:val="TextoNormalNegritaCentrado"/>
        <w:keepNext/>
      </w:pPr>
    </w:p>
    <w:p w14:paraId="259DA6DA" w14:textId="002CAEA8"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07BBD5C4" w14:textId="77777777" w:rsidR="00F64776" w:rsidRDefault="00F64776" w:rsidP="00F64776">
      <w:pPr>
        <w:pStyle w:val="TextoNormal"/>
      </w:pPr>
    </w:p>
    <w:p w14:paraId="5A137625" w14:textId="77777777" w:rsidR="00F64776" w:rsidRDefault="00F64776" w:rsidP="00F64776">
      <w:pPr>
        <w:pStyle w:val="TextoNormal"/>
      </w:pPr>
      <w:r>
        <w:t>Por lo expuesto, la Sección</w:t>
      </w:r>
    </w:p>
    <w:p w14:paraId="640FD246" w14:textId="4E02BCD7" w:rsidR="00F64776" w:rsidRDefault="00F64776" w:rsidP="00F64776">
      <w:pPr>
        <w:pStyle w:val="TextoNormal"/>
      </w:pPr>
    </w:p>
    <w:p w14:paraId="25F446C5" w14:textId="77777777" w:rsidR="00F64776" w:rsidRDefault="00F64776" w:rsidP="00F64776">
      <w:pPr>
        <w:pStyle w:val="TextoNormalCentrado"/>
      </w:pPr>
      <w:r>
        <w:t>ACUERDA</w:t>
      </w:r>
    </w:p>
    <w:p w14:paraId="39201B74" w14:textId="1FCA10D4" w:rsidR="00F64776" w:rsidRDefault="00F64776" w:rsidP="00F64776">
      <w:pPr>
        <w:pStyle w:val="TextoNormalCentrado"/>
      </w:pPr>
    </w:p>
    <w:p w14:paraId="6C3AD613" w14:textId="283396CF" w:rsidR="00F64776" w:rsidRDefault="00F64776" w:rsidP="00F64776">
      <w:pPr>
        <w:pStyle w:val="TextoNormal"/>
      </w:pPr>
      <w:r>
        <w:t>Estimar justificada la abstención formulada por el magistrado señor don César Tolosa Tribiño en el recurso de amparo núm. 1849-2023 y apartarle definitivamente del conocimiento del referido recurso y de todas sus incidencias.</w:t>
      </w:r>
    </w:p>
    <w:p w14:paraId="07F35863" w14:textId="77777777" w:rsidR="00F64776" w:rsidRDefault="00F64776" w:rsidP="00F64776">
      <w:pPr>
        <w:pStyle w:val="TextoNormal"/>
      </w:pPr>
    </w:p>
    <w:p w14:paraId="64BCFC2B" w14:textId="77777777" w:rsidR="00F64776" w:rsidRDefault="00F64776" w:rsidP="00F64776">
      <w:pPr>
        <w:pStyle w:val="TextoNormal"/>
      </w:pPr>
      <w:r>
        <w:t>Madrid, a cuatro de septiembre de dos mil veintitrés.</w:t>
      </w:r>
    </w:p>
    <w:p w14:paraId="750069E0" w14:textId="2BEAAC8A" w:rsidR="00F64776" w:rsidRDefault="00F64776">
      <w:pPr>
        <w:spacing w:after="160" w:line="278" w:lineRule="auto"/>
        <w:rPr>
          <w:rFonts w:ascii="Times New Roman" w:eastAsia="Times New Roman" w:hAnsi="Times New Roman" w:cs="Times New Roman"/>
          <w:sz w:val="24"/>
          <w:szCs w:val="24"/>
          <w:lang w:eastAsia="es-ES"/>
        </w:rPr>
      </w:pPr>
      <w:r>
        <w:br w:type="page"/>
      </w:r>
    </w:p>
    <w:p w14:paraId="30B6DB36" w14:textId="77777777" w:rsidR="00F64776" w:rsidRDefault="00F64776" w:rsidP="00F64776">
      <w:pPr>
        <w:pStyle w:val="TtuloResolucin"/>
      </w:pPr>
      <w:bookmarkStart w:id="190" w:name="AUTO_2023_405"/>
      <w:r>
        <w:t>AUTO 405/2023, de 4 de septiembre de 2023</w:t>
      </w:r>
    </w:p>
    <w:bookmarkEnd w:id="190"/>
    <w:p w14:paraId="14BB1FF4" w14:textId="77777777" w:rsidR="00F64776" w:rsidRDefault="00F64776" w:rsidP="00F64776">
      <w:pPr>
        <w:pStyle w:val="TtuloResolucin"/>
      </w:pPr>
      <w:r>
        <w:t>Sección Tercera</w:t>
      </w:r>
    </w:p>
    <w:p w14:paraId="6A886DF8" w14:textId="77777777" w:rsidR="00F64776" w:rsidRDefault="00F64776" w:rsidP="00F64776">
      <w:pPr>
        <w:pStyle w:val="TextoNormalCentrado"/>
      </w:pPr>
      <w:r>
        <w:t>ECLI:ES:TC:2023:405A</w:t>
      </w:r>
    </w:p>
    <w:p w14:paraId="59CC1C58" w14:textId="06684E17" w:rsidR="00F64776" w:rsidRDefault="00F64776" w:rsidP="00F64776">
      <w:pPr>
        <w:pStyle w:val="TextoNormalCentrado"/>
      </w:pPr>
    </w:p>
    <w:p w14:paraId="176E5379" w14:textId="77777777" w:rsidR="00F64776" w:rsidRDefault="00F64776" w:rsidP="00F64776">
      <w:pPr>
        <w:pStyle w:val="SntesisDescriptiva"/>
      </w:pPr>
      <w:r>
        <w:t>Excms. Srs. doña Inmaculada Montalbán Huertas y doña Laura Díez Bueso.</w:t>
      </w:r>
    </w:p>
    <w:p w14:paraId="16787755" w14:textId="2686AB82" w:rsidR="00F64776" w:rsidRDefault="00F64776" w:rsidP="00F64776">
      <w:pPr>
        <w:pStyle w:val="SntesisDescriptiva"/>
      </w:pPr>
    </w:p>
    <w:p w14:paraId="6F1B0ADC" w14:textId="77777777" w:rsidR="00F64776" w:rsidRDefault="00F64776" w:rsidP="00F64776">
      <w:pPr>
        <w:pStyle w:val="SntesisDescriptiva"/>
      </w:pPr>
      <w:r>
        <w:t>Acepta una abstención en el recurso de amparo 2213-2023, promovido en proceso contencioso-administrativo.</w:t>
      </w:r>
    </w:p>
    <w:p w14:paraId="118BB1CF" w14:textId="37310860" w:rsidR="00F64776" w:rsidRDefault="00F64776" w:rsidP="00F64776">
      <w:pPr>
        <w:pStyle w:val="SntesisDescriptiva"/>
      </w:pPr>
    </w:p>
    <w:p w14:paraId="76E3C75A" w14:textId="77777777" w:rsidR="00F64776" w:rsidRDefault="00F64776" w:rsidP="00F64776">
      <w:pPr>
        <w:pStyle w:val="SntesisDescriptiva"/>
      </w:pPr>
    </w:p>
    <w:p w14:paraId="5B29F4A2" w14:textId="77777777" w:rsidR="00F64776" w:rsidRDefault="00F64776" w:rsidP="00F64776">
      <w:pPr>
        <w:pStyle w:val="SntesisDescriptiva"/>
      </w:pPr>
    </w:p>
    <w:p w14:paraId="5DE1BEDA" w14:textId="77777777" w:rsidR="00F64776" w:rsidRDefault="00F64776" w:rsidP="00F64776">
      <w:pPr>
        <w:pStyle w:val="TextoNormalNegritaCentrado"/>
      </w:pPr>
      <w:r>
        <w:t>AUTO</w:t>
      </w:r>
    </w:p>
    <w:p w14:paraId="16A34D91" w14:textId="11E373E4" w:rsidR="00F64776" w:rsidRDefault="00F64776" w:rsidP="00F64776">
      <w:pPr>
        <w:pStyle w:val="TextoNormalNegritaCentrado"/>
      </w:pPr>
    </w:p>
    <w:p w14:paraId="29558189" w14:textId="77777777" w:rsidR="00F64776" w:rsidRDefault="00F64776" w:rsidP="00F64776">
      <w:pPr>
        <w:pStyle w:val="TextoNormalNegritaCentrado"/>
        <w:keepNext/>
      </w:pPr>
      <w:r>
        <w:t>I. Antecedentes</w:t>
      </w:r>
    </w:p>
    <w:p w14:paraId="040D8636" w14:textId="15E26551" w:rsidR="00F64776" w:rsidRDefault="00F64776" w:rsidP="00F64776">
      <w:pPr>
        <w:pStyle w:val="TextoNormalNegritaCentrado"/>
        <w:keepNext/>
      </w:pPr>
    </w:p>
    <w:p w14:paraId="2DCEB0ED" w14:textId="293031E5" w:rsidR="00F64776" w:rsidRDefault="00F64776" w:rsidP="00F64776">
      <w:pPr>
        <w:pStyle w:val="TextoNormal"/>
      </w:pPr>
      <w:r w:rsidRPr="00F64776">
        <w:rPr>
          <w:rStyle w:val="NumeroAFNegritaCaracter"/>
        </w:rPr>
        <w:t>1</w:t>
      </w:r>
      <w:r>
        <w:t>. Mediante escrito registrado en este tribunal el 3 de abril de 2023 el procurador de los tribunales don José María Ruiz de la Cuesta Vacas, en nombre y representación de don Luis Barja de Matías y bajo la dirección del letrado don Francisco Javier Araúz de Robles Dávila, interpuso demanda de amparo contra la providencia de fecha 13 de diciembre de 2022, dictada por la Sección Primera de la Sala de lo Contencioso-Administrativo del Tribunal Supremo en recurso de queja núm. 393-2022 contra auto de la Sección Primera de la Sala de lo Contencioso-Administrativo del Tribunal Superior de Justicia de Madrid en recurso de apelación núm. 853-2021.</w:t>
      </w:r>
    </w:p>
    <w:p w14:paraId="70C4F40E" w14:textId="77777777" w:rsidR="00F64776" w:rsidRDefault="00F64776" w:rsidP="00F64776">
      <w:pPr>
        <w:pStyle w:val="TextoNormal"/>
      </w:pPr>
    </w:p>
    <w:p w14:paraId="2C7BECC5" w14:textId="4237558C" w:rsidR="00F64776" w:rsidRDefault="00F64776" w:rsidP="00F64776">
      <w:pPr>
        <w:pStyle w:val="TextoNormal"/>
      </w:pPr>
      <w:r w:rsidRPr="00F64776">
        <w:rPr>
          <w:rStyle w:val="NumeroAFNegritaCaracter"/>
        </w:rPr>
        <w:t>2</w:t>
      </w:r>
      <w:r>
        <w:t>. Por escrito de 29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3F78360D" w14:textId="77777777" w:rsidR="00F64776" w:rsidRDefault="00F64776" w:rsidP="00F64776">
      <w:pPr>
        <w:pStyle w:val="TextoNormal"/>
      </w:pPr>
    </w:p>
    <w:p w14:paraId="26585666" w14:textId="77777777" w:rsidR="00F64776" w:rsidRDefault="00F64776" w:rsidP="00F64776">
      <w:pPr>
        <w:pStyle w:val="TextoNormalNegritaCentrado"/>
        <w:keepNext/>
      </w:pPr>
      <w:r>
        <w:t>II. Fundamentos jurídicos</w:t>
      </w:r>
    </w:p>
    <w:p w14:paraId="00FC88A3" w14:textId="7312767C" w:rsidR="00F64776" w:rsidRDefault="00F64776" w:rsidP="00F64776">
      <w:pPr>
        <w:pStyle w:val="TextoNormalNegritaCentrado"/>
        <w:keepNext/>
      </w:pPr>
    </w:p>
    <w:p w14:paraId="36AD4591" w14:textId="6C291BB2"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418C3C7D" w14:textId="77777777" w:rsidR="00F64776" w:rsidRDefault="00F64776" w:rsidP="00F64776">
      <w:pPr>
        <w:pStyle w:val="TextoNormal"/>
      </w:pPr>
    </w:p>
    <w:p w14:paraId="706672DA" w14:textId="77777777" w:rsidR="00F64776" w:rsidRDefault="00F64776" w:rsidP="00F64776">
      <w:pPr>
        <w:pStyle w:val="TextoNormal"/>
      </w:pPr>
      <w:r>
        <w:t>Por lo expuesto, la Sección</w:t>
      </w:r>
    </w:p>
    <w:p w14:paraId="68B01815" w14:textId="4698D66A" w:rsidR="00F64776" w:rsidRDefault="00F64776" w:rsidP="00F64776">
      <w:pPr>
        <w:pStyle w:val="TextoNormal"/>
      </w:pPr>
    </w:p>
    <w:p w14:paraId="5EA0EA3A" w14:textId="77777777" w:rsidR="00F64776" w:rsidRDefault="00F64776" w:rsidP="00F64776">
      <w:pPr>
        <w:pStyle w:val="TextoNormalCentrado"/>
      </w:pPr>
      <w:r>
        <w:t>ACUERDA</w:t>
      </w:r>
    </w:p>
    <w:p w14:paraId="3490B33E" w14:textId="2E391329" w:rsidR="00F64776" w:rsidRDefault="00F64776" w:rsidP="00F64776">
      <w:pPr>
        <w:pStyle w:val="TextoNormalCentrado"/>
      </w:pPr>
    </w:p>
    <w:p w14:paraId="6150FB52" w14:textId="7AC6626F" w:rsidR="00F64776" w:rsidRDefault="00F64776" w:rsidP="00F64776">
      <w:pPr>
        <w:pStyle w:val="TextoNormal"/>
      </w:pPr>
      <w:r>
        <w:t>Estimar justificada la abstención formulada por el magistrado señor don César Tolosa Tribiño en el recurso de amparo núm. 2213-2023 y apartarle definitivamente del conocimiento del referido recurso y de todas sus incidencias.</w:t>
      </w:r>
    </w:p>
    <w:p w14:paraId="55B4914A" w14:textId="77777777" w:rsidR="00F64776" w:rsidRDefault="00F64776" w:rsidP="00F64776">
      <w:pPr>
        <w:pStyle w:val="TextoNormal"/>
      </w:pPr>
    </w:p>
    <w:p w14:paraId="7EB421ED" w14:textId="77777777" w:rsidR="00F64776" w:rsidRDefault="00F64776" w:rsidP="00F64776">
      <w:pPr>
        <w:pStyle w:val="TextoNormal"/>
      </w:pPr>
      <w:r>
        <w:t>Madrid, a cuatro de septiembre de dos mil veintitrés.</w:t>
      </w:r>
    </w:p>
    <w:p w14:paraId="431BBB2D" w14:textId="19E87A87" w:rsidR="00F64776" w:rsidRDefault="00F64776">
      <w:pPr>
        <w:spacing w:after="160" w:line="278" w:lineRule="auto"/>
        <w:rPr>
          <w:rFonts w:ascii="Times New Roman" w:eastAsia="Times New Roman" w:hAnsi="Times New Roman" w:cs="Times New Roman"/>
          <w:sz w:val="24"/>
          <w:szCs w:val="24"/>
          <w:lang w:eastAsia="es-ES"/>
        </w:rPr>
      </w:pPr>
      <w:r>
        <w:br w:type="page"/>
      </w:r>
    </w:p>
    <w:p w14:paraId="00846D46" w14:textId="77777777" w:rsidR="00F64776" w:rsidRDefault="00F64776" w:rsidP="00F64776">
      <w:pPr>
        <w:pStyle w:val="TtuloResolucin"/>
      </w:pPr>
      <w:bookmarkStart w:id="191" w:name="AUTO_2023_406"/>
      <w:r>
        <w:t>AUTO 406/2023, de 4 de septiembre de 2023</w:t>
      </w:r>
    </w:p>
    <w:bookmarkEnd w:id="191"/>
    <w:p w14:paraId="781F784A" w14:textId="77777777" w:rsidR="00F64776" w:rsidRDefault="00F64776" w:rsidP="00F64776">
      <w:pPr>
        <w:pStyle w:val="TtuloResolucin"/>
      </w:pPr>
      <w:r>
        <w:t>Sección Tercera</w:t>
      </w:r>
    </w:p>
    <w:p w14:paraId="0CF7EB10" w14:textId="77777777" w:rsidR="00F64776" w:rsidRDefault="00F64776" w:rsidP="00F64776">
      <w:pPr>
        <w:pStyle w:val="TextoNormalCentrado"/>
      </w:pPr>
      <w:r>
        <w:t>ECLI:ES:TC:2023:406A</w:t>
      </w:r>
    </w:p>
    <w:p w14:paraId="1B176A46" w14:textId="6C54D18C" w:rsidR="00F64776" w:rsidRDefault="00F64776" w:rsidP="00F64776">
      <w:pPr>
        <w:pStyle w:val="TextoNormalCentrado"/>
      </w:pPr>
    </w:p>
    <w:p w14:paraId="3089FAE5" w14:textId="77777777" w:rsidR="00F64776" w:rsidRDefault="00F64776" w:rsidP="00F64776">
      <w:pPr>
        <w:pStyle w:val="SntesisDescriptiva"/>
      </w:pPr>
      <w:r>
        <w:t>Excms. Srs. doña Inmaculada Montalbán Huertas y doña Laura Díez Bueso.</w:t>
      </w:r>
    </w:p>
    <w:p w14:paraId="0B852ABA" w14:textId="0EC4D772" w:rsidR="00F64776" w:rsidRDefault="00F64776" w:rsidP="00F64776">
      <w:pPr>
        <w:pStyle w:val="SntesisDescriptiva"/>
      </w:pPr>
    </w:p>
    <w:p w14:paraId="101342C5" w14:textId="77777777" w:rsidR="00F64776" w:rsidRDefault="00F64776" w:rsidP="00F64776">
      <w:pPr>
        <w:pStyle w:val="SntesisDescriptiva"/>
      </w:pPr>
      <w:r>
        <w:t>Acepta una abstención en el recurso de amparo 2397-2023, promovido en proceso contencioso-administrativo.</w:t>
      </w:r>
    </w:p>
    <w:p w14:paraId="7CFA5E31" w14:textId="2BFC7B4F" w:rsidR="00F64776" w:rsidRDefault="00F64776" w:rsidP="00F64776">
      <w:pPr>
        <w:pStyle w:val="SntesisDescriptiva"/>
      </w:pPr>
    </w:p>
    <w:p w14:paraId="52EA9C36" w14:textId="77777777" w:rsidR="00F64776" w:rsidRDefault="00F64776" w:rsidP="00F64776">
      <w:pPr>
        <w:pStyle w:val="SntesisDescriptiva"/>
      </w:pPr>
    </w:p>
    <w:p w14:paraId="4092C6AB" w14:textId="77777777" w:rsidR="00F64776" w:rsidRDefault="00F64776" w:rsidP="00F64776">
      <w:pPr>
        <w:pStyle w:val="SntesisDescriptiva"/>
      </w:pPr>
    </w:p>
    <w:p w14:paraId="6B32D5F3" w14:textId="77777777" w:rsidR="00F64776" w:rsidRDefault="00F64776" w:rsidP="00F64776">
      <w:pPr>
        <w:pStyle w:val="TextoNormalNegritaCentrado"/>
      </w:pPr>
      <w:r>
        <w:t>AUTO</w:t>
      </w:r>
    </w:p>
    <w:p w14:paraId="447797D9" w14:textId="3B093494" w:rsidR="00F64776" w:rsidRDefault="00F64776" w:rsidP="00F64776">
      <w:pPr>
        <w:pStyle w:val="TextoNormalNegritaCentrado"/>
      </w:pPr>
    </w:p>
    <w:p w14:paraId="02F7C4FD" w14:textId="77777777" w:rsidR="00F64776" w:rsidRDefault="00F64776" w:rsidP="00F64776">
      <w:pPr>
        <w:pStyle w:val="TextoNormalNegritaCentrado"/>
        <w:keepNext/>
      </w:pPr>
      <w:r>
        <w:t>I. Antecedentes</w:t>
      </w:r>
    </w:p>
    <w:p w14:paraId="5D454D7E" w14:textId="46BAAFD1" w:rsidR="00F64776" w:rsidRDefault="00F64776" w:rsidP="00F64776">
      <w:pPr>
        <w:pStyle w:val="TextoNormalNegritaCentrado"/>
        <w:keepNext/>
      </w:pPr>
    </w:p>
    <w:p w14:paraId="7E731494" w14:textId="5AABFE7E" w:rsidR="00F64776" w:rsidRDefault="00F64776" w:rsidP="00F64776">
      <w:pPr>
        <w:pStyle w:val="TextoNormal"/>
      </w:pPr>
      <w:r w:rsidRPr="00F64776">
        <w:rPr>
          <w:rStyle w:val="NumeroAFNegritaCaracter"/>
        </w:rPr>
        <w:t>1</w:t>
      </w:r>
      <w:r>
        <w:t>. Mediante escrito registrado en este tribunal el 11 de abril de 2023 la procuradora de los tribunales doña María del Pilar Morellón Usón, en nombre y representación de don Manuel Álvarez Álvarez y otros y bajo la dirección del letrado don Manuel Gutiérrez Morales-Vara de Rey, interpuso demanda de amparo contra la providencia de 20 de octubre de 2022, dictada en el recurso de casación núm. 2285-2022 por la Sección Primera de la Sala de lo Contencioso-Administrativo del Tribunal Supremo.</w:t>
      </w:r>
    </w:p>
    <w:p w14:paraId="5C4DAF8E" w14:textId="77777777" w:rsidR="00F64776" w:rsidRDefault="00F64776" w:rsidP="00F64776">
      <w:pPr>
        <w:pStyle w:val="TextoNormal"/>
      </w:pPr>
    </w:p>
    <w:p w14:paraId="6D52577B" w14:textId="263CD8E7" w:rsidR="00F64776" w:rsidRDefault="00F64776" w:rsidP="00F64776">
      <w:pPr>
        <w:pStyle w:val="TextoNormal"/>
      </w:pPr>
      <w:r w:rsidRPr="00F64776">
        <w:rPr>
          <w:rStyle w:val="NumeroAFNegritaCaracter"/>
        </w:rPr>
        <w:t>2</w:t>
      </w:r>
      <w:r>
        <w:t>. Por escrito de 3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2007DA62" w14:textId="77777777" w:rsidR="00F64776" w:rsidRDefault="00F64776" w:rsidP="00F64776">
      <w:pPr>
        <w:pStyle w:val="TextoNormal"/>
      </w:pPr>
    </w:p>
    <w:p w14:paraId="5D90DAF2" w14:textId="77777777" w:rsidR="00F64776" w:rsidRDefault="00F64776" w:rsidP="00F64776">
      <w:pPr>
        <w:pStyle w:val="TextoNormalNegritaCentrado"/>
        <w:keepNext/>
      </w:pPr>
      <w:r>
        <w:t>II. Fundamentos jurídicos</w:t>
      </w:r>
    </w:p>
    <w:p w14:paraId="20B0A553" w14:textId="33C311DB" w:rsidR="00F64776" w:rsidRDefault="00F64776" w:rsidP="00F64776">
      <w:pPr>
        <w:pStyle w:val="TextoNormalNegritaCentrado"/>
        <w:keepNext/>
      </w:pPr>
    </w:p>
    <w:p w14:paraId="7BC29E84" w14:textId="0C8A8F76"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4E885192" w14:textId="77777777" w:rsidR="00F64776" w:rsidRDefault="00F64776" w:rsidP="00F64776">
      <w:pPr>
        <w:pStyle w:val="TextoNormal"/>
      </w:pPr>
    </w:p>
    <w:p w14:paraId="65F8171F" w14:textId="77777777" w:rsidR="00F64776" w:rsidRDefault="00F64776" w:rsidP="00F64776">
      <w:pPr>
        <w:pStyle w:val="TextoNormal"/>
      </w:pPr>
      <w:r>
        <w:t>Por lo expuesto, la Sección</w:t>
      </w:r>
    </w:p>
    <w:p w14:paraId="59230115" w14:textId="2EED7040" w:rsidR="00F64776" w:rsidRDefault="00F64776" w:rsidP="00F64776">
      <w:pPr>
        <w:pStyle w:val="TextoNormal"/>
      </w:pPr>
    </w:p>
    <w:p w14:paraId="3D6288D7" w14:textId="77777777" w:rsidR="00F64776" w:rsidRDefault="00F64776" w:rsidP="00F64776">
      <w:pPr>
        <w:pStyle w:val="TextoNormalCentrado"/>
      </w:pPr>
      <w:r>
        <w:t>ACUERDA</w:t>
      </w:r>
    </w:p>
    <w:p w14:paraId="1A07AF7A" w14:textId="33E3989D" w:rsidR="00F64776" w:rsidRDefault="00F64776" w:rsidP="00F64776">
      <w:pPr>
        <w:pStyle w:val="TextoNormalCentrado"/>
      </w:pPr>
    </w:p>
    <w:p w14:paraId="6AE1349B" w14:textId="5CAC0E66" w:rsidR="00F64776" w:rsidRDefault="00F64776" w:rsidP="00F64776">
      <w:pPr>
        <w:pStyle w:val="TextoNormal"/>
      </w:pPr>
      <w:r>
        <w:t>Estimar justificada la abstención formulada por el magistrado señor don César Tolosa Tribiño en el recurso de amparo núm. 2397-2023 y apartarle definitivamente del conocimiento del referido recurso y de todas sus incidencias.</w:t>
      </w:r>
    </w:p>
    <w:p w14:paraId="61194A3C" w14:textId="77777777" w:rsidR="00F64776" w:rsidRDefault="00F64776" w:rsidP="00F64776">
      <w:pPr>
        <w:pStyle w:val="TextoNormal"/>
      </w:pPr>
    </w:p>
    <w:p w14:paraId="710E11D4" w14:textId="77777777" w:rsidR="00F64776" w:rsidRDefault="00F64776" w:rsidP="00F64776">
      <w:pPr>
        <w:pStyle w:val="TextoNormal"/>
      </w:pPr>
      <w:r>
        <w:t>Madrid, a cuatro de septiembre de dos mil veintitrés.</w:t>
      </w:r>
    </w:p>
    <w:p w14:paraId="728E7E5A" w14:textId="5F92284C" w:rsidR="00F64776" w:rsidRDefault="00F64776">
      <w:pPr>
        <w:spacing w:after="160" w:line="278" w:lineRule="auto"/>
        <w:rPr>
          <w:rFonts w:ascii="Times New Roman" w:eastAsia="Times New Roman" w:hAnsi="Times New Roman" w:cs="Times New Roman"/>
          <w:sz w:val="24"/>
          <w:szCs w:val="24"/>
          <w:lang w:eastAsia="es-ES"/>
        </w:rPr>
      </w:pPr>
      <w:r>
        <w:br w:type="page"/>
      </w:r>
    </w:p>
    <w:p w14:paraId="510B021C" w14:textId="77777777" w:rsidR="00F64776" w:rsidRDefault="00F64776" w:rsidP="00F64776">
      <w:pPr>
        <w:pStyle w:val="TtuloResolucin"/>
      </w:pPr>
      <w:bookmarkStart w:id="192" w:name="AUTO_2023_407"/>
      <w:r>
        <w:t>AUTO 407/2023, de 4 de septiembre de 2023</w:t>
      </w:r>
    </w:p>
    <w:bookmarkEnd w:id="192"/>
    <w:p w14:paraId="05D7D893" w14:textId="77777777" w:rsidR="00F64776" w:rsidRDefault="00F64776" w:rsidP="00F64776">
      <w:pPr>
        <w:pStyle w:val="TtuloResolucin"/>
      </w:pPr>
      <w:r>
        <w:t>Sección Tercera</w:t>
      </w:r>
    </w:p>
    <w:p w14:paraId="6712ACF6" w14:textId="77777777" w:rsidR="00F64776" w:rsidRDefault="00F64776" w:rsidP="00F64776">
      <w:pPr>
        <w:pStyle w:val="TextoNormalCentrado"/>
      </w:pPr>
      <w:r>
        <w:t>ECLI:ES:TC:2023:407A</w:t>
      </w:r>
    </w:p>
    <w:p w14:paraId="38D70236" w14:textId="2B7C9FFE" w:rsidR="00F64776" w:rsidRDefault="00F64776" w:rsidP="00F64776">
      <w:pPr>
        <w:pStyle w:val="TextoNormalCentrado"/>
      </w:pPr>
    </w:p>
    <w:p w14:paraId="7F37DFA3" w14:textId="77777777" w:rsidR="00F64776" w:rsidRDefault="00F64776" w:rsidP="00F64776">
      <w:pPr>
        <w:pStyle w:val="SntesisDescriptiva"/>
      </w:pPr>
      <w:r>
        <w:t>Excms. Srs. doña Inmaculada Montalbán Huertas y doña Laura Díez Bueso.</w:t>
      </w:r>
    </w:p>
    <w:p w14:paraId="27189FA3" w14:textId="76B0FF1C" w:rsidR="00F64776" w:rsidRDefault="00F64776" w:rsidP="00F64776">
      <w:pPr>
        <w:pStyle w:val="SntesisDescriptiva"/>
      </w:pPr>
    </w:p>
    <w:p w14:paraId="35408B27" w14:textId="77777777" w:rsidR="00F64776" w:rsidRDefault="00F64776" w:rsidP="00F64776">
      <w:pPr>
        <w:pStyle w:val="SntesisDescriptiva"/>
      </w:pPr>
      <w:r>
        <w:t>Acepta una abstención en el recurso de amparo 2421-2023, promovido en proceso contencioso-administrativo.</w:t>
      </w:r>
    </w:p>
    <w:p w14:paraId="4A1CCD84" w14:textId="4E051D44" w:rsidR="00F64776" w:rsidRDefault="00F64776" w:rsidP="00F64776">
      <w:pPr>
        <w:pStyle w:val="SntesisDescriptiva"/>
      </w:pPr>
    </w:p>
    <w:p w14:paraId="5F5CB041" w14:textId="77777777" w:rsidR="00F64776" w:rsidRDefault="00F64776" w:rsidP="00F64776">
      <w:pPr>
        <w:pStyle w:val="SntesisDescriptiva"/>
      </w:pPr>
    </w:p>
    <w:p w14:paraId="6DEB76D9" w14:textId="77777777" w:rsidR="00F64776" w:rsidRDefault="00F64776" w:rsidP="00F64776">
      <w:pPr>
        <w:pStyle w:val="SntesisDescriptiva"/>
      </w:pPr>
    </w:p>
    <w:p w14:paraId="4E0D3D03" w14:textId="77777777" w:rsidR="00F64776" w:rsidRDefault="00F64776" w:rsidP="00F64776">
      <w:pPr>
        <w:pStyle w:val="TextoNormalNegritaCentrado"/>
      </w:pPr>
      <w:r>
        <w:t>AUTO</w:t>
      </w:r>
    </w:p>
    <w:p w14:paraId="0C8D93AF" w14:textId="2E675AA5" w:rsidR="00F64776" w:rsidRDefault="00F64776" w:rsidP="00F64776">
      <w:pPr>
        <w:pStyle w:val="TextoNormalNegritaCentrado"/>
      </w:pPr>
    </w:p>
    <w:p w14:paraId="6283F098" w14:textId="77777777" w:rsidR="00F64776" w:rsidRDefault="00F64776" w:rsidP="00F64776">
      <w:pPr>
        <w:pStyle w:val="TextoNormalNegritaCentrado"/>
        <w:keepNext/>
      </w:pPr>
      <w:r>
        <w:t>I. Antecedentes</w:t>
      </w:r>
    </w:p>
    <w:p w14:paraId="05BB50E3" w14:textId="7E1ABAF9" w:rsidR="00F64776" w:rsidRDefault="00F64776" w:rsidP="00F64776">
      <w:pPr>
        <w:pStyle w:val="TextoNormalNegritaCentrado"/>
        <w:keepNext/>
      </w:pPr>
    </w:p>
    <w:p w14:paraId="73FB2481" w14:textId="16245A76" w:rsidR="00F64776" w:rsidRDefault="00F64776" w:rsidP="00F64776">
      <w:pPr>
        <w:pStyle w:val="TextoNormal"/>
      </w:pPr>
      <w:r w:rsidRPr="00F64776">
        <w:rPr>
          <w:rStyle w:val="NumeroAFNegritaCaracter"/>
        </w:rPr>
        <w:t>1</w:t>
      </w:r>
      <w:r>
        <w:t>. Mediante escrito registrado en este tribunal el 11 de abril de 2023 la procuradora de los tribunales doña Ana María Araúz de Robles Villalón, en nombre y representación de don José Israel Fulgencio López y bajo la dirección del letrado don Francisco Javier Araúz de Robles Dávila, interpuso demanda de amparo contra providencia y auto de la Sección Primera de la Sala de lo Contencioso-Administrativo del Tribunal Supremo en recurso de queja núm. 324-2022.</w:t>
      </w:r>
    </w:p>
    <w:p w14:paraId="5AD0F5EB" w14:textId="77777777" w:rsidR="00F64776" w:rsidRDefault="00F64776" w:rsidP="00F64776">
      <w:pPr>
        <w:pStyle w:val="TextoNormal"/>
      </w:pPr>
    </w:p>
    <w:p w14:paraId="7E04FC23" w14:textId="4898DAF3" w:rsidR="00F64776" w:rsidRDefault="00F64776" w:rsidP="00F64776">
      <w:pPr>
        <w:pStyle w:val="TextoNormal"/>
      </w:pPr>
      <w:r w:rsidRPr="00F64776">
        <w:rPr>
          <w:rStyle w:val="NumeroAFNegritaCaracter"/>
        </w:rPr>
        <w:t>2</w:t>
      </w:r>
      <w:r>
        <w:t>. Por escrito de 3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4C2C4140" w14:textId="77777777" w:rsidR="00F64776" w:rsidRDefault="00F64776" w:rsidP="00F64776">
      <w:pPr>
        <w:pStyle w:val="TextoNormal"/>
      </w:pPr>
    </w:p>
    <w:p w14:paraId="4D944224" w14:textId="77777777" w:rsidR="00F64776" w:rsidRDefault="00F64776" w:rsidP="00F64776">
      <w:pPr>
        <w:pStyle w:val="TextoNormalNegritaCentrado"/>
        <w:keepNext/>
      </w:pPr>
      <w:r>
        <w:t>II. Fundamentos jurídicos</w:t>
      </w:r>
    </w:p>
    <w:p w14:paraId="40493F12" w14:textId="55057632" w:rsidR="00F64776" w:rsidRDefault="00F64776" w:rsidP="00F64776">
      <w:pPr>
        <w:pStyle w:val="TextoNormalNegritaCentrado"/>
        <w:keepNext/>
      </w:pPr>
    </w:p>
    <w:p w14:paraId="2277164B" w14:textId="68D3B75D"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15F3FE4E" w14:textId="77777777" w:rsidR="00F64776" w:rsidRDefault="00F64776" w:rsidP="00F64776">
      <w:pPr>
        <w:pStyle w:val="TextoNormal"/>
      </w:pPr>
    </w:p>
    <w:p w14:paraId="5FCCAE0C" w14:textId="77777777" w:rsidR="00F64776" w:rsidRDefault="00F64776" w:rsidP="00F64776">
      <w:pPr>
        <w:pStyle w:val="TextoNormal"/>
      </w:pPr>
      <w:r>
        <w:t>Por lo expuesto, la Sección</w:t>
      </w:r>
    </w:p>
    <w:p w14:paraId="73C6B73D" w14:textId="297099E5" w:rsidR="00F64776" w:rsidRDefault="00F64776" w:rsidP="00F64776">
      <w:pPr>
        <w:pStyle w:val="TextoNormal"/>
      </w:pPr>
    </w:p>
    <w:p w14:paraId="238C23F6" w14:textId="77777777" w:rsidR="00F64776" w:rsidRDefault="00F64776" w:rsidP="00F64776">
      <w:pPr>
        <w:pStyle w:val="TextoNormalCentrado"/>
      </w:pPr>
      <w:r>
        <w:t>ACUERDA</w:t>
      </w:r>
    </w:p>
    <w:p w14:paraId="45F664AC" w14:textId="1880E2DE" w:rsidR="00F64776" w:rsidRDefault="00F64776" w:rsidP="00F64776">
      <w:pPr>
        <w:pStyle w:val="TextoNormalCentrado"/>
      </w:pPr>
    </w:p>
    <w:p w14:paraId="7E8234A4" w14:textId="642A7070" w:rsidR="00F64776" w:rsidRDefault="00F64776" w:rsidP="00F64776">
      <w:pPr>
        <w:pStyle w:val="TextoNormal"/>
      </w:pPr>
      <w:r>
        <w:t>Estimar justificada la abstención formulada por el magistrado señor don César Tolosa Tribiño en el recurso de amparo núm. 2421-2023 y apartarle definitivamente del conocimiento del referido recurso y de todas sus incidencias.</w:t>
      </w:r>
    </w:p>
    <w:p w14:paraId="64E1977D" w14:textId="77777777" w:rsidR="00F64776" w:rsidRDefault="00F64776" w:rsidP="00F64776">
      <w:pPr>
        <w:pStyle w:val="TextoNormal"/>
      </w:pPr>
    </w:p>
    <w:p w14:paraId="3AA7EE8C" w14:textId="77777777" w:rsidR="00F64776" w:rsidRDefault="00F64776" w:rsidP="00F64776">
      <w:pPr>
        <w:pStyle w:val="TextoNormal"/>
      </w:pPr>
      <w:r>
        <w:t>Madrid, a cuatro de septiembre de dos mil veintitrés.</w:t>
      </w:r>
    </w:p>
    <w:p w14:paraId="15D88DF2" w14:textId="2FCA308A" w:rsidR="00F64776" w:rsidRDefault="00F64776">
      <w:pPr>
        <w:spacing w:after="160" w:line="278" w:lineRule="auto"/>
        <w:rPr>
          <w:rFonts w:ascii="Times New Roman" w:eastAsia="Times New Roman" w:hAnsi="Times New Roman" w:cs="Times New Roman"/>
          <w:sz w:val="24"/>
          <w:szCs w:val="24"/>
          <w:lang w:eastAsia="es-ES"/>
        </w:rPr>
      </w:pPr>
      <w:r>
        <w:br w:type="page"/>
      </w:r>
    </w:p>
    <w:p w14:paraId="53F2EE08" w14:textId="77777777" w:rsidR="00F64776" w:rsidRDefault="00F64776" w:rsidP="00F64776">
      <w:pPr>
        <w:pStyle w:val="TtuloResolucin"/>
      </w:pPr>
      <w:bookmarkStart w:id="193" w:name="AUTO_2023_408"/>
      <w:r>
        <w:t>AUTO 408/2023, de 4 de septiembre de 2023</w:t>
      </w:r>
    </w:p>
    <w:bookmarkEnd w:id="193"/>
    <w:p w14:paraId="7D3532D2" w14:textId="77777777" w:rsidR="00F64776" w:rsidRDefault="00F64776" w:rsidP="00F64776">
      <w:pPr>
        <w:pStyle w:val="TtuloResolucin"/>
      </w:pPr>
      <w:r>
        <w:t>Sección Tercera</w:t>
      </w:r>
    </w:p>
    <w:p w14:paraId="077AA047" w14:textId="77777777" w:rsidR="00F64776" w:rsidRDefault="00F64776" w:rsidP="00F64776">
      <w:pPr>
        <w:pStyle w:val="TextoNormalCentrado"/>
      </w:pPr>
      <w:r>
        <w:t>ECLI:ES:TC:2023:408A</w:t>
      </w:r>
    </w:p>
    <w:p w14:paraId="76AE8E8D" w14:textId="219FB8A0" w:rsidR="00F64776" w:rsidRDefault="00F64776" w:rsidP="00F64776">
      <w:pPr>
        <w:pStyle w:val="TextoNormalCentrado"/>
      </w:pPr>
    </w:p>
    <w:p w14:paraId="3D346B46" w14:textId="77777777" w:rsidR="00F64776" w:rsidRDefault="00F64776" w:rsidP="00F64776">
      <w:pPr>
        <w:pStyle w:val="SntesisDescriptiva"/>
      </w:pPr>
      <w:r>
        <w:t>Excms. Srs. doña Inmaculada Montalbán Huertas y doña Laura Díez Bueso.</w:t>
      </w:r>
    </w:p>
    <w:p w14:paraId="2F07D6CA" w14:textId="5AC7C744" w:rsidR="00F64776" w:rsidRDefault="00F64776" w:rsidP="00F64776">
      <w:pPr>
        <w:pStyle w:val="SntesisDescriptiva"/>
      </w:pPr>
    </w:p>
    <w:p w14:paraId="2AB5D365" w14:textId="77777777" w:rsidR="00F64776" w:rsidRDefault="00F64776" w:rsidP="00F64776">
      <w:pPr>
        <w:pStyle w:val="SntesisDescriptiva"/>
      </w:pPr>
      <w:r>
        <w:t>Acepta una abstención en el recurso de amparo 2432-2023, promovido en proceso contencioso-administrativo.</w:t>
      </w:r>
    </w:p>
    <w:p w14:paraId="278D0B57" w14:textId="68F8C54C" w:rsidR="00F64776" w:rsidRDefault="00F64776" w:rsidP="00F64776">
      <w:pPr>
        <w:pStyle w:val="SntesisDescriptiva"/>
      </w:pPr>
    </w:p>
    <w:p w14:paraId="4CF2D8F3" w14:textId="77777777" w:rsidR="00F64776" w:rsidRDefault="00F64776" w:rsidP="00F64776">
      <w:pPr>
        <w:pStyle w:val="SntesisDescriptiva"/>
      </w:pPr>
    </w:p>
    <w:p w14:paraId="2A29A5F1" w14:textId="77777777" w:rsidR="00F64776" w:rsidRDefault="00F64776" w:rsidP="00F64776">
      <w:pPr>
        <w:pStyle w:val="SntesisDescriptiva"/>
      </w:pPr>
    </w:p>
    <w:p w14:paraId="58B3F348" w14:textId="77777777" w:rsidR="00F64776" w:rsidRDefault="00F64776" w:rsidP="00F64776">
      <w:pPr>
        <w:pStyle w:val="TextoNormalNegritaCentrado"/>
      </w:pPr>
      <w:r>
        <w:t>AUTO</w:t>
      </w:r>
    </w:p>
    <w:p w14:paraId="2B80E168" w14:textId="0A542249" w:rsidR="00F64776" w:rsidRDefault="00F64776" w:rsidP="00F64776">
      <w:pPr>
        <w:pStyle w:val="TextoNormalNegritaCentrado"/>
      </w:pPr>
    </w:p>
    <w:p w14:paraId="7CA9B00F" w14:textId="77777777" w:rsidR="00F64776" w:rsidRDefault="00F64776" w:rsidP="00F64776">
      <w:pPr>
        <w:pStyle w:val="TextoNormalNegritaCentrado"/>
        <w:keepNext/>
      </w:pPr>
      <w:r>
        <w:t>I. Antecedentes</w:t>
      </w:r>
    </w:p>
    <w:p w14:paraId="69FFF71D" w14:textId="1BB7FE76" w:rsidR="00F64776" w:rsidRDefault="00F64776" w:rsidP="00F64776">
      <w:pPr>
        <w:pStyle w:val="TextoNormalNegritaCentrado"/>
        <w:keepNext/>
      </w:pPr>
    </w:p>
    <w:p w14:paraId="398F3771" w14:textId="52DE201E" w:rsidR="00F64776" w:rsidRDefault="00F64776" w:rsidP="00F64776">
      <w:pPr>
        <w:pStyle w:val="TextoNormal"/>
      </w:pPr>
      <w:r w:rsidRPr="00F64776">
        <w:rPr>
          <w:rStyle w:val="NumeroAFNegritaCaracter"/>
        </w:rPr>
        <w:t>1</w:t>
      </w:r>
      <w:r>
        <w:t>. Mediante escrito registrado en este tribunal el 12 de abril de 2023 la procuradora de los tribunales doña Ana María Araúz de Robles Villalón, en nombre y representación de don Fernando Casamayor Victoria y otros y bajo la dirección del letrado don Francisco Javier Araúz de Robles Dávila, interpuso demanda de amparo contra el  auto de 16 de noviembre de 2022 de la Sección Primera de la Sala de lo Contencioso-Administrativo del Tribunal Supremo en recurso de queja núm. 272-2022.</w:t>
      </w:r>
    </w:p>
    <w:p w14:paraId="71D51919" w14:textId="77777777" w:rsidR="00F64776" w:rsidRDefault="00F64776" w:rsidP="00F64776">
      <w:pPr>
        <w:pStyle w:val="TextoNormal"/>
      </w:pPr>
    </w:p>
    <w:p w14:paraId="434A9483" w14:textId="1746646C" w:rsidR="00F64776" w:rsidRDefault="00F64776" w:rsidP="00F64776">
      <w:pPr>
        <w:pStyle w:val="TextoNormal"/>
      </w:pPr>
      <w:r w:rsidRPr="00F64776">
        <w:rPr>
          <w:rStyle w:val="NumeroAFNegritaCaracter"/>
        </w:rPr>
        <w:t>2</w:t>
      </w:r>
      <w:r>
        <w:t>. Por escrito de 29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1ABA79BA" w14:textId="77777777" w:rsidR="00F64776" w:rsidRDefault="00F64776" w:rsidP="00F64776">
      <w:pPr>
        <w:pStyle w:val="TextoNormal"/>
      </w:pPr>
    </w:p>
    <w:p w14:paraId="038AF6B5" w14:textId="77777777" w:rsidR="00F64776" w:rsidRDefault="00F64776" w:rsidP="00F64776">
      <w:pPr>
        <w:pStyle w:val="TextoNormalNegritaCentrado"/>
        <w:keepNext/>
      </w:pPr>
      <w:r>
        <w:t>II. Fundamentos jurídicos</w:t>
      </w:r>
    </w:p>
    <w:p w14:paraId="71419028" w14:textId="7B443AA6" w:rsidR="00F64776" w:rsidRDefault="00F64776" w:rsidP="00F64776">
      <w:pPr>
        <w:pStyle w:val="TextoNormalNegritaCentrado"/>
        <w:keepNext/>
      </w:pPr>
    </w:p>
    <w:p w14:paraId="241205B3" w14:textId="33E8A27F"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119EE9C9" w14:textId="77777777" w:rsidR="00F64776" w:rsidRDefault="00F64776" w:rsidP="00F64776">
      <w:pPr>
        <w:pStyle w:val="TextoNormal"/>
      </w:pPr>
    </w:p>
    <w:p w14:paraId="2F6F4789" w14:textId="77777777" w:rsidR="00F64776" w:rsidRDefault="00F64776" w:rsidP="00F64776">
      <w:pPr>
        <w:pStyle w:val="TextoNormal"/>
      </w:pPr>
      <w:r>
        <w:t>Por lo expuesto, la Sección</w:t>
      </w:r>
    </w:p>
    <w:p w14:paraId="57196CFA" w14:textId="057688EB" w:rsidR="00F64776" w:rsidRDefault="00F64776" w:rsidP="00F64776">
      <w:pPr>
        <w:pStyle w:val="TextoNormal"/>
      </w:pPr>
    </w:p>
    <w:p w14:paraId="1E82181E" w14:textId="77777777" w:rsidR="00F64776" w:rsidRDefault="00F64776" w:rsidP="00F64776">
      <w:pPr>
        <w:pStyle w:val="TextoNormalCentrado"/>
      </w:pPr>
      <w:r>
        <w:t>ACUERDA</w:t>
      </w:r>
    </w:p>
    <w:p w14:paraId="5B4D3823" w14:textId="3C6F8D07" w:rsidR="00F64776" w:rsidRDefault="00F64776" w:rsidP="00F64776">
      <w:pPr>
        <w:pStyle w:val="TextoNormalCentrado"/>
      </w:pPr>
    </w:p>
    <w:p w14:paraId="2D7EC0EA" w14:textId="72BBA0CE" w:rsidR="00F64776" w:rsidRDefault="00F64776" w:rsidP="00F64776">
      <w:pPr>
        <w:pStyle w:val="TextoNormal"/>
      </w:pPr>
      <w:r>
        <w:t>Estimar justificada la abstención formulada por el magistrado señor don César Tolosa Tribiño en el recurso de amparo núm. 2432-2023 y apartarle definitivamente del conocimiento del referido recurso y de todas sus incidencias.</w:t>
      </w:r>
    </w:p>
    <w:p w14:paraId="745B78E7" w14:textId="77777777" w:rsidR="00F64776" w:rsidRDefault="00F64776" w:rsidP="00F64776">
      <w:pPr>
        <w:pStyle w:val="TextoNormal"/>
      </w:pPr>
    </w:p>
    <w:p w14:paraId="79672677" w14:textId="77777777" w:rsidR="00F64776" w:rsidRDefault="00F64776" w:rsidP="00F64776">
      <w:pPr>
        <w:pStyle w:val="TextoNormal"/>
      </w:pPr>
      <w:r>
        <w:t>Madrid, a cuatro de septiembre de dos mil veintitrés.</w:t>
      </w:r>
    </w:p>
    <w:p w14:paraId="58DD6EF8" w14:textId="41F6FE0E" w:rsidR="00F64776" w:rsidRDefault="00F64776">
      <w:pPr>
        <w:spacing w:after="160" w:line="278" w:lineRule="auto"/>
        <w:rPr>
          <w:rFonts w:ascii="Times New Roman" w:eastAsia="Times New Roman" w:hAnsi="Times New Roman" w:cs="Times New Roman"/>
          <w:sz w:val="24"/>
          <w:szCs w:val="24"/>
          <w:lang w:eastAsia="es-ES"/>
        </w:rPr>
      </w:pPr>
      <w:r>
        <w:br w:type="page"/>
      </w:r>
    </w:p>
    <w:p w14:paraId="7CA5106B" w14:textId="77777777" w:rsidR="00F64776" w:rsidRDefault="00F64776" w:rsidP="00F64776">
      <w:pPr>
        <w:pStyle w:val="TtuloResolucin"/>
      </w:pPr>
      <w:bookmarkStart w:id="194" w:name="AUTO_2023_409"/>
      <w:r>
        <w:t>AUTO 409/2023, de 4 de septiembre de 2023</w:t>
      </w:r>
    </w:p>
    <w:bookmarkEnd w:id="194"/>
    <w:p w14:paraId="35BE69B7" w14:textId="77777777" w:rsidR="00F64776" w:rsidRDefault="00F64776" w:rsidP="00F64776">
      <w:pPr>
        <w:pStyle w:val="TtuloResolucin"/>
      </w:pPr>
      <w:r>
        <w:t>Sección Tercera</w:t>
      </w:r>
    </w:p>
    <w:p w14:paraId="664E2763" w14:textId="77777777" w:rsidR="00F64776" w:rsidRDefault="00F64776" w:rsidP="00F64776">
      <w:pPr>
        <w:pStyle w:val="TextoNormalCentrado"/>
      </w:pPr>
      <w:r>
        <w:t>ECLI:ES:TC:2023:409A</w:t>
      </w:r>
    </w:p>
    <w:p w14:paraId="0DA8B70C" w14:textId="1C82F06C" w:rsidR="00F64776" w:rsidRDefault="00F64776" w:rsidP="00F64776">
      <w:pPr>
        <w:pStyle w:val="TextoNormalCentrado"/>
      </w:pPr>
    </w:p>
    <w:p w14:paraId="0B93E6CD" w14:textId="77777777" w:rsidR="00F64776" w:rsidRDefault="00F64776" w:rsidP="00F64776">
      <w:pPr>
        <w:pStyle w:val="SntesisDescriptiva"/>
      </w:pPr>
      <w:r>
        <w:t>Excms. Srs. doña Inmaculada Montalbán Huertas y doña Laura Díez Bueso.</w:t>
      </w:r>
    </w:p>
    <w:p w14:paraId="76C10120" w14:textId="655511AC" w:rsidR="00F64776" w:rsidRDefault="00F64776" w:rsidP="00F64776">
      <w:pPr>
        <w:pStyle w:val="SntesisDescriptiva"/>
      </w:pPr>
    </w:p>
    <w:p w14:paraId="2BC3BA05" w14:textId="77777777" w:rsidR="00F64776" w:rsidRDefault="00F64776" w:rsidP="00F64776">
      <w:pPr>
        <w:pStyle w:val="SntesisDescriptiva"/>
      </w:pPr>
      <w:r>
        <w:t>Acepta una abstención en el recurso de amparo 2434-2023, promovido en proceso contencioso-administrativo.</w:t>
      </w:r>
    </w:p>
    <w:p w14:paraId="75195DEA" w14:textId="6934DB08" w:rsidR="00F64776" w:rsidRDefault="00F64776" w:rsidP="00F64776">
      <w:pPr>
        <w:pStyle w:val="SntesisDescriptiva"/>
      </w:pPr>
    </w:p>
    <w:p w14:paraId="1205F4AB" w14:textId="77777777" w:rsidR="00F64776" w:rsidRDefault="00F64776" w:rsidP="00F64776">
      <w:pPr>
        <w:pStyle w:val="SntesisDescriptiva"/>
      </w:pPr>
    </w:p>
    <w:p w14:paraId="43E42FB5" w14:textId="77777777" w:rsidR="00F64776" w:rsidRDefault="00F64776" w:rsidP="00F64776">
      <w:pPr>
        <w:pStyle w:val="SntesisDescriptiva"/>
      </w:pPr>
    </w:p>
    <w:p w14:paraId="5C24EFA8" w14:textId="77777777" w:rsidR="00F64776" w:rsidRDefault="00F64776" w:rsidP="00F64776">
      <w:pPr>
        <w:pStyle w:val="TextoNormalNegritaCentrado"/>
      </w:pPr>
      <w:r>
        <w:t>AUTO</w:t>
      </w:r>
    </w:p>
    <w:p w14:paraId="387A85DE" w14:textId="4F6E7901" w:rsidR="00F64776" w:rsidRDefault="00F64776" w:rsidP="00F64776">
      <w:pPr>
        <w:pStyle w:val="TextoNormalNegritaCentrado"/>
      </w:pPr>
    </w:p>
    <w:p w14:paraId="72ADAEE4" w14:textId="77777777" w:rsidR="00F64776" w:rsidRDefault="00F64776" w:rsidP="00F64776">
      <w:pPr>
        <w:pStyle w:val="TextoNormalNegritaCentrado"/>
        <w:keepNext/>
      </w:pPr>
      <w:r>
        <w:t>I. Antecedentes</w:t>
      </w:r>
    </w:p>
    <w:p w14:paraId="6F2A28D8" w14:textId="3F6DCF12" w:rsidR="00F64776" w:rsidRDefault="00F64776" w:rsidP="00F64776">
      <w:pPr>
        <w:pStyle w:val="TextoNormalNegritaCentrado"/>
        <w:keepNext/>
      </w:pPr>
    </w:p>
    <w:p w14:paraId="0721527F" w14:textId="0B1B157B" w:rsidR="00F64776" w:rsidRDefault="00F64776" w:rsidP="00F64776">
      <w:pPr>
        <w:pStyle w:val="TextoNormal"/>
      </w:pPr>
      <w:r w:rsidRPr="00F64776">
        <w:rPr>
          <w:rStyle w:val="NumeroAFNegritaCaracter"/>
        </w:rPr>
        <w:t>1</w:t>
      </w:r>
      <w:r>
        <w:t>. Mediante escrito registrado en este tribunal el 12 de abril de 2023 el procurador de los tribunales don José María Ruiz de la Cuesta Vacas, en nombre y representación de doña María Cristina Quesada Herrador y bajo la dirección del letrado don Francisco Javier Araúz de Robles Dávila, interpuso demanda de amparo contra auto y providencia de la Sección Primera de la Sala de lo Contencioso-Administrativo del Tribunal Supremo en recurso de queja 280-2022.</w:t>
      </w:r>
    </w:p>
    <w:p w14:paraId="74D6FD36" w14:textId="77777777" w:rsidR="00F64776" w:rsidRDefault="00F64776" w:rsidP="00F64776">
      <w:pPr>
        <w:pStyle w:val="TextoNormal"/>
      </w:pPr>
    </w:p>
    <w:p w14:paraId="4BC12ADE" w14:textId="3E84FE27" w:rsidR="00F64776" w:rsidRDefault="00F64776" w:rsidP="00F64776">
      <w:pPr>
        <w:pStyle w:val="TextoNormal"/>
      </w:pPr>
      <w:r w:rsidRPr="00F64776">
        <w:rPr>
          <w:rStyle w:val="NumeroAFNegritaCaracter"/>
        </w:rPr>
        <w:t>2</w:t>
      </w:r>
      <w:r>
        <w:t>. Por escrito de 29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002C6B48" w14:textId="77777777" w:rsidR="00F64776" w:rsidRDefault="00F64776" w:rsidP="00F64776">
      <w:pPr>
        <w:pStyle w:val="TextoNormal"/>
      </w:pPr>
    </w:p>
    <w:p w14:paraId="1B9F67FB" w14:textId="77777777" w:rsidR="00F64776" w:rsidRDefault="00F64776" w:rsidP="00F64776">
      <w:pPr>
        <w:pStyle w:val="TextoNormalNegritaCentrado"/>
        <w:keepNext/>
      </w:pPr>
      <w:r>
        <w:t>II. Fundamentos jurídicos</w:t>
      </w:r>
    </w:p>
    <w:p w14:paraId="30AA9514" w14:textId="1B25FE74" w:rsidR="00F64776" w:rsidRDefault="00F64776" w:rsidP="00F64776">
      <w:pPr>
        <w:pStyle w:val="TextoNormalNegritaCentrado"/>
        <w:keepNext/>
      </w:pPr>
    </w:p>
    <w:p w14:paraId="23B57C94" w14:textId="2E493429"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725ECF6E" w14:textId="77777777" w:rsidR="00F64776" w:rsidRDefault="00F64776" w:rsidP="00F64776">
      <w:pPr>
        <w:pStyle w:val="TextoNormal"/>
      </w:pPr>
    </w:p>
    <w:p w14:paraId="5CD596C4" w14:textId="77777777" w:rsidR="00F64776" w:rsidRDefault="00F64776" w:rsidP="00F64776">
      <w:pPr>
        <w:pStyle w:val="TextoNormal"/>
      </w:pPr>
      <w:r>
        <w:t>Por lo expuesto, la Sección</w:t>
      </w:r>
    </w:p>
    <w:p w14:paraId="10DF36BC" w14:textId="5E437468" w:rsidR="00F64776" w:rsidRDefault="00F64776" w:rsidP="00F64776">
      <w:pPr>
        <w:pStyle w:val="TextoNormal"/>
      </w:pPr>
    </w:p>
    <w:p w14:paraId="5BA22942" w14:textId="77777777" w:rsidR="00F64776" w:rsidRDefault="00F64776" w:rsidP="00F64776">
      <w:pPr>
        <w:pStyle w:val="TextoNormalCentrado"/>
      </w:pPr>
      <w:r>
        <w:t>ACUERDA</w:t>
      </w:r>
    </w:p>
    <w:p w14:paraId="1ADA2202" w14:textId="3D575D46" w:rsidR="00F64776" w:rsidRDefault="00F64776" w:rsidP="00F64776">
      <w:pPr>
        <w:pStyle w:val="TextoNormalCentrado"/>
      </w:pPr>
    </w:p>
    <w:p w14:paraId="69343E2E" w14:textId="1442478D" w:rsidR="00F64776" w:rsidRDefault="00F64776" w:rsidP="00F64776">
      <w:pPr>
        <w:pStyle w:val="TextoNormal"/>
      </w:pPr>
      <w:r>
        <w:t>Estimar justificada la abstención formulada por el magistrado señor don César Tolosa Tribiño en el recurso de amparo núm. 2434-2023 y apartarle definitivamente del conocimiento del referido recurso y de todas sus incidencias.</w:t>
      </w:r>
    </w:p>
    <w:p w14:paraId="4BAC0435" w14:textId="77777777" w:rsidR="00F64776" w:rsidRDefault="00F64776" w:rsidP="00F64776">
      <w:pPr>
        <w:pStyle w:val="TextoNormal"/>
      </w:pPr>
    </w:p>
    <w:p w14:paraId="327D5058" w14:textId="77777777" w:rsidR="00F64776" w:rsidRDefault="00F64776" w:rsidP="00F64776">
      <w:pPr>
        <w:pStyle w:val="TextoNormal"/>
      </w:pPr>
      <w:r>
        <w:t>Madrid, a cuatro de septiembre de dos mil veintitrés.</w:t>
      </w:r>
    </w:p>
    <w:p w14:paraId="28A774AB" w14:textId="3B3382D6" w:rsidR="00F64776" w:rsidRDefault="00F64776">
      <w:pPr>
        <w:spacing w:after="160" w:line="278" w:lineRule="auto"/>
        <w:rPr>
          <w:rFonts w:ascii="Times New Roman" w:eastAsia="Times New Roman" w:hAnsi="Times New Roman" w:cs="Times New Roman"/>
          <w:sz w:val="24"/>
          <w:szCs w:val="24"/>
          <w:lang w:eastAsia="es-ES"/>
        </w:rPr>
      </w:pPr>
      <w:r>
        <w:br w:type="page"/>
      </w:r>
    </w:p>
    <w:p w14:paraId="61701800" w14:textId="77777777" w:rsidR="00F64776" w:rsidRDefault="00F64776" w:rsidP="00F64776">
      <w:pPr>
        <w:pStyle w:val="TtuloResolucin"/>
      </w:pPr>
      <w:bookmarkStart w:id="195" w:name="AUTO_2023_410"/>
      <w:r>
        <w:t>AUTO 410/2023, de 4 de septiembre de 2023</w:t>
      </w:r>
    </w:p>
    <w:bookmarkEnd w:id="195"/>
    <w:p w14:paraId="5FC0866C" w14:textId="77777777" w:rsidR="00F64776" w:rsidRDefault="00F64776" w:rsidP="00F64776">
      <w:pPr>
        <w:pStyle w:val="TtuloResolucin"/>
      </w:pPr>
      <w:r>
        <w:t>Sección Tercera</w:t>
      </w:r>
    </w:p>
    <w:p w14:paraId="37256D34" w14:textId="77777777" w:rsidR="00F64776" w:rsidRDefault="00F64776" w:rsidP="00F64776">
      <w:pPr>
        <w:pStyle w:val="TextoNormalCentrado"/>
      </w:pPr>
      <w:r>
        <w:t>ECLI:ES:TC:2023:410A</w:t>
      </w:r>
    </w:p>
    <w:p w14:paraId="0F652170" w14:textId="35C08E72" w:rsidR="00F64776" w:rsidRDefault="00F64776" w:rsidP="00F64776">
      <w:pPr>
        <w:pStyle w:val="TextoNormalCentrado"/>
      </w:pPr>
    </w:p>
    <w:p w14:paraId="3C87A9C1" w14:textId="77777777" w:rsidR="00F64776" w:rsidRDefault="00F64776" w:rsidP="00F64776">
      <w:pPr>
        <w:pStyle w:val="SntesisDescriptiva"/>
      </w:pPr>
      <w:r>
        <w:t>Excms. Srs. doña Inmaculada Montalbán Huertas y doña Laura Díez Bueso.</w:t>
      </w:r>
    </w:p>
    <w:p w14:paraId="4F853251" w14:textId="43E8295D" w:rsidR="00F64776" w:rsidRDefault="00F64776" w:rsidP="00F64776">
      <w:pPr>
        <w:pStyle w:val="SntesisDescriptiva"/>
      </w:pPr>
    </w:p>
    <w:p w14:paraId="3A16B5B9" w14:textId="77777777" w:rsidR="00F64776" w:rsidRDefault="00F64776" w:rsidP="00F64776">
      <w:pPr>
        <w:pStyle w:val="SntesisDescriptiva"/>
      </w:pPr>
      <w:r>
        <w:t>Acepta una abstención en el recurso de amparo 2444-2023, promovido en proceso contencioso-administrativo.</w:t>
      </w:r>
    </w:p>
    <w:p w14:paraId="1785906A" w14:textId="7A020214" w:rsidR="00F64776" w:rsidRDefault="00F64776" w:rsidP="00F64776">
      <w:pPr>
        <w:pStyle w:val="SntesisDescriptiva"/>
      </w:pPr>
    </w:p>
    <w:p w14:paraId="6763F56E" w14:textId="77777777" w:rsidR="00F64776" w:rsidRDefault="00F64776" w:rsidP="00F64776">
      <w:pPr>
        <w:pStyle w:val="SntesisDescriptiva"/>
      </w:pPr>
    </w:p>
    <w:p w14:paraId="1463416C" w14:textId="77777777" w:rsidR="00F64776" w:rsidRDefault="00F64776" w:rsidP="00F64776">
      <w:pPr>
        <w:pStyle w:val="SntesisDescriptiva"/>
      </w:pPr>
    </w:p>
    <w:p w14:paraId="5CE1AA43" w14:textId="77777777" w:rsidR="00F64776" w:rsidRDefault="00F64776" w:rsidP="00F64776">
      <w:pPr>
        <w:pStyle w:val="TextoNormalNegritaCentrado"/>
      </w:pPr>
      <w:r>
        <w:t>AUTO</w:t>
      </w:r>
    </w:p>
    <w:p w14:paraId="4DAC8235" w14:textId="6E0BFC79" w:rsidR="00F64776" w:rsidRDefault="00F64776" w:rsidP="00F64776">
      <w:pPr>
        <w:pStyle w:val="TextoNormalNegritaCentrado"/>
      </w:pPr>
    </w:p>
    <w:p w14:paraId="0ADA9521" w14:textId="77777777" w:rsidR="00F64776" w:rsidRDefault="00F64776" w:rsidP="00F64776">
      <w:pPr>
        <w:pStyle w:val="TextoNormalNegritaCentrado"/>
        <w:keepNext/>
      </w:pPr>
      <w:r>
        <w:t>I. Antecedentes</w:t>
      </w:r>
    </w:p>
    <w:p w14:paraId="1DE68E30" w14:textId="30E98D32" w:rsidR="00F64776" w:rsidRDefault="00F64776" w:rsidP="00F64776">
      <w:pPr>
        <w:pStyle w:val="TextoNormalNegritaCentrado"/>
        <w:keepNext/>
      </w:pPr>
    </w:p>
    <w:p w14:paraId="124A5CD0" w14:textId="63F649D6" w:rsidR="00F64776" w:rsidRDefault="00F64776" w:rsidP="00F64776">
      <w:pPr>
        <w:pStyle w:val="TextoNormal"/>
      </w:pPr>
      <w:r w:rsidRPr="00F64776">
        <w:rPr>
          <w:rStyle w:val="NumeroAFNegritaCaracter"/>
        </w:rPr>
        <w:t>1</w:t>
      </w:r>
      <w:r>
        <w:t>. Mediante escrito registrado en este tribunal el 12 de abril de 2023 el procurador de los tribunales don José María Ruiz de la Cuesta Vacas, en nombre y representación de doña Almudena Núñez Sánchez y otros y bajo la dirección del letrado don Francisco Javier Araúz de Robles Dávila, interpuso demanda de amparo contra el auto de 16 de noviembre de 2022 de la Sección Primera de la Sala de lo Contencioso-Administrativo del Tribunal Supremo en recurso de queja núm. 300-2022.</w:t>
      </w:r>
    </w:p>
    <w:p w14:paraId="70272CEE" w14:textId="77777777" w:rsidR="00F64776" w:rsidRDefault="00F64776" w:rsidP="00F64776">
      <w:pPr>
        <w:pStyle w:val="TextoNormal"/>
      </w:pPr>
    </w:p>
    <w:p w14:paraId="03929668" w14:textId="15B03BAE" w:rsidR="00F64776" w:rsidRDefault="00F64776" w:rsidP="00F64776">
      <w:pPr>
        <w:pStyle w:val="TextoNormal"/>
      </w:pPr>
      <w:r w:rsidRPr="00F64776">
        <w:rPr>
          <w:rStyle w:val="NumeroAFNegritaCaracter"/>
        </w:rPr>
        <w:t>2</w:t>
      </w:r>
      <w:r>
        <w:t>. Por escrito de 8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64153582" w14:textId="77777777" w:rsidR="00F64776" w:rsidRDefault="00F64776" w:rsidP="00F64776">
      <w:pPr>
        <w:pStyle w:val="TextoNormal"/>
      </w:pPr>
    </w:p>
    <w:p w14:paraId="4CD1B6E4" w14:textId="77777777" w:rsidR="00F64776" w:rsidRDefault="00F64776" w:rsidP="00F64776">
      <w:pPr>
        <w:pStyle w:val="TextoNormalNegritaCentrado"/>
        <w:keepNext/>
      </w:pPr>
      <w:r>
        <w:t>II. Fundamentos jurídicos</w:t>
      </w:r>
    </w:p>
    <w:p w14:paraId="0EE845AA" w14:textId="7FC53D68" w:rsidR="00F64776" w:rsidRDefault="00F64776" w:rsidP="00F64776">
      <w:pPr>
        <w:pStyle w:val="TextoNormalNegritaCentrado"/>
        <w:keepNext/>
      </w:pPr>
    </w:p>
    <w:p w14:paraId="705A12C8" w14:textId="7C0CA127"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12D9A5B6" w14:textId="77777777" w:rsidR="00F64776" w:rsidRDefault="00F64776" w:rsidP="00F64776">
      <w:pPr>
        <w:pStyle w:val="TextoNormal"/>
      </w:pPr>
    </w:p>
    <w:p w14:paraId="197839E1" w14:textId="77777777" w:rsidR="00F64776" w:rsidRDefault="00F64776" w:rsidP="00F64776">
      <w:pPr>
        <w:pStyle w:val="TextoNormal"/>
      </w:pPr>
      <w:r>
        <w:t>Por lo expuesto, la Sección</w:t>
      </w:r>
    </w:p>
    <w:p w14:paraId="7DF3BF28" w14:textId="0AF94FD4" w:rsidR="00F64776" w:rsidRDefault="00F64776" w:rsidP="00F64776">
      <w:pPr>
        <w:pStyle w:val="TextoNormal"/>
      </w:pPr>
    </w:p>
    <w:p w14:paraId="1BEEA514" w14:textId="77777777" w:rsidR="00F64776" w:rsidRDefault="00F64776" w:rsidP="00F64776">
      <w:pPr>
        <w:pStyle w:val="TextoNormalCentrado"/>
      </w:pPr>
      <w:r>
        <w:t>ACUERDA</w:t>
      </w:r>
    </w:p>
    <w:p w14:paraId="3C51096A" w14:textId="0BE2EEC5" w:rsidR="00F64776" w:rsidRDefault="00F64776" w:rsidP="00F64776">
      <w:pPr>
        <w:pStyle w:val="TextoNormalCentrado"/>
      </w:pPr>
    </w:p>
    <w:p w14:paraId="73EEBF9A" w14:textId="29395F2C" w:rsidR="00F64776" w:rsidRDefault="00F64776" w:rsidP="00F64776">
      <w:pPr>
        <w:pStyle w:val="TextoNormal"/>
      </w:pPr>
      <w:r>
        <w:t>Estimar justificada la abstención formulada por el magistrado señor don César Tolosa Tribiño en el recurso de amparo núm. 2444-2023 y apartarle definitivamente del conocimiento del referido recurso y de todas sus incidencias.</w:t>
      </w:r>
    </w:p>
    <w:p w14:paraId="6C42AA91" w14:textId="77777777" w:rsidR="00F64776" w:rsidRDefault="00F64776" w:rsidP="00F64776">
      <w:pPr>
        <w:pStyle w:val="TextoNormal"/>
      </w:pPr>
    </w:p>
    <w:p w14:paraId="6EB90653" w14:textId="77777777" w:rsidR="00F64776" w:rsidRDefault="00F64776" w:rsidP="00F64776">
      <w:pPr>
        <w:pStyle w:val="TextoNormal"/>
      </w:pPr>
      <w:r>
        <w:t>Madrid, a cuatro de septiembre de dos mil veintitrés.</w:t>
      </w:r>
    </w:p>
    <w:p w14:paraId="3B7E0876" w14:textId="6D17628B" w:rsidR="00F64776" w:rsidRDefault="00F64776">
      <w:pPr>
        <w:spacing w:after="160" w:line="278" w:lineRule="auto"/>
        <w:rPr>
          <w:rFonts w:ascii="Times New Roman" w:eastAsia="Times New Roman" w:hAnsi="Times New Roman" w:cs="Times New Roman"/>
          <w:sz w:val="24"/>
          <w:szCs w:val="24"/>
          <w:lang w:eastAsia="es-ES"/>
        </w:rPr>
      </w:pPr>
      <w:r>
        <w:br w:type="page"/>
      </w:r>
    </w:p>
    <w:p w14:paraId="398A80AF" w14:textId="77777777" w:rsidR="00F64776" w:rsidRDefault="00F64776" w:rsidP="00F64776">
      <w:pPr>
        <w:pStyle w:val="TtuloResolucin"/>
      </w:pPr>
      <w:bookmarkStart w:id="196" w:name="AUTO_2023_411"/>
      <w:r>
        <w:t>AUTO 411/2023, de 4 de septiembre de 2023</w:t>
      </w:r>
    </w:p>
    <w:bookmarkEnd w:id="196"/>
    <w:p w14:paraId="260D28F7" w14:textId="77777777" w:rsidR="00F64776" w:rsidRDefault="00F64776" w:rsidP="00F64776">
      <w:pPr>
        <w:pStyle w:val="TtuloResolucin"/>
      </w:pPr>
      <w:r>
        <w:t>Sección Tercera</w:t>
      </w:r>
    </w:p>
    <w:p w14:paraId="29B897A8" w14:textId="77777777" w:rsidR="00F64776" w:rsidRDefault="00F64776" w:rsidP="00F64776">
      <w:pPr>
        <w:pStyle w:val="TextoNormalCentrado"/>
      </w:pPr>
      <w:r>
        <w:t>ECLI:ES:TC:2023:411A</w:t>
      </w:r>
    </w:p>
    <w:p w14:paraId="51ED4395" w14:textId="16468066" w:rsidR="00F64776" w:rsidRDefault="00F64776" w:rsidP="00F64776">
      <w:pPr>
        <w:pStyle w:val="TextoNormalCentrado"/>
      </w:pPr>
    </w:p>
    <w:p w14:paraId="42084950" w14:textId="77777777" w:rsidR="00F64776" w:rsidRDefault="00F64776" w:rsidP="00F64776">
      <w:pPr>
        <w:pStyle w:val="SntesisDescriptiva"/>
      </w:pPr>
      <w:r>
        <w:t>Excms. Srs. doña Inmaculada Montalbán Huertas y doña Laura Díez Bueso.</w:t>
      </w:r>
    </w:p>
    <w:p w14:paraId="5E7D3D4E" w14:textId="05A5BB1F" w:rsidR="00F64776" w:rsidRDefault="00F64776" w:rsidP="00F64776">
      <w:pPr>
        <w:pStyle w:val="SntesisDescriptiva"/>
      </w:pPr>
    </w:p>
    <w:p w14:paraId="52D05D05" w14:textId="77777777" w:rsidR="00F64776" w:rsidRDefault="00F64776" w:rsidP="00F64776">
      <w:pPr>
        <w:pStyle w:val="SntesisDescriptiva"/>
      </w:pPr>
      <w:r>
        <w:t>Acepta una abstención en el recurso de amparo 2446-2023, promovido en proceso contencioso-administrativo.</w:t>
      </w:r>
    </w:p>
    <w:p w14:paraId="774595BF" w14:textId="438EA803" w:rsidR="00F64776" w:rsidRDefault="00F64776" w:rsidP="00F64776">
      <w:pPr>
        <w:pStyle w:val="SntesisDescriptiva"/>
      </w:pPr>
    </w:p>
    <w:p w14:paraId="33619DEF" w14:textId="77777777" w:rsidR="00F64776" w:rsidRDefault="00F64776" w:rsidP="00F64776">
      <w:pPr>
        <w:pStyle w:val="SntesisDescriptiva"/>
      </w:pPr>
    </w:p>
    <w:p w14:paraId="3F3042DB" w14:textId="77777777" w:rsidR="00F64776" w:rsidRDefault="00F64776" w:rsidP="00F64776">
      <w:pPr>
        <w:pStyle w:val="SntesisDescriptiva"/>
      </w:pPr>
    </w:p>
    <w:p w14:paraId="2DAD971E" w14:textId="77777777" w:rsidR="00F64776" w:rsidRDefault="00F64776" w:rsidP="00F64776">
      <w:pPr>
        <w:pStyle w:val="TextoNormalNegritaCentrado"/>
      </w:pPr>
      <w:r>
        <w:t>AUTO</w:t>
      </w:r>
    </w:p>
    <w:p w14:paraId="6AA7F044" w14:textId="47B9603B" w:rsidR="00F64776" w:rsidRDefault="00F64776" w:rsidP="00F64776">
      <w:pPr>
        <w:pStyle w:val="TextoNormalNegritaCentrado"/>
      </w:pPr>
    </w:p>
    <w:p w14:paraId="6CCBF454" w14:textId="77777777" w:rsidR="00F64776" w:rsidRDefault="00F64776" w:rsidP="00F64776">
      <w:pPr>
        <w:pStyle w:val="TextoNormalNegritaCentrado"/>
        <w:keepNext/>
      </w:pPr>
      <w:r>
        <w:t>I. Antecedentes</w:t>
      </w:r>
    </w:p>
    <w:p w14:paraId="213F9180" w14:textId="1EBDA768" w:rsidR="00F64776" w:rsidRDefault="00F64776" w:rsidP="00F64776">
      <w:pPr>
        <w:pStyle w:val="TextoNormalNegritaCentrado"/>
        <w:keepNext/>
      </w:pPr>
    </w:p>
    <w:p w14:paraId="504487D7" w14:textId="02331A38" w:rsidR="00F64776" w:rsidRDefault="00F64776" w:rsidP="00F64776">
      <w:pPr>
        <w:pStyle w:val="TextoNormal"/>
      </w:pPr>
      <w:r w:rsidRPr="00F64776">
        <w:rPr>
          <w:rStyle w:val="NumeroAFNegritaCaracter"/>
        </w:rPr>
        <w:t>1</w:t>
      </w:r>
      <w:r>
        <w:t>. Mediante escrito registrado en este tribunal el 12 de abril de 2023 la procuradora de los tribunales doña Ana María Araúz de Robles Villalón, en nombre y representación de don Luis María Hernando del Pino y bajo la dirección del letrado don Francisco Javier Araúz de Robles Dávila, interpuso demanda de amparo contra providencia de la Sección Primera de la Sala de lo Contencioso-Administrativo del Tribunal Supremo en recurso de casación núm. 3135-2022.</w:t>
      </w:r>
    </w:p>
    <w:p w14:paraId="6CCD97C1" w14:textId="77777777" w:rsidR="00F64776" w:rsidRDefault="00F64776" w:rsidP="00F64776">
      <w:pPr>
        <w:pStyle w:val="TextoNormal"/>
      </w:pPr>
    </w:p>
    <w:p w14:paraId="10A70729" w14:textId="5927E71F" w:rsidR="00F64776" w:rsidRDefault="00F64776" w:rsidP="00F64776">
      <w:pPr>
        <w:pStyle w:val="TextoNormal"/>
      </w:pPr>
      <w:r w:rsidRPr="00F64776">
        <w:rPr>
          <w:rStyle w:val="NumeroAFNegritaCaracter"/>
        </w:rPr>
        <w:t>2</w:t>
      </w:r>
      <w:r>
        <w:t>. Por escrito de 8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5B9A9149" w14:textId="77777777" w:rsidR="00F64776" w:rsidRDefault="00F64776" w:rsidP="00F64776">
      <w:pPr>
        <w:pStyle w:val="TextoNormal"/>
      </w:pPr>
    </w:p>
    <w:p w14:paraId="08C866AB" w14:textId="77777777" w:rsidR="00F64776" w:rsidRDefault="00F64776" w:rsidP="00F64776">
      <w:pPr>
        <w:pStyle w:val="TextoNormalNegritaCentrado"/>
        <w:keepNext/>
      </w:pPr>
      <w:r>
        <w:t>II. Fundamentos jurídicos</w:t>
      </w:r>
    </w:p>
    <w:p w14:paraId="3299DC4D" w14:textId="53A5555B" w:rsidR="00F64776" w:rsidRDefault="00F64776" w:rsidP="00F64776">
      <w:pPr>
        <w:pStyle w:val="TextoNormalNegritaCentrado"/>
        <w:keepNext/>
      </w:pPr>
    </w:p>
    <w:p w14:paraId="30F2EFA5" w14:textId="24A8E5C8"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24B8A829" w14:textId="77777777" w:rsidR="00F64776" w:rsidRDefault="00F64776" w:rsidP="00F64776">
      <w:pPr>
        <w:pStyle w:val="TextoNormal"/>
      </w:pPr>
    </w:p>
    <w:p w14:paraId="0B173A08" w14:textId="77777777" w:rsidR="00F64776" w:rsidRDefault="00F64776" w:rsidP="00F64776">
      <w:pPr>
        <w:pStyle w:val="TextoNormal"/>
      </w:pPr>
      <w:r>
        <w:t>Por lo expuesto, la Sección</w:t>
      </w:r>
    </w:p>
    <w:p w14:paraId="43992E0A" w14:textId="6688043B" w:rsidR="00F64776" w:rsidRDefault="00F64776" w:rsidP="00F64776">
      <w:pPr>
        <w:pStyle w:val="TextoNormal"/>
      </w:pPr>
    </w:p>
    <w:p w14:paraId="623076DD" w14:textId="77777777" w:rsidR="00F64776" w:rsidRDefault="00F64776" w:rsidP="00F64776">
      <w:pPr>
        <w:pStyle w:val="TextoNormalCentrado"/>
      </w:pPr>
      <w:r>
        <w:t>ACUERDA</w:t>
      </w:r>
    </w:p>
    <w:p w14:paraId="0601F010" w14:textId="136343E5" w:rsidR="00F64776" w:rsidRDefault="00F64776" w:rsidP="00F64776">
      <w:pPr>
        <w:pStyle w:val="TextoNormalCentrado"/>
      </w:pPr>
    </w:p>
    <w:p w14:paraId="77A2553F" w14:textId="29AD455A" w:rsidR="00F64776" w:rsidRDefault="00F64776" w:rsidP="00F64776">
      <w:pPr>
        <w:pStyle w:val="TextoNormal"/>
      </w:pPr>
      <w:r>
        <w:t>Estimar justificada la abstención formulada por el magistrado señor don César Tolosa Tribiño en el recurso de amparo núm. 2446-2023 y apartarle definitivamente del conocimiento del referido recurso y de todas sus incidencias.</w:t>
      </w:r>
    </w:p>
    <w:p w14:paraId="7BEE8A63" w14:textId="77777777" w:rsidR="00F64776" w:rsidRDefault="00F64776" w:rsidP="00F64776">
      <w:pPr>
        <w:pStyle w:val="TextoNormal"/>
      </w:pPr>
    </w:p>
    <w:p w14:paraId="054ACF2F" w14:textId="77777777" w:rsidR="00F64776" w:rsidRDefault="00F64776" w:rsidP="00F64776">
      <w:pPr>
        <w:pStyle w:val="TextoNormal"/>
      </w:pPr>
      <w:r>
        <w:t>Madrid, a cuatro de septiembre de dos mil veintitrés.</w:t>
      </w:r>
    </w:p>
    <w:p w14:paraId="34DA8B55" w14:textId="3F201232" w:rsidR="00F64776" w:rsidRDefault="00F64776">
      <w:pPr>
        <w:spacing w:after="160" w:line="278" w:lineRule="auto"/>
        <w:rPr>
          <w:rFonts w:ascii="Times New Roman" w:eastAsia="Times New Roman" w:hAnsi="Times New Roman" w:cs="Times New Roman"/>
          <w:sz w:val="24"/>
          <w:szCs w:val="24"/>
          <w:lang w:eastAsia="es-ES"/>
        </w:rPr>
      </w:pPr>
      <w:r>
        <w:br w:type="page"/>
      </w:r>
    </w:p>
    <w:p w14:paraId="0E6AAEAB" w14:textId="77777777" w:rsidR="00F64776" w:rsidRDefault="00F64776" w:rsidP="00F64776">
      <w:pPr>
        <w:pStyle w:val="TtuloResolucin"/>
      </w:pPr>
      <w:bookmarkStart w:id="197" w:name="AUTO_2023_412"/>
      <w:r>
        <w:t>AUTO 412/2023, de 4 de septiembre de 2023</w:t>
      </w:r>
    </w:p>
    <w:bookmarkEnd w:id="197"/>
    <w:p w14:paraId="7A64FE1C" w14:textId="77777777" w:rsidR="00F64776" w:rsidRDefault="00F64776" w:rsidP="00F64776">
      <w:pPr>
        <w:pStyle w:val="TtuloResolucin"/>
      </w:pPr>
      <w:r>
        <w:t>Sección Tercera</w:t>
      </w:r>
    </w:p>
    <w:p w14:paraId="5CA17108" w14:textId="77777777" w:rsidR="00F64776" w:rsidRDefault="00F64776" w:rsidP="00F64776">
      <w:pPr>
        <w:pStyle w:val="TextoNormalCentrado"/>
      </w:pPr>
      <w:r>
        <w:t>ECLI:ES:TC:2023:412A</w:t>
      </w:r>
    </w:p>
    <w:p w14:paraId="293BA52D" w14:textId="703C8404" w:rsidR="00F64776" w:rsidRDefault="00F64776" w:rsidP="00F64776">
      <w:pPr>
        <w:pStyle w:val="TextoNormalCentrado"/>
      </w:pPr>
    </w:p>
    <w:p w14:paraId="126FA54D" w14:textId="77777777" w:rsidR="00F64776" w:rsidRDefault="00F64776" w:rsidP="00F64776">
      <w:pPr>
        <w:pStyle w:val="SntesisDescriptiva"/>
      </w:pPr>
      <w:r>
        <w:t>Excms. Srs. doña Inmaculada Montalbán Huertas y doña Laura Díez Bueso.</w:t>
      </w:r>
    </w:p>
    <w:p w14:paraId="28827E1A" w14:textId="312C7ACC" w:rsidR="00F64776" w:rsidRDefault="00F64776" w:rsidP="00F64776">
      <w:pPr>
        <w:pStyle w:val="SntesisDescriptiva"/>
      </w:pPr>
    </w:p>
    <w:p w14:paraId="68A61228" w14:textId="77777777" w:rsidR="00F64776" w:rsidRDefault="00F64776" w:rsidP="00F64776">
      <w:pPr>
        <w:pStyle w:val="SntesisDescriptiva"/>
      </w:pPr>
      <w:r>
        <w:t>Acepta una abstención en el recurso de amparo 2480-2023, promovido en proceso contencioso-administrativo.</w:t>
      </w:r>
    </w:p>
    <w:p w14:paraId="1E265EB0" w14:textId="410B46C0" w:rsidR="00F64776" w:rsidRDefault="00F64776" w:rsidP="00F64776">
      <w:pPr>
        <w:pStyle w:val="SntesisDescriptiva"/>
      </w:pPr>
    </w:p>
    <w:p w14:paraId="75ADEEC3" w14:textId="77777777" w:rsidR="00F64776" w:rsidRDefault="00F64776" w:rsidP="00F64776">
      <w:pPr>
        <w:pStyle w:val="SntesisDescriptiva"/>
      </w:pPr>
    </w:p>
    <w:p w14:paraId="1A107990" w14:textId="77777777" w:rsidR="00F64776" w:rsidRDefault="00F64776" w:rsidP="00F64776">
      <w:pPr>
        <w:pStyle w:val="SntesisDescriptiva"/>
      </w:pPr>
    </w:p>
    <w:p w14:paraId="192AFC15" w14:textId="77777777" w:rsidR="00F64776" w:rsidRDefault="00F64776" w:rsidP="00F64776">
      <w:pPr>
        <w:pStyle w:val="TextoNormalNegritaCentrado"/>
      </w:pPr>
      <w:r>
        <w:t>AUTO</w:t>
      </w:r>
    </w:p>
    <w:p w14:paraId="31335194" w14:textId="18CD5B0F" w:rsidR="00F64776" w:rsidRDefault="00F64776" w:rsidP="00F64776">
      <w:pPr>
        <w:pStyle w:val="TextoNormalNegritaCentrado"/>
      </w:pPr>
    </w:p>
    <w:p w14:paraId="6E653C57" w14:textId="77777777" w:rsidR="00F64776" w:rsidRDefault="00F64776" w:rsidP="00F64776">
      <w:pPr>
        <w:pStyle w:val="TextoNormalNegritaCentrado"/>
        <w:keepNext/>
      </w:pPr>
      <w:r>
        <w:t>I. Antecedentes</w:t>
      </w:r>
    </w:p>
    <w:p w14:paraId="61559D67" w14:textId="2C8466B7" w:rsidR="00F64776" w:rsidRDefault="00F64776" w:rsidP="00F64776">
      <w:pPr>
        <w:pStyle w:val="TextoNormalNegritaCentrado"/>
        <w:keepNext/>
      </w:pPr>
    </w:p>
    <w:p w14:paraId="7CBAC17E" w14:textId="7EB3357E" w:rsidR="00F64776" w:rsidRDefault="00F64776" w:rsidP="00F64776">
      <w:pPr>
        <w:pStyle w:val="TextoNormal"/>
      </w:pPr>
      <w:r w:rsidRPr="00F64776">
        <w:rPr>
          <w:rStyle w:val="NumeroAFNegritaCaracter"/>
        </w:rPr>
        <w:t>1</w:t>
      </w:r>
      <w:r>
        <w:t>. Mediante escrito registrado en este tribunal el 13 de abril de 2023 el procurador de los tribunales don José María Ruiz de la Cuesta Vacas, en nombre y representación de don Francisco Jiménez Morillas y otros y bajo la dirección del letrado don Francisco Javier Araúz de Robles Dávila, interpuso demanda de amparo contra la providencia de 16 de noviembre de 2022 de la Sección Primera de la Sala de lo Contencioso-Administrativo del Tribunal Supremo en recurso de queja núm. 377-2022.</w:t>
      </w:r>
    </w:p>
    <w:p w14:paraId="0544BFAC" w14:textId="77777777" w:rsidR="00F64776" w:rsidRDefault="00F64776" w:rsidP="00F64776">
      <w:pPr>
        <w:pStyle w:val="TextoNormal"/>
      </w:pPr>
    </w:p>
    <w:p w14:paraId="126F42EE" w14:textId="07C1A00A" w:rsidR="00F64776" w:rsidRDefault="00F64776" w:rsidP="00F64776">
      <w:pPr>
        <w:pStyle w:val="TextoNormal"/>
      </w:pPr>
      <w:r w:rsidRPr="00F64776">
        <w:rPr>
          <w:rStyle w:val="NumeroAFNegritaCaracter"/>
        </w:rPr>
        <w:t>2</w:t>
      </w:r>
      <w:r>
        <w:t>. Por escrito de 8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76483B73" w14:textId="77777777" w:rsidR="00F64776" w:rsidRDefault="00F64776" w:rsidP="00F64776">
      <w:pPr>
        <w:pStyle w:val="TextoNormal"/>
      </w:pPr>
    </w:p>
    <w:p w14:paraId="0B838FCC" w14:textId="77777777" w:rsidR="00F64776" w:rsidRDefault="00F64776" w:rsidP="00F64776">
      <w:pPr>
        <w:pStyle w:val="TextoNormalNegritaCentrado"/>
        <w:keepNext/>
      </w:pPr>
      <w:r>
        <w:t>II. Fundamentos jurídicos</w:t>
      </w:r>
    </w:p>
    <w:p w14:paraId="2A630347" w14:textId="33818978" w:rsidR="00F64776" w:rsidRDefault="00F64776" w:rsidP="00F64776">
      <w:pPr>
        <w:pStyle w:val="TextoNormalNegritaCentrado"/>
        <w:keepNext/>
      </w:pPr>
    </w:p>
    <w:p w14:paraId="3A1095EC" w14:textId="234FB728"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542C14F1" w14:textId="77777777" w:rsidR="00F64776" w:rsidRDefault="00F64776" w:rsidP="00F64776">
      <w:pPr>
        <w:pStyle w:val="TextoNormal"/>
      </w:pPr>
    </w:p>
    <w:p w14:paraId="51D00F14" w14:textId="77777777" w:rsidR="00F64776" w:rsidRDefault="00F64776" w:rsidP="00F64776">
      <w:pPr>
        <w:pStyle w:val="TextoNormal"/>
      </w:pPr>
      <w:r>
        <w:t>Por lo expuesto, la Sección</w:t>
      </w:r>
    </w:p>
    <w:p w14:paraId="4DA1A07E" w14:textId="4C96D757" w:rsidR="00F64776" w:rsidRDefault="00F64776" w:rsidP="00F64776">
      <w:pPr>
        <w:pStyle w:val="TextoNormal"/>
      </w:pPr>
    </w:p>
    <w:p w14:paraId="6D1823AA" w14:textId="77777777" w:rsidR="00F64776" w:rsidRDefault="00F64776" w:rsidP="00F64776">
      <w:pPr>
        <w:pStyle w:val="TextoNormalCentrado"/>
      </w:pPr>
      <w:r>
        <w:t>ACUERDA</w:t>
      </w:r>
    </w:p>
    <w:p w14:paraId="113DABB0" w14:textId="05F041C7" w:rsidR="00F64776" w:rsidRDefault="00F64776" w:rsidP="00F64776">
      <w:pPr>
        <w:pStyle w:val="TextoNormalCentrado"/>
      </w:pPr>
    </w:p>
    <w:p w14:paraId="463CE0BD" w14:textId="288694AB" w:rsidR="00F64776" w:rsidRDefault="00F64776" w:rsidP="00F64776">
      <w:pPr>
        <w:pStyle w:val="TextoNormal"/>
      </w:pPr>
      <w:r>
        <w:t>Estimar justificada la abstención formulada por el magistrado señor don César Tolosa Tribiño en el recurso de amparo núm. 2480-2023 y apartarle definitivamente del conocimiento del referido recurso y de todas sus incidencias.</w:t>
      </w:r>
    </w:p>
    <w:p w14:paraId="44AE7375" w14:textId="77777777" w:rsidR="00F64776" w:rsidRDefault="00F64776" w:rsidP="00F64776">
      <w:pPr>
        <w:pStyle w:val="TextoNormal"/>
      </w:pPr>
    </w:p>
    <w:p w14:paraId="597491A8" w14:textId="77777777" w:rsidR="00F64776" w:rsidRDefault="00F64776" w:rsidP="00F64776">
      <w:pPr>
        <w:pStyle w:val="TextoNormal"/>
      </w:pPr>
      <w:r>
        <w:t>Madrid, a cuatro de septiembre de dos mil veintitrés.</w:t>
      </w:r>
    </w:p>
    <w:p w14:paraId="178962C8" w14:textId="0C9F4F34" w:rsidR="00F64776" w:rsidRDefault="00F64776">
      <w:pPr>
        <w:spacing w:after="160" w:line="278" w:lineRule="auto"/>
        <w:rPr>
          <w:rFonts w:ascii="Times New Roman" w:eastAsia="Times New Roman" w:hAnsi="Times New Roman" w:cs="Times New Roman"/>
          <w:sz w:val="24"/>
          <w:szCs w:val="24"/>
          <w:lang w:eastAsia="es-ES"/>
        </w:rPr>
      </w:pPr>
      <w:r>
        <w:br w:type="page"/>
      </w:r>
    </w:p>
    <w:p w14:paraId="792C12CC" w14:textId="77777777" w:rsidR="00F64776" w:rsidRDefault="00F64776" w:rsidP="00F64776">
      <w:pPr>
        <w:pStyle w:val="TtuloResolucin"/>
      </w:pPr>
      <w:bookmarkStart w:id="198" w:name="AUTO_2023_413"/>
      <w:r>
        <w:t>AUTO 413/2023, de 4 de septiembre de 2023</w:t>
      </w:r>
    </w:p>
    <w:bookmarkEnd w:id="198"/>
    <w:p w14:paraId="78A0E1FB" w14:textId="77777777" w:rsidR="00F64776" w:rsidRDefault="00F64776" w:rsidP="00F64776">
      <w:pPr>
        <w:pStyle w:val="TtuloResolucin"/>
      </w:pPr>
      <w:r>
        <w:t>Sección Tercera</w:t>
      </w:r>
    </w:p>
    <w:p w14:paraId="1C6732D4" w14:textId="77777777" w:rsidR="00F64776" w:rsidRDefault="00F64776" w:rsidP="00F64776">
      <w:pPr>
        <w:pStyle w:val="TextoNormalCentrado"/>
      </w:pPr>
      <w:r>
        <w:t>ECLI:ES:TC:2023:413A</w:t>
      </w:r>
    </w:p>
    <w:p w14:paraId="5A6B6306" w14:textId="64C2B358" w:rsidR="00F64776" w:rsidRDefault="00F64776" w:rsidP="00F64776">
      <w:pPr>
        <w:pStyle w:val="TextoNormalCentrado"/>
      </w:pPr>
    </w:p>
    <w:p w14:paraId="25E3A296" w14:textId="77777777" w:rsidR="00F64776" w:rsidRDefault="00F64776" w:rsidP="00F64776">
      <w:pPr>
        <w:pStyle w:val="SntesisDescriptiva"/>
      </w:pPr>
      <w:r>
        <w:t>Excms. Srs. doña Inmaculada Montalbán Huertas y doña Laura Díez Bueso.</w:t>
      </w:r>
    </w:p>
    <w:p w14:paraId="72DA4237" w14:textId="3A2B302B" w:rsidR="00F64776" w:rsidRDefault="00F64776" w:rsidP="00F64776">
      <w:pPr>
        <w:pStyle w:val="SntesisDescriptiva"/>
      </w:pPr>
    </w:p>
    <w:p w14:paraId="34C5037E" w14:textId="77777777" w:rsidR="00F64776" w:rsidRDefault="00F64776" w:rsidP="00F64776">
      <w:pPr>
        <w:pStyle w:val="SntesisDescriptiva"/>
      </w:pPr>
      <w:r>
        <w:t>Acepta una abstención en el recurso de amparo 2514-2023, promovido en proceso contencioso-administrativo.</w:t>
      </w:r>
    </w:p>
    <w:p w14:paraId="50D58587" w14:textId="2A70644F" w:rsidR="00F64776" w:rsidRDefault="00F64776" w:rsidP="00F64776">
      <w:pPr>
        <w:pStyle w:val="SntesisDescriptiva"/>
      </w:pPr>
    </w:p>
    <w:p w14:paraId="45FB34C2" w14:textId="77777777" w:rsidR="00F64776" w:rsidRDefault="00F64776" w:rsidP="00F64776">
      <w:pPr>
        <w:pStyle w:val="SntesisDescriptiva"/>
      </w:pPr>
    </w:p>
    <w:p w14:paraId="6374C232" w14:textId="77777777" w:rsidR="00F64776" w:rsidRDefault="00F64776" w:rsidP="00F64776">
      <w:pPr>
        <w:pStyle w:val="SntesisDescriptiva"/>
      </w:pPr>
    </w:p>
    <w:p w14:paraId="146F1B23" w14:textId="77777777" w:rsidR="00F64776" w:rsidRDefault="00F64776" w:rsidP="00F64776">
      <w:pPr>
        <w:pStyle w:val="TextoNormalNegritaCentrado"/>
      </w:pPr>
      <w:r>
        <w:t>AUTO</w:t>
      </w:r>
    </w:p>
    <w:p w14:paraId="4EAC7E31" w14:textId="4A720D25" w:rsidR="00F64776" w:rsidRDefault="00F64776" w:rsidP="00F64776">
      <w:pPr>
        <w:pStyle w:val="TextoNormalNegritaCentrado"/>
      </w:pPr>
    </w:p>
    <w:p w14:paraId="5D47F6CA" w14:textId="77777777" w:rsidR="00F64776" w:rsidRDefault="00F64776" w:rsidP="00F64776">
      <w:pPr>
        <w:pStyle w:val="TextoNormalNegritaCentrado"/>
        <w:keepNext/>
      </w:pPr>
      <w:r>
        <w:t>I. Antecedentes</w:t>
      </w:r>
    </w:p>
    <w:p w14:paraId="1AD7A9FC" w14:textId="5EA0E397" w:rsidR="00F64776" w:rsidRDefault="00F64776" w:rsidP="00F64776">
      <w:pPr>
        <w:pStyle w:val="TextoNormalNegritaCentrado"/>
        <w:keepNext/>
      </w:pPr>
    </w:p>
    <w:p w14:paraId="3C48741C" w14:textId="57374D21" w:rsidR="00F64776" w:rsidRDefault="00F64776" w:rsidP="00F64776">
      <w:pPr>
        <w:pStyle w:val="TextoNormal"/>
      </w:pPr>
      <w:r w:rsidRPr="00F64776">
        <w:rPr>
          <w:rStyle w:val="NumeroAFNegritaCaracter"/>
        </w:rPr>
        <w:t>1</w:t>
      </w:r>
      <w:r>
        <w:t>. Mediante escrito registrado en este tribunal el 16 de abril de 2023 la procuradora de los tribunales doña Ana María Araúz de Robles Villalón, en nombre y representación de doña María Mercedes Sánchez Sopeña y otros y bajo la dirección del letrado don Francisco Javier Araúz de Robles Dávila, interpuso demanda de amparo contra providencia y auto de 16 de noviembre de 2022 dictada por la Sección Primera de la Sala de lo Contencioso-Administrativo del Tribunal Supremo en recurso de queja núm. 396-2022.</w:t>
      </w:r>
    </w:p>
    <w:p w14:paraId="59C6FF9F" w14:textId="77777777" w:rsidR="00F64776" w:rsidRDefault="00F64776" w:rsidP="00F64776">
      <w:pPr>
        <w:pStyle w:val="TextoNormal"/>
      </w:pPr>
    </w:p>
    <w:p w14:paraId="12E7E723" w14:textId="00E53552" w:rsidR="00F64776" w:rsidRDefault="00F64776" w:rsidP="00F64776">
      <w:pPr>
        <w:pStyle w:val="TextoNormal"/>
      </w:pPr>
      <w:r w:rsidRPr="00F64776">
        <w:rPr>
          <w:rStyle w:val="NumeroAFNegritaCaracter"/>
        </w:rPr>
        <w:t>2</w:t>
      </w:r>
      <w:r>
        <w:t>. Por escrito de 3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21D5F11A" w14:textId="77777777" w:rsidR="00F64776" w:rsidRDefault="00F64776" w:rsidP="00F64776">
      <w:pPr>
        <w:pStyle w:val="TextoNormal"/>
      </w:pPr>
    </w:p>
    <w:p w14:paraId="73F5D457" w14:textId="77777777" w:rsidR="00F64776" w:rsidRDefault="00F64776" w:rsidP="00F64776">
      <w:pPr>
        <w:pStyle w:val="TextoNormalNegritaCentrado"/>
        <w:keepNext/>
      </w:pPr>
      <w:r>
        <w:t>II. Fundamentos jurídicos</w:t>
      </w:r>
    </w:p>
    <w:p w14:paraId="3969A383" w14:textId="24B2A1CC" w:rsidR="00F64776" w:rsidRDefault="00F64776" w:rsidP="00F64776">
      <w:pPr>
        <w:pStyle w:val="TextoNormalNegritaCentrado"/>
        <w:keepNext/>
      </w:pPr>
    </w:p>
    <w:p w14:paraId="6C305180" w14:textId="45B1A4DF"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11043301" w14:textId="77777777" w:rsidR="00F64776" w:rsidRDefault="00F64776" w:rsidP="00F64776">
      <w:pPr>
        <w:pStyle w:val="TextoNormal"/>
      </w:pPr>
    </w:p>
    <w:p w14:paraId="1A73E9A0" w14:textId="77777777" w:rsidR="00F64776" w:rsidRDefault="00F64776" w:rsidP="00F64776">
      <w:pPr>
        <w:pStyle w:val="TextoNormal"/>
      </w:pPr>
      <w:r>
        <w:t>Por lo expuesto, la Sección</w:t>
      </w:r>
    </w:p>
    <w:p w14:paraId="5A1AC89D" w14:textId="508F09B3" w:rsidR="00F64776" w:rsidRDefault="00F64776" w:rsidP="00F64776">
      <w:pPr>
        <w:pStyle w:val="TextoNormal"/>
      </w:pPr>
    </w:p>
    <w:p w14:paraId="2661C624" w14:textId="77777777" w:rsidR="00F64776" w:rsidRDefault="00F64776" w:rsidP="00F64776">
      <w:pPr>
        <w:pStyle w:val="TextoNormalCentrado"/>
      </w:pPr>
      <w:r>
        <w:t>ACUERDA</w:t>
      </w:r>
    </w:p>
    <w:p w14:paraId="00F36C3A" w14:textId="158B91B7" w:rsidR="00F64776" w:rsidRDefault="00F64776" w:rsidP="00F64776">
      <w:pPr>
        <w:pStyle w:val="TextoNormalCentrado"/>
      </w:pPr>
    </w:p>
    <w:p w14:paraId="3FD8BE44" w14:textId="7907FA6F" w:rsidR="00F64776" w:rsidRDefault="00F64776" w:rsidP="00F64776">
      <w:pPr>
        <w:pStyle w:val="TextoNormal"/>
      </w:pPr>
      <w:r>
        <w:t>Estimar justificada la abstención formulada por el magistrado señor don César Tolosa Tribiño en el recurso de amparo núm. 2514-2023 y apartarle definitivamente del conocimiento del referido recurso y de todas sus incidencias.</w:t>
      </w:r>
    </w:p>
    <w:p w14:paraId="4CF12357" w14:textId="77777777" w:rsidR="00F64776" w:rsidRDefault="00F64776" w:rsidP="00F64776">
      <w:pPr>
        <w:pStyle w:val="TextoNormal"/>
      </w:pPr>
    </w:p>
    <w:p w14:paraId="18FBFFA0" w14:textId="77777777" w:rsidR="00F64776" w:rsidRDefault="00F64776" w:rsidP="00F64776">
      <w:pPr>
        <w:pStyle w:val="TextoNormal"/>
      </w:pPr>
      <w:r>
        <w:t>Madrid, a cuatro de septiembre de dos mil veintitrés.</w:t>
      </w:r>
    </w:p>
    <w:p w14:paraId="57704582" w14:textId="0927671E" w:rsidR="00F64776" w:rsidRDefault="00F64776">
      <w:pPr>
        <w:spacing w:after="160" w:line="278" w:lineRule="auto"/>
        <w:rPr>
          <w:rFonts w:ascii="Times New Roman" w:eastAsia="Times New Roman" w:hAnsi="Times New Roman" w:cs="Times New Roman"/>
          <w:sz w:val="24"/>
          <w:szCs w:val="24"/>
          <w:lang w:eastAsia="es-ES"/>
        </w:rPr>
      </w:pPr>
      <w:r>
        <w:br w:type="page"/>
      </w:r>
    </w:p>
    <w:p w14:paraId="65DEE4C5" w14:textId="77777777" w:rsidR="00F64776" w:rsidRDefault="00F64776" w:rsidP="00F64776">
      <w:pPr>
        <w:pStyle w:val="TtuloResolucin"/>
      </w:pPr>
      <w:bookmarkStart w:id="199" w:name="AUTO_2023_414"/>
      <w:r>
        <w:t>AUTO 414/2023, de 4 de septiembre de 2023</w:t>
      </w:r>
    </w:p>
    <w:bookmarkEnd w:id="199"/>
    <w:p w14:paraId="1F0640CD" w14:textId="77777777" w:rsidR="00F64776" w:rsidRDefault="00F64776" w:rsidP="00F64776">
      <w:pPr>
        <w:pStyle w:val="TtuloResolucin"/>
      </w:pPr>
      <w:r>
        <w:t>Sección Tercera</w:t>
      </w:r>
    </w:p>
    <w:p w14:paraId="20EF909F" w14:textId="77777777" w:rsidR="00F64776" w:rsidRDefault="00F64776" w:rsidP="00F64776">
      <w:pPr>
        <w:pStyle w:val="TextoNormalCentrado"/>
      </w:pPr>
      <w:r>
        <w:t>ECLI:ES:TC:2023:414A</w:t>
      </w:r>
    </w:p>
    <w:p w14:paraId="27BBDB86" w14:textId="6CE17918" w:rsidR="00F64776" w:rsidRDefault="00F64776" w:rsidP="00F64776">
      <w:pPr>
        <w:pStyle w:val="TextoNormalCentrado"/>
      </w:pPr>
    </w:p>
    <w:p w14:paraId="6974ECC2" w14:textId="77777777" w:rsidR="00F64776" w:rsidRDefault="00F64776" w:rsidP="00F64776">
      <w:pPr>
        <w:pStyle w:val="SntesisDescriptiva"/>
      </w:pPr>
      <w:r>
        <w:t>Excms. Srs. doña Inmaculada Montalbán Huertas y doña Laura Díez Bueso.</w:t>
      </w:r>
    </w:p>
    <w:p w14:paraId="2B6BB9DC" w14:textId="5EC5E87D" w:rsidR="00F64776" w:rsidRDefault="00F64776" w:rsidP="00F64776">
      <w:pPr>
        <w:pStyle w:val="SntesisDescriptiva"/>
      </w:pPr>
    </w:p>
    <w:p w14:paraId="64080377" w14:textId="77777777" w:rsidR="00F64776" w:rsidRDefault="00F64776" w:rsidP="00F64776">
      <w:pPr>
        <w:pStyle w:val="SntesisDescriptiva"/>
      </w:pPr>
      <w:r>
        <w:t>Acepta una abstención en el recurso de amparo 2615-2023, promovido en proceso contencioso-administrativo.</w:t>
      </w:r>
    </w:p>
    <w:p w14:paraId="61CFD554" w14:textId="7D37E2E2" w:rsidR="00F64776" w:rsidRDefault="00F64776" w:rsidP="00F64776">
      <w:pPr>
        <w:pStyle w:val="SntesisDescriptiva"/>
      </w:pPr>
    </w:p>
    <w:p w14:paraId="3995B9D3" w14:textId="77777777" w:rsidR="00F64776" w:rsidRDefault="00F64776" w:rsidP="00F64776">
      <w:pPr>
        <w:pStyle w:val="SntesisDescriptiva"/>
      </w:pPr>
    </w:p>
    <w:p w14:paraId="5C1AC25B" w14:textId="77777777" w:rsidR="00F64776" w:rsidRDefault="00F64776" w:rsidP="00F64776">
      <w:pPr>
        <w:pStyle w:val="SntesisDescriptiva"/>
      </w:pPr>
    </w:p>
    <w:p w14:paraId="75CCFABE" w14:textId="77777777" w:rsidR="00F64776" w:rsidRDefault="00F64776" w:rsidP="00F64776">
      <w:pPr>
        <w:pStyle w:val="TextoNormalNegritaCentrado"/>
      </w:pPr>
      <w:r>
        <w:t>AUTO</w:t>
      </w:r>
    </w:p>
    <w:p w14:paraId="03BF7D5C" w14:textId="6438E599" w:rsidR="00F64776" w:rsidRDefault="00F64776" w:rsidP="00F64776">
      <w:pPr>
        <w:pStyle w:val="TextoNormalNegritaCentrado"/>
      </w:pPr>
    </w:p>
    <w:p w14:paraId="44F206D2" w14:textId="77777777" w:rsidR="00F64776" w:rsidRDefault="00F64776" w:rsidP="00F64776">
      <w:pPr>
        <w:pStyle w:val="TextoNormalNegritaCentrado"/>
        <w:keepNext/>
      </w:pPr>
      <w:r>
        <w:t>I. Antecedentes</w:t>
      </w:r>
    </w:p>
    <w:p w14:paraId="63DF1133" w14:textId="7FA3AB5D" w:rsidR="00F64776" w:rsidRDefault="00F64776" w:rsidP="00F64776">
      <w:pPr>
        <w:pStyle w:val="TextoNormalNegritaCentrado"/>
        <w:keepNext/>
      </w:pPr>
    </w:p>
    <w:p w14:paraId="18374370" w14:textId="220BC3EF" w:rsidR="00F64776" w:rsidRDefault="00F64776" w:rsidP="00F64776">
      <w:pPr>
        <w:pStyle w:val="TextoNormal"/>
      </w:pPr>
      <w:r w:rsidRPr="00F64776">
        <w:rPr>
          <w:rStyle w:val="NumeroAFNegritaCaracter"/>
        </w:rPr>
        <w:t>1</w:t>
      </w:r>
      <w:r>
        <w:t>. Mediante escrito registrado en este tribunal el 20 de abril de 2023 el procurador de los tribunales don José María Ruiz de la Cuesta Vacas, en nombre y representación de don Juan María González del Castillo y otros y bajo la dirección del letrado don Francisco Javier Araúz de Robles Dávila, interpuso demanda de amparo contra auto y providencia de la Sección Primera de la Sala de lo Contencioso-Administrativo del Tribunal Supremo en recurso de queja núm. 368-2022.</w:t>
      </w:r>
    </w:p>
    <w:p w14:paraId="16722B6C" w14:textId="77777777" w:rsidR="00F64776" w:rsidRDefault="00F64776" w:rsidP="00F64776">
      <w:pPr>
        <w:pStyle w:val="TextoNormal"/>
      </w:pPr>
    </w:p>
    <w:p w14:paraId="40384AE3" w14:textId="21F575DA" w:rsidR="00F64776" w:rsidRDefault="00F64776" w:rsidP="00F64776">
      <w:pPr>
        <w:pStyle w:val="TextoNormal"/>
      </w:pPr>
      <w:r w:rsidRPr="00F64776">
        <w:rPr>
          <w:rStyle w:val="NumeroAFNegritaCaracter"/>
        </w:rPr>
        <w:t>2</w:t>
      </w:r>
      <w:r>
        <w:t>. Por escrito de 29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67CE602E" w14:textId="77777777" w:rsidR="00F64776" w:rsidRDefault="00F64776" w:rsidP="00F64776">
      <w:pPr>
        <w:pStyle w:val="TextoNormal"/>
      </w:pPr>
    </w:p>
    <w:p w14:paraId="5BFA8493" w14:textId="77777777" w:rsidR="00F64776" w:rsidRDefault="00F64776" w:rsidP="00F64776">
      <w:pPr>
        <w:pStyle w:val="TextoNormalNegritaCentrado"/>
        <w:keepNext/>
      </w:pPr>
      <w:r>
        <w:t>II. Fundamentos jurídicos</w:t>
      </w:r>
    </w:p>
    <w:p w14:paraId="6330D66B" w14:textId="639EBE61" w:rsidR="00F64776" w:rsidRDefault="00F64776" w:rsidP="00F64776">
      <w:pPr>
        <w:pStyle w:val="TextoNormalNegritaCentrado"/>
        <w:keepNext/>
      </w:pPr>
    </w:p>
    <w:p w14:paraId="051FE474" w14:textId="16CB03E3"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705129CE" w14:textId="77777777" w:rsidR="00F64776" w:rsidRDefault="00F64776" w:rsidP="00F64776">
      <w:pPr>
        <w:pStyle w:val="TextoNormal"/>
      </w:pPr>
    </w:p>
    <w:p w14:paraId="2BBB380C" w14:textId="77777777" w:rsidR="00F64776" w:rsidRDefault="00F64776" w:rsidP="00F64776">
      <w:pPr>
        <w:pStyle w:val="TextoNormal"/>
      </w:pPr>
      <w:r>
        <w:t>Por lo expuesto, la Sección</w:t>
      </w:r>
    </w:p>
    <w:p w14:paraId="2A92F95F" w14:textId="6375729F" w:rsidR="00F64776" w:rsidRDefault="00F64776" w:rsidP="00F64776">
      <w:pPr>
        <w:pStyle w:val="TextoNormal"/>
      </w:pPr>
    </w:p>
    <w:p w14:paraId="0BA6E30F" w14:textId="77777777" w:rsidR="00F64776" w:rsidRDefault="00F64776" w:rsidP="00F64776">
      <w:pPr>
        <w:pStyle w:val="TextoNormalCentrado"/>
      </w:pPr>
      <w:r>
        <w:t>ACUERDA</w:t>
      </w:r>
    </w:p>
    <w:p w14:paraId="00DDD047" w14:textId="588BF0EF" w:rsidR="00F64776" w:rsidRDefault="00F64776" w:rsidP="00F64776">
      <w:pPr>
        <w:pStyle w:val="TextoNormalCentrado"/>
      </w:pPr>
    </w:p>
    <w:p w14:paraId="3EC161D7" w14:textId="1BD3395E" w:rsidR="00F64776" w:rsidRDefault="00F64776" w:rsidP="00F64776">
      <w:pPr>
        <w:pStyle w:val="TextoNormal"/>
      </w:pPr>
      <w:r>
        <w:t>Estimar justificada la abstención formulada por el magistrado señor don César Tolosa Tribiño en el recurso de amparo núm. 2615-2023 y apartarle definitivamente del conocimiento del referido recurso y de todas sus incidencias.</w:t>
      </w:r>
    </w:p>
    <w:p w14:paraId="415D125F" w14:textId="77777777" w:rsidR="00F64776" w:rsidRDefault="00F64776" w:rsidP="00F64776">
      <w:pPr>
        <w:pStyle w:val="TextoNormal"/>
      </w:pPr>
    </w:p>
    <w:p w14:paraId="77FC318B" w14:textId="77777777" w:rsidR="00F64776" w:rsidRDefault="00F64776" w:rsidP="00F64776">
      <w:pPr>
        <w:pStyle w:val="TextoNormal"/>
      </w:pPr>
      <w:r>
        <w:t>Madrid, a cuatro de septiembre de dos mil veintitrés.</w:t>
      </w:r>
    </w:p>
    <w:p w14:paraId="6CBAC892" w14:textId="54AD7216" w:rsidR="00F64776" w:rsidRDefault="00F64776">
      <w:pPr>
        <w:spacing w:after="160" w:line="278" w:lineRule="auto"/>
        <w:rPr>
          <w:rFonts w:ascii="Times New Roman" w:eastAsia="Times New Roman" w:hAnsi="Times New Roman" w:cs="Times New Roman"/>
          <w:sz w:val="24"/>
          <w:szCs w:val="24"/>
          <w:lang w:eastAsia="es-ES"/>
        </w:rPr>
      </w:pPr>
      <w:r>
        <w:br w:type="page"/>
      </w:r>
    </w:p>
    <w:p w14:paraId="78535EEF" w14:textId="77777777" w:rsidR="00F64776" w:rsidRDefault="00F64776" w:rsidP="00F64776">
      <w:pPr>
        <w:pStyle w:val="TtuloResolucin"/>
      </w:pPr>
      <w:bookmarkStart w:id="200" w:name="AUTO_2023_415"/>
      <w:r>
        <w:t>AUTO 415/2023, de 4 de septiembre de 2023</w:t>
      </w:r>
    </w:p>
    <w:bookmarkEnd w:id="200"/>
    <w:p w14:paraId="345712A8" w14:textId="77777777" w:rsidR="00F64776" w:rsidRDefault="00F64776" w:rsidP="00F64776">
      <w:pPr>
        <w:pStyle w:val="TtuloResolucin"/>
      </w:pPr>
      <w:r>
        <w:t>Sección Tercera</w:t>
      </w:r>
    </w:p>
    <w:p w14:paraId="63621B5D" w14:textId="77777777" w:rsidR="00F64776" w:rsidRDefault="00F64776" w:rsidP="00F64776">
      <w:pPr>
        <w:pStyle w:val="TextoNormalCentrado"/>
      </w:pPr>
      <w:r>
        <w:t>ECLI:ES:TC:2023:415A</w:t>
      </w:r>
    </w:p>
    <w:p w14:paraId="69F43EEB" w14:textId="5A1E9C61" w:rsidR="00F64776" w:rsidRDefault="00F64776" w:rsidP="00F64776">
      <w:pPr>
        <w:pStyle w:val="TextoNormalCentrado"/>
      </w:pPr>
    </w:p>
    <w:p w14:paraId="2B55DA88" w14:textId="77777777" w:rsidR="00F64776" w:rsidRDefault="00F64776" w:rsidP="00F64776">
      <w:pPr>
        <w:pStyle w:val="SntesisDescriptiva"/>
      </w:pPr>
      <w:r>
        <w:t>Excms. Srs. doña Inmaculada Montalbán Huertas y doña Laura Díez Bueso.</w:t>
      </w:r>
    </w:p>
    <w:p w14:paraId="42FDA28B" w14:textId="1751772E" w:rsidR="00F64776" w:rsidRDefault="00F64776" w:rsidP="00F64776">
      <w:pPr>
        <w:pStyle w:val="SntesisDescriptiva"/>
      </w:pPr>
    </w:p>
    <w:p w14:paraId="153A0ADB" w14:textId="77777777" w:rsidR="00F64776" w:rsidRDefault="00F64776" w:rsidP="00F64776">
      <w:pPr>
        <w:pStyle w:val="SntesisDescriptiva"/>
      </w:pPr>
      <w:r>
        <w:t>Acepta una abstención en el recurso de amparo 2723-2023, promovido en proceso contencioso-administrativo.</w:t>
      </w:r>
    </w:p>
    <w:p w14:paraId="10F07B33" w14:textId="74B31503" w:rsidR="00F64776" w:rsidRDefault="00F64776" w:rsidP="00F64776">
      <w:pPr>
        <w:pStyle w:val="SntesisDescriptiva"/>
      </w:pPr>
    </w:p>
    <w:p w14:paraId="35B99C69" w14:textId="77777777" w:rsidR="00F64776" w:rsidRDefault="00F64776" w:rsidP="00F64776">
      <w:pPr>
        <w:pStyle w:val="SntesisDescriptiva"/>
      </w:pPr>
    </w:p>
    <w:p w14:paraId="49EB5CA3" w14:textId="77777777" w:rsidR="00F64776" w:rsidRDefault="00F64776" w:rsidP="00F64776">
      <w:pPr>
        <w:pStyle w:val="SntesisDescriptiva"/>
      </w:pPr>
    </w:p>
    <w:p w14:paraId="231D3631" w14:textId="77777777" w:rsidR="00F64776" w:rsidRDefault="00F64776" w:rsidP="00F64776">
      <w:pPr>
        <w:pStyle w:val="TextoNormalNegritaCentrado"/>
      </w:pPr>
      <w:r>
        <w:t>AUTO</w:t>
      </w:r>
    </w:p>
    <w:p w14:paraId="391A6211" w14:textId="4430E710" w:rsidR="00F64776" w:rsidRDefault="00F64776" w:rsidP="00F64776">
      <w:pPr>
        <w:pStyle w:val="TextoNormalNegritaCentrado"/>
      </w:pPr>
    </w:p>
    <w:p w14:paraId="13927A58" w14:textId="77777777" w:rsidR="00F64776" w:rsidRDefault="00F64776" w:rsidP="00F64776">
      <w:pPr>
        <w:pStyle w:val="TextoNormalNegritaCentrado"/>
        <w:keepNext/>
      </w:pPr>
      <w:r>
        <w:t>I. Antecedentes</w:t>
      </w:r>
    </w:p>
    <w:p w14:paraId="546EE0DD" w14:textId="3CB55534" w:rsidR="00F64776" w:rsidRDefault="00F64776" w:rsidP="00F64776">
      <w:pPr>
        <w:pStyle w:val="TextoNormalNegritaCentrado"/>
        <w:keepNext/>
      </w:pPr>
    </w:p>
    <w:p w14:paraId="3C24B926" w14:textId="0EEB403C" w:rsidR="00F64776" w:rsidRDefault="00F64776" w:rsidP="00F64776">
      <w:pPr>
        <w:pStyle w:val="TextoNormal"/>
      </w:pPr>
      <w:r w:rsidRPr="00F64776">
        <w:rPr>
          <w:rStyle w:val="NumeroAFNegritaCaracter"/>
        </w:rPr>
        <w:t>1</w:t>
      </w:r>
      <w:r>
        <w:t>. Mediante escrito registrado en este tribunal el 25 de abril de 2023 la procuradora de los tribunales doña Ana María Araúz de Robles Villalón, en nombre y representación de doña Delfina Martínez Bailez y bajo la dirección del letrado don Francisco Javier Araúz de Robles Dávila, interpuso demanda de amparo contra providencias de la Sección Primera de la Sala de lo Contencioso-Administrativo del Tribunal Supremo en recurso de casación núm. 2844-2022.</w:t>
      </w:r>
    </w:p>
    <w:p w14:paraId="524778AA" w14:textId="77777777" w:rsidR="00F64776" w:rsidRDefault="00F64776" w:rsidP="00F64776">
      <w:pPr>
        <w:pStyle w:val="TextoNormal"/>
      </w:pPr>
    </w:p>
    <w:p w14:paraId="11477987" w14:textId="78A1572C" w:rsidR="00F64776" w:rsidRDefault="00F64776" w:rsidP="00F64776">
      <w:pPr>
        <w:pStyle w:val="TextoNormal"/>
      </w:pPr>
      <w:r w:rsidRPr="00F64776">
        <w:rPr>
          <w:rStyle w:val="NumeroAFNegritaCaracter"/>
        </w:rPr>
        <w:t>2</w:t>
      </w:r>
      <w:r>
        <w:t>. Por escrito de 3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1426A728" w14:textId="77777777" w:rsidR="00F64776" w:rsidRDefault="00F64776" w:rsidP="00F64776">
      <w:pPr>
        <w:pStyle w:val="TextoNormal"/>
      </w:pPr>
    </w:p>
    <w:p w14:paraId="317AE4C5" w14:textId="77777777" w:rsidR="00F64776" w:rsidRDefault="00F64776" w:rsidP="00F64776">
      <w:pPr>
        <w:pStyle w:val="TextoNormalNegritaCentrado"/>
        <w:keepNext/>
      </w:pPr>
      <w:r>
        <w:t>II. Fundamentos jurídicos</w:t>
      </w:r>
    </w:p>
    <w:p w14:paraId="2D3DF803" w14:textId="3D60466F" w:rsidR="00F64776" w:rsidRDefault="00F64776" w:rsidP="00F64776">
      <w:pPr>
        <w:pStyle w:val="TextoNormalNegritaCentrado"/>
        <w:keepNext/>
      </w:pPr>
    </w:p>
    <w:p w14:paraId="66E7CE6B" w14:textId="6111FB39"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6664D765" w14:textId="77777777" w:rsidR="00F64776" w:rsidRDefault="00F64776" w:rsidP="00F64776">
      <w:pPr>
        <w:pStyle w:val="TextoNormal"/>
      </w:pPr>
    </w:p>
    <w:p w14:paraId="0899E51D" w14:textId="77777777" w:rsidR="00F64776" w:rsidRDefault="00F64776" w:rsidP="00F64776">
      <w:pPr>
        <w:pStyle w:val="TextoNormal"/>
      </w:pPr>
      <w:r>
        <w:t>Por lo expuesto, la Sección</w:t>
      </w:r>
    </w:p>
    <w:p w14:paraId="5CD22B9F" w14:textId="05E04A95" w:rsidR="00F64776" w:rsidRDefault="00F64776" w:rsidP="00F64776">
      <w:pPr>
        <w:pStyle w:val="TextoNormal"/>
      </w:pPr>
    </w:p>
    <w:p w14:paraId="1952BF1E" w14:textId="77777777" w:rsidR="00F64776" w:rsidRDefault="00F64776" w:rsidP="00F64776">
      <w:pPr>
        <w:pStyle w:val="TextoNormalCentrado"/>
      </w:pPr>
      <w:r>
        <w:t>ACUERDA</w:t>
      </w:r>
    </w:p>
    <w:p w14:paraId="0E26E91B" w14:textId="05C95F1E" w:rsidR="00F64776" w:rsidRDefault="00F64776" w:rsidP="00F64776">
      <w:pPr>
        <w:pStyle w:val="TextoNormalCentrado"/>
      </w:pPr>
    </w:p>
    <w:p w14:paraId="4D816031" w14:textId="77541875" w:rsidR="00F64776" w:rsidRDefault="00F64776" w:rsidP="00F64776">
      <w:pPr>
        <w:pStyle w:val="TextoNormal"/>
      </w:pPr>
      <w:r>
        <w:t>Estimar justificada la abstención formulada por el magistrado señor don César Tolosa Tribiño en el recurso de amparo núm. 2723-2023 y apartarle definitivamente del conocimiento del referido recurso y de todas sus incidencias.</w:t>
      </w:r>
    </w:p>
    <w:p w14:paraId="28401EC4" w14:textId="77777777" w:rsidR="00F64776" w:rsidRDefault="00F64776" w:rsidP="00F64776">
      <w:pPr>
        <w:pStyle w:val="TextoNormal"/>
      </w:pPr>
    </w:p>
    <w:p w14:paraId="45DF76E3" w14:textId="77777777" w:rsidR="00F64776" w:rsidRDefault="00F64776" w:rsidP="00F64776">
      <w:pPr>
        <w:pStyle w:val="TextoNormal"/>
      </w:pPr>
      <w:r>
        <w:t>Madrid, a cuatro de septiembre de dos mil veintitrés.</w:t>
      </w:r>
    </w:p>
    <w:p w14:paraId="5350EF3A" w14:textId="62F66E18" w:rsidR="00F64776" w:rsidRDefault="00F64776">
      <w:pPr>
        <w:spacing w:after="160" w:line="278" w:lineRule="auto"/>
        <w:rPr>
          <w:rFonts w:ascii="Times New Roman" w:eastAsia="Times New Roman" w:hAnsi="Times New Roman" w:cs="Times New Roman"/>
          <w:sz w:val="24"/>
          <w:szCs w:val="24"/>
          <w:lang w:eastAsia="es-ES"/>
        </w:rPr>
      </w:pPr>
      <w:r>
        <w:br w:type="page"/>
      </w:r>
    </w:p>
    <w:p w14:paraId="59C9C4F2" w14:textId="77777777" w:rsidR="00F64776" w:rsidRDefault="00F64776" w:rsidP="00F64776">
      <w:pPr>
        <w:pStyle w:val="TtuloResolucin"/>
      </w:pPr>
      <w:bookmarkStart w:id="201" w:name="AUTO_2023_416"/>
      <w:r>
        <w:t>AUTO 416/2023, de 4 de septiembre de 2023</w:t>
      </w:r>
    </w:p>
    <w:bookmarkEnd w:id="201"/>
    <w:p w14:paraId="19DAAFFD" w14:textId="77777777" w:rsidR="00F64776" w:rsidRDefault="00F64776" w:rsidP="00F64776">
      <w:pPr>
        <w:pStyle w:val="TtuloResolucin"/>
      </w:pPr>
      <w:r>
        <w:t>Sección Tercera</w:t>
      </w:r>
    </w:p>
    <w:p w14:paraId="33C874CC" w14:textId="77777777" w:rsidR="00F64776" w:rsidRDefault="00F64776" w:rsidP="00F64776">
      <w:pPr>
        <w:pStyle w:val="TextoNormalCentrado"/>
      </w:pPr>
      <w:r>
        <w:t>ECLI:ES:TC:2023:416A</w:t>
      </w:r>
    </w:p>
    <w:p w14:paraId="50AA7806" w14:textId="36CB6402" w:rsidR="00F64776" w:rsidRDefault="00F64776" w:rsidP="00F64776">
      <w:pPr>
        <w:pStyle w:val="TextoNormalCentrado"/>
      </w:pPr>
    </w:p>
    <w:p w14:paraId="52140483" w14:textId="77777777" w:rsidR="00F64776" w:rsidRDefault="00F64776" w:rsidP="00F64776">
      <w:pPr>
        <w:pStyle w:val="SntesisDescriptiva"/>
      </w:pPr>
      <w:r>
        <w:t>Excms. Srs. doña Inmaculada Montalbán Huertas y doña Laura Díez Bueso.</w:t>
      </w:r>
    </w:p>
    <w:p w14:paraId="448FEEAA" w14:textId="60C3C972" w:rsidR="00F64776" w:rsidRDefault="00F64776" w:rsidP="00F64776">
      <w:pPr>
        <w:pStyle w:val="SntesisDescriptiva"/>
      </w:pPr>
    </w:p>
    <w:p w14:paraId="5ADCFE00" w14:textId="77777777" w:rsidR="00F64776" w:rsidRDefault="00F64776" w:rsidP="00F64776">
      <w:pPr>
        <w:pStyle w:val="SntesisDescriptiva"/>
      </w:pPr>
      <w:r>
        <w:t>Acepta una abstención en el recurso de amparo 2868-2023, promovido en proceso contencioso-administrativo.</w:t>
      </w:r>
    </w:p>
    <w:p w14:paraId="08DB6DEA" w14:textId="651467BF" w:rsidR="00F64776" w:rsidRDefault="00F64776" w:rsidP="00F64776">
      <w:pPr>
        <w:pStyle w:val="SntesisDescriptiva"/>
      </w:pPr>
    </w:p>
    <w:p w14:paraId="59A6DACD" w14:textId="77777777" w:rsidR="00F64776" w:rsidRDefault="00F64776" w:rsidP="00F64776">
      <w:pPr>
        <w:pStyle w:val="SntesisDescriptiva"/>
      </w:pPr>
    </w:p>
    <w:p w14:paraId="2AE23EDB" w14:textId="77777777" w:rsidR="00F64776" w:rsidRDefault="00F64776" w:rsidP="00F64776">
      <w:pPr>
        <w:pStyle w:val="SntesisDescriptiva"/>
      </w:pPr>
    </w:p>
    <w:p w14:paraId="3E5F3BA9" w14:textId="77777777" w:rsidR="00F64776" w:rsidRDefault="00F64776" w:rsidP="00F64776">
      <w:pPr>
        <w:pStyle w:val="TextoNormalNegritaCentrado"/>
      </w:pPr>
      <w:r>
        <w:t>AUTO</w:t>
      </w:r>
    </w:p>
    <w:p w14:paraId="56EC4A42" w14:textId="41E9B8B1" w:rsidR="00F64776" w:rsidRDefault="00F64776" w:rsidP="00F64776">
      <w:pPr>
        <w:pStyle w:val="TextoNormalNegritaCentrado"/>
      </w:pPr>
    </w:p>
    <w:p w14:paraId="02868BE9" w14:textId="77777777" w:rsidR="00F64776" w:rsidRDefault="00F64776" w:rsidP="00F64776">
      <w:pPr>
        <w:pStyle w:val="TextoNormalNegritaCentrado"/>
        <w:keepNext/>
      </w:pPr>
      <w:r>
        <w:t>I. Antecedentes</w:t>
      </w:r>
    </w:p>
    <w:p w14:paraId="09AF2A83" w14:textId="1FFE86D0" w:rsidR="00F64776" w:rsidRDefault="00F64776" w:rsidP="00F64776">
      <w:pPr>
        <w:pStyle w:val="TextoNormalNegritaCentrado"/>
        <w:keepNext/>
      </w:pPr>
    </w:p>
    <w:p w14:paraId="78C932A9" w14:textId="555E32AD" w:rsidR="00F64776" w:rsidRDefault="00F64776" w:rsidP="00F64776">
      <w:pPr>
        <w:pStyle w:val="TextoNormal"/>
      </w:pPr>
      <w:r w:rsidRPr="00F64776">
        <w:rPr>
          <w:rStyle w:val="NumeroAFNegritaCaracter"/>
        </w:rPr>
        <w:t>1</w:t>
      </w:r>
      <w:r>
        <w:t>. Mediante escrito registrado en este tribunal el 3 de mayo de 2023 el procurador de los tribunales don José María Ruiz de la Cuesta Vacas, en nombre y representación de doña María Marrero Reyes y bajo la dirección del letrado don Francisco Javier Araúz de Robles Dávila, interpuso demanda de amparo contra providencias de la Sección Primera de la Sala de lo Contencioso-Administrativo del Tribunal Supremo en recurso de casación núm. 2493-2022.</w:t>
      </w:r>
    </w:p>
    <w:p w14:paraId="18249143" w14:textId="77777777" w:rsidR="00F64776" w:rsidRDefault="00F64776" w:rsidP="00F64776">
      <w:pPr>
        <w:pStyle w:val="TextoNormal"/>
      </w:pPr>
    </w:p>
    <w:p w14:paraId="752B8680" w14:textId="56486869" w:rsidR="00F64776" w:rsidRDefault="00F64776" w:rsidP="00F64776">
      <w:pPr>
        <w:pStyle w:val="TextoNormal"/>
      </w:pPr>
      <w:r w:rsidRPr="00F64776">
        <w:rPr>
          <w:rStyle w:val="NumeroAFNegritaCaracter"/>
        </w:rPr>
        <w:t>2</w:t>
      </w:r>
      <w:r>
        <w:t>. Por escrito de 5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020053EF" w14:textId="77777777" w:rsidR="00F64776" w:rsidRDefault="00F64776" w:rsidP="00F64776">
      <w:pPr>
        <w:pStyle w:val="TextoNormal"/>
      </w:pPr>
    </w:p>
    <w:p w14:paraId="29E3F615" w14:textId="77777777" w:rsidR="00F64776" w:rsidRDefault="00F64776" w:rsidP="00F64776">
      <w:pPr>
        <w:pStyle w:val="TextoNormalNegritaCentrado"/>
        <w:keepNext/>
      </w:pPr>
      <w:r>
        <w:t>II. Fundamentos jurídicos</w:t>
      </w:r>
    </w:p>
    <w:p w14:paraId="6B0C63D4" w14:textId="555E9E19" w:rsidR="00F64776" w:rsidRDefault="00F64776" w:rsidP="00F64776">
      <w:pPr>
        <w:pStyle w:val="TextoNormalNegritaCentrado"/>
        <w:keepNext/>
      </w:pPr>
    </w:p>
    <w:p w14:paraId="74651BD3" w14:textId="4744FB03"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105204CD" w14:textId="77777777" w:rsidR="00F64776" w:rsidRDefault="00F64776" w:rsidP="00F64776">
      <w:pPr>
        <w:pStyle w:val="TextoNormal"/>
      </w:pPr>
    </w:p>
    <w:p w14:paraId="292E46C2" w14:textId="77777777" w:rsidR="00F64776" w:rsidRDefault="00F64776" w:rsidP="00F64776">
      <w:pPr>
        <w:pStyle w:val="TextoNormal"/>
      </w:pPr>
      <w:r>
        <w:t>Por lo expuesto, la Sección</w:t>
      </w:r>
    </w:p>
    <w:p w14:paraId="439CF12F" w14:textId="76DD7715" w:rsidR="00F64776" w:rsidRDefault="00F64776" w:rsidP="00F64776">
      <w:pPr>
        <w:pStyle w:val="TextoNormal"/>
      </w:pPr>
    </w:p>
    <w:p w14:paraId="697A3A9B" w14:textId="77777777" w:rsidR="00F64776" w:rsidRDefault="00F64776" w:rsidP="00F64776">
      <w:pPr>
        <w:pStyle w:val="TextoNormalCentrado"/>
      </w:pPr>
      <w:r>
        <w:t>ACUERDA</w:t>
      </w:r>
    </w:p>
    <w:p w14:paraId="65F45B20" w14:textId="6A58BDE7" w:rsidR="00F64776" w:rsidRDefault="00F64776" w:rsidP="00F64776">
      <w:pPr>
        <w:pStyle w:val="TextoNormalCentrado"/>
      </w:pPr>
    </w:p>
    <w:p w14:paraId="78395962" w14:textId="4B26EB54" w:rsidR="00F64776" w:rsidRDefault="00F64776" w:rsidP="00F64776">
      <w:pPr>
        <w:pStyle w:val="TextoNormal"/>
      </w:pPr>
      <w:r>
        <w:t>Estimar justificada la abstención formulada por el magistrado señor don César Tolosa Tribiño en el recurso de amparo núm. 2868-2023 y apartarle definitivamente del conocimiento del referido recurso y de todas sus incidencias.</w:t>
      </w:r>
    </w:p>
    <w:p w14:paraId="4C33A5A9" w14:textId="77777777" w:rsidR="00F64776" w:rsidRDefault="00F64776" w:rsidP="00F64776">
      <w:pPr>
        <w:pStyle w:val="TextoNormal"/>
      </w:pPr>
    </w:p>
    <w:p w14:paraId="2E66EEC1" w14:textId="77777777" w:rsidR="00F64776" w:rsidRDefault="00F64776" w:rsidP="00F64776">
      <w:pPr>
        <w:pStyle w:val="TextoNormal"/>
      </w:pPr>
      <w:r>
        <w:t>Madrid, a cuatro de septiembre de dos mil veintitrés.</w:t>
      </w:r>
    </w:p>
    <w:p w14:paraId="2AEF13A4" w14:textId="30D1516C" w:rsidR="00F64776" w:rsidRDefault="00F64776">
      <w:pPr>
        <w:spacing w:after="160" w:line="278" w:lineRule="auto"/>
        <w:rPr>
          <w:rFonts w:ascii="Times New Roman" w:eastAsia="Times New Roman" w:hAnsi="Times New Roman" w:cs="Times New Roman"/>
          <w:sz w:val="24"/>
          <w:szCs w:val="24"/>
          <w:lang w:eastAsia="es-ES"/>
        </w:rPr>
      </w:pPr>
      <w:r>
        <w:br w:type="page"/>
      </w:r>
    </w:p>
    <w:p w14:paraId="687BF194" w14:textId="77777777" w:rsidR="00F64776" w:rsidRDefault="00F64776" w:rsidP="00F64776">
      <w:pPr>
        <w:pStyle w:val="TtuloResolucin"/>
      </w:pPr>
      <w:bookmarkStart w:id="202" w:name="AUTO_2023_417"/>
      <w:r>
        <w:t>AUTO 417/2023, de 4 de septiembre de 2023</w:t>
      </w:r>
    </w:p>
    <w:bookmarkEnd w:id="202"/>
    <w:p w14:paraId="123BDA01" w14:textId="77777777" w:rsidR="00F64776" w:rsidRDefault="00F64776" w:rsidP="00F64776">
      <w:pPr>
        <w:pStyle w:val="TtuloResolucin"/>
      </w:pPr>
      <w:r>
        <w:t>Sección Tercera</w:t>
      </w:r>
    </w:p>
    <w:p w14:paraId="644D1903" w14:textId="77777777" w:rsidR="00F64776" w:rsidRDefault="00F64776" w:rsidP="00F64776">
      <w:pPr>
        <w:pStyle w:val="TextoNormalCentrado"/>
      </w:pPr>
      <w:r>
        <w:t>ECLI:ES:TC:2023:417A</w:t>
      </w:r>
    </w:p>
    <w:p w14:paraId="7E8DC24F" w14:textId="1F644238" w:rsidR="00F64776" w:rsidRDefault="00F64776" w:rsidP="00F64776">
      <w:pPr>
        <w:pStyle w:val="TextoNormalCentrado"/>
      </w:pPr>
    </w:p>
    <w:p w14:paraId="5B02C4C8" w14:textId="77777777" w:rsidR="00F64776" w:rsidRDefault="00F64776" w:rsidP="00F64776">
      <w:pPr>
        <w:pStyle w:val="SntesisDescriptiva"/>
      </w:pPr>
      <w:r>
        <w:t>Excms. Srs. doña Inmaculada Montalbán Huertas y doña Laura Díez Bueso.</w:t>
      </w:r>
    </w:p>
    <w:p w14:paraId="54FEFC70" w14:textId="55272D54" w:rsidR="00F64776" w:rsidRDefault="00F64776" w:rsidP="00F64776">
      <w:pPr>
        <w:pStyle w:val="SntesisDescriptiva"/>
      </w:pPr>
    </w:p>
    <w:p w14:paraId="1F07D8B6" w14:textId="77777777" w:rsidR="00F64776" w:rsidRDefault="00F64776" w:rsidP="00F64776">
      <w:pPr>
        <w:pStyle w:val="SntesisDescriptiva"/>
      </w:pPr>
      <w:r>
        <w:t>Acepta una abstención en el recurso de amparo 2964-2023, promovido en proceso contencioso-administrativo.</w:t>
      </w:r>
    </w:p>
    <w:p w14:paraId="592AFD7B" w14:textId="614B40F5" w:rsidR="00F64776" w:rsidRDefault="00F64776" w:rsidP="00F64776">
      <w:pPr>
        <w:pStyle w:val="SntesisDescriptiva"/>
      </w:pPr>
    </w:p>
    <w:p w14:paraId="3C306CFD" w14:textId="77777777" w:rsidR="00F64776" w:rsidRDefault="00F64776" w:rsidP="00F64776">
      <w:pPr>
        <w:pStyle w:val="SntesisDescriptiva"/>
      </w:pPr>
    </w:p>
    <w:p w14:paraId="19B50CCA" w14:textId="77777777" w:rsidR="00F64776" w:rsidRDefault="00F64776" w:rsidP="00F64776">
      <w:pPr>
        <w:pStyle w:val="SntesisDescriptiva"/>
      </w:pPr>
    </w:p>
    <w:p w14:paraId="7E647D12" w14:textId="77777777" w:rsidR="00F64776" w:rsidRDefault="00F64776" w:rsidP="00F64776">
      <w:pPr>
        <w:pStyle w:val="TextoNormalNegritaCentrado"/>
      </w:pPr>
      <w:r>
        <w:t>AUTO</w:t>
      </w:r>
    </w:p>
    <w:p w14:paraId="4B5D9D0A" w14:textId="615E6C10" w:rsidR="00F64776" w:rsidRDefault="00F64776" w:rsidP="00F64776">
      <w:pPr>
        <w:pStyle w:val="TextoNormalNegritaCentrado"/>
      </w:pPr>
    </w:p>
    <w:p w14:paraId="149B9FF4" w14:textId="77777777" w:rsidR="00F64776" w:rsidRDefault="00F64776" w:rsidP="00F64776">
      <w:pPr>
        <w:pStyle w:val="TextoNormalNegritaCentrado"/>
        <w:keepNext/>
      </w:pPr>
      <w:r>
        <w:t>I. Antecedentes</w:t>
      </w:r>
    </w:p>
    <w:p w14:paraId="1AB6B8E3" w14:textId="6EDFA3CB" w:rsidR="00F64776" w:rsidRDefault="00F64776" w:rsidP="00F64776">
      <w:pPr>
        <w:pStyle w:val="TextoNormalNegritaCentrado"/>
        <w:keepNext/>
      </w:pPr>
    </w:p>
    <w:p w14:paraId="2BFEC588" w14:textId="0047F6E0" w:rsidR="00F64776" w:rsidRDefault="00F64776" w:rsidP="00F64776">
      <w:pPr>
        <w:pStyle w:val="TextoNormal"/>
      </w:pPr>
      <w:r w:rsidRPr="00F64776">
        <w:rPr>
          <w:rStyle w:val="NumeroAFNegritaCaracter"/>
        </w:rPr>
        <w:t>1</w:t>
      </w:r>
      <w:r>
        <w:t>. Mediante escrito registrado en este tribunal el 5 de mayo de 2023 la procuradora de los tribunales doña Ana María Araúz de Robles Villalón, en nombre y representación de doña Elena Ciaurriz Martínez y bajo la dirección del letrado don Francisco Javier Araúz de Robles Dávila, interpuso demanda de amparo contra providencia de la Sala de lo Contencioso-Administrativo del Tribunal Supremo en recurso de casación núm. 4811-2022.</w:t>
      </w:r>
    </w:p>
    <w:p w14:paraId="3D408AB6" w14:textId="77777777" w:rsidR="00F64776" w:rsidRDefault="00F64776" w:rsidP="00F64776">
      <w:pPr>
        <w:pStyle w:val="TextoNormal"/>
      </w:pPr>
    </w:p>
    <w:p w14:paraId="22741417" w14:textId="03A348B5" w:rsidR="00F64776" w:rsidRDefault="00F64776" w:rsidP="00F64776">
      <w:pPr>
        <w:pStyle w:val="TextoNormal"/>
      </w:pPr>
      <w:r w:rsidRPr="00F64776">
        <w:rPr>
          <w:rStyle w:val="NumeroAFNegritaCaracter"/>
        </w:rPr>
        <w:t>2</w:t>
      </w:r>
      <w:r>
        <w:t>. Por escrito de 29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00D91C82" w14:textId="77777777" w:rsidR="00F64776" w:rsidRDefault="00F64776" w:rsidP="00F64776">
      <w:pPr>
        <w:pStyle w:val="TextoNormal"/>
      </w:pPr>
    </w:p>
    <w:p w14:paraId="1F0A37F5" w14:textId="77777777" w:rsidR="00F64776" w:rsidRDefault="00F64776" w:rsidP="00F64776">
      <w:pPr>
        <w:pStyle w:val="TextoNormalNegritaCentrado"/>
        <w:keepNext/>
      </w:pPr>
      <w:r>
        <w:t>II. Fundamentos jurídicos</w:t>
      </w:r>
    </w:p>
    <w:p w14:paraId="12BE94DD" w14:textId="346197D3" w:rsidR="00F64776" w:rsidRDefault="00F64776" w:rsidP="00F64776">
      <w:pPr>
        <w:pStyle w:val="TextoNormalNegritaCentrado"/>
        <w:keepNext/>
      </w:pPr>
    </w:p>
    <w:p w14:paraId="1A338E87" w14:textId="6E318EAF"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553A92A9" w14:textId="77777777" w:rsidR="00F64776" w:rsidRDefault="00F64776" w:rsidP="00F64776">
      <w:pPr>
        <w:pStyle w:val="TextoNormal"/>
      </w:pPr>
    </w:p>
    <w:p w14:paraId="3B0BC81B" w14:textId="77777777" w:rsidR="00F64776" w:rsidRDefault="00F64776" w:rsidP="00F64776">
      <w:pPr>
        <w:pStyle w:val="TextoNormal"/>
      </w:pPr>
      <w:r>
        <w:t>Por lo expuesto, la Sección</w:t>
      </w:r>
    </w:p>
    <w:p w14:paraId="3AC1BAF3" w14:textId="352DD9DD" w:rsidR="00F64776" w:rsidRDefault="00F64776" w:rsidP="00F64776">
      <w:pPr>
        <w:pStyle w:val="TextoNormal"/>
      </w:pPr>
    </w:p>
    <w:p w14:paraId="61D5C605" w14:textId="77777777" w:rsidR="00F64776" w:rsidRDefault="00F64776" w:rsidP="00F64776">
      <w:pPr>
        <w:pStyle w:val="TextoNormalCentrado"/>
      </w:pPr>
      <w:r>
        <w:t>ACUERDA</w:t>
      </w:r>
    </w:p>
    <w:p w14:paraId="0C66481B" w14:textId="4AE8D8E6" w:rsidR="00F64776" w:rsidRDefault="00F64776" w:rsidP="00F64776">
      <w:pPr>
        <w:pStyle w:val="TextoNormalCentrado"/>
      </w:pPr>
    </w:p>
    <w:p w14:paraId="30BF818D" w14:textId="3DD9D0B8" w:rsidR="00F64776" w:rsidRDefault="00F64776" w:rsidP="00F64776">
      <w:pPr>
        <w:pStyle w:val="TextoNormal"/>
      </w:pPr>
      <w:r>
        <w:t>Estimar justificada la abstención formulada por el magistrado señor don César Tolosa Tribiño en el recurso de amparo núm. 2964-2023 y apartarle definitivamente del conocimiento del referido recurso y de todas sus incidencias.</w:t>
      </w:r>
    </w:p>
    <w:p w14:paraId="075E7828" w14:textId="77777777" w:rsidR="00F64776" w:rsidRDefault="00F64776" w:rsidP="00F64776">
      <w:pPr>
        <w:pStyle w:val="TextoNormal"/>
      </w:pPr>
    </w:p>
    <w:p w14:paraId="180492AD" w14:textId="77777777" w:rsidR="00F64776" w:rsidRDefault="00F64776" w:rsidP="00F64776">
      <w:pPr>
        <w:pStyle w:val="TextoNormal"/>
      </w:pPr>
      <w:r>
        <w:t>Madrid, a cuatro de septiembre de dos mil veintitrés.</w:t>
      </w:r>
    </w:p>
    <w:p w14:paraId="5C592E4C" w14:textId="64520DE6" w:rsidR="00F64776" w:rsidRDefault="00F64776">
      <w:pPr>
        <w:spacing w:after="160" w:line="278" w:lineRule="auto"/>
        <w:rPr>
          <w:rFonts w:ascii="Times New Roman" w:eastAsia="Times New Roman" w:hAnsi="Times New Roman" w:cs="Times New Roman"/>
          <w:sz w:val="24"/>
          <w:szCs w:val="24"/>
          <w:lang w:eastAsia="es-ES"/>
        </w:rPr>
      </w:pPr>
      <w:r>
        <w:br w:type="page"/>
      </w:r>
    </w:p>
    <w:p w14:paraId="286D68DC" w14:textId="77777777" w:rsidR="00F64776" w:rsidRDefault="00F64776" w:rsidP="00F64776">
      <w:pPr>
        <w:pStyle w:val="TtuloResolucin"/>
      </w:pPr>
      <w:bookmarkStart w:id="203" w:name="AUTO_2023_418"/>
      <w:r>
        <w:t>AUTO 418/2023, de 4 de septiembre de 2023</w:t>
      </w:r>
    </w:p>
    <w:bookmarkEnd w:id="203"/>
    <w:p w14:paraId="1DC9841E" w14:textId="77777777" w:rsidR="00F64776" w:rsidRDefault="00F64776" w:rsidP="00F64776">
      <w:pPr>
        <w:pStyle w:val="TtuloResolucin"/>
      </w:pPr>
      <w:r>
        <w:t>Sección Tercera</w:t>
      </w:r>
    </w:p>
    <w:p w14:paraId="1D3C79DB" w14:textId="77777777" w:rsidR="00F64776" w:rsidRDefault="00F64776" w:rsidP="00F64776">
      <w:pPr>
        <w:pStyle w:val="TextoNormalCentrado"/>
      </w:pPr>
      <w:r>
        <w:t>ECLI:ES:TC:2023:418A</w:t>
      </w:r>
    </w:p>
    <w:p w14:paraId="235C0395" w14:textId="1C023F20" w:rsidR="00F64776" w:rsidRDefault="00F64776" w:rsidP="00F64776">
      <w:pPr>
        <w:pStyle w:val="TextoNormalCentrado"/>
      </w:pPr>
    </w:p>
    <w:p w14:paraId="2EA1ADC0" w14:textId="77777777" w:rsidR="00F64776" w:rsidRDefault="00F64776" w:rsidP="00F64776">
      <w:pPr>
        <w:pStyle w:val="SntesisDescriptiva"/>
      </w:pPr>
      <w:r>
        <w:t>Excms. Srs. doña Inmaculada Montalbán Huertas y doña Laura Díez Bueso.</w:t>
      </w:r>
    </w:p>
    <w:p w14:paraId="3F838BE5" w14:textId="349AB86B" w:rsidR="00F64776" w:rsidRDefault="00F64776" w:rsidP="00F64776">
      <w:pPr>
        <w:pStyle w:val="SntesisDescriptiva"/>
      </w:pPr>
    </w:p>
    <w:p w14:paraId="7CDA494B" w14:textId="77777777" w:rsidR="00F64776" w:rsidRDefault="00F64776" w:rsidP="00F64776">
      <w:pPr>
        <w:pStyle w:val="SntesisDescriptiva"/>
      </w:pPr>
      <w:r>
        <w:t>Acepta una abstención en el recurso de amparo 3039-2023, promovido en proceso contencioso-administrativo.</w:t>
      </w:r>
    </w:p>
    <w:p w14:paraId="0B8B6C73" w14:textId="7ECC40AE" w:rsidR="00F64776" w:rsidRDefault="00F64776" w:rsidP="00F64776">
      <w:pPr>
        <w:pStyle w:val="SntesisDescriptiva"/>
      </w:pPr>
    </w:p>
    <w:p w14:paraId="33C975F0" w14:textId="77777777" w:rsidR="00F64776" w:rsidRDefault="00F64776" w:rsidP="00F64776">
      <w:pPr>
        <w:pStyle w:val="SntesisDescriptiva"/>
      </w:pPr>
    </w:p>
    <w:p w14:paraId="67D6E550" w14:textId="77777777" w:rsidR="00F64776" w:rsidRDefault="00F64776" w:rsidP="00F64776">
      <w:pPr>
        <w:pStyle w:val="SntesisDescriptiva"/>
      </w:pPr>
    </w:p>
    <w:p w14:paraId="08961549" w14:textId="77777777" w:rsidR="00F64776" w:rsidRDefault="00F64776" w:rsidP="00F64776">
      <w:pPr>
        <w:pStyle w:val="TextoNormalNegritaCentrado"/>
      </w:pPr>
      <w:r>
        <w:t>AUTO</w:t>
      </w:r>
    </w:p>
    <w:p w14:paraId="21AC3B8A" w14:textId="6774D82D" w:rsidR="00F64776" w:rsidRDefault="00F64776" w:rsidP="00F64776">
      <w:pPr>
        <w:pStyle w:val="TextoNormalNegritaCentrado"/>
      </w:pPr>
    </w:p>
    <w:p w14:paraId="694E9596" w14:textId="77777777" w:rsidR="00F64776" w:rsidRDefault="00F64776" w:rsidP="00F64776">
      <w:pPr>
        <w:pStyle w:val="TextoNormalNegritaCentrado"/>
        <w:keepNext/>
      </w:pPr>
      <w:r>
        <w:t>I. Antecedentes</w:t>
      </w:r>
    </w:p>
    <w:p w14:paraId="6414167A" w14:textId="71AF3343" w:rsidR="00F64776" w:rsidRDefault="00F64776" w:rsidP="00F64776">
      <w:pPr>
        <w:pStyle w:val="TextoNormalNegritaCentrado"/>
        <w:keepNext/>
      </w:pPr>
    </w:p>
    <w:p w14:paraId="1E21CC4F" w14:textId="6ABDFA11" w:rsidR="00F64776" w:rsidRDefault="00F64776" w:rsidP="00F64776">
      <w:pPr>
        <w:pStyle w:val="TextoNormal"/>
      </w:pPr>
      <w:r w:rsidRPr="00F64776">
        <w:rPr>
          <w:rStyle w:val="NumeroAFNegritaCaracter"/>
        </w:rPr>
        <w:t>1</w:t>
      </w:r>
      <w:r>
        <w:t>. Mediante escrito registrado en este tribunal el 9 de mayo de 2023 el procurador de los tribunales don José María Ruiz de la Cuesta Vacas, en nombre y representación de doña Luz Marta Blázquez Hernanz y bajo la dirección del letrado don Francisco Javier Araúz de Robles Dávila, interpuso demanda de amparo contra providencia y auto de la Sección Primera de la Sala de lo Contencioso-Administrativo del Tribunal Supremo en recurso de queja núm. 403-2022.</w:t>
      </w:r>
    </w:p>
    <w:p w14:paraId="503CBAD9" w14:textId="77777777" w:rsidR="00F64776" w:rsidRDefault="00F64776" w:rsidP="00F64776">
      <w:pPr>
        <w:pStyle w:val="TextoNormal"/>
      </w:pPr>
    </w:p>
    <w:p w14:paraId="523C80A8" w14:textId="577E7AB8" w:rsidR="00F64776" w:rsidRDefault="00F64776" w:rsidP="00F64776">
      <w:pPr>
        <w:pStyle w:val="TextoNormal"/>
      </w:pPr>
      <w:r w:rsidRPr="00F64776">
        <w:rPr>
          <w:rStyle w:val="NumeroAFNegritaCaracter"/>
        </w:rPr>
        <w:t>2</w:t>
      </w:r>
      <w:r>
        <w:t>. Por escrito de 29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1309FC8F" w14:textId="77777777" w:rsidR="00F64776" w:rsidRDefault="00F64776" w:rsidP="00F64776">
      <w:pPr>
        <w:pStyle w:val="TextoNormal"/>
      </w:pPr>
    </w:p>
    <w:p w14:paraId="6FEEDD82" w14:textId="77777777" w:rsidR="00F64776" w:rsidRDefault="00F64776" w:rsidP="00F64776">
      <w:pPr>
        <w:pStyle w:val="TextoNormalNegritaCentrado"/>
        <w:keepNext/>
      </w:pPr>
      <w:r>
        <w:t>II. Fundamentos jurídicos</w:t>
      </w:r>
    </w:p>
    <w:p w14:paraId="5C26CD76" w14:textId="57A4FF9C" w:rsidR="00F64776" w:rsidRDefault="00F64776" w:rsidP="00F64776">
      <w:pPr>
        <w:pStyle w:val="TextoNormalNegritaCentrado"/>
        <w:keepNext/>
      </w:pPr>
    </w:p>
    <w:p w14:paraId="33E3AF6E" w14:textId="3471C8C7"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33DF1C1F" w14:textId="77777777" w:rsidR="00F64776" w:rsidRDefault="00F64776" w:rsidP="00F64776">
      <w:pPr>
        <w:pStyle w:val="TextoNormal"/>
      </w:pPr>
    </w:p>
    <w:p w14:paraId="217453AE" w14:textId="77777777" w:rsidR="00F64776" w:rsidRDefault="00F64776" w:rsidP="00F64776">
      <w:pPr>
        <w:pStyle w:val="TextoNormal"/>
      </w:pPr>
      <w:r>
        <w:t>Por lo expuesto, la Sección</w:t>
      </w:r>
    </w:p>
    <w:p w14:paraId="5D614A29" w14:textId="7866F93B" w:rsidR="00F64776" w:rsidRDefault="00F64776" w:rsidP="00F64776">
      <w:pPr>
        <w:pStyle w:val="TextoNormal"/>
      </w:pPr>
    </w:p>
    <w:p w14:paraId="1D26C597" w14:textId="77777777" w:rsidR="00F64776" w:rsidRDefault="00F64776" w:rsidP="00F64776">
      <w:pPr>
        <w:pStyle w:val="TextoNormalCentrado"/>
      </w:pPr>
      <w:r>
        <w:t>ACUERDA</w:t>
      </w:r>
    </w:p>
    <w:p w14:paraId="5B57D9A9" w14:textId="5446047B" w:rsidR="00F64776" w:rsidRDefault="00F64776" w:rsidP="00F64776">
      <w:pPr>
        <w:pStyle w:val="TextoNormalCentrado"/>
      </w:pPr>
    </w:p>
    <w:p w14:paraId="0899AD7D" w14:textId="0AA15886" w:rsidR="00F64776" w:rsidRDefault="00F64776" w:rsidP="00F64776">
      <w:pPr>
        <w:pStyle w:val="TextoNormal"/>
      </w:pPr>
      <w:r>
        <w:t>Estimar justificada la abstención formulada por el magistrado señor don César Tolosa Tribiño en el recurso de amparo núm. 3039-2023 y apartarle definitivamente del conocimiento del referido recurso y de todas sus incidencias.</w:t>
      </w:r>
    </w:p>
    <w:p w14:paraId="72F568D4" w14:textId="77777777" w:rsidR="00F64776" w:rsidRDefault="00F64776" w:rsidP="00F64776">
      <w:pPr>
        <w:pStyle w:val="TextoNormal"/>
      </w:pPr>
    </w:p>
    <w:p w14:paraId="2A7BD9CC" w14:textId="77777777" w:rsidR="00F64776" w:rsidRDefault="00F64776" w:rsidP="00F64776">
      <w:pPr>
        <w:pStyle w:val="TextoNormal"/>
      </w:pPr>
      <w:r>
        <w:t>Madrid, a cuatro de septiembre de dos mil veintitrés.</w:t>
      </w:r>
    </w:p>
    <w:p w14:paraId="1CA1E395" w14:textId="09A48B32" w:rsidR="00F64776" w:rsidRDefault="00F64776">
      <w:pPr>
        <w:spacing w:after="160" w:line="278" w:lineRule="auto"/>
        <w:rPr>
          <w:rFonts w:ascii="Times New Roman" w:eastAsia="Times New Roman" w:hAnsi="Times New Roman" w:cs="Times New Roman"/>
          <w:sz w:val="24"/>
          <w:szCs w:val="24"/>
          <w:lang w:eastAsia="es-ES"/>
        </w:rPr>
      </w:pPr>
      <w:r>
        <w:br w:type="page"/>
      </w:r>
    </w:p>
    <w:p w14:paraId="51226EB1" w14:textId="77777777" w:rsidR="00F64776" w:rsidRDefault="00F64776" w:rsidP="00F64776">
      <w:pPr>
        <w:pStyle w:val="TtuloResolucin"/>
      </w:pPr>
      <w:bookmarkStart w:id="204" w:name="AUTO_2023_419"/>
      <w:r>
        <w:t>AUTO 419/2023, de 4 de septiembre de 2023</w:t>
      </w:r>
    </w:p>
    <w:bookmarkEnd w:id="204"/>
    <w:p w14:paraId="4A49E034" w14:textId="77777777" w:rsidR="00F64776" w:rsidRDefault="00F64776" w:rsidP="00F64776">
      <w:pPr>
        <w:pStyle w:val="TtuloResolucin"/>
      </w:pPr>
      <w:r>
        <w:t>Sección Tercera</w:t>
      </w:r>
    </w:p>
    <w:p w14:paraId="016E7C4F" w14:textId="77777777" w:rsidR="00F64776" w:rsidRDefault="00F64776" w:rsidP="00F64776">
      <w:pPr>
        <w:pStyle w:val="TextoNormalCentrado"/>
      </w:pPr>
      <w:r>
        <w:t>ECLI:ES:TC:2023:419A</w:t>
      </w:r>
    </w:p>
    <w:p w14:paraId="0235D688" w14:textId="6673BEE0" w:rsidR="00F64776" w:rsidRDefault="00F64776" w:rsidP="00F64776">
      <w:pPr>
        <w:pStyle w:val="TextoNormalCentrado"/>
      </w:pPr>
    </w:p>
    <w:p w14:paraId="20506D09" w14:textId="77777777" w:rsidR="00F64776" w:rsidRDefault="00F64776" w:rsidP="00F64776">
      <w:pPr>
        <w:pStyle w:val="SntesisDescriptiva"/>
      </w:pPr>
      <w:r>
        <w:t>Excms. Srs. doña Inmaculada Montalbán Huertas y doña Laura Díez Bueso.</w:t>
      </w:r>
    </w:p>
    <w:p w14:paraId="70A59CA3" w14:textId="1C771AEB" w:rsidR="00F64776" w:rsidRDefault="00F64776" w:rsidP="00F64776">
      <w:pPr>
        <w:pStyle w:val="SntesisDescriptiva"/>
      </w:pPr>
    </w:p>
    <w:p w14:paraId="215B8ACD" w14:textId="77777777" w:rsidR="00F64776" w:rsidRDefault="00F64776" w:rsidP="00F64776">
      <w:pPr>
        <w:pStyle w:val="SntesisDescriptiva"/>
      </w:pPr>
      <w:r>
        <w:t>Acepta una abstención en el recurso de amparo 3121-2023, promovido en proceso contencioso-administrativo.</w:t>
      </w:r>
    </w:p>
    <w:p w14:paraId="4EA1228F" w14:textId="16B7B9B1" w:rsidR="00F64776" w:rsidRDefault="00F64776" w:rsidP="00F64776">
      <w:pPr>
        <w:pStyle w:val="SntesisDescriptiva"/>
      </w:pPr>
    </w:p>
    <w:p w14:paraId="2BBF253B" w14:textId="77777777" w:rsidR="00F64776" w:rsidRDefault="00F64776" w:rsidP="00F64776">
      <w:pPr>
        <w:pStyle w:val="SntesisDescriptiva"/>
      </w:pPr>
    </w:p>
    <w:p w14:paraId="38E6742B" w14:textId="77777777" w:rsidR="00F64776" w:rsidRDefault="00F64776" w:rsidP="00F64776">
      <w:pPr>
        <w:pStyle w:val="SntesisDescriptiva"/>
      </w:pPr>
    </w:p>
    <w:p w14:paraId="24C2F7F6" w14:textId="77777777" w:rsidR="00F64776" w:rsidRDefault="00F64776" w:rsidP="00F64776">
      <w:pPr>
        <w:pStyle w:val="TextoNormalNegritaCentrado"/>
      </w:pPr>
      <w:r>
        <w:t>AUTO</w:t>
      </w:r>
    </w:p>
    <w:p w14:paraId="41ECEFD6" w14:textId="39B9B78A" w:rsidR="00F64776" w:rsidRDefault="00F64776" w:rsidP="00F64776">
      <w:pPr>
        <w:pStyle w:val="TextoNormalNegritaCentrado"/>
      </w:pPr>
    </w:p>
    <w:p w14:paraId="6E01B5BF" w14:textId="77777777" w:rsidR="00F64776" w:rsidRDefault="00F64776" w:rsidP="00F64776">
      <w:pPr>
        <w:pStyle w:val="TextoNormalNegritaCentrado"/>
        <w:keepNext/>
      </w:pPr>
      <w:r>
        <w:t>I. Antecedentes</w:t>
      </w:r>
    </w:p>
    <w:p w14:paraId="7F003FD0" w14:textId="479D0626" w:rsidR="00F64776" w:rsidRDefault="00F64776" w:rsidP="00F64776">
      <w:pPr>
        <w:pStyle w:val="TextoNormalNegritaCentrado"/>
        <w:keepNext/>
      </w:pPr>
    </w:p>
    <w:p w14:paraId="246F5600" w14:textId="797BB8C0" w:rsidR="00F64776" w:rsidRDefault="00F64776" w:rsidP="00F64776">
      <w:pPr>
        <w:pStyle w:val="TextoNormal"/>
      </w:pPr>
      <w:r w:rsidRPr="00F64776">
        <w:rPr>
          <w:rStyle w:val="NumeroAFNegritaCaracter"/>
        </w:rPr>
        <w:t>1</w:t>
      </w:r>
      <w:r>
        <w:t>. Mediante escrito registrado en este tribunal el 11 de mayo de 2023 el procurador de los tribunales don José María Ruiz de la Cuesta Vacas, en nombre y representación de doña Ana María Rodríguez Nazco y bajo la dirección del letrado don Francisco Javier Araúz de Robles Dávila, interpuso demanda de amparo contra la providencia de fecha 27 de octubre de 2022, dictada por la Sala de lo Contencioso-Administrativo del Tribunal Supremo en recurso de casación núm. 7313-2021 contra la sentencia dictada por la Sección Segunda de la Sala de lo Contencioso-Administrativo del Tribunal Superior de Justicia de Santa Cruz de Tenerife en recurso de apelación núm. 43-2021</w:t>
      </w:r>
    </w:p>
    <w:p w14:paraId="2B80C372" w14:textId="77777777" w:rsidR="00F64776" w:rsidRDefault="00F64776" w:rsidP="00F64776">
      <w:pPr>
        <w:pStyle w:val="TextoNormal"/>
      </w:pPr>
    </w:p>
    <w:p w14:paraId="169E158B" w14:textId="17289AAB" w:rsidR="00F64776" w:rsidRDefault="00F64776" w:rsidP="00F64776">
      <w:pPr>
        <w:pStyle w:val="TextoNormal"/>
      </w:pPr>
      <w:r w:rsidRPr="00F64776">
        <w:rPr>
          <w:rStyle w:val="NumeroAFNegritaCaracter"/>
        </w:rPr>
        <w:t>2</w:t>
      </w:r>
      <w:r>
        <w:t>. Por escrito de 5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3A338AE1" w14:textId="77777777" w:rsidR="00F64776" w:rsidRDefault="00F64776" w:rsidP="00F64776">
      <w:pPr>
        <w:pStyle w:val="TextoNormal"/>
      </w:pPr>
    </w:p>
    <w:p w14:paraId="4DC2479C" w14:textId="77777777" w:rsidR="00F64776" w:rsidRDefault="00F64776" w:rsidP="00F64776">
      <w:pPr>
        <w:pStyle w:val="TextoNormalNegritaCentrado"/>
        <w:keepNext/>
      </w:pPr>
      <w:r>
        <w:t>II. Fundamentos jurídicos</w:t>
      </w:r>
    </w:p>
    <w:p w14:paraId="1999AA31" w14:textId="3722D140" w:rsidR="00F64776" w:rsidRDefault="00F64776" w:rsidP="00F64776">
      <w:pPr>
        <w:pStyle w:val="TextoNormalNegritaCentrado"/>
        <w:keepNext/>
      </w:pPr>
    </w:p>
    <w:p w14:paraId="01C1FDC8" w14:textId="29E59A07"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4D8B7A11" w14:textId="77777777" w:rsidR="00F64776" w:rsidRDefault="00F64776" w:rsidP="00F64776">
      <w:pPr>
        <w:pStyle w:val="TextoNormal"/>
      </w:pPr>
    </w:p>
    <w:p w14:paraId="45B2D2B8" w14:textId="77777777" w:rsidR="00F64776" w:rsidRDefault="00F64776" w:rsidP="00F64776">
      <w:pPr>
        <w:pStyle w:val="TextoNormal"/>
      </w:pPr>
      <w:r>
        <w:t>Por lo expuesto, la Sección</w:t>
      </w:r>
    </w:p>
    <w:p w14:paraId="196FADDD" w14:textId="6C6DA729" w:rsidR="00F64776" w:rsidRDefault="00F64776" w:rsidP="00F64776">
      <w:pPr>
        <w:pStyle w:val="TextoNormal"/>
      </w:pPr>
    </w:p>
    <w:p w14:paraId="37961650" w14:textId="77777777" w:rsidR="00F64776" w:rsidRDefault="00F64776" w:rsidP="00F64776">
      <w:pPr>
        <w:pStyle w:val="TextoNormalCentrado"/>
      </w:pPr>
      <w:r>
        <w:t>ACUERDA</w:t>
      </w:r>
    </w:p>
    <w:p w14:paraId="4F46142B" w14:textId="4E80A065" w:rsidR="00F64776" w:rsidRDefault="00F64776" w:rsidP="00F64776">
      <w:pPr>
        <w:pStyle w:val="TextoNormalCentrado"/>
      </w:pPr>
    </w:p>
    <w:p w14:paraId="56367E2D" w14:textId="03936D8D" w:rsidR="00F64776" w:rsidRDefault="00F64776" w:rsidP="00F64776">
      <w:pPr>
        <w:pStyle w:val="TextoNormal"/>
      </w:pPr>
      <w:r>
        <w:t>Estimar justificada la abstención formulada por el magistrado señor don César Tolosa Tribiño en el recurso de amparo núm. 3121-2023 y apartarle definitivamente del conocimiento del referido recurso y de todas sus incidencias.</w:t>
      </w:r>
    </w:p>
    <w:p w14:paraId="7545BC25" w14:textId="77777777" w:rsidR="00F64776" w:rsidRDefault="00F64776" w:rsidP="00F64776">
      <w:pPr>
        <w:pStyle w:val="TextoNormal"/>
      </w:pPr>
    </w:p>
    <w:p w14:paraId="6E92847C" w14:textId="77777777" w:rsidR="00F64776" w:rsidRDefault="00F64776" w:rsidP="00F64776">
      <w:pPr>
        <w:pStyle w:val="TextoNormal"/>
      </w:pPr>
      <w:r>
        <w:t>Madrid, a cuatro de septiembre de dos mil veintitrés.</w:t>
      </w:r>
    </w:p>
    <w:p w14:paraId="1CE65CB0" w14:textId="4C7E9238" w:rsidR="00F64776" w:rsidRDefault="00F64776">
      <w:pPr>
        <w:spacing w:after="160" w:line="278" w:lineRule="auto"/>
        <w:rPr>
          <w:rFonts w:ascii="Times New Roman" w:eastAsia="Times New Roman" w:hAnsi="Times New Roman" w:cs="Times New Roman"/>
          <w:sz w:val="24"/>
          <w:szCs w:val="24"/>
          <w:lang w:eastAsia="es-ES"/>
        </w:rPr>
      </w:pPr>
      <w:r>
        <w:br w:type="page"/>
      </w:r>
    </w:p>
    <w:p w14:paraId="60612B90" w14:textId="77777777" w:rsidR="00F64776" w:rsidRDefault="00F64776" w:rsidP="00F64776">
      <w:pPr>
        <w:pStyle w:val="TtuloResolucin"/>
      </w:pPr>
      <w:bookmarkStart w:id="205" w:name="AUTO_2023_420"/>
      <w:r>
        <w:t>AUTO 420/2023, de 4 de septiembre de 2023</w:t>
      </w:r>
    </w:p>
    <w:bookmarkEnd w:id="205"/>
    <w:p w14:paraId="7100E2CC" w14:textId="77777777" w:rsidR="00F64776" w:rsidRDefault="00F64776" w:rsidP="00F64776">
      <w:pPr>
        <w:pStyle w:val="TtuloResolucin"/>
      </w:pPr>
      <w:r>
        <w:t>Sección Tercera</w:t>
      </w:r>
    </w:p>
    <w:p w14:paraId="46BFCA3D" w14:textId="77777777" w:rsidR="00F64776" w:rsidRDefault="00F64776" w:rsidP="00F64776">
      <w:pPr>
        <w:pStyle w:val="TextoNormalCentrado"/>
      </w:pPr>
      <w:r>
        <w:t>ECLI:ES:TC:2023:420A</w:t>
      </w:r>
    </w:p>
    <w:p w14:paraId="6F18F6E9" w14:textId="2BC52F99" w:rsidR="00F64776" w:rsidRDefault="00F64776" w:rsidP="00F64776">
      <w:pPr>
        <w:pStyle w:val="TextoNormalCentrado"/>
      </w:pPr>
    </w:p>
    <w:p w14:paraId="26A0FB6E" w14:textId="77777777" w:rsidR="00F64776" w:rsidRDefault="00F64776" w:rsidP="00F64776">
      <w:pPr>
        <w:pStyle w:val="SntesisDescriptiva"/>
      </w:pPr>
      <w:r>
        <w:t>Excms. Srs. doña Inmaculada Montalbán Huertas y doña Laura Díez Bueso.</w:t>
      </w:r>
    </w:p>
    <w:p w14:paraId="1FA15D2B" w14:textId="0C800734" w:rsidR="00F64776" w:rsidRDefault="00F64776" w:rsidP="00F64776">
      <w:pPr>
        <w:pStyle w:val="SntesisDescriptiva"/>
      </w:pPr>
    </w:p>
    <w:p w14:paraId="21EBB5B3" w14:textId="77777777" w:rsidR="00F64776" w:rsidRDefault="00F64776" w:rsidP="00F64776">
      <w:pPr>
        <w:pStyle w:val="SntesisDescriptiva"/>
      </w:pPr>
      <w:r>
        <w:t>Acepta una abstención en el recurso de amparo 3125-2023, promovido en proceso contencioso-administrativo.</w:t>
      </w:r>
    </w:p>
    <w:p w14:paraId="4E754BCE" w14:textId="04EA0C6F" w:rsidR="00F64776" w:rsidRDefault="00F64776" w:rsidP="00F64776">
      <w:pPr>
        <w:pStyle w:val="SntesisDescriptiva"/>
      </w:pPr>
    </w:p>
    <w:p w14:paraId="09680226" w14:textId="77777777" w:rsidR="00F64776" w:rsidRDefault="00F64776" w:rsidP="00F64776">
      <w:pPr>
        <w:pStyle w:val="SntesisDescriptiva"/>
      </w:pPr>
    </w:p>
    <w:p w14:paraId="5715B13F" w14:textId="77777777" w:rsidR="00F64776" w:rsidRDefault="00F64776" w:rsidP="00F64776">
      <w:pPr>
        <w:pStyle w:val="SntesisDescriptiva"/>
      </w:pPr>
    </w:p>
    <w:p w14:paraId="6239C68C" w14:textId="77777777" w:rsidR="00F64776" w:rsidRDefault="00F64776" w:rsidP="00F64776">
      <w:pPr>
        <w:pStyle w:val="TextoNormalNegritaCentrado"/>
      </w:pPr>
      <w:r>
        <w:t>AUTO</w:t>
      </w:r>
    </w:p>
    <w:p w14:paraId="3AC04BC8" w14:textId="7E2811A4" w:rsidR="00F64776" w:rsidRDefault="00F64776" w:rsidP="00F64776">
      <w:pPr>
        <w:pStyle w:val="TextoNormalNegritaCentrado"/>
      </w:pPr>
    </w:p>
    <w:p w14:paraId="3EF863DB" w14:textId="77777777" w:rsidR="00F64776" w:rsidRDefault="00F64776" w:rsidP="00F64776">
      <w:pPr>
        <w:pStyle w:val="TextoNormalNegritaCentrado"/>
        <w:keepNext/>
      </w:pPr>
      <w:r>
        <w:t>I. Antecedentes</w:t>
      </w:r>
    </w:p>
    <w:p w14:paraId="496BF165" w14:textId="4D187975" w:rsidR="00F64776" w:rsidRDefault="00F64776" w:rsidP="00F64776">
      <w:pPr>
        <w:pStyle w:val="TextoNormalNegritaCentrado"/>
        <w:keepNext/>
      </w:pPr>
    </w:p>
    <w:p w14:paraId="1E24843E" w14:textId="5292D386" w:rsidR="00F64776" w:rsidRDefault="00F64776" w:rsidP="00F64776">
      <w:pPr>
        <w:pStyle w:val="TextoNormal"/>
      </w:pPr>
      <w:r w:rsidRPr="00F64776">
        <w:rPr>
          <w:rStyle w:val="NumeroAFNegritaCaracter"/>
        </w:rPr>
        <w:t>1</w:t>
      </w:r>
      <w:r>
        <w:t>. Mediante escrito registrado en este tribunal el 11 de mayo de 2023 el procurador de los tribunales don José María Ruiz de la Cuesta Vacas, en nombre y representación de doña Carmen Yolanda García Díaz y bajo la dirección del letrado don Francisco Javier Araúz de Robles Dávila, interpuso demanda de amparo contra providencias de la Sección Primera de la Sala de lo Contencioso-Administrativo del Tribunal Supremo en recurso de casación 7713-2021.</w:t>
      </w:r>
    </w:p>
    <w:p w14:paraId="02C19240" w14:textId="77777777" w:rsidR="00F64776" w:rsidRDefault="00F64776" w:rsidP="00F64776">
      <w:pPr>
        <w:pStyle w:val="TextoNormal"/>
      </w:pPr>
    </w:p>
    <w:p w14:paraId="4087C651" w14:textId="492B50C4" w:rsidR="00F64776" w:rsidRDefault="00F64776" w:rsidP="00F64776">
      <w:pPr>
        <w:pStyle w:val="TextoNormal"/>
      </w:pPr>
      <w:r w:rsidRPr="00F64776">
        <w:rPr>
          <w:rStyle w:val="NumeroAFNegritaCaracter"/>
        </w:rPr>
        <w:t>2</w:t>
      </w:r>
      <w:r>
        <w:t>. Por escrito de 29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599CABCC" w14:textId="77777777" w:rsidR="00F64776" w:rsidRDefault="00F64776" w:rsidP="00F64776">
      <w:pPr>
        <w:pStyle w:val="TextoNormal"/>
      </w:pPr>
    </w:p>
    <w:p w14:paraId="654F1422" w14:textId="77777777" w:rsidR="00F64776" w:rsidRDefault="00F64776" w:rsidP="00F64776">
      <w:pPr>
        <w:pStyle w:val="TextoNormalNegritaCentrado"/>
        <w:keepNext/>
      </w:pPr>
      <w:r>
        <w:t>II. Fundamentos jurídicos</w:t>
      </w:r>
    </w:p>
    <w:p w14:paraId="0A4D9918" w14:textId="5DF6EF81" w:rsidR="00F64776" w:rsidRDefault="00F64776" w:rsidP="00F64776">
      <w:pPr>
        <w:pStyle w:val="TextoNormalNegritaCentrado"/>
        <w:keepNext/>
      </w:pPr>
    </w:p>
    <w:p w14:paraId="6E931392" w14:textId="36EDECC1"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04D20B6B" w14:textId="77777777" w:rsidR="00F64776" w:rsidRDefault="00F64776" w:rsidP="00F64776">
      <w:pPr>
        <w:pStyle w:val="TextoNormal"/>
      </w:pPr>
    </w:p>
    <w:p w14:paraId="090454CD" w14:textId="77777777" w:rsidR="00F64776" w:rsidRDefault="00F64776" w:rsidP="00F64776">
      <w:pPr>
        <w:pStyle w:val="TextoNormal"/>
      </w:pPr>
      <w:r>
        <w:t>Por lo expuesto, la Sección</w:t>
      </w:r>
    </w:p>
    <w:p w14:paraId="464B9039" w14:textId="5BE8B212" w:rsidR="00F64776" w:rsidRDefault="00F64776" w:rsidP="00F64776">
      <w:pPr>
        <w:pStyle w:val="TextoNormal"/>
      </w:pPr>
    </w:p>
    <w:p w14:paraId="38B8E66E" w14:textId="77777777" w:rsidR="00F64776" w:rsidRDefault="00F64776" w:rsidP="00F64776">
      <w:pPr>
        <w:pStyle w:val="TextoNormalCentrado"/>
      </w:pPr>
      <w:r>
        <w:t>ACUERDA</w:t>
      </w:r>
    </w:p>
    <w:p w14:paraId="465B4AB4" w14:textId="374DA4D2" w:rsidR="00F64776" w:rsidRDefault="00F64776" w:rsidP="00F64776">
      <w:pPr>
        <w:pStyle w:val="TextoNormalCentrado"/>
      </w:pPr>
    </w:p>
    <w:p w14:paraId="5B02D41D" w14:textId="1690492F" w:rsidR="00F64776" w:rsidRDefault="00F64776" w:rsidP="00F64776">
      <w:pPr>
        <w:pStyle w:val="TextoNormal"/>
      </w:pPr>
      <w:r>
        <w:t>Estimar justificada la abstención formulada por el magistrado señor don César Tolosa Tribiño en el recurso de amparo núm. 3125-2023 y apartarle definitivamente del conocimiento del referido recurso y de todas sus incidencias.</w:t>
      </w:r>
    </w:p>
    <w:p w14:paraId="15DDF0CF" w14:textId="77777777" w:rsidR="00F64776" w:rsidRDefault="00F64776" w:rsidP="00F64776">
      <w:pPr>
        <w:pStyle w:val="TextoNormal"/>
      </w:pPr>
    </w:p>
    <w:p w14:paraId="79547E21" w14:textId="77777777" w:rsidR="00F64776" w:rsidRDefault="00F64776" w:rsidP="00F64776">
      <w:pPr>
        <w:pStyle w:val="TextoNormal"/>
      </w:pPr>
      <w:r>
        <w:t>Madrid, a cuatro de septiembre de dos mil veintitrés.</w:t>
      </w:r>
    </w:p>
    <w:p w14:paraId="3DB1A647" w14:textId="6344BF44" w:rsidR="00F64776" w:rsidRDefault="00F64776">
      <w:pPr>
        <w:spacing w:after="160" w:line="278" w:lineRule="auto"/>
        <w:rPr>
          <w:rFonts w:ascii="Times New Roman" w:eastAsia="Times New Roman" w:hAnsi="Times New Roman" w:cs="Times New Roman"/>
          <w:sz w:val="24"/>
          <w:szCs w:val="24"/>
          <w:lang w:eastAsia="es-ES"/>
        </w:rPr>
      </w:pPr>
      <w:r>
        <w:br w:type="page"/>
      </w:r>
    </w:p>
    <w:p w14:paraId="53F2144F" w14:textId="77777777" w:rsidR="00F64776" w:rsidRDefault="00F64776" w:rsidP="00F64776">
      <w:pPr>
        <w:pStyle w:val="TtuloResolucin"/>
      </w:pPr>
      <w:bookmarkStart w:id="206" w:name="AUTO_2023_421"/>
      <w:r>
        <w:t>AUTO 421/2023, de 4 de septiembre de 2023</w:t>
      </w:r>
    </w:p>
    <w:bookmarkEnd w:id="206"/>
    <w:p w14:paraId="1B516B63" w14:textId="77777777" w:rsidR="00F64776" w:rsidRDefault="00F64776" w:rsidP="00F64776">
      <w:pPr>
        <w:pStyle w:val="TtuloResolucin"/>
      </w:pPr>
      <w:r>
        <w:t>Sección Tercera</w:t>
      </w:r>
    </w:p>
    <w:p w14:paraId="6EA47E6A" w14:textId="77777777" w:rsidR="00F64776" w:rsidRDefault="00F64776" w:rsidP="00F64776">
      <w:pPr>
        <w:pStyle w:val="TextoNormalCentrado"/>
      </w:pPr>
      <w:r>
        <w:t>ECLI:ES:TC:2023:421A</w:t>
      </w:r>
    </w:p>
    <w:p w14:paraId="6E692855" w14:textId="533D3845" w:rsidR="00F64776" w:rsidRDefault="00F64776" w:rsidP="00F64776">
      <w:pPr>
        <w:pStyle w:val="TextoNormalCentrado"/>
      </w:pPr>
    </w:p>
    <w:p w14:paraId="67945FE2" w14:textId="77777777" w:rsidR="00F64776" w:rsidRDefault="00F64776" w:rsidP="00F64776">
      <w:pPr>
        <w:pStyle w:val="SntesisDescriptiva"/>
      </w:pPr>
      <w:r>
        <w:t>Excms. Srs. doña Inmaculada Montalbán Huertas y doña Laura Díez Bueso.</w:t>
      </w:r>
    </w:p>
    <w:p w14:paraId="3554783A" w14:textId="04951D5E" w:rsidR="00F64776" w:rsidRDefault="00F64776" w:rsidP="00F64776">
      <w:pPr>
        <w:pStyle w:val="SntesisDescriptiva"/>
      </w:pPr>
    </w:p>
    <w:p w14:paraId="52E9F535" w14:textId="77777777" w:rsidR="00F64776" w:rsidRDefault="00F64776" w:rsidP="00F64776">
      <w:pPr>
        <w:pStyle w:val="SntesisDescriptiva"/>
      </w:pPr>
      <w:r>
        <w:t>Acepta una abstención en el recurso de amparo 3146-2023, promovido en proceso contencioso-administrativo.</w:t>
      </w:r>
    </w:p>
    <w:p w14:paraId="16DF0BA3" w14:textId="05CE3593" w:rsidR="00F64776" w:rsidRDefault="00F64776" w:rsidP="00F64776">
      <w:pPr>
        <w:pStyle w:val="SntesisDescriptiva"/>
      </w:pPr>
    </w:p>
    <w:p w14:paraId="29E49D44" w14:textId="77777777" w:rsidR="00F64776" w:rsidRDefault="00F64776" w:rsidP="00F64776">
      <w:pPr>
        <w:pStyle w:val="SntesisDescriptiva"/>
      </w:pPr>
    </w:p>
    <w:p w14:paraId="2C67988D" w14:textId="77777777" w:rsidR="00F64776" w:rsidRDefault="00F64776" w:rsidP="00F64776">
      <w:pPr>
        <w:pStyle w:val="SntesisDescriptiva"/>
      </w:pPr>
    </w:p>
    <w:p w14:paraId="3C703B93" w14:textId="77777777" w:rsidR="00F64776" w:rsidRDefault="00F64776" w:rsidP="00F64776">
      <w:pPr>
        <w:pStyle w:val="TextoNormalNegritaCentrado"/>
      </w:pPr>
      <w:r>
        <w:t>AUTO</w:t>
      </w:r>
    </w:p>
    <w:p w14:paraId="57A520EC" w14:textId="74ECD33A" w:rsidR="00F64776" w:rsidRDefault="00F64776" w:rsidP="00F64776">
      <w:pPr>
        <w:pStyle w:val="TextoNormalNegritaCentrado"/>
      </w:pPr>
    </w:p>
    <w:p w14:paraId="491D75D1" w14:textId="77777777" w:rsidR="00F64776" w:rsidRDefault="00F64776" w:rsidP="00F64776">
      <w:pPr>
        <w:pStyle w:val="TextoNormalNegritaCentrado"/>
        <w:keepNext/>
      </w:pPr>
      <w:r>
        <w:t>I. Antecedentes</w:t>
      </w:r>
    </w:p>
    <w:p w14:paraId="7CAE5398" w14:textId="46C9DC83" w:rsidR="00F64776" w:rsidRDefault="00F64776" w:rsidP="00F64776">
      <w:pPr>
        <w:pStyle w:val="TextoNormalNegritaCentrado"/>
        <w:keepNext/>
      </w:pPr>
    </w:p>
    <w:p w14:paraId="1354885A" w14:textId="0D064CAB" w:rsidR="00F64776" w:rsidRDefault="00F64776" w:rsidP="00F64776">
      <w:pPr>
        <w:pStyle w:val="TextoNormal"/>
      </w:pPr>
      <w:r w:rsidRPr="00F64776">
        <w:rPr>
          <w:rStyle w:val="NumeroAFNegritaCaracter"/>
        </w:rPr>
        <w:t>1</w:t>
      </w:r>
      <w:r>
        <w:t>. Mediante escrito registrado en este tribunal el 11 de mayo de 2023 el procurador de los tribunales don José María Ruiz de la Cuesta Vacas, en nombre y representación de doña Miriam González Canino y bajo la dirección del letrado don Francisco Javier Araúz de Robles Dávila, interpuso demanda de amparo contra la providencia de 8 de noviembre de 2022, dictada por la Sección Primera de la Sala de lo Contencioso-Administrativo del Tribunal Supremo en recurso de casación núm. 8510-2021 contra sentencia de la Sección Segunda de la Sala de lo Contencioso-Administrativo del Tribunal Superior de Justicia de Canarias en recurso de apelación núm. 134-2021.</w:t>
      </w:r>
    </w:p>
    <w:p w14:paraId="3DF680AA" w14:textId="77777777" w:rsidR="00F64776" w:rsidRDefault="00F64776" w:rsidP="00F64776">
      <w:pPr>
        <w:pStyle w:val="TextoNormal"/>
      </w:pPr>
    </w:p>
    <w:p w14:paraId="4D9A0D2A" w14:textId="25EAACED" w:rsidR="00F64776" w:rsidRDefault="00F64776" w:rsidP="00F64776">
      <w:pPr>
        <w:pStyle w:val="TextoNormal"/>
      </w:pPr>
      <w:r w:rsidRPr="00F64776">
        <w:rPr>
          <w:rStyle w:val="NumeroAFNegritaCaracter"/>
        </w:rPr>
        <w:t>2</w:t>
      </w:r>
      <w:r>
        <w:t>. Por escrito de 29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02CAE981" w14:textId="77777777" w:rsidR="00F64776" w:rsidRDefault="00F64776" w:rsidP="00F64776">
      <w:pPr>
        <w:pStyle w:val="TextoNormal"/>
      </w:pPr>
    </w:p>
    <w:p w14:paraId="2268EAE9" w14:textId="77777777" w:rsidR="00F64776" w:rsidRDefault="00F64776" w:rsidP="00F64776">
      <w:pPr>
        <w:pStyle w:val="TextoNormalNegritaCentrado"/>
        <w:keepNext/>
      </w:pPr>
      <w:r>
        <w:t>II. Fundamentos jurídicos</w:t>
      </w:r>
    </w:p>
    <w:p w14:paraId="0B48CB0B" w14:textId="02A22B6F" w:rsidR="00F64776" w:rsidRDefault="00F64776" w:rsidP="00F64776">
      <w:pPr>
        <w:pStyle w:val="TextoNormalNegritaCentrado"/>
        <w:keepNext/>
      </w:pPr>
    </w:p>
    <w:p w14:paraId="7E2494C9" w14:textId="55A9B23B"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07210D59" w14:textId="77777777" w:rsidR="00F64776" w:rsidRDefault="00F64776" w:rsidP="00F64776">
      <w:pPr>
        <w:pStyle w:val="TextoNormal"/>
      </w:pPr>
    </w:p>
    <w:p w14:paraId="78FF6489" w14:textId="77777777" w:rsidR="00F64776" w:rsidRDefault="00F64776" w:rsidP="00F64776">
      <w:pPr>
        <w:pStyle w:val="TextoNormal"/>
      </w:pPr>
      <w:r>
        <w:t>Por lo expuesto, la Sección</w:t>
      </w:r>
    </w:p>
    <w:p w14:paraId="0654D06A" w14:textId="7ECC26F4" w:rsidR="00F64776" w:rsidRDefault="00F64776" w:rsidP="00F64776">
      <w:pPr>
        <w:pStyle w:val="TextoNormal"/>
      </w:pPr>
    </w:p>
    <w:p w14:paraId="3C87418F" w14:textId="77777777" w:rsidR="00F64776" w:rsidRDefault="00F64776" w:rsidP="00F64776">
      <w:pPr>
        <w:pStyle w:val="TextoNormalCentrado"/>
      </w:pPr>
      <w:r>
        <w:t>ACUERDA</w:t>
      </w:r>
    </w:p>
    <w:p w14:paraId="184F2F0D" w14:textId="30CCD154" w:rsidR="00F64776" w:rsidRDefault="00F64776" w:rsidP="00F64776">
      <w:pPr>
        <w:pStyle w:val="TextoNormalCentrado"/>
      </w:pPr>
    </w:p>
    <w:p w14:paraId="472F0518" w14:textId="71E33FF5" w:rsidR="00F64776" w:rsidRDefault="00F64776" w:rsidP="00F64776">
      <w:pPr>
        <w:pStyle w:val="TextoNormal"/>
      </w:pPr>
      <w:r>
        <w:t>Estimar justificada la abstención formulada por el magistrado señor don César Tolosa Tribiño en el recurso de amparo núm. 3146-2023 y apartarle definitivamente del conocimiento del referido recurso y de todas sus incidencias.</w:t>
      </w:r>
    </w:p>
    <w:p w14:paraId="0FA2508D" w14:textId="77777777" w:rsidR="00F64776" w:rsidRDefault="00F64776" w:rsidP="00F64776">
      <w:pPr>
        <w:pStyle w:val="TextoNormal"/>
      </w:pPr>
    </w:p>
    <w:p w14:paraId="78917888" w14:textId="77777777" w:rsidR="00F64776" w:rsidRDefault="00F64776" w:rsidP="00F64776">
      <w:pPr>
        <w:pStyle w:val="TextoNormal"/>
      </w:pPr>
      <w:r>
        <w:t>Madrid, a cuatro de septiembre de dos mil veintitrés.</w:t>
      </w:r>
    </w:p>
    <w:p w14:paraId="016E5386" w14:textId="0086FC59" w:rsidR="00F64776" w:rsidRDefault="00F64776">
      <w:pPr>
        <w:spacing w:after="160" w:line="278" w:lineRule="auto"/>
        <w:rPr>
          <w:rFonts w:ascii="Times New Roman" w:eastAsia="Times New Roman" w:hAnsi="Times New Roman" w:cs="Times New Roman"/>
          <w:sz w:val="24"/>
          <w:szCs w:val="24"/>
          <w:lang w:eastAsia="es-ES"/>
        </w:rPr>
      </w:pPr>
      <w:r>
        <w:br w:type="page"/>
      </w:r>
    </w:p>
    <w:p w14:paraId="07CF7041" w14:textId="77777777" w:rsidR="00F64776" w:rsidRDefault="00F64776" w:rsidP="00F64776">
      <w:pPr>
        <w:pStyle w:val="TtuloResolucin"/>
      </w:pPr>
      <w:bookmarkStart w:id="207" w:name="AUTO_2023_422"/>
      <w:r>
        <w:t>AUTO 422/2023, de 4 de septiembre de 2023</w:t>
      </w:r>
    </w:p>
    <w:bookmarkEnd w:id="207"/>
    <w:p w14:paraId="195549B3" w14:textId="77777777" w:rsidR="00F64776" w:rsidRDefault="00F64776" w:rsidP="00F64776">
      <w:pPr>
        <w:pStyle w:val="TtuloResolucin"/>
      </w:pPr>
      <w:r>
        <w:t>Sección Tercera</w:t>
      </w:r>
    </w:p>
    <w:p w14:paraId="4F019DC8" w14:textId="77777777" w:rsidR="00F64776" w:rsidRDefault="00F64776" w:rsidP="00F64776">
      <w:pPr>
        <w:pStyle w:val="TextoNormalCentrado"/>
      </w:pPr>
      <w:r>
        <w:t>ECLI:ES:TC:2023:422A</w:t>
      </w:r>
    </w:p>
    <w:p w14:paraId="27638F3D" w14:textId="317ACC6F" w:rsidR="00F64776" w:rsidRDefault="00F64776" w:rsidP="00F64776">
      <w:pPr>
        <w:pStyle w:val="TextoNormalCentrado"/>
      </w:pPr>
    </w:p>
    <w:p w14:paraId="43890FAC" w14:textId="77777777" w:rsidR="00F64776" w:rsidRDefault="00F64776" w:rsidP="00F64776">
      <w:pPr>
        <w:pStyle w:val="SntesisDescriptiva"/>
      </w:pPr>
      <w:r>
        <w:t>Excms. Srs. doña Inmaculada Montalbán Huertas y doña Laura Díez Bueso.</w:t>
      </w:r>
    </w:p>
    <w:p w14:paraId="403987A9" w14:textId="7A164604" w:rsidR="00F64776" w:rsidRDefault="00F64776" w:rsidP="00F64776">
      <w:pPr>
        <w:pStyle w:val="SntesisDescriptiva"/>
      </w:pPr>
    </w:p>
    <w:p w14:paraId="7DC6BE65" w14:textId="77777777" w:rsidR="00F64776" w:rsidRDefault="00F64776" w:rsidP="00F64776">
      <w:pPr>
        <w:pStyle w:val="SntesisDescriptiva"/>
      </w:pPr>
      <w:r>
        <w:t>Acepta una abstención en el recurso de amparo 3267-2023, promovido en proceso contencioso-administrativo.</w:t>
      </w:r>
    </w:p>
    <w:p w14:paraId="3A208B7C" w14:textId="0D93E50C" w:rsidR="00F64776" w:rsidRDefault="00F64776" w:rsidP="00F64776">
      <w:pPr>
        <w:pStyle w:val="SntesisDescriptiva"/>
      </w:pPr>
    </w:p>
    <w:p w14:paraId="5CD6412E" w14:textId="77777777" w:rsidR="00F64776" w:rsidRDefault="00F64776" w:rsidP="00F64776">
      <w:pPr>
        <w:pStyle w:val="SntesisDescriptiva"/>
      </w:pPr>
    </w:p>
    <w:p w14:paraId="746F7716" w14:textId="77777777" w:rsidR="00F64776" w:rsidRDefault="00F64776" w:rsidP="00F64776">
      <w:pPr>
        <w:pStyle w:val="SntesisDescriptiva"/>
      </w:pPr>
    </w:p>
    <w:p w14:paraId="590418B9" w14:textId="77777777" w:rsidR="00F64776" w:rsidRDefault="00F64776" w:rsidP="00F64776">
      <w:pPr>
        <w:pStyle w:val="TextoNormalNegritaCentrado"/>
      </w:pPr>
      <w:r>
        <w:t>AUTO</w:t>
      </w:r>
    </w:p>
    <w:p w14:paraId="4660A471" w14:textId="04916609" w:rsidR="00F64776" w:rsidRDefault="00F64776" w:rsidP="00F64776">
      <w:pPr>
        <w:pStyle w:val="TextoNormalNegritaCentrado"/>
      </w:pPr>
    </w:p>
    <w:p w14:paraId="50FF90BA" w14:textId="77777777" w:rsidR="00F64776" w:rsidRDefault="00F64776" w:rsidP="00F64776">
      <w:pPr>
        <w:pStyle w:val="TextoNormalNegritaCentrado"/>
        <w:keepNext/>
      </w:pPr>
      <w:r>
        <w:t>I. Antecedentes</w:t>
      </w:r>
    </w:p>
    <w:p w14:paraId="5FDA46AB" w14:textId="53D5ED5B" w:rsidR="00F64776" w:rsidRDefault="00F64776" w:rsidP="00F64776">
      <w:pPr>
        <w:pStyle w:val="TextoNormalNegritaCentrado"/>
        <w:keepNext/>
      </w:pPr>
    </w:p>
    <w:p w14:paraId="0CB32D04" w14:textId="6BEFD794" w:rsidR="00F64776" w:rsidRDefault="00F64776" w:rsidP="00F64776">
      <w:pPr>
        <w:pStyle w:val="TextoNormal"/>
      </w:pPr>
      <w:r w:rsidRPr="00F64776">
        <w:rPr>
          <w:rStyle w:val="NumeroAFNegritaCaracter"/>
        </w:rPr>
        <w:t>1</w:t>
      </w:r>
      <w:r>
        <w:t>. Mediante escrito registrado en este tribunal el 17 de mayo de 2023 el procurador de los tribunales don José María Ruiz de la Cuesta Vacas, en nombre y representación de don Daniel Moñino Zubia y bajo la dirección del letrado don Francisco Javier Araúz de Robles Dávila, interpuso demanda de amparo contra el auto de fecha 16 de noviembre de 2022, dictado por la Sección Primera de la Sala de lo Contencioso-Administrativo del Tribunal Supremo en recurso de queja núm. 401-2022 contra sentencia de la Sección Octava de la Sala de lo Contencioso-Administrativo del Tribunal Superior de Justicia de Madrid en procedimiento ordinario núm. 1750-2020.</w:t>
      </w:r>
    </w:p>
    <w:p w14:paraId="650EF953" w14:textId="77777777" w:rsidR="00F64776" w:rsidRDefault="00F64776" w:rsidP="00F64776">
      <w:pPr>
        <w:pStyle w:val="TextoNormal"/>
      </w:pPr>
    </w:p>
    <w:p w14:paraId="65F0B85A" w14:textId="68EFB12D" w:rsidR="00F64776" w:rsidRDefault="00F64776" w:rsidP="00F64776">
      <w:pPr>
        <w:pStyle w:val="TextoNormal"/>
      </w:pPr>
      <w:r w:rsidRPr="00F64776">
        <w:rPr>
          <w:rStyle w:val="NumeroAFNegritaCaracter"/>
        </w:rPr>
        <w:t>2</w:t>
      </w:r>
      <w:r>
        <w:t>. Por escrito de 12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47867BB9" w14:textId="77777777" w:rsidR="00F64776" w:rsidRDefault="00F64776" w:rsidP="00F64776">
      <w:pPr>
        <w:pStyle w:val="TextoNormal"/>
      </w:pPr>
    </w:p>
    <w:p w14:paraId="354555A7" w14:textId="77777777" w:rsidR="00F64776" w:rsidRDefault="00F64776" w:rsidP="00F64776">
      <w:pPr>
        <w:pStyle w:val="TextoNormalNegritaCentrado"/>
        <w:keepNext/>
      </w:pPr>
      <w:r>
        <w:t>II. Fundamentos jurídicos</w:t>
      </w:r>
    </w:p>
    <w:p w14:paraId="35E3CDF2" w14:textId="7F6087C4" w:rsidR="00F64776" w:rsidRDefault="00F64776" w:rsidP="00F64776">
      <w:pPr>
        <w:pStyle w:val="TextoNormalNegritaCentrado"/>
        <w:keepNext/>
      </w:pPr>
    </w:p>
    <w:p w14:paraId="275F9CCD" w14:textId="54E4DF99"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480DA221" w14:textId="77777777" w:rsidR="00F64776" w:rsidRDefault="00F64776" w:rsidP="00F64776">
      <w:pPr>
        <w:pStyle w:val="TextoNormal"/>
      </w:pPr>
    </w:p>
    <w:p w14:paraId="08463C6E" w14:textId="77777777" w:rsidR="00F64776" w:rsidRDefault="00F64776" w:rsidP="00F64776">
      <w:pPr>
        <w:pStyle w:val="TextoNormal"/>
      </w:pPr>
      <w:r>
        <w:t>Por lo expuesto, la Sección</w:t>
      </w:r>
    </w:p>
    <w:p w14:paraId="180D70EE" w14:textId="56B21115" w:rsidR="00F64776" w:rsidRDefault="00F64776" w:rsidP="00F64776">
      <w:pPr>
        <w:pStyle w:val="TextoNormal"/>
      </w:pPr>
    </w:p>
    <w:p w14:paraId="216AC0DE" w14:textId="77777777" w:rsidR="00F64776" w:rsidRDefault="00F64776" w:rsidP="00F64776">
      <w:pPr>
        <w:pStyle w:val="TextoNormalCentrado"/>
      </w:pPr>
      <w:r>
        <w:t>ACUERDA</w:t>
      </w:r>
    </w:p>
    <w:p w14:paraId="2C561644" w14:textId="7DA0EB2B" w:rsidR="00F64776" w:rsidRDefault="00F64776" w:rsidP="00F64776">
      <w:pPr>
        <w:pStyle w:val="TextoNormalCentrado"/>
      </w:pPr>
    </w:p>
    <w:p w14:paraId="31331EC5" w14:textId="11304004" w:rsidR="00F64776" w:rsidRDefault="00F64776" w:rsidP="00F64776">
      <w:pPr>
        <w:pStyle w:val="TextoNormal"/>
      </w:pPr>
      <w:r>
        <w:t>Estimar justificada la abstención formulada por el magistrado señor don César Tolosa Tribiño en el recurso de amparo núm. 3267-2023 y apartarle definitivamente del conocimiento del referido recurso y de todas sus incidencias.</w:t>
      </w:r>
    </w:p>
    <w:p w14:paraId="44C30B67" w14:textId="77777777" w:rsidR="00F64776" w:rsidRDefault="00F64776" w:rsidP="00F64776">
      <w:pPr>
        <w:pStyle w:val="TextoNormal"/>
      </w:pPr>
    </w:p>
    <w:p w14:paraId="219140B7" w14:textId="77777777" w:rsidR="00F64776" w:rsidRDefault="00F64776" w:rsidP="00F64776">
      <w:pPr>
        <w:pStyle w:val="TextoNormal"/>
      </w:pPr>
      <w:r>
        <w:t>Madrid, a cuatro de septiembre de dos mil veintitrés.</w:t>
      </w:r>
    </w:p>
    <w:p w14:paraId="49DFCFAB" w14:textId="2A2EB282" w:rsidR="00F64776" w:rsidRDefault="00F64776">
      <w:pPr>
        <w:spacing w:after="160" w:line="278" w:lineRule="auto"/>
        <w:rPr>
          <w:rFonts w:ascii="Times New Roman" w:eastAsia="Times New Roman" w:hAnsi="Times New Roman" w:cs="Times New Roman"/>
          <w:sz w:val="24"/>
          <w:szCs w:val="24"/>
          <w:lang w:eastAsia="es-ES"/>
        </w:rPr>
      </w:pPr>
      <w:r>
        <w:br w:type="page"/>
      </w:r>
    </w:p>
    <w:p w14:paraId="2B07FB69" w14:textId="77777777" w:rsidR="00F64776" w:rsidRDefault="00F64776" w:rsidP="00F64776">
      <w:pPr>
        <w:pStyle w:val="TtuloResolucin"/>
      </w:pPr>
      <w:bookmarkStart w:id="208" w:name="AUTO_2023_423"/>
      <w:r>
        <w:t>AUTO 423/2023, de 4 de septiembre de 2023</w:t>
      </w:r>
    </w:p>
    <w:bookmarkEnd w:id="208"/>
    <w:p w14:paraId="4AAC43E5" w14:textId="77777777" w:rsidR="00F64776" w:rsidRDefault="00F64776" w:rsidP="00F64776">
      <w:pPr>
        <w:pStyle w:val="TtuloResolucin"/>
      </w:pPr>
      <w:r>
        <w:t>Sección Tercera</w:t>
      </w:r>
    </w:p>
    <w:p w14:paraId="4358B662" w14:textId="77777777" w:rsidR="00F64776" w:rsidRDefault="00F64776" w:rsidP="00F64776">
      <w:pPr>
        <w:pStyle w:val="TextoNormalCentrado"/>
      </w:pPr>
      <w:r>
        <w:t>ECLI:ES:TC:2023:423A</w:t>
      </w:r>
    </w:p>
    <w:p w14:paraId="4835F3F9" w14:textId="58DD7830" w:rsidR="00F64776" w:rsidRDefault="00F64776" w:rsidP="00F64776">
      <w:pPr>
        <w:pStyle w:val="TextoNormalCentrado"/>
      </w:pPr>
    </w:p>
    <w:p w14:paraId="45B31191" w14:textId="77777777" w:rsidR="00F64776" w:rsidRDefault="00F64776" w:rsidP="00F64776">
      <w:pPr>
        <w:pStyle w:val="SntesisDescriptiva"/>
      </w:pPr>
      <w:r>
        <w:t>Excms. Srs. doña Inmaculada Montalbán Huertas y doña Laura Díez Bueso.</w:t>
      </w:r>
    </w:p>
    <w:p w14:paraId="13F9B3C2" w14:textId="6D71E6E0" w:rsidR="00F64776" w:rsidRDefault="00F64776" w:rsidP="00F64776">
      <w:pPr>
        <w:pStyle w:val="SntesisDescriptiva"/>
      </w:pPr>
    </w:p>
    <w:p w14:paraId="3225FD40" w14:textId="77777777" w:rsidR="00F64776" w:rsidRDefault="00F64776" w:rsidP="00F64776">
      <w:pPr>
        <w:pStyle w:val="SntesisDescriptiva"/>
      </w:pPr>
      <w:r>
        <w:t>Acepta una abstención en el recurso de amparo 3269-2023, promovido en proceso contencioso-administrativo.</w:t>
      </w:r>
    </w:p>
    <w:p w14:paraId="5E486786" w14:textId="1AB879D1" w:rsidR="00F64776" w:rsidRDefault="00F64776" w:rsidP="00F64776">
      <w:pPr>
        <w:pStyle w:val="SntesisDescriptiva"/>
      </w:pPr>
    </w:p>
    <w:p w14:paraId="73D0EA96" w14:textId="77777777" w:rsidR="00F64776" w:rsidRDefault="00F64776" w:rsidP="00F64776">
      <w:pPr>
        <w:pStyle w:val="SntesisDescriptiva"/>
      </w:pPr>
    </w:p>
    <w:p w14:paraId="7D5805C0" w14:textId="77777777" w:rsidR="00F64776" w:rsidRDefault="00F64776" w:rsidP="00F64776">
      <w:pPr>
        <w:pStyle w:val="SntesisDescriptiva"/>
      </w:pPr>
    </w:p>
    <w:p w14:paraId="6E141621" w14:textId="77777777" w:rsidR="00F64776" w:rsidRDefault="00F64776" w:rsidP="00F64776">
      <w:pPr>
        <w:pStyle w:val="TextoNormalNegritaCentrado"/>
      </w:pPr>
      <w:r>
        <w:t>AUTO</w:t>
      </w:r>
    </w:p>
    <w:p w14:paraId="53613193" w14:textId="52B7BE80" w:rsidR="00F64776" w:rsidRDefault="00F64776" w:rsidP="00F64776">
      <w:pPr>
        <w:pStyle w:val="TextoNormalNegritaCentrado"/>
      </w:pPr>
    </w:p>
    <w:p w14:paraId="0C51DD8C" w14:textId="77777777" w:rsidR="00F64776" w:rsidRDefault="00F64776" w:rsidP="00F64776">
      <w:pPr>
        <w:pStyle w:val="TextoNormalNegritaCentrado"/>
        <w:keepNext/>
      </w:pPr>
      <w:r>
        <w:t>I. Antecedentes</w:t>
      </w:r>
    </w:p>
    <w:p w14:paraId="3CBD56E2" w14:textId="46BAEE39" w:rsidR="00F64776" w:rsidRDefault="00F64776" w:rsidP="00F64776">
      <w:pPr>
        <w:pStyle w:val="TextoNormalNegritaCentrado"/>
        <w:keepNext/>
      </w:pPr>
    </w:p>
    <w:p w14:paraId="5EB7B5C1" w14:textId="375D2619" w:rsidR="00F64776" w:rsidRDefault="00F64776" w:rsidP="00F64776">
      <w:pPr>
        <w:pStyle w:val="TextoNormal"/>
      </w:pPr>
      <w:r w:rsidRPr="00F64776">
        <w:rPr>
          <w:rStyle w:val="NumeroAFNegritaCaracter"/>
        </w:rPr>
        <w:t>1</w:t>
      </w:r>
      <w:r>
        <w:t>. Mediante escrito registrado en este tribunal el 17 de mayo de 2023 el procurador de los tribunales don José María Ruiz de la Cuesta Vacas, en nombre y representación de don Gustavo Roig Domínguez y bajo la dirección del letrado don Francisco Javier Araúz de Robles Dávila, interpuso demanda de amparo contra la providencia de 10 de noviembre de 2022 de la Sección Primera de la Sala de lo Contencioso-Administrativo del Tribunal Supremo en recurso de queja 405-2022.</w:t>
      </w:r>
    </w:p>
    <w:p w14:paraId="7B1B3E62" w14:textId="77777777" w:rsidR="00F64776" w:rsidRDefault="00F64776" w:rsidP="00F64776">
      <w:pPr>
        <w:pStyle w:val="TextoNormal"/>
      </w:pPr>
    </w:p>
    <w:p w14:paraId="13CEBAA8" w14:textId="0C17BC22" w:rsidR="00F64776" w:rsidRDefault="00F64776" w:rsidP="00F64776">
      <w:pPr>
        <w:pStyle w:val="TextoNormal"/>
      </w:pPr>
      <w:r w:rsidRPr="00F64776">
        <w:rPr>
          <w:rStyle w:val="NumeroAFNegritaCaracter"/>
        </w:rPr>
        <w:t>2</w:t>
      </w:r>
      <w:r>
        <w:t>. Por escrito de 5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5BC9C1FB" w14:textId="77777777" w:rsidR="00F64776" w:rsidRDefault="00F64776" w:rsidP="00F64776">
      <w:pPr>
        <w:pStyle w:val="TextoNormal"/>
      </w:pPr>
    </w:p>
    <w:p w14:paraId="5D59C60F" w14:textId="77777777" w:rsidR="00F64776" w:rsidRDefault="00F64776" w:rsidP="00F64776">
      <w:pPr>
        <w:pStyle w:val="TextoNormalNegritaCentrado"/>
        <w:keepNext/>
      </w:pPr>
      <w:r>
        <w:t>II. Fundamentos jurídicos</w:t>
      </w:r>
    </w:p>
    <w:p w14:paraId="00F4D932" w14:textId="4C3D0E48" w:rsidR="00F64776" w:rsidRDefault="00F64776" w:rsidP="00F64776">
      <w:pPr>
        <w:pStyle w:val="TextoNormalNegritaCentrado"/>
        <w:keepNext/>
      </w:pPr>
    </w:p>
    <w:p w14:paraId="3B8E2277" w14:textId="0FEAEB5B"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2267C36C" w14:textId="77777777" w:rsidR="00F64776" w:rsidRDefault="00F64776" w:rsidP="00F64776">
      <w:pPr>
        <w:pStyle w:val="TextoNormal"/>
      </w:pPr>
    </w:p>
    <w:p w14:paraId="41643D30" w14:textId="77777777" w:rsidR="00F64776" w:rsidRDefault="00F64776" w:rsidP="00F64776">
      <w:pPr>
        <w:pStyle w:val="TextoNormal"/>
      </w:pPr>
      <w:r>
        <w:t>Por lo expuesto, la Sección</w:t>
      </w:r>
    </w:p>
    <w:p w14:paraId="5E9D935E" w14:textId="5E2B623A" w:rsidR="00F64776" w:rsidRDefault="00F64776" w:rsidP="00F64776">
      <w:pPr>
        <w:pStyle w:val="TextoNormal"/>
      </w:pPr>
    </w:p>
    <w:p w14:paraId="0BE8250C" w14:textId="77777777" w:rsidR="00F64776" w:rsidRDefault="00F64776" w:rsidP="00F64776">
      <w:pPr>
        <w:pStyle w:val="TextoNormalCentrado"/>
      </w:pPr>
      <w:r>
        <w:t>ACUERDA</w:t>
      </w:r>
    </w:p>
    <w:p w14:paraId="1B20C37A" w14:textId="52F7EA66" w:rsidR="00F64776" w:rsidRDefault="00F64776" w:rsidP="00F64776">
      <w:pPr>
        <w:pStyle w:val="TextoNormalCentrado"/>
      </w:pPr>
    </w:p>
    <w:p w14:paraId="54143F8B" w14:textId="27D68E91" w:rsidR="00F64776" w:rsidRDefault="00F64776" w:rsidP="00F64776">
      <w:pPr>
        <w:pStyle w:val="TextoNormal"/>
      </w:pPr>
      <w:r>
        <w:t>Estimar justificada la abstención formulada por el magistrado señor don César Tolosa Tribiño en el recurso de amparo núm. 3269-2023 y apartarle definitivamente del conocimiento del referido recurso y de todas sus incidencias.</w:t>
      </w:r>
    </w:p>
    <w:p w14:paraId="3395D972" w14:textId="77777777" w:rsidR="00F64776" w:rsidRDefault="00F64776" w:rsidP="00F64776">
      <w:pPr>
        <w:pStyle w:val="TextoNormal"/>
      </w:pPr>
    </w:p>
    <w:p w14:paraId="258B5402" w14:textId="77777777" w:rsidR="00F64776" w:rsidRDefault="00F64776" w:rsidP="00F64776">
      <w:pPr>
        <w:pStyle w:val="TextoNormal"/>
      </w:pPr>
      <w:r>
        <w:t>Madrid, a cuatro de septiembre de dos mil veintitrés.</w:t>
      </w:r>
    </w:p>
    <w:p w14:paraId="605ECEC0" w14:textId="302E882C" w:rsidR="00F64776" w:rsidRDefault="00F64776">
      <w:pPr>
        <w:spacing w:after="160" w:line="278" w:lineRule="auto"/>
        <w:rPr>
          <w:rFonts w:ascii="Times New Roman" w:eastAsia="Times New Roman" w:hAnsi="Times New Roman" w:cs="Times New Roman"/>
          <w:sz w:val="24"/>
          <w:szCs w:val="24"/>
          <w:lang w:eastAsia="es-ES"/>
        </w:rPr>
      </w:pPr>
      <w:r>
        <w:br w:type="page"/>
      </w:r>
    </w:p>
    <w:p w14:paraId="445631D6" w14:textId="77777777" w:rsidR="00F64776" w:rsidRDefault="00F64776" w:rsidP="00F64776">
      <w:pPr>
        <w:pStyle w:val="TtuloResolucin"/>
      </w:pPr>
      <w:bookmarkStart w:id="209" w:name="AUTO_2023_424"/>
      <w:r>
        <w:t>AUTO 424/2023, de 4 de septiembre de 2023</w:t>
      </w:r>
    </w:p>
    <w:bookmarkEnd w:id="209"/>
    <w:p w14:paraId="55B8F0CC" w14:textId="77777777" w:rsidR="00F64776" w:rsidRDefault="00F64776" w:rsidP="00F64776">
      <w:pPr>
        <w:pStyle w:val="TtuloResolucin"/>
      </w:pPr>
      <w:r>
        <w:t>Sección Tercera</w:t>
      </w:r>
    </w:p>
    <w:p w14:paraId="6BD63539" w14:textId="77777777" w:rsidR="00F64776" w:rsidRDefault="00F64776" w:rsidP="00F64776">
      <w:pPr>
        <w:pStyle w:val="TextoNormalCentrado"/>
      </w:pPr>
      <w:r>
        <w:t>ECLI:ES:TC:2023:424A</w:t>
      </w:r>
    </w:p>
    <w:p w14:paraId="5390E733" w14:textId="7902647E" w:rsidR="00F64776" w:rsidRDefault="00F64776" w:rsidP="00F64776">
      <w:pPr>
        <w:pStyle w:val="TextoNormalCentrado"/>
      </w:pPr>
    </w:p>
    <w:p w14:paraId="02B30665" w14:textId="77777777" w:rsidR="00F64776" w:rsidRDefault="00F64776" w:rsidP="00F64776">
      <w:pPr>
        <w:pStyle w:val="SntesisDescriptiva"/>
      </w:pPr>
      <w:r>
        <w:t>Excms. Srs. doña Inmaculada Montalbán Huertas y doña Laura Díez Bueso.</w:t>
      </w:r>
    </w:p>
    <w:p w14:paraId="35784634" w14:textId="622A0FF5" w:rsidR="00F64776" w:rsidRDefault="00F64776" w:rsidP="00F64776">
      <w:pPr>
        <w:pStyle w:val="SntesisDescriptiva"/>
      </w:pPr>
    </w:p>
    <w:p w14:paraId="4EEB9BD7" w14:textId="77777777" w:rsidR="00F64776" w:rsidRDefault="00F64776" w:rsidP="00F64776">
      <w:pPr>
        <w:pStyle w:val="SntesisDescriptiva"/>
      </w:pPr>
      <w:r>
        <w:t>Acepta una abstención en el recurso de amparo 3427-2023, promovido en proceso contencioso-administrativo.</w:t>
      </w:r>
    </w:p>
    <w:p w14:paraId="66D56CE2" w14:textId="24BF033A" w:rsidR="00F64776" w:rsidRDefault="00F64776" w:rsidP="00F64776">
      <w:pPr>
        <w:pStyle w:val="SntesisDescriptiva"/>
      </w:pPr>
    </w:p>
    <w:p w14:paraId="38EF30AC" w14:textId="77777777" w:rsidR="00F64776" w:rsidRDefault="00F64776" w:rsidP="00F64776">
      <w:pPr>
        <w:pStyle w:val="SntesisDescriptiva"/>
      </w:pPr>
    </w:p>
    <w:p w14:paraId="4D941808" w14:textId="77777777" w:rsidR="00F64776" w:rsidRDefault="00F64776" w:rsidP="00F64776">
      <w:pPr>
        <w:pStyle w:val="SntesisDescriptiva"/>
      </w:pPr>
    </w:p>
    <w:p w14:paraId="3011B4E8" w14:textId="77777777" w:rsidR="00F64776" w:rsidRDefault="00F64776" w:rsidP="00F64776">
      <w:pPr>
        <w:pStyle w:val="TextoNormalNegritaCentrado"/>
      </w:pPr>
      <w:r>
        <w:t>AUTO</w:t>
      </w:r>
    </w:p>
    <w:p w14:paraId="2C747A56" w14:textId="0B8608F1" w:rsidR="00F64776" w:rsidRDefault="00F64776" w:rsidP="00F64776">
      <w:pPr>
        <w:pStyle w:val="TextoNormalNegritaCentrado"/>
      </w:pPr>
    </w:p>
    <w:p w14:paraId="07118170" w14:textId="77777777" w:rsidR="00F64776" w:rsidRDefault="00F64776" w:rsidP="00F64776">
      <w:pPr>
        <w:pStyle w:val="TextoNormalNegritaCentrado"/>
        <w:keepNext/>
      </w:pPr>
      <w:r>
        <w:t>I. Antecedentes</w:t>
      </w:r>
    </w:p>
    <w:p w14:paraId="600FE91E" w14:textId="5D6F04A1" w:rsidR="00F64776" w:rsidRDefault="00F64776" w:rsidP="00F64776">
      <w:pPr>
        <w:pStyle w:val="TextoNormalNegritaCentrado"/>
        <w:keepNext/>
      </w:pPr>
    </w:p>
    <w:p w14:paraId="57A9B45E" w14:textId="617A75D5" w:rsidR="00F64776" w:rsidRDefault="00F64776" w:rsidP="00F64776">
      <w:pPr>
        <w:pStyle w:val="TextoNormal"/>
      </w:pPr>
      <w:r w:rsidRPr="00F64776">
        <w:rPr>
          <w:rStyle w:val="NumeroAFNegritaCaracter"/>
        </w:rPr>
        <w:t>1</w:t>
      </w:r>
      <w:r>
        <w:t>. Mediante escrito registrado en este tribunal el 23 de mayo de 2023 la procuradora de los tribunales doña Ana María Araúz de Robles Villalón, en nombre y representación de doña María Milagrosa Rodríguez García y bajo la dirección del letrado don Francisco Javier Araúz de Robles Dávila, interpuso demanda de amparo contra auto y providencia de la Sección Primera de la Sala de lo Contencioso-Administrativo del Tribunal Supremo en recurso de queja núm. 354-2022.</w:t>
      </w:r>
    </w:p>
    <w:p w14:paraId="60D4EDB2" w14:textId="77777777" w:rsidR="00F64776" w:rsidRDefault="00F64776" w:rsidP="00F64776">
      <w:pPr>
        <w:pStyle w:val="TextoNormal"/>
      </w:pPr>
    </w:p>
    <w:p w14:paraId="6888EFDB" w14:textId="3F7EDB8E" w:rsidR="00F64776" w:rsidRDefault="00F64776" w:rsidP="00F64776">
      <w:pPr>
        <w:pStyle w:val="TextoNormal"/>
      </w:pPr>
      <w:r w:rsidRPr="00F64776">
        <w:rPr>
          <w:rStyle w:val="NumeroAFNegritaCaracter"/>
        </w:rPr>
        <w:t>2</w:t>
      </w:r>
      <w:r>
        <w:t>. Por escrito de 5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6CEBEBB3" w14:textId="77777777" w:rsidR="00F64776" w:rsidRDefault="00F64776" w:rsidP="00F64776">
      <w:pPr>
        <w:pStyle w:val="TextoNormal"/>
      </w:pPr>
    </w:p>
    <w:p w14:paraId="136F27C1" w14:textId="77777777" w:rsidR="00F64776" w:rsidRDefault="00F64776" w:rsidP="00F64776">
      <w:pPr>
        <w:pStyle w:val="TextoNormalNegritaCentrado"/>
        <w:keepNext/>
      </w:pPr>
      <w:r>
        <w:t>II. Fundamentos jurídicos</w:t>
      </w:r>
    </w:p>
    <w:p w14:paraId="6860614E" w14:textId="5481D257" w:rsidR="00F64776" w:rsidRDefault="00F64776" w:rsidP="00F64776">
      <w:pPr>
        <w:pStyle w:val="TextoNormalNegritaCentrado"/>
        <w:keepNext/>
      </w:pPr>
    </w:p>
    <w:p w14:paraId="58E156B9" w14:textId="50AC0CA4"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545C507C" w14:textId="77777777" w:rsidR="00F64776" w:rsidRDefault="00F64776" w:rsidP="00F64776">
      <w:pPr>
        <w:pStyle w:val="TextoNormal"/>
      </w:pPr>
    </w:p>
    <w:p w14:paraId="62A1D443" w14:textId="77777777" w:rsidR="00F64776" w:rsidRDefault="00F64776" w:rsidP="00F64776">
      <w:pPr>
        <w:pStyle w:val="TextoNormal"/>
      </w:pPr>
      <w:r>
        <w:t>Por lo expuesto, la Sección</w:t>
      </w:r>
    </w:p>
    <w:p w14:paraId="33D49800" w14:textId="7DD800C0" w:rsidR="00F64776" w:rsidRDefault="00F64776" w:rsidP="00F64776">
      <w:pPr>
        <w:pStyle w:val="TextoNormal"/>
      </w:pPr>
    </w:p>
    <w:p w14:paraId="60608AAF" w14:textId="77777777" w:rsidR="00F64776" w:rsidRDefault="00F64776" w:rsidP="00F64776">
      <w:pPr>
        <w:pStyle w:val="TextoNormalCentrado"/>
      </w:pPr>
      <w:r>
        <w:t>ACUERDA</w:t>
      </w:r>
    </w:p>
    <w:p w14:paraId="4E2B269A" w14:textId="6874B56A" w:rsidR="00F64776" w:rsidRDefault="00F64776" w:rsidP="00F64776">
      <w:pPr>
        <w:pStyle w:val="TextoNormalCentrado"/>
      </w:pPr>
    </w:p>
    <w:p w14:paraId="6D0212E8" w14:textId="039C4BA4" w:rsidR="00F64776" w:rsidRDefault="00F64776" w:rsidP="00F64776">
      <w:pPr>
        <w:pStyle w:val="TextoNormal"/>
      </w:pPr>
      <w:r>
        <w:t>Estimar justificada la abstención formulada por el magistrado señor don César Tolosa Tribiño en el recurso de amparo núm. 3427-2023 y apartarle definitivamente del conocimiento del referido recurso y de todas sus incidencias.</w:t>
      </w:r>
    </w:p>
    <w:p w14:paraId="2D92E043" w14:textId="77777777" w:rsidR="00F64776" w:rsidRDefault="00F64776" w:rsidP="00F64776">
      <w:pPr>
        <w:pStyle w:val="TextoNormal"/>
      </w:pPr>
    </w:p>
    <w:p w14:paraId="1F9EEF23" w14:textId="77777777" w:rsidR="00F64776" w:rsidRDefault="00F64776" w:rsidP="00F64776">
      <w:pPr>
        <w:pStyle w:val="TextoNormal"/>
      </w:pPr>
      <w:r>
        <w:t>Madrid, a cuatro de septiembre de dos mil veintitrés.</w:t>
      </w:r>
    </w:p>
    <w:p w14:paraId="168AF16C" w14:textId="6B5C81B1" w:rsidR="00F64776" w:rsidRDefault="00F64776">
      <w:pPr>
        <w:spacing w:after="160" w:line="278" w:lineRule="auto"/>
        <w:rPr>
          <w:rFonts w:ascii="Times New Roman" w:eastAsia="Times New Roman" w:hAnsi="Times New Roman" w:cs="Times New Roman"/>
          <w:sz w:val="24"/>
          <w:szCs w:val="24"/>
          <w:lang w:eastAsia="es-ES"/>
        </w:rPr>
      </w:pPr>
      <w:r>
        <w:br w:type="page"/>
      </w:r>
    </w:p>
    <w:p w14:paraId="58D48A8F" w14:textId="77777777" w:rsidR="00F64776" w:rsidRDefault="00F64776" w:rsidP="00F64776">
      <w:pPr>
        <w:pStyle w:val="TtuloResolucin"/>
      </w:pPr>
      <w:bookmarkStart w:id="210" w:name="AUTO_2023_425"/>
      <w:r>
        <w:t>AUTO 425/2023, de 5 de septiembre de 2023</w:t>
      </w:r>
    </w:p>
    <w:bookmarkEnd w:id="210"/>
    <w:p w14:paraId="1F7D24B2" w14:textId="77777777" w:rsidR="00F64776" w:rsidRDefault="00F64776" w:rsidP="00F64776">
      <w:pPr>
        <w:pStyle w:val="TtuloResolucin"/>
      </w:pPr>
      <w:r>
        <w:t>Sala Segunda</w:t>
      </w:r>
    </w:p>
    <w:p w14:paraId="2121EFC1" w14:textId="77777777" w:rsidR="00F64776" w:rsidRDefault="00F64776" w:rsidP="00F64776">
      <w:pPr>
        <w:pStyle w:val="TtuloBOE"/>
      </w:pPr>
      <w:r>
        <w:t>(BOE núm. 244, de 12 de octubre de 2023)</w:t>
      </w:r>
    </w:p>
    <w:p w14:paraId="53AEDCCC" w14:textId="77777777" w:rsidR="00F64776" w:rsidRDefault="00F64776" w:rsidP="00F64776">
      <w:pPr>
        <w:pStyle w:val="TextoNormalCentrado"/>
      </w:pPr>
      <w:r>
        <w:t>ECLI:ES:TC:2023:425A</w:t>
      </w:r>
    </w:p>
    <w:p w14:paraId="09D42972" w14:textId="2B46BC34" w:rsidR="00F64776" w:rsidRDefault="00F64776" w:rsidP="00F64776">
      <w:pPr>
        <w:pStyle w:val="TextoNormalCentrado"/>
      </w:pPr>
    </w:p>
    <w:p w14:paraId="306421B3" w14:textId="77777777" w:rsidR="00F64776" w:rsidRDefault="00F64776" w:rsidP="00F64776">
      <w:pPr>
        <w:pStyle w:val="SntesisDescriptiva"/>
      </w:pPr>
      <w:r>
        <w:t>Excms. Srs. doña Inmaculada Montalbán Huertas, doña María Luisa Balaguer Callejón, don Ramón Sáez Valcárcel, don Enrique Arnaldo Alcubilla, don César Tolosa Tribiño y doña Laura Díez Bueso.</w:t>
      </w:r>
    </w:p>
    <w:p w14:paraId="6EC52C15" w14:textId="1D390AE8" w:rsidR="00F64776" w:rsidRDefault="00F64776" w:rsidP="00F64776">
      <w:pPr>
        <w:pStyle w:val="SntesisDescriptiva"/>
      </w:pPr>
    </w:p>
    <w:p w14:paraId="2AE8BC91" w14:textId="77777777" w:rsidR="00F64776" w:rsidRDefault="00F64776" w:rsidP="00F64776">
      <w:pPr>
        <w:pStyle w:val="SntesisDescriptiva"/>
      </w:pPr>
      <w:r>
        <w:t>Admite a trámite el recurso de amparo 5529-2023, promovido por el Partido Socialista Obrero Español y otros en procedimiento electoral. Voto particular.</w:t>
      </w:r>
    </w:p>
    <w:p w14:paraId="70439131" w14:textId="6B25F9B0" w:rsidR="00F64776" w:rsidRDefault="00F64776" w:rsidP="00F64776">
      <w:pPr>
        <w:pStyle w:val="SntesisDescriptiva"/>
      </w:pPr>
    </w:p>
    <w:p w14:paraId="5BA6ADDF" w14:textId="77777777" w:rsidR="00F64776" w:rsidRDefault="00F64776" w:rsidP="00F64776">
      <w:pPr>
        <w:pStyle w:val="SntesisDescriptiva"/>
      </w:pPr>
    </w:p>
    <w:p w14:paraId="71E42C42" w14:textId="77777777" w:rsidR="00F64776" w:rsidRDefault="00F64776" w:rsidP="00F64776">
      <w:pPr>
        <w:pStyle w:val="SntesisDescriptiva"/>
      </w:pPr>
    </w:p>
    <w:p w14:paraId="32867C6F" w14:textId="77777777" w:rsidR="00F64776" w:rsidRDefault="00F64776" w:rsidP="00F64776">
      <w:pPr>
        <w:pStyle w:val="TextoNormalNegritaCentrado"/>
      </w:pPr>
      <w:r>
        <w:t>AUTO</w:t>
      </w:r>
    </w:p>
    <w:p w14:paraId="5622D931" w14:textId="11F30153" w:rsidR="00F64776" w:rsidRDefault="00F64776" w:rsidP="00F64776">
      <w:pPr>
        <w:pStyle w:val="TextoNormalNegritaCentrado"/>
      </w:pPr>
    </w:p>
    <w:p w14:paraId="19DFAF86" w14:textId="77777777" w:rsidR="00F64776" w:rsidRDefault="00F64776" w:rsidP="00F64776">
      <w:pPr>
        <w:pStyle w:val="TextoNormalNegritaCentrado"/>
        <w:keepNext/>
      </w:pPr>
      <w:r>
        <w:t>I. Antecedentes</w:t>
      </w:r>
    </w:p>
    <w:p w14:paraId="0757DC5A" w14:textId="50AD0D2F" w:rsidR="00F64776" w:rsidRDefault="00F64776" w:rsidP="00F64776">
      <w:pPr>
        <w:pStyle w:val="TextoNormalNegritaCentrado"/>
        <w:keepNext/>
      </w:pPr>
    </w:p>
    <w:p w14:paraId="70531473" w14:textId="5169F466" w:rsidR="00F64776" w:rsidRDefault="00F64776" w:rsidP="00F64776">
      <w:pPr>
        <w:pStyle w:val="TextoNormal"/>
      </w:pPr>
      <w:r w:rsidRPr="00F64776">
        <w:rPr>
          <w:rStyle w:val="NumeroAFNegritaCaracter"/>
        </w:rPr>
        <w:t>1</w:t>
      </w:r>
      <w:r>
        <w:t>. Por escrito registrado en este tribunal el 28 de agosto de 2023, el Partido Socialista Obrero Español, doña Cristina Pavón López, representante provincial del Partido Socialista Obrero Español (PSOE), y don Javier Rodríguez Palacios, representados por la procuradora de los tribunales doña Virginia Aragón Segura y bajo la dirección del letrado don Alberto Cachinero Capitán y de la letrada doña Verónica Gutiérrez López, interpusieron recurso de amparo contra la sentencia núm. 1105/2023 de la Sala de lo Contencioso-Administrativo del Tribunal Supremo, dictada el 25 de agosto de 2023 en el recurso contencioso-administrativo electoral núm. 779-2023.</w:t>
      </w:r>
    </w:p>
    <w:p w14:paraId="56B063DB" w14:textId="77777777" w:rsidR="00F64776" w:rsidRDefault="00F64776" w:rsidP="00F64776">
      <w:pPr>
        <w:pStyle w:val="TextoNormal"/>
      </w:pPr>
    </w:p>
    <w:p w14:paraId="354A3687" w14:textId="77777777" w:rsidR="00F64776" w:rsidRDefault="00F64776" w:rsidP="00F64776">
      <w:pPr>
        <w:pStyle w:val="TextoNormal"/>
      </w:pPr>
      <w:r w:rsidRPr="00F64776">
        <w:rPr>
          <w:rStyle w:val="NumeroAFNegritaCaracter"/>
        </w:rPr>
        <w:t>2</w:t>
      </w:r>
      <w:r>
        <w:t>. El recurso tiene su origen en los siguientes antecedentes:</w:t>
      </w:r>
    </w:p>
    <w:p w14:paraId="469BA452" w14:textId="77777777" w:rsidR="00F64776" w:rsidRDefault="00F64776" w:rsidP="00F64776">
      <w:pPr>
        <w:pStyle w:val="TextoNormal"/>
      </w:pPr>
    </w:p>
    <w:p w14:paraId="5FEDDC37" w14:textId="77777777" w:rsidR="00F64776" w:rsidRDefault="00F64776" w:rsidP="00F64776">
      <w:pPr>
        <w:pStyle w:val="TextoNormal"/>
      </w:pPr>
      <w:r>
        <w:t>a) El pasado 23 de julio de 2023 se celebraron elecciones a las Cortes Generales, convocadas mediante el Real Decreto 400/2023, de 29 de mayo, de disolución del Congreso de los Diputados y del Senado y de convocatoria de elecciones. En las candidaturas proclamadas para la circunscripción de Madrid para el Congreso de los Diputados por el PSOE consta don Javier Rodríguez Palacios, con el núm. 11, y por el Partido Popular (PP) consta don Carlos García Adanero, con el núm. 16.</w:t>
      </w:r>
    </w:p>
    <w:p w14:paraId="24959F27" w14:textId="77777777" w:rsidR="00F64776" w:rsidRDefault="00F64776" w:rsidP="00F64776">
      <w:pPr>
        <w:pStyle w:val="TextoNormal"/>
      </w:pPr>
    </w:p>
    <w:p w14:paraId="52AF5F1C" w14:textId="77777777" w:rsidR="00F64776" w:rsidRDefault="00F64776" w:rsidP="00F64776">
      <w:pPr>
        <w:pStyle w:val="TextoNormal"/>
      </w:pPr>
      <w:r>
        <w:t>b) El 28 de julio de 2023 tuvo lugar el escrutinio de la circunscripción de Madrid del voto CERA (censo de electores residentes ausentes que viven en el extranjero) y el escrutinio general de la circunscripción de Madrid por la Junta Electoral Provincial (en adelante, JEP) de Madrid. Así, los datos provisionales de la circunscripción de Madrid para el Congreso de los Diputados arrojaban un resultado de un 40,51 por 100 de voto al PP (1 443 881 votos, con quince escaños) y del 27,88 por 100 al PSOE (993 870 votos, con once escaños), quedando el PP a 1749 votos de obtener un decimosexto diputado.</w:t>
      </w:r>
    </w:p>
    <w:p w14:paraId="3D17C08E" w14:textId="77777777" w:rsidR="00F64776" w:rsidRDefault="00F64776" w:rsidP="00F64776">
      <w:pPr>
        <w:pStyle w:val="TextoNormal"/>
      </w:pPr>
    </w:p>
    <w:p w14:paraId="00FF650A" w14:textId="77777777" w:rsidR="00F64776" w:rsidRDefault="00F64776" w:rsidP="00F64776">
      <w:pPr>
        <w:pStyle w:val="TextoNormal"/>
      </w:pPr>
      <w:r>
        <w:t>c) El escrutinio del voto CERA, concluyó, según el acta de escrutinio, a las 14:00 horas del día 29 de julio, procediendo la Junta Electoral Provincial de Madrid ese mismo día a realizar públicamente y en presencia de los representantes de las candidaturas la comparación de las actas de sesión de los sobres núm. 1 de las mesas electorales con los datos provisionales de la administración pública. Finalizada la operación, y una vez integrado el escrutinio del voto CERA, se trasladó por correo electrónico a las formaciones políticas el resultado obtenido, que resultó ser el siguiente: 41,09 por 100 de voto al PP (1 463 112 votos, con dieciséis escaños) y del 28,21 por 100 al PSOE (1 004 567 votos, con diez escaños). El PSOE había quedado a 1323 votos de obtener su decimoprimer diputado.</w:t>
      </w:r>
    </w:p>
    <w:p w14:paraId="3C4D330F" w14:textId="77777777" w:rsidR="00F64776" w:rsidRDefault="00F64776" w:rsidP="00F64776">
      <w:pPr>
        <w:pStyle w:val="TextoNormal"/>
      </w:pPr>
    </w:p>
    <w:p w14:paraId="39146015" w14:textId="77777777" w:rsidR="00F64776" w:rsidRDefault="00F64776" w:rsidP="00F64776">
      <w:pPr>
        <w:pStyle w:val="TextoNormal"/>
      </w:pPr>
      <w:r>
        <w:t>d) El 30 de julio, antes de la finalización del escrutinio general por la Junta Electoral Provincial, el PSOE solicitó por escrito la conservación de todo el voto declarado nulo protestado, del declarado válido y protestado por su candidatura, así como del voto declarado inválido por falta de requisitos de validez del voto CERA, ante la ausencia del conocimiento del dato previo del voto recibido y su no revisión pormenorizada. Igualmente requería los datos del voto recibido de los consulados emitidos en urna, voto por correo exterior y voto por correo CERA-CER y del voto declarado inválido del voto emitido en urna en los consulados, voto por correo exterior, y voto por correo CERA-CER.</w:t>
      </w:r>
    </w:p>
    <w:p w14:paraId="4C236AB4" w14:textId="77777777" w:rsidR="00F64776" w:rsidRDefault="00F64776" w:rsidP="00F64776">
      <w:pPr>
        <w:pStyle w:val="TextoNormal"/>
      </w:pPr>
    </w:p>
    <w:p w14:paraId="4E14A19B" w14:textId="77777777" w:rsidR="00F64776" w:rsidRDefault="00F64776" w:rsidP="00F64776">
      <w:pPr>
        <w:pStyle w:val="TextoNormal"/>
      </w:pPr>
      <w:r>
        <w:t>Posteriormente, ese mismo día, presentó escrito solicitando: (i) Continuar el escrutinio general en un acto público, con la participación de los representantes de todas las candidaturas que considerasen asistir, permitiendo examinar las papeletas y votos nulos en todas y cada una de las secciones, que correspondieran a todas las actas de las secciones/mesas de la Comunidad de Madrid; (ii) Efectuar en ese acto público, la apertura de todos los votos nulos que constaran en los sobres núm. 1, de forma que la Junta Electoral Provincial validara aquellos que cumplieran los requisitos necesarios y que pudieran impugnarse que las candidaturas considerasen oportunos, en su caso, a los efectos de posibles recursos frente al escrutinio general.</w:t>
      </w:r>
    </w:p>
    <w:p w14:paraId="7AED2832" w14:textId="77777777" w:rsidR="00F64776" w:rsidRDefault="00F64776" w:rsidP="00F64776">
      <w:pPr>
        <w:pStyle w:val="TextoNormal"/>
      </w:pPr>
    </w:p>
    <w:p w14:paraId="7A31D048" w14:textId="77777777" w:rsidR="00F64776" w:rsidRDefault="00F64776" w:rsidP="00F64776">
      <w:pPr>
        <w:pStyle w:val="TextoNormal"/>
      </w:pPr>
      <w:r>
        <w:t>e) Tras dar audiencia al resto de candidaturas, la Junta Electoral Provincial dictó los acuerdos núms. 29 y 30, desestimando la petición de revisión de la totalidad del voto nulo de la Comunidad de Madrid.</w:t>
      </w:r>
    </w:p>
    <w:p w14:paraId="5E9BB8E1" w14:textId="77777777" w:rsidR="00F64776" w:rsidRDefault="00F64776" w:rsidP="00F64776">
      <w:pPr>
        <w:pStyle w:val="TextoNormal"/>
      </w:pPr>
    </w:p>
    <w:p w14:paraId="42790D4A" w14:textId="77777777" w:rsidR="00F64776" w:rsidRDefault="00F64776" w:rsidP="00F64776">
      <w:pPr>
        <w:pStyle w:val="TextoNormal"/>
      </w:pPr>
      <w:r>
        <w:t>Seguidamente se procedió por la Junta Electoral Provincial a la revisión de las actas del Congreso, a la de los sobres núm. 1 que contenía los votos nulos que fueron protestados en las mesas y a la de las actas del Senado. Después de esta operación se declararon válidos un total de 140 votos que habían sido considerados nulos (PP: 74, PSOE: 32, Sumar: 12, Vox: 21 y Por un Mundo Justo PUM+J: 1).</w:t>
      </w:r>
    </w:p>
    <w:p w14:paraId="43A8E9AC" w14:textId="77777777" w:rsidR="00F64776" w:rsidRDefault="00F64776" w:rsidP="00F64776">
      <w:pPr>
        <w:pStyle w:val="TextoNormal"/>
      </w:pPr>
    </w:p>
    <w:p w14:paraId="4A9A7CC8" w14:textId="77777777" w:rsidR="00F64776" w:rsidRDefault="00F64776" w:rsidP="00F64776">
      <w:pPr>
        <w:pStyle w:val="TextoNormal"/>
      </w:pPr>
      <w:r>
        <w:t>f) Realizado el escrutinio del Congreso de los Diputados por la circunscripción de Madrid, tal como se recoge en el acta, se arrojan los siguientes resultados: un 40,55 por 100 de voto al PP (1 463 186 votos, con dieciséis escaños) y un 27,84 por 100 al PSOE (1 004 599 votos, con diez escaños); y un número de votos nulos totales de 30 824. Es decir, que el PSOE había quedado a 1341 votos de obtener su decimoprimer diputado.</w:t>
      </w:r>
    </w:p>
    <w:p w14:paraId="7CB99CE3" w14:textId="77777777" w:rsidR="00F64776" w:rsidRDefault="00F64776" w:rsidP="00F64776">
      <w:pPr>
        <w:pStyle w:val="TextoNormal"/>
      </w:pPr>
    </w:p>
    <w:p w14:paraId="4BE20F14" w14:textId="77777777" w:rsidR="00F64776" w:rsidRDefault="00F64776" w:rsidP="00F64776">
      <w:pPr>
        <w:pStyle w:val="TextoNormal"/>
      </w:pPr>
      <w:r>
        <w:t>g) El 31 de julio de 2023, conforme a lo previsto en el artículo 108.2 de la Ley Orgánica del régimen electoral general (LOREG), el PSOE presentó reclamación frente al escrutinio general de Madrid realizado por la Junta Electoral Provincial de Madrid, que fue desestimada por acuerdo núm. 31, de 1 de agosto, al entender que lo que se solicitaba era una revisión total del voto declarado nulo en la circunscripción electoral de Madrid, no habiéndose alegado circunstancia especial que justificara tal revisión.</w:t>
      </w:r>
    </w:p>
    <w:p w14:paraId="762627A1" w14:textId="77777777" w:rsidR="00F64776" w:rsidRDefault="00F64776" w:rsidP="00F64776">
      <w:pPr>
        <w:pStyle w:val="TextoNormal"/>
      </w:pPr>
    </w:p>
    <w:p w14:paraId="59814688" w14:textId="77777777" w:rsidR="00F64776" w:rsidRDefault="00F64776" w:rsidP="00F64776">
      <w:pPr>
        <w:pStyle w:val="TextoNormal"/>
      </w:pPr>
      <w:r>
        <w:t>h) Interpuesto recurso contra el acuerdo núm. 30 de la Junta Electoral Provincial de Madrid ante la Junta Electoral Central, el mismo fue desestimado por acuerdo núm. 555-2023, de 7 de agosto. En esta resolución se razona que:</w:t>
      </w:r>
    </w:p>
    <w:p w14:paraId="58746367" w14:textId="77777777" w:rsidR="00F64776" w:rsidRDefault="00F64776" w:rsidP="00F64776">
      <w:pPr>
        <w:pStyle w:val="TextoNormal"/>
      </w:pPr>
    </w:p>
    <w:p w14:paraId="39853DFC" w14:textId="77777777" w:rsidR="00F64776" w:rsidRDefault="00F64776" w:rsidP="00F64776">
      <w:pPr>
        <w:pStyle w:val="TextoNormal"/>
      </w:pPr>
      <w:r>
        <w:t>“En el caso que ahora se le plantea a esta Junta no se aduce ningún motivo o indicio de irregularidad, pero se le pide que acuerde repetir el escrutinio general hecho por la Junta Electoral Provincial de Madrid de tos votos emitidos en las 7118 mesas electorales de la circunscripción de Madrid, para poder revisar los votos considerados nulos, todo ello a pesar de que ni siquiera el partido recurrente cuestiona la regularidad del procedimiento seguido. Se persigue, en suma, convertir a la Junta Electoral Provincial en una mesa de revisión universal de todos los votos declarados nulos por todas las mesas de la circunscripción sin aducir una irregularidad concreta que justifique ese examen. Una medida de esa naturaleza en opinión de esta Junta, carece de anclaje constitucional y legal puesto que desfiguraría radicalmente el procedimiento previsto en la LOREG, impediría cumplir con los plazos legales establecidos y podría incluso afectar a la constitución de las Cámaras (puesto que esa revisión tendría que dar lugar a un nuevo plazo de reclamación por los representantes de las candidaturas, conforme al artículo 108.2 de la LOREG, nueva resolución de la Junta Electoral Provincial y eventual recurso posterior ante la Junta Electoral Central conforme a lo establecido en el artículo 108.3 de la LOREG)”.</w:t>
      </w:r>
    </w:p>
    <w:p w14:paraId="071FBBEC" w14:textId="77777777" w:rsidR="00F64776" w:rsidRDefault="00F64776" w:rsidP="00F64776">
      <w:pPr>
        <w:pStyle w:val="TextoNormal"/>
      </w:pPr>
    </w:p>
    <w:p w14:paraId="2D6BF65A" w14:textId="77777777" w:rsidR="00F64776" w:rsidRDefault="00F64776" w:rsidP="00F64776">
      <w:pPr>
        <w:pStyle w:val="TextoNormal"/>
      </w:pPr>
      <w:r>
        <w:t xml:space="preserve">i) Con fecha 8 de agosto de 2023 la Junta Electoral Provincial de Madrid procedió, </w:t>
      </w:r>
      <w:r w:rsidRPr="00F64776">
        <w:rPr>
          <w:i/>
        </w:rPr>
        <w:t>ex</w:t>
      </w:r>
      <w:r>
        <w:t xml:space="preserve"> art. 108. 4 y 6 LOREG, a la proclamación oficial de los diputados electos para el Congreso de los Diputados en las elecciones generales por la circunscripción de Madrid, levantando acta que fue comunicada al PSOE por correo electrónico ese mismo día, y en la que se atribuyen dieciséis diputados al PP, con 1 463 183 votos (40,54 por 100) y diez al PSOE (27,84 por 100), con 1 004 599 votos, considerando un total de 30 827 votos nulos.</w:t>
      </w:r>
    </w:p>
    <w:p w14:paraId="434C0F4A" w14:textId="77777777" w:rsidR="00F64776" w:rsidRDefault="00F64776" w:rsidP="00F64776">
      <w:pPr>
        <w:pStyle w:val="TextoNormal"/>
      </w:pPr>
    </w:p>
    <w:p w14:paraId="3E2CB8A0" w14:textId="77777777" w:rsidR="00F64776" w:rsidRDefault="00F64776" w:rsidP="00F64776">
      <w:pPr>
        <w:pStyle w:val="TextoNormal"/>
      </w:pPr>
      <w:r>
        <w:t>j) Interpuesto recurso contencioso-administrativo electoral contra el acuerdo de proclamación de diputados electos para el Congreso de los Diputados, el mismo fue desestimado por sentencia de 25 de agosto de 2023 de la Sala de lo Contencioso-Administrativo del Tribunal Supremo, notificada ese mismo día.</w:t>
      </w:r>
    </w:p>
    <w:p w14:paraId="0A776450" w14:textId="77777777" w:rsidR="00F64776" w:rsidRDefault="00F64776" w:rsidP="00F64776">
      <w:pPr>
        <w:pStyle w:val="TextoNormal"/>
      </w:pPr>
    </w:p>
    <w:p w14:paraId="593895AD" w14:textId="77777777" w:rsidR="00F64776" w:rsidRDefault="00F64776" w:rsidP="00F64776">
      <w:pPr>
        <w:pStyle w:val="TextoNormal"/>
      </w:pPr>
      <w:r>
        <w:t>La sentencia descarta que el recurso incurriera en los motivos de inadmisión alegados por el Partido Popular. Afirma, en primer lugar, que la petición formulada por el PSOE durante el acto del escrutinio general y antes de que finalizara el mismo fue tempestiva, se formuló en una fase del procedimiento electoral oportuna, al igual que la impugnación de los acuerdos de la Junta Electoral Provincial y de la Junta Electoral Central se hizo por el cauce oportuno. Tampoco se observan óbices procesales, ni ejercicio abusivo del derecho, pues —a decir de la Sala— “lo que se suscita no es algo que haya sido expresa y claramente abordado por el legislador ni por la jurisprudencia ordinaria o constitucional. Por tanto, ante lo evidente de la repercusión que posee adoptar una u otra decisión interpretativa, admitimos como legítimo, no abusivo, el acudimiento a los recursos administrativos y contenciosos que la propia LOREG ha establecido”. Y fija la cuestión debatida en determinar la legalidad de la actuación de la Junta Electoral Provincial de Madrid, ratificada por la Junta Electoral Central, de denegar la solicitud del PSOE de revisar la totalidad de los votos nulos de la circunscripción electoral de Madrid incluidos en los sobres núm. 1 remitidos por cada una de las 7104 mesas, con único fundamento en el ajustado resultado final en relación con el último escaño disputado que tras el recuento del voto CERA se atribuyó al PP.</w:t>
      </w:r>
    </w:p>
    <w:p w14:paraId="390C113B" w14:textId="77777777" w:rsidR="00F64776" w:rsidRDefault="00F64776" w:rsidP="00F64776">
      <w:pPr>
        <w:pStyle w:val="TextoNormal"/>
      </w:pPr>
    </w:p>
    <w:p w14:paraId="3821531E" w14:textId="77777777" w:rsidR="00F64776" w:rsidRDefault="00F64776" w:rsidP="00F64776">
      <w:pPr>
        <w:pStyle w:val="TextoNormal"/>
      </w:pPr>
      <w:r>
        <w:t>Tras repasar la doctrina constitucional sobre el derecho fundamental a acceder a los cargos públicos representativos garantizado en el art. 23.2 CE, analizando especialmente aquellas sentencias en las que se habían planteado discrepancias en el cómputo de votos (SSTC 24/1990, de 15 de febrero, FJ 8; 26/1990, de 19 de febrero, FJ 9; 131/1990, de 16 de julio, FJ 6; 166/1991, de 19 de julio, FFJJ 2 y 3, y 105/2012, de 11 de mayo) subraya que en todos aquellos supuestos se partía de la concurrencia de un vicio o irregularidad previa en el proceso electoral.</w:t>
      </w:r>
    </w:p>
    <w:p w14:paraId="18EC75E4" w14:textId="77777777" w:rsidR="00F64776" w:rsidRDefault="00F64776" w:rsidP="00F64776">
      <w:pPr>
        <w:pStyle w:val="TextoNormal"/>
      </w:pPr>
    </w:p>
    <w:p w14:paraId="7A3B88D5" w14:textId="77777777" w:rsidR="00F64776" w:rsidRDefault="00F64776" w:rsidP="00F64776">
      <w:pPr>
        <w:pStyle w:val="TextoNormal"/>
      </w:pPr>
      <w:r>
        <w:t>Acto seguido, tras analizar la STC 159/2015, de 14 de julio, relativa también a un supuesto en el que se solicitó por un partido político la revisión de todo el voto nulo no protestado, señala que dicha sentencia indica “los sucesivos peldaños que el razonamiento jurídico ha de subir hasta desembocar, en su caso, en el otorgamiento del amparo en favor de quien postula el examen de todos los votos nulos habidos en las elecciones: 1) Debe haber observado un comportamiento diligente a lo largo del procedimiento. 2) La reclamación formulada jurisdiccionalmente no debe ser abusiva. 3) Ha de existir un conjunto de circunstancias que justifiquen una solicitud de revisión escrutadora tan amplia. 4) Es imprescindible superar el juicio de relevancia”.</w:t>
      </w:r>
    </w:p>
    <w:p w14:paraId="099BEB88" w14:textId="77777777" w:rsidR="00F64776" w:rsidRDefault="00F64776" w:rsidP="00F64776">
      <w:pPr>
        <w:pStyle w:val="TextoNormal"/>
      </w:pPr>
    </w:p>
    <w:p w14:paraId="173050A8" w14:textId="77777777" w:rsidR="00F64776" w:rsidRDefault="00F64776" w:rsidP="00F64776">
      <w:pPr>
        <w:pStyle w:val="TextoNormal"/>
      </w:pPr>
      <w:r>
        <w:t>Señala la sentencia que en el presente caso, se han superado los dos primeros pasos, pero no así los siguientes. En tal sentido afirma que el partido recurrente no solo no ha identificado irregularidad o anomalía alguna, sino que reconoce abiertamente que no las hubo ni en las mesas electorales, ni en el procedimiento de escrutinio. Y, por ello, insiste en aclarar que no existe un derecho general a la revisión de las papeletas nulas no protestadas, sino que tal derecho se puede ejercitar cuando existe una razón para su revisión.</w:t>
      </w:r>
    </w:p>
    <w:p w14:paraId="2AD8F218" w14:textId="77777777" w:rsidR="00F64776" w:rsidRDefault="00F64776" w:rsidP="00F64776">
      <w:pPr>
        <w:pStyle w:val="TextoNormal"/>
      </w:pPr>
    </w:p>
    <w:p w14:paraId="6C250CA2" w14:textId="6D456DF7" w:rsidR="00F64776" w:rsidRDefault="00F64776" w:rsidP="00F64776">
      <w:pPr>
        <w:pStyle w:val="TextoNormal"/>
      </w:pPr>
      <w:r>
        <w:t>Por último, la sentencia analiza el juicio de relevancia, esto es, la necesidad de que resulte probable que la revisión solicitada pueda determinar cambios en la atribución final del escaño controvertido. La sentencia desestima el argumento ofrecido por el partido recurrente, considerando que la muestra ofrecida no es significativa ni representativa y motivando con detalle las razones por las que considera que no existen datos objetivos que permitan concluir sobre la probabilidad de que la revisión de todo el voto nulo no protestado pudiera incidir en el resultado total del escrutinio.</w:t>
      </w:r>
    </w:p>
    <w:p w14:paraId="47F49824" w14:textId="77777777" w:rsidR="00F64776" w:rsidRDefault="00F64776" w:rsidP="00F64776">
      <w:pPr>
        <w:pStyle w:val="TextoNormal"/>
      </w:pPr>
    </w:p>
    <w:p w14:paraId="6F68428E" w14:textId="77777777" w:rsidR="00F64776" w:rsidRDefault="00F64776" w:rsidP="00F64776">
      <w:pPr>
        <w:pStyle w:val="TextoNormal"/>
      </w:pPr>
      <w:r w:rsidRPr="00F64776">
        <w:rPr>
          <w:rStyle w:val="NumeroAFNegritaCaracter"/>
        </w:rPr>
        <w:t>3</w:t>
      </w:r>
      <w:r>
        <w:t>. La demanda de amparo denuncia la vulneración del derecho fundamental de sufragio pasivo (art. 23.1 CE) y del derecho fundamental a acceder en condiciones de igualdad a las funciones y cargos públicos (art. 23.2CE).</w:t>
      </w:r>
    </w:p>
    <w:p w14:paraId="3CEF91DB" w14:textId="77777777" w:rsidR="00F64776" w:rsidRDefault="00F64776" w:rsidP="00F64776">
      <w:pPr>
        <w:pStyle w:val="TextoNormal"/>
      </w:pPr>
    </w:p>
    <w:p w14:paraId="6CBE5798" w14:textId="77777777" w:rsidR="00F64776" w:rsidRDefault="00F64776" w:rsidP="00F64776">
      <w:pPr>
        <w:pStyle w:val="TextoNormal"/>
      </w:pPr>
      <w:r>
        <w:t>Señala la demanda de amparo que la STC 159/2015, de 14 de julio, ha reconocido el derecho a la revisión de la totalidad de los votos nulos como parte del contenido esencial del derecho fundamental al sufragio pasivo (art. 23.1 CE). Igualmente sostiene la demanda que los acuerdos de la Junta Electoral Central y de la Junta Electoral Provincial hacen una interpretación errónea de dicha STC 159/2015, sometiendo el ejercicio del derecho a solicitar la revisión de la totalidad del voto nulo no protestado a requisitos que la LOREG no contempla, efectuando una interpretación restrictiva de las normas legales y limitando el contenido esencial del derecho fundamental sin habilitación legal expresa.</w:t>
      </w:r>
    </w:p>
    <w:p w14:paraId="17AF96D8" w14:textId="77777777" w:rsidR="00F64776" w:rsidRDefault="00F64776" w:rsidP="00F64776">
      <w:pPr>
        <w:pStyle w:val="TextoNormal"/>
      </w:pPr>
    </w:p>
    <w:p w14:paraId="5EC858E1" w14:textId="77777777" w:rsidR="00F64776" w:rsidRDefault="00F64776" w:rsidP="00F64776">
      <w:pPr>
        <w:pStyle w:val="TextoNormal"/>
      </w:pPr>
      <w:r>
        <w:t>Por un lado, aborda en diversos pasajes de la demanda las razones por las que considera que su comportamiento durante el procedimiento electoral debe considerarse como diligente y que la solicitud de revisión de totalidad del voto nulo no debe ser calificada como abusiva.</w:t>
      </w:r>
    </w:p>
    <w:p w14:paraId="62E9ACA4" w14:textId="77777777" w:rsidR="00F64776" w:rsidRDefault="00F64776" w:rsidP="00F64776">
      <w:pPr>
        <w:pStyle w:val="TextoNormal"/>
      </w:pPr>
    </w:p>
    <w:p w14:paraId="0B8A19CF" w14:textId="77777777" w:rsidR="00F64776" w:rsidRDefault="00F64776" w:rsidP="00F64776">
      <w:pPr>
        <w:pStyle w:val="TextoNormal"/>
      </w:pPr>
      <w:r>
        <w:t>Por otro lado, en relación con la exigencia para la revisión del voto nulo de invocar una causa o un indicio de irregularidades concretas, los recurrentes en amparo sostienen que tanto los acuerdos de la Junta Electoral Central como la sentencia del Tribunal Supremo hacen doctrina general del análisis del caso particular resuelto por la STC 159/2015. A juicio de los recurrentes de la mencionada STC 159/2015 no exige necesariamente la concurrencia de alguna irregularidad concreta.</w:t>
      </w:r>
    </w:p>
    <w:p w14:paraId="23326C66" w14:textId="77777777" w:rsidR="00F64776" w:rsidRDefault="00F64776" w:rsidP="00F64776">
      <w:pPr>
        <w:pStyle w:val="TextoNormal"/>
      </w:pPr>
    </w:p>
    <w:p w14:paraId="3731E41F" w14:textId="77777777" w:rsidR="00F64776" w:rsidRDefault="00F64776" w:rsidP="00F64776">
      <w:pPr>
        <w:pStyle w:val="TextoNormal"/>
      </w:pPr>
      <w:r>
        <w:t>Por lo que se refiere al juicio de relevancia, la demanda de amparo sostiene, frente a las resoluciones recurridas, en primer lugar, que la doctrina constitucional “no considera necesaria la aplicación de criterios de proporcionalidad o juicios de relevancia”. Tras esto, procede a defender el juicio de probabilidad que ha venido sosteniendo tanto en el procedimiento electoral como en sede de recurso contencioso-electoral, concluyendo que “no es posible afirmar con un margen de seguridad que en ningún caso se alcanzará el número necesario para poder alterar el resultado”.</w:t>
      </w:r>
    </w:p>
    <w:p w14:paraId="4D3986FC" w14:textId="77777777" w:rsidR="00F64776" w:rsidRDefault="00F64776" w:rsidP="00F64776">
      <w:pPr>
        <w:pStyle w:val="TextoNormal"/>
      </w:pPr>
    </w:p>
    <w:p w14:paraId="21F73F28" w14:textId="467665A4" w:rsidR="00F64776" w:rsidRDefault="00F64776" w:rsidP="00F64776">
      <w:pPr>
        <w:pStyle w:val="TextoNormal"/>
      </w:pPr>
      <w:r>
        <w:t>Por último, afirma la demanda de amparo que la sentencia recurrida vulnera el derecho fundamental de los ciudadanos a acceder en condiciones de igualdad a las funciones y cargos públicos (art. 23.2 CE), al impedir conocer la verdadera voluntad de los electores manifestada en el proceso electoral, pues, según afirma, el criterio de las juntas electorales en relación con la revisión de votos nulos es distinto en las elecciones locales, en las que afirma que se viene admitiendo, frente a la práctica seguida en las elecciones cuyo ámbito es provincial o mayor.</w:t>
      </w:r>
    </w:p>
    <w:p w14:paraId="1AFF90D7" w14:textId="77777777" w:rsidR="00F64776" w:rsidRDefault="00F64776" w:rsidP="00F64776">
      <w:pPr>
        <w:pStyle w:val="TextoNormal"/>
      </w:pPr>
    </w:p>
    <w:p w14:paraId="6F61C3ED" w14:textId="77777777" w:rsidR="00F64776" w:rsidRDefault="00F64776" w:rsidP="00F64776">
      <w:pPr>
        <w:pStyle w:val="TextoNormal"/>
      </w:pPr>
      <w:r w:rsidRPr="00F64776">
        <w:rPr>
          <w:rStyle w:val="NumeroAFNegritaCaracter"/>
        </w:rPr>
        <w:t>4</w:t>
      </w:r>
      <w:r>
        <w:t>. En la demanda se justifica la concurrencia de especial trascendencia constitucional en el recurso de amparo, señalando tres motivos:</w:t>
      </w:r>
    </w:p>
    <w:p w14:paraId="4882FEC3" w14:textId="77777777" w:rsidR="00F64776" w:rsidRDefault="00F64776" w:rsidP="00F64776">
      <w:pPr>
        <w:pStyle w:val="TextoNormal"/>
      </w:pPr>
    </w:p>
    <w:p w14:paraId="339535B6" w14:textId="77777777" w:rsidR="00F64776" w:rsidRDefault="00F64776" w:rsidP="00F64776">
      <w:pPr>
        <w:pStyle w:val="TextoNormal"/>
      </w:pPr>
      <w:r>
        <w:t>a) Que el recurso trasciende el caso concreto porque pudiera tener consecuencias políticas generales. Afirma la demanda que ello es así al tratarse de un recurso de amparo electoral cuya eventual estimación podría conducir, tras la revisión del voto nulo, a una posible alteración de la composición del Congreso de los Diputados. También se afirma que lo que plantea el recurso de amparo es una cuestión de relevancia y consecuencias políticas generales como es la interpretación del artículo 23 CE en relación con los artículos 105 y 108 LOREG, sobre si para que las juntas electorales encargadas de escrutinio general realicen la revisión del voto nulo no protestado es necesario o no alegar y acreditar una irregularidad o vicio en el proceso electoral o si deben incorporarse elementos objetivos, aritméticos o estadísticos que generen incertidumbre en el resultado, de cara a la búsqueda de la verdad material de la manera más perfecta posible en un proceso electoral que exprese la voluntad de los ciudadanos a través de las urnas.</w:t>
      </w:r>
    </w:p>
    <w:p w14:paraId="219ABDAF" w14:textId="77777777" w:rsidR="00F64776" w:rsidRDefault="00F64776" w:rsidP="00F64776">
      <w:pPr>
        <w:pStyle w:val="TextoNormal"/>
      </w:pPr>
    </w:p>
    <w:p w14:paraId="5DCDF5F9" w14:textId="77777777" w:rsidR="00F64776" w:rsidRDefault="00F64776" w:rsidP="00F64776">
      <w:pPr>
        <w:pStyle w:val="TextoNormal"/>
      </w:pPr>
      <w:r>
        <w:t>b) Que el recurso plantea un problema o afecta a una faceta de un derecho fundamental sobre el que no existe doctrina constitucional, para el caso de considerarse que la STC 159/2015, de 14 de julio, no se pronunció sobre la cuestión aquí suscitada.</w:t>
      </w:r>
    </w:p>
    <w:p w14:paraId="6E1B34AB" w14:textId="77777777" w:rsidR="00F64776" w:rsidRDefault="00F64776" w:rsidP="00F64776">
      <w:pPr>
        <w:pStyle w:val="TextoNormal"/>
      </w:pPr>
    </w:p>
    <w:p w14:paraId="7850F223" w14:textId="04AA83A1" w:rsidR="00F64776" w:rsidRDefault="00F64776" w:rsidP="00F64776">
      <w:pPr>
        <w:pStyle w:val="TextoNormal"/>
      </w:pPr>
      <w:r>
        <w:t>c) Que el recurso puede dar ocasión al Tribunal para aclarar la doctrina fijada en la STC 159/2015, de 14 de julio, o, en su caso, a cambiar su doctrina, como consecuencia de un proceso de reflexión interna.</w:t>
      </w:r>
    </w:p>
    <w:p w14:paraId="3A0BE56D" w14:textId="77777777" w:rsidR="00F64776" w:rsidRDefault="00F64776" w:rsidP="00F64776">
      <w:pPr>
        <w:pStyle w:val="TextoNormal"/>
      </w:pPr>
    </w:p>
    <w:p w14:paraId="309F938A" w14:textId="77777777" w:rsidR="00F64776" w:rsidRDefault="00F64776" w:rsidP="00F64776">
      <w:pPr>
        <w:pStyle w:val="TextoNormalNegritaCentrado"/>
        <w:keepNext/>
      </w:pPr>
      <w:r>
        <w:t>II. Fundamentos jurídicos</w:t>
      </w:r>
    </w:p>
    <w:p w14:paraId="006CD69D" w14:textId="6A71F3B7" w:rsidR="00F64776" w:rsidRDefault="00F64776" w:rsidP="00F64776">
      <w:pPr>
        <w:pStyle w:val="TextoNormalNegritaCentrado"/>
        <w:keepNext/>
      </w:pPr>
    </w:p>
    <w:p w14:paraId="26774F2A" w14:textId="4ABFD2C0" w:rsidR="00F64776" w:rsidRDefault="00F64776" w:rsidP="00F64776">
      <w:pPr>
        <w:pStyle w:val="TextoNormal"/>
      </w:pPr>
      <w:r w:rsidRPr="00F64776">
        <w:rPr>
          <w:rStyle w:val="NumeroAFNegritaCaracter"/>
        </w:rPr>
        <w:t>1</w:t>
      </w:r>
      <w:r>
        <w:t>. Por escrito registrado en este tribunal el 28 de agosto de 2023, el Partido Socialista Obrero Español y don Javier Rodríguez Palacios interpusieron recurso de amparo contra la sentencia núm. 1105/2023 de la Sala de lo Contencioso-Administrativo del Tribunal Supremo, dictada el 25 de agosto de 2023, que desestimó el recurso contencioso-administrativo electoral núm. 779-2023 interpuesto contra el acuerdo de 8 de agosto de 2023 de la Junta Electoral Provincial de Madrid en el proceso electoral de elecciones a las Cortes Generales del año 2023, por el que se procedió a la proclamación de los diputados electos en la provincia de Madrid para el Congreso de los Diputados, confirmando dicha resolución.</w:t>
      </w:r>
    </w:p>
    <w:p w14:paraId="24D27F67" w14:textId="77777777" w:rsidR="00F64776" w:rsidRDefault="00F64776" w:rsidP="00F64776">
      <w:pPr>
        <w:pStyle w:val="TextoNormal"/>
      </w:pPr>
    </w:p>
    <w:p w14:paraId="348A67B5" w14:textId="3CB96066" w:rsidR="00F64776" w:rsidRDefault="00F64776" w:rsidP="00F64776">
      <w:pPr>
        <w:pStyle w:val="TextoNormal"/>
      </w:pPr>
      <w:r w:rsidRPr="00F64776">
        <w:rPr>
          <w:rStyle w:val="NumeroAFNegritaCaracter"/>
        </w:rPr>
        <w:t>2</w:t>
      </w:r>
      <w:r>
        <w:t>. La Sala Segunda, una vez examinada la demanda de amparo, no aprecia, en esta fase procesal y sin perjuicio de ulteriores pronunciamientos, la concurrencia de óbices procesales que impidan la admisibilidad del recurso de amparo.</w:t>
      </w:r>
    </w:p>
    <w:p w14:paraId="48A99657" w14:textId="77777777" w:rsidR="00F64776" w:rsidRDefault="00F64776" w:rsidP="00F64776">
      <w:pPr>
        <w:pStyle w:val="TextoNormal"/>
      </w:pPr>
    </w:p>
    <w:p w14:paraId="43C841EC" w14:textId="77777777" w:rsidR="00F64776" w:rsidRDefault="00F64776" w:rsidP="00F64776">
      <w:pPr>
        <w:pStyle w:val="TextoNormal"/>
      </w:pPr>
      <w:r w:rsidRPr="00F64776">
        <w:rPr>
          <w:rStyle w:val="NumeroAFNegritaCaracter"/>
        </w:rPr>
        <w:t>3</w:t>
      </w:r>
      <w:r>
        <w:t>. La Sala aprecia que concurre en el recurso una especial trascendencia constitucional (art. 50.1 de la Ley Orgánica del Tribunal Constitucional), porque el recurso puede dar ocasión al Tribunal para aclarar o cambiar su doctrina como consecuencia de un proceso de reflexión interna [STC 155/2009, de 25 de junio, FJ 2 b)] y porque el asunto trasciende el caso concreto porque pudiera tener unas consecuencias políticas generales [STC 155/2009, FJ 2 g)].</w:t>
      </w:r>
    </w:p>
    <w:p w14:paraId="336A98AE" w14:textId="77777777" w:rsidR="00F64776" w:rsidRDefault="00F64776" w:rsidP="00F64776">
      <w:pPr>
        <w:pStyle w:val="TextoNormal"/>
      </w:pPr>
    </w:p>
    <w:p w14:paraId="204090B2" w14:textId="77777777" w:rsidR="00F64776" w:rsidRDefault="00F64776" w:rsidP="00F64776">
      <w:pPr>
        <w:pStyle w:val="TextoNormal"/>
      </w:pPr>
      <w:r>
        <w:t>En primer lugar, en relación con la primera de las causas que acaban de indicarse, en relación con el supuesto b) de la STC 155/2009, ha de partirse de que este tribunal ya se ha pronunciado sobre el derecho de los partidos políticos y candidaturas concurrentes a solicitar la revisión de la totalidad del voto nulo no protestado en la STC 159/2015, de 14 de julio, reconociéndolo como derivación del artículo 23.2 CE, en relación con los artículos 105 y 108 LOREG. No obstante, dicha sentencia se limita a la resolución de un supuesto concreto, pero no establece con carácter expreso y general en qué casos o bajo qué presupuestos pueden los partidos y candidaturas concurrentes a unas elecciones solicitar la revisión de la totalidad del voto nulo. Dicho en otras palabras, la doctrina constitucional hasta la fecha no ha establecido, de forma clara y con vocación de generalidad, si se trata de un derecho incondicionado que debe ser atendido en todo caso por las juntas electorales competentes en cada caso o si, por el contrario, no cabe entender vulnerado el derecho fundamental de acceder en condiciones de igualdad a las funciones y cargos públicos cuando se deniega la solicitud efectuada sin invocar irregularidades o vicios del procedimiento electoral o sin que la misma resulte justificada atendiendo a las circunstancias concurrentes.</w:t>
      </w:r>
    </w:p>
    <w:p w14:paraId="3E89FC46" w14:textId="77777777" w:rsidR="00F64776" w:rsidRDefault="00F64776" w:rsidP="00F64776">
      <w:pPr>
        <w:pStyle w:val="TextoNormal"/>
      </w:pPr>
    </w:p>
    <w:p w14:paraId="22E67322" w14:textId="77777777" w:rsidR="00F64776" w:rsidRDefault="00F64776" w:rsidP="00F64776">
      <w:pPr>
        <w:pStyle w:val="TextoNormal"/>
      </w:pPr>
      <w:r>
        <w:t>La referencia que se hace en la STC 159/2015, de 14 de julio, FJ 6, en relación con las irregularidades del procedimiento electoral, viene motivada por las exigencias de la resolución del caso concreto y por las alegaciones de las partes y no puede considerarse el resultado de una construcción cerrada de la doctrina constitucional en relación con la solicitud de revisión de los votos nulos no protestados. Es más, no queda claro en esta sentencia si la cuestión de la irregularidad se aborda como un requisito autónomo de las solicitudes de revisión del voto nulo no protestado, o como la última de las razones —ni siquiera la principal— por las que el Tribunal rechazó el carácter abusivo de la solicitud de revisión. De este modo, se trata de una sentencia que se pronuncia sobre un supuesto de hecho particular caracterizado por sus propias vicisitudes y con el que el presente recurso de amparo solo presenta analogía de manera meramente parcial, por lo que resulta preciso un nuevo examen de la cuestión planteada en el seno del Tribunal Constitucional para seguir perfilando los contornos del derecho a la revisión de los votos nulos durante el acto de escrutinio general.</w:t>
      </w:r>
    </w:p>
    <w:p w14:paraId="6DB348A1" w14:textId="77777777" w:rsidR="00F64776" w:rsidRDefault="00F64776" w:rsidP="00F64776">
      <w:pPr>
        <w:pStyle w:val="TextoNormal"/>
      </w:pPr>
    </w:p>
    <w:p w14:paraId="76F97A20" w14:textId="4A2199C2" w:rsidR="00F64776" w:rsidRDefault="00F64776" w:rsidP="00F64776">
      <w:pPr>
        <w:pStyle w:val="TextoNormal"/>
      </w:pPr>
      <w:r>
        <w:t>En segundo lugar, con referencia al supuesto g) de la STC 155/2009, FJ 2, este tribunal estima que el asunto planteado en el presente recurso de amparo trasciende el caso concreto porque pudiera tener consecuencias políticas generales. Por un lado, porque resultan afectados los derechos de sufragio pasivo (art. 23.1 CE) y el derecho fundamental a acceder en condiciones de igualdad a las funciones y cargos públicos (art. 23.2 CE), además de estar en juego la tutela del derecho de todos los ciudadanos a participar en los asuntos públicos a través de sus representantes. Por otro lado, trasciende el caso concreto porque podría llegar a verse afectada la definitiva composición del Congreso de los Diputados en la presente legislatura.</w:t>
      </w:r>
    </w:p>
    <w:p w14:paraId="5D471FDC" w14:textId="77777777" w:rsidR="00F64776" w:rsidRDefault="00F64776" w:rsidP="00F64776">
      <w:pPr>
        <w:pStyle w:val="TextoNormal"/>
      </w:pPr>
    </w:p>
    <w:p w14:paraId="2C6636C6" w14:textId="685017DA" w:rsidR="00F64776" w:rsidRDefault="00F64776" w:rsidP="00F64776">
      <w:pPr>
        <w:pStyle w:val="TextoNormal"/>
      </w:pPr>
      <w:r w:rsidRPr="00F64776">
        <w:rPr>
          <w:rStyle w:val="NumeroAFNegritaCaracter"/>
        </w:rPr>
        <w:t>4</w:t>
      </w:r>
      <w:r>
        <w:t xml:space="preserve">. Por todo ello, este tribunal considera que </w:t>
      </w:r>
      <w:r w:rsidRPr="00F64776">
        <w:rPr>
          <w:i/>
        </w:rPr>
        <w:t>prima facie</w:t>
      </w:r>
      <w:r>
        <w:t xml:space="preserve"> puede apreciarse la verosimilitud de las vulneraciones alegadas en el recurso de amparo.</w:t>
      </w:r>
    </w:p>
    <w:p w14:paraId="72684EEE" w14:textId="77777777" w:rsidR="00F64776" w:rsidRDefault="00F64776" w:rsidP="00F64776">
      <w:pPr>
        <w:pStyle w:val="TextoNormal"/>
      </w:pPr>
    </w:p>
    <w:p w14:paraId="0672A7D2" w14:textId="77777777" w:rsidR="00F64776" w:rsidRDefault="00F64776" w:rsidP="00F64776">
      <w:pPr>
        <w:pStyle w:val="TextoNormal"/>
      </w:pPr>
      <w:r>
        <w:t>Por lo expuesto, la Sala</w:t>
      </w:r>
    </w:p>
    <w:p w14:paraId="3D6001EF" w14:textId="27371022" w:rsidR="00F64776" w:rsidRDefault="00F64776" w:rsidP="00F64776">
      <w:pPr>
        <w:pStyle w:val="TextoNormal"/>
      </w:pPr>
    </w:p>
    <w:p w14:paraId="4108E8DD" w14:textId="77777777" w:rsidR="00F64776" w:rsidRDefault="00F64776" w:rsidP="00F64776">
      <w:pPr>
        <w:pStyle w:val="TextoNormalCentrado"/>
      </w:pPr>
      <w:r>
        <w:t>ACUERDA</w:t>
      </w:r>
    </w:p>
    <w:p w14:paraId="69A14DAF" w14:textId="6C2E2330" w:rsidR="00F64776" w:rsidRDefault="00F64776" w:rsidP="00F64776">
      <w:pPr>
        <w:pStyle w:val="TextoNormalCentrado"/>
      </w:pPr>
    </w:p>
    <w:p w14:paraId="5CCE65F0" w14:textId="77777777" w:rsidR="00F64776" w:rsidRDefault="00F64776" w:rsidP="00F64776">
      <w:pPr>
        <w:pStyle w:val="TextoNormal"/>
      </w:pPr>
      <w:r>
        <w:t>1º Admitir a trámite el recurso de amparo apreciando que concurre en el mismo una especial trascendencia constitucional (art. 50.1 LOTC) porque el recurso puede dar ocasión al Tribunal para aclarar o cambiar su doctrina como consecuencia de un proceso de reflexión interna [STC 155/2009, FJ 2 b)] y porque el asunto trasciende el caso concreto porque pudiera tener unas consecuencias políticas generales [STC 155/2009, FJ 2 g)].</w:t>
      </w:r>
    </w:p>
    <w:p w14:paraId="53F27DC6" w14:textId="77777777" w:rsidR="00F64776" w:rsidRDefault="00F64776" w:rsidP="00F64776">
      <w:pPr>
        <w:pStyle w:val="TextoNormal"/>
      </w:pPr>
    </w:p>
    <w:p w14:paraId="5250DB87" w14:textId="77777777" w:rsidR="00F64776" w:rsidRDefault="00F64776" w:rsidP="00F64776">
      <w:pPr>
        <w:pStyle w:val="TextoNormal"/>
      </w:pPr>
      <w:r>
        <w:t>2º Recabar de la Sala de lo Contencioso-Administrativo del Tribunal Supremo, el envío urgente de las actuaciones correspondientes, incluidos el expediente electoral y el informe emitido por la Junta Electoral, previo emplazamiento de las partes, excepto los recurrentes en amparo, para que en el plazo de tres días puedan personarse ante este tribunal mediante procurador con poder al efecto y asistidos de abogado, formulando las alegaciones que estimen pertinentes, conforme a lo previsto en el art. 3 del acuerdo de 20 de enero de 2000 del Pleno del Tribunal Constitucional por el que se aprueban normas sobre tramitación de los recursos de amparo a que se refiere la Ley Orgánica 5/1985, de 19 de junio, del régimen electoral general.</w:t>
      </w:r>
    </w:p>
    <w:p w14:paraId="1710E9E1" w14:textId="77777777" w:rsidR="00F64776" w:rsidRDefault="00F64776" w:rsidP="00F64776">
      <w:pPr>
        <w:pStyle w:val="TextoNormal"/>
      </w:pPr>
    </w:p>
    <w:p w14:paraId="270A4FB9" w14:textId="77777777" w:rsidR="00F64776" w:rsidRDefault="00F64776" w:rsidP="00F64776">
      <w:pPr>
        <w:pStyle w:val="TextoNormal"/>
      </w:pPr>
      <w:r>
        <w:t>Asimismo dése vista al Ministerio Fiscal de la demanda presentada para que en el plazo de cinco días pueda formular las alegaciones procedentes.</w:t>
      </w:r>
    </w:p>
    <w:p w14:paraId="317F3DC0" w14:textId="77777777" w:rsidR="00F64776" w:rsidRDefault="00F64776" w:rsidP="00F64776">
      <w:pPr>
        <w:pStyle w:val="TextoNormal"/>
      </w:pPr>
    </w:p>
    <w:p w14:paraId="2F2F5F1A" w14:textId="7970BD46" w:rsidR="00F64776" w:rsidRDefault="00F64776" w:rsidP="00F64776">
      <w:pPr>
        <w:pStyle w:val="TextoNormal"/>
      </w:pPr>
      <w:r>
        <w:t>Publíquese este auto en el “Boletín Oficial del Estado”.</w:t>
      </w:r>
    </w:p>
    <w:p w14:paraId="039A1105" w14:textId="77777777" w:rsidR="00F64776" w:rsidRDefault="00F64776" w:rsidP="00F64776">
      <w:pPr>
        <w:pStyle w:val="TextoNormal"/>
      </w:pPr>
    </w:p>
    <w:p w14:paraId="25F41F3E" w14:textId="77777777" w:rsidR="00F64776" w:rsidRDefault="00F64776" w:rsidP="00F64776">
      <w:pPr>
        <w:pStyle w:val="TextoNormal"/>
      </w:pPr>
      <w:r>
        <w:t>Madrid, a cinco de septiembre de dos mil veintitrés.</w:t>
      </w:r>
    </w:p>
    <w:p w14:paraId="31E71405" w14:textId="08F7D006" w:rsidR="00F64776" w:rsidRDefault="00F64776" w:rsidP="00F64776">
      <w:pPr>
        <w:pStyle w:val="ParrafoNormal"/>
      </w:pPr>
    </w:p>
    <w:p w14:paraId="7287442E" w14:textId="77777777" w:rsidR="00F64776" w:rsidRDefault="00F64776" w:rsidP="00F64776">
      <w:pPr>
        <w:pStyle w:val="TextoNormalNegritaCentrado"/>
        <w:keepNext/>
      </w:pPr>
      <w:r>
        <w:t>Voto particular que formula el magistrado don Enrique Arnaldo Alcubilla al auto de la Sala Segunda de 5 de septiembre de 2023 por el que se acuerda la admisión a trámite del recurso de amparo núm. 5529-2023</w:t>
      </w:r>
    </w:p>
    <w:p w14:paraId="0917F891" w14:textId="77A7918A" w:rsidR="00F64776" w:rsidRDefault="00F64776" w:rsidP="00F64776">
      <w:pPr>
        <w:pStyle w:val="TextoNormalNegritaCentrado"/>
        <w:keepNext/>
      </w:pPr>
    </w:p>
    <w:p w14:paraId="19DE3F71" w14:textId="77777777" w:rsidR="00F64776" w:rsidRDefault="00F64776" w:rsidP="00F64776">
      <w:pPr>
        <w:pStyle w:val="TextoNormal"/>
      </w:pPr>
      <w:r>
        <w:t>En el ejercicio de la facultad que me confiere el art. 90.2 de la Ley Orgánica del Tribunal Constitucional (LOTC) y con respeto a la opinión de las magistradas y los magistrados que han conformado la mayoría de la Sala, manifiesto mi discrepancia con la decisión de admitir a trámite el presente recurso de amparo.</w:t>
      </w:r>
    </w:p>
    <w:p w14:paraId="3F1EA749" w14:textId="77777777" w:rsidR="00F64776" w:rsidRDefault="00F64776" w:rsidP="00F64776">
      <w:pPr>
        <w:pStyle w:val="TextoNormal"/>
      </w:pPr>
    </w:p>
    <w:p w14:paraId="0A953701" w14:textId="77777777" w:rsidR="00F64776" w:rsidRDefault="00F64776" w:rsidP="00F64776">
      <w:pPr>
        <w:pStyle w:val="TextoNormal"/>
      </w:pPr>
      <w:r>
        <w:t xml:space="preserve">El auto aprobado por la mayoría de la Sala acuerda la admisión del recurso de amparo al apreciar que las vulneraciones de derechos fundamentales alegadas por el partido político recurrente no carecen de verosimilitud y asimismo que el recurso reviste especial trascendencia constitucional. Disiento de tal apreciación por entender que no ha existido en el presente caso lesión alguna de los derechos fundamentales de participación política que alega el partido recurrente, violación que, de acuerdo con los arts. 41 y 44.1 LOTC, es condición </w:t>
      </w:r>
      <w:r w:rsidRPr="00F64776">
        <w:rPr>
          <w:i/>
        </w:rPr>
        <w:t>sine qua non</w:t>
      </w:r>
      <w:r>
        <w:t xml:space="preserve"> para que este tribunal pueda ejercer su tutela jurisdiccional. Lógicamente, si no existe lesión de derechos fundamentales, huelga preguntarse por la especial trascendencia constitucional del recurso de amparo.</w:t>
      </w:r>
    </w:p>
    <w:p w14:paraId="57D13949" w14:textId="77777777" w:rsidR="00F64776" w:rsidRDefault="00F64776" w:rsidP="00F64776">
      <w:pPr>
        <w:pStyle w:val="TextoNormal"/>
      </w:pPr>
    </w:p>
    <w:p w14:paraId="61CB733C" w14:textId="77777777" w:rsidR="00F64776" w:rsidRDefault="00F64776" w:rsidP="00F64776">
      <w:pPr>
        <w:pStyle w:val="TextoNormal"/>
      </w:pPr>
      <w:r>
        <w:t>Como es de sobra conocido, los derechos fundamentales de participación política que reconoce el art. 23 de la Constitución han de ejercerse en el marco configurado por la Ley Orgánica del régimen electoral general (LOREG), que los desarrolla y concreta (por todas, STC 26/2004, de 26 de febrero, FJ 6). Es indiscutible que la LOREG no reconoce un supuesto derecho general e incondicionado a la revisión de los votos nulos no protestados en el acto del escrutinio general, como el pretendido por la formación política recurrente en amparo. Esta ha recibido una fundada respuesta desestimatoria a su pretensión, primero en las resoluciones de las Juntas Electorales Provincial y Central y finalmente en la sentencia del Tribunal Supremo.</w:t>
      </w:r>
    </w:p>
    <w:p w14:paraId="7C7CC409" w14:textId="77777777" w:rsidR="00F64776" w:rsidRDefault="00F64776" w:rsidP="00F64776">
      <w:pPr>
        <w:pStyle w:val="TextoNormal"/>
      </w:pPr>
    </w:p>
    <w:p w14:paraId="2580405D" w14:textId="77777777" w:rsidR="00F64776" w:rsidRDefault="00F64776" w:rsidP="00F64776">
      <w:pPr>
        <w:pStyle w:val="TextoNormal"/>
      </w:pPr>
      <w:r>
        <w:t>En suma, el presente recurso debió ser inadmitido por manifiesta inexistencia de vulneración de un derecho fundamental tutelable en amparo.</w:t>
      </w:r>
    </w:p>
    <w:p w14:paraId="4BC55208" w14:textId="77777777" w:rsidR="00F64776" w:rsidRDefault="00F64776" w:rsidP="00F64776">
      <w:pPr>
        <w:pStyle w:val="TextoNormal"/>
      </w:pPr>
    </w:p>
    <w:p w14:paraId="31108F30" w14:textId="6BE8ED99" w:rsidR="00F64776" w:rsidRDefault="00F64776" w:rsidP="00F64776">
      <w:pPr>
        <w:pStyle w:val="TextoNormal"/>
      </w:pPr>
      <w:r>
        <w:t>Madrid, a cinco de septiembre de dos mil veintitrés.</w:t>
      </w:r>
    </w:p>
    <w:p w14:paraId="4B955491" w14:textId="3ADA130C" w:rsidR="00F64776" w:rsidRDefault="00F64776">
      <w:pPr>
        <w:spacing w:after="160" w:line="278" w:lineRule="auto"/>
        <w:rPr>
          <w:rFonts w:ascii="Times New Roman" w:eastAsia="Times New Roman" w:hAnsi="Times New Roman" w:cs="Times New Roman"/>
          <w:sz w:val="24"/>
          <w:szCs w:val="24"/>
          <w:lang w:eastAsia="es-ES"/>
        </w:rPr>
      </w:pPr>
      <w:r>
        <w:br w:type="page"/>
      </w:r>
    </w:p>
    <w:p w14:paraId="539FF760" w14:textId="77777777" w:rsidR="00F64776" w:rsidRDefault="00F64776" w:rsidP="00F64776">
      <w:pPr>
        <w:pStyle w:val="TtuloResolucin"/>
      </w:pPr>
      <w:bookmarkStart w:id="211" w:name="AUTO_2023_426"/>
      <w:r>
        <w:t>AUTO 426/2023, de 6 de septiembre de 2023</w:t>
      </w:r>
    </w:p>
    <w:bookmarkEnd w:id="211"/>
    <w:p w14:paraId="7D38ED0C" w14:textId="77777777" w:rsidR="00F64776" w:rsidRDefault="00F64776" w:rsidP="00F64776">
      <w:pPr>
        <w:pStyle w:val="TtuloResolucin"/>
      </w:pPr>
      <w:r>
        <w:t>Sección Tercera</w:t>
      </w:r>
    </w:p>
    <w:p w14:paraId="71399114" w14:textId="77777777" w:rsidR="00F64776" w:rsidRDefault="00F64776" w:rsidP="00F64776">
      <w:pPr>
        <w:pStyle w:val="TextoNormalCentrado"/>
      </w:pPr>
      <w:r>
        <w:t>ECLI:ES:TC:2023:426A</w:t>
      </w:r>
    </w:p>
    <w:p w14:paraId="4C8FA168" w14:textId="3D2FE38E" w:rsidR="00F64776" w:rsidRDefault="00F64776" w:rsidP="00F64776">
      <w:pPr>
        <w:pStyle w:val="TextoNormalCentrado"/>
      </w:pPr>
    </w:p>
    <w:p w14:paraId="74FAEBC0" w14:textId="77777777" w:rsidR="00F64776" w:rsidRDefault="00F64776" w:rsidP="00F64776">
      <w:pPr>
        <w:pStyle w:val="SntesisDescriptiva"/>
      </w:pPr>
      <w:r>
        <w:t>Excms. Srs. doña Inmaculada Montalbán Huertas y doña Laura Díez Bueso.</w:t>
      </w:r>
    </w:p>
    <w:p w14:paraId="2F3B2887" w14:textId="0B8E8116" w:rsidR="00F64776" w:rsidRDefault="00F64776" w:rsidP="00F64776">
      <w:pPr>
        <w:pStyle w:val="SntesisDescriptiva"/>
      </w:pPr>
    </w:p>
    <w:p w14:paraId="3796DE36" w14:textId="77777777" w:rsidR="00F64776" w:rsidRDefault="00F64776" w:rsidP="00F64776">
      <w:pPr>
        <w:pStyle w:val="SntesisDescriptiva"/>
      </w:pPr>
      <w:r>
        <w:t>Acepta una abstención en el recurso de amparo 1847-2022, promovido por la entidad Asociación Emplazamientos y Comunicación Nueva Esperanza, en proceso contencioso-administrativo.</w:t>
      </w:r>
    </w:p>
    <w:p w14:paraId="3F8F07B9" w14:textId="6D28216A" w:rsidR="00F64776" w:rsidRDefault="00F64776" w:rsidP="00F64776">
      <w:pPr>
        <w:pStyle w:val="SntesisDescriptiva"/>
      </w:pPr>
    </w:p>
    <w:p w14:paraId="37C02AD5" w14:textId="77777777" w:rsidR="00F64776" w:rsidRDefault="00F64776" w:rsidP="00F64776">
      <w:pPr>
        <w:pStyle w:val="SntesisDescriptiva"/>
      </w:pPr>
    </w:p>
    <w:p w14:paraId="16FEA91C" w14:textId="77777777" w:rsidR="00F64776" w:rsidRDefault="00F64776" w:rsidP="00F64776">
      <w:pPr>
        <w:pStyle w:val="SntesisDescriptiva"/>
      </w:pPr>
    </w:p>
    <w:p w14:paraId="61C7A6D6" w14:textId="77777777" w:rsidR="00F64776" w:rsidRDefault="00F64776" w:rsidP="00F64776">
      <w:pPr>
        <w:pStyle w:val="TextoNormalNegritaCentrado"/>
      </w:pPr>
      <w:r>
        <w:t>AUTO</w:t>
      </w:r>
    </w:p>
    <w:p w14:paraId="64C2BEDA" w14:textId="1E208CD6" w:rsidR="00F64776" w:rsidRDefault="00F64776" w:rsidP="00F64776">
      <w:pPr>
        <w:pStyle w:val="TextoNormalNegritaCentrado"/>
      </w:pPr>
    </w:p>
    <w:p w14:paraId="5C7B924C" w14:textId="77777777" w:rsidR="00F64776" w:rsidRDefault="00F64776" w:rsidP="00F64776">
      <w:pPr>
        <w:pStyle w:val="TextoNormalNegritaCentrado"/>
        <w:keepNext/>
      </w:pPr>
      <w:r>
        <w:t>I. Antecedentes</w:t>
      </w:r>
    </w:p>
    <w:p w14:paraId="3A4B8E18" w14:textId="7F96EFD4" w:rsidR="00F64776" w:rsidRDefault="00F64776" w:rsidP="00F64776">
      <w:pPr>
        <w:pStyle w:val="TextoNormalNegritaCentrado"/>
        <w:keepNext/>
      </w:pPr>
    </w:p>
    <w:p w14:paraId="32D7A644" w14:textId="59431983" w:rsidR="00F64776" w:rsidRDefault="00F64776" w:rsidP="00F64776">
      <w:pPr>
        <w:pStyle w:val="TextoNormal"/>
      </w:pPr>
      <w:r w:rsidRPr="00F64776">
        <w:rPr>
          <w:rStyle w:val="NumeroAFNegritaCaracter"/>
        </w:rPr>
        <w:t>1</w:t>
      </w:r>
      <w:r>
        <w:t>. Mediante escrito registrado en este tribunal el 29 de marzo de 2021 el procurador de los tribunales don Joaquín Cañibano Martín, en nombre y representación de la entidad Asociación Emplazamientos y Comunicación Nueva Esperanza y bajo la dirección del letrado don Jaime Rodríguez Díez, interpuso demanda de amparo contra providencia de fecha 25 de marzo de 2021, dictada por la Sección Primera de la Sala de lo Contencioso-Administrativo del Tribunal Supremo en Recurso de Casación 1777-2020.</w:t>
      </w:r>
    </w:p>
    <w:p w14:paraId="0F01D59E" w14:textId="77777777" w:rsidR="00F64776" w:rsidRDefault="00F64776" w:rsidP="00F64776">
      <w:pPr>
        <w:pStyle w:val="TextoNormal"/>
      </w:pPr>
    </w:p>
    <w:p w14:paraId="6D396A51" w14:textId="54AFEC6F" w:rsidR="00F64776" w:rsidRDefault="00F64776" w:rsidP="00F64776">
      <w:pPr>
        <w:pStyle w:val="TextoNormal"/>
      </w:pPr>
      <w:r w:rsidRPr="00F64776">
        <w:rPr>
          <w:rStyle w:val="NumeroAFNegritaCaracter"/>
        </w:rPr>
        <w:t>2</w:t>
      </w:r>
      <w:r>
        <w:t>. Por escrito de 6 de septiembre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4A426146" w14:textId="77777777" w:rsidR="00F64776" w:rsidRDefault="00F64776" w:rsidP="00F64776">
      <w:pPr>
        <w:pStyle w:val="TextoNormal"/>
      </w:pPr>
    </w:p>
    <w:p w14:paraId="01A6E5D1" w14:textId="77777777" w:rsidR="00F64776" w:rsidRDefault="00F64776" w:rsidP="00F64776">
      <w:pPr>
        <w:pStyle w:val="TextoNormalNegritaCentrado"/>
        <w:keepNext/>
      </w:pPr>
      <w:r>
        <w:t>II. Fundamentos jurídicos</w:t>
      </w:r>
    </w:p>
    <w:p w14:paraId="164882FC" w14:textId="76D5C301" w:rsidR="00F64776" w:rsidRDefault="00F64776" w:rsidP="00F64776">
      <w:pPr>
        <w:pStyle w:val="TextoNormalNegritaCentrado"/>
        <w:keepNext/>
      </w:pPr>
    </w:p>
    <w:p w14:paraId="0F774599" w14:textId="6F7F6F7B"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0D06A038" w14:textId="77777777" w:rsidR="00F64776" w:rsidRDefault="00F64776" w:rsidP="00F64776">
      <w:pPr>
        <w:pStyle w:val="TextoNormal"/>
      </w:pPr>
    </w:p>
    <w:p w14:paraId="446E0C16" w14:textId="77777777" w:rsidR="00F64776" w:rsidRDefault="00F64776" w:rsidP="00F64776">
      <w:pPr>
        <w:pStyle w:val="TextoNormal"/>
      </w:pPr>
      <w:r>
        <w:t>Por lo expuesto, la Sección</w:t>
      </w:r>
    </w:p>
    <w:p w14:paraId="14C0C05D" w14:textId="41A079D1" w:rsidR="00F64776" w:rsidRDefault="00F64776" w:rsidP="00F64776">
      <w:pPr>
        <w:pStyle w:val="TextoNormal"/>
      </w:pPr>
    </w:p>
    <w:p w14:paraId="58A850C2" w14:textId="77777777" w:rsidR="00F64776" w:rsidRDefault="00F64776" w:rsidP="00F64776">
      <w:pPr>
        <w:pStyle w:val="TextoNormalCentrado"/>
      </w:pPr>
      <w:r>
        <w:t>ACUERDA</w:t>
      </w:r>
    </w:p>
    <w:p w14:paraId="0283B8E0" w14:textId="12581849" w:rsidR="00F64776" w:rsidRDefault="00F64776" w:rsidP="00F64776">
      <w:pPr>
        <w:pStyle w:val="TextoNormalCentrado"/>
      </w:pPr>
    </w:p>
    <w:p w14:paraId="3870FFC8" w14:textId="62117665" w:rsidR="00F64776" w:rsidRDefault="00F64776" w:rsidP="00F64776">
      <w:pPr>
        <w:pStyle w:val="TextoNormal"/>
      </w:pPr>
      <w:r>
        <w:t>Estimar justificada la abstención formulada por el magistrado señor don César Tolosa Tribiño en el recurso de amparo núm. 1847-2021 y apartarle definitivamente del conocimiento del referido recurso y de todas sus incidencias.</w:t>
      </w:r>
    </w:p>
    <w:p w14:paraId="09568748" w14:textId="77777777" w:rsidR="00F64776" w:rsidRDefault="00F64776" w:rsidP="00F64776">
      <w:pPr>
        <w:pStyle w:val="TextoNormal"/>
      </w:pPr>
    </w:p>
    <w:p w14:paraId="72F2B380" w14:textId="77777777" w:rsidR="00F64776" w:rsidRDefault="00F64776" w:rsidP="00F64776">
      <w:pPr>
        <w:pStyle w:val="TextoNormal"/>
      </w:pPr>
      <w:r>
        <w:t>Madrid, a seis de septiembre de dos mil veintitrés.</w:t>
      </w:r>
    </w:p>
    <w:p w14:paraId="34AD76D1" w14:textId="7DB3FB26" w:rsidR="00F64776" w:rsidRDefault="00F64776">
      <w:pPr>
        <w:spacing w:after="160" w:line="278" w:lineRule="auto"/>
        <w:rPr>
          <w:rFonts w:ascii="Times New Roman" w:eastAsia="Times New Roman" w:hAnsi="Times New Roman" w:cs="Times New Roman"/>
          <w:sz w:val="24"/>
          <w:szCs w:val="24"/>
          <w:lang w:eastAsia="es-ES"/>
        </w:rPr>
      </w:pPr>
      <w:r>
        <w:br w:type="page"/>
      </w:r>
    </w:p>
    <w:p w14:paraId="2BC054D6" w14:textId="77777777" w:rsidR="00F64776" w:rsidRDefault="00F64776" w:rsidP="00F64776">
      <w:pPr>
        <w:pStyle w:val="TtuloResolucin"/>
      </w:pPr>
      <w:bookmarkStart w:id="212" w:name="AUTO_2023_427"/>
      <w:r>
        <w:t>AUTO 427/2023, de 11 de septiembre de 2023</w:t>
      </w:r>
    </w:p>
    <w:bookmarkEnd w:id="212"/>
    <w:p w14:paraId="20CED8C2" w14:textId="77777777" w:rsidR="00F64776" w:rsidRDefault="00F64776" w:rsidP="00F64776">
      <w:pPr>
        <w:pStyle w:val="TtuloResolucin"/>
      </w:pPr>
      <w:r>
        <w:t>Sección Cuarta</w:t>
      </w:r>
    </w:p>
    <w:p w14:paraId="28588A16" w14:textId="77777777" w:rsidR="00F64776" w:rsidRDefault="00F64776" w:rsidP="00F64776">
      <w:pPr>
        <w:pStyle w:val="TtuloBOE"/>
      </w:pPr>
      <w:r>
        <w:t>(BOE núm. 244, de 12 de octubre de 2023)</w:t>
      </w:r>
    </w:p>
    <w:p w14:paraId="626B9A1D" w14:textId="77777777" w:rsidR="00F64776" w:rsidRDefault="00F64776" w:rsidP="00F64776">
      <w:pPr>
        <w:pStyle w:val="TextoNormalCentrado"/>
      </w:pPr>
      <w:r>
        <w:t>ECLI:ES:TC:2023:427A</w:t>
      </w:r>
    </w:p>
    <w:p w14:paraId="551FBCDF" w14:textId="3D9D9BB7" w:rsidR="00F64776" w:rsidRDefault="00F64776" w:rsidP="00F64776">
      <w:pPr>
        <w:pStyle w:val="TextoNormalCentrado"/>
      </w:pPr>
    </w:p>
    <w:p w14:paraId="62714749" w14:textId="77777777" w:rsidR="00F64776" w:rsidRDefault="00F64776" w:rsidP="00F64776">
      <w:pPr>
        <w:pStyle w:val="SntesisDescriptiva"/>
      </w:pPr>
      <w:r>
        <w:t>Excms. Srs. doña María Luisa Balaguer Callejón, don Ramón Sáez Valcárcel y don Enrique Arnaldo Alcubilla.</w:t>
      </w:r>
    </w:p>
    <w:p w14:paraId="6EB30C42" w14:textId="65EA23EE" w:rsidR="00F64776" w:rsidRDefault="00F64776" w:rsidP="00F64776">
      <w:pPr>
        <w:pStyle w:val="SntesisDescriptiva"/>
      </w:pPr>
    </w:p>
    <w:p w14:paraId="61097BA0" w14:textId="77777777" w:rsidR="00F64776" w:rsidRDefault="00F64776" w:rsidP="00F64776">
      <w:pPr>
        <w:pStyle w:val="SntesisDescriptiva"/>
      </w:pPr>
      <w:r>
        <w:t>Inadmite a trámite el recurso de amparo 1055-2022, promovido por doña Sonsoles Coronado Escudero en proceso contencioso‑administrativo. Voto particular.</w:t>
      </w:r>
    </w:p>
    <w:p w14:paraId="7A484E99" w14:textId="42FC3852" w:rsidR="00F64776" w:rsidRDefault="00F64776" w:rsidP="00F64776">
      <w:pPr>
        <w:pStyle w:val="SntesisDescriptiva"/>
      </w:pPr>
    </w:p>
    <w:p w14:paraId="68AB7B48" w14:textId="77777777" w:rsidR="00F64776" w:rsidRDefault="00F64776" w:rsidP="00F64776">
      <w:pPr>
        <w:pStyle w:val="SntesisDescriptiva"/>
      </w:pPr>
    </w:p>
    <w:p w14:paraId="06700425" w14:textId="77777777" w:rsidR="00F64776" w:rsidRDefault="00F64776" w:rsidP="00F64776">
      <w:pPr>
        <w:pStyle w:val="SntesisDescriptiva"/>
      </w:pPr>
    </w:p>
    <w:p w14:paraId="2878D306" w14:textId="77777777" w:rsidR="00F64776" w:rsidRDefault="00F64776" w:rsidP="00F64776">
      <w:pPr>
        <w:pStyle w:val="TextoNormalNegritaCentrado"/>
      </w:pPr>
      <w:r>
        <w:t>AUTO</w:t>
      </w:r>
    </w:p>
    <w:p w14:paraId="6F4A5CAD" w14:textId="12D24A4B" w:rsidR="00F64776" w:rsidRDefault="00F64776" w:rsidP="00F64776">
      <w:pPr>
        <w:pStyle w:val="TextoNormalNegritaCentrado"/>
      </w:pPr>
    </w:p>
    <w:p w14:paraId="1D48CCE1" w14:textId="77777777" w:rsidR="00F64776" w:rsidRDefault="00F64776" w:rsidP="00F64776">
      <w:pPr>
        <w:pStyle w:val="TextoNormalNegritaCentrado"/>
        <w:keepNext/>
      </w:pPr>
      <w:r>
        <w:t>I. Antecedentes</w:t>
      </w:r>
    </w:p>
    <w:p w14:paraId="6DE42435" w14:textId="644DF1F9" w:rsidR="00F64776" w:rsidRDefault="00F64776" w:rsidP="00F64776">
      <w:pPr>
        <w:pStyle w:val="TextoNormalNegritaCentrado"/>
        <w:keepNext/>
      </w:pPr>
    </w:p>
    <w:p w14:paraId="6EE3D203" w14:textId="751FF43B" w:rsidR="00F64776" w:rsidRDefault="00F64776" w:rsidP="00F64776">
      <w:pPr>
        <w:pStyle w:val="TextoNormal"/>
      </w:pPr>
      <w:r w:rsidRPr="00F64776">
        <w:rPr>
          <w:rStyle w:val="NumeroAFNegritaCaracter"/>
        </w:rPr>
        <w:t>1</w:t>
      </w:r>
      <w:r>
        <w:t>. Por escrito registrado en este tribunal el 17 de febrero de 2022, doña Sonsoles Coronado Escudero, representada por el procurador de los tribunales don José María Ruiz de la Cuesta Vacas, bajo la dirección del letrado don Francisco Javier Araúz de Robles Dávila, interpuso recurso de amparo contra dos resoluciones dictadas por la Sección Cuarta de la Sala de lo Contencioso-Administrativo del Tribunal Supremo, a saber, (i) la sentencia núm. 1547/2021, de 21 de diciembre, por la que se acuerda la estimación parcial del recurso de casación núm. 3565-2019, y (ii) la providencia de 27 de enero de 2022, por la que se inadmite el incidente de nulidad de actuaciones promovido por la ahora recurrente en amparo frente a la sentencia anterior.</w:t>
      </w:r>
    </w:p>
    <w:p w14:paraId="4A979E2F" w14:textId="77777777" w:rsidR="00F64776" w:rsidRDefault="00F64776" w:rsidP="00F64776">
      <w:pPr>
        <w:pStyle w:val="TextoNormal"/>
      </w:pPr>
    </w:p>
    <w:p w14:paraId="2075D8DD" w14:textId="77777777" w:rsidR="00F64776" w:rsidRDefault="00F64776" w:rsidP="00F64776">
      <w:pPr>
        <w:pStyle w:val="TextoNormal"/>
      </w:pPr>
      <w:r w:rsidRPr="00F64776">
        <w:rPr>
          <w:rStyle w:val="NumeroAFNegritaCaracter"/>
        </w:rPr>
        <w:t>2</w:t>
      </w:r>
      <w:r>
        <w:t>. El recurso tiene su origen en los siguientes antecedentes:</w:t>
      </w:r>
    </w:p>
    <w:p w14:paraId="704EA76B" w14:textId="77777777" w:rsidR="00F64776" w:rsidRDefault="00F64776" w:rsidP="00F64776">
      <w:pPr>
        <w:pStyle w:val="TextoNormal"/>
      </w:pPr>
    </w:p>
    <w:p w14:paraId="7F79E16A" w14:textId="77777777" w:rsidR="00F64776" w:rsidRDefault="00F64776" w:rsidP="00F64776">
      <w:pPr>
        <w:pStyle w:val="TextoNormal"/>
      </w:pPr>
      <w:r>
        <w:t>(i) La recurrente en amparo, doña Sonsoles Coronado Escudero, es empleada estatutaria temporal del Servicio Madrileño de Salud (SERMAS), en el que viene prestando servicios con nombramiento de carácter interino y funciones informáticas desde hace más de veintitrés años. Desde el 28 de noviembre de 2011 viene prestando sus servicios en una plaza vacante en la categoría de técnico de gestión de sistemas y tecnologías de la información en el mismo hospital en el que desde un principio desempeñó sus funciones como temporal en la categoría de grupo de gestión de la función administrativa.</w:t>
      </w:r>
    </w:p>
    <w:p w14:paraId="30E6A4EF" w14:textId="77777777" w:rsidR="00F64776" w:rsidRDefault="00F64776" w:rsidP="00F64776">
      <w:pPr>
        <w:pStyle w:val="TextoNormal"/>
      </w:pPr>
    </w:p>
    <w:p w14:paraId="39049F5D" w14:textId="77777777" w:rsidR="00F64776" w:rsidRDefault="00F64776" w:rsidP="00F64776">
      <w:pPr>
        <w:pStyle w:val="TextoNormal"/>
      </w:pPr>
      <w:r>
        <w:t>(ii) Por sentencia núm. 38/2018, de 15 de febrero, el Juzgado de lo Contencioso-Administrativo núm. 4 de Madrid desestimó el recurso contencioso-administrativo interpuesto por la ahora recurrente en amparo. En él, la recurrente había denunciado que su régimen laboral era incompatible con el Derecho de la Unión (en concreto, con la Directiva 1999/70/CE del Consejo, de 28 de junio de 1999, relativa al acuerdo marco de la CES [Confederación europea de sindicatos], la UNICE [Unión de confederaciones de la industria y de empleadores de Europa] y el CEEP [Centro europeo de la empresa pública] sobre el trabajo de duración determinada) y había solicitado que su situación fuese corregida con la estabilidad en el empleo, como única sanción al abuso en la relación temporal sucesiva, mediante la transformación de la relación estatutaria temporal en una relación estatutaria fija o asimilada a esta, bajo los principios de permanencia e inamovilidad, en régimen de igualdad respecto de los informáticos titulares fijos.</w:t>
      </w:r>
    </w:p>
    <w:p w14:paraId="3C4C6CB6" w14:textId="77777777" w:rsidR="00F64776" w:rsidRDefault="00F64776" w:rsidP="00F64776">
      <w:pPr>
        <w:pStyle w:val="TextoNormal"/>
      </w:pPr>
    </w:p>
    <w:p w14:paraId="6284FFF4" w14:textId="77777777" w:rsidR="00F64776" w:rsidRDefault="00F64776" w:rsidP="00F64776">
      <w:pPr>
        <w:pStyle w:val="TextoNormal"/>
      </w:pPr>
      <w:r>
        <w:t>(iii) Mediante sentencia núm. 190/2019, de 18 de marzo, la Sección Séptima de la Sala de lo Contencioso‑Administrativo del Tribunal Superior de Justicia de Madrid desestimó el recurso de apelación interpuesto por la ahora demandante de amparo. La sala de apelación consideró que no cabía entender que se hubiera incurrido en abuso, sino que apreció que los nombramientos sucesivos se habían producido con ocasión de vacantes y por razón de la urgente necesidad de cubrirlas.</w:t>
      </w:r>
    </w:p>
    <w:p w14:paraId="223822E9" w14:textId="77777777" w:rsidR="00F64776" w:rsidRDefault="00F64776" w:rsidP="00F64776">
      <w:pPr>
        <w:pStyle w:val="TextoNormal"/>
      </w:pPr>
    </w:p>
    <w:p w14:paraId="58CB4A48" w14:textId="77777777" w:rsidR="00F64776" w:rsidRDefault="00F64776" w:rsidP="00F64776">
      <w:pPr>
        <w:pStyle w:val="TextoNormal"/>
      </w:pPr>
      <w:r>
        <w:t>(iv) El recurso de casación interpuesto por la recurrente fue admitido a trámite por el Tribunal Supremo con la finalidad de determinar, por una parte, si a la luz de las sentencias del Tribunal de Justicia de la Unión Europea de 14 de septiembre de 2016, asuntos acumulados C-184/15 y C-197/15; de 14 de septiembre de 2016, asunto C-596/14, y de 19 de marzo de 2020, asuntos acumulados C-103/18 y C-429/18, así como de la sentencia del Tribunal Supremo núm. 1426/2018, de 26 de septiembre (recurso núm. 1305-2017), se había producido o no la utilización abusiva de nombramientos de personal estatutario temporal de carácter interino; y, de otro lado, si constatada dicha utilización debía ordenarse en vía judicial la conversión de su relación de servicios en una de carácter indefinido.</w:t>
      </w:r>
    </w:p>
    <w:p w14:paraId="7BD7EFAA" w14:textId="77777777" w:rsidR="00F64776" w:rsidRDefault="00F64776" w:rsidP="00F64776">
      <w:pPr>
        <w:pStyle w:val="TextoNormal"/>
      </w:pPr>
    </w:p>
    <w:p w14:paraId="49DA1192" w14:textId="77777777" w:rsidR="00F64776" w:rsidRDefault="00F64776" w:rsidP="00F64776">
      <w:pPr>
        <w:pStyle w:val="TextoNormal"/>
      </w:pPr>
      <w:r>
        <w:t>El recurso de casación fue estimado parcialmente mediante sentencia núm. 1547/2021, de 21 de diciembre, en la que el Tribunal Supremo, basándose fundamentalmente en su previa sentencia núm. 1534/2021, de 20 de diciembre, así como en la doctrina del Tribunal de Justicia de la Unión Europea, declaró, en lo que interesa a este recurso de amparo, lo siguiente:</w:t>
      </w:r>
    </w:p>
    <w:p w14:paraId="45C55016" w14:textId="77777777" w:rsidR="00F64776" w:rsidRDefault="00F64776" w:rsidP="00F64776">
      <w:pPr>
        <w:pStyle w:val="TextoNormal"/>
      </w:pPr>
    </w:p>
    <w:p w14:paraId="574DEE67" w14:textId="77777777" w:rsidR="00F64776" w:rsidRDefault="00F64776" w:rsidP="00F64776">
      <w:pPr>
        <w:pStyle w:val="TextoNormal"/>
      </w:pPr>
      <w:r>
        <w:t xml:space="preserve">“[…] ‘1º) que una relación estatutaria de servicio de carácter no fijo que se prolonga ininterrumpidamente durante más de veintidós años da origen a una utilización abusiva y no justificada de nombramientos de personal estatutario temporal de carácter interino </w:t>
      </w:r>
      <w:r w:rsidRPr="00F64776">
        <w:rPr>
          <w:i/>
        </w:rPr>
        <w:t>ex</w:t>
      </w:r>
      <w:r>
        <w:t xml:space="preserve"> artículo 9.2 de la Ley 55/2003, de 16 de diciembre, del estatuto marco del personal estatutario de los servicios de salud, contraria a la cláusula 5 del acuerdo marco incorporado a la Directiva 1999/70.</w:t>
      </w:r>
    </w:p>
    <w:p w14:paraId="4D9D7E35" w14:textId="77777777" w:rsidR="00F64776" w:rsidRDefault="00F64776" w:rsidP="00F64776">
      <w:pPr>
        <w:pStyle w:val="TextoNormal"/>
      </w:pPr>
    </w:p>
    <w:p w14:paraId="7DC00F0C" w14:textId="77777777" w:rsidR="00F64776" w:rsidRDefault="00F64776" w:rsidP="00F64776">
      <w:pPr>
        <w:pStyle w:val="TextoNormal"/>
      </w:pPr>
      <w:r>
        <w:t>2º) que, constatada esa utilización abusiva, no es posible en nuestro ordenamiento jurídico, ni por aplicación de la cláusula 5 del acuerdo marco incorporado a la Directiva 1999/70, la conversión de la relación de servicios temporal en una de carácter fijo o asimilado, sino que la consecuencia jurídica será la expuesta en nuestras anteriores sentencias de 26 de diciembre de 2018 (recursos de casación 785 y 1305/2015), a saber: el derecho a la subsistencia de la relación de empleo —con los correspondientes derechos profesionales y económicos— hasta que la administración cumpla debidamente lo dispuesto por el art. 10.1 del estatuto básico del empleado público y el derecho a reclamar la responsabilidad patrimonial de la administración con arreglo a las normas generales de esta’.</w:t>
      </w:r>
    </w:p>
    <w:p w14:paraId="575923B3" w14:textId="77777777" w:rsidR="00F64776" w:rsidRDefault="00F64776" w:rsidP="00F64776">
      <w:pPr>
        <w:pStyle w:val="TextoNormal"/>
      </w:pPr>
    </w:p>
    <w:p w14:paraId="5EAAD988" w14:textId="77777777" w:rsidR="00F64776" w:rsidRDefault="00F64776" w:rsidP="00F64776">
      <w:pPr>
        <w:pStyle w:val="TextoNormal"/>
      </w:pPr>
      <w:r>
        <w:t>[…]</w:t>
      </w:r>
    </w:p>
    <w:p w14:paraId="45718DF6" w14:textId="77777777" w:rsidR="00F64776" w:rsidRDefault="00F64776" w:rsidP="00F64776">
      <w:pPr>
        <w:pStyle w:val="TextoNormal"/>
      </w:pPr>
    </w:p>
    <w:p w14:paraId="7B7F39D9" w14:textId="77777777" w:rsidR="00F64776" w:rsidRDefault="00F64776" w:rsidP="00F64776">
      <w:pPr>
        <w:pStyle w:val="TextoNormal"/>
      </w:pPr>
      <w:r>
        <w:t>2. Por razón de lo expuesto, se estima en parte el presente recurso, con revocación parcial de las sentencias de instancia y apelación, sin que sea necesario conforme a todo lo expuesto el planteamiento de las cuestiones prejudiciales postuladas por la recurrente en su escrito de interposición del recurso y en los posteriores escritos”.</w:t>
      </w:r>
    </w:p>
    <w:p w14:paraId="275133E4" w14:textId="77777777" w:rsidR="00F64776" w:rsidRDefault="00F64776" w:rsidP="00F64776">
      <w:pPr>
        <w:pStyle w:val="TextoNormal"/>
      </w:pPr>
    </w:p>
    <w:p w14:paraId="4851A069" w14:textId="3CDF8571" w:rsidR="00F64776" w:rsidRDefault="00F64776" w:rsidP="00F64776">
      <w:pPr>
        <w:pStyle w:val="TextoNormal"/>
      </w:pPr>
      <w:r>
        <w:t>(v) El incidente de nulidad de actuaciones interpuesto frente a esta sentencia fue inadmitido a trámite por providencia de 27 de enero de 2022. En ella se indica que no cabe tachar de incorrecta o de irrazonable la interpretación hecha por la Sala porque, como expresamente se reconoce en el propio escrito de promoción del incidente de nulidad, el artículo 5 del acuerdo marco no tiene eficacia directa ni tampoco impone a los Estados miembros un deber de transformar en fijos a los empleados públicos de carácter temporal como reacción frente a los supuestos de abuso en la contratación temporal. El Tribunal Supremo considera también improcedente la denuncia de la violación del principio de igualdad ante la ley porque “no se indica en qué supuesto similar al aquí considerado ha mantenido esta Sala un criterio divergente”. En relación con el principio de legalidad en materia sancionadora, la providencia de inadmisión indica que el asunto “nada tiene que ver con la imposición de penas o de sanciones administrativa”. Y respecto al no planteamiento de cuestión prejudicial explica que “el alcance del art. 5 del acuerdo marco en lo atinente al empleo público de carácter temporal ha sido ya aclarado por el propio Tribunal de Justicia de la Unión Europea, incluyendo varios casos recientes relativos a España. A ello debe añadirse que esta Sala no ha dejado de aplicar ninguna norma legal española en vigor, ajustándose así escrupulosamente al bien conocido criterio del Tribunal Constitucional”.</w:t>
      </w:r>
    </w:p>
    <w:p w14:paraId="68BADB87" w14:textId="77777777" w:rsidR="00F64776" w:rsidRDefault="00F64776" w:rsidP="00F64776">
      <w:pPr>
        <w:pStyle w:val="TextoNormal"/>
      </w:pPr>
    </w:p>
    <w:p w14:paraId="037F6CA5" w14:textId="77777777" w:rsidR="00F64776" w:rsidRDefault="00F64776" w:rsidP="00F64776">
      <w:pPr>
        <w:pStyle w:val="TextoNormal"/>
      </w:pPr>
      <w:r w:rsidRPr="00F64776">
        <w:rPr>
          <w:rStyle w:val="NumeroAFNegritaCaracter"/>
        </w:rPr>
        <w:t>3</w:t>
      </w:r>
      <w:r>
        <w:t>. La demanda de amparo denuncia la vulneración, por parte de la sentencia y de la providencia dictadas por el Tribunal Supremo, de los siguientes derechos fundamentales:</w:t>
      </w:r>
    </w:p>
    <w:p w14:paraId="69D0F4E1" w14:textId="77777777" w:rsidR="00F64776" w:rsidRDefault="00F64776" w:rsidP="00F64776">
      <w:pPr>
        <w:pStyle w:val="TextoNormal"/>
      </w:pPr>
    </w:p>
    <w:p w14:paraId="3664DC2B" w14:textId="77777777" w:rsidR="00F64776" w:rsidRDefault="00F64776" w:rsidP="00F64776">
      <w:pPr>
        <w:pStyle w:val="TextoNormal"/>
      </w:pPr>
      <w:r>
        <w:t>(i) Derechos a la tutela judicial efectiva (art. 24.1 CE) y a un proceso con todas las garantías (art. 24.2 CE), que habrían sido lesionados, en primer lugar, por la interpretación irrazonable y arbitraria de la normativa aplicable realizada por el Tribunal Supremo.</w:t>
      </w:r>
    </w:p>
    <w:p w14:paraId="1F60AA36" w14:textId="77777777" w:rsidR="00F64776" w:rsidRDefault="00F64776" w:rsidP="00F64776">
      <w:pPr>
        <w:pStyle w:val="TextoNormal"/>
      </w:pPr>
    </w:p>
    <w:p w14:paraId="695E7E8B" w14:textId="77777777" w:rsidR="00F64776" w:rsidRDefault="00F64776" w:rsidP="00F64776">
      <w:pPr>
        <w:pStyle w:val="TextoNormal"/>
      </w:pPr>
      <w:r>
        <w:t xml:space="preserve">El recurso señala que las resoluciones impugnadas vienen a desconocer y preterir la interpretación auténtica que del Derecho europeo ha realizado el Tribunal de Justicia de la Unión Europea. Según la demanda, la jurisprudencia europea ha establecido que es necesario convertir la relación temporal abusiva en una relación fija definitiva —inaplicando la normativa interna que lo prohíbe— cuando, como sucede en el ordenamiento jurídico español, no existe en el Derecho interno una medida sancionadora adecuada para lograr el cumplimiento de la Directiva 1999/70 en el ámbito del empleo público. Indica la demanda que la solución adoptada por el Tribunal Supremo para este tipo de supuestos —la subsistencia de la relación laboral hasta que se provean las plazas por los procedimientos reglamentarios y, en su caso, la responsabilidad patrimonial de la administración— no es una sanción suficiente y, por ello, es incompatible con la Directiva, como ya habría confirmado la STJUE de 19 de marzo de 2020, asuntos acumulados C‑103/18 y C‑429/18, </w:t>
      </w:r>
      <w:r w:rsidRPr="00F64776">
        <w:rPr>
          <w:i/>
        </w:rPr>
        <w:t>Sánchez Ruiz y Fernández Álvarez y otras c. el Servicio Madrileño de Salud</w:t>
      </w:r>
      <w:r>
        <w:t>. Y sostiene que el hecho de que la cláusula 5.1 del acuerdo marco no tenga efecto directo no excluye la “no aplicación” de una disposición de Derecho nacional que le sea contraria.</w:t>
      </w:r>
    </w:p>
    <w:p w14:paraId="7846A30E" w14:textId="77777777" w:rsidR="00F64776" w:rsidRDefault="00F64776" w:rsidP="00F64776">
      <w:pPr>
        <w:pStyle w:val="TextoNormal"/>
      </w:pPr>
    </w:p>
    <w:p w14:paraId="4EEED003" w14:textId="77777777" w:rsidR="00F64776" w:rsidRDefault="00F64776" w:rsidP="00F64776">
      <w:pPr>
        <w:pStyle w:val="TextoNormal"/>
      </w:pPr>
      <w:r>
        <w:t>(ii) Derechos a la tutela judicial efectiva (art. 24.1 CE) y a un proceso con todas las garantías (art. 24.2 CE), que habrían sido lesionados, además, por la inmotivada e irrazonable falta de planteamiento de cuestión prejudicial ante el Tribunal de Justicia de la Unión Europea.</w:t>
      </w:r>
    </w:p>
    <w:p w14:paraId="5F5EBF27" w14:textId="77777777" w:rsidR="00F64776" w:rsidRDefault="00F64776" w:rsidP="00F64776">
      <w:pPr>
        <w:pStyle w:val="TextoNormal"/>
      </w:pPr>
    </w:p>
    <w:p w14:paraId="048F829F" w14:textId="77777777" w:rsidR="00F64776" w:rsidRDefault="00F64776" w:rsidP="00F64776">
      <w:pPr>
        <w:pStyle w:val="TextoNormal"/>
      </w:pPr>
      <w:r>
        <w:t>Según la recurrente, los rasgos de la controversia suscitada ante el Tribunal Supremo le obligaban a plantear cuestión prejudicial, y ello, entre otras razones, porque (i) el Tribunal de Justicia de la Unión Europea ya ha señalado que, si no existe una medida sancionadora frente al incumplimiento de la Directiva 1999/70, la relación temporal abusiva debe ser convertida en fija, y que la convocatoria de procesos selectivos abiertos no es una sanción suficiente a tales efectos; (ii) distintos órganos jurisdiccionales españoles del orden contencioso‑administrativo y del orden social han considerado en casos anteriores que la única medida sancionadora que puede aplicarse en tales supuestos es la transformación de la relación laboral en fija; y (iii) sobre este mismo extremo pende en la actualidad una cuestión prejudicial planteada ante el Tribunal de Justicia de la Unión Europea por la Sala de lo Social del Tribunal Superior de Justicia de Madrid mediante auto de 21 de diciembre de 2021.</w:t>
      </w:r>
    </w:p>
    <w:p w14:paraId="68935843" w14:textId="77777777" w:rsidR="00F64776" w:rsidRDefault="00F64776" w:rsidP="00F64776">
      <w:pPr>
        <w:pStyle w:val="TextoNormal"/>
      </w:pPr>
    </w:p>
    <w:p w14:paraId="32FFC47F" w14:textId="77777777" w:rsidR="00F64776" w:rsidRDefault="00F64776" w:rsidP="00F64776">
      <w:pPr>
        <w:pStyle w:val="TextoNormal"/>
      </w:pPr>
      <w:r>
        <w:t>(iii) Principios de legalidad y de reserva de ley formal en materia sancionadora (art. 25.1 CE), que se habrían visto vulnerados porque en las resoluciones recurridas el Tribunal Supremo habría venido a establecer sanciones no fijadas como tales en la legislación española (a saber, “el derecho a la subsistencia de la relación de empleo —con los correspondientes derechos profesionales y económicos— hasta que la administración cumpla debidamente lo dispuesto por el art. 10.1 del texto refundido de la Ley del estatuto básico del empleado público y el derecho a reclamar la responsabilidad patrimonial de la administración con arreglo a las normas generales de esta”).</w:t>
      </w:r>
    </w:p>
    <w:p w14:paraId="4C9D9EE3" w14:textId="77777777" w:rsidR="00F64776" w:rsidRDefault="00F64776" w:rsidP="00F64776">
      <w:pPr>
        <w:pStyle w:val="TextoNormal"/>
      </w:pPr>
    </w:p>
    <w:p w14:paraId="44BB53C7" w14:textId="77777777" w:rsidR="00F64776" w:rsidRDefault="00F64776" w:rsidP="00F64776">
      <w:pPr>
        <w:pStyle w:val="TextoNormal"/>
      </w:pPr>
      <w:r>
        <w:t>Sostiene la demanda en este punto que la cláusula 5 del acuerdo marco obliga a los Estados miembros a transponer dicha cláusula en sus legislaciones nacionales, estableciendo medidas oportunas —entre ellas, medidas sancionadoras— para garantizar el cumplimiento de los objetivos de la Directiva. Y señala que a tales sanciones es aplicable el art. 25 CE, de modo que, si la infracción y la sanción no se han tipificado en una norma con rango de ley, no pueden ser establecidas por los órganos judiciales.</w:t>
      </w:r>
    </w:p>
    <w:p w14:paraId="0089849D" w14:textId="77777777" w:rsidR="00F64776" w:rsidRDefault="00F64776" w:rsidP="00F64776">
      <w:pPr>
        <w:pStyle w:val="TextoNormal"/>
      </w:pPr>
    </w:p>
    <w:p w14:paraId="2C2E46B7" w14:textId="77777777" w:rsidR="00F64776" w:rsidRDefault="00F64776" w:rsidP="00F64776">
      <w:pPr>
        <w:pStyle w:val="TextoNormal"/>
      </w:pPr>
      <w:r>
        <w:t>(iv) Derecho a la igualdad de trato (art. 14 CE) en relación con los arts. 1, 9.2 y 24 CE, a la luz de la cláusula 4 del acuerdo marco. Según la recurrente en amparo, esta lesión se habría producido al no estar justificada una diferencia de trato entre los empleados públicos fijos o de carrera y los empleados públicos temporales o interinos, cuando la vinculación de servicio con la administración se extiende durante años.</w:t>
      </w:r>
    </w:p>
    <w:p w14:paraId="03E2C4D7" w14:textId="77777777" w:rsidR="00F64776" w:rsidRDefault="00F64776" w:rsidP="00F64776">
      <w:pPr>
        <w:pStyle w:val="TextoNormal"/>
      </w:pPr>
    </w:p>
    <w:p w14:paraId="72229BC4" w14:textId="77777777" w:rsidR="00F64776" w:rsidRDefault="00F64776" w:rsidP="00F64776">
      <w:pPr>
        <w:pStyle w:val="TextoNormal"/>
      </w:pPr>
      <w:r>
        <w:t>Argumenta la recurrente que el art. 14 CE impondría el reconocimiento de su derecho a la estabilidad y a ser mantenida en el puesto de trabajo que ha desempeñado durante años, queja que habría sido desestimada por el Tribunal Supremo sin motivación válida, pues resulta irrazonable el argumento de la providencia de inadmisión del incidente de nulidad de que no se habían resuelto cuestiones similares con un criterio divergente, porque lo que se estaba denunciando era la desigualdad de trato entre interinos y fijos. Según la demanda, ha de seguirse el criterio sentado por la sentencia del Tribunal de Justicia de la Unión Europea de 25 de octubre de 2018, asunto C‑331/17, según la cual la cláusula 5 del acuerdo marco se opone a una normativa nacional en virtud de la cual no son aplicables en un determinado sector de actividad (en el caso enjuiciado, el de las fundaciones líricas y sinfónicas) las normas de régimen general sobre relaciones laborales que sancionan la utilización abusiva de la contratación temporal mediante la conversión automática de los contratos en indefinidos una vez pasada una determinada fecha. La recurrente aduce que es contrario al art. 14 CE y a la cláusula 4 del acuerdo marco negar a los empleados públicos temporales que desempeñan durante largo tiempo las mismas funciones que los empleados fijos o de carrera la misma estabilidad que se reconoce a estos —medida que, sin embargo, sí se reconoce para el sector privado en el art. 15 del estatuto de los trabajadores—, porque, entre otros motivos, (i) sus años de servicio, experiencia y antigüedad acreditan su capacidad e idoneidad para el desempeño de las tareas públicas, y (ii) el personal temporal también ha superado procesos selectivos en régimen de libre concurrencia para acceder al empleo público, por exigencia de los arts. 10 del estatuto básico del empleado público y 9 de la Ley 55/2003, de 16 de diciembre.</w:t>
      </w:r>
    </w:p>
    <w:p w14:paraId="11EAE0E5" w14:textId="77777777" w:rsidR="00F64776" w:rsidRDefault="00F64776" w:rsidP="00F64776">
      <w:pPr>
        <w:pStyle w:val="TextoNormal"/>
      </w:pPr>
    </w:p>
    <w:p w14:paraId="77BD0B27" w14:textId="0C7F0CD0" w:rsidR="00F64776" w:rsidRDefault="00F64776" w:rsidP="00F64776">
      <w:pPr>
        <w:pStyle w:val="TextoNormal"/>
      </w:pPr>
      <w:r>
        <w:t>(v) La demanda de amparo finaliza con la solicitud de que, antes de la resolución del recurso, el Tribunal Constitucional plantee cuestión prejudicial ante el Tribunal de Justicia de la Unión Europea acerca de la interpretación y el alcance de las cláusulas 4 y 5 del acuerdo marco integrado en la Directiva 1999/70/CE. Concretamente, se insta la formulación de cuatro preguntas relativas a (i) si reviste o no carácter suficiente como sanción, a los efectos de la cláusula 5, la medida consistente en mantener al empleado público víctima de un abuso en su puesto hasta que la administración empleadora convoque los correspondientes procesos selectivos para cubrir la plaza con personal fijo o de carrera; (ii) si, en ausencia de toda medida sancionadora específica en el Derecho interno para garantizar el cumplimiento del acuerdo marco en el ámbito del empleo público, la cláusula 5 obliga a las autoridades nacionales a transformar la relación temporal de carácter abusivo en una relación fija, aunque esa transformación esté prohibida por la normativa interna; (iii) si tal obligación de transformar el vínculo en fijo ha de entenderse existente en el ámbito público en tanto que una consecuencia análoga se prevé para el ámbito privado en el art. 15 del texto refundido de la Ley del estatuto de los trabajadores; y (iv) en caso de respuesta negativa, si las cláusulas 4 y 5 obligan a las autoridades administrativas nacionales a aplicar a los trabajadores públicos temporales víctimas de un abuso las mismas causas de cese y de despido que rigen para los empleados fijos o de carrera comparables, por ser tales causas “condiciones de trabajo” incluidas en la cláusula 4 del acuerdo marco.</w:t>
      </w:r>
    </w:p>
    <w:p w14:paraId="0BC90AEA" w14:textId="77777777" w:rsidR="00F64776" w:rsidRDefault="00F64776" w:rsidP="00F64776">
      <w:pPr>
        <w:pStyle w:val="TextoNormal"/>
      </w:pPr>
    </w:p>
    <w:p w14:paraId="34A18DAC" w14:textId="221F41BD" w:rsidR="00F64776" w:rsidRDefault="00F64776" w:rsidP="00F64776">
      <w:pPr>
        <w:pStyle w:val="TextoNormal"/>
      </w:pPr>
      <w:r w:rsidRPr="00F64776">
        <w:rPr>
          <w:rStyle w:val="NumeroAFNegritaCaracter"/>
        </w:rPr>
        <w:t>4</w:t>
      </w:r>
      <w:r>
        <w:t>. Mediante escrito registrado en este tribunal el 13 de mayo de 2022, la representación procesal de la recurrente en amparo pone en conocimiento de este tribunal “la existencia de prejudicialidad comunitaria” y solicita la “suspensión de la tramitación del presente recurso hasta que se resuelvan por el Tribunal de Justicia de la Unión Europea las cuestiones prejudiciales ya planteadas por el Juzgado de lo Contencioso‑Administrativo núm. 17 de Barcelona, en su auto de fecha 6 de mayo de 2022 (PA 257-2020)”.</w:t>
      </w:r>
    </w:p>
    <w:p w14:paraId="6EBA2C7C" w14:textId="77777777" w:rsidR="00F64776" w:rsidRDefault="00F64776" w:rsidP="00F64776">
      <w:pPr>
        <w:pStyle w:val="TextoNormal"/>
      </w:pPr>
    </w:p>
    <w:p w14:paraId="71DF56B5" w14:textId="77777777" w:rsidR="00F64776" w:rsidRDefault="00F64776" w:rsidP="00F64776">
      <w:pPr>
        <w:pStyle w:val="TextoNormalNegritaCentrado"/>
        <w:keepNext/>
      </w:pPr>
      <w:r>
        <w:t>II. Fundamentos jurídicos</w:t>
      </w:r>
    </w:p>
    <w:p w14:paraId="5A4AED88" w14:textId="07876FF9" w:rsidR="00F64776" w:rsidRDefault="00F64776" w:rsidP="00F64776">
      <w:pPr>
        <w:pStyle w:val="TextoNormalNegritaCentrado"/>
        <w:keepNext/>
      </w:pPr>
    </w:p>
    <w:p w14:paraId="74D24C7D" w14:textId="77777777" w:rsidR="00F64776" w:rsidRDefault="00F64776" w:rsidP="00F64776">
      <w:pPr>
        <w:pStyle w:val="TextoNormal"/>
      </w:pPr>
      <w:r w:rsidRPr="00F64776">
        <w:rPr>
          <w:rStyle w:val="NumeroAFNegritaCaracter"/>
        </w:rPr>
        <w:t>1</w:t>
      </w:r>
      <w:r>
        <w:t xml:space="preserve">. </w:t>
      </w:r>
      <w:r w:rsidRPr="00F64776">
        <w:rPr>
          <w:i/>
        </w:rPr>
        <w:t>Objeto del recurso</w:t>
      </w:r>
    </w:p>
    <w:p w14:paraId="58EF27A4" w14:textId="77777777" w:rsidR="00F64776" w:rsidRDefault="00F64776" w:rsidP="00F64776">
      <w:pPr>
        <w:pStyle w:val="TextoNormal"/>
      </w:pPr>
    </w:p>
    <w:p w14:paraId="2B06D4C3" w14:textId="77777777" w:rsidR="00F64776" w:rsidRDefault="00F64776" w:rsidP="00F64776">
      <w:pPr>
        <w:pStyle w:val="TextoNormal"/>
      </w:pPr>
      <w:r>
        <w:t>El recurso de amparo núm. 1055-2022, sobre cuya admisibilidad hemos ahora de pronunciarnos, se dirige contra la sentencia de la Sección Cuarta de la Sala de lo Contencioso-Administrativo del Tribunal Supremo núm. 1547/2021, de 21 de diciembre de 2021, que acordó la estimación parcial del recurso de casación núm. 3565-2019, y contra la providencia de 27 de enero de 2022, que inadmitió el incidente de nulidad de actuaciones promovido frente a la sentencia anterior. El suplico de la demanda de amparo insta de este tribunal el reconocimiento de los derechos cuya lesión se denuncia, la anulación de las resoluciones impugnadas y la retroacción de las actuaciones al momento procesal anterior al de dictarse la sentencia objeto de recurso “a fin de que se proceda por el Tribunal Supremo a dictar otra por la que se acuerde la estimación del recurso de casación”.</w:t>
      </w:r>
    </w:p>
    <w:p w14:paraId="324A58F1" w14:textId="77777777" w:rsidR="00F64776" w:rsidRDefault="00F64776" w:rsidP="00F64776">
      <w:pPr>
        <w:pStyle w:val="TextoNormal"/>
      </w:pPr>
    </w:p>
    <w:p w14:paraId="784A803B" w14:textId="77777777" w:rsidR="00F64776" w:rsidRDefault="00F64776" w:rsidP="00F64776">
      <w:pPr>
        <w:pStyle w:val="TextoNormal"/>
      </w:pPr>
      <w:r>
        <w:t>Ha de precisarse, sin embargo, que las vulneraciones denunciadas y su fundamentación jurídica ponen de manifiesto que lo que se controvierte ante este tribunal (y lo que se discutió en nulidad de actuaciones) no es la totalidad, sino solamente parte de la interpretación y el fallo recogidos en la sentencia impugnada. Como con mayor detalle se ha expuesto en los antecedentes, dicha sentencia estimó la pretensión de la actora de que se reconociese y declarase la existencia de una situación de abuso en la contratación temporal sucesiva utilizada con ella por el SERMAS. El recurso de amparo no cuestiona dicho pronunciamiento, sino la consecuencia jurídica que el Tribunal Supremo asoció a dicha situación de abuso; consecuencia que no fue la solicitada por la recurrente (esto es, la conversión del vínculo laboral temporal en fijo) sino otra que, según denuncia, no garantiza suficientemente el cumplimiento de los objetivos de la Directiva 1999/70/CE del Consejo, de 28 de junio de 1999 (a saber, el derecho a la subsistencia de la relación de empleo, con los correspondientes derechos profesionales y económicos, hasta la cobertura definitiva de la plaza en cuestión, así como el derecho a reclamar la responsabilidad patrimonial de la administración según el régimen general de dicha responsabilidad).</w:t>
      </w:r>
    </w:p>
    <w:p w14:paraId="1FDDBDEB" w14:textId="77777777" w:rsidR="00F64776" w:rsidRDefault="00F64776" w:rsidP="00F64776">
      <w:pPr>
        <w:pStyle w:val="TextoNormal"/>
      </w:pPr>
    </w:p>
    <w:p w14:paraId="0B68549B" w14:textId="7866DF64" w:rsidR="00F64776" w:rsidRDefault="00F64776" w:rsidP="00F64776">
      <w:pPr>
        <w:pStyle w:val="TextoNormal"/>
      </w:pPr>
      <w:r>
        <w:t>Hemos de partir, por lo tanto, de la existencia en el caso de la recurrente de una situación de abuso del empleo público de duración determinada, así como de su incompatibilidad —también apreciada por el Tribunal Supremo— con la Directiva 1999/70/CE. Por lo tanto, el objeto del recurso de amparo ha de entenderse constreñido a la cuestión de si el criterio de la no conversión del vínculo en fijo que mantienen las resoluciones judiciales impugnadas vulnera o no los derechos fundamentales de los arts. 14, 24 y 25 CE invocados en la demanda.</w:t>
      </w:r>
    </w:p>
    <w:p w14:paraId="77529F34" w14:textId="77777777" w:rsidR="00F64776" w:rsidRDefault="00F64776" w:rsidP="00F64776">
      <w:pPr>
        <w:pStyle w:val="TextoNormal"/>
      </w:pPr>
    </w:p>
    <w:p w14:paraId="1D0EF1D5" w14:textId="77777777" w:rsidR="00F64776" w:rsidRDefault="00F64776" w:rsidP="00F64776">
      <w:pPr>
        <w:pStyle w:val="TextoNormal"/>
      </w:pPr>
      <w:r w:rsidRPr="00F64776">
        <w:rPr>
          <w:rStyle w:val="NumeroAFNegritaCaracter"/>
        </w:rPr>
        <w:t>2</w:t>
      </w:r>
      <w:r>
        <w:t xml:space="preserve">. </w:t>
      </w:r>
      <w:r w:rsidRPr="00F64776">
        <w:rPr>
          <w:i/>
        </w:rPr>
        <w:t>Inadmisión a trámite del recurso</w:t>
      </w:r>
    </w:p>
    <w:p w14:paraId="42CF9319" w14:textId="77777777" w:rsidR="00F64776" w:rsidRDefault="00F64776" w:rsidP="00F64776">
      <w:pPr>
        <w:pStyle w:val="TextoNormal"/>
      </w:pPr>
    </w:p>
    <w:p w14:paraId="242FF6CE" w14:textId="77777777" w:rsidR="00F64776" w:rsidRDefault="00F64776" w:rsidP="00F64776">
      <w:pPr>
        <w:pStyle w:val="TextoNormal"/>
      </w:pPr>
      <w:r>
        <w:t xml:space="preserve">Bajo los indicados parámetros, la Sección ha examinado el recurso presentado y considera que no procede admitirlo a trámite, con arreglo a lo previsto en el art. 50.1 a) de la Ley Orgánica del Tribunal Constitucional (LOTC), en relación con su art. 44.1 a), por manifiesta inexistencia de vulneración de los derechos fundamentales alegados. La Sección ha optado por exteriorizar su decisión por medio de auto, </w:t>
      </w:r>
      <w:r w:rsidRPr="00F64776">
        <w:rPr>
          <w:i/>
        </w:rPr>
        <w:t>ex</w:t>
      </w:r>
      <w:r>
        <w:t xml:space="preserve"> art. 86.1 LOTC, con el fin de motivar las razones que la sostienen y que se exponen a continuación siguiendo el orden de las lesiones denunciadas en la demanda.</w:t>
      </w:r>
    </w:p>
    <w:p w14:paraId="5306635F" w14:textId="77777777" w:rsidR="00F64776" w:rsidRDefault="00F64776" w:rsidP="00F64776">
      <w:pPr>
        <w:pStyle w:val="TextoNormal"/>
      </w:pPr>
    </w:p>
    <w:p w14:paraId="1835D662" w14:textId="77777777" w:rsidR="00F64776" w:rsidRDefault="00F64776" w:rsidP="00F64776">
      <w:pPr>
        <w:pStyle w:val="TextoNormal"/>
      </w:pPr>
      <w:r>
        <w:t>a) En primer lugar, hemos de descartar que las resoluciones impugnadas hayan realizado una interpretación irrazonable o arbitraria de la normativa aplicable y, en consecuencia, que hayan incurrido por tal causa en vulneración de los derechos a la tutela judicial efectiva (art. 24.1 CE) y a un proceso con todas las garantías (art. 24.2 CE).</w:t>
      </w:r>
    </w:p>
    <w:p w14:paraId="709306F4" w14:textId="77777777" w:rsidR="00F64776" w:rsidRDefault="00F64776" w:rsidP="00F64776">
      <w:pPr>
        <w:pStyle w:val="TextoNormal"/>
      </w:pPr>
    </w:p>
    <w:p w14:paraId="5B292DFE" w14:textId="77777777" w:rsidR="00F64776" w:rsidRDefault="00F64776" w:rsidP="00F64776">
      <w:pPr>
        <w:pStyle w:val="TextoNormal"/>
      </w:pPr>
      <w:r>
        <w:t>La demanda sustenta esta queja en la afirmación de que existe una interpretación auténtica de la cláusula 5.1 del acuerdo marco de la CES, la UNICE y el CEEP sobre el trabajo de duración determinada, recogido en la Directiva 1999/70/CE del Consejo, de 28 de junio de 1999. Según la recurrente en amparo, el Tribunal de Justicia de la Unión Europea habría establecido la existencia de una obligación para las autoridades de los Estados miembros de transformar en fija la relación temporal de empleo público en aquellos casos en que esta sea declarada abusiva y el Derecho nacional no haya previsto una medida efectiva para sancionar el incumplimiento que ello supone de la cláusula 5 del acuerdo marco. La demanda sostiene que esta interpretación habría sido desconocida y preterida por la sentencia y la providencia del Tribunal Supremo impugnadas en amparo, lo cual, según la doctrina constitucional, supondría una selección irrazonable y arbitraria de la norma aplicable al proceso, con la consiguiente lesión del derecho fundamental a la tutela judicial efectiva de la recurrente en amparo (por todas, SSTC 232/2015, de 5 de noviembre, FJ 5, y 31/2019, de 28 de febrero, FJ 4).</w:t>
      </w:r>
    </w:p>
    <w:p w14:paraId="16F94B4C" w14:textId="77777777" w:rsidR="00F64776" w:rsidRDefault="00F64776" w:rsidP="00F64776">
      <w:pPr>
        <w:pStyle w:val="TextoNormal"/>
      </w:pPr>
    </w:p>
    <w:p w14:paraId="0E6025BF" w14:textId="77777777" w:rsidR="00F64776" w:rsidRDefault="00F64776" w:rsidP="00F64776">
      <w:pPr>
        <w:pStyle w:val="TextoNormal"/>
      </w:pPr>
      <w:r>
        <w:t>La lesión así alegada no es verosímil, pues, tal y como apreció el Tribunal Supremo en las resoluciones ahora impugnadas, la interpretación de la cláusula 5.1 del acuerdo marco realizada por el Tribunal de Justicia de la Unión Europea no se ajusta a lo pretendido en la demanda de amparo.</w:t>
      </w:r>
    </w:p>
    <w:p w14:paraId="7A926DCF" w14:textId="77777777" w:rsidR="00F64776" w:rsidRDefault="00F64776" w:rsidP="00F64776">
      <w:pPr>
        <w:pStyle w:val="TextoNormal"/>
      </w:pPr>
    </w:p>
    <w:p w14:paraId="775DF3AD" w14:textId="77777777" w:rsidR="00F64776" w:rsidRDefault="00F64776" w:rsidP="00F64776">
      <w:pPr>
        <w:pStyle w:val="TextoNormal"/>
      </w:pPr>
      <w:r>
        <w:t xml:space="preserve">Ciertamente, el Tribunal de Justicia ha reiterado que la citada cláusula exige a los Estados miembros no solo la adopción de medidas dirigidas a prevenir abusos en la contratación temporal (por todas, STJUE de 15 de abril de 2008, asunto C‑268/06, </w:t>
      </w:r>
      <w:r w:rsidRPr="00F64776">
        <w:rPr>
          <w:i/>
        </w:rPr>
        <w:t>Impact</w:t>
      </w:r>
      <w:r>
        <w:t xml:space="preserve">, § 79), sino también medidas “proporcionadas”, “efectivas” y “disuasorias” para sancionar efectivamente el abuso producido y para eliminar las consecuencias de la infracción del Derecho de la Unión (entre otras, STJUE de 19 de marzo de 2020, asuntos acumulados C‑103/18 y C‑429/18, </w:t>
      </w:r>
      <w:r w:rsidRPr="00F64776">
        <w:rPr>
          <w:i/>
        </w:rPr>
        <w:t>Sánchez Ruiz</w:t>
      </w:r>
      <w:r>
        <w:t xml:space="preserve">, § 86 y 88). Sanciones frente al incumplimiento respecto de las cuales el Tribunal de Justicia ha indicado, por lo que ahora importa, lo siguiente: (i) pueden no ser medidas adecuadas a tal efecto el abono de una indemnización por extinción de contrato al término de los contratos de interinidad (STJUE de 3 de junio de 2021, asunto C‑726/19, </w:t>
      </w:r>
      <w:r w:rsidRPr="00F64776">
        <w:rPr>
          <w:i/>
        </w:rPr>
        <w:t>Instituto Madrileño de Investigación y Desarrollo Rural, Agrario y Alimentario</w:t>
      </w:r>
      <w:r>
        <w:t>, § 74) ni la organización de procesos selectivos para la provisión definitiva de las plazas de empleo público afectadas (</w:t>
      </w:r>
      <w:r w:rsidRPr="00F64776">
        <w:rPr>
          <w:i/>
        </w:rPr>
        <w:t>Sánchez Ruiz</w:t>
      </w:r>
      <w:r>
        <w:t xml:space="preserve">, § 101), cuando tales medidas se adopten sin ninguna consideración relativa a la utilización de relaciones laborales de duración determinada; (ii) sí podría ser una medida sancionadora adecuada la transformación del vínculo laboral en indefinido (SSTJUE de 3 de junio de 2021, </w:t>
      </w:r>
      <w:r w:rsidRPr="00F64776">
        <w:rPr>
          <w:i/>
        </w:rPr>
        <w:t>Instituto Madrileño de Investigación y Desarrollo Rural, Agrario y Alimentario</w:t>
      </w:r>
      <w:r>
        <w:t xml:space="preserve">, § 73, y de 11 de febrero de 2021, asunto C‑760/18, </w:t>
      </w:r>
      <w:r w:rsidRPr="00F64776">
        <w:rPr>
          <w:i/>
        </w:rPr>
        <w:t>M.V. y otros</w:t>
      </w:r>
      <w:r>
        <w:t xml:space="preserve">, § 63); y (iii) para ser conforme con el acuerdo marco, una regulación nacional que prohíba de forma absoluta dicha medida de conversión en el sector público ha de verse acompañada de otra medida efectiva para evitar y, en su caso, sancionar la utilización abusiva de contratos de trabajo de duración determinada (ATJUE de 1 de octubre de 2010, asunto C-3/10, </w:t>
      </w:r>
      <w:r w:rsidRPr="00F64776">
        <w:rPr>
          <w:i/>
        </w:rPr>
        <w:t>Franco Affatato</w:t>
      </w:r>
      <w:r>
        <w:t>, § 42).</w:t>
      </w:r>
    </w:p>
    <w:p w14:paraId="2174A982" w14:textId="77777777" w:rsidR="00F64776" w:rsidRDefault="00F64776" w:rsidP="00F64776">
      <w:pPr>
        <w:pStyle w:val="TextoNormal"/>
      </w:pPr>
    </w:p>
    <w:p w14:paraId="277DCE3F" w14:textId="77777777" w:rsidR="00F64776" w:rsidRDefault="00F64776" w:rsidP="00F64776">
      <w:pPr>
        <w:pStyle w:val="TextoNormal"/>
      </w:pPr>
      <w:r>
        <w:t xml:space="preserve">Ahora bien, junto con ello ha señalado el Tribunal de Justicia que la cláusula 5.1 del acuerdo marco “asigna a los Estados miembros un objetivo general, consistente en la prevención de tales abusos, dejándoles sin embargo la elección de los medios para alcanzarlo, siempre que no pongan en peligro el objetivo o el efecto útil del acuerdo marco” (por todas, STJUE de 21 de noviembre de 2018, asunto C-619/17, </w:t>
      </w:r>
      <w:r w:rsidRPr="00F64776">
        <w:rPr>
          <w:i/>
        </w:rPr>
        <w:t>De Diego Porras II</w:t>
      </w:r>
      <w:r>
        <w:t xml:space="preserve">, § 86), de modo que “no impone a los Estados miembros una obligación general de transformar en contratos por tiempo indefinido los contratos de trabajo de duración determinada” (por todas, STJUE </w:t>
      </w:r>
      <w:r w:rsidRPr="00F64776">
        <w:rPr>
          <w:i/>
        </w:rPr>
        <w:t>Sánchez Ruiz</w:t>
      </w:r>
      <w:r>
        <w:t xml:space="preserve">, § 85 y 87). Conclusión que se encuentra estrechamente asociada con la falta de efecto directo de la citada cláusula, pues esta “no es, desde el punto de vista de su contenido, incondicional y lo suficientemente precisa para que un particular pueda invocarla ante un tribunal nacional” (STJUE </w:t>
      </w:r>
      <w:r w:rsidRPr="00F64776">
        <w:rPr>
          <w:i/>
        </w:rPr>
        <w:t>Impact</w:t>
      </w:r>
      <w:r>
        <w:t xml:space="preserve">, § 79), de modo que “un tribunal nacional no está obligado a dejar sin aplicación una disposición de su Derecho nacional contraria a la cláusula 5, apartado 1, del acuerdo marco” (STJUE </w:t>
      </w:r>
      <w:r w:rsidRPr="00F64776">
        <w:rPr>
          <w:i/>
        </w:rPr>
        <w:t>Sánchez Ruiz</w:t>
      </w:r>
      <w:r>
        <w:t>, § 120).</w:t>
      </w:r>
    </w:p>
    <w:p w14:paraId="53517150" w14:textId="77777777" w:rsidR="00F64776" w:rsidRDefault="00F64776" w:rsidP="00F64776">
      <w:pPr>
        <w:pStyle w:val="TextoNormal"/>
      </w:pPr>
    </w:p>
    <w:p w14:paraId="4C233F91" w14:textId="77777777" w:rsidR="00F64776" w:rsidRDefault="00F64776" w:rsidP="00F64776">
      <w:pPr>
        <w:pStyle w:val="TextoNormal"/>
      </w:pPr>
      <w:r>
        <w:t>No se aprecia que esta “interpretación auténtica” de la citada cláusula haya sido contradicha, desconocida ni preterida por las resoluciones judiciales impugnadas en amparo, sino más bien lo contrario. Y ello porque, si bien es cierto que la sentencia del Tribunal Supremo asocia a la situación de abuso laboral padecida por la recurrente medidas sancionadoras que, atendiendo a la jurisprudencia europea, pudieran no ser suficientemente efectivas, dicha sentencia se ajusta plenamente a la doctrina del Tribunal de Justicia de la Unión acerca de la falta de efecto directo de la cláusula 5.1 del acuerdo marco y del margen de apreciación que esta atribuye a los Estados miembros.</w:t>
      </w:r>
    </w:p>
    <w:p w14:paraId="699AF4CF" w14:textId="77777777" w:rsidR="00F64776" w:rsidRDefault="00F64776" w:rsidP="00F64776">
      <w:pPr>
        <w:pStyle w:val="TextoNormal"/>
      </w:pPr>
    </w:p>
    <w:p w14:paraId="2CAEA33A" w14:textId="77777777" w:rsidR="00F64776" w:rsidRDefault="00F64776" w:rsidP="00F64776">
      <w:pPr>
        <w:pStyle w:val="TextoNormal"/>
      </w:pPr>
      <w:r>
        <w:t xml:space="preserve">En el caso que ha dado origen al presente recurso de amparo, el Tribunal Supremo ha argumentado que la falta de efecto directo de la cláusula 5.1 del acuerdo marco limita el posible pronunciamiento de los órganos judiciales nacionales a la técnica de la interpretación conforme —sin alcanzar, por lo tanto, a la inaplicación de la norma interna contraria a la europea—, interpretación que en ningún caso puede operar </w:t>
      </w:r>
      <w:r w:rsidRPr="00F64776">
        <w:rPr>
          <w:i/>
        </w:rPr>
        <w:t>contra legem</w:t>
      </w:r>
      <w:r>
        <w:t>, planteamiento este que la demanda de amparo no discute. A partir de aquí, el Tribunal Supremo concluye que en el supuesto de autos debía aplicarse la normativa interna sobre empleo público, que no admite la interpretación conforme propuesta por la recurrente porque “nunca, y ahora tampoco, ha contemplado la adquisición de personal funcionario/estatutario si no es a través de la superación de un proceso selectivo”, pues “[a]sí lo establecía el artículo 19.1 de la Ley 30/1984, de 2 de agosto, de medidas para la reforma de la función pública, lo fija hoy el artículo 62.1 del Real Decreto Legislativo 5/2015, de 30 de octubre, por el que se aprueba el texto refundido de la Ley del estatuto básico del empleado público [TRLEEP], y, tratándose de personal estatutario, el artículo 20 de la Ley 55/2003, de 16 de diciembre, del estatuto marco del personal estatutario de los servicios de salud”.</w:t>
      </w:r>
    </w:p>
    <w:p w14:paraId="42C35289" w14:textId="77777777" w:rsidR="00F64776" w:rsidRDefault="00F64776" w:rsidP="00F64776">
      <w:pPr>
        <w:pStyle w:val="TextoNormal"/>
      </w:pPr>
    </w:p>
    <w:p w14:paraId="20479EF5" w14:textId="77777777" w:rsidR="00F64776" w:rsidRDefault="00F64776" w:rsidP="00F64776">
      <w:pPr>
        <w:pStyle w:val="TextoNormal"/>
      </w:pPr>
      <w:r>
        <w:t>Desde la perspectiva de control externo que corresponde a este tribunal, esta interpretación constituye una “exégesis racional de la legalidad ordinaria” que explica suficientemente la decisión del Tribunal Supremo de aplicar la norma nacional supuestamente contraria (según la parte) al Derecho de la Unión y de hacerlo, además, sin plantear cuestión prejudicial (SSTC 232/2015, FJ 5, y 37/2019, FJ 4), lo que conduce a descartar las lesiones del art. 24 CE denunciadas en la primera queja de la demanda de amparo.</w:t>
      </w:r>
    </w:p>
    <w:p w14:paraId="6F812462" w14:textId="77777777" w:rsidR="00F64776" w:rsidRDefault="00F64776" w:rsidP="00F64776">
      <w:pPr>
        <w:pStyle w:val="TextoNormal"/>
      </w:pPr>
    </w:p>
    <w:p w14:paraId="78F6315C" w14:textId="77777777" w:rsidR="00F64776" w:rsidRDefault="00F64776" w:rsidP="00F64776">
      <w:pPr>
        <w:pStyle w:val="TextoNormal"/>
      </w:pPr>
      <w:r>
        <w:t>b) Lo que acaba de indicarse determina necesariamente que tampoco resulte verosímil la lesión de los derechos a la tutela judicial efectiva (art. 24.1 CE) y a un proceso con todas las garantías (art. 24.2 CE) que la demanda imputa a la falta de planteamiento, por parte del Tribunal Supremo, de cuestión prejudicial ante el Tribunal de Justicia de la Unión Europea. A lo señalado hasta ahora debemos añadir dos consideraciones adicionales que evidencian la ausencia de la lesión denunciada.</w:t>
      </w:r>
    </w:p>
    <w:p w14:paraId="35F34389" w14:textId="77777777" w:rsidR="00F64776" w:rsidRDefault="00F64776" w:rsidP="00F64776">
      <w:pPr>
        <w:pStyle w:val="TextoNormal"/>
      </w:pPr>
    </w:p>
    <w:p w14:paraId="435B5CB4" w14:textId="77777777" w:rsidR="00F64776" w:rsidRDefault="00F64776" w:rsidP="00F64776">
      <w:pPr>
        <w:pStyle w:val="TextoNormal"/>
      </w:pPr>
      <w:r>
        <w:t xml:space="preserve">Por una parte, existe una consolidada interpretación del Tribunal de Justicia de la Unión acerca del art. 267 del Tratado de funcionamiento de la Unión Europea conforme a la cual los órganos judiciales nacionales de última instancia quedan eximidos de la obligación de plantear cuestión prejudicial en determinados supuestos. Entre ellos se encuentra, por lo que ahora interesa, el caso en que la disposición comunitaria de que se trate haya sido ya objeto de interpretación por parte del Tribunal de Justicia (por todas, SSTJUE de 6 de octubre de 1982, asunto C‑283/81, Srl </w:t>
      </w:r>
      <w:r w:rsidRPr="00F64776">
        <w:rPr>
          <w:i/>
        </w:rPr>
        <w:t>Cilfit y otros y Lanificio di Gavardo SpA</w:t>
      </w:r>
      <w:r>
        <w:t xml:space="preserve">, § 14 y 21, y de 6 de octubre de 2021, asunto C‑561/19, </w:t>
      </w:r>
      <w:r w:rsidRPr="00F64776">
        <w:rPr>
          <w:i/>
        </w:rPr>
        <w:t>Consorzio Italian Management y Catania Multiservizi SpA</w:t>
      </w:r>
      <w:r>
        <w:t>, § 66). Esta doctrina ha sido respetada por las resoluciones impugnadas en amparo, pues la existencia de doctrina consolidada sobre el alcance y los efectos de la cláusula 5.1 del acuerdo marco dispensaba al Tribunal Supremo de la obligación de plantear cuestión prejudicial, lo que determina que no quepa imputarle vulneración alguna del art. 24 CE por no haber planteado dicha cuestión.</w:t>
      </w:r>
    </w:p>
    <w:p w14:paraId="5CB73E65" w14:textId="77777777" w:rsidR="00F64776" w:rsidRDefault="00F64776" w:rsidP="00F64776">
      <w:pPr>
        <w:pStyle w:val="TextoNormal"/>
      </w:pPr>
    </w:p>
    <w:p w14:paraId="6E14761D" w14:textId="77777777" w:rsidR="00F64776" w:rsidRDefault="00F64776" w:rsidP="00F64776">
      <w:pPr>
        <w:pStyle w:val="TextoNormal"/>
      </w:pPr>
      <w:r>
        <w:t xml:space="preserve">De otro lado, esta conclusión no resulta enervada por el hecho de que dos órganos jurisdiccionales inferiores (la Sala de lo Social del Tribunal Superior de Justicia de Madrid y el Juzgado de lo Contencioso‑Administrativo núm. 7 de Barcelona) hayan planteado cuestiones prejudiciales sobre asuntos análogos. Como ha aclarado el Tribunal de Justicia de la Unión Europea, el hecho de que existan cuestiones prejudiciales sobre similar asunto planteadas por otro órgano judicial inferior no impide a un órgano jurisdiccional supremo (ni a este Tribunal Constitucional, al que también se ha solicitado formular cuestión ante el Tribunal de Justicia) apreciar que está en presencia de una de las excepciones previstas en la doctrina </w:t>
      </w:r>
      <w:r w:rsidRPr="00F64776">
        <w:rPr>
          <w:i/>
        </w:rPr>
        <w:t>Cilfit</w:t>
      </w:r>
      <w:r>
        <w:t xml:space="preserve"> y, por lo tanto, abstenerse de plantear cuestión prejudicial, en cuyo caso le corresponde decidir el litigio ante él suscitado bajo su propia responsabilidad y sin necesidad de esperar a que el Tribunal de Justicia dé respuesta a las cuestiones prejudiciales pendientes (STJUE de 9 de septiembre de 2015, asuntos acumulados C‑72/14 y C‑197/14, </w:t>
      </w:r>
      <w:r w:rsidRPr="00F64776">
        <w:rPr>
          <w:i/>
        </w:rPr>
        <w:t>X c. Inspector de Hacienda y T.A. van Dijk c. Secretario de Estado de Hacienda</w:t>
      </w:r>
      <w:r>
        <w:t>, § 60 a 63).</w:t>
      </w:r>
    </w:p>
    <w:p w14:paraId="13E342CC" w14:textId="77777777" w:rsidR="00F64776" w:rsidRDefault="00F64776" w:rsidP="00F64776">
      <w:pPr>
        <w:pStyle w:val="TextoNormal"/>
      </w:pPr>
    </w:p>
    <w:p w14:paraId="0637E062" w14:textId="77777777" w:rsidR="00F64776" w:rsidRDefault="00F64776" w:rsidP="00F64776">
      <w:pPr>
        <w:pStyle w:val="TextoNormal"/>
      </w:pPr>
      <w:r>
        <w:t>c) Esta misma conclusión de inexistencia de vulneración hemos alcanzado respecto de la queja relativa a los principios de legalidad y de reserva de ley formal en materia sancionadora (art. 25.1 CE).</w:t>
      </w:r>
    </w:p>
    <w:p w14:paraId="498E89EF" w14:textId="77777777" w:rsidR="00F64776" w:rsidRDefault="00F64776" w:rsidP="00F64776">
      <w:pPr>
        <w:pStyle w:val="TextoNormal"/>
      </w:pPr>
    </w:p>
    <w:p w14:paraId="5E4C74F8" w14:textId="77777777" w:rsidR="00F64776" w:rsidRDefault="00F64776" w:rsidP="00F64776">
      <w:pPr>
        <w:pStyle w:val="TextoNormal"/>
      </w:pPr>
      <w:r>
        <w:t xml:space="preserve">Como sostuvo el Tribunal Supremo en la providencia recurrida —y dejando de un lado la incoherencia que supone denunciar esta vulneración y, al mismo tiempo, pretender que judicialmente se adopte la “sanción” de convertir en fijo el vínculo laboral temporal—, lo determinante en este ámbito es que el presente asunto “nada tiene que ver con la imposición de penas o de sanciones administrativas”, cuya concurrencia es presupuesto para la activación de las garantías previstas en el art. 25 CE (por todas, STC 239/1988, de 14 de diciembre, FJ 2). Baste en este sentido con recordar que, aunque el Tribunal de Justicia de la Unión se haya referido al establecimiento de “sanciones efectivas” frente a las infracciones de lo previsto en la cláusula 5.1 del acuerdo marco, las medidas cuya procedencia se discutió ante el Tribunal Supremo no constituyen manifestación del </w:t>
      </w:r>
      <w:r w:rsidRPr="00F64776">
        <w:rPr>
          <w:i/>
        </w:rPr>
        <w:t>ius puniendi</w:t>
      </w:r>
      <w:r>
        <w:t xml:space="preserve"> del Estado, sino meras consecuencias jurídicas asociadas a una situación antijurídica y negativas para su autor (que, téngase en cuenta, es la administración contratante y no la recurrente en amparo), sin la finalidad o función preeminentemente punitiva característica de las sanciones y sin que, a estos efectos, quepa atender a un concepto formal de sanción determinado por el </w:t>
      </w:r>
      <w:r w:rsidRPr="00F64776">
        <w:rPr>
          <w:i/>
        </w:rPr>
        <w:t>nomen iuris</w:t>
      </w:r>
      <w:r>
        <w:t xml:space="preserve"> de la medida (entre otras, SSTC 164/1995, de 13 de noviembre, FJ 4, y 48/2003, de 12 de marzo, FJ 9).</w:t>
      </w:r>
    </w:p>
    <w:p w14:paraId="715343AA" w14:textId="77777777" w:rsidR="00F64776" w:rsidRDefault="00F64776" w:rsidP="00F64776">
      <w:pPr>
        <w:pStyle w:val="TextoNormal"/>
      </w:pPr>
    </w:p>
    <w:p w14:paraId="12D8E1BD" w14:textId="77777777" w:rsidR="00F64776" w:rsidRDefault="00F64776" w:rsidP="00F64776">
      <w:pPr>
        <w:pStyle w:val="TextoNormal"/>
      </w:pPr>
      <w:r>
        <w:t>d) Por último, también se ha de rechazar la vulneración del derecho fundamental a la igualdad (art. 14 CE), en el sentido en que este ha sido configurado por nuestra consolidada doctrina.</w:t>
      </w:r>
    </w:p>
    <w:p w14:paraId="57997A87" w14:textId="77777777" w:rsidR="00F64776" w:rsidRDefault="00F64776" w:rsidP="00F64776">
      <w:pPr>
        <w:pStyle w:val="TextoNormal"/>
      </w:pPr>
    </w:p>
    <w:p w14:paraId="04266D8D" w14:textId="77777777" w:rsidR="00F64776" w:rsidRDefault="00F64776" w:rsidP="00F64776">
      <w:pPr>
        <w:pStyle w:val="TextoNormal"/>
      </w:pPr>
      <w:r>
        <w:t>Denuncia la demanda de amparo la desigualdad material que existe entre los empleados públicos interinos o temporales y los fijos, por cuanto solo los segundos gozan de un estatuto de estabilidad reforzada en el empleo a pesar de que puedan darse supuestos en que el personal temporal desempeña funciones equivalentes a las del personal fijo durante un periodo muy prolongado de tiempo. Lo que en este punto discute la recurrente, por lo tanto, no es el concreto contenido de su estatuto jurídico como empleada temporal, cuestión respecto de la cual se pronunció específicamente el Tribunal Supremo en la sentencia impugnada (reconociéndole el derecho a la igualdad de trato respecto de los empleados fijos por lo que respecta a las “condiciones de trabajo”, entre ellas la “carrera profesional horizontal” del art. 17 TRLEEP, pero no por lo que atañe a la “carrera profesional vertical” ni a la “promoción interna” de los arts. 17.2 y 18 TRLEEP, respectivamente). Lo que se controvierte es, directamente, la no transformación en fijo de ese vínculo temporal, como decisión potencialmente vulneradora del derecho fundamental a la igualdad.</w:t>
      </w:r>
    </w:p>
    <w:p w14:paraId="71A205C5" w14:textId="77777777" w:rsidR="00F64776" w:rsidRDefault="00F64776" w:rsidP="00F64776">
      <w:pPr>
        <w:pStyle w:val="TextoNormal"/>
      </w:pPr>
    </w:p>
    <w:p w14:paraId="5638F4F4" w14:textId="220E37C8" w:rsidR="00F64776" w:rsidRDefault="00F64776" w:rsidP="00F64776">
      <w:pPr>
        <w:pStyle w:val="TextoNormal"/>
      </w:pPr>
      <w:r>
        <w:t xml:space="preserve">Es doctrina constitucional reiterada que la vulneración de tal derecho “la produce solo aquella desigualdad que introduce una diferencia entre situaciones que pueden considerarse iguales y que carece de una justificación objetiva y razonable, es decir, el principio de igualdad exige que a iguales supuestos de hecho se apliquen iguales consecuencias jurídicas, debiendo considerarse iguales dos supuestos de hecho cuando la utilización o introducción de elementos diferenciadores sea arbitraria o carezca de fundamento racional” (STC 86/2004, de 10 de mayo, FJ 4, con cita de otras muchas). En el presente caso, la decisión del Tribunal Supremo de no transformar en fija la relación laboral temporal se adoptó, según ha quedado ya expuesto, de conformidad con la legislación interna sobre empleo público, que no cabe reputar contraria al art. 14 CE por el hecho de que impida la citada conversión al exigir la superación de un proceso selectivo </w:t>
      </w:r>
      <w:r w:rsidRPr="00F64776">
        <w:rPr>
          <w:i/>
        </w:rPr>
        <w:t>ad hoc</w:t>
      </w:r>
      <w:r>
        <w:t xml:space="preserve"> para la adquisición de la condición de personal funcionario de carrera o estatutario fijo. No cabe entender que el personal fijo y el temporal se encuentren a estos efectos en situaciones comparables, pues tal comparabilidad debe apreciarse a la luz de un conjunto de factores, como la naturaleza del trabajo y los requisitos de formación y acceso al puesto, entre otros (en sentido análogo, interpretando la prohibición de discriminación de la cláusula 4 del acuerdo marco, STJUE de 21 de noviembre de 2018, asunto C-619/17, </w:t>
      </w:r>
      <w:r w:rsidRPr="00F64776">
        <w:rPr>
          <w:i/>
        </w:rPr>
        <w:t>De Diego Porras II</w:t>
      </w:r>
      <w:r>
        <w:t>, § 51).</w:t>
      </w:r>
    </w:p>
    <w:p w14:paraId="15D59E65" w14:textId="77777777" w:rsidR="00F64776" w:rsidRDefault="00F64776" w:rsidP="00F64776">
      <w:pPr>
        <w:pStyle w:val="TextoNormal"/>
      </w:pPr>
    </w:p>
    <w:p w14:paraId="6C5D641B" w14:textId="77777777" w:rsidR="00F64776" w:rsidRDefault="00F64776" w:rsidP="00F64776">
      <w:pPr>
        <w:pStyle w:val="TextoNormal"/>
      </w:pPr>
      <w:r>
        <w:t>Por lo expuesto, la Sección</w:t>
      </w:r>
    </w:p>
    <w:p w14:paraId="5369E2BF" w14:textId="202CA908" w:rsidR="00F64776" w:rsidRDefault="00F64776" w:rsidP="00F64776">
      <w:pPr>
        <w:pStyle w:val="TextoNormal"/>
      </w:pPr>
    </w:p>
    <w:p w14:paraId="78D8B7C9" w14:textId="77777777" w:rsidR="00F64776" w:rsidRDefault="00F64776" w:rsidP="00F64776">
      <w:pPr>
        <w:pStyle w:val="TextoNormalCentrado"/>
      </w:pPr>
      <w:r>
        <w:t>ACUERDA</w:t>
      </w:r>
    </w:p>
    <w:p w14:paraId="7A68E779" w14:textId="2584F5DC" w:rsidR="00F64776" w:rsidRDefault="00F64776" w:rsidP="00F64776">
      <w:pPr>
        <w:pStyle w:val="TextoNormalCentrado"/>
      </w:pPr>
    </w:p>
    <w:p w14:paraId="7FA0846B" w14:textId="77777777" w:rsidR="00F64776" w:rsidRDefault="00F64776" w:rsidP="00F64776">
      <w:pPr>
        <w:pStyle w:val="TextoNormal"/>
      </w:pPr>
      <w:r>
        <w:t>Inadmitir a trámite el recurso de amparo núm. 1055‑2022 interpuesto por doña Sonsoles Coronado Escudero.</w:t>
      </w:r>
    </w:p>
    <w:p w14:paraId="76901218" w14:textId="77777777" w:rsidR="00F64776" w:rsidRDefault="00F64776" w:rsidP="00F64776">
      <w:pPr>
        <w:pStyle w:val="TextoNormal"/>
      </w:pPr>
    </w:p>
    <w:p w14:paraId="1262CBD8" w14:textId="10131E5B" w:rsidR="00F64776" w:rsidRDefault="00F64776" w:rsidP="00F64776">
      <w:pPr>
        <w:pStyle w:val="TextoNormal"/>
      </w:pPr>
      <w:r>
        <w:t>Publíquese este auto en el “Boletín Oficial del Estado”.</w:t>
      </w:r>
    </w:p>
    <w:p w14:paraId="78F5B894" w14:textId="77777777" w:rsidR="00F64776" w:rsidRDefault="00F64776" w:rsidP="00F64776">
      <w:pPr>
        <w:pStyle w:val="TextoNormal"/>
      </w:pPr>
    </w:p>
    <w:p w14:paraId="29CE5793" w14:textId="77777777" w:rsidR="00F64776" w:rsidRDefault="00F64776" w:rsidP="00F64776">
      <w:pPr>
        <w:pStyle w:val="TextoNormal"/>
      </w:pPr>
      <w:r>
        <w:t>Madrid, a once de septiembre de dos mil veintitrés.</w:t>
      </w:r>
    </w:p>
    <w:p w14:paraId="58C61457" w14:textId="420736CE" w:rsidR="00F64776" w:rsidRDefault="00F64776" w:rsidP="00F64776">
      <w:pPr>
        <w:pStyle w:val="ParrafoNormal"/>
      </w:pPr>
    </w:p>
    <w:p w14:paraId="138C6146" w14:textId="77777777" w:rsidR="00F64776" w:rsidRDefault="00F64776" w:rsidP="00F64776">
      <w:pPr>
        <w:pStyle w:val="TextoNormalNegritaCentrado"/>
        <w:keepNext/>
      </w:pPr>
      <w:r>
        <w:t>Voto particular que formula la magistrada doña María Luisa Balaguer Callejón al auto dictado en el recurso de amparo núm. 1055-2022</w:t>
      </w:r>
    </w:p>
    <w:p w14:paraId="7A55A53B" w14:textId="42B0CBEF" w:rsidR="00F64776" w:rsidRDefault="00F64776" w:rsidP="00F64776">
      <w:pPr>
        <w:pStyle w:val="TextoNormalNegritaCentrado"/>
        <w:keepNext/>
      </w:pPr>
    </w:p>
    <w:p w14:paraId="0134A6F8" w14:textId="77777777" w:rsidR="00F64776" w:rsidRDefault="00F64776" w:rsidP="00F64776">
      <w:pPr>
        <w:pStyle w:val="TextoNormal"/>
      </w:pPr>
      <w:r>
        <w:t>En el ejercicio de la facultad que me confiere el artículo 90.2 de la Ley Orgánica del Tribunal Constitucional, y con el máximo respeto a la opinión de la mayoría, formulo el presente voto particular a la decisión de la Sección Cuarta de inadmitir a trámite el recurso de amparo núm. 1055-2022.</w:t>
      </w:r>
    </w:p>
    <w:p w14:paraId="0C0F6771" w14:textId="77777777" w:rsidR="00F64776" w:rsidRDefault="00F64776" w:rsidP="00F64776">
      <w:pPr>
        <w:pStyle w:val="TextoNormal"/>
      </w:pPr>
    </w:p>
    <w:p w14:paraId="0CFF4F9B" w14:textId="77777777" w:rsidR="00F64776" w:rsidRDefault="00F64776" w:rsidP="00F64776">
      <w:pPr>
        <w:pStyle w:val="TextoNormal"/>
      </w:pPr>
      <w:r>
        <w:t xml:space="preserve">1. </w:t>
      </w:r>
      <w:r w:rsidRPr="00F64776">
        <w:rPr>
          <w:i/>
        </w:rPr>
        <w:t>El contexto de la tramitación de los recursos de amparo de trabajadores interinos y su especial trascendencia constitucional</w:t>
      </w:r>
    </w:p>
    <w:p w14:paraId="6CFD89E8" w14:textId="77777777" w:rsidR="00F64776" w:rsidRDefault="00F64776" w:rsidP="00F64776">
      <w:pPr>
        <w:pStyle w:val="TextoNormal"/>
      </w:pPr>
    </w:p>
    <w:p w14:paraId="59124E29" w14:textId="77777777" w:rsidR="00F64776" w:rsidRDefault="00F64776" w:rsidP="00F64776">
      <w:pPr>
        <w:pStyle w:val="TextoNormal"/>
      </w:pPr>
      <w:r>
        <w:t>El auto al que se opone el presente voto particular inadmite a trámite un concreto recurso de amparo, el núm. 1055-2022. La demanda plantea si la decisión judicial desestimatoria de la pretensión de que se transforme la relación laboral temporal y abusiva de la recurrente en una relación funcionarial fija, dando una interpretación determinada a la cláusula quinta del acuerdo marco anexo a la Directiva 1999/70/CE del Consejo, de 28 de junio de 1999 (en adelante, Directiva o acuerdo marco), vulnera los derechos a la tutela judicial efectiva (art. 24.1 CE) y a la igualdad (art. 14 CE) de la recurrente en amparo (empleada estatutaria temporal del SERMAS).</w:t>
      </w:r>
    </w:p>
    <w:p w14:paraId="68C0F612" w14:textId="77777777" w:rsidR="00F64776" w:rsidRDefault="00F64776" w:rsidP="00F64776">
      <w:pPr>
        <w:pStyle w:val="TextoNormal"/>
      </w:pPr>
    </w:p>
    <w:p w14:paraId="6556CAA5" w14:textId="77777777" w:rsidR="00F64776" w:rsidRDefault="00F64776" w:rsidP="00F64776">
      <w:pPr>
        <w:pStyle w:val="TextoNormal"/>
      </w:pPr>
      <w:r>
        <w:t>En el planteamiento del recurso subyacen dos cuestiones constitucionalmente relevantes. De una parte, un problema vinculado a la aplicación del sistema de fuentes y a la eficacia del Derecho de la Unión, porque está en juego la virtualidad de la cláusula quinta del acuerdo marco y su eventual conflicto con la normativa nacional aplicable, aunque quizá sería más oportuno referirse al conflicto derivado de la ausencia de normativa nacional aplicable. De otra parte, el juicio aplicable a la evolución del empleo en el sector público en España, que adolece de una tasa de temporalidad insostenible y endémica, a la que no se ha hecho frente de manera expresa hasta la aprobación de la Ley 20/2021, de 28 de diciembre, de medidas urgentes para la reducción de la temporalidad en el empleo público, que trata de dar respuesta a las exigencias derivadas de los arts. 23.2 y 103.3 de la Constitución, así como a las exigencias de la Unión Europea asociadas a la aplicación del Plan de recuperación, transformación y resiliencia.</w:t>
      </w:r>
    </w:p>
    <w:p w14:paraId="6953A403" w14:textId="77777777" w:rsidR="00F64776" w:rsidRDefault="00F64776" w:rsidP="00F64776">
      <w:pPr>
        <w:pStyle w:val="TextoNormal"/>
      </w:pPr>
    </w:p>
    <w:p w14:paraId="6B42676F" w14:textId="77777777" w:rsidR="00F64776" w:rsidRDefault="00F64776" w:rsidP="00F64776">
      <w:pPr>
        <w:pStyle w:val="TextoNormal"/>
      </w:pPr>
      <w:r>
        <w:t>La envergadura de las cuestiones expuestas permite entender la razón por la que estas no se han planteado ante la jurisdicción constitucional de forma aislada. Dicho en otros términos, el recurso de amparo núm. 1055-2022, que inadmite el auto al que se opone el presente voto particular, no es sino el más antiguo de una serie compuesta por más de 600 asuntos. Con algunas diferencias basadas en el estatuto de la persona recurrente en amparo (han recurrido diferentes grupos de funcionarios interinos y de personal estatutario temporal) y en el pronunciamiento que ponía fin a la vía judicial ordinaria (en ocasiones se trataba sentencias resolutorias de recursos de casación y en otros supuestos la casación había resultado inadmitida a trámite), se han planteado desde el 17 de febrero de 2022 una elevada cantidad de demandas por parte de funcionarios interinos de las comunidades autónomas de Madrid, Extremadura, Castilla y León y Andalucía; de funcionarios interinos de ayuntamientos como Madrid, Alcalá de Henares, Getafe y Palencia; y de funcionarios interinos de los servicios de sanidad y de la administración de justicia de Madrid y de Castilla y León.</w:t>
      </w:r>
    </w:p>
    <w:p w14:paraId="6E27E7EE" w14:textId="77777777" w:rsidR="00F64776" w:rsidRDefault="00F64776" w:rsidP="00F64776">
      <w:pPr>
        <w:pStyle w:val="TextoNormal"/>
      </w:pPr>
    </w:p>
    <w:p w14:paraId="2F281799" w14:textId="77777777" w:rsidR="00F64776" w:rsidRDefault="00F64776" w:rsidP="00F64776">
      <w:pPr>
        <w:pStyle w:val="TextoNormal"/>
      </w:pPr>
      <w:r>
        <w:t>A este dato, meramente cuantitativo pero relevante, se une la constatación de que están pendientes de resolución ante el Tribunal de Justicia de la Unión Europea varias cuestiones prejudiciales respecto de la interpretación de la cláusula quinta del acuerdo marco, concretamente las cuestiones C-322/22, C-331/22, C-159/22, C-110/22 y C-59/22. De entre ellas, la cuestión C-331/22, planteada por el Juzgado de lo Contencioso-administrativo núm. 17 de Barcelona el 17 de mayo de 2022, eleva dos preguntas singularmente relevantes por lo que hace a los recursos de amparo que, sobre este tema, han sido planteados ante el Tribunal Constitucional: (i) de un lado interroga al Tribunal de Justicia sobre la compatibilidad entre la Ley 20/2021 y la cláusula quinta del acuerdo marco, en tanto aquella prevé como medida sancionadora la convocatoria de procesos selectivos libres asociada a una indemnización en favor de las víctimas del abuso que no superen dichos procesos selectivos; (ii) de otro lado el órgano judicial plantea sus dudas sobre la interpretación de la cláusula quinta formulada por la Sala Tercera del Tribunal Supremo en las sentencias núm. 1425/2018, 1426/2018 y 1534/2021, en la medida en que sostienen que basta, como medida equivalente sancionadora del abuso de temporalidad, el mantenimiento del empleado público en su puesto hasta que la administración empleadora determine si existe necesidad estructural de personal y convoque los correspondientes procesos selectivos. Precisamente esta interpretación cuestionada es la que se aplica por el Tribunal Supremo en la resolución impugnada en el recurso de amparo que nos ocupa.</w:t>
      </w:r>
    </w:p>
    <w:p w14:paraId="0BD9C06A" w14:textId="77777777" w:rsidR="00F64776" w:rsidRDefault="00F64776" w:rsidP="00F64776">
      <w:pPr>
        <w:pStyle w:val="TextoNormal"/>
      </w:pPr>
    </w:p>
    <w:p w14:paraId="105938FB" w14:textId="77777777" w:rsidR="00F64776" w:rsidRDefault="00F64776" w:rsidP="00F64776">
      <w:pPr>
        <w:pStyle w:val="TextoNormal"/>
      </w:pPr>
      <w:r>
        <w:t>Las consideraciones precedentes, una eminentemente cuantitativa y la otra relevante en términos cualitativos, habrían podido justificar por sí solas la admisión a trámite de los recursos de amparo planteados, al ponerse de manifiesto que el asunto suscitado trasciende del caso concreto porque plantea una cuestión jurídica de relevante y general repercusión social o económica [STC 155/2009, FJ 2 g)]. Concurre la repercusión social tanto por el número de personas en régimen de contratación temporal al servicio de las administraciones públicas que podrían haberse visto afectadas por un pronunciamiento del Tribunal Constitucional, como por la elevada litigiosidad que ha generado y que ha llegado tanto al Tribunal Supremo como al Tribunal de Justicia de la Unión Europea. Pero también concurriría la trascendencia económica, no solo por el impacto monetario individual que pueda tener para quien recurre en amparo la transformación de su estatuto profesional, sino por la huella colectiva que tiene la transición de un sistema de alta temporalidad en el empleo público a un sistema de reducción de dicha interinidad. Baste como cita ejemplificativa recordar que uno de los títulos competenciales que da cobertura a la aprobación de la Ley 20/2021, y prevé precisamente esa transición, es el art. 149.1.13 CE, que establece la competencia del Estado en materia de bases y coordinación de la planificación general de la actividad económica.</w:t>
      </w:r>
    </w:p>
    <w:p w14:paraId="6FA1195A" w14:textId="77777777" w:rsidR="00F64776" w:rsidRDefault="00F64776" w:rsidP="00F64776">
      <w:pPr>
        <w:pStyle w:val="TextoNormal"/>
      </w:pPr>
    </w:p>
    <w:p w14:paraId="05F809AB" w14:textId="77777777" w:rsidR="00F64776" w:rsidRDefault="00F64776" w:rsidP="00F64776">
      <w:pPr>
        <w:pStyle w:val="TextoNormal"/>
      </w:pPr>
      <w:r>
        <w:t>Además, las demandas planteadas ofrecían la ocasión al Tribunal de aclarar o cambiar su doctrina como consecuencia de un proceso de reflexión interna [STC 155/2009, FJ 2 b)] y pensando en la proyección de la doctrina contenida en las SSTC 232/2015, de 5 de noviembre, y 22/2018, de 5 de marzo, ambas referidas a la Directiva 1999/70/CE, pero, en aquellos supuestos, a su cláusula cuarta. Ambos pronunciamientos interesaban el desarrollo de la doctrina “sobre la relevancia constitucional del incumplimiento del Derecho de la Unión Europea [supuesto a) de los enunciados en la STC 155/2009, de 25 de junio, FJ 2]” (STC 232/2015, FJ 2), y valoraban la conveniencia de “mantener o matizar nuestra doctrina acerca de la proyección del derecho a la igualdad entre situaciones funcionariales, y en concreto entre los funcionarios de carrera y los funcionarios interinos, establecida desde la STC 7/1984, de 7 de enero [supuesto b) de la STC 155/2009, FJ 2, antes citada]” (STC 232/2015, FJ 2). Si en aquellos dos supuestos el Tribunal consideró oportuna la admisión a trámite y existe una diferencia material importante entre los problemas allí resueltos y los que ahora se plantean, referidos a la aplicación de la cláusula quinta en lugar de a la aplicación de la cláusula cuarta del acuerdo marco, las razones de especial trascendencia constitucional identificadas entonces podrían haberlo sido también ahora. Si bien la doctrina general sobre el cumplimiento del Derecho de la Unión Europea podría ser aplicable sin matices a la serie de amparos cuya admisibilidad examinamos actualmente, no creo que pueda afirmarse lo mismo respecto del alcance del derecho a la igualdad entre situaciones funcionariales o entre situaciones funcionariales y estatutarias, por lo que un pronunciamiento de fondo y no de mera admisibilidad hubiera sido relevante para la interpretación y general alcance del art. 14 CE, en relación con el art. 23 CE y la proyección de los principios de mérito y capacidad en el acceso a la función pública.</w:t>
      </w:r>
    </w:p>
    <w:p w14:paraId="2F7523DB" w14:textId="77777777" w:rsidR="00F64776" w:rsidRDefault="00F64776" w:rsidP="00F64776">
      <w:pPr>
        <w:pStyle w:val="TextoNormal"/>
      </w:pPr>
    </w:p>
    <w:p w14:paraId="05ADCA9F" w14:textId="77777777" w:rsidR="00F64776" w:rsidRDefault="00F64776" w:rsidP="00F64776">
      <w:pPr>
        <w:pStyle w:val="TextoNormal"/>
      </w:pPr>
      <w:r>
        <w:t>Entiendo que las apreciaciones sobre la verosimilitud de la lesión denunciada, que son los únicos argumentos contenidos en el auto del que discrepo, no debieran ser causa de inadmisión del recurso de amparo en los supuestos en que concurren, claramente, o al menos así sucede a mi juicio, una o más causas de especial trascendencia constitucional.</w:t>
      </w:r>
    </w:p>
    <w:p w14:paraId="5A263B6C" w14:textId="77777777" w:rsidR="00F64776" w:rsidRDefault="00F64776" w:rsidP="00F64776">
      <w:pPr>
        <w:pStyle w:val="TextoNormal"/>
      </w:pPr>
    </w:p>
    <w:p w14:paraId="2FFB7276" w14:textId="77777777" w:rsidR="00F64776" w:rsidRDefault="00F64776" w:rsidP="00F64776">
      <w:pPr>
        <w:pStyle w:val="TextoNormal"/>
      </w:pPr>
      <w:r>
        <w:t>En cambio, la jurisprudencia desarrollada por el Tribunal desde la aprobación de la Ley Orgánica 6/2007 contradice esta comprensión, porque determina que la concurrencia de especial trascendencia constitucional en un recurso de amparo es requisito inexcusable pero no suficiente para admitir a trámite una demanda, exigiéndose adicionalmente una valoración indiciaria de la verosimilitud de la vulneración denunciada. Ello, a mi juicio, no resulta coherente con la finalidad de la reforma del recurso de amparo introducida en el año 2007.</w:t>
      </w:r>
    </w:p>
    <w:p w14:paraId="59456F99" w14:textId="77777777" w:rsidR="00F64776" w:rsidRDefault="00F64776" w:rsidP="00F64776">
      <w:pPr>
        <w:pStyle w:val="TextoNormal"/>
      </w:pPr>
    </w:p>
    <w:p w14:paraId="7D0DDC89" w14:textId="77777777" w:rsidR="00F64776" w:rsidRDefault="00F64776" w:rsidP="00F64776">
      <w:pPr>
        <w:pStyle w:val="TextoNormal"/>
      </w:pPr>
      <w:r>
        <w:t>La reforma contenida en la Ley Orgánica 6/2007, de 24 de mayo, por la que se modifica la Ley Orgánica 2/1979, de 3 de octubre, del Tribunal Constitucional, puso el acento en que la admisión a trámite del amparo suponía un análisis sobre el cumplimiento de los requisitos formales establecidos en los artículos 41 a 46 y 49 LOTC y sobre el contenido del recurso para justificar un examen de fondo “en razón de su especial trascendencia constitucional, que se apreciará atendiendo a su importancia para la interpretación de la Constitución, para su aplicación o para su general eficacia, y para la determinación del contenido y alcance de los derechos fundamentales” [art. 50.1 b) LOTC]. De este planteamiento normativo debería haberse deducido que, en un supuesto en que el valor del recurso de amparo se mide en relación con su interés para la interpretación de la Constitución, el mero hecho de que esa importancia concurra exige formular un examen mucho más flexible respecto de la manifiesta inexistencia de violación de los derechos fundamentales invocados, requisito incorporado al examen de admisibilidad posterior a la reforma, por vía meramente interpretativa. En la medida en que la exigencia de valorar la viabilidad del recurso de amparo, o la apariencia de buen derecho de la parte recurrente, se agrega por vía interpretativa a los requisitos de admisibilidad del amparo tras la reforma de 2007, también por esta vía se debiera ajustar el análisis del requisito, cuando sea preciso tener en cuenta factores adicionales, como los que concurren en este caso, y que han sido previamente expuestos.</w:t>
      </w:r>
    </w:p>
    <w:p w14:paraId="7D36E5F7" w14:textId="77777777" w:rsidR="00F64776" w:rsidRDefault="00F64776" w:rsidP="00F64776">
      <w:pPr>
        <w:pStyle w:val="TextoNormal"/>
      </w:pPr>
    </w:p>
    <w:p w14:paraId="4BB124FE" w14:textId="77777777" w:rsidR="00F64776" w:rsidRDefault="00F64776" w:rsidP="00F64776">
      <w:pPr>
        <w:pStyle w:val="TextoNormal"/>
      </w:pPr>
      <w:r>
        <w:t>No hacerlo así, supone que el elemento subjetivo del amparo, que por otro lado no ha desaparecido porque lo reconoce el art. 53.2 CE, se superpone al interés objetivo, cuando es este último el interés prioritario que debiera tener en cuenta el Tribunal al examinar la admisibilidad del recurso de amparo. Solo así es posible entender que en supuestos en que existe una indiciaria lesión de derechos fundamentales denunciada en amparo el Tribunal no admita la demanda que lo plantea, cuando entiende que no concurre la especial trascendencia. La reforma del año 2007 buscó reforzar la dimensión objetiva, facilitando al Tribunal la selección de aquellos asuntos que, a su juicio, tuvieran la trascendencia suficiente como para justificar un atento análisis sobre el fondo del problema constitucional planteado. Por tanto, no parece aceptable que la dimensión subjetiva del amparo se utilice, argumentativamente y en sentido contrario a lo buscado por la reforma, para desplazar la objetiva, y excluir del análisis de fondo asuntos relevantes, como es este, para la interpretación de la Constitución, para su aplicación o para su general eficacia.</w:t>
      </w:r>
    </w:p>
    <w:p w14:paraId="1F8D7256" w14:textId="77777777" w:rsidR="00F64776" w:rsidRDefault="00F64776" w:rsidP="00F64776">
      <w:pPr>
        <w:pStyle w:val="TextoNormal"/>
      </w:pPr>
    </w:p>
    <w:p w14:paraId="01F03902" w14:textId="77777777" w:rsidR="00F64776" w:rsidRDefault="00F64776" w:rsidP="00F64776">
      <w:pPr>
        <w:pStyle w:val="TextoNormal"/>
      </w:pPr>
      <w:r>
        <w:t xml:space="preserve">2. </w:t>
      </w:r>
      <w:r w:rsidRPr="00F64776">
        <w:rPr>
          <w:i/>
        </w:rPr>
        <w:t>Sobre la cuestión de fondo planteada</w:t>
      </w:r>
    </w:p>
    <w:p w14:paraId="45F4E13E" w14:textId="77777777" w:rsidR="00F64776" w:rsidRDefault="00F64776" w:rsidP="00F64776">
      <w:pPr>
        <w:pStyle w:val="TextoNormal"/>
      </w:pPr>
    </w:p>
    <w:p w14:paraId="2BA850E8" w14:textId="77777777" w:rsidR="00F64776" w:rsidRDefault="00F64776" w:rsidP="00F64776">
      <w:pPr>
        <w:pStyle w:val="TextoNormal"/>
      </w:pPr>
      <w:r>
        <w:t>Si bien los argumentos expuestos hasta aquí justifican de manera suficiente mi posición discrepante con el auto, que no alude en absoluto a la especial trascendencia constitucional, obviando la importancia que este requisito tiene en el trámite de admisibilidad, me parece necesario detenerme también en la cuestión de fondo planteada y contestar a la afirmación de que no resulta verosímil la vulneración de derechos expuesta en la demanda de amparo.</w:t>
      </w:r>
    </w:p>
    <w:p w14:paraId="4548411C" w14:textId="77777777" w:rsidR="00F64776" w:rsidRDefault="00F64776" w:rsidP="00F64776">
      <w:pPr>
        <w:pStyle w:val="TextoNormal"/>
      </w:pPr>
    </w:p>
    <w:p w14:paraId="6F5B8CE7" w14:textId="77777777" w:rsidR="00F64776" w:rsidRDefault="00F64776" w:rsidP="00F64776">
      <w:pPr>
        <w:pStyle w:val="TextoNormal"/>
      </w:pPr>
      <w:r>
        <w:t xml:space="preserve">La interpretación sobre cómo deba entenderse la verosimilitud de la lesión procede del ATC 13/1989, de 16 de enero. Este pronunciamiento estableció en su día, y en relación con la redacción ya derogada del artículo 50.1 c) LOTC, que la ausencia manifiesta de contenido de la demanda de amparo concurre cuando “los argumentos en que se apoya la alegación de que se ha producido una lesión de los derechos fundamentales son tan inconsistentes que, </w:t>
      </w:r>
      <w:r w:rsidRPr="00F64776">
        <w:rPr>
          <w:i/>
        </w:rPr>
        <w:t>prima facie</w:t>
      </w:r>
      <w:r>
        <w:t xml:space="preserve">, pueden ser rechazados”. En el mismo sentido el ATC 27/1991, de 28 de enero, estableció que “tal causa de inadmisión concurre en todos aquellos casos en los que, a la vista de los hechos y de los argumentos de derecho expuestos en la demanda, la supuesta vulneración de los derechos fundamentales no está dotada de la mínima probabilidad o verosimilitud indispensables para abrir sobre ella un más amplio debate trayendo a este proceso todo lo actuado ante la jurisdicción ordinaria”. En la serie de casos que ahora nos ocupan, no creo que la argumentación de las demandas sea inconsistente, ni que sea posible descartar </w:t>
      </w:r>
      <w:r w:rsidRPr="00F64776">
        <w:rPr>
          <w:i/>
        </w:rPr>
        <w:t>prima facie</w:t>
      </w:r>
      <w:r>
        <w:t xml:space="preserve"> los argumentos de la demanda sin someterlos a contradicción.</w:t>
      </w:r>
    </w:p>
    <w:p w14:paraId="0362A7CB" w14:textId="77777777" w:rsidR="00F64776" w:rsidRDefault="00F64776" w:rsidP="00F64776">
      <w:pPr>
        <w:pStyle w:val="TextoNormal"/>
      </w:pPr>
    </w:p>
    <w:p w14:paraId="5BA0EA88" w14:textId="77777777" w:rsidR="00F64776" w:rsidRDefault="00F64776" w:rsidP="00F64776">
      <w:pPr>
        <w:pStyle w:val="TextoNormal"/>
      </w:pPr>
      <w:r>
        <w:t xml:space="preserve">Para rechazar que las resoluciones impugnadas hayan realizado una interpretación irrazonable o arbitraria de la normativa aplicable y, en consecuencia, que hayan incurrido por tal causa en vulneración de los derechos a la tutela judicial efectiva (art. 24.1 CE) y a un proceso con todas las garantías (art. 24.2 CE), el auto de inadmisión acepta el argumento de que la interpretación de la cláusula quinta del acuerdo marco realizada por el Tribunal de Justicia, particularmente en la STJUE de 19 de marzo de 2020, asuntos acumulados C‑103/18 y C‑429/18, </w:t>
      </w:r>
      <w:r w:rsidRPr="00F64776">
        <w:rPr>
          <w:i/>
        </w:rPr>
        <w:t>Sánchez Ruiz</w:t>
      </w:r>
      <w:r>
        <w:t xml:space="preserve">, después ampliada y reforzada por la STJUE de 3 de junio de 2021, asunto </w:t>
      </w:r>
      <w:r w:rsidRPr="00F64776">
        <w:rPr>
          <w:i/>
        </w:rPr>
        <w:t>Instituto Madrileño de Investigación y Desarrollo Rural, Agrario y Alimentario (IMIDRA</w:t>
      </w:r>
      <w:r>
        <w:t>), no se ajusta a lo pretendido en la demanda de amparo. Dicho de otra forma, el auto del que discrepo asume acríticamente la interpretación de la jurisprudencia del Tribunal de Justicia de la Unión Europea realizada por la Sala Tercera del Tribunal Supremo, descartando la interpretación que formula la recurrente y que, en cierto modo, elabora también la Sala Cuarta del Tribunal Supremo a partir de la STS 649/2021, de 28 de junio.</w:t>
      </w:r>
    </w:p>
    <w:p w14:paraId="3A23DEA0" w14:textId="77777777" w:rsidR="00F64776" w:rsidRDefault="00F64776" w:rsidP="00F64776">
      <w:pPr>
        <w:pStyle w:val="TextoNormal"/>
      </w:pPr>
    </w:p>
    <w:p w14:paraId="1CA134D5" w14:textId="77777777" w:rsidR="00F64776" w:rsidRDefault="00F64776" w:rsidP="00F64776">
      <w:pPr>
        <w:pStyle w:val="TextoNormal"/>
      </w:pPr>
      <w:r>
        <w:t>Pero la mera existencia de dudas interpretativas, que se ven reforzadas al apreciar un cambio jurisprudencial en la Sala Cuarta tras la STJUE de 19 de marzo de 2020, que no se ha producido en la Sala Tercera, debería haber llevado al Tribunal Constitucional a entender que los argumentos de las demandas de amparo no eran inconsistentes. Hubiera resultado oportuna la admisión a trámite, precisamente para razonar, tras una adecuada contradicción de los argumentos expuestos por todas las partes interesadas, acerca de si la interpretación realizada por el Tribunal Supremo de la Directiva 1999/70/CE y de la jurisprudencia del Tribunal de Justicia de la Unión Europea (en particular de la STJUE de 19 de marzo de 2020) en relación con la cláusula quinta del acuerdo marco, supone una interpretación razonable del derecho aplicable y una adecuada selección del mismo que, además, sea compatible con el derecho de acceso al empleo público en condiciones de igualdad y con respeto a los principios de mérito y capacidad (arts. 14 y 23.2 CE). Los párrafos que siguen tienen por objetivo explicar, de forma sucinta, las razones que, más allá de lo expuesto, me llevan a pensar que las quejas planteadas en las demandas de amparo no eran, en absoluto, inconsistentes, ni se podían descartar en fase de admisibilidad y en un examen preliminar y no contradictorio.</w:t>
      </w:r>
    </w:p>
    <w:p w14:paraId="63F7FB4A" w14:textId="77777777" w:rsidR="00F64776" w:rsidRDefault="00F64776" w:rsidP="00F64776">
      <w:pPr>
        <w:pStyle w:val="TextoNormal"/>
      </w:pPr>
    </w:p>
    <w:p w14:paraId="7524D951" w14:textId="77777777" w:rsidR="00F64776" w:rsidRDefault="00F64776" w:rsidP="00F64776">
      <w:pPr>
        <w:pStyle w:val="TextoNormal"/>
      </w:pPr>
      <w:r>
        <w:t>Como ya se ha apuntado, varias sentencias constitucionales previas, en particular las SSTC 232/2015 y 22/2018, se han adentrado en la interpretación y aplicación de la cláusula cuarta del acuerdo marco, relativa al principio de no discriminación [considerando 14, cláusula 1, apartado a) y cláusula 4], pero ninguna se ha referido a la cláusula quinta, siendo que ambas ponen de manifiesto las dos materias sobre las que han girado las dudas interpretativas referidas a esta disposición normativa europea: la mejora de la calidad del trabajo de duración determinada garantizando el principio de no discriminación (cláusula cuarta) y la definición de un marco para evitar los abusos derivados de la utilización de sucesivos contratos o relaciones laborales de duración determinada (cláusula quinta).</w:t>
      </w:r>
    </w:p>
    <w:p w14:paraId="40630F47" w14:textId="77777777" w:rsidR="00F64776" w:rsidRDefault="00F64776" w:rsidP="00F64776">
      <w:pPr>
        <w:pStyle w:val="TextoNormal"/>
      </w:pPr>
    </w:p>
    <w:p w14:paraId="757E5BE7" w14:textId="77777777" w:rsidR="00F64776" w:rsidRDefault="00F64776" w:rsidP="00F64776">
      <w:pPr>
        <w:pStyle w:val="TextoNormal"/>
      </w:pPr>
      <w:r>
        <w:t>El llamamiento al Tribunal Constitucional para valorar la correcta aplicación del Derecho de la Unión se entiende mejor si se parte de la constatación de la inactividad del legislador nacional y de que la Directiva 1999/70/CE no ha sido transpuesta correctamente por el Estado español en lo que hace al sector público, bien que se haya llevado la transposición de la Directiva al ámbito de las relaciones laborales privadas.</w:t>
      </w:r>
    </w:p>
    <w:p w14:paraId="7C3064D4" w14:textId="77777777" w:rsidR="00F64776" w:rsidRDefault="00F64776" w:rsidP="00F64776">
      <w:pPr>
        <w:pStyle w:val="TextoNormal"/>
      </w:pPr>
    </w:p>
    <w:p w14:paraId="53AEB916" w14:textId="77777777" w:rsidR="00F64776" w:rsidRDefault="00F64776" w:rsidP="00F64776">
      <w:pPr>
        <w:pStyle w:val="TextoNormal"/>
      </w:pPr>
      <w:r>
        <w:t xml:space="preserve">Ello ha provocado el planteamiento de numerosas cuestiones prejudiciales al Tribunal de Justicia de la Unión Europea sobre la compatibilidad de la normativa nacional con el acuerdo marco, y que los pronunciamientos de aquel hayan fijado el principio básico de la equiparación entre empleados públicos fijos y temporales (como consecuencia del efecto directo de la cláusula 4.1 de la Directiva), que se aplica de forma incontrovertida en materia salarial, de desarrollo de la carrera profesional o de condiciones efectivas de trabajo, pero que no es igualmente unánime y clara en lo que se refiere, por ejemplo, a la indemnización por cese (SSTJUE de 14 de septiembre de 2016, asunto </w:t>
      </w:r>
      <w:r w:rsidRPr="00F64776">
        <w:rPr>
          <w:i/>
        </w:rPr>
        <w:t>De Diego Porras I</w:t>
      </w:r>
      <w:r>
        <w:t xml:space="preserve">, y de 21 de noviembre de 2018, asunto </w:t>
      </w:r>
      <w:r w:rsidRPr="00F64776">
        <w:rPr>
          <w:i/>
        </w:rPr>
        <w:t>De Diego Porras II</w:t>
      </w:r>
      <w:r>
        <w:t xml:space="preserve">), al cómputo de períodos de interinidad para la promoción interna (SSTJUE de 8 de septiembre de 2011, asunto </w:t>
      </w:r>
      <w:r w:rsidRPr="00F64776">
        <w:rPr>
          <w:i/>
        </w:rPr>
        <w:t>Rosado Santana</w:t>
      </w:r>
      <w:r>
        <w:t xml:space="preserve">, y de 20 de septiembre de 2018, asunto </w:t>
      </w:r>
      <w:r w:rsidRPr="00F64776">
        <w:rPr>
          <w:i/>
        </w:rPr>
        <w:t>Motter</w:t>
      </w:r>
      <w:r>
        <w:t xml:space="preserve">) o a los remedios contra los abusos del encadenamiento de contratos de duración determinada (ATJUE de 11 de diciembre de 2014, asunto </w:t>
      </w:r>
      <w:r w:rsidRPr="00F64776">
        <w:rPr>
          <w:i/>
        </w:rPr>
        <w:t>León Medialdea</w:t>
      </w:r>
      <w:r>
        <w:t xml:space="preserve">; SSTJUE de 19 de marzo de 2020, asunto </w:t>
      </w:r>
      <w:r w:rsidRPr="00F64776">
        <w:rPr>
          <w:i/>
        </w:rPr>
        <w:t>Sánchez Ruiz</w:t>
      </w:r>
      <w:r>
        <w:t>, y de 3 de junio de 2021, asunt</w:t>
      </w:r>
      <w:r w:rsidRPr="00F64776">
        <w:rPr>
          <w:i/>
        </w:rPr>
        <w:t>o IMID</w:t>
      </w:r>
      <w:r>
        <w:t>RA).</w:t>
      </w:r>
    </w:p>
    <w:p w14:paraId="10E49CB1" w14:textId="77777777" w:rsidR="00F64776" w:rsidRDefault="00F64776" w:rsidP="00F64776">
      <w:pPr>
        <w:pStyle w:val="TextoNormal"/>
      </w:pPr>
    </w:p>
    <w:p w14:paraId="3ED4FC14" w14:textId="77777777" w:rsidR="00F64776" w:rsidRDefault="00F64776" w:rsidP="00F64776">
      <w:pPr>
        <w:pStyle w:val="TextoNormal"/>
      </w:pPr>
      <w:r>
        <w:t xml:space="preserve">Si bien la jurisprudencia comunitaria rechaza reconocer efecto directo al acuerdo marco (SSTJUE de 15 de abril de 2008, asunto </w:t>
      </w:r>
      <w:r w:rsidRPr="00F64776">
        <w:rPr>
          <w:i/>
        </w:rPr>
        <w:t>Impact</w:t>
      </w:r>
      <w:r>
        <w:t xml:space="preserve">, § 79, y de 23 de abril de 2009, asunto </w:t>
      </w:r>
      <w:r w:rsidRPr="00F64776">
        <w:rPr>
          <w:i/>
        </w:rPr>
        <w:t>Angelidaki y otros</w:t>
      </w:r>
      <w:r>
        <w:t>, § 196), esta misma jurisprudencia establece que los Estados tienen la obligación de adoptar medidas de control de la contratación temporal equivalentes a las que prevé el acuerdo marco cuando el legislador no las haya incorporado directamente. La cláusula quinta, que es la que se aplica al caso que nos ocupa, tiene por objetivo evitar la utilización abusiva de los contratos o relaciones laborales de duración determinada determinando una serie de medidas, no cumulativas, destinadas a ello: a) la previsión de razones objetivas que justifiquen la renovación de tales contratos o relaciones laborales; b) el establecimiento de una duración máxima total de los sucesivos contratos de trabajo o relaciones laborales de duración determinada; y c) la fijación del número de renovaciones de tales contratos o relaciones laborales. Por tanto, estas medidas, u otras medidas legales equivalentes, son de obligada previsión para los Estados miembros, que disponen de un amplio margen de apreciación para fijar una o varias de las enunciadas o para establecer otras, siempre que las previstas apunten a la consecución del objetivo general de prevenir los abusos, y siempre que los medios previstos para alcanzar ese objetivo no pongan en peligro el efecto útil del acuerdo marco (por todas, STJUE de 3 de junio de 2021, asunt</w:t>
      </w:r>
      <w:r w:rsidRPr="00F64776">
        <w:rPr>
          <w:i/>
        </w:rPr>
        <w:t>o IMID</w:t>
      </w:r>
      <w:r>
        <w:t>RA, § 44 y 45).</w:t>
      </w:r>
    </w:p>
    <w:p w14:paraId="6214E58E" w14:textId="77777777" w:rsidR="00F64776" w:rsidRDefault="00F64776" w:rsidP="00F64776">
      <w:pPr>
        <w:pStyle w:val="TextoNormal"/>
      </w:pPr>
    </w:p>
    <w:p w14:paraId="0DA0A29E" w14:textId="77777777" w:rsidR="00F64776" w:rsidRDefault="00F64776" w:rsidP="00F64776">
      <w:pPr>
        <w:pStyle w:val="TextoNormal"/>
      </w:pPr>
      <w:r>
        <w:t>El problema surge porque la Directiva no establece un sistema de sanciones o de aplicación directa de sus previsiones para los supuestos en que los Estados no cumplan con la obligación que se les exige. Es la jurisprudencia del Tribunal de Justicia de la Unión Europea la que establece la necesidad de sancionar efectivamente el abuso, eliminando las consecuencias de la infracción del Derecho de la Unión. Y es en este punto donde aparece la controversia jurídica que nos ocupa, porque es necesario evaluar si las medidas nacionales previstas pueden ser consideradas como una sanción efectiva para la consecución del objetivo de reducir la temporalidad en el empleo público.</w:t>
      </w:r>
    </w:p>
    <w:p w14:paraId="08837C59" w14:textId="77777777" w:rsidR="00F64776" w:rsidRDefault="00F64776" w:rsidP="00F64776">
      <w:pPr>
        <w:pStyle w:val="TextoNormal"/>
      </w:pPr>
    </w:p>
    <w:p w14:paraId="0B392619" w14:textId="77777777" w:rsidR="00F64776" w:rsidRDefault="00F64776" w:rsidP="00F64776">
      <w:pPr>
        <w:pStyle w:val="TextoNormal"/>
      </w:pPr>
      <w:r>
        <w:t xml:space="preserve">En relación con el tema principal del presente recurso de amparo resulta obligada la referencia a las SSTJUE de 19 de marzo de 2020, asunto </w:t>
      </w:r>
      <w:r w:rsidRPr="00F64776">
        <w:rPr>
          <w:i/>
        </w:rPr>
        <w:t>Sánchez Ruiz</w:t>
      </w:r>
      <w:r>
        <w:t xml:space="preserve">, y de 3 de junio de 2021, asunto </w:t>
      </w:r>
      <w:r w:rsidRPr="00F64776">
        <w:rPr>
          <w:i/>
        </w:rPr>
        <w:t>IMIDRA</w:t>
      </w:r>
      <w:r>
        <w:t>) en las que el Tribunal de Justicia de la Unión Europea sostiene lo siguiente: a) el Derecho de la Unión no establece sanciones específicas para el caso de que se compruebe la existencia de abusos, correspondiendo a las autoridades nacionales adoptar medidas proporcionadas, efectivas y disuasorias para garantizar la plena eficacia del acuerdo marco; b) en esa línea, aunque podría ser una sanción efectiva, el acuerdo marco no impone a los Estados una obligación general de transformar en contratos por tiempo indefinido los contratos de duración determinada; c) corresponde a los tribunales nacionales determinar si las medidas dispuestas en la normativa nacional aplicable cumplen las exigencias establecidas en la cláusula quinta del acuerdo marco; d) no obstante, el Tribunal de Justicia de la Unión Europea considera posible aportar precisiones destinadas a orientar a los órganos jurisdiccionales.</w:t>
      </w:r>
    </w:p>
    <w:p w14:paraId="3BACA2DB" w14:textId="77777777" w:rsidR="00F64776" w:rsidRDefault="00F64776" w:rsidP="00F64776">
      <w:pPr>
        <w:pStyle w:val="TextoNormal"/>
      </w:pPr>
    </w:p>
    <w:p w14:paraId="59298AD7" w14:textId="77777777" w:rsidR="00F64776" w:rsidRDefault="00F64776" w:rsidP="00F64776">
      <w:pPr>
        <w:pStyle w:val="TextoNormal"/>
      </w:pPr>
      <w:r>
        <w:t xml:space="preserve">Ahora bien, el margen de juicio atribuido a los órganos integrantes de las jurisdicciones nacionales viene marcado por dos condiciones: a) la exigencia de examinar, en cada caso, todas las circunstancias del asunto, “tomando en consideración, en particular, el número de dichos contratos sucesivos celebrados con la misma persona o para realizar un mismo trabajo, con objeto de excluir que contratos o relaciones laborales de duración determinada, aunque se concluyan en apariencia para atender a una necesidad de sustitución de personal, sean utilizados de manera abusiva por los empleadores” (STJUE de 3 de junio de 2021, asunto </w:t>
      </w:r>
      <w:r w:rsidRPr="00F64776">
        <w:rPr>
          <w:i/>
        </w:rPr>
        <w:t>IMIDRA</w:t>
      </w:r>
      <w:r>
        <w:t>, § 60); y b) la obligación de atender a los pronunciamientos del Tribunal de Justicia de la Unión Europea cuando haya entrado a valorar y, en su caso, descartar medidas concretas de previsión estatal.</w:t>
      </w:r>
    </w:p>
    <w:p w14:paraId="4DDD795A" w14:textId="77777777" w:rsidR="00F64776" w:rsidRDefault="00F64776" w:rsidP="00F64776">
      <w:pPr>
        <w:pStyle w:val="TextoNormal"/>
      </w:pPr>
    </w:p>
    <w:p w14:paraId="4A6D2465" w14:textId="77777777" w:rsidR="00F64776" w:rsidRDefault="00F64776" w:rsidP="00F64776">
      <w:pPr>
        <w:pStyle w:val="TextoNormal"/>
      </w:pPr>
      <w:r>
        <w:t>Y, por lo que hace a las previsiones concretas de la legislación española:</w:t>
      </w:r>
    </w:p>
    <w:p w14:paraId="7CEA4CB4" w14:textId="77777777" w:rsidR="00F64776" w:rsidRDefault="00F64776" w:rsidP="00F64776">
      <w:pPr>
        <w:pStyle w:val="TextoNormal"/>
      </w:pPr>
    </w:p>
    <w:p w14:paraId="1FB92D82" w14:textId="77777777" w:rsidR="00F64776" w:rsidRDefault="00F64776" w:rsidP="00F64776">
      <w:pPr>
        <w:pStyle w:val="TextoNormal"/>
      </w:pPr>
      <w:r>
        <w:t xml:space="preserve">a) La sentencia en el asunto </w:t>
      </w:r>
      <w:r w:rsidRPr="00F64776">
        <w:rPr>
          <w:i/>
        </w:rPr>
        <w:t>Sánchez Ruiz</w:t>
      </w:r>
      <w:r>
        <w:t xml:space="preserve"> establece que el hecho de que las renovaciones sucesivas de relaciones de servicio de duración determinada se consideren justificadas por “razones objetivas” por el mero motivo de que tal renovación responde a las causas de nombramiento previstas en la normativa nacional (razones de necesidad, urgencia o para el desarrollo de programas de carácter temporal, coyuntural o extraordinario), no significa que queden justificadas, en particular si mediante esas renovaciones se responde a necesidades permanentes y estables en materia de personal.</w:t>
      </w:r>
    </w:p>
    <w:p w14:paraId="72070AFF" w14:textId="77777777" w:rsidR="00F64776" w:rsidRDefault="00F64776" w:rsidP="00F64776">
      <w:pPr>
        <w:pStyle w:val="TextoNormal"/>
      </w:pPr>
    </w:p>
    <w:p w14:paraId="0702A246" w14:textId="77777777" w:rsidR="00F64776" w:rsidRDefault="00F64776" w:rsidP="00F64776">
      <w:pPr>
        <w:pStyle w:val="TextoNormal"/>
      </w:pPr>
      <w:r>
        <w:t xml:space="preserve">b) La sentencia en el asunto </w:t>
      </w:r>
      <w:r w:rsidRPr="00F64776">
        <w:rPr>
          <w:i/>
        </w:rPr>
        <w:t>IMIDRA</w:t>
      </w:r>
      <w:r>
        <w:t xml:space="preserve"> sostiene que la previsión de que se organicen procesos selectivos que tengan por objeto la provisión definitiva de las plazas ocupadas provisionalmente, puede ser una medida adecuada si se garantiza que los procesos se organizan efectivamente en plazo determinado o determinable previsto al efecto (§ 67) y sin que la conclusión de tales procesos esté en función de las posibilidades financieras del Estado o de la apreciación discrecional de la correspondiente administración pública.</w:t>
      </w:r>
    </w:p>
    <w:p w14:paraId="3710794E" w14:textId="77777777" w:rsidR="00F64776" w:rsidRDefault="00F64776" w:rsidP="00F64776">
      <w:pPr>
        <w:pStyle w:val="TextoNormal"/>
      </w:pPr>
    </w:p>
    <w:p w14:paraId="46C67D82" w14:textId="77777777" w:rsidR="00F64776" w:rsidRDefault="00F64776" w:rsidP="00F64776">
      <w:pPr>
        <w:pStyle w:val="TextoNormal"/>
      </w:pPr>
      <w:r>
        <w:t xml:space="preserve">c) En el asunto </w:t>
      </w:r>
      <w:r w:rsidRPr="00F64776">
        <w:rPr>
          <w:i/>
        </w:rPr>
        <w:t>Sánchez Ruiz</w:t>
      </w:r>
      <w:r>
        <w:t xml:space="preserve"> el Tribunal de Justicia de la Unión Europea entiende que cuando resulta incierta la oportunidad de acceso a la estabilidad en el empleo de quienes han sido sujeto de contratación abusiva, porque el proceso de selección convocado se abre a otros candidatos, y su organización permanece ajena a cualquier consideración relativa al carácter abusivo de la relación, dicha medida no resulta adecuada para sancionar debidamente la utilización abusiva de tales relaciones de servicio ni para eliminar las consecuencias de la infracción del Derecho de la Unión.</w:t>
      </w:r>
    </w:p>
    <w:p w14:paraId="22061E6B" w14:textId="77777777" w:rsidR="00F64776" w:rsidRDefault="00F64776" w:rsidP="00F64776">
      <w:pPr>
        <w:pStyle w:val="TextoNormal"/>
      </w:pPr>
    </w:p>
    <w:p w14:paraId="6E70589F" w14:textId="77777777" w:rsidR="00F64776" w:rsidRDefault="00F64776" w:rsidP="00F64776">
      <w:pPr>
        <w:pStyle w:val="TextoNormal"/>
      </w:pPr>
      <w:r>
        <w:t>d) Y la STJUE de 3 de junio de 2021 establece que “para que pueda considerarse conforme con el acuerdo marco una normativa nacional que en el sector público prohíbe transformar en contrato de trabajo por tiempo indefinido una sucesión de contratos de duración determinada, el ordenamiento jurídico interno del Estado miembro de que se trate debe contener, en dicho sector, otra medida efectiva para evitar y sancionar, en su caso, la utilización abusiva de sucesivos contratos de duración determinada” (§ 71) y que “si el órgano jurisdiccional remitente constatara que no existe, en la normativa nacional de que se trata en el litigio principal, ninguna otra medida efectiva para evitar y sancionar los abusos eventualmente constatados respecto de los empleados del sector público, esa situación vulneraría el objetivo y el efecto útil de la cláusula 5 del acuerdo marco y sería, por tanto, contraria a dicha cláusula” (§ 72). Por lo que hace a la indemnización equivalente a un despido improcedente como medida adecuada, restrictiva de la contratación temporal, el párrafo 74 de este pronunciamiento lo descarta, por ser independiente de cualquier consideración relativa al carácter lícito o abusivo de la utilización de contratos de duración determinada.</w:t>
      </w:r>
    </w:p>
    <w:p w14:paraId="3D50FD11" w14:textId="77777777" w:rsidR="00F64776" w:rsidRDefault="00F64776" w:rsidP="00F64776">
      <w:pPr>
        <w:pStyle w:val="TextoNormal"/>
      </w:pPr>
    </w:p>
    <w:p w14:paraId="2DE7106E" w14:textId="77777777" w:rsidR="00F64776" w:rsidRDefault="00F64776" w:rsidP="00F64776">
      <w:pPr>
        <w:pStyle w:val="TextoNormal"/>
      </w:pPr>
      <w:r>
        <w:t xml:space="preserve">De lo sucintamente expuesto se deriva que existen medidas aceptadas en el marco de la legislación europea y otras que no lo son, y que su evaluación específica compete a los órganos de la jurisdicción nacional. También se colige que, en su función de aplicadores del Derecho de la Unión, los tribunales, aceptando el amplio margen reconocido al Estado en desarrollo del acuerdo marco, deben respetar el canon y pautas marcadas por el Tribunal de Justicia de la Unión Europea en su jurisprudencia, siendo elementos esenciales de dicho canon la exigencia de evaluación específica de cada caso concreto y el examen de si existen medidas alternativas efectivas para evitar y sancionar el recurso abusivo a la contratación de duración determinada en los casos en que no sea posible, por no encajar en el marco normativo nacional, la transformación automática del contrato en una contratación indefinida. Restaría, en lo que concierte al presente proceso constitucional, evaluar, también caso por caso, si las resoluciones impugnadas han respetado el canon expuesto, y ello a la luz de la constatación de que, tras las STJUE en el asunto </w:t>
      </w:r>
      <w:r w:rsidRPr="00F64776">
        <w:rPr>
          <w:i/>
        </w:rPr>
        <w:t>IMIDRA</w:t>
      </w:r>
      <w:r>
        <w:t>, la Sala Cuarta del Tribunal Supremo recondujo su lectura de la cláusula quinta del acuerdo marco (recurso de casación en unificación de doctrina núm. 3263-2019, STS 649/2021 de la Sala Cuarta, de 28 de junio), mientras que la Sala de lo Contencioso-Administrativo no lo ha hecho, consolidando su anterior criterio fijado en las SSTS 1425/2018 y 1426/2018, de la Sección Cuarta de la Sala Tercera, de 26 de septiembre de 2018 (recursos de casación núm. 785-2017 y 1305-2017).</w:t>
      </w:r>
    </w:p>
    <w:p w14:paraId="5F512ACB" w14:textId="77777777" w:rsidR="00F64776" w:rsidRDefault="00F64776" w:rsidP="00F64776">
      <w:pPr>
        <w:pStyle w:val="TextoNormal"/>
      </w:pPr>
    </w:p>
    <w:p w14:paraId="3117E043" w14:textId="77777777" w:rsidR="00F64776" w:rsidRDefault="00F64776" w:rsidP="00F64776">
      <w:pPr>
        <w:pStyle w:val="TextoNormal"/>
      </w:pPr>
      <w:r>
        <w:t>En suma, teniendo presente todo lo expuesto, el juicio externo que se reserva a la jurisdicción constitucional sobre la actuación de la jurisdicción ordinaria hubiera permitido al Tribunal Constitucional, en caso de admitirse el recurso de amparo, valorar si las resoluciones impugnadas por esta vía se ajustan a las exigencias de razonabilidad de la motivación en tanto que respetan el canon de aplicación del Derecho de la Unión marcado por la jurisprudencia del Tribunal de Justicia de la Unión Europea, expresada, a grandes rasgos, en los párrafos precedentes.</w:t>
      </w:r>
    </w:p>
    <w:p w14:paraId="2247A24F" w14:textId="77777777" w:rsidR="00F64776" w:rsidRDefault="00F64776" w:rsidP="00F64776">
      <w:pPr>
        <w:pStyle w:val="TextoNormal"/>
      </w:pPr>
    </w:p>
    <w:p w14:paraId="07514351" w14:textId="77777777" w:rsidR="00F64776" w:rsidRDefault="00F64776" w:rsidP="00F64776">
      <w:pPr>
        <w:pStyle w:val="TextoNormal"/>
      </w:pPr>
      <w:r>
        <w:t>Por eso no es razonable una inadmisión general de los recursos de amparo en los que se plantea la aplicabilidad de la cláusula quinta del acuerdo marco, porque es necesario, en cada caso concreto, entrar al análisis pormenorizado y específico de la argumentación desarrollada por el órgano jurisdiccional de la instancia, para verificar si dicha argumentación analiza las circunstancias concretas del caso planteado, evalúa si ha existido utilización abusiva de sucesivos contratos de trabajo de duración determinada, y valora si las medidas previstas, para cada supuesto específico, responden o no a las previsiones de la cláusula quinta, a la luz de la interpretación que de ella hace el Tribunal de Justicia de la Unión Europea, que no impone la transformación de la contratación en una contratación indefinida, pero que excluye tanto las medidas preventivas (futura convocatoria de concurso) si no se puede asegurar en tiempo determinable su materialización, como la mera indemnización equivalente a un despido improcedente.</w:t>
      </w:r>
    </w:p>
    <w:p w14:paraId="5BE4D81C" w14:textId="77777777" w:rsidR="00F64776" w:rsidRDefault="00F64776" w:rsidP="00F64776">
      <w:pPr>
        <w:pStyle w:val="TextoNormal"/>
      </w:pPr>
    </w:p>
    <w:p w14:paraId="00718AB8" w14:textId="77777777" w:rsidR="00F64776" w:rsidRDefault="00F64776" w:rsidP="00F64776">
      <w:pPr>
        <w:pStyle w:val="TextoNormal"/>
      </w:pPr>
      <w:r>
        <w:t>Si se hubieran aceptado los presupuestos de razonamiento anteriores, no era posible afirmar la inverosimilitud de la lesión denunciada con carácter general para todos los amparos planteados, porque hubiera sido preciso realizar un análisis individualizado. Pero es que tampoco puede afirmarse la insostenibilidad de la pretensión para el recurso de amparo núm. 1055-2022, porque la resolución impugnada en este caso asocia a la situación de abuso laboral padecida por la recurrente medidas sancionadoras que, atendiendo a la jurisprudencia europea, no son suficientemente efectivas. En la resolución impugnada, el órgano judicial se ha ajustado a la doctrina del Tribunal de Justicia en relación con la falta de efecto directo de la cláusula 5.1 del acuerdo marco y respecto al margen de apreciación de los Estados miembros, pero, sin embargo, no se ajusta a la jurisprudencia europea en lo que hace al análisis particular y específico de las circunstancias y medidas concretas presentes en el supuesto controvertido. El propio auto de inadmisión reconoce que “la sentencia del Tribunal Supremo asocia a la situación de abuso laboral padecida por la recurrente medidas sancionadoras que, atendiendo a la jurisprudencia europea, pudieran no ser suficientemente efectivas”, y ello en referencia a la convocatoria de procesos selectivos abiertos, esto es, a la existencia de meras medidas preventivas que no atienden a la situación concreta de las víctimas de abuso. Por tanto, la interpretación realizada por la jurisdicción ordinaria, que conforma el objeto principal del recurso de amparo, consagra una situación jurídica que el Tribunal de Justicia de la Unión Europea ha declarado disconforme con el Derecho de la Unión.</w:t>
      </w:r>
    </w:p>
    <w:p w14:paraId="17480AE5" w14:textId="77777777" w:rsidR="00F64776" w:rsidRDefault="00F64776" w:rsidP="00F64776">
      <w:pPr>
        <w:pStyle w:val="TextoNormal"/>
      </w:pPr>
    </w:p>
    <w:p w14:paraId="4C29E99B" w14:textId="77777777" w:rsidR="00F64776" w:rsidRDefault="00F64776" w:rsidP="00F64776">
      <w:pPr>
        <w:pStyle w:val="TextoNormal"/>
      </w:pPr>
      <w:r>
        <w:t>En una eventual sentencia de fondo, el Tribunal Constitucional hubiera podido valorar si existía margen para adoptar otra decisión, o si al desestimar la pretensión de la recurrente “aplicando” la norma española, que no puede quedar desplazada por una disposición que carece de efecto directo, ha hecho una selección irrazonable y arbitraria de la norma aplicable vulnerando el derecho a la tutela judicial efectiva (art. 24.1 y 2 CE). También hubiera sido posible un pronunciamiento acerca de si esa opción interpretativa responde o no al canon de razonabilidad que impone la garantía del efecto útil de la Directiva. Pero lo que parece claro es que un análisis de tal alcance hubiera exigido un pronunciamiento de fondo, no siendo posible afirmar la ausencia de verosimilitud de la lesión denunciada en un auto destinado a formular el examen de admisibilidad. La circunstancia de que las resoluciones judiciales impugnadas vengan a confirmar la existencia de una aporía jurídica que los lleva a dejar imprejuzgada la petición de los recurrentes por falta de normativa aplicable respetuosa con el Derecho de la Unión plantea una situación atípica desde la perspectiva del derecho a la tutela judicial efectiva, que hubiera sido merecedora del pronunciamiento de fondo del Tribunal.</w:t>
      </w:r>
    </w:p>
    <w:p w14:paraId="68E46386" w14:textId="77777777" w:rsidR="00F64776" w:rsidRDefault="00F64776" w:rsidP="00F64776">
      <w:pPr>
        <w:pStyle w:val="TextoNormal"/>
      </w:pPr>
    </w:p>
    <w:p w14:paraId="73EE95FA" w14:textId="77777777" w:rsidR="00F64776" w:rsidRDefault="00F64776" w:rsidP="00F64776">
      <w:pPr>
        <w:pStyle w:val="TextoNormal"/>
      </w:pPr>
      <w:r>
        <w:t>Buena parte de los argumentos que preceden permiten negar también la falta de verosimilitud de la denuncia de vulneración del art. 24.1 CE ante la negativa a plantear cuestión prejudicial. Si el hecho de que existen cuestiones planteadas, y pendientes de resolución, no es efectivamente determinante para considerar lesionado el derecho, sí lo es para sostener que existen dudas interpretativas porque a) la actual normativa española no dispensa un tratamiento a la abusividad de las relaciones funcionariales o estatutarias temporales conforme al Derecho de la Unión Europea; b) la normativa de la Unión en la materia no puede ser directamente aplicable por no darse las exigencias de la jurisprudencia del Tribunal de Justicia de la Unión Europea para ello; y c) existe un vacío legal en la normativa interna que permita llegar a un tratamiento respetuoso con el derecho de la Unión.</w:t>
      </w:r>
    </w:p>
    <w:p w14:paraId="4C89B0B8" w14:textId="77777777" w:rsidR="00F64776" w:rsidRDefault="00F64776" w:rsidP="00F64776">
      <w:pPr>
        <w:pStyle w:val="TextoNormal"/>
      </w:pPr>
    </w:p>
    <w:p w14:paraId="5F1A9DA5" w14:textId="77777777" w:rsidR="00F64776" w:rsidRDefault="00F64776" w:rsidP="00F64776">
      <w:pPr>
        <w:pStyle w:val="TextoNormal"/>
      </w:pPr>
      <w:r>
        <w:t>3</w:t>
      </w:r>
      <w:r w:rsidRPr="00F64776">
        <w:rPr>
          <w:i/>
        </w:rPr>
        <w:t>. Conclusi</w:t>
      </w:r>
      <w:r>
        <w:t>ón</w:t>
      </w:r>
    </w:p>
    <w:p w14:paraId="026B5F92" w14:textId="77777777" w:rsidR="00F64776" w:rsidRDefault="00F64776" w:rsidP="00F64776">
      <w:pPr>
        <w:pStyle w:val="TextoNormal"/>
      </w:pPr>
    </w:p>
    <w:p w14:paraId="046C22BC" w14:textId="77777777" w:rsidR="00F64776" w:rsidRDefault="00F64776" w:rsidP="00F64776">
      <w:pPr>
        <w:pStyle w:val="TextoNormal"/>
      </w:pPr>
      <w:r>
        <w:t xml:space="preserve">La interpretación de la cláusula quinta de la Directiva 1999/70/CE ha generado una litigiosidad exacerbada, tanto en sede del Tribunal de Justicia de la Unión Europea, como en sede jurisdiccional ordinaria, y en último término, ante el Tribunal Constitucional. Pero la inadmisión a trámite de los asuntos, en bloque, no ha sido la solución más oportuna, ni la más respetuosa con el derecho de acceso a la jurisdicción constitucional de los y las recurrentes en amparo. Una parte de la doctrina académica plantea dudas respecto de la interpretación de la normativa nacional conforme al Derecho de la Unión formulada por jueces y tribunales nacionales, de lo que se deriva que el asunto es complejo y en absoluto está resuelto de una manera tan definitiva y tan clara que pueda descartarse, </w:t>
      </w:r>
      <w:r w:rsidRPr="00F64776">
        <w:rPr>
          <w:i/>
        </w:rPr>
        <w:t>prima facie</w:t>
      </w:r>
      <w:r>
        <w:t>, que tal interpretación no resulta limitadora del derecho a la tutela judicial efectiva en su vertiente del derecho a la selección del derecho aplicable, o a obtener una resolución razonable fundada en derecho (art. 24.1 CE).</w:t>
      </w:r>
    </w:p>
    <w:p w14:paraId="35E4B530" w14:textId="77777777" w:rsidR="00F64776" w:rsidRDefault="00F64776" w:rsidP="00F64776">
      <w:pPr>
        <w:pStyle w:val="TextoNormal"/>
      </w:pPr>
    </w:p>
    <w:p w14:paraId="43D08230" w14:textId="77777777" w:rsidR="00F64776" w:rsidRDefault="00F64776" w:rsidP="00F64776">
      <w:pPr>
        <w:pStyle w:val="TextoNormal"/>
      </w:pPr>
      <w:r>
        <w:t>Por tanto, si este y los demás recursos de amparo que plantean idéntico problema jurídico suscitan cuestiones fundamentales para la interpretación de la Constitución, su aplicación y su general eficacia y no es posible descartar indubitadamente, en una aproximación liminar, la concurrencia de la lesión denunciada hubiera sido necesario admitirlos a trámite. Que las cuestiones suscitadas hubieran exigido, por su novedad, del desarrollo de una doctrina que pide adoptarse en forma de sentencia, tras la oportuna confrontación de argumentos de cada una de las partes, también resulta claro. Y esta exigencia, como ya he referido en otros votos particulares, no es meramente formal, sino que está en la base misma de la construcción de la legitimidad de la decisión adoptada: la deliberación previa, entre todas las posiciones y con la mayor cantidad de argumentos disponibles en el marco del procedimiento de adopción de la decisión final, atribuye un mayor grado de legitimidad a esa decisión, porque la acerca más a la decisión más justa.</w:t>
      </w:r>
    </w:p>
    <w:p w14:paraId="156720DA" w14:textId="77777777" w:rsidR="00F64776" w:rsidRDefault="00F64776" w:rsidP="00F64776">
      <w:pPr>
        <w:pStyle w:val="TextoNormal"/>
      </w:pPr>
    </w:p>
    <w:p w14:paraId="069E24A0" w14:textId="77777777" w:rsidR="00F64776" w:rsidRDefault="00F64776" w:rsidP="00F64776">
      <w:pPr>
        <w:pStyle w:val="TextoNormal"/>
      </w:pPr>
      <w:r>
        <w:t>En este sentido, emito mi voto particular.</w:t>
      </w:r>
    </w:p>
    <w:p w14:paraId="39F3EAD2" w14:textId="77777777" w:rsidR="00F64776" w:rsidRDefault="00F64776" w:rsidP="00F64776">
      <w:pPr>
        <w:pStyle w:val="TextoNormal"/>
      </w:pPr>
    </w:p>
    <w:p w14:paraId="285BBF29" w14:textId="5D845CD1" w:rsidR="00F64776" w:rsidRDefault="00F64776" w:rsidP="00F64776">
      <w:pPr>
        <w:pStyle w:val="TextoNormal"/>
      </w:pPr>
      <w:r>
        <w:t>Madrid, a once de septiembre de dos mil veintitrés.</w:t>
      </w:r>
    </w:p>
    <w:p w14:paraId="565DF31A" w14:textId="6D43FFC3" w:rsidR="00F64776" w:rsidRDefault="00F64776">
      <w:pPr>
        <w:spacing w:after="160" w:line="278" w:lineRule="auto"/>
        <w:rPr>
          <w:rFonts w:ascii="Times New Roman" w:eastAsia="Times New Roman" w:hAnsi="Times New Roman" w:cs="Times New Roman"/>
          <w:sz w:val="24"/>
          <w:szCs w:val="24"/>
          <w:lang w:eastAsia="es-ES"/>
        </w:rPr>
      </w:pPr>
      <w:r>
        <w:br w:type="page"/>
      </w:r>
    </w:p>
    <w:p w14:paraId="18A90142" w14:textId="77777777" w:rsidR="00F64776" w:rsidRDefault="00F64776" w:rsidP="00F64776">
      <w:pPr>
        <w:pStyle w:val="TtuloResolucin"/>
      </w:pPr>
      <w:bookmarkStart w:id="213" w:name="AUTO_2023_428"/>
      <w:r>
        <w:t>AUTO 428/2023, de 11 de septiembre de 2023</w:t>
      </w:r>
    </w:p>
    <w:bookmarkEnd w:id="213"/>
    <w:p w14:paraId="70A05765" w14:textId="77777777" w:rsidR="00F64776" w:rsidRDefault="00F64776" w:rsidP="00F64776">
      <w:pPr>
        <w:pStyle w:val="TtuloResolucin"/>
      </w:pPr>
      <w:r>
        <w:t>Sala Segunda</w:t>
      </w:r>
    </w:p>
    <w:p w14:paraId="2419C483" w14:textId="77777777" w:rsidR="00F64776" w:rsidRDefault="00F64776" w:rsidP="00F64776">
      <w:pPr>
        <w:pStyle w:val="TextoNormalCentrado"/>
      </w:pPr>
      <w:r>
        <w:t>ECLI:ES:TC:2023:428A</w:t>
      </w:r>
    </w:p>
    <w:p w14:paraId="551D73C5" w14:textId="65EF3038" w:rsidR="00F64776" w:rsidRDefault="00F64776" w:rsidP="00F64776">
      <w:pPr>
        <w:pStyle w:val="TextoNormalCentrado"/>
      </w:pPr>
    </w:p>
    <w:p w14:paraId="486DE8DD" w14:textId="77777777" w:rsidR="00F64776" w:rsidRDefault="00F64776" w:rsidP="00F64776">
      <w:pPr>
        <w:pStyle w:val="SntesisDescriptiva"/>
      </w:pPr>
      <w:r>
        <w:t>Excms. Srs. doña Inmaculada Montalbán Huertas, doña María Luisa Balaguer Callejón, don Ramón Sáez Valcárcel, don Enrique Arnaldo Alcubilla, don César Tolosa Tribiño y doña Laura Díez Bueso.</w:t>
      </w:r>
    </w:p>
    <w:p w14:paraId="6AFB2007" w14:textId="3F089CA3" w:rsidR="00F64776" w:rsidRDefault="00F64776" w:rsidP="00F64776">
      <w:pPr>
        <w:pStyle w:val="SntesisDescriptiva"/>
      </w:pPr>
    </w:p>
    <w:p w14:paraId="1F4B0F9C" w14:textId="77777777" w:rsidR="00F64776" w:rsidRDefault="00F64776" w:rsidP="00F64776">
      <w:pPr>
        <w:pStyle w:val="SntesisDescriptiva"/>
      </w:pPr>
      <w:r>
        <w:t>Deniega la suspensión en el recurso de amparo 1372-2022, promovido por doña Olga Villanueva Illana en procedimiento de desahucio.</w:t>
      </w:r>
    </w:p>
    <w:p w14:paraId="322FF4F2" w14:textId="74D4B5B0" w:rsidR="00F64776" w:rsidRDefault="00F64776" w:rsidP="00F64776">
      <w:pPr>
        <w:pStyle w:val="SntesisDescriptiva"/>
      </w:pPr>
    </w:p>
    <w:p w14:paraId="00CB3B99" w14:textId="77777777" w:rsidR="00F64776" w:rsidRDefault="00F64776" w:rsidP="00F64776">
      <w:pPr>
        <w:pStyle w:val="SntesisDescriptiva"/>
      </w:pPr>
    </w:p>
    <w:p w14:paraId="71C74CF2" w14:textId="77777777" w:rsidR="00F64776" w:rsidRDefault="00F64776" w:rsidP="00F64776">
      <w:pPr>
        <w:pStyle w:val="SntesisDescriptiva"/>
      </w:pPr>
    </w:p>
    <w:p w14:paraId="2E7AC0B4" w14:textId="77777777" w:rsidR="00F64776" w:rsidRDefault="00F64776" w:rsidP="00F64776">
      <w:pPr>
        <w:pStyle w:val="TextoNormalNegritaCentrado"/>
      </w:pPr>
      <w:r>
        <w:t>AUTO</w:t>
      </w:r>
    </w:p>
    <w:p w14:paraId="47965242" w14:textId="6CDE7D53" w:rsidR="00F64776" w:rsidRDefault="00F64776" w:rsidP="00F64776">
      <w:pPr>
        <w:pStyle w:val="TextoNormalNegritaCentrado"/>
      </w:pPr>
    </w:p>
    <w:p w14:paraId="59D4C521" w14:textId="77777777" w:rsidR="00F64776" w:rsidRDefault="00F64776" w:rsidP="00F64776">
      <w:pPr>
        <w:pStyle w:val="TextoNormalNegritaCentrado"/>
        <w:keepNext/>
      </w:pPr>
      <w:r>
        <w:t>I. Antecedentes</w:t>
      </w:r>
    </w:p>
    <w:p w14:paraId="62D736FF" w14:textId="7565B4C4" w:rsidR="00F64776" w:rsidRDefault="00F64776" w:rsidP="00F64776">
      <w:pPr>
        <w:pStyle w:val="TextoNormalNegritaCentrado"/>
        <w:keepNext/>
      </w:pPr>
    </w:p>
    <w:p w14:paraId="63F8A8FC" w14:textId="77777777" w:rsidR="00F64776" w:rsidRDefault="00F64776" w:rsidP="00F64776">
      <w:pPr>
        <w:pStyle w:val="TextoNormal"/>
      </w:pPr>
      <w:r w:rsidRPr="00F64776">
        <w:rPr>
          <w:rStyle w:val="NumeroAFNegritaCaracter"/>
        </w:rPr>
        <w:t>1</w:t>
      </w:r>
      <w:r>
        <w:t>. Por escrito registrado en este tribunal el 2 de marzo de 2022, la procuradora de los tribunales doña Cristina Jiménez de la Plata García de Blas, obrando en nombre y representación de doña Olga Villanueva Illana, y bajo la dirección letrada de don Gabriel Fernando Ortega Gil, interpuso recurso de amparo contra: (i) el auto núm. 441/2017 dictado por el Juzgado de Primera Instancia núm. 26 de Madrid el 10 de noviembre de 2017, que puso fin al procedimiento ordinario 1240-2016 por estimación de una excepción de cosa juzgada; (ii) el auto dictado por el mismo juzgado el día 1 de diciembre de 2017 por el que se denegó la aclaración de la anterior resolución, pedida por la hoy demandante de amparo; y (iii) el auto núm. 4/2022 de 13 de enero de 2022, dictado por la Audiencia Provincial de Madrid, Sección Vigesimoctava de refuerzo, por el que se desestimó el recurso de apelación interpuesto por la demandante de amparo contra el auto de 10 de noviembre.</w:t>
      </w:r>
    </w:p>
    <w:p w14:paraId="6E2409B0" w14:textId="77777777" w:rsidR="00F64776" w:rsidRDefault="00F64776" w:rsidP="00F64776">
      <w:pPr>
        <w:pStyle w:val="TextoNormal"/>
      </w:pPr>
    </w:p>
    <w:p w14:paraId="11B2A880" w14:textId="167E8C8C" w:rsidR="00F64776" w:rsidRDefault="00F64776" w:rsidP="00F64776">
      <w:pPr>
        <w:pStyle w:val="TextoNormal"/>
      </w:pPr>
      <w:r>
        <w:t>En el escrito de interposición del recurso de amparo se solicitaba, por medio de otrosí, la anotación preventiva de la demanda de amparo en el registro de la propiedad y la suspensión cautelar del procedimiento de desahucio por precario núm. 769-2018 que se viene tramitando ante el Juzgado de Primera Instancia núm. 46 de Madrid frente a la demandante de amparo.</w:t>
      </w:r>
    </w:p>
    <w:p w14:paraId="000480E0" w14:textId="77777777" w:rsidR="00F64776" w:rsidRDefault="00F64776" w:rsidP="00F64776">
      <w:pPr>
        <w:pStyle w:val="TextoNormal"/>
      </w:pPr>
    </w:p>
    <w:p w14:paraId="0772D6E8" w14:textId="77777777" w:rsidR="00F64776" w:rsidRDefault="00F64776" w:rsidP="00F64776">
      <w:pPr>
        <w:pStyle w:val="TextoNormal"/>
      </w:pPr>
      <w:r w:rsidRPr="00F64776">
        <w:rPr>
          <w:rStyle w:val="NumeroAFNegritaCaracter"/>
        </w:rPr>
        <w:t>2</w:t>
      </w:r>
      <w:r>
        <w:t>. Los hechos referidos en la demanda de amparo relevantes para resolver la cuestión planteada son los siguientes:</w:t>
      </w:r>
    </w:p>
    <w:p w14:paraId="4FA502E5" w14:textId="77777777" w:rsidR="00F64776" w:rsidRDefault="00F64776" w:rsidP="00F64776">
      <w:pPr>
        <w:pStyle w:val="TextoNormal"/>
      </w:pPr>
    </w:p>
    <w:p w14:paraId="2C5E44AB" w14:textId="77777777" w:rsidR="00F64776" w:rsidRDefault="00F64776" w:rsidP="00F64776">
      <w:pPr>
        <w:pStyle w:val="TextoNormal"/>
      </w:pPr>
      <w:r>
        <w:t>(i) Ante el Juzgado de Primera Instancia núm. 32 de Madrid se tramitó el procedimiento de ejecución hipotecaria 796-2013, siendo parte ejecutante la entidad Caixabank, S.A., y parte ejecutada doña Olga Villanueva Illana, junto con otro codemandado. El 15 de noviembre de 2013 se dictó en dicho procedimiento auto ordenando que se ejecutara la escritura de préstamo hipotecario constituida el 12 de julio de 2004 sobre la finca registral núm. 5491, sita en la calle Torrelaguna, 70, esc. 1, 4º B de Madrid, por importe de 184 209,63 € en concepto de principal y 1611,40 € en concepto de intereses vencidos. El 16 de octubre de 2014 fue celebrada la subasta en el procedimiento hipotecario, adjudicándose la finca ejecutada a la entidad Buildingcenter, S.A.U.</w:t>
      </w:r>
    </w:p>
    <w:p w14:paraId="550ECDEE" w14:textId="77777777" w:rsidR="00F64776" w:rsidRDefault="00F64776" w:rsidP="00F64776">
      <w:pPr>
        <w:pStyle w:val="TextoNormal"/>
      </w:pPr>
    </w:p>
    <w:p w14:paraId="0075D1FE" w14:textId="77777777" w:rsidR="00F64776" w:rsidRDefault="00F64776" w:rsidP="00F64776">
      <w:pPr>
        <w:pStyle w:val="TextoNormal"/>
      </w:pPr>
      <w:r>
        <w:t>(ii) En diciembre de 2016 la representación procesal de doña Olga Villanueva Illana presentó demanda de juicio ordinario contra las entidades Caixabank, S.A., y Buildingcenter, S.A.U., en la que se interesaba que: (a) se declarara el carácter abusivo de la cláusula de vencimiento anticipado incluida en el contrato de préstamo hipotecario suscrito el día 12 de julio de 2004; (b) se declarara la nulidad del procedimiento de ejecución hipotecaria que se tramitó ante el Juzgado de Primera Instancia núm. 32 de Madrid (autos de ejecución hipotecaria núm. 796-2013); (c) se declarara nulo el título de adjudicación en pública subasta de la vivienda hipotecada a favor de Buildingcenter, S.A.U.; (d) se declarara el derecho de la demandante a recuperar la propiedad y posesión del referido inmueble. La demanda dio lugar a la incoación del procedimiento ordinario 1240-2016 ante el Juzgado de Primera Instancia núm. 26 de Madrid.</w:t>
      </w:r>
    </w:p>
    <w:p w14:paraId="4C7D05DF" w14:textId="77777777" w:rsidR="00F64776" w:rsidRDefault="00F64776" w:rsidP="00F64776">
      <w:pPr>
        <w:pStyle w:val="TextoNormal"/>
      </w:pPr>
    </w:p>
    <w:p w14:paraId="54204E11" w14:textId="77777777" w:rsidR="00F64776" w:rsidRDefault="00F64776" w:rsidP="00F64776">
      <w:pPr>
        <w:pStyle w:val="TextoNormal"/>
      </w:pPr>
      <w:r>
        <w:t>(iii) El 10 de noviembre de 2017 el Juzgado de Primera Instancia núm. 26 de Madrid dictó auto estimando la excepción de cosa juzgada invocada por las entidades demandadas en el procedimiento ordinario 1240-2016 y ordenó su sobreseimiento y archivo. Esta decisión se fundamentó en el hecho de que en el procedimiento de ejecución hipotecaria 796-2013, seguido ante el Juzgado de Primera Instancia núm. 32 de Madrid, se había concedido ya a la demandante —ejecutada en este segundo procedimiento— la posibilidad de oponerse a la demanda ejecutiva alegando la existencia de cláusulas abusivas, y la misma no se había opuesto a la ejecución ni había efectuado alegación alguna sobre la abusividad de la cláusula cuestionada en el proceso ordinario. Este auto fue objeto de aclaración mediante resolución de 1 de diciembre de 2017 en el único sentido de declarar de oficio las costas procesales, manteniendo invariados los demás pronunciamientos.</w:t>
      </w:r>
    </w:p>
    <w:p w14:paraId="522FB1F3" w14:textId="77777777" w:rsidR="00F64776" w:rsidRDefault="00F64776" w:rsidP="00F64776">
      <w:pPr>
        <w:pStyle w:val="TextoNormal"/>
      </w:pPr>
    </w:p>
    <w:p w14:paraId="7E22CF7D" w14:textId="77777777" w:rsidR="00F64776" w:rsidRDefault="00F64776" w:rsidP="00F64776">
      <w:pPr>
        <w:pStyle w:val="TextoNormal"/>
      </w:pPr>
      <w:r>
        <w:t>(iv) Contra el auto de 10 de noviembre de 2017, aclarado por el auto de 1 de diciembre, se interpuso recurso de apelación por la representación procesal de la Sra. Villanueva Illana. Se invocaba el incumplimiento, por parte del Juzgado de Primera Instancia núm. 32 de Madrid, de la obligación que, conforme a la consolidada jurisprudencia del Tribunal de Justicia de la Unión Europea, corresponde al juez nacional de aplicar de oficio el control de abusividad de cláusulas contractuales, lo que constituía una violación del Derecho de la Unión. Se alegaba también que la incomparecencia de la ejecutada en el procedimiento seguido ante el Juzgado de Primera Instancia núm. 32 se debió a causa de fuerza mayor, dado que la entonces ejecutada se hallaba bajo los efectos de la enfermedad neurodegenerativa de Huntington que padece, y que anulaba su conciencia hasta el punto de impedirle comprender las consecuencias y alcance de su propia conducta. Solicitó en aquel momento la práctica de pericial médico-psiquiátrica encaminada a determinar si padecía la referida enfermedad neurodegenerativa y, en su caso, los efectos que dicha enfermedad había tenido sobre su capacidad para afrontar las distintas situaciones de la vida. La práctica de esta prueba médica fue denegada por auto de la Audiencia Provincial de Madrid de 8 de septiembre de 2021, ratificado por auto de 14 de diciembre de 2021, que desestimó el recurso de reposición interpuesto contra aquel.</w:t>
      </w:r>
    </w:p>
    <w:p w14:paraId="57A359A5" w14:textId="77777777" w:rsidR="00F64776" w:rsidRDefault="00F64776" w:rsidP="00F64776">
      <w:pPr>
        <w:pStyle w:val="TextoNormal"/>
      </w:pPr>
    </w:p>
    <w:p w14:paraId="12E30B95" w14:textId="77777777" w:rsidR="00F64776" w:rsidRDefault="00F64776" w:rsidP="00F64776">
      <w:pPr>
        <w:pStyle w:val="TextoNormal"/>
      </w:pPr>
      <w:r>
        <w:t>(v) Mediante escritura pública de 16 de noviembre de 2018 la entidad Buildingcenter, S.A.U., transmitió a la mercantil Coral Homes, S.L., la finca núm. 5491, que le había sido en el procedimiento de ejecución hipotecaria núm. 796-2013, mediante aportación no dineraria a un aumento del capital social de esta última. La transacción fue inscrita en el registro de la propiedad núm. 33 de Madrid el día 4 de mayo de 2020, figurando actualmente inscrito el dominio de la finca a nombre de Coral Homes, S.L.</w:t>
      </w:r>
    </w:p>
    <w:p w14:paraId="556C35E6" w14:textId="77777777" w:rsidR="00F64776" w:rsidRDefault="00F64776" w:rsidP="00F64776">
      <w:pPr>
        <w:pStyle w:val="TextoNormal"/>
      </w:pPr>
    </w:p>
    <w:p w14:paraId="009613FB" w14:textId="77777777" w:rsidR="00F64776" w:rsidRDefault="00F64776" w:rsidP="00F64776">
      <w:pPr>
        <w:pStyle w:val="TextoNormal"/>
      </w:pPr>
      <w:r>
        <w:t>(vi) Con fecha no determinada en las actuaciones, en todo caso antes del 15 de febrero de 2019, la entidad Buildingcenter, S.A.U., presentó demanda de juicio verbal civil de desahucio contra doña Olga Villanueva Illana, que dio lugar a la incoación, por el Juzgado de Primera Instancia núm. 46 de Madrid, del juicio verbal núm. 769-2018. Admitida a trámite la demanda y dado traslado de ella a la demandada, Sra. Villanueva Illana, por ésta se presentó escrito de oposición alegando excepción de prejudicialidad civil, que fue acogida por auto de 15 de febrero de 2019, en el que se acordó “la suspensión del procedimiento de desahucio y del lanzamiento señalado para el 25 de febrero hasta que sea firme el auto dictado en fecha 10 de noviembre de 2017 por el Juzgado de Primera Instancia núm. 26 de Madrid en autos de procedimiento ordinario seguidos en dicho juzgado al número 1240-2016”.</w:t>
      </w:r>
    </w:p>
    <w:p w14:paraId="643BA3B7" w14:textId="77777777" w:rsidR="00F64776" w:rsidRDefault="00F64776" w:rsidP="00F64776">
      <w:pPr>
        <w:pStyle w:val="TextoNormal"/>
      </w:pPr>
    </w:p>
    <w:p w14:paraId="309AFFAB" w14:textId="08EE99A5" w:rsidR="00F64776" w:rsidRDefault="00F64776" w:rsidP="00F64776">
      <w:pPr>
        <w:pStyle w:val="TextoNormal"/>
      </w:pPr>
      <w:r>
        <w:t>(vii) Por auto de 13 de enero de 2022 la Audiencia Provincial de Madrid, Sección Vigesimoctava, de refuerzo, desestimó el recurso de apelación formulado contra el auto de 10 de noviembre de 2017 del Juzgado de Primera Instancia núm. 26 de Madrid. La decisión desestimatoria se fundamentó en el hecho de que la entonces apelante —hoy recurrente en amparo— había tenido la oportunidad de oponer la abusividad de la cláusula de vencimiento anticipado, no solo a través de la correspondiente demanda de oposición, sino también en un momento posterior del proceso de ejecución, en cualquiera de los trámites que integraron dicho proceso ejecutivo, no siendo admisible la invocación de dicho argumento en un proceso declarativo posterior incluso a la adjudicación de la finca hipotecada a un tercero.</w:t>
      </w:r>
    </w:p>
    <w:p w14:paraId="57A74F1C" w14:textId="77777777" w:rsidR="00F64776" w:rsidRDefault="00F64776" w:rsidP="00F64776">
      <w:pPr>
        <w:pStyle w:val="TextoNormal"/>
      </w:pPr>
    </w:p>
    <w:p w14:paraId="0F0F4525" w14:textId="77777777" w:rsidR="00F64776" w:rsidRDefault="00F64776" w:rsidP="00F64776">
      <w:pPr>
        <w:pStyle w:val="TextoNormal"/>
      </w:pPr>
      <w:r w:rsidRPr="00F64776">
        <w:rPr>
          <w:rStyle w:val="NumeroAFNegritaCaracter"/>
        </w:rPr>
        <w:t>3</w:t>
      </w:r>
      <w:r>
        <w:t>. El 2 de marzo de 2022 la representación procesal de doña Olga Villanueva Illana presentó demanda de amparo contra el auto dictado el 13 de enero de 2022 por la Audiencia Provincial de Madrid, Sección Vigesimoctava, de refuerzo, y contra el auto 441/2017 dictado el 10 de noviembre de 2017 por el Juzgado de Primera Instancia núm. 26 de Madrid en el procedimiento ordinario 1240-2016. En la demanda se invocaba en primer término la vulneración del derecho fundamental a la tutela judicial efectiva en su dimensión de acceso a la justicia (art. 24.1 CE) debido a que las resoluciones judiciales impugnadas vedaron toda posibilidad de que los órganos judiciales llevasen a cabo el control de abusividad de las cláusulas incluidas en el contrato de préstamo hipotecario, control que debió realizarse de oficio en el procedimiento de ejecución y que se omitió por completo. Se invocaba también la vulneración del derecho fundamental a un proceso con todas las garantías (art. 24.2 CE) derivada de la denegación, en el proceso declarativo ordinario, de la práctica determinadas pruebas con las que se pretendía acreditar el estado de salud de la demandante de amparo durante la tramitación del procedimiento ejecutivo, y que habrían contribuido a justificar su conducta procesal en el trascurso de dicho procedimiento. La demanda de amparo terminaba solicitando que se declarase la nulidad de las resoluciones impugnadas y la retroacción de las actuaciones del procedimiento ordinario núm. 1240-2016 al estado en que se encontraban con anterioridad al dictado del auto de 10 de noviembre de 2017, con el fin de que por el Juzgado de Primera Instancia núm. 26 de Madrid se entrase a conocer del fondo del asunto planteado en dicho procedimiento.</w:t>
      </w:r>
    </w:p>
    <w:p w14:paraId="3A31F933" w14:textId="77777777" w:rsidR="00F64776" w:rsidRDefault="00F64776" w:rsidP="00F64776">
      <w:pPr>
        <w:pStyle w:val="TextoNormal"/>
      </w:pPr>
    </w:p>
    <w:p w14:paraId="43740835" w14:textId="1E254998" w:rsidR="00F64776" w:rsidRDefault="00F64776" w:rsidP="00F64776">
      <w:pPr>
        <w:pStyle w:val="TextoNormal"/>
      </w:pPr>
      <w:r>
        <w:t>Por medio de otrosí se interesaba la anotación preventiva de la demanda de amparo en el Registro de la Propiedad núm. 33 de Madrid y la suspensión del procedimiento de desahucio por precario núm. 769-2018, en trámite ante el Juzgado de Primera Instancia núm. 46 de Madrid. Esta petición se justificaba invocando los perjuicios irreparables que podrían llegar a producirse a la demandante de amparo si la finca objeto de todos los procedimientos —ejecutivo, declarativo ordinario y verbal de desahucio— habidos entre las partes resultara transmitida en virtud de contrato que hiciera imposible su reintegración a la misma, caso de llegar a prosperar el recurso de amparo. Se alegaba también que ninguna de las medidas cautelares interesadas suponía una perturbación grave para los intereses generales ni dilación alguna del procedimiento de desahucio, dado que se encontraba ya suspendido en el momento de presentarse la demanda de amparo por decisión del propio Juzgado de Primera Instancia núm. 46 de Madrid.</w:t>
      </w:r>
    </w:p>
    <w:p w14:paraId="68B60EC4" w14:textId="77777777" w:rsidR="00F64776" w:rsidRDefault="00F64776" w:rsidP="00F64776">
      <w:pPr>
        <w:pStyle w:val="TextoNormal"/>
      </w:pPr>
    </w:p>
    <w:p w14:paraId="54CDC95C" w14:textId="606F9536" w:rsidR="00F64776" w:rsidRDefault="00F64776" w:rsidP="00F64776">
      <w:pPr>
        <w:pStyle w:val="TextoNormal"/>
      </w:pPr>
      <w:r w:rsidRPr="00F64776">
        <w:rPr>
          <w:rStyle w:val="NumeroAFNegritaCaracter"/>
        </w:rPr>
        <w:t>4</w:t>
      </w:r>
      <w:r>
        <w:t>. La demanda de amparo fue admitida a trámite mediante providencia de la Sección Tercera de este tribunal de 22 de mayo de 2023, que apreció la concurrencia en el mismo de una especial trascendencia constitucional porque “el recurso el recurso plantea un problema o afecta a una faceta de un derecho fundamental sobre el que no hay doctrina de este tribunal [STC 155/2009, FJ 2 a)]”. En esta misma providencia se ordenó formar pieza separada de medidas cautelares.</w:t>
      </w:r>
    </w:p>
    <w:p w14:paraId="52B511D0" w14:textId="77777777" w:rsidR="00F64776" w:rsidRDefault="00F64776" w:rsidP="00F64776">
      <w:pPr>
        <w:pStyle w:val="TextoNormal"/>
      </w:pPr>
    </w:p>
    <w:p w14:paraId="207B7B9B" w14:textId="77777777" w:rsidR="00F64776" w:rsidRDefault="00F64776" w:rsidP="00F64776">
      <w:pPr>
        <w:pStyle w:val="TextoNormal"/>
      </w:pPr>
      <w:r w:rsidRPr="00F64776">
        <w:rPr>
          <w:rStyle w:val="NumeroAFNegritaCaracter"/>
        </w:rPr>
        <w:t>5</w:t>
      </w:r>
      <w:r>
        <w:t>. Habiéndose dado traslado de las actuaciones al Ministerio Fiscal y al solicitante de amparo para formular alegaciones en relación con las medidas cautelares interesadas en la demanda de amparo, por la representación procesal de doña Olga Villanueva Illana se presentó escrito reiterando dicha petición y alegando, en síntesis:</w:t>
      </w:r>
    </w:p>
    <w:p w14:paraId="40198F4C" w14:textId="77777777" w:rsidR="00F64776" w:rsidRDefault="00F64776" w:rsidP="00F64776">
      <w:pPr>
        <w:pStyle w:val="TextoNormal"/>
      </w:pPr>
    </w:p>
    <w:p w14:paraId="3F84DDD5" w14:textId="77777777" w:rsidR="00F64776" w:rsidRDefault="00F64776" w:rsidP="00F64776">
      <w:pPr>
        <w:pStyle w:val="TextoNormal"/>
      </w:pPr>
      <w:r>
        <w:t>(i) En cuanto a la anotación preventiva de la demanda en el registro de la propiedad, que la misma resulta necesaria con el fin de dar la debida publicidad al litigio que existe en relación con la finca a que se refieren los procedimientos judiciales que han dado lugar el recurso de amparo, evitando así que dicha finca pueda ser transmitida a un tercero de buena fe de manera irrevocable antes de la resolución del recurso, lo que convertiría en inviable su conservación y/o recuperación por parte de la demandante, y haría que el amparo perdiese por completo su finalidad. Teniendo en cuenta que la entidad a la que resultó adjudicada la finca en el procedimiento de ejecución hipotecaria núm. 796-2013 —Buildingcenter, S.A.U.— es una entidad que tiene por objeto gestionar el patrimonio inmobiliario adjudicado en subastas públicas derivadas de ejecuciones instadas por Caixabank, se trata de un riesgo real y no meramente hipotético.</w:t>
      </w:r>
    </w:p>
    <w:p w14:paraId="7670AA46" w14:textId="77777777" w:rsidR="00F64776" w:rsidRDefault="00F64776" w:rsidP="00F64776">
      <w:pPr>
        <w:pStyle w:val="TextoNormal"/>
      </w:pPr>
    </w:p>
    <w:p w14:paraId="4E087CAD" w14:textId="01FB5785" w:rsidR="00F64776" w:rsidRDefault="00F64776" w:rsidP="00F64776">
      <w:pPr>
        <w:pStyle w:val="TextoNormal"/>
      </w:pPr>
      <w:r>
        <w:t>(ii) En cuanto a la suspensión del procedimiento de desahucio núm. 769-2018, seguido ante el Juzgado de Primera Instancia núm. 46 de Madrid, se pone de manifiesto que este procedimiento fue ya suspendido por auto de 15 de febrero de 2019 del referido juzgado hasta que el procedimiento ordinario 1240-2016 hubiera quedado resuelto por resolución firme, lo que ha sucedido a raíz del auto dictado por la Audiencia Provincial de Madrid, Sección Vigesimoctava de refuerzo, el 13 de enero de 2022, que confirma el auto dictado en primera instancia el 10 de noviembre de 2017. Habiendo alcanzado firmeza este último auto de 10 de noviembre de 2017, es importante que se acuerde la suspensión del procedimiento de desahucio para evitar que la demandante de amparo resulte efectivamente lanzada de su vivienda, lo que le ocasionaría un grave perjuicio que se tornaría irreparable de llegar a transmitirse, además, la finca a un tercero.</w:t>
      </w:r>
    </w:p>
    <w:p w14:paraId="543ECC44" w14:textId="77777777" w:rsidR="00F64776" w:rsidRDefault="00F64776" w:rsidP="00F64776">
      <w:pPr>
        <w:pStyle w:val="TextoNormal"/>
      </w:pPr>
    </w:p>
    <w:p w14:paraId="139E9767" w14:textId="46AB58BB" w:rsidR="00F64776" w:rsidRDefault="00F64776" w:rsidP="00F64776">
      <w:pPr>
        <w:pStyle w:val="TextoNormal"/>
      </w:pPr>
      <w:r w:rsidRPr="00F64776">
        <w:rPr>
          <w:rStyle w:val="NumeroAFNegritaCaracter"/>
        </w:rPr>
        <w:t>6</w:t>
      </w:r>
      <w:r>
        <w:t>. Por el Ministerio Fiscal se presentó escrito en que, tras realizar una síntesis de la doctrina de este tribunal en relación con la aplicación de las medidas cautelares solicitadas, mostró su oposición a la adopción de la medida cautelar de suspensión del procedimiento de desahucio núm. 769-2018 y su conformidad a la adopción de la medida de anotación preventiva de la demanda en el registro de la propiedad. En relación con la medida cautelar de suspensión, justificó su oposición argumentando que el objeto del procedimiento constitucional no es ninguna resolución dictada en el seno del procedimiento de desahucio cuya suspensión se interesa, ni cabe apreciar tampoco que traigan causa del mismo. A ello se suma que el procedimiento de desahucio, conforme a la información de que se dispone, se encuentra ya suspendido, no existiendo obstáculo alguno para que la demandante de amparo pueda comunicar al Juzgado de Primera Instancia núm. 46 de Madrid la interposición del presente recurso de amparo para que por dicho juzgado se mantenga la suspensión acordada. Considera, sin embargo, procedente la anotación preventiva de la demanda en el registro de la propiedad núm. 33 de Madrid al objeto de darle la debida publicidad frente a una eventual transmisión de la propiedad de la finca por parte de la sociedad adjudicataria a un tercero de buena fe, con la finalidad de evitar situaciones cuya reversibilidad sería imposible.</w:t>
      </w:r>
    </w:p>
    <w:p w14:paraId="2EC8B6AA" w14:textId="77777777" w:rsidR="00F64776" w:rsidRDefault="00F64776" w:rsidP="00F64776">
      <w:pPr>
        <w:pStyle w:val="TextoNormal"/>
      </w:pPr>
    </w:p>
    <w:p w14:paraId="79560AE7" w14:textId="77777777" w:rsidR="00F64776" w:rsidRDefault="00F64776" w:rsidP="00F64776">
      <w:pPr>
        <w:pStyle w:val="TextoNormalNegritaCentrado"/>
        <w:keepNext/>
      </w:pPr>
      <w:r>
        <w:t>II. Fundamentos jurídicos</w:t>
      </w:r>
    </w:p>
    <w:p w14:paraId="58C1D582" w14:textId="1F28BFE2" w:rsidR="00F64776" w:rsidRDefault="00F64776" w:rsidP="00F64776">
      <w:pPr>
        <w:pStyle w:val="TextoNormalNegritaCentrado"/>
        <w:keepNext/>
      </w:pPr>
    </w:p>
    <w:p w14:paraId="38A61B5C" w14:textId="149B66C5" w:rsidR="00F64776" w:rsidRDefault="00F64776" w:rsidP="00F64776">
      <w:pPr>
        <w:pStyle w:val="TextoNormal"/>
      </w:pPr>
      <w:r w:rsidRPr="00F64776">
        <w:rPr>
          <w:rStyle w:val="NumeroAFNegritaCaracter"/>
        </w:rPr>
        <w:t>1</w:t>
      </w:r>
      <w:r>
        <w:t>. El art. 56.1 de la Ley Orgánica del Tribunal Constitucional (LOTC), en la redacción dada por Ley Orgánica 6/2007, de 24 de mayo, establece, como regla general, que “la interposición del recurso de amparo no suspenderá los efectos de la sentencia o el acto impugnados”, y añade en su apartado 2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 El apartado 3 del precepto abre, por su parte, la puerta a la adopción en el proceso de amparo de otras medidas cautelares diversas de la suspensión al disponer que “[a]simismo la Sala o la Sección podrá adoptar cualesquiera medidas cautelares y resoluciones provisionales previstas en el ordenamiento, que por su naturaleza, puedan aplicarse en el proceso de amparo y tiendan a evitar que el recurso pierda su finalidad”.</w:t>
      </w:r>
    </w:p>
    <w:p w14:paraId="43F4F716" w14:textId="77777777" w:rsidR="00F64776" w:rsidRDefault="00F64776" w:rsidP="00F64776">
      <w:pPr>
        <w:pStyle w:val="TextoNormal"/>
      </w:pPr>
    </w:p>
    <w:p w14:paraId="3DEF0965" w14:textId="77777777" w:rsidR="00F64776" w:rsidRDefault="00F64776" w:rsidP="00F64776">
      <w:pPr>
        <w:pStyle w:val="TextoNormal"/>
      </w:pPr>
      <w:r w:rsidRPr="00F64776">
        <w:rPr>
          <w:rStyle w:val="NumeroAFNegritaCaracter"/>
        </w:rPr>
        <w:t>2</w:t>
      </w:r>
      <w:r>
        <w:t>. Comenzando por la medida de suspensión interesada en la demanda de amparo, de acuerdo con lo dispuesto en el art. 56.2 LOTC, la adopción de esta medida requiere: (i) que la suspensión se refiera a la ejecución del acto o sentencia impugnados en el recurso de amparo; (ii) que dicha ejecución ocasione un perjuicio al recurrente de tal naturaleza y entidad que haga perder su fin al amparo, privándole de sentido práctico; (iii) que con la suspensión no se ocasione una perturbación grave de otro interés constitucionalmente protegido o de los derechos fundamentales de otra persona.</w:t>
      </w:r>
    </w:p>
    <w:p w14:paraId="6C3AB942" w14:textId="77777777" w:rsidR="00F64776" w:rsidRDefault="00F64776" w:rsidP="00F64776">
      <w:pPr>
        <w:pStyle w:val="TextoNormal"/>
      </w:pPr>
    </w:p>
    <w:p w14:paraId="5D9F43F7" w14:textId="77777777" w:rsidR="00F64776" w:rsidRDefault="00F64776" w:rsidP="00F64776">
      <w:pPr>
        <w:pStyle w:val="TextoNormal"/>
      </w:pPr>
      <w:r>
        <w:t>La doctrina de este tribunal ha venido insistiendo en que la suspensión es una medida provisional de carácter excepcional y de aplicación restrictiva, dado el interés general en la efectividad de las decisiones de los poderes públicos, y, en particular, en la ejecución de las resoluciones dictadas por jueces y tribunales en el ejercicio de la potestad jurisdiccional que les confiere el art. 117.3 CE, habida cuenta de que la suspensión de la ejecución de resoluciones judiciales entraña siempre y en sí misma una perturbación de la función jurisdiccional (AATC 220/2008, de 14 de julio; 393/2008, de 22 de diciembre; 12/2009, de 26 de enero; 218/2012, de 26 de noviembre, y 137/2017, de 16 de octubre, entre otros muchos).</w:t>
      </w:r>
    </w:p>
    <w:p w14:paraId="7817851F" w14:textId="77777777" w:rsidR="00F64776" w:rsidRDefault="00F64776" w:rsidP="00F64776">
      <w:pPr>
        <w:pStyle w:val="TextoNormal"/>
      </w:pPr>
    </w:p>
    <w:p w14:paraId="72685BA7" w14:textId="77777777" w:rsidR="00F64776" w:rsidRDefault="00F64776" w:rsidP="00F64776">
      <w:pPr>
        <w:pStyle w:val="TextoNormal"/>
      </w:pPr>
      <w:r>
        <w:t>Partiendo de esta regla general, y por lo que se refiere al primero de los requisitos enunciados, al amparo de lo dispuesto en el art. 56.3 LOTC este tribunal ha admitido la posibilidad que sea acordada una medida cautelar de suspensión que no se refiera expresamente a las resoluciones que constituyen objeto en sí del recurso de amparo, siempre que se cumpla el requisito básico de la tutela cautelar, esto es, que su ejecución pueda hacer perder al recurso su finalidad. De este modo se ha admitido la suspensión de la ejecución del acto administrativo que las resoluciones judiciales impugnadas confirmaban, pese a que el acto en cuestión no formase parte del objeto del recurso (AATC 333/2004, de 13 de septiembre, y 197/2005, de 9 de mayo), o la posibilidad de suspender el curso de un proceso de liquidación del patrimonio ganancial en su conjunto pese a que lo recurrido fuera tan solo una de las resoluciones interlocutorias dictadas en el mismo (ATC 91/2022, de 13 de junio, FJ 5). En todos estos casos la justificación de esta ampliación del ámbito objetivo de la suspensión se justificó en la existencia de una relación directa entre la resolución o procedimiento cuya suspensión se instaba y la eficacia real de un fallo eventualmente estimatorio del recurso.</w:t>
      </w:r>
    </w:p>
    <w:p w14:paraId="603D668D" w14:textId="77777777" w:rsidR="00F64776" w:rsidRDefault="00F64776" w:rsidP="00F64776">
      <w:pPr>
        <w:pStyle w:val="TextoNormal"/>
      </w:pPr>
    </w:p>
    <w:p w14:paraId="08184CC7" w14:textId="77777777" w:rsidR="00F64776" w:rsidRDefault="00F64776" w:rsidP="00F64776">
      <w:pPr>
        <w:pStyle w:val="TextoNormal"/>
      </w:pPr>
      <w:r>
        <w:t>Este es, precisamente, el supuesto que se plantea en el caso examinado. La demandante de amparo solicita la suspensión, no de la ejecución de las resoluciones recurridas, sino de un procedimiento diferente que se halla vinculado de manera directa al contenido de tales resoluciones. Así, las resoluciones recurridas cierran la posibilidad de anulación del procedimiento de ejecución hipotecaria 796-2013, seguido ante el Juzgado de Primera Instancia núm. 32 de Madrid, en el que fue dictado el auto de adjudicación que sirve como título legitimador de la acción de desahucio ejercitada por Buildingcenter, S.A.U., contra la demandante de amparo en el juicio verbal cuya suspensión se pretende. Partiendo de ello, es clara la conexión entre las resoluciones recurridas y el procedimiento cuya suspensión se pretende: de resultar estimado el recurso de amparo se abriría la posibilidad de anulación del procedimiento de ejecución hipotecaria y, como parte de él, del auto de adjudicación dictado a favor de Buildingcenter, esto es, del título que sirve de fundamento a la acción ejercitada en el juicio verbal de desahucio cuya suspensión se pide. Esta íntima conexión entre las resoluciones impugnadas y el procedimiento cuya suspensión se pretende hace posible abordar el análisis de la pretensión de la recurrente.</w:t>
      </w:r>
    </w:p>
    <w:p w14:paraId="4A6A5EA4" w14:textId="77777777" w:rsidR="00F64776" w:rsidRDefault="00F64776" w:rsidP="00F64776">
      <w:pPr>
        <w:pStyle w:val="TextoNormal"/>
      </w:pPr>
    </w:p>
    <w:p w14:paraId="3EAFDA0F" w14:textId="77777777" w:rsidR="00F64776" w:rsidRDefault="00F64776" w:rsidP="00F64776">
      <w:pPr>
        <w:pStyle w:val="TextoNormal"/>
      </w:pPr>
      <w:r>
        <w:t>En cuanto al segundo de los requisitos enumerados, perjuicio que pudiera derivar para el recurrente de amparo de no acordarse la medida de suspensión, encontramos que tal perjuicio se concreta en el caso examinado en la posibilidad de que llegara a producirse el lanzamiento de la demandante de amparo de su vivienda habitual durante la tramitación del proceso constitucional. Tal como pone de manifiesto el Ministerio Fiscal en su escrito de alegaciones, este tribunal ha admitido la procedencia de acordar la suspensión de aquellas resoluciones judiciales cuya ejecución conlleva el desalojo de viviendas o locales de negocio y la consiguiente consolidación de una posición jurídicamente inatacable o de muy difícil y costoso restablecimiento. Así se ha concluido en casos en que ya se había acordado el lanzamiento (así, AATC 21/2018, de 5 de marzo, FJ 3; 102/2019, de 16 de septiembre, FJ 3; 50/2020, de 15 de junio, FJ 3, y 139/2020, de 16 de noviembre, FJ 4). Sin embargo, también se ha reiterado que no resulta procedente la suspensión de un eventual e hipotético lanzamiento cuando la petición se apoya en una posibilidad de futuro, pero no concurre un riesgo cierto como sucede cuando no se ha celebrado todavía la subasta (AATC 75/2019, de 15 de julio, FJ 3, y 85/2019, de 15 de julio, FJ 3); cuando, aun celebrada la subasta, no se ha producido la adjudicación de la vivienda a favor del acreedor (ATC 164/2020, de 14 de diciembre, FJ 3); y cuando el lanzamiento haya sido suspendido en la propia vía judicial (AATC 50/2015, de 2 de marzo, FJ 2, y 136/2020, de 16 de noviembre, FJ 3) o esté de hecho suspendido (ATC 98/2019, de 16 de septiembre, FJ 3).</w:t>
      </w:r>
    </w:p>
    <w:p w14:paraId="5E375419" w14:textId="77777777" w:rsidR="00F64776" w:rsidRDefault="00F64776" w:rsidP="00F64776">
      <w:pPr>
        <w:pStyle w:val="TextoNormal"/>
      </w:pPr>
    </w:p>
    <w:p w14:paraId="7CC18ADB" w14:textId="77777777" w:rsidR="00F64776" w:rsidRDefault="00F64776" w:rsidP="00F64776">
      <w:pPr>
        <w:pStyle w:val="TextoNormal"/>
      </w:pPr>
      <w:r>
        <w:t>Esto último es lo que sucede en el caso sometido a examen. De la información obrante en las actuaciones resulta que el juicio verbal de desahucio cuya suspensión se solicita fue ya suspendido cautelarmente por auto dictado el 15 de febrero de 2019 por el propio Juzgado de Primera Instancia núm. 46 de Madrid, ante el que se viene tramitando. No consta que dicha suspensión haya sido alzada o dejada sin efecto, ni, consecuentemente, que exista un riesgo cierto y actual de que pueda producirse el resultado perjudicial aducido en la petición de medidas cautelares durante la tramitación del presente recurso de amparo.</w:t>
      </w:r>
    </w:p>
    <w:p w14:paraId="13C93BBB" w14:textId="77777777" w:rsidR="00F64776" w:rsidRDefault="00F64776" w:rsidP="00F64776">
      <w:pPr>
        <w:pStyle w:val="TextoNormal"/>
      </w:pPr>
    </w:p>
    <w:p w14:paraId="52FFCB25" w14:textId="02E44FC0" w:rsidR="00F64776" w:rsidRDefault="00F64776" w:rsidP="00F64776">
      <w:pPr>
        <w:pStyle w:val="TextoNormal"/>
      </w:pPr>
      <w:r>
        <w:t>En consecuencia, debe denegarse la medida cautelar de suspensión del juicio verbal de desahucio interesada en la demanda de amparo, lo que no impide que, en el supuesto de que el órgano judicial acordara de manera efectiva el lanzamiento, la demandante de amparo pudiera acudir de nuevo ante este tribunal solicitando la modificación de la decisión de denegación conforme a lo previsto en el art. 57 LOTC (así, ATC 164/2020, de 14 de diciembre, FJ 3).</w:t>
      </w:r>
    </w:p>
    <w:p w14:paraId="6618FA16" w14:textId="77777777" w:rsidR="00F64776" w:rsidRDefault="00F64776" w:rsidP="00F64776">
      <w:pPr>
        <w:pStyle w:val="TextoNormal"/>
      </w:pPr>
    </w:p>
    <w:p w14:paraId="0CF7F457" w14:textId="77777777" w:rsidR="00F64776" w:rsidRDefault="00F64776" w:rsidP="00F64776">
      <w:pPr>
        <w:pStyle w:val="TextoNormal"/>
      </w:pPr>
      <w:r w:rsidRPr="00F64776">
        <w:rPr>
          <w:rStyle w:val="NumeroAFNegritaCaracter"/>
        </w:rPr>
        <w:t>3</w:t>
      </w:r>
      <w:r>
        <w:t>. En cuanto a la medida de anotación preventiva de la demanda en el registro de la propiedad, este tribunal ha declarado reiteradamente la posibilidad de adopción de tal medida en los procesos de amparo, de oficio o a instancia de parte, y con fundamento en el art. 56.3 LOTC y 42.1 de la Ley hipotecaria (AATC 274/2002, de 18 de diciembre; 257/2003, de 14 de julio; 230/2007, de 7 de mayo, FJ 3; 415/2007, de 5 de noviembre, FJ 4, y 28/2009, de 26 de enero, FJ 2). La finalidad de esta medida cautelar consiste en dar adecuada publicidad a la pendencia del proceso constitucional y evitar el perjuicio que pudiera derivar de la adquisición del bien inmueble por un tercero de buena fe con carácter irreivindicable (AATC 95/2015, de 25 de mayo, y 110/2020, de 21 de septiembre).</w:t>
      </w:r>
    </w:p>
    <w:p w14:paraId="114F9D06" w14:textId="77777777" w:rsidR="00F64776" w:rsidRDefault="00F64776" w:rsidP="00F64776">
      <w:pPr>
        <w:pStyle w:val="TextoNormal"/>
      </w:pPr>
    </w:p>
    <w:p w14:paraId="79DACC50" w14:textId="5A5F7243" w:rsidR="00F64776" w:rsidRDefault="00F64776" w:rsidP="00F64776">
      <w:pPr>
        <w:pStyle w:val="TextoNormal"/>
      </w:pPr>
      <w:r>
        <w:t>En el caso examinado encontramos que la finca a que se refiere el procedimiento ordinario 1240-2016 del que trae causa el presente recurso de amparo, y en cuya hoja registral debería practicarse la anotación preventiva interesada, ha sido ya transmitida a persona distinta de las partes en dicho procedimiento —demandante de amparo, Caixabank y Buildingcenter—, en concreto a Coral Homes, S.L., y aparece inscrita en el registro de la propiedad a nombre de esta última. De este modo, la función cautelar o tuitiva propia de la anotación preventiva interesada en la demanda de amparo ha quedado sin objeto, lo que determina la denegación de la medida.</w:t>
      </w:r>
    </w:p>
    <w:p w14:paraId="521D8EF8" w14:textId="77777777" w:rsidR="00F64776" w:rsidRDefault="00F64776" w:rsidP="00F64776">
      <w:pPr>
        <w:pStyle w:val="TextoNormal"/>
      </w:pPr>
    </w:p>
    <w:p w14:paraId="7857E375" w14:textId="77777777" w:rsidR="00F64776" w:rsidRDefault="00F64776" w:rsidP="00F64776">
      <w:pPr>
        <w:pStyle w:val="TextoNormal"/>
      </w:pPr>
      <w:r>
        <w:t>Por lo expuesto, la Sala</w:t>
      </w:r>
    </w:p>
    <w:p w14:paraId="26A16E72" w14:textId="1A16D0E0" w:rsidR="00F64776" w:rsidRDefault="00F64776" w:rsidP="00F64776">
      <w:pPr>
        <w:pStyle w:val="TextoNormal"/>
      </w:pPr>
    </w:p>
    <w:p w14:paraId="5E0C06E4" w14:textId="77777777" w:rsidR="00F64776" w:rsidRDefault="00F64776" w:rsidP="00F64776">
      <w:pPr>
        <w:pStyle w:val="TextoNormalCentrado"/>
      </w:pPr>
      <w:r>
        <w:t>ACUERDA</w:t>
      </w:r>
    </w:p>
    <w:p w14:paraId="29B74185" w14:textId="765961DB" w:rsidR="00F64776" w:rsidRDefault="00F64776" w:rsidP="00F64776">
      <w:pPr>
        <w:pStyle w:val="TextoNormalCentrado"/>
      </w:pPr>
    </w:p>
    <w:p w14:paraId="129D1B90" w14:textId="30371118" w:rsidR="00F64776" w:rsidRDefault="00F64776" w:rsidP="00F64776">
      <w:pPr>
        <w:pStyle w:val="TextoNormal"/>
      </w:pPr>
      <w:r>
        <w:t>Denegar la suspensión cautelar del procedimiento de desahucio por precario núm. 769-2018 que se viene tramitando ante el Juzgado de Primera Instancia núm. 46 de Madrid y la anotación preventiva de la demanda de amparo en el registro de la propiedad.</w:t>
      </w:r>
    </w:p>
    <w:p w14:paraId="12B723CA" w14:textId="77777777" w:rsidR="00F64776" w:rsidRDefault="00F64776" w:rsidP="00F64776">
      <w:pPr>
        <w:pStyle w:val="TextoNormal"/>
      </w:pPr>
    </w:p>
    <w:p w14:paraId="6881563B" w14:textId="77777777" w:rsidR="00F64776" w:rsidRDefault="00F64776" w:rsidP="00F64776">
      <w:pPr>
        <w:pStyle w:val="TextoNormal"/>
      </w:pPr>
      <w:r>
        <w:t>Madrid, a once de septiembre de dos mil veintitrés.</w:t>
      </w:r>
    </w:p>
    <w:p w14:paraId="629050D4" w14:textId="5579B12D" w:rsidR="00F64776" w:rsidRDefault="00F64776">
      <w:pPr>
        <w:spacing w:after="160" w:line="278" w:lineRule="auto"/>
        <w:rPr>
          <w:rFonts w:ascii="Times New Roman" w:eastAsia="Times New Roman" w:hAnsi="Times New Roman" w:cs="Times New Roman"/>
          <w:sz w:val="24"/>
          <w:szCs w:val="24"/>
          <w:lang w:eastAsia="es-ES"/>
        </w:rPr>
      </w:pPr>
      <w:r>
        <w:br w:type="page"/>
      </w:r>
    </w:p>
    <w:p w14:paraId="5AE77429" w14:textId="77777777" w:rsidR="00F64776" w:rsidRDefault="00F64776" w:rsidP="00F64776">
      <w:pPr>
        <w:pStyle w:val="TtuloResolucin"/>
      </w:pPr>
      <w:bookmarkStart w:id="214" w:name="AUTO_2023_429"/>
      <w:r>
        <w:t>AUTO 429/2023, de 11 de septiembre de 2023</w:t>
      </w:r>
    </w:p>
    <w:bookmarkEnd w:id="214"/>
    <w:p w14:paraId="0149EADD" w14:textId="77777777" w:rsidR="00F64776" w:rsidRDefault="00F64776" w:rsidP="00F64776">
      <w:pPr>
        <w:pStyle w:val="TtuloResolucin"/>
      </w:pPr>
      <w:r>
        <w:t>Sala Primera</w:t>
      </w:r>
    </w:p>
    <w:p w14:paraId="2657C202" w14:textId="77777777" w:rsidR="00F64776" w:rsidRDefault="00F64776" w:rsidP="00F64776">
      <w:pPr>
        <w:pStyle w:val="TextoNormalCentrado"/>
      </w:pPr>
      <w:r>
        <w:t>ECLI:ES:TC:2023:429A</w:t>
      </w:r>
    </w:p>
    <w:p w14:paraId="6FEDD08C" w14:textId="11668DBA" w:rsidR="00F64776" w:rsidRDefault="00F64776" w:rsidP="00F64776">
      <w:pPr>
        <w:pStyle w:val="TextoNormalCentrado"/>
      </w:pPr>
    </w:p>
    <w:p w14:paraId="69019917" w14:textId="77777777" w:rsidR="00F64776" w:rsidRDefault="00F64776" w:rsidP="00F64776">
      <w:pPr>
        <w:pStyle w:val="SntesisDescriptiva"/>
      </w:pPr>
      <w:r>
        <w:t>Excms. Srs. don Cándido Conde-Pumpido Tourón, don Ricardo Enríquez Sancho, doña Concepción Espejel Jorquera, doña María Luisa Segoviano Astaburuaga y don Juan Carlos Campo Moreno.</w:t>
      </w:r>
    </w:p>
    <w:p w14:paraId="7069FD0D" w14:textId="2D1DBDA8" w:rsidR="00F64776" w:rsidRDefault="00F64776" w:rsidP="00F64776">
      <w:pPr>
        <w:pStyle w:val="SntesisDescriptiva"/>
      </w:pPr>
    </w:p>
    <w:p w14:paraId="39658659" w14:textId="77777777" w:rsidR="00F64776" w:rsidRDefault="00F64776" w:rsidP="00F64776">
      <w:pPr>
        <w:pStyle w:val="SntesisDescriptiva"/>
      </w:pPr>
      <w:r>
        <w:t>Deniega la suspensión en el recurso de amparo 5505-2022, promovido por doña L.D.D., en procedimiento de jurisdicción voluntaria.</w:t>
      </w:r>
    </w:p>
    <w:p w14:paraId="7CDABC73" w14:textId="6E7C80C9" w:rsidR="00F64776" w:rsidRDefault="00F64776" w:rsidP="00F64776">
      <w:pPr>
        <w:pStyle w:val="SntesisDescriptiva"/>
      </w:pPr>
    </w:p>
    <w:p w14:paraId="526431CC" w14:textId="77777777" w:rsidR="00F64776" w:rsidRDefault="00F64776" w:rsidP="00F64776">
      <w:pPr>
        <w:pStyle w:val="SntesisDescriptiva"/>
      </w:pPr>
    </w:p>
    <w:p w14:paraId="25B03CEE" w14:textId="77777777" w:rsidR="00F64776" w:rsidRDefault="00F64776" w:rsidP="00F64776">
      <w:pPr>
        <w:pStyle w:val="SntesisDescriptiva"/>
      </w:pPr>
    </w:p>
    <w:p w14:paraId="7A29B30E" w14:textId="77777777" w:rsidR="00F64776" w:rsidRDefault="00F64776" w:rsidP="00F64776">
      <w:pPr>
        <w:pStyle w:val="TextoNormalNegritaCentrado"/>
      </w:pPr>
      <w:r>
        <w:t>AUTO</w:t>
      </w:r>
    </w:p>
    <w:p w14:paraId="39B8670F" w14:textId="7256773F" w:rsidR="00F64776" w:rsidRDefault="00F64776" w:rsidP="00F64776">
      <w:pPr>
        <w:pStyle w:val="TextoNormalNegritaCentrado"/>
      </w:pPr>
    </w:p>
    <w:p w14:paraId="4B620002" w14:textId="77777777" w:rsidR="00F64776" w:rsidRDefault="00F64776" w:rsidP="00F64776">
      <w:pPr>
        <w:pStyle w:val="TextoNormalNegritaCentrado"/>
        <w:keepNext/>
      </w:pPr>
      <w:r>
        <w:t>I. Antecedentes</w:t>
      </w:r>
    </w:p>
    <w:p w14:paraId="2DABB5D5" w14:textId="2F6B888B" w:rsidR="00F64776" w:rsidRDefault="00F64776" w:rsidP="00F64776">
      <w:pPr>
        <w:pStyle w:val="TextoNormalNegritaCentrado"/>
        <w:keepNext/>
      </w:pPr>
    </w:p>
    <w:p w14:paraId="01A8CA90" w14:textId="77777777" w:rsidR="00F64776" w:rsidRDefault="00F64776" w:rsidP="00F64776">
      <w:pPr>
        <w:pStyle w:val="TextoNormal"/>
      </w:pPr>
      <w:r w:rsidRPr="00F64776">
        <w:rPr>
          <w:rStyle w:val="NumeroAFNegritaCaracter"/>
        </w:rPr>
        <w:t>1</w:t>
      </w:r>
      <w:r>
        <w:t>. Mediante escrito de 26 de julio de 2022, la procuradora de los tribunales doña María Cristina Sosa González, en nombre y representación de doña L.D.D., abogada, interpuso recurso de amparo contra el auto de 11 de marzo de 2022, dictado en el rollo de apelación núm. 1576-2021, por el que la Sección Tercera de la Audiencia Provincial de Las Palmas (Gran Canaria) ratificó el auto de 29 de septiembre de 2021, dictado por el Juzgado de Primera Instancia núm. 15 de Las Palmas de Gran Canaria en el procedimiento de jurisdicción voluntaria núm. 464-2021, instado por el Ministerio Fiscal en solicitud de medidas de protección en relación al ejercicio inadecuado de la potestad de guarda de personas con discapacidad. En dicha resolución la magistrada-juez estimó la petición de que el Servicio Canario de Salud administrara a la madre de la recurrente la pauta completa de “la vacuna […] contra el Sars-Covid 19, autorizada por la Agencia europea de medicamentos y la Agencia española del medicamento y productos sanitarios”.</w:t>
      </w:r>
    </w:p>
    <w:p w14:paraId="2C1F6F96" w14:textId="77777777" w:rsidR="00F64776" w:rsidRDefault="00F64776" w:rsidP="00F64776">
      <w:pPr>
        <w:pStyle w:val="TextoNormal"/>
      </w:pPr>
    </w:p>
    <w:p w14:paraId="06841D1C" w14:textId="77777777" w:rsidR="00F64776" w:rsidRDefault="00F64776" w:rsidP="00F64776">
      <w:pPr>
        <w:pStyle w:val="TextoNormal"/>
      </w:pPr>
      <w:r>
        <w:t>En el recurso de amparo la demandante alega: (i) la vulneración del derecho a la tutela judicial efectiva (art. 24.1 CE), en relación con el derecho a la igualdad ante la ley y no discriminación (art. 14 CE); (ii) del derecho a la integridad física y moral (art. 15 CE), y (iii) del derecho a la intimidad (art. 18 CE). Se afirma que no concurren los requisitos exigidos por la doctrina constitucional para la administración forzosa de un medicamento; ni ha existido prescripción mediante receta médica, ni consentimiento informado de la madre de la ahora demandante de amparo, conforme a lo exigido en la Ley 41/2002, de autonomía del paciente, considerando que la administración de la vacuna puede producir efectos adversos sobre la salud de su madre, que no se verían compensados por los supuestos beneficios que, en las resoluciones cuestionadas, se aducen en favor de la vacunación.</w:t>
      </w:r>
    </w:p>
    <w:p w14:paraId="3C5C48A0" w14:textId="77777777" w:rsidR="00F64776" w:rsidRDefault="00F64776" w:rsidP="00F64776">
      <w:pPr>
        <w:pStyle w:val="TextoNormal"/>
      </w:pPr>
    </w:p>
    <w:p w14:paraId="70EA70F2" w14:textId="29C683D5" w:rsidR="00F64776" w:rsidRDefault="00F64776" w:rsidP="00F64776">
      <w:pPr>
        <w:pStyle w:val="TextoNormal"/>
      </w:pPr>
      <w:r>
        <w:t xml:space="preserve">Mediante otrosí, </w:t>
      </w:r>
      <w:r w:rsidRPr="00F64776">
        <w:rPr>
          <w:i/>
        </w:rPr>
        <w:t>ex</w:t>
      </w:r>
      <w:r>
        <w:t xml:space="preserve"> art. 56.2 de la Ley Orgánica del Tribunal Constitucional (LOTC), la recurrente solicitó la suspensión de la ejecución de las resoluciones recurridas en amparo, sin expresar argumentación adicional alguna.</w:t>
      </w:r>
    </w:p>
    <w:p w14:paraId="32F1FE27" w14:textId="77777777" w:rsidR="00F64776" w:rsidRDefault="00F64776" w:rsidP="00F64776">
      <w:pPr>
        <w:pStyle w:val="TextoNormal"/>
      </w:pPr>
    </w:p>
    <w:p w14:paraId="61711A68" w14:textId="16C6ED5B" w:rsidR="00F64776" w:rsidRDefault="00F64776" w:rsidP="00F64776">
      <w:pPr>
        <w:pStyle w:val="TextoNormal"/>
      </w:pPr>
      <w:r w:rsidRPr="00F64776">
        <w:rPr>
          <w:rStyle w:val="NumeroAFNegritaCaracter"/>
        </w:rPr>
        <w:t>2</w:t>
      </w:r>
      <w:r>
        <w:t>. En virtud del acuerdo adoptado por el Pleno del Tribunal Constitucional el día 17 de enero de 2023, publicado en el “Boletín Oficial del Estado” del siguiente día 19, tras la renovación parcial de este tribunal, el presente recurso de amparo, competencia inicial de la Sección Primera, fue turnado a la Sección Segunda de la Sala Primera, en la que ha pasado a integrarse el magistrado ponente, lo que se puso en conocimiento de las partes por diligencia de ordenación de 24 de enero de 2023.</w:t>
      </w:r>
    </w:p>
    <w:p w14:paraId="715FECC1" w14:textId="77777777" w:rsidR="00F64776" w:rsidRDefault="00F64776" w:rsidP="00F64776">
      <w:pPr>
        <w:pStyle w:val="TextoNormal"/>
      </w:pPr>
    </w:p>
    <w:p w14:paraId="1A02331B" w14:textId="5CA2C78A" w:rsidR="00F64776" w:rsidRDefault="00F64776" w:rsidP="00F64776">
      <w:pPr>
        <w:pStyle w:val="TextoNormal"/>
      </w:pPr>
      <w:r w:rsidRPr="00F64776">
        <w:rPr>
          <w:rStyle w:val="NumeroAFNegritaCaracter"/>
        </w:rPr>
        <w:t>3</w:t>
      </w:r>
      <w:r>
        <w:t>. Por providencia de 27 de marzo de 2023, la Sección Segunda acordó admitir a trámite el recurso de amparo apreciando que concurre en el mismo una especial trascendencia constitucional (art. 50.1 LOTC) porque el recurso plantea un problema o afecta a una faceta de un derecho fundamental sobre el que no hay doctrina de este tribunal [STC 155/2009, FJ 2 a)] y, asimismo, porque el asunto suscitado trasciende del caso concreto porque plantea una cuestión jurídica de relevante y general repercusión social o económica [STC 155/2009, FJ 2 g)]. En la misma fecha, se dictó también providencia en la que se acordó formar la oportuna pieza separada para la tramitación del incidente de suspensión, y se concedió un plazo común de tres días a la recurrente y al Ministerio Fiscal para que alegaran lo que estimasen pertinente sobre la petición de suspensión interesada (art. 56 LOTC).</w:t>
      </w:r>
    </w:p>
    <w:p w14:paraId="57143339" w14:textId="77777777" w:rsidR="00F64776" w:rsidRDefault="00F64776" w:rsidP="00F64776">
      <w:pPr>
        <w:pStyle w:val="TextoNormal"/>
      </w:pPr>
    </w:p>
    <w:p w14:paraId="786F7B6B" w14:textId="157178B4" w:rsidR="00F64776" w:rsidRDefault="00F64776" w:rsidP="00F64776">
      <w:pPr>
        <w:pStyle w:val="TextoNormal"/>
      </w:pPr>
      <w:r w:rsidRPr="00F64776">
        <w:rPr>
          <w:rStyle w:val="NumeroAFNegritaCaracter"/>
        </w:rPr>
        <w:t>4</w:t>
      </w:r>
      <w:r>
        <w:t>. Mediante escrito de 30 de marzo de 2023, la representación procesal de la recurrente reiteró su solicitud de suspensión de la autorización judicial de vacunación. Considera que la ejecución podría acarrear a su madre perjuicios irreparables que harían perder su finalidad al recurso de amparo. Añade que la suspensión solicitada no ocasiona perturbación grave a un interés constitucionalmente protegido, ni a los derechos fundamentales o libertades de otra persona; y que han de tomarse en consideración los datos que avalan la escasa efectividad de la vacuna frente al Covid-19, siendo más efectiva la inmunidad natural, así como los graves daños que está causando en los ciudadanos esta terapia génica, por lo que apela, en este caso, a los principios de cautela y prudencia.</w:t>
      </w:r>
    </w:p>
    <w:p w14:paraId="01DCD2A8" w14:textId="77777777" w:rsidR="00F64776" w:rsidRDefault="00F64776" w:rsidP="00F64776">
      <w:pPr>
        <w:pStyle w:val="TextoNormal"/>
      </w:pPr>
    </w:p>
    <w:p w14:paraId="4473590B" w14:textId="5DDF20CB" w:rsidR="00F64776" w:rsidRDefault="00F64776" w:rsidP="00F64776">
      <w:pPr>
        <w:pStyle w:val="TextoNormal"/>
      </w:pPr>
      <w:r w:rsidRPr="00F64776">
        <w:rPr>
          <w:rStyle w:val="NumeroAFNegritaCaracter"/>
        </w:rPr>
        <w:t>5</w:t>
      </w:r>
      <w:r>
        <w:t>. El 17 de abril siguiente, el fiscal interesó que, antes de emitir sus alegaciones y resolver sobre la tutela cautelar solicitada se librara oficio a la Consejería de Sanidad del Gobierno autonómico de la Comunidad Autónoma de Canarias a fin de conocer si a la madre de la recurrente le había sido ya administrada la vacuna. Mediante diligencia de ordenación de 20 de abril de 2023 se acordó solicitar la información señalada, así como la suspensión del plazo para formular alegaciones hasta tanto la misma se recibiera. El servicio de epidemiología y prevención del Servicio Canario de la Salud comunicó a este tribunal, el mismo día, que la administración de la vacuna había sido ofrecida a la afectada, pero no había sido llevada a efecto ante la oposición de esta “o sus tutores”.</w:t>
      </w:r>
    </w:p>
    <w:p w14:paraId="365F2C5A" w14:textId="77777777" w:rsidR="00F64776" w:rsidRDefault="00F64776" w:rsidP="00F64776">
      <w:pPr>
        <w:pStyle w:val="TextoNormal"/>
      </w:pPr>
    </w:p>
    <w:p w14:paraId="06376274" w14:textId="77777777" w:rsidR="00F64776" w:rsidRDefault="00F64776" w:rsidP="00F64776">
      <w:pPr>
        <w:pStyle w:val="TextoNormal"/>
      </w:pPr>
      <w:r w:rsidRPr="00F64776">
        <w:rPr>
          <w:rStyle w:val="NumeroAFNegritaCaracter"/>
        </w:rPr>
        <w:t>6</w:t>
      </w:r>
      <w:r>
        <w:t>. La suspensión del plazo para formular alegaciones fue alzada mediante providencia de 19 de mayo de 2023.</w:t>
      </w:r>
    </w:p>
    <w:p w14:paraId="50D7BD1E" w14:textId="77777777" w:rsidR="00F64776" w:rsidRDefault="00F64776" w:rsidP="00F64776">
      <w:pPr>
        <w:pStyle w:val="TextoNormal"/>
      </w:pPr>
    </w:p>
    <w:p w14:paraId="24CEA1E4" w14:textId="353EA8DD" w:rsidR="00F64776" w:rsidRDefault="00F64776" w:rsidP="00F64776">
      <w:pPr>
        <w:pStyle w:val="TextoNormal"/>
      </w:pPr>
      <w:r>
        <w:t>El Ministerio Fiscal, en escrito registrado el 9 de junio de 2023, ha solicitado la desestimación de la pretensión cautelar ejercitada en la demanda. En sus alegaciones, tras exponer la doctrina general del Tribunal Constitucional sobre la posibilidad de obtener tutela cautelar mediante la suspensión de la ejecución de las resoluciones cuestionadas en amparo, considera que, a la vista del fundamento impugnatorio de la demanda, no procede estimar la petición de suspensión por cuanto significaría inevitablemente analizar y pronunciarse sobre el debate de fondo de la pretensión de amparo para identificar los perjuicios que se invocan y pronunciarse sobre si los mismos son o no prevalentes o irreparables, lo que supondría una anticipación del fallo, pronunciamiento este que viene vedado por la jurisprudencia constitucional (ATC 139/2022, del Pleno, de 26 de octubre).</w:t>
      </w:r>
    </w:p>
    <w:p w14:paraId="3522250F" w14:textId="77777777" w:rsidR="00F64776" w:rsidRDefault="00F64776" w:rsidP="00F64776">
      <w:pPr>
        <w:pStyle w:val="TextoNormal"/>
      </w:pPr>
    </w:p>
    <w:p w14:paraId="7A88E43D" w14:textId="77777777" w:rsidR="00F64776" w:rsidRDefault="00F64776" w:rsidP="00F64776">
      <w:pPr>
        <w:pStyle w:val="TextoNormalNegritaCentrado"/>
        <w:keepNext/>
      </w:pPr>
      <w:r>
        <w:t>II. Fundamentos jurídicos</w:t>
      </w:r>
    </w:p>
    <w:p w14:paraId="3228700F" w14:textId="545FCEAF" w:rsidR="00F64776" w:rsidRDefault="00F64776" w:rsidP="00F64776">
      <w:pPr>
        <w:pStyle w:val="TextoNormalNegritaCentrado"/>
        <w:keepNext/>
      </w:pPr>
    </w:p>
    <w:p w14:paraId="3226A481" w14:textId="77777777" w:rsidR="00F64776" w:rsidRDefault="00F64776" w:rsidP="00F64776">
      <w:pPr>
        <w:pStyle w:val="TextoNormal"/>
      </w:pPr>
      <w:r w:rsidRPr="00F64776">
        <w:rPr>
          <w:rStyle w:val="NumeroAFNegritaCaracter"/>
        </w:rPr>
        <w:t>1</w:t>
      </w:r>
      <w:r>
        <w:t>. El objeto de esta pieza de suspensión consiste en determinar si es procedente la suspensión cautelar instada por la parte recurrente en amparo, que se refiere al auto de 29 de septiembre de 2021, dictado por el Juzgado de Primera Instancia núm. 15 de Las Palmas de Gran Canaria en el procedimiento de jurisdicción voluntaria núm. 464-2021, instado por el Ministerio Fiscal en solicitud de medidas de protección en relación al ejercicio inadecuado de la potestad de guarda de personas con discapacidad. En dicha resolución la magistrada-juez estimó la petición de que el Servicio Canario de Salud administrara a la madre de la recurrente la pauta completa de “la vacuna […] contra el Sars-Covid 19, autorizada por la Agencia europea de medicamentos y la Agencia española del medicamento y productos sanitarios”. Dicha decisión judicial fue ratificada en apelación mediante el auto de 11 de marzo de 2022, dictado por la Sección Tercera de la Audiencia Provincial de Las Palmas (Gran Canaria) en el rollo de apelación núm. 1576-2021.</w:t>
      </w:r>
    </w:p>
    <w:p w14:paraId="7BAD97E2" w14:textId="77777777" w:rsidR="00F64776" w:rsidRDefault="00F64776" w:rsidP="00F64776">
      <w:pPr>
        <w:pStyle w:val="TextoNormal"/>
      </w:pPr>
    </w:p>
    <w:p w14:paraId="5E07896D" w14:textId="77777777" w:rsidR="00F64776" w:rsidRDefault="00F64776" w:rsidP="00F64776">
      <w:pPr>
        <w:pStyle w:val="TextoNormal"/>
      </w:pPr>
      <w:r>
        <w:t>El Ministerio Fiscal ha solicitado la desestimación de la pretensión cautelar, por considerar que inevitablemente significaría analizar y pronunciarse sobre el debate de fondo de la pretensión de amparo planteada.</w:t>
      </w:r>
    </w:p>
    <w:p w14:paraId="68D4AF69" w14:textId="77777777" w:rsidR="00F64776" w:rsidRDefault="00F64776" w:rsidP="00F64776">
      <w:pPr>
        <w:pStyle w:val="TextoNormal"/>
      </w:pPr>
    </w:p>
    <w:p w14:paraId="3733C18A" w14:textId="38645FBB" w:rsidR="00F64776" w:rsidRDefault="00F64776" w:rsidP="00F64776">
      <w:pPr>
        <w:pStyle w:val="TextoNormal"/>
      </w:pPr>
      <w:r>
        <w:t>Al amparo de lo establecido en el art. 86.3 LOTC y en el acuerdo del Pleno del Tribunal Constitucional de 23 de julio de 2015, por el que se regula la exclusión de los datos de identidad personal en la publicación de las resoluciones jurisdiccionales (“Boletín Oficial del Estado” núm. 178, de 27 de julio de 2015), en atención a que el objeto de controversia de este proceso constitucional versa sobre una persona que requiere un especial deber de tutela en atención a su capacidad de obrar, en la presente resolución se identifican por sus iniciales a los intervinientes con la finalidad de preservar de modo efectivo el anonimato de la persona concernida.</w:t>
      </w:r>
    </w:p>
    <w:p w14:paraId="4B87FDAE" w14:textId="77777777" w:rsidR="00F64776" w:rsidRDefault="00F64776" w:rsidP="00F64776">
      <w:pPr>
        <w:pStyle w:val="TextoNormal"/>
      </w:pPr>
    </w:p>
    <w:p w14:paraId="3DD5829B" w14:textId="77777777" w:rsidR="00F64776" w:rsidRDefault="00F64776" w:rsidP="00F64776">
      <w:pPr>
        <w:pStyle w:val="TextoNormal"/>
      </w:pPr>
      <w:r w:rsidRPr="00F64776">
        <w:rPr>
          <w:rStyle w:val="NumeroAFNegritaCaracter"/>
        </w:rPr>
        <w:t>2</w:t>
      </w:r>
      <w:r>
        <w:t>. En cuanto a la posibilidad de adoptar decisiones cautelares en el proceso de amparo, el art. 56.2 LOTC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 Por esta razón, la pretensión cautelar analizada se configura como una medida de carácter excepcional y de aplicación restrictiva (por todos, AATC 117/2015, de 6 de julio, FJ 1, y 59/2017, de 24 de abril, FJ 1).</w:t>
      </w:r>
    </w:p>
    <w:p w14:paraId="7BF12E6D" w14:textId="77777777" w:rsidR="00F64776" w:rsidRDefault="00F64776" w:rsidP="00F64776">
      <w:pPr>
        <w:pStyle w:val="TextoNormal"/>
      </w:pPr>
    </w:p>
    <w:p w14:paraId="668B8AE6" w14:textId="77777777" w:rsidR="00F64776" w:rsidRDefault="00F64776" w:rsidP="00F64776">
      <w:pPr>
        <w:pStyle w:val="TextoNormal"/>
      </w:pPr>
      <w:r>
        <w:t>Adicionalmente, para otorgar la tutela cautelar que prevé el art. 56 LOTC este tribunal viene exigiendo a quien la solicita que, ofreciendo un principio razonable de prueba, alegue o justifique la irreparabilidad o dificultad de la reparación de los perjuicios que se producirían de seguirse la ejecución del acto impugnado. Tal exigencia tiene por objeto mostrar que la ejecución del acto recurrido puede privar a la demanda de amparo de su finalidad, provocando que el restablecimiento del recurrente en el derecho constitucional vulnerado sea tardío y convirtiendo en meramente ilusorio y nominal el amparo [AATC 51/1989, de 30 de enero; 290/1995, de 23 de octubre; 370/1996, de 16 de diciembre; 283/1999, de 29 de noviembre; 90/2014, de 27 de marzo, FJ 1; 190/2015, de 5 de noviembre, FJ 2 a); 59/2017, de 24 de abril, FJ 1, y 147/2017, de 13 de noviembre, FJ 1].</w:t>
      </w:r>
    </w:p>
    <w:p w14:paraId="7FF1B94A" w14:textId="77777777" w:rsidR="00F64776" w:rsidRDefault="00F64776" w:rsidP="00F64776">
      <w:pPr>
        <w:pStyle w:val="TextoNormal"/>
      </w:pPr>
    </w:p>
    <w:p w14:paraId="3628FFCF" w14:textId="516C7D01" w:rsidR="00F64776" w:rsidRDefault="00F64776" w:rsidP="00F64776">
      <w:pPr>
        <w:pStyle w:val="TextoNormal"/>
      </w:pPr>
      <w:r>
        <w:t>El Tribunal ha declarado asimismo en los AATC 71/2020, de 14 de julio, FJ 3; 111/2020, de 21 de septiembre, FJ 2, y 325/2023, de 19 de junio, FJ 4, así como en las resoluciones citadas en ellos, que el otorgamiento de la medida cautelar no puede prejuzgar cuál haya de ser el sentido de la futura sentencia de amparo que le ponga fin, por lo que, en este incidente procesal no cabe efectuar el análisis de la cuestión de fondo planteada en la demanda, ni cabe cuestionar las bases fácticas que sustentan el pronunciamiento judicial, ni tampoco anticipar indebidamente lo que debe ser resuelto en la oportuna sentencia</w:t>
      </w:r>
    </w:p>
    <w:p w14:paraId="26F6F98C" w14:textId="77777777" w:rsidR="00F64776" w:rsidRDefault="00F64776" w:rsidP="00F64776">
      <w:pPr>
        <w:pStyle w:val="TextoNormal"/>
      </w:pPr>
    </w:p>
    <w:p w14:paraId="3F52EBAF" w14:textId="77777777" w:rsidR="00F64776" w:rsidRDefault="00F64776" w:rsidP="00F64776">
      <w:pPr>
        <w:pStyle w:val="TextoNormal"/>
      </w:pPr>
      <w:r w:rsidRPr="00F64776">
        <w:rPr>
          <w:rStyle w:val="NumeroAFNegritaCaracter"/>
        </w:rPr>
        <w:t>3</w:t>
      </w:r>
      <w:r>
        <w:t>. La demandante considera que, la inoculación a su madre de la vacuna podría acarrear perjuicios irreparables a su salud, de mayor entidad que los beneficios supuestamente asociados a la misma. Entiende que la experiencia de su aplicación durante la pandemia avala la escasa efectividad de la vacuna frente a la Covid-19, así como los graves daños que está causando en los ciudadanos esta terapia génica, por lo que considera más efectiva la inmunidad natural.</w:t>
      </w:r>
    </w:p>
    <w:p w14:paraId="066A2456" w14:textId="77777777" w:rsidR="00F64776" w:rsidRDefault="00F64776" w:rsidP="00F64776">
      <w:pPr>
        <w:pStyle w:val="TextoNormal"/>
      </w:pPr>
    </w:p>
    <w:p w14:paraId="062CAE96" w14:textId="77777777" w:rsidR="00F64776" w:rsidRDefault="00F64776" w:rsidP="00F64776">
      <w:pPr>
        <w:pStyle w:val="TextoNormal"/>
      </w:pPr>
      <w:r>
        <w:t>De esta manera, la suspensión cautelar que se pretende se apoya, en esencia, en los supuestos perjuicios irreparables o de difícil reparación para la integridad física de la madre de la recurrente que pueden resultar de la administración de la vacuna. Pero este planteamiento se identifica plenamente con lo que constituye el fondo del recurso de amparo que, en su caso, será abordado al dictar sentencia, sin que proceda en este incidente cautelar analizar y anticipar el debate de fondo de la pretensión de amparo, centrado en si la decisión judicial cuestionada de autorizar la administración de la vacuna, además de vulnerar el derecho fundamental del recurrente a la tutela judicial efectiva, por su motivación, lesiona en las circunstancias actuales el derecho a la integridad física de la persona adulta afectada.</w:t>
      </w:r>
    </w:p>
    <w:p w14:paraId="5843067A" w14:textId="77777777" w:rsidR="00F64776" w:rsidRDefault="00F64776" w:rsidP="00F64776">
      <w:pPr>
        <w:pStyle w:val="TextoNormal"/>
      </w:pPr>
    </w:p>
    <w:p w14:paraId="2CCB5630" w14:textId="383BC5EA" w:rsidR="00F64776" w:rsidRDefault="00F64776" w:rsidP="00F64776">
      <w:pPr>
        <w:pStyle w:val="TextoNormal"/>
      </w:pPr>
      <w:r>
        <w:t>La justificación de la medida cautelar solicitada expresa una diferencia de criterio sobre cómo mejor proteger la salud de la persona a que se refiere la autorización y sobre la conveniencia o utilidad de la administración de la vacuna debatida, por lo que cualquier pronunciamiento cautelar que este tribunal pudiera hacer, a favor o en contra de la suspensión solicitada, debería analizar y anticipar el debate de fondo de la pretensión de amparo, dado que la decisión judicial cuestionada se apoya en considerar que la vacuna sometida a debate no supone un grave riesgo para la vida o salud de la persona afectada [ATC 139/2022, de 26 de octubre, FJ 3 b)]. Esa cuestión se integra en lo que constituye el fondo del recurso de amparo; por lo que, en todo caso, deberá ser abordada al dictar sentencia y no en este momento procesal previo.</w:t>
      </w:r>
    </w:p>
    <w:p w14:paraId="5923575A" w14:textId="77777777" w:rsidR="00F64776" w:rsidRDefault="00F64776" w:rsidP="00F64776">
      <w:pPr>
        <w:pStyle w:val="TextoNormal"/>
      </w:pPr>
    </w:p>
    <w:p w14:paraId="5173E7CF" w14:textId="77777777" w:rsidR="00F64776" w:rsidRDefault="00F64776" w:rsidP="00F64776">
      <w:pPr>
        <w:pStyle w:val="TextoNormal"/>
      </w:pPr>
      <w:r>
        <w:t>Por lo expuesto, la Sala</w:t>
      </w:r>
    </w:p>
    <w:p w14:paraId="585CF2DB" w14:textId="00DDA0F1" w:rsidR="00F64776" w:rsidRDefault="00F64776" w:rsidP="00F64776">
      <w:pPr>
        <w:pStyle w:val="TextoNormal"/>
      </w:pPr>
    </w:p>
    <w:p w14:paraId="73C6A662" w14:textId="77777777" w:rsidR="00F64776" w:rsidRDefault="00F64776" w:rsidP="00F64776">
      <w:pPr>
        <w:pStyle w:val="TextoNormalCentrado"/>
      </w:pPr>
      <w:r>
        <w:t>ACUERDA</w:t>
      </w:r>
    </w:p>
    <w:p w14:paraId="4B23B54C" w14:textId="33EF0604" w:rsidR="00F64776" w:rsidRDefault="00F64776" w:rsidP="00F64776">
      <w:pPr>
        <w:pStyle w:val="TextoNormalCentrado"/>
      </w:pPr>
    </w:p>
    <w:p w14:paraId="068932F4" w14:textId="088E4599" w:rsidR="00F64776" w:rsidRDefault="00F64776" w:rsidP="00F64776">
      <w:pPr>
        <w:pStyle w:val="TextoNormal"/>
      </w:pPr>
      <w:r>
        <w:t>Denegar la suspensión cautelar de la ejecución del auto de 29 de septiembre de 2021, dictado por el Juzgado de Primera Instancia núm. 15 de Las Palmas de Gran Canaria en el procedimiento de jurisdicción voluntaria núm. 464-2021, después ratificado en apelación mediante el auto de 11 de marzo de 2022, dictado por la Sección Tercera de la Audiencia Provincial de Las Palmas (Gran Canaria) en el rollo núm. 1576-2021.</w:t>
      </w:r>
    </w:p>
    <w:p w14:paraId="7A38B5E3" w14:textId="77777777" w:rsidR="00F64776" w:rsidRDefault="00F64776" w:rsidP="00F64776">
      <w:pPr>
        <w:pStyle w:val="TextoNormal"/>
      </w:pPr>
    </w:p>
    <w:p w14:paraId="07A56AEA" w14:textId="77777777" w:rsidR="00F64776" w:rsidRDefault="00F64776" w:rsidP="00F64776">
      <w:pPr>
        <w:pStyle w:val="TextoNormal"/>
      </w:pPr>
      <w:r>
        <w:t>Madrid, a once de septiembre de dos mil veintitrés.</w:t>
      </w:r>
    </w:p>
    <w:p w14:paraId="48A2957F" w14:textId="204DF4E4" w:rsidR="00F64776" w:rsidRDefault="00F64776">
      <w:pPr>
        <w:spacing w:after="160" w:line="278" w:lineRule="auto"/>
        <w:rPr>
          <w:rFonts w:ascii="Times New Roman" w:eastAsia="Times New Roman" w:hAnsi="Times New Roman" w:cs="Times New Roman"/>
          <w:sz w:val="24"/>
          <w:szCs w:val="24"/>
          <w:lang w:eastAsia="es-ES"/>
        </w:rPr>
      </w:pPr>
      <w:r>
        <w:br w:type="page"/>
      </w:r>
    </w:p>
    <w:p w14:paraId="2A09B45D" w14:textId="77777777" w:rsidR="00F64776" w:rsidRDefault="00F64776" w:rsidP="00F64776">
      <w:pPr>
        <w:pStyle w:val="TtuloResolucin"/>
      </w:pPr>
      <w:bookmarkStart w:id="215" w:name="AUTO_2023_430"/>
      <w:r>
        <w:t>AUTO 430/2023, de 11 de septiembre de 2023</w:t>
      </w:r>
    </w:p>
    <w:bookmarkEnd w:id="215"/>
    <w:p w14:paraId="7ABE945E" w14:textId="77777777" w:rsidR="00F64776" w:rsidRDefault="00F64776" w:rsidP="00F64776">
      <w:pPr>
        <w:pStyle w:val="TtuloResolucin"/>
      </w:pPr>
      <w:r>
        <w:t>Sección Cuarta</w:t>
      </w:r>
    </w:p>
    <w:p w14:paraId="7E30C1AB" w14:textId="77777777" w:rsidR="00F64776" w:rsidRDefault="00F64776" w:rsidP="00F64776">
      <w:pPr>
        <w:pStyle w:val="TextoNormalCentrado"/>
      </w:pPr>
      <w:r>
        <w:t>ECLI:ES:TC:2023:430A</w:t>
      </w:r>
    </w:p>
    <w:p w14:paraId="76CE0F71" w14:textId="5A33542A" w:rsidR="00F64776" w:rsidRDefault="00F64776" w:rsidP="00F64776">
      <w:pPr>
        <w:pStyle w:val="TextoNormalCentrado"/>
      </w:pPr>
    </w:p>
    <w:p w14:paraId="0DCCBD17" w14:textId="77777777" w:rsidR="00F64776" w:rsidRDefault="00F64776" w:rsidP="00F64776">
      <w:pPr>
        <w:pStyle w:val="SntesisDescriptiva"/>
      </w:pPr>
      <w:r>
        <w:t>Excms. Srs. don Ramón Sáez Valcárcel y don Enrique Arnaldo Alcubilla.</w:t>
      </w:r>
    </w:p>
    <w:p w14:paraId="1C582FEC" w14:textId="7E3336DD" w:rsidR="00F64776" w:rsidRDefault="00F64776" w:rsidP="00F64776">
      <w:pPr>
        <w:pStyle w:val="SntesisDescriptiva"/>
      </w:pPr>
    </w:p>
    <w:p w14:paraId="46654108" w14:textId="77777777" w:rsidR="00F64776" w:rsidRDefault="00F64776" w:rsidP="00F64776">
      <w:pPr>
        <w:pStyle w:val="SntesisDescriptiva"/>
      </w:pPr>
      <w:r>
        <w:t>Acepta una abstención en el recurso de amparo 8550-2022, promovido en proceso contencioso-administrativo.</w:t>
      </w:r>
    </w:p>
    <w:p w14:paraId="02C39DE9" w14:textId="258DA7A6" w:rsidR="00F64776" w:rsidRDefault="00F64776" w:rsidP="00F64776">
      <w:pPr>
        <w:pStyle w:val="SntesisDescriptiva"/>
      </w:pPr>
    </w:p>
    <w:p w14:paraId="099760ED" w14:textId="77777777" w:rsidR="00F64776" w:rsidRDefault="00F64776" w:rsidP="00F64776">
      <w:pPr>
        <w:pStyle w:val="SntesisDescriptiva"/>
      </w:pPr>
    </w:p>
    <w:p w14:paraId="0D9C734D" w14:textId="77777777" w:rsidR="00F64776" w:rsidRDefault="00F64776" w:rsidP="00F64776">
      <w:pPr>
        <w:pStyle w:val="SntesisDescriptiva"/>
      </w:pPr>
    </w:p>
    <w:p w14:paraId="2E1C8701" w14:textId="77777777" w:rsidR="00F64776" w:rsidRDefault="00F64776" w:rsidP="00F64776">
      <w:pPr>
        <w:pStyle w:val="TextoNormalNegritaCentrado"/>
      </w:pPr>
      <w:r>
        <w:t>AUTO</w:t>
      </w:r>
    </w:p>
    <w:p w14:paraId="0AE74D89" w14:textId="66964687" w:rsidR="00F64776" w:rsidRDefault="00F64776" w:rsidP="00F64776">
      <w:pPr>
        <w:pStyle w:val="TextoNormalNegritaCentrado"/>
      </w:pPr>
    </w:p>
    <w:p w14:paraId="5FD2B8CF" w14:textId="77777777" w:rsidR="00F64776" w:rsidRDefault="00F64776" w:rsidP="00F64776">
      <w:pPr>
        <w:pStyle w:val="TextoNormalNegritaCentrado"/>
        <w:keepNext/>
      </w:pPr>
      <w:r>
        <w:t>I. Antecedentes</w:t>
      </w:r>
    </w:p>
    <w:p w14:paraId="28125C81" w14:textId="63737815" w:rsidR="00F64776" w:rsidRDefault="00F64776" w:rsidP="00F64776">
      <w:pPr>
        <w:pStyle w:val="TextoNormalNegritaCentrado"/>
        <w:keepNext/>
      </w:pPr>
    </w:p>
    <w:p w14:paraId="06C99EE0" w14:textId="66DF57B2" w:rsidR="00F64776" w:rsidRDefault="00F64776" w:rsidP="00F64776">
      <w:pPr>
        <w:pStyle w:val="TextoNormal"/>
      </w:pPr>
      <w:r w:rsidRPr="00F64776">
        <w:rPr>
          <w:rStyle w:val="NumeroAFNegritaCaracter"/>
        </w:rPr>
        <w:t>1</w:t>
      </w:r>
      <w:r>
        <w:t>. Por escrito registrado en este tribunal el 27 de diciembre de 2022, el procurador de los tribunales don José Ramón García García, en nombre y representación de doña María Encarnación Zalabardo Leiva, interpuso demanda de amparo que fue turnada a la Sección Cuarta de este tribunal para resolver sobre su admisión a trámite con el núm. 8550-2022.</w:t>
      </w:r>
    </w:p>
    <w:p w14:paraId="6B827AAA" w14:textId="77777777" w:rsidR="00F64776" w:rsidRDefault="00F64776" w:rsidP="00F64776">
      <w:pPr>
        <w:pStyle w:val="TextoNormal"/>
      </w:pPr>
    </w:p>
    <w:p w14:paraId="71E4AB44" w14:textId="6A119EED" w:rsidR="00F64776" w:rsidRDefault="00F64776" w:rsidP="00F64776">
      <w:pPr>
        <w:pStyle w:val="TextoNormal"/>
      </w:pPr>
      <w:r w:rsidRPr="00F64776">
        <w:rPr>
          <w:rStyle w:val="NumeroAFNegritaCaracter"/>
        </w:rPr>
        <w:t>2</w:t>
      </w:r>
      <w:r>
        <w:t>. Por escrito de 11 de septiembre de 2023, la magistrada doña María Luisa Balaguer Callejón comunicó a los efectos oportunos, su voluntad de abstenerse en el presente recurso de amparo y todas sus incidencias, por entender que concurría la causa establecida en el artículo 219.13 de la Ley Orgánica del Poder Judicial (LOPJ), supletoria de la Ley Orgánica del Tribunal Constitucional (LOTC) (art. 80), toda vez que intervino en la adopción del dictamen núm. 804/2015, de 2 de diciembre, del Consejo Consultivo de Andalucía, en su condición de consejera.</w:t>
      </w:r>
    </w:p>
    <w:p w14:paraId="5A4A0376" w14:textId="77777777" w:rsidR="00F64776" w:rsidRDefault="00F64776" w:rsidP="00F64776">
      <w:pPr>
        <w:pStyle w:val="TextoNormal"/>
      </w:pPr>
    </w:p>
    <w:p w14:paraId="2BE3A780" w14:textId="77777777" w:rsidR="00F64776" w:rsidRDefault="00F64776" w:rsidP="00F64776">
      <w:pPr>
        <w:pStyle w:val="TextoNormalNegritaCentrado"/>
        <w:keepNext/>
      </w:pPr>
      <w:r>
        <w:t>II. Fundamentos jurídicos</w:t>
      </w:r>
    </w:p>
    <w:p w14:paraId="477CDDFB" w14:textId="1C5CB6F5" w:rsidR="00F64776" w:rsidRDefault="00F64776" w:rsidP="00F64776">
      <w:pPr>
        <w:pStyle w:val="TextoNormalNegritaCentrado"/>
        <w:keepNext/>
      </w:pPr>
    </w:p>
    <w:p w14:paraId="0DFC82E2" w14:textId="4B650C34" w:rsidR="00F64776" w:rsidRDefault="00F64776" w:rsidP="00F64776">
      <w:pPr>
        <w:pStyle w:val="TextoNormal"/>
      </w:pPr>
      <w:r w:rsidRPr="00F64776">
        <w:rPr>
          <w:rStyle w:val="TextoNormalNegritaCaracter"/>
        </w:rPr>
        <w:t xml:space="preserve">Único. </w:t>
      </w:r>
      <w:r>
        <w:t>Vista la comunicación efectuada por doña María Luisa Balaguer Callejón, magistrada de este tribunal, en virtud de lo previsto en los arts. 80 LOTC y 221.4 LOPJ, se estima justificada la causa de abstención formulada, puesto que la mencionada magistrada intervino, en calidad de consejera del Consejo Consultivo de Andalucía, en la adopción del dictamen núm. 804/2015 emitido por dicho órgano, lo que puede integrarse en la causa del art. 219.13 LOPJ.</w:t>
      </w:r>
    </w:p>
    <w:p w14:paraId="414A0215" w14:textId="77777777" w:rsidR="00F64776" w:rsidRDefault="00F64776" w:rsidP="00F64776">
      <w:pPr>
        <w:pStyle w:val="TextoNormal"/>
      </w:pPr>
    </w:p>
    <w:p w14:paraId="581B1AE8" w14:textId="77777777" w:rsidR="00F64776" w:rsidRDefault="00F64776" w:rsidP="00F64776">
      <w:pPr>
        <w:pStyle w:val="TextoNormal"/>
      </w:pPr>
      <w:r>
        <w:t>Por lo expuesto, la Sección</w:t>
      </w:r>
    </w:p>
    <w:p w14:paraId="3297D6B3" w14:textId="0614695F" w:rsidR="00F64776" w:rsidRDefault="00F64776" w:rsidP="00F64776">
      <w:pPr>
        <w:pStyle w:val="TextoNormal"/>
      </w:pPr>
    </w:p>
    <w:p w14:paraId="465DF128" w14:textId="77777777" w:rsidR="00F64776" w:rsidRDefault="00F64776" w:rsidP="00F64776">
      <w:pPr>
        <w:pStyle w:val="TextoNormalCentrado"/>
      </w:pPr>
      <w:r>
        <w:t>ACUERDA</w:t>
      </w:r>
    </w:p>
    <w:p w14:paraId="55A4B266" w14:textId="2A5CD4D6" w:rsidR="00F64776" w:rsidRDefault="00F64776" w:rsidP="00F64776">
      <w:pPr>
        <w:pStyle w:val="TextoNormalCentrado"/>
      </w:pPr>
    </w:p>
    <w:p w14:paraId="1EBB8518" w14:textId="1AEDAAFC" w:rsidR="00F64776" w:rsidRDefault="00F64776" w:rsidP="00F64776">
      <w:pPr>
        <w:pStyle w:val="TextoNormal"/>
      </w:pPr>
      <w:r>
        <w:t>Estimar la causa de abstención formulada por doña María Luisa Balaguer Callejón en el recurso de amparo núm. 8550-2022, apartándola definitivamente del conocimiento del mismo.</w:t>
      </w:r>
    </w:p>
    <w:p w14:paraId="6C5CFF03" w14:textId="77777777" w:rsidR="00F64776" w:rsidRDefault="00F64776" w:rsidP="00F64776">
      <w:pPr>
        <w:pStyle w:val="TextoNormal"/>
      </w:pPr>
    </w:p>
    <w:p w14:paraId="56A41E8C" w14:textId="77777777" w:rsidR="00F64776" w:rsidRDefault="00F64776" w:rsidP="00F64776">
      <w:pPr>
        <w:pStyle w:val="TextoNormal"/>
      </w:pPr>
      <w:r>
        <w:t>Madrid, a once de septiembre de dos mil veintitrés.</w:t>
      </w:r>
    </w:p>
    <w:p w14:paraId="1143FBAC" w14:textId="781ABDA3" w:rsidR="00F64776" w:rsidRDefault="00F64776">
      <w:pPr>
        <w:spacing w:after="160" w:line="278" w:lineRule="auto"/>
        <w:rPr>
          <w:rFonts w:ascii="Times New Roman" w:eastAsia="Times New Roman" w:hAnsi="Times New Roman" w:cs="Times New Roman"/>
          <w:sz w:val="24"/>
          <w:szCs w:val="24"/>
          <w:lang w:eastAsia="es-ES"/>
        </w:rPr>
      </w:pPr>
      <w:r>
        <w:br w:type="page"/>
      </w:r>
    </w:p>
    <w:p w14:paraId="5BC0F01C" w14:textId="77777777" w:rsidR="00F64776" w:rsidRDefault="00F64776" w:rsidP="00F64776">
      <w:pPr>
        <w:pStyle w:val="TtuloResolucin"/>
      </w:pPr>
      <w:bookmarkStart w:id="216" w:name="AUTO_2023_431"/>
      <w:r>
        <w:t>AUTO 431/2023, de 11 de septiembre de 2023</w:t>
      </w:r>
    </w:p>
    <w:bookmarkEnd w:id="216"/>
    <w:p w14:paraId="4CF6E82D" w14:textId="77777777" w:rsidR="00F64776" w:rsidRDefault="00F64776" w:rsidP="00F64776">
      <w:pPr>
        <w:pStyle w:val="TtuloResolucin"/>
      </w:pPr>
      <w:r>
        <w:t>Sala Primera</w:t>
      </w:r>
    </w:p>
    <w:p w14:paraId="10F4656D" w14:textId="77777777" w:rsidR="00F64776" w:rsidRDefault="00F64776" w:rsidP="00F64776">
      <w:pPr>
        <w:pStyle w:val="TextoNormalCentrado"/>
      </w:pPr>
      <w:r>
        <w:t>ECLI:ES:TC:2023:431A</w:t>
      </w:r>
    </w:p>
    <w:p w14:paraId="279EB1DB" w14:textId="0E19DB07" w:rsidR="00F64776" w:rsidRDefault="00F64776" w:rsidP="00F64776">
      <w:pPr>
        <w:pStyle w:val="TextoNormalCentrado"/>
      </w:pPr>
    </w:p>
    <w:p w14:paraId="1EB83DEB" w14:textId="77777777" w:rsidR="00F64776" w:rsidRDefault="00F64776" w:rsidP="00F64776">
      <w:pPr>
        <w:pStyle w:val="SntesisDescriptiva"/>
      </w:pPr>
      <w:r>
        <w:t>Excms. Srs. don Cándido Conde-Pumpido Tourón, don Ricardo Enríquez Sancho, doña Concepción Espejel Jorquera, doña María Luisa Segoviano Astaburuaga y don Juan Carlos Campo Moreno.</w:t>
      </w:r>
    </w:p>
    <w:p w14:paraId="5C8F601C" w14:textId="0366EDAA" w:rsidR="00F64776" w:rsidRDefault="00F64776" w:rsidP="00F64776">
      <w:pPr>
        <w:pStyle w:val="SntesisDescriptiva"/>
      </w:pPr>
    </w:p>
    <w:p w14:paraId="540F5309" w14:textId="77777777" w:rsidR="00F64776" w:rsidRDefault="00F64776" w:rsidP="00F64776">
      <w:pPr>
        <w:pStyle w:val="SntesisDescriptiva"/>
      </w:pPr>
      <w:r>
        <w:t>Deniega la suspensión en el recurso de amparo 572-2023, promovido por doña M.M.Q.C., en procedimiento de jurisdicción voluntaria.</w:t>
      </w:r>
    </w:p>
    <w:p w14:paraId="7ECA67B8" w14:textId="35FA07F0" w:rsidR="00F64776" w:rsidRDefault="00F64776" w:rsidP="00F64776">
      <w:pPr>
        <w:pStyle w:val="SntesisDescriptiva"/>
      </w:pPr>
    </w:p>
    <w:p w14:paraId="480C567D" w14:textId="77777777" w:rsidR="00F64776" w:rsidRDefault="00F64776" w:rsidP="00F64776">
      <w:pPr>
        <w:pStyle w:val="SntesisDescriptiva"/>
      </w:pPr>
    </w:p>
    <w:p w14:paraId="7FE32D00" w14:textId="77777777" w:rsidR="00F64776" w:rsidRDefault="00F64776" w:rsidP="00F64776">
      <w:pPr>
        <w:pStyle w:val="SntesisDescriptiva"/>
      </w:pPr>
    </w:p>
    <w:p w14:paraId="02145A23" w14:textId="77777777" w:rsidR="00F64776" w:rsidRDefault="00F64776" w:rsidP="00F64776">
      <w:pPr>
        <w:pStyle w:val="TextoNormalNegritaCentrado"/>
      </w:pPr>
      <w:r>
        <w:t>AUTO</w:t>
      </w:r>
    </w:p>
    <w:p w14:paraId="63E981E2" w14:textId="1028A37B" w:rsidR="00F64776" w:rsidRDefault="00F64776" w:rsidP="00F64776">
      <w:pPr>
        <w:pStyle w:val="TextoNormalNegritaCentrado"/>
      </w:pPr>
    </w:p>
    <w:p w14:paraId="1B1FFDA9" w14:textId="77777777" w:rsidR="00F64776" w:rsidRDefault="00F64776" w:rsidP="00F64776">
      <w:pPr>
        <w:pStyle w:val="TextoNormalNegritaCentrado"/>
        <w:keepNext/>
      </w:pPr>
      <w:r>
        <w:t>I. Antecedentes</w:t>
      </w:r>
    </w:p>
    <w:p w14:paraId="6E0E0043" w14:textId="2A2CFE2E" w:rsidR="00F64776" w:rsidRDefault="00F64776" w:rsidP="00F64776">
      <w:pPr>
        <w:pStyle w:val="TextoNormalNegritaCentrado"/>
        <w:keepNext/>
      </w:pPr>
    </w:p>
    <w:p w14:paraId="67A703B3" w14:textId="77777777" w:rsidR="00F64776" w:rsidRDefault="00F64776" w:rsidP="00F64776">
      <w:pPr>
        <w:pStyle w:val="TextoNormal"/>
      </w:pPr>
      <w:r w:rsidRPr="00F64776">
        <w:rPr>
          <w:rStyle w:val="NumeroAFNegritaCaracter"/>
        </w:rPr>
        <w:t>1</w:t>
      </w:r>
      <w:r>
        <w:t>. Mediante escrito de fecha 30 de enero de 2023, que tuvo entrada en el registro del Tribunal Constitucional el mismo día, la procuradora de los tribunales doña María Cristina Sosa González, actuando en nombre y representación de doña M.M.Q.C., bajo la dirección letrada de la abogada doña Cristina Armas Suárez, interpuso recurso de amparo contra el auto núm. 224/2022, de 20 de diciembre, dictado por la Sección Primera de la Audiencia Provincial de Albacete en el rollo de apelación núm. 498-2022, y contra la providencia de 26 de enero de 2023 de inadmisión del incidente de nulidad de actuaciones promovido contra aquel.</w:t>
      </w:r>
    </w:p>
    <w:p w14:paraId="495B031A" w14:textId="77777777" w:rsidR="00F64776" w:rsidRDefault="00F64776" w:rsidP="00F64776">
      <w:pPr>
        <w:pStyle w:val="TextoNormal"/>
      </w:pPr>
    </w:p>
    <w:p w14:paraId="7B7DF152" w14:textId="77777777" w:rsidR="00F64776" w:rsidRDefault="00F64776" w:rsidP="00F64776">
      <w:pPr>
        <w:pStyle w:val="TextoNormal"/>
      </w:pPr>
      <w:r>
        <w:t>Mediante el auto impugnado la audiencia provincial estimó el recurso de apelación interpuesto por don J.R.M.T. contra el auto núm. 133/2022, de 28 de marzo, del Juzgado de Primera Instancia núm. 8 de Albacete, dictado en el procedimiento de jurisdicción voluntaria por desacuerdo en el ejercicio de la patria potestad núm. 820-2021, promovido por la ahora recurrente en amparo, que atribuyó a esta la facultad de decidir sobre la vacunación contra la Covid-19 a sus dos hijos, E.M.Q. y C.M.Q., de ocho y seis años de edad. En la segunda instancia la audiencia provincial revocó la decisión del juzgado y atribuyó la decisión al padre de los menores, don J.R.M.T., que era favorable a la vacunación. El recurso de amparo comprende en su ámbito de impugnación la providencia de fecha 26 de enero de 2023 por la que la audiencia provincial inadmitió el incidente de nulidad de actuaciones interpuesto contra su auto por entender que se limitaba a expresar una mera discrepancia con lo resuelto en este.</w:t>
      </w:r>
    </w:p>
    <w:p w14:paraId="729A905E" w14:textId="77777777" w:rsidR="00F64776" w:rsidRDefault="00F64776" w:rsidP="00F64776">
      <w:pPr>
        <w:pStyle w:val="TextoNormal"/>
      </w:pPr>
    </w:p>
    <w:p w14:paraId="2C667395" w14:textId="77777777" w:rsidR="00F64776" w:rsidRDefault="00F64776" w:rsidP="00F64776">
      <w:pPr>
        <w:pStyle w:val="TextoNormal"/>
      </w:pPr>
      <w:r>
        <w:t>En el recurso de amparo se alega la vulneración del derecho a la integridad física y moral (art. 15.1 CE) tanto de los progenitores como de los menores por no haberse recabado un consentimiento informado sobre los riesgos de la inoculación de la vacuna, y la vulneración de los derechos a la tutela judicial efectiva (art. 24.1 CE), a un proceso con todas las garantías y al juez imparcial (art. 24.2 CE) por responder las decisiones judiciales impugnadas a una opinión personal y preconcebida de los miembros del tribunal sobre la conveniencia de la vacunación, carente de genuina base científica, y por no haberse respetado el principio procesal de rogación [arts. 216 y 217 de la Ley de enjuiciamiento civil (LEC)], pues entiende que correspondía al demandado aportar las pruebas de la inexistencia de riesgo para los menores.</w:t>
      </w:r>
    </w:p>
    <w:p w14:paraId="7A94700F" w14:textId="77777777" w:rsidR="00F64776" w:rsidRDefault="00F64776" w:rsidP="00F64776">
      <w:pPr>
        <w:pStyle w:val="TextoNormal"/>
      </w:pPr>
    </w:p>
    <w:p w14:paraId="559F5ADD" w14:textId="15884AF9" w:rsidR="00F64776" w:rsidRDefault="00F64776" w:rsidP="00F64776">
      <w:pPr>
        <w:pStyle w:val="TextoNormal"/>
      </w:pPr>
      <w:r>
        <w:t>Mediante otrosí, con invocación del art. 56.2 de la Ley Orgánica del Tribunal Constitucional (LOTC), la recurrente solicita que se suspenda la ejecución del auto de la audiencia provincial.</w:t>
      </w:r>
    </w:p>
    <w:p w14:paraId="27A25A48" w14:textId="77777777" w:rsidR="00F64776" w:rsidRDefault="00F64776" w:rsidP="00F64776">
      <w:pPr>
        <w:pStyle w:val="TextoNormal"/>
      </w:pPr>
    </w:p>
    <w:p w14:paraId="32D88305" w14:textId="77777777" w:rsidR="00F64776" w:rsidRDefault="00F64776" w:rsidP="00F64776">
      <w:pPr>
        <w:pStyle w:val="TextoNormal"/>
      </w:pPr>
      <w:r w:rsidRPr="00F64776">
        <w:rPr>
          <w:rStyle w:val="NumeroAFNegritaCaracter"/>
        </w:rPr>
        <w:t>2</w:t>
      </w:r>
      <w:r>
        <w:t>. Por providencia de fecha 3 de julio de 2023, la Sección Primera de este tribunal acordó admitir a trámite el recurso de amparo apreciando que concurre en el mismo una especial trascendencia constitucional (art. 50.1 LOTC) porque el recurso plantea un problema o afecta a una faceta de un derecho fundamental sobre el que no hay doctrina de este tribunal [STC 155/2009, de 25 de junio, FJ 2 a)] y porque trasciende del caso concreto porque plantea una cuestión jurídica de relevante y general repercusión social o económica [STC 155/2009, FJ 2 g)]. En la misma resolución se ordenó, conforme a lo solicitado por la parte actora, formar la correspondiente pieza separada de suspensión.</w:t>
      </w:r>
    </w:p>
    <w:p w14:paraId="70F64314" w14:textId="77777777" w:rsidR="00F64776" w:rsidRDefault="00F64776" w:rsidP="00F64776">
      <w:pPr>
        <w:pStyle w:val="TextoNormal"/>
      </w:pPr>
    </w:p>
    <w:p w14:paraId="106288D0" w14:textId="4AB18CC3" w:rsidR="00F64776" w:rsidRDefault="00F64776" w:rsidP="00F64776">
      <w:pPr>
        <w:pStyle w:val="TextoNormal"/>
      </w:pPr>
      <w:r>
        <w:t>Por providencia de la misma fecha se acordó, de conformidad con lo prevenido en el art. 56 LOTC, conceder un plazo común de tres días al Ministerio Fiscal y a la solicitante de amparo para que dentro de dicho término alegaran lo que estimasen pertinente en relación con la petición de suspensión interesada.</w:t>
      </w:r>
    </w:p>
    <w:p w14:paraId="64C7876D" w14:textId="77777777" w:rsidR="00F64776" w:rsidRDefault="00F64776" w:rsidP="00F64776">
      <w:pPr>
        <w:pStyle w:val="TextoNormal"/>
      </w:pPr>
    </w:p>
    <w:p w14:paraId="745E7154" w14:textId="266FA800" w:rsidR="00F64776" w:rsidRDefault="00F64776" w:rsidP="00F64776">
      <w:pPr>
        <w:pStyle w:val="TextoNormal"/>
      </w:pPr>
      <w:r w:rsidRPr="00F64776">
        <w:rPr>
          <w:rStyle w:val="NumeroAFNegritaCaracter"/>
        </w:rPr>
        <w:t>3</w:t>
      </w:r>
      <w:r>
        <w:t>. El Ministerio Fiscal, en escrito registrado el 24 de julio de 2023, tras hacer una síntesis de los antecedentes procesales y de lo argumentado en la demanda de amparo, con cita de doctrina constitucional sobre presupuestos de aplicación de medidas cautelares en el procedimiento constitucional de amparo, solicita la denegación de la suspensión solicitada “dada la falta de acreditación sobre el perjuicio irreparable y que, en todo caso, el pronunciamiento sobre la medida implica una anticipación de la cuestión de fondo suscitada que no corresponde realizar en el presente incidente”. La actora no presentó escrito de alegaciones.</w:t>
      </w:r>
    </w:p>
    <w:p w14:paraId="46F83DDF" w14:textId="77777777" w:rsidR="00F64776" w:rsidRDefault="00F64776" w:rsidP="00F64776">
      <w:pPr>
        <w:pStyle w:val="TextoNormal"/>
      </w:pPr>
    </w:p>
    <w:p w14:paraId="5895266B" w14:textId="0D3F0472" w:rsidR="00F64776" w:rsidRDefault="00F64776" w:rsidP="00F64776">
      <w:pPr>
        <w:pStyle w:val="TextoNormal"/>
      </w:pPr>
      <w:r w:rsidRPr="00F64776">
        <w:rPr>
          <w:rStyle w:val="NumeroAFNegritaCaracter"/>
        </w:rPr>
        <w:t>4</w:t>
      </w:r>
      <w:r>
        <w:t>. Al amparo de lo establecido en el art. 86.3 LOTC y en el acuerdo del Pleno del Tribunal Constitucional de 23 de julio de 2015, por el que se regula la exclusión de los datos de identidad personal en la publicación de las resoluciones jurisdiccionales (“Boletín Oficial del Estado” núm. 178, de 27 de julio de 2015), en atención a que el objeto de controversia de este proceso constitucional versa sobre personas que requieren un especial deber de tutela por su minoría de edad, en la presente resolución se identifican por sus iniciales a los intervinientes con la finalidad de preservar de modo efectivo su anonimato.</w:t>
      </w:r>
    </w:p>
    <w:p w14:paraId="4B5ACEC4" w14:textId="77777777" w:rsidR="00F64776" w:rsidRDefault="00F64776" w:rsidP="00F64776">
      <w:pPr>
        <w:pStyle w:val="TextoNormal"/>
      </w:pPr>
    </w:p>
    <w:p w14:paraId="2056A656" w14:textId="77777777" w:rsidR="00F64776" w:rsidRDefault="00F64776" w:rsidP="00F64776">
      <w:pPr>
        <w:pStyle w:val="TextoNormalNegritaCentrado"/>
        <w:keepNext/>
      </w:pPr>
      <w:r>
        <w:t>II. Fundamentos jurídicos</w:t>
      </w:r>
    </w:p>
    <w:p w14:paraId="2200E468" w14:textId="17472B59" w:rsidR="00F64776" w:rsidRDefault="00F64776" w:rsidP="00F64776">
      <w:pPr>
        <w:pStyle w:val="TextoNormalNegritaCentrado"/>
        <w:keepNext/>
      </w:pPr>
    </w:p>
    <w:p w14:paraId="0F7DF11E" w14:textId="77777777" w:rsidR="00F64776" w:rsidRDefault="00F64776" w:rsidP="00F64776">
      <w:pPr>
        <w:pStyle w:val="TextoNormal"/>
      </w:pPr>
      <w:r w:rsidRPr="00F64776">
        <w:rPr>
          <w:rStyle w:val="NumeroAFNegritaCaracter"/>
        </w:rPr>
        <w:t>1</w:t>
      </w:r>
      <w:r>
        <w:t>. El objeto de esta pieza de suspensión consiste en determinar si es procedente acordar la suspensión cautelar de la ejecución del auto núm. 224/2022, de 20 de diciembre, dictado por la Sección Primera de la Audiencia Provincial de Albacete, estimatorio del recurso de apelación interpuesto por don J.R.M.T. contra el auto de 28 de marzo de 2022, dictado por el Juzgado de Primera Instancia núm. 8 de Albacete en el procedimiento de jurisdicción voluntaria núm. 820-2021, que había atribuido inicialmente a la madre, ahora recurrente en amparo, la facultad de decidir sobre la vacunación contra la Covid-19 de los niños E.M.Q. y C.M.Q., sobre los que ambos ejercen su patria potestad, que tenían ocho y seis años de edad en la fecha en que se adoptaron las decisiones controvertidas.</w:t>
      </w:r>
    </w:p>
    <w:p w14:paraId="73CEBDF0" w14:textId="77777777" w:rsidR="00F64776" w:rsidRDefault="00F64776" w:rsidP="00F64776">
      <w:pPr>
        <w:pStyle w:val="TextoNormal"/>
      </w:pPr>
    </w:p>
    <w:p w14:paraId="2400CA3F" w14:textId="77777777" w:rsidR="00F64776" w:rsidRDefault="00F64776" w:rsidP="00F64776">
      <w:pPr>
        <w:pStyle w:val="TextoNormal"/>
      </w:pPr>
      <w:r>
        <w:t>El juzgado atribuyó a la actora, contraria a la vacunación de sus hijos, la facultad de decidir, si bien “limitada en el tiempo a la persistencia de las actuales condiciones de caída en el número de casos en la situación de pandemia en la que nos encontramos, de forma que en el caso de elevarse el riesgo hospitalario por el incremento de casos o el riesgo de los menores por nuevas variantes decaiga el mismo, pudiendo solicitarse nueva intervención judicial en caso de persistir el desacuerdo en dichas nuevas circunstancias, todo ello sin especial pronunciamiento en cuanto a las costas procesales causadas”.</w:t>
      </w:r>
    </w:p>
    <w:p w14:paraId="5032166C" w14:textId="77777777" w:rsidR="00F64776" w:rsidRDefault="00F64776" w:rsidP="00F64776">
      <w:pPr>
        <w:pStyle w:val="TextoNormal"/>
      </w:pPr>
    </w:p>
    <w:p w14:paraId="384F6D5A" w14:textId="77777777" w:rsidR="00F64776" w:rsidRDefault="00F64776" w:rsidP="00F64776">
      <w:pPr>
        <w:pStyle w:val="TextoNormal"/>
      </w:pPr>
      <w:r>
        <w:t>El auto de la audiencia provincial rectificó el criterio del juzgado y transfirió la facultad de decidir al padre, favorable a la administración de la vacuna, por considerarlo más adecuado al interés de los menores conforme a la opinión científica mayoritaria.</w:t>
      </w:r>
    </w:p>
    <w:p w14:paraId="07FEBB72" w14:textId="77777777" w:rsidR="00F64776" w:rsidRDefault="00F64776" w:rsidP="00F64776">
      <w:pPr>
        <w:pStyle w:val="TextoNormal"/>
      </w:pPr>
    </w:p>
    <w:p w14:paraId="73A3A597" w14:textId="51F865BE" w:rsidR="00F64776" w:rsidRDefault="00F64776" w:rsidP="00F64776">
      <w:pPr>
        <w:pStyle w:val="TextoNormal"/>
      </w:pPr>
      <w:r>
        <w:t>La fiscal en el escrito de alegaciones evacuado en esta pieza separada ha interesado la desestimación de la medida cautelar solicitada por la recurrente porque no se ha justificado la existencia de un perjuicio irreparable en caso de darse cumplimiento a la resolución judicial impugnada y porque conceder la suspensión en esta fase del procedimiento implicaría anticipar el juicio de fondo.</w:t>
      </w:r>
    </w:p>
    <w:p w14:paraId="34A1AAB5" w14:textId="77777777" w:rsidR="00F64776" w:rsidRDefault="00F64776" w:rsidP="00F64776">
      <w:pPr>
        <w:pStyle w:val="TextoNormal"/>
      </w:pPr>
    </w:p>
    <w:p w14:paraId="439BEE8C" w14:textId="77777777" w:rsidR="00F64776" w:rsidRDefault="00F64776" w:rsidP="00F64776">
      <w:pPr>
        <w:pStyle w:val="TextoNormal"/>
      </w:pPr>
      <w:r w:rsidRPr="00F64776">
        <w:rPr>
          <w:rStyle w:val="NumeroAFNegritaCaracter"/>
        </w:rPr>
        <w:t>2</w:t>
      </w:r>
      <w:r>
        <w:t>. El art. 56.2 LOTC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 Por esta razón, la pretensión cautelar analizada se configura como una medida de carácter excepcional y de aplicación restrictiva (por todos, AATC 117/2015, de 6 de julio, FJ 1, y 59/2017, de 24 de abril, FJ 1).</w:t>
      </w:r>
    </w:p>
    <w:p w14:paraId="40DCD468" w14:textId="77777777" w:rsidR="00F64776" w:rsidRDefault="00F64776" w:rsidP="00F64776">
      <w:pPr>
        <w:pStyle w:val="TextoNormal"/>
      </w:pPr>
    </w:p>
    <w:p w14:paraId="4ED591A5" w14:textId="77777777" w:rsidR="00F64776" w:rsidRDefault="00F64776" w:rsidP="00F64776">
      <w:pPr>
        <w:pStyle w:val="TextoNormal"/>
      </w:pPr>
      <w:r>
        <w:t>Adicionalmente, para otorgar la tutela cautelar que prevé el art. 56 LOTC este tribunal viene exigiendo a quien la solicita que alegue, pruebe o justifique, ofreciendo un principio razonable de prueba, la irreparabilidad o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51/1989, de 30 de enero; 290/1995, de 23 de octubre; 370/1996, de 16 de diciembre; 283/1999, de 29 de noviembre; 90/2014, de 27 de marzo, FJ 1; 190/2015, de 5 de noviembre, FJ 2 a); 59/2017, de 24 de abril, FJ 1, y 147/2017, de 13 de noviembre, FJ 1].</w:t>
      </w:r>
    </w:p>
    <w:p w14:paraId="4E86F17F" w14:textId="77777777" w:rsidR="00F64776" w:rsidRDefault="00F64776" w:rsidP="00F64776">
      <w:pPr>
        <w:pStyle w:val="TextoNormal"/>
      </w:pPr>
    </w:p>
    <w:p w14:paraId="6BA7E109" w14:textId="3AD9049C" w:rsidR="00F64776" w:rsidRDefault="00F64776" w:rsidP="00F64776">
      <w:pPr>
        <w:pStyle w:val="TextoNormal"/>
      </w:pPr>
      <w:r>
        <w:t>El Tribunal ha declarado asimismo en los AATC 71/2020, de 14 de julio, FJ 3; 111/2020, de 21 de septiembre, FJ 2, y 325/2023, de 19 de junio, FJ 4, así como en las resoluciones citadas en ellos, que el otorgamiento de la medida cautelar no puede prejuzgar cuál haya de ser el sentido de la futura sentencia de amparo que le ponga fin, por lo que, en este incidente procesal no cabe efectuar el análisis de la cuestión de fondo planteada en la demanda, ni cabe cuestionar las bases fácticas que sustentan el pronunciamiento judicial, ni tampoco anticipar indebidamente lo que debe ser resuelto en la oportuna sentencia.</w:t>
      </w:r>
    </w:p>
    <w:p w14:paraId="3D8EA82C" w14:textId="77777777" w:rsidR="00F64776" w:rsidRDefault="00F64776" w:rsidP="00F64776">
      <w:pPr>
        <w:pStyle w:val="TextoNormal"/>
      </w:pPr>
    </w:p>
    <w:p w14:paraId="6E9468DC" w14:textId="77777777" w:rsidR="00F64776" w:rsidRDefault="00F64776" w:rsidP="00F64776">
      <w:pPr>
        <w:pStyle w:val="TextoNormal"/>
      </w:pPr>
      <w:r w:rsidRPr="00F64776">
        <w:rPr>
          <w:rStyle w:val="NumeroAFNegritaCaracter"/>
        </w:rPr>
        <w:t>3</w:t>
      </w:r>
      <w:r>
        <w:t>. La actora no ha proporcionado a este tribunal una justificación suficiente de la concurrencia del presupuesto básico para activar la tutela cautelar prevista en el art. 56.2 LOTC, esto es, que del cumplimiento del auto núm. 224/2022, de 20 de diciembre de la Sección Primera de la Audiencia Provincial de Albacete, que otorga la facultad de decidir al padre, que se muestra favorable a la vacunación de los menores contra la Covid-19, puedan derivarse perjuicios irreparables que hagan perder al recurso su finalidad. En este sentido, nos encontramos con que la demanda de amparo presenta un desarrollo argumental que, al margen de cuestiones iusfundamentales de índole procesal, aduce una vulneración del derecho fundamental a la integridad física y moral de sus hijos menores de edad (art. 15 CE) basada en que no se recabó el consentimiento informado ni de los mismos ni de sus progenitores, y en cuestionar la adecuación de dicha vacunación a la mejor protección de la salud de los niños con argumentos generales que controvierten la opinión científica mayoritaria, a la que se atiene la audiencia provincial en su resolución judicial, lo que remite a la cuestión de fondo que, conforme a la doctrina citada, no puede dirimirse en esta pieza, en la que, por otra parte, la actora tampoco ha formulado nuevas alegaciones en refuerzo de su pretensión cautelar.</w:t>
      </w:r>
    </w:p>
    <w:p w14:paraId="44C08CF7" w14:textId="77777777" w:rsidR="00F64776" w:rsidRDefault="00F64776" w:rsidP="00F64776">
      <w:pPr>
        <w:pStyle w:val="TextoNormal"/>
      </w:pPr>
    </w:p>
    <w:p w14:paraId="511B1BB2" w14:textId="4E60D583" w:rsidR="00F64776" w:rsidRDefault="00F64776" w:rsidP="00F64776">
      <w:pPr>
        <w:pStyle w:val="TextoNormal"/>
      </w:pPr>
      <w:r>
        <w:t>En definitiva, expresando el desacuerdo parental una diferencia de criterio sobre la mejor forma de proteger la salud de los hijos menores de edad y sobre la conveniencia o utilidad de la administración de la vacuna debatida, cualquier pronunciamiento cautelar que este tribunal pudiera hacer en favor de la suspensión solicitada debería analizar y anticipar el debate de fondo de la pretensión de amparo, dado que la decisión judicial cuestionada se apoya en considerar que la vacuna sometida a debate no supone un grave riesgo para la vida o salud del menor. Esa cuestión se integra en lo que constituye el fondo del recurso de amparo por lo que, en todo caso, deberá ser abordada al dictar sentencia y no en un incidente cautelar de la naturaleza del presente, criterio que este tribunal ha mantenido reiteradamente en los AATC 139/2022, de 26 de octubre, FJ 3 b); 102/2023, de 6 de marzo, FJ 4; 181/2023, de 17 de abril, FJ 3; 322/2023, de 19 de junio, FFJJ 4 y 5; 323/2023, de 19 de junio, FJ 3; 324/2023, de 19 de junio, FFJJ 4 y 5, y 325/2023 de 19 de junio, FFJJ 4 y 5.</w:t>
      </w:r>
    </w:p>
    <w:p w14:paraId="3A7439A2" w14:textId="77777777" w:rsidR="00F64776" w:rsidRDefault="00F64776" w:rsidP="00F64776">
      <w:pPr>
        <w:pStyle w:val="TextoNormal"/>
      </w:pPr>
    </w:p>
    <w:p w14:paraId="2BF46F3F" w14:textId="77777777" w:rsidR="00F64776" w:rsidRDefault="00F64776" w:rsidP="00F64776">
      <w:pPr>
        <w:pStyle w:val="TextoNormal"/>
      </w:pPr>
      <w:r>
        <w:t>Por lo expuesto, la Sala</w:t>
      </w:r>
    </w:p>
    <w:p w14:paraId="34AE397E" w14:textId="1AE05A49" w:rsidR="00F64776" w:rsidRDefault="00F64776" w:rsidP="00F64776">
      <w:pPr>
        <w:pStyle w:val="TextoNormal"/>
      </w:pPr>
    </w:p>
    <w:p w14:paraId="645A9233" w14:textId="77777777" w:rsidR="00F64776" w:rsidRDefault="00F64776" w:rsidP="00F64776">
      <w:pPr>
        <w:pStyle w:val="TextoNormalCentrado"/>
      </w:pPr>
      <w:r>
        <w:t>ACUERDA</w:t>
      </w:r>
    </w:p>
    <w:p w14:paraId="3283A03C" w14:textId="7EA6E98C" w:rsidR="00F64776" w:rsidRDefault="00F64776" w:rsidP="00F64776">
      <w:pPr>
        <w:pStyle w:val="TextoNormalCentrado"/>
      </w:pPr>
    </w:p>
    <w:p w14:paraId="4B147467" w14:textId="6AC274F9" w:rsidR="00F64776" w:rsidRDefault="00F64776" w:rsidP="00F64776">
      <w:pPr>
        <w:pStyle w:val="TextoNormal"/>
      </w:pPr>
      <w:r>
        <w:t>Denegar la medida cautelar de suspensión solicitada.</w:t>
      </w:r>
    </w:p>
    <w:p w14:paraId="5FB8AA6E" w14:textId="77777777" w:rsidR="00F64776" w:rsidRDefault="00F64776" w:rsidP="00F64776">
      <w:pPr>
        <w:pStyle w:val="TextoNormal"/>
      </w:pPr>
    </w:p>
    <w:p w14:paraId="7238A399" w14:textId="77777777" w:rsidR="00F64776" w:rsidRDefault="00F64776" w:rsidP="00F64776">
      <w:pPr>
        <w:pStyle w:val="TextoNormal"/>
      </w:pPr>
      <w:r>
        <w:t>Madrid, a once de septiembre de dos mil veintitrés.</w:t>
      </w:r>
    </w:p>
    <w:p w14:paraId="65D3A02E" w14:textId="02B502BF" w:rsidR="00F64776" w:rsidRDefault="00F64776">
      <w:pPr>
        <w:spacing w:after="160" w:line="278" w:lineRule="auto"/>
        <w:rPr>
          <w:rFonts w:ascii="Times New Roman" w:eastAsia="Times New Roman" w:hAnsi="Times New Roman" w:cs="Times New Roman"/>
          <w:sz w:val="24"/>
          <w:szCs w:val="24"/>
          <w:lang w:eastAsia="es-ES"/>
        </w:rPr>
      </w:pPr>
      <w:r>
        <w:br w:type="page"/>
      </w:r>
    </w:p>
    <w:p w14:paraId="333721BA" w14:textId="77777777" w:rsidR="00F64776" w:rsidRDefault="00F64776" w:rsidP="00F64776">
      <w:pPr>
        <w:pStyle w:val="TtuloResolucin"/>
      </w:pPr>
      <w:bookmarkStart w:id="217" w:name="AUTO_2023_432"/>
      <w:r>
        <w:t>AUTO 432/2023, de 11 de septiembre de 2023</w:t>
      </w:r>
    </w:p>
    <w:bookmarkEnd w:id="217"/>
    <w:p w14:paraId="6A4BE987" w14:textId="77777777" w:rsidR="00F64776" w:rsidRDefault="00F64776" w:rsidP="00F64776">
      <w:pPr>
        <w:pStyle w:val="TtuloResolucin"/>
      </w:pPr>
      <w:r>
        <w:t>Sala Segunda</w:t>
      </w:r>
    </w:p>
    <w:p w14:paraId="5E4C01A9" w14:textId="77777777" w:rsidR="00F64776" w:rsidRDefault="00F64776" w:rsidP="00F64776">
      <w:pPr>
        <w:pStyle w:val="TextoNormalCentrado"/>
      </w:pPr>
      <w:r>
        <w:t>ECLI:ES:TC:2023:432A</w:t>
      </w:r>
    </w:p>
    <w:p w14:paraId="3C5E8480" w14:textId="110DED0F" w:rsidR="00F64776" w:rsidRDefault="00F64776" w:rsidP="00F64776">
      <w:pPr>
        <w:pStyle w:val="TextoNormalCentrado"/>
      </w:pPr>
    </w:p>
    <w:p w14:paraId="5AF6ED3A" w14:textId="77777777" w:rsidR="00F64776" w:rsidRDefault="00F64776" w:rsidP="00F64776">
      <w:pPr>
        <w:pStyle w:val="SntesisDescriptiva"/>
      </w:pPr>
      <w:r>
        <w:t>Excms. Srs. doña Inmaculada Montalbán Huertas, doña María Luisa Balaguer Callejón, don Ramón Sáez Valcárcel, don Enrique Arnaldo Alcubilla y don César Tolosa Tribiño.</w:t>
      </w:r>
    </w:p>
    <w:p w14:paraId="554324A2" w14:textId="0BE13D3C" w:rsidR="00F64776" w:rsidRDefault="00F64776" w:rsidP="00F64776">
      <w:pPr>
        <w:pStyle w:val="SntesisDescriptiva"/>
      </w:pPr>
    </w:p>
    <w:p w14:paraId="71272028" w14:textId="77777777" w:rsidR="00F64776" w:rsidRDefault="00F64776" w:rsidP="00F64776">
      <w:pPr>
        <w:pStyle w:val="SntesisDescriptiva"/>
      </w:pPr>
      <w:r>
        <w:t>Inadmite una recusación en el recurso de amparo 5529-2023, promovido por el Partido Socialista Obrero Español en proceso electoral.</w:t>
      </w:r>
    </w:p>
    <w:p w14:paraId="3E638434" w14:textId="0AD38F24" w:rsidR="00F64776" w:rsidRDefault="00F64776" w:rsidP="00F64776">
      <w:pPr>
        <w:pStyle w:val="SntesisDescriptiva"/>
      </w:pPr>
    </w:p>
    <w:p w14:paraId="5B9A355F" w14:textId="77777777" w:rsidR="00F64776" w:rsidRDefault="00F64776" w:rsidP="00F64776">
      <w:pPr>
        <w:pStyle w:val="SntesisDescriptiva"/>
      </w:pPr>
    </w:p>
    <w:p w14:paraId="4CA8A3FE" w14:textId="77777777" w:rsidR="00F64776" w:rsidRDefault="00F64776" w:rsidP="00F64776">
      <w:pPr>
        <w:pStyle w:val="SntesisDescriptiva"/>
      </w:pPr>
    </w:p>
    <w:p w14:paraId="6BC0A4C4" w14:textId="77777777" w:rsidR="00F64776" w:rsidRDefault="00F64776" w:rsidP="00F64776">
      <w:pPr>
        <w:pStyle w:val="TextoNormalNegritaCentrado"/>
      </w:pPr>
      <w:r>
        <w:t>AUTO</w:t>
      </w:r>
    </w:p>
    <w:p w14:paraId="66995328" w14:textId="23180691" w:rsidR="00F64776" w:rsidRDefault="00F64776" w:rsidP="00F64776">
      <w:pPr>
        <w:pStyle w:val="TextoNormalNegritaCentrado"/>
      </w:pPr>
    </w:p>
    <w:p w14:paraId="35BB010F" w14:textId="77777777" w:rsidR="00F64776" w:rsidRDefault="00F64776" w:rsidP="00F64776">
      <w:pPr>
        <w:pStyle w:val="TextoNormalNegritaCentrado"/>
        <w:keepNext/>
      </w:pPr>
      <w:r>
        <w:t>I. Antecedentes</w:t>
      </w:r>
    </w:p>
    <w:p w14:paraId="404EA4DD" w14:textId="241787A1" w:rsidR="00F64776" w:rsidRDefault="00F64776" w:rsidP="00F64776">
      <w:pPr>
        <w:pStyle w:val="TextoNormalNegritaCentrado"/>
        <w:keepNext/>
      </w:pPr>
    </w:p>
    <w:p w14:paraId="77D8803D" w14:textId="6071E88C" w:rsidR="00F64776" w:rsidRDefault="00F64776" w:rsidP="00F64776">
      <w:pPr>
        <w:pStyle w:val="TextoNormal"/>
      </w:pPr>
      <w:r w:rsidRPr="00F64776">
        <w:rPr>
          <w:rStyle w:val="NumeroAFNegritaCaracter"/>
        </w:rPr>
        <w:t>1</w:t>
      </w:r>
      <w:r>
        <w:t>. Por escrito registrado en este tribunal el 28 de agosto de 2023, el Partido Socialista Obrero Español, doña Cristina Pavón López, representante provincial del PSOE y don Javier Rodríguez Palacios, representados por la procuradora de los tribunales doña Virginia Aragón Segura y actuando bajo la dirección letrada de don Alberto Cachinero Capitán y doña Verónica Gutiérrez López, interpusieron recurso de amparo contra la sentencia núm. 1105/2023 de la Sala de lo Contencioso-Administrativo del Tribunal Supremo, dictada el 25 de agosto de 2023 en el recurso contencioso-administrativo electoral núm. 779-2023.</w:t>
      </w:r>
    </w:p>
    <w:p w14:paraId="6A9197CB" w14:textId="77777777" w:rsidR="00F64776" w:rsidRDefault="00F64776" w:rsidP="00F64776">
      <w:pPr>
        <w:pStyle w:val="TextoNormal"/>
      </w:pPr>
    </w:p>
    <w:p w14:paraId="3C0B7C50" w14:textId="772DFB40" w:rsidR="00F64776" w:rsidRDefault="00F64776" w:rsidP="00F64776">
      <w:pPr>
        <w:pStyle w:val="TextoNormal"/>
      </w:pPr>
      <w:r w:rsidRPr="00F64776">
        <w:rPr>
          <w:rStyle w:val="NumeroAFNegritaCaracter"/>
        </w:rPr>
        <w:t>2</w:t>
      </w:r>
      <w:r>
        <w:t>. Por auto de 5 de septiembre de 2023 la Sala Segunda del Tribunal Constitucional acordó la admisión a trámite del recurso apreciando que concurría en el mismo la causa de especial trascendencia constitucional prevista en la STC 155/2009, de 25 de junio, FJ 2, letra b), al dar ocasión al Tribunal para aclarar o cambiar su doctrina como consecuencia de un proceso de reflexión interna; así como, la causa prevista en la letra g) del fundamento jurídico 2 de la citada sentencia, al trascender el asunto del caso concreto por tener consecuencias políticas generales. En el mismo auto se ordenó recabar de la Sala de lo Contencioso-Administrativo del Tribunal Supremo el envío urgente de las actuaciones correspondientes, incluidos el expediente electoral y el informe emitido por la Junta Electoral, previo emplazamiento de las partes, excepto el recurrente en amparo, para que en el plazo de tres días pudieran personarse ante este tribunal, formulando las alegaciones que estimen pertinentes.</w:t>
      </w:r>
    </w:p>
    <w:p w14:paraId="18961156" w14:textId="77777777" w:rsidR="00F64776" w:rsidRDefault="00F64776" w:rsidP="00F64776">
      <w:pPr>
        <w:pStyle w:val="TextoNormal"/>
      </w:pPr>
    </w:p>
    <w:p w14:paraId="09823FB7" w14:textId="0D8729CB" w:rsidR="00F64776" w:rsidRDefault="00F64776" w:rsidP="00F64776">
      <w:pPr>
        <w:pStyle w:val="TextoNormal"/>
      </w:pPr>
      <w:r w:rsidRPr="00F64776">
        <w:rPr>
          <w:rStyle w:val="NumeroAFNegritaCaracter"/>
        </w:rPr>
        <w:t>3</w:t>
      </w:r>
      <w:r>
        <w:t>. Mediante escrito registrado el 7 de septiembre de 2023, don Manuel Sánchez-Puelles y González-Carvajal, procurador de los tribunales, actuando en nombre y representación del Partido Popular, formuló escrito de recusación de la magistrada doña Laura Díez Bueso. Alega la concurrencia de la causa prevista en el ordinal 10 del artículo 219 de la Ley Orgánica 6/1985, de 1 de julio, del Poder Judicial (LOPJ) por tener interés directo o indirecto en el pleito o causa.</w:t>
      </w:r>
    </w:p>
    <w:p w14:paraId="5F25773B" w14:textId="77777777" w:rsidR="00F64776" w:rsidRDefault="00F64776" w:rsidP="00F64776">
      <w:pPr>
        <w:pStyle w:val="TextoNormal"/>
      </w:pPr>
    </w:p>
    <w:p w14:paraId="544ADFBB" w14:textId="77777777" w:rsidR="00F64776" w:rsidRDefault="00F64776" w:rsidP="00F64776">
      <w:pPr>
        <w:pStyle w:val="TextoNormalNegritaCentrado"/>
        <w:keepNext/>
      </w:pPr>
      <w:r>
        <w:t>II. Fundamentos jurídicos</w:t>
      </w:r>
    </w:p>
    <w:p w14:paraId="546F3DF7" w14:textId="4AA919AD" w:rsidR="00F64776" w:rsidRDefault="00F64776" w:rsidP="00F64776">
      <w:pPr>
        <w:pStyle w:val="TextoNormalNegritaCentrado"/>
        <w:keepNext/>
      </w:pPr>
    </w:p>
    <w:p w14:paraId="1274E4A6" w14:textId="77777777" w:rsidR="00F64776" w:rsidRDefault="00F64776" w:rsidP="00F64776">
      <w:pPr>
        <w:pStyle w:val="TextoNormal"/>
      </w:pPr>
      <w:r w:rsidRPr="00F64776">
        <w:rPr>
          <w:rStyle w:val="NumeroAFNegritaCaracter"/>
        </w:rPr>
        <w:t>1</w:t>
      </w:r>
      <w:r>
        <w:t xml:space="preserve">. </w:t>
      </w:r>
      <w:r w:rsidRPr="00F64776">
        <w:rPr>
          <w:i/>
        </w:rPr>
        <w:t>Planteamiento de la cuestión</w:t>
      </w:r>
    </w:p>
    <w:p w14:paraId="71903765" w14:textId="77777777" w:rsidR="00F64776" w:rsidRDefault="00F64776" w:rsidP="00F64776">
      <w:pPr>
        <w:pStyle w:val="TextoNormal"/>
      </w:pPr>
    </w:p>
    <w:p w14:paraId="43C2E750" w14:textId="6E297CF3" w:rsidR="00F64776" w:rsidRDefault="00F64776" w:rsidP="00F64776">
      <w:pPr>
        <w:pStyle w:val="TextoNormal"/>
      </w:pPr>
      <w:r>
        <w:t>El escrito de recusación presentado por el Partido Popular (PP) expone que la magistrada doña Laura Díez Bueso ocupó, durante el periodo que va del 4 de febrero de 2020 al 26 de abril de 2022, el cargo de directora general de Asuntos Constitucionales y Coordinación Jurídica del Ministerio de la Presidencia, integrado en el Gobierno de España presidido por el PSOE, y bajo la dependencia directa del entonces ministro de la Presidencia, Relaciones con las Cortes y Memoria Democrática, don Félix Bolaños. Se afirma también que este último, señor Bolaños, ha venido realizando en fechas recientes declaraciones reiteradas poniendo en duda la fiabilidad de los resultados del proceso electoral a Cortes Generales desarrollado durante el mes de julio de 2023 y solicitando públicamente la revisión de los votos declarados nulos en las mesas de la circunscripción electoral de Madrid. De ello concluye el partido proponente de la recusación que la magistrada señora Díez Bueso no cumple con la necesaria apariencia de imparcialidad y tiene un interés objetivo en favorecer los intereses del PSOE en el presente recurso de amparo, lo que resulta subsumible en la causa de abstención prevista en el número 10 del artículo 219 LOPJ consistente en tener interés directo o indirecto en el pleito o causa.</w:t>
      </w:r>
    </w:p>
    <w:p w14:paraId="70DF6D30" w14:textId="77777777" w:rsidR="00F64776" w:rsidRDefault="00F64776" w:rsidP="00F64776">
      <w:pPr>
        <w:pStyle w:val="TextoNormal"/>
      </w:pPr>
    </w:p>
    <w:p w14:paraId="234F222C" w14:textId="77777777" w:rsidR="00F64776" w:rsidRDefault="00F64776" w:rsidP="00F64776">
      <w:pPr>
        <w:pStyle w:val="TextoNormal"/>
      </w:pPr>
      <w:r w:rsidRPr="00F64776">
        <w:rPr>
          <w:rStyle w:val="NumeroAFNegritaCaracter"/>
        </w:rPr>
        <w:t>2</w:t>
      </w:r>
      <w:r>
        <w:t xml:space="preserve">. </w:t>
      </w:r>
      <w:r w:rsidRPr="00F64776">
        <w:rPr>
          <w:i/>
        </w:rPr>
        <w:t>Doctrina constitucional</w:t>
      </w:r>
    </w:p>
    <w:p w14:paraId="5461304D" w14:textId="77777777" w:rsidR="00F64776" w:rsidRDefault="00F64776" w:rsidP="00F64776">
      <w:pPr>
        <w:pStyle w:val="TextoNormal"/>
      </w:pPr>
    </w:p>
    <w:p w14:paraId="64A92B04" w14:textId="77777777" w:rsidR="00F64776" w:rsidRDefault="00F64776" w:rsidP="00F64776">
      <w:pPr>
        <w:pStyle w:val="TextoNormal"/>
      </w:pPr>
      <w:r>
        <w:t>La doctrina de este tribunal en relación con la cuestión suscitada puede sintetizarse en los siguientes puntos:</w:t>
      </w:r>
    </w:p>
    <w:p w14:paraId="70DAF633" w14:textId="77777777" w:rsidR="00F64776" w:rsidRDefault="00F64776" w:rsidP="00F64776">
      <w:pPr>
        <w:pStyle w:val="TextoNormal"/>
      </w:pPr>
    </w:p>
    <w:p w14:paraId="1455B0AF" w14:textId="77777777" w:rsidR="00F64776" w:rsidRDefault="00F64776" w:rsidP="00F64776">
      <w:pPr>
        <w:pStyle w:val="TextoNormal"/>
      </w:pPr>
      <w:r>
        <w:t xml:space="preserve">a) En virtud del carácter jurisdiccional que siempre reviste la actuación del Tribunal Constitucional y del mandato de que sus magistrados ejerzan su función de acuerdo con el principio de imparcialidad [art. 22 de la Ley Orgánica del Tribunal Constitucional (LOTC)], hemos declarado que el régimen de recusaciones y abstenciones de los jueces y magistrados del Poder Judicial es aplicable, </w:t>
      </w:r>
      <w:r w:rsidRPr="00F64776">
        <w:rPr>
          <w:i/>
        </w:rPr>
        <w:t>ex</w:t>
      </w:r>
      <w:r>
        <w:t xml:space="preserve"> art. 80 LOTC, a los magistrados del Tribunal Constitucional. Las causas de abstención y recusación son, de este modo, las que se encuentran taxativamente fijadas en el art. 219 LOPJ; y los motivos de recusación han de subsumirse necesariamente en alguno o algunos de los supuestos que la norma define como tales (ATC 226/2002, de 20 de noviembre, FJ 1), supuestos que han de ser interpretados de manera estricta o no extensiva, dada la composición de este Tribunal Constitucional, cuyos magistrados no son susceptibles de sustitución, (STC 162/1999, de 27 de septiembre, FJ 8, por todas). Fuera del ámbito de tales causas legales, las sospechas, conjeturas o los recelos que las partes puedan manifestar son jurídicamente irrelevantes.</w:t>
      </w:r>
    </w:p>
    <w:p w14:paraId="4C04F176" w14:textId="77777777" w:rsidR="00F64776" w:rsidRDefault="00F64776" w:rsidP="00F64776">
      <w:pPr>
        <w:pStyle w:val="TextoNormal"/>
      </w:pPr>
    </w:p>
    <w:p w14:paraId="6CD54FE0" w14:textId="77777777" w:rsidR="00F64776" w:rsidRDefault="00F64776" w:rsidP="00F64776">
      <w:pPr>
        <w:pStyle w:val="TextoNormal"/>
      </w:pPr>
      <w:r>
        <w:t>b) Para que, en garantía de la imparcialidad, un magistrado o magistrada pueda ser apartada del conocimiento de un asunto concreto, es preciso que existan dudas objetivamente justificadas, es decir, exteriorizadas y apoyadas en datos objetivos que hagan posible afirmar fundadamente que el magistrado o magistrada no es ajena a la causa o permitan temer que, por cualquier relación con el caso concreto, no va a utilizar como criterio de juicio el previsto en la ley, sino otras consideraciones ajenas al ordenamiento jurídico.</w:t>
      </w:r>
    </w:p>
    <w:p w14:paraId="42C6A5EE" w14:textId="77777777" w:rsidR="00F64776" w:rsidRDefault="00F64776" w:rsidP="00F64776">
      <w:pPr>
        <w:pStyle w:val="TextoNormal"/>
      </w:pPr>
    </w:p>
    <w:p w14:paraId="2DC8686A" w14:textId="77777777" w:rsidR="00F64776" w:rsidRDefault="00F64776" w:rsidP="00F64776">
      <w:pPr>
        <w:pStyle w:val="TextoNormal"/>
      </w:pPr>
      <w:r>
        <w:t>c) Las particulares concepciones del Derecho y visiones del mundo de cada magistrado o magistrada se reflejan en la necesaria pluralidad de perspectivas jurídicas que confluyen en las deliberaciones y decisiones del Tribunal, y esa heterogeneidad de posiciones guarda una estrecha correspondencia con el pluralismo político como valor superior del ordenamiento jurídico (art. 1.1 CE). Esa pluralidad de perspectivas es lo que justifica que, por ejemplo, la Constitución no prohíba la pertenencia de los magistrados y magistradas a partidos políticos o sindicatos. La pluralidad de la magistratura constitucional se convierte, así, en una seña de su propia identidad, por lo que no puede suponer, sin más, la incompatibilidad para el ejercicio de sus funciones, mediante una genérica causa de recusación que ponga en tela de juicio su imparcialidad. Las diversas circunstancias que definen la personalidad de cada uno de los magistrados y magistradas y conforman su trayectoria personal no pueden considerarse condicionamientos negativos que afecten a su imparcialidad, pues la imparcialidad que exige el art. 22 LOTC no equivale a un mandato de neutralidad general o a una exigencia de aislamiento social y político casi imposible de cumplir en cualesquiera profesionales, también en los juristas de reconocida competencia (AATC 180/2013, de 17 de septiembre, FJ 3 y 107/2021, de 15 de diciembre, FJ 2).</w:t>
      </w:r>
    </w:p>
    <w:p w14:paraId="35DF2FAA" w14:textId="77777777" w:rsidR="00F64776" w:rsidRDefault="00F64776" w:rsidP="00F64776">
      <w:pPr>
        <w:pStyle w:val="TextoNormal"/>
      </w:pPr>
    </w:p>
    <w:p w14:paraId="69325935" w14:textId="77777777" w:rsidR="00F64776" w:rsidRDefault="00F64776" w:rsidP="00F64776">
      <w:pPr>
        <w:pStyle w:val="TextoNormal"/>
      </w:pPr>
      <w:r>
        <w:t>d) En relación con la causa de recusación específicamente invocada en el caso sometido a análisis —tener interés directo o indirecto en el pleito o causa (art. 219.10 LOPJ)— hemos declarado que, la posibilidad de recusar a los magistrados y magistradas del Tribunal Constitucional ha de ser puesta en relación con el conocimiento y resolución de un concreto asunto. En particular, debe considerarse aquello que proporciona al magistrado o magistrada una ventaja o beneficio o le evita una carga o perjuicio, para sí o para sus allegados. Ha de tratarse de un interés singularizado en relación con el concreto proceso en que se plantee la recusación y actual, esto es, concurrente en el momento en que se promueve su apartamiento mediante la recusación (ATC 26/2007, de 5 de febrero). Por ello, para que quepa apreciar la existencia del interés directo o indirecto a que se refiere el art. 219.10, del resultado del proceso debe derivar un potencial provecho para el magistrado o magistrada recusada (ATC 73/2022, de 27 de abril).</w:t>
      </w:r>
    </w:p>
    <w:p w14:paraId="3416BDB8" w14:textId="77777777" w:rsidR="00F64776" w:rsidRDefault="00F64776" w:rsidP="00F64776">
      <w:pPr>
        <w:pStyle w:val="TextoNormal"/>
      </w:pPr>
    </w:p>
    <w:p w14:paraId="57675EBC" w14:textId="21E039BA" w:rsidR="00F64776" w:rsidRDefault="00F64776" w:rsidP="00F64776">
      <w:pPr>
        <w:pStyle w:val="TextoNormal"/>
      </w:pPr>
      <w:r>
        <w:t xml:space="preserve">e) El mero planteamiento de una recusación contra alguno o algunos de los magistrados o magistradas integrantes de este tribunal no conlleva, inexcusablemente, su completa tramitación y resolución, pudiendo producirse su rechazo inicial por incumplimiento de los requisitos formales que afectan a la esencia del procedimiento, por no aducirse causa en que legítimamente pueda fundarse la recusación y por no establecerse los hechos que le sirvan de fundamento (STC 47/1982, de 12 de julio, FJ 3). También procede inadmitir </w:t>
      </w:r>
      <w:r w:rsidRPr="00F64776">
        <w:rPr>
          <w:i/>
        </w:rPr>
        <w:t>a limine</w:t>
      </w:r>
      <w:r>
        <w:t xml:space="preserve"> las recusaciones que se apoyan en la mera invocación de una causa legal, carente de cualquier vínculo con los hechos que se narran para darle sustento, o de aquellas que se sustentan en meras afirmaciones de imposible encaje en un motivo de recusación y huérfanas de todo sustento en hechos concretos, tales como la atribución de “posiciones cercanas ideológicamente” a las de un partido político [AATC 195/1983, de 4 de mayo, FJ 3, y 107/2021, de 15 de diciembre, FJ 4 c)].</w:t>
      </w:r>
    </w:p>
    <w:p w14:paraId="2DD30B94" w14:textId="77777777" w:rsidR="00F64776" w:rsidRDefault="00F64776" w:rsidP="00F64776">
      <w:pPr>
        <w:pStyle w:val="TextoNormal"/>
      </w:pPr>
    </w:p>
    <w:p w14:paraId="3AD499D3" w14:textId="77777777" w:rsidR="00F64776" w:rsidRDefault="00F64776" w:rsidP="00F64776">
      <w:pPr>
        <w:pStyle w:val="TextoNormal"/>
      </w:pPr>
      <w:r w:rsidRPr="00F64776">
        <w:rPr>
          <w:rStyle w:val="NumeroAFNegritaCaracter"/>
        </w:rPr>
        <w:t>3</w:t>
      </w:r>
      <w:r>
        <w:t xml:space="preserve">. </w:t>
      </w:r>
      <w:r w:rsidRPr="00F64776">
        <w:rPr>
          <w:i/>
        </w:rPr>
        <w:t>Análisis de la recusación formulada</w:t>
      </w:r>
    </w:p>
    <w:p w14:paraId="626E1BA2" w14:textId="77777777" w:rsidR="00F64776" w:rsidRDefault="00F64776" w:rsidP="00F64776">
      <w:pPr>
        <w:pStyle w:val="TextoNormal"/>
      </w:pPr>
    </w:p>
    <w:p w14:paraId="6A86FABE" w14:textId="77777777" w:rsidR="00F64776" w:rsidRDefault="00F64776" w:rsidP="00F64776">
      <w:pPr>
        <w:pStyle w:val="TextoNormal"/>
      </w:pPr>
      <w:r>
        <w:t>Para determinar la eventual vinculación de la causa de recusación aducida por el PP con el objeto del recurso de amparo electoral, procede precisar, en primer lugar, que el objeto viene constituido por la sentencia núm. 1105/2023, dictada el 25 de agosto por la Sala de lo Contencioso-Administrativo del Tribunal Supremo, que confirmó dos resoluciones previas de la Junta Electoral Provincial de Madrid y la Junta Electoral Central por las que se denegaba la revisión de la totalidad de los votos nulos de la circunscripción electoral de Madrid pretendida por el PSOE. La demanda de amparo parte de la afirmación de que la doctrina previa de este Tribunal (en concreto la STC 159/2015, de 14 de julio) ha reconocido el derecho a la revisión de la totalidad de los votos nulos como parte del contenido esencial del derecho fundamental al sufragio pasivo (art. 23.1 CE), y la denegación de dicha revisión vulnera tanto el derecho citado como el derecho fundamental de los ciudadanos a acceder en condiciones de igualdad a las funciones y cargos públicos (art. 23.2 CE); y que, por ello, impide conocer la verdadera voluntad de los electores, manifestada en el proceso electoral.</w:t>
      </w:r>
    </w:p>
    <w:p w14:paraId="70559100" w14:textId="77777777" w:rsidR="00F64776" w:rsidRDefault="00F64776" w:rsidP="00F64776">
      <w:pPr>
        <w:pStyle w:val="TextoNormal"/>
      </w:pPr>
    </w:p>
    <w:p w14:paraId="25789F7D" w14:textId="00FA619C" w:rsidR="00F64776" w:rsidRDefault="00F64776" w:rsidP="00F64776">
      <w:pPr>
        <w:pStyle w:val="TextoNormal"/>
      </w:pPr>
      <w:r>
        <w:t>En atención al objeto del recurso de amparo resulta patente, desde este momento preliminar, que los hechos expresados en el escrito de recusación de la magistrada señora Díez Bueso carecen de relación suficiente y adecuada con ellos y no son susceptibles de subsunción en la causa de recusación invocada. Tal como indicamos en el ATC 73/2022, de 27 de abril, FJ 4 a), para que quepa apreciar la existencia del interés directo o indirecto a que se refiere el art. 219.10 LOPJ es preciso que del resultado del pleito pueda derivarse un potencial provecho para la magistrada recusada, circunstancia que ni se expresa en el escrito de recusación ni se advierte que concurra en el presente caso. A esta circunstancia ha de añadirse que, dado el lapso temporal desde su cese en el cargo de directora general (26 de abril de 2022) y la sucesión de acontecimientos que sirven de base al recurso de amparo (elecciones generales celebradas el 23 de julio de 2023), resulta imposible que la magistrada haya podido realizar actuación alguna, como titular de dicho cargo, en relación con el asunto que ha de ser analizado en el recurso, y no puede sostenerse fundadamente que, en tal condición de directora general, haya podido formar criterio sobre el mismo en detrimento de su debida imparcialidad.</w:t>
      </w:r>
    </w:p>
    <w:p w14:paraId="50C6000D" w14:textId="77777777" w:rsidR="00F64776" w:rsidRDefault="00F64776" w:rsidP="00F64776">
      <w:pPr>
        <w:pStyle w:val="TextoNormal"/>
      </w:pPr>
    </w:p>
    <w:p w14:paraId="2E80107C" w14:textId="77777777" w:rsidR="00F64776" w:rsidRDefault="00F64776" w:rsidP="00F64776">
      <w:pPr>
        <w:pStyle w:val="TextoNormal"/>
      </w:pPr>
      <w:r>
        <w:t>Por lo expuesto, la Sala</w:t>
      </w:r>
    </w:p>
    <w:p w14:paraId="3EF68734" w14:textId="12ADBEDE" w:rsidR="00F64776" w:rsidRDefault="00F64776" w:rsidP="00F64776">
      <w:pPr>
        <w:pStyle w:val="TextoNormal"/>
      </w:pPr>
    </w:p>
    <w:p w14:paraId="44B9BBA5" w14:textId="77777777" w:rsidR="00F64776" w:rsidRDefault="00F64776" w:rsidP="00F64776">
      <w:pPr>
        <w:pStyle w:val="TextoNormalCentrado"/>
      </w:pPr>
      <w:r>
        <w:t>ACUERDA</w:t>
      </w:r>
    </w:p>
    <w:p w14:paraId="41FFDB3B" w14:textId="0F8A3902" w:rsidR="00F64776" w:rsidRDefault="00F64776" w:rsidP="00F64776">
      <w:pPr>
        <w:pStyle w:val="TextoNormalCentrado"/>
      </w:pPr>
    </w:p>
    <w:p w14:paraId="4E6183E2" w14:textId="0E0D601A" w:rsidR="00F64776" w:rsidRDefault="00F64776" w:rsidP="00F64776">
      <w:pPr>
        <w:pStyle w:val="TextoNormal"/>
      </w:pPr>
      <w:r>
        <w:t>No admitir a trámite la recusación de la magistrada doña Laura Díez Bueso promovida por el Partido Popular en el recurso de amparo electoral núm. 5529-2023.</w:t>
      </w:r>
    </w:p>
    <w:p w14:paraId="715B2E0E" w14:textId="77777777" w:rsidR="00F64776" w:rsidRDefault="00F64776" w:rsidP="00F64776">
      <w:pPr>
        <w:pStyle w:val="TextoNormal"/>
      </w:pPr>
    </w:p>
    <w:p w14:paraId="724EDB0A" w14:textId="77777777" w:rsidR="00F64776" w:rsidRDefault="00F64776" w:rsidP="00F64776">
      <w:pPr>
        <w:pStyle w:val="TextoNormal"/>
      </w:pPr>
      <w:r>
        <w:t>Madrid, a once de septiembre de dos mil veintitrés.</w:t>
      </w:r>
    </w:p>
    <w:p w14:paraId="71882936" w14:textId="0FA1E3DF" w:rsidR="00F64776" w:rsidRDefault="00F64776">
      <w:pPr>
        <w:spacing w:after="160" w:line="278" w:lineRule="auto"/>
        <w:rPr>
          <w:rFonts w:ascii="Times New Roman" w:eastAsia="Times New Roman" w:hAnsi="Times New Roman" w:cs="Times New Roman"/>
          <w:sz w:val="24"/>
          <w:szCs w:val="24"/>
          <w:lang w:eastAsia="es-ES"/>
        </w:rPr>
      </w:pPr>
      <w:r>
        <w:br w:type="page"/>
      </w:r>
    </w:p>
    <w:p w14:paraId="7D39BBF5" w14:textId="77777777" w:rsidR="00F64776" w:rsidRDefault="00F64776" w:rsidP="00F64776">
      <w:pPr>
        <w:pStyle w:val="TtuloResolucin"/>
      </w:pPr>
      <w:bookmarkStart w:id="218" w:name="AUTO_2023_433"/>
      <w:r>
        <w:t>AUTO 433/2023, de 12 de septiembre de 2023</w:t>
      </w:r>
    </w:p>
    <w:bookmarkEnd w:id="218"/>
    <w:p w14:paraId="6E9703A4" w14:textId="77777777" w:rsidR="00F64776" w:rsidRDefault="00F64776" w:rsidP="00F64776">
      <w:pPr>
        <w:pStyle w:val="TtuloResolucin"/>
      </w:pPr>
      <w:r>
        <w:t>Pleno</w:t>
      </w:r>
    </w:p>
    <w:p w14:paraId="42C0BFEC" w14:textId="77777777" w:rsidR="00F64776" w:rsidRDefault="00F64776" w:rsidP="00F64776">
      <w:pPr>
        <w:pStyle w:val="TextoNormalCentrado"/>
      </w:pPr>
      <w:r>
        <w:t>ECLI:ES:TC:2023:433A</w:t>
      </w:r>
    </w:p>
    <w:p w14:paraId="15B162ED" w14:textId="512CE7AD" w:rsidR="00F64776" w:rsidRDefault="00F64776" w:rsidP="00F64776">
      <w:pPr>
        <w:pStyle w:val="TextoNormalCentrado"/>
      </w:pPr>
    </w:p>
    <w:p w14:paraId="0ED73F9B" w14:textId="77777777" w:rsidR="00F64776" w:rsidRDefault="00F64776" w:rsidP="00F64776">
      <w:pPr>
        <w:pStyle w:val="SntesisDescriptiva"/>
      </w:pPr>
      <w:r>
        <w:t>Excms. Srs. don Cándido Conde-Pumpido Tourón, doña Inmaculada Montalbán Huertas, don Ricardo Enríquez Sancho, doña María Luisa Balaguer Callejón, don Ramón Sáez Valcárcel, don Enrique Arnaldo Alcubilla, doña Concepción Espejel Jorquera, doña María Luisa Segoviano Astaburuaga y don César Tolosa Tribiño.</w:t>
      </w:r>
    </w:p>
    <w:p w14:paraId="2085E75E" w14:textId="2E264FFC" w:rsidR="00F64776" w:rsidRDefault="00F64776" w:rsidP="00F64776">
      <w:pPr>
        <w:pStyle w:val="SntesisDescriptiva"/>
      </w:pPr>
    </w:p>
    <w:p w14:paraId="68D1DB1E" w14:textId="77777777" w:rsidR="00F64776" w:rsidRDefault="00F64776" w:rsidP="00F64776">
      <w:pPr>
        <w:pStyle w:val="SntesisDescriptiva"/>
      </w:pPr>
      <w:r>
        <w:t>Acepta una abstención en las cuestiones de inconstitucionalidad núm. 4242-2023 y 4408-2023, planteadas contra la Ley 16/2022, de 5 de septiembre, de reforma del texto refundido de la Ley Concursal, aprobado por Real Decreto Legislativo 1/2020, de 5 de mayo.</w:t>
      </w:r>
    </w:p>
    <w:p w14:paraId="189B31BE" w14:textId="08BD7F86" w:rsidR="00F64776" w:rsidRDefault="00F64776" w:rsidP="00F64776">
      <w:pPr>
        <w:pStyle w:val="SntesisDescriptiva"/>
      </w:pPr>
    </w:p>
    <w:p w14:paraId="293E32AE" w14:textId="77777777" w:rsidR="00F64776" w:rsidRDefault="00F64776" w:rsidP="00F64776">
      <w:pPr>
        <w:pStyle w:val="SntesisDescriptiva"/>
      </w:pPr>
    </w:p>
    <w:p w14:paraId="57DE5963" w14:textId="77777777" w:rsidR="00F64776" w:rsidRDefault="00F64776" w:rsidP="00F64776">
      <w:pPr>
        <w:pStyle w:val="SntesisDescriptiva"/>
      </w:pPr>
    </w:p>
    <w:p w14:paraId="0FCA2ECD" w14:textId="77777777" w:rsidR="00F64776" w:rsidRDefault="00F64776" w:rsidP="00F64776">
      <w:pPr>
        <w:pStyle w:val="TextoNormalNegritaCentrado"/>
      </w:pPr>
      <w:r>
        <w:t>AUTO</w:t>
      </w:r>
    </w:p>
    <w:p w14:paraId="33B94FD9" w14:textId="6738F98B" w:rsidR="00F64776" w:rsidRDefault="00F64776" w:rsidP="00F64776">
      <w:pPr>
        <w:pStyle w:val="TextoNormalNegritaCentrado"/>
      </w:pPr>
    </w:p>
    <w:p w14:paraId="54A19D2A" w14:textId="77777777" w:rsidR="00F64776" w:rsidRDefault="00F64776" w:rsidP="00F64776">
      <w:pPr>
        <w:pStyle w:val="TextoNormalNegritaCentrado"/>
        <w:keepNext/>
      </w:pPr>
      <w:r>
        <w:t>I. Antecedentes</w:t>
      </w:r>
    </w:p>
    <w:p w14:paraId="74737970" w14:textId="0D06B02E" w:rsidR="00F64776" w:rsidRDefault="00F64776" w:rsidP="00F64776">
      <w:pPr>
        <w:pStyle w:val="TextoNormalNegritaCentrado"/>
        <w:keepNext/>
      </w:pPr>
    </w:p>
    <w:p w14:paraId="13EB5D35" w14:textId="4DE2802E" w:rsidR="00F64776" w:rsidRDefault="00F64776" w:rsidP="00F64776">
      <w:pPr>
        <w:pStyle w:val="TextoNormal"/>
      </w:pPr>
      <w:r w:rsidRPr="00F64776">
        <w:rPr>
          <w:rStyle w:val="NumeroAFNegritaCaracter"/>
        </w:rPr>
        <w:t>1</w:t>
      </w:r>
      <w:r>
        <w:t>. Por escrito fechado el día 5 de septiembre de 2023, el magistrado don Juan Carlos Campo Moreno comunicó al señor presidente, a los efectos oportunos, su voluntad de abstenerse de intervenir en el conocimiento de las cuestiones de inconstitucionalidad núm. 4242-2023 y 4408-2023.</w:t>
      </w:r>
    </w:p>
    <w:p w14:paraId="40D54201" w14:textId="77777777" w:rsidR="00F64776" w:rsidRDefault="00F64776" w:rsidP="00F64776">
      <w:pPr>
        <w:pStyle w:val="TextoNormal"/>
      </w:pPr>
    </w:p>
    <w:p w14:paraId="73D3103E" w14:textId="713BABFA" w:rsidR="00F64776" w:rsidRDefault="00F64776" w:rsidP="00F64776">
      <w:pPr>
        <w:pStyle w:val="TextoNormal"/>
      </w:pPr>
      <w:r w:rsidRPr="00F64776">
        <w:rPr>
          <w:rStyle w:val="NumeroAFNegritaCaracter"/>
        </w:rPr>
        <w:t>2</w:t>
      </w:r>
      <w:r>
        <w:t>. La solicitud de abstención se vincula al hecho de haber participado el magistrado, en la condición de ministro de Justicia, en el Consejo de Ministros de 5 de mayo de 2020, en el que se aprobó el Real Decreto Legislativo 1/2020, de 5 de mayo, por el que se aprueba el texto refundido de la Ley concursal.</w:t>
      </w:r>
    </w:p>
    <w:p w14:paraId="03257872" w14:textId="77777777" w:rsidR="00F64776" w:rsidRDefault="00F64776" w:rsidP="00F64776">
      <w:pPr>
        <w:pStyle w:val="TextoNormal"/>
      </w:pPr>
    </w:p>
    <w:p w14:paraId="38BC93D6" w14:textId="77777777" w:rsidR="00F64776" w:rsidRDefault="00F64776" w:rsidP="00F64776">
      <w:pPr>
        <w:pStyle w:val="TextoNormalNegritaCentrado"/>
        <w:keepNext/>
      </w:pPr>
      <w:r>
        <w:t>II. Fundamentos jurídicos</w:t>
      </w:r>
    </w:p>
    <w:p w14:paraId="07CB5E00" w14:textId="1FE1E937" w:rsidR="00F64776" w:rsidRDefault="00F64776" w:rsidP="00F64776">
      <w:pPr>
        <w:pStyle w:val="TextoNormalNegritaCentrado"/>
        <w:keepNext/>
      </w:pPr>
    </w:p>
    <w:p w14:paraId="6BF6C54D" w14:textId="4EDAFAD8" w:rsidR="00F64776" w:rsidRDefault="00F64776" w:rsidP="00F64776">
      <w:pPr>
        <w:pStyle w:val="TextoNormal"/>
      </w:pPr>
      <w:r w:rsidRPr="00F64776">
        <w:rPr>
          <w:rStyle w:val="TextoNormalNegritaCaracter"/>
        </w:rPr>
        <w:t xml:space="preserve">Único. </w:t>
      </w:r>
      <w:r>
        <w:t>Visto el contenido de la comunicación efectuada por el magistrado don Juan Carlos Campo Moreno, en virtud de lo previsto en los arts. 80 de la Ley Orgánica del Tribunal Constitucional y 221.4 de la Ley Orgánica del Poder Judicial (LOPJ), se estima justificada la causa de la abstención formulada. La participación del magistrado, en su anterior condición de ministro de Justicia, en el Consejo de Ministros de 5 de mayo de 2020, en el que se aprobó el Real Decreto Legislativo 1/2020, de 5 de mayo, objeto de las cuestiones de inconstitucionalidad 4242-2023 y 4408-2023, integra, de acuerdo con los arts. 2, 5, 18, 22 y 24 de la Ley 50/1997, de 27 de noviembre, del Gobierno, la causa de abstención recogida en el art. 219.13 LOPJ, según la cual lo es “haber ocupado cargo público, desempeñado empleo o ejercido profesión con ocasión de los cuales haya participado directa o indirectamente en el asunto objeto del pleito o causa o en otro relacionado con el mismo”.</w:t>
      </w:r>
    </w:p>
    <w:p w14:paraId="4B2E0C2E" w14:textId="77777777" w:rsidR="00F64776" w:rsidRDefault="00F64776" w:rsidP="00F64776">
      <w:pPr>
        <w:pStyle w:val="TextoNormal"/>
      </w:pPr>
    </w:p>
    <w:p w14:paraId="1B2FDB74" w14:textId="77777777" w:rsidR="00F64776" w:rsidRDefault="00F64776" w:rsidP="00F64776">
      <w:pPr>
        <w:pStyle w:val="TextoNormal"/>
      </w:pPr>
      <w:r>
        <w:t>Por lo expuesto, el Pleno</w:t>
      </w:r>
    </w:p>
    <w:p w14:paraId="5C59C44E" w14:textId="7ACCBB06" w:rsidR="00F64776" w:rsidRDefault="00F64776" w:rsidP="00F64776">
      <w:pPr>
        <w:pStyle w:val="TextoNormal"/>
      </w:pPr>
    </w:p>
    <w:p w14:paraId="1811178B" w14:textId="77777777" w:rsidR="00F64776" w:rsidRDefault="00F64776" w:rsidP="00F64776">
      <w:pPr>
        <w:pStyle w:val="TextoNormalCentrado"/>
      </w:pPr>
      <w:r>
        <w:t>ACUERDA</w:t>
      </w:r>
    </w:p>
    <w:p w14:paraId="37601699" w14:textId="7C4FAF9D" w:rsidR="00F64776" w:rsidRDefault="00F64776" w:rsidP="00F64776">
      <w:pPr>
        <w:pStyle w:val="TextoNormalCentrado"/>
      </w:pPr>
    </w:p>
    <w:p w14:paraId="21FC658D" w14:textId="77777777" w:rsidR="00F64776" w:rsidRDefault="00F64776" w:rsidP="00F64776">
      <w:pPr>
        <w:pStyle w:val="TextoNormal"/>
      </w:pPr>
      <w:r>
        <w:t>Estimar justificada la abstención formulada por el magistrado don Juan Carlos Campo Moreno, apartándole definitivamente del conocimiento de las cuestiones de inconstitucionalidad núm. 4242-2023 y 4408-2023.</w:t>
      </w:r>
    </w:p>
    <w:p w14:paraId="5F2418FD" w14:textId="77777777" w:rsidR="00F64776" w:rsidRDefault="00F64776" w:rsidP="00F64776">
      <w:pPr>
        <w:pStyle w:val="TextoNormal"/>
      </w:pPr>
    </w:p>
    <w:p w14:paraId="5AA74C6B" w14:textId="476A3D1C" w:rsidR="00F64776" w:rsidRDefault="00F64776" w:rsidP="00F64776">
      <w:pPr>
        <w:pStyle w:val="TextoNormal"/>
      </w:pPr>
      <w:r>
        <w:t>Déjese el original de la presente resolución en la cuestión de inconstitucionalidad núm. 4242-2023 y llévese testimonio a la cuestión de inconstitucionalidad núm. 4408-2023.</w:t>
      </w:r>
    </w:p>
    <w:p w14:paraId="7DEF34F2" w14:textId="77777777" w:rsidR="00F64776" w:rsidRDefault="00F64776" w:rsidP="00F64776">
      <w:pPr>
        <w:pStyle w:val="TextoNormal"/>
      </w:pPr>
    </w:p>
    <w:p w14:paraId="0C24A083" w14:textId="77777777" w:rsidR="00F64776" w:rsidRDefault="00F64776" w:rsidP="00F64776">
      <w:pPr>
        <w:pStyle w:val="TextoNormal"/>
      </w:pPr>
      <w:r>
        <w:t>Madrid, a doce de septiembre de dos mil veintitrés.</w:t>
      </w:r>
    </w:p>
    <w:p w14:paraId="386A1B06" w14:textId="599B9802" w:rsidR="00F64776" w:rsidRDefault="00F64776">
      <w:pPr>
        <w:spacing w:after="160" w:line="278" w:lineRule="auto"/>
        <w:rPr>
          <w:rFonts w:ascii="Times New Roman" w:eastAsia="Times New Roman" w:hAnsi="Times New Roman" w:cs="Times New Roman"/>
          <w:sz w:val="24"/>
          <w:szCs w:val="24"/>
          <w:lang w:eastAsia="es-ES"/>
        </w:rPr>
      </w:pPr>
      <w:r>
        <w:br w:type="page"/>
      </w:r>
    </w:p>
    <w:p w14:paraId="46D78708" w14:textId="77777777" w:rsidR="00F64776" w:rsidRDefault="00F64776" w:rsidP="00F64776">
      <w:pPr>
        <w:pStyle w:val="TtuloResolucin"/>
      </w:pPr>
      <w:bookmarkStart w:id="219" w:name="AUTO_2023_434"/>
      <w:r>
        <w:t>AUTO 434/2023, de 12 de septiembre de 2023</w:t>
      </w:r>
    </w:p>
    <w:bookmarkEnd w:id="219"/>
    <w:p w14:paraId="33AE82AA" w14:textId="77777777" w:rsidR="00F64776" w:rsidRDefault="00F64776" w:rsidP="00F64776">
      <w:pPr>
        <w:pStyle w:val="TtuloResolucin"/>
      </w:pPr>
      <w:r>
        <w:t>Pleno</w:t>
      </w:r>
    </w:p>
    <w:p w14:paraId="439A8384" w14:textId="77777777" w:rsidR="00F64776" w:rsidRDefault="00F64776" w:rsidP="00F64776">
      <w:pPr>
        <w:pStyle w:val="TextoNormalCentrado"/>
      </w:pPr>
      <w:r>
        <w:t>ECLI:ES:TC:2023:434A</w:t>
      </w:r>
    </w:p>
    <w:p w14:paraId="0F43650F" w14:textId="2788BBD4" w:rsidR="00F64776" w:rsidRDefault="00F64776" w:rsidP="00F64776">
      <w:pPr>
        <w:pStyle w:val="TextoNormalCentrado"/>
      </w:pPr>
    </w:p>
    <w:p w14:paraId="21712E0F" w14:textId="77777777" w:rsidR="00F64776" w:rsidRDefault="00F64776" w:rsidP="00F64776">
      <w:pPr>
        <w:pStyle w:val="SntesisDescriptiva"/>
      </w:pPr>
      <w:r>
        <w:t>Excms. Srs. doña Inmaculada Montalbán Huertas, don Ricardo Enríquez Sancho, doña María Luisa Balaguer Callejón, don Ramón Sáez Valcárcel, don Enrique Arnaldo Alcubilla, doña Concepción Espejel Jorquera, doña María Luisa Segoviano Astaburuaga, don César Tolosa Tribiño y don Juan Carlos Campo Moreno.</w:t>
      </w:r>
    </w:p>
    <w:p w14:paraId="1EC12292" w14:textId="36C43D51" w:rsidR="00F64776" w:rsidRDefault="00F64776" w:rsidP="00F64776">
      <w:pPr>
        <w:pStyle w:val="SntesisDescriptiva"/>
      </w:pPr>
    </w:p>
    <w:p w14:paraId="70BBF4E5" w14:textId="77777777" w:rsidR="00F64776" w:rsidRDefault="00F64776" w:rsidP="00F64776">
      <w:pPr>
        <w:pStyle w:val="SntesisDescriptiva"/>
      </w:pPr>
      <w:r>
        <w:t>Acepta una abstención en el recurso de amparo 5439-2023, promovido por don Carles Puigdemont i Casamajó y don Antoni Comín i Oliveres en causa penal.</w:t>
      </w:r>
    </w:p>
    <w:p w14:paraId="6FF16696" w14:textId="1AF9804E" w:rsidR="00F64776" w:rsidRDefault="00F64776" w:rsidP="00F64776">
      <w:pPr>
        <w:pStyle w:val="SntesisDescriptiva"/>
      </w:pPr>
    </w:p>
    <w:p w14:paraId="4F714A68" w14:textId="77777777" w:rsidR="00F64776" w:rsidRDefault="00F64776" w:rsidP="00F64776">
      <w:pPr>
        <w:pStyle w:val="SntesisDescriptiva"/>
      </w:pPr>
    </w:p>
    <w:p w14:paraId="68317F4B" w14:textId="77777777" w:rsidR="00F64776" w:rsidRDefault="00F64776" w:rsidP="00F64776">
      <w:pPr>
        <w:pStyle w:val="SntesisDescriptiva"/>
      </w:pPr>
    </w:p>
    <w:p w14:paraId="4BF6E911" w14:textId="77777777" w:rsidR="00F64776" w:rsidRDefault="00F64776" w:rsidP="00F64776">
      <w:pPr>
        <w:pStyle w:val="TextoNormalNegritaCentrado"/>
      </w:pPr>
      <w:r>
        <w:t>AUTO</w:t>
      </w:r>
    </w:p>
    <w:p w14:paraId="3108F75C" w14:textId="400647A2" w:rsidR="00F64776" w:rsidRDefault="00F64776" w:rsidP="00F64776">
      <w:pPr>
        <w:pStyle w:val="TextoNormalNegritaCentrado"/>
      </w:pPr>
    </w:p>
    <w:p w14:paraId="63466356" w14:textId="77777777" w:rsidR="00F64776" w:rsidRDefault="00F64776" w:rsidP="00F64776">
      <w:pPr>
        <w:pStyle w:val="TextoNormalNegritaCentrado"/>
        <w:keepNext/>
      </w:pPr>
      <w:r>
        <w:t>I. Antecedentes</w:t>
      </w:r>
    </w:p>
    <w:p w14:paraId="7C617F49" w14:textId="435D099B" w:rsidR="00F64776" w:rsidRDefault="00F64776" w:rsidP="00F64776">
      <w:pPr>
        <w:pStyle w:val="TextoNormalNegritaCentrado"/>
        <w:keepNext/>
      </w:pPr>
    </w:p>
    <w:p w14:paraId="204D23E4" w14:textId="77777777" w:rsidR="00F64776" w:rsidRDefault="00F64776" w:rsidP="00F64776">
      <w:pPr>
        <w:pStyle w:val="TextoNormal"/>
      </w:pPr>
      <w:r w:rsidRPr="00F64776">
        <w:rPr>
          <w:rStyle w:val="TextoNormalNegritaCaracter"/>
        </w:rPr>
        <w:t xml:space="preserve">Único. </w:t>
      </w:r>
      <w:r>
        <w:t>En el recurso de amparo núm. 5439-2023, interpuesto por don Carles Puigdemont i Casamajó y don Antoni Comín i Oliveres, se impugna el auto de la Sala de lo Penal del Tribunal Supremo de 13 de junio de 2023, dictado en la causa especial núm. 20907-2017, por el que se desestima el recurso de apelación interpuesto contra el auto de 21 de marzo de 2023 del magistrado instructor de la causa que, a su vez, desestimó el recurso de reforma interpuesto contra el auto de 12 de enero de 2023, por el que el magistrado instructor acordó la busca y captura e ingreso en prisión de los ahora recurrentes en amparo, como presuntos autores de sendos delitos de desobediencia del art. 410 del Código penal (CP) y malversación de caudales públicos del art. 432 CP, así como librar orden nacional de detención contra los mismos.</w:t>
      </w:r>
    </w:p>
    <w:p w14:paraId="6043576C" w14:textId="77777777" w:rsidR="00F64776" w:rsidRDefault="00F64776" w:rsidP="00F64776">
      <w:pPr>
        <w:pStyle w:val="TextoNormal"/>
      </w:pPr>
    </w:p>
    <w:p w14:paraId="2B9B89B0" w14:textId="77777777" w:rsidR="00F64776" w:rsidRDefault="00F64776" w:rsidP="00F64776">
      <w:pPr>
        <w:pStyle w:val="TextoNormal"/>
      </w:pPr>
      <w:r>
        <w:t>Mediante escrito de fecha 5 de septiembre de 2023 los magistrados don Ramón Sáez Valcárcel, don Juan Carlos Campo Moreno y doña Laura Díez Bueso han propuesto, de conformidad con lo previsto en el artículo 10.1 n) de la Ley Orgánica del Tribunal Constitucional, la avocación al Pleno de dicho recurso de amparo, atendida la identidad de razón que presentan algunas de las cuestiones planteadas en dicho recurso con las que constituyen el objeto de los recursos de amparo núm. 64-2020 y 972-2021 (pendientes de resolución sobre el fondo), que fueron planteados por los mismos recurrentes y, en su día, declarados conexos, admitidos a trámite y avocados al Pleno por unanimidad.</w:t>
      </w:r>
    </w:p>
    <w:p w14:paraId="111301C4" w14:textId="77777777" w:rsidR="00F64776" w:rsidRDefault="00F64776" w:rsidP="00F64776">
      <w:pPr>
        <w:pStyle w:val="TextoNormal"/>
      </w:pPr>
    </w:p>
    <w:p w14:paraId="47D3CAE8" w14:textId="605CE073" w:rsidR="00F64776" w:rsidRDefault="00F64776" w:rsidP="00F64776">
      <w:pPr>
        <w:pStyle w:val="TextoNormal"/>
      </w:pPr>
      <w:r>
        <w:t>Mediante escrito de la misma fecha, el presidente de este tribunal, don Cándido Conde-Pumpido Tourón, ha puesto de manifiesto, al amparo del artículo 217 de la Ley Orgánica del Poder Judicial, que en el presente recurso de amparo sería apreciable la concurrencia de la causa de abstención décima del artículo 219 de la Ley Orgánica del Poder Judicial, por las mismas razones que fueron expuestas en su escrito de fecha 7 de abril de 2021 en el recurso de amparo núm. 1403-2020, que el ATC 48/2021, de 21 de abril, consideró debidamente justificadas, dado que constituyen su objeto resoluciones judiciales adoptadas en la causa especial de la Sala de lo Penal del Tribunal Supremo núm. 20907-2017.</w:t>
      </w:r>
    </w:p>
    <w:p w14:paraId="47A132E1" w14:textId="77777777" w:rsidR="00F64776" w:rsidRDefault="00F64776" w:rsidP="00F64776">
      <w:pPr>
        <w:pStyle w:val="TextoNormal"/>
      </w:pPr>
    </w:p>
    <w:p w14:paraId="774A88CF" w14:textId="77777777" w:rsidR="00F64776" w:rsidRDefault="00F64776" w:rsidP="00F64776">
      <w:pPr>
        <w:pStyle w:val="TextoNormalNegritaCentrado"/>
        <w:keepNext/>
      </w:pPr>
      <w:r>
        <w:t>II. Fundamentos jurídicos</w:t>
      </w:r>
    </w:p>
    <w:p w14:paraId="723BEC5E" w14:textId="7FE7B653" w:rsidR="00F64776" w:rsidRDefault="00F64776" w:rsidP="00F64776">
      <w:pPr>
        <w:pStyle w:val="TextoNormalNegritaCentrado"/>
        <w:keepNext/>
      </w:pPr>
    </w:p>
    <w:p w14:paraId="0B6DA849" w14:textId="561AAC95" w:rsidR="00F64776" w:rsidRDefault="00F64776" w:rsidP="00F64776">
      <w:pPr>
        <w:pStyle w:val="TextoNormal"/>
      </w:pPr>
      <w:r w:rsidRPr="00F64776">
        <w:rPr>
          <w:rStyle w:val="TextoNormalNegritaCaracter"/>
        </w:rPr>
        <w:t xml:space="preserve">Único. </w:t>
      </w:r>
      <w:r>
        <w:t>Vista la comunicación efectuada por don Cándido Conde-Pumpido Tourón, presidente de este tribunal, el Pleno, en virtud de lo previsto en el artículo 219 apartado décimo de la Ley Orgánica del Poder Judicial, de aplicación supletoria conforme al artículo 80 de la Ley Orgánica del Tribunal Constitucional, estima justificada la causa de abstención formulada, dado que constituyen objeto del recurso de amparo resoluciones judiciales adoptadas en la causa especial de la Sala de lo Penal del Tribunal Supremo núm. 20907-2017, por lo que resulta procedente su aceptación en los términos y por las razones manifestadas en su escrito.</w:t>
      </w:r>
    </w:p>
    <w:p w14:paraId="505AB7D7" w14:textId="77777777" w:rsidR="00F64776" w:rsidRDefault="00F64776" w:rsidP="00F64776">
      <w:pPr>
        <w:pStyle w:val="TextoNormal"/>
      </w:pPr>
    </w:p>
    <w:p w14:paraId="7D2A7824" w14:textId="77777777" w:rsidR="00F64776" w:rsidRDefault="00F64776" w:rsidP="00F64776">
      <w:pPr>
        <w:pStyle w:val="TextoNormal"/>
      </w:pPr>
      <w:r>
        <w:t>Por lo expuesto, el Pleno</w:t>
      </w:r>
    </w:p>
    <w:p w14:paraId="47BAEB6F" w14:textId="68E6E6A0" w:rsidR="00F64776" w:rsidRDefault="00F64776" w:rsidP="00F64776">
      <w:pPr>
        <w:pStyle w:val="TextoNormal"/>
      </w:pPr>
    </w:p>
    <w:p w14:paraId="6B2225D2" w14:textId="77777777" w:rsidR="00F64776" w:rsidRDefault="00F64776" w:rsidP="00F64776">
      <w:pPr>
        <w:pStyle w:val="TextoNormalCentrado"/>
      </w:pPr>
      <w:r>
        <w:t>ACUERDA</w:t>
      </w:r>
    </w:p>
    <w:p w14:paraId="463E835B" w14:textId="67420762" w:rsidR="00F64776" w:rsidRDefault="00F64776" w:rsidP="00F64776">
      <w:pPr>
        <w:pStyle w:val="TextoNormalCentrado"/>
      </w:pPr>
    </w:p>
    <w:p w14:paraId="0A507759" w14:textId="4BFF3752" w:rsidR="00F64776" w:rsidRDefault="00F64776" w:rsidP="00F64776">
      <w:pPr>
        <w:pStyle w:val="TextoNormal"/>
      </w:pPr>
      <w:r>
        <w:t>Aceptar la abstención formulada por don Cándido Conde-Pumpido Tourón en el recurso de amparo núm. 5439-2023, y apartarle definitivamente del citado recurso y de todas sus incidencias.</w:t>
      </w:r>
    </w:p>
    <w:p w14:paraId="4EFCF215" w14:textId="77777777" w:rsidR="00F64776" w:rsidRDefault="00F64776" w:rsidP="00F64776">
      <w:pPr>
        <w:pStyle w:val="TextoNormal"/>
      </w:pPr>
    </w:p>
    <w:p w14:paraId="289CD4A9" w14:textId="77777777" w:rsidR="00F64776" w:rsidRDefault="00F64776" w:rsidP="00F64776">
      <w:pPr>
        <w:pStyle w:val="TextoNormal"/>
      </w:pPr>
      <w:r>
        <w:t>Madrid, a doce de septiembre de dos mil veintitrés.</w:t>
      </w:r>
    </w:p>
    <w:p w14:paraId="77491EFF" w14:textId="4B37102D" w:rsidR="00F64776" w:rsidRDefault="00F64776">
      <w:pPr>
        <w:spacing w:after="160" w:line="278" w:lineRule="auto"/>
        <w:rPr>
          <w:rFonts w:ascii="Times New Roman" w:eastAsia="Times New Roman" w:hAnsi="Times New Roman" w:cs="Times New Roman"/>
          <w:sz w:val="24"/>
          <w:szCs w:val="24"/>
          <w:lang w:eastAsia="es-ES"/>
        </w:rPr>
      </w:pPr>
      <w:r>
        <w:br w:type="page"/>
      </w:r>
    </w:p>
    <w:p w14:paraId="6529A550" w14:textId="77777777" w:rsidR="00F64776" w:rsidRDefault="00F64776" w:rsidP="00F64776">
      <w:pPr>
        <w:pStyle w:val="TtuloResolucin"/>
      </w:pPr>
      <w:bookmarkStart w:id="220" w:name="AUTO_2023_435"/>
      <w:r>
        <w:t>AUTO 435/2023, de 22 de septiembre de 2023</w:t>
      </w:r>
    </w:p>
    <w:bookmarkEnd w:id="220"/>
    <w:p w14:paraId="4DF88CA0" w14:textId="77777777" w:rsidR="00F64776" w:rsidRDefault="00F64776" w:rsidP="00F64776">
      <w:pPr>
        <w:pStyle w:val="TtuloResolucin"/>
      </w:pPr>
      <w:r>
        <w:t>Sección Tercera</w:t>
      </w:r>
    </w:p>
    <w:p w14:paraId="0D18CB1D" w14:textId="77777777" w:rsidR="00F64776" w:rsidRDefault="00F64776" w:rsidP="00F64776">
      <w:pPr>
        <w:pStyle w:val="TextoNormalCentrado"/>
      </w:pPr>
      <w:r>
        <w:t>ECLI:ES:TC:2023:435A</w:t>
      </w:r>
    </w:p>
    <w:p w14:paraId="19F08DB5" w14:textId="3C791B4A" w:rsidR="00F64776" w:rsidRDefault="00F64776" w:rsidP="00F64776">
      <w:pPr>
        <w:pStyle w:val="TextoNormalCentrado"/>
      </w:pPr>
    </w:p>
    <w:p w14:paraId="2A7328CB" w14:textId="77777777" w:rsidR="00F64776" w:rsidRDefault="00F64776" w:rsidP="00F64776">
      <w:pPr>
        <w:pStyle w:val="SntesisDescriptiva"/>
      </w:pPr>
      <w:r>
        <w:t>Excms. Srs. doña Inmaculada Montalbán Huertas y doña Laura Díez Bueso.</w:t>
      </w:r>
    </w:p>
    <w:p w14:paraId="61CC23D2" w14:textId="6F87090D" w:rsidR="00F64776" w:rsidRDefault="00F64776" w:rsidP="00F64776">
      <w:pPr>
        <w:pStyle w:val="SntesisDescriptiva"/>
      </w:pPr>
    </w:p>
    <w:p w14:paraId="02ABB21A" w14:textId="77777777" w:rsidR="00F64776" w:rsidRDefault="00F64776" w:rsidP="00F64776">
      <w:pPr>
        <w:pStyle w:val="SntesisDescriptiva"/>
      </w:pPr>
      <w:r>
        <w:t>Acepta una abstención en el recurso de amparo 2672-2022, promovido en proceso contencioso administrativo.</w:t>
      </w:r>
    </w:p>
    <w:p w14:paraId="1867B1DB" w14:textId="5D1ED3AE" w:rsidR="00F64776" w:rsidRDefault="00F64776" w:rsidP="00F64776">
      <w:pPr>
        <w:pStyle w:val="SntesisDescriptiva"/>
      </w:pPr>
    </w:p>
    <w:p w14:paraId="0DD8423E" w14:textId="77777777" w:rsidR="00F64776" w:rsidRDefault="00F64776" w:rsidP="00F64776">
      <w:pPr>
        <w:pStyle w:val="SntesisDescriptiva"/>
      </w:pPr>
    </w:p>
    <w:p w14:paraId="7C7D3B92" w14:textId="77777777" w:rsidR="00F64776" w:rsidRDefault="00F64776" w:rsidP="00F64776">
      <w:pPr>
        <w:pStyle w:val="SntesisDescriptiva"/>
      </w:pPr>
    </w:p>
    <w:p w14:paraId="010C24F8" w14:textId="77777777" w:rsidR="00F64776" w:rsidRDefault="00F64776" w:rsidP="00F64776">
      <w:pPr>
        <w:pStyle w:val="TextoNormalNegritaCentrado"/>
      </w:pPr>
      <w:r>
        <w:t>AUTO</w:t>
      </w:r>
    </w:p>
    <w:p w14:paraId="4518BD75" w14:textId="61291B60" w:rsidR="00F64776" w:rsidRDefault="00F64776" w:rsidP="00F64776">
      <w:pPr>
        <w:pStyle w:val="TextoNormalNegritaCentrado"/>
      </w:pPr>
    </w:p>
    <w:p w14:paraId="7884C030" w14:textId="77777777" w:rsidR="00F64776" w:rsidRDefault="00F64776" w:rsidP="00F64776">
      <w:pPr>
        <w:pStyle w:val="TextoNormalNegritaCentrado"/>
        <w:keepNext/>
      </w:pPr>
      <w:r>
        <w:t>I. Antecedentes</w:t>
      </w:r>
    </w:p>
    <w:p w14:paraId="09B3CFAB" w14:textId="52328E2A" w:rsidR="00F64776" w:rsidRDefault="00F64776" w:rsidP="00F64776">
      <w:pPr>
        <w:pStyle w:val="TextoNormalNegritaCentrado"/>
        <w:keepNext/>
      </w:pPr>
    </w:p>
    <w:p w14:paraId="52DE25FB" w14:textId="278F56EE" w:rsidR="00F64776" w:rsidRDefault="00F64776" w:rsidP="00F64776">
      <w:pPr>
        <w:pStyle w:val="TextoNormal"/>
      </w:pPr>
      <w:r w:rsidRPr="00F64776">
        <w:rPr>
          <w:rStyle w:val="NumeroAFNegritaCaracter"/>
        </w:rPr>
        <w:t>1</w:t>
      </w:r>
      <w:r>
        <w:t>. Mediante escrito registrado en este tribunal el 13 de abril de 2022 la procuradora de los tribunales doña Matilde Marín Pérez, en nombre y representación de don Lucas Reyes España y otros y bajo la dirección de la letrada doña Cristina Cabrera Sosa, formuló demanda de amparo contra la providencia de 7 de octubre de 2021, dictada por la Sección Primera de la Sala de lo Contencioso-Administrativo del Tribunal Supremo, en el recurso de casación núm. 835-2021.</w:t>
      </w:r>
    </w:p>
    <w:p w14:paraId="38E911B5" w14:textId="77777777" w:rsidR="00F64776" w:rsidRDefault="00F64776" w:rsidP="00F64776">
      <w:pPr>
        <w:pStyle w:val="TextoNormal"/>
      </w:pPr>
    </w:p>
    <w:p w14:paraId="58E2331A" w14:textId="7CC4B052" w:rsidR="00F64776" w:rsidRDefault="00F64776" w:rsidP="00F64776">
      <w:pPr>
        <w:pStyle w:val="TextoNormal"/>
      </w:pPr>
      <w:r w:rsidRPr="00F64776">
        <w:rPr>
          <w:rStyle w:val="NumeroAFNegritaCaracter"/>
        </w:rPr>
        <w:t>2</w:t>
      </w:r>
      <w:r>
        <w:t>. Por escrito de 21 de septiembre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2E888E9D" w14:textId="77777777" w:rsidR="00F64776" w:rsidRDefault="00F64776" w:rsidP="00F64776">
      <w:pPr>
        <w:pStyle w:val="TextoNormal"/>
      </w:pPr>
    </w:p>
    <w:p w14:paraId="7BDB5945" w14:textId="77777777" w:rsidR="00F64776" w:rsidRDefault="00F64776" w:rsidP="00F64776">
      <w:pPr>
        <w:pStyle w:val="TextoNormalNegritaCentrado"/>
        <w:keepNext/>
      </w:pPr>
      <w:r>
        <w:t>II. Fundamentos jurídicos</w:t>
      </w:r>
    </w:p>
    <w:p w14:paraId="27AA7875" w14:textId="51DBE48A" w:rsidR="00F64776" w:rsidRDefault="00F64776" w:rsidP="00F64776">
      <w:pPr>
        <w:pStyle w:val="TextoNormalNegritaCentrado"/>
        <w:keepNext/>
      </w:pPr>
    </w:p>
    <w:p w14:paraId="41FA1E7C" w14:textId="751F7509"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06C811F0" w14:textId="77777777" w:rsidR="00F64776" w:rsidRDefault="00F64776" w:rsidP="00F64776">
      <w:pPr>
        <w:pStyle w:val="TextoNormal"/>
      </w:pPr>
    </w:p>
    <w:p w14:paraId="12BD888B" w14:textId="77777777" w:rsidR="00F64776" w:rsidRDefault="00F64776" w:rsidP="00F64776">
      <w:pPr>
        <w:pStyle w:val="TextoNormal"/>
      </w:pPr>
      <w:r>
        <w:t>Por lo expuesto, la Sección</w:t>
      </w:r>
    </w:p>
    <w:p w14:paraId="6B2B4C81" w14:textId="7722F27C" w:rsidR="00F64776" w:rsidRDefault="00F64776" w:rsidP="00F64776">
      <w:pPr>
        <w:pStyle w:val="TextoNormal"/>
      </w:pPr>
    </w:p>
    <w:p w14:paraId="7A6BCBA0" w14:textId="77777777" w:rsidR="00F64776" w:rsidRDefault="00F64776" w:rsidP="00F64776">
      <w:pPr>
        <w:pStyle w:val="TextoNormalCentrado"/>
      </w:pPr>
      <w:r>
        <w:t>ACUERDA</w:t>
      </w:r>
    </w:p>
    <w:p w14:paraId="6C7093E7" w14:textId="35E70306" w:rsidR="00F64776" w:rsidRDefault="00F64776" w:rsidP="00F64776">
      <w:pPr>
        <w:pStyle w:val="TextoNormalCentrado"/>
      </w:pPr>
    </w:p>
    <w:p w14:paraId="3E0ED079" w14:textId="59609755" w:rsidR="00F64776" w:rsidRDefault="00F64776" w:rsidP="00F64776">
      <w:pPr>
        <w:pStyle w:val="TextoNormal"/>
      </w:pPr>
      <w:r>
        <w:t>Estimar justificada la abstención formulada por el magistrado don César Tolosa Tribiño en el recurso de amparo núm. 2672-2022 y apartarle definitivamente del conocimiento del referido recurso y de todas sus incidencias.</w:t>
      </w:r>
    </w:p>
    <w:p w14:paraId="69679F35" w14:textId="77777777" w:rsidR="00F64776" w:rsidRDefault="00F64776" w:rsidP="00F64776">
      <w:pPr>
        <w:pStyle w:val="TextoNormal"/>
      </w:pPr>
    </w:p>
    <w:p w14:paraId="134E06F5" w14:textId="77777777" w:rsidR="00F64776" w:rsidRDefault="00F64776" w:rsidP="00F64776">
      <w:pPr>
        <w:pStyle w:val="TextoNormal"/>
      </w:pPr>
      <w:r>
        <w:t>Madrid, a veintidós de septiembre de dos mil veintitrés.</w:t>
      </w:r>
    </w:p>
    <w:p w14:paraId="0F850C97" w14:textId="7E40B87F" w:rsidR="00F64776" w:rsidRDefault="00F64776">
      <w:pPr>
        <w:spacing w:after="160" w:line="278" w:lineRule="auto"/>
        <w:rPr>
          <w:rFonts w:ascii="Times New Roman" w:eastAsia="Times New Roman" w:hAnsi="Times New Roman" w:cs="Times New Roman"/>
          <w:sz w:val="24"/>
          <w:szCs w:val="24"/>
          <w:lang w:eastAsia="es-ES"/>
        </w:rPr>
      </w:pPr>
      <w:r>
        <w:br w:type="page"/>
      </w:r>
    </w:p>
    <w:p w14:paraId="10C31B3C" w14:textId="77777777" w:rsidR="00F64776" w:rsidRDefault="00F64776" w:rsidP="00F64776">
      <w:pPr>
        <w:pStyle w:val="TtuloResolucin"/>
      </w:pPr>
      <w:bookmarkStart w:id="221" w:name="AUTO_2023_436"/>
      <w:r>
        <w:t>AUTO 436/2023, de 25 de septiembre de 2023</w:t>
      </w:r>
    </w:p>
    <w:bookmarkEnd w:id="221"/>
    <w:p w14:paraId="313BC2E8" w14:textId="77777777" w:rsidR="00F64776" w:rsidRDefault="00F64776" w:rsidP="00F64776">
      <w:pPr>
        <w:pStyle w:val="TtuloResolucin"/>
      </w:pPr>
      <w:r>
        <w:t>Sala Primera</w:t>
      </w:r>
    </w:p>
    <w:p w14:paraId="2831FAB2" w14:textId="77777777" w:rsidR="00F64776" w:rsidRDefault="00F64776" w:rsidP="00F64776">
      <w:pPr>
        <w:pStyle w:val="TextoNormalCentrado"/>
      </w:pPr>
      <w:r>
        <w:t>ECLI:ES:TC:2023:436A</w:t>
      </w:r>
    </w:p>
    <w:p w14:paraId="0C73A2ED" w14:textId="4B3E182B" w:rsidR="00F64776" w:rsidRDefault="00F64776" w:rsidP="00F64776">
      <w:pPr>
        <w:pStyle w:val="TextoNormalCentrado"/>
      </w:pPr>
    </w:p>
    <w:p w14:paraId="4F576CB2" w14:textId="77777777" w:rsidR="00F64776" w:rsidRDefault="00F64776" w:rsidP="00F64776">
      <w:pPr>
        <w:pStyle w:val="SntesisDescriptiva"/>
      </w:pPr>
      <w:r>
        <w:t>Excms. Srs. don Cándido Conde-Pumpido Tourón, don Ricardo Enríquez Sancho, doña Concepción Espejel Jorquera, doña María Luisa Segoviano Astaburuaga y don Juan Carlos Campo Moreno.</w:t>
      </w:r>
    </w:p>
    <w:p w14:paraId="42CB2DDD" w14:textId="07AB3D32" w:rsidR="00F64776" w:rsidRDefault="00F64776" w:rsidP="00F64776">
      <w:pPr>
        <w:pStyle w:val="SntesisDescriptiva"/>
      </w:pPr>
    </w:p>
    <w:p w14:paraId="0ABD077D" w14:textId="77777777" w:rsidR="00F64776" w:rsidRDefault="00F64776" w:rsidP="00F64776">
      <w:pPr>
        <w:pStyle w:val="SntesisDescriptiva"/>
      </w:pPr>
      <w:r>
        <w:t>Deniega la suspensión en el recurso de amparo 1289-2023, promovido doña R. M. S. P., en procedimiento de jurisdicción voluntaria.</w:t>
      </w:r>
    </w:p>
    <w:p w14:paraId="50080A84" w14:textId="5F884B49" w:rsidR="00F64776" w:rsidRDefault="00F64776" w:rsidP="00F64776">
      <w:pPr>
        <w:pStyle w:val="SntesisDescriptiva"/>
      </w:pPr>
    </w:p>
    <w:p w14:paraId="56ED7AD7" w14:textId="77777777" w:rsidR="00F64776" w:rsidRDefault="00F64776" w:rsidP="00F64776">
      <w:pPr>
        <w:pStyle w:val="SntesisDescriptiva"/>
      </w:pPr>
    </w:p>
    <w:p w14:paraId="4737EE95" w14:textId="77777777" w:rsidR="00F64776" w:rsidRDefault="00F64776" w:rsidP="00F64776">
      <w:pPr>
        <w:pStyle w:val="SntesisDescriptiva"/>
      </w:pPr>
    </w:p>
    <w:p w14:paraId="31BDB41F" w14:textId="77777777" w:rsidR="00F64776" w:rsidRDefault="00F64776" w:rsidP="00F64776">
      <w:pPr>
        <w:pStyle w:val="TextoNormalNegritaCentrado"/>
      </w:pPr>
      <w:r>
        <w:t>AUTO</w:t>
      </w:r>
    </w:p>
    <w:p w14:paraId="395576D2" w14:textId="1EBC1D53" w:rsidR="00F64776" w:rsidRDefault="00F64776" w:rsidP="00F64776">
      <w:pPr>
        <w:pStyle w:val="TextoNormalNegritaCentrado"/>
      </w:pPr>
    </w:p>
    <w:p w14:paraId="335BC36A" w14:textId="77777777" w:rsidR="00F64776" w:rsidRDefault="00F64776" w:rsidP="00F64776">
      <w:pPr>
        <w:pStyle w:val="TextoNormalNegritaCentrado"/>
        <w:keepNext/>
      </w:pPr>
      <w:r>
        <w:t>I. Antecedentes</w:t>
      </w:r>
    </w:p>
    <w:p w14:paraId="2017260B" w14:textId="331B24B3" w:rsidR="00F64776" w:rsidRDefault="00F64776" w:rsidP="00F64776">
      <w:pPr>
        <w:pStyle w:val="TextoNormalNegritaCentrado"/>
        <w:keepNext/>
      </w:pPr>
    </w:p>
    <w:p w14:paraId="34F2B07D" w14:textId="3094C32E" w:rsidR="00F64776" w:rsidRDefault="00F64776" w:rsidP="00F64776">
      <w:pPr>
        <w:pStyle w:val="TextoNormal"/>
      </w:pPr>
      <w:r w:rsidRPr="00F64776">
        <w:rPr>
          <w:rStyle w:val="NumeroAFNegritaCaracter"/>
        </w:rPr>
        <w:t>1</w:t>
      </w:r>
      <w:r>
        <w:t>. Con fecha 27 de febrero de 2023 tuvo entrada en el registro general de este Tribunal Constitucional un escrito de la procuradora de los tribunales doña Natalia Vanesa Gurrea Martínez, actuando en representación de doña R. M. S. P., y bajo la defensa del abogado don Alexis José Aneas Fernández, por el que interpuso recurso de amparo contra las resoluciones que se han identificado en el encabezamiento.</w:t>
      </w:r>
    </w:p>
    <w:p w14:paraId="50FEE52B" w14:textId="77777777" w:rsidR="00F64776" w:rsidRDefault="00F64776" w:rsidP="00F64776">
      <w:pPr>
        <w:pStyle w:val="TextoNormal"/>
      </w:pPr>
    </w:p>
    <w:p w14:paraId="6B2E6155" w14:textId="77777777" w:rsidR="00F64776" w:rsidRDefault="00F64776" w:rsidP="00F64776">
      <w:pPr>
        <w:pStyle w:val="TextoNormal"/>
      </w:pPr>
      <w:r w:rsidRPr="00F64776">
        <w:rPr>
          <w:rStyle w:val="NumeroAFNegritaCaracter"/>
        </w:rPr>
        <w:t>2</w:t>
      </w:r>
      <w:r>
        <w:t>. Los hechos relevantes para la resolución de esta pieza de suspensión, son los siguientes:</w:t>
      </w:r>
    </w:p>
    <w:p w14:paraId="092B6D34" w14:textId="77777777" w:rsidR="00F64776" w:rsidRDefault="00F64776" w:rsidP="00F64776">
      <w:pPr>
        <w:pStyle w:val="TextoNormal"/>
      </w:pPr>
    </w:p>
    <w:p w14:paraId="2C5D9170" w14:textId="77777777" w:rsidR="00F64776" w:rsidRDefault="00F64776" w:rsidP="00F64776">
      <w:pPr>
        <w:pStyle w:val="TextoNormal"/>
      </w:pPr>
      <w:r>
        <w:t>a) El Juzgado de Primera Instancia núm. 17 de Sevilla, con competencia en materia de familia, dictó el 23 de junio de 2022 un auto en el “procedimiento de intervención judicial desacuerdo ejercicio patria potestad” núm. 244-2022, con la siguiente dispositiva:</w:t>
      </w:r>
    </w:p>
    <w:p w14:paraId="73B11CFF" w14:textId="77777777" w:rsidR="00F64776" w:rsidRDefault="00F64776" w:rsidP="00F64776">
      <w:pPr>
        <w:pStyle w:val="TextoNormal"/>
      </w:pPr>
    </w:p>
    <w:p w14:paraId="4E9CF77A" w14:textId="77777777" w:rsidR="00F64776" w:rsidRDefault="00F64776" w:rsidP="00F64776">
      <w:pPr>
        <w:pStyle w:val="TextoNormal"/>
      </w:pPr>
      <w:r>
        <w:t>“Se atribuye el ejercicio exclusivo en lo relativo a la función de decidir sobre la vacunación covid-19, respecto de los menores J. M. y E. F. S. al padre don M. F. F.”.</w:t>
      </w:r>
    </w:p>
    <w:p w14:paraId="7AE749F7" w14:textId="77777777" w:rsidR="00F64776" w:rsidRDefault="00F64776" w:rsidP="00F64776">
      <w:pPr>
        <w:pStyle w:val="TextoNormal"/>
      </w:pPr>
    </w:p>
    <w:p w14:paraId="2D08248E" w14:textId="77777777" w:rsidR="00F64776" w:rsidRDefault="00F64776" w:rsidP="00F64776">
      <w:pPr>
        <w:pStyle w:val="TextoNormal"/>
      </w:pPr>
      <w:r>
        <w:t xml:space="preserve">El Juzgado accedía de este modo a la solicitud formulada por el padre de los dos menores al amparo de lo previsto en el art. 156 Código civil, respaldada por el fiscal interviniente, al oponerse la madre a la inoculación de las vacunas contra el virus del covid-19 de ambos hijos. La </w:t>
      </w:r>
      <w:r w:rsidRPr="00F64776">
        <w:rPr>
          <w:i/>
        </w:rPr>
        <w:t>ratio decidendi</w:t>
      </w:r>
      <w:r>
        <w:t xml:space="preserve"> del auto se contiene en su razonamiento jurídico segundo, donde se indica:</w:t>
      </w:r>
    </w:p>
    <w:p w14:paraId="407B729E" w14:textId="77777777" w:rsidR="00F64776" w:rsidRDefault="00F64776" w:rsidP="00F64776">
      <w:pPr>
        <w:pStyle w:val="TextoNormal"/>
      </w:pPr>
    </w:p>
    <w:p w14:paraId="08AD8E67" w14:textId="77777777" w:rsidR="00F64776" w:rsidRDefault="00F64776" w:rsidP="00F64776">
      <w:pPr>
        <w:pStyle w:val="TextoNormal"/>
      </w:pPr>
      <w:r>
        <w:t>“Los argumentos esgrimidos por la madre son comprensibles y legítimos, propios de la génesis de una toma de decisión acerca de la vacunación de un familiar, pero que deben decaer frente al carácter seguro de la vacuna covid-19, que cuenta con la aprobación de la Agencia Europea del Medicamento, siendo en todo caso mayor el riesgo de contraer la infección por coronavirus, que la de padecer algún efecto secundario grave.</w:t>
      </w:r>
    </w:p>
    <w:p w14:paraId="07262881" w14:textId="77777777" w:rsidR="00F64776" w:rsidRDefault="00F64776" w:rsidP="00F64776">
      <w:pPr>
        <w:pStyle w:val="TextoNormal"/>
      </w:pPr>
    </w:p>
    <w:p w14:paraId="09A2DB0E" w14:textId="77777777" w:rsidR="00F64776" w:rsidRDefault="00F64776" w:rsidP="00F64776">
      <w:pPr>
        <w:pStyle w:val="TextoNormal"/>
      </w:pPr>
      <w:r>
        <w:t>En el informe del médico pediatra de los menores, se indica que no existe incompatibilidad de ninguno de ellos para el suministro de la citada vacuna, así como que consta vacunación completa según el calendario oficial.</w:t>
      </w:r>
    </w:p>
    <w:p w14:paraId="5576BC8A" w14:textId="77777777" w:rsidR="00F64776" w:rsidRDefault="00F64776" w:rsidP="00F64776">
      <w:pPr>
        <w:pStyle w:val="TextoNormal"/>
      </w:pPr>
    </w:p>
    <w:p w14:paraId="490F0000" w14:textId="77777777" w:rsidR="00F64776" w:rsidRDefault="00F64776" w:rsidP="00F64776">
      <w:pPr>
        <w:pStyle w:val="TextoNormal"/>
      </w:pPr>
      <w:r>
        <w:t>Sobre esta base fáctica, se considera que la vacunación contra el covid-19, solicitada es una medida médico-sanitaria necesaria, que tiende a proteger adecuadamente la salud de los menores, se configura como una alternativa eficaz para la adecuada protección de su vida.</w:t>
      </w:r>
    </w:p>
    <w:p w14:paraId="478CD680" w14:textId="77777777" w:rsidR="00F64776" w:rsidRDefault="00F64776" w:rsidP="00F64776">
      <w:pPr>
        <w:pStyle w:val="TextoNormal"/>
      </w:pPr>
    </w:p>
    <w:p w14:paraId="092581C8" w14:textId="77777777" w:rsidR="00F64776" w:rsidRDefault="00F64776" w:rsidP="00F64776">
      <w:pPr>
        <w:pStyle w:val="TextoNormal"/>
      </w:pPr>
      <w:r>
        <w:t>No constan antecedentes patológicos en dichos menores, que contraindiquen la inoculación de cualquier vacuna.</w:t>
      </w:r>
    </w:p>
    <w:p w14:paraId="6B654A8F" w14:textId="77777777" w:rsidR="00F64776" w:rsidRDefault="00F64776" w:rsidP="00F64776">
      <w:pPr>
        <w:pStyle w:val="TextoNormal"/>
      </w:pPr>
    </w:p>
    <w:p w14:paraId="2AA0CBA4" w14:textId="77777777" w:rsidR="00F64776" w:rsidRDefault="00F64776" w:rsidP="00F64776">
      <w:pPr>
        <w:pStyle w:val="TextoNormal"/>
      </w:pPr>
      <w:r>
        <w:t>En definitiva, partiendo de lo anterior, y no constando una contraindicación médica para su vacunación, debe ser concedida a don M. F. F. la autorización para decidir en exclusiva, acerca de la inoculación de las vacunas del covid-19”.</w:t>
      </w:r>
    </w:p>
    <w:p w14:paraId="2946D371" w14:textId="77777777" w:rsidR="00F64776" w:rsidRDefault="00F64776" w:rsidP="00F64776">
      <w:pPr>
        <w:pStyle w:val="TextoNormal"/>
      </w:pPr>
    </w:p>
    <w:p w14:paraId="4559A3B1" w14:textId="77777777" w:rsidR="00F64776" w:rsidRDefault="00F64776" w:rsidP="00F64776">
      <w:pPr>
        <w:pStyle w:val="TextoNormal"/>
      </w:pPr>
      <w:r>
        <w:t>b) Apelado el auto por la aquí recurrente, la Sección Segunda de la Audiencia Provincial de Sevilla dictó auto el 16 de enero de 2023 (recurso de apelación núm. 8036-2022), con la siguiente dispositiva:</w:t>
      </w:r>
    </w:p>
    <w:p w14:paraId="0D04E104" w14:textId="77777777" w:rsidR="00F64776" w:rsidRDefault="00F64776" w:rsidP="00F64776">
      <w:pPr>
        <w:pStyle w:val="TextoNormal"/>
      </w:pPr>
    </w:p>
    <w:p w14:paraId="5D34E98C" w14:textId="77777777" w:rsidR="00F64776" w:rsidRDefault="00F64776" w:rsidP="00F64776">
      <w:pPr>
        <w:pStyle w:val="TextoNormal"/>
      </w:pPr>
      <w:r>
        <w:t>“Que desestimando el recurso deducido por la representación procesal de Doña R. M. S. P. contra el auto de 23 de junio de 2022 del Juzgado de Primera instancia número 17 de Sevilla, recaído en las actuaciones de que este rollo dimana, debemos confirmar íntegramente dicha resolución sin hacer expreso pronunciamiento en cuanto a las costas de esta segunda instancia”.</w:t>
      </w:r>
    </w:p>
    <w:p w14:paraId="1193788A" w14:textId="77777777" w:rsidR="00F64776" w:rsidRDefault="00F64776" w:rsidP="00F64776">
      <w:pPr>
        <w:pStyle w:val="TextoNormal"/>
      </w:pPr>
    </w:p>
    <w:p w14:paraId="40EA1C1E" w14:textId="77777777" w:rsidR="00F64776" w:rsidRDefault="00F64776" w:rsidP="00F64776">
      <w:pPr>
        <w:pStyle w:val="TextoNormal"/>
      </w:pPr>
      <w:r>
        <w:t>Tras indicar la Audiencia en el fundamento de derecho primero de su auto que la parte demandada alegó en su recurso de apelación “un problema que afecta al principio de igualdad, al derecho fundamental a la integridad física y moral, al derecho a la protección de la salud y a la intimidad personal y familiar”, adelantando que la pretensión planteada debía ser desestimada, denegando a continuación la queja de falta de motivación suficiente del auto del juzgado (fundamento de derecho segundo del de la Audiencia), el tribunal resuelve el fondo del recurso en el fundamento de derecho tercero, con cita de otras resoluciones suyas en asuntos del mismo tipo, cuyos razonamientos se reproducen en parte, diciendo a continuación lo siguiente:</w:t>
      </w:r>
    </w:p>
    <w:p w14:paraId="34756A2E" w14:textId="77777777" w:rsidR="00F64776" w:rsidRDefault="00F64776" w:rsidP="00F64776">
      <w:pPr>
        <w:pStyle w:val="TextoNormal"/>
      </w:pPr>
    </w:p>
    <w:p w14:paraId="6FF9F219" w14:textId="098892E4" w:rsidR="00F64776" w:rsidRDefault="00F64776" w:rsidP="00F64776">
      <w:pPr>
        <w:pStyle w:val="TextoNormal"/>
      </w:pPr>
      <w:r>
        <w:t>“En el informe médico aportado, de la pediatra de los menores se manifiesta que no existe ninguna incompatibilidad en los menores para la vacunación contra el covid-19 por lo que en base a las anteriores consideraciones, estimando que el procedimiento seguido de acuerdo con lo previsto en el artículo 156 del Código civil es perfectamente adecuado en los supuestos como el presente de desacuerdo en el ejercicio de la patria potestad y en interés de los menores respecto de la que se solicita la autorización, procede confirmar el auto apelado que acuerda atribuir a don M. F. F. la facultad de decidir sobre la vacunación de sus hijos menores frente a covid-19 desestimando el recurso interpuesto sin que proceda hacer expreso pronunciamiento de las costas de esta segunda instancia dada la índole de los derechos debatidos en este procedimiento”.</w:t>
      </w:r>
    </w:p>
    <w:p w14:paraId="30A72C86" w14:textId="77777777" w:rsidR="00F64776" w:rsidRDefault="00F64776" w:rsidP="00F64776">
      <w:pPr>
        <w:pStyle w:val="TextoNormal"/>
      </w:pPr>
    </w:p>
    <w:p w14:paraId="19352F28" w14:textId="77777777" w:rsidR="00F64776" w:rsidRDefault="00F64776" w:rsidP="00F64776">
      <w:pPr>
        <w:pStyle w:val="TextoNormal"/>
      </w:pPr>
      <w:r w:rsidRPr="00F64776">
        <w:rPr>
          <w:rStyle w:val="NumeroAFNegritaCaracter"/>
        </w:rPr>
        <w:t>3</w:t>
      </w:r>
      <w:r>
        <w:t>. La recurrente alega en su demanda de amparo, con los argumentos que tiene a bien desarrollar en su escrito, que las resoluciones judiciales impugnadas comportan una “vulneración flagrante al derecho fundamental a la tutela judicial efectiva (art. 24 CE) en relación con el principio de la seguridad jurídica (art. 9.3 CE) [en la vertiente de derecho de defensa y motivación], así como la conculcación de los derechos fundamentales a la integridad física y moral (art. 15 CE) y a la igualdad y no discriminación (art. 14 CE) [al] atribuir unilateralmente a uno de los progenitores por resolución judicial mediante el procedimiento de jurisdicción voluntaria, la facultad de inocular a los hijos menores de edad las denominadas vacunas contra la covid-19 —en su estatus actual—, esto es, como medicamento bajo distintivo triangulo negro, bajo autorización condicional y seguimiento adicional, y que, para confirmar la eficacia y seguridad el fabricante deberá enviar el informe del estudio clínico final para el estudio aleatorizado, controlado con placebo y con enmascaramiento en diciembre de 2023 (plazo ampliado cinco años más por los graves casos de pericarditis y miocarditis)”.</w:t>
      </w:r>
    </w:p>
    <w:p w14:paraId="5B19BCF6" w14:textId="77777777" w:rsidR="00F64776" w:rsidRDefault="00F64776" w:rsidP="00F64776">
      <w:pPr>
        <w:pStyle w:val="TextoNormal"/>
      </w:pPr>
    </w:p>
    <w:p w14:paraId="10CCA1AF" w14:textId="77777777" w:rsidR="00F64776" w:rsidRDefault="00F64776" w:rsidP="00F64776">
      <w:pPr>
        <w:pStyle w:val="TextoNormal"/>
      </w:pPr>
      <w:r>
        <w:t xml:space="preserve">En el suplico de la demanda se solicita que este tribunal, con admisión del recurso, dicte sentencia otorgando el amparo “a don J. D. O. M.”, así como la nulidad de los dos autos impugnados, y que se declare que no ha lugar en el procedimiento </w:t>
      </w:r>
      <w:r w:rsidRPr="00F64776">
        <w:rPr>
          <w:i/>
        </w:rPr>
        <w:t>a quo</w:t>
      </w:r>
      <w:r>
        <w:t xml:space="preserve"> para atribuir la facultad de decisión unilateral al progenitor, sobre la inoculación a los dos hijos comunes menores de edad, de la vacuna contra el covid-19 cuyas especificaciones técnicas detalla el mismo escrito, “debiendo prevalecer el principio de prudencia en tales circunstancias concretas, ante la ausencia de receta médica y el adecuado consentimiento informado, y no existe riesgo inminente para el menor”.</w:t>
      </w:r>
    </w:p>
    <w:p w14:paraId="21166FD6" w14:textId="77777777" w:rsidR="00F64776" w:rsidRDefault="00F64776" w:rsidP="00F64776">
      <w:pPr>
        <w:pStyle w:val="TextoNormal"/>
      </w:pPr>
    </w:p>
    <w:p w14:paraId="4943235B" w14:textId="326BB473" w:rsidR="00F64776" w:rsidRDefault="00F64776" w:rsidP="00F64776">
      <w:pPr>
        <w:pStyle w:val="TextoNormal"/>
      </w:pPr>
      <w:r>
        <w:t>Por medio de un “primer otrosí digo”, se solicitó la suspensión cautelar de la ejecución de los autos impugnados, pues de lo contrario, se afirma, esa ejecución sería susceptible de “causar perjuicios de imposible reparación, habida cuenta que actualmente se encuentra en trámite el presente recurso de amparo, debe suspenderse la ejecución inmediata de la parte dispositiva del auto hasta que por parte de este Excmo. Tribunal se decida la cuestión, y todo ello a fin de no hacer plenamente ineficaz la resolución que en tal Recurso pueda dictarse, caso de otorgarse el amparo”.</w:t>
      </w:r>
    </w:p>
    <w:p w14:paraId="52D27200" w14:textId="77777777" w:rsidR="00F64776" w:rsidRDefault="00F64776" w:rsidP="00F64776">
      <w:pPr>
        <w:pStyle w:val="TextoNormal"/>
      </w:pPr>
    </w:p>
    <w:p w14:paraId="77174B25" w14:textId="77777777" w:rsidR="00F64776" w:rsidRDefault="00F64776" w:rsidP="00F64776">
      <w:pPr>
        <w:pStyle w:val="TextoNormal"/>
      </w:pPr>
      <w:r w:rsidRPr="00F64776">
        <w:rPr>
          <w:rStyle w:val="NumeroAFNegritaCaracter"/>
        </w:rPr>
        <w:t>4</w:t>
      </w:r>
      <w:r>
        <w:t>. Con fecha 19 de marzo de 2023, la representante procesal de la recurrente en amparo presentó escrito manifestando que “venimos a subsanar un error en la redacción del recurso de amparo, ya que, en el SUPLICO […] en realidad debió escribirse: ‘1º Se otorgue a doña R. M. S. P. el amparo solicitado’”. Se solicita por tanto que se tenga por subsanado el citado error.</w:t>
      </w:r>
    </w:p>
    <w:p w14:paraId="5766ED8E" w14:textId="77777777" w:rsidR="00F64776" w:rsidRDefault="00F64776" w:rsidP="00F64776">
      <w:pPr>
        <w:pStyle w:val="TextoNormal"/>
      </w:pPr>
    </w:p>
    <w:p w14:paraId="4C000EEE" w14:textId="7A31B6BC" w:rsidR="00F64776" w:rsidRDefault="00F64776" w:rsidP="00F64776">
      <w:pPr>
        <w:pStyle w:val="TextoNormal"/>
      </w:pPr>
      <w:r>
        <w:t>La Secretaría de Justicia de la Sección Segunda, Sala Primera, de este tribunal, dictó una diligencia de ordenación el 21 de marzo de 2023 teniendo por recibido el escrito, y dando por subsanado el error de referencia.</w:t>
      </w:r>
    </w:p>
    <w:p w14:paraId="05C62DDF" w14:textId="77777777" w:rsidR="00F64776" w:rsidRDefault="00F64776" w:rsidP="00F64776">
      <w:pPr>
        <w:pStyle w:val="TextoNormal"/>
      </w:pPr>
    </w:p>
    <w:p w14:paraId="4599F5D1" w14:textId="77777777" w:rsidR="00F64776" w:rsidRDefault="00F64776" w:rsidP="00F64776">
      <w:pPr>
        <w:pStyle w:val="TextoNormal"/>
      </w:pPr>
      <w:r w:rsidRPr="00F64776">
        <w:rPr>
          <w:rStyle w:val="NumeroAFNegritaCaracter"/>
        </w:rPr>
        <w:t>5</w:t>
      </w:r>
      <w:r>
        <w:t>. La Sección Segunda de este tribunal dictó providencia el 8 de mayo de 2023, del siguiente tenor:</w:t>
      </w:r>
    </w:p>
    <w:p w14:paraId="227CD6D6" w14:textId="77777777" w:rsidR="00F64776" w:rsidRDefault="00F64776" w:rsidP="00F64776">
      <w:pPr>
        <w:pStyle w:val="TextoNormal"/>
      </w:pPr>
    </w:p>
    <w:p w14:paraId="5DF336A9" w14:textId="77777777" w:rsidR="00F64776" w:rsidRDefault="00F64776" w:rsidP="00F64776">
      <w:pPr>
        <w:pStyle w:val="TextoNormal"/>
      </w:pPr>
      <w:r>
        <w:t>“La Sección ha examinado el recurso de amparo y ha acordado admitirlo a trámite, apreciando que concurre en el mismo una especial trascendencia constitucional (art. 50.1 LOTC) porque el recurso plantea un problema o afecta a una faceta de un derecho fundamental sobre el que no hay doctrina de este tribunal [STC 155/2009, FJ 2, a)], y el asunto suscitado trasciende del caso concreto porque plantea una cuestión jurídica de relevante y general repercusión social o económica [STC 155/2009, FJ 2, g)].</w:t>
      </w:r>
    </w:p>
    <w:p w14:paraId="41E55268" w14:textId="77777777" w:rsidR="00F64776" w:rsidRDefault="00F64776" w:rsidP="00F64776">
      <w:pPr>
        <w:pStyle w:val="TextoNormal"/>
      </w:pPr>
    </w:p>
    <w:p w14:paraId="7459EDC0" w14:textId="77777777" w:rsidR="00F64776" w:rsidRDefault="00F64776" w:rsidP="00F64776">
      <w:pPr>
        <w:pStyle w:val="TextoNormal"/>
      </w:pPr>
      <w:r>
        <w:t>Por ello, en aplicación de lo dispuesto en el art. 51 LOTC, atenta comunicación a la Sección Segunda de la Audiencia Provincial de Sevilla a fin de que, en plazo que no exceda de diez días, remita certificación o fotocopia adverada de las actuaciones correspondientes al recurso de apelación 8036-2022.</w:t>
      </w:r>
    </w:p>
    <w:p w14:paraId="3EAE82B3" w14:textId="77777777" w:rsidR="00F64776" w:rsidRDefault="00F64776" w:rsidP="00F64776">
      <w:pPr>
        <w:pStyle w:val="TextoNormal"/>
      </w:pPr>
    </w:p>
    <w:p w14:paraId="36CBE426" w14:textId="77777777" w:rsidR="00F64776" w:rsidRDefault="00F64776" w:rsidP="00F64776">
      <w:pPr>
        <w:pStyle w:val="TextoNormal"/>
      </w:pPr>
      <w:r>
        <w:t>Diríjase igualmente atenta comunicación al Juzgado de Primera Instancia núm. 17 de Sevilla a fin de que, en plazo que no exceda de diez días, remita certificación o fotocopia adverada de las actuaciones correspondientes a los autos de [intervención judicial] desacuerdo ejercicio patria potestad núm. 244-2022, debiendo previamente emplazarse, para que en el plazo de diez días puedan comparecer, si lo desean, en el recurso de amparo a quienes hubieran sido parte en el procedimiento, excepto la parte recurrente en amparo.</w:t>
      </w:r>
    </w:p>
    <w:p w14:paraId="59C03C31" w14:textId="77777777" w:rsidR="00F64776" w:rsidRDefault="00F64776" w:rsidP="00F64776">
      <w:pPr>
        <w:pStyle w:val="TextoNormal"/>
      </w:pPr>
    </w:p>
    <w:p w14:paraId="3EDBDFEF" w14:textId="1A861C89" w:rsidR="00F64776" w:rsidRDefault="00F64776" w:rsidP="00F64776">
      <w:pPr>
        <w:pStyle w:val="TextoNormal"/>
      </w:pPr>
      <w:r>
        <w:t>De conformidad con la solicitud de la parte actora, fórmese la correspondiente pieza separada de suspensión”.</w:t>
      </w:r>
    </w:p>
    <w:p w14:paraId="20723B96" w14:textId="77777777" w:rsidR="00F64776" w:rsidRDefault="00F64776" w:rsidP="00F64776">
      <w:pPr>
        <w:pStyle w:val="TextoNormal"/>
      </w:pPr>
    </w:p>
    <w:p w14:paraId="043A0405" w14:textId="0FD32254" w:rsidR="00F64776" w:rsidRDefault="00F64776" w:rsidP="00F64776">
      <w:pPr>
        <w:pStyle w:val="TextoNormal"/>
      </w:pPr>
      <w:r w:rsidRPr="00F64776">
        <w:rPr>
          <w:rStyle w:val="NumeroAFNegritaCaracter"/>
        </w:rPr>
        <w:t>6</w:t>
      </w:r>
      <w:r>
        <w:t>. Por nueva providencia dictada por la Sección Segunda de este tribunal en la misma fecha, 8 de mayo de 2023, se dispuso “formar con el precedente testimonio la presente pieza separada de suspensión y, de conformidad con lo prevenido en el art. 56 de la Ley Orgánica del Tribunal Constitucional, conceder un plazo común de tres días, al Ministerio Fiscal y al solicitante del amparo, para que dentro de dicho término aleguen lo que estimen pertinente en relación con la petición de suspensión interesada”.</w:t>
      </w:r>
    </w:p>
    <w:p w14:paraId="5EECFAE2" w14:textId="77777777" w:rsidR="00F64776" w:rsidRDefault="00F64776" w:rsidP="00F64776">
      <w:pPr>
        <w:pStyle w:val="TextoNormal"/>
      </w:pPr>
    </w:p>
    <w:p w14:paraId="73F829BB" w14:textId="77777777" w:rsidR="00F64776" w:rsidRDefault="00F64776" w:rsidP="00F64776">
      <w:pPr>
        <w:pStyle w:val="TextoNormal"/>
      </w:pPr>
      <w:r w:rsidRPr="00F64776">
        <w:rPr>
          <w:rStyle w:val="NumeroAFNegritaCaracter"/>
        </w:rPr>
        <w:t>7</w:t>
      </w:r>
      <w:r>
        <w:t>. La representante procesal de la recurrente presentó escrito de alegaciones en esta pieza el 15 de mayo de este año, interesando que por este tribunal se acuerde la petición de suspensión de la ejecución de los autos impugnados “hasta la resolución definitiva en el presente recurso de amparo 1289-2023”.</w:t>
      </w:r>
    </w:p>
    <w:p w14:paraId="6984C046" w14:textId="77777777" w:rsidR="00F64776" w:rsidRDefault="00F64776" w:rsidP="00F64776">
      <w:pPr>
        <w:pStyle w:val="TextoNormal"/>
      </w:pPr>
    </w:p>
    <w:p w14:paraId="669728A4" w14:textId="77777777" w:rsidR="00F64776" w:rsidRDefault="00F64776" w:rsidP="00F64776">
      <w:pPr>
        <w:pStyle w:val="TextoNormal"/>
      </w:pPr>
      <w:r>
        <w:t>Fundamenta la parte actora su solicitud, en primer término, trayendo a colación lo resuelto por este tribunal en el ATC 74/2021, de 20 de julio (recurso de inconstitucionalidad núm. 1975-2021), que resolvió mantener la suspensión que por providencia de 20 de abril de 2021 había acordado el Pleno de este tribunal conforme a lo previsto en el art. 161.2 CE, respecto del artículo único, apartado cinco, de la Ley de la Comunidad Autónoma de Galicia 8/2021, de 25 de febrero, de modificación de la Ley 8/2008, de 10 de julio, de salud de Galicia, concretamente en cuanto a la nueva redacción dada al art. 38.2, apartado b), de dicha ley, que preveía la posible adopción de medidas preventivas de salud pública incluyendo la vacunación de la ciudadanía por las autoridades sanitarias gallegas (levantando el ATC 74/2021 la suspensión del resto de los apartados del art. 38.2). Dice la recurrente que la decisión así adoptada en el ATC 74/2021, FJ 5, revela que este tribunal considera que esa medida de vacunación obligatoria afecta directamente al derecho fundamental del art. 15 CE, y es una medida irreversible que se aparta de la estrategia nacional de vacunación contra el covid-19 que parte de la vacunación voluntaria.</w:t>
      </w:r>
    </w:p>
    <w:p w14:paraId="04338EDF" w14:textId="77777777" w:rsidR="00F64776" w:rsidRDefault="00F64776" w:rsidP="00F64776">
      <w:pPr>
        <w:pStyle w:val="TextoNormal"/>
      </w:pPr>
    </w:p>
    <w:p w14:paraId="597F59E5" w14:textId="77777777" w:rsidR="00F64776" w:rsidRDefault="00F64776" w:rsidP="00F64776">
      <w:pPr>
        <w:pStyle w:val="TextoNormal"/>
      </w:pPr>
      <w:r>
        <w:t xml:space="preserve">Asimismo, aduce que en el ATC 112/2022, de 13 de julio (recurso de inconstitucionalidad núm. 2238-2022), FJ 4, el Tribunal acordó también la suspensión de vigencia </w:t>
      </w:r>
      <w:r w:rsidRPr="00F64776">
        <w:rPr>
          <w:i/>
        </w:rPr>
        <w:t>ex</w:t>
      </w:r>
      <w:r>
        <w:t xml:space="preserve"> art. 161.2 CE, del último inciso del art. 14.3 de la Ley del Parlamento Vasco 2/2021, de 24 de junio, de medidas para la gestión de la pandemia de covid-19, norma impugnada que permite la imposición de medidas limitativas de derechos en caso de negativa de la persona a someterse a la vacunación contra el virus, al equipararse con la medida obligatoria de sometimiento a pruebas diagnósticas “Este mismo precepto se aplicará a los efectos de la exigencia de vacunación”.</w:t>
      </w:r>
    </w:p>
    <w:p w14:paraId="2C1686A6" w14:textId="77777777" w:rsidR="00F64776" w:rsidRDefault="00F64776" w:rsidP="00F64776">
      <w:pPr>
        <w:pStyle w:val="TextoNormal"/>
      </w:pPr>
    </w:p>
    <w:p w14:paraId="1E03ACB1" w14:textId="77777777" w:rsidR="00F64776" w:rsidRDefault="00F64776" w:rsidP="00F64776">
      <w:pPr>
        <w:pStyle w:val="TextoNormal"/>
      </w:pPr>
      <w:r>
        <w:t>De esta doble cita jurisprudencial extrae la recurrente la conclusión de que “si la medida preventiva sanitaria publicada en dos normas autonómicas fueron merecedoras de la suspensión con cuánta más razón no debería merecer la suspensión un auto que deviene de un procedimiento de jurisdicción voluntaria”. Entiende que si no se suspenden las resoluciones impugnadas en este amparo “se habrá vaciado completamente el núcleo del derecho fundamental a la integridad física y moral recogido en el art. 15 CE […]; en caso de obtener el amparo del Tribunal más tarde, sería imposible retrotraer los hechos al momento anterior a la inoculación”. Cita luego la STC 120/1990, de 27 de junio, sobre el contenido del derecho fundamental del art. 15 CE, y añade que la medida de suspensión sería la más “equilibrada y adecuada”; “ambos Autos reconocen que la parte dispositiva no ha de intepretarse como una obligación a vacunar, sino más bien, dado [</w:t>
      </w:r>
      <w:r w:rsidRPr="00F64776">
        <w:rPr>
          <w:i/>
        </w:rPr>
        <w:t>sic</w:t>
      </w:r>
      <w:r>
        <w:t>] la falta de acuerdo entre los progenitores, se faculta la toma de decisión a uno de ellos. Por tanto, la ponderación de los intereses en conflicto nos aboca a concluir que, de no suspenderse la ejecución de la medida impuganda [</w:t>
      </w:r>
      <w:r w:rsidRPr="00F64776">
        <w:rPr>
          <w:i/>
        </w:rPr>
        <w:t>sic</w:t>
      </w:r>
      <w:r>
        <w:t>] se produciría un daño real e irremediable, de imposible reparación, convirtiendo el amparo en ilusorio (AATC 18/2012; 565/1986; 52/1989; 59/1996; y 316/1997)”.</w:t>
      </w:r>
    </w:p>
    <w:p w14:paraId="69D4B5E3" w14:textId="77777777" w:rsidR="00F64776" w:rsidRDefault="00F64776" w:rsidP="00F64776">
      <w:pPr>
        <w:pStyle w:val="TextoNormal"/>
      </w:pPr>
    </w:p>
    <w:p w14:paraId="70682C84" w14:textId="3BF9777D" w:rsidR="00F64776" w:rsidRDefault="00F64776" w:rsidP="00F64776">
      <w:pPr>
        <w:pStyle w:val="TextoNormal"/>
      </w:pPr>
      <w:r>
        <w:t xml:space="preserve">Dice también que teniendo en cuenta que el bien protegido en este caso es el interés superior del menor, la responsabilidad de la vacunación recae sobre ambos progenitores, como recoge el art. 9.3 de la Ley 41/2002, “y con más razón, si aceptamos que, técnicamente hablando, la vacuna contra la covid-19 prosigue en su fase de ensayo clínico, tal y como advierte su ficha técnica al indicar que, en diciembre de 2023” se prevé un informe de un estudio realizado. Que la “OMS [Organización Mundial de la Salud] ha declarado el fin de la emergencia de pandemia internacional” y ha reevaluado la utilidad de la vacunación contra el covid-19 en niños y adolescentes, pues con “la variante ónmicron [sic] entre la población no vacunada y vacunada se ha producido un alto nivel de inmunidad debido a la infección”, y un informe de un órgano asesor del Consejo Interterritorial del Sistema Nacional de Salud, de 2021, expresando dudas sobre la reducción de la transmisión del SARS-CoV-2. También alega que la suspensión no supone un daño a la salud de los dos hijos menores, ni afectaría a terceros ni supondría una perturbación grave de los intereses generales, “ya que, tanto la población vacunada, como no vacunada, se infecta y es fuente de contagio como admitieron los expertos de la ponencia de alertas” (presentada en 2021 al consejo interterritorial). Insiste en que la no ejecución de las resoluciones traería consigo la vulneración de los derechos fundamentales alegados y así una eventual sentencia estimatoria “se convertiría en una mera declaración de buenos propósitos, desprovista en gran parte de su eficacia práctica desde el punto de vista emocional y moral. De conformidad con el principio de derecho comunitario ‘la necesidad del proceso para obtener razón no debe convertirse en un daño para quien tiene razón’”. Finaliza diciendo que en este caso se aprecia el </w:t>
      </w:r>
      <w:r w:rsidRPr="00F64776">
        <w:rPr>
          <w:i/>
        </w:rPr>
        <w:t>periculum</w:t>
      </w:r>
      <w:r>
        <w:t xml:space="preserve"> </w:t>
      </w:r>
      <w:r w:rsidRPr="00F64776">
        <w:rPr>
          <w:i/>
        </w:rPr>
        <w:t>in mora</w:t>
      </w:r>
      <w:r>
        <w:t xml:space="preserve"> porque la inoculación de la vacuna puede causar un daño al menor “irreversible, porque una vez inoculado, no tendría objeto fallar respecto al amparo solicitado”, con vaciamiento de los derechos fundamentales invocados.</w:t>
      </w:r>
    </w:p>
    <w:p w14:paraId="33165C80" w14:textId="77777777" w:rsidR="00F64776" w:rsidRDefault="00F64776" w:rsidP="00F64776">
      <w:pPr>
        <w:pStyle w:val="TextoNormal"/>
      </w:pPr>
    </w:p>
    <w:p w14:paraId="74F4B27D" w14:textId="623BD841" w:rsidR="00F64776" w:rsidRDefault="00F64776" w:rsidP="00F64776">
      <w:pPr>
        <w:pStyle w:val="TextoNormal"/>
      </w:pPr>
      <w:r w:rsidRPr="00F64776">
        <w:rPr>
          <w:rStyle w:val="NumeroAFNegritaCaracter"/>
        </w:rPr>
        <w:t>8</w:t>
      </w:r>
      <w:r>
        <w:t>. Con fecha 24 de mayo de 2023, la fiscal ante este Tribunal Constitucional presentó un escrito de alegaciones interesando la suspensión del plazo concedido por la providencia de 8 de mayo, para que se dirigiera oficio al Servicio de Salud de Sevilla “a fin de que remita informe sobre si le consta que se haya procedido a la vacunación frente al covid-19” de los dos hijos menores de la recurrente; ello a efectos de determinar si los actos o resoluciones impugnadas podían considerarse ya ejecutados de cara a la improcedencia de la solicitud de su suspensión cautelar, y que “una vez remitida la comunicación solicitada, se le dé nuevo traslado para formular alegaciones conforme a lo prevenido en el art. 56 LOTC”.</w:t>
      </w:r>
    </w:p>
    <w:p w14:paraId="45A19642" w14:textId="77777777" w:rsidR="00F64776" w:rsidRDefault="00F64776" w:rsidP="00F64776">
      <w:pPr>
        <w:pStyle w:val="TextoNormal"/>
      </w:pPr>
    </w:p>
    <w:p w14:paraId="357842D2" w14:textId="5C4ADE58" w:rsidR="00F64776" w:rsidRDefault="00F64776" w:rsidP="00F64776">
      <w:pPr>
        <w:pStyle w:val="TextoNormal"/>
      </w:pPr>
      <w:r w:rsidRPr="00F64776">
        <w:rPr>
          <w:rStyle w:val="NumeroAFNegritaCaracter"/>
        </w:rPr>
        <w:t>9</w:t>
      </w:r>
      <w:r>
        <w:t>. A la petición de la fiscal se accedió por diligencia de ordenación de la Secretaría de Justicia de la Sección Segunda del 25 de mayo de 2023. Con fecha 21 de junio de 2023 tuvo entrada en el registro de este tribunal un oficio del Servicio Andaluz de Salud, Consejería de Salud y Consumo de la Junta de Andalucía, firmado electrónicamente el día 13 de junio por la jefa de servicio de coordinación-gestión ciudadana del citado servicio, informando que, efectuada la pertinente búsqueda en su base de datos, no constaban como vacunados ninguno de los dos menores.</w:t>
      </w:r>
    </w:p>
    <w:p w14:paraId="30494280" w14:textId="77777777" w:rsidR="00F64776" w:rsidRDefault="00F64776" w:rsidP="00F64776">
      <w:pPr>
        <w:pStyle w:val="TextoNormal"/>
      </w:pPr>
    </w:p>
    <w:p w14:paraId="73653E33" w14:textId="19D1A150" w:rsidR="00F64776" w:rsidRDefault="00F64776" w:rsidP="00F64776">
      <w:pPr>
        <w:pStyle w:val="TextoNormal"/>
      </w:pPr>
      <w:r w:rsidRPr="00F64776">
        <w:rPr>
          <w:rStyle w:val="NumeroAFNegritaCaracter"/>
        </w:rPr>
        <w:t>10</w:t>
      </w:r>
      <w:r>
        <w:t>. Por escrito presentado el 26 de junio de 2023, por la procuradora de la recurrente se aportó escrito en el que se formulando nuevas alegaciones, que se limitaron a transcribir las presentadas en el anterior escrito de fecha 15 de mayo, sin ningún añadido.</w:t>
      </w:r>
    </w:p>
    <w:p w14:paraId="457CFB01" w14:textId="77777777" w:rsidR="00F64776" w:rsidRDefault="00F64776" w:rsidP="00F64776">
      <w:pPr>
        <w:pStyle w:val="TextoNormal"/>
      </w:pPr>
    </w:p>
    <w:p w14:paraId="4B270481" w14:textId="77777777" w:rsidR="00F64776" w:rsidRDefault="00F64776" w:rsidP="00F64776">
      <w:pPr>
        <w:pStyle w:val="TextoNormal"/>
      </w:pPr>
      <w:r w:rsidRPr="00F64776">
        <w:rPr>
          <w:rStyle w:val="NumeroAFNegritaCaracter"/>
        </w:rPr>
        <w:t>11</w:t>
      </w:r>
      <w:r>
        <w:t>. La fiscal ante este tribunal presentó el 27 de julio de 2023 su escrito de alegaciones en esta pieza, interesando la denegación de la suspensión cautelar solicitada.</w:t>
      </w:r>
    </w:p>
    <w:p w14:paraId="06A1D7D2" w14:textId="77777777" w:rsidR="00F64776" w:rsidRDefault="00F64776" w:rsidP="00F64776">
      <w:pPr>
        <w:pStyle w:val="TextoNormal"/>
      </w:pPr>
    </w:p>
    <w:p w14:paraId="5C465024" w14:textId="77777777" w:rsidR="00F64776" w:rsidRDefault="00F64776" w:rsidP="00F64776">
      <w:pPr>
        <w:pStyle w:val="TextoNormal"/>
      </w:pPr>
      <w:r>
        <w:t>Tras la cita del art. 56.2 de nuestra Ley Orgánica reguladora, del que colige que la suspensión de resoluciones impugnadas en amparo tiene carácter excepcional y se sujeta al doble condicionamiento de que de no acordarse la suspensión el amparo planteado perdería su finalidad aunque fuese estimado, y que la suspensión no genere una perturbación grave a un interés constitucionalmente protegido ni a los derechos fundamentales o libertades de otra persona, la fiscal cita resoluciones de este tribunal que imponen una interpretación restrictiva de la facultad de suspensión (con cita del ATC 93/2022, de 13 de junio, FJ 2 —se indica por error, ATC 93/2002—); así como también doctrina sobre la noción de perjuicio irreparable (con cita del ATC 62/2022, de 4 de abril, FJ 4), y acerca de la carga que pesa sobre el solicitante de la medida de acreditar el carácter irreparable o con dificultad de reparación de los perjuicios que la no suspensión produciría [con cita de los AATC 90/2014, de 27 de marzo, FJ 1; 190/2015, de 5 de noviembre, FJ 2 a); 59/2017, de 24 de abril, FJ 1; 147/2017, de 13 de noviembre, FJ 1, y el ATC 102/2023, de 6 de marzo, FJ 4, dictado en un asunto similar al presente]. Finalmente en su recorrido de jurisprudencia constitucional, la fiscal cita aquella que plasma la prohibición de responder a cuestiones que exigiría prejuzgar en esta pieza sobre el fondo del proceso principal de amparo (con cita del ATC 11/2020, de 21 de septiembre, FJ 2, y ante solicitudes similares a la ahora deducida, los AATC 102/2023, de 6 de marzo, FJ 4 —se indica por error ATC 120/2023—; 181/2023, de 17 de abril, FJ 3; 324/2023 y 325/2023, ambos de 19 de junio).</w:t>
      </w:r>
    </w:p>
    <w:p w14:paraId="35EF9503" w14:textId="77777777" w:rsidR="00F64776" w:rsidRDefault="00F64776" w:rsidP="00F64776">
      <w:pPr>
        <w:pStyle w:val="TextoNormal"/>
      </w:pPr>
    </w:p>
    <w:p w14:paraId="752C9BD8" w14:textId="5FDF8928" w:rsidR="00F64776" w:rsidRDefault="00F64776" w:rsidP="00F64776">
      <w:pPr>
        <w:pStyle w:val="TextoNormal"/>
      </w:pPr>
      <w:r>
        <w:t>Sentado todo esto, señala la fiscal que la alegación de la recurrente por la que sustenta su petición de suspensión cautelar de la autorización judicial a que su ex pareja decida sobre la vacunación de los hijos menores contra la covid-19, “formó parte del debate suscitado en la vía judicial precedente en la que, en síntesis, los órganos judiciales concernidos consideraron procedente, atendiendo al principio del interés superior de los menores, atribuir al padre la facultad de decidir sobre la procedencia de la vacunación frente al covid-19 a los hijos comunes. Y esta temática se integra en lo que constituye el fondo del recurso de amparo, por lo que, en todo caso, no puede ser abordada en este momento procesal sino al dictar sentencia (AATC 102/2023, de 6 de marzo de 2023, FJ 4, y de 17 de abril de 2023, FJ 3)”.</w:t>
      </w:r>
    </w:p>
    <w:p w14:paraId="42F8B3B1" w14:textId="77777777" w:rsidR="00F64776" w:rsidRDefault="00F64776" w:rsidP="00F64776">
      <w:pPr>
        <w:pStyle w:val="TextoNormal"/>
      </w:pPr>
    </w:p>
    <w:p w14:paraId="4033786E" w14:textId="77777777" w:rsidR="00F64776" w:rsidRDefault="00F64776" w:rsidP="00F64776">
      <w:pPr>
        <w:pStyle w:val="TextoNormalNegritaCentrado"/>
        <w:keepNext/>
      </w:pPr>
      <w:r>
        <w:t>II. Fundamentos jurídicos</w:t>
      </w:r>
    </w:p>
    <w:p w14:paraId="0F8CFBEF" w14:textId="2EA9B938" w:rsidR="00F64776" w:rsidRDefault="00F64776" w:rsidP="00F64776">
      <w:pPr>
        <w:pStyle w:val="TextoNormalNegritaCentrado"/>
        <w:keepNext/>
      </w:pPr>
    </w:p>
    <w:p w14:paraId="3D057C8B" w14:textId="77777777" w:rsidR="00F64776" w:rsidRDefault="00F64776" w:rsidP="00F64776">
      <w:pPr>
        <w:pStyle w:val="TextoNormal"/>
      </w:pPr>
      <w:r w:rsidRPr="00F64776">
        <w:rPr>
          <w:rStyle w:val="NumeroAFNegritaCaracter"/>
        </w:rPr>
        <w:t>1</w:t>
      </w:r>
      <w:r>
        <w:t>. Se solicita de este tribunal la suspensión cautelar hasta que se dicte sentencia en el presente proceso de amparo, de los autos impugnados que han autorizado al padre de los dos hijos menores comunes habidos con la recurrente para que decida sobre su vacunación contra el virus del covid-19 —y en consecuencia realice las gestiones ante la autoridad sanitaria competente para que se les efectúe dicha administración a los menores—; tratamiento al que se opone la madre aquí recurrente. Como señala la fiscal ante este tribunal, una pretensión sustancialmente idéntica a la aquí planteada ante la discrepancia entre los progenitores acerca de la conveniencia de que se le administre a sus hijos alguna de las vacunas aprobadas por la autoridad sanitaria contra el virus del covid-19, ha sido ya objeto de decisión en varias resoluciones nuestras, pudiendo citar al efecto los AATC 102/2023, de 6 de marzo; 181/2023, de 17 de abril; y 322/2023 a 325/2023, estos últimos del 19 de junio, los cuales por ello tendremos en cuenta a los efectos de la presente pieza.</w:t>
      </w:r>
    </w:p>
    <w:p w14:paraId="7137D913" w14:textId="77777777" w:rsidR="00F64776" w:rsidRDefault="00F64776" w:rsidP="00F64776">
      <w:pPr>
        <w:pStyle w:val="TextoNormal"/>
      </w:pPr>
    </w:p>
    <w:p w14:paraId="730824E5" w14:textId="250C959D" w:rsidR="00F64776" w:rsidRDefault="00F64776" w:rsidP="00F64776">
      <w:pPr>
        <w:pStyle w:val="TextoNormal"/>
      </w:pPr>
      <w:r>
        <w:t>Antes de continuar debe precisarse que al amparo de lo establecido en el art. 86.3 de la Ley Orgánica del Tribunal Constitucional (LOTC) y en el acuerdo del Pleno del Tribunal Constitucional de 23 de julio de 2015, por el que se regula la exclusión de los datos de identidad personal en la publicación de las resoluciones jurisdiccionales (“Boletín Oficial del Estado” núm. 178, de 27 de julio de 2015), en atención a que el objeto de controversia de este proceso constitucional versa sobre personas que requieren un especial deber de tutela por su minoría de edad, en la presente resolución se identifican por sus iniciales a los intervinientes con la finalidad de preservar de modo efectivo el anonimato de las personas concernidas.</w:t>
      </w:r>
    </w:p>
    <w:p w14:paraId="6623271A" w14:textId="77777777" w:rsidR="00F64776" w:rsidRDefault="00F64776" w:rsidP="00F64776">
      <w:pPr>
        <w:pStyle w:val="TextoNormal"/>
      </w:pPr>
    </w:p>
    <w:p w14:paraId="451B8360" w14:textId="77777777" w:rsidR="00F64776" w:rsidRDefault="00F64776" w:rsidP="00F64776">
      <w:pPr>
        <w:pStyle w:val="TextoNormal"/>
      </w:pPr>
      <w:r w:rsidRPr="00F64776">
        <w:rPr>
          <w:rStyle w:val="NumeroAFNegritaCaracter"/>
        </w:rPr>
        <w:t>2</w:t>
      </w:r>
      <w:r>
        <w:t>. La decisión que se nos pide que adoptemos debe partir de las normas y de la doctrina constitucional aplicables, las cuales se han recordado en las resoluciones que se acaban de citar. Así, en el ATC 325/2023 se explica lo siguiente:</w:t>
      </w:r>
    </w:p>
    <w:p w14:paraId="4F935626" w14:textId="77777777" w:rsidR="00F64776" w:rsidRDefault="00F64776" w:rsidP="00F64776">
      <w:pPr>
        <w:pStyle w:val="TextoNormal"/>
      </w:pPr>
    </w:p>
    <w:p w14:paraId="39547310" w14:textId="77777777" w:rsidR="00F64776" w:rsidRDefault="00F64776" w:rsidP="00F64776">
      <w:pPr>
        <w:pStyle w:val="TextoNormal"/>
      </w:pPr>
      <w:r>
        <w:t>- FJ 2: “[E]s necesario partir de lo que dispone el art. 56.1 LOTC que, como regla general, establece que ‘la interposición del recurso de amparo no suspenderá los efectos del acto o sentencia impugnados’. No obstante, su apartado 2, señala después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 La excepción a la regla general viene así determinada por una doble condición: en primer lugar, que la ejecución del acto o resolución impugnados produzca un perjuicio que pudiera hacer perder al amparo su finalidad, para el caso de que fuera finalmente estimado; y en segundo término, que la suspensión no genere, a su vez, una perturbación grave a un interés constitucionalmente protegido, ni a los derechos fundamentales o libertades de otra persona.</w:t>
      </w:r>
    </w:p>
    <w:p w14:paraId="5BE02A9B" w14:textId="77777777" w:rsidR="00F64776" w:rsidRDefault="00F64776" w:rsidP="00F64776">
      <w:pPr>
        <w:pStyle w:val="TextoNormal"/>
      </w:pPr>
    </w:p>
    <w:p w14:paraId="3EDA3AA0" w14:textId="77777777" w:rsidR="00F64776" w:rsidRDefault="00F64776" w:rsidP="00F64776">
      <w:pPr>
        <w:pStyle w:val="TextoNormal"/>
      </w:pPr>
      <w:r>
        <w:t>Cuando el amparo constitucional se solicita respecto a resoluciones judiciales firmes, este tribunal tiene declarado (AATC 190/2015, de 5 de noviembre, FJ 2, y 130/2022, de 10 de octubre, FJ 3, y los autos en ellos citados) que la suspensión de la ejecución entraña siempre, en sí misma, una perturbación de la función jurisdiccional que comprende la potestad de hacer ejecutar lo juzgado (art. 117.3 CE). Consecuentemente, la regla general debe ser la improcedencia de la suspensión, que se configura, así, como una medida provisional de carácter excepcional y de aplicación restrictiva; esta naturaleza deriva de la necesidad de preservar el interés general, de la garantía de la efectividad de las decisiones de los poderes públicos y del aseguramiento de la ejecución de las resoluciones dictadas por jueces y tribunales en el ejercicio de la potestad jurisdiccional que les confiere el art. 117.3 CE. En definitiva, se trata de preservar la presunción de legitimidad que alcanza a todas las actuaciones de los poderes públicos, presunción inherente a la entera actividad pública”.</w:t>
      </w:r>
    </w:p>
    <w:p w14:paraId="29957758" w14:textId="77777777" w:rsidR="00F64776" w:rsidRDefault="00F64776" w:rsidP="00F64776">
      <w:pPr>
        <w:pStyle w:val="TextoNormal"/>
      </w:pPr>
    </w:p>
    <w:p w14:paraId="5B1B01ED" w14:textId="77777777" w:rsidR="00F64776" w:rsidRDefault="00F64776" w:rsidP="00F64776">
      <w:pPr>
        <w:pStyle w:val="TextoNormal"/>
      </w:pPr>
      <w:r>
        <w:t>- FJ 3: «La facultad de este tribunal de adoptar medidas cautelares en los procesos de amparo, reconocida en el art. 56 LOTC, se sustenta en la necesidad de asegurar la efectividad de las resoluciones que les pongan fin, esto es, de preservar la integridad del derecho fundamental cuya vulneración se denuncia, en tanto en cuanto la ejecución del acto o resolución impugnados pudiera ocasionar un perjuicio que hiciese perder al amparo su finalidad.</w:t>
      </w:r>
    </w:p>
    <w:p w14:paraId="6507C6BD" w14:textId="77777777" w:rsidR="00F64776" w:rsidRDefault="00F64776" w:rsidP="00F64776">
      <w:pPr>
        <w:pStyle w:val="TextoNormal"/>
      </w:pPr>
    </w:p>
    <w:p w14:paraId="2C0631D2" w14:textId="77777777" w:rsidR="00F64776" w:rsidRDefault="00F64776" w:rsidP="00F64776">
      <w:pPr>
        <w:pStyle w:val="TextoNormal"/>
      </w:pPr>
      <w:r>
        <w:t>Como recuerda el ATC 130/2022, de 10 de octubre, FJ 4, con cita del ATC 55/2018, de 22 de mayo, FJ 2 c), “la perspectiva única que ha de ser tenida en cuenta para decidir sobre cualquier pretensión cautelar formulada en el proceso de amparo ha de ser el de la preservación de la eficacia de un posible pronunciamiento estimatorio, sin prejuzgar cuál haya de ser el sentido de la futura sentencia que le ponga fin […] En tal medida, ‘no procede en este incidente examinar ni la concurrencia ni la ausencia de apariencia de buen derecho’ de la pretensión de amparo formulada, criterio este del que no se vale la regulación del artículo 56 LOTC para conceder o denegar la protección cautelar pretendida”.</w:t>
      </w:r>
    </w:p>
    <w:p w14:paraId="3FCE6D42" w14:textId="77777777" w:rsidR="00F64776" w:rsidRDefault="00F64776" w:rsidP="00F64776">
      <w:pPr>
        <w:pStyle w:val="TextoNormal"/>
      </w:pPr>
    </w:p>
    <w:p w14:paraId="3BCC047B" w14:textId="77777777" w:rsidR="00F64776" w:rsidRDefault="00F64776" w:rsidP="00F64776">
      <w:pPr>
        <w:pStyle w:val="TextoNormal"/>
      </w:pPr>
      <w:r>
        <w:t>Adicionalmente, “este tribunal viene exigiendo a quien solicita la adopción de la medida cautelar de suspensión del acto o resolución judicial recurrido que alegue, pruebe o justifique, ofreciendo un principio razonable de prueba, la irreparabilidad o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147/2017, de 13 de noviembre, FJ 1, y 130/2022, de 10 de octubre, FJ 4).</w:t>
      </w:r>
    </w:p>
    <w:p w14:paraId="29EC3FDC" w14:textId="77777777" w:rsidR="00F64776" w:rsidRDefault="00F64776" w:rsidP="00F64776">
      <w:pPr>
        <w:pStyle w:val="TextoNormal"/>
      </w:pPr>
    </w:p>
    <w:p w14:paraId="62F444AE" w14:textId="77777777" w:rsidR="00F64776" w:rsidRDefault="00F64776" w:rsidP="00F64776">
      <w:pPr>
        <w:pStyle w:val="TextoNormal"/>
      </w:pPr>
      <w:r>
        <w:t>En cuanto al concepto de perjuicio irreparable, debe entenderse que es “aquel que provoque que el restablecimiento del recurrente en los derechos fundamentales cuya vulneración denuncia sea tardío e impida definitivamente que la restauración sea efectiva […]. Los perjuicios irreparables deben ser reales, sin que sea posible alegar los futuros o hipotéticos o un simple temor; la pérdida de la finalidad del amparo no puede equipararse a la mayor o menor dificultad, molestia o incomodidad para el recurrente” (ATC 137/2017, de 16 de octubre, FJ 1, y 130/2022, FJ 4)».</w:t>
      </w:r>
    </w:p>
    <w:p w14:paraId="04529668" w14:textId="77777777" w:rsidR="00F64776" w:rsidRDefault="00F64776" w:rsidP="00F64776">
      <w:pPr>
        <w:pStyle w:val="TextoNormal"/>
      </w:pPr>
    </w:p>
    <w:p w14:paraId="422E6968" w14:textId="77777777" w:rsidR="00F64776" w:rsidRDefault="00F64776" w:rsidP="00F64776">
      <w:pPr>
        <w:pStyle w:val="TextoNormal"/>
      </w:pPr>
      <w:r>
        <w:t>- FJ 4: “El Tribunal ha declarado asimismo en los AATC 71/2020, de 14 de julio, FJ 3, y 111/2020, de 21 de septiembre, FJ 2, y en los autos en ellos citados, que otro de los elementos que configuran la naturaleza excepcional de la suspensión de los actos impugnados en amparo es la necesidad de preservar la eficacia de un posible pronunciamiento estimatorio, sin prejuzgar cuál haya de ser el sentido de la futura sentencia que le ponga fin; y, en esta misma línea, que en este incidente procesal no cabe efectuar el análisis de la cuestión de fondo, ni cabe cuestionar las bases fácticas que la sustentan, ni tampoco anticipar indebidamente lo que debe ser resuelto en la oportuna sentencia.</w:t>
      </w:r>
    </w:p>
    <w:p w14:paraId="3C788574" w14:textId="77777777" w:rsidR="00F64776" w:rsidRDefault="00F64776" w:rsidP="00F64776">
      <w:pPr>
        <w:pStyle w:val="TextoNormal"/>
      </w:pPr>
    </w:p>
    <w:p w14:paraId="2D6427BE" w14:textId="11947382" w:rsidR="00F64776" w:rsidRDefault="00F64776" w:rsidP="00F64776">
      <w:pPr>
        <w:pStyle w:val="TextoNormal"/>
      </w:pPr>
      <w:r>
        <w:t>En esta misma línea jurisprudencial, el ATC 102/2023, de 6 de marzo, FJ 4, declara que ‘expresando el desacuerdo parental una diferencia de criterio sobre como mejor proteger la salud del hijo común menor de edad y sobre la conveniencia o utilidad de la administración de la vacuna debatida, cualquier pronunciamiento cautelar que este tribunal pudiera hacer en favor de la suspensión solicitada debería analizar y anticipar el debate de fondo de la pretensión de amparo, dado que la decisión judicial cuestionada se apoya en considerar que la vacuna sometida a debate no supone un grave riesgo para la vida o salud de la menor [ATC 139/2022, de 26 de octubre, FJ 3 b)]. Esa cuestión se integra en lo que constituye el fondo del recurso de amparo; por lo que, en todo caso, deberá ser abordada al dictar sentencia y no en este momento procesal previo’. En esta misma línea de continuidad se ha pronunciado recientemente el ATC 181/2023, de 17 de abril, FJ 3”.</w:t>
      </w:r>
    </w:p>
    <w:p w14:paraId="73DC2120" w14:textId="77777777" w:rsidR="00F64776" w:rsidRDefault="00F64776" w:rsidP="00F64776">
      <w:pPr>
        <w:pStyle w:val="TextoNormal"/>
      </w:pPr>
    </w:p>
    <w:p w14:paraId="759FCB79" w14:textId="77777777" w:rsidR="00F64776" w:rsidRDefault="00F64776" w:rsidP="00F64776">
      <w:pPr>
        <w:pStyle w:val="TextoNormal"/>
      </w:pPr>
      <w:r w:rsidRPr="00F64776">
        <w:rPr>
          <w:rStyle w:val="NumeroAFNegritaCaracter"/>
        </w:rPr>
        <w:t>3</w:t>
      </w:r>
      <w:r>
        <w:t>. La aplicación de las normas y de la doctrina constitucional aplicables, conducen a la desestimación de la pretensión cautelar formalizada.</w:t>
      </w:r>
    </w:p>
    <w:p w14:paraId="5956FB29" w14:textId="77777777" w:rsidR="00F64776" w:rsidRDefault="00F64776" w:rsidP="00F64776">
      <w:pPr>
        <w:pStyle w:val="TextoNormal"/>
      </w:pPr>
    </w:p>
    <w:p w14:paraId="5A0655D8" w14:textId="77777777" w:rsidR="00F64776" w:rsidRDefault="00F64776" w:rsidP="00F64776">
      <w:pPr>
        <w:pStyle w:val="TextoNormal"/>
      </w:pPr>
      <w:r>
        <w:t xml:space="preserve">En primer lugar, respecto de la alegación efectuada por la recurrente trayendo a colación lo resuelto por el Pleno de este tribunal en los AATC 74/2021, de 20 de julio, y 112/2022, de 13 de julio, a propósito del mantenimiento de la suspensión </w:t>
      </w:r>
      <w:r w:rsidRPr="00F64776">
        <w:rPr>
          <w:i/>
        </w:rPr>
        <w:t>ex</w:t>
      </w:r>
      <w:r>
        <w:t xml:space="preserve"> art. 161.2 CE de la vigencia de normas legales autonómicas que prevén medidas de vacunación eventualmente forzosa de la población, ya contestamos sobre la irrelevancia de tal argumento en esta sede cautelar de amparo en el ATC 139/2022, de 26 de octubre, FJ 3 (entonces, en relación con la autorización judicial para vacunar a una persona mayor en situación de vulnerabilidad, en contra de la voluntad de su pariente y tutor); ocasión en la que afirmamos:</w:t>
      </w:r>
    </w:p>
    <w:p w14:paraId="77536015" w14:textId="77777777" w:rsidR="00F64776" w:rsidRDefault="00F64776" w:rsidP="00F64776">
      <w:pPr>
        <w:pStyle w:val="TextoNormal"/>
      </w:pPr>
    </w:p>
    <w:p w14:paraId="388FEA1B" w14:textId="77777777" w:rsidR="00F64776" w:rsidRDefault="00F64776" w:rsidP="00F64776">
      <w:pPr>
        <w:pStyle w:val="TextoNormal"/>
      </w:pPr>
      <w:r>
        <w:t>“Al respecto, interesa notar que el mantenimiento de la suspensión [acordada en el ATC 74/2021] trajo causa de que la vacunación obligatoria no es una medida preventiva que aparece contemplada en la Ley Orgánica 3/1986, de medidas especiales en materia de salud pública; y que la misma supone ‘una intervención corporal coactiva y practicada al margen de la voluntad del ciudadano, que ha de someterse a la vacunación si se adopta esta medida, so pena de poder ser sancionado, en caso de negativa injustificada a vacunarse’ (FJ 5).</w:t>
      </w:r>
    </w:p>
    <w:p w14:paraId="31F07281" w14:textId="77777777" w:rsidR="00F64776" w:rsidRDefault="00F64776" w:rsidP="00F64776">
      <w:pPr>
        <w:pStyle w:val="TextoNormal"/>
      </w:pPr>
    </w:p>
    <w:p w14:paraId="00065CFB" w14:textId="77777777" w:rsidR="00F64776" w:rsidRDefault="00F64776" w:rsidP="00F64776">
      <w:pPr>
        <w:pStyle w:val="TextoNormal"/>
      </w:pPr>
      <w:r>
        <w:t>A la vista de lo expuesto, cumple decir que los supuestos de hecho contemplados en uno y otro caso no admiten parangón. Mientras la previsión normativa objeto de suspensión viene referida a una medida aplicable con carácter general cuyo incumplimiento puede resultar sancionado, en el presente caso la medida se adopta con una finalidad tuitiva, respecto de una persona que, según se expresa en las resoluciones judiciales, carece de aptitud para consentir sobre su vacunación.</w:t>
      </w:r>
    </w:p>
    <w:p w14:paraId="511D3B36" w14:textId="77777777" w:rsidR="00F64776" w:rsidRDefault="00F64776" w:rsidP="00F64776">
      <w:pPr>
        <w:pStyle w:val="TextoNormal"/>
      </w:pPr>
    </w:p>
    <w:p w14:paraId="5A6E6321" w14:textId="77777777" w:rsidR="00F64776" w:rsidRDefault="00F64776" w:rsidP="00F64776">
      <w:pPr>
        <w:pStyle w:val="TextoNormal"/>
      </w:pPr>
      <w:r>
        <w:t>En segundo término, se advierte que el mantenimiento de la suspensión del precepto fue fruto de la ponderación de los graves perjuicios irreparables o de difícil reparación que para el interés general habrían de producirse si se levantara la suspensión, en ese caso concreto (FJ 2). Por el contrario, en el ámbito del art. 56 LOTC, el interés general opera como factor determinante de la aplicación restrictiva de la suspensión, pues se asocia a la efectividad de las decisiones de los poderes públicos”.</w:t>
      </w:r>
    </w:p>
    <w:p w14:paraId="7592E221" w14:textId="77777777" w:rsidR="00F64776" w:rsidRDefault="00F64776" w:rsidP="00F64776">
      <w:pPr>
        <w:pStyle w:val="TextoNormal"/>
      </w:pPr>
    </w:p>
    <w:p w14:paraId="2C15AB83" w14:textId="1EF9F1F8" w:rsidR="00F64776" w:rsidRDefault="00F64776" w:rsidP="00F64776">
      <w:pPr>
        <w:pStyle w:val="TextoNormal"/>
      </w:pPr>
      <w:r>
        <w:t>El mismo razonamiento resulta por completo trasladable al presente asunto, por lo que se desestima este motivo de suspensión alegado.</w:t>
      </w:r>
    </w:p>
    <w:p w14:paraId="0C75667D" w14:textId="77777777" w:rsidR="00F64776" w:rsidRDefault="00F64776" w:rsidP="00F64776">
      <w:pPr>
        <w:pStyle w:val="TextoNormal"/>
      </w:pPr>
    </w:p>
    <w:p w14:paraId="3FA295E1" w14:textId="77777777" w:rsidR="00F64776" w:rsidRDefault="00F64776" w:rsidP="00F64776">
      <w:pPr>
        <w:pStyle w:val="TextoNormal"/>
      </w:pPr>
      <w:r w:rsidRPr="00F64776">
        <w:rPr>
          <w:rStyle w:val="NumeroAFNegritaCaracter"/>
        </w:rPr>
        <w:t>4</w:t>
      </w:r>
      <w:r>
        <w:t>. Las demás alegaciones formuladas tampoco merecen acogida:</w:t>
      </w:r>
    </w:p>
    <w:p w14:paraId="0BAC46ED" w14:textId="77777777" w:rsidR="00F64776" w:rsidRDefault="00F64776" w:rsidP="00F64776">
      <w:pPr>
        <w:pStyle w:val="TextoNormal"/>
      </w:pPr>
    </w:p>
    <w:p w14:paraId="7ED66159" w14:textId="77777777" w:rsidR="00F64776" w:rsidRDefault="00F64776" w:rsidP="00F64776">
      <w:pPr>
        <w:pStyle w:val="TextoNormal"/>
      </w:pPr>
      <w:r>
        <w:t>a) De un lado, la recurrente no alega ni avala con informes médicos que la inoculación de la vacuna contra el covid-19 a sus dos hijos menores, pudiera producir a alguno de ellos o a ambos un trastorno de su salud que haría peligrosa su administración en este caso. Por tanto no acreditan perjuicios irreparables o de difícil reparación para su vida o integridad física, a efectos de una suspensión cautelar de las resoluciones impugnadas. En sus escritos afirma que de no suspenderse los autos se causarían perjuicios irreparables y que el amparo no alcanzaría su finalidad, pero no se motiva ni prueba por qué.</w:t>
      </w:r>
    </w:p>
    <w:p w14:paraId="17B07D28" w14:textId="77777777" w:rsidR="00F64776" w:rsidRDefault="00F64776" w:rsidP="00F64776">
      <w:pPr>
        <w:pStyle w:val="TextoNormal"/>
      </w:pPr>
    </w:p>
    <w:p w14:paraId="5D65B7EC" w14:textId="77777777" w:rsidR="00F64776" w:rsidRDefault="00F64776" w:rsidP="00F64776">
      <w:pPr>
        <w:pStyle w:val="TextoNormal"/>
      </w:pPr>
      <w:r>
        <w:t>b) De otro lado, en fin, el escrito de alegaciones de la presente pieza se limita a hablar del carácter experimental de las vacunas contra el covid-19, de su posible reevaluación en diciembre de este año; a la variante ómicron, apenas una de las descubiertas en la mutación del virus; a que se infectan tanto personas que ya han sido vacunadas como las que no; y que de no concederse la suspensión cautelar solicitada se vaciaría el núcleo de los derechos fundamentales que se alegan como vulnerados por las resoluciones impugnadas.</w:t>
      </w:r>
    </w:p>
    <w:p w14:paraId="1EBC2A0B" w14:textId="77777777" w:rsidR="00F64776" w:rsidRDefault="00F64776" w:rsidP="00F64776">
      <w:pPr>
        <w:pStyle w:val="TextoNormal"/>
      </w:pPr>
    </w:p>
    <w:p w14:paraId="2F65D6C2" w14:textId="338F3F70" w:rsidR="00F64776" w:rsidRDefault="00F64776" w:rsidP="00F64776">
      <w:pPr>
        <w:pStyle w:val="TextoNormal"/>
      </w:pPr>
      <w:r>
        <w:t>Estas últimas consideraciones, sin embargo, se vinculan de manera directa con los argumentos de fondo de la propia demanda de amparo, sobre los cuales conforme a la doctrina que ya hemos citado, incluyendo la dictada con relación a otras pretensiones del mismo contenido que la que aquí nos ocupa (AATC 102/2023, FJ 4; 181/2023, FJ 3; 322/2023, FJ 5; 323/2023, FJ 3; 324/2023, FJ 5, y 325/2023, FJ 5), no podemos pronunciarnos en la resolución de este procedimiento incidental, sino que deberá serlo en todo caso al dictarse la sentencia que ponga fin al recurso de amparo.</w:t>
      </w:r>
    </w:p>
    <w:p w14:paraId="179EECB8" w14:textId="77777777" w:rsidR="00F64776" w:rsidRDefault="00F64776" w:rsidP="00F64776">
      <w:pPr>
        <w:pStyle w:val="TextoNormal"/>
      </w:pPr>
    </w:p>
    <w:p w14:paraId="52BF65D6" w14:textId="77777777" w:rsidR="00F64776" w:rsidRDefault="00F64776" w:rsidP="00F64776">
      <w:pPr>
        <w:pStyle w:val="TextoNormal"/>
      </w:pPr>
      <w:r>
        <w:t>Por lo expuesto, la Sala</w:t>
      </w:r>
    </w:p>
    <w:p w14:paraId="69B6F7B7" w14:textId="2B4A0C1C" w:rsidR="00F64776" w:rsidRDefault="00F64776" w:rsidP="00F64776">
      <w:pPr>
        <w:pStyle w:val="TextoNormal"/>
      </w:pPr>
    </w:p>
    <w:p w14:paraId="41419BCD" w14:textId="77777777" w:rsidR="00F64776" w:rsidRDefault="00F64776" w:rsidP="00F64776">
      <w:pPr>
        <w:pStyle w:val="TextoNormalCentrado"/>
      </w:pPr>
      <w:r>
        <w:t>ACUERDA</w:t>
      </w:r>
    </w:p>
    <w:p w14:paraId="3B190872" w14:textId="4A65DFA5" w:rsidR="00F64776" w:rsidRDefault="00F64776" w:rsidP="00F64776">
      <w:pPr>
        <w:pStyle w:val="TextoNormalCentrado"/>
      </w:pPr>
    </w:p>
    <w:p w14:paraId="03A33DB5" w14:textId="2882EEE5" w:rsidR="00F64776" w:rsidRDefault="00F64776" w:rsidP="00F64776">
      <w:pPr>
        <w:pStyle w:val="TextoNormal"/>
      </w:pPr>
      <w:r>
        <w:t>Desestimar la solicitud de suspensión de las resoluciones judiciales impugnadas.</w:t>
      </w:r>
    </w:p>
    <w:p w14:paraId="02F385AA" w14:textId="77777777" w:rsidR="00F64776" w:rsidRDefault="00F64776" w:rsidP="00F64776">
      <w:pPr>
        <w:pStyle w:val="TextoNormal"/>
      </w:pPr>
    </w:p>
    <w:p w14:paraId="0B3976E4" w14:textId="77777777" w:rsidR="00F64776" w:rsidRDefault="00F64776" w:rsidP="00F64776">
      <w:pPr>
        <w:pStyle w:val="TextoNormal"/>
      </w:pPr>
      <w:r>
        <w:t>Madrid, a veinticinco de septiembre de dos mil veintitrés.</w:t>
      </w:r>
    </w:p>
    <w:p w14:paraId="34F2FDA8" w14:textId="68F9EF58" w:rsidR="00F64776" w:rsidRDefault="00F64776">
      <w:pPr>
        <w:spacing w:after="160" w:line="278" w:lineRule="auto"/>
        <w:rPr>
          <w:rFonts w:ascii="Times New Roman" w:eastAsia="Times New Roman" w:hAnsi="Times New Roman" w:cs="Times New Roman"/>
          <w:sz w:val="24"/>
          <w:szCs w:val="24"/>
          <w:lang w:eastAsia="es-ES"/>
        </w:rPr>
      </w:pPr>
      <w:r>
        <w:br w:type="page"/>
      </w:r>
    </w:p>
    <w:p w14:paraId="382BF189" w14:textId="77777777" w:rsidR="00F64776" w:rsidRDefault="00F64776" w:rsidP="00F64776">
      <w:pPr>
        <w:pStyle w:val="TtuloResolucin"/>
      </w:pPr>
      <w:bookmarkStart w:id="222" w:name="AUTO_2023_437"/>
      <w:r>
        <w:t>AUTO 437/2023, de 26 de septiembre de 2023</w:t>
      </w:r>
    </w:p>
    <w:bookmarkEnd w:id="222"/>
    <w:p w14:paraId="3088F13D" w14:textId="77777777" w:rsidR="00F64776" w:rsidRDefault="00F64776" w:rsidP="00F64776">
      <w:pPr>
        <w:pStyle w:val="TtuloResolucin"/>
      </w:pPr>
      <w:r>
        <w:t>Pleno</w:t>
      </w:r>
    </w:p>
    <w:p w14:paraId="35B57290" w14:textId="77777777" w:rsidR="00F64776" w:rsidRDefault="00F64776" w:rsidP="00F64776">
      <w:pPr>
        <w:pStyle w:val="TextoNormalCentrado"/>
      </w:pPr>
      <w:r>
        <w:t>ECLI:ES:TC:2023:437A</w:t>
      </w:r>
    </w:p>
    <w:p w14:paraId="386A251B" w14:textId="5B1E5526" w:rsidR="00F64776" w:rsidRDefault="00F64776" w:rsidP="00F64776">
      <w:pPr>
        <w:pStyle w:val="TextoNormalCentrado"/>
      </w:pPr>
    </w:p>
    <w:p w14:paraId="043C32A7" w14:textId="77777777" w:rsidR="00F64776" w:rsidRDefault="00F64776" w:rsidP="00F64776">
      <w:pPr>
        <w:pStyle w:val="SntesisDescriptiva"/>
      </w:pPr>
      <w:r>
        <w:t>Excms. Srs. don Cándido Conde-Pumpido Tourón,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w:t>
      </w:r>
    </w:p>
    <w:p w14:paraId="62EADA8E" w14:textId="3BF6C04E" w:rsidR="00F64776" w:rsidRDefault="00F64776" w:rsidP="00F64776">
      <w:pPr>
        <w:pStyle w:val="SntesisDescriptiva"/>
      </w:pPr>
    </w:p>
    <w:p w14:paraId="7FE82623" w14:textId="77777777" w:rsidR="00F64776" w:rsidRDefault="00F64776" w:rsidP="00F64776">
      <w:pPr>
        <w:pStyle w:val="SntesisDescriptiva"/>
      </w:pPr>
      <w:r>
        <w:t>Acuerda el desistimiento y archiva la pieza separada de suspensión en el recurso de amparo 2119-2023, promovido por don José Antonio Griñán Martínez, en causa penal.</w:t>
      </w:r>
    </w:p>
    <w:p w14:paraId="4A3CCE92" w14:textId="19CD9C0C" w:rsidR="00F64776" w:rsidRDefault="00F64776" w:rsidP="00F64776">
      <w:pPr>
        <w:pStyle w:val="SntesisDescriptiva"/>
      </w:pPr>
    </w:p>
    <w:p w14:paraId="513E865B" w14:textId="77777777" w:rsidR="00F64776" w:rsidRDefault="00F64776" w:rsidP="00F64776">
      <w:pPr>
        <w:pStyle w:val="SntesisDescriptiva"/>
      </w:pPr>
    </w:p>
    <w:p w14:paraId="51101625" w14:textId="77777777" w:rsidR="00F64776" w:rsidRDefault="00F64776" w:rsidP="00F64776">
      <w:pPr>
        <w:pStyle w:val="SntesisDescriptiva"/>
      </w:pPr>
    </w:p>
    <w:p w14:paraId="4656D6AF" w14:textId="77777777" w:rsidR="00F64776" w:rsidRDefault="00F64776" w:rsidP="00F64776">
      <w:pPr>
        <w:pStyle w:val="TextoNormalNegritaCentrado"/>
      </w:pPr>
      <w:r>
        <w:t>AUTO</w:t>
      </w:r>
    </w:p>
    <w:p w14:paraId="26090D8F" w14:textId="4459DBEC" w:rsidR="00F64776" w:rsidRDefault="00F64776" w:rsidP="00F64776">
      <w:pPr>
        <w:pStyle w:val="TextoNormalNegritaCentrado"/>
      </w:pPr>
    </w:p>
    <w:p w14:paraId="38703DE3" w14:textId="77777777" w:rsidR="00F64776" w:rsidRDefault="00F64776" w:rsidP="00F64776">
      <w:pPr>
        <w:pStyle w:val="TextoNormalNegritaCentrado"/>
        <w:keepNext/>
      </w:pPr>
      <w:r>
        <w:t>I. Antecedentes</w:t>
      </w:r>
    </w:p>
    <w:p w14:paraId="6C06720B" w14:textId="4E51EFFB" w:rsidR="00F64776" w:rsidRDefault="00F64776" w:rsidP="00F64776">
      <w:pPr>
        <w:pStyle w:val="TextoNormalNegritaCentrado"/>
        <w:keepNext/>
      </w:pPr>
    </w:p>
    <w:p w14:paraId="1089A2D3" w14:textId="77777777" w:rsidR="00F64776" w:rsidRDefault="00F64776" w:rsidP="00F64776">
      <w:pPr>
        <w:pStyle w:val="TextoNormal"/>
      </w:pPr>
      <w:r w:rsidRPr="00F64776">
        <w:rPr>
          <w:rStyle w:val="NumeroAFNegritaCaracter"/>
        </w:rPr>
        <w:t>1</w:t>
      </w:r>
      <w:r>
        <w:t>. Mediante escrito presentado en el registro general del Tribunal Constitucional el 30 de marzo de 2023 la representación procesal de don José Antonio Griñán Martínez interpuso recurso de amparo contra: (i) la sentencia núm. 490/2019, de 19 de noviembre, dictada por la Sección Primera de la Audiencia Provincial de Sevilla en el rollo núm. 1965-2017, dimanante del procedimiento abreviado núm. 133-2016, que le condenó como autor de un delito de prevaricación [art. 404 del Código penal (CP)] en concurso medial con un delito de malversación (art. 432 CP) a las penas de seis años y dos días de prisión, inhabilitación especial para el derecho de sufragio pasivo durante el tiempo de la condena, e inhabilitación absoluta por tiempo de quince años y dos días, con la consiguiente privación definitiva de todos los honores, empleos y cargos públicos que tenga el penado, aunque sean electivos, e incapacidad para obtener los mismos o cualesquiera otros honores, cargos o empleos públicos y la de ser elegido para cargo público durante el tiempo de la condena; (ii) la sentencia de la Sala de lo Penal del Tribunal Supremo núm. 749/2022, de 13 de septiembre, que desestima el recurso de casación formulado por el demandante de amparo frente a la anterior, recurso de casación núm. 601-2020; y (iii) el auto del mismo órgano judicial de 16 de febrero de 2023, que inadmite el incidente de nulidad de actuaciones interpuesto frente a la citada sentencia desestimatoria.</w:t>
      </w:r>
    </w:p>
    <w:p w14:paraId="051E7E5F" w14:textId="77777777" w:rsidR="00F64776" w:rsidRDefault="00F64776" w:rsidP="00F64776">
      <w:pPr>
        <w:pStyle w:val="TextoNormal"/>
      </w:pPr>
    </w:p>
    <w:p w14:paraId="4CAE5CAA" w14:textId="77777777" w:rsidR="00F64776" w:rsidRDefault="00F64776" w:rsidP="00F64776">
      <w:pPr>
        <w:pStyle w:val="TextoNormal"/>
      </w:pPr>
      <w:r>
        <w:t>En la demanda de amparo se alegan dos grupos de motivos: (i) en primer lugar, vulneración del derecho a la legalidad penal (art. 25.1 CE) por irrazonable subsunción de los hechos declarados probados en los delitos de prevaricación administrativa (art. 404 CP) y malversación (art. 432 CP); (ii) en segundo lugar, vulneración del derecho a la presunción de inocencia (art. 24.2 CE) por falta de racionalidad en la valoración de la prueba sobre la que se asienta la apreciación del dolo eventual y, desde una vertiente extraprocesal de dicho derecho, por haberse anticipado la publicación del fallo con anterioridad a la notificación de la sentencia finamente dictada.</w:t>
      </w:r>
    </w:p>
    <w:p w14:paraId="3C425619" w14:textId="77777777" w:rsidR="00F64776" w:rsidRDefault="00F64776" w:rsidP="00F64776">
      <w:pPr>
        <w:pStyle w:val="TextoNormal"/>
      </w:pPr>
    </w:p>
    <w:p w14:paraId="03C0DDD3" w14:textId="186A9ABB" w:rsidR="00F64776" w:rsidRDefault="00F64776" w:rsidP="00F64776">
      <w:pPr>
        <w:pStyle w:val="TextoNormal"/>
      </w:pPr>
      <w:r>
        <w:t>Asimismo, se solicita por otrosí que se suspenda la ejecución de la sentencia condenatoria en los términos referidos única y exclusivamente a la pena privativa de libertad. A estos efectos, el demandante argumenta que: (i) la suspensión solicitada pretende evitar un perjuicio real y efectivo que se derivaría del ingreso en prisión del demandante de amparo y que afectaría de manera irreparable a su derecho al honor y a la imagen pública que tiene; (ii) concurren razones humanitarias dada la avanzada edad del demandante y habida cuenta que está aquejado de una enfermedad muy grave que obliga a la recepción de un tratamiento médico agresivo; (iii) ha transcurrido un largo tiempo desde la comisión de los hechos —datados entre los años 2000 y 2009— lo que hace que sea limitada la consideración de la alarma social generada por una eventual concesión de la suspensión; (iv) se ha presentado una solicitud de indulto ante el Ministerio de Justicia con más de 4000 firmas; (v) el demandante ha sufrido ya una fuerte condena social por estos hechos, habiéndose visto obligado incluso a ejecutar una auto-reclusión en su propio domicilio; (vi) la suspensión no adelantaría ninguna de las cuestiones de fondo, ni afectaría a los derechos fundamentales de terceros siendo que, además, existe una apariencia (</w:t>
      </w:r>
      <w:r w:rsidRPr="00F64776">
        <w:rPr>
          <w:i/>
        </w:rPr>
        <w:t>fomus boni iuris</w:t>
      </w:r>
      <w:r>
        <w:t>) en cuanto al pronóstico de prosperabilidad de los argumentos elevados ante este tribunal.</w:t>
      </w:r>
    </w:p>
    <w:p w14:paraId="4C57CF12" w14:textId="77777777" w:rsidR="00F64776" w:rsidRDefault="00F64776" w:rsidP="00F64776">
      <w:pPr>
        <w:pStyle w:val="TextoNormal"/>
      </w:pPr>
    </w:p>
    <w:p w14:paraId="6BA83BDC" w14:textId="77777777" w:rsidR="00F64776" w:rsidRDefault="00F64776" w:rsidP="00F64776">
      <w:pPr>
        <w:pStyle w:val="TextoNormal"/>
      </w:pPr>
      <w:r w:rsidRPr="00F64776">
        <w:rPr>
          <w:rStyle w:val="NumeroAFNegritaCaracter"/>
        </w:rPr>
        <w:t>2</w:t>
      </w:r>
      <w:r>
        <w:t>. La Sala Segunda del Tribunal Constitucional, por ATC 287/2023, de 5 de junio, de conformidad con el art. 11.2 de la Ley Orgánica del Tribunal Constitucional (LOTC), avocó para sí la decisión de admisión a trámite del presente recurso de amparo y acordó su procedencia, apreciando que concurre en el mismo especial trascendencia constitucional (art. 50.1 LOTC), porque el recurso plantea un problema o afecta a una faceta de un derecho fundamental sobre el que no hay doctrina de este tribunal [STC 155/2009, de 25 de junio, FJ 2 a)] y porque el asunto suscitado trasciende del caso concreto porque plantea una cuestión jurídica de relevante y general repercusión social y tiene unas consecuencias políticas generales [STC 155/2009, FJ 2 g)]. Además, en la misma resolución se decidió rechazar la solicitud de suspensión formulada en la demanda con base en el art. 56.6 LOTC y formar la oportuna pieza separada de suspensión y, en ella, conceder un plazo de tres días al Ministerio Fiscal y al solicitante de amparo para que efectuaran alegaciones respecto a dicha petición. Se propuso, asimismo, avocar al Pleno el conocimiento del presente recurso de amparo.</w:t>
      </w:r>
    </w:p>
    <w:p w14:paraId="0A9966A3" w14:textId="77777777" w:rsidR="00F64776" w:rsidRDefault="00F64776" w:rsidP="00F64776">
      <w:pPr>
        <w:pStyle w:val="TextoNormal"/>
      </w:pPr>
    </w:p>
    <w:p w14:paraId="75EBAB49" w14:textId="3A033A74" w:rsidR="00F64776" w:rsidRDefault="00F64776" w:rsidP="00F64776">
      <w:pPr>
        <w:pStyle w:val="TextoNormal"/>
      </w:pPr>
      <w:r>
        <w:t>El Pleno, en su reunión de 20 de junio de 2023, acordó recabar para sí el conocimiento del recurso de amparo.</w:t>
      </w:r>
    </w:p>
    <w:p w14:paraId="280AD3AF" w14:textId="77777777" w:rsidR="00F64776" w:rsidRDefault="00F64776" w:rsidP="00F64776">
      <w:pPr>
        <w:pStyle w:val="TextoNormal"/>
      </w:pPr>
    </w:p>
    <w:p w14:paraId="1BFAB923" w14:textId="35C13FC8" w:rsidR="00F64776" w:rsidRDefault="00F64776" w:rsidP="00F64776">
      <w:pPr>
        <w:pStyle w:val="TextoNormal"/>
      </w:pPr>
      <w:r w:rsidRPr="00F64776">
        <w:rPr>
          <w:rStyle w:val="NumeroAFNegritaCaracter"/>
        </w:rPr>
        <w:t>3</w:t>
      </w:r>
      <w:r>
        <w:t>. La representación procesal del recurrente, mediante escrito registrado en este tribunal el 28 de junio de 2023, solicitó se le tuviera por desistido de su solicitud de medida cautelar interesada habida cuenta del dictado, por parte de la Sección Primera de la Audiencia Provincial de Sevilla, del auto de 26 de junio de 2023 por el que se acuerda la suspensión de la pena privativa de libertad (art. 80.4 CP).</w:t>
      </w:r>
    </w:p>
    <w:p w14:paraId="34F827BE" w14:textId="77777777" w:rsidR="00F64776" w:rsidRDefault="00F64776" w:rsidP="00F64776">
      <w:pPr>
        <w:pStyle w:val="TextoNormal"/>
      </w:pPr>
    </w:p>
    <w:p w14:paraId="7E71AACD" w14:textId="69B2737B" w:rsidR="00F64776" w:rsidRDefault="00F64776" w:rsidP="00F64776">
      <w:pPr>
        <w:pStyle w:val="TextoNormal"/>
      </w:pPr>
      <w:r w:rsidRPr="00F64776">
        <w:rPr>
          <w:rStyle w:val="NumeroAFNegritaCaracter"/>
        </w:rPr>
        <w:t>4</w:t>
      </w:r>
      <w:r>
        <w:t>. El Ministerio Fiscal, por escrito registrado el día 20 de julio de 2023, presentó alegaciones en las que interesó se tuviera por desistido al recurrente en su petición de suspensión de la pena privativa de libertad que le fue impuesta.</w:t>
      </w:r>
    </w:p>
    <w:p w14:paraId="2536C213" w14:textId="77777777" w:rsidR="00F64776" w:rsidRDefault="00F64776" w:rsidP="00F64776">
      <w:pPr>
        <w:pStyle w:val="TextoNormal"/>
      </w:pPr>
    </w:p>
    <w:p w14:paraId="25875D75" w14:textId="076536E0" w:rsidR="00F64776" w:rsidRDefault="00F64776" w:rsidP="00F64776">
      <w:pPr>
        <w:pStyle w:val="TextoNormal"/>
      </w:pPr>
      <w:r w:rsidRPr="00F64776">
        <w:rPr>
          <w:rStyle w:val="NumeroAFNegritaCaracter"/>
        </w:rPr>
        <w:t>5</w:t>
      </w:r>
      <w:r>
        <w:t>. La representación procesal del Partido Popular, a la que se ha tenido por personada y parte en la pieza principal por diligencia de ordenación de 27 de julio de 2023 del secretario de justicia del Pleno, presentó alegaciones en esta pieza separada el 1 de septiembre de 2023, en la que muestra su conformidad con el desistimiento interesado habida cuenta del dictado, por parte de la Audiencia Provincial de Sevilla, del auto de 26 de junio de 2023 por el que se acuerda acceder a la solicitud de suspensión de ejecución de la pena privativa de libertad impuesta a don José Antonio Griñán Martínez conforme al art. 80.4 del Código penal.</w:t>
      </w:r>
    </w:p>
    <w:p w14:paraId="2B63AB9E" w14:textId="77777777" w:rsidR="00F64776" w:rsidRDefault="00F64776" w:rsidP="00F64776">
      <w:pPr>
        <w:pStyle w:val="TextoNormal"/>
      </w:pPr>
    </w:p>
    <w:p w14:paraId="4570CDAF" w14:textId="77777777" w:rsidR="00F64776" w:rsidRDefault="00F64776" w:rsidP="00F64776">
      <w:pPr>
        <w:pStyle w:val="TextoNormalNegritaCentrado"/>
        <w:keepNext/>
      </w:pPr>
      <w:r>
        <w:t>II. Fundamentos jurídicos</w:t>
      </w:r>
    </w:p>
    <w:p w14:paraId="1CD73B80" w14:textId="081269C8" w:rsidR="00F64776" w:rsidRDefault="00F64776" w:rsidP="00F64776">
      <w:pPr>
        <w:pStyle w:val="TextoNormalNegritaCentrado"/>
        <w:keepNext/>
      </w:pPr>
    </w:p>
    <w:p w14:paraId="3EB28D76" w14:textId="77777777" w:rsidR="00F64776" w:rsidRDefault="00F64776" w:rsidP="00F64776">
      <w:pPr>
        <w:pStyle w:val="TextoNormal"/>
      </w:pPr>
      <w:r w:rsidRPr="00F64776">
        <w:rPr>
          <w:rStyle w:val="TextoNormalNegritaCaracter"/>
        </w:rPr>
        <w:t xml:space="preserve">Único. </w:t>
      </w:r>
      <w:r>
        <w:t>Entre las formas de terminación del recurso de amparo figura, por aplicación supletoria de la legislación procesal ordinaria (art. 80 LOTC), la renuncia y el desistimiento.</w:t>
      </w:r>
    </w:p>
    <w:p w14:paraId="3C93B01C" w14:textId="77777777" w:rsidR="00F64776" w:rsidRDefault="00F64776" w:rsidP="00F64776">
      <w:pPr>
        <w:pStyle w:val="TextoNormal"/>
      </w:pPr>
    </w:p>
    <w:p w14:paraId="69ED067B" w14:textId="211056AC" w:rsidR="00F64776" w:rsidRDefault="00F64776" w:rsidP="00F64776">
      <w:pPr>
        <w:pStyle w:val="TextoNormal"/>
      </w:pPr>
      <w:r>
        <w:t>Tal terminación, por la lógica del sistema, puede producirse respecto de las incidencias suscitadas dentro del proceso en relación con concretas peticiones de las partes. En el caso presente el tenor inequívoco del escrito del recurrente referido en el ordinal 3 de antecedentes determina la necesaria terminación de la pieza de suspensión.</w:t>
      </w:r>
    </w:p>
    <w:p w14:paraId="610540E9" w14:textId="77777777" w:rsidR="00F64776" w:rsidRDefault="00F64776" w:rsidP="00F64776">
      <w:pPr>
        <w:pStyle w:val="TextoNormal"/>
      </w:pPr>
    </w:p>
    <w:p w14:paraId="3A3F07FF" w14:textId="77777777" w:rsidR="00F64776" w:rsidRDefault="00F64776" w:rsidP="00F64776">
      <w:pPr>
        <w:pStyle w:val="TextoNormal"/>
      </w:pPr>
      <w:r>
        <w:t>Por lo expuesto, el Pleno</w:t>
      </w:r>
    </w:p>
    <w:p w14:paraId="64B3A3E2" w14:textId="5AA2FFE0" w:rsidR="00F64776" w:rsidRDefault="00F64776" w:rsidP="00F64776">
      <w:pPr>
        <w:pStyle w:val="TextoNormal"/>
      </w:pPr>
    </w:p>
    <w:p w14:paraId="6660CEDF" w14:textId="77777777" w:rsidR="00F64776" w:rsidRDefault="00F64776" w:rsidP="00F64776">
      <w:pPr>
        <w:pStyle w:val="TextoNormalCentrado"/>
      </w:pPr>
      <w:r>
        <w:t>ACUERDA</w:t>
      </w:r>
    </w:p>
    <w:p w14:paraId="70C136F9" w14:textId="3F66D0B0" w:rsidR="00F64776" w:rsidRDefault="00F64776" w:rsidP="00F64776">
      <w:pPr>
        <w:pStyle w:val="TextoNormalCentrado"/>
      </w:pPr>
    </w:p>
    <w:p w14:paraId="2DA15041" w14:textId="2090ABF3" w:rsidR="00F64776" w:rsidRDefault="00F64776" w:rsidP="00F64776">
      <w:pPr>
        <w:pStyle w:val="TextoNormal"/>
      </w:pPr>
      <w:r>
        <w:t>Tener por desistido al recurrente, don José Antonio Griñán Martínez, de la petición de suspensión en el recurso de amparo avocado núm. 2119-2023, así como el archivo de la presente pieza separada de suspensión.</w:t>
      </w:r>
    </w:p>
    <w:p w14:paraId="3F157C64" w14:textId="77777777" w:rsidR="00F64776" w:rsidRDefault="00F64776" w:rsidP="00F64776">
      <w:pPr>
        <w:pStyle w:val="TextoNormal"/>
      </w:pPr>
    </w:p>
    <w:p w14:paraId="2A22ABFE" w14:textId="77777777" w:rsidR="00F64776" w:rsidRDefault="00F64776" w:rsidP="00F64776">
      <w:pPr>
        <w:pStyle w:val="TextoNormal"/>
      </w:pPr>
      <w:r>
        <w:t>Madrid, a veintiséis de septiembre de dos mil veintitrés.</w:t>
      </w:r>
    </w:p>
    <w:p w14:paraId="4BF783E6" w14:textId="718BEF22" w:rsidR="00F64776" w:rsidRDefault="00F64776">
      <w:pPr>
        <w:spacing w:after="160" w:line="278" w:lineRule="auto"/>
        <w:rPr>
          <w:rFonts w:ascii="Times New Roman" w:eastAsia="Times New Roman" w:hAnsi="Times New Roman" w:cs="Times New Roman"/>
          <w:sz w:val="24"/>
          <w:szCs w:val="24"/>
          <w:lang w:eastAsia="es-ES"/>
        </w:rPr>
      </w:pPr>
      <w:r>
        <w:br w:type="page"/>
      </w:r>
    </w:p>
    <w:p w14:paraId="4B8ADFD2" w14:textId="77777777" w:rsidR="00F64776" w:rsidRDefault="00F64776" w:rsidP="00F64776">
      <w:pPr>
        <w:pStyle w:val="TtuloResolucin"/>
      </w:pPr>
      <w:bookmarkStart w:id="223" w:name="AUTO_2023_438"/>
      <w:r>
        <w:t>AUTO 438/2023, de 26 de septiembre de 2023</w:t>
      </w:r>
    </w:p>
    <w:bookmarkEnd w:id="223"/>
    <w:p w14:paraId="1A2433C6" w14:textId="77777777" w:rsidR="00F64776" w:rsidRDefault="00F64776" w:rsidP="00F64776">
      <w:pPr>
        <w:pStyle w:val="TtuloResolucin"/>
      </w:pPr>
      <w:r>
        <w:t>Pleno</w:t>
      </w:r>
    </w:p>
    <w:p w14:paraId="0D2A0FA7" w14:textId="77777777" w:rsidR="00F64776" w:rsidRDefault="00F64776" w:rsidP="00F64776">
      <w:pPr>
        <w:pStyle w:val="TextoNormalCentrado"/>
      </w:pPr>
      <w:r>
        <w:t>ECLI:ES:TC:2023:438A</w:t>
      </w:r>
    </w:p>
    <w:p w14:paraId="11CD6886" w14:textId="102F99C0" w:rsidR="00F64776" w:rsidRDefault="00F64776" w:rsidP="00F64776">
      <w:pPr>
        <w:pStyle w:val="TextoNormalCentrado"/>
      </w:pPr>
    </w:p>
    <w:p w14:paraId="61F113B3" w14:textId="77777777" w:rsidR="00F64776" w:rsidRDefault="00F64776" w:rsidP="00F64776">
      <w:pPr>
        <w:pStyle w:val="SntesisDescriptiva"/>
      </w:pPr>
      <w:r>
        <w:t>Excms. Srs. don Cándido Conde-Pumpido Tourón,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w:t>
      </w:r>
    </w:p>
    <w:p w14:paraId="1D933E10" w14:textId="5F29CED8" w:rsidR="00F64776" w:rsidRDefault="00F64776" w:rsidP="00F64776">
      <w:pPr>
        <w:pStyle w:val="SntesisDescriptiva"/>
      </w:pPr>
    </w:p>
    <w:p w14:paraId="0A74430D" w14:textId="77777777" w:rsidR="00F64776" w:rsidRDefault="00F64776" w:rsidP="00F64776">
      <w:pPr>
        <w:pStyle w:val="SntesisDescriptiva"/>
      </w:pPr>
      <w:r>
        <w:t>Deniega la suspensión en el recurso de amparo 2136-2023, promovido por don Miguel Ángel Serrano Aguilar en causa penal.</w:t>
      </w:r>
    </w:p>
    <w:p w14:paraId="498238B5" w14:textId="23C6533E" w:rsidR="00F64776" w:rsidRDefault="00F64776" w:rsidP="00F64776">
      <w:pPr>
        <w:pStyle w:val="SntesisDescriptiva"/>
      </w:pPr>
    </w:p>
    <w:p w14:paraId="21A27808" w14:textId="77777777" w:rsidR="00F64776" w:rsidRDefault="00F64776" w:rsidP="00F64776">
      <w:pPr>
        <w:pStyle w:val="SntesisDescriptiva"/>
      </w:pPr>
    </w:p>
    <w:p w14:paraId="65FADEAA" w14:textId="77777777" w:rsidR="00F64776" w:rsidRDefault="00F64776" w:rsidP="00F64776">
      <w:pPr>
        <w:pStyle w:val="SntesisDescriptiva"/>
      </w:pPr>
    </w:p>
    <w:p w14:paraId="44D3E34D" w14:textId="77777777" w:rsidR="00F64776" w:rsidRDefault="00F64776" w:rsidP="00F64776">
      <w:pPr>
        <w:pStyle w:val="TextoNormalNegritaCentrado"/>
      </w:pPr>
      <w:r>
        <w:t>AUTO</w:t>
      </w:r>
    </w:p>
    <w:p w14:paraId="06D1FE5B" w14:textId="4117B051" w:rsidR="00F64776" w:rsidRDefault="00F64776" w:rsidP="00F64776">
      <w:pPr>
        <w:pStyle w:val="TextoNormalNegritaCentrado"/>
      </w:pPr>
    </w:p>
    <w:p w14:paraId="17D89F59" w14:textId="77777777" w:rsidR="00F64776" w:rsidRDefault="00F64776" w:rsidP="00F64776">
      <w:pPr>
        <w:pStyle w:val="TextoNormalNegritaCentrado"/>
        <w:keepNext/>
      </w:pPr>
      <w:r>
        <w:t>I. Antecedentes</w:t>
      </w:r>
    </w:p>
    <w:p w14:paraId="4EBF7B23" w14:textId="22E3CA67" w:rsidR="00F64776" w:rsidRDefault="00F64776" w:rsidP="00F64776">
      <w:pPr>
        <w:pStyle w:val="TextoNormalNegritaCentrado"/>
        <w:keepNext/>
      </w:pPr>
    </w:p>
    <w:p w14:paraId="5ECDE40A" w14:textId="77777777" w:rsidR="00F64776" w:rsidRDefault="00F64776" w:rsidP="00F64776">
      <w:pPr>
        <w:pStyle w:val="TextoNormal"/>
      </w:pPr>
      <w:r w:rsidRPr="00F64776">
        <w:rPr>
          <w:rStyle w:val="NumeroAFNegritaCaracter"/>
        </w:rPr>
        <w:t>1</w:t>
      </w:r>
      <w:r>
        <w:t>. Mediante escrito presentado en el registro general de este tribunal el 30 de marzo de 2023 la representación procesal de don Miguel Ángel Serrano Aguilar interpuso recurso de amparo contra: (i) la sentencia núm. 490/2019, de 19 de noviembre, dictada por la Sección Primera de la Audiencia Provincial de Sevilla en el rollo núm. 1965-2017, dimanante del procedimiento abreviado núm. 133-2016, que le condenó por un delito de prevaricación administrativa del art. 404 del Código penal (CP) en concurso medial con un delito de malversación de caudales públicos del art. 432 CP, a las penas de seis años, seis meses y un día de prisión y diecisiete años y un día de inhabilitación absoluta, con la consiguiente privación definitiva de todos los honores, empleos y cargos públicos, aunque sean electivos, e incapacidad para obtener los mismos o cualesquiera otros honores, cargos o empleos públicos, y la de ser elegido para cargo público durante el tiempo de la condena; (ii) la sentencia núm. 749/2022, de 13 de septiembre, de la Sala de lo Penal del Tribunal Supremo, dictada en el recurso de casación núm. 601-2020, que desestimó el recurso de casación que interpuso contra la anterior sentencia; y (iii) el auto de 16 de febrero de 2023 de la misma sala que inadmitió el ulterior incidente de nulidad de actuaciones.</w:t>
      </w:r>
    </w:p>
    <w:p w14:paraId="1E816161" w14:textId="77777777" w:rsidR="00F64776" w:rsidRDefault="00F64776" w:rsidP="00F64776">
      <w:pPr>
        <w:pStyle w:val="TextoNormal"/>
      </w:pPr>
    </w:p>
    <w:p w14:paraId="05161694" w14:textId="77777777" w:rsidR="00F64776" w:rsidRDefault="00F64776" w:rsidP="00F64776">
      <w:pPr>
        <w:pStyle w:val="TextoNormal"/>
      </w:pPr>
      <w:r>
        <w:t>En la demanda de amparo se alega la vulneración: (i) del derecho a la presunción de inocencia (art. 24.2 CE) como regla de tratamiento, en conexión con el derecho al honor (art. 18.1 CE), por haberse anticipado el fallo en una providencia de fecha 26 de julio de 2022; (ii) de los derechos a un proceso con todas las garantías, a la presunción de inocencia y a la tutela judicial efectiva (art. 24.1 y 2 CE), por haberse incluido en la sentencia de casación, datos fácticos que no estaban en la sentencia de primera instancia; (iii) del derecho a la legalidad penal (art. 25.1 CE), porque los hechos probados no son subsumibles en los tipos penales aplicados; y (iv) del derecho a la presunción de inocencia (art. 24.2 CE) por inexistencia de prueba de cargo suficiente para condenarle por el delito de malversación de caudales públicos.</w:t>
      </w:r>
    </w:p>
    <w:p w14:paraId="5B60F7D3" w14:textId="77777777" w:rsidR="00F64776" w:rsidRDefault="00F64776" w:rsidP="00F64776">
      <w:pPr>
        <w:pStyle w:val="TextoNormal"/>
      </w:pPr>
    </w:p>
    <w:p w14:paraId="607FA9A6" w14:textId="037B80D5" w:rsidR="00F64776" w:rsidRDefault="00F64776" w:rsidP="00F64776">
      <w:pPr>
        <w:pStyle w:val="TextoNormal"/>
      </w:pPr>
      <w:r>
        <w:t>Asimismo, se solicita por otrosí, con invocación del art. 56.2 de la Ley Orgánica del Tribunal Constitucional (LOTC), que se suspenda la ejecución de la sentencia condenatoria en lo que se refiere a la pena de prisión, que el demandante empezó a cumplir el 2 de enero de 2023 en el centro penitenciario Sevilla I, a cuyo efecto alega lo siguiente: (i) el mantenimiento de la ejecución de la sentencia recurrida le produce un perjuicio irreparable que haría perder al amparo su finalidad, pues en el caso de que se declaren vulnerados sus derechos fundamentales el tiempo pasado en prisión nunca le podrá ser restituido; y (ii) la suspensión no ocasiona perturbación grave a un interés constitucionalmente protegido, ni a los derechos fundamentales o libertades de otra persona; desde que las diligencias previas se dirigieron contra él en 2011 hasta que ingresó en prisión en enero de 2023 en ningún momento ha tratado de eludir la acción de la justicia; su condena a seis años y seis meses de prisión no está muy alejada del límite de cinco años utilizado habitualmente por el Tribunal Constitucional para decidir sobre la suspensión; cuando se resuelva el incidente llevará meses privado de libertad y la sociedad ya habrá visualizado que la acción de la justicia sobre su persona ha cumplido, al menos parcialmente, su finalidad y con ello el interés constitucionalmente protegido de “hacer ejecutar lo juzgado”; actualmente está jubilado, por lo que ya no es posible la reiteración delictiva por los delitos por los que ha sido condenado, dispone de arraigo familiar, ingresos por jubilación y vida estructurada; destaca finalmente que en el voto particular a la sentencia del Tribunal Supremo se sostiene que no existe prueba de la comisión de hecho delictivo por el que está en prisión.</w:t>
      </w:r>
    </w:p>
    <w:p w14:paraId="0487DB23" w14:textId="77777777" w:rsidR="00F64776" w:rsidRDefault="00F64776" w:rsidP="00F64776">
      <w:pPr>
        <w:pStyle w:val="TextoNormal"/>
      </w:pPr>
    </w:p>
    <w:p w14:paraId="6106C055" w14:textId="77777777" w:rsidR="00F64776" w:rsidRDefault="00F64776" w:rsidP="00F64776">
      <w:pPr>
        <w:pStyle w:val="TextoNormal"/>
      </w:pPr>
      <w:r w:rsidRPr="00F64776">
        <w:rPr>
          <w:rStyle w:val="NumeroAFNegritaCaracter"/>
        </w:rPr>
        <w:t>2</w:t>
      </w:r>
      <w:r>
        <w:t>. La Sala Segunda del Tribunal Constitucional, por ATC 288/2023, de 5 de junio, de conformidad con el art. 11.2 LOTC, avocó para sí la decisión de admisión a trámite del presente recurso de amparo y acordó su procedencia, apreciando que concurre en el mismo especial trascendencia constitucional (art. 50.1 LOTC), porque el recurso plantea un problema o afecta a una faceta de un derecho fundamental sobre el que no hay doctrina de este tribunal [STC 155/2009, de 25 de junio, FJ 2 a)] y porque el asunto suscitado trasciende del caso concreto porque plantea una cuestión jurídica de relevante y general repercusión social y tiene unas consecuencias políticas generales [STC 155/2009, FJ 2 g)]. Además, en la misma resolución se decidió la formación de pieza separada de suspensión, y, en ella, conceder un plazo de tres días al Ministerio Fiscal y al solicitante de amparo para que efectuaran alegaciones respecto a dicha petición. Se acordó, asimismo, proponer la avocación al Pleno del conocimiento del presente recurso de amparo.</w:t>
      </w:r>
    </w:p>
    <w:p w14:paraId="2EFA6682" w14:textId="77777777" w:rsidR="00F64776" w:rsidRDefault="00F64776" w:rsidP="00F64776">
      <w:pPr>
        <w:pStyle w:val="TextoNormal"/>
      </w:pPr>
    </w:p>
    <w:p w14:paraId="5C7A13FA" w14:textId="573B689C" w:rsidR="00F64776" w:rsidRDefault="00F64776" w:rsidP="00F64776">
      <w:pPr>
        <w:pStyle w:val="TextoNormal"/>
      </w:pPr>
      <w:r>
        <w:t>El Pleno, en su reunión de 20 de junio de 2023, acordó recabar para sí el conocimiento del recurso de amparo.</w:t>
      </w:r>
    </w:p>
    <w:p w14:paraId="4AA27E21" w14:textId="77777777" w:rsidR="00F64776" w:rsidRDefault="00F64776" w:rsidP="00F64776">
      <w:pPr>
        <w:pStyle w:val="TextoNormal"/>
      </w:pPr>
    </w:p>
    <w:p w14:paraId="29CA47E2" w14:textId="08F21057" w:rsidR="00F64776" w:rsidRDefault="00F64776" w:rsidP="00F64776">
      <w:pPr>
        <w:pStyle w:val="TextoNormal"/>
      </w:pPr>
      <w:r w:rsidRPr="00F64776">
        <w:rPr>
          <w:rStyle w:val="NumeroAFNegritaCaracter"/>
        </w:rPr>
        <w:t>3</w:t>
      </w:r>
      <w:r>
        <w:t>. La representación procesal del recurrente presentó sus alegaciones mediante escrito registrado en este tribunal el 14 de junio de 2023, en el que reitera sustancialmente los argumentos expuestos en el otrosí de su demanda, a los que añade que tiene un hijo de doce años, edad en la que la figura paterna es un referente necesario, y una madre de cien años que necesita la compañía y el calor de sus hijos.</w:t>
      </w:r>
    </w:p>
    <w:p w14:paraId="70BDD727" w14:textId="77777777" w:rsidR="00F64776" w:rsidRDefault="00F64776" w:rsidP="00F64776">
      <w:pPr>
        <w:pStyle w:val="TextoNormal"/>
      </w:pPr>
    </w:p>
    <w:p w14:paraId="50F7CA43" w14:textId="4F636E34" w:rsidR="00F64776" w:rsidRDefault="00F64776" w:rsidP="00F64776">
      <w:pPr>
        <w:pStyle w:val="TextoNormal"/>
      </w:pPr>
      <w:r w:rsidRPr="00F64776">
        <w:rPr>
          <w:rStyle w:val="NumeroAFNegritaCaracter"/>
        </w:rPr>
        <w:t>4</w:t>
      </w:r>
      <w:r>
        <w:t>. El Ministerio Fiscal, por escrito registrado el día 30 de junio de 2023, presentó alegaciones en las que interesó la desestimación de la solicitud de suspensión cautelar porque, atendiendo a la doctrina constitucional que considera que la gravedad de la pena es un criterio indicativo de la trascendencia social de la conducta enjuiciada y de los bienes jurídicos lesionados, así como la directriz general que tiende a limitar la suspensión cautelar a penas de prisión que no excedan el marco de los cinco años de duración (AATC 95/2019, de 23 de julio, FJ 2, y 94/2022, de 13 de junio, FJ 1), no procede en este caso conceder la suspensión cautelar solicitada, dado que la pena de prisión impuesta tiene una duración claramente superior a los cinco años y que el periodo de condena efectivamente cumplido y el que queda por cumplir no implican un riesgo de pérdida de la finalidad del amparo en caso de ser estimado.</w:t>
      </w:r>
    </w:p>
    <w:p w14:paraId="52925ABB" w14:textId="77777777" w:rsidR="00F64776" w:rsidRDefault="00F64776" w:rsidP="00F64776">
      <w:pPr>
        <w:pStyle w:val="TextoNormal"/>
      </w:pPr>
    </w:p>
    <w:p w14:paraId="151E6093" w14:textId="0A5A41E8" w:rsidR="00F64776" w:rsidRDefault="00F64776" w:rsidP="00F64776">
      <w:pPr>
        <w:pStyle w:val="TextoNormal"/>
      </w:pPr>
      <w:r w:rsidRPr="00F64776">
        <w:rPr>
          <w:rStyle w:val="NumeroAFNegritaCaracter"/>
        </w:rPr>
        <w:t>5</w:t>
      </w:r>
      <w:r>
        <w:t>. La representación procesal del Partido Popular, a la que se ha tenido por personada y parte en la pieza principal por diligencia de ordenación de 27 de julio de 2023 del secretario de justicia del Pleno, presentó alegaciones en esta pieza separada el 1 de septiembre de 2023 en las que solicita la desestimación de las solicitudes de suspensión cautelar de las penas de prisión deducidas en sus recursos de amparo por los condenados en la causa antecedente, cuando se trate de penas de duración superior a los cinco años, conforme al criterio asentado en la doctrina constitucional (AATC 130/2022, de 10 de octubre; 95/2019, de 23 de julio, FJ 2; 100/2022, de 16 de junio, y 94/2020, de 10 de septiembre) de ponderar el interés general que se vería afectado por la medida cautelar en función de la gravedad de la pena concretamente impuesta, según exceda o no dicho límite temporal, salvo concurrencia de circunstancias excepcionales, que la parte entiende que no concurren en ninguno de ellos.</w:t>
      </w:r>
    </w:p>
    <w:p w14:paraId="4939C4A8" w14:textId="77777777" w:rsidR="00F64776" w:rsidRDefault="00F64776" w:rsidP="00F64776">
      <w:pPr>
        <w:pStyle w:val="TextoNormal"/>
      </w:pPr>
    </w:p>
    <w:p w14:paraId="4B85B33B" w14:textId="77777777" w:rsidR="00F64776" w:rsidRDefault="00F64776" w:rsidP="00F64776">
      <w:pPr>
        <w:pStyle w:val="TextoNormalNegritaCentrado"/>
        <w:keepNext/>
      </w:pPr>
      <w:r>
        <w:t>II. Fundamentos jurídicos</w:t>
      </w:r>
    </w:p>
    <w:p w14:paraId="7D72A8DC" w14:textId="32C5060B" w:rsidR="00F64776" w:rsidRDefault="00F64776" w:rsidP="00F64776">
      <w:pPr>
        <w:pStyle w:val="TextoNormalNegritaCentrado"/>
        <w:keepNext/>
      </w:pPr>
    </w:p>
    <w:p w14:paraId="083B8651" w14:textId="77777777" w:rsidR="00F64776" w:rsidRDefault="00F64776" w:rsidP="00F64776">
      <w:pPr>
        <w:pStyle w:val="TextoNormal"/>
      </w:pPr>
      <w:r w:rsidRPr="00F64776">
        <w:rPr>
          <w:rStyle w:val="NumeroAFNegritaCaracter"/>
        </w:rPr>
        <w:t>1</w:t>
      </w:r>
      <w:r>
        <w:t>. El objeto de esta pieza es determinar la procedencia de acordar la suspensión de las resoluciones judiciales impugnadas en el único extremo solicitado por el recurrente de la pena privativa de libertad de seis años y seis meses que le fue impuesta como autor de un delito de prevaricación en concurso medial con un delito de malversación.</w:t>
      </w:r>
    </w:p>
    <w:p w14:paraId="08BF9FC5" w14:textId="77777777" w:rsidR="00F64776" w:rsidRDefault="00F64776" w:rsidP="00F64776">
      <w:pPr>
        <w:pStyle w:val="TextoNormal"/>
      </w:pPr>
    </w:p>
    <w:p w14:paraId="0BD15827" w14:textId="77777777" w:rsidR="00F64776" w:rsidRDefault="00F64776" w:rsidP="00F64776">
      <w:pPr>
        <w:pStyle w:val="TextoNormal"/>
      </w:pPr>
      <w:r>
        <w:t>El recurrente sostiene que la suspensión no causaría una perturbación grave al interés general al tratarse de una condena no muy alejada del límite de cinco años utilizado habitualmente como criterio por el Tribunal Constitucional, que se ha iniciado su cumplimiento en el mes de enero de 2023, por lo que la sociedad ya ha visualizado que la acción de la justicia ha realizado su finalidad, al menos parcialmente, y con ello el interés constitucionalmente protegido de “hacer ejecutar lo juzgado”, que no hay riesgo de reiteración delictiva, así como diversas circunstancias personales, como que está jubilado y tiene familiares a su cargo.</w:t>
      </w:r>
    </w:p>
    <w:p w14:paraId="2CA6BBF6" w14:textId="77777777" w:rsidR="00F64776" w:rsidRDefault="00F64776" w:rsidP="00F64776">
      <w:pPr>
        <w:pStyle w:val="TextoNormal"/>
      </w:pPr>
    </w:p>
    <w:p w14:paraId="369E1ADD" w14:textId="77777777" w:rsidR="00F64776" w:rsidRDefault="00F64776" w:rsidP="00F64776">
      <w:pPr>
        <w:pStyle w:val="TextoNormal"/>
      </w:pPr>
      <w:r>
        <w:t>La fiscal interesa que se deniegue la medida cautelar porque la pena de prisión es manifiestamente superior a cinco años, y porque el periodo de condena cumplido no indica un riesgo de que el amparo pueda perder su finalidad.</w:t>
      </w:r>
    </w:p>
    <w:p w14:paraId="4E8483D3" w14:textId="77777777" w:rsidR="00F64776" w:rsidRDefault="00F64776" w:rsidP="00F64776">
      <w:pPr>
        <w:pStyle w:val="TextoNormal"/>
      </w:pPr>
    </w:p>
    <w:p w14:paraId="2464E6FA" w14:textId="4A665721" w:rsidR="00F64776" w:rsidRDefault="00F64776" w:rsidP="00F64776">
      <w:pPr>
        <w:pStyle w:val="TextoNormal"/>
      </w:pPr>
      <w:r>
        <w:t>La representación procesal del Partido Popular interesa la desestimación de toda solicitud de suspensión cautelar que tenga por objeto penas de prisión de duración superior a cinco años.</w:t>
      </w:r>
    </w:p>
    <w:p w14:paraId="75778EE7" w14:textId="77777777" w:rsidR="00F64776" w:rsidRDefault="00F64776" w:rsidP="00F64776">
      <w:pPr>
        <w:pStyle w:val="TextoNormal"/>
      </w:pPr>
    </w:p>
    <w:p w14:paraId="6BA35376" w14:textId="77777777" w:rsidR="00F64776" w:rsidRDefault="00F64776" w:rsidP="00F64776">
      <w:pPr>
        <w:pStyle w:val="TextoNormal"/>
      </w:pPr>
      <w:r w:rsidRPr="00F64776">
        <w:rPr>
          <w:rStyle w:val="NumeroAFNegritaCaracter"/>
        </w:rPr>
        <w:t>2</w:t>
      </w:r>
      <w:r>
        <w:t>. El art. 56.1 LOTC dispone que la interposición de un recurso de amparo no suspenderá los efectos del acto o sentencia impugnados, concretando el art. 56.2 LOTC que podrá acordarse la suspensión cuando su ejecución “produzca un perjuicio al recurrente que pudiera hacer perder al amparo su finalidad”. Se establece como limitación a esa facultad que “la suspensión no ocasione perturbación grave a un interés constitucionalmente protegido, ni a los derechos fundamentales o libertades de otra persona”. La regla general es, por tanto, que no procede la suspensión de los efectos de los actos o resoluciones judiciales impugnadas, en particular en lo que hace a estas últimas, porque tal suspensión acarrea la perturbación de la función jurisdiccional y supone una injerencia de la jurisdicción constitucional en las decisiones adoptadas por la jurisdicción ordinaria que, pese a poder estar justificada, ha de ser abordada con suma cautela, caso a caso, para evitar que este tribunal desempeñe funciones que le están constitucionalmente vedadas, por ser propias de la jurisdicción ordinaria (ATC 38/2018, de 22 de marzo, FJ 3, por todos).</w:t>
      </w:r>
    </w:p>
    <w:p w14:paraId="03D84E93" w14:textId="77777777" w:rsidR="00F64776" w:rsidRDefault="00F64776" w:rsidP="00F64776">
      <w:pPr>
        <w:pStyle w:val="TextoNormal"/>
      </w:pPr>
    </w:p>
    <w:p w14:paraId="7A811DDE" w14:textId="1AF4713F" w:rsidR="00F64776" w:rsidRDefault="00F64776" w:rsidP="00F64776">
      <w:pPr>
        <w:pStyle w:val="TextoNormal"/>
      </w:pPr>
      <w:r>
        <w:t>Las condenas privativas de libertad son uno de los casos en los que este tribunal entiende procedente acordar la suspensión de su ejecución habida cuenta de que “la libertad constituye un derecho cuya naturaleza convierte el perjuicio irrogado en irreparable, en caso de estimarse el amparo una vez cumplida parcial o totalmente la pena” (ATC 93/2018, de 17 de septiembre, FJ 1, y los autos allí indicados). La jurisprudencia constitucional, en relación con la suspensión de las penas privativas de libertad, ha venido utilizando como criterio de ponderación prioritario el de gravedad de la pena, aplicando de forma reiterada como directriz inicial la de que la pena sea superior a los cinco años de prisión, por ser la que sirve al legislador penal para diferenciar entre las penas graves y las menos graves. Junto a este criterio, el Tribunal ha venido ponderando otras circunstancias relevantes, tales como, significativamente,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(entre otros, AATC 469/2007, de 17 de diciembre, FJ 2; 16/2008, de 21 de enero, FJ 1, y 172/2008, de 23 de junio, FJ 2), circunstancias todas ellas “que expresan la reprobación que el ordenamiento asigna al hecho delictivo y, por consiguiente, la magnitud del interés general en su ejecución” (por todos, AATC 109/2008, de 14 de abril, FJ 2; 53/2009, de 23 de febrero, FJ 1, y 171/2009, de 1 de junio, FJ 1).</w:t>
      </w:r>
    </w:p>
    <w:p w14:paraId="2E3BD2E9" w14:textId="77777777" w:rsidR="00F64776" w:rsidRDefault="00F64776" w:rsidP="00F64776">
      <w:pPr>
        <w:pStyle w:val="TextoNormal"/>
      </w:pPr>
    </w:p>
    <w:p w14:paraId="39B97ADA" w14:textId="77777777" w:rsidR="00F64776" w:rsidRDefault="00F64776" w:rsidP="00F64776">
      <w:pPr>
        <w:pStyle w:val="TextoNormal"/>
      </w:pPr>
      <w:r w:rsidRPr="00F64776">
        <w:rPr>
          <w:rStyle w:val="NumeroAFNegritaCaracter"/>
        </w:rPr>
        <w:t>3</w:t>
      </w:r>
      <w:r>
        <w:t>. La aplicación de dicha doctrina al supuesto que aquí se examina conduce a denegar la suspensión de la pena privativa de libertad impuesta al recurrente, dada su duración de seis años y seis meses, que es muy superior a la que este tribunal ha venido considerando como límite a partir del cual no resulta, en principio, procedente la adopción de la medida cautelar de suspensión. Junto a la gravedad de la pena, también la naturaleza, gravedad y trascendencia social de los hechos enjuiciados operan como parámetro decisivo para no acceder a la suspensión interesada, en tanto que el recurrente fue condenado por delitos continuados contra la administración pública cometidos a lo largo de un extenso período de tiempo y con incidencia en toda la comunidad autónoma.</w:t>
      </w:r>
    </w:p>
    <w:p w14:paraId="01D4DF4B" w14:textId="77777777" w:rsidR="00F64776" w:rsidRDefault="00F64776" w:rsidP="00F64776">
      <w:pPr>
        <w:pStyle w:val="TextoNormal"/>
      </w:pPr>
    </w:p>
    <w:p w14:paraId="76B4E31E" w14:textId="77777777" w:rsidR="00F64776" w:rsidRDefault="00F64776" w:rsidP="00F64776">
      <w:pPr>
        <w:pStyle w:val="TextoNormal"/>
      </w:pPr>
      <w:r>
        <w:t>El recurrente solicita que, aparte de la duración de la pena, se tomen en consideración otros factores, como que las diligencias judiciales se incoaron en el año 2011, sin que en ningún momento haya tratado de eludir la acción de la justicia, que está cumpliendo condena desde el mes de enero de 2023, por lo que la sociedad ya ha visualizado que la acción de la justicia se ha hecho efectiva al menos parcialmente en su persona, y que concurren determinadas circunstancias personales y familiares que hacen especialmente gravosa su estancia en prisión.</w:t>
      </w:r>
    </w:p>
    <w:p w14:paraId="25E03566" w14:textId="77777777" w:rsidR="00F64776" w:rsidRDefault="00F64776" w:rsidP="00F64776">
      <w:pPr>
        <w:pStyle w:val="TextoNormal"/>
      </w:pPr>
    </w:p>
    <w:p w14:paraId="0CFD36EE" w14:textId="77777777" w:rsidR="00F64776" w:rsidRDefault="00F64776" w:rsidP="00F64776">
      <w:pPr>
        <w:pStyle w:val="TextoNormal"/>
      </w:pPr>
      <w:r>
        <w:t>Es cierto que el criterio de la gravedad de la pena impuesta no es de aplicación incondicionalmente automática, pues factores como el tiempo de pena ya cumplido, o el que está pendiente de cumplir, han sido igualmente utilizados por el Tribunal Constitucional a la hora de tomar una decisión sobre esta materia (ATC 113/2021, de 17 de diciembre, FJ 6), lo que ha determinado que existan precedentes en los que se ha suspendido la ejecución de penas de prisión de duración manifiestamente superior a la impuesta en este caso, de los que se hace profusa cita en los AATC 57/2020, de 17 de junio, FJ 3; 60/2020, de 17 de junio, FFJJ 3 y 4; y 94/2020, de 10 de septiembre, FJ 3, tratándose en cualquier caso de supuestos en los que concurrían circunstancias excepcionales que, tras su debida ponderación, llevaron a considerar que el amparo podría perder su finalidad por haberse extinguido una parte sustancial de la pena (ATC 305/2001, de 12 de diciembre, FJ 2) con el consiguiente debilitamiento del interés general en su cumplimiento (ATC 312/1995, de 20 de noviembre, FJ 3), en relación con la previsible duración del proceso constitucional (ATC 235/1999, de 11 de octubre, FJ 2).</w:t>
      </w:r>
    </w:p>
    <w:p w14:paraId="1549CE5D" w14:textId="77777777" w:rsidR="00F64776" w:rsidRDefault="00F64776" w:rsidP="00F64776">
      <w:pPr>
        <w:pStyle w:val="TextoNormal"/>
      </w:pPr>
    </w:p>
    <w:p w14:paraId="7C0C5F78" w14:textId="77777777" w:rsidR="00F64776" w:rsidRDefault="00F64776" w:rsidP="00F64776">
      <w:pPr>
        <w:pStyle w:val="TextoNormal"/>
      </w:pPr>
      <w:r>
        <w:t>En el presente caso no concurren estas circunstancias excepcionales en el grado necesario, pues, de una parte, al recurrente le resta por extinguir una fracción de condena superior a los cinco años, y de otra, el tiempo que haya de invertirse en la tramitación del recurso de amparo no es, en sí mismo, una circunstancia excepcional. Que el proceso de amparo haya de tramitarse es un rasgo inherente al incidente de suspensión previsto en el art. 56.2 LOTC, que va ligado a una previa decisión de admisión a trámite. Por ello, salvo que concurra objetivamente una razón que permita prever una duración excepcional, ha de considerarse que el tiempo ordinario de duración del proceso de amparo está ya contemplado en el límite general (de cinco años) establecido en nuestra doctrina en relación con la suspensión de las resoluciones judiciales que imponen penas privativas de libertad.</w:t>
      </w:r>
    </w:p>
    <w:p w14:paraId="788ADE37" w14:textId="77777777" w:rsidR="00F64776" w:rsidRDefault="00F64776" w:rsidP="00F64776">
      <w:pPr>
        <w:pStyle w:val="TextoNormal"/>
      </w:pPr>
    </w:p>
    <w:p w14:paraId="66B4F1B9" w14:textId="77777777" w:rsidR="00F64776" w:rsidRDefault="00F64776" w:rsidP="00F64776">
      <w:pPr>
        <w:pStyle w:val="TextoNormal"/>
      </w:pPr>
      <w:r>
        <w:t>En cuanto a la inexistencia de riesgo de sustracción de la acción de la justicia debe ser valorada “como una condición necesaria para que proceda la suspensión del cumplimento de las [penas] privativas de libertad, pero no suficiente por sí sola, pues conforme a la doctrina establecida por este tribunal también deben concurrir los restantes requisitos en ella establecidos” (ATC 60/2020, de 17 de junio). Este tribunal ha recordado, de hecho, que, a diferencia de lo que ocurre en los supuestos de prisión provisional, una vez “impuesta la privación de libertad como condena, esto es, destruida formalmente la presunción de inocencia […], lo que nos compete valorar no es el riesgo de fuga o la posibilidad de que la sentencia sea o no finalmente cumplida, sino la procedencia de suspender la ejecución a la vista del interés general concurrente en la misma” [ATC 256/2001, de 1 de octubre, FJ 3 c)].</w:t>
      </w:r>
    </w:p>
    <w:p w14:paraId="099EC6E3" w14:textId="77777777" w:rsidR="00F64776" w:rsidRDefault="00F64776" w:rsidP="00F64776">
      <w:pPr>
        <w:pStyle w:val="TextoNormal"/>
      </w:pPr>
    </w:p>
    <w:p w14:paraId="3831959B" w14:textId="68C95021" w:rsidR="00F64776" w:rsidRDefault="00F64776" w:rsidP="00F64776">
      <w:pPr>
        <w:pStyle w:val="TextoNormal"/>
      </w:pPr>
      <w:r>
        <w:t>Estamos, en definitiva, ante una pena de prisión de duración netamente superior a los cinco años, sin que las razones alegadas por el demandante hagan desaparecer el cualificado interés general que, en un caso como este, presenta la ejecución de la resolución condenatoria firme.</w:t>
      </w:r>
    </w:p>
    <w:p w14:paraId="2C0D385E" w14:textId="77777777" w:rsidR="00F64776" w:rsidRDefault="00F64776" w:rsidP="00F64776">
      <w:pPr>
        <w:pStyle w:val="TextoNormal"/>
      </w:pPr>
    </w:p>
    <w:p w14:paraId="5A6B13A2" w14:textId="77777777" w:rsidR="00F64776" w:rsidRDefault="00F64776" w:rsidP="00F64776">
      <w:pPr>
        <w:pStyle w:val="TextoNormal"/>
      </w:pPr>
      <w:r>
        <w:t>Por lo expuesto, el Pleno</w:t>
      </w:r>
    </w:p>
    <w:p w14:paraId="13BE6BA1" w14:textId="0B33B9C9" w:rsidR="00F64776" w:rsidRDefault="00F64776" w:rsidP="00F64776">
      <w:pPr>
        <w:pStyle w:val="TextoNormal"/>
      </w:pPr>
    </w:p>
    <w:p w14:paraId="727D6C8A" w14:textId="77777777" w:rsidR="00F64776" w:rsidRDefault="00F64776" w:rsidP="00F64776">
      <w:pPr>
        <w:pStyle w:val="TextoNormalCentrado"/>
      </w:pPr>
      <w:r>
        <w:t>ACUERDA</w:t>
      </w:r>
    </w:p>
    <w:p w14:paraId="4AE1D029" w14:textId="53FB807F" w:rsidR="00F64776" w:rsidRDefault="00F64776" w:rsidP="00F64776">
      <w:pPr>
        <w:pStyle w:val="TextoNormalCentrado"/>
      </w:pPr>
    </w:p>
    <w:p w14:paraId="4C39EAB8" w14:textId="64EE6B75" w:rsidR="00F64776" w:rsidRDefault="00F64776" w:rsidP="00F64776">
      <w:pPr>
        <w:pStyle w:val="TextoNormal"/>
      </w:pPr>
      <w:r>
        <w:t>Denegar la suspensión en el recurso de amparo 2136-2023, promovido por don Miguel Ángel Serrano Aguilar en causa penal.</w:t>
      </w:r>
    </w:p>
    <w:p w14:paraId="167DDDFB" w14:textId="77777777" w:rsidR="00F64776" w:rsidRDefault="00F64776" w:rsidP="00F64776">
      <w:pPr>
        <w:pStyle w:val="TextoNormal"/>
      </w:pPr>
    </w:p>
    <w:p w14:paraId="0978C0C6" w14:textId="77777777" w:rsidR="00F64776" w:rsidRDefault="00F64776" w:rsidP="00F64776">
      <w:pPr>
        <w:pStyle w:val="TextoNormal"/>
      </w:pPr>
      <w:r>
        <w:t>Madrid, a veintiséis de septiembre de dos mil veintitrés.</w:t>
      </w:r>
    </w:p>
    <w:p w14:paraId="17E4D912" w14:textId="41683FF6" w:rsidR="00F64776" w:rsidRDefault="00F64776">
      <w:pPr>
        <w:spacing w:after="160" w:line="278" w:lineRule="auto"/>
        <w:rPr>
          <w:rFonts w:ascii="Times New Roman" w:eastAsia="Times New Roman" w:hAnsi="Times New Roman" w:cs="Times New Roman"/>
          <w:sz w:val="24"/>
          <w:szCs w:val="24"/>
          <w:lang w:eastAsia="es-ES"/>
        </w:rPr>
      </w:pPr>
      <w:r>
        <w:br w:type="page"/>
      </w:r>
    </w:p>
    <w:p w14:paraId="394A3010" w14:textId="77777777" w:rsidR="00F64776" w:rsidRDefault="00F64776" w:rsidP="00F64776">
      <w:pPr>
        <w:pStyle w:val="TtuloResolucin"/>
      </w:pPr>
      <w:bookmarkStart w:id="224" w:name="AUTO_2023_439"/>
      <w:r>
        <w:t>AUTO 439/2023, de 26 de septiembre de 2023</w:t>
      </w:r>
    </w:p>
    <w:bookmarkEnd w:id="224"/>
    <w:p w14:paraId="61BDD5A8" w14:textId="77777777" w:rsidR="00F64776" w:rsidRDefault="00F64776" w:rsidP="00F64776">
      <w:pPr>
        <w:pStyle w:val="TtuloResolucin"/>
      </w:pPr>
      <w:r>
        <w:t>Pleno</w:t>
      </w:r>
    </w:p>
    <w:p w14:paraId="3E23DDF2" w14:textId="77777777" w:rsidR="00F64776" w:rsidRDefault="00F64776" w:rsidP="00F64776">
      <w:pPr>
        <w:pStyle w:val="TextoNormalCentrado"/>
      </w:pPr>
      <w:r>
        <w:t>ECLI:ES:TC:2023:439A</w:t>
      </w:r>
    </w:p>
    <w:p w14:paraId="6FE43D01" w14:textId="22053DE2" w:rsidR="00F64776" w:rsidRDefault="00F64776" w:rsidP="00F64776">
      <w:pPr>
        <w:pStyle w:val="TextoNormalCentrado"/>
      </w:pPr>
    </w:p>
    <w:p w14:paraId="58413A7A" w14:textId="77777777" w:rsidR="00F64776" w:rsidRDefault="00F64776" w:rsidP="00F64776">
      <w:pPr>
        <w:pStyle w:val="SntesisDescriptiva"/>
      </w:pPr>
      <w:r>
        <w:t>Excms. Srs. don Cándido Conde-Pumpido Tourón,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w:t>
      </w:r>
    </w:p>
    <w:p w14:paraId="709E4F3A" w14:textId="686A7CC3" w:rsidR="00F64776" w:rsidRDefault="00F64776" w:rsidP="00F64776">
      <w:pPr>
        <w:pStyle w:val="SntesisDescriptiva"/>
      </w:pPr>
    </w:p>
    <w:p w14:paraId="2A94E09E" w14:textId="77777777" w:rsidR="00F64776" w:rsidRDefault="00F64776" w:rsidP="00F64776">
      <w:pPr>
        <w:pStyle w:val="SntesisDescriptiva"/>
      </w:pPr>
      <w:r>
        <w:t>Deniega la suspensión en el recurso de amparo 2239-2023, promovido por don Juan Márquez Contreras en causa penal.</w:t>
      </w:r>
    </w:p>
    <w:p w14:paraId="78AE7AA6" w14:textId="58A41A61" w:rsidR="00F64776" w:rsidRDefault="00F64776" w:rsidP="00F64776">
      <w:pPr>
        <w:pStyle w:val="SntesisDescriptiva"/>
      </w:pPr>
    </w:p>
    <w:p w14:paraId="5A4750BD" w14:textId="77777777" w:rsidR="00F64776" w:rsidRDefault="00F64776" w:rsidP="00F64776">
      <w:pPr>
        <w:pStyle w:val="SntesisDescriptiva"/>
      </w:pPr>
    </w:p>
    <w:p w14:paraId="4ED2DEDA" w14:textId="77777777" w:rsidR="00F64776" w:rsidRDefault="00F64776" w:rsidP="00F64776">
      <w:pPr>
        <w:pStyle w:val="SntesisDescriptiva"/>
      </w:pPr>
    </w:p>
    <w:p w14:paraId="3560E3EF" w14:textId="77777777" w:rsidR="00F64776" w:rsidRDefault="00F64776" w:rsidP="00F64776">
      <w:pPr>
        <w:pStyle w:val="TextoNormalNegritaCentrado"/>
      </w:pPr>
      <w:r>
        <w:t>AUTO</w:t>
      </w:r>
    </w:p>
    <w:p w14:paraId="74903325" w14:textId="5B06F7E5" w:rsidR="00F64776" w:rsidRDefault="00F64776" w:rsidP="00F64776">
      <w:pPr>
        <w:pStyle w:val="TextoNormalNegritaCentrado"/>
      </w:pPr>
    </w:p>
    <w:p w14:paraId="0ACC36E4" w14:textId="77777777" w:rsidR="00F64776" w:rsidRDefault="00F64776" w:rsidP="00F64776">
      <w:pPr>
        <w:pStyle w:val="TextoNormalNegritaCentrado"/>
        <w:keepNext/>
      </w:pPr>
      <w:r>
        <w:t>I. Antecedentes</w:t>
      </w:r>
    </w:p>
    <w:p w14:paraId="7C65C4E5" w14:textId="673F8488" w:rsidR="00F64776" w:rsidRDefault="00F64776" w:rsidP="00F64776">
      <w:pPr>
        <w:pStyle w:val="TextoNormalNegritaCentrado"/>
        <w:keepNext/>
      </w:pPr>
    </w:p>
    <w:p w14:paraId="7DC0A4A9" w14:textId="77777777" w:rsidR="00F64776" w:rsidRDefault="00F64776" w:rsidP="00F64776">
      <w:pPr>
        <w:pStyle w:val="TextoNormal"/>
      </w:pPr>
      <w:r w:rsidRPr="00F64776">
        <w:rPr>
          <w:rStyle w:val="NumeroAFNegritaCaracter"/>
        </w:rPr>
        <w:t>1</w:t>
      </w:r>
      <w:r>
        <w:t>. Mediante escrito presentado en el registro general de este tribunal el 4 de abril de 2023 la representación procesal de don Juan Márquez Contreras interpuso recurso de amparo contra: (i) la sentencia núm. 490/2019, de 19 de noviembre, dictada por la Sección Primera de la Audiencia Provincial de Sevilla en el rollo núm. 1965-2017, dimanante del procedimiento abreviado núm. 133-2016, que le condenó por un delito de prevaricación administrativa del art. 404 del Código penal (CP) en concurso medial con un delito de malversación de caudales públicos del art. 432 CP, a las penas de siete años y un día de prisión y dieciocho años y un día de inhabilitación absoluta, con la consiguiente privación definitiva de todos los honores, empleos y cargos públicos, aunque sean electivos, e incapacidad para obtener los mismos o cualesquiera otros honores, cargos o empleos públicos y la de ser elegido para cargo público durante el tiempo de la condena; (ii) la sentencia núm. 749/2022, de 13 de septiembre, de la Sala de lo Penal del Tribunal Supremo, dictada en el recurso de casación núm. 601-2020, que apreció la concurrencia de la circunstancia atenuante analógica de reparación del daño del art. 21.7 CP como muy cualificada y le rebajó en un grado las penas, que quedaron definitivamente fijadas en tres años de prisión y siete años y seis meses de inhabilitación absoluta; y (iii) el auto de 16 de febrero de 2023 de la misma Sala que inadmitió el ulterior incidente de nulidad de actuaciones.</w:t>
      </w:r>
    </w:p>
    <w:p w14:paraId="79383004" w14:textId="77777777" w:rsidR="00F64776" w:rsidRDefault="00F64776" w:rsidP="00F64776">
      <w:pPr>
        <w:pStyle w:val="TextoNormal"/>
      </w:pPr>
    </w:p>
    <w:p w14:paraId="79215ED9" w14:textId="77777777" w:rsidR="00F64776" w:rsidRDefault="00F64776" w:rsidP="00F64776">
      <w:pPr>
        <w:pStyle w:val="TextoNormal"/>
      </w:pPr>
      <w:r>
        <w:t>En la demanda de amparo se alegan las siguientes vulneraciones de derechos fundamentales: (i) del derecho a la presunción de inocencia (art. 24.2 CE) como regla de tratamiento en conexión con el derecho al honor (art. 18.1 CE) como consecuencia del anticipo del fallo condenatorio en providencia dictada por el Tribunal Supremo el 26 de julio de 2022, con mucha antelación a la notificación de la sentencia completa, que se produjo el 14 de septiembre de 2022; (ii) de los derechos a un proceso con todas las garantías, a la presunción de inocencia y a la tutela judicial efectiva (art. 24.1 y 2 CE) porque en la sentencia de casación se han incluido datos fácticos que no aparecen en el relato de hechos probados de la sentencia de primera instancia para apreciar un dolo directo de malversar que no se desprende de aquel; y (iii) del derecho a la presunción de inocencia (art. 24.2 CE) porque no existe un acervo probatorio concluyente para declararle culpable del delito de malversación, de modo que la condena se basaría en una valoración irracional, ilógica y arbitraria de la prueba.</w:t>
      </w:r>
    </w:p>
    <w:p w14:paraId="19F460C8" w14:textId="77777777" w:rsidR="00F64776" w:rsidRDefault="00F64776" w:rsidP="00F64776">
      <w:pPr>
        <w:pStyle w:val="TextoNormal"/>
      </w:pPr>
    </w:p>
    <w:p w14:paraId="2B7F09EC" w14:textId="4F589DAA" w:rsidR="00F64776" w:rsidRDefault="00F64776" w:rsidP="00F64776">
      <w:pPr>
        <w:pStyle w:val="TextoNormal"/>
      </w:pPr>
      <w:r>
        <w:t>El demandante solicita asimismo, mediante otrosí, con invocación del art. 56.2 de la Ley Orgánica del Tribunal Constitucional (LOTC), la suspensión de la ejecución de la pena de tres años de prisión que le ha sido impuesta, y que tiene suspendida por decisión del tribunal sentenciador mientras se tramita el indulto que ha solicitado, si bien por un período máximo de un año, o, subsidiariamente, para el supuesto de que al resolver esta petición se encontrara privado de libertad por esta causa, que se ordene su excarcelación y se mantenga su situación de libertad durante el tiempo de tramitación del presente recurso de amparo. Alega, como justificación de esta petición: (i) que la ejecución de la sentencia le produciría un perjuicio irreparable que haría perder al amparo su finalidad, pues en el caso de que se declaren vulnerados sus derechos fundamentales el tiempo que hubiera pasado en prisión nunca le podría ser restituido, así como que la pena impuesta es menos grave en atención a su duración, de tres años, por lo que se aplicaría el criterio del ATC 59/2020, de 17 de junio, que se refiere a la paralización de la ejecución de penas de prisión inferiores a cinco años, y (ii) la suspensión no ocasiona perturbación grave a un interés constitucionalmente protegido, ni a los derechos fundamentales o libertades de otra persona; afirma que desde que las diligencias previas se dirigieron contra él en el año 2012 el demandante ha permanecido sujeto al proceso sin la menor intención de eludir la acción de la justicia y que aunque la apariencia de buen derecho no sea un elemento a considerar para estimar la medida cautelar, debe reconocerse la relevancia de que la pena impuesta no supere los cinco años.</w:t>
      </w:r>
    </w:p>
    <w:p w14:paraId="04B2E1B0" w14:textId="77777777" w:rsidR="00F64776" w:rsidRDefault="00F64776" w:rsidP="00F64776">
      <w:pPr>
        <w:pStyle w:val="TextoNormal"/>
      </w:pPr>
    </w:p>
    <w:p w14:paraId="4AB37E90" w14:textId="77777777" w:rsidR="00F64776" w:rsidRDefault="00F64776" w:rsidP="00F64776">
      <w:pPr>
        <w:pStyle w:val="TextoNormal"/>
      </w:pPr>
      <w:r w:rsidRPr="00F64776">
        <w:rPr>
          <w:rStyle w:val="NumeroAFNegritaCaracter"/>
        </w:rPr>
        <w:t>2</w:t>
      </w:r>
      <w:r>
        <w:t>. La Sala Segunda del Tribunal Constitucional, por ATC 289/2023, de 5 de junio, de conformidad con el art. 11.2 LOTC, avocó para sí la decisión de admisión a trámite del presente recurso de amparo y acordó su procedencia, apreciando que concurre en el mismo especial trascendencia constitucional (art. 50.1 LOTC), porque el recurso plantea un problema o afecta a una faceta de un derecho fundamental sobre el que no hay doctrina de este tribunal [STC 155/2009, de 25 de junio, FJ 2 a)], y porque el asunto suscitado trasciende del caso concreto porque plantea una cuestión jurídica de relevante y general repercusión social y tiene unas consecuencias políticas generales [STC 155/2009, FJ 2 g)]. Además, en la misma resolución se decidió la formación de pieza separada de suspensión y, en ella, conceder un plazo de tres días al Ministerio Fiscal y al solicitante de amparo para que efectuaran alegaciones respecto a dicha petición. Se acordó, asimismo, proponer la avocación al Pleno del conocimiento del presente recurso de amparo.</w:t>
      </w:r>
    </w:p>
    <w:p w14:paraId="40E501F1" w14:textId="77777777" w:rsidR="00F64776" w:rsidRDefault="00F64776" w:rsidP="00F64776">
      <w:pPr>
        <w:pStyle w:val="TextoNormal"/>
      </w:pPr>
    </w:p>
    <w:p w14:paraId="64E9C197" w14:textId="2C885870" w:rsidR="00F64776" w:rsidRDefault="00F64776" w:rsidP="00F64776">
      <w:pPr>
        <w:pStyle w:val="TextoNormal"/>
      </w:pPr>
      <w:r>
        <w:t>El Pleno, en su reunión de 20 de junio de 2023, acordó recabar para sí el conocimiento del recurso de amparo.</w:t>
      </w:r>
    </w:p>
    <w:p w14:paraId="20A2F97D" w14:textId="77777777" w:rsidR="00F64776" w:rsidRDefault="00F64776" w:rsidP="00F64776">
      <w:pPr>
        <w:pStyle w:val="TextoNormal"/>
      </w:pPr>
    </w:p>
    <w:p w14:paraId="5A02DE43" w14:textId="2470D8F0" w:rsidR="00F64776" w:rsidRDefault="00F64776" w:rsidP="00F64776">
      <w:pPr>
        <w:pStyle w:val="TextoNormal"/>
      </w:pPr>
      <w:r w:rsidRPr="00F64776">
        <w:rPr>
          <w:rStyle w:val="NumeroAFNegritaCaracter"/>
        </w:rPr>
        <w:t>3</w:t>
      </w:r>
      <w:r>
        <w:t>. La representación procesal del demandante presentó sus alegaciones mediante escrito registrado en este tribunal el 13 de junio de 2023, en el que reitera sustancialmente las peticiones y argumentos deducidos en el otrosí de su demanda, en el sentido de que se mantenga su situación de libertad durante el tiempo que dure la tramitación del recurso de amparo, a los que añade que si bien actualmente tiene suspendida la pena de prisión por decisión del tribunal sentenciador mientras se tramita la solicitud de indulto que ha presentado, se trata de una suspensión que presenta un límite temporal de un año, plazo que empezó a correr el 15 de noviembre de 2022, fecha de la resolución que así lo acordó, de manera que es previsible o al menos probable que a dicha fecha no se haya resuelto el indulto o incluso que le haya sido denegado, lo que hace necesario un pronunciamiento del Tribunal Constitucional sobre la suspensión interesada para que el recurso no pierda eficacia. Aduce asimismo que deben valorarse también otros aspectos como la naturaleza y gravedad del delito, el grado de participación del recurrente, el riesgo de reiteración delictiva, el cumplimiento o no de otras penas o medidas alternativas, destacando que en su caso la propia resolución del Tribunal Supremo puso de manifiesto que su participación en los hechos presentaba una diferencia notable, porque tomó iniciativas que dieron lugar a que se pusiera fin al sistema implantado, lo que justificó que se le apreciase un menor contenido de injusto y un menor reproche penal; no existe riesgo de reiteración delictiva porque el demandante no ocupa cargo público alguno desde el año 2010; finalmente señala que no tiene antecedentes penales y que no ha cumplido otras penas o medidas alternativas.</w:t>
      </w:r>
    </w:p>
    <w:p w14:paraId="4D1B37A6" w14:textId="77777777" w:rsidR="00F64776" w:rsidRDefault="00F64776" w:rsidP="00F64776">
      <w:pPr>
        <w:pStyle w:val="TextoNormal"/>
      </w:pPr>
    </w:p>
    <w:p w14:paraId="3C22A0B3" w14:textId="032B4187" w:rsidR="00F64776" w:rsidRDefault="00F64776" w:rsidP="00F64776">
      <w:pPr>
        <w:pStyle w:val="TextoNormal"/>
      </w:pPr>
      <w:r w:rsidRPr="00F64776">
        <w:rPr>
          <w:rStyle w:val="NumeroAFNegritaCaracter"/>
        </w:rPr>
        <w:t>4</w:t>
      </w:r>
      <w:r>
        <w:t>. El Ministerio Fiscal, por escrito registrado el día 30 de junio de 2023, interesó la denegación de la medida cautelar. Se funda en que no concurre el presupuesto del art. 56 LOTC dado que el recurrente tiene suspendida la ejecución de la pena de prisión en tanto se tramita su solicitud de indulto, por un período máximo de un año, en virtud de auto dictado por el tribunal sentenciador el 15 de noviembre de 2022, y que existe el precedente del ATC 3/2017, de 16 de enero, que en circunstancias semejantes denegó la suspensión cautelar.</w:t>
      </w:r>
    </w:p>
    <w:p w14:paraId="468EC5C6" w14:textId="77777777" w:rsidR="00F64776" w:rsidRDefault="00F64776" w:rsidP="00F64776">
      <w:pPr>
        <w:pStyle w:val="TextoNormal"/>
      </w:pPr>
    </w:p>
    <w:p w14:paraId="49DBE3CD" w14:textId="77777777" w:rsidR="00F64776" w:rsidRDefault="00F64776" w:rsidP="00F64776">
      <w:pPr>
        <w:pStyle w:val="TextoNormal"/>
      </w:pPr>
      <w:r w:rsidRPr="00F64776">
        <w:rPr>
          <w:rStyle w:val="NumeroAFNegritaCaracter"/>
        </w:rPr>
        <w:t>5</w:t>
      </w:r>
      <w:r>
        <w:t>. La representación procesal del Partido Popular, a la que se ha tenido por personada y parte en la pieza principal por diligencia de ordenación de 27 de julio de 2023 del secretario de justicia del Pleno, presentó alegaciones en esta pieza separada el 1 de septiembre de 2023 en las que solicita la desestimación de las solicitudes de suspensión cautelar de las penas de prisión deducidas en sus recursos de amparo por los condenados en la causa antecedente, cuando se trate de penas de duración superior a los cinco años, conforme al criterio asentado en la doctrina constitucional (AATC 95/2019, de 23 de julio, FJ 2; 94/2020, de 10 de septiembre; 100/2022, de 16 de junio, y 130/2022, de 10 de octubre) de ponderar el interés general que se vería afectado por la medida cautelar en función de la gravedad de la pena concretamente impuesta, según exceda o no dicho límite temporal, salvo concurrencia de circunstancias excepcionales, que la parte entiende que no concurren en ninguno de ellos.</w:t>
      </w:r>
    </w:p>
    <w:p w14:paraId="2436A3D4" w14:textId="77777777" w:rsidR="00F64776" w:rsidRDefault="00F64776" w:rsidP="00F64776">
      <w:pPr>
        <w:pStyle w:val="TextoNormal"/>
      </w:pPr>
    </w:p>
    <w:p w14:paraId="0FD36D0A" w14:textId="7AC9731A" w:rsidR="00F64776" w:rsidRDefault="00F64776" w:rsidP="00F64776">
      <w:pPr>
        <w:pStyle w:val="TextoNormal"/>
      </w:pPr>
      <w:r>
        <w:t>Argumenta asimismo que en el caso del señor Márquez, en que no se ha producido el ingreso en prisión, la medida cautelar de suspensión no es indispensable.</w:t>
      </w:r>
    </w:p>
    <w:p w14:paraId="5D9079B5" w14:textId="77777777" w:rsidR="00F64776" w:rsidRDefault="00F64776" w:rsidP="00F64776">
      <w:pPr>
        <w:pStyle w:val="TextoNormal"/>
      </w:pPr>
    </w:p>
    <w:p w14:paraId="3A3A4DF4" w14:textId="77777777" w:rsidR="00F64776" w:rsidRDefault="00F64776" w:rsidP="00F64776">
      <w:pPr>
        <w:pStyle w:val="TextoNormalNegritaCentrado"/>
        <w:keepNext/>
      </w:pPr>
      <w:r>
        <w:t>II. Fundamentos jurídicos</w:t>
      </w:r>
    </w:p>
    <w:p w14:paraId="51908A4A" w14:textId="31162947" w:rsidR="00F64776" w:rsidRDefault="00F64776" w:rsidP="00F64776">
      <w:pPr>
        <w:pStyle w:val="TextoNormalNegritaCentrado"/>
        <w:keepNext/>
      </w:pPr>
    </w:p>
    <w:p w14:paraId="698A3DCF" w14:textId="77777777" w:rsidR="00F64776" w:rsidRDefault="00F64776" w:rsidP="00F64776">
      <w:pPr>
        <w:pStyle w:val="TextoNormal"/>
      </w:pPr>
      <w:r w:rsidRPr="00F64776">
        <w:rPr>
          <w:rStyle w:val="NumeroAFNegritaCaracter"/>
        </w:rPr>
        <w:t>1</w:t>
      </w:r>
      <w:r>
        <w:t>. El objeto de esta pieza es determinar la procedencia de acordar la suspensión de las resoluciones judiciales impugnadas en el único extremo solicitado por el recurrente de la pena privativa de libertad de tres años que le fue impuesta como autor de un delito de prevaricación en concurso medial con un delito de malversación.</w:t>
      </w:r>
    </w:p>
    <w:p w14:paraId="6D51F1CD" w14:textId="77777777" w:rsidR="00F64776" w:rsidRDefault="00F64776" w:rsidP="00F64776">
      <w:pPr>
        <w:pStyle w:val="TextoNormal"/>
      </w:pPr>
    </w:p>
    <w:p w14:paraId="0615309A" w14:textId="77777777" w:rsidR="00F64776" w:rsidRDefault="00F64776" w:rsidP="00F64776">
      <w:pPr>
        <w:pStyle w:val="TextoNormal"/>
      </w:pPr>
      <w:r>
        <w:t>El recurrente sostiene que aunque no ha iniciado el cumplimiento de la pena por tenerla suspendida mientras se tramita su solicitud de indulto, su ejecución le produciría un perjuicio irreparable que haría perder al amparo su finalidad, que se trata de una pena de tres años a la que se aplicaría el criterio general de suspensión y que la suspensión no habría de ocasionar una perturbación grave a un interés constitucionalmente protegido, ni a los derechos fundamentales o libertades de otra persona; refiere asimismo que ha permanecido sujeto al proceso desde el inicio de las diligencias judiciales en el año 2012, sin la menor intención de eludir la acción de la justicia.</w:t>
      </w:r>
    </w:p>
    <w:p w14:paraId="01460115" w14:textId="77777777" w:rsidR="00F64776" w:rsidRDefault="00F64776" w:rsidP="00F64776">
      <w:pPr>
        <w:pStyle w:val="TextoNormal"/>
      </w:pPr>
    </w:p>
    <w:p w14:paraId="158F3A6F" w14:textId="77777777" w:rsidR="00F64776" w:rsidRDefault="00F64776" w:rsidP="00F64776">
      <w:pPr>
        <w:pStyle w:val="TextoNormal"/>
      </w:pPr>
      <w:r>
        <w:t>El fiscal interesa la denegación de la medida cautelar porque la pena no está siendo ejecutada en este momento por tramitación de su solicitud de indulto, citando como precedente el ATC 3/2017, de 16 de enero.</w:t>
      </w:r>
    </w:p>
    <w:p w14:paraId="41618D84" w14:textId="77777777" w:rsidR="00F64776" w:rsidRDefault="00F64776" w:rsidP="00F64776">
      <w:pPr>
        <w:pStyle w:val="TextoNormal"/>
      </w:pPr>
    </w:p>
    <w:p w14:paraId="5785D11D" w14:textId="5999E691" w:rsidR="00F64776" w:rsidRDefault="00F64776" w:rsidP="00F64776">
      <w:pPr>
        <w:pStyle w:val="TextoNormal"/>
      </w:pPr>
      <w:r>
        <w:t>La representación procesal del Partido Popular interesa igualmente la denegación de la medida cautelar por estimarla innecesaria al tener suspendido el ingreso en prisión.</w:t>
      </w:r>
    </w:p>
    <w:p w14:paraId="2C8B0545" w14:textId="77777777" w:rsidR="00F64776" w:rsidRDefault="00F64776" w:rsidP="00F64776">
      <w:pPr>
        <w:pStyle w:val="TextoNormal"/>
      </w:pPr>
    </w:p>
    <w:p w14:paraId="28909877" w14:textId="77777777" w:rsidR="00F64776" w:rsidRDefault="00F64776" w:rsidP="00F64776">
      <w:pPr>
        <w:pStyle w:val="TextoNormal"/>
      </w:pPr>
      <w:r w:rsidRPr="00F64776">
        <w:rPr>
          <w:rStyle w:val="NumeroAFNegritaCaracter"/>
        </w:rPr>
        <w:t>2</w:t>
      </w:r>
      <w:r>
        <w:t>. El art. 56.1 LOTC dispone que la interposición de un recurso de amparo no suspenderá los efectos del acto o sentencia impugnados, concretando el art. 56.2 LOTC que podrá acordarse la suspensión cuando su ejecución “produzca un perjuicio al recurrente que pudiera hacer perder al amparo su finalidad”. Se establece como limitación a esa facultad que “la suspensión no ocasione perturbación grave a un interés constitucionalmente protegido, ni a los derechos fundamentales o libertades de otra persona”. La regla general es, por tanto, que no procede la suspensión de los efectos de los actos o resoluciones judiciales impugnadas, en particular en lo que hace a estas últimas, porque tal suspensión acarrea la perturbación de la función jurisdiccional y supone una injerencia de la jurisdicción constitucional en las decisiones adoptadas por la jurisdicción ordinaria que, pese a poder estar justificada, ha de ser abordada con suma cautela, caso a caso, para evitar que este tribunal desempeñe funciones que le están constitucionalmente vedadas, por ser propias de la jurisdicción ordinaria (ATC 38/2018, de 22 de marzo, FJ 3, por todos).</w:t>
      </w:r>
    </w:p>
    <w:p w14:paraId="004864C2" w14:textId="77777777" w:rsidR="00F64776" w:rsidRDefault="00F64776" w:rsidP="00F64776">
      <w:pPr>
        <w:pStyle w:val="TextoNormal"/>
      </w:pPr>
    </w:p>
    <w:p w14:paraId="72C7310C" w14:textId="77777777" w:rsidR="00F64776" w:rsidRDefault="00F64776" w:rsidP="00F64776">
      <w:pPr>
        <w:pStyle w:val="TextoNormal"/>
      </w:pPr>
      <w:r>
        <w:t>Las condenas privativas de libertad son uno de los casos en los que este tribunal entiende procedente acordar la suspensión de su ejecución habida cuenta de que “la libertad constituye un derecho cuya naturaleza convierte el perjuicio irrogado en irreparable, en caso de estimarse el amparo una vez cumplida parcial o totalmente la pena” (ATC 93/2018, de 17 de septiembre, FJ 1, y los autos allí indicados). La jurisprudencia constitucional, en relación con la suspensión de las penas privativas de libertad, ha venido utilizando como criterio de ponderación prioritario el de gravedad de la pena, aplicando de forma reiterada como directriz inicial la de que la pena sea superior a los cinco años de prisión, por ser la que sirve al legislador penal para diferenciar entre las penas graves y las menos graves. Junto a este criterio, el Tribunal ha venido ponderando otras circunstancias relevantes, tales como, significativamente,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(entre otros, AATC 469/2007, de 17 de diciembre, FJ 2; 16/2008, de 21 de enero, FJ 1, y 172/2008, de 23 de junio, FJ 2), circunstancias todas ellas que expresan “la reprobación que el ordenamiento asigna al hecho delictivo y, por consiguiente, la magnitud del interés general en su ejecución” (por todos, AATC 109/2008, de 14 de abril, FJ 2; 53/2009, de 23 de febrero, FJ 1, y 171/2009, de 1 de junio, FJ 1).</w:t>
      </w:r>
    </w:p>
    <w:p w14:paraId="5E03DEFE" w14:textId="77777777" w:rsidR="00F64776" w:rsidRDefault="00F64776" w:rsidP="00F64776">
      <w:pPr>
        <w:pStyle w:val="TextoNormal"/>
      </w:pPr>
    </w:p>
    <w:p w14:paraId="3AF2DD12" w14:textId="2DFF459B" w:rsidR="00F64776" w:rsidRDefault="00F64776" w:rsidP="00F64776">
      <w:pPr>
        <w:pStyle w:val="TextoNormal"/>
      </w:pPr>
      <w:r>
        <w:t>La jurisprudencia constitucional también ha establecido que si la ejecución de las penas “no reviste carácter efectivo o actual por haber sido aplazada o suspendida, o por haber sido concedida la remisión condicional o la libertad condicional mediante resolución de los órganos judiciales competentes, no concurrirá el presupuesto del que parte el art. 56.2 LOTC, esto es, que la ejecución de la pena hubiere de ocasionar un perjuicio que haría perder al amparo su finalidad” (ATC 195/2016, de 28 de noviembre, FJ 1; en el mismo sentido AATC 116/2015, de 6 de julio, y 2/2016, de 18 de enero, allí citados), criterio que se ha seguido igualmente cuando la pena está suspendida mientras se tramita una solicitud de indulto (AATC 2/2017 y 3/2017, de 16 de enero, FJ 2); la posibilidad de revocación de la suspensión, no formalizada todavía en una decisión judicial, constituye en su caso “una hipótesis de futuro que solo en función de las circunstancias en cada momento concurrentes, podría justificar un nuevo examen de su pretensión en esta vía cautelar” (ATC 49/2022, de 7 de marzo, FJ 2).</w:t>
      </w:r>
    </w:p>
    <w:p w14:paraId="5B960D40" w14:textId="77777777" w:rsidR="00F64776" w:rsidRDefault="00F64776" w:rsidP="00F64776">
      <w:pPr>
        <w:pStyle w:val="TextoNormal"/>
      </w:pPr>
    </w:p>
    <w:p w14:paraId="2B3E1C54" w14:textId="5E1C0526" w:rsidR="00F64776" w:rsidRDefault="00F64776" w:rsidP="00F64776">
      <w:pPr>
        <w:pStyle w:val="TextoNormal"/>
      </w:pPr>
      <w:r w:rsidRPr="00F64776">
        <w:rPr>
          <w:rStyle w:val="NumeroAFNegritaCaracter"/>
        </w:rPr>
        <w:t>3</w:t>
      </w:r>
      <w:r>
        <w:t>. Aplicada la doctrina expuesta al caso presente, no procede acordar la suspensión cautelar de la pena de tres años de prisión impuesta al recurrente, pues al hallarse suspendida su ejecución en virtud de auto de la Audiencia Provincial de Sevilla de 15 de noviembre de 2022, en tanto se tramita su solicitud de indulto (art. 4.4 CP), y por un plazo máximo de un año, no le está irrogando perjuicios de imposible reparación susceptibles de hacer perder al amparo su finalidad (art. 56.2 LOTC), lo que no es óbice para que la denegación de la suspensión cautelar pueda verse modificada en el curso del proceso constitucional en caso de que se produzca un cambio de circunstancias (art. 57 LOTC).</w:t>
      </w:r>
    </w:p>
    <w:p w14:paraId="0245DFD2" w14:textId="77777777" w:rsidR="00F64776" w:rsidRDefault="00F64776" w:rsidP="00F64776">
      <w:pPr>
        <w:pStyle w:val="TextoNormal"/>
      </w:pPr>
    </w:p>
    <w:p w14:paraId="7C92153E" w14:textId="77777777" w:rsidR="00F64776" w:rsidRDefault="00F64776" w:rsidP="00F64776">
      <w:pPr>
        <w:pStyle w:val="TextoNormal"/>
      </w:pPr>
      <w:r>
        <w:t>Por lo expuesto, el Pleno</w:t>
      </w:r>
    </w:p>
    <w:p w14:paraId="496457E0" w14:textId="298C0B16" w:rsidR="00F64776" w:rsidRDefault="00F64776" w:rsidP="00F64776">
      <w:pPr>
        <w:pStyle w:val="TextoNormal"/>
      </w:pPr>
    </w:p>
    <w:p w14:paraId="7F143FA7" w14:textId="77777777" w:rsidR="00F64776" w:rsidRDefault="00F64776" w:rsidP="00F64776">
      <w:pPr>
        <w:pStyle w:val="TextoNormalCentrado"/>
      </w:pPr>
      <w:r>
        <w:t>ACUERDA</w:t>
      </w:r>
    </w:p>
    <w:p w14:paraId="1773EAA0" w14:textId="54FCBE10" w:rsidR="00F64776" w:rsidRDefault="00F64776" w:rsidP="00F64776">
      <w:pPr>
        <w:pStyle w:val="TextoNormalCentrado"/>
      </w:pPr>
    </w:p>
    <w:p w14:paraId="0290E34E" w14:textId="0B6CCC81" w:rsidR="00F64776" w:rsidRDefault="00F64776" w:rsidP="00F64776">
      <w:pPr>
        <w:pStyle w:val="TextoNormal"/>
      </w:pPr>
      <w:r>
        <w:t>Denegar la suspensión en el recurso de amparo 2239-2023, promovido por don Juan Márquez Contreras en causa penal.</w:t>
      </w:r>
    </w:p>
    <w:p w14:paraId="367F0010" w14:textId="77777777" w:rsidR="00F64776" w:rsidRDefault="00F64776" w:rsidP="00F64776">
      <w:pPr>
        <w:pStyle w:val="TextoNormal"/>
      </w:pPr>
    </w:p>
    <w:p w14:paraId="75A39657" w14:textId="77777777" w:rsidR="00F64776" w:rsidRDefault="00F64776" w:rsidP="00F64776">
      <w:pPr>
        <w:pStyle w:val="TextoNormal"/>
      </w:pPr>
      <w:r>
        <w:t>Madrid, a veintiséis de septiembre de dos mil veintitrés.</w:t>
      </w:r>
    </w:p>
    <w:p w14:paraId="5A79EC29" w14:textId="1265BF28" w:rsidR="00F64776" w:rsidRDefault="00F64776">
      <w:pPr>
        <w:spacing w:after="160" w:line="278" w:lineRule="auto"/>
        <w:rPr>
          <w:rFonts w:ascii="Times New Roman" w:eastAsia="Times New Roman" w:hAnsi="Times New Roman" w:cs="Times New Roman"/>
          <w:sz w:val="24"/>
          <w:szCs w:val="24"/>
          <w:lang w:eastAsia="es-ES"/>
        </w:rPr>
      </w:pPr>
      <w:r>
        <w:br w:type="page"/>
      </w:r>
    </w:p>
    <w:p w14:paraId="27973D3D" w14:textId="77777777" w:rsidR="00F64776" w:rsidRDefault="00F64776" w:rsidP="00F64776">
      <w:pPr>
        <w:pStyle w:val="TtuloResolucin"/>
      </w:pPr>
      <w:bookmarkStart w:id="225" w:name="AUTO_2023_440"/>
      <w:r>
        <w:t>AUTO 440/2023, de 26 de septiembre de 2023</w:t>
      </w:r>
    </w:p>
    <w:bookmarkEnd w:id="225"/>
    <w:p w14:paraId="07883D3D" w14:textId="77777777" w:rsidR="00F64776" w:rsidRDefault="00F64776" w:rsidP="00F64776">
      <w:pPr>
        <w:pStyle w:val="TtuloResolucin"/>
      </w:pPr>
      <w:r>
        <w:t>Pleno</w:t>
      </w:r>
    </w:p>
    <w:p w14:paraId="4E2E9C84" w14:textId="77777777" w:rsidR="00F64776" w:rsidRDefault="00F64776" w:rsidP="00F64776">
      <w:pPr>
        <w:pStyle w:val="TextoNormalCentrado"/>
      </w:pPr>
      <w:r>
        <w:t>ECLI:ES:TC:2023:440A</w:t>
      </w:r>
    </w:p>
    <w:p w14:paraId="34F8FC9E" w14:textId="4F0000E1" w:rsidR="00F64776" w:rsidRDefault="00F64776" w:rsidP="00F64776">
      <w:pPr>
        <w:pStyle w:val="TextoNormalCentrado"/>
      </w:pPr>
    </w:p>
    <w:p w14:paraId="798C90E3" w14:textId="77777777" w:rsidR="00F64776" w:rsidRDefault="00F64776" w:rsidP="00F64776">
      <w:pPr>
        <w:pStyle w:val="SntesisDescriptiva"/>
      </w:pPr>
      <w:r>
        <w:t>Excms. Srs. don Cándido Conde-Pumpido Tourón,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w:t>
      </w:r>
    </w:p>
    <w:p w14:paraId="55296858" w14:textId="59F3D057" w:rsidR="00F64776" w:rsidRDefault="00F64776" w:rsidP="00F64776">
      <w:pPr>
        <w:pStyle w:val="SntesisDescriptiva"/>
      </w:pPr>
    </w:p>
    <w:p w14:paraId="740FA251" w14:textId="77777777" w:rsidR="00F64776" w:rsidRDefault="00F64776" w:rsidP="00F64776">
      <w:pPr>
        <w:pStyle w:val="SntesisDescriptiva"/>
      </w:pPr>
      <w:r>
        <w:t>Deniega la suspensión en el recurso de amparo 2348-2023, promovido por don Antonio Fernández García en causa penal.</w:t>
      </w:r>
    </w:p>
    <w:p w14:paraId="50E276AC" w14:textId="1AEF940E" w:rsidR="00F64776" w:rsidRDefault="00F64776" w:rsidP="00F64776">
      <w:pPr>
        <w:pStyle w:val="SntesisDescriptiva"/>
      </w:pPr>
    </w:p>
    <w:p w14:paraId="36676619" w14:textId="77777777" w:rsidR="00F64776" w:rsidRDefault="00F64776" w:rsidP="00F64776">
      <w:pPr>
        <w:pStyle w:val="SntesisDescriptiva"/>
      </w:pPr>
    </w:p>
    <w:p w14:paraId="0F61109B" w14:textId="77777777" w:rsidR="00F64776" w:rsidRDefault="00F64776" w:rsidP="00F64776">
      <w:pPr>
        <w:pStyle w:val="SntesisDescriptiva"/>
      </w:pPr>
    </w:p>
    <w:p w14:paraId="423165EF" w14:textId="77777777" w:rsidR="00F64776" w:rsidRDefault="00F64776" w:rsidP="00F64776">
      <w:pPr>
        <w:pStyle w:val="TextoNormalNegritaCentrado"/>
      </w:pPr>
      <w:r>
        <w:t>AUTO</w:t>
      </w:r>
    </w:p>
    <w:p w14:paraId="48F3AD60" w14:textId="474F2453" w:rsidR="00F64776" w:rsidRDefault="00F64776" w:rsidP="00F64776">
      <w:pPr>
        <w:pStyle w:val="TextoNormalNegritaCentrado"/>
      </w:pPr>
    </w:p>
    <w:p w14:paraId="779822B5" w14:textId="77777777" w:rsidR="00F64776" w:rsidRDefault="00F64776" w:rsidP="00F64776">
      <w:pPr>
        <w:pStyle w:val="TextoNormalNegritaCentrado"/>
        <w:keepNext/>
      </w:pPr>
      <w:r>
        <w:t>I. Antecedentes</w:t>
      </w:r>
    </w:p>
    <w:p w14:paraId="54CF4A0D" w14:textId="2F58AAAB" w:rsidR="00F64776" w:rsidRDefault="00F64776" w:rsidP="00F64776">
      <w:pPr>
        <w:pStyle w:val="TextoNormalNegritaCentrado"/>
        <w:keepNext/>
      </w:pPr>
    </w:p>
    <w:p w14:paraId="39D1B818" w14:textId="77777777" w:rsidR="00F64776" w:rsidRDefault="00F64776" w:rsidP="00F64776">
      <w:pPr>
        <w:pStyle w:val="TextoNormal"/>
      </w:pPr>
      <w:r w:rsidRPr="00F64776">
        <w:rPr>
          <w:rStyle w:val="NumeroAFNegritaCaracter"/>
        </w:rPr>
        <w:t>1</w:t>
      </w:r>
      <w:r>
        <w:t>. El 10 de abril de 2023 la representación procesal de don Antonio Fernández García interpuso recurso de amparo contra: (i) la sentencia núm. 490/2019, de 19 de noviembre, dictada por la Sección Primera de la Audiencia Provincial de Sevilla en el procedimiento abreviado núm. 133-2016, rollo núm. 1965-2017, que le condenó, como autor de un delito de prevaricación en concurso medial con un delito de malversación agravada, a las penas de siete años, once meses y un día de prisión, con inhabilitación especial para el derecho de sufragio pasivo durante el tiempo de la condena, e inhabilitación absoluta por tiempo de diecinueve años, seis meses y un día, con la consiguiente privación definitiva de todos los honores, empleos y cargos públicos que tenga el penado, aunque sean electivos, e incapacidad para obtener los mismos o cualesquiera otros honores, cargos, o empleos públicos y la de ser elegido para cargo público durante el tiempo de la condena; (ii) la sentencia de la Sala de lo Penal del Tribunal Supremo núm. 749/2022, de 13 de septiembre, que desestima el recurso de casación formulado por el demandante de amparo frente a la anterior (recurso de casación núm. 601-2020); y (iii) el auto del mismo órgano judicial de 16 de febrero de 2023, que inadmite el incidente de nulidad de actuaciones interpuesto frente a la citada sentencia desestimatoria.</w:t>
      </w:r>
    </w:p>
    <w:p w14:paraId="62D409C4" w14:textId="77777777" w:rsidR="00F64776" w:rsidRDefault="00F64776" w:rsidP="00F64776">
      <w:pPr>
        <w:pStyle w:val="TextoNormal"/>
      </w:pPr>
    </w:p>
    <w:p w14:paraId="26B92E43" w14:textId="77777777" w:rsidR="00F64776" w:rsidRDefault="00F64776" w:rsidP="00F64776">
      <w:pPr>
        <w:pStyle w:val="TextoNormal"/>
      </w:pPr>
      <w:r>
        <w:t xml:space="preserve">En la demanda de amparo se alegan la vulneración de los derechos: (i) a la presunción de inocencia (art. 24.2 CE), en tanto la condena por el delito de malversación se basa en unos hechos probados que no integran el tipo penal, se asienta en una valoración de la prueba irracional y se confirma por el Tribunal Supremo a partir de datos fácticos ajenos al </w:t>
      </w:r>
      <w:r w:rsidRPr="00F64776">
        <w:rPr>
          <w:i/>
        </w:rPr>
        <w:t>factum</w:t>
      </w:r>
      <w:r>
        <w:t xml:space="preserve"> de la sentencia de instancia; (ii) a la legalidad penal (art. 25.1 CE), por no concurrir los requisitos típicos del delito de malversación; (iii) a la tutela judicial efectiva (art. 24.1 CE), por incongruencia omisiva de la sentencia del Tribunal Supremo; y (iv) a la presunción de inocencia extraprocesal (art. 24.2 CE) en relación con los derechos al honor (art. 18.1 CE), a un proceso con todas las garantías (art. 24.2 CE) y a la tutela judicial efectiva (art. 24.1 CE), por haberse publicado el fallo de la sentencia de casación antes de ser notificada íntegramente al demandante.</w:t>
      </w:r>
    </w:p>
    <w:p w14:paraId="43D1FF59" w14:textId="77777777" w:rsidR="00F64776" w:rsidRDefault="00F64776" w:rsidP="00F64776">
      <w:pPr>
        <w:pStyle w:val="TextoNormal"/>
      </w:pPr>
    </w:p>
    <w:p w14:paraId="42082313" w14:textId="7813665A" w:rsidR="00F64776" w:rsidRDefault="00F64776" w:rsidP="00F64776">
      <w:pPr>
        <w:pStyle w:val="TextoNormal"/>
      </w:pPr>
      <w:r>
        <w:t>Asimismo, se solicita por otrosí la suspensión parcial de la ejecución de la sentencia (de la pena privativa de libertad) al amparo de lo dispuesto en el art. 56.6 de la Ley Orgánica del Tribunal Constitucional (LOTC), justificando la urgencia excepcional a que alude el precepto por la finalidad de evitar que el amparo pierda su eficacia reparadora. Se aduce que el demandante se halla en prisión, por lo que la ejecución de la resolución impugnada le produce un perjuicio grave, real y concreto de carácter irreparable, con afectación del derecho a la libertad (art. 17 CE), sin que el hecho de que la pena que se le impuso supere los cinco años que el Tribunal Constitucional maneja como directriz en estos casos constituya, según el propio Tribunal en la jurisprudencia que cita la demanda, una barrera infranqueable para la suspensión.</w:t>
      </w:r>
    </w:p>
    <w:p w14:paraId="127DD0CF" w14:textId="77777777" w:rsidR="00F64776" w:rsidRDefault="00F64776" w:rsidP="00F64776">
      <w:pPr>
        <w:pStyle w:val="TextoNormal"/>
      </w:pPr>
    </w:p>
    <w:p w14:paraId="60243DD0" w14:textId="77777777" w:rsidR="00F64776" w:rsidRDefault="00F64776" w:rsidP="00F64776">
      <w:pPr>
        <w:pStyle w:val="TextoNormal"/>
      </w:pPr>
      <w:r w:rsidRPr="00F64776">
        <w:rPr>
          <w:rStyle w:val="NumeroAFNegritaCaracter"/>
        </w:rPr>
        <w:t>2</w:t>
      </w:r>
      <w:r>
        <w:t>. La Sala Segunda del Tribunal Constitucional, por ATC 290/2023, de 5 de junio, de conformidad con el art. 11.2 LOTC, avocó para sí la decisión de admisión a trámite del presente recurso de amparo y acordó su procedencia, apreciando que concurre en el mismo especial trascendencia constitucional (art. 50.1 LOTC), porque el recurso plantea un problema o afecta a una faceta de un derecho fundamental sobre el que no hay doctrina de este tribunal [STC 155/2009, de 25 de junio, FJ 2 a)] y porque el asunto suscitado trasciende del caso concreto porque plantea una cuestión jurídica de relevante y general repercusión social y tiene unas consecuencias políticas generales [STC 155/2009, FJ 2 g)]. Además, en la misma resolución se decidió rechazar la solicitud de suspensión formulada en la demanda con base en el art. 56.6 LOTC y formar la oportuna pieza separada de suspensión, y en ella, conceder un plazo de tres días al Ministerio Fiscal y al solicitante de amparo para que efectuaran alegaciones respecto a dicha petición. Se acordó, asimismo, proponer la avocación al Pleno del conocimiento del presente recurso de amparo.</w:t>
      </w:r>
    </w:p>
    <w:p w14:paraId="48120084" w14:textId="77777777" w:rsidR="00F64776" w:rsidRDefault="00F64776" w:rsidP="00F64776">
      <w:pPr>
        <w:pStyle w:val="TextoNormal"/>
      </w:pPr>
    </w:p>
    <w:p w14:paraId="108B312F" w14:textId="75AA949A" w:rsidR="00F64776" w:rsidRDefault="00F64776" w:rsidP="00F64776">
      <w:pPr>
        <w:pStyle w:val="TextoNormal"/>
      </w:pPr>
      <w:r>
        <w:t>El Pleno, en su reunión de 20 de junio de 2023, acordó recabar para sí el conocimiento del recurso de amparo.</w:t>
      </w:r>
    </w:p>
    <w:p w14:paraId="0F4CA7A8" w14:textId="77777777" w:rsidR="00F64776" w:rsidRDefault="00F64776" w:rsidP="00F64776">
      <w:pPr>
        <w:pStyle w:val="TextoNormal"/>
      </w:pPr>
    </w:p>
    <w:p w14:paraId="4C93D544" w14:textId="607BA2F8" w:rsidR="00F64776" w:rsidRDefault="00F64776" w:rsidP="00F64776">
      <w:pPr>
        <w:pStyle w:val="TextoNormal"/>
      </w:pPr>
      <w:r w:rsidRPr="00F64776">
        <w:rPr>
          <w:rStyle w:val="NumeroAFNegritaCaracter"/>
        </w:rPr>
        <w:t>3</w:t>
      </w:r>
      <w:r>
        <w:t>. La representación procesal del recurrente presentó sus alegaciones mediante escrito registrado en este Tribunal el 14 de junio de 2023. En ellas invoca el art. 56.2 LOTC para reiterar la solicitud de suspensión en lo que atañe a la pena de prisión, cuyo cumplimiento (ya iniciado) supondría un perjuicio irreparable en caso de estimarse el recurso de amparo, que perdería su finalidad. Argumenta que la suspensión no ocasiona una perturbación grave a un interés constitucionalmente protegido ni a los derechos fundamentales o las libertades de otra persona y que la directriz inicial atenta a la gravedad de la pena y la extensión de la condena no supone un límite infranqueable, todo ello conforme a la doctrina constitucional. Apela, por último, a la necesidad de dotar de efectiva virtualidad a la apreciación de apariencia de buen derecho que denotaría el auto de admisión del recurso de 5 de junio de 2023, que el demandante viene a identificar con la imposibilidad de que constituya delito la inclusión de una partida en los presupuestos.</w:t>
      </w:r>
    </w:p>
    <w:p w14:paraId="519347CD" w14:textId="77777777" w:rsidR="00F64776" w:rsidRDefault="00F64776" w:rsidP="00F64776">
      <w:pPr>
        <w:pStyle w:val="TextoNormal"/>
      </w:pPr>
    </w:p>
    <w:p w14:paraId="349AD83C" w14:textId="72FAD811" w:rsidR="00F64776" w:rsidRDefault="00F64776" w:rsidP="00F64776">
      <w:pPr>
        <w:pStyle w:val="TextoNormal"/>
      </w:pPr>
      <w:r w:rsidRPr="00F64776">
        <w:rPr>
          <w:rStyle w:val="NumeroAFNegritaCaracter"/>
        </w:rPr>
        <w:t>4</w:t>
      </w:r>
      <w:r>
        <w:t>. El Ministerio Fiscal, por escrito registrado el 30 de junio de 2023, interesó que se denegara la suspensión solicitada, referida únicamente a la pena privativa de libertad. Después de recordar la doctrina del Tribunal sobre las medidas cautelares, aduce dos razones para fundar su rechazo a la medida cautelar: (i) además del interés en preservar la presunción de legitimidad de las resoluciones judiciales recurridas, estas evidencian una gravedad contraria a la suspensión tanto por la entidad de las penas impuestas como por la propia naturaleza de los delitos por los que ha sido condenado el recurrente; y (ii) ninguno de los supuestos excepcionales de suspensión de penas superiores a cinco años de prisión traídos por el recurrente coincide o se corresponde con lo ocurrido en el proceso, destacando que se denegó la suspensión de la ejecución al poco tiempo de dictarse la sentencia del Tribunal Supremo, incluso antes de que se resolviera el incidente de nulidad.</w:t>
      </w:r>
    </w:p>
    <w:p w14:paraId="5DBB7D28" w14:textId="77777777" w:rsidR="00F64776" w:rsidRDefault="00F64776" w:rsidP="00F64776">
      <w:pPr>
        <w:pStyle w:val="TextoNormal"/>
      </w:pPr>
    </w:p>
    <w:p w14:paraId="03DAC72E" w14:textId="29D3A842" w:rsidR="00F64776" w:rsidRDefault="00F64776" w:rsidP="00F64776">
      <w:pPr>
        <w:pStyle w:val="TextoNormal"/>
      </w:pPr>
      <w:r w:rsidRPr="00F64776">
        <w:rPr>
          <w:rStyle w:val="NumeroAFNegritaCaracter"/>
        </w:rPr>
        <w:t>5</w:t>
      </w:r>
      <w:r>
        <w:t>. La representación procesal del Partido Popular, a la que se ha tenido por personada y parte en la pieza principal por diligencia de ordenación de 27 de julio de 2023 del secretario de justicia del Pleno, presentó alegaciones en esta pieza separada el 1 de septiembre de 2023, en las que solicita la desestimación de las solicitudes de suspensión cautelar de las penas de prisión deducidas en sus recursos de amparo por los condenados en la causa antecedente, cuando se trate de penas de duración superior a los cinco años, conforme al criterio asentado en la doctrina constitucional (AATC 130/2022, de 10 de octubre; 95/2019, de 23 de julio, FJ 2; 100/2022, de 16 de junio, y 94/2020, de 10 de septiembre) de ponderar el interés general que se vería afectado por la medida cautelar en función de la gravedad de la pena concretamente impuesta, según exceda o no dicho límite temporal, salvo concurrencia de circunstancias excepcionales, que la parte entiende que no concurren en ninguno de ellos.</w:t>
      </w:r>
    </w:p>
    <w:p w14:paraId="426F0EB9" w14:textId="77777777" w:rsidR="00F64776" w:rsidRDefault="00F64776" w:rsidP="00F64776">
      <w:pPr>
        <w:pStyle w:val="TextoNormal"/>
      </w:pPr>
    </w:p>
    <w:p w14:paraId="6F57C864" w14:textId="77777777" w:rsidR="00F64776" w:rsidRDefault="00F64776" w:rsidP="00F64776">
      <w:pPr>
        <w:pStyle w:val="TextoNormalNegritaCentrado"/>
        <w:keepNext/>
      </w:pPr>
      <w:r>
        <w:t>II. Fundamentos jurídicos</w:t>
      </w:r>
    </w:p>
    <w:p w14:paraId="155A17BA" w14:textId="3C4CF4CA" w:rsidR="00F64776" w:rsidRDefault="00F64776" w:rsidP="00F64776">
      <w:pPr>
        <w:pStyle w:val="TextoNormalNegritaCentrado"/>
        <w:keepNext/>
      </w:pPr>
    </w:p>
    <w:p w14:paraId="5281A6AE" w14:textId="77777777" w:rsidR="00F64776" w:rsidRDefault="00F64776" w:rsidP="00F64776">
      <w:pPr>
        <w:pStyle w:val="TextoNormal"/>
      </w:pPr>
      <w:r w:rsidRPr="00F64776">
        <w:rPr>
          <w:rStyle w:val="NumeroAFNegritaCaracter"/>
        </w:rPr>
        <w:t>1</w:t>
      </w:r>
      <w:r>
        <w:t>. El objeto de esta pieza es determinar la procedencia de acordar la suspensión de las resoluciones judiciales impugnadas en el único extremo solicitado por el recurrente de la pena privativa de libertad de siete años, once meses y un día, que le fue impuesta como autor de un delito de prevaricación en concurso medial con un delito de malversación.</w:t>
      </w:r>
    </w:p>
    <w:p w14:paraId="1C63493D" w14:textId="77777777" w:rsidR="00F64776" w:rsidRDefault="00F64776" w:rsidP="00F64776">
      <w:pPr>
        <w:pStyle w:val="TextoNormal"/>
      </w:pPr>
    </w:p>
    <w:p w14:paraId="58135F8A" w14:textId="77777777" w:rsidR="00F64776" w:rsidRDefault="00F64776" w:rsidP="00F64776">
      <w:pPr>
        <w:pStyle w:val="TextoNormal"/>
      </w:pPr>
      <w:r>
        <w:t>El demandante sostiene que la ejecución de la pena de prisión haría perder su finalidad al amparo por afectar a la libertad, mientras que la suspensión no implicaría una perturbación grave de un interés constitucionalmente protegido o de los derechos fundamentales y libertades públicas de otras personas, aun cuando la pena privativa de libertad supere los cinco años que el Tribunal maneja habitualmente como límite para acordarla, permitiendo dotar de virtualidad a la apreciación de apariencia de buen derecho que muestra el auto de admisión del recurso de amparo.</w:t>
      </w:r>
    </w:p>
    <w:p w14:paraId="46583D67" w14:textId="77777777" w:rsidR="00F64776" w:rsidRDefault="00F64776" w:rsidP="00F64776">
      <w:pPr>
        <w:pStyle w:val="TextoNormal"/>
      </w:pPr>
    </w:p>
    <w:p w14:paraId="69C71595" w14:textId="22F505F4" w:rsidR="00F64776" w:rsidRDefault="00F64776" w:rsidP="00F64776">
      <w:pPr>
        <w:pStyle w:val="TextoNormal"/>
      </w:pPr>
      <w:r>
        <w:t>El fiscal interesa que se deniegue la medida cautelar desde el entendimiento de que, junto al interés en la ejecución de las resoluciones judiciales, la gravedad que evidencian las penas impuestas y los delitos por los que se condenó al demandante se oponen a la suspensión, sin que, por otro lado, concurra ninguna circunstancia de las que el Tribunal ha apreciado en ocasiones excepcionales para suspender penas de prisión de más de cinco años. En el mismo sentido desestimatorio de la solicitud de suspensión se pronuncia la representación procesal del Partido Popular con apoyo en análogos argumentos.</w:t>
      </w:r>
    </w:p>
    <w:p w14:paraId="62512154" w14:textId="77777777" w:rsidR="00F64776" w:rsidRDefault="00F64776" w:rsidP="00F64776">
      <w:pPr>
        <w:pStyle w:val="TextoNormal"/>
      </w:pPr>
    </w:p>
    <w:p w14:paraId="08EA419A" w14:textId="77777777" w:rsidR="00F64776" w:rsidRDefault="00F64776" w:rsidP="00F64776">
      <w:pPr>
        <w:pStyle w:val="TextoNormal"/>
      </w:pPr>
      <w:r w:rsidRPr="00F64776">
        <w:rPr>
          <w:rStyle w:val="NumeroAFNegritaCaracter"/>
        </w:rPr>
        <w:t>2</w:t>
      </w:r>
      <w:r>
        <w:t>. El art. 56.1 LOTC dispone que la interposición de un recurso de amparo no suspenderá los efectos del acto o sentencia impugnados, concretando el art. 56.2 LOTC que podrá acordarse la suspensión cuando su ejecución “produzca un perjuicio al recurrente que pudiera hacer perder al amparo su finalidad”. Se establece como limitación a esa facultad que “la suspensión no ocasione perturbación grave a un interés constitucionalmente protegido, ni a los derechos fundamentales o libertades de otra persona”. La regla general es, por tanto, que no procede la suspensión de los efectos de los actos o resoluciones judiciales impugnadas, en particular en lo que hace a estas últimas, porque tal suspensión acarrea la perturbación de la función jurisdiccional y supone una injerencia de la jurisdicción constitucional en las decisiones adoptadas por la jurisdicción ordinaria que, pese a poder estar justificada, ha de ser abordada con suma cautela, caso a caso, para evitar que este tribunal desempeñe funciones que le están constitucionalmente vedadas, por ser propias de la jurisdicción ordinaria (ATC 38/2018, de 22 de marzo, FJ 3, por todos).</w:t>
      </w:r>
    </w:p>
    <w:p w14:paraId="37FD8FFE" w14:textId="77777777" w:rsidR="00F64776" w:rsidRDefault="00F64776" w:rsidP="00F64776">
      <w:pPr>
        <w:pStyle w:val="TextoNormal"/>
      </w:pPr>
    </w:p>
    <w:p w14:paraId="7551F0D1" w14:textId="32210889" w:rsidR="00F64776" w:rsidRDefault="00F64776" w:rsidP="00F64776">
      <w:pPr>
        <w:pStyle w:val="TextoNormal"/>
      </w:pPr>
      <w:r>
        <w:t>Las condenas privativas de libertad son uno de los casos en los que este tribunal entiende procedente acordar la suspensión de su ejecución habida cuenta de que “la libertad constituye un derecho cuya naturaleza convierte el perjuicio irrogado en irreparable, en caso de estimarse el amparo una vez cumplida parcial o totalmente la pena” (ATC 93/2018, de 17 de septiembre, FJ 1, y los autos allí indicados). La jurisprudencia constitucional, en relación con la suspensión de las penas privativas de libertad, ha venido utilizando como criterio de ponderación prioritario el de la gravedad de la pena, aplicando de forma reiterada como directriz inicial para suspender la de que la pena no sea superior a los cinco años de prisión, por ser la que sirve al legislador penal para diferenciar entre las penas graves y las menos graves. Junto a este criterio, el Tribunal ha venido ponderando otras circunstancias relevantes, tales como, significativamente,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(entre otros, AATC 469/2007, de 17 de diciembre, FJ 2; 16/2008, de 21 de enero, FJ 1, y 172/2008, de 23 de junio, FJ 2), circunstancias todas ellas que expresan “la reprobación que el ordenamiento asigna al hecho delictivo y, por consiguiente, la magnitud del interés general en su ejecución” (por todos, AATC 109/2008, de 14 de abril, FJ 2; 53/2009, de 23 de febrero, FJ 1, y 171/2009, de 1 de junio, FJ 1).</w:t>
      </w:r>
    </w:p>
    <w:p w14:paraId="20458592" w14:textId="77777777" w:rsidR="00F64776" w:rsidRDefault="00F64776" w:rsidP="00F64776">
      <w:pPr>
        <w:pStyle w:val="TextoNormal"/>
      </w:pPr>
    </w:p>
    <w:p w14:paraId="3107EE35" w14:textId="77777777" w:rsidR="00F64776" w:rsidRDefault="00F64776" w:rsidP="00F64776">
      <w:pPr>
        <w:pStyle w:val="TextoNormal"/>
      </w:pPr>
      <w:r w:rsidRPr="00F64776">
        <w:rPr>
          <w:rStyle w:val="NumeroAFNegritaCaracter"/>
        </w:rPr>
        <w:t>3</w:t>
      </w:r>
      <w:r>
        <w:t>. La aplicación de dicha doctrina al supuesto que aquí se examina conduce a denegar la suspensión de la pena privativa de libertad impuesta al recurrente, dada su duración de siete años, once meses y un día, que es muy superior a la que este tribunal ha venido considerando como límite a partir del cual no resulta, en principio, procedente la adopción de la medida cautelar de suspensión. Junto a la gravedad de la pena, también la naturaleza, gravedad y trascendencia social de los hechos enjuiciados operan como parámetro decisivo para no acceder a la suspensión interesada, en tanto que el recurrente fue condenado por delitos continuados contra la administración pública cometidos a lo largo de un extenso período de tiempo y con incidencia en toda la comunidad autónoma.</w:t>
      </w:r>
    </w:p>
    <w:p w14:paraId="724B976D" w14:textId="77777777" w:rsidR="00F64776" w:rsidRDefault="00F64776" w:rsidP="00F64776">
      <w:pPr>
        <w:pStyle w:val="TextoNormal"/>
      </w:pPr>
    </w:p>
    <w:p w14:paraId="36AE2F02" w14:textId="77777777" w:rsidR="00F64776" w:rsidRDefault="00F64776" w:rsidP="00F64776">
      <w:pPr>
        <w:pStyle w:val="TextoNormal"/>
      </w:pPr>
      <w:r>
        <w:t>Frente a los anteriores elementos de gravedad, acreditativos de la perturbación grave del interés en la ejecución que generaría la suspensión, ninguno de los precedentes citados en el recurso de amparo para defender la adopción de la medida cautelar a pesar de la duración de la pena de prisión impuesta atañe a un caso análogo o similar. Como advierte el fiscal, ni el demandante ha cumplido una parte importante de la pena, ni se encontraba en libertad, sino que, por el contrario, en este caso la jurisdicción ordinaria ha considerado claramente necesaria la ejecución frente a la petición de suspensión ante ella formulada, que se ha iniciado incluso antes de verse resuelto el incidente de nulidad de actuaciones formulado frente a la sentencia del Tribunal Supremo.</w:t>
      </w:r>
    </w:p>
    <w:p w14:paraId="79A6B90B" w14:textId="77777777" w:rsidR="00F64776" w:rsidRDefault="00F64776" w:rsidP="00F64776">
      <w:pPr>
        <w:pStyle w:val="TextoNormal"/>
      </w:pPr>
    </w:p>
    <w:p w14:paraId="5B6355AE" w14:textId="77777777" w:rsidR="00F64776" w:rsidRDefault="00F64776" w:rsidP="00F64776">
      <w:pPr>
        <w:pStyle w:val="TextoNormal"/>
      </w:pPr>
      <w:r>
        <w:t>Por último, con relación a la llamada a la apariencia de buen derecho que efectúa el recurrente, debe recordarse que “la perspectiva única que ha de ser tenida en cuenta para decidir sobre cualquier pretensión cautelar formulada en el proceso de amparo ha de ser el de la preservación de la eficacia de un posible pronunciamiento estimatorio, sin prejuzgar cuál haya de ser el sentido de la futura sentencia que le ponga fin […] En tal medida, ‘no procede en este incidente examinar ni la concurrencia ni la ausencia de apariencia de buen derecho’ de la pretensión de amparo formulada, criterio este del que no se vale la regulación del artículo 56 LOTC para conceder o denegar la protección cautelar pretendida” [AATC 103/2023, de 6 de marzo, FJ 4, y 130/2022, de 10 de octubre, FJ 4, con cita del ATC 55/2018, de 22 de mayo, FJ 2 c)].</w:t>
      </w:r>
    </w:p>
    <w:p w14:paraId="44A911A8" w14:textId="77777777" w:rsidR="00F64776" w:rsidRDefault="00F64776" w:rsidP="00F64776">
      <w:pPr>
        <w:pStyle w:val="TextoNormal"/>
      </w:pPr>
    </w:p>
    <w:p w14:paraId="020F1559" w14:textId="070B19BB" w:rsidR="00F64776" w:rsidRDefault="00F64776" w:rsidP="00F64776">
      <w:pPr>
        <w:pStyle w:val="TextoNormal"/>
      </w:pPr>
      <w:r>
        <w:t>Estamos, en definitiva, ante una pena de prisión de duración netamente superior a los cinco años, sin que las razones alegadas por el demandante hagan desaparecer el cualificado interés general que, en un caso como este, presenta la ejecución de la resolución condenatoria firme.</w:t>
      </w:r>
    </w:p>
    <w:p w14:paraId="62E89691" w14:textId="77777777" w:rsidR="00F64776" w:rsidRDefault="00F64776" w:rsidP="00F64776">
      <w:pPr>
        <w:pStyle w:val="TextoNormal"/>
      </w:pPr>
    </w:p>
    <w:p w14:paraId="481042C7" w14:textId="77777777" w:rsidR="00F64776" w:rsidRDefault="00F64776" w:rsidP="00F64776">
      <w:pPr>
        <w:pStyle w:val="TextoNormal"/>
      </w:pPr>
      <w:r>
        <w:t>Por lo expuesto, el Pleno</w:t>
      </w:r>
    </w:p>
    <w:p w14:paraId="6542DE3F" w14:textId="515514EA" w:rsidR="00F64776" w:rsidRDefault="00F64776" w:rsidP="00F64776">
      <w:pPr>
        <w:pStyle w:val="TextoNormal"/>
      </w:pPr>
    </w:p>
    <w:p w14:paraId="01C49487" w14:textId="77777777" w:rsidR="00F64776" w:rsidRDefault="00F64776" w:rsidP="00F64776">
      <w:pPr>
        <w:pStyle w:val="TextoNormalCentrado"/>
      </w:pPr>
      <w:r>
        <w:t>ACUERDA</w:t>
      </w:r>
    </w:p>
    <w:p w14:paraId="7B23A502" w14:textId="217E3504" w:rsidR="00F64776" w:rsidRDefault="00F64776" w:rsidP="00F64776">
      <w:pPr>
        <w:pStyle w:val="TextoNormalCentrado"/>
      </w:pPr>
    </w:p>
    <w:p w14:paraId="766370C5" w14:textId="5FEA1E8A" w:rsidR="00F64776" w:rsidRDefault="00F64776" w:rsidP="00F64776">
      <w:pPr>
        <w:pStyle w:val="TextoNormal"/>
      </w:pPr>
      <w:r>
        <w:t>Denegar la suspensión en el recurso de amparo avocado núm. 2348-2023, promovido por don Antonio Fernández García en causa penal.</w:t>
      </w:r>
    </w:p>
    <w:p w14:paraId="7C24DB50" w14:textId="77777777" w:rsidR="00F64776" w:rsidRDefault="00F64776" w:rsidP="00F64776">
      <w:pPr>
        <w:pStyle w:val="TextoNormal"/>
      </w:pPr>
    </w:p>
    <w:p w14:paraId="6C475566" w14:textId="77777777" w:rsidR="00F64776" w:rsidRDefault="00F64776" w:rsidP="00F64776">
      <w:pPr>
        <w:pStyle w:val="TextoNormal"/>
      </w:pPr>
      <w:r>
        <w:t>Madrid, a veintiséis de septiembre de dos mil veintitrés.</w:t>
      </w:r>
    </w:p>
    <w:p w14:paraId="3B640C49" w14:textId="08381B33" w:rsidR="00F64776" w:rsidRDefault="00F64776">
      <w:pPr>
        <w:spacing w:after="160" w:line="278" w:lineRule="auto"/>
        <w:rPr>
          <w:rFonts w:ascii="Times New Roman" w:eastAsia="Times New Roman" w:hAnsi="Times New Roman" w:cs="Times New Roman"/>
          <w:sz w:val="24"/>
          <w:szCs w:val="24"/>
          <w:lang w:eastAsia="es-ES"/>
        </w:rPr>
      </w:pPr>
      <w:r>
        <w:br w:type="page"/>
      </w:r>
    </w:p>
    <w:p w14:paraId="5FA72D2F" w14:textId="77777777" w:rsidR="00F64776" w:rsidRDefault="00F64776" w:rsidP="00F64776">
      <w:pPr>
        <w:pStyle w:val="TtuloResolucin"/>
      </w:pPr>
      <w:bookmarkStart w:id="226" w:name="AUTO_2023_441"/>
      <w:r>
        <w:t>AUTO 441/2023, de 26 de septiembre de 2023</w:t>
      </w:r>
    </w:p>
    <w:bookmarkEnd w:id="226"/>
    <w:p w14:paraId="178E619E" w14:textId="77777777" w:rsidR="00F64776" w:rsidRDefault="00F64776" w:rsidP="00F64776">
      <w:pPr>
        <w:pStyle w:val="TtuloResolucin"/>
      </w:pPr>
      <w:r>
        <w:t>Pleno</w:t>
      </w:r>
    </w:p>
    <w:p w14:paraId="245E327D" w14:textId="77777777" w:rsidR="00F64776" w:rsidRDefault="00F64776" w:rsidP="00F64776">
      <w:pPr>
        <w:pStyle w:val="TextoNormalCentrado"/>
      </w:pPr>
      <w:r>
        <w:t>ECLI:ES:TC:2023:441A</w:t>
      </w:r>
    </w:p>
    <w:p w14:paraId="5A752BD1" w14:textId="5C1ECAFD" w:rsidR="00F64776" w:rsidRDefault="00F64776" w:rsidP="00F64776">
      <w:pPr>
        <w:pStyle w:val="TextoNormalCentrado"/>
      </w:pPr>
    </w:p>
    <w:p w14:paraId="5BB85B15" w14:textId="77777777" w:rsidR="00F64776" w:rsidRDefault="00F64776" w:rsidP="00F64776">
      <w:pPr>
        <w:pStyle w:val="SntesisDescriptiva"/>
      </w:pPr>
      <w:r>
        <w:t>Excms. Srs. don Cándido Conde-Pumpido Tourón,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w:t>
      </w:r>
    </w:p>
    <w:p w14:paraId="3130652E" w14:textId="10385242" w:rsidR="00F64776" w:rsidRDefault="00F64776" w:rsidP="00F64776">
      <w:pPr>
        <w:pStyle w:val="SntesisDescriptiva"/>
      </w:pPr>
    </w:p>
    <w:p w14:paraId="2362FF72" w14:textId="77777777" w:rsidR="00F64776" w:rsidRDefault="00F64776" w:rsidP="00F64776">
      <w:pPr>
        <w:pStyle w:val="SntesisDescriptiva"/>
      </w:pPr>
      <w:r>
        <w:t>Deniega la suspensión en el recurso de amparo 2360-2023, promovido por don Francisco Vallejo Serrano en causa penal.</w:t>
      </w:r>
    </w:p>
    <w:p w14:paraId="462A0809" w14:textId="55832659" w:rsidR="00F64776" w:rsidRDefault="00F64776" w:rsidP="00F64776">
      <w:pPr>
        <w:pStyle w:val="SntesisDescriptiva"/>
      </w:pPr>
    </w:p>
    <w:p w14:paraId="05B5A191" w14:textId="77777777" w:rsidR="00F64776" w:rsidRDefault="00F64776" w:rsidP="00F64776">
      <w:pPr>
        <w:pStyle w:val="SntesisDescriptiva"/>
      </w:pPr>
    </w:p>
    <w:p w14:paraId="4497D1E5" w14:textId="77777777" w:rsidR="00F64776" w:rsidRDefault="00F64776" w:rsidP="00F64776">
      <w:pPr>
        <w:pStyle w:val="SntesisDescriptiva"/>
      </w:pPr>
    </w:p>
    <w:p w14:paraId="500A37FD" w14:textId="77777777" w:rsidR="00F64776" w:rsidRDefault="00F64776" w:rsidP="00F64776">
      <w:pPr>
        <w:pStyle w:val="TextoNormalNegritaCentrado"/>
      </w:pPr>
      <w:r>
        <w:t>AUTO</w:t>
      </w:r>
    </w:p>
    <w:p w14:paraId="053900AA" w14:textId="76DB243D" w:rsidR="00F64776" w:rsidRDefault="00F64776" w:rsidP="00F64776">
      <w:pPr>
        <w:pStyle w:val="TextoNormalNegritaCentrado"/>
      </w:pPr>
    </w:p>
    <w:p w14:paraId="469D2834" w14:textId="77777777" w:rsidR="00F64776" w:rsidRDefault="00F64776" w:rsidP="00F64776">
      <w:pPr>
        <w:pStyle w:val="TextoNormalNegritaCentrado"/>
        <w:keepNext/>
      </w:pPr>
      <w:r>
        <w:t>I. Antecedentes</w:t>
      </w:r>
    </w:p>
    <w:p w14:paraId="6CEE2942" w14:textId="07B1AF42" w:rsidR="00F64776" w:rsidRDefault="00F64776" w:rsidP="00F64776">
      <w:pPr>
        <w:pStyle w:val="TextoNormalNegritaCentrado"/>
        <w:keepNext/>
      </w:pPr>
    </w:p>
    <w:p w14:paraId="0E8DB270" w14:textId="77777777" w:rsidR="00F64776" w:rsidRDefault="00F64776" w:rsidP="00F64776">
      <w:pPr>
        <w:pStyle w:val="TextoNormal"/>
      </w:pPr>
      <w:r w:rsidRPr="00F64776">
        <w:rPr>
          <w:rStyle w:val="NumeroAFNegritaCaracter"/>
        </w:rPr>
        <w:t>1</w:t>
      </w:r>
      <w:r>
        <w:t>. El 10 de abril de 2023 la representación procesal de don Francisco Vallejo Serrano interpuso recurso de amparo contra: (i) la sentencia núm. 490/2019, de 19 de noviembre, dictada por la Sección Primera de la Audiencia Provincial de Sevilla en el procedimiento abreviado núm. 133-2016, rollo núm. 1965-2017, que le condenó como autor de un delito de prevaricación en concurso medial con un delito de malversación agravada a la pena de prisión de siete años y un día, con inhabilitación especial para el derecho de sufragio pasivo por tiempo de la condena, así como a la pena de inhabilitación absoluta por tiempo de dieciocho años y un día, con privación definitiva de todos los honores, empleos y cargos públicos, aunque sean electivos, e incapacidad para obtener estos o cualesquiera otros honores; (ii) la sentencia de la Sala de lo Penal del Tribunal Supremo núm. 749/2022, de 13 de septiembre, que desestima el recurso de casación formulado por el demandante de amparo frente a la anterior (recurso de casación núm. 601-2020); y (iii) el auto del mismo órgano judicial de 16 de febrero de 2023, que inadmite el incidente de nulidad de actuaciones interpuesto frente a la citada sentencia desestimatoria.</w:t>
      </w:r>
    </w:p>
    <w:p w14:paraId="2C3AF22C" w14:textId="77777777" w:rsidR="00F64776" w:rsidRDefault="00F64776" w:rsidP="00F64776">
      <w:pPr>
        <w:pStyle w:val="TextoNormal"/>
      </w:pPr>
    </w:p>
    <w:p w14:paraId="0CAC7012" w14:textId="77777777" w:rsidR="00F64776" w:rsidRDefault="00F64776" w:rsidP="00F64776">
      <w:pPr>
        <w:pStyle w:val="TextoNormal"/>
      </w:pPr>
      <w:r>
        <w:t xml:space="preserve">En la demanda se alegan, como motivos de amparo, las siguientes vulneraciones de derechos fundamentales: (i) del derecho al juez ordinario predeterminado por la ley (art. 24.2 CE), derivada de la participación en la fase de instrucción de un magistrado que no estaba habilitado para ello; (ii) del derecho a la tutela judicial efectiva en su vertiente a la intangibilidad de las resoluciones judiciales, debido a que, a pesar de que la Audiencia Provincial de Sevilla excluyó las ayudas individuales del objeto de enjuiciamiento, el Tribunal Supremo, incurriendo en una </w:t>
      </w:r>
      <w:r w:rsidRPr="00F64776">
        <w:rPr>
          <w:i/>
        </w:rPr>
        <w:t>reformatio in peius</w:t>
      </w:r>
      <w:r>
        <w:t xml:space="preserve">, las considera el soporte del delito de malversación; (iii) del derecho de defensa, a la presunción de inocencia y a un juicio con todas las garantías (art. 24.2 CE), por no haber tomado en consideración la prueba de descargo, basar la condena en argumentos incriminatorios irrazonables y arbitrarios y dejar sin respuesta alegaciones sustanciales de la parte; (iv) del derecho a la legalidad penal (art. 25.1 CE), debido a que órganos judiciales han llevado a cabo una interpretación extensiva y analógica </w:t>
      </w:r>
      <w:r w:rsidRPr="00F64776">
        <w:rPr>
          <w:i/>
        </w:rPr>
        <w:t>in malam partem</w:t>
      </w:r>
      <w:r>
        <w:t xml:space="preserve"> del elemento típico “resolución en asunto administrativo” del art. 404 del Código penal (CP), al considerar como “resolución en asunto administrativo” los acuerdos adoptados sucesivamente por el Consejo de Gobierno de la Junta de Andalucía, por los que se aprobaron los anteproyectos de ley de presupuestos de la comunidad autónoma y se remitieron como proyectos de ley al Parlamento de Andalucía; y, en segundo lugar, porque los órganos judiciales habrían llevado a cabo una interpretación extensiva y analógica </w:t>
      </w:r>
      <w:r w:rsidRPr="00F64776">
        <w:rPr>
          <w:i/>
        </w:rPr>
        <w:t>in malam partem</w:t>
      </w:r>
      <w:r>
        <w:t xml:space="preserve"> del elemento típico “resolución en asunto administrativo” del art. 404 CP, al considerar como “resolución en asunto administrativo” los acuerdos adoptados por el Consejo de Gobierno de la Junta de Andalucía, relativos a determinadas modificaciones presupuestarias; (v) del derecho a la presunción de inocencia y a un proceso con todas las garantías (art. 24.2 CE), en cuanto la condena por el delito de malversación carece de prueba de cargo suficiente en relación con el elemento subjetivo y se funda en indicios que no son unívocos, ni concluyentes, así como en una inferencia demasiado abierta e indeterminada, cuya argumentación no puede considerarse lógica ni coherente, con base en un juicio de culpabilidad que parte de una presunción de participación, creando una especie de “dolo omnicomprensivo” que abarca los hechos calificados como prevaricación y malversación, sin que la sentencia de instancia hubiera realizado previamente un verdadero juicio de autoría.</w:t>
      </w:r>
    </w:p>
    <w:p w14:paraId="0B44E479" w14:textId="77777777" w:rsidR="00F64776" w:rsidRDefault="00F64776" w:rsidP="00F64776">
      <w:pPr>
        <w:pStyle w:val="TextoNormal"/>
      </w:pPr>
    </w:p>
    <w:p w14:paraId="245F6655" w14:textId="4A78AF57" w:rsidR="00F64776" w:rsidRDefault="00F64776" w:rsidP="00F64776">
      <w:pPr>
        <w:pStyle w:val="TextoNormal"/>
      </w:pPr>
      <w:r>
        <w:t>Asimismo, se solicita por otrosí que, conforme a lo dispuesto en el art. 56.2 de la Ley Orgánica del Tribunal Constitucional (LOTC), se suspenda la ejecución de la sentencia condenatoria, únicamente respecto de la pena privativa de libertad, argumentando que: (i) la duración de la pena de prisión no puede ser el único criterio a tener en cuenta para acceder o no a la suspensión; (ii) la sentencia dictada por el Tribunal Supremo en casación no lo ha sido por unanimidad; (iii) la suspensión de la pena privativa de libertad no supondrá en este caso una afectación al interés general; (iv) no existe riesgo de fuga; (v) la pena impuesta no solo comporta graves perjuicios para el recurrente sino también para su familia, en particular para sus hijos menores de edad.</w:t>
      </w:r>
    </w:p>
    <w:p w14:paraId="6DDB48B4" w14:textId="77777777" w:rsidR="00F64776" w:rsidRDefault="00F64776" w:rsidP="00F64776">
      <w:pPr>
        <w:pStyle w:val="TextoNormal"/>
      </w:pPr>
    </w:p>
    <w:p w14:paraId="16DB3D30" w14:textId="77777777" w:rsidR="00F64776" w:rsidRDefault="00F64776" w:rsidP="00F64776">
      <w:pPr>
        <w:pStyle w:val="TextoNormal"/>
      </w:pPr>
      <w:r w:rsidRPr="00F64776">
        <w:rPr>
          <w:rStyle w:val="NumeroAFNegritaCaracter"/>
        </w:rPr>
        <w:t>2</w:t>
      </w:r>
      <w:r>
        <w:t>. La Sala Segunda del Tribunal Constitucional, por ATC 291/2023, de 5 de junio, de conformidad con el art. 11.2 LOTC, avocó para sí la decisión de admisión a trámite del presente recurso de amparo y acordó su procedencia, apreciando que concurre en el mismo especial trascendencia constitucional (art. 50.1 LOTC), porque el recurso plantea un problema o afecta a una faceta de un derecho fundamental sobre el que no hay doctrina de este tribunal [STC 155/2009, de 25 de junio, FJ 2 a)] y porque el asunto suscitado trasciende del caso concreto porque plantea una cuestión jurídica de relevante y general repercusión social y tiene unas consecuencias políticas generales [STC 155/2009, FJ 2 g)]. Además, en la misma resolución se decidió la formación de pieza separada de suspensión, y, en ella, conceder un plazo de tres días al Ministerio Fiscal y al solicitante de amparo para que efectuaran alegaciones respecto a dicha petición. Se acordó, asimismo, proponer la avocación al Pleno del conocimiento del presente recurso de amparo.</w:t>
      </w:r>
    </w:p>
    <w:p w14:paraId="354B48BE" w14:textId="77777777" w:rsidR="00F64776" w:rsidRDefault="00F64776" w:rsidP="00F64776">
      <w:pPr>
        <w:pStyle w:val="TextoNormal"/>
      </w:pPr>
    </w:p>
    <w:p w14:paraId="44ECD639" w14:textId="243274B8" w:rsidR="00F64776" w:rsidRDefault="00F64776" w:rsidP="00F64776">
      <w:pPr>
        <w:pStyle w:val="TextoNormal"/>
      </w:pPr>
      <w:r>
        <w:t>El Pleno, en su reunión de 20 de junio de 2023, acordó recabar para sí el conocimiento del recurso de amparo.</w:t>
      </w:r>
    </w:p>
    <w:p w14:paraId="2F81425C" w14:textId="77777777" w:rsidR="00F64776" w:rsidRDefault="00F64776" w:rsidP="00F64776">
      <w:pPr>
        <w:pStyle w:val="TextoNormal"/>
      </w:pPr>
    </w:p>
    <w:p w14:paraId="5F948BDD" w14:textId="2E6D40C1" w:rsidR="00F64776" w:rsidRDefault="00F64776" w:rsidP="00F64776">
      <w:pPr>
        <w:pStyle w:val="TextoNormal"/>
      </w:pPr>
      <w:r w:rsidRPr="00F64776">
        <w:rPr>
          <w:rStyle w:val="NumeroAFNegritaCaracter"/>
        </w:rPr>
        <w:t>3</w:t>
      </w:r>
      <w:r>
        <w:t>. La representación procesal del recurrente presentó sus alegaciones mediante escrito registrado en este tribunal el 15 de junio de 2023. Comienza su escrito con una alegación previa referida a los antecedentes procesales en los que afirma que, tras ser denegada por los órganos judiciales la suspensión de la ejecución del fallo de la sentencia condenatoria, el recurrente en amparo ingresó voluntariamente en prisión el día 2 de enero de 2023. Por lo que se refiere al fondo, el escrito contiene una única alegación en la que se pone de relieve que: (i) el derecho a la libertad, reconocido no solo en nuestra Constitución, sino también en la Declaración universal de derechos humanos, en el Convenio europeo de derechos humanos, en el Pacto internacional de derechos civiles y políticos y en la Carta de los derechos fundamentales de la Unión Europea, constituye una de las referencias cruciales del constitucionalismo, que tiene un carácter preponderante; (ii) aunque, según la doctrina constitucional, la regla general es la no suspensión cuando las penas privativas de libertad son superiores a cinco años, existen excepciones como la resuelta en el ATC 112/1998, de 18 de noviembre; (iii) la suspensión en este caso no llevaría aparejada una perturbación del interés general ya que afecta a personas perfectamente insertas en la sociedad y respecto de las que no existe riesgo de fuga. En el caso del señor Vallejo, su entrada en prisión con el fin de dar cumplimiento a la sentencia condenatoria, fue retransmitido en directo, por lo que se ha dado cumplimiento al interés de prevención general; (iv) la verosimilitud de la lesión, reconocida ya por el Tribunal Constitucional en el auto por el que se admitió el recurso de amparo, así como los dos votos particulares que se formularon a la sentencia dictada en casación, ponen de relieve la posibilidad de que las resoluciones judiciales hayan incurrido en lesión de derechos fundamentales; (v) las circunstancias personales del señor Vallejo traen consigo que el cumplimiento de la pena de prisión tenga efectos inhumanos, ya que le impiden convivir con sus hijos menores de edad y le obligan a desligarse de su carrera profesional.</w:t>
      </w:r>
    </w:p>
    <w:p w14:paraId="070B05AE" w14:textId="77777777" w:rsidR="00F64776" w:rsidRDefault="00F64776" w:rsidP="00F64776">
      <w:pPr>
        <w:pStyle w:val="TextoNormal"/>
      </w:pPr>
    </w:p>
    <w:p w14:paraId="205D7C93" w14:textId="04770B58" w:rsidR="00F64776" w:rsidRDefault="00F64776" w:rsidP="00F64776">
      <w:pPr>
        <w:pStyle w:val="TextoNormal"/>
      </w:pPr>
      <w:r w:rsidRPr="00F64776">
        <w:rPr>
          <w:rStyle w:val="NumeroAFNegritaCaracter"/>
        </w:rPr>
        <w:t>4</w:t>
      </w:r>
      <w:r>
        <w:t>. El Ministerio Fiscal, por escrito registrado el día 30 de junio de 2023, interesó que se denegara la suspensión solicitada, referida únicamente a la pena privativa de libertad. Después de recordar la doctrina constitucional sobre las medidas cautelares, considera que su aplicación al caso concreto debe llevar a denegar la suspensión solicitada debido a que: (i) la impuesta es de carácter grave y excede con creces de la frontera de los cinco años de prisión que marca la doctrina constitucional para atender la solicitud de suspensión; (ii) la trascendencia social de los hechos por los que ha sido condenado el recurrente; (iii) la no concurrencia de los supuestos excepcionales de suspensión de penas superiores a cinco años de prisión; (iv) no concurre circunstancia personal alguna en el recurrente que aconseje la suspensión de la pena, más allá de los serios inconvenientes y dificultades que para la vida de cualquier persona supone la privación de libertad.</w:t>
      </w:r>
    </w:p>
    <w:p w14:paraId="662CB14E" w14:textId="77777777" w:rsidR="00F64776" w:rsidRDefault="00F64776" w:rsidP="00F64776">
      <w:pPr>
        <w:pStyle w:val="TextoNormal"/>
      </w:pPr>
    </w:p>
    <w:p w14:paraId="6350F090" w14:textId="63DE5760" w:rsidR="00F64776" w:rsidRDefault="00F64776" w:rsidP="00F64776">
      <w:pPr>
        <w:pStyle w:val="TextoNormal"/>
      </w:pPr>
      <w:r w:rsidRPr="00F64776">
        <w:rPr>
          <w:rStyle w:val="NumeroAFNegritaCaracter"/>
        </w:rPr>
        <w:t>5</w:t>
      </w:r>
      <w:r>
        <w:t>. La representación procesal del Partido Popular, a la que se ha tenido por personada y parte en la pieza principal por diligencia de ordenación de 27 de julio de 2023 del secretario de justicia del Pleno, presentó alegaciones en esta pieza separada el 1 de septiembre de 2023 en las que solicita la desestimación de las solicitudes de suspensión cautelar de las penas de prisión deducidas en sus recursos de amparo por los condenados en la causa antecedente, cuando se trate de penas de duración superior a los cinco años, conforme al criterio asentado en la doctrina constitucional (AATC 95/2019, de 23 de julio, FJ 2; 94/2020, de 10 de septiembre; 100/2022, de 16 de junio, y 130/2022, de 10 de octubre) de ponderar el interés general que se vería afectado por la medida cautelar en función de la gravedad de la pena concretamente impuesta, según exceda o no dicho límite temporal, salvo concurrencia de circunstancias excepcionales, que la parte entiende que no concurren en ninguno de ellos.</w:t>
      </w:r>
    </w:p>
    <w:p w14:paraId="79380856" w14:textId="77777777" w:rsidR="00F64776" w:rsidRDefault="00F64776" w:rsidP="00F64776">
      <w:pPr>
        <w:pStyle w:val="TextoNormal"/>
      </w:pPr>
    </w:p>
    <w:p w14:paraId="7E295105" w14:textId="77777777" w:rsidR="00F64776" w:rsidRDefault="00F64776" w:rsidP="00F64776">
      <w:pPr>
        <w:pStyle w:val="TextoNormalNegritaCentrado"/>
        <w:keepNext/>
      </w:pPr>
      <w:r>
        <w:t>II. Fundamentos jurídicos</w:t>
      </w:r>
    </w:p>
    <w:p w14:paraId="4E40249C" w14:textId="0DC94A05" w:rsidR="00F64776" w:rsidRDefault="00F64776" w:rsidP="00F64776">
      <w:pPr>
        <w:pStyle w:val="TextoNormalNegritaCentrado"/>
        <w:keepNext/>
      </w:pPr>
    </w:p>
    <w:p w14:paraId="2F0F13ED" w14:textId="77777777" w:rsidR="00F64776" w:rsidRDefault="00F64776" w:rsidP="00F64776">
      <w:pPr>
        <w:pStyle w:val="TextoNormal"/>
      </w:pPr>
      <w:r w:rsidRPr="00F64776">
        <w:rPr>
          <w:rStyle w:val="NumeroAFNegritaCaracter"/>
        </w:rPr>
        <w:t>1</w:t>
      </w:r>
      <w:r>
        <w:t>. El objeto de esta pieza de suspensión es determinar la procedencia de acordar la suspensión de las resoluciones judiciales impugnadas en el único extremo solicitado por el recurrente de la pena privativa de libertad de siete años y un día que le fue impuesta como autor de un delito de prevaricación en concurso medial con un delito de malversación agravada.</w:t>
      </w:r>
    </w:p>
    <w:p w14:paraId="65D01203" w14:textId="77777777" w:rsidR="00F64776" w:rsidRDefault="00F64776" w:rsidP="00F64776">
      <w:pPr>
        <w:pStyle w:val="TextoNormal"/>
      </w:pPr>
    </w:p>
    <w:p w14:paraId="7985EF59" w14:textId="77777777" w:rsidR="00F64776" w:rsidRDefault="00F64776" w:rsidP="00F64776">
      <w:pPr>
        <w:pStyle w:val="TextoNormal"/>
      </w:pPr>
      <w:r>
        <w:t>El demandante, tras subrayar el carácter preponderante del derecho de libertad, alega que, de no suspenderse la ejecución de la pena de prisión, se le causarían perjuicios irreparables a él y su familia, que considera de carácter inhumano. Afirma que acceder al otorgamiento de la medida cautelar no supondría ninguna perturbación grave de un interés constitucionalmente protegido, toda vez que no hay riesgo de fuga y existe además apariencia de lesión de los derechos fundamentales invocados en la demanda de amparo. El hecho de que la condena privativa de libertad sea superior a cinco años, no supone un óbice para acceder a la suspensión ya que existen supuestos excepcionales en los que esta medida se ha acordado.</w:t>
      </w:r>
    </w:p>
    <w:p w14:paraId="78FE1F58" w14:textId="77777777" w:rsidR="00F64776" w:rsidRDefault="00F64776" w:rsidP="00F64776">
      <w:pPr>
        <w:pStyle w:val="TextoNormal"/>
      </w:pPr>
    </w:p>
    <w:p w14:paraId="0CBA93CA" w14:textId="676832B4" w:rsidR="00F64776" w:rsidRDefault="00F64776" w:rsidP="00F64776">
      <w:pPr>
        <w:pStyle w:val="TextoNormal"/>
      </w:pPr>
      <w:r>
        <w:t>El fiscal interesa que se deniegue la medida cautelar debido a la gravedad de las penas por las ha sido condenado el recurrente, la trascendencia social de los hechos que han dado lugar a la condena, así como que no concurre ninguna circunstancia que permita, de forma excepcional, suspender una pena de prisión superior a cinco años. El Partido Popular también ha interesado la desestimación de la pretensión cautelar formulada con apoyo en análogos argumentos.</w:t>
      </w:r>
    </w:p>
    <w:p w14:paraId="4EA6C5F3" w14:textId="77777777" w:rsidR="00F64776" w:rsidRDefault="00F64776" w:rsidP="00F64776">
      <w:pPr>
        <w:pStyle w:val="TextoNormal"/>
      </w:pPr>
    </w:p>
    <w:p w14:paraId="75789CFC" w14:textId="77777777" w:rsidR="00F64776" w:rsidRDefault="00F64776" w:rsidP="00F64776">
      <w:pPr>
        <w:pStyle w:val="TextoNormal"/>
      </w:pPr>
      <w:r w:rsidRPr="00F64776">
        <w:rPr>
          <w:rStyle w:val="NumeroAFNegritaCaracter"/>
        </w:rPr>
        <w:t>2</w:t>
      </w:r>
      <w:r>
        <w:t>. El art. 56.1 LOTC dispone que la interposición de un recurso de amparo no suspenderá los efectos del acto o sentencia impugnados, concretando el art. 56.2 LOTC que podrá acordarse la suspensión cuando su ejecución “produzca un perjuicio al recurrente que pudiera hacer perder al amparo su finalidad”. Se establece como limitación a esa facultad que “la suspensión no ocasione perturbación grave a un interés constitucionalmente protegido, ni a los derechos fundamentales o libertades de otra persona”. La regla general es, por tanto, que no procede la suspensión de los efectos de los actos o resoluciones judiciales impugnadas, en particular en lo que hace a estas últimas, porque tal suspensión acarrea la perturbación de la función jurisdiccional y supone una injerencia de la jurisdicción constitucional en las decisiones adoptadas por la jurisdicción ordinaria que, pese a poder estar justificada, ha de ser abordada con suma cautela, caso a caso, para evitar que este tribunal desempeñe funciones que le están constitucionalmente vedadas, por ser propias de la jurisdicción ordinaria (ATC 38/2018, de 22 de marzo, FJ 3, por todos).</w:t>
      </w:r>
    </w:p>
    <w:p w14:paraId="2CD8D3A0" w14:textId="77777777" w:rsidR="00F64776" w:rsidRDefault="00F64776" w:rsidP="00F64776">
      <w:pPr>
        <w:pStyle w:val="TextoNormal"/>
      </w:pPr>
    </w:p>
    <w:p w14:paraId="26CFB8D0" w14:textId="60104563" w:rsidR="00F64776" w:rsidRDefault="00F64776" w:rsidP="00F64776">
      <w:pPr>
        <w:pStyle w:val="TextoNormal"/>
      </w:pPr>
      <w:r>
        <w:t>Las condenas privativas de libertad son uno de los casos en los que este tribunal entiende procedente acordar la suspensión de su ejecución habida cuenta de que “la libertad constituye un derecho cuya naturaleza convierte el perjuicio irrogado en irreparable, en caso de estimarse el amparo una vez cumplida parcial o totalmente la pena” (ATC 93/2018, de 17 de septiembre, FJ 1, y los autos allí indicados). La jurisprudencia constitucional, en relación con la suspensión de las penas privativas de libertad, ha venido utilizando como criterio de ponderación prioritario el de gravedad de la pena, aplicando de forma reiterada como directriz inicial la de que la pena sea superior a los cinco años de prisión, por ser la que sirve al legislador penal para diferenciar entre las penas graves y las menos graves. Junto a este criterio, el Tribunal ha venido ponderando otras circunstancias relevantes, tales como, significativamente,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(entre otros, AATC 469/2007, de 17 de diciembre, FJ 2; 16/2008, de 21 de enero, FJ 1, y 172/2008, de 23 de junio, FJ 2), circunstancias todas ellas “que expresan la reprobación que el ordenamiento asigna al hecho delictivo y, por consiguiente, la magnitud del interés general en su ejecución” (por todos, AATC 109/2008, de 14 de abril, FJ 2; 53/2009, de 23 de febrero, FJ 1, y 171/2009, de 1 de junio, FJ 1).</w:t>
      </w:r>
    </w:p>
    <w:p w14:paraId="7CA05CD9" w14:textId="77777777" w:rsidR="00F64776" w:rsidRDefault="00F64776" w:rsidP="00F64776">
      <w:pPr>
        <w:pStyle w:val="TextoNormal"/>
      </w:pPr>
    </w:p>
    <w:p w14:paraId="650A0A76" w14:textId="77777777" w:rsidR="00F64776" w:rsidRDefault="00F64776" w:rsidP="00F64776">
      <w:pPr>
        <w:pStyle w:val="TextoNormal"/>
      </w:pPr>
      <w:r w:rsidRPr="00F64776">
        <w:rPr>
          <w:rStyle w:val="NumeroAFNegritaCaracter"/>
        </w:rPr>
        <w:t>3</w:t>
      </w:r>
      <w:r>
        <w:t>. La aplicación de dicha doctrina al supuesto que aquí se examina conduce a denegar la suspensión de la pena privativa de libertad impuesta al recurrente dada su duración, de siete años y un día, que es muy superior a la que este tribunal ha venido considerando como límite a partir del cual no resulta, en principio, procedente la adopción de la medida cautelar de suspensión y sin que concurran alguno de los supuestos excepcionales de suspensión de penas superiores a cinco años de prisión. Junto a la gravedad de la pena, hay que atender también, como alega el Ministerio Fiscal, a la gravedad y trascendencia social de los hechos enjuiciados, en tanto que el recurrente fue condenado por delitos continuados contra la administración pública cometidos a lo largo de un dilatado período de tiempo.</w:t>
      </w:r>
    </w:p>
    <w:p w14:paraId="369E3AC8" w14:textId="77777777" w:rsidR="00F64776" w:rsidRDefault="00F64776" w:rsidP="00F64776">
      <w:pPr>
        <w:pStyle w:val="TextoNormal"/>
      </w:pPr>
    </w:p>
    <w:p w14:paraId="484C1CFB" w14:textId="77777777" w:rsidR="00F64776" w:rsidRDefault="00F64776" w:rsidP="00F64776">
      <w:pPr>
        <w:pStyle w:val="TextoNormal"/>
      </w:pPr>
      <w:r>
        <w:t>Tampoco el resto de los motivos aducidos por el recurrente para interesar la suspensión podría justificar la adopción de la medida cautelar. Resulta patente que la imposición de una pena privativa de libertad de siete años y un día no supone, en sí misma considerada, un trato inhumano. Asimismo y por lo que se refiere a la invocada apariencia de lesión de derechos fundamentales por las resoluciones judiciales impugnadas, debe recordarse que “la perspectiva única que ha de ser tenida en cuenta para decidir sobre cualquier pretensión cautelar formulada en el proceso de amparo ha de ser el de la preservación de la eficacia de un posible pronunciamiento estimatorio, sin prejuzgar cuál haya de ser el sentido de la futura sentencia que le ponga fin […] En tal medida, ‘no procede en este incidente examinar ni la concurrencia ni la ausencia de apariencia de buen derecho’ de la pretensión de amparo formulada, criterio este del que no se vale la regulación del artículo 56 LOTC para conceder o denegar la protección cautelar pretendida” [AATC 130/2022, de 10 de octubre, FJ 4, y103/2023, de 6 de marzo, FJ 4, con cita del ATC 55/2018, de 22 de mayo, FJ 2 c)].</w:t>
      </w:r>
    </w:p>
    <w:p w14:paraId="53A30188" w14:textId="77777777" w:rsidR="00F64776" w:rsidRDefault="00F64776" w:rsidP="00F64776">
      <w:pPr>
        <w:pStyle w:val="TextoNormal"/>
      </w:pPr>
    </w:p>
    <w:p w14:paraId="19E434ED" w14:textId="77777777" w:rsidR="00F64776" w:rsidRDefault="00F64776" w:rsidP="00F64776">
      <w:pPr>
        <w:pStyle w:val="TextoNormal"/>
      </w:pPr>
      <w:r>
        <w:t>Por último, la alegada inexistencia del riesgo de fuga es una “condición necesaria para que proceda la suspensión del cumplimiento de las penas privativas de libertad, pero no suficiente por sí sola, pues conforme a la doctrina establecida por este tribunal también deben concurrir los restantes requisitos en ella establecidos.” (ATC 60/2020, de 17 de junio, FJ 5).</w:t>
      </w:r>
    </w:p>
    <w:p w14:paraId="3F9AF9FA" w14:textId="77777777" w:rsidR="00F64776" w:rsidRDefault="00F64776" w:rsidP="00F64776">
      <w:pPr>
        <w:pStyle w:val="TextoNormal"/>
      </w:pPr>
    </w:p>
    <w:p w14:paraId="1C3B4E43" w14:textId="176AC393" w:rsidR="00F64776" w:rsidRDefault="00F64776" w:rsidP="00F64776">
      <w:pPr>
        <w:pStyle w:val="TextoNormal"/>
      </w:pPr>
      <w:r>
        <w:t>Estamos, en definitiva, ante una pena de prisión de duración netamente superior a los cinco años, sin que las razones alegadas por el demandante hagan desaparecer el cualificado interés general que, en un caso como este, presenta la ejecución de la resolución condenatoria firme.</w:t>
      </w:r>
    </w:p>
    <w:p w14:paraId="53CCECE5" w14:textId="77777777" w:rsidR="00F64776" w:rsidRDefault="00F64776" w:rsidP="00F64776">
      <w:pPr>
        <w:pStyle w:val="TextoNormal"/>
      </w:pPr>
    </w:p>
    <w:p w14:paraId="46173338" w14:textId="77777777" w:rsidR="00F64776" w:rsidRDefault="00F64776" w:rsidP="00F64776">
      <w:pPr>
        <w:pStyle w:val="TextoNormal"/>
      </w:pPr>
      <w:r>
        <w:t>Por lo expuesto, el Pleno</w:t>
      </w:r>
    </w:p>
    <w:p w14:paraId="289F4DF5" w14:textId="027E65E2" w:rsidR="00F64776" w:rsidRDefault="00F64776" w:rsidP="00F64776">
      <w:pPr>
        <w:pStyle w:val="TextoNormal"/>
      </w:pPr>
    </w:p>
    <w:p w14:paraId="12CA2BC1" w14:textId="77777777" w:rsidR="00F64776" w:rsidRDefault="00F64776" w:rsidP="00F64776">
      <w:pPr>
        <w:pStyle w:val="TextoNormalCentrado"/>
      </w:pPr>
      <w:r>
        <w:t>ACUERDA</w:t>
      </w:r>
    </w:p>
    <w:p w14:paraId="213FD252" w14:textId="28745ABF" w:rsidR="00F64776" w:rsidRDefault="00F64776" w:rsidP="00F64776">
      <w:pPr>
        <w:pStyle w:val="TextoNormalCentrado"/>
      </w:pPr>
    </w:p>
    <w:p w14:paraId="716BD2A1" w14:textId="507C660B" w:rsidR="00F64776" w:rsidRDefault="00F64776" w:rsidP="00F64776">
      <w:pPr>
        <w:pStyle w:val="TextoNormal"/>
      </w:pPr>
      <w:r>
        <w:t>Denegar la suspensión en el recurso de amparo 2360-2023, promovido por don Francisco Vallejo Serrano en causa penal.</w:t>
      </w:r>
    </w:p>
    <w:p w14:paraId="3C4D397F" w14:textId="77777777" w:rsidR="00F64776" w:rsidRDefault="00F64776" w:rsidP="00F64776">
      <w:pPr>
        <w:pStyle w:val="TextoNormal"/>
      </w:pPr>
    </w:p>
    <w:p w14:paraId="1203BC9B" w14:textId="77777777" w:rsidR="00F64776" w:rsidRDefault="00F64776" w:rsidP="00F64776">
      <w:pPr>
        <w:pStyle w:val="TextoNormal"/>
      </w:pPr>
      <w:r>
        <w:t>Madrid, a veintiséis de septiembre de dos mil veintitrés.</w:t>
      </w:r>
    </w:p>
    <w:p w14:paraId="7800DB9A" w14:textId="53F59429" w:rsidR="00F64776" w:rsidRDefault="00F64776">
      <w:pPr>
        <w:spacing w:after="160" w:line="278" w:lineRule="auto"/>
        <w:rPr>
          <w:rFonts w:ascii="Times New Roman" w:eastAsia="Times New Roman" w:hAnsi="Times New Roman" w:cs="Times New Roman"/>
          <w:sz w:val="24"/>
          <w:szCs w:val="24"/>
          <w:lang w:eastAsia="es-ES"/>
        </w:rPr>
      </w:pPr>
      <w:r>
        <w:br w:type="page"/>
      </w:r>
    </w:p>
    <w:p w14:paraId="7C68DCAD" w14:textId="77777777" w:rsidR="00F64776" w:rsidRDefault="00F64776" w:rsidP="00F64776">
      <w:pPr>
        <w:pStyle w:val="TtuloResolucin"/>
      </w:pPr>
      <w:bookmarkStart w:id="227" w:name="AUTO_2023_442"/>
      <w:r>
        <w:t>AUTO 442/2023, de 26 de septiembre de 2023</w:t>
      </w:r>
    </w:p>
    <w:bookmarkEnd w:id="227"/>
    <w:p w14:paraId="7BD7AB26" w14:textId="77777777" w:rsidR="00F64776" w:rsidRDefault="00F64776" w:rsidP="00F64776">
      <w:pPr>
        <w:pStyle w:val="TtuloResolucin"/>
      </w:pPr>
      <w:r>
        <w:t>Pleno</w:t>
      </w:r>
    </w:p>
    <w:p w14:paraId="541BEC41" w14:textId="77777777" w:rsidR="00F64776" w:rsidRDefault="00F64776" w:rsidP="00F64776">
      <w:pPr>
        <w:pStyle w:val="TextoNormalCentrado"/>
      </w:pPr>
      <w:r>
        <w:t>ECLI:ES:TC:2023:442A</w:t>
      </w:r>
    </w:p>
    <w:p w14:paraId="3EBBCF5F" w14:textId="460F4D79" w:rsidR="00F64776" w:rsidRDefault="00F64776" w:rsidP="00F64776">
      <w:pPr>
        <w:pStyle w:val="TextoNormalCentrado"/>
      </w:pPr>
    </w:p>
    <w:p w14:paraId="05CB34E9" w14:textId="77777777" w:rsidR="00F64776" w:rsidRDefault="00F64776" w:rsidP="00F64776">
      <w:pPr>
        <w:pStyle w:val="SntesisDescriptiva"/>
      </w:pPr>
      <w:r>
        <w:t>Excms. Srs. don Cándido Conde-Pumpido Tourón,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w:t>
      </w:r>
    </w:p>
    <w:p w14:paraId="3685552E" w14:textId="08321E90" w:rsidR="00F64776" w:rsidRDefault="00F64776" w:rsidP="00F64776">
      <w:pPr>
        <w:pStyle w:val="SntesisDescriptiva"/>
      </w:pPr>
    </w:p>
    <w:p w14:paraId="2ECA598A" w14:textId="77777777" w:rsidR="00F64776" w:rsidRDefault="00F64776" w:rsidP="00F64776">
      <w:pPr>
        <w:pStyle w:val="SntesisDescriptiva"/>
      </w:pPr>
      <w:r>
        <w:t>Deniega la suspensión en el recurso de amparo 2361-2023, promovido por don Jesús María Rodríguez Román en causa penal.</w:t>
      </w:r>
    </w:p>
    <w:p w14:paraId="1E90E2BE" w14:textId="375764FF" w:rsidR="00F64776" w:rsidRDefault="00F64776" w:rsidP="00F64776">
      <w:pPr>
        <w:pStyle w:val="SntesisDescriptiva"/>
      </w:pPr>
    </w:p>
    <w:p w14:paraId="73C91EA0" w14:textId="77777777" w:rsidR="00F64776" w:rsidRDefault="00F64776" w:rsidP="00F64776">
      <w:pPr>
        <w:pStyle w:val="SntesisDescriptiva"/>
      </w:pPr>
    </w:p>
    <w:p w14:paraId="36829894" w14:textId="77777777" w:rsidR="00F64776" w:rsidRDefault="00F64776" w:rsidP="00F64776">
      <w:pPr>
        <w:pStyle w:val="SntesisDescriptiva"/>
      </w:pPr>
    </w:p>
    <w:p w14:paraId="24570C71" w14:textId="77777777" w:rsidR="00F64776" w:rsidRDefault="00F64776" w:rsidP="00F64776">
      <w:pPr>
        <w:pStyle w:val="TextoNormalNegritaCentrado"/>
      </w:pPr>
      <w:r>
        <w:t>AUTO</w:t>
      </w:r>
    </w:p>
    <w:p w14:paraId="7CCB8567" w14:textId="26C9BCA7" w:rsidR="00F64776" w:rsidRDefault="00F64776" w:rsidP="00F64776">
      <w:pPr>
        <w:pStyle w:val="TextoNormalNegritaCentrado"/>
      </w:pPr>
    </w:p>
    <w:p w14:paraId="7D58BED4" w14:textId="77777777" w:rsidR="00F64776" w:rsidRDefault="00F64776" w:rsidP="00F64776">
      <w:pPr>
        <w:pStyle w:val="TextoNormalNegritaCentrado"/>
        <w:keepNext/>
      </w:pPr>
      <w:r>
        <w:t>I. Antecedentes</w:t>
      </w:r>
    </w:p>
    <w:p w14:paraId="4ABFE0E6" w14:textId="3E23C566" w:rsidR="00F64776" w:rsidRDefault="00F64776" w:rsidP="00F64776">
      <w:pPr>
        <w:pStyle w:val="TextoNormalNegritaCentrado"/>
        <w:keepNext/>
      </w:pPr>
    </w:p>
    <w:p w14:paraId="1F6E7891" w14:textId="77777777" w:rsidR="00F64776" w:rsidRDefault="00F64776" w:rsidP="00F64776">
      <w:pPr>
        <w:pStyle w:val="TextoNormal"/>
      </w:pPr>
      <w:r w:rsidRPr="00F64776">
        <w:rPr>
          <w:rStyle w:val="NumeroAFNegritaCaracter"/>
        </w:rPr>
        <w:t>1</w:t>
      </w:r>
      <w:r>
        <w:t>. El 10 de abril de 2023 la representación procesal de don Jesús María Rodríguez Román interpuso recurso de amparo contra: (i) la sentencia núm. 490/2019, de 19 de noviembre, dictada por la Sección Primera de la Audiencia Provincial de Sevilla en el procedimiento abreviado núm. 133-2016, rollo núm. 1965-2017, que le condenó como autor de un delito de prevaricación en concurso medial con un delito de malversación agravada a la pena de prisión de seis años y dos días, con inhabilitación especial para el derecho de sufragio pasivo por tiempo de la condena, así como a la pena de inhabilitación absoluta por tiempo de quince años y dos días, con privación definitiva de todos los honores, empleos y cargos públicos, aunque sean electivos, e incapacidad para obtener estos o cualesquiera otros honores; (ii) la sentencia de la Sala de lo Penal del Tribunal Supremo núm. 749/2022, de 13 de septiembre, que desestima el recurso de casación formulado por el demandante de amparo frente a la anterior (recurso de casación núm. 601-2020); y (iii) el auto del mismo órgano judicial de 16 de febrero de 2023, que inadmite el incidente de nulidad de actuaciones interpuesto frente a la citada sentencia desestimatoria.</w:t>
      </w:r>
    </w:p>
    <w:p w14:paraId="5B8CA62D" w14:textId="77777777" w:rsidR="00F64776" w:rsidRDefault="00F64776" w:rsidP="00F64776">
      <w:pPr>
        <w:pStyle w:val="TextoNormal"/>
      </w:pPr>
    </w:p>
    <w:p w14:paraId="4540858E" w14:textId="77777777" w:rsidR="00F64776" w:rsidRDefault="00F64776" w:rsidP="00F64776">
      <w:pPr>
        <w:pStyle w:val="TextoNormal"/>
      </w:pPr>
      <w:r>
        <w:t xml:space="preserve">En la demanda se alegan, como motivos de amparo, las siguientes vulneraciones de derechos fundamentales: (i) vulneración del derecho a la tutela judicial efectiva [arts. 24.1 y 6.1 del Convenio europeo de derechos humanos (CEDH)], a un proceso público con todas las garantías incluyendo la presunción de inocencia y vulneración del principio de legalidad penal (arts. 25 y 7 CEDH), en cuanto la condena por el delito de malversación carece de prueba de cargo suficiente sobre el elemento subjetivo (dolo eventual) y se funda en indicios que no son unívocos, ni concluyentes, así como en una inferencia demasiado abierta e indeterminada, cuya argumentación no puede considerarse lógica ni coherente, carente de sustrato probatorio y que implica un nuevo juicio de tipicidad, con base en un juicio de culpabilidad que parte de una presunción de participación, creando una especie de “dolo omnicomprensivo” que abarca los hechos calificados como prevaricación y malversación, sin que la sentencia de instancia hubiera realizado previamente un verdadero juicio de autoría; (ii) del derecho a la tutela judicial efectiva en su vertiente a la intangibilidad de las resoluciones judiciales, debido a que, a pesar de que la Audiencia Provincial de Sevilla excluyó las ayudas individuales del objeto de enjuiciamiento, el Tribunal Supremo, incurriendo en una </w:t>
      </w:r>
      <w:r w:rsidRPr="00F64776">
        <w:rPr>
          <w:i/>
        </w:rPr>
        <w:t>reformatio in peius</w:t>
      </w:r>
      <w:r>
        <w:t xml:space="preserve"> prohibida por la Constitución, las considera el soporte del delito de malversación; y (iii) del derecho a la legalidad penal (art. 25.1 CE), porque los órganos judiciales han llevado a cabo una interpretación extensiva y analógica </w:t>
      </w:r>
      <w:r w:rsidRPr="00F64776">
        <w:rPr>
          <w:i/>
        </w:rPr>
        <w:t>in malam partem</w:t>
      </w:r>
      <w:r>
        <w:t xml:space="preserve"> del elemento típico “resolución en asunto administrativo” del art. 404 del Código penal (CP), al considerar como “resolución en asunto administrativo” los acuerdos adoptados sucesivamente por el Consejo de Gobierno de la Junta de Andalucía por los que se aprobaron los anteproyectos de ley de presupuestos de la comunidad autónoma y se remitieron como proyectos de ley al Parlamento de Andalucía; y, en segundo lugar, porque los órganos judiciales habrían llevado a cabo una interpretación extensiva y analógica </w:t>
      </w:r>
      <w:r w:rsidRPr="00F64776">
        <w:rPr>
          <w:i/>
        </w:rPr>
        <w:t>in malam partem</w:t>
      </w:r>
      <w:r>
        <w:t xml:space="preserve"> del elemento típico “resolución en asunto administrativo” del art. 404 CP, al considerar como “resolución en asunto administrativo” los acuerdos adoptados por el Consejo de Gobierno de la Junta de Andalucía, relativos a determinadas modificaciones presupuestarias.</w:t>
      </w:r>
    </w:p>
    <w:p w14:paraId="43E0D5AB" w14:textId="77777777" w:rsidR="00F64776" w:rsidRDefault="00F64776" w:rsidP="00F64776">
      <w:pPr>
        <w:pStyle w:val="TextoNormal"/>
      </w:pPr>
    </w:p>
    <w:p w14:paraId="54FB2387" w14:textId="21CEFA24" w:rsidR="00F64776" w:rsidRDefault="00F64776" w:rsidP="00F64776">
      <w:pPr>
        <w:pStyle w:val="TextoNormal"/>
      </w:pPr>
      <w:r>
        <w:t>Asimismo, se solicita por otrosí que, de conformidad con lo previsto en el art. 56.2 de la Ley Orgánica del Tribunal Constitucional (LOTC), se suspenda la ejecución de la sentencia condenatoria —únicamente de la pena privativa de libertad— argumentando que: (i) la duración de la pena de prisión no puede ser el único criterio a tener en cuenta para acceder o no a la suspensión; (ii) la sentencia dictada por el Tribunal Supremo en casación no lo ha sido por unanimidad; (iii) la suspensión de la pena privativa de libertad no supondrá en este caso una afectación al interés general; (iv) no existe riesgo de fuga; y (v) la pena impuesta comporta graves perjuicios para el recurrente.</w:t>
      </w:r>
    </w:p>
    <w:p w14:paraId="05863FA4" w14:textId="77777777" w:rsidR="00F64776" w:rsidRDefault="00F64776" w:rsidP="00F64776">
      <w:pPr>
        <w:pStyle w:val="TextoNormal"/>
      </w:pPr>
    </w:p>
    <w:p w14:paraId="1324632E" w14:textId="77777777" w:rsidR="00F64776" w:rsidRDefault="00F64776" w:rsidP="00F64776">
      <w:pPr>
        <w:pStyle w:val="TextoNormal"/>
      </w:pPr>
      <w:r w:rsidRPr="00F64776">
        <w:rPr>
          <w:rStyle w:val="NumeroAFNegritaCaracter"/>
        </w:rPr>
        <w:t>2</w:t>
      </w:r>
      <w:r>
        <w:t>. La Sala Segunda de este tribunal, por ATC 292/2023, de 5 de junio, de conformidad con el art. 11.2 LOTC, avocó para sí la decisión de admisión a trámite del presente recurso de amparo y acordó su procedencia, apreciando que concurre en el mismo especial trascendencia constitucional (art. 50.1 LOTC), porque el recurso plantea un problema o afecta a una faceta de un derecho fundamental sobre el que no hay doctrina de este tribunal [STC 155/2009, de 25 de junio, FJ 2 a)] y porque el asunto suscitado trasciende del caso concreto ya que plantea una cuestión jurídica de relevante y general repercusión social y tiene unas consecuencias políticas generales [STC 155/2009, FJ 2 g)]. Además, en la misma resolución se decidió la formación de pieza separada de suspensión, y, en ella, conceder un plazo de tres días al Ministerio Fiscal y al solicitante de amparo para que efectuaran alegaciones respecto a dicha petición. Se acordó, asimismo, proponer la avocación al Pleno del conocimiento del presente recurso de amparo.</w:t>
      </w:r>
    </w:p>
    <w:p w14:paraId="1BAFF302" w14:textId="77777777" w:rsidR="00F64776" w:rsidRDefault="00F64776" w:rsidP="00F64776">
      <w:pPr>
        <w:pStyle w:val="TextoNormal"/>
      </w:pPr>
    </w:p>
    <w:p w14:paraId="76BD2DD9" w14:textId="480A5716" w:rsidR="00F64776" w:rsidRDefault="00F64776" w:rsidP="00F64776">
      <w:pPr>
        <w:pStyle w:val="TextoNormal"/>
      </w:pPr>
      <w:r>
        <w:t>El Pleno, en su reunión de 20 de junio de 2023, acordó recabar para sí el conocimiento del recurso de amparo.</w:t>
      </w:r>
    </w:p>
    <w:p w14:paraId="72938985" w14:textId="77777777" w:rsidR="00F64776" w:rsidRDefault="00F64776" w:rsidP="00F64776">
      <w:pPr>
        <w:pStyle w:val="TextoNormal"/>
      </w:pPr>
    </w:p>
    <w:p w14:paraId="7110B660" w14:textId="5AB42580" w:rsidR="00F64776" w:rsidRDefault="00F64776" w:rsidP="00F64776">
      <w:pPr>
        <w:pStyle w:val="TextoNormal"/>
      </w:pPr>
      <w:r w:rsidRPr="00F64776">
        <w:rPr>
          <w:rStyle w:val="NumeroAFNegritaCaracter"/>
        </w:rPr>
        <w:t>3</w:t>
      </w:r>
      <w:r>
        <w:t>. La representación procesal del recurrente presentó sus alegaciones mediante escrito registrado en este tribunal el 14 de junio de 2023. Comienza su escrito con una alegación previa referida a los antecedentes procesales en los que afirma que, tras ser denegada por los órganos judiciales la suspensión de la ejecución del fallo de la sentencia condenatoria, el recurrente en amparo ingresó voluntariamente en prisión el día 2 de enero de 2023. Por lo que se refiere al fondo, el escrito contiene una única alegación en la que se pone de relieve que: (i) el derecho a la libertad, reconocido no solo en nuestra Constitución, sino también en la Declaración universal de derechos humanos, en el Convenio europeo de derechos humanos, en el Pacto internacional de derechos civiles y políticos y en la Carta de derechos fundamentales de la Unión Europea, constituye una de las referencias cruciales del constitucionalismo, lo que se traduce en su carácter preponderante; (ii) aunque, según la doctrina constitucional, la regla general es la no suspensión cuando las penas privativas de libertad son superiores a cinco años, existen excepciones como la resuelta en el ATC 112/1998, de 18 de mayo; (iii) la suspensión en este caso no llevaría aparejada una perturbación del interés general ya que afecta a personas perfectamente insertas en la sociedad y en las que no existe riesgo de fuga. En el caso del señor Rodríguez Román, su entrada en prisión con el fin de dar cumplimiento a la sentencia condenatoria, fue retransmitida en directo, por lo que se ha dado cumplimiento al interés de prevención general; (iv) la verosimilitud de la lesión, reconocida ya por el Tribunal Constitucional en el auto por el que se admitió el recurso de amparo, así como los dos votos particulares que se formularon a la sentencia dictada en casación, ponen de relieve la posibilidad de que las resoluciones judiciales hayan incurrido en lesión de derechos fundamentales; y (v) las circunstancias personales del señor Rodríguez Román, en especial las familiares y las que afectan a su salud, traen consigo que el cumplimiento de la pena de prisión tenga efectos inhumanos.</w:t>
      </w:r>
    </w:p>
    <w:p w14:paraId="0C972346" w14:textId="77777777" w:rsidR="00F64776" w:rsidRDefault="00F64776" w:rsidP="00F64776">
      <w:pPr>
        <w:pStyle w:val="TextoNormal"/>
      </w:pPr>
    </w:p>
    <w:p w14:paraId="7BB898DC" w14:textId="1A4197E1" w:rsidR="00F64776" w:rsidRDefault="00F64776" w:rsidP="00F64776">
      <w:pPr>
        <w:pStyle w:val="TextoNormal"/>
      </w:pPr>
      <w:r w:rsidRPr="00F64776">
        <w:rPr>
          <w:rStyle w:val="NumeroAFNegritaCaracter"/>
        </w:rPr>
        <w:t>4</w:t>
      </w:r>
      <w:r>
        <w:t>. El Ministerio Fiscal, por escrito registrado el día 30 de junio de 2023, interesó que se denegara la petición del recurrente. Después de recordar la doctrina constitucional sobre las medidas cautelares, considera que su aplicación al caso concreto debe llevar a denegar la suspensión solicitada debido a que: (i) la pena impuesta es de carácter grave y excede con creces de la frontera de los cinco años de prisión que marca la doctrina constitucional para atender la solicitud de suspensión; (ii) no concurren los supuestos excepcionales de suspensión de penas superiores a cinco años de prisión; (iii) la apariencia de buen derecho, alegada por el recurrente para avalar la suspensión, no es un criterio a tener en cuenta en la pieza de suspensión, pues ello supondría anticipar el enjuiciamiento del fondo del asunto; (iv) el que no exista riesgo de fuga no es un criterio suficiente por sí solo para acceder a la suspensión; y (v) al contrario de lo sostenido por el recurrente, la perturbación del interés general es mayor debido a que la condena lo es por delitos que protegen bienes jurídicos supraindividuales.</w:t>
      </w:r>
    </w:p>
    <w:p w14:paraId="14A89CCE" w14:textId="77777777" w:rsidR="00F64776" w:rsidRDefault="00F64776" w:rsidP="00F64776">
      <w:pPr>
        <w:pStyle w:val="TextoNormal"/>
      </w:pPr>
    </w:p>
    <w:p w14:paraId="0D32262E" w14:textId="258A7B63" w:rsidR="00F64776" w:rsidRDefault="00F64776" w:rsidP="00F64776">
      <w:pPr>
        <w:pStyle w:val="TextoNormal"/>
      </w:pPr>
      <w:r w:rsidRPr="00F64776">
        <w:rPr>
          <w:rStyle w:val="NumeroAFNegritaCaracter"/>
        </w:rPr>
        <w:t>5</w:t>
      </w:r>
      <w:r>
        <w:t>. La representación procesal del Partido Popular, a la que se ha tenido por personada y parte en la pieza principal por diligencia de ordenación de 27 de julio de 2023 del secretario de justicia del Pleno, presentó alegaciones en esta pieza separada el 1 de septiembre de 2023 en las que solicita la desestimación de las solicitudes de suspensión cautelar de las penas de prisión deducidas en sus recursos de amparo por los condenados en la causa antecedente, cuando se trate de penas de duración superior a los cinco años, conforme al criterio asentado en la doctrina constitucional (AATC 95/2019, de 23 de julio, FJ 2; 94/2020, de 10 de septiembre; 100/2022, de 16 de junio, y 130/2022, de 10 de octubre) de ponderar el interés general que se vería afectado por la medida cautelar en función de la gravedad de la pena concretamente impuesta, según exceda o no dicho límite temporal, salvo concurrencia de circunstancias excepcionales, que la parte entiende que no concurren en ninguno de ellos.</w:t>
      </w:r>
    </w:p>
    <w:p w14:paraId="0A5F264A" w14:textId="77777777" w:rsidR="00F64776" w:rsidRDefault="00F64776" w:rsidP="00F64776">
      <w:pPr>
        <w:pStyle w:val="TextoNormal"/>
      </w:pPr>
    </w:p>
    <w:p w14:paraId="2BDCDEDF" w14:textId="77777777" w:rsidR="00F64776" w:rsidRDefault="00F64776" w:rsidP="00F64776">
      <w:pPr>
        <w:pStyle w:val="TextoNormalNegritaCentrado"/>
        <w:keepNext/>
      </w:pPr>
      <w:r>
        <w:t>II. Fundamentos jurídicos</w:t>
      </w:r>
    </w:p>
    <w:p w14:paraId="3907CCE3" w14:textId="7B4BF402" w:rsidR="00F64776" w:rsidRDefault="00F64776" w:rsidP="00F64776">
      <w:pPr>
        <w:pStyle w:val="TextoNormalNegritaCentrado"/>
        <w:keepNext/>
      </w:pPr>
    </w:p>
    <w:p w14:paraId="061D7FFB" w14:textId="77777777" w:rsidR="00F64776" w:rsidRDefault="00F64776" w:rsidP="00F64776">
      <w:pPr>
        <w:pStyle w:val="TextoNormal"/>
      </w:pPr>
      <w:r w:rsidRPr="00F64776">
        <w:rPr>
          <w:rStyle w:val="NumeroAFNegritaCaracter"/>
        </w:rPr>
        <w:t>1</w:t>
      </w:r>
      <w:r>
        <w:t>. El objeto de esta pieza de suspensión es determinar la procedencia de acordar la suspensión de las resoluciones judiciales impugnadas en el único extremo solicitado por el recurrente de la pena privativa de libertad de seis años y dos días que le fue impuesta como autor de un delito de prevaricación en concurso medial con un delito de malversación agravada.</w:t>
      </w:r>
    </w:p>
    <w:p w14:paraId="486FB51E" w14:textId="77777777" w:rsidR="00F64776" w:rsidRDefault="00F64776" w:rsidP="00F64776">
      <w:pPr>
        <w:pStyle w:val="TextoNormal"/>
      </w:pPr>
    </w:p>
    <w:p w14:paraId="3DBAE527" w14:textId="77777777" w:rsidR="00F64776" w:rsidRDefault="00F64776" w:rsidP="00F64776">
      <w:pPr>
        <w:pStyle w:val="TextoNormal"/>
      </w:pPr>
      <w:r>
        <w:t>El demandante, tras subrayar el carácter preponderante del derecho de libertad, alega que, de no suspenderse la ejecución de la pena de prisión, se le causarían perjuicios irreparables a él y a su familia que considera de carácter inhumano. Afirma que acceder al otorgamiento de la medida cautelar no supondría ninguna perturbación grave de un interés constitucionalmente protegido, toda vez que no hay riesgo de fuga y existe además apariencia de lesión de los derechos fundamentales invocados en la demanda de amparo. El hecho de que la condena privativa de libertad sea superior a cinco años, no supone un óbice para acceder a la suspensión ya que existen supuestos excepcionales en los que esta medida se ha acordado.</w:t>
      </w:r>
    </w:p>
    <w:p w14:paraId="028332E4" w14:textId="77777777" w:rsidR="00F64776" w:rsidRDefault="00F64776" w:rsidP="00F64776">
      <w:pPr>
        <w:pStyle w:val="TextoNormal"/>
      </w:pPr>
    </w:p>
    <w:p w14:paraId="0292A38F" w14:textId="1002CC6A" w:rsidR="00F64776" w:rsidRDefault="00F64776" w:rsidP="00F64776">
      <w:pPr>
        <w:pStyle w:val="TextoNormal"/>
      </w:pPr>
      <w:r>
        <w:t>El fiscal interesa que se deniegue la medida cautelar debido a que no concurre ninguna circunstancia que permita, de forma excepcional, suspender una pena de prisión superior a cinco años. El Partido Popular también ha interesado la desestimación de la pretensión cautelar formulada con apoyo en análogos argumentos.</w:t>
      </w:r>
    </w:p>
    <w:p w14:paraId="0A72575C" w14:textId="77777777" w:rsidR="00F64776" w:rsidRDefault="00F64776" w:rsidP="00F64776">
      <w:pPr>
        <w:pStyle w:val="TextoNormal"/>
      </w:pPr>
    </w:p>
    <w:p w14:paraId="7A245E8B" w14:textId="77777777" w:rsidR="00F64776" w:rsidRDefault="00F64776" w:rsidP="00F64776">
      <w:pPr>
        <w:pStyle w:val="TextoNormal"/>
      </w:pPr>
      <w:r w:rsidRPr="00F64776">
        <w:rPr>
          <w:rStyle w:val="NumeroAFNegritaCaracter"/>
        </w:rPr>
        <w:t>2</w:t>
      </w:r>
      <w:r>
        <w:t>. El art. 56.1 LOTC dispone que la interposición de un recurso de amparo no suspenderá los efectos del acto o sentencia impugnados, concretando el art. 56.2 LOTC que podrá acordarse la suspensión cuando su ejecución “produzca un perjuicio al recurrente que pudiera hacer perder al amparo su finalidad”. Se establece como limitación a esa facultad que “la suspensión no ocasione perturbación grave a un interés constitucionalmente protegido, ni a los derechos fundamentales o libertades de otra persona”. La regla general es, por tanto, que no procede la suspensión de los efectos de los actos o resoluciones judiciales impugnadas, en particular en lo que hace a estas últimas, porque tal suspensión acarrea la perturbación de la función jurisdiccional y supone una injerencia de la jurisdicción constitucional en las decisiones adoptadas por la jurisdicción ordinaria que, pese a poder estar justificada, ha de ser abordada con suma cautela, caso a caso, para evitar que este tribunal desempeñe funciones que le están constitucionalmente vedadas, por ser propias de la jurisdicción ordinaria (ATC 38/2018, de 22 de marzo, FJ 3, por todos).</w:t>
      </w:r>
    </w:p>
    <w:p w14:paraId="5F41E6BC" w14:textId="77777777" w:rsidR="00F64776" w:rsidRDefault="00F64776" w:rsidP="00F64776">
      <w:pPr>
        <w:pStyle w:val="TextoNormal"/>
      </w:pPr>
    </w:p>
    <w:p w14:paraId="6903E68D" w14:textId="0EFD1670" w:rsidR="00F64776" w:rsidRDefault="00F64776" w:rsidP="00F64776">
      <w:pPr>
        <w:pStyle w:val="TextoNormal"/>
      </w:pPr>
      <w:r>
        <w:t>Las condenas privativas de libertad son uno de los casos en los que este tribunal entiende procedente acordar la suspensión de su ejecución habida cuenta de que “la libertad constituye un derecho cuya naturaleza convierte el perjuicio irrogado en irreparable, en caso de estimarse el amparo una vez cumplida parcial o totalmente la pena” (ATC 93/2018, de 17 de septiembre, FJ 1, y los autos allí indicados). La jurisprudencia constitucional, en relación con la suspensión de las penas privativas de libertad, ha venido utilizando como criterio de ponderación prioritario el de gravedad de la pena, aplicando de forma reiterada como directriz inicial la de que la pena sea superior a los cinco años de prisión, por ser la que sirve al legislador penal para diferenciar entre las penas graves y las menos graves. Junto a este criterio, el Tribunal ha venido ponderando otras circunstancias relevantes, tales como, significativamente,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(entre otros, AATC 469/2007, de 17 de diciembre, FJ 2; 16/2008, de 21 de enero, FJ 1, y 172/2008, de 23 de junio, FJ 2), circunstancias todas ellas “que expresan la reprobación que el ordenamiento asigna al hecho delictivo y, por consiguiente, la magnitud del interés general en su ejecución” (por todos, AATC 109/2008, de 14 de abril, FJ 2; 53/2009, de 23 de febrero, FJ 1, y 171/2009, de 1 de junio, FJ 1).</w:t>
      </w:r>
    </w:p>
    <w:p w14:paraId="5E789FAB" w14:textId="77777777" w:rsidR="00F64776" w:rsidRDefault="00F64776" w:rsidP="00F64776">
      <w:pPr>
        <w:pStyle w:val="TextoNormal"/>
      </w:pPr>
    </w:p>
    <w:p w14:paraId="6068F4FB" w14:textId="77777777" w:rsidR="00F64776" w:rsidRDefault="00F64776" w:rsidP="00F64776">
      <w:pPr>
        <w:pStyle w:val="TextoNormal"/>
      </w:pPr>
      <w:r w:rsidRPr="00F64776">
        <w:rPr>
          <w:rStyle w:val="NumeroAFNegritaCaracter"/>
        </w:rPr>
        <w:t>3</w:t>
      </w:r>
      <w:r>
        <w:t>. La aplicación de dicha doctrina al supuesto que aquí se examina conduce a denegar la suspensión de la pena privativa de libertad impuesta al recurrente dada su duración, de seis años y dos días, que es muy superior a la que este tribunal ha venido considerando como límite a partir del cual no resulta, en principio, procedente la adopción de la medida cautelar de suspensión y sin que concurran alguno de los supuestos excepcionales de suspensión de penas superiores a cinco años de prisión. Junto a la gravedad de la pena, hay que atender también a la gravedad y trascendencia social de los hechos enjuiciados, en tanto que el recurrente fue condenado por delitos continuados contra la administración pública cometidos a largo de un dilatado período de tiempo, afectando, como afirma el fiscal, a bienes jurídicos supraindividuales.</w:t>
      </w:r>
    </w:p>
    <w:p w14:paraId="37084ACA" w14:textId="77777777" w:rsidR="00F64776" w:rsidRDefault="00F64776" w:rsidP="00F64776">
      <w:pPr>
        <w:pStyle w:val="TextoNormal"/>
      </w:pPr>
    </w:p>
    <w:p w14:paraId="44F9D336" w14:textId="77777777" w:rsidR="00F64776" w:rsidRDefault="00F64776" w:rsidP="00F64776">
      <w:pPr>
        <w:pStyle w:val="TextoNormal"/>
      </w:pPr>
      <w:r>
        <w:t>Tampoco el resto de los motivos aducidos por el recurrente para interesar la suspensión podrían justificar la adopción de la medida cautelar. Resulta patente que la imposición de una pena privativa de libertad de seis años y dos días no supone, en sí misma considerada, un trato inhumano. Asimismo y por lo que se refiere a la invocada apariencia de lesión de derechos fundamentales por las resoluciones judiciales impugnadas, debe recordarse que “la perspectiva única que ha de ser tenida en cuenta para decidir sobre cualquier pretensión cautelar formulada en el proceso de amparo ha de ser el de la preservación de la eficacia de un posible pronunciamiento estimatorio, sin prejuzgar cuál haya de ser el sentido de la futura sentencia que le ponga fin […] En tal medida, ‘no procede en este incidente examinar ni la concurrencia ni la ausencia de apariencia de buen derecho’ de la pretensión de amparo formulada, criterio este del que no se vale la regulación del artículo 56 LOTC para conceder o denegar la protección cautelar pretendida” [AATC 130/2022, de 10 de octubre, FJ 4, 103/2023, de 6 de marzo, FJ 4, con cita del ATC 55/2018, de 22 de mayo, FJ 2 c)].</w:t>
      </w:r>
    </w:p>
    <w:p w14:paraId="142869C6" w14:textId="77777777" w:rsidR="00F64776" w:rsidRDefault="00F64776" w:rsidP="00F64776">
      <w:pPr>
        <w:pStyle w:val="TextoNormal"/>
      </w:pPr>
    </w:p>
    <w:p w14:paraId="5C66E21C" w14:textId="77777777" w:rsidR="00F64776" w:rsidRDefault="00F64776" w:rsidP="00F64776">
      <w:pPr>
        <w:pStyle w:val="TextoNormal"/>
      </w:pPr>
      <w:r>
        <w:t>Por último, la alegada inexistencia del riesgo de fuga es una “condición necesaria para que proceda la suspensión del cumplimiento de las [penas] privativas de libertad, pero no suficiente por sí sola, pues conforme a la doctrina establecida por este tribunal también deben concurrir los restantes requisitos en ella establecidos” (ATC 60/2020, de 17 de junio, FJ 5).</w:t>
      </w:r>
    </w:p>
    <w:p w14:paraId="19180236" w14:textId="77777777" w:rsidR="00F64776" w:rsidRDefault="00F64776" w:rsidP="00F64776">
      <w:pPr>
        <w:pStyle w:val="TextoNormal"/>
      </w:pPr>
    </w:p>
    <w:p w14:paraId="0B05665A" w14:textId="74782B5A" w:rsidR="00F64776" w:rsidRDefault="00F64776" w:rsidP="00F64776">
      <w:pPr>
        <w:pStyle w:val="TextoNormal"/>
      </w:pPr>
      <w:r>
        <w:t>Estamos, en definitiva, ante una pena de prisión de duración netamente superior a los cinco años, sin que las razones alegadas por el demandante hagan desaparecer el cualificado interés general que, en un caso como este, presenta la ejecución de la resolución condenatoria firme.</w:t>
      </w:r>
    </w:p>
    <w:p w14:paraId="1F666E4A" w14:textId="77777777" w:rsidR="00F64776" w:rsidRDefault="00F64776" w:rsidP="00F64776">
      <w:pPr>
        <w:pStyle w:val="TextoNormal"/>
      </w:pPr>
    </w:p>
    <w:p w14:paraId="7F531A34" w14:textId="77777777" w:rsidR="00F64776" w:rsidRDefault="00F64776" w:rsidP="00F64776">
      <w:pPr>
        <w:pStyle w:val="TextoNormal"/>
      </w:pPr>
      <w:r>
        <w:t>Por lo expuesto, el Pleno</w:t>
      </w:r>
    </w:p>
    <w:p w14:paraId="55D89E83" w14:textId="7245EAF1" w:rsidR="00F64776" w:rsidRDefault="00F64776" w:rsidP="00F64776">
      <w:pPr>
        <w:pStyle w:val="TextoNormal"/>
      </w:pPr>
    </w:p>
    <w:p w14:paraId="2B0D60E3" w14:textId="77777777" w:rsidR="00F64776" w:rsidRDefault="00F64776" w:rsidP="00F64776">
      <w:pPr>
        <w:pStyle w:val="TextoNormalCentrado"/>
      </w:pPr>
      <w:r>
        <w:t>ACUERDA</w:t>
      </w:r>
    </w:p>
    <w:p w14:paraId="7CAC5B0C" w14:textId="7B2DE73F" w:rsidR="00F64776" w:rsidRDefault="00F64776" w:rsidP="00F64776">
      <w:pPr>
        <w:pStyle w:val="TextoNormalCentrado"/>
      </w:pPr>
    </w:p>
    <w:p w14:paraId="082BE64C" w14:textId="172EABAE" w:rsidR="00F64776" w:rsidRDefault="00F64776" w:rsidP="00F64776">
      <w:pPr>
        <w:pStyle w:val="TextoNormal"/>
      </w:pPr>
      <w:r>
        <w:t>Denegar la suspensión en el recurso de amparo 2361-2023, promovido por don Jesús María Rodríguez Román en causa penal.</w:t>
      </w:r>
    </w:p>
    <w:p w14:paraId="7AF3CF86" w14:textId="77777777" w:rsidR="00F64776" w:rsidRDefault="00F64776" w:rsidP="00F64776">
      <w:pPr>
        <w:pStyle w:val="TextoNormal"/>
      </w:pPr>
    </w:p>
    <w:p w14:paraId="62A8AEF3" w14:textId="77777777" w:rsidR="00F64776" w:rsidRDefault="00F64776" w:rsidP="00F64776">
      <w:pPr>
        <w:pStyle w:val="TextoNormal"/>
      </w:pPr>
      <w:r>
        <w:t>Madrid, a veintiséis de septiembre de dos mil veintitrés.</w:t>
      </w:r>
    </w:p>
    <w:p w14:paraId="1E938FF3" w14:textId="1E0624D6" w:rsidR="00F64776" w:rsidRDefault="00F64776">
      <w:pPr>
        <w:spacing w:after="160" w:line="278" w:lineRule="auto"/>
        <w:rPr>
          <w:rFonts w:ascii="Times New Roman" w:eastAsia="Times New Roman" w:hAnsi="Times New Roman" w:cs="Times New Roman"/>
          <w:sz w:val="24"/>
          <w:szCs w:val="24"/>
          <w:lang w:eastAsia="es-ES"/>
        </w:rPr>
      </w:pPr>
      <w:r>
        <w:br w:type="page"/>
      </w:r>
    </w:p>
    <w:p w14:paraId="78594DC8" w14:textId="77777777" w:rsidR="00F64776" w:rsidRDefault="00F64776" w:rsidP="00F64776">
      <w:pPr>
        <w:pStyle w:val="TtuloResolucin"/>
      </w:pPr>
      <w:bookmarkStart w:id="228" w:name="AUTO_2023_443"/>
      <w:r>
        <w:t>AUTO 443/2023, de 26 de septiembre de 2023</w:t>
      </w:r>
    </w:p>
    <w:bookmarkEnd w:id="228"/>
    <w:p w14:paraId="1424FB00" w14:textId="77777777" w:rsidR="00F64776" w:rsidRDefault="00F64776" w:rsidP="00F64776">
      <w:pPr>
        <w:pStyle w:val="TtuloResolucin"/>
      </w:pPr>
      <w:r>
        <w:t>Pleno</w:t>
      </w:r>
    </w:p>
    <w:p w14:paraId="45108912" w14:textId="77777777" w:rsidR="00F64776" w:rsidRDefault="00F64776" w:rsidP="00F64776">
      <w:pPr>
        <w:pStyle w:val="TextoNormalCentrado"/>
      </w:pPr>
      <w:r>
        <w:t>ECLI:ES:TC:2023:443A</w:t>
      </w:r>
    </w:p>
    <w:p w14:paraId="3840EA7B" w14:textId="2D703791" w:rsidR="00F64776" w:rsidRDefault="00F64776" w:rsidP="00F64776">
      <w:pPr>
        <w:pStyle w:val="TextoNormalCentrado"/>
      </w:pPr>
    </w:p>
    <w:p w14:paraId="3D9801BD" w14:textId="77777777" w:rsidR="00F64776" w:rsidRDefault="00F64776" w:rsidP="00F64776">
      <w:pPr>
        <w:pStyle w:val="SntesisDescriptiva"/>
      </w:pPr>
      <w:r>
        <w:t>Excms. Srs. don Cándido Conde-Pumpido Tourón,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w:t>
      </w:r>
    </w:p>
    <w:p w14:paraId="050F3BBC" w14:textId="45AA9EB9" w:rsidR="00F64776" w:rsidRDefault="00F64776" w:rsidP="00F64776">
      <w:pPr>
        <w:pStyle w:val="SntesisDescriptiva"/>
      </w:pPr>
    </w:p>
    <w:p w14:paraId="62A72C55" w14:textId="77777777" w:rsidR="00F64776" w:rsidRDefault="00F64776" w:rsidP="00F64776">
      <w:pPr>
        <w:pStyle w:val="SntesisDescriptiva"/>
      </w:pPr>
      <w:r>
        <w:t>Deniega la suspensión en el recurso de amparo 2391-2023, promovido por doña Carmen Martínez Aguayo en causa penal.</w:t>
      </w:r>
    </w:p>
    <w:p w14:paraId="56FC0C4C" w14:textId="1E70A643" w:rsidR="00F64776" w:rsidRDefault="00F64776" w:rsidP="00F64776">
      <w:pPr>
        <w:pStyle w:val="SntesisDescriptiva"/>
      </w:pPr>
    </w:p>
    <w:p w14:paraId="7804A584" w14:textId="77777777" w:rsidR="00F64776" w:rsidRDefault="00F64776" w:rsidP="00F64776">
      <w:pPr>
        <w:pStyle w:val="SntesisDescriptiva"/>
      </w:pPr>
    </w:p>
    <w:p w14:paraId="17C329A0" w14:textId="77777777" w:rsidR="00F64776" w:rsidRDefault="00F64776" w:rsidP="00F64776">
      <w:pPr>
        <w:pStyle w:val="SntesisDescriptiva"/>
      </w:pPr>
    </w:p>
    <w:p w14:paraId="39ACEB89" w14:textId="77777777" w:rsidR="00F64776" w:rsidRDefault="00F64776" w:rsidP="00F64776">
      <w:pPr>
        <w:pStyle w:val="TextoNormalNegritaCentrado"/>
      </w:pPr>
      <w:r>
        <w:t>AUTO</w:t>
      </w:r>
    </w:p>
    <w:p w14:paraId="3079CDDD" w14:textId="4BDB5DDE" w:rsidR="00F64776" w:rsidRDefault="00F64776" w:rsidP="00F64776">
      <w:pPr>
        <w:pStyle w:val="TextoNormalNegritaCentrado"/>
      </w:pPr>
    </w:p>
    <w:p w14:paraId="201CBBCC" w14:textId="77777777" w:rsidR="00F64776" w:rsidRDefault="00F64776" w:rsidP="00F64776">
      <w:pPr>
        <w:pStyle w:val="TextoNormalNegritaCentrado"/>
        <w:keepNext/>
      </w:pPr>
      <w:r>
        <w:t>I. Antecedentes</w:t>
      </w:r>
    </w:p>
    <w:p w14:paraId="13AE04AD" w14:textId="15F62CAE" w:rsidR="00F64776" w:rsidRDefault="00F64776" w:rsidP="00F64776">
      <w:pPr>
        <w:pStyle w:val="TextoNormalNegritaCentrado"/>
        <w:keepNext/>
      </w:pPr>
    </w:p>
    <w:p w14:paraId="13BF8DC2" w14:textId="77777777" w:rsidR="00F64776" w:rsidRDefault="00F64776" w:rsidP="00F64776">
      <w:pPr>
        <w:pStyle w:val="TextoNormal"/>
      </w:pPr>
      <w:r w:rsidRPr="00F64776">
        <w:rPr>
          <w:rStyle w:val="NumeroAFNegritaCaracter"/>
        </w:rPr>
        <w:t>1</w:t>
      </w:r>
      <w:r>
        <w:t>. El 11 de abril de 2023 la representación procesal de doña Carmen Martínez Aguayo interpuso recurso de amparo contra: (i) la sentencia núm. 490/2019, de 19 de noviembre, dictada por la Sección Primera de la Audiencia Provincial de Sevilla en el procedimiento abreviado núm. 133-2016, rollo núm. 1965-2017, que la condenó como autora de un delito de prevaricación en concurso medial con un delito de malversación agravada, a la pena de prisión de seis años y dos días, con inhabilitación especial para el derecho de sufragio pasivo por tiempo de la condena, así como a la pena de inhabilitación absoluta por tiempo de quince años y dos días, con privación definitiva de todos los honores, empleos y cargos públicos, aunque sean electivos, e incapacidad para obtener estos o cualesquiera otros honores, y la de ser elegida para cargo público por tiempo de la condena; (ii) la sentencia de la Sala de lo Penal del Tribunal Supremo núm. 749/2022, de 13 de septiembre, que desestima el recurso de casación formulado por el demandante de amparo frente a la anterior (recurso de casación núm. 601-2020); y (iii) el auto del mismo órgano judicial de 16 de febrero de 2023, que inadmite el incidente de nulidad de actuaciones interpuesto frente a la citada sentencia desestimatoria.</w:t>
      </w:r>
    </w:p>
    <w:p w14:paraId="4C2BE789" w14:textId="77777777" w:rsidR="00F64776" w:rsidRDefault="00F64776" w:rsidP="00F64776">
      <w:pPr>
        <w:pStyle w:val="TextoNormal"/>
      </w:pPr>
    </w:p>
    <w:p w14:paraId="0805A8E7" w14:textId="77777777" w:rsidR="00F64776" w:rsidRDefault="00F64776" w:rsidP="00F64776">
      <w:pPr>
        <w:pStyle w:val="TextoNormal"/>
      </w:pPr>
      <w:r>
        <w:t xml:space="preserve">En la demanda de amparo se alegan las siguientes vulneraciones de derechos fundamentales: (i) del derecho a un proceso con todas las garantías y al juez ordinario predeterminado por la ley (art. 24.2 CE), derivada de la falta de competencia jurisdiccional de los órganos judiciales ordinarios para valorar la acción del Consejo de Gobierno en la fase prelegislativa y para enjuiciar actos de naturaleza legislativa, lo que corresponde exclusivamente al Tribunal Constitucional; (ii) del derecho a la legalidad penal (art. 25.1 CE), derivada de la interpretación extensiva e </w:t>
      </w:r>
      <w:r w:rsidRPr="00F64776">
        <w:rPr>
          <w:i/>
        </w:rPr>
        <w:t>in malam partem</w:t>
      </w:r>
      <w:r>
        <w:t xml:space="preserve"> del elemento objetivo del delito de prevaricación del art. 404 del Código penal (CP), al no existir “resolución en asunto administrativo” y al ser calificados de ilegales los proyectos de ley de presupuestos aprobados por el Consejo de Gobierno; (iii) del derecho a la legalidad penal (art. 25.1 CE), por la indebida subsunción de los hechos probados en el delito de malversación del art. 432 CP y por la interpretación extensiva e </w:t>
      </w:r>
      <w:r w:rsidRPr="00F64776">
        <w:rPr>
          <w:i/>
        </w:rPr>
        <w:t>in malam partem</w:t>
      </w:r>
      <w:r>
        <w:t xml:space="preserve"> de los elementos de este tipo penal; (iv) del derecho a la presunción de inocencia (art. 24.2 CE), en relación con el derecho a la libertad (art. 17.1 CE) en cuanto la condena por el delito de malversación carece de prueba de cargo suficiente sobre el elemento subjetivo (dolo eventual) y se funda en indicios que no son unívocos, ni concluyentes; (v) de los derechos a un proceso con todas las garantías (art. 24.2 CE), a la tutela judicial efectiva sin indefensión (art. 24.1 CE) y a la legalidad penal (art. 25.1 CE), en cuanto la sentencia de casación introduce elementos fácticos nuevos en relación con el delito de malversación, que carecen de sustrato probatorio e implican un nuevo juicio de tipicidad; (vi) de los derechos a la legalidad penal (art. 25.1 CE), a la tutela judicial efectiva (art. 24.1 CE), a un proceso con todas las garantías (art. 24.2 CE) y a la presunción de inocencia (art. 24.2 CE), pues la demandante ha sido condenada por un delito de malversación con base en un juicio de culpabilidad realizado </w:t>
      </w:r>
      <w:r w:rsidRPr="00F64776">
        <w:rPr>
          <w:i/>
        </w:rPr>
        <w:t>ex novo</w:t>
      </w:r>
      <w:r>
        <w:t xml:space="preserve"> en casación y completamente imprevisible; (vii) de los derechos a la presunción de inocencia, en su dimensión extraprocesal (arts. 24.2 y 18.1 CE), a un proceso con todas las garantías (art. 24.2 CE) y a la tutela judicial efectiva (art. 24.1 CE) en cuanto la publicación anticipada del fallo de la sentencia de casación, antes de ser notificada a la demandante, equivaldría a una declaración pública de culpabilidad sin sentencia.</w:t>
      </w:r>
    </w:p>
    <w:p w14:paraId="54E4D12E" w14:textId="77777777" w:rsidR="00F64776" w:rsidRDefault="00F64776" w:rsidP="00F64776">
      <w:pPr>
        <w:pStyle w:val="TextoNormal"/>
      </w:pPr>
    </w:p>
    <w:p w14:paraId="3656AA70" w14:textId="2EFC4FE5" w:rsidR="00F64776" w:rsidRDefault="00F64776" w:rsidP="00F64776">
      <w:pPr>
        <w:pStyle w:val="TextoNormal"/>
      </w:pPr>
      <w:r>
        <w:t>Asimismo, se solicita por otrosí, al amparo del art. 56.2 de la Ley Orgánica del Tribunal Constitucional (LOTC), que se suspenda la ejecución de la pena privativa de libertad impuesta, argumentando que: (i) la demandante se encuentra cumpliendo dicha pena desde que ingresó, a requerimiento judicial, en el centro penitenciario el 28 de diciembre de 2022; (ii) la privación de libertad impuesta en el proceso penal es, por concepto, irreparable, lo que, en sí mismo, justifica “la esencial irreparabilidad de los perjuicios que ocasiona”; (iii) la suspensión no determinaría ninguna perturbación grave de un interés constitucionalmente protegido, ni en particular para la ejecución de las resoluciones judiciales, pues la recurrente siempre ha estado a disposición de la justicia penal, pudiendo adoptarse, en todo caso, las medidas de aseguramiento que se estimen pertinentes; (iv) aunque el Tribunal Constitucional ha limitado, con carácter general, la suspensión de la pena privativa de libertad a aquellas que no son superiores a cinco años, ha admitido excepciones a esta regla (con cita, entre otras resoluciones, de los AATC 60/2020, de 17 de junio y 18/2011, de 28 de febrero); (v) en este caso, los hechos se cometieron entre 2004 y 2009, hace más de catorce años, y la recurrente ha estado en todo momento a disposición de los tribunales, lo que justificaría, según se alega, la suspensión de la pena, pese a superar esta el límite de cinco años aludido; (vi) no hay, finalmente, perturbación grave de derechos fundamentales o de intereses de terceros, pues la sentencia condenatoria no contiene pronunciamientos relativos a terceros afectados ni establece responsabilidad civil alguna.</w:t>
      </w:r>
    </w:p>
    <w:p w14:paraId="16281448" w14:textId="77777777" w:rsidR="00F64776" w:rsidRDefault="00F64776" w:rsidP="00F64776">
      <w:pPr>
        <w:pStyle w:val="TextoNormal"/>
      </w:pPr>
    </w:p>
    <w:p w14:paraId="0B6BE722" w14:textId="77777777" w:rsidR="00F64776" w:rsidRDefault="00F64776" w:rsidP="00F64776">
      <w:pPr>
        <w:pStyle w:val="TextoNormal"/>
      </w:pPr>
      <w:r w:rsidRPr="00F64776">
        <w:rPr>
          <w:rStyle w:val="NumeroAFNegritaCaracter"/>
        </w:rPr>
        <w:t>2</w:t>
      </w:r>
      <w:r>
        <w:t>. La Sala Segunda del Tribunal Constitucional, por ATC 293/2023, de 5 de junio, de conformidad con el art. 11.2 LOTC, avocó para sí la decisión de admisión a trámite del presente recurso de amparo y acordó su procedencia, apreciando que concurre en el mismo especial trascendencia constitucional (art. 50.1 LOTC), porque el recurso plantea un problema o afecta a una faceta de un derecho fundamental sobre el que no hay doctrina de este tribunal [STC 155/2009, de 25 de junio, FJ 2 a)] y porque el asunto suscitado trasciende del caso concreto porque plantea una cuestión jurídica de relevante y general repercusión social y tiene unas consecuencias políticas generales [STC 155/2009, FJ 2 g)]. Además, en la misma resolución se decidió la formación de pieza separada de suspensión, y, en ella, conceder un plazo de tres días al Ministerio Fiscal y al solicitante de amparo para que efectuaran alegaciones respecto a dicha petición. Se acordó, asimismo, proponer la avocación al Pleno del conocimiento del presente recurso de amparo.</w:t>
      </w:r>
    </w:p>
    <w:p w14:paraId="0F36B29F" w14:textId="77777777" w:rsidR="00F64776" w:rsidRDefault="00F64776" w:rsidP="00F64776">
      <w:pPr>
        <w:pStyle w:val="TextoNormal"/>
      </w:pPr>
    </w:p>
    <w:p w14:paraId="57B9528C" w14:textId="406F3B94" w:rsidR="00F64776" w:rsidRDefault="00F64776" w:rsidP="00F64776">
      <w:pPr>
        <w:pStyle w:val="TextoNormal"/>
      </w:pPr>
      <w:r>
        <w:t>El Pleno, en su reunión de 20 de junio de 2023, acordó recabar para sí el conocimiento del recurso de amparo.</w:t>
      </w:r>
    </w:p>
    <w:p w14:paraId="63F453AE" w14:textId="77777777" w:rsidR="00F64776" w:rsidRDefault="00F64776" w:rsidP="00F64776">
      <w:pPr>
        <w:pStyle w:val="TextoNormal"/>
      </w:pPr>
    </w:p>
    <w:p w14:paraId="08BF256C" w14:textId="36FAFDF3" w:rsidR="00F64776" w:rsidRDefault="00F64776" w:rsidP="00F64776">
      <w:pPr>
        <w:pStyle w:val="TextoNormal"/>
      </w:pPr>
      <w:r w:rsidRPr="00F64776">
        <w:rPr>
          <w:rStyle w:val="NumeroAFNegritaCaracter"/>
        </w:rPr>
        <w:t>3</w:t>
      </w:r>
      <w:r>
        <w:t>. La representación procesal de la recurrente presentó sus alegaciones mediante escrito registrado en este tribunal el 14 de junio de 2023. En ellas vuelve a señalar que no estamos ante un perjuicio de tipo económico, sino ante una privación de libertad que “no hay modo de reparar” y que “dura ya seis meses desde el ingreso en centro penitenciario”. Insiste en que el límite general fijado en la doctrina del Tribunal según el cual no pueden suspenderse las penas privativas de libertad superiores a cinco años admite excepciones y que “en algunas ocasiones este Alto Tribunal ha valorado como factor de ponderación el periodo de tiempo en que ha estado privado el recurrente y el tiempo razonable que la sustanciación del propio recurso debe necesariamente conllevar”. En el caso de la recurrente, si se descuenta a la pena impuesta en sentencia el tiempo de pena ya cumplido (seis meses) y se pondera, asimismo, la previsible duración de la tramitación del proceso de amparo, nos encontraríamos ante una privación de libertad inferior a los cinco años de prisión. A ello se añade que la recurrente ha sido condenada por hechos “que van desde el año 2004 al año 2009, es decir, desde que acontecieron han transcurrido más de catorce años” y que “ha estado siempre a disposición de la justicia”, incluso “en los momentos en que era conocedora de la sentencia firme que le condenaba”. No habría, finalmente, perjuicio alguno para derechos o intereses de terceros, pues en el proceso penal tramitado “se han excluido los pronunciamientos acerca de los terceros afectados” ni tampoco “se ha establecido ningún género de responsabilidad civil al haberse reservado las acciones la administración afectada”.</w:t>
      </w:r>
    </w:p>
    <w:p w14:paraId="083BDA50" w14:textId="77777777" w:rsidR="00F64776" w:rsidRDefault="00F64776" w:rsidP="00F64776">
      <w:pPr>
        <w:pStyle w:val="TextoNormal"/>
      </w:pPr>
    </w:p>
    <w:p w14:paraId="6BF5851C" w14:textId="0269E218" w:rsidR="00F64776" w:rsidRDefault="00F64776" w:rsidP="00F64776">
      <w:pPr>
        <w:pStyle w:val="TextoNormal"/>
      </w:pPr>
      <w:r w:rsidRPr="00F64776">
        <w:rPr>
          <w:rStyle w:val="NumeroAFNegritaCaracter"/>
        </w:rPr>
        <w:t>4</w:t>
      </w:r>
      <w:r>
        <w:t>. El Ministerio Fiscal, por escrito registrado el día 30 de junio de 2023, presentó alegaciones en las que interesó la desestimación de la pretensión de suspensión. Tras resumir los antecedentes del asunto y la doctrina del Tribunal Constitucional, considera el fiscal que la pretensión cautelar no puede ser otorgada “dada la notable extensión de la pena impuesta (más de seis años) y dado que el tiempo de privación de libertad cumplido (unos seis meses) carece de entidad bastante para justificar la suspensión solicitada”. A ello se añade, a juicio del fiscal: (i) el grave perjuicio ocasionado a los bienes jurídicos protegidos por los delitos atribuidos en la sentencia condenatoria; y (ii) la indiscutible trascendencia social que poseen los hechos sancionados. Por todo ello, el fiscal interesa que el Pleno “dicte resolución por la que se desestime la pretensión de suspensión ejercitada por la representación procesal de doña Carmen Martínez Aguayo en esta vía de amparo”.</w:t>
      </w:r>
    </w:p>
    <w:p w14:paraId="093EC99C" w14:textId="77777777" w:rsidR="00F64776" w:rsidRDefault="00F64776" w:rsidP="00F64776">
      <w:pPr>
        <w:pStyle w:val="TextoNormal"/>
      </w:pPr>
    </w:p>
    <w:p w14:paraId="67ED406B" w14:textId="4620C1C8" w:rsidR="00F64776" w:rsidRDefault="00F64776" w:rsidP="00F64776">
      <w:pPr>
        <w:pStyle w:val="TextoNormal"/>
      </w:pPr>
      <w:r w:rsidRPr="00F64776">
        <w:rPr>
          <w:rStyle w:val="NumeroAFNegritaCaracter"/>
        </w:rPr>
        <w:t>5</w:t>
      </w:r>
      <w:r>
        <w:t>. La representación procesal del Partido Popular, a la que se ha tenido por personada y parte en la pieza principal por diligencia de ordenación de 27 de julio de 2023 del secretario de justicia del Pleno, presentó alegaciones en esta pieza separada el 1 de septiembre de 2023 en las que solicita la desestimación de las solicitudes de suspensión cautelar de las penas de prisión deducidas en sus recursos de amparo por los condenados en la causa antecedente, cuando se trate de penas de duración superior a los cinco años, conforme al criterio asentado en la doctrina constitucional (AATC 95/2019, de 23 de julio, FJ 2; 94/2020, de 10 de septiembre; 100/2022, de 16 de junio, y 130/2022, de 10 de octubre) de ponderar el interés general que se vería afectado por la medida cautelar en función de la gravedad de la pena concretamente impuesta, según exceda o no dicho límite temporal, salvo concurrencia de circunstancias excepcionales, que la parte entiende que no concurren en ninguno de ellos.</w:t>
      </w:r>
    </w:p>
    <w:p w14:paraId="13959B39" w14:textId="77777777" w:rsidR="00F64776" w:rsidRDefault="00F64776" w:rsidP="00F64776">
      <w:pPr>
        <w:pStyle w:val="TextoNormal"/>
      </w:pPr>
    </w:p>
    <w:p w14:paraId="7FDCDD00" w14:textId="77777777" w:rsidR="00F64776" w:rsidRDefault="00F64776" w:rsidP="00F64776">
      <w:pPr>
        <w:pStyle w:val="TextoNormalNegritaCentrado"/>
        <w:keepNext/>
      </w:pPr>
      <w:r>
        <w:t>II. Fundamentos jurídicos</w:t>
      </w:r>
    </w:p>
    <w:p w14:paraId="14187C67" w14:textId="0A692C80" w:rsidR="00F64776" w:rsidRDefault="00F64776" w:rsidP="00F64776">
      <w:pPr>
        <w:pStyle w:val="TextoNormalNegritaCentrado"/>
        <w:keepNext/>
      </w:pPr>
    </w:p>
    <w:p w14:paraId="7F2903D1" w14:textId="77777777" w:rsidR="00F64776" w:rsidRDefault="00F64776" w:rsidP="00F64776">
      <w:pPr>
        <w:pStyle w:val="TextoNormal"/>
      </w:pPr>
      <w:r w:rsidRPr="00F64776">
        <w:rPr>
          <w:rStyle w:val="NumeroAFNegritaCaracter"/>
        </w:rPr>
        <w:t>1</w:t>
      </w:r>
      <w:r>
        <w:t>. El objeto de esta pieza es determinar la procedencia de la suspensión de las resoluciones judiciales impugnadas en el único extremo solicitado por la recurrente de la pena privativa de libertad de seis años y dos días que le fue impuesta como autora de un delito de prevaricación en concurso medial con un delito de malversación agravada.</w:t>
      </w:r>
    </w:p>
    <w:p w14:paraId="68E77290" w14:textId="77777777" w:rsidR="00F64776" w:rsidRDefault="00F64776" w:rsidP="00F64776">
      <w:pPr>
        <w:pStyle w:val="TextoNormal"/>
      </w:pPr>
    </w:p>
    <w:p w14:paraId="218E53B7" w14:textId="77777777" w:rsidR="00F64776" w:rsidRDefault="00F64776" w:rsidP="00F64776">
      <w:pPr>
        <w:pStyle w:val="TextoNormal"/>
      </w:pPr>
      <w:r>
        <w:t xml:space="preserve">La recurrente de amparo afirma, al fundamentar su petición, que conoce la doctrina del Tribunal Constitucional según la cual, como regla general, las penas de prisión de duración superior a cinco años no pueden ser suspendidas en el trámite del art. 56.2 LOTC. Alega, no obstante, que la referida regla admite excepciones y que, en su caso, se dan circunstancias particulares que justifican que no sea aplicada. Argumenta, más concretamente, que los hechos por los que fue condenada ocurrieron hace más de catorce años, que siempre ha estado a disposición de la justicia, por lo que no existe ningún riesgo de fuga, y que ha cumplido ya seis meses de la pena de prisión impuesta, lo que, sumado al tiempo previsible de tramitación del recurso de amparo, determinaría que el tiempo de privación de libertad estuviera </w:t>
      </w:r>
      <w:r w:rsidRPr="00F64776">
        <w:rPr>
          <w:i/>
        </w:rPr>
        <w:t>de facto</w:t>
      </w:r>
      <w:r>
        <w:t xml:space="preserve"> por debajo del referido límite de cinco años.</w:t>
      </w:r>
    </w:p>
    <w:p w14:paraId="463F985B" w14:textId="77777777" w:rsidR="00F64776" w:rsidRDefault="00F64776" w:rsidP="00F64776">
      <w:pPr>
        <w:pStyle w:val="TextoNormal"/>
      </w:pPr>
    </w:p>
    <w:p w14:paraId="255097E5" w14:textId="6795D39E" w:rsidR="00F64776" w:rsidRDefault="00F64776" w:rsidP="00F64776">
      <w:pPr>
        <w:pStyle w:val="TextoNormal"/>
      </w:pPr>
      <w:r>
        <w:t>El Ministerio Fiscal se ha opuesto a la suspensión interesada con los argumentos que han quedado consignados en los antecedentes. El Partido Popular también ha interesado la desestimación de la pretensión cautelar formulada.</w:t>
      </w:r>
    </w:p>
    <w:p w14:paraId="45F07C3D" w14:textId="77777777" w:rsidR="00F64776" w:rsidRDefault="00F64776" w:rsidP="00F64776">
      <w:pPr>
        <w:pStyle w:val="TextoNormal"/>
      </w:pPr>
    </w:p>
    <w:p w14:paraId="0F716943" w14:textId="77777777" w:rsidR="00F64776" w:rsidRDefault="00F64776" w:rsidP="00F64776">
      <w:pPr>
        <w:pStyle w:val="TextoNormal"/>
      </w:pPr>
      <w:r w:rsidRPr="00F64776">
        <w:rPr>
          <w:rStyle w:val="NumeroAFNegritaCaracter"/>
        </w:rPr>
        <w:t>2</w:t>
      </w:r>
      <w:r>
        <w:t>. El art. 56.1 LOTC dispone que la interposición de un recurso de amparo no suspenderá los efectos del acto o sentencia impugnados, concretando el art. 56.2 LOTC que podrá acordarse la suspensión cuando su ejecución “produzca un perjuicio al recurrente que pudiera hacer perder al amparo su finalidad”. Se establece como limitación a esa facultad que “la suspensión no ocasione perturbación grave a un interés constitucionalmente protegido, ni a los derechos fundamentales o libertades de otra persona”. La regla general es, por tanto, que no procede la suspensión de los efectos de los actos o resoluciones judiciales impugnadas, en particular en lo que hace a estas últimas, porque tal suspensión acarrea la perturbación de la función jurisdiccional y supone una injerencia de la jurisdicción constitucional en las decisiones adoptadas por la jurisdicción ordinaria que, pese a poder estar justificada, ha de ser abordada con suma cautela, caso a caso, para evitar que este tribunal desempeñe funciones que le están constitucionalmente vedadas, por ser propias de la jurisdicción ordinaria (ATC 38/2018, de 22 de marzo, FJ 3, por todos).</w:t>
      </w:r>
    </w:p>
    <w:p w14:paraId="04A2B6E0" w14:textId="77777777" w:rsidR="00F64776" w:rsidRDefault="00F64776" w:rsidP="00F64776">
      <w:pPr>
        <w:pStyle w:val="TextoNormal"/>
      </w:pPr>
    </w:p>
    <w:p w14:paraId="31C1D527" w14:textId="0AC06F5B" w:rsidR="00F64776" w:rsidRDefault="00F64776" w:rsidP="00F64776">
      <w:pPr>
        <w:pStyle w:val="TextoNormal"/>
      </w:pPr>
      <w:r>
        <w:t>Las condenas privativas de libertad son uno de los casos en los que este tribunal entiende procedente acordar la suspensión de su ejecución habida cuenta de que “la libertad constituye un derecho cuya naturaleza convierte el perjuicio irrogado en irreparable, en caso de estimarse el amparo una vez cumplida parcial o totalmente la pena” (ATC 93/2018, de 17 de septiembre, FJ 1, y los autos allí indicados). La jurisprudencia constitucional, en relación con la suspensión de las penas privativas de libertad, ha venido utilizando como criterio de ponderación prioritario el de gravedad de la pena, aplicando de forma reiterada como directriz inicial la de que la pena sea superior a los cinco años de prisión, por ser la que sirve al legislador penal para diferenciar entre las penas graves y las menos graves. Junto a este criterio, el Tribunal ha venido ponderando otras circunstancias relevantes, tales como, significativamente,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(entre otros, AATC 469/2007, de 17 de diciembre, FJ 2; 16/2008, de 21 de enero, FJ 1, y 172/2008, de 23 de junio, FJ 2), circunstancias todas ellas “que expresan la reprobación que el ordenamiento asigna al hecho delictivo y, por consiguiente, la magnitud del interés general en su ejecución” (por todos, AATC 109/2008, de 14 de abril, FJ 2; 53/2009, de 23 de febrero, FJ 1, y 171/2009, de 1 de junio, FJ 1).</w:t>
      </w:r>
    </w:p>
    <w:p w14:paraId="3249C9E1" w14:textId="77777777" w:rsidR="00F64776" w:rsidRDefault="00F64776" w:rsidP="00F64776">
      <w:pPr>
        <w:pStyle w:val="TextoNormal"/>
      </w:pPr>
    </w:p>
    <w:p w14:paraId="3FB7C36B" w14:textId="77777777" w:rsidR="00F64776" w:rsidRDefault="00F64776" w:rsidP="00F64776">
      <w:pPr>
        <w:pStyle w:val="TextoNormal"/>
      </w:pPr>
      <w:r w:rsidRPr="00F64776">
        <w:rPr>
          <w:rStyle w:val="NumeroAFNegritaCaracter"/>
        </w:rPr>
        <w:t>3</w:t>
      </w:r>
      <w:r>
        <w:t>. La aplicación de dicha doctrina al supuesto que aquí se examina conduce a denegar la suspensión de la pena privativa de libertad impuesta a la recurrente dada su duración, de seis años y dos días, que es muy superior a la que este tribunal ha venido considerando como límite a partir del cual no resulta, en principio, procedente la adopción de la medida cautelar de suspensión. En todo caso, las razones dadas por la recurrente a efectos de argumentar la inaplicabilidad del aludido límite general no pueden ser acogidas pues:</w:t>
      </w:r>
    </w:p>
    <w:p w14:paraId="6CCD7428" w14:textId="77777777" w:rsidR="00F64776" w:rsidRDefault="00F64776" w:rsidP="00F64776">
      <w:pPr>
        <w:pStyle w:val="TextoNormal"/>
      </w:pPr>
    </w:p>
    <w:p w14:paraId="220E01F5" w14:textId="77777777" w:rsidR="00F64776" w:rsidRDefault="00F64776" w:rsidP="00F64776">
      <w:pPr>
        <w:pStyle w:val="TextoNormal"/>
      </w:pPr>
      <w:r>
        <w:t>a) Es cierto que el tiempo transcurrido desde la comisión de los hechos delictivos puede mitigar, en ciertos supuestos, el interés público en la ejecución de las resoluciones penales condenatorias. No obstante, no es ese el supuesto de los procesos ligados a la corrupción política (en el caso que nos ocupa, delitos continuados contra la administración pública cometidos a lo largo de un extenso período de tiempo y con incidencia en toda la comunidad autónoma), en los que la instrucción suele dilatarse por la complejidad de la materia investigada y en los que la confianza ciudadana en el correcto funcionamiento de las instituciones públicas se ve menoscabada si también se demora la posterior ejecución de la resolución condenatoria firme. Operan, en definitiva, razones específicas de prevención general, ligadas a la confianza ciudadana en la efectividad del Estado de Derecho.</w:t>
      </w:r>
    </w:p>
    <w:p w14:paraId="293095D1" w14:textId="77777777" w:rsidR="00F64776" w:rsidRDefault="00F64776" w:rsidP="00F64776">
      <w:pPr>
        <w:pStyle w:val="TextoNormal"/>
      </w:pPr>
    </w:p>
    <w:p w14:paraId="3D5A340C" w14:textId="77777777" w:rsidR="00F64776" w:rsidRDefault="00F64776" w:rsidP="00F64776">
      <w:pPr>
        <w:pStyle w:val="TextoNormal"/>
      </w:pPr>
      <w:r>
        <w:t>b) En cuanto al cómputo del tiempo restante de condena, ha de señalarse lo siguiente: (i) de un lado, ni siquiera el descuento de los seis meses de prisión ya cumplidos determinaría un tiempo de cumplimiento de la pena privativa de liberad inferior a cinco años; (ii) de otro, el tiempo que haya de invertirse en la tramitación del recurso de amparo no es, en sí mismo, una circunstancia excepcional. Que el proceso de amparo haya de tramitarse es un rasgo inherente al incidente de suspensión previsto en el art. 56.2 LOTC, que va ligado a una previa decisión de admisión a trámite. Por ello, salvo que concurra objetivamente una razón que permita prever una duración excepcional, ha de considerarse que el tiempo ordinario de duración del proceso de amparo está ya contemplado en el límite general (de cinco años) establecido en nuestra doctrina en relación con la suspensión de las resoluciones judiciales que imponen penas privativas de libertad.</w:t>
      </w:r>
    </w:p>
    <w:p w14:paraId="2BFC9B4E" w14:textId="77777777" w:rsidR="00F64776" w:rsidRDefault="00F64776" w:rsidP="00F64776">
      <w:pPr>
        <w:pStyle w:val="TextoNormal"/>
      </w:pPr>
    </w:p>
    <w:p w14:paraId="0849F386" w14:textId="77777777" w:rsidR="00F64776" w:rsidRDefault="00F64776" w:rsidP="00F64776">
      <w:pPr>
        <w:pStyle w:val="TextoNormal"/>
      </w:pPr>
      <w:r>
        <w:t>c) Finalmente, la inexistencia de riesgo de sustracción de la acción de la justicia debe ser valorada “como una condición necesaria para que proceda la suspensión del cumplimento de las privativas de libertad, pero no suficiente por sí sola, pues conforme a la doctrina establecida por este tribunal también deben concurrir los restantes requisitos en ella establecidos” (ATC 60/2020, de 17 de junio). Este tribunal ha recordado, de hecho, que, a diferencia de lo que ocurre en los supuestos de prisión provisional, una vez “impuesta la privación de libertad como condena, esto es, destruida formalmente la presunción de inocencia […], lo que nos compete valorar no es el riesgo de fuga o la posibilidad de que la sentencia sea o no finalmente cumplida, sino la procedencia de suspender la ejecución a la vista del interés general concurrente en la misma” [ATC 256/2001, de 1 de octubre, FJ 3 c)].</w:t>
      </w:r>
    </w:p>
    <w:p w14:paraId="3A6D2B5A" w14:textId="77777777" w:rsidR="00F64776" w:rsidRDefault="00F64776" w:rsidP="00F64776">
      <w:pPr>
        <w:pStyle w:val="TextoNormal"/>
      </w:pPr>
    </w:p>
    <w:p w14:paraId="50606384" w14:textId="68850A9B" w:rsidR="00F64776" w:rsidRDefault="00F64776" w:rsidP="00F64776">
      <w:pPr>
        <w:pStyle w:val="TextoNormal"/>
      </w:pPr>
      <w:r>
        <w:t>Estamos, en definitiva, ante una pena de prisión de duración netamente superior a los cinco años, sin que las razones alegadas por la actora hagan desaparecer el cualificado interés general que, en un caso como este, presenta la ejecución de la resolución condenatoria firme.</w:t>
      </w:r>
    </w:p>
    <w:p w14:paraId="1360E5EF" w14:textId="77777777" w:rsidR="00F64776" w:rsidRDefault="00F64776" w:rsidP="00F64776">
      <w:pPr>
        <w:pStyle w:val="TextoNormal"/>
      </w:pPr>
    </w:p>
    <w:p w14:paraId="10962942" w14:textId="77777777" w:rsidR="00F64776" w:rsidRDefault="00F64776" w:rsidP="00F64776">
      <w:pPr>
        <w:pStyle w:val="TextoNormal"/>
      </w:pPr>
      <w:r>
        <w:t>Por lo expuesto, el Pleno</w:t>
      </w:r>
    </w:p>
    <w:p w14:paraId="4B133588" w14:textId="3AF97F51" w:rsidR="00F64776" w:rsidRDefault="00F64776" w:rsidP="00F64776">
      <w:pPr>
        <w:pStyle w:val="TextoNormal"/>
      </w:pPr>
    </w:p>
    <w:p w14:paraId="6D0DD19F" w14:textId="77777777" w:rsidR="00F64776" w:rsidRDefault="00F64776" w:rsidP="00F64776">
      <w:pPr>
        <w:pStyle w:val="TextoNormalCentrado"/>
      </w:pPr>
      <w:r>
        <w:t>ACUERDA</w:t>
      </w:r>
    </w:p>
    <w:p w14:paraId="37C7D65D" w14:textId="08778AA0" w:rsidR="00F64776" w:rsidRDefault="00F64776" w:rsidP="00F64776">
      <w:pPr>
        <w:pStyle w:val="TextoNormalCentrado"/>
      </w:pPr>
    </w:p>
    <w:p w14:paraId="089EE248" w14:textId="525B9D53" w:rsidR="00F64776" w:rsidRDefault="00F64776" w:rsidP="00F64776">
      <w:pPr>
        <w:pStyle w:val="TextoNormal"/>
      </w:pPr>
      <w:r>
        <w:t>Denegar la suspensión en el recurso de amparo 2391-2023, promovido por doña Carmen Martínez Aguayo en causa penal.</w:t>
      </w:r>
    </w:p>
    <w:p w14:paraId="2776A4C3" w14:textId="77777777" w:rsidR="00F64776" w:rsidRDefault="00F64776" w:rsidP="00F64776">
      <w:pPr>
        <w:pStyle w:val="TextoNormal"/>
      </w:pPr>
    </w:p>
    <w:p w14:paraId="0B4B82CF" w14:textId="77777777" w:rsidR="00F64776" w:rsidRDefault="00F64776" w:rsidP="00F64776">
      <w:pPr>
        <w:pStyle w:val="TextoNormal"/>
      </w:pPr>
      <w:r>
        <w:t>Madrid, a veintiséis de septiembre de dos mil veintitrés.</w:t>
      </w:r>
    </w:p>
    <w:p w14:paraId="127C09F2" w14:textId="3B9642FC" w:rsidR="00F64776" w:rsidRDefault="00F64776">
      <w:pPr>
        <w:spacing w:after="160" w:line="278" w:lineRule="auto"/>
        <w:rPr>
          <w:rFonts w:ascii="Times New Roman" w:eastAsia="Times New Roman" w:hAnsi="Times New Roman" w:cs="Times New Roman"/>
          <w:sz w:val="24"/>
          <w:szCs w:val="24"/>
          <w:lang w:eastAsia="es-ES"/>
        </w:rPr>
      </w:pPr>
      <w:r>
        <w:br w:type="page"/>
      </w:r>
    </w:p>
    <w:p w14:paraId="77F21B65" w14:textId="77777777" w:rsidR="00F64776" w:rsidRDefault="00F64776" w:rsidP="00F64776">
      <w:pPr>
        <w:pStyle w:val="TtuloResolucin"/>
      </w:pPr>
      <w:bookmarkStart w:id="229" w:name="AUTO_2023_444"/>
      <w:r>
        <w:t>AUTO 444/2023, de 26 de septiembre de 2023</w:t>
      </w:r>
    </w:p>
    <w:bookmarkEnd w:id="229"/>
    <w:p w14:paraId="0B8FD8BC" w14:textId="77777777" w:rsidR="00F64776" w:rsidRDefault="00F64776" w:rsidP="00F64776">
      <w:pPr>
        <w:pStyle w:val="TtuloResolucin"/>
      </w:pPr>
      <w:r>
        <w:t>Pleno</w:t>
      </w:r>
    </w:p>
    <w:p w14:paraId="1EF9BE28" w14:textId="77777777" w:rsidR="00F64776" w:rsidRDefault="00F64776" w:rsidP="00F64776">
      <w:pPr>
        <w:pStyle w:val="TextoNormalCentrado"/>
      </w:pPr>
      <w:r>
        <w:t>ECLI:ES:TC:2023:444A</w:t>
      </w:r>
    </w:p>
    <w:p w14:paraId="7BD33294" w14:textId="70484130" w:rsidR="00F64776" w:rsidRDefault="00F64776" w:rsidP="00F64776">
      <w:pPr>
        <w:pStyle w:val="TextoNormalCentrado"/>
      </w:pPr>
    </w:p>
    <w:p w14:paraId="181090AC" w14:textId="77777777" w:rsidR="00F64776" w:rsidRDefault="00F64776" w:rsidP="00F64776">
      <w:pPr>
        <w:pStyle w:val="SntesisDescriptiva"/>
      </w:pPr>
      <w:r>
        <w:t>Excms. Srs. don Cándido Conde-Pumpido Tourón,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w:t>
      </w:r>
    </w:p>
    <w:p w14:paraId="4402F95B" w14:textId="3E7B3798" w:rsidR="00F64776" w:rsidRDefault="00F64776" w:rsidP="00F64776">
      <w:pPr>
        <w:pStyle w:val="SntesisDescriptiva"/>
      </w:pPr>
    </w:p>
    <w:p w14:paraId="77B75E61" w14:textId="77777777" w:rsidR="00F64776" w:rsidRDefault="00F64776" w:rsidP="00F64776">
      <w:pPr>
        <w:pStyle w:val="SntesisDescriptiva"/>
      </w:pPr>
      <w:r>
        <w:t>Deniega la suspensión en el recurso de amparo 2552-2023, promovido por don José Antonio Viera Chacón en causa penal.</w:t>
      </w:r>
    </w:p>
    <w:p w14:paraId="768DDFDB" w14:textId="3BD1B91D" w:rsidR="00F64776" w:rsidRDefault="00F64776" w:rsidP="00F64776">
      <w:pPr>
        <w:pStyle w:val="SntesisDescriptiva"/>
      </w:pPr>
    </w:p>
    <w:p w14:paraId="0BC4F486" w14:textId="77777777" w:rsidR="00F64776" w:rsidRDefault="00F64776" w:rsidP="00F64776">
      <w:pPr>
        <w:pStyle w:val="SntesisDescriptiva"/>
      </w:pPr>
    </w:p>
    <w:p w14:paraId="04CF3394" w14:textId="77777777" w:rsidR="00F64776" w:rsidRDefault="00F64776" w:rsidP="00F64776">
      <w:pPr>
        <w:pStyle w:val="SntesisDescriptiva"/>
      </w:pPr>
    </w:p>
    <w:p w14:paraId="3C31B7DA" w14:textId="77777777" w:rsidR="00F64776" w:rsidRDefault="00F64776" w:rsidP="00F64776">
      <w:pPr>
        <w:pStyle w:val="TextoNormalNegritaCentrado"/>
      </w:pPr>
      <w:r>
        <w:t>AUTO</w:t>
      </w:r>
    </w:p>
    <w:p w14:paraId="12999086" w14:textId="284A0F17" w:rsidR="00F64776" w:rsidRDefault="00F64776" w:rsidP="00F64776">
      <w:pPr>
        <w:pStyle w:val="TextoNormalNegritaCentrado"/>
      </w:pPr>
    </w:p>
    <w:p w14:paraId="070FC4FF" w14:textId="77777777" w:rsidR="00F64776" w:rsidRDefault="00F64776" w:rsidP="00F64776">
      <w:pPr>
        <w:pStyle w:val="TextoNormalNegritaCentrado"/>
        <w:keepNext/>
      </w:pPr>
      <w:r>
        <w:t>I. Antecedentes</w:t>
      </w:r>
    </w:p>
    <w:p w14:paraId="6E8C125B" w14:textId="0EA91177" w:rsidR="00F64776" w:rsidRDefault="00F64776" w:rsidP="00F64776">
      <w:pPr>
        <w:pStyle w:val="TextoNormalNegritaCentrado"/>
        <w:keepNext/>
      </w:pPr>
    </w:p>
    <w:p w14:paraId="79270E8C" w14:textId="77777777" w:rsidR="00F64776" w:rsidRDefault="00F64776" w:rsidP="00F64776">
      <w:pPr>
        <w:pStyle w:val="TextoNormal"/>
      </w:pPr>
      <w:r w:rsidRPr="00F64776">
        <w:rPr>
          <w:rStyle w:val="NumeroAFNegritaCaracter"/>
        </w:rPr>
        <w:t>1</w:t>
      </w:r>
      <w:r>
        <w:t>. El 17 de abril de 2023 la representación procesal de don José Antonio Viera Chacón interpuso recurso de amparo contra: (i) la sentencia núm. 490/2019, de 19 de noviembre, dictada por la Sección Primera de la Audiencia Provincial de Sevilla en el rollo núm. 1965-2017, dimanante del procedimiento abreviado núm. 133-2016, que le condenó como autor de un delito de prevaricación en concurso medial con un delito de malversación agravada a la pena de prisión de siete años y un día, con inhabilitación especial para el derecho de sufragio pasivo durante el tiempo de la condena, así como a la pena de inhabilitación absoluta por tiempo de dieciocho años y un día, con privación definitiva de todos los honores, empleos y cargos públicos, aunque sean electivos, e incapacidad para obtener estos o cualesquiera otros honores, cargos o empleos públicos y la de ser elegido para cargo público durante el tiempo de la condena; (ii) la sentencia de la Sala de lo Penal del Tribunal Supremo núm. 749/2022, de 13 de septiembre, que desestima el recurso de casación formulado por el demandante de amparo frente a la anterior, recurso de casación núm. 601-2020; y (iii) el auto del mismo órgano judicial de 16 de febrero de 2023, que inadmite el incidente de nulidad de actuaciones interpuesto frente a la citada sentencia desestimatoria.</w:t>
      </w:r>
    </w:p>
    <w:p w14:paraId="66A3FBD6" w14:textId="77777777" w:rsidR="00F64776" w:rsidRDefault="00F64776" w:rsidP="00F64776">
      <w:pPr>
        <w:pStyle w:val="TextoNormal"/>
      </w:pPr>
    </w:p>
    <w:p w14:paraId="19FB4D08" w14:textId="77777777" w:rsidR="00F64776" w:rsidRDefault="00F64776" w:rsidP="00F64776">
      <w:pPr>
        <w:pStyle w:val="TextoNormal"/>
      </w:pPr>
      <w:r>
        <w:t>En la demanda de amparo se alega la vulneración por parte de la sentencia condenatoria dictada por la Sección Primera de la Audiencia Provincial de Sevilla del derecho a la presunción de inocencia del art. 24.2 CE y del derecho a la tutela judicial efectiva reconocido en el art. 24.1 CE, “porque el pronunciamiento condenatorio se basa en pruebas indiciarias que no cumplen los parámetros constitucionales, al no estar sustentado en hechos base acreditados mediante prueba directa, que conduzcan inexorablemente a un juicio de inferencia inexcusable condenatoria”. En dicha vulneración habría reincidido el Tribunal Supremo “con su pronunciamiento desestimatorio del recurso de casación”.</w:t>
      </w:r>
    </w:p>
    <w:p w14:paraId="5FA2ADB6" w14:textId="77777777" w:rsidR="00F64776" w:rsidRDefault="00F64776" w:rsidP="00F64776">
      <w:pPr>
        <w:pStyle w:val="TextoNormal"/>
      </w:pPr>
    </w:p>
    <w:p w14:paraId="078F30D3" w14:textId="07F3B1D9" w:rsidR="00F64776" w:rsidRDefault="00F64776" w:rsidP="00F64776">
      <w:pPr>
        <w:pStyle w:val="TextoNormal"/>
      </w:pPr>
      <w:r>
        <w:t>Asimismo, se solicita por otrosí que se suspenda la ejecución de la sentencia condenatoria. Argumenta al respecto el recurrente que el día 1 de enero de 2023 ingresó en el centro penitenciario para el cumplimiento de la pena de prisión y que desde entonces “cada día de prisión sufre la privación del ejercicio de sus derechos fundamentales de libertad, a la integridad moral, al honor e intimidad personal y familiar y a la propia imagen”.</w:t>
      </w:r>
    </w:p>
    <w:p w14:paraId="6804176E" w14:textId="77777777" w:rsidR="00F64776" w:rsidRDefault="00F64776" w:rsidP="00F64776">
      <w:pPr>
        <w:pStyle w:val="TextoNormal"/>
      </w:pPr>
    </w:p>
    <w:p w14:paraId="17081707" w14:textId="77777777" w:rsidR="00F64776" w:rsidRDefault="00F64776" w:rsidP="00F64776">
      <w:pPr>
        <w:pStyle w:val="TextoNormal"/>
      </w:pPr>
      <w:r w:rsidRPr="00F64776">
        <w:rPr>
          <w:rStyle w:val="NumeroAFNegritaCaracter"/>
        </w:rPr>
        <w:t>2</w:t>
      </w:r>
      <w:r>
        <w:t>. La Sala Segunda del Tribunal Constitucional, por ATC 296/2023, de 5 de junio, de conformidad con el art. 11.2 de la Ley Orgánica del Tribunal Constitucional (LOTC), avocó para sí la decisión de admisión a trámite del presente recurso de amparo y acordó su admisión, apreciando que concurre en el mismo especial trascendencia constitucional (art. 50.1 LOTC), porque el recurso plantea un problema o afecta a una faceta de un derecho fundamental sobre el que no hay doctrina de este tribunal [STC 155/2009, de 25 de junio, FJ 2 a)] y porque el asunto suscitado trasciende del caso concreto porque plantea una cuestión jurídica de relevante y general repercusión social y tiene unas consecuencias políticas generales [STC 155/2009, FJ 2 g)]. Además, en la misma resolución se decidió la formación de pieza separada de suspensión y, en ella, conceder un plazo de tres días al Ministerio Fiscal y al solicitante de amparo para que efectuaran alegaciones respecto a dicha petición. Se acordó, asimismo, proponer al Pleno la avocación del conocimiento del presente recurso de amparo.</w:t>
      </w:r>
    </w:p>
    <w:p w14:paraId="33F7DCED" w14:textId="77777777" w:rsidR="00F64776" w:rsidRDefault="00F64776" w:rsidP="00F64776">
      <w:pPr>
        <w:pStyle w:val="TextoNormal"/>
      </w:pPr>
    </w:p>
    <w:p w14:paraId="2ACD4130" w14:textId="46E334BB" w:rsidR="00F64776" w:rsidRDefault="00F64776" w:rsidP="00F64776">
      <w:pPr>
        <w:pStyle w:val="TextoNormal"/>
      </w:pPr>
      <w:r>
        <w:t>El Pleno, en su reunión de 20 de junio de 2023, acordó recabar para sí el conocimiento del recurso de amparo.</w:t>
      </w:r>
    </w:p>
    <w:p w14:paraId="3E18BB41" w14:textId="77777777" w:rsidR="00F64776" w:rsidRDefault="00F64776" w:rsidP="00F64776">
      <w:pPr>
        <w:pStyle w:val="TextoNormal"/>
      </w:pPr>
    </w:p>
    <w:p w14:paraId="54D52635" w14:textId="4FC80989" w:rsidR="00F64776" w:rsidRDefault="00F64776" w:rsidP="00F64776">
      <w:pPr>
        <w:pStyle w:val="TextoNormal"/>
      </w:pPr>
      <w:r w:rsidRPr="00F64776">
        <w:rPr>
          <w:rStyle w:val="NumeroAFNegritaCaracter"/>
        </w:rPr>
        <w:t>3</w:t>
      </w:r>
      <w:r>
        <w:t>. La representación procesal del recurrente presentó sus alegaciones mediante escrito registrado en este tribunal el 14 de junio de 2023. Explica en ellas el demandante de amparo que le fue denegada la suspensión de la ejecución de la pena de prisión impuesta por la Audiencia Provincial de Sevilla, lo que determinó que ingresara en el centro penitenciario tras ser requerido al efecto el 2 de enero de 2023 y que permaneciera en él hasta el 9 de junio de 2023, cuando le fue concedida “la clasificación penitenciaria de tercer grado por enfermedad grave”, lo que determinó su traslado a un centro social de inserción, en el que actualmente permanece. Entiende el recurrente que “</w:t>
      </w:r>
      <w:r w:rsidRPr="00F64776">
        <w:rPr>
          <w:i/>
        </w:rPr>
        <w:t>ab initio</w:t>
      </w:r>
      <w:r>
        <w:t xml:space="preserve"> se cumplían los requisitos o presupuestos legales exigidos por el art. 4.4 CP para la concesión del beneficio de la tutela que se demandaba mediante la suspensión de la ejecución de la pena”, y que esa suspensión le fue denegada injustamente. Como circunstancias determinantes de la procedencia de la suspensión alega que tiene actualmente setenta y siete años, que ha carecido toda su vida de antecedentes penales, que tiene “una impecable hoja de servicios como servidor público” y que sufre “una enfermedad grave” recientemente diagnosticada. Considera que, en esas circunstancias, el cumplimiento de la pena le ocasionaría un perjuicio irreparable.</w:t>
      </w:r>
    </w:p>
    <w:p w14:paraId="7583B326" w14:textId="77777777" w:rsidR="00F64776" w:rsidRDefault="00F64776" w:rsidP="00F64776">
      <w:pPr>
        <w:pStyle w:val="TextoNormal"/>
      </w:pPr>
    </w:p>
    <w:p w14:paraId="44005167" w14:textId="1852877F" w:rsidR="00F64776" w:rsidRDefault="00F64776" w:rsidP="00F64776">
      <w:pPr>
        <w:pStyle w:val="TextoNormal"/>
      </w:pPr>
      <w:r w:rsidRPr="00F64776">
        <w:rPr>
          <w:rStyle w:val="NumeroAFNegritaCaracter"/>
        </w:rPr>
        <w:t>4</w:t>
      </w:r>
      <w:r>
        <w:t>. El Ministerio Fiscal, por escrito registrado el día 30 de junio de 2023, presentó alegaciones en las que interesó la desestimación de la solicitud de suspensión. Tras extractar los antecedentes del asunto y sintetizar la doctrina del Tribunal Constitucional sobre la suspensión, al amparo del art. 56.2 LOTC, de las resoluciones judiciales que imponen penas privativas de libertad, la fiscal señala que la pena impuesta al recurrente es de siete años y un día de prisión, “lo cual excede en dos años al límite de los cinco años que la reiterada doctrina del Tribunal Constitucional establece como criterio general para valorar la procedencia de la suspensión de su ejecución”. Considera que se trata de una “pena grave”, que se impone por delitos que afectan a “intereses generales relevantes”, en relación, además, con unos hechos “que han tenido una importante repercusión social”. El solicitante de la suspensión ya está cumpliendo la pena y le restan “unos seis años y cinco meses” de cumplimiento. Además, la afectación del derecho fundamental a la libertad “se ha visto atenuada en cuanto que, como ha puesto de manifiesto el recurrente, ha sido clasificado en tercer grado penitenciario” y ha sido trasladado a un centro de reinserción social. Esto puede permitir, asimismo, un “mejor tratamiento de la enfermedad que dice le ha sido diagnosticada”. Interesa, por ello, la fiscal que la suspensión sea denegada.</w:t>
      </w:r>
    </w:p>
    <w:p w14:paraId="6D8D880E" w14:textId="77777777" w:rsidR="00F64776" w:rsidRDefault="00F64776" w:rsidP="00F64776">
      <w:pPr>
        <w:pStyle w:val="TextoNormal"/>
      </w:pPr>
    </w:p>
    <w:p w14:paraId="241D04E0" w14:textId="3983B0CD" w:rsidR="00F64776" w:rsidRDefault="00F64776" w:rsidP="00F64776">
      <w:pPr>
        <w:pStyle w:val="TextoNormal"/>
      </w:pPr>
      <w:r w:rsidRPr="00F64776">
        <w:rPr>
          <w:rStyle w:val="NumeroAFNegritaCaracter"/>
        </w:rPr>
        <w:t>5</w:t>
      </w:r>
      <w:r>
        <w:t>. La representación procesal del Partido Popular, a la que se ha tenido por personada y parte en la pieza principal por diligencia de ordenación de 27 de julio de 2023 del secretario de justicia del Pleno, presentó alegaciones en esta pieza separada el 1 de septiembre de 2023 en las que solicita la desestimación de las solicitudes de suspensión cautelar de las penas de prisión deducidas en sus recursos de amparo por los condenados en la causa antecedente, cuando se trate de penas de duración superior a los cinco años, conforme al criterio asentado en la doctrina constitucional (AATC 95/2019, de 23 de julio, FJ 2; 94/2020, de 10 de septiembre; 100/2022, de 16 de junio, y 130/2022, de 10 de octubre) de ponderar el interés general que se vería afectado por la medida cautelar en función de la gravedad de la pena concretamente impuesta, según exceda o no dicho límite temporal, salvo concurrencia de circunstancias excepcionales, que la parte entiende que no concurren en ninguno de ellos.</w:t>
      </w:r>
    </w:p>
    <w:p w14:paraId="1F255452" w14:textId="77777777" w:rsidR="00F64776" w:rsidRDefault="00F64776" w:rsidP="00F64776">
      <w:pPr>
        <w:pStyle w:val="TextoNormal"/>
      </w:pPr>
    </w:p>
    <w:p w14:paraId="04C62579" w14:textId="77777777" w:rsidR="00F64776" w:rsidRDefault="00F64776" w:rsidP="00F64776">
      <w:pPr>
        <w:pStyle w:val="TextoNormalNegritaCentrado"/>
        <w:keepNext/>
      </w:pPr>
      <w:r>
        <w:t>II. Fundamentos jurídicos</w:t>
      </w:r>
    </w:p>
    <w:p w14:paraId="5922B2D4" w14:textId="23335EBC" w:rsidR="00F64776" w:rsidRDefault="00F64776" w:rsidP="00F64776">
      <w:pPr>
        <w:pStyle w:val="TextoNormalNegritaCentrado"/>
        <w:keepNext/>
      </w:pPr>
    </w:p>
    <w:p w14:paraId="51D58C6E" w14:textId="40C92A6E" w:rsidR="00F64776" w:rsidRDefault="00F64776" w:rsidP="00F64776">
      <w:pPr>
        <w:pStyle w:val="TextoNormal"/>
      </w:pPr>
      <w:r w:rsidRPr="00F64776">
        <w:rPr>
          <w:rStyle w:val="NumeroAFNegritaCaracter"/>
        </w:rPr>
        <w:t>1</w:t>
      </w:r>
      <w:r>
        <w:t>. El objeto de esta pieza es determinar la procedencia de la suspensión de las resoluciones judiciales impugnadas en el único extremo solicitado por el recurrente de la pena privativa de libertad de siete años y un día que le fue impuesta como autor de un delito de prevaricación en concurso medial con un delito de malversación agravada. El recurrente funda su petición en sus circunstancias personales, ya que tiene setenta y siete años, señala que ha tenido, hasta la condena de la que deriva el presente recurso de amparo, una conducta intachable como servidor público y que padece una enfermedad grave recientemente diagnosticada. El Ministerio Fiscal ha interesado la desestimación de la petición de suspensión por las razones que han quedado consignadas en los antecedentes. El Partido Popular también ha interesado la desestimación de la pretensión cautelar formulada.</w:t>
      </w:r>
    </w:p>
    <w:p w14:paraId="06C46C64" w14:textId="77777777" w:rsidR="00F64776" w:rsidRDefault="00F64776" w:rsidP="00F64776">
      <w:pPr>
        <w:pStyle w:val="TextoNormal"/>
      </w:pPr>
    </w:p>
    <w:p w14:paraId="583D3625" w14:textId="77777777" w:rsidR="00F64776" w:rsidRDefault="00F64776" w:rsidP="00F64776">
      <w:pPr>
        <w:pStyle w:val="TextoNormal"/>
      </w:pPr>
      <w:r w:rsidRPr="00F64776">
        <w:rPr>
          <w:rStyle w:val="NumeroAFNegritaCaracter"/>
        </w:rPr>
        <w:t>2</w:t>
      </w:r>
      <w:r>
        <w:t>. El art. 56.1 LOTC dispone que la interposición de un recurso de amparo no suspenderá los efectos del acto o sentencia impugnados, concretando el art. 56.2 LOTC que podrá acordarse la suspensión cuando su ejecución “produzca un perjuicio al recurrente que pudiera hacer perder al amparo su finalidad”. Se establece como limitación a esa facultad que “la suspensión no ocasione perturbación grave a un interés constitucionalmente protegido, ni a los derechos fundamentales o libertades de otra persona”. La regla general es, por tanto, que no procede la suspensión de los efectos de los actos o resoluciones judiciales impugnadas, en particular en lo que hace a estas últimas, porque tal suspensión acarrea la perturbación de la función jurisdiccional y supone una injerencia de la jurisdicción constitucional en las decisiones adoptadas por la jurisdicción ordinaria que, pese a poder estar justificada, ha de ser abordada con suma cautela, caso a caso, para evitar que este tribunal desempeñe funciones que le están constitucionalmente vedadas, por ser propias de la jurisdicción ordinaria (ATC 38/2018, de 22 de marzo, FJ 3, por todos).</w:t>
      </w:r>
    </w:p>
    <w:p w14:paraId="6E80D506" w14:textId="77777777" w:rsidR="00F64776" w:rsidRDefault="00F64776" w:rsidP="00F64776">
      <w:pPr>
        <w:pStyle w:val="TextoNormal"/>
      </w:pPr>
    </w:p>
    <w:p w14:paraId="782EDABF" w14:textId="09E15225" w:rsidR="00F64776" w:rsidRDefault="00F64776" w:rsidP="00F64776">
      <w:pPr>
        <w:pStyle w:val="TextoNormal"/>
      </w:pPr>
      <w:r>
        <w:t>Las condenas privativas de libertad son uno de los casos en los que este tribunal entiende procedente acordar la suspensión de su ejecución habida cuenta de que “la libertad constituye un derecho cuya naturaleza convierte el perjuicio irrogado en irreparable, en caso de estimarse el amparo una vez cumplida parcial o totalmente la pena” (ATC 93/2018, de 17 de septiembre, FJ 1, y los autos allí indicados). La jurisprudencia constitucional, en relación con la suspensión de las penas privativas de libertad, ha venido utilizando como criterio de ponderación prioritario el de gravedad de la pena, aplicando de forma reiterada como directriz inicial la de que la pena sea superior a los cinco años de prisión, por ser la que sirve al legislador penal para diferenciar entre las penas graves y las menos graves. Junto a este criterio, el Tribunal ha venido ponderando otras circunstancias relevantes, tales como, significativamente,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(entre otros, AATC 469/2007, de 17 de diciembre, FJ 2; 16/2008, de 21 de enero, FJ 1, y 172/2008, de 23 de junio, FJ 2), circunstancias todas ellas que expresan “la reprobación que el ordenamiento asigna al hecho delictivo y, por consiguiente, la magnitud del interés general en su ejecución” (por todos, AATC 109/2008, de 14 de abril, FJ 2; 53/2009, de 23 de febrero, FJ 1, y 171/2009, de 1 de junio, FJ 1).</w:t>
      </w:r>
    </w:p>
    <w:p w14:paraId="72241243" w14:textId="77777777" w:rsidR="00F64776" w:rsidRDefault="00F64776" w:rsidP="00F64776">
      <w:pPr>
        <w:pStyle w:val="TextoNormal"/>
      </w:pPr>
    </w:p>
    <w:p w14:paraId="21F43A29" w14:textId="77777777" w:rsidR="00F64776" w:rsidRDefault="00F64776" w:rsidP="00F64776">
      <w:pPr>
        <w:pStyle w:val="TextoNormal"/>
      </w:pPr>
      <w:r w:rsidRPr="00F64776">
        <w:rPr>
          <w:rStyle w:val="NumeroAFNegritaCaracter"/>
        </w:rPr>
        <w:t>3</w:t>
      </w:r>
      <w:r>
        <w:t>. La aplicación de dicha doctrina al supuesto que aquí se examina conduce a denegar la suspensión de la pena privativa de libertad impuesta al recurrente dada su duración, de siete años y un día, que es muy superior a la que este tribunal ha venido considerando como límite a partir del cual no resulta, en principio, procedente la adopción de la medida cautelar de suspensión. Junto a la gravedad de la pena, también la naturaleza, gravedad y trascendencia social de los hechos enjuiciados operan como parámetro decisivo para no acceder a la suspensión interesada, en tanto que el recurrente fue condenado por delitos continuados contra la administración pública cometidos a lo largo de un extenso período de tiempo y con incidencia en toda la comunidad autónoma.</w:t>
      </w:r>
    </w:p>
    <w:p w14:paraId="7C0CBF5E" w14:textId="77777777" w:rsidR="00F64776" w:rsidRDefault="00F64776" w:rsidP="00F64776">
      <w:pPr>
        <w:pStyle w:val="TextoNormal"/>
      </w:pPr>
    </w:p>
    <w:p w14:paraId="06871D1A" w14:textId="77777777" w:rsidR="00F64776" w:rsidRDefault="00F64776" w:rsidP="00F64776">
      <w:pPr>
        <w:pStyle w:val="TextoNormal"/>
      </w:pPr>
      <w:r>
        <w:t>El recurrente únicamente ha alegado circunstancias personales (edad, conducta previa y enfermedad recientemente diagnosticada) que ya han sido tenidas en cuenta por la administración penitenciaria para adaptar el régimen de cumplimiento de la pena privativa de libertad impuesta, pues el actor, según él mismo alega, ha pasado a situación de tercer grado penitenciario y ha sido transferido a un centro de reinserción social.</w:t>
      </w:r>
    </w:p>
    <w:p w14:paraId="6896FFCE" w14:textId="77777777" w:rsidR="00F64776" w:rsidRDefault="00F64776" w:rsidP="00F64776">
      <w:pPr>
        <w:pStyle w:val="TextoNormal"/>
      </w:pPr>
    </w:p>
    <w:p w14:paraId="08459087" w14:textId="51BF46CB" w:rsidR="00F64776" w:rsidRDefault="00F64776" w:rsidP="00F64776">
      <w:pPr>
        <w:pStyle w:val="TextoNormal"/>
      </w:pPr>
      <w:r>
        <w:t>Estamos, en definitiva, ante una pena de prisión de duración muy superior a los cinco años, sin que las razones alegadas por el actor hagan desaparecer el cualificado interés general que, en un caso como este, presenta la ejecución de la resolución condenatoria firme.</w:t>
      </w:r>
    </w:p>
    <w:p w14:paraId="08457887" w14:textId="77777777" w:rsidR="00F64776" w:rsidRDefault="00F64776" w:rsidP="00F64776">
      <w:pPr>
        <w:pStyle w:val="TextoNormal"/>
      </w:pPr>
    </w:p>
    <w:p w14:paraId="3256F557" w14:textId="77777777" w:rsidR="00F64776" w:rsidRDefault="00F64776" w:rsidP="00F64776">
      <w:pPr>
        <w:pStyle w:val="TextoNormal"/>
      </w:pPr>
      <w:r>
        <w:t>Por lo expuesto, el Pleno</w:t>
      </w:r>
    </w:p>
    <w:p w14:paraId="28BF774D" w14:textId="54509452" w:rsidR="00F64776" w:rsidRDefault="00F64776" w:rsidP="00F64776">
      <w:pPr>
        <w:pStyle w:val="TextoNormal"/>
      </w:pPr>
    </w:p>
    <w:p w14:paraId="50FCD33C" w14:textId="77777777" w:rsidR="00F64776" w:rsidRDefault="00F64776" w:rsidP="00F64776">
      <w:pPr>
        <w:pStyle w:val="TextoNormalCentrado"/>
      </w:pPr>
      <w:r>
        <w:t>ACUERDA</w:t>
      </w:r>
    </w:p>
    <w:p w14:paraId="4A1324AA" w14:textId="5B7274EF" w:rsidR="00F64776" w:rsidRDefault="00F64776" w:rsidP="00F64776">
      <w:pPr>
        <w:pStyle w:val="TextoNormalCentrado"/>
      </w:pPr>
    </w:p>
    <w:p w14:paraId="2472BEFF" w14:textId="611611AE" w:rsidR="00F64776" w:rsidRDefault="00F64776" w:rsidP="00F64776">
      <w:pPr>
        <w:pStyle w:val="TextoNormal"/>
      </w:pPr>
      <w:r>
        <w:t>Denegar la suspensión en el recurso de amparo 2552-2023, promovido por don José Antonio Viera Chacón en causa penal.</w:t>
      </w:r>
    </w:p>
    <w:p w14:paraId="742FCBA8" w14:textId="77777777" w:rsidR="00F64776" w:rsidRDefault="00F64776" w:rsidP="00F64776">
      <w:pPr>
        <w:pStyle w:val="TextoNormal"/>
      </w:pPr>
    </w:p>
    <w:p w14:paraId="39705046" w14:textId="77777777" w:rsidR="00F64776" w:rsidRDefault="00F64776" w:rsidP="00F64776">
      <w:pPr>
        <w:pStyle w:val="TextoNormal"/>
      </w:pPr>
      <w:r>
        <w:t>Madrid, a veintiséis de septiembre de dos mil veintitrés.</w:t>
      </w:r>
    </w:p>
    <w:p w14:paraId="1F166418" w14:textId="390A9FD2" w:rsidR="00F64776" w:rsidRDefault="00F64776">
      <w:pPr>
        <w:spacing w:after="160" w:line="278" w:lineRule="auto"/>
        <w:rPr>
          <w:rFonts w:ascii="Times New Roman" w:eastAsia="Times New Roman" w:hAnsi="Times New Roman" w:cs="Times New Roman"/>
          <w:sz w:val="24"/>
          <w:szCs w:val="24"/>
          <w:lang w:eastAsia="es-ES"/>
        </w:rPr>
      </w:pPr>
      <w:r>
        <w:br w:type="page"/>
      </w:r>
    </w:p>
    <w:p w14:paraId="1141DB91" w14:textId="77777777" w:rsidR="00F64776" w:rsidRDefault="00F64776" w:rsidP="00F64776">
      <w:pPr>
        <w:pStyle w:val="TtuloResolucin"/>
      </w:pPr>
      <w:bookmarkStart w:id="230" w:name="AUTO_2023_445"/>
      <w:r>
        <w:t>AUTO 445/2023, de 27 de septiembre de 2023</w:t>
      </w:r>
    </w:p>
    <w:bookmarkEnd w:id="230"/>
    <w:p w14:paraId="72F05EE4" w14:textId="77777777" w:rsidR="00F64776" w:rsidRDefault="00F64776" w:rsidP="00F64776">
      <w:pPr>
        <w:pStyle w:val="TtuloResolucin"/>
      </w:pPr>
      <w:r>
        <w:t>Pleno</w:t>
      </w:r>
    </w:p>
    <w:p w14:paraId="38E18DC6" w14:textId="77777777" w:rsidR="00F64776" w:rsidRDefault="00F64776" w:rsidP="00F64776">
      <w:pPr>
        <w:pStyle w:val="TextoNormalCentrado"/>
      </w:pPr>
      <w:r>
        <w:t>ECLI:ES:TC:2023:445A</w:t>
      </w:r>
    </w:p>
    <w:p w14:paraId="4DC73EDD" w14:textId="6FC3780D" w:rsidR="00F64776" w:rsidRDefault="00F64776" w:rsidP="00F64776">
      <w:pPr>
        <w:pStyle w:val="TextoNormalCentrado"/>
      </w:pPr>
    </w:p>
    <w:p w14:paraId="29382115" w14:textId="77777777" w:rsidR="00F64776" w:rsidRDefault="00F64776" w:rsidP="00F64776">
      <w:pPr>
        <w:pStyle w:val="SntesisDescriptiva"/>
      </w:pPr>
      <w:r>
        <w:t>Excms. Srs. don Cándido Conde-Pumpido Tourón,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w:t>
      </w:r>
    </w:p>
    <w:p w14:paraId="5AA85D69" w14:textId="1155F22B" w:rsidR="00F64776" w:rsidRDefault="00F64776" w:rsidP="00F64776">
      <w:pPr>
        <w:pStyle w:val="SntesisDescriptiva"/>
      </w:pPr>
    </w:p>
    <w:p w14:paraId="74643F00" w14:textId="77777777" w:rsidR="00F64776" w:rsidRDefault="00F64776" w:rsidP="00F64776">
      <w:pPr>
        <w:pStyle w:val="SntesisDescriptiva"/>
      </w:pPr>
      <w:r>
        <w:t>Mantiene la suspensión acordada en el recurso de inconstitucionalidad 3133-2023, interpuesto por el presidente del Gobierno respecto de la disposición adicional segunda de la Ley de la Asamblea de Madrid 1/2023, de 15 de febrero, de creación de la Agencia Madrileña para el Apoyo a las Personas Adultas con Discapacidad.</w:t>
      </w:r>
    </w:p>
    <w:p w14:paraId="539599AB" w14:textId="6601F6C1" w:rsidR="00F64776" w:rsidRDefault="00F64776" w:rsidP="00F64776">
      <w:pPr>
        <w:pStyle w:val="SntesisDescriptiva"/>
      </w:pPr>
    </w:p>
    <w:p w14:paraId="3F573E0F" w14:textId="77777777" w:rsidR="00F64776" w:rsidRDefault="00F64776" w:rsidP="00F64776">
      <w:pPr>
        <w:pStyle w:val="SntesisDescriptiva"/>
      </w:pPr>
    </w:p>
    <w:p w14:paraId="1022F301" w14:textId="77777777" w:rsidR="00F64776" w:rsidRDefault="00F64776" w:rsidP="00F64776">
      <w:pPr>
        <w:pStyle w:val="SntesisDescriptiva"/>
      </w:pPr>
    </w:p>
    <w:p w14:paraId="4C7EEECD" w14:textId="77777777" w:rsidR="00F64776" w:rsidRDefault="00F64776" w:rsidP="00F64776">
      <w:pPr>
        <w:pStyle w:val="TextoNormalNegritaCentrado"/>
      </w:pPr>
      <w:r>
        <w:t>AUTO</w:t>
      </w:r>
    </w:p>
    <w:p w14:paraId="01440E0D" w14:textId="2ADBC770" w:rsidR="00F64776" w:rsidRDefault="00F64776" w:rsidP="00F64776">
      <w:pPr>
        <w:pStyle w:val="TextoNormalNegritaCentrado"/>
      </w:pPr>
    </w:p>
    <w:p w14:paraId="595B36E0" w14:textId="77777777" w:rsidR="00F64776" w:rsidRDefault="00F64776" w:rsidP="00F64776">
      <w:pPr>
        <w:pStyle w:val="TextoNormalNegritaCentrado"/>
        <w:keepNext/>
      </w:pPr>
      <w:r>
        <w:t>I. Antecedentes</w:t>
      </w:r>
    </w:p>
    <w:p w14:paraId="23F92442" w14:textId="27F0BBA3" w:rsidR="00F64776" w:rsidRDefault="00F64776" w:rsidP="00F64776">
      <w:pPr>
        <w:pStyle w:val="TextoNormalNegritaCentrado"/>
        <w:keepNext/>
      </w:pPr>
    </w:p>
    <w:p w14:paraId="52C65CB5" w14:textId="77777777" w:rsidR="00F64776" w:rsidRDefault="00F64776" w:rsidP="00F64776">
      <w:pPr>
        <w:pStyle w:val="TextoNormal"/>
      </w:pPr>
      <w:r w:rsidRPr="00F64776">
        <w:rPr>
          <w:rStyle w:val="NumeroAFNegritaCaracter"/>
        </w:rPr>
        <w:t>1</w:t>
      </w:r>
      <w:r>
        <w:t>. Mediante escrito presentado en el registro de este Tribunal Constitucional el día 11 de mayo de 2023, el abogado del Estado interpuso recurso de inconstitucionalidad en nombre del presidente del Gobierno contra la disposición adicional segunda de la Ley de la Asamblea de Madrid 1/2023, de 15 de febrero, de creación de la Agencia Madrileña para el Apoyo a las Personas Adultas con Discapacidad.</w:t>
      </w:r>
    </w:p>
    <w:p w14:paraId="7D4BD2BD" w14:textId="77777777" w:rsidR="00F64776" w:rsidRDefault="00F64776" w:rsidP="00F64776">
      <w:pPr>
        <w:pStyle w:val="TextoNormal"/>
      </w:pPr>
    </w:p>
    <w:p w14:paraId="28345330" w14:textId="228D0BDE" w:rsidR="00F64776" w:rsidRDefault="00F64776" w:rsidP="00F64776">
      <w:pPr>
        <w:pStyle w:val="TextoNormal"/>
      </w:pPr>
      <w:r>
        <w:t>El abogado del Estado invocó el artículo 161.2 CE a fin de que se produjera la suspensión de la aplicación de la disposición impugnada.</w:t>
      </w:r>
    </w:p>
    <w:p w14:paraId="45996AFA" w14:textId="77777777" w:rsidR="00F64776" w:rsidRDefault="00F64776" w:rsidP="00F64776">
      <w:pPr>
        <w:pStyle w:val="TextoNormal"/>
      </w:pPr>
    </w:p>
    <w:p w14:paraId="7293541B" w14:textId="3041D2E1" w:rsidR="00F64776" w:rsidRDefault="00F64776" w:rsidP="00F64776">
      <w:pPr>
        <w:pStyle w:val="TextoNormal"/>
      </w:pPr>
      <w:r w:rsidRPr="00F64776">
        <w:rPr>
          <w:rStyle w:val="NumeroAFNegritaCaracter"/>
        </w:rPr>
        <w:t>2</w:t>
      </w:r>
      <w:r>
        <w:t>. Por providencia de 6 de junio de 2023 el Pleno del Tribunal Constitucional, a propuesta de la Sección Primera, acordó admitir a trámite el recurso de inconstitucionalidad, dar traslado de la demanda y documentos presentados, conforme establece el artículo 34 de la Ley Orgánica del Tribunal Constitucional (LOTC), al Congreso de los Diputados y al Senado, por conducto de sus presidentes, así como a la Asamblea de Madrid y al Gobierno de la Comunidad de Madrid, por conducto de sus presidentes, al objeto de que, en el plazo de quince días, pudieran personarse en el proceso y formular las alegaciones que estimaren convenientes; tener por invocado por el presidente del Gobierno el artículo 161.2 de la Constitución, lo que, a su tenor y conforme dispone el artículo 30 LOTC, produce la suspensión de la vigencia y aplicación del inciso impugnado, desde la fecha de interposición del recurso —11 de mayo de 2023— para las partes del proceso y desde el día en que aparezca publicada la suspensión en el “Boletín Oficial del Estado” para los terceros, lo que se comunicaría a los presidentes de la Asamblea de Madrid y del Gobierno de la Comunidad de Madrid, así como publicar la incoación del recurso en el “Boletín Oficial del Estado” y en el “Boletín Oficial de la Comunidad de Madrid”.</w:t>
      </w:r>
    </w:p>
    <w:p w14:paraId="0B1B332B" w14:textId="77777777" w:rsidR="00F64776" w:rsidRDefault="00F64776" w:rsidP="00F64776">
      <w:pPr>
        <w:pStyle w:val="TextoNormal"/>
      </w:pPr>
    </w:p>
    <w:p w14:paraId="255F2BE8" w14:textId="3A94B397" w:rsidR="00F64776" w:rsidRDefault="00F64776" w:rsidP="00F64776">
      <w:pPr>
        <w:pStyle w:val="TextoNormal"/>
      </w:pPr>
      <w:r w:rsidRPr="00F64776">
        <w:rPr>
          <w:rStyle w:val="NumeroAFNegritaCaracter"/>
        </w:rPr>
        <w:t>3</w:t>
      </w:r>
      <w:r>
        <w:t>. Por escrito presentado en este tribunal el día 12 de junio de 2023, se comunica el acuerdo de la Presidencia del Senado, en ejercicio de la delegación conferida por la mesa de la Diputación Permanente de la Cámara, de dar por personada a la Cámara, ofreciendo su colaboración a los efectos del artículo 88.1 LOTC.</w:t>
      </w:r>
    </w:p>
    <w:p w14:paraId="10E00663" w14:textId="77777777" w:rsidR="00F64776" w:rsidRDefault="00F64776" w:rsidP="00F64776">
      <w:pPr>
        <w:pStyle w:val="TextoNormal"/>
      </w:pPr>
    </w:p>
    <w:p w14:paraId="2C2594ED" w14:textId="38CF18F2" w:rsidR="00F64776" w:rsidRDefault="00F64776" w:rsidP="00F64776">
      <w:pPr>
        <w:pStyle w:val="TextoNormal"/>
      </w:pPr>
      <w:r w:rsidRPr="00F64776">
        <w:rPr>
          <w:rStyle w:val="NumeroAFNegritaCaracter"/>
        </w:rPr>
        <w:t>4</w:t>
      </w:r>
      <w:r>
        <w:t>. El letrado de la Comunidad de Madrid formuló sus alegaciones por escrito registrado el día 23 de junio de 2023.</w:t>
      </w:r>
    </w:p>
    <w:p w14:paraId="2D92BF6F" w14:textId="77777777" w:rsidR="00F64776" w:rsidRDefault="00F64776" w:rsidP="00F64776">
      <w:pPr>
        <w:pStyle w:val="TextoNormal"/>
      </w:pPr>
    </w:p>
    <w:p w14:paraId="72B47F39" w14:textId="36E2966D" w:rsidR="00F64776" w:rsidRDefault="00F64776" w:rsidP="00F64776">
      <w:pPr>
        <w:pStyle w:val="TextoNormal"/>
      </w:pPr>
      <w:r w:rsidRPr="00F64776">
        <w:rPr>
          <w:rStyle w:val="NumeroAFNegritaCaracter"/>
        </w:rPr>
        <w:t>5</w:t>
      </w:r>
      <w:r>
        <w:t>. Por escrito remitido al presidente del Tribunal Constitucional, el presidente de la Asamblea de Madrid comunica el acuerdo de la junta de portavoces de no aprobar la propuesta de elevación al Pleno de la Cámara, en su siguiente sesión plenaria, en orden a personarse y formular alegaciones ante el Tribunal Constitucional en el procedimiento de referencia.</w:t>
      </w:r>
    </w:p>
    <w:p w14:paraId="1482916C" w14:textId="77777777" w:rsidR="00F64776" w:rsidRDefault="00F64776" w:rsidP="00F64776">
      <w:pPr>
        <w:pStyle w:val="TextoNormal"/>
      </w:pPr>
    </w:p>
    <w:p w14:paraId="6EEDD1D4" w14:textId="3658913C" w:rsidR="00F64776" w:rsidRDefault="00F64776" w:rsidP="00F64776">
      <w:pPr>
        <w:pStyle w:val="TextoNormal"/>
      </w:pPr>
      <w:r w:rsidRPr="00F64776">
        <w:rPr>
          <w:rStyle w:val="NumeroAFNegritaCaracter"/>
        </w:rPr>
        <w:t>6</w:t>
      </w:r>
      <w:r>
        <w:t>. Por diligencia de ordenación del secretario de justicia del Pleno de 14 de julio de 2023, se acordó que, próximo a finalizar el plazo de los cinco meses que señala el artículo 161.2 de la Constitución desde que se produjo la suspensión de la disposición adicional impugnada, se oyese a las partes personadas para que, en el plazo de cinco días, expusiesen lo que considerasen conveniente acerca del mantenimiento o levantamiento de dicha suspensión.</w:t>
      </w:r>
    </w:p>
    <w:p w14:paraId="6D86D388" w14:textId="77777777" w:rsidR="00F64776" w:rsidRDefault="00F64776" w:rsidP="00F64776">
      <w:pPr>
        <w:pStyle w:val="TextoNormal"/>
      </w:pPr>
    </w:p>
    <w:p w14:paraId="0FC3DF79" w14:textId="77777777" w:rsidR="00F64776" w:rsidRDefault="00F64776" w:rsidP="00F64776">
      <w:pPr>
        <w:pStyle w:val="TextoNormal"/>
      </w:pPr>
      <w:r w:rsidRPr="00F64776">
        <w:rPr>
          <w:rStyle w:val="NumeroAFNegritaCaracter"/>
        </w:rPr>
        <w:t>7</w:t>
      </w:r>
      <w:r>
        <w:t>. El abogado del Estado interesó el mantenimiento de la suspensión inicialmente acordada por escrito registrado el día 21 de julio de 2023, en el que, resumidamente, expone lo siguiente.</w:t>
      </w:r>
    </w:p>
    <w:p w14:paraId="658A156F" w14:textId="77777777" w:rsidR="00F64776" w:rsidRDefault="00F64776" w:rsidP="00F64776">
      <w:pPr>
        <w:pStyle w:val="TextoNormal"/>
      </w:pPr>
    </w:p>
    <w:p w14:paraId="4341A378" w14:textId="77777777" w:rsidR="00F64776" w:rsidRDefault="00F64776" w:rsidP="00F64776">
      <w:pPr>
        <w:pStyle w:val="TextoNormal"/>
      </w:pPr>
      <w:r>
        <w:t>En primer lugar, alude a la doctrina constitucional acerca de este tipo de incidentes señalando que ha de procederse a una ponderación de la gravedad de los perjuicios que ocasionarían las situaciones de hecho que previsiblemente se producirían, en el caso de que se levantara o se mantuviera la suspensión. Expone, seguidamente, el objeto y los motivos de la impugnación.</w:t>
      </w:r>
    </w:p>
    <w:p w14:paraId="67003053" w14:textId="77777777" w:rsidR="00F64776" w:rsidRDefault="00F64776" w:rsidP="00F64776">
      <w:pPr>
        <w:pStyle w:val="TextoNormal"/>
      </w:pPr>
    </w:p>
    <w:p w14:paraId="4956C879" w14:textId="77777777" w:rsidR="00F64776" w:rsidRDefault="00F64776" w:rsidP="00F64776">
      <w:pPr>
        <w:pStyle w:val="TextoNormal"/>
      </w:pPr>
      <w:r>
        <w:t xml:space="preserve">A continuación, el abogado del Estado se refiere a los perjuicios a terceros particulares. Al respecto, afirma que la disposición adicional impugnada, tal y como ya se mantuvo en la demanda, infringe la exigencia de seguridad jurídica establecida en el artículo 9.3 CE. En concreto, y respecto al mantenimiento de la suspensión, hace referencia al irreparable perjuicio que causa a terceros, concretamente al ciudadano o ciudadana que quisiese ejercitar su derecho a acceder a la prestación de la ayuda a morir </w:t>
      </w:r>
      <w:r w:rsidRPr="00F64776">
        <w:rPr>
          <w:i/>
        </w:rPr>
        <w:t>ex</w:t>
      </w:r>
      <w:r>
        <w:t xml:space="preserve"> artículo 1 de la Ley Orgánica 3/2021, de 24 de marzo, de regulación de la eutanasia (LORE). Entiende que una situación en la que está implicada la protección de los derechos constitucionales a la vida y la libertad, se vería dificultada por la indeterminación de los requisitos exigidos: los previstos en el art. 5 LORE, o —además— los indicados en la disposición adicional segunda de la Ley de la Asamblea de Madrid 1/2023, de 15 de febrero.</w:t>
      </w:r>
    </w:p>
    <w:p w14:paraId="6B37D4C6" w14:textId="77777777" w:rsidR="00F64776" w:rsidRDefault="00F64776" w:rsidP="00F64776">
      <w:pPr>
        <w:pStyle w:val="TextoNormal"/>
      </w:pPr>
    </w:p>
    <w:p w14:paraId="07F6E820" w14:textId="77777777" w:rsidR="00F64776" w:rsidRDefault="00F64776" w:rsidP="00F64776">
      <w:pPr>
        <w:pStyle w:val="TextoNormal"/>
      </w:pPr>
      <w:r>
        <w:t>Aduce el abogado del Estado que la disposición impugnada, careciendo de competencia para ello, perjudica gravemente el régimen de aplicación en situaciones que, por afectar al derecho a la vida, resultan especialmente difíciles y requieren de un régimen claro y seguro en su regulación, sin que resulte posible que el legislador autonómico regule dichas situaciones de especial urgencia y trascendencia para la vida estableciendo requisitos genéricos e imprecisos vinculados a la intervención judicial. Altera la seguridad jurídica en ámbitos especialmente relacionados con el contenido esencial del derecho fundamental a la vida o la integridad física [cita al respecto la STC 19/2023, de 22 de marzo, FJ 6 C)].</w:t>
      </w:r>
    </w:p>
    <w:p w14:paraId="2C167A5C" w14:textId="77777777" w:rsidR="00F64776" w:rsidRDefault="00F64776" w:rsidP="00F64776">
      <w:pPr>
        <w:pStyle w:val="TextoNormal"/>
      </w:pPr>
    </w:p>
    <w:p w14:paraId="06755C89" w14:textId="77777777" w:rsidR="00F64776" w:rsidRDefault="00F64776" w:rsidP="00F64776">
      <w:pPr>
        <w:pStyle w:val="TextoNormal"/>
      </w:pPr>
      <w:r>
        <w:t>Acompaña un informe de la Secretaría de Estado de Sanidad, de 20 de julio de 2023, que reproduce parcialmente, en el que se acreditan los perjuicios de imposible o difícil reparación que pueden producirse a los particulares. En el mismo se afirma que la suspensión de la disposición recurrida ha de mantenerse ya que su aplicación afectaría directa e intensamente a derechos y libertades fundamentales de los ciudadanos, en particular a la dignidad de la persona y el libre desarrollo de su personalidad (art. 10.1 CE), a la integridad personal (art. 15 CE) o al valor de la libertad (art. 1 CE), en el sentido que ha sido recogido y desarrollado en la STC 19/2023. Se expone que, en el supuesto de que la suspensión se alzara, podría negarse inmediatamente el derecho a recibir la prestación de ayuda para morir a las personas sometidas a curatela con funciones representativas por la Agencia Madrileña de Apoyo a Personas Adultas con Discapacidad, cuando estas personas ya habían acreditado inequívocamente en el pasado su voluntad de acceder a dicha prestación en un testamento vital o documento equivalente. Habría que recabar “en todo caso” autorización judicial, aunque existiera testamento vital o documento equivalente previo, alargando los padecimientos y sufrimientos físicos de personas que, en caso de no alzarse la suspensión, sí podrían ejercer de manera inmediata su derecho a morir, sin intervención judicial, como así habían expresado libre e inequívocamente. El levantamiento de la suspensión generaría perjuicios de gran intensidad y gravedad para los derechos y libertades de las personas, mientras que el mantenimiento de esta no genera daño o perjuicio alguno. Se concreta que, si se levantase la suspensión de la disposición, los daños serían efectivos porque cualquier retraso o trámite adicional no previsto en la ley para el ejercicio del derecho a recibir la prestación de ayuda para morir, podrían provocar sufrimientos adicionales en las personas que no tendrían lugar en caso de no alzarse la suspensión. Además, serían de imposible reparación para las personas afectadas porque nada podrá compensar, remediar o reparar el tiempo que transcurra entre el momento en que el derecho puede ser ejercido según la ley estatal y la hipotética autorización judicial cuya obligatoriedad impone la ley autonómica. La satisfacción del derecho a recibir la prestación de ayuda para morir tras la eventual e innecesaria resolución judicial, no podrá reparar el daño generado en los derechos y libertades de la persona por el injustificado retraso en la sustanciación de un trámite cuya constitucionalidad se cuestiona.</w:t>
      </w:r>
    </w:p>
    <w:p w14:paraId="3EB43C4D" w14:textId="77777777" w:rsidR="00F64776" w:rsidRDefault="00F64776" w:rsidP="00F64776">
      <w:pPr>
        <w:pStyle w:val="TextoNormal"/>
      </w:pPr>
    </w:p>
    <w:p w14:paraId="22E200B8" w14:textId="77777777" w:rsidR="00F64776" w:rsidRDefault="00F64776" w:rsidP="00F64776">
      <w:pPr>
        <w:pStyle w:val="TextoNormal"/>
      </w:pPr>
      <w:r>
        <w:t xml:space="preserve">Seguidamente, el abogado del Estado se refiere a la afectación al interés general porque produce un bloqueo de la legislación orgánica estatal y concurre </w:t>
      </w:r>
      <w:r w:rsidRPr="00F64776">
        <w:rPr>
          <w:i/>
        </w:rPr>
        <w:t>fumus boni iuris</w:t>
      </w:r>
      <w:r>
        <w:t xml:space="preserve"> de la misma.</w:t>
      </w:r>
    </w:p>
    <w:p w14:paraId="312042FF" w14:textId="77777777" w:rsidR="00F64776" w:rsidRDefault="00F64776" w:rsidP="00F64776">
      <w:pPr>
        <w:pStyle w:val="TextoNormal"/>
      </w:pPr>
    </w:p>
    <w:p w14:paraId="5F10583D" w14:textId="77777777" w:rsidR="00F64776" w:rsidRDefault="00F64776" w:rsidP="00F64776">
      <w:pPr>
        <w:pStyle w:val="TextoNormal"/>
      </w:pPr>
      <w:r>
        <w:t>De una parte, alega que la regulación autonómica produce un bloqueo de la legislación estatal, en concreto, de la Ley Orgánica 3/2021, que la citada STC 19/2023 ha declarado conforme a la Constitución. La ley impugnada contraviene el sistema previsto en dicha norma estatal en su artículo 5, que tiene carácter orgánico y determina los requisitos exigibles para ejercitar el derecho a morir. La comunidad autónoma no puede adicionar otros requisitos no previstos en la normativa orgánica a través de una ley ordinaria.</w:t>
      </w:r>
    </w:p>
    <w:p w14:paraId="1623064A" w14:textId="77777777" w:rsidR="00F64776" w:rsidRDefault="00F64776" w:rsidP="00F64776">
      <w:pPr>
        <w:pStyle w:val="TextoNormal"/>
      </w:pPr>
    </w:p>
    <w:p w14:paraId="56C83FD2" w14:textId="77777777" w:rsidR="00F64776" w:rsidRDefault="00F64776" w:rsidP="00F64776">
      <w:pPr>
        <w:pStyle w:val="TextoNormal"/>
      </w:pPr>
      <w:r>
        <w:t>Aduce que la disposición impugnada bloquea o, al menos, dificulta sustancialmente la aplicación de la ley estatal, al exigir un requisito adicional no previsto en ella e incidir, como se afirma en la sentencia citada sobre la Ley Orgánica 3/2021, en el derecho de ayuda a la muerte, al proyectarse sobre “cualquier actuación que afecte al derecho a la vida”. En suma, el requisito adicional previsto en la ley autonómica impide la correcta aplicación de la ley estatal, en una materia reservada a ley orgánica, y que ha sido declarada conforme a la Constitución.</w:t>
      </w:r>
    </w:p>
    <w:p w14:paraId="0B16A484" w14:textId="77777777" w:rsidR="00F64776" w:rsidRDefault="00F64776" w:rsidP="00F64776">
      <w:pPr>
        <w:pStyle w:val="TextoNormal"/>
      </w:pPr>
    </w:p>
    <w:p w14:paraId="3F492ED5" w14:textId="77777777" w:rsidR="00F64776" w:rsidRDefault="00F64776" w:rsidP="00F64776">
      <w:pPr>
        <w:pStyle w:val="TextoNormal"/>
      </w:pPr>
      <w:r>
        <w:t xml:space="preserve">El abogado del Estado hace referencia, a continuación, a otro de los supuestos en que se puede acordar el mantenimiento de la suspensión excepcionalmente con arreglo a otros criterios o consideraciones, sin entrar a valorar los perjuicios de imposible o difícil reparación que ello generaría: el criterio del </w:t>
      </w:r>
      <w:r w:rsidRPr="00F64776">
        <w:rPr>
          <w:i/>
        </w:rPr>
        <w:t>fumus boni iuris</w:t>
      </w:r>
      <w:r>
        <w:t>, que resulta aplicable cuando los preceptos impugnados sobre los que versa el incidente de suspensión contienen previsiones muy similares (una “similitud intensa o coincidencia literal”) con otras normas ya declaradas inconstitucionales y nulas por sentencia del Tribunal Constitucional.</w:t>
      </w:r>
    </w:p>
    <w:p w14:paraId="27F3B12D" w14:textId="77777777" w:rsidR="00F64776" w:rsidRDefault="00F64776" w:rsidP="00F64776">
      <w:pPr>
        <w:pStyle w:val="TextoNormal"/>
      </w:pPr>
    </w:p>
    <w:p w14:paraId="1EAC96A5" w14:textId="77777777" w:rsidR="00F64776" w:rsidRDefault="00F64776" w:rsidP="00F64776">
      <w:pPr>
        <w:pStyle w:val="TextoNormal"/>
      </w:pPr>
      <w:r>
        <w:t xml:space="preserve">Trasladando esta doctrina al caso, el abogado del Estado alega que hay una clara contradicción entre la ley autonómica y la doctrina de la STC 19/2023 que ha declarado conforme a la Constitución la Ley Orgánica de regulación de la eutanasia. Dicha ley no exige autorización judicial, cuestión debatida en el procedimiento. Concurren en consecuencia los dos requisitos exigidos por la doctrina del Tribunal: por una parte, el </w:t>
      </w:r>
      <w:r w:rsidRPr="00F64776">
        <w:rPr>
          <w:i/>
        </w:rPr>
        <w:t>fumus boni iuris</w:t>
      </w:r>
      <w:r>
        <w:t xml:space="preserve"> de la pretensión estatal, que no prevé la exigencia de autorización judicial para la ayuda a morir, y por otra el bloqueo de la competencia estatal.</w:t>
      </w:r>
    </w:p>
    <w:p w14:paraId="738D123A" w14:textId="77777777" w:rsidR="00F64776" w:rsidRDefault="00F64776" w:rsidP="00F64776">
      <w:pPr>
        <w:pStyle w:val="TextoNormal"/>
      </w:pPr>
    </w:p>
    <w:p w14:paraId="4A5B74DA" w14:textId="77777777" w:rsidR="00F64776" w:rsidRDefault="00F64776" w:rsidP="00F64776">
      <w:pPr>
        <w:pStyle w:val="TextoNormal"/>
      </w:pPr>
      <w:r>
        <w:t>Adicionalmente se alega que el levantamiento de la suspensión de la ley impugnada produciría un conflicto sobre el orden jurisdiccional de impugnación competente que perjudica gravemente a la persona con discapacidad de hecho que ha solicitado en sus instrucciones previas la ayuda a morir. De levantarse la suspensión, se obligaría al ejercicio de dos acciones procesales, una contra la decisión de la comisión denegatoria de la prestación de la ayuda a morir, en la vía contencioso-administrativa (art. 10 LORE) y otra contra la resolución del juez civil, lo que confirma la incertidumbre jurídica sobre la vía procesal competente. Además, se prolongaría sustancialmente en el tiempo la resolución definitiva en el caso de que las resoluciones judiciales fueran contradictorias.</w:t>
      </w:r>
    </w:p>
    <w:p w14:paraId="3026402A" w14:textId="77777777" w:rsidR="00F64776" w:rsidRDefault="00F64776" w:rsidP="00F64776">
      <w:pPr>
        <w:pStyle w:val="TextoNormal"/>
      </w:pPr>
    </w:p>
    <w:p w14:paraId="5D9579B7" w14:textId="1D163AD7" w:rsidR="00F64776" w:rsidRDefault="00F64776" w:rsidP="00F64776">
      <w:pPr>
        <w:pStyle w:val="TextoNormal"/>
      </w:pPr>
      <w:r>
        <w:t>A su juicio, debe tenerse en cuenta la constitucionalidad del procedimiento previsto en la Ley Orgánica de regulación de la eutanasia y la vía de impugnación contra las decisiones administrativas. Específicamente, señala el abogado del Estado que, conforme a la STC 19/2023, la Ley Orgánica de regulación de la eutanasia establece un sistema de garantías jurisdiccionales tanto frente a la decisión adversa de la comisión a la prestación de la ayuda a morir, como a la decisión favorable a dicha ayuda. Y encauza dicha impugnación a través de la jurisdicción contencioso-administrativa. No prevé, como dispone la ley impugnada, una previa autorización judicial civil. La introducción del requisito impugnado resulta contrario al pronunciamiento del Tribunal Constitucional sobre las garantías jurisdiccionales establecidas, lo que ocasiona un conflicto sobre la competencia jurisdiccional que puede demorar sustancialmente la decisión definitiva de la prestación solicitada por la persona que ha manifestado su derecho a morir con los perjuicios irreparables expuestos.</w:t>
      </w:r>
    </w:p>
    <w:p w14:paraId="2D1D11F6" w14:textId="77777777" w:rsidR="00F64776" w:rsidRDefault="00F64776" w:rsidP="00F64776">
      <w:pPr>
        <w:pStyle w:val="TextoNormal"/>
      </w:pPr>
    </w:p>
    <w:p w14:paraId="6DE15498" w14:textId="13E5BC5D" w:rsidR="00F64776" w:rsidRDefault="00F64776" w:rsidP="00F64776">
      <w:pPr>
        <w:pStyle w:val="TextoNormal"/>
      </w:pPr>
      <w:r w:rsidRPr="00F64776">
        <w:rPr>
          <w:rStyle w:val="NumeroAFNegritaCaracter"/>
        </w:rPr>
        <w:t>8</w:t>
      </w:r>
      <w:r>
        <w:t>. Mediante escrito presentado en el registro del Tribunal el día 27 de julio de 2023, la presidenta del Congreso de los Diputados comunica el acuerdo de la mesa de la Diputación Permanente de personarse en el proceso, ofreciendo su colaboración a los efectos del artículo 88.1 LOTC.</w:t>
      </w:r>
    </w:p>
    <w:p w14:paraId="68142425" w14:textId="77777777" w:rsidR="00F64776" w:rsidRDefault="00F64776" w:rsidP="00F64776">
      <w:pPr>
        <w:pStyle w:val="TextoNormal"/>
      </w:pPr>
    </w:p>
    <w:p w14:paraId="0DCA3E95" w14:textId="77777777" w:rsidR="00F64776" w:rsidRDefault="00F64776" w:rsidP="00F64776">
      <w:pPr>
        <w:pStyle w:val="TextoNormalNegritaCentrado"/>
        <w:keepNext/>
      </w:pPr>
      <w:r>
        <w:t>II. Fundamentos jurídicos</w:t>
      </w:r>
    </w:p>
    <w:p w14:paraId="23BA50AF" w14:textId="3DB6182D" w:rsidR="00F64776" w:rsidRDefault="00F64776" w:rsidP="00F64776">
      <w:pPr>
        <w:pStyle w:val="TextoNormalNegritaCentrado"/>
        <w:keepNext/>
      </w:pPr>
    </w:p>
    <w:p w14:paraId="4AE3D490" w14:textId="77777777" w:rsidR="00F64776" w:rsidRDefault="00F64776" w:rsidP="00F64776">
      <w:pPr>
        <w:pStyle w:val="TextoNormal"/>
      </w:pPr>
      <w:r w:rsidRPr="00F64776">
        <w:rPr>
          <w:rStyle w:val="NumeroAFNegritaCaracter"/>
        </w:rPr>
        <w:t>1</w:t>
      </w:r>
      <w:r>
        <w:t>. El objeto de la presente resolución consiste en determinar si procede levantar o mantener la suspensión de la vigencia de la disposición adicional segunda de la Ley de la Asamblea de Madrid 1/2023, de 15 de febrero, de creación de la Agencia Madrileña para el Apoyo a las Personas Adultas con Discapacidad, disposición suspendida en su vigencia y aplicación, como consecuencia de la invocación del artículo 161.2 CE al interponerse el recurso de inconstitucionalidad por el presidente del Gobierno.</w:t>
      </w:r>
    </w:p>
    <w:p w14:paraId="415C1C2C" w14:textId="77777777" w:rsidR="00F64776" w:rsidRDefault="00F64776" w:rsidP="00F64776">
      <w:pPr>
        <w:pStyle w:val="TextoNormal"/>
      </w:pPr>
    </w:p>
    <w:p w14:paraId="08E43A53" w14:textId="77777777" w:rsidR="00F64776" w:rsidRDefault="00F64776" w:rsidP="00F64776">
      <w:pPr>
        <w:pStyle w:val="TextoNormal"/>
      </w:pPr>
      <w:r>
        <w:t>La disposición impugnada, bajo la rúbrica “en favor del derecho reconocido de la vida de las personas con discapacidad”, establece que “[e]n todo caso, cuando se pretenda llevar a cabo cualquier actuación que afecte al derecho a la vida de la persona con discapacidad a la que se haya provisto de un apoyo de carácter representativo para el ejercicio de la capacidad jurídica o se determine de manera expresa en la resolución que estableció el apoyo, se tramitará un procedimiento de jurisdicción voluntaria para la solicitud de autorización judicial”.</w:t>
      </w:r>
    </w:p>
    <w:p w14:paraId="6DB8BBF4" w14:textId="77777777" w:rsidR="00F64776" w:rsidRDefault="00F64776" w:rsidP="00F64776">
      <w:pPr>
        <w:pStyle w:val="TextoNormal"/>
      </w:pPr>
    </w:p>
    <w:p w14:paraId="511D622C" w14:textId="24C07B4F" w:rsidR="00F64776" w:rsidRDefault="00F64776" w:rsidP="00F64776">
      <w:pPr>
        <w:pStyle w:val="TextoNormal"/>
      </w:pPr>
      <w:r>
        <w:t>La impugnación se fundamenta en que la disposición adicional controvertida vulnera las competencias del Estado sobre legislación civil (art. 149.1.8 CE) y legislación procesal (art. 149.1.6 CE), al establecer requisitos civiles y procesales para el ejercicio de la capacidad jurídica de las personas con discapacidad. También se aduce la vulneración de la reserva de ley orgánica (art. 81.1 CE), por regular requisitos adicionales y distintos a los previstos en el artículo 5.2 de la Ley Orgánica 3/2021, de 24 de marzo, de regulación de la eutanasia (LORE), del principio de seguridad jurídica (art. 9.3 CE), y del artículo 9 de la Ley 41/2002, de 14 de noviembre, básica reguladora de la autonomía del paciente y de derechos y obligaciones en materia de información y documentación clínica.</w:t>
      </w:r>
    </w:p>
    <w:p w14:paraId="576E2B36" w14:textId="77777777" w:rsidR="00F64776" w:rsidRDefault="00F64776" w:rsidP="00F64776">
      <w:pPr>
        <w:pStyle w:val="TextoNormal"/>
      </w:pPr>
    </w:p>
    <w:p w14:paraId="1C6DC2D9" w14:textId="77777777" w:rsidR="00F64776" w:rsidRDefault="00F64776" w:rsidP="00F64776">
      <w:pPr>
        <w:pStyle w:val="TextoNormal"/>
      </w:pPr>
      <w:r w:rsidRPr="00F64776">
        <w:rPr>
          <w:rStyle w:val="NumeroAFNegritaCaracter"/>
        </w:rPr>
        <w:t>2</w:t>
      </w:r>
      <w:r>
        <w:t>. Procede ahora hacer referencia a la doctrina constitucional sobre la naturaleza de este incidente cautelar y los parámetros a los que debe ajustarse su resolución (por todos, ATC 265/2023, de 23 de mayo, FJ 2):</w:t>
      </w:r>
    </w:p>
    <w:p w14:paraId="494BB1B9" w14:textId="77777777" w:rsidR="00F64776" w:rsidRDefault="00F64776" w:rsidP="00F64776">
      <w:pPr>
        <w:pStyle w:val="TextoNormal"/>
      </w:pPr>
    </w:p>
    <w:p w14:paraId="389F3A9F" w14:textId="77777777" w:rsidR="00F64776" w:rsidRDefault="00F64776" w:rsidP="00F64776">
      <w:pPr>
        <w:pStyle w:val="TextoNormal"/>
      </w:pPr>
      <w:r>
        <w:t>a) Este incidente tiene autonomía respecto del procedimiento principal, por lo que solo en este último debe dilucidarse la validez o invalidez de las normas recurridas. El mantenimiento o levantamiento de la suspensión acordada previamente por la invocación del artículo 161.2 CE —única cuestión que es objeto de este incidente— constituye una medida procesal cautelar cuya finalidad consiste en asegurar el objeto litigioso, evitando la producción de daños y perjuicios irreparables o de difícil reparación.</w:t>
      </w:r>
    </w:p>
    <w:p w14:paraId="2F1E4999" w14:textId="77777777" w:rsidR="00F64776" w:rsidRDefault="00F64776" w:rsidP="00F64776">
      <w:pPr>
        <w:pStyle w:val="TextoNormal"/>
      </w:pPr>
    </w:p>
    <w:p w14:paraId="36FB2BCC" w14:textId="77777777" w:rsidR="00F64776" w:rsidRDefault="00F64776" w:rsidP="00F64776">
      <w:pPr>
        <w:pStyle w:val="TextoNormal"/>
      </w:pPr>
      <w:r>
        <w:t>b) La naturaleza propia, genuinamente cautelar, que caracteriza a este incidente en el momento de acordar el mantenimiento o el levantamiento de la suspensión, delimita también el marco jurídico en el que debe desenvolverse. En primer lugar, el mantenimiento de la suspensión acordada cautelarmente tiene un carácter excepcional, pues las leyes gozan de la presunción de constitucionalidad, en cuanto expresión de la voluntad popular, mientras no se constate que han infringido la Constitución (por todos, ATC 277/2009, de 10 de diciembre, FJ 2). En segundo lugar, la decisión sobre el mantenimiento o el levantamiento de la suspensión debe desvincularse de la decisión sobre la cuestión de fondo, que deberá dirimirse mediante sentencia (por todos, AATC 12/2006, de 17 de enero, FJ 5, y 18/2007, de 18 de enero, FJ 5).</w:t>
      </w:r>
    </w:p>
    <w:p w14:paraId="1B31796D" w14:textId="77777777" w:rsidR="00F64776" w:rsidRDefault="00F64776" w:rsidP="00F64776">
      <w:pPr>
        <w:pStyle w:val="TextoNormal"/>
      </w:pPr>
    </w:p>
    <w:p w14:paraId="723F9F6E" w14:textId="77777777" w:rsidR="00F64776" w:rsidRDefault="00F64776" w:rsidP="00F64776">
      <w:pPr>
        <w:pStyle w:val="TextoNormal"/>
      </w:pPr>
      <w:r>
        <w:t>c) Los criterios que ha venido aplicando este tribunal para decidir estos casos son los siguientes: (i) “es necesario ponderar, de un lado, los intereses que se encuentran concernidos, tanto el general y público como, en su caso, el particular o privado de las personas afectadas, y, de otro, los perjuicios de imposible o difícil reparación que puedan derivarse del mantenimiento o levantamiento de la suspensión” (ATC 51/2021, de 22 de abril); (ii) esta valoración debe efectuarse mediante el estricto examen de las situaciones de hecho creadas y al margen de la viabilidad de las pretensiones que se formulan en la demanda. La suspensión solo procede en presencia de perjuicios ciertos y efectivos, por lo que, si estos no concurren, debe atenderse a la presunción de validez de la ley; (iii) el mantenimiento de la suspensión “requiere que el Gobierno, a quien se debe la iniciativa, no solo invoque la existencia de aquellos perjuicios, sino que es igualmente necesario que demuestre, o al menos, razone consistentemente su procedencia y la imposibilidad o dificultad de su reparación” (por todos, ATC 51/2021, de 22 de abril).</w:t>
      </w:r>
    </w:p>
    <w:p w14:paraId="20B09537" w14:textId="77777777" w:rsidR="00F64776" w:rsidRDefault="00F64776" w:rsidP="00F64776">
      <w:pPr>
        <w:pStyle w:val="TextoNormal"/>
      </w:pPr>
    </w:p>
    <w:p w14:paraId="1D938C1E" w14:textId="2FE42A7D" w:rsidR="00F64776" w:rsidRDefault="00F64776" w:rsidP="00F64776">
      <w:pPr>
        <w:pStyle w:val="TextoNormal"/>
      </w:pPr>
      <w:r>
        <w:t xml:space="preserve">d) No obstante, la doctrina constitucional también ha admitido que el mantenimiento de la suspensión se pueda acordar excepcionalmente con arreglo a otros criterios o consideraciones, sin entrar a valorar los perjuicios de imposible o difícil reparación que ello generaría. Uno de esos criterios excepcionales es el criterio del </w:t>
      </w:r>
      <w:r w:rsidRPr="00F64776">
        <w:rPr>
          <w:i/>
        </w:rPr>
        <w:t>fumus boni iuris</w:t>
      </w:r>
      <w:r>
        <w:t>, que resulta aplicable cuando los preceptos impugnados sobre los que versa el incidente de suspensión contienen previsiones muy similares (una “similitud intensa o coincidencia literal”) con otras normas ya declaradas inconstitucionales y nulas por sentencia de este tribunal (así, AATC 78/1987, de 22 de enero, FJ 2; 183/2011, de 14 de diciembre, FJ 4; 182/2015, de 3 de noviembre, FJ 6; 41/2016, de 16 de febrero, FFJJ 2 y 3, y 171/2016, de 6 de octubre, FJ 3). Otro de los supuestos excepcionales es el bloqueo de competencias estatales (AATC 336/2005, de 15 de septiembre, FJ 5; 104/2010, de 28 de julio, FJ 5; 146/2013, de 5 de junio, FJ 4, y 63/2015, de 17 de marzo). Asimismo, en supuestos en los que se suscitan cuestiones de gran relieve constitucional, el Tribunal ha declarado que procede el mantenimiento de la suspensión de determinadas disposiciones (este fue el caso del ATC 156/2013, de 11 de julio, y el de los AATC 182/2015 y 186/2015, de 3 de noviembre).</w:t>
      </w:r>
    </w:p>
    <w:p w14:paraId="076A5438" w14:textId="77777777" w:rsidR="00F64776" w:rsidRDefault="00F64776" w:rsidP="00F64776">
      <w:pPr>
        <w:pStyle w:val="TextoNormal"/>
      </w:pPr>
    </w:p>
    <w:p w14:paraId="7CCD7957" w14:textId="77777777" w:rsidR="00F64776" w:rsidRDefault="00F64776" w:rsidP="00F64776">
      <w:pPr>
        <w:pStyle w:val="TextoNormal"/>
      </w:pPr>
      <w:r w:rsidRPr="00F64776">
        <w:rPr>
          <w:rStyle w:val="NumeroAFNegritaCaracter"/>
        </w:rPr>
        <w:t>3</w:t>
      </w:r>
      <w:r>
        <w:t>. Una vez expuesta nuestra doctrina, procede ahora analizar si debemos levantar o acordar el mantenimiento de la suspensión de los preceptos impugnados teniendo en cuenta, como hemos afirmado reiteradamente, que la resolución de este incidente está desvinculada de la que en su día adoptemos respecto del debate de fondo, pues solo debemos atender a los perjuicios que según el abogado del Estado se derivarían del levantamiento de la suspensión de la disposición adicional segunda de la Ley de la Asamblea de Madrid 1/2023, de 15 de febrero.</w:t>
      </w:r>
    </w:p>
    <w:p w14:paraId="492CCB19" w14:textId="77777777" w:rsidR="00F64776" w:rsidRDefault="00F64776" w:rsidP="00F64776">
      <w:pPr>
        <w:pStyle w:val="TextoNormal"/>
      </w:pPr>
    </w:p>
    <w:p w14:paraId="50DEEF93" w14:textId="77777777" w:rsidR="00F64776" w:rsidRDefault="00F64776" w:rsidP="00F64776">
      <w:pPr>
        <w:pStyle w:val="TextoNormal"/>
      </w:pPr>
      <w:r>
        <w:t xml:space="preserve">El abogado del Estado hace referencia al irreparable perjuicio que el levantamiento de la suspensión causaría a terceros, concretamente al ciudadano o ciudadana que quisiese ejercitar su derecho a acceder a la prestación de la ayuda a morir </w:t>
      </w:r>
      <w:r w:rsidRPr="00F64776">
        <w:rPr>
          <w:i/>
        </w:rPr>
        <w:t>ex</w:t>
      </w:r>
      <w:r>
        <w:t xml:space="preserve"> artículo 1 de la Ley Orgánica 3/2021. No es la primera vez que este tribunal suspende la vigencia de una norma autonómica ante el riesgo de que su aplicación pudiera poner en riesgo la efectividad de los derechos fundamentales de las personas afectadas por esa norma, con el fin de evitar, en una materia como esa, situaciones de confusión y perjuicios de difícil reparación que podrían eventualmente surgir en relación con las medidas adoptadas o situaciones creadas al amparo de la vigencia recobrada de los preceptos (así en el ATC 90/2016, de 26 de abril, FJ 6, y en el ATC 130/2017, de 3 de octubre, FJ 5). En ambas decisiones, la potencial afectación a derechos fundamentales determinó que el Tribunal apreciara la existencia de “perjuicios especialmente acusados en el caso de que se aplicara y en su día mereciera un juicio de inconstitucionalidad y fuera, por tanto, objeto de una declaración de nulidad”.</w:t>
      </w:r>
    </w:p>
    <w:p w14:paraId="0E70147D" w14:textId="77777777" w:rsidR="00F64776" w:rsidRDefault="00F64776" w:rsidP="00F64776">
      <w:pPr>
        <w:pStyle w:val="TextoNormal"/>
      </w:pPr>
    </w:p>
    <w:p w14:paraId="62708A49" w14:textId="77777777" w:rsidR="00F64776" w:rsidRDefault="00F64776" w:rsidP="00F64776">
      <w:pPr>
        <w:pStyle w:val="TextoNormal"/>
      </w:pPr>
      <w:r>
        <w:t>Esa misma situación de riesgo de afectación a derechos fundamentales concurre aquí, atendiendo al contenido de la disposición impugnada y a la relación que nuestra doctrina ha establecido entre la decisión de poner fin a la propia vida y los derechos fundamentales a la integridad física y moral (art. 15 CE) en conexión con el reconocimiento de los principios de dignidad y libre desarrollo de la personalidad (art. 10.1 CE) [STC 19/2023, FJ 6 C) e)], sentencia en la que este tribunal ya se pronunció sobre la suficiencia de los requisitos y las garantías para acceder a la prestación regulada en la Ley Orgánica de regulación de la eutanasia.</w:t>
      </w:r>
    </w:p>
    <w:p w14:paraId="554085D2" w14:textId="77777777" w:rsidR="00F64776" w:rsidRDefault="00F64776" w:rsidP="00F64776">
      <w:pPr>
        <w:pStyle w:val="TextoNormal"/>
      </w:pPr>
    </w:p>
    <w:p w14:paraId="5B93D165" w14:textId="77777777" w:rsidR="00F64776" w:rsidRDefault="00F64776" w:rsidP="00F64776">
      <w:pPr>
        <w:pStyle w:val="TextoNormal"/>
      </w:pPr>
      <w:r>
        <w:t>Por tanto, al igual que en los dos casos citados, es necesario introducir, en la ponderación que debemos realizar, bienes jurídicos de carácter personal, cuya reparabilidad es difícil, lo cual justifica que este tribunal deba atender a su tutela evitando su lesión irremediable.</w:t>
      </w:r>
    </w:p>
    <w:p w14:paraId="130FD815" w14:textId="77777777" w:rsidR="00F64776" w:rsidRDefault="00F64776" w:rsidP="00F64776">
      <w:pPr>
        <w:pStyle w:val="TextoNormal"/>
      </w:pPr>
    </w:p>
    <w:p w14:paraId="3B7E0D4E" w14:textId="77777777" w:rsidR="00F64776" w:rsidRDefault="00F64776" w:rsidP="00F64776">
      <w:pPr>
        <w:pStyle w:val="TextoNormal"/>
      </w:pPr>
      <w:r>
        <w:t>Consecuentemente, procede reiterar el criterio que ya señalamos en el ATC 90/2016, FJ 6, en el sentido de que “el carácter de las disposiciones impugnadas y los efectos jurídicos de las mismas, aconsejan como más conveniente para los intereses generales una vez ponderados todos los elementos en presencia, mantener la suspensión acordada en su día hasta tanto se resuelva de manera definitiva el problema planteado, pues la inmediata eficacia de algunos de los preceptos inicialmente suspendidos supondría unas consecuencias materiales, que dada su especial trascendencia para […] los derechos fundamentales de las afectados […] no deben producirse en una situación de interinidad. Por tanto, desde el punto de vista del juicio de proporcionalidad inherente a la ponderación sobre la procedencia del mantenimiento de una medida de suspensión acordada al amparo del art. 161.2 CE, ante la existencia de perjuicios irreparables e irreversibles para los intereses públicos y particulares no se puede calificar de excesivo o desproporcionado mantener la suspensión en los términos que posteriormente se exponen”.</w:t>
      </w:r>
    </w:p>
    <w:p w14:paraId="0E2DBC7E" w14:textId="77777777" w:rsidR="00F64776" w:rsidRDefault="00F64776" w:rsidP="00F64776">
      <w:pPr>
        <w:pStyle w:val="TextoNormal"/>
      </w:pPr>
    </w:p>
    <w:p w14:paraId="62079A2E" w14:textId="77777777" w:rsidR="00F64776" w:rsidRDefault="00F64776" w:rsidP="00F64776">
      <w:pPr>
        <w:pStyle w:val="TextoNormal"/>
      </w:pPr>
      <w:r>
        <w:t>Desde esta perspectiva resulta procedente el mantenimiento de la suspensión de la disposición impugnada.</w:t>
      </w:r>
    </w:p>
    <w:p w14:paraId="5EC38E00" w14:textId="77777777" w:rsidR="00F64776" w:rsidRDefault="00F64776" w:rsidP="00F64776">
      <w:pPr>
        <w:pStyle w:val="TextoNormal"/>
      </w:pPr>
    </w:p>
    <w:p w14:paraId="14C1F64E" w14:textId="10BBF94A" w:rsidR="00F64776" w:rsidRDefault="00F64776" w:rsidP="00F64776">
      <w:pPr>
        <w:pStyle w:val="TextoNormal"/>
      </w:pPr>
      <w:r>
        <w:t>A ello ha de añadirse, aunque no sea un criterio determinante de la decisión que hemos de adoptar, la ausencia de alegaciones en favor del levantamiento de la suspensión de la disposición impugnada, de las partes personadas en este proceso constitucional.</w:t>
      </w:r>
    </w:p>
    <w:p w14:paraId="2CA7D847" w14:textId="77777777" w:rsidR="00F64776" w:rsidRDefault="00F64776" w:rsidP="00F64776">
      <w:pPr>
        <w:pStyle w:val="TextoNormal"/>
      </w:pPr>
    </w:p>
    <w:p w14:paraId="452AEFF7" w14:textId="77777777" w:rsidR="00F64776" w:rsidRDefault="00F64776" w:rsidP="00F64776">
      <w:pPr>
        <w:pStyle w:val="TextoNormal"/>
      </w:pPr>
      <w:r>
        <w:t>Por lo expuesto, el Pleno</w:t>
      </w:r>
    </w:p>
    <w:p w14:paraId="0C9F7186" w14:textId="5BD2E869" w:rsidR="00F64776" w:rsidRDefault="00F64776" w:rsidP="00F64776">
      <w:pPr>
        <w:pStyle w:val="TextoNormal"/>
      </w:pPr>
    </w:p>
    <w:p w14:paraId="48BF9B13" w14:textId="77777777" w:rsidR="00F64776" w:rsidRDefault="00F64776" w:rsidP="00F64776">
      <w:pPr>
        <w:pStyle w:val="TextoNormalCentrado"/>
      </w:pPr>
      <w:r>
        <w:t>ACUERDA</w:t>
      </w:r>
    </w:p>
    <w:p w14:paraId="6BEDD5FD" w14:textId="1E3740DA" w:rsidR="00F64776" w:rsidRDefault="00F64776" w:rsidP="00F64776">
      <w:pPr>
        <w:pStyle w:val="TextoNormalCentrado"/>
      </w:pPr>
    </w:p>
    <w:p w14:paraId="2AF68B5B" w14:textId="4F4CE87E" w:rsidR="00F64776" w:rsidRDefault="00F64776" w:rsidP="00F64776">
      <w:pPr>
        <w:pStyle w:val="TextoNormal"/>
      </w:pPr>
      <w:r>
        <w:t>Mantener la suspensión de la disposición adicional segunda de la Ley de la Asamblea de Madrid 1/2023, de 15 de febrero, de creación de la Agencia Madrileña para el Apoyo a las Personas Adultas con Discapacidad.</w:t>
      </w:r>
    </w:p>
    <w:p w14:paraId="4C9C00C7" w14:textId="77777777" w:rsidR="00F64776" w:rsidRDefault="00F64776" w:rsidP="00F64776">
      <w:pPr>
        <w:pStyle w:val="TextoNormal"/>
      </w:pPr>
    </w:p>
    <w:p w14:paraId="178219B4" w14:textId="77777777" w:rsidR="00F64776" w:rsidRDefault="00F64776" w:rsidP="00F64776">
      <w:pPr>
        <w:pStyle w:val="TextoNormal"/>
      </w:pPr>
      <w:r>
        <w:t>Madrid, a veintisiete de septiembre de dos mil veintitrés.</w:t>
      </w:r>
    </w:p>
    <w:p w14:paraId="08F8C270" w14:textId="4A4804D9" w:rsidR="00F64776" w:rsidRDefault="00F64776">
      <w:pPr>
        <w:spacing w:after="160" w:line="278" w:lineRule="auto"/>
        <w:rPr>
          <w:rFonts w:ascii="Times New Roman" w:eastAsia="Times New Roman" w:hAnsi="Times New Roman" w:cs="Times New Roman"/>
          <w:sz w:val="24"/>
          <w:szCs w:val="24"/>
          <w:lang w:eastAsia="es-ES"/>
        </w:rPr>
      </w:pPr>
      <w:r>
        <w:br w:type="page"/>
      </w:r>
    </w:p>
    <w:p w14:paraId="64F14229" w14:textId="77777777" w:rsidR="00F64776" w:rsidRDefault="00F64776" w:rsidP="00F64776">
      <w:pPr>
        <w:pStyle w:val="TtuloResolucin"/>
      </w:pPr>
      <w:bookmarkStart w:id="231" w:name="AUTO_2023_446"/>
      <w:r>
        <w:t>AUTO 446/2023, de 27 de septiembre de 2023</w:t>
      </w:r>
    </w:p>
    <w:bookmarkEnd w:id="231"/>
    <w:p w14:paraId="6DCEB9C7" w14:textId="77777777" w:rsidR="00F64776" w:rsidRDefault="00F64776" w:rsidP="00F64776">
      <w:pPr>
        <w:pStyle w:val="TtuloResolucin"/>
      </w:pPr>
      <w:r>
        <w:t>Pleno</w:t>
      </w:r>
    </w:p>
    <w:p w14:paraId="00E19180" w14:textId="77777777" w:rsidR="00F64776" w:rsidRDefault="00F64776" w:rsidP="00F64776">
      <w:pPr>
        <w:pStyle w:val="TextoNormalCentrado"/>
      </w:pPr>
      <w:r>
        <w:t>ECLI:ES:TC:2023:446A</w:t>
      </w:r>
    </w:p>
    <w:p w14:paraId="2F010471" w14:textId="55142523" w:rsidR="00F64776" w:rsidRDefault="00F64776" w:rsidP="00F64776">
      <w:pPr>
        <w:pStyle w:val="TextoNormalCentrado"/>
      </w:pPr>
    </w:p>
    <w:p w14:paraId="720E6D23" w14:textId="77777777" w:rsidR="00F64776" w:rsidRDefault="00F64776" w:rsidP="00F64776">
      <w:pPr>
        <w:pStyle w:val="SntesisDescriptiva"/>
      </w:pPr>
      <w:r>
        <w:t>Excms. Srs. don Cándido Conde-Pumpido Tourón,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w:t>
      </w:r>
    </w:p>
    <w:p w14:paraId="1FDEB6F5" w14:textId="0F9C1641" w:rsidR="00F64776" w:rsidRDefault="00F64776" w:rsidP="00F64776">
      <w:pPr>
        <w:pStyle w:val="SntesisDescriptiva"/>
      </w:pPr>
    </w:p>
    <w:p w14:paraId="444FD34B" w14:textId="77777777" w:rsidR="00F64776" w:rsidRDefault="00F64776" w:rsidP="00F64776">
      <w:pPr>
        <w:pStyle w:val="SntesisDescriptiva"/>
      </w:pPr>
      <w:r>
        <w:t>Inadmite a trámite la cuestión de inconstitucionalidad 3594-2023, planteada por la Sala de lo Social del Tribunal Superior de Justicia del País Vasco respecto del artículo 177 del texto refundido de la Ley general de la Seguridad Social, el artículo 48.4 del texto refundido de la Ley del estatuto de los trabajadores y, en su caso, el artículo 49 a) y c) del texto refundido de la Ley del estatuto básico del empleado público.</w:t>
      </w:r>
    </w:p>
    <w:p w14:paraId="76D961E1" w14:textId="14560D7B" w:rsidR="00F64776" w:rsidRDefault="00F64776" w:rsidP="00F64776">
      <w:pPr>
        <w:pStyle w:val="SntesisDescriptiva"/>
      </w:pPr>
    </w:p>
    <w:p w14:paraId="030A768D" w14:textId="77777777" w:rsidR="00F64776" w:rsidRDefault="00F64776" w:rsidP="00F64776">
      <w:pPr>
        <w:pStyle w:val="SntesisDescriptiva"/>
      </w:pPr>
    </w:p>
    <w:p w14:paraId="205B646E" w14:textId="77777777" w:rsidR="00F64776" w:rsidRDefault="00F64776" w:rsidP="00F64776">
      <w:pPr>
        <w:pStyle w:val="SntesisDescriptiva"/>
      </w:pPr>
    </w:p>
    <w:p w14:paraId="5FA3247D" w14:textId="77777777" w:rsidR="00F64776" w:rsidRDefault="00F64776" w:rsidP="00F64776">
      <w:pPr>
        <w:pStyle w:val="TextoNormalNegritaCentrado"/>
      </w:pPr>
      <w:r>
        <w:t>AUTO</w:t>
      </w:r>
    </w:p>
    <w:p w14:paraId="63DBFE8E" w14:textId="09C181F4" w:rsidR="00F64776" w:rsidRDefault="00F64776" w:rsidP="00F64776">
      <w:pPr>
        <w:pStyle w:val="TextoNormalNegritaCentrado"/>
      </w:pPr>
    </w:p>
    <w:p w14:paraId="4CE56B20" w14:textId="77777777" w:rsidR="00F64776" w:rsidRDefault="00F64776" w:rsidP="00F64776">
      <w:pPr>
        <w:pStyle w:val="TextoNormalNegritaCentrado"/>
        <w:keepNext/>
      </w:pPr>
      <w:r>
        <w:t>I. Antecedentes</w:t>
      </w:r>
    </w:p>
    <w:p w14:paraId="03DB45CC" w14:textId="0E116892" w:rsidR="00F64776" w:rsidRDefault="00F64776" w:rsidP="00F64776">
      <w:pPr>
        <w:pStyle w:val="TextoNormalNegritaCentrado"/>
        <w:keepNext/>
      </w:pPr>
    </w:p>
    <w:p w14:paraId="6ED1FF6A" w14:textId="0ACC6F13" w:rsidR="00F64776" w:rsidRDefault="00F64776" w:rsidP="00F64776">
      <w:pPr>
        <w:pStyle w:val="TextoNormal"/>
      </w:pPr>
      <w:r w:rsidRPr="00F64776">
        <w:rPr>
          <w:rStyle w:val="NumeroAFNegritaCaracter"/>
        </w:rPr>
        <w:t>1</w:t>
      </w:r>
      <w:r>
        <w:t>. El día 29 de mayo de 2023 tuvo entrada en el registro electrónico de este tribunal copia del auto de la Sala de lo Social del Tribunal Superior de Justicia del País Vasco de 23 de mayo de 2023, dictado en el recurso de suplicación 2197-2022, y de las actuaciones seguidas en el indicado procedimiento, en el que la Sala acuerda plantear cuestión de inconstitucionalidad en relación con los preceptos que se citan en el encabezamiento.</w:t>
      </w:r>
    </w:p>
    <w:p w14:paraId="79DF684F" w14:textId="77777777" w:rsidR="00F64776" w:rsidRDefault="00F64776" w:rsidP="00F64776">
      <w:pPr>
        <w:pStyle w:val="TextoNormal"/>
      </w:pPr>
    </w:p>
    <w:p w14:paraId="6EA2A32E" w14:textId="77777777" w:rsidR="00F64776" w:rsidRDefault="00F64776" w:rsidP="00F64776">
      <w:pPr>
        <w:pStyle w:val="TextoNormal"/>
      </w:pPr>
      <w:r w:rsidRPr="00F64776">
        <w:rPr>
          <w:rStyle w:val="NumeroAFNegritaCaracter"/>
        </w:rPr>
        <w:t>2</w:t>
      </w:r>
      <w:r>
        <w:t>. El planteamiento de la cuestión trae causa de los siguientes antecedentes:</w:t>
      </w:r>
    </w:p>
    <w:p w14:paraId="6E7C3D85" w14:textId="77777777" w:rsidR="00F64776" w:rsidRDefault="00F64776" w:rsidP="00F64776">
      <w:pPr>
        <w:pStyle w:val="TextoNormal"/>
      </w:pPr>
    </w:p>
    <w:p w14:paraId="3F68C573" w14:textId="77777777" w:rsidR="00F64776" w:rsidRDefault="00F64776" w:rsidP="00F64776">
      <w:pPr>
        <w:pStyle w:val="TextoNormal"/>
      </w:pPr>
      <w:r>
        <w:t>a) Doña Ainhoa Kortabitarte García, empleada laboral de la administración de la Comunidad Autónoma del País Vasco, tuvo una hija el 4 de septiembre de 2021. El Instituto Nacional de la Seguridad Social reconoció su prestación y permiso de maternidad por dieciséis semanas conforme a la normativa aplicable. La interesada solicitó la revisión de dicha resolución para ampliar esa prestación y permiso por las dieciséis semanas adicionales que hubiesen correspondido al otro progenitor para el caso de tratarse de una familia biparental. La administración denegó la ampliación considerando que el permiso de maternidad es un derecho individual no transmisible.</w:t>
      </w:r>
    </w:p>
    <w:p w14:paraId="074BCAF3" w14:textId="77777777" w:rsidR="00F64776" w:rsidRDefault="00F64776" w:rsidP="00F64776">
      <w:pPr>
        <w:pStyle w:val="TextoNormal"/>
      </w:pPr>
    </w:p>
    <w:p w14:paraId="6285C24A" w14:textId="77777777" w:rsidR="00F64776" w:rsidRDefault="00F64776" w:rsidP="00F64776">
      <w:pPr>
        <w:pStyle w:val="TextoNormal"/>
      </w:pPr>
      <w:r>
        <w:t>b) La interesada presentó demanda ante los juzgados de lo social de Bilbao reiterando su pretensión. El Juzgado de lo Social núm. 4 de Bilbao, al que fue turnada la demanda, una vez tramitado el procedimiento, dictó sentencia el 26 de abril de 2022 estimando la demanda. En su fundamentación, la sentencia se refiere a sentencias anteriores de la Sala de lo Social del Tribunal Superior de Justicia del País Vasco que apoyaban la pretensión de la parte actora, y en particular a la sentencia de 6 de octubre de 2020, dictada en el recurso de suplicación núm. 941-2020, cuya doctrina aplican otras posteriores.</w:t>
      </w:r>
    </w:p>
    <w:p w14:paraId="5EF2B0BE" w14:textId="77777777" w:rsidR="00F64776" w:rsidRDefault="00F64776" w:rsidP="00F64776">
      <w:pPr>
        <w:pStyle w:val="TextoNormal"/>
      </w:pPr>
    </w:p>
    <w:p w14:paraId="367B25C5" w14:textId="77777777" w:rsidR="00F64776" w:rsidRDefault="00F64776" w:rsidP="00F64776">
      <w:pPr>
        <w:pStyle w:val="TextoNormal"/>
      </w:pPr>
      <w:r>
        <w:t>c) El Instituto Nacional de la Seguridad Social interpuso recurso de suplicación contra la indicada sentencia alegando la vulneración de los artículos 177 a 180 del texto refundido de la Ley general de la Seguridad Social, aprobado por Real Decreto Legislativo 8/2015, de 30 de octubre (en adelante, LGSS), y del artículo 48, apartados 4, 5 y 6, y la disposición transitoria decimotercera del texto refundido de la Ley del estatuto de los trabajadores, aprobado por Real Decreto Legislativo 2/2015, de 23 de octubre (en adelante, LET).</w:t>
      </w:r>
    </w:p>
    <w:p w14:paraId="0EF835D5" w14:textId="77777777" w:rsidR="00F64776" w:rsidRDefault="00F64776" w:rsidP="00F64776">
      <w:pPr>
        <w:pStyle w:val="TextoNormal"/>
      </w:pPr>
    </w:p>
    <w:p w14:paraId="5A04E45E" w14:textId="77777777" w:rsidR="00F64776" w:rsidRDefault="00F64776" w:rsidP="00F64776">
      <w:pPr>
        <w:pStyle w:val="TextoNormal"/>
      </w:pPr>
      <w:r>
        <w:t>d) Durante la tramitación del recurso interpuesto, la Sala de lo Social del Tribunal Supremo dictó sentencia de 2 de marzo de 2023 estimando el recurso de casación para la unificación de doctrina núm. 3972-2020, interpuesto contra la sentencia de la Sala del mismo orden jurisdiccional del Tribunal Superior de Justicia del País Vasco de 6 de octubre de 2020, antes citada. Según la citada sentencia de casación, la interpretación propuesta por la Sala del Juzgado de lo Social de Bilbao se adentra en la “creación del Derecho” que “corresponde al legislador” y se aparta de la tarea encomendada por la Constitución a jueces y tribunales: “la aplicación e interpretación” del mismo (FJ 3.3). La sentencia razona que, ni la Constitución, ni el Derecho europeo, ni ningún tratado internacional, imponen la interpretación propuesta. Por lo que respecta a la Constitución, el alcance de las prestaciones sociales corresponde determinarlo al legislador (art. 41 CE) y no existe discriminación de las familias monoparentales contraria al art. 14 CE porque el derecho de los dos progenitores en las biparentales no es automático, sino que exige el encuadramiento en la Seguridad Social y un periodo de carencia (FJ 4). Llamó además la atención sobre que esta situación era conocida por el legislador, que por dos veces (14 de enero de 2022 y 8 de febrero de 2023) ha rechazado una proposición de ley y una enmienda, respectivamente, dirigidas a ampliar el permiso de las familias monoparentales a treinta y dos semanas (FJ 5.2).</w:t>
      </w:r>
    </w:p>
    <w:p w14:paraId="5952F613" w14:textId="77777777" w:rsidR="00F64776" w:rsidRDefault="00F64776" w:rsidP="00F64776">
      <w:pPr>
        <w:pStyle w:val="TextoNormal"/>
      </w:pPr>
    </w:p>
    <w:p w14:paraId="0101644A" w14:textId="77777777" w:rsidR="00F64776" w:rsidRDefault="00F64776" w:rsidP="00F64776">
      <w:pPr>
        <w:pStyle w:val="TextoNormal"/>
      </w:pPr>
      <w:r>
        <w:t>e) A la vista de esta sentencia del Tribunal Supremo, una vez tramitado íntegramente el recurso de suplicación contra la sentencia del Juzgado de lo Social núm. 4 de Bilbao, la Sala de lo Social del Tribunal Superior de Justicia del País Vasco dictó providencia de 18 de abril de 2023, del siguiente tenor:</w:t>
      </w:r>
    </w:p>
    <w:p w14:paraId="687577C8" w14:textId="77777777" w:rsidR="00F64776" w:rsidRDefault="00F64776" w:rsidP="00F64776">
      <w:pPr>
        <w:pStyle w:val="TextoNormal"/>
      </w:pPr>
    </w:p>
    <w:p w14:paraId="6FA03B3D" w14:textId="77777777" w:rsidR="00F64776" w:rsidRDefault="00F64776" w:rsidP="00F64776">
      <w:pPr>
        <w:pStyle w:val="TextoNormal"/>
      </w:pPr>
      <w:r>
        <w:t>“Con carácter previo a la resolución del presente recurso, y siendo que la interpretación que el juzgado asume respecto de la pretensión articulada es el criterio que ha sido el habitual de esta Sala de lo Social del Tribunal Superior de Justicia, según ya se indica en la propia sentencia recurrida y como quiera que el mismo ha sido revocado recientemente por la sentencia de la Sala Cuarta del Tribunal Supremo de fecha 2 de marzo de 2023 (recurso 3972-2020, publicada en el “BOE” de 6 de abril de 2023), sin embargo, habiendo surgido dudas en la mayoría deliberante de este recurso acerca de la constitucionalidad del art. 177 de la Ley general de la Seguridad Social en relación con el art. 48 del estatuto básico del empleado público, de conformidad con el art. 35, punto 2, de la Ley Orgánica del Tribunal Constitucional, dése audiencia a las partes del presente procedimiento y al Ministerio Fiscal para que, en el plazo común e improrrogable de diez días, puedan alegar lo que deseen sobre la pertinencia de plantear una cuestión de inconstitucionalidad o sobre el fondo de esta respecto a la normativa señalada”.</w:t>
      </w:r>
    </w:p>
    <w:p w14:paraId="2C96D9AD" w14:textId="77777777" w:rsidR="00F64776" w:rsidRDefault="00F64776" w:rsidP="00F64776">
      <w:pPr>
        <w:pStyle w:val="TextoNormal"/>
      </w:pPr>
    </w:p>
    <w:p w14:paraId="577D853A" w14:textId="77777777" w:rsidR="00F64776" w:rsidRDefault="00F64776" w:rsidP="00F64776">
      <w:pPr>
        <w:pStyle w:val="TextoNormal"/>
      </w:pPr>
      <w:r>
        <w:t>f) El Ministerio Fiscal interpuso el día 20 de abril de 2023 “recurso de reposición” contra la mencionada providencia por incumplir la exigencia del art. 35.2 de la Ley Orgánica del Tribunal Constitucional (LOTC) de identificar la norma o normas constitucionales que se suponen infringidas, y solicitando que se dictara otra en su lugar con los requisitos legales necesarios para emitir el informe interesado.</w:t>
      </w:r>
    </w:p>
    <w:p w14:paraId="3DF51788" w14:textId="77777777" w:rsidR="00F64776" w:rsidRDefault="00F64776" w:rsidP="00F64776">
      <w:pPr>
        <w:pStyle w:val="TextoNormal"/>
      </w:pPr>
    </w:p>
    <w:p w14:paraId="3B218445" w14:textId="77777777" w:rsidR="00F64776" w:rsidRDefault="00F64776" w:rsidP="00F64776">
      <w:pPr>
        <w:pStyle w:val="TextoNormal"/>
      </w:pPr>
      <w:r>
        <w:t>g) El Instituto Nacional de la Seguridad Social presentó sus alegaciones el 2 de mayo de 2023, considerando infringido el art. 35.2 LOTC por no identificarse los preceptos constitucionales vulnerados y alegando, en cuanto al fondo, la sentencia de la Sala de lo Social del Tribunal Supremo de 2 de marzo de 2023, así como sentencias posteriores de la propia Sala de lo Social del Tribunal Superior de Justicia del País Vasco que ya han seguido el criterio marcado por el Tribunal Supremo.</w:t>
      </w:r>
    </w:p>
    <w:p w14:paraId="08E5C7F6" w14:textId="77777777" w:rsidR="00F64776" w:rsidRDefault="00F64776" w:rsidP="00F64776">
      <w:pPr>
        <w:pStyle w:val="TextoNormal"/>
      </w:pPr>
    </w:p>
    <w:p w14:paraId="75249A7F" w14:textId="77777777" w:rsidR="00F64776" w:rsidRDefault="00F64776" w:rsidP="00F64776">
      <w:pPr>
        <w:pStyle w:val="TextoNormal"/>
      </w:pPr>
      <w:r>
        <w:t>h) El 5 de mayo de 2023 la representación procesal de la parte recurrida presentó escrito solicitando el planteamiento de la cuestión de inconstitucionalidad por vulneración de los arts. 10.2, 14 y 39 de la Constitución.</w:t>
      </w:r>
    </w:p>
    <w:p w14:paraId="180BDF04" w14:textId="77777777" w:rsidR="00F64776" w:rsidRDefault="00F64776" w:rsidP="00F64776">
      <w:pPr>
        <w:pStyle w:val="TextoNormal"/>
      </w:pPr>
    </w:p>
    <w:p w14:paraId="5B71B25B" w14:textId="1939F33C" w:rsidR="00F64776" w:rsidRDefault="00F64776" w:rsidP="00F64776">
      <w:pPr>
        <w:pStyle w:val="TextoNormal"/>
      </w:pPr>
      <w:r>
        <w:t>i) El 8 de mayo de 2023 el Ministerio Fiscal presentó escrito de alegaciones reiterando la indeterminación de la providencia y alegando, además, que el art. 48 TRLEEP, “Permisos de los funcionarios públicos”, no era aplicable al caso (la interesada no es funcionaria, sino personal laboral), sino que lo sería el art. 49, “Permisos por motivos de conciliación de la vida personal, familiar y laboral”, entre otros. Por eso, “[d]ado el contenido de la providencia”, concluye el fiscal, “no puede informarse sobre la necesidad de analizar si los artículos cuestionados respetan las normas constitucionales”, por lo que no procede el planteamiento de la cuestión.</w:t>
      </w:r>
    </w:p>
    <w:p w14:paraId="12BA3257" w14:textId="77777777" w:rsidR="00F64776" w:rsidRDefault="00F64776" w:rsidP="00F64776">
      <w:pPr>
        <w:pStyle w:val="TextoNormal"/>
      </w:pPr>
    </w:p>
    <w:p w14:paraId="5047D7A3" w14:textId="77777777" w:rsidR="00F64776" w:rsidRDefault="00F64776" w:rsidP="00F64776">
      <w:pPr>
        <w:pStyle w:val="TextoNormal"/>
      </w:pPr>
      <w:r w:rsidRPr="00F64776">
        <w:rPr>
          <w:rStyle w:val="NumeroAFNegritaCaracter"/>
        </w:rPr>
        <w:t>3</w:t>
      </w:r>
      <w:r>
        <w:t>. Por auto de 23 de mayo de 2023, la Sala acordó plantear cuestión de inconstitucionalidad en relación con los artículos 177 LGSS, 48.4 LET “y, en su caso” art. 49 a) y c) TRLEEP.</w:t>
      </w:r>
    </w:p>
    <w:p w14:paraId="7BE77D83" w14:textId="77777777" w:rsidR="00F64776" w:rsidRDefault="00F64776" w:rsidP="00F64776">
      <w:pPr>
        <w:pStyle w:val="TextoNormal"/>
      </w:pPr>
    </w:p>
    <w:p w14:paraId="39AA0BB5" w14:textId="77777777" w:rsidR="00F64776" w:rsidRDefault="00F64776" w:rsidP="00F64776">
      <w:pPr>
        <w:pStyle w:val="TextoNormal"/>
      </w:pPr>
      <w:r>
        <w:t>El auto de planteamiento comienza recordando la jurisprudencia anterior de la propia Sala del Tribunal Superior de Justicia del País Vasco y la sentencia de la Sala de lo Social del Tribunal Supremo de 2 de marzo de 2023 que la rectifica, y dice que “instrumentaliz[a] la vía del art. 35 de la LOTC, al entender” que esta última “no da respuesta a la constitucionalidad de los preceptos implicados en la resolución del presente caso”. Según el auto, no puede hacerse una aplicación automática o “simple” de esos preceptos, ya que la aplicación del Derecho no puede hacerse mediante un “algoritmo” ni “inteligencia artificial”. Sostiene que debe profundizarse en el “neoconstitucionalismo” y en la “supletoriedad/subsidiariedad” del Tribunal Constitucional respecto del Poder Legislativo, que significa que “los órganos judiciales suplan la deficiencia constitucional del legislador”.</w:t>
      </w:r>
    </w:p>
    <w:p w14:paraId="6E1E06EE" w14:textId="77777777" w:rsidR="00F64776" w:rsidRDefault="00F64776" w:rsidP="00F64776">
      <w:pPr>
        <w:pStyle w:val="TextoNormal"/>
      </w:pPr>
    </w:p>
    <w:p w14:paraId="5B49F1F2" w14:textId="77777777" w:rsidR="00F64776" w:rsidRDefault="00F64776" w:rsidP="00F64776">
      <w:pPr>
        <w:pStyle w:val="TextoNormal"/>
      </w:pPr>
      <w:r>
        <w:t>Reproduce a continuación los preceptos aplicables. Respecto al art. 49, apartados a) y c), TRLEEP, explica que la demandante presta servicios para el Gobierno Vasco con “contrato”. Por eso, aunque en el expediente administrativo y en la sentencia de instancia solo se han aplicado los arts. 177 LGSS y 48 LET, la Sala “extiende” la cuestión de inconstitucionalidad al art. 49 TRLEEP, “similar” al art. 48 LET.</w:t>
      </w:r>
    </w:p>
    <w:p w14:paraId="59AC3B63" w14:textId="77777777" w:rsidR="00F64776" w:rsidRDefault="00F64776" w:rsidP="00F64776">
      <w:pPr>
        <w:pStyle w:val="TextoNormal"/>
      </w:pPr>
    </w:p>
    <w:p w14:paraId="24420A59" w14:textId="77777777" w:rsidR="00F64776" w:rsidRDefault="00F64776" w:rsidP="00F64776">
      <w:pPr>
        <w:pStyle w:val="TextoNormal"/>
      </w:pPr>
      <w:r>
        <w:t>El auto detalla uno por uno los motivos de inconstitucionalidad respecto de cada precepto constitucional invocado, aunque de modo previo aclara que en todos ellos “gravita” la misma cuestión: en la regulación cuestionada “subyace una discriminación”, la de las familias monoparentales, mayoritariamente integradas por mujeres (aporta datos estadísticos: 1 582 100 frente a 362 700 integradas por hombres), respecto de las biparentales, que representan el modelo tradicional de “familia mediterránea” con “prioridad del rol masculino” y postergación de la mujer. Bajo esta premisa general, detalla los motivos individuales de inconstitucionalidad.</w:t>
      </w:r>
    </w:p>
    <w:p w14:paraId="01AB84EF" w14:textId="77777777" w:rsidR="00F64776" w:rsidRDefault="00F64776" w:rsidP="00F64776">
      <w:pPr>
        <w:pStyle w:val="TextoNormal"/>
      </w:pPr>
    </w:p>
    <w:p w14:paraId="41B6BCAF" w14:textId="77777777" w:rsidR="00F64776" w:rsidRDefault="00F64776" w:rsidP="00F64776">
      <w:pPr>
        <w:pStyle w:val="TextoNormal"/>
      </w:pPr>
      <w:r>
        <w:t>a) Los artículos cuestionados vulnerarían en primer lugar el art. 39.2 CE, “[l]os poderes públicos aseguran, asimismo, la protección integral de los hijos, iguales estos ante la ley con independencia de su filiación, y de las madres, cualquiera que sea su estado civil. La ley posibilitará la investigación de la paternidad”. Con cita de los textos internacionales e internos que establecen el principio de interés superior del menor, le parece que la regulación legal de los permisos discrimina a los hijos de las familias monoparentales, que no tienen los mismos derechos que los de las biparentales, en contra de su equiparación, prevista en el citado art. 39.2 CE.</w:t>
      </w:r>
    </w:p>
    <w:p w14:paraId="081BD191" w14:textId="77777777" w:rsidR="00F64776" w:rsidRDefault="00F64776" w:rsidP="00F64776">
      <w:pPr>
        <w:pStyle w:val="TextoNormal"/>
      </w:pPr>
    </w:p>
    <w:p w14:paraId="2CF1D13A" w14:textId="77777777" w:rsidR="00F64776" w:rsidRDefault="00F64776" w:rsidP="00F64776">
      <w:pPr>
        <w:pStyle w:val="TextoNormal"/>
      </w:pPr>
      <w:r>
        <w:t xml:space="preserve">b) Los preceptos cuestionados vulnerarían en segundo lugar el art. 39.3 CE, “[l]os padres deben prestar asistencia de todo orden a los hijos habidos dentro o fuera del matrimonio, durante su minoría de edad y en los demás casos en que legalmente proceda”. Por efecto de la ley, la madre del caso </w:t>
      </w:r>
      <w:r w:rsidRPr="00F64776">
        <w:rPr>
          <w:i/>
        </w:rPr>
        <w:t>a quo</w:t>
      </w:r>
      <w:r>
        <w:t xml:space="preserve"> no va a poder cumplir en toda su extensión este deber. Insiste en la discriminación de los hijos de las familias monoparentales, prohibida por el art. 39.3 CE (“habidos dentro o fuera del matrimonio”).</w:t>
      </w:r>
    </w:p>
    <w:p w14:paraId="6030EAC9" w14:textId="77777777" w:rsidR="00F64776" w:rsidRDefault="00F64776" w:rsidP="00F64776">
      <w:pPr>
        <w:pStyle w:val="TextoNormal"/>
      </w:pPr>
    </w:p>
    <w:p w14:paraId="39200EF3" w14:textId="77777777" w:rsidR="00F64776" w:rsidRDefault="00F64776" w:rsidP="00F64776">
      <w:pPr>
        <w:pStyle w:val="TextoNormal"/>
      </w:pPr>
      <w:r>
        <w:t>c) En tercer lugar, la regulación legal cuestionada vulneraría el art. 39.4 CE, “[l]os niños gozarán de la protección prevista en los acuerdos internacionales que velan por sus derechos”. El legislador no ha incorporado los textos internacionales que obligan a tener en cuenta el interés superior del menor. La protección de los niños no es la misma, sino diferente, en función de si son hijos de familias monoparentales o biparentales.</w:t>
      </w:r>
    </w:p>
    <w:p w14:paraId="41202A21" w14:textId="77777777" w:rsidR="00F64776" w:rsidRDefault="00F64776" w:rsidP="00F64776">
      <w:pPr>
        <w:pStyle w:val="TextoNormal"/>
      </w:pPr>
    </w:p>
    <w:p w14:paraId="0F04CD22" w14:textId="77777777" w:rsidR="00F64776" w:rsidRDefault="00F64776" w:rsidP="00F64776">
      <w:pPr>
        <w:pStyle w:val="TextoNormal"/>
      </w:pPr>
      <w:r>
        <w:t>d) En cuarto lugar, se aduce vulneración del art. 39.1 CE, “[l]os poderes públicos aseguran la protección social, económica y jurídica de la familia”. Insiste en la discriminación de la familia monoparental frente al modelo tradicional de “familia mediterránea” con un padre que aporta sustento y “poder patriarcal” y una madre cuidadora. El art. 48.4 LET se remite expresamente en uno de sus párrafos al art. 68 del Código civil, precepto ubicado entre los dedicados al matrimonio, estableciendo que “El nacimiento suspenderá el contrato de trabajo del progenitor distinto de la madre biológica durante dieciséis semanas, de las cuales serán obligatorias las seis semanas ininterrumpidas inmediatamente posteriores al parto, que habrán de disfrutarse a jornada completa, para el cumplimiento de los deberes de cuidado previstos en el artículo 68 del Código civil”. Esta referencia excluye a las familias monoparentales, y de este modo el legislador se limita a proteger un solo modelo de familia.</w:t>
      </w:r>
    </w:p>
    <w:p w14:paraId="5C599368" w14:textId="77777777" w:rsidR="00F64776" w:rsidRDefault="00F64776" w:rsidP="00F64776">
      <w:pPr>
        <w:pStyle w:val="TextoNormal"/>
      </w:pPr>
    </w:p>
    <w:p w14:paraId="230C4750" w14:textId="77777777" w:rsidR="00F64776" w:rsidRDefault="00F64776" w:rsidP="00F64776">
      <w:pPr>
        <w:pStyle w:val="TextoNormal"/>
      </w:pPr>
      <w:r>
        <w:t xml:space="preserve">e) En quinto lugar, la exclusión de la ampliación del permiso de maternidad en familias monoparentales vulnera la prohibición de discriminación del art. 14 CE, que puede extenderse a la prohibición de discriminación por el tipo de familia o estado civil. Tratándose de una discriminación no es necesario aportar </w:t>
      </w:r>
      <w:r w:rsidRPr="00F64776">
        <w:rPr>
          <w:i/>
        </w:rPr>
        <w:t>tertium comparationis</w:t>
      </w:r>
      <w:r>
        <w:t xml:space="preserve"> homogéneo, sino razonar sobre grupos sociales. Y el grupo de las familias monoparentales está compuesto mayoritariamente por mujeres, de tal manera que se trata de un supuesto de discriminación indirecta. El precepto perpetúa una “inercia sexista” de “modelos patriarcales cuasipasados”, cuando debería “prescindir de estereotipos”.</w:t>
      </w:r>
    </w:p>
    <w:p w14:paraId="2E6D0A98" w14:textId="77777777" w:rsidR="00F64776" w:rsidRDefault="00F64776" w:rsidP="00F64776">
      <w:pPr>
        <w:pStyle w:val="TextoNormal"/>
      </w:pPr>
    </w:p>
    <w:p w14:paraId="19CF1164" w14:textId="77777777" w:rsidR="00F64776" w:rsidRDefault="00F64776" w:rsidP="00F64776">
      <w:pPr>
        <w:pStyle w:val="TextoNormal"/>
      </w:pPr>
      <w:r>
        <w:t>Le parece además que las posibles explicaciones a esta diferencia de trato o a la “omisión” u “olvido” inconsciente del legislador no son admisibles. Por un lado, porque en la regulación de las pensiones no contributivas el legislador sí ha regulado especialmente las familias monoparentales [art. 182.3 b) LGSS], lo que priva de toda justificación a la supuesta “omisión” del legislador en la regulación de la pensión contributiva. Por otro lado, el auto tampoco considera válidas las posibles razones económicas vinculadas a la limitación de recursos o al equilibrio de caja, pues ya fueron descartadas por el legislador en la exposición de motivos del Real Decreto-ley 6/2019, de 1 de marzo, que introdujo la nueva regulación que ahora se cuestiona, cuando explicó que “[e]n la medida que la redefinición de las prestaciones supone un aumento del gasto, la ampliación de la acción protectora se atenderá cuando fuera necesario con fondos procedentes del Estado para mantener la sostenibilidad del sistema de la Seguridad Social”. En consecuencia, “ya no es tiempo”, según el auto, de aludir a la necesidad de ajustarse a las disponibilidades presupuestarias. Concluye este apartado aludiendo a la “feminización de la pobreza” y a la “precariedad” de las mujeres de hogares monoparentales, que apoya en datos estadísticos del Ministerio de Igualdad.</w:t>
      </w:r>
    </w:p>
    <w:p w14:paraId="624CFCE5" w14:textId="77777777" w:rsidR="00F64776" w:rsidRDefault="00F64776" w:rsidP="00F64776">
      <w:pPr>
        <w:pStyle w:val="TextoNormal"/>
      </w:pPr>
    </w:p>
    <w:p w14:paraId="6161B7E6" w14:textId="77777777" w:rsidR="00F64776" w:rsidRDefault="00F64776" w:rsidP="00F64776">
      <w:pPr>
        <w:pStyle w:val="TextoNormal"/>
      </w:pPr>
      <w:r>
        <w:t>f) En sexto y último lugar, el auto alude a la vulneración del art. 41 CE, “[l]os poderes públicos mantendrán un régimen público de Seguridad Social para todos los ciudadanos, que garantice la asistencia y prestaciones sociales suficientes ante situaciones de necesidad, especialmente en caso de desempleo. La asistencia y prestaciones complementarias serán libres”. Afirma que no hay verdadera “omisión” ni “olvido” del legislador respecto a las familias monoparentales, sino silencio consciente que sigue beneficiando los “modelos hegemónicos del varón mermando las oportunidades de la mujer”. Resulta contradictorio, insiste, regular las familias monoparentales en la prestación no contributiva (art. 182.3 b) LGSS antes citado) y no hacerlo en la contributiva. Ello agrava la condición de la mujer en contra de los arts. 9.2 y 41 CE.</w:t>
      </w:r>
    </w:p>
    <w:p w14:paraId="2584C096" w14:textId="77777777" w:rsidR="00F64776" w:rsidRDefault="00F64776" w:rsidP="00F64776">
      <w:pPr>
        <w:pStyle w:val="TextoNormal"/>
      </w:pPr>
    </w:p>
    <w:p w14:paraId="27567353" w14:textId="77777777" w:rsidR="00F64776" w:rsidRDefault="00F64776" w:rsidP="00F64776">
      <w:pPr>
        <w:pStyle w:val="TextoNormal"/>
      </w:pPr>
      <w:r>
        <w:t>Cierra su argumentación aludiendo a la natalidad en España. El “índice de natalidad de 1.23 hijos por mujer implica la necesidad de que se aborde cualquier interpretación de la maternidad desde la perspectiva de no limitar la misma, sino más bien de ajustarse a las necesidades actuales”.</w:t>
      </w:r>
    </w:p>
    <w:p w14:paraId="33FD549B" w14:textId="77777777" w:rsidR="00F64776" w:rsidRDefault="00F64776" w:rsidP="00F64776">
      <w:pPr>
        <w:pStyle w:val="TextoNormal"/>
      </w:pPr>
    </w:p>
    <w:p w14:paraId="3F7E97B2" w14:textId="55C90A38" w:rsidR="00F64776" w:rsidRDefault="00F64776" w:rsidP="00F64776">
      <w:pPr>
        <w:pStyle w:val="TextoNormal"/>
      </w:pPr>
      <w:r>
        <w:t>El auto, suscrito por tres magistrados, cuenta con un voto particular que se remite a la citada sentencia del Tribunal Supremo de 2 de marzo de 2023 considerando que debió haberse aplicado su doctrina y estimado el recurso de suplicación interpuesto.</w:t>
      </w:r>
    </w:p>
    <w:p w14:paraId="57932D3A" w14:textId="77777777" w:rsidR="00F64776" w:rsidRDefault="00F64776" w:rsidP="00F64776">
      <w:pPr>
        <w:pStyle w:val="TextoNormal"/>
      </w:pPr>
    </w:p>
    <w:p w14:paraId="22D5ECDA" w14:textId="1754614B" w:rsidR="00F64776" w:rsidRDefault="00F64776" w:rsidP="00F64776">
      <w:pPr>
        <w:pStyle w:val="TextoNormal"/>
      </w:pPr>
      <w:r w:rsidRPr="00F64776">
        <w:rPr>
          <w:rStyle w:val="NumeroAFNegritaCaracter"/>
        </w:rPr>
        <w:t>4</w:t>
      </w:r>
      <w:r>
        <w:t>. Por providencia de 18 de julio de 2023, el Pleno del Tribunal Constitucional acordó, a los efectos que determina el art. 37.1 LOTC, oír al fiscal general del Estado para que en el plazo de diez días alegue lo que considere conveniente acerca de la admisibilidad de la cuestión prejudicial de validez, en relación con el cumplimiento de los requisitos procesales (art. 35.2 LOTC).</w:t>
      </w:r>
    </w:p>
    <w:p w14:paraId="7C972108" w14:textId="77777777" w:rsidR="00F64776" w:rsidRDefault="00F64776" w:rsidP="00F64776">
      <w:pPr>
        <w:pStyle w:val="TextoNormal"/>
      </w:pPr>
    </w:p>
    <w:p w14:paraId="00294F1C" w14:textId="77777777" w:rsidR="00F64776" w:rsidRDefault="00F64776" w:rsidP="00F64776">
      <w:pPr>
        <w:pStyle w:val="TextoNormal"/>
      </w:pPr>
      <w:r w:rsidRPr="00F64776">
        <w:rPr>
          <w:rStyle w:val="NumeroAFNegritaCaracter"/>
        </w:rPr>
        <w:t>5</w:t>
      </w:r>
      <w:r>
        <w:t>. El fiscal general del Estado presentó sus alegaciones el 6 de septiembre de 2023 interesando la inadmisión de la cuestión de inconstitucionalidad.</w:t>
      </w:r>
    </w:p>
    <w:p w14:paraId="0492B844" w14:textId="77777777" w:rsidR="00F64776" w:rsidRDefault="00F64776" w:rsidP="00F64776">
      <w:pPr>
        <w:pStyle w:val="TextoNormal"/>
      </w:pPr>
    </w:p>
    <w:p w14:paraId="0DA98CC1" w14:textId="68A923CC" w:rsidR="00F64776" w:rsidRDefault="00F64776" w:rsidP="00F64776">
      <w:pPr>
        <w:pStyle w:val="TextoNormal"/>
      </w:pPr>
      <w:r>
        <w:t>Tras exponer los antecedentes del caso y la doctrina constitucional de aplicación, el fiscal general del Estado considera que no se han cumplido los requisitos procesales que exige el art. 35.2 LOTC porque que en la providencia que dio traslado a las partes para que se pronunciasen acerca del planteamiento de la cuestión de inconstitucionalidad hay un error en la identificación del precepto de cuya constitucionalidad se duda, no se mencionan las normas constitucionales que se habrían vulnerado y no se expresa en modo alguno la duda de constitucionalidad. Además, le parece que en el auto de planteamiento no se realiza correctamente el juicio de aplicabilidad, al no expresar con suficiente nitidez si, además del art. 177 LGSS, los arts. 48.4 LET y 49 a) y c) TRLEEP son o no aplicables para conceder o denegar la prestación.</w:t>
      </w:r>
    </w:p>
    <w:p w14:paraId="15E9A587" w14:textId="77777777" w:rsidR="00F64776" w:rsidRDefault="00F64776" w:rsidP="00F64776">
      <w:pPr>
        <w:pStyle w:val="TextoNormal"/>
      </w:pPr>
    </w:p>
    <w:p w14:paraId="38AEF517" w14:textId="77777777" w:rsidR="00F64776" w:rsidRDefault="00F64776" w:rsidP="00F64776">
      <w:pPr>
        <w:pStyle w:val="TextoNormalNegritaCentrado"/>
        <w:keepNext/>
      </w:pPr>
      <w:r>
        <w:t>II. Fundamentos jurídicos</w:t>
      </w:r>
    </w:p>
    <w:p w14:paraId="29AB8C19" w14:textId="352A73F3" w:rsidR="00F64776" w:rsidRDefault="00F64776" w:rsidP="00F64776">
      <w:pPr>
        <w:pStyle w:val="TextoNormalNegritaCentrado"/>
        <w:keepNext/>
      </w:pPr>
    </w:p>
    <w:p w14:paraId="42B7B0B6" w14:textId="77777777" w:rsidR="00F64776" w:rsidRDefault="00F64776" w:rsidP="00F64776">
      <w:pPr>
        <w:pStyle w:val="TextoNormal"/>
      </w:pPr>
      <w:r w:rsidRPr="00F64776">
        <w:rPr>
          <w:rStyle w:val="NumeroAFNegritaCaracter"/>
        </w:rPr>
        <w:t>1</w:t>
      </w:r>
      <w:r>
        <w:t>. La Sala de lo Social del Tribunal Superior de Justicia del País Vasco promueve cuestión de inconstitucionalidad en relación con tres preceptos legales:</w:t>
      </w:r>
    </w:p>
    <w:p w14:paraId="3BD2E3D3" w14:textId="77777777" w:rsidR="00F64776" w:rsidRDefault="00F64776" w:rsidP="00F64776">
      <w:pPr>
        <w:pStyle w:val="TextoNormal"/>
      </w:pPr>
    </w:p>
    <w:p w14:paraId="09CAE879" w14:textId="77777777" w:rsidR="00F64776" w:rsidRDefault="00F64776" w:rsidP="00F64776">
      <w:pPr>
        <w:pStyle w:val="TextoNormal"/>
      </w:pPr>
      <w:r>
        <w:t>a) el artículo 177 del texto refundido de la Ley general de la Seguridad Social, aprobado por Real Decreto Legislativo 8/2015, de 30 de octubre;</w:t>
      </w:r>
    </w:p>
    <w:p w14:paraId="21445D71" w14:textId="77777777" w:rsidR="00F64776" w:rsidRDefault="00F64776" w:rsidP="00F64776">
      <w:pPr>
        <w:pStyle w:val="TextoNormal"/>
      </w:pPr>
    </w:p>
    <w:p w14:paraId="59BEF83E" w14:textId="77777777" w:rsidR="00F64776" w:rsidRDefault="00F64776" w:rsidP="00F64776">
      <w:pPr>
        <w:pStyle w:val="TextoNormal"/>
      </w:pPr>
      <w:r>
        <w:t>b) el artículo 48.4 del texto refundido de la Ley del estatuto de los trabajadores, aprobado por Real Decreto Legislativo 2/2015, de 23 de octubre;</w:t>
      </w:r>
    </w:p>
    <w:p w14:paraId="38DF7DF0" w14:textId="77777777" w:rsidR="00F64776" w:rsidRDefault="00F64776" w:rsidP="00F64776">
      <w:pPr>
        <w:pStyle w:val="TextoNormal"/>
      </w:pPr>
    </w:p>
    <w:p w14:paraId="1779F5E8" w14:textId="77777777" w:rsidR="00F64776" w:rsidRDefault="00F64776" w:rsidP="00F64776">
      <w:pPr>
        <w:pStyle w:val="TextoNormal"/>
      </w:pPr>
      <w:r>
        <w:t>c) “y, en su caso”, el artículo 49, apartados a) y c), del texto refundido de la Ley del estatuto básico del empleado público, aprobado por Real Decreto Legislativo 5/2015, de 30 de octubre.</w:t>
      </w:r>
    </w:p>
    <w:p w14:paraId="4BC58FDD" w14:textId="77777777" w:rsidR="00F64776" w:rsidRDefault="00F64776" w:rsidP="00F64776">
      <w:pPr>
        <w:pStyle w:val="TextoNormal"/>
      </w:pPr>
    </w:p>
    <w:p w14:paraId="7ABE1DB4" w14:textId="5F232BC1" w:rsidR="00F64776" w:rsidRDefault="00F64776" w:rsidP="00F64776">
      <w:pPr>
        <w:pStyle w:val="TextoNormal"/>
      </w:pPr>
      <w:r>
        <w:t>Este conjunto normativo regula los permisos [arts. 48.4 LET y 49 a) y c) TRLEEP] y subsidios por nacimiento, acogimiento o cuidado de menor (art. 177 LGSS) como derechos individuales e intransferibles de cada progenitor, con una duración general de dieciséis semanas. Resumidamente, el auto considera que al no permitir ese conjunto de preceptos atribuir al único progenitor en una familia monoparental, además de las dieciséis semanas de permiso y subsidio que le corresponden conforme a los preceptos dichos, las dieciséis semanas adicionales que corresponderían al otro progenitor en caso de existir (familias biparentales), la ley está discriminando al primer tipo de familias respecto a las segundas, a las mujeres que mayoritariamente lo componen según datos estadísticos que aporta, y en general a los hijos habidos en las familias monoparentales frente a los de las familias biparentales, vulnerando con ello los artículos 14, 39 y 41 de la Constitución.</w:t>
      </w:r>
    </w:p>
    <w:p w14:paraId="6C818498" w14:textId="77777777" w:rsidR="00F64776" w:rsidRDefault="00F64776" w:rsidP="00F64776">
      <w:pPr>
        <w:pStyle w:val="TextoNormal"/>
      </w:pPr>
    </w:p>
    <w:p w14:paraId="185C99A5" w14:textId="77777777" w:rsidR="00F64776" w:rsidRDefault="00F64776" w:rsidP="00F64776">
      <w:pPr>
        <w:pStyle w:val="TextoNormal"/>
      </w:pPr>
      <w:r w:rsidRPr="00F64776">
        <w:rPr>
          <w:rStyle w:val="NumeroAFNegritaCaracter"/>
        </w:rPr>
        <w:t>2</w:t>
      </w:r>
      <w:r>
        <w:t xml:space="preserve">. El artículo 37.1 LOTC permite a este tribunal rechazar </w:t>
      </w:r>
      <w:r w:rsidRPr="00F64776">
        <w:rPr>
          <w:i/>
        </w:rPr>
        <w:t>a limine</w:t>
      </w:r>
      <w:r>
        <w:t xml:space="preserve"> las cuestiones de inconstitucionalidad, mediante auto y sin otra audiencia que la del fiscal general del Estado cuando faltaren las “condiciones procesales” requeridas para su planteamiento.</w:t>
      </w:r>
    </w:p>
    <w:p w14:paraId="2961A1FF" w14:textId="77777777" w:rsidR="00F64776" w:rsidRDefault="00F64776" w:rsidP="00F64776">
      <w:pPr>
        <w:pStyle w:val="TextoNormal"/>
      </w:pPr>
    </w:p>
    <w:p w14:paraId="6A5A24A1" w14:textId="77777777" w:rsidR="00F64776" w:rsidRDefault="00F64776" w:rsidP="00F64776">
      <w:pPr>
        <w:pStyle w:val="TextoNormal"/>
      </w:pPr>
      <w:r>
        <w:t xml:space="preserve">En este caso, tal y como ya pusieron de manifiesto el Instituto Nacional de la Seguridad Social y el Ministerio Fiscal ante la Sala promotora de la cuestión de inconstitucionalidad en el trámite de audiencia del art. 35.2 LOTC, y ha reiterado nuevamente el fiscal general del Estado en el trámite de alegaciones ante este tribunal (art. 37.1 LOTC), la providencia por la que la Sala del Tribunal Superior de Justicia del País Vasco recabó el parecer de las partes del proceso </w:t>
      </w:r>
      <w:r w:rsidRPr="00F64776">
        <w:rPr>
          <w:i/>
        </w:rPr>
        <w:t>a quo</w:t>
      </w:r>
      <w:r>
        <w:t xml:space="preserve"> y del Ministerio Fiscal sobre la pertinencia de plantear la cuestión de inconstitucionalidad, o sobre el fondo de esta, no ha sido respetuosa con las condiciones exigidas en el aludido art. 35.2 de nuestra Ley Orgánica reguladora, cercenando los derechos procesales de las partes y frustrando la finalidad y razón de ser del indicado trámite.</w:t>
      </w:r>
    </w:p>
    <w:p w14:paraId="616B36BE" w14:textId="77777777" w:rsidR="00F64776" w:rsidRDefault="00F64776" w:rsidP="00F64776">
      <w:pPr>
        <w:pStyle w:val="TextoNormal"/>
      </w:pPr>
    </w:p>
    <w:p w14:paraId="0E9AC04C" w14:textId="6CC86F96" w:rsidR="00F64776" w:rsidRDefault="00F64776" w:rsidP="00F64776">
      <w:pPr>
        <w:pStyle w:val="TextoNormal"/>
      </w:pPr>
      <w:r>
        <w:t xml:space="preserve">En primer lugar, en contra del tenor literal de este último precepto, la providencia, transcrita en el antecedente 2 e) de este auto, no concreta los preceptos constitucionales que la Sala consideraba vulnerados (a la postre, los artículos 14 39 y 41 de la Constitución). La providencia alude solamente al “criterio habitual” de la Sala y a la posterior sentencia de la Sala de lo Social del Tribunal Supremo de 2 de marzo de 2023 que lo “revocó”, y a las “dudas” de constitucionalidad que le genera esta última jurisprudencia como motivo para abrir el trámite de audiencia a las partes para el planteamiento de la cuestión de inconstitucionalidad. Sin embargo, esta referencia a la jurisprudencia anterior y posterior no permite sanar la omisión de los preceptos constitucionales que la Sala consideraba vulnerados. Primero porque la sentencia del Tribunal Supremo solamente alude a los artículos 14 y 41 de la Constitución, no al artículo 39, que sin embargo ocupa buena parte de los razonamientos del auto de planteamiento. Y segundo porque, además, las actuaciones acreditan que esa sucinta referencia a la jurisprudencia no permitió a las partes situar la duda “en sus exactos términos constitucionales”, como exige nuestra doctrina en los casos que hemos denominado de “indeterminación relativa” de la providencia que abre el trámite de audiencia (por todas, STC 123/2021, de 3 de junio, FJ 2). En particular, el fiscal manifestó en sus alegaciones ante la Sala </w:t>
      </w:r>
      <w:r w:rsidRPr="00F64776">
        <w:rPr>
          <w:i/>
        </w:rPr>
        <w:t>a quo</w:t>
      </w:r>
      <w:r>
        <w:t xml:space="preserve"> que, dada la indeterminación de la providencia, “no podía informar” sobre la cuestión de inconstitucionalidad suscitada [antecedente 2 i)].</w:t>
      </w:r>
    </w:p>
    <w:p w14:paraId="6FEBF23C" w14:textId="77777777" w:rsidR="00F64776" w:rsidRDefault="00F64776" w:rsidP="00F64776">
      <w:pPr>
        <w:pStyle w:val="TextoNormal"/>
      </w:pPr>
    </w:p>
    <w:p w14:paraId="05155D3F" w14:textId="77777777" w:rsidR="00F64776" w:rsidRDefault="00F64776" w:rsidP="00F64776">
      <w:pPr>
        <w:pStyle w:val="TextoNormal"/>
      </w:pPr>
      <w:r w:rsidRPr="00F64776">
        <w:rPr>
          <w:rStyle w:val="NumeroAFNegritaCaracter"/>
        </w:rPr>
        <w:t>3</w:t>
      </w:r>
      <w:r>
        <w:t xml:space="preserve">. Por otra parte, aun cuando la providencia sí especifica los preceptos legales cuya constitucionalidad se cuestiona, y en este punto sí cumple las condiciones del art. 35.2 LOTC, el posterior auto de planteamiento prescindió de esta inicial delimitación y extendió la cuestión de inconstitucionalidad a preceptos no incluidos en aquella, sobre los cuales las partes no pudieron pronunciarse. Es doctrina de este tribunal que el trámite del art. 35.2 LOTC es un trámite esencial “ordenado a garantizar que no solo las partes del proceso </w:t>
      </w:r>
      <w:r w:rsidRPr="00F64776">
        <w:rPr>
          <w:i/>
        </w:rPr>
        <w:t>a quo</w:t>
      </w:r>
      <w:r>
        <w:t xml:space="preserve">, sino también el Ministerio Fiscal en todo caso, puedan contribuir a depurar el control de inconstitucionalidad al alegar sobre la pertinencia de plantear la cuestión, alegaciones que fundamentalmente habrán de versar —por un lado— sobre la vinculación entre la norma citada por el juez como cuestionable y los supuestos de hecho que se den en el caso, y, de otro lado, sobre el juicio de conformidad entre la norma y la Constitución. En el primer sentido, las alegaciones servirán para comprobar si el juez </w:t>
      </w:r>
      <w:r w:rsidRPr="00F64776">
        <w:rPr>
          <w:i/>
        </w:rPr>
        <w:t>a quo</w:t>
      </w:r>
      <w:r>
        <w:t xml:space="preserve"> propone un control concreto, esto es, ceñido al caso; en el segundo aspecto, las alegaciones podrán contribuir a que el órgano judicial vea disipadas o confirmadas sus dudas respecto a la inconstitucionalidad. Pero es un supuesto lógico necesario en ambos aspectos la previa identificación de la norma cuestionable y el posterior respeto por parte del juez de ese límite objetivo en su eventual auto de planteamiento, que, en cuanto exceda del objeto normativo fijado en el trámite abierto a las partes, incurre en trasgresión del 35.2 LOTC” (ATC 121/2008, de 6 de mayo, FJ 2, con cita de resoluciones anteriores).</w:t>
      </w:r>
    </w:p>
    <w:p w14:paraId="5F5D77F1" w14:textId="77777777" w:rsidR="00F64776" w:rsidRDefault="00F64776" w:rsidP="00F64776">
      <w:pPr>
        <w:pStyle w:val="TextoNormal"/>
      </w:pPr>
    </w:p>
    <w:p w14:paraId="4BFCB27E" w14:textId="77777777" w:rsidR="00F64776" w:rsidRDefault="00F64776" w:rsidP="00F64776">
      <w:pPr>
        <w:pStyle w:val="TextoNormal"/>
      </w:pPr>
      <w:r>
        <w:t>En este caso, la providencia citó el art. 177 LGSS y el art. 48 TRLEEP como preceptos legales de cuya constitucionalidad se dudaba. En sus alegaciones, el fiscal advirtió que el art. 48 TRLEEP no era aplicable al caso. Finalmente, el auto de planteamiento cuestionó el art. 177 LGSS, el art. 48 LET (ya no TRLEEP) y “en su caso” el art. 49 a) y c) TRLEEP.</w:t>
      </w:r>
    </w:p>
    <w:p w14:paraId="32D482FC" w14:textId="77777777" w:rsidR="00F64776" w:rsidRDefault="00F64776" w:rsidP="00F64776">
      <w:pPr>
        <w:pStyle w:val="TextoNormal"/>
      </w:pPr>
    </w:p>
    <w:p w14:paraId="54EE423A" w14:textId="3CD2D1A6" w:rsidR="00F64776" w:rsidRDefault="00F64776" w:rsidP="00F64776">
      <w:pPr>
        <w:pStyle w:val="TextoNormal"/>
      </w:pPr>
      <w:r>
        <w:t xml:space="preserve">Según la doctrina antes aludida, los preceptos legales citados en la providencia del art. 35.2 LOTC constituyen el “límite objetivo” de la cuestión de inconstitucionalidad. Por lo tanto, el Tribunal solamente podría pronunciarse sobre la constitucionalidad del art. 177 LGSS que aparece en las dos resoluciones aludidas, providencia y auto, y no sobre los otros dos incluidos solamente en esta última resolución (por ejemplo, STC 83/1993, de 8 de marzo, FJ 1). Sin embargo, del propio auto de planteamiento se desprende que estos otros preceptos, el art. 48.4 LET y el art. 49 a) y c) TRLEEP, serían igualmente determinantes de la resolución que debe adoptar el tribunal promotor de la cuestión. Ello representa, como pone de manifiesto el fiscal general del Estado, una defectuosa formulación de los juicios de aplicabilidad y relevancia que corresponde realizar al órgano </w:t>
      </w:r>
      <w:r w:rsidRPr="00F64776">
        <w:rPr>
          <w:i/>
        </w:rPr>
        <w:t>a quo</w:t>
      </w:r>
      <w:r>
        <w:t xml:space="preserve">, según reiterada doctrina (por todos, ATC 39/2019, de 21 de mayo, FJ 5, con cita de otros) pues al quedar necesariamente fuera de nuestro enjuiciamiento los arts. 48.4 LET y 49 a) y c) TRLEEP, sobre los que las partes y el Ministerio Fiscal no pudieron pronunciarse, la eventual declaración de inconstitucionalidad del art. 177 LGSS devendría irrelevante para la decisión del proceso </w:t>
      </w:r>
      <w:r w:rsidRPr="00F64776">
        <w:rPr>
          <w:i/>
        </w:rPr>
        <w:t>a quo</w:t>
      </w:r>
      <w:r>
        <w:t xml:space="preserve"> en la medida en que esos otros preceptos legales igualmente aplicables al caso impondrían la misma solución que la Sala reputa inconstitucional (para un caso similar, ATC 300/2023, de 6 de junio, FJ 3).</w:t>
      </w:r>
    </w:p>
    <w:p w14:paraId="6801F36B" w14:textId="77777777" w:rsidR="00F64776" w:rsidRDefault="00F64776" w:rsidP="00F64776">
      <w:pPr>
        <w:pStyle w:val="TextoNormal"/>
      </w:pPr>
    </w:p>
    <w:p w14:paraId="29C14782" w14:textId="54C10FBA" w:rsidR="00F64776" w:rsidRDefault="00F64776" w:rsidP="00F64776">
      <w:pPr>
        <w:pStyle w:val="TextoNormal"/>
      </w:pPr>
      <w:r w:rsidRPr="00F64776">
        <w:rPr>
          <w:rStyle w:val="NumeroAFNegritaCaracter"/>
        </w:rPr>
        <w:t>4</w:t>
      </w:r>
      <w:r>
        <w:t xml:space="preserve">. En definitiva, por las razones dichas no se dan los requisitos procesales para la admisión de la presente cuestión de inconstitucionalidad que resultan de los arts. 163 CE y 35 y 37.1 LOTC. Al errar en la identificación de los preceptos legales aplicables y omitir la cita de los preceptos constitucionales supuestamente vulnerados, la providencia del art. 35.2 LOTC no permitió a las partes y al Ministerio Fiscal tomar conocimiento cabal de la duda constitucional suscitada por la Sala promotora de la cuestión e informar fundadamente sobre sus presupuestos y sobre el fondo de la misma, defraudándose de este modo el propósito que anima el citado trámite de audiencia (entre otros, ATC 121/2008, antes citado). Por añadidura, al incluir el auto de planteamiento como objeto de la cuestión de inconstitucionalidad dos preceptos legales que la Sala promotora considera aplicables al caso pero que no habían formado parte de ese trámite de audiencia indispensable, la admisión y resolución de la presente cuestión de inconstitucionalidad debería ceñirse al art. 177 LGSS, y ello solamente podría dar lugar a un “pronunciamient[o] innecesari[o] o indiferent[e] para la decisión del proceso en que la cuestión se suscita”, lo que es igualmente motivo bastante para rechazar </w:t>
      </w:r>
      <w:r w:rsidRPr="00F64776">
        <w:rPr>
          <w:i/>
        </w:rPr>
        <w:t>a limine</w:t>
      </w:r>
      <w:r>
        <w:t xml:space="preserve"> una cuestión de inconstitucionalidad (por todos, ATC 300/2023, antes citado, FJ 3).</w:t>
      </w:r>
    </w:p>
    <w:p w14:paraId="4CA0404D" w14:textId="77777777" w:rsidR="00F64776" w:rsidRDefault="00F64776" w:rsidP="00F64776">
      <w:pPr>
        <w:pStyle w:val="TextoNormal"/>
      </w:pPr>
    </w:p>
    <w:p w14:paraId="4EDB132E" w14:textId="77777777" w:rsidR="00F64776" w:rsidRDefault="00F64776" w:rsidP="00F64776">
      <w:pPr>
        <w:pStyle w:val="TextoNormal"/>
      </w:pPr>
      <w:r>
        <w:t>Por lo expuesto, el Pleno</w:t>
      </w:r>
    </w:p>
    <w:p w14:paraId="4DB4B2BD" w14:textId="2839DCDF" w:rsidR="00F64776" w:rsidRDefault="00F64776" w:rsidP="00F64776">
      <w:pPr>
        <w:pStyle w:val="TextoNormal"/>
      </w:pPr>
    </w:p>
    <w:p w14:paraId="2C14BEC2" w14:textId="77777777" w:rsidR="00F64776" w:rsidRDefault="00F64776" w:rsidP="00F64776">
      <w:pPr>
        <w:pStyle w:val="TextoNormalCentrado"/>
      </w:pPr>
      <w:r>
        <w:t>ACUERDA</w:t>
      </w:r>
    </w:p>
    <w:p w14:paraId="6961C08D" w14:textId="6624C7E0" w:rsidR="00F64776" w:rsidRDefault="00F64776" w:rsidP="00F64776">
      <w:pPr>
        <w:pStyle w:val="TextoNormalCentrado"/>
      </w:pPr>
    </w:p>
    <w:p w14:paraId="708D1AAA" w14:textId="7044D541" w:rsidR="00F64776" w:rsidRDefault="00F64776" w:rsidP="00F64776">
      <w:pPr>
        <w:pStyle w:val="TextoNormal"/>
      </w:pPr>
      <w:r>
        <w:t>Inadmitir a trámite la presente cuestión de inconstitucionalidad.</w:t>
      </w:r>
    </w:p>
    <w:p w14:paraId="33591A3A" w14:textId="77777777" w:rsidR="00F64776" w:rsidRDefault="00F64776" w:rsidP="00F64776">
      <w:pPr>
        <w:pStyle w:val="TextoNormal"/>
      </w:pPr>
    </w:p>
    <w:p w14:paraId="1A283BB6" w14:textId="77777777" w:rsidR="00F64776" w:rsidRDefault="00F64776" w:rsidP="00F64776">
      <w:pPr>
        <w:pStyle w:val="TextoNormal"/>
      </w:pPr>
      <w:r>
        <w:t>Madrid, a veintisiete de septiembre de dos mil veintitrés.</w:t>
      </w:r>
    </w:p>
    <w:p w14:paraId="2B6DCDC0" w14:textId="2E7B1C0A" w:rsidR="00F64776" w:rsidRDefault="00F64776">
      <w:pPr>
        <w:spacing w:after="160" w:line="278" w:lineRule="auto"/>
        <w:rPr>
          <w:rFonts w:ascii="Times New Roman" w:eastAsia="Times New Roman" w:hAnsi="Times New Roman" w:cs="Times New Roman"/>
          <w:sz w:val="24"/>
          <w:szCs w:val="24"/>
          <w:lang w:eastAsia="es-ES"/>
        </w:rPr>
      </w:pPr>
      <w:r>
        <w:br w:type="page"/>
      </w:r>
    </w:p>
    <w:p w14:paraId="59F617E0" w14:textId="77777777" w:rsidR="00F64776" w:rsidRDefault="00F64776" w:rsidP="00F64776">
      <w:pPr>
        <w:pStyle w:val="TtuloResolucin"/>
      </w:pPr>
      <w:bookmarkStart w:id="232" w:name="AUTO_2023_447"/>
      <w:r>
        <w:t>AUTO 447/2023, de 5 de octubre de 2023</w:t>
      </w:r>
    </w:p>
    <w:bookmarkEnd w:id="232"/>
    <w:p w14:paraId="1DF0DD42" w14:textId="77777777" w:rsidR="00F64776" w:rsidRDefault="00F64776" w:rsidP="00F64776">
      <w:pPr>
        <w:pStyle w:val="TtuloResolucin"/>
      </w:pPr>
      <w:r>
        <w:t>Sección Cuarta</w:t>
      </w:r>
    </w:p>
    <w:p w14:paraId="21F5E32D" w14:textId="77777777" w:rsidR="00F64776" w:rsidRDefault="00F64776" w:rsidP="00F64776">
      <w:pPr>
        <w:pStyle w:val="TextoNormalCentrado"/>
      </w:pPr>
      <w:r>
        <w:t>ECLI:ES:TC:2023:447A</w:t>
      </w:r>
    </w:p>
    <w:p w14:paraId="07147C05" w14:textId="37E687D6" w:rsidR="00F64776" w:rsidRDefault="00F64776" w:rsidP="00F64776">
      <w:pPr>
        <w:pStyle w:val="TextoNormalCentrado"/>
      </w:pPr>
    </w:p>
    <w:p w14:paraId="2D346533" w14:textId="77777777" w:rsidR="00F64776" w:rsidRDefault="00F64776" w:rsidP="00F64776">
      <w:pPr>
        <w:pStyle w:val="SntesisDescriptiva"/>
      </w:pPr>
      <w:r>
        <w:t>Excms. Srs. doña María Luisa Balaguer Callejón, don Ramón Sáez Valcárcel y don Enrique Arnaldo Alcubilla.</w:t>
      </w:r>
    </w:p>
    <w:p w14:paraId="30C46C84" w14:textId="7A83CBF5" w:rsidR="00F64776" w:rsidRDefault="00F64776" w:rsidP="00F64776">
      <w:pPr>
        <w:pStyle w:val="SntesisDescriptiva"/>
      </w:pPr>
    </w:p>
    <w:p w14:paraId="39D97C82" w14:textId="77777777" w:rsidR="00F64776" w:rsidRDefault="00F64776" w:rsidP="00F64776">
      <w:pPr>
        <w:pStyle w:val="SntesisDescriptiva"/>
      </w:pPr>
      <w:r>
        <w:t>Estima el recurso de súplica interpuesto por el Ministerio Fiscal en relación con la providencia de inadmisión, e inadmite a trámite el recurso de amparo 8357-2022, promovido por Limpieza de Málaga, Sociedad Anónima Municipal, en litigio social.</w:t>
      </w:r>
    </w:p>
    <w:p w14:paraId="1C392A36" w14:textId="581507CF" w:rsidR="00F64776" w:rsidRDefault="00F64776" w:rsidP="00F64776">
      <w:pPr>
        <w:pStyle w:val="SntesisDescriptiva"/>
      </w:pPr>
    </w:p>
    <w:p w14:paraId="4313B6D7" w14:textId="77777777" w:rsidR="00F64776" w:rsidRDefault="00F64776" w:rsidP="00F64776">
      <w:pPr>
        <w:pStyle w:val="SntesisDescriptiva"/>
      </w:pPr>
    </w:p>
    <w:p w14:paraId="2AF71F38" w14:textId="77777777" w:rsidR="00F64776" w:rsidRDefault="00F64776" w:rsidP="00F64776">
      <w:pPr>
        <w:pStyle w:val="SntesisDescriptiva"/>
      </w:pPr>
    </w:p>
    <w:p w14:paraId="7F6A94B6" w14:textId="77777777" w:rsidR="00F64776" w:rsidRDefault="00F64776" w:rsidP="00F64776">
      <w:pPr>
        <w:pStyle w:val="TextoNormalNegritaCentrado"/>
      </w:pPr>
      <w:r>
        <w:t>AUTO</w:t>
      </w:r>
    </w:p>
    <w:p w14:paraId="64A4536A" w14:textId="0F20FBDA" w:rsidR="00F64776" w:rsidRDefault="00F64776" w:rsidP="00F64776">
      <w:pPr>
        <w:pStyle w:val="TextoNormalNegritaCentrado"/>
      </w:pPr>
    </w:p>
    <w:p w14:paraId="0C512C91" w14:textId="77777777" w:rsidR="00F64776" w:rsidRDefault="00F64776" w:rsidP="00F64776">
      <w:pPr>
        <w:pStyle w:val="TextoNormalNegritaCentrado"/>
        <w:keepNext/>
      </w:pPr>
      <w:r>
        <w:t>I. Antecedentes</w:t>
      </w:r>
    </w:p>
    <w:p w14:paraId="1FE140CF" w14:textId="1F7FFE72" w:rsidR="00F64776" w:rsidRDefault="00F64776" w:rsidP="00F64776">
      <w:pPr>
        <w:pStyle w:val="TextoNormalNegritaCentrado"/>
        <w:keepNext/>
      </w:pPr>
    </w:p>
    <w:p w14:paraId="3ACC58F6" w14:textId="60B4A98C" w:rsidR="00F64776" w:rsidRDefault="00F64776" w:rsidP="00F64776">
      <w:pPr>
        <w:pStyle w:val="TextoNormal"/>
      </w:pPr>
      <w:r w:rsidRPr="00F64776">
        <w:rPr>
          <w:rStyle w:val="NumeroAFNegritaCaracter"/>
        </w:rPr>
        <w:t>1</w:t>
      </w:r>
      <w:r>
        <w:t>. Por escrito registrado en este tribunal el 19 de diciembre de 2022, el procurador don Fernando Pérez Cruz, obrando en nombre y representación de la entidad Limpieza de Málaga, Sociedad Anónima Municipal, interpuso recurso de amparo contra la sentencia núm. 226/2022, de 5 de octubre de 2022, del Juzgado de lo Social núm. 11 de Málaga, por la que se estimaba la demanda presentada por el trabajador don Juan Carlos Vidal Torres contra la ahora demandante de amparo, declarando el derecho del actor, hasta entonces oficial de segunda, a ostentar la categoría profesional de oficial de primera.</w:t>
      </w:r>
    </w:p>
    <w:p w14:paraId="63F71DA2" w14:textId="77777777" w:rsidR="00F64776" w:rsidRDefault="00F64776" w:rsidP="00F64776">
      <w:pPr>
        <w:pStyle w:val="TextoNormal"/>
      </w:pPr>
    </w:p>
    <w:p w14:paraId="3F2E8A6B" w14:textId="77777777" w:rsidR="00F64776" w:rsidRDefault="00F64776" w:rsidP="00F64776">
      <w:pPr>
        <w:pStyle w:val="TextoNormal"/>
      </w:pPr>
      <w:r w:rsidRPr="00F64776">
        <w:rPr>
          <w:rStyle w:val="NumeroAFNegritaCaracter"/>
        </w:rPr>
        <w:t>2</w:t>
      </w:r>
      <w:r>
        <w:t>. Son antecedentes relevantes en el marco del recurso de amparo los siguientes:</w:t>
      </w:r>
    </w:p>
    <w:p w14:paraId="2A59BA68" w14:textId="77777777" w:rsidR="00F64776" w:rsidRDefault="00F64776" w:rsidP="00F64776">
      <w:pPr>
        <w:pStyle w:val="TextoNormal"/>
      </w:pPr>
    </w:p>
    <w:p w14:paraId="371FC159" w14:textId="77777777" w:rsidR="00F64776" w:rsidRDefault="00F64776" w:rsidP="00F64776">
      <w:pPr>
        <w:pStyle w:val="TextoNormal"/>
      </w:pPr>
      <w:r>
        <w:t>(i) Con fecha de 7 de octubre de 2022, esto es, dos días después de haberse dictado la sentencia recurrida en amparo, el mismo Juzgado de lo Social núm. 11 de Málaga dictó la sentencia núm. 231/2022, por la que se desestimaba la demanda formulada contra la misma empresa por otro trabajador, hasta entonces operario de limpieza, quien reclamaba su derecho a ostentar la categoría profesional de operario de recogida. Esta sentencia se basaba en la falta de acreditación de que el actor hubiese superado las pruebas correspondientes para acceder a la plaza de superior categoría.</w:t>
      </w:r>
    </w:p>
    <w:p w14:paraId="0DBB12D3" w14:textId="77777777" w:rsidR="00F64776" w:rsidRDefault="00F64776" w:rsidP="00F64776">
      <w:pPr>
        <w:pStyle w:val="TextoNormal"/>
      </w:pPr>
    </w:p>
    <w:p w14:paraId="33DE0B6F" w14:textId="77777777" w:rsidR="00F64776" w:rsidRDefault="00F64776" w:rsidP="00F64776">
      <w:pPr>
        <w:pStyle w:val="TextoNormal"/>
      </w:pPr>
      <w:r>
        <w:t>(ii) Considerando que se habían dictado dos sentencias con idéntico objeto —cambio de categoría— y con distinto fallo, con la consiguiente desigualdad de trato —pues en la sentencia de 5 de octubre se concede el cambio de categoría obviando la necesidad de pasar las pruebas pertinentes—, la empresa interpuso incidente de nulidad de actuaciones contra la sentencia ulteriormente recurrida en amparo, por vulneración de los derechos a la igualdad, mérito y capacidad en el empleo público (arts. 14 y 23.2 CE) y a una resolución fundada en Derecho (art. 24.1 CE).</w:t>
      </w:r>
    </w:p>
    <w:p w14:paraId="321CA6A1" w14:textId="77777777" w:rsidR="00F64776" w:rsidRDefault="00F64776" w:rsidP="00F64776">
      <w:pPr>
        <w:pStyle w:val="TextoNormal"/>
      </w:pPr>
    </w:p>
    <w:p w14:paraId="0EB8301A" w14:textId="4902401E" w:rsidR="00F64776" w:rsidRDefault="00F64776" w:rsidP="00F64776">
      <w:pPr>
        <w:pStyle w:val="TextoNormal"/>
      </w:pPr>
      <w:r>
        <w:t>(iii) Con fecha de 4 de noviembre de 2022, el juzgado de lo social núm. 11 notificó a la ahora solicitante de amparo providencia de 2 de noviembre por la que inadmitía a trámite el referido incidente de nulidad de actuaciones. En dicha providencia se indicaba que el incidente pretendía la modificación del contenido de una sentencia firme, sin alegar ninguno de los motivos de nulidad legalmente previstos, sino únicamente razones de fondo.</w:t>
      </w:r>
    </w:p>
    <w:p w14:paraId="3D56F5AE" w14:textId="77777777" w:rsidR="00F64776" w:rsidRDefault="00F64776" w:rsidP="00F64776">
      <w:pPr>
        <w:pStyle w:val="TextoNormal"/>
      </w:pPr>
    </w:p>
    <w:p w14:paraId="66CD374A" w14:textId="397528CC" w:rsidR="00F64776" w:rsidRDefault="00F64776" w:rsidP="00F64776">
      <w:pPr>
        <w:pStyle w:val="TextoNormal"/>
      </w:pPr>
      <w:r w:rsidRPr="00F64776">
        <w:rPr>
          <w:rStyle w:val="NumeroAFNegritaCaracter"/>
        </w:rPr>
        <w:t>3</w:t>
      </w:r>
      <w:r>
        <w:t>. La demanda de amparo denuncia la vulneración de varios derechos fundamentales, a saber: (i) derecho a la igualdad ante la ley (art. 14 CE), porque habría propinado, sin justificación objetiva y razonable, un trato desigual a dos situaciones idénticas —las resueltas por las sentencias 226 y 231/2022 del Juzgado de lo Social núm. 11 de Málaga—; (ii) derecho a la tutela judicial efectiva (art. 24.1 CE), en su vertiente de derecho a una resolución fundada en Derecho, ya que la sentencia impugnada estaría viciada de incongruencia y de error patente al soslayar que para el acceso y promoción en el empleo público es necesario celebrar y superar las correspondientes pruebas; (iii) derecho de acceso a la función pública de acuerdo con los principios de igualdad, mérito y capacidad (arts. 23.2 y 103.3 CE), pues la sentencia impugnada habría permitido la promoción profesional de un empleado público en régimen laboral sin haber superado este las pruebas establecidas al efecto.</w:t>
      </w:r>
    </w:p>
    <w:p w14:paraId="5BA8EDA0" w14:textId="77777777" w:rsidR="00F64776" w:rsidRDefault="00F64776" w:rsidP="00F64776">
      <w:pPr>
        <w:pStyle w:val="TextoNormal"/>
      </w:pPr>
    </w:p>
    <w:p w14:paraId="7303746E" w14:textId="65C94BA8" w:rsidR="00F64776" w:rsidRDefault="00F64776" w:rsidP="00F64776">
      <w:pPr>
        <w:pStyle w:val="TextoNormal"/>
      </w:pPr>
      <w:r w:rsidRPr="00F64776">
        <w:rPr>
          <w:rStyle w:val="NumeroAFNegritaCaracter"/>
        </w:rPr>
        <w:t>4</w:t>
      </w:r>
      <w:r>
        <w:t>. Mediante diligencia de ordenación de 12 de enero de 2023, el secretario de justicia de la Sección Cuarta de este tribunal se requirió al recurrente en amparo para que, en el plazo de diez días, aportase (i) copia de la providencia de 2 de noviembre de 2022 resolviendo la nulidad de actuaciones y (ii) acreditación fehaciente de la fecha de notificación, a su representación procesal, de la citada providencia. Tal requerimiento fue atendido por el recurrente mediante escrito registrado en este tribunal con fecha de 23 de enero de 2023.</w:t>
      </w:r>
    </w:p>
    <w:p w14:paraId="1AABFDE9" w14:textId="77777777" w:rsidR="00F64776" w:rsidRDefault="00F64776" w:rsidP="00F64776">
      <w:pPr>
        <w:pStyle w:val="TextoNormal"/>
      </w:pPr>
    </w:p>
    <w:p w14:paraId="39F809B2" w14:textId="2C824B0B" w:rsidR="00F64776" w:rsidRDefault="00F64776" w:rsidP="00F64776">
      <w:pPr>
        <w:pStyle w:val="TextoNormal"/>
      </w:pPr>
      <w:r w:rsidRPr="00F64776">
        <w:rPr>
          <w:rStyle w:val="NumeroAFNegritaCaracter"/>
        </w:rPr>
        <w:t>5</w:t>
      </w:r>
      <w:r>
        <w:t>. Mediante providencia de 4 de julio de 2023 la Sección Cuarta de este tribunal acordó no admitir a trámite el recurso de amparo con arreglo a lo previsto en el art. 50.1 a) de la Ley Orgánica del Tribunal Constitucional (LOTC), en relación con su art. 44.1 a), toda vez que no se habían agotado debidamente todos los medios de impugnación dentro de la vía judicial (no interposición del incidente de nulidad de actuaciones previsto en el art. 241.1 de la Ley Orgánica del Poder Judicial: LOPJ).</w:t>
      </w:r>
    </w:p>
    <w:p w14:paraId="2A062252" w14:textId="77777777" w:rsidR="00F64776" w:rsidRDefault="00F64776" w:rsidP="00F64776">
      <w:pPr>
        <w:pStyle w:val="TextoNormal"/>
      </w:pPr>
    </w:p>
    <w:p w14:paraId="0E194C91" w14:textId="39E16889" w:rsidR="00F64776" w:rsidRDefault="00F64776" w:rsidP="00F64776">
      <w:pPr>
        <w:pStyle w:val="TextoNormal"/>
      </w:pPr>
      <w:r w:rsidRPr="00F64776">
        <w:rPr>
          <w:rStyle w:val="NumeroAFNegritaCaracter"/>
        </w:rPr>
        <w:t>6</w:t>
      </w:r>
      <w:r>
        <w:t xml:space="preserve">. Mediante escrito registrado el 26 de julio de 2023, el Ministerio Fiscal interpuso recurso de súplica </w:t>
      </w:r>
      <w:r w:rsidRPr="00F64776">
        <w:rPr>
          <w:i/>
        </w:rPr>
        <w:t>ex</w:t>
      </w:r>
      <w:r>
        <w:t xml:space="preserve"> art. 50.3 LOTC contra la providencia de 4 de julio de 2023 (que le había sido notificada el 26 de julio). Expone que la sentencia impugnada, que resuelve un proceso laboral de clasificación profesional, no es susceptible de recurso alguno según el art. 137.3 de la Ley reguladora de la jurisdicción social, de modo que solo cabía contra ella el incidente excepcional de nulidad de actuaciones; incidente que efectivamente fue interpuesto y resultó inadmitido por providencia de 2 de noviembre de 2022, tal y como acreditó el recurrente en amparo en trámite de subsanación ante el Tribunal Constitucional. Entiende, por ello, que la providencia recurrida está aquejada de un error, y solicita que se deje sin efecto, sin perjuicio de la adopción de la resolución procedente en orden a la admisión o no, por otras causas, del recurso de amparo interpuesto.</w:t>
      </w:r>
    </w:p>
    <w:p w14:paraId="603EC264" w14:textId="77777777" w:rsidR="00F64776" w:rsidRDefault="00F64776" w:rsidP="00F64776">
      <w:pPr>
        <w:pStyle w:val="TextoNormal"/>
      </w:pPr>
    </w:p>
    <w:p w14:paraId="3DD2AC7F" w14:textId="17336146" w:rsidR="00F64776" w:rsidRDefault="00F64776" w:rsidP="00F64776">
      <w:pPr>
        <w:pStyle w:val="TextoNormal"/>
      </w:pPr>
      <w:r w:rsidRPr="00F64776">
        <w:rPr>
          <w:rStyle w:val="NumeroAFNegritaCaracter"/>
        </w:rPr>
        <w:t>7</w:t>
      </w:r>
      <w:r>
        <w:t>. Mediante diligencia de ordenación del secretario de justicia de la Sección Cuarta de 5 de septiembre de 2023 se acordó dar traslado del recurso de súplica a la representación del demandante de amparo y concederle un plazo de tres días a fin de que alegase lo que estimara pertinente al respecto.</w:t>
      </w:r>
    </w:p>
    <w:p w14:paraId="693A28BE" w14:textId="77777777" w:rsidR="00F64776" w:rsidRDefault="00F64776" w:rsidP="00F64776">
      <w:pPr>
        <w:pStyle w:val="TextoNormal"/>
      </w:pPr>
    </w:p>
    <w:p w14:paraId="0656AADE" w14:textId="1A6FA04C" w:rsidR="00F64776" w:rsidRDefault="00F64776" w:rsidP="00F64776">
      <w:pPr>
        <w:pStyle w:val="TextoNormal"/>
      </w:pPr>
      <w:r w:rsidRPr="00F64776">
        <w:rPr>
          <w:rStyle w:val="NumeroAFNegritaCaracter"/>
        </w:rPr>
        <w:t>8</w:t>
      </w:r>
      <w:r>
        <w:t>. La parte recurrente formuló alegaciones mediante escrito registrado el 7 de septiembre de 2023, en el que muestra su conformidad con el criterio del Ministerio Fiscal e interesa que se admita a trámite el recurso de súplica y se sustancia conforme al procedimiento legalmente establecido.</w:t>
      </w:r>
    </w:p>
    <w:p w14:paraId="140735C0" w14:textId="77777777" w:rsidR="00F64776" w:rsidRDefault="00F64776" w:rsidP="00F64776">
      <w:pPr>
        <w:pStyle w:val="TextoNormal"/>
      </w:pPr>
    </w:p>
    <w:p w14:paraId="2D586CDB" w14:textId="77777777" w:rsidR="00F64776" w:rsidRDefault="00F64776" w:rsidP="00F64776">
      <w:pPr>
        <w:pStyle w:val="TextoNormalNegritaCentrado"/>
        <w:keepNext/>
      </w:pPr>
      <w:r>
        <w:t>II. Fundamentos jurídicos</w:t>
      </w:r>
    </w:p>
    <w:p w14:paraId="37CF15C7" w14:textId="1E834771" w:rsidR="00F64776" w:rsidRDefault="00F64776" w:rsidP="00F64776">
      <w:pPr>
        <w:pStyle w:val="TextoNormalNegritaCentrado"/>
        <w:keepNext/>
      </w:pPr>
    </w:p>
    <w:p w14:paraId="19DBA90B" w14:textId="77777777" w:rsidR="00F64776" w:rsidRDefault="00F64776" w:rsidP="00F64776">
      <w:pPr>
        <w:pStyle w:val="TextoNormal"/>
      </w:pPr>
      <w:r w:rsidRPr="00F64776">
        <w:rPr>
          <w:rStyle w:val="NumeroAFNegritaCaracter"/>
        </w:rPr>
        <w:t>1</w:t>
      </w:r>
      <w:r>
        <w:t xml:space="preserve">. </w:t>
      </w:r>
      <w:r w:rsidRPr="00F64776">
        <w:rPr>
          <w:i/>
        </w:rPr>
        <w:t>Estimación del recurso de súplica</w:t>
      </w:r>
    </w:p>
    <w:p w14:paraId="20BC7A26" w14:textId="77777777" w:rsidR="00F64776" w:rsidRDefault="00F64776" w:rsidP="00F64776">
      <w:pPr>
        <w:pStyle w:val="TextoNormal"/>
      </w:pPr>
    </w:p>
    <w:p w14:paraId="27C21B66" w14:textId="77777777" w:rsidR="00F64776" w:rsidRDefault="00F64776" w:rsidP="00F64776">
      <w:pPr>
        <w:pStyle w:val="TextoNormal"/>
      </w:pPr>
      <w:r>
        <w:t>El fiscal ante el Tribunal Constitucional ha interpuesto recurso de súplica frente a la providencia de la Sección Cuarta de 4 de julio de 2023, que acordó no admitir a trámite el recurso de amparo núm. 8357‑2022 con arreglo a lo previsto en el art. 50.1 a) LOTC en relación con el art. 44.1 a) LOTC, al no haberse agotado debidamente los medios de impugnación dentro de la vía judicial (no interposición del incidente de nulidad de actuaciones previsto en el art. 241.1 LOPJ).</w:t>
      </w:r>
    </w:p>
    <w:p w14:paraId="4BB870A4" w14:textId="77777777" w:rsidR="00F64776" w:rsidRDefault="00F64776" w:rsidP="00F64776">
      <w:pPr>
        <w:pStyle w:val="TextoNormal"/>
      </w:pPr>
    </w:p>
    <w:p w14:paraId="1A4F7898" w14:textId="6838E197" w:rsidR="00F64776" w:rsidRDefault="00F64776" w:rsidP="00F64776">
      <w:pPr>
        <w:pStyle w:val="TextoNormal"/>
      </w:pPr>
      <w:r>
        <w:t>El recurso de súplica ha de ser estimado. Como señalan los escritos del Ministerio Fiscal y de la entidad recurrente en amparo, la providencia recurrida incurre en un error al apreciar la concurrencia de la indicada causa de inadmisión. Y es que, como se deriva de los antecedentes de este auto, el recurrente en amparo acreditó debidamente, en el plazo de subsanación concedido al efecto, haber interpuesto el incidente de nulidad de actuaciones contra la sentencia dictada en única instancia por el Juzgado de lo Social núm. 11 de Málaga, además de acreditar las fechas de inadmisión de tal incidente y de notificación de la decisión de inadmisión.</w:t>
      </w:r>
    </w:p>
    <w:p w14:paraId="6E370A76" w14:textId="77777777" w:rsidR="00F64776" w:rsidRDefault="00F64776" w:rsidP="00F64776">
      <w:pPr>
        <w:pStyle w:val="TextoNormal"/>
      </w:pPr>
    </w:p>
    <w:p w14:paraId="71994B08" w14:textId="77777777" w:rsidR="00F64776" w:rsidRDefault="00F64776" w:rsidP="00F64776">
      <w:pPr>
        <w:pStyle w:val="TextoNormal"/>
      </w:pPr>
      <w:r w:rsidRPr="00F64776">
        <w:rPr>
          <w:rStyle w:val="NumeroAFNegritaCaracter"/>
        </w:rPr>
        <w:t>2</w:t>
      </w:r>
      <w:r>
        <w:t xml:space="preserve">. </w:t>
      </w:r>
      <w:r w:rsidRPr="00F64776">
        <w:rPr>
          <w:i/>
        </w:rPr>
        <w:t>Inadmisión del recurso de amparo</w:t>
      </w:r>
    </w:p>
    <w:p w14:paraId="5C5E5B2A" w14:textId="77777777" w:rsidR="00F64776" w:rsidRDefault="00F64776" w:rsidP="00F64776">
      <w:pPr>
        <w:pStyle w:val="TextoNormal"/>
      </w:pPr>
    </w:p>
    <w:p w14:paraId="2AD53D91" w14:textId="77777777" w:rsidR="00F64776" w:rsidRDefault="00F64776" w:rsidP="00F64776">
      <w:pPr>
        <w:pStyle w:val="TextoNormal"/>
      </w:pPr>
      <w:r>
        <w:t>La estimación del recurso de súplica, además de determinar que se deje sin efecto la providencia impugnada, comporta también que deba adoptarse una nueva decisión sobre la admisibilidad del recurso de amparo, decisión que puede adoptarse en este mismo momento, tal y como hemos hecho en otras ocasiones (AATC 148/2020, de 19 de noviembre; 45/2021, de 20 de abril, y 141/2022, de 8 de noviembre, entre los más recientes). A estos efectos es preciso analizar el cumplimiento de los demás requisitos del recurso, que quedaron excluidos del análisis en su momento al apreciarse el óbice procesal determinante de la inadmisión que ahora se deja sin efecto.</w:t>
      </w:r>
    </w:p>
    <w:p w14:paraId="26419AA0" w14:textId="77777777" w:rsidR="00F64776" w:rsidRDefault="00F64776" w:rsidP="00F64776">
      <w:pPr>
        <w:pStyle w:val="TextoNormal"/>
      </w:pPr>
    </w:p>
    <w:p w14:paraId="2203B379" w14:textId="77777777" w:rsidR="00F64776" w:rsidRDefault="00F64776" w:rsidP="00F64776">
      <w:pPr>
        <w:pStyle w:val="TextoNormal"/>
      </w:pPr>
      <w:r>
        <w:t>Entre tales requisitos de admisibilidad se encuentra la exigencia procesal de justificar suficientemente la especial trascendencia constitucional del recurso de amparo [arts. 49.1 y 50.1 a) LOTC], cuyo contenido se enuncia en el artículo 50.1 b) LOTC y en la STC 155/2009, de 25 de junio, FJ 2, orientativa de los supuestos a los que responde el mandato legal. Según la consolidada doctrina de este tribunal, condensada en el ATC 177/2016, de 26 de octubre, FJ 2, dicho requisito “se configura no sólo como una carga procesal de la parte, sino también como un ‘instrumento de colaboración con la justicia constitucional, habida cuenta de que el legislador ha querido que la valoración del tribunal acerca de la especial trascendencia constitucional de cada recurso venga siempre precedida de la iniciativa y apreciaciones de la parte, recogidas en su escrito de demanda’ (SSTC 69/2011, FJ 3, y 176/2012, FJ 3)”. Y. como sintetizábamos también en el ATC 177/2016, FJ 2, es doctrina constante de este tribunal que “la carga de justificar esta especial trascendencia consiste en un ‘esfuerzo argumental’ (ATC 154/2010, de 15 de noviembre, FJ 4) que ponga en conexión las vulneraciones constitucionales alegadas con los criterios del art. 50.1 b) LOTC, explicitando la ‘proyección objetiva del amparo solicitado’ y traduciendo en el plano formal (art. 49.1 LOTC) la exigencia material de la especial trascendencia constitucional del asunto (ATC 264/2009, de 16 de noviembre, FJ único). Por esta razón, no basta razonar la existencia de la vulneración de un derecho fundamental (SSTC 69/2011, FJ 3; 143/2011, FJ 2; 176/2012, FJ 3; 178/2012, FJ 3, y 140/2013, FJ 3; también, por todos, AATC 188/2008, de 21 de julio, FJ 2; 289/2008, de 22 de septiembre, FJ 2, y 290/2008, de 22 de septiembre, FJ 2), sino que es preciso que ‘en la demanda se disocie adecuadamente la argumentación tendente a evidenciar la existencia de la lesión de un derecho fundamental —que sigue siendo, obviamente, un presupuesto inexcusable en cualquier demanda de amparo— y los razonamientos específicamente dirigidos a justificar que el recurso presenta especial trascendencia constitucional’ (STC 17/2011, de 28 de febrero, FJ 2)”.</w:t>
      </w:r>
    </w:p>
    <w:p w14:paraId="0753709C" w14:textId="77777777" w:rsidR="00F64776" w:rsidRDefault="00F64776" w:rsidP="00F64776">
      <w:pPr>
        <w:pStyle w:val="TextoNormal"/>
      </w:pPr>
    </w:p>
    <w:p w14:paraId="22AE6966" w14:textId="0CFD1325" w:rsidR="00F64776" w:rsidRDefault="00F64776" w:rsidP="00F64776">
      <w:pPr>
        <w:pStyle w:val="TextoNormal"/>
      </w:pPr>
      <w:r>
        <w:t>En el presente caso, la única referencia a la especial trascendencia constitucional que realiza el recurrente es la siguiente (página 2 de la demanda): “en cumplimiento de lo establecido en el art. 49.1 y art. 50.1 b) de la Ley Orgánica del Tribunal Constitucional, el contenido del presente recurso justifica una decisión sobre el fondo en razón de su especial trascendencia constitucional, para su aplicación, para su general eficacia, y para la determinación del contenido y alcance de los derechos fundamentales”. Se reduce, por lo tanto, a parafrasear el contenido literal, sin realizar esfuerzo argumental alguno que permita identificar ningún concreto motivo de especial trascendencia constitucional ni conectar dicha trascendencia con las concretas circunstancias del recurso de amparo que se plantea, lo cual resulta manifiestamente insuficiente para poder entender cumplida la carga que el art. 49.1 LOTC impone sobre el recurrente y, en consecuencia, conduce a la inadmisión a trámite del recurso.</w:t>
      </w:r>
    </w:p>
    <w:p w14:paraId="5CB11AB0" w14:textId="77777777" w:rsidR="00F64776" w:rsidRDefault="00F64776" w:rsidP="00F64776">
      <w:pPr>
        <w:pStyle w:val="TextoNormal"/>
      </w:pPr>
    </w:p>
    <w:p w14:paraId="1B565509" w14:textId="77777777" w:rsidR="00F64776" w:rsidRDefault="00F64776" w:rsidP="00F64776">
      <w:pPr>
        <w:pStyle w:val="TextoNormal"/>
      </w:pPr>
      <w:r>
        <w:t>Por lo expuesto, la Sección</w:t>
      </w:r>
    </w:p>
    <w:p w14:paraId="3B25002D" w14:textId="15849BB6" w:rsidR="00F64776" w:rsidRDefault="00F64776" w:rsidP="00F64776">
      <w:pPr>
        <w:pStyle w:val="TextoNormal"/>
      </w:pPr>
    </w:p>
    <w:p w14:paraId="18A838BB" w14:textId="77777777" w:rsidR="00F64776" w:rsidRDefault="00F64776" w:rsidP="00F64776">
      <w:pPr>
        <w:pStyle w:val="TextoNormalCentrado"/>
      </w:pPr>
      <w:r>
        <w:t>ACUERDA</w:t>
      </w:r>
    </w:p>
    <w:p w14:paraId="1446620C" w14:textId="6B2C2C31" w:rsidR="00F64776" w:rsidRDefault="00F64776" w:rsidP="00F64776">
      <w:pPr>
        <w:pStyle w:val="TextoNormalCentrado"/>
      </w:pPr>
    </w:p>
    <w:p w14:paraId="3BF640A2" w14:textId="77777777" w:rsidR="00F64776" w:rsidRDefault="00F64776" w:rsidP="00F64776">
      <w:pPr>
        <w:pStyle w:val="TextoNormal"/>
      </w:pPr>
      <w:r>
        <w:t>1º Estimar el recurso de súplica interpuesto por el Ministerio Fiscal y, en consecuencia, dejar sin efecto la providencia impugnada de 4 de julio de 2023, de inadmisión a trámite del recurso de amparo interpuesto por Limpieza de Málaga, Sociedad Anónima Municipal (LIMASAM).</w:t>
      </w:r>
    </w:p>
    <w:p w14:paraId="1BD119EA" w14:textId="77777777" w:rsidR="00F64776" w:rsidRDefault="00F64776" w:rsidP="00F64776">
      <w:pPr>
        <w:pStyle w:val="TextoNormal"/>
      </w:pPr>
    </w:p>
    <w:p w14:paraId="2AC76067" w14:textId="73A893E2" w:rsidR="00F64776" w:rsidRDefault="00F64776" w:rsidP="00F64776">
      <w:pPr>
        <w:pStyle w:val="TextoNormal"/>
      </w:pPr>
      <w:r>
        <w:t>2º Inadmitir a trámite el referido recurso de amparo con arreglo a lo previsto en el art. 50.1 a) LOTC, en relación con su art. 49.1, por no haber cumplido la demanda de manera suficiente con el requisito de justificación de la especial trascendencia constitucional.</w:t>
      </w:r>
    </w:p>
    <w:p w14:paraId="6065D98C" w14:textId="77777777" w:rsidR="00F64776" w:rsidRDefault="00F64776" w:rsidP="00F64776">
      <w:pPr>
        <w:pStyle w:val="TextoNormal"/>
      </w:pPr>
    </w:p>
    <w:p w14:paraId="5E932C43" w14:textId="77777777" w:rsidR="00F64776" w:rsidRDefault="00F64776" w:rsidP="00F64776">
      <w:pPr>
        <w:pStyle w:val="TextoNormal"/>
      </w:pPr>
      <w:r>
        <w:t>Madrid, a cinco de octubre de dos mil veintitrés.</w:t>
      </w:r>
    </w:p>
    <w:p w14:paraId="1676C8AD" w14:textId="65FD5F66" w:rsidR="00F64776" w:rsidRDefault="00F64776">
      <w:pPr>
        <w:spacing w:after="160" w:line="278" w:lineRule="auto"/>
        <w:rPr>
          <w:rFonts w:ascii="Times New Roman" w:eastAsia="Times New Roman" w:hAnsi="Times New Roman" w:cs="Times New Roman"/>
          <w:sz w:val="24"/>
          <w:szCs w:val="24"/>
          <w:lang w:eastAsia="es-ES"/>
        </w:rPr>
      </w:pPr>
      <w:r>
        <w:br w:type="page"/>
      </w:r>
    </w:p>
    <w:p w14:paraId="2CD9FBAD" w14:textId="77777777" w:rsidR="00F64776" w:rsidRDefault="00F64776" w:rsidP="00F64776">
      <w:pPr>
        <w:pStyle w:val="TtuloResolucin"/>
      </w:pPr>
      <w:bookmarkStart w:id="233" w:name="AUTO_2023_448"/>
      <w:r>
        <w:t>AUTO 448/2023, de 10 de octubre de 2023</w:t>
      </w:r>
    </w:p>
    <w:bookmarkEnd w:id="233"/>
    <w:p w14:paraId="2464C588" w14:textId="77777777" w:rsidR="00F64776" w:rsidRDefault="00F64776" w:rsidP="00F64776">
      <w:pPr>
        <w:pStyle w:val="TtuloResolucin"/>
      </w:pPr>
      <w:r>
        <w:t>Sección Cuarta</w:t>
      </w:r>
    </w:p>
    <w:p w14:paraId="4B381611" w14:textId="77777777" w:rsidR="00F64776" w:rsidRDefault="00F64776" w:rsidP="00F64776">
      <w:pPr>
        <w:pStyle w:val="TextoNormalCentrado"/>
      </w:pPr>
      <w:r>
        <w:t>ECLI:ES:TC:2023:448A</w:t>
      </w:r>
    </w:p>
    <w:p w14:paraId="56FEEFA1" w14:textId="0D3BD3C6" w:rsidR="00F64776" w:rsidRDefault="00F64776" w:rsidP="00F64776">
      <w:pPr>
        <w:pStyle w:val="TextoNormalCentrado"/>
      </w:pPr>
    </w:p>
    <w:p w14:paraId="397908AF" w14:textId="77777777" w:rsidR="00F64776" w:rsidRDefault="00F64776" w:rsidP="00F64776">
      <w:pPr>
        <w:pStyle w:val="SntesisDescriptiva"/>
      </w:pPr>
      <w:r>
        <w:t>Excms. Srs. doña María Luisa Balaguer Callejón, don Ramón Sáez Valcárcel y don Enrique Arnaldo Alcubilla.</w:t>
      </w:r>
    </w:p>
    <w:p w14:paraId="3DF535BA" w14:textId="031AE2BC" w:rsidR="00F64776" w:rsidRDefault="00F64776" w:rsidP="00F64776">
      <w:pPr>
        <w:pStyle w:val="SntesisDescriptiva"/>
      </w:pPr>
    </w:p>
    <w:p w14:paraId="42C241CE" w14:textId="77777777" w:rsidR="00F64776" w:rsidRDefault="00F64776" w:rsidP="00F64776">
      <w:pPr>
        <w:pStyle w:val="SntesisDescriptiva"/>
      </w:pPr>
      <w:r>
        <w:t>Estima el recurso de súplica interpuesto por el Ministerio Fiscal en relación con la providencia de inadmisión, e inadmite a trámite el recurso de amparo 8345-2022, promovido por don Ivan Líder Quito Ramos, en pleito civil.</w:t>
      </w:r>
    </w:p>
    <w:p w14:paraId="49D22A15" w14:textId="1EA533D5" w:rsidR="00F64776" w:rsidRDefault="00F64776" w:rsidP="00F64776">
      <w:pPr>
        <w:pStyle w:val="SntesisDescriptiva"/>
      </w:pPr>
    </w:p>
    <w:p w14:paraId="48343E0A" w14:textId="77777777" w:rsidR="00F64776" w:rsidRDefault="00F64776" w:rsidP="00F64776">
      <w:pPr>
        <w:pStyle w:val="SntesisDescriptiva"/>
      </w:pPr>
    </w:p>
    <w:p w14:paraId="174A2021" w14:textId="77777777" w:rsidR="00F64776" w:rsidRDefault="00F64776" w:rsidP="00F64776">
      <w:pPr>
        <w:pStyle w:val="SntesisDescriptiva"/>
      </w:pPr>
    </w:p>
    <w:p w14:paraId="1B52CBD8" w14:textId="77777777" w:rsidR="00F64776" w:rsidRDefault="00F64776" w:rsidP="00F64776">
      <w:pPr>
        <w:pStyle w:val="TextoNormalNegritaCentrado"/>
      </w:pPr>
      <w:r>
        <w:t>AUTO</w:t>
      </w:r>
    </w:p>
    <w:p w14:paraId="67932DD1" w14:textId="1451A5D0" w:rsidR="00F64776" w:rsidRDefault="00F64776" w:rsidP="00F64776">
      <w:pPr>
        <w:pStyle w:val="TextoNormalNegritaCentrado"/>
      </w:pPr>
    </w:p>
    <w:p w14:paraId="40997093" w14:textId="77777777" w:rsidR="00F64776" w:rsidRDefault="00F64776" w:rsidP="00F64776">
      <w:pPr>
        <w:pStyle w:val="TextoNormalNegritaCentrado"/>
        <w:keepNext/>
      </w:pPr>
      <w:r>
        <w:t>I. Antecedentes</w:t>
      </w:r>
    </w:p>
    <w:p w14:paraId="43B51033" w14:textId="143B4381" w:rsidR="00F64776" w:rsidRDefault="00F64776" w:rsidP="00F64776">
      <w:pPr>
        <w:pStyle w:val="TextoNormalNegritaCentrado"/>
        <w:keepNext/>
      </w:pPr>
    </w:p>
    <w:p w14:paraId="091BAB45" w14:textId="77777777" w:rsidR="00F64776" w:rsidRDefault="00F64776" w:rsidP="00F64776">
      <w:pPr>
        <w:pStyle w:val="TextoNormal"/>
      </w:pPr>
      <w:r w:rsidRPr="00F64776">
        <w:rPr>
          <w:rStyle w:val="NumeroAFNegritaCaracter"/>
        </w:rPr>
        <w:t>1</w:t>
      </w:r>
      <w:r>
        <w:t>. Constituyen antecedentes procesales del presente recurso los siguientes:</w:t>
      </w:r>
    </w:p>
    <w:p w14:paraId="08A697A5" w14:textId="77777777" w:rsidR="00F64776" w:rsidRDefault="00F64776" w:rsidP="00F64776">
      <w:pPr>
        <w:pStyle w:val="TextoNormal"/>
      </w:pPr>
    </w:p>
    <w:p w14:paraId="186BA7E8" w14:textId="77777777" w:rsidR="00F64776" w:rsidRDefault="00F64776" w:rsidP="00F64776">
      <w:pPr>
        <w:pStyle w:val="TextoNormal"/>
      </w:pPr>
      <w:r>
        <w:t>a) La señora Lozada interpuso (</w:t>
      </w:r>
      <w:r w:rsidRPr="00F64776">
        <w:rPr>
          <w:i/>
        </w:rPr>
        <w:t>ex</w:t>
      </w:r>
      <w:r>
        <w:t xml:space="preserve"> art. 12 del Convenio de La Haya de sustracción internacional de menores, de 25 de octubre de 1980) frente al señor Quito (su exmarido) demanda de restitución internacional de su hijo menor I.M., a Bolivia, por no haber sido retornado tras las navidades 2021-2022, basándose en la sentencia del Juzgado Público núm. 2 de la Niñez y Adolescencia de Oruro de 6 de abril de 2022. El señor Quito opuso la sentencia núm. 18/2022 de 24 marzo, del Juzgado de Primera Instancia instrucción núm. 2 de Barbastro (de modificación de medidas definitivas de separación núm. 14-2022), que le atribuyó la autoridad familiar, y la guarda y custodia exclusiva. En sentencia núm. 92/2022, de 27 de junio de 2022, del Juzgado de Primera Instancia instrucción núm. 1 de Huesca (procedimiento de restitución de menores núm. 336-2022) se desestimó la demanda, denegando la restitución del menor a su madre.</w:t>
      </w:r>
    </w:p>
    <w:p w14:paraId="4983DFE3" w14:textId="77777777" w:rsidR="00F64776" w:rsidRDefault="00F64776" w:rsidP="00F64776">
      <w:pPr>
        <w:pStyle w:val="TextoNormal"/>
      </w:pPr>
    </w:p>
    <w:p w14:paraId="6EE2B155" w14:textId="77777777" w:rsidR="00F64776" w:rsidRDefault="00F64776" w:rsidP="00F64776">
      <w:pPr>
        <w:pStyle w:val="TextoNormal"/>
      </w:pPr>
      <w:r>
        <w:t>b) Interpuesto recurso de apelación por la representación procesal de la señora Lozada, basándose en el acuerdo de separación ante el notario de Tarija (Bolivia) de 10 de junio de 2012, en la sentencia de divorcio (de mutuo acuerdo) de 5 de enero de 2016, del Juzgado de Primera Instancia e Instrucción núm. 2 de Barbastro y en la sentencia de 27 de agosto de 2018, del Juzgado Público núm. 1 de Familia de Tarija (de ejecución), que atribuían la guarda a la madre; oponiendo el señor Quito el art. 13 a) del Convenio de La Haya de sustracción internacional. En sentencia de la Sección Única de la Audiencia Provincial de Huesca núm. 370/2022, de 11 de noviembre de 2022, se estimó la apelación de la señora Lozada, ordenando la restitución del menor.</w:t>
      </w:r>
    </w:p>
    <w:p w14:paraId="3E055D46" w14:textId="77777777" w:rsidR="00F64776" w:rsidRDefault="00F64776" w:rsidP="00F64776">
      <w:pPr>
        <w:pStyle w:val="TextoNormal"/>
      </w:pPr>
    </w:p>
    <w:p w14:paraId="45C8A498" w14:textId="63E2E00B" w:rsidR="00F64776" w:rsidRDefault="00F64776" w:rsidP="00F64776">
      <w:pPr>
        <w:pStyle w:val="TextoNormal"/>
      </w:pPr>
      <w:r>
        <w:t>c) El 24 de noviembre de 2022, la representación procesal del señor Quito interpuso incidente de nulidad actuaciones contra sentencia de la Sección Única de la Audiencia Provincial de Huesca núm. 370/2022, por vulneración de la tutela judicial efectiva, falta de motivación, vulneración del interés superior del menor y error en la aplicación de la normativa de derecho interracial privado, solicitando la suspensión de la entrega del menor. Mediante auto del Sección Única de la Audiencia Provincial de Huesca de 13 de diciembre de 2022, se desestimó la nulidad actuaciones y se alzó la suspensión de la ejecución.</w:t>
      </w:r>
    </w:p>
    <w:p w14:paraId="26959AD5" w14:textId="77777777" w:rsidR="00F64776" w:rsidRDefault="00F64776" w:rsidP="00F64776">
      <w:pPr>
        <w:pStyle w:val="TextoNormal"/>
      </w:pPr>
    </w:p>
    <w:p w14:paraId="2AE5370C" w14:textId="77777777" w:rsidR="00F64776" w:rsidRDefault="00F64776" w:rsidP="00F64776">
      <w:pPr>
        <w:pStyle w:val="TextoNormal"/>
      </w:pPr>
      <w:r w:rsidRPr="00F64776">
        <w:rPr>
          <w:rStyle w:val="NumeroAFNegritaCaracter"/>
        </w:rPr>
        <w:t>2</w:t>
      </w:r>
      <w:r>
        <w:t>. El 18 de diciembre de 2022 se presentó por la representación procesal del señor Quito, en la sede electrónica del registro del Tribunal Constitucional, demanda de amparo por vulneración del derecho a la tutela judicial efectiva, en vertiente falta de motivación, y lesión del interés del menor, contra la sentencia de la Sección Única de la Audiencia Provincial de Huesca núm. 370/2022, de 11 de noviembre, que desestimaba la apelación y ordenaba la restitución del hijo menor I.M., a Bolivia; solicitando la suspensión cautelar de sentencia recurrida.</w:t>
      </w:r>
    </w:p>
    <w:p w14:paraId="0BD1DC63" w14:textId="77777777" w:rsidR="00F64776" w:rsidRDefault="00F64776" w:rsidP="00F64776">
      <w:pPr>
        <w:pStyle w:val="TextoNormal"/>
      </w:pPr>
    </w:p>
    <w:p w14:paraId="1F5F690A" w14:textId="77777777" w:rsidR="00F64776" w:rsidRDefault="00F64776" w:rsidP="00F64776">
      <w:pPr>
        <w:pStyle w:val="TextoNormal"/>
      </w:pPr>
      <w:r>
        <w:t>En concreto, el recurrente considera que la sentencia de la Sección Única de la Audiencia Provincial de Huesca núm. 370/2022 impugnada careció de motivación y lesionó el interés del menor, ya que en el procedimiento de restitución de menores núm. 336-2022 del Juzgado de Primera Instancia e Instrucción núm. 1 de Huesca constó la prueba documental de la exploración judicial del menor (practicada el 23 de marzo de 2022, en las actuaciones del procedimiento de modificación de medidas definitivas de divorcio núm. 14-2022, del Juzgado de Primera Instancia e Instrucción núm. 2 de Barbastro, que atribuyó la guarda exclusivamente al padre), de forma que en el fundamento 2 de la sentencia núm. 92/2022, de 27 de junio de 2022, del Juzgado de Primera Instancia e Instrucción núm. 1 de Huesca, se reflejaba la difícil relación del menor I.M., con su madre y su negativa a regresar a Bolivia. Sin embargo, ilógicamente, la sentencia de la Sección Única de la Audiencia Provincial de Huesca núm. 370/2022, de 11 de noviembre, en sus fundamentos jurídicos 3 y 4, prescindió de tal manifestación del menor, reprochando al señor Quito la falta de aportación de un dictamen técnico complementario sobre el menor (cuando dicha carga probatoria recaía en el Ministerio Público o en el tribunal de oficio). Todo ello dio lugar a que la sentencia de la Sección Única Audiencia Provincial de Huesca núm. 370/2022, revocando la de instancia y ordenando la restitución, resultase irrazonable, contraria al principio de seguridad jurídica (art. 9.3 CE) y a la tutela del interés superior del menor (art. 39 CE) acreditado.</w:t>
      </w:r>
    </w:p>
    <w:p w14:paraId="77255A37" w14:textId="77777777" w:rsidR="00F64776" w:rsidRDefault="00F64776" w:rsidP="00F64776">
      <w:pPr>
        <w:pStyle w:val="TextoNormal"/>
      </w:pPr>
    </w:p>
    <w:p w14:paraId="42855F1D" w14:textId="34CA1D71" w:rsidR="00F64776" w:rsidRDefault="00F64776" w:rsidP="00F64776">
      <w:pPr>
        <w:pStyle w:val="TextoNormal"/>
      </w:pPr>
      <w:r>
        <w:t>En punto a la justificación de la especial trascendencia constitucional, en el otrosí digo segundo de la demanda alegó que se produjo un “incumplimiento o desconocimiento por la jurisdicción ordinaria, de la doctrina del Tribunal Constitucional sobre el derecho fundamental alegado en el recurso y la negativa del deber de acatamiento de dicha doctrina” recogida en la STC 16/2016, de 1 de febrero.</w:t>
      </w:r>
    </w:p>
    <w:p w14:paraId="2E29453C" w14:textId="77777777" w:rsidR="00F64776" w:rsidRDefault="00F64776" w:rsidP="00F64776">
      <w:pPr>
        <w:pStyle w:val="TextoNormal"/>
      </w:pPr>
    </w:p>
    <w:p w14:paraId="5E234BBE" w14:textId="26C4F3C8" w:rsidR="00F64776" w:rsidRDefault="00F64776" w:rsidP="00F64776">
      <w:pPr>
        <w:pStyle w:val="TextoNormal"/>
      </w:pPr>
      <w:r w:rsidRPr="00F64776">
        <w:rPr>
          <w:rStyle w:val="NumeroAFNegritaCaracter"/>
        </w:rPr>
        <w:t>3</w:t>
      </w:r>
      <w:r>
        <w:t>. Por diligencia de ordenación de la Sala Segunda del Tribunal Constitucional, de 19 de enero de 2023, se tuvo por presentado el recurso amparo del señor Quito (núm. 8345-2022), atribuyéndolo a la Sección Cuarta, la cual en providencia de 17 de julio de 2023, acordó su inadmisión a trámite por “no ha agotado debidamente los medios de impugnación dentro de la vía judicial (no interposición del incidente de nulidad actuaciones previsto en el art. 241.1 LOPJ)”, notificándose la resolución al Ministerio Fiscal y al recurrente.</w:t>
      </w:r>
    </w:p>
    <w:p w14:paraId="74A86B12" w14:textId="77777777" w:rsidR="00F64776" w:rsidRDefault="00F64776" w:rsidP="00F64776">
      <w:pPr>
        <w:pStyle w:val="TextoNormal"/>
      </w:pPr>
    </w:p>
    <w:p w14:paraId="08C8F4AC" w14:textId="1DCF671A" w:rsidR="00F64776" w:rsidRDefault="00F64776" w:rsidP="00F64776">
      <w:pPr>
        <w:pStyle w:val="TextoNormal"/>
      </w:pPr>
      <w:r w:rsidRPr="00F64776">
        <w:rPr>
          <w:rStyle w:val="NumeroAFNegritaCaracter"/>
        </w:rPr>
        <w:t>4</w:t>
      </w:r>
      <w:r>
        <w:t>. Mediante escrito presentado el 7 septiembre 2023, el fiscal ante el Tribunal Constitucional interpuso recurso de súplica (</w:t>
      </w:r>
      <w:r w:rsidRPr="00F64776">
        <w:rPr>
          <w:i/>
        </w:rPr>
        <w:t>ex</w:t>
      </w:r>
      <w:r>
        <w:t xml:space="preserve"> art. 50.3 de la Ley Orgánica del Tribunal Constitucional: LOTC ) contra la providencia de la Sección Cuarta de la Sala Segunda del Tribunal Constitucional de 17 de julio de 2023, exponiendo como constaba en las actuaciones del recurso de amparo núm. 8345-2022 que, el 24 de noviembre de 2022, el señor Quito interpuso en el procedimiento de origen incidente de nulidad actuaciones contra la sentencia de la Sección Única de la Audiencia Provincial de Huesca núm. 370/2022 de apelación, el cual fue desestimado por auto de la Sección Única de la Audiencia Provincial de Huesca de 13 de diciembre de 2022; razón por la que, el señor Quito habría agotado los medios de impugnación ante la jurisdicción ordinaria, y no procedería la inadmisión del amparo por falta de agotamiento en la vía judicial previa. En consecuencia, interesa el fiscal la estimación del recurso de súplica, dejando sin efecto la providencia recurrida, con reposición de las actuaciones al momento anterior a su dictado, “sin perjuicio de que proceda, en caso de estimación, la comprobación del resto de los requisitos formales y sustantivos de admisión de la pretensión de amparo”.</w:t>
      </w:r>
    </w:p>
    <w:p w14:paraId="46E0E3F3" w14:textId="77777777" w:rsidR="00F64776" w:rsidRDefault="00F64776" w:rsidP="00F64776">
      <w:pPr>
        <w:pStyle w:val="TextoNormal"/>
      </w:pPr>
    </w:p>
    <w:p w14:paraId="56EAA310" w14:textId="64A46D3A" w:rsidR="00F64776" w:rsidRDefault="00F64776" w:rsidP="00F64776">
      <w:pPr>
        <w:pStyle w:val="TextoNormal"/>
      </w:pPr>
      <w:r w:rsidRPr="00F64776">
        <w:rPr>
          <w:rStyle w:val="NumeroAFNegritaCaracter"/>
        </w:rPr>
        <w:t>5</w:t>
      </w:r>
      <w:r>
        <w:t>. En escrito presentado el 13 septiembre 2023, la representación procesal del señor Quito Ramos se adhiere al recurso de súplica del fiscal, señalando que “consta acreditada documentalmente y aportado como documento núm. 4 junto con el escrito de demanda de amparo (documento núm. 6 de la relación de los anexos del acuse de recibo electrónico), el auto de 31 de diciembre 2022 dictado por la Ilma. Audiencia Provincial de Huesca, desestimatorio de la nulidad actuaciones planteada”; por lo que “no existiendo señaladas en la referida providencia otras causas de inadmisión de recurso, […] interesando la admisión del mismo”.</w:t>
      </w:r>
    </w:p>
    <w:p w14:paraId="6552E24D" w14:textId="77777777" w:rsidR="00F64776" w:rsidRDefault="00F64776" w:rsidP="00F64776">
      <w:pPr>
        <w:pStyle w:val="TextoNormal"/>
      </w:pPr>
    </w:p>
    <w:p w14:paraId="12B25D68" w14:textId="77777777" w:rsidR="00F64776" w:rsidRDefault="00F64776" w:rsidP="00F64776">
      <w:pPr>
        <w:pStyle w:val="TextoNormalNegritaCentrado"/>
        <w:keepNext/>
      </w:pPr>
      <w:r>
        <w:t>II. Fundamentos jurídicos</w:t>
      </w:r>
    </w:p>
    <w:p w14:paraId="703CB3FF" w14:textId="63D237C5" w:rsidR="00F64776" w:rsidRDefault="00F64776" w:rsidP="00F64776">
      <w:pPr>
        <w:pStyle w:val="TextoNormalNegritaCentrado"/>
        <w:keepNext/>
      </w:pPr>
    </w:p>
    <w:p w14:paraId="70719C5C" w14:textId="7133FE9F" w:rsidR="00F64776" w:rsidRDefault="00F64776" w:rsidP="00F64776">
      <w:pPr>
        <w:pStyle w:val="TextoNormal"/>
      </w:pPr>
      <w:r w:rsidRPr="00F64776">
        <w:rPr>
          <w:rStyle w:val="NumeroAFNegritaCaracter"/>
        </w:rPr>
        <w:t>1</w:t>
      </w:r>
      <w:r>
        <w:t>. El objeto del presente procedimiento es resolver el recurso de súplica interpuesto por el fiscal contra la providencia de la Sección Cuarta de la Sala segunda del Tribunal Constitucional, de 17 julio de 2023, en la que se acordaba la inadmisión a trámite del recurso de amparo núm. 8345-2022, interpuesto por el señor Quito Ramos, por la falta de agotamiento de la vía judicial ordinaria, al no haber interpuesto el incidente de nulidad actuaciones. Agrega el fiscal que la estimación de su súplica dejaría abierta la posible inadmisión del amparo por otras causas. La representación procesal del señor Quito Ramos se adhiere al recurso del fiscal, si bien solicitando —además— la admisión del citado recurso de amparo.</w:t>
      </w:r>
    </w:p>
    <w:p w14:paraId="31A513DD" w14:textId="77777777" w:rsidR="00F64776" w:rsidRDefault="00F64776" w:rsidP="00F64776">
      <w:pPr>
        <w:pStyle w:val="TextoNormal"/>
      </w:pPr>
    </w:p>
    <w:p w14:paraId="519CBE4D" w14:textId="09F1649E" w:rsidR="00F64776" w:rsidRDefault="00F64776" w:rsidP="00F64776">
      <w:pPr>
        <w:pStyle w:val="TextoNormal"/>
      </w:pPr>
      <w:r w:rsidRPr="00F64776">
        <w:rPr>
          <w:rStyle w:val="NumeroAFNegritaCaracter"/>
        </w:rPr>
        <w:t>2</w:t>
      </w:r>
      <w:r>
        <w:t>. El recurso súplica debe ser estimado en cuanto que, efectivamente, frente a la sentencia de la Sección Única de la Audiencia Provincial de Huesca núm. 330/2022, de 11 de noviembre (apelación núm. 393/2022) notificada el 17 de noviembre de 2022, estimando el recurso de apelación de la señora Lozada, la representación procesal del señor Quito interpuso, el 24 de noviembre de 2022, incidente de nulidad actuaciones (invocando la vulneración del derecho fundamental a la tutela judicial efectiva, en vertiente de falta de motivación, por ausencia de ponderación del interés del menor), el cual fue desestimado por auto de la Sección Única de la Audiencia Provincial de Huesca de 13 de diciembre de 2022 (notificado el 14 de diciembre de 2022). Es por ello por lo que debemos estimar la pretensión suplicada por el Ministerio Público, y entender debidamente cumplido por el recurrente el requisito del agotamiento de todos los medios de impugnación previstos por las normas dentro de la vía judicial [art. 44.1 a) LOTC], dejando sin efecto la providencia recurrida. Sin que se produzca como consecuencia de esta anulación la automática admisión a trámite del recurso de amparo, como solicita la parte recurrente en sus alegaciones (por todos, ATC 88/2021 de 27 de septiembre, FJ 4).</w:t>
      </w:r>
    </w:p>
    <w:p w14:paraId="7D689968" w14:textId="77777777" w:rsidR="00F64776" w:rsidRDefault="00F64776" w:rsidP="00F64776">
      <w:pPr>
        <w:pStyle w:val="TextoNormal"/>
      </w:pPr>
    </w:p>
    <w:p w14:paraId="042768C4" w14:textId="77777777" w:rsidR="00F64776" w:rsidRDefault="00F64776" w:rsidP="00F64776">
      <w:pPr>
        <w:pStyle w:val="TextoNormal"/>
      </w:pPr>
      <w:r w:rsidRPr="00F64776">
        <w:rPr>
          <w:rStyle w:val="NumeroAFNegritaCaracter"/>
        </w:rPr>
        <w:t>3</w:t>
      </w:r>
      <w:r>
        <w:t>. Efectivamente, debe tenerse presente que el art. 50.1 LOTC, en punto a la admisión del recurso amparo, decreta que esta solo procederá “cuando concurran todos los […] requisitos”, haciendo referencia —de forma acumulativa— tanto a las exigencias de la letra a) del ordinal 1 del art. 50 LOTC (presupuestos procesales y materiales relacionados con la naturaleza subsidiaria del amparo), como a los de la letra b) del ordinal 1 del art. 50 LOTC (requisitos sustanciales relativos a la especial trascendencia constitucional objetiva, introducida por la Ley Orgánica 6/2007). Por lo tanto, aunque “la demanda cumpla con lo dispuesto en los artículos 41 a 46” [art. 50.1 a) LOTC] no por ello puede ser dispensada —ni aún mediante la estimación de un recurso de súplica del fiscal— del examen por el tribunal, en trámite de admisión de la demanda, de la justificación de la especial trascendencia constitucional del recurso [bien por su insuficiencia, del art. 49.1 LOTC, o bien por su ausencia, del art. 50.1 b) LOTC]. Tal dispensa resultaría contraria a la sujeción del Tribunal Constitucional a la Constitución y a su ley orgánica [art. 161.1 b) CE y art. 50.1 LOTC], al principio de seguridad jurídica (art. 9.3 CE) y al principio de igualdad en la aplicación de la ley (art. 14 CE) en la admisión de los recursos de amparo por las secciones (art. 50.1 LOTC).</w:t>
      </w:r>
    </w:p>
    <w:p w14:paraId="2BFF096F" w14:textId="77777777" w:rsidR="00F64776" w:rsidRDefault="00F64776" w:rsidP="00F64776">
      <w:pPr>
        <w:pStyle w:val="TextoNormal"/>
      </w:pPr>
    </w:p>
    <w:p w14:paraId="0B2C4743" w14:textId="2DCDBE82" w:rsidR="00F64776" w:rsidRDefault="00F64776" w:rsidP="00F64776">
      <w:pPr>
        <w:pStyle w:val="TextoNormal"/>
      </w:pPr>
      <w:r>
        <w:t>Así, es doctrina reiterada del Tribunal Constitucional (AATC 88/2021, de 27 de septiembre, FJ 4; 141/2022, de 8 de noviembre, FJ 2 , y 267/2023 de 30 de mayo, FJ 5) que “[l]a estimación del recurso de súplica determina que se deje sin efecto la providencia impugnada por el fiscal, sin que esto comporte la admisión a trámite del […] recurso de amparo, asunto sobre el que ha de adoptarse la decisión que corresponda. Decisión que, a los efectos de clarificar el criterio de este tribunal por lo que atañe a la admisión de recursos de amparo como el ahora examinado, conviene adoptar en este mismo auto”; ya que —por lo que importa en el presente caso— “corresponde únicamente al tribunal apreciar en cada caso, en el momento de admitir a trámite el recurso de amparo, si este tiene especial trascendencia constitucional” [por todas, STC 87/2023 de 17 de julio, FJ 2 b)].</w:t>
      </w:r>
    </w:p>
    <w:p w14:paraId="5F7335E6" w14:textId="77777777" w:rsidR="00F64776" w:rsidRDefault="00F64776" w:rsidP="00F64776">
      <w:pPr>
        <w:pStyle w:val="TextoNormal"/>
      </w:pPr>
    </w:p>
    <w:p w14:paraId="2D83FD40" w14:textId="77777777" w:rsidR="00F64776" w:rsidRDefault="00F64776" w:rsidP="00F64776">
      <w:pPr>
        <w:pStyle w:val="TextoNormal"/>
      </w:pPr>
      <w:r w:rsidRPr="00F64776">
        <w:rPr>
          <w:rStyle w:val="NumeroAFNegritaCaracter"/>
        </w:rPr>
        <w:t>4</w:t>
      </w:r>
      <w:r>
        <w:t xml:space="preserve">. Respecto de la especial trascendencia constitucional, en la STC 45/2022, de 23 de marzo, FJ 2, recordamos que «“la previsión del art. 49.1 </w:t>
      </w:r>
      <w:r w:rsidRPr="00F64776">
        <w:rPr>
          <w:i/>
        </w:rPr>
        <w:t>in fine</w:t>
      </w:r>
      <w:r>
        <w:t xml:space="preserve"> LOTC, que establece que ‘[e]n todo caso, la demanda justificará la especial trascendencia constitucional del recurso’, se configura como una carga procesal de la parte y, al tiempo, como instrumento de colaboración con la justicia constitucional, habida cuenta de que el legislador ha querido que la valoración del Tribunal acerca de la especial trascendencia constitucional de cada recurso venga siempre precedida de la iniciativa y apreciaciones de la parte, recogidas en su escrito de demanda (STC 178/2012, de 15 de octubre, FJ 3). A la parte recurrente, pues, le es exigible un ‘esfuerzo argumental’ (ATC 154/2010, de 15 de noviembre, FJ 4) que ponga en conexión las vulneraciones constitucionales que alega con los criterios establecidos en el artículo 50.1 b) LOTC; criterios que se concretan, sin ánimo exhaustivo, en los supuestos contemplados en el fundamento jurídico 2 de la conocida STC 155/2009, de 25 de junio. De este modo, no basta argumentar la existencia de la vulneración de un derecho fundamental (SSTC 17/2011, de 28 de febrero, FJ 2; 69/2011, de 16 de mayo, FJ 3; 143/2011, de 26 de septiembre, FJ 2, y 191/2011, de 12 de diciembre, FJ 3; también AATC 188/2008, de 21 de julio, FJ 2; 289/2008, de 22 de septiembre, FJ 2; 290/2008, de 22 de septiembre, FJ 2; 80/2009, de 9 de marzo, FJ 2, y 186/2010, de 29 de noviembre, FJ único). Es preciso que ‘en la demanda se disocie adecuadamente la argumentación tendente a evidenciar la existencia de la lesión de un derecho fundamental —que sigue siendo, obviamente, un presupuesto inexcusable en cualquier demanda de amparo— y los razonamientos específicamente dirigidos a justificar que el recurso presenta especial trascendencia constitucional’ (STC 17/2011, de 28 de febrero, FJ 2)” (STC 91/2021, de 28 de febrero, FJ 2)».</w:t>
      </w:r>
    </w:p>
    <w:p w14:paraId="37205269" w14:textId="77777777" w:rsidR="00F64776" w:rsidRDefault="00F64776" w:rsidP="00F64776">
      <w:pPr>
        <w:pStyle w:val="TextoNormal"/>
      </w:pPr>
    </w:p>
    <w:p w14:paraId="0ED35CBE" w14:textId="2B601A57" w:rsidR="00F64776" w:rsidRDefault="00F64776" w:rsidP="00F64776">
      <w:pPr>
        <w:pStyle w:val="TextoNormal"/>
      </w:pPr>
      <w:r>
        <w:t>La doctrina del Tribunal respecto de dicha carga alegatoria (por todos ATC 78/2017, de 10 de mayo, FJ 2; doctrina reiterada, en lo sustancial, por los AATC 154/2017, de 16 de noviembre, FJ 2, y 50/2018 de 3 de mayo, FJ Único) exige que el recurrente “ponga en conexión las vulneraciones constitucionales alegadas con los criterios del art. 50.1 b) LOTC, explicitando la ‘proyección objetiva del amparo solicitado’ y traduciendo en el plano formal (art. 49 .1 LOTC) la exigencia material de la especial trascendencia constitucional del asunto (ATC 264/2009, de 16 de noviembre, FJ único). Por esta razón, no basta razonar la existencia de la vulneración de un derecho fundamental (SSTC 69/2011, FJ 3; 143/2011, FJ 2; 176/2012, FJ 3; 178/2012, FJ 3; y 140/2013, FJ 3; también, por todos, AATC 188/2008, de 21 de julio, FJ 2; 289/2008, de 22 de septiembre, FJ 2; y 290/2008, de 22 de septiembre, FJ 2), sino que es preciso que ‘en la demanda se disocie adecuadamente la argumentación tendente a evidenciar la existencia de la lesión de un derecho fundamental y los razonamientos específicamente dirigidos a justificar que el recurso presenta especial trascendencia constitucional’ (STC 17/2011, de 28 de febrero, FJ 2). Consecuentemente, ‘la exposición sobre la verosimilitud de la lesión del derecho fundamental no puede suplir la omisión de una argumentación expresa sobre la trascendencia constitucional del recurso de amparo’ (ATC 252/2009, de 19 de octubre, FJ 1. Por lo mismo, tampoco satisface este requisito la demanda que pretende cumplimentar la carga justificativa con una ‘simple o abstracta mención’” de la especial trascendencia constitucional, “‘huérfana de la más mínima argumentación’, que no permita advertir ‘por qué el contenido del recurso de amparo justifica una decisión sobre el fondo en atención a su importancia para la interpretación, aplicación o general eficacia de la Constitución o para la determinación del contenido y alcance de los derechos fundamentales’ que se aleguen”.</w:t>
      </w:r>
    </w:p>
    <w:p w14:paraId="2E883A02" w14:textId="77777777" w:rsidR="00F64776" w:rsidRDefault="00F64776" w:rsidP="00F64776">
      <w:pPr>
        <w:pStyle w:val="TextoNormal"/>
      </w:pPr>
    </w:p>
    <w:p w14:paraId="44FDA171" w14:textId="77777777" w:rsidR="00F64776" w:rsidRDefault="00F64776" w:rsidP="00F64776">
      <w:pPr>
        <w:pStyle w:val="TextoNormal"/>
      </w:pPr>
      <w:r w:rsidRPr="00F64776">
        <w:rPr>
          <w:rStyle w:val="NumeroAFNegritaCaracter"/>
        </w:rPr>
        <w:t>5</w:t>
      </w:r>
      <w:r>
        <w:t>. En el presente caso, no cabe entender cumplida en la demanda del recurrente la carga procesal alegatoria impuesta por el art. 49.1 LOTC, ni que este haya desarrollado el esfuerzo argumental exigible para disociar la especial trascendencia constitucional de las vulneraciones constitucionales denunciadas, habiendo confundido la justificación formal y objetiva de la especial trascendencia constitucional con la vulneración del derecho fundamental subjetivo a la tutela judicial efectiva (art. 24.1 CE) en la vertiente de falta de motivación, en supuesto de sustracción de menor.</w:t>
      </w:r>
    </w:p>
    <w:p w14:paraId="67E82D92" w14:textId="77777777" w:rsidR="00F64776" w:rsidRDefault="00F64776" w:rsidP="00F64776">
      <w:pPr>
        <w:pStyle w:val="TextoNormal"/>
      </w:pPr>
    </w:p>
    <w:p w14:paraId="17F2484A" w14:textId="77777777" w:rsidR="00F64776" w:rsidRDefault="00F64776" w:rsidP="00F64776">
      <w:pPr>
        <w:pStyle w:val="TextoNormal"/>
      </w:pPr>
      <w:r>
        <w:t>En concreto, toda la argumentación de la trascendencia constitucional de la demanda se ciñe —exclusivamente— a una frase en el otrosí digo segundo, que dice: “incumplimiento o desconocimiento por la jurisdicción ordinaria, de la doctrina del Tribunal Constitucional sobre el derecho fundamental alegado en el recurso y la negativa del deber de acatamiento de dicha doctrina”, identificándola —a reglón seguido— con la vulneración del derecho subjetivo a la tutela judicial efectiva sin indefensión, por contravención o falta de ponderación del principio del interés superior del menor (art. 39 CE) y del principio seguridad jurídica (art. 9.3 CE) en los términos de la STC 16/2016.</w:t>
      </w:r>
    </w:p>
    <w:p w14:paraId="5F8AC02D" w14:textId="77777777" w:rsidR="00F64776" w:rsidRDefault="00F64776" w:rsidP="00F64776">
      <w:pPr>
        <w:pStyle w:val="TextoNormal"/>
      </w:pPr>
    </w:p>
    <w:p w14:paraId="4130088F" w14:textId="7CC91E07" w:rsidR="00F64776" w:rsidRDefault="00F64776" w:rsidP="00F64776">
      <w:pPr>
        <w:pStyle w:val="TextoNormal"/>
      </w:pPr>
      <w:r>
        <w:t>Esta mera evocación en un otrosí accesorio de la demanda de alguno de los criterios de especial trascendencia constitucional, acompañada de la cita numérica de una sentencia del Tribunal, sin un razonamiento específico del recurrente que proporcione al Tribunal los elementos de juicio sobre la proyección objetiva del supuesto sobre el contenido y alcance del derecho fundamental del art. 24.1 CE, respecto del canon básico de la motivación en casos de menores (analizando el FJ 6 de la STC 16/2016), por falta absoluta de ponderación (STC 138/2014 ,de 8 septiembre, FJ 5), o por exclusión del criterio (STC 127/2013) o por ser una medida innecesaria y desproporcionada (STC 176/2008 de 22 de diciembre, FJ 6)], no cumple con la mínima carga alegatoria de la trascendencia constitucional. Dicha insuficiencia impide tener por justificada la especial trascendencia, pues “no corresponde al Tribunal ‘reconstruir de oficio las demandas, supliendo las razones que las partes no hayan expuesto’” [por todas, STC 155/2019, de 28 de noviembre, FJ 7 c)].</w:t>
      </w:r>
    </w:p>
    <w:p w14:paraId="5B2EA5BD" w14:textId="77777777" w:rsidR="00F64776" w:rsidRDefault="00F64776" w:rsidP="00F64776">
      <w:pPr>
        <w:pStyle w:val="TextoNormal"/>
      </w:pPr>
    </w:p>
    <w:p w14:paraId="676F5CDE" w14:textId="77777777" w:rsidR="00F64776" w:rsidRDefault="00F64776" w:rsidP="00F64776">
      <w:pPr>
        <w:pStyle w:val="TextoNormal"/>
      </w:pPr>
      <w:r>
        <w:t>Por lo expuesto, la Sección</w:t>
      </w:r>
    </w:p>
    <w:p w14:paraId="37EDEA98" w14:textId="3D4DA994" w:rsidR="00F64776" w:rsidRDefault="00F64776" w:rsidP="00F64776">
      <w:pPr>
        <w:pStyle w:val="TextoNormal"/>
      </w:pPr>
    </w:p>
    <w:p w14:paraId="4776D2D1" w14:textId="77777777" w:rsidR="00F64776" w:rsidRDefault="00F64776" w:rsidP="00F64776">
      <w:pPr>
        <w:pStyle w:val="TextoNormalCentrado"/>
      </w:pPr>
      <w:r>
        <w:t>ACUERDA</w:t>
      </w:r>
    </w:p>
    <w:p w14:paraId="5FEDAAC0" w14:textId="3BBC7239" w:rsidR="00F64776" w:rsidRDefault="00F64776" w:rsidP="00F64776">
      <w:pPr>
        <w:pStyle w:val="TextoNormalCentrado"/>
      </w:pPr>
    </w:p>
    <w:p w14:paraId="48ECB361" w14:textId="77777777" w:rsidR="00F64776" w:rsidRDefault="00F64776" w:rsidP="00F64776">
      <w:pPr>
        <w:pStyle w:val="TextoNormal"/>
      </w:pPr>
      <w:r>
        <w:t>1º Estimar el recurso de súplica interpuesto por el Ministerio Fiscal y, en consecuencia, dejar sin efecto la providencia de 17 de julio de 2023 impugnada, de inadmisión a trámite del recurso de amparo núm. 8345-2022, interpuesto por don Iván Líder Quito Ramos.</w:t>
      </w:r>
    </w:p>
    <w:p w14:paraId="120AE615" w14:textId="77777777" w:rsidR="00F64776" w:rsidRDefault="00F64776" w:rsidP="00F64776">
      <w:pPr>
        <w:pStyle w:val="TextoNormal"/>
      </w:pPr>
    </w:p>
    <w:p w14:paraId="76BD3706" w14:textId="19BE8FFC" w:rsidR="00F64776" w:rsidRDefault="00F64776" w:rsidP="00F64776">
      <w:pPr>
        <w:pStyle w:val="TextoNormal"/>
      </w:pPr>
      <w:r>
        <w:t>2º Inadmitir a trámite el referido recurso de amparo núm. 8345-2022, con arreglo a lo previsto en el art. 50.1 a) LOTC, en relación con su art. 49.1, toda vez que la demanda no justifica suficientemente la especial trascendencia constitucional del recurso de amparo.</w:t>
      </w:r>
    </w:p>
    <w:p w14:paraId="12802B5F" w14:textId="77777777" w:rsidR="00F64776" w:rsidRDefault="00F64776" w:rsidP="00F64776">
      <w:pPr>
        <w:pStyle w:val="TextoNormal"/>
      </w:pPr>
    </w:p>
    <w:p w14:paraId="5619CA14" w14:textId="77777777" w:rsidR="00F64776" w:rsidRDefault="00F64776" w:rsidP="00F64776">
      <w:pPr>
        <w:pStyle w:val="TextoNormal"/>
      </w:pPr>
      <w:r>
        <w:t>Madrid, a diez de octubre de dos mil veintitrés.</w:t>
      </w:r>
    </w:p>
    <w:p w14:paraId="28302107" w14:textId="596FDF56" w:rsidR="00F64776" w:rsidRDefault="00F64776">
      <w:pPr>
        <w:spacing w:after="160" w:line="278" w:lineRule="auto"/>
        <w:rPr>
          <w:rFonts w:ascii="Times New Roman" w:eastAsia="Times New Roman" w:hAnsi="Times New Roman" w:cs="Times New Roman"/>
          <w:sz w:val="24"/>
          <w:szCs w:val="24"/>
          <w:lang w:eastAsia="es-ES"/>
        </w:rPr>
      </w:pPr>
      <w:r>
        <w:br w:type="page"/>
      </w:r>
    </w:p>
    <w:p w14:paraId="4EAE5190" w14:textId="77777777" w:rsidR="00F64776" w:rsidRDefault="00F64776" w:rsidP="00F64776">
      <w:pPr>
        <w:pStyle w:val="TtuloResolucin"/>
      </w:pPr>
      <w:bookmarkStart w:id="234" w:name="AUTO_2023_449"/>
      <w:r>
        <w:t>AUTO 449/2023, de 10 de octubre de 2023</w:t>
      </w:r>
    </w:p>
    <w:bookmarkEnd w:id="234"/>
    <w:p w14:paraId="4B933914" w14:textId="77777777" w:rsidR="00F64776" w:rsidRDefault="00F64776" w:rsidP="00F64776">
      <w:pPr>
        <w:pStyle w:val="TtuloResolucin"/>
      </w:pPr>
      <w:r>
        <w:t>Sección Tercera</w:t>
      </w:r>
    </w:p>
    <w:p w14:paraId="6BC4B0CC" w14:textId="77777777" w:rsidR="00F64776" w:rsidRDefault="00F64776" w:rsidP="00F64776">
      <w:pPr>
        <w:pStyle w:val="TextoNormalCentrado"/>
      </w:pPr>
      <w:r>
        <w:t>ECLI:ES:TC:2023:449A</w:t>
      </w:r>
    </w:p>
    <w:p w14:paraId="5831396E" w14:textId="7375081A" w:rsidR="00F64776" w:rsidRDefault="00F64776" w:rsidP="00F64776">
      <w:pPr>
        <w:pStyle w:val="TextoNormalCentrado"/>
      </w:pPr>
    </w:p>
    <w:p w14:paraId="38E4AF60" w14:textId="77777777" w:rsidR="00F64776" w:rsidRDefault="00F64776" w:rsidP="00F64776">
      <w:pPr>
        <w:pStyle w:val="SntesisDescriptiva"/>
      </w:pPr>
      <w:r>
        <w:t>Excms. Srs. doña Inmaculada Montalbán Huertas y don César Tolosa Tribiño.</w:t>
      </w:r>
    </w:p>
    <w:p w14:paraId="5F7C0253" w14:textId="3372098A" w:rsidR="00F64776" w:rsidRDefault="00F64776" w:rsidP="00F64776">
      <w:pPr>
        <w:pStyle w:val="SntesisDescriptiva"/>
      </w:pPr>
    </w:p>
    <w:p w14:paraId="210DDF8E" w14:textId="77777777" w:rsidR="00F64776" w:rsidRDefault="00F64776" w:rsidP="00F64776">
      <w:pPr>
        <w:pStyle w:val="SntesisDescriptiva"/>
      </w:pPr>
      <w:r>
        <w:t>Acepta una abstención en el recurso de amparo 8544-2022, promovido por el partido político Vox, en causa penal.</w:t>
      </w:r>
    </w:p>
    <w:p w14:paraId="5B0B863A" w14:textId="6429577A" w:rsidR="00F64776" w:rsidRDefault="00F64776" w:rsidP="00F64776">
      <w:pPr>
        <w:pStyle w:val="SntesisDescriptiva"/>
      </w:pPr>
    </w:p>
    <w:p w14:paraId="151C32E2" w14:textId="77777777" w:rsidR="00F64776" w:rsidRDefault="00F64776" w:rsidP="00F64776">
      <w:pPr>
        <w:pStyle w:val="SntesisDescriptiva"/>
      </w:pPr>
    </w:p>
    <w:p w14:paraId="17A9628B" w14:textId="77777777" w:rsidR="00F64776" w:rsidRDefault="00F64776" w:rsidP="00F64776">
      <w:pPr>
        <w:pStyle w:val="SntesisDescriptiva"/>
      </w:pPr>
    </w:p>
    <w:p w14:paraId="6F08E748" w14:textId="77777777" w:rsidR="00F64776" w:rsidRDefault="00F64776" w:rsidP="00F64776">
      <w:pPr>
        <w:pStyle w:val="TextoNormalNegritaCentrado"/>
      </w:pPr>
      <w:r>
        <w:t>AUTO</w:t>
      </w:r>
    </w:p>
    <w:p w14:paraId="3EB2F8D2" w14:textId="730056A5" w:rsidR="00F64776" w:rsidRDefault="00F64776" w:rsidP="00F64776">
      <w:pPr>
        <w:pStyle w:val="TextoNormalNegritaCentrado"/>
      </w:pPr>
    </w:p>
    <w:p w14:paraId="1EBACE4A" w14:textId="77777777" w:rsidR="00F64776" w:rsidRDefault="00F64776" w:rsidP="00F64776">
      <w:pPr>
        <w:pStyle w:val="TextoNormalNegritaCentrado"/>
        <w:keepNext/>
      </w:pPr>
      <w:r>
        <w:t>I. Antecedentes</w:t>
      </w:r>
    </w:p>
    <w:p w14:paraId="131F882E" w14:textId="3BB80C40" w:rsidR="00F64776" w:rsidRDefault="00F64776" w:rsidP="00F64776">
      <w:pPr>
        <w:pStyle w:val="TextoNormalNegritaCentrado"/>
        <w:keepNext/>
      </w:pPr>
    </w:p>
    <w:p w14:paraId="1FCA5541" w14:textId="42C4C790" w:rsidR="00F64776" w:rsidRDefault="00F64776" w:rsidP="00F64776">
      <w:pPr>
        <w:pStyle w:val="TextoNormal"/>
      </w:pPr>
      <w:r w:rsidRPr="00F64776">
        <w:rPr>
          <w:rStyle w:val="NumeroAFNegritaCaracter"/>
        </w:rPr>
        <w:t>1</w:t>
      </w:r>
      <w:r>
        <w:t>. Mediante escrito registrado en este tribunal el 23 de diciembre de 2022, la procuradora de los tribunales doña María Pilar Hidalgo López, en nombre y representación del partido político Vox y bajo la dirección de la letrada doña Marta Castro Fuertes, interpuso demanda de amparo contra el auto de 27 de octubre de 2022 de la Sala de lo Civil y Penal del Tribunal Superior de Justicia de Cataluña, recaído en las diligencias indeterminadas 44-2022, que desestimó el recurso de súplica interpuesto contra el auto de 15 de septiembre de 2022 por el que se acordó la inadmisión y archivo de la querella promovida contra el Conseller del Departament d’Educació de la Generalitat de Cataluña, don Josep González Cambray, en relación con un presunto delito de desobediencia.</w:t>
      </w:r>
    </w:p>
    <w:p w14:paraId="3CDB7B4B" w14:textId="77777777" w:rsidR="00F64776" w:rsidRDefault="00F64776" w:rsidP="00F64776">
      <w:pPr>
        <w:pStyle w:val="TextoNormal"/>
      </w:pPr>
    </w:p>
    <w:p w14:paraId="07AAAB14" w14:textId="77777777" w:rsidR="00F64776" w:rsidRDefault="00F64776" w:rsidP="00F64776">
      <w:pPr>
        <w:pStyle w:val="TextoNormal"/>
      </w:pPr>
      <w:r w:rsidRPr="00F64776">
        <w:rPr>
          <w:rStyle w:val="NumeroAFNegritaCaracter"/>
        </w:rPr>
        <w:t>2</w:t>
      </w:r>
      <w:r>
        <w:t>. Por escrito de 10 de octubre de 2023, la magistrada doña Laura Díez Bueso manifestó su voluntad de abstenerse en el presente recurso de amparo y todas sus incidencias, al apreciar que podría incurrir en la causa establecida en el artículo 219.16 de la Ley Orgánica del Poder Judicial (LOPJ), por haber ocupado cargo público con ocasión del cual hubiera podido tener conocimiento del objeto del litigio y formarse un criterio en detrimento de la debida imparcialidad.</w:t>
      </w:r>
    </w:p>
    <w:p w14:paraId="5D99A26E" w14:textId="77777777" w:rsidR="00F64776" w:rsidRDefault="00F64776" w:rsidP="00F64776">
      <w:pPr>
        <w:pStyle w:val="TextoNormal"/>
      </w:pPr>
    </w:p>
    <w:p w14:paraId="1B2F64C1" w14:textId="75BEF8AA" w:rsidR="00F64776" w:rsidRDefault="00F64776" w:rsidP="00F64776">
      <w:pPr>
        <w:pStyle w:val="TextoNormal"/>
      </w:pPr>
      <w:r>
        <w:t>En concreto, en su anterior condición de vicepresidenta del Consejo de Garantías Estatutarias de Cataluña, se pronunció, emitió y firmó los dictámenes 3/2022, de 7 de junio, sobre la proposición de ley sobre el uso y aprendizaje de las lenguas oficiales en la enseñanza no universitaria, y 4/2022, de 20 de junio, sobre el Decreto-ley de la Generalitat de Cataluña 6/2022, de 30 de mayo, por el que se fijan los criterios aplicables a la elaboración, la aprobación, la validación y la revisión de los proyectos lingüísticos de los centros educativos, tomados en consideración en el razonamiento de las resoluciones judiciales impugnadas en el presente recurso de amparo.</w:t>
      </w:r>
    </w:p>
    <w:p w14:paraId="26EAF387" w14:textId="77777777" w:rsidR="00F64776" w:rsidRDefault="00F64776" w:rsidP="00F64776">
      <w:pPr>
        <w:pStyle w:val="TextoNormal"/>
      </w:pPr>
    </w:p>
    <w:p w14:paraId="1DEAEF38" w14:textId="77777777" w:rsidR="00F64776" w:rsidRDefault="00F64776" w:rsidP="00F64776">
      <w:pPr>
        <w:pStyle w:val="TextoNormalNegritaCentrado"/>
        <w:keepNext/>
      </w:pPr>
      <w:r>
        <w:t>II. Fundamentos jurídicos</w:t>
      </w:r>
    </w:p>
    <w:p w14:paraId="2B2E16C6" w14:textId="222C70AA" w:rsidR="00F64776" w:rsidRDefault="00F64776" w:rsidP="00F64776">
      <w:pPr>
        <w:pStyle w:val="TextoNormalNegritaCentrado"/>
        <w:keepNext/>
      </w:pPr>
    </w:p>
    <w:p w14:paraId="0F23882E" w14:textId="77777777" w:rsidR="00F64776" w:rsidRDefault="00F64776" w:rsidP="00F64776">
      <w:pPr>
        <w:pStyle w:val="TextoNormal"/>
      </w:pPr>
      <w:r w:rsidRPr="00F64776">
        <w:rPr>
          <w:rStyle w:val="TextoNormalNegritaCaracter"/>
        </w:rPr>
        <w:t xml:space="preserve">Único. </w:t>
      </w:r>
      <w:r>
        <w:t>Vista la comunicación efectuada por la magistrada doña Laura Díez Bueso, en virtud de lo previsto en los arts. 80 de la Ley Orgánica del Tribunal Constitucional y 221.4 (LOPJ), se estima justificada la abstención formulada.</w:t>
      </w:r>
    </w:p>
    <w:p w14:paraId="6E5DF6A3" w14:textId="77777777" w:rsidR="00F64776" w:rsidRDefault="00F64776" w:rsidP="00F64776">
      <w:pPr>
        <w:pStyle w:val="TextoNormal"/>
      </w:pPr>
    </w:p>
    <w:p w14:paraId="2F915604" w14:textId="77777777" w:rsidR="00F64776" w:rsidRDefault="00F64776" w:rsidP="00F64776">
      <w:pPr>
        <w:pStyle w:val="TextoNormal"/>
      </w:pPr>
      <w:r>
        <w:t>El Consejo de Garantías Estatutarias es una institución de relevancia estatutaria prevista en la sección primera del capítulo quinto del Estatuto de Autonomía de Cataluña (EAC), cuya misión es velar por la adecuación de las disposiciones de la Generalitat al Estatuto y a la Constitución Española (art. 76.1 EAC), estando los miembros del Parlamento de Cataluña y del Gobierno catalán legitimados para solicitar su dictamen (art. 23 de la Ley del Parlamento de Cataluña 2/2009, de 12 de febrero, del Consejo de Garantías Estatutarias).</w:t>
      </w:r>
    </w:p>
    <w:p w14:paraId="3D905CF4" w14:textId="77777777" w:rsidR="00F64776" w:rsidRDefault="00F64776" w:rsidP="00F64776">
      <w:pPr>
        <w:pStyle w:val="TextoNormal"/>
      </w:pPr>
    </w:p>
    <w:p w14:paraId="285FF93E" w14:textId="5DECB497" w:rsidR="00F64776" w:rsidRDefault="00F64776" w:rsidP="00F64776">
      <w:pPr>
        <w:pStyle w:val="TextoNormal"/>
      </w:pPr>
      <w:r>
        <w:t xml:space="preserve">La mencionada magistrada, en su anterior condición de vicepresidenta del Consejo de Garantías Estatutarias de Cataluña, pronunció, emitió y firmó los dictámenes 3/2022, de 7 de junio, sobre la proposición de ley sobre el uso y aprendizaje de las lenguas oficiales en la enseñanza no universitaria y 4/2022, de 20 de junio, sobre el Decreto-ley de la Generalitat de Cataluña 6/2022, de 30 de mayo, por el que se fijan los criterios aplicables a la elaboración, la aprobación, la validación y la revisión de los proyectos lingüísticos de los centros educativos. A dichas iniciativas legislativas hacen referencia las resoluciones judiciales objeto del presente recurso de amparo como parte de la </w:t>
      </w:r>
      <w:r w:rsidRPr="00F64776">
        <w:rPr>
          <w:i/>
        </w:rPr>
        <w:t>ratio decidendi</w:t>
      </w:r>
      <w:r>
        <w:t xml:space="preserve"> de la decisión de inadmisión y archivo impugnada. Por ello, cabe apreciar la concurrencia de la causa de abstención prevista en el apartado 16 del art. 219 LOPJ.</w:t>
      </w:r>
    </w:p>
    <w:p w14:paraId="0A64FBFD" w14:textId="77777777" w:rsidR="00F64776" w:rsidRDefault="00F64776" w:rsidP="00F64776">
      <w:pPr>
        <w:pStyle w:val="TextoNormal"/>
      </w:pPr>
    </w:p>
    <w:p w14:paraId="614A62AD" w14:textId="77777777" w:rsidR="00F64776" w:rsidRDefault="00F64776" w:rsidP="00F64776">
      <w:pPr>
        <w:pStyle w:val="TextoNormal"/>
      </w:pPr>
      <w:r>
        <w:t>Por lo expuesto, la Sección</w:t>
      </w:r>
    </w:p>
    <w:p w14:paraId="7E1C6456" w14:textId="22423726" w:rsidR="00F64776" w:rsidRDefault="00F64776" w:rsidP="00F64776">
      <w:pPr>
        <w:pStyle w:val="TextoNormal"/>
      </w:pPr>
    </w:p>
    <w:p w14:paraId="659D446C" w14:textId="77777777" w:rsidR="00F64776" w:rsidRDefault="00F64776" w:rsidP="00F64776">
      <w:pPr>
        <w:pStyle w:val="TextoNormalCentrado"/>
      </w:pPr>
      <w:r>
        <w:t>ACUERDA</w:t>
      </w:r>
    </w:p>
    <w:p w14:paraId="3BE7AD28" w14:textId="41EABE8F" w:rsidR="00F64776" w:rsidRDefault="00F64776" w:rsidP="00F64776">
      <w:pPr>
        <w:pStyle w:val="TextoNormalCentrado"/>
      </w:pPr>
    </w:p>
    <w:p w14:paraId="31C3ED7D" w14:textId="447AA5B5" w:rsidR="00F64776" w:rsidRDefault="00F64776" w:rsidP="00F64776">
      <w:pPr>
        <w:pStyle w:val="TextoNormal"/>
      </w:pPr>
      <w:r>
        <w:t>Estimar justificada la abstención formulada por la magistrada señora doña Laura Díez Bueso, en el recurso de amparo núm. 8544-2022 y apartarla definitivamente del conocimiento del referido recurso y de todas sus incidencias.</w:t>
      </w:r>
    </w:p>
    <w:p w14:paraId="53317596" w14:textId="77777777" w:rsidR="00F64776" w:rsidRDefault="00F64776" w:rsidP="00F64776">
      <w:pPr>
        <w:pStyle w:val="TextoNormal"/>
      </w:pPr>
    </w:p>
    <w:p w14:paraId="41647AE3" w14:textId="77777777" w:rsidR="00F64776" w:rsidRDefault="00F64776" w:rsidP="00F64776">
      <w:pPr>
        <w:pStyle w:val="TextoNormal"/>
      </w:pPr>
      <w:r>
        <w:t>Madrid, a diez de octubre de dos mil veintitrés.</w:t>
      </w:r>
    </w:p>
    <w:p w14:paraId="7D1A05B8" w14:textId="6A5A5BBA" w:rsidR="00F64776" w:rsidRDefault="00F64776">
      <w:pPr>
        <w:spacing w:after="160" w:line="278" w:lineRule="auto"/>
        <w:rPr>
          <w:rFonts w:ascii="Times New Roman" w:eastAsia="Times New Roman" w:hAnsi="Times New Roman" w:cs="Times New Roman"/>
          <w:sz w:val="24"/>
          <w:szCs w:val="24"/>
          <w:lang w:eastAsia="es-ES"/>
        </w:rPr>
      </w:pPr>
      <w:r>
        <w:br w:type="page"/>
      </w:r>
    </w:p>
    <w:p w14:paraId="1FE7C954" w14:textId="77777777" w:rsidR="00F64776" w:rsidRDefault="00F64776" w:rsidP="00F64776">
      <w:pPr>
        <w:pStyle w:val="TtuloResolucin"/>
      </w:pPr>
      <w:bookmarkStart w:id="235" w:name="AUTO_2023_450"/>
      <w:r>
        <w:t>AUTO 450/2023, de 23 de octubre de 2023</w:t>
      </w:r>
    </w:p>
    <w:bookmarkEnd w:id="235"/>
    <w:p w14:paraId="5E6E1BED" w14:textId="77777777" w:rsidR="00F64776" w:rsidRDefault="00F64776" w:rsidP="00F64776">
      <w:pPr>
        <w:pStyle w:val="TtuloResolucin"/>
      </w:pPr>
      <w:r>
        <w:t>Sección Tercera</w:t>
      </w:r>
    </w:p>
    <w:p w14:paraId="01FD6ADF" w14:textId="77777777" w:rsidR="00F64776" w:rsidRDefault="00F64776" w:rsidP="00F64776">
      <w:pPr>
        <w:pStyle w:val="TextoNormalCentrado"/>
      </w:pPr>
      <w:r>
        <w:t>ECLI:ES:TC:2023:450A</w:t>
      </w:r>
    </w:p>
    <w:p w14:paraId="3CDEA5C4" w14:textId="448A2014" w:rsidR="00F64776" w:rsidRDefault="00F64776" w:rsidP="00F64776">
      <w:pPr>
        <w:pStyle w:val="TextoNormalCentrado"/>
      </w:pPr>
    </w:p>
    <w:p w14:paraId="5A1E5CC9" w14:textId="77777777" w:rsidR="00F64776" w:rsidRDefault="00F64776" w:rsidP="00F64776">
      <w:pPr>
        <w:pStyle w:val="SntesisDescriptiva"/>
      </w:pPr>
      <w:r>
        <w:t>Excms. Srs. doña Inmaculada Montalbán Huertas y doña Laura Díez Bueso.</w:t>
      </w:r>
    </w:p>
    <w:p w14:paraId="0CF0AAEF" w14:textId="07DA3B37" w:rsidR="00F64776" w:rsidRDefault="00F64776" w:rsidP="00F64776">
      <w:pPr>
        <w:pStyle w:val="SntesisDescriptiva"/>
      </w:pPr>
    </w:p>
    <w:p w14:paraId="70F9BC1A" w14:textId="77777777" w:rsidR="00F64776" w:rsidRDefault="00F64776" w:rsidP="00F64776">
      <w:pPr>
        <w:pStyle w:val="SntesisDescriptiva"/>
      </w:pPr>
      <w:r>
        <w:t>Acepta una abstención en el recurso de amparo 533-2022, promovido en proceso contencioso-administrativo.</w:t>
      </w:r>
    </w:p>
    <w:p w14:paraId="6846E822" w14:textId="03445EE9" w:rsidR="00F64776" w:rsidRDefault="00F64776" w:rsidP="00F64776">
      <w:pPr>
        <w:pStyle w:val="SntesisDescriptiva"/>
      </w:pPr>
    </w:p>
    <w:p w14:paraId="466D40EA" w14:textId="77777777" w:rsidR="00F64776" w:rsidRDefault="00F64776" w:rsidP="00F64776">
      <w:pPr>
        <w:pStyle w:val="SntesisDescriptiva"/>
      </w:pPr>
    </w:p>
    <w:p w14:paraId="4EBCDCF5" w14:textId="77777777" w:rsidR="00F64776" w:rsidRDefault="00F64776" w:rsidP="00F64776">
      <w:pPr>
        <w:pStyle w:val="SntesisDescriptiva"/>
      </w:pPr>
    </w:p>
    <w:p w14:paraId="389788D4" w14:textId="77777777" w:rsidR="00F64776" w:rsidRDefault="00F64776" w:rsidP="00F64776">
      <w:pPr>
        <w:pStyle w:val="TextoNormalNegritaCentrado"/>
      </w:pPr>
      <w:r>
        <w:t>AUTO</w:t>
      </w:r>
    </w:p>
    <w:p w14:paraId="136EA6F9" w14:textId="17086857" w:rsidR="00F64776" w:rsidRDefault="00F64776" w:rsidP="00F64776">
      <w:pPr>
        <w:pStyle w:val="TextoNormalNegritaCentrado"/>
      </w:pPr>
    </w:p>
    <w:p w14:paraId="38B69F05" w14:textId="77777777" w:rsidR="00F64776" w:rsidRDefault="00F64776" w:rsidP="00F64776">
      <w:pPr>
        <w:pStyle w:val="TextoNormalNegritaCentrado"/>
        <w:keepNext/>
      </w:pPr>
      <w:r>
        <w:t>I. Antecedentes</w:t>
      </w:r>
    </w:p>
    <w:p w14:paraId="3B1D784B" w14:textId="749CA6C4" w:rsidR="00F64776" w:rsidRDefault="00F64776" w:rsidP="00F64776">
      <w:pPr>
        <w:pStyle w:val="TextoNormalNegritaCentrado"/>
        <w:keepNext/>
      </w:pPr>
    </w:p>
    <w:p w14:paraId="18E7820A" w14:textId="5D5547F3" w:rsidR="00F64776" w:rsidRDefault="00F64776" w:rsidP="00F64776">
      <w:pPr>
        <w:pStyle w:val="TextoNormal"/>
      </w:pPr>
      <w:r w:rsidRPr="00F64776">
        <w:rPr>
          <w:rStyle w:val="NumeroAFNegritaCaracter"/>
        </w:rPr>
        <w:t>1</w:t>
      </w:r>
      <w:r>
        <w:t>. Mediante escrito registrado en este tribunal el 26 de enero de 2022 la procuradora de los tribunales doña Sonia de la Serna Blázquez, en nombre y representación de don Beni Allende Kingolo y otros y bajo la dirección del letrado don José María Polonio Romero, interpuso demanda de amparo contra la providencia de 20 de enero de 2022 de la Sección Primera de la Sala de lo Contencioso-Administrativo del Tribunal Supremo en recurso de casación núm. 6763-2021 contra sentencia de la Sección Quinta de la Audiencia Nacional, procedimiento ordinario núm. 793-2018.</w:t>
      </w:r>
    </w:p>
    <w:p w14:paraId="024970B8" w14:textId="77777777" w:rsidR="00F64776" w:rsidRDefault="00F64776" w:rsidP="00F64776">
      <w:pPr>
        <w:pStyle w:val="TextoNormal"/>
      </w:pPr>
    </w:p>
    <w:p w14:paraId="077A2DD4" w14:textId="38C7C5C0" w:rsidR="00F64776" w:rsidRDefault="00F64776" w:rsidP="00F64776">
      <w:pPr>
        <w:pStyle w:val="TextoNormal"/>
      </w:pPr>
      <w:r w:rsidRPr="00F64776">
        <w:rPr>
          <w:rStyle w:val="NumeroAFNegritaCaracter"/>
        </w:rPr>
        <w:t>2</w:t>
      </w:r>
      <w:r>
        <w:t>. Por escrito de 27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2FABCA9F" w14:textId="77777777" w:rsidR="00F64776" w:rsidRDefault="00F64776" w:rsidP="00F64776">
      <w:pPr>
        <w:pStyle w:val="TextoNormal"/>
      </w:pPr>
    </w:p>
    <w:p w14:paraId="6C7C8F8A" w14:textId="77777777" w:rsidR="00F64776" w:rsidRDefault="00F64776" w:rsidP="00F64776">
      <w:pPr>
        <w:pStyle w:val="TextoNormalNegritaCentrado"/>
        <w:keepNext/>
      </w:pPr>
      <w:r>
        <w:t>II. Fundamentos jurídicos</w:t>
      </w:r>
    </w:p>
    <w:p w14:paraId="5D1207B1" w14:textId="17BDEEBD" w:rsidR="00F64776" w:rsidRDefault="00F64776" w:rsidP="00F64776">
      <w:pPr>
        <w:pStyle w:val="TextoNormalNegritaCentrado"/>
        <w:keepNext/>
      </w:pPr>
    </w:p>
    <w:p w14:paraId="48C81632" w14:textId="3FBB2BC6"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15849CF5" w14:textId="77777777" w:rsidR="00F64776" w:rsidRDefault="00F64776" w:rsidP="00F64776">
      <w:pPr>
        <w:pStyle w:val="TextoNormal"/>
      </w:pPr>
    </w:p>
    <w:p w14:paraId="1359DD34" w14:textId="77777777" w:rsidR="00F64776" w:rsidRDefault="00F64776" w:rsidP="00F64776">
      <w:pPr>
        <w:pStyle w:val="TextoNormal"/>
      </w:pPr>
      <w:r>
        <w:t>Por lo expuesto, la Sección</w:t>
      </w:r>
    </w:p>
    <w:p w14:paraId="0626EFAC" w14:textId="1EC554FB" w:rsidR="00F64776" w:rsidRDefault="00F64776" w:rsidP="00F64776">
      <w:pPr>
        <w:pStyle w:val="TextoNormal"/>
      </w:pPr>
    </w:p>
    <w:p w14:paraId="74FF6873" w14:textId="77777777" w:rsidR="00F64776" w:rsidRDefault="00F64776" w:rsidP="00F64776">
      <w:pPr>
        <w:pStyle w:val="TextoNormalCentrado"/>
      </w:pPr>
      <w:r>
        <w:t>ACUERDA</w:t>
      </w:r>
    </w:p>
    <w:p w14:paraId="467DB3AE" w14:textId="5F63068E" w:rsidR="00F64776" w:rsidRDefault="00F64776" w:rsidP="00F64776">
      <w:pPr>
        <w:pStyle w:val="TextoNormalCentrado"/>
      </w:pPr>
    </w:p>
    <w:p w14:paraId="5FB1FF14" w14:textId="4A93937B" w:rsidR="00F64776" w:rsidRDefault="00F64776" w:rsidP="00F64776">
      <w:pPr>
        <w:pStyle w:val="TextoNormal"/>
      </w:pPr>
      <w:r>
        <w:t>Estimar justificada la abstención formulada por el magistrado señor don César Tolosa Tribiño en el recurso de amparo núm. 533-2022 y apartarle definitivamente del conocimiento del referido recurso y de todas sus incidencias.</w:t>
      </w:r>
    </w:p>
    <w:p w14:paraId="4B36FAF6" w14:textId="77777777" w:rsidR="00F64776" w:rsidRDefault="00F64776" w:rsidP="00F64776">
      <w:pPr>
        <w:pStyle w:val="TextoNormal"/>
      </w:pPr>
    </w:p>
    <w:p w14:paraId="48614713" w14:textId="77777777" w:rsidR="00F64776" w:rsidRDefault="00F64776" w:rsidP="00F64776">
      <w:pPr>
        <w:pStyle w:val="TextoNormal"/>
      </w:pPr>
      <w:r>
        <w:t>Madrid, a veintitrés de octubre de dos mil veintitrés.</w:t>
      </w:r>
    </w:p>
    <w:p w14:paraId="611DAA53" w14:textId="4A1C2A30" w:rsidR="00F64776" w:rsidRDefault="00F64776">
      <w:pPr>
        <w:spacing w:after="160" w:line="278" w:lineRule="auto"/>
        <w:rPr>
          <w:rFonts w:ascii="Times New Roman" w:eastAsia="Times New Roman" w:hAnsi="Times New Roman" w:cs="Times New Roman"/>
          <w:sz w:val="24"/>
          <w:szCs w:val="24"/>
          <w:lang w:eastAsia="es-ES"/>
        </w:rPr>
      </w:pPr>
      <w:r>
        <w:br w:type="page"/>
      </w:r>
    </w:p>
    <w:p w14:paraId="2D942947" w14:textId="77777777" w:rsidR="00F64776" w:rsidRDefault="00F64776" w:rsidP="00F64776">
      <w:pPr>
        <w:pStyle w:val="TtuloResolucin"/>
      </w:pPr>
      <w:bookmarkStart w:id="236" w:name="AUTO_2023_451"/>
      <w:r>
        <w:t>AUTO 451/2023, de 23 de octubre de 2023</w:t>
      </w:r>
    </w:p>
    <w:bookmarkEnd w:id="236"/>
    <w:p w14:paraId="6C9DC340" w14:textId="77777777" w:rsidR="00F64776" w:rsidRDefault="00F64776" w:rsidP="00F64776">
      <w:pPr>
        <w:pStyle w:val="TtuloResolucin"/>
      </w:pPr>
      <w:r>
        <w:t>Sección Tercera</w:t>
      </w:r>
    </w:p>
    <w:p w14:paraId="21A3FF93" w14:textId="77777777" w:rsidR="00F64776" w:rsidRDefault="00F64776" w:rsidP="00F64776">
      <w:pPr>
        <w:pStyle w:val="TextoNormalCentrado"/>
      </w:pPr>
      <w:r>
        <w:t>ECLI:ES:TC:2023:451A</w:t>
      </w:r>
    </w:p>
    <w:p w14:paraId="085BE371" w14:textId="48312D4F" w:rsidR="00F64776" w:rsidRDefault="00F64776" w:rsidP="00F64776">
      <w:pPr>
        <w:pStyle w:val="TextoNormalCentrado"/>
      </w:pPr>
    </w:p>
    <w:p w14:paraId="3782422E" w14:textId="77777777" w:rsidR="00F64776" w:rsidRDefault="00F64776" w:rsidP="00F64776">
      <w:pPr>
        <w:pStyle w:val="SntesisDescriptiva"/>
      </w:pPr>
      <w:r>
        <w:t>Excms. Srs. doña Inmaculada Montalbán Huertas y doña Laura Díez Bueso.</w:t>
      </w:r>
    </w:p>
    <w:p w14:paraId="0BC6BA4A" w14:textId="61E55F34" w:rsidR="00F64776" w:rsidRDefault="00F64776" w:rsidP="00F64776">
      <w:pPr>
        <w:pStyle w:val="SntesisDescriptiva"/>
      </w:pPr>
    </w:p>
    <w:p w14:paraId="3794D008" w14:textId="77777777" w:rsidR="00F64776" w:rsidRDefault="00F64776" w:rsidP="00F64776">
      <w:pPr>
        <w:pStyle w:val="SntesisDescriptiva"/>
      </w:pPr>
      <w:r>
        <w:t>Acepta una abstención en el recurso de amparo 1552-2022, promovido en proceso contencioso-administrativo.</w:t>
      </w:r>
    </w:p>
    <w:p w14:paraId="503BF49F" w14:textId="2724531A" w:rsidR="00F64776" w:rsidRDefault="00F64776" w:rsidP="00F64776">
      <w:pPr>
        <w:pStyle w:val="SntesisDescriptiva"/>
      </w:pPr>
    </w:p>
    <w:p w14:paraId="358767AA" w14:textId="77777777" w:rsidR="00F64776" w:rsidRDefault="00F64776" w:rsidP="00F64776">
      <w:pPr>
        <w:pStyle w:val="SntesisDescriptiva"/>
      </w:pPr>
    </w:p>
    <w:p w14:paraId="7E91D2B3" w14:textId="77777777" w:rsidR="00F64776" w:rsidRDefault="00F64776" w:rsidP="00F64776">
      <w:pPr>
        <w:pStyle w:val="SntesisDescriptiva"/>
      </w:pPr>
    </w:p>
    <w:p w14:paraId="75B39E52" w14:textId="77777777" w:rsidR="00F64776" w:rsidRDefault="00F64776" w:rsidP="00F64776">
      <w:pPr>
        <w:pStyle w:val="TextoNormalNegritaCentrado"/>
      </w:pPr>
      <w:r>
        <w:t>AUTO</w:t>
      </w:r>
    </w:p>
    <w:p w14:paraId="15DE0046" w14:textId="00BD3555" w:rsidR="00F64776" w:rsidRDefault="00F64776" w:rsidP="00F64776">
      <w:pPr>
        <w:pStyle w:val="TextoNormalNegritaCentrado"/>
      </w:pPr>
    </w:p>
    <w:p w14:paraId="30EB31BA" w14:textId="77777777" w:rsidR="00F64776" w:rsidRDefault="00F64776" w:rsidP="00F64776">
      <w:pPr>
        <w:pStyle w:val="TextoNormalNegritaCentrado"/>
        <w:keepNext/>
      </w:pPr>
      <w:r>
        <w:t>I. Antecedentes</w:t>
      </w:r>
    </w:p>
    <w:p w14:paraId="2809BA6E" w14:textId="1841D73E" w:rsidR="00F64776" w:rsidRDefault="00F64776" w:rsidP="00F64776">
      <w:pPr>
        <w:pStyle w:val="TextoNormalNegritaCentrado"/>
        <w:keepNext/>
      </w:pPr>
    </w:p>
    <w:p w14:paraId="52A85777" w14:textId="1CD82C38" w:rsidR="00F64776" w:rsidRDefault="00F64776" w:rsidP="00F64776">
      <w:pPr>
        <w:pStyle w:val="TextoNormal"/>
      </w:pPr>
      <w:r w:rsidRPr="00F64776">
        <w:rPr>
          <w:rStyle w:val="NumeroAFNegritaCaracter"/>
        </w:rPr>
        <w:t>1</w:t>
      </w:r>
      <w:r>
        <w:t>. Mediante escrito registrado en este tribunal el 8 de marzo de 2022 la procuradora de los tribunales doña Mónica Izquierdo Pedrero, en nombre y representación de doña María Eugenia Díez Mercado y bajo la dirección de la letrada doña María Cristina Álvarez Visús, interpuso demanda de amparo contra la providencia de 15 de febrero de 2022 de la Sección Primera de la Sala de lo Contencioso-Administrativo del Tribunal Supremo en recurso de casación  núm. 555-2021.</w:t>
      </w:r>
    </w:p>
    <w:p w14:paraId="27BDB6B6" w14:textId="77777777" w:rsidR="00F64776" w:rsidRDefault="00F64776" w:rsidP="00F64776">
      <w:pPr>
        <w:pStyle w:val="TextoNormal"/>
      </w:pPr>
    </w:p>
    <w:p w14:paraId="75FC47DC" w14:textId="2A109494" w:rsidR="00F64776" w:rsidRDefault="00F64776" w:rsidP="00F64776">
      <w:pPr>
        <w:pStyle w:val="TextoNormal"/>
      </w:pPr>
      <w:r w:rsidRPr="00F64776">
        <w:rPr>
          <w:rStyle w:val="NumeroAFNegritaCaracter"/>
        </w:rPr>
        <w:t>2</w:t>
      </w:r>
      <w:r>
        <w:t>. Por escrito de 27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57138ECD" w14:textId="77777777" w:rsidR="00F64776" w:rsidRDefault="00F64776" w:rsidP="00F64776">
      <w:pPr>
        <w:pStyle w:val="TextoNormal"/>
      </w:pPr>
    </w:p>
    <w:p w14:paraId="5DF1E26A" w14:textId="77777777" w:rsidR="00F64776" w:rsidRDefault="00F64776" w:rsidP="00F64776">
      <w:pPr>
        <w:pStyle w:val="TextoNormalNegritaCentrado"/>
        <w:keepNext/>
      </w:pPr>
      <w:r>
        <w:t>II. Fundamentos jurídicos</w:t>
      </w:r>
    </w:p>
    <w:p w14:paraId="36108576" w14:textId="32DCDC08" w:rsidR="00F64776" w:rsidRDefault="00F64776" w:rsidP="00F64776">
      <w:pPr>
        <w:pStyle w:val="TextoNormalNegritaCentrado"/>
        <w:keepNext/>
      </w:pPr>
    </w:p>
    <w:p w14:paraId="561A87AB" w14:textId="1BA2D4DF"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6C5CDCCA" w14:textId="77777777" w:rsidR="00F64776" w:rsidRDefault="00F64776" w:rsidP="00F64776">
      <w:pPr>
        <w:pStyle w:val="TextoNormal"/>
      </w:pPr>
    </w:p>
    <w:p w14:paraId="792E2521" w14:textId="77777777" w:rsidR="00F64776" w:rsidRDefault="00F64776" w:rsidP="00F64776">
      <w:pPr>
        <w:pStyle w:val="TextoNormal"/>
      </w:pPr>
      <w:r>
        <w:t>Por lo expuesto, la Sección</w:t>
      </w:r>
    </w:p>
    <w:p w14:paraId="2CA20259" w14:textId="5E40DB69" w:rsidR="00F64776" w:rsidRDefault="00F64776" w:rsidP="00F64776">
      <w:pPr>
        <w:pStyle w:val="TextoNormal"/>
      </w:pPr>
    </w:p>
    <w:p w14:paraId="6E099F41" w14:textId="77777777" w:rsidR="00F64776" w:rsidRDefault="00F64776" w:rsidP="00F64776">
      <w:pPr>
        <w:pStyle w:val="TextoNormalCentrado"/>
      </w:pPr>
      <w:r>
        <w:t>ACUERDA</w:t>
      </w:r>
    </w:p>
    <w:p w14:paraId="6AA6731D" w14:textId="0E9B11E1" w:rsidR="00F64776" w:rsidRDefault="00F64776" w:rsidP="00F64776">
      <w:pPr>
        <w:pStyle w:val="TextoNormalCentrado"/>
      </w:pPr>
    </w:p>
    <w:p w14:paraId="0BD6E05E" w14:textId="4D6A2D4C" w:rsidR="00F64776" w:rsidRDefault="00F64776" w:rsidP="00F64776">
      <w:pPr>
        <w:pStyle w:val="TextoNormal"/>
      </w:pPr>
      <w:r>
        <w:t>Estimar justificada la abstención formulada por el magistrado señor don César Tolosa Tribiño en el recurso de amparo núm. 1552-2022 y apartarle definitivamente del conocimiento del referido recurso y de todas sus incidencias.</w:t>
      </w:r>
    </w:p>
    <w:p w14:paraId="48C4A024" w14:textId="77777777" w:rsidR="00F64776" w:rsidRDefault="00F64776" w:rsidP="00F64776">
      <w:pPr>
        <w:pStyle w:val="TextoNormal"/>
      </w:pPr>
    </w:p>
    <w:p w14:paraId="32B480D8" w14:textId="77777777" w:rsidR="00F64776" w:rsidRDefault="00F64776" w:rsidP="00F64776">
      <w:pPr>
        <w:pStyle w:val="TextoNormal"/>
      </w:pPr>
      <w:r>
        <w:t>Madrid, a veintitrés de octubre de dos mil veintitrés.</w:t>
      </w:r>
    </w:p>
    <w:p w14:paraId="442273F5" w14:textId="78C74B67" w:rsidR="00F64776" w:rsidRDefault="00F64776">
      <w:pPr>
        <w:spacing w:after="160" w:line="278" w:lineRule="auto"/>
        <w:rPr>
          <w:rFonts w:ascii="Times New Roman" w:eastAsia="Times New Roman" w:hAnsi="Times New Roman" w:cs="Times New Roman"/>
          <w:sz w:val="24"/>
          <w:szCs w:val="24"/>
          <w:lang w:eastAsia="es-ES"/>
        </w:rPr>
      </w:pPr>
      <w:r>
        <w:br w:type="page"/>
      </w:r>
    </w:p>
    <w:p w14:paraId="523EB129" w14:textId="77777777" w:rsidR="00F64776" w:rsidRDefault="00F64776" w:rsidP="00F64776">
      <w:pPr>
        <w:pStyle w:val="TtuloResolucin"/>
      </w:pPr>
      <w:bookmarkStart w:id="237" w:name="AUTO_2023_452"/>
      <w:r>
        <w:t>AUTO 452/2023, de 23 de octubre de 2023</w:t>
      </w:r>
    </w:p>
    <w:bookmarkEnd w:id="237"/>
    <w:p w14:paraId="1E3BE8E4" w14:textId="77777777" w:rsidR="00F64776" w:rsidRDefault="00F64776" w:rsidP="00F64776">
      <w:pPr>
        <w:pStyle w:val="TtuloResolucin"/>
      </w:pPr>
      <w:r>
        <w:t>Sección Tercera</w:t>
      </w:r>
    </w:p>
    <w:p w14:paraId="36D5D2E7" w14:textId="77777777" w:rsidR="00F64776" w:rsidRDefault="00F64776" w:rsidP="00F64776">
      <w:pPr>
        <w:pStyle w:val="TextoNormalCentrado"/>
      </w:pPr>
      <w:r>
        <w:t>ECLI:ES:TC:2023:452A</w:t>
      </w:r>
    </w:p>
    <w:p w14:paraId="035DE23B" w14:textId="43BCA369" w:rsidR="00F64776" w:rsidRDefault="00F64776" w:rsidP="00F64776">
      <w:pPr>
        <w:pStyle w:val="TextoNormalCentrado"/>
      </w:pPr>
    </w:p>
    <w:p w14:paraId="07941910" w14:textId="77777777" w:rsidR="00F64776" w:rsidRDefault="00F64776" w:rsidP="00F64776">
      <w:pPr>
        <w:pStyle w:val="SntesisDescriptiva"/>
      </w:pPr>
      <w:r>
        <w:t>Excms. Srs. doña Inmaculada Montalbán Huertas y doña Laura Díez Bueso.</w:t>
      </w:r>
    </w:p>
    <w:p w14:paraId="337C8295" w14:textId="4AAA6FE9" w:rsidR="00F64776" w:rsidRDefault="00F64776" w:rsidP="00F64776">
      <w:pPr>
        <w:pStyle w:val="SntesisDescriptiva"/>
      </w:pPr>
    </w:p>
    <w:p w14:paraId="587DD699" w14:textId="77777777" w:rsidR="00F64776" w:rsidRDefault="00F64776" w:rsidP="00F64776">
      <w:pPr>
        <w:pStyle w:val="SntesisDescriptiva"/>
      </w:pPr>
      <w:r>
        <w:t>Acepta una abstención en el recurso de amparo 1865-2022, promovido en proceso contencioso-administrativo.</w:t>
      </w:r>
    </w:p>
    <w:p w14:paraId="3E6009AE" w14:textId="05603FD7" w:rsidR="00F64776" w:rsidRDefault="00F64776" w:rsidP="00F64776">
      <w:pPr>
        <w:pStyle w:val="SntesisDescriptiva"/>
      </w:pPr>
    </w:p>
    <w:p w14:paraId="53B9032A" w14:textId="77777777" w:rsidR="00F64776" w:rsidRDefault="00F64776" w:rsidP="00F64776">
      <w:pPr>
        <w:pStyle w:val="SntesisDescriptiva"/>
      </w:pPr>
    </w:p>
    <w:p w14:paraId="5781EDD3" w14:textId="77777777" w:rsidR="00F64776" w:rsidRDefault="00F64776" w:rsidP="00F64776">
      <w:pPr>
        <w:pStyle w:val="SntesisDescriptiva"/>
      </w:pPr>
    </w:p>
    <w:p w14:paraId="320F2E6C" w14:textId="77777777" w:rsidR="00F64776" w:rsidRDefault="00F64776" w:rsidP="00F64776">
      <w:pPr>
        <w:pStyle w:val="TextoNormalNegritaCentrado"/>
      </w:pPr>
      <w:r>
        <w:t>AUTO</w:t>
      </w:r>
    </w:p>
    <w:p w14:paraId="4DB114E7" w14:textId="1D7BD10A" w:rsidR="00F64776" w:rsidRDefault="00F64776" w:rsidP="00F64776">
      <w:pPr>
        <w:pStyle w:val="TextoNormalNegritaCentrado"/>
      </w:pPr>
    </w:p>
    <w:p w14:paraId="2C6B487C" w14:textId="77777777" w:rsidR="00F64776" w:rsidRDefault="00F64776" w:rsidP="00F64776">
      <w:pPr>
        <w:pStyle w:val="TextoNormalNegritaCentrado"/>
        <w:keepNext/>
      </w:pPr>
      <w:r>
        <w:t>I. Antecedentes</w:t>
      </w:r>
    </w:p>
    <w:p w14:paraId="38197909" w14:textId="44452A0F" w:rsidR="00F64776" w:rsidRDefault="00F64776" w:rsidP="00F64776">
      <w:pPr>
        <w:pStyle w:val="TextoNormalNegritaCentrado"/>
        <w:keepNext/>
      </w:pPr>
    </w:p>
    <w:p w14:paraId="1441727F" w14:textId="7494ABB3" w:rsidR="00F64776" w:rsidRDefault="00F64776" w:rsidP="00F64776">
      <w:pPr>
        <w:pStyle w:val="TextoNormal"/>
      </w:pPr>
      <w:r w:rsidRPr="00F64776">
        <w:rPr>
          <w:rStyle w:val="NumeroAFNegritaCaracter"/>
        </w:rPr>
        <w:t>1</w:t>
      </w:r>
      <w:r>
        <w:t>. Mediante escrito registrado en este tribunal el 17 de marzo de 2022 la procuradora de los tribunales doña Celia Fernández Redondo, en nombre y representación de doña Jennifer Berrio Mora y otros y bajo la dirección del letrado don Manuel Fernando Calvo Pastrana, interpuso demanda de amparo contra la providencia de 10 de febrero de 2022 de la Sección Primera de la Sala de lo Contencioso-Administrativo del Tribunal Supremo en recurso de casación núm. 2897-2021.</w:t>
      </w:r>
    </w:p>
    <w:p w14:paraId="423A4EC9" w14:textId="77777777" w:rsidR="00F64776" w:rsidRDefault="00F64776" w:rsidP="00F64776">
      <w:pPr>
        <w:pStyle w:val="TextoNormal"/>
      </w:pPr>
    </w:p>
    <w:p w14:paraId="15311F8A" w14:textId="761E43D0" w:rsidR="00F64776" w:rsidRDefault="00F64776" w:rsidP="00F64776">
      <w:pPr>
        <w:pStyle w:val="TextoNormal"/>
      </w:pPr>
      <w:r w:rsidRPr="00F64776">
        <w:rPr>
          <w:rStyle w:val="NumeroAFNegritaCaracter"/>
        </w:rPr>
        <w:t>2</w:t>
      </w:r>
      <w:r>
        <w:t>. Por escrito de 3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16D4F8CA" w14:textId="77777777" w:rsidR="00F64776" w:rsidRDefault="00F64776" w:rsidP="00F64776">
      <w:pPr>
        <w:pStyle w:val="TextoNormal"/>
      </w:pPr>
    </w:p>
    <w:p w14:paraId="3FA3291B" w14:textId="77777777" w:rsidR="00F64776" w:rsidRDefault="00F64776" w:rsidP="00F64776">
      <w:pPr>
        <w:pStyle w:val="TextoNormalNegritaCentrado"/>
        <w:keepNext/>
      </w:pPr>
      <w:r>
        <w:t>II. Fundamentos jurídicos</w:t>
      </w:r>
    </w:p>
    <w:p w14:paraId="0B9DC874" w14:textId="3F1FBD04" w:rsidR="00F64776" w:rsidRDefault="00F64776" w:rsidP="00F64776">
      <w:pPr>
        <w:pStyle w:val="TextoNormalNegritaCentrado"/>
        <w:keepNext/>
      </w:pPr>
    </w:p>
    <w:p w14:paraId="5930711A" w14:textId="05D77FE0"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4B402E64" w14:textId="77777777" w:rsidR="00F64776" w:rsidRDefault="00F64776" w:rsidP="00F64776">
      <w:pPr>
        <w:pStyle w:val="TextoNormal"/>
      </w:pPr>
    </w:p>
    <w:p w14:paraId="02DD8E45" w14:textId="77777777" w:rsidR="00F64776" w:rsidRDefault="00F64776" w:rsidP="00F64776">
      <w:pPr>
        <w:pStyle w:val="TextoNormal"/>
      </w:pPr>
      <w:r>
        <w:t>Por lo expuesto, la Sección</w:t>
      </w:r>
    </w:p>
    <w:p w14:paraId="5E4E4ACD" w14:textId="7C988970" w:rsidR="00F64776" w:rsidRDefault="00F64776" w:rsidP="00F64776">
      <w:pPr>
        <w:pStyle w:val="TextoNormal"/>
      </w:pPr>
    </w:p>
    <w:p w14:paraId="777E55C7" w14:textId="77777777" w:rsidR="00F64776" w:rsidRDefault="00F64776" w:rsidP="00F64776">
      <w:pPr>
        <w:pStyle w:val="TextoNormalCentrado"/>
      </w:pPr>
      <w:r>
        <w:t>ACUERDA</w:t>
      </w:r>
    </w:p>
    <w:p w14:paraId="4E623301" w14:textId="284B9ACC" w:rsidR="00F64776" w:rsidRDefault="00F64776" w:rsidP="00F64776">
      <w:pPr>
        <w:pStyle w:val="TextoNormalCentrado"/>
      </w:pPr>
    </w:p>
    <w:p w14:paraId="21F67DC2" w14:textId="08433660" w:rsidR="00F64776" w:rsidRDefault="00F64776" w:rsidP="00F64776">
      <w:pPr>
        <w:pStyle w:val="TextoNormal"/>
      </w:pPr>
      <w:r>
        <w:t>Estimar justificada la abstención formulada por el magistrado señor don César Tolosa Tribiño en el recurso de amparo núm. 1865-2022 y apartarle definitivamente del conocimiento del referido recurso y de todas sus incidencias.</w:t>
      </w:r>
    </w:p>
    <w:p w14:paraId="5D8581A0" w14:textId="77777777" w:rsidR="00F64776" w:rsidRDefault="00F64776" w:rsidP="00F64776">
      <w:pPr>
        <w:pStyle w:val="TextoNormal"/>
      </w:pPr>
    </w:p>
    <w:p w14:paraId="7E532D5D" w14:textId="77777777" w:rsidR="00F64776" w:rsidRDefault="00F64776" w:rsidP="00F64776">
      <w:pPr>
        <w:pStyle w:val="TextoNormal"/>
      </w:pPr>
      <w:r>
        <w:t>Madrid, a veintitrés de octubre de dos mil veintitrés.</w:t>
      </w:r>
    </w:p>
    <w:p w14:paraId="1AAA09F1" w14:textId="084C14C2" w:rsidR="00F64776" w:rsidRDefault="00F64776">
      <w:pPr>
        <w:spacing w:after="160" w:line="278" w:lineRule="auto"/>
        <w:rPr>
          <w:rFonts w:ascii="Times New Roman" w:eastAsia="Times New Roman" w:hAnsi="Times New Roman" w:cs="Times New Roman"/>
          <w:sz w:val="24"/>
          <w:szCs w:val="24"/>
          <w:lang w:eastAsia="es-ES"/>
        </w:rPr>
      </w:pPr>
      <w:r>
        <w:br w:type="page"/>
      </w:r>
    </w:p>
    <w:p w14:paraId="3492CE4A" w14:textId="77777777" w:rsidR="00F64776" w:rsidRDefault="00F64776" w:rsidP="00F64776">
      <w:pPr>
        <w:pStyle w:val="TtuloResolucin"/>
      </w:pPr>
      <w:bookmarkStart w:id="238" w:name="AUTO_2023_453"/>
      <w:r>
        <w:t>AUTO 453/2023, de 23 de octubre de 2023</w:t>
      </w:r>
    </w:p>
    <w:bookmarkEnd w:id="238"/>
    <w:p w14:paraId="29728929" w14:textId="77777777" w:rsidR="00F64776" w:rsidRDefault="00F64776" w:rsidP="00F64776">
      <w:pPr>
        <w:pStyle w:val="TtuloResolucin"/>
      </w:pPr>
      <w:r>
        <w:t>Sección Tercera</w:t>
      </w:r>
    </w:p>
    <w:p w14:paraId="4F49B3E0" w14:textId="77777777" w:rsidR="00F64776" w:rsidRDefault="00F64776" w:rsidP="00F64776">
      <w:pPr>
        <w:pStyle w:val="TextoNormalCentrado"/>
      </w:pPr>
      <w:r>
        <w:t>ECLI:ES:TC:2023:453A</w:t>
      </w:r>
    </w:p>
    <w:p w14:paraId="1099FA38" w14:textId="7E20E6F8" w:rsidR="00F64776" w:rsidRDefault="00F64776" w:rsidP="00F64776">
      <w:pPr>
        <w:pStyle w:val="TextoNormalCentrado"/>
      </w:pPr>
    </w:p>
    <w:p w14:paraId="41777E8E" w14:textId="77777777" w:rsidR="00F64776" w:rsidRDefault="00F64776" w:rsidP="00F64776">
      <w:pPr>
        <w:pStyle w:val="SntesisDescriptiva"/>
      </w:pPr>
      <w:r>
        <w:t>Excms. Srs. doña Inmaculada Montalbán Huertas y doña Laura Díez Bueso.</w:t>
      </w:r>
    </w:p>
    <w:p w14:paraId="4D18B5F9" w14:textId="4809F7E2" w:rsidR="00F64776" w:rsidRDefault="00F64776" w:rsidP="00F64776">
      <w:pPr>
        <w:pStyle w:val="SntesisDescriptiva"/>
      </w:pPr>
    </w:p>
    <w:p w14:paraId="66AC2976" w14:textId="77777777" w:rsidR="00F64776" w:rsidRDefault="00F64776" w:rsidP="00F64776">
      <w:pPr>
        <w:pStyle w:val="SntesisDescriptiva"/>
      </w:pPr>
      <w:r>
        <w:t>Acepta una abstención en el recurso de amparo 2402-2022, promovido en proceso contencioso-administrativo.</w:t>
      </w:r>
    </w:p>
    <w:p w14:paraId="141A82A6" w14:textId="5812DCC4" w:rsidR="00F64776" w:rsidRDefault="00F64776" w:rsidP="00F64776">
      <w:pPr>
        <w:pStyle w:val="SntesisDescriptiva"/>
      </w:pPr>
    </w:p>
    <w:p w14:paraId="4EC6290F" w14:textId="77777777" w:rsidR="00F64776" w:rsidRDefault="00F64776" w:rsidP="00F64776">
      <w:pPr>
        <w:pStyle w:val="SntesisDescriptiva"/>
      </w:pPr>
    </w:p>
    <w:p w14:paraId="6BB79C72" w14:textId="77777777" w:rsidR="00F64776" w:rsidRDefault="00F64776" w:rsidP="00F64776">
      <w:pPr>
        <w:pStyle w:val="SntesisDescriptiva"/>
      </w:pPr>
    </w:p>
    <w:p w14:paraId="3CFBE20C" w14:textId="77777777" w:rsidR="00F64776" w:rsidRDefault="00F64776" w:rsidP="00F64776">
      <w:pPr>
        <w:pStyle w:val="TextoNormalNegritaCentrado"/>
      </w:pPr>
      <w:r>
        <w:t>AUTO</w:t>
      </w:r>
    </w:p>
    <w:p w14:paraId="01149841" w14:textId="0E21AD23" w:rsidR="00F64776" w:rsidRDefault="00F64776" w:rsidP="00F64776">
      <w:pPr>
        <w:pStyle w:val="TextoNormalNegritaCentrado"/>
      </w:pPr>
    </w:p>
    <w:p w14:paraId="625128F6" w14:textId="77777777" w:rsidR="00F64776" w:rsidRDefault="00F64776" w:rsidP="00F64776">
      <w:pPr>
        <w:pStyle w:val="TextoNormalNegritaCentrado"/>
        <w:keepNext/>
      </w:pPr>
      <w:r>
        <w:t>I. Antecedentes</w:t>
      </w:r>
    </w:p>
    <w:p w14:paraId="264BCC51" w14:textId="44EA0F13" w:rsidR="00F64776" w:rsidRDefault="00F64776" w:rsidP="00F64776">
      <w:pPr>
        <w:pStyle w:val="TextoNormalNegritaCentrado"/>
        <w:keepNext/>
      </w:pPr>
    </w:p>
    <w:p w14:paraId="0E87BDAF" w14:textId="5DDFF3AF" w:rsidR="00F64776" w:rsidRDefault="00F64776" w:rsidP="00F64776">
      <w:pPr>
        <w:pStyle w:val="TextoNormal"/>
      </w:pPr>
      <w:r w:rsidRPr="00F64776">
        <w:rPr>
          <w:rStyle w:val="NumeroAFNegritaCaracter"/>
        </w:rPr>
        <w:t>1</w:t>
      </w:r>
      <w:r>
        <w:t>. Mediante escrito registrado en este tribunal el 5 de abril de 2022 el procurador de los tribunales don Antonio Nicolás Vallellano, en nombre y representación de don Samuel Sánchez Monge y bajo la dirección del letrado don Luis Mariano Álvarez Collado, interpuso demanda de amparo contra providencia de fecha 16 de febrero de 2022, dictada por la Sección Primera de la Sala de lo Contencioso-Administrativo del Tribunal Supremo en recurso de casación núm. 4296-2021 contra sentencia de la Sección Octava de la Sala de lo Contencioso-Administrativo del Tribunal Superior de Justicia de Madrid, recurso de apelación núm. 1295-2019.</w:t>
      </w:r>
    </w:p>
    <w:p w14:paraId="1FBBEAE5" w14:textId="77777777" w:rsidR="00F64776" w:rsidRDefault="00F64776" w:rsidP="00F64776">
      <w:pPr>
        <w:pStyle w:val="TextoNormal"/>
      </w:pPr>
    </w:p>
    <w:p w14:paraId="33FCCA53" w14:textId="5DBAF699" w:rsidR="00F64776" w:rsidRDefault="00F64776" w:rsidP="00F64776">
      <w:pPr>
        <w:pStyle w:val="TextoNormal"/>
      </w:pPr>
      <w:r w:rsidRPr="00F64776">
        <w:rPr>
          <w:rStyle w:val="NumeroAFNegritaCaracter"/>
        </w:rPr>
        <w:t>2</w:t>
      </w:r>
      <w:r>
        <w:t>. Por escrito de 27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725417C8" w14:textId="77777777" w:rsidR="00F64776" w:rsidRDefault="00F64776" w:rsidP="00F64776">
      <w:pPr>
        <w:pStyle w:val="TextoNormal"/>
      </w:pPr>
    </w:p>
    <w:p w14:paraId="27701EFC" w14:textId="77777777" w:rsidR="00F64776" w:rsidRDefault="00F64776" w:rsidP="00F64776">
      <w:pPr>
        <w:pStyle w:val="TextoNormalNegritaCentrado"/>
        <w:keepNext/>
      </w:pPr>
      <w:r>
        <w:t>II. Fundamentos jurídicos</w:t>
      </w:r>
    </w:p>
    <w:p w14:paraId="58849FBE" w14:textId="72F12046" w:rsidR="00F64776" w:rsidRDefault="00F64776" w:rsidP="00F64776">
      <w:pPr>
        <w:pStyle w:val="TextoNormalNegritaCentrado"/>
        <w:keepNext/>
      </w:pPr>
    </w:p>
    <w:p w14:paraId="1EA422CD" w14:textId="0ADF52C2"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4177EC97" w14:textId="77777777" w:rsidR="00F64776" w:rsidRDefault="00F64776" w:rsidP="00F64776">
      <w:pPr>
        <w:pStyle w:val="TextoNormal"/>
      </w:pPr>
    </w:p>
    <w:p w14:paraId="64C75EBC" w14:textId="77777777" w:rsidR="00F64776" w:rsidRDefault="00F64776" w:rsidP="00F64776">
      <w:pPr>
        <w:pStyle w:val="TextoNormal"/>
      </w:pPr>
      <w:r>
        <w:t>Por lo expuesto, la Sección</w:t>
      </w:r>
    </w:p>
    <w:p w14:paraId="416846DE" w14:textId="5873927B" w:rsidR="00F64776" w:rsidRDefault="00F64776" w:rsidP="00F64776">
      <w:pPr>
        <w:pStyle w:val="TextoNormal"/>
      </w:pPr>
    </w:p>
    <w:p w14:paraId="7C311052" w14:textId="77777777" w:rsidR="00F64776" w:rsidRDefault="00F64776" w:rsidP="00F64776">
      <w:pPr>
        <w:pStyle w:val="TextoNormalCentrado"/>
      </w:pPr>
      <w:r>
        <w:t>ACUERDA</w:t>
      </w:r>
    </w:p>
    <w:p w14:paraId="756BB93D" w14:textId="40AE5CF6" w:rsidR="00F64776" w:rsidRDefault="00F64776" w:rsidP="00F64776">
      <w:pPr>
        <w:pStyle w:val="TextoNormalCentrado"/>
      </w:pPr>
    </w:p>
    <w:p w14:paraId="18F53E3A" w14:textId="13610945" w:rsidR="00F64776" w:rsidRDefault="00F64776" w:rsidP="00F64776">
      <w:pPr>
        <w:pStyle w:val="TextoNormal"/>
      </w:pPr>
      <w:r>
        <w:t>Estimar justificada la abstención formulada por el magistrado señor don César Tolosa Tribiño en el recurso de amparo núm. 2402-2022 y apartarle definitivamente del conocimiento del referido recurso y de todas sus incidencias.</w:t>
      </w:r>
    </w:p>
    <w:p w14:paraId="714FA7F7" w14:textId="77777777" w:rsidR="00F64776" w:rsidRDefault="00F64776" w:rsidP="00F64776">
      <w:pPr>
        <w:pStyle w:val="TextoNormal"/>
      </w:pPr>
    </w:p>
    <w:p w14:paraId="35604307" w14:textId="77777777" w:rsidR="00F64776" w:rsidRDefault="00F64776" w:rsidP="00F64776">
      <w:pPr>
        <w:pStyle w:val="TextoNormal"/>
      </w:pPr>
      <w:r>
        <w:t>Madrid, a veintitrés de octubre de dos mil veintitrés.</w:t>
      </w:r>
    </w:p>
    <w:p w14:paraId="749A1E51" w14:textId="5789FBC4" w:rsidR="00F64776" w:rsidRDefault="00F64776">
      <w:pPr>
        <w:spacing w:after="160" w:line="278" w:lineRule="auto"/>
        <w:rPr>
          <w:rFonts w:ascii="Times New Roman" w:eastAsia="Times New Roman" w:hAnsi="Times New Roman" w:cs="Times New Roman"/>
          <w:sz w:val="24"/>
          <w:szCs w:val="24"/>
          <w:lang w:eastAsia="es-ES"/>
        </w:rPr>
      </w:pPr>
      <w:r>
        <w:br w:type="page"/>
      </w:r>
    </w:p>
    <w:p w14:paraId="597F1203" w14:textId="77777777" w:rsidR="00F64776" w:rsidRDefault="00F64776" w:rsidP="00F64776">
      <w:pPr>
        <w:pStyle w:val="TtuloResolucin"/>
      </w:pPr>
      <w:bookmarkStart w:id="239" w:name="AUTO_2023_454"/>
      <w:r>
        <w:t>AUTO 454/2023, de 23 de octubre de 2023</w:t>
      </w:r>
    </w:p>
    <w:bookmarkEnd w:id="239"/>
    <w:p w14:paraId="72941017" w14:textId="77777777" w:rsidR="00F64776" w:rsidRDefault="00F64776" w:rsidP="00F64776">
      <w:pPr>
        <w:pStyle w:val="TtuloResolucin"/>
      </w:pPr>
      <w:r>
        <w:t>Sección Tercera</w:t>
      </w:r>
    </w:p>
    <w:p w14:paraId="7A59B6FE" w14:textId="77777777" w:rsidR="00F64776" w:rsidRDefault="00F64776" w:rsidP="00F64776">
      <w:pPr>
        <w:pStyle w:val="TextoNormalCentrado"/>
      </w:pPr>
      <w:r>
        <w:t>ECLI:ES:TC:2023:454A</w:t>
      </w:r>
    </w:p>
    <w:p w14:paraId="165D622E" w14:textId="178C3F01" w:rsidR="00F64776" w:rsidRDefault="00F64776" w:rsidP="00F64776">
      <w:pPr>
        <w:pStyle w:val="TextoNormalCentrado"/>
      </w:pPr>
    </w:p>
    <w:p w14:paraId="77659D31" w14:textId="77777777" w:rsidR="00F64776" w:rsidRDefault="00F64776" w:rsidP="00F64776">
      <w:pPr>
        <w:pStyle w:val="SntesisDescriptiva"/>
      </w:pPr>
      <w:r>
        <w:t>Excms. Srs. doña Inmaculada Montalbán Huertas y doña Laura Díez Bueso.</w:t>
      </w:r>
    </w:p>
    <w:p w14:paraId="47F05C71" w14:textId="6B174958" w:rsidR="00F64776" w:rsidRDefault="00F64776" w:rsidP="00F64776">
      <w:pPr>
        <w:pStyle w:val="SntesisDescriptiva"/>
      </w:pPr>
    </w:p>
    <w:p w14:paraId="1CE86265" w14:textId="77777777" w:rsidR="00F64776" w:rsidRDefault="00F64776" w:rsidP="00F64776">
      <w:pPr>
        <w:pStyle w:val="SntesisDescriptiva"/>
      </w:pPr>
      <w:r>
        <w:t>Acepta una abstención en el recurso de amparo 2669-2022, promovido en proceso contencioso-administrativo.</w:t>
      </w:r>
    </w:p>
    <w:p w14:paraId="0A476FA3" w14:textId="7192843F" w:rsidR="00F64776" w:rsidRDefault="00F64776" w:rsidP="00F64776">
      <w:pPr>
        <w:pStyle w:val="SntesisDescriptiva"/>
      </w:pPr>
    </w:p>
    <w:p w14:paraId="7832E2BC" w14:textId="77777777" w:rsidR="00F64776" w:rsidRDefault="00F64776" w:rsidP="00F64776">
      <w:pPr>
        <w:pStyle w:val="SntesisDescriptiva"/>
      </w:pPr>
    </w:p>
    <w:p w14:paraId="25C91E79" w14:textId="77777777" w:rsidR="00F64776" w:rsidRDefault="00F64776" w:rsidP="00F64776">
      <w:pPr>
        <w:pStyle w:val="SntesisDescriptiva"/>
      </w:pPr>
    </w:p>
    <w:p w14:paraId="62499EAD" w14:textId="77777777" w:rsidR="00F64776" w:rsidRDefault="00F64776" w:rsidP="00F64776">
      <w:pPr>
        <w:pStyle w:val="TextoNormalNegritaCentrado"/>
      </w:pPr>
      <w:r>
        <w:t>AUTO</w:t>
      </w:r>
    </w:p>
    <w:p w14:paraId="041CF377" w14:textId="65B4C07E" w:rsidR="00F64776" w:rsidRDefault="00F64776" w:rsidP="00F64776">
      <w:pPr>
        <w:pStyle w:val="TextoNormalNegritaCentrado"/>
      </w:pPr>
    </w:p>
    <w:p w14:paraId="4FF2D2BC" w14:textId="77777777" w:rsidR="00F64776" w:rsidRDefault="00F64776" w:rsidP="00F64776">
      <w:pPr>
        <w:pStyle w:val="TextoNormalNegritaCentrado"/>
        <w:keepNext/>
      </w:pPr>
      <w:r>
        <w:t>I. Antecedentes</w:t>
      </w:r>
    </w:p>
    <w:p w14:paraId="07381D91" w14:textId="0ED301A5" w:rsidR="00F64776" w:rsidRDefault="00F64776" w:rsidP="00F64776">
      <w:pPr>
        <w:pStyle w:val="TextoNormalNegritaCentrado"/>
        <w:keepNext/>
      </w:pPr>
    </w:p>
    <w:p w14:paraId="7F99FF02" w14:textId="39A0A785" w:rsidR="00F64776" w:rsidRDefault="00F64776" w:rsidP="00F64776">
      <w:pPr>
        <w:pStyle w:val="TextoNormal"/>
      </w:pPr>
      <w:r w:rsidRPr="00F64776">
        <w:rPr>
          <w:rStyle w:val="NumeroAFNegritaCaracter"/>
        </w:rPr>
        <w:t>1</w:t>
      </w:r>
      <w:r>
        <w:t>. Mediante escrito registrado en este tribunal el 13 de abril de2022 la procuradora de los tribunales doña Eloísa García Martín, en nombre y representación de doña Yaneisi Oliver Gato y otros y bajo la dirección del letrado don Francisco Javier Gálvez Guasp, formuló demanda de amparo contra las providencias de fecha 2 de diciembre de 2021 y 17 de marzo de 2022, dictadas por la Sección Primera de la Sala de lo Contencioso-Administrativo del Tribunal Supremo en recurso de casación núm. 4915-2021 contra sentencia de la Sección Tercera de la Sala de lo Contencioso-Administrativo de la Audiencia Nacional en procedimiento ordinario núm. 260-2019.</w:t>
      </w:r>
    </w:p>
    <w:p w14:paraId="454DABE5" w14:textId="77777777" w:rsidR="00F64776" w:rsidRDefault="00F64776" w:rsidP="00F64776">
      <w:pPr>
        <w:pStyle w:val="TextoNormal"/>
      </w:pPr>
    </w:p>
    <w:p w14:paraId="52CF9AF0" w14:textId="6C592001" w:rsidR="00F64776" w:rsidRDefault="00F64776" w:rsidP="00F64776">
      <w:pPr>
        <w:pStyle w:val="TextoNormal"/>
      </w:pPr>
      <w:r w:rsidRPr="00F64776">
        <w:rPr>
          <w:rStyle w:val="NumeroAFNegritaCaracter"/>
        </w:rPr>
        <w:t>2</w:t>
      </w:r>
      <w:r>
        <w:t>. Por escrito de 27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1D89EF9B" w14:textId="77777777" w:rsidR="00F64776" w:rsidRDefault="00F64776" w:rsidP="00F64776">
      <w:pPr>
        <w:pStyle w:val="TextoNormal"/>
      </w:pPr>
    </w:p>
    <w:p w14:paraId="29DF8391" w14:textId="77777777" w:rsidR="00F64776" w:rsidRDefault="00F64776" w:rsidP="00F64776">
      <w:pPr>
        <w:pStyle w:val="TextoNormalNegritaCentrado"/>
        <w:keepNext/>
      </w:pPr>
      <w:r>
        <w:t>II. Fundamentos jurídicos</w:t>
      </w:r>
    </w:p>
    <w:p w14:paraId="285BA032" w14:textId="5E1D6CB0" w:rsidR="00F64776" w:rsidRDefault="00F64776" w:rsidP="00F64776">
      <w:pPr>
        <w:pStyle w:val="TextoNormalNegritaCentrado"/>
        <w:keepNext/>
      </w:pPr>
    </w:p>
    <w:p w14:paraId="402432EE" w14:textId="10F0B0C5"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0D63758F" w14:textId="77777777" w:rsidR="00F64776" w:rsidRDefault="00F64776" w:rsidP="00F64776">
      <w:pPr>
        <w:pStyle w:val="TextoNormal"/>
      </w:pPr>
    </w:p>
    <w:p w14:paraId="4D96B83F" w14:textId="77777777" w:rsidR="00F64776" w:rsidRDefault="00F64776" w:rsidP="00F64776">
      <w:pPr>
        <w:pStyle w:val="TextoNormal"/>
      </w:pPr>
      <w:r>
        <w:t>Por lo expuesto, la Sección</w:t>
      </w:r>
    </w:p>
    <w:p w14:paraId="4359BBD7" w14:textId="6487ECDD" w:rsidR="00F64776" w:rsidRDefault="00F64776" w:rsidP="00F64776">
      <w:pPr>
        <w:pStyle w:val="TextoNormal"/>
      </w:pPr>
    </w:p>
    <w:p w14:paraId="37F9E7DE" w14:textId="77777777" w:rsidR="00F64776" w:rsidRDefault="00F64776" w:rsidP="00F64776">
      <w:pPr>
        <w:pStyle w:val="TextoNormalCentrado"/>
      </w:pPr>
      <w:r>
        <w:t>ACUERDA</w:t>
      </w:r>
    </w:p>
    <w:p w14:paraId="1B64821F" w14:textId="79E0967B" w:rsidR="00F64776" w:rsidRDefault="00F64776" w:rsidP="00F64776">
      <w:pPr>
        <w:pStyle w:val="TextoNormalCentrado"/>
      </w:pPr>
    </w:p>
    <w:p w14:paraId="7B75AB4C" w14:textId="6C39746C" w:rsidR="00F64776" w:rsidRDefault="00F64776" w:rsidP="00F64776">
      <w:pPr>
        <w:pStyle w:val="TextoNormal"/>
      </w:pPr>
      <w:r>
        <w:t>Estimar justificada la abstención formulada por el magistrado señor don César Tolosa Tribiño en el recurso de amparo núm. 2669-2022 y apartarle definitivamente del conocimiento del referido recurso y de todas sus incidencias.</w:t>
      </w:r>
    </w:p>
    <w:p w14:paraId="38F34720" w14:textId="77777777" w:rsidR="00F64776" w:rsidRDefault="00F64776" w:rsidP="00F64776">
      <w:pPr>
        <w:pStyle w:val="TextoNormal"/>
      </w:pPr>
    </w:p>
    <w:p w14:paraId="308D1B62" w14:textId="77777777" w:rsidR="00F64776" w:rsidRDefault="00F64776" w:rsidP="00F64776">
      <w:pPr>
        <w:pStyle w:val="TextoNormal"/>
      </w:pPr>
      <w:r>
        <w:t>Madrid, a veintitrés de octubre de dos mil veintitrés.</w:t>
      </w:r>
    </w:p>
    <w:p w14:paraId="77C3E009" w14:textId="3076ABD6" w:rsidR="00F64776" w:rsidRDefault="00F64776">
      <w:pPr>
        <w:spacing w:after="160" w:line="278" w:lineRule="auto"/>
        <w:rPr>
          <w:rFonts w:ascii="Times New Roman" w:eastAsia="Times New Roman" w:hAnsi="Times New Roman" w:cs="Times New Roman"/>
          <w:sz w:val="24"/>
          <w:szCs w:val="24"/>
          <w:lang w:eastAsia="es-ES"/>
        </w:rPr>
      </w:pPr>
      <w:r>
        <w:br w:type="page"/>
      </w:r>
    </w:p>
    <w:p w14:paraId="2A25C7F4" w14:textId="77777777" w:rsidR="00F64776" w:rsidRDefault="00F64776" w:rsidP="00F64776">
      <w:pPr>
        <w:pStyle w:val="TtuloResolucin"/>
      </w:pPr>
      <w:bookmarkStart w:id="240" w:name="AUTO_2023_455"/>
      <w:r>
        <w:t>AUTO 455/2023, de 23 de octubre de 2023</w:t>
      </w:r>
    </w:p>
    <w:bookmarkEnd w:id="240"/>
    <w:p w14:paraId="32598B7C" w14:textId="77777777" w:rsidR="00F64776" w:rsidRDefault="00F64776" w:rsidP="00F64776">
      <w:pPr>
        <w:pStyle w:val="TtuloResolucin"/>
      </w:pPr>
      <w:r>
        <w:t>Sección Tercera</w:t>
      </w:r>
    </w:p>
    <w:p w14:paraId="35EC6662" w14:textId="77777777" w:rsidR="00F64776" w:rsidRDefault="00F64776" w:rsidP="00F64776">
      <w:pPr>
        <w:pStyle w:val="TextoNormalCentrado"/>
      </w:pPr>
      <w:r>
        <w:t>ECLI:ES:TC:2023:455A</w:t>
      </w:r>
    </w:p>
    <w:p w14:paraId="744623E6" w14:textId="41DC27B7" w:rsidR="00F64776" w:rsidRDefault="00F64776" w:rsidP="00F64776">
      <w:pPr>
        <w:pStyle w:val="TextoNormalCentrado"/>
      </w:pPr>
    </w:p>
    <w:p w14:paraId="6E50D65A" w14:textId="77777777" w:rsidR="00F64776" w:rsidRDefault="00F64776" w:rsidP="00F64776">
      <w:pPr>
        <w:pStyle w:val="SntesisDescriptiva"/>
      </w:pPr>
      <w:r>
        <w:t>Excms. Srs. doña Inmaculada Montalbán Huertas y doña Laura Díez Bueso.</w:t>
      </w:r>
    </w:p>
    <w:p w14:paraId="0379FCEC" w14:textId="79E8AD64" w:rsidR="00F64776" w:rsidRDefault="00F64776" w:rsidP="00F64776">
      <w:pPr>
        <w:pStyle w:val="SntesisDescriptiva"/>
      </w:pPr>
    </w:p>
    <w:p w14:paraId="50300168" w14:textId="77777777" w:rsidR="00F64776" w:rsidRDefault="00F64776" w:rsidP="00F64776">
      <w:pPr>
        <w:pStyle w:val="SntesisDescriptiva"/>
      </w:pPr>
      <w:r>
        <w:t>Acepta una abstención en el recurso de amparo 3245-2022, promovido en proceso contencioso-administrativo.</w:t>
      </w:r>
    </w:p>
    <w:p w14:paraId="2904A616" w14:textId="326462D3" w:rsidR="00F64776" w:rsidRDefault="00F64776" w:rsidP="00F64776">
      <w:pPr>
        <w:pStyle w:val="SntesisDescriptiva"/>
      </w:pPr>
    </w:p>
    <w:p w14:paraId="5485C8BB" w14:textId="77777777" w:rsidR="00F64776" w:rsidRDefault="00F64776" w:rsidP="00F64776">
      <w:pPr>
        <w:pStyle w:val="SntesisDescriptiva"/>
      </w:pPr>
    </w:p>
    <w:p w14:paraId="6684496F" w14:textId="77777777" w:rsidR="00F64776" w:rsidRDefault="00F64776" w:rsidP="00F64776">
      <w:pPr>
        <w:pStyle w:val="SntesisDescriptiva"/>
      </w:pPr>
    </w:p>
    <w:p w14:paraId="768FEF35" w14:textId="77777777" w:rsidR="00F64776" w:rsidRDefault="00F64776" w:rsidP="00F64776">
      <w:pPr>
        <w:pStyle w:val="TextoNormalNegritaCentrado"/>
      </w:pPr>
      <w:r>
        <w:t>AUTO</w:t>
      </w:r>
    </w:p>
    <w:p w14:paraId="68F4EBB4" w14:textId="17035992" w:rsidR="00F64776" w:rsidRDefault="00F64776" w:rsidP="00F64776">
      <w:pPr>
        <w:pStyle w:val="TextoNormalNegritaCentrado"/>
      </w:pPr>
    </w:p>
    <w:p w14:paraId="469AD09D" w14:textId="77777777" w:rsidR="00F64776" w:rsidRDefault="00F64776" w:rsidP="00F64776">
      <w:pPr>
        <w:pStyle w:val="TextoNormalNegritaCentrado"/>
        <w:keepNext/>
      </w:pPr>
      <w:r>
        <w:t>I. Antecedentes</w:t>
      </w:r>
    </w:p>
    <w:p w14:paraId="7992D349" w14:textId="10C09182" w:rsidR="00F64776" w:rsidRDefault="00F64776" w:rsidP="00F64776">
      <w:pPr>
        <w:pStyle w:val="TextoNormalNegritaCentrado"/>
        <w:keepNext/>
      </w:pPr>
    </w:p>
    <w:p w14:paraId="6EAA9609" w14:textId="4FF9A61D" w:rsidR="00F64776" w:rsidRDefault="00F64776" w:rsidP="00F64776">
      <w:pPr>
        <w:pStyle w:val="TextoNormal"/>
      </w:pPr>
      <w:r w:rsidRPr="00F64776">
        <w:rPr>
          <w:rStyle w:val="NumeroAFNegritaCaracter"/>
        </w:rPr>
        <w:t>1</w:t>
      </w:r>
      <w:r>
        <w:t>. Mediante escrito registrado en este tribunal el 9 de mayo de 2022 la procuradora de los tribunales doña Patricia Rosch Iglesias, en nombre y representación de doña Ana María de la Rosa Fernández y bajo la dirección del letrado don Julio Pérez Martín, formuló demanda de amparo contra la providencia de 4 de mayo de 2022 dictada por la Sección Primera de la Sala de lo Contencioso-Administrativo del Tribunal Supremo en recurso de casación núm. 1024-2022.</w:t>
      </w:r>
    </w:p>
    <w:p w14:paraId="733ACA54" w14:textId="77777777" w:rsidR="00F64776" w:rsidRDefault="00F64776" w:rsidP="00F64776">
      <w:pPr>
        <w:pStyle w:val="TextoNormal"/>
      </w:pPr>
    </w:p>
    <w:p w14:paraId="53257D7E" w14:textId="6655F37D" w:rsidR="00F64776" w:rsidRDefault="00F64776" w:rsidP="00F64776">
      <w:pPr>
        <w:pStyle w:val="TextoNormal"/>
      </w:pPr>
      <w:r w:rsidRPr="00F64776">
        <w:rPr>
          <w:rStyle w:val="NumeroAFNegritaCaracter"/>
        </w:rPr>
        <w:t>2</w:t>
      </w:r>
      <w:r>
        <w:t>. Por escrito de 22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40CCB235" w14:textId="77777777" w:rsidR="00F64776" w:rsidRDefault="00F64776" w:rsidP="00F64776">
      <w:pPr>
        <w:pStyle w:val="TextoNormal"/>
      </w:pPr>
    </w:p>
    <w:p w14:paraId="5FEC594A" w14:textId="77777777" w:rsidR="00F64776" w:rsidRDefault="00F64776" w:rsidP="00F64776">
      <w:pPr>
        <w:pStyle w:val="TextoNormalNegritaCentrado"/>
        <w:keepNext/>
      </w:pPr>
      <w:r>
        <w:t>II. Fundamentos jurídicos</w:t>
      </w:r>
    </w:p>
    <w:p w14:paraId="54581D1B" w14:textId="536189B2" w:rsidR="00F64776" w:rsidRDefault="00F64776" w:rsidP="00F64776">
      <w:pPr>
        <w:pStyle w:val="TextoNormalNegritaCentrado"/>
        <w:keepNext/>
      </w:pPr>
    </w:p>
    <w:p w14:paraId="0ED9A5EA" w14:textId="04313423"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0645938F" w14:textId="77777777" w:rsidR="00F64776" w:rsidRDefault="00F64776" w:rsidP="00F64776">
      <w:pPr>
        <w:pStyle w:val="TextoNormal"/>
      </w:pPr>
    </w:p>
    <w:p w14:paraId="1DB57BF7" w14:textId="77777777" w:rsidR="00F64776" w:rsidRDefault="00F64776" w:rsidP="00F64776">
      <w:pPr>
        <w:pStyle w:val="TextoNormal"/>
      </w:pPr>
      <w:r>
        <w:t>Por lo expuesto, la Sección</w:t>
      </w:r>
    </w:p>
    <w:p w14:paraId="011FF1CA" w14:textId="418B7287" w:rsidR="00F64776" w:rsidRDefault="00F64776" w:rsidP="00F64776">
      <w:pPr>
        <w:pStyle w:val="TextoNormal"/>
      </w:pPr>
    </w:p>
    <w:p w14:paraId="6E8F96C2" w14:textId="77777777" w:rsidR="00F64776" w:rsidRDefault="00F64776" w:rsidP="00F64776">
      <w:pPr>
        <w:pStyle w:val="TextoNormalCentrado"/>
      </w:pPr>
      <w:r>
        <w:t>ACUERDA</w:t>
      </w:r>
    </w:p>
    <w:p w14:paraId="5AE8F2FD" w14:textId="35BEAA14" w:rsidR="00F64776" w:rsidRDefault="00F64776" w:rsidP="00F64776">
      <w:pPr>
        <w:pStyle w:val="TextoNormalCentrado"/>
      </w:pPr>
    </w:p>
    <w:p w14:paraId="2369017E" w14:textId="0E6AF82C" w:rsidR="00F64776" w:rsidRDefault="00F64776" w:rsidP="00F64776">
      <w:pPr>
        <w:pStyle w:val="TextoNormal"/>
      </w:pPr>
      <w:r>
        <w:t>Estimar justificada la abstención formulada por el magistrado señor don César Tolosa Tribiño en el recurso de amparo núm. 3245-2022 y apartarle definitivamente del conocimiento del referido recurso y de todas sus incidencias.</w:t>
      </w:r>
    </w:p>
    <w:p w14:paraId="2220AE7D" w14:textId="77777777" w:rsidR="00F64776" w:rsidRDefault="00F64776" w:rsidP="00F64776">
      <w:pPr>
        <w:pStyle w:val="TextoNormal"/>
      </w:pPr>
    </w:p>
    <w:p w14:paraId="4FBFFCB2" w14:textId="77777777" w:rsidR="00F64776" w:rsidRDefault="00F64776" w:rsidP="00F64776">
      <w:pPr>
        <w:pStyle w:val="TextoNormal"/>
      </w:pPr>
      <w:r>
        <w:t>Madrid, a veintitrés de octubre de dos mil veintitrés.</w:t>
      </w:r>
    </w:p>
    <w:p w14:paraId="389E08B4" w14:textId="21C0B77C" w:rsidR="00F64776" w:rsidRDefault="00F64776">
      <w:pPr>
        <w:spacing w:after="160" w:line="278" w:lineRule="auto"/>
        <w:rPr>
          <w:rFonts w:ascii="Times New Roman" w:eastAsia="Times New Roman" w:hAnsi="Times New Roman" w:cs="Times New Roman"/>
          <w:sz w:val="24"/>
          <w:szCs w:val="24"/>
          <w:lang w:eastAsia="es-ES"/>
        </w:rPr>
      </w:pPr>
      <w:r>
        <w:br w:type="page"/>
      </w:r>
    </w:p>
    <w:p w14:paraId="01F051B1" w14:textId="77777777" w:rsidR="00F64776" w:rsidRDefault="00F64776" w:rsidP="00F64776">
      <w:pPr>
        <w:pStyle w:val="TtuloResolucin"/>
      </w:pPr>
      <w:bookmarkStart w:id="241" w:name="AUTO_2023_456"/>
      <w:r>
        <w:t>AUTO 456/2023, de 23 de octubre de 2023</w:t>
      </w:r>
    </w:p>
    <w:bookmarkEnd w:id="241"/>
    <w:p w14:paraId="0D5977D5" w14:textId="77777777" w:rsidR="00F64776" w:rsidRDefault="00F64776" w:rsidP="00F64776">
      <w:pPr>
        <w:pStyle w:val="TtuloResolucin"/>
      </w:pPr>
      <w:r>
        <w:t>Sección Tercera</w:t>
      </w:r>
    </w:p>
    <w:p w14:paraId="2EBC43FF" w14:textId="77777777" w:rsidR="00F64776" w:rsidRDefault="00F64776" w:rsidP="00F64776">
      <w:pPr>
        <w:pStyle w:val="TextoNormalCentrado"/>
      </w:pPr>
      <w:r>
        <w:t>ECLI:ES:TC:2023:456A</w:t>
      </w:r>
    </w:p>
    <w:p w14:paraId="6D8B5A39" w14:textId="16113F76" w:rsidR="00F64776" w:rsidRDefault="00F64776" w:rsidP="00F64776">
      <w:pPr>
        <w:pStyle w:val="TextoNormalCentrado"/>
      </w:pPr>
    </w:p>
    <w:p w14:paraId="33CFCB0F" w14:textId="77777777" w:rsidR="00F64776" w:rsidRDefault="00F64776" w:rsidP="00F64776">
      <w:pPr>
        <w:pStyle w:val="SntesisDescriptiva"/>
      </w:pPr>
      <w:r>
        <w:t>Excms. Srs. doña Inmaculada Montalbán Huertas y doña Laura Díez Bueso.</w:t>
      </w:r>
    </w:p>
    <w:p w14:paraId="27A02EE7" w14:textId="47341328" w:rsidR="00F64776" w:rsidRDefault="00F64776" w:rsidP="00F64776">
      <w:pPr>
        <w:pStyle w:val="SntesisDescriptiva"/>
      </w:pPr>
    </w:p>
    <w:p w14:paraId="279A009F" w14:textId="77777777" w:rsidR="00F64776" w:rsidRDefault="00F64776" w:rsidP="00F64776">
      <w:pPr>
        <w:pStyle w:val="SntesisDescriptiva"/>
      </w:pPr>
      <w:r>
        <w:t>Acepta una abstención en el recurso de amparo 4294-2022, promovido en proceso contencioso-administrativo.</w:t>
      </w:r>
    </w:p>
    <w:p w14:paraId="105201D3" w14:textId="351CA95C" w:rsidR="00F64776" w:rsidRDefault="00F64776" w:rsidP="00F64776">
      <w:pPr>
        <w:pStyle w:val="SntesisDescriptiva"/>
      </w:pPr>
    </w:p>
    <w:p w14:paraId="2ECD4FA2" w14:textId="77777777" w:rsidR="00F64776" w:rsidRDefault="00F64776" w:rsidP="00F64776">
      <w:pPr>
        <w:pStyle w:val="SntesisDescriptiva"/>
      </w:pPr>
    </w:p>
    <w:p w14:paraId="3C3232C3" w14:textId="77777777" w:rsidR="00F64776" w:rsidRDefault="00F64776" w:rsidP="00F64776">
      <w:pPr>
        <w:pStyle w:val="SntesisDescriptiva"/>
      </w:pPr>
    </w:p>
    <w:p w14:paraId="024720E6" w14:textId="77777777" w:rsidR="00F64776" w:rsidRDefault="00F64776" w:rsidP="00F64776">
      <w:pPr>
        <w:pStyle w:val="TextoNormalNegritaCentrado"/>
      </w:pPr>
      <w:r>
        <w:t>AUTO</w:t>
      </w:r>
    </w:p>
    <w:p w14:paraId="142CCF0E" w14:textId="161016CB" w:rsidR="00F64776" w:rsidRDefault="00F64776" w:rsidP="00F64776">
      <w:pPr>
        <w:pStyle w:val="TextoNormalNegritaCentrado"/>
      </w:pPr>
    </w:p>
    <w:p w14:paraId="4DE978E8" w14:textId="77777777" w:rsidR="00F64776" w:rsidRDefault="00F64776" w:rsidP="00F64776">
      <w:pPr>
        <w:pStyle w:val="TextoNormalNegritaCentrado"/>
        <w:keepNext/>
      </w:pPr>
      <w:r>
        <w:t>I. Antecedentes</w:t>
      </w:r>
    </w:p>
    <w:p w14:paraId="7D03AA7A" w14:textId="10B01384" w:rsidR="00F64776" w:rsidRDefault="00F64776" w:rsidP="00F64776">
      <w:pPr>
        <w:pStyle w:val="TextoNormalNegritaCentrado"/>
        <w:keepNext/>
      </w:pPr>
    </w:p>
    <w:p w14:paraId="3BB44F34" w14:textId="6F0E3353" w:rsidR="00F64776" w:rsidRDefault="00F64776" w:rsidP="00F64776">
      <w:pPr>
        <w:pStyle w:val="TextoNormal"/>
      </w:pPr>
      <w:r w:rsidRPr="00F64776">
        <w:rPr>
          <w:rStyle w:val="NumeroAFNegritaCaracter"/>
        </w:rPr>
        <w:t>1</w:t>
      </w:r>
      <w:r>
        <w:t>. Mediante escrito registrado en este tribunal el 15 de junio de 2022 el procurador de los tribunales don Miguel Ángel Ayuso Morales, en nombre y representación de don Ade Omijie y bajo la dirección del letrado don Javier Fernández Suárez, presentó demanda de amparo contra la providencia de 27 de abril de 2022 dictada por la Sección Primera Sala de lo Contencioso-Administrativo del Tribunal Supremo en recurso de casación núm. 604-2022.</w:t>
      </w:r>
    </w:p>
    <w:p w14:paraId="6FF9C6F3" w14:textId="77777777" w:rsidR="00F64776" w:rsidRDefault="00F64776" w:rsidP="00F64776">
      <w:pPr>
        <w:pStyle w:val="TextoNormal"/>
      </w:pPr>
    </w:p>
    <w:p w14:paraId="5D4761F2" w14:textId="161402FC" w:rsidR="00F64776" w:rsidRDefault="00F64776" w:rsidP="00F64776">
      <w:pPr>
        <w:pStyle w:val="TextoNormal"/>
      </w:pPr>
      <w:r w:rsidRPr="00F64776">
        <w:rPr>
          <w:rStyle w:val="NumeroAFNegritaCaracter"/>
        </w:rPr>
        <w:t>2</w:t>
      </w:r>
      <w:r>
        <w:t>. Por escrito de 27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1544CD72" w14:textId="77777777" w:rsidR="00F64776" w:rsidRDefault="00F64776" w:rsidP="00F64776">
      <w:pPr>
        <w:pStyle w:val="TextoNormal"/>
      </w:pPr>
    </w:p>
    <w:p w14:paraId="2A720DA0" w14:textId="77777777" w:rsidR="00F64776" w:rsidRDefault="00F64776" w:rsidP="00F64776">
      <w:pPr>
        <w:pStyle w:val="TextoNormalNegritaCentrado"/>
        <w:keepNext/>
      </w:pPr>
      <w:r>
        <w:t>II. Fundamentos jurídicos</w:t>
      </w:r>
    </w:p>
    <w:p w14:paraId="5530956B" w14:textId="43E10462" w:rsidR="00F64776" w:rsidRDefault="00F64776" w:rsidP="00F64776">
      <w:pPr>
        <w:pStyle w:val="TextoNormalNegritaCentrado"/>
        <w:keepNext/>
      </w:pPr>
    </w:p>
    <w:p w14:paraId="3AB54687" w14:textId="036409DA"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6FA3A7BA" w14:textId="77777777" w:rsidR="00F64776" w:rsidRDefault="00F64776" w:rsidP="00F64776">
      <w:pPr>
        <w:pStyle w:val="TextoNormal"/>
      </w:pPr>
    </w:p>
    <w:p w14:paraId="58436CC7" w14:textId="77777777" w:rsidR="00F64776" w:rsidRDefault="00F64776" w:rsidP="00F64776">
      <w:pPr>
        <w:pStyle w:val="TextoNormal"/>
      </w:pPr>
      <w:r>
        <w:t>Por lo expuesto, la Sección</w:t>
      </w:r>
    </w:p>
    <w:p w14:paraId="19714783" w14:textId="29D129F5" w:rsidR="00F64776" w:rsidRDefault="00F64776" w:rsidP="00F64776">
      <w:pPr>
        <w:pStyle w:val="TextoNormal"/>
      </w:pPr>
    </w:p>
    <w:p w14:paraId="34DB816A" w14:textId="77777777" w:rsidR="00F64776" w:rsidRDefault="00F64776" w:rsidP="00F64776">
      <w:pPr>
        <w:pStyle w:val="TextoNormalCentrado"/>
      </w:pPr>
      <w:r>
        <w:t>ACUERDA</w:t>
      </w:r>
    </w:p>
    <w:p w14:paraId="18CBA079" w14:textId="56D7EE3D" w:rsidR="00F64776" w:rsidRDefault="00F64776" w:rsidP="00F64776">
      <w:pPr>
        <w:pStyle w:val="TextoNormalCentrado"/>
      </w:pPr>
    </w:p>
    <w:p w14:paraId="35A099C0" w14:textId="6D373842" w:rsidR="00F64776" w:rsidRDefault="00F64776" w:rsidP="00F64776">
      <w:pPr>
        <w:pStyle w:val="TextoNormal"/>
      </w:pPr>
      <w:r>
        <w:t>Estimar justificada la abstención formulada por el magistrado señor don César Tolosa Tribiño en el recurso de amparo núm. 4294-2022 y apartarle definitivamente del conocimiento del referido recurso y de todas sus incidencias.</w:t>
      </w:r>
    </w:p>
    <w:p w14:paraId="23239727" w14:textId="77777777" w:rsidR="00F64776" w:rsidRDefault="00F64776" w:rsidP="00F64776">
      <w:pPr>
        <w:pStyle w:val="TextoNormal"/>
      </w:pPr>
    </w:p>
    <w:p w14:paraId="704ACA21" w14:textId="77777777" w:rsidR="00F64776" w:rsidRDefault="00F64776" w:rsidP="00F64776">
      <w:pPr>
        <w:pStyle w:val="TextoNormal"/>
      </w:pPr>
      <w:r>
        <w:t>Madrid, a veintitrés de octubre de dos mil veintitrés.</w:t>
      </w:r>
    </w:p>
    <w:p w14:paraId="30E43E9F" w14:textId="3F431AA7" w:rsidR="00F64776" w:rsidRDefault="00F64776">
      <w:pPr>
        <w:spacing w:after="160" w:line="278" w:lineRule="auto"/>
        <w:rPr>
          <w:rFonts w:ascii="Times New Roman" w:eastAsia="Times New Roman" w:hAnsi="Times New Roman" w:cs="Times New Roman"/>
          <w:sz w:val="24"/>
          <w:szCs w:val="24"/>
          <w:lang w:eastAsia="es-ES"/>
        </w:rPr>
      </w:pPr>
      <w:r>
        <w:br w:type="page"/>
      </w:r>
    </w:p>
    <w:p w14:paraId="3D46A518" w14:textId="77777777" w:rsidR="00F64776" w:rsidRDefault="00F64776" w:rsidP="00F64776">
      <w:pPr>
        <w:pStyle w:val="TtuloResolucin"/>
      </w:pPr>
      <w:bookmarkStart w:id="242" w:name="AUTO_2023_457"/>
      <w:r>
        <w:t>AUTO 457/2023, de 23 de octubre de 2023</w:t>
      </w:r>
    </w:p>
    <w:bookmarkEnd w:id="242"/>
    <w:p w14:paraId="6A8C1D4C" w14:textId="77777777" w:rsidR="00F64776" w:rsidRDefault="00F64776" w:rsidP="00F64776">
      <w:pPr>
        <w:pStyle w:val="TtuloResolucin"/>
      </w:pPr>
      <w:r>
        <w:t>Sección Tercera</w:t>
      </w:r>
    </w:p>
    <w:p w14:paraId="452CD123" w14:textId="77777777" w:rsidR="00F64776" w:rsidRDefault="00F64776" w:rsidP="00F64776">
      <w:pPr>
        <w:pStyle w:val="TextoNormalCentrado"/>
      </w:pPr>
      <w:r>
        <w:t>ECLI:ES:TC:2023:457A</w:t>
      </w:r>
    </w:p>
    <w:p w14:paraId="4E7355BE" w14:textId="39AD373C" w:rsidR="00F64776" w:rsidRDefault="00F64776" w:rsidP="00F64776">
      <w:pPr>
        <w:pStyle w:val="TextoNormalCentrado"/>
      </w:pPr>
    </w:p>
    <w:p w14:paraId="0D680714" w14:textId="77777777" w:rsidR="00F64776" w:rsidRDefault="00F64776" w:rsidP="00F64776">
      <w:pPr>
        <w:pStyle w:val="SntesisDescriptiva"/>
      </w:pPr>
      <w:r>
        <w:t>Excms. Srs. doña Inmaculada Montalbán Huertas y doña Laura Díez Bueso.</w:t>
      </w:r>
    </w:p>
    <w:p w14:paraId="0BFB0765" w14:textId="38576FC7" w:rsidR="00F64776" w:rsidRDefault="00F64776" w:rsidP="00F64776">
      <w:pPr>
        <w:pStyle w:val="SntesisDescriptiva"/>
      </w:pPr>
    </w:p>
    <w:p w14:paraId="18D47325" w14:textId="77777777" w:rsidR="00F64776" w:rsidRDefault="00F64776" w:rsidP="00F64776">
      <w:pPr>
        <w:pStyle w:val="SntesisDescriptiva"/>
      </w:pPr>
      <w:r>
        <w:t>Acepta una abstención en el recurso de amparo 4466-2022, promovido en proceso contencioso-administrativo.</w:t>
      </w:r>
    </w:p>
    <w:p w14:paraId="4DBE5470" w14:textId="19BA3D75" w:rsidR="00F64776" w:rsidRDefault="00F64776" w:rsidP="00F64776">
      <w:pPr>
        <w:pStyle w:val="SntesisDescriptiva"/>
      </w:pPr>
    </w:p>
    <w:p w14:paraId="4B665248" w14:textId="77777777" w:rsidR="00F64776" w:rsidRDefault="00F64776" w:rsidP="00F64776">
      <w:pPr>
        <w:pStyle w:val="SntesisDescriptiva"/>
      </w:pPr>
    </w:p>
    <w:p w14:paraId="63FABD5B" w14:textId="77777777" w:rsidR="00F64776" w:rsidRDefault="00F64776" w:rsidP="00F64776">
      <w:pPr>
        <w:pStyle w:val="SntesisDescriptiva"/>
      </w:pPr>
    </w:p>
    <w:p w14:paraId="7A8BACF1" w14:textId="77777777" w:rsidR="00F64776" w:rsidRDefault="00F64776" w:rsidP="00F64776">
      <w:pPr>
        <w:pStyle w:val="TextoNormalNegritaCentrado"/>
      </w:pPr>
      <w:r>
        <w:t>AUTO</w:t>
      </w:r>
    </w:p>
    <w:p w14:paraId="3DAAB612" w14:textId="5917A116" w:rsidR="00F64776" w:rsidRDefault="00F64776" w:rsidP="00F64776">
      <w:pPr>
        <w:pStyle w:val="TextoNormalNegritaCentrado"/>
      </w:pPr>
    </w:p>
    <w:p w14:paraId="5AFE2B44" w14:textId="77777777" w:rsidR="00F64776" w:rsidRDefault="00F64776" w:rsidP="00F64776">
      <w:pPr>
        <w:pStyle w:val="TextoNormalNegritaCentrado"/>
        <w:keepNext/>
      </w:pPr>
      <w:r>
        <w:t>I. Antecedentes</w:t>
      </w:r>
    </w:p>
    <w:p w14:paraId="050FEE4D" w14:textId="4F35B8C5" w:rsidR="00F64776" w:rsidRDefault="00F64776" w:rsidP="00F64776">
      <w:pPr>
        <w:pStyle w:val="TextoNormalNegritaCentrado"/>
        <w:keepNext/>
      </w:pPr>
    </w:p>
    <w:p w14:paraId="616218D3" w14:textId="61915861" w:rsidR="00F64776" w:rsidRDefault="00F64776" w:rsidP="00F64776">
      <w:pPr>
        <w:pStyle w:val="TextoNormal"/>
      </w:pPr>
      <w:r w:rsidRPr="00F64776">
        <w:rPr>
          <w:rStyle w:val="NumeroAFNegritaCaracter"/>
        </w:rPr>
        <w:t>1</w:t>
      </w:r>
      <w:r>
        <w:t>. Mediante escrito registrado en este tribunal el 21 de junio de 2022 el procurador de los tribunales don José María Ruiz de la Cuesta Vacas, en nombre y representación de don Emilio José González Miguel y bajo la dirección del letrado don Francisco Javier Araúz de Robles Dávila, presentó demanda de amparo contra providencias de la Sección Primera de la Sala de lo Contencioso-Administrativo del Tribunal Supremo en recurso de casación núm. 4607-2021.</w:t>
      </w:r>
    </w:p>
    <w:p w14:paraId="1709F196" w14:textId="77777777" w:rsidR="00F64776" w:rsidRDefault="00F64776" w:rsidP="00F64776">
      <w:pPr>
        <w:pStyle w:val="TextoNormal"/>
      </w:pPr>
    </w:p>
    <w:p w14:paraId="6CC1697F" w14:textId="391CD915" w:rsidR="00F64776" w:rsidRDefault="00F64776" w:rsidP="00F64776">
      <w:pPr>
        <w:pStyle w:val="TextoNormal"/>
      </w:pPr>
      <w:r w:rsidRPr="00F64776">
        <w:rPr>
          <w:rStyle w:val="NumeroAFNegritaCaracter"/>
        </w:rPr>
        <w:t>2</w:t>
      </w:r>
      <w:r>
        <w:t>. Por escrito de 7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58C9869A" w14:textId="77777777" w:rsidR="00F64776" w:rsidRDefault="00F64776" w:rsidP="00F64776">
      <w:pPr>
        <w:pStyle w:val="TextoNormal"/>
      </w:pPr>
    </w:p>
    <w:p w14:paraId="5D8FA889" w14:textId="77777777" w:rsidR="00F64776" w:rsidRDefault="00F64776" w:rsidP="00F64776">
      <w:pPr>
        <w:pStyle w:val="TextoNormalNegritaCentrado"/>
        <w:keepNext/>
      </w:pPr>
      <w:r>
        <w:t>II. Fundamentos jurídicos</w:t>
      </w:r>
    </w:p>
    <w:p w14:paraId="48A7707D" w14:textId="5A933CC8" w:rsidR="00F64776" w:rsidRDefault="00F64776" w:rsidP="00F64776">
      <w:pPr>
        <w:pStyle w:val="TextoNormalNegritaCentrado"/>
        <w:keepNext/>
      </w:pPr>
    </w:p>
    <w:p w14:paraId="3AED68B3" w14:textId="7BC4978B"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7746262F" w14:textId="77777777" w:rsidR="00F64776" w:rsidRDefault="00F64776" w:rsidP="00F64776">
      <w:pPr>
        <w:pStyle w:val="TextoNormal"/>
      </w:pPr>
    </w:p>
    <w:p w14:paraId="75EF4825" w14:textId="77777777" w:rsidR="00F64776" w:rsidRDefault="00F64776" w:rsidP="00F64776">
      <w:pPr>
        <w:pStyle w:val="TextoNormal"/>
      </w:pPr>
      <w:r>
        <w:t>Por lo expuesto, la Sección</w:t>
      </w:r>
    </w:p>
    <w:p w14:paraId="329C87B7" w14:textId="3A0F3EF6" w:rsidR="00F64776" w:rsidRDefault="00F64776" w:rsidP="00F64776">
      <w:pPr>
        <w:pStyle w:val="TextoNormal"/>
      </w:pPr>
    </w:p>
    <w:p w14:paraId="4F95F92D" w14:textId="77777777" w:rsidR="00F64776" w:rsidRDefault="00F64776" w:rsidP="00F64776">
      <w:pPr>
        <w:pStyle w:val="TextoNormalCentrado"/>
      </w:pPr>
      <w:r>
        <w:t>ACUERDA</w:t>
      </w:r>
    </w:p>
    <w:p w14:paraId="2B234DB7" w14:textId="04691D4E" w:rsidR="00F64776" w:rsidRDefault="00F64776" w:rsidP="00F64776">
      <w:pPr>
        <w:pStyle w:val="TextoNormalCentrado"/>
      </w:pPr>
    </w:p>
    <w:p w14:paraId="33AD2465" w14:textId="145A1122" w:rsidR="00F64776" w:rsidRDefault="00F64776" w:rsidP="00F64776">
      <w:pPr>
        <w:pStyle w:val="TextoNormal"/>
      </w:pPr>
      <w:r>
        <w:t>Estimar justificada la abstención formulada por el magistrado señor don César Tolosa Tribiño en el recurso de amparo núm. 4466-2022 y apartarle definitivamente del conocimiento del referido recurso y de todas sus incidencias.</w:t>
      </w:r>
    </w:p>
    <w:p w14:paraId="3E6B3EC8" w14:textId="77777777" w:rsidR="00F64776" w:rsidRDefault="00F64776" w:rsidP="00F64776">
      <w:pPr>
        <w:pStyle w:val="TextoNormal"/>
      </w:pPr>
    </w:p>
    <w:p w14:paraId="255B26C4" w14:textId="77777777" w:rsidR="00F64776" w:rsidRDefault="00F64776" w:rsidP="00F64776">
      <w:pPr>
        <w:pStyle w:val="TextoNormal"/>
      </w:pPr>
      <w:r>
        <w:t>Madrid, a veintitrés de octubre de dos mil veintitrés.</w:t>
      </w:r>
    </w:p>
    <w:p w14:paraId="32D11857" w14:textId="1A9F8AE3" w:rsidR="00F64776" w:rsidRDefault="00F64776">
      <w:pPr>
        <w:spacing w:after="160" w:line="278" w:lineRule="auto"/>
        <w:rPr>
          <w:rFonts w:ascii="Times New Roman" w:eastAsia="Times New Roman" w:hAnsi="Times New Roman" w:cs="Times New Roman"/>
          <w:sz w:val="24"/>
          <w:szCs w:val="24"/>
          <w:lang w:eastAsia="es-ES"/>
        </w:rPr>
      </w:pPr>
      <w:r>
        <w:br w:type="page"/>
      </w:r>
    </w:p>
    <w:p w14:paraId="2AD11804" w14:textId="77777777" w:rsidR="00F64776" w:rsidRDefault="00F64776" w:rsidP="00F64776">
      <w:pPr>
        <w:pStyle w:val="TtuloResolucin"/>
      </w:pPr>
      <w:bookmarkStart w:id="243" w:name="AUTO_2023_458"/>
      <w:r>
        <w:t>AUTO 458/2023, de 23 de octubre de 2023</w:t>
      </w:r>
    </w:p>
    <w:bookmarkEnd w:id="243"/>
    <w:p w14:paraId="7877D3C0" w14:textId="77777777" w:rsidR="00F64776" w:rsidRDefault="00F64776" w:rsidP="00F64776">
      <w:pPr>
        <w:pStyle w:val="TtuloResolucin"/>
      </w:pPr>
      <w:r>
        <w:t>Sala Segunda</w:t>
      </w:r>
    </w:p>
    <w:p w14:paraId="69E9017D" w14:textId="77777777" w:rsidR="00F64776" w:rsidRDefault="00F64776" w:rsidP="00F64776">
      <w:pPr>
        <w:pStyle w:val="TextoNormalCentrado"/>
      </w:pPr>
      <w:r>
        <w:t>ECLI:ES:TC:2023:458A</w:t>
      </w:r>
    </w:p>
    <w:p w14:paraId="22FF666D" w14:textId="3B092BFB" w:rsidR="00F64776" w:rsidRDefault="00F64776" w:rsidP="00F64776">
      <w:pPr>
        <w:pStyle w:val="TextoNormalCentrado"/>
      </w:pPr>
    </w:p>
    <w:p w14:paraId="62636482" w14:textId="77777777" w:rsidR="00F64776" w:rsidRDefault="00F64776" w:rsidP="00F64776">
      <w:pPr>
        <w:pStyle w:val="SntesisDescriptiva"/>
      </w:pPr>
      <w:r>
        <w:t>Excms. Srs. doña Inmaculada Montalbán Huertas, doña María Luisa Balaguer Callejón, don Ramón Sáez Valcárcel, don Enrique Arnaldo Alcubilla, don César Tolosa Tribiño y doña Laura Díez Bueso.</w:t>
      </w:r>
    </w:p>
    <w:p w14:paraId="1B15307E" w14:textId="16F22433" w:rsidR="00F64776" w:rsidRDefault="00F64776" w:rsidP="00F64776">
      <w:pPr>
        <w:pStyle w:val="SntesisDescriptiva"/>
      </w:pPr>
    </w:p>
    <w:p w14:paraId="6725CD44" w14:textId="77777777" w:rsidR="00F64776" w:rsidRDefault="00F64776" w:rsidP="00F64776">
      <w:pPr>
        <w:pStyle w:val="SntesisDescriptiva"/>
      </w:pPr>
      <w:r>
        <w:t>Deniega la suspensión en el recurso de amparo 6222-2022, promovido por don José Luis Fernández Castañón de Amores en pleito civil.</w:t>
      </w:r>
    </w:p>
    <w:p w14:paraId="75BFC19D" w14:textId="5873A24A" w:rsidR="00F64776" w:rsidRDefault="00F64776" w:rsidP="00F64776">
      <w:pPr>
        <w:pStyle w:val="SntesisDescriptiva"/>
      </w:pPr>
    </w:p>
    <w:p w14:paraId="3B8C5D69" w14:textId="77777777" w:rsidR="00F64776" w:rsidRDefault="00F64776" w:rsidP="00F64776">
      <w:pPr>
        <w:pStyle w:val="SntesisDescriptiva"/>
      </w:pPr>
    </w:p>
    <w:p w14:paraId="77BBD947" w14:textId="77777777" w:rsidR="00F64776" w:rsidRDefault="00F64776" w:rsidP="00F64776">
      <w:pPr>
        <w:pStyle w:val="SntesisDescriptiva"/>
      </w:pPr>
    </w:p>
    <w:p w14:paraId="5F8CEDDE" w14:textId="77777777" w:rsidR="00F64776" w:rsidRDefault="00F64776" w:rsidP="00F64776">
      <w:pPr>
        <w:pStyle w:val="TextoNormalNegritaCentrado"/>
      </w:pPr>
      <w:r>
        <w:t>AUTO</w:t>
      </w:r>
    </w:p>
    <w:p w14:paraId="4D85BFC5" w14:textId="1F1ABB37" w:rsidR="00F64776" w:rsidRDefault="00F64776" w:rsidP="00F64776">
      <w:pPr>
        <w:pStyle w:val="TextoNormalNegritaCentrado"/>
      </w:pPr>
    </w:p>
    <w:p w14:paraId="5F3F5F51" w14:textId="77777777" w:rsidR="00F64776" w:rsidRDefault="00F64776" w:rsidP="00F64776">
      <w:pPr>
        <w:pStyle w:val="TextoNormalNegritaCentrado"/>
        <w:keepNext/>
      </w:pPr>
      <w:r>
        <w:t>I. Antecedentes</w:t>
      </w:r>
    </w:p>
    <w:p w14:paraId="343D3845" w14:textId="2BA47593" w:rsidR="00F64776" w:rsidRDefault="00F64776" w:rsidP="00F64776">
      <w:pPr>
        <w:pStyle w:val="TextoNormalNegritaCentrado"/>
        <w:keepNext/>
      </w:pPr>
    </w:p>
    <w:p w14:paraId="1113F669" w14:textId="77777777" w:rsidR="00F64776" w:rsidRDefault="00F64776" w:rsidP="00F64776">
      <w:pPr>
        <w:pStyle w:val="TextoNormal"/>
      </w:pPr>
      <w:r w:rsidRPr="00F64776">
        <w:rPr>
          <w:rStyle w:val="NumeroAFNegritaCaracter"/>
        </w:rPr>
        <w:t>1</w:t>
      </w:r>
      <w:r>
        <w:t>. Por escrito registrado en este tribunal el día 22 de septiembre de 2022, el procurador de los tribunales don Ignacio Pérez de los Santos, en nombre y representación de don José Luis Fernández Castañón de Amores, y bajo la dirección letrada de don Juan José Sánchez Sánchez, interpuso recurso de amparo contra: (i) la providencia de 20 de mayo de 2022 dictada por la titular del Juzgado de Primera Instancia e Instrucción núm. 4 de Dos Hermanas (Sevilla) en el procedimiento de ejecución provisional núm. 985-2020, por el que se inadmite el recurso de revisión interpuesto contra el decreto de 6 de abril de 2022 que determina la tasación de una finca a efectos de su valoración como bien embargado en el citado procedimiento de ejecución, y (ii) el auto dictado por el mismo juzgado de 1 de julio de 2022, por el que se desestima el recurso de reposición interpuesto contra la primera resolución.</w:t>
      </w:r>
    </w:p>
    <w:p w14:paraId="5F259CF0" w14:textId="77777777" w:rsidR="00F64776" w:rsidRDefault="00F64776" w:rsidP="00F64776">
      <w:pPr>
        <w:pStyle w:val="TextoNormal"/>
      </w:pPr>
    </w:p>
    <w:p w14:paraId="17D9A5ED" w14:textId="18779C3A" w:rsidR="00F64776" w:rsidRDefault="00F64776" w:rsidP="00F64776">
      <w:pPr>
        <w:pStyle w:val="TextoNormal"/>
      </w:pPr>
      <w:r>
        <w:t>En el escrito de interposición del recurso de amparo se solicitaba por medio de otrosí la suspensión cautelar de las resoluciones impugnadas en este recurso de amparo.</w:t>
      </w:r>
    </w:p>
    <w:p w14:paraId="0602C5FA" w14:textId="77777777" w:rsidR="00F64776" w:rsidRDefault="00F64776" w:rsidP="00F64776">
      <w:pPr>
        <w:pStyle w:val="TextoNormal"/>
      </w:pPr>
    </w:p>
    <w:p w14:paraId="026E0273" w14:textId="77777777" w:rsidR="00F64776" w:rsidRDefault="00F64776" w:rsidP="00F64776">
      <w:pPr>
        <w:pStyle w:val="TextoNormal"/>
      </w:pPr>
      <w:r w:rsidRPr="00F64776">
        <w:rPr>
          <w:rStyle w:val="NumeroAFNegritaCaracter"/>
        </w:rPr>
        <w:t>2</w:t>
      </w:r>
      <w:r>
        <w:t>. Los hechos referidos en la demanda de amparo relevantes para resolver la cuestión planteada son los siguientes:</w:t>
      </w:r>
    </w:p>
    <w:p w14:paraId="021C4D61" w14:textId="77777777" w:rsidR="00F64776" w:rsidRDefault="00F64776" w:rsidP="00F64776">
      <w:pPr>
        <w:pStyle w:val="TextoNormal"/>
      </w:pPr>
    </w:p>
    <w:p w14:paraId="4B97BA5E" w14:textId="77777777" w:rsidR="00F64776" w:rsidRDefault="00F64776" w:rsidP="00F64776">
      <w:pPr>
        <w:pStyle w:val="TextoNormal"/>
      </w:pPr>
      <w:r>
        <w:t>a) El procedimiento de ejecución provisional núm. 985-2020 se sigue en el Juzgado de Primera Instancia e Instrucción núm. 4 de Dos Hermanas, a instancia de la entidad Gesprocon 2005, S.L., contra el hoy demandante de amparo. En dicho procedimiento se dictó el decreto de 6 de abril de 2022 en el que se fijaba el valor de mercado de la finca registral núm. 2169 del término municipal de Bollullos de la Mitación. En la resolución se hacía constar que contra la misma cabía recurso de revisión que debía interponerse en el plazo de cinco días hábiles y que se debía “constituir y acreditar al tiempo de la interposición el depósito para recurrir de veinticinco euros, mediante su ingreso en la Cuenta de Consignaciones [...]. Sin cuyos requisitos no se admitirá a trámite el recurso, y todo ello conforme a lo dispuesto en los arts. 451, 452 y concordantes LEC y la Disposición Adicional Decimoquinta de la LOPJ”.</w:t>
      </w:r>
    </w:p>
    <w:p w14:paraId="199D84ED" w14:textId="77777777" w:rsidR="00F64776" w:rsidRDefault="00F64776" w:rsidP="00F64776">
      <w:pPr>
        <w:pStyle w:val="TextoNormal"/>
      </w:pPr>
    </w:p>
    <w:p w14:paraId="190D616F" w14:textId="77777777" w:rsidR="00F64776" w:rsidRDefault="00F64776" w:rsidP="00F64776">
      <w:pPr>
        <w:pStyle w:val="TextoNormal"/>
      </w:pPr>
      <w:r>
        <w:t>b) Por la representación procesal del ahora demandante de amparo se presentó recurso de revisión contra el anterior decreto, que le había sido notificado en fecha 7 de abril, mediante escrito presentado en fecha 19 de abril de 2022. En fecha 23 de abril se dictó diligencia de ordenación en la que, tras hacer constar la presentación del escrito, se acordaba su unión a los autos de su razón y “con carácter previo a admitir el recurso de revisión, requiérase al mismo para que en el término de dos días hábiles subsane la falta de consignación efectuada en la cuenta provisional de este juzgado del obligatorio depósito para recurrir regulado en la disposición adicional decimoquinta de la Ley Orgánica 6/1985 del Poder Judicial, según Ley Orgánica 1/2009, de 3 de noviembre”. Según figura en el resguardo de ingreso, la consignación fue efectuada el 28 de abril de 2022, el mismo día en que se había notificado la diligencia de ordenación.</w:t>
      </w:r>
    </w:p>
    <w:p w14:paraId="3B1C6DCF" w14:textId="77777777" w:rsidR="00F64776" w:rsidRDefault="00F64776" w:rsidP="00F64776">
      <w:pPr>
        <w:pStyle w:val="TextoNormal"/>
      </w:pPr>
    </w:p>
    <w:p w14:paraId="728E3734" w14:textId="77777777" w:rsidR="00F64776" w:rsidRDefault="00F64776" w:rsidP="00F64776">
      <w:pPr>
        <w:pStyle w:val="TextoNormal"/>
      </w:pPr>
      <w:r>
        <w:t>c) Mediante providencia de 20 de mayo de 2022, el juzgado resolvió inadmitir el recurso de revisión presentado contra el decreto, considerando que la consignación del depósito para recurrir se había presentado fuera de plazo, al haberse hecho constar mediante diligencia que el recurso de revisión no había sido acompañado del justificante de la constitución del depósito para recurrir, y que este había sido hecho por la parte en fecha 28 de abril, por tanto, fuera de plazo.</w:t>
      </w:r>
    </w:p>
    <w:p w14:paraId="7E94949A" w14:textId="77777777" w:rsidR="00F64776" w:rsidRDefault="00F64776" w:rsidP="00F64776">
      <w:pPr>
        <w:pStyle w:val="TextoNormal"/>
      </w:pPr>
    </w:p>
    <w:p w14:paraId="2C310F89" w14:textId="31C4C50C" w:rsidR="00F64776" w:rsidRDefault="00F64776" w:rsidP="00F64776">
      <w:pPr>
        <w:pStyle w:val="TextoNormal"/>
      </w:pPr>
      <w:r>
        <w:t>d) Contra dicha providencia se presentó recurso de revisión que fue desestimado por el auto dictado el 1 de julio de 2022, en el que como fundamento del rechazo se exponía: “no se puede admitir la subsanación pretendida, por cuanto la consignación del depósito para interponer el recurso de revisión, debe ser realizado dentro del plazo concedido a la parte para recurrir, y no de forma extemporánea, ya que lo realiza de forma extemporánea, veinte días más tarde de que precluyera dicho plazo, por lo que siendo el depósito realizado el 28 de abril de 2022, no puede ser admitido el recurso, cuyo plazo había transcurrido con creces”. Esta resolución no era susceptible de recurso.</w:t>
      </w:r>
    </w:p>
    <w:p w14:paraId="6D4B701B" w14:textId="77777777" w:rsidR="00F64776" w:rsidRDefault="00F64776" w:rsidP="00F64776">
      <w:pPr>
        <w:pStyle w:val="TextoNormal"/>
      </w:pPr>
    </w:p>
    <w:p w14:paraId="2364340A" w14:textId="77777777" w:rsidR="00F64776" w:rsidRDefault="00F64776" w:rsidP="00F64776">
      <w:pPr>
        <w:pStyle w:val="TextoNormal"/>
      </w:pPr>
      <w:r w:rsidRPr="00F64776">
        <w:rPr>
          <w:rStyle w:val="NumeroAFNegritaCaracter"/>
        </w:rPr>
        <w:t>3</w:t>
      </w:r>
      <w:r>
        <w:t>. El 22 de septiembre de 2022 se presentó en el registro del Tribunal Constitucional demanda de amparo contra la providencia de 20 de mayo de 2022 y el auto de 1 de julio de 2022, por considerar vulnerado el derecho a la tutela judicial efectiva del art. 24.1 CE, en su vertiente de acceso al proceso.</w:t>
      </w:r>
    </w:p>
    <w:p w14:paraId="203A6107" w14:textId="77777777" w:rsidR="00F64776" w:rsidRDefault="00F64776" w:rsidP="00F64776">
      <w:pPr>
        <w:pStyle w:val="TextoNormal"/>
      </w:pPr>
    </w:p>
    <w:p w14:paraId="0800474A" w14:textId="43AE5012" w:rsidR="00F64776" w:rsidRDefault="00F64776" w:rsidP="00F64776">
      <w:pPr>
        <w:pStyle w:val="TextoNormal"/>
      </w:pPr>
      <w:r>
        <w:t>En el otrosí primero de la demanda la sociedad demandante de amparo solicita: “la suspensión cautelar de las resoluciones impugnadas en este recurso y en él referenciadas, hasta tanto se resuelva el mismo, por cuanto la no suspensión de aquellas resoluciones produciría a mi conferente perjuicios de imposible o difícil reparación, que harían perder al amparo solicitado por el recurrente su finalidad”.</w:t>
      </w:r>
    </w:p>
    <w:p w14:paraId="421196F2" w14:textId="77777777" w:rsidR="00F64776" w:rsidRDefault="00F64776" w:rsidP="00F64776">
      <w:pPr>
        <w:pStyle w:val="TextoNormal"/>
      </w:pPr>
    </w:p>
    <w:p w14:paraId="66BB0A90" w14:textId="77777777" w:rsidR="00F64776" w:rsidRDefault="00F64776" w:rsidP="00F64776">
      <w:pPr>
        <w:pStyle w:val="TextoNormal"/>
      </w:pPr>
      <w:r w:rsidRPr="00F64776">
        <w:rPr>
          <w:rStyle w:val="NumeroAFNegritaCaracter"/>
        </w:rPr>
        <w:t>4</w:t>
      </w:r>
      <w:r>
        <w:t>. La Sección Cuarta de la Sala Segunda del Tribunal Constitucional admitió a trámite el recurso mediante providencia de fecha 27 de junio de 2023, apreciando en el mismo especial trascendencia constitucional, porque el recurso plantea un problema o afecta a una faceta de un derecho fundamental sobre el que no hay doctrina de este tribunal [STC 155/2009, de 25 de junio, FJ 2 a)]. En esta misma providencia se ordenó formar la oportuna pieza separada de medidas cautelares.</w:t>
      </w:r>
    </w:p>
    <w:p w14:paraId="4C9AA67F" w14:textId="77777777" w:rsidR="00F64776" w:rsidRDefault="00F64776" w:rsidP="00F64776">
      <w:pPr>
        <w:pStyle w:val="TextoNormal"/>
      </w:pPr>
    </w:p>
    <w:p w14:paraId="0DA2385B" w14:textId="2C102D08" w:rsidR="00F64776" w:rsidRDefault="00F64776" w:rsidP="00F64776">
      <w:pPr>
        <w:pStyle w:val="TextoNormal"/>
      </w:pPr>
      <w:r>
        <w:t>Por nueva providencia de 27 de junio de 2023, se acordó, de conformidad con lo prevenido en el art. 56 de la Ley Orgánica del Tribunal Constitucional (LOTC), conceder un plazo común de tres días al Ministerio Fiscal y al solicitante de amparo para que alegaran lo que estimasen pertinente en relación con la petición de suspensión.</w:t>
      </w:r>
    </w:p>
    <w:p w14:paraId="1E8E4960" w14:textId="77777777" w:rsidR="00F64776" w:rsidRDefault="00F64776" w:rsidP="00F64776">
      <w:pPr>
        <w:pStyle w:val="TextoNormal"/>
      </w:pPr>
    </w:p>
    <w:p w14:paraId="2B538858" w14:textId="77777777" w:rsidR="00F64776" w:rsidRDefault="00F64776" w:rsidP="00F64776">
      <w:pPr>
        <w:pStyle w:val="TextoNormal"/>
      </w:pPr>
      <w:r w:rsidRPr="00F64776">
        <w:rPr>
          <w:rStyle w:val="NumeroAFNegritaCaracter"/>
        </w:rPr>
        <w:t>5</w:t>
      </w:r>
      <w:r>
        <w:t>. Por la representación procesal del demandante de amparo se presentó escrito el día 3 de julio reiterando la solicitud de suspensión. Expone en tal sentido los antecedentes que considera relevantes, así como que, con posterioridad a la interposición del recurso de amparo, se ha celebrado la subasta de la finca en cuestión adjudicada a la entidad Gesprocon 2005, S.L., conforme al decreto dictado por el Juzgado de Primera Instancia e Instrucción núm. 4 de Dos Hermanas (Sevilla), el día 30 de marzo de 2023.</w:t>
      </w:r>
    </w:p>
    <w:p w14:paraId="74F8802A" w14:textId="77777777" w:rsidR="00F64776" w:rsidRDefault="00F64776" w:rsidP="00F64776">
      <w:pPr>
        <w:pStyle w:val="TextoNormal"/>
      </w:pPr>
    </w:p>
    <w:p w14:paraId="7D8632B0" w14:textId="7054C072" w:rsidR="00F64776" w:rsidRDefault="00F64776" w:rsidP="00F64776">
      <w:pPr>
        <w:pStyle w:val="TextoNormal"/>
      </w:pPr>
      <w:r>
        <w:t>Recuerda la doctrina constitucional sobre el art. 56.2 LOTC y, en especial, la fijada en relación con la suspensión de aquellas resoluciones judiciales cuya ejecución conlleva el embargo y adjudicación a un tercero de buena fe de ciertos bienes inmuebles. Eso es lo que ocurriría en este caso, pues al haberse adjudicado la finca en cuestión a la entidad Gesprocon 2005, S.L., considera el recurrente que puede gravarla o enajenarla a un tercero de buena fe, que adquiriría por tal concepto y con tal carácter, lo que haría imposible el restablecimiento del recurrente en la integridad de sus derechos.</w:t>
      </w:r>
    </w:p>
    <w:p w14:paraId="6E7E171C" w14:textId="77777777" w:rsidR="00F64776" w:rsidRDefault="00F64776" w:rsidP="00F64776">
      <w:pPr>
        <w:pStyle w:val="TextoNormal"/>
      </w:pPr>
    </w:p>
    <w:p w14:paraId="314D3AA8" w14:textId="77777777" w:rsidR="00F64776" w:rsidRDefault="00F64776" w:rsidP="00F64776">
      <w:pPr>
        <w:pStyle w:val="TextoNormal"/>
      </w:pPr>
      <w:r w:rsidRPr="00F64776">
        <w:rPr>
          <w:rStyle w:val="NumeroAFNegritaCaracter"/>
        </w:rPr>
        <w:t>6</w:t>
      </w:r>
      <w:r>
        <w:t>. Por el Ministerio Fiscal se presentó escrito registrado en el tribunal el día 13 de julio de 2023, en el que, tras exponer los antecedentes del caso y sintetizar la doctrina constitucional en la materia estima que, en este caso, la solicitud presentada se limita a solicitar la suspensión del trámite del procedimiento de ejecución, con mera cita del art. 56 LOTC, y sin alegar ni acreditar, ni siquiera de modo somero, en qué medida la continuación del procedimiento le puede suponer un perjuicio de imposible reparación, de modo que se ha incumplido la carga que le corresponde de precisar en qué medida la ejecución del acto le cause perjuicios no susceptibles de reparación.</w:t>
      </w:r>
    </w:p>
    <w:p w14:paraId="1ADE65A1" w14:textId="77777777" w:rsidR="00F64776" w:rsidRDefault="00F64776" w:rsidP="00F64776">
      <w:pPr>
        <w:pStyle w:val="TextoNormal"/>
      </w:pPr>
    </w:p>
    <w:p w14:paraId="1B928A50" w14:textId="77777777" w:rsidR="00F64776" w:rsidRDefault="00F64776" w:rsidP="00F64776">
      <w:pPr>
        <w:pStyle w:val="TextoNormal"/>
      </w:pPr>
      <w:r>
        <w:t>Alude también el fiscal a la mención del recurrente en amparo a la subasta de la finca cuya valoración se cuestiona por el recurrente y a la posibilidad de que pueda ser enajenada a un tercero de buena fe, lo que la haría irreivindicable.</w:t>
      </w:r>
    </w:p>
    <w:p w14:paraId="69382928" w14:textId="77777777" w:rsidR="00F64776" w:rsidRDefault="00F64776" w:rsidP="00F64776">
      <w:pPr>
        <w:pStyle w:val="TextoNormal"/>
      </w:pPr>
    </w:p>
    <w:p w14:paraId="7B1E1785" w14:textId="7A17854B" w:rsidR="00F64776" w:rsidRDefault="00F64776" w:rsidP="00F64776">
      <w:pPr>
        <w:pStyle w:val="TextoNormal"/>
      </w:pPr>
      <w:r>
        <w:t>Concluye que, en aplicación de la doctrina constitucional, y atendiendo a las circunstancias concurrentes en el presente caso, no procede acordar la suspensión de la ejecución solicitada. No obstante lo anterior, para evitar el perjuicio que pudiera suponer la adquisición de la finca por terceros de buena fe que la hicieran irreivindicable, somete a la consideración del tribunal la conveniencia de proceder de oficio, dado que no se ha solicitado así por la parte recurrente, a “acordar la anotación preventiva de la demanda en el registro de la propiedad, a tenor de lo previsto en el art. 56.3 LOTC, siempre que el estado de las actuaciones lo permita para no perjudicar los derechos de los terceros de buena fe”.</w:t>
      </w:r>
    </w:p>
    <w:p w14:paraId="7D58697D" w14:textId="77777777" w:rsidR="00F64776" w:rsidRDefault="00F64776" w:rsidP="00F64776">
      <w:pPr>
        <w:pStyle w:val="TextoNormal"/>
      </w:pPr>
    </w:p>
    <w:p w14:paraId="7A3D1EB6" w14:textId="77777777" w:rsidR="00F64776" w:rsidRDefault="00F64776" w:rsidP="00F64776">
      <w:pPr>
        <w:pStyle w:val="TextoNormalNegritaCentrado"/>
        <w:keepNext/>
      </w:pPr>
      <w:r>
        <w:t>II. Fundamentos jurídicos</w:t>
      </w:r>
    </w:p>
    <w:p w14:paraId="315FC42A" w14:textId="41F54AA3" w:rsidR="00F64776" w:rsidRDefault="00F64776" w:rsidP="00F64776">
      <w:pPr>
        <w:pStyle w:val="TextoNormalNegritaCentrado"/>
        <w:keepNext/>
      </w:pPr>
    </w:p>
    <w:p w14:paraId="6DD35C5A" w14:textId="15CB0651" w:rsidR="00F64776" w:rsidRDefault="00F64776" w:rsidP="00F64776">
      <w:pPr>
        <w:pStyle w:val="TextoNormal"/>
      </w:pPr>
      <w:r w:rsidRPr="00F64776">
        <w:rPr>
          <w:rStyle w:val="NumeroAFNegritaCaracter"/>
        </w:rPr>
        <w:t>1</w:t>
      </w:r>
      <w:r>
        <w:t>. El objeto de esta pieza de suspensión consiste en determinar la procedencia o no de la medida cautelar instada por el recurrente en amparo consistente en la suspensión de la vigencia de las resoluciones judiciales que se han citado en el encabezamiento de esta resolución. El Ministerio Fiscal, por las razones de las que se ha dejado constancia en los antecedentes, ha interesado la desestimación de la pretensión de suspensión, si bien somete a la consideración del Tribunal la conveniencia de acordar, a la vista de las circunstancias del caso, la medida consistente en ordenar la anotación preventiva de la demanda en el registro de la propiedad.</w:t>
      </w:r>
    </w:p>
    <w:p w14:paraId="1D5E9D20" w14:textId="77777777" w:rsidR="00F64776" w:rsidRDefault="00F64776" w:rsidP="00F64776">
      <w:pPr>
        <w:pStyle w:val="TextoNormal"/>
      </w:pPr>
    </w:p>
    <w:p w14:paraId="38EAD151" w14:textId="77777777" w:rsidR="00F64776" w:rsidRDefault="00F64776" w:rsidP="00F64776">
      <w:pPr>
        <w:pStyle w:val="TextoNormal"/>
      </w:pPr>
      <w:r w:rsidRPr="00F64776">
        <w:rPr>
          <w:rStyle w:val="NumeroAFNegritaCaracter"/>
        </w:rPr>
        <w:t>2</w:t>
      </w:r>
      <w:r>
        <w:t>. Para resolver este incidente cautelar es necesario partir de lo que dispone el art. 56.1 LOTC que, como regla general, establece que “la interposición del recurso de amparo no suspenderá los efectos del acto o sentencia impugnados”. No obstante, su apartado 2, señala después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 Por lo tanto, la excepción a la regla general viene determinada por un doble condicionamiento. En primer lugar, que la ejecución del acto o resolución impugnados produzca un perjuicio que pudiera hacer perder al amparo su finalidad, para el caso de que fuera finalmente estimado. En segundo lugar, que la suspensión no genere, a su vez, una perturbación grave a un interés constitucionalmente protegido, ni a los derechos fundamentales o libertades de otra persona.</w:t>
      </w:r>
    </w:p>
    <w:p w14:paraId="212B097E" w14:textId="77777777" w:rsidR="00F64776" w:rsidRDefault="00F64776" w:rsidP="00F64776">
      <w:pPr>
        <w:pStyle w:val="TextoNormal"/>
      </w:pPr>
    </w:p>
    <w:p w14:paraId="78CDC3CE" w14:textId="77777777" w:rsidR="00F64776" w:rsidRDefault="00F64776" w:rsidP="00F64776">
      <w:pPr>
        <w:pStyle w:val="TextoNormal"/>
      </w:pPr>
      <w:r>
        <w:t>Una interpretación conjunta de ambos apartados configura la suspensión de la ejecución de las resoluciones firmes como una medida excepcional y, por lo tanto, de interpretación restrictiva (ATC 117/2015, de 6 de julio, FJ 1). Esta naturaleza se deriva de la necesidad de preservar el interés general, de la garantía de la efectividad de las decisiones de los poderes públicos, y del aseguramiento de la ejecución de las resoluciones dictadas por jueces y tribunales en el ejercicio de la potestad jurisdiccional que les confiere el art. 117.3 CE.</w:t>
      </w:r>
    </w:p>
    <w:p w14:paraId="3D978434" w14:textId="77777777" w:rsidR="00F64776" w:rsidRDefault="00F64776" w:rsidP="00F64776">
      <w:pPr>
        <w:pStyle w:val="TextoNormal"/>
      </w:pPr>
    </w:p>
    <w:p w14:paraId="6336B36B" w14:textId="77777777" w:rsidR="00F64776" w:rsidRDefault="00F64776" w:rsidP="00F64776">
      <w:pPr>
        <w:pStyle w:val="TextoNormal"/>
      </w:pPr>
      <w:r>
        <w:t>Específicamente en relación con los perjuicios de carácter patrimonial o económico se ha señalado que, por más que puedan producir efectos desfavorables a quien demanda en amparo, en principio, no deben considerarse causa suficiente para acordar la suspensión de una resolución judicial firme, pues dichos perjuicios son susceptibles de ser reparados en la hipótesis de que la pretensión de amparo sea estimada, de modo que no conllevan un perjuicio irremediable que pueda hacer perder la finalidad del recurso (entre tantos otros, ATC 176/2012, de 1 de octubre, FJ 2, y los allí citados). De ahí que, en el ámbito patrimonial, se haya accedido a la suspensión solamente en aquellos supuestos en los que la ejecución de lo acordado acarree perjuicios patrimoniales difícilmente reparables por su entidad, por la imposibilidad de repercutir su costo o por la irreversibilidad de las situaciones jurídicas que puedan producirse, “como ocurre en los casos de enajenación forzosa de los bienes embargados o de transmisión a un tercero de la propiedad de un bien determinado, haciendo así que este sea irrecuperable (por todos, AATC 565/1986, 52/1989, 222/1992, 183/1996, 5/1997, 52/1997, 287/1997, 99/1998 y 161/1999), así como de demolición de viviendas (ATC 225/1999, de 27 de septiembre)” (ATC 172/2019, de 16 de diciembre, FJ 3).</w:t>
      </w:r>
    </w:p>
    <w:p w14:paraId="185F0256" w14:textId="77777777" w:rsidR="00F64776" w:rsidRDefault="00F64776" w:rsidP="00F64776">
      <w:pPr>
        <w:pStyle w:val="TextoNormal"/>
      </w:pPr>
    </w:p>
    <w:p w14:paraId="19047641" w14:textId="06F49913" w:rsidR="00F64776" w:rsidRDefault="00F64776" w:rsidP="00F64776">
      <w:pPr>
        <w:pStyle w:val="TextoNormal"/>
      </w:pPr>
      <w:r>
        <w:t>Adicionalmente, este tribunal viene exigiendo a quien solicita la adopción de la medida de suspensión del acto o resolución judicial recurridos que alegue, pruebe o justifique, ofreciendo un principio razonable de prueba, la irreparabilidad o la dificultad de la reparación de los perjuicios que derivarían de seguirse la ejecución del acto impugnado, ya que la ejecución del acto recurrido puede privar a la demanda de amparo de su finalidad, provocando que el restablecimiento del recurrente en el derecho constitucional vulnerado sea tardío y convirtiendo en meramente ilusorio y nominal el amparo (ATC 68/2020, de 13 de julio, FJ 3, y los allí citados).</w:t>
      </w:r>
    </w:p>
    <w:p w14:paraId="6FC400D5" w14:textId="77777777" w:rsidR="00F64776" w:rsidRDefault="00F64776" w:rsidP="00F64776">
      <w:pPr>
        <w:pStyle w:val="TextoNormal"/>
      </w:pPr>
    </w:p>
    <w:p w14:paraId="35FBC95B" w14:textId="77777777" w:rsidR="00F64776" w:rsidRDefault="00F64776" w:rsidP="00F64776">
      <w:pPr>
        <w:pStyle w:val="TextoNormal"/>
      </w:pPr>
      <w:r w:rsidRPr="00F64776">
        <w:rPr>
          <w:rStyle w:val="NumeroAFNegritaCaracter"/>
        </w:rPr>
        <w:t>3</w:t>
      </w:r>
      <w:r>
        <w:t>. Expuesta la doctrina de este tribunal, nos encontramos en condiciones de resolver la cuestión planteada.</w:t>
      </w:r>
    </w:p>
    <w:p w14:paraId="1DC26EF3" w14:textId="77777777" w:rsidR="00F64776" w:rsidRDefault="00F64776" w:rsidP="00F64776">
      <w:pPr>
        <w:pStyle w:val="TextoNormal"/>
      </w:pPr>
    </w:p>
    <w:p w14:paraId="1797FED3" w14:textId="77777777" w:rsidR="00F64776" w:rsidRDefault="00F64776" w:rsidP="00F64776">
      <w:pPr>
        <w:pStyle w:val="TextoNormal"/>
      </w:pPr>
      <w:r>
        <w:t>En el presente caso, como ha señalado el Ministerio Fiscal, resulta que nada se ha alegado sobre la suspensión de las resoluciones impugnadas en amparo, relativas a la inadmisión y desestimación de los recursos interpuestos respecto a la previa decisión en la que se fijaba el valor de mercado de una determinada finca en un procedimiento de ejecución provisional contra el hoy demandante de amparo. Siendo ese el contenido de las resoluciones impugnadas, las alegaciones presentadas en este incidente cautelar se limitan a la cita del art. 56 LOTC, pero nada dicen acerca de la concurrencia de un perjuicio de imposible o difícil reparación, de manera que se ha incumplido la carga que corresponde al solicitante de la suspensión en el sentido de acreditar la existencia de tales perjuicios.</w:t>
      </w:r>
    </w:p>
    <w:p w14:paraId="5169EB2A" w14:textId="77777777" w:rsidR="00F64776" w:rsidRDefault="00F64776" w:rsidP="00F64776">
      <w:pPr>
        <w:pStyle w:val="TextoNormal"/>
      </w:pPr>
    </w:p>
    <w:p w14:paraId="61084403" w14:textId="77777777" w:rsidR="00F64776" w:rsidRDefault="00F64776" w:rsidP="00F64776">
      <w:pPr>
        <w:pStyle w:val="TextoNormal"/>
      </w:pPr>
      <w:r>
        <w:t>No puede tenerse por tal la alusión a la posterior subasta judicial de la finca, en la medida en que con tal mención no se refiere a las concretas resoluciones judiciales impugnadas en amparo, sino al procedimiento en el que se dictó esa concreta resolución.</w:t>
      </w:r>
    </w:p>
    <w:p w14:paraId="6F462D63" w14:textId="77777777" w:rsidR="00F64776" w:rsidRDefault="00F64776" w:rsidP="00F64776">
      <w:pPr>
        <w:pStyle w:val="TextoNormal"/>
      </w:pPr>
    </w:p>
    <w:p w14:paraId="15D0AE70" w14:textId="77777777" w:rsidR="00F64776" w:rsidRDefault="00F64776" w:rsidP="00F64776">
      <w:pPr>
        <w:pStyle w:val="TextoNormal"/>
      </w:pPr>
      <w:r>
        <w:t>Este tribunal ha admitido la posibilidad, al amparo del art. 56.3 LOTC, de que sea acordada una medida cautelar respecto de resoluciones que no sean las que constituyen el objeto del recurso de amparo, siempre que se cumpla el requisito intrínseco de la tutela cautelar, es decir, que su ejecución haga perder al propio recurso su finalidad y que exista una relación entre la resolución o procedimiento cuya suspensión se insta y la eficacia real de un eventual fallo estimatorio del recurso de amparo.</w:t>
      </w:r>
    </w:p>
    <w:p w14:paraId="5C3FDBBC" w14:textId="77777777" w:rsidR="00F64776" w:rsidRDefault="00F64776" w:rsidP="00F64776">
      <w:pPr>
        <w:pStyle w:val="TextoNormal"/>
      </w:pPr>
    </w:p>
    <w:p w14:paraId="16CAEC74" w14:textId="08504127" w:rsidR="00F64776" w:rsidRDefault="00F64776" w:rsidP="00F64776">
      <w:pPr>
        <w:pStyle w:val="TextoNormal"/>
      </w:pPr>
      <w:r>
        <w:t>Esa situación no concurre aquí, por cuanto el objeto del recurso de amparo no tiene que ver con la disposición de la finca, extremo sobre el que el recurrente alega, sino, a lo sumo, con la posibilidad de impugnar su adecuada valoración en un procedimiento de ejecución provisional que, como tal, no ha sido cuestionado en este proceso constitucional.</w:t>
      </w:r>
    </w:p>
    <w:p w14:paraId="76000512" w14:textId="77777777" w:rsidR="00F64776" w:rsidRDefault="00F64776" w:rsidP="00F64776">
      <w:pPr>
        <w:pStyle w:val="TextoNormal"/>
      </w:pPr>
    </w:p>
    <w:p w14:paraId="53832D0A" w14:textId="77777777" w:rsidR="00F64776" w:rsidRDefault="00F64776" w:rsidP="00F64776">
      <w:pPr>
        <w:pStyle w:val="TextoNormal"/>
      </w:pPr>
      <w:r>
        <w:t>Por lo expuesto, la Sala</w:t>
      </w:r>
    </w:p>
    <w:p w14:paraId="260FA39A" w14:textId="41040D68" w:rsidR="00F64776" w:rsidRDefault="00F64776" w:rsidP="00F64776">
      <w:pPr>
        <w:pStyle w:val="TextoNormal"/>
      </w:pPr>
    </w:p>
    <w:p w14:paraId="110678E4" w14:textId="77777777" w:rsidR="00F64776" w:rsidRDefault="00F64776" w:rsidP="00F64776">
      <w:pPr>
        <w:pStyle w:val="TextoNormalCentrado"/>
      </w:pPr>
      <w:r>
        <w:t>ACUERDA</w:t>
      </w:r>
    </w:p>
    <w:p w14:paraId="66321446" w14:textId="2A40BFAF" w:rsidR="00F64776" w:rsidRDefault="00F64776" w:rsidP="00F64776">
      <w:pPr>
        <w:pStyle w:val="TextoNormalCentrado"/>
      </w:pPr>
    </w:p>
    <w:p w14:paraId="6D3B6469" w14:textId="1A880D0D" w:rsidR="00F64776" w:rsidRDefault="00F64776" w:rsidP="00F64776">
      <w:pPr>
        <w:pStyle w:val="TextoNormal"/>
      </w:pPr>
      <w:r>
        <w:t>Denegar la suspensión de las resoluciones judiciales impugnadas en este recurso.</w:t>
      </w:r>
    </w:p>
    <w:p w14:paraId="1A0AC470" w14:textId="77777777" w:rsidR="00F64776" w:rsidRDefault="00F64776" w:rsidP="00F64776">
      <w:pPr>
        <w:pStyle w:val="TextoNormal"/>
      </w:pPr>
    </w:p>
    <w:p w14:paraId="620FCD87" w14:textId="77777777" w:rsidR="00F64776" w:rsidRDefault="00F64776" w:rsidP="00F64776">
      <w:pPr>
        <w:pStyle w:val="TextoNormal"/>
      </w:pPr>
      <w:r>
        <w:t>Madrid, a veintitrés de octubre de dos mil veintitrés.</w:t>
      </w:r>
    </w:p>
    <w:p w14:paraId="7B844D61" w14:textId="1D9985BD" w:rsidR="00F64776" w:rsidRDefault="00F64776">
      <w:pPr>
        <w:spacing w:after="160" w:line="278" w:lineRule="auto"/>
        <w:rPr>
          <w:rFonts w:ascii="Times New Roman" w:eastAsia="Times New Roman" w:hAnsi="Times New Roman" w:cs="Times New Roman"/>
          <w:sz w:val="24"/>
          <w:szCs w:val="24"/>
          <w:lang w:eastAsia="es-ES"/>
        </w:rPr>
      </w:pPr>
      <w:r>
        <w:br w:type="page"/>
      </w:r>
    </w:p>
    <w:p w14:paraId="269C429F" w14:textId="77777777" w:rsidR="00F64776" w:rsidRDefault="00F64776" w:rsidP="00F64776">
      <w:pPr>
        <w:pStyle w:val="TtuloResolucin"/>
      </w:pPr>
      <w:bookmarkStart w:id="244" w:name="AUTO_2023_459"/>
      <w:r>
        <w:t>AUTO 459/2023, de 23 de octubre de 2023</w:t>
      </w:r>
    </w:p>
    <w:bookmarkEnd w:id="244"/>
    <w:p w14:paraId="5A0F3872" w14:textId="77777777" w:rsidR="00F64776" w:rsidRDefault="00F64776" w:rsidP="00F64776">
      <w:pPr>
        <w:pStyle w:val="TtuloResolucin"/>
      </w:pPr>
      <w:r>
        <w:t>Sección Tercera</w:t>
      </w:r>
    </w:p>
    <w:p w14:paraId="690C53A6" w14:textId="77777777" w:rsidR="00F64776" w:rsidRDefault="00F64776" w:rsidP="00F64776">
      <w:pPr>
        <w:pStyle w:val="TextoNormalCentrado"/>
      </w:pPr>
      <w:r>
        <w:t>ECLI:ES:TC:2023:459A</w:t>
      </w:r>
    </w:p>
    <w:p w14:paraId="22452892" w14:textId="523226EE" w:rsidR="00F64776" w:rsidRDefault="00F64776" w:rsidP="00F64776">
      <w:pPr>
        <w:pStyle w:val="TextoNormalCentrado"/>
      </w:pPr>
    </w:p>
    <w:p w14:paraId="365C248C" w14:textId="77777777" w:rsidR="00F64776" w:rsidRDefault="00F64776" w:rsidP="00F64776">
      <w:pPr>
        <w:pStyle w:val="SntesisDescriptiva"/>
      </w:pPr>
      <w:r>
        <w:t>Excms. Srs. doña Inmaculada Montalbán Huertas y doña Laura Díez Bueso.</w:t>
      </w:r>
    </w:p>
    <w:p w14:paraId="77EF9F33" w14:textId="3EBB669B" w:rsidR="00F64776" w:rsidRDefault="00F64776" w:rsidP="00F64776">
      <w:pPr>
        <w:pStyle w:val="SntesisDescriptiva"/>
      </w:pPr>
    </w:p>
    <w:p w14:paraId="3EE742E6" w14:textId="77777777" w:rsidR="00F64776" w:rsidRDefault="00F64776" w:rsidP="00F64776">
      <w:pPr>
        <w:pStyle w:val="SntesisDescriptiva"/>
      </w:pPr>
      <w:r>
        <w:t>Acepta una abstención en el recurso de amparo 6350-2022, promovido en proceso contencioso-administrativo.</w:t>
      </w:r>
    </w:p>
    <w:p w14:paraId="4F246587" w14:textId="4257D731" w:rsidR="00F64776" w:rsidRDefault="00F64776" w:rsidP="00F64776">
      <w:pPr>
        <w:pStyle w:val="SntesisDescriptiva"/>
      </w:pPr>
    </w:p>
    <w:p w14:paraId="5F9F07DA" w14:textId="77777777" w:rsidR="00F64776" w:rsidRDefault="00F64776" w:rsidP="00F64776">
      <w:pPr>
        <w:pStyle w:val="SntesisDescriptiva"/>
      </w:pPr>
    </w:p>
    <w:p w14:paraId="73D27E9E" w14:textId="77777777" w:rsidR="00F64776" w:rsidRDefault="00F64776" w:rsidP="00F64776">
      <w:pPr>
        <w:pStyle w:val="SntesisDescriptiva"/>
      </w:pPr>
    </w:p>
    <w:p w14:paraId="5EE19DC8" w14:textId="77777777" w:rsidR="00F64776" w:rsidRDefault="00F64776" w:rsidP="00F64776">
      <w:pPr>
        <w:pStyle w:val="TextoNormalNegritaCentrado"/>
      </w:pPr>
      <w:r>
        <w:t>AUTO</w:t>
      </w:r>
    </w:p>
    <w:p w14:paraId="39993FD0" w14:textId="4731DC6A" w:rsidR="00F64776" w:rsidRDefault="00F64776" w:rsidP="00F64776">
      <w:pPr>
        <w:pStyle w:val="TextoNormalNegritaCentrado"/>
      </w:pPr>
    </w:p>
    <w:p w14:paraId="6073F328" w14:textId="77777777" w:rsidR="00F64776" w:rsidRDefault="00F64776" w:rsidP="00F64776">
      <w:pPr>
        <w:pStyle w:val="TextoNormalNegritaCentrado"/>
        <w:keepNext/>
      </w:pPr>
      <w:r>
        <w:t>I. Antecedentes</w:t>
      </w:r>
    </w:p>
    <w:p w14:paraId="4A53EF54" w14:textId="11115198" w:rsidR="00F64776" w:rsidRDefault="00F64776" w:rsidP="00F64776">
      <w:pPr>
        <w:pStyle w:val="TextoNormalNegritaCentrado"/>
        <w:keepNext/>
      </w:pPr>
    </w:p>
    <w:p w14:paraId="768DCC79" w14:textId="0A462057" w:rsidR="00F64776" w:rsidRDefault="00F64776" w:rsidP="00F64776">
      <w:pPr>
        <w:pStyle w:val="TextoNormal"/>
      </w:pPr>
      <w:r w:rsidRPr="00F64776">
        <w:rPr>
          <w:rStyle w:val="NumeroAFNegritaCaracter"/>
        </w:rPr>
        <w:t>1</w:t>
      </w:r>
      <w:r>
        <w:t>. Mediante escrito registrado en este tribunal el 27 de septiembre de 2022 el procurador de los tribunales don José María Ruiz de la Cuesta Vacas, en nombre y representación de doña María Nieves San Millán Bustillo y bajo la dirección del letrado don Francisco Javier Araúz de Robles Dávila, formuló demanda de amparo contra la providencia de 12 de julio de 2022 de la Sección Primera de la Sala de lo Contencioso-Administrativo del Tribunal Supremo en recurso de casación  núm. 6282-2021.</w:t>
      </w:r>
    </w:p>
    <w:p w14:paraId="7B1B6C53" w14:textId="77777777" w:rsidR="00F64776" w:rsidRDefault="00F64776" w:rsidP="00F64776">
      <w:pPr>
        <w:pStyle w:val="TextoNormal"/>
      </w:pPr>
    </w:p>
    <w:p w14:paraId="351C5227" w14:textId="02043F27" w:rsidR="00F64776" w:rsidRDefault="00F64776" w:rsidP="00F64776">
      <w:pPr>
        <w:pStyle w:val="TextoNormal"/>
      </w:pPr>
      <w:r w:rsidRPr="00F64776">
        <w:rPr>
          <w:rStyle w:val="NumeroAFNegritaCaracter"/>
        </w:rPr>
        <w:t>2</w:t>
      </w:r>
      <w:r>
        <w:t>. Por escrito de 5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684E7948" w14:textId="77777777" w:rsidR="00F64776" w:rsidRDefault="00F64776" w:rsidP="00F64776">
      <w:pPr>
        <w:pStyle w:val="TextoNormal"/>
      </w:pPr>
    </w:p>
    <w:p w14:paraId="6F3EEA20" w14:textId="77777777" w:rsidR="00F64776" w:rsidRDefault="00F64776" w:rsidP="00F64776">
      <w:pPr>
        <w:pStyle w:val="TextoNormalNegritaCentrado"/>
        <w:keepNext/>
      </w:pPr>
      <w:r>
        <w:t>II. Fundamentos jurídicos</w:t>
      </w:r>
    </w:p>
    <w:p w14:paraId="12577004" w14:textId="3F710E50" w:rsidR="00F64776" w:rsidRDefault="00F64776" w:rsidP="00F64776">
      <w:pPr>
        <w:pStyle w:val="TextoNormalNegritaCentrado"/>
        <w:keepNext/>
      </w:pPr>
    </w:p>
    <w:p w14:paraId="756BF186" w14:textId="0E17EC9D"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2404071F" w14:textId="77777777" w:rsidR="00F64776" w:rsidRDefault="00F64776" w:rsidP="00F64776">
      <w:pPr>
        <w:pStyle w:val="TextoNormal"/>
      </w:pPr>
    </w:p>
    <w:p w14:paraId="417C353E" w14:textId="77777777" w:rsidR="00F64776" w:rsidRDefault="00F64776" w:rsidP="00F64776">
      <w:pPr>
        <w:pStyle w:val="TextoNormal"/>
      </w:pPr>
      <w:r>
        <w:t>Por lo expuesto, la Sección</w:t>
      </w:r>
    </w:p>
    <w:p w14:paraId="7DAC71E3" w14:textId="5B9A1749" w:rsidR="00F64776" w:rsidRDefault="00F64776" w:rsidP="00F64776">
      <w:pPr>
        <w:pStyle w:val="TextoNormal"/>
      </w:pPr>
    </w:p>
    <w:p w14:paraId="154B6EDA" w14:textId="77777777" w:rsidR="00F64776" w:rsidRDefault="00F64776" w:rsidP="00F64776">
      <w:pPr>
        <w:pStyle w:val="TextoNormalCentrado"/>
      </w:pPr>
      <w:r>
        <w:t>ACUERDA</w:t>
      </w:r>
    </w:p>
    <w:p w14:paraId="00692D0A" w14:textId="5DF1836A" w:rsidR="00F64776" w:rsidRDefault="00F64776" w:rsidP="00F64776">
      <w:pPr>
        <w:pStyle w:val="TextoNormalCentrado"/>
      </w:pPr>
    </w:p>
    <w:p w14:paraId="3ACD10B6" w14:textId="6806EBE8" w:rsidR="00F64776" w:rsidRDefault="00F64776" w:rsidP="00F64776">
      <w:pPr>
        <w:pStyle w:val="TextoNormal"/>
      </w:pPr>
      <w:r>
        <w:t>Estimar justificada la abstención formulada por el magistrado señor don César Tolosa Tribiño en el recurso de amparo núm. 6350-2022 y apartarle definitivamente del conocimiento del referido recurso y de todas sus incidencias.</w:t>
      </w:r>
    </w:p>
    <w:p w14:paraId="305F7F25" w14:textId="77777777" w:rsidR="00F64776" w:rsidRDefault="00F64776" w:rsidP="00F64776">
      <w:pPr>
        <w:pStyle w:val="TextoNormal"/>
      </w:pPr>
    </w:p>
    <w:p w14:paraId="6AAC4F08" w14:textId="77777777" w:rsidR="00F64776" w:rsidRDefault="00F64776" w:rsidP="00F64776">
      <w:pPr>
        <w:pStyle w:val="TextoNormal"/>
      </w:pPr>
      <w:r>
        <w:t>Madrid, a veintitrés de octubre de dos mil veintitrés.</w:t>
      </w:r>
    </w:p>
    <w:p w14:paraId="70D92F54" w14:textId="56F995F0" w:rsidR="00F64776" w:rsidRDefault="00F64776">
      <w:pPr>
        <w:spacing w:after="160" w:line="278" w:lineRule="auto"/>
        <w:rPr>
          <w:rFonts w:ascii="Times New Roman" w:eastAsia="Times New Roman" w:hAnsi="Times New Roman" w:cs="Times New Roman"/>
          <w:sz w:val="24"/>
          <w:szCs w:val="24"/>
          <w:lang w:eastAsia="es-ES"/>
        </w:rPr>
      </w:pPr>
      <w:r>
        <w:br w:type="page"/>
      </w:r>
    </w:p>
    <w:p w14:paraId="1FE1008E" w14:textId="77777777" w:rsidR="00F64776" w:rsidRDefault="00F64776" w:rsidP="00F64776">
      <w:pPr>
        <w:pStyle w:val="TtuloResolucin"/>
      </w:pPr>
      <w:bookmarkStart w:id="245" w:name="AUTO_2023_460"/>
      <w:r>
        <w:t>AUTO 460/2023, de 23 de octubre de 2023</w:t>
      </w:r>
    </w:p>
    <w:bookmarkEnd w:id="245"/>
    <w:p w14:paraId="72019E28" w14:textId="77777777" w:rsidR="00F64776" w:rsidRDefault="00F64776" w:rsidP="00F64776">
      <w:pPr>
        <w:pStyle w:val="TtuloResolucin"/>
      </w:pPr>
      <w:r>
        <w:t>Sección Tercera</w:t>
      </w:r>
    </w:p>
    <w:p w14:paraId="6C891701" w14:textId="77777777" w:rsidR="00F64776" w:rsidRDefault="00F64776" w:rsidP="00F64776">
      <w:pPr>
        <w:pStyle w:val="TextoNormalCentrado"/>
      </w:pPr>
      <w:r>
        <w:t>ECLI:ES:TC:2023:460A</w:t>
      </w:r>
    </w:p>
    <w:p w14:paraId="55CBBECA" w14:textId="04633230" w:rsidR="00F64776" w:rsidRDefault="00F64776" w:rsidP="00F64776">
      <w:pPr>
        <w:pStyle w:val="TextoNormalCentrado"/>
      </w:pPr>
    </w:p>
    <w:p w14:paraId="2F75304D" w14:textId="77777777" w:rsidR="00F64776" w:rsidRDefault="00F64776" w:rsidP="00F64776">
      <w:pPr>
        <w:pStyle w:val="SntesisDescriptiva"/>
      </w:pPr>
      <w:r>
        <w:t>Excms. Srs. doña Inmaculada Montalbán Huertas y doña Laura Díez Bueso.</w:t>
      </w:r>
    </w:p>
    <w:p w14:paraId="4BE15185" w14:textId="1E0135AF" w:rsidR="00F64776" w:rsidRDefault="00F64776" w:rsidP="00F64776">
      <w:pPr>
        <w:pStyle w:val="SntesisDescriptiva"/>
      </w:pPr>
    </w:p>
    <w:p w14:paraId="38DE9C26" w14:textId="77777777" w:rsidR="00F64776" w:rsidRDefault="00F64776" w:rsidP="00F64776">
      <w:pPr>
        <w:pStyle w:val="SntesisDescriptiva"/>
      </w:pPr>
      <w:r>
        <w:t>Acepta una abstención en el recurso de amparo 6484-2022, promovido en proceso contencioso-administrativo.</w:t>
      </w:r>
    </w:p>
    <w:p w14:paraId="4B7F5F61" w14:textId="707AFA3B" w:rsidR="00F64776" w:rsidRDefault="00F64776" w:rsidP="00F64776">
      <w:pPr>
        <w:pStyle w:val="SntesisDescriptiva"/>
      </w:pPr>
    </w:p>
    <w:p w14:paraId="16028069" w14:textId="77777777" w:rsidR="00F64776" w:rsidRDefault="00F64776" w:rsidP="00F64776">
      <w:pPr>
        <w:pStyle w:val="SntesisDescriptiva"/>
      </w:pPr>
    </w:p>
    <w:p w14:paraId="4C72438E" w14:textId="77777777" w:rsidR="00F64776" w:rsidRDefault="00F64776" w:rsidP="00F64776">
      <w:pPr>
        <w:pStyle w:val="SntesisDescriptiva"/>
      </w:pPr>
    </w:p>
    <w:p w14:paraId="5C85CF23" w14:textId="77777777" w:rsidR="00F64776" w:rsidRDefault="00F64776" w:rsidP="00F64776">
      <w:pPr>
        <w:pStyle w:val="TextoNormalNegritaCentrado"/>
      </w:pPr>
      <w:r>
        <w:t>AUTO</w:t>
      </w:r>
    </w:p>
    <w:p w14:paraId="719E153F" w14:textId="58A2117D" w:rsidR="00F64776" w:rsidRDefault="00F64776" w:rsidP="00F64776">
      <w:pPr>
        <w:pStyle w:val="TextoNormalNegritaCentrado"/>
      </w:pPr>
    </w:p>
    <w:p w14:paraId="0212E21B" w14:textId="77777777" w:rsidR="00F64776" w:rsidRDefault="00F64776" w:rsidP="00F64776">
      <w:pPr>
        <w:pStyle w:val="TextoNormalNegritaCentrado"/>
        <w:keepNext/>
      </w:pPr>
      <w:r>
        <w:t>I. Antecedentes</w:t>
      </w:r>
    </w:p>
    <w:p w14:paraId="56C0586A" w14:textId="2C0CCCA0" w:rsidR="00F64776" w:rsidRDefault="00F64776" w:rsidP="00F64776">
      <w:pPr>
        <w:pStyle w:val="TextoNormalNegritaCentrado"/>
        <w:keepNext/>
      </w:pPr>
    </w:p>
    <w:p w14:paraId="4BED6D62" w14:textId="447D790B" w:rsidR="00F64776" w:rsidRDefault="00F64776" w:rsidP="00F64776">
      <w:pPr>
        <w:pStyle w:val="TextoNormal"/>
      </w:pPr>
      <w:r w:rsidRPr="00F64776">
        <w:rPr>
          <w:rStyle w:val="NumeroAFNegritaCaracter"/>
        </w:rPr>
        <w:t>1</w:t>
      </w:r>
      <w:r>
        <w:t>. Mediante escrito registrado en este tribunal el 3 de octubre de 2022 el procurador de los tribunales don José María Ruiz de la Cuesta Vacas, en nombre y representación de don Miguel Ángel González Sastre y bajo la dirección del letrado don Francisco Javier Araúz de Robles Dávila, presentó demanda de amparo contra la providencia de 19 de julio de 2022 de la Sección Primera de la Sala de lo Contencioso-Administrativo del Tribunal Supremo en recurso de casación núm. 7169-2021.</w:t>
      </w:r>
    </w:p>
    <w:p w14:paraId="43CE2250" w14:textId="77777777" w:rsidR="00F64776" w:rsidRDefault="00F64776" w:rsidP="00F64776">
      <w:pPr>
        <w:pStyle w:val="TextoNormal"/>
      </w:pPr>
    </w:p>
    <w:p w14:paraId="6ED4899A" w14:textId="7597EAA7" w:rsidR="00F64776" w:rsidRDefault="00F64776" w:rsidP="00F64776">
      <w:pPr>
        <w:pStyle w:val="TextoNormal"/>
      </w:pPr>
      <w:r w:rsidRPr="00F64776">
        <w:rPr>
          <w:rStyle w:val="NumeroAFNegritaCaracter"/>
        </w:rPr>
        <w:t>2</w:t>
      </w:r>
      <w:r>
        <w:t>. Por escrito de 1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301EB6FF" w14:textId="77777777" w:rsidR="00F64776" w:rsidRDefault="00F64776" w:rsidP="00F64776">
      <w:pPr>
        <w:pStyle w:val="TextoNormal"/>
      </w:pPr>
    </w:p>
    <w:p w14:paraId="0323952F" w14:textId="77777777" w:rsidR="00F64776" w:rsidRDefault="00F64776" w:rsidP="00F64776">
      <w:pPr>
        <w:pStyle w:val="TextoNormalNegritaCentrado"/>
        <w:keepNext/>
      </w:pPr>
      <w:r>
        <w:t>II. Fundamentos jurídicos</w:t>
      </w:r>
    </w:p>
    <w:p w14:paraId="4EB4F96F" w14:textId="0FD1EAA6" w:rsidR="00F64776" w:rsidRDefault="00F64776" w:rsidP="00F64776">
      <w:pPr>
        <w:pStyle w:val="TextoNormalNegritaCentrado"/>
        <w:keepNext/>
      </w:pPr>
    </w:p>
    <w:p w14:paraId="2D107050" w14:textId="370723CC"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031F4C62" w14:textId="77777777" w:rsidR="00F64776" w:rsidRDefault="00F64776" w:rsidP="00F64776">
      <w:pPr>
        <w:pStyle w:val="TextoNormal"/>
      </w:pPr>
    </w:p>
    <w:p w14:paraId="46239358" w14:textId="77777777" w:rsidR="00F64776" w:rsidRDefault="00F64776" w:rsidP="00F64776">
      <w:pPr>
        <w:pStyle w:val="TextoNormal"/>
      </w:pPr>
      <w:r>
        <w:t>Por lo expuesto, la Sección</w:t>
      </w:r>
    </w:p>
    <w:p w14:paraId="479CF15A" w14:textId="6AE3F464" w:rsidR="00F64776" w:rsidRDefault="00F64776" w:rsidP="00F64776">
      <w:pPr>
        <w:pStyle w:val="TextoNormal"/>
      </w:pPr>
    </w:p>
    <w:p w14:paraId="68865D3F" w14:textId="77777777" w:rsidR="00F64776" w:rsidRDefault="00F64776" w:rsidP="00F64776">
      <w:pPr>
        <w:pStyle w:val="TextoNormalCentrado"/>
      </w:pPr>
      <w:r>
        <w:t>ACUERDA</w:t>
      </w:r>
    </w:p>
    <w:p w14:paraId="42B954FD" w14:textId="5AFE4ABF" w:rsidR="00F64776" w:rsidRDefault="00F64776" w:rsidP="00F64776">
      <w:pPr>
        <w:pStyle w:val="TextoNormalCentrado"/>
      </w:pPr>
    </w:p>
    <w:p w14:paraId="2BEFD617" w14:textId="2AF4F00C" w:rsidR="00F64776" w:rsidRDefault="00F64776" w:rsidP="00F64776">
      <w:pPr>
        <w:pStyle w:val="TextoNormal"/>
      </w:pPr>
      <w:r>
        <w:t>Estimar justificada la abstención formulada por el magistrado señor don César Tolosa Tribiño en el recurso de amparo núm. 6484-2022 y apartarle definitivamente del conocimiento del referido recurso y de todas sus incidencias.</w:t>
      </w:r>
    </w:p>
    <w:p w14:paraId="38101C4A" w14:textId="77777777" w:rsidR="00F64776" w:rsidRDefault="00F64776" w:rsidP="00F64776">
      <w:pPr>
        <w:pStyle w:val="TextoNormal"/>
      </w:pPr>
    </w:p>
    <w:p w14:paraId="4EB9B139" w14:textId="77777777" w:rsidR="00F64776" w:rsidRDefault="00F64776" w:rsidP="00F64776">
      <w:pPr>
        <w:pStyle w:val="TextoNormal"/>
      </w:pPr>
      <w:r>
        <w:t>Madrid, a veintitrés de octubre de dos mil veintitrés.</w:t>
      </w:r>
    </w:p>
    <w:p w14:paraId="157D2D6F" w14:textId="7E44B577" w:rsidR="00F64776" w:rsidRDefault="00F64776">
      <w:pPr>
        <w:spacing w:after="160" w:line="278" w:lineRule="auto"/>
        <w:rPr>
          <w:rFonts w:ascii="Times New Roman" w:eastAsia="Times New Roman" w:hAnsi="Times New Roman" w:cs="Times New Roman"/>
          <w:sz w:val="24"/>
          <w:szCs w:val="24"/>
          <w:lang w:eastAsia="es-ES"/>
        </w:rPr>
      </w:pPr>
      <w:r>
        <w:br w:type="page"/>
      </w:r>
    </w:p>
    <w:p w14:paraId="4A968F85" w14:textId="77777777" w:rsidR="00F64776" w:rsidRDefault="00F64776" w:rsidP="00F64776">
      <w:pPr>
        <w:pStyle w:val="TtuloResolucin"/>
      </w:pPr>
      <w:bookmarkStart w:id="246" w:name="AUTO_2023_461"/>
      <w:r>
        <w:t>AUTO 461/2023, de 23 de octubre de 2023</w:t>
      </w:r>
    </w:p>
    <w:bookmarkEnd w:id="246"/>
    <w:p w14:paraId="0A75C8B2" w14:textId="77777777" w:rsidR="00F64776" w:rsidRDefault="00F64776" w:rsidP="00F64776">
      <w:pPr>
        <w:pStyle w:val="TtuloResolucin"/>
      </w:pPr>
      <w:r>
        <w:t>Sección Tercera</w:t>
      </w:r>
    </w:p>
    <w:p w14:paraId="4901298A" w14:textId="77777777" w:rsidR="00F64776" w:rsidRDefault="00F64776" w:rsidP="00F64776">
      <w:pPr>
        <w:pStyle w:val="TextoNormalCentrado"/>
      </w:pPr>
      <w:r>
        <w:t>ECLI:ES:TC:2023:461A</w:t>
      </w:r>
    </w:p>
    <w:p w14:paraId="3246AFD2" w14:textId="5CD3EB92" w:rsidR="00F64776" w:rsidRDefault="00F64776" w:rsidP="00F64776">
      <w:pPr>
        <w:pStyle w:val="TextoNormalCentrado"/>
      </w:pPr>
    </w:p>
    <w:p w14:paraId="6BCB3F7F" w14:textId="77777777" w:rsidR="00F64776" w:rsidRDefault="00F64776" w:rsidP="00F64776">
      <w:pPr>
        <w:pStyle w:val="SntesisDescriptiva"/>
      </w:pPr>
      <w:r>
        <w:t>Excms. Srs. doña Inmaculada Montalbán Huertas y doña Laura Díez Bueso.</w:t>
      </w:r>
    </w:p>
    <w:p w14:paraId="5993CA82" w14:textId="15CCC5C1" w:rsidR="00F64776" w:rsidRDefault="00F64776" w:rsidP="00F64776">
      <w:pPr>
        <w:pStyle w:val="SntesisDescriptiva"/>
      </w:pPr>
    </w:p>
    <w:p w14:paraId="13A6FD61" w14:textId="77777777" w:rsidR="00F64776" w:rsidRDefault="00F64776" w:rsidP="00F64776">
      <w:pPr>
        <w:pStyle w:val="SntesisDescriptiva"/>
      </w:pPr>
      <w:r>
        <w:t>Acepta una abstención en el recurso de amparo 6881-2022, promovido en proceso contencioso-administrativo.</w:t>
      </w:r>
    </w:p>
    <w:p w14:paraId="7D746F2A" w14:textId="76D99145" w:rsidR="00F64776" w:rsidRDefault="00F64776" w:rsidP="00F64776">
      <w:pPr>
        <w:pStyle w:val="SntesisDescriptiva"/>
      </w:pPr>
    </w:p>
    <w:p w14:paraId="794DA9FA" w14:textId="77777777" w:rsidR="00F64776" w:rsidRDefault="00F64776" w:rsidP="00F64776">
      <w:pPr>
        <w:pStyle w:val="SntesisDescriptiva"/>
      </w:pPr>
    </w:p>
    <w:p w14:paraId="2305785D" w14:textId="77777777" w:rsidR="00F64776" w:rsidRDefault="00F64776" w:rsidP="00F64776">
      <w:pPr>
        <w:pStyle w:val="SntesisDescriptiva"/>
      </w:pPr>
    </w:p>
    <w:p w14:paraId="3632EDFC" w14:textId="77777777" w:rsidR="00F64776" w:rsidRDefault="00F64776" w:rsidP="00F64776">
      <w:pPr>
        <w:pStyle w:val="TextoNormalNegritaCentrado"/>
      </w:pPr>
      <w:r>
        <w:t>AUTO</w:t>
      </w:r>
    </w:p>
    <w:p w14:paraId="1CF99ADD" w14:textId="2EB6CF14" w:rsidR="00F64776" w:rsidRDefault="00F64776" w:rsidP="00F64776">
      <w:pPr>
        <w:pStyle w:val="TextoNormalNegritaCentrado"/>
      </w:pPr>
    </w:p>
    <w:p w14:paraId="54A33C92" w14:textId="77777777" w:rsidR="00F64776" w:rsidRDefault="00F64776" w:rsidP="00F64776">
      <w:pPr>
        <w:pStyle w:val="TextoNormalNegritaCentrado"/>
        <w:keepNext/>
      </w:pPr>
      <w:r>
        <w:t>I. Antecedentes</w:t>
      </w:r>
    </w:p>
    <w:p w14:paraId="1A2DDB8F" w14:textId="6C4CAD5A" w:rsidR="00F64776" w:rsidRDefault="00F64776" w:rsidP="00F64776">
      <w:pPr>
        <w:pStyle w:val="TextoNormalNegritaCentrado"/>
        <w:keepNext/>
      </w:pPr>
    </w:p>
    <w:p w14:paraId="73ECEEF3" w14:textId="5C3D834A" w:rsidR="00F64776" w:rsidRDefault="00F64776" w:rsidP="00F64776">
      <w:pPr>
        <w:pStyle w:val="TextoNormal"/>
      </w:pPr>
      <w:r w:rsidRPr="00F64776">
        <w:rPr>
          <w:rStyle w:val="NumeroAFNegritaCaracter"/>
        </w:rPr>
        <w:t>1</w:t>
      </w:r>
      <w:r>
        <w:t>. Mediante escrito registrado en este tribunal el 21 de octubre de 2022 el procurador de los tribunales don Xavier de Goñi Echeverría, en nombre y representación de don Juan Carlos Arévalo Luna y bajo la dirección del letrado don Jesús José Suárez Balmaseda, formuló demanda de amparo contra el auto de fecha 13 de octubre de 2022, dictado por el Tribunal Supremo, Sala de lo Contencioso-Administrativo, Sección Primera, en el recurso de queja núm. 484-2022, contra auto dictado por la Sección Séptima de la Sala de lo Contencioso-Administrativo de la Audiencia Nacional en procedimiento ordinario núm. 984-2021.</w:t>
      </w:r>
    </w:p>
    <w:p w14:paraId="13B7134C" w14:textId="77777777" w:rsidR="00F64776" w:rsidRDefault="00F64776" w:rsidP="00F64776">
      <w:pPr>
        <w:pStyle w:val="TextoNormal"/>
      </w:pPr>
    </w:p>
    <w:p w14:paraId="5613AE45" w14:textId="517AB167" w:rsidR="00F64776" w:rsidRDefault="00F64776" w:rsidP="00F64776">
      <w:pPr>
        <w:pStyle w:val="TextoNormal"/>
      </w:pPr>
      <w:r w:rsidRPr="00F64776">
        <w:rPr>
          <w:rStyle w:val="NumeroAFNegritaCaracter"/>
        </w:rPr>
        <w:t>2</w:t>
      </w:r>
      <w:r>
        <w:t>. Por escrito de 22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4520E90B" w14:textId="77777777" w:rsidR="00F64776" w:rsidRDefault="00F64776" w:rsidP="00F64776">
      <w:pPr>
        <w:pStyle w:val="TextoNormal"/>
      </w:pPr>
    </w:p>
    <w:p w14:paraId="13C0F670" w14:textId="77777777" w:rsidR="00F64776" w:rsidRDefault="00F64776" w:rsidP="00F64776">
      <w:pPr>
        <w:pStyle w:val="TextoNormalNegritaCentrado"/>
        <w:keepNext/>
      </w:pPr>
      <w:r>
        <w:t>II. Fundamentos jurídicos</w:t>
      </w:r>
    </w:p>
    <w:p w14:paraId="012F6B85" w14:textId="133C84D7" w:rsidR="00F64776" w:rsidRDefault="00F64776" w:rsidP="00F64776">
      <w:pPr>
        <w:pStyle w:val="TextoNormalNegritaCentrado"/>
        <w:keepNext/>
      </w:pPr>
    </w:p>
    <w:p w14:paraId="2FC3E8F3" w14:textId="026B2326"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4991329F" w14:textId="77777777" w:rsidR="00F64776" w:rsidRDefault="00F64776" w:rsidP="00F64776">
      <w:pPr>
        <w:pStyle w:val="TextoNormal"/>
      </w:pPr>
    </w:p>
    <w:p w14:paraId="5CA20E91" w14:textId="77777777" w:rsidR="00F64776" w:rsidRDefault="00F64776" w:rsidP="00F64776">
      <w:pPr>
        <w:pStyle w:val="TextoNormal"/>
      </w:pPr>
      <w:r>
        <w:t>Por lo expuesto, la Sección</w:t>
      </w:r>
    </w:p>
    <w:p w14:paraId="2BE3E28F" w14:textId="6077526D" w:rsidR="00F64776" w:rsidRDefault="00F64776" w:rsidP="00F64776">
      <w:pPr>
        <w:pStyle w:val="TextoNormal"/>
      </w:pPr>
    </w:p>
    <w:p w14:paraId="3E5B0FBE" w14:textId="77777777" w:rsidR="00F64776" w:rsidRDefault="00F64776" w:rsidP="00F64776">
      <w:pPr>
        <w:pStyle w:val="TextoNormalCentrado"/>
      </w:pPr>
      <w:r>
        <w:t>ACUERDA</w:t>
      </w:r>
    </w:p>
    <w:p w14:paraId="1F1A4132" w14:textId="4D43D54F" w:rsidR="00F64776" w:rsidRDefault="00F64776" w:rsidP="00F64776">
      <w:pPr>
        <w:pStyle w:val="TextoNormalCentrado"/>
      </w:pPr>
    </w:p>
    <w:p w14:paraId="73E7F581" w14:textId="24C24403" w:rsidR="00F64776" w:rsidRDefault="00F64776" w:rsidP="00F64776">
      <w:pPr>
        <w:pStyle w:val="TextoNormal"/>
      </w:pPr>
      <w:r>
        <w:t>Estimar justificada la abstención formulada por el magistrado señor don César Tolosa Tribiño en el recurso de amparo núm. 6881-2022 y apartarle definitivamente del conocimiento del referido recurso y de todas sus incidencias.</w:t>
      </w:r>
    </w:p>
    <w:p w14:paraId="675FBD50" w14:textId="77777777" w:rsidR="00F64776" w:rsidRDefault="00F64776" w:rsidP="00F64776">
      <w:pPr>
        <w:pStyle w:val="TextoNormal"/>
      </w:pPr>
    </w:p>
    <w:p w14:paraId="1DD3E092" w14:textId="77777777" w:rsidR="00F64776" w:rsidRDefault="00F64776" w:rsidP="00F64776">
      <w:pPr>
        <w:pStyle w:val="TextoNormal"/>
      </w:pPr>
      <w:r>
        <w:t>Madrid, a veintitrés de octubre de dos mil veintitrés.</w:t>
      </w:r>
    </w:p>
    <w:p w14:paraId="14BBAB94" w14:textId="7EB21033" w:rsidR="00F64776" w:rsidRDefault="00F64776">
      <w:pPr>
        <w:spacing w:after="160" w:line="278" w:lineRule="auto"/>
        <w:rPr>
          <w:rFonts w:ascii="Times New Roman" w:eastAsia="Times New Roman" w:hAnsi="Times New Roman" w:cs="Times New Roman"/>
          <w:sz w:val="24"/>
          <w:szCs w:val="24"/>
          <w:lang w:eastAsia="es-ES"/>
        </w:rPr>
      </w:pPr>
      <w:r>
        <w:br w:type="page"/>
      </w:r>
    </w:p>
    <w:p w14:paraId="397347DF" w14:textId="77777777" w:rsidR="00F64776" w:rsidRDefault="00F64776" w:rsidP="00F64776">
      <w:pPr>
        <w:pStyle w:val="TtuloResolucin"/>
      </w:pPr>
      <w:bookmarkStart w:id="247" w:name="AUTO_2023_462"/>
      <w:r>
        <w:t>AUTO 462/2023, de 23 de octubre de 2023</w:t>
      </w:r>
    </w:p>
    <w:bookmarkEnd w:id="247"/>
    <w:p w14:paraId="760E7804" w14:textId="77777777" w:rsidR="00F64776" w:rsidRDefault="00F64776" w:rsidP="00F64776">
      <w:pPr>
        <w:pStyle w:val="TtuloResolucin"/>
      </w:pPr>
      <w:r>
        <w:t>Sección Tercera</w:t>
      </w:r>
    </w:p>
    <w:p w14:paraId="1ACDB542" w14:textId="77777777" w:rsidR="00F64776" w:rsidRDefault="00F64776" w:rsidP="00F64776">
      <w:pPr>
        <w:pStyle w:val="TextoNormalCentrado"/>
      </w:pPr>
      <w:r>
        <w:t>ECLI:ES:TC:2023:462A</w:t>
      </w:r>
    </w:p>
    <w:p w14:paraId="5B481135" w14:textId="76C9123D" w:rsidR="00F64776" w:rsidRDefault="00F64776" w:rsidP="00F64776">
      <w:pPr>
        <w:pStyle w:val="TextoNormalCentrado"/>
      </w:pPr>
    </w:p>
    <w:p w14:paraId="1DC0F072" w14:textId="77777777" w:rsidR="00F64776" w:rsidRDefault="00F64776" w:rsidP="00F64776">
      <w:pPr>
        <w:pStyle w:val="SntesisDescriptiva"/>
      </w:pPr>
      <w:r>
        <w:t>Excms. Srs. doña Inmaculada Montalbán Huertas y doña Laura Díez Bueso.</w:t>
      </w:r>
    </w:p>
    <w:p w14:paraId="5AA0C9C6" w14:textId="65698FDD" w:rsidR="00F64776" w:rsidRDefault="00F64776" w:rsidP="00F64776">
      <w:pPr>
        <w:pStyle w:val="SntesisDescriptiva"/>
      </w:pPr>
    </w:p>
    <w:p w14:paraId="1D154957" w14:textId="77777777" w:rsidR="00F64776" w:rsidRDefault="00F64776" w:rsidP="00F64776">
      <w:pPr>
        <w:pStyle w:val="SntesisDescriptiva"/>
      </w:pPr>
      <w:r>
        <w:t>Acepta una abstención en el recurso de amparo 7111-2022, promovido en proceso contencioso-administrativo.</w:t>
      </w:r>
    </w:p>
    <w:p w14:paraId="5409DF05" w14:textId="19BDAFFD" w:rsidR="00F64776" w:rsidRDefault="00F64776" w:rsidP="00F64776">
      <w:pPr>
        <w:pStyle w:val="SntesisDescriptiva"/>
      </w:pPr>
    </w:p>
    <w:p w14:paraId="4AA55F32" w14:textId="77777777" w:rsidR="00F64776" w:rsidRDefault="00F64776" w:rsidP="00F64776">
      <w:pPr>
        <w:pStyle w:val="SntesisDescriptiva"/>
      </w:pPr>
    </w:p>
    <w:p w14:paraId="0A30CA67" w14:textId="77777777" w:rsidR="00F64776" w:rsidRDefault="00F64776" w:rsidP="00F64776">
      <w:pPr>
        <w:pStyle w:val="SntesisDescriptiva"/>
      </w:pPr>
    </w:p>
    <w:p w14:paraId="64D4E37C" w14:textId="77777777" w:rsidR="00F64776" w:rsidRDefault="00F64776" w:rsidP="00F64776">
      <w:pPr>
        <w:pStyle w:val="TextoNormalNegritaCentrado"/>
      </w:pPr>
      <w:r>
        <w:t>AUTO</w:t>
      </w:r>
    </w:p>
    <w:p w14:paraId="1973A55E" w14:textId="049BB755" w:rsidR="00F64776" w:rsidRDefault="00F64776" w:rsidP="00F64776">
      <w:pPr>
        <w:pStyle w:val="TextoNormalNegritaCentrado"/>
      </w:pPr>
    </w:p>
    <w:p w14:paraId="529C23EA" w14:textId="77777777" w:rsidR="00F64776" w:rsidRDefault="00F64776" w:rsidP="00F64776">
      <w:pPr>
        <w:pStyle w:val="TextoNormalNegritaCentrado"/>
        <w:keepNext/>
      </w:pPr>
      <w:r>
        <w:t>I. Antecedentes</w:t>
      </w:r>
    </w:p>
    <w:p w14:paraId="05C1BB40" w14:textId="74393B12" w:rsidR="00F64776" w:rsidRDefault="00F64776" w:rsidP="00F64776">
      <w:pPr>
        <w:pStyle w:val="TextoNormalNegritaCentrado"/>
        <w:keepNext/>
      </w:pPr>
    </w:p>
    <w:p w14:paraId="0A57B285" w14:textId="1CEF2AC4" w:rsidR="00F64776" w:rsidRDefault="00F64776" w:rsidP="00F64776">
      <w:pPr>
        <w:pStyle w:val="TextoNormal"/>
      </w:pPr>
      <w:r w:rsidRPr="00F64776">
        <w:rPr>
          <w:rStyle w:val="NumeroAFNegritaCaracter"/>
        </w:rPr>
        <w:t>1</w:t>
      </w:r>
      <w:r>
        <w:t>. Mediante escrito registrado en este tribunal el 2 de noviembre de 2022 la procuradora de los tribunales doña Ana María Araúz de Robles Villalón, en nombre y representación de doña Olga Herráez Villa y bajo la dirección del letrado don Francisco Javier Araúz de Robles Dávila, presentó demanda de amparo contra la providencia de 22 de septiembre de 2022 dictada por la Sección Primera de la Sala de lo Contencioso-Administrativo del Tribunal Supremo en recurso de casación núm. 8176-2021 contra sentencia de la Sección Octava de la Sala de lo Contencioso-Administrativo del Tribunal Superior de Justicia de Madrid en procedimiento ordinario núm. 908-2020.</w:t>
      </w:r>
    </w:p>
    <w:p w14:paraId="57F6A81B" w14:textId="77777777" w:rsidR="00F64776" w:rsidRDefault="00F64776" w:rsidP="00F64776">
      <w:pPr>
        <w:pStyle w:val="TextoNormal"/>
      </w:pPr>
    </w:p>
    <w:p w14:paraId="76F2B436" w14:textId="732BB39A" w:rsidR="00F64776" w:rsidRDefault="00F64776" w:rsidP="00F64776">
      <w:pPr>
        <w:pStyle w:val="TextoNormal"/>
      </w:pPr>
      <w:r w:rsidRPr="00F64776">
        <w:rPr>
          <w:rStyle w:val="NumeroAFNegritaCaracter"/>
        </w:rPr>
        <w:t>2</w:t>
      </w:r>
      <w:r>
        <w:t>. Por escrito de 1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0DA5491D" w14:textId="77777777" w:rsidR="00F64776" w:rsidRDefault="00F64776" w:rsidP="00F64776">
      <w:pPr>
        <w:pStyle w:val="TextoNormal"/>
      </w:pPr>
    </w:p>
    <w:p w14:paraId="197B92C3" w14:textId="77777777" w:rsidR="00F64776" w:rsidRDefault="00F64776" w:rsidP="00F64776">
      <w:pPr>
        <w:pStyle w:val="TextoNormalNegritaCentrado"/>
        <w:keepNext/>
      </w:pPr>
      <w:r>
        <w:t>II. Fundamentos jurídicos</w:t>
      </w:r>
    </w:p>
    <w:p w14:paraId="2B7B7FBB" w14:textId="3BDFF30A" w:rsidR="00F64776" w:rsidRDefault="00F64776" w:rsidP="00F64776">
      <w:pPr>
        <w:pStyle w:val="TextoNormalNegritaCentrado"/>
        <w:keepNext/>
      </w:pPr>
    </w:p>
    <w:p w14:paraId="12790BF6" w14:textId="6A4FA7CB"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4AD98385" w14:textId="77777777" w:rsidR="00F64776" w:rsidRDefault="00F64776" w:rsidP="00F64776">
      <w:pPr>
        <w:pStyle w:val="TextoNormal"/>
      </w:pPr>
    </w:p>
    <w:p w14:paraId="68E750F7" w14:textId="77777777" w:rsidR="00F64776" w:rsidRDefault="00F64776" w:rsidP="00F64776">
      <w:pPr>
        <w:pStyle w:val="TextoNormal"/>
      </w:pPr>
      <w:r>
        <w:t>Por lo expuesto, la Sección</w:t>
      </w:r>
    </w:p>
    <w:p w14:paraId="6ACE5757" w14:textId="08F98EC8" w:rsidR="00F64776" w:rsidRDefault="00F64776" w:rsidP="00F64776">
      <w:pPr>
        <w:pStyle w:val="TextoNormal"/>
      </w:pPr>
    </w:p>
    <w:p w14:paraId="75DABC25" w14:textId="77777777" w:rsidR="00F64776" w:rsidRDefault="00F64776" w:rsidP="00F64776">
      <w:pPr>
        <w:pStyle w:val="TextoNormalCentrado"/>
      </w:pPr>
      <w:r>
        <w:t>ACUERDA</w:t>
      </w:r>
    </w:p>
    <w:p w14:paraId="76638D84" w14:textId="6438E5F4" w:rsidR="00F64776" w:rsidRDefault="00F64776" w:rsidP="00F64776">
      <w:pPr>
        <w:pStyle w:val="TextoNormalCentrado"/>
      </w:pPr>
    </w:p>
    <w:p w14:paraId="27B75BEE" w14:textId="404E8D4E" w:rsidR="00F64776" w:rsidRDefault="00F64776" w:rsidP="00F64776">
      <w:pPr>
        <w:pStyle w:val="TextoNormal"/>
      </w:pPr>
      <w:r>
        <w:t>Estimar justificada la abstención formulada por el magistrado señor don César Tolosa Tribiño en el recurso de amparo núm. 7111-2022 y apartarle definitivamente del conocimiento del referido recurso y de todas sus incidencias.</w:t>
      </w:r>
    </w:p>
    <w:p w14:paraId="47B7F614" w14:textId="77777777" w:rsidR="00F64776" w:rsidRDefault="00F64776" w:rsidP="00F64776">
      <w:pPr>
        <w:pStyle w:val="TextoNormal"/>
      </w:pPr>
    </w:p>
    <w:p w14:paraId="37B5CE5B" w14:textId="77777777" w:rsidR="00F64776" w:rsidRDefault="00F64776" w:rsidP="00F64776">
      <w:pPr>
        <w:pStyle w:val="TextoNormal"/>
      </w:pPr>
      <w:r>
        <w:t>Madrid, a veintitrés de octubre de dos mil veintitrés.</w:t>
      </w:r>
    </w:p>
    <w:p w14:paraId="090E4A1F" w14:textId="043E3AD1" w:rsidR="00F64776" w:rsidRDefault="00F64776">
      <w:pPr>
        <w:spacing w:after="160" w:line="278" w:lineRule="auto"/>
        <w:rPr>
          <w:rFonts w:ascii="Times New Roman" w:eastAsia="Times New Roman" w:hAnsi="Times New Roman" w:cs="Times New Roman"/>
          <w:sz w:val="24"/>
          <w:szCs w:val="24"/>
          <w:lang w:eastAsia="es-ES"/>
        </w:rPr>
      </w:pPr>
      <w:r>
        <w:br w:type="page"/>
      </w:r>
    </w:p>
    <w:p w14:paraId="525B597E" w14:textId="77777777" w:rsidR="00F64776" w:rsidRDefault="00F64776" w:rsidP="00F64776">
      <w:pPr>
        <w:pStyle w:val="TtuloResolucin"/>
      </w:pPr>
      <w:bookmarkStart w:id="248" w:name="AUTO_2023_463"/>
      <w:r>
        <w:t>AUTO 463/2023, de 23 de octubre de 2023</w:t>
      </w:r>
    </w:p>
    <w:bookmarkEnd w:id="248"/>
    <w:p w14:paraId="55BAFED5" w14:textId="77777777" w:rsidR="00F64776" w:rsidRDefault="00F64776" w:rsidP="00F64776">
      <w:pPr>
        <w:pStyle w:val="TtuloResolucin"/>
      </w:pPr>
      <w:r>
        <w:t>Sección Tercera</w:t>
      </w:r>
    </w:p>
    <w:p w14:paraId="59712FFB" w14:textId="77777777" w:rsidR="00F64776" w:rsidRDefault="00F64776" w:rsidP="00F64776">
      <w:pPr>
        <w:pStyle w:val="TextoNormalCentrado"/>
      </w:pPr>
      <w:r>
        <w:t>ECLI:ES:TC:2023:463A</w:t>
      </w:r>
    </w:p>
    <w:p w14:paraId="001C0771" w14:textId="4E56225D" w:rsidR="00F64776" w:rsidRDefault="00F64776" w:rsidP="00F64776">
      <w:pPr>
        <w:pStyle w:val="TextoNormalCentrado"/>
      </w:pPr>
    </w:p>
    <w:p w14:paraId="001FB570" w14:textId="77777777" w:rsidR="00F64776" w:rsidRDefault="00F64776" w:rsidP="00F64776">
      <w:pPr>
        <w:pStyle w:val="SntesisDescriptiva"/>
      </w:pPr>
      <w:r>
        <w:t>Excms. Srs. doña Inmaculada Montalbán Huertas y doña Laura Díez Bueso.</w:t>
      </w:r>
    </w:p>
    <w:p w14:paraId="50623064" w14:textId="61E743C5" w:rsidR="00F64776" w:rsidRDefault="00F64776" w:rsidP="00F64776">
      <w:pPr>
        <w:pStyle w:val="SntesisDescriptiva"/>
      </w:pPr>
    </w:p>
    <w:p w14:paraId="5056BD53" w14:textId="77777777" w:rsidR="00F64776" w:rsidRDefault="00F64776" w:rsidP="00F64776">
      <w:pPr>
        <w:pStyle w:val="SntesisDescriptiva"/>
      </w:pPr>
      <w:r>
        <w:t>Acepta una abstención en el recurso de amparo 7112-2022, promovido en proceso contencioso-administrativo.</w:t>
      </w:r>
    </w:p>
    <w:p w14:paraId="699908F9" w14:textId="2EFA3883" w:rsidR="00F64776" w:rsidRDefault="00F64776" w:rsidP="00F64776">
      <w:pPr>
        <w:pStyle w:val="SntesisDescriptiva"/>
      </w:pPr>
    </w:p>
    <w:p w14:paraId="5606BE7F" w14:textId="77777777" w:rsidR="00F64776" w:rsidRDefault="00F64776" w:rsidP="00F64776">
      <w:pPr>
        <w:pStyle w:val="SntesisDescriptiva"/>
      </w:pPr>
    </w:p>
    <w:p w14:paraId="77AFFFA5" w14:textId="77777777" w:rsidR="00F64776" w:rsidRDefault="00F64776" w:rsidP="00F64776">
      <w:pPr>
        <w:pStyle w:val="SntesisDescriptiva"/>
      </w:pPr>
    </w:p>
    <w:p w14:paraId="40B6B383" w14:textId="77777777" w:rsidR="00F64776" w:rsidRDefault="00F64776" w:rsidP="00F64776">
      <w:pPr>
        <w:pStyle w:val="TextoNormalNegritaCentrado"/>
      </w:pPr>
      <w:r>
        <w:t>AUTO</w:t>
      </w:r>
    </w:p>
    <w:p w14:paraId="65822822" w14:textId="4D4A9158" w:rsidR="00F64776" w:rsidRDefault="00F64776" w:rsidP="00F64776">
      <w:pPr>
        <w:pStyle w:val="TextoNormalNegritaCentrado"/>
      </w:pPr>
    </w:p>
    <w:p w14:paraId="382D0BD1" w14:textId="77777777" w:rsidR="00F64776" w:rsidRDefault="00F64776" w:rsidP="00F64776">
      <w:pPr>
        <w:pStyle w:val="TextoNormalNegritaCentrado"/>
        <w:keepNext/>
      </w:pPr>
      <w:r>
        <w:t>I. Antecedentes</w:t>
      </w:r>
    </w:p>
    <w:p w14:paraId="7EC7D274" w14:textId="52E1B6C2" w:rsidR="00F64776" w:rsidRDefault="00F64776" w:rsidP="00F64776">
      <w:pPr>
        <w:pStyle w:val="TextoNormalNegritaCentrado"/>
        <w:keepNext/>
      </w:pPr>
    </w:p>
    <w:p w14:paraId="2B712535" w14:textId="464EDD3F" w:rsidR="00F64776" w:rsidRDefault="00F64776" w:rsidP="00F64776">
      <w:pPr>
        <w:pStyle w:val="TextoNormal"/>
      </w:pPr>
      <w:r w:rsidRPr="00F64776">
        <w:rPr>
          <w:rStyle w:val="NumeroAFNegritaCaracter"/>
        </w:rPr>
        <w:t>1</w:t>
      </w:r>
      <w:r>
        <w:t>. . Mediante escrito registrado en este tribunal el 2 de noviembre de 2022 el procurador de los tribunales don José María Ruiz de la Cuesta Vacas, en nombre y representación de doña María del Pilar Escobar Martínez y otros y bajo la dirección del letrado don Francisco Javier Araúz de Robles Dávila, presentó demanda de amparo contra providencias de la Sección Primera de la Sala de lo Contencioso-Administrativo del Tribunal Supremo en recurso de casación núm. 6262-2021.</w:t>
      </w:r>
    </w:p>
    <w:p w14:paraId="0F7D8D53" w14:textId="77777777" w:rsidR="00F64776" w:rsidRDefault="00F64776" w:rsidP="00F64776">
      <w:pPr>
        <w:pStyle w:val="TextoNormal"/>
      </w:pPr>
    </w:p>
    <w:p w14:paraId="3F025D2F" w14:textId="7D72B672" w:rsidR="00F64776" w:rsidRDefault="00F64776" w:rsidP="00F64776">
      <w:pPr>
        <w:pStyle w:val="TextoNormal"/>
      </w:pPr>
      <w:r w:rsidRPr="00F64776">
        <w:rPr>
          <w:rStyle w:val="NumeroAFNegritaCaracter"/>
        </w:rPr>
        <w:t>2</w:t>
      </w:r>
      <w:r>
        <w:t>. Por escrito de 1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66E99758" w14:textId="77777777" w:rsidR="00F64776" w:rsidRDefault="00F64776" w:rsidP="00F64776">
      <w:pPr>
        <w:pStyle w:val="TextoNormal"/>
      </w:pPr>
    </w:p>
    <w:p w14:paraId="74BF8341" w14:textId="77777777" w:rsidR="00F64776" w:rsidRDefault="00F64776" w:rsidP="00F64776">
      <w:pPr>
        <w:pStyle w:val="TextoNormalNegritaCentrado"/>
        <w:keepNext/>
      </w:pPr>
      <w:r>
        <w:t>II. Fundamentos jurídicos</w:t>
      </w:r>
    </w:p>
    <w:p w14:paraId="419688C9" w14:textId="470A6488" w:rsidR="00F64776" w:rsidRDefault="00F64776" w:rsidP="00F64776">
      <w:pPr>
        <w:pStyle w:val="TextoNormalNegritaCentrado"/>
        <w:keepNext/>
      </w:pPr>
    </w:p>
    <w:p w14:paraId="2AC3B2BF" w14:textId="7A3C1B9F"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6DC826AE" w14:textId="77777777" w:rsidR="00F64776" w:rsidRDefault="00F64776" w:rsidP="00F64776">
      <w:pPr>
        <w:pStyle w:val="TextoNormal"/>
      </w:pPr>
    </w:p>
    <w:p w14:paraId="532B8EC6" w14:textId="77777777" w:rsidR="00F64776" w:rsidRDefault="00F64776" w:rsidP="00F64776">
      <w:pPr>
        <w:pStyle w:val="TextoNormal"/>
      </w:pPr>
      <w:r>
        <w:t>Por lo expuesto, la Sección</w:t>
      </w:r>
    </w:p>
    <w:p w14:paraId="1490FA0D" w14:textId="18D58A69" w:rsidR="00F64776" w:rsidRDefault="00F64776" w:rsidP="00F64776">
      <w:pPr>
        <w:pStyle w:val="TextoNormal"/>
      </w:pPr>
    </w:p>
    <w:p w14:paraId="47EECAD9" w14:textId="77777777" w:rsidR="00F64776" w:rsidRDefault="00F64776" w:rsidP="00F64776">
      <w:pPr>
        <w:pStyle w:val="TextoNormalCentrado"/>
      </w:pPr>
      <w:r>
        <w:t>ACUERDA</w:t>
      </w:r>
    </w:p>
    <w:p w14:paraId="7DFD327B" w14:textId="75869AD5" w:rsidR="00F64776" w:rsidRDefault="00F64776" w:rsidP="00F64776">
      <w:pPr>
        <w:pStyle w:val="TextoNormalCentrado"/>
      </w:pPr>
    </w:p>
    <w:p w14:paraId="74D8264B" w14:textId="234204B5" w:rsidR="00F64776" w:rsidRDefault="00F64776" w:rsidP="00F64776">
      <w:pPr>
        <w:pStyle w:val="TextoNormal"/>
      </w:pPr>
      <w:r>
        <w:t>Estimar justificada la abstención formulada por el magistrado señor don César Tolosa Tribiño en el recurso de amparo núm. 7112-2022 y apartarle definitivamente del conocimiento del referido recurso y de todas sus incidencias.</w:t>
      </w:r>
    </w:p>
    <w:p w14:paraId="4C3216E1" w14:textId="77777777" w:rsidR="00F64776" w:rsidRDefault="00F64776" w:rsidP="00F64776">
      <w:pPr>
        <w:pStyle w:val="TextoNormal"/>
      </w:pPr>
    </w:p>
    <w:p w14:paraId="606D4B7B" w14:textId="77777777" w:rsidR="00F64776" w:rsidRDefault="00F64776" w:rsidP="00F64776">
      <w:pPr>
        <w:pStyle w:val="TextoNormal"/>
      </w:pPr>
      <w:r>
        <w:t>Madrid, a veintitrés de octubre de dos mil veintitrés.</w:t>
      </w:r>
    </w:p>
    <w:p w14:paraId="769EE2DD" w14:textId="487236D7" w:rsidR="00F64776" w:rsidRDefault="00F64776">
      <w:pPr>
        <w:spacing w:after="160" w:line="278" w:lineRule="auto"/>
        <w:rPr>
          <w:rFonts w:ascii="Times New Roman" w:eastAsia="Times New Roman" w:hAnsi="Times New Roman" w:cs="Times New Roman"/>
          <w:sz w:val="24"/>
          <w:szCs w:val="24"/>
          <w:lang w:eastAsia="es-ES"/>
        </w:rPr>
      </w:pPr>
      <w:r>
        <w:br w:type="page"/>
      </w:r>
    </w:p>
    <w:p w14:paraId="0D48837A" w14:textId="77777777" w:rsidR="00F64776" w:rsidRDefault="00F64776" w:rsidP="00F64776">
      <w:pPr>
        <w:pStyle w:val="TtuloResolucin"/>
      </w:pPr>
      <w:bookmarkStart w:id="249" w:name="AUTO_2023_464"/>
      <w:r>
        <w:t>AUTO 464/2023, de 23 de octubre de 2023</w:t>
      </w:r>
    </w:p>
    <w:bookmarkEnd w:id="249"/>
    <w:p w14:paraId="55F94681" w14:textId="77777777" w:rsidR="00F64776" w:rsidRDefault="00F64776" w:rsidP="00F64776">
      <w:pPr>
        <w:pStyle w:val="TtuloResolucin"/>
      </w:pPr>
      <w:r>
        <w:t>Sección Tercera</w:t>
      </w:r>
    </w:p>
    <w:p w14:paraId="0FB95073" w14:textId="77777777" w:rsidR="00F64776" w:rsidRDefault="00F64776" w:rsidP="00F64776">
      <w:pPr>
        <w:pStyle w:val="TextoNormalCentrado"/>
      </w:pPr>
      <w:r>
        <w:t>ECLI:ES:TC:2023:464A</w:t>
      </w:r>
    </w:p>
    <w:p w14:paraId="0306750E" w14:textId="29C54373" w:rsidR="00F64776" w:rsidRDefault="00F64776" w:rsidP="00F64776">
      <w:pPr>
        <w:pStyle w:val="TextoNormalCentrado"/>
      </w:pPr>
    </w:p>
    <w:p w14:paraId="3F6D05F4" w14:textId="77777777" w:rsidR="00F64776" w:rsidRDefault="00F64776" w:rsidP="00F64776">
      <w:pPr>
        <w:pStyle w:val="SntesisDescriptiva"/>
      </w:pPr>
      <w:r>
        <w:t>Excms. Srs. doña Inmaculada Montalbán Huertas y doña Laura Díez Bueso.</w:t>
      </w:r>
    </w:p>
    <w:p w14:paraId="7C716932" w14:textId="25DD8CBD" w:rsidR="00F64776" w:rsidRDefault="00F64776" w:rsidP="00F64776">
      <w:pPr>
        <w:pStyle w:val="SntesisDescriptiva"/>
      </w:pPr>
    </w:p>
    <w:p w14:paraId="061F577F" w14:textId="77777777" w:rsidR="00F64776" w:rsidRDefault="00F64776" w:rsidP="00F64776">
      <w:pPr>
        <w:pStyle w:val="SntesisDescriptiva"/>
      </w:pPr>
      <w:r>
        <w:t>Acepta una abstención en el recurso de amparo 7162-2022, promovido en proceso contencioso-administrativo.</w:t>
      </w:r>
    </w:p>
    <w:p w14:paraId="356724A7" w14:textId="50F5F0AF" w:rsidR="00F64776" w:rsidRDefault="00F64776" w:rsidP="00F64776">
      <w:pPr>
        <w:pStyle w:val="SntesisDescriptiva"/>
      </w:pPr>
    </w:p>
    <w:p w14:paraId="08F297CD" w14:textId="77777777" w:rsidR="00F64776" w:rsidRDefault="00F64776" w:rsidP="00F64776">
      <w:pPr>
        <w:pStyle w:val="SntesisDescriptiva"/>
      </w:pPr>
    </w:p>
    <w:p w14:paraId="369E5500" w14:textId="77777777" w:rsidR="00F64776" w:rsidRDefault="00F64776" w:rsidP="00F64776">
      <w:pPr>
        <w:pStyle w:val="SntesisDescriptiva"/>
      </w:pPr>
    </w:p>
    <w:p w14:paraId="34CD0A4A" w14:textId="77777777" w:rsidR="00F64776" w:rsidRDefault="00F64776" w:rsidP="00F64776">
      <w:pPr>
        <w:pStyle w:val="TextoNormalNegritaCentrado"/>
      </w:pPr>
      <w:r>
        <w:t>AUTO</w:t>
      </w:r>
    </w:p>
    <w:p w14:paraId="381C2E8E" w14:textId="2C32D2C8" w:rsidR="00F64776" w:rsidRDefault="00F64776" w:rsidP="00F64776">
      <w:pPr>
        <w:pStyle w:val="TextoNormalNegritaCentrado"/>
      </w:pPr>
    </w:p>
    <w:p w14:paraId="284A9B1E" w14:textId="77777777" w:rsidR="00F64776" w:rsidRDefault="00F64776" w:rsidP="00F64776">
      <w:pPr>
        <w:pStyle w:val="TextoNormalNegritaCentrado"/>
        <w:keepNext/>
      </w:pPr>
      <w:r>
        <w:t>I. Antecedentes</w:t>
      </w:r>
    </w:p>
    <w:p w14:paraId="2EF33CB8" w14:textId="446D1850" w:rsidR="00F64776" w:rsidRDefault="00F64776" w:rsidP="00F64776">
      <w:pPr>
        <w:pStyle w:val="TextoNormalNegritaCentrado"/>
        <w:keepNext/>
      </w:pPr>
    </w:p>
    <w:p w14:paraId="357B0B6F" w14:textId="5F7005FB" w:rsidR="00F64776" w:rsidRDefault="00F64776" w:rsidP="00F64776">
      <w:pPr>
        <w:pStyle w:val="TextoNormal"/>
      </w:pPr>
      <w:r w:rsidRPr="00F64776">
        <w:rPr>
          <w:rStyle w:val="NumeroAFNegritaCaracter"/>
        </w:rPr>
        <w:t>1</w:t>
      </w:r>
      <w:r>
        <w:t>. Mediante escrito registrado en este tribunal el 3 de noviembre de 2022 el procurador de los tribunales don José María Ruiz de la Cuesta Vacas, en nombre y representación de doña Natalia Villalba Guijorro y otros y bajo la dirección del letrado don Francisco Javier Araúz de Robles Dávila, formuló demanda de amparo contra providencias de la Sala de lo Contencioso-Administrativo del Tribunal Supremo en recurso de casación núm. 497-2022.</w:t>
      </w:r>
    </w:p>
    <w:p w14:paraId="57F6DCBF" w14:textId="77777777" w:rsidR="00F64776" w:rsidRDefault="00F64776" w:rsidP="00F64776">
      <w:pPr>
        <w:pStyle w:val="TextoNormal"/>
      </w:pPr>
    </w:p>
    <w:p w14:paraId="18B6D896" w14:textId="3F275050" w:rsidR="00F64776" w:rsidRDefault="00F64776" w:rsidP="00F64776">
      <w:pPr>
        <w:pStyle w:val="TextoNormal"/>
      </w:pPr>
      <w:r w:rsidRPr="00F64776">
        <w:rPr>
          <w:rStyle w:val="NumeroAFNegritaCaracter"/>
        </w:rPr>
        <w:t>2</w:t>
      </w:r>
      <w:r>
        <w:t>. Por escrito de 1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70F2260D" w14:textId="77777777" w:rsidR="00F64776" w:rsidRDefault="00F64776" w:rsidP="00F64776">
      <w:pPr>
        <w:pStyle w:val="TextoNormal"/>
      </w:pPr>
    </w:p>
    <w:p w14:paraId="7BFF57DF" w14:textId="77777777" w:rsidR="00F64776" w:rsidRDefault="00F64776" w:rsidP="00F64776">
      <w:pPr>
        <w:pStyle w:val="TextoNormalNegritaCentrado"/>
        <w:keepNext/>
      </w:pPr>
      <w:r>
        <w:t>II. Fundamentos jurídicos</w:t>
      </w:r>
    </w:p>
    <w:p w14:paraId="727C3B16" w14:textId="22F3BF51" w:rsidR="00F64776" w:rsidRDefault="00F64776" w:rsidP="00F64776">
      <w:pPr>
        <w:pStyle w:val="TextoNormalNegritaCentrado"/>
        <w:keepNext/>
      </w:pPr>
    </w:p>
    <w:p w14:paraId="1C3BDCAB" w14:textId="2D7C4C54"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6408A624" w14:textId="77777777" w:rsidR="00F64776" w:rsidRDefault="00F64776" w:rsidP="00F64776">
      <w:pPr>
        <w:pStyle w:val="TextoNormal"/>
      </w:pPr>
    </w:p>
    <w:p w14:paraId="392F490B" w14:textId="77777777" w:rsidR="00F64776" w:rsidRDefault="00F64776" w:rsidP="00F64776">
      <w:pPr>
        <w:pStyle w:val="TextoNormal"/>
      </w:pPr>
      <w:r>
        <w:t>Por lo expuesto, la Sección</w:t>
      </w:r>
    </w:p>
    <w:p w14:paraId="6F652DA2" w14:textId="17948E99" w:rsidR="00F64776" w:rsidRDefault="00F64776" w:rsidP="00F64776">
      <w:pPr>
        <w:pStyle w:val="TextoNormal"/>
      </w:pPr>
    </w:p>
    <w:p w14:paraId="106ABDC9" w14:textId="77777777" w:rsidR="00F64776" w:rsidRDefault="00F64776" w:rsidP="00F64776">
      <w:pPr>
        <w:pStyle w:val="TextoNormalCentrado"/>
      </w:pPr>
      <w:r>
        <w:t>ACUERDA</w:t>
      </w:r>
    </w:p>
    <w:p w14:paraId="57313380" w14:textId="1591AB71" w:rsidR="00F64776" w:rsidRDefault="00F64776" w:rsidP="00F64776">
      <w:pPr>
        <w:pStyle w:val="TextoNormalCentrado"/>
      </w:pPr>
    </w:p>
    <w:p w14:paraId="4C4F8E76" w14:textId="231931AA" w:rsidR="00F64776" w:rsidRDefault="00F64776" w:rsidP="00F64776">
      <w:pPr>
        <w:pStyle w:val="TextoNormal"/>
      </w:pPr>
      <w:r>
        <w:t>Estimar justificada la abstención formulada por el magistrado señor don César Tolosa Tribiño en el recurso de amparo núm. 7162-2022 y apartarle definitivamente del conocimiento del referido recurso y de todas sus incidencias.</w:t>
      </w:r>
    </w:p>
    <w:p w14:paraId="5DDAF053" w14:textId="77777777" w:rsidR="00F64776" w:rsidRDefault="00F64776" w:rsidP="00F64776">
      <w:pPr>
        <w:pStyle w:val="TextoNormal"/>
      </w:pPr>
    </w:p>
    <w:p w14:paraId="55C4FEFF" w14:textId="77777777" w:rsidR="00F64776" w:rsidRDefault="00F64776" w:rsidP="00F64776">
      <w:pPr>
        <w:pStyle w:val="TextoNormal"/>
      </w:pPr>
      <w:r>
        <w:t>Madrid, a veintitrés de octubre de dos mil veintitrés.</w:t>
      </w:r>
    </w:p>
    <w:p w14:paraId="5E7BE71B" w14:textId="525DDF55" w:rsidR="00F64776" w:rsidRDefault="00F64776">
      <w:pPr>
        <w:spacing w:after="160" w:line="278" w:lineRule="auto"/>
        <w:rPr>
          <w:rFonts w:ascii="Times New Roman" w:eastAsia="Times New Roman" w:hAnsi="Times New Roman" w:cs="Times New Roman"/>
          <w:sz w:val="24"/>
          <w:szCs w:val="24"/>
          <w:lang w:eastAsia="es-ES"/>
        </w:rPr>
      </w:pPr>
      <w:r>
        <w:br w:type="page"/>
      </w:r>
    </w:p>
    <w:p w14:paraId="6C58B001" w14:textId="77777777" w:rsidR="00F64776" w:rsidRDefault="00F64776" w:rsidP="00F64776">
      <w:pPr>
        <w:pStyle w:val="TtuloResolucin"/>
      </w:pPr>
      <w:bookmarkStart w:id="250" w:name="AUTO_2023_465"/>
      <w:r>
        <w:t>AUTO 465/2023, de 23 de octubre de 2023</w:t>
      </w:r>
    </w:p>
    <w:bookmarkEnd w:id="250"/>
    <w:p w14:paraId="693B441A" w14:textId="77777777" w:rsidR="00F64776" w:rsidRDefault="00F64776" w:rsidP="00F64776">
      <w:pPr>
        <w:pStyle w:val="TtuloResolucin"/>
      </w:pPr>
      <w:r>
        <w:t>Sección Tercera</w:t>
      </w:r>
    </w:p>
    <w:p w14:paraId="661EAD5F" w14:textId="77777777" w:rsidR="00F64776" w:rsidRDefault="00F64776" w:rsidP="00F64776">
      <w:pPr>
        <w:pStyle w:val="TextoNormalCentrado"/>
      </w:pPr>
      <w:r>
        <w:t>ECLI:ES:TC:2023:465A</w:t>
      </w:r>
    </w:p>
    <w:p w14:paraId="0AAAD907" w14:textId="5754AA86" w:rsidR="00F64776" w:rsidRDefault="00F64776" w:rsidP="00F64776">
      <w:pPr>
        <w:pStyle w:val="TextoNormalCentrado"/>
      </w:pPr>
    </w:p>
    <w:p w14:paraId="13F2AE9F" w14:textId="77777777" w:rsidR="00F64776" w:rsidRDefault="00F64776" w:rsidP="00F64776">
      <w:pPr>
        <w:pStyle w:val="SntesisDescriptiva"/>
      </w:pPr>
      <w:r>
        <w:t>Excms. Srs. doña Inmaculada Montalbán Huertas y doña Laura Díez Bueso.</w:t>
      </w:r>
    </w:p>
    <w:p w14:paraId="0D2498C9" w14:textId="50061223" w:rsidR="00F64776" w:rsidRDefault="00F64776" w:rsidP="00F64776">
      <w:pPr>
        <w:pStyle w:val="SntesisDescriptiva"/>
      </w:pPr>
    </w:p>
    <w:p w14:paraId="466B20FB" w14:textId="77777777" w:rsidR="00F64776" w:rsidRDefault="00F64776" w:rsidP="00F64776">
      <w:pPr>
        <w:pStyle w:val="SntesisDescriptiva"/>
      </w:pPr>
      <w:r>
        <w:t>Acepta una abstención en el recurso de amparo 7302-2022, promovido en proceso contencioso-administrativo.</w:t>
      </w:r>
    </w:p>
    <w:p w14:paraId="1CB9990A" w14:textId="1730CE68" w:rsidR="00F64776" w:rsidRDefault="00F64776" w:rsidP="00F64776">
      <w:pPr>
        <w:pStyle w:val="SntesisDescriptiva"/>
      </w:pPr>
    </w:p>
    <w:p w14:paraId="3A95552E" w14:textId="77777777" w:rsidR="00F64776" w:rsidRDefault="00F64776" w:rsidP="00F64776">
      <w:pPr>
        <w:pStyle w:val="SntesisDescriptiva"/>
      </w:pPr>
    </w:p>
    <w:p w14:paraId="090FBB12" w14:textId="77777777" w:rsidR="00F64776" w:rsidRDefault="00F64776" w:rsidP="00F64776">
      <w:pPr>
        <w:pStyle w:val="SntesisDescriptiva"/>
      </w:pPr>
    </w:p>
    <w:p w14:paraId="1E522BF1" w14:textId="77777777" w:rsidR="00F64776" w:rsidRDefault="00F64776" w:rsidP="00F64776">
      <w:pPr>
        <w:pStyle w:val="TextoNormalNegritaCentrado"/>
      </w:pPr>
      <w:r>
        <w:t>AUTO</w:t>
      </w:r>
    </w:p>
    <w:p w14:paraId="2613C25C" w14:textId="5F1406B5" w:rsidR="00F64776" w:rsidRDefault="00F64776" w:rsidP="00F64776">
      <w:pPr>
        <w:pStyle w:val="TextoNormalNegritaCentrado"/>
      </w:pPr>
    </w:p>
    <w:p w14:paraId="76AFEF0B" w14:textId="77777777" w:rsidR="00F64776" w:rsidRDefault="00F64776" w:rsidP="00F64776">
      <w:pPr>
        <w:pStyle w:val="TextoNormalNegritaCentrado"/>
        <w:keepNext/>
      </w:pPr>
      <w:r>
        <w:t>I. Antecedentes</w:t>
      </w:r>
    </w:p>
    <w:p w14:paraId="6EC59531" w14:textId="2CF9654C" w:rsidR="00F64776" w:rsidRDefault="00F64776" w:rsidP="00F64776">
      <w:pPr>
        <w:pStyle w:val="TextoNormalNegritaCentrado"/>
        <w:keepNext/>
      </w:pPr>
    </w:p>
    <w:p w14:paraId="3059CE52" w14:textId="23D7E9C0" w:rsidR="00F64776" w:rsidRDefault="00F64776" w:rsidP="00F64776">
      <w:pPr>
        <w:pStyle w:val="TextoNormal"/>
      </w:pPr>
      <w:r w:rsidRPr="00F64776">
        <w:rPr>
          <w:rStyle w:val="NumeroAFNegritaCaracter"/>
        </w:rPr>
        <w:t>1</w:t>
      </w:r>
      <w:r>
        <w:t>. . Mediante escrito registrado en este tribunal el 8 de noviembre de 2022 la procuradora de los tribunales doña Ana María Araúz de Robles Villalón, en nombre y representación de doña María del Pilar Bellido Pérez y bajo la dirección del letrado don Francisco Javier Araúz de Robles Dávila, formuló demanda de amparo contra providencias de la Sección Primera de la Sala de lo Contencioso-Administrativo del Tribunal Supremo en recurso de casación núm. 8480-2021.</w:t>
      </w:r>
    </w:p>
    <w:p w14:paraId="0470AE14" w14:textId="77777777" w:rsidR="00F64776" w:rsidRDefault="00F64776" w:rsidP="00F64776">
      <w:pPr>
        <w:pStyle w:val="TextoNormal"/>
      </w:pPr>
    </w:p>
    <w:p w14:paraId="45317BEF" w14:textId="56371ABD" w:rsidR="00F64776" w:rsidRDefault="00F64776" w:rsidP="00F64776">
      <w:pPr>
        <w:pStyle w:val="TextoNormal"/>
      </w:pPr>
      <w:r w:rsidRPr="00F64776">
        <w:rPr>
          <w:rStyle w:val="NumeroAFNegritaCaracter"/>
        </w:rPr>
        <w:t>2</w:t>
      </w:r>
      <w:r>
        <w:t>. Por escrito de 1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5C9394D7" w14:textId="77777777" w:rsidR="00F64776" w:rsidRDefault="00F64776" w:rsidP="00F64776">
      <w:pPr>
        <w:pStyle w:val="TextoNormal"/>
      </w:pPr>
    </w:p>
    <w:p w14:paraId="1630B6F8" w14:textId="77777777" w:rsidR="00F64776" w:rsidRDefault="00F64776" w:rsidP="00F64776">
      <w:pPr>
        <w:pStyle w:val="TextoNormalNegritaCentrado"/>
        <w:keepNext/>
      </w:pPr>
      <w:r>
        <w:t>II. Fundamentos jurídicos</w:t>
      </w:r>
    </w:p>
    <w:p w14:paraId="3EA34F45" w14:textId="1A24F0A5" w:rsidR="00F64776" w:rsidRDefault="00F64776" w:rsidP="00F64776">
      <w:pPr>
        <w:pStyle w:val="TextoNormalNegritaCentrado"/>
        <w:keepNext/>
      </w:pPr>
    </w:p>
    <w:p w14:paraId="0C79C0E2" w14:textId="55B44C5D"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0A6125C8" w14:textId="77777777" w:rsidR="00F64776" w:rsidRDefault="00F64776" w:rsidP="00F64776">
      <w:pPr>
        <w:pStyle w:val="TextoNormal"/>
      </w:pPr>
    </w:p>
    <w:p w14:paraId="1AA71DC3" w14:textId="77777777" w:rsidR="00F64776" w:rsidRDefault="00F64776" w:rsidP="00F64776">
      <w:pPr>
        <w:pStyle w:val="TextoNormal"/>
      </w:pPr>
      <w:r>
        <w:t>Por lo expuesto, la Sección</w:t>
      </w:r>
    </w:p>
    <w:p w14:paraId="47EE0752" w14:textId="119BA21E" w:rsidR="00F64776" w:rsidRDefault="00F64776" w:rsidP="00F64776">
      <w:pPr>
        <w:pStyle w:val="TextoNormal"/>
      </w:pPr>
    </w:p>
    <w:p w14:paraId="78DF6174" w14:textId="77777777" w:rsidR="00F64776" w:rsidRDefault="00F64776" w:rsidP="00F64776">
      <w:pPr>
        <w:pStyle w:val="TextoNormalCentrado"/>
      </w:pPr>
      <w:r>
        <w:t>ACUERDA</w:t>
      </w:r>
    </w:p>
    <w:p w14:paraId="567336AE" w14:textId="1D058C2D" w:rsidR="00F64776" w:rsidRDefault="00F64776" w:rsidP="00F64776">
      <w:pPr>
        <w:pStyle w:val="TextoNormalCentrado"/>
      </w:pPr>
    </w:p>
    <w:p w14:paraId="5B6F27A3" w14:textId="52506ED5" w:rsidR="00F64776" w:rsidRDefault="00F64776" w:rsidP="00F64776">
      <w:pPr>
        <w:pStyle w:val="TextoNormal"/>
      </w:pPr>
      <w:r>
        <w:t>Estimar justificada la abstención formulada por el magistrado señor don César Tolosa Tribiño en el recurso de amparo núm. 7302-2022 y apartarle definitivamente del conocimiento del referido recurso y de todas sus incidencias.</w:t>
      </w:r>
    </w:p>
    <w:p w14:paraId="33D0A692" w14:textId="77777777" w:rsidR="00F64776" w:rsidRDefault="00F64776" w:rsidP="00F64776">
      <w:pPr>
        <w:pStyle w:val="TextoNormal"/>
      </w:pPr>
    </w:p>
    <w:p w14:paraId="55BBE560" w14:textId="77777777" w:rsidR="00F64776" w:rsidRDefault="00F64776" w:rsidP="00F64776">
      <w:pPr>
        <w:pStyle w:val="TextoNormal"/>
      </w:pPr>
      <w:r>
        <w:t>Madrid, a veintitrés de octubre de dos mil veintitrés.</w:t>
      </w:r>
    </w:p>
    <w:p w14:paraId="64EE3BBC" w14:textId="22767D61" w:rsidR="00F64776" w:rsidRDefault="00F64776">
      <w:pPr>
        <w:spacing w:after="160" w:line="278" w:lineRule="auto"/>
        <w:rPr>
          <w:rFonts w:ascii="Times New Roman" w:eastAsia="Times New Roman" w:hAnsi="Times New Roman" w:cs="Times New Roman"/>
          <w:sz w:val="24"/>
          <w:szCs w:val="24"/>
          <w:lang w:eastAsia="es-ES"/>
        </w:rPr>
      </w:pPr>
      <w:r>
        <w:br w:type="page"/>
      </w:r>
    </w:p>
    <w:p w14:paraId="28A45397" w14:textId="77777777" w:rsidR="00F64776" w:rsidRDefault="00F64776" w:rsidP="00F64776">
      <w:pPr>
        <w:pStyle w:val="TtuloResolucin"/>
      </w:pPr>
      <w:bookmarkStart w:id="251" w:name="AUTO_2023_466"/>
      <w:r>
        <w:t>AUTO 466/2023, de 23 de octubre de 2023</w:t>
      </w:r>
    </w:p>
    <w:bookmarkEnd w:id="251"/>
    <w:p w14:paraId="2909E3D2" w14:textId="77777777" w:rsidR="00F64776" w:rsidRDefault="00F64776" w:rsidP="00F64776">
      <w:pPr>
        <w:pStyle w:val="TtuloResolucin"/>
      </w:pPr>
      <w:r>
        <w:t>Sección Tercera</w:t>
      </w:r>
    </w:p>
    <w:p w14:paraId="29839B63" w14:textId="77777777" w:rsidR="00F64776" w:rsidRDefault="00F64776" w:rsidP="00F64776">
      <w:pPr>
        <w:pStyle w:val="TextoNormalCentrado"/>
      </w:pPr>
      <w:r>
        <w:t>ECLI:ES:TC:2023:466A</w:t>
      </w:r>
    </w:p>
    <w:p w14:paraId="6DB52B0F" w14:textId="5A41CDDE" w:rsidR="00F64776" w:rsidRDefault="00F64776" w:rsidP="00F64776">
      <w:pPr>
        <w:pStyle w:val="TextoNormalCentrado"/>
      </w:pPr>
    </w:p>
    <w:p w14:paraId="74EA6B7B" w14:textId="77777777" w:rsidR="00F64776" w:rsidRDefault="00F64776" w:rsidP="00F64776">
      <w:pPr>
        <w:pStyle w:val="SntesisDescriptiva"/>
      </w:pPr>
      <w:r>
        <w:t>Excms. Srs. doña Inmaculada Montalbán Huertas y doña Laura Díez Bueso.</w:t>
      </w:r>
    </w:p>
    <w:p w14:paraId="358205F0" w14:textId="582A96DC" w:rsidR="00F64776" w:rsidRDefault="00F64776" w:rsidP="00F64776">
      <w:pPr>
        <w:pStyle w:val="SntesisDescriptiva"/>
      </w:pPr>
    </w:p>
    <w:p w14:paraId="2FCFFB70" w14:textId="77777777" w:rsidR="00F64776" w:rsidRDefault="00F64776" w:rsidP="00F64776">
      <w:pPr>
        <w:pStyle w:val="SntesisDescriptiva"/>
      </w:pPr>
      <w:r>
        <w:t>Acepta una abstención en el recurso de amparo 7365-2022, promovido en proceso contencioso-administrativo.</w:t>
      </w:r>
    </w:p>
    <w:p w14:paraId="100E286E" w14:textId="0A31B3EB" w:rsidR="00F64776" w:rsidRDefault="00F64776" w:rsidP="00F64776">
      <w:pPr>
        <w:pStyle w:val="SntesisDescriptiva"/>
      </w:pPr>
    </w:p>
    <w:p w14:paraId="36C29742" w14:textId="77777777" w:rsidR="00F64776" w:rsidRDefault="00F64776" w:rsidP="00F64776">
      <w:pPr>
        <w:pStyle w:val="SntesisDescriptiva"/>
      </w:pPr>
    </w:p>
    <w:p w14:paraId="2372BF17" w14:textId="77777777" w:rsidR="00F64776" w:rsidRDefault="00F64776" w:rsidP="00F64776">
      <w:pPr>
        <w:pStyle w:val="SntesisDescriptiva"/>
      </w:pPr>
    </w:p>
    <w:p w14:paraId="2D02F8C7" w14:textId="77777777" w:rsidR="00F64776" w:rsidRDefault="00F64776" w:rsidP="00F64776">
      <w:pPr>
        <w:pStyle w:val="TextoNormalNegritaCentrado"/>
      </w:pPr>
      <w:r>
        <w:t>AUTO</w:t>
      </w:r>
    </w:p>
    <w:p w14:paraId="7DC4DC04" w14:textId="0439807D" w:rsidR="00F64776" w:rsidRDefault="00F64776" w:rsidP="00F64776">
      <w:pPr>
        <w:pStyle w:val="TextoNormalNegritaCentrado"/>
      </w:pPr>
    </w:p>
    <w:p w14:paraId="69D6E0CD" w14:textId="77777777" w:rsidR="00F64776" w:rsidRDefault="00F64776" w:rsidP="00F64776">
      <w:pPr>
        <w:pStyle w:val="TextoNormalNegritaCentrado"/>
        <w:keepNext/>
      </w:pPr>
      <w:r>
        <w:t>I. Antecedentes</w:t>
      </w:r>
    </w:p>
    <w:p w14:paraId="0EA5B7BC" w14:textId="068650D0" w:rsidR="00F64776" w:rsidRDefault="00F64776" w:rsidP="00F64776">
      <w:pPr>
        <w:pStyle w:val="TextoNormalNegritaCentrado"/>
        <w:keepNext/>
      </w:pPr>
    </w:p>
    <w:p w14:paraId="6DDD839F" w14:textId="76203326" w:rsidR="00F64776" w:rsidRDefault="00F64776" w:rsidP="00F64776">
      <w:pPr>
        <w:pStyle w:val="TextoNormal"/>
      </w:pPr>
      <w:r w:rsidRPr="00F64776">
        <w:rPr>
          <w:rStyle w:val="NumeroAFNegritaCaracter"/>
        </w:rPr>
        <w:t>1</w:t>
      </w:r>
      <w:r>
        <w:t>. Mediante escrito registrado en este tribunal el 10 de noviembre de 2022 la procuradora de los tribunales doña Ana María Capilla Montes, en nombre y representación de doña Wendy Mariel Cruz Rivas y bajo la dirección de la letrada doña María Girona Ayala, formuló demanda de amparo contra la providencia de 11 de octubre de 2022 de la Sección Primera de la Sala de lo Contencioso-Administrativo del Tribunal Supremo en recurso de casación núm. 4800-2022.</w:t>
      </w:r>
    </w:p>
    <w:p w14:paraId="4A1BA8EC" w14:textId="77777777" w:rsidR="00F64776" w:rsidRDefault="00F64776" w:rsidP="00F64776">
      <w:pPr>
        <w:pStyle w:val="TextoNormal"/>
      </w:pPr>
    </w:p>
    <w:p w14:paraId="18364911" w14:textId="41B05F47" w:rsidR="00F64776" w:rsidRDefault="00F64776" w:rsidP="00F64776">
      <w:pPr>
        <w:pStyle w:val="TextoNormal"/>
      </w:pPr>
      <w:r w:rsidRPr="00F64776">
        <w:rPr>
          <w:rStyle w:val="NumeroAFNegritaCaracter"/>
        </w:rPr>
        <w:t>2</w:t>
      </w:r>
      <w:r>
        <w:t>. Por escrito de 22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1AA80F37" w14:textId="77777777" w:rsidR="00F64776" w:rsidRDefault="00F64776" w:rsidP="00F64776">
      <w:pPr>
        <w:pStyle w:val="TextoNormal"/>
      </w:pPr>
    </w:p>
    <w:p w14:paraId="27A6543F" w14:textId="77777777" w:rsidR="00F64776" w:rsidRDefault="00F64776" w:rsidP="00F64776">
      <w:pPr>
        <w:pStyle w:val="TextoNormalNegritaCentrado"/>
        <w:keepNext/>
      </w:pPr>
      <w:r>
        <w:t>II. Fundamentos jurídicos</w:t>
      </w:r>
    </w:p>
    <w:p w14:paraId="40FC5D5D" w14:textId="2C969386" w:rsidR="00F64776" w:rsidRDefault="00F64776" w:rsidP="00F64776">
      <w:pPr>
        <w:pStyle w:val="TextoNormalNegritaCentrado"/>
        <w:keepNext/>
      </w:pPr>
    </w:p>
    <w:p w14:paraId="65FA5601" w14:textId="6E45AF9B"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6DE08294" w14:textId="77777777" w:rsidR="00F64776" w:rsidRDefault="00F64776" w:rsidP="00F64776">
      <w:pPr>
        <w:pStyle w:val="TextoNormal"/>
      </w:pPr>
    </w:p>
    <w:p w14:paraId="7D89B510" w14:textId="77777777" w:rsidR="00F64776" w:rsidRDefault="00F64776" w:rsidP="00F64776">
      <w:pPr>
        <w:pStyle w:val="TextoNormal"/>
      </w:pPr>
      <w:r>
        <w:t>Por lo expuesto, la Sección</w:t>
      </w:r>
    </w:p>
    <w:p w14:paraId="30DF3541" w14:textId="7E0AC08C" w:rsidR="00F64776" w:rsidRDefault="00F64776" w:rsidP="00F64776">
      <w:pPr>
        <w:pStyle w:val="TextoNormal"/>
      </w:pPr>
    </w:p>
    <w:p w14:paraId="1FD626F1" w14:textId="77777777" w:rsidR="00F64776" w:rsidRDefault="00F64776" w:rsidP="00F64776">
      <w:pPr>
        <w:pStyle w:val="TextoNormalCentrado"/>
      </w:pPr>
      <w:r>
        <w:t>ACUERDA</w:t>
      </w:r>
    </w:p>
    <w:p w14:paraId="5158E356" w14:textId="5A162D56" w:rsidR="00F64776" w:rsidRDefault="00F64776" w:rsidP="00F64776">
      <w:pPr>
        <w:pStyle w:val="TextoNormalCentrado"/>
      </w:pPr>
    </w:p>
    <w:p w14:paraId="5981D29B" w14:textId="6479742D" w:rsidR="00F64776" w:rsidRDefault="00F64776" w:rsidP="00F64776">
      <w:pPr>
        <w:pStyle w:val="TextoNormal"/>
      </w:pPr>
      <w:r>
        <w:t>Estimar justificada la abstención formulada por el magistrado señor don César Tolosa Tribiño en el recurso de amparo núm. 7365-2022 y apartarle definitivamente del conocimiento del referido recurso y de todas sus incidencias.</w:t>
      </w:r>
    </w:p>
    <w:p w14:paraId="74D92290" w14:textId="77777777" w:rsidR="00F64776" w:rsidRDefault="00F64776" w:rsidP="00F64776">
      <w:pPr>
        <w:pStyle w:val="TextoNormal"/>
      </w:pPr>
    </w:p>
    <w:p w14:paraId="004B9B27" w14:textId="77777777" w:rsidR="00F64776" w:rsidRDefault="00F64776" w:rsidP="00F64776">
      <w:pPr>
        <w:pStyle w:val="TextoNormal"/>
      </w:pPr>
      <w:r>
        <w:t>Madrid, a veintitrés de octubre de dos mil veintitrés.</w:t>
      </w:r>
    </w:p>
    <w:p w14:paraId="64AE6DD6" w14:textId="12B88E7A" w:rsidR="00F64776" w:rsidRDefault="00F64776">
      <w:pPr>
        <w:spacing w:after="160" w:line="278" w:lineRule="auto"/>
        <w:rPr>
          <w:rFonts w:ascii="Times New Roman" w:eastAsia="Times New Roman" w:hAnsi="Times New Roman" w:cs="Times New Roman"/>
          <w:sz w:val="24"/>
          <w:szCs w:val="24"/>
          <w:lang w:eastAsia="es-ES"/>
        </w:rPr>
      </w:pPr>
      <w:r>
        <w:br w:type="page"/>
      </w:r>
    </w:p>
    <w:p w14:paraId="51849546" w14:textId="77777777" w:rsidR="00F64776" w:rsidRDefault="00F64776" w:rsidP="00F64776">
      <w:pPr>
        <w:pStyle w:val="TtuloResolucin"/>
      </w:pPr>
      <w:bookmarkStart w:id="252" w:name="AUTO_2023_467"/>
      <w:r>
        <w:t>AUTO 467/2023, de 23 de octubre de 2023</w:t>
      </w:r>
    </w:p>
    <w:bookmarkEnd w:id="252"/>
    <w:p w14:paraId="2F92328E" w14:textId="77777777" w:rsidR="00F64776" w:rsidRDefault="00F64776" w:rsidP="00F64776">
      <w:pPr>
        <w:pStyle w:val="TtuloResolucin"/>
      </w:pPr>
      <w:r>
        <w:t>Sección Tercera</w:t>
      </w:r>
    </w:p>
    <w:p w14:paraId="5779D156" w14:textId="77777777" w:rsidR="00F64776" w:rsidRDefault="00F64776" w:rsidP="00F64776">
      <w:pPr>
        <w:pStyle w:val="TextoNormalCentrado"/>
      </w:pPr>
      <w:r>
        <w:t>ECLI:ES:TC:2023:467A</w:t>
      </w:r>
    </w:p>
    <w:p w14:paraId="1BB541F3" w14:textId="13AFB9DB" w:rsidR="00F64776" w:rsidRDefault="00F64776" w:rsidP="00F64776">
      <w:pPr>
        <w:pStyle w:val="TextoNormalCentrado"/>
      </w:pPr>
    </w:p>
    <w:p w14:paraId="76BFF328" w14:textId="77777777" w:rsidR="00F64776" w:rsidRDefault="00F64776" w:rsidP="00F64776">
      <w:pPr>
        <w:pStyle w:val="SntesisDescriptiva"/>
      </w:pPr>
      <w:r>
        <w:t>Excms. Srs. doña Inmaculada Montalbán Huertas y doña Laura Díez Bueso.</w:t>
      </w:r>
    </w:p>
    <w:p w14:paraId="2F9472CE" w14:textId="6D05133D" w:rsidR="00F64776" w:rsidRDefault="00F64776" w:rsidP="00F64776">
      <w:pPr>
        <w:pStyle w:val="SntesisDescriptiva"/>
      </w:pPr>
    </w:p>
    <w:p w14:paraId="0C9319CF" w14:textId="77777777" w:rsidR="00F64776" w:rsidRDefault="00F64776" w:rsidP="00F64776">
      <w:pPr>
        <w:pStyle w:val="SntesisDescriptiva"/>
      </w:pPr>
      <w:r>
        <w:t>Acepta una abstención en el recurso de amparo 7422-2022, promovido en proceso contencioso-administrativo.</w:t>
      </w:r>
    </w:p>
    <w:p w14:paraId="3B26AE54" w14:textId="55FAAB86" w:rsidR="00F64776" w:rsidRDefault="00F64776" w:rsidP="00F64776">
      <w:pPr>
        <w:pStyle w:val="SntesisDescriptiva"/>
      </w:pPr>
    </w:p>
    <w:p w14:paraId="1A9C315F" w14:textId="77777777" w:rsidR="00F64776" w:rsidRDefault="00F64776" w:rsidP="00F64776">
      <w:pPr>
        <w:pStyle w:val="SntesisDescriptiva"/>
      </w:pPr>
    </w:p>
    <w:p w14:paraId="38FCEACD" w14:textId="77777777" w:rsidR="00F64776" w:rsidRDefault="00F64776" w:rsidP="00F64776">
      <w:pPr>
        <w:pStyle w:val="SntesisDescriptiva"/>
      </w:pPr>
    </w:p>
    <w:p w14:paraId="6A9B7984" w14:textId="77777777" w:rsidR="00F64776" w:rsidRDefault="00F64776" w:rsidP="00F64776">
      <w:pPr>
        <w:pStyle w:val="TextoNormalNegritaCentrado"/>
      </w:pPr>
      <w:r>
        <w:t>AUTO</w:t>
      </w:r>
    </w:p>
    <w:p w14:paraId="4D299AAD" w14:textId="501FAF78" w:rsidR="00F64776" w:rsidRDefault="00F64776" w:rsidP="00F64776">
      <w:pPr>
        <w:pStyle w:val="TextoNormalNegritaCentrado"/>
      </w:pPr>
    </w:p>
    <w:p w14:paraId="2E008E4E" w14:textId="77777777" w:rsidR="00F64776" w:rsidRDefault="00F64776" w:rsidP="00F64776">
      <w:pPr>
        <w:pStyle w:val="TextoNormalNegritaCentrado"/>
        <w:keepNext/>
      </w:pPr>
      <w:r>
        <w:t>I. Antecedentes</w:t>
      </w:r>
    </w:p>
    <w:p w14:paraId="44D90A73" w14:textId="5572BE6F" w:rsidR="00F64776" w:rsidRDefault="00F64776" w:rsidP="00F64776">
      <w:pPr>
        <w:pStyle w:val="TextoNormalNegritaCentrado"/>
        <w:keepNext/>
      </w:pPr>
    </w:p>
    <w:p w14:paraId="5F25C2C3" w14:textId="0E98573E" w:rsidR="00F64776" w:rsidRDefault="00F64776" w:rsidP="00F64776">
      <w:pPr>
        <w:pStyle w:val="TextoNormal"/>
      </w:pPr>
      <w:r w:rsidRPr="00F64776">
        <w:rPr>
          <w:rStyle w:val="NumeroAFNegritaCaracter"/>
        </w:rPr>
        <w:t>1</w:t>
      </w:r>
      <w:r>
        <w:t>. Mediante escrito registrado en este tribunal el 14 de noviembre de 2022 el procurador de los tribunales don Eduardo de la Torre Lastres, en nombre y representación de don Ton Jun Zhu y bajo la dirección del letrado don Luis Sanz Fernández, formuló demanda de amparo contra providencias de la Sala Contencioso-Administrativo del Tribunal Supremo en recurso de casación núm. 71-2022.</w:t>
      </w:r>
    </w:p>
    <w:p w14:paraId="0EDFCC4B" w14:textId="77777777" w:rsidR="00F64776" w:rsidRDefault="00F64776" w:rsidP="00F64776">
      <w:pPr>
        <w:pStyle w:val="TextoNormal"/>
      </w:pPr>
    </w:p>
    <w:p w14:paraId="1C3B21F8" w14:textId="534DEAEB" w:rsidR="00F64776" w:rsidRDefault="00F64776" w:rsidP="00F64776">
      <w:pPr>
        <w:pStyle w:val="TextoNormal"/>
      </w:pPr>
      <w:r w:rsidRPr="00F64776">
        <w:rPr>
          <w:rStyle w:val="NumeroAFNegritaCaracter"/>
        </w:rPr>
        <w:t>2</w:t>
      </w:r>
      <w:r>
        <w:t>. Por escrito de 22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22D486B9" w14:textId="77777777" w:rsidR="00F64776" w:rsidRDefault="00F64776" w:rsidP="00F64776">
      <w:pPr>
        <w:pStyle w:val="TextoNormal"/>
      </w:pPr>
    </w:p>
    <w:p w14:paraId="2E7EBD13" w14:textId="77777777" w:rsidR="00F64776" w:rsidRDefault="00F64776" w:rsidP="00F64776">
      <w:pPr>
        <w:pStyle w:val="TextoNormalNegritaCentrado"/>
        <w:keepNext/>
      </w:pPr>
      <w:r>
        <w:t>II. Fundamentos jurídicos</w:t>
      </w:r>
    </w:p>
    <w:p w14:paraId="32E2FAA9" w14:textId="48B6F917" w:rsidR="00F64776" w:rsidRDefault="00F64776" w:rsidP="00F64776">
      <w:pPr>
        <w:pStyle w:val="TextoNormalNegritaCentrado"/>
        <w:keepNext/>
      </w:pPr>
    </w:p>
    <w:p w14:paraId="183CE13A" w14:textId="78B13DA1"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1B36D5CF" w14:textId="77777777" w:rsidR="00F64776" w:rsidRDefault="00F64776" w:rsidP="00F64776">
      <w:pPr>
        <w:pStyle w:val="TextoNormal"/>
      </w:pPr>
    </w:p>
    <w:p w14:paraId="44E9A3FF" w14:textId="77777777" w:rsidR="00F64776" w:rsidRDefault="00F64776" w:rsidP="00F64776">
      <w:pPr>
        <w:pStyle w:val="TextoNormal"/>
      </w:pPr>
      <w:r>
        <w:t>Por lo expuesto, la Sección</w:t>
      </w:r>
    </w:p>
    <w:p w14:paraId="3C89E94E" w14:textId="11C81C12" w:rsidR="00F64776" w:rsidRDefault="00F64776" w:rsidP="00F64776">
      <w:pPr>
        <w:pStyle w:val="TextoNormal"/>
      </w:pPr>
    </w:p>
    <w:p w14:paraId="1CCDAFB5" w14:textId="77777777" w:rsidR="00F64776" w:rsidRDefault="00F64776" w:rsidP="00F64776">
      <w:pPr>
        <w:pStyle w:val="TextoNormalCentrado"/>
      </w:pPr>
      <w:r>
        <w:t>ACUERDA</w:t>
      </w:r>
    </w:p>
    <w:p w14:paraId="360E0886" w14:textId="5369CC41" w:rsidR="00F64776" w:rsidRDefault="00F64776" w:rsidP="00F64776">
      <w:pPr>
        <w:pStyle w:val="TextoNormalCentrado"/>
      </w:pPr>
    </w:p>
    <w:p w14:paraId="248D6C1A" w14:textId="6078F5D0" w:rsidR="00F64776" w:rsidRDefault="00F64776" w:rsidP="00F64776">
      <w:pPr>
        <w:pStyle w:val="TextoNormal"/>
      </w:pPr>
      <w:r>
        <w:t>Estimar justificada la abstención formulada por el magistrado señor don César Tolosa Tribiño en el recurso de amparo núm. 7422-2022 y apartarle definitivamente del conocimiento del referido recurso y de todas sus incidencias.</w:t>
      </w:r>
    </w:p>
    <w:p w14:paraId="5CB98C2C" w14:textId="77777777" w:rsidR="00F64776" w:rsidRDefault="00F64776" w:rsidP="00F64776">
      <w:pPr>
        <w:pStyle w:val="TextoNormal"/>
      </w:pPr>
    </w:p>
    <w:p w14:paraId="03D1171A" w14:textId="77777777" w:rsidR="00F64776" w:rsidRDefault="00F64776" w:rsidP="00F64776">
      <w:pPr>
        <w:pStyle w:val="TextoNormal"/>
      </w:pPr>
      <w:r>
        <w:t>Madrid, a veintitrés de octubre de dos mil veintitrés.</w:t>
      </w:r>
    </w:p>
    <w:p w14:paraId="6F09DE17" w14:textId="689A109D" w:rsidR="00F64776" w:rsidRDefault="00F64776">
      <w:pPr>
        <w:spacing w:after="160" w:line="278" w:lineRule="auto"/>
        <w:rPr>
          <w:rFonts w:ascii="Times New Roman" w:eastAsia="Times New Roman" w:hAnsi="Times New Roman" w:cs="Times New Roman"/>
          <w:sz w:val="24"/>
          <w:szCs w:val="24"/>
          <w:lang w:eastAsia="es-ES"/>
        </w:rPr>
      </w:pPr>
      <w:r>
        <w:br w:type="page"/>
      </w:r>
    </w:p>
    <w:p w14:paraId="46E9A2CA" w14:textId="77777777" w:rsidR="00F64776" w:rsidRDefault="00F64776" w:rsidP="00F64776">
      <w:pPr>
        <w:pStyle w:val="TtuloResolucin"/>
      </w:pPr>
      <w:bookmarkStart w:id="253" w:name="AUTO_2023_468"/>
      <w:r>
        <w:t>AUTO 468/2023, de 23 de octubre de 2023</w:t>
      </w:r>
    </w:p>
    <w:bookmarkEnd w:id="253"/>
    <w:p w14:paraId="113F7872" w14:textId="77777777" w:rsidR="00F64776" w:rsidRDefault="00F64776" w:rsidP="00F64776">
      <w:pPr>
        <w:pStyle w:val="TtuloResolucin"/>
      </w:pPr>
      <w:r>
        <w:t>Sección Tercera</w:t>
      </w:r>
    </w:p>
    <w:p w14:paraId="2CED3A65" w14:textId="77777777" w:rsidR="00F64776" w:rsidRDefault="00F64776" w:rsidP="00F64776">
      <w:pPr>
        <w:pStyle w:val="TextoNormalCentrado"/>
      </w:pPr>
      <w:r>
        <w:t>ECLI:ES:TC:2023:468A</w:t>
      </w:r>
    </w:p>
    <w:p w14:paraId="4FB075E7" w14:textId="3FA80C50" w:rsidR="00F64776" w:rsidRDefault="00F64776" w:rsidP="00F64776">
      <w:pPr>
        <w:pStyle w:val="TextoNormalCentrado"/>
      </w:pPr>
    </w:p>
    <w:p w14:paraId="6276C040" w14:textId="77777777" w:rsidR="00F64776" w:rsidRDefault="00F64776" w:rsidP="00F64776">
      <w:pPr>
        <w:pStyle w:val="SntesisDescriptiva"/>
      </w:pPr>
      <w:r>
        <w:t>Excms. Srs. doña Inmaculada Montalbán Huertas y doña Laura Díez Bueso.</w:t>
      </w:r>
    </w:p>
    <w:p w14:paraId="4CA9EF30" w14:textId="2E49DB81" w:rsidR="00F64776" w:rsidRDefault="00F64776" w:rsidP="00F64776">
      <w:pPr>
        <w:pStyle w:val="SntesisDescriptiva"/>
      </w:pPr>
    </w:p>
    <w:p w14:paraId="369AC9EE" w14:textId="77777777" w:rsidR="00F64776" w:rsidRDefault="00F64776" w:rsidP="00F64776">
      <w:pPr>
        <w:pStyle w:val="SntesisDescriptiva"/>
      </w:pPr>
      <w:r>
        <w:t>Acepta una abstención en el recurso de amparo 7432-2022, promovido en proceso contencioso-administrativo.</w:t>
      </w:r>
    </w:p>
    <w:p w14:paraId="1B7540B3" w14:textId="7C3FCCA5" w:rsidR="00F64776" w:rsidRDefault="00F64776" w:rsidP="00F64776">
      <w:pPr>
        <w:pStyle w:val="SntesisDescriptiva"/>
      </w:pPr>
    </w:p>
    <w:p w14:paraId="4D4594BF" w14:textId="77777777" w:rsidR="00F64776" w:rsidRDefault="00F64776" w:rsidP="00F64776">
      <w:pPr>
        <w:pStyle w:val="SntesisDescriptiva"/>
      </w:pPr>
    </w:p>
    <w:p w14:paraId="17A2A481" w14:textId="77777777" w:rsidR="00F64776" w:rsidRDefault="00F64776" w:rsidP="00F64776">
      <w:pPr>
        <w:pStyle w:val="SntesisDescriptiva"/>
      </w:pPr>
    </w:p>
    <w:p w14:paraId="2C9AE7E6" w14:textId="77777777" w:rsidR="00F64776" w:rsidRDefault="00F64776" w:rsidP="00F64776">
      <w:pPr>
        <w:pStyle w:val="TextoNormalNegritaCentrado"/>
      </w:pPr>
      <w:r>
        <w:t>AUTO</w:t>
      </w:r>
    </w:p>
    <w:p w14:paraId="04D4ECBF" w14:textId="778B0DBC" w:rsidR="00F64776" w:rsidRDefault="00F64776" w:rsidP="00F64776">
      <w:pPr>
        <w:pStyle w:val="TextoNormalNegritaCentrado"/>
      </w:pPr>
    </w:p>
    <w:p w14:paraId="47E9B998" w14:textId="77777777" w:rsidR="00F64776" w:rsidRDefault="00F64776" w:rsidP="00F64776">
      <w:pPr>
        <w:pStyle w:val="TextoNormalNegritaCentrado"/>
        <w:keepNext/>
      </w:pPr>
      <w:r>
        <w:t>I. Antecedentes</w:t>
      </w:r>
    </w:p>
    <w:p w14:paraId="24876836" w14:textId="79B5A0E0" w:rsidR="00F64776" w:rsidRDefault="00F64776" w:rsidP="00F64776">
      <w:pPr>
        <w:pStyle w:val="TextoNormalNegritaCentrado"/>
        <w:keepNext/>
      </w:pPr>
    </w:p>
    <w:p w14:paraId="04E93929" w14:textId="4CE31672" w:rsidR="00F64776" w:rsidRDefault="00F64776" w:rsidP="00F64776">
      <w:pPr>
        <w:pStyle w:val="TextoNormal"/>
      </w:pPr>
      <w:r w:rsidRPr="00F64776">
        <w:rPr>
          <w:rStyle w:val="NumeroAFNegritaCaracter"/>
        </w:rPr>
        <w:t>1</w:t>
      </w:r>
      <w:r>
        <w:t>. . Mediante escrito registrado en este tribunal el 14 de noviembre de 2022 el procurador de los tribunales don José María Ruiz de la Cuesta Vacas, en nombre y representación de doña Beatriz Rojano Martín y bajo la dirección del letrado don Francisco Javier Araúz de Robles Dávila, presentó demanda de amparo contra providencias de la Sala Contencioso-Administrativo del Tribunal Supremo en recurso de casación núm. 350-2022.</w:t>
      </w:r>
    </w:p>
    <w:p w14:paraId="540C5588" w14:textId="77777777" w:rsidR="00F64776" w:rsidRDefault="00F64776" w:rsidP="00F64776">
      <w:pPr>
        <w:pStyle w:val="TextoNormal"/>
      </w:pPr>
    </w:p>
    <w:p w14:paraId="69AABF6D" w14:textId="5331886D" w:rsidR="00F64776" w:rsidRDefault="00F64776" w:rsidP="00F64776">
      <w:pPr>
        <w:pStyle w:val="TextoNormal"/>
      </w:pPr>
      <w:r w:rsidRPr="00F64776">
        <w:rPr>
          <w:rStyle w:val="NumeroAFNegritaCaracter"/>
        </w:rPr>
        <w:t>2</w:t>
      </w:r>
      <w:r>
        <w:t>. Por escrito de 1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23C14396" w14:textId="77777777" w:rsidR="00F64776" w:rsidRDefault="00F64776" w:rsidP="00F64776">
      <w:pPr>
        <w:pStyle w:val="TextoNormal"/>
      </w:pPr>
    </w:p>
    <w:p w14:paraId="7EBCA80E" w14:textId="77777777" w:rsidR="00F64776" w:rsidRDefault="00F64776" w:rsidP="00F64776">
      <w:pPr>
        <w:pStyle w:val="TextoNormalNegritaCentrado"/>
        <w:keepNext/>
      </w:pPr>
      <w:r>
        <w:t>II. Fundamentos jurídicos</w:t>
      </w:r>
    </w:p>
    <w:p w14:paraId="727C3A7B" w14:textId="22DC768C" w:rsidR="00F64776" w:rsidRDefault="00F64776" w:rsidP="00F64776">
      <w:pPr>
        <w:pStyle w:val="TextoNormalNegritaCentrado"/>
        <w:keepNext/>
      </w:pPr>
    </w:p>
    <w:p w14:paraId="4EF0C170" w14:textId="12EE55CC"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2331B7B5" w14:textId="77777777" w:rsidR="00F64776" w:rsidRDefault="00F64776" w:rsidP="00F64776">
      <w:pPr>
        <w:pStyle w:val="TextoNormal"/>
      </w:pPr>
    </w:p>
    <w:p w14:paraId="3466CD18" w14:textId="77777777" w:rsidR="00F64776" w:rsidRDefault="00F64776" w:rsidP="00F64776">
      <w:pPr>
        <w:pStyle w:val="TextoNormal"/>
      </w:pPr>
      <w:r>
        <w:t>Por lo expuesto, la Sección</w:t>
      </w:r>
    </w:p>
    <w:p w14:paraId="46752062" w14:textId="1668252C" w:rsidR="00F64776" w:rsidRDefault="00F64776" w:rsidP="00F64776">
      <w:pPr>
        <w:pStyle w:val="TextoNormal"/>
      </w:pPr>
    </w:p>
    <w:p w14:paraId="7047F20E" w14:textId="77777777" w:rsidR="00F64776" w:rsidRDefault="00F64776" w:rsidP="00F64776">
      <w:pPr>
        <w:pStyle w:val="TextoNormalCentrado"/>
      </w:pPr>
      <w:r>
        <w:t>ACUERDA</w:t>
      </w:r>
    </w:p>
    <w:p w14:paraId="574268F3" w14:textId="29C11B7A" w:rsidR="00F64776" w:rsidRDefault="00F64776" w:rsidP="00F64776">
      <w:pPr>
        <w:pStyle w:val="TextoNormalCentrado"/>
      </w:pPr>
    </w:p>
    <w:p w14:paraId="7ACE9C61" w14:textId="635222BF" w:rsidR="00F64776" w:rsidRDefault="00F64776" w:rsidP="00F64776">
      <w:pPr>
        <w:pStyle w:val="TextoNormal"/>
      </w:pPr>
      <w:r>
        <w:t>Estimar justificada la abstención formulada por el magistrado señor don César Tolosa Tribiño en el recurso de amparo núm. 7432-2022 y apartarle definitivamente del conocimiento del referido recurso y de todas sus incidencias.</w:t>
      </w:r>
    </w:p>
    <w:p w14:paraId="1D852BD0" w14:textId="77777777" w:rsidR="00F64776" w:rsidRDefault="00F64776" w:rsidP="00F64776">
      <w:pPr>
        <w:pStyle w:val="TextoNormal"/>
      </w:pPr>
    </w:p>
    <w:p w14:paraId="2974EB33" w14:textId="77777777" w:rsidR="00F64776" w:rsidRDefault="00F64776" w:rsidP="00F64776">
      <w:pPr>
        <w:pStyle w:val="TextoNormal"/>
      </w:pPr>
      <w:r>
        <w:t>Madrid, a veintitrés de octubre de dos mil veintitrés.</w:t>
      </w:r>
    </w:p>
    <w:p w14:paraId="2C1C9865" w14:textId="600F2F22" w:rsidR="00F64776" w:rsidRDefault="00F64776">
      <w:pPr>
        <w:spacing w:after="160" w:line="278" w:lineRule="auto"/>
        <w:rPr>
          <w:rFonts w:ascii="Times New Roman" w:eastAsia="Times New Roman" w:hAnsi="Times New Roman" w:cs="Times New Roman"/>
          <w:sz w:val="24"/>
          <w:szCs w:val="24"/>
          <w:lang w:eastAsia="es-ES"/>
        </w:rPr>
      </w:pPr>
      <w:r>
        <w:br w:type="page"/>
      </w:r>
    </w:p>
    <w:p w14:paraId="5624F3A8" w14:textId="77777777" w:rsidR="00F64776" w:rsidRDefault="00F64776" w:rsidP="00F64776">
      <w:pPr>
        <w:pStyle w:val="TtuloResolucin"/>
      </w:pPr>
      <w:bookmarkStart w:id="254" w:name="AUTO_2023_469"/>
      <w:r>
        <w:t>AUTO 469/2023, de 23 de octubre de 2023</w:t>
      </w:r>
    </w:p>
    <w:bookmarkEnd w:id="254"/>
    <w:p w14:paraId="5BFCD219" w14:textId="77777777" w:rsidR="00F64776" w:rsidRDefault="00F64776" w:rsidP="00F64776">
      <w:pPr>
        <w:pStyle w:val="TtuloResolucin"/>
      </w:pPr>
      <w:r>
        <w:t>Sección Tercera</w:t>
      </w:r>
    </w:p>
    <w:p w14:paraId="278A243E" w14:textId="77777777" w:rsidR="00F64776" w:rsidRDefault="00F64776" w:rsidP="00F64776">
      <w:pPr>
        <w:pStyle w:val="TextoNormalCentrado"/>
      </w:pPr>
      <w:r>
        <w:t>ECLI:ES:TC:2023:469A</w:t>
      </w:r>
    </w:p>
    <w:p w14:paraId="76C238D9" w14:textId="140BE62E" w:rsidR="00F64776" w:rsidRDefault="00F64776" w:rsidP="00F64776">
      <w:pPr>
        <w:pStyle w:val="TextoNormalCentrado"/>
      </w:pPr>
    </w:p>
    <w:p w14:paraId="617E4EDC" w14:textId="77777777" w:rsidR="00F64776" w:rsidRDefault="00F64776" w:rsidP="00F64776">
      <w:pPr>
        <w:pStyle w:val="SntesisDescriptiva"/>
      </w:pPr>
      <w:r>
        <w:t>Excms. Srs. doña Inmaculada Montalbán Huertas y doña Laura Díez Bueso.</w:t>
      </w:r>
    </w:p>
    <w:p w14:paraId="2F27CC2A" w14:textId="24D02DEB" w:rsidR="00F64776" w:rsidRDefault="00F64776" w:rsidP="00F64776">
      <w:pPr>
        <w:pStyle w:val="SntesisDescriptiva"/>
      </w:pPr>
    </w:p>
    <w:p w14:paraId="20EF4F25" w14:textId="77777777" w:rsidR="00F64776" w:rsidRDefault="00F64776" w:rsidP="00F64776">
      <w:pPr>
        <w:pStyle w:val="SntesisDescriptiva"/>
      </w:pPr>
      <w:r>
        <w:t>Acepta una abstención en el recurso de amparo 7509-2022, promovido por Acciona Saltos de Agua, S.L., en proceso contencioso-administrativo</w:t>
      </w:r>
    </w:p>
    <w:p w14:paraId="13B1AD1A" w14:textId="224A8C26" w:rsidR="00F64776" w:rsidRDefault="00F64776" w:rsidP="00F64776">
      <w:pPr>
        <w:pStyle w:val="SntesisDescriptiva"/>
      </w:pPr>
    </w:p>
    <w:p w14:paraId="227B7C2E" w14:textId="77777777" w:rsidR="00F64776" w:rsidRDefault="00F64776" w:rsidP="00F64776">
      <w:pPr>
        <w:pStyle w:val="SntesisDescriptiva"/>
      </w:pPr>
    </w:p>
    <w:p w14:paraId="1E2835BF" w14:textId="77777777" w:rsidR="00F64776" w:rsidRDefault="00F64776" w:rsidP="00F64776">
      <w:pPr>
        <w:pStyle w:val="SntesisDescriptiva"/>
      </w:pPr>
    </w:p>
    <w:p w14:paraId="0897BB82" w14:textId="77777777" w:rsidR="00F64776" w:rsidRDefault="00F64776" w:rsidP="00F64776">
      <w:pPr>
        <w:pStyle w:val="TextoNormalNegritaCentrado"/>
      </w:pPr>
      <w:r>
        <w:t>AUTO</w:t>
      </w:r>
    </w:p>
    <w:p w14:paraId="08C1A34F" w14:textId="07A2B8C9" w:rsidR="00F64776" w:rsidRDefault="00F64776" w:rsidP="00F64776">
      <w:pPr>
        <w:pStyle w:val="TextoNormalNegritaCentrado"/>
      </w:pPr>
    </w:p>
    <w:p w14:paraId="288B41B7" w14:textId="77777777" w:rsidR="00F64776" w:rsidRDefault="00F64776" w:rsidP="00F64776">
      <w:pPr>
        <w:pStyle w:val="TextoNormalNegritaCentrado"/>
        <w:keepNext/>
      </w:pPr>
      <w:r>
        <w:t>I. Antecedentes</w:t>
      </w:r>
    </w:p>
    <w:p w14:paraId="01BE9226" w14:textId="06F96458" w:rsidR="00F64776" w:rsidRDefault="00F64776" w:rsidP="00F64776">
      <w:pPr>
        <w:pStyle w:val="TextoNormalNegritaCentrado"/>
        <w:keepNext/>
      </w:pPr>
    </w:p>
    <w:p w14:paraId="52822F48" w14:textId="6C6EF497" w:rsidR="00F64776" w:rsidRDefault="00F64776" w:rsidP="00F64776">
      <w:pPr>
        <w:pStyle w:val="TextoNormal"/>
      </w:pPr>
      <w:r w:rsidRPr="00F64776">
        <w:rPr>
          <w:rStyle w:val="NumeroAFNegritaCaracter"/>
        </w:rPr>
        <w:t>1</w:t>
      </w:r>
      <w:r>
        <w:t>. Mediante escrito registrado en este tribunal el 16 de noviembre de 2022 la procuradora de los tribunales doña Gloria Messa Teichman, en nombre y representación de la entidad Acciona Saltos de Agua, S.L., y bajo la dirección del letrado don Andrés Prieto Tenorio, formuló demanda de amparo contra la providencia de 3 de octubre de 2022 de la Sección Primera de la Sala de lo Contencioso-Administrativo del Tribunal Supremo en recurso de casación 273-2022.</w:t>
      </w:r>
    </w:p>
    <w:p w14:paraId="55F7F282" w14:textId="77777777" w:rsidR="00F64776" w:rsidRDefault="00F64776" w:rsidP="00F64776">
      <w:pPr>
        <w:pStyle w:val="TextoNormal"/>
      </w:pPr>
    </w:p>
    <w:p w14:paraId="603024E9" w14:textId="4A8C5A48" w:rsidR="00F64776" w:rsidRDefault="00F64776" w:rsidP="00F64776">
      <w:pPr>
        <w:pStyle w:val="TextoNormal"/>
      </w:pPr>
      <w:r w:rsidRPr="00F64776">
        <w:rPr>
          <w:rStyle w:val="NumeroAFNegritaCaracter"/>
        </w:rPr>
        <w:t>2</w:t>
      </w:r>
      <w:r>
        <w:t>. . Por escrito de 22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3F752245" w14:textId="77777777" w:rsidR="00F64776" w:rsidRDefault="00F64776" w:rsidP="00F64776">
      <w:pPr>
        <w:pStyle w:val="TextoNormal"/>
      </w:pPr>
    </w:p>
    <w:p w14:paraId="02BC6524" w14:textId="77777777" w:rsidR="00F64776" w:rsidRDefault="00F64776" w:rsidP="00F64776">
      <w:pPr>
        <w:pStyle w:val="TextoNormalNegritaCentrado"/>
        <w:keepNext/>
      </w:pPr>
      <w:r>
        <w:t>II. Fundamentos jurídicos</w:t>
      </w:r>
    </w:p>
    <w:p w14:paraId="0D32AA73" w14:textId="6BC1BEAA" w:rsidR="00F64776" w:rsidRDefault="00F64776" w:rsidP="00F64776">
      <w:pPr>
        <w:pStyle w:val="TextoNormalNegritaCentrado"/>
        <w:keepNext/>
      </w:pPr>
    </w:p>
    <w:p w14:paraId="7F465AEE" w14:textId="38EA0113"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767015CE" w14:textId="77777777" w:rsidR="00F64776" w:rsidRDefault="00F64776" w:rsidP="00F64776">
      <w:pPr>
        <w:pStyle w:val="TextoNormal"/>
      </w:pPr>
    </w:p>
    <w:p w14:paraId="7EE0D4F9" w14:textId="77777777" w:rsidR="00F64776" w:rsidRDefault="00F64776" w:rsidP="00F64776">
      <w:pPr>
        <w:pStyle w:val="TextoNormal"/>
      </w:pPr>
      <w:r>
        <w:t>Por lo expuesto, la Sección</w:t>
      </w:r>
    </w:p>
    <w:p w14:paraId="625B16D4" w14:textId="5B87AC10" w:rsidR="00F64776" w:rsidRDefault="00F64776" w:rsidP="00F64776">
      <w:pPr>
        <w:pStyle w:val="TextoNormal"/>
      </w:pPr>
    </w:p>
    <w:p w14:paraId="3B65BFC3" w14:textId="77777777" w:rsidR="00F64776" w:rsidRDefault="00F64776" w:rsidP="00F64776">
      <w:pPr>
        <w:pStyle w:val="TextoNormalCentrado"/>
      </w:pPr>
      <w:r>
        <w:t>ACUERDA</w:t>
      </w:r>
    </w:p>
    <w:p w14:paraId="520A0DC2" w14:textId="66BEA8FC" w:rsidR="00F64776" w:rsidRDefault="00F64776" w:rsidP="00F64776">
      <w:pPr>
        <w:pStyle w:val="TextoNormalCentrado"/>
      </w:pPr>
    </w:p>
    <w:p w14:paraId="46E34B69" w14:textId="18D0C4BA" w:rsidR="00F64776" w:rsidRDefault="00F64776" w:rsidP="00F64776">
      <w:pPr>
        <w:pStyle w:val="TextoNormal"/>
      </w:pPr>
      <w:r>
        <w:t>Estimar justificada la abstención formulada por el magistrado señor don César Tolosa Tribiño en el recurso de amparo núm. 7509-2022 y apartarle definitivamente del conocimiento del referido recurso y de todas sus incidencias.</w:t>
      </w:r>
    </w:p>
    <w:p w14:paraId="595E1075" w14:textId="77777777" w:rsidR="00F64776" w:rsidRDefault="00F64776" w:rsidP="00F64776">
      <w:pPr>
        <w:pStyle w:val="TextoNormal"/>
      </w:pPr>
    </w:p>
    <w:p w14:paraId="6799B356" w14:textId="77777777" w:rsidR="00F64776" w:rsidRDefault="00F64776" w:rsidP="00F64776">
      <w:pPr>
        <w:pStyle w:val="TextoNormal"/>
      </w:pPr>
      <w:r>
        <w:t>Madrid, a veintitrés de octubre de dos mil veintitrés.</w:t>
      </w:r>
    </w:p>
    <w:p w14:paraId="25F28CC8" w14:textId="650FA08F" w:rsidR="00F64776" w:rsidRDefault="00F64776">
      <w:pPr>
        <w:spacing w:after="160" w:line="278" w:lineRule="auto"/>
        <w:rPr>
          <w:rFonts w:ascii="Times New Roman" w:eastAsia="Times New Roman" w:hAnsi="Times New Roman" w:cs="Times New Roman"/>
          <w:sz w:val="24"/>
          <w:szCs w:val="24"/>
          <w:lang w:eastAsia="es-ES"/>
        </w:rPr>
      </w:pPr>
      <w:r>
        <w:br w:type="page"/>
      </w:r>
    </w:p>
    <w:p w14:paraId="7109965D" w14:textId="77777777" w:rsidR="00F64776" w:rsidRDefault="00F64776" w:rsidP="00F64776">
      <w:pPr>
        <w:pStyle w:val="TtuloResolucin"/>
      </w:pPr>
      <w:bookmarkStart w:id="255" w:name="AUTO_2023_470"/>
      <w:r>
        <w:t>AUTO 470/2023, de 23 de octubre de 2023</w:t>
      </w:r>
    </w:p>
    <w:bookmarkEnd w:id="255"/>
    <w:p w14:paraId="76757504" w14:textId="77777777" w:rsidR="00F64776" w:rsidRDefault="00F64776" w:rsidP="00F64776">
      <w:pPr>
        <w:pStyle w:val="TtuloResolucin"/>
      </w:pPr>
      <w:r>
        <w:t>Sección Tercera</w:t>
      </w:r>
    </w:p>
    <w:p w14:paraId="16BE87C8" w14:textId="77777777" w:rsidR="00F64776" w:rsidRDefault="00F64776" w:rsidP="00F64776">
      <w:pPr>
        <w:pStyle w:val="TextoNormalCentrado"/>
      </w:pPr>
      <w:r>
        <w:t>ECLI:ES:TC:2023:470A</w:t>
      </w:r>
    </w:p>
    <w:p w14:paraId="750537C7" w14:textId="6439C16E" w:rsidR="00F64776" w:rsidRDefault="00F64776" w:rsidP="00F64776">
      <w:pPr>
        <w:pStyle w:val="TextoNormalCentrado"/>
      </w:pPr>
    </w:p>
    <w:p w14:paraId="40E5F983" w14:textId="77777777" w:rsidR="00F64776" w:rsidRDefault="00F64776" w:rsidP="00F64776">
      <w:pPr>
        <w:pStyle w:val="SntesisDescriptiva"/>
      </w:pPr>
      <w:r>
        <w:t>Excms. Srs. doña Inmaculada Montalbán Huertas y doña Laura Díez Bueso.</w:t>
      </w:r>
    </w:p>
    <w:p w14:paraId="0A0C1262" w14:textId="0C29F699" w:rsidR="00F64776" w:rsidRDefault="00F64776" w:rsidP="00F64776">
      <w:pPr>
        <w:pStyle w:val="SntesisDescriptiva"/>
      </w:pPr>
    </w:p>
    <w:p w14:paraId="44509548" w14:textId="77777777" w:rsidR="00F64776" w:rsidRDefault="00F64776" w:rsidP="00F64776">
      <w:pPr>
        <w:pStyle w:val="SntesisDescriptiva"/>
      </w:pPr>
      <w:r>
        <w:t>Acepta una abstención en el recurso de amparo 7512-2022, promovido por la entidad Acciona Saltos de Agua, S.L., en proceso contencioso-administrativo.</w:t>
      </w:r>
    </w:p>
    <w:p w14:paraId="0C9A51A4" w14:textId="173AC2D1" w:rsidR="00F64776" w:rsidRDefault="00F64776" w:rsidP="00F64776">
      <w:pPr>
        <w:pStyle w:val="SntesisDescriptiva"/>
      </w:pPr>
    </w:p>
    <w:p w14:paraId="404167D2" w14:textId="77777777" w:rsidR="00F64776" w:rsidRDefault="00F64776" w:rsidP="00F64776">
      <w:pPr>
        <w:pStyle w:val="SntesisDescriptiva"/>
      </w:pPr>
    </w:p>
    <w:p w14:paraId="21246A89" w14:textId="77777777" w:rsidR="00F64776" w:rsidRDefault="00F64776" w:rsidP="00F64776">
      <w:pPr>
        <w:pStyle w:val="SntesisDescriptiva"/>
      </w:pPr>
    </w:p>
    <w:p w14:paraId="474FD6E0" w14:textId="77777777" w:rsidR="00F64776" w:rsidRDefault="00F64776" w:rsidP="00F64776">
      <w:pPr>
        <w:pStyle w:val="TextoNormalNegritaCentrado"/>
      </w:pPr>
      <w:r>
        <w:t>AUTO</w:t>
      </w:r>
    </w:p>
    <w:p w14:paraId="5DEEE92B" w14:textId="3173ECCA" w:rsidR="00F64776" w:rsidRDefault="00F64776" w:rsidP="00F64776">
      <w:pPr>
        <w:pStyle w:val="TextoNormalNegritaCentrado"/>
      </w:pPr>
    </w:p>
    <w:p w14:paraId="4F340BA2" w14:textId="77777777" w:rsidR="00F64776" w:rsidRDefault="00F64776" w:rsidP="00F64776">
      <w:pPr>
        <w:pStyle w:val="TextoNormalNegritaCentrado"/>
        <w:keepNext/>
      </w:pPr>
      <w:r>
        <w:t>I. Antecedentes</w:t>
      </w:r>
    </w:p>
    <w:p w14:paraId="54E96BFB" w14:textId="19E05BF2" w:rsidR="00F64776" w:rsidRDefault="00F64776" w:rsidP="00F64776">
      <w:pPr>
        <w:pStyle w:val="TextoNormalNegritaCentrado"/>
        <w:keepNext/>
      </w:pPr>
    </w:p>
    <w:p w14:paraId="66DAA62B" w14:textId="56B972D2" w:rsidR="00F64776" w:rsidRDefault="00F64776" w:rsidP="00F64776">
      <w:pPr>
        <w:pStyle w:val="TextoNormal"/>
      </w:pPr>
      <w:r w:rsidRPr="00F64776">
        <w:rPr>
          <w:rStyle w:val="NumeroAFNegritaCaracter"/>
        </w:rPr>
        <w:t>1</w:t>
      </w:r>
      <w:r>
        <w:t>. Mediante escrito registrado en este tribunal el 16 de noviembre de 2022 la procuradora de los tribunales doña Gloria Messa Teichman, en nombre y representación de la entidad Acciona Saltos de Agua, S.L., y bajo la dirección del letrado don Andrés Prieto Tenorio, presentó demanda de amparo contra providencias de la Sección Primera Sala de lo Contencioso-Administrativo del Tribunal Supremo en recurso de casación 266-2022.</w:t>
      </w:r>
    </w:p>
    <w:p w14:paraId="2154DF09" w14:textId="77777777" w:rsidR="00F64776" w:rsidRDefault="00F64776" w:rsidP="00F64776">
      <w:pPr>
        <w:pStyle w:val="TextoNormal"/>
      </w:pPr>
    </w:p>
    <w:p w14:paraId="3DC17C7C" w14:textId="7A10A060" w:rsidR="00F64776" w:rsidRDefault="00F64776" w:rsidP="00F64776">
      <w:pPr>
        <w:pStyle w:val="TextoNormal"/>
      </w:pPr>
      <w:r w:rsidRPr="00F64776">
        <w:rPr>
          <w:rStyle w:val="NumeroAFNegritaCaracter"/>
        </w:rPr>
        <w:t>2</w:t>
      </w:r>
      <w:r>
        <w:t>. Por escrito de 22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de lo Contencioso-Administrativo de la Sala Tercera del Tribunal Supremo que dictó la resolución impugnada.</w:t>
      </w:r>
    </w:p>
    <w:p w14:paraId="7F41C645" w14:textId="77777777" w:rsidR="00F64776" w:rsidRDefault="00F64776" w:rsidP="00F64776">
      <w:pPr>
        <w:pStyle w:val="TextoNormal"/>
      </w:pPr>
    </w:p>
    <w:p w14:paraId="566B67E0" w14:textId="77777777" w:rsidR="00F64776" w:rsidRDefault="00F64776" w:rsidP="00F64776">
      <w:pPr>
        <w:pStyle w:val="TextoNormalNegritaCentrado"/>
        <w:keepNext/>
      </w:pPr>
      <w:r>
        <w:t>II. Fundamentos jurídicos</w:t>
      </w:r>
    </w:p>
    <w:p w14:paraId="1F146562" w14:textId="6C821BA5" w:rsidR="00F64776" w:rsidRDefault="00F64776" w:rsidP="00F64776">
      <w:pPr>
        <w:pStyle w:val="TextoNormalNegritaCentrado"/>
        <w:keepNext/>
      </w:pPr>
    </w:p>
    <w:p w14:paraId="25C9B104" w14:textId="0EFC1B98"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46FDE132" w14:textId="77777777" w:rsidR="00F64776" w:rsidRDefault="00F64776" w:rsidP="00F64776">
      <w:pPr>
        <w:pStyle w:val="TextoNormal"/>
      </w:pPr>
    </w:p>
    <w:p w14:paraId="25E78694" w14:textId="77777777" w:rsidR="00F64776" w:rsidRDefault="00F64776" w:rsidP="00F64776">
      <w:pPr>
        <w:pStyle w:val="TextoNormal"/>
      </w:pPr>
      <w:r>
        <w:t>Por lo expuesto, la Sección</w:t>
      </w:r>
    </w:p>
    <w:p w14:paraId="7FD73158" w14:textId="7D8D0436" w:rsidR="00F64776" w:rsidRDefault="00F64776" w:rsidP="00F64776">
      <w:pPr>
        <w:pStyle w:val="TextoNormal"/>
      </w:pPr>
    </w:p>
    <w:p w14:paraId="1DDE07DA" w14:textId="77777777" w:rsidR="00F64776" w:rsidRDefault="00F64776" w:rsidP="00F64776">
      <w:pPr>
        <w:pStyle w:val="TextoNormalCentrado"/>
      </w:pPr>
      <w:r>
        <w:t>ACUERDA</w:t>
      </w:r>
    </w:p>
    <w:p w14:paraId="02305F85" w14:textId="14CD2A57" w:rsidR="00F64776" w:rsidRDefault="00F64776" w:rsidP="00F64776">
      <w:pPr>
        <w:pStyle w:val="TextoNormalCentrado"/>
      </w:pPr>
    </w:p>
    <w:p w14:paraId="35599E44" w14:textId="4A1961C8" w:rsidR="00F64776" w:rsidRDefault="00F64776" w:rsidP="00F64776">
      <w:pPr>
        <w:pStyle w:val="TextoNormal"/>
      </w:pPr>
      <w:r>
        <w:t>Estimar justificada la abstención formulada por el magistrado señor don César Tolosa Tribiño en el recurso de amparo núm. 7512-2022 y apartarle definitivamente del conocimiento del referido recurso y de todas sus incidencias.</w:t>
      </w:r>
    </w:p>
    <w:p w14:paraId="1E6A0C8D" w14:textId="77777777" w:rsidR="00F64776" w:rsidRDefault="00F64776" w:rsidP="00F64776">
      <w:pPr>
        <w:pStyle w:val="TextoNormal"/>
      </w:pPr>
    </w:p>
    <w:p w14:paraId="18FF1765" w14:textId="77777777" w:rsidR="00F64776" w:rsidRDefault="00F64776" w:rsidP="00F64776">
      <w:pPr>
        <w:pStyle w:val="TextoNormal"/>
      </w:pPr>
      <w:r>
        <w:t>Madrid, a veintitrés de octubre de dos mil veintitrés.</w:t>
      </w:r>
    </w:p>
    <w:p w14:paraId="34D5FDAC" w14:textId="107176E5" w:rsidR="00F64776" w:rsidRDefault="00F64776">
      <w:pPr>
        <w:spacing w:after="160" w:line="278" w:lineRule="auto"/>
        <w:rPr>
          <w:rFonts w:ascii="Times New Roman" w:eastAsia="Times New Roman" w:hAnsi="Times New Roman" w:cs="Times New Roman"/>
          <w:sz w:val="24"/>
          <w:szCs w:val="24"/>
          <w:lang w:eastAsia="es-ES"/>
        </w:rPr>
      </w:pPr>
      <w:r>
        <w:br w:type="page"/>
      </w:r>
    </w:p>
    <w:p w14:paraId="43C1B06A" w14:textId="77777777" w:rsidR="00F64776" w:rsidRDefault="00F64776" w:rsidP="00F64776">
      <w:pPr>
        <w:pStyle w:val="TtuloResolucin"/>
      </w:pPr>
      <w:bookmarkStart w:id="256" w:name="AUTO_2023_471"/>
      <w:r>
        <w:t>AUTO 471/2023, de 23 de octubre de 2023</w:t>
      </w:r>
    </w:p>
    <w:bookmarkEnd w:id="256"/>
    <w:p w14:paraId="16B49A60" w14:textId="77777777" w:rsidR="00F64776" w:rsidRDefault="00F64776" w:rsidP="00F64776">
      <w:pPr>
        <w:pStyle w:val="TtuloResolucin"/>
      </w:pPr>
      <w:r>
        <w:t>Sección Tercera</w:t>
      </w:r>
    </w:p>
    <w:p w14:paraId="660F2A00" w14:textId="77777777" w:rsidR="00F64776" w:rsidRDefault="00F64776" w:rsidP="00F64776">
      <w:pPr>
        <w:pStyle w:val="TextoNormalCentrado"/>
      </w:pPr>
      <w:r>
        <w:t>ECLI:ES:TC:2023:471A</w:t>
      </w:r>
    </w:p>
    <w:p w14:paraId="08133D9D" w14:textId="652F63A9" w:rsidR="00F64776" w:rsidRDefault="00F64776" w:rsidP="00F64776">
      <w:pPr>
        <w:pStyle w:val="TextoNormalCentrado"/>
      </w:pPr>
    </w:p>
    <w:p w14:paraId="1FC0BE68" w14:textId="77777777" w:rsidR="00F64776" w:rsidRDefault="00F64776" w:rsidP="00F64776">
      <w:pPr>
        <w:pStyle w:val="SntesisDescriptiva"/>
      </w:pPr>
      <w:r>
        <w:t>Excms. Srs. doña Inmaculada Montalbán Huertas y doña Laura Díez Bueso.</w:t>
      </w:r>
    </w:p>
    <w:p w14:paraId="4E2B8ED6" w14:textId="78138420" w:rsidR="00F64776" w:rsidRDefault="00F64776" w:rsidP="00F64776">
      <w:pPr>
        <w:pStyle w:val="SntesisDescriptiva"/>
      </w:pPr>
    </w:p>
    <w:p w14:paraId="581BC103" w14:textId="77777777" w:rsidR="00F64776" w:rsidRDefault="00F64776" w:rsidP="00F64776">
      <w:pPr>
        <w:pStyle w:val="SntesisDescriptiva"/>
      </w:pPr>
      <w:r>
        <w:t>Acepta una abstención en el recurso de amparo 121-2023, promovido en proceso contencioso-administrativo.</w:t>
      </w:r>
    </w:p>
    <w:p w14:paraId="606F3AC3" w14:textId="262E450D" w:rsidR="00F64776" w:rsidRDefault="00F64776" w:rsidP="00F64776">
      <w:pPr>
        <w:pStyle w:val="SntesisDescriptiva"/>
      </w:pPr>
    </w:p>
    <w:p w14:paraId="15ED3A99" w14:textId="77777777" w:rsidR="00F64776" w:rsidRDefault="00F64776" w:rsidP="00F64776">
      <w:pPr>
        <w:pStyle w:val="SntesisDescriptiva"/>
      </w:pPr>
    </w:p>
    <w:p w14:paraId="61D899AC" w14:textId="77777777" w:rsidR="00F64776" w:rsidRDefault="00F64776" w:rsidP="00F64776">
      <w:pPr>
        <w:pStyle w:val="SntesisDescriptiva"/>
      </w:pPr>
    </w:p>
    <w:p w14:paraId="19756390" w14:textId="77777777" w:rsidR="00F64776" w:rsidRDefault="00F64776" w:rsidP="00F64776">
      <w:pPr>
        <w:pStyle w:val="TextoNormalNegritaCentrado"/>
      </w:pPr>
      <w:r>
        <w:t>AUTO</w:t>
      </w:r>
    </w:p>
    <w:p w14:paraId="0F509B04" w14:textId="2257B2DC" w:rsidR="00F64776" w:rsidRDefault="00F64776" w:rsidP="00F64776">
      <w:pPr>
        <w:pStyle w:val="TextoNormalNegritaCentrado"/>
      </w:pPr>
    </w:p>
    <w:p w14:paraId="01FB1C7A" w14:textId="77777777" w:rsidR="00F64776" w:rsidRDefault="00F64776" w:rsidP="00F64776">
      <w:pPr>
        <w:pStyle w:val="TextoNormalNegritaCentrado"/>
        <w:keepNext/>
      </w:pPr>
      <w:r>
        <w:t>I. Antecedentes</w:t>
      </w:r>
    </w:p>
    <w:p w14:paraId="72FA11B5" w14:textId="7E8651C0" w:rsidR="00F64776" w:rsidRDefault="00F64776" w:rsidP="00F64776">
      <w:pPr>
        <w:pStyle w:val="TextoNormalNegritaCentrado"/>
        <w:keepNext/>
      </w:pPr>
    </w:p>
    <w:p w14:paraId="4AAB79B4" w14:textId="601E84E4" w:rsidR="00F64776" w:rsidRDefault="00F64776" w:rsidP="00F64776">
      <w:pPr>
        <w:pStyle w:val="TextoNormal"/>
      </w:pPr>
      <w:r w:rsidRPr="00F64776">
        <w:rPr>
          <w:rStyle w:val="NumeroAFNegritaCaracter"/>
        </w:rPr>
        <w:t>1</w:t>
      </w:r>
      <w:r>
        <w:t>. Mediante escrito registrado en este tribunal el 11 de enero de 2023 la procuradora de los tribunales doña Ana María Araúz de Robles Villalón, en nombre y representación de don Ángel del Pozo Bullido y otros y bajo la dirección del letrado don Francisco Javier Araúz de Robles Dávila, formuló demanda de amparo contra providencias de la Sala de lo Contencioso-Administrativo del Tribunal Supremo en recurso de casación 8069-2021.</w:t>
      </w:r>
    </w:p>
    <w:p w14:paraId="73AC4DBA" w14:textId="77777777" w:rsidR="00F64776" w:rsidRDefault="00F64776" w:rsidP="00F64776">
      <w:pPr>
        <w:pStyle w:val="TextoNormal"/>
      </w:pPr>
    </w:p>
    <w:p w14:paraId="0264AB18" w14:textId="240149CC" w:rsidR="00F64776" w:rsidRDefault="00F64776" w:rsidP="00F64776">
      <w:pPr>
        <w:pStyle w:val="TextoNormal"/>
      </w:pPr>
      <w:r w:rsidRPr="00F64776">
        <w:rPr>
          <w:rStyle w:val="NumeroAFNegritaCaracter"/>
        </w:rPr>
        <w:t>2</w:t>
      </w:r>
      <w:r>
        <w:t>. Por escrito de 1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174B13C9" w14:textId="77777777" w:rsidR="00F64776" w:rsidRDefault="00F64776" w:rsidP="00F64776">
      <w:pPr>
        <w:pStyle w:val="TextoNormal"/>
      </w:pPr>
    </w:p>
    <w:p w14:paraId="5B66FAC9" w14:textId="77777777" w:rsidR="00F64776" w:rsidRDefault="00F64776" w:rsidP="00F64776">
      <w:pPr>
        <w:pStyle w:val="TextoNormalNegritaCentrado"/>
        <w:keepNext/>
      </w:pPr>
      <w:r>
        <w:t>II. Fundamentos jurídicos</w:t>
      </w:r>
    </w:p>
    <w:p w14:paraId="394049E5" w14:textId="725FAC6E" w:rsidR="00F64776" w:rsidRDefault="00F64776" w:rsidP="00F64776">
      <w:pPr>
        <w:pStyle w:val="TextoNormalNegritaCentrado"/>
        <w:keepNext/>
      </w:pPr>
    </w:p>
    <w:p w14:paraId="2613E14F" w14:textId="0CF82F92"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129D0B9D" w14:textId="77777777" w:rsidR="00F64776" w:rsidRDefault="00F64776" w:rsidP="00F64776">
      <w:pPr>
        <w:pStyle w:val="TextoNormal"/>
      </w:pPr>
    </w:p>
    <w:p w14:paraId="6702DD42" w14:textId="77777777" w:rsidR="00F64776" w:rsidRDefault="00F64776" w:rsidP="00F64776">
      <w:pPr>
        <w:pStyle w:val="TextoNormal"/>
      </w:pPr>
      <w:r>
        <w:t>Por lo expuesto, la Sección</w:t>
      </w:r>
    </w:p>
    <w:p w14:paraId="1A1BB63B" w14:textId="342ABF8A" w:rsidR="00F64776" w:rsidRDefault="00F64776" w:rsidP="00F64776">
      <w:pPr>
        <w:pStyle w:val="TextoNormal"/>
      </w:pPr>
    </w:p>
    <w:p w14:paraId="24268EB4" w14:textId="77777777" w:rsidR="00F64776" w:rsidRDefault="00F64776" w:rsidP="00F64776">
      <w:pPr>
        <w:pStyle w:val="TextoNormalCentrado"/>
      </w:pPr>
      <w:r>
        <w:t>ACUERDA</w:t>
      </w:r>
    </w:p>
    <w:p w14:paraId="5CEC1E32" w14:textId="694F596D" w:rsidR="00F64776" w:rsidRDefault="00F64776" w:rsidP="00F64776">
      <w:pPr>
        <w:pStyle w:val="TextoNormalCentrado"/>
      </w:pPr>
    </w:p>
    <w:p w14:paraId="75287F6D" w14:textId="2DAD72A8" w:rsidR="00F64776" w:rsidRDefault="00F64776" w:rsidP="00F64776">
      <w:pPr>
        <w:pStyle w:val="TextoNormal"/>
      </w:pPr>
      <w:r>
        <w:t>Estimar justificada la abstención formulada por el magistrado señor don César Tolosa Tribiño en el recurso de amparo núm. 121-2023 y apartarle definitivamente del conocimiento del referido recurso y de todas sus incidencias.</w:t>
      </w:r>
    </w:p>
    <w:p w14:paraId="149FB3AC" w14:textId="77777777" w:rsidR="00F64776" w:rsidRDefault="00F64776" w:rsidP="00F64776">
      <w:pPr>
        <w:pStyle w:val="TextoNormal"/>
      </w:pPr>
    </w:p>
    <w:p w14:paraId="0E2C1A82" w14:textId="77777777" w:rsidR="00F64776" w:rsidRDefault="00F64776" w:rsidP="00F64776">
      <w:pPr>
        <w:pStyle w:val="TextoNormal"/>
      </w:pPr>
      <w:r>
        <w:t>Madrid, a veintitrés de octubre de dos mil veintitrés.</w:t>
      </w:r>
    </w:p>
    <w:p w14:paraId="55A3C6DA" w14:textId="07106F97" w:rsidR="00F64776" w:rsidRDefault="00F64776">
      <w:pPr>
        <w:spacing w:after="160" w:line="278" w:lineRule="auto"/>
        <w:rPr>
          <w:rFonts w:ascii="Times New Roman" w:eastAsia="Times New Roman" w:hAnsi="Times New Roman" w:cs="Times New Roman"/>
          <w:sz w:val="24"/>
          <w:szCs w:val="24"/>
          <w:lang w:eastAsia="es-ES"/>
        </w:rPr>
      </w:pPr>
      <w:r>
        <w:br w:type="page"/>
      </w:r>
    </w:p>
    <w:p w14:paraId="78131972" w14:textId="77777777" w:rsidR="00F64776" w:rsidRDefault="00F64776" w:rsidP="00F64776">
      <w:pPr>
        <w:pStyle w:val="TtuloResolucin"/>
      </w:pPr>
      <w:bookmarkStart w:id="257" w:name="AUTO_2023_472"/>
      <w:r>
        <w:t>AUTO 472/2023, de 23 de octubre de 2023</w:t>
      </w:r>
    </w:p>
    <w:bookmarkEnd w:id="257"/>
    <w:p w14:paraId="68BEBB92" w14:textId="77777777" w:rsidR="00F64776" w:rsidRDefault="00F64776" w:rsidP="00F64776">
      <w:pPr>
        <w:pStyle w:val="TtuloResolucin"/>
      </w:pPr>
      <w:r>
        <w:t>Sala Primera</w:t>
      </w:r>
    </w:p>
    <w:p w14:paraId="13BE1216" w14:textId="77777777" w:rsidR="00F64776" w:rsidRDefault="00F64776" w:rsidP="00F64776">
      <w:pPr>
        <w:pStyle w:val="TextoNormalCentrado"/>
      </w:pPr>
      <w:r>
        <w:t>ECLI:ES:TC:2023:472A</w:t>
      </w:r>
    </w:p>
    <w:p w14:paraId="33B8F192" w14:textId="5918493A" w:rsidR="00F64776" w:rsidRDefault="00F64776" w:rsidP="00F64776">
      <w:pPr>
        <w:pStyle w:val="TextoNormalCentrado"/>
      </w:pPr>
    </w:p>
    <w:p w14:paraId="6E4F4AE2" w14:textId="77777777" w:rsidR="00F64776" w:rsidRDefault="00F64776" w:rsidP="00F64776">
      <w:pPr>
        <w:pStyle w:val="SntesisDescriptiva"/>
      </w:pPr>
      <w:r>
        <w:t>Excms. Srs. don Cándido Conde-Pumpido Tourón, don Ricardo Enríquez Sancho, doña Concepción Espejel Jorquera, doña María Luisa Segoviano Astaburuaga y don Juan Carlos Campo Moreno.</w:t>
      </w:r>
    </w:p>
    <w:p w14:paraId="40C4305D" w14:textId="418033C8" w:rsidR="00F64776" w:rsidRDefault="00F64776" w:rsidP="00F64776">
      <w:pPr>
        <w:pStyle w:val="SntesisDescriptiva"/>
      </w:pPr>
    </w:p>
    <w:p w14:paraId="6663BF19" w14:textId="77777777" w:rsidR="00F64776" w:rsidRDefault="00F64776" w:rsidP="00F64776">
      <w:pPr>
        <w:pStyle w:val="SntesisDescriptiva"/>
      </w:pPr>
      <w:r>
        <w:t>Acuerda el desistimiento de la pieza separada de suspensión en el recurso de amparo 705-2023, promovido por don J.D.O.M., en procedimiento de jurisdicción voluntaria.</w:t>
      </w:r>
    </w:p>
    <w:p w14:paraId="5543B530" w14:textId="218AD6EB" w:rsidR="00F64776" w:rsidRDefault="00F64776" w:rsidP="00F64776">
      <w:pPr>
        <w:pStyle w:val="SntesisDescriptiva"/>
      </w:pPr>
    </w:p>
    <w:p w14:paraId="74542DC7" w14:textId="77777777" w:rsidR="00F64776" w:rsidRDefault="00F64776" w:rsidP="00F64776">
      <w:pPr>
        <w:pStyle w:val="SntesisDescriptiva"/>
      </w:pPr>
    </w:p>
    <w:p w14:paraId="60DA5386" w14:textId="77777777" w:rsidR="00F64776" w:rsidRDefault="00F64776" w:rsidP="00F64776">
      <w:pPr>
        <w:pStyle w:val="SntesisDescriptiva"/>
      </w:pPr>
    </w:p>
    <w:p w14:paraId="4DBB021E" w14:textId="77777777" w:rsidR="00F64776" w:rsidRDefault="00F64776" w:rsidP="00F64776">
      <w:pPr>
        <w:pStyle w:val="TextoNormalNegritaCentrado"/>
      </w:pPr>
      <w:r>
        <w:t>AUTO</w:t>
      </w:r>
    </w:p>
    <w:p w14:paraId="2E077E3A" w14:textId="708231BD" w:rsidR="00F64776" w:rsidRDefault="00F64776" w:rsidP="00F64776">
      <w:pPr>
        <w:pStyle w:val="TextoNormalNegritaCentrado"/>
      </w:pPr>
    </w:p>
    <w:p w14:paraId="286C3D53" w14:textId="77777777" w:rsidR="00F64776" w:rsidRDefault="00F64776" w:rsidP="00F64776">
      <w:pPr>
        <w:pStyle w:val="TextoNormalNegritaCentrado"/>
        <w:keepNext/>
      </w:pPr>
      <w:r>
        <w:t>I. Antecedentes</w:t>
      </w:r>
    </w:p>
    <w:p w14:paraId="4135E00A" w14:textId="4AE0AD7C" w:rsidR="00F64776" w:rsidRDefault="00F64776" w:rsidP="00F64776">
      <w:pPr>
        <w:pStyle w:val="TextoNormalNegritaCentrado"/>
        <w:keepNext/>
      </w:pPr>
    </w:p>
    <w:p w14:paraId="40F0B4FE" w14:textId="0B4FA7A3" w:rsidR="00F64776" w:rsidRDefault="00F64776" w:rsidP="00F64776">
      <w:pPr>
        <w:pStyle w:val="TextoNormal"/>
      </w:pPr>
      <w:r w:rsidRPr="00F64776">
        <w:rPr>
          <w:rStyle w:val="NumeroAFNegritaCaracter"/>
        </w:rPr>
        <w:t>1</w:t>
      </w:r>
      <w:r>
        <w:t>. Con fecha 6 de febrero de 2023 tuvo entrada en el registro general de este Tribunal Constitucional un escrito de la procuradora de los tribunales doña María José Ríos Padrón, actuando en representación de don J.D.O.M., y bajo la defensa del abogado don Alexis José Aneas Fernández, por el que interpuso recurso de amparo contra las resoluciones que se han identificado en el encabezamiento.</w:t>
      </w:r>
    </w:p>
    <w:p w14:paraId="468BF0B1" w14:textId="77777777" w:rsidR="00F64776" w:rsidRDefault="00F64776" w:rsidP="00F64776">
      <w:pPr>
        <w:pStyle w:val="TextoNormal"/>
      </w:pPr>
    </w:p>
    <w:p w14:paraId="37BFEBAD" w14:textId="77777777" w:rsidR="00F64776" w:rsidRDefault="00F64776" w:rsidP="00F64776">
      <w:pPr>
        <w:pStyle w:val="TextoNormal"/>
      </w:pPr>
      <w:r w:rsidRPr="00F64776">
        <w:rPr>
          <w:rStyle w:val="NumeroAFNegritaCaracter"/>
        </w:rPr>
        <w:t>2</w:t>
      </w:r>
      <w:r>
        <w:t>. Los hechos relevantes para la resolución de esta pieza de suspensión, son los siguientes:</w:t>
      </w:r>
    </w:p>
    <w:p w14:paraId="04E98173" w14:textId="77777777" w:rsidR="00F64776" w:rsidRDefault="00F64776" w:rsidP="00F64776">
      <w:pPr>
        <w:pStyle w:val="TextoNormal"/>
      </w:pPr>
    </w:p>
    <w:p w14:paraId="15D575B6" w14:textId="77777777" w:rsidR="00F64776" w:rsidRDefault="00F64776" w:rsidP="00F64776">
      <w:pPr>
        <w:pStyle w:val="TextoNormal"/>
      </w:pPr>
      <w:r>
        <w:t>a) El Juzgado de Primera Instancia núm. 16 de Málaga dictó un auto en el procedimiento jurisdicción voluntaria (genérico) núm. 500-2022, con la siguiente dispositiva:</w:t>
      </w:r>
    </w:p>
    <w:p w14:paraId="6D7977D2" w14:textId="77777777" w:rsidR="00F64776" w:rsidRDefault="00F64776" w:rsidP="00F64776">
      <w:pPr>
        <w:pStyle w:val="TextoNormal"/>
      </w:pPr>
    </w:p>
    <w:p w14:paraId="7CC40C5D" w14:textId="77777777" w:rsidR="00F64776" w:rsidRDefault="00F64776" w:rsidP="00F64776">
      <w:pPr>
        <w:pStyle w:val="TextoNormal"/>
      </w:pPr>
      <w:r>
        <w:t>“Se acuerda atribuir a la madre doña [M.J.L.B.], la facultad en exclusiva de decidir sobre la vacunación a su hijo menor contra el covid-19, sin necesidad de intervención del padre en tal decisión”.</w:t>
      </w:r>
    </w:p>
    <w:p w14:paraId="1A365AF9" w14:textId="77777777" w:rsidR="00F64776" w:rsidRDefault="00F64776" w:rsidP="00F64776">
      <w:pPr>
        <w:pStyle w:val="TextoNormal"/>
      </w:pPr>
    </w:p>
    <w:p w14:paraId="74325181" w14:textId="77777777" w:rsidR="00F64776" w:rsidRDefault="00F64776" w:rsidP="00F64776">
      <w:pPr>
        <w:pStyle w:val="TextoNormal"/>
      </w:pPr>
      <w:r>
        <w:t xml:space="preserve">El juzgado accedía de este modo a la solicitud formulada por la madre del menor M.O.L., para que se le autorizara a fin de proveer a la dispensación a este último de la vacuna contra el covid-19, dada la oposición del padre del menor, don J.D.O.M. La </w:t>
      </w:r>
      <w:r w:rsidRPr="00F64776">
        <w:rPr>
          <w:i/>
        </w:rPr>
        <w:t>ratio decidendi</w:t>
      </w:r>
      <w:r>
        <w:t xml:space="preserve"> del auto se contiene en su razonamiento jurídico primero, donde se indica:</w:t>
      </w:r>
    </w:p>
    <w:p w14:paraId="12F1758B" w14:textId="77777777" w:rsidR="00F64776" w:rsidRDefault="00F64776" w:rsidP="00F64776">
      <w:pPr>
        <w:pStyle w:val="TextoNormal"/>
      </w:pPr>
    </w:p>
    <w:p w14:paraId="232D31FF" w14:textId="77777777" w:rsidR="00F64776" w:rsidRDefault="00F64776" w:rsidP="00F64776">
      <w:pPr>
        <w:pStyle w:val="TextoNormal"/>
      </w:pPr>
      <w:r>
        <w:t>“Procede en equidad, conforme al art. 156 del Código civil, y en atención al superior interés del menor de ocho años de edad, atribuir a la madre la facultad en exclusiva de decidir sobre la vacunación del hijo contra el covid-19.</w:t>
      </w:r>
    </w:p>
    <w:p w14:paraId="176494A8" w14:textId="77777777" w:rsidR="00F64776" w:rsidRDefault="00F64776" w:rsidP="00F64776">
      <w:pPr>
        <w:pStyle w:val="TextoNormal"/>
      </w:pPr>
    </w:p>
    <w:p w14:paraId="3A75279B" w14:textId="77777777" w:rsidR="00F64776" w:rsidRDefault="00F64776" w:rsidP="00F64776">
      <w:pPr>
        <w:pStyle w:val="TextoNormal"/>
      </w:pPr>
      <w:r>
        <w:t>La recomendación sanitaria autorizada en nuestro país para esta vacunación para menores de edad se basa en criterios de salud, en favor del menor que la recibe. En este sentido se han pronunciado ya la comisión de salud pública y la Sociedad Española de Pediatría que ya han valorado las debidas consideraciones médicas, y de igual modo consta la posibilidad de comprobar la utilidad y efectos de la vacuna dado el amplio rango de población ya vacunado, también población infantil.</w:t>
      </w:r>
    </w:p>
    <w:p w14:paraId="4E488DD9" w14:textId="77777777" w:rsidR="00F64776" w:rsidRDefault="00F64776" w:rsidP="00F64776">
      <w:pPr>
        <w:pStyle w:val="TextoNormal"/>
      </w:pPr>
    </w:p>
    <w:p w14:paraId="5DBE6DAA" w14:textId="77777777" w:rsidR="00F64776" w:rsidRDefault="00F64776" w:rsidP="00F64776">
      <w:pPr>
        <w:pStyle w:val="TextoNormal"/>
      </w:pPr>
      <w:r>
        <w:t>El padre del menor no ha ofrecido argumentos médicos referidos específicamente a las condiciones del propio hijo, por alguna circunstancia específica que le afectara e hiciera no recomendable para él la vacuna a diferencia de otros menores, sino que se remite a argumentos generalistas referidos a probabilidades de efectos secundarios que él contempla.</w:t>
      </w:r>
    </w:p>
    <w:p w14:paraId="30C268B0" w14:textId="77777777" w:rsidR="00F64776" w:rsidRDefault="00F64776" w:rsidP="00F64776">
      <w:pPr>
        <w:pStyle w:val="TextoNormal"/>
      </w:pPr>
    </w:p>
    <w:p w14:paraId="488EC6F3" w14:textId="77777777" w:rsidR="00F64776" w:rsidRDefault="00F64776" w:rsidP="00F64776">
      <w:pPr>
        <w:pStyle w:val="TextoNormal"/>
      </w:pPr>
      <w:r>
        <w:t>Por el contrario sí se aprecia en este caso una situación especial referida al menor y aducida por la madre en sostén de su solicitud, como es el prestar servicio ella como enfermera en planta de infecciosos en la especialidad de pediatría, siendo incontrovertible que su trabajo , aun con todos los protocolos sanitarios, conlleva intervenciones sobre pacientes infantiles con patógenos infecciosos, por lo que se encuentra razonable su consideración de extremar la protección de su hijo contra el covid-19 al estar su madre con pacientes de tal contagiosidad, resultando de conocimiento común que la infección por covid en curso con otra enfermedad que pueda debilitar el sistema inmune, puede conllevar complicaciones y mayor riesgo para la salud del enfermo.</w:t>
      </w:r>
    </w:p>
    <w:p w14:paraId="658A63C0" w14:textId="77777777" w:rsidR="00F64776" w:rsidRDefault="00F64776" w:rsidP="00F64776">
      <w:pPr>
        <w:pStyle w:val="TextoNormal"/>
      </w:pPr>
    </w:p>
    <w:p w14:paraId="4BAE8FFE" w14:textId="77777777" w:rsidR="00F64776" w:rsidRDefault="00F64776" w:rsidP="00F64776">
      <w:pPr>
        <w:pStyle w:val="TextoNormal"/>
      </w:pPr>
      <w:r>
        <w:t>Consta admitido por ambas partes asimismo que el menor ha recibido todo el calendario vacunal con consentimiento de ambos progenitores, resultando de conocimiento común que todas las vacunas pueden tener efectos secundarios, pese a lo cual no existió impedimento para ponerlas.</w:t>
      </w:r>
    </w:p>
    <w:p w14:paraId="06A00236" w14:textId="77777777" w:rsidR="00F64776" w:rsidRDefault="00F64776" w:rsidP="00F64776">
      <w:pPr>
        <w:pStyle w:val="TextoNormal"/>
      </w:pPr>
    </w:p>
    <w:p w14:paraId="51AEBEF3" w14:textId="77777777" w:rsidR="00F64776" w:rsidRDefault="00F64776" w:rsidP="00F64776">
      <w:pPr>
        <w:pStyle w:val="TextoNormal"/>
      </w:pPr>
      <w:r>
        <w:t>Por lo anterior, se estima que el criterio de la madre es el que puede realmente permitir proteger el superior interés del hijo, pues no se niega a considerar la opción de vacunación, lo que demuestra correcta aplicación de un criterio de decisión fundado pues valora para el menor todas las posibilidades sin excluir a priori ninguna, criterio que será el que finalmente decida ella aplicar conforme a la recomendación médica oportuna”.</w:t>
      </w:r>
    </w:p>
    <w:p w14:paraId="350375FE" w14:textId="77777777" w:rsidR="00F64776" w:rsidRDefault="00F64776" w:rsidP="00F64776">
      <w:pPr>
        <w:pStyle w:val="TextoNormal"/>
      </w:pPr>
    </w:p>
    <w:p w14:paraId="4D1A5D1A" w14:textId="77777777" w:rsidR="00F64776" w:rsidRDefault="00F64776" w:rsidP="00F64776">
      <w:pPr>
        <w:pStyle w:val="TextoNormal"/>
      </w:pPr>
      <w:r>
        <w:t>b) Apelado el auto por el aquí recurrente, alegando entre otras infracciones jurídicas la vulneración de los derechos a la integridad física y moral del art. 15 CE por falta de consentimiento informado; a la tutela judicial efectiva sin padecer indefensión y a una resolución motivada y fundada en Derecho (art. 24.1 CE); y a un proceso con todas las garantías —juez imparcial— (art. 24.2 CE), la Sección Sexta de la Audiencia Provincial de Málaga dictó auto el 27 de diciembre de 2022 (rollo de apelación núm. 1718-2022), con la siguiente dispositiva:</w:t>
      </w:r>
    </w:p>
    <w:p w14:paraId="4FBDCBDF" w14:textId="77777777" w:rsidR="00F64776" w:rsidRDefault="00F64776" w:rsidP="00F64776">
      <w:pPr>
        <w:pStyle w:val="TextoNormal"/>
      </w:pPr>
    </w:p>
    <w:p w14:paraId="7920017F" w14:textId="77777777" w:rsidR="00F64776" w:rsidRDefault="00F64776" w:rsidP="00F64776">
      <w:pPr>
        <w:pStyle w:val="TextoNormal"/>
      </w:pPr>
      <w:r>
        <w:t>“La Sala acuerda: Desestimar el recurso de apelación interpuesto por don [J.D.O.M.], representado en esta alzada por la procuradora de los tribunales señora Ríos Padrón, contra el auto de catorce de julio de dos mil veintidós, dictado por el Juzgado de Primera Instancia núm. 16 (familia) de Málaga en procedimiento de jurisdicción voluntaria número 500-2022, confirmando íntegramente el mismo”.</w:t>
      </w:r>
    </w:p>
    <w:p w14:paraId="2E9CE571" w14:textId="77777777" w:rsidR="00F64776" w:rsidRDefault="00F64776" w:rsidP="00F64776">
      <w:pPr>
        <w:pStyle w:val="TextoNormal"/>
      </w:pPr>
    </w:p>
    <w:p w14:paraId="55FC2657" w14:textId="77777777" w:rsidR="00F64776" w:rsidRDefault="00F64776" w:rsidP="00F64776">
      <w:pPr>
        <w:pStyle w:val="TextoNormal"/>
      </w:pPr>
      <w:r>
        <w:t xml:space="preserve">La Audiencia resuelve el recurso de manera desestimatoria en el fundamento de derecho tercero. Tras confirmar que la valoración de la prueba cumplida por el juzgado </w:t>
      </w:r>
      <w:r w:rsidRPr="00F64776">
        <w:rPr>
          <w:i/>
        </w:rPr>
        <w:t>a quo</w:t>
      </w:r>
      <w:r>
        <w:t xml:space="preserve"> fue correcta, señala en cuanto al fondo controvertido que:</w:t>
      </w:r>
    </w:p>
    <w:p w14:paraId="548942AF" w14:textId="77777777" w:rsidR="00F64776" w:rsidRDefault="00F64776" w:rsidP="00F64776">
      <w:pPr>
        <w:pStyle w:val="TextoNormal"/>
      </w:pPr>
    </w:p>
    <w:p w14:paraId="15C93A14" w14:textId="361585B9" w:rsidR="00F64776" w:rsidRDefault="00F64776" w:rsidP="00F64776">
      <w:pPr>
        <w:pStyle w:val="TextoNormal"/>
      </w:pPr>
      <w:r>
        <w:t xml:space="preserve">“los planteamientos de los progenitores son diametralmente opuestos, en el sentido de que en tanto el materno defiende la tesis de que con la vacunación de su hijo menor pretende evitar riesgos innecesarios de enfermedades y de exclusión social, mientras el paterno tiene serias dudas en ponerle una carga viral de la que se desconocen los efectos que pueda tener en el futuro, controversia sobre la que, sin lugar a duda alguna, ni la juzgadora de primera instancia, ni el tribunal </w:t>
      </w:r>
      <w:r w:rsidRPr="00F64776">
        <w:rPr>
          <w:i/>
        </w:rPr>
        <w:t>ad quem</w:t>
      </w:r>
      <w:r>
        <w:t>, puede dar una respuesta científica que no está a su alcance, debiendo limitarse a lo que actualmente se conoce acerca de una vacuna que ciertamente no es obligatoria, pero el conjunto de circunstancias concurrentes sí su bondad y efectividad en las personas, resulta notorio que el Ministerio de Sanidad y la Asociación Española de Pediatría se ha pronunciado sobre la vacuna del covid en menores, de doce a dieciocho años y refiere que no causan perjuicio para la salud sino que, al contrario, la mayoría de los estudios científicos llevan a concluir que los beneficios son innegables, tanto individual como poblacionalmente, indicando que esta vacuna, como otras, son los instrumentos más eficaces de lucha contra las enfermedades infecciosas, estando catalogada como medicamento inmunológico especial, ampliando la Agencia Europea del Medicamento la autorización de la vacuna contra el covid para los menores comprendidos entre doce y dieciocho años con Pfeizer y Moderna al tener una eficacia similar a la de adultos, siendo los efectos secundarios más frecuentes también similares, y, en definitiva, se quiera o no, la vacunación, en general, ha supuesto una reducción importante de la prevalencia de enfermedad grave, hospitalización y muerte en los grupos de población vacunada, en tanto que la vacunación a los menores (sin factores de riesgo sobre enfermedades infecciosas) se dice proporcionará beneficios a nivel individual y sobre la aparición de brotes en los centros educativos, estando contraindicada en personas con antecedentes de reacciones alérgicas graves, datos de todos conocidos que deben ser tenidos en consideración y, en su consecuencia, de entrada, no cabe contradecir lo acordado judicialmente en la primera instancia, con argumentos carentes de bases alguna [</w:t>
      </w:r>
      <w:r w:rsidRPr="00F64776">
        <w:rPr>
          <w:i/>
        </w:rPr>
        <w:t>sic</w:t>
      </w:r>
      <w:r>
        <w:t>], siendo de sustancial importancia destacar que el menor hijo de los progenitores en debate no tienen patología alguna y han sido vacunado sin problema con sus dosis correspondientes siguiendo el calendario fijado, y el punto de importancia destacar que la progenitor materna custodia es enfermera que trabaja en planta de pediatría, la cual presenta mayores factores de riegos de poder contagiar a su hijo, lo que nos reconduce a resolver en términos desfavorables a la recurrente y, por tanto, facultando a la progenitora materna en la decisión que considere sea más procedente, quedando bien definido que este tribunal no impone, en manera alguna, la obligatoriedad de vacunación sobre el menor hijo común de los contendientes sino que, por el contrario, lo que viene a resolver es que la toma de decisión sea llevada a cabo por la progenitora materna”.</w:t>
      </w:r>
    </w:p>
    <w:p w14:paraId="103ACA06" w14:textId="77777777" w:rsidR="00F64776" w:rsidRDefault="00F64776" w:rsidP="00F64776">
      <w:pPr>
        <w:pStyle w:val="TextoNormal"/>
      </w:pPr>
    </w:p>
    <w:p w14:paraId="48342C6D" w14:textId="77777777" w:rsidR="00F64776" w:rsidRDefault="00F64776" w:rsidP="00F64776">
      <w:pPr>
        <w:pStyle w:val="TextoNormal"/>
      </w:pPr>
      <w:r w:rsidRPr="00F64776">
        <w:rPr>
          <w:rStyle w:val="NumeroAFNegritaCaracter"/>
        </w:rPr>
        <w:t>3</w:t>
      </w:r>
      <w:r>
        <w:t>. El recurrente alega en su demanda de amparo, con los argumentos que tiene a bien desarrollar en su escrito, que las resoluciones judiciales impugnadas comportan una vulneración de los derechos a la tutela judicial efectiva (art. 24.1 CE); a la integridad física y moral (art.15 CE) y a la igualdad y la no discriminación (art.14 CE), todo ello al haber atribuido a la madre la facultad exclusiva de decidir sobre la vacunación de su hijo menor contra el covid-19, sin necesidad de su intervención como padre en tal decisión.</w:t>
      </w:r>
    </w:p>
    <w:p w14:paraId="528EC015" w14:textId="77777777" w:rsidR="00F64776" w:rsidRDefault="00F64776" w:rsidP="00F64776">
      <w:pPr>
        <w:pStyle w:val="TextoNormal"/>
      </w:pPr>
    </w:p>
    <w:p w14:paraId="730C3E26" w14:textId="77777777" w:rsidR="00F64776" w:rsidRDefault="00F64776" w:rsidP="00F64776">
      <w:pPr>
        <w:pStyle w:val="TextoNormal"/>
      </w:pPr>
      <w:r>
        <w:t>En el suplico de la demanda se solicita que este tribunal, con admisión del recurso, dicte sentencia otorgando al recurrente el amparo solicitado, con nulidad de las resoluciones impugnadas, y se declare “que no ha lugar el procedimiento de jurisdicción voluntaria para atribuir la facultad de decidir unilateralme[n]te a la progenitora la inoculación al menor de edad con inmunidad natural frente al SARS-CoV-2 la vacunación contra la covid-19, medicamento génico, bajo distintivo triangulo negro y seguimiento adicional, en fase de ensayo clínico para confirmar la eficacia y seguridad, aleatorizado, controlado con placebo y con enmascaramiento hasta diciembre de 2023 (plazo ampliado cinco años más por los graves casos de pericarditis y miocarditis), debiendo prevalecer el principio de prudencia en tales circunstancias concretas; ante la ausencia de receta médica y el adecuado consentimiento informado, y no existe riesgo inminente para el menor”.</w:t>
      </w:r>
    </w:p>
    <w:p w14:paraId="5616E860" w14:textId="77777777" w:rsidR="00F64776" w:rsidRDefault="00F64776" w:rsidP="00F64776">
      <w:pPr>
        <w:pStyle w:val="TextoNormal"/>
      </w:pPr>
    </w:p>
    <w:p w14:paraId="7730CAF8" w14:textId="77777777" w:rsidR="00F64776" w:rsidRDefault="00F64776" w:rsidP="00F64776">
      <w:pPr>
        <w:pStyle w:val="TextoNormal"/>
      </w:pPr>
      <w:r>
        <w:t>Por medio de un primer otrosí se solicitó en el escrito de demanda: “Que, con el fin de evitar daños y perjuicios de imposible reparación solicito la suspensión cautelar de la ejecución de los autos en cuanto se resuelve el recurso de amparo solicitado. Entendiendo que la ejecuc[i]ón inmediata del fallo impuesto es en este momento susceptible de causar perjuicios de imposible reparación, habida cuenta que actualmente se encuentra en trámite el presente recurso de amparo, debe suspenderse la ejecución inmediata de la parte dispositiva del auto hasta que por parte de este Excmo. Tribunal se decida la cuestión, y todo ello a fin de no hacer plenamente ineficaz la resolución que en tal recurso pueda dictarse, caso de otorgarse el amparo”.</w:t>
      </w:r>
    </w:p>
    <w:p w14:paraId="3D09E7DC" w14:textId="77777777" w:rsidR="00F64776" w:rsidRDefault="00F64776" w:rsidP="00F64776">
      <w:pPr>
        <w:pStyle w:val="TextoNormal"/>
      </w:pPr>
    </w:p>
    <w:p w14:paraId="4FF1A3E0" w14:textId="0D4A5ABF" w:rsidR="00F64776" w:rsidRDefault="00F64776" w:rsidP="00F64776">
      <w:pPr>
        <w:pStyle w:val="TextoNormal"/>
      </w:pPr>
      <w:r>
        <w:t>En el formulario del registro electrónico del Tribunal conteniendo los datos de la demanda, el procurador incurrió en un error en el nombre del recurrente, lo que fue subsanado por escrito presentado el 7 de febrero de 2023, dándose por efectuada la subsanación por la Secretaría de Justicia de la Sala Primera, Sección Segunda, de este Tribunal Constitucional, mediante diligencia de ordenación de 9 de febrero de 2023.</w:t>
      </w:r>
    </w:p>
    <w:p w14:paraId="153523B4" w14:textId="77777777" w:rsidR="00F64776" w:rsidRDefault="00F64776" w:rsidP="00F64776">
      <w:pPr>
        <w:pStyle w:val="TextoNormal"/>
      </w:pPr>
    </w:p>
    <w:p w14:paraId="52DD476A" w14:textId="77777777" w:rsidR="00F64776" w:rsidRDefault="00F64776" w:rsidP="00F64776">
      <w:pPr>
        <w:pStyle w:val="TextoNormal"/>
      </w:pPr>
      <w:r w:rsidRPr="00F64776">
        <w:rPr>
          <w:rStyle w:val="NumeroAFNegritaCaracter"/>
        </w:rPr>
        <w:t>4</w:t>
      </w:r>
      <w:r>
        <w:t>. La Sección Segunda de este Tribunal dictó providencia el 8 de mayo de 2023, del siguiente tenor:</w:t>
      </w:r>
    </w:p>
    <w:p w14:paraId="20382062" w14:textId="77777777" w:rsidR="00F64776" w:rsidRDefault="00F64776" w:rsidP="00F64776">
      <w:pPr>
        <w:pStyle w:val="TextoNormal"/>
      </w:pPr>
    </w:p>
    <w:p w14:paraId="2C9740EE" w14:textId="77777777" w:rsidR="00F64776" w:rsidRDefault="00F64776" w:rsidP="00F64776">
      <w:pPr>
        <w:pStyle w:val="TextoNormal"/>
      </w:pPr>
      <w:r>
        <w:t>“La Sección ha examinado el recurso de amparo y ha acordado admitirlo a trámite, apreciando que concurre en el mismo una especial trascendencia constitucional (art. 50.1 LOTC) porque el recurso plantea un problema o afecta a una faceta de un derecho fundamental sobre el que no hay doctrina de este tribunal [STC 155/2009, FJ 2, a)], y el asunto suscitado trasciende del caso concreto porque plantea una cuestión jurídica de relevante y general repercusión social o económica [STC 155/2009, FJ 2, g)].</w:t>
      </w:r>
    </w:p>
    <w:p w14:paraId="17CE03A3" w14:textId="77777777" w:rsidR="00F64776" w:rsidRDefault="00F64776" w:rsidP="00F64776">
      <w:pPr>
        <w:pStyle w:val="TextoNormal"/>
      </w:pPr>
    </w:p>
    <w:p w14:paraId="32BF5A3A" w14:textId="77777777" w:rsidR="00F64776" w:rsidRDefault="00F64776" w:rsidP="00F64776">
      <w:pPr>
        <w:pStyle w:val="TextoNormal"/>
      </w:pPr>
      <w:r>
        <w:t>Por ello, en aplicación de lo dispuesto en el art. 51 LOTC, diríjase atenta comunicación a la Sección Sexta de la Audiencia Provincial de Málaga a fin de que, en plazo que no exceda de diez días, remita certificación o fotocopia adverada de las actuaciones correspondientes al recurso de apelación 1718-2022.</w:t>
      </w:r>
    </w:p>
    <w:p w14:paraId="65A2112C" w14:textId="77777777" w:rsidR="00F64776" w:rsidRDefault="00F64776" w:rsidP="00F64776">
      <w:pPr>
        <w:pStyle w:val="TextoNormal"/>
      </w:pPr>
    </w:p>
    <w:p w14:paraId="1134BC79" w14:textId="77777777" w:rsidR="00F64776" w:rsidRDefault="00F64776" w:rsidP="00F64776">
      <w:pPr>
        <w:pStyle w:val="TextoNormal"/>
      </w:pPr>
      <w:r>
        <w:t>Diríjase igualmente atenta comunicación al Juzgado de Primera Instancia núm. 16 (familia) de Málaga a fin de que, en plazo que no exceda de diez días, remita certificación o fotocopia adverada de las actuaciones correspondientes al procedimiento de jurisdicción voluntaria 500-2022; debiendo previamente emplazarse, para que en el plazo de diez días puedan comparecer, si lo desean, en el recurso de amparo a quienes hubieran sido parte en el procedimiento, excepto la parte recurrente en amparo.</w:t>
      </w:r>
    </w:p>
    <w:p w14:paraId="3F44C3EF" w14:textId="77777777" w:rsidR="00F64776" w:rsidRDefault="00F64776" w:rsidP="00F64776">
      <w:pPr>
        <w:pStyle w:val="TextoNormal"/>
      </w:pPr>
    </w:p>
    <w:p w14:paraId="59619C52" w14:textId="4C1D86FC" w:rsidR="00F64776" w:rsidRDefault="00F64776" w:rsidP="00F64776">
      <w:pPr>
        <w:pStyle w:val="TextoNormal"/>
      </w:pPr>
      <w:r>
        <w:t>De conformidad con la solicitud de la parte actora, fórmese la correspondiente pieza separada de suspensión”.</w:t>
      </w:r>
    </w:p>
    <w:p w14:paraId="07173B97" w14:textId="77777777" w:rsidR="00F64776" w:rsidRDefault="00F64776" w:rsidP="00F64776">
      <w:pPr>
        <w:pStyle w:val="TextoNormal"/>
      </w:pPr>
    </w:p>
    <w:p w14:paraId="74724BAF" w14:textId="0C221CE4" w:rsidR="00F64776" w:rsidRDefault="00F64776" w:rsidP="00F64776">
      <w:pPr>
        <w:pStyle w:val="TextoNormal"/>
      </w:pPr>
      <w:r w:rsidRPr="00F64776">
        <w:rPr>
          <w:rStyle w:val="NumeroAFNegritaCaracter"/>
        </w:rPr>
        <w:t>5</w:t>
      </w:r>
      <w:r>
        <w:t>. Por nueva providencia dictada por la Sección Segunda de este tribunal en la misma fecha, 8 de mayo de 2023, se dispuso “formar con el precedente testimonio la presente pieza separada de suspensión y, de conformidad con lo prevenido en el art. 56 de la Ley Orgánica del Tribunal Constitucional, conceder un plazo común de tres días, al Ministerio Fiscal y al solicitante del amparo, para que dentro de dicho término aleguen lo que estimen pertinente en relación con la petición de suspensión interesada”.</w:t>
      </w:r>
    </w:p>
    <w:p w14:paraId="0C24E5E1" w14:textId="77777777" w:rsidR="00F64776" w:rsidRDefault="00F64776" w:rsidP="00F64776">
      <w:pPr>
        <w:pStyle w:val="TextoNormal"/>
      </w:pPr>
    </w:p>
    <w:p w14:paraId="0828979E" w14:textId="77777777" w:rsidR="00F64776" w:rsidRDefault="00F64776" w:rsidP="00F64776">
      <w:pPr>
        <w:pStyle w:val="TextoNormal"/>
      </w:pPr>
      <w:r w:rsidRPr="00F64776">
        <w:rPr>
          <w:rStyle w:val="NumeroAFNegritaCaracter"/>
        </w:rPr>
        <w:t>6</w:t>
      </w:r>
      <w:r>
        <w:t>. Con fecha 16 de mayo de 2023 la representante procesal del recurrente presentó por escrito sus alegaciones, interesando que este tribunal dictase auto acordando la petición de suspensión de la ejecución de las resoluciones recurridas, “hasta la resolución definitiva en el presente recurso de amparo 705-2023”.</w:t>
      </w:r>
    </w:p>
    <w:p w14:paraId="64F65DF1" w14:textId="77777777" w:rsidR="00F64776" w:rsidRDefault="00F64776" w:rsidP="00F64776">
      <w:pPr>
        <w:pStyle w:val="TextoNormal"/>
      </w:pPr>
    </w:p>
    <w:p w14:paraId="7FA05E5D" w14:textId="5F041550" w:rsidR="00F64776" w:rsidRDefault="00F64776" w:rsidP="00F64776">
      <w:pPr>
        <w:pStyle w:val="TextoNormal"/>
      </w:pPr>
      <w:r>
        <w:t xml:space="preserve">Luego de hacer referencia a los antecedentes del proceso </w:t>
      </w:r>
      <w:r w:rsidRPr="00F64776">
        <w:rPr>
          <w:i/>
        </w:rPr>
        <w:t>a quo</w:t>
      </w:r>
      <w:r>
        <w:t xml:space="preserve">, y verter extensas consideraciones sobre el debate científico existente en torno a la efectividad y los riesgos de las vacunas contra el covid-19, la alegación tercera del escrito se centra en la “justificación jurídica de la suspensión” solicitada. Empieza en tal sentido por hacer cita del ATC 74/2021, de 20 de julio, FJ 5, donde el Pleno de este tribunal razonó su decisión de mantener la suspensión acordada inicialmente </w:t>
      </w:r>
      <w:r w:rsidRPr="00F64776">
        <w:rPr>
          <w:i/>
        </w:rPr>
        <w:t>ex</w:t>
      </w:r>
      <w:r>
        <w:t xml:space="preserve"> art. 161.2 CE en recurso de inconstitucionalidad contra el núm. 5 del artículo 38.2 b) de la Ley 8/2008, de 10 de julio, de salud de Galicia, en la redacción dada por el apartado cinco del artículo único de la Ley 8/2021, de 25 de febrero; precepto el que se contemplaba la posibilidad de adoptar como medida sanitaria preventiva la vacunación de sectores de la población. A juicio del recurrente estos razonamientos, junto con los expuestos por el Pleno en el posterior ATC 112/2022, de 13 de julio, FFJJ 2 y 4, en un recurso de inconstitucionalidad contra el art. 14.3 de la Ley del Parlamento Vasco 2/2021, de 24 de junio, de medidas para la gestión de la pandemia de covid-19, que prevé medida similar y se mantuvo la suspensión </w:t>
      </w:r>
      <w:r w:rsidRPr="00F64776">
        <w:rPr>
          <w:i/>
        </w:rPr>
        <w:t>ex</w:t>
      </w:r>
      <w:r>
        <w:t xml:space="preserve"> art. 161.2 CE, justifican también la suspensión de las resoluciones judiciales impugnadas en este amparo. Añade que “en caso de obtener el amparo del tribunal más tarde, sería imposible retrotraer los hechos al momento anterior a la inoculación. Sencillamente los efectos serían irreconducibles a un mínimo estado previo al acto declarado como vulnerador del derecho fundamental a la integridad física […]; se produciría un daño real e irremediable, de imposible reparación, convirtiendo el amparo en ilusorio”. Finalmente, si se acordara la suspensión ello no “afectará negativamente a terceros ni supone una perturbación grave de los intereses generales, ya que, tanto la población vacunada, como no vacunada, se infecta y es fuente de contagio”.</w:t>
      </w:r>
    </w:p>
    <w:p w14:paraId="6C77E189" w14:textId="77777777" w:rsidR="00F64776" w:rsidRDefault="00F64776" w:rsidP="00F64776">
      <w:pPr>
        <w:pStyle w:val="TextoNormal"/>
      </w:pPr>
    </w:p>
    <w:p w14:paraId="7798F961" w14:textId="198B4020" w:rsidR="00F64776" w:rsidRDefault="00F64776" w:rsidP="00F64776">
      <w:pPr>
        <w:pStyle w:val="TextoNormal"/>
      </w:pPr>
      <w:r w:rsidRPr="00F64776">
        <w:rPr>
          <w:rStyle w:val="NumeroAFNegritaCaracter"/>
        </w:rPr>
        <w:t>7</w:t>
      </w:r>
      <w:r>
        <w:t>. La fiscal ante este Tribunal Constitucional presentó escrito el 30 de mayo de 2023 por el que interesó, “que, con suspensión del plazo concedido por providencia de 8 de mayo de 2023, se dirija oficio al citado organismo [Servicio de Salud de Málaga] y una vez remitida la comunicación solicitada, se le dé nuevo traslado para formular alegaciones conforme a lo prevenido en el art. 56 LOTC”. Fundamentó su solicitud la fiscal en la reiterada doctrina de este tribunal en cuya virtud no cabe acordar la suspensión de actos o resoluciones ya ejecutados o donde las vulneraciones ya se habrían producido y agotado, de modo que el otorgamiento del amparo tendría efectos meramente declarativos o incluso de reparación, pero no de evitación del daño (con cita del ATC 59/2017, FJ 1, y otras resoluciones anteriores), lo que podría ser este caso.</w:t>
      </w:r>
    </w:p>
    <w:p w14:paraId="28144083" w14:textId="77777777" w:rsidR="00F64776" w:rsidRDefault="00F64776" w:rsidP="00F64776">
      <w:pPr>
        <w:pStyle w:val="TextoNormal"/>
      </w:pPr>
    </w:p>
    <w:p w14:paraId="0B8B503E" w14:textId="77777777" w:rsidR="00F64776" w:rsidRDefault="00F64776" w:rsidP="00F64776">
      <w:pPr>
        <w:pStyle w:val="TextoNormal"/>
      </w:pPr>
      <w:r w:rsidRPr="00F64776">
        <w:rPr>
          <w:rStyle w:val="NumeroAFNegritaCaracter"/>
        </w:rPr>
        <w:t>8</w:t>
      </w:r>
      <w:r>
        <w:t>. La Secretaría de Justicia de la Sección Segunda de este tribunal accedió a lo interesado por la fiscal, dictando diligencia de ordenación el 1 de junio de 2023 para que se librase oficio “a la Consejería de Salud de la Junta de Andalucía a fin de que remita informe sobre si le consta que se haya procedido a la vacunación frente al covid-19 del menor M.O.L.”.</w:t>
      </w:r>
    </w:p>
    <w:p w14:paraId="4F77EFF3" w14:textId="77777777" w:rsidR="00F64776" w:rsidRDefault="00F64776" w:rsidP="00F64776">
      <w:pPr>
        <w:pStyle w:val="TextoNormal"/>
      </w:pPr>
    </w:p>
    <w:p w14:paraId="698AB8DC" w14:textId="77777777" w:rsidR="00F64776" w:rsidRDefault="00F64776" w:rsidP="00F64776">
      <w:pPr>
        <w:pStyle w:val="TextoNormal"/>
      </w:pPr>
      <w:r>
        <w:t>El requerimiento fue cumplimentado por oficio firmado electrónicamente el 13 de junio de 2023 por la jefa de servicio de coordinación-gestión ciudadana, de la Consejería de Salud y Consumo, del Servicio Andaluz de Salud, de la Junta de Andalucía, y recibido en el registro de este tribunal el 21 de junio de 2023, haciendo constar respecto del menor M.O.L.:</w:t>
      </w:r>
    </w:p>
    <w:p w14:paraId="5D880B19" w14:textId="77777777" w:rsidR="00F64776" w:rsidRDefault="00F64776" w:rsidP="00F64776">
      <w:pPr>
        <w:pStyle w:val="TextoNormal"/>
      </w:pPr>
    </w:p>
    <w:p w14:paraId="79B89409" w14:textId="77777777" w:rsidR="00F64776" w:rsidRDefault="00F64776" w:rsidP="00F64776">
      <w:pPr>
        <w:pStyle w:val="TextoNormal"/>
      </w:pPr>
      <w:r>
        <w:t>“[E]n cumplimiento del deber de colaboración con los cuerpos y fuerzas de seguridad del Estado y con los tribunales de justicia, que con los datos aportados en su correo hemos efectuado su búsqueda en la base de datos de personas usuarias del Servicio Andaluz de Salud constan los siguientes datos de vacunación:</w:t>
      </w:r>
    </w:p>
    <w:p w14:paraId="53D27BAB" w14:textId="77777777" w:rsidR="00F64776" w:rsidRDefault="00F64776" w:rsidP="00F64776">
      <w:pPr>
        <w:pStyle w:val="TextoNormal"/>
      </w:pPr>
    </w:p>
    <w:p w14:paraId="29FC427A" w14:textId="77777777" w:rsidR="00F64776" w:rsidRDefault="00F64776" w:rsidP="00F64776">
      <w:pPr>
        <w:pStyle w:val="TextoNormal"/>
      </w:pPr>
      <w:r>
        <w:t>- 25/01/2023 Vacuna Pfizer/ BioNTech (covid-19 P/B)</w:t>
      </w:r>
    </w:p>
    <w:p w14:paraId="05B108A6" w14:textId="77777777" w:rsidR="00F64776" w:rsidRDefault="00F64776" w:rsidP="00F64776">
      <w:pPr>
        <w:pStyle w:val="TextoNormal"/>
      </w:pPr>
      <w:r>
        <w:t>- 21/03/ 2023 Vacuna Pfizer/ BioNTech (covid-19 P/B)</w:t>
      </w:r>
    </w:p>
    <w:p w14:paraId="2EC116DF" w14:textId="77777777" w:rsidR="00F64776" w:rsidRDefault="00F64776" w:rsidP="00F64776">
      <w:pPr>
        <w:pStyle w:val="TextoNormal"/>
      </w:pPr>
    </w:p>
    <w:p w14:paraId="05A1BA3C" w14:textId="77777777" w:rsidR="00F64776" w:rsidRDefault="00F64776" w:rsidP="00F64776">
      <w:pPr>
        <w:pStyle w:val="TextoNormal"/>
      </w:pPr>
      <w:r>
        <w:t>Adjuntamos certificado covid digital de la UE</w:t>
      </w:r>
    </w:p>
    <w:p w14:paraId="4149B496" w14:textId="77777777" w:rsidR="00F64776" w:rsidRDefault="00F64776" w:rsidP="00F64776">
      <w:pPr>
        <w:pStyle w:val="TextoNormal"/>
      </w:pPr>
    </w:p>
    <w:p w14:paraId="71B44F41" w14:textId="2E462542" w:rsidR="00F64776" w:rsidRDefault="00F64776" w:rsidP="00F64776">
      <w:pPr>
        <w:pStyle w:val="TextoNormal"/>
      </w:pPr>
      <w:r>
        <w:t>Ponemos en conocimiento de esa Sala, que la citada información ha sido consultada en la base de datos de usuarios del sistema sanitario público de Andalucía y de la historia de salud única (DIRAYA), habiendo sido ambas crea das exclusivamente con fines sanitarios”.</w:t>
      </w:r>
    </w:p>
    <w:p w14:paraId="0B625F4B" w14:textId="77777777" w:rsidR="00F64776" w:rsidRDefault="00F64776" w:rsidP="00F64776">
      <w:pPr>
        <w:pStyle w:val="TextoNormal"/>
      </w:pPr>
    </w:p>
    <w:p w14:paraId="7036A4C2" w14:textId="043348B0" w:rsidR="00F64776" w:rsidRDefault="00F64776" w:rsidP="00F64776">
      <w:pPr>
        <w:pStyle w:val="TextoNormal"/>
      </w:pPr>
      <w:r w:rsidRPr="00F64776">
        <w:rPr>
          <w:rStyle w:val="NumeroAFNegritaCaracter"/>
        </w:rPr>
        <w:t>9</w:t>
      </w:r>
      <w:r>
        <w:t>. Con fecha 22 de junio de 2023 la Secretaría de Justicia de la Sección Segunda de este tribunal dictó diligencia de ordenación del siguiente tenor: “En el asunto de referencia, se tiene por recibido el anterior oficio remitido por la Junta de Andalucía y se acuerda conceder un plazo común de tres días al Ministerio Fiscal, y al solicitante de amparo para que en dicho termino aleguen lo que estimen pertinente en relación con la petición de suspensión interesada”.</w:t>
      </w:r>
    </w:p>
    <w:p w14:paraId="26CE14B2" w14:textId="77777777" w:rsidR="00F64776" w:rsidRDefault="00F64776" w:rsidP="00F64776">
      <w:pPr>
        <w:pStyle w:val="TextoNormal"/>
      </w:pPr>
    </w:p>
    <w:p w14:paraId="5EB24B61" w14:textId="24FD070C" w:rsidR="00F64776" w:rsidRDefault="00F64776" w:rsidP="00F64776">
      <w:pPr>
        <w:pStyle w:val="TextoNormal"/>
      </w:pPr>
      <w:r w:rsidRPr="00F64776">
        <w:rPr>
          <w:rStyle w:val="NumeroAFNegritaCaracter"/>
        </w:rPr>
        <w:t>10</w:t>
      </w:r>
      <w:r>
        <w:t>. La representante procesal del recurrente presentó escrito el 28 de junio de 2023 manifestando: “su voluntad de desistimiento de la pieza suspensión por carencia de objeto dado que, el hijo ya ha sido inoculado y no se prevé una tercera dosis, sin que este desistimiento deba interpretarse como una renuncia a las acciones judiciales que en Derecho e interés del menor y de mi representado quepa interponer en el futuro. Igualmente, esta parte quiere hacer constar que, de estimarse el presente recurso de amparo se habrá producido un daño irreparable, concretado en la vulneración del art. 15 CE, entre otros derechos fundamentales invocados en el escrito del recurso de amparo”. Solicitando en el suplico el archivo de la pieza de suspensión.</w:t>
      </w:r>
    </w:p>
    <w:p w14:paraId="2CD7CF19" w14:textId="77777777" w:rsidR="00F64776" w:rsidRDefault="00F64776" w:rsidP="00F64776">
      <w:pPr>
        <w:pStyle w:val="TextoNormal"/>
      </w:pPr>
    </w:p>
    <w:p w14:paraId="163F3805" w14:textId="77777777" w:rsidR="00F64776" w:rsidRDefault="00F64776" w:rsidP="00F64776">
      <w:pPr>
        <w:pStyle w:val="TextoNormal"/>
      </w:pPr>
      <w:r w:rsidRPr="00F64776">
        <w:rPr>
          <w:rStyle w:val="NumeroAFNegritaCaracter"/>
        </w:rPr>
        <w:t>11</w:t>
      </w:r>
      <w:r>
        <w:t>. Con fecha 29 de junio de 2023 la Secretaría de Justicia de la Sección Segunda de este tribunal dictó diligencia de ordenación de 29 de junio, acordando que “se tiene por recibo el precedente escrito presentado por la procuradora María José Ríos Padrón y visto su contenido se concede un plazo de cinco días al Ministerio Fiscal para alegaciones”.</w:t>
      </w:r>
    </w:p>
    <w:p w14:paraId="5A892819" w14:textId="77777777" w:rsidR="00F64776" w:rsidRDefault="00F64776" w:rsidP="00F64776">
      <w:pPr>
        <w:pStyle w:val="TextoNormal"/>
      </w:pPr>
    </w:p>
    <w:p w14:paraId="767F4F88" w14:textId="77777777" w:rsidR="00F64776" w:rsidRDefault="00F64776" w:rsidP="00F64776">
      <w:pPr>
        <w:pStyle w:val="TextoNormal"/>
      </w:pPr>
      <w:r>
        <w:t>Presentó su escrito la fiscal ante este tribunal el 31 de julio de 2023, manifestando que: “Dado que el demandante otorgó a su representante procesal poder general para pleitos se interesa que se aporte poder especial, conforme a lo prevenido en el art. 25.2.1 LEC [Ley de enjuiciamiento civil], o, en su caso se ratifique el demandante en el desistimiento formulado”.</w:t>
      </w:r>
    </w:p>
    <w:p w14:paraId="5FE49998" w14:textId="77777777" w:rsidR="00F64776" w:rsidRDefault="00F64776" w:rsidP="00F64776">
      <w:pPr>
        <w:pStyle w:val="TextoNormal"/>
      </w:pPr>
    </w:p>
    <w:p w14:paraId="1A925A3F" w14:textId="77777777" w:rsidR="00F64776" w:rsidRDefault="00F64776" w:rsidP="00F64776">
      <w:pPr>
        <w:pStyle w:val="TextoNormal"/>
      </w:pPr>
      <w:r>
        <w:t>La Secretaría de Justicia de la Sección Segunda de este tribunal proveyó a lo interesado por la fiscal, dictando diligencia de ordenación el 4 de septiembre de 2023 por la que concedió un plazo diez días hábiles a la procuradora del recurrente para la aportación de poder especial, “conforme a lo prevenido en el art. 25.2.1 LEC o, en su caso se ratifique el demandante en el desistimiento formulado”.</w:t>
      </w:r>
    </w:p>
    <w:p w14:paraId="4CF20746" w14:textId="77777777" w:rsidR="00F64776" w:rsidRDefault="00F64776" w:rsidP="00F64776">
      <w:pPr>
        <w:pStyle w:val="TextoNormal"/>
      </w:pPr>
    </w:p>
    <w:p w14:paraId="312FE4D0" w14:textId="77777777" w:rsidR="00F64776" w:rsidRDefault="00F64776" w:rsidP="00F64776">
      <w:pPr>
        <w:pStyle w:val="TextoNormal"/>
      </w:pPr>
      <w:r>
        <w:t xml:space="preserve">En su respuesta, la procuradora del recurrente consignó escrito en este tribunal el 20 de septiembre de 2023, aportando certificado de apoderamiento </w:t>
      </w:r>
      <w:r w:rsidRPr="00F64776">
        <w:rPr>
          <w:i/>
        </w:rPr>
        <w:t>apud acta</w:t>
      </w:r>
      <w:r>
        <w:t xml:space="preserve"> en el archivo electrónico de apoderamientos judiciales, sobre poder especial en vigor en favor de dicha procuradora y del abogado actuante en este proceso en el que se menciona expresamente entre otras la facultad de desistimiento, en relación con las “facultades expresadas en el artículo 25.1 de la Ley 1/2000, de enjuiciamiento civil”.</w:t>
      </w:r>
    </w:p>
    <w:p w14:paraId="144E0991" w14:textId="77777777" w:rsidR="00F64776" w:rsidRDefault="00F64776" w:rsidP="00F64776">
      <w:pPr>
        <w:pStyle w:val="TextoNormal"/>
      </w:pPr>
    </w:p>
    <w:p w14:paraId="604E36F1" w14:textId="565741E9" w:rsidR="00F64776" w:rsidRDefault="00F64776" w:rsidP="00F64776">
      <w:pPr>
        <w:pStyle w:val="TextoNormal"/>
      </w:pPr>
      <w:r>
        <w:t>Por la Secretaría de Justicia se extendió diligencia el 21 de septiembre de 2023 teniendo por recibida aquella documentación, uniéndose a la pieza separada de referencia.</w:t>
      </w:r>
    </w:p>
    <w:p w14:paraId="4807D899" w14:textId="77777777" w:rsidR="00F64776" w:rsidRDefault="00F64776" w:rsidP="00F64776">
      <w:pPr>
        <w:pStyle w:val="TextoNormal"/>
      </w:pPr>
    </w:p>
    <w:p w14:paraId="45D6F476" w14:textId="0FDD7E80" w:rsidR="00F64776" w:rsidRDefault="00F64776" w:rsidP="00F64776">
      <w:pPr>
        <w:pStyle w:val="TextoNormal"/>
      </w:pPr>
      <w:r w:rsidRPr="00F64776">
        <w:rPr>
          <w:rStyle w:val="NumeroAFNegritaCaracter"/>
        </w:rPr>
        <w:t>12</w:t>
      </w:r>
      <w:r>
        <w:t>. El procurador de los tribunales don Antonio Ortega Fuentes presentó en el registro de este tribunal el 28 de septiembre de 2023, un escrito actuando en nombre y representación de doña M.J.L.B., madre del menor M.O.L., y solicitando su personación como parte en este recurso de amparo y que se entiendan con dicha profesional las actuaciones sucesivas.</w:t>
      </w:r>
    </w:p>
    <w:p w14:paraId="2F12285F" w14:textId="77777777" w:rsidR="00F64776" w:rsidRDefault="00F64776" w:rsidP="00F64776">
      <w:pPr>
        <w:pStyle w:val="TextoNormal"/>
      </w:pPr>
    </w:p>
    <w:p w14:paraId="532A324D" w14:textId="77777777" w:rsidR="00F64776" w:rsidRDefault="00F64776" w:rsidP="00F64776">
      <w:pPr>
        <w:pStyle w:val="TextoNormal"/>
      </w:pPr>
      <w:r w:rsidRPr="00F64776">
        <w:rPr>
          <w:rStyle w:val="NumeroAFNegritaCaracter"/>
        </w:rPr>
        <w:t>13</w:t>
      </w:r>
      <w:r>
        <w:t>. Con fecha 29 de septiembre de 2023 la Secretaría de Justicia de la Sala Primera dictó diligencia de ordenación acordando lo que sigue: “En el asunto reseñado se tienen por recibidos los testimonios de las actuaciones remitidos por la Sección Sexta de la Audiencia Provincial de Málaga y Juzgado de Primera Instancia núm. 16 de dicha capital, de los que se acusará recibo, y escrito del procurador Antonio Ortega Fuentes, a quien se tiene por personado y parte en nombre y representación de doña M.J.L.B., con quien se entenderán la presente y sucesivas diligencias.</w:t>
      </w:r>
    </w:p>
    <w:p w14:paraId="52637AA1" w14:textId="77777777" w:rsidR="00F64776" w:rsidRDefault="00F64776" w:rsidP="00F64776">
      <w:pPr>
        <w:pStyle w:val="TextoNormal"/>
      </w:pPr>
    </w:p>
    <w:p w14:paraId="2C8EC4EC" w14:textId="1F7FD9C5" w:rsidR="00F64776" w:rsidRDefault="00F64776" w:rsidP="00F64776">
      <w:pPr>
        <w:pStyle w:val="TextoNormal"/>
      </w:pPr>
      <w:r>
        <w:t>A tenor de lo dispuesto en el art. 52 de la Ley Orgánica del Tribunal Constitucional, se da vista, a través de la sede electrónica del Tribunal, de todas las actuaciones del presente recurso de amparo, por un plazo común de veinte días, al Ministerio Fiscal y a las partes personadas, para que dentro de dicho término puedan presentar las alegaciones que a su derecho convenga”.</w:t>
      </w:r>
    </w:p>
    <w:p w14:paraId="47C71BBF" w14:textId="77777777" w:rsidR="00F64776" w:rsidRDefault="00F64776" w:rsidP="00F64776">
      <w:pPr>
        <w:pStyle w:val="TextoNormal"/>
      </w:pPr>
    </w:p>
    <w:p w14:paraId="23620816" w14:textId="26C012F2" w:rsidR="00F64776" w:rsidRDefault="00F64776" w:rsidP="00F64776">
      <w:pPr>
        <w:pStyle w:val="TextoNormal"/>
      </w:pPr>
      <w:r w:rsidRPr="00F64776">
        <w:rPr>
          <w:rStyle w:val="NumeroAFNegritaCaracter"/>
        </w:rPr>
        <w:t>14</w:t>
      </w:r>
      <w:r>
        <w:t>. Con relación de nuevo a esta pieza separada, la Secretaría de Justicia de la Sección Segunda de este Tribunal dictó el 2 de octubre de 2023 una diligencia de ordenación en la que se dispuso que: “habiéndose personado en las actuaciones principales el Procurador Antonio Ortega Fuentes en nombre y representación de M. J. L. B., de conformidad con lo prevenido en el art. 56 de la Ley Orgánica del Tribunal Constitucional, se acuerda conceder un plazo de tres días a la indicada parte, para que dentro de dicho término alegue lo que estime pertinente en relación con la petición de suspensión interesada en el presente recurso, así como sobre el desistimiento planteado por la parte demandante en la pieza de suspensión abierta al efecto”.</w:t>
      </w:r>
    </w:p>
    <w:p w14:paraId="6A56D799" w14:textId="77777777" w:rsidR="00F64776" w:rsidRDefault="00F64776" w:rsidP="00F64776">
      <w:pPr>
        <w:pStyle w:val="TextoNormal"/>
      </w:pPr>
    </w:p>
    <w:p w14:paraId="4F97E0F8" w14:textId="26A3628D" w:rsidR="00F64776" w:rsidRDefault="00F64776" w:rsidP="00F64776">
      <w:pPr>
        <w:pStyle w:val="TextoNormal"/>
      </w:pPr>
      <w:r w:rsidRPr="00F64776">
        <w:rPr>
          <w:rStyle w:val="NumeroAFNegritaCaracter"/>
        </w:rPr>
        <w:t>15</w:t>
      </w:r>
      <w:r>
        <w:t>. Con fecha 6 de octubre de 2023 presentó escrito el representante procesal de la parte personada, por el que vino a manifestar “que esta parte no se pone [sic] a la suspensión del presente recurso solicitada de contrario, así como tampoco al desistimiento planteado por la demandante en la pieza de suspensión incoada, solicitando pronunciamiento con expresa imposición de las costas causadas a dicha parte demandante”.</w:t>
      </w:r>
    </w:p>
    <w:p w14:paraId="1276F914" w14:textId="77777777" w:rsidR="00F64776" w:rsidRDefault="00F64776" w:rsidP="00F64776">
      <w:pPr>
        <w:pStyle w:val="TextoNormal"/>
      </w:pPr>
    </w:p>
    <w:p w14:paraId="60DDB1D0" w14:textId="33FB6FC6" w:rsidR="00F64776" w:rsidRDefault="00F64776" w:rsidP="00F64776">
      <w:pPr>
        <w:pStyle w:val="TextoNormal"/>
      </w:pPr>
      <w:r w:rsidRPr="00F64776">
        <w:rPr>
          <w:rStyle w:val="NumeroAFNegritaCaracter"/>
        </w:rPr>
        <w:t>16</w:t>
      </w:r>
      <w:r>
        <w:t>. La Secretaría de Justicia ha dictado diligencia el 9 de octubre de 2023, haciendo constar la recepción del escrito de doña M. J. L. B, evacuando el trámite de alegaciones conferido.</w:t>
      </w:r>
    </w:p>
    <w:p w14:paraId="0BA96FE3" w14:textId="77777777" w:rsidR="00F64776" w:rsidRDefault="00F64776" w:rsidP="00F64776">
      <w:pPr>
        <w:pStyle w:val="TextoNormal"/>
      </w:pPr>
    </w:p>
    <w:p w14:paraId="4D9DE0CC" w14:textId="77777777" w:rsidR="00F64776" w:rsidRDefault="00F64776" w:rsidP="00F64776">
      <w:pPr>
        <w:pStyle w:val="TextoNormalNegritaCentrado"/>
        <w:keepNext/>
      </w:pPr>
      <w:r>
        <w:t>II. Fundamentos jurídicos</w:t>
      </w:r>
    </w:p>
    <w:p w14:paraId="7D53CE6E" w14:textId="132355C3" w:rsidR="00F64776" w:rsidRDefault="00F64776" w:rsidP="00F64776">
      <w:pPr>
        <w:pStyle w:val="TextoNormalNegritaCentrado"/>
        <w:keepNext/>
      </w:pPr>
    </w:p>
    <w:p w14:paraId="4B1C1C5B" w14:textId="77777777" w:rsidR="00F64776" w:rsidRDefault="00F64776" w:rsidP="00F64776">
      <w:pPr>
        <w:pStyle w:val="TextoNormal"/>
      </w:pPr>
      <w:r w:rsidRPr="00F64776">
        <w:rPr>
          <w:rStyle w:val="NumeroAFNegritaCaracter"/>
        </w:rPr>
        <w:t>1</w:t>
      </w:r>
      <w:r>
        <w:t>. Por medio de un “otrosí digo” en su demanda, pretensión que reiteró en el escrito de alegaciones formulado tras la apertura de esta pieza incidental, el recurrente solicitó de este Tribunal la suspensión cautelar hasta que se dicte sentencia en el presente proceso de amparo, de los autos impugnados que han otorgado a la madre del menor don M. O. L., la facultad exclusiva de decidir sobre la administración a su hijo de la vacuna contra el SARS-COVID-19.</w:t>
      </w:r>
    </w:p>
    <w:p w14:paraId="7E0E8714" w14:textId="77777777" w:rsidR="00F64776" w:rsidRDefault="00F64776" w:rsidP="00F64776">
      <w:pPr>
        <w:pStyle w:val="TextoNormal"/>
      </w:pPr>
    </w:p>
    <w:p w14:paraId="1511593E" w14:textId="77777777" w:rsidR="00F64776" w:rsidRDefault="00F64776" w:rsidP="00F64776">
      <w:pPr>
        <w:pStyle w:val="TextoNormal"/>
      </w:pPr>
      <w:r>
        <w:t>A solicitud de la fiscal ante este Tribunal se dirigió oficio al Servicio Andaluz de Salud a fin de conocer si el menor había sido ya vacunado del covid-19, habiendo dado respuesta dicho organismo en sentido afirmativo pues recibió dos dosis de la vacuna Pfizer/BioNTech en los meses de enero y marzo de este año. Con traslado al recurrente y al ministerio fiscal del oficio recibido, el primero ha presentado un escrito manifestando su voluntad de desistir de la solicitud de suspensión cautelar de los autos impugnados, al estar su hijo ya vacunado y no preverse una tercera dosis para él, “sin que este desistimiento deba interpretarse como una renuncia”, por lo que entiende que procede el archivo de esta pieza. La fiscal ante este Tribunal no se ha opuesto al desistimiento planteado, interesando solamente que el procurador del recurrente aportara un poder especial que incluyera la facultad de desistimiento, lo que ha sido cumplimentado por dicha parte, a requerimiento de la Secretaría de Justicia. Y la madre del menor, personada en el recurso, ha presentado también escrito en la pieza sin alegar razones en contra del desistimiento.</w:t>
      </w:r>
    </w:p>
    <w:p w14:paraId="781D2122" w14:textId="77777777" w:rsidR="00F64776" w:rsidRDefault="00F64776" w:rsidP="00F64776">
      <w:pPr>
        <w:pStyle w:val="TextoNormal"/>
      </w:pPr>
    </w:p>
    <w:p w14:paraId="49420EBA" w14:textId="77777777" w:rsidR="00F64776" w:rsidRDefault="00F64776" w:rsidP="00F64776">
      <w:pPr>
        <w:pStyle w:val="TextoNormal"/>
      </w:pPr>
      <w:r>
        <w:t>El objeto por tanto de la presente resolución no es pronunciarnos sobre la solicitud de suspensión cautelar de los autos impugnados, sino sobre la pretensión sobrevenida del recurrente de desistir de esta pieza separada (que no del recurso principal, el cual a su vez sigue su curso). Solamente de considerarse inviable el desistimiento, tendríamos que entrar a resolver los motivos previamente alegados en favor de la suspensión.</w:t>
      </w:r>
    </w:p>
    <w:p w14:paraId="3E490F8F" w14:textId="77777777" w:rsidR="00F64776" w:rsidRDefault="00F64776" w:rsidP="00F64776">
      <w:pPr>
        <w:pStyle w:val="TextoNormal"/>
      </w:pPr>
    </w:p>
    <w:p w14:paraId="21BF40C5" w14:textId="4D9BFA5B" w:rsidR="00F64776" w:rsidRDefault="00F64776" w:rsidP="00F64776">
      <w:pPr>
        <w:pStyle w:val="TextoNormal"/>
      </w:pPr>
      <w:r>
        <w:t>Antes de continuar nuestro examen, debe precisarse que al amparo de lo establecido en el art. 86.3 de la Ley Orgánica del Tribunal Constitucional (LOTC) y en el acuerdo del Pleno del Tribunal Constitucional de 23 de julio de 2015, por el que se regula la exclusión de los datos de identidad personal en la publicación de las resoluciones jurisdiccionales (“Boletín Oficial del Estado” núm. 178, de 27 de julio de 2015), en atención a que el objeto de controversia de este proceso constitucional versa sobre una persona que requiere un especial deber de tutela por su falta de capacidad civil, en la presente resolución se identifican por sus iniciales a los intervinientes con la finalidad de preservar de modo efectivo el anonimato de las personas concernidas.</w:t>
      </w:r>
    </w:p>
    <w:p w14:paraId="7E7F07E3" w14:textId="77777777" w:rsidR="00F64776" w:rsidRDefault="00F64776" w:rsidP="00F64776">
      <w:pPr>
        <w:pStyle w:val="TextoNormal"/>
      </w:pPr>
    </w:p>
    <w:p w14:paraId="55D279EE" w14:textId="77777777" w:rsidR="00F64776" w:rsidRDefault="00F64776" w:rsidP="00F64776">
      <w:pPr>
        <w:pStyle w:val="TextoNormal"/>
      </w:pPr>
      <w:r w:rsidRPr="00F64776">
        <w:rPr>
          <w:rStyle w:val="NumeroAFNegritaCaracter"/>
        </w:rPr>
        <w:t>2</w:t>
      </w:r>
      <w:r>
        <w:t>. Así planteado el debate, ha de accederse a la solicitud de desistimiento formulada por el recurrente. De un lado, porque como este mismo ha argumentado en sus escritos, su interés en la suspensión cautelar de las resoluciones estribaba en evitar que se le administrara la vacuna contra el covid-19 a su hijo menor, hecho que sin embargo ya ha sucedido, por lo que no se obtendría ya el fin por aquel pretendido si se acuerda tal suspensión.</w:t>
      </w:r>
    </w:p>
    <w:p w14:paraId="3BCF51AE" w14:textId="77777777" w:rsidR="00F64776" w:rsidRDefault="00F64776" w:rsidP="00F64776">
      <w:pPr>
        <w:pStyle w:val="TextoNormal"/>
      </w:pPr>
    </w:p>
    <w:p w14:paraId="49CE5874" w14:textId="4DFA969C" w:rsidR="00F64776" w:rsidRDefault="00F64776" w:rsidP="00F64776">
      <w:pPr>
        <w:pStyle w:val="TextoNormal"/>
      </w:pPr>
      <w:r>
        <w:t xml:space="preserve">La aceptación por tanto del desistimiento que se interesa, y del que no se ha formalizado oposición por las demás partes de este proceso, cumplido el requisito de aportación de poder especial en favor del procurador del recurrente conteniendo dicha facultad, no hace sino mantener el </w:t>
      </w:r>
      <w:r w:rsidRPr="00F64776">
        <w:rPr>
          <w:i/>
        </w:rPr>
        <w:t>statu quo</w:t>
      </w:r>
      <w:r>
        <w:t xml:space="preserve"> hasta ahora existente, el de la normal ejecución de los autos impugnados, sin perjuicio de lo que al final se determine en la sentencia que resuelva sobre el fondo del recurso principal, respecto del cual no ha habido desistimiento de la parte demandante.</w:t>
      </w:r>
    </w:p>
    <w:p w14:paraId="7C046F87" w14:textId="77777777" w:rsidR="00F64776" w:rsidRDefault="00F64776" w:rsidP="00F64776">
      <w:pPr>
        <w:pStyle w:val="TextoNormal"/>
      </w:pPr>
    </w:p>
    <w:p w14:paraId="71125A5E" w14:textId="77777777" w:rsidR="00F64776" w:rsidRDefault="00F64776" w:rsidP="00F64776">
      <w:pPr>
        <w:pStyle w:val="TextoNormal"/>
      </w:pPr>
      <w:r>
        <w:t>Por lo expuesto, la Sala</w:t>
      </w:r>
    </w:p>
    <w:p w14:paraId="58A9D777" w14:textId="06BBE379" w:rsidR="00F64776" w:rsidRDefault="00F64776" w:rsidP="00F64776">
      <w:pPr>
        <w:pStyle w:val="TextoNormal"/>
      </w:pPr>
    </w:p>
    <w:p w14:paraId="0804FF78" w14:textId="77777777" w:rsidR="00F64776" w:rsidRDefault="00F64776" w:rsidP="00F64776">
      <w:pPr>
        <w:pStyle w:val="TextoNormalCentrado"/>
      </w:pPr>
      <w:r>
        <w:t>ACUERDA</w:t>
      </w:r>
    </w:p>
    <w:p w14:paraId="4B41D91A" w14:textId="3832982E" w:rsidR="00F64776" w:rsidRDefault="00F64776" w:rsidP="00F64776">
      <w:pPr>
        <w:pStyle w:val="TextoNormalCentrado"/>
      </w:pPr>
    </w:p>
    <w:p w14:paraId="10786FBA" w14:textId="7762DB67" w:rsidR="00F64776" w:rsidRDefault="00F64776" w:rsidP="00F64776">
      <w:pPr>
        <w:pStyle w:val="TextoNormal"/>
      </w:pPr>
      <w:r>
        <w:t>Aceptar el desistimiento formulado por el recurrente respecto de su solicitud de suspensión cautelar de las resoluciones impugnadas.</w:t>
      </w:r>
    </w:p>
    <w:p w14:paraId="4A374BD2" w14:textId="77777777" w:rsidR="00F64776" w:rsidRDefault="00F64776" w:rsidP="00F64776">
      <w:pPr>
        <w:pStyle w:val="TextoNormal"/>
      </w:pPr>
    </w:p>
    <w:p w14:paraId="7E1EA97B" w14:textId="77777777" w:rsidR="00F64776" w:rsidRDefault="00F64776" w:rsidP="00F64776">
      <w:pPr>
        <w:pStyle w:val="TextoNormal"/>
      </w:pPr>
      <w:r>
        <w:t>Madrid, a veintitrés de octubre de dos mil veintitrés.</w:t>
      </w:r>
    </w:p>
    <w:p w14:paraId="5FFC1AD4" w14:textId="659E1CD7" w:rsidR="00F64776" w:rsidRDefault="00F64776">
      <w:pPr>
        <w:spacing w:after="160" w:line="278" w:lineRule="auto"/>
        <w:rPr>
          <w:rFonts w:ascii="Times New Roman" w:eastAsia="Times New Roman" w:hAnsi="Times New Roman" w:cs="Times New Roman"/>
          <w:sz w:val="24"/>
          <w:szCs w:val="24"/>
          <w:lang w:eastAsia="es-ES"/>
        </w:rPr>
      </w:pPr>
      <w:r>
        <w:br w:type="page"/>
      </w:r>
    </w:p>
    <w:p w14:paraId="07A1C866" w14:textId="77777777" w:rsidR="00F64776" w:rsidRDefault="00F64776" w:rsidP="00F64776">
      <w:pPr>
        <w:pStyle w:val="TtuloResolucin"/>
      </w:pPr>
      <w:bookmarkStart w:id="258" w:name="AUTO_2023_473"/>
      <w:r>
        <w:t>AUTO 473/2023, de 23 de octubre de 2023</w:t>
      </w:r>
    </w:p>
    <w:bookmarkEnd w:id="258"/>
    <w:p w14:paraId="68080F6F" w14:textId="77777777" w:rsidR="00F64776" w:rsidRDefault="00F64776" w:rsidP="00F64776">
      <w:pPr>
        <w:pStyle w:val="TtuloResolucin"/>
      </w:pPr>
      <w:r>
        <w:t>Sala Primera</w:t>
      </w:r>
    </w:p>
    <w:p w14:paraId="26A38C91" w14:textId="77777777" w:rsidR="00F64776" w:rsidRDefault="00F64776" w:rsidP="00F64776">
      <w:pPr>
        <w:pStyle w:val="TextoNormalCentrado"/>
      </w:pPr>
      <w:r>
        <w:t>ECLI:ES:TC:2023:473A</w:t>
      </w:r>
    </w:p>
    <w:p w14:paraId="2B6C23D5" w14:textId="6EA76390" w:rsidR="00F64776" w:rsidRDefault="00F64776" w:rsidP="00F64776">
      <w:pPr>
        <w:pStyle w:val="TextoNormalCentrado"/>
      </w:pPr>
    </w:p>
    <w:p w14:paraId="0243AD49" w14:textId="77777777" w:rsidR="00F64776" w:rsidRDefault="00F64776" w:rsidP="00F64776">
      <w:pPr>
        <w:pStyle w:val="SntesisDescriptiva"/>
      </w:pPr>
      <w:r>
        <w:t>Excms. Srs. don Cándido Conde-Pumpido Tourón, don Ricardo Enríquez Sancho, doña Concepción Espejel Jorquera, doña María Luisa Segoviano Astaburuaga y don Juan Carlos Campo Moreno.</w:t>
      </w:r>
    </w:p>
    <w:p w14:paraId="6B9368D4" w14:textId="11298E45" w:rsidR="00F64776" w:rsidRDefault="00F64776" w:rsidP="00F64776">
      <w:pPr>
        <w:pStyle w:val="SntesisDescriptiva"/>
      </w:pPr>
    </w:p>
    <w:p w14:paraId="33616E67" w14:textId="77777777" w:rsidR="00F64776" w:rsidRDefault="00F64776" w:rsidP="00F64776">
      <w:pPr>
        <w:pStyle w:val="SntesisDescriptiva"/>
      </w:pPr>
      <w:r>
        <w:t>Deniega la suspensión en el recurso de amparo 1305-2023, promovido por don M.J.B.D., en procedimiento de jurisdicción voluntaria.</w:t>
      </w:r>
    </w:p>
    <w:p w14:paraId="7843CA34" w14:textId="5BB11437" w:rsidR="00F64776" w:rsidRDefault="00F64776" w:rsidP="00F64776">
      <w:pPr>
        <w:pStyle w:val="SntesisDescriptiva"/>
      </w:pPr>
    </w:p>
    <w:p w14:paraId="7DF443A3" w14:textId="77777777" w:rsidR="00F64776" w:rsidRDefault="00F64776" w:rsidP="00F64776">
      <w:pPr>
        <w:pStyle w:val="SntesisDescriptiva"/>
      </w:pPr>
    </w:p>
    <w:p w14:paraId="3DD266A8" w14:textId="77777777" w:rsidR="00F64776" w:rsidRDefault="00F64776" w:rsidP="00F64776">
      <w:pPr>
        <w:pStyle w:val="SntesisDescriptiva"/>
      </w:pPr>
    </w:p>
    <w:p w14:paraId="7628837D" w14:textId="77777777" w:rsidR="00F64776" w:rsidRDefault="00F64776" w:rsidP="00F64776">
      <w:pPr>
        <w:pStyle w:val="TextoNormalNegritaCentrado"/>
      </w:pPr>
      <w:r>
        <w:t>AUTO</w:t>
      </w:r>
    </w:p>
    <w:p w14:paraId="57BF515B" w14:textId="61A0F01D" w:rsidR="00F64776" w:rsidRDefault="00F64776" w:rsidP="00F64776">
      <w:pPr>
        <w:pStyle w:val="TextoNormalNegritaCentrado"/>
      </w:pPr>
    </w:p>
    <w:p w14:paraId="236947C3" w14:textId="77777777" w:rsidR="00F64776" w:rsidRDefault="00F64776" w:rsidP="00F64776">
      <w:pPr>
        <w:pStyle w:val="TextoNormalNegritaCentrado"/>
        <w:keepNext/>
      </w:pPr>
      <w:r>
        <w:t>I. Antecedentes</w:t>
      </w:r>
    </w:p>
    <w:p w14:paraId="4495182B" w14:textId="26CD0C9A" w:rsidR="00F64776" w:rsidRDefault="00F64776" w:rsidP="00F64776">
      <w:pPr>
        <w:pStyle w:val="TextoNormalNegritaCentrado"/>
        <w:keepNext/>
      </w:pPr>
    </w:p>
    <w:p w14:paraId="2FC9F630" w14:textId="77777777" w:rsidR="00F64776" w:rsidRDefault="00F64776" w:rsidP="00F64776">
      <w:pPr>
        <w:pStyle w:val="TextoNormal"/>
      </w:pPr>
      <w:r w:rsidRPr="00F64776">
        <w:rPr>
          <w:rStyle w:val="NumeroAFNegritaCaracter"/>
        </w:rPr>
        <w:t>1</w:t>
      </w:r>
      <w:r>
        <w:t xml:space="preserve">. Mediante escrito de 27 de febrero de 2023, el procurador de los tribunales don Álvaro Carrasco Posada, en nombre y representación de don M.J.B.D., formuló recurso de amparo contra el auto de 13 de enero de 2023, dictado en apelación, por el que la Sección Vigésima Segunda de la Audiencia Provincial de Madrid ratificó el auto de 27 de mayo de 2022, dictado por el Juzgado de Primera Instancia núm. 6 de Alcobendas en el procedimiento de jurisdicción voluntaria núm. 118-2022 sobre desacuerdo en el ejercicio de la patria potestad sobre descendiente común menor de edad, relativo a la formación religiosa que debe recibir. En dicha resolución la magistrada-juez estimó la pretensión de la progenitora y acordó otorgarle el ejercicio exclusivo de la patria potestad respecto de la facultad de decidir sobre las decisiones de formación religiosa del menor hasta que tenga doce años, mediante la formación en valores de su hijo, excluyendo la adscripción efectiva a una confesión religiosa y, en consecuencia, prohibiendo expresamente al padre ponerle pasajes bíblicos en la </w:t>
      </w:r>
      <w:r w:rsidRPr="00F64776">
        <w:rPr>
          <w:i/>
        </w:rPr>
        <w:t>tablet</w:t>
      </w:r>
      <w:r>
        <w:t xml:space="preserve"> que utiliza el menor, llevarle a la Iglesia evangélica y adoctrinarle en dicha fe religiosa.</w:t>
      </w:r>
    </w:p>
    <w:p w14:paraId="1485223A" w14:textId="77777777" w:rsidR="00F64776" w:rsidRDefault="00F64776" w:rsidP="00F64776">
      <w:pPr>
        <w:pStyle w:val="TextoNormal"/>
      </w:pPr>
    </w:p>
    <w:p w14:paraId="3943B7BB" w14:textId="77777777" w:rsidR="00F64776" w:rsidRDefault="00F64776" w:rsidP="00F64776">
      <w:pPr>
        <w:pStyle w:val="TextoNormal"/>
      </w:pPr>
      <w:r>
        <w:t>En el recurso de amparo, presentado por el padre del menor, se alega: (i) la vulneración de su derecho a la libertad religiosa (art. 16.1 CE) porque la resolución judicial le impide en su esfera privada compartir o enseñar a su hijo su fe o valores, atribuyendo a la madre en exclusiva un derecho de veto sobre la libertad religiosa del recurrente en amparo y del menor, de modo que solo ella pueda decidir sobre la formación religiosa del segundo; y (ii) la vulneración del derecho fundamental del recurrente a que su hijo reciba la formación religiosa y moral que esté de acuerdo con sus propias convicciones (art. 27.3 CE). Considera que las decisiones judiciales cuestionadas limitan indebidamente este derecho y atribuye su ejercicio en exclusiva a la madre, lo que conlleva una discriminación por razón de religión o creencia, en contra del art. 14 CE, que pone en relación con los acuerdos internacionales de protección de los derechos de los menores.</w:t>
      </w:r>
    </w:p>
    <w:p w14:paraId="09239B6E" w14:textId="77777777" w:rsidR="00F64776" w:rsidRDefault="00F64776" w:rsidP="00F64776">
      <w:pPr>
        <w:pStyle w:val="TextoNormal"/>
      </w:pPr>
    </w:p>
    <w:p w14:paraId="28A2B3D6" w14:textId="666E50D7" w:rsidR="00F64776" w:rsidRDefault="00F64776" w:rsidP="00F64776">
      <w:pPr>
        <w:pStyle w:val="TextoNormal"/>
      </w:pPr>
      <w:r>
        <w:t xml:space="preserve">Mediante otrosí, </w:t>
      </w:r>
      <w:r w:rsidRPr="00F64776">
        <w:rPr>
          <w:i/>
        </w:rPr>
        <w:t>ex</w:t>
      </w:r>
      <w:r>
        <w:t xml:space="preserve"> art. 56 de la Ley Orgánica del Tribunal Constitucional (LOTC), el recurrente solicitó la suspensión de la ejecución de las resoluciones recurridas en amparo, alegando la intensidad de las limitaciones que, según su criterio, introduce la decisión judicial en la formación religiosa del menor, cuya efectividad en el tiempo haría perder su finalidad al amparo.</w:t>
      </w:r>
    </w:p>
    <w:p w14:paraId="3952CC1F" w14:textId="77777777" w:rsidR="00F64776" w:rsidRDefault="00F64776" w:rsidP="00F64776">
      <w:pPr>
        <w:pStyle w:val="TextoNormal"/>
      </w:pPr>
    </w:p>
    <w:p w14:paraId="5DB09F77" w14:textId="301C6A6A" w:rsidR="00F64776" w:rsidRDefault="00F64776" w:rsidP="00F64776">
      <w:pPr>
        <w:pStyle w:val="TextoNormal"/>
      </w:pPr>
      <w:r w:rsidRPr="00F64776">
        <w:rPr>
          <w:rStyle w:val="NumeroAFNegritaCaracter"/>
        </w:rPr>
        <w:t>2</w:t>
      </w:r>
      <w:r>
        <w:t>. Por providencia de 3 de julio de 2023, la Sección Segunda de este tribunal acordó admitir a trámite el recurso de amparo apreciando que concurre en el mismo una especial trascendencia constitucional (art. 50.1 LOTC) porque puede dar ocasión al Tribunal para aclarar o cambiar su doctrina, como consecuencia de un cambio en la de los órganos de garantía encargados de la interpretación de los tratados y acuerdos internacionales a los que se refiere el art. 10.2 CE [STC 155/2009, de 25 de junio, FJ 2 b)]. Y, en aplicación de lo dispuesto en el art. 56 LOTC, en la misma fecha se dictó también providencia en la que se acordó formar la oportuna pieza separada para la tramitación del incidente de suspensión, concediendo un plazo común de tres días al recurrente y al Ministerio Fiscal para que alegaran lo que estimasen pertinente sobre la petición de suspensión interesada.</w:t>
      </w:r>
    </w:p>
    <w:p w14:paraId="0CCA879D" w14:textId="77777777" w:rsidR="00F64776" w:rsidRDefault="00F64776" w:rsidP="00F64776">
      <w:pPr>
        <w:pStyle w:val="TextoNormal"/>
      </w:pPr>
    </w:p>
    <w:p w14:paraId="0ED937BF" w14:textId="77777777" w:rsidR="00F64776" w:rsidRDefault="00F64776" w:rsidP="00F64776">
      <w:pPr>
        <w:pStyle w:val="TextoNormal"/>
      </w:pPr>
      <w:r w:rsidRPr="00F64776">
        <w:rPr>
          <w:rStyle w:val="NumeroAFNegritaCaracter"/>
        </w:rPr>
        <w:t>3</w:t>
      </w:r>
      <w:r>
        <w:t xml:space="preserve">. Mediante escrito de 10 de julio de 2023, la representación procesal del demandante reiteró su solicitud de suspensión de la decisión judicial cuestionada por entender que, de no otorgarse, “se producirá, como de hecho se está produciendo, un perjuicio a mi representado que puede hacer que el amparo pierda su finalidad, además de que dicha suspensión no afecta a ningún derecho fundamental de ninguna persona. El perjuicio para mi representado consiste en que está viendo mermado su derecho a la libertad religiosa, </w:t>
      </w:r>
      <w:r w:rsidRPr="00F64776">
        <w:rPr>
          <w:i/>
        </w:rPr>
        <w:t>ex</w:t>
      </w:r>
      <w:r>
        <w:t xml:space="preserve"> artículo 16.1 de la Constitución Española y artículo 27.3, en su vertiente de poder compartir con los demás sus creencias, y nada menos que en un ámbito tan sensible e íntimo como es la relación con su hijo menor, de 7 años, en pleno desarrollo formativo, afectivo y emocional, al verse privado de poder compartir su fe con el mismo, e incluso, leerle la Biblia en su esfera privada uno de los libros más vendidos y leídos en todo el mundo. Perjuicio que puede ser irreparable o de difícil de reparación, toda vez que, con las decisiones judiciales adoptadas, objeto de recurso, se traslada al menor una estigmatización de la fe del padre”.</w:t>
      </w:r>
    </w:p>
    <w:p w14:paraId="2B921CCD" w14:textId="77777777" w:rsidR="00F64776" w:rsidRDefault="00F64776" w:rsidP="00F64776">
      <w:pPr>
        <w:pStyle w:val="TextoNormal"/>
      </w:pPr>
    </w:p>
    <w:p w14:paraId="230FF331" w14:textId="0412DFD0" w:rsidR="00F64776" w:rsidRDefault="00F64776" w:rsidP="00F64776">
      <w:pPr>
        <w:pStyle w:val="TextoNormal"/>
      </w:pPr>
      <w:r>
        <w:t>Considera, en tal medida que “la no suspensión de la abstención impuesta a mi representado le impide mientras se sustancia el recurso interpuesto el ejercicio de su derecho fundamental a la libertad religiosa, suponiendo una injerencia en la relación paterno filial en este ámbito tan sensible”. Entiende, por ello, que el perjuicio alegado es extensible a la libertad religiosa del propio menor, dadas las exigencias de abstención que le han sido impuestas.</w:t>
      </w:r>
    </w:p>
    <w:p w14:paraId="0069C15A" w14:textId="77777777" w:rsidR="00F64776" w:rsidRDefault="00F64776" w:rsidP="00F64776">
      <w:pPr>
        <w:pStyle w:val="TextoNormal"/>
      </w:pPr>
    </w:p>
    <w:p w14:paraId="2CB62239" w14:textId="77777777" w:rsidR="00F64776" w:rsidRDefault="00F64776" w:rsidP="00F64776">
      <w:pPr>
        <w:pStyle w:val="TextoNormal"/>
      </w:pPr>
      <w:r w:rsidRPr="00F64776">
        <w:rPr>
          <w:rStyle w:val="NumeroAFNegritaCaracter"/>
        </w:rPr>
        <w:t>4</w:t>
      </w:r>
      <w:r>
        <w:t>. En su escrito de alegaciones, presentado el 24 de julio siguiente, la fiscal interesó la desestimación de la pretensión cautelar ejercitada en la demanda. Tras exponer la doctrina del Tribunal Constitucional sobre la posibilidad de obtener tutela cautelar mediante la suspensión de la ejecución de las resoluciones judiciales firmes cuestionadas en amparo, considera la fiscal que los perjuicios alegados por el recurrente no constan debidamente acreditados con arreglo a los parámetros fijados por la citada doctrina, dado que en la solicitud únicamente se exponen temores sobre las hipotéticas consecuencias de la ejecución de las resoluciones impugnadas, que derivarían de un supuesto “adoctrinamiento” por parte de la madre a la que se ha otorgado la facultad de decidir en esta materia, sin que haya sido aportado principio alguno de prueba de dicha conducta. Tampoco aparecería debidamente justificado en qué medida dichos perjuicios resultarían irreparables y harían perder al amparo su finalidad, dado que, en caso de ser estimado el recurso, el demandante tendría la posibilidad de ejercer plenamente el derecho invocado. En consecuencia, se considera que el demandante de amparo no ha acreditado debidamente el perjuicio aducido ni la concurrencia de daños irreversibles o de muy difícil reparación que impidan la efectividad de la restauración del derecho fundamental alegado en caso de otorgamiento del amparo.</w:t>
      </w:r>
    </w:p>
    <w:p w14:paraId="0CBD6AD9" w14:textId="77777777" w:rsidR="00F64776" w:rsidRDefault="00F64776" w:rsidP="00F64776">
      <w:pPr>
        <w:pStyle w:val="TextoNormal"/>
      </w:pPr>
    </w:p>
    <w:p w14:paraId="3A9B9569" w14:textId="333709A0" w:rsidR="00F64776" w:rsidRDefault="00F64776" w:rsidP="00F64776">
      <w:pPr>
        <w:pStyle w:val="TextoNormal"/>
      </w:pPr>
      <w:r>
        <w:t>A lo expuesto, con expresa mención de la justificación de lo resuelto en un caso semejante (ATC 136/2022, de 24 de octubre), aduce que acceder a la medida cautelar solicitada supondría tanto como otorgar de forma anticipada e indebida el amparo pretendido, pues el fundamento de la pretensión cautelar y la justificación del recurso de amparo son coincidentes.</w:t>
      </w:r>
    </w:p>
    <w:p w14:paraId="7B8946E0" w14:textId="77777777" w:rsidR="00F64776" w:rsidRDefault="00F64776" w:rsidP="00F64776">
      <w:pPr>
        <w:pStyle w:val="TextoNormal"/>
      </w:pPr>
    </w:p>
    <w:p w14:paraId="5B903499" w14:textId="77777777" w:rsidR="00F64776" w:rsidRDefault="00F64776" w:rsidP="00F64776">
      <w:pPr>
        <w:pStyle w:val="TextoNormal"/>
      </w:pPr>
      <w:r w:rsidRPr="00F64776">
        <w:rPr>
          <w:rStyle w:val="NumeroAFNegritaCaracter"/>
        </w:rPr>
        <w:t>5</w:t>
      </w:r>
      <w:r>
        <w:t>. La procuradora doña María Soledad Castañeda González, en representación de doña P.G.R. (madre del menor, que fue demandante en la vía judicial previa), solicitó personarse en el presente recurso de amparo mediante escrito de fecha 31 de julio de 2023. Su personación fue aceptada mediante diligencia de ordenación de 1 de septiembre de 2023, por lo que, mediante nueva diligencia de 5 de septiembre siguiente, se le concedió un plazo de 3 días para formular alegaciones en la presente pieza separada sobre suspensión cautelar.</w:t>
      </w:r>
    </w:p>
    <w:p w14:paraId="6EC5BE79" w14:textId="77777777" w:rsidR="00F64776" w:rsidRDefault="00F64776" w:rsidP="00F64776">
      <w:pPr>
        <w:pStyle w:val="TextoNormal"/>
      </w:pPr>
    </w:p>
    <w:p w14:paraId="6ECD62B6" w14:textId="77777777" w:rsidR="00F64776" w:rsidRDefault="00F64776" w:rsidP="00F64776">
      <w:pPr>
        <w:pStyle w:val="TextoNormal"/>
      </w:pPr>
      <w:r>
        <w:t>Las alegaciones sobre la tutela cautelar solicitada fueron formuladas mediante escrito registrado el 11 de septiembre de 2023. En ellas, coincidiendo con la fiscal, se solicita la desestimación de la petición de suspensión con argumentos similares a los ya expuestos. La representación procesal de la madre del menor destaca que la decisión judicial impugnada se limita a adoptar medidas en interés del menor; en este caso, en favor de su libertad religiosa “con el objeto de preservarle de los perjuicios que a su desarrollo personal pudiera irrogarle la influencia de las creencias que profesa su padre”. No aprecia perjuicio alguno acreditado sobre la esfera del menor por entender que el derecho fundamental de libertad religiosa reconocido a los menores es de su exclusiva titularidad, quedando excluido de la gestión y ejercicio por representación por los titulares de la patria potestad; más aún, cuando se trata de niños de tan corta edad como la del hijo común, que no ha alcanzado el grado de madurez y discernimiento que le permita ejercer personalmente las opciones y tomar las decisiones pertinentes en materia religiosa.</w:t>
      </w:r>
    </w:p>
    <w:p w14:paraId="3105639C" w14:textId="77777777" w:rsidR="00F64776" w:rsidRDefault="00F64776" w:rsidP="00F64776">
      <w:pPr>
        <w:pStyle w:val="TextoNormal"/>
      </w:pPr>
    </w:p>
    <w:p w14:paraId="76E6F87A" w14:textId="7D8961CF" w:rsidR="00F64776" w:rsidRDefault="00F64776" w:rsidP="00F64776">
      <w:pPr>
        <w:pStyle w:val="TextoNormal"/>
      </w:pPr>
      <w:r>
        <w:t>Por ello, afirma que los progenitores no deben tomar decisión alguna sobre prácticas, vinculaciones religiosas de ningún tipo o comportamientos ajenos que les induzcan a profesar una determinada creencia. Y, en tal medida, considera que los límites judicialmente impuestos no causan perjuicio alguno sobre la libertad religiosa del demandante, en tanto operan en interés superior del niño, por lo que, como ya ha advertido este tribunal, cuando el ejercicio de alguno de los derechos inherentes a los progenitores afecta al desenvolvimiento de sus relaciones filiales, y puede repercutir de un modo negativo en el desarrollo de su personalidad, el interés de los progenitores debe ceder frente al interés de aquel.</w:t>
      </w:r>
    </w:p>
    <w:p w14:paraId="5FF05420" w14:textId="77777777" w:rsidR="00F64776" w:rsidRDefault="00F64776" w:rsidP="00F64776">
      <w:pPr>
        <w:pStyle w:val="TextoNormal"/>
      </w:pPr>
    </w:p>
    <w:p w14:paraId="0D8B20F5" w14:textId="77777777" w:rsidR="00F64776" w:rsidRDefault="00F64776" w:rsidP="00F64776">
      <w:pPr>
        <w:pStyle w:val="TextoNormalNegritaCentrado"/>
        <w:keepNext/>
      </w:pPr>
      <w:r>
        <w:t>II. Fundamentos jurídicos</w:t>
      </w:r>
    </w:p>
    <w:p w14:paraId="7F480E8B" w14:textId="0A62DB7E" w:rsidR="00F64776" w:rsidRDefault="00F64776" w:rsidP="00F64776">
      <w:pPr>
        <w:pStyle w:val="TextoNormalNegritaCentrado"/>
        <w:keepNext/>
      </w:pPr>
    </w:p>
    <w:p w14:paraId="036B1193" w14:textId="77777777" w:rsidR="00F64776" w:rsidRDefault="00F64776" w:rsidP="00F64776">
      <w:pPr>
        <w:pStyle w:val="TextoNormal"/>
      </w:pPr>
      <w:r w:rsidRPr="00F64776">
        <w:rPr>
          <w:rStyle w:val="NumeroAFNegritaCaracter"/>
        </w:rPr>
        <w:t>1</w:t>
      </w:r>
      <w:r>
        <w:t>. El objeto de esta pieza de suspensión consiste en determinar si es procedente la suspensión cautelar instada por la parte recurrente en amparo, que se refiere al auto de 27 de mayo de 2022, dictado por el Juzgado de Primera Instancia núm. 6 de Alcobendas en el procedimiento de jurisdicción voluntaria sobre desacuerdo en el ejercicio de la patria potestad sobre descendiente común menor de edad, ratificado por otro de 13 de enero de 2023, dictado en apelación, por la Sección Vigésima Segunda de la Audiencia Provincial de Madrid, relativo a la formación religiosa que debe recibir el menor, nacido en 2016, hasta alcanzar la edad de doce años.</w:t>
      </w:r>
    </w:p>
    <w:p w14:paraId="074A9CD2" w14:textId="77777777" w:rsidR="00F64776" w:rsidRDefault="00F64776" w:rsidP="00F64776">
      <w:pPr>
        <w:pStyle w:val="TextoNormal"/>
      </w:pPr>
    </w:p>
    <w:p w14:paraId="7EB5B32D" w14:textId="77777777" w:rsidR="00F64776" w:rsidRDefault="00F64776" w:rsidP="00F64776">
      <w:pPr>
        <w:pStyle w:val="TextoNormal"/>
      </w:pPr>
      <w:r>
        <w:t xml:space="preserve">En dichas resoluciones, ante el desacuerdo parental, fue estimada la pretensión de la progenitora, por lo que se acordó otorgarle el ejercicio exclusivo de la patria potestad respecto de la facultad de decidir sobre las decisiones de formación religiosa del menor hasta que alcance la edad de doce años, manteniendo así los criterios adoptados por mutuo acuerdo entre ambos progenitores cuando la convivencia entre ambos era pacífica, lo que supone la formación de su hijo en valores que excluyan la adscripción efectiva a una confesión religiosa hasta que alcance la suficiente madurez, juicio y criterio para decidir por sí mismo. En consecuencia, se prohibió expresamente al padre incluir pasajes bíblicos en el dispositivo electrónico </w:t>
      </w:r>
      <w:r w:rsidRPr="00F64776">
        <w:rPr>
          <w:i/>
        </w:rPr>
        <w:t>tablet</w:t>
      </w:r>
      <w:r>
        <w:t xml:space="preserve"> que utiliza el menor, llevarle a la Iglesia evangélica y adoctrinarle en dicha fe religiosa.</w:t>
      </w:r>
    </w:p>
    <w:p w14:paraId="0C921826" w14:textId="77777777" w:rsidR="00F64776" w:rsidRDefault="00F64776" w:rsidP="00F64776">
      <w:pPr>
        <w:pStyle w:val="TextoNormal"/>
      </w:pPr>
    </w:p>
    <w:p w14:paraId="27E77681" w14:textId="77777777" w:rsidR="00F64776" w:rsidRDefault="00F64776" w:rsidP="00F64776">
      <w:pPr>
        <w:pStyle w:val="TextoNormal"/>
      </w:pPr>
      <w:r>
        <w:t>La representante del Ministerio Fiscal ha solicitado la desestimación de la pretensión cautelar por considerar no justificados los perjuicios alegados ni su carácter irreparable, y porque otorgar la tutela cautelar solicitada significaría inevitablemente analizar y pronunciarse sobre el debate de fondo de la pretensión de amparo planteada.</w:t>
      </w:r>
    </w:p>
    <w:p w14:paraId="7DB1451F" w14:textId="77777777" w:rsidR="00F64776" w:rsidRDefault="00F64776" w:rsidP="00F64776">
      <w:pPr>
        <w:pStyle w:val="TextoNormal"/>
      </w:pPr>
    </w:p>
    <w:p w14:paraId="2EDDA2B7" w14:textId="14B59EA4" w:rsidR="00F64776" w:rsidRDefault="00F64776" w:rsidP="00F64776">
      <w:pPr>
        <w:pStyle w:val="TextoNormal"/>
      </w:pPr>
      <w:r>
        <w:t>La madre del menor coincide con el Ministerio Fiscal en su propuesta desestimatoria, aduciendo argumentos que presentan identidad de razón con los ya expuestos.</w:t>
      </w:r>
    </w:p>
    <w:p w14:paraId="3A8B01F3" w14:textId="77777777" w:rsidR="00F64776" w:rsidRDefault="00F64776" w:rsidP="00F64776">
      <w:pPr>
        <w:pStyle w:val="TextoNormal"/>
      </w:pPr>
    </w:p>
    <w:p w14:paraId="1EF8EFB7" w14:textId="2BB54913" w:rsidR="00F64776" w:rsidRDefault="00F64776" w:rsidP="00F64776">
      <w:pPr>
        <w:pStyle w:val="TextoNormal"/>
      </w:pPr>
      <w:r w:rsidRPr="00F64776">
        <w:rPr>
          <w:rStyle w:val="NumeroAFNegritaCaracter"/>
        </w:rPr>
        <w:t>2</w:t>
      </w:r>
      <w:r>
        <w:t>. Al amparo de lo establecido en el art. 86.3 LOTC y en el acuerdo del Pleno del Tribunal Constitucional de 23 de julio de 2015, por el que se regula la exclusión de los datos de identidad personal en la publicación de las resoluciones jurisdiccionales (“Boletín Oficial del Estado” núm. 178, de 27 de julio de 2015), en atención a que el objeto de controversia de este proceso constitucional versa sobre personas que requieren un especial deber de tutela por su minoría de edad, en la presente resolución se identifican por sus iniciales a los intervinientes con la finalidad de preservar de modo efectivo el anonimato de las personas concernidas.</w:t>
      </w:r>
    </w:p>
    <w:p w14:paraId="606529A5" w14:textId="77777777" w:rsidR="00F64776" w:rsidRDefault="00F64776" w:rsidP="00F64776">
      <w:pPr>
        <w:pStyle w:val="TextoNormal"/>
      </w:pPr>
    </w:p>
    <w:p w14:paraId="40C3971F" w14:textId="77777777" w:rsidR="00F64776" w:rsidRDefault="00F64776" w:rsidP="00F64776">
      <w:pPr>
        <w:pStyle w:val="TextoNormal"/>
      </w:pPr>
      <w:r w:rsidRPr="00F64776">
        <w:rPr>
          <w:rStyle w:val="NumeroAFNegritaCaracter"/>
        </w:rPr>
        <w:t>3</w:t>
      </w:r>
      <w:r>
        <w:t>. En cuanto a la posibilidad de adoptar decisiones cautelares en el proceso de amparo, el art. 56.2 LOTC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 Por esta razón, la pretensión cautelar analizada se configura como una medida de carácter excepcional y de aplicación restrictiva (por todos, AATC 117/2015, de 6 de julio, FJ 1, y 59/2017, de 24 de abril, FJ 1).</w:t>
      </w:r>
    </w:p>
    <w:p w14:paraId="70D9DA0E" w14:textId="77777777" w:rsidR="00F64776" w:rsidRDefault="00F64776" w:rsidP="00F64776">
      <w:pPr>
        <w:pStyle w:val="TextoNormal"/>
      </w:pPr>
    </w:p>
    <w:p w14:paraId="6D34AAFF" w14:textId="77777777" w:rsidR="00F64776" w:rsidRDefault="00F64776" w:rsidP="00F64776">
      <w:pPr>
        <w:pStyle w:val="TextoNormal"/>
      </w:pPr>
      <w:r>
        <w:t>Adicionalmente, para otorgar la tutela cautelar que prevé el art. 56 LOTC, este tribunal viene exigiendo a quien la solicita que, ofreciendo un principio razonable de prueba, alegue o justifique la irreparabilidad o dificultad de la reparación de los perjuicios que se producirían de seguirse la ejecución del acto impugnado. Tal exigencia tiene por objeto mostrar que la ejecución del acto recurrido puede privar a la demanda de amparo de su finalidad, provocando que el restablecimiento del recurrente en el derecho constitucional vulnerado sea tardío y convirtiendo en meramente ilusorio y nominal el amparo [AATC 51/1989, de 30 de enero; 290/1995, de 23 de octubre; 370/1996, de 16 de diciembre; 283/1999, de 29 de noviembre; 90/2014, de 27 de marzo, FJ 1; 190/2015, de 5 de noviembre, FJ 2 a); 59/2017, de 24 de abril, FJ 1, y 147/2017, de 13 de noviembre, FJ 1].</w:t>
      </w:r>
    </w:p>
    <w:p w14:paraId="07ECF861" w14:textId="77777777" w:rsidR="00F64776" w:rsidRDefault="00F64776" w:rsidP="00F64776">
      <w:pPr>
        <w:pStyle w:val="TextoNormal"/>
      </w:pPr>
    </w:p>
    <w:p w14:paraId="063AA9F2" w14:textId="51446948" w:rsidR="00F64776" w:rsidRDefault="00F64776" w:rsidP="00F64776">
      <w:pPr>
        <w:pStyle w:val="TextoNormal"/>
      </w:pPr>
      <w:r>
        <w:t>El Tribunal ha declarado asimismo en los AATC 71/2020, de 14 de julio, FJ 3; 111/2020, de 21 de septiembre, FJ 2, y 325/2023, de 19 de junio de 2023, FJ 4, así como en las resoluciones citadas en ellos, que el otorgamiento de la medida cautelar no puede prejuzgar cuál haya de ser el sentido de la futura decisión de amparo que le ponga fin, por lo que, en este incidente procesal no cabe efectuar el análisis de la cuestión de fondo planteada en la demanda, ni cabe cuestionar las bases fácticas que sustentan el pronunciamiento judicial, ni tampoco anticipar indebidamente lo que debe ser resuelto en la oportuna sentencia.</w:t>
      </w:r>
    </w:p>
    <w:p w14:paraId="1F898A08" w14:textId="77777777" w:rsidR="00F64776" w:rsidRDefault="00F64776" w:rsidP="00F64776">
      <w:pPr>
        <w:pStyle w:val="TextoNormal"/>
      </w:pPr>
    </w:p>
    <w:p w14:paraId="0A1808F5" w14:textId="77777777" w:rsidR="00F64776" w:rsidRDefault="00F64776" w:rsidP="00F64776">
      <w:pPr>
        <w:pStyle w:val="TextoNormal"/>
      </w:pPr>
      <w:r w:rsidRPr="00F64776">
        <w:rPr>
          <w:rStyle w:val="NumeroAFNegritaCaracter"/>
        </w:rPr>
        <w:t>4</w:t>
      </w:r>
      <w:r>
        <w:t>. El demandante considera que los límites que le han sido judicialmente impuestos en relación con la formación religiosa del menor producen perjuicios irreparables en la libertad religiosa de este y en la del propio demandante, pues le limita indebidamente su deseo de compartir con su hijo su fe religiosa y valores, estigmatizando de esta forma, mediante la obligación de abstención, la que él mismo profesa. De esta manera, la suspensión cautelar que pretende, se apoya en esencia, en los alegados perjuicios irreparables o de difícil reparación para su libertad religiosa y la de su hijo menor que pueden resultar de la opción judicial por mantener y garantizar la decisión adoptada previamente por los padres, cuando convivían, de no dar formación religiosa al menor en ninguna creencia determinada hasta no alcanzar suficiente madurez y juicio personal propio; razón esta por la que no fue bautizado ni acudía a clases de religión en su centro escolar.</w:t>
      </w:r>
    </w:p>
    <w:p w14:paraId="73E5B23E" w14:textId="77777777" w:rsidR="00F64776" w:rsidRDefault="00F64776" w:rsidP="00F64776">
      <w:pPr>
        <w:pStyle w:val="TextoNormal"/>
      </w:pPr>
    </w:p>
    <w:p w14:paraId="4A7AB230" w14:textId="77777777" w:rsidR="00F64776" w:rsidRDefault="00F64776" w:rsidP="00F64776">
      <w:pPr>
        <w:pStyle w:val="TextoNormal"/>
      </w:pPr>
      <w:r>
        <w:t>La pretensión de suspensión no puede ser estimada. De lo expuesto se colige que tanto los supuestos perjuicios alegados como su irreparabilidad se apoyan en la concreta concepción del contenido y límites del derecho a la libertad religiosa que mantiene el demandante del cual, según alega, sería proyección de la posibilidad de compartir su fe y sus creencias con su hijo de siete años, formándole en y según las mismas, pese a la discrepancia de la madre. En esa medida, la justificación de su pretensión cautelar se identifica plenamente con lo que constituye el contenido del recurso de amparo que, en su caso, será abordado al dictar sentencia, sin que proceda en este incidente cautelar analizar y anticipar el debate de fondo de la pretensión de amparo, centrado en determinar si la decisión judicial cuestionada limita indebidamente y, por tanto, vulnera, o no, su derecho a la libertad religiosa, o incluso el de su hijo menor de edad.</w:t>
      </w:r>
    </w:p>
    <w:p w14:paraId="4714E9BC" w14:textId="77777777" w:rsidR="00F64776" w:rsidRDefault="00F64776" w:rsidP="00F64776">
      <w:pPr>
        <w:pStyle w:val="TextoNormal"/>
      </w:pPr>
    </w:p>
    <w:p w14:paraId="44451C99" w14:textId="5FBF952A" w:rsidR="00F64776" w:rsidRDefault="00F64776" w:rsidP="00F64776">
      <w:pPr>
        <w:pStyle w:val="TextoNormal"/>
      </w:pPr>
      <w:r>
        <w:t>Basta tomar en consideración que la justificación de la medida cautelar solicitada se sustenta en una determinada concepción del contenido y facultades que reconoce el derecho a la libertad religiosa, sobre las que el recurrente expresa una diferencia de criterio con el razonamiento judicial y con la exigencia temporal de neutralidad defendida por su progenitora. De esta manera, cualquier pronunciamiento cautelar que este tribunal pudiera hacer, a favor o en contra de la suspensión solicitada y de la satisfacción de los requisitos que la justificarían, debería analizar, anticipar y pronunciarse sobre el debate de fondo de la pretensión de amparo. Esa cuestión, como en el caso analizado en el ATC 136/2022, de 24 de octubre, se integra en lo que constituye el fondo del recurso de amparo; por lo que, en todo caso, deberá ser abordada al dictar sentencia y no en este momento procesal previo.</w:t>
      </w:r>
    </w:p>
    <w:p w14:paraId="135FEE34" w14:textId="77777777" w:rsidR="00F64776" w:rsidRDefault="00F64776" w:rsidP="00F64776">
      <w:pPr>
        <w:pStyle w:val="TextoNormal"/>
      </w:pPr>
    </w:p>
    <w:p w14:paraId="2C38AA2D" w14:textId="77777777" w:rsidR="00F64776" w:rsidRDefault="00F64776" w:rsidP="00F64776">
      <w:pPr>
        <w:pStyle w:val="TextoNormal"/>
      </w:pPr>
      <w:r>
        <w:t>Por lo expuesto, la Sala</w:t>
      </w:r>
    </w:p>
    <w:p w14:paraId="18A73C0C" w14:textId="62B74756" w:rsidR="00F64776" w:rsidRDefault="00F64776" w:rsidP="00F64776">
      <w:pPr>
        <w:pStyle w:val="TextoNormal"/>
      </w:pPr>
    </w:p>
    <w:p w14:paraId="1CB3E894" w14:textId="77777777" w:rsidR="00F64776" w:rsidRDefault="00F64776" w:rsidP="00F64776">
      <w:pPr>
        <w:pStyle w:val="TextoNormalCentrado"/>
      </w:pPr>
      <w:r>
        <w:t>ACUERDA</w:t>
      </w:r>
    </w:p>
    <w:p w14:paraId="463AA3BC" w14:textId="52A846E0" w:rsidR="00F64776" w:rsidRDefault="00F64776" w:rsidP="00F64776">
      <w:pPr>
        <w:pStyle w:val="TextoNormalCentrado"/>
      </w:pPr>
    </w:p>
    <w:p w14:paraId="24BA3C3F" w14:textId="5710CE47" w:rsidR="00F64776" w:rsidRDefault="00F64776" w:rsidP="00F64776">
      <w:pPr>
        <w:pStyle w:val="TextoNormal"/>
      </w:pPr>
      <w:r>
        <w:t>Denegar la suspensión cautelar de la ejecución del auto de 27 de mayo de 2022, dictado por el Juzgado de Primera Instancia núm. 6 de Alcobendas en el procedimiento de jurisdicción voluntaria núm. 118-2022, sobre desacuerdo en el ejercicio de la patria potestad sobre descendiente común menor de edad, que fue ratificado por otro de 13 de enero de 2023, dictado en apelación, por la Sección Vigésima Segunda de la Audiencia Provincial de Madrid.</w:t>
      </w:r>
    </w:p>
    <w:p w14:paraId="69EFCC91" w14:textId="77777777" w:rsidR="00F64776" w:rsidRDefault="00F64776" w:rsidP="00F64776">
      <w:pPr>
        <w:pStyle w:val="TextoNormal"/>
      </w:pPr>
    </w:p>
    <w:p w14:paraId="53E1531E" w14:textId="77777777" w:rsidR="00F64776" w:rsidRDefault="00F64776" w:rsidP="00F64776">
      <w:pPr>
        <w:pStyle w:val="TextoNormal"/>
      </w:pPr>
      <w:r>
        <w:t>Madrid, a veintitrés de octubre de dos mil veintitrés.</w:t>
      </w:r>
    </w:p>
    <w:p w14:paraId="29242B66" w14:textId="6BA1B9A6" w:rsidR="00F64776" w:rsidRDefault="00F64776">
      <w:pPr>
        <w:spacing w:after="160" w:line="278" w:lineRule="auto"/>
        <w:rPr>
          <w:rFonts w:ascii="Times New Roman" w:eastAsia="Times New Roman" w:hAnsi="Times New Roman" w:cs="Times New Roman"/>
          <w:sz w:val="24"/>
          <w:szCs w:val="24"/>
          <w:lang w:eastAsia="es-ES"/>
        </w:rPr>
      </w:pPr>
      <w:r>
        <w:br w:type="page"/>
      </w:r>
    </w:p>
    <w:p w14:paraId="70C576C4" w14:textId="77777777" w:rsidR="00F64776" w:rsidRDefault="00F64776" w:rsidP="00F64776">
      <w:pPr>
        <w:pStyle w:val="TtuloResolucin"/>
      </w:pPr>
      <w:bookmarkStart w:id="259" w:name="AUTO_2023_474"/>
      <w:r>
        <w:t>AUTO 474/2023, de 23 de octubre de 2023</w:t>
      </w:r>
    </w:p>
    <w:bookmarkEnd w:id="259"/>
    <w:p w14:paraId="6614DC8A" w14:textId="77777777" w:rsidR="00F64776" w:rsidRDefault="00F64776" w:rsidP="00F64776">
      <w:pPr>
        <w:pStyle w:val="TtuloResolucin"/>
      </w:pPr>
      <w:r>
        <w:t>Sección Tercera</w:t>
      </w:r>
    </w:p>
    <w:p w14:paraId="198827E9" w14:textId="77777777" w:rsidR="00F64776" w:rsidRDefault="00F64776" w:rsidP="00F64776">
      <w:pPr>
        <w:pStyle w:val="TextoNormalCentrado"/>
      </w:pPr>
      <w:r>
        <w:t>ECLI:ES:TC:2023:474A</w:t>
      </w:r>
    </w:p>
    <w:p w14:paraId="2302D470" w14:textId="3E9C9EE2" w:rsidR="00F64776" w:rsidRDefault="00F64776" w:rsidP="00F64776">
      <w:pPr>
        <w:pStyle w:val="TextoNormalCentrado"/>
      </w:pPr>
    </w:p>
    <w:p w14:paraId="4E6E9966" w14:textId="77777777" w:rsidR="00F64776" w:rsidRDefault="00F64776" w:rsidP="00F64776">
      <w:pPr>
        <w:pStyle w:val="SntesisDescriptiva"/>
      </w:pPr>
      <w:r>
        <w:t>Excms. Srs. doña Inmaculada Montalbán Huertas y doña Laura Díez Bueso.</w:t>
      </w:r>
    </w:p>
    <w:p w14:paraId="7CB09B86" w14:textId="1E4B6BAD" w:rsidR="00F64776" w:rsidRDefault="00F64776" w:rsidP="00F64776">
      <w:pPr>
        <w:pStyle w:val="SntesisDescriptiva"/>
      </w:pPr>
    </w:p>
    <w:p w14:paraId="3665342E" w14:textId="77777777" w:rsidR="00F64776" w:rsidRDefault="00F64776" w:rsidP="00F64776">
      <w:pPr>
        <w:pStyle w:val="SntesisDescriptiva"/>
      </w:pPr>
      <w:r>
        <w:t>Acepta una abstención en el recurso de amparo 1827-2023, promovido en proceso contencioso-administrativo.</w:t>
      </w:r>
    </w:p>
    <w:p w14:paraId="7C496ADE" w14:textId="2795BC4A" w:rsidR="00F64776" w:rsidRDefault="00F64776" w:rsidP="00F64776">
      <w:pPr>
        <w:pStyle w:val="SntesisDescriptiva"/>
      </w:pPr>
    </w:p>
    <w:p w14:paraId="18D1A798" w14:textId="77777777" w:rsidR="00F64776" w:rsidRDefault="00F64776" w:rsidP="00F64776">
      <w:pPr>
        <w:pStyle w:val="SntesisDescriptiva"/>
      </w:pPr>
    </w:p>
    <w:p w14:paraId="1C6968AC" w14:textId="77777777" w:rsidR="00F64776" w:rsidRDefault="00F64776" w:rsidP="00F64776">
      <w:pPr>
        <w:pStyle w:val="SntesisDescriptiva"/>
      </w:pPr>
    </w:p>
    <w:p w14:paraId="1CC72B05" w14:textId="77777777" w:rsidR="00F64776" w:rsidRDefault="00F64776" w:rsidP="00F64776">
      <w:pPr>
        <w:pStyle w:val="TextoNormalNegritaCentrado"/>
      </w:pPr>
      <w:r>
        <w:t>AUTO</w:t>
      </w:r>
    </w:p>
    <w:p w14:paraId="38E4B7D2" w14:textId="396CC4D0" w:rsidR="00F64776" w:rsidRDefault="00F64776" w:rsidP="00F64776">
      <w:pPr>
        <w:pStyle w:val="TextoNormalNegritaCentrado"/>
      </w:pPr>
    </w:p>
    <w:p w14:paraId="70DE35A5" w14:textId="77777777" w:rsidR="00F64776" w:rsidRDefault="00F64776" w:rsidP="00F64776">
      <w:pPr>
        <w:pStyle w:val="TextoNormalNegritaCentrado"/>
        <w:keepNext/>
      </w:pPr>
      <w:r>
        <w:t>I. Antecedentes</w:t>
      </w:r>
    </w:p>
    <w:p w14:paraId="56D115F0" w14:textId="2E438F53" w:rsidR="00F64776" w:rsidRDefault="00F64776" w:rsidP="00F64776">
      <w:pPr>
        <w:pStyle w:val="TextoNormalNegritaCentrado"/>
        <w:keepNext/>
      </w:pPr>
    </w:p>
    <w:p w14:paraId="157BD9E8" w14:textId="3D19CDEA" w:rsidR="00F64776" w:rsidRDefault="00F64776" w:rsidP="00F64776">
      <w:pPr>
        <w:pStyle w:val="TextoNormal"/>
      </w:pPr>
      <w:r w:rsidRPr="00F64776">
        <w:rPr>
          <w:rStyle w:val="NumeroAFNegritaCaracter"/>
        </w:rPr>
        <w:t>1</w:t>
      </w:r>
      <w:r>
        <w:t>. Mediante escrito registrado en este tribunal el 20 de marzo de 2023 el procurador de los tribunales don Antonio Nicolás Vallellano, en nombre y representación de don Gerardo Arturo González Brenes y bajo la dirección del letrado don Luis Mariano Álvarez Collado, presentó demanda de amparo contra la providencia de 30 de noviembre de 2022 de la Sala Contencioso-Administrativo del Tribunal Supremo en recurso de casación núm. 6603-2022.</w:t>
      </w:r>
    </w:p>
    <w:p w14:paraId="100377FC" w14:textId="77777777" w:rsidR="00F64776" w:rsidRDefault="00F64776" w:rsidP="00F64776">
      <w:pPr>
        <w:pStyle w:val="TextoNormal"/>
      </w:pPr>
    </w:p>
    <w:p w14:paraId="62D7566A" w14:textId="786A7558" w:rsidR="00F64776" w:rsidRDefault="00F64776" w:rsidP="00F64776">
      <w:pPr>
        <w:pStyle w:val="TextoNormal"/>
      </w:pPr>
      <w:r w:rsidRPr="00F64776">
        <w:rPr>
          <w:rStyle w:val="NumeroAFNegritaCaracter"/>
        </w:rPr>
        <w:t>2</w:t>
      </w:r>
      <w:r>
        <w:t>. Por escrito de 27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4665AE74" w14:textId="77777777" w:rsidR="00F64776" w:rsidRDefault="00F64776" w:rsidP="00F64776">
      <w:pPr>
        <w:pStyle w:val="TextoNormal"/>
      </w:pPr>
    </w:p>
    <w:p w14:paraId="4489DC1F" w14:textId="77777777" w:rsidR="00F64776" w:rsidRDefault="00F64776" w:rsidP="00F64776">
      <w:pPr>
        <w:pStyle w:val="TextoNormalNegritaCentrado"/>
        <w:keepNext/>
      </w:pPr>
      <w:r>
        <w:t>II. Fundamentos jurídicos</w:t>
      </w:r>
    </w:p>
    <w:p w14:paraId="1CED8854" w14:textId="5F93CF70" w:rsidR="00F64776" w:rsidRDefault="00F64776" w:rsidP="00F64776">
      <w:pPr>
        <w:pStyle w:val="TextoNormalNegritaCentrado"/>
        <w:keepNext/>
      </w:pPr>
    </w:p>
    <w:p w14:paraId="6D71DB41" w14:textId="3057F04D"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006EA156" w14:textId="77777777" w:rsidR="00F64776" w:rsidRDefault="00F64776" w:rsidP="00F64776">
      <w:pPr>
        <w:pStyle w:val="TextoNormal"/>
      </w:pPr>
    </w:p>
    <w:p w14:paraId="3F0BFABB" w14:textId="77777777" w:rsidR="00F64776" w:rsidRDefault="00F64776" w:rsidP="00F64776">
      <w:pPr>
        <w:pStyle w:val="TextoNormal"/>
      </w:pPr>
      <w:r>
        <w:t>Por lo expuesto, la Sección</w:t>
      </w:r>
    </w:p>
    <w:p w14:paraId="635A210A" w14:textId="13B26CFE" w:rsidR="00F64776" w:rsidRDefault="00F64776" w:rsidP="00F64776">
      <w:pPr>
        <w:pStyle w:val="TextoNormal"/>
      </w:pPr>
    </w:p>
    <w:p w14:paraId="3C1CB7A6" w14:textId="77777777" w:rsidR="00F64776" w:rsidRDefault="00F64776" w:rsidP="00F64776">
      <w:pPr>
        <w:pStyle w:val="TextoNormalCentrado"/>
      </w:pPr>
      <w:r>
        <w:t>ACUERDA</w:t>
      </w:r>
    </w:p>
    <w:p w14:paraId="08EDFCBB" w14:textId="2D053706" w:rsidR="00F64776" w:rsidRDefault="00F64776" w:rsidP="00F64776">
      <w:pPr>
        <w:pStyle w:val="TextoNormalCentrado"/>
      </w:pPr>
    </w:p>
    <w:p w14:paraId="73E2253F" w14:textId="45BBE1B7" w:rsidR="00F64776" w:rsidRDefault="00F64776" w:rsidP="00F64776">
      <w:pPr>
        <w:pStyle w:val="TextoNormal"/>
      </w:pPr>
      <w:r>
        <w:t>Estimar justificada la abstención formulada por el magistrado señor don César Tolosa Tribiño en el recurso de amparo núm. 1827-2023 y apartarle definitivamente del conocimiento del referido recurso y de todas sus incidencias.</w:t>
      </w:r>
    </w:p>
    <w:p w14:paraId="4712BA38" w14:textId="77777777" w:rsidR="00F64776" w:rsidRDefault="00F64776" w:rsidP="00F64776">
      <w:pPr>
        <w:pStyle w:val="TextoNormal"/>
      </w:pPr>
    </w:p>
    <w:p w14:paraId="1636918A" w14:textId="77777777" w:rsidR="00F64776" w:rsidRDefault="00F64776" w:rsidP="00F64776">
      <w:pPr>
        <w:pStyle w:val="TextoNormal"/>
      </w:pPr>
      <w:r>
        <w:t>Madrid, a veintitrés de octubre de dos mil veintitrés.</w:t>
      </w:r>
    </w:p>
    <w:p w14:paraId="52B75611" w14:textId="5E6DBA44" w:rsidR="00F64776" w:rsidRDefault="00F64776">
      <w:pPr>
        <w:spacing w:after="160" w:line="278" w:lineRule="auto"/>
        <w:rPr>
          <w:rFonts w:ascii="Times New Roman" w:eastAsia="Times New Roman" w:hAnsi="Times New Roman" w:cs="Times New Roman"/>
          <w:sz w:val="24"/>
          <w:szCs w:val="24"/>
          <w:lang w:eastAsia="es-ES"/>
        </w:rPr>
      </w:pPr>
      <w:r>
        <w:br w:type="page"/>
      </w:r>
    </w:p>
    <w:p w14:paraId="09499BE7" w14:textId="77777777" w:rsidR="00F64776" w:rsidRDefault="00F64776" w:rsidP="00F64776">
      <w:pPr>
        <w:pStyle w:val="TtuloResolucin"/>
      </w:pPr>
      <w:bookmarkStart w:id="260" w:name="AUTO_2023_475"/>
      <w:r>
        <w:t>AUTO 475/2023, de 23 de octubre de 2023</w:t>
      </w:r>
    </w:p>
    <w:bookmarkEnd w:id="260"/>
    <w:p w14:paraId="29BB7BE6" w14:textId="77777777" w:rsidR="00F64776" w:rsidRDefault="00F64776" w:rsidP="00F64776">
      <w:pPr>
        <w:pStyle w:val="TtuloResolucin"/>
      </w:pPr>
      <w:r>
        <w:t>Sección Tercera</w:t>
      </w:r>
    </w:p>
    <w:p w14:paraId="4E152B4F" w14:textId="77777777" w:rsidR="00F64776" w:rsidRDefault="00F64776" w:rsidP="00F64776">
      <w:pPr>
        <w:pStyle w:val="TextoNormalCentrado"/>
      </w:pPr>
      <w:r>
        <w:t>ECLI:ES:TC:2023:475A</w:t>
      </w:r>
    </w:p>
    <w:p w14:paraId="703603D3" w14:textId="633D9F4D" w:rsidR="00F64776" w:rsidRDefault="00F64776" w:rsidP="00F64776">
      <w:pPr>
        <w:pStyle w:val="TextoNormalCentrado"/>
      </w:pPr>
    </w:p>
    <w:p w14:paraId="3E59DBD3" w14:textId="77777777" w:rsidR="00F64776" w:rsidRDefault="00F64776" w:rsidP="00F64776">
      <w:pPr>
        <w:pStyle w:val="SntesisDescriptiva"/>
      </w:pPr>
      <w:r>
        <w:t>Excms. Srs. doña Inmaculada Montalbán Huertas y doña Laura Díez Bueso.</w:t>
      </w:r>
    </w:p>
    <w:p w14:paraId="31E928A7" w14:textId="58C951F4" w:rsidR="00F64776" w:rsidRDefault="00F64776" w:rsidP="00F64776">
      <w:pPr>
        <w:pStyle w:val="SntesisDescriptiva"/>
      </w:pPr>
    </w:p>
    <w:p w14:paraId="1B478C38" w14:textId="77777777" w:rsidR="00F64776" w:rsidRDefault="00F64776" w:rsidP="00F64776">
      <w:pPr>
        <w:pStyle w:val="SntesisDescriptiva"/>
      </w:pPr>
      <w:r>
        <w:t>Acepta una abstención en el recurso de amparo 1865-2023, promovido por Agrantia, S.L.U., en proceso contencioso-administrativo.</w:t>
      </w:r>
    </w:p>
    <w:p w14:paraId="62B08284" w14:textId="288BEE73" w:rsidR="00F64776" w:rsidRDefault="00F64776" w:rsidP="00F64776">
      <w:pPr>
        <w:pStyle w:val="SntesisDescriptiva"/>
      </w:pPr>
    </w:p>
    <w:p w14:paraId="462A210E" w14:textId="77777777" w:rsidR="00F64776" w:rsidRDefault="00F64776" w:rsidP="00F64776">
      <w:pPr>
        <w:pStyle w:val="SntesisDescriptiva"/>
      </w:pPr>
    </w:p>
    <w:p w14:paraId="76B097A4" w14:textId="77777777" w:rsidR="00F64776" w:rsidRDefault="00F64776" w:rsidP="00F64776">
      <w:pPr>
        <w:pStyle w:val="SntesisDescriptiva"/>
      </w:pPr>
    </w:p>
    <w:p w14:paraId="187B4FA2" w14:textId="77777777" w:rsidR="00F64776" w:rsidRDefault="00F64776" w:rsidP="00F64776">
      <w:pPr>
        <w:pStyle w:val="TextoNormalNegritaCentrado"/>
      </w:pPr>
      <w:r>
        <w:t>AUTO</w:t>
      </w:r>
    </w:p>
    <w:p w14:paraId="3F3BC4D4" w14:textId="72FABEEC" w:rsidR="00F64776" w:rsidRDefault="00F64776" w:rsidP="00F64776">
      <w:pPr>
        <w:pStyle w:val="TextoNormalNegritaCentrado"/>
      </w:pPr>
    </w:p>
    <w:p w14:paraId="31CB60D4" w14:textId="77777777" w:rsidR="00F64776" w:rsidRDefault="00F64776" w:rsidP="00F64776">
      <w:pPr>
        <w:pStyle w:val="TextoNormalNegritaCentrado"/>
        <w:keepNext/>
      </w:pPr>
      <w:r>
        <w:t>I. Antecedentes</w:t>
      </w:r>
    </w:p>
    <w:p w14:paraId="340278A3" w14:textId="5DDAE68C" w:rsidR="00F64776" w:rsidRDefault="00F64776" w:rsidP="00F64776">
      <w:pPr>
        <w:pStyle w:val="TextoNormalNegritaCentrado"/>
        <w:keepNext/>
      </w:pPr>
    </w:p>
    <w:p w14:paraId="6E40DFAF" w14:textId="1D1FC1E8" w:rsidR="00F64776" w:rsidRDefault="00F64776" w:rsidP="00F64776">
      <w:pPr>
        <w:pStyle w:val="TextoNormal"/>
      </w:pPr>
      <w:r w:rsidRPr="00F64776">
        <w:rPr>
          <w:rStyle w:val="NumeroAFNegritaCaracter"/>
        </w:rPr>
        <w:t>1</w:t>
      </w:r>
      <w:r>
        <w:t>. Mediante escrito registrado en este tribunal el 21 de marzo de 2023 el procurador de los tribunales don Rodrigo Pascual Peña, en nombre y representación de la entidad Agrantia, S.L.U., y bajo la dirección de la letrada doña Elena López González, formuló demanda de amparo contra providencias de la Sala Contencioso-Administrativo del Tribunal Supremo en recurso de casación núm. 492-2022.</w:t>
      </w:r>
    </w:p>
    <w:p w14:paraId="59911934" w14:textId="77777777" w:rsidR="00F64776" w:rsidRDefault="00F64776" w:rsidP="00F64776">
      <w:pPr>
        <w:pStyle w:val="TextoNormal"/>
      </w:pPr>
    </w:p>
    <w:p w14:paraId="1B596CFF" w14:textId="1F0703A6" w:rsidR="00F64776" w:rsidRDefault="00F64776" w:rsidP="00F64776">
      <w:pPr>
        <w:pStyle w:val="TextoNormal"/>
      </w:pPr>
      <w:r w:rsidRPr="00F64776">
        <w:rPr>
          <w:rStyle w:val="NumeroAFNegritaCaracter"/>
        </w:rPr>
        <w:t>2</w:t>
      </w:r>
      <w:r>
        <w:t>. Por escrito de 27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51D47268" w14:textId="77777777" w:rsidR="00F64776" w:rsidRDefault="00F64776" w:rsidP="00F64776">
      <w:pPr>
        <w:pStyle w:val="TextoNormal"/>
      </w:pPr>
    </w:p>
    <w:p w14:paraId="5341F7C3" w14:textId="77777777" w:rsidR="00F64776" w:rsidRDefault="00F64776" w:rsidP="00F64776">
      <w:pPr>
        <w:pStyle w:val="TextoNormalNegritaCentrado"/>
        <w:keepNext/>
      </w:pPr>
      <w:r>
        <w:t>II. Fundamentos jurídicos</w:t>
      </w:r>
    </w:p>
    <w:p w14:paraId="5323F7D9" w14:textId="25E81387" w:rsidR="00F64776" w:rsidRDefault="00F64776" w:rsidP="00F64776">
      <w:pPr>
        <w:pStyle w:val="TextoNormalNegritaCentrado"/>
        <w:keepNext/>
      </w:pPr>
    </w:p>
    <w:p w14:paraId="563C9AE9" w14:textId="6CE10448" w:rsidR="00F64776" w:rsidRDefault="00F64776" w:rsidP="00F64776">
      <w:pPr>
        <w:pStyle w:val="TextoNormal"/>
      </w:pPr>
      <w:r>
        <w:t>Único.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12C5A7E6" w14:textId="77777777" w:rsidR="00F64776" w:rsidRDefault="00F64776" w:rsidP="00F64776">
      <w:pPr>
        <w:pStyle w:val="TextoNormal"/>
      </w:pPr>
    </w:p>
    <w:p w14:paraId="2C9A8069" w14:textId="77777777" w:rsidR="00F64776" w:rsidRDefault="00F64776" w:rsidP="00F64776">
      <w:pPr>
        <w:pStyle w:val="TextoNormal"/>
      </w:pPr>
      <w:r>
        <w:t>Por lo expuesto, la Sección</w:t>
      </w:r>
    </w:p>
    <w:p w14:paraId="3CA672BF" w14:textId="588CCCD2" w:rsidR="00F64776" w:rsidRDefault="00F64776" w:rsidP="00F64776">
      <w:pPr>
        <w:pStyle w:val="TextoNormal"/>
      </w:pPr>
    </w:p>
    <w:p w14:paraId="534EBF28" w14:textId="77777777" w:rsidR="00F64776" w:rsidRDefault="00F64776" w:rsidP="00F64776">
      <w:pPr>
        <w:pStyle w:val="TextoNormalCentrado"/>
      </w:pPr>
      <w:r>
        <w:t>ACUERDA</w:t>
      </w:r>
    </w:p>
    <w:p w14:paraId="6AA4C4AC" w14:textId="4E19EABA" w:rsidR="00F64776" w:rsidRDefault="00F64776" w:rsidP="00F64776">
      <w:pPr>
        <w:pStyle w:val="TextoNormalCentrado"/>
      </w:pPr>
    </w:p>
    <w:p w14:paraId="160C9EE0" w14:textId="7D37A288" w:rsidR="00F64776" w:rsidRDefault="00F64776" w:rsidP="00F64776">
      <w:pPr>
        <w:pStyle w:val="TextoNormal"/>
      </w:pPr>
      <w:r>
        <w:t>Estimar justificada la abstención formulada por el magistrado señor don César Tolosa Tribiño en el recurso de amparo núm. 1865-2023 y apartarle definitivamente del conocimiento del referido recurso y de todas sus incidencias</w:t>
      </w:r>
    </w:p>
    <w:p w14:paraId="2B83F670" w14:textId="77777777" w:rsidR="00F64776" w:rsidRDefault="00F64776" w:rsidP="00F64776">
      <w:pPr>
        <w:pStyle w:val="TextoNormal"/>
      </w:pPr>
    </w:p>
    <w:p w14:paraId="3198F31F" w14:textId="77777777" w:rsidR="00F64776" w:rsidRDefault="00F64776" w:rsidP="00F64776">
      <w:pPr>
        <w:pStyle w:val="TextoNormal"/>
      </w:pPr>
      <w:r>
        <w:t>Madrid, a veintitrés de octubre de dos mil veintitrés.</w:t>
      </w:r>
    </w:p>
    <w:p w14:paraId="329B66EE" w14:textId="0EC87ED2" w:rsidR="00F64776" w:rsidRDefault="00F64776">
      <w:pPr>
        <w:spacing w:after="160" w:line="278" w:lineRule="auto"/>
        <w:rPr>
          <w:rFonts w:ascii="Times New Roman" w:eastAsia="Times New Roman" w:hAnsi="Times New Roman" w:cs="Times New Roman"/>
          <w:sz w:val="24"/>
          <w:szCs w:val="24"/>
          <w:lang w:eastAsia="es-ES"/>
        </w:rPr>
      </w:pPr>
      <w:r>
        <w:br w:type="page"/>
      </w:r>
    </w:p>
    <w:p w14:paraId="2A59CA63" w14:textId="77777777" w:rsidR="00F64776" w:rsidRDefault="00F64776" w:rsidP="00F64776">
      <w:pPr>
        <w:pStyle w:val="TtuloResolucin"/>
      </w:pPr>
      <w:bookmarkStart w:id="261" w:name="AUTO_2023_476"/>
      <w:r>
        <w:t>AUTO 476/2023, de 23 de octubre de 2023</w:t>
      </w:r>
    </w:p>
    <w:bookmarkEnd w:id="261"/>
    <w:p w14:paraId="351E50B7" w14:textId="77777777" w:rsidR="00F64776" w:rsidRDefault="00F64776" w:rsidP="00F64776">
      <w:pPr>
        <w:pStyle w:val="TtuloResolucin"/>
      </w:pPr>
      <w:r>
        <w:t>Sección Tercera</w:t>
      </w:r>
    </w:p>
    <w:p w14:paraId="12B148FE" w14:textId="77777777" w:rsidR="00F64776" w:rsidRDefault="00F64776" w:rsidP="00F64776">
      <w:pPr>
        <w:pStyle w:val="TextoNormalCentrado"/>
      </w:pPr>
      <w:r>
        <w:t>ECLI:ES:TC:2023:476A</w:t>
      </w:r>
    </w:p>
    <w:p w14:paraId="39BED0AB" w14:textId="6857FDD2" w:rsidR="00F64776" w:rsidRDefault="00F64776" w:rsidP="00F64776">
      <w:pPr>
        <w:pStyle w:val="TextoNormalCentrado"/>
      </w:pPr>
    </w:p>
    <w:p w14:paraId="75507B0A" w14:textId="77777777" w:rsidR="00F64776" w:rsidRDefault="00F64776" w:rsidP="00F64776">
      <w:pPr>
        <w:pStyle w:val="SntesisDescriptiva"/>
      </w:pPr>
      <w:r>
        <w:t>Excms. Srs. doña Inmaculada Montalbán Huertas y doña Laura Díez Bueso.</w:t>
      </w:r>
    </w:p>
    <w:p w14:paraId="08AB7EE8" w14:textId="3630483F" w:rsidR="00F64776" w:rsidRDefault="00F64776" w:rsidP="00F64776">
      <w:pPr>
        <w:pStyle w:val="SntesisDescriptiva"/>
      </w:pPr>
    </w:p>
    <w:p w14:paraId="352784ED" w14:textId="77777777" w:rsidR="00F64776" w:rsidRDefault="00F64776" w:rsidP="00F64776">
      <w:pPr>
        <w:pStyle w:val="SntesisDescriptiva"/>
      </w:pPr>
      <w:r>
        <w:t>Acepta una abstención en el recurso de amparo 1885-2023, promovido por Mariscos Curras e Hijos, S.L., en proceso contencioso-administrativo.</w:t>
      </w:r>
    </w:p>
    <w:p w14:paraId="376E9A66" w14:textId="29261605" w:rsidR="00F64776" w:rsidRDefault="00F64776" w:rsidP="00F64776">
      <w:pPr>
        <w:pStyle w:val="SntesisDescriptiva"/>
      </w:pPr>
    </w:p>
    <w:p w14:paraId="0A763F1E" w14:textId="77777777" w:rsidR="00F64776" w:rsidRDefault="00F64776" w:rsidP="00F64776">
      <w:pPr>
        <w:pStyle w:val="SntesisDescriptiva"/>
      </w:pPr>
    </w:p>
    <w:p w14:paraId="0399649C" w14:textId="77777777" w:rsidR="00F64776" w:rsidRDefault="00F64776" w:rsidP="00F64776">
      <w:pPr>
        <w:pStyle w:val="SntesisDescriptiva"/>
      </w:pPr>
    </w:p>
    <w:p w14:paraId="511CB801" w14:textId="77777777" w:rsidR="00F64776" w:rsidRDefault="00F64776" w:rsidP="00F64776">
      <w:pPr>
        <w:pStyle w:val="TextoNormalNegritaCentrado"/>
      </w:pPr>
      <w:r>
        <w:t>AUTO</w:t>
      </w:r>
    </w:p>
    <w:p w14:paraId="0DE2CBE8" w14:textId="50B52A18" w:rsidR="00F64776" w:rsidRDefault="00F64776" w:rsidP="00F64776">
      <w:pPr>
        <w:pStyle w:val="TextoNormalNegritaCentrado"/>
      </w:pPr>
    </w:p>
    <w:p w14:paraId="4A5D4130" w14:textId="77777777" w:rsidR="00F64776" w:rsidRDefault="00F64776" w:rsidP="00F64776">
      <w:pPr>
        <w:pStyle w:val="TextoNormalNegritaCentrado"/>
        <w:keepNext/>
      </w:pPr>
      <w:r>
        <w:t>I. Antecedentes</w:t>
      </w:r>
    </w:p>
    <w:p w14:paraId="57AFF36B" w14:textId="141A272A" w:rsidR="00F64776" w:rsidRDefault="00F64776" w:rsidP="00F64776">
      <w:pPr>
        <w:pStyle w:val="TextoNormalNegritaCentrado"/>
        <w:keepNext/>
      </w:pPr>
    </w:p>
    <w:p w14:paraId="225B176C" w14:textId="22786C5C" w:rsidR="00F64776" w:rsidRDefault="00F64776" w:rsidP="00F64776">
      <w:pPr>
        <w:pStyle w:val="TextoNormal"/>
      </w:pPr>
      <w:r w:rsidRPr="00F64776">
        <w:rPr>
          <w:rStyle w:val="NumeroAFNegritaCaracter"/>
        </w:rPr>
        <w:t>1</w:t>
      </w:r>
      <w:r>
        <w:t>. Mediante escrito registrado en este tribunal el 21 de marzo de 2023 el procurador de los tribunales don Argimiro Vázquez Guillén, en nombre y representación de la entidad Mariscos Curras e Hijos, S.L., y bajo la dirección de la letrada doña Margarita Santome Parcero, presentó demanda de amparo contra providencias de 2 y 23 de noviembre de 2022 dictadas por la Sala de lo Contencioso-Administrativo del Tribunal Supremo en recurso de casación núm. 5804-2022.</w:t>
      </w:r>
    </w:p>
    <w:p w14:paraId="6E962030" w14:textId="77777777" w:rsidR="00F64776" w:rsidRDefault="00F64776" w:rsidP="00F64776">
      <w:pPr>
        <w:pStyle w:val="TextoNormal"/>
      </w:pPr>
    </w:p>
    <w:p w14:paraId="7AFE1553" w14:textId="0C453E64" w:rsidR="00F64776" w:rsidRDefault="00F64776" w:rsidP="00F64776">
      <w:pPr>
        <w:pStyle w:val="TextoNormal"/>
      </w:pPr>
      <w:r w:rsidRPr="00F64776">
        <w:rPr>
          <w:rStyle w:val="NumeroAFNegritaCaracter"/>
        </w:rPr>
        <w:t>2</w:t>
      </w:r>
      <w:r>
        <w:t>. Por escrito de 27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15EFFF23" w14:textId="77777777" w:rsidR="00F64776" w:rsidRDefault="00F64776" w:rsidP="00F64776">
      <w:pPr>
        <w:pStyle w:val="TextoNormal"/>
      </w:pPr>
    </w:p>
    <w:p w14:paraId="519DB758" w14:textId="77777777" w:rsidR="00F64776" w:rsidRDefault="00F64776" w:rsidP="00F64776">
      <w:pPr>
        <w:pStyle w:val="TextoNormalNegritaCentrado"/>
        <w:keepNext/>
      </w:pPr>
      <w:r>
        <w:t>II. Fundamentos jurídicos</w:t>
      </w:r>
    </w:p>
    <w:p w14:paraId="476A859D" w14:textId="5C94C02F" w:rsidR="00F64776" w:rsidRDefault="00F64776" w:rsidP="00F64776">
      <w:pPr>
        <w:pStyle w:val="TextoNormalNegritaCentrado"/>
        <w:keepNext/>
      </w:pPr>
    </w:p>
    <w:p w14:paraId="10310C83" w14:textId="25B8E918"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59F3BDDA" w14:textId="77777777" w:rsidR="00F64776" w:rsidRDefault="00F64776" w:rsidP="00F64776">
      <w:pPr>
        <w:pStyle w:val="TextoNormal"/>
      </w:pPr>
    </w:p>
    <w:p w14:paraId="134E1F9B" w14:textId="77777777" w:rsidR="00F64776" w:rsidRDefault="00F64776" w:rsidP="00F64776">
      <w:pPr>
        <w:pStyle w:val="TextoNormal"/>
      </w:pPr>
      <w:r>
        <w:t>Por lo expuesto, la Sección</w:t>
      </w:r>
    </w:p>
    <w:p w14:paraId="561D9453" w14:textId="47D00B4B" w:rsidR="00F64776" w:rsidRDefault="00F64776" w:rsidP="00F64776">
      <w:pPr>
        <w:pStyle w:val="TextoNormal"/>
      </w:pPr>
    </w:p>
    <w:p w14:paraId="111E6417" w14:textId="77777777" w:rsidR="00F64776" w:rsidRDefault="00F64776" w:rsidP="00F64776">
      <w:pPr>
        <w:pStyle w:val="TextoNormalCentrado"/>
      </w:pPr>
      <w:r>
        <w:t>ACUERDA</w:t>
      </w:r>
    </w:p>
    <w:p w14:paraId="75820885" w14:textId="188DC07E" w:rsidR="00F64776" w:rsidRDefault="00F64776" w:rsidP="00F64776">
      <w:pPr>
        <w:pStyle w:val="TextoNormalCentrado"/>
      </w:pPr>
    </w:p>
    <w:p w14:paraId="36CB3B03" w14:textId="2DA3A0BB" w:rsidR="00F64776" w:rsidRDefault="00F64776" w:rsidP="00F64776">
      <w:pPr>
        <w:pStyle w:val="TextoNormal"/>
      </w:pPr>
      <w:r>
        <w:t>Estimar justificada la abstención formulada por el magistrado señor don César Tolosa Tribiño en el recurso de amparo núm. 1885-2023 y apartarle definitivamente del conocimiento del referido recurso y de todas sus incidencias.</w:t>
      </w:r>
    </w:p>
    <w:p w14:paraId="0BDBAA6F" w14:textId="77777777" w:rsidR="00F64776" w:rsidRDefault="00F64776" w:rsidP="00F64776">
      <w:pPr>
        <w:pStyle w:val="TextoNormal"/>
      </w:pPr>
    </w:p>
    <w:p w14:paraId="7453EAD3" w14:textId="77777777" w:rsidR="00F64776" w:rsidRDefault="00F64776" w:rsidP="00F64776">
      <w:pPr>
        <w:pStyle w:val="TextoNormal"/>
      </w:pPr>
      <w:r>
        <w:t>Madrid, a veintitrés de octubre de dos mil veintitrés.</w:t>
      </w:r>
    </w:p>
    <w:p w14:paraId="75657261" w14:textId="4FE1D77E" w:rsidR="00F64776" w:rsidRDefault="00F64776">
      <w:pPr>
        <w:spacing w:after="160" w:line="278" w:lineRule="auto"/>
        <w:rPr>
          <w:rFonts w:ascii="Times New Roman" w:eastAsia="Times New Roman" w:hAnsi="Times New Roman" w:cs="Times New Roman"/>
          <w:sz w:val="24"/>
          <w:szCs w:val="24"/>
          <w:lang w:eastAsia="es-ES"/>
        </w:rPr>
      </w:pPr>
      <w:r>
        <w:br w:type="page"/>
      </w:r>
    </w:p>
    <w:p w14:paraId="6C463CF4" w14:textId="77777777" w:rsidR="00F64776" w:rsidRDefault="00F64776" w:rsidP="00F64776">
      <w:pPr>
        <w:pStyle w:val="TtuloResolucin"/>
      </w:pPr>
      <w:bookmarkStart w:id="262" w:name="AUTO_2023_477"/>
      <w:r>
        <w:t>AUTO 477/2023, de 23 de octubre de 2023</w:t>
      </w:r>
    </w:p>
    <w:bookmarkEnd w:id="262"/>
    <w:p w14:paraId="0B6B90D2" w14:textId="77777777" w:rsidR="00F64776" w:rsidRDefault="00F64776" w:rsidP="00F64776">
      <w:pPr>
        <w:pStyle w:val="TtuloResolucin"/>
      </w:pPr>
      <w:r>
        <w:t>Sala Primera</w:t>
      </w:r>
    </w:p>
    <w:p w14:paraId="0862FB18" w14:textId="77777777" w:rsidR="00F64776" w:rsidRDefault="00F64776" w:rsidP="00F64776">
      <w:pPr>
        <w:pStyle w:val="TextoNormalCentrado"/>
      </w:pPr>
      <w:r>
        <w:t>ECLI:ES:TC:2023:477A</w:t>
      </w:r>
    </w:p>
    <w:p w14:paraId="599DFCE6" w14:textId="1CFBF141" w:rsidR="00F64776" w:rsidRDefault="00F64776" w:rsidP="00F64776">
      <w:pPr>
        <w:pStyle w:val="TextoNormalCentrado"/>
      </w:pPr>
    </w:p>
    <w:p w14:paraId="06A58251" w14:textId="77777777" w:rsidR="00F64776" w:rsidRDefault="00F64776" w:rsidP="00F64776">
      <w:pPr>
        <w:pStyle w:val="SntesisDescriptiva"/>
      </w:pPr>
      <w:r>
        <w:t>Excms. Srs. don Cándido Conde-Pumpido Tourón, don Ricardo Enríquez Sancho, doña Concepción Espejel Jorquera, doña María Luisa Segoviano Astaburuaga y don Juan Carlos Campo Moreno.</w:t>
      </w:r>
    </w:p>
    <w:p w14:paraId="3A9F59B7" w14:textId="0E41A00B" w:rsidR="00F64776" w:rsidRDefault="00F64776" w:rsidP="00F64776">
      <w:pPr>
        <w:pStyle w:val="SntesisDescriptiva"/>
      </w:pPr>
    </w:p>
    <w:p w14:paraId="081BC74B" w14:textId="77777777" w:rsidR="00F64776" w:rsidRDefault="00F64776" w:rsidP="00F64776">
      <w:pPr>
        <w:pStyle w:val="SntesisDescriptiva"/>
      </w:pPr>
      <w:r>
        <w:t>Deniega la suspensión en el recurso de amparo 2048-2023, promovido por doña M.I.O.C., y don I.R.Q., en procedimiento de jurisdicción voluntaria.</w:t>
      </w:r>
    </w:p>
    <w:p w14:paraId="730F6F06" w14:textId="32231CFC" w:rsidR="00F64776" w:rsidRDefault="00F64776" w:rsidP="00F64776">
      <w:pPr>
        <w:pStyle w:val="SntesisDescriptiva"/>
      </w:pPr>
    </w:p>
    <w:p w14:paraId="577D2DAA" w14:textId="77777777" w:rsidR="00F64776" w:rsidRDefault="00F64776" w:rsidP="00F64776">
      <w:pPr>
        <w:pStyle w:val="SntesisDescriptiva"/>
      </w:pPr>
    </w:p>
    <w:p w14:paraId="5952FF30" w14:textId="77777777" w:rsidR="00F64776" w:rsidRDefault="00F64776" w:rsidP="00F64776">
      <w:pPr>
        <w:pStyle w:val="SntesisDescriptiva"/>
      </w:pPr>
    </w:p>
    <w:p w14:paraId="66C2642D" w14:textId="77777777" w:rsidR="00F64776" w:rsidRDefault="00F64776" w:rsidP="00F64776">
      <w:pPr>
        <w:pStyle w:val="TextoNormalNegritaCentrado"/>
      </w:pPr>
      <w:r>
        <w:t>AUTO</w:t>
      </w:r>
    </w:p>
    <w:p w14:paraId="52FE218C" w14:textId="7A59EC12" w:rsidR="00F64776" w:rsidRDefault="00F64776" w:rsidP="00F64776">
      <w:pPr>
        <w:pStyle w:val="TextoNormalNegritaCentrado"/>
      </w:pPr>
    </w:p>
    <w:p w14:paraId="65DEE8D5" w14:textId="77777777" w:rsidR="00F64776" w:rsidRDefault="00F64776" w:rsidP="00F64776">
      <w:pPr>
        <w:pStyle w:val="TextoNormalNegritaCentrado"/>
        <w:keepNext/>
      </w:pPr>
      <w:r>
        <w:t>I. Antecedentes</w:t>
      </w:r>
    </w:p>
    <w:p w14:paraId="26612B32" w14:textId="78C2D7D4" w:rsidR="00F64776" w:rsidRDefault="00F64776" w:rsidP="00F64776">
      <w:pPr>
        <w:pStyle w:val="TextoNormalNegritaCentrado"/>
        <w:keepNext/>
      </w:pPr>
    </w:p>
    <w:p w14:paraId="5B594441" w14:textId="2CFB454B" w:rsidR="00F64776" w:rsidRDefault="00F64776" w:rsidP="00F64776">
      <w:pPr>
        <w:pStyle w:val="TextoNormal"/>
      </w:pPr>
      <w:r w:rsidRPr="00F64776">
        <w:rPr>
          <w:rStyle w:val="NumeroAFNegritaCaracter"/>
        </w:rPr>
        <w:t>1</w:t>
      </w:r>
      <w:r>
        <w:t>. El 28 de marzo de 2023 tuvo entrada en el registro general de este Tribunal Constitucional un escrito del procurador de los tribunales don Carmelo Ortiz Pérez, actuando en representación de doña M.I.O.C., y don I.R.Q., y bajo la defensa de la abogada doña Cristina Rosa Armas Suárez, por el que interpuso recurso de amparo contra las resoluciones que se han identificado en el encabezamiento.</w:t>
      </w:r>
    </w:p>
    <w:p w14:paraId="4FB79C3D" w14:textId="77777777" w:rsidR="00F64776" w:rsidRDefault="00F64776" w:rsidP="00F64776">
      <w:pPr>
        <w:pStyle w:val="TextoNormal"/>
      </w:pPr>
    </w:p>
    <w:p w14:paraId="7798EEDA" w14:textId="77777777" w:rsidR="00F64776" w:rsidRDefault="00F64776" w:rsidP="00F64776">
      <w:pPr>
        <w:pStyle w:val="TextoNormal"/>
      </w:pPr>
      <w:r w:rsidRPr="00F64776">
        <w:rPr>
          <w:rStyle w:val="NumeroAFNegritaCaracter"/>
        </w:rPr>
        <w:t>2</w:t>
      </w:r>
      <w:r>
        <w:t>. Los hechos relevantes para la resolución de esta pieza de suspensión, son los siguientes:</w:t>
      </w:r>
    </w:p>
    <w:p w14:paraId="207133BD" w14:textId="77777777" w:rsidR="00F64776" w:rsidRDefault="00F64776" w:rsidP="00F64776">
      <w:pPr>
        <w:pStyle w:val="TextoNormal"/>
      </w:pPr>
    </w:p>
    <w:p w14:paraId="17463579" w14:textId="77777777" w:rsidR="00F64776" w:rsidRDefault="00F64776" w:rsidP="00F64776">
      <w:pPr>
        <w:pStyle w:val="TextoNormal"/>
      </w:pPr>
      <w:r>
        <w:t>a) El Juzgado de Primera Instancia núm. 3 de Arucas dictó el 14 de marzo de 2022 un auto en el procedimiento de “jurisdicción voluntaria. General” núm. 642-2021, con la siguiente parte dispositiva:</w:t>
      </w:r>
    </w:p>
    <w:p w14:paraId="326B4CC0" w14:textId="77777777" w:rsidR="00F64776" w:rsidRDefault="00F64776" w:rsidP="00F64776">
      <w:pPr>
        <w:pStyle w:val="TextoNormal"/>
      </w:pPr>
    </w:p>
    <w:p w14:paraId="28875DE8" w14:textId="77777777" w:rsidR="00F64776" w:rsidRDefault="00F64776" w:rsidP="00F64776">
      <w:pPr>
        <w:pStyle w:val="TextoNormal"/>
      </w:pPr>
      <w:r>
        <w:t>“Se autoriza la administración a don [D.R.O.], de la vacuna frente al SARS-covid-19, por carecer la misma de capacidad natural actual para comprender el alcance de la intervención médica pautada.</w:t>
      </w:r>
    </w:p>
    <w:p w14:paraId="31A6233A" w14:textId="77777777" w:rsidR="00F64776" w:rsidRDefault="00F64776" w:rsidP="00F64776">
      <w:pPr>
        <w:pStyle w:val="TextoNormal"/>
      </w:pPr>
    </w:p>
    <w:p w14:paraId="17878E52" w14:textId="77777777" w:rsidR="00F64776" w:rsidRDefault="00F64776" w:rsidP="00F64776">
      <w:pPr>
        <w:pStyle w:val="TextoNormal"/>
      </w:pPr>
      <w:r>
        <w:t>Deberá verificarse la vacunación en las fechas previstas conforme a las dosis prescritas y necesarias, y efectuarse por personal sanitario especializado y bajo las precauciones especiales de empleo a don [D.R.O.]”.</w:t>
      </w:r>
    </w:p>
    <w:p w14:paraId="280BC8BB" w14:textId="77777777" w:rsidR="00F64776" w:rsidRDefault="00F64776" w:rsidP="00F64776">
      <w:pPr>
        <w:pStyle w:val="TextoNormal"/>
      </w:pPr>
    </w:p>
    <w:p w14:paraId="0DB76ABD" w14:textId="77777777" w:rsidR="00F64776" w:rsidRDefault="00F64776" w:rsidP="00F64776">
      <w:pPr>
        <w:pStyle w:val="TextoNormal"/>
      </w:pPr>
      <w:r>
        <w:t xml:space="preserve">El juzgado accedía de este modo a la solicitud formulada por el fiscal interviniente, como resultado de un previo expediente de protección de personas con discapacidad tramitado en la Fiscalía provincial de Las Palmas ante la constancia de que a don D.R.O., quien padece un déficit intelectual que le impide tomar decisiones sobre su persona, aún no se le había administrado la vacuna contra el covid-19, dada la oposición de sus dos progenitores y a la sazón tutores, don I.R.Q., y doña M.I.O.C. La </w:t>
      </w:r>
      <w:r w:rsidRPr="00F64776">
        <w:rPr>
          <w:i/>
        </w:rPr>
        <w:t>ratio decidendi</w:t>
      </w:r>
      <w:r>
        <w:t xml:space="preserve"> del auto se contiene en su razonamiento jurídico segundo, donde se indica:</w:t>
      </w:r>
    </w:p>
    <w:p w14:paraId="52AEA912" w14:textId="77777777" w:rsidR="00F64776" w:rsidRDefault="00F64776" w:rsidP="00F64776">
      <w:pPr>
        <w:pStyle w:val="TextoNormal"/>
      </w:pPr>
    </w:p>
    <w:p w14:paraId="52960232" w14:textId="77777777" w:rsidR="00F64776" w:rsidRDefault="00F64776" w:rsidP="00F64776">
      <w:pPr>
        <w:pStyle w:val="TextoNormal"/>
      </w:pPr>
      <w:r>
        <w:t>“Así pues, con independencia de que la vacuna atienda o no al sentido tradicional del término, lo cierto es que en el caso concreto de autos atendiendo tanto a los razonamientos de la doctrina jurisprudencial expuesta y, en particular, al informe forense de fecha 4 de enero de 2022, que concluye que los beneficios de vacunarse frente al virus son mucho mayores que los posibles efectos secundarios de la vacuna, debe acogerse la tesis del Ministerio Fiscal y en consecuencia autorizar la administración de la vacuna a don D.R.O., con todas las prevenciones médicas necesarias y a pesar de la oposición de sus padres, porque tal como se dice en el auto núm. 220/2021 de fecha 4 de junio de 2021 de la Audiencia Provincial de Valencia (Sección Décima), la única perspectiva a ponderar en el caso es la individual de la paciente, es decir la identificación de la mayor protección y del mejor beneficio de su salud, considerando que la vacunación es la única alternativa eficaz para la adecuada protección de su vida frente al riesgo real de desarrollar una enfermedad grave por covid-19”.</w:t>
      </w:r>
    </w:p>
    <w:p w14:paraId="0DA56C50" w14:textId="77777777" w:rsidR="00F64776" w:rsidRDefault="00F64776" w:rsidP="00F64776">
      <w:pPr>
        <w:pStyle w:val="TextoNormal"/>
      </w:pPr>
    </w:p>
    <w:p w14:paraId="57DDBE81" w14:textId="77777777" w:rsidR="00F64776" w:rsidRDefault="00F64776" w:rsidP="00F64776">
      <w:pPr>
        <w:pStyle w:val="TextoNormal"/>
      </w:pPr>
      <w:r>
        <w:t>b) Apelado el auto por los aquí recurrentes, la Sección Tercera de la Audiencia Provincial de Las Palmas de Gran Canaria dictó auto el 10 de febrero de 2023 (recurso de apelación núm. 842-2022), con la siguiente parte dispositiva:</w:t>
      </w:r>
    </w:p>
    <w:p w14:paraId="335FB44B" w14:textId="77777777" w:rsidR="00F64776" w:rsidRDefault="00F64776" w:rsidP="00F64776">
      <w:pPr>
        <w:pStyle w:val="TextoNormal"/>
      </w:pPr>
    </w:p>
    <w:p w14:paraId="670A50EC" w14:textId="77777777" w:rsidR="00F64776" w:rsidRDefault="00F64776" w:rsidP="00F64776">
      <w:pPr>
        <w:pStyle w:val="TextoNormal"/>
      </w:pPr>
      <w:r>
        <w:t>“Que desestimando el recurso de apelación interpuesto por la representación de doña [I.O.C.], contra el auto del Juzgado de Primera Instancia número 3 de Arucas de fecha 14 de marzo de 2022 recaído en los autos de procedimiento de jurisdicción voluntaria número 642-2021, debemos confirmar y confirmamos dicha resolución sin efectuar especial declaración de las costas de alzada”.</w:t>
      </w:r>
    </w:p>
    <w:p w14:paraId="5AA8A52A" w14:textId="77777777" w:rsidR="00F64776" w:rsidRDefault="00F64776" w:rsidP="00F64776">
      <w:pPr>
        <w:pStyle w:val="TextoNormal"/>
      </w:pPr>
    </w:p>
    <w:p w14:paraId="73A0598D" w14:textId="77777777" w:rsidR="00F64776" w:rsidRDefault="00F64776" w:rsidP="00F64776">
      <w:pPr>
        <w:pStyle w:val="TextoNormal"/>
      </w:pPr>
      <w:r>
        <w:t>La Audiencia indica en el fundamento de Derecho primero de su auto que la parte demandada alegó en su recurso de apelación “que según doctrina del Tribunal Constitucional, la imposición de un tratamiento médico contra la voluntad del paciente exige que se trate de medida necesaria para conseguir el fin perseguido, que exista proporcionalidad entre el derecho y la situación en que se halle aquel a que se le impone y que se respete el contenido esencial del derecho a la vida, integridad, dignidad y libre determinación de la persona, requisitos que, a su criterio, no se cumplen en el presente supuesto”; y que el defensor judicial de la persona con discapacidad presentó a su vez “escrito de oposición al recurso de apelación mostrando su conformidad con los argumentos del auto apelado”. Precisó luego en el fundamento de Derecho segundo el marco de legalidad ordinaria aplicable al caso (Ley 41/2002, de 14 de noviembre, básica reguladora de la autonomía del paciente y de derechos y obligaciones en materia de información y documentación clínica), y resolvió finalmente el recurso en el fundamento de Derecho tercero, en el sentido de confirmar el auto apelado por cuanto, explica, las alegaciones de la parte apelante:</w:t>
      </w:r>
    </w:p>
    <w:p w14:paraId="18D047AD" w14:textId="77777777" w:rsidR="00F64776" w:rsidRDefault="00F64776" w:rsidP="00F64776">
      <w:pPr>
        <w:pStyle w:val="TextoNormal"/>
      </w:pPr>
    </w:p>
    <w:p w14:paraId="30FFC71E" w14:textId="77777777" w:rsidR="00F64776" w:rsidRDefault="00F64776" w:rsidP="00F64776">
      <w:pPr>
        <w:pStyle w:val="TextoNormal"/>
      </w:pPr>
      <w:r>
        <w:t>“[S]e basan en los efectos secundarios del fármaco y su carácter experimental concluyendo que, en atención a dichos efectos, los riesgos son muy superiores a los supuestos beneficios, y que en atención a los datos que proporciona el Ministerio de Sanidad, es absolutamente incierto que la asistencia sanitaria por causas graves del covid-19 tenga lugar proporcionalmente con más personas sin vacunar que vacunadas.</w:t>
      </w:r>
    </w:p>
    <w:p w14:paraId="4C07D28A" w14:textId="77777777" w:rsidR="00F64776" w:rsidRDefault="00F64776" w:rsidP="00F64776">
      <w:pPr>
        <w:pStyle w:val="TextoNormal"/>
      </w:pPr>
    </w:p>
    <w:p w14:paraId="14C66415" w14:textId="77777777" w:rsidR="00F64776" w:rsidRDefault="00F64776" w:rsidP="00F64776">
      <w:pPr>
        <w:pStyle w:val="TextoNormal"/>
      </w:pPr>
      <w:r>
        <w:t>Sin embargo dicha argumentación no puede ser acogida máxime cuando se basa en la valoración que realiza la propia parte apelante de los datos que publican estos organismos.</w:t>
      </w:r>
    </w:p>
    <w:p w14:paraId="2FE01C9E" w14:textId="77777777" w:rsidR="00F64776" w:rsidRDefault="00F64776" w:rsidP="00F64776">
      <w:pPr>
        <w:pStyle w:val="TextoNormal"/>
      </w:pPr>
    </w:p>
    <w:p w14:paraId="3655D04A" w14:textId="77777777" w:rsidR="00F64776" w:rsidRDefault="00F64776" w:rsidP="00F64776">
      <w:pPr>
        <w:pStyle w:val="TextoNormal"/>
      </w:pPr>
      <w:r>
        <w:t>Como señalábamos en el auto de 24 de noviembre de 2022, ‘[L]a administración de la vacuna supone, desde la perspectiva del interés individual y protección para la vida y salud del mismo, un beneficio incontestable, mucho mayor que los riesgos que supondría la no administración de la misma.</w:t>
      </w:r>
    </w:p>
    <w:p w14:paraId="34204E3E" w14:textId="77777777" w:rsidR="00F64776" w:rsidRDefault="00F64776" w:rsidP="00F64776">
      <w:pPr>
        <w:pStyle w:val="TextoNormal"/>
      </w:pPr>
    </w:p>
    <w:p w14:paraId="5B0A30B5" w14:textId="77777777" w:rsidR="00F64776" w:rsidRDefault="00F64776" w:rsidP="00F64776">
      <w:pPr>
        <w:pStyle w:val="TextoNormal"/>
      </w:pPr>
      <w:r>
        <w:t>Hay que tener en cuenta que las vacunas que se administran en España, están autorizadas por la Agencia Europea del Medicamento y la Agencia Española del Medicamento y Productos Sanitarios, además de sometidas a un continuo seguimiento, lo que permite suponer que las mismas se han elaborado —a pesar de la celeridad del proceso— con las máximas garantías de calidad, seguridad y eficacia y que por ello mismo los beneficios de [la] administración de las mismas superan notoriamente los riesgos derivados de la misma constatados hasta el momento’.</w:t>
      </w:r>
    </w:p>
    <w:p w14:paraId="37904395" w14:textId="77777777" w:rsidR="00F64776" w:rsidRDefault="00F64776" w:rsidP="00F64776">
      <w:pPr>
        <w:pStyle w:val="TextoNormal"/>
      </w:pPr>
    </w:p>
    <w:p w14:paraId="31740642" w14:textId="77777777" w:rsidR="00F64776" w:rsidRDefault="00F64776" w:rsidP="00F64776">
      <w:pPr>
        <w:pStyle w:val="TextoNormal"/>
      </w:pPr>
      <w:r>
        <w:t>Y en términos semejantes se ha pronunciado el auto de 14 de diciembre de 2021 (recurso: 789-2021) cuando señala que ‘2.- Pese a las alegaciones del recurrente, lo cierto es que no puede tenerse por probado que la vacuna de la covid-19 en cualquiera de sus modalidades constituya un peligro que deba ser evitado o que la protección que dispensa pueda obtenerse con igual seguridad por otros medios. Los documentos aportados por el recurrente, no constituyen una base científica suficiente y atendible a efectos de tomar una decisión […] Como es patente y notorio a estas alturas de la pandemia, las distintas vacunas ha sido objeto de controles por las autoridades sanitarias europeas —Agencia Europea del Medicamento—, y mundiales —Organización Mundial de la Salud—, y no solo no se ha producido tal resultado, sino que se han demostrado una vía eficaz y necesaria para proteger a la población de la infección del virus, si no para impedirla —lo que no es racionalmente posible asegurar incluso con extremas medidas de confinamiento que conllevan serios inconvenientes físicos y psicológicos—, sí desde luego para reducir la peligrosidad de la enfermedad y el riesgo de sufrir sus efectos más graves’.</w:t>
      </w:r>
    </w:p>
    <w:p w14:paraId="4953FEFA" w14:textId="77777777" w:rsidR="00F64776" w:rsidRDefault="00F64776" w:rsidP="00F64776">
      <w:pPr>
        <w:pStyle w:val="TextoNormal"/>
      </w:pPr>
    </w:p>
    <w:p w14:paraId="439FEE66" w14:textId="77777777" w:rsidR="00F64776" w:rsidRDefault="00F64776" w:rsidP="00F64776">
      <w:pPr>
        <w:pStyle w:val="TextoNormal"/>
      </w:pPr>
      <w:r>
        <w:t>Las autoridades sanitarias siguen recomendando la administración de la vacuna de las personas de doce y más años que todavía no han recibido ninguna dosis o no han completado la primovacunación, considerándola ‘prioritaria’, sin distinguir si pertenecen o no grupos de mayor vulnerabilidad. Así lo indica la Estrategia de vacunación frente al covid-19 en España cuyo objetivo es ‘proteger a la población de la enfermedad grave causada por el virus SARS-CoV-2’ añadiendo que ‘actualmente conocemos que la mejor herramienta para controlar la enfermedad grave por SARS-CoV-2 es completar la primovacunación en todos los grupos de edad para los que disponemos de vacunas autorizadas por la Unión Europea (UE), y administrar dosis de recuerdo en las personas con dieciocho y más años de edad’ (introducción de la actualización 11 de la Estrategia de vacunación frente al covid-19 en España).</w:t>
      </w:r>
    </w:p>
    <w:p w14:paraId="5CFAEF09" w14:textId="77777777" w:rsidR="00F64776" w:rsidRDefault="00F64776" w:rsidP="00F64776">
      <w:pPr>
        <w:pStyle w:val="TextoNormal"/>
      </w:pPr>
    </w:p>
    <w:p w14:paraId="40EAFE76" w14:textId="238E4071" w:rsidR="00F64776" w:rsidRDefault="00F64776" w:rsidP="00F64776">
      <w:pPr>
        <w:pStyle w:val="TextoNormal"/>
      </w:pPr>
      <w:r>
        <w:t>Por tanto, no constando que exista ninguna contraindicación para la vacunación de don [D.], debe confirmarse el auto apelado atendiendo a los beneficios que su administración comporta para el afectado”.</w:t>
      </w:r>
    </w:p>
    <w:p w14:paraId="105BE79B" w14:textId="77777777" w:rsidR="00F64776" w:rsidRDefault="00F64776" w:rsidP="00F64776">
      <w:pPr>
        <w:pStyle w:val="TextoNormal"/>
      </w:pPr>
    </w:p>
    <w:p w14:paraId="5363CDB2" w14:textId="77777777" w:rsidR="00F64776" w:rsidRDefault="00F64776" w:rsidP="00F64776">
      <w:pPr>
        <w:pStyle w:val="TextoNormal"/>
      </w:pPr>
      <w:r w:rsidRPr="00F64776">
        <w:rPr>
          <w:rStyle w:val="NumeroAFNegritaCaracter"/>
        </w:rPr>
        <w:t>3</w:t>
      </w:r>
      <w:r>
        <w:t>. Los recurrentes alegan en su demanda de amparo, con los argumentos que tienen a bien desarrollar en su escrito, que las resoluciones judiciales impugnadas comportan una “vulneración del derecho a la igualdad y a no ser discriminado (art. 14 CE), derecho a la integridad física y moral (art. 15 CE) y derecho a la intimidad (art. 18 de la CE) en relación con el derecho a la tutela judicial efectiva (art. 24.1 CE)”, al haber autorizado “la inoculación del medicamento de terapia génica en fase experimental” a su hijo.</w:t>
      </w:r>
    </w:p>
    <w:p w14:paraId="71D280FF" w14:textId="77777777" w:rsidR="00F64776" w:rsidRDefault="00F64776" w:rsidP="00F64776">
      <w:pPr>
        <w:pStyle w:val="TextoNormal"/>
      </w:pPr>
    </w:p>
    <w:p w14:paraId="095AE526" w14:textId="77777777" w:rsidR="00F64776" w:rsidRDefault="00F64776" w:rsidP="00F64776">
      <w:pPr>
        <w:pStyle w:val="TextoNormal"/>
      </w:pPr>
      <w:r>
        <w:t>En el suplico de la demanda se solicita que este tribunal, con admisión del recurso, dicte sentencia otorgando el amparo a los recurrentes, con nulidad de los dos autos impugnados y que se declare que “no ha lugar al procedimiento de jurisdicción voluntaria para la inoculación forzosa del medicamento génico en fase de ensayo clínico a favor del hijo de los recurrentes, debiendo prevalecer la decisión de sus padres y tutores frente a la injerencia del Estado, dado que en España la vacunación tiene carácter voluntario”.</w:t>
      </w:r>
    </w:p>
    <w:p w14:paraId="7C975E47" w14:textId="77777777" w:rsidR="00F64776" w:rsidRDefault="00F64776" w:rsidP="00F64776">
      <w:pPr>
        <w:pStyle w:val="TextoNormal"/>
      </w:pPr>
    </w:p>
    <w:p w14:paraId="5A5B0330" w14:textId="5F27B435" w:rsidR="00F64776" w:rsidRDefault="00F64776" w:rsidP="00F64776">
      <w:pPr>
        <w:pStyle w:val="TextoNormal"/>
      </w:pPr>
      <w:r>
        <w:t>Por medio de un otrosí digo primero, se solicitó la suspensión cautelar de la ejecución de los autos impugnados, pues si bien “las razones esgrimidas guardan relación con el fondo del asunto, no significa que la adopción de la suspensión cautelar implique resolver de manera anticipada sobre el fondo”. Se señala que “ha quedado acreditado el carácter irreparable del perjuicio para los derechos fundamentales, así como la pérdida de la finalidad del amparo en caso de mantenerse la ejecución de la resolución, dado que se trata de administrar a una persona cuya vida no corre peligro alguno y sin capacidad para consentir, un fármaco de terapia génica en fase III de ensayo clínico, que ni siquiera ha sido aprobado a día de hoy y cuyos riesgos superan con creces el supuesto beneficio”. Y por último que “debe valorarse la situación epidemiológica actual, dado que desde el pasado mes de marzo de 2022 por parte del Ministerio de Sanidad se ha declarado la gripalización del covid-19, teniendo como consecuencia el levantamiento de todas las restricciones y relajación de medidas, incluida la retirada de las mascarillas en el transporte público, por lo que la inoculación en este momento ni siquiera estaría justificada desde el punto de vista epidemiológico”.</w:t>
      </w:r>
    </w:p>
    <w:p w14:paraId="5C01042C" w14:textId="77777777" w:rsidR="00F64776" w:rsidRDefault="00F64776" w:rsidP="00F64776">
      <w:pPr>
        <w:pStyle w:val="TextoNormal"/>
      </w:pPr>
    </w:p>
    <w:p w14:paraId="7A1D0A3F" w14:textId="77777777" w:rsidR="00F64776" w:rsidRDefault="00F64776" w:rsidP="00F64776">
      <w:pPr>
        <w:pStyle w:val="TextoNormal"/>
      </w:pPr>
      <w:r w:rsidRPr="00F64776">
        <w:rPr>
          <w:rStyle w:val="NumeroAFNegritaCaracter"/>
        </w:rPr>
        <w:t>4</w:t>
      </w:r>
      <w:r>
        <w:t xml:space="preserve">. El 30 de marzo de 2023 la Secretaría de Justicia de la Sección Segunda, Sala Primera, de este Tribunal Constitucional, dictó diligencia de ordenación por la que requirió al procurador de los recurrentes para que en el plazo de diez días aquellos acreditaran “apoderamiento </w:t>
      </w:r>
      <w:r w:rsidRPr="00F64776">
        <w:rPr>
          <w:i/>
        </w:rPr>
        <w:t>apud acta</w:t>
      </w:r>
      <w:r>
        <w:t xml:space="preserve"> en el modo y forma legalmente establecido, pudiendo aportar justificantes de inscripción de apoderamiento </w:t>
      </w:r>
      <w:r w:rsidRPr="00F64776">
        <w:rPr>
          <w:i/>
        </w:rPr>
        <w:t>apud acta</w:t>
      </w:r>
      <w:r>
        <w:t xml:space="preserve"> en el archivo electrónico de apoderamientos judiciales o comparecer en la Secretaría de cualquier oficina judicial a fin de verificar dichos apoderamientos”.</w:t>
      </w:r>
    </w:p>
    <w:p w14:paraId="0EC1A461" w14:textId="77777777" w:rsidR="00F64776" w:rsidRDefault="00F64776" w:rsidP="00F64776">
      <w:pPr>
        <w:pStyle w:val="TextoNormal"/>
      </w:pPr>
    </w:p>
    <w:p w14:paraId="132DF3CE" w14:textId="77777777" w:rsidR="00F64776" w:rsidRDefault="00F64776" w:rsidP="00F64776">
      <w:pPr>
        <w:pStyle w:val="TextoNormal"/>
      </w:pPr>
      <w:r>
        <w:t xml:space="preserve">El procurador presentó escrito el 4 de abril de 2023 con el fin de cumplir con el requerimiento. Sin embargo, la misma Secretaría de Justicia dictó diligencia de ordenación el 10 de abril de 2023 por la que, a la vista de la documentación presentada, decidió conceder a aquel representante procesal un nuevo plazo de diez días para que se acreditara el correspondiente apoderamiento </w:t>
      </w:r>
      <w:r w:rsidRPr="00F64776">
        <w:rPr>
          <w:i/>
        </w:rPr>
        <w:t>apud acta</w:t>
      </w:r>
      <w:r>
        <w:t xml:space="preserve"> de alguna de las maneras ya referidas en la anterior diligencia de ordenación. Asimismo, para que “[e]n idéntico plazo se informe a este tribunal, si don [D.R.O.], ha sido vacunado frente al SARS-covid-19”.</w:t>
      </w:r>
    </w:p>
    <w:p w14:paraId="3B24B773" w14:textId="77777777" w:rsidR="00F64776" w:rsidRDefault="00F64776" w:rsidP="00F64776">
      <w:pPr>
        <w:pStyle w:val="TextoNormal"/>
      </w:pPr>
    </w:p>
    <w:p w14:paraId="1864B855" w14:textId="77777777" w:rsidR="00F64776" w:rsidRDefault="00F64776" w:rsidP="00F64776">
      <w:pPr>
        <w:pStyle w:val="TextoNormal"/>
      </w:pPr>
      <w:r>
        <w:t xml:space="preserve">En respuesta a este segundo requerimiento se formalizó escrito el 12 de abril de 2023 por el procurador de los recurrentes, aportando documentación sobre el apoderamiento </w:t>
      </w:r>
      <w:r w:rsidRPr="00F64776">
        <w:rPr>
          <w:i/>
        </w:rPr>
        <w:t>apud acta</w:t>
      </w:r>
      <w:r>
        <w:t>, teniéndose por aportada por la Secretaría de Justicia de la Sección Segunda de este tribunal en virtud de diligencia de ordenación de 13 de abril de 2023. En esta misma resolución se concedió al procurador mencionado un segundo plazo de cinco días para que informara a este tribunal “si don [D.R.O.], ha sido vacunado frente al SARS-covid-19, tal como había sido requerido en diligencia de ordenación de fecha 10 de abril de 2023”.</w:t>
      </w:r>
    </w:p>
    <w:p w14:paraId="05F5B073" w14:textId="77777777" w:rsidR="00F64776" w:rsidRDefault="00F64776" w:rsidP="00F64776">
      <w:pPr>
        <w:pStyle w:val="TextoNormal"/>
      </w:pPr>
    </w:p>
    <w:p w14:paraId="4CFEFE9C" w14:textId="460B6083" w:rsidR="00F64776" w:rsidRDefault="00F64776" w:rsidP="00F64776">
      <w:pPr>
        <w:pStyle w:val="TextoNormal"/>
      </w:pPr>
      <w:r>
        <w:t>El 19 de abril de 2023, el procurador de los recurrentes presentó escrito manifestando que don D.R.O., no había sido “inoculado frente al covid-19”.</w:t>
      </w:r>
    </w:p>
    <w:p w14:paraId="4BDAE991" w14:textId="77777777" w:rsidR="00F64776" w:rsidRDefault="00F64776" w:rsidP="00F64776">
      <w:pPr>
        <w:pStyle w:val="TextoNormal"/>
      </w:pPr>
    </w:p>
    <w:p w14:paraId="55013F32" w14:textId="77777777" w:rsidR="00F64776" w:rsidRDefault="00F64776" w:rsidP="00F64776">
      <w:pPr>
        <w:pStyle w:val="TextoNormal"/>
      </w:pPr>
      <w:r w:rsidRPr="00F64776">
        <w:rPr>
          <w:rStyle w:val="NumeroAFNegritaCaracter"/>
        </w:rPr>
        <w:t>5</w:t>
      </w:r>
      <w:r>
        <w:t>. La Sección Segunda de este tribunal dictó providencia el 19 de junio de 2023, del siguiente tenor:</w:t>
      </w:r>
    </w:p>
    <w:p w14:paraId="22B9131F" w14:textId="77777777" w:rsidR="00F64776" w:rsidRDefault="00F64776" w:rsidP="00F64776">
      <w:pPr>
        <w:pStyle w:val="TextoNormal"/>
      </w:pPr>
    </w:p>
    <w:p w14:paraId="0A539087" w14:textId="77777777" w:rsidR="00F64776" w:rsidRDefault="00F64776" w:rsidP="00F64776">
      <w:pPr>
        <w:pStyle w:val="TextoNormal"/>
      </w:pPr>
      <w:r>
        <w:t>“La Sección Segunda ha examinado el recurso de amparo y ha acordado admitirlo a trámite, apreciando que concurre en el mismo una especial trascendencia constitucional (art. 50.1 LOTC) porque el recurso plantea un problema o afecta a una faceta de un derecho fundamental sobre el que no hay doctrina de este tribunal [STC 155/2009, FJ 2 a)], y [el asunto suscitado] trasciende del caso concreto porque plantea una cuestión jurídica de relevante y general repercusión social o económica [STC 155/2009, FJ 2 g)].</w:t>
      </w:r>
    </w:p>
    <w:p w14:paraId="14A259A6" w14:textId="77777777" w:rsidR="00F64776" w:rsidRDefault="00F64776" w:rsidP="00F64776">
      <w:pPr>
        <w:pStyle w:val="TextoNormal"/>
      </w:pPr>
    </w:p>
    <w:p w14:paraId="6EEAFC31" w14:textId="77777777" w:rsidR="00F64776" w:rsidRDefault="00F64776" w:rsidP="00F64776">
      <w:pPr>
        <w:pStyle w:val="TextoNormal"/>
      </w:pPr>
      <w:r>
        <w:t>Por ello, en aplicación de lo dispuesto en el art. 51 LOTC, diríjase atenta comunicación a la Sección Tercera de la Audiencia Provincial de Las Palmas de Gran Canaria a fin de que, en plazo que no exceda de diez días, remita certificación o fotocopia adverada de las actuaciones correspondientes al recurso de apelación 842-2022.</w:t>
      </w:r>
    </w:p>
    <w:p w14:paraId="08E81BE9" w14:textId="77777777" w:rsidR="00F64776" w:rsidRDefault="00F64776" w:rsidP="00F64776">
      <w:pPr>
        <w:pStyle w:val="TextoNormal"/>
      </w:pPr>
    </w:p>
    <w:p w14:paraId="510E0431" w14:textId="77777777" w:rsidR="00F64776" w:rsidRDefault="00F64776" w:rsidP="00F64776">
      <w:pPr>
        <w:pStyle w:val="TextoNormal"/>
      </w:pPr>
      <w:r>
        <w:t>Diríjase igualmente atenta comunicación al Juzgado de Primera Instancia núm. 3 de Arucas a fin de que, en plazo que no exceda de diez días, remita certificación o fotocopia adverada de las actuaciones correspondientes al procedimiento de jurisdicción voluntaria 642-2021; debiendo previamente emplazarse, para que en el plazo de diez días puedan comparecer, si lo desean, en el recurso de amparo a quienes hubieran sido parte en el procedimiento, excepto la parte recurrente en amparo.</w:t>
      </w:r>
    </w:p>
    <w:p w14:paraId="6A3D702B" w14:textId="77777777" w:rsidR="00F64776" w:rsidRDefault="00F64776" w:rsidP="00F64776">
      <w:pPr>
        <w:pStyle w:val="TextoNormal"/>
      </w:pPr>
    </w:p>
    <w:p w14:paraId="1B01A079" w14:textId="29965156" w:rsidR="00F64776" w:rsidRDefault="00F64776" w:rsidP="00F64776">
      <w:pPr>
        <w:pStyle w:val="TextoNormal"/>
      </w:pPr>
      <w:r>
        <w:t>De conformidad con la solicitud de la parte actora, fórmese la correspondiente pieza separada de suspensión”.</w:t>
      </w:r>
    </w:p>
    <w:p w14:paraId="515F066F" w14:textId="77777777" w:rsidR="00F64776" w:rsidRDefault="00F64776" w:rsidP="00F64776">
      <w:pPr>
        <w:pStyle w:val="TextoNormal"/>
      </w:pPr>
    </w:p>
    <w:p w14:paraId="5CFB1F3E" w14:textId="47662019" w:rsidR="00F64776" w:rsidRDefault="00F64776" w:rsidP="00F64776">
      <w:pPr>
        <w:pStyle w:val="TextoNormal"/>
      </w:pPr>
      <w:r w:rsidRPr="00F64776">
        <w:rPr>
          <w:rStyle w:val="NumeroAFNegritaCaracter"/>
        </w:rPr>
        <w:t>6</w:t>
      </w:r>
      <w:r>
        <w:t>. Por nueva providencia dictada por la Sección Segunda de este tribunal en la misma fecha, 19 de junio de 2023, se dispuso “formar con el precedente testimonio la presente pieza separada de suspensión y, de conformidad con lo prevenido en el art. 56 de la Ley Orgánica del Tribunal Constitucional, conceder un plazo común de tres días, al Ministerio Fiscal y al solicitante del amparo, para que dentro de dicho término aleguen lo que estimen pertinente en relación con la petición de suspensión interesada”.</w:t>
      </w:r>
    </w:p>
    <w:p w14:paraId="3C685DF7" w14:textId="77777777" w:rsidR="00F64776" w:rsidRDefault="00F64776" w:rsidP="00F64776">
      <w:pPr>
        <w:pStyle w:val="TextoNormal"/>
      </w:pPr>
    </w:p>
    <w:p w14:paraId="417F9703" w14:textId="04E93817" w:rsidR="00F64776" w:rsidRDefault="00F64776" w:rsidP="00F64776">
      <w:pPr>
        <w:pStyle w:val="TextoNormal"/>
      </w:pPr>
      <w:r w:rsidRPr="00F64776">
        <w:rPr>
          <w:rStyle w:val="NumeroAFNegritaCaracter"/>
        </w:rPr>
        <w:t>7</w:t>
      </w:r>
      <w:r>
        <w:t>. El representante procesal de los recurrentes presentó escrito de alegaciones en esta pieza el 23 de junio de 2023, señalando que “por parte del Tribunal Constitucional se ha emitido con fecha 26 de octubre de 2022, nota informativa núm. 93/2022, por la que se acuerda la no suspensión de la autorización judicial para vacunar contra el covid-19 a una persona sin capacidad para consentir, alegando que las razones esgrimidas guardan relación con el fondo del asunto y han de ser valoradas en sentencia y la ponderación de que la falta de vacunación da lugar por razones sanitarias, a una situación de semi aislamiento que repercute negativamente en la indemnidad física y psíquica de la interesada”. Sin embargo, el escrito reitera a continuación los argumentos que ya dio en el otrosí digo de la demanda por los que en su opinión en este caso ello no implica resolver de manera anticipada sobre el fondo; además de que se ha acreditado el carácter irreparable del perjuicio para los derechos fundamentales y la pérdida de la finalidad del amparo si no se suspenden las resoluciones recurridas. Interesa así en el suplico que este tribunal acuerde dicha suspensión.</w:t>
      </w:r>
    </w:p>
    <w:p w14:paraId="29810915" w14:textId="77777777" w:rsidR="00F64776" w:rsidRDefault="00F64776" w:rsidP="00F64776">
      <w:pPr>
        <w:pStyle w:val="TextoNormal"/>
      </w:pPr>
    </w:p>
    <w:p w14:paraId="58E2B2E5" w14:textId="77777777" w:rsidR="00F64776" w:rsidRDefault="00F64776" w:rsidP="00F64776">
      <w:pPr>
        <w:pStyle w:val="TextoNormal"/>
      </w:pPr>
      <w:r w:rsidRPr="00F64776">
        <w:rPr>
          <w:rStyle w:val="NumeroAFNegritaCaracter"/>
        </w:rPr>
        <w:t>8</w:t>
      </w:r>
      <w:r>
        <w:t>. El 7 de julio de 2023, el fiscal ante este Tribunal Constitucional presentó un escrito de alegaciones interesando la denegación de la suspensión solicitada, “toda vez que no se ha acreditado suficientemente la existencia de perjuicios irreparables para la persona a vacunar derivados de la eficacia de las resoluciones impugnadas y sobre todo, la adopción de la medida cautelar supondría anticipar indebidamente lo que debe ser resuelto en la oportuna sentencia”.</w:t>
      </w:r>
    </w:p>
    <w:p w14:paraId="7036EE5F" w14:textId="77777777" w:rsidR="00F64776" w:rsidRDefault="00F64776" w:rsidP="00F64776">
      <w:pPr>
        <w:pStyle w:val="TextoNormal"/>
      </w:pPr>
    </w:p>
    <w:p w14:paraId="60505D2E" w14:textId="17442360" w:rsidR="00F64776" w:rsidRDefault="00F64776" w:rsidP="00F64776">
      <w:pPr>
        <w:pStyle w:val="TextoNormal"/>
      </w:pPr>
      <w:r>
        <w:t xml:space="preserve">Fundamenta su solicitud el fiscal, tras resumir lo acaecido en el proceso </w:t>
      </w:r>
      <w:r w:rsidRPr="00F64776">
        <w:rPr>
          <w:i/>
        </w:rPr>
        <w:t>a quo</w:t>
      </w:r>
      <w:r>
        <w:t>, en lo alegado en el escrito de demanda y el hecho de la apertura mediante providencia de esta pieza incidental, recordando el enunciado del art. 56.2 de nuestra ley orgánica reguladora y haciendo cita de doctrina constitucional sobre el carácter excepcional de la suspensión cautelar de las resoluciones impugnadas en un recurso de amparo (ATC 71/2020, de 14 de julio, FJ 3, y otros anteriores que reseña); lo que exige la concurrencia de un perjuicio irreparable (ATC 172/2019, de 16 de diciembre), cuya acreditación resulta ser carga de quien solicita la medida (AATC 39/2008, de 11 de febrero, FJ 1; 40/2008, de 11 de febrero, FJ 3, y 59/2008, de 20 de febrero, FJ 2); sin que en esta pieza quepa efectuar el análisis de la cuestión de fondo del recurso (ATC 111/2020, de 21 de septiembre, FJ 2). Añade el fiscal la cita del “reciente ATC 139/2022, de 26 de octubre, en un asunto idéntico al presente en lo esencial, pues en ambos se trata de una medida —la vacunación contra el covid-19— que se adopta con una finalidad tuitiva, respecto de una persona que carece de aptitud para consentir sobre su vacunación”, en el que se denegó la suspensión solicitada porque de hacerlo se entraría anticipadamente en el debate de fondo de la pretensión de amparo. Considera el fiscal que dicha doctrina resulta aplicable aquí, además de que se alegan “perjuicios hipotéticos” que “podrían —o no—, producirse en el futuro”. Considera asimismo que aunque la situación epidemiológica en efecto ha cambiado —como aducen los recurrentes—, las resoluciones impugnadas no autorizan la vacunación en todo caso, sino “conforme a las dosis prescritas y necesarias”.</w:t>
      </w:r>
    </w:p>
    <w:p w14:paraId="2AE76C36" w14:textId="77777777" w:rsidR="00F64776" w:rsidRDefault="00F64776" w:rsidP="00F64776">
      <w:pPr>
        <w:pStyle w:val="TextoNormal"/>
      </w:pPr>
    </w:p>
    <w:p w14:paraId="28A858F1" w14:textId="1A000BAE" w:rsidR="00F64776" w:rsidRDefault="00F64776" w:rsidP="00F64776">
      <w:pPr>
        <w:pStyle w:val="TextoNormal"/>
      </w:pPr>
      <w:r w:rsidRPr="00F64776">
        <w:rPr>
          <w:rStyle w:val="NumeroAFNegritaCaracter"/>
        </w:rPr>
        <w:t>9</w:t>
      </w:r>
      <w:r>
        <w:t>. La Secretaría de Justicia dictó diligencia el 10 de julio de 2023 haciendo constar que había recibido los escritos procedentes del Ministerio Fiscal y del procurador de la parte demandante, quedando la presente pieza de suspensión pendiente para deliberación cuando por turno le correspondiese.</w:t>
      </w:r>
    </w:p>
    <w:p w14:paraId="634CA5A3" w14:textId="77777777" w:rsidR="00F64776" w:rsidRDefault="00F64776" w:rsidP="00F64776">
      <w:pPr>
        <w:pStyle w:val="TextoNormal"/>
      </w:pPr>
    </w:p>
    <w:p w14:paraId="777AC35B" w14:textId="77777777" w:rsidR="00F64776" w:rsidRDefault="00F64776" w:rsidP="00F64776">
      <w:pPr>
        <w:pStyle w:val="TextoNormal"/>
      </w:pPr>
      <w:r w:rsidRPr="00F64776">
        <w:rPr>
          <w:rStyle w:val="NumeroAFNegritaCaracter"/>
        </w:rPr>
        <w:t>10</w:t>
      </w:r>
      <w:r>
        <w:t>. En la misma fecha, 10 de julio de 2023, se presentó escrito en el registro general de este tribunal por el abogado don Agustín E. Santana Lorenzo, por el que evacuando el emplazamiento previsto en el art. 51 de la Ley Orgánica del Tribunal Constitucional (LOTC) solicitó se le tuviera por personado y parte en este proceso, “en condición de defensor judicial (designado en turno de oficio) de don [D.R.O.]”; interesando además la designación en turno de oficio de un procurador con el fin de actuar en su representación.</w:t>
      </w:r>
    </w:p>
    <w:p w14:paraId="56F6E696" w14:textId="77777777" w:rsidR="00F64776" w:rsidRDefault="00F64776" w:rsidP="00F64776">
      <w:pPr>
        <w:pStyle w:val="TextoNormal"/>
      </w:pPr>
    </w:p>
    <w:p w14:paraId="1C3B3001" w14:textId="77777777" w:rsidR="00F64776" w:rsidRDefault="00F64776" w:rsidP="00F64776">
      <w:pPr>
        <w:pStyle w:val="TextoNormal"/>
      </w:pPr>
      <w:r>
        <w:t>La Secretaría de Justicia de la Sección Segunda de este tribunal dictó diligencia de ordenación el 11 de julio de 2023, requiriendo a dicho abogado para que en el plazo de diez días aportase certificación acreditativa del otorgamiento del beneficio de justicia gratuita. En su respuesta presentó escrito el 18 de julio de 2023, aportando resolución de la Comisión de Asistencia Jurídica Gratuita de Gran Canaria de 23 de junio de 2022 que otorgaba aquel beneficio a don D.R.O.</w:t>
      </w:r>
    </w:p>
    <w:p w14:paraId="063B34A8" w14:textId="77777777" w:rsidR="00F64776" w:rsidRDefault="00F64776" w:rsidP="00F64776">
      <w:pPr>
        <w:pStyle w:val="TextoNormal"/>
      </w:pPr>
    </w:p>
    <w:p w14:paraId="2D74C575" w14:textId="7EABEDC1" w:rsidR="00F64776" w:rsidRDefault="00F64776" w:rsidP="00F64776">
      <w:pPr>
        <w:pStyle w:val="TextoNormal"/>
      </w:pPr>
      <w:r>
        <w:t>Por nueva diligencia de ordenación de la misma Secretaría de Justicia, de 20 de julio de 2023, se tuvo por recibida la documentación consignada, librando despacho al Colegio de Procuradores de Madrid para la designación de procurador del turno de oficio para don D.R.O.</w:t>
      </w:r>
    </w:p>
    <w:p w14:paraId="68D60039" w14:textId="77777777" w:rsidR="00F64776" w:rsidRDefault="00F64776" w:rsidP="00F64776">
      <w:pPr>
        <w:pStyle w:val="TextoNormal"/>
      </w:pPr>
    </w:p>
    <w:p w14:paraId="2E5E28C3" w14:textId="77777777" w:rsidR="00F64776" w:rsidRDefault="00F64776" w:rsidP="00F64776">
      <w:pPr>
        <w:pStyle w:val="TextoNormal"/>
      </w:pPr>
      <w:r w:rsidRPr="00F64776">
        <w:rPr>
          <w:rStyle w:val="NumeroAFNegritaCaracter"/>
        </w:rPr>
        <w:t>11</w:t>
      </w:r>
      <w:r>
        <w:t>. El 1 de septiembre de 2023 la Secretaría de Justicia de la Sala Primera de este tribunal dictó diligencia de ordenación acordando lo que sigue: “En el asunto reseñado se tienen por recibidos los testimonios de las actuaciones remitidos por la Sección Tercera de la Audiencia Provincial de Las Palmas y Juzgado de Primera Instancia núm. 3 de Arucas, de los que se acusará recibo, y designación del turno de oficio de la procuradora Lucina Gómez Gómez, a quien se tiene por designada, personada y parte en nombre y representación de don D.R.O. (representado como incapaz por su defensor judicial el letrado don Agustín Eugenio Santana Lorenzo) con quien se entenderán la presente y sucesivas diligencias.</w:t>
      </w:r>
    </w:p>
    <w:p w14:paraId="7A82A309" w14:textId="77777777" w:rsidR="00F64776" w:rsidRDefault="00F64776" w:rsidP="00F64776">
      <w:pPr>
        <w:pStyle w:val="TextoNormal"/>
      </w:pPr>
    </w:p>
    <w:p w14:paraId="71B6D43D" w14:textId="77777777" w:rsidR="00F64776" w:rsidRDefault="00F64776" w:rsidP="00F64776">
      <w:pPr>
        <w:pStyle w:val="TextoNormal"/>
      </w:pPr>
      <w:r>
        <w:t>A tenor de lo dispuesto en el art. 52 de la Ley Orgánica del Tribunal Constitucional, se da vista, a través de la sede electrónica del Tribunal, de todas las actuaciones del presente recurso de amparo, en la Secretaría de esta Sala, por un plazo común de veinte días, al Ministerio Fiscal y a las partes personadas, para que dentro de dicho término puedan presentar las alegaciones que a su derecho convenga”.</w:t>
      </w:r>
    </w:p>
    <w:p w14:paraId="271331A0" w14:textId="77777777" w:rsidR="00F64776" w:rsidRDefault="00F64776" w:rsidP="00F64776">
      <w:pPr>
        <w:pStyle w:val="TextoNormal"/>
      </w:pPr>
    </w:p>
    <w:p w14:paraId="6E157166" w14:textId="36A33170" w:rsidR="00F64776" w:rsidRDefault="00F64776" w:rsidP="00F64776">
      <w:pPr>
        <w:pStyle w:val="TextoNormal"/>
      </w:pPr>
      <w:r>
        <w:t>En la misma fecha, 1 de septiembre de 2023, la Secretaría de Justicia de la Sección Segunda dictó diligencia de ordenación del siguiente tenor: “En el asunto reseñado, habiéndose personado la procuradora Lucina Gómez Gómez en nombre del menor [D.R.O.], de conformidad con lo prevenido en el art. 56 de la Ley Orgánica del Tribunal Constitucional, se acuerda conceder un plazo de tres días, a la citada procuradora Lucina Gómez Gómez para que dentro de dicho término alegue lo que estime pertinente en relación con la petición de suspensión interesada”.</w:t>
      </w:r>
    </w:p>
    <w:p w14:paraId="4B8A1C5A" w14:textId="77777777" w:rsidR="00F64776" w:rsidRDefault="00F64776" w:rsidP="00F64776">
      <w:pPr>
        <w:pStyle w:val="TextoNormal"/>
      </w:pPr>
    </w:p>
    <w:p w14:paraId="07B20683" w14:textId="41862072" w:rsidR="00F64776" w:rsidRDefault="00F64776" w:rsidP="00F64776">
      <w:pPr>
        <w:pStyle w:val="TextoNormal"/>
      </w:pPr>
      <w:r w:rsidRPr="00F64776">
        <w:rPr>
          <w:rStyle w:val="NumeroAFNegritaCaracter"/>
        </w:rPr>
        <w:t>12</w:t>
      </w:r>
      <w:r>
        <w:t>. Finalmente, la Secretaría de Justicia dictó diligencia el 11 de septiembre de 2023: “Para hacer constar que ha transcurrido el plazo concedido en diligencia de ordenación de uno de septiembre del año en curso sin haber recibido escrito de alegaciones de la procuradora Lucina Gómez Gómez y, habiéndose unido en su día los escritos de alegaciones del Ministerio Fiscal y del procurador Carmelo Ortiz Pérez, queda la presente pieza de suspensión para deliberación cuando por turno corresponda, paso a dar cuenta. Doy fe”.</w:t>
      </w:r>
    </w:p>
    <w:p w14:paraId="3DF52712" w14:textId="77777777" w:rsidR="00F64776" w:rsidRDefault="00F64776" w:rsidP="00F64776">
      <w:pPr>
        <w:pStyle w:val="TextoNormal"/>
      </w:pPr>
    </w:p>
    <w:p w14:paraId="1C45B02F" w14:textId="77777777" w:rsidR="00F64776" w:rsidRDefault="00F64776" w:rsidP="00F64776">
      <w:pPr>
        <w:pStyle w:val="TextoNormalNegritaCentrado"/>
        <w:keepNext/>
      </w:pPr>
      <w:r>
        <w:t>II. Fundamentos jurídicos</w:t>
      </w:r>
    </w:p>
    <w:p w14:paraId="7A99385D" w14:textId="6314491C" w:rsidR="00F64776" w:rsidRDefault="00F64776" w:rsidP="00F64776">
      <w:pPr>
        <w:pStyle w:val="TextoNormalNegritaCentrado"/>
        <w:keepNext/>
      </w:pPr>
    </w:p>
    <w:p w14:paraId="195DFFAA" w14:textId="77777777" w:rsidR="00F64776" w:rsidRDefault="00F64776" w:rsidP="00F64776">
      <w:pPr>
        <w:pStyle w:val="TextoNormal"/>
      </w:pPr>
      <w:r w:rsidRPr="00F64776">
        <w:rPr>
          <w:rStyle w:val="NumeroAFNegritaCaracter"/>
        </w:rPr>
        <w:t>1</w:t>
      </w:r>
      <w:r>
        <w:t>. Se solicita de este tribunal la suspensión cautelar, hasta que se dicte sentencia en el presente proceso de amparo, de los autos impugnados que a instancia del Ministerio Fiscal han autorizado la administración a don D.R.O., de la vacuna contra el SARS-covid-19, por carecer este de la capacidad “natural actual para comprender el alcance de la intervención médica pautada”, y ante la negativa de sus dos progenitores para que fuera vacunado.</w:t>
      </w:r>
    </w:p>
    <w:p w14:paraId="37BD30EA" w14:textId="77777777" w:rsidR="00F64776" w:rsidRDefault="00F64776" w:rsidP="00F64776">
      <w:pPr>
        <w:pStyle w:val="TextoNormal"/>
      </w:pPr>
    </w:p>
    <w:p w14:paraId="61B5E0A6" w14:textId="27DFE2DF" w:rsidR="00F64776" w:rsidRDefault="00F64776" w:rsidP="00F64776">
      <w:pPr>
        <w:pStyle w:val="TextoNormal"/>
      </w:pPr>
      <w:r>
        <w:t>Antes de continuar debe precisarse que al amparo de lo establecido en el art. 86.3 LOTC y en el acuerdo del Pleno del Tribunal Constitucional de 23 de julio de 2015, por el que se regula la exclusión de los datos de identidad personal en la publicación de las resoluciones jurisdiccionales (“Boletín Oficial del Estado” núm. 178, de 27 de julio de 2015), en atención a que el objeto de controversia de este proceso constitucional versa sobre una persona que requiere un especial deber de tutela por su falta de capacidad civil, en la presente resolución se identifican por sus iniciales a los intervinientes con la finalidad de preservar de modo efectivo el anonimato de las personas concernidas.</w:t>
      </w:r>
    </w:p>
    <w:p w14:paraId="0E57F2A6" w14:textId="77777777" w:rsidR="00F64776" w:rsidRDefault="00F64776" w:rsidP="00F64776">
      <w:pPr>
        <w:pStyle w:val="TextoNormal"/>
      </w:pPr>
    </w:p>
    <w:p w14:paraId="6641D830" w14:textId="77777777" w:rsidR="00F64776" w:rsidRDefault="00F64776" w:rsidP="00F64776">
      <w:pPr>
        <w:pStyle w:val="TextoNormal"/>
      </w:pPr>
      <w:r w:rsidRPr="00F64776">
        <w:rPr>
          <w:rStyle w:val="NumeroAFNegritaCaracter"/>
        </w:rPr>
        <w:t>2</w:t>
      </w:r>
      <w:r>
        <w:t>. Con argumentos que resultan sustancialmente coincidentes con los que aquí se han presentado, hemos tenido ya la oportunidad de resolver en procesos de amparo varias solicitudes de suspensión cautelar de resoluciones judiciales en las que se autoriza la administración de la vacuna contra el covid-19 a personas que, bien por presentar un cuadro médico de discapacidad intelectiva y estando al cuidado de un pariente que se niega a su vacunación, o bien por su minoría de edad y ejerciendo su tutela sus padres quienes discrepan entre sí sobre la conveniencia o no de que su hijo sea vacunado, no tienen capacidad para decidir por sí mismos si se someten a dicha inoculación con el fin de evitar los riesgos que para su vida e integridad física tienen los diversos efectos atribuidos por la ciencia a la enfermedad vírica del SARS-CoV-2.</w:t>
      </w:r>
    </w:p>
    <w:p w14:paraId="7DF4955E" w14:textId="77777777" w:rsidR="00F64776" w:rsidRDefault="00F64776" w:rsidP="00F64776">
      <w:pPr>
        <w:pStyle w:val="TextoNormal"/>
      </w:pPr>
    </w:p>
    <w:p w14:paraId="5DD94FB9" w14:textId="77777777" w:rsidR="00F64776" w:rsidRDefault="00F64776" w:rsidP="00F64776">
      <w:pPr>
        <w:pStyle w:val="TextoNormal"/>
      </w:pPr>
      <w:r>
        <w:t>Para el primer supuesto hemos dictado el ATC 139/2022, de 26 de octubre; mientras que respecto de menores de edad, con similar fundamentación que aquel auto, cabe citar los AATC 102/2023, de 6 de marzo; 181/2023, de 17 de abril, y 322/2023 a 325/2023, estos últimos de 19 de junio, los cuales resultan de aplicación a este caso. Así por ejemplo, en el ATC 325/2023 se explica lo siguiente:</w:t>
      </w:r>
    </w:p>
    <w:p w14:paraId="12B79C2F" w14:textId="77777777" w:rsidR="00F64776" w:rsidRDefault="00F64776" w:rsidP="00F64776">
      <w:pPr>
        <w:pStyle w:val="TextoNormal"/>
      </w:pPr>
    </w:p>
    <w:p w14:paraId="0715132C" w14:textId="77777777" w:rsidR="00F64776" w:rsidRDefault="00F64776" w:rsidP="00F64776">
      <w:pPr>
        <w:pStyle w:val="TextoNormal"/>
      </w:pPr>
      <w:r>
        <w:t>«2. […] es necesario partir de lo que dispone el art. 56.1 LOTC que, como regla general, establece que “la interposición del recurso de amparo no suspenderá los efectos del acto o sentencia impugnados”. No obstante, su apartado 2, señala después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 La excepción a la regla general viene así determinada por una doble condición: en primer lugar, que la ejecución del acto o resolución impugnados produzca un perjuicio que pudiera hacer perder al amparo su finalidad, para el caso de que fuera finalmente estimado; y en segundo término, que la suspensión no genere, a su vez, una perturbación grave a un interés constitucionalmente protegido, ni a los derechos fundamentales o libertades de otra persona.</w:t>
      </w:r>
    </w:p>
    <w:p w14:paraId="19880E09" w14:textId="77777777" w:rsidR="00F64776" w:rsidRDefault="00F64776" w:rsidP="00F64776">
      <w:pPr>
        <w:pStyle w:val="TextoNormal"/>
      </w:pPr>
    </w:p>
    <w:p w14:paraId="14735E09" w14:textId="77777777" w:rsidR="00F64776" w:rsidRDefault="00F64776" w:rsidP="00F64776">
      <w:pPr>
        <w:pStyle w:val="TextoNormal"/>
      </w:pPr>
      <w:r>
        <w:t>Cuando el amparo constitucional se solicita respecto a resoluciones judiciales firmes, este tribunal tiene declarado (AATC 190/2015, de 5 de noviembre, FJ 2, y 130/2022, de 10 de octubre, FJ 3, y los autos en ellos citados) que la suspensión de la ejecución entraña siempre, en sí misma, una perturbación de la función jurisdiccional que comprende la potestad de hacer ejecutar lo juzgado (art. 117.3 CE). Consecuentemente, la regla general debe ser la improcedencia de la suspensión, que se configura, así, como una medida provisional de carácter excepcional y de aplicación restrictiva; esta naturaleza deriva de la necesidad de preservar el interés general, de la garantía de la efectividad de las decisiones de los poderes públicos y del aseguramiento de la ejecución de las resoluciones dictadas por jueces y tribunales en el ejercicio de la potestad jurisdiccional que les confiere el art. 117.3 CE. En definitiva, se trata de preservar la presunción de legitimidad que alcanza a todas las actuaciones de los poderes públicos, presunción inherente a la entera actividad pública.</w:t>
      </w:r>
    </w:p>
    <w:p w14:paraId="63B5C7A8" w14:textId="77777777" w:rsidR="00F64776" w:rsidRDefault="00F64776" w:rsidP="00F64776">
      <w:pPr>
        <w:pStyle w:val="TextoNormal"/>
      </w:pPr>
    </w:p>
    <w:p w14:paraId="611B67CB" w14:textId="77777777" w:rsidR="00F64776" w:rsidRDefault="00F64776" w:rsidP="00F64776">
      <w:pPr>
        <w:pStyle w:val="TextoNormal"/>
      </w:pPr>
      <w:r>
        <w:t>3. La facultad de este tribunal de adoptar medidas cautelares en los procesos de amparo, reconocida en el art. 56 LOTC, se sustenta en la necesidad de asegurar la efectividad de las resoluciones que les pongan fin, esto es, de preservar la integridad del derecho fundamental cuya vulneración se denuncia, en tanto en cuanto la ejecución del acto o resolución impugnados pudiera ocasionar un perjuicio que hiciese perder al amparo su finalidad.</w:t>
      </w:r>
    </w:p>
    <w:p w14:paraId="3B939A8A" w14:textId="77777777" w:rsidR="00F64776" w:rsidRDefault="00F64776" w:rsidP="00F64776">
      <w:pPr>
        <w:pStyle w:val="TextoNormal"/>
      </w:pPr>
    </w:p>
    <w:p w14:paraId="24E1FDCB" w14:textId="77777777" w:rsidR="00F64776" w:rsidRDefault="00F64776" w:rsidP="00F64776">
      <w:pPr>
        <w:pStyle w:val="TextoNormal"/>
      </w:pPr>
      <w:r>
        <w:t>Como recuerda el ATC 130/2022, de 10 de octubre, FJ 4, con cita del ATC 55/2018, de 22 de mayo, FJ 2 c), “la perspectiva única que ha de ser tenida en cuenta para decidir sobre cualquier pretensión cautelar formulada en el proceso de amparo ha de ser el de la preservación de la eficacia de un posible pronunciamiento estimatorio, sin prejuzgar cuál haya de ser el sentido de la futura sentencia que le ponga fin […] En tal medida, ‘no procede en este incidente examinar ni la concurrencia ni la ausencia de apariencia de buen derecho’ de la pretensión de amparo formulada, criterio este del que no se vale la regulación del artículo 56 LOTC para conceder o denegar la protección cautelar pretendida”.</w:t>
      </w:r>
    </w:p>
    <w:p w14:paraId="732D265F" w14:textId="77777777" w:rsidR="00F64776" w:rsidRDefault="00F64776" w:rsidP="00F64776">
      <w:pPr>
        <w:pStyle w:val="TextoNormal"/>
      </w:pPr>
    </w:p>
    <w:p w14:paraId="148879F6" w14:textId="77777777" w:rsidR="00F64776" w:rsidRDefault="00F64776" w:rsidP="00F64776">
      <w:pPr>
        <w:pStyle w:val="TextoNormal"/>
      </w:pPr>
      <w:r>
        <w:t>Adicionalmente, “este tribunal viene exigiendo a quien solicita la adopción de la medida cautelar de suspensión del acto o resolución judicial recurrido que alegue, pruebe o justifique, ofreciendo un principio razonable de prueba, la irreparabilidad o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147/2017, de 13 de noviembre, FJ 1, y 130/2022, de 10 de octubre, FJ 4).</w:t>
      </w:r>
    </w:p>
    <w:p w14:paraId="0209FE9D" w14:textId="77777777" w:rsidR="00F64776" w:rsidRDefault="00F64776" w:rsidP="00F64776">
      <w:pPr>
        <w:pStyle w:val="TextoNormal"/>
      </w:pPr>
    </w:p>
    <w:p w14:paraId="63300003" w14:textId="77777777" w:rsidR="00F64776" w:rsidRDefault="00F64776" w:rsidP="00F64776">
      <w:pPr>
        <w:pStyle w:val="TextoNormal"/>
      </w:pPr>
      <w:r>
        <w:t>En cuanto al concepto de perjuicio irreparable, debe entenderse que es “aquel que provoque que el restablecimiento del recurrente en los derechos fundamentales cuya vulneración denuncia sea tardío e impida definitivamente que la restauración sea efectiva […]. Los perjuicios irreparables deben ser reales, sin que sea posible alegar los futuros o hipotéticos o un simple temor; la pérdida de la finalidad del amparo no puede equipararse a la mayor o menor dificultad, molestia o incomodidad para el recurrente” (ATC 137/2017, de 16 de octubre, FJ 1, y 130/2022, FJ 4).</w:t>
      </w:r>
    </w:p>
    <w:p w14:paraId="3AC63A93" w14:textId="77777777" w:rsidR="00F64776" w:rsidRDefault="00F64776" w:rsidP="00F64776">
      <w:pPr>
        <w:pStyle w:val="TextoNormal"/>
      </w:pPr>
    </w:p>
    <w:p w14:paraId="7F04C9BE" w14:textId="77777777" w:rsidR="00F64776" w:rsidRDefault="00F64776" w:rsidP="00F64776">
      <w:pPr>
        <w:pStyle w:val="TextoNormal"/>
      </w:pPr>
      <w:r>
        <w:t>El Tribunal ha declarado asimismo en los AATC 71/2020, de 14 de julio, FJ 3, y 111/2020, de 21 de septiembre, FJ 2, y en los autos en ellos citados, que otro de los elementos que configuran la naturaleza excepcional de la suspensión de los actos impugnados en amparo es la necesidad de preservar la eficacia de un posible pronunciamiento estimatorio, sin prejuzgar cuál haya de ser el sentido de la futura sentencia que le ponga fin; y, en esta misma línea, que en este incidente procesal no cabe efectuar el análisis de la cuestión de fondo, ni cabe cuestionar las bases fácticas que la sustentan, ni tampoco anticipar indebidamente lo que debe ser resuelto en la oportuna sentencia.</w:t>
      </w:r>
    </w:p>
    <w:p w14:paraId="5B93C532" w14:textId="77777777" w:rsidR="00F64776" w:rsidRDefault="00F64776" w:rsidP="00F64776">
      <w:pPr>
        <w:pStyle w:val="TextoNormal"/>
      </w:pPr>
    </w:p>
    <w:p w14:paraId="4AE42D1F" w14:textId="633B7A61" w:rsidR="00F64776" w:rsidRDefault="00F64776" w:rsidP="00F64776">
      <w:pPr>
        <w:pStyle w:val="TextoNormal"/>
      </w:pPr>
      <w:r>
        <w:t>En esta misma línea jurisprudencial, el ATC 102/2023, de 6 de marzo, FJ 4, declara que “expresando el desacuerdo parental una diferencia de criterio sobre cómo mejor proteger la salud del hijo común menor de edad y sobre la conveniencia o utilidad de la administración de la vacuna debatida, cualquier pronunciamiento cautelar que este tribunal pudiera hacer en favor de la suspensión solicitada debería analizar y anticipar el debate de fondo de la pretensión de amparo, dado que la decisión judicial cuestionada se apoya en considerar que la vacuna sometida a debate no supone un grave riesgo para la vida o salud de la menor [ATC 139/2022, de 26 de octubre, FJ 3 b)]. Esa cuestión se integra en lo que constituye el fondo del recurso de amparo; por lo que, en todo caso, deberá ser abordada al dictar sentencia y no en este momento procesal previo”. En esta misma línea de continuidad se ha pronunciado recientemente el ATC 181/2023, de 17 de abril, FJ 3».</w:t>
      </w:r>
    </w:p>
    <w:p w14:paraId="5FDAF685" w14:textId="77777777" w:rsidR="00F64776" w:rsidRDefault="00F64776" w:rsidP="00F64776">
      <w:pPr>
        <w:pStyle w:val="TextoNormal"/>
      </w:pPr>
    </w:p>
    <w:p w14:paraId="5F4E10D5" w14:textId="77777777" w:rsidR="00F64776" w:rsidRDefault="00F64776" w:rsidP="00F64776">
      <w:pPr>
        <w:pStyle w:val="TextoNormal"/>
      </w:pPr>
      <w:r w:rsidRPr="00F64776">
        <w:rPr>
          <w:rStyle w:val="NumeroAFNegritaCaracter"/>
        </w:rPr>
        <w:t>3</w:t>
      </w:r>
      <w:r>
        <w:t>. La aplicación de las normas y de la doctrina constitucional aplicables, conducen a la desestimación de la pretensión cautelar formalizada.</w:t>
      </w:r>
    </w:p>
    <w:p w14:paraId="067A8DF7" w14:textId="77777777" w:rsidR="00F64776" w:rsidRDefault="00F64776" w:rsidP="00F64776">
      <w:pPr>
        <w:pStyle w:val="TextoNormal"/>
      </w:pPr>
    </w:p>
    <w:p w14:paraId="0249854E" w14:textId="77777777" w:rsidR="00F64776" w:rsidRDefault="00F64776" w:rsidP="00F64776">
      <w:pPr>
        <w:pStyle w:val="TextoNormal"/>
      </w:pPr>
      <w:r>
        <w:t>a) De un lado, los recurrentes no alegan ni avalan con informes médicos que la inoculación de la vacuna contra el covid-19 a su hijo don D.R.O., pudiera producir a este un trastorno de su salud que haría peligrosa su administración en este caso. Por tanto, no acreditan perjuicios irreparables o de difícil reparación para su vida o integridad física a efectos de una suspensión cautelar de las resoluciones impugnadas. En sus escritos afirman que de no suspenderse los autos se causarían perjuicios irreparables y que el amparo no alcanzaría su finalidad, pero no se motiva ni prueba por qué.</w:t>
      </w:r>
    </w:p>
    <w:p w14:paraId="5D59FB9E" w14:textId="77777777" w:rsidR="00F64776" w:rsidRDefault="00F64776" w:rsidP="00F64776">
      <w:pPr>
        <w:pStyle w:val="TextoNormal"/>
      </w:pPr>
    </w:p>
    <w:p w14:paraId="54E1F6E7" w14:textId="77777777" w:rsidR="00F64776" w:rsidRDefault="00F64776" w:rsidP="00F64776">
      <w:pPr>
        <w:pStyle w:val="TextoNormal"/>
      </w:pPr>
      <w:r>
        <w:t>b) De otro lado, en fin, el escrito de alegaciones de la presente pieza se limita a hablar del carácter experimental de las vacunas contra el covid-19 y de que se han levantado algunas medidas de prevención general por las autoridades, pese a que no hayan desaparecido la enfermedad ni el riesgo de contagio.</w:t>
      </w:r>
    </w:p>
    <w:p w14:paraId="0956A270" w14:textId="77777777" w:rsidR="00F64776" w:rsidRDefault="00F64776" w:rsidP="00F64776">
      <w:pPr>
        <w:pStyle w:val="TextoNormal"/>
      </w:pPr>
    </w:p>
    <w:p w14:paraId="49768FB8" w14:textId="27D4F4B9" w:rsidR="00F64776" w:rsidRDefault="00F64776" w:rsidP="00F64776">
      <w:pPr>
        <w:pStyle w:val="TextoNormal"/>
      </w:pPr>
      <w:r>
        <w:t>Estas últimas consideraciones, sin embargo y pese a que lo nieguen los recurrentes, se vinculan de manera directa con los argumentos de fondo de la propia demanda de amparo, sobre los cuales conforme a la doctrina que ya hemos citado (AATC 102/2023, FJ 4; 181/2023, FJ 3; 322/2023, FJ 5; 323/2023, FJ 3; 324/2023, FJ 5, y 325/2023, FJ 5), no podemos pronunciarnos en la resolución de este procedimiento incidental, sino en todo caso al dictarse la sentencia que ponga fin al recurso de amparo.</w:t>
      </w:r>
    </w:p>
    <w:p w14:paraId="055802AE" w14:textId="77777777" w:rsidR="00F64776" w:rsidRDefault="00F64776" w:rsidP="00F64776">
      <w:pPr>
        <w:pStyle w:val="TextoNormal"/>
      </w:pPr>
    </w:p>
    <w:p w14:paraId="697C933D" w14:textId="77777777" w:rsidR="00F64776" w:rsidRDefault="00F64776" w:rsidP="00F64776">
      <w:pPr>
        <w:pStyle w:val="TextoNormal"/>
      </w:pPr>
      <w:r>
        <w:t>Por lo expuesto, la Sala</w:t>
      </w:r>
    </w:p>
    <w:p w14:paraId="60C7CD8B" w14:textId="6C252EAD" w:rsidR="00F64776" w:rsidRDefault="00F64776" w:rsidP="00F64776">
      <w:pPr>
        <w:pStyle w:val="TextoNormal"/>
      </w:pPr>
    </w:p>
    <w:p w14:paraId="63B8C454" w14:textId="77777777" w:rsidR="00F64776" w:rsidRDefault="00F64776" w:rsidP="00F64776">
      <w:pPr>
        <w:pStyle w:val="TextoNormalCentrado"/>
      </w:pPr>
      <w:r>
        <w:t>ACUERDA</w:t>
      </w:r>
    </w:p>
    <w:p w14:paraId="0E43E433" w14:textId="5D962290" w:rsidR="00F64776" w:rsidRDefault="00F64776" w:rsidP="00F64776">
      <w:pPr>
        <w:pStyle w:val="TextoNormalCentrado"/>
      </w:pPr>
    </w:p>
    <w:p w14:paraId="510C7FB8" w14:textId="678C90E1" w:rsidR="00F64776" w:rsidRDefault="00F64776" w:rsidP="00F64776">
      <w:pPr>
        <w:pStyle w:val="TextoNormal"/>
      </w:pPr>
      <w:r>
        <w:t>Desestimar la solicitud de suspensión de las resoluciones judiciales impugnadas.</w:t>
      </w:r>
    </w:p>
    <w:p w14:paraId="6C3D2E86" w14:textId="77777777" w:rsidR="00F64776" w:rsidRDefault="00F64776" w:rsidP="00F64776">
      <w:pPr>
        <w:pStyle w:val="TextoNormal"/>
      </w:pPr>
    </w:p>
    <w:p w14:paraId="488259CF" w14:textId="77777777" w:rsidR="00F64776" w:rsidRDefault="00F64776" w:rsidP="00F64776">
      <w:pPr>
        <w:pStyle w:val="TextoNormal"/>
      </w:pPr>
      <w:r>
        <w:t>Madrid, a veintitrés de octubre de dos mil veintitrés.</w:t>
      </w:r>
    </w:p>
    <w:p w14:paraId="0FC322AF" w14:textId="4C165AFB" w:rsidR="00F64776" w:rsidRDefault="00F64776">
      <w:pPr>
        <w:spacing w:after="160" w:line="278" w:lineRule="auto"/>
        <w:rPr>
          <w:rFonts w:ascii="Times New Roman" w:eastAsia="Times New Roman" w:hAnsi="Times New Roman" w:cs="Times New Roman"/>
          <w:sz w:val="24"/>
          <w:szCs w:val="24"/>
          <w:lang w:eastAsia="es-ES"/>
        </w:rPr>
      </w:pPr>
      <w:r>
        <w:br w:type="page"/>
      </w:r>
    </w:p>
    <w:p w14:paraId="53211CCA" w14:textId="77777777" w:rsidR="00F64776" w:rsidRDefault="00F64776" w:rsidP="00F64776">
      <w:pPr>
        <w:pStyle w:val="TtuloResolucin"/>
      </w:pPr>
      <w:bookmarkStart w:id="263" w:name="AUTO_2023_478"/>
      <w:r>
        <w:t>AUTO 478/2023, de 23 de octubre de 2023</w:t>
      </w:r>
    </w:p>
    <w:bookmarkEnd w:id="263"/>
    <w:p w14:paraId="117AB219" w14:textId="77777777" w:rsidR="00F64776" w:rsidRDefault="00F64776" w:rsidP="00F64776">
      <w:pPr>
        <w:pStyle w:val="TtuloResolucin"/>
      </w:pPr>
      <w:r>
        <w:t>Sección Primera</w:t>
      </w:r>
    </w:p>
    <w:p w14:paraId="5B6C14FE" w14:textId="77777777" w:rsidR="00F64776" w:rsidRDefault="00F64776" w:rsidP="00F64776">
      <w:pPr>
        <w:pStyle w:val="TextoNormalCentrado"/>
      </w:pPr>
      <w:r>
        <w:t>ECLI:ES:TC:2023:478A</w:t>
      </w:r>
    </w:p>
    <w:p w14:paraId="7C269E5F" w14:textId="70969201" w:rsidR="00F64776" w:rsidRDefault="00F64776" w:rsidP="00F64776">
      <w:pPr>
        <w:pStyle w:val="TextoNormalCentrado"/>
      </w:pPr>
    </w:p>
    <w:p w14:paraId="22C0A079" w14:textId="77777777" w:rsidR="00F64776" w:rsidRDefault="00F64776" w:rsidP="00F64776">
      <w:pPr>
        <w:pStyle w:val="SntesisDescriptiva"/>
      </w:pPr>
      <w:r>
        <w:t>Excms. Srs. doña Concepción Espejel Jorquera y doña María Luisa Segoviano Astaburuaga.</w:t>
      </w:r>
    </w:p>
    <w:p w14:paraId="39E9047D" w14:textId="3B5E110B" w:rsidR="00F64776" w:rsidRDefault="00F64776" w:rsidP="00F64776">
      <w:pPr>
        <w:pStyle w:val="SntesisDescriptiva"/>
      </w:pPr>
    </w:p>
    <w:p w14:paraId="0A26598E" w14:textId="77777777" w:rsidR="00F64776" w:rsidRDefault="00F64776" w:rsidP="00F64776">
      <w:pPr>
        <w:pStyle w:val="SntesisDescriptiva"/>
      </w:pPr>
      <w:r>
        <w:t>Acepta una abstención en el recurso de amparo 2212-2023, promovido en proceso militar.</w:t>
      </w:r>
    </w:p>
    <w:p w14:paraId="5540B399" w14:textId="2E36DF6E" w:rsidR="00F64776" w:rsidRDefault="00F64776" w:rsidP="00F64776">
      <w:pPr>
        <w:pStyle w:val="SntesisDescriptiva"/>
      </w:pPr>
    </w:p>
    <w:p w14:paraId="2E32C1BD" w14:textId="77777777" w:rsidR="00F64776" w:rsidRDefault="00F64776" w:rsidP="00F64776">
      <w:pPr>
        <w:pStyle w:val="SntesisDescriptiva"/>
      </w:pPr>
    </w:p>
    <w:p w14:paraId="51C8929F" w14:textId="77777777" w:rsidR="00F64776" w:rsidRDefault="00F64776" w:rsidP="00F64776">
      <w:pPr>
        <w:pStyle w:val="SntesisDescriptiva"/>
      </w:pPr>
    </w:p>
    <w:p w14:paraId="153DFAB8" w14:textId="77777777" w:rsidR="00F64776" w:rsidRDefault="00F64776" w:rsidP="00F64776">
      <w:pPr>
        <w:pStyle w:val="TextoNormalNegritaCentrado"/>
      </w:pPr>
      <w:r>
        <w:t>AUTO</w:t>
      </w:r>
    </w:p>
    <w:p w14:paraId="1FFA72A5" w14:textId="660CD46B" w:rsidR="00F64776" w:rsidRDefault="00F64776" w:rsidP="00F64776">
      <w:pPr>
        <w:pStyle w:val="TextoNormalNegritaCentrado"/>
      </w:pPr>
    </w:p>
    <w:p w14:paraId="4D84D942" w14:textId="77777777" w:rsidR="00F64776" w:rsidRDefault="00F64776" w:rsidP="00F64776">
      <w:pPr>
        <w:pStyle w:val="TextoNormalNegritaCentrado"/>
        <w:keepNext/>
      </w:pPr>
      <w:r>
        <w:t>I. Antecedentes</w:t>
      </w:r>
    </w:p>
    <w:p w14:paraId="0B3182CF" w14:textId="0573FB85" w:rsidR="00F64776" w:rsidRDefault="00F64776" w:rsidP="00F64776">
      <w:pPr>
        <w:pStyle w:val="TextoNormalNegritaCentrado"/>
        <w:keepNext/>
      </w:pPr>
    </w:p>
    <w:p w14:paraId="49F0F61B" w14:textId="77777777" w:rsidR="00F64776" w:rsidRDefault="00F64776" w:rsidP="00F64776">
      <w:pPr>
        <w:pStyle w:val="TextoNormal"/>
      </w:pPr>
      <w:r w:rsidRPr="00F64776">
        <w:rPr>
          <w:rStyle w:val="TextoNormalNegritaCaracter"/>
        </w:rPr>
        <w:t xml:space="preserve">Único. </w:t>
      </w:r>
      <w:r>
        <w:t>En el recurso de amparo núm. 2212-2023 se impugna la sentencia 19/2023, de 13 de marzo, dictada por la Sala de lo Militar del Tribunal Supremo contra la sentencia dictada por el Tribunal Militar Territorial Cuarto, de 17 de marzo de 2022, sumario 42-03 por la que se condenó a don Alberto García González como autor de un delito consumado de revelación de secretos e informaciones relativas a la seguridad y defensa nacionales.</w:t>
      </w:r>
    </w:p>
    <w:p w14:paraId="721891D3" w14:textId="77777777" w:rsidR="00F64776" w:rsidRDefault="00F64776" w:rsidP="00F64776">
      <w:pPr>
        <w:pStyle w:val="TextoNormal"/>
      </w:pPr>
    </w:p>
    <w:p w14:paraId="4DA941DE" w14:textId="5C77EA45" w:rsidR="00F64776" w:rsidRDefault="00F64776" w:rsidP="00F64776">
      <w:pPr>
        <w:pStyle w:val="TextoNormal"/>
      </w:pPr>
      <w:r>
        <w:t>Mediante escrito de 23 de octubre de 2023, el presidente don Cándido Conde-Pumpido Tourón, presidente de la Sección Primera del Tribunal Constitucional, comunicó a los efectos oportunos que se abstenía de intervenir en el recurso de amparo antes indicado, de conformidad con el art. 80 de la Ley Orgánica del Tribunal Constitucional, por concurrir la causa de abstención prevista en el artículo 219.15 de la Ley Orgánica del Poder Judicial (LOPJ).</w:t>
      </w:r>
    </w:p>
    <w:p w14:paraId="1E849ED9" w14:textId="77777777" w:rsidR="00F64776" w:rsidRDefault="00F64776" w:rsidP="00F64776">
      <w:pPr>
        <w:pStyle w:val="TextoNormal"/>
      </w:pPr>
    </w:p>
    <w:p w14:paraId="141FFE51" w14:textId="77777777" w:rsidR="00F64776" w:rsidRDefault="00F64776" w:rsidP="00F64776">
      <w:pPr>
        <w:pStyle w:val="TextoNormalNegritaCentrado"/>
        <w:keepNext/>
      </w:pPr>
      <w:r>
        <w:t>II. Fundamentos jurídicos</w:t>
      </w:r>
    </w:p>
    <w:p w14:paraId="74706DC7" w14:textId="1830685A" w:rsidR="00F64776" w:rsidRDefault="00F64776" w:rsidP="00F64776">
      <w:pPr>
        <w:pStyle w:val="TextoNormalNegritaCentrado"/>
        <w:keepNext/>
      </w:pPr>
    </w:p>
    <w:p w14:paraId="464C9AE1" w14:textId="08179136" w:rsidR="00F64776" w:rsidRDefault="00F64776" w:rsidP="00F64776">
      <w:pPr>
        <w:pStyle w:val="TextoNormal"/>
      </w:pPr>
      <w:r w:rsidRPr="00F64776">
        <w:rPr>
          <w:rStyle w:val="TextoNormalNegritaCaracter"/>
        </w:rPr>
        <w:t xml:space="preserve">Único. </w:t>
      </w:r>
      <w:r>
        <w:t>Vista la comunicación efectuada por don Cándido Conde-Pumpido Tourón, presidente de esta sección primera del Tribunal Constitucional, la Sección, en virtud de lo previsto en el art. 219.15 LOPJ, supletoria de la Ley Orgánica del Tribunal Constitucional (art. 80), estima justificada la causa de abstención formulada.</w:t>
      </w:r>
    </w:p>
    <w:p w14:paraId="78989384" w14:textId="77777777" w:rsidR="00F64776" w:rsidRDefault="00F64776" w:rsidP="00F64776">
      <w:pPr>
        <w:pStyle w:val="TextoNormal"/>
      </w:pPr>
    </w:p>
    <w:p w14:paraId="221ED177" w14:textId="77777777" w:rsidR="00F64776" w:rsidRDefault="00F64776" w:rsidP="00F64776">
      <w:pPr>
        <w:pStyle w:val="TextoNormal"/>
      </w:pPr>
      <w:r>
        <w:t>Por lo expuesto, la Sección</w:t>
      </w:r>
    </w:p>
    <w:p w14:paraId="52E45B63" w14:textId="1D92C1BA" w:rsidR="00F64776" w:rsidRDefault="00F64776" w:rsidP="00F64776">
      <w:pPr>
        <w:pStyle w:val="TextoNormal"/>
      </w:pPr>
    </w:p>
    <w:p w14:paraId="40CB9216" w14:textId="77777777" w:rsidR="00F64776" w:rsidRDefault="00F64776" w:rsidP="00F64776">
      <w:pPr>
        <w:pStyle w:val="TextoNormalCentrado"/>
      </w:pPr>
      <w:r>
        <w:t>ACUERDA</w:t>
      </w:r>
    </w:p>
    <w:p w14:paraId="07EE1338" w14:textId="53641021" w:rsidR="00F64776" w:rsidRDefault="00F64776" w:rsidP="00F64776">
      <w:pPr>
        <w:pStyle w:val="TextoNormalCentrado"/>
      </w:pPr>
    </w:p>
    <w:p w14:paraId="591374F5" w14:textId="2F78BFA7" w:rsidR="00F64776" w:rsidRDefault="00F64776" w:rsidP="00F64776">
      <w:pPr>
        <w:pStyle w:val="TextoNormal"/>
      </w:pPr>
      <w:r>
        <w:t>Estimar justificada la abstención formulada por el magistrado don Cándido Conde-Pumpido Tourón, presidente de esta sección primera, en el recurso de amparo núm. 2212-2023 apartándole definitivamente del conocimiento del referido recurso y de todas sus incidencias.</w:t>
      </w:r>
    </w:p>
    <w:p w14:paraId="005BA1C7" w14:textId="77777777" w:rsidR="00F64776" w:rsidRDefault="00F64776" w:rsidP="00F64776">
      <w:pPr>
        <w:pStyle w:val="TextoNormal"/>
      </w:pPr>
    </w:p>
    <w:p w14:paraId="11847424" w14:textId="77777777" w:rsidR="00F64776" w:rsidRDefault="00F64776" w:rsidP="00F64776">
      <w:pPr>
        <w:pStyle w:val="TextoNormal"/>
      </w:pPr>
      <w:r>
        <w:t>Madrid, a veintitrés de octubre de dos mil veintitrés.</w:t>
      </w:r>
    </w:p>
    <w:p w14:paraId="3885D2A3" w14:textId="00EE7EA0" w:rsidR="00F64776" w:rsidRDefault="00F64776">
      <w:pPr>
        <w:spacing w:after="160" w:line="278" w:lineRule="auto"/>
        <w:rPr>
          <w:rFonts w:ascii="Times New Roman" w:eastAsia="Times New Roman" w:hAnsi="Times New Roman" w:cs="Times New Roman"/>
          <w:sz w:val="24"/>
          <w:szCs w:val="24"/>
          <w:lang w:eastAsia="es-ES"/>
        </w:rPr>
      </w:pPr>
      <w:r>
        <w:br w:type="page"/>
      </w:r>
    </w:p>
    <w:p w14:paraId="475DFA75" w14:textId="77777777" w:rsidR="00F64776" w:rsidRDefault="00F64776" w:rsidP="00F64776">
      <w:pPr>
        <w:pStyle w:val="TtuloResolucin"/>
      </w:pPr>
      <w:bookmarkStart w:id="264" w:name="AUTO_2023_479"/>
      <w:r>
        <w:t>AUTO 479/2023, de 23 de octubre de 2023</w:t>
      </w:r>
    </w:p>
    <w:bookmarkEnd w:id="264"/>
    <w:p w14:paraId="2658D1CD" w14:textId="77777777" w:rsidR="00F64776" w:rsidRDefault="00F64776" w:rsidP="00F64776">
      <w:pPr>
        <w:pStyle w:val="TtuloResolucin"/>
      </w:pPr>
      <w:r>
        <w:t>Sección Tercera</w:t>
      </w:r>
    </w:p>
    <w:p w14:paraId="7866EA4C" w14:textId="77777777" w:rsidR="00F64776" w:rsidRDefault="00F64776" w:rsidP="00F64776">
      <w:pPr>
        <w:pStyle w:val="TextoNormalCentrado"/>
      </w:pPr>
      <w:r>
        <w:t>ECLI:ES:TC:2023:479A</w:t>
      </w:r>
    </w:p>
    <w:p w14:paraId="0A522366" w14:textId="0C24BCAD" w:rsidR="00F64776" w:rsidRDefault="00F64776" w:rsidP="00F64776">
      <w:pPr>
        <w:pStyle w:val="TextoNormalCentrado"/>
      </w:pPr>
    </w:p>
    <w:p w14:paraId="0475FF6D" w14:textId="77777777" w:rsidR="00F64776" w:rsidRDefault="00F64776" w:rsidP="00F64776">
      <w:pPr>
        <w:pStyle w:val="SntesisDescriptiva"/>
      </w:pPr>
      <w:r>
        <w:t>Excms. Srs. doña Inmaculada Montalbán Huertas y doña Laura Díez Bueso.</w:t>
      </w:r>
    </w:p>
    <w:p w14:paraId="0CA05664" w14:textId="7E1EF3A5" w:rsidR="00F64776" w:rsidRDefault="00F64776" w:rsidP="00F64776">
      <w:pPr>
        <w:pStyle w:val="SntesisDescriptiva"/>
      </w:pPr>
    </w:p>
    <w:p w14:paraId="01A2F14F" w14:textId="77777777" w:rsidR="00F64776" w:rsidRDefault="00F64776" w:rsidP="00F64776">
      <w:pPr>
        <w:pStyle w:val="SntesisDescriptiva"/>
      </w:pPr>
      <w:r>
        <w:t>Acepta una abstención en el recurso de amparo 2325-2023, promovido en proceso contencioso-administrativo.</w:t>
      </w:r>
    </w:p>
    <w:p w14:paraId="55CDC76B" w14:textId="52682D69" w:rsidR="00F64776" w:rsidRDefault="00F64776" w:rsidP="00F64776">
      <w:pPr>
        <w:pStyle w:val="SntesisDescriptiva"/>
      </w:pPr>
    </w:p>
    <w:p w14:paraId="7DBD0F57" w14:textId="77777777" w:rsidR="00F64776" w:rsidRDefault="00F64776" w:rsidP="00F64776">
      <w:pPr>
        <w:pStyle w:val="SntesisDescriptiva"/>
      </w:pPr>
    </w:p>
    <w:p w14:paraId="5132AF15" w14:textId="77777777" w:rsidR="00F64776" w:rsidRDefault="00F64776" w:rsidP="00F64776">
      <w:pPr>
        <w:pStyle w:val="SntesisDescriptiva"/>
      </w:pPr>
    </w:p>
    <w:p w14:paraId="5686A49F" w14:textId="77777777" w:rsidR="00F64776" w:rsidRDefault="00F64776" w:rsidP="00F64776">
      <w:pPr>
        <w:pStyle w:val="TextoNormalNegritaCentrado"/>
      </w:pPr>
      <w:r>
        <w:t>AUTO</w:t>
      </w:r>
    </w:p>
    <w:p w14:paraId="41218154" w14:textId="3D6B4018" w:rsidR="00F64776" w:rsidRDefault="00F64776" w:rsidP="00F64776">
      <w:pPr>
        <w:pStyle w:val="TextoNormalNegritaCentrado"/>
      </w:pPr>
    </w:p>
    <w:p w14:paraId="5B460B7B" w14:textId="77777777" w:rsidR="00F64776" w:rsidRDefault="00F64776" w:rsidP="00F64776">
      <w:pPr>
        <w:pStyle w:val="TextoNormalNegritaCentrado"/>
        <w:keepNext/>
      </w:pPr>
      <w:r>
        <w:t>I. Antecedentes</w:t>
      </w:r>
    </w:p>
    <w:p w14:paraId="26A723D0" w14:textId="7515AACA" w:rsidR="00F64776" w:rsidRDefault="00F64776" w:rsidP="00F64776">
      <w:pPr>
        <w:pStyle w:val="TextoNormalNegritaCentrado"/>
        <w:keepNext/>
      </w:pPr>
    </w:p>
    <w:p w14:paraId="7B45E98C" w14:textId="3D5EF0E8" w:rsidR="00F64776" w:rsidRDefault="00F64776" w:rsidP="00F64776">
      <w:pPr>
        <w:pStyle w:val="TextoNormal"/>
      </w:pPr>
      <w:r w:rsidRPr="00F64776">
        <w:rPr>
          <w:rStyle w:val="NumeroAFNegritaCaracter"/>
        </w:rPr>
        <w:t>1</w:t>
      </w:r>
      <w:r>
        <w:t>. Mediante escrito registrado en este tribunal el 10 de abril de 2023 la procuradora de los tribunales doña Bárbara Sánchez Lorente, en nombre y representación de don Mohamed El Morabet y bajo la dirección del letrado don Alfonso Carbonell Tortosa, formuló demanda de amparo contra providencia de la Sección Primera de la Sala de lo Contencioso-Administrativo del Tribunal Supremo en recurso de casación núm. 1172-2022.</w:t>
      </w:r>
    </w:p>
    <w:p w14:paraId="64D6DE0F" w14:textId="77777777" w:rsidR="00F64776" w:rsidRDefault="00F64776" w:rsidP="00F64776">
      <w:pPr>
        <w:pStyle w:val="TextoNormal"/>
      </w:pPr>
    </w:p>
    <w:p w14:paraId="218D6166" w14:textId="3323EA26" w:rsidR="00F64776" w:rsidRDefault="00F64776" w:rsidP="00F64776">
      <w:pPr>
        <w:pStyle w:val="TextoNormal"/>
      </w:pPr>
      <w:r w:rsidRPr="00F64776">
        <w:rPr>
          <w:rStyle w:val="NumeroAFNegritaCaracter"/>
        </w:rPr>
        <w:t>2</w:t>
      </w:r>
      <w:r>
        <w:t>. Por escrito de 27 de mayo de 2023 el magistrado don César Tolosa Tribiño manifestó su voluntad de abstenerse en el presente recurso de amparo y todas sus incidencias, por entender que concurría la causa establecida en el artículo 219.11ª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70C99802" w14:textId="77777777" w:rsidR="00F64776" w:rsidRDefault="00F64776" w:rsidP="00F64776">
      <w:pPr>
        <w:pStyle w:val="TextoNormal"/>
      </w:pPr>
    </w:p>
    <w:p w14:paraId="1C378430" w14:textId="77777777" w:rsidR="00F64776" w:rsidRDefault="00F64776" w:rsidP="00F64776">
      <w:pPr>
        <w:pStyle w:val="TextoNormalNegritaCentrado"/>
        <w:keepNext/>
      </w:pPr>
      <w:r>
        <w:t>II. Fundamentos jurídicos</w:t>
      </w:r>
    </w:p>
    <w:p w14:paraId="3462E97C" w14:textId="51A403ED" w:rsidR="00F64776" w:rsidRDefault="00F64776" w:rsidP="00F64776">
      <w:pPr>
        <w:pStyle w:val="TextoNormalNegritaCentrado"/>
        <w:keepNext/>
      </w:pPr>
    </w:p>
    <w:p w14:paraId="1628B255" w14:textId="78253470"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75B2A1F5" w14:textId="77777777" w:rsidR="00F64776" w:rsidRDefault="00F64776" w:rsidP="00F64776">
      <w:pPr>
        <w:pStyle w:val="TextoNormal"/>
      </w:pPr>
    </w:p>
    <w:p w14:paraId="23AA7D2D" w14:textId="77777777" w:rsidR="00F64776" w:rsidRDefault="00F64776" w:rsidP="00F64776">
      <w:pPr>
        <w:pStyle w:val="TextoNormal"/>
      </w:pPr>
      <w:r>
        <w:t>Por lo expuesto, la Sección</w:t>
      </w:r>
    </w:p>
    <w:p w14:paraId="43CDE535" w14:textId="4CDF0AB4" w:rsidR="00F64776" w:rsidRDefault="00F64776" w:rsidP="00F64776">
      <w:pPr>
        <w:pStyle w:val="TextoNormal"/>
      </w:pPr>
    </w:p>
    <w:p w14:paraId="6586AF08" w14:textId="77777777" w:rsidR="00F64776" w:rsidRDefault="00F64776" w:rsidP="00F64776">
      <w:pPr>
        <w:pStyle w:val="TextoNormalCentrado"/>
      </w:pPr>
      <w:r>
        <w:t>ACUERDA</w:t>
      </w:r>
    </w:p>
    <w:p w14:paraId="5F21EE21" w14:textId="33B94487" w:rsidR="00F64776" w:rsidRDefault="00F64776" w:rsidP="00F64776">
      <w:pPr>
        <w:pStyle w:val="TextoNormalCentrado"/>
      </w:pPr>
    </w:p>
    <w:p w14:paraId="0CAEFEE8" w14:textId="3075BB83" w:rsidR="00F64776" w:rsidRDefault="00F64776" w:rsidP="00F64776">
      <w:pPr>
        <w:pStyle w:val="TextoNormal"/>
      </w:pPr>
      <w:r>
        <w:t>Estimar justificada la abstención formulada por el magistrado señor don César Tolosa Tribiño en el recurso de amparo núm. 2325-2023 y apartarle definitivamente del conocimiento del referido recurso y de todas sus incidencias.</w:t>
      </w:r>
    </w:p>
    <w:p w14:paraId="40DC5B79" w14:textId="77777777" w:rsidR="00F64776" w:rsidRDefault="00F64776" w:rsidP="00F64776">
      <w:pPr>
        <w:pStyle w:val="TextoNormal"/>
      </w:pPr>
    </w:p>
    <w:p w14:paraId="52DBAB8E" w14:textId="77777777" w:rsidR="00F64776" w:rsidRDefault="00F64776" w:rsidP="00F64776">
      <w:pPr>
        <w:pStyle w:val="TextoNormal"/>
      </w:pPr>
      <w:r>
        <w:t>Madrid, a veintitrés de octubre de dos mil veintitrés.</w:t>
      </w:r>
    </w:p>
    <w:p w14:paraId="5BC4BD5E" w14:textId="25A1A008" w:rsidR="00F64776" w:rsidRDefault="00F64776">
      <w:pPr>
        <w:spacing w:after="160" w:line="278" w:lineRule="auto"/>
        <w:rPr>
          <w:rFonts w:ascii="Times New Roman" w:eastAsia="Times New Roman" w:hAnsi="Times New Roman" w:cs="Times New Roman"/>
          <w:sz w:val="24"/>
          <w:szCs w:val="24"/>
          <w:lang w:eastAsia="es-ES"/>
        </w:rPr>
      </w:pPr>
      <w:r>
        <w:br w:type="page"/>
      </w:r>
    </w:p>
    <w:p w14:paraId="7C675399" w14:textId="77777777" w:rsidR="00F64776" w:rsidRDefault="00F64776" w:rsidP="00F64776">
      <w:pPr>
        <w:pStyle w:val="TtuloResolucin"/>
      </w:pPr>
      <w:bookmarkStart w:id="265" w:name="AUTO_2023_480"/>
      <w:r>
        <w:t>AUTO 480/2023, de 23 de octubre de 2023</w:t>
      </w:r>
    </w:p>
    <w:bookmarkEnd w:id="265"/>
    <w:p w14:paraId="4FEFB5D2" w14:textId="77777777" w:rsidR="00F64776" w:rsidRDefault="00F64776" w:rsidP="00F64776">
      <w:pPr>
        <w:pStyle w:val="TtuloResolucin"/>
      </w:pPr>
      <w:r>
        <w:t>Sección Tercera</w:t>
      </w:r>
    </w:p>
    <w:p w14:paraId="1A47531A" w14:textId="77777777" w:rsidR="00F64776" w:rsidRDefault="00F64776" w:rsidP="00F64776">
      <w:pPr>
        <w:pStyle w:val="TextoNormalCentrado"/>
      </w:pPr>
      <w:r>
        <w:t>ECLI:ES:TC:2023:480A</w:t>
      </w:r>
    </w:p>
    <w:p w14:paraId="57D40C23" w14:textId="7CE28CFA" w:rsidR="00F64776" w:rsidRDefault="00F64776" w:rsidP="00F64776">
      <w:pPr>
        <w:pStyle w:val="TextoNormalCentrado"/>
      </w:pPr>
    </w:p>
    <w:p w14:paraId="1571C3FD" w14:textId="77777777" w:rsidR="00F64776" w:rsidRDefault="00F64776" w:rsidP="00F64776">
      <w:pPr>
        <w:pStyle w:val="SntesisDescriptiva"/>
      </w:pPr>
      <w:r>
        <w:t>Excms. Srs. doña Inmaculada Montalbán Huertas y doña Laura Díez Bueso.</w:t>
      </w:r>
    </w:p>
    <w:p w14:paraId="415757F7" w14:textId="4ED67C77" w:rsidR="00F64776" w:rsidRDefault="00F64776" w:rsidP="00F64776">
      <w:pPr>
        <w:pStyle w:val="SntesisDescriptiva"/>
      </w:pPr>
    </w:p>
    <w:p w14:paraId="6AEC3F62" w14:textId="77777777" w:rsidR="00F64776" w:rsidRDefault="00F64776" w:rsidP="00F64776">
      <w:pPr>
        <w:pStyle w:val="SntesisDescriptiva"/>
      </w:pPr>
      <w:r>
        <w:t>Acepta una abstención en el recurso de amparo 2530-2023, promovido en proceso contencioso-administrativo.</w:t>
      </w:r>
    </w:p>
    <w:p w14:paraId="1476634E" w14:textId="1CCC768A" w:rsidR="00F64776" w:rsidRDefault="00F64776" w:rsidP="00F64776">
      <w:pPr>
        <w:pStyle w:val="SntesisDescriptiva"/>
      </w:pPr>
    </w:p>
    <w:p w14:paraId="6AD96CC2" w14:textId="77777777" w:rsidR="00F64776" w:rsidRDefault="00F64776" w:rsidP="00F64776">
      <w:pPr>
        <w:pStyle w:val="SntesisDescriptiva"/>
      </w:pPr>
    </w:p>
    <w:p w14:paraId="34AFE4FE" w14:textId="77777777" w:rsidR="00F64776" w:rsidRDefault="00F64776" w:rsidP="00F64776">
      <w:pPr>
        <w:pStyle w:val="SntesisDescriptiva"/>
      </w:pPr>
    </w:p>
    <w:p w14:paraId="5976D0E8" w14:textId="77777777" w:rsidR="00F64776" w:rsidRDefault="00F64776" w:rsidP="00F64776">
      <w:pPr>
        <w:pStyle w:val="TextoNormalNegritaCentrado"/>
      </w:pPr>
      <w:r>
        <w:t>AUTO</w:t>
      </w:r>
    </w:p>
    <w:p w14:paraId="42C62308" w14:textId="463AD128" w:rsidR="00F64776" w:rsidRDefault="00F64776" w:rsidP="00F64776">
      <w:pPr>
        <w:pStyle w:val="TextoNormalNegritaCentrado"/>
      </w:pPr>
    </w:p>
    <w:p w14:paraId="31A2F62E" w14:textId="77777777" w:rsidR="00F64776" w:rsidRDefault="00F64776" w:rsidP="00F64776">
      <w:pPr>
        <w:pStyle w:val="TextoNormalNegritaCentrado"/>
        <w:keepNext/>
      </w:pPr>
      <w:r>
        <w:t>I. Antecedentes</w:t>
      </w:r>
    </w:p>
    <w:p w14:paraId="33D63915" w14:textId="3C58B19F" w:rsidR="00F64776" w:rsidRDefault="00F64776" w:rsidP="00F64776">
      <w:pPr>
        <w:pStyle w:val="TextoNormalNegritaCentrado"/>
        <w:keepNext/>
      </w:pPr>
    </w:p>
    <w:p w14:paraId="426539A7" w14:textId="7C94582B" w:rsidR="00F64776" w:rsidRDefault="00F64776" w:rsidP="00F64776">
      <w:pPr>
        <w:pStyle w:val="TextoNormal"/>
      </w:pPr>
      <w:r w:rsidRPr="00F64776">
        <w:rPr>
          <w:rStyle w:val="NumeroAFNegritaCaracter"/>
        </w:rPr>
        <w:t>1</w:t>
      </w:r>
      <w:r>
        <w:t>. Mediante escrito registrado en este tribunal el 17 de abril de 2023 el procurador de los tribunales don José María Ruiz de la Cuesta Vacas, en nombre y representación de don Alejandro Rodríguez Miravalles y otros y bajo la dirección del letrado don Francisco Javier Araúz de Robles Dávila, formuló demanda de amparo contra providencia y auto de la Sección Primera de la Sala de lo Contencioso-Administrativo del Tribunal Supremo en recurso de queja núm. 400-2022.</w:t>
      </w:r>
    </w:p>
    <w:p w14:paraId="511D5947" w14:textId="77777777" w:rsidR="00F64776" w:rsidRDefault="00F64776" w:rsidP="00F64776">
      <w:pPr>
        <w:pStyle w:val="TextoNormal"/>
      </w:pPr>
    </w:p>
    <w:p w14:paraId="333D2888" w14:textId="1B01C165" w:rsidR="00F64776" w:rsidRDefault="00F64776" w:rsidP="00F64776">
      <w:pPr>
        <w:pStyle w:val="TextoNormal"/>
      </w:pPr>
      <w:r w:rsidRPr="00F64776">
        <w:rPr>
          <w:rStyle w:val="NumeroAFNegritaCaracter"/>
        </w:rPr>
        <w:t>2</w:t>
      </w:r>
      <w:r>
        <w:t>. Por escrito de 27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153EC562" w14:textId="77777777" w:rsidR="00F64776" w:rsidRDefault="00F64776" w:rsidP="00F64776">
      <w:pPr>
        <w:pStyle w:val="TextoNormal"/>
      </w:pPr>
    </w:p>
    <w:p w14:paraId="77CC9641" w14:textId="77777777" w:rsidR="00F64776" w:rsidRDefault="00F64776" w:rsidP="00F64776">
      <w:pPr>
        <w:pStyle w:val="TextoNormalNegritaCentrado"/>
        <w:keepNext/>
      </w:pPr>
      <w:r>
        <w:t>II. Fundamentos jurídicos</w:t>
      </w:r>
    </w:p>
    <w:p w14:paraId="04E47B26" w14:textId="4C5519D3" w:rsidR="00F64776" w:rsidRDefault="00F64776" w:rsidP="00F64776">
      <w:pPr>
        <w:pStyle w:val="TextoNormalNegritaCentrado"/>
        <w:keepNext/>
      </w:pPr>
    </w:p>
    <w:p w14:paraId="6FCD3C7F" w14:textId="46A23345"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241683F7" w14:textId="77777777" w:rsidR="00F64776" w:rsidRDefault="00F64776" w:rsidP="00F64776">
      <w:pPr>
        <w:pStyle w:val="TextoNormal"/>
      </w:pPr>
    </w:p>
    <w:p w14:paraId="3AFD2B8A" w14:textId="77777777" w:rsidR="00F64776" w:rsidRDefault="00F64776" w:rsidP="00F64776">
      <w:pPr>
        <w:pStyle w:val="TextoNormal"/>
      </w:pPr>
      <w:r>
        <w:t>Por lo expuesto, la Sección</w:t>
      </w:r>
    </w:p>
    <w:p w14:paraId="132D0554" w14:textId="41321FDD" w:rsidR="00F64776" w:rsidRDefault="00F64776" w:rsidP="00F64776">
      <w:pPr>
        <w:pStyle w:val="TextoNormal"/>
      </w:pPr>
    </w:p>
    <w:p w14:paraId="655BAE3E" w14:textId="77777777" w:rsidR="00F64776" w:rsidRDefault="00F64776" w:rsidP="00F64776">
      <w:pPr>
        <w:pStyle w:val="TextoNormalCentrado"/>
      </w:pPr>
      <w:r>
        <w:t>ACUERDA</w:t>
      </w:r>
    </w:p>
    <w:p w14:paraId="3D2C7712" w14:textId="6DE0D516" w:rsidR="00F64776" w:rsidRDefault="00F64776" w:rsidP="00F64776">
      <w:pPr>
        <w:pStyle w:val="TextoNormalCentrado"/>
      </w:pPr>
    </w:p>
    <w:p w14:paraId="1233E9E4" w14:textId="6CA0845A" w:rsidR="00F64776" w:rsidRDefault="00F64776" w:rsidP="00F64776">
      <w:pPr>
        <w:pStyle w:val="TextoNormal"/>
      </w:pPr>
      <w:r>
        <w:t>Estimar justificada la abstención formulada por el magistrado señor don César Tolosa Tribiño en el recurso de amparo núm. 2530-2023 y apartarle definitivamente del conocimiento del referido recurso y de todas sus incidencias.</w:t>
      </w:r>
    </w:p>
    <w:p w14:paraId="25D80596" w14:textId="77777777" w:rsidR="00F64776" w:rsidRDefault="00F64776" w:rsidP="00F64776">
      <w:pPr>
        <w:pStyle w:val="TextoNormal"/>
      </w:pPr>
    </w:p>
    <w:p w14:paraId="4CDA9CE5" w14:textId="77777777" w:rsidR="00F64776" w:rsidRDefault="00F64776" w:rsidP="00F64776">
      <w:pPr>
        <w:pStyle w:val="TextoNormal"/>
      </w:pPr>
      <w:r>
        <w:t>Madrid, a veintitrés de octubre de dos mil veintitrés.</w:t>
      </w:r>
    </w:p>
    <w:p w14:paraId="1E4609DB" w14:textId="7FF4C7EF" w:rsidR="00F64776" w:rsidRDefault="00F64776">
      <w:pPr>
        <w:spacing w:after="160" w:line="278" w:lineRule="auto"/>
        <w:rPr>
          <w:rFonts w:ascii="Times New Roman" w:eastAsia="Times New Roman" w:hAnsi="Times New Roman" w:cs="Times New Roman"/>
          <w:sz w:val="24"/>
          <w:szCs w:val="24"/>
          <w:lang w:eastAsia="es-ES"/>
        </w:rPr>
      </w:pPr>
      <w:r>
        <w:br w:type="page"/>
      </w:r>
    </w:p>
    <w:p w14:paraId="28E42FEB" w14:textId="77777777" w:rsidR="00F64776" w:rsidRDefault="00F64776" w:rsidP="00F64776">
      <w:pPr>
        <w:pStyle w:val="TtuloResolucin"/>
      </w:pPr>
      <w:bookmarkStart w:id="266" w:name="AUTO_2023_481"/>
      <w:r>
        <w:t>AUTO 481/2023, de 23 de octubre de 2023</w:t>
      </w:r>
    </w:p>
    <w:bookmarkEnd w:id="266"/>
    <w:p w14:paraId="3A93FA7B" w14:textId="77777777" w:rsidR="00F64776" w:rsidRDefault="00F64776" w:rsidP="00F64776">
      <w:pPr>
        <w:pStyle w:val="TtuloResolucin"/>
      </w:pPr>
      <w:r>
        <w:t>Sección Tercera</w:t>
      </w:r>
    </w:p>
    <w:p w14:paraId="2454BB85" w14:textId="77777777" w:rsidR="00F64776" w:rsidRDefault="00F64776" w:rsidP="00F64776">
      <w:pPr>
        <w:pStyle w:val="TextoNormalCentrado"/>
      </w:pPr>
      <w:r>
        <w:t>ECLI:ES:TC:2023:481A</w:t>
      </w:r>
    </w:p>
    <w:p w14:paraId="5BE70FC2" w14:textId="4A546FE0" w:rsidR="00F64776" w:rsidRDefault="00F64776" w:rsidP="00F64776">
      <w:pPr>
        <w:pStyle w:val="TextoNormalCentrado"/>
      </w:pPr>
    </w:p>
    <w:p w14:paraId="6A4E4634" w14:textId="77777777" w:rsidR="00F64776" w:rsidRDefault="00F64776" w:rsidP="00F64776">
      <w:pPr>
        <w:pStyle w:val="SntesisDescriptiva"/>
      </w:pPr>
      <w:r>
        <w:t>Excms. Srs. doña Inmaculada Montalbán Huertas y doña Laura Díez Bueso.</w:t>
      </w:r>
    </w:p>
    <w:p w14:paraId="7DCD7150" w14:textId="4D81094A" w:rsidR="00F64776" w:rsidRDefault="00F64776" w:rsidP="00F64776">
      <w:pPr>
        <w:pStyle w:val="SntesisDescriptiva"/>
      </w:pPr>
    </w:p>
    <w:p w14:paraId="35C68595" w14:textId="77777777" w:rsidR="00F64776" w:rsidRDefault="00F64776" w:rsidP="00F64776">
      <w:pPr>
        <w:pStyle w:val="SntesisDescriptiva"/>
      </w:pPr>
      <w:r>
        <w:t>Acepta una abstención en el recurso de amparo 3150-2023, promovido en proceso contencioso-administrativo.</w:t>
      </w:r>
    </w:p>
    <w:p w14:paraId="7FA4AEE9" w14:textId="6BD71827" w:rsidR="00F64776" w:rsidRDefault="00F64776" w:rsidP="00F64776">
      <w:pPr>
        <w:pStyle w:val="SntesisDescriptiva"/>
      </w:pPr>
    </w:p>
    <w:p w14:paraId="319A5A14" w14:textId="77777777" w:rsidR="00F64776" w:rsidRDefault="00F64776" w:rsidP="00F64776">
      <w:pPr>
        <w:pStyle w:val="SntesisDescriptiva"/>
      </w:pPr>
    </w:p>
    <w:p w14:paraId="57B99053" w14:textId="77777777" w:rsidR="00F64776" w:rsidRDefault="00F64776" w:rsidP="00F64776">
      <w:pPr>
        <w:pStyle w:val="SntesisDescriptiva"/>
      </w:pPr>
    </w:p>
    <w:p w14:paraId="1E806A65" w14:textId="77777777" w:rsidR="00F64776" w:rsidRDefault="00F64776" w:rsidP="00F64776">
      <w:pPr>
        <w:pStyle w:val="TextoNormalNegritaCentrado"/>
      </w:pPr>
      <w:r>
        <w:t>AUTO</w:t>
      </w:r>
    </w:p>
    <w:p w14:paraId="12912236" w14:textId="64DA1C66" w:rsidR="00F64776" w:rsidRDefault="00F64776" w:rsidP="00F64776">
      <w:pPr>
        <w:pStyle w:val="TextoNormalNegritaCentrado"/>
      </w:pPr>
    </w:p>
    <w:p w14:paraId="4073AF56" w14:textId="77777777" w:rsidR="00F64776" w:rsidRDefault="00F64776" w:rsidP="00F64776">
      <w:pPr>
        <w:pStyle w:val="TextoNormalNegritaCentrado"/>
        <w:keepNext/>
      </w:pPr>
      <w:r>
        <w:t>I. Antecedentes</w:t>
      </w:r>
    </w:p>
    <w:p w14:paraId="6E879B26" w14:textId="6357F58B" w:rsidR="00F64776" w:rsidRDefault="00F64776" w:rsidP="00F64776">
      <w:pPr>
        <w:pStyle w:val="TextoNormalNegritaCentrado"/>
        <w:keepNext/>
      </w:pPr>
    </w:p>
    <w:p w14:paraId="70120DE8" w14:textId="154307CC" w:rsidR="00F64776" w:rsidRDefault="00F64776" w:rsidP="00F64776">
      <w:pPr>
        <w:pStyle w:val="TextoNormal"/>
      </w:pPr>
      <w:r w:rsidRPr="00F64776">
        <w:rPr>
          <w:rStyle w:val="NumeroAFNegritaCaracter"/>
        </w:rPr>
        <w:t>1</w:t>
      </w:r>
      <w:r>
        <w:t>. Mediante escrito registrado en este tribunal el 11 de mayo de 2023 el procurador de los tribunales don José María Ruiz de la Cuesta Vacas, en nombre y representación de doña Mónica Soria Molina y bajo la dirección del letrado don Francisco Javier Araúz de Robles Dávila, presentó demanda de amparo contra providencia de la Sección Primera de la Sala de lo Contencioso-Administrativo del Tribunal Supremo en recurso de casación 3957-2021.</w:t>
      </w:r>
    </w:p>
    <w:p w14:paraId="4E324D29" w14:textId="77777777" w:rsidR="00F64776" w:rsidRDefault="00F64776" w:rsidP="00F64776">
      <w:pPr>
        <w:pStyle w:val="TextoNormal"/>
      </w:pPr>
    </w:p>
    <w:p w14:paraId="4122D60D" w14:textId="280B8905" w:rsidR="00F64776" w:rsidRDefault="00F64776" w:rsidP="00F64776">
      <w:pPr>
        <w:pStyle w:val="TextoNormal"/>
      </w:pPr>
      <w:r w:rsidRPr="00F64776">
        <w:rPr>
          <w:rStyle w:val="NumeroAFNegritaCaracter"/>
        </w:rPr>
        <w:t>2</w:t>
      </w:r>
      <w:r>
        <w:t>. Por escrito de 22 de mayo de 2023 el magistrado don César Tolosa Tribiño manifestó su voluntad de abstenerse en el presente recurso de amparo y todas sus incidencias, por entender que concurría la causa establecida en el artículo 219.11ª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1F25AE89" w14:textId="77777777" w:rsidR="00F64776" w:rsidRDefault="00F64776" w:rsidP="00F64776">
      <w:pPr>
        <w:pStyle w:val="TextoNormal"/>
      </w:pPr>
    </w:p>
    <w:p w14:paraId="750F19B8" w14:textId="77777777" w:rsidR="00F64776" w:rsidRDefault="00F64776" w:rsidP="00F64776">
      <w:pPr>
        <w:pStyle w:val="TextoNormalNegritaCentrado"/>
        <w:keepNext/>
      </w:pPr>
      <w:r>
        <w:t>II. Fundamentos jurídicos</w:t>
      </w:r>
    </w:p>
    <w:p w14:paraId="7DD68578" w14:textId="29CB3DD0" w:rsidR="00F64776" w:rsidRDefault="00F64776" w:rsidP="00F64776">
      <w:pPr>
        <w:pStyle w:val="TextoNormalNegritaCentrado"/>
        <w:keepNext/>
      </w:pPr>
    </w:p>
    <w:p w14:paraId="2CE943BA" w14:textId="7A67D2CC"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el art.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5D5E0677" w14:textId="77777777" w:rsidR="00F64776" w:rsidRDefault="00F64776" w:rsidP="00F64776">
      <w:pPr>
        <w:pStyle w:val="TextoNormal"/>
      </w:pPr>
    </w:p>
    <w:p w14:paraId="713E5647" w14:textId="77777777" w:rsidR="00F64776" w:rsidRDefault="00F64776" w:rsidP="00F64776">
      <w:pPr>
        <w:pStyle w:val="TextoNormal"/>
      </w:pPr>
      <w:r>
        <w:t>Por lo expuesto, la Sección</w:t>
      </w:r>
    </w:p>
    <w:p w14:paraId="39A0287C" w14:textId="503DE31B" w:rsidR="00F64776" w:rsidRDefault="00F64776" w:rsidP="00F64776">
      <w:pPr>
        <w:pStyle w:val="TextoNormal"/>
      </w:pPr>
    </w:p>
    <w:p w14:paraId="7C784EE5" w14:textId="77777777" w:rsidR="00F64776" w:rsidRDefault="00F64776" w:rsidP="00F64776">
      <w:pPr>
        <w:pStyle w:val="TextoNormalCentrado"/>
      </w:pPr>
      <w:r>
        <w:t>ACUERDA</w:t>
      </w:r>
    </w:p>
    <w:p w14:paraId="5E26839E" w14:textId="069425BC" w:rsidR="00F64776" w:rsidRDefault="00F64776" w:rsidP="00F64776">
      <w:pPr>
        <w:pStyle w:val="TextoNormalCentrado"/>
      </w:pPr>
    </w:p>
    <w:p w14:paraId="7B5F4C02" w14:textId="11F3EBDB" w:rsidR="00F64776" w:rsidRDefault="00F64776" w:rsidP="00F64776">
      <w:pPr>
        <w:pStyle w:val="TextoNormal"/>
      </w:pPr>
      <w:r>
        <w:t>Estimar justificada la abstención formulada por el magistrado señor don César Tolosa Tribiño en el recurso de amparo núm. 3150-2023 y apartarle definitivamente del conocimiento del referido recurso y de todas sus incidencias.</w:t>
      </w:r>
    </w:p>
    <w:p w14:paraId="3DA00738" w14:textId="77777777" w:rsidR="00F64776" w:rsidRDefault="00F64776" w:rsidP="00F64776">
      <w:pPr>
        <w:pStyle w:val="TextoNormal"/>
      </w:pPr>
    </w:p>
    <w:p w14:paraId="1681F354" w14:textId="77777777" w:rsidR="00F64776" w:rsidRDefault="00F64776" w:rsidP="00F64776">
      <w:pPr>
        <w:pStyle w:val="TextoNormal"/>
      </w:pPr>
      <w:r>
        <w:t>Madrid, a veintitrés de octubre de dos mil veintitrés.</w:t>
      </w:r>
    </w:p>
    <w:p w14:paraId="1E032DCF" w14:textId="7B0126CD" w:rsidR="00F64776" w:rsidRDefault="00F64776">
      <w:pPr>
        <w:spacing w:after="160" w:line="278" w:lineRule="auto"/>
        <w:rPr>
          <w:rFonts w:ascii="Times New Roman" w:eastAsia="Times New Roman" w:hAnsi="Times New Roman" w:cs="Times New Roman"/>
          <w:sz w:val="24"/>
          <w:szCs w:val="24"/>
          <w:lang w:eastAsia="es-ES"/>
        </w:rPr>
      </w:pPr>
      <w:r>
        <w:br w:type="page"/>
      </w:r>
    </w:p>
    <w:p w14:paraId="62A9153B" w14:textId="77777777" w:rsidR="00F64776" w:rsidRDefault="00F64776" w:rsidP="00F64776">
      <w:pPr>
        <w:pStyle w:val="TtuloResolucin"/>
      </w:pPr>
      <w:bookmarkStart w:id="267" w:name="AUTO_2023_482"/>
      <w:r>
        <w:t>AUTO 482/2023, de 23 de octubre de 2023</w:t>
      </w:r>
    </w:p>
    <w:bookmarkEnd w:id="267"/>
    <w:p w14:paraId="06E05749" w14:textId="77777777" w:rsidR="00F64776" w:rsidRDefault="00F64776" w:rsidP="00F64776">
      <w:pPr>
        <w:pStyle w:val="TtuloResolucin"/>
      </w:pPr>
      <w:r>
        <w:t>Sala Segunda</w:t>
      </w:r>
    </w:p>
    <w:p w14:paraId="6690619F" w14:textId="77777777" w:rsidR="00F64776" w:rsidRDefault="00F64776" w:rsidP="00F64776">
      <w:pPr>
        <w:pStyle w:val="TextoNormalCentrado"/>
      </w:pPr>
      <w:r>
        <w:t>ECLI:ES:TC:2023:482A</w:t>
      </w:r>
    </w:p>
    <w:p w14:paraId="6485AC5E" w14:textId="77327A72" w:rsidR="00F64776" w:rsidRDefault="00F64776" w:rsidP="00F64776">
      <w:pPr>
        <w:pStyle w:val="TextoNormalCentrado"/>
      </w:pPr>
    </w:p>
    <w:p w14:paraId="131DBD4E" w14:textId="77777777" w:rsidR="00F64776" w:rsidRDefault="00F64776" w:rsidP="00F64776">
      <w:pPr>
        <w:pStyle w:val="SntesisDescriptiva"/>
      </w:pPr>
      <w:r>
        <w:t>Excms. Srs. doña Inmaculada Montalbán Huertas, doña María Luisa Balaguer Callejón, don Ramón Sáez Valcárcel, don Enrique Arnaldo Alcubilla, don César Tolosa Tribiño y doña Laura Díez Bueso.</w:t>
      </w:r>
    </w:p>
    <w:p w14:paraId="79B27B5F" w14:textId="4F33D922" w:rsidR="00F64776" w:rsidRDefault="00F64776" w:rsidP="00F64776">
      <w:pPr>
        <w:pStyle w:val="SntesisDescriptiva"/>
      </w:pPr>
    </w:p>
    <w:p w14:paraId="50A187D8" w14:textId="77777777" w:rsidR="00F64776" w:rsidRDefault="00F64776" w:rsidP="00F64776">
      <w:pPr>
        <w:pStyle w:val="SntesisDescriptiva"/>
      </w:pPr>
      <w:r>
        <w:t>Mantiene la suspensión acordada por providencia en el recurso de amparo 4735-2023, promovido por don Yahya Azzaoui, en causa penal.</w:t>
      </w:r>
    </w:p>
    <w:p w14:paraId="627C77DD" w14:textId="5C0F439B" w:rsidR="00F64776" w:rsidRDefault="00F64776" w:rsidP="00F64776">
      <w:pPr>
        <w:pStyle w:val="SntesisDescriptiva"/>
      </w:pPr>
    </w:p>
    <w:p w14:paraId="7B5F27D5" w14:textId="77777777" w:rsidR="00F64776" w:rsidRDefault="00F64776" w:rsidP="00F64776">
      <w:pPr>
        <w:pStyle w:val="SntesisDescriptiva"/>
      </w:pPr>
    </w:p>
    <w:p w14:paraId="589B491F" w14:textId="77777777" w:rsidR="00F64776" w:rsidRDefault="00F64776" w:rsidP="00F64776">
      <w:pPr>
        <w:pStyle w:val="SntesisDescriptiva"/>
      </w:pPr>
    </w:p>
    <w:p w14:paraId="110438EF" w14:textId="77777777" w:rsidR="00F64776" w:rsidRDefault="00F64776" w:rsidP="00F64776">
      <w:pPr>
        <w:pStyle w:val="TextoNormalNegritaCentrado"/>
      </w:pPr>
      <w:r>
        <w:t>AUTO</w:t>
      </w:r>
    </w:p>
    <w:p w14:paraId="29C9DB43" w14:textId="3FED6338" w:rsidR="00F64776" w:rsidRDefault="00F64776" w:rsidP="00F64776">
      <w:pPr>
        <w:pStyle w:val="TextoNormalNegritaCentrado"/>
      </w:pPr>
    </w:p>
    <w:p w14:paraId="3C77C557" w14:textId="77777777" w:rsidR="00F64776" w:rsidRDefault="00F64776" w:rsidP="00F64776">
      <w:pPr>
        <w:pStyle w:val="TextoNormalNegritaCentrado"/>
        <w:keepNext/>
      </w:pPr>
      <w:r>
        <w:t>I. Antecedentes</w:t>
      </w:r>
    </w:p>
    <w:p w14:paraId="26F3B3AC" w14:textId="6E408694" w:rsidR="00F64776" w:rsidRDefault="00F64776" w:rsidP="00F64776">
      <w:pPr>
        <w:pStyle w:val="TextoNormalNegritaCentrado"/>
        <w:keepNext/>
      </w:pPr>
    </w:p>
    <w:p w14:paraId="243DEAEF" w14:textId="6F3D8220" w:rsidR="00F64776" w:rsidRDefault="00F64776" w:rsidP="00F64776">
      <w:pPr>
        <w:pStyle w:val="TextoNormal"/>
      </w:pPr>
      <w:r w:rsidRPr="00F64776">
        <w:rPr>
          <w:rStyle w:val="NumeroAFNegritaCaracter"/>
        </w:rPr>
        <w:t>1</w:t>
      </w:r>
      <w:r>
        <w:t>. Mediante escrito registrado en este tribunal el día 6 de julio de 2023, el procurador de los tribunales don Luis Cortés Cascón, en nombre y representación de don Yahya Azzaoui, formuló demanda de amparo contra el auto núm. 39/2023, de 6 de junio, dictado por el Pleno de la Sala de lo Penal de la Audiencia Nacional, que desestimó el recurso de súplica interpuesto contra el auto núm. 212/2023, de 11 de mayo, dictado por la Sección Tercera de la Sala de lo Penal de la Audiencia Nacional, que accedió a la petición de extradición solicitada por las autoridades judiciales del Reino de Marruecos respecto del hoy demandante de amparo, de nacionalidad marroquí, para ser enjuiciado como autor de un delito de inmigración ilegal.</w:t>
      </w:r>
    </w:p>
    <w:p w14:paraId="4FFC8AF0" w14:textId="77777777" w:rsidR="00F64776" w:rsidRDefault="00F64776" w:rsidP="00F64776">
      <w:pPr>
        <w:pStyle w:val="TextoNormal"/>
      </w:pPr>
    </w:p>
    <w:p w14:paraId="38D3F2D8" w14:textId="77777777" w:rsidR="00F64776" w:rsidRDefault="00F64776" w:rsidP="00F64776">
      <w:pPr>
        <w:pStyle w:val="TextoNormal"/>
      </w:pPr>
      <w:r w:rsidRPr="00F64776">
        <w:rPr>
          <w:rStyle w:val="NumeroAFNegritaCaracter"/>
        </w:rPr>
        <w:t>2</w:t>
      </w:r>
      <w:r>
        <w:t>. El recurrente alega en su demanda de amparo la vulneración del derecho fundamental a la tutela judicial efectiva (art. 24.1 CE) en relación con el derecho a la legalidad penal (art. 25.1 CE) en su dimensión extradicional, el derecho a la libertad (art. 17.1 CE), el derecho a la libertad de residencia (art. 19 CE) y el derecho a un proceso con todas las garantías (art. 24.2 CE).</w:t>
      </w:r>
    </w:p>
    <w:p w14:paraId="557ED2AA" w14:textId="77777777" w:rsidR="00F64776" w:rsidRDefault="00F64776" w:rsidP="00F64776">
      <w:pPr>
        <w:pStyle w:val="TextoNormal"/>
      </w:pPr>
    </w:p>
    <w:p w14:paraId="4F5E89A3" w14:textId="77777777" w:rsidR="00F64776" w:rsidRDefault="00F64776" w:rsidP="00F64776">
      <w:pPr>
        <w:pStyle w:val="TextoNormal"/>
      </w:pPr>
      <w:r>
        <w:t xml:space="preserve">Argumenta en apoyo de su pretensión que, al conceder la extradición, las resoluciones judiciales han vulnerado: (i) el principio acusatorio, dado que el Ministerio Fiscal había solicitado su denegación en el proceso extradicional; y (ii) las posibilidades de defensa del recurrente en amparo, dado que el Ministerio Fiscal había tipificado los hechos como constitutivos del delito previsto y penado por el art. 318 </w:t>
      </w:r>
      <w:r w:rsidRPr="00F64776">
        <w:rPr>
          <w:i/>
        </w:rPr>
        <w:t>bis</w:t>
      </w:r>
      <w:r>
        <w:t xml:space="preserve">, apartado 1 de la Ley Orgánica 10/1995, de 23 de noviembre, del Código Penal (CP) —tipo básico del delito relativo a la inmigración ilegal— y la extradición se ha concedido sobre la base de una calificación diversa y más grave —subtipo agravado del delito, previsto y penado en el art. 318 </w:t>
      </w:r>
      <w:r w:rsidRPr="00F64776">
        <w:rPr>
          <w:i/>
        </w:rPr>
        <w:t>bis</w:t>
      </w:r>
      <w:r>
        <w:t xml:space="preserve"> CP, apartados primero y tercero a), por la eventual pertenencia del investigado a una organización criminal— de la que no se tenía previo conocimiento y frente a la que no ha podido defenderse—. Se argumenta también la incorrección de esta última calificación y, en consecuencia, el incumplimiento de los requisitos establecidos por el convenio de extradición entre el Reino de España y el Reino de Marruecos, dado que, por una parte, los hechos que resultan de la solicitud de extradición formulada por el Reino de Marruecos no reúnen los elementos exigidos por el Código Penal español para poder ser subsumidos en el delito contra los ciudadanos extranjeros previsto en el art. 318 </w:t>
      </w:r>
      <w:r w:rsidRPr="00F64776">
        <w:rPr>
          <w:i/>
        </w:rPr>
        <w:t>bis</w:t>
      </w:r>
      <w:r>
        <w:t xml:space="preserve">, con lo que serían atípicos en nuestro país, y, por otra parte, la pena prevista para el tipo básico del delito tipificado en el art. 318 </w:t>
      </w:r>
      <w:r w:rsidRPr="00F64776">
        <w:rPr>
          <w:i/>
        </w:rPr>
        <w:t>bis</w:t>
      </w:r>
      <w:r>
        <w:t xml:space="preserve">, apartado 1 CP, no alcanza el mínimo punitivo de dos años de prisión exigido por dicho instrumento internacional para la procedencia de la extradición. Finalmente se aduce que la solicitud de extradición ha sido emitida por el fiscal del Rey, jerárquicamente dependiente de este y sometido a sus instrucciones, con lo que carece de la legitimidad jurisdiccional que este Tribunal Constitucional ha venido exigiendo para la adecuada garantía de los derechos fundamentales del </w:t>
      </w:r>
      <w:r w:rsidRPr="00F64776">
        <w:rPr>
          <w:i/>
        </w:rPr>
        <w:t>extraditurus</w:t>
      </w:r>
      <w:r>
        <w:t>.</w:t>
      </w:r>
    </w:p>
    <w:p w14:paraId="56EC1F71" w14:textId="77777777" w:rsidR="00F64776" w:rsidRDefault="00F64776" w:rsidP="00F64776">
      <w:pPr>
        <w:pStyle w:val="TextoNormal"/>
      </w:pPr>
    </w:p>
    <w:p w14:paraId="72362B7A" w14:textId="15E66542" w:rsidR="00F64776" w:rsidRDefault="00F64776" w:rsidP="00F64776">
      <w:pPr>
        <w:pStyle w:val="TextoNormal"/>
      </w:pPr>
      <w:r>
        <w:t>En la demanda se solicita, como medida cautelar, la suspensión de la ejecución de la autorización de extradición que acuerdan las resoluciones judiciales impugnadas, dado que la eventual entrega del recurrente de amparo a las autoridades que solicitan la extradición causaría a aquel un perjuicio irreparable e irreversible, que haría perder al recurso de amparo su finalidad.</w:t>
      </w:r>
    </w:p>
    <w:p w14:paraId="752479ED" w14:textId="77777777" w:rsidR="00F64776" w:rsidRDefault="00F64776" w:rsidP="00F64776">
      <w:pPr>
        <w:pStyle w:val="TextoNormal"/>
      </w:pPr>
    </w:p>
    <w:p w14:paraId="5C625B10" w14:textId="064EA752" w:rsidR="00F64776" w:rsidRDefault="00F64776" w:rsidP="00F64776">
      <w:pPr>
        <w:pStyle w:val="TextoNormal"/>
      </w:pPr>
      <w:r w:rsidRPr="00F64776">
        <w:rPr>
          <w:rStyle w:val="NumeroAFNegritaCaracter"/>
        </w:rPr>
        <w:t>3</w:t>
      </w:r>
      <w:r>
        <w:t>. Por providencia de 13 de julio de 2023, la Sección Tercera de la Sala Segunda del Tribunal Constitucional admitió a trámite el recurso de amparo por apreciar que concurre en el mismo una especial trascendencia constitucional [art. 50.1 de la Ley Orgánica del Tribunal Constitucional (LOTC)], porque el recurso “puede dar ocasión al Tribunal para aclarar o cambiar su doctrina, como consecuencia de un proceso de reflexión interna [STC 155/2009, FJ 2, b)]”. Asimismo, se ordena dirigir atenta comunicación a la Sala de lo Penal de la Audiencia Nacional para que remita certificación o fotocopia adverada del expediente judicial y emplace a las partes en el expediente judicial, exceptuando la recurrente en amparo, para que, en plazo de diez días, puedan comparecer en el recurso de amparo conforme determina el artículo 52.1 LOTC. Finalmente se acuerda por el Tribunal la suspensión cautelar de la ejecución de las resoluciones judiciales impugnadas prevista en el art. 56.6 LOTC, por apreciar que dicha ejecución produciría un perjuicio de imposible o muy difícil reparación que haría perder su finalidad al recurso y que concurre la excepcional urgencia exigida por el precepto.</w:t>
      </w:r>
    </w:p>
    <w:p w14:paraId="44A8A2B0" w14:textId="77777777" w:rsidR="00F64776" w:rsidRDefault="00F64776" w:rsidP="00F64776">
      <w:pPr>
        <w:pStyle w:val="TextoNormal"/>
      </w:pPr>
    </w:p>
    <w:p w14:paraId="11EFBED0" w14:textId="52F9898C" w:rsidR="00F64776" w:rsidRDefault="00F64776" w:rsidP="00F64776">
      <w:pPr>
        <w:pStyle w:val="TextoNormal"/>
      </w:pPr>
      <w:r w:rsidRPr="00F64776">
        <w:rPr>
          <w:rStyle w:val="NumeroAFNegritaCaracter"/>
        </w:rPr>
        <w:t>4</w:t>
      </w:r>
      <w:r>
        <w:t>. Mediante providencia de 13 de julio de 2023, la Sección Tercera de la Sala Segunda del Tribunal Constitucional acordó la formación de la oportuna pieza separada para la tramitación del incidente sobre la suspensión solicitada, concediendo, de conformidad con el artículo 56 LOTC, un plazo común de tres días a la parte recurrente y al Ministerio Fiscal para que alegaran lo que estimasen pertinente sobre dicha suspensión.</w:t>
      </w:r>
    </w:p>
    <w:p w14:paraId="1300F972" w14:textId="77777777" w:rsidR="00F64776" w:rsidRDefault="00F64776" w:rsidP="00F64776">
      <w:pPr>
        <w:pStyle w:val="TextoNormal"/>
      </w:pPr>
    </w:p>
    <w:p w14:paraId="49FBB480" w14:textId="70063988" w:rsidR="00F64776" w:rsidRDefault="00F64776" w:rsidP="00F64776">
      <w:pPr>
        <w:pStyle w:val="TextoNormal"/>
      </w:pPr>
      <w:r w:rsidRPr="00F64776">
        <w:rPr>
          <w:rStyle w:val="NumeroAFNegritaCaracter"/>
        </w:rPr>
        <w:t>5</w:t>
      </w:r>
      <w:r>
        <w:t xml:space="preserve">. El día 19 de julio de 2023, la representación procesal del recurrente presentó escrito de alegaciones en el que solicitaba el mantenimiento de la suspensión del procedimiento de ejecución de la entrega extradicional al Reino de Marruecos, acordada por providencia de 13 de julio de 2023, </w:t>
      </w:r>
      <w:r w:rsidRPr="00F64776">
        <w:rPr>
          <w:i/>
        </w:rPr>
        <w:t>ex</w:t>
      </w:r>
      <w:r>
        <w:t xml:space="preserve"> artículo 56.6 LOTC, reiterando la argumentación contenida en la demanda de amparo.</w:t>
      </w:r>
    </w:p>
    <w:p w14:paraId="7A806002" w14:textId="77777777" w:rsidR="00F64776" w:rsidRDefault="00F64776" w:rsidP="00F64776">
      <w:pPr>
        <w:pStyle w:val="TextoNormal"/>
      </w:pPr>
    </w:p>
    <w:p w14:paraId="7C40AC11" w14:textId="706D1A26" w:rsidR="00F64776" w:rsidRDefault="00F64776" w:rsidP="00F64776">
      <w:pPr>
        <w:pStyle w:val="TextoNormal"/>
      </w:pPr>
      <w:r w:rsidRPr="00F64776">
        <w:rPr>
          <w:rStyle w:val="NumeroAFNegritaCaracter"/>
        </w:rPr>
        <w:t>6</w:t>
      </w:r>
      <w:r>
        <w:t>. El día 31 de julio de 2023, el Ministerio Fiscal presentó su escrito de alegaciones solicitando igualmente el mantenimiento de la medida cautelar de suspensión acordada por el Tribunal en su providencia de 13 de julio. Tras hacer una exposición de los antecedentes fácticos del caso y un resumen de la doctrina constitucional aplicable, el fiscal justifica su petición argumentando que, por una parte, la ejecución de la decisión de entrega extradicional generaría un perjuicio irreparable al recurrente, y que, por otra parte, no se aprecia que la suspensión de dicha ejecución ocasione un perjuicio al interés general o a los derechos de terceros, ni que existan otras circunstancias sobrevenidas a la admisión de la demanda que justifiquen la modificación de la medida ya acordada por el Tribunal. Advierte finalmente el fiscal que, en todo caso, la suspensión debe quedar circunscrita a la autorización de entrega, sin perjuicio de las medidas que puedan adoptarse para garantizar que el recurrente esté a disposición de la justicia.</w:t>
      </w:r>
    </w:p>
    <w:p w14:paraId="6A6AC895" w14:textId="77777777" w:rsidR="00F64776" w:rsidRDefault="00F64776" w:rsidP="00F64776">
      <w:pPr>
        <w:pStyle w:val="TextoNormal"/>
      </w:pPr>
    </w:p>
    <w:p w14:paraId="4A28410F" w14:textId="77777777" w:rsidR="00F64776" w:rsidRDefault="00F64776" w:rsidP="00F64776">
      <w:pPr>
        <w:pStyle w:val="TextoNormalNegritaCentrado"/>
        <w:keepNext/>
      </w:pPr>
      <w:r>
        <w:t>II. Fundamentos jurídicos</w:t>
      </w:r>
    </w:p>
    <w:p w14:paraId="50E33AAE" w14:textId="384F02B9" w:rsidR="00F64776" w:rsidRDefault="00F64776" w:rsidP="00F64776">
      <w:pPr>
        <w:pStyle w:val="TextoNormalNegritaCentrado"/>
        <w:keepNext/>
      </w:pPr>
    </w:p>
    <w:p w14:paraId="05346E76" w14:textId="67391FB1" w:rsidR="00F64776" w:rsidRDefault="00F64776" w:rsidP="00F64776">
      <w:pPr>
        <w:pStyle w:val="TextoNormal"/>
      </w:pPr>
      <w:r w:rsidRPr="00F64776">
        <w:rPr>
          <w:rStyle w:val="NumeroAFNegritaCaracter"/>
        </w:rPr>
        <w:t>1</w:t>
      </w:r>
      <w:r>
        <w:t xml:space="preserve">. El artículo 56.6 LOTC atribuye a las salas y secciones de este tribunal la facultad de adoptar, en la propia resolución de admisión a trámite de los recursos de amparo, medidas cautelares </w:t>
      </w:r>
      <w:r w:rsidRPr="00F64776">
        <w:rPr>
          <w:i/>
        </w:rPr>
        <w:t>inaudita parte</w:t>
      </w:r>
      <w:r>
        <w:t>, en supuestos de urgencia excepcional. En el ejercicio de tal facultad, la Sección Tercera de este tribunal acordó mediante providencia de 13 de julio de 2023 suspender la ejecución de las resoluciones impugnadas en el presente recurso de amparo, al apreciar una urgencia excepcional provocada por la inminente ejecución de la entrega extradicional del recurrente al Reino de Marruecos, que, de producirse, ocasionaría un perjuicio imposible o de muy difícil reparación que haría perder su finalidad al recurso de amparo.</w:t>
      </w:r>
    </w:p>
    <w:p w14:paraId="2CAF4779" w14:textId="77777777" w:rsidR="00F64776" w:rsidRDefault="00F64776" w:rsidP="00F64776">
      <w:pPr>
        <w:pStyle w:val="TextoNormal"/>
      </w:pPr>
    </w:p>
    <w:p w14:paraId="4115C50F" w14:textId="77777777" w:rsidR="00F64776" w:rsidRDefault="00F64776" w:rsidP="00F64776">
      <w:pPr>
        <w:pStyle w:val="TextoNormal"/>
      </w:pPr>
      <w:r w:rsidRPr="00F64776">
        <w:rPr>
          <w:rStyle w:val="NumeroAFNegritaCaracter"/>
        </w:rPr>
        <w:t>2</w:t>
      </w:r>
      <w:r>
        <w:t xml:space="preserve">. Este tribunal ha reiterado que “‘la concurrencia de una urgencia excepcional que autoriza a este tribunal a adoptar medidas cautelares sin oír a las partes y a hacerlo con una motivación sucinta —al acordarse en la propia providencia de admisión a trámite del recurso de amparo— obliga a dictar una nueva resolución motivada en la que, tras oír a las partes, se expresen las razones que lleven al Tribunal a mantener, modificar o levantar la medida inicialmente acordada (AATC 213/2009, de 9 de julio, FJ 2, y 174/2013, de 9 de septiembre, FJ 2, entre otros)’ (ATC 115/2012, de 4 de junio, FJ 2)” (ATC 100/2018, de 1 de octubre, FJ 2).  </w:t>
      </w:r>
    </w:p>
    <w:p w14:paraId="5739CEE1" w14:textId="77777777" w:rsidR="00F64776" w:rsidRDefault="00F64776" w:rsidP="00F64776">
      <w:pPr>
        <w:pStyle w:val="TextoNormal"/>
      </w:pPr>
    </w:p>
    <w:p w14:paraId="39DB65B3" w14:textId="77777777" w:rsidR="00F64776" w:rsidRDefault="00F64776" w:rsidP="00F64776">
      <w:pPr>
        <w:pStyle w:val="TextoNormal"/>
      </w:pPr>
      <w:r>
        <w:t>Habiendo sido oídas ya las partes, con el resultado que consta en los antecedentes de esta resolución, debemos concluir que, tal como considera el Ministerio Fiscal en su escrito de alegaciones, procede mantener la suspensión cautelar interesada. Como ya ha puesto de manifiesto este tribunal, “‘en los supuestos de extradición es doctrina constitucional reiterada que procede suspender la ejecución de las resoluciones judiciales que la acuerdan, pues en estos casos puede ocurrir que la ejecución de las resoluciones impugnadas convierta en ilusoria una eventual concesión del amparo, toda vez que si la persona requerida fuera entregada a las autoridades del Estado requirente perdería su finalidad el recurso de amparo que, en definitiva, tiene por objeto impedir su extradición. Una vez que el recurrente se encontrara bajo la potestad de otro Estado, sería muy difícil que un eventual pronunciamiento estimatorio de este tribunal que anulara los autos que acceden a la extradición pudiera surtir plenos efectos en ese Estado (por todos, AATC 291/1998, de 29 de diciembre, FJ 2; 2/2002, de 14 de enero, FJ 2; 80/2004, de 11 de marzo, FJ 2; 157/2005, de 18 de abril, FJ 2; y 291/2006, de 24 de julio, FJ 2)’ (ATC 218/2012, de 26 de noviembre, FJ 2)” (ATC 100/2018, FJ 2).</w:t>
      </w:r>
    </w:p>
    <w:p w14:paraId="1D26C881" w14:textId="77777777" w:rsidR="00F64776" w:rsidRDefault="00F64776" w:rsidP="00F64776">
      <w:pPr>
        <w:pStyle w:val="TextoNormal"/>
      </w:pPr>
    </w:p>
    <w:p w14:paraId="00124754" w14:textId="77914289" w:rsidR="00F64776" w:rsidRDefault="00F64776" w:rsidP="00F64776">
      <w:pPr>
        <w:pStyle w:val="TextoNormal"/>
      </w:pPr>
      <w:r>
        <w:t>A lo dicho hay que añadir que no se aprecia que la suspensión pueda originar una perturbación grave de los intereses generales ni de los derechos fundamentales o libertades públicas de un tercero (por todos, ATC 218/2012, FJ 2).</w:t>
      </w:r>
    </w:p>
    <w:p w14:paraId="4E11351E" w14:textId="77777777" w:rsidR="00F64776" w:rsidRDefault="00F64776" w:rsidP="00F64776">
      <w:pPr>
        <w:pStyle w:val="TextoNormal"/>
      </w:pPr>
    </w:p>
    <w:p w14:paraId="0CF6272C" w14:textId="0BF1D885" w:rsidR="00F64776" w:rsidRDefault="00F64776" w:rsidP="00F64776">
      <w:pPr>
        <w:pStyle w:val="TextoNormal"/>
      </w:pPr>
      <w:r w:rsidRPr="00F64776">
        <w:rPr>
          <w:rStyle w:val="NumeroAFNegritaCaracter"/>
        </w:rPr>
        <w:t>3</w:t>
      </w:r>
      <w:r>
        <w:t>. De conformidad con lo dicho, procede acordar el mantenimiento de la suspensión cautelar de los autos impugnados en amparo, que se circunscribe única y exclusivamente a la declaración judicial de procedencia de la extradición, con la advertencia de que la suspensión cautelar acordada lo es en todo caso sin perjuicio de que el órgano judicial competente adopte las medidas oportunas para que el recurrente permanezca a disposición de la justicia (por todos AATC 2/2002, FJ 2; 218/2012, FJ 2, y 100/2018, FJ 3).</w:t>
      </w:r>
    </w:p>
    <w:p w14:paraId="63E74B2C" w14:textId="77777777" w:rsidR="00F64776" w:rsidRDefault="00F64776" w:rsidP="00F64776">
      <w:pPr>
        <w:pStyle w:val="TextoNormal"/>
      </w:pPr>
    </w:p>
    <w:p w14:paraId="2CD98CB4" w14:textId="77777777" w:rsidR="00F64776" w:rsidRDefault="00F64776" w:rsidP="00F64776">
      <w:pPr>
        <w:pStyle w:val="TextoNormal"/>
      </w:pPr>
      <w:r>
        <w:t>Por lo expuesto, la Sala</w:t>
      </w:r>
    </w:p>
    <w:p w14:paraId="0192DFED" w14:textId="7AA52717" w:rsidR="00F64776" w:rsidRDefault="00F64776" w:rsidP="00F64776">
      <w:pPr>
        <w:pStyle w:val="TextoNormal"/>
      </w:pPr>
    </w:p>
    <w:p w14:paraId="0CA9F80E" w14:textId="77777777" w:rsidR="00F64776" w:rsidRDefault="00F64776" w:rsidP="00F64776">
      <w:pPr>
        <w:pStyle w:val="TextoNormalCentrado"/>
      </w:pPr>
      <w:r>
        <w:t>ACUERDA</w:t>
      </w:r>
    </w:p>
    <w:p w14:paraId="564D6EA5" w14:textId="739A9744" w:rsidR="00F64776" w:rsidRDefault="00F64776" w:rsidP="00F64776">
      <w:pPr>
        <w:pStyle w:val="TextoNormalCentrado"/>
      </w:pPr>
    </w:p>
    <w:p w14:paraId="3D11CE78" w14:textId="6F2A9B19" w:rsidR="00F64776" w:rsidRDefault="00F64776" w:rsidP="00F64776">
      <w:pPr>
        <w:pStyle w:val="TextoNormal"/>
      </w:pPr>
      <w:r>
        <w:t>Mantener la medida cautelar de suspensión acordada en la providencia de 13 de julio de 2023.</w:t>
      </w:r>
    </w:p>
    <w:p w14:paraId="49C0EDDD" w14:textId="77777777" w:rsidR="00F64776" w:rsidRDefault="00F64776" w:rsidP="00F64776">
      <w:pPr>
        <w:pStyle w:val="TextoNormal"/>
      </w:pPr>
    </w:p>
    <w:p w14:paraId="67475469" w14:textId="77777777" w:rsidR="00F64776" w:rsidRDefault="00F64776" w:rsidP="00F64776">
      <w:pPr>
        <w:pStyle w:val="TextoNormal"/>
      </w:pPr>
      <w:r>
        <w:t>Madrid, a veintitrés de octubre de dos mil veintitrés.</w:t>
      </w:r>
    </w:p>
    <w:p w14:paraId="24018D4F" w14:textId="6A96D23C" w:rsidR="00F64776" w:rsidRDefault="00F64776">
      <w:pPr>
        <w:spacing w:after="160" w:line="278" w:lineRule="auto"/>
        <w:rPr>
          <w:rFonts w:ascii="Times New Roman" w:eastAsia="Times New Roman" w:hAnsi="Times New Roman" w:cs="Times New Roman"/>
          <w:sz w:val="24"/>
          <w:szCs w:val="24"/>
          <w:lang w:eastAsia="es-ES"/>
        </w:rPr>
      </w:pPr>
      <w:r>
        <w:br w:type="page"/>
      </w:r>
    </w:p>
    <w:p w14:paraId="449C2C3C" w14:textId="77777777" w:rsidR="00F64776" w:rsidRDefault="00F64776" w:rsidP="00F64776">
      <w:pPr>
        <w:pStyle w:val="TtuloResolucin"/>
      </w:pPr>
      <w:bookmarkStart w:id="268" w:name="AUTO_2023_483"/>
      <w:r>
        <w:t>AUTO 483/2023, de 24 de octubre de 2023</w:t>
      </w:r>
    </w:p>
    <w:bookmarkEnd w:id="268"/>
    <w:p w14:paraId="5957D8A4" w14:textId="77777777" w:rsidR="00F64776" w:rsidRDefault="00F64776" w:rsidP="00F64776">
      <w:pPr>
        <w:pStyle w:val="TtuloResolucin"/>
      </w:pPr>
      <w:r>
        <w:t>Pleno</w:t>
      </w:r>
    </w:p>
    <w:p w14:paraId="3C1BF8D4" w14:textId="77777777" w:rsidR="00F64776" w:rsidRDefault="00F64776" w:rsidP="00F64776">
      <w:pPr>
        <w:pStyle w:val="TextoNormalCentrado"/>
      </w:pPr>
      <w:r>
        <w:t>ECLI:ES:TC:2023:483A</w:t>
      </w:r>
    </w:p>
    <w:p w14:paraId="2EE3C514" w14:textId="730C5B6A" w:rsidR="00F64776" w:rsidRDefault="00F64776" w:rsidP="00F64776">
      <w:pPr>
        <w:pStyle w:val="TextoNormalCentrado"/>
      </w:pPr>
    </w:p>
    <w:p w14:paraId="3D19279E" w14:textId="77777777" w:rsidR="00F64776" w:rsidRDefault="00F64776" w:rsidP="00F64776">
      <w:pPr>
        <w:pStyle w:val="SntesisDescriptiva"/>
      </w:pPr>
      <w:r>
        <w:t>Excms. Srs. doña Inmaculada Montalbán Huertas, doña María Luisa Balaguer Callejón, don Ramón Sáez Valcárcel, don Enrique Arnaldo Alcubilla, doña Concepción Espejel Jorquera, doña María Luisa Segoviano Astaburuaga, don César Tolosa Tribiño y doña Laura Díez Bueso.</w:t>
      </w:r>
    </w:p>
    <w:p w14:paraId="0F6D6AD2" w14:textId="0645C166" w:rsidR="00F64776" w:rsidRDefault="00F64776" w:rsidP="00F64776">
      <w:pPr>
        <w:pStyle w:val="SntesisDescriptiva"/>
      </w:pPr>
    </w:p>
    <w:p w14:paraId="0EED0370" w14:textId="77777777" w:rsidR="00F64776" w:rsidRDefault="00F64776" w:rsidP="00F64776">
      <w:pPr>
        <w:pStyle w:val="SntesisDescriptiva"/>
      </w:pPr>
      <w:r>
        <w:t>Inadmite las recusaciones formuladas en el recurso de amparo 1234-2022, promovido por don Josep Costa i Roselló en causa penal.</w:t>
      </w:r>
    </w:p>
    <w:p w14:paraId="2E36081A" w14:textId="69E19A65" w:rsidR="00F64776" w:rsidRDefault="00F64776" w:rsidP="00F64776">
      <w:pPr>
        <w:pStyle w:val="SntesisDescriptiva"/>
      </w:pPr>
    </w:p>
    <w:p w14:paraId="482BA526" w14:textId="77777777" w:rsidR="00F64776" w:rsidRDefault="00F64776" w:rsidP="00F64776">
      <w:pPr>
        <w:pStyle w:val="SntesisDescriptiva"/>
      </w:pPr>
    </w:p>
    <w:p w14:paraId="32067BAE" w14:textId="77777777" w:rsidR="00F64776" w:rsidRDefault="00F64776" w:rsidP="00F64776">
      <w:pPr>
        <w:pStyle w:val="SntesisDescriptiva"/>
      </w:pPr>
    </w:p>
    <w:p w14:paraId="73F23954" w14:textId="77777777" w:rsidR="00F64776" w:rsidRDefault="00F64776" w:rsidP="00F64776">
      <w:pPr>
        <w:pStyle w:val="TextoNormalNegritaCentrado"/>
      </w:pPr>
      <w:r>
        <w:t>AUTO</w:t>
      </w:r>
    </w:p>
    <w:p w14:paraId="2CD5F98D" w14:textId="27D365B9" w:rsidR="00F64776" w:rsidRDefault="00F64776" w:rsidP="00F64776">
      <w:pPr>
        <w:pStyle w:val="TextoNormalNegritaCentrado"/>
      </w:pPr>
    </w:p>
    <w:p w14:paraId="060AEEB4" w14:textId="77777777" w:rsidR="00F64776" w:rsidRDefault="00F64776" w:rsidP="00F64776">
      <w:pPr>
        <w:pStyle w:val="TextoNormalNegritaCentrado"/>
        <w:keepNext/>
      </w:pPr>
      <w:r>
        <w:t>I. Antecedentes</w:t>
      </w:r>
    </w:p>
    <w:p w14:paraId="246CCC9F" w14:textId="7CF2B4B1" w:rsidR="00F64776" w:rsidRDefault="00F64776" w:rsidP="00F64776">
      <w:pPr>
        <w:pStyle w:val="TextoNormalNegritaCentrado"/>
        <w:keepNext/>
      </w:pPr>
    </w:p>
    <w:p w14:paraId="12B8D5A0" w14:textId="739A5AFC" w:rsidR="00F64776" w:rsidRDefault="00F64776" w:rsidP="00F64776">
      <w:pPr>
        <w:pStyle w:val="TextoNormal"/>
      </w:pPr>
      <w:r w:rsidRPr="00F64776">
        <w:rPr>
          <w:rStyle w:val="NumeroAFNegritaCaracter"/>
        </w:rPr>
        <w:t>1</w:t>
      </w:r>
      <w:r>
        <w:t>. Mediante escrito registrado en este tribunal el 24 de febrero de 2022, el procurador de los tribunales don Carlos Ricardo Estévez Sanz, en nombre y representación de don Josep Costa i Roselló, quien asume su propia defensa, interpuso recurso de amparo contra las siguientes resoluciones: (i) el auto de 25 de octubre de 2021, dictado por la magistrada instructora de las diligencias previas núm. 2-2021, seguidas por delito de desobediencia ante el Tribunal Superior de Justicia de Cataluña respecto del ahora recurrente, entre otros, por el que se acordaba su detención; (ii) el auto de 23 de noviembre de 2021, por el que se desestimó el recurso de reforma interpuesto contra la resolución anterior; y (iii) el auto de 11 de enero de 2022, dictado por la Sala de lo Civil y Penal del Tribunal Superior de Justicia de Cataluña, por el que se desestimó el recurso de apelación interpuesto contra el auto de 23 de noviembre de 2021. En la demanda se alega la vulneración de los derechos fundamentales reconocidos en los arts. 17, 19, 23 y 24 CE, en relación con los arts. 14, 16, 20 y 21 CE; así como el art. 5 del Convenio europeo de derechos humanos (CEDH), en relación con los arts. 6, 9, 10, 11 y 14 CEDH, el art. 3 del Protocolo núm. 1 al CEDH, el art. 2 del Protocolo núm. 4 al CEDH, el art. 18 CEDH y el art. 1 del Protocolo núm. 12 al CEDH.</w:t>
      </w:r>
    </w:p>
    <w:p w14:paraId="617D3789" w14:textId="77777777" w:rsidR="00F64776" w:rsidRDefault="00F64776" w:rsidP="00F64776">
      <w:pPr>
        <w:pStyle w:val="TextoNormal"/>
      </w:pPr>
    </w:p>
    <w:p w14:paraId="704DC193" w14:textId="47F5A5E8" w:rsidR="00F64776" w:rsidRDefault="00F64776" w:rsidP="00F64776">
      <w:pPr>
        <w:pStyle w:val="TextoNormal"/>
      </w:pPr>
      <w:r w:rsidRPr="00F64776">
        <w:rPr>
          <w:rStyle w:val="NumeroAFNegritaCaracter"/>
        </w:rPr>
        <w:t>2</w:t>
      </w:r>
      <w:r>
        <w:t>. En el escrito de demanda se formuló en el de otrosí digo primero la recusación de los magistrados don Pedro José González-Trevijano Sánchez, don Juan Antonio Xiol Ríos, don Santiago Martínez-Vares García, don Antonio Narváez Rodríguez, don Alfredo Montoya Melgar, don Ricardo Enríquez Sancho y don Cándido Conde-Pumpido Tourón, así como de la magistrada doña María Luisa Balaguer Callejón. El recurrente consideró que concurren en todos ellos las causas de recusación 7, 10, 11 y 13 del art. 219 de la Ley Orgánica del Poder Judicial (LOPJ), por haber intervenido en anteriores instancias y haber actuado como denunciantes de los hechos objeto de la causa penal seguida contra el ahora demandante.</w:t>
      </w:r>
    </w:p>
    <w:p w14:paraId="03EE7983" w14:textId="77777777" w:rsidR="00F64776" w:rsidRDefault="00F64776" w:rsidP="00F64776">
      <w:pPr>
        <w:pStyle w:val="TextoNormal"/>
      </w:pPr>
    </w:p>
    <w:p w14:paraId="5ECEC69D" w14:textId="77777777" w:rsidR="00F64776" w:rsidRDefault="00F64776" w:rsidP="00F64776">
      <w:pPr>
        <w:pStyle w:val="TextoNormal"/>
      </w:pPr>
      <w:r w:rsidRPr="00F64776">
        <w:rPr>
          <w:rStyle w:val="NumeroAFNegritaCaracter"/>
        </w:rPr>
        <w:t>3</w:t>
      </w:r>
      <w:r>
        <w:t>. Por ATC 75/2022, de 27 de abril, el Pleno del Tribunal acordó la inadmisión a trámite de las recusaciones promovidas por el actor. Tras recordar la singular naturaleza de este órgano constitucional y de sus miembros (fundamento jurídico 2), el Tribunal inadmitió la pretensión por aplicación de su constante doctrina (AATC 62/2020 y 63/2020, de 17 de junio, FJ 3 de ambos, y 86/2021, de 16 de septiembre, FJ 3) que da pie a adoptar este tipo de decisiones cuando “la recusación se dirija contra todos los magistrados del Tribunal, situación que ha sido asimilada a la recusación de tal número de magistrados que suponga una ‘paralización inaceptable’ de sus funciones. Eso determina la inadmisión de plano de las recusaciones formuladas ‘por comportar un uso manifiestamente abusivo del ejercicio de esa facultad [de recusación], tendente a impedir el normal ejercicio’ de la jurisdicción constitucional (ATC 107/2021, de 15 de diciembre, FJ 3)” (FJ 3).</w:t>
      </w:r>
    </w:p>
    <w:p w14:paraId="30AB335C" w14:textId="77777777" w:rsidR="00F64776" w:rsidRDefault="00F64776" w:rsidP="00F64776">
      <w:pPr>
        <w:pStyle w:val="TextoNormal"/>
      </w:pPr>
    </w:p>
    <w:p w14:paraId="30FB08F5" w14:textId="719D7E65" w:rsidR="00F64776" w:rsidRDefault="00F64776" w:rsidP="00F64776">
      <w:pPr>
        <w:pStyle w:val="TextoNormal"/>
      </w:pPr>
      <w:r>
        <w:t>No obstante, el Tribunal reiteró al recurrente (como ya le había sido indicado en el ATC 86/2021, de 16 de septiembre, FJ 4) que este tipo de peticiones “no puede prosperar. Las causas de recusación alegadas se fundamentan en el ejercicio mismo de las funciones del Tribunal que, por su carácter de ‘único en su género’ y ser ‘sus miembros […] insustituibles’, no puede ‘dejar de cumplir’ sus atribuciones por ‘haber resuelto otros procesos constitucionales […] que puedan tener relación con las cuestiones planteadas en este recurso de amparo’. La ‘tacha’ dirigida contra este tribunal es ‘equivalente a la descalificación del órgano mismo […], por lo que, de acuerdo con la jurisprudencia constitucional, la recusación formulada carece de sustantividad jurídica y no es acreedora de una decisión sobre el fondo (AATC 268/2014, de 4 de noviembre, FJ 2; 269/2014, de 4 de noviembre, FJ 2; 119/2017, de 7 de septiembre, FJ 3; 125/2017, de 20 de septiembre, FJ 5; 132/2017, de 3 de octubre; 62/2020, FJ 4, y 63/2020, FJ 4)’. Esta doctrina fue reiterada en el ATC 111/2021, de 16 de diciembre, FJ 4, confirmatorio del anterior, como el recurrente igualmente conoce”.</w:t>
      </w:r>
    </w:p>
    <w:p w14:paraId="1E9FE540" w14:textId="77777777" w:rsidR="00F64776" w:rsidRDefault="00F64776" w:rsidP="00F64776">
      <w:pPr>
        <w:pStyle w:val="TextoNormal"/>
      </w:pPr>
    </w:p>
    <w:p w14:paraId="3665E2E3" w14:textId="7DBDE92A" w:rsidR="00F64776" w:rsidRDefault="00F64776" w:rsidP="00F64776">
      <w:pPr>
        <w:pStyle w:val="TextoNormal"/>
      </w:pPr>
      <w:r w:rsidRPr="00F64776">
        <w:rPr>
          <w:rStyle w:val="NumeroAFNegritaCaracter"/>
        </w:rPr>
        <w:t>4</w:t>
      </w:r>
      <w:r>
        <w:t>. Frente al auto anterior el demandante interpuso recurso de súplica, que fue desestimado por el ATC 96/2022, de 15 de junio.</w:t>
      </w:r>
    </w:p>
    <w:p w14:paraId="14F08A34" w14:textId="77777777" w:rsidR="00F64776" w:rsidRDefault="00F64776" w:rsidP="00F64776">
      <w:pPr>
        <w:pStyle w:val="TextoNormal"/>
      </w:pPr>
    </w:p>
    <w:p w14:paraId="7D2C57B5" w14:textId="17F7B65C" w:rsidR="00F64776" w:rsidRDefault="00F64776" w:rsidP="00F64776">
      <w:pPr>
        <w:pStyle w:val="TextoNormal"/>
      </w:pPr>
      <w:r w:rsidRPr="00F64776">
        <w:rPr>
          <w:rStyle w:val="NumeroAFNegritaCaracter"/>
        </w:rPr>
        <w:t>5</w:t>
      </w:r>
      <w:r>
        <w:t>. Bajo la misma representación procesal y defensa, el recurrente presentó escrito el 16 de marzo de 2023 en el registro de este tribunal, por el que recusa a su presidente, el magistrado don Cándido Conde-Pumpido Tourón, y a los magistrados don Ricardo Enríquez Sancho y don Juan Carlos Campo Moreno, de conformidad con lo previsto en el art. 219.1, 4, 9, 10, 12, 14 y 15 LOPJ, en relación con el art. 80 de la Ley Orgánica del Tribunal Constitucional (LOTC), con invocación de los derechos al juez imparcial y a la igualdad en la aplicación de la ley, esto último ante precedentes autos estimatorios de abstenciones que son citados por el recusante.</w:t>
      </w:r>
    </w:p>
    <w:p w14:paraId="635C49D2" w14:textId="77777777" w:rsidR="00F64776" w:rsidRDefault="00F64776" w:rsidP="00F64776">
      <w:pPr>
        <w:pStyle w:val="TextoNormal"/>
      </w:pPr>
    </w:p>
    <w:p w14:paraId="302C9F8D" w14:textId="3AF1AD6E" w:rsidR="00F64776" w:rsidRDefault="00F64776" w:rsidP="00F64776">
      <w:pPr>
        <w:pStyle w:val="TextoNormal"/>
      </w:pPr>
      <w:r w:rsidRPr="00F64776">
        <w:rPr>
          <w:rStyle w:val="NumeroAFNegritaCaracter"/>
        </w:rPr>
        <w:t>6</w:t>
      </w:r>
      <w:r>
        <w:t>. El secretario de justicia de la Sala Primera de este tribunal dictó diligencia de ordenación el 21 de marzo de 2023, en la que acordó dar cuenta al Pleno del Tribunal del escrito de recusación presentado, a los efectos oportunos.</w:t>
      </w:r>
    </w:p>
    <w:p w14:paraId="13D4C3B6" w14:textId="77777777" w:rsidR="00F64776" w:rsidRDefault="00F64776" w:rsidP="00F64776">
      <w:pPr>
        <w:pStyle w:val="TextoNormal"/>
      </w:pPr>
    </w:p>
    <w:p w14:paraId="0DAE25D9" w14:textId="1A2CF585" w:rsidR="00F64776" w:rsidRDefault="00F64776" w:rsidP="00F64776">
      <w:pPr>
        <w:pStyle w:val="TextoNormal"/>
      </w:pPr>
      <w:r w:rsidRPr="00F64776">
        <w:rPr>
          <w:rStyle w:val="NumeroAFNegritaCaracter"/>
        </w:rPr>
        <w:t>7</w:t>
      </w:r>
      <w:r>
        <w:t>. El secretario de justicia del Pleno dictó diligencia de ordenación el 22 de marzo de 2023, por la que se tiene por recibida la anterior comunicación de la Sala Primera “y se acuerda designar ponente del incidente de recusación a la magistrada doña Concepción Espejel Jorquera, a la que por turno corresponde, a fin de que proponga al Pleno la resolución que proceda”.</w:t>
      </w:r>
    </w:p>
    <w:p w14:paraId="5B74653D" w14:textId="77777777" w:rsidR="00F64776" w:rsidRDefault="00F64776" w:rsidP="00F64776">
      <w:pPr>
        <w:pStyle w:val="TextoNormal"/>
      </w:pPr>
    </w:p>
    <w:p w14:paraId="4F78903D" w14:textId="07DEB7A7" w:rsidR="00F64776" w:rsidRDefault="00F64776" w:rsidP="00F64776">
      <w:pPr>
        <w:pStyle w:val="TextoNormal"/>
      </w:pPr>
      <w:r w:rsidRPr="00F64776">
        <w:rPr>
          <w:rStyle w:val="NumeroAFNegritaCaracter"/>
        </w:rPr>
        <w:t>8</w:t>
      </w:r>
      <w:r>
        <w:t>. Por ATC 236/2023, de 9 de mayo, el Pleno del Tribunal acordó la inadmisión a trámite por extemporaneidad de las recusaciones promovidas. La inadmisión se fundamentó, en esencia, en que el escrito promotor del incidente fue presentado en el registro de este tribunal el día 16 de marzo de 2023, una vez trascurrido en exceso el plazo de diez días a que se refiere el art. 223.1 LOPJ desde el momento en que el recusante tuvo conocimiento efectivo de que los magistrados recusados forman parte de la Sala Primera de este tribunal, cuya Sección Primera está llamada en principio a decidir sobre la admisión a trámite del recurso de amparo núm. 1234-2022, plazo contado a partir de la publicación en el “Boletín Oficial del Estado” núm. 16, de 19 de enero de 2023, del acuerdo de 17 de enero de 2023, del Pleno del Tribunal Constitucional, por el que se dispone la composición de las Salas y Secciones del Tribunal Constitucional, cuyo artículo 1.1 determina la composición de la Sala Primera y los apartados 1.2 y 1.3 la respectiva composición de las Secciones Primera y Segunda.</w:t>
      </w:r>
    </w:p>
    <w:p w14:paraId="3752A77B" w14:textId="77777777" w:rsidR="00F64776" w:rsidRDefault="00F64776" w:rsidP="00F64776">
      <w:pPr>
        <w:pStyle w:val="TextoNormal"/>
      </w:pPr>
    </w:p>
    <w:p w14:paraId="1C2D0DC8" w14:textId="77777777" w:rsidR="00F64776" w:rsidRDefault="00F64776" w:rsidP="00F64776">
      <w:pPr>
        <w:pStyle w:val="TextoNormal"/>
      </w:pPr>
      <w:r w:rsidRPr="00F64776">
        <w:rPr>
          <w:rStyle w:val="NumeroAFNegritaCaracter"/>
        </w:rPr>
        <w:t>9</w:t>
      </w:r>
      <w:r>
        <w:t>. Frente al auto anterior, el demandante interpuso recurso de súplica el 22 de mayo de 2023, del que se dio traslado al Ministerio Fiscal en virtud de diligencia de ordenación dictada el 23 de mayo de 2023, a fin de que en el plazo de tres días pudiera alegar lo que estimase procedente en relación con dicho recurso.</w:t>
      </w:r>
    </w:p>
    <w:p w14:paraId="673A56AE" w14:textId="77777777" w:rsidR="00F64776" w:rsidRDefault="00F64776" w:rsidP="00F64776">
      <w:pPr>
        <w:pStyle w:val="TextoNormal"/>
      </w:pPr>
    </w:p>
    <w:p w14:paraId="297500CF" w14:textId="0C49CE3F" w:rsidR="00F64776" w:rsidRDefault="00F64776" w:rsidP="00F64776">
      <w:pPr>
        <w:pStyle w:val="TextoNormal"/>
      </w:pPr>
      <w:r>
        <w:t>El 9 de junio de 2023 tuvo entrada el escrito de alegaciones del Ministerio Fiscal, que consideró procedente la estimación del recurso de súplica, la anulación del auto impugnado y el dictado en su lugar de la resolución procedente.</w:t>
      </w:r>
    </w:p>
    <w:p w14:paraId="0F97FE32" w14:textId="77777777" w:rsidR="00F64776" w:rsidRDefault="00F64776" w:rsidP="00F64776">
      <w:pPr>
        <w:pStyle w:val="TextoNormal"/>
      </w:pPr>
    </w:p>
    <w:p w14:paraId="6710C696" w14:textId="099F4C00" w:rsidR="00F64776" w:rsidRDefault="00F64776" w:rsidP="00F64776">
      <w:pPr>
        <w:pStyle w:val="TextoNormal"/>
      </w:pPr>
      <w:r w:rsidRPr="00F64776">
        <w:rPr>
          <w:rStyle w:val="NumeroAFNegritaCaracter"/>
        </w:rPr>
        <w:t>10</w:t>
      </w:r>
      <w:r>
        <w:t>. El recurso de súplica fue estimado por el ATC 353/2023, de 4 de julio, que revocó y dejó sin efecto el auto impugnado, quedando pendiente de resolución la decisión sobre admisibilidad de las recusaciones planteadas en el presente recurso de amparo.</w:t>
      </w:r>
    </w:p>
    <w:p w14:paraId="2FBEBE82" w14:textId="77777777" w:rsidR="00F64776" w:rsidRDefault="00F64776" w:rsidP="00F64776">
      <w:pPr>
        <w:pStyle w:val="TextoNormal"/>
      </w:pPr>
    </w:p>
    <w:p w14:paraId="53362FB1" w14:textId="39E36679" w:rsidR="00F64776" w:rsidRDefault="00F64776" w:rsidP="00F64776">
      <w:pPr>
        <w:pStyle w:val="TextoNormal"/>
      </w:pPr>
      <w:r w:rsidRPr="00F64776">
        <w:rPr>
          <w:rStyle w:val="NumeroAFNegritaCaracter"/>
        </w:rPr>
        <w:t>11</w:t>
      </w:r>
      <w:r>
        <w:t xml:space="preserve">. Mediante diligencia de ordenación de fecha 14 de julio de 2023, se acordó requerir al procurador del demandante para que en el plazo de diez días aportara poder especial para recusar al magistrado don Juan Carlos Campo Moreno (art. 223.2 LOPJ), lo que fue cumplimentado mediante apoderamiento </w:t>
      </w:r>
      <w:r w:rsidRPr="00F64776">
        <w:rPr>
          <w:i/>
        </w:rPr>
        <w:t>apud acta</w:t>
      </w:r>
      <w:r>
        <w:t xml:space="preserve"> presentado el siguiente día 27 de julio.</w:t>
      </w:r>
    </w:p>
    <w:p w14:paraId="7C87FFCC" w14:textId="77777777" w:rsidR="00F64776" w:rsidRDefault="00F64776" w:rsidP="00F64776">
      <w:pPr>
        <w:pStyle w:val="TextoNormal"/>
      </w:pPr>
    </w:p>
    <w:p w14:paraId="29DDBB69" w14:textId="77777777" w:rsidR="00F64776" w:rsidRDefault="00F64776" w:rsidP="00F64776">
      <w:pPr>
        <w:pStyle w:val="TextoNormalNegritaCentrado"/>
        <w:keepNext/>
      </w:pPr>
      <w:r>
        <w:t>II. Fundamentos jurídicos</w:t>
      </w:r>
    </w:p>
    <w:p w14:paraId="61440891" w14:textId="0A098270" w:rsidR="00F64776" w:rsidRDefault="00F64776" w:rsidP="00F64776">
      <w:pPr>
        <w:pStyle w:val="TextoNormalNegritaCentrado"/>
        <w:keepNext/>
      </w:pPr>
    </w:p>
    <w:p w14:paraId="29FA7D29" w14:textId="77777777" w:rsidR="00F64776" w:rsidRDefault="00F64776" w:rsidP="00F64776">
      <w:pPr>
        <w:pStyle w:val="TextoNormal"/>
      </w:pPr>
      <w:r w:rsidRPr="00F64776">
        <w:rPr>
          <w:rStyle w:val="NumeroAFNegritaCaracter"/>
        </w:rPr>
        <w:t>1</w:t>
      </w:r>
      <w:r>
        <w:t xml:space="preserve">. </w:t>
      </w:r>
      <w:r w:rsidRPr="00F64776">
        <w:rPr>
          <w:i/>
        </w:rPr>
        <w:t>Objeto de la presente resolución</w:t>
      </w:r>
    </w:p>
    <w:p w14:paraId="682E9AAF" w14:textId="77777777" w:rsidR="00F64776" w:rsidRDefault="00F64776" w:rsidP="00F64776">
      <w:pPr>
        <w:pStyle w:val="TextoNormal"/>
      </w:pPr>
    </w:p>
    <w:p w14:paraId="12183FDF" w14:textId="77777777" w:rsidR="00F64776" w:rsidRDefault="00F64776" w:rsidP="00F64776">
      <w:pPr>
        <w:pStyle w:val="TextoNormal"/>
      </w:pPr>
      <w:r>
        <w:t>Como expusimos en el ATC 236/2023, de 9 de junio, fundamento jurídico 1, el presente incidente de recusación dimana del recurso de amparo 1234-2022 y tiene por objeto las recusaciones planteadas por el demandante de amparo el día 16 de marzo de 2023, respecto al presidente de este tribunal, el magistrado don Cándido Conde-Pumpido Tourón, y a los magistrados don Ricardo Enríquez Sancho y don Juan Carlos Campo Moreno, todos ellos integrantes de su Sala Primera en virtud del acuerdo de 17 de enero de 2023, del Pleno del Tribunal Constitucional, por el que se dispone la composición de las Salas y Secciones del Tribunal Constitucional, publicado en el “Boletín Oficial del Estado” núm. 16, de 19 de enero de 2023.</w:t>
      </w:r>
    </w:p>
    <w:p w14:paraId="72BB093B" w14:textId="77777777" w:rsidR="00F64776" w:rsidRDefault="00F64776" w:rsidP="00F64776">
      <w:pPr>
        <w:pStyle w:val="TextoNormal"/>
      </w:pPr>
    </w:p>
    <w:p w14:paraId="19AE6059" w14:textId="77777777" w:rsidR="00F64776" w:rsidRDefault="00F64776" w:rsidP="00F64776">
      <w:pPr>
        <w:pStyle w:val="TextoNormal"/>
      </w:pPr>
      <w:r>
        <w:t>Las causas de recusación difieren en los tres magistrados concernidos, con argumentos que se exponen a continuación de forma sintética.</w:t>
      </w:r>
    </w:p>
    <w:p w14:paraId="585BB4E3" w14:textId="77777777" w:rsidR="00F64776" w:rsidRDefault="00F64776" w:rsidP="00F64776">
      <w:pPr>
        <w:pStyle w:val="TextoNormal"/>
      </w:pPr>
    </w:p>
    <w:p w14:paraId="510B6F97" w14:textId="77777777" w:rsidR="00F64776" w:rsidRDefault="00F64776" w:rsidP="00F64776">
      <w:pPr>
        <w:pStyle w:val="TextoNormal"/>
      </w:pPr>
      <w:r>
        <w:t>A) Causas de recusación alegadas que afectan al presidente del Tribunal, don Cándido Conde-Pumpido Tourón</w:t>
      </w:r>
    </w:p>
    <w:p w14:paraId="22F68A97" w14:textId="77777777" w:rsidR="00F64776" w:rsidRDefault="00F64776" w:rsidP="00F64776">
      <w:pPr>
        <w:pStyle w:val="TextoNormal"/>
      </w:pPr>
    </w:p>
    <w:p w14:paraId="73CEE76A" w14:textId="77777777" w:rsidR="00F64776" w:rsidRDefault="00F64776" w:rsidP="00F64776">
      <w:pPr>
        <w:pStyle w:val="TextoNormal"/>
      </w:pPr>
      <w:r>
        <w:t>a) Causa de recusación prevista en el artículo 219.10 LOPJ: se afirma que el magistrado recusado reconoció, en escrito fechado el 7 de abril de 2021, hallarse incurso en la citada causa de abstención en relación con todos los procesos de amparo pendientes de resolución, en los que se impugnan resoluciones judiciales adoptadas en la causa especial núm. 20907-2017, seguida ante la Sala de lo Penal del Tribunal Supremo. “Pues bien [alega el ahora recusante] la relación de la causa penal en que se han dictado los autos de la Sala Civil y Penal del Tribunal Superior de Justicia de Cataluña que son objeto del recurso de amparo núm. 1234-2022 con esa ‘conocida y pública controversia constitucional, social y política’ a la que se refería en su escrito de 7 de abril de 2021 el Excmo. Sr. Conde-Pumpido Tourón es notoria. En efecto, es notorio que el recurrente en amparo fue detenido y juzgado penalmente, en tanto que exdiputado y exvicepresidente del Parlamento de Cataluña, por su papel en la tramitación de una resolución de condena de la sentencia dictada en la causa especial núm. 20907-2017 y que manifestaba su solidaridad con los presos políticos y exiliados perseguido en dicha causa”.</w:t>
      </w:r>
    </w:p>
    <w:p w14:paraId="45B1EAF8" w14:textId="77777777" w:rsidR="00F64776" w:rsidRDefault="00F64776" w:rsidP="00F64776">
      <w:pPr>
        <w:pStyle w:val="TextoNormal"/>
      </w:pPr>
    </w:p>
    <w:p w14:paraId="7E8E82AD" w14:textId="77777777" w:rsidR="00F64776" w:rsidRDefault="00F64776" w:rsidP="00F64776">
      <w:pPr>
        <w:pStyle w:val="TextoNormal"/>
      </w:pPr>
      <w:r>
        <w:t>b) Causas de recusación previstas en el art. 219.9 y 12 LOPJ: a juicio del demandante, la primera causa concurre como consecuencia de la relación de amistad del magistrado recusado con don Pedro José Crespo Barquero, actual fiscal jefe de la Fiscalía ante el Tribunal Constitucional; y la segunda causa, a su vez, a resultas del cargo ejercido por el primero como fiscal general del Estado. Sostiene que el presente recurso de amparo dimana del procedimiento abreviado 2-2021, iniciado mediante querella del Ministerio Fiscal, que es parte en dicha causa, como lo es también en todos los procedimientos de amparo seguidos ante este tribunal. La relación del magistrado recusado con la parte querellante en la causa penal de la que dimanan las resoluciones judiciales recurridas es, a su parecer, tan sumamente estrecha que no se puede decir que presente la necesaria apariencia de imparcialidad. En particular, aduce, en su condición de fiscal general del Estado designó o propuso la designación, con carácter discrecional, de la práctica totalidad de los fiscales que han intervenido en esta causa penal. La relación de subordinación a la que se refiere el art. 219.12 LOPJ existente en su día entre quien ostenta actualmente la presidencia del Tribunal Constitucional con los fiscales que han intervenido en este procedimiento resulta, a su criterio, innegable.</w:t>
      </w:r>
    </w:p>
    <w:p w14:paraId="4F02E921" w14:textId="77777777" w:rsidR="00F64776" w:rsidRDefault="00F64776" w:rsidP="00F64776">
      <w:pPr>
        <w:pStyle w:val="TextoNormal"/>
      </w:pPr>
    </w:p>
    <w:p w14:paraId="5AFB00E1" w14:textId="77777777" w:rsidR="00F64776" w:rsidRDefault="00F64776" w:rsidP="00F64776">
      <w:pPr>
        <w:pStyle w:val="TextoNormal"/>
      </w:pPr>
      <w:r>
        <w:t>Añade que es notorio que don Pedro José Crespo Barquero fue uno de los más estrechos colaboradores del magistrado recusado durante todo su mandato en su etapa al frente de la fiscalía general del Estado.</w:t>
      </w:r>
    </w:p>
    <w:p w14:paraId="25A909C8" w14:textId="77777777" w:rsidR="00F64776" w:rsidRDefault="00F64776" w:rsidP="00F64776">
      <w:pPr>
        <w:pStyle w:val="TextoNormal"/>
      </w:pPr>
    </w:p>
    <w:p w14:paraId="4F6CC452" w14:textId="77777777" w:rsidR="00F64776" w:rsidRDefault="00F64776" w:rsidP="00F64776">
      <w:pPr>
        <w:pStyle w:val="TextoNormal"/>
      </w:pPr>
      <w:r>
        <w:t>El recurrente enlaza la causa de recusación del art. 219.12 LOPJ con el derecho a la igualdad en la aplicación de la ley e invoca, como precedente directamente aplicable, el ATC 99/2018, de 24 de septiembre, dictado en el recurso de amparo 5934-2017, que aceptó la abstención del magistrado don Antonio Narváez Rodríguez al apreciar en él la concurrencia de aquella causa, en relación con el fiscal jefe provincial que ordenó la apertura de las diligencias informativas preprocesales en investigación de los hechos denunciados contra la parte recurrente en aquel otro recurso de amparo, fiscal con quien el magistrado abstenido coincidió en el Consejo Fiscal y que formó parte, como subordinado suyo, de la comisión de redacción de un borrador de anteproyecto de modificación del estatuto orgánico del Ministerio Fiscal y con el que mantenía una larga y prolongada relación de amistad. A juicio del recusante, la situación en que se halla el magistrado ahora recusado es análoga a la que en su día llevó a la abstención del señor Narváez Rodríguez y que fue aceptada por el ATC 99/2018, de 24 de septiembre.</w:t>
      </w:r>
    </w:p>
    <w:p w14:paraId="158DB85E" w14:textId="77777777" w:rsidR="00F64776" w:rsidRDefault="00F64776" w:rsidP="00F64776">
      <w:pPr>
        <w:pStyle w:val="TextoNormal"/>
      </w:pPr>
    </w:p>
    <w:p w14:paraId="463A419C" w14:textId="77777777" w:rsidR="00F64776" w:rsidRDefault="00F64776" w:rsidP="00F64776">
      <w:pPr>
        <w:pStyle w:val="TextoNormal"/>
      </w:pPr>
      <w:r>
        <w:t>B) Causas de recusación alegadas referidas al presidente de este tribunal y al magistrado don Ricardo Enríquez Sancho</w:t>
      </w:r>
    </w:p>
    <w:p w14:paraId="7F293108" w14:textId="77777777" w:rsidR="00F64776" w:rsidRDefault="00F64776" w:rsidP="00F64776">
      <w:pPr>
        <w:pStyle w:val="TextoNormal"/>
      </w:pPr>
    </w:p>
    <w:p w14:paraId="746A7725" w14:textId="77777777" w:rsidR="00F64776" w:rsidRDefault="00F64776" w:rsidP="00F64776">
      <w:pPr>
        <w:pStyle w:val="TextoNormal"/>
      </w:pPr>
      <w:r>
        <w:t>Se trata de las causas 7, 10, 11 y 13 del art. 219 LOPJ: considera el demandante que estos magistrados carecen de imparcialidad objetiva por el hecho de haberse dictado las resoluciones judiciales impugnadas en “una causa penal por haber desobedecido, supuestamente, determinados miembros de la mesa del Parlamento de Cataluña —entre los que se contaría el recurrente—, determinadas órdenes del Tribunal Constitucional, siendo que los propios magistrados del Tribunal Constitucional actuaron como denunciantes ante la jurisdicción penal […]. En efecto, la causa penal que es objeto de este recurso tiene su origen directo en la deducción de testimonio de particulares acordada por el Pleno del Tribunal Constitucional en los AATC 9/2020 y 11/2020, de 28 de enero, y 16/2020, de 11 de febrero”.</w:t>
      </w:r>
    </w:p>
    <w:p w14:paraId="7C2FF719" w14:textId="77777777" w:rsidR="00F64776" w:rsidRDefault="00F64776" w:rsidP="00F64776">
      <w:pPr>
        <w:pStyle w:val="TextoNormal"/>
      </w:pPr>
    </w:p>
    <w:p w14:paraId="4F9EC1BA" w14:textId="77777777" w:rsidR="00F64776" w:rsidRDefault="00F64776" w:rsidP="00F64776">
      <w:pPr>
        <w:pStyle w:val="TextoNormal"/>
      </w:pPr>
      <w:r>
        <w:t>C) Causas de recusación alegadas con respecto al magistrado don Juan Carlos Campo Moreno</w:t>
      </w:r>
    </w:p>
    <w:p w14:paraId="3EE464C3" w14:textId="77777777" w:rsidR="00F64776" w:rsidRDefault="00F64776" w:rsidP="00F64776">
      <w:pPr>
        <w:pStyle w:val="TextoNormal"/>
      </w:pPr>
    </w:p>
    <w:p w14:paraId="1CDBD0D2" w14:textId="210EF726" w:rsidR="00F64776" w:rsidRDefault="00F64776" w:rsidP="00F64776">
      <w:pPr>
        <w:pStyle w:val="TextoNormal"/>
      </w:pPr>
      <w:r>
        <w:t>En este punto el recusante se limita a señalar que fue aceptada la abstención de este magistrado “por las causas de los apartados 1, 4, 14 y 15 de la LOPJ” en los AATC 29 y 30, dictados el 7 de febrero de 2023, para formular su recusación en estos términos: “se da la circunstancia de haber pertenecido [el magistrado recusado] al Gobierno que instó los incidentes de ejecución antes citados, así como al grupo parlamentario del PSOE que le daba su apoyo. También la relación matrimonial o análoga con la presidenta del Congreso de los Diputados, que forma parte del mismo partido. En concreto, como afirman los AATC 9/2020 y 11/2020, de 28 de enero, y 16/2020, de 11 de febrero, fue el Gobierno español quien instó ante este tribunal los incidentes de ejecución el 7 y el 31 de octubre de 2019 y el 8 de noviembre de 2019. Los incidentes fueron resueltos en las fechas de los referidos autos, cuando el magistrado ya era ministro de Justicia. […] Por lo demás, consta que antes incluso de que se resolvieran los incidentes la fiscalía general, a instancias del Gobierno al que luego se incorporó el señor Campo, instó la apertura de diligencias de investigación penal contra el recurrente en amparo”.</w:t>
      </w:r>
    </w:p>
    <w:p w14:paraId="774C4B67" w14:textId="77777777" w:rsidR="00F64776" w:rsidRDefault="00F64776" w:rsidP="00F64776">
      <w:pPr>
        <w:pStyle w:val="TextoNormal"/>
      </w:pPr>
    </w:p>
    <w:p w14:paraId="2F95E8C8" w14:textId="77777777" w:rsidR="00F64776" w:rsidRDefault="00F64776" w:rsidP="00F64776">
      <w:pPr>
        <w:pStyle w:val="TextoNormal"/>
      </w:pPr>
      <w:r w:rsidRPr="00F64776">
        <w:rPr>
          <w:rStyle w:val="NumeroAFNegritaCaracter"/>
        </w:rPr>
        <w:t>2</w:t>
      </w:r>
      <w:r>
        <w:t xml:space="preserve">. </w:t>
      </w:r>
      <w:r w:rsidRPr="00F64776">
        <w:rPr>
          <w:i/>
        </w:rPr>
        <w:t>Doctrina constitucional aplicable</w:t>
      </w:r>
    </w:p>
    <w:p w14:paraId="724EB46A" w14:textId="77777777" w:rsidR="00F64776" w:rsidRDefault="00F64776" w:rsidP="00F64776">
      <w:pPr>
        <w:pStyle w:val="TextoNormal"/>
      </w:pPr>
    </w:p>
    <w:p w14:paraId="1C75E6C3" w14:textId="6343987C" w:rsidR="00F64776" w:rsidRDefault="00F64776" w:rsidP="00F64776">
      <w:pPr>
        <w:pStyle w:val="TextoNormal"/>
      </w:pPr>
      <w:r>
        <w:t>A fin de evitar reiteraciones innecesarias, nos remitimos en este punto a la doctrina de este tribunal en materia de incidentes de recusación de sus magistrados en recursos de amparo, expuesta en el ATC 236/2023, de 9 de mayo, FJ 2, que a su vez reproduce la doctrina extraída del ATC 82/2022, de 11 de mayo, FFJJ 2 y 3.</w:t>
      </w:r>
    </w:p>
    <w:p w14:paraId="62E419D8" w14:textId="77777777" w:rsidR="00F64776" w:rsidRDefault="00F64776" w:rsidP="00F64776">
      <w:pPr>
        <w:pStyle w:val="TextoNormal"/>
      </w:pPr>
    </w:p>
    <w:p w14:paraId="1FE79F91" w14:textId="77777777" w:rsidR="00F64776" w:rsidRDefault="00F64776" w:rsidP="00F64776">
      <w:pPr>
        <w:pStyle w:val="TextoNormal"/>
      </w:pPr>
      <w:r w:rsidRPr="00F64776">
        <w:rPr>
          <w:rStyle w:val="NumeroAFNegritaCaracter"/>
        </w:rPr>
        <w:t>3</w:t>
      </w:r>
      <w:r>
        <w:t xml:space="preserve">. </w:t>
      </w:r>
      <w:r w:rsidRPr="00F64776">
        <w:rPr>
          <w:i/>
        </w:rPr>
        <w:t>Resolución de las recusaciones</w:t>
      </w:r>
    </w:p>
    <w:p w14:paraId="4204CCE2" w14:textId="77777777" w:rsidR="00F64776" w:rsidRDefault="00F64776" w:rsidP="00F64776">
      <w:pPr>
        <w:pStyle w:val="TextoNormal"/>
      </w:pPr>
    </w:p>
    <w:p w14:paraId="54B4E7F3" w14:textId="77777777" w:rsidR="00F64776" w:rsidRDefault="00F64776" w:rsidP="00F64776">
      <w:pPr>
        <w:pStyle w:val="TextoNormal"/>
      </w:pPr>
      <w:r>
        <w:t>Para la resolución de las recusaciones planteadas es preciso analizar separadamente las respectivas causas de recusación que afectan a los tres magistrados concernidos, que ya han sido expuestas con mayor detalle y que ahora se sintetizan.</w:t>
      </w:r>
    </w:p>
    <w:p w14:paraId="374150F3" w14:textId="77777777" w:rsidR="00F64776" w:rsidRDefault="00F64776" w:rsidP="00F64776">
      <w:pPr>
        <w:pStyle w:val="TextoNormal"/>
      </w:pPr>
    </w:p>
    <w:p w14:paraId="13A3B463" w14:textId="77777777" w:rsidR="00F64776" w:rsidRDefault="00F64776" w:rsidP="00F64776">
      <w:pPr>
        <w:pStyle w:val="TextoNormal"/>
      </w:pPr>
      <w:r>
        <w:t>A) Las dos causas alegadas en este segundo incidente de recusación, que afectan exclusivamente al presidente de este tribunal, magistrado don Cándido Conde-Pumpido Tourón, son las siguientes:</w:t>
      </w:r>
    </w:p>
    <w:p w14:paraId="20423E4F" w14:textId="77777777" w:rsidR="00F64776" w:rsidRDefault="00F64776" w:rsidP="00F64776">
      <w:pPr>
        <w:pStyle w:val="TextoNormal"/>
      </w:pPr>
    </w:p>
    <w:p w14:paraId="330D2907" w14:textId="77777777" w:rsidR="00F64776" w:rsidRDefault="00F64776" w:rsidP="00F64776">
      <w:pPr>
        <w:pStyle w:val="TextoNormal"/>
      </w:pPr>
      <w:r>
        <w:t>a) La prevista en el artículo 219.10 LOPJ por la comunicación de abstención presentada mediante escrito de fecha 7 de abril de 2021, en el recurso de amparo núm. 1403-2020, así como en los recursos de amparo núm. 1406-2020, 1407-2020, 1474-2020, 1599-2020, 1611-2020, 1621-2020, 1638-2020 y 972-2021, que se hace extensiva a los recursos de amparo núm. 5382-2019, 64-2020, 212-2020, 1523-2020 y 1634-2020, abstención que fue aceptada por el Pleno mediante el ATC 48/2021, de 21 de abril, con el efecto de apartarle definitivamente de los referidos recursos y de todas sus incidencias.</w:t>
      </w:r>
    </w:p>
    <w:p w14:paraId="6059BDA1" w14:textId="77777777" w:rsidR="00F64776" w:rsidRDefault="00F64776" w:rsidP="00F64776">
      <w:pPr>
        <w:pStyle w:val="TextoNormal"/>
      </w:pPr>
    </w:p>
    <w:p w14:paraId="6EE38BA4" w14:textId="77777777" w:rsidR="00F64776" w:rsidRDefault="00F64776" w:rsidP="00F64776">
      <w:pPr>
        <w:pStyle w:val="TextoNormal"/>
      </w:pPr>
      <w:r>
        <w:t>b) Las contempladas en el art. 219.9 y 12 LOPJ, como consecuencia, a juicio del recusante, de la relación de amistad del magistrado recusado con don Pedro José Crespo Barquero, actual fiscal jefe de la Fiscalía ante el Tribunal Constitucional ‒—en virtud del Real Decreto 345/2021, de 18 de mayo (“BOE” núm. 119, de 19 de mayo de 2021)—; y la segunda causa, a su vez, a resultas del cargo ejercido en su día por el presidente de este tribunal como fiscal general del Estado. El recurrente enlaza la causa de recusación del art. 219.12 LOPJ con el derecho a la igualdad en la aplicación de la ley e invoca, como precedente directamente aplicable, el ATC 99/2018, de 24 de septiembre, dictado en el recurso de amparo 5934-2017, que aceptó la abstención del magistrado don Antonio Narváez Rodríguez al apreciar en él la concurrencia de aquella causa en relación con el fiscal jefe de determinada provincia.</w:t>
      </w:r>
    </w:p>
    <w:p w14:paraId="4F437078" w14:textId="77777777" w:rsidR="00F64776" w:rsidRDefault="00F64776" w:rsidP="00F64776">
      <w:pPr>
        <w:pStyle w:val="TextoNormal"/>
      </w:pPr>
    </w:p>
    <w:p w14:paraId="3311E0BD" w14:textId="77777777" w:rsidR="00F64776" w:rsidRDefault="00F64776" w:rsidP="00F64776">
      <w:pPr>
        <w:pStyle w:val="TextoNormal"/>
      </w:pPr>
      <w:r>
        <w:t>Todas estas circunstancias eran accesibles al conocimiento del recusante en el momento de la interposición de su demanda de amparo en fecha 24 de febrero de 2022, en la que mediante otrosí recusó, entre otros, al magistrado don Cándido Conde-Pumpido Tourón, razón por la cual debió ser entonces cuando debió plantear todas las causas de recusación que en aquel momento fueran concurrentes. Como ha quedado reflejado, en aquel primer escrito el recusante se limitó a invocar las causas de recusación 7, 10, 11 y 13 del art. 219 LOPJ, al entender que los magistrados recusados carecían de la necesaria imparcialidad objetiva, dado que la causa penal incoada contra él estuvo motivada por la deducción de testimonio acordada por los citados magistrados en los AATC 9/2020 y 11/2020, de 28 de enero, y 16/2020, de 11 de febrero. En consecuencia, cuando el recusante formuló la segunda recusación había precluido la posibilidad de formular actos de alegación fundados en circunstancias preexistentes en el momento de plantear la primera recusación en el escrito de demanda.</w:t>
      </w:r>
    </w:p>
    <w:p w14:paraId="7F6ACEA9" w14:textId="77777777" w:rsidR="00F64776" w:rsidRDefault="00F64776" w:rsidP="00F64776">
      <w:pPr>
        <w:pStyle w:val="TextoNormal"/>
      </w:pPr>
    </w:p>
    <w:p w14:paraId="3BCA4AA4" w14:textId="77777777" w:rsidR="00F64776" w:rsidRDefault="00F64776" w:rsidP="00F64776">
      <w:pPr>
        <w:pStyle w:val="TextoNormal"/>
      </w:pPr>
      <w:r>
        <w:t>B) En cuanto a las recusaciones del presidente del Tribunal, el magistrado don Cándido Conde-Pumpido y Tourón, y del magistrado don Ricardo Enríquez Sancho, por estar incursos en las causas de recusación 7, 10, 11 y 13 del art. 219 LOPJ, al carecer, según el demandante, de la necesaria imparcialidad objetiva derivada de la deducción de testimonio a la que se ha hecho alusión, se formula en este segundo incidente de recusación en los mismos términos en que fue planteada en la primera recusación, que fue inadmitida mediante el ATC 75/2022, de 27 de abril, y confirmada en súplica por el ATC 96/2022, de 15 de junio. El efecto negativo de la cosa juzgada material derivado de aquel primer auto, se erige en obstáculo procesal para resolver en este momento una idéntica pretensión de recusación.</w:t>
      </w:r>
    </w:p>
    <w:p w14:paraId="057C3781" w14:textId="77777777" w:rsidR="00F64776" w:rsidRDefault="00F64776" w:rsidP="00F64776">
      <w:pPr>
        <w:pStyle w:val="TextoNormal"/>
      </w:pPr>
    </w:p>
    <w:p w14:paraId="7A066AA3" w14:textId="77777777" w:rsidR="00F64776" w:rsidRDefault="00F64776" w:rsidP="00F64776">
      <w:pPr>
        <w:pStyle w:val="TextoNormal"/>
      </w:pPr>
      <w:r>
        <w:t>C) Procede, en tercer lugar, resolver la recusación del magistrado don Juan Carlos Campo Moreno, al que no afectan las razones determinantes del rechazo de las recusaciones de los otros dos magistrados, dada su posterior incorporación al colegio de magistrados.</w:t>
      </w:r>
    </w:p>
    <w:p w14:paraId="2728EDE1" w14:textId="77777777" w:rsidR="00F64776" w:rsidRDefault="00F64776" w:rsidP="00F64776">
      <w:pPr>
        <w:pStyle w:val="TextoNormal"/>
      </w:pPr>
    </w:p>
    <w:p w14:paraId="739B7384" w14:textId="77777777" w:rsidR="00F64776" w:rsidRDefault="00F64776" w:rsidP="00F64776">
      <w:pPr>
        <w:pStyle w:val="TextoNormal"/>
      </w:pPr>
      <w:r>
        <w:t>Alega el recurrente, en esencia, que el magistrado recusado ha pertenecido al Gobierno que instó los incidentes de ejecución antes citados, así como al Grupo Parlamentario Socialista que le daba su apoyo, para añadir la relación matrimonial o análoga que mantiene con la entonces presidenta del Congreso de los Diputados, miembro del mismo partido.</w:t>
      </w:r>
    </w:p>
    <w:p w14:paraId="27721C5E" w14:textId="77777777" w:rsidR="00F64776" w:rsidRDefault="00F64776" w:rsidP="00F64776">
      <w:pPr>
        <w:pStyle w:val="TextoNormal"/>
      </w:pPr>
    </w:p>
    <w:p w14:paraId="594B14B9" w14:textId="77777777" w:rsidR="00F64776" w:rsidRDefault="00F64776" w:rsidP="00F64776">
      <w:pPr>
        <w:pStyle w:val="TextoNormal"/>
      </w:pPr>
      <w:r>
        <w:t>La pretensión del recusante no puede prosperar porque las circunstancias que expone no son subsumibles en ninguno de los supuestos previstos en el art. 219 LOPJ, ni tampoco el recurrente afirma que el magistrado recusado tuviera participación en decisión alguna como miembro del Gobierno de España, como parlamentario del Congreso de los Diputados ni por otro vínculo, que comprometiera su imparcialidad objetiva por haberse formado un juicio previo sobre la controversia sometida por el demandante en este recurso de amparo, consistente su detención acordada en fase de instrucción en las diligencias previas que se siguen, entre otros, contra él por delito de desobediencia. Es más, los hechos principales que el recurrente afirma como constitutivos de causa de recusación —que el Gobierno español instara ante este tribunal los incidentes de ejecución los días 7 y el 31 de octubre de 2019, y 8 de noviembre de 2019— son anteriores al periodo en que este magistrado ocupó el cargo de ministro de Justicia (de enero de 2020 a julio de 2021). Y la misma atipicidad hay que predicarla de la condición de parlamentario durante los años 2015 a 2020 (XI, XII y XII legislaturas en el Congreso de los Diputados), como también es completamente ajena al objeto de este proceso constitucional su relación personal con la anterior presidenta de la citada cámara legislativa.</w:t>
      </w:r>
    </w:p>
    <w:p w14:paraId="77965386" w14:textId="77777777" w:rsidR="00F64776" w:rsidRDefault="00F64776" w:rsidP="00F64776">
      <w:pPr>
        <w:pStyle w:val="TextoNormal"/>
      </w:pPr>
    </w:p>
    <w:p w14:paraId="68564856" w14:textId="2B87A9B7" w:rsidR="00F64776" w:rsidRDefault="00F64776" w:rsidP="00F64776">
      <w:pPr>
        <w:pStyle w:val="TextoNormal"/>
      </w:pPr>
      <w:r>
        <w:t>Procede, en consecuencia, inadmitir las recusaciones planteadas por el demandante.</w:t>
      </w:r>
    </w:p>
    <w:p w14:paraId="5AC40FDF" w14:textId="77777777" w:rsidR="00F64776" w:rsidRDefault="00F64776" w:rsidP="00F64776">
      <w:pPr>
        <w:pStyle w:val="TextoNormal"/>
      </w:pPr>
    </w:p>
    <w:p w14:paraId="2C9AD78F" w14:textId="77777777" w:rsidR="00F64776" w:rsidRDefault="00F64776" w:rsidP="00F64776">
      <w:pPr>
        <w:pStyle w:val="TextoNormal"/>
      </w:pPr>
      <w:r>
        <w:t>Por lo expuesto, el Pleno</w:t>
      </w:r>
    </w:p>
    <w:p w14:paraId="0F1F4076" w14:textId="3CF8B740" w:rsidR="00F64776" w:rsidRDefault="00F64776" w:rsidP="00F64776">
      <w:pPr>
        <w:pStyle w:val="TextoNormal"/>
      </w:pPr>
    </w:p>
    <w:p w14:paraId="26841C2C" w14:textId="77777777" w:rsidR="00F64776" w:rsidRDefault="00F64776" w:rsidP="00F64776">
      <w:pPr>
        <w:pStyle w:val="TextoNormalCentrado"/>
      </w:pPr>
      <w:r>
        <w:t>ACUERDA</w:t>
      </w:r>
    </w:p>
    <w:p w14:paraId="7E05CB5E" w14:textId="3F57CDEF" w:rsidR="00F64776" w:rsidRDefault="00F64776" w:rsidP="00F64776">
      <w:pPr>
        <w:pStyle w:val="TextoNormalCentrado"/>
      </w:pPr>
    </w:p>
    <w:p w14:paraId="5FFAB196" w14:textId="36EB9467" w:rsidR="00F64776" w:rsidRDefault="00F64776" w:rsidP="00F64776">
      <w:pPr>
        <w:pStyle w:val="TextoNormal"/>
      </w:pPr>
      <w:r>
        <w:t>Inadmitir las recusaciones del presidente del Tribunal Constitucional, el magistrado don Cándido Conde-Pumpido Tourón, y de los magistrados don Ricardo Enríquez Sancho y don Juan Carlos Campo Moreno, promovidas en fecha 16 de marzo de 2023 por don Josep Costa i Rosselló en el recurso de amparo núm. 1234-2022.</w:t>
      </w:r>
    </w:p>
    <w:p w14:paraId="1D0CDE8F" w14:textId="77777777" w:rsidR="00F64776" w:rsidRDefault="00F64776" w:rsidP="00F64776">
      <w:pPr>
        <w:pStyle w:val="TextoNormal"/>
      </w:pPr>
    </w:p>
    <w:p w14:paraId="29538D9E" w14:textId="77777777" w:rsidR="00F64776" w:rsidRDefault="00F64776" w:rsidP="00F64776">
      <w:pPr>
        <w:pStyle w:val="TextoNormal"/>
      </w:pPr>
      <w:r>
        <w:t>Madrid, a veinticuatro de octubre de dos mil veintitrés.</w:t>
      </w:r>
    </w:p>
    <w:p w14:paraId="335D8C47" w14:textId="26DB61CD" w:rsidR="00F64776" w:rsidRDefault="00F64776">
      <w:pPr>
        <w:spacing w:after="160" w:line="278" w:lineRule="auto"/>
        <w:rPr>
          <w:rFonts w:ascii="Times New Roman" w:eastAsia="Times New Roman" w:hAnsi="Times New Roman" w:cs="Times New Roman"/>
          <w:sz w:val="24"/>
          <w:szCs w:val="24"/>
          <w:lang w:eastAsia="es-ES"/>
        </w:rPr>
      </w:pPr>
      <w:r>
        <w:br w:type="page"/>
      </w:r>
    </w:p>
    <w:p w14:paraId="5680B1DD" w14:textId="77777777" w:rsidR="00F64776" w:rsidRDefault="00F64776" w:rsidP="00F64776">
      <w:pPr>
        <w:pStyle w:val="TtuloResolucin"/>
      </w:pPr>
      <w:bookmarkStart w:id="269" w:name="AUTO_2023_484"/>
      <w:r>
        <w:t>AUTO 484/2023, de 24 de octubre de 2023</w:t>
      </w:r>
    </w:p>
    <w:bookmarkEnd w:id="269"/>
    <w:p w14:paraId="7344264F" w14:textId="77777777" w:rsidR="00F64776" w:rsidRDefault="00F64776" w:rsidP="00F64776">
      <w:pPr>
        <w:pStyle w:val="TtuloResolucin"/>
      </w:pPr>
      <w:r>
        <w:t>Pleno</w:t>
      </w:r>
    </w:p>
    <w:p w14:paraId="18368D5A" w14:textId="77777777" w:rsidR="00F64776" w:rsidRDefault="00F64776" w:rsidP="00F64776">
      <w:pPr>
        <w:pStyle w:val="TextoNormalCentrado"/>
      </w:pPr>
      <w:r>
        <w:t>ECLI:ES:TC:2023:484A</w:t>
      </w:r>
    </w:p>
    <w:p w14:paraId="4E7D5899" w14:textId="39BCB9F4" w:rsidR="00F64776" w:rsidRDefault="00F64776" w:rsidP="00F64776">
      <w:pPr>
        <w:pStyle w:val="TextoNormalCentrado"/>
      </w:pPr>
    </w:p>
    <w:p w14:paraId="33F1977A" w14:textId="77777777" w:rsidR="00F64776" w:rsidRDefault="00F64776" w:rsidP="00F64776">
      <w:pPr>
        <w:pStyle w:val="SntesisDescriptiva"/>
      </w:pPr>
      <w:r>
        <w:t>Excms. Srs. don Cándido Conde-Pumpido Tourón, doña Inmaculada Montalbán Huertas, don Ricardo Enríquez Sancho, don Ramón Sáez Valcárcel, don Enrique Arnaldo Alcubilla, doña Concepción Espejel Jorquera, doña María Luisa Segoviano Astaburuaga, don César Tolosa Tribiño y doña Laura Díez Bueso.</w:t>
      </w:r>
    </w:p>
    <w:p w14:paraId="4FEE47B0" w14:textId="73523614" w:rsidR="00F64776" w:rsidRDefault="00F64776" w:rsidP="00F64776">
      <w:pPr>
        <w:pStyle w:val="SntesisDescriptiva"/>
      </w:pPr>
    </w:p>
    <w:p w14:paraId="59DB18E2" w14:textId="77777777" w:rsidR="00F64776" w:rsidRDefault="00F64776" w:rsidP="00F64776">
      <w:pPr>
        <w:pStyle w:val="SntesisDescriptiva"/>
      </w:pPr>
      <w:r>
        <w:t>Inadmite la recusación formulada en el recurso de amparo 7314-2022, promovido por doña R.O.G., en procedimiento de jurisdicción voluntaria.</w:t>
      </w:r>
    </w:p>
    <w:p w14:paraId="4C320665" w14:textId="362C3ADE" w:rsidR="00F64776" w:rsidRDefault="00F64776" w:rsidP="00F64776">
      <w:pPr>
        <w:pStyle w:val="SntesisDescriptiva"/>
      </w:pPr>
    </w:p>
    <w:p w14:paraId="23589C76" w14:textId="77777777" w:rsidR="00F64776" w:rsidRDefault="00F64776" w:rsidP="00F64776">
      <w:pPr>
        <w:pStyle w:val="SntesisDescriptiva"/>
      </w:pPr>
    </w:p>
    <w:p w14:paraId="0B002E85" w14:textId="77777777" w:rsidR="00F64776" w:rsidRDefault="00F64776" w:rsidP="00F64776">
      <w:pPr>
        <w:pStyle w:val="SntesisDescriptiva"/>
      </w:pPr>
    </w:p>
    <w:p w14:paraId="2F9A502C" w14:textId="77777777" w:rsidR="00F64776" w:rsidRDefault="00F64776" w:rsidP="00F64776">
      <w:pPr>
        <w:pStyle w:val="TextoNormalNegritaCentrado"/>
      </w:pPr>
      <w:r>
        <w:t>AUTO</w:t>
      </w:r>
    </w:p>
    <w:p w14:paraId="65F3F8B8" w14:textId="5B999FF5" w:rsidR="00F64776" w:rsidRDefault="00F64776" w:rsidP="00F64776">
      <w:pPr>
        <w:pStyle w:val="TextoNormalNegritaCentrado"/>
      </w:pPr>
    </w:p>
    <w:p w14:paraId="5649B096" w14:textId="77777777" w:rsidR="00F64776" w:rsidRDefault="00F64776" w:rsidP="00F64776">
      <w:pPr>
        <w:pStyle w:val="TextoNormalNegritaCentrado"/>
        <w:keepNext/>
      </w:pPr>
      <w:r>
        <w:t>I. Antecedentes</w:t>
      </w:r>
    </w:p>
    <w:p w14:paraId="774570F5" w14:textId="3E0B65B5" w:rsidR="00F64776" w:rsidRDefault="00F64776" w:rsidP="00F64776">
      <w:pPr>
        <w:pStyle w:val="TextoNormalNegritaCentrado"/>
        <w:keepNext/>
      </w:pPr>
    </w:p>
    <w:p w14:paraId="275F0A50" w14:textId="42861DB9" w:rsidR="00F64776" w:rsidRDefault="00F64776" w:rsidP="00F64776">
      <w:pPr>
        <w:pStyle w:val="TextoNormal"/>
      </w:pPr>
      <w:r w:rsidRPr="00F64776">
        <w:rPr>
          <w:rStyle w:val="NumeroAFNegritaCaracter"/>
        </w:rPr>
        <w:t>1</w:t>
      </w:r>
      <w:r>
        <w:t>. Por escrito registrado en este tribunal el 8 de noviembre de 2022, doña R.O.G., representada por la procuradora de los tribunales doña Ana María Álvarez Úbeda y actuando bajo la dirección letrada de don Marcos Rubio Rubio, interpusieron recurso de amparo: (i) contra el auto dictado el 21 de marzo de 2022 por el Juzgado de Primera Instancia núm. 7 de Fuenlabrada, por el que se atribuía al padre de las dos hijas menores de edad de doña R.O.G., don I.P.D., la facultad de decidir sobre la administración de la vacuna contra la covid-19 a las niñas; y (ii) contra el auto dictado el 21 de septiembre de 2022 por la Sección Vigesimocuarta de la Audiencia Provincial de Madrid por el que se confirmó la resolución de instancia en apelación.</w:t>
      </w:r>
    </w:p>
    <w:p w14:paraId="6098C6ED" w14:textId="77777777" w:rsidR="00F64776" w:rsidRDefault="00F64776" w:rsidP="00F64776">
      <w:pPr>
        <w:pStyle w:val="TextoNormal"/>
      </w:pPr>
    </w:p>
    <w:p w14:paraId="080DACB4" w14:textId="21648920" w:rsidR="00F64776" w:rsidRDefault="00F64776" w:rsidP="00F64776">
      <w:pPr>
        <w:pStyle w:val="TextoNormal"/>
      </w:pPr>
      <w:r w:rsidRPr="00F64776">
        <w:rPr>
          <w:rStyle w:val="NumeroAFNegritaCaracter"/>
        </w:rPr>
        <w:t>2</w:t>
      </w:r>
      <w:r>
        <w:t>. Por diligencia de ordenación de 14 de noviembre de 2022 la Sección Primera de este tribunal requirió a la procuradora de la demandante para que acreditara su representación en plazo de diez días, procediendo. El 15 de noviembre la Sra. Álvarez Úbeda aportó apoderamiento electrónico de la demandante de amparo y el día 16 de noviembre se pasaron las actuaciones a la Sección para resolución sobre admisión o inadmisión. Mediante diligencia de ordenación de 28 de julio de 2023 se acordó turnar el presente recurso de amparo a la Sección Segunda del Tribunal.</w:t>
      </w:r>
    </w:p>
    <w:p w14:paraId="3637131F" w14:textId="77777777" w:rsidR="00F64776" w:rsidRDefault="00F64776" w:rsidP="00F64776">
      <w:pPr>
        <w:pStyle w:val="TextoNormal"/>
      </w:pPr>
    </w:p>
    <w:p w14:paraId="6D8587E7" w14:textId="28381B6D" w:rsidR="00F64776" w:rsidRDefault="00F64776" w:rsidP="00F64776">
      <w:pPr>
        <w:pStyle w:val="TextoNormal"/>
      </w:pPr>
      <w:r w:rsidRPr="00F64776">
        <w:rPr>
          <w:rStyle w:val="NumeroAFNegritaCaracter"/>
        </w:rPr>
        <w:t>3</w:t>
      </w:r>
      <w:r>
        <w:t>. Mediante escrito registrado el 2 de agosto de 2023, la representación procesal de la demandante de amparo formuló escrito de recusación del magistrado don Juan Carlos Campo Moreno, integrante de la Sección Segunda de este tribunal, alegando la concurrencia de las causas previstas en los ordinales décimo, decimotercero y decimosexto del artículo 219 de la Ley Orgánica 6/1985, de 1 de julio, del Poder Judicial (LOPJ) —tener interés directo o indirecto en el pleito o causa, haber ocupado cargo público con ocasión del cual haya participado directa o indirectamente en el asunto objeto del pleito o causa, o haya podido tener conocimiento del objeto del litigio y formar criterio en detrimento de la debida imparcialidad—.</w:t>
      </w:r>
    </w:p>
    <w:p w14:paraId="6ED05ECE" w14:textId="77777777" w:rsidR="00F64776" w:rsidRDefault="00F64776" w:rsidP="00F64776">
      <w:pPr>
        <w:pStyle w:val="TextoNormal"/>
      </w:pPr>
    </w:p>
    <w:p w14:paraId="71D34F75" w14:textId="77777777" w:rsidR="00F64776" w:rsidRDefault="00F64776" w:rsidP="00F64776">
      <w:pPr>
        <w:pStyle w:val="TextoNormalNegritaCentrado"/>
        <w:keepNext/>
      </w:pPr>
      <w:r>
        <w:t>II. Fundamentos jurídicos</w:t>
      </w:r>
    </w:p>
    <w:p w14:paraId="745D764B" w14:textId="4090106F" w:rsidR="00F64776" w:rsidRDefault="00F64776" w:rsidP="00F64776">
      <w:pPr>
        <w:pStyle w:val="TextoNormalNegritaCentrado"/>
        <w:keepNext/>
      </w:pPr>
    </w:p>
    <w:p w14:paraId="35FF2DC1" w14:textId="77777777" w:rsidR="00F64776" w:rsidRDefault="00F64776" w:rsidP="00F64776">
      <w:pPr>
        <w:pStyle w:val="TextoNormal"/>
      </w:pPr>
      <w:r w:rsidRPr="00F64776">
        <w:rPr>
          <w:rStyle w:val="NumeroAFNegritaCaracter"/>
        </w:rPr>
        <w:t>1</w:t>
      </w:r>
      <w:r>
        <w:t xml:space="preserve">. </w:t>
      </w:r>
      <w:r w:rsidRPr="00F64776">
        <w:rPr>
          <w:i/>
        </w:rPr>
        <w:t>Cuestión preliminar</w:t>
      </w:r>
    </w:p>
    <w:p w14:paraId="06386A75" w14:textId="77777777" w:rsidR="00F64776" w:rsidRDefault="00F64776" w:rsidP="00F64776">
      <w:pPr>
        <w:pStyle w:val="TextoNormal"/>
      </w:pPr>
    </w:p>
    <w:p w14:paraId="1BEC3B02" w14:textId="0245CD99" w:rsidR="00F64776" w:rsidRDefault="00F64776" w:rsidP="00F64776">
      <w:pPr>
        <w:pStyle w:val="TextoNormal"/>
      </w:pPr>
      <w:r>
        <w:t>Dada la naturaleza de los hechos a que se refiere el presente recurso de amparo, se acuerda que esta resolución no incluya la identificación completa de las partes y de las menores; y ello en ejercicio de las potestades atribuidas a este tribunal por el art. 86.3 de la Ley Orgánica del Tribunal Constitucional LOTC), en materia de protección de datos de carácter personal en el ámbito de la publicación y difusión de sus resoluciones, así como en aplicación del acuerdo del Pleno de este tribunal de 23 de julio de 2015, por el que se regula la exclusión de los datos de identificación personal en la publicación de las resoluciones jurisdiccionales (“Boletín Oficial del Estado” núm. 178, de 27 de julio de 2015), decisión adoptada en sentencias precedentes tales como las SSTC 66/2022, de 2 de junio, FJ 1, y 38/2023, de 20 de abril, FJ 2 (Pleno).</w:t>
      </w:r>
    </w:p>
    <w:p w14:paraId="06BCAFBA" w14:textId="77777777" w:rsidR="00F64776" w:rsidRDefault="00F64776" w:rsidP="00F64776">
      <w:pPr>
        <w:pStyle w:val="TextoNormal"/>
      </w:pPr>
    </w:p>
    <w:p w14:paraId="3FA17B1B" w14:textId="77777777" w:rsidR="00F64776" w:rsidRDefault="00F64776" w:rsidP="00F64776">
      <w:pPr>
        <w:pStyle w:val="TextoNormal"/>
      </w:pPr>
      <w:r w:rsidRPr="00F64776">
        <w:rPr>
          <w:rStyle w:val="NumeroAFNegritaCaracter"/>
        </w:rPr>
        <w:t>2</w:t>
      </w:r>
      <w:r>
        <w:t xml:space="preserve">. </w:t>
      </w:r>
      <w:r w:rsidRPr="00F64776">
        <w:rPr>
          <w:i/>
        </w:rPr>
        <w:t>Planteamiento de la cuestión</w:t>
      </w:r>
    </w:p>
    <w:p w14:paraId="66BF8061" w14:textId="77777777" w:rsidR="00F64776" w:rsidRDefault="00F64776" w:rsidP="00F64776">
      <w:pPr>
        <w:pStyle w:val="TextoNormal"/>
      </w:pPr>
    </w:p>
    <w:p w14:paraId="29B0EC9B" w14:textId="12D824B5" w:rsidR="00F64776" w:rsidRDefault="00F64776" w:rsidP="00F64776">
      <w:pPr>
        <w:pStyle w:val="TextoNormal"/>
      </w:pPr>
      <w:r>
        <w:t>En el escrito presentado por la representación procesal de doña R.O.G., se argumenta que el magistrado ha sido ministro de Justicia del Gobierno que se ha encargado de promover la vacunación contra la covid-19; y que, por tanto, ha sido promotor implícito de dicha vacunación, lo que se considera suficiente para fundar una “sospecha justificada de parcialidad”.</w:t>
      </w:r>
    </w:p>
    <w:p w14:paraId="1DE52010" w14:textId="77777777" w:rsidR="00F64776" w:rsidRDefault="00F64776" w:rsidP="00F64776">
      <w:pPr>
        <w:pStyle w:val="TextoNormal"/>
      </w:pPr>
    </w:p>
    <w:p w14:paraId="4BBCBCFF" w14:textId="77777777" w:rsidR="00F64776" w:rsidRDefault="00F64776" w:rsidP="00F64776">
      <w:pPr>
        <w:pStyle w:val="TextoNormal"/>
      </w:pPr>
      <w:r w:rsidRPr="00F64776">
        <w:rPr>
          <w:rStyle w:val="NumeroAFNegritaCaracter"/>
        </w:rPr>
        <w:t>3</w:t>
      </w:r>
      <w:r>
        <w:t xml:space="preserve">. </w:t>
      </w:r>
      <w:r w:rsidRPr="00F64776">
        <w:rPr>
          <w:i/>
        </w:rPr>
        <w:t>Doctrina constitucional</w:t>
      </w:r>
    </w:p>
    <w:p w14:paraId="20FC5D88" w14:textId="77777777" w:rsidR="00F64776" w:rsidRDefault="00F64776" w:rsidP="00F64776">
      <w:pPr>
        <w:pStyle w:val="TextoNormal"/>
      </w:pPr>
    </w:p>
    <w:p w14:paraId="7C125513" w14:textId="77777777" w:rsidR="00F64776" w:rsidRDefault="00F64776" w:rsidP="00F64776">
      <w:pPr>
        <w:pStyle w:val="TextoNormal"/>
      </w:pPr>
      <w:r>
        <w:t>Este tribunal ha ido elaborando a lo largo de su historia un cuerpo doctrinal relativo a la cuestión suscitada que puede sintetizarse en los siguientes puntos:</w:t>
      </w:r>
    </w:p>
    <w:p w14:paraId="2A22990E" w14:textId="77777777" w:rsidR="00F64776" w:rsidRDefault="00F64776" w:rsidP="00F64776">
      <w:pPr>
        <w:pStyle w:val="TextoNormal"/>
      </w:pPr>
    </w:p>
    <w:p w14:paraId="3F47C30C" w14:textId="77777777" w:rsidR="00F64776" w:rsidRDefault="00F64776" w:rsidP="00F64776">
      <w:pPr>
        <w:pStyle w:val="TextoNormal"/>
      </w:pPr>
      <w:r>
        <w:t xml:space="preserve">a) En virtud del carácter jurisdiccional que siempre reviste la actuación del Tribunal Constitucional y del mandato de que sus magistrados ejerzan su función de acuerdo con el principio de imparcialidad (art. 22 LOTC), hemos declarado que el régimen de recusaciones y abstenciones de los jueces y magistrados del Poder Judicial es aplicable, </w:t>
      </w:r>
      <w:r w:rsidRPr="00F64776">
        <w:rPr>
          <w:i/>
        </w:rPr>
        <w:t>ex</w:t>
      </w:r>
      <w:r>
        <w:t xml:space="preserve"> art. 80 LOTC, a los magistrados del Tribunal Constitucional. Las causas de abstención y recusación son, de este modo, las que se encuentran taxativamente fijadas en el art. 219 LOPJ, y los motivos de recusación han de subsumirse necesariamente en alguno o algunos de los supuestos que la norma define como tales (ATC 226/2002, de 20 de noviembre, FJ 1), supuestos que han de ser interpretados de manera estricta o no extensiva, dada la composición específica de este tribunal, cuyos magistrados no son susceptibles de sustitución, (STC 162/1999, de 27 de septiembre, FJ 8, por todas). Fuera del ámbito de tales causas legales, las aprensiones o los recelos que las partes puedan manifestar son jurídicamente irrelevantes.</w:t>
      </w:r>
    </w:p>
    <w:p w14:paraId="43B01B52" w14:textId="77777777" w:rsidR="00F64776" w:rsidRDefault="00F64776" w:rsidP="00F64776">
      <w:pPr>
        <w:pStyle w:val="TextoNormal"/>
      </w:pPr>
    </w:p>
    <w:p w14:paraId="5D11287C" w14:textId="77777777" w:rsidR="00F64776" w:rsidRDefault="00F64776" w:rsidP="00F64776">
      <w:pPr>
        <w:pStyle w:val="TextoNormal"/>
      </w:pPr>
      <w:r>
        <w:t>b) Para que, en garantía de la imparcialidad, un magistrado o magistrada pueda ser apartado del conocimiento de un asunto concreto, es preciso que existan dudas objetivamente justificadas, es decir, exteriorizadas y apoyadas en datos objetivos que hagan posible afirmar fundadamente que el magistrado o magistrada no es ajeno a la causa o permitan temer que, por cualquier relación con el caso concreto, no va a utilizar como criterio de juicio el previsto en la ley, sino otras consideraciones ajenas al ordenamiento jurídico.</w:t>
      </w:r>
    </w:p>
    <w:p w14:paraId="39B3DD2D" w14:textId="77777777" w:rsidR="00F64776" w:rsidRDefault="00F64776" w:rsidP="00F64776">
      <w:pPr>
        <w:pStyle w:val="TextoNormal"/>
      </w:pPr>
    </w:p>
    <w:p w14:paraId="52B8D16B" w14:textId="77777777" w:rsidR="00F64776" w:rsidRDefault="00F64776" w:rsidP="00F64776">
      <w:pPr>
        <w:pStyle w:val="TextoNormal"/>
      </w:pPr>
      <w:r>
        <w:t>c) Las particulares concepciones del Derecho y las visiones del mundo de cada magistrado o magistrada se reflejan en la necesaria pluralidad de perspectivas jurídicas que confluyen en las deliberaciones y decisiones del tribunal, y esa heterogeneidad de posiciones guarda una estrecha correspondencia con el pluralismo político como valor superior del ordenamiento jurídico (art. 1.1 CE). Esa pluralidad de perspectivas es lo que justifica que, por ejemplo, la Constitución no prohíba la pertenencia de los magistrados y magistradas a partidos políticos o sindicatos. La pluralidad de la magistratura constitucional se convierte, así, en una seña de su propia identidad, por lo que no puede suponer, sin más, la incompatibilidad para el ejercicio de sus funciones, mediante una genérica causa de recusación que ponga en tela de juicio su imparcialidad. Las diversas circunstancias que definen la personalidad de cada uno de los magistrados y magistradas y conforman su trayectoria personal no pueden considerarse sin más condicionamientos negativos que afecten a su imparcialidad, pues la imparcialidad que exige el art. 22 LOTC no equivale a un mandato de neutralidad general o a una exigencia de aislamiento social y político casi imposible de cumplir en cualesquiera profesionales, también en los juristas de reconocida competencia (AATC 180/2013, de 17 de septiembre, FJ 3, y 107/2021, de 15 de diciembre, de FJ 2).</w:t>
      </w:r>
    </w:p>
    <w:p w14:paraId="121FB05A" w14:textId="77777777" w:rsidR="00F64776" w:rsidRDefault="00F64776" w:rsidP="00F64776">
      <w:pPr>
        <w:pStyle w:val="TextoNormal"/>
      </w:pPr>
    </w:p>
    <w:p w14:paraId="023655A5" w14:textId="77777777" w:rsidR="00F64776" w:rsidRDefault="00F64776" w:rsidP="00F64776">
      <w:pPr>
        <w:pStyle w:val="TextoNormal"/>
      </w:pPr>
      <w:r>
        <w:t>d) En relación con la causa de recusación prevista en el ordinal décimo del art. 219 LOPJ —tener interés directo o indirecto en el pleito o causa (art. 219.10 LOPJ)— hemos indicado que la posibilidad de recusar a los magistrados y magistradas del Tribunal Constitucional ha de ser puesta en relación con el conocimiento y resolución de un concreto asunto. En particular, debe considerarse aquello que proporciona al magistrado o magistrada una ventaja o beneficio o le evita una carga o perjuicio, para sí o para sus allegados. Ha de tratarse de un interés singularizado en relación con el concreto proceso en que se plantee la recusación y actual, esto es, concurrente en el momento en que se promueve su apartamiento mediante la recusación (ATC 26/2007, de 5 de febrero). Por ello, para que quepa apreciar la existencia del interés directo o indirecto a que se refiere el art. 219.10 LOPJ, del resultado del proceso debe derivar un potencial provecho para el magistrado o magistrada recusados (ATC 73/2022, de 27 de abril).</w:t>
      </w:r>
    </w:p>
    <w:p w14:paraId="4C6C781A" w14:textId="77777777" w:rsidR="00F64776" w:rsidRDefault="00F64776" w:rsidP="00F64776">
      <w:pPr>
        <w:pStyle w:val="TextoNormal"/>
      </w:pPr>
    </w:p>
    <w:p w14:paraId="4F22C019" w14:textId="77777777" w:rsidR="00F64776" w:rsidRDefault="00F64776" w:rsidP="00F64776">
      <w:pPr>
        <w:pStyle w:val="TextoNormal"/>
      </w:pPr>
      <w:r>
        <w:t>e) En relación con las causas previstas en los ordinales decimotercera y decimosexta del art. 219 LOPJ —haber ocupado cargo público con ocasión del cual haya participado directa o indirectamente en el asunto objeto del pleito o causa o haya podido tener conocimiento del objeto del litigio y formar criterio en detrimento de la debida imparcialidad— hemos declarado que, salvo que se desvirtúe el contenido de la garantía de imparcialidad, no puede pretenderse la recusación de un juez por el mero hecho de tener criterio jurídico anticipado sobre los asuntos que debe resolver. No solo el Tribunal Constitucional, sino también el resto de los órganos jurisdiccionales deben ser integrados por jueces que no tengan la mente vacía sobre los asuntos jurídicos sometidos a su consideración. Por imperativo constitucional, solo pueden ser nombrados magistrados del Tribunal Constitucional quienes reúnan la condición de “juristas de reconocida competencia con más de quince años de ejercicio profesional” (art. 159.2 CE), por lo que no es poco común ni puede extrañar que, antes de integrarse en el colegio de magistrados, en el ejercicio de sus respectivas profesiones de procedencia, sus miembros se hayan pronunciado voluntaria u obligadamente sobre materias jurídicas que, finalmente, pueden llegar a ser objeto directo o indirecto de la labor de enjuiciamiento constitucional que tienen legalmente atribuida. Lo que precisa la función jurisdiccional son jueces con una mente abierta a los términos del debate y a sus siempre variadas y diversas soluciones jurídicas que están, normalmente, en función de las circunstancias específicas del caso. Por ello, solo las condiciones y circunstancias en las que ese criterio previo se ha formado, o la relación con el objeto del litigio o con las partes que permita afirmar inclinación de ánimo, son motivos que permitirán fundar una sospecha legítima de inclinación, a favor o en contra, hacia alguna de estas (AATC 18/2006, de 24 de enero, FJ 3, y 107/2021, de 15 de diciembre, FJ 4).</w:t>
      </w:r>
    </w:p>
    <w:p w14:paraId="7328EC60" w14:textId="77777777" w:rsidR="00F64776" w:rsidRDefault="00F64776" w:rsidP="00F64776">
      <w:pPr>
        <w:pStyle w:val="TextoNormal"/>
      </w:pPr>
    </w:p>
    <w:p w14:paraId="30C1672F" w14:textId="7A28D606" w:rsidR="00F64776" w:rsidRDefault="00F64776" w:rsidP="00F64776">
      <w:pPr>
        <w:pStyle w:val="TextoNormal"/>
      </w:pPr>
      <w:r>
        <w:t xml:space="preserve">Finalmente, es preciso resaltar que de manera reiterada este tribunal se ha pronunciado en el sentido de que el mero planteamiento de una recusación contra alguno o algunos de los magistrados o magistradas que lo integran no conlleva, inexcusablemente, su completa tramitación y resolución, pudiendo producirse su rechazo inicial por incumplimiento de los requisitos formales que afectan a la esencia del procedimiento, por no aducirse causa en que legítimamente pueda fundarse la recusación o por no establecerse los hechos que le sirvan de fundamento (STC 47/1982, de 12 de julio, FJ 3). También es lícito inadmitir </w:t>
      </w:r>
      <w:r w:rsidRPr="00F64776">
        <w:rPr>
          <w:i/>
        </w:rPr>
        <w:t>a limine</w:t>
      </w:r>
      <w:r>
        <w:t xml:space="preserve"> las recusaciones que se apoyan en la mera invocación de una causa legal, carente de cualquier vínculo con los hechos que se narran para darle sustento, o de aquellas que se sustentan en meras afirmaciones de imposible encaje en un motivo de recusación y huérfanas de todo sustento en hechos concretos, tales como la atribución de “posiciones cercanas ideológicamente” a las de un partido político [AATC 195/1983, de 4 de mayo, FJ 3, y 107/2021, de 15 de diciembre, FJ 4 c)].</w:t>
      </w:r>
    </w:p>
    <w:p w14:paraId="376BAB98" w14:textId="77777777" w:rsidR="00F64776" w:rsidRDefault="00F64776" w:rsidP="00F64776">
      <w:pPr>
        <w:pStyle w:val="TextoNormal"/>
      </w:pPr>
    </w:p>
    <w:p w14:paraId="42CEFF31" w14:textId="77777777" w:rsidR="00F64776" w:rsidRDefault="00F64776" w:rsidP="00F64776">
      <w:pPr>
        <w:pStyle w:val="TextoNormal"/>
      </w:pPr>
      <w:r w:rsidRPr="00F64776">
        <w:rPr>
          <w:rStyle w:val="NumeroAFNegritaCaracter"/>
        </w:rPr>
        <w:t>4</w:t>
      </w:r>
      <w:r>
        <w:t xml:space="preserve">. </w:t>
      </w:r>
      <w:r w:rsidRPr="00F64776">
        <w:rPr>
          <w:i/>
        </w:rPr>
        <w:t>Análisis de la recusación formulada</w:t>
      </w:r>
    </w:p>
    <w:p w14:paraId="79F778D3" w14:textId="77777777" w:rsidR="00F64776" w:rsidRDefault="00F64776" w:rsidP="00F64776">
      <w:pPr>
        <w:pStyle w:val="TextoNormal"/>
      </w:pPr>
    </w:p>
    <w:p w14:paraId="73070417" w14:textId="77777777" w:rsidR="00F64776" w:rsidRDefault="00F64776" w:rsidP="00F64776">
      <w:pPr>
        <w:pStyle w:val="TextoNormal"/>
      </w:pPr>
      <w:r>
        <w:t>Partiendo de la vinculación directa de la causa de recusación formulada por doña R.O.G., con lo que constituye objeto del proceso constitucional, comenzaremos por efectuar una breve descripción del objeto del proceso en que la recusación ha sido formulada. Dicho objeto viene constituido por las dos resoluciones —la primera dictada por el juzgado de primera instancia, y la segunda desestimatoria del recurso de apelación interpuesto frente a la decisión de la instancia— por las que se concedió al padre de las dos hijas menores de edad de la recurrente en amparo la facultad para decidir acerca de la vacunación de las niñas frente a la covid-19 y para realizar en exclusiva todos los trámites relacionados con las pautas de vacunación contra la covid-19 que fueran dando los organismos públicos de salud respecto de las hijas comunes, mientras durase la pandemia y como máximo con un plazo de dos años. Las dos resoluciones fueron dictadas en el marco de un expediente de jurisdicción voluntaria para resolución de desacuerdo en el ejercicio de la patria potestad en que el padre de las niñas abogaba por la vacunación de estas frente a la covid-19 y la madre, hoy recurrente en amparo, se oponía a dicha vacunación.</w:t>
      </w:r>
    </w:p>
    <w:p w14:paraId="5A7DF948" w14:textId="77777777" w:rsidR="00F64776" w:rsidRDefault="00F64776" w:rsidP="00F64776">
      <w:pPr>
        <w:pStyle w:val="TextoNormal"/>
      </w:pPr>
    </w:p>
    <w:p w14:paraId="13D927A9" w14:textId="77777777" w:rsidR="00F64776" w:rsidRDefault="00F64776" w:rsidP="00F64776">
      <w:pPr>
        <w:pStyle w:val="TextoNormal"/>
      </w:pPr>
      <w:r>
        <w:t>Partiendo del objeto del recurso de amparo, resulta patente, desde este momento preliminar, que los hechos expresados en el escrito de recusación del magistrado señor Campo Moreno carecen de relación suficiente y adecuada con el mismo y no pueden subsumirse jurídicamente en ninguna de las causas de recusación invocadas.</w:t>
      </w:r>
    </w:p>
    <w:p w14:paraId="2109DD33" w14:textId="77777777" w:rsidR="00F64776" w:rsidRDefault="00F64776" w:rsidP="00F64776">
      <w:pPr>
        <w:pStyle w:val="TextoNormal"/>
      </w:pPr>
    </w:p>
    <w:p w14:paraId="54A68887" w14:textId="05B54C29" w:rsidR="00F64776" w:rsidRDefault="00F64776" w:rsidP="00F64776">
      <w:pPr>
        <w:pStyle w:val="TextoNormal"/>
      </w:pPr>
      <w:r>
        <w:t>Así, resulta evidente que del resultado del pleito no puede derivarse un potencial provecho para el magistrado recusado, circunstancia que ni se expresa en el escrito de recusación ni se advierte que concurra en el presente caso. Tampoco se expresa en el escrito de recusación de qué manera el hecho de haber ocupado en el pasado un cargo público sitúa al magistrado recusado en una situación específica en relación con el objeto del recurso que comprometa de modo objetivo su imparcialidad. Descartada toda relación directa o indirecta con el proceso judicial en que fueron adoptadas las resoluciones judiciales —al que es totalmente ajeno—, el único argumento empleado para justificar esa conexión entre el cargo ocupado y el objeto del recurso es que el magistrado ha sido “promotor implícito” de la vacunación frente a la covid-19, argumento que se sitúa en el ámbito de la mera conjetura, que se encuentra huérfano de toda prueba objetiva y que resulta de imposible encaje en un motivo de recusación.</w:t>
      </w:r>
    </w:p>
    <w:p w14:paraId="454D1420" w14:textId="77777777" w:rsidR="00F64776" w:rsidRDefault="00F64776" w:rsidP="00F64776">
      <w:pPr>
        <w:pStyle w:val="TextoNormal"/>
      </w:pPr>
    </w:p>
    <w:p w14:paraId="0EBC895C" w14:textId="77777777" w:rsidR="00F64776" w:rsidRDefault="00F64776" w:rsidP="00F64776">
      <w:pPr>
        <w:pStyle w:val="TextoNormal"/>
      </w:pPr>
      <w:r>
        <w:t>Por lo expuesto, el Pleno</w:t>
      </w:r>
    </w:p>
    <w:p w14:paraId="4A01066A" w14:textId="245FEAB9" w:rsidR="00F64776" w:rsidRDefault="00F64776" w:rsidP="00F64776">
      <w:pPr>
        <w:pStyle w:val="TextoNormal"/>
      </w:pPr>
    </w:p>
    <w:p w14:paraId="573A8E86" w14:textId="77777777" w:rsidR="00F64776" w:rsidRDefault="00F64776" w:rsidP="00F64776">
      <w:pPr>
        <w:pStyle w:val="TextoNormalCentrado"/>
      </w:pPr>
      <w:r>
        <w:t>ACUERDA</w:t>
      </w:r>
    </w:p>
    <w:p w14:paraId="45C173CD" w14:textId="2984659A" w:rsidR="00F64776" w:rsidRDefault="00F64776" w:rsidP="00F64776">
      <w:pPr>
        <w:pStyle w:val="TextoNormalCentrado"/>
      </w:pPr>
    </w:p>
    <w:p w14:paraId="645C40B9" w14:textId="422BDA64" w:rsidR="00F64776" w:rsidRDefault="00F64776" w:rsidP="00F64776">
      <w:pPr>
        <w:pStyle w:val="TextoNormal"/>
      </w:pPr>
      <w:r>
        <w:t>No admitir a trámite la recusación del magistrado señor don Juan Carlos Campo Moreno promovida por la representación procesal de doña R.O.G., en el recurso de amparo núm. 7314-2022.</w:t>
      </w:r>
    </w:p>
    <w:p w14:paraId="0DF5A696" w14:textId="77777777" w:rsidR="00F64776" w:rsidRDefault="00F64776" w:rsidP="00F64776">
      <w:pPr>
        <w:pStyle w:val="TextoNormal"/>
      </w:pPr>
    </w:p>
    <w:p w14:paraId="10C1F38F" w14:textId="77777777" w:rsidR="00F64776" w:rsidRDefault="00F64776" w:rsidP="00F64776">
      <w:pPr>
        <w:pStyle w:val="TextoNormal"/>
      </w:pPr>
      <w:r>
        <w:t>Madrid, a veinticuatro de octubre de dos mil veintitrés.</w:t>
      </w:r>
    </w:p>
    <w:p w14:paraId="2C689729" w14:textId="437BC833" w:rsidR="00F64776" w:rsidRDefault="00F64776">
      <w:pPr>
        <w:spacing w:after="160" w:line="278" w:lineRule="auto"/>
        <w:rPr>
          <w:rFonts w:ascii="Times New Roman" w:eastAsia="Times New Roman" w:hAnsi="Times New Roman" w:cs="Times New Roman"/>
          <w:sz w:val="24"/>
          <w:szCs w:val="24"/>
          <w:lang w:eastAsia="es-ES"/>
        </w:rPr>
      </w:pPr>
      <w:r>
        <w:br w:type="page"/>
      </w:r>
    </w:p>
    <w:p w14:paraId="2BE60CE7" w14:textId="77777777" w:rsidR="00F64776" w:rsidRDefault="00F64776" w:rsidP="00F64776">
      <w:pPr>
        <w:pStyle w:val="TtuloResolucin"/>
      </w:pPr>
      <w:bookmarkStart w:id="270" w:name="AUTO_2023_485"/>
      <w:r>
        <w:t>AUTO 485/2023, de 24 de octubre de 2023</w:t>
      </w:r>
    </w:p>
    <w:bookmarkEnd w:id="270"/>
    <w:p w14:paraId="7F96D530" w14:textId="77777777" w:rsidR="00F64776" w:rsidRDefault="00F64776" w:rsidP="00F64776">
      <w:pPr>
        <w:pStyle w:val="TtuloResolucin"/>
      </w:pPr>
      <w:r>
        <w:t>Pleno</w:t>
      </w:r>
    </w:p>
    <w:p w14:paraId="130964DD" w14:textId="77777777" w:rsidR="00F64776" w:rsidRDefault="00F64776" w:rsidP="00F64776">
      <w:pPr>
        <w:pStyle w:val="TextoNormalCentrado"/>
      </w:pPr>
      <w:r>
        <w:t>ECLI:ES:TC:2023:485A</w:t>
      </w:r>
    </w:p>
    <w:p w14:paraId="631F1E87" w14:textId="3BE31E2C" w:rsidR="00F64776" w:rsidRDefault="00F64776" w:rsidP="00F64776">
      <w:pPr>
        <w:pStyle w:val="TextoNormalCentrado"/>
      </w:pPr>
    </w:p>
    <w:p w14:paraId="04F60757" w14:textId="77777777" w:rsidR="00F64776" w:rsidRDefault="00F64776" w:rsidP="00F64776">
      <w:pPr>
        <w:pStyle w:val="SntesisDescriptiva"/>
      </w:pPr>
      <w:r>
        <w:t>Excms. Srs. don Cándido Conde-Pumpido Tourón, doña Inmaculada Montalbán Huertas, don Ricardo Enríquez Sancho, don Ramón Sáez Valcárcel, don Enrique Arnaldo Alcubilla, doña Concepción Espejel Jorquera, doña María Luisa Segoviano Astaburuaga, don César Tolosa Tribiño, don Juan Carlos Campo Moreno y doña Laura Díez Bueso.</w:t>
      </w:r>
    </w:p>
    <w:p w14:paraId="1A7D492B" w14:textId="0BD1A6BB" w:rsidR="00F64776" w:rsidRDefault="00F64776" w:rsidP="00F64776">
      <w:pPr>
        <w:pStyle w:val="SntesisDescriptiva"/>
      </w:pPr>
    </w:p>
    <w:p w14:paraId="68D88318" w14:textId="77777777" w:rsidR="00F64776" w:rsidRDefault="00F64776" w:rsidP="00F64776">
      <w:pPr>
        <w:pStyle w:val="SntesisDescriptiva"/>
      </w:pPr>
      <w:r>
        <w:t>Desestima el recurso de súplica interpuesto en relación con el ATC 354/2023, de 4 de julio, que inadmitió a trámite el conflicto en defensa de la autonomía local núm. 1631-2023, promovido por el Consell Insular de Formentera en relación con varios preceptos de la Ley del Parlamento de las Illes Balears 6/2022, de 5 de agosto, de archivos y gestión documental de las Illes Balears.</w:t>
      </w:r>
    </w:p>
    <w:p w14:paraId="1D2AC30E" w14:textId="18575159" w:rsidR="00F64776" w:rsidRDefault="00F64776" w:rsidP="00F64776">
      <w:pPr>
        <w:pStyle w:val="SntesisDescriptiva"/>
      </w:pPr>
    </w:p>
    <w:p w14:paraId="4C0D7E78" w14:textId="77777777" w:rsidR="00F64776" w:rsidRDefault="00F64776" w:rsidP="00F64776">
      <w:pPr>
        <w:pStyle w:val="SntesisDescriptiva"/>
      </w:pPr>
    </w:p>
    <w:p w14:paraId="39448F36" w14:textId="77777777" w:rsidR="00F64776" w:rsidRDefault="00F64776" w:rsidP="00F64776">
      <w:pPr>
        <w:pStyle w:val="SntesisDescriptiva"/>
      </w:pPr>
    </w:p>
    <w:p w14:paraId="76FF87E5" w14:textId="77777777" w:rsidR="00F64776" w:rsidRDefault="00F64776" w:rsidP="00F64776">
      <w:pPr>
        <w:pStyle w:val="TextoNormalNegritaCentrado"/>
      </w:pPr>
      <w:r>
        <w:t>AUTO</w:t>
      </w:r>
    </w:p>
    <w:p w14:paraId="7CE65B73" w14:textId="2C4F3DB8" w:rsidR="00F64776" w:rsidRDefault="00F64776" w:rsidP="00F64776">
      <w:pPr>
        <w:pStyle w:val="TextoNormalNegritaCentrado"/>
      </w:pPr>
    </w:p>
    <w:p w14:paraId="42A968A7" w14:textId="77777777" w:rsidR="00F64776" w:rsidRDefault="00F64776" w:rsidP="00F64776">
      <w:pPr>
        <w:pStyle w:val="TextoNormalNegritaCentrado"/>
        <w:keepNext/>
      </w:pPr>
      <w:r>
        <w:t>I. Antecedentes</w:t>
      </w:r>
    </w:p>
    <w:p w14:paraId="2A88F375" w14:textId="62F095A3" w:rsidR="00F64776" w:rsidRDefault="00F64776" w:rsidP="00F64776">
      <w:pPr>
        <w:pStyle w:val="TextoNormalNegritaCentrado"/>
        <w:keepNext/>
      </w:pPr>
    </w:p>
    <w:p w14:paraId="730052D2" w14:textId="77777777" w:rsidR="00F64776" w:rsidRDefault="00F64776" w:rsidP="00F64776">
      <w:pPr>
        <w:pStyle w:val="TextoNormal"/>
      </w:pPr>
      <w:r w:rsidRPr="00F64776">
        <w:rPr>
          <w:rStyle w:val="NumeroAFNegritaCaracter"/>
        </w:rPr>
        <w:t>1</w:t>
      </w:r>
      <w:r>
        <w:t xml:space="preserve">. Mediante escrito presentado en el registro del Tribunal Constitucional el 10 de marzo de 2023, el procurador de los tribunales don Luis Pozas Osset, actuando en nombre y representación del Consell Insular de Formentera, promovió conflicto en defensa de la autonomía local contra los arts. 35, apartados 1, primer inciso </w:t>
      </w:r>
      <w:r w:rsidRPr="00F64776">
        <w:rPr>
          <w:i/>
        </w:rPr>
        <w:t>in fine</w:t>
      </w:r>
      <w:r>
        <w:t xml:space="preserve"> y segundo inciso, letra a), y 2, y 39.6, de la Ley del Parlamento de las Illes Balears 6/2022, de 5 de agosto, de archivos y gestión documental de las Illes Balears (en adelante Ley 6/2022).</w:t>
      </w:r>
    </w:p>
    <w:p w14:paraId="470D4E1C" w14:textId="77777777" w:rsidR="00F64776" w:rsidRDefault="00F64776" w:rsidP="00F64776">
      <w:pPr>
        <w:pStyle w:val="TextoNormal"/>
      </w:pPr>
    </w:p>
    <w:p w14:paraId="35354E42" w14:textId="77777777" w:rsidR="00F64776" w:rsidRDefault="00F64776" w:rsidP="00F64776">
      <w:pPr>
        <w:pStyle w:val="TextoNormal"/>
      </w:pPr>
      <w:r>
        <w:t xml:space="preserve">Por lo que se refiere a la legitimación del Consell Insular de Formentera para promover el conflicto en defensa de la autonomía local respecto de la parte final del primer inciso del art. 35.1 de la Ley 6/2022, se invocaron el art. 75 </w:t>
      </w:r>
      <w:r w:rsidRPr="00F64776">
        <w:rPr>
          <w:i/>
        </w:rPr>
        <w:t>ter</w:t>
      </w:r>
      <w:r>
        <w:t xml:space="preserve"> 1 a) y la disposición adicional tercera, apartado1 de la Ley Orgánica del Tribunal Constitucional (LOTC), ya que se trata de una regla de la que es destinatario único el Consell Insular de Formentera, en lo nocivo para su autonomía —regla que, a su entender, favorece exclusivamente al Ayuntamiento de la ciudad de Ibiza, de cara a la gestión del archivo histórico de su titularidad—, afirmando que el legislador, fruto de un error histórico flagrante, comete una ilegalidad y desconoce que entre 1822 y 1870 hubo un Ayuntamiento de Formentera, y que hay documentos de esa época tanto en el archivo histórico de titularidad del Ayuntamiento de Ibiza como en el archivo del Consell Insular de Formentera. Como justificación de su legitimación invocó la doctrina establecida en la STC 132/2014.</w:t>
      </w:r>
    </w:p>
    <w:p w14:paraId="22975102" w14:textId="77777777" w:rsidR="00F64776" w:rsidRDefault="00F64776" w:rsidP="00F64776">
      <w:pPr>
        <w:pStyle w:val="TextoNormal"/>
      </w:pPr>
    </w:p>
    <w:p w14:paraId="7A38D9C7" w14:textId="77777777" w:rsidR="00F64776" w:rsidRDefault="00F64776" w:rsidP="00F64776">
      <w:pPr>
        <w:pStyle w:val="TextoNormal"/>
      </w:pPr>
      <w:r>
        <w:t xml:space="preserve">Asimismo, se justificó la legitimación del Consell Insular para la interposición del conflicto respecto del art. 35.1, segundo inciso, letra a), de acuerdo también con el art. 75 </w:t>
      </w:r>
      <w:r w:rsidRPr="00F64776">
        <w:rPr>
          <w:i/>
        </w:rPr>
        <w:t>ter</w:t>
      </w:r>
      <w:r>
        <w:t xml:space="preserve"> 1 a) y disposición adicional tercera, apartado 1 LOTC, con cita, nuevamente, de la STC 132/2014; argumentos que se reprodujeron para respaldar la legitimación en cuanto a la impugnación del art. 35.2 de la ley 6/2022, por el absoluto desequilibrio que resulta del precepto, ya que no se prevé ninguna intervención del Consell Insular de Formentera en la gestión del archivo histórico de Ibiza y Formentera, y también con respecto al art. 39.6 que, en contra de lo señalado en el apartado II de la exposición de motivos de la ley, no incluye un régimen de verdadera interinsularidad, y origina un tratamiento desfavorable del que el único sujeto destinatario es el Consell Insular de Formentera.</w:t>
      </w:r>
    </w:p>
    <w:p w14:paraId="2BB9F8FD" w14:textId="77777777" w:rsidR="00F64776" w:rsidRDefault="00F64776" w:rsidP="00F64776">
      <w:pPr>
        <w:pStyle w:val="TextoNormal"/>
      </w:pPr>
    </w:p>
    <w:p w14:paraId="43497EF3" w14:textId="37B8466C" w:rsidR="00F64776" w:rsidRDefault="00F64776" w:rsidP="00F64776">
      <w:pPr>
        <w:pStyle w:val="TextoNormal"/>
      </w:pPr>
      <w:r>
        <w:t xml:space="preserve">Subsidiariamente, se invocó el art. 75 </w:t>
      </w:r>
      <w:r w:rsidRPr="00F64776">
        <w:rPr>
          <w:i/>
        </w:rPr>
        <w:t>ter</w:t>
      </w:r>
      <w:r>
        <w:t>.1 b) LOTC para fundamentar la legitimación, puesto que, de acuerdo con las cifras oficiales vigentes, Formentera es mucho más que un séptimo de los municipios existentes en el ámbito territorial de aplicación, limitado al municipio de Ibiza y a Formentera, y su población representa, como mínimo, un sexto de la población oficial correspondiente a ese ámbito territorial.</w:t>
      </w:r>
    </w:p>
    <w:p w14:paraId="4A20BC22" w14:textId="77777777" w:rsidR="00F64776" w:rsidRDefault="00F64776" w:rsidP="00F64776">
      <w:pPr>
        <w:pStyle w:val="TextoNormal"/>
      </w:pPr>
    </w:p>
    <w:p w14:paraId="3DDC45C6" w14:textId="4C89E460" w:rsidR="00F64776" w:rsidRDefault="00F64776" w:rsidP="00F64776">
      <w:pPr>
        <w:pStyle w:val="TextoNormal"/>
      </w:pPr>
      <w:r w:rsidRPr="00F64776">
        <w:rPr>
          <w:rStyle w:val="NumeroAFNegritaCaracter"/>
        </w:rPr>
        <w:t>2</w:t>
      </w:r>
      <w:r>
        <w:t xml:space="preserve">. El Pleno de este tribunal, por ATC 354/2023 de 4 de julio, acordó inadmitir a trámite el presente conflicto en defensa de la autonomía local (art. 75 </w:t>
      </w:r>
      <w:r w:rsidRPr="00F64776">
        <w:rPr>
          <w:i/>
        </w:rPr>
        <w:t>quinquies</w:t>
      </w:r>
      <w:r>
        <w:t xml:space="preserve"> 1 LOTC), por carecer el Consejo Insular de Formentera de legitimación para interponerlo, ya que no se cumplía ni el requisito exigido por el art. 75 </w:t>
      </w:r>
      <w:r w:rsidRPr="00F64776">
        <w:rPr>
          <w:i/>
        </w:rPr>
        <w:t>ter</w:t>
      </w:r>
      <w:r>
        <w:t xml:space="preserve">.1 a) en relación con la disposición adicional tercera, apartado primero LOTC, en cuanto que no era el destinatario único de los preceptos que pretendía impugnar, ni resultaba de aplicación la regla de legitimación del art. 75 </w:t>
      </w:r>
      <w:r w:rsidRPr="00F64776">
        <w:rPr>
          <w:i/>
        </w:rPr>
        <w:t>ter</w:t>
      </w:r>
      <w:r>
        <w:t>.1 b) LOTC, invocada subsidiariamente.</w:t>
      </w:r>
    </w:p>
    <w:p w14:paraId="029DF65C" w14:textId="77777777" w:rsidR="00F64776" w:rsidRDefault="00F64776" w:rsidP="00F64776">
      <w:pPr>
        <w:pStyle w:val="TextoNormal"/>
      </w:pPr>
    </w:p>
    <w:p w14:paraId="534CFE37" w14:textId="77777777" w:rsidR="00F64776" w:rsidRDefault="00F64776" w:rsidP="00F64776">
      <w:pPr>
        <w:pStyle w:val="TextoNormal"/>
      </w:pPr>
      <w:r w:rsidRPr="00F64776">
        <w:rPr>
          <w:rStyle w:val="NumeroAFNegritaCaracter"/>
        </w:rPr>
        <w:t>3</w:t>
      </w:r>
      <w:r>
        <w:t>. A través de escrito registrado en este tribunal el día 18 de julio de 2023, el procurador de los tribunales don Luis Pozas Osset, actuando en nombre y representación del Consejo Insular de Formentera, interpuso recurso de súplica contra el referido auto de 4 de julio de 2023, que se fundamenta en los argumentos que se sintetizan seguidamente.</w:t>
      </w:r>
    </w:p>
    <w:p w14:paraId="537B5B7F" w14:textId="77777777" w:rsidR="00F64776" w:rsidRDefault="00F64776" w:rsidP="00F64776">
      <w:pPr>
        <w:pStyle w:val="TextoNormal"/>
      </w:pPr>
    </w:p>
    <w:p w14:paraId="35C63996" w14:textId="77777777" w:rsidR="00F64776" w:rsidRDefault="00F64776" w:rsidP="00F64776">
      <w:pPr>
        <w:pStyle w:val="TextoNormal"/>
      </w:pPr>
      <w:r>
        <w:t>En primer lugar, defiende la legitimación innata de Formentera para promover el conflicto por las diferencias entre el texto de la Ley 15/2006 —anterior a la creación del Consell Insular de Formentera— (que se refería al archivo histórico de Ibiza, sin mencionar a Formentera) y el de la Ley 6/2022, que incluye a Formentera en ese archivo, que pasa a ser “archivo histórico de Ibiza y Formentera”, y solo este hecho confiere a Formentera legitimación para impugnar la norma legal que atenta contra su autonomía. Además, la redacción de la parte final del primer inciso del art. 35.1 de dicha ley incurre en una infracción manifiesta, atentando contra la realidad y verdad históricas, obviando que el Ayuntamiento de Formentera se creó en 1822, perdurando hasta 1870 y recuperando nuevamente su independencia en 1889. Ello supone que cualquier documento relativo a la etapa 1822-1870 que aparezca en el futuro debe depositarse en el archivo histórico de Ibiza y Formentera, teniendo el Ayuntamiento de Ibiza, titular del mismo, preferencia para el ejercicio de los derechos de tanteo y retracto previstos en el art. 43 de la Ley 6/2022. Por tanto, estamos ante un régimen que perpetúa la sujeción de Formentera al Ayuntamiento de Ibiza, resucitando así una especie de agregación territorial en materia de archivos y patrimonio documental, siendo el destinatario único, en la restricción, en los efectos limitadores, en lo desfavorable y en lo nocivo para su autonomía, el Consell Insular de Formentera, mientras que el Ayuntamiento de Ibiza recibe con esta regla un régimen exorbitante de cara a la gestión del archivo de su titularidad. Y sobre estas cuestiones, nada dice el auto que ahora se impugna.</w:t>
      </w:r>
    </w:p>
    <w:p w14:paraId="48D7A4D3" w14:textId="77777777" w:rsidR="00F64776" w:rsidRDefault="00F64776" w:rsidP="00F64776">
      <w:pPr>
        <w:pStyle w:val="TextoNormal"/>
      </w:pPr>
    </w:p>
    <w:p w14:paraId="013F7159" w14:textId="77777777" w:rsidR="00F64776" w:rsidRDefault="00F64776" w:rsidP="00F64776">
      <w:pPr>
        <w:pStyle w:val="TextoNormal"/>
      </w:pPr>
      <w:r>
        <w:t>La misma alegación se extiende al art. 35.1, segundo inciso, letra a), que atentaría contra la autonomía del Consell, señalando el recurso que, pudiendo contar, en cuanto tal, con un archivo histórico destinado a recoger, conservar, organizar, describir, servir y divulgar sus fondos documentales, si entre ellos hay algunos que se refieren a instituciones históricas comunes a las Pitiusas, o aparecen en el futuro documentos en donde se mencione solo a Formentera, el Consell Insular deja de ser competente en favor del archivo histórico de titularidad de la ciudad de Ibiza.</w:t>
      </w:r>
    </w:p>
    <w:p w14:paraId="6EC9D0AD" w14:textId="77777777" w:rsidR="00F64776" w:rsidRDefault="00F64776" w:rsidP="00F64776">
      <w:pPr>
        <w:pStyle w:val="TextoNormal"/>
      </w:pPr>
    </w:p>
    <w:p w14:paraId="1B363202" w14:textId="77777777" w:rsidR="00F64776" w:rsidRDefault="00F64776" w:rsidP="00F64776">
      <w:pPr>
        <w:pStyle w:val="TextoNormal"/>
      </w:pPr>
      <w:r>
        <w:t xml:space="preserve">Y, en cuanto al art. 35.2, no solo se demuestra la plena legitimación de Formentera (porque nadie más en la ley se ve sujeto a un régimen de eventuales acuerdos con el Ayuntamiento de Ibiza), sino que se explicita de manera patente la lesión de la autonomía de Formentera y su Consell Insular, ya que no se establece ningún tipo de intervención reglada de este en algún órgano asesor de coordinación interadministrativa, o equivalente, para la gestión del archivo histórico de Ibiza y Formentera, lo cual no ha merecido atención alguna en el auto impugnado que, al contrario, considera esa previsión legal de posibles acuerdos como una prerrogativa del Consell Insular de Formentera, a pesar de que tales acuerdos son eventuales y potestativos, y que el precepto establece una realidad estructural e incontrovertible de absoluto desequilibrio y falta de igualdad, que debería haber sido visto por el tribunal en sede de legitimación, ya que poco puede hacer el Consell Insular de Formentera si el Ayuntamiento de Ibiza no quiere llegar a ningún acuerdo de colaboración. Se recuerda en el recurso la propuesta formulada en su día, que no se aprobó en el Parlamento de las Illes Balears, que paliaba la situación a la que conduce el art. 35.2, sobre la cual tampoco se ha pronunciado el tribunal, y vuelve a citar la Ley 16/2019, de 8 de abril, del estatuto especial de capitalidad de la ciudad de Eivissa, que contempla la presencia del Consell Insular de Formentera en el consejo de capitalidad de la ciudad, de donde se debería haber extraído la evidencia de la legitimación del Consell Insular de Formentera </w:t>
      </w:r>
      <w:r w:rsidRPr="00F64776">
        <w:rPr>
          <w:i/>
        </w:rPr>
        <w:t>ex</w:t>
      </w:r>
      <w:r>
        <w:t xml:space="preserve"> art. 75 </w:t>
      </w:r>
      <w:r w:rsidRPr="00F64776">
        <w:rPr>
          <w:i/>
        </w:rPr>
        <w:t>ter</w:t>
      </w:r>
      <w:r>
        <w:t>.1 a), en relación con la disposición adicional tercera, apartado1 LOTC, como único destinatario de la incorrecta regulación del sistema ideado por el referido precepto.</w:t>
      </w:r>
    </w:p>
    <w:p w14:paraId="0CD18CB8" w14:textId="77777777" w:rsidR="00F64776" w:rsidRDefault="00F64776" w:rsidP="00F64776">
      <w:pPr>
        <w:pStyle w:val="TextoNormal"/>
      </w:pPr>
    </w:p>
    <w:p w14:paraId="06B4EF1A" w14:textId="77777777" w:rsidR="00F64776" w:rsidRDefault="00F64776" w:rsidP="00F64776">
      <w:pPr>
        <w:pStyle w:val="TextoNormal"/>
      </w:pPr>
      <w:r>
        <w:t>Por lo que se refiere al art. 39.6, afirma el recurso que yerra de manera manifiesta la Ley 6/2022 al no reconocer la particularidad de Formentera, pues, en el caso del archivo histórico de Ibiza y Formentera, la realidad se vuelve interinsular, tal como estableció la exposición de motivos (apartado II), extremo en el que el auto impugnado no acaba de comprender ni reflejar el sentido o valor exacto de la ley, pues la determinación de que los tres archivos a los que se refiere deben alcanzar la misma categoría y consideración que los otros archivos históricos en las Illes Balears, no es porque pasen a ser autonómicos o muten su consideración, estado o titularidad, neutralizando la legitimación de Formentera, sino que, únicamente, como se señala en la exposición de motivos, se pretende que se dote con medios materiales y de personal el sistema archivístico de las Illes Balears. De esta forma, al no haber sabido el legislador redactar en sede normativa lo que había dicho en la parte expositiva, otorga a Formentera respecto al archivo histórico de Ibiza y Formentera una legitimación especial para impugnar este precepto, como destinatario único de los efectos limitadores, lesivos, desfavorables y nocivos para su autonomía, por no haber recogido la variable de lo que significa Formentera ni su relación de interinsularidad con Ibiza, invocando en tal sentido la doctrina del destinatario único de la STC 132/2014.</w:t>
      </w:r>
    </w:p>
    <w:p w14:paraId="116F4138" w14:textId="77777777" w:rsidR="00F64776" w:rsidRDefault="00F64776" w:rsidP="00F64776">
      <w:pPr>
        <w:pStyle w:val="TextoNormal"/>
      </w:pPr>
    </w:p>
    <w:p w14:paraId="114C8992" w14:textId="77777777" w:rsidR="00F64776" w:rsidRDefault="00F64776" w:rsidP="00F64776">
      <w:pPr>
        <w:pStyle w:val="TextoNormal"/>
      </w:pPr>
      <w:r>
        <w:t xml:space="preserve">A continuación, se dedica el recurso a combatir detalladamente los razonamientos del auto impugnado sobre la legitimación del Consell Insular de Formentera </w:t>
      </w:r>
      <w:r w:rsidRPr="00F64776">
        <w:rPr>
          <w:i/>
        </w:rPr>
        <w:t>ex</w:t>
      </w:r>
      <w:r>
        <w:t xml:space="preserve"> art. 75 </w:t>
      </w:r>
      <w:r w:rsidRPr="00F64776">
        <w:rPr>
          <w:i/>
        </w:rPr>
        <w:t>ter</w:t>
      </w:r>
      <w:r>
        <w:t xml:space="preserve"> 1 a) LOTC, refiriéndose a la doctrina sobre la expresión “destinatario único” de las SSTC 121/2012 y 37/2014, añadiendo —según afirma— unos matices que el auto no ha sabido ver. Precisa que son cuatro las normas impugnadas y que la impugnación a la hora de valorar aquel concepto lo es en relación con cada referencia concreta, especificando respecto de cada una de ellas los motivos por los que considera que son un ejemplo claro de “destinatario único” de un mal infligido al actual Consell Insular de Formentera, en los mismos términos ya expuestos anteriormente. Con invocación de la doctrina de la STC 121/2012 respecto al entendimiento de la expresión “destinatario único” que emplea la Ley Orgánica del Tribunal Constitucional, sostiene el recurso la evidencia, por las razones ya reseñadas y que se reiteran, de que Formentera y su consell insular es el destinatario único de los preceptos que se impugnan, reclamando una interpretación teleológica, </w:t>
      </w:r>
      <w:r w:rsidRPr="00F64776">
        <w:rPr>
          <w:i/>
        </w:rPr>
        <w:t>ex</w:t>
      </w:r>
      <w:r>
        <w:t xml:space="preserve"> art. 3.1 del Código civil, de la Ley Orgánica del Tribunal Constitucional en lo relativo a la legitimación en el supuesto de conflictos en defensa de la autonomía local. También alude a la STC 37/2014, FJ 2, conforme a la cual el concepto de destinatario único debe ser determinado caso por caso, que es lo que se hizo en la demanda y se vuelve a hacer en el recurso para demostrar que, en todos los casos de los preceptos impugnados, “el Consell Insular de Formentera es el destinatario único de lo desfavorable, de las restricciones, de las exclusiones y, en fin, de la vulneración de la autonomía que, constitucional y estatutariamente, le corresponde”.</w:t>
      </w:r>
    </w:p>
    <w:p w14:paraId="695D26A9" w14:textId="77777777" w:rsidR="00F64776" w:rsidRDefault="00F64776" w:rsidP="00F64776">
      <w:pPr>
        <w:pStyle w:val="TextoNormal"/>
      </w:pPr>
    </w:p>
    <w:p w14:paraId="4A40335D" w14:textId="77777777" w:rsidR="00F64776" w:rsidRDefault="00F64776" w:rsidP="00F64776">
      <w:pPr>
        <w:pStyle w:val="TextoNormal"/>
      </w:pPr>
      <w:r>
        <w:t xml:space="preserve">Abordando la discusión de la fundamentación del ATC 354/2023, se refiere el recurso en primer lugar a la argumentación sobre el carácter general de la regulación de la Ley 6/2022, alegando que no se ha tenido en cuenta que, fruto de las particularidades del Estatuto de Autonomía, la relevancia autonómica de todos esos fondos documentales está insularizada e interiorizada en favor de los consells insulares, incluido el de Formentera. No hay que partir de la competencia exclusiva, pero abstracta, de la Comunidad Autónoma de las Illes Balears frente al Estado en la materia </w:t>
      </w:r>
      <w:r w:rsidRPr="00F64776">
        <w:rPr>
          <w:i/>
        </w:rPr>
        <w:t>ex</w:t>
      </w:r>
      <w:r>
        <w:t xml:space="preserve"> arts. 30, apartados 24 y 25, y 32.5 del Estatuto de Autonomía de las Illes Balears (EAIB), sino que es preciso tomar en consideración el reparto interno de las competencias entre los poderes públicos en el archipiélago; competencias que ha perdido el Gobierno de la comunidad autónoma, siendo ahora la administración autonómica en la materia la respectiva de cada consell insular, en una suerte de federalismo balear interno. En este sentido, se menciona la Ley 6/1994, de 13 de diciembre, de atribución de competencias a los consells insulares, entre otras, en materia de patrimonio histórico, conforme a cuyo art. 2 asumen todas las competencias que habían sido asumidas por la Comunidad Autónoma de las Illes Balears en materia de patrimonio histórico. Asimismo, invoca las competencias del art. 70, apartados 2, 6 y 19 EAIB, y el art. 75.4 EAIB, en cuanto a la autonomía municipal, dado que el Consell Insular de Formentera también administra un municipio, señalando la importancia de los consells insulares como instituciones de autogobierno de las Illes Balears, con un importante haz competencial de rango autonómico, que se refleja precisamente en el ámbito de los archivos y el patrimonio documental. De modo que, aunque los documentos pertenezcan al patrimonio de la comunidad autónoma, ello no impide que el Consell Insular de Formentera reivindique las competencias administrativas que le corresponden por el Estatuto de Autonomía de las Illes Balears para mejor gestionarlos en el archivo histórico objeto de la controversia.</w:t>
      </w:r>
    </w:p>
    <w:p w14:paraId="2BD92667" w14:textId="77777777" w:rsidR="00F64776" w:rsidRDefault="00F64776" w:rsidP="00F64776">
      <w:pPr>
        <w:pStyle w:val="TextoNormal"/>
      </w:pPr>
    </w:p>
    <w:p w14:paraId="62EF5244" w14:textId="77777777" w:rsidR="00F64776" w:rsidRDefault="00F64776" w:rsidP="00F64776">
      <w:pPr>
        <w:pStyle w:val="TextoNormal"/>
      </w:pPr>
      <w:r>
        <w:t xml:space="preserve">Discute el recurso la argumentación del auto respecto a la inaplicabilidad en este caso de la doctrina establecida en la STC 132/2014. Frente a lo que en la resolución impugnada se dijo, se defiende que existen notables coincidencias, que se manifiestan, sobre todo, en dos de las normas impugnadas: por una parte, en el art. 35.1, primer inciso, parte final, en el que no aparece citado nada más que Formentera, que es el destinatario único de una regla que contiene un error histórico incontestable, con las repercusiones que ello tiene a propósito de la documentación que pudiera aparecer en la isla de la época de 1822 a 1870, y el consiguiente interés prevalente y exclusivo del Consell Insular de Formentera para que se custodie y deposite en esta isla y no en la Ciudad de Ibiza. Por otra parte, en el supuesto del art. 35.2, que regula la situación especial del Consell Insular de Formentera en el archivo histórico de Ibiza y Formentera, frente al Ayuntamiento de la ciudad de Ibiza, lo que para ese tribunal constituye una prerrogativa, es eventual, no categórica ni imperativa, ya que el régimen de relación que se establece la ley lo fija como potestativo, sin establecer ningún tipo de intervención reglada del Consell Insular de Formentera en un órgano asesor o equivalente para la gestión del archivo. De lo anterior se sigue que el art. 35.2 contiene un destinatario único favorecido (el Ayuntamiento de la ciudad de Ibiza) y un destinatario único perjudicado (el Consell Insular de Formentera), al igual que en el caso de la STC 132/2014. Finaliza este apartado refiriéndose a la necesidad de enfocar la cuestión de la legitimación a partir del desarrollo teleológico de la doctrina elaborada en la STC 240/2006, primera sentencia en la materia, donde se habla de “destinatario único, si bien dual”, al referirse a Ceuta y Melilla, por la impugnación que hizo la ciudad de Ceuta en relación con el art. 68 de la Ley 55/1999, si bien en aquel caso, el tribunal, ante la invocación de que se cumplían los requisitos de las letras a) y b) del art. 75 </w:t>
      </w:r>
      <w:r w:rsidRPr="00F64776">
        <w:rPr>
          <w:i/>
        </w:rPr>
        <w:t>ter</w:t>
      </w:r>
      <w:r>
        <w:t xml:space="preserve"> 1 LOTC, entró en el fondo del asunto a partir de la legitimación derivada del segundo supuesto, pero explicitó que las variables futuras que podían acontecer eran diversas.</w:t>
      </w:r>
    </w:p>
    <w:p w14:paraId="6D13E022" w14:textId="77777777" w:rsidR="00F64776" w:rsidRDefault="00F64776" w:rsidP="00F64776">
      <w:pPr>
        <w:pStyle w:val="TextoNormal"/>
      </w:pPr>
    </w:p>
    <w:p w14:paraId="3AB7AF58" w14:textId="77777777" w:rsidR="00F64776" w:rsidRDefault="00F64776" w:rsidP="00F64776">
      <w:pPr>
        <w:pStyle w:val="TextoNormal"/>
      </w:pPr>
      <w:r>
        <w:t>Rebate el recurso el razonamiento del fundamento jurídico 4 c) del auto impugnado, defendiendo la plena corrección de la impugnación de referencias concretas, apartados, incisos y letras de los arts. 35 y 39.6 de la Ley 6/2022 y no de la totalidad de estos preceptos, pues, según alega, no existe en la Ley Orgánica del Tribunal Constitucional ninguna regla que obligue a impugnar la totalidad de la ley, sino solo aquellas partes de ella que, efectivamente, vulneren la autonomía local, que es lo que ocurre con las referencias concretas de los arts. 35 y 39.6 de la Ley 6/2022 objeto estricto de impugnación, en cuanto son las partes que laminan o restringen su autonomía. Se opone a que tuviera que impugnar las letras b) y c), porque la eventual competencia archivística del Consell Insular de Formentera sería muy menor (pues las instituciones del Estado tienen su sede en la ciudad de Ibiza) o muy limitada (ya que la única notaría existente en Formentera se creó en 1968, por lo que habría que esperar hasta después de 2068 para pensar en los protocolos notariales). De otro lado, se señala que no se alcanza a comprender cómo es que no se resuelve exactamente lo que el consell insular ha impugnado, y se trae a colación lo que no ha sido objeto del conflicto, ya que en esos complejísimos arts. 35 y 39.6 se entremezclan ámbitos territoriales de aplicación diversos e intereses que trascienden los del Consell Insular de Formentera. En suma, considera que, entenderlo de otra manera, como se pretende en el auto que se impugna, implicaría el desamparo del ente o entes locales concernidos, a los que se dejaría sin capacidad de reacción efectiva ante normas que atentan de manera flagrante a la autonomía local, cuando no “con reglas de redacción errónea desde el punto de vista de referir hechos históricos inconcusos, pero con repercusión en el presente, y hacia el futuro”. Expuesto esto, reitera que lo que se impugna son las referencias concretas del art. 35.1 anteriormente reseñadas [primer inciso, parte final, y segundo inciso, letra a)], el apartado 2 completo del mismo art. 35, y el art. 39.6, reproduciendo respecto de cada uno de ellos los motivos por los que solo el Consell Insular de Formentera se ve afectado por su contenido (motivos ya expuestos con anterioridad), lo que le atribuye legitimación para promover el conflicto.</w:t>
      </w:r>
    </w:p>
    <w:p w14:paraId="18BE7EBC" w14:textId="77777777" w:rsidR="00F64776" w:rsidRDefault="00F64776" w:rsidP="00F64776">
      <w:pPr>
        <w:pStyle w:val="TextoNormal"/>
      </w:pPr>
    </w:p>
    <w:p w14:paraId="688B8D67" w14:textId="77777777" w:rsidR="00F64776" w:rsidRDefault="00F64776" w:rsidP="00F64776">
      <w:pPr>
        <w:pStyle w:val="TextoNormal"/>
      </w:pPr>
      <w:r>
        <w:t>El recurso muestra igualmente su discrepancia respecto a la argumentación del auto objeto del recurso de súplica respecto a que la singularidad institucional de Formentera no es relevante a los efectos de la aplicación de la doctrina de la STC 121/2012, puesto que, precisamente, la peculiaridad de Formentera y su normal desarrollo y ejercicio, con el añadido de ser la única institución destinataria de las reglas impugnadas, desde una perspectiva estricta de afectación desfavorable, se ve frustrada, abortada, restringida por tales normas en la forma que describe el recurso para cada una de ellas, en los mismos términos expuestos en diversas ocasiones a lo largo del escrito.</w:t>
      </w:r>
    </w:p>
    <w:p w14:paraId="77DDC423" w14:textId="77777777" w:rsidR="00F64776" w:rsidRDefault="00F64776" w:rsidP="00F64776">
      <w:pPr>
        <w:pStyle w:val="TextoNormal"/>
      </w:pPr>
    </w:p>
    <w:p w14:paraId="692ACED7" w14:textId="77777777" w:rsidR="00F64776" w:rsidRDefault="00F64776" w:rsidP="00F64776">
      <w:pPr>
        <w:pStyle w:val="TextoNormal"/>
      </w:pPr>
      <w:r>
        <w:t>También manifiesta el Consell Insular de Formentera su disconformidad con la consideración del auto de que se le reconoce una pretendida prerrogativa ante el Ayuntamiento de la ciudad de Ibiza para participar en el archivo histórico de Ibiza y Formentera, reiterando que los sujetos que aparecen citados a propósito del régimen de tal archivo no son otros que el Ayuntamiento de Ibiza y el Consell Insular de Formentera, sin que pueda perjudicar a este el que, eventualmente, debiera haberse previsto la presencia de otros sujetos que, para mayor significación, nada han alegado, ni reivindicado, ni objetado. Todo queda al albur de lo que, finalmente, decida el Ayuntamiento de Ibiza, si quiere implementarlo, faltando un órgano asesor o de coordinación interadministrativo destinado a este concreto menester, como casi se llega a aprobar en el Parlamento Balear, y, en fin, como reitera el propio auto al transcribir el art. 20.1 de la ley.</w:t>
      </w:r>
    </w:p>
    <w:p w14:paraId="0E8AC9C1" w14:textId="77777777" w:rsidR="00F64776" w:rsidRDefault="00F64776" w:rsidP="00F64776">
      <w:pPr>
        <w:pStyle w:val="TextoNormal"/>
      </w:pPr>
    </w:p>
    <w:p w14:paraId="6D50C1F3" w14:textId="77777777" w:rsidR="00F64776" w:rsidRDefault="00F64776" w:rsidP="00F64776">
      <w:pPr>
        <w:pStyle w:val="TextoNormal"/>
      </w:pPr>
      <w:r>
        <w:t>Para concluir con la crítica al fundamento jurídico 4 del auto recurrido, se expone que el auténtico sentido y valor de lo establecido en el art. 39.6 de la Ley 6/2022, a propósito del interés para el conjunto de la Comunidad Autónoma de las Illes Balears de los fondos documentales conservados en el archivo histórico de Ibiza y Formentera (así como en el de Ciutadella y en el de Palma), es el de dotarlos con medios personales y materiales efectivos (según palabras textuales de la exposición de motivos, apartado I, al referir los ejes fundamentales de la nueva ley), al igual que se decía en la disposición adicional cuarta de la Ley 15/2006, pero sin que ello implique mutar esos archivos históricos y convertirlos en archivos autonómicos, reconocerles un alcance general innominado o negar la capacidad del Consell Insular de Formentera para impugnar el régimen del archivo histórico de Ibiza y Formentera, en cuanto único destinatario del hecho de la interinsularidad no implementada.</w:t>
      </w:r>
    </w:p>
    <w:p w14:paraId="3F551DD0" w14:textId="77777777" w:rsidR="00F64776" w:rsidRDefault="00F64776" w:rsidP="00F64776">
      <w:pPr>
        <w:pStyle w:val="TextoNormal"/>
      </w:pPr>
    </w:p>
    <w:p w14:paraId="0778BA03" w14:textId="77777777" w:rsidR="00F64776" w:rsidRDefault="00F64776" w:rsidP="00F64776">
      <w:pPr>
        <w:pStyle w:val="TextoNormal"/>
      </w:pPr>
      <w:r>
        <w:t>Por todo lo anterior se manifiesta la oposición a la conclusión que se alcanza en el FJ 4 del ATC 354/2023, pues de lo expuesto en el recurso de súplica se demuestra que el Consell Insular de Formentera es el destinatario único, de la manera descrita (destinatario único directo, incluso en un caso, y destinatario único “contrapuesto”, “cruzado” o “antitético” en los otros), de las referencias concretas, apartados, incisos y letras de los arts. 35 y 39.6 de la Ley 6/2022 que el recurso específica en los mismos términos que en apartados anteriores.</w:t>
      </w:r>
    </w:p>
    <w:p w14:paraId="2855DC97" w14:textId="77777777" w:rsidR="00F64776" w:rsidRDefault="00F64776" w:rsidP="00F64776">
      <w:pPr>
        <w:pStyle w:val="TextoNormal"/>
      </w:pPr>
    </w:p>
    <w:p w14:paraId="64896330" w14:textId="77777777" w:rsidR="00F64776" w:rsidRDefault="00F64776" w:rsidP="00F64776">
      <w:pPr>
        <w:pStyle w:val="TextoNormal"/>
      </w:pPr>
      <w:r>
        <w:t xml:space="preserve">Acomete a continuación el escrito de recurso el desarrollo de los argumentos sobre la legitimación, adicional o subsidiaria, del Consell Insular de Formentera </w:t>
      </w:r>
      <w:r w:rsidRPr="00F64776">
        <w:rPr>
          <w:i/>
        </w:rPr>
        <w:t>ex</w:t>
      </w:r>
      <w:r>
        <w:t xml:space="preserve"> art. 75 </w:t>
      </w:r>
      <w:r w:rsidRPr="00F64776">
        <w:rPr>
          <w:i/>
        </w:rPr>
        <w:t>ter</w:t>
      </w:r>
      <w:r>
        <w:t xml:space="preserve"> 1 b) LOTC, afirmando que hay una serie de matices que el auto de 4 de julio no ha sabido ver, pues la realidad descrita se subsume perfectamente en los requisitos de que trata aquel precepto. Menciona la STC 240/2006, referida a un conflicto en el que la ciudad de Ceuta hizo uso de las dos vías [la del epígrafe a) y la del epígrafe b) del art. 75 </w:t>
      </w:r>
      <w:r w:rsidRPr="00F64776">
        <w:rPr>
          <w:i/>
        </w:rPr>
        <w:t>ter</w:t>
      </w:r>
      <w:r>
        <w:t xml:space="preserve"> 1 LOTC], y el tribunal no dijo que fueran contradictorias, sino que directamente trató el asunto entrando en el fondo, justo a partir de la legitimación derivada del epígrafe b), por la vía de la población y los municipios concernidos y no por la del epígrafe a) (la del ente local destinatario único, si bien dual), pero aceptando que se invocaran ambas vías. Y eso es lo que se ha hecho en este caso, en el que, a diferencia del ATC 168/2015, FJ 3, reproducido en el auto impugnado, se trata de reglas complementarias. Se expone la razón por la que el Ayuntamiento de la ciudad de Ibiza es el titular del archivo histórico, con ese concreto contenido documental, respecto a Formentera, que es la historia, el devenir del tiempo y la realidad administrativa de la relación de Formentera con la ciudad de Ibiza. Pero, sobre todo, y aquí está la clave de cuanto se trata, la relación no lo ha sido, desde un enfoque estricto y efectuado desde Formentera, con ningún otro ente o sujeto administrativo de la isla de Ibiza; únicamente con la ciudad de Ibiza, porque su ayuntamiento es el titular del archivo histórico en cuestión. Esos son los dos únicos sujetos: el Ayuntamiento de Ibiza y el Consell Insular de Formentera, órgano de gobierno del municipio de Formentera (a su vez, isla, geográfica y administrativa). Y se cumplen las exigencias del art. 75 </w:t>
      </w:r>
      <w:r w:rsidRPr="00F64776">
        <w:rPr>
          <w:i/>
        </w:rPr>
        <w:t>ter</w:t>
      </w:r>
      <w:r>
        <w:t xml:space="preserve"> 1 b) LOTC, tanto en cuanto población (más de un sexto de la población del municipio de Ibiza y del municipio de Formentera) como en cuanto a los municipios existentes en el ámbito territorial de aplicación de la norma (más de un séptimo de los mismos, puesto que es la mitad de ellos). Disiente, por último, de la apreciación del auto en cuanto a su legitimación, puesto que existe un error de conceptuación de la naturaleza jurídica especial del Consell Insular de Formentera, que incorpora e integra al Ayuntamiento de Formentera, con arreglo al art. 63.2 EAIB y a los arts. 1.3 y 129 y siguientes de la ley 4/2022, de 28 de julio, de consells insulares, que le da la categoría de consell insular unimunicipal, aunque actúe siempre desde su condición de consell insular, con independencia de la naturaleza jurídica múltiple que tiene. En consecuencia, la intervención del municipio de Formentera se ejercerá siempre por el consell insular, con arreglo al art. 129.3 de la Ley de consells insulares, en ejercicio de las competencias municipales que atesora. No es, por tanto, que el consell insular adopte una posición u otra a su conveniencia para justificar la legitimación, sino que siempre actúa el consell, bien sea en ejercicio de las competencias municipales, bien sea en ejercicio de las competencias insulares. Pero, asimismo, la intervención de la isla de Formentera a los efectos de la legitimación está reconocida por la disposición adicional tercera, apartado 1 LOTC, lo que hay que poner en relación, a su vez, con lo establecido en el art. 75 </w:t>
      </w:r>
      <w:r w:rsidRPr="00F64776">
        <w:rPr>
          <w:i/>
        </w:rPr>
        <w:t>ter</w:t>
      </w:r>
      <w:r>
        <w:t xml:space="preserve"> 1 c) LOTC sobre la legitimación. Y, además, la Ley Orgánica del Tribunal Constitucional amplía a nivel autonómico balear la posibilidad de los sujetos legitimados, en tanto que islas administrativas y sus respectivos consells, en la disposición adicional tercera, apartado 2 LOTC.</w:t>
      </w:r>
    </w:p>
    <w:p w14:paraId="29F6816D" w14:textId="77777777" w:rsidR="00F64776" w:rsidRDefault="00F64776" w:rsidP="00F64776">
      <w:pPr>
        <w:pStyle w:val="TextoNormal"/>
      </w:pPr>
    </w:p>
    <w:p w14:paraId="1A222C7D" w14:textId="67843F80" w:rsidR="00F64776" w:rsidRDefault="00F64776" w:rsidP="00F64776">
      <w:pPr>
        <w:pStyle w:val="TextoNormal"/>
      </w:pPr>
      <w:r>
        <w:t xml:space="preserve">Por todo lo anterior, concluye el escrito que existen razones bastantes para la plena estimación del recurso de súplica, bien sea por la vía del art. 75 </w:t>
      </w:r>
      <w:r w:rsidRPr="00F64776">
        <w:rPr>
          <w:i/>
        </w:rPr>
        <w:t>ter</w:t>
      </w:r>
      <w:r>
        <w:t xml:space="preserve">.1 a) LOTC, a propósito del desarrollo de la doctrina sentada en la STC 240/2006, y, sobre todo, de la doctrina contenida en la STC 132/2014 y su progresividad interpretativa, en relación con el concepto del destinatario único, bien sea, subsidiaria o adicionalmente, por la vía del art. 75 </w:t>
      </w:r>
      <w:r w:rsidRPr="00F64776">
        <w:rPr>
          <w:i/>
        </w:rPr>
        <w:t>ter</w:t>
      </w:r>
      <w:r>
        <w:t>.1 b) LOTC, a propósito del desarrollo, igualmente en progresividad, del concepto del ámbito territorial y de la historia, sustantivados como expresión de la relación cierta existente entre el Ayuntamiento de la Ciudad de Ibiza y el Consell Insular de Formentera (heredero del Ayuntamiento de Formentera, y ente de gobierno insular y del municipio de Formentera).</w:t>
      </w:r>
    </w:p>
    <w:p w14:paraId="2595089E" w14:textId="77777777" w:rsidR="00F64776" w:rsidRDefault="00F64776" w:rsidP="00F64776">
      <w:pPr>
        <w:pStyle w:val="TextoNormal"/>
      </w:pPr>
    </w:p>
    <w:p w14:paraId="25C4149F" w14:textId="77777777" w:rsidR="00F64776" w:rsidRDefault="00F64776" w:rsidP="00F64776">
      <w:pPr>
        <w:pStyle w:val="TextoNormalNegritaCentrado"/>
        <w:keepNext/>
      </w:pPr>
      <w:r>
        <w:t>II. Fundamentos jurídicos</w:t>
      </w:r>
    </w:p>
    <w:p w14:paraId="62CF1A29" w14:textId="3E2B7F6C" w:rsidR="00F64776" w:rsidRDefault="00F64776" w:rsidP="00F64776">
      <w:pPr>
        <w:pStyle w:val="TextoNormalNegritaCentrado"/>
        <w:keepNext/>
      </w:pPr>
    </w:p>
    <w:p w14:paraId="4AF73B08" w14:textId="77777777" w:rsidR="00F64776" w:rsidRDefault="00F64776" w:rsidP="00F64776">
      <w:pPr>
        <w:pStyle w:val="TextoNormal"/>
      </w:pPr>
      <w:r w:rsidRPr="00F64776">
        <w:rPr>
          <w:rStyle w:val="NumeroAFNegritaCaracter"/>
        </w:rPr>
        <w:t>1</w:t>
      </w:r>
      <w:r>
        <w:t xml:space="preserve">. El Consell Insular de Formentera ha interpuesto recurso de súplica contra el ATC 354/2023, de 4 de julio, por el que se inadmitió, el conflicto en defensa de la autonomía local promovido por dicho consell contra los arts. 35, apartados 1, primer inciso, </w:t>
      </w:r>
      <w:r w:rsidRPr="00F64776">
        <w:rPr>
          <w:i/>
        </w:rPr>
        <w:t>in fine</w:t>
      </w:r>
      <w:r>
        <w:t xml:space="preserve"> y segundo inciso, letra a), y 2; y 39.6, de la Ley del Parlamento de las Illes Balears 6/2022, de 5 de agosto, de archivos y gestión documental de las Illes Balears.</w:t>
      </w:r>
    </w:p>
    <w:p w14:paraId="6F672126" w14:textId="77777777" w:rsidR="00F64776" w:rsidRDefault="00F64776" w:rsidP="00F64776">
      <w:pPr>
        <w:pStyle w:val="TextoNormal"/>
      </w:pPr>
    </w:p>
    <w:p w14:paraId="1C709CB7" w14:textId="54193F9E" w:rsidR="00F64776" w:rsidRDefault="00F64776" w:rsidP="00F64776">
      <w:pPr>
        <w:pStyle w:val="TextoNormal"/>
      </w:pPr>
      <w:r>
        <w:t xml:space="preserve">La decisión de inadmisión se fundamentó en la carencia del requisito de la legitimación previsto en el art. 75 </w:t>
      </w:r>
      <w:r w:rsidRPr="00F64776">
        <w:rPr>
          <w:i/>
        </w:rPr>
        <w:t>ter</w:t>
      </w:r>
      <w:r>
        <w:t xml:space="preserve">.1 LOTC, ya que no concurrían ninguno de los dos supuestos que se invocaban: el del art. 75 </w:t>
      </w:r>
      <w:r w:rsidRPr="00F64776">
        <w:rPr>
          <w:i/>
        </w:rPr>
        <w:t>ter</w:t>
      </w:r>
      <w:r>
        <w:t xml:space="preserve">.1 a) LOTC, en relación con la disposición adicional tercera, apartado primero de la misma ley, porque el Consell Insular de Formentera no es el destinatario único de las normas objeto del conflicto; y el del art. 75 </w:t>
      </w:r>
      <w:r w:rsidRPr="00F64776">
        <w:rPr>
          <w:i/>
        </w:rPr>
        <w:t>ter</w:t>
      </w:r>
      <w:r>
        <w:t xml:space="preserve">.1 b) LOTC, puesto que la regla que resultaría aplicable es la del art. 75 </w:t>
      </w:r>
      <w:r w:rsidRPr="00F64776">
        <w:rPr>
          <w:i/>
        </w:rPr>
        <w:t>ter</w:t>
      </w:r>
      <w:r>
        <w:t>.1 c) LOTC, con las particularidades que establece la disposición adicional tercera de la Ley Orgánica del Tribunal Constitucional.</w:t>
      </w:r>
    </w:p>
    <w:p w14:paraId="10FC695A" w14:textId="77777777" w:rsidR="00F64776" w:rsidRDefault="00F64776" w:rsidP="00F64776">
      <w:pPr>
        <w:pStyle w:val="TextoNormal"/>
      </w:pPr>
    </w:p>
    <w:p w14:paraId="5D2B0D80" w14:textId="718A37B1" w:rsidR="00F64776" w:rsidRDefault="00F64776" w:rsidP="00F64776">
      <w:pPr>
        <w:pStyle w:val="TextoNormal"/>
      </w:pPr>
      <w:r w:rsidRPr="00F64776">
        <w:rPr>
          <w:rStyle w:val="NumeroAFNegritaCaracter"/>
        </w:rPr>
        <w:t>2</w:t>
      </w:r>
      <w:r>
        <w:t xml:space="preserve">. El recurso de súplica, que se dedica a cuestionar toda la fundamentación del ATC 354/2023, se basa, en síntesis, en insistir en que el Consell Insular de Formentera tiene legitimación para promover el conflicto, ya que es el destinatario único, en lo perjudicial, de los preceptos que impugna, mientras que el Ayuntamiento de Ibiza recibe un régimen exorbitante, con invocación de la doctrina establecida en las SSTC 121/2012, de 5 de junio; 37/2014, de 11 de marzo, y 132/2014, de 22 de julio, añadiendo también la referencia a la STC 240/2006, de 20 de julio, donde se menciona el “destinatario único, si bien dual”. Así, afirma que el art. 35.1, primer inciso, </w:t>
      </w:r>
      <w:r w:rsidRPr="00F64776">
        <w:rPr>
          <w:i/>
        </w:rPr>
        <w:t>in fine</w:t>
      </w:r>
      <w:r>
        <w:t>, de la Ley 6/2022 incurre en un flagrante error histórico, al ignorar la creación del Ayuntamiento de Formentera en 1822, y que persistió hasta 1870, con las consiguientes consecuencias profuturo en cuanto a los documentos que aparezcan, respecto de los cuales sería competente el archivo histórico de Ibiza y Formentera y no el del Consell Insular de Formentera. Este mismo argumento se reitera en cuanto al art. 35.1, segundo inciso, letra a). Por lo que se refiere al art. 35.2, solo el Consell Insular de Formentera se ve sujeto al régimen de eventuales acuerdos con el Ayuntamiento de Ibiza, sin establecer ningún tipo de intervención reglada en algún órgano asesor de coordinación interadministrativa, siendo los acuerdos potestativos y quedando al albur de lo que decida el Ayuntamiento de Ibiza. Sostiene que se debería haber acudido a un sistema similar al de la Ley 16/2019, de 8 de abril, del estatuto especial de capitalidad de la ciudad de Eivissa. Por último, el art. 39.6 no reconoce la particularidad de Formentera, ya que no recoge la relación de interinsularidad a propósito del archivo histórico de Ibiza y Formentera tal y como aparece en la exposición de motivos de la ley. En cuanto a la legitimación subsidiaria, al igual que en la STC 240/2006 y a diferencia del ATC 168/2015, se trata de reglas complementarias y no contradictorias. En este caso, solo hay dos sujetos: el Consell Insular de Formentera, órgano de gobierno del municipio de Formentera, y el Ayuntamiento de Ibiza, llevándose a cabo la intervención de aquel municipio siempre por el consell insular.</w:t>
      </w:r>
    </w:p>
    <w:p w14:paraId="0D667BB9" w14:textId="77777777" w:rsidR="00F64776" w:rsidRDefault="00F64776" w:rsidP="00F64776">
      <w:pPr>
        <w:pStyle w:val="TextoNormal"/>
      </w:pPr>
    </w:p>
    <w:p w14:paraId="2C2420F7" w14:textId="77777777" w:rsidR="00F64776" w:rsidRDefault="00F64776" w:rsidP="00F64776">
      <w:pPr>
        <w:pStyle w:val="TextoNormal"/>
      </w:pPr>
      <w:r w:rsidRPr="00F64776">
        <w:rPr>
          <w:rStyle w:val="NumeroAFNegritaCaracter"/>
        </w:rPr>
        <w:t>3</w:t>
      </w:r>
      <w:r>
        <w:t>. El examen de los argumentos desarrollados en el recurso de súplica para tratar de desvirtuar la fundamentación del auto de 4 de julio de 2023 que acordó la inadmisión del conflicto en defensa de la autonomía local, por carencia de legitimación, conducen a su desestimación.</w:t>
      </w:r>
    </w:p>
    <w:p w14:paraId="12F7AAA9" w14:textId="77777777" w:rsidR="00F64776" w:rsidRDefault="00F64776" w:rsidP="00F64776">
      <w:pPr>
        <w:pStyle w:val="TextoNormal"/>
      </w:pPr>
    </w:p>
    <w:p w14:paraId="603F9F7D" w14:textId="77777777" w:rsidR="00F64776" w:rsidRDefault="00F64776" w:rsidP="00F64776">
      <w:pPr>
        <w:pStyle w:val="TextoNormal"/>
      </w:pPr>
      <w:r>
        <w:t>En primer lugar, este tribunal no ignora la peculiar organización y distribución competencial interna de la Comunidad Autónoma de las Illes Balears, cuyo sistema institucional “está integrado por el Parlamento, el Gobierno, el presidente de la comunidad autónoma y los Consejos Insulares de Mallorca, Menorca, Ibiza y Formentera” (art. 39 EAIB). Pero ello no altera la consideración del auto impugnado acerca del alcance general de la regulación contenida en la Ley 6/2022, objeto del conflicto, que responde a la competencia exclusiva que ostenta la Comunidad Autónoma de las Illes Balears en la materia (art. 30, apartados, 24 —fundamentalmente— y 25 —adicionalmente—, EAIB), competencia que no puede ser calificada como meramente abstracta o solo frente al Estado, como se hace en el recurso. Es una competencia efectiva, que la comunidad autónoma ejercerá de acuerdo con sus políticas propias, que corresponde plasmar al Parlamento de las Illes Balears, en ejercicio de la potestad legislativa que le atribuye el art. 84.1 EAIB en relación con las competencias autonómicas exclusivas, y que permite y delimita el ejercicio de sus respectivas competencias por el entramado institucional autonómico. Y, en ejercicio de esa competencia y de esa potestad, el Parlamento de las Illes Balears ha aprobado la Ley 6/2022, de archivos y gestión documental de las Illes Balears, de cuya regulación resulta, entre otras determinaciones a las que nos referimos en el ATC 354/2023, su innegable carácter general (art. 3.1), y que los documentos sobre los que recae la discusión pertenecen al patrimonio documental de las Illes Balears, que, está constituido, según el apartado 1 del art. 5 de la ley, “por todos los documentos, comprendidos o no en archivos y generados en cualquier época, que hayan sido producidos, reunidos o conservados en el ejercicio de sus funciones por cualquiera de los organismos a que hace referencia el apartado 1 del artículo 10 de esta ley” (incluidos los consejos insulares y las entidades locales); añadiendo su apartado 2 que “[a] efectos del apartado anterior, en todo caso forman parte del patrimonio documental de las Illes Balears los documentos integrantes de los fondos del archivo de la Corona de Aragón y de los archivos históricos que se indican en esta ley”. Por último, todos los archivos de las distintas administraciones y entidades de la comunidad autónoma forman parte del sistema archivístico de las Illes Balears (arts. 20 y 24).</w:t>
      </w:r>
    </w:p>
    <w:p w14:paraId="52D32C19" w14:textId="77777777" w:rsidR="00F64776" w:rsidRDefault="00F64776" w:rsidP="00F64776">
      <w:pPr>
        <w:pStyle w:val="TextoNormal"/>
      </w:pPr>
    </w:p>
    <w:p w14:paraId="72FACA32" w14:textId="77777777" w:rsidR="00F64776" w:rsidRDefault="00F64776" w:rsidP="00F64776">
      <w:pPr>
        <w:pStyle w:val="TextoNormal"/>
      </w:pPr>
      <w:r>
        <w:t>Por otra parte, la propia argumentación del recurso para justificar la legitimación, en cuanto a la impugnación separada de determinados incisos, demuestra la artificial construcción del conflicto. Así, se puede constatar que, en el caso del primer inciso, parte final, del art. 35.1, se hace referencia a un error histórico que, según se afirma, afecta únicamente a Formentera, y se añade que esta afección es por las consecuencias que pueda tener pro-futuro en cuanto a los documentos que aparezcan. Ello nos obliga a realizar una interpretación sistemática y a acudir al conjunto del precepto, para determinar la incidencia que sobre ese planteamiento tienen las reglas que se han de aplicar en relación con esos documentos, no solo en el apartado 1, sino, también, de manera especial, en su apartado 2. Y esa consideración sistemática de la regulación del art. 35 objeto del conflicto nos lleva a concluir que no puede sostenerse que se trate de una normativa de destinatario único, ni que resulte aquí de aplicación la doctrina establecida en la STC 132/2014, de 22 de julio, como en la resolución impugnada razonamos cumplidamente.</w:t>
      </w:r>
    </w:p>
    <w:p w14:paraId="20E3A0F8" w14:textId="77777777" w:rsidR="00F64776" w:rsidRDefault="00F64776" w:rsidP="00F64776">
      <w:pPr>
        <w:pStyle w:val="TextoNormal"/>
      </w:pPr>
    </w:p>
    <w:p w14:paraId="7AAE70C0" w14:textId="77777777" w:rsidR="00F64776" w:rsidRDefault="00F64776" w:rsidP="00F64776">
      <w:pPr>
        <w:pStyle w:val="TextoNormal"/>
      </w:pPr>
      <w:r>
        <w:t>Particularmente, en lo que se refiere al art. 35.2 es evidente, según se indicó en el auto impugnado, que hay dos sujetos, pues quienes han de suscribir los acuerdos de colaboración son el Consell Insular de Formentera y el Ayuntamiento de Ibiza, titular y gestor del archivo histórico de Ibiza y Formentera, sin que resulte admisible la invocación de la doctrina de la STC 132/2014 a partir del apriorismo mantenido en el recurso de súplica de que el consell insular queda al albur de lo que decida el Ayuntamiento de Ibiza, afirmación preventiva, que se basa en hipotéticos actos futuros de aplicación del contenido del precepto. Por otro lado, y frente a la crítica reiterada del recurso sobre la afirmación del ATC 354/2023 respecto a que lo que se reconoce al consell insular recurrente es una prerrogativa frente al Ayuntamiento de Ibiza, que no es tal, hay que recordar que el art. 35.2 contempla que el archivo general del Consell Insular de Formentera pueda ejercer las mismas funciones que el archivo histórico de Ibiza y Formentera respecto a la documentación histórica a que se refiere el art. 35.1, mediando los correspondientes acuerdos de colaboración, y que lo que nuestra anterior resolución afirmó fue que esta previsión, vista desde otra perspectiva, implicaba una prerrogativa que no se reconocía al Consell Insular de Ibiza, a pesar de que también resultaría afectado por la regulación. Es decir, se estaba efectuando una comparación con este último consell insular, pero sin referirse a la relación que debe establecerse entre el Ayuntamiento de Ibiza y el Consell Insular de Formentera en su respectivo ámbito de competencias. Por lo demás, no corresponde a la función de control de este tribunal —ni, por supuesto, podría ser objeto de consideración en sede de legitimación— entrar a valorar los argumentos del recurso sobre la forma en que se tendría que haber instrumentado la intervención del Consell Insular de Formentera en el archivo histórico de Ibiza y Formentera o sobre las iniciativas parlamentarias que no prosperaron.</w:t>
      </w:r>
    </w:p>
    <w:p w14:paraId="5536E65C" w14:textId="77777777" w:rsidR="00F64776" w:rsidRDefault="00F64776" w:rsidP="00F64776">
      <w:pPr>
        <w:pStyle w:val="TextoNormal"/>
      </w:pPr>
    </w:p>
    <w:p w14:paraId="6D4A1212" w14:textId="77777777" w:rsidR="00F64776" w:rsidRDefault="00F64776" w:rsidP="00F64776">
      <w:pPr>
        <w:pStyle w:val="TextoNormal"/>
      </w:pPr>
      <w:r>
        <w:t xml:space="preserve">Junto a lo anterior, hay que precisar que la STC 240/2006, de 20 de julio, FJ 4, abordaba la peculiar situación de las Ciudades Autónomas de Ceuta y Melilla, que no están legitimadas para interponer un recurso de inconstitucionalidad porque no tienen la consideración de comunidades autónomas, por lo cual el tribunal entendió que no cabía negarles, al menos a los efectos de poder acceder ante el Tribunal Constitucional en defensa de su autonomía, su condición de entes municipales. “Y ello pese a la falta de una mención expresa a ambas ciudades en la Ley Orgánica 7/1999, que sí contiene, en cambio, previsiones específicas relativas a las islas, cabildos, consejos insulares, juntas generales y diputaciones forales (art. 6, por el que se añaden las disposiciones adicionales tercera y cuarta LOTC)”. Más allá de esta cuestión, se ha de añadir que la STC 240/2006 no incluye otra referencia al “destinatario único, si bien dual” que la contenida en el fundamento jurídico 5, al exponer la alegación de la Ciudad de Ceuta para justificar la legitimación del supuesto a) del art. 75 </w:t>
      </w:r>
      <w:r w:rsidRPr="00F64776">
        <w:rPr>
          <w:i/>
        </w:rPr>
        <w:t>ter</w:t>
      </w:r>
      <w:r>
        <w:t>.1 LOTC. Ahora bien, en aquel caso no se examinó tal legitimación, al admitirse la concurrencia del supuesto b), por lo que dicho pronunciamiento no puede servir para justificar la legitimación del Consell Insular de Formentera como destinario único de la norma con apoyo en lo que argumentó la Ciudad de Ceuta, máxime cuando, en el caso de aquel, la Ley Orgánica 7/1999 sí incluyó en la LOTC determinaciones específicas sobre su legitimación para promover el conflicto.</w:t>
      </w:r>
    </w:p>
    <w:p w14:paraId="2FD800EA" w14:textId="77777777" w:rsidR="00F64776" w:rsidRDefault="00F64776" w:rsidP="00F64776">
      <w:pPr>
        <w:pStyle w:val="TextoNormal"/>
      </w:pPr>
    </w:p>
    <w:p w14:paraId="7E4F65DD" w14:textId="77777777" w:rsidR="00F64776" w:rsidRDefault="00F64776" w:rsidP="00F64776">
      <w:pPr>
        <w:pStyle w:val="TextoNormal"/>
      </w:pPr>
      <w:r>
        <w:t>Por lo que respecta al art. 39.6, se ha de significar la lectura desviada del precepto que efectúa el recurso de súplica, puesto que la atención al carácter interinsular del subsistema archivístico del archivo histórico de Ibiza y Formentera, a que se refiere la exposición de motivos de la ley, queda reflejada claramente en el art. 35, mientras que el precepto que nos ocupa, tal como se indicó en el auto impugnado, más allá de la afección que pueda tener respecto de las islas de Ibiza y Formentera en cuanto se refiere al archivo histórico de Ibiza y Formentera, refleja el interés que tienen una serie de archivos históricos para el conjunto de la comunidad autónoma, por la gran relevancia histórica de los fondos documentales conservados en tales archivos. Y no cabe reducir ese interés a los términos que se señalan en el recurso, según el cual, los archivos históricos que se mencionan en el art. 39.6 deben alcanzar la misma categoría y consideración que los otros archivos históricos únicamente a los efectos de ser dotados de medios personales y materiales. Esa afirmación la cimenta en lo que establecía la disposición adicional cuarta de la Ley del Parlamento de las Illes Balears 15/2006, de 17 de octubre, de archivos y patrimonio documental de las Illes Balears (derogada por la Ley 6/2022), que determinaba que “El archivo municipal de Ciutadella y el archivo histórico de Eivissa, como depositarios de fondos documentales de gran relevancia para la historia de ambas islas, alcanzarán, a pesar de su carácter municipal, el mismo nivel que los otros archivos históricos de las Illes Balears por lo que se refiere a la adecuación de sus infraestructuras y equipamientos”; lo que coincidiría —según se afirma en el recurso— con el sexto de los ejes fundamentales de la ley actual (punto I de su exposición de motivos). Sin embargo, no hay una previsión normativa similar en la Ley 6/2022, cuyo art. 39.6 otorga, incluso, una mayor trascendencia a los archivos históricos a los que se refiere, pues sus fondos documentales no solo son de gran relevancia para la historia de las respectivas islas, sino, aún más, para la historia de las Illes Balears. Y no hay nada en el contenido del precepto ni en la exposición de motivos que permita limitar la consideración que se les otorga al sexto de los ocho ejes de la ley que se enuncian en dicha parte expositiva. No se encuentra motivo alguno, pues, para concluir que el Consell Insular de Formentera sea el destinatario único de este precepto en los términos en que se ha planteado en el recurso de súplica.</w:t>
      </w:r>
    </w:p>
    <w:p w14:paraId="7A274A1D" w14:textId="77777777" w:rsidR="00F64776" w:rsidRDefault="00F64776" w:rsidP="00F64776">
      <w:pPr>
        <w:pStyle w:val="TextoNormal"/>
      </w:pPr>
    </w:p>
    <w:p w14:paraId="69FA5C28" w14:textId="77777777" w:rsidR="00F64776" w:rsidRDefault="00F64776" w:rsidP="00F64776">
      <w:pPr>
        <w:pStyle w:val="TextoNormal"/>
      </w:pPr>
      <w:r>
        <w:t xml:space="preserve">Finalmente, en lo que se refiere a la legitimación subsidiaria, además de cuanto se razonó en el auto impugnado, basta resaltar que, si nos atenemos al propio planteamiento del Consell Insular de Formentera sobre su peculiar naturaleza, su pretensión carece de fundamento porque ha promovido el conflicto en reivindicación de competencias que, en cuanto consell insular, le asigna el art. 70 EAIB, por lo que de ninguna forma puede acogerse a la vía del apartado b) del art. 75 </w:t>
      </w:r>
      <w:r w:rsidRPr="00F64776">
        <w:rPr>
          <w:i/>
        </w:rPr>
        <w:t>ter</w:t>
      </w:r>
      <w:r>
        <w:t>.1 LOTC, cuya invocación —como dijimos y mantenemos aquí— es contradictoria con la del apartado a) del mismo precepto, que ha defendido el Consell de manera persistente tanto en el escrito promotor del conflicto como en su recurso de súplica.</w:t>
      </w:r>
    </w:p>
    <w:p w14:paraId="6F3962E2" w14:textId="77777777" w:rsidR="00F64776" w:rsidRDefault="00F64776" w:rsidP="00F64776">
      <w:pPr>
        <w:pStyle w:val="TextoNormal"/>
      </w:pPr>
    </w:p>
    <w:p w14:paraId="6C93F533" w14:textId="0EA9DB1C" w:rsidR="00F64776" w:rsidRDefault="00F64776" w:rsidP="00F64776">
      <w:pPr>
        <w:pStyle w:val="TextoNormal"/>
      </w:pPr>
      <w:r>
        <w:t>En su caso, hipotéticamente, podría haber alegado el supuesto del apartado c) —y no el del b)—, en relación con la disposición adicional tercera Ley Orgánica del Tribunal Constitucional, pero es claro que ni cumple el requisito de la mitad de la población de las dos islas a las que afectaría la regulación objeto del conflicto (según las cifras que quedaron recogidas en el auto impugnado), ni, tratándose de una ley de la Comunidad Autónoma de las Illes Balears, el conflicto ha sido promovido por dos consejos insulares, sin necesidad de atender al requisito de población (apartado 2 de la disposición adicional tercera LOTC). Por añadidura, ya se ha expuesto el nulo relieve que, desde la perspectiva de la doctrina de este tribunal en materia de legitimación en los conflictos en defensa de la autonomía local, tiene la mención “destinatario único, si bien dual”, que se recoge en la STC 240/2006, limitada a reflejar una alegación de parte y no a reconocer un supuesto peculiar de legitimación para promover el conflicto.</w:t>
      </w:r>
    </w:p>
    <w:p w14:paraId="3F926A27" w14:textId="77777777" w:rsidR="00F64776" w:rsidRDefault="00F64776" w:rsidP="00F64776">
      <w:pPr>
        <w:pStyle w:val="TextoNormal"/>
      </w:pPr>
    </w:p>
    <w:p w14:paraId="2AB01548" w14:textId="77777777" w:rsidR="00F64776" w:rsidRDefault="00F64776" w:rsidP="00F64776">
      <w:pPr>
        <w:pStyle w:val="TextoNormal"/>
      </w:pPr>
      <w:r>
        <w:t>Por lo expuesto, el Pleno</w:t>
      </w:r>
    </w:p>
    <w:p w14:paraId="4E055336" w14:textId="3D5616A9" w:rsidR="00F64776" w:rsidRDefault="00F64776" w:rsidP="00F64776">
      <w:pPr>
        <w:pStyle w:val="TextoNormal"/>
      </w:pPr>
    </w:p>
    <w:p w14:paraId="6199D3AA" w14:textId="77777777" w:rsidR="00F64776" w:rsidRDefault="00F64776" w:rsidP="00F64776">
      <w:pPr>
        <w:pStyle w:val="TextoNormalCentrado"/>
      </w:pPr>
      <w:r>
        <w:t>ACUERDA</w:t>
      </w:r>
    </w:p>
    <w:p w14:paraId="6AF63F90" w14:textId="03F1781E" w:rsidR="00F64776" w:rsidRDefault="00F64776" w:rsidP="00F64776">
      <w:pPr>
        <w:pStyle w:val="TextoNormalCentrado"/>
      </w:pPr>
    </w:p>
    <w:p w14:paraId="613778D4" w14:textId="28233848" w:rsidR="00F64776" w:rsidRDefault="00F64776" w:rsidP="00F64776">
      <w:pPr>
        <w:pStyle w:val="TextoNormal"/>
      </w:pPr>
      <w:r>
        <w:t>Desestimar el recurso de súplica interpuesto por el Consejo Insular de Formentera contra el auto del Pleno de este tribunal de 4 de julio de 2023 por el que se inadmite a trámite el conflicto en defensa de la autonomía local núm. 1631-2023.</w:t>
      </w:r>
    </w:p>
    <w:p w14:paraId="3C9929BF" w14:textId="77777777" w:rsidR="00F64776" w:rsidRDefault="00F64776" w:rsidP="00F64776">
      <w:pPr>
        <w:pStyle w:val="TextoNormal"/>
      </w:pPr>
    </w:p>
    <w:p w14:paraId="5A269691" w14:textId="77777777" w:rsidR="00F64776" w:rsidRDefault="00F64776" w:rsidP="00F64776">
      <w:pPr>
        <w:pStyle w:val="TextoNormal"/>
      </w:pPr>
      <w:r>
        <w:t>Madrid, a veinticuatro de octubre de dos mil veintitrés.</w:t>
      </w:r>
    </w:p>
    <w:p w14:paraId="48811A50" w14:textId="1BDB52A5" w:rsidR="00F64776" w:rsidRDefault="00F64776">
      <w:pPr>
        <w:spacing w:after="160" w:line="278" w:lineRule="auto"/>
        <w:rPr>
          <w:rFonts w:ascii="Times New Roman" w:eastAsia="Times New Roman" w:hAnsi="Times New Roman" w:cs="Times New Roman"/>
          <w:sz w:val="24"/>
          <w:szCs w:val="24"/>
          <w:lang w:eastAsia="es-ES"/>
        </w:rPr>
      </w:pPr>
      <w:r>
        <w:br w:type="page"/>
      </w:r>
    </w:p>
    <w:p w14:paraId="498FDA79" w14:textId="77777777" w:rsidR="00F64776" w:rsidRDefault="00F64776" w:rsidP="00F64776">
      <w:pPr>
        <w:pStyle w:val="TtuloResolucin"/>
      </w:pPr>
      <w:bookmarkStart w:id="271" w:name="AUTO_2023_486"/>
      <w:r>
        <w:t>AUTO 486/2023, de 24 de octubre de 2023</w:t>
      </w:r>
    </w:p>
    <w:bookmarkEnd w:id="271"/>
    <w:p w14:paraId="46F78AA1" w14:textId="77777777" w:rsidR="00F64776" w:rsidRDefault="00F64776" w:rsidP="00F64776">
      <w:pPr>
        <w:pStyle w:val="TtuloResolucin"/>
      </w:pPr>
      <w:r>
        <w:t>Pleno</w:t>
      </w:r>
    </w:p>
    <w:p w14:paraId="0A8FB49E" w14:textId="77777777" w:rsidR="00F64776" w:rsidRDefault="00F64776" w:rsidP="00F64776">
      <w:pPr>
        <w:pStyle w:val="TextoNormalCentrado"/>
      </w:pPr>
      <w:r>
        <w:t>ECLI:ES:TC:2023:486A</w:t>
      </w:r>
    </w:p>
    <w:p w14:paraId="6565A2BA" w14:textId="0720A612" w:rsidR="00F64776" w:rsidRDefault="00F64776" w:rsidP="00F64776">
      <w:pPr>
        <w:pStyle w:val="TextoNormalCentrado"/>
      </w:pPr>
    </w:p>
    <w:p w14:paraId="7D0AFF02" w14:textId="77777777" w:rsidR="00F64776" w:rsidRDefault="00F64776" w:rsidP="00F64776">
      <w:pPr>
        <w:pStyle w:val="SntesisDescriptiva"/>
      </w:pPr>
      <w:r>
        <w:t>Excms. Srs. don Cándido Conde-Pumpido Tourón, doña Inmaculada Montalbán Huertas, don Ricardo Enríquez Sancho, don Ramón Sáez Valcárcel, don Enrique Arnaldo Alcubilla, doña Concepción Espejel Jorquera, doña María Luisa Segoviano Astaburuaga, don César Tolosa Tribiño, don Juan Carlos Campo Moreno y doña Laura Díez Bueso.</w:t>
      </w:r>
    </w:p>
    <w:p w14:paraId="289A9CEB" w14:textId="04DBBDBF" w:rsidR="00F64776" w:rsidRDefault="00F64776" w:rsidP="00F64776">
      <w:pPr>
        <w:pStyle w:val="SntesisDescriptiva"/>
      </w:pPr>
    </w:p>
    <w:p w14:paraId="2A3B08B6" w14:textId="77777777" w:rsidR="00F64776" w:rsidRDefault="00F64776" w:rsidP="00F64776">
      <w:pPr>
        <w:pStyle w:val="SntesisDescriptiva"/>
      </w:pPr>
      <w:r>
        <w:t>Inadmite a trámite la cuestión prejudicial de validez 2029-2023, planteada por el Juzgado de lo Contencioso-Administrativo núm. 3 de Donostia-San Sebastián en relación con el art. 4.1, párrafo segundo, 4.2 a) y 4.3 de la Norma Foral 16/1989, de 5 de julio, del Territorio Histórico de Gipuzkoa, reguladora del impuesto sobre el incremento del valor de los terrenos de naturaleza urbana.</w:t>
      </w:r>
    </w:p>
    <w:p w14:paraId="5A252EC5" w14:textId="524E8B18" w:rsidR="00F64776" w:rsidRDefault="00F64776" w:rsidP="00F64776">
      <w:pPr>
        <w:pStyle w:val="SntesisDescriptiva"/>
      </w:pPr>
    </w:p>
    <w:p w14:paraId="2221995E" w14:textId="77777777" w:rsidR="00F64776" w:rsidRDefault="00F64776" w:rsidP="00F64776">
      <w:pPr>
        <w:pStyle w:val="SntesisDescriptiva"/>
      </w:pPr>
    </w:p>
    <w:p w14:paraId="33280277" w14:textId="77777777" w:rsidR="00F64776" w:rsidRDefault="00F64776" w:rsidP="00F64776">
      <w:pPr>
        <w:pStyle w:val="SntesisDescriptiva"/>
      </w:pPr>
    </w:p>
    <w:p w14:paraId="18FD8A77" w14:textId="77777777" w:rsidR="00F64776" w:rsidRDefault="00F64776" w:rsidP="00F64776">
      <w:pPr>
        <w:pStyle w:val="TextoNormalNegritaCentrado"/>
      </w:pPr>
      <w:r>
        <w:t>AUTO</w:t>
      </w:r>
    </w:p>
    <w:p w14:paraId="6CC5B6E2" w14:textId="7805FE66" w:rsidR="00F64776" w:rsidRDefault="00F64776" w:rsidP="00F64776">
      <w:pPr>
        <w:pStyle w:val="TextoNormalNegritaCentrado"/>
      </w:pPr>
    </w:p>
    <w:p w14:paraId="297BDEB7" w14:textId="77777777" w:rsidR="00F64776" w:rsidRDefault="00F64776" w:rsidP="00F64776">
      <w:pPr>
        <w:pStyle w:val="TextoNormalNegritaCentrado"/>
        <w:keepNext/>
      </w:pPr>
      <w:r>
        <w:t>I. Antecedentes</w:t>
      </w:r>
    </w:p>
    <w:p w14:paraId="20504A2C" w14:textId="433A2A77" w:rsidR="00F64776" w:rsidRDefault="00F64776" w:rsidP="00F64776">
      <w:pPr>
        <w:pStyle w:val="TextoNormalNegritaCentrado"/>
        <w:keepNext/>
      </w:pPr>
    </w:p>
    <w:p w14:paraId="5FD43EFD" w14:textId="44BEA447" w:rsidR="00F64776" w:rsidRDefault="00F64776" w:rsidP="00F64776">
      <w:pPr>
        <w:pStyle w:val="TextoNormal"/>
      </w:pPr>
      <w:r w:rsidRPr="00F64776">
        <w:rPr>
          <w:rStyle w:val="NumeroAFNegritaCaracter"/>
        </w:rPr>
        <w:t>1</w:t>
      </w:r>
      <w:r>
        <w:t>. Por escrito registrado en el Tribunal el 28 de marzo de 2023 el letrado de la administración de justicia del Juzgado de lo Contencioso-Administrativo núm. 3 de San Sebastián remitió testimonio del auto de 20 de marzo de 2023, recaído en el procedimiento abreviado 427-2022 (al que se encuentran acumulados los procedimientos 430-2022, también del Juzgado de lo Contencioso-Administrativo núm. 3 de San Sebastián y el 452-2022, del Juzgado de lo Contencioso-Administrativo núm. 2 de la referida ciudad), por el que dicho juzgado plantea cuestión de inconstitucionalidad (</w:t>
      </w:r>
      <w:r w:rsidRPr="00F64776">
        <w:rPr>
          <w:i/>
        </w:rPr>
        <w:t>sic</w:t>
      </w:r>
      <w:r>
        <w:t>) en relación con el artículo 4.1, párrafo segundo, 4.2 a) y 4.3 de la Norma Foral 16/1989, de 5 de julio, del Territorio Histórico de Gipuzkoa, reguladora del impuesto sobre el incremento de valor de los terrenos de naturaleza urbana (IIVTNU). Junto con el testimonio de este auto remitió también copia testimoniada de las actuaciones judiciales y del expediente administrativo.</w:t>
      </w:r>
    </w:p>
    <w:p w14:paraId="02D912B8" w14:textId="77777777" w:rsidR="00F64776" w:rsidRDefault="00F64776" w:rsidP="00F64776">
      <w:pPr>
        <w:pStyle w:val="TextoNormal"/>
      </w:pPr>
    </w:p>
    <w:p w14:paraId="330C0FD3" w14:textId="77777777" w:rsidR="00F64776" w:rsidRDefault="00F64776" w:rsidP="00F64776">
      <w:pPr>
        <w:pStyle w:val="TextoNormal"/>
      </w:pPr>
      <w:r w:rsidRPr="00F64776">
        <w:rPr>
          <w:rStyle w:val="NumeroAFNegritaCaracter"/>
        </w:rPr>
        <w:t>2</w:t>
      </w:r>
      <w:r>
        <w:t>. Del expediente administrativo y de las actuaciones judiciales pueden deducirse los siguientes antecedentes de hecho:</w:t>
      </w:r>
    </w:p>
    <w:p w14:paraId="3C2CE5CA" w14:textId="77777777" w:rsidR="00F64776" w:rsidRDefault="00F64776" w:rsidP="00F64776">
      <w:pPr>
        <w:pStyle w:val="TextoNormal"/>
      </w:pPr>
    </w:p>
    <w:p w14:paraId="1A19792E" w14:textId="77777777" w:rsidR="00F64776" w:rsidRDefault="00F64776" w:rsidP="00F64776">
      <w:pPr>
        <w:pStyle w:val="TextoNormal"/>
      </w:pPr>
      <w:r>
        <w:t xml:space="preserve">a) En el proceso </w:t>
      </w:r>
      <w:r w:rsidRPr="00F64776">
        <w:rPr>
          <w:i/>
        </w:rPr>
        <w:t>a quo</w:t>
      </w:r>
      <w:r>
        <w:t xml:space="preserve"> se tramita el procedimiento abreviado 427-2022 en el que se impugnan dos resoluciones del Ayuntamiento de Andoaín por las que se desestimó el recurso de reposición interpuesto contra dos liquidaciones del IIVTNU dictadas por el citado ayuntamiento con motivo de la transmisión de dos fincas urbanas a don J.K.B.I. A este procedimiento se acumularon los procedimientos abreviados 452-2022, que se estaba tramitando en el Juzgado de lo Contencioso-Administrativo núm. 2 de San Sebastián, y 430-2022, que se tramitaba en el Juzgado de lo Contencioso-Administrativo núm. 3 de San Sebastián (auto del Juzgado de lo Contencioso-Administrativo núm. 3 de San Sebastián, de 13 de diciembre de 2022). Estos procedimientos contencioso-administrativos tenían también como objeto diversas liquidaciones del IIVTNU giradas por el Ayuntamiento de Andoaín por la transmisión de distintas propiedades urbanas y las resoluciones de los recursos de reposición interpuestos contra aquellas.</w:t>
      </w:r>
    </w:p>
    <w:p w14:paraId="6DACB562" w14:textId="77777777" w:rsidR="00F64776" w:rsidRDefault="00F64776" w:rsidP="00F64776">
      <w:pPr>
        <w:pStyle w:val="TextoNormal"/>
      </w:pPr>
    </w:p>
    <w:p w14:paraId="31BBEB78" w14:textId="77777777" w:rsidR="00F64776" w:rsidRDefault="00F64776" w:rsidP="00F64776">
      <w:pPr>
        <w:pStyle w:val="TextoNormal"/>
      </w:pPr>
      <w:r>
        <w:t>b) Los demandantes fundamentaron sus reclamaciones administrativas y los posteriores recursos contencioso-administrativos en que las liquidaciones tributarias impugnadas habían utilizado un método de cálculo de la base imponible que responde a una estimación objetiva e imperativa que contraviene el principio de capacidad económica. Aducen que, aunque el objeto del impuesto es el “incremento del valor” el gravamen no se anuda necesariamente a ese incremento, sino a la mera titularidad de los terrenos durante un intervalo temporal, con independencia de que existiera ese incremento o, en su caso, de su importe. Invocan la STC 182/202, de 26 de octubre.</w:t>
      </w:r>
    </w:p>
    <w:p w14:paraId="256F89B7" w14:textId="77777777" w:rsidR="00F64776" w:rsidRDefault="00F64776" w:rsidP="00F64776">
      <w:pPr>
        <w:pStyle w:val="TextoNormal"/>
      </w:pPr>
    </w:p>
    <w:p w14:paraId="69BF81EC" w14:textId="77777777" w:rsidR="00F64776" w:rsidRDefault="00F64776" w:rsidP="00F64776">
      <w:pPr>
        <w:pStyle w:val="TextoNormal"/>
      </w:pPr>
      <w:r>
        <w:t>c) El Ayuntamiento de Andoaín desestimó la revisión de las liquidaciones pretendida en los recursos de reposición interpuestos contra las mismas por entender que las liquidaciones habían sido impugnadas en vía administrativa tras la fecha de la STC 182/2021. Según dicho ayuntamiento, el interesado presentó la reclamación el 17 de noviembre de 2021 y, como esta fecha es posterior a la STC 182/2021, que se dictó el 26 de octubre de 2021, estima que, de acuerdo con lo dispuesto en su fundamento jurídico 6 B), las liquidaciones impugnadas han de considerarse situaciones consolidadas no susceptibles de revisión con fundamento en dicha sentencia.</w:t>
      </w:r>
    </w:p>
    <w:p w14:paraId="50AE6BEE" w14:textId="77777777" w:rsidR="00F64776" w:rsidRDefault="00F64776" w:rsidP="00F64776">
      <w:pPr>
        <w:pStyle w:val="TextoNormal"/>
      </w:pPr>
    </w:p>
    <w:p w14:paraId="09A26409" w14:textId="77777777" w:rsidR="00F64776" w:rsidRDefault="00F64776" w:rsidP="00F64776">
      <w:pPr>
        <w:pStyle w:val="TextoNormal"/>
      </w:pPr>
      <w:r>
        <w:t>d) En el recurso contencioso-administrativo los demandantes se oponen a tal argumentación al entender que la STC 182/2021 declaró la nulidad y la inconstitucionalidad de los arts. 107.1, segundo párrafo, 107.2 a) y 107.4 del texto refundido de la Ley reguladora de las haciendas locales (TRLHL) y estas normas no son las aplicadas en las liquidaciones impugnadas que han aplicado la Norma Foral 16/1989, de 5 de julio, del Territorio Histórico de Gipuzkoa, que regula el impuesto sobre el incremento del valor de los terrenos. Por ello aprecian que el ayuntamiento no puede desestimar su reclamación con base en una sentencia que tiene por objeto normas distintas de las impugnadas en ese proceso.</w:t>
      </w:r>
    </w:p>
    <w:p w14:paraId="1788383B" w14:textId="77777777" w:rsidR="00F64776" w:rsidRDefault="00F64776" w:rsidP="00F64776">
      <w:pPr>
        <w:pStyle w:val="TextoNormal"/>
      </w:pPr>
    </w:p>
    <w:p w14:paraId="4489A86D" w14:textId="77777777" w:rsidR="00F64776" w:rsidRDefault="00F64776" w:rsidP="00F64776">
      <w:pPr>
        <w:pStyle w:val="TextoNormal"/>
      </w:pPr>
      <w:r>
        <w:t>e) Por providencia del Juzgado de lo Contencioso-Administrativo núm. 3 de San Sebastián, de 20 de febrero de 2023, se otorgó trámite de audiencia a las partes personadas y al Ministerio Fiscal. Esta providencia tiene el siguiente tenor “Dese traslado a las partes personadas y al Ministerio Fiscal por plazo común de diez días sobre la pertinencia de plantear cuestión de inconstitucionalidad del art. 4 de la Norma Foral 16/1989, reguladora del impuesto sobre el incremento de valor de los terrenos de naturaleza urbana, en su redacción anterior al 17 de noviembre de 2021, por concurrir motivos análogos por los que se declaró la inconstitucionalidad de los arts. 107.1, segundo párrafo; 107.2 a y 107.4 del Real Decreto Legislativo 2/2004 de 5 de marzo por el que se aprueba la Ley reguladora del texto refundido de las haciendas locales, en virtud de la STC 182/2021, de 26 de octubre de 2021”.</w:t>
      </w:r>
    </w:p>
    <w:p w14:paraId="10AC6DEF" w14:textId="77777777" w:rsidR="00F64776" w:rsidRDefault="00F64776" w:rsidP="00F64776">
      <w:pPr>
        <w:pStyle w:val="TextoNormal"/>
      </w:pPr>
    </w:p>
    <w:p w14:paraId="5F872F15" w14:textId="68754A43" w:rsidR="00F64776" w:rsidRDefault="00F64776" w:rsidP="00F64776">
      <w:pPr>
        <w:pStyle w:val="TextoNormal"/>
      </w:pPr>
      <w:r>
        <w:t>f) Una de las partes personadas, don J.K.B.I., presentó alegaciones y solicitó el planteamiento de la cuestión de inconstitucionalidad (</w:t>
      </w:r>
      <w:r w:rsidRPr="00F64776">
        <w:rPr>
          <w:i/>
        </w:rPr>
        <w:t>sic</w:t>
      </w:r>
      <w:r>
        <w:t>). También el fiscal informó a favor del planteamiento de la cuestión. El ayuntamiento, por el contrario, se opuso a su planteamiento.</w:t>
      </w:r>
    </w:p>
    <w:p w14:paraId="2A62DF78" w14:textId="77777777" w:rsidR="00F64776" w:rsidRDefault="00F64776" w:rsidP="00F64776">
      <w:pPr>
        <w:pStyle w:val="TextoNormal"/>
      </w:pPr>
    </w:p>
    <w:p w14:paraId="1EC24C42" w14:textId="77777777" w:rsidR="00F64776" w:rsidRDefault="00F64776" w:rsidP="00F64776">
      <w:pPr>
        <w:pStyle w:val="TextoNormal"/>
      </w:pPr>
      <w:r w:rsidRPr="00F64776">
        <w:rPr>
          <w:rStyle w:val="NumeroAFNegritaCaracter"/>
        </w:rPr>
        <w:t>3</w:t>
      </w:r>
      <w:r>
        <w:t>. Por auto de 20 de marzo de 2023 el juzgado acordó plantear “cuestión de inconstitucionalidad” en relación con el art. 4.1, segundo párrafo, 4.2 a) y 4.2 de la Norma Foral 16/1989, de 5 de julio, del Territorio Histórico de Gipuzkoa, en la redacción que estaba vigente cuando se dictaron las liquidaciones impugnadas, por contravenir el principio de capacidad económica (art. 31.1 CE). En los antecedentes de hecho de dicho auto se expone que se trata de la impugnación de los citados preceptos forales en la redacción anterior a la modificación efectuada por el Decreto Foral-Norma 7/2021, de 16 de noviembre, de adaptación de la citada Norma Foral 16/1989 a los postulados de la STC 182/2021, de 26 de octubre.</w:t>
      </w:r>
    </w:p>
    <w:p w14:paraId="1E3AC334" w14:textId="77777777" w:rsidR="00F64776" w:rsidRDefault="00F64776" w:rsidP="00F64776">
      <w:pPr>
        <w:pStyle w:val="TextoNormal"/>
      </w:pPr>
    </w:p>
    <w:p w14:paraId="039910FF" w14:textId="77777777" w:rsidR="00F64776" w:rsidRDefault="00F64776" w:rsidP="00F64776">
      <w:pPr>
        <w:pStyle w:val="TextoNormal"/>
      </w:pPr>
      <w:r>
        <w:t>En su fundamentación jurídica, el órgano judicial considera que “[r]esulta necesario efectuar el juicio de constitucionalidad que se interesa del Alto Tribunal en cuanto que las partes actoras interesan la anulación de la liquidación del impuesto con base en la constitucionalidad de la normativa que le fue aplicada al operarse aquella”. A continuación, cita el art. 35 de la Ley Orgánica del Tribunal Constitucional (LOTC). Entiende que la fundamentación de este auto ha de tener en cuenta la STC 182/2021, de 26 de octubre, —que declaró la inconstitucionalidad de los arts. 107.1, segundo párrafo, 107.2 a) y 107.4 TRLHL por vulneración del art. 31.1 CE— y reproduce su fallo y los siguientes párrafos del fundamento jurídico quinto:</w:t>
      </w:r>
    </w:p>
    <w:p w14:paraId="4C66FD71" w14:textId="77777777" w:rsidR="00F64776" w:rsidRDefault="00F64776" w:rsidP="00F64776">
      <w:pPr>
        <w:pStyle w:val="TextoNormal"/>
      </w:pPr>
    </w:p>
    <w:p w14:paraId="446B62E6" w14:textId="77777777" w:rsidR="00F64776" w:rsidRDefault="00F64776" w:rsidP="00F64776">
      <w:pPr>
        <w:pStyle w:val="TextoNormal"/>
      </w:pPr>
      <w:r>
        <w:t>“En consecuencia, el mantenimiento del actual sistema objetivo y obligatorio de determinación de la base imponible, por ser ajeno a la realidad del mercado inmobiliario y de la crisis económica y, por tanto, estar al margen de la capacidad económica gravada por el impuesto y demostrada por el contribuyente, vulnera el principio de capacidad económica como criterio de imposición (art. 31.1 CE).</w:t>
      </w:r>
    </w:p>
    <w:p w14:paraId="1CE2CB8D" w14:textId="77777777" w:rsidR="00F64776" w:rsidRDefault="00F64776" w:rsidP="00F64776">
      <w:pPr>
        <w:pStyle w:val="TextoNormal"/>
      </w:pPr>
    </w:p>
    <w:p w14:paraId="6E355711" w14:textId="77777777" w:rsidR="00F64776" w:rsidRDefault="00F64776" w:rsidP="00F64776">
      <w:pPr>
        <w:pStyle w:val="TextoNormal"/>
      </w:pPr>
      <w:r>
        <w:t>Es más, cabe añadir que la simplificación en la aplicación del IIVTNU desaparece en su actual configuración, dado que para su gestión ya se recurre al incremento efectivo y a su cuantía. Así, la materialización del incremento de valor del terreno urbano transmitido es condición sine qua non para el nacimiento de la obligación tributaria tras la STC 59/2017, FFJJ 3 y 5 a), y su cuantía real es determinante para la inexigibilidad del tributo en los supuestos en los que la cuota tributaria agote o supere el referido incremento efectivo tras la STC 126/2019, FJ 5 a). Por lo que carece ya de sentido exigir obligatoriamente el gravamen en función de la cuantía de un incremento objetivo basando su legitimidad constitucional en razones de practicabilidad ante una pretendida dificultad para determinar la existencia y cuantía del incremento del suelo urbano transmitido, cuando esa dificultad forma parte hoy de la mecánica de la aplicación de este impuesto.</w:t>
      </w:r>
    </w:p>
    <w:p w14:paraId="1126E018" w14:textId="77777777" w:rsidR="00F64776" w:rsidRDefault="00F64776" w:rsidP="00F64776">
      <w:pPr>
        <w:pStyle w:val="TextoNormal"/>
      </w:pPr>
    </w:p>
    <w:p w14:paraId="4DAC577E" w14:textId="77777777" w:rsidR="00F64776" w:rsidRDefault="00F64776" w:rsidP="00F64776">
      <w:pPr>
        <w:pStyle w:val="TextoNormal"/>
      </w:pPr>
      <w:r>
        <w:t>Por todo ello, debe estimarse la presente cuestión de inconstitucionalidad promovida por la Sala de lo Contencioso-Administrativo del Tribunal Superior de Justicia de Andalucía, Ceuta y Melilla —sede en Málaga— y declarar inconstitucionales y nulos los arts. 107.1, segundo párrafo, 107.2 a) y 107.4 TRLHL por contravenir injustificadamente el principio de capacidad económica como criterio de la imposición (art. 31.1 CE)”.</w:t>
      </w:r>
    </w:p>
    <w:p w14:paraId="4FAA77AB" w14:textId="77777777" w:rsidR="00F64776" w:rsidRDefault="00F64776" w:rsidP="00F64776">
      <w:pPr>
        <w:pStyle w:val="TextoNormal"/>
      </w:pPr>
    </w:p>
    <w:p w14:paraId="589D29E6" w14:textId="77777777" w:rsidR="00F64776" w:rsidRDefault="00F64776" w:rsidP="00F64776">
      <w:pPr>
        <w:pStyle w:val="TextoNormal"/>
      </w:pPr>
      <w:r>
        <w:t>También transcribe el texto de los arts. 107.1, segundo; 107.2 a) y 107.4 TRLHL declarados inconstitucionales por la STC 182/2021 y el art. 4 de la Norma Foral 16/1989. El órgano judicial pone de manifiesto que el sistema de determinación de la base imponible establecida en el referido precepto de la norma foral “presenta una regulación prácticamente idéntica” a la que establecían los preceptos del TRLHL declarados inconstitucionales por la STC 182/2021.</w:t>
      </w:r>
    </w:p>
    <w:p w14:paraId="326CD8D5" w14:textId="77777777" w:rsidR="00F64776" w:rsidRDefault="00F64776" w:rsidP="00F64776">
      <w:pPr>
        <w:pStyle w:val="TextoNormal"/>
      </w:pPr>
    </w:p>
    <w:p w14:paraId="2FA8F234" w14:textId="14C724A5" w:rsidR="00F64776" w:rsidRDefault="00F64776" w:rsidP="00F64776">
      <w:pPr>
        <w:pStyle w:val="TextoNormal"/>
      </w:pPr>
      <w:r>
        <w:t>En virtud de las consideraciones expuestas, el juzgado acuerda plantear la cuestión de inconstitucionalidad.</w:t>
      </w:r>
    </w:p>
    <w:p w14:paraId="390649B5" w14:textId="77777777" w:rsidR="00F64776" w:rsidRDefault="00F64776" w:rsidP="00F64776">
      <w:pPr>
        <w:pStyle w:val="TextoNormal"/>
      </w:pPr>
    </w:p>
    <w:p w14:paraId="458AE063" w14:textId="5087500D" w:rsidR="00F64776" w:rsidRDefault="00F64776" w:rsidP="00F64776">
      <w:pPr>
        <w:pStyle w:val="TextoNormal"/>
      </w:pPr>
      <w:r w:rsidRPr="00F64776">
        <w:rPr>
          <w:rStyle w:val="NumeroAFNegritaCaracter"/>
        </w:rPr>
        <w:t>4</w:t>
      </w:r>
      <w:r>
        <w:t>. Por providencia de 23 de mayo de 2023, el Pleno del Tribunal Constitucional acordó, a los efectos que determina el art. 37.1 LOTC, oír al fiscal general del Estado para que, en el plazo de diez días, alegase lo que considerase conveniente acerca de la admisibilidad de la cuestión prejudicial de validez, en relación con el cumplimiento de los requisitos procesales (art. 35.2 LOTC) y en particular sobre si el órgano judicial ha efectuado debidamente el juicio de aplicabilidad y relevancia.</w:t>
      </w:r>
    </w:p>
    <w:p w14:paraId="7473F6D3" w14:textId="77777777" w:rsidR="00F64776" w:rsidRDefault="00F64776" w:rsidP="00F64776">
      <w:pPr>
        <w:pStyle w:val="TextoNormal"/>
      </w:pPr>
    </w:p>
    <w:p w14:paraId="12893290" w14:textId="77777777" w:rsidR="00F64776" w:rsidRDefault="00F64776" w:rsidP="00F64776">
      <w:pPr>
        <w:pStyle w:val="TextoNormal"/>
      </w:pPr>
      <w:r w:rsidRPr="00F64776">
        <w:rPr>
          <w:rStyle w:val="NumeroAFNegritaCaracter"/>
        </w:rPr>
        <w:t>5</w:t>
      </w:r>
      <w:r>
        <w:t xml:space="preserve">. El fiscal general del Estado evacuó el trámite conferido mediante escrito registrado el 29 de junio de 2023, en el que interesa la inadmisión de la cuestión prejudicial de validez por no superar los juicios de validez y relevancia </w:t>
      </w:r>
      <w:r w:rsidRPr="00F64776">
        <w:rPr>
          <w:i/>
        </w:rPr>
        <w:t>ex</w:t>
      </w:r>
      <w:r>
        <w:t xml:space="preserve"> art. 35 LOTC.</w:t>
      </w:r>
    </w:p>
    <w:p w14:paraId="355D6671" w14:textId="77777777" w:rsidR="00F64776" w:rsidRDefault="00F64776" w:rsidP="00F64776">
      <w:pPr>
        <w:pStyle w:val="TextoNormal"/>
      </w:pPr>
    </w:p>
    <w:p w14:paraId="340F221D" w14:textId="77777777" w:rsidR="00F64776" w:rsidRDefault="00F64776" w:rsidP="00F64776">
      <w:pPr>
        <w:pStyle w:val="TextoNormal"/>
      </w:pPr>
      <w:r>
        <w:t>a) De un lado, advierte que el trámite de audiencia a las partes y al Ministerio Fiscal del art. 35.2 LOTC debe darse por cumplimentado.</w:t>
      </w:r>
    </w:p>
    <w:p w14:paraId="65B12857" w14:textId="77777777" w:rsidR="00F64776" w:rsidRDefault="00F64776" w:rsidP="00F64776">
      <w:pPr>
        <w:pStyle w:val="TextoNormal"/>
      </w:pPr>
    </w:p>
    <w:p w14:paraId="6F20A133" w14:textId="77777777" w:rsidR="00F64776" w:rsidRDefault="00F64776" w:rsidP="00F64776">
      <w:pPr>
        <w:pStyle w:val="TextoNormal"/>
      </w:pPr>
      <w:r>
        <w:t xml:space="preserve">Tras exponer la doctrina constitucional relativa al trámite de audiencia </w:t>
      </w:r>
      <w:r w:rsidRPr="00F64776">
        <w:rPr>
          <w:i/>
        </w:rPr>
        <w:t>ex</w:t>
      </w:r>
      <w:r>
        <w:t xml:space="preserve"> art. 35 LOTC (con cita expresa del ATC 267/2013, de 19 de noviembre, FJ 3), traslada el contenido de la providencia de 20 de febrero de 2023 por la que se concedía “un plazo común de diez días común a las partes y al Ministerio Fiscal para efectuar alegaciones sobre la posible inconstitucionalidad del art. 4 de la Norma Foral 16/1989, de 5 de julio, reguladora del impuesto sobre el incremento de valor de los terrenos de naturaleza urbana, en su redacción anterior al 17 de noviembre de 2021, por concurrir motivos análogos por los que se declaró la inconstitucionalidad de los artículos 107.1 segundo párrafo; 107.2 a) y 107.4 del Real Decreto Legislativo 2/2004 de 5 de marzo, por el que se aprueba el TRLHL, en virtud de la STC 182/2021 de fecha 26 de octubre de 2021”.</w:t>
      </w:r>
    </w:p>
    <w:p w14:paraId="748AE1FF" w14:textId="77777777" w:rsidR="00F64776" w:rsidRDefault="00F64776" w:rsidP="00F64776">
      <w:pPr>
        <w:pStyle w:val="TextoNormal"/>
      </w:pPr>
    </w:p>
    <w:p w14:paraId="25A51142" w14:textId="77777777" w:rsidR="00F64776" w:rsidRDefault="00F64776" w:rsidP="00F64776">
      <w:pPr>
        <w:pStyle w:val="TextoNormal"/>
      </w:pPr>
      <w:r>
        <w:t>Y tras su lectura, extrae la conclusión de que, aunque el órgano judicial no determina con exactitud qué norma es la aplicable habida cuenta que, a la fecha de la liquidación del impuesto, estaba vigente la Norma Foral 16/1989, de 5 de julio, y la modificación operada por el Decreto Foral-Norma 2/2017, de 28 de marzo, siendo que la redacción actual de aquella es la establecida por la Norma Foral 7/2021 de 16 de noviembre, no obstante, esta falta de determinación de los concretos preceptos forales cuestionados no ha provocado confusión entre las partes para fundamentar sus alegaciones sobre la cuestión prejudicial, permitiendo a las partes y al Ministerio Fiscal pronunciarse sobre la duda de inconstitucionalidad que se somete a su consideración, contribuyendo, con sus alegaciones, a la formación de la decisión del órgano judicial sobre la pertinencia o no de su planteamiento.</w:t>
      </w:r>
    </w:p>
    <w:p w14:paraId="6A8DA929" w14:textId="77777777" w:rsidR="00F64776" w:rsidRDefault="00F64776" w:rsidP="00F64776">
      <w:pPr>
        <w:pStyle w:val="TextoNormal"/>
      </w:pPr>
    </w:p>
    <w:p w14:paraId="13F1F53A" w14:textId="77777777" w:rsidR="00F64776" w:rsidRDefault="00F64776" w:rsidP="00F64776">
      <w:pPr>
        <w:pStyle w:val="TextoNormal"/>
      </w:pPr>
      <w:r>
        <w:t>b) De otro lado, aprecia defectos en la formulación de los juicios de aplicabilidad y relevancia que debe realizar el órgano promotor según reiterada doctrina constitucional (cita los AATC 63/2019, de 18 de junio, FJ 3, y 20/2022, de 26 de enero, FJ 4). Y ello porque el auto no exterioriza razonamiento alguno dirigido a justificar la concurrencia de estas dos condiciones de admisibilidad tendentes a evitar que la cuestión de inconstitucionalidad se convierta en un proceso abstracto de constitucionalidad instado por quien no tiene legitimación para ello.</w:t>
      </w:r>
    </w:p>
    <w:p w14:paraId="33322DB3" w14:textId="77777777" w:rsidR="00F64776" w:rsidRDefault="00F64776" w:rsidP="00F64776">
      <w:pPr>
        <w:pStyle w:val="TextoNormal"/>
      </w:pPr>
    </w:p>
    <w:p w14:paraId="33A9DF9D" w14:textId="77777777" w:rsidR="00F64776" w:rsidRDefault="00F64776" w:rsidP="00F64776">
      <w:pPr>
        <w:pStyle w:val="TextoNormal"/>
      </w:pPr>
      <w:r>
        <w:t>c) En particular, en cuanto al juicio de aplicabilidad, y dado que existe una discrepancia sobre la existencia de un incremento patrimonial con ocasión de la transmisión del terreno, que niega una parte y es afirmado por la contraria, estima el fiscal general del Estado que en el presente caso, el auto de planteamiento de la cuestión prejudicial da por sobreentendida la aplicación de los preceptos que cuestiona para la resolución del litigio pues ninguna reflexión contiene la resolución judicial sobre la aplicabilidad del precepto autonómico cuestionado. Recuerda que la STC 182/2021 declaró la inconstitucionalidad de los arts.107.1, segundo párrafo; 107.2 a) y 107.4 TRLHL por vulneración del principio de capacidad económica del art. 31.1 CE, por lo que la aplicación de la normativa del impuesto exige la existencia de un incremento patrimonial real.</w:t>
      </w:r>
    </w:p>
    <w:p w14:paraId="3441A3BF" w14:textId="77777777" w:rsidR="00F64776" w:rsidRDefault="00F64776" w:rsidP="00F64776">
      <w:pPr>
        <w:pStyle w:val="TextoNormal"/>
      </w:pPr>
    </w:p>
    <w:p w14:paraId="3912C8ED" w14:textId="77777777" w:rsidR="00F64776" w:rsidRDefault="00F64776" w:rsidP="00F64776">
      <w:pPr>
        <w:pStyle w:val="TextoNormal"/>
      </w:pPr>
      <w:r>
        <w:t xml:space="preserve">El órgano judicial no justifica si ha existido un incremento patrimonial expresivo de capacidad económica, esto es, el incremento de valor expresivo del hecho imponible del impuesto que evidencie que, en el caso concreto, se ha generado una riqueza susceptible de gravamen en la medida que “la materialización del incremento de valor del terreno urbano transmitido es condición </w:t>
      </w:r>
      <w:r w:rsidRPr="00F64776">
        <w:rPr>
          <w:i/>
        </w:rPr>
        <w:t>sine qua non</w:t>
      </w:r>
      <w:r>
        <w:t xml:space="preserve"> para el nacimiento de la obligación tributaria tras la STC 59/2017, FFJJ 3 y 5 a), y su cuantía real es determinante para la inexigibilidad del tributo en los supuestos en los que la cuota tributaria agote o supere el referido incremento efectivo tras la STC 126/2019, FJ 5 a)”.</w:t>
      </w:r>
    </w:p>
    <w:p w14:paraId="0EB85CB5" w14:textId="77777777" w:rsidR="00F64776" w:rsidRDefault="00F64776" w:rsidP="00F64776">
      <w:pPr>
        <w:pStyle w:val="TextoNormal"/>
      </w:pPr>
    </w:p>
    <w:p w14:paraId="5BCAF440" w14:textId="77777777" w:rsidR="00F64776" w:rsidRDefault="00F64776" w:rsidP="00F64776">
      <w:pPr>
        <w:pStyle w:val="TextoNormal"/>
      </w:pPr>
      <w:r>
        <w:t>Además, el recurrente cuestiona que se declaren consolidadas las liquidaciones que se impugnan con apoyo en la STC 182/2021 y la administración no proceda a entrar a valorar la revisión de estas conforme al recurso de reposición promovido, cuando considera y razona por qué los efectos de la sentencia constitucional no le afectan por no referirse a los preceptos forales aplicados.</w:t>
      </w:r>
    </w:p>
    <w:p w14:paraId="3C1BDDC9" w14:textId="77777777" w:rsidR="00F64776" w:rsidRDefault="00F64776" w:rsidP="00F64776">
      <w:pPr>
        <w:pStyle w:val="TextoNormal"/>
      </w:pPr>
    </w:p>
    <w:p w14:paraId="3755DBAE" w14:textId="77777777" w:rsidR="00F64776" w:rsidRDefault="00F64776" w:rsidP="00F64776">
      <w:pPr>
        <w:pStyle w:val="TextoNormal"/>
      </w:pPr>
      <w:r>
        <w:t>El órgano judicial no se pronuncia sobre esta alegación formulada por la parte demandante que, de ser estimada, provocaría que el órgano judicial deba anular la resolución impugnada con el efecto de retrotraer el procedimiento al momento en que la administración debía dictar la resolución por la que resolviese sobre la pertinencia de las pretensiones planteadas por el administrado frente a las liquidaciones que se impugnaban, lo que supondría que los preceptos cuestionados no serían aplicables para la resolución del litigio de manera que la cuestión prejudicial perdería su finalidad, pronunciarse sobre la constitucionalidad de un precepto legal aplicable al caso y de cuya validez depende el fallo, para convertirse en un juicio abstracto de constitucionalidad de la norma, lo que veda este Alto Tribunal.</w:t>
      </w:r>
    </w:p>
    <w:p w14:paraId="7A3967BA" w14:textId="77777777" w:rsidR="00F64776" w:rsidRDefault="00F64776" w:rsidP="00F64776">
      <w:pPr>
        <w:pStyle w:val="TextoNormal"/>
      </w:pPr>
    </w:p>
    <w:p w14:paraId="204D77CC" w14:textId="77777777" w:rsidR="00F64776" w:rsidRDefault="00F64776" w:rsidP="00F64776">
      <w:pPr>
        <w:pStyle w:val="TextoNormal"/>
      </w:pPr>
      <w:r>
        <w:t>En consecuencia, para el fiscal general del Estado, el órgano judicial debió resolver previamente esta cuestión ya que, de apreciarse que las liquidaciones impugnadas no eran firmes en vía administrativa y, por ende, eran susceptibles de revisión por la administración, no cabría la aplicación de la norma cuestionada y convertiría la cuestión prejudicial en un juicio abstracto de constitucionalidad.</w:t>
      </w:r>
    </w:p>
    <w:p w14:paraId="3FF72770" w14:textId="77777777" w:rsidR="00F64776" w:rsidRDefault="00F64776" w:rsidP="00F64776">
      <w:pPr>
        <w:pStyle w:val="TextoNormal"/>
      </w:pPr>
    </w:p>
    <w:p w14:paraId="439DA2C3" w14:textId="77777777" w:rsidR="00F64776" w:rsidRDefault="00F64776" w:rsidP="00F64776">
      <w:pPr>
        <w:pStyle w:val="TextoNormal"/>
      </w:pPr>
      <w:r>
        <w:t>El órgano judicial se ha limitado a cuestionar en abstracto los preceptos legales, en particular los artículos 4.1, 4.2.a) y 7.4, de la Norma Foral 16/1989, de 5 de julio, del IIVTNU, en la redacción del Decreto Foral-Norma de 2/2017, de 28 de marzo, dictado por la Diputación foral de Gipuzkoa por considerar contrario al art. 31.1 CE el método de cuantificación de la base imponible del IIVTNU por comparación de la redacción de los preceptos forales con los de la norma estatal declarados inconstitucionales por la STC 182/2021, de 16 de octubre, desligándose del caso que subyace en el litigio del que trae causa la presente cuestión prejudicial.</w:t>
      </w:r>
    </w:p>
    <w:p w14:paraId="0AA82159" w14:textId="77777777" w:rsidR="00F64776" w:rsidRDefault="00F64776" w:rsidP="00F64776">
      <w:pPr>
        <w:pStyle w:val="TextoNormal"/>
      </w:pPr>
    </w:p>
    <w:p w14:paraId="2C39D512" w14:textId="4CC1462C" w:rsidR="00F64776" w:rsidRDefault="00F64776" w:rsidP="00F64776">
      <w:pPr>
        <w:pStyle w:val="TextoNormal"/>
      </w:pPr>
      <w:r>
        <w:t>d) Finalmente, sobre el juicio de relevancia, afirma el fiscal general del Estado, que no está adecuadamente realizado en el auto de planteamiento, puesto que se ha limitado a remitirse a los razonamientos de la STC 182/2021, sin explicar de manera suficiente el paralelismo entre lo resuelto en esa sentencia y el objeto de la presente cuestión prejudicial en particular, ignorando lo previsto en el art. único del Decreto Foral-Norma 2/2017 en lo relativo a la necesaria existencia de un incremento de valor exigido por la Norma Foral 16/1989, en la redacción aplicable por razones temporales (modificada por el Decreto Foral-Norma 2/2017). Previsión esta inexistente en la normativa estatal examinada en la STC 182/2021. En esencia, el órgano judicial no ha valorado si la cuantificación de la base imponible, determinado el incremento o no patrimonial conforme al Decreto Foral-Norma 2/2017, que no cuestiona, y presupuesto de la aplicación de los preceptos forales cuestionados, no es objetiva y razonable y produce una afectación al principio de capacidad económica del art. 31.1 CE. Más cuando el Tribunal ha declarado que “es plenamente válida la opción de política legislativa dirigida a someter a tributación los incrementos de valor mediante el recurso a un sistema de cuantificación objetiva de capacidades económicas potenciales, en lugar de hacerlo en función de la efectiva capacidad económica puesta de manifiesto”.</w:t>
      </w:r>
    </w:p>
    <w:p w14:paraId="00C70678" w14:textId="77777777" w:rsidR="00F64776" w:rsidRDefault="00F64776" w:rsidP="00F64776">
      <w:pPr>
        <w:pStyle w:val="TextoNormal"/>
      </w:pPr>
    </w:p>
    <w:p w14:paraId="32B91D47" w14:textId="77777777" w:rsidR="00F64776" w:rsidRDefault="00F64776" w:rsidP="00F64776">
      <w:pPr>
        <w:pStyle w:val="TextoNormalNegritaCentrado"/>
        <w:keepNext/>
      </w:pPr>
      <w:r>
        <w:t>II. Fundamentos jurídicos</w:t>
      </w:r>
    </w:p>
    <w:p w14:paraId="083A14B7" w14:textId="373977E3" w:rsidR="00F64776" w:rsidRDefault="00F64776" w:rsidP="00F64776">
      <w:pPr>
        <w:pStyle w:val="TextoNormalNegritaCentrado"/>
        <w:keepNext/>
      </w:pPr>
    </w:p>
    <w:p w14:paraId="310FCF96" w14:textId="77777777" w:rsidR="00F64776" w:rsidRDefault="00F64776" w:rsidP="00F64776">
      <w:pPr>
        <w:pStyle w:val="TextoNormal"/>
      </w:pPr>
      <w:r w:rsidRPr="00F64776">
        <w:rPr>
          <w:rStyle w:val="NumeroAFNegritaCaracter"/>
        </w:rPr>
        <w:t>1</w:t>
      </w:r>
      <w:r>
        <w:t>. El Juzgado de lo Contencioso-Administrativo núm. 3 de Donostia-San Sebastián promueve, al amparo de la disposición adicional quinta, apartado 1 LOTC, cuestión de inconstitucionalidad en relación con los arts. 4.1, segundo párrafo, 4.2 a) y 4.3 de la Norma Foral 16/1989, de 5 de julio, del Territorio Histórico de Gipuzkoa, reguladora del impuesto sobre el incremento del valor de los terrenos de naturaleza urbana (en adelante, Norma Foral 16/1989 e IIVTNU, respectivamente), en la redacción vigente con anterioridad a la modificación efectuada por el Decreto-Norma Foral 7/2021, de 16 de noviembre, de adaptación de la Norma Foral 16/1989 a la jurisprudencia del Tribunal Constitucional (STC 182/2021, de 26 de octubre).</w:t>
      </w:r>
    </w:p>
    <w:p w14:paraId="583649F5" w14:textId="77777777" w:rsidR="00F64776" w:rsidRDefault="00F64776" w:rsidP="00F64776">
      <w:pPr>
        <w:pStyle w:val="TextoNormal"/>
      </w:pPr>
    </w:p>
    <w:p w14:paraId="62C24534" w14:textId="77777777" w:rsidR="00F64776" w:rsidRDefault="00F64776" w:rsidP="00F64776">
      <w:pPr>
        <w:pStyle w:val="TextoNormal"/>
      </w:pPr>
      <w:r>
        <w:t>Aunque el órgano judicial promotor de la cuestión afirme promover una cuestión de inconstitucionalidad, lo cierto es que este tribunal debe tener en cuenta la naturaleza de la norma cuestionada, que es una norma foral fiscal, respecto de la cual lo que cabe plantear es una cuestión prejudicial de validez, de acuerdo con lo previsto en la disposición adicional quinta LOTC (añadida por el art. 1 de la Ley Orgánica 1/2010, de 19 de febrero).</w:t>
      </w:r>
    </w:p>
    <w:p w14:paraId="78F764DF" w14:textId="77777777" w:rsidR="00F64776" w:rsidRDefault="00F64776" w:rsidP="00F64776">
      <w:pPr>
        <w:pStyle w:val="TextoNormal"/>
      </w:pPr>
    </w:p>
    <w:p w14:paraId="1A023170" w14:textId="77777777" w:rsidR="00F64776" w:rsidRDefault="00F64776" w:rsidP="00F64776">
      <w:pPr>
        <w:pStyle w:val="TextoNormal"/>
      </w:pPr>
      <w:r>
        <w:t>Los preceptos forales aquí cuestionados establecen:</w:t>
      </w:r>
    </w:p>
    <w:p w14:paraId="6EA37B97" w14:textId="77777777" w:rsidR="00F64776" w:rsidRDefault="00F64776" w:rsidP="00F64776">
      <w:pPr>
        <w:pStyle w:val="TextoNormal"/>
      </w:pPr>
    </w:p>
    <w:p w14:paraId="6D6DE8CE" w14:textId="77777777" w:rsidR="00F64776" w:rsidRDefault="00F64776" w:rsidP="00F64776">
      <w:pPr>
        <w:pStyle w:val="TextoNormal"/>
      </w:pPr>
      <w:r>
        <w:t>“1. La base imponible de este impuesto está constituida por el incremento del valor de los terrenos, puesto de manifiesto en el momento del devengo y experimentado a lo largo de un período máximo de veinte años [este primer párrafo no ha sido cuestionado].</w:t>
      </w:r>
    </w:p>
    <w:p w14:paraId="2546B566" w14:textId="77777777" w:rsidR="00F64776" w:rsidRDefault="00F64776" w:rsidP="00F64776">
      <w:pPr>
        <w:pStyle w:val="TextoNormal"/>
      </w:pPr>
    </w:p>
    <w:p w14:paraId="6A7BF1FD" w14:textId="77777777" w:rsidR="00F64776" w:rsidRDefault="00F64776" w:rsidP="00F64776">
      <w:pPr>
        <w:pStyle w:val="TextoNormal"/>
      </w:pPr>
      <w:r>
        <w:t>A efectos de la determinación de la base imponible, habrá de tenerse en cuenta el valor del terreno en el momento del devengo, de acuerdo con lo previsto en el apartado 2 de este artículo, y el porcentaje que corresponda en función de lo previsto en su apartado 3.</w:t>
      </w:r>
    </w:p>
    <w:p w14:paraId="73E8C377" w14:textId="77777777" w:rsidR="00F64776" w:rsidRDefault="00F64776" w:rsidP="00F64776">
      <w:pPr>
        <w:pStyle w:val="TextoNormal"/>
      </w:pPr>
    </w:p>
    <w:p w14:paraId="33EF3BE6" w14:textId="77777777" w:rsidR="00F64776" w:rsidRDefault="00F64776" w:rsidP="00F64776">
      <w:pPr>
        <w:pStyle w:val="TextoNormal"/>
      </w:pPr>
      <w:r>
        <w:t>2. El valor del terreno en el momento del devengo resultará de lo establecido en las siguientes reglas:</w:t>
      </w:r>
    </w:p>
    <w:p w14:paraId="6CF2E623" w14:textId="77777777" w:rsidR="00F64776" w:rsidRDefault="00F64776" w:rsidP="00F64776">
      <w:pPr>
        <w:pStyle w:val="TextoNormal"/>
      </w:pPr>
    </w:p>
    <w:p w14:paraId="19C65BF4" w14:textId="77777777" w:rsidR="00F64776" w:rsidRDefault="00F64776" w:rsidP="00F64776">
      <w:pPr>
        <w:pStyle w:val="TextoNormal"/>
      </w:pPr>
      <w:r>
        <w:t>a) En las transmisiones de terrenos, el valor de los mismos en el momento del devengo será el que tengan determinado en dicho momento a efectos del impuesto sobre bienes inmuebles.</w:t>
      </w:r>
    </w:p>
    <w:p w14:paraId="631A681B" w14:textId="77777777" w:rsidR="00F64776" w:rsidRDefault="00F64776" w:rsidP="00F64776">
      <w:pPr>
        <w:pStyle w:val="TextoNormal"/>
      </w:pPr>
    </w:p>
    <w:p w14:paraId="624ADA71" w14:textId="77777777" w:rsidR="00F64776" w:rsidRDefault="00F64776" w:rsidP="00F64776">
      <w:pPr>
        <w:pStyle w:val="TextoNormal"/>
      </w:pPr>
      <w:r>
        <w:t>No obstante, cuando dicho valor sea consecuencia de una ponencia de valores que no refleje modificaciones de planeamiento aprobadas con posterioridad a la aprobación de la citada ponencia, se podrá liquidar provisionalmente este impuesto con arreglo al mismo. En estos casos, en la liquidación definitiva se aplicará el valor de los terrenos una vez se haya obtenido conforme a los procedimientos de valoración que se instruyan, referido a la fecha de devengo.</w:t>
      </w:r>
    </w:p>
    <w:p w14:paraId="770027A5" w14:textId="77777777" w:rsidR="00F64776" w:rsidRDefault="00F64776" w:rsidP="00F64776">
      <w:pPr>
        <w:pStyle w:val="TextoNormal"/>
      </w:pPr>
    </w:p>
    <w:p w14:paraId="1EF2BF29" w14:textId="77777777" w:rsidR="00F64776" w:rsidRDefault="00F64776" w:rsidP="00F64776">
      <w:pPr>
        <w:pStyle w:val="TextoNormal"/>
      </w:pPr>
      <w:r>
        <w:t>Cuando el terreno, aun siendo de naturaleza urbana, en el momento del devengo del impuesto no tenga determinado valor catastral en dicho momento, el ayuntamiento podrá practicar la liquidación cuando el referido valor catastral sea determinado, refiriendo dicho valor al momento del devengo.</w:t>
      </w:r>
    </w:p>
    <w:p w14:paraId="420BB845" w14:textId="77777777" w:rsidR="00F64776" w:rsidRDefault="00F64776" w:rsidP="00F64776">
      <w:pPr>
        <w:pStyle w:val="TextoNormal"/>
      </w:pPr>
    </w:p>
    <w:p w14:paraId="2D3D842A" w14:textId="77777777" w:rsidR="00F64776" w:rsidRDefault="00F64776" w:rsidP="00F64776">
      <w:pPr>
        <w:pStyle w:val="TextoNormal"/>
      </w:pPr>
      <w:r>
        <w:t>[…]</w:t>
      </w:r>
    </w:p>
    <w:p w14:paraId="2F589E66" w14:textId="77777777" w:rsidR="00F64776" w:rsidRDefault="00F64776" w:rsidP="00F64776">
      <w:pPr>
        <w:pStyle w:val="TextoNormal"/>
      </w:pPr>
    </w:p>
    <w:p w14:paraId="66355FA3" w14:textId="77777777" w:rsidR="00F64776" w:rsidRDefault="00F64776" w:rsidP="00F64776">
      <w:pPr>
        <w:pStyle w:val="TextoNormal"/>
      </w:pPr>
      <w:r>
        <w:t>3. Sobre el valor del terreno en el momento del devengo, derivado de lo dispuesto en el apartado 2 anterior, se aplicará el porcentaje anual que determine cada ayuntamiento, sin que el mismo pueda exceder de los límites siguientes:</w:t>
      </w:r>
    </w:p>
    <w:p w14:paraId="09A6DBD2" w14:textId="77777777" w:rsidR="00F64776" w:rsidRDefault="00F64776" w:rsidP="00F64776">
      <w:pPr>
        <w:pStyle w:val="TextoNormal"/>
      </w:pPr>
    </w:p>
    <w:p w14:paraId="49951B77" w14:textId="77777777" w:rsidR="00F64776" w:rsidRDefault="00F64776" w:rsidP="00F64776">
      <w:pPr>
        <w:pStyle w:val="TextoNormal"/>
      </w:pPr>
      <w:r>
        <w:t>a) Período de uno hasta cinco años: 3,6.</w:t>
      </w:r>
    </w:p>
    <w:p w14:paraId="04C877DA" w14:textId="77777777" w:rsidR="00F64776" w:rsidRDefault="00F64776" w:rsidP="00F64776">
      <w:pPr>
        <w:pStyle w:val="TextoNormal"/>
      </w:pPr>
    </w:p>
    <w:p w14:paraId="3F4F3EBF" w14:textId="77777777" w:rsidR="00F64776" w:rsidRDefault="00F64776" w:rsidP="00F64776">
      <w:pPr>
        <w:pStyle w:val="TextoNormal"/>
      </w:pPr>
      <w:r>
        <w:t>b) Período de hasta diez años: 3,4.</w:t>
      </w:r>
    </w:p>
    <w:p w14:paraId="16CA0063" w14:textId="77777777" w:rsidR="00F64776" w:rsidRDefault="00F64776" w:rsidP="00F64776">
      <w:pPr>
        <w:pStyle w:val="TextoNormal"/>
      </w:pPr>
    </w:p>
    <w:p w14:paraId="11BAFDF7" w14:textId="77777777" w:rsidR="00F64776" w:rsidRDefault="00F64776" w:rsidP="00F64776">
      <w:pPr>
        <w:pStyle w:val="TextoNormal"/>
      </w:pPr>
      <w:r>
        <w:t>c) Período de hasta quince años: 3,1.</w:t>
      </w:r>
    </w:p>
    <w:p w14:paraId="1C06FEFA" w14:textId="77777777" w:rsidR="00F64776" w:rsidRDefault="00F64776" w:rsidP="00F64776">
      <w:pPr>
        <w:pStyle w:val="TextoNormal"/>
      </w:pPr>
    </w:p>
    <w:p w14:paraId="1C48DD02" w14:textId="77777777" w:rsidR="00F64776" w:rsidRDefault="00F64776" w:rsidP="00F64776">
      <w:pPr>
        <w:pStyle w:val="TextoNormal"/>
      </w:pPr>
      <w:r>
        <w:t>d) Período de hasta veinte años: 2,9.</w:t>
      </w:r>
    </w:p>
    <w:p w14:paraId="40D2DA10" w14:textId="77777777" w:rsidR="00F64776" w:rsidRDefault="00F64776" w:rsidP="00F64776">
      <w:pPr>
        <w:pStyle w:val="TextoNormal"/>
      </w:pPr>
    </w:p>
    <w:p w14:paraId="68247560" w14:textId="77777777" w:rsidR="00F64776" w:rsidRDefault="00F64776" w:rsidP="00F64776">
      <w:pPr>
        <w:pStyle w:val="TextoNormal"/>
      </w:pPr>
      <w:r>
        <w:t>Para determinar el porcentaje, se aplicarán las reglas siguientes:</w:t>
      </w:r>
    </w:p>
    <w:p w14:paraId="7AC1D275" w14:textId="77777777" w:rsidR="00F64776" w:rsidRDefault="00F64776" w:rsidP="00F64776">
      <w:pPr>
        <w:pStyle w:val="TextoNormal"/>
      </w:pPr>
    </w:p>
    <w:p w14:paraId="2B944D16" w14:textId="77777777" w:rsidR="00F64776" w:rsidRDefault="00F64776" w:rsidP="00F64776">
      <w:pPr>
        <w:pStyle w:val="TextoNormal"/>
      </w:pPr>
      <w:r>
        <w:t>Primera. El incremento de valor de cada operación gravada por el impuesto se determinará con arreglo al porcentaje anual fijado por el ayuntamiento para el período que comprenda el número de años a lo largo de los cuales se haya puesto de manifiesto dicho incremento.</w:t>
      </w:r>
    </w:p>
    <w:p w14:paraId="7B8711EB" w14:textId="77777777" w:rsidR="00F64776" w:rsidRDefault="00F64776" w:rsidP="00F64776">
      <w:pPr>
        <w:pStyle w:val="TextoNormal"/>
      </w:pPr>
    </w:p>
    <w:p w14:paraId="5FBBB7EB" w14:textId="77777777" w:rsidR="00F64776" w:rsidRDefault="00F64776" w:rsidP="00F64776">
      <w:pPr>
        <w:pStyle w:val="TextoNormal"/>
      </w:pPr>
      <w:r>
        <w:t>Segunda. El porcentaje a aplicar sobre el valor del terreno en el momento del devengo será el resultante de multiplicar el porcentaje anual aplicable a cada caso concreto por el número de años a lo largo de los cuales se haya puesto de manifiesto el incremento del valor.</w:t>
      </w:r>
    </w:p>
    <w:p w14:paraId="6954F0DA" w14:textId="77777777" w:rsidR="00F64776" w:rsidRDefault="00F64776" w:rsidP="00F64776">
      <w:pPr>
        <w:pStyle w:val="TextoNormal"/>
      </w:pPr>
    </w:p>
    <w:p w14:paraId="5E5B75F4" w14:textId="77777777" w:rsidR="00F64776" w:rsidRDefault="00F64776" w:rsidP="00F64776">
      <w:pPr>
        <w:pStyle w:val="TextoNormal"/>
      </w:pPr>
      <w:r>
        <w:t>Tercera. Para determinar el porcentaje anual aplicable a cada operación concreta conforme a la regla primera y para determinar el número de años por los que se ha de multiplicar dicho porcentaje anual conforme a la regla segunda, solo se considerarán los años completos que integren el período de puesta de manifiesto del incremento de valor, sin que a tales efectos puedan considerarse las fracciones de años de dicho periodo”.</w:t>
      </w:r>
    </w:p>
    <w:p w14:paraId="3BF271D5" w14:textId="77777777" w:rsidR="00F64776" w:rsidRDefault="00F64776" w:rsidP="00F64776">
      <w:pPr>
        <w:pStyle w:val="TextoNormal"/>
      </w:pPr>
    </w:p>
    <w:p w14:paraId="511AE96C" w14:textId="77777777" w:rsidR="00F64776" w:rsidRDefault="00F64776" w:rsidP="00F64776">
      <w:pPr>
        <w:pStyle w:val="TextoNormal"/>
      </w:pPr>
      <w:r>
        <w:t>Como se ha expuesto en los antecedentes, el órgano judicial promotor de esta cuestión considera que dichos preceptos forales, al tener un contenido análogo a los arts. 107.1, segundo párrafo, 107.2 a) y 107.4 del texto refundido de la Ley reguladora de las haciendas locales, aprobado por el Real Decreto Legislativo 2/2004, de 5 de marzo (en adelante, TRLHL), declarados inconstitucionales y nulos en la STC 182/2021, de 26 de octubre, podrían contravenir el principio de capacidad económica como criterio de la imposición (art. 31.1 CE).</w:t>
      </w:r>
    </w:p>
    <w:p w14:paraId="29372822" w14:textId="77777777" w:rsidR="00F64776" w:rsidRDefault="00F64776" w:rsidP="00F64776">
      <w:pPr>
        <w:pStyle w:val="TextoNormal"/>
      </w:pPr>
    </w:p>
    <w:p w14:paraId="02AD06EF" w14:textId="058CB04C" w:rsidR="00F64776" w:rsidRDefault="00F64776" w:rsidP="00F64776">
      <w:pPr>
        <w:pStyle w:val="TextoNormal"/>
      </w:pPr>
      <w:r>
        <w:t>El fiscal general del Estado, en el trámite del art. 37.1 LOTC, se ha opuesto a la admisión de la presente cuestión prejudicial de validez al apreciar la inobservancia de los presupuestos procesales relativos los juicios de aplicabilidad y relevancia (art. 163 CE y 35.1 LOTC).</w:t>
      </w:r>
    </w:p>
    <w:p w14:paraId="114175EA" w14:textId="77777777" w:rsidR="00F64776" w:rsidRDefault="00F64776" w:rsidP="00F64776">
      <w:pPr>
        <w:pStyle w:val="TextoNormal"/>
      </w:pPr>
    </w:p>
    <w:p w14:paraId="3A3916FB" w14:textId="77777777" w:rsidR="00F64776" w:rsidRDefault="00F64776" w:rsidP="00F64776">
      <w:pPr>
        <w:pStyle w:val="TextoNormal"/>
      </w:pPr>
      <w:r w:rsidRPr="00F64776">
        <w:rPr>
          <w:rStyle w:val="NumeroAFNegritaCaracter"/>
        </w:rPr>
        <w:t>2</w:t>
      </w:r>
      <w:r>
        <w:t xml:space="preserve">. El artículo 37.1 LOTC, aplicable a las cuestiones prejudiciales de validez sobre normas forales fiscales conforme a la disposición adicional quinta, apartado 2, de la misma ley, permite a este tribunal rechazar </w:t>
      </w:r>
      <w:r w:rsidRPr="00F64776">
        <w:rPr>
          <w:i/>
        </w:rPr>
        <w:t>a limine</w:t>
      </w:r>
      <w:r>
        <w:t xml:space="preserve"> las cuestiones de inconstitucionalidad, mediante auto y sin otra audiencia que la del fiscal general del Estado, cuando falten las “condiciones procesales” o sea “notoriamente infundada” la cuestión suscitada.</w:t>
      </w:r>
    </w:p>
    <w:p w14:paraId="3ECCE7FC" w14:textId="77777777" w:rsidR="00F64776" w:rsidRDefault="00F64776" w:rsidP="00F64776">
      <w:pPr>
        <w:pStyle w:val="TextoNormal"/>
      </w:pPr>
    </w:p>
    <w:p w14:paraId="16964381" w14:textId="77777777" w:rsidR="00F64776" w:rsidRDefault="00F64776" w:rsidP="00F64776">
      <w:pPr>
        <w:pStyle w:val="TextoNormal"/>
      </w:pPr>
      <w:r>
        <w:t>a) Tal y como exigen los artículos 163 de la Constitución y 35 LOTC, son “condiciones procesales” de la cuestión prejudicial de validez que los preceptos cuestionados resulten “aplicables al caso” y que de su “validez dependa el fallo”. Es esta una doble condición “necesaria y sucesiva para que este proceso mantenga su naturaleza incidental y no se convierta en un juicio abstracto de constitucionalidad desligado de las circunstancias del caso concreto, lo que daría lugar a una ampliación de la legitimación para interponer recurso abstracto o directo de inconstitucionalidad establecida en la Constitución [art. 162.1 a)] y en la Ley Orgánica del Tribunal Constitucional (art. 32.1)” (por todos, ATC 83/2022, de 11 de mayo, FJ 2).</w:t>
      </w:r>
    </w:p>
    <w:p w14:paraId="6163C6FF" w14:textId="77777777" w:rsidR="00F64776" w:rsidRDefault="00F64776" w:rsidP="00F64776">
      <w:pPr>
        <w:pStyle w:val="TextoNormal"/>
      </w:pPr>
    </w:p>
    <w:p w14:paraId="66836FD7" w14:textId="77777777" w:rsidR="00F64776" w:rsidRDefault="00F64776" w:rsidP="00F64776">
      <w:pPr>
        <w:pStyle w:val="TextoNormal"/>
      </w:pPr>
      <w:r>
        <w:t xml:space="preserve">Conforme a reiterada doctrina constitucional, corresponde al órgano promotor de la cuestión de inconstitucionalidad (o prejudicial de validez) tanto realizar el juicio de aplicabilidad, esto es, “determinar cuáles son efectivamente las normas aplicables al caso que ha de decidir” (STC 17/1981, de 1 de junio, FJ 1), como exteriorizar el juicio de relevancia, esto es, “el esquema argumental dirigido a probar que el fallo del proceso judicial depende de la validez de la norma cuestionada” (por todos, ATC 21/2001, de 30 de enero, FJ 1). Hemos hablado así de una auténtica “carga” del órgano promotor de la cuestión, en el sentido procesal del término (por ejemplo, en los AATC 20/2022, de 26 de enero, FJ 4, o 68/2022, de 7 de abril, FJ 4, entre otros muchos), que no corresponde a este tribunal “sustituir”, sino “verificar” (por todos, ATC 83/2022, antes aludido, FJ 2, con cita de otros) y que es “especialmente [exigible] cuando [la aplicación de la norma cuestionada] ha sido controvertida de forma principal tanto en vía administrativa como en el procedimiento judicial </w:t>
      </w:r>
      <w:r w:rsidRPr="00F64776">
        <w:rPr>
          <w:i/>
        </w:rPr>
        <w:t>a quo</w:t>
      </w:r>
      <w:r>
        <w:t>” (por todos, AATC 187/2023, de 18 de abril, FJ 2; 188/2023, de 18 de abril, FJ 2; y 330/2023, de 20 de junio, FJ 3).</w:t>
      </w:r>
    </w:p>
    <w:p w14:paraId="04FBA9E8" w14:textId="77777777" w:rsidR="00F64776" w:rsidRDefault="00F64776" w:rsidP="00F64776">
      <w:pPr>
        <w:pStyle w:val="TextoNormal"/>
      </w:pPr>
    </w:p>
    <w:p w14:paraId="10B833AD" w14:textId="77777777" w:rsidR="00F64776" w:rsidRDefault="00F64776" w:rsidP="00F64776">
      <w:pPr>
        <w:pStyle w:val="TextoNormal"/>
      </w:pPr>
      <w:r>
        <w:t>b) Como ya se expuso en el ATC 330/2023, de 20 de junio, que resuelve una cuestión prejudicial de validez similar sobre estos mismos preceptos forales, debe convenirse que el órgano judicial promotor no ha justificado en qué medida la decisión del proceso depende de la norma cuestionada, al no haber exteriorizado el esquema argumental dirigido a probar que el fallo del proceso depende de los preceptos forales cuestionados.</w:t>
      </w:r>
    </w:p>
    <w:p w14:paraId="5F6D69B8" w14:textId="77777777" w:rsidR="00F64776" w:rsidRDefault="00F64776" w:rsidP="00F64776">
      <w:pPr>
        <w:pStyle w:val="TextoNormal"/>
      </w:pPr>
    </w:p>
    <w:p w14:paraId="276D3A72" w14:textId="77777777" w:rsidR="00F64776" w:rsidRDefault="00F64776" w:rsidP="00F64776">
      <w:pPr>
        <w:pStyle w:val="TextoNormal"/>
      </w:pPr>
      <w:r>
        <w:t xml:space="preserve">El auto de planteamiento de la cuestión se ha limitado a reproducir la STC 182/2021 y a afirmar de forma apodíctica que, como los preceptos forales cuestionados coinciden con la regulación del texto refundido de la Ley de haciendas locales declarada en ella inconstitucional, es necesario el planteamiento de esta cuestión prejudicial de validez; por lo que, como sostiene el fiscal general del Estado, no explica de manera suficiente el paralelismo entre lo resuelto en esa sentencia y el objeto de la presente cuestión. Y todo ello sin alusión alguna a las circunstancias del caso concreto, puesto que el órgano judicial no entra a valorar si hubo o no incremento de valor del suelo urbano transmitido, pues si, como sostiene el recurrente en el proceso </w:t>
      </w:r>
      <w:r w:rsidRPr="00F64776">
        <w:rPr>
          <w:i/>
        </w:rPr>
        <w:t>a quo</w:t>
      </w:r>
      <w:r>
        <w:t>, no hubo incremento de valor, no existiría hecho imponible al no haberse devengado el impuesto (art. 1 de la Norma Foral 16/1989), lo que determinaría que el resultado del proceso no dependiera de la validez de la norma foral cuestionada.</w:t>
      </w:r>
    </w:p>
    <w:p w14:paraId="42D46581" w14:textId="77777777" w:rsidR="00F64776" w:rsidRDefault="00F64776" w:rsidP="00F64776">
      <w:pPr>
        <w:pStyle w:val="TextoNormal"/>
      </w:pPr>
    </w:p>
    <w:p w14:paraId="3FB607EF" w14:textId="4B6A9EBB" w:rsidR="00F64776" w:rsidRDefault="00F64776" w:rsidP="00F64776">
      <w:pPr>
        <w:pStyle w:val="TextoNormal"/>
      </w:pPr>
      <w:r>
        <w:t>En este sentido, son aquí trasladables las conclusiones a las que llegó este tribunal en el ATC 154/2022, de 16 de noviembre (con apoyo en el ATC 68/2022, de 7 de abril) en relación con la Ley Foral 2/1995 de haciendas locales de Navarra, que establecía un sistema objetivo de determinación de la base imponible del IIVTNU foral idéntico al declarado inconstitucional por la STC 182/2021. En dicho supuesto en el auto de planteamiento se sostenía que el precepto de la ley foral cuestionada era contrario al art. 31.1 CE al establecer una regulación similar a la que establecía el art. 107.4 TRLHL, que fue declarada inconstitucional y nula en la STC 182/2021, de 26 de octubre. El ATC 154/2022 consideró que el órgano judicial no había efectuado debidamente el juicio de relevancia porque no había formulado su propio juicio al respecto ni había expresado las razones por las que entendía que tales preceptos eran determinantes para el caso que había de resolver; máxime cuando ni tan siquiera se había puesto de manifiesto la existencia o no, en el caso concreto, del incremento patrimonial revelador de la riqueza susceptible de gravamen en el hecho imponible [FJ 4.b)].</w:t>
      </w:r>
    </w:p>
    <w:p w14:paraId="5CC6A894" w14:textId="77777777" w:rsidR="00F64776" w:rsidRDefault="00F64776" w:rsidP="00F64776">
      <w:pPr>
        <w:pStyle w:val="TextoNormal"/>
      </w:pPr>
    </w:p>
    <w:p w14:paraId="1E56CBCE" w14:textId="77777777" w:rsidR="00F64776" w:rsidRDefault="00F64776" w:rsidP="00F64776">
      <w:pPr>
        <w:pStyle w:val="TextoNormal"/>
      </w:pPr>
      <w:r>
        <w:t>Por lo expuesto, el Pleno</w:t>
      </w:r>
    </w:p>
    <w:p w14:paraId="063F6416" w14:textId="48EF45D5" w:rsidR="00F64776" w:rsidRDefault="00F64776" w:rsidP="00F64776">
      <w:pPr>
        <w:pStyle w:val="TextoNormal"/>
      </w:pPr>
    </w:p>
    <w:p w14:paraId="05A01AAF" w14:textId="77777777" w:rsidR="00F64776" w:rsidRDefault="00F64776" w:rsidP="00F64776">
      <w:pPr>
        <w:pStyle w:val="TextoNormalCentrado"/>
      </w:pPr>
      <w:r>
        <w:t>ACUERDA</w:t>
      </w:r>
    </w:p>
    <w:p w14:paraId="5F14E121" w14:textId="3F0D8B27" w:rsidR="00F64776" w:rsidRDefault="00F64776" w:rsidP="00F64776">
      <w:pPr>
        <w:pStyle w:val="TextoNormalCentrado"/>
      </w:pPr>
    </w:p>
    <w:p w14:paraId="45D96B5F" w14:textId="40F8E9BD" w:rsidR="00F64776" w:rsidRDefault="00F64776" w:rsidP="00F64776">
      <w:pPr>
        <w:pStyle w:val="TextoNormal"/>
      </w:pPr>
      <w:r>
        <w:t>Inadmitir a trámite la presente cuestión prejudicial de validez.</w:t>
      </w:r>
    </w:p>
    <w:p w14:paraId="31F4857C" w14:textId="77777777" w:rsidR="00F64776" w:rsidRDefault="00F64776" w:rsidP="00F64776">
      <w:pPr>
        <w:pStyle w:val="TextoNormal"/>
      </w:pPr>
    </w:p>
    <w:p w14:paraId="75ADC617" w14:textId="77777777" w:rsidR="00F64776" w:rsidRDefault="00F64776" w:rsidP="00F64776">
      <w:pPr>
        <w:pStyle w:val="TextoNormal"/>
      </w:pPr>
      <w:r>
        <w:t>Madrid, a veinticuatro de octubre de dos mil veintitrés.</w:t>
      </w:r>
    </w:p>
    <w:p w14:paraId="4BABDF70" w14:textId="1BA7A3CE" w:rsidR="00F64776" w:rsidRDefault="00F64776">
      <w:pPr>
        <w:spacing w:after="160" w:line="278" w:lineRule="auto"/>
        <w:rPr>
          <w:rFonts w:ascii="Times New Roman" w:eastAsia="Times New Roman" w:hAnsi="Times New Roman" w:cs="Times New Roman"/>
          <w:sz w:val="24"/>
          <w:szCs w:val="24"/>
          <w:lang w:eastAsia="es-ES"/>
        </w:rPr>
      </w:pPr>
      <w:r>
        <w:br w:type="page"/>
      </w:r>
    </w:p>
    <w:p w14:paraId="502EBA93" w14:textId="77777777" w:rsidR="00F64776" w:rsidRDefault="00F64776" w:rsidP="00F64776">
      <w:pPr>
        <w:pStyle w:val="TtuloResolucin"/>
      </w:pPr>
      <w:bookmarkStart w:id="272" w:name="AUTO_2023_487"/>
      <w:r>
        <w:t>AUTO 487/2023, de 24 de octubre de 2023</w:t>
      </w:r>
    </w:p>
    <w:bookmarkEnd w:id="272"/>
    <w:p w14:paraId="7EDCE13F" w14:textId="77777777" w:rsidR="00F64776" w:rsidRDefault="00F64776" w:rsidP="00F64776">
      <w:pPr>
        <w:pStyle w:val="TtuloResolucin"/>
      </w:pPr>
      <w:r>
        <w:t>Pleno</w:t>
      </w:r>
    </w:p>
    <w:p w14:paraId="7F9F266F" w14:textId="77777777" w:rsidR="00F64776" w:rsidRDefault="00F64776" w:rsidP="00F64776">
      <w:pPr>
        <w:pStyle w:val="TextoNormalCentrado"/>
      </w:pPr>
      <w:r>
        <w:t>ECLI:ES:TC:2023:487A</w:t>
      </w:r>
    </w:p>
    <w:p w14:paraId="518FF0A9" w14:textId="1A105525" w:rsidR="00F64776" w:rsidRDefault="00F64776" w:rsidP="00F64776">
      <w:pPr>
        <w:pStyle w:val="TextoNormalCentrado"/>
      </w:pPr>
    </w:p>
    <w:p w14:paraId="20113B01" w14:textId="77777777" w:rsidR="00F64776" w:rsidRDefault="00F64776" w:rsidP="00F64776">
      <w:pPr>
        <w:pStyle w:val="SntesisDescriptiva"/>
      </w:pPr>
      <w:r>
        <w:t>Excms. Srs. doña Inmaculada Montalbán Huertas, don Ricardo Enríquez Sancho, don Ramón Sáez Valcárcel, don Enrique Arnaldo Alcubilla, doña Concepción Espejel Jorquera, don César Tolosa Tribiño, don Juan Carlos Campo Moreno y doña Laura Díez Bueso.</w:t>
      </w:r>
    </w:p>
    <w:p w14:paraId="00E4858D" w14:textId="59E422A0" w:rsidR="00F64776" w:rsidRDefault="00F64776" w:rsidP="00F64776">
      <w:pPr>
        <w:pStyle w:val="SntesisDescriptiva"/>
      </w:pPr>
    </w:p>
    <w:p w14:paraId="656A8CAB" w14:textId="77777777" w:rsidR="00F64776" w:rsidRDefault="00F64776" w:rsidP="00F64776">
      <w:pPr>
        <w:pStyle w:val="SntesisDescriptiva"/>
      </w:pPr>
      <w:r>
        <w:t>Desestima solicitud de revisión de diligencia de ordenación dictada en el recurso de amparo 4811-2023, promovido por don Antonio López Navidad en proceso contencioso administrativo.</w:t>
      </w:r>
    </w:p>
    <w:p w14:paraId="14278795" w14:textId="4B891800" w:rsidR="00F64776" w:rsidRDefault="00F64776" w:rsidP="00F64776">
      <w:pPr>
        <w:pStyle w:val="SntesisDescriptiva"/>
      </w:pPr>
    </w:p>
    <w:p w14:paraId="6D9B3F39" w14:textId="77777777" w:rsidR="00F64776" w:rsidRDefault="00F64776" w:rsidP="00F64776">
      <w:pPr>
        <w:pStyle w:val="SntesisDescriptiva"/>
      </w:pPr>
    </w:p>
    <w:p w14:paraId="5208D3D7" w14:textId="77777777" w:rsidR="00F64776" w:rsidRDefault="00F64776" w:rsidP="00F64776">
      <w:pPr>
        <w:pStyle w:val="SntesisDescriptiva"/>
      </w:pPr>
    </w:p>
    <w:p w14:paraId="191436A9" w14:textId="77777777" w:rsidR="00F64776" w:rsidRDefault="00F64776" w:rsidP="00F64776">
      <w:pPr>
        <w:pStyle w:val="TextoNormalNegritaCentrado"/>
      </w:pPr>
      <w:r>
        <w:t>AUTO</w:t>
      </w:r>
    </w:p>
    <w:p w14:paraId="56C01C29" w14:textId="23053021" w:rsidR="00F64776" w:rsidRDefault="00F64776" w:rsidP="00F64776">
      <w:pPr>
        <w:pStyle w:val="TextoNormalNegritaCentrado"/>
      </w:pPr>
    </w:p>
    <w:p w14:paraId="67FB1508" w14:textId="77777777" w:rsidR="00F64776" w:rsidRDefault="00F64776" w:rsidP="00F64776">
      <w:pPr>
        <w:pStyle w:val="TextoNormalNegritaCentrado"/>
        <w:keepNext/>
      </w:pPr>
      <w:r>
        <w:t>I. Antecedentes</w:t>
      </w:r>
    </w:p>
    <w:p w14:paraId="39116651" w14:textId="6B8EFFE0" w:rsidR="00F64776" w:rsidRDefault="00F64776" w:rsidP="00F64776">
      <w:pPr>
        <w:pStyle w:val="TextoNormalNegritaCentrado"/>
        <w:keepNext/>
      </w:pPr>
    </w:p>
    <w:p w14:paraId="73283995" w14:textId="6A2A2919" w:rsidR="00F64776" w:rsidRDefault="00F64776" w:rsidP="00F64776">
      <w:pPr>
        <w:pStyle w:val="TextoNormal"/>
      </w:pPr>
      <w:r w:rsidRPr="00F64776">
        <w:rPr>
          <w:rStyle w:val="NumeroAFNegritaCaracter"/>
        </w:rPr>
        <w:t>1</w:t>
      </w:r>
      <w:r>
        <w:t>. Mediante escrito presentado el 17 de julio de 2023 en el registro general del Tribunal, don Antonio López Navidad interpuso recurso de amparo, registrado con el núm. 4811-2023, contra el auto núm. 8/2023, de 25 de abril, dictado por la Sala Especial del art. 61 de la Ley Orgánica del Poder Judicial (LOPJ) del Tribunal Supremo, resolución que inadmitía a trámite la demanda de error judicial presentada por el ahora recurrente contra la sentencia de la Sala de lo Contencioso-Administrativo (Sección Sexta) del Tribunal Supremo núm. 1671/2019, de 3 de diciembre, recaída en el recurso ordinario núm. 365-2018.</w:t>
      </w:r>
    </w:p>
    <w:p w14:paraId="7BE9B897" w14:textId="77777777" w:rsidR="00F64776" w:rsidRDefault="00F64776" w:rsidP="00F64776">
      <w:pPr>
        <w:pStyle w:val="TextoNormal"/>
      </w:pPr>
    </w:p>
    <w:p w14:paraId="5DBC232A" w14:textId="159DE504" w:rsidR="00F64776" w:rsidRDefault="00F64776" w:rsidP="00F64776">
      <w:pPr>
        <w:pStyle w:val="TextoNormal"/>
      </w:pPr>
      <w:r w:rsidRPr="00F64776">
        <w:rPr>
          <w:rStyle w:val="NumeroAFNegritaCaracter"/>
        </w:rPr>
        <w:t>2</w:t>
      </w:r>
      <w:r>
        <w:t>. El 27 de julio de 2023, el recurrente de amparo presentó un escrito en el que promovía incidente de recusación frente al magistrado don Cándido Conde-Pumpido Tourón y la magistrada doña María Luisa Segoviano Astaburuaga.</w:t>
      </w:r>
    </w:p>
    <w:p w14:paraId="50A70A7E" w14:textId="77777777" w:rsidR="00F64776" w:rsidRDefault="00F64776" w:rsidP="00F64776">
      <w:pPr>
        <w:pStyle w:val="TextoNormal"/>
      </w:pPr>
    </w:p>
    <w:p w14:paraId="46272B05" w14:textId="06B42912" w:rsidR="00F64776" w:rsidRDefault="00F64776" w:rsidP="00F64776">
      <w:pPr>
        <w:pStyle w:val="TextoNormal"/>
      </w:pPr>
      <w:r w:rsidRPr="00F64776">
        <w:rPr>
          <w:rStyle w:val="NumeroAFNegritaCaracter"/>
        </w:rPr>
        <w:t>3</w:t>
      </w:r>
      <w:r>
        <w:t>. En fecha 5 de septiembre de 2023, el secretario de Justicia del Pleno de este tribunal dictó diligencia de ordenación en la que se ordenaba formar pieza separada de recusación y se designaba ponente del incidente al magistrado don Juan Carlos Campo Moreno, de acuerdo con el turno establecido, “para que proponga al Pleno la resolución que proceda”.</w:t>
      </w:r>
    </w:p>
    <w:p w14:paraId="16E71A17" w14:textId="77777777" w:rsidR="00F64776" w:rsidRDefault="00F64776" w:rsidP="00F64776">
      <w:pPr>
        <w:pStyle w:val="TextoNormal"/>
      </w:pPr>
    </w:p>
    <w:p w14:paraId="5904ABD2" w14:textId="7BB0C01A" w:rsidR="00F64776" w:rsidRDefault="00F64776" w:rsidP="00F64776">
      <w:pPr>
        <w:pStyle w:val="TextoNormal"/>
      </w:pPr>
      <w:r w:rsidRPr="00F64776">
        <w:rPr>
          <w:rStyle w:val="NumeroAFNegritaCaracter"/>
        </w:rPr>
        <w:t>4</w:t>
      </w:r>
      <w:r>
        <w:t>. En fecha 13 de septiembre de 2023, el recurrente de amparo presentó recurso de reposición contra la anterior diligencia de ordenación, alegando infracción del art. 223.3 LOPJ en su primer párrafo. Considera que, de acuerdo con la referida norma, el Tribunal debe proceder de inmediato a dar traslado de la recusación al Ministerio Fiscal y a la Abogacía del Estado a efectos de que se pronuncien en el plazo legalmente establecido en relación con la causa de recusación planteada.</w:t>
      </w:r>
    </w:p>
    <w:p w14:paraId="4F2C5346" w14:textId="77777777" w:rsidR="00F64776" w:rsidRDefault="00F64776" w:rsidP="00F64776">
      <w:pPr>
        <w:pStyle w:val="TextoNormal"/>
      </w:pPr>
    </w:p>
    <w:p w14:paraId="091CD183" w14:textId="77777777" w:rsidR="00F64776" w:rsidRDefault="00F64776" w:rsidP="00F64776">
      <w:pPr>
        <w:pStyle w:val="TextoNormalNegritaCentrado"/>
        <w:keepNext/>
      </w:pPr>
      <w:r>
        <w:t>II. Fundamentos jurídicos</w:t>
      </w:r>
    </w:p>
    <w:p w14:paraId="39EECA79" w14:textId="18DA4885" w:rsidR="00F64776" w:rsidRDefault="00F64776" w:rsidP="00F64776">
      <w:pPr>
        <w:pStyle w:val="TextoNormalNegritaCentrado"/>
        <w:keepNext/>
      </w:pPr>
    </w:p>
    <w:p w14:paraId="6BA2D428" w14:textId="77777777" w:rsidR="00F64776" w:rsidRDefault="00F64776" w:rsidP="00F64776">
      <w:pPr>
        <w:pStyle w:val="TextoNormal"/>
      </w:pPr>
      <w:r w:rsidRPr="00F64776">
        <w:rPr>
          <w:rStyle w:val="TextoNormalNegritaCaracter"/>
        </w:rPr>
        <w:t xml:space="preserve">Único. </w:t>
      </w:r>
      <w:r>
        <w:t>Como hemos señalado en nuestro reciente Auto 6/2023, de 24 de enero, siguiendo lo resuelto en los AATC 43/2012, de 9 de marzo, FJ 1; 179/2019, de 16 de diciembre, FJ 1; 106/2020, de 21 de septiembre, FJ 1, y 16/2021, de 15 de febrero, FJ 1, las diligencias de ordenación dictadas por los secretarios de justicia del Tribunal Constitucional no son recurribles en reposición ante el propio secretario de justicia que las haya dictado, sin perjuicio de que puedan ser revisables por la correspondiente Sección de este tribunal o, en su caso, por las Salas o el Pleno.</w:t>
      </w:r>
    </w:p>
    <w:p w14:paraId="26CF6740" w14:textId="77777777" w:rsidR="00F64776" w:rsidRDefault="00F64776" w:rsidP="00F64776">
      <w:pPr>
        <w:pStyle w:val="TextoNormal"/>
      </w:pPr>
    </w:p>
    <w:p w14:paraId="39B12A3D" w14:textId="77777777" w:rsidR="00F64776" w:rsidRDefault="00F64776" w:rsidP="00F64776">
      <w:pPr>
        <w:pStyle w:val="TextoNormal"/>
      </w:pPr>
      <w:r>
        <w:t>En consecuencia, no procede el recurso de reposición que el actor pretende interponer contra la diligencia de ordenación de 5 de septiembre de 2023. No obstante, ello no impide que abordemos la pretensión que se formula en dicho recurso como una petición de revisión por este tribunal de lo acordado por el secretario de justicia del Pleno; pues, en último término, cualquiera que sea la denominación o veste otorgada al escrito presentado hay que atender, siguiendo un criterio antiformalista, a lo que en el mismo se interesa, que no es sino una revisión de lo acordado en la diligencia de ordenación, para que sea dejada sin efecto y se acuerde, en su lugar, el traslado a las partes previsto en el art. 223.3 LOPJ, como trámite propio del incidente de recusación.</w:t>
      </w:r>
    </w:p>
    <w:p w14:paraId="21F44788" w14:textId="77777777" w:rsidR="00F64776" w:rsidRDefault="00F64776" w:rsidP="00F64776">
      <w:pPr>
        <w:pStyle w:val="TextoNormal"/>
      </w:pPr>
    </w:p>
    <w:p w14:paraId="779C616F" w14:textId="562B09D1" w:rsidR="00F64776" w:rsidRDefault="00F64776" w:rsidP="00F64776">
      <w:pPr>
        <w:pStyle w:val="TextoNormal"/>
      </w:pPr>
      <w:r>
        <w:t>Pues bien, llegados a este punto no cabe sino confirmar en sus propios términos lo acordado en la diligencia de ordenación cuya revisión se solicita, por resultar la misma plenamente ajustada a Derecho. En efecto, la doctrina de este tribunal exige que la tramitación del incidente de recusación vaya precedida de un análisis liminar, del que puede resultar una decisión de inadmisión a trámite cuando razones procesales o de fondo así lo exijan (AATC 156/2022, de 16 de noviembre, FJ 2; o 31/2023, de 7 de febrero, FJ 2). Por tal razón, la designación de ponente constituye un antecedente procesal necesario a efectos de que el Pleno del Tribunal pueda adoptar la resolución que proceda en relación con la admisibilidad del incidente.</w:t>
      </w:r>
    </w:p>
    <w:p w14:paraId="2CA24567" w14:textId="77777777" w:rsidR="00F64776" w:rsidRDefault="00F64776" w:rsidP="00F64776">
      <w:pPr>
        <w:pStyle w:val="TextoNormal"/>
      </w:pPr>
    </w:p>
    <w:p w14:paraId="212524BC" w14:textId="77777777" w:rsidR="00F64776" w:rsidRDefault="00F64776" w:rsidP="00F64776">
      <w:pPr>
        <w:pStyle w:val="TextoNormal"/>
      </w:pPr>
      <w:r>
        <w:t>Por lo expuesto, el Pleno</w:t>
      </w:r>
    </w:p>
    <w:p w14:paraId="79199854" w14:textId="65F5C8CC" w:rsidR="00F64776" w:rsidRDefault="00F64776" w:rsidP="00F64776">
      <w:pPr>
        <w:pStyle w:val="TextoNormal"/>
      </w:pPr>
    </w:p>
    <w:p w14:paraId="3C0E8D93" w14:textId="77777777" w:rsidR="00F64776" w:rsidRDefault="00F64776" w:rsidP="00F64776">
      <w:pPr>
        <w:pStyle w:val="TextoNormalCentrado"/>
      </w:pPr>
      <w:r>
        <w:t>ACUERDA</w:t>
      </w:r>
    </w:p>
    <w:p w14:paraId="273CCFBE" w14:textId="62FA6C03" w:rsidR="00F64776" w:rsidRDefault="00F64776" w:rsidP="00F64776">
      <w:pPr>
        <w:pStyle w:val="TextoNormalCentrado"/>
      </w:pPr>
    </w:p>
    <w:p w14:paraId="00FE03E2" w14:textId="2BE7B58B" w:rsidR="00F64776" w:rsidRDefault="00F64776" w:rsidP="00F64776">
      <w:pPr>
        <w:pStyle w:val="TextoNormal"/>
      </w:pPr>
      <w:r>
        <w:t>No haber lugar a revisar la diligencia de ordenación del secretario de justicia del Pleno del Tribunal Constitucional de 5 de septiembre de 2023, que confirmamos íntegramente.</w:t>
      </w:r>
    </w:p>
    <w:p w14:paraId="062EC7AB" w14:textId="77777777" w:rsidR="00F64776" w:rsidRDefault="00F64776" w:rsidP="00F64776">
      <w:pPr>
        <w:pStyle w:val="TextoNormal"/>
      </w:pPr>
    </w:p>
    <w:p w14:paraId="1B6BE4AA" w14:textId="77777777" w:rsidR="00F64776" w:rsidRDefault="00F64776" w:rsidP="00F64776">
      <w:pPr>
        <w:pStyle w:val="TextoNormal"/>
      </w:pPr>
      <w:r>
        <w:t>Madrid, a veinticuatro de octubre de dos mil veintitrés.</w:t>
      </w:r>
    </w:p>
    <w:p w14:paraId="70584DB0" w14:textId="06A942F7" w:rsidR="00F64776" w:rsidRDefault="00F64776">
      <w:pPr>
        <w:spacing w:after="160" w:line="278" w:lineRule="auto"/>
        <w:rPr>
          <w:rFonts w:ascii="Times New Roman" w:eastAsia="Times New Roman" w:hAnsi="Times New Roman" w:cs="Times New Roman"/>
          <w:sz w:val="24"/>
          <w:szCs w:val="24"/>
          <w:lang w:eastAsia="es-ES"/>
        </w:rPr>
      </w:pPr>
      <w:r>
        <w:br w:type="page"/>
      </w:r>
    </w:p>
    <w:p w14:paraId="0BD5C72E" w14:textId="77777777" w:rsidR="00F64776" w:rsidRDefault="00F64776" w:rsidP="00F64776">
      <w:pPr>
        <w:pStyle w:val="TtuloResolucin"/>
      </w:pPr>
      <w:bookmarkStart w:id="273" w:name="AUTO_2023_488"/>
      <w:r>
        <w:t>AUTO 488/2023, de 24 de octubre de 2023</w:t>
      </w:r>
    </w:p>
    <w:bookmarkEnd w:id="273"/>
    <w:p w14:paraId="2F4B686D" w14:textId="77777777" w:rsidR="00F64776" w:rsidRDefault="00F64776" w:rsidP="00F64776">
      <w:pPr>
        <w:pStyle w:val="TtuloResolucin"/>
      </w:pPr>
      <w:r>
        <w:t>Pleno</w:t>
      </w:r>
    </w:p>
    <w:p w14:paraId="19500343" w14:textId="77777777" w:rsidR="00F64776" w:rsidRDefault="00F64776" w:rsidP="00F64776">
      <w:pPr>
        <w:pStyle w:val="TextoNormalCentrado"/>
      </w:pPr>
      <w:r>
        <w:t>ECLI:ES:TC:2023:488A</w:t>
      </w:r>
    </w:p>
    <w:p w14:paraId="2E0D881D" w14:textId="582B89BD" w:rsidR="00F64776" w:rsidRDefault="00F64776" w:rsidP="00F64776">
      <w:pPr>
        <w:pStyle w:val="TextoNormalCentrado"/>
      </w:pPr>
    </w:p>
    <w:p w14:paraId="04474E92" w14:textId="77777777" w:rsidR="00F64776" w:rsidRDefault="00F64776" w:rsidP="00F64776">
      <w:pPr>
        <w:pStyle w:val="SntesisDescriptiva"/>
      </w:pPr>
      <w:r>
        <w:t>Excms. Srs. doña Inmaculada Montalbán Huertas, don Ricardo Enríquez Sancho, don Ramón Sáez Valcárcel, don Enrique Arnaldo Alcubilla, doña Concepción Espejel Jorquera, don César Tolosa Tribiño, don Juan Carlos Campo Moreno y doña Laura Díez Bueso.</w:t>
      </w:r>
    </w:p>
    <w:p w14:paraId="07AA5AA8" w14:textId="2D6484CC" w:rsidR="00F64776" w:rsidRDefault="00F64776" w:rsidP="00F64776">
      <w:pPr>
        <w:pStyle w:val="SntesisDescriptiva"/>
      </w:pPr>
    </w:p>
    <w:p w14:paraId="0731B325" w14:textId="77777777" w:rsidR="00F64776" w:rsidRDefault="00F64776" w:rsidP="00F64776">
      <w:pPr>
        <w:pStyle w:val="SntesisDescriptiva"/>
      </w:pPr>
      <w:r>
        <w:t>Inadmite las recusaciones formuladas en el recurso de amparo 4811-2023, en proceso contencioso-administrativo.</w:t>
      </w:r>
    </w:p>
    <w:p w14:paraId="14513B7B" w14:textId="0B639AAE" w:rsidR="00F64776" w:rsidRDefault="00F64776" w:rsidP="00F64776">
      <w:pPr>
        <w:pStyle w:val="SntesisDescriptiva"/>
      </w:pPr>
    </w:p>
    <w:p w14:paraId="0C2DE328" w14:textId="77777777" w:rsidR="00F64776" w:rsidRDefault="00F64776" w:rsidP="00F64776">
      <w:pPr>
        <w:pStyle w:val="SntesisDescriptiva"/>
      </w:pPr>
    </w:p>
    <w:p w14:paraId="04BCA515" w14:textId="77777777" w:rsidR="00F64776" w:rsidRDefault="00F64776" w:rsidP="00F64776">
      <w:pPr>
        <w:pStyle w:val="SntesisDescriptiva"/>
      </w:pPr>
    </w:p>
    <w:p w14:paraId="25FF6092" w14:textId="77777777" w:rsidR="00F64776" w:rsidRDefault="00F64776" w:rsidP="00F64776">
      <w:pPr>
        <w:pStyle w:val="TextoNormalNegritaCentrado"/>
      </w:pPr>
      <w:r>
        <w:t>AUTO</w:t>
      </w:r>
    </w:p>
    <w:p w14:paraId="6279FE12" w14:textId="7D14E76E" w:rsidR="00F64776" w:rsidRDefault="00F64776" w:rsidP="00F64776">
      <w:pPr>
        <w:pStyle w:val="TextoNormalNegritaCentrado"/>
      </w:pPr>
    </w:p>
    <w:p w14:paraId="6FAC70A9" w14:textId="77777777" w:rsidR="00F64776" w:rsidRDefault="00F64776" w:rsidP="00F64776">
      <w:pPr>
        <w:pStyle w:val="TextoNormalNegritaCentrado"/>
        <w:keepNext/>
      </w:pPr>
      <w:r>
        <w:t>I. Antecedentes</w:t>
      </w:r>
    </w:p>
    <w:p w14:paraId="0E9BB5B9" w14:textId="0697267E" w:rsidR="00F64776" w:rsidRDefault="00F64776" w:rsidP="00F64776">
      <w:pPr>
        <w:pStyle w:val="TextoNormalNegritaCentrado"/>
        <w:keepNext/>
      </w:pPr>
    </w:p>
    <w:p w14:paraId="627C9DA3" w14:textId="77777777" w:rsidR="00F64776" w:rsidRDefault="00F64776" w:rsidP="00F64776">
      <w:pPr>
        <w:pStyle w:val="TextoNormal"/>
      </w:pPr>
      <w:r w:rsidRPr="00F64776">
        <w:rPr>
          <w:rStyle w:val="NumeroAFNegritaCaracter"/>
        </w:rPr>
        <w:t>1</w:t>
      </w:r>
      <w:r>
        <w:t>. Mediante escrito presentado el 17 de julio de 2023 en el registro general del Tribunal, don Antonio López Navidad interpuso recurso de amparo, registrado con el núm. 4811-2023, contra el auto núm. 8/2023, de 25 de abril, dictado por la Sala Especial del art. 61 de la Ley Orgánica del Poder Judicial (LOPJ) del Tribunal Supremo, resolución que inadmitía a trámite la demanda de error judicial presentada por el ahora recurrente contra la sentencia de la Sala de lo Contencioso-Administrativo (Sección Sexta) del Tribunal Supremo núm. 1671/2019, de 3 de diciembre, recaída en el recurso ordinario núm. 365-2018.</w:t>
      </w:r>
    </w:p>
    <w:p w14:paraId="7BD1E1FB" w14:textId="77777777" w:rsidR="00F64776" w:rsidRDefault="00F64776" w:rsidP="00F64776">
      <w:pPr>
        <w:pStyle w:val="TextoNormal"/>
      </w:pPr>
    </w:p>
    <w:p w14:paraId="40BD16E4" w14:textId="46949F1E" w:rsidR="00F64776" w:rsidRDefault="00F64776" w:rsidP="00F64776">
      <w:pPr>
        <w:pStyle w:val="TextoNormal"/>
      </w:pPr>
      <w:r>
        <w:t>En su demanda de amparo el recurrente invoca la vulneración de su derecho a la tutela judicial efectiva (art. 24.1 CE) y de su derecho a un proceso con todas las garantías (art. 24.2 CE), al considerar que la referida resolución “cumple de forma rigurosa los tres criterios que definen la corrupción de los poderes del estado y se ajusta por entero a la definición de corrupción”. El recurso de amparo fue turnado, a efectos de adoptar la decisión correspondiente sobre su admisibilidad, a la Sección Primera de este tribunal.</w:t>
      </w:r>
    </w:p>
    <w:p w14:paraId="47B9BD6B" w14:textId="77777777" w:rsidR="00F64776" w:rsidRDefault="00F64776" w:rsidP="00F64776">
      <w:pPr>
        <w:pStyle w:val="TextoNormal"/>
      </w:pPr>
    </w:p>
    <w:p w14:paraId="28970C47" w14:textId="77777777" w:rsidR="00F64776" w:rsidRDefault="00F64776" w:rsidP="00F64776">
      <w:pPr>
        <w:pStyle w:val="TextoNormal"/>
      </w:pPr>
      <w:r w:rsidRPr="00F64776">
        <w:rPr>
          <w:rStyle w:val="NumeroAFNegritaCaracter"/>
        </w:rPr>
        <w:t>2</w:t>
      </w:r>
      <w:r>
        <w:t>. El 27 de julio de 2023, el recurrente de amparo presentó un escrito en el que promovía incidente de recusación frente al magistrado don Cándido Conde-Pumpido Tourón y la magistrada doña María Luisa Segoviano Astaburuaga.</w:t>
      </w:r>
    </w:p>
    <w:p w14:paraId="421816E8" w14:textId="77777777" w:rsidR="00F64776" w:rsidRDefault="00F64776" w:rsidP="00F64776">
      <w:pPr>
        <w:pStyle w:val="TextoNormal"/>
      </w:pPr>
    </w:p>
    <w:p w14:paraId="5B83B7A3" w14:textId="77777777" w:rsidR="00F64776" w:rsidRDefault="00F64776" w:rsidP="00F64776">
      <w:pPr>
        <w:pStyle w:val="TextoNormal"/>
      </w:pPr>
      <w:r>
        <w:t>En cuanto al magistrado don Cándido Conde-Pumpido Tourón, en el escrito de recusación se argumenta que está incurso en la causa de abstención núm. 11 del art. 219 LOPJ (“[h]aber participado en la instrucción de la causa penal o haber resuelto el pleito o causa en la anterior instancia”) en la medida en que dicho magistrado habría sido ponente de un auto de fecha 11 de marzo 2016, dictado también por la Sala del art. 61 LOPJ. Dicho auto disponía, según afirma el actor, la inadmisión de una previa demanda de error judicial (procedimiento núm. 9-2015) presentada por el ahora recurrente de amparo frente a una sentencia, de fecha 24 de junio de 2015, dictada por la Sala de lo Social del Tribunal Supremo en el recurso de casación para la unificación de doctrina núm. 3125-2012.</w:t>
      </w:r>
    </w:p>
    <w:p w14:paraId="25E51401" w14:textId="77777777" w:rsidR="00F64776" w:rsidRDefault="00F64776" w:rsidP="00F64776">
      <w:pPr>
        <w:pStyle w:val="TextoNormal"/>
      </w:pPr>
    </w:p>
    <w:p w14:paraId="174E55D9" w14:textId="77777777" w:rsidR="00F64776" w:rsidRDefault="00F64776" w:rsidP="00F64776">
      <w:pPr>
        <w:pStyle w:val="TextoNormal"/>
      </w:pPr>
      <w:r>
        <w:t>Entiende, en particular, el recurrente de amparo que en la referida resolución de la Sala del art. 61 LOPJ, de la que se dice que el magistrado recusado habría sido ponente, también concurren “los tres criterios de corrupción de los poderes públicos enunciados por el primer fiscal anticorrupción de España […]: desvío de poder, arbitrariedad y favoritismo” y que constituye asimismo “un acto de deslealtad a la legalidad y sobre todo al Estado democrático”. Por esa razón, concluye, el magistrado “debe apartarse en términos absolutos del presente procedimiento de demanda de amparo”.</w:t>
      </w:r>
    </w:p>
    <w:p w14:paraId="3C150903" w14:textId="77777777" w:rsidR="00F64776" w:rsidRDefault="00F64776" w:rsidP="00F64776">
      <w:pPr>
        <w:pStyle w:val="TextoNormal"/>
      </w:pPr>
    </w:p>
    <w:p w14:paraId="34ACFE7A" w14:textId="3107E190" w:rsidR="00F64776" w:rsidRDefault="00F64776" w:rsidP="00F64776">
      <w:pPr>
        <w:pStyle w:val="TextoNormal"/>
      </w:pPr>
      <w:r>
        <w:t>Respecto de la magistrada doña María Luisa Segoviano Astaburuaga, se alega la misma causa de recusación en relación, esta vez, con la ya citada sentencia de 24 de junio de 2015 de la Sala de lo Social del Tribunal Supremo, pues la magistrada recusada habría formado parte, según se alega, del colegio de magistrados que inadmitió el referido recurso de casación para la unificación de doctrina núm. 3125-2012. El recurrente afirma, asimismo, que ha planteado diversos incidentes de recusación en la jurisdicción ordinaria frente a esta magistrada —por ejemplo, por haber manifestado, en diversas declaraciones públicas, la necesidad de aplicar una perspectiva de género en el ejercicio de la jurisdicción— e interesa que “se tengan como reproducidas en el actual incidente de recusación contra la misma”.</w:t>
      </w:r>
    </w:p>
    <w:p w14:paraId="40FED6CF" w14:textId="77777777" w:rsidR="00F64776" w:rsidRDefault="00F64776" w:rsidP="00F64776">
      <w:pPr>
        <w:pStyle w:val="TextoNormal"/>
      </w:pPr>
    </w:p>
    <w:p w14:paraId="15135238" w14:textId="77777777" w:rsidR="00F64776" w:rsidRDefault="00F64776" w:rsidP="00F64776">
      <w:pPr>
        <w:pStyle w:val="TextoNormalNegritaCentrado"/>
        <w:keepNext/>
      </w:pPr>
      <w:r>
        <w:t>II. Fundamentos jurídicos</w:t>
      </w:r>
    </w:p>
    <w:p w14:paraId="50D0B576" w14:textId="71CE5EAF" w:rsidR="00F64776" w:rsidRDefault="00F64776" w:rsidP="00F64776">
      <w:pPr>
        <w:pStyle w:val="TextoNormalNegritaCentrado"/>
        <w:keepNext/>
      </w:pPr>
    </w:p>
    <w:p w14:paraId="35AC8ED4" w14:textId="77777777" w:rsidR="00F64776" w:rsidRDefault="00F64776" w:rsidP="00F64776">
      <w:pPr>
        <w:pStyle w:val="TextoNormal"/>
      </w:pPr>
      <w:r w:rsidRPr="00F64776">
        <w:rPr>
          <w:rStyle w:val="NumeroAFNegritaCaracter"/>
        </w:rPr>
        <w:t>1</w:t>
      </w:r>
      <w:r>
        <w:t>. El objeto de la presente resolución es dar respuesta a la solicitud de recusación del presidente y de una magistrada de este tribunal para conocer del recurso de amparo núm. 4811-2023, que está pendiente de una decisión sobre su admisibilidad en la Sección Primera.</w:t>
      </w:r>
    </w:p>
    <w:p w14:paraId="14DDCA99" w14:textId="77777777" w:rsidR="00F64776" w:rsidRDefault="00F64776" w:rsidP="00F64776">
      <w:pPr>
        <w:pStyle w:val="TextoNormal"/>
      </w:pPr>
    </w:p>
    <w:p w14:paraId="7BEEEBC7" w14:textId="71DC885E" w:rsidR="00F64776" w:rsidRDefault="00F64776" w:rsidP="00F64776">
      <w:pPr>
        <w:pStyle w:val="TextoNormal"/>
      </w:pPr>
      <w:r>
        <w:t>El Tribunal ha reiterado la posibilidad de denegar la tramitación del incidente de recusación cuando razones procesales o de fondo así lo exijan; pudiendo producirse no solo como consecuencia de su defectuoso planteamiento procesal, en atención al momento en que se suscita, su reiteración, las circunstancias que la rodean, su planteamiento o las argumentaciones que la fundamentan, sino también cuando es formulada con manifiesto abuso de derecho o entrañan fraude de ley o procesal de acuerdo con lo establecido en el art. 11.2 LOPJ; así, por ejemplo, AATC 156/2022, de 16 de noviembre, FJ 2; o 31/2023, de 7 de febrero, FJ 2). En particular, este tribunal ha acordado la inadmisión de la recusación cuando, manifiestamente, se pretende extrapolar la causa de recusación concretamente alegada más allá del contenido que la regulación legal le otorga (por todos, ATC 454/2006, de 12 de diciembre, FJ 6) y ello en la medida en que la interpretación del ámbito de las causas de recusación recogidas en la ley es estricta, o no extensiva (por todas, STC 162/1999, de 27 de septiembre, FJ 8). También cuando el recurrente no cumple la exigencia formal del art. 223.2 LOPJ de “expresar concreta y claramente la causa legal y los motivos en que se funde, acompañando un principio de prueba sobre los mismos” (entre otros, AATC 351/2008, de 4 de noviembre, FJ 2; 126/2008, de 14 de mayo, FJ 2; 40/2011, de 12 de abril, FJ 6; y 238/2013, de 21 de octubre, FJ 5).</w:t>
      </w:r>
    </w:p>
    <w:p w14:paraId="26206753" w14:textId="77777777" w:rsidR="00F64776" w:rsidRDefault="00F64776" w:rsidP="00F64776">
      <w:pPr>
        <w:pStyle w:val="TextoNormal"/>
      </w:pPr>
    </w:p>
    <w:p w14:paraId="165DB55B" w14:textId="77777777" w:rsidR="00F64776" w:rsidRDefault="00F64776" w:rsidP="00F64776">
      <w:pPr>
        <w:pStyle w:val="TextoNormal"/>
      </w:pPr>
      <w:r w:rsidRPr="00F64776">
        <w:rPr>
          <w:rStyle w:val="NumeroAFNegritaCaracter"/>
        </w:rPr>
        <w:t>2</w:t>
      </w:r>
      <w:r>
        <w:t>. El Tribunal, en atención a la citada jurisprudencia, deniega liminarmente la tramitación de las recusaciones formuladas que han dado lugar al presente incidente por las razones siguientes:</w:t>
      </w:r>
    </w:p>
    <w:p w14:paraId="28A4722C" w14:textId="77777777" w:rsidR="00F64776" w:rsidRDefault="00F64776" w:rsidP="00F64776">
      <w:pPr>
        <w:pStyle w:val="TextoNormal"/>
      </w:pPr>
    </w:p>
    <w:p w14:paraId="01E78D8F" w14:textId="77777777" w:rsidR="00F64776" w:rsidRDefault="00F64776" w:rsidP="00F64776">
      <w:pPr>
        <w:pStyle w:val="TextoNormal"/>
      </w:pPr>
      <w:r>
        <w:t>a) El actor fundamenta, en primer lugar, la recusación del presidente y de una magistrada de este tribunal en la causa prevista en el núm. 11 del art. 219 LOPJ, conforme a la cual el magistrado o magistrada que ha resuelto un pleito o causa “en anterior instancia” queda obligado a abstenerse de su conocimiento. En nuestra doctrina, dicha causa de abstención queda claramente circunscrita a quien ha intervenido “en el mismo pleito con ocasión de una anterior instancia”, por lo que cualquier otra interpretación que pretenda dársele a la citada causa de recusación tendría la naturaleza extensiva, o incluso analógica, que nuestra doctrina proscribe categóricamente (ATC 454/2006, de 12 de diciembre, FJ 6).</w:t>
      </w:r>
    </w:p>
    <w:p w14:paraId="2DA30A03" w14:textId="77777777" w:rsidR="00F64776" w:rsidRDefault="00F64776" w:rsidP="00F64776">
      <w:pPr>
        <w:pStyle w:val="TextoNormal"/>
      </w:pPr>
    </w:p>
    <w:p w14:paraId="586ABD1F" w14:textId="77777777" w:rsidR="00F64776" w:rsidRDefault="00F64776" w:rsidP="00F64776">
      <w:pPr>
        <w:pStyle w:val="TextoNormal"/>
      </w:pPr>
      <w:r>
        <w:t>El pleito en el que se dictó la resolución recurrida en amparo (el auto núm. 8/2023, de 25 de abril) es el procedimiento de declaración de error judicial núm. 3-2021, seguido ante la Sala Especial del art. 61 LOPJ. El antecedente inmediato de este procedimiento es, a su vez, el recurso contencioso-administrativo núm. 365-2018, seguido ante la Sala de lo Contencioso-Administrativo del Tribunal Supremo, en el que recayó la sentencia de la Sección Sexta de dicha Sala núm. 1671/2019, de 3 de diciembre.</w:t>
      </w:r>
    </w:p>
    <w:p w14:paraId="4A012C8D" w14:textId="77777777" w:rsidR="00F64776" w:rsidRDefault="00F64776" w:rsidP="00F64776">
      <w:pPr>
        <w:pStyle w:val="TextoNormal"/>
      </w:pPr>
    </w:p>
    <w:p w14:paraId="76158F40" w14:textId="77777777" w:rsidR="00F64776" w:rsidRDefault="00F64776" w:rsidP="00F64776">
      <w:pPr>
        <w:pStyle w:val="TextoNormal"/>
      </w:pPr>
      <w:r>
        <w:t>Pues bien, el actor no alega que la magistrada o el magistrado recusados tuvieran intervención en el referido pleito (núm. 3-2021), ni tampoco en el procedimiento contencioso-administrativo antecedente (núm. 365-2018). Alega, antes bien, que han intervenido en otros procesos distintos, que también fueron promovidos por él, en particular, en el caso de la magistrada doña María Luisa Segoviano Astaburuaga en un pleito laboral (el recurso de casación para la unificación de doctrina núm. 3125-2012, seguido ante la Sala de lo Social del Tribunal Supremo) y, en el caso del magistrado don Cándido Conde-Pumpido Tourón, en un procedimiento de declaración de error judicial anterior (núm. 9-2015, seguido también ante la Sala del art. 61 del Tribunal Supremo precisamente en relación con el mencionado recurso de casación para la unificación de doctrina).</w:t>
      </w:r>
    </w:p>
    <w:p w14:paraId="1CD3519F" w14:textId="77777777" w:rsidR="00F64776" w:rsidRDefault="00F64776" w:rsidP="00F64776">
      <w:pPr>
        <w:pStyle w:val="TextoNormal"/>
      </w:pPr>
    </w:p>
    <w:p w14:paraId="76C30174" w14:textId="77777777" w:rsidR="00F64776" w:rsidRDefault="00F64776" w:rsidP="00F64776">
      <w:pPr>
        <w:pStyle w:val="TextoNormal"/>
      </w:pPr>
      <w:r>
        <w:t>Se aprecia por ello que la invocación, como fundamento de la recusación formulada, de la causa prevista en el núm. 11 del art. 219 LOPJ carece manifiestamente de fundamento, pues los procedimientos judiciales alegados por el actor, en los que pudieron intervenir el magistrado y la magistrada recusados, no constituyen, en modo alguno, instancias previas del pleito que ha dado lugar al recurso de amparo sino procesos judiciales diferentes (planteados incluso ante una jurisdicción distinta) y muy alejados en el tiempo.</w:t>
      </w:r>
    </w:p>
    <w:p w14:paraId="6C26D48C" w14:textId="77777777" w:rsidR="00F64776" w:rsidRDefault="00F64776" w:rsidP="00F64776">
      <w:pPr>
        <w:pStyle w:val="TextoNormal"/>
      </w:pPr>
    </w:p>
    <w:p w14:paraId="1ACB67C4" w14:textId="77777777" w:rsidR="00F64776" w:rsidRDefault="00F64776" w:rsidP="00F64776">
      <w:pPr>
        <w:pStyle w:val="TextoNormal"/>
      </w:pPr>
      <w:r>
        <w:t xml:space="preserve">Las eventuales conexiones materiales que pudieran existir entre esos procesos anteriores y el concreto pleito que ha dado lugar al presente recurso de amparo son, de existir, ajenas a la causa de recusación prevista en el núm. 11 del art. 219 LOPJ, que tiene un carácter puramente objetivo. Resulta claro, por ello, que esta causa de recusación está defectuosamente formulada y debe procederse a su inadmisión </w:t>
      </w:r>
      <w:r w:rsidRPr="00F64776">
        <w:rPr>
          <w:i/>
        </w:rPr>
        <w:t>in limine</w:t>
      </w:r>
      <w:r>
        <w:t>.</w:t>
      </w:r>
    </w:p>
    <w:p w14:paraId="46FCA0D2" w14:textId="77777777" w:rsidR="00F64776" w:rsidRDefault="00F64776" w:rsidP="00F64776">
      <w:pPr>
        <w:pStyle w:val="TextoNormal"/>
      </w:pPr>
    </w:p>
    <w:p w14:paraId="0558E406" w14:textId="77777777" w:rsidR="00F64776" w:rsidRDefault="00F64776" w:rsidP="00F64776">
      <w:pPr>
        <w:pStyle w:val="TextoNormal"/>
      </w:pPr>
      <w:r>
        <w:t>b) El actor también solicita, esta vez respecto de la magistrada doña María Luisa Segoviano Astaburuaga que “se tengan como reproducidas” en el presente incidente otras recusaciones que, según alega, ha ido planteando contra dicha magistrada en diversos procesos judiciales, desarrollados siempre en el ámbito de la jurisdicción ordinaria.</w:t>
      </w:r>
    </w:p>
    <w:p w14:paraId="652A7DD6" w14:textId="77777777" w:rsidR="00F64776" w:rsidRDefault="00F64776" w:rsidP="00F64776">
      <w:pPr>
        <w:pStyle w:val="TextoNormal"/>
      </w:pPr>
    </w:p>
    <w:p w14:paraId="40CD1ED3" w14:textId="77777777" w:rsidR="00F64776" w:rsidRDefault="00F64776" w:rsidP="00F64776">
      <w:pPr>
        <w:pStyle w:val="TextoNormal"/>
      </w:pPr>
      <w:r>
        <w:t>Es claro que ese planteamiento genérico de una recusación global, hecho por mera referencia a supuestas recusaciones anteriores, no contiene un mínimo esfuerzo argumental tendente a identificar una concreta causa legal de recusación que pueda proyectarse, de una manera lógica y racional, sobre el concreto proceso constitucional en curso.</w:t>
      </w:r>
    </w:p>
    <w:p w14:paraId="45FF1CCF" w14:textId="77777777" w:rsidR="00F64776" w:rsidRDefault="00F64776" w:rsidP="00F64776">
      <w:pPr>
        <w:pStyle w:val="TextoNormal"/>
      </w:pPr>
    </w:p>
    <w:p w14:paraId="67DCAFA5" w14:textId="2CCF5ECA" w:rsidR="00F64776" w:rsidRDefault="00F64776" w:rsidP="00F64776">
      <w:pPr>
        <w:pStyle w:val="TextoNormal"/>
      </w:pPr>
      <w:r>
        <w:t xml:space="preserve">Se incumple, por ello, de forma manifiesta, con la exigencia formal de “expresar concreta y claramente la causa legal y los motivos en que se funde [la recusación], acompañando un principio de prueba sobre los mismos” (223.2 LOPJ), lo que, como ya se ha dicho, determina igualmente en nuestra doctrina la inadmisión </w:t>
      </w:r>
      <w:r w:rsidRPr="00F64776">
        <w:rPr>
          <w:i/>
        </w:rPr>
        <w:t>in limine</w:t>
      </w:r>
      <w:r>
        <w:t xml:space="preserve"> del incidente de recusación.</w:t>
      </w:r>
    </w:p>
    <w:p w14:paraId="49AD2C16" w14:textId="77777777" w:rsidR="00F64776" w:rsidRDefault="00F64776" w:rsidP="00F64776">
      <w:pPr>
        <w:pStyle w:val="TextoNormal"/>
      </w:pPr>
    </w:p>
    <w:p w14:paraId="679283D6" w14:textId="77777777" w:rsidR="00F64776" w:rsidRDefault="00F64776" w:rsidP="00F64776">
      <w:pPr>
        <w:pStyle w:val="TextoNormal"/>
      </w:pPr>
      <w:r>
        <w:t>Por lo expuesto, el Pleno</w:t>
      </w:r>
    </w:p>
    <w:p w14:paraId="5B7D3FBD" w14:textId="6F032AEC" w:rsidR="00F64776" w:rsidRDefault="00F64776" w:rsidP="00F64776">
      <w:pPr>
        <w:pStyle w:val="TextoNormal"/>
      </w:pPr>
    </w:p>
    <w:p w14:paraId="7DFACD3D" w14:textId="77777777" w:rsidR="00F64776" w:rsidRDefault="00F64776" w:rsidP="00F64776">
      <w:pPr>
        <w:pStyle w:val="TextoNormalCentrado"/>
      </w:pPr>
      <w:r>
        <w:t>ACUERDA</w:t>
      </w:r>
    </w:p>
    <w:p w14:paraId="6DCCB600" w14:textId="616F180E" w:rsidR="00F64776" w:rsidRDefault="00F64776" w:rsidP="00F64776">
      <w:pPr>
        <w:pStyle w:val="TextoNormalCentrado"/>
      </w:pPr>
    </w:p>
    <w:p w14:paraId="3CA08430" w14:textId="74FBF190" w:rsidR="00F64776" w:rsidRDefault="00F64776" w:rsidP="00F64776">
      <w:pPr>
        <w:pStyle w:val="TextoNormal"/>
      </w:pPr>
      <w:r>
        <w:t>No admitir a trámite las recusaciones formuladas en el recurso de amparo núm. 4811-2023 y la devolución de las actuaciones a la Sección Primera del Tribunal.</w:t>
      </w:r>
    </w:p>
    <w:p w14:paraId="3FCAB4B4" w14:textId="77777777" w:rsidR="00F64776" w:rsidRDefault="00F64776" w:rsidP="00F64776">
      <w:pPr>
        <w:pStyle w:val="TextoNormal"/>
      </w:pPr>
    </w:p>
    <w:p w14:paraId="7E9C6AA0" w14:textId="77777777" w:rsidR="00F64776" w:rsidRDefault="00F64776" w:rsidP="00F64776">
      <w:pPr>
        <w:pStyle w:val="TextoNormal"/>
      </w:pPr>
      <w:r>
        <w:t>Madrid, a veinticuatro de octubre de dos mil veintitrés.</w:t>
      </w:r>
    </w:p>
    <w:p w14:paraId="6DACD493" w14:textId="1A63F128" w:rsidR="00F64776" w:rsidRDefault="00F64776">
      <w:pPr>
        <w:spacing w:after="160" w:line="278" w:lineRule="auto"/>
        <w:rPr>
          <w:rFonts w:ascii="Times New Roman" w:eastAsia="Times New Roman" w:hAnsi="Times New Roman" w:cs="Times New Roman"/>
          <w:sz w:val="24"/>
          <w:szCs w:val="24"/>
          <w:lang w:eastAsia="es-ES"/>
        </w:rPr>
      </w:pPr>
      <w:r>
        <w:br w:type="page"/>
      </w:r>
    </w:p>
    <w:p w14:paraId="2845C9D6" w14:textId="77777777" w:rsidR="00F64776" w:rsidRDefault="00F64776" w:rsidP="00F64776">
      <w:pPr>
        <w:pStyle w:val="TtuloResolucin"/>
      </w:pPr>
      <w:bookmarkStart w:id="274" w:name="AUTO_2023_489"/>
      <w:r>
        <w:t>AUTO 489/2023, de 24 de octubre de 2023</w:t>
      </w:r>
    </w:p>
    <w:bookmarkEnd w:id="274"/>
    <w:p w14:paraId="79C60492" w14:textId="77777777" w:rsidR="00F64776" w:rsidRDefault="00F64776" w:rsidP="00F64776">
      <w:pPr>
        <w:pStyle w:val="TtuloResolucin"/>
      </w:pPr>
      <w:r>
        <w:t>Pleno</w:t>
      </w:r>
    </w:p>
    <w:p w14:paraId="024D5CDE" w14:textId="77777777" w:rsidR="00F64776" w:rsidRDefault="00F64776" w:rsidP="00F64776">
      <w:pPr>
        <w:pStyle w:val="TextoNormalCentrado"/>
      </w:pPr>
      <w:r>
        <w:t>ECLI:ES:TC:2023:489A</w:t>
      </w:r>
    </w:p>
    <w:p w14:paraId="6D6CBF14" w14:textId="7FEB55F4" w:rsidR="00F64776" w:rsidRDefault="00F64776" w:rsidP="00F64776">
      <w:pPr>
        <w:pStyle w:val="TextoNormalCentrado"/>
      </w:pPr>
    </w:p>
    <w:p w14:paraId="4FDEE776" w14:textId="77777777" w:rsidR="00F64776" w:rsidRDefault="00F64776" w:rsidP="00F64776">
      <w:pPr>
        <w:pStyle w:val="SntesisDescriptiva"/>
      </w:pPr>
      <w:r>
        <w:t>Excms. Srs. don Cándido Conde-Pumpido Tourón, doña Inmaculada Montalbán Huertas, don Ricardo Enríquez Sancho, don Ramón Sáez Valcárcel, don Enrique Arnaldo Alcubilla, doña Concepción Espejel Jorquera, doña María Luisa Segoviano Astaburuaga, don César Tolosa Tribiño y doña Laura Díez Bueso.</w:t>
      </w:r>
    </w:p>
    <w:p w14:paraId="58324118" w14:textId="389F3C73" w:rsidR="00F64776" w:rsidRDefault="00F64776" w:rsidP="00F64776">
      <w:pPr>
        <w:pStyle w:val="SntesisDescriptiva"/>
      </w:pPr>
    </w:p>
    <w:p w14:paraId="2F4FFCB9" w14:textId="77777777" w:rsidR="00F64776" w:rsidRDefault="00F64776" w:rsidP="00F64776">
      <w:pPr>
        <w:pStyle w:val="SntesisDescriptiva"/>
      </w:pPr>
      <w:r>
        <w:t>Inadmite una recusación formulada en el recurso de amparo 5308-2023, en procedimiento de jurisdicción voluntaria.</w:t>
      </w:r>
    </w:p>
    <w:p w14:paraId="59D2B178" w14:textId="02EF3EFC" w:rsidR="00F64776" w:rsidRDefault="00F64776" w:rsidP="00F64776">
      <w:pPr>
        <w:pStyle w:val="SntesisDescriptiva"/>
      </w:pPr>
    </w:p>
    <w:p w14:paraId="35D01407" w14:textId="77777777" w:rsidR="00F64776" w:rsidRDefault="00F64776" w:rsidP="00F64776">
      <w:pPr>
        <w:pStyle w:val="SntesisDescriptiva"/>
      </w:pPr>
    </w:p>
    <w:p w14:paraId="471CE98E" w14:textId="77777777" w:rsidR="00F64776" w:rsidRDefault="00F64776" w:rsidP="00F64776">
      <w:pPr>
        <w:pStyle w:val="SntesisDescriptiva"/>
      </w:pPr>
    </w:p>
    <w:p w14:paraId="51C8F435" w14:textId="77777777" w:rsidR="00F64776" w:rsidRDefault="00F64776" w:rsidP="00F64776">
      <w:pPr>
        <w:pStyle w:val="TextoNormalNegritaCentrado"/>
      </w:pPr>
      <w:r>
        <w:t>AUTO</w:t>
      </w:r>
    </w:p>
    <w:p w14:paraId="165ACD6D" w14:textId="34879E19" w:rsidR="00F64776" w:rsidRDefault="00F64776" w:rsidP="00F64776">
      <w:pPr>
        <w:pStyle w:val="TextoNormalNegritaCentrado"/>
      </w:pPr>
    </w:p>
    <w:p w14:paraId="37985735" w14:textId="77777777" w:rsidR="00F64776" w:rsidRDefault="00F64776" w:rsidP="00F64776">
      <w:pPr>
        <w:pStyle w:val="TextoNormalNegritaCentrado"/>
        <w:keepNext/>
      </w:pPr>
      <w:r>
        <w:t>I. Antecedentes</w:t>
      </w:r>
    </w:p>
    <w:p w14:paraId="03A5139B" w14:textId="6EEDE5DE" w:rsidR="00F64776" w:rsidRDefault="00F64776" w:rsidP="00F64776">
      <w:pPr>
        <w:pStyle w:val="TextoNormalNegritaCentrado"/>
        <w:keepNext/>
      </w:pPr>
    </w:p>
    <w:p w14:paraId="6317C629" w14:textId="585F312C" w:rsidR="00F64776" w:rsidRDefault="00F64776" w:rsidP="00F64776">
      <w:pPr>
        <w:pStyle w:val="TextoNormal"/>
      </w:pPr>
      <w:r w:rsidRPr="00F64776">
        <w:rPr>
          <w:rStyle w:val="NumeroAFNegritaCaracter"/>
        </w:rPr>
        <w:t>1</w:t>
      </w:r>
      <w:r>
        <w:t>. Mediante escrito presentado en este tribunal el día 6 de mayo de 2022, don Santiago Torre Conde representado por la procuradora de los tribunales doña Ana María Álvarez Úbeda, bajo la asistencia del letrado don Marcos Rubio Rubio, interpuso recurso de amparo contra el auto de fecha 1 de febrero de 2023 dictado por el Juzgado de Primera Instancia núm. 2 de Castro-Urdiales ratificado por el auto de fecha 12 de junio de 2023 dictado por la Sección Segunda de la Audiencia Provincial de Santander.</w:t>
      </w:r>
    </w:p>
    <w:p w14:paraId="10DB0910" w14:textId="77777777" w:rsidR="00F64776" w:rsidRDefault="00F64776" w:rsidP="00F64776">
      <w:pPr>
        <w:pStyle w:val="TextoNormal"/>
      </w:pPr>
    </w:p>
    <w:p w14:paraId="4A2050E9" w14:textId="77777777" w:rsidR="00F64776" w:rsidRDefault="00F64776" w:rsidP="00F64776">
      <w:pPr>
        <w:pStyle w:val="TextoNormal"/>
      </w:pPr>
      <w:r w:rsidRPr="00F64776">
        <w:rPr>
          <w:rStyle w:val="NumeroAFNegritaCaracter"/>
        </w:rPr>
        <w:t>2</w:t>
      </w:r>
      <w:r>
        <w:t>. Con fecha 2 de agosto de 2023, tuvo entrada en el electrónico de este tribunal un escrito de la procuradora de los tribunales doña Ana María Álvarez Úbeda, en representación de don Santiago Torre Conde por el que formulaba recusación contra el magistrado don Juan Carlos Campo Moreno.</w:t>
      </w:r>
    </w:p>
    <w:p w14:paraId="523F7C5D" w14:textId="77777777" w:rsidR="00F64776" w:rsidRDefault="00F64776" w:rsidP="00F64776">
      <w:pPr>
        <w:pStyle w:val="TextoNormal"/>
      </w:pPr>
    </w:p>
    <w:p w14:paraId="72E3D97F" w14:textId="77777777" w:rsidR="00F64776" w:rsidRDefault="00F64776" w:rsidP="00F64776">
      <w:pPr>
        <w:pStyle w:val="TextoNormal"/>
      </w:pPr>
      <w:r>
        <w:t>En el escrito se afirma que concurre la causa de recusación prevista en las reglas décima, decimotercera y decimosexta del art. 219 de la Ley Orgánica del Poder Judicial (LOPJ). Entiende, que el magistrado contra el que se dirige la recusación ostenta la condición de exministro de Justicia del Gobierno de España durante el período 2020-2021 en el que tuvo lugar la declaración de la pandemia de la covid-19, Gobierno que se encargó de promover la vacunación de los ciudadanos sin el cumplimiento de las mínimas garantías jurídicas previas a comercializar dicho fármaco. Para el recurrente, hay indicios suficientes para afirmar que el magistrado don Juan Carlos Campo Moreno, en su entonces condición de ministro de Justicia contribuyó a la elaboración y puesta en marcha del plan de vacunación de los jueces ordinarios y, por tanto, fue “promotor implícito” de la vacunación frente a la covid-19.</w:t>
      </w:r>
    </w:p>
    <w:p w14:paraId="0988AA0C" w14:textId="77777777" w:rsidR="00F64776" w:rsidRDefault="00F64776" w:rsidP="00F64776">
      <w:pPr>
        <w:pStyle w:val="TextoNormal"/>
      </w:pPr>
    </w:p>
    <w:p w14:paraId="5827F4B0" w14:textId="7744A4D0" w:rsidR="00F64776" w:rsidRDefault="00F64776" w:rsidP="00F64776">
      <w:pPr>
        <w:pStyle w:val="TextoNormal"/>
      </w:pPr>
      <w:r>
        <w:t>Afirma que, visto que el recurso de amparo planteado versa sobre la posible vulneración del derecho a la tutela judicial efectiva (art. 24.1 CE) en relación con los derechos a la igualdad y a no ser discriminado (art.14 CE) y el derecho a la integridad física y moral (art.15 CE) de su hija menor, debido a la inoculación de la vacuna contra la covid-19 en la estrategia de vacunación llevada a cabo por el Gobierno de España, de la que formó parte el señor magistrado Campo Moreno en su condición de ministro de Justicia, concurre las causas de recusación previstas en la reglas décima (“[t]ener interés directo o indirecto en el pleito o causa”), decimotercera (“[h[aber ocupado cargo público, desempeñado empleo o ejercida profesión con ocasión de los cuales haya participado directa o indirectamente en el asunto objeto del pleito o causa o en otro relacionado con el mismo”) y decimosexta (“[h]aber ocupado el juez o magistrado cargo público o administrativo con ocasión del cual haya podido tener conocimiento del objeto del litigio y formar criterio en detrimento de la debida imparcialidad”), todas ellas del art. 219 LOPJ. En apoyo de su pretensión alude a la doctrina del Tribunal Europeo de Derechos Humanos relativa a la imparcialidad objetiva y transcribe parcialmente la STC 157/1993, de 25 de mayo, FJ 2, adjuntando dos recortes de prensa en los que, por un lado, se da noticia de la solicitud de información al ministro por parte de una asociación de la magistratura sobre los planes de vacunación a los jueces y, por otra, se da a conocer la inoculación de la primera dosis de la vacuna al ministro señor Campo Moreno.</w:t>
      </w:r>
    </w:p>
    <w:p w14:paraId="37F7E3B6" w14:textId="77777777" w:rsidR="00F64776" w:rsidRDefault="00F64776" w:rsidP="00F64776">
      <w:pPr>
        <w:pStyle w:val="TextoNormal"/>
      </w:pPr>
    </w:p>
    <w:p w14:paraId="3C1043C6" w14:textId="5704E2D6" w:rsidR="00F64776" w:rsidRDefault="00F64776" w:rsidP="00F64776">
      <w:pPr>
        <w:pStyle w:val="TextoNormal"/>
      </w:pPr>
      <w:r w:rsidRPr="00F64776">
        <w:rPr>
          <w:rStyle w:val="NumeroAFNegritaCaracter"/>
        </w:rPr>
        <w:t>3</w:t>
      </w:r>
      <w:r>
        <w:t>. Por diligencia de ordenación del secretario del Pleno de 5 de septiembre de 2023 se designó ponente del incidente de recusación a la magistrada doña Laura Díez Bueso.</w:t>
      </w:r>
    </w:p>
    <w:p w14:paraId="33E5D5B2" w14:textId="77777777" w:rsidR="00F64776" w:rsidRDefault="00F64776" w:rsidP="00F64776">
      <w:pPr>
        <w:pStyle w:val="TextoNormal"/>
      </w:pPr>
    </w:p>
    <w:p w14:paraId="452F1467" w14:textId="77777777" w:rsidR="00F64776" w:rsidRDefault="00F64776" w:rsidP="00F64776">
      <w:pPr>
        <w:pStyle w:val="TextoNormalNegritaCentrado"/>
        <w:keepNext/>
      </w:pPr>
      <w:r>
        <w:t>II. Fundamentos jurídicos</w:t>
      </w:r>
    </w:p>
    <w:p w14:paraId="2C29B329" w14:textId="56CB0296" w:rsidR="00F64776" w:rsidRDefault="00F64776" w:rsidP="00F64776">
      <w:pPr>
        <w:pStyle w:val="TextoNormalNegritaCentrado"/>
        <w:keepNext/>
      </w:pPr>
    </w:p>
    <w:p w14:paraId="48CA4B0F" w14:textId="77777777" w:rsidR="00F64776" w:rsidRDefault="00F64776" w:rsidP="00F64776">
      <w:pPr>
        <w:pStyle w:val="TextoNormal"/>
      </w:pPr>
      <w:r w:rsidRPr="00F64776">
        <w:rPr>
          <w:rStyle w:val="NumeroAFNegritaCaracter"/>
        </w:rPr>
        <w:t>1</w:t>
      </w:r>
      <w:r>
        <w:t xml:space="preserve">. </w:t>
      </w:r>
      <w:r w:rsidRPr="00F64776">
        <w:rPr>
          <w:i/>
        </w:rPr>
        <w:t>Objeto</w:t>
      </w:r>
    </w:p>
    <w:p w14:paraId="20AC3582" w14:textId="77777777" w:rsidR="00F64776" w:rsidRDefault="00F64776" w:rsidP="00F64776">
      <w:pPr>
        <w:pStyle w:val="TextoNormal"/>
      </w:pPr>
    </w:p>
    <w:p w14:paraId="14420433" w14:textId="77777777" w:rsidR="00F64776" w:rsidRDefault="00F64776" w:rsidP="00F64776">
      <w:pPr>
        <w:pStyle w:val="TextoNormal"/>
      </w:pPr>
      <w:r>
        <w:t>En el recurso de amparo núm. 5308-2023, el día 25 de septiembre de 2023 se ha presentado escrito en el que se promueve la recusación del magistrado de este tribunal don Juan Carlos Campo Moreno.</w:t>
      </w:r>
    </w:p>
    <w:p w14:paraId="1A2FB2AC" w14:textId="77777777" w:rsidR="00F64776" w:rsidRDefault="00F64776" w:rsidP="00F64776">
      <w:pPr>
        <w:pStyle w:val="TextoNormal"/>
      </w:pPr>
    </w:p>
    <w:p w14:paraId="108759FC" w14:textId="1A41FBCB" w:rsidR="00F64776" w:rsidRDefault="00F64776" w:rsidP="00F64776">
      <w:pPr>
        <w:pStyle w:val="TextoNormal"/>
      </w:pPr>
      <w:r>
        <w:t>Como se ha expuesto con mayor detalle en los antecedentes, en el incidente formulado se invocan las causas de recusación previstas en el art. 219 LOPJ, apartados décimo, decimotercero y decimosexto, aplicables supletoriamente a los procesos constitucionales ante este tribunal por la vía del art. 80 de la Ley Orgánica del Tribunal Constitucional (LOTC), cuya concurrencia se funda en la participación del recusado, en su condición de ministro de Justicia, en la campaña de vacunación contra la covid-19, en haber tenido ocasión por tal cargo de formarse criterio sobre el objeto del recurso y en tener interés directo o indirecto en la causa.</w:t>
      </w:r>
    </w:p>
    <w:p w14:paraId="7DF47EA5" w14:textId="77777777" w:rsidR="00F64776" w:rsidRDefault="00F64776" w:rsidP="00F64776">
      <w:pPr>
        <w:pStyle w:val="TextoNormal"/>
      </w:pPr>
    </w:p>
    <w:p w14:paraId="08FCD0CD" w14:textId="77777777" w:rsidR="00F64776" w:rsidRDefault="00F64776" w:rsidP="00F64776">
      <w:pPr>
        <w:pStyle w:val="TextoNormal"/>
      </w:pPr>
      <w:r w:rsidRPr="00F64776">
        <w:rPr>
          <w:rStyle w:val="NumeroAFNegritaCaracter"/>
        </w:rPr>
        <w:t>2</w:t>
      </w:r>
      <w:r>
        <w:t xml:space="preserve">. </w:t>
      </w:r>
      <w:r w:rsidRPr="00F64776">
        <w:rPr>
          <w:i/>
        </w:rPr>
        <w:t>Consideraciones generales sobre el deber de imparcialidad en el ejercicio de la jurisdicción constitucional</w:t>
      </w:r>
    </w:p>
    <w:p w14:paraId="4F5B9149" w14:textId="77777777" w:rsidR="00F64776" w:rsidRDefault="00F64776" w:rsidP="00F64776">
      <w:pPr>
        <w:pStyle w:val="TextoNormal"/>
      </w:pPr>
    </w:p>
    <w:p w14:paraId="1D198C02" w14:textId="77777777" w:rsidR="00F64776" w:rsidRDefault="00F64776" w:rsidP="00F64776">
      <w:pPr>
        <w:pStyle w:val="TextoNormal"/>
      </w:pPr>
      <w:r>
        <w:t>El art. 22 LOTC dispone sin ulterior desarrollo que sus magistrados ejercerán su función de acuerdo, entre otros principios, con el de imparcialidad, a cuyo aseguramiento obedecen precisamente las causas de recusación y abstención, que se encuentran recogidas en la actualidad en el art. 219 LOPJ.</w:t>
      </w:r>
    </w:p>
    <w:p w14:paraId="05F94B69" w14:textId="77777777" w:rsidR="00F64776" w:rsidRDefault="00F64776" w:rsidP="00F64776">
      <w:pPr>
        <w:pStyle w:val="TextoNormal"/>
      </w:pPr>
    </w:p>
    <w:p w14:paraId="68584134" w14:textId="77777777" w:rsidR="00F64776" w:rsidRDefault="00F64776" w:rsidP="00F64776">
      <w:pPr>
        <w:pStyle w:val="TextoNormal"/>
      </w:pPr>
      <w:r>
        <w:t>Ahora bien, dicha remisión normativa no supone la aplicación de modo automático y literal a la jurisdicción constitucional del sistema de garantías que la ley fija para la jurisdicción ordinaria. La singularidad del Tribunal Constitucional y de las funciones que tiene atribuidas, extensible al modo de elección de sus miembros y a la regulación de sus procedimientos, obliga a modular y adaptar las previsiones legales sobre la abstención y recusación para hacer practicable el ejercicio de la jurisdicción constitucional.</w:t>
      </w:r>
    </w:p>
    <w:p w14:paraId="16E96D5E" w14:textId="77777777" w:rsidR="00F64776" w:rsidRDefault="00F64776" w:rsidP="00F64776">
      <w:pPr>
        <w:pStyle w:val="TextoNormal"/>
      </w:pPr>
    </w:p>
    <w:p w14:paraId="67AC6C28" w14:textId="77777777" w:rsidR="00F64776" w:rsidRDefault="00F64776" w:rsidP="00F64776">
      <w:pPr>
        <w:pStyle w:val="TextoNormal"/>
      </w:pPr>
      <w:r>
        <w:t>Más en concreto, hemos reiterado que es preciso interpretar de manera restrictiva los motivos de abstención y/o recusación en la medida en que ningún otro juez puede ocupar, siquiera temporalmente, la posición del afectado por la tacha de parcialidad, porque en esta sede no hay juez que lo sustituya [AATC 383/2006, de 2 de noviembre, FJ 3; 394/2006, de 7 de noviembre, FJ 2; 107/2021, de 15 de diciembre, FJ 4, letra c); y 17/2022, de 25 de enero, que lo ratifica]. En este sentido, hemos de destacar de nuevo la existencia de “un interés constitucional prevalente en mantener, salvo que resulte imposible, la composición del Pleno de este tribunal en los términos establecidos directa y categóricamente por el art. 159 CE” (ATC 456/2006, de 14 de diciembre, FJ 2).</w:t>
      </w:r>
    </w:p>
    <w:p w14:paraId="040927B6" w14:textId="77777777" w:rsidR="00F64776" w:rsidRDefault="00F64776" w:rsidP="00F64776">
      <w:pPr>
        <w:pStyle w:val="TextoNormal"/>
      </w:pPr>
    </w:p>
    <w:p w14:paraId="35D99B11" w14:textId="77777777" w:rsidR="00F64776" w:rsidRDefault="00F64776" w:rsidP="00F64776">
      <w:pPr>
        <w:pStyle w:val="TextoNormal"/>
      </w:pPr>
      <w:r>
        <w:t>Cabe añadir, en esta reflexión general previa, que el proceso constitucional tiene por objeto garantizar la adecuación de la ley a la Constitución, preservar el orden constitucional de competencias y la separación de poderes, así como la protección de los derechos fundamentales en el recurso de amparo, siendo su función defender la supremacía de la Constitución. De ahí que la función que a la jurisdicción constitucional corresponde no pueda comprenderse desde el esquema del proceso de partes enfrentadas que soportan intereses particulares. Es más, la objetivación del amparo constitucional operada en la Ley Orgánica 6/2007, de 24 de mayo, por la que se modifica la Ley Orgánica del Tribunal Constitucional, al exigir como condición para la admisión y resolución de un recurso que el asunto tenga especial trascendencia constitucional, refuerza el componente de interés público del amparo, proceso cuyo objeto es la defensa de los derechos fundamentales, lo que relativiza la dimensión subjetiva de la pretensión. (ATC 387/2007, de 16 de octubre, FJ 5)</w:t>
      </w:r>
    </w:p>
    <w:p w14:paraId="48EE7BD9" w14:textId="77777777" w:rsidR="00F64776" w:rsidRDefault="00F64776" w:rsidP="00F64776">
      <w:pPr>
        <w:pStyle w:val="TextoNormal"/>
      </w:pPr>
    </w:p>
    <w:p w14:paraId="512E8D1E" w14:textId="77777777" w:rsidR="00F64776" w:rsidRDefault="00F64776" w:rsidP="00F64776">
      <w:pPr>
        <w:pStyle w:val="TextoNormal"/>
      </w:pPr>
      <w:r>
        <w:t>Lo expuesto tiene incidencia en la interpretación del contenido de los motivos de abstención y recusación recogidos en la Ley Orgánica del Poder Judicial, porque describe una relación ideal del juez constitucional con las partes y con el objeto del enjuiciamiento que es distinta a la que se da en la aplicación de la legalidad en la jurisdicción ordinaria. Máxime cuando las cautelas sobre la propia imparcialidad se basan en las ideas y en los posicionamientos jurídicos formulados antes de acceder a este tribunal, pues cada juez constitucional es elegido entre juristas de reconocido prestigio con más de quince años de ejercicio; experiencia profesional en cuya marco es habitual, casi inevitable, que haya expresado opiniones jurídicas propias sobre las previsiones constitucionales, singularmente sobre los derechos fundamentales, su contenido y sus límites; cuestiones todas ellas que tienen siempre diversas y legítimas lecturas (ATC 18/2006, de 24 de enero, FJ 3).</w:t>
      </w:r>
    </w:p>
    <w:p w14:paraId="505A2648" w14:textId="77777777" w:rsidR="00F64776" w:rsidRDefault="00F64776" w:rsidP="00F64776">
      <w:pPr>
        <w:pStyle w:val="TextoNormal"/>
      </w:pPr>
    </w:p>
    <w:p w14:paraId="79825BA2" w14:textId="61A08384" w:rsidR="00F64776" w:rsidRDefault="00F64776" w:rsidP="00F64776">
      <w:pPr>
        <w:pStyle w:val="TextoNormal"/>
      </w:pPr>
      <w:r>
        <w:t>Lo dicho no significa eludir la aplicación a cada caso de las causas concretas de recusación establecidas en la Ley Orgánica del Poder Judicial, sino que hace necesario poner en relación su aplicación con las funciones de control que este tribunal ejerce. En definitiva, la naturaleza singular de este tribunal y de los procesos constitucionales a él sometidos ha llevado a una jurisprudencia rigurosa en la apreciación de las causas de recusación y abstención que le han sido planteadas.</w:t>
      </w:r>
    </w:p>
    <w:p w14:paraId="368668EE" w14:textId="77777777" w:rsidR="00F64776" w:rsidRDefault="00F64776" w:rsidP="00F64776">
      <w:pPr>
        <w:pStyle w:val="TextoNormal"/>
      </w:pPr>
    </w:p>
    <w:p w14:paraId="3FE384C1" w14:textId="77777777" w:rsidR="00F64776" w:rsidRDefault="00F64776" w:rsidP="00F64776">
      <w:pPr>
        <w:pStyle w:val="TextoNormal"/>
      </w:pPr>
      <w:r w:rsidRPr="00F64776">
        <w:rPr>
          <w:rStyle w:val="NumeroAFNegritaCaracter"/>
        </w:rPr>
        <w:t>3</w:t>
      </w:r>
      <w:r>
        <w:t xml:space="preserve">. </w:t>
      </w:r>
      <w:r w:rsidRPr="00F64776">
        <w:rPr>
          <w:i/>
        </w:rPr>
        <w:t>La causa de abstención del art. 219.10 LOPJ</w:t>
      </w:r>
    </w:p>
    <w:p w14:paraId="4A95D89B" w14:textId="77777777" w:rsidR="00F64776" w:rsidRDefault="00F64776" w:rsidP="00F64776">
      <w:pPr>
        <w:pStyle w:val="TextoNormal"/>
      </w:pPr>
    </w:p>
    <w:p w14:paraId="27E59999" w14:textId="77777777" w:rsidR="00F64776" w:rsidRDefault="00F64776" w:rsidP="00F64776">
      <w:pPr>
        <w:pStyle w:val="TextoNormal"/>
      </w:pPr>
      <w:r>
        <w:t>Una de las causas de recusación invocadas por el demandante es la prevista en el art. 219.10 LOPJ, es decir, “[t]ener interés directo o indirecto en el pleito o causa”. Como se exponía en la STC 69/2001, de 17 de marzo, FFJJ 18 y 20, este interés directo o indirecto se refiere a una vinculación del magistrado con el objeto del procedimiento, de manera que le pueda “afectar directa y especialmente”, o pueda derivarse del mismo algún “beneficio o perjuicio” (ATC 26/2007, de 5 de febrero, FJ 7). En esta resolución también se señalaba que, partiendo de la acepción de la palabra “interés” recogida en el Diccionario de la Real Academia Española, como “inclinación del ánimo hacia un objeto, una persona o una narración”, se ha afirmado que “las manifestaciones o expresiones de opiniones e ideas relacionadas con el objeto del proceso […] pueden ser exponente en algunos casos del ‘interés’ a que se refiere el art. 219.10 LOPJ, y determinar por tanto la recusación del magistrado de que se trate”.</w:t>
      </w:r>
    </w:p>
    <w:p w14:paraId="405C89E0" w14:textId="77777777" w:rsidR="00F64776" w:rsidRDefault="00F64776" w:rsidP="00F64776">
      <w:pPr>
        <w:pStyle w:val="TextoNormal"/>
      </w:pPr>
    </w:p>
    <w:p w14:paraId="50984A05" w14:textId="77777777" w:rsidR="00F64776" w:rsidRDefault="00F64776" w:rsidP="00F64776">
      <w:pPr>
        <w:pStyle w:val="TextoNormal"/>
      </w:pPr>
      <w:r>
        <w:t>Para que quepa apreciar el interés a que se refiere el precepto, del resultado del proceso debe derivar un potencial provecho para el magistrado recusado, sin que sea admisible reconducir la tacha a una invocación genérica de la concurrencia de dicho interés. En la causa 10 del art. 219 LOPJ se subsumen, según nuestra doctrina, supuestos en los que se pone de manifiesto si un magistrado compromete públicamente su opinión sobre el objeto del proceso constitucional, de modo que se revela su interés o inclinación de ánimo y, si así fuera, pierde la imparcialidad necesaria para abordar el enjuiciamiento de tal proceso (“contaminación por interés”) (ATC 26/2007, de 5 de febrero, FJ 7).</w:t>
      </w:r>
    </w:p>
    <w:p w14:paraId="62763161" w14:textId="77777777" w:rsidR="00F64776" w:rsidRDefault="00F64776" w:rsidP="00F64776">
      <w:pPr>
        <w:pStyle w:val="TextoNormal"/>
      </w:pPr>
    </w:p>
    <w:p w14:paraId="51D3B551" w14:textId="75827EE7" w:rsidR="00F64776" w:rsidRDefault="00F64776" w:rsidP="00F64776">
      <w:pPr>
        <w:pStyle w:val="TextoNormal"/>
      </w:pPr>
      <w:r>
        <w:t>En este caso, el demandante no ha aportado ningún dato objetivo sobre la conducta o las opiniones del magistrado recusado de las que se pueda deducir una toma de posición previa sobre el fondo del asunto, o un interés sobre el sentido en que deba resolverse la controversia sometida a su consideración, que es la causa de recusación alegada (art. 219.10 LOPJ). Es más, de la documentación adjuntada con el escrito, lo único que se deduce es que el magistrado recibió una solicitud de información por parte de los jueces sobre la existencia de un plan de vacunación para ellos, cuyo destinatario era el recusado en virtud de las funciones que ejercía en aquel momento como ministro de Justicia. De tal recepción no puede extraerse toma de posición alguna en cuanto a la vacunación contra la covid-19 de los ciudadanos en general y mucho menos de la hija menor del demandante de amparo, cuyos derechos fundamentales se han invocado en este amparo y a lo largo del procedimiento de jurisdicción voluntaria del que trae causa. El segundo dato que esgrimen es que el magistrado señor Campo Moreno, el 22 de abril de 2021, recibió una primera dosis de la vacuna contra la covid-19, decisión y actuación esta que pertenece a su esfera íntima y personal y de la que, es obvio, no se puede inferir que haya producido un interés ni directo ni indirecto en el objeto de este recurso de amparo. Deducir lo contrario sería ampliar hasta el absurdo la causa prevista en el apartado 10 del art. 219 LOPJ.</w:t>
      </w:r>
    </w:p>
    <w:p w14:paraId="278F3EFB" w14:textId="77777777" w:rsidR="00F64776" w:rsidRDefault="00F64776" w:rsidP="00F64776">
      <w:pPr>
        <w:pStyle w:val="TextoNormal"/>
      </w:pPr>
    </w:p>
    <w:p w14:paraId="78D5E734" w14:textId="77777777" w:rsidR="00F64776" w:rsidRDefault="00F64776" w:rsidP="00F64776">
      <w:pPr>
        <w:pStyle w:val="TextoNormal"/>
      </w:pPr>
      <w:r w:rsidRPr="00F64776">
        <w:rPr>
          <w:rStyle w:val="NumeroAFNegritaCaracter"/>
        </w:rPr>
        <w:t>4</w:t>
      </w:r>
      <w:r>
        <w:t xml:space="preserve">. </w:t>
      </w:r>
      <w:r w:rsidRPr="00F64776">
        <w:rPr>
          <w:i/>
        </w:rPr>
        <w:t>La causa de abstención del art. 219.13 LOPJ</w:t>
      </w:r>
    </w:p>
    <w:p w14:paraId="2A0A21D1" w14:textId="77777777" w:rsidR="00F64776" w:rsidRDefault="00F64776" w:rsidP="00F64776">
      <w:pPr>
        <w:pStyle w:val="TextoNormal"/>
      </w:pPr>
    </w:p>
    <w:p w14:paraId="2ED70C2C" w14:textId="77777777" w:rsidR="00F64776" w:rsidRDefault="00F64776" w:rsidP="00F64776">
      <w:pPr>
        <w:pStyle w:val="TextoNormal"/>
      </w:pPr>
      <w:r>
        <w:t>Según el art. 219.13 LOPJ, es causa de abstención “[h]aber ocupado cargo público, desempeñado empleo o ejercido profesión con ocasión de los cuales haya participado directa o indirectamente en el asunto objeto del pleito o causa o en otro relacionado con el mismo”.</w:t>
      </w:r>
    </w:p>
    <w:p w14:paraId="51AE7539" w14:textId="77777777" w:rsidR="00F64776" w:rsidRDefault="00F64776" w:rsidP="00F64776">
      <w:pPr>
        <w:pStyle w:val="TextoNormal"/>
      </w:pPr>
    </w:p>
    <w:p w14:paraId="2A5D69F4" w14:textId="77777777" w:rsidR="00F64776" w:rsidRDefault="00F64776" w:rsidP="00F64776">
      <w:pPr>
        <w:pStyle w:val="TextoNormal"/>
      </w:pPr>
      <w:r>
        <w:t xml:space="preserve">Esta causa de recusación fue creada por la Ley Orgánica 19/2003, de 23 de diciembre, que, en general, incrementó las exigencias de imparcialidad de jueces y magistrados, introduciendo causas nuevas o redactando las ya existentes en términos de mayor exigencia, o dotándolas de un marcado carácter objetivo. Esto es lo que sucede con la causa de recusación ahora abordada, creada </w:t>
      </w:r>
      <w:r w:rsidRPr="00F64776">
        <w:rPr>
          <w:i/>
        </w:rPr>
        <w:t>ex novo</w:t>
      </w:r>
      <w:r>
        <w:t>, y de marcado carácter objetivo, al no contemplarse en ella —a diferencia de la 16— la exigencia de que se revele una formación de criterio en el magistrado.</w:t>
      </w:r>
    </w:p>
    <w:p w14:paraId="60E507CA" w14:textId="77777777" w:rsidR="00F64776" w:rsidRDefault="00F64776" w:rsidP="00F64776">
      <w:pPr>
        <w:pStyle w:val="TextoNormal"/>
      </w:pPr>
    </w:p>
    <w:p w14:paraId="0357F4BA" w14:textId="77777777" w:rsidR="00F64776" w:rsidRDefault="00F64776" w:rsidP="00F64776">
      <w:pPr>
        <w:pStyle w:val="TextoNormal"/>
      </w:pPr>
      <w:r>
        <w:t>Como afirmamos en el ATC 26/2007, de 5 de febrero, FJ 8, “[e]l legislador se detiene en la constatación de que se haya ejercido profesión (o cargo o empleo) con ocasión de la cual se haya participado directa o indirectamente en el mismo asunto que es objeto del proceso o, incluso, en otro que esté relacionado con el mismo. Las exigencias de ajenidad del recusado con el proceso en el cual la recusación se plantea son configuradas en grado superlativo: no se exige que el recusado haya participado en el propio asunto objeto del proceso sino que basta con que lo haya hecho en otro que esté relacionado con ese asunto; la participación del recusado en el asunto objeto del proceso o en otro relacionado con él no ha de ser forzosamente directa, sino que basta con que sea indirecta; no se exige que la participación del recusado —directa o indirecta, en el asunto objeto del proceso o en otro relacionado— constituya el contenido ordinario o normal de su ejercicio profesional, esto es, su objeto propio y característico, sino que basta con que la participación se haya producido con ocasión del ejercicio profesional; finalmente, no se requiere la constatación de una pérdida subjetiva de imparcialidad.</w:t>
      </w:r>
    </w:p>
    <w:p w14:paraId="1A0CF651" w14:textId="77777777" w:rsidR="00F64776" w:rsidRDefault="00F64776" w:rsidP="00F64776">
      <w:pPr>
        <w:pStyle w:val="TextoNormal"/>
      </w:pPr>
    </w:p>
    <w:p w14:paraId="30FC558E" w14:textId="77777777" w:rsidR="00F64776" w:rsidRDefault="00F64776" w:rsidP="00F64776">
      <w:pPr>
        <w:pStyle w:val="TextoNormal"/>
      </w:pPr>
      <w:r>
        <w:t>Resulta así que el legislador opta por un modelo de juez rodeado de la apariencia de imparcialidad, no solo en la realidad de su desconexión con las partes y con el objeto del proceso, sino también en su imagen, eliminando cualquier sombra al respecto cuando existan elementos objetivos que puedan justificar una apariencia de parcialidad. Cuando esto sucede la causa de recusación decimotercera se anticipa a la valoración que sobre la imparcialidad subjetiva merezcan los hechos en los que la recusación se funde. El juez imparcial, no es solo un derecho fundamental de las partes de un litigio, es también una garantía institucional de un Estado de Derecho establecida en beneficio de todos los ciudadanos y de la imagen de la justicia, como pilar de la democracia”.</w:t>
      </w:r>
    </w:p>
    <w:p w14:paraId="2EDF3419" w14:textId="77777777" w:rsidR="00F64776" w:rsidRDefault="00F64776" w:rsidP="00F64776">
      <w:pPr>
        <w:pStyle w:val="TextoNormal"/>
      </w:pPr>
    </w:p>
    <w:p w14:paraId="0A36D8C8" w14:textId="5FE084AB" w:rsidR="00F64776" w:rsidRDefault="00F64776" w:rsidP="00F64776">
      <w:pPr>
        <w:pStyle w:val="TextoNormal"/>
      </w:pPr>
      <w:r>
        <w:t>Descendiendo al caso concreto, hay que afirmar, una vez más, que la interpretación que propugna el demandante respecto a esta causa de recusación no puede considerarse ajustada a Derecho, sino que se trata de una interpretación claramente extensiva, toda vez que el magistrado recusado no ha tenido participación alguna en los hechos enjuiciados ni en su condición de ministro de Justicia, ni fuera del proceso judicial. En tal sentido, la recusación no puede ser admitida, dado su planteamiento y justificación.</w:t>
      </w:r>
    </w:p>
    <w:p w14:paraId="3704D830" w14:textId="77777777" w:rsidR="00F64776" w:rsidRDefault="00F64776" w:rsidP="00F64776">
      <w:pPr>
        <w:pStyle w:val="TextoNormal"/>
      </w:pPr>
    </w:p>
    <w:p w14:paraId="1CB91D22" w14:textId="77777777" w:rsidR="00F64776" w:rsidRDefault="00F64776" w:rsidP="00F64776">
      <w:pPr>
        <w:pStyle w:val="TextoNormal"/>
      </w:pPr>
      <w:r w:rsidRPr="00F64776">
        <w:rPr>
          <w:rStyle w:val="NumeroAFNegritaCaracter"/>
        </w:rPr>
        <w:t>5</w:t>
      </w:r>
      <w:r>
        <w:t xml:space="preserve">. </w:t>
      </w:r>
      <w:r w:rsidRPr="00F64776">
        <w:rPr>
          <w:i/>
        </w:rPr>
        <w:t>La causa de abstención del art. 219.16 LOPJ</w:t>
      </w:r>
    </w:p>
    <w:p w14:paraId="70F60A22" w14:textId="77777777" w:rsidR="00F64776" w:rsidRDefault="00F64776" w:rsidP="00F64776">
      <w:pPr>
        <w:pStyle w:val="TextoNormal"/>
      </w:pPr>
    </w:p>
    <w:p w14:paraId="36786AE1" w14:textId="77777777" w:rsidR="00F64776" w:rsidRDefault="00F64776" w:rsidP="00F64776">
      <w:pPr>
        <w:pStyle w:val="TextoNormal"/>
      </w:pPr>
      <w:r>
        <w:t>Conforme al art. 219.16 LOPJ, es causa de abstención “[h]aber ocupado el juez o magistrado cargo público o administrativo con ocasión del cual haya podido tener conocimiento del objeto del litigio y formar criterio en detrimento de la debida imparcialidad”.</w:t>
      </w:r>
    </w:p>
    <w:p w14:paraId="241EF4ED" w14:textId="77777777" w:rsidR="00F64776" w:rsidRDefault="00F64776" w:rsidP="00F64776">
      <w:pPr>
        <w:pStyle w:val="TextoNormal"/>
      </w:pPr>
    </w:p>
    <w:p w14:paraId="4E1E7F80" w14:textId="77777777" w:rsidR="00F64776" w:rsidRDefault="00F64776" w:rsidP="00F64776">
      <w:pPr>
        <w:pStyle w:val="TextoNormal"/>
      </w:pPr>
      <w:r>
        <w:t xml:space="preserve">Su contenido y relación con la garantía de imparcialidad judicial fue abordada </w:t>
      </w:r>
      <w:r w:rsidRPr="00F64776">
        <w:rPr>
          <w:i/>
        </w:rPr>
        <w:t>in extenso</w:t>
      </w:r>
      <w:r>
        <w:t xml:space="preserve"> en los AATC 80/2005, de 17 de febrero, y 18/2006 señalando ya entonces que la apreciación de la causa de abstención invocada exige, como punto de partida, poder establecer una conexión entre el cargo público desempeñado y el objeto concreto del proceso sometido a su posterior consideración, pero exige también, como conclusión, que quede acreditado que con ocasión del desempeño de dicho cargo el juez aludido haya podido formar criterio contra alguna de las partes.</w:t>
      </w:r>
    </w:p>
    <w:p w14:paraId="50038CE6" w14:textId="77777777" w:rsidR="00F64776" w:rsidRDefault="00F64776" w:rsidP="00F64776">
      <w:pPr>
        <w:pStyle w:val="TextoNormal"/>
      </w:pPr>
    </w:p>
    <w:p w14:paraId="07256788" w14:textId="77777777" w:rsidR="00F64776" w:rsidRDefault="00F64776" w:rsidP="00F64776">
      <w:pPr>
        <w:pStyle w:val="TextoNormal"/>
      </w:pPr>
      <w:r>
        <w:t>Queremos decir con ello que, salvo que se desvirtúe el contenido de la garantía de imparcialidad, no queda justificada la recusación ni la abstención de un juez constitucional u ordinario por el mero hecho de tener criterio jurídico sobre los asuntos que debe resolver. Ya hemos destacado que, por imperativo constitucional, solo pueden integrarse en el Tribunal Constitucional quienes reúnan la condición de “juristas de reconocida competencia con más de quince años de ejercicio profesional” (art. 159.2 CE), por lo que no es poco común ni puede extrañar que, antes de acceder al cargo, en el ejercicio de sus respectivas profesiones de procedencia, sus miembros se hayan pronunciado voluntaria u obligadamente sobre materias jurídicas que, finalmente, pueden llegar a ser objeto directo o indirecto de la labor de enjuiciamiento constitucional que tienen legalmente atribuida. En definitiva, solo las condiciones y circunstancias en las que ese criterio previo se ha formado, o la relación con el objeto del litigio o con las partes que permita afirmar inclinación de ánimo, son motivos que permitirán fundar una sospecha legítima de inclinación, a favor o en contra, hacia alguna de estas.</w:t>
      </w:r>
    </w:p>
    <w:p w14:paraId="7428F507" w14:textId="77777777" w:rsidR="00F64776" w:rsidRDefault="00F64776" w:rsidP="00F64776">
      <w:pPr>
        <w:pStyle w:val="TextoNormal"/>
      </w:pPr>
    </w:p>
    <w:p w14:paraId="5EC602F2" w14:textId="77777777" w:rsidR="00F64776" w:rsidRDefault="00F64776" w:rsidP="00F64776">
      <w:pPr>
        <w:pStyle w:val="TextoNormal"/>
      </w:pPr>
      <w:r>
        <w:t>También en la STC 5/2004, de 16 de enero, FFJJ 4 y 5, se concluyó que no podía ser apreciada la denunciada pérdida de imparcialidad en atención al distinto objeto de una y otra actividad pues se impedía entender que existiese una toma de posición previa del presidente del Consejo General del Poder Judicial y del Tribunal Supremo acerca de la concreta ilegalización discutida y acordada en los procesos judiciales.</w:t>
      </w:r>
    </w:p>
    <w:p w14:paraId="5D3B190B" w14:textId="77777777" w:rsidR="00F64776" w:rsidRDefault="00F64776" w:rsidP="00F64776">
      <w:pPr>
        <w:pStyle w:val="TextoNormal"/>
      </w:pPr>
    </w:p>
    <w:p w14:paraId="67C369C8" w14:textId="77777777" w:rsidR="00F64776" w:rsidRDefault="00F64776" w:rsidP="00F64776">
      <w:pPr>
        <w:pStyle w:val="TextoNormal"/>
      </w:pPr>
      <w:r>
        <w:t>En el presente caso, no se aduce por la parte recusante argumento ni razón concreta alguna que sustente la concurrencia en el magistrado recusado, señor Campo Moreno, de la causa contemplada en el art. 219.16 LOPJ, por lo que debe ser rechazada. Nuestra doctrina tiene establecido, en efecto, que el escrito de recusación no solo debe expresar la causa de recusación prevista por la ley y los hechos concretos en que la parte funda su afirmación, carga procesal que se puede entender cumplida en el escrito de los recusantes, sino también que estos hechos constituyan los que configuran la causa invocada (AATC 115/2002, de 10 de julio, FJ 1; y 80/2005, de 17 de febrero, FJ 3). Al estar ayuna de toda fundamentación la invocación de la causa desde esta perspectiva debe decaer por inconsistencia.</w:t>
      </w:r>
    </w:p>
    <w:p w14:paraId="6D4A6113" w14:textId="77777777" w:rsidR="00F64776" w:rsidRDefault="00F64776" w:rsidP="00F64776">
      <w:pPr>
        <w:pStyle w:val="TextoNormal"/>
      </w:pPr>
    </w:p>
    <w:p w14:paraId="5AAB7C6D" w14:textId="4AB2D9DA" w:rsidR="00F64776" w:rsidRDefault="00F64776" w:rsidP="00F64776">
      <w:pPr>
        <w:pStyle w:val="TextoNormal"/>
      </w:pPr>
      <w:r>
        <w:t>En todo caso, hay que subrayar que ninguno de los datos aportados por el demandante pueden dar lugar a sospechar que el magistrado recusado pueda ejercer su función al servicio del interés particular de una de las partes, o de su propio interés, o lo que es lo mismo que se haya podido formar criterio sobre el litigio en posición de alguna de las partes, por el solo hecho de haber recibido la primera dosis de la vacuna contra la covid-19 o haber sido ministro de Justicia durante el periodo de tiempo en el que se prolongó esta pandemia.</w:t>
      </w:r>
    </w:p>
    <w:p w14:paraId="522AF1A2" w14:textId="77777777" w:rsidR="00F64776" w:rsidRDefault="00F64776" w:rsidP="00F64776">
      <w:pPr>
        <w:pStyle w:val="TextoNormal"/>
      </w:pPr>
    </w:p>
    <w:p w14:paraId="422E1A4F" w14:textId="77777777" w:rsidR="00F64776" w:rsidRDefault="00F64776" w:rsidP="00F64776">
      <w:pPr>
        <w:pStyle w:val="TextoNormal"/>
      </w:pPr>
      <w:r>
        <w:t>Por lo expuesto, el Pleno</w:t>
      </w:r>
    </w:p>
    <w:p w14:paraId="020AE556" w14:textId="770CD401" w:rsidR="00F64776" w:rsidRDefault="00F64776" w:rsidP="00F64776">
      <w:pPr>
        <w:pStyle w:val="TextoNormal"/>
      </w:pPr>
    </w:p>
    <w:p w14:paraId="1826F63E" w14:textId="77777777" w:rsidR="00F64776" w:rsidRDefault="00F64776" w:rsidP="00F64776">
      <w:pPr>
        <w:pStyle w:val="TextoNormalCentrado"/>
      </w:pPr>
      <w:r>
        <w:t>ACUERDA</w:t>
      </w:r>
    </w:p>
    <w:p w14:paraId="473F5575" w14:textId="63BE5746" w:rsidR="00F64776" w:rsidRDefault="00F64776" w:rsidP="00F64776">
      <w:pPr>
        <w:pStyle w:val="TextoNormalCentrado"/>
      </w:pPr>
    </w:p>
    <w:p w14:paraId="460672A9" w14:textId="0069A4CD" w:rsidR="00F64776" w:rsidRDefault="00F64776" w:rsidP="00F64776">
      <w:pPr>
        <w:pStyle w:val="TextoNormal"/>
      </w:pPr>
      <w:r>
        <w:t>Inadmitir la recusación de don Juan Carlos Campo Moreno en el recurso de amparo núm. 5308-2023.</w:t>
      </w:r>
    </w:p>
    <w:p w14:paraId="16F07533" w14:textId="77777777" w:rsidR="00F64776" w:rsidRDefault="00F64776" w:rsidP="00F64776">
      <w:pPr>
        <w:pStyle w:val="TextoNormal"/>
      </w:pPr>
    </w:p>
    <w:p w14:paraId="62178FFE" w14:textId="77777777" w:rsidR="00F64776" w:rsidRDefault="00F64776" w:rsidP="00F64776">
      <w:pPr>
        <w:pStyle w:val="TextoNormal"/>
      </w:pPr>
      <w:r>
        <w:t>Madrid, a veinticuatro de octubre de dos mil veintitrés.</w:t>
      </w:r>
    </w:p>
    <w:p w14:paraId="264A289B" w14:textId="06047CAE" w:rsidR="00F64776" w:rsidRDefault="00F64776">
      <w:pPr>
        <w:spacing w:after="160" w:line="278" w:lineRule="auto"/>
        <w:rPr>
          <w:rFonts w:ascii="Times New Roman" w:eastAsia="Times New Roman" w:hAnsi="Times New Roman" w:cs="Times New Roman"/>
          <w:sz w:val="24"/>
          <w:szCs w:val="24"/>
          <w:lang w:eastAsia="es-ES"/>
        </w:rPr>
      </w:pPr>
      <w:r>
        <w:br w:type="page"/>
      </w:r>
    </w:p>
    <w:p w14:paraId="20606342" w14:textId="77777777" w:rsidR="00F64776" w:rsidRDefault="00F64776" w:rsidP="00F64776">
      <w:pPr>
        <w:pStyle w:val="TtuloResolucin"/>
      </w:pPr>
      <w:bookmarkStart w:id="275" w:name="AUTO_2023_490"/>
      <w:r>
        <w:t>AUTO 490/2023, de 24 de octubre de 2023</w:t>
      </w:r>
    </w:p>
    <w:bookmarkEnd w:id="275"/>
    <w:p w14:paraId="4E69DA30" w14:textId="77777777" w:rsidR="00F64776" w:rsidRDefault="00F64776" w:rsidP="00F64776">
      <w:pPr>
        <w:pStyle w:val="TtuloResolucin"/>
      </w:pPr>
      <w:r>
        <w:t>Pleno</w:t>
      </w:r>
    </w:p>
    <w:p w14:paraId="628CA397" w14:textId="77777777" w:rsidR="00F64776" w:rsidRDefault="00F64776" w:rsidP="00F64776">
      <w:pPr>
        <w:pStyle w:val="TextoNormalCentrado"/>
      </w:pPr>
      <w:r>
        <w:t>ECLI:ES:TC:2023:490A</w:t>
      </w:r>
    </w:p>
    <w:p w14:paraId="49B34B95" w14:textId="7E6778A7" w:rsidR="00F64776" w:rsidRDefault="00F64776" w:rsidP="00F64776">
      <w:pPr>
        <w:pStyle w:val="TextoNormalCentrado"/>
      </w:pPr>
    </w:p>
    <w:p w14:paraId="6A051529" w14:textId="77777777" w:rsidR="00F64776" w:rsidRDefault="00F64776" w:rsidP="00F64776">
      <w:pPr>
        <w:pStyle w:val="SntesisDescriptiva"/>
      </w:pPr>
      <w:r>
        <w:t>Excms. Srs. doña Inmaculada Montalbán Huertas, don Ricardo Enríquez Sancho, doña María Luisa Balaguer Callejón, don Ramón Sáez Valcárcel, don Enrique Arnaldo Alcubilla, doña María Luisa Segoviano Astaburuaga, don Juan Carlos Campo Moreno y doña Laura Díez Bueso.</w:t>
      </w:r>
    </w:p>
    <w:p w14:paraId="049B5C6A" w14:textId="25668B92" w:rsidR="00F64776" w:rsidRDefault="00F64776" w:rsidP="00F64776">
      <w:pPr>
        <w:pStyle w:val="SntesisDescriptiva"/>
      </w:pPr>
    </w:p>
    <w:p w14:paraId="6A19672F" w14:textId="77777777" w:rsidR="00F64776" w:rsidRDefault="00F64776" w:rsidP="00F64776">
      <w:pPr>
        <w:pStyle w:val="SntesisDescriptiva"/>
      </w:pPr>
      <w:r>
        <w:t>Inadmite las recusaciones formuladas en el recurso de amparo 5439-2023 y otros cuatro más, promovidos por don Carles Puigdemont i Casamajó, don Antoni Comín i Oliveres y doña Clara Ponsatí i Obiols en causa penal.</w:t>
      </w:r>
    </w:p>
    <w:p w14:paraId="5DA5DBBB" w14:textId="3EEB75F7" w:rsidR="00F64776" w:rsidRDefault="00F64776" w:rsidP="00F64776">
      <w:pPr>
        <w:pStyle w:val="SntesisDescriptiva"/>
      </w:pPr>
    </w:p>
    <w:p w14:paraId="512128EF" w14:textId="77777777" w:rsidR="00F64776" w:rsidRDefault="00F64776" w:rsidP="00F64776">
      <w:pPr>
        <w:pStyle w:val="SntesisDescriptiva"/>
      </w:pPr>
    </w:p>
    <w:p w14:paraId="39980154" w14:textId="77777777" w:rsidR="00F64776" w:rsidRDefault="00F64776" w:rsidP="00F64776">
      <w:pPr>
        <w:pStyle w:val="SntesisDescriptiva"/>
      </w:pPr>
    </w:p>
    <w:p w14:paraId="0F322D47" w14:textId="77777777" w:rsidR="00F64776" w:rsidRDefault="00F64776" w:rsidP="00F64776">
      <w:pPr>
        <w:pStyle w:val="TextoNormalNegritaCentrado"/>
      </w:pPr>
      <w:r>
        <w:t>AUTO</w:t>
      </w:r>
    </w:p>
    <w:p w14:paraId="45171401" w14:textId="21673392" w:rsidR="00F64776" w:rsidRDefault="00F64776" w:rsidP="00F64776">
      <w:pPr>
        <w:pStyle w:val="TextoNormalNegritaCentrado"/>
      </w:pPr>
    </w:p>
    <w:p w14:paraId="3A2346A2" w14:textId="77777777" w:rsidR="00F64776" w:rsidRDefault="00F64776" w:rsidP="00F64776">
      <w:pPr>
        <w:pStyle w:val="TextoNormalNegritaCentrado"/>
        <w:keepNext/>
      </w:pPr>
      <w:r>
        <w:t>I. Antecedentes</w:t>
      </w:r>
    </w:p>
    <w:p w14:paraId="66B643FD" w14:textId="795B2EE7" w:rsidR="00F64776" w:rsidRDefault="00F64776" w:rsidP="00F64776">
      <w:pPr>
        <w:pStyle w:val="TextoNormalNegritaCentrado"/>
        <w:keepNext/>
      </w:pPr>
    </w:p>
    <w:p w14:paraId="2A6CD0A3" w14:textId="77777777" w:rsidR="00F64776" w:rsidRDefault="00F64776" w:rsidP="00F64776">
      <w:pPr>
        <w:pStyle w:val="TextoNormal"/>
      </w:pPr>
      <w:r w:rsidRPr="00F64776">
        <w:rPr>
          <w:rStyle w:val="NumeroAFNegritaCaracter"/>
        </w:rPr>
        <w:t>1</w:t>
      </w:r>
      <w:r>
        <w:t>. El 31 de julio de 2023 el procurador de los tribunales don Carlos Ricardo Estévez Sanz, actuando en nombre y representación de don Carles Puigdemont i Casamajó y don Antoni Comín i Oliveres, interpusieron recurso de amparo contra las siguientes resoluciones judiciales: (i) el auto de 12 de enero de 2023 dictado por el magistrado instructor de la causa especial núm. 20907-2017 de la Sala de lo Penal del Tribunal Supremo por el que se ratificó la declaración de rebeldía, entre otros, de los aquí recurrentes, ordenando continuar la tramitación de sus piezas de situación personal en la causa, dejar sin efecto su busca y captura e ingreso en prisión así como las órdenes nacionales, europeas e internacionales de detención previamente acordadas respecto de los “tipos penales que se les atribuyen y que motivaron su emisión”; acordando al mismo tiempo su “busca y captura e ingreso en prisión, como presuntos autores de sendos delitos de desobediencia y malversación de caudales públicos del artículo 432 del Código penal”; (ii) el auto de 21 de marzo de 2023, dictado por el mismo magistrado instructor, desestimando los recursos de reforma interpuestos contra la anterior resolución; y (iii) el auto de la Sala de lo Penal del Tribunal Supremo de 13 de junio de 2023, que desestimó a su vez los recursos de apelación contra los referidos autos.</w:t>
      </w:r>
    </w:p>
    <w:p w14:paraId="507A1B6D" w14:textId="77777777" w:rsidR="00F64776" w:rsidRDefault="00F64776" w:rsidP="00F64776">
      <w:pPr>
        <w:pStyle w:val="TextoNormal"/>
      </w:pPr>
    </w:p>
    <w:p w14:paraId="786DBEA9" w14:textId="77777777" w:rsidR="00F64776" w:rsidRDefault="00F64776" w:rsidP="00F64776">
      <w:pPr>
        <w:pStyle w:val="TextoNormal"/>
      </w:pPr>
      <w:r>
        <w:t>Con los argumentos que a bien tienen desarrollar en la demanda, los recurrentes alegan que los autos impugnados vulneran sus derechos fundamentales a acceder en condiciones de igualdad al ejercicio de cargo público (art. 23.2 CE) en relación con el derecho de los ciudadanos a participar en los asuntos públicos a través de sus representantes (art. 23.1 CE); a la libertad individual (art. 17.1 CE); a la libertad deambulatoria (art. 19 CE); a la igualdad en aplicación de la ley (art. 14 CE); a la tutela judicial efectiva (art. 24.1 CE); y a un proceso con todas las garantías en su faceta de derecho a un juez independiente e imparcial (art. 24.2 CE).</w:t>
      </w:r>
    </w:p>
    <w:p w14:paraId="7CBE20BE" w14:textId="77777777" w:rsidR="00F64776" w:rsidRDefault="00F64776" w:rsidP="00F64776">
      <w:pPr>
        <w:pStyle w:val="TextoNormal"/>
      </w:pPr>
    </w:p>
    <w:p w14:paraId="239F1689" w14:textId="3025D7C8" w:rsidR="00F64776" w:rsidRDefault="00F64776" w:rsidP="00F64776">
      <w:pPr>
        <w:pStyle w:val="TextoNormal"/>
      </w:pPr>
      <w:r>
        <w:t>Por medio de otrosí digo, en el mismo escrito se solicitó “[q]ue de manera cautelarísima de conformidad con el artículo 56.6 LOTC, o subsidiariamente, de conformidad con los artículos 56.2 y 3 LOTC, para evitar la pérdida de la finalidad del presente recurso, dado el daño irreparable continuado que se viene produciendo a los recurrentes, así como a los ciudadanos de la Unión Europea que los eligieron como sus representantes en las pasadas elecciones al Parlamento Europeo”, se acordase la suspensión de las resoluciones recurridas, así como “[s]uspender cautelarmente las órdenes de busca, captura e ingreso en prisión que pesan contra los diputados al Parlamento Europeo y cualesquiera otras medidas restrictivas de su libertad ordenadas en la misma causa”.</w:t>
      </w:r>
    </w:p>
    <w:p w14:paraId="7B2B543A" w14:textId="77777777" w:rsidR="00F64776" w:rsidRDefault="00F64776" w:rsidP="00F64776">
      <w:pPr>
        <w:pStyle w:val="TextoNormal"/>
      </w:pPr>
    </w:p>
    <w:p w14:paraId="0941A501" w14:textId="0B2BC85C" w:rsidR="00F64776" w:rsidRDefault="00F64776" w:rsidP="00F64776">
      <w:pPr>
        <w:pStyle w:val="TextoNormal"/>
      </w:pPr>
      <w:r w:rsidRPr="00F64776">
        <w:rPr>
          <w:rStyle w:val="NumeroAFNegritaCaracter"/>
        </w:rPr>
        <w:t>2</w:t>
      </w:r>
      <w:r>
        <w:t>. El Pleno de este Tribunal Constitucional, “en ejercicio de la competencia definida en el artículo 2.2, en relación con los artículos 10.1 m) y 85.2 de la Ley Orgánica 2/1979, de 3 de octubre”, aprobó el acuerdo de 6 de julio de 2023 por el que se establece el régimen de días inhábiles en los procesos constitucionales, publicado en el “Boletín Oficial del Estado” núm. 164, de 11 de julio de 2023, y en cuyo artículo 4 se dispuso que: “Durante los períodos de vacaciones quedará constituida una Sección, compuesta por tres magistrados”.</w:t>
      </w:r>
    </w:p>
    <w:p w14:paraId="30ABEF55" w14:textId="77777777" w:rsidR="00F64776" w:rsidRDefault="00F64776" w:rsidP="00F64776">
      <w:pPr>
        <w:pStyle w:val="TextoNormal"/>
      </w:pPr>
    </w:p>
    <w:p w14:paraId="3751C7B5" w14:textId="7B5D9D09" w:rsidR="00F64776" w:rsidRDefault="00F64776" w:rsidP="00F64776">
      <w:pPr>
        <w:pStyle w:val="TextoNormal"/>
      </w:pPr>
      <w:r w:rsidRPr="00F64776">
        <w:rPr>
          <w:rStyle w:val="NumeroAFNegritaCaracter"/>
        </w:rPr>
        <w:t>3</w:t>
      </w:r>
      <w:r>
        <w:t>. Mediante el ATC 378/2023, de 9 de agosto, la Sección de Vacaciones de este tribunal, compuesta por la magistrada doña Concepción Espejel Jorquera, presidenta, el magistrado don César Tolosa Tribiño y la magistrada doña Laura Díez Bueso, resolvió sobre la admisión a trámite del presente recurso de amparo, decidiendo por el voto favorable de los dos primeros magistrados inadmitir el recurso “dada la manifiesta inexistencia de violación de un derecho fundamental tutelable en amparo”. La magistrada doña Laura Díez Bueso emitió un voto particular en el que manifiesta su discrepancia con que el recurso no fuera tramitado después del periodo estival siguiendo el sistema ordinario de reparto y resolución de los asuntos; y sostiene que el recurso debió admitirse atendiendo además a la práctica seguida por el Tribunal con los recursos de amparo relativos a la causa especial 20907-2017 del Tribunal Supremo, los cuales han sido admitidos y avocados por el Pleno para su resolución.</w:t>
      </w:r>
    </w:p>
    <w:p w14:paraId="2C311680" w14:textId="77777777" w:rsidR="00F64776" w:rsidRDefault="00F64776" w:rsidP="00F64776">
      <w:pPr>
        <w:pStyle w:val="TextoNormal"/>
      </w:pPr>
    </w:p>
    <w:p w14:paraId="0DAFCC12" w14:textId="6813985B" w:rsidR="00F64776" w:rsidRDefault="00F64776" w:rsidP="00F64776">
      <w:pPr>
        <w:pStyle w:val="TextoNormal"/>
      </w:pPr>
      <w:r w:rsidRPr="00F64776">
        <w:rPr>
          <w:rStyle w:val="NumeroAFNegritaCaracter"/>
        </w:rPr>
        <w:t>4</w:t>
      </w:r>
      <w:r>
        <w:t>. El fiscal ante este tribunal presentó escrito el 1 de septiembre de 2023 deduciendo recurso de súplica contra ese auto, interesando con los argumentos que ha tenido a bien desarrollar, que este tribunal “deje sin efecto el auto de inadmisión recaído en el presente recurso de amparo con fecha 9 de agosto de 2023, quedando las actuaciones pendientes de la resolución que sobre dicha admisión resulte procedente, con arreglo a las normas de competencia y procedimiento que resultan y derivan de la Ley Orgánica del Tribunal Constitucional”.</w:t>
      </w:r>
    </w:p>
    <w:p w14:paraId="7994246E" w14:textId="77777777" w:rsidR="00F64776" w:rsidRDefault="00F64776" w:rsidP="00F64776">
      <w:pPr>
        <w:pStyle w:val="TextoNormal"/>
      </w:pPr>
    </w:p>
    <w:p w14:paraId="57773CB5" w14:textId="77777777" w:rsidR="00F64776" w:rsidRDefault="00F64776" w:rsidP="00F64776">
      <w:pPr>
        <w:pStyle w:val="TextoNormal"/>
      </w:pPr>
      <w:r w:rsidRPr="00F64776">
        <w:rPr>
          <w:rStyle w:val="NumeroAFNegritaCaracter"/>
        </w:rPr>
        <w:t>5</w:t>
      </w:r>
      <w:r>
        <w:t>. El 4 de septiembre de 2023 la Secretaría de Justicia de la Sección Segunda, Sala Primera, de este tribunal, dictó diligencia de ordenación del siguiente tenor: “En el asunto de referencia se tiene por recibido el precedente escrito del Ministerio Fiscal del que se dará traslado al procurador Carlos Ricardo Estévez Sanz para que en el plazo de tres días, alegue lo que estime pertinente en relación con el recurso de súplica formulado, de conformidad con lo prevenido en el art. 93.2 de la Ley Orgánica del Tribunal Constitucional”.</w:t>
      </w:r>
    </w:p>
    <w:p w14:paraId="63E477B6" w14:textId="77777777" w:rsidR="00F64776" w:rsidRDefault="00F64776" w:rsidP="00F64776">
      <w:pPr>
        <w:pStyle w:val="TextoNormal"/>
      </w:pPr>
    </w:p>
    <w:p w14:paraId="0343C1F6" w14:textId="5261663E" w:rsidR="00F64776" w:rsidRDefault="00F64776" w:rsidP="00F64776">
      <w:pPr>
        <w:pStyle w:val="TextoNormal"/>
      </w:pPr>
      <w:r>
        <w:t>El representante procesal de los aquí recurrentes presentó escrito el 5 de septiembre de 2023 que calificó de “recurso de súplica” contra aquel mismo auto de 9 de agosto de 2023, interesando su revocación, con admisión a trámite de la demanda y apertura de la pieza de medidas cautelares.</w:t>
      </w:r>
    </w:p>
    <w:p w14:paraId="6C5BEA6C" w14:textId="77777777" w:rsidR="00F64776" w:rsidRDefault="00F64776" w:rsidP="00F64776">
      <w:pPr>
        <w:pStyle w:val="TextoNormal"/>
      </w:pPr>
    </w:p>
    <w:p w14:paraId="4AA220DB" w14:textId="6C3A02A6" w:rsidR="00F64776" w:rsidRDefault="00F64776" w:rsidP="00F64776">
      <w:pPr>
        <w:pStyle w:val="TextoNormal"/>
      </w:pPr>
      <w:r w:rsidRPr="00F64776">
        <w:rPr>
          <w:rStyle w:val="NumeroAFNegritaCaracter"/>
        </w:rPr>
        <w:t>6</w:t>
      </w:r>
      <w:r>
        <w:t>. Mediante providencia de 12 de septiembre de 2023, el Pleno de este tribunal, “conforme establece el artículo 10.1 n) de la Ley Orgánica del Tribunal, a propuesta de tres magistrados, acuerda recabar para sí el conocimiento del recurso de amparo que se tramita en la Sala Primera con el número 5439-2023, interpuesto por don Carles Puigdemont i Casamajó y don Antoni Comín i Oliveres”.</w:t>
      </w:r>
    </w:p>
    <w:p w14:paraId="5EB5C69A" w14:textId="77777777" w:rsidR="00F64776" w:rsidRDefault="00F64776" w:rsidP="00F64776">
      <w:pPr>
        <w:pStyle w:val="TextoNormal"/>
      </w:pPr>
    </w:p>
    <w:p w14:paraId="161BA1E5" w14:textId="703DB969" w:rsidR="00F64776" w:rsidRDefault="00F64776" w:rsidP="00F64776">
      <w:pPr>
        <w:pStyle w:val="TextoNormal"/>
      </w:pPr>
      <w:r w:rsidRPr="00F64776">
        <w:rPr>
          <w:rStyle w:val="NumeroAFNegritaCaracter"/>
        </w:rPr>
        <w:t>7</w:t>
      </w:r>
      <w:r>
        <w:t>. El Pleno de este tribunal dictó el ATC 434/2023, de 12 de septiembre, aceptando la solicitud de abstención formulada mediante escrito de 5 de septiembre por su presidente, el magistrado don Cándido Conde-Pumpido Tourón, con el fin de apartarse con carácter definitivo del presente recurso de amparo y de todas sus incidencias, al igual que ya había solicitado en otros recursos de amparo relacionados con la causa especial 20907-2017 de la Sala de lo Penal del Tribunal Supremo y que el Pleno aceptó por ATC 48/2021, de 21 de abril.</w:t>
      </w:r>
    </w:p>
    <w:p w14:paraId="7038E3C4" w14:textId="77777777" w:rsidR="00F64776" w:rsidRDefault="00F64776" w:rsidP="00F64776">
      <w:pPr>
        <w:pStyle w:val="TextoNormal"/>
      </w:pPr>
    </w:p>
    <w:p w14:paraId="77257FCA" w14:textId="77777777" w:rsidR="00F64776" w:rsidRDefault="00F64776" w:rsidP="00F64776">
      <w:pPr>
        <w:pStyle w:val="TextoNormal"/>
      </w:pPr>
      <w:r w:rsidRPr="00F64776">
        <w:rPr>
          <w:rStyle w:val="NumeroAFNegritaCaracter"/>
        </w:rPr>
        <w:t>8</w:t>
      </w:r>
      <w:r>
        <w:t>. El 14 de septiembre de 2023 el procurador don Carlos Ricardo Estévez Sanz, actuando en nombre y representación, según indica, de don Carles Puigdemont i Casamajó, don Antoni Comín i Oliveres y doña Clara Ponsatí i Obiols, presentó un escrito en el que, en la parte superior de la primera página y antes del encabezamiento, señalaba lo siguiente: “Procedimientos que son objeto de la recusación. - Recursos de amparo núm. 5440-2023 (Excma. Sra. Ponsatí i Obiols) y núm. 5439-2023 (Excmos. Sres. Puigdemont i Casamajó y Comín i Oliveres) y demás recursos de amparo interpuestos por cualquiera de los recusantes contra resoluciones judiciales dimanantes de la causa especial núm. 20907-2017 seguida ante la Sala Segunda del Tribunal Supremo, y procesos constitucionales relacionados”.</w:t>
      </w:r>
    </w:p>
    <w:p w14:paraId="60F143F6" w14:textId="77777777" w:rsidR="00F64776" w:rsidRDefault="00F64776" w:rsidP="00F64776">
      <w:pPr>
        <w:pStyle w:val="TextoNormal"/>
      </w:pPr>
    </w:p>
    <w:p w14:paraId="6D67A962" w14:textId="77777777" w:rsidR="00F64776" w:rsidRDefault="00F64776" w:rsidP="00F64776">
      <w:pPr>
        <w:pStyle w:val="TextoNormal"/>
      </w:pPr>
      <w:r>
        <w:t>En el encabezamiento se manifiesta que, tras la notificación del ATC 378/2023, de 9 de agosto, dictado en el recurso de amparo núm. 5439-2023, “[h]abiendo de resolver los recursos de amparo a los que se refiere este escrito al margen la Excma. Sra. doña Concepción Espejel Jorquera y el Excmo. Sr. don César Tolosa Tribiño”, al carecer ambos a su parecer “de la imprescindible apariencia de imparcialidad […] como consecuencia de su juicio anticipado por ellos llevado a cabo en el auto de la Sección de Vacaciones del Tribunal Constitucional de 9 de agosto de 2023 sobre el fondo de dichos recursos, en el trámite de admisión de aquel recurso, lo que les obliga a su abstención de conformidad con lo previsto en el artículo 217 de la Ley Orgánica del Poder Judicial”, promueve contra ambos su recusación de conformidad con dicha Ley Orgánica, de aplicación supletoria conforme al art. 80 de la Ley Orgánica del Tribunal Constitucional (LOTC).</w:t>
      </w:r>
    </w:p>
    <w:p w14:paraId="15209760" w14:textId="77777777" w:rsidR="00F64776" w:rsidRDefault="00F64776" w:rsidP="00F64776">
      <w:pPr>
        <w:pStyle w:val="TextoNormal"/>
      </w:pPr>
    </w:p>
    <w:p w14:paraId="571FC53A" w14:textId="77777777" w:rsidR="00F64776" w:rsidRDefault="00F64776" w:rsidP="00F64776">
      <w:pPr>
        <w:pStyle w:val="TextoNormal"/>
      </w:pPr>
      <w:r>
        <w:t>Fundamentan su pretensión los recusantes recordando en primer lugar la jurisprudencia del Tribunal de Justicia de la Unión Europea y del Tribunal Europeo de Derechos Humanos acerca de la importancia que para la confianza de los ciudadanos ha de concederse a la garantía de un juez independiente, imparcial y predeterminado por la ley, desde la perspectiva del derecho a un proceso justo, lo que supone la exigencia a todo órgano jurisdiccional para que controle de oficio cualquier irregularidad en su cumplimiento, tal y como se desprende del art. 24 CE, el art. 6 del Convenio europeo de derechos humanos (CEDH) y el art. 47 de la Carta de los derechos fundamentales de la Unión Europea, así como el art. 217 de la Ley Orgánica del Poder Judicial (LOPJ). Añade que, sin perjuicio de que el escrito expresa “claramente la causa legal” de la recusación alegada, esto último ni siquiera sería preciso, según el auto de 13 de septiembre de 2019 de la Sala Especial del Tribunal Supremo del art. 61 de la Ley Orgánica del Poder Judicial.</w:t>
      </w:r>
    </w:p>
    <w:p w14:paraId="7E00D2DF" w14:textId="77777777" w:rsidR="00F64776" w:rsidRDefault="00F64776" w:rsidP="00F64776">
      <w:pPr>
        <w:pStyle w:val="TextoNormal"/>
      </w:pPr>
    </w:p>
    <w:p w14:paraId="75BDE0E1" w14:textId="77777777" w:rsidR="00F64776" w:rsidRDefault="00F64776" w:rsidP="00F64776">
      <w:pPr>
        <w:pStyle w:val="TextoNormal"/>
      </w:pPr>
      <w:r>
        <w:t>Sentado esto, el escrito se centra en la actuación desempeñada por los dos magistrados de este tribunal recusados al resolver por auto de 9 de agosto de 2023 de la Sección de Vacaciones la inadmisión del recurso de amparo núm. 5439-2023 por manifiesta inexistencia de violación de un derecho fundamental tutelable en amparo. Creen los recusantes que el juicio jurídico emitido por aquellos para dictar dicha resolución, “pone en cuestión su imparcialidad para decidir sobre los recursos de amparo referidos al margen de este escrito, todos ellos derivados de la causa especial núm. 20907-2017 que se sigue ante la Sala de lo Penal del Tribunal Supremo. Y ello, por cuanto en el auto de la Sección de Vacaciones de 9 de agosto de 2023, los magistrados recusados han emitido un juicio anticipado, en el trámite de admisión, sobre distintos argumentos sobre los que, de no mediar su recusación, habrán de resolver nuevamente en el momento de dictar sentencia en dichos procedimientos de amparo. En particular, sobre el alcance de la inmunidad parlamentaria de que gozan los recurrentes en amparo” conforme a la normativa de privilegios e inmunidades del Parlamento Europeo.</w:t>
      </w:r>
    </w:p>
    <w:p w14:paraId="268F7AED" w14:textId="77777777" w:rsidR="00F64776" w:rsidRDefault="00F64776" w:rsidP="00F64776">
      <w:pPr>
        <w:pStyle w:val="TextoNormal"/>
      </w:pPr>
    </w:p>
    <w:p w14:paraId="27AB379D" w14:textId="77777777" w:rsidR="00F64776" w:rsidRDefault="00F64776" w:rsidP="00F64776">
      <w:pPr>
        <w:pStyle w:val="TextoNormal"/>
      </w:pPr>
      <w:r>
        <w:t>Sostiene además el escrito que los recusados vulneraron el derecho al juez ordinario predeterminado por la ley (art. 24.2 CE), “pues no correspondía a la Sección de Vacaciones del Tribunal Constitucional resolver sobre la admisión a trámite del referido recurso de amparo, lo que pone de manifiesto el interés directo de la Excma. Sra. Concepción Espejel Jorquera y del Excmo. Sr. César Tolosa Tribiño en relación con los recursos de amparo a los que se refiere el presente escrito de recusación, en detrimento de la debida imparcialidad. A ello cabe añadir que la falta de imparcialidad de la Excma. Sra. Concepción Espejel Jorquera ya fue denunciada en su día por esta parte, mediante el oportuno escrito de recusación, por motivo distinto, que lógicamente se reitera por constituir antecedente evidente de este nuevo escrito de recusación”.</w:t>
      </w:r>
    </w:p>
    <w:p w14:paraId="70BD53ED" w14:textId="77777777" w:rsidR="00F64776" w:rsidRDefault="00F64776" w:rsidP="00F64776">
      <w:pPr>
        <w:pStyle w:val="TextoNormal"/>
      </w:pPr>
    </w:p>
    <w:p w14:paraId="588AA8DB" w14:textId="77777777" w:rsidR="00F64776" w:rsidRDefault="00F64776" w:rsidP="00F64776">
      <w:pPr>
        <w:pStyle w:val="TextoNormal"/>
      </w:pPr>
      <w:r>
        <w:t>Concreta el escrito de alegaciones que “la Excma. Sra. Concepción Espejel Jorquera y el Excmo. Sr. César Tolosa Tribiño incurren, por las razones antedichas, en los motivos de recusación previstos en los artículos 219.1.10 y 11 de la Ley Orgánica del Poder Judicial, aplicable de conformidad con lo dispuesto en el artículo 80 de la Ley Orgánica del Tribunal Constitucional”; insistiendo en que su criterio jurídico en el auto de 9 de agosto de 2023, al haber vulnerado las inmunidades parlamentarias, “se debe extender a todos los recursos de amparo interpuestos por esta parte contra resoluciones judiciales dictadas en dicha causa [especial 20907-2017 de la Sala de lo Penal del Tribunal Supremo]”.</w:t>
      </w:r>
    </w:p>
    <w:p w14:paraId="7D1DA02C" w14:textId="77777777" w:rsidR="00F64776" w:rsidRDefault="00F64776" w:rsidP="00F64776">
      <w:pPr>
        <w:pStyle w:val="TextoNormal"/>
      </w:pPr>
    </w:p>
    <w:p w14:paraId="39EDE75C" w14:textId="536A2F19" w:rsidR="00F64776" w:rsidRDefault="00F64776" w:rsidP="00F64776">
      <w:pPr>
        <w:pStyle w:val="TextoNormal"/>
      </w:pPr>
      <w:r>
        <w:t>Finaliza su argumentación el escrito diciendo por qué no se recusa a la “Excma. Sra. Laura Díez Bueso”, pues en su voto particular “se desvincula expresamente del juicio anticipado sobre el fondo del asunto”.</w:t>
      </w:r>
    </w:p>
    <w:p w14:paraId="5EF55F12" w14:textId="77777777" w:rsidR="00F64776" w:rsidRDefault="00F64776" w:rsidP="00F64776">
      <w:pPr>
        <w:pStyle w:val="TextoNormal"/>
      </w:pPr>
    </w:p>
    <w:p w14:paraId="5930A16C" w14:textId="632F4AD2" w:rsidR="00F64776" w:rsidRDefault="00F64776" w:rsidP="00F64776">
      <w:pPr>
        <w:pStyle w:val="TextoNormal"/>
      </w:pPr>
      <w:r w:rsidRPr="00F64776">
        <w:rPr>
          <w:rStyle w:val="NumeroAFNegritaCaracter"/>
        </w:rPr>
        <w:t>9</w:t>
      </w:r>
      <w:r>
        <w:t>. En la misma fecha, 14 de septiembre de 2023, el procurador de los tribunales don Javier Fernández Estrada, actuando en nombre y representación de don Carles Puigdemont i Casamajó, don Antoni Comín i Oliveres y doña Clara Ponsatí i Obiols, presentó tres escritos por los que recusó a los magistrados de este Tribunal, la “Excma. Sra. Concepción Espejel Jorquera y el Excmo. Sr. César Tolosa Tribiño”, en los recursos de amparo núm. 64-2020, 972-2021 y 2835-2021, tal y como se hizo constar en la parte superior de su primera página; escrito cuyo contenido era el mismo que el presentado por el procurador señor Estévez Sanz para los recursos de amparo núm. 5439-2023 y 5440-2023.</w:t>
      </w:r>
    </w:p>
    <w:p w14:paraId="131F8DDB" w14:textId="77777777" w:rsidR="00F64776" w:rsidRDefault="00F64776" w:rsidP="00F64776">
      <w:pPr>
        <w:pStyle w:val="TextoNormal"/>
      </w:pPr>
    </w:p>
    <w:p w14:paraId="2CFA739D" w14:textId="77777777" w:rsidR="00F64776" w:rsidRDefault="00F64776" w:rsidP="00F64776">
      <w:pPr>
        <w:pStyle w:val="TextoNormal"/>
      </w:pPr>
      <w:r w:rsidRPr="00F64776">
        <w:rPr>
          <w:rStyle w:val="NumeroAFNegritaCaracter"/>
        </w:rPr>
        <w:t>10</w:t>
      </w:r>
      <w:r>
        <w:t>. La Secretaría de Justicia del Pleno de este tribunal dictó diligencia de ordenación el 18 de septiembre de 2023, proveyendo lo que sigue: “En el asunto de referencia, se tiene por recibido escrito presentado por el procurador don Carlos Ricardo Estévez Sanz, en nombre y representación de don Carles Puigdemont i Casamajó, don Antoni Comín i Oliveres y doña Clara Ponsatí i Obiols, mediante el que formula recusación de la magistrada Excma. Sra. doña Concepción Espejel Jorquera y del magistrado Excmo. Sr. don César Tolosa Tribiño en el presente recurso de amparo núm. 5439-2023 y en el recurso de amparo núm. 5440-2023, que se tramita en la Sala Segunda de este tribunal.</w:t>
      </w:r>
    </w:p>
    <w:p w14:paraId="5E6AB980" w14:textId="77777777" w:rsidR="00F64776" w:rsidRDefault="00F64776" w:rsidP="00F64776">
      <w:pPr>
        <w:pStyle w:val="TextoNormal"/>
      </w:pPr>
    </w:p>
    <w:p w14:paraId="7F375096" w14:textId="77777777" w:rsidR="00F64776" w:rsidRDefault="00F64776" w:rsidP="00F64776">
      <w:pPr>
        <w:pStyle w:val="TextoNormal"/>
      </w:pPr>
      <w:r>
        <w:t>Así mismo, se tiene por recibido el escrito presentado por el procurador don Javier Fernández Estrada, en nombre y representación de don Carles Puigdemont i Casamajó, don Antoni Comín i Oliveres y doña Clara Ponsatí i Obiols, formulando idéntica recusación en los recursos de amparo núm. 64-2020, 972-2021 y 2835-2021.</w:t>
      </w:r>
    </w:p>
    <w:p w14:paraId="2442B960" w14:textId="77777777" w:rsidR="00F64776" w:rsidRDefault="00F64776" w:rsidP="00F64776">
      <w:pPr>
        <w:pStyle w:val="TextoNormal"/>
      </w:pPr>
    </w:p>
    <w:p w14:paraId="26050DB8" w14:textId="77777777" w:rsidR="00F64776" w:rsidRDefault="00F64776" w:rsidP="00F64776">
      <w:pPr>
        <w:pStyle w:val="TextoNormal"/>
      </w:pPr>
      <w:r>
        <w:t>Se acuerda designar ponente del incidente de recusación al magistrado Excmo. Sr. don Ricardo Enríquez Sancho, al que por turno corresponde, para que proponga al Pleno la resolución que proceda.</w:t>
      </w:r>
    </w:p>
    <w:p w14:paraId="3FF001F0" w14:textId="77777777" w:rsidR="00F64776" w:rsidRDefault="00F64776" w:rsidP="00F64776">
      <w:pPr>
        <w:pStyle w:val="TextoNormal"/>
      </w:pPr>
    </w:p>
    <w:p w14:paraId="3E0912E2" w14:textId="5C59E718" w:rsidR="00F64776" w:rsidRDefault="00F64776" w:rsidP="00F64776">
      <w:pPr>
        <w:pStyle w:val="TextoNormal"/>
      </w:pPr>
      <w:r>
        <w:t>Llévese testimonio de la presente resolución a cada uno de los procesos en los que se ha planteado recusación, a los efectos oportunos”.</w:t>
      </w:r>
    </w:p>
    <w:p w14:paraId="2005DC23" w14:textId="77777777" w:rsidR="00F64776" w:rsidRDefault="00F64776" w:rsidP="00F64776">
      <w:pPr>
        <w:pStyle w:val="TextoNormal"/>
      </w:pPr>
    </w:p>
    <w:p w14:paraId="36BE9AF8" w14:textId="7BD6EDD1" w:rsidR="00F64776" w:rsidRDefault="00F64776" w:rsidP="00F64776">
      <w:pPr>
        <w:pStyle w:val="TextoNormal"/>
      </w:pPr>
      <w:r w:rsidRPr="00F64776">
        <w:rPr>
          <w:rStyle w:val="NumeroAFNegritaCaracter"/>
        </w:rPr>
        <w:t>11</w:t>
      </w:r>
      <w:r>
        <w:t>. La Secretaría de Justicia de la Sala Segunda de este tribunal dictó diligencia de ordenación el 19 de septiembre de 2023 en el recurso de amparo núm. 5440-2023, indicando que: “En el asunto de referencia, se acuerda incorporar a lo actuado el precedente escrito presentado por el procurador don Carlos Ricardo Estévez Sanz, en nombre y representación de doña Clara Ponsatí i Obiols, por el que se formula incidente de recusación, y conforme a lo previsto en el art. 10.1 k) de la Ley Orgánica del Tribunal Constitucional, remitir dicho escrito al Pleno de este tribunal, para resolver lo que proceda”.</w:t>
      </w:r>
    </w:p>
    <w:p w14:paraId="47B23507" w14:textId="77777777" w:rsidR="00F64776" w:rsidRDefault="00F64776" w:rsidP="00F64776">
      <w:pPr>
        <w:pStyle w:val="TextoNormal"/>
      </w:pPr>
    </w:p>
    <w:p w14:paraId="3DC323E5" w14:textId="77777777" w:rsidR="00F64776" w:rsidRDefault="00F64776" w:rsidP="00F64776">
      <w:pPr>
        <w:pStyle w:val="TextoNormal"/>
      </w:pPr>
      <w:r w:rsidRPr="00F64776">
        <w:rPr>
          <w:rStyle w:val="NumeroAFNegritaCaracter"/>
        </w:rPr>
        <w:t>12</w:t>
      </w:r>
      <w:r>
        <w:t xml:space="preserve">. El 25 de septiembre de 2023 la procuradora de los tribunales doña María Pilar Hidalgo López, actuando en nombre y representación del partido político Vox, presentó escrito en el recurso de amparo núm. 64-2020 manifestando que con ocasión de habérsele notificado el escrito de recusación presentado en dicho recurso y en los procesos de amparo núm. 972-2021 y 2835-2021, venía a oponerse a la recusación así promovida, dada la “inexistencia de los motivos alegados que fundamentarían la recusación”, teniendo para ello en cuenta que: (i) “para obtener un pronunciamiento sobre la admisión, el Tribunal Constitucional debe examinar </w:t>
      </w:r>
      <w:r w:rsidRPr="00F64776">
        <w:rPr>
          <w:i/>
        </w:rPr>
        <w:t>prima facie</w:t>
      </w:r>
      <w:r>
        <w:t xml:space="preserve"> el fondo del asunto, sin perjuicio del análisis exhaustivo del fondo, en su caso, en la sentencia”, con cita del ATC 426/1990, de 10 de diciembre; y (ii) porque seguir la tesis de los recusantes “conduciría, inevitablemente, a la recusación de un número indefinido de jueces y magistrados, entrando en una dinámica nada deseable y contraria al principio de economía procesal y al derecho a un proceso sin dilaciones indebidas (en definitiva, contrario al derecho a la tutela judicial efectiva)”.</w:t>
      </w:r>
    </w:p>
    <w:p w14:paraId="2594F61E" w14:textId="77777777" w:rsidR="00F64776" w:rsidRDefault="00F64776" w:rsidP="00F64776">
      <w:pPr>
        <w:pStyle w:val="TextoNormal"/>
      </w:pPr>
    </w:p>
    <w:p w14:paraId="640E46A7" w14:textId="0672F7DC" w:rsidR="00F64776" w:rsidRDefault="00F64776" w:rsidP="00F64776">
      <w:pPr>
        <w:pStyle w:val="TextoNormal"/>
      </w:pPr>
      <w:r>
        <w:t>Asimismo, se alega que no se ha acreditado por los recusantes la concurrencia de los motivos que justificarían la recusación, limitándose el escrito que plantea esta última a citar varios apartados del artículo 219 LOPJ.</w:t>
      </w:r>
    </w:p>
    <w:p w14:paraId="7C4C81DE" w14:textId="77777777" w:rsidR="00F64776" w:rsidRDefault="00F64776" w:rsidP="00F64776">
      <w:pPr>
        <w:pStyle w:val="TextoNormal"/>
      </w:pPr>
    </w:p>
    <w:p w14:paraId="2C795742" w14:textId="77777777" w:rsidR="00F64776" w:rsidRDefault="00F64776" w:rsidP="00F64776">
      <w:pPr>
        <w:pStyle w:val="TextoNormalNegritaCentrado"/>
        <w:keepNext/>
      </w:pPr>
      <w:r>
        <w:t>II. Fundamentos jurídicos</w:t>
      </w:r>
    </w:p>
    <w:p w14:paraId="2D14867E" w14:textId="07784846" w:rsidR="00F64776" w:rsidRDefault="00F64776" w:rsidP="00F64776">
      <w:pPr>
        <w:pStyle w:val="TextoNormalNegritaCentrado"/>
        <w:keepNext/>
      </w:pPr>
    </w:p>
    <w:p w14:paraId="18A8B382" w14:textId="77777777" w:rsidR="00F64776" w:rsidRDefault="00F64776" w:rsidP="00F64776">
      <w:pPr>
        <w:pStyle w:val="TextoNormal"/>
      </w:pPr>
      <w:r w:rsidRPr="00F64776">
        <w:rPr>
          <w:rStyle w:val="NumeroAFNegritaCaracter"/>
        </w:rPr>
        <w:t>1</w:t>
      </w:r>
      <w:r>
        <w:t xml:space="preserve">. </w:t>
      </w:r>
      <w:r w:rsidRPr="00F64776">
        <w:rPr>
          <w:i/>
        </w:rPr>
        <w:t>Objeto de las solicitudes de recusación formuladas y consideraciones previas a su enjuiciamiento</w:t>
      </w:r>
    </w:p>
    <w:p w14:paraId="33C37AFE" w14:textId="77777777" w:rsidR="00F64776" w:rsidRDefault="00F64776" w:rsidP="00F64776">
      <w:pPr>
        <w:pStyle w:val="TextoNormal"/>
      </w:pPr>
    </w:p>
    <w:p w14:paraId="78334B05" w14:textId="77777777" w:rsidR="00F64776" w:rsidRDefault="00F64776" w:rsidP="00F64776">
      <w:pPr>
        <w:pStyle w:val="TextoNormal"/>
      </w:pPr>
      <w:r>
        <w:t>A) Constituye el objeto de resolución del presente auto los escritos de recusación que se han presentado en nombre y representación de don Carles Puigdemont i Casamajó, don Antoni Comín i Oliveres y doña Clara Ponsatí i Obiols contra los magistrados de este tribunal doña Concepción Espejel Jorquera y don César Tolosa Tribiño, a quienes se atribuye el incurrir en las causas de parcialidad del art. 219.10 (“[t]ener interés directo o indirecto en el pleito o causa”) y 11 (“[h]aber participado en la instrucción de la causa penal o haber resuelto el pleito o causa en anterior instancia”) de la LOPJ, al haber adelantado un juicio de fondo en el recurso de amparo núm. 5439-2023, con ocasión de dictarse por la Sección de Vacaciones el ATC 378/2023, de 9 de agosto, que inadmitió dicho recurso de amparo, lo que privaría a dichos magistrados de la debida imparcialidad para actuar en el posterior trámite de sentencia.</w:t>
      </w:r>
    </w:p>
    <w:p w14:paraId="29BBDC66" w14:textId="77777777" w:rsidR="00F64776" w:rsidRDefault="00F64776" w:rsidP="00F64776">
      <w:pPr>
        <w:pStyle w:val="TextoNormal"/>
      </w:pPr>
    </w:p>
    <w:p w14:paraId="170B10D2" w14:textId="77777777" w:rsidR="00F64776" w:rsidRDefault="00F64776" w:rsidP="00F64776">
      <w:pPr>
        <w:pStyle w:val="TextoNormal"/>
      </w:pPr>
      <w:r>
        <w:t>Los escritos a los que se hace referencia son: (i) de un lado, el presentado el 14 de septiembre de 2023 por el procurador don Carlos Ricardo Estévez Sanz, con el fin de que se tenga por deducida dicha recusación y consiguientemente se aparte a ambos magistrados del conocimiento, tanto del indicado recurso de amparo núm. 5439-2023, como del recurso de amparo núm. 5440-2023; y (ii) de otro lado, los tres escritos presentados en la misma fecha por el procurador don Javier Fernández Estrada, con idéntica fundamentación que el primero ya citado, en los que se solicita que la recusación extienda sus efectos y se aparte a los mismos dos magistrados del conocimiento de los recursos de amparo núm. 64-2020, 972-2021 y 2835-2021.</w:t>
      </w:r>
    </w:p>
    <w:p w14:paraId="3E9557A8" w14:textId="77777777" w:rsidR="00F64776" w:rsidRDefault="00F64776" w:rsidP="00F64776">
      <w:pPr>
        <w:pStyle w:val="TextoNormal"/>
      </w:pPr>
    </w:p>
    <w:p w14:paraId="31E3597A" w14:textId="77777777" w:rsidR="00F64776" w:rsidRDefault="00F64776" w:rsidP="00F64776">
      <w:pPr>
        <w:pStyle w:val="TextoNormal"/>
      </w:pPr>
      <w:r>
        <w:t>B) Planteadas en estos términos las recusaciones, procede hacer algunas consideraciones previas con el fin de delimitar el alcance de nuestro examen:</w:t>
      </w:r>
    </w:p>
    <w:p w14:paraId="7B06C6B7" w14:textId="77777777" w:rsidR="00F64776" w:rsidRDefault="00F64776" w:rsidP="00F64776">
      <w:pPr>
        <w:pStyle w:val="TextoNormal"/>
      </w:pPr>
    </w:p>
    <w:p w14:paraId="010BB183" w14:textId="77777777" w:rsidR="00F64776" w:rsidRDefault="00F64776" w:rsidP="00F64776">
      <w:pPr>
        <w:pStyle w:val="TextoNormal"/>
      </w:pPr>
      <w:r>
        <w:t xml:space="preserve">a) Doña Clara Ponsatí i Obiols no es parte demandante en los recursos de amparo núm. 5439-2023 y 64-2020, por lo que carece de legitimación para impetrar la recusación de alguno de los magistrados de este tribunal que pudieran llegar a conocer de dichos asuntos. Tampoco ha pedido su personación en la causa </w:t>
      </w:r>
      <w:r w:rsidRPr="00F64776">
        <w:rPr>
          <w:i/>
        </w:rPr>
        <w:t>ex</w:t>
      </w:r>
      <w:r>
        <w:t xml:space="preserve"> art. 46 LOTC, por lo que tampoco puede adherirse a la recusación deducida por quienes sí son parte en las mismas.</w:t>
      </w:r>
    </w:p>
    <w:p w14:paraId="457815A6" w14:textId="77777777" w:rsidR="00F64776" w:rsidRDefault="00F64776" w:rsidP="00F64776">
      <w:pPr>
        <w:pStyle w:val="TextoNormal"/>
      </w:pPr>
    </w:p>
    <w:p w14:paraId="3F260C1F" w14:textId="77777777" w:rsidR="00F64776" w:rsidRDefault="00F64776" w:rsidP="00F64776">
      <w:pPr>
        <w:pStyle w:val="TextoNormal"/>
      </w:pPr>
      <w:r>
        <w:t>Lo mismo sucede con don Carles Puigdemont i Casamajó y don Antoni Comín i Oliveres respecto de los recursos de amparo núm. 5440-2023 y 2835-2021, ambos interpuestos única y exclusivamente por doña Clara Ponsatí i Obiols y en los que no han solicitado su personación; por tanto solo a ella se ciñe la legitimación para recusar en dichos procesos.</w:t>
      </w:r>
    </w:p>
    <w:p w14:paraId="290705DC" w14:textId="77777777" w:rsidR="00F64776" w:rsidRDefault="00F64776" w:rsidP="00F64776">
      <w:pPr>
        <w:pStyle w:val="TextoNormal"/>
      </w:pPr>
    </w:p>
    <w:p w14:paraId="24D569E4" w14:textId="77777777" w:rsidR="00F64776" w:rsidRDefault="00F64776" w:rsidP="00F64776">
      <w:pPr>
        <w:pStyle w:val="TextoNormal"/>
      </w:pPr>
      <w:r>
        <w:t>b) Los magistrados doña Concepción Espejel Jorquera y don César Tolosa Tribiño no participaron en las distintas deliberaciones del Pleno que condujeron al acuerdo sobre la admisión a trámite de los recursos de amparo núm. 64-2020 (mediante providencia de 14 de julio de 2020), 972-2021 (según providencia de 16 de marzo de 2021) y 2835-2021 (por providencia de 28 de octubre de 2021) pues, de hecho, ninguno de ellos dos formaba parte de este Tribunal Constitucional en aquel tiempo.</w:t>
      </w:r>
    </w:p>
    <w:p w14:paraId="42C58663" w14:textId="77777777" w:rsidR="00F64776" w:rsidRDefault="00F64776" w:rsidP="00F64776">
      <w:pPr>
        <w:pStyle w:val="TextoNormal"/>
      </w:pPr>
    </w:p>
    <w:p w14:paraId="1EB1EEBF" w14:textId="77777777" w:rsidR="00F64776" w:rsidRDefault="00F64776" w:rsidP="00F64776">
      <w:pPr>
        <w:pStyle w:val="TextoNormal"/>
      </w:pPr>
      <w:r>
        <w:t>Dado que los escritos presentados cuestionan que ambos magistrados “han de resolver” dichos recursos, sin precisar más, es claro que no procede considerar de plano la recusación por lo que se refiere a la fase de admisión, mientras que respecto a su posible parcialidad para participar en la futura sentencia que está pendiente de dictarse hemos de remitirnos al análisis preliminar de fondo del fundamento jurídico 2 del presente auto.</w:t>
      </w:r>
    </w:p>
    <w:p w14:paraId="2502C9BC" w14:textId="77777777" w:rsidR="00F64776" w:rsidRDefault="00F64776" w:rsidP="00F64776">
      <w:pPr>
        <w:pStyle w:val="TextoNormal"/>
      </w:pPr>
    </w:p>
    <w:p w14:paraId="3B829A9A" w14:textId="77777777" w:rsidR="00F64776" w:rsidRDefault="00F64776" w:rsidP="00F64776">
      <w:pPr>
        <w:pStyle w:val="TextoNormal"/>
      </w:pPr>
      <w:r>
        <w:t>c) Respecto del recurso de amparo núm. 5440-2023, no avocado por el Pleno de este tribunal y del que conoce su Sala Segunda, a la que pertenece el magistrado don César Tolosa Tribiño pero no la magistrada doña Concepción Espejel Jorquera, dicha Sala todavía no ha proveído su admisión o inadmisión a trámite. Por lo tanto, dado que el escrito de recusación aquí formalizado se expresa en los mismos términos que el del recurso 5439-2023, por una y otra circunstancia descrita no se ha materializado ningún juicio jurídico de los dos magistrados recusados, en sentido favorable o no a dicha admisión; dejando al margen el carácter eminentemente preventivo del motivo por lo que atañe a la magistrada Espejel Jorquera, —pues depende de su eventual intervención en la fase de admisión o en la de dictar sentencia si el asunto se avocara por el Pleno—, nos remitimos en cuanto al fondo de la queja de parcialidad al análisis preliminar de este en el fundamento jurídico 2 del presente auto.</w:t>
      </w:r>
    </w:p>
    <w:p w14:paraId="5424FBE9" w14:textId="77777777" w:rsidR="00F64776" w:rsidRDefault="00F64776" w:rsidP="00F64776">
      <w:pPr>
        <w:pStyle w:val="TextoNormal"/>
      </w:pPr>
    </w:p>
    <w:p w14:paraId="02827630" w14:textId="77777777" w:rsidR="00F64776" w:rsidRDefault="00F64776" w:rsidP="00F64776">
      <w:pPr>
        <w:pStyle w:val="TextoNormal"/>
      </w:pPr>
      <w:r>
        <w:t>d) Aunque el ATC 378/2023, dictado en el recurso de amparo núm. 5439-2023 fue de inadmisión y su firmeza hubiera supuesto el archivo del procedimiento, al haber formalizado el fiscal ante este tribunal recurso de súplica contra ese auto dentro del plazo previsto en el art. 50.3 LOTC, el proceso constitucional sigue todavía abierto, al menos hasta que se resuelva la súplica.</w:t>
      </w:r>
    </w:p>
    <w:p w14:paraId="38CB7CD0" w14:textId="77777777" w:rsidR="00F64776" w:rsidRDefault="00F64776" w:rsidP="00F64776">
      <w:pPr>
        <w:pStyle w:val="TextoNormal"/>
      </w:pPr>
    </w:p>
    <w:p w14:paraId="2BCC8B02" w14:textId="77777777" w:rsidR="00F64776" w:rsidRDefault="00F64776" w:rsidP="00F64776">
      <w:pPr>
        <w:pStyle w:val="TextoNormal"/>
      </w:pPr>
      <w:r>
        <w:t>En esa medida la recusación planteada no deviene extemporánea, siendo además formulada por los señores Puigdemont i Casamajó y Comín i Oliveres mediante escrito presentado dentro del plazo de diez días hábiles del art. 223.1 LOPJ (de aplicación supletoria conforme con el art. 80 LOTC), contados a partir del día 1 de septiembre de 2023 (el auto se notificó al procurador de los recurrentes el día 10 de agosto de 2023), por no ser hábil a efectos del cómputo de plazos procesales el mes de agosto (acuerdo del Pleno del Tribunal Constitucional de 6 de julio de 2023, artículo 1, que se remite a los arts. 183 LOPJ y 130.2 de la Ley de enjuiciamiento civil).</w:t>
      </w:r>
    </w:p>
    <w:p w14:paraId="7A9801F2" w14:textId="77777777" w:rsidR="00F64776" w:rsidRDefault="00F64776" w:rsidP="00F64776">
      <w:pPr>
        <w:pStyle w:val="TextoNormal"/>
      </w:pPr>
    </w:p>
    <w:p w14:paraId="1AD39581" w14:textId="77777777" w:rsidR="00F64776" w:rsidRDefault="00F64776" w:rsidP="00F64776">
      <w:pPr>
        <w:pStyle w:val="TextoNormal"/>
      </w:pPr>
      <w:r>
        <w:t>e) Al afectar la recusación planteada, como se ha venido diciendo, solamente a dos de los magistrados de este tribunal, y pese a hallarse abstenido también en este recurso el Excmo. Sr. presidente don Cándido Conde-Pumpido Tourón (ATC 434/2023, de 12 de septiembre), se cumple con el quórum exigido para su resolución (art. 14 LOTC), quedando excluidos de la correspondiente deliberación y fallo los magistrados recusados y el magistrado abstenido, conforme a las reglas generales para estos incidentes.</w:t>
      </w:r>
    </w:p>
    <w:p w14:paraId="2AFD42F3" w14:textId="77777777" w:rsidR="00F64776" w:rsidRDefault="00F64776" w:rsidP="00F64776">
      <w:pPr>
        <w:pStyle w:val="TextoNormal"/>
      </w:pPr>
    </w:p>
    <w:p w14:paraId="7AE17765" w14:textId="77777777" w:rsidR="00F64776" w:rsidRDefault="00F64776" w:rsidP="00F64776">
      <w:pPr>
        <w:pStyle w:val="TextoNormal"/>
      </w:pPr>
      <w:r>
        <w:t xml:space="preserve">f) Acerca de la posibilidad de acordar de plano la inadmisión de una recusación formulada contra magistrados de este tribunal, es doctrina constitucional reiterada a la que se refiere por ejemplo nuestro ATC 72/2022, de 27 de abril, FJ 1 b), que «el Pleno de este tribunal ha recordado recientemente, en el ya citado ATC 17/2022 [de 25 de enero], FJ 4 C) b), que: “la decisión de inadmisión </w:t>
      </w:r>
      <w:r w:rsidRPr="00F64776">
        <w:rPr>
          <w:i/>
        </w:rPr>
        <w:t>a limine</w:t>
      </w:r>
      <w:r>
        <w:t xml:space="preserve"> de las recusaciones se encuentra asentada en la doctrina de este tribunal, desde luego cuando incurran en defectuoso planteamiento procesal (ATC 383/2006, de 2 de noviembre, FJ 2, y 394/2006, de 7 de noviembre, FJ 2), pero también en atención a las circunstancias que las circundan, de su planteamiento y de las argumentaciones de los recusantes, de acuerdo con el art. 11.2 LOPJ (AATC 394/2006, de 7 de noviembre, FJ 2; 454/2006, de 12 de diciembre, FJ 3, y 177/2007, de 7 de marzo, FJ 1. También, en el ATC 107/2021, FJ 5). […] Debemos añadir a lo anterior que, como señalan los AATC 84/2020 y 85/2020, de 21 de julio, FJ 2, y 86/2021, de 16 de septiembre, FJ 3, es acorde con el art. 6 del Convenio europeo para la protección de los derechos humanos y de las libertades fundamentales, que ‘las mociones de parcialidad no deben ser capaces de paralizar el sistema jurídico del Estado demandado. Este aspecto reviste especial importancia cuando se trata de tribunales de última instancia’ (STEDH de 9 de julio de 2015, asunto </w:t>
      </w:r>
      <w:r w:rsidRPr="00F64776">
        <w:rPr>
          <w:i/>
        </w:rPr>
        <w:t>A.K. c. Liechtenstein</w:t>
      </w:r>
      <w:r>
        <w:t>, § 82). Dicha premisa se intensifica en nuestro caso, en el que […] la singular naturaleza del Tribunal Constitucional […] debe ser tenida en cuenta a la hora de valorar los presupuestos de hecho invocados por las partes para fundamentar sus alegadas causas de recusación y llegar a una decisión sobre estas”.</w:t>
      </w:r>
    </w:p>
    <w:p w14:paraId="5B3AE197" w14:textId="77777777" w:rsidR="00F64776" w:rsidRDefault="00F64776" w:rsidP="00F64776">
      <w:pPr>
        <w:pStyle w:val="TextoNormal"/>
      </w:pPr>
    </w:p>
    <w:p w14:paraId="0158B9FE" w14:textId="26FBADC4" w:rsidR="00F64776" w:rsidRDefault="00F64776" w:rsidP="00F64776">
      <w:pPr>
        <w:pStyle w:val="TextoNormal"/>
      </w:pPr>
      <w:r>
        <w:t xml:space="preserve">[…] “Por tanto, si los motivos de recusación invocados se apoyan en ‘meras afirmaciones’ [que], están ‘huérfanas de todo sustento en hechos concretos’, y no se aporta un principio de prueba del que se pueda derivar una duda objetiva y razonable sobre las causas de recusación invocadas, la decisión de inadmisión </w:t>
      </w:r>
      <w:r w:rsidRPr="00F64776">
        <w:rPr>
          <w:i/>
        </w:rPr>
        <w:t>a limine</w:t>
      </w:r>
      <w:r>
        <w:t xml:space="preserve"> puede ser adoptada por [todos los componentes del] Tribunal, sin incurrir en vicio de parcialidad, porque se trata de un rechazo basado en alguno de los supuestos previstos en el art. 11.2 LOPJ”» [ATC 17/2022, FJ 4 C) b)].</w:t>
      </w:r>
    </w:p>
    <w:p w14:paraId="37FEA666" w14:textId="77777777" w:rsidR="00F64776" w:rsidRDefault="00F64776" w:rsidP="00F64776">
      <w:pPr>
        <w:pStyle w:val="TextoNormal"/>
      </w:pPr>
    </w:p>
    <w:p w14:paraId="708283D5" w14:textId="77777777" w:rsidR="00F64776" w:rsidRDefault="00F64776" w:rsidP="00F64776">
      <w:pPr>
        <w:pStyle w:val="TextoNormal"/>
      </w:pPr>
      <w:r w:rsidRPr="00F64776">
        <w:rPr>
          <w:rStyle w:val="NumeroAFNegritaCaracter"/>
        </w:rPr>
        <w:t>2</w:t>
      </w:r>
      <w:r>
        <w:t xml:space="preserve">. </w:t>
      </w:r>
      <w:r w:rsidRPr="00F64776">
        <w:rPr>
          <w:i/>
        </w:rPr>
        <w:t>Inadmisión</w:t>
      </w:r>
      <w:r>
        <w:t xml:space="preserve"> a limine </w:t>
      </w:r>
      <w:r w:rsidRPr="00F64776">
        <w:rPr>
          <w:i/>
        </w:rPr>
        <w:t>por motivo de fondo de la recusación planteada en el recurso de amparo núm</w:t>
      </w:r>
      <w:r>
        <w:t>. 5439-2023</w:t>
      </w:r>
    </w:p>
    <w:p w14:paraId="10A3A131" w14:textId="77777777" w:rsidR="00F64776" w:rsidRDefault="00F64776" w:rsidP="00F64776">
      <w:pPr>
        <w:pStyle w:val="TextoNormal"/>
      </w:pPr>
    </w:p>
    <w:p w14:paraId="021147FF" w14:textId="77777777" w:rsidR="00F64776" w:rsidRDefault="00F64776" w:rsidP="00F64776">
      <w:pPr>
        <w:pStyle w:val="TextoNormal"/>
      </w:pPr>
      <w:r>
        <w:t>La aplicación de la doctrina constitucional de referencia conduce a la inadmisión de plano de la recusación que aquí nos ocupa, conforme ahora se explicará.</w:t>
      </w:r>
    </w:p>
    <w:p w14:paraId="6367E0CE" w14:textId="77777777" w:rsidR="00F64776" w:rsidRDefault="00F64776" w:rsidP="00F64776">
      <w:pPr>
        <w:pStyle w:val="TextoNormal"/>
      </w:pPr>
    </w:p>
    <w:p w14:paraId="6A0A69E7" w14:textId="77777777" w:rsidR="00F64776" w:rsidRDefault="00F64776" w:rsidP="00F64776">
      <w:pPr>
        <w:pStyle w:val="TextoNormal"/>
      </w:pPr>
      <w:r>
        <w:t>a) Como se ha venido indicando previamente, el escrito de recusación deducido por el procurador de los recurrentes en el presente proceso de amparo se limita a fundamentar el presunto interés directo o indirecto de los dos magistrados recusados, así como el haber perdido estos la debida imparcialidad para dictar sentencia en el asunto por haber conocido de él en una fase procesal anterior (tales son los supuestos invocados del art. 219 LOPJ), en atención, se dice, al “juicio anticipado” emitido por ambos en el trámite de admisión del recurso 5439-2023, al formar parte de la Sección de Vacaciones que dictó el ATC 378/2023, de 9 de agosto, que de tal guisa inadmitió el recurso. Dan por hecho los recurrentes, así, que el recurso superará la actual fase de inadmisión, extremo que solo podrá conocerse cuando recaiga resolución del Pleno sobre el recurso de súplica promovido por el fiscal ante este tribunal contra aquel auto. En todo caso, ya hemos indicado que en este momento el proceso no está finalizado.</w:t>
      </w:r>
    </w:p>
    <w:p w14:paraId="51DFF7D6" w14:textId="77777777" w:rsidR="00F64776" w:rsidRDefault="00F64776" w:rsidP="00F64776">
      <w:pPr>
        <w:pStyle w:val="TextoNormal"/>
      </w:pPr>
    </w:p>
    <w:p w14:paraId="0F59C183" w14:textId="77777777" w:rsidR="00F64776" w:rsidRDefault="00F64776" w:rsidP="00F64776">
      <w:pPr>
        <w:pStyle w:val="TextoNormal"/>
      </w:pPr>
      <w:r>
        <w:t>b) De lo expuesto se deduce que, a efectos de la resolución de esta recusación:</w:t>
      </w:r>
    </w:p>
    <w:p w14:paraId="1489AF05" w14:textId="77777777" w:rsidR="00F64776" w:rsidRDefault="00F64776" w:rsidP="00F64776">
      <w:pPr>
        <w:pStyle w:val="TextoNormal"/>
      </w:pPr>
    </w:p>
    <w:p w14:paraId="78CFC27F" w14:textId="77777777" w:rsidR="00F64776" w:rsidRDefault="00F64776" w:rsidP="00F64776">
      <w:pPr>
        <w:pStyle w:val="TextoNormal"/>
      </w:pPr>
      <w:r>
        <w:t>(i) Quedan fuera de nuestro examen cuestiones ajenas a dicha pretensión estricta aunque estén incluidas en el escrito, como la alegación de incompetencia de la Sección de Vacaciones para resolver aquel recurso de amparo. Estamos ante un motivo argüido por el fiscal ante este tribunal en el recurso de súplica al que acaba de aludirse, y será en el ámbito de la resolución que deba adoptar el Pleno para resolverlo donde se dilucidará tal alegación.</w:t>
      </w:r>
    </w:p>
    <w:p w14:paraId="2F0D1A65" w14:textId="77777777" w:rsidR="00F64776" w:rsidRDefault="00F64776" w:rsidP="00F64776">
      <w:pPr>
        <w:pStyle w:val="TextoNormal"/>
      </w:pPr>
    </w:p>
    <w:p w14:paraId="5FB345D2" w14:textId="77777777" w:rsidR="00F64776" w:rsidRDefault="00F64776" w:rsidP="00F64776">
      <w:pPr>
        <w:pStyle w:val="TextoNormal"/>
      </w:pPr>
      <w:r>
        <w:t>(ii) Queda fuera de nuestro examen, asimismo, toda valoración sobre el juicio jurídico expresado por la magistrada Excma. Sra. doña Laura Díez Bueso en su voto particular al ATC 378/2023, de 9 de agosto. Expresamente los recurrentes han excluido de la recusación a dicha magistrada, por lo que nada cabe indicar al respecto.</w:t>
      </w:r>
    </w:p>
    <w:p w14:paraId="0B93066A" w14:textId="77777777" w:rsidR="00F64776" w:rsidRDefault="00F64776" w:rsidP="00F64776">
      <w:pPr>
        <w:pStyle w:val="TextoNormal"/>
      </w:pPr>
    </w:p>
    <w:p w14:paraId="09323880" w14:textId="77777777" w:rsidR="00F64776" w:rsidRDefault="00F64776" w:rsidP="00F64776">
      <w:pPr>
        <w:pStyle w:val="TextoNormal"/>
      </w:pPr>
      <w:r>
        <w:t>(iii) Resultan irrelevantes en este específico ámbito las consideraciones del escrito de recusación sobre una posible vulneración de derechos fundamentales por parte de los magistrados recusados al haber inadmitido el recurso, pues sencillamente no estamos aquí ante un recurso de súplica de los recurrentes contra el citado auto.</w:t>
      </w:r>
    </w:p>
    <w:p w14:paraId="4307739B" w14:textId="77777777" w:rsidR="00F64776" w:rsidRDefault="00F64776" w:rsidP="00F64776">
      <w:pPr>
        <w:pStyle w:val="TextoNormal"/>
      </w:pPr>
    </w:p>
    <w:p w14:paraId="4CB55DB3" w14:textId="77777777" w:rsidR="00F64776" w:rsidRDefault="00F64776" w:rsidP="00F64776">
      <w:pPr>
        <w:pStyle w:val="TextoNormal"/>
      </w:pPr>
      <w:r>
        <w:t>Lo único que importa es esclarecer si, con independencia de su contenido concreto, el juicio jurídico desplegado en el trámite de admisión por los dos magistrados recusados ha conculcado la garantía del juez independiente e imparcial en este recurso de amparo.</w:t>
      </w:r>
    </w:p>
    <w:p w14:paraId="61F7773F" w14:textId="77777777" w:rsidR="00F64776" w:rsidRDefault="00F64776" w:rsidP="00F64776">
      <w:pPr>
        <w:pStyle w:val="TextoNormal"/>
      </w:pPr>
    </w:p>
    <w:p w14:paraId="4E44EC53" w14:textId="77777777" w:rsidR="00F64776" w:rsidRDefault="00F64776" w:rsidP="00F64776">
      <w:pPr>
        <w:pStyle w:val="TextoNormal"/>
      </w:pPr>
      <w:r>
        <w:t>c) La respuesta, claramente negativa, viene dada por la doctrina asentada por el Pleno de este tribunal en nuestro ATC 31/2023, de 7 de febrero, FJ 3, al resolver una queja de recusación sustancialmente similar a la que aquí se presenta; doctrina por ende enteramente trasladable al presente caso. Se trata del supuesto prejuicio que impediría formar parte del tribunal llamado a dictar sentencia en un proceso de amparo, una vez que el magistrado de turno recusado ha ejercitado el control jurisdiccional que le correspondía en el trámite de admisión del recurso.</w:t>
      </w:r>
    </w:p>
    <w:p w14:paraId="20469F4A" w14:textId="77777777" w:rsidR="00F64776" w:rsidRDefault="00F64776" w:rsidP="00F64776">
      <w:pPr>
        <w:pStyle w:val="TextoNormal"/>
      </w:pPr>
    </w:p>
    <w:p w14:paraId="661D4526" w14:textId="77777777" w:rsidR="00F64776" w:rsidRDefault="00F64776" w:rsidP="00F64776">
      <w:pPr>
        <w:pStyle w:val="TextoNormal"/>
      </w:pPr>
      <w:r>
        <w:t xml:space="preserve">Señalamos entonces, con inadmisión </w:t>
      </w:r>
      <w:r w:rsidRPr="00F64776">
        <w:rPr>
          <w:i/>
        </w:rPr>
        <w:t>a limine</w:t>
      </w:r>
      <w:r>
        <w:t xml:space="preserve"> de la causa de recusación formulada, que con independencia de cuál sea la posición de fondo sostenida por un magistrado de este tribunal en el referido trámite del recurso de amparo, sea favorable o no a su admisión:</w:t>
      </w:r>
    </w:p>
    <w:p w14:paraId="7B2D1586" w14:textId="77777777" w:rsidR="00F64776" w:rsidRDefault="00F64776" w:rsidP="00F64776">
      <w:pPr>
        <w:pStyle w:val="TextoNormal"/>
      </w:pPr>
    </w:p>
    <w:p w14:paraId="01EEF34A" w14:textId="77777777" w:rsidR="00F64776" w:rsidRDefault="00F64776" w:rsidP="00F64776">
      <w:pPr>
        <w:pStyle w:val="TextoNormal"/>
      </w:pPr>
      <w:r>
        <w:t>«El apartado 11 del art. 219 LOPJ recoge como causa de abstención y recusación “[h]aber participado en la instrucción de la causa penal o haber resuelto el pleito o causa en anterior instancia”. Es patente que ninguno de los presupuestos recogidos en el mencionado precepto concurre en este caso; pues no estamos ante un procedimiento penal en el que haya habido fase de instrucción alguna, ni el proceso del recurso de amparo está configurado en diversas instancias. Resulta evidente, por tanto, el carácter manifiestamente infundado de la concreta causa de recusación alegada.</w:t>
      </w:r>
    </w:p>
    <w:p w14:paraId="379632E3" w14:textId="77777777" w:rsidR="00F64776" w:rsidRDefault="00F64776" w:rsidP="00F64776">
      <w:pPr>
        <w:pStyle w:val="TextoNormal"/>
      </w:pPr>
    </w:p>
    <w:p w14:paraId="4114F58C" w14:textId="77777777" w:rsidR="00F64776" w:rsidRDefault="00F64776" w:rsidP="00F64776">
      <w:pPr>
        <w:pStyle w:val="TextoNormal"/>
      </w:pPr>
      <w:r>
        <w:t xml:space="preserve">Además, es la propia naturaleza y regulación del recurso de amparo la que nos obliga a inadmitir a trámite la pretensión de los promotores de la recusación. En su escrito alegan que en el trámite de admisibilidad del recurso de amparo no pueden resolverse cuestiones relacionadas con el fondo del asunto. Sin embargo, este tribunal —superior intérprete de la Ley Orgánica del Tribunal Constitucional— ha declarado reiteradamente que en el trámite de admisión del recurso de amparo debe examinarse el carácter verosímil o aparente de la hipotética lesión del derecho fundamental alegada en la demanda de amparo (AATC 272/2009, de 26 de noviembre, FJ 1; 30/2017, de 27 de febrero, FJ 3; 32/2017, de 27 de febrero, FFJJ 3 y 6, y 119/2018, de 13 de noviembre, entre muchos otros). Por ello, cuando los magistrados y magistradas constitucionales se pronuncian sobre la admisibilidad o no de un recurso de amparo determinan, entre otros extremos, si la lesión del derecho aducida en la demanda de amparo es descartable o no </w:t>
      </w:r>
      <w:r w:rsidRPr="00F64776">
        <w:rPr>
          <w:i/>
        </w:rPr>
        <w:t>ab initio</w:t>
      </w:r>
      <w:r>
        <w:t>; ya sea para decidir su admisión —como ha sucedido con el presente recurso de amparo— o su inadmisión, como se acordó, entre otros muchos, en los AATC 155/2016, de 20 de septiembre; 30/2017, de 27 de febrero, y 80/2021, de 15 de septiembre.</w:t>
      </w:r>
    </w:p>
    <w:p w14:paraId="57C95683" w14:textId="77777777" w:rsidR="00F64776" w:rsidRDefault="00F64776" w:rsidP="00F64776">
      <w:pPr>
        <w:pStyle w:val="TextoNormal"/>
      </w:pPr>
    </w:p>
    <w:p w14:paraId="34CA2216" w14:textId="77777777" w:rsidR="00F64776" w:rsidRDefault="00F64776" w:rsidP="00F64776">
      <w:pPr>
        <w:pStyle w:val="TextoNormal"/>
      </w:pPr>
      <w:r>
        <w:t>Esta exigencia de pronunciarse sobre la verosimilitud de la lesión en el trámite de admisión del recurso de amparo no constituye, en modo alguno, una novedad derivada de la regulación del recurso de amparo tras la aprobación de la Ley Orgánica 6/2007, de 24 de mayo. El art. 50.2 b) LOTC, en su redacción originaria, ya “preveía la inadmisibilidad del recurso de amparo ‘si la demanda carece manifiestamente de contenido que justifique una decisión por parte del Tribunal Constitucional’, y nuestra doctrina pronto interpretó que la voluntad del legislador orgánico era evitar el desarrollo total del procedimiento y el pronunciamiento de una resolución en forma de sentencia cuando, ya en el momento inicial, se percibía con ‘claridad meridiana’ que ‘la misma en ningún caso podría ser estimatoria’ (ATC 52/1980, de 15 de octubre, FJ 2); es decir, cuando ya en el inicio del procedimiento podía excluirse cualquier apariencia de lesión” (ATC 272/2009, de 26 de noviembre, FJ 1).</w:t>
      </w:r>
    </w:p>
    <w:p w14:paraId="61681F46" w14:textId="77777777" w:rsidR="00F64776" w:rsidRDefault="00F64776" w:rsidP="00F64776">
      <w:pPr>
        <w:pStyle w:val="TextoNormal"/>
      </w:pPr>
    </w:p>
    <w:p w14:paraId="52A60A60" w14:textId="77777777" w:rsidR="00F64776" w:rsidRDefault="00F64776" w:rsidP="00F64776">
      <w:pPr>
        <w:pStyle w:val="TextoNormal"/>
      </w:pPr>
      <w:r>
        <w:t xml:space="preserve">La necesidad de descartar </w:t>
      </w:r>
      <w:r w:rsidRPr="00F64776">
        <w:rPr>
          <w:i/>
        </w:rPr>
        <w:t>ab initio</w:t>
      </w:r>
      <w:r>
        <w:t xml:space="preserve"> la existencia de lesión de los derechos invocados en la demanda no responde a una práctica exclusiva de este tribunal, sino que está en la naturaleza de las cosas y por ello está también plenamente asentada en otros tribunales de nuestro entorno, particularmente en el Tribunal Europeo de Derechos Humanos, que exige para que la demanda pueda ser tramitada que la queja ante él planteada sea defendible, esto es, que no pueda descartarse la apariencia de lesión.</w:t>
      </w:r>
    </w:p>
    <w:p w14:paraId="703612D2" w14:textId="77777777" w:rsidR="00F64776" w:rsidRDefault="00F64776" w:rsidP="00F64776">
      <w:pPr>
        <w:pStyle w:val="TextoNormal"/>
      </w:pPr>
    </w:p>
    <w:p w14:paraId="46C15D04" w14:textId="77777777" w:rsidR="00F64776" w:rsidRDefault="00F64776" w:rsidP="00F64776">
      <w:pPr>
        <w:pStyle w:val="TextoNormal"/>
      </w:pPr>
      <w:r>
        <w:t>En definitiva, las razones expresadas en el voto particular formulado por el magistrado [recusado] para descartar el carácter verosímil de la lesión de los derechos fundamentales alegados en la demanda de amparo, al responder a una obligación en el ejercicio de la función de nuestra jurisdicción de amparo, no constituyen sino la manifestación de su particular criterio en orden a la apariencia inicial o verisimilitud de la infracción del derecho denunciado en la queja constitucional formulada en la demanda, criterio con idéntico fundamento, aunque de signo contrario, al expresado por los magistrados que decidieron la admisión a trámite y que como es de todo punto obvio, no podrían ser, a su vez, recusados por esa apreciación preliminar. Unas consideraciones y otras, importa subrayar, quedan condicionadas a lo que resulte de la tramitación plena del procedimiento y, en particular, a la deliberación colegiada que en su momento tendrá lugar».</w:t>
      </w:r>
    </w:p>
    <w:p w14:paraId="220EC955" w14:textId="77777777" w:rsidR="00F64776" w:rsidRDefault="00F64776" w:rsidP="00F64776">
      <w:pPr>
        <w:pStyle w:val="TextoNormal"/>
      </w:pPr>
    </w:p>
    <w:p w14:paraId="41BFB244" w14:textId="77777777" w:rsidR="00F64776" w:rsidRDefault="00F64776" w:rsidP="00F64776">
      <w:pPr>
        <w:pStyle w:val="TextoNormal"/>
      </w:pPr>
      <w:r>
        <w:t xml:space="preserve">d) Descartada </w:t>
      </w:r>
      <w:r w:rsidRPr="00F64776">
        <w:rPr>
          <w:i/>
        </w:rPr>
        <w:t>prima facie</w:t>
      </w:r>
      <w:r>
        <w:t xml:space="preserve"> la concurrencia de la causa de recusación 11 del art. 219 LOPJ, no mejor suerte puede correr la alegada presunción de interés directo o indirecto en las resultas de este proceso de la causa 10 del mismo precepto legal, que los recurrentes achacan a los dos magistrados recusados pero sin ninguna base argumental distinta a afirmar que la Sección de Vacaciones no debió resolver su recurso: “Dicho juicio anticipado, además, se ha emitido con vulneración del derecho al juez ordinario predeterminado por la ley, pues no correspondía a la Sección de Vacaciones del Tribunal Constitucional resolver sobre la admisión a trámite del referido recurso de amparo, lo que pone de manifiesto el interés directo de la Excma. Sra. doña Concepción Espejel Jorquera y del Excmo. Sr. don César Tolosa Tribiño en relación con los recursos de amparo a los que se refiere el presente escrito de recusación, en detrimento de la debida imparcialidad”. Ninguna otra argumentación se hace a dicha causa de recusación en ese y los demás escritos presentados, sin que nos corresponda reconstruir de oficio su contenido. Ningún interés personal de los magistrados recusados puede atisbarse en el mero hecho de haber participado en la Sección de Vacaciones que inadmitió a trámite el recurso núm. 5439-2023.</w:t>
      </w:r>
    </w:p>
    <w:p w14:paraId="50DDB632" w14:textId="77777777" w:rsidR="00F64776" w:rsidRDefault="00F64776" w:rsidP="00F64776">
      <w:pPr>
        <w:pStyle w:val="TextoNormal"/>
      </w:pPr>
    </w:p>
    <w:p w14:paraId="249C82B2" w14:textId="77777777" w:rsidR="00F64776" w:rsidRDefault="00F64776" w:rsidP="00F64776">
      <w:pPr>
        <w:pStyle w:val="TextoNormal"/>
      </w:pPr>
      <w:r>
        <w:t>e) Finalmente, respecto de la pretensión de “extender” los efectos de una posible estimación de la recusación deducida en este recurso de amparo núm. 5439-2023 a otros recursos promovidos ante este mismo tribunal contra resoluciones dictadas por el Tribunal Supremo en la causa especial 20907-2017, tal pretensión tampoco puede prosperar. Ya hemos razonado el porqué del rechazo de las causas de parcialidad alegadas, sea en consideración a este proceso de amparo o en general a cualquier otro, dado que se trata en definitiva de la naturaleza de la función jurisdiccional ejercitada en todo trámite de admisión de los recursos de amparo por los magistrados de este tribunal.</w:t>
      </w:r>
    </w:p>
    <w:p w14:paraId="1EAC2D01" w14:textId="77777777" w:rsidR="00F64776" w:rsidRDefault="00F64776" w:rsidP="00F64776">
      <w:pPr>
        <w:pStyle w:val="TextoNormal"/>
      </w:pPr>
    </w:p>
    <w:p w14:paraId="700C343A" w14:textId="1E871BFC" w:rsidR="00F64776" w:rsidRDefault="00F64776" w:rsidP="00F64776">
      <w:pPr>
        <w:pStyle w:val="TextoNormal"/>
      </w:pPr>
      <w:r>
        <w:t xml:space="preserve">Procede por tanto inadmitir </w:t>
      </w:r>
      <w:r w:rsidRPr="00F64776">
        <w:rPr>
          <w:i/>
        </w:rPr>
        <w:t>a limine</w:t>
      </w:r>
      <w:r>
        <w:t xml:space="preserve"> la recusación de los magistrados doña Concepción Espejel Jorquera y don César Tolosa Tribiño, formalizada con idéntico contenido en los cuatro escritos de recusación presentados, “por carecer manifiestamente de fundamento suficiente” (ATC 107/2021, FJ 5).</w:t>
      </w:r>
    </w:p>
    <w:p w14:paraId="5757D71B" w14:textId="77777777" w:rsidR="00F64776" w:rsidRDefault="00F64776" w:rsidP="00F64776">
      <w:pPr>
        <w:pStyle w:val="TextoNormal"/>
      </w:pPr>
    </w:p>
    <w:p w14:paraId="0C3BFBE6" w14:textId="77777777" w:rsidR="00F64776" w:rsidRDefault="00F64776" w:rsidP="00F64776">
      <w:pPr>
        <w:pStyle w:val="TextoNormal"/>
      </w:pPr>
      <w:r>
        <w:t>Por lo expuesto, el Pleno</w:t>
      </w:r>
    </w:p>
    <w:p w14:paraId="4D3E00D5" w14:textId="5EB2CBA9" w:rsidR="00F64776" w:rsidRDefault="00F64776" w:rsidP="00F64776">
      <w:pPr>
        <w:pStyle w:val="TextoNormal"/>
      </w:pPr>
    </w:p>
    <w:p w14:paraId="1B535ACB" w14:textId="77777777" w:rsidR="00F64776" w:rsidRDefault="00F64776" w:rsidP="00F64776">
      <w:pPr>
        <w:pStyle w:val="TextoNormalCentrado"/>
      </w:pPr>
      <w:r>
        <w:t>ACUERDA</w:t>
      </w:r>
    </w:p>
    <w:p w14:paraId="6821E38B" w14:textId="77232BC7" w:rsidR="00F64776" w:rsidRDefault="00F64776" w:rsidP="00F64776">
      <w:pPr>
        <w:pStyle w:val="TextoNormalCentrado"/>
      </w:pPr>
    </w:p>
    <w:p w14:paraId="011F2794" w14:textId="209BDEDA" w:rsidR="00F64776" w:rsidRDefault="00F64776" w:rsidP="00F64776">
      <w:pPr>
        <w:pStyle w:val="TextoNormal"/>
      </w:pPr>
      <w:r>
        <w:t>Inadmitir las recusaciones promovidas por don Carles Puigdemont i Casamajó, don Antoni Comín i Oliveres y doña Clara Ponsatí i Obiols, mediante sendos escritos de 14 de septiembre de 2023, en los recursos de amparo núm. 5439-2023, 5440-2023, 64-2020, 972-2021 y 2835-2021.</w:t>
      </w:r>
    </w:p>
    <w:p w14:paraId="07348CB5" w14:textId="77777777" w:rsidR="00F64776" w:rsidRDefault="00F64776" w:rsidP="00F64776">
      <w:pPr>
        <w:pStyle w:val="TextoNormal"/>
      </w:pPr>
    </w:p>
    <w:p w14:paraId="521FD398" w14:textId="77777777" w:rsidR="00F64776" w:rsidRDefault="00F64776" w:rsidP="00F64776">
      <w:pPr>
        <w:pStyle w:val="TextoNormal"/>
      </w:pPr>
      <w:r>
        <w:t>Madrid, a veinticuatro de octubre de dos mil veintitrés.</w:t>
      </w:r>
    </w:p>
    <w:p w14:paraId="2B2B1F29" w14:textId="305728B5" w:rsidR="00F64776" w:rsidRDefault="00F64776">
      <w:pPr>
        <w:spacing w:after="160" w:line="278" w:lineRule="auto"/>
        <w:rPr>
          <w:rFonts w:ascii="Times New Roman" w:eastAsia="Times New Roman" w:hAnsi="Times New Roman" w:cs="Times New Roman"/>
          <w:sz w:val="24"/>
          <w:szCs w:val="24"/>
          <w:lang w:eastAsia="es-ES"/>
        </w:rPr>
      </w:pPr>
      <w:r>
        <w:br w:type="page"/>
      </w:r>
    </w:p>
    <w:p w14:paraId="239FC08D" w14:textId="77777777" w:rsidR="00F64776" w:rsidRDefault="00F64776" w:rsidP="00F64776">
      <w:pPr>
        <w:pStyle w:val="TtuloResolucin"/>
      </w:pPr>
      <w:bookmarkStart w:id="276" w:name="AUTO_2023_491"/>
      <w:r>
        <w:t>AUTO 491/2023, de 2 de noviembre de 2023</w:t>
      </w:r>
    </w:p>
    <w:bookmarkEnd w:id="276"/>
    <w:p w14:paraId="49EDF983" w14:textId="77777777" w:rsidR="00F64776" w:rsidRDefault="00F64776" w:rsidP="00F64776">
      <w:pPr>
        <w:pStyle w:val="TtuloResolucin"/>
      </w:pPr>
      <w:r>
        <w:t>Sección Tercera</w:t>
      </w:r>
    </w:p>
    <w:p w14:paraId="7580EF8D" w14:textId="77777777" w:rsidR="00F64776" w:rsidRDefault="00F64776" w:rsidP="00F64776">
      <w:pPr>
        <w:pStyle w:val="TextoNormalCentrado"/>
      </w:pPr>
      <w:r>
        <w:t>ECLI:ES:TC:2023:491A</w:t>
      </w:r>
    </w:p>
    <w:p w14:paraId="4B1046AF" w14:textId="4A7494E5" w:rsidR="00F64776" w:rsidRDefault="00F64776" w:rsidP="00F64776">
      <w:pPr>
        <w:pStyle w:val="TextoNormalCentrado"/>
      </w:pPr>
    </w:p>
    <w:p w14:paraId="5E4748AE" w14:textId="77777777" w:rsidR="00F64776" w:rsidRDefault="00F64776" w:rsidP="00F64776">
      <w:pPr>
        <w:pStyle w:val="SntesisDescriptiva"/>
      </w:pPr>
      <w:r>
        <w:t>Excms. Srs. doña Inmaculada Montalbán Huertas y doña Laura Díez Bueso.</w:t>
      </w:r>
    </w:p>
    <w:p w14:paraId="3072D993" w14:textId="4111ADDA" w:rsidR="00F64776" w:rsidRDefault="00F64776" w:rsidP="00F64776">
      <w:pPr>
        <w:pStyle w:val="SntesisDescriptiva"/>
      </w:pPr>
    </w:p>
    <w:p w14:paraId="5DC59B1A" w14:textId="77777777" w:rsidR="00F64776" w:rsidRDefault="00F64776" w:rsidP="00F64776">
      <w:pPr>
        <w:pStyle w:val="SntesisDescriptiva"/>
      </w:pPr>
      <w:r>
        <w:t>Acepta una abstención en el recurso de amparo 4791-2022, promovido en proceso contencioso administrativo.</w:t>
      </w:r>
    </w:p>
    <w:p w14:paraId="0BFDEEE3" w14:textId="27C22301" w:rsidR="00F64776" w:rsidRDefault="00F64776" w:rsidP="00F64776">
      <w:pPr>
        <w:pStyle w:val="SntesisDescriptiva"/>
      </w:pPr>
    </w:p>
    <w:p w14:paraId="18F9ABB5" w14:textId="77777777" w:rsidR="00F64776" w:rsidRDefault="00F64776" w:rsidP="00F64776">
      <w:pPr>
        <w:pStyle w:val="SntesisDescriptiva"/>
      </w:pPr>
    </w:p>
    <w:p w14:paraId="66595C47" w14:textId="77777777" w:rsidR="00F64776" w:rsidRDefault="00F64776" w:rsidP="00F64776">
      <w:pPr>
        <w:pStyle w:val="SntesisDescriptiva"/>
      </w:pPr>
    </w:p>
    <w:p w14:paraId="2F08801E" w14:textId="77777777" w:rsidR="00F64776" w:rsidRDefault="00F64776" w:rsidP="00F64776">
      <w:pPr>
        <w:pStyle w:val="TextoNormalNegritaCentrado"/>
      </w:pPr>
      <w:r>
        <w:t>AUTO</w:t>
      </w:r>
    </w:p>
    <w:p w14:paraId="3EC138FB" w14:textId="15B3D53F" w:rsidR="00F64776" w:rsidRDefault="00F64776" w:rsidP="00F64776">
      <w:pPr>
        <w:pStyle w:val="TextoNormalNegritaCentrado"/>
      </w:pPr>
    </w:p>
    <w:p w14:paraId="70F463B7" w14:textId="77777777" w:rsidR="00F64776" w:rsidRDefault="00F64776" w:rsidP="00F64776">
      <w:pPr>
        <w:pStyle w:val="TextoNormalNegritaCentrado"/>
        <w:keepNext/>
      </w:pPr>
      <w:r>
        <w:t>I. Antecedentes</w:t>
      </w:r>
    </w:p>
    <w:p w14:paraId="361996AA" w14:textId="0EB5D68C" w:rsidR="00F64776" w:rsidRDefault="00F64776" w:rsidP="00F64776">
      <w:pPr>
        <w:pStyle w:val="TextoNormalNegritaCentrado"/>
        <w:keepNext/>
      </w:pPr>
    </w:p>
    <w:p w14:paraId="693D0583" w14:textId="3540D608" w:rsidR="00F64776" w:rsidRDefault="00F64776" w:rsidP="00F64776">
      <w:pPr>
        <w:pStyle w:val="TextoNormal"/>
      </w:pPr>
      <w:r w:rsidRPr="00F64776">
        <w:rPr>
          <w:rStyle w:val="NumeroAFNegritaCaracter"/>
        </w:rPr>
        <w:t>1</w:t>
      </w:r>
      <w:r>
        <w:t>. Mediante escrito registrado en este tribunal el 1 de julio de 2022, la procuradora de los tribunales doña Gema María Chavernas Tejedor, en nombre y representación de don James Imeh y bajo la dirección del letrado don Antonio Córdoba Illescas, formuló demanda de amparo contra la providencia de la Sección Primera de la Sala de lo Contencioso-Administrativo del Tribunal Supremo en el recurso de casación núm. 6085-2021.</w:t>
      </w:r>
    </w:p>
    <w:p w14:paraId="5DACAAA7" w14:textId="77777777" w:rsidR="00F64776" w:rsidRDefault="00F64776" w:rsidP="00F64776">
      <w:pPr>
        <w:pStyle w:val="TextoNormal"/>
      </w:pPr>
    </w:p>
    <w:p w14:paraId="733EC682" w14:textId="54B7E8BF" w:rsidR="00F64776" w:rsidRDefault="00F64776" w:rsidP="00F64776">
      <w:pPr>
        <w:pStyle w:val="TextoNormal"/>
      </w:pPr>
      <w:r w:rsidRPr="00F64776">
        <w:rPr>
          <w:rStyle w:val="NumeroAFNegritaCaracter"/>
        </w:rPr>
        <w:t>2</w:t>
      </w:r>
      <w:r>
        <w:t>. Por escrito de 22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05D7A814" w14:textId="77777777" w:rsidR="00F64776" w:rsidRDefault="00F64776" w:rsidP="00F64776">
      <w:pPr>
        <w:pStyle w:val="TextoNormal"/>
      </w:pPr>
    </w:p>
    <w:p w14:paraId="12C343BB" w14:textId="77777777" w:rsidR="00F64776" w:rsidRDefault="00F64776" w:rsidP="00F64776">
      <w:pPr>
        <w:pStyle w:val="TextoNormalNegritaCentrado"/>
        <w:keepNext/>
      </w:pPr>
      <w:r>
        <w:t>II. Fundamentos jurídicos</w:t>
      </w:r>
    </w:p>
    <w:p w14:paraId="6B89A6D6" w14:textId="1AD25994" w:rsidR="00F64776" w:rsidRDefault="00F64776" w:rsidP="00F64776">
      <w:pPr>
        <w:pStyle w:val="TextoNormalNegritaCentrado"/>
        <w:keepNext/>
      </w:pPr>
    </w:p>
    <w:p w14:paraId="5C5DF7BC" w14:textId="3DC2D01A"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6F73C506" w14:textId="77777777" w:rsidR="00F64776" w:rsidRDefault="00F64776" w:rsidP="00F64776">
      <w:pPr>
        <w:pStyle w:val="TextoNormal"/>
      </w:pPr>
    </w:p>
    <w:p w14:paraId="717C5D22" w14:textId="77777777" w:rsidR="00F64776" w:rsidRDefault="00F64776" w:rsidP="00F64776">
      <w:pPr>
        <w:pStyle w:val="TextoNormal"/>
      </w:pPr>
      <w:r>
        <w:t>Por lo expuesto, la Sección</w:t>
      </w:r>
    </w:p>
    <w:p w14:paraId="721ED951" w14:textId="2483DB2F" w:rsidR="00F64776" w:rsidRDefault="00F64776" w:rsidP="00F64776">
      <w:pPr>
        <w:pStyle w:val="TextoNormal"/>
      </w:pPr>
    </w:p>
    <w:p w14:paraId="50E4CDA9" w14:textId="77777777" w:rsidR="00F64776" w:rsidRDefault="00F64776" w:rsidP="00F64776">
      <w:pPr>
        <w:pStyle w:val="TextoNormalCentrado"/>
      </w:pPr>
      <w:r>
        <w:t>ACUERDA</w:t>
      </w:r>
    </w:p>
    <w:p w14:paraId="395F2A7E" w14:textId="12EE093B" w:rsidR="00F64776" w:rsidRDefault="00F64776" w:rsidP="00F64776">
      <w:pPr>
        <w:pStyle w:val="TextoNormalCentrado"/>
      </w:pPr>
    </w:p>
    <w:p w14:paraId="3D926DB9" w14:textId="35881E69" w:rsidR="00F64776" w:rsidRDefault="00F64776" w:rsidP="00F64776">
      <w:pPr>
        <w:pStyle w:val="TextoNormal"/>
      </w:pPr>
      <w:r>
        <w:t>Estimar justificada la abstención formulada por el magistrado don César Tolosa Tribiño en el recurso de amparo núm. 4791-2022 y apartarle definitivamente del conocimiento del referido recurso y de todas sus incidencias.</w:t>
      </w:r>
    </w:p>
    <w:p w14:paraId="1928B633" w14:textId="77777777" w:rsidR="00F64776" w:rsidRDefault="00F64776" w:rsidP="00F64776">
      <w:pPr>
        <w:pStyle w:val="TextoNormal"/>
      </w:pPr>
    </w:p>
    <w:p w14:paraId="7B64794E" w14:textId="77777777" w:rsidR="00F64776" w:rsidRDefault="00F64776" w:rsidP="00F64776">
      <w:pPr>
        <w:pStyle w:val="TextoNormal"/>
      </w:pPr>
      <w:r>
        <w:t>Madrid, a dos de noviembre de dos mil veintitrés.</w:t>
      </w:r>
    </w:p>
    <w:p w14:paraId="6FFC18B6" w14:textId="354CE1C6" w:rsidR="00F64776" w:rsidRDefault="00F64776">
      <w:pPr>
        <w:spacing w:after="160" w:line="278" w:lineRule="auto"/>
        <w:rPr>
          <w:rFonts w:ascii="Times New Roman" w:eastAsia="Times New Roman" w:hAnsi="Times New Roman" w:cs="Times New Roman"/>
          <w:sz w:val="24"/>
          <w:szCs w:val="24"/>
          <w:lang w:eastAsia="es-ES"/>
        </w:rPr>
      </w:pPr>
      <w:r>
        <w:br w:type="page"/>
      </w:r>
    </w:p>
    <w:p w14:paraId="70EDB9BA" w14:textId="77777777" w:rsidR="00F64776" w:rsidRDefault="00F64776" w:rsidP="00F64776">
      <w:pPr>
        <w:pStyle w:val="TtuloResolucin"/>
      </w:pPr>
      <w:bookmarkStart w:id="277" w:name="AUTO_2023_492"/>
      <w:r>
        <w:t>AUTO 492/2023, de 2 de noviembre de 2023</w:t>
      </w:r>
    </w:p>
    <w:bookmarkEnd w:id="277"/>
    <w:p w14:paraId="06945C9D" w14:textId="77777777" w:rsidR="00F64776" w:rsidRDefault="00F64776" w:rsidP="00F64776">
      <w:pPr>
        <w:pStyle w:val="TtuloResolucin"/>
      </w:pPr>
      <w:r>
        <w:t>Sección Tercera</w:t>
      </w:r>
    </w:p>
    <w:p w14:paraId="7CA63A3D" w14:textId="77777777" w:rsidR="00F64776" w:rsidRDefault="00F64776" w:rsidP="00F64776">
      <w:pPr>
        <w:pStyle w:val="TextoNormalCentrado"/>
      </w:pPr>
      <w:r>
        <w:t>ECLI:ES:TC:2023:492A</w:t>
      </w:r>
    </w:p>
    <w:p w14:paraId="2EA3FD62" w14:textId="643C6973" w:rsidR="00F64776" w:rsidRDefault="00F64776" w:rsidP="00F64776">
      <w:pPr>
        <w:pStyle w:val="TextoNormalCentrado"/>
      </w:pPr>
    </w:p>
    <w:p w14:paraId="62FE3845" w14:textId="77777777" w:rsidR="00F64776" w:rsidRDefault="00F64776" w:rsidP="00F64776">
      <w:pPr>
        <w:pStyle w:val="SntesisDescriptiva"/>
      </w:pPr>
      <w:r>
        <w:t>Excms. Srs. doña Inmaculada Montalbán Huertas y doña Laura Díez Bueso.</w:t>
      </w:r>
    </w:p>
    <w:p w14:paraId="0581F0BD" w14:textId="64FD42F2" w:rsidR="00F64776" w:rsidRDefault="00F64776" w:rsidP="00F64776">
      <w:pPr>
        <w:pStyle w:val="SntesisDescriptiva"/>
      </w:pPr>
    </w:p>
    <w:p w14:paraId="1665CD00" w14:textId="77777777" w:rsidR="00F64776" w:rsidRDefault="00F64776" w:rsidP="00F64776">
      <w:pPr>
        <w:pStyle w:val="SntesisDescriptiva"/>
      </w:pPr>
      <w:r>
        <w:t>Acepta una abstención en el recurso de amparo 5030-2022, promovido en proceso contencioso administrativo.</w:t>
      </w:r>
    </w:p>
    <w:p w14:paraId="5AA17868" w14:textId="7F951C26" w:rsidR="00F64776" w:rsidRDefault="00F64776" w:rsidP="00F64776">
      <w:pPr>
        <w:pStyle w:val="SntesisDescriptiva"/>
      </w:pPr>
    </w:p>
    <w:p w14:paraId="05C57144" w14:textId="77777777" w:rsidR="00F64776" w:rsidRDefault="00F64776" w:rsidP="00F64776">
      <w:pPr>
        <w:pStyle w:val="SntesisDescriptiva"/>
      </w:pPr>
    </w:p>
    <w:p w14:paraId="76726391" w14:textId="77777777" w:rsidR="00F64776" w:rsidRDefault="00F64776" w:rsidP="00F64776">
      <w:pPr>
        <w:pStyle w:val="SntesisDescriptiva"/>
      </w:pPr>
    </w:p>
    <w:p w14:paraId="2DB1998C" w14:textId="77777777" w:rsidR="00F64776" w:rsidRDefault="00F64776" w:rsidP="00F64776">
      <w:pPr>
        <w:pStyle w:val="TextoNormalNegritaCentrado"/>
      </w:pPr>
      <w:r>
        <w:t>AUTO</w:t>
      </w:r>
    </w:p>
    <w:p w14:paraId="08304C03" w14:textId="3FE0C9FC" w:rsidR="00F64776" w:rsidRDefault="00F64776" w:rsidP="00F64776">
      <w:pPr>
        <w:pStyle w:val="TextoNormalNegritaCentrado"/>
      </w:pPr>
    </w:p>
    <w:p w14:paraId="7BFDA18E" w14:textId="77777777" w:rsidR="00F64776" w:rsidRDefault="00F64776" w:rsidP="00F64776">
      <w:pPr>
        <w:pStyle w:val="TextoNormalNegritaCentrado"/>
        <w:keepNext/>
      </w:pPr>
      <w:r>
        <w:t>I. Antecedentes</w:t>
      </w:r>
    </w:p>
    <w:p w14:paraId="1E6C70FC" w14:textId="413727C6" w:rsidR="00F64776" w:rsidRDefault="00F64776" w:rsidP="00F64776">
      <w:pPr>
        <w:pStyle w:val="TextoNormalNegritaCentrado"/>
        <w:keepNext/>
      </w:pPr>
    </w:p>
    <w:p w14:paraId="0C6C8485" w14:textId="01C49C16" w:rsidR="00F64776" w:rsidRDefault="00F64776" w:rsidP="00F64776">
      <w:pPr>
        <w:pStyle w:val="TextoNormal"/>
      </w:pPr>
      <w:r w:rsidRPr="00F64776">
        <w:rPr>
          <w:rStyle w:val="NumeroAFNegritaCaracter"/>
        </w:rPr>
        <w:t>1</w:t>
      </w:r>
      <w:r>
        <w:t>. Mediante escrito registrado en este tribunal el 11 de julio de 2022, el procurador de los tribunales don Arturo Romero Ballester, en nombre y representación de doña María Dolores de la Cagiga Gimeno y otros y bajo la dirección del letrado don Carlos García-Trevijano de la Cagiga, formuló demanda de amparo contra la providencia de 15 de junio de 2022 dictada por la Sala de lo Contencioso-Administrativo del Tribunal Supremo, en el recurso de casación núm. 1950-2022 contra la sentencia dictada por la Sección Primera de la Sala de lo Contencioso-Administrativo de la Audiencia Nacional en procedimiento ordinario núm. 669-2018.</w:t>
      </w:r>
    </w:p>
    <w:p w14:paraId="3EEE2549" w14:textId="77777777" w:rsidR="00F64776" w:rsidRDefault="00F64776" w:rsidP="00F64776">
      <w:pPr>
        <w:pStyle w:val="TextoNormal"/>
      </w:pPr>
    </w:p>
    <w:p w14:paraId="4ED0980F" w14:textId="7AAD6E7F" w:rsidR="00F64776" w:rsidRDefault="00F64776" w:rsidP="00F64776">
      <w:pPr>
        <w:pStyle w:val="TextoNormal"/>
      </w:pPr>
      <w:r w:rsidRPr="00F64776">
        <w:rPr>
          <w:rStyle w:val="NumeroAFNegritaCaracter"/>
        </w:rPr>
        <w:t>2</w:t>
      </w:r>
      <w:r>
        <w:t>. Por escrito de 22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22B33F5C" w14:textId="77777777" w:rsidR="00F64776" w:rsidRDefault="00F64776" w:rsidP="00F64776">
      <w:pPr>
        <w:pStyle w:val="TextoNormal"/>
      </w:pPr>
    </w:p>
    <w:p w14:paraId="368984A0" w14:textId="77777777" w:rsidR="00F64776" w:rsidRDefault="00F64776" w:rsidP="00F64776">
      <w:pPr>
        <w:pStyle w:val="TextoNormalNegritaCentrado"/>
        <w:keepNext/>
      </w:pPr>
      <w:r>
        <w:t>II. Fundamentos jurídicos</w:t>
      </w:r>
    </w:p>
    <w:p w14:paraId="77FCE625" w14:textId="3C161752" w:rsidR="00F64776" w:rsidRDefault="00F64776" w:rsidP="00F64776">
      <w:pPr>
        <w:pStyle w:val="TextoNormalNegritaCentrado"/>
        <w:keepNext/>
      </w:pPr>
    </w:p>
    <w:p w14:paraId="476AC4A9" w14:textId="42444253"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5F5C0F81" w14:textId="77777777" w:rsidR="00F64776" w:rsidRDefault="00F64776" w:rsidP="00F64776">
      <w:pPr>
        <w:pStyle w:val="TextoNormal"/>
      </w:pPr>
    </w:p>
    <w:p w14:paraId="2C338353" w14:textId="77777777" w:rsidR="00F64776" w:rsidRDefault="00F64776" w:rsidP="00F64776">
      <w:pPr>
        <w:pStyle w:val="TextoNormal"/>
      </w:pPr>
      <w:r>
        <w:t>Por lo expuesto, la Sección</w:t>
      </w:r>
    </w:p>
    <w:p w14:paraId="44DEDE5D" w14:textId="35056D01" w:rsidR="00F64776" w:rsidRDefault="00F64776" w:rsidP="00F64776">
      <w:pPr>
        <w:pStyle w:val="TextoNormal"/>
      </w:pPr>
    </w:p>
    <w:p w14:paraId="0DB2F119" w14:textId="77777777" w:rsidR="00F64776" w:rsidRDefault="00F64776" w:rsidP="00F64776">
      <w:pPr>
        <w:pStyle w:val="TextoNormalCentrado"/>
      </w:pPr>
      <w:r>
        <w:t>ACUERDA</w:t>
      </w:r>
    </w:p>
    <w:p w14:paraId="0A22A668" w14:textId="6E56A989" w:rsidR="00F64776" w:rsidRDefault="00F64776" w:rsidP="00F64776">
      <w:pPr>
        <w:pStyle w:val="TextoNormalCentrado"/>
      </w:pPr>
    </w:p>
    <w:p w14:paraId="3386DAAF" w14:textId="5780421E" w:rsidR="00F64776" w:rsidRDefault="00F64776" w:rsidP="00F64776">
      <w:pPr>
        <w:pStyle w:val="TextoNormal"/>
      </w:pPr>
      <w:r>
        <w:t>Estimar justificada la abstención formulada por el magistrado don César Tolosa Tribiño en el recurso de amparo núm. 5030-2022 y apartarle definitivamente del conocimiento del referido recurso y de todas sus incidencias.</w:t>
      </w:r>
    </w:p>
    <w:p w14:paraId="24C61BEA" w14:textId="77777777" w:rsidR="00F64776" w:rsidRDefault="00F64776" w:rsidP="00F64776">
      <w:pPr>
        <w:pStyle w:val="TextoNormal"/>
      </w:pPr>
    </w:p>
    <w:p w14:paraId="538D3901" w14:textId="77777777" w:rsidR="00F64776" w:rsidRDefault="00F64776" w:rsidP="00F64776">
      <w:pPr>
        <w:pStyle w:val="TextoNormal"/>
      </w:pPr>
      <w:r>
        <w:t>Madrid, a dos de noviembre de dos mil veintitrés.</w:t>
      </w:r>
    </w:p>
    <w:p w14:paraId="40909FE4" w14:textId="0752C4AC" w:rsidR="00F64776" w:rsidRDefault="00F64776">
      <w:pPr>
        <w:spacing w:after="160" w:line="278" w:lineRule="auto"/>
        <w:rPr>
          <w:rFonts w:ascii="Times New Roman" w:eastAsia="Times New Roman" w:hAnsi="Times New Roman" w:cs="Times New Roman"/>
          <w:sz w:val="24"/>
          <w:szCs w:val="24"/>
          <w:lang w:eastAsia="es-ES"/>
        </w:rPr>
      </w:pPr>
      <w:r>
        <w:br w:type="page"/>
      </w:r>
    </w:p>
    <w:p w14:paraId="38CD31D5" w14:textId="77777777" w:rsidR="00F64776" w:rsidRDefault="00F64776" w:rsidP="00F64776">
      <w:pPr>
        <w:pStyle w:val="TtuloResolucin"/>
      </w:pPr>
      <w:bookmarkStart w:id="278" w:name="AUTO_2023_493"/>
      <w:r>
        <w:t>AUTO 493/2023, de 2 de noviembre de 2023</w:t>
      </w:r>
    </w:p>
    <w:bookmarkEnd w:id="278"/>
    <w:p w14:paraId="7D654E81" w14:textId="77777777" w:rsidR="00F64776" w:rsidRDefault="00F64776" w:rsidP="00F64776">
      <w:pPr>
        <w:pStyle w:val="TtuloResolucin"/>
      </w:pPr>
      <w:r>
        <w:t>Sección Tercera</w:t>
      </w:r>
    </w:p>
    <w:p w14:paraId="69566543" w14:textId="77777777" w:rsidR="00F64776" w:rsidRDefault="00F64776" w:rsidP="00F64776">
      <w:pPr>
        <w:pStyle w:val="TextoNormalCentrado"/>
      </w:pPr>
      <w:r>
        <w:t>ECLI:ES:TC:2023:493A</w:t>
      </w:r>
    </w:p>
    <w:p w14:paraId="3558683B" w14:textId="1BA3789A" w:rsidR="00F64776" w:rsidRDefault="00F64776" w:rsidP="00F64776">
      <w:pPr>
        <w:pStyle w:val="TextoNormalCentrado"/>
      </w:pPr>
    </w:p>
    <w:p w14:paraId="4638A5D7" w14:textId="77777777" w:rsidR="00F64776" w:rsidRDefault="00F64776" w:rsidP="00F64776">
      <w:pPr>
        <w:pStyle w:val="SntesisDescriptiva"/>
      </w:pPr>
      <w:r>
        <w:t>Excms. Srs. doña Inmaculada Montalbán Huertas y doña Laura Díez Bueso.</w:t>
      </w:r>
    </w:p>
    <w:p w14:paraId="28BE48A7" w14:textId="26F5FEB1" w:rsidR="00F64776" w:rsidRDefault="00F64776" w:rsidP="00F64776">
      <w:pPr>
        <w:pStyle w:val="SntesisDescriptiva"/>
      </w:pPr>
    </w:p>
    <w:p w14:paraId="22B98125" w14:textId="77777777" w:rsidR="00F64776" w:rsidRDefault="00F64776" w:rsidP="00F64776">
      <w:pPr>
        <w:pStyle w:val="SntesisDescriptiva"/>
      </w:pPr>
      <w:r>
        <w:t>Acepta una abstención en el recurso de amparo 5491-2022, promovido en proceso contencioso administrativo.</w:t>
      </w:r>
    </w:p>
    <w:p w14:paraId="5B69109C" w14:textId="68AF28B4" w:rsidR="00F64776" w:rsidRDefault="00F64776" w:rsidP="00F64776">
      <w:pPr>
        <w:pStyle w:val="SntesisDescriptiva"/>
      </w:pPr>
    </w:p>
    <w:p w14:paraId="20EA09E0" w14:textId="77777777" w:rsidR="00F64776" w:rsidRDefault="00F64776" w:rsidP="00F64776">
      <w:pPr>
        <w:pStyle w:val="SntesisDescriptiva"/>
      </w:pPr>
    </w:p>
    <w:p w14:paraId="34263794" w14:textId="77777777" w:rsidR="00F64776" w:rsidRDefault="00F64776" w:rsidP="00F64776">
      <w:pPr>
        <w:pStyle w:val="SntesisDescriptiva"/>
      </w:pPr>
    </w:p>
    <w:p w14:paraId="5FC8A424" w14:textId="77777777" w:rsidR="00F64776" w:rsidRDefault="00F64776" w:rsidP="00F64776">
      <w:pPr>
        <w:pStyle w:val="TextoNormalNegritaCentrado"/>
      </w:pPr>
      <w:r>
        <w:t>AUTO</w:t>
      </w:r>
    </w:p>
    <w:p w14:paraId="2DB8223C" w14:textId="0C06110C" w:rsidR="00F64776" w:rsidRDefault="00F64776" w:rsidP="00F64776">
      <w:pPr>
        <w:pStyle w:val="TextoNormalNegritaCentrado"/>
      </w:pPr>
    </w:p>
    <w:p w14:paraId="20A3971A" w14:textId="77777777" w:rsidR="00F64776" w:rsidRDefault="00F64776" w:rsidP="00F64776">
      <w:pPr>
        <w:pStyle w:val="TextoNormalNegritaCentrado"/>
        <w:keepNext/>
      </w:pPr>
      <w:r>
        <w:t>I. Antecedentes</w:t>
      </w:r>
    </w:p>
    <w:p w14:paraId="2591EC9B" w14:textId="6A2ECE0C" w:rsidR="00F64776" w:rsidRDefault="00F64776" w:rsidP="00F64776">
      <w:pPr>
        <w:pStyle w:val="TextoNormalNegritaCentrado"/>
        <w:keepNext/>
      </w:pPr>
    </w:p>
    <w:p w14:paraId="40333EE1" w14:textId="63927A91" w:rsidR="00F64776" w:rsidRDefault="00F64776" w:rsidP="00F64776">
      <w:pPr>
        <w:pStyle w:val="TextoNormal"/>
      </w:pPr>
      <w:r w:rsidRPr="00F64776">
        <w:rPr>
          <w:rStyle w:val="NumeroAFNegritaCaracter"/>
        </w:rPr>
        <w:t>1</w:t>
      </w:r>
      <w:r>
        <w:t>. Mediante escrito registrado en este tribunal el 26 de julio de 2022, el procurador de los tribunales don Alejandro González Salinas, en nombre y representación de don Manuel Ramón Domínguez Benítez y bajo la dirección del letrado don Sergio Melero Hernández, formuló demanda de amparo contra la providencia de la Sección Primera de la Sala de lo Contencioso-Administrativo del Tribunal Supremo en recurso de casación núm. 4659-2021.</w:t>
      </w:r>
    </w:p>
    <w:p w14:paraId="71490149" w14:textId="77777777" w:rsidR="00F64776" w:rsidRDefault="00F64776" w:rsidP="00F64776">
      <w:pPr>
        <w:pStyle w:val="TextoNormal"/>
      </w:pPr>
    </w:p>
    <w:p w14:paraId="15F43644" w14:textId="2DB5EF68" w:rsidR="00F64776" w:rsidRDefault="00F64776" w:rsidP="00F64776">
      <w:pPr>
        <w:pStyle w:val="TextoNormal"/>
      </w:pPr>
      <w:r w:rsidRPr="00F64776">
        <w:rPr>
          <w:rStyle w:val="NumeroAFNegritaCaracter"/>
        </w:rPr>
        <w:t>2</w:t>
      </w:r>
      <w:r>
        <w:t>. Por escrito de 22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30EB9A35" w14:textId="77777777" w:rsidR="00F64776" w:rsidRDefault="00F64776" w:rsidP="00F64776">
      <w:pPr>
        <w:pStyle w:val="TextoNormal"/>
      </w:pPr>
    </w:p>
    <w:p w14:paraId="7EFE4C91" w14:textId="77777777" w:rsidR="00F64776" w:rsidRDefault="00F64776" w:rsidP="00F64776">
      <w:pPr>
        <w:pStyle w:val="TextoNormalNegritaCentrado"/>
        <w:keepNext/>
      </w:pPr>
      <w:r>
        <w:t>II. Fundamentos jurídicos</w:t>
      </w:r>
    </w:p>
    <w:p w14:paraId="42F8E6BC" w14:textId="61B8861F" w:rsidR="00F64776" w:rsidRDefault="00F64776" w:rsidP="00F64776">
      <w:pPr>
        <w:pStyle w:val="TextoNormalNegritaCentrado"/>
        <w:keepNext/>
      </w:pPr>
    </w:p>
    <w:p w14:paraId="6EADA18D" w14:textId="3C65CFAC"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3B3C41F8" w14:textId="77777777" w:rsidR="00F64776" w:rsidRDefault="00F64776" w:rsidP="00F64776">
      <w:pPr>
        <w:pStyle w:val="TextoNormal"/>
      </w:pPr>
    </w:p>
    <w:p w14:paraId="0F9266E4" w14:textId="77777777" w:rsidR="00F64776" w:rsidRDefault="00F64776" w:rsidP="00F64776">
      <w:pPr>
        <w:pStyle w:val="TextoNormal"/>
      </w:pPr>
      <w:r>
        <w:t>Por lo expuesto, la Sección</w:t>
      </w:r>
    </w:p>
    <w:p w14:paraId="67CBCEF7" w14:textId="10CFD105" w:rsidR="00F64776" w:rsidRDefault="00F64776" w:rsidP="00F64776">
      <w:pPr>
        <w:pStyle w:val="TextoNormal"/>
      </w:pPr>
    </w:p>
    <w:p w14:paraId="3CC0D45E" w14:textId="77777777" w:rsidR="00F64776" w:rsidRDefault="00F64776" w:rsidP="00F64776">
      <w:pPr>
        <w:pStyle w:val="TextoNormalCentrado"/>
      </w:pPr>
      <w:r>
        <w:t>ACUERDA</w:t>
      </w:r>
    </w:p>
    <w:p w14:paraId="39C00145" w14:textId="15FD981A" w:rsidR="00F64776" w:rsidRDefault="00F64776" w:rsidP="00F64776">
      <w:pPr>
        <w:pStyle w:val="TextoNormalCentrado"/>
      </w:pPr>
    </w:p>
    <w:p w14:paraId="32348658" w14:textId="2412B530" w:rsidR="00F64776" w:rsidRDefault="00F64776" w:rsidP="00F64776">
      <w:pPr>
        <w:pStyle w:val="TextoNormal"/>
      </w:pPr>
      <w:r>
        <w:t>Estimar justificada la abstención formulada por el magistrado don César Tolosa Tribiño en el recurso de amparo núm. 5491-2022 y apartarle definitivamente del conocimiento del referido recurso y de todas sus incidencias.</w:t>
      </w:r>
    </w:p>
    <w:p w14:paraId="150B373B" w14:textId="77777777" w:rsidR="00F64776" w:rsidRDefault="00F64776" w:rsidP="00F64776">
      <w:pPr>
        <w:pStyle w:val="TextoNormal"/>
      </w:pPr>
    </w:p>
    <w:p w14:paraId="0C4C868A" w14:textId="77777777" w:rsidR="00F64776" w:rsidRDefault="00F64776" w:rsidP="00F64776">
      <w:pPr>
        <w:pStyle w:val="TextoNormal"/>
      </w:pPr>
      <w:r>
        <w:t>Madrid, a dos de noviembre de dos mil veintitrés.</w:t>
      </w:r>
    </w:p>
    <w:p w14:paraId="0B406A43" w14:textId="41394283" w:rsidR="00F64776" w:rsidRDefault="00F64776">
      <w:pPr>
        <w:spacing w:after="160" w:line="278" w:lineRule="auto"/>
        <w:rPr>
          <w:rFonts w:ascii="Times New Roman" w:eastAsia="Times New Roman" w:hAnsi="Times New Roman" w:cs="Times New Roman"/>
          <w:sz w:val="24"/>
          <w:szCs w:val="24"/>
          <w:lang w:eastAsia="es-ES"/>
        </w:rPr>
      </w:pPr>
      <w:r>
        <w:br w:type="page"/>
      </w:r>
    </w:p>
    <w:p w14:paraId="322509FC" w14:textId="77777777" w:rsidR="00F64776" w:rsidRDefault="00F64776" w:rsidP="00F64776">
      <w:pPr>
        <w:pStyle w:val="TtuloResolucin"/>
      </w:pPr>
      <w:bookmarkStart w:id="279" w:name="AUTO_2023_494"/>
      <w:r>
        <w:t>AUTO 494/2023, de 2 de noviembre de 2023</w:t>
      </w:r>
    </w:p>
    <w:bookmarkEnd w:id="279"/>
    <w:p w14:paraId="4E0839C8" w14:textId="77777777" w:rsidR="00F64776" w:rsidRDefault="00F64776" w:rsidP="00F64776">
      <w:pPr>
        <w:pStyle w:val="TtuloResolucin"/>
      </w:pPr>
      <w:r>
        <w:t>Sección Tercera</w:t>
      </w:r>
    </w:p>
    <w:p w14:paraId="4CFAEEFB" w14:textId="77777777" w:rsidR="00F64776" w:rsidRDefault="00F64776" w:rsidP="00F64776">
      <w:pPr>
        <w:pStyle w:val="TextoNormalCentrado"/>
      </w:pPr>
      <w:r>
        <w:t>ECLI:ES:TC:2023:494A</w:t>
      </w:r>
    </w:p>
    <w:p w14:paraId="339A56D8" w14:textId="43025EC8" w:rsidR="00F64776" w:rsidRDefault="00F64776" w:rsidP="00F64776">
      <w:pPr>
        <w:pStyle w:val="TextoNormalCentrado"/>
      </w:pPr>
    </w:p>
    <w:p w14:paraId="58EC2908" w14:textId="77777777" w:rsidR="00F64776" w:rsidRDefault="00F64776" w:rsidP="00F64776">
      <w:pPr>
        <w:pStyle w:val="SntesisDescriptiva"/>
      </w:pPr>
      <w:r>
        <w:t>Excms. Srs. doña Inmaculada Montalbán Huertas y doña Laura Díez Bueso.</w:t>
      </w:r>
    </w:p>
    <w:p w14:paraId="60C96F84" w14:textId="2AC81576" w:rsidR="00F64776" w:rsidRDefault="00F64776" w:rsidP="00F64776">
      <w:pPr>
        <w:pStyle w:val="SntesisDescriptiva"/>
      </w:pPr>
    </w:p>
    <w:p w14:paraId="50146988" w14:textId="77777777" w:rsidR="00F64776" w:rsidRDefault="00F64776" w:rsidP="00F64776">
      <w:pPr>
        <w:pStyle w:val="SntesisDescriptiva"/>
      </w:pPr>
      <w:r>
        <w:t>Acepta una abstención en el recurso de amparo 5851-2022, promovido en proceso contencioso administrativo.</w:t>
      </w:r>
    </w:p>
    <w:p w14:paraId="0B629C26" w14:textId="610D2369" w:rsidR="00F64776" w:rsidRDefault="00F64776" w:rsidP="00F64776">
      <w:pPr>
        <w:pStyle w:val="SntesisDescriptiva"/>
      </w:pPr>
    </w:p>
    <w:p w14:paraId="2D6AA314" w14:textId="77777777" w:rsidR="00F64776" w:rsidRDefault="00F64776" w:rsidP="00F64776">
      <w:pPr>
        <w:pStyle w:val="SntesisDescriptiva"/>
      </w:pPr>
    </w:p>
    <w:p w14:paraId="46C11405" w14:textId="77777777" w:rsidR="00F64776" w:rsidRDefault="00F64776" w:rsidP="00F64776">
      <w:pPr>
        <w:pStyle w:val="SntesisDescriptiva"/>
      </w:pPr>
    </w:p>
    <w:p w14:paraId="1FF493FC" w14:textId="77777777" w:rsidR="00F64776" w:rsidRDefault="00F64776" w:rsidP="00F64776">
      <w:pPr>
        <w:pStyle w:val="TextoNormalNegritaCentrado"/>
      </w:pPr>
      <w:r>
        <w:t>AUTO</w:t>
      </w:r>
    </w:p>
    <w:p w14:paraId="75A78FB2" w14:textId="38409082" w:rsidR="00F64776" w:rsidRDefault="00F64776" w:rsidP="00F64776">
      <w:pPr>
        <w:pStyle w:val="TextoNormalNegritaCentrado"/>
      </w:pPr>
    </w:p>
    <w:p w14:paraId="4031B390" w14:textId="77777777" w:rsidR="00F64776" w:rsidRDefault="00F64776" w:rsidP="00F64776">
      <w:pPr>
        <w:pStyle w:val="TextoNormalNegritaCentrado"/>
        <w:keepNext/>
      </w:pPr>
      <w:r>
        <w:t>I. Antecedentes</w:t>
      </w:r>
    </w:p>
    <w:p w14:paraId="00D91873" w14:textId="238BAB27" w:rsidR="00F64776" w:rsidRDefault="00F64776" w:rsidP="00F64776">
      <w:pPr>
        <w:pStyle w:val="TextoNormalNegritaCentrado"/>
        <w:keepNext/>
      </w:pPr>
    </w:p>
    <w:p w14:paraId="29D26B63" w14:textId="12585E4F" w:rsidR="00F64776" w:rsidRDefault="00F64776" w:rsidP="00F64776">
      <w:pPr>
        <w:pStyle w:val="TextoNormal"/>
      </w:pPr>
      <w:r w:rsidRPr="00F64776">
        <w:rPr>
          <w:rStyle w:val="NumeroAFNegritaCaracter"/>
        </w:rPr>
        <w:t>1</w:t>
      </w:r>
      <w:r>
        <w:t>. Mediante escrito registrado en este tribunal el 5 de septiembre de 2022, la procuradora de los tribunales doña Ana Isabel Lobera Argüelles, en nombre y representación de doña Sulamita Escudero Escudero y bajo la dirección de la letrada doña Rosa María Sanz Carrasco, formuló demanda de amparo contra las providencias de 20 de abril de 2022 y 27 de junio de 2022 dictadas por la Sección Primera de la Sala de lo Contencioso-Administrativo del Tribunal Supremo en recurso de casación núm.7495-2021.</w:t>
      </w:r>
    </w:p>
    <w:p w14:paraId="5CD75050" w14:textId="77777777" w:rsidR="00F64776" w:rsidRDefault="00F64776" w:rsidP="00F64776">
      <w:pPr>
        <w:pStyle w:val="TextoNormal"/>
      </w:pPr>
    </w:p>
    <w:p w14:paraId="31195AEF" w14:textId="1ACF2C75" w:rsidR="00F64776" w:rsidRDefault="00F64776" w:rsidP="00F64776">
      <w:pPr>
        <w:pStyle w:val="TextoNormal"/>
      </w:pPr>
      <w:r w:rsidRPr="00F64776">
        <w:rPr>
          <w:rStyle w:val="NumeroAFNegritaCaracter"/>
        </w:rPr>
        <w:t>2</w:t>
      </w:r>
      <w:r>
        <w:t>. Por escrito de 22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464367C9" w14:textId="77777777" w:rsidR="00F64776" w:rsidRDefault="00F64776" w:rsidP="00F64776">
      <w:pPr>
        <w:pStyle w:val="TextoNormal"/>
      </w:pPr>
    </w:p>
    <w:p w14:paraId="005F4AE2" w14:textId="77777777" w:rsidR="00F64776" w:rsidRDefault="00F64776" w:rsidP="00F64776">
      <w:pPr>
        <w:pStyle w:val="TextoNormalNegritaCentrado"/>
        <w:keepNext/>
      </w:pPr>
      <w:r>
        <w:t>II. Fundamentos jurídicos</w:t>
      </w:r>
    </w:p>
    <w:p w14:paraId="231D6EC0" w14:textId="3B2E7585" w:rsidR="00F64776" w:rsidRDefault="00F64776" w:rsidP="00F64776">
      <w:pPr>
        <w:pStyle w:val="TextoNormalNegritaCentrado"/>
        <w:keepNext/>
      </w:pPr>
    </w:p>
    <w:p w14:paraId="58296102" w14:textId="0A7317A4"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53A459F7" w14:textId="77777777" w:rsidR="00F64776" w:rsidRDefault="00F64776" w:rsidP="00F64776">
      <w:pPr>
        <w:pStyle w:val="TextoNormal"/>
      </w:pPr>
    </w:p>
    <w:p w14:paraId="589407B7" w14:textId="77777777" w:rsidR="00F64776" w:rsidRDefault="00F64776" w:rsidP="00F64776">
      <w:pPr>
        <w:pStyle w:val="TextoNormal"/>
      </w:pPr>
      <w:r>
        <w:t>Por lo expuesto, la Sección</w:t>
      </w:r>
    </w:p>
    <w:p w14:paraId="4F4DB45C" w14:textId="730D1964" w:rsidR="00F64776" w:rsidRDefault="00F64776" w:rsidP="00F64776">
      <w:pPr>
        <w:pStyle w:val="TextoNormal"/>
      </w:pPr>
    </w:p>
    <w:p w14:paraId="2248B682" w14:textId="77777777" w:rsidR="00F64776" w:rsidRDefault="00F64776" w:rsidP="00F64776">
      <w:pPr>
        <w:pStyle w:val="TextoNormalCentrado"/>
      </w:pPr>
      <w:r>
        <w:t>ACUERDA</w:t>
      </w:r>
    </w:p>
    <w:p w14:paraId="54F62164" w14:textId="016BDEA3" w:rsidR="00F64776" w:rsidRDefault="00F64776" w:rsidP="00F64776">
      <w:pPr>
        <w:pStyle w:val="TextoNormalCentrado"/>
      </w:pPr>
    </w:p>
    <w:p w14:paraId="33D3F2A7" w14:textId="6510BB25" w:rsidR="00F64776" w:rsidRDefault="00F64776" w:rsidP="00F64776">
      <w:pPr>
        <w:pStyle w:val="TextoNormal"/>
      </w:pPr>
      <w:r>
        <w:t>Estimar justificada la abstención formulada por el magistrado don César Tolosa Tribiño en el recurso de amparo núm. 5851-2022 y apartarle definitivamente del conocimiento del referido recurso y de todas sus incidencias.</w:t>
      </w:r>
    </w:p>
    <w:p w14:paraId="6820BB5B" w14:textId="77777777" w:rsidR="00F64776" w:rsidRDefault="00F64776" w:rsidP="00F64776">
      <w:pPr>
        <w:pStyle w:val="TextoNormal"/>
      </w:pPr>
    </w:p>
    <w:p w14:paraId="6CEC8F46" w14:textId="77777777" w:rsidR="00F64776" w:rsidRDefault="00F64776" w:rsidP="00F64776">
      <w:pPr>
        <w:pStyle w:val="TextoNormal"/>
      </w:pPr>
      <w:r>
        <w:t>Madrid, a dos de noviembre de dos mil veintitrés.</w:t>
      </w:r>
    </w:p>
    <w:p w14:paraId="4B45CBB4" w14:textId="4FA48890" w:rsidR="00F64776" w:rsidRDefault="00F64776">
      <w:pPr>
        <w:spacing w:after="160" w:line="278" w:lineRule="auto"/>
        <w:rPr>
          <w:rFonts w:ascii="Times New Roman" w:eastAsia="Times New Roman" w:hAnsi="Times New Roman" w:cs="Times New Roman"/>
          <w:sz w:val="24"/>
          <w:szCs w:val="24"/>
          <w:lang w:eastAsia="es-ES"/>
        </w:rPr>
      </w:pPr>
      <w:r>
        <w:br w:type="page"/>
      </w:r>
    </w:p>
    <w:p w14:paraId="17CEC499" w14:textId="77777777" w:rsidR="00F64776" w:rsidRDefault="00F64776" w:rsidP="00F64776">
      <w:pPr>
        <w:pStyle w:val="TtuloResolucin"/>
      </w:pPr>
      <w:bookmarkStart w:id="280" w:name="AUTO_2023_495"/>
      <w:r>
        <w:t>AUTO 495/2023, de 2 de noviembre de 2023</w:t>
      </w:r>
    </w:p>
    <w:bookmarkEnd w:id="280"/>
    <w:p w14:paraId="692D1E09" w14:textId="77777777" w:rsidR="00F64776" w:rsidRDefault="00F64776" w:rsidP="00F64776">
      <w:pPr>
        <w:pStyle w:val="TtuloResolucin"/>
      </w:pPr>
      <w:r>
        <w:t>Sección Tercera</w:t>
      </w:r>
    </w:p>
    <w:p w14:paraId="1BC0C6DD" w14:textId="77777777" w:rsidR="00F64776" w:rsidRDefault="00F64776" w:rsidP="00F64776">
      <w:pPr>
        <w:pStyle w:val="TextoNormalCentrado"/>
      </w:pPr>
      <w:r>
        <w:t>ECLI:ES:TC:2023:495A</w:t>
      </w:r>
    </w:p>
    <w:p w14:paraId="51A00A5C" w14:textId="03BA439E" w:rsidR="00F64776" w:rsidRDefault="00F64776" w:rsidP="00F64776">
      <w:pPr>
        <w:pStyle w:val="TextoNormalCentrado"/>
      </w:pPr>
    </w:p>
    <w:p w14:paraId="26A11C2A" w14:textId="77777777" w:rsidR="00F64776" w:rsidRDefault="00F64776" w:rsidP="00F64776">
      <w:pPr>
        <w:pStyle w:val="SntesisDescriptiva"/>
      </w:pPr>
      <w:r>
        <w:t>Excms. Srs. doña Inmaculada Montalbán Huertas y doña Laura Díez Bueso.</w:t>
      </w:r>
    </w:p>
    <w:p w14:paraId="6C4DCE5F" w14:textId="7FF2F4AA" w:rsidR="00F64776" w:rsidRDefault="00F64776" w:rsidP="00F64776">
      <w:pPr>
        <w:pStyle w:val="SntesisDescriptiva"/>
      </w:pPr>
    </w:p>
    <w:p w14:paraId="1F6F7E5D" w14:textId="77777777" w:rsidR="00F64776" w:rsidRDefault="00F64776" w:rsidP="00F64776">
      <w:pPr>
        <w:pStyle w:val="SntesisDescriptiva"/>
      </w:pPr>
      <w:r>
        <w:t>Acepta una abstención en el recurso de amparo 6114-2022, promovido en proceso contencioso administrativo.</w:t>
      </w:r>
    </w:p>
    <w:p w14:paraId="2AE3DDF5" w14:textId="02C6CB3C" w:rsidR="00F64776" w:rsidRDefault="00F64776" w:rsidP="00F64776">
      <w:pPr>
        <w:pStyle w:val="SntesisDescriptiva"/>
      </w:pPr>
    </w:p>
    <w:p w14:paraId="68273C48" w14:textId="77777777" w:rsidR="00F64776" w:rsidRDefault="00F64776" w:rsidP="00F64776">
      <w:pPr>
        <w:pStyle w:val="SntesisDescriptiva"/>
      </w:pPr>
    </w:p>
    <w:p w14:paraId="78CA47A6" w14:textId="77777777" w:rsidR="00F64776" w:rsidRDefault="00F64776" w:rsidP="00F64776">
      <w:pPr>
        <w:pStyle w:val="SntesisDescriptiva"/>
      </w:pPr>
    </w:p>
    <w:p w14:paraId="02A98E71" w14:textId="77777777" w:rsidR="00F64776" w:rsidRDefault="00F64776" w:rsidP="00F64776">
      <w:pPr>
        <w:pStyle w:val="TextoNormalNegritaCentrado"/>
      </w:pPr>
      <w:r>
        <w:t>AUTO</w:t>
      </w:r>
    </w:p>
    <w:p w14:paraId="289322C1" w14:textId="2FA90820" w:rsidR="00F64776" w:rsidRDefault="00F64776" w:rsidP="00F64776">
      <w:pPr>
        <w:pStyle w:val="TextoNormalNegritaCentrado"/>
      </w:pPr>
    </w:p>
    <w:p w14:paraId="38B77946" w14:textId="77777777" w:rsidR="00F64776" w:rsidRDefault="00F64776" w:rsidP="00F64776">
      <w:pPr>
        <w:pStyle w:val="TextoNormalNegritaCentrado"/>
        <w:keepNext/>
      </w:pPr>
      <w:r>
        <w:t>I. Antecedentes</w:t>
      </w:r>
    </w:p>
    <w:p w14:paraId="70A915F1" w14:textId="21BBB264" w:rsidR="00F64776" w:rsidRDefault="00F64776" w:rsidP="00F64776">
      <w:pPr>
        <w:pStyle w:val="TextoNormalNegritaCentrado"/>
        <w:keepNext/>
      </w:pPr>
    </w:p>
    <w:p w14:paraId="03CAB8BB" w14:textId="700FBE6F" w:rsidR="00F64776" w:rsidRDefault="00F64776" w:rsidP="00F64776">
      <w:pPr>
        <w:pStyle w:val="TextoNormal"/>
      </w:pPr>
      <w:r w:rsidRPr="00F64776">
        <w:rPr>
          <w:rStyle w:val="NumeroAFNegritaCaracter"/>
        </w:rPr>
        <w:t>1</w:t>
      </w:r>
      <w:r>
        <w:t>. Mediante escrito registrado en este tribunal el 19 de septiembre de 2022, la procuradora de los tribunales doña María Aurora Gómez-Villaboa Mandrí, en nombre y representación de don Marco Antonio Muñoz González y bajo la dirección de la letrada doña Rocío Antonia Gallego Ortiz, formuló demanda de amparo contra la providencia de la Sección Primera de la Sala de lo Contencioso-Administrativo del Tribunal Supremo, en recurso de casación núm. 2660-2022.</w:t>
      </w:r>
    </w:p>
    <w:p w14:paraId="388D550D" w14:textId="77777777" w:rsidR="00F64776" w:rsidRDefault="00F64776" w:rsidP="00F64776">
      <w:pPr>
        <w:pStyle w:val="TextoNormal"/>
      </w:pPr>
    </w:p>
    <w:p w14:paraId="47F9C7B9" w14:textId="61A66F8A" w:rsidR="00F64776" w:rsidRDefault="00F64776" w:rsidP="00F64776">
      <w:pPr>
        <w:pStyle w:val="TextoNormal"/>
      </w:pPr>
      <w:r w:rsidRPr="00F64776">
        <w:rPr>
          <w:rStyle w:val="NumeroAFNegritaCaracter"/>
        </w:rPr>
        <w:t>2</w:t>
      </w:r>
      <w:r>
        <w:t>. Por escrito de 22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50320FCA" w14:textId="77777777" w:rsidR="00F64776" w:rsidRDefault="00F64776" w:rsidP="00F64776">
      <w:pPr>
        <w:pStyle w:val="TextoNormal"/>
      </w:pPr>
    </w:p>
    <w:p w14:paraId="262FFA3C" w14:textId="77777777" w:rsidR="00F64776" w:rsidRDefault="00F64776" w:rsidP="00F64776">
      <w:pPr>
        <w:pStyle w:val="TextoNormalNegritaCentrado"/>
        <w:keepNext/>
      </w:pPr>
      <w:r>
        <w:t>II. Fundamentos jurídicos</w:t>
      </w:r>
    </w:p>
    <w:p w14:paraId="7C981370" w14:textId="712EA9AB" w:rsidR="00F64776" w:rsidRDefault="00F64776" w:rsidP="00F64776">
      <w:pPr>
        <w:pStyle w:val="TextoNormalNegritaCentrado"/>
        <w:keepNext/>
      </w:pPr>
    </w:p>
    <w:p w14:paraId="69DCDA0C" w14:textId="735D2965"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12F1F88C" w14:textId="77777777" w:rsidR="00F64776" w:rsidRDefault="00F64776" w:rsidP="00F64776">
      <w:pPr>
        <w:pStyle w:val="TextoNormal"/>
      </w:pPr>
    </w:p>
    <w:p w14:paraId="14F6D90E" w14:textId="77777777" w:rsidR="00F64776" w:rsidRDefault="00F64776" w:rsidP="00F64776">
      <w:pPr>
        <w:pStyle w:val="TextoNormal"/>
      </w:pPr>
      <w:r>
        <w:t>Por lo expuesto, la Sección</w:t>
      </w:r>
    </w:p>
    <w:p w14:paraId="021E0457" w14:textId="54993799" w:rsidR="00F64776" w:rsidRDefault="00F64776" w:rsidP="00F64776">
      <w:pPr>
        <w:pStyle w:val="TextoNormal"/>
      </w:pPr>
    </w:p>
    <w:p w14:paraId="4D1CAFCA" w14:textId="77777777" w:rsidR="00F64776" w:rsidRDefault="00F64776" w:rsidP="00F64776">
      <w:pPr>
        <w:pStyle w:val="TextoNormalCentrado"/>
      </w:pPr>
      <w:r>
        <w:t>ACUERDA</w:t>
      </w:r>
    </w:p>
    <w:p w14:paraId="6FC4BC8E" w14:textId="69827703" w:rsidR="00F64776" w:rsidRDefault="00F64776" w:rsidP="00F64776">
      <w:pPr>
        <w:pStyle w:val="TextoNormalCentrado"/>
      </w:pPr>
    </w:p>
    <w:p w14:paraId="1A4F9A50" w14:textId="7ADF9E90" w:rsidR="00F64776" w:rsidRDefault="00F64776" w:rsidP="00F64776">
      <w:pPr>
        <w:pStyle w:val="TextoNormal"/>
      </w:pPr>
      <w:r>
        <w:t>Estimar justificada la abstención formulada por el magistrado don César Tolosa Tribiño en el recurso de amparo núm. 6114-2022 y apartarle definitivamente del conocimiento del referido recurso y de todas sus incidencias.</w:t>
      </w:r>
    </w:p>
    <w:p w14:paraId="0CCD2119" w14:textId="77777777" w:rsidR="00F64776" w:rsidRDefault="00F64776" w:rsidP="00F64776">
      <w:pPr>
        <w:pStyle w:val="TextoNormal"/>
      </w:pPr>
    </w:p>
    <w:p w14:paraId="580D671C" w14:textId="77777777" w:rsidR="00F64776" w:rsidRDefault="00F64776" w:rsidP="00F64776">
      <w:pPr>
        <w:pStyle w:val="TextoNormal"/>
      </w:pPr>
      <w:r>
        <w:t>Madrid, a dos de noviembre de dos mil veintitrés.</w:t>
      </w:r>
    </w:p>
    <w:p w14:paraId="57C5A934" w14:textId="54F90336" w:rsidR="00F64776" w:rsidRDefault="00F64776">
      <w:pPr>
        <w:spacing w:after="160" w:line="278" w:lineRule="auto"/>
        <w:rPr>
          <w:rFonts w:ascii="Times New Roman" w:eastAsia="Times New Roman" w:hAnsi="Times New Roman" w:cs="Times New Roman"/>
          <w:sz w:val="24"/>
          <w:szCs w:val="24"/>
          <w:lang w:eastAsia="es-ES"/>
        </w:rPr>
      </w:pPr>
      <w:r>
        <w:br w:type="page"/>
      </w:r>
    </w:p>
    <w:p w14:paraId="38D642C3" w14:textId="77777777" w:rsidR="00F64776" w:rsidRDefault="00F64776" w:rsidP="00F64776">
      <w:pPr>
        <w:pStyle w:val="TtuloResolucin"/>
      </w:pPr>
      <w:bookmarkStart w:id="281" w:name="AUTO_2023_496"/>
      <w:r>
        <w:t>AUTO 496/2023, de 2 de noviembre de 2023</w:t>
      </w:r>
    </w:p>
    <w:bookmarkEnd w:id="281"/>
    <w:p w14:paraId="07CC992D" w14:textId="77777777" w:rsidR="00F64776" w:rsidRDefault="00F64776" w:rsidP="00F64776">
      <w:pPr>
        <w:pStyle w:val="TtuloResolucin"/>
      </w:pPr>
      <w:r>
        <w:t>Sección Tercera</w:t>
      </w:r>
    </w:p>
    <w:p w14:paraId="1A09D560" w14:textId="77777777" w:rsidR="00F64776" w:rsidRDefault="00F64776" w:rsidP="00F64776">
      <w:pPr>
        <w:pStyle w:val="TextoNormalCentrado"/>
      </w:pPr>
      <w:r>
        <w:t>ECLI:ES:TC:2023:496A</w:t>
      </w:r>
    </w:p>
    <w:p w14:paraId="2A3F1FEF" w14:textId="52B8E3D9" w:rsidR="00F64776" w:rsidRDefault="00F64776" w:rsidP="00F64776">
      <w:pPr>
        <w:pStyle w:val="TextoNormalCentrado"/>
      </w:pPr>
    </w:p>
    <w:p w14:paraId="5A6DA56C" w14:textId="77777777" w:rsidR="00F64776" w:rsidRDefault="00F64776" w:rsidP="00F64776">
      <w:pPr>
        <w:pStyle w:val="SntesisDescriptiva"/>
      </w:pPr>
      <w:r>
        <w:t>Excms. Srs. doña Inmaculada Montalbán Huertas y doña Laura Díez Bueso.</w:t>
      </w:r>
    </w:p>
    <w:p w14:paraId="685096A4" w14:textId="76B0099C" w:rsidR="00F64776" w:rsidRDefault="00F64776" w:rsidP="00F64776">
      <w:pPr>
        <w:pStyle w:val="SntesisDescriptiva"/>
      </w:pPr>
    </w:p>
    <w:p w14:paraId="2A97FD1A" w14:textId="77777777" w:rsidR="00F64776" w:rsidRDefault="00F64776" w:rsidP="00F64776">
      <w:pPr>
        <w:pStyle w:val="SntesisDescriptiva"/>
      </w:pPr>
      <w:r>
        <w:t>Acepta una abstención en el recurso de amparo 7004-2022, promovido en proceso contencioso administrativo.</w:t>
      </w:r>
    </w:p>
    <w:p w14:paraId="191D1E90" w14:textId="0D2A4B50" w:rsidR="00F64776" w:rsidRDefault="00F64776" w:rsidP="00F64776">
      <w:pPr>
        <w:pStyle w:val="SntesisDescriptiva"/>
      </w:pPr>
    </w:p>
    <w:p w14:paraId="54B7606F" w14:textId="77777777" w:rsidR="00F64776" w:rsidRDefault="00F64776" w:rsidP="00F64776">
      <w:pPr>
        <w:pStyle w:val="SntesisDescriptiva"/>
      </w:pPr>
    </w:p>
    <w:p w14:paraId="5DB7AA26" w14:textId="77777777" w:rsidR="00F64776" w:rsidRDefault="00F64776" w:rsidP="00F64776">
      <w:pPr>
        <w:pStyle w:val="SntesisDescriptiva"/>
      </w:pPr>
    </w:p>
    <w:p w14:paraId="2492768D" w14:textId="77777777" w:rsidR="00F64776" w:rsidRDefault="00F64776" w:rsidP="00F64776">
      <w:pPr>
        <w:pStyle w:val="TextoNormalNegritaCentrado"/>
      </w:pPr>
      <w:r>
        <w:t>AUTO</w:t>
      </w:r>
    </w:p>
    <w:p w14:paraId="205D539F" w14:textId="375DCD1C" w:rsidR="00F64776" w:rsidRDefault="00F64776" w:rsidP="00F64776">
      <w:pPr>
        <w:pStyle w:val="TextoNormalNegritaCentrado"/>
      </w:pPr>
    </w:p>
    <w:p w14:paraId="7E1E97BA" w14:textId="77777777" w:rsidR="00F64776" w:rsidRDefault="00F64776" w:rsidP="00F64776">
      <w:pPr>
        <w:pStyle w:val="TextoNormalNegritaCentrado"/>
        <w:keepNext/>
      </w:pPr>
      <w:r>
        <w:t>I. Antecedentes</w:t>
      </w:r>
    </w:p>
    <w:p w14:paraId="5A14BCEE" w14:textId="68A0DBD6" w:rsidR="00F64776" w:rsidRDefault="00F64776" w:rsidP="00F64776">
      <w:pPr>
        <w:pStyle w:val="TextoNormalNegritaCentrado"/>
        <w:keepNext/>
      </w:pPr>
    </w:p>
    <w:p w14:paraId="7058E1A4" w14:textId="3C443487" w:rsidR="00F64776" w:rsidRDefault="00F64776" w:rsidP="00F64776">
      <w:pPr>
        <w:pStyle w:val="TextoNormal"/>
      </w:pPr>
      <w:r w:rsidRPr="00F64776">
        <w:rPr>
          <w:rStyle w:val="NumeroAFNegritaCaracter"/>
        </w:rPr>
        <w:t>1</w:t>
      </w:r>
      <w:r>
        <w:t>. Mediante escrito registrado en este tribunal el 27 de octubre de 2022, el procurador de los tribunales don Ginés Saura García, en nombre y representación de don Bayron José Escoto Campos y bajo la dirección de la letrada doña María del Mar Pastor González, formuló demanda de amparo contra la providencia de 26 de octubre de 2022 de la Sección Primera de la Sala de lo Contencioso-Administrativo del Tribunal Supremo en recurso de casación núm. 6049-2022.</w:t>
      </w:r>
    </w:p>
    <w:p w14:paraId="565B3070" w14:textId="77777777" w:rsidR="00F64776" w:rsidRDefault="00F64776" w:rsidP="00F64776">
      <w:pPr>
        <w:pStyle w:val="TextoNormal"/>
      </w:pPr>
    </w:p>
    <w:p w14:paraId="4C0AAA6E" w14:textId="3813D380" w:rsidR="00F64776" w:rsidRDefault="00F64776" w:rsidP="00F64776">
      <w:pPr>
        <w:pStyle w:val="TextoNormal"/>
      </w:pPr>
      <w:r w:rsidRPr="00F64776">
        <w:rPr>
          <w:rStyle w:val="NumeroAFNegritaCaracter"/>
        </w:rPr>
        <w:t>2</w:t>
      </w:r>
      <w:r>
        <w:t>. Por escrito de 17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4DC31419" w14:textId="77777777" w:rsidR="00F64776" w:rsidRDefault="00F64776" w:rsidP="00F64776">
      <w:pPr>
        <w:pStyle w:val="TextoNormal"/>
      </w:pPr>
    </w:p>
    <w:p w14:paraId="3FF7B9F6" w14:textId="77777777" w:rsidR="00F64776" w:rsidRDefault="00F64776" w:rsidP="00F64776">
      <w:pPr>
        <w:pStyle w:val="TextoNormalNegritaCentrado"/>
        <w:keepNext/>
      </w:pPr>
      <w:r>
        <w:t>II. Fundamentos jurídicos</w:t>
      </w:r>
    </w:p>
    <w:p w14:paraId="65B3670B" w14:textId="2E850403" w:rsidR="00F64776" w:rsidRDefault="00F64776" w:rsidP="00F64776">
      <w:pPr>
        <w:pStyle w:val="TextoNormalNegritaCentrado"/>
        <w:keepNext/>
      </w:pPr>
    </w:p>
    <w:p w14:paraId="048A55B1" w14:textId="669BAD45"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78E31618" w14:textId="77777777" w:rsidR="00F64776" w:rsidRDefault="00F64776" w:rsidP="00F64776">
      <w:pPr>
        <w:pStyle w:val="TextoNormal"/>
      </w:pPr>
    </w:p>
    <w:p w14:paraId="0D9DB738" w14:textId="77777777" w:rsidR="00F64776" w:rsidRDefault="00F64776" w:rsidP="00F64776">
      <w:pPr>
        <w:pStyle w:val="TextoNormal"/>
      </w:pPr>
      <w:r>
        <w:t>Por lo expuesto, la Sección</w:t>
      </w:r>
    </w:p>
    <w:p w14:paraId="5EB9D6DD" w14:textId="1A74CB08" w:rsidR="00F64776" w:rsidRDefault="00F64776" w:rsidP="00F64776">
      <w:pPr>
        <w:pStyle w:val="TextoNormal"/>
      </w:pPr>
    </w:p>
    <w:p w14:paraId="0B18C3C8" w14:textId="77777777" w:rsidR="00F64776" w:rsidRDefault="00F64776" w:rsidP="00F64776">
      <w:pPr>
        <w:pStyle w:val="TextoNormalCentrado"/>
      </w:pPr>
      <w:r>
        <w:t>ACUERDA</w:t>
      </w:r>
    </w:p>
    <w:p w14:paraId="625DDB65" w14:textId="45B6A65B" w:rsidR="00F64776" w:rsidRDefault="00F64776" w:rsidP="00F64776">
      <w:pPr>
        <w:pStyle w:val="TextoNormalCentrado"/>
      </w:pPr>
    </w:p>
    <w:p w14:paraId="1344926B" w14:textId="48B1DFD2" w:rsidR="00F64776" w:rsidRDefault="00F64776" w:rsidP="00F64776">
      <w:pPr>
        <w:pStyle w:val="TextoNormal"/>
      </w:pPr>
      <w:r>
        <w:t>Estimar justificada la abstención formulada por el magistrado señor don César Tolosa Tribiño en el recurso de amparo núm. 7004-2022 y apartarle definitivamente del conocimiento del referido recurso y de todas sus incidencias.</w:t>
      </w:r>
    </w:p>
    <w:p w14:paraId="57C4A094" w14:textId="77777777" w:rsidR="00F64776" w:rsidRDefault="00F64776" w:rsidP="00F64776">
      <w:pPr>
        <w:pStyle w:val="TextoNormal"/>
      </w:pPr>
    </w:p>
    <w:p w14:paraId="29703BA8" w14:textId="77777777" w:rsidR="00F64776" w:rsidRDefault="00F64776" w:rsidP="00F64776">
      <w:pPr>
        <w:pStyle w:val="TextoNormal"/>
      </w:pPr>
      <w:r>
        <w:t>Madrid, a dos de noviembre de dos mil veintitrés.</w:t>
      </w:r>
    </w:p>
    <w:p w14:paraId="04EC1092" w14:textId="6F4457ED" w:rsidR="00F64776" w:rsidRDefault="00F64776">
      <w:pPr>
        <w:spacing w:after="160" w:line="278" w:lineRule="auto"/>
        <w:rPr>
          <w:rFonts w:ascii="Times New Roman" w:eastAsia="Times New Roman" w:hAnsi="Times New Roman" w:cs="Times New Roman"/>
          <w:sz w:val="24"/>
          <w:szCs w:val="24"/>
          <w:lang w:eastAsia="es-ES"/>
        </w:rPr>
      </w:pPr>
      <w:r>
        <w:br w:type="page"/>
      </w:r>
    </w:p>
    <w:p w14:paraId="4FC76FDB" w14:textId="77777777" w:rsidR="00F64776" w:rsidRDefault="00F64776" w:rsidP="00F64776">
      <w:pPr>
        <w:pStyle w:val="TtuloResolucin"/>
      </w:pPr>
      <w:bookmarkStart w:id="282" w:name="AUTO_2023_497"/>
      <w:r>
        <w:t>AUTO 497/2023, de 2 de noviembre de 2023</w:t>
      </w:r>
    </w:p>
    <w:bookmarkEnd w:id="282"/>
    <w:p w14:paraId="4A14330A" w14:textId="77777777" w:rsidR="00F64776" w:rsidRDefault="00F64776" w:rsidP="00F64776">
      <w:pPr>
        <w:pStyle w:val="TtuloResolucin"/>
      </w:pPr>
      <w:r>
        <w:t>Sección Tercera</w:t>
      </w:r>
    </w:p>
    <w:p w14:paraId="3A43F973" w14:textId="77777777" w:rsidR="00F64776" w:rsidRDefault="00F64776" w:rsidP="00F64776">
      <w:pPr>
        <w:pStyle w:val="TextoNormalCentrado"/>
      </w:pPr>
      <w:r>
        <w:t>ECLI:ES:TC:2023:497A</w:t>
      </w:r>
    </w:p>
    <w:p w14:paraId="33055CFF" w14:textId="6FCD83BE" w:rsidR="00F64776" w:rsidRDefault="00F64776" w:rsidP="00F64776">
      <w:pPr>
        <w:pStyle w:val="TextoNormalCentrado"/>
      </w:pPr>
    </w:p>
    <w:p w14:paraId="6F8BD1DC" w14:textId="77777777" w:rsidR="00F64776" w:rsidRDefault="00F64776" w:rsidP="00F64776">
      <w:pPr>
        <w:pStyle w:val="SntesisDescriptiva"/>
      </w:pPr>
      <w:r>
        <w:t>Excms. Srs. doña Inmaculada Montalbán Huertas y doña Laura Díez Bueso.</w:t>
      </w:r>
    </w:p>
    <w:p w14:paraId="4CF97414" w14:textId="18E6F683" w:rsidR="00F64776" w:rsidRDefault="00F64776" w:rsidP="00F64776">
      <w:pPr>
        <w:pStyle w:val="SntesisDescriptiva"/>
      </w:pPr>
    </w:p>
    <w:p w14:paraId="46BBABE8" w14:textId="77777777" w:rsidR="00F64776" w:rsidRDefault="00F64776" w:rsidP="00F64776">
      <w:pPr>
        <w:pStyle w:val="SntesisDescriptiva"/>
      </w:pPr>
      <w:r>
        <w:t>Acepta una abstención en el recurso de amparo 7102-2022, promovido en proceso contencioso administrativo.</w:t>
      </w:r>
    </w:p>
    <w:p w14:paraId="7B8D851F" w14:textId="7F38F27D" w:rsidR="00F64776" w:rsidRDefault="00F64776" w:rsidP="00F64776">
      <w:pPr>
        <w:pStyle w:val="SntesisDescriptiva"/>
      </w:pPr>
    </w:p>
    <w:p w14:paraId="38AF1CD5" w14:textId="77777777" w:rsidR="00F64776" w:rsidRDefault="00F64776" w:rsidP="00F64776">
      <w:pPr>
        <w:pStyle w:val="SntesisDescriptiva"/>
      </w:pPr>
    </w:p>
    <w:p w14:paraId="495BAA12" w14:textId="77777777" w:rsidR="00F64776" w:rsidRDefault="00F64776" w:rsidP="00F64776">
      <w:pPr>
        <w:pStyle w:val="SntesisDescriptiva"/>
      </w:pPr>
    </w:p>
    <w:p w14:paraId="0EBB403A" w14:textId="77777777" w:rsidR="00F64776" w:rsidRDefault="00F64776" w:rsidP="00F64776">
      <w:pPr>
        <w:pStyle w:val="TextoNormalNegritaCentrado"/>
      </w:pPr>
      <w:r>
        <w:t>AUTO</w:t>
      </w:r>
    </w:p>
    <w:p w14:paraId="1DEA781B" w14:textId="470E6811" w:rsidR="00F64776" w:rsidRDefault="00F64776" w:rsidP="00F64776">
      <w:pPr>
        <w:pStyle w:val="TextoNormalNegritaCentrado"/>
      </w:pPr>
    </w:p>
    <w:p w14:paraId="1E442C2C" w14:textId="77777777" w:rsidR="00F64776" w:rsidRDefault="00F64776" w:rsidP="00F64776">
      <w:pPr>
        <w:pStyle w:val="TextoNormalNegritaCentrado"/>
        <w:keepNext/>
      </w:pPr>
      <w:r>
        <w:t>I. Antecedentes</w:t>
      </w:r>
    </w:p>
    <w:p w14:paraId="63D4EAA1" w14:textId="7A3A00F8" w:rsidR="00F64776" w:rsidRDefault="00F64776" w:rsidP="00F64776">
      <w:pPr>
        <w:pStyle w:val="TextoNormalNegritaCentrado"/>
        <w:keepNext/>
      </w:pPr>
    </w:p>
    <w:p w14:paraId="783472F7" w14:textId="115BAD9B" w:rsidR="00F64776" w:rsidRDefault="00F64776" w:rsidP="00F64776">
      <w:pPr>
        <w:pStyle w:val="TextoNormal"/>
      </w:pPr>
      <w:r w:rsidRPr="00F64776">
        <w:rPr>
          <w:rStyle w:val="NumeroAFNegritaCaracter"/>
        </w:rPr>
        <w:t>1</w:t>
      </w:r>
      <w:r>
        <w:t>. Mediante escrito registrado en este tribunal el 2 de noviembre de 2022, el procurador de los tribunales don Ángel Ortiz Enfedaque, en nombre y representación de la entidad Acciona Saltos de Agua, S.L., y bajo la dirección del letrado don Andrés Prieto Tenorio, formuló demanda de amparo contra las providencias de 31 de mayo de 2022 y 15 de septiembre de 2022 de la Sección Primera de la Sala de lo Contencioso-Administrativo del Tribunal Supremo en recurso de casación núm. 7870-2021.</w:t>
      </w:r>
    </w:p>
    <w:p w14:paraId="325E590F" w14:textId="77777777" w:rsidR="00F64776" w:rsidRDefault="00F64776" w:rsidP="00F64776">
      <w:pPr>
        <w:pStyle w:val="TextoNormal"/>
      </w:pPr>
    </w:p>
    <w:p w14:paraId="46835088" w14:textId="639EA6DC" w:rsidR="00F64776" w:rsidRDefault="00F64776" w:rsidP="00F64776">
      <w:pPr>
        <w:pStyle w:val="TextoNormal"/>
      </w:pPr>
      <w:r w:rsidRPr="00F64776">
        <w:rPr>
          <w:rStyle w:val="NumeroAFNegritaCaracter"/>
        </w:rPr>
        <w:t>2</w:t>
      </w:r>
      <w:r>
        <w:t>. Por escrito de 22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7C351384" w14:textId="77777777" w:rsidR="00F64776" w:rsidRDefault="00F64776" w:rsidP="00F64776">
      <w:pPr>
        <w:pStyle w:val="TextoNormal"/>
      </w:pPr>
    </w:p>
    <w:p w14:paraId="5691EC82" w14:textId="77777777" w:rsidR="00F64776" w:rsidRDefault="00F64776" w:rsidP="00F64776">
      <w:pPr>
        <w:pStyle w:val="TextoNormalNegritaCentrado"/>
        <w:keepNext/>
      </w:pPr>
      <w:r>
        <w:t>II. Fundamentos jurídicos</w:t>
      </w:r>
    </w:p>
    <w:p w14:paraId="31E62B51" w14:textId="66188ACE" w:rsidR="00F64776" w:rsidRDefault="00F64776" w:rsidP="00F64776">
      <w:pPr>
        <w:pStyle w:val="TextoNormalNegritaCentrado"/>
        <w:keepNext/>
      </w:pPr>
    </w:p>
    <w:p w14:paraId="0A0BAAC3" w14:textId="06E997E8"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0FCCC6FB" w14:textId="77777777" w:rsidR="00F64776" w:rsidRDefault="00F64776" w:rsidP="00F64776">
      <w:pPr>
        <w:pStyle w:val="TextoNormal"/>
      </w:pPr>
    </w:p>
    <w:p w14:paraId="29E9DC92" w14:textId="77777777" w:rsidR="00F64776" w:rsidRDefault="00F64776" w:rsidP="00F64776">
      <w:pPr>
        <w:pStyle w:val="TextoNormal"/>
      </w:pPr>
      <w:r>
        <w:t>Por lo expuesto, la Sección</w:t>
      </w:r>
    </w:p>
    <w:p w14:paraId="47C94275" w14:textId="0F07663D" w:rsidR="00F64776" w:rsidRDefault="00F64776" w:rsidP="00F64776">
      <w:pPr>
        <w:pStyle w:val="TextoNormal"/>
      </w:pPr>
    </w:p>
    <w:p w14:paraId="531F1279" w14:textId="77777777" w:rsidR="00F64776" w:rsidRDefault="00F64776" w:rsidP="00F64776">
      <w:pPr>
        <w:pStyle w:val="TextoNormalCentrado"/>
      </w:pPr>
      <w:r>
        <w:t>ACUERDA</w:t>
      </w:r>
    </w:p>
    <w:p w14:paraId="1F879220" w14:textId="2EFDA13B" w:rsidR="00F64776" w:rsidRDefault="00F64776" w:rsidP="00F64776">
      <w:pPr>
        <w:pStyle w:val="TextoNormalCentrado"/>
      </w:pPr>
    </w:p>
    <w:p w14:paraId="690F21F2" w14:textId="04963D86" w:rsidR="00F64776" w:rsidRDefault="00F64776" w:rsidP="00F64776">
      <w:pPr>
        <w:pStyle w:val="TextoNormal"/>
      </w:pPr>
      <w:r>
        <w:t>Estimar justificada la abstención formulada por el magistrado don César Tolosa Tribiño en el recurso de amparo núm. 7102-2022 y apartarle definitivamente del conocimiento del referido recurso y de todas sus incidencias.</w:t>
      </w:r>
    </w:p>
    <w:p w14:paraId="5C0EF8AD" w14:textId="77777777" w:rsidR="00F64776" w:rsidRDefault="00F64776" w:rsidP="00F64776">
      <w:pPr>
        <w:pStyle w:val="TextoNormal"/>
      </w:pPr>
    </w:p>
    <w:p w14:paraId="5C19BCC3" w14:textId="77777777" w:rsidR="00F64776" w:rsidRDefault="00F64776" w:rsidP="00F64776">
      <w:pPr>
        <w:pStyle w:val="TextoNormal"/>
      </w:pPr>
      <w:r>
        <w:t>Madrid, a dos de noviembre de dos mil veintitrés.</w:t>
      </w:r>
    </w:p>
    <w:p w14:paraId="4B7DF1FF" w14:textId="39B99981" w:rsidR="00F64776" w:rsidRDefault="00F64776">
      <w:pPr>
        <w:spacing w:after="160" w:line="278" w:lineRule="auto"/>
        <w:rPr>
          <w:rFonts w:ascii="Times New Roman" w:eastAsia="Times New Roman" w:hAnsi="Times New Roman" w:cs="Times New Roman"/>
          <w:sz w:val="24"/>
          <w:szCs w:val="24"/>
          <w:lang w:eastAsia="es-ES"/>
        </w:rPr>
      </w:pPr>
      <w:r>
        <w:br w:type="page"/>
      </w:r>
    </w:p>
    <w:p w14:paraId="4E96043C" w14:textId="77777777" w:rsidR="00F64776" w:rsidRDefault="00F64776" w:rsidP="00F64776">
      <w:pPr>
        <w:pStyle w:val="TtuloResolucin"/>
      </w:pPr>
      <w:bookmarkStart w:id="283" w:name="AUTO_2023_498"/>
      <w:r>
        <w:t>AUTO 498/2023, de 2 de noviembre de 2023</w:t>
      </w:r>
    </w:p>
    <w:bookmarkEnd w:id="283"/>
    <w:p w14:paraId="1A86D15D" w14:textId="77777777" w:rsidR="00F64776" w:rsidRDefault="00F64776" w:rsidP="00F64776">
      <w:pPr>
        <w:pStyle w:val="TtuloResolucin"/>
      </w:pPr>
      <w:r>
        <w:t>Sección Tercera</w:t>
      </w:r>
    </w:p>
    <w:p w14:paraId="2D823113" w14:textId="77777777" w:rsidR="00F64776" w:rsidRDefault="00F64776" w:rsidP="00F64776">
      <w:pPr>
        <w:pStyle w:val="TextoNormalCentrado"/>
      </w:pPr>
      <w:r>
        <w:t>ECLI:ES:TC:2023:498A</w:t>
      </w:r>
    </w:p>
    <w:p w14:paraId="33C9A441" w14:textId="59AF19EB" w:rsidR="00F64776" w:rsidRDefault="00F64776" w:rsidP="00F64776">
      <w:pPr>
        <w:pStyle w:val="TextoNormalCentrado"/>
      </w:pPr>
    </w:p>
    <w:p w14:paraId="7BFC1A51" w14:textId="77777777" w:rsidR="00F64776" w:rsidRDefault="00F64776" w:rsidP="00F64776">
      <w:pPr>
        <w:pStyle w:val="SntesisDescriptiva"/>
      </w:pPr>
      <w:r>
        <w:t>Excms. Srs. doña Inmaculada Montalbán Huertas y doña Laura Díez Bueso.</w:t>
      </w:r>
    </w:p>
    <w:p w14:paraId="57D4F707" w14:textId="2015B637" w:rsidR="00F64776" w:rsidRDefault="00F64776" w:rsidP="00F64776">
      <w:pPr>
        <w:pStyle w:val="SntesisDescriptiva"/>
      </w:pPr>
    </w:p>
    <w:p w14:paraId="152A4871" w14:textId="77777777" w:rsidR="00F64776" w:rsidRDefault="00F64776" w:rsidP="00F64776">
      <w:pPr>
        <w:pStyle w:val="SntesisDescriptiva"/>
      </w:pPr>
      <w:r>
        <w:t>Acepta una abstención en el recurso de amparo 7267-2022, promovido en proceso contencioso administrativo.</w:t>
      </w:r>
    </w:p>
    <w:p w14:paraId="13D5669E" w14:textId="7CCE65F4" w:rsidR="00F64776" w:rsidRDefault="00F64776" w:rsidP="00F64776">
      <w:pPr>
        <w:pStyle w:val="SntesisDescriptiva"/>
      </w:pPr>
    </w:p>
    <w:p w14:paraId="66FDFDB7" w14:textId="77777777" w:rsidR="00F64776" w:rsidRDefault="00F64776" w:rsidP="00F64776">
      <w:pPr>
        <w:pStyle w:val="SntesisDescriptiva"/>
      </w:pPr>
    </w:p>
    <w:p w14:paraId="19E850B8" w14:textId="77777777" w:rsidR="00F64776" w:rsidRDefault="00F64776" w:rsidP="00F64776">
      <w:pPr>
        <w:pStyle w:val="SntesisDescriptiva"/>
      </w:pPr>
    </w:p>
    <w:p w14:paraId="09DFB660" w14:textId="77777777" w:rsidR="00F64776" w:rsidRDefault="00F64776" w:rsidP="00F64776">
      <w:pPr>
        <w:pStyle w:val="TextoNormalNegritaCentrado"/>
      </w:pPr>
      <w:r>
        <w:t>AUTO</w:t>
      </w:r>
    </w:p>
    <w:p w14:paraId="1C432404" w14:textId="56C976CF" w:rsidR="00F64776" w:rsidRDefault="00F64776" w:rsidP="00F64776">
      <w:pPr>
        <w:pStyle w:val="TextoNormalNegritaCentrado"/>
      </w:pPr>
    </w:p>
    <w:p w14:paraId="5045904B" w14:textId="77777777" w:rsidR="00F64776" w:rsidRDefault="00F64776" w:rsidP="00F64776">
      <w:pPr>
        <w:pStyle w:val="TextoNormalNegritaCentrado"/>
        <w:keepNext/>
      </w:pPr>
      <w:r>
        <w:t>I. Antecedentes</w:t>
      </w:r>
    </w:p>
    <w:p w14:paraId="7D61CA05" w14:textId="2B900CBE" w:rsidR="00F64776" w:rsidRDefault="00F64776" w:rsidP="00F64776">
      <w:pPr>
        <w:pStyle w:val="TextoNormalNegritaCentrado"/>
        <w:keepNext/>
      </w:pPr>
    </w:p>
    <w:p w14:paraId="245BBD93" w14:textId="23221FFC" w:rsidR="00F64776" w:rsidRDefault="00F64776" w:rsidP="00F64776">
      <w:pPr>
        <w:pStyle w:val="TextoNormal"/>
      </w:pPr>
      <w:r w:rsidRPr="00F64776">
        <w:rPr>
          <w:rStyle w:val="NumeroAFNegritaCaracter"/>
        </w:rPr>
        <w:t>1</w:t>
      </w:r>
      <w:r>
        <w:t>. Mediante escrito registrado en este tribunal el 7 de noviembre de 2022, el procurador de los tribunales don Agustín Roberto Schiavón Raineri, en nombre y representación de don Rhonald Andrés Sanabria Lerma y bajo la dirección de la letrada doña María Pilar Martínez Albertos, formuló demanda de amparo contra la providencia de 5 de octubre de 2022 dictada por la Sección Primera de la Sala de lo Contencioso-Administrativo del Tribunal Supremo, en recurso de casación núm. 3896-2022 contra la sentencia de 2 de marzo de 2022 de la Sección Cuarta de la Sala de lo Contencioso-Administrativo de la Audiencia Nacional, procedimiento ordinario núm. 1661-2020.</w:t>
      </w:r>
    </w:p>
    <w:p w14:paraId="66325661" w14:textId="77777777" w:rsidR="00F64776" w:rsidRDefault="00F64776" w:rsidP="00F64776">
      <w:pPr>
        <w:pStyle w:val="TextoNormal"/>
      </w:pPr>
    </w:p>
    <w:p w14:paraId="17113E6C" w14:textId="58119952" w:rsidR="00F64776" w:rsidRDefault="00F64776" w:rsidP="00F64776">
      <w:pPr>
        <w:pStyle w:val="TextoNormal"/>
      </w:pPr>
      <w:r w:rsidRPr="00F64776">
        <w:rPr>
          <w:rStyle w:val="NumeroAFNegritaCaracter"/>
        </w:rPr>
        <w:t>2</w:t>
      </w:r>
      <w:r>
        <w:t>. Por escrito de 22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7CCB214A" w14:textId="77777777" w:rsidR="00F64776" w:rsidRDefault="00F64776" w:rsidP="00F64776">
      <w:pPr>
        <w:pStyle w:val="TextoNormal"/>
      </w:pPr>
    </w:p>
    <w:p w14:paraId="31C31E62" w14:textId="77777777" w:rsidR="00F64776" w:rsidRDefault="00F64776" w:rsidP="00F64776">
      <w:pPr>
        <w:pStyle w:val="TextoNormalNegritaCentrado"/>
        <w:keepNext/>
      </w:pPr>
      <w:r>
        <w:t>II. Fundamentos jurídicos</w:t>
      </w:r>
    </w:p>
    <w:p w14:paraId="18539EE6" w14:textId="5B03899C" w:rsidR="00F64776" w:rsidRDefault="00F64776" w:rsidP="00F64776">
      <w:pPr>
        <w:pStyle w:val="TextoNormalNegritaCentrado"/>
        <w:keepNext/>
      </w:pPr>
    </w:p>
    <w:p w14:paraId="5A0F39AC" w14:textId="2FECABAD"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2850D285" w14:textId="77777777" w:rsidR="00F64776" w:rsidRDefault="00F64776" w:rsidP="00F64776">
      <w:pPr>
        <w:pStyle w:val="TextoNormal"/>
      </w:pPr>
    </w:p>
    <w:p w14:paraId="3CB5B373" w14:textId="77777777" w:rsidR="00F64776" w:rsidRDefault="00F64776" w:rsidP="00F64776">
      <w:pPr>
        <w:pStyle w:val="TextoNormal"/>
      </w:pPr>
      <w:r>
        <w:t>Por lo expuesto, la Sección</w:t>
      </w:r>
    </w:p>
    <w:p w14:paraId="4F92AF19" w14:textId="49542900" w:rsidR="00F64776" w:rsidRDefault="00F64776" w:rsidP="00F64776">
      <w:pPr>
        <w:pStyle w:val="TextoNormal"/>
      </w:pPr>
    </w:p>
    <w:p w14:paraId="2A0523A3" w14:textId="77777777" w:rsidR="00F64776" w:rsidRDefault="00F64776" w:rsidP="00F64776">
      <w:pPr>
        <w:pStyle w:val="TextoNormalCentrado"/>
      </w:pPr>
      <w:r>
        <w:t>ACUERDA</w:t>
      </w:r>
    </w:p>
    <w:p w14:paraId="4F5DBD23" w14:textId="5A2DCC58" w:rsidR="00F64776" w:rsidRDefault="00F64776" w:rsidP="00F64776">
      <w:pPr>
        <w:pStyle w:val="TextoNormalCentrado"/>
      </w:pPr>
    </w:p>
    <w:p w14:paraId="49E60FFE" w14:textId="1A00655B" w:rsidR="00F64776" w:rsidRDefault="00F64776" w:rsidP="00F64776">
      <w:pPr>
        <w:pStyle w:val="TextoNormal"/>
      </w:pPr>
      <w:r>
        <w:t>Estimar justificada la abstención formulada por el magistrado don César Tolosa Tribiño en el recurso de amparo núm. 7267-2022 y apartarle definitivamente del conocimiento del referido recurso y de todas sus incidencias.</w:t>
      </w:r>
    </w:p>
    <w:p w14:paraId="70C0919D" w14:textId="77777777" w:rsidR="00F64776" w:rsidRDefault="00F64776" w:rsidP="00F64776">
      <w:pPr>
        <w:pStyle w:val="TextoNormal"/>
      </w:pPr>
    </w:p>
    <w:p w14:paraId="3D0C14DA" w14:textId="77777777" w:rsidR="00F64776" w:rsidRDefault="00F64776" w:rsidP="00F64776">
      <w:pPr>
        <w:pStyle w:val="TextoNormal"/>
      </w:pPr>
      <w:r>
        <w:t>Madrid, a dos de noviembre de dos mil veintitrés.</w:t>
      </w:r>
    </w:p>
    <w:p w14:paraId="7E1A1807" w14:textId="4A18CFD6" w:rsidR="00F64776" w:rsidRDefault="00F64776">
      <w:pPr>
        <w:spacing w:after="160" w:line="278" w:lineRule="auto"/>
        <w:rPr>
          <w:rFonts w:ascii="Times New Roman" w:eastAsia="Times New Roman" w:hAnsi="Times New Roman" w:cs="Times New Roman"/>
          <w:sz w:val="24"/>
          <w:szCs w:val="24"/>
          <w:lang w:eastAsia="es-ES"/>
        </w:rPr>
      </w:pPr>
      <w:r>
        <w:br w:type="page"/>
      </w:r>
    </w:p>
    <w:p w14:paraId="1630133C" w14:textId="77777777" w:rsidR="00F64776" w:rsidRDefault="00F64776" w:rsidP="00F64776">
      <w:pPr>
        <w:pStyle w:val="TtuloResolucin"/>
      </w:pPr>
      <w:bookmarkStart w:id="284" w:name="AUTO_2023_499"/>
      <w:r>
        <w:t>AUTO 499/2023, de 2 de noviembre de 2023</w:t>
      </w:r>
    </w:p>
    <w:bookmarkEnd w:id="284"/>
    <w:p w14:paraId="6953FAD8" w14:textId="77777777" w:rsidR="00F64776" w:rsidRDefault="00F64776" w:rsidP="00F64776">
      <w:pPr>
        <w:pStyle w:val="TtuloResolucin"/>
      </w:pPr>
      <w:r>
        <w:t>Sección Tercera</w:t>
      </w:r>
    </w:p>
    <w:p w14:paraId="3D76DC12" w14:textId="77777777" w:rsidR="00F64776" w:rsidRDefault="00F64776" w:rsidP="00F64776">
      <w:pPr>
        <w:pStyle w:val="TextoNormalCentrado"/>
      </w:pPr>
      <w:r>
        <w:t>ECLI:ES:TC:2023:499A</w:t>
      </w:r>
    </w:p>
    <w:p w14:paraId="6EEBEA18" w14:textId="6B808B8F" w:rsidR="00F64776" w:rsidRDefault="00F64776" w:rsidP="00F64776">
      <w:pPr>
        <w:pStyle w:val="TextoNormalCentrado"/>
      </w:pPr>
    </w:p>
    <w:p w14:paraId="404E00BF" w14:textId="77777777" w:rsidR="00F64776" w:rsidRDefault="00F64776" w:rsidP="00F64776">
      <w:pPr>
        <w:pStyle w:val="SntesisDescriptiva"/>
      </w:pPr>
      <w:r>
        <w:t>Excms. Srs. doña Inmaculada Montalbán Huertas y doña Laura Díez Bueso.</w:t>
      </w:r>
    </w:p>
    <w:p w14:paraId="24431C9D" w14:textId="3DAD66D0" w:rsidR="00F64776" w:rsidRDefault="00F64776" w:rsidP="00F64776">
      <w:pPr>
        <w:pStyle w:val="SntesisDescriptiva"/>
      </w:pPr>
    </w:p>
    <w:p w14:paraId="548AB6D8" w14:textId="77777777" w:rsidR="00F64776" w:rsidRDefault="00F64776" w:rsidP="00F64776">
      <w:pPr>
        <w:pStyle w:val="SntesisDescriptiva"/>
      </w:pPr>
      <w:r>
        <w:t>Acepta una abstención en el recurso de amparo 7303-2022, promovido en proceso contencioso administrativo.</w:t>
      </w:r>
    </w:p>
    <w:p w14:paraId="5FCF1BE8" w14:textId="276E7BA8" w:rsidR="00F64776" w:rsidRDefault="00F64776" w:rsidP="00F64776">
      <w:pPr>
        <w:pStyle w:val="SntesisDescriptiva"/>
      </w:pPr>
    </w:p>
    <w:p w14:paraId="44F75C8B" w14:textId="77777777" w:rsidR="00F64776" w:rsidRDefault="00F64776" w:rsidP="00F64776">
      <w:pPr>
        <w:pStyle w:val="SntesisDescriptiva"/>
      </w:pPr>
    </w:p>
    <w:p w14:paraId="5E4A728D" w14:textId="77777777" w:rsidR="00F64776" w:rsidRDefault="00F64776" w:rsidP="00F64776">
      <w:pPr>
        <w:pStyle w:val="SntesisDescriptiva"/>
      </w:pPr>
    </w:p>
    <w:p w14:paraId="172E1562" w14:textId="77777777" w:rsidR="00F64776" w:rsidRDefault="00F64776" w:rsidP="00F64776">
      <w:pPr>
        <w:pStyle w:val="TextoNormalNegritaCentrado"/>
      </w:pPr>
      <w:r>
        <w:t>AUTO</w:t>
      </w:r>
    </w:p>
    <w:p w14:paraId="1AF9F90B" w14:textId="02D3ECBF" w:rsidR="00F64776" w:rsidRDefault="00F64776" w:rsidP="00F64776">
      <w:pPr>
        <w:pStyle w:val="TextoNormalNegritaCentrado"/>
      </w:pPr>
    </w:p>
    <w:p w14:paraId="53B37354" w14:textId="77777777" w:rsidR="00F64776" w:rsidRDefault="00F64776" w:rsidP="00F64776">
      <w:pPr>
        <w:pStyle w:val="TextoNormalNegritaCentrado"/>
        <w:keepNext/>
      </w:pPr>
      <w:r>
        <w:t>I. Antecedentes</w:t>
      </w:r>
    </w:p>
    <w:p w14:paraId="162389D0" w14:textId="6C6AAE73" w:rsidR="00F64776" w:rsidRDefault="00F64776" w:rsidP="00F64776">
      <w:pPr>
        <w:pStyle w:val="TextoNormalNegritaCentrado"/>
        <w:keepNext/>
      </w:pPr>
    </w:p>
    <w:p w14:paraId="682BCE75" w14:textId="5037DF71" w:rsidR="00F64776" w:rsidRDefault="00F64776" w:rsidP="00F64776">
      <w:pPr>
        <w:pStyle w:val="TextoNormal"/>
      </w:pPr>
      <w:r w:rsidRPr="00F64776">
        <w:rPr>
          <w:rStyle w:val="NumeroAFNegritaCaracter"/>
        </w:rPr>
        <w:t>1</w:t>
      </w:r>
      <w:r>
        <w:t>. Mediante escrito registrado en este tribunal el 8 de noviembre de 2022, el procurador de los tribunales don Ángel Ortiz Enfedaque, en nombre y representación de la entidad Acciona Saltos de Agua, S.L., y bajo la dirección del letrado don Andrés Prieto Tenorio, formuló demanda de amparo contra la providencia de fecha 15 de septiembre de 2022, dictada por la Sección Primera de la Sala de lo Contencioso-Administrativo del Tribunal Supremo en recurso de casación núm. 7877-2021.</w:t>
      </w:r>
    </w:p>
    <w:p w14:paraId="00EC1091" w14:textId="77777777" w:rsidR="00F64776" w:rsidRDefault="00F64776" w:rsidP="00F64776">
      <w:pPr>
        <w:pStyle w:val="TextoNormal"/>
      </w:pPr>
    </w:p>
    <w:p w14:paraId="05EE5A60" w14:textId="426C981B" w:rsidR="00F64776" w:rsidRDefault="00F64776" w:rsidP="00F64776">
      <w:pPr>
        <w:pStyle w:val="TextoNormal"/>
      </w:pPr>
      <w:r w:rsidRPr="00F64776">
        <w:rPr>
          <w:rStyle w:val="NumeroAFNegritaCaracter"/>
        </w:rPr>
        <w:t>2</w:t>
      </w:r>
      <w:r>
        <w:t>. Por escrito de 22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2CE7C4CF" w14:textId="77777777" w:rsidR="00F64776" w:rsidRDefault="00F64776" w:rsidP="00F64776">
      <w:pPr>
        <w:pStyle w:val="TextoNormal"/>
      </w:pPr>
    </w:p>
    <w:p w14:paraId="433972CC" w14:textId="77777777" w:rsidR="00F64776" w:rsidRDefault="00F64776" w:rsidP="00F64776">
      <w:pPr>
        <w:pStyle w:val="TextoNormalNegritaCentrado"/>
        <w:keepNext/>
      </w:pPr>
      <w:r>
        <w:t>II. Fundamentos jurídicos</w:t>
      </w:r>
    </w:p>
    <w:p w14:paraId="11E5B06F" w14:textId="33AE5D2E" w:rsidR="00F64776" w:rsidRDefault="00F64776" w:rsidP="00F64776">
      <w:pPr>
        <w:pStyle w:val="TextoNormalNegritaCentrado"/>
        <w:keepNext/>
      </w:pPr>
    </w:p>
    <w:p w14:paraId="6BECAA99" w14:textId="1560EA4F"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04619FDE" w14:textId="77777777" w:rsidR="00F64776" w:rsidRDefault="00F64776" w:rsidP="00F64776">
      <w:pPr>
        <w:pStyle w:val="TextoNormal"/>
      </w:pPr>
    </w:p>
    <w:p w14:paraId="4C4657F2" w14:textId="77777777" w:rsidR="00F64776" w:rsidRDefault="00F64776" w:rsidP="00F64776">
      <w:pPr>
        <w:pStyle w:val="TextoNormal"/>
      </w:pPr>
      <w:r>
        <w:t>Por lo expuesto, la Sección</w:t>
      </w:r>
    </w:p>
    <w:p w14:paraId="70FC9389" w14:textId="24B4EF20" w:rsidR="00F64776" w:rsidRDefault="00F64776" w:rsidP="00F64776">
      <w:pPr>
        <w:pStyle w:val="TextoNormal"/>
      </w:pPr>
    </w:p>
    <w:p w14:paraId="22F3F505" w14:textId="77777777" w:rsidR="00F64776" w:rsidRDefault="00F64776" w:rsidP="00F64776">
      <w:pPr>
        <w:pStyle w:val="TextoNormalCentrado"/>
      </w:pPr>
      <w:r>
        <w:t>ACUERDA</w:t>
      </w:r>
    </w:p>
    <w:p w14:paraId="76076AB4" w14:textId="15957D48" w:rsidR="00F64776" w:rsidRDefault="00F64776" w:rsidP="00F64776">
      <w:pPr>
        <w:pStyle w:val="TextoNormalCentrado"/>
      </w:pPr>
    </w:p>
    <w:p w14:paraId="19204DCE" w14:textId="07559F06" w:rsidR="00F64776" w:rsidRDefault="00F64776" w:rsidP="00F64776">
      <w:pPr>
        <w:pStyle w:val="TextoNormal"/>
      </w:pPr>
      <w:r>
        <w:t>Estimar justificada la abstención formulada por el magistrado señor don César Tolosa Tribiño en el recurso de amparo núm. 7303-2022 y apartarle definitivamente del conocimiento del referido recurso y de todas sus incidencias.</w:t>
      </w:r>
    </w:p>
    <w:p w14:paraId="0ADFC7EF" w14:textId="77777777" w:rsidR="00F64776" w:rsidRDefault="00F64776" w:rsidP="00F64776">
      <w:pPr>
        <w:pStyle w:val="TextoNormal"/>
      </w:pPr>
    </w:p>
    <w:p w14:paraId="77400BAD" w14:textId="77777777" w:rsidR="00F64776" w:rsidRDefault="00F64776" w:rsidP="00F64776">
      <w:pPr>
        <w:pStyle w:val="TextoNormal"/>
      </w:pPr>
      <w:r>
        <w:t>Madrid, a dos de noviembre de dos mil veintitrés.</w:t>
      </w:r>
    </w:p>
    <w:p w14:paraId="5EA2F6A4" w14:textId="2CDCCBB8" w:rsidR="00F64776" w:rsidRDefault="00F64776">
      <w:pPr>
        <w:spacing w:after="160" w:line="278" w:lineRule="auto"/>
        <w:rPr>
          <w:rFonts w:ascii="Times New Roman" w:eastAsia="Times New Roman" w:hAnsi="Times New Roman" w:cs="Times New Roman"/>
          <w:sz w:val="24"/>
          <w:szCs w:val="24"/>
          <w:lang w:eastAsia="es-ES"/>
        </w:rPr>
      </w:pPr>
      <w:r>
        <w:br w:type="page"/>
      </w:r>
    </w:p>
    <w:p w14:paraId="6FCB0D80" w14:textId="77777777" w:rsidR="00F64776" w:rsidRDefault="00F64776" w:rsidP="00F64776">
      <w:pPr>
        <w:pStyle w:val="TtuloResolucin"/>
      </w:pPr>
      <w:bookmarkStart w:id="285" w:name="AUTO_2023_500"/>
      <w:r>
        <w:t>AUTO 500/2023, de 2 de noviembre de 2023</w:t>
      </w:r>
    </w:p>
    <w:bookmarkEnd w:id="285"/>
    <w:p w14:paraId="1DD7FFC5" w14:textId="77777777" w:rsidR="00F64776" w:rsidRDefault="00F64776" w:rsidP="00F64776">
      <w:pPr>
        <w:pStyle w:val="TtuloResolucin"/>
      </w:pPr>
      <w:r>
        <w:t>Sección Tercera</w:t>
      </w:r>
    </w:p>
    <w:p w14:paraId="12B7973F" w14:textId="77777777" w:rsidR="00F64776" w:rsidRDefault="00F64776" w:rsidP="00F64776">
      <w:pPr>
        <w:pStyle w:val="TextoNormalCentrado"/>
      </w:pPr>
      <w:r>
        <w:t>ECLI:ES:TC:2023:500A</w:t>
      </w:r>
    </w:p>
    <w:p w14:paraId="659E3931" w14:textId="0204F1A9" w:rsidR="00F64776" w:rsidRDefault="00F64776" w:rsidP="00F64776">
      <w:pPr>
        <w:pStyle w:val="TextoNormalCentrado"/>
      </w:pPr>
    </w:p>
    <w:p w14:paraId="4448B642" w14:textId="77777777" w:rsidR="00F64776" w:rsidRDefault="00F64776" w:rsidP="00F64776">
      <w:pPr>
        <w:pStyle w:val="SntesisDescriptiva"/>
      </w:pPr>
      <w:r>
        <w:t>Excms. Srs. doña Inmaculada Montalbán Huertas y doña Laura Díez Bueso.</w:t>
      </w:r>
    </w:p>
    <w:p w14:paraId="00C998CD" w14:textId="50F78F7E" w:rsidR="00F64776" w:rsidRDefault="00F64776" w:rsidP="00F64776">
      <w:pPr>
        <w:pStyle w:val="SntesisDescriptiva"/>
      </w:pPr>
    </w:p>
    <w:p w14:paraId="07C4F1C3" w14:textId="77777777" w:rsidR="00F64776" w:rsidRDefault="00F64776" w:rsidP="00F64776">
      <w:pPr>
        <w:pStyle w:val="SntesisDescriptiva"/>
      </w:pPr>
      <w:r>
        <w:t>Acepta una abstención en el recurso de amparo 7452-2022, promovido en proceso contencioso administrativo.</w:t>
      </w:r>
    </w:p>
    <w:p w14:paraId="14BDC68A" w14:textId="4F76486A" w:rsidR="00F64776" w:rsidRDefault="00F64776" w:rsidP="00F64776">
      <w:pPr>
        <w:pStyle w:val="SntesisDescriptiva"/>
      </w:pPr>
    </w:p>
    <w:p w14:paraId="02A4962F" w14:textId="77777777" w:rsidR="00F64776" w:rsidRDefault="00F64776" w:rsidP="00F64776">
      <w:pPr>
        <w:pStyle w:val="SntesisDescriptiva"/>
      </w:pPr>
    </w:p>
    <w:p w14:paraId="62092169" w14:textId="77777777" w:rsidR="00F64776" w:rsidRDefault="00F64776" w:rsidP="00F64776">
      <w:pPr>
        <w:pStyle w:val="SntesisDescriptiva"/>
      </w:pPr>
    </w:p>
    <w:p w14:paraId="28ED29A0" w14:textId="77777777" w:rsidR="00F64776" w:rsidRDefault="00F64776" w:rsidP="00F64776">
      <w:pPr>
        <w:pStyle w:val="TextoNormalNegritaCentrado"/>
      </w:pPr>
      <w:r>
        <w:t>AUTO</w:t>
      </w:r>
    </w:p>
    <w:p w14:paraId="1C3FA4AA" w14:textId="509CC2E2" w:rsidR="00F64776" w:rsidRDefault="00F64776" w:rsidP="00F64776">
      <w:pPr>
        <w:pStyle w:val="TextoNormalNegritaCentrado"/>
      </w:pPr>
    </w:p>
    <w:p w14:paraId="03C667A4" w14:textId="77777777" w:rsidR="00F64776" w:rsidRDefault="00F64776" w:rsidP="00F64776">
      <w:pPr>
        <w:pStyle w:val="TextoNormalNegritaCentrado"/>
        <w:keepNext/>
      </w:pPr>
      <w:r>
        <w:t>I. Antecedentes</w:t>
      </w:r>
    </w:p>
    <w:p w14:paraId="67F4A97E" w14:textId="30172A81" w:rsidR="00F64776" w:rsidRDefault="00F64776" w:rsidP="00F64776">
      <w:pPr>
        <w:pStyle w:val="TextoNormalNegritaCentrado"/>
        <w:keepNext/>
      </w:pPr>
    </w:p>
    <w:p w14:paraId="3B28F201" w14:textId="167B7723" w:rsidR="00F64776" w:rsidRDefault="00F64776" w:rsidP="00F64776">
      <w:pPr>
        <w:pStyle w:val="TextoNormal"/>
      </w:pPr>
      <w:r w:rsidRPr="00F64776">
        <w:rPr>
          <w:rStyle w:val="NumeroAFNegritaCaracter"/>
        </w:rPr>
        <w:t>1</w:t>
      </w:r>
      <w:r>
        <w:t>. Mediante escrito registrado en este tribunal el 14 de noviembre de 2022, la procuradora de los tribunales doña Sofía Pereda Gil, en nombre y representación de don Wilmer Caicedo Lucumi y bajo la dirección del letrado don Luis María Chamorro Coronado, formuló demanda de amparo contra la providencia de la Sección Primera de la Sala de lo Contencioso-Administrativo del Tribunal Supremo en recurso de casación núm. 4208-2022.</w:t>
      </w:r>
    </w:p>
    <w:p w14:paraId="339AE817" w14:textId="77777777" w:rsidR="00F64776" w:rsidRDefault="00F64776" w:rsidP="00F64776">
      <w:pPr>
        <w:pStyle w:val="TextoNormal"/>
      </w:pPr>
    </w:p>
    <w:p w14:paraId="559D4EEC" w14:textId="305F1848" w:rsidR="00F64776" w:rsidRDefault="00F64776" w:rsidP="00F64776">
      <w:pPr>
        <w:pStyle w:val="TextoNormal"/>
      </w:pPr>
      <w:r w:rsidRPr="00F64776">
        <w:rPr>
          <w:rStyle w:val="NumeroAFNegritaCaracter"/>
        </w:rPr>
        <w:t>2</w:t>
      </w:r>
      <w:r>
        <w:t>. Por escrito de 22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0D31CDBE" w14:textId="77777777" w:rsidR="00F64776" w:rsidRDefault="00F64776" w:rsidP="00F64776">
      <w:pPr>
        <w:pStyle w:val="TextoNormal"/>
      </w:pPr>
    </w:p>
    <w:p w14:paraId="6758BB27" w14:textId="77777777" w:rsidR="00F64776" w:rsidRDefault="00F64776" w:rsidP="00F64776">
      <w:pPr>
        <w:pStyle w:val="TextoNormalNegritaCentrado"/>
        <w:keepNext/>
      </w:pPr>
      <w:r>
        <w:t>II. Fundamentos jurídicos</w:t>
      </w:r>
    </w:p>
    <w:p w14:paraId="29496E96" w14:textId="01244431" w:rsidR="00F64776" w:rsidRDefault="00F64776" w:rsidP="00F64776">
      <w:pPr>
        <w:pStyle w:val="TextoNormalNegritaCentrado"/>
        <w:keepNext/>
      </w:pPr>
    </w:p>
    <w:p w14:paraId="64A50CA3" w14:textId="5778B503"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3DABC108" w14:textId="77777777" w:rsidR="00F64776" w:rsidRDefault="00F64776" w:rsidP="00F64776">
      <w:pPr>
        <w:pStyle w:val="TextoNormal"/>
      </w:pPr>
    </w:p>
    <w:p w14:paraId="0708A26A" w14:textId="77777777" w:rsidR="00F64776" w:rsidRDefault="00F64776" w:rsidP="00F64776">
      <w:pPr>
        <w:pStyle w:val="TextoNormal"/>
      </w:pPr>
      <w:r>
        <w:t>Por lo expuesto, la Sección</w:t>
      </w:r>
    </w:p>
    <w:p w14:paraId="3CA59E98" w14:textId="38C20A0F" w:rsidR="00F64776" w:rsidRDefault="00F64776" w:rsidP="00F64776">
      <w:pPr>
        <w:pStyle w:val="TextoNormal"/>
      </w:pPr>
    </w:p>
    <w:p w14:paraId="0BF4F94A" w14:textId="77777777" w:rsidR="00F64776" w:rsidRDefault="00F64776" w:rsidP="00F64776">
      <w:pPr>
        <w:pStyle w:val="TextoNormalCentrado"/>
      </w:pPr>
      <w:r>
        <w:t>ACUERDA</w:t>
      </w:r>
    </w:p>
    <w:p w14:paraId="477B8D8D" w14:textId="69F23555" w:rsidR="00F64776" w:rsidRDefault="00F64776" w:rsidP="00F64776">
      <w:pPr>
        <w:pStyle w:val="TextoNormalCentrado"/>
      </w:pPr>
    </w:p>
    <w:p w14:paraId="127C593B" w14:textId="4777F76D" w:rsidR="00F64776" w:rsidRDefault="00F64776" w:rsidP="00F64776">
      <w:pPr>
        <w:pStyle w:val="TextoNormal"/>
      </w:pPr>
      <w:r>
        <w:t>Estimar justificada la abstención formulada por el magistrado señor don César Tolosa Tribiño en el recurso de amparo núm. 7452-2022 y apartarle definitivamente del conocimiento del referido recurso y de todas sus incidencias.</w:t>
      </w:r>
    </w:p>
    <w:p w14:paraId="43AED045" w14:textId="77777777" w:rsidR="00F64776" w:rsidRDefault="00F64776" w:rsidP="00F64776">
      <w:pPr>
        <w:pStyle w:val="TextoNormal"/>
      </w:pPr>
    </w:p>
    <w:p w14:paraId="60F08287" w14:textId="77777777" w:rsidR="00F64776" w:rsidRDefault="00F64776" w:rsidP="00F64776">
      <w:pPr>
        <w:pStyle w:val="TextoNormal"/>
      </w:pPr>
      <w:r>
        <w:t>Madrid, a dos de noviembre de dos mil veintitrés.</w:t>
      </w:r>
    </w:p>
    <w:p w14:paraId="0A2EC373" w14:textId="3F0CC85A" w:rsidR="00F64776" w:rsidRDefault="00F64776">
      <w:pPr>
        <w:spacing w:after="160" w:line="278" w:lineRule="auto"/>
        <w:rPr>
          <w:rFonts w:ascii="Times New Roman" w:eastAsia="Times New Roman" w:hAnsi="Times New Roman" w:cs="Times New Roman"/>
          <w:sz w:val="24"/>
          <w:szCs w:val="24"/>
          <w:lang w:eastAsia="es-ES"/>
        </w:rPr>
      </w:pPr>
      <w:r>
        <w:br w:type="page"/>
      </w:r>
    </w:p>
    <w:p w14:paraId="5C3BA88C" w14:textId="77777777" w:rsidR="00F64776" w:rsidRDefault="00F64776" w:rsidP="00F64776">
      <w:pPr>
        <w:pStyle w:val="TtuloResolucin"/>
      </w:pPr>
      <w:bookmarkStart w:id="286" w:name="AUTO_2023_501"/>
      <w:r>
        <w:t>AUTO 501/2023, de 2 de noviembre de 2023</w:t>
      </w:r>
    </w:p>
    <w:bookmarkEnd w:id="286"/>
    <w:p w14:paraId="36672954" w14:textId="77777777" w:rsidR="00F64776" w:rsidRDefault="00F64776" w:rsidP="00F64776">
      <w:pPr>
        <w:pStyle w:val="TtuloResolucin"/>
      </w:pPr>
      <w:r>
        <w:t>Sección Tercera</w:t>
      </w:r>
    </w:p>
    <w:p w14:paraId="417948D9" w14:textId="77777777" w:rsidR="00F64776" w:rsidRDefault="00F64776" w:rsidP="00F64776">
      <w:pPr>
        <w:pStyle w:val="TextoNormalCentrado"/>
      </w:pPr>
      <w:r>
        <w:t>ECLI:ES:TC:2023:501A</w:t>
      </w:r>
    </w:p>
    <w:p w14:paraId="2E4577E0" w14:textId="3A148D30" w:rsidR="00F64776" w:rsidRDefault="00F64776" w:rsidP="00F64776">
      <w:pPr>
        <w:pStyle w:val="TextoNormalCentrado"/>
      </w:pPr>
    </w:p>
    <w:p w14:paraId="78F92C99" w14:textId="77777777" w:rsidR="00F64776" w:rsidRDefault="00F64776" w:rsidP="00F64776">
      <w:pPr>
        <w:pStyle w:val="SntesisDescriptiva"/>
      </w:pPr>
      <w:r>
        <w:t>Excms. Srs. doña Inmaculada Montalbán Huertas y doña Laura Díez Bueso.</w:t>
      </w:r>
    </w:p>
    <w:p w14:paraId="4780EF2C" w14:textId="38644007" w:rsidR="00F64776" w:rsidRDefault="00F64776" w:rsidP="00F64776">
      <w:pPr>
        <w:pStyle w:val="SntesisDescriptiva"/>
      </w:pPr>
    </w:p>
    <w:p w14:paraId="629C8C01" w14:textId="77777777" w:rsidR="00F64776" w:rsidRDefault="00F64776" w:rsidP="00F64776">
      <w:pPr>
        <w:pStyle w:val="SntesisDescriptiva"/>
      </w:pPr>
      <w:r>
        <w:t>Acepta una abstención en el recurso de amparo 7617-2022, promovido en proceso contencioso administrativo.</w:t>
      </w:r>
    </w:p>
    <w:p w14:paraId="63DA5039" w14:textId="4944772B" w:rsidR="00F64776" w:rsidRDefault="00F64776" w:rsidP="00F64776">
      <w:pPr>
        <w:pStyle w:val="SntesisDescriptiva"/>
      </w:pPr>
    </w:p>
    <w:p w14:paraId="5263D96E" w14:textId="77777777" w:rsidR="00F64776" w:rsidRDefault="00F64776" w:rsidP="00F64776">
      <w:pPr>
        <w:pStyle w:val="SntesisDescriptiva"/>
      </w:pPr>
    </w:p>
    <w:p w14:paraId="2075D057" w14:textId="77777777" w:rsidR="00F64776" w:rsidRDefault="00F64776" w:rsidP="00F64776">
      <w:pPr>
        <w:pStyle w:val="SntesisDescriptiva"/>
      </w:pPr>
    </w:p>
    <w:p w14:paraId="43ED0179" w14:textId="77777777" w:rsidR="00F64776" w:rsidRDefault="00F64776" w:rsidP="00F64776">
      <w:pPr>
        <w:pStyle w:val="TextoNormalNegritaCentrado"/>
      </w:pPr>
      <w:r>
        <w:t>AUTO</w:t>
      </w:r>
    </w:p>
    <w:p w14:paraId="17CF51D4" w14:textId="0782E738" w:rsidR="00F64776" w:rsidRDefault="00F64776" w:rsidP="00F64776">
      <w:pPr>
        <w:pStyle w:val="TextoNormalNegritaCentrado"/>
      </w:pPr>
    </w:p>
    <w:p w14:paraId="0B33BC41" w14:textId="77777777" w:rsidR="00F64776" w:rsidRDefault="00F64776" w:rsidP="00F64776">
      <w:pPr>
        <w:pStyle w:val="TextoNormalNegritaCentrado"/>
        <w:keepNext/>
      </w:pPr>
      <w:r>
        <w:t>I. Antecedentes</w:t>
      </w:r>
    </w:p>
    <w:p w14:paraId="6CE9D55F" w14:textId="61AB7EFE" w:rsidR="00F64776" w:rsidRDefault="00F64776" w:rsidP="00F64776">
      <w:pPr>
        <w:pStyle w:val="TextoNormalNegritaCentrado"/>
        <w:keepNext/>
      </w:pPr>
    </w:p>
    <w:p w14:paraId="0D4B0B28" w14:textId="4129641A" w:rsidR="00F64776" w:rsidRDefault="00F64776" w:rsidP="00F64776">
      <w:pPr>
        <w:pStyle w:val="TextoNormal"/>
      </w:pPr>
      <w:r w:rsidRPr="00F64776">
        <w:rPr>
          <w:rStyle w:val="NumeroAFNegritaCaracter"/>
        </w:rPr>
        <w:t>1</w:t>
      </w:r>
      <w:r>
        <w:t>. Mediante escrito registrado en este tribunal el 18 de noviembre de 2022, la procuradora de los tribunales doña Gloria Messa Teichman, en nombre y representación de la entidad Acciona Saltos de Agua S.L., y bajo la dirección del letrado don Andrés Prieto Tenorio, formuló demanda de amparo contra la providencia de 4 de octubre de 2022 de la Sección Primera de la Sala de lo Contencioso-Administrativo del Tribunal Supremo, en recurso de casación núm. 8125-2021.</w:t>
      </w:r>
    </w:p>
    <w:p w14:paraId="3E0369E9" w14:textId="77777777" w:rsidR="00F64776" w:rsidRDefault="00F64776" w:rsidP="00F64776">
      <w:pPr>
        <w:pStyle w:val="TextoNormal"/>
      </w:pPr>
    </w:p>
    <w:p w14:paraId="1FBB4099" w14:textId="2D7B9C76" w:rsidR="00F64776" w:rsidRDefault="00F64776" w:rsidP="00F64776">
      <w:pPr>
        <w:pStyle w:val="TextoNormal"/>
      </w:pPr>
      <w:r w:rsidRPr="00F64776">
        <w:rPr>
          <w:rStyle w:val="NumeroAFNegritaCaracter"/>
        </w:rPr>
        <w:t>2</w:t>
      </w:r>
      <w:r>
        <w:t>. Por escrito de 22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582D667F" w14:textId="77777777" w:rsidR="00F64776" w:rsidRDefault="00F64776" w:rsidP="00F64776">
      <w:pPr>
        <w:pStyle w:val="TextoNormal"/>
      </w:pPr>
    </w:p>
    <w:p w14:paraId="62BBCD53" w14:textId="77777777" w:rsidR="00F64776" w:rsidRDefault="00F64776" w:rsidP="00F64776">
      <w:pPr>
        <w:pStyle w:val="TextoNormalNegritaCentrado"/>
        <w:keepNext/>
      </w:pPr>
      <w:r>
        <w:t>II. Fundamentos jurídicos</w:t>
      </w:r>
    </w:p>
    <w:p w14:paraId="0C1D101D" w14:textId="51FFF08A" w:rsidR="00F64776" w:rsidRDefault="00F64776" w:rsidP="00F64776">
      <w:pPr>
        <w:pStyle w:val="TextoNormalNegritaCentrado"/>
        <w:keepNext/>
      </w:pPr>
    </w:p>
    <w:p w14:paraId="774A7425" w14:textId="5C193BA8"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1399AE2B" w14:textId="77777777" w:rsidR="00F64776" w:rsidRDefault="00F64776" w:rsidP="00F64776">
      <w:pPr>
        <w:pStyle w:val="TextoNormal"/>
      </w:pPr>
    </w:p>
    <w:p w14:paraId="4C84354D" w14:textId="77777777" w:rsidR="00F64776" w:rsidRDefault="00F64776" w:rsidP="00F64776">
      <w:pPr>
        <w:pStyle w:val="TextoNormal"/>
      </w:pPr>
      <w:r>
        <w:t>Por lo expuesto, la Sección</w:t>
      </w:r>
    </w:p>
    <w:p w14:paraId="74325949" w14:textId="4A983709" w:rsidR="00F64776" w:rsidRDefault="00F64776" w:rsidP="00F64776">
      <w:pPr>
        <w:pStyle w:val="TextoNormal"/>
      </w:pPr>
    </w:p>
    <w:p w14:paraId="768657CE" w14:textId="77777777" w:rsidR="00F64776" w:rsidRDefault="00F64776" w:rsidP="00F64776">
      <w:pPr>
        <w:pStyle w:val="TextoNormalCentrado"/>
      </w:pPr>
      <w:r>
        <w:t>ACUERDA</w:t>
      </w:r>
    </w:p>
    <w:p w14:paraId="349BFAFB" w14:textId="5EF84BF1" w:rsidR="00F64776" w:rsidRDefault="00F64776" w:rsidP="00F64776">
      <w:pPr>
        <w:pStyle w:val="TextoNormalCentrado"/>
      </w:pPr>
    </w:p>
    <w:p w14:paraId="4E8028E9" w14:textId="25AE4FDB" w:rsidR="00F64776" w:rsidRDefault="00F64776" w:rsidP="00F64776">
      <w:pPr>
        <w:pStyle w:val="TextoNormal"/>
      </w:pPr>
      <w:r>
        <w:t>Estimar justificada la abstención formulada por el magistrado don César Tolosa Tribiño en el recurso de amparo núm. 7617-2022 y apartarle definitivamente del conocimiento del referido recurso y de todas sus incidencias.</w:t>
      </w:r>
    </w:p>
    <w:p w14:paraId="790AC34F" w14:textId="77777777" w:rsidR="00F64776" w:rsidRDefault="00F64776" w:rsidP="00F64776">
      <w:pPr>
        <w:pStyle w:val="TextoNormal"/>
      </w:pPr>
    </w:p>
    <w:p w14:paraId="15557133" w14:textId="77777777" w:rsidR="00F64776" w:rsidRDefault="00F64776" w:rsidP="00F64776">
      <w:pPr>
        <w:pStyle w:val="TextoNormal"/>
      </w:pPr>
      <w:r>
        <w:t>Madrid, a dos de noviembre de dos mil veintitrés.</w:t>
      </w:r>
    </w:p>
    <w:p w14:paraId="1B459A8E" w14:textId="5846EB69" w:rsidR="00F64776" w:rsidRDefault="00F64776">
      <w:pPr>
        <w:spacing w:after="160" w:line="278" w:lineRule="auto"/>
        <w:rPr>
          <w:rFonts w:ascii="Times New Roman" w:eastAsia="Times New Roman" w:hAnsi="Times New Roman" w:cs="Times New Roman"/>
          <w:sz w:val="24"/>
          <w:szCs w:val="24"/>
          <w:lang w:eastAsia="es-ES"/>
        </w:rPr>
      </w:pPr>
      <w:r>
        <w:br w:type="page"/>
      </w:r>
    </w:p>
    <w:p w14:paraId="54657873" w14:textId="77777777" w:rsidR="00F64776" w:rsidRDefault="00F64776" w:rsidP="00F64776">
      <w:pPr>
        <w:pStyle w:val="TtuloResolucin"/>
      </w:pPr>
      <w:bookmarkStart w:id="287" w:name="AUTO_2023_502"/>
      <w:r>
        <w:t>AUTO 502/2023, de 2 de noviembre de 2023</w:t>
      </w:r>
    </w:p>
    <w:bookmarkEnd w:id="287"/>
    <w:p w14:paraId="1F90B36A" w14:textId="77777777" w:rsidR="00F64776" w:rsidRDefault="00F64776" w:rsidP="00F64776">
      <w:pPr>
        <w:pStyle w:val="TtuloResolucin"/>
      </w:pPr>
      <w:r>
        <w:t>Sección Tercera</w:t>
      </w:r>
    </w:p>
    <w:p w14:paraId="5097C9AF" w14:textId="77777777" w:rsidR="00F64776" w:rsidRDefault="00F64776" w:rsidP="00F64776">
      <w:pPr>
        <w:pStyle w:val="TextoNormalCentrado"/>
      </w:pPr>
      <w:r>
        <w:t>ECLI:ES:TC:2023:502A</w:t>
      </w:r>
    </w:p>
    <w:p w14:paraId="5C4E0307" w14:textId="37D71044" w:rsidR="00F64776" w:rsidRDefault="00F64776" w:rsidP="00F64776">
      <w:pPr>
        <w:pStyle w:val="TextoNormalCentrado"/>
      </w:pPr>
    </w:p>
    <w:p w14:paraId="0D326D12" w14:textId="77777777" w:rsidR="00F64776" w:rsidRDefault="00F64776" w:rsidP="00F64776">
      <w:pPr>
        <w:pStyle w:val="SntesisDescriptiva"/>
      </w:pPr>
      <w:r>
        <w:t>Excms. Srs. doña Inmaculada Montalbán Huertas y doña Laura Díez Bueso.</w:t>
      </w:r>
    </w:p>
    <w:p w14:paraId="50BE5D27" w14:textId="32088DBE" w:rsidR="00F64776" w:rsidRDefault="00F64776" w:rsidP="00F64776">
      <w:pPr>
        <w:pStyle w:val="SntesisDescriptiva"/>
      </w:pPr>
    </w:p>
    <w:p w14:paraId="32E6C159" w14:textId="77777777" w:rsidR="00F64776" w:rsidRDefault="00F64776" w:rsidP="00F64776">
      <w:pPr>
        <w:pStyle w:val="SntesisDescriptiva"/>
      </w:pPr>
      <w:r>
        <w:t>Acepta una abstención en el recurso de amparo 7663-2022, promovido en proceso contencioso administrativo.</w:t>
      </w:r>
    </w:p>
    <w:p w14:paraId="3AC4A478" w14:textId="24E6520F" w:rsidR="00F64776" w:rsidRDefault="00F64776" w:rsidP="00F64776">
      <w:pPr>
        <w:pStyle w:val="SntesisDescriptiva"/>
      </w:pPr>
    </w:p>
    <w:p w14:paraId="26874382" w14:textId="77777777" w:rsidR="00F64776" w:rsidRDefault="00F64776" w:rsidP="00F64776">
      <w:pPr>
        <w:pStyle w:val="SntesisDescriptiva"/>
      </w:pPr>
    </w:p>
    <w:p w14:paraId="57E989F5" w14:textId="77777777" w:rsidR="00F64776" w:rsidRDefault="00F64776" w:rsidP="00F64776">
      <w:pPr>
        <w:pStyle w:val="SntesisDescriptiva"/>
      </w:pPr>
    </w:p>
    <w:p w14:paraId="51728C2B" w14:textId="77777777" w:rsidR="00F64776" w:rsidRDefault="00F64776" w:rsidP="00F64776">
      <w:pPr>
        <w:pStyle w:val="TextoNormalNegritaCentrado"/>
      </w:pPr>
      <w:r>
        <w:t>AUTO</w:t>
      </w:r>
    </w:p>
    <w:p w14:paraId="1F5D83A0" w14:textId="618F4C64" w:rsidR="00F64776" w:rsidRDefault="00F64776" w:rsidP="00F64776">
      <w:pPr>
        <w:pStyle w:val="TextoNormalNegritaCentrado"/>
      </w:pPr>
    </w:p>
    <w:p w14:paraId="064053C9" w14:textId="77777777" w:rsidR="00F64776" w:rsidRDefault="00F64776" w:rsidP="00F64776">
      <w:pPr>
        <w:pStyle w:val="TextoNormalNegritaCentrado"/>
        <w:keepNext/>
      </w:pPr>
      <w:r>
        <w:t>I. Antecedentes</w:t>
      </w:r>
    </w:p>
    <w:p w14:paraId="0996BDD9" w14:textId="76FDEB7F" w:rsidR="00F64776" w:rsidRDefault="00F64776" w:rsidP="00F64776">
      <w:pPr>
        <w:pStyle w:val="TextoNormalNegritaCentrado"/>
        <w:keepNext/>
      </w:pPr>
    </w:p>
    <w:p w14:paraId="277F7A91" w14:textId="540C62A9" w:rsidR="00F64776" w:rsidRDefault="00F64776" w:rsidP="00F64776">
      <w:pPr>
        <w:pStyle w:val="TextoNormal"/>
      </w:pPr>
      <w:r w:rsidRPr="00F64776">
        <w:rPr>
          <w:rStyle w:val="NumeroAFNegritaCaracter"/>
        </w:rPr>
        <w:t>1</w:t>
      </w:r>
      <w:r>
        <w:t>. Mediante escrito registrado en este tribunal el 21 de noviembre de 2022, la procuradora de los tribunales doña Milagros Duret Argüello, en nombre y representación de doña Inés María Rodríguez Fernández y bajo la dirección de la letrada doña María del Pilar Fayos Mestre, formuló demanda de amparo contra la providencia de fecha 19 de octubre de 2022 dictada por la Sección Primera de la Sala de lo Contencioso-Administrativo del Tribunal Supremo en recurso de casación núm. 4116-2021 contra sentencia de la Sección Sexta de la Sala de lo Contencioso-Administrativo de la Audiencia Nacional, procedimiento ordinario núm. 144-2018.</w:t>
      </w:r>
    </w:p>
    <w:p w14:paraId="61B545FA" w14:textId="77777777" w:rsidR="00F64776" w:rsidRDefault="00F64776" w:rsidP="00F64776">
      <w:pPr>
        <w:pStyle w:val="TextoNormal"/>
      </w:pPr>
    </w:p>
    <w:p w14:paraId="7DBBFD98" w14:textId="0A489C16" w:rsidR="00F64776" w:rsidRDefault="00F64776" w:rsidP="00F64776">
      <w:pPr>
        <w:pStyle w:val="TextoNormal"/>
      </w:pPr>
      <w:r w:rsidRPr="00F64776">
        <w:rPr>
          <w:rStyle w:val="NumeroAFNegritaCaracter"/>
        </w:rPr>
        <w:t>2</w:t>
      </w:r>
      <w:r>
        <w:t>. Por escrito de 22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64E52A82" w14:textId="77777777" w:rsidR="00F64776" w:rsidRDefault="00F64776" w:rsidP="00F64776">
      <w:pPr>
        <w:pStyle w:val="TextoNormal"/>
      </w:pPr>
    </w:p>
    <w:p w14:paraId="227109AE" w14:textId="77777777" w:rsidR="00F64776" w:rsidRDefault="00F64776" w:rsidP="00F64776">
      <w:pPr>
        <w:pStyle w:val="TextoNormalNegritaCentrado"/>
        <w:keepNext/>
      </w:pPr>
      <w:r>
        <w:t>II. Fundamentos jurídicos</w:t>
      </w:r>
    </w:p>
    <w:p w14:paraId="05D419DF" w14:textId="34F126FA" w:rsidR="00F64776" w:rsidRDefault="00F64776" w:rsidP="00F64776">
      <w:pPr>
        <w:pStyle w:val="TextoNormalNegritaCentrado"/>
        <w:keepNext/>
      </w:pPr>
    </w:p>
    <w:p w14:paraId="03B8C65B" w14:textId="6CE60B5F"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067F9D99" w14:textId="77777777" w:rsidR="00F64776" w:rsidRDefault="00F64776" w:rsidP="00F64776">
      <w:pPr>
        <w:pStyle w:val="TextoNormal"/>
      </w:pPr>
    </w:p>
    <w:p w14:paraId="352DB9C9" w14:textId="77777777" w:rsidR="00F64776" w:rsidRDefault="00F64776" w:rsidP="00F64776">
      <w:pPr>
        <w:pStyle w:val="TextoNormal"/>
      </w:pPr>
      <w:r>
        <w:t>Por lo expuesto, la Sección</w:t>
      </w:r>
    </w:p>
    <w:p w14:paraId="36FE9C3B" w14:textId="60BC5C4C" w:rsidR="00F64776" w:rsidRDefault="00F64776" w:rsidP="00F64776">
      <w:pPr>
        <w:pStyle w:val="TextoNormal"/>
      </w:pPr>
    </w:p>
    <w:p w14:paraId="7360A625" w14:textId="77777777" w:rsidR="00F64776" w:rsidRDefault="00F64776" w:rsidP="00F64776">
      <w:pPr>
        <w:pStyle w:val="TextoNormalCentrado"/>
      </w:pPr>
      <w:r>
        <w:t>ACUERDA</w:t>
      </w:r>
    </w:p>
    <w:p w14:paraId="3EA05107" w14:textId="27514213" w:rsidR="00F64776" w:rsidRDefault="00F64776" w:rsidP="00F64776">
      <w:pPr>
        <w:pStyle w:val="TextoNormalCentrado"/>
      </w:pPr>
    </w:p>
    <w:p w14:paraId="13C49347" w14:textId="7752C948" w:rsidR="00F64776" w:rsidRDefault="00F64776" w:rsidP="00F64776">
      <w:pPr>
        <w:pStyle w:val="TextoNormal"/>
      </w:pPr>
      <w:r>
        <w:t>Estimar justificada la abstención formulada por el magistrado señor don César Tolosa Tribiño en el recurso de amparo núm. 7663-2022 y apartarle definitivamente del conocimiento del referido recurso y de todas sus incidencias.</w:t>
      </w:r>
    </w:p>
    <w:p w14:paraId="3D2EB00D" w14:textId="77777777" w:rsidR="00F64776" w:rsidRDefault="00F64776" w:rsidP="00F64776">
      <w:pPr>
        <w:pStyle w:val="TextoNormal"/>
      </w:pPr>
    </w:p>
    <w:p w14:paraId="16E3DB36" w14:textId="77777777" w:rsidR="00F64776" w:rsidRDefault="00F64776" w:rsidP="00F64776">
      <w:pPr>
        <w:pStyle w:val="TextoNormal"/>
      </w:pPr>
      <w:r>
        <w:t>Madrid, a dos de noviembre de dos mil veintitrés.</w:t>
      </w:r>
    </w:p>
    <w:p w14:paraId="1F952E0A" w14:textId="3913EB95" w:rsidR="00F64776" w:rsidRDefault="00F64776">
      <w:pPr>
        <w:spacing w:after="160" w:line="278" w:lineRule="auto"/>
        <w:rPr>
          <w:rFonts w:ascii="Times New Roman" w:eastAsia="Times New Roman" w:hAnsi="Times New Roman" w:cs="Times New Roman"/>
          <w:sz w:val="24"/>
          <w:szCs w:val="24"/>
          <w:lang w:eastAsia="es-ES"/>
        </w:rPr>
      </w:pPr>
      <w:r>
        <w:br w:type="page"/>
      </w:r>
    </w:p>
    <w:p w14:paraId="6098FFD6" w14:textId="77777777" w:rsidR="00F64776" w:rsidRDefault="00F64776" w:rsidP="00F64776">
      <w:pPr>
        <w:pStyle w:val="TtuloResolucin"/>
      </w:pPr>
      <w:bookmarkStart w:id="288" w:name="AUTO_2023_503"/>
      <w:r>
        <w:t>AUTO 503/2023, de 2 de noviembre de 2023</w:t>
      </w:r>
    </w:p>
    <w:bookmarkEnd w:id="288"/>
    <w:p w14:paraId="64873B2A" w14:textId="77777777" w:rsidR="00F64776" w:rsidRDefault="00F64776" w:rsidP="00F64776">
      <w:pPr>
        <w:pStyle w:val="TtuloResolucin"/>
      </w:pPr>
      <w:r>
        <w:t>Sección Tercera</w:t>
      </w:r>
    </w:p>
    <w:p w14:paraId="311E93DE" w14:textId="77777777" w:rsidR="00F64776" w:rsidRDefault="00F64776" w:rsidP="00F64776">
      <w:pPr>
        <w:pStyle w:val="TextoNormalCentrado"/>
      </w:pPr>
      <w:r>
        <w:t>ECLI:ES:TC:2023:503A</w:t>
      </w:r>
    </w:p>
    <w:p w14:paraId="13C9230A" w14:textId="2651F487" w:rsidR="00F64776" w:rsidRDefault="00F64776" w:rsidP="00F64776">
      <w:pPr>
        <w:pStyle w:val="TextoNormalCentrado"/>
      </w:pPr>
    </w:p>
    <w:p w14:paraId="14B63A38" w14:textId="77777777" w:rsidR="00F64776" w:rsidRDefault="00F64776" w:rsidP="00F64776">
      <w:pPr>
        <w:pStyle w:val="SntesisDescriptiva"/>
      </w:pPr>
      <w:r>
        <w:t>Excms. Srs. doña Inmaculada Montalbán Huertas y doña Laura Díez Bueso.</w:t>
      </w:r>
    </w:p>
    <w:p w14:paraId="09AF74CC" w14:textId="2B206457" w:rsidR="00F64776" w:rsidRDefault="00F64776" w:rsidP="00F64776">
      <w:pPr>
        <w:pStyle w:val="SntesisDescriptiva"/>
      </w:pPr>
    </w:p>
    <w:p w14:paraId="2EE4D818" w14:textId="77777777" w:rsidR="00F64776" w:rsidRDefault="00F64776" w:rsidP="00F64776">
      <w:pPr>
        <w:pStyle w:val="SntesisDescriptiva"/>
      </w:pPr>
      <w:r>
        <w:t>Acepta una abstención en el recurso de amparo 8276-2022, promovido en proceso contencioso administrativo.</w:t>
      </w:r>
    </w:p>
    <w:p w14:paraId="25E5916C" w14:textId="7308AD14" w:rsidR="00F64776" w:rsidRDefault="00F64776" w:rsidP="00F64776">
      <w:pPr>
        <w:pStyle w:val="SntesisDescriptiva"/>
      </w:pPr>
    </w:p>
    <w:p w14:paraId="4D80C961" w14:textId="77777777" w:rsidR="00F64776" w:rsidRDefault="00F64776" w:rsidP="00F64776">
      <w:pPr>
        <w:pStyle w:val="SntesisDescriptiva"/>
      </w:pPr>
    </w:p>
    <w:p w14:paraId="6CB5BC3A" w14:textId="77777777" w:rsidR="00F64776" w:rsidRDefault="00F64776" w:rsidP="00F64776">
      <w:pPr>
        <w:pStyle w:val="SntesisDescriptiva"/>
      </w:pPr>
    </w:p>
    <w:p w14:paraId="081E8321" w14:textId="77777777" w:rsidR="00F64776" w:rsidRDefault="00F64776" w:rsidP="00F64776">
      <w:pPr>
        <w:pStyle w:val="TextoNormalNegritaCentrado"/>
      </w:pPr>
      <w:r>
        <w:t>AUTO</w:t>
      </w:r>
    </w:p>
    <w:p w14:paraId="56E96ECA" w14:textId="544C246E" w:rsidR="00F64776" w:rsidRDefault="00F64776" w:rsidP="00F64776">
      <w:pPr>
        <w:pStyle w:val="TextoNormalNegritaCentrado"/>
      </w:pPr>
    </w:p>
    <w:p w14:paraId="01AB8159" w14:textId="77777777" w:rsidR="00F64776" w:rsidRDefault="00F64776" w:rsidP="00F64776">
      <w:pPr>
        <w:pStyle w:val="TextoNormalNegritaCentrado"/>
        <w:keepNext/>
      </w:pPr>
      <w:r>
        <w:t>I. Antecedentes</w:t>
      </w:r>
    </w:p>
    <w:p w14:paraId="163684C9" w14:textId="4490CA3E" w:rsidR="00F64776" w:rsidRDefault="00F64776" w:rsidP="00F64776">
      <w:pPr>
        <w:pStyle w:val="TextoNormalNegritaCentrado"/>
        <w:keepNext/>
      </w:pPr>
    </w:p>
    <w:p w14:paraId="79E68632" w14:textId="5B259B60" w:rsidR="00F64776" w:rsidRDefault="00F64776" w:rsidP="00F64776">
      <w:pPr>
        <w:pStyle w:val="TextoNormal"/>
      </w:pPr>
      <w:r w:rsidRPr="00F64776">
        <w:rPr>
          <w:rStyle w:val="NumeroAFNegritaCaracter"/>
        </w:rPr>
        <w:t>1</w:t>
      </w:r>
      <w:r>
        <w:t>. Mediante escrito registrado en este tribunal el 14 de diciembre de 2022, la procuradora de los tribunales doña Sonia López Caballero, en nombre y representación de don Michael Alexis Álvarez Jiménez y bajo la dirección de la letrada doña Almudena Fraile Vázquez, formuló demanda de amparo contra el auto de 24 de noviembre de 2022 dictado por la Sección Primera Sala de lo Contencioso-Administrativo del Tribunal Supremo en recurso de queja núm. 560-2022.</w:t>
      </w:r>
    </w:p>
    <w:p w14:paraId="7C7CA883" w14:textId="77777777" w:rsidR="00F64776" w:rsidRDefault="00F64776" w:rsidP="00F64776">
      <w:pPr>
        <w:pStyle w:val="TextoNormal"/>
      </w:pPr>
    </w:p>
    <w:p w14:paraId="6D5D70B3" w14:textId="47BC107E" w:rsidR="00F64776" w:rsidRDefault="00F64776" w:rsidP="00F64776">
      <w:pPr>
        <w:pStyle w:val="TextoNormal"/>
      </w:pPr>
      <w:r w:rsidRPr="00F64776">
        <w:rPr>
          <w:rStyle w:val="NumeroAFNegritaCaracter"/>
        </w:rPr>
        <w:t>2</w:t>
      </w:r>
      <w:r>
        <w:t>. Por escrito de 22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484FDBE7" w14:textId="77777777" w:rsidR="00F64776" w:rsidRDefault="00F64776" w:rsidP="00F64776">
      <w:pPr>
        <w:pStyle w:val="TextoNormal"/>
      </w:pPr>
    </w:p>
    <w:p w14:paraId="1579B23D" w14:textId="77777777" w:rsidR="00F64776" w:rsidRDefault="00F64776" w:rsidP="00F64776">
      <w:pPr>
        <w:pStyle w:val="TextoNormalNegritaCentrado"/>
        <w:keepNext/>
      </w:pPr>
      <w:r>
        <w:t>II. Fundamentos jurídicos</w:t>
      </w:r>
    </w:p>
    <w:p w14:paraId="26D5F943" w14:textId="79C85534" w:rsidR="00F64776" w:rsidRDefault="00F64776" w:rsidP="00F64776">
      <w:pPr>
        <w:pStyle w:val="TextoNormalNegritaCentrado"/>
        <w:keepNext/>
      </w:pPr>
    </w:p>
    <w:p w14:paraId="0EB8C2C1" w14:textId="5E0C2629"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6DED87DC" w14:textId="77777777" w:rsidR="00F64776" w:rsidRDefault="00F64776" w:rsidP="00F64776">
      <w:pPr>
        <w:pStyle w:val="TextoNormal"/>
      </w:pPr>
    </w:p>
    <w:p w14:paraId="130E8FD9" w14:textId="77777777" w:rsidR="00F64776" w:rsidRDefault="00F64776" w:rsidP="00F64776">
      <w:pPr>
        <w:pStyle w:val="TextoNormal"/>
      </w:pPr>
      <w:r>
        <w:t>Por lo expuesto, la Sección</w:t>
      </w:r>
    </w:p>
    <w:p w14:paraId="3273F7BC" w14:textId="25F3BFB7" w:rsidR="00F64776" w:rsidRDefault="00F64776" w:rsidP="00F64776">
      <w:pPr>
        <w:pStyle w:val="TextoNormal"/>
      </w:pPr>
    </w:p>
    <w:p w14:paraId="49DEFCBD" w14:textId="77777777" w:rsidR="00F64776" w:rsidRDefault="00F64776" w:rsidP="00F64776">
      <w:pPr>
        <w:pStyle w:val="TextoNormalCentrado"/>
      </w:pPr>
      <w:r>
        <w:t>ACUERDA</w:t>
      </w:r>
    </w:p>
    <w:p w14:paraId="4B0E7F2F" w14:textId="063211BC" w:rsidR="00F64776" w:rsidRDefault="00F64776" w:rsidP="00F64776">
      <w:pPr>
        <w:pStyle w:val="TextoNormalCentrado"/>
      </w:pPr>
    </w:p>
    <w:p w14:paraId="2EDD5D62" w14:textId="7D544254" w:rsidR="00F64776" w:rsidRDefault="00F64776" w:rsidP="00F64776">
      <w:pPr>
        <w:pStyle w:val="TextoNormal"/>
      </w:pPr>
      <w:r>
        <w:t>Estimar justificada la abstención formulada por el magistrado señor don César Tolosa Tribiño en el recurso de amparo núm. 8276-2022 y apartarle definitivamente del conocimiento del referido recurso y de todas sus incidencias.</w:t>
      </w:r>
    </w:p>
    <w:p w14:paraId="1812C62E" w14:textId="77777777" w:rsidR="00F64776" w:rsidRDefault="00F64776" w:rsidP="00F64776">
      <w:pPr>
        <w:pStyle w:val="TextoNormal"/>
      </w:pPr>
    </w:p>
    <w:p w14:paraId="74F35B70" w14:textId="77777777" w:rsidR="00F64776" w:rsidRDefault="00F64776" w:rsidP="00F64776">
      <w:pPr>
        <w:pStyle w:val="TextoNormal"/>
      </w:pPr>
      <w:r>
        <w:t>Madrid, a dos de noviembre de dos mil veintitrés.</w:t>
      </w:r>
    </w:p>
    <w:p w14:paraId="42FAB743" w14:textId="2755604E" w:rsidR="00F64776" w:rsidRDefault="00F64776">
      <w:pPr>
        <w:spacing w:after="160" w:line="278" w:lineRule="auto"/>
        <w:rPr>
          <w:rFonts w:ascii="Times New Roman" w:eastAsia="Times New Roman" w:hAnsi="Times New Roman" w:cs="Times New Roman"/>
          <w:sz w:val="24"/>
          <w:szCs w:val="24"/>
          <w:lang w:eastAsia="es-ES"/>
        </w:rPr>
      </w:pPr>
      <w:r>
        <w:br w:type="page"/>
      </w:r>
    </w:p>
    <w:p w14:paraId="1996BA8B" w14:textId="77777777" w:rsidR="00F64776" w:rsidRDefault="00F64776" w:rsidP="00F64776">
      <w:pPr>
        <w:pStyle w:val="TtuloResolucin"/>
      </w:pPr>
      <w:bookmarkStart w:id="289" w:name="AUTO_2023_504"/>
      <w:r>
        <w:t>AUTO 504/2023, de 2 de noviembre de 2023</w:t>
      </w:r>
    </w:p>
    <w:bookmarkEnd w:id="289"/>
    <w:p w14:paraId="473B5007" w14:textId="77777777" w:rsidR="00F64776" w:rsidRDefault="00F64776" w:rsidP="00F64776">
      <w:pPr>
        <w:pStyle w:val="TtuloResolucin"/>
      </w:pPr>
      <w:r>
        <w:t>Sección Cuarta</w:t>
      </w:r>
    </w:p>
    <w:p w14:paraId="21E6A2C3" w14:textId="77777777" w:rsidR="00F64776" w:rsidRDefault="00F64776" w:rsidP="00F64776">
      <w:pPr>
        <w:pStyle w:val="TextoNormalCentrado"/>
      </w:pPr>
      <w:r>
        <w:t>ECLI:ES:TC:2023:504A</w:t>
      </w:r>
    </w:p>
    <w:p w14:paraId="64AC1944" w14:textId="395235CC" w:rsidR="00F64776" w:rsidRDefault="00F64776" w:rsidP="00F64776">
      <w:pPr>
        <w:pStyle w:val="TextoNormalCentrado"/>
      </w:pPr>
    </w:p>
    <w:p w14:paraId="03184720" w14:textId="77777777" w:rsidR="00F64776" w:rsidRDefault="00F64776" w:rsidP="00F64776">
      <w:pPr>
        <w:pStyle w:val="SntesisDescriptiva"/>
      </w:pPr>
      <w:r>
        <w:t>Excms. Srs. doña María Luisa Balaguer Callejón y don Ramón Sáez Valcárcel.</w:t>
      </w:r>
    </w:p>
    <w:p w14:paraId="77AADBE6" w14:textId="70C2FAB1" w:rsidR="00F64776" w:rsidRDefault="00F64776" w:rsidP="00F64776">
      <w:pPr>
        <w:pStyle w:val="SntesisDescriptiva"/>
      </w:pPr>
    </w:p>
    <w:p w14:paraId="3A3DCA2A" w14:textId="77777777" w:rsidR="00F64776" w:rsidRDefault="00F64776" w:rsidP="00F64776">
      <w:pPr>
        <w:pStyle w:val="SntesisDescriptiva"/>
      </w:pPr>
      <w:r>
        <w:t>Acepta una abstención en el recurso de amparo 818-2023, promovido por la entidad Bercea Group B.C.N., S.L., en proceso contencioso administrativo.</w:t>
      </w:r>
    </w:p>
    <w:p w14:paraId="606C11E8" w14:textId="2CF7D1F1" w:rsidR="00F64776" w:rsidRDefault="00F64776" w:rsidP="00F64776">
      <w:pPr>
        <w:pStyle w:val="SntesisDescriptiva"/>
      </w:pPr>
    </w:p>
    <w:p w14:paraId="5861EDA8" w14:textId="77777777" w:rsidR="00F64776" w:rsidRDefault="00F64776" w:rsidP="00F64776">
      <w:pPr>
        <w:pStyle w:val="SntesisDescriptiva"/>
      </w:pPr>
    </w:p>
    <w:p w14:paraId="225C6D10" w14:textId="77777777" w:rsidR="00F64776" w:rsidRDefault="00F64776" w:rsidP="00F64776">
      <w:pPr>
        <w:pStyle w:val="SntesisDescriptiva"/>
      </w:pPr>
    </w:p>
    <w:p w14:paraId="4A0CE0A0" w14:textId="77777777" w:rsidR="00F64776" w:rsidRDefault="00F64776" w:rsidP="00F64776">
      <w:pPr>
        <w:pStyle w:val="TextoNormalNegritaCentrado"/>
      </w:pPr>
      <w:r>
        <w:t>AUTO</w:t>
      </w:r>
    </w:p>
    <w:p w14:paraId="43D3DCFB" w14:textId="31D16B44" w:rsidR="00F64776" w:rsidRDefault="00F64776" w:rsidP="00F64776">
      <w:pPr>
        <w:pStyle w:val="TextoNormalNegritaCentrado"/>
      </w:pPr>
    </w:p>
    <w:p w14:paraId="4E0114D8" w14:textId="77777777" w:rsidR="00F64776" w:rsidRDefault="00F64776" w:rsidP="00F64776">
      <w:pPr>
        <w:pStyle w:val="TextoNormalNegritaCentrado"/>
        <w:keepNext/>
      </w:pPr>
      <w:r>
        <w:t>I. Antecedentes</w:t>
      </w:r>
    </w:p>
    <w:p w14:paraId="30F78903" w14:textId="234FF89B" w:rsidR="00F64776" w:rsidRDefault="00F64776" w:rsidP="00F64776">
      <w:pPr>
        <w:pStyle w:val="TextoNormalNegritaCentrado"/>
        <w:keepNext/>
      </w:pPr>
    </w:p>
    <w:p w14:paraId="6266FFF6" w14:textId="54626D46" w:rsidR="00F64776" w:rsidRDefault="00F64776" w:rsidP="00F64776">
      <w:pPr>
        <w:pStyle w:val="TextoNormal"/>
      </w:pPr>
      <w:r w:rsidRPr="00F64776">
        <w:rPr>
          <w:rStyle w:val="NumeroAFNegritaCaracter"/>
        </w:rPr>
        <w:t>1</w:t>
      </w:r>
      <w:r>
        <w:t>. Mediante escrito registrado en este tribunal el 9 de febrero de 2023, por la entidad Bercea Group B.C.N., S.L., representada por el procurador de los tribunales don Mauricio Gordillo Cañas, bajo la dirección del abogado don Miguel Martín-Rabadán Caballero formuló demanda de amparo contra la providencia de la Sala de lo Contencioso-Administrativo del Tribunal Supremo de 22 de septiembre de 2022, que inadmite el recurso de casación núm. 7079-2021 preparado contra la sentencia de la Sala de lo Contencioso-Administrativo del Tribunal Superior de Justicia de Andalucía, en materia de abono de servicios por depósitos judiciales y contra la providencia de la misma Sala del Tribunal Supremo de 1 de diciembre de 2022, que inadmite el incidente de nulidad promovido frente a la anterior.</w:t>
      </w:r>
    </w:p>
    <w:p w14:paraId="277BC168" w14:textId="77777777" w:rsidR="00F64776" w:rsidRDefault="00F64776" w:rsidP="00F64776">
      <w:pPr>
        <w:pStyle w:val="TextoNormal"/>
      </w:pPr>
    </w:p>
    <w:p w14:paraId="04EBD75E" w14:textId="302344A3" w:rsidR="00F64776" w:rsidRDefault="00F64776" w:rsidP="00F64776">
      <w:pPr>
        <w:pStyle w:val="TextoNormal"/>
      </w:pPr>
      <w:r w:rsidRPr="00F64776">
        <w:rPr>
          <w:rStyle w:val="NumeroAFNegritaCaracter"/>
        </w:rPr>
        <w:t>2</w:t>
      </w:r>
      <w:r>
        <w:t>. Por escrito fechado el día 30 de octubre de 2023, el magistrado don Enrique Arnaldo Alcubilla comunicó a los efectos oportunos su voluntad de abstenerse de intervenir en el conocimiento del recurso de amparo núm. 818-2023 y todas sus incidencias, de conformidad con los arts. 80 de la Ley Orgánica del Tribunal Constitucional (LOTC) y 217 de la Ley Orgánica del Poder Judicial (LOPJ), al entender que concurre en su persona la causa establecida en el art. 219.13 LOPJ, debido a la existencia de una previa colaboración profesional como abogado en relación con un asunto similar al que se plantea en dicho recurso de amparo.</w:t>
      </w:r>
    </w:p>
    <w:p w14:paraId="0ECEF35E" w14:textId="77777777" w:rsidR="00F64776" w:rsidRDefault="00F64776" w:rsidP="00F64776">
      <w:pPr>
        <w:pStyle w:val="TextoNormal"/>
      </w:pPr>
    </w:p>
    <w:p w14:paraId="682AE97D" w14:textId="77777777" w:rsidR="00F64776" w:rsidRDefault="00F64776" w:rsidP="00F64776">
      <w:pPr>
        <w:pStyle w:val="TextoNormalNegritaCentrado"/>
        <w:keepNext/>
      </w:pPr>
      <w:r>
        <w:t>II. Fundamentos jurídicos</w:t>
      </w:r>
    </w:p>
    <w:p w14:paraId="26150ABA" w14:textId="10495412" w:rsidR="00F64776" w:rsidRDefault="00F64776" w:rsidP="00F64776">
      <w:pPr>
        <w:pStyle w:val="TextoNormalNegritaCentrado"/>
        <w:keepNext/>
      </w:pPr>
    </w:p>
    <w:p w14:paraId="639F1474" w14:textId="3F8B317A" w:rsidR="00F64776" w:rsidRDefault="00F64776" w:rsidP="00F64776">
      <w:pPr>
        <w:pStyle w:val="TextoNormal"/>
      </w:pPr>
      <w:r w:rsidRPr="00F64776">
        <w:rPr>
          <w:rStyle w:val="TextoNormalNegritaCaracter"/>
        </w:rPr>
        <w:t xml:space="preserve">Único. </w:t>
      </w:r>
      <w:r>
        <w:t>Vista la comunicación efectuada por el magistrado de esta Sección Cuarta del Tribunal Constitucional don Enrique Arnaldo Alcubilla y en virtud de lo previsto en los arts. 80 LOTC y 221.4 LOPJ se estima justificada la causa de abstención formulada, en atención a que, dada la existencia de una previa colaboración profesional como abogado en relación con un asunto similar al que se plantea en el recurso de amparo núm. 818-2023, se halla incurso en la causa decimotercera del art. 219 LOPJ (“haber ocupado cargo público, desempeñado empleo o ejercido profesión con ocasión de los cuales haya participado directa o indirectamente en el asunto objeto del pleito o causa o en otro relacionado con el mismo”).</w:t>
      </w:r>
    </w:p>
    <w:p w14:paraId="4894A435" w14:textId="77777777" w:rsidR="00F64776" w:rsidRDefault="00F64776" w:rsidP="00F64776">
      <w:pPr>
        <w:pStyle w:val="TextoNormal"/>
      </w:pPr>
    </w:p>
    <w:p w14:paraId="7640A33B" w14:textId="77777777" w:rsidR="00F64776" w:rsidRDefault="00F64776" w:rsidP="00F64776">
      <w:pPr>
        <w:pStyle w:val="TextoNormal"/>
      </w:pPr>
      <w:r>
        <w:t>Por lo expuesto, la Sección</w:t>
      </w:r>
    </w:p>
    <w:p w14:paraId="1E3565A2" w14:textId="0188C029" w:rsidR="00F64776" w:rsidRDefault="00F64776" w:rsidP="00F64776">
      <w:pPr>
        <w:pStyle w:val="TextoNormal"/>
      </w:pPr>
    </w:p>
    <w:p w14:paraId="4B6D561D" w14:textId="77777777" w:rsidR="00F64776" w:rsidRDefault="00F64776" w:rsidP="00F64776">
      <w:pPr>
        <w:pStyle w:val="TextoNormalCentrado"/>
      </w:pPr>
      <w:r>
        <w:t>ACUERDA</w:t>
      </w:r>
    </w:p>
    <w:p w14:paraId="517B06D0" w14:textId="77C13DD0" w:rsidR="00F64776" w:rsidRDefault="00F64776" w:rsidP="00F64776">
      <w:pPr>
        <w:pStyle w:val="TextoNormalCentrado"/>
      </w:pPr>
    </w:p>
    <w:p w14:paraId="06CCD390" w14:textId="7ADCEA4A" w:rsidR="00F64776" w:rsidRDefault="00F64776" w:rsidP="00F64776">
      <w:pPr>
        <w:pStyle w:val="TextoNormal"/>
      </w:pPr>
      <w:r>
        <w:t>Estimar justificada la abstención formulada por el magistrado don Enrique Arnaldo Alcubilla en el recurso de amparo núm. 818-2023, apartándole definitivamente del conocimiento del referido recurso y de todas sus incidencias.</w:t>
      </w:r>
    </w:p>
    <w:p w14:paraId="2BCC5A30" w14:textId="77777777" w:rsidR="00F64776" w:rsidRDefault="00F64776" w:rsidP="00F64776">
      <w:pPr>
        <w:pStyle w:val="TextoNormal"/>
      </w:pPr>
    </w:p>
    <w:p w14:paraId="68C11F71" w14:textId="77777777" w:rsidR="00F64776" w:rsidRDefault="00F64776" w:rsidP="00F64776">
      <w:pPr>
        <w:pStyle w:val="TextoNormal"/>
      </w:pPr>
      <w:r>
        <w:t>Madrid, a dos de noviembre de dos mil veintitrés.</w:t>
      </w:r>
    </w:p>
    <w:p w14:paraId="5715115E" w14:textId="5E4816D8" w:rsidR="00F64776" w:rsidRDefault="00F64776">
      <w:pPr>
        <w:spacing w:after="160" w:line="278" w:lineRule="auto"/>
        <w:rPr>
          <w:rFonts w:ascii="Times New Roman" w:eastAsia="Times New Roman" w:hAnsi="Times New Roman" w:cs="Times New Roman"/>
          <w:sz w:val="24"/>
          <w:szCs w:val="24"/>
          <w:lang w:eastAsia="es-ES"/>
        </w:rPr>
      </w:pPr>
      <w:r>
        <w:br w:type="page"/>
      </w:r>
    </w:p>
    <w:p w14:paraId="3650C3EA" w14:textId="77777777" w:rsidR="00F64776" w:rsidRDefault="00F64776" w:rsidP="00F64776">
      <w:pPr>
        <w:pStyle w:val="TtuloResolucin"/>
      </w:pPr>
      <w:bookmarkStart w:id="290" w:name="AUTO_2023_505"/>
      <w:r>
        <w:t>AUTO 505/2023, de 2 de noviembre de 2023</w:t>
      </w:r>
    </w:p>
    <w:bookmarkEnd w:id="290"/>
    <w:p w14:paraId="4F473D77" w14:textId="77777777" w:rsidR="00F64776" w:rsidRDefault="00F64776" w:rsidP="00F64776">
      <w:pPr>
        <w:pStyle w:val="TtuloResolucin"/>
      </w:pPr>
      <w:r>
        <w:t>Sección Tercera</w:t>
      </w:r>
    </w:p>
    <w:p w14:paraId="2F2F6EE7" w14:textId="77777777" w:rsidR="00F64776" w:rsidRDefault="00F64776" w:rsidP="00F64776">
      <w:pPr>
        <w:pStyle w:val="TextoNormalCentrado"/>
      </w:pPr>
      <w:r>
        <w:t>ECLI:ES:TC:2023:505A</w:t>
      </w:r>
    </w:p>
    <w:p w14:paraId="5DC2353A" w14:textId="7E80D319" w:rsidR="00F64776" w:rsidRDefault="00F64776" w:rsidP="00F64776">
      <w:pPr>
        <w:pStyle w:val="TextoNormalCentrado"/>
      </w:pPr>
    </w:p>
    <w:p w14:paraId="759B2D06" w14:textId="77777777" w:rsidR="00F64776" w:rsidRDefault="00F64776" w:rsidP="00F64776">
      <w:pPr>
        <w:pStyle w:val="SntesisDescriptiva"/>
      </w:pPr>
      <w:r>
        <w:t>Excms. Srs. doña Inmaculada Montalbán Huertas y doña Laura Díez Bueso.</w:t>
      </w:r>
    </w:p>
    <w:p w14:paraId="7EA78F22" w14:textId="7D2AFF90" w:rsidR="00F64776" w:rsidRDefault="00F64776" w:rsidP="00F64776">
      <w:pPr>
        <w:pStyle w:val="SntesisDescriptiva"/>
      </w:pPr>
    </w:p>
    <w:p w14:paraId="28E86C84" w14:textId="77777777" w:rsidR="00F64776" w:rsidRDefault="00F64776" w:rsidP="00F64776">
      <w:pPr>
        <w:pStyle w:val="SntesisDescriptiva"/>
      </w:pPr>
      <w:r>
        <w:t>Acepta una abstención en el recurso de amparo 1851-2023, promovido en proceso contencioso administrativo.</w:t>
      </w:r>
    </w:p>
    <w:p w14:paraId="7B7FB00B" w14:textId="6C919AB1" w:rsidR="00F64776" w:rsidRDefault="00F64776" w:rsidP="00F64776">
      <w:pPr>
        <w:pStyle w:val="SntesisDescriptiva"/>
      </w:pPr>
    </w:p>
    <w:p w14:paraId="16921887" w14:textId="77777777" w:rsidR="00F64776" w:rsidRDefault="00F64776" w:rsidP="00F64776">
      <w:pPr>
        <w:pStyle w:val="SntesisDescriptiva"/>
      </w:pPr>
    </w:p>
    <w:p w14:paraId="56060BEB" w14:textId="77777777" w:rsidR="00F64776" w:rsidRDefault="00F64776" w:rsidP="00F64776">
      <w:pPr>
        <w:pStyle w:val="SntesisDescriptiva"/>
      </w:pPr>
    </w:p>
    <w:p w14:paraId="5CA735F9" w14:textId="77777777" w:rsidR="00F64776" w:rsidRDefault="00F64776" w:rsidP="00F64776">
      <w:pPr>
        <w:pStyle w:val="TextoNormalNegritaCentrado"/>
      </w:pPr>
      <w:r>
        <w:t>AUTO</w:t>
      </w:r>
    </w:p>
    <w:p w14:paraId="7A29990A" w14:textId="28E10C72" w:rsidR="00F64776" w:rsidRDefault="00F64776" w:rsidP="00F64776">
      <w:pPr>
        <w:pStyle w:val="TextoNormalNegritaCentrado"/>
      </w:pPr>
    </w:p>
    <w:p w14:paraId="7F0E05B9" w14:textId="77777777" w:rsidR="00F64776" w:rsidRDefault="00F64776" w:rsidP="00F64776">
      <w:pPr>
        <w:pStyle w:val="TextoNormalNegritaCentrado"/>
        <w:keepNext/>
      </w:pPr>
      <w:r>
        <w:t>I. Antecedentes</w:t>
      </w:r>
    </w:p>
    <w:p w14:paraId="5A60F8F8" w14:textId="553C22C0" w:rsidR="00F64776" w:rsidRDefault="00F64776" w:rsidP="00F64776">
      <w:pPr>
        <w:pStyle w:val="TextoNormalNegritaCentrado"/>
        <w:keepNext/>
      </w:pPr>
    </w:p>
    <w:p w14:paraId="52511DC0" w14:textId="518FB103" w:rsidR="00F64776" w:rsidRDefault="00F64776" w:rsidP="00F64776">
      <w:pPr>
        <w:pStyle w:val="TextoNormal"/>
      </w:pPr>
      <w:r w:rsidRPr="00F64776">
        <w:rPr>
          <w:rStyle w:val="NumeroAFNegritaCaracter"/>
        </w:rPr>
        <w:t>1</w:t>
      </w:r>
      <w:r>
        <w:t>. Mediante escrito registrado en este tribunal el 21 de marzo de 2023, el procurador de los tribunales don José María Ruiz de la Cuesta Vacas, en nombre y representación de doña Susana Berdonces Évora y otros y bajo la dirección del letrado don Francisco Javier Araúz de Robles Dávila, formuló demanda de amparo contra la providencia de 17 de noviembre de 2022 de la Sección Primera de la Sala Contencioso-Administrativo del Tribunal Supremo en recurso de casación núm. 3161-2022.</w:t>
      </w:r>
    </w:p>
    <w:p w14:paraId="19B48FA4" w14:textId="77777777" w:rsidR="00F64776" w:rsidRDefault="00F64776" w:rsidP="00F64776">
      <w:pPr>
        <w:pStyle w:val="TextoNormal"/>
      </w:pPr>
    </w:p>
    <w:p w14:paraId="2E6F51C4" w14:textId="503CEF1C" w:rsidR="00F64776" w:rsidRDefault="00F64776" w:rsidP="00F64776">
      <w:pPr>
        <w:pStyle w:val="TextoNormal"/>
      </w:pPr>
      <w:r w:rsidRPr="00F64776">
        <w:rPr>
          <w:rStyle w:val="NumeroAFNegritaCaracter"/>
        </w:rPr>
        <w:t>2</w:t>
      </w:r>
      <w:r>
        <w:t>. Por escrito de 22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445A12E2" w14:textId="77777777" w:rsidR="00F64776" w:rsidRDefault="00F64776" w:rsidP="00F64776">
      <w:pPr>
        <w:pStyle w:val="TextoNormal"/>
      </w:pPr>
    </w:p>
    <w:p w14:paraId="0EC924D5" w14:textId="77777777" w:rsidR="00F64776" w:rsidRDefault="00F64776" w:rsidP="00F64776">
      <w:pPr>
        <w:pStyle w:val="TextoNormalNegritaCentrado"/>
        <w:keepNext/>
      </w:pPr>
      <w:r>
        <w:t>II. Fundamentos jurídicos</w:t>
      </w:r>
    </w:p>
    <w:p w14:paraId="03A2FD3A" w14:textId="1ED93B6A" w:rsidR="00F64776" w:rsidRDefault="00F64776" w:rsidP="00F64776">
      <w:pPr>
        <w:pStyle w:val="TextoNormalNegritaCentrado"/>
        <w:keepNext/>
      </w:pPr>
    </w:p>
    <w:p w14:paraId="51F85041" w14:textId="2DE04680"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088106FD" w14:textId="77777777" w:rsidR="00F64776" w:rsidRDefault="00F64776" w:rsidP="00F64776">
      <w:pPr>
        <w:pStyle w:val="TextoNormal"/>
      </w:pPr>
    </w:p>
    <w:p w14:paraId="59B4B377" w14:textId="77777777" w:rsidR="00F64776" w:rsidRDefault="00F64776" w:rsidP="00F64776">
      <w:pPr>
        <w:pStyle w:val="TextoNormal"/>
      </w:pPr>
      <w:r>
        <w:t>Por lo expuesto, la Sección</w:t>
      </w:r>
    </w:p>
    <w:p w14:paraId="6AB04DCE" w14:textId="08A5BF9E" w:rsidR="00F64776" w:rsidRDefault="00F64776" w:rsidP="00F64776">
      <w:pPr>
        <w:pStyle w:val="TextoNormal"/>
      </w:pPr>
    </w:p>
    <w:p w14:paraId="463FC74B" w14:textId="77777777" w:rsidR="00F64776" w:rsidRDefault="00F64776" w:rsidP="00F64776">
      <w:pPr>
        <w:pStyle w:val="TextoNormalCentrado"/>
      </w:pPr>
      <w:r>
        <w:t>ACUERDA</w:t>
      </w:r>
    </w:p>
    <w:p w14:paraId="581F1AC3" w14:textId="3C528EDF" w:rsidR="00F64776" w:rsidRDefault="00F64776" w:rsidP="00F64776">
      <w:pPr>
        <w:pStyle w:val="TextoNormalCentrado"/>
      </w:pPr>
    </w:p>
    <w:p w14:paraId="21C81D5E" w14:textId="151B723F" w:rsidR="00F64776" w:rsidRDefault="00F64776" w:rsidP="00F64776">
      <w:pPr>
        <w:pStyle w:val="TextoNormal"/>
      </w:pPr>
      <w:r>
        <w:t>Estimar justificada la abstención formulada por el magistrado señor don César Tolosa Tribiño en el recurso de amparo núm. 1851-2023 y apartarle definitivamente del conocimiento del referido recurso y de todas sus incidencias.</w:t>
      </w:r>
    </w:p>
    <w:p w14:paraId="21BB1A5C" w14:textId="77777777" w:rsidR="00F64776" w:rsidRDefault="00F64776" w:rsidP="00F64776">
      <w:pPr>
        <w:pStyle w:val="TextoNormal"/>
      </w:pPr>
    </w:p>
    <w:p w14:paraId="3FF4DB0D" w14:textId="77777777" w:rsidR="00F64776" w:rsidRDefault="00F64776" w:rsidP="00F64776">
      <w:pPr>
        <w:pStyle w:val="TextoNormal"/>
      </w:pPr>
      <w:r>
        <w:t>Madrid, a dos de noviembre de dos mil veintitrés.</w:t>
      </w:r>
    </w:p>
    <w:p w14:paraId="04B389BD" w14:textId="76B7BD6C" w:rsidR="00F64776" w:rsidRDefault="00F64776">
      <w:pPr>
        <w:spacing w:after="160" w:line="278" w:lineRule="auto"/>
        <w:rPr>
          <w:rFonts w:ascii="Times New Roman" w:eastAsia="Times New Roman" w:hAnsi="Times New Roman" w:cs="Times New Roman"/>
          <w:sz w:val="24"/>
          <w:szCs w:val="24"/>
          <w:lang w:eastAsia="es-ES"/>
        </w:rPr>
      </w:pPr>
      <w:r>
        <w:br w:type="page"/>
      </w:r>
    </w:p>
    <w:p w14:paraId="74C6160C" w14:textId="77777777" w:rsidR="00F64776" w:rsidRDefault="00F64776" w:rsidP="00F64776">
      <w:pPr>
        <w:pStyle w:val="TtuloResolucin"/>
      </w:pPr>
      <w:bookmarkStart w:id="291" w:name="AUTO_2023_506"/>
      <w:r>
        <w:t>AUTO 506/2023, de 2 de noviembre de 2023</w:t>
      </w:r>
    </w:p>
    <w:bookmarkEnd w:id="291"/>
    <w:p w14:paraId="0FEC5874" w14:textId="77777777" w:rsidR="00F64776" w:rsidRDefault="00F64776" w:rsidP="00F64776">
      <w:pPr>
        <w:pStyle w:val="TtuloResolucin"/>
      </w:pPr>
      <w:r>
        <w:t>Sección Tercera</w:t>
      </w:r>
    </w:p>
    <w:p w14:paraId="1411DD5E" w14:textId="77777777" w:rsidR="00F64776" w:rsidRDefault="00F64776" w:rsidP="00F64776">
      <w:pPr>
        <w:pStyle w:val="TextoNormalCentrado"/>
      </w:pPr>
      <w:r>
        <w:t>ECLI:ES:TC:2023:506A</w:t>
      </w:r>
    </w:p>
    <w:p w14:paraId="135FC510" w14:textId="5C17B1EE" w:rsidR="00F64776" w:rsidRDefault="00F64776" w:rsidP="00F64776">
      <w:pPr>
        <w:pStyle w:val="TextoNormalCentrado"/>
      </w:pPr>
    </w:p>
    <w:p w14:paraId="1CACE1A3" w14:textId="77777777" w:rsidR="00F64776" w:rsidRDefault="00F64776" w:rsidP="00F64776">
      <w:pPr>
        <w:pStyle w:val="SntesisDescriptiva"/>
      </w:pPr>
      <w:r>
        <w:t>Excms. Srs. doña Inmaculada Montalbán Huertas y doña Laura Díez Bueso.</w:t>
      </w:r>
    </w:p>
    <w:p w14:paraId="615D9BF8" w14:textId="5F35593A" w:rsidR="00F64776" w:rsidRDefault="00F64776" w:rsidP="00F64776">
      <w:pPr>
        <w:pStyle w:val="SntesisDescriptiva"/>
      </w:pPr>
    </w:p>
    <w:p w14:paraId="6BD2E397" w14:textId="77777777" w:rsidR="00F64776" w:rsidRDefault="00F64776" w:rsidP="00F64776">
      <w:pPr>
        <w:pStyle w:val="SntesisDescriptiva"/>
      </w:pPr>
      <w:r>
        <w:t>Acepta una abstención en el recurso de amparo 2623-2023, promovido en proceso contencioso administrativo.</w:t>
      </w:r>
    </w:p>
    <w:p w14:paraId="79A1347B" w14:textId="38673E6E" w:rsidR="00F64776" w:rsidRDefault="00F64776" w:rsidP="00F64776">
      <w:pPr>
        <w:pStyle w:val="SntesisDescriptiva"/>
      </w:pPr>
    </w:p>
    <w:p w14:paraId="76377E9B" w14:textId="77777777" w:rsidR="00F64776" w:rsidRDefault="00F64776" w:rsidP="00F64776">
      <w:pPr>
        <w:pStyle w:val="SntesisDescriptiva"/>
      </w:pPr>
    </w:p>
    <w:p w14:paraId="23ED8E5F" w14:textId="77777777" w:rsidR="00F64776" w:rsidRDefault="00F64776" w:rsidP="00F64776">
      <w:pPr>
        <w:pStyle w:val="SntesisDescriptiva"/>
      </w:pPr>
    </w:p>
    <w:p w14:paraId="4ECD378E" w14:textId="77777777" w:rsidR="00F64776" w:rsidRDefault="00F64776" w:rsidP="00F64776">
      <w:pPr>
        <w:pStyle w:val="TextoNormalNegritaCentrado"/>
      </w:pPr>
      <w:r>
        <w:t>AUTO</w:t>
      </w:r>
    </w:p>
    <w:p w14:paraId="4D8C6251" w14:textId="1DA49AA4" w:rsidR="00F64776" w:rsidRDefault="00F64776" w:rsidP="00F64776">
      <w:pPr>
        <w:pStyle w:val="TextoNormalNegritaCentrado"/>
      </w:pPr>
    </w:p>
    <w:p w14:paraId="4ADFF7AC" w14:textId="77777777" w:rsidR="00F64776" w:rsidRDefault="00F64776" w:rsidP="00F64776">
      <w:pPr>
        <w:pStyle w:val="TextoNormalNegritaCentrado"/>
        <w:keepNext/>
      </w:pPr>
      <w:r>
        <w:t>I. Antecedentes</w:t>
      </w:r>
    </w:p>
    <w:p w14:paraId="7C03B1BF" w14:textId="34C6D4D6" w:rsidR="00F64776" w:rsidRDefault="00F64776" w:rsidP="00F64776">
      <w:pPr>
        <w:pStyle w:val="TextoNormalNegritaCentrado"/>
        <w:keepNext/>
      </w:pPr>
    </w:p>
    <w:p w14:paraId="5B86B631" w14:textId="6B5AC352" w:rsidR="00F64776" w:rsidRDefault="00F64776" w:rsidP="00F64776">
      <w:pPr>
        <w:pStyle w:val="TextoNormal"/>
      </w:pPr>
      <w:r w:rsidRPr="00F64776">
        <w:rPr>
          <w:rStyle w:val="NumeroAFNegritaCaracter"/>
        </w:rPr>
        <w:t>1</w:t>
      </w:r>
      <w:r>
        <w:t>. Mediante escrito registrado en este tribunal el 20 de abril de 2023, la procuradora de los tribunales doña Ana María Araúz de Robles Villalón, en nombre y representación de doña María José González de Linares Atance y bajo la dirección del letrado don Francisco Javier Araúz de Robles Dávila, formuló demanda de amparo contra el auto de fecha 22 de diciembre de 2022 y la providencia de la Sección Primera de la Sala de lo Contencioso-Administrativo del Tribunal Supremo en recurso de queja 288-2022 contra sentencia de la Sala de lo Contencioso-Administrativo del Tribunal Superior de Justicia de Madrid en procedimiento ordinario 618-2020.</w:t>
      </w:r>
    </w:p>
    <w:p w14:paraId="7C980BD8" w14:textId="77777777" w:rsidR="00F64776" w:rsidRDefault="00F64776" w:rsidP="00F64776">
      <w:pPr>
        <w:pStyle w:val="TextoNormal"/>
      </w:pPr>
    </w:p>
    <w:p w14:paraId="0100EB32" w14:textId="3CE1B649" w:rsidR="00F64776" w:rsidRDefault="00F64776" w:rsidP="00F64776">
      <w:pPr>
        <w:pStyle w:val="TextoNormal"/>
      </w:pPr>
      <w:r w:rsidRPr="00F64776">
        <w:rPr>
          <w:rStyle w:val="NumeroAFNegritaCaracter"/>
        </w:rPr>
        <w:t>2</w:t>
      </w:r>
      <w:r>
        <w:t>. Por escrito de 22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3629E95E" w14:textId="77777777" w:rsidR="00F64776" w:rsidRDefault="00F64776" w:rsidP="00F64776">
      <w:pPr>
        <w:pStyle w:val="TextoNormal"/>
      </w:pPr>
    </w:p>
    <w:p w14:paraId="12E9D4C4" w14:textId="77777777" w:rsidR="00F64776" w:rsidRDefault="00F64776" w:rsidP="00F64776">
      <w:pPr>
        <w:pStyle w:val="TextoNormalNegritaCentrado"/>
        <w:keepNext/>
      </w:pPr>
      <w:r>
        <w:t>II. Fundamentos jurídicos</w:t>
      </w:r>
    </w:p>
    <w:p w14:paraId="423481A7" w14:textId="735EB244" w:rsidR="00F64776" w:rsidRDefault="00F64776" w:rsidP="00F64776">
      <w:pPr>
        <w:pStyle w:val="TextoNormalNegritaCentrado"/>
        <w:keepNext/>
      </w:pPr>
    </w:p>
    <w:p w14:paraId="1D1AB20D" w14:textId="7CCE9F24"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53C741E8" w14:textId="77777777" w:rsidR="00F64776" w:rsidRDefault="00F64776" w:rsidP="00F64776">
      <w:pPr>
        <w:pStyle w:val="TextoNormal"/>
      </w:pPr>
    </w:p>
    <w:p w14:paraId="250654BD" w14:textId="77777777" w:rsidR="00F64776" w:rsidRDefault="00F64776" w:rsidP="00F64776">
      <w:pPr>
        <w:pStyle w:val="TextoNormal"/>
      </w:pPr>
      <w:r>
        <w:t>Por lo expuesto, la Sección</w:t>
      </w:r>
    </w:p>
    <w:p w14:paraId="6EC7FFDA" w14:textId="09AF4C14" w:rsidR="00F64776" w:rsidRDefault="00F64776" w:rsidP="00F64776">
      <w:pPr>
        <w:pStyle w:val="TextoNormal"/>
      </w:pPr>
    </w:p>
    <w:p w14:paraId="222FDF41" w14:textId="77777777" w:rsidR="00F64776" w:rsidRDefault="00F64776" w:rsidP="00F64776">
      <w:pPr>
        <w:pStyle w:val="TextoNormalCentrado"/>
      </w:pPr>
      <w:r>
        <w:t>ACUERDA</w:t>
      </w:r>
    </w:p>
    <w:p w14:paraId="7D2F3747" w14:textId="1768952F" w:rsidR="00F64776" w:rsidRDefault="00F64776" w:rsidP="00F64776">
      <w:pPr>
        <w:pStyle w:val="TextoNormalCentrado"/>
      </w:pPr>
    </w:p>
    <w:p w14:paraId="21F82E56" w14:textId="49166AEA" w:rsidR="00F64776" w:rsidRDefault="00F64776" w:rsidP="00F64776">
      <w:pPr>
        <w:pStyle w:val="TextoNormal"/>
      </w:pPr>
      <w:r>
        <w:t>Estimar justificada la abstención formulada por el magistrado señor don César Tolosa Tribiño en el recurso de amparo núm. 2623-2023 y apartarle definitivamente del conocimiento del referido recurso y de todas sus incidencias.</w:t>
      </w:r>
    </w:p>
    <w:p w14:paraId="1D1B5348" w14:textId="77777777" w:rsidR="00F64776" w:rsidRDefault="00F64776" w:rsidP="00F64776">
      <w:pPr>
        <w:pStyle w:val="TextoNormal"/>
      </w:pPr>
    </w:p>
    <w:p w14:paraId="2A988476" w14:textId="77777777" w:rsidR="00F64776" w:rsidRDefault="00F64776" w:rsidP="00F64776">
      <w:pPr>
        <w:pStyle w:val="TextoNormal"/>
      </w:pPr>
      <w:r>
        <w:t>Madrid, a dos de noviembre de dos mil veintitrés.</w:t>
      </w:r>
    </w:p>
    <w:p w14:paraId="040204AC" w14:textId="5C79EE1C" w:rsidR="00F64776" w:rsidRDefault="00F64776">
      <w:pPr>
        <w:spacing w:after="160" w:line="278" w:lineRule="auto"/>
        <w:rPr>
          <w:rFonts w:ascii="Times New Roman" w:eastAsia="Times New Roman" w:hAnsi="Times New Roman" w:cs="Times New Roman"/>
          <w:sz w:val="24"/>
          <w:szCs w:val="24"/>
          <w:lang w:eastAsia="es-ES"/>
        </w:rPr>
      </w:pPr>
      <w:r>
        <w:br w:type="page"/>
      </w:r>
    </w:p>
    <w:p w14:paraId="16D1B1D0" w14:textId="77777777" w:rsidR="00F64776" w:rsidRDefault="00F64776" w:rsidP="00F64776">
      <w:pPr>
        <w:pStyle w:val="TtuloResolucin"/>
      </w:pPr>
      <w:bookmarkStart w:id="292" w:name="AUTO_2023_507"/>
      <w:r>
        <w:t>AUTO 507/2023, de 2 de noviembre de 2023</w:t>
      </w:r>
    </w:p>
    <w:bookmarkEnd w:id="292"/>
    <w:p w14:paraId="077EF66F" w14:textId="77777777" w:rsidR="00F64776" w:rsidRDefault="00F64776" w:rsidP="00F64776">
      <w:pPr>
        <w:pStyle w:val="TtuloResolucin"/>
      </w:pPr>
      <w:r>
        <w:t>Sección Tercera</w:t>
      </w:r>
    </w:p>
    <w:p w14:paraId="7DAB3C9D" w14:textId="77777777" w:rsidR="00F64776" w:rsidRDefault="00F64776" w:rsidP="00F64776">
      <w:pPr>
        <w:pStyle w:val="TextoNormalCentrado"/>
      </w:pPr>
      <w:r>
        <w:t>ECLI:ES:TC:2023:507A</w:t>
      </w:r>
    </w:p>
    <w:p w14:paraId="7ABB2EBE" w14:textId="79FD18BE" w:rsidR="00F64776" w:rsidRDefault="00F64776" w:rsidP="00F64776">
      <w:pPr>
        <w:pStyle w:val="TextoNormalCentrado"/>
      </w:pPr>
    </w:p>
    <w:p w14:paraId="380528AA" w14:textId="77777777" w:rsidR="00F64776" w:rsidRDefault="00F64776" w:rsidP="00F64776">
      <w:pPr>
        <w:pStyle w:val="SntesisDescriptiva"/>
      </w:pPr>
      <w:r>
        <w:t>Excms. Srs. doña Inmaculada Montalbán Huertas y doña Laura Díez Bueso.</w:t>
      </w:r>
    </w:p>
    <w:p w14:paraId="2F386F3B" w14:textId="2310010E" w:rsidR="00F64776" w:rsidRDefault="00F64776" w:rsidP="00F64776">
      <w:pPr>
        <w:pStyle w:val="SntesisDescriptiva"/>
      </w:pPr>
    </w:p>
    <w:p w14:paraId="68F01574" w14:textId="77777777" w:rsidR="00F64776" w:rsidRDefault="00F64776" w:rsidP="00F64776">
      <w:pPr>
        <w:pStyle w:val="SntesisDescriptiva"/>
      </w:pPr>
      <w:r>
        <w:t>Acepta una abstención en el recurso de amparo 2924-2023, promovido en proceso contencioso administrativo.</w:t>
      </w:r>
    </w:p>
    <w:p w14:paraId="1ABA14D6" w14:textId="6FBE0C70" w:rsidR="00F64776" w:rsidRDefault="00F64776" w:rsidP="00F64776">
      <w:pPr>
        <w:pStyle w:val="SntesisDescriptiva"/>
      </w:pPr>
    </w:p>
    <w:p w14:paraId="43138249" w14:textId="77777777" w:rsidR="00F64776" w:rsidRDefault="00F64776" w:rsidP="00F64776">
      <w:pPr>
        <w:pStyle w:val="SntesisDescriptiva"/>
      </w:pPr>
    </w:p>
    <w:p w14:paraId="07992B08" w14:textId="77777777" w:rsidR="00F64776" w:rsidRDefault="00F64776" w:rsidP="00F64776">
      <w:pPr>
        <w:pStyle w:val="SntesisDescriptiva"/>
      </w:pPr>
    </w:p>
    <w:p w14:paraId="56110590" w14:textId="77777777" w:rsidR="00F64776" w:rsidRDefault="00F64776" w:rsidP="00F64776">
      <w:pPr>
        <w:pStyle w:val="TextoNormalNegritaCentrado"/>
      </w:pPr>
      <w:r>
        <w:t>AUTO</w:t>
      </w:r>
    </w:p>
    <w:p w14:paraId="2BC51A63" w14:textId="439213DE" w:rsidR="00F64776" w:rsidRDefault="00F64776" w:rsidP="00F64776">
      <w:pPr>
        <w:pStyle w:val="TextoNormalNegritaCentrado"/>
      </w:pPr>
    </w:p>
    <w:p w14:paraId="473E4B7F" w14:textId="77777777" w:rsidR="00F64776" w:rsidRDefault="00F64776" w:rsidP="00F64776">
      <w:pPr>
        <w:pStyle w:val="TextoNormalNegritaCentrado"/>
        <w:keepNext/>
      </w:pPr>
      <w:r>
        <w:t>I. Antecedentes</w:t>
      </w:r>
    </w:p>
    <w:p w14:paraId="6A2FEC31" w14:textId="4B84F881" w:rsidR="00F64776" w:rsidRDefault="00F64776" w:rsidP="00F64776">
      <w:pPr>
        <w:pStyle w:val="TextoNormalNegritaCentrado"/>
        <w:keepNext/>
      </w:pPr>
    </w:p>
    <w:p w14:paraId="11544B45" w14:textId="4A0F2B24" w:rsidR="00F64776" w:rsidRDefault="00F64776" w:rsidP="00F64776">
      <w:pPr>
        <w:pStyle w:val="TextoNormal"/>
      </w:pPr>
      <w:r w:rsidRPr="00F64776">
        <w:rPr>
          <w:rStyle w:val="NumeroAFNegritaCaracter"/>
        </w:rPr>
        <w:t>1</w:t>
      </w:r>
      <w:r>
        <w:t>. Mediante escrito registrado en este tribunal el 4 de mayo de 2023, el procurador de los tribunales don José María Ruiz de la Cuesta Vacas, en nombre y representación de doña Ana Rosa Hernández Martín y bajo la dirección del letrado don Francisco Javier Araúz de Robles Dávila formuló demanda de amparo contra la providencia de 16 de marzo de 2023 dictada por la Sala de lo Contencioso-Administrativo del Tribunal Supremo, en el recurso de casación núm. 1920-2022 contra la sentencia dictada por la Sección Segunda de la Sala de lo Contencioso-Administrativo del Tribunal Superior de Justicia de Santa Cruz de Tenerife, en recurso de apelación núm. 192-2021.</w:t>
      </w:r>
    </w:p>
    <w:p w14:paraId="13D1B05D" w14:textId="77777777" w:rsidR="00F64776" w:rsidRDefault="00F64776" w:rsidP="00F64776">
      <w:pPr>
        <w:pStyle w:val="TextoNormal"/>
      </w:pPr>
    </w:p>
    <w:p w14:paraId="19F03BD4" w14:textId="54CE4137" w:rsidR="00F64776" w:rsidRDefault="00F64776" w:rsidP="00F64776">
      <w:pPr>
        <w:pStyle w:val="TextoNormal"/>
      </w:pPr>
      <w:r w:rsidRPr="00F64776">
        <w:rPr>
          <w:rStyle w:val="NumeroAFNegritaCaracter"/>
        </w:rPr>
        <w:t>2</w:t>
      </w:r>
      <w:r>
        <w:t>. Por escrito de 22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7243FEE2" w14:textId="77777777" w:rsidR="00F64776" w:rsidRDefault="00F64776" w:rsidP="00F64776">
      <w:pPr>
        <w:pStyle w:val="TextoNormal"/>
      </w:pPr>
    </w:p>
    <w:p w14:paraId="71BF1F40" w14:textId="77777777" w:rsidR="00F64776" w:rsidRDefault="00F64776" w:rsidP="00F64776">
      <w:pPr>
        <w:pStyle w:val="TextoNormalNegritaCentrado"/>
        <w:keepNext/>
      </w:pPr>
      <w:r>
        <w:t>II. Fundamentos jurídicos</w:t>
      </w:r>
    </w:p>
    <w:p w14:paraId="5B54DD95" w14:textId="61C58654" w:rsidR="00F64776" w:rsidRDefault="00F64776" w:rsidP="00F64776">
      <w:pPr>
        <w:pStyle w:val="TextoNormalNegritaCentrado"/>
        <w:keepNext/>
      </w:pPr>
    </w:p>
    <w:p w14:paraId="0F89A034" w14:textId="2BA89FBA"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6600E989" w14:textId="77777777" w:rsidR="00F64776" w:rsidRDefault="00F64776" w:rsidP="00F64776">
      <w:pPr>
        <w:pStyle w:val="TextoNormal"/>
      </w:pPr>
    </w:p>
    <w:p w14:paraId="20241DF1" w14:textId="77777777" w:rsidR="00F64776" w:rsidRDefault="00F64776" w:rsidP="00F64776">
      <w:pPr>
        <w:pStyle w:val="TextoNormal"/>
      </w:pPr>
      <w:r>
        <w:t>Por lo expuesto, la Sección</w:t>
      </w:r>
    </w:p>
    <w:p w14:paraId="0803F6B4" w14:textId="1B1C1A28" w:rsidR="00F64776" w:rsidRDefault="00F64776" w:rsidP="00F64776">
      <w:pPr>
        <w:pStyle w:val="TextoNormal"/>
      </w:pPr>
    </w:p>
    <w:p w14:paraId="081B1FAD" w14:textId="77777777" w:rsidR="00F64776" w:rsidRDefault="00F64776" w:rsidP="00F64776">
      <w:pPr>
        <w:pStyle w:val="TextoNormalCentrado"/>
      </w:pPr>
      <w:r>
        <w:t>ACUERDA</w:t>
      </w:r>
    </w:p>
    <w:p w14:paraId="00AE5D72" w14:textId="3C439796" w:rsidR="00F64776" w:rsidRDefault="00F64776" w:rsidP="00F64776">
      <w:pPr>
        <w:pStyle w:val="TextoNormalCentrado"/>
      </w:pPr>
    </w:p>
    <w:p w14:paraId="4AFD40FF" w14:textId="70B34AC7" w:rsidR="00F64776" w:rsidRDefault="00F64776" w:rsidP="00F64776">
      <w:pPr>
        <w:pStyle w:val="TextoNormal"/>
      </w:pPr>
      <w:r>
        <w:t>Estimar justificada la abstención formulada por el magistrado don César Tolosa Tribiño en el recurso de amparo núm. 2924-2023 y apartarle definitivamente del conocimiento del referido recurso y de todas sus incidencias.</w:t>
      </w:r>
    </w:p>
    <w:p w14:paraId="65275F1F" w14:textId="77777777" w:rsidR="00F64776" w:rsidRDefault="00F64776" w:rsidP="00F64776">
      <w:pPr>
        <w:pStyle w:val="TextoNormal"/>
      </w:pPr>
    </w:p>
    <w:p w14:paraId="6933A728" w14:textId="77777777" w:rsidR="00F64776" w:rsidRDefault="00F64776" w:rsidP="00F64776">
      <w:pPr>
        <w:pStyle w:val="TextoNormal"/>
      </w:pPr>
      <w:r>
        <w:t>Madrid, a dos de noviembre de dos mil veintitrés.</w:t>
      </w:r>
    </w:p>
    <w:p w14:paraId="15B698D4" w14:textId="1911B60A" w:rsidR="00F64776" w:rsidRDefault="00F64776">
      <w:pPr>
        <w:spacing w:after="160" w:line="278" w:lineRule="auto"/>
        <w:rPr>
          <w:rFonts w:ascii="Times New Roman" w:eastAsia="Times New Roman" w:hAnsi="Times New Roman" w:cs="Times New Roman"/>
          <w:sz w:val="24"/>
          <w:szCs w:val="24"/>
          <w:lang w:eastAsia="es-ES"/>
        </w:rPr>
      </w:pPr>
      <w:r>
        <w:br w:type="page"/>
      </w:r>
    </w:p>
    <w:p w14:paraId="79514D10" w14:textId="77777777" w:rsidR="00F64776" w:rsidRDefault="00F64776" w:rsidP="00F64776">
      <w:pPr>
        <w:pStyle w:val="TtuloResolucin"/>
      </w:pPr>
      <w:bookmarkStart w:id="293" w:name="AUTO_2023_508"/>
      <w:r>
        <w:t>AUTO 508/2023, de 2 de noviembre de 2023</w:t>
      </w:r>
    </w:p>
    <w:bookmarkEnd w:id="293"/>
    <w:p w14:paraId="6BA8EFF1" w14:textId="77777777" w:rsidR="00F64776" w:rsidRDefault="00F64776" w:rsidP="00F64776">
      <w:pPr>
        <w:pStyle w:val="TtuloResolucin"/>
      </w:pPr>
      <w:r>
        <w:t>Sección Tercera</w:t>
      </w:r>
    </w:p>
    <w:p w14:paraId="6F6464F9" w14:textId="77777777" w:rsidR="00F64776" w:rsidRDefault="00F64776" w:rsidP="00F64776">
      <w:pPr>
        <w:pStyle w:val="TextoNormalCentrado"/>
      </w:pPr>
      <w:r>
        <w:t>ECLI:ES:TC:2023:508A</w:t>
      </w:r>
    </w:p>
    <w:p w14:paraId="52A044E6" w14:textId="6980059E" w:rsidR="00F64776" w:rsidRDefault="00F64776" w:rsidP="00F64776">
      <w:pPr>
        <w:pStyle w:val="TextoNormalCentrado"/>
      </w:pPr>
    </w:p>
    <w:p w14:paraId="471620AA" w14:textId="77777777" w:rsidR="00F64776" w:rsidRDefault="00F64776" w:rsidP="00F64776">
      <w:pPr>
        <w:pStyle w:val="SntesisDescriptiva"/>
      </w:pPr>
      <w:r>
        <w:t>Excms. Srs. doña Inmaculada Montalbán Huertas y doña Laura Díez Bueso.</w:t>
      </w:r>
    </w:p>
    <w:p w14:paraId="35B2C819" w14:textId="26B34977" w:rsidR="00F64776" w:rsidRDefault="00F64776" w:rsidP="00F64776">
      <w:pPr>
        <w:pStyle w:val="SntesisDescriptiva"/>
      </w:pPr>
    </w:p>
    <w:p w14:paraId="06A85601" w14:textId="77777777" w:rsidR="00F64776" w:rsidRDefault="00F64776" w:rsidP="00F64776">
      <w:pPr>
        <w:pStyle w:val="SntesisDescriptiva"/>
      </w:pPr>
      <w:r>
        <w:t>Acepta una abstención en el recurso de amparo 2978-2023, promovido en proceso contencioso administrativo.</w:t>
      </w:r>
    </w:p>
    <w:p w14:paraId="1EEE2AD3" w14:textId="31EDB0E7" w:rsidR="00F64776" w:rsidRDefault="00F64776" w:rsidP="00F64776">
      <w:pPr>
        <w:pStyle w:val="SntesisDescriptiva"/>
      </w:pPr>
    </w:p>
    <w:p w14:paraId="0136361C" w14:textId="77777777" w:rsidR="00F64776" w:rsidRDefault="00F64776" w:rsidP="00F64776">
      <w:pPr>
        <w:pStyle w:val="SntesisDescriptiva"/>
      </w:pPr>
    </w:p>
    <w:p w14:paraId="37E8C6A0" w14:textId="77777777" w:rsidR="00F64776" w:rsidRDefault="00F64776" w:rsidP="00F64776">
      <w:pPr>
        <w:pStyle w:val="SntesisDescriptiva"/>
      </w:pPr>
    </w:p>
    <w:p w14:paraId="13348873" w14:textId="77777777" w:rsidR="00F64776" w:rsidRDefault="00F64776" w:rsidP="00F64776">
      <w:pPr>
        <w:pStyle w:val="TextoNormalNegritaCentrado"/>
      </w:pPr>
      <w:r>
        <w:t>AUTO</w:t>
      </w:r>
    </w:p>
    <w:p w14:paraId="43F05866" w14:textId="767C2215" w:rsidR="00F64776" w:rsidRDefault="00F64776" w:rsidP="00F64776">
      <w:pPr>
        <w:pStyle w:val="TextoNormalNegritaCentrado"/>
      </w:pPr>
    </w:p>
    <w:p w14:paraId="34986B9F" w14:textId="77777777" w:rsidR="00F64776" w:rsidRDefault="00F64776" w:rsidP="00F64776">
      <w:pPr>
        <w:pStyle w:val="TextoNormalNegritaCentrado"/>
        <w:keepNext/>
      </w:pPr>
      <w:r>
        <w:t>I. Antecedentes</w:t>
      </w:r>
    </w:p>
    <w:p w14:paraId="4B98BE6F" w14:textId="3DCE762D" w:rsidR="00F64776" w:rsidRDefault="00F64776" w:rsidP="00F64776">
      <w:pPr>
        <w:pStyle w:val="TextoNormalNegritaCentrado"/>
        <w:keepNext/>
      </w:pPr>
    </w:p>
    <w:p w14:paraId="1FC37CDC" w14:textId="0B3FBD28" w:rsidR="00F64776" w:rsidRDefault="00F64776" w:rsidP="00F64776">
      <w:pPr>
        <w:pStyle w:val="TextoNormal"/>
      </w:pPr>
      <w:r w:rsidRPr="00F64776">
        <w:rPr>
          <w:rStyle w:val="NumeroAFNegritaCaracter"/>
        </w:rPr>
        <w:t>1</w:t>
      </w:r>
      <w:r>
        <w:t>. Mediante escrito registrado en este tribunal el 8 de mayo de 2023, el procurador de los tribunales don José María Ruiz de la Cuesta Vacas, en nombre y representación de doña María del Carmen Quintana Jiménez y bajo la dirección del letrado don Francisco Javier Araúz de Robles Dávila formuló demanda de amparo contra la providencia de la Sección Primera de la Sala de lo Contencioso-Administrativo del Tribunal Supremo, en recurso de casación núm. 2009-2022.</w:t>
      </w:r>
    </w:p>
    <w:p w14:paraId="212B071F" w14:textId="77777777" w:rsidR="00F64776" w:rsidRDefault="00F64776" w:rsidP="00F64776">
      <w:pPr>
        <w:pStyle w:val="TextoNormal"/>
      </w:pPr>
    </w:p>
    <w:p w14:paraId="0C934EA9" w14:textId="71C70A29" w:rsidR="00F64776" w:rsidRDefault="00F64776" w:rsidP="00F64776">
      <w:pPr>
        <w:pStyle w:val="TextoNormal"/>
      </w:pPr>
      <w:r w:rsidRPr="00F64776">
        <w:rPr>
          <w:rStyle w:val="NumeroAFNegritaCaracter"/>
        </w:rPr>
        <w:t>2</w:t>
      </w:r>
      <w:r>
        <w:t>. Por escrito de 22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041533E3" w14:textId="77777777" w:rsidR="00F64776" w:rsidRDefault="00F64776" w:rsidP="00F64776">
      <w:pPr>
        <w:pStyle w:val="TextoNormal"/>
      </w:pPr>
    </w:p>
    <w:p w14:paraId="03822E21" w14:textId="77777777" w:rsidR="00F64776" w:rsidRDefault="00F64776" w:rsidP="00F64776">
      <w:pPr>
        <w:pStyle w:val="TextoNormalNegritaCentrado"/>
        <w:keepNext/>
      </w:pPr>
      <w:r>
        <w:t>II. Fundamentos jurídicos</w:t>
      </w:r>
    </w:p>
    <w:p w14:paraId="537FAB22" w14:textId="63D52891" w:rsidR="00F64776" w:rsidRDefault="00F64776" w:rsidP="00F64776">
      <w:pPr>
        <w:pStyle w:val="TextoNormalNegritaCentrado"/>
        <w:keepNext/>
      </w:pPr>
    </w:p>
    <w:p w14:paraId="1F2C662E" w14:textId="3753756F"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2E1905EE" w14:textId="77777777" w:rsidR="00F64776" w:rsidRDefault="00F64776" w:rsidP="00F64776">
      <w:pPr>
        <w:pStyle w:val="TextoNormal"/>
      </w:pPr>
    </w:p>
    <w:p w14:paraId="2C992CE4" w14:textId="77777777" w:rsidR="00F64776" w:rsidRDefault="00F64776" w:rsidP="00F64776">
      <w:pPr>
        <w:pStyle w:val="TextoNormal"/>
      </w:pPr>
      <w:r>
        <w:t>Por lo expuesto, la Sección</w:t>
      </w:r>
    </w:p>
    <w:p w14:paraId="1494FD6C" w14:textId="32CAE3FD" w:rsidR="00F64776" w:rsidRDefault="00F64776" w:rsidP="00F64776">
      <w:pPr>
        <w:pStyle w:val="TextoNormal"/>
      </w:pPr>
    </w:p>
    <w:p w14:paraId="1A4CA82A" w14:textId="77777777" w:rsidR="00F64776" w:rsidRDefault="00F64776" w:rsidP="00F64776">
      <w:pPr>
        <w:pStyle w:val="TextoNormalCentrado"/>
      </w:pPr>
      <w:r>
        <w:t>ACUERDA</w:t>
      </w:r>
    </w:p>
    <w:p w14:paraId="1DD4E230" w14:textId="0AF5FF37" w:rsidR="00F64776" w:rsidRDefault="00F64776" w:rsidP="00F64776">
      <w:pPr>
        <w:pStyle w:val="TextoNormalCentrado"/>
      </w:pPr>
    </w:p>
    <w:p w14:paraId="78F1D743" w14:textId="70DC0DB6" w:rsidR="00F64776" w:rsidRDefault="00F64776" w:rsidP="00F64776">
      <w:pPr>
        <w:pStyle w:val="TextoNormal"/>
      </w:pPr>
      <w:r>
        <w:t>Estimar justificada la abstención formulada por el magistrado don César Tolosa Tribiño en el recurso de amparo núm. 2978-2023 y apartarle definitivamente del conocimiento del referido recurso y de todas sus incidencias.</w:t>
      </w:r>
    </w:p>
    <w:p w14:paraId="38A5FCBA" w14:textId="77777777" w:rsidR="00F64776" w:rsidRDefault="00F64776" w:rsidP="00F64776">
      <w:pPr>
        <w:pStyle w:val="TextoNormal"/>
      </w:pPr>
    </w:p>
    <w:p w14:paraId="404B0BFA" w14:textId="77777777" w:rsidR="00F64776" w:rsidRDefault="00F64776" w:rsidP="00F64776">
      <w:pPr>
        <w:pStyle w:val="TextoNormal"/>
      </w:pPr>
      <w:r>
        <w:t>Madrid, a dos de noviembre de dos mil veintitrés.</w:t>
      </w:r>
    </w:p>
    <w:p w14:paraId="0D408216" w14:textId="7ECB2EF9" w:rsidR="00F64776" w:rsidRDefault="00F64776">
      <w:pPr>
        <w:spacing w:after="160" w:line="278" w:lineRule="auto"/>
        <w:rPr>
          <w:rFonts w:ascii="Times New Roman" w:eastAsia="Times New Roman" w:hAnsi="Times New Roman" w:cs="Times New Roman"/>
          <w:sz w:val="24"/>
          <w:szCs w:val="24"/>
          <w:lang w:eastAsia="es-ES"/>
        </w:rPr>
      </w:pPr>
      <w:r>
        <w:br w:type="page"/>
      </w:r>
    </w:p>
    <w:p w14:paraId="453CFE4C" w14:textId="77777777" w:rsidR="00F64776" w:rsidRDefault="00F64776" w:rsidP="00F64776">
      <w:pPr>
        <w:pStyle w:val="TtuloResolucin"/>
      </w:pPr>
      <w:bookmarkStart w:id="294" w:name="AUTO_2023_509"/>
      <w:r>
        <w:t>AUTO 509/2023, de 2 de noviembre de 2023</w:t>
      </w:r>
    </w:p>
    <w:bookmarkEnd w:id="294"/>
    <w:p w14:paraId="6F91E0E6" w14:textId="77777777" w:rsidR="00F64776" w:rsidRDefault="00F64776" w:rsidP="00F64776">
      <w:pPr>
        <w:pStyle w:val="TtuloResolucin"/>
      </w:pPr>
      <w:r>
        <w:t>Sección Tercera</w:t>
      </w:r>
    </w:p>
    <w:p w14:paraId="5BB05587" w14:textId="77777777" w:rsidR="00F64776" w:rsidRDefault="00F64776" w:rsidP="00F64776">
      <w:pPr>
        <w:pStyle w:val="TextoNormalCentrado"/>
      </w:pPr>
      <w:r>
        <w:t>ECLI:ES:TC:2023:509A</w:t>
      </w:r>
    </w:p>
    <w:p w14:paraId="73D29599" w14:textId="70C1F3BC" w:rsidR="00F64776" w:rsidRDefault="00F64776" w:rsidP="00F64776">
      <w:pPr>
        <w:pStyle w:val="TextoNormalCentrado"/>
      </w:pPr>
    </w:p>
    <w:p w14:paraId="65A99EA1" w14:textId="77777777" w:rsidR="00F64776" w:rsidRDefault="00F64776" w:rsidP="00F64776">
      <w:pPr>
        <w:pStyle w:val="SntesisDescriptiva"/>
      </w:pPr>
      <w:r>
        <w:t>Excms. Srs. doña Inmaculada Montalbán Huertas y doña Laura Díez Bueso.</w:t>
      </w:r>
    </w:p>
    <w:p w14:paraId="51D6E6E0" w14:textId="3C640F3E" w:rsidR="00F64776" w:rsidRDefault="00F64776" w:rsidP="00F64776">
      <w:pPr>
        <w:pStyle w:val="SntesisDescriptiva"/>
      </w:pPr>
    </w:p>
    <w:p w14:paraId="468C2F4F" w14:textId="77777777" w:rsidR="00F64776" w:rsidRDefault="00F64776" w:rsidP="00F64776">
      <w:pPr>
        <w:pStyle w:val="SntesisDescriptiva"/>
      </w:pPr>
      <w:r>
        <w:t>Acepta una abstención en el recurso de amparo 3062-2023, promovido en proceso contencioso administrativo.</w:t>
      </w:r>
    </w:p>
    <w:p w14:paraId="30C0E76B" w14:textId="737ABC06" w:rsidR="00F64776" w:rsidRDefault="00F64776" w:rsidP="00F64776">
      <w:pPr>
        <w:pStyle w:val="SntesisDescriptiva"/>
      </w:pPr>
    </w:p>
    <w:p w14:paraId="12F7400C" w14:textId="77777777" w:rsidR="00F64776" w:rsidRDefault="00F64776" w:rsidP="00F64776">
      <w:pPr>
        <w:pStyle w:val="SntesisDescriptiva"/>
      </w:pPr>
    </w:p>
    <w:p w14:paraId="452500FB" w14:textId="77777777" w:rsidR="00F64776" w:rsidRDefault="00F64776" w:rsidP="00F64776">
      <w:pPr>
        <w:pStyle w:val="SntesisDescriptiva"/>
      </w:pPr>
    </w:p>
    <w:p w14:paraId="58A552BB" w14:textId="77777777" w:rsidR="00F64776" w:rsidRDefault="00F64776" w:rsidP="00F64776">
      <w:pPr>
        <w:pStyle w:val="TextoNormalNegritaCentrado"/>
      </w:pPr>
      <w:r>
        <w:t>AUTO</w:t>
      </w:r>
    </w:p>
    <w:p w14:paraId="2809B032" w14:textId="16B92AA2" w:rsidR="00F64776" w:rsidRDefault="00F64776" w:rsidP="00F64776">
      <w:pPr>
        <w:pStyle w:val="TextoNormalNegritaCentrado"/>
      </w:pPr>
    </w:p>
    <w:p w14:paraId="1DDA9AA2" w14:textId="77777777" w:rsidR="00F64776" w:rsidRDefault="00F64776" w:rsidP="00F64776">
      <w:pPr>
        <w:pStyle w:val="TextoNormalNegritaCentrado"/>
        <w:keepNext/>
      </w:pPr>
      <w:r>
        <w:t>I. Antecedentes</w:t>
      </w:r>
    </w:p>
    <w:p w14:paraId="4CDBE69B" w14:textId="2B2AA3CC" w:rsidR="00F64776" w:rsidRDefault="00F64776" w:rsidP="00F64776">
      <w:pPr>
        <w:pStyle w:val="TextoNormalNegritaCentrado"/>
        <w:keepNext/>
      </w:pPr>
    </w:p>
    <w:p w14:paraId="3785BA20" w14:textId="28D210D5" w:rsidR="00F64776" w:rsidRDefault="00F64776" w:rsidP="00F64776">
      <w:pPr>
        <w:pStyle w:val="TextoNormal"/>
      </w:pPr>
      <w:r w:rsidRPr="00F64776">
        <w:rPr>
          <w:rStyle w:val="NumeroAFNegritaCaracter"/>
        </w:rPr>
        <w:t>1</w:t>
      </w:r>
      <w:r>
        <w:t>. Mediante escrito registrado en este tribunal el 9 de mayo de 2023, el procurador de los tribunales don José María Ruiz de la Cuesta Vacas, en nombre y representación de doña Patricia Hernangil Quintero y otros y bajo la dirección del letrado don Francisco Javier Araúz de Robles Dávila formuló demanda de amparo contra el auto de 22 de marzo de 2023 de la Sección Primera de la Sala de lo Contencioso-Administrativo del Tribunal Supremo, en recurso de queja núm. 441-2022.</w:t>
      </w:r>
    </w:p>
    <w:p w14:paraId="313BA3B1" w14:textId="77777777" w:rsidR="00F64776" w:rsidRDefault="00F64776" w:rsidP="00F64776">
      <w:pPr>
        <w:pStyle w:val="TextoNormal"/>
      </w:pPr>
    </w:p>
    <w:p w14:paraId="1A0131D3" w14:textId="6D119D04" w:rsidR="00F64776" w:rsidRDefault="00F64776" w:rsidP="00F64776">
      <w:pPr>
        <w:pStyle w:val="TextoNormal"/>
      </w:pPr>
      <w:r w:rsidRPr="00F64776">
        <w:rPr>
          <w:rStyle w:val="NumeroAFNegritaCaracter"/>
        </w:rPr>
        <w:t>2</w:t>
      </w:r>
      <w:r>
        <w:t>. Por escrito de 22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3714809C" w14:textId="77777777" w:rsidR="00F64776" w:rsidRDefault="00F64776" w:rsidP="00F64776">
      <w:pPr>
        <w:pStyle w:val="TextoNormal"/>
      </w:pPr>
    </w:p>
    <w:p w14:paraId="70DB42B8" w14:textId="77777777" w:rsidR="00F64776" w:rsidRDefault="00F64776" w:rsidP="00F64776">
      <w:pPr>
        <w:pStyle w:val="TextoNormalNegritaCentrado"/>
        <w:keepNext/>
      </w:pPr>
      <w:r>
        <w:t>II. Fundamentos jurídicos</w:t>
      </w:r>
    </w:p>
    <w:p w14:paraId="3AF69452" w14:textId="20A4E469" w:rsidR="00F64776" w:rsidRDefault="00F64776" w:rsidP="00F64776">
      <w:pPr>
        <w:pStyle w:val="TextoNormalNegritaCentrado"/>
        <w:keepNext/>
      </w:pPr>
    </w:p>
    <w:p w14:paraId="33EE37DC" w14:textId="76117FA8"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7E142E4D" w14:textId="77777777" w:rsidR="00F64776" w:rsidRDefault="00F64776" w:rsidP="00F64776">
      <w:pPr>
        <w:pStyle w:val="TextoNormal"/>
      </w:pPr>
    </w:p>
    <w:p w14:paraId="0F3375D9" w14:textId="77777777" w:rsidR="00F64776" w:rsidRDefault="00F64776" w:rsidP="00F64776">
      <w:pPr>
        <w:pStyle w:val="TextoNormal"/>
      </w:pPr>
      <w:r>
        <w:t>Por lo expuesto, la Sección</w:t>
      </w:r>
    </w:p>
    <w:p w14:paraId="4E086781" w14:textId="33779F9F" w:rsidR="00F64776" w:rsidRDefault="00F64776" w:rsidP="00F64776">
      <w:pPr>
        <w:pStyle w:val="TextoNormal"/>
      </w:pPr>
    </w:p>
    <w:p w14:paraId="2F9185E1" w14:textId="77777777" w:rsidR="00F64776" w:rsidRDefault="00F64776" w:rsidP="00F64776">
      <w:pPr>
        <w:pStyle w:val="TextoNormalCentrado"/>
      </w:pPr>
      <w:r>
        <w:t>ACUERDA</w:t>
      </w:r>
    </w:p>
    <w:p w14:paraId="5BDC1667" w14:textId="255456C5" w:rsidR="00F64776" w:rsidRDefault="00F64776" w:rsidP="00F64776">
      <w:pPr>
        <w:pStyle w:val="TextoNormalCentrado"/>
      </w:pPr>
    </w:p>
    <w:p w14:paraId="0C455E9D" w14:textId="5C4B678E" w:rsidR="00F64776" w:rsidRDefault="00F64776" w:rsidP="00F64776">
      <w:pPr>
        <w:pStyle w:val="TextoNormal"/>
      </w:pPr>
      <w:r>
        <w:t>Estimar justificada la abstención formulada por el magistrado don César Tolosa Tribiño en el recurso de amparo núm. 3062-2023 y apartarle definitivamente del conocimiento del referido recurso y de todas sus incidencias.</w:t>
      </w:r>
    </w:p>
    <w:p w14:paraId="01DBEC75" w14:textId="77777777" w:rsidR="00F64776" w:rsidRDefault="00F64776" w:rsidP="00F64776">
      <w:pPr>
        <w:pStyle w:val="TextoNormal"/>
      </w:pPr>
    </w:p>
    <w:p w14:paraId="2AB9EBDB" w14:textId="77777777" w:rsidR="00F64776" w:rsidRDefault="00F64776" w:rsidP="00F64776">
      <w:pPr>
        <w:pStyle w:val="TextoNormal"/>
      </w:pPr>
      <w:r>
        <w:t>Madrid, a dos de noviembre de dos mil veintitrés.</w:t>
      </w:r>
    </w:p>
    <w:p w14:paraId="640C8E0E" w14:textId="50B2979C" w:rsidR="00F64776" w:rsidRDefault="00F64776">
      <w:pPr>
        <w:spacing w:after="160" w:line="278" w:lineRule="auto"/>
        <w:rPr>
          <w:rFonts w:ascii="Times New Roman" w:eastAsia="Times New Roman" w:hAnsi="Times New Roman" w:cs="Times New Roman"/>
          <w:sz w:val="24"/>
          <w:szCs w:val="24"/>
          <w:lang w:eastAsia="es-ES"/>
        </w:rPr>
      </w:pPr>
      <w:r>
        <w:br w:type="page"/>
      </w:r>
    </w:p>
    <w:p w14:paraId="6267780B" w14:textId="77777777" w:rsidR="00F64776" w:rsidRDefault="00F64776" w:rsidP="00F64776">
      <w:pPr>
        <w:pStyle w:val="TtuloResolucin"/>
      </w:pPr>
      <w:bookmarkStart w:id="295" w:name="AUTO_2023_510"/>
      <w:r>
        <w:t>AUTO 510/2023, de 2 de noviembre de 2023</w:t>
      </w:r>
    </w:p>
    <w:bookmarkEnd w:id="295"/>
    <w:p w14:paraId="7AF7C824" w14:textId="77777777" w:rsidR="00F64776" w:rsidRDefault="00F64776" w:rsidP="00F64776">
      <w:pPr>
        <w:pStyle w:val="TtuloResolucin"/>
      </w:pPr>
      <w:r>
        <w:t>Sección Tercera</w:t>
      </w:r>
    </w:p>
    <w:p w14:paraId="15AD8C97" w14:textId="77777777" w:rsidR="00F64776" w:rsidRDefault="00F64776" w:rsidP="00F64776">
      <w:pPr>
        <w:pStyle w:val="TextoNormalCentrado"/>
      </w:pPr>
      <w:r>
        <w:t>ECLI:ES:TC:2023:510A</w:t>
      </w:r>
    </w:p>
    <w:p w14:paraId="5EE435BB" w14:textId="73EE3D2B" w:rsidR="00F64776" w:rsidRDefault="00F64776" w:rsidP="00F64776">
      <w:pPr>
        <w:pStyle w:val="TextoNormalCentrado"/>
      </w:pPr>
    </w:p>
    <w:p w14:paraId="5A313C69" w14:textId="77777777" w:rsidR="00F64776" w:rsidRDefault="00F64776" w:rsidP="00F64776">
      <w:pPr>
        <w:pStyle w:val="SntesisDescriptiva"/>
      </w:pPr>
      <w:r>
        <w:t>Excms. Srs. doña Inmaculada Montalbán Huertas y doña Laura Díez Bueso.</w:t>
      </w:r>
    </w:p>
    <w:p w14:paraId="5027120D" w14:textId="05EC6D7E" w:rsidR="00F64776" w:rsidRDefault="00F64776" w:rsidP="00F64776">
      <w:pPr>
        <w:pStyle w:val="SntesisDescriptiva"/>
      </w:pPr>
    </w:p>
    <w:p w14:paraId="55C669B0" w14:textId="77777777" w:rsidR="00F64776" w:rsidRDefault="00F64776" w:rsidP="00F64776">
      <w:pPr>
        <w:pStyle w:val="SntesisDescriptiva"/>
      </w:pPr>
      <w:r>
        <w:t>Acepta una abstención en el recurso de amparo 3084-2023, promovido en proceso contencioso administrativo.</w:t>
      </w:r>
    </w:p>
    <w:p w14:paraId="58D5D1B0" w14:textId="1DDA2B93" w:rsidR="00F64776" w:rsidRDefault="00F64776" w:rsidP="00F64776">
      <w:pPr>
        <w:pStyle w:val="SntesisDescriptiva"/>
      </w:pPr>
    </w:p>
    <w:p w14:paraId="76D48276" w14:textId="77777777" w:rsidR="00F64776" w:rsidRDefault="00F64776" w:rsidP="00F64776">
      <w:pPr>
        <w:pStyle w:val="SntesisDescriptiva"/>
      </w:pPr>
    </w:p>
    <w:p w14:paraId="309EB953" w14:textId="77777777" w:rsidR="00F64776" w:rsidRDefault="00F64776" w:rsidP="00F64776">
      <w:pPr>
        <w:pStyle w:val="SntesisDescriptiva"/>
      </w:pPr>
    </w:p>
    <w:p w14:paraId="5150B771" w14:textId="77777777" w:rsidR="00F64776" w:rsidRDefault="00F64776" w:rsidP="00F64776">
      <w:pPr>
        <w:pStyle w:val="TextoNormalNegritaCentrado"/>
      </w:pPr>
      <w:r>
        <w:t>AUTO</w:t>
      </w:r>
    </w:p>
    <w:p w14:paraId="550A61A3" w14:textId="0A509AD6" w:rsidR="00F64776" w:rsidRDefault="00F64776" w:rsidP="00F64776">
      <w:pPr>
        <w:pStyle w:val="TextoNormalNegritaCentrado"/>
      </w:pPr>
    </w:p>
    <w:p w14:paraId="72E8AD2D" w14:textId="77777777" w:rsidR="00F64776" w:rsidRDefault="00F64776" w:rsidP="00F64776">
      <w:pPr>
        <w:pStyle w:val="TextoNormalNegritaCentrado"/>
        <w:keepNext/>
      </w:pPr>
      <w:r>
        <w:t>I. Antecedentes</w:t>
      </w:r>
    </w:p>
    <w:p w14:paraId="53D3F186" w14:textId="04E57C92" w:rsidR="00F64776" w:rsidRDefault="00F64776" w:rsidP="00F64776">
      <w:pPr>
        <w:pStyle w:val="TextoNormalNegritaCentrado"/>
        <w:keepNext/>
      </w:pPr>
    </w:p>
    <w:p w14:paraId="09C90DDE" w14:textId="1F6D5A43" w:rsidR="00F64776" w:rsidRDefault="00F64776" w:rsidP="00F64776">
      <w:pPr>
        <w:pStyle w:val="TextoNormal"/>
      </w:pPr>
      <w:r w:rsidRPr="00F64776">
        <w:rPr>
          <w:rStyle w:val="NumeroAFNegritaCaracter"/>
        </w:rPr>
        <w:t>1</w:t>
      </w:r>
      <w:r>
        <w:t>. Mediante escrito registrado en este tribunal el 10 de mayo de 2023 el procurador de los tribunales don José María Ruiz de la Cuesta Vacas, en nombre y representación de José María Rijo Hernández y bajo la dirección del letrado don Francisco Javier Araúz de Robles Dávila, formuló demanda de amparo contra la providencia de 16 de marzo de 2023 dictada por la Sección Primera de la Sala de lo Contencioso-Administrativo del Tribunal Supremo, en recurso de casación núm. 267-2022.</w:t>
      </w:r>
    </w:p>
    <w:p w14:paraId="64A195DE" w14:textId="77777777" w:rsidR="00F64776" w:rsidRDefault="00F64776" w:rsidP="00F64776">
      <w:pPr>
        <w:pStyle w:val="TextoNormal"/>
      </w:pPr>
    </w:p>
    <w:p w14:paraId="4FD3E64F" w14:textId="57135289" w:rsidR="00F64776" w:rsidRDefault="00F64776" w:rsidP="00F64776">
      <w:pPr>
        <w:pStyle w:val="TextoNormal"/>
      </w:pPr>
      <w:r w:rsidRPr="00F64776">
        <w:rPr>
          <w:rStyle w:val="NumeroAFNegritaCaracter"/>
        </w:rPr>
        <w:t>2</w:t>
      </w:r>
      <w:r>
        <w:t>. Por escrito de 22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3A45F282" w14:textId="77777777" w:rsidR="00F64776" w:rsidRDefault="00F64776" w:rsidP="00F64776">
      <w:pPr>
        <w:pStyle w:val="TextoNormal"/>
      </w:pPr>
    </w:p>
    <w:p w14:paraId="34E48A45" w14:textId="77777777" w:rsidR="00F64776" w:rsidRDefault="00F64776" w:rsidP="00F64776">
      <w:pPr>
        <w:pStyle w:val="TextoNormalNegritaCentrado"/>
        <w:keepNext/>
      </w:pPr>
      <w:r>
        <w:t>II. Fundamentos jurídicos</w:t>
      </w:r>
    </w:p>
    <w:p w14:paraId="34BF23D3" w14:textId="23CE1ABD" w:rsidR="00F64776" w:rsidRDefault="00F64776" w:rsidP="00F64776">
      <w:pPr>
        <w:pStyle w:val="TextoNormalNegritaCentrado"/>
        <w:keepNext/>
      </w:pPr>
    </w:p>
    <w:p w14:paraId="699652C8" w14:textId="6633913E"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3F617B78" w14:textId="77777777" w:rsidR="00F64776" w:rsidRDefault="00F64776" w:rsidP="00F64776">
      <w:pPr>
        <w:pStyle w:val="TextoNormal"/>
      </w:pPr>
    </w:p>
    <w:p w14:paraId="07B20318" w14:textId="77777777" w:rsidR="00F64776" w:rsidRDefault="00F64776" w:rsidP="00F64776">
      <w:pPr>
        <w:pStyle w:val="TextoNormal"/>
      </w:pPr>
      <w:r>
        <w:t>Por lo expuesto, la Sección</w:t>
      </w:r>
    </w:p>
    <w:p w14:paraId="78B2730E" w14:textId="4AADC6D7" w:rsidR="00F64776" w:rsidRDefault="00F64776" w:rsidP="00F64776">
      <w:pPr>
        <w:pStyle w:val="TextoNormal"/>
      </w:pPr>
    </w:p>
    <w:p w14:paraId="5EC58F46" w14:textId="77777777" w:rsidR="00F64776" w:rsidRDefault="00F64776" w:rsidP="00F64776">
      <w:pPr>
        <w:pStyle w:val="TextoNormalCentrado"/>
      </w:pPr>
      <w:r>
        <w:t>ACUERDA</w:t>
      </w:r>
    </w:p>
    <w:p w14:paraId="05508B79" w14:textId="7E0346F1" w:rsidR="00F64776" w:rsidRDefault="00F64776" w:rsidP="00F64776">
      <w:pPr>
        <w:pStyle w:val="TextoNormalCentrado"/>
      </w:pPr>
    </w:p>
    <w:p w14:paraId="17D601E9" w14:textId="0813F98D" w:rsidR="00F64776" w:rsidRDefault="00F64776" w:rsidP="00F64776">
      <w:pPr>
        <w:pStyle w:val="TextoNormal"/>
      </w:pPr>
      <w:r>
        <w:t>Estimar justificada la abstención formulada por el magistrado don César Tolosa Tribiño en el recurso de amparo núm. 3084-2023 y apartarle definitivamente del conocimiento del referido recurso y de todas sus incidencias.</w:t>
      </w:r>
    </w:p>
    <w:p w14:paraId="2C4C444D" w14:textId="77777777" w:rsidR="00F64776" w:rsidRDefault="00F64776" w:rsidP="00F64776">
      <w:pPr>
        <w:pStyle w:val="TextoNormal"/>
      </w:pPr>
    </w:p>
    <w:p w14:paraId="5E7DEFAE" w14:textId="77777777" w:rsidR="00F64776" w:rsidRDefault="00F64776" w:rsidP="00F64776">
      <w:pPr>
        <w:pStyle w:val="TextoNormal"/>
      </w:pPr>
      <w:r>
        <w:t>Madrid, a dos de noviembre de dos mil veintitrés.</w:t>
      </w:r>
    </w:p>
    <w:p w14:paraId="26225131" w14:textId="43C4D9A7" w:rsidR="00F64776" w:rsidRDefault="00F64776">
      <w:pPr>
        <w:spacing w:after="160" w:line="278" w:lineRule="auto"/>
        <w:rPr>
          <w:rFonts w:ascii="Times New Roman" w:eastAsia="Times New Roman" w:hAnsi="Times New Roman" w:cs="Times New Roman"/>
          <w:sz w:val="24"/>
          <w:szCs w:val="24"/>
          <w:lang w:eastAsia="es-ES"/>
        </w:rPr>
      </w:pPr>
      <w:r>
        <w:br w:type="page"/>
      </w:r>
    </w:p>
    <w:p w14:paraId="1FCF2721" w14:textId="77777777" w:rsidR="00F64776" w:rsidRDefault="00F64776" w:rsidP="00F64776">
      <w:pPr>
        <w:pStyle w:val="TtuloResolucin"/>
      </w:pPr>
      <w:bookmarkStart w:id="296" w:name="AUTO_2023_511"/>
      <w:r>
        <w:t>AUTO 511/2023, de 2 de noviembre de 2023</w:t>
      </w:r>
    </w:p>
    <w:bookmarkEnd w:id="296"/>
    <w:p w14:paraId="3C044E5C" w14:textId="77777777" w:rsidR="00F64776" w:rsidRDefault="00F64776" w:rsidP="00F64776">
      <w:pPr>
        <w:pStyle w:val="TtuloResolucin"/>
      </w:pPr>
      <w:r>
        <w:t>Sección Tercera</w:t>
      </w:r>
    </w:p>
    <w:p w14:paraId="1A82924C" w14:textId="77777777" w:rsidR="00F64776" w:rsidRDefault="00F64776" w:rsidP="00F64776">
      <w:pPr>
        <w:pStyle w:val="TextoNormalCentrado"/>
      </w:pPr>
      <w:r>
        <w:t>ECLI:ES:TC:2023:511A</w:t>
      </w:r>
    </w:p>
    <w:p w14:paraId="52305EF3" w14:textId="10E0C8C3" w:rsidR="00F64776" w:rsidRDefault="00F64776" w:rsidP="00F64776">
      <w:pPr>
        <w:pStyle w:val="TextoNormalCentrado"/>
      </w:pPr>
    </w:p>
    <w:p w14:paraId="1FAE566A" w14:textId="77777777" w:rsidR="00F64776" w:rsidRDefault="00F64776" w:rsidP="00F64776">
      <w:pPr>
        <w:pStyle w:val="SntesisDescriptiva"/>
      </w:pPr>
      <w:r>
        <w:t>Excms. Srs. doña Inmaculada Montalbán Huertas y doña Laura Díez Bueso.</w:t>
      </w:r>
    </w:p>
    <w:p w14:paraId="7E40A602" w14:textId="112DA8B8" w:rsidR="00F64776" w:rsidRDefault="00F64776" w:rsidP="00F64776">
      <w:pPr>
        <w:pStyle w:val="SntesisDescriptiva"/>
      </w:pPr>
    </w:p>
    <w:p w14:paraId="6CC61DB1" w14:textId="77777777" w:rsidR="00F64776" w:rsidRDefault="00F64776" w:rsidP="00F64776">
      <w:pPr>
        <w:pStyle w:val="SntesisDescriptiva"/>
      </w:pPr>
      <w:r>
        <w:t>Acepta una abstención en el recurso de amparo 4035-2023, promovido en proceso contencioso administrativo.</w:t>
      </w:r>
    </w:p>
    <w:p w14:paraId="4A674AA5" w14:textId="77A76B23" w:rsidR="00F64776" w:rsidRDefault="00F64776" w:rsidP="00F64776">
      <w:pPr>
        <w:pStyle w:val="SntesisDescriptiva"/>
      </w:pPr>
    </w:p>
    <w:p w14:paraId="0D92EBFB" w14:textId="77777777" w:rsidR="00F64776" w:rsidRDefault="00F64776" w:rsidP="00F64776">
      <w:pPr>
        <w:pStyle w:val="SntesisDescriptiva"/>
      </w:pPr>
    </w:p>
    <w:p w14:paraId="71A6AE0C" w14:textId="77777777" w:rsidR="00F64776" w:rsidRDefault="00F64776" w:rsidP="00F64776">
      <w:pPr>
        <w:pStyle w:val="SntesisDescriptiva"/>
      </w:pPr>
    </w:p>
    <w:p w14:paraId="63A5F468" w14:textId="77777777" w:rsidR="00F64776" w:rsidRDefault="00F64776" w:rsidP="00F64776">
      <w:pPr>
        <w:pStyle w:val="TextoNormalNegritaCentrado"/>
      </w:pPr>
      <w:r>
        <w:t>AUTO</w:t>
      </w:r>
    </w:p>
    <w:p w14:paraId="3E3AD41A" w14:textId="71E7C60E" w:rsidR="00F64776" w:rsidRDefault="00F64776" w:rsidP="00F64776">
      <w:pPr>
        <w:pStyle w:val="TextoNormalNegritaCentrado"/>
      </w:pPr>
    </w:p>
    <w:p w14:paraId="1549DB08" w14:textId="77777777" w:rsidR="00F64776" w:rsidRDefault="00F64776" w:rsidP="00F64776">
      <w:pPr>
        <w:pStyle w:val="TextoNormalNegritaCentrado"/>
        <w:keepNext/>
      </w:pPr>
      <w:r>
        <w:t>I. Antecedentes</w:t>
      </w:r>
    </w:p>
    <w:p w14:paraId="661D8F9E" w14:textId="171B81A8" w:rsidR="00F64776" w:rsidRDefault="00F64776" w:rsidP="00F64776">
      <w:pPr>
        <w:pStyle w:val="TextoNormalNegritaCentrado"/>
        <w:keepNext/>
      </w:pPr>
    </w:p>
    <w:p w14:paraId="05163171" w14:textId="4C33CC93" w:rsidR="00F64776" w:rsidRDefault="00F64776" w:rsidP="00F64776">
      <w:pPr>
        <w:pStyle w:val="TextoNormal"/>
      </w:pPr>
      <w:r w:rsidRPr="00F64776">
        <w:rPr>
          <w:rStyle w:val="NumeroAFNegritaCaracter"/>
        </w:rPr>
        <w:t>1</w:t>
      </w:r>
      <w:r>
        <w:t>. Mediante escrito registrado en este tribunal el 13 de junio de 2023, la procuradora de los tribunales doña Ana María Araúz de Robles Villalón, en nombre y representación de José Miguel Triviño Rueda y bajo la dirección del letrado don Francisco Javier Araúz de Robles Dávila formuló demanda de amparo contra el auto de 22 de noviembre de 2022 de la Sección Primera de la Sala de lo Contencioso-Administrativo del Tribunal Supremo, en recurso de queja núm. 378-2022.</w:t>
      </w:r>
    </w:p>
    <w:p w14:paraId="63A95EFD" w14:textId="77777777" w:rsidR="00F64776" w:rsidRDefault="00F64776" w:rsidP="00F64776">
      <w:pPr>
        <w:pStyle w:val="TextoNormal"/>
      </w:pPr>
    </w:p>
    <w:p w14:paraId="068629EC" w14:textId="33ADA195" w:rsidR="00F64776" w:rsidRDefault="00F64776" w:rsidP="00F64776">
      <w:pPr>
        <w:pStyle w:val="TextoNormal"/>
      </w:pPr>
      <w:r w:rsidRPr="00F64776">
        <w:rPr>
          <w:rStyle w:val="NumeroAFNegritaCaracter"/>
        </w:rPr>
        <w:t>2</w:t>
      </w:r>
      <w:r>
        <w:t>. Por escrito de 30 de octubre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4A5C9494" w14:textId="77777777" w:rsidR="00F64776" w:rsidRDefault="00F64776" w:rsidP="00F64776">
      <w:pPr>
        <w:pStyle w:val="TextoNormal"/>
      </w:pPr>
    </w:p>
    <w:p w14:paraId="07828EE4" w14:textId="77777777" w:rsidR="00F64776" w:rsidRDefault="00F64776" w:rsidP="00F64776">
      <w:pPr>
        <w:pStyle w:val="TextoNormalNegritaCentrado"/>
        <w:keepNext/>
      </w:pPr>
      <w:r>
        <w:t>II. Fundamentos jurídicos</w:t>
      </w:r>
    </w:p>
    <w:p w14:paraId="310ACCD6" w14:textId="3DABEBD1" w:rsidR="00F64776" w:rsidRDefault="00F64776" w:rsidP="00F64776">
      <w:pPr>
        <w:pStyle w:val="TextoNormalNegritaCentrado"/>
        <w:keepNext/>
      </w:pPr>
    </w:p>
    <w:p w14:paraId="135C4EC1" w14:textId="3591A97F"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5EDD73CD" w14:textId="77777777" w:rsidR="00F64776" w:rsidRDefault="00F64776" w:rsidP="00F64776">
      <w:pPr>
        <w:pStyle w:val="TextoNormal"/>
      </w:pPr>
    </w:p>
    <w:p w14:paraId="12AA7919" w14:textId="77777777" w:rsidR="00F64776" w:rsidRDefault="00F64776" w:rsidP="00F64776">
      <w:pPr>
        <w:pStyle w:val="TextoNormal"/>
      </w:pPr>
      <w:r>
        <w:t>Por lo expuesto, la Sección</w:t>
      </w:r>
    </w:p>
    <w:p w14:paraId="40C27328" w14:textId="188A74AB" w:rsidR="00F64776" w:rsidRDefault="00F64776" w:rsidP="00F64776">
      <w:pPr>
        <w:pStyle w:val="TextoNormal"/>
      </w:pPr>
    </w:p>
    <w:p w14:paraId="442A368E" w14:textId="77777777" w:rsidR="00F64776" w:rsidRDefault="00F64776" w:rsidP="00F64776">
      <w:pPr>
        <w:pStyle w:val="TextoNormalCentrado"/>
      </w:pPr>
      <w:r>
        <w:t>ACUERDA</w:t>
      </w:r>
    </w:p>
    <w:p w14:paraId="6CF9FB87" w14:textId="4D334D53" w:rsidR="00F64776" w:rsidRDefault="00F64776" w:rsidP="00F64776">
      <w:pPr>
        <w:pStyle w:val="TextoNormalCentrado"/>
      </w:pPr>
    </w:p>
    <w:p w14:paraId="51466A5F" w14:textId="156B980E" w:rsidR="00F64776" w:rsidRDefault="00F64776" w:rsidP="00F64776">
      <w:pPr>
        <w:pStyle w:val="TextoNormal"/>
      </w:pPr>
      <w:r>
        <w:t>Estimar justificada la abstención formulada por el magistrado don César Tolosa Tribiño en el recurso de amparo núm. 4035-2023 y apartarle definitivamente del conocimiento del referido recurso y de todas sus incidencias.</w:t>
      </w:r>
    </w:p>
    <w:p w14:paraId="218D0892" w14:textId="77777777" w:rsidR="00F64776" w:rsidRDefault="00F64776" w:rsidP="00F64776">
      <w:pPr>
        <w:pStyle w:val="TextoNormal"/>
      </w:pPr>
    </w:p>
    <w:p w14:paraId="7BC51057" w14:textId="77777777" w:rsidR="00F64776" w:rsidRDefault="00F64776" w:rsidP="00F64776">
      <w:pPr>
        <w:pStyle w:val="TextoNormal"/>
      </w:pPr>
      <w:r>
        <w:t>Madrid, a dos de noviembre de dos mil veintitrés.</w:t>
      </w:r>
    </w:p>
    <w:p w14:paraId="0F922B03" w14:textId="3AED926F" w:rsidR="00F64776" w:rsidRDefault="00F64776">
      <w:pPr>
        <w:spacing w:after="160" w:line="278" w:lineRule="auto"/>
        <w:rPr>
          <w:rFonts w:ascii="Times New Roman" w:eastAsia="Times New Roman" w:hAnsi="Times New Roman" w:cs="Times New Roman"/>
          <w:sz w:val="24"/>
          <w:szCs w:val="24"/>
          <w:lang w:eastAsia="es-ES"/>
        </w:rPr>
      </w:pPr>
      <w:r>
        <w:br w:type="page"/>
      </w:r>
    </w:p>
    <w:p w14:paraId="49CC48D3" w14:textId="77777777" w:rsidR="00F64776" w:rsidRDefault="00F64776" w:rsidP="00F64776">
      <w:pPr>
        <w:pStyle w:val="TtuloResolucin"/>
      </w:pPr>
      <w:bookmarkStart w:id="297" w:name="AUTO_2023_512"/>
      <w:r>
        <w:t>AUTO 512/2023, de 6 de noviembre de 2023</w:t>
      </w:r>
    </w:p>
    <w:bookmarkEnd w:id="297"/>
    <w:p w14:paraId="32C9C82B" w14:textId="77777777" w:rsidR="00F64776" w:rsidRDefault="00F64776" w:rsidP="00F64776">
      <w:pPr>
        <w:pStyle w:val="TtuloResolucin"/>
      </w:pPr>
      <w:r>
        <w:t>Sección Tercera</w:t>
      </w:r>
    </w:p>
    <w:p w14:paraId="1B3337B2" w14:textId="77777777" w:rsidR="00F64776" w:rsidRDefault="00F64776" w:rsidP="00F64776">
      <w:pPr>
        <w:pStyle w:val="TextoNormalCentrado"/>
      </w:pPr>
      <w:r>
        <w:t>ECLI:ES:TC:2023:512A</w:t>
      </w:r>
    </w:p>
    <w:p w14:paraId="3379A068" w14:textId="46BEA7AB" w:rsidR="00F64776" w:rsidRDefault="00F64776" w:rsidP="00F64776">
      <w:pPr>
        <w:pStyle w:val="TextoNormalCentrado"/>
      </w:pPr>
    </w:p>
    <w:p w14:paraId="294CF7A9" w14:textId="77777777" w:rsidR="00F64776" w:rsidRDefault="00F64776" w:rsidP="00F64776">
      <w:pPr>
        <w:pStyle w:val="SntesisDescriptiva"/>
      </w:pPr>
      <w:r>
        <w:t>Excms. Srs. doña Inmaculada Montalbán Huertas y doña Laura Díez Bueso.</w:t>
      </w:r>
    </w:p>
    <w:p w14:paraId="6F2AA077" w14:textId="515AF3EF" w:rsidR="00F64776" w:rsidRDefault="00F64776" w:rsidP="00F64776">
      <w:pPr>
        <w:pStyle w:val="SntesisDescriptiva"/>
      </w:pPr>
    </w:p>
    <w:p w14:paraId="6CDB0F9B" w14:textId="77777777" w:rsidR="00F64776" w:rsidRDefault="00F64776" w:rsidP="00F64776">
      <w:pPr>
        <w:pStyle w:val="SntesisDescriptiva"/>
      </w:pPr>
      <w:r>
        <w:t>Acepta una abstención en el recurso de amparo 3499-2022, promovido en proceso contencioso administrativo.</w:t>
      </w:r>
    </w:p>
    <w:p w14:paraId="2886A939" w14:textId="5116A594" w:rsidR="00F64776" w:rsidRDefault="00F64776" w:rsidP="00F64776">
      <w:pPr>
        <w:pStyle w:val="SntesisDescriptiva"/>
      </w:pPr>
    </w:p>
    <w:p w14:paraId="0AE339FF" w14:textId="77777777" w:rsidR="00F64776" w:rsidRDefault="00F64776" w:rsidP="00F64776">
      <w:pPr>
        <w:pStyle w:val="SntesisDescriptiva"/>
      </w:pPr>
    </w:p>
    <w:p w14:paraId="1BCF3A52" w14:textId="77777777" w:rsidR="00F64776" w:rsidRDefault="00F64776" w:rsidP="00F64776">
      <w:pPr>
        <w:pStyle w:val="SntesisDescriptiva"/>
      </w:pPr>
    </w:p>
    <w:p w14:paraId="4C800F4C" w14:textId="77777777" w:rsidR="00F64776" w:rsidRDefault="00F64776" w:rsidP="00F64776">
      <w:pPr>
        <w:pStyle w:val="TextoNormalNegritaCentrado"/>
      </w:pPr>
      <w:r>
        <w:t>AUTO</w:t>
      </w:r>
    </w:p>
    <w:p w14:paraId="048B6481" w14:textId="729B57B1" w:rsidR="00F64776" w:rsidRDefault="00F64776" w:rsidP="00F64776">
      <w:pPr>
        <w:pStyle w:val="TextoNormalNegritaCentrado"/>
      </w:pPr>
    </w:p>
    <w:p w14:paraId="22046932" w14:textId="77777777" w:rsidR="00F64776" w:rsidRDefault="00F64776" w:rsidP="00F64776">
      <w:pPr>
        <w:pStyle w:val="TextoNormalNegritaCentrado"/>
        <w:keepNext/>
      </w:pPr>
      <w:r>
        <w:t>I. Antecedentes</w:t>
      </w:r>
    </w:p>
    <w:p w14:paraId="3EE47FDD" w14:textId="5F0A1CEC" w:rsidR="00F64776" w:rsidRDefault="00F64776" w:rsidP="00F64776">
      <w:pPr>
        <w:pStyle w:val="TextoNormalNegritaCentrado"/>
        <w:keepNext/>
      </w:pPr>
    </w:p>
    <w:p w14:paraId="76C9510C" w14:textId="7346B679" w:rsidR="00F64776" w:rsidRDefault="00F64776" w:rsidP="00F64776">
      <w:pPr>
        <w:pStyle w:val="TextoNormal"/>
      </w:pPr>
      <w:r w:rsidRPr="00F64776">
        <w:rPr>
          <w:rStyle w:val="NumeroAFNegritaCaracter"/>
        </w:rPr>
        <w:t>1</w:t>
      </w:r>
      <w:r>
        <w:t>. Mediante escrito registrado en este tribunal el 17 de mayo de 2022, el procurador de los tribunales don Carlos Ricardo Estévez Sanz, en nombre y representación de don Valdetario Fernandes de Farias Junior y bajo la dirección del letrado don Lorenzo Guirado Galiana formuló demanda de amparo contra la providencia de 27 de abril de 2022 de la Sala de lo Contencioso-Administrativo del Tribunal Supremo, en recurso de casación núm. 8499-2021.</w:t>
      </w:r>
    </w:p>
    <w:p w14:paraId="17E2E19E" w14:textId="77777777" w:rsidR="00F64776" w:rsidRDefault="00F64776" w:rsidP="00F64776">
      <w:pPr>
        <w:pStyle w:val="TextoNormal"/>
      </w:pPr>
    </w:p>
    <w:p w14:paraId="02C90F2C" w14:textId="398E055E" w:rsidR="00F64776" w:rsidRDefault="00F64776" w:rsidP="00F64776">
      <w:pPr>
        <w:pStyle w:val="TextoNormal"/>
      </w:pPr>
      <w:r w:rsidRPr="00F64776">
        <w:rPr>
          <w:rStyle w:val="NumeroAFNegritaCaracter"/>
        </w:rPr>
        <w:t>2</w:t>
      </w:r>
      <w:r>
        <w:t>. Por escrito de 30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6D382B2B" w14:textId="77777777" w:rsidR="00F64776" w:rsidRDefault="00F64776" w:rsidP="00F64776">
      <w:pPr>
        <w:pStyle w:val="TextoNormal"/>
      </w:pPr>
    </w:p>
    <w:p w14:paraId="327734D9" w14:textId="77777777" w:rsidR="00F64776" w:rsidRDefault="00F64776" w:rsidP="00F64776">
      <w:pPr>
        <w:pStyle w:val="TextoNormalNegritaCentrado"/>
        <w:keepNext/>
      </w:pPr>
      <w:r>
        <w:t>II. Fundamentos jurídicos</w:t>
      </w:r>
    </w:p>
    <w:p w14:paraId="708BC48F" w14:textId="64C9F2DF" w:rsidR="00F64776" w:rsidRDefault="00F64776" w:rsidP="00F64776">
      <w:pPr>
        <w:pStyle w:val="TextoNormalNegritaCentrado"/>
        <w:keepNext/>
      </w:pPr>
    </w:p>
    <w:p w14:paraId="233B78C3" w14:textId="4D2337E6"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3298DDD3" w14:textId="77777777" w:rsidR="00F64776" w:rsidRDefault="00F64776" w:rsidP="00F64776">
      <w:pPr>
        <w:pStyle w:val="TextoNormal"/>
      </w:pPr>
    </w:p>
    <w:p w14:paraId="4C1A0918" w14:textId="77777777" w:rsidR="00F64776" w:rsidRDefault="00F64776" w:rsidP="00F64776">
      <w:pPr>
        <w:pStyle w:val="TextoNormal"/>
      </w:pPr>
      <w:r>
        <w:t>Por lo expuesto, la Sección</w:t>
      </w:r>
    </w:p>
    <w:p w14:paraId="5EED6541" w14:textId="6A049020" w:rsidR="00F64776" w:rsidRDefault="00F64776" w:rsidP="00F64776">
      <w:pPr>
        <w:pStyle w:val="TextoNormal"/>
      </w:pPr>
    </w:p>
    <w:p w14:paraId="46463E75" w14:textId="77777777" w:rsidR="00F64776" w:rsidRDefault="00F64776" w:rsidP="00F64776">
      <w:pPr>
        <w:pStyle w:val="TextoNormalCentrado"/>
      </w:pPr>
      <w:r>
        <w:t>ACUERDA</w:t>
      </w:r>
    </w:p>
    <w:p w14:paraId="01DB9641" w14:textId="601FFD53" w:rsidR="00F64776" w:rsidRDefault="00F64776" w:rsidP="00F64776">
      <w:pPr>
        <w:pStyle w:val="TextoNormalCentrado"/>
      </w:pPr>
    </w:p>
    <w:p w14:paraId="4AC2EBB9" w14:textId="32D9ED54" w:rsidR="00F64776" w:rsidRDefault="00F64776" w:rsidP="00F64776">
      <w:pPr>
        <w:pStyle w:val="TextoNormal"/>
      </w:pPr>
      <w:r>
        <w:t>Estimar justificada la abstención formulada por el magistrado don César Tolosa Tribiño en el recurso de amparo núm. 3499-2022 y apartarle definitivamente del conocimiento del referido recurso y de todas sus incidencias.</w:t>
      </w:r>
    </w:p>
    <w:p w14:paraId="447EC218" w14:textId="77777777" w:rsidR="00F64776" w:rsidRDefault="00F64776" w:rsidP="00F64776">
      <w:pPr>
        <w:pStyle w:val="TextoNormal"/>
      </w:pPr>
    </w:p>
    <w:p w14:paraId="4A325BC5" w14:textId="77777777" w:rsidR="00F64776" w:rsidRDefault="00F64776" w:rsidP="00F64776">
      <w:pPr>
        <w:pStyle w:val="TextoNormal"/>
      </w:pPr>
      <w:r>
        <w:t>Madrid, a seis de noviembre de dos mil veintitrés.</w:t>
      </w:r>
    </w:p>
    <w:p w14:paraId="4089CD6D" w14:textId="2DD50F69" w:rsidR="00F64776" w:rsidRDefault="00F64776">
      <w:pPr>
        <w:spacing w:after="160" w:line="278" w:lineRule="auto"/>
        <w:rPr>
          <w:rFonts w:ascii="Times New Roman" w:eastAsia="Times New Roman" w:hAnsi="Times New Roman" w:cs="Times New Roman"/>
          <w:sz w:val="24"/>
          <w:szCs w:val="24"/>
          <w:lang w:eastAsia="es-ES"/>
        </w:rPr>
      </w:pPr>
      <w:r>
        <w:br w:type="page"/>
      </w:r>
    </w:p>
    <w:p w14:paraId="4AEF1CE6" w14:textId="77777777" w:rsidR="00F64776" w:rsidRDefault="00F64776" w:rsidP="00F64776">
      <w:pPr>
        <w:pStyle w:val="TtuloResolucin"/>
      </w:pPr>
      <w:bookmarkStart w:id="298" w:name="AUTO_2023_513"/>
      <w:r>
        <w:t>AUTO 513/2023, de 6 de noviembre de 2023</w:t>
      </w:r>
    </w:p>
    <w:bookmarkEnd w:id="298"/>
    <w:p w14:paraId="363680BA" w14:textId="77777777" w:rsidR="00F64776" w:rsidRDefault="00F64776" w:rsidP="00F64776">
      <w:pPr>
        <w:pStyle w:val="TtuloResolucin"/>
      </w:pPr>
      <w:r>
        <w:t>Sección Tercera</w:t>
      </w:r>
    </w:p>
    <w:p w14:paraId="2BF5B65A" w14:textId="77777777" w:rsidR="00F64776" w:rsidRDefault="00F64776" w:rsidP="00F64776">
      <w:pPr>
        <w:pStyle w:val="TextoNormalCentrado"/>
      </w:pPr>
      <w:r>
        <w:t>ECLI:ES:TC:2023:513A</w:t>
      </w:r>
    </w:p>
    <w:p w14:paraId="4F06C8CA" w14:textId="2BE9307B" w:rsidR="00F64776" w:rsidRDefault="00F64776" w:rsidP="00F64776">
      <w:pPr>
        <w:pStyle w:val="TextoNormalCentrado"/>
      </w:pPr>
    </w:p>
    <w:p w14:paraId="78C0CE15" w14:textId="77777777" w:rsidR="00F64776" w:rsidRDefault="00F64776" w:rsidP="00F64776">
      <w:pPr>
        <w:pStyle w:val="SntesisDescriptiva"/>
      </w:pPr>
      <w:r>
        <w:t>Excms. Srs. doña Inmaculada Montalbán Huertas y doña Laura Díez Bueso.</w:t>
      </w:r>
    </w:p>
    <w:p w14:paraId="669A2FB9" w14:textId="4425C9F0" w:rsidR="00F64776" w:rsidRDefault="00F64776" w:rsidP="00F64776">
      <w:pPr>
        <w:pStyle w:val="SntesisDescriptiva"/>
      </w:pPr>
    </w:p>
    <w:p w14:paraId="0FE38370" w14:textId="77777777" w:rsidR="00F64776" w:rsidRDefault="00F64776" w:rsidP="00F64776">
      <w:pPr>
        <w:pStyle w:val="SntesisDescriptiva"/>
      </w:pPr>
      <w:r>
        <w:t>Acepta una abstención en el recurso de amparo 3737-2022, promovido en proceso contencioso administrativo.</w:t>
      </w:r>
    </w:p>
    <w:p w14:paraId="4B39BC0C" w14:textId="00EFF054" w:rsidR="00F64776" w:rsidRDefault="00F64776" w:rsidP="00F64776">
      <w:pPr>
        <w:pStyle w:val="SntesisDescriptiva"/>
      </w:pPr>
    </w:p>
    <w:p w14:paraId="0B433688" w14:textId="77777777" w:rsidR="00F64776" w:rsidRDefault="00F64776" w:rsidP="00F64776">
      <w:pPr>
        <w:pStyle w:val="SntesisDescriptiva"/>
      </w:pPr>
    </w:p>
    <w:p w14:paraId="0497D6CC" w14:textId="77777777" w:rsidR="00F64776" w:rsidRDefault="00F64776" w:rsidP="00F64776">
      <w:pPr>
        <w:pStyle w:val="SntesisDescriptiva"/>
      </w:pPr>
    </w:p>
    <w:p w14:paraId="595ED4A8" w14:textId="77777777" w:rsidR="00F64776" w:rsidRDefault="00F64776" w:rsidP="00F64776">
      <w:pPr>
        <w:pStyle w:val="TextoNormalNegritaCentrado"/>
      </w:pPr>
      <w:r>
        <w:t>AUTO</w:t>
      </w:r>
    </w:p>
    <w:p w14:paraId="50F4902A" w14:textId="514B85F4" w:rsidR="00F64776" w:rsidRDefault="00F64776" w:rsidP="00F64776">
      <w:pPr>
        <w:pStyle w:val="TextoNormalNegritaCentrado"/>
      </w:pPr>
    </w:p>
    <w:p w14:paraId="676BFC45" w14:textId="77777777" w:rsidR="00F64776" w:rsidRDefault="00F64776" w:rsidP="00F64776">
      <w:pPr>
        <w:pStyle w:val="TextoNormalNegritaCentrado"/>
        <w:keepNext/>
      </w:pPr>
      <w:r>
        <w:t>I. Antecedentes</w:t>
      </w:r>
    </w:p>
    <w:p w14:paraId="5FA23813" w14:textId="6D4E1441" w:rsidR="00F64776" w:rsidRDefault="00F64776" w:rsidP="00F64776">
      <w:pPr>
        <w:pStyle w:val="TextoNormalNegritaCentrado"/>
        <w:keepNext/>
      </w:pPr>
    </w:p>
    <w:p w14:paraId="40CE32A5" w14:textId="19CC5081" w:rsidR="00F64776" w:rsidRDefault="00F64776" w:rsidP="00F64776">
      <w:pPr>
        <w:pStyle w:val="TextoNormal"/>
      </w:pPr>
      <w:r w:rsidRPr="00F64776">
        <w:rPr>
          <w:rStyle w:val="NumeroAFNegritaCaracter"/>
        </w:rPr>
        <w:t>1</w:t>
      </w:r>
      <w:r>
        <w:t>. Mediante escrito registrado en este tribunal el 25 de mayo de 2022, la procuradora de los tribunales doña Patricia Rosch Iglesias, en nombre y representación de don Wen Xu y bajo la dirección del letrado don Félix Ordoño Martínez formuló demanda de amparo contra la providencia de 11 de mayo de 2022 dictada por la Sección Primera de la Sala de lo Contencioso-Administrativo del Tribunal Supremo en recurso de casación núm. 1101-2022, contra sentencia de la Sección Décima de la Sala de lo Contencioso-Administrativo del Tribunal Superior de Justicia de Madrid, en recurso de apelación núm. 202-2021.</w:t>
      </w:r>
    </w:p>
    <w:p w14:paraId="54EC4B8E" w14:textId="77777777" w:rsidR="00F64776" w:rsidRDefault="00F64776" w:rsidP="00F64776">
      <w:pPr>
        <w:pStyle w:val="TextoNormal"/>
      </w:pPr>
    </w:p>
    <w:p w14:paraId="43BD7A65" w14:textId="58EB80D5" w:rsidR="00F64776" w:rsidRDefault="00F64776" w:rsidP="00F64776">
      <w:pPr>
        <w:pStyle w:val="TextoNormal"/>
      </w:pPr>
      <w:r w:rsidRPr="00F64776">
        <w:rPr>
          <w:rStyle w:val="NumeroAFNegritaCaracter"/>
        </w:rPr>
        <w:t>2</w:t>
      </w:r>
      <w:r>
        <w:t>. Por escrito de 30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26D6B247" w14:textId="77777777" w:rsidR="00F64776" w:rsidRDefault="00F64776" w:rsidP="00F64776">
      <w:pPr>
        <w:pStyle w:val="TextoNormal"/>
      </w:pPr>
    </w:p>
    <w:p w14:paraId="074CAA0B" w14:textId="77777777" w:rsidR="00F64776" w:rsidRDefault="00F64776" w:rsidP="00F64776">
      <w:pPr>
        <w:pStyle w:val="TextoNormalNegritaCentrado"/>
        <w:keepNext/>
      </w:pPr>
      <w:r>
        <w:t>II. Fundamentos jurídicos</w:t>
      </w:r>
    </w:p>
    <w:p w14:paraId="3A98A2BE" w14:textId="1C230A3E" w:rsidR="00F64776" w:rsidRDefault="00F64776" w:rsidP="00F64776">
      <w:pPr>
        <w:pStyle w:val="TextoNormalNegritaCentrado"/>
        <w:keepNext/>
      </w:pPr>
    </w:p>
    <w:p w14:paraId="2F78C963" w14:textId="762D7A02"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27E387FA" w14:textId="77777777" w:rsidR="00F64776" w:rsidRDefault="00F64776" w:rsidP="00F64776">
      <w:pPr>
        <w:pStyle w:val="TextoNormal"/>
      </w:pPr>
    </w:p>
    <w:p w14:paraId="56051672" w14:textId="77777777" w:rsidR="00F64776" w:rsidRDefault="00F64776" w:rsidP="00F64776">
      <w:pPr>
        <w:pStyle w:val="TextoNormal"/>
      </w:pPr>
      <w:r>
        <w:t>Por lo expuesto, la Sección</w:t>
      </w:r>
    </w:p>
    <w:p w14:paraId="09A7A6EB" w14:textId="38595455" w:rsidR="00F64776" w:rsidRDefault="00F64776" w:rsidP="00F64776">
      <w:pPr>
        <w:pStyle w:val="TextoNormal"/>
      </w:pPr>
    </w:p>
    <w:p w14:paraId="2F06C8C6" w14:textId="77777777" w:rsidR="00F64776" w:rsidRDefault="00F64776" w:rsidP="00F64776">
      <w:pPr>
        <w:pStyle w:val="TextoNormalCentrado"/>
      </w:pPr>
      <w:r>
        <w:t>ACUERDA</w:t>
      </w:r>
    </w:p>
    <w:p w14:paraId="39E02DC1" w14:textId="68480C25" w:rsidR="00F64776" w:rsidRDefault="00F64776" w:rsidP="00F64776">
      <w:pPr>
        <w:pStyle w:val="TextoNormalCentrado"/>
      </w:pPr>
    </w:p>
    <w:p w14:paraId="07832645" w14:textId="4D5FD1A6" w:rsidR="00F64776" w:rsidRDefault="00F64776" w:rsidP="00F64776">
      <w:pPr>
        <w:pStyle w:val="TextoNormal"/>
      </w:pPr>
      <w:r>
        <w:t>Estimar justificada la abstención formulada por el magistrado don César Tolosa Tribiño en el recurso de amparo núm. 3737-2022 y apartarle definitivamente del conocimiento del referido recurso y de todas sus incidencias.</w:t>
      </w:r>
    </w:p>
    <w:p w14:paraId="1474C9B5" w14:textId="77777777" w:rsidR="00F64776" w:rsidRDefault="00F64776" w:rsidP="00F64776">
      <w:pPr>
        <w:pStyle w:val="TextoNormal"/>
      </w:pPr>
    </w:p>
    <w:p w14:paraId="3B0956E9" w14:textId="77777777" w:rsidR="00F64776" w:rsidRDefault="00F64776" w:rsidP="00F64776">
      <w:pPr>
        <w:pStyle w:val="TextoNormal"/>
      </w:pPr>
      <w:r>
        <w:t>Madrid, a seis de noviembre de dos mil veintitrés.</w:t>
      </w:r>
    </w:p>
    <w:p w14:paraId="40F7503E" w14:textId="56F873A9" w:rsidR="00F64776" w:rsidRDefault="00F64776">
      <w:pPr>
        <w:spacing w:after="160" w:line="278" w:lineRule="auto"/>
        <w:rPr>
          <w:rFonts w:ascii="Times New Roman" w:eastAsia="Times New Roman" w:hAnsi="Times New Roman" w:cs="Times New Roman"/>
          <w:sz w:val="24"/>
          <w:szCs w:val="24"/>
          <w:lang w:eastAsia="es-ES"/>
        </w:rPr>
      </w:pPr>
      <w:r>
        <w:br w:type="page"/>
      </w:r>
    </w:p>
    <w:p w14:paraId="6E401A06" w14:textId="77777777" w:rsidR="00F64776" w:rsidRDefault="00F64776" w:rsidP="00F64776">
      <w:pPr>
        <w:pStyle w:val="TtuloResolucin"/>
      </w:pPr>
      <w:bookmarkStart w:id="299" w:name="AUTO_2023_514"/>
      <w:r>
        <w:t>AUTO 514/2023, de 6 de noviembre de 2023</w:t>
      </w:r>
    </w:p>
    <w:bookmarkEnd w:id="299"/>
    <w:p w14:paraId="35E94CDB" w14:textId="77777777" w:rsidR="00F64776" w:rsidRDefault="00F64776" w:rsidP="00F64776">
      <w:pPr>
        <w:pStyle w:val="TtuloResolucin"/>
      </w:pPr>
      <w:r>
        <w:t>Sección Tercera</w:t>
      </w:r>
    </w:p>
    <w:p w14:paraId="3BC81DC8" w14:textId="77777777" w:rsidR="00F64776" w:rsidRDefault="00F64776" w:rsidP="00F64776">
      <w:pPr>
        <w:pStyle w:val="TextoNormalCentrado"/>
      </w:pPr>
      <w:r>
        <w:t>ECLI:ES:TC:2023:514A</w:t>
      </w:r>
    </w:p>
    <w:p w14:paraId="0E39168E" w14:textId="33B4D7D0" w:rsidR="00F64776" w:rsidRDefault="00F64776" w:rsidP="00F64776">
      <w:pPr>
        <w:pStyle w:val="TextoNormalCentrado"/>
      </w:pPr>
    </w:p>
    <w:p w14:paraId="1B758F26" w14:textId="77777777" w:rsidR="00F64776" w:rsidRDefault="00F64776" w:rsidP="00F64776">
      <w:pPr>
        <w:pStyle w:val="SntesisDescriptiva"/>
      </w:pPr>
      <w:r>
        <w:t>Excms. Srs. doña Inmaculada Montalbán Huertas y doña Laura Díez Bueso.</w:t>
      </w:r>
    </w:p>
    <w:p w14:paraId="20796C88" w14:textId="6D456D0D" w:rsidR="00F64776" w:rsidRDefault="00F64776" w:rsidP="00F64776">
      <w:pPr>
        <w:pStyle w:val="SntesisDescriptiva"/>
      </w:pPr>
    </w:p>
    <w:p w14:paraId="36C1FC32" w14:textId="77777777" w:rsidR="00F64776" w:rsidRDefault="00F64776" w:rsidP="00F64776">
      <w:pPr>
        <w:pStyle w:val="SntesisDescriptiva"/>
      </w:pPr>
      <w:r>
        <w:t>Acepta una abstención en el recurso de amparo 4908-2022, promovido en proceso contencioso administrativo.</w:t>
      </w:r>
    </w:p>
    <w:p w14:paraId="78584379" w14:textId="6D216F91" w:rsidR="00F64776" w:rsidRDefault="00F64776" w:rsidP="00F64776">
      <w:pPr>
        <w:pStyle w:val="SntesisDescriptiva"/>
      </w:pPr>
    </w:p>
    <w:p w14:paraId="01702B92" w14:textId="77777777" w:rsidR="00F64776" w:rsidRDefault="00F64776" w:rsidP="00F64776">
      <w:pPr>
        <w:pStyle w:val="SntesisDescriptiva"/>
      </w:pPr>
    </w:p>
    <w:p w14:paraId="19276079" w14:textId="77777777" w:rsidR="00F64776" w:rsidRDefault="00F64776" w:rsidP="00F64776">
      <w:pPr>
        <w:pStyle w:val="SntesisDescriptiva"/>
      </w:pPr>
    </w:p>
    <w:p w14:paraId="45D1E43B" w14:textId="77777777" w:rsidR="00F64776" w:rsidRDefault="00F64776" w:rsidP="00F64776">
      <w:pPr>
        <w:pStyle w:val="TextoNormalNegritaCentrado"/>
      </w:pPr>
      <w:r>
        <w:t>AUTO</w:t>
      </w:r>
    </w:p>
    <w:p w14:paraId="02DA6775" w14:textId="0FBFA2B6" w:rsidR="00F64776" w:rsidRDefault="00F64776" w:rsidP="00F64776">
      <w:pPr>
        <w:pStyle w:val="TextoNormalNegritaCentrado"/>
      </w:pPr>
    </w:p>
    <w:p w14:paraId="77016DB0" w14:textId="77777777" w:rsidR="00F64776" w:rsidRDefault="00F64776" w:rsidP="00F64776">
      <w:pPr>
        <w:pStyle w:val="TextoNormalNegritaCentrado"/>
        <w:keepNext/>
      </w:pPr>
      <w:r>
        <w:t>I. Antecedentes</w:t>
      </w:r>
    </w:p>
    <w:p w14:paraId="7B794F8D" w14:textId="77EDC091" w:rsidR="00F64776" w:rsidRDefault="00F64776" w:rsidP="00F64776">
      <w:pPr>
        <w:pStyle w:val="TextoNormalNegritaCentrado"/>
        <w:keepNext/>
      </w:pPr>
    </w:p>
    <w:p w14:paraId="46F4D9AB" w14:textId="2BBC6686" w:rsidR="00F64776" w:rsidRDefault="00F64776" w:rsidP="00F64776">
      <w:pPr>
        <w:pStyle w:val="TextoNormal"/>
      </w:pPr>
      <w:r w:rsidRPr="00F64776">
        <w:rPr>
          <w:rStyle w:val="NumeroAFNegritaCaracter"/>
        </w:rPr>
        <w:t>1</w:t>
      </w:r>
      <w:r>
        <w:t>. Mediante escrito registrado en este tribunal el 5 de julio de 2022, la procuradora de los tribunales doña Pilar Gema Pinto Campos, en nombre y representación de don Mamadou Faye y bajo la dirección de la letrada doña María Concepción Martín Pérez, formuló demanda de amparo contra la providencia de 1 de junio de 2022 dictada por la Sección Primera de la Sala de lo Contencioso-Administrativo del Tribunal Supremo en recurso de casación núm. 1379-2022, contra la sentencia de la Sección Décima de la Sala de lo Contencioso-Administrativo del Tribunal Superior de Justicia de Madrid, en recurso de apelación núm. 1070-2021.</w:t>
      </w:r>
    </w:p>
    <w:p w14:paraId="50FA06DE" w14:textId="77777777" w:rsidR="00F64776" w:rsidRDefault="00F64776" w:rsidP="00F64776">
      <w:pPr>
        <w:pStyle w:val="TextoNormal"/>
      </w:pPr>
    </w:p>
    <w:p w14:paraId="0EBB44FF" w14:textId="04DD07A4" w:rsidR="00F64776" w:rsidRDefault="00F64776" w:rsidP="00F64776">
      <w:pPr>
        <w:pStyle w:val="TextoNormal"/>
      </w:pPr>
      <w:r w:rsidRPr="00F64776">
        <w:rPr>
          <w:rStyle w:val="NumeroAFNegritaCaracter"/>
        </w:rPr>
        <w:t>2</w:t>
      </w:r>
      <w:r>
        <w:t>. Por escrito de 30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4FDE4EDC" w14:textId="77777777" w:rsidR="00F64776" w:rsidRDefault="00F64776" w:rsidP="00F64776">
      <w:pPr>
        <w:pStyle w:val="TextoNormal"/>
      </w:pPr>
    </w:p>
    <w:p w14:paraId="6872825E" w14:textId="77777777" w:rsidR="00F64776" w:rsidRDefault="00F64776" w:rsidP="00F64776">
      <w:pPr>
        <w:pStyle w:val="TextoNormalNegritaCentrado"/>
        <w:keepNext/>
      </w:pPr>
      <w:r>
        <w:t>II. Fundamentos jurídicos</w:t>
      </w:r>
    </w:p>
    <w:p w14:paraId="77D0A832" w14:textId="0C7E6843" w:rsidR="00F64776" w:rsidRDefault="00F64776" w:rsidP="00F64776">
      <w:pPr>
        <w:pStyle w:val="TextoNormalNegritaCentrado"/>
        <w:keepNext/>
      </w:pPr>
    </w:p>
    <w:p w14:paraId="17EBFA81" w14:textId="3C5E91EF"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12CD5E0E" w14:textId="77777777" w:rsidR="00F64776" w:rsidRDefault="00F64776" w:rsidP="00F64776">
      <w:pPr>
        <w:pStyle w:val="TextoNormal"/>
      </w:pPr>
    </w:p>
    <w:p w14:paraId="45A08603" w14:textId="77777777" w:rsidR="00F64776" w:rsidRDefault="00F64776" w:rsidP="00F64776">
      <w:pPr>
        <w:pStyle w:val="TextoNormal"/>
      </w:pPr>
      <w:r>
        <w:t>Por lo expuesto, la Sección</w:t>
      </w:r>
    </w:p>
    <w:p w14:paraId="6152DD76" w14:textId="2B4D0AB5" w:rsidR="00F64776" w:rsidRDefault="00F64776" w:rsidP="00F64776">
      <w:pPr>
        <w:pStyle w:val="TextoNormal"/>
      </w:pPr>
    </w:p>
    <w:p w14:paraId="18EF6ECE" w14:textId="77777777" w:rsidR="00F64776" w:rsidRDefault="00F64776" w:rsidP="00F64776">
      <w:pPr>
        <w:pStyle w:val="TextoNormalCentrado"/>
      </w:pPr>
      <w:r>
        <w:t>ACUERDA</w:t>
      </w:r>
    </w:p>
    <w:p w14:paraId="24C4B1B8" w14:textId="28E29EB6" w:rsidR="00F64776" w:rsidRDefault="00F64776" w:rsidP="00F64776">
      <w:pPr>
        <w:pStyle w:val="TextoNormalCentrado"/>
      </w:pPr>
    </w:p>
    <w:p w14:paraId="52E07BB9" w14:textId="08F73829" w:rsidR="00F64776" w:rsidRDefault="00F64776" w:rsidP="00F64776">
      <w:pPr>
        <w:pStyle w:val="TextoNormal"/>
      </w:pPr>
      <w:r>
        <w:t>Estimar justificada la abstención formulada por el magistrado don César Tolosa Tribiño en el recurso de amparo núm. 4908-2022 y apartarle definitivamente del conocimiento del referido recurso y de todas sus incidencias.</w:t>
      </w:r>
    </w:p>
    <w:p w14:paraId="5B2E06E6" w14:textId="77777777" w:rsidR="00F64776" w:rsidRDefault="00F64776" w:rsidP="00F64776">
      <w:pPr>
        <w:pStyle w:val="TextoNormal"/>
      </w:pPr>
    </w:p>
    <w:p w14:paraId="3100A1EF" w14:textId="77777777" w:rsidR="00F64776" w:rsidRDefault="00F64776" w:rsidP="00F64776">
      <w:pPr>
        <w:pStyle w:val="TextoNormal"/>
      </w:pPr>
      <w:r>
        <w:t>Madrid, a seis de noviembre de dos mil veintitrés.</w:t>
      </w:r>
    </w:p>
    <w:p w14:paraId="161B6FC4" w14:textId="65ED105C" w:rsidR="00F64776" w:rsidRDefault="00F64776">
      <w:pPr>
        <w:spacing w:after="160" w:line="278" w:lineRule="auto"/>
        <w:rPr>
          <w:rFonts w:ascii="Times New Roman" w:eastAsia="Times New Roman" w:hAnsi="Times New Roman" w:cs="Times New Roman"/>
          <w:sz w:val="24"/>
          <w:szCs w:val="24"/>
          <w:lang w:eastAsia="es-ES"/>
        </w:rPr>
      </w:pPr>
      <w:r>
        <w:br w:type="page"/>
      </w:r>
    </w:p>
    <w:p w14:paraId="0A660DD5" w14:textId="77777777" w:rsidR="00F64776" w:rsidRDefault="00F64776" w:rsidP="00F64776">
      <w:pPr>
        <w:pStyle w:val="TtuloResolucin"/>
      </w:pPr>
      <w:bookmarkStart w:id="300" w:name="AUTO_2023_515"/>
      <w:r>
        <w:t>AUTO 515/2023, de 6 de noviembre de 2023</w:t>
      </w:r>
    </w:p>
    <w:bookmarkEnd w:id="300"/>
    <w:p w14:paraId="69D46E6F" w14:textId="77777777" w:rsidR="00F64776" w:rsidRDefault="00F64776" w:rsidP="00F64776">
      <w:pPr>
        <w:pStyle w:val="TtuloResolucin"/>
      </w:pPr>
      <w:r>
        <w:t>Sección Tercera</w:t>
      </w:r>
    </w:p>
    <w:p w14:paraId="125AA5E2" w14:textId="77777777" w:rsidR="00F64776" w:rsidRDefault="00F64776" w:rsidP="00F64776">
      <w:pPr>
        <w:pStyle w:val="TextoNormalCentrado"/>
      </w:pPr>
      <w:r>
        <w:t>ECLI:ES:TC:2023:515A</w:t>
      </w:r>
    </w:p>
    <w:p w14:paraId="6BA3D44B" w14:textId="63997CEE" w:rsidR="00F64776" w:rsidRDefault="00F64776" w:rsidP="00F64776">
      <w:pPr>
        <w:pStyle w:val="TextoNormalCentrado"/>
      </w:pPr>
    </w:p>
    <w:p w14:paraId="54AFC80E" w14:textId="77777777" w:rsidR="00F64776" w:rsidRDefault="00F64776" w:rsidP="00F64776">
      <w:pPr>
        <w:pStyle w:val="SntesisDescriptiva"/>
      </w:pPr>
      <w:r>
        <w:t>Excms. Srs. doña Inmaculada Montalbán Huertas y doña Laura Díez Bueso.</w:t>
      </w:r>
    </w:p>
    <w:p w14:paraId="52C9A4D4" w14:textId="1CC535DB" w:rsidR="00F64776" w:rsidRDefault="00F64776" w:rsidP="00F64776">
      <w:pPr>
        <w:pStyle w:val="SntesisDescriptiva"/>
      </w:pPr>
    </w:p>
    <w:p w14:paraId="2F59BBC8" w14:textId="77777777" w:rsidR="00F64776" w:rsidRDefault="00F64776" w:rsidP="00F64776">
      <w:pPr>
        <w:pStyle w:val="SntesisDescriptiva"/>
      </w:pPr>
      <w:r>
        <w:t>Acepta una abstención en el recurso de amparo 5104-2022, promovido en proceso contencioso-administrativo.</w:t>
      </w:r>
    </w:p>
    <w:p w14:paraId="0688BD22" w14:textId="46CC86BC" w:rsidR="00F64776" w:rsidRDefault="00F64776" w:rsidP="00F64776">
      <w:pPr>
        <w:pStyle w:val="SntesisDescriptiva"/>
      </w:pPr>
    </w:p>
    <w:p w14:paraId="77A125D0" w14:textId="77777777" w:rsidR="00F64776" w:rsidRDefault="00F64776" w:rsidP="00F64776">
      <w:pPr>
        <w:pStyle w:val="SntesisDescriptiva"/>
      </w:pPr>
    </w:p>
    <w:p w14:paraId="062DA350" w14:textId="77777777" w:rsidR="00F64776" w:rsidRDefault="00F64776" w:rsidP="00F64776">
      <w:pPr>
        <w:pStyle w:val="SntesisDescriptiva"/>
      </w:pPr>
    </w:p>
    <w:p w14:paraId="72855625" w14:textId="77777777" w:rsidR="00F64776" w:rsidRDefault="00F64776" w:rsidP="00F64776">
      <w:pPr>
        <w:pStyle w:val="TextoNormalNegritaCentrado"/>
      </w:pPr>
      <w:r>
        <w:t>AUTO</w:t>
      </w:r>
    </w:p>
    <w:p w14:paraId="2F0C5D76" w14:textId="086A5681" w:rsidR="00F64776" w:rsidRDefault="00F64776" w:rsidP="00F64776">
      <w:pPr>
        <w:pStyle w:val="TextoNormalNegritaCentrado"/>
      </w:pPr>
    </w:p>
    <w:p w14:paraId="39A64ECD" w14:textId="77777777" w:rsidR="00F64776" w:rsidRDefault="00F64776" w:rsidP="00F64776">
      <w:pPr>
        <w:pStyle w:val="TextoNormalNegritaCentrado"/>
        <w:keepNext/>
      </w:pPr>
      <w:r>
        <w:t>I. Antecedentes</w:t>
      </w:r>
    </w:p>
    <w:p w14:paraId="01359C9B" w14:textId="00C5A70D" w:rsidR="00F64776" w:rsidRDefault="00F64776" w:rsidP="00F64776">
      <w:pPr>
        <w:pStyle w:val="TextoNormalNegritaCentrado"/>
        <w:keepNext/>
      </w:pPr>
    </w:p>
    <w:p w14:paraId="3224C3E3" w14:textId="6C4C8C85" w:rsidR="00F64776" w:rsidRDefault="00F64776" w:rsidP="00F64776">
      <w:pPr>
        <w:pStyle w:val="TextoNormal"/>
      </w:pPr>
      <w:r w:rsidRPr="00F64776">
        <w:rPr>
          <w:rStyle w:val="NumeroAFNegritaCaracter"/>
        </w:rPr>
        <w:t>1</w:t>
      </w:r>
      <w:r>
        <w:t>. Mediante escrito registrado en este tribunal el 13 de julio de 2022, el procurador de los tribunales don Julio Alberto Rodríguez Orozco, en nombre y representación de don Isaac Kwaku Addae y bajo la dirección de la letrada doña María Isabel Herrero Sanz, formuló demanda de amparo contra la providencia de 1 de junio de 2022 dictada por la Sección Primera de la Sala de lo Contencioso-Administrativo del Tribunal Supremo, en recurso de casación núm. 7717-2021.</w:t>
      </w:r>
    </w:p>
    <w:p w14:paraId="6A614A7C" w14:textId="77777777" w:rsidR="00F64776" w:rsidRDefault="00F64776" w:rsidP="00F64776">
      <w:pPr>
        <w:pStyle w:val="TextoNormal"/>
      </w:pPr>
    </w:p>
    <w:p w14:paraId="79E4BAC7" w14:textId="3ED845C7" w:rsidR="00F64776" w:rsidRDefault="00F64776" w:rsidP="00F64776">
      <w:pPr>
        <w:pStyle w:val="TextoNormal"/>
      </w:pPr>
      <w:r w:rsidRPr="00F64776">
        <w:rPr>
          <w:rStyle w:val="NumeroAFNegritaCaracter"/>
        </w:rPr>
        <w:t>2</w:t>
      </w:r>
      <w:r>
        <w:t>. Por escrito de 30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057B87FC" w14:textId="77777777" w:rsidR="00F64776" w:rsidRDefault="00F64776" w:rsidP="00F64776">
      <w:pPr>
        <w:pStyle w:val="TextoNormal"/>
      </w:pPr>
    </w:p>
    <w:p w14:paraId="4E0A5DE4" w14:textId="77777777" w:rsidR="00F64776" w:rsidRDefault="00F64776" w:rsidP="00F64776">
      <w:pPr>
        <w:pStyle w:val="TextoNormalNegritaCentrado"/>
        <w:keepNext/>
      </w:pPr>
      <w:r>
        <w:t>II. Fundamentos jurídicos</w:t>
      </w:r>
    </w:p>
    <w:p w14:paraId="17698BD7" w14:textId="2FC25A2E" w:rsidR="00F64776" w:rsidRDefault="00F64776" w:rsidP="00F64776">
      <w:pPr>
        <w:pStyle w:val="TextoNormalNegritaCentrado"/>
        <w:keepNext/>
      </w:pPr>
    </w:p>
    <w:p w14:paraId="762FE6CD" w14:textId="39270A82"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16C7522C" w14:textId="77777777" w:rsidR="00F64776" w:rsidRDefault="00F64776" w:rsidP="00F64776">
      <w:pPr>
        <w:pStyle w:val="TextoNormal"/>
      </w:pPr>
    </w:p>
    <w:p w14:paraId="7A38783E" w14:textId="77777777" w:rsidR="00F64776" w:rsidRDefault="00F64776" w:rsidP="00F64776">
      <w:pPr>
        <w:pStyle w:val="TextoNormal"/>
      </w:pPr>
      <w:r>
        <w:t>Por lo expuesto, la Sección</w:t>
      </w:r>
    </w:p>
    <w:p w14:paraId="3C147750" w14:textId="719B9F3A" w:rsidR="00F64776" w:rsidRDefault="00F64776" w:rsidP="00F64776">
      <w:pPr>
        <w:pStyle w:val="TextoNormal"/>
      </w:pPr>
    </w:p>
    <w:p w14:paraId="513F1DB2" w14:textId="77777777" w:rsidR="00F64776" w:rsidRDefault="00F64776" w:rsidP="00F64776">
      <w:pPr>
        <w:pStyle w:val="TextoNormalCentrado"/>
      </w:pPr>
      <w:r>
        <w:t>ACUERDA</w:t>
      </w:r>
    </w:p>
    <w:p w14:paraId="645DAF99" w14:textId="792666B5" w:rsidR="00F64776" w:rsidRDefault="00F64776" w:rsidP="00F64776">
      <w:pPr>
        <w:pStyle w:val="TextoNormalCentrado"/>
      </w:pPr>
    </w:p>
    <w:p w14:paraId="270C2CED" w14:textId="19243945" w:rsidR="00F64776" w:rsidRDefault="00F64776" w:rsidP="00F64776">
      <w:pPr>
        <w:pStyle w:val="TextoNormal"/>
      </w:pPr>
      <w:r>
        <w:t>Estimar justificada la abstención formulada por el magistrado don César Tolosa Tribiño en el recurso de amparo núm. 5104-2022 y apartarle definitivamente del conocimiento del referido recurso y de todas sus incidencias.</w:t>
      </w:r>
    </w:p>
    <w:p w14:paraId="03CE6D37" w14:textId="77777777" w:rsidR="00F64776" w:rsidRDefault="00F64776" w:rsidP="00F64776">
      <w:pPr>
        <w:pStyle w:val="TextoNormal"/>
      </w:pPr>
    </w:p>
    <w:p w14:paraId="55F3B06D" w14:textId="77777777" w:rsidR="00F64776" w:rsidRDefault="00F64776" w:rsidP="00F64776">
      <w:pPr>
        <w:pStyle w:val="TextoNormal"/>
      </w:pPr>
      <w:r>
        <w:t>Madrid, a seis de noviembre de dos mil veintitrés.</w:t>
      </w:r>
    </w:p>
    <w:p w14:paraId="1AEDFD59" w14:textId="394F0577" w:rsidR="00F64776" w:rsidRDefault="00F64776">
      <w:pPr>
        <w:spacing w:after="160" w:line="278" w:lineRule="auto"/>
        <w:rPr>
          <w:rFonts w:ascii="Times New Roman" w:eastAsia="Times New Roman" w:hAnsi="Times New Roman" w:cs="Times New Roman"/>
          <w:sz w:val="24"/>
          <w:szCs w:val="24"/>
          <w:lang w:eastAsia="es-ES"/>
        </w:rPr>
      </w:pPr>
      <w:r>
        <w:br w:type="page"/>
      </w:r>
    </w:p>
    <w:p w14:paraId="79582D2F" w14:textId="77777777" w:rsidR="00F64776" w:rsidRDefault="00F64776" w:rsidP="00F64776">
      <w:pPr>
        <w:pStyle w:val="TtuloResolucin"/>
      </w:pPr>
      <w:bookmarkStart w:id="301" w:name="AUTO_2023_516"/>
      <w:r>
        <w:t>AUTO 516/2023, de 6 de noviembre de 2023</w:t>
      </w:r>
    </w:p>
    <w:bookmarkEnd w:id="301"/>
    <w:p w14:paraId="68EF4069" w14:textId="77777777" w:rsidR="00F64776" w:rsidRDefault="00F64776" w:rsidP="00F64776">
      <w:pPr>
        <w:pStyle w:val="TtuloResolucin"/>
      </w:pPr>
      <w:r>
        <w:t>Sección Tercera</w:t>
      </w:r>
    </w:p>
    <w:p w14:paraId="7A0A7297" w14:textId="77777777" w:rsidR="00F64776" w:rsidRDefault="00F64776" w:rsidP="00F64776">
      <w:pPr>
        <w:pStyle w:val="TextoNormalCentrado"/>
      </w:pPr>
      <w:r>
        <w:t>ECLI:ES:TC:2023:516A</w:t>
      </w:r>
    </w:p>
    <w:p w14:paraId="5A85594E" w14:textId="14DCEA05" w:rsidR="00F64776" w:rsidRDefault="00F64776" w:rsidP="00F64776">
      <w:pPr>
        <w:pStyle w:val="TextoNormalCentrado"/>
      </w:pPr>
    </w:p>
    <w:p w14:paraId="7A723253" w14:textId="77777777" w:rsidR="00F64776" w:rsidRDefault="00F64776" w:rsidP="00F64776">
      <w:pPr>
        <w:pStyle w:val="SntesisDescriptiva"/>
      </w:pPr>
      <w:r>
        <w:t>Excms. Srs. doña Inmaculada Montalbán Huertas y doña Laura Díez Bueso.</w:t>
      </w:r>
    </w:p>
    <w:p w14:paraId="6FE02F4C" w14:textId="0683697A" w:rsidR="00F64776" w:rsidRDefault="00F64776" w:rsidP="00F64776">
      <w:pPr>
        <w:pStyle w:val="SntesisDescriptiva"/>
      </w:pPr>
    </w:p>
    <w:p w14:paraId="7AAD1A24" w14:textId="77777777" w:rsidR="00F64776" w:rsidRDefault="00F64776" w:rsidP="00F64776">
      <w:pPr>
        <w:pStyle w:val="SntesisDescriptiva"/>
      </w:pPr>
      <w:r>
        <w:t>Acepta una abstención en el recurso de amparo 5236-2022, promovido en proceso contencioso-administrativo.</w:t>
      </w:r>
    </w:p>
    <w:p w14:paraId="148A404C" w14:textId="16D168C5" w:rsidR="00F64776" w:rsidRDefault="00F64776" w:rsidP="00F64776">
      <w:pPr>
        <w:pStyle w:val="SntesisDescriptiva"/>
      </w:pPr>
    </w:p>
    <w:p w14:paraId="1C322AC6" w14:textId="77777777" w:rsidR="00F64776" w:rsidRDefault="00F64776" w:rsidP="00F64776">
      <w:pPr>
        <w:pStyle w:val="SntesisDescriptiva"/>
      </w:pPr>
    </w:p>
    <w:p w14:paraId="0F778CC1" w14:textId="77777777" w:rsidR="00F64776" w:rsidRDefault="00F64776" w:rsidP="00F64776">
      <w:pPr>
        <w:pStyle w:val="SntesisDescriptiva"/>
      </w:pPr>
    </w:p>
    <w:p w14:paraId="7BC40ADF" w14:textId="77777777" w:rsidR="00F64776" w:rsidRDefault="00F64776" w:rsidP="00F64776">
      <w:pPr>
        <w:pStyle w:val="TextoNormalNegritaCentrado"/>
      </w:pPr>
      <w:r>
        <w:t>AUTO</w:t>
      </w:r>
    </w:p>
    <w:p w14:paraId="2C13CC0A" w14:textId="0E876896" w:rsidR="00F64776" w:rsidRDefault="00F64776" w:rsidP="00F64776">
      <w:pPr>
        <w:pStyle w:val="TextoNormalNegritaCentrado"/>
      </w:pPr>
    </w:p>
    <w:p w14:paraId="7B87588E" w14:textId="77777777" w:rsidR="00F64776" w:rsidRDefault="00F64776" w:rsidP="00F64776">
      <w:pPr>
        <w:pStyle w:val="TextoNormalNegritaCentrado"/>
        <w:keepNext/>
      </w:pPr>
      <w:r>
        <w:t>I. Antecedentes</w:t>
      </w:r>
    </w:p>
    <w:p w14:paraId="7D007447" w14:textId="1579C500" w:rsidR="00F64776" w:rsidRDefault="00F64776" w:rsidP="00F64776">
      <w:pPr>
        <w:pStyle w:val="TextoNormalNegritaCentrado"/>
        <w:keepNext/>
      </w:pPr>
    </w:p>
    <w:p w14:paraId="5B4723F1" w14:textId="111537E7" w:rsidR="00F64776" w:rsidRDefault="00F64776" w:rsidP="00F64776">
      <w:pPr>
        <w:pStyle w:val="TextoNormal"/>
      </w:pPr>
      <w:r w:rsidRPr="00F64776">
        <w:rPr>
          <w:rStyle w:val="NumeroAFNegritaCaracter"/>
        </w:rPr>
        <w:t>1</w:t>
      </w:r>
      <w:r>
        <w:t>. Mediante escrito registrado en este tribunal el 18 de julio de 2022, el procurador de los tribunales don Pedro Moreno Rodríguez, en nombre y representación de don Houssan Bessoul y bajo la dirección del letrado don Luis Ramón Burgos Rodríguez, formuló demanda de amparo contra la providencia de 6 de julio de 2022 dictada por la Sección Primera de la Sala de lo Contencioso-Administrativo del Tribunal Supremo, en recurso de casación núm. 2150-2022.</w:t>
      </w:r>
    </w:p>
    <w:p w14:paraId="7EBEFE96" w14:textId="77777777" w:rsidR="00F64776" w:rsidRDefault="00F64776" w:rsidP="00F64776">
      <w:pPr>
        <w:pStyle w:val="TextoNormal"/>
      </w:pPr>
    </w:p>
    <w:p w14:paraId="3D01EA31" w14:textId="2A39909B" w:rsidR="00F64776" w:rsidRDefault="00F64776" w:rsidP="00F64776">
      <w:pPr>
        <w:pStyle w:val="TextoNormal"/>
      </w:pPr>
      <w:r w:rsidRPr="00F64776">
        <w:rPr>
          <w:rStyle w:val="NumeroAFNegritaCaracter"/>
        </w:rPr>
        <w:t>2</w:t>
      </w:r>
      <w:r>
        <w:t>. Por escrito de 5 de julio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41CB5420" w14:textId="77777777" w:rsidR="00F64776" w:rsidRDefault="00F64776" w:rsidP="00F64776">
      <w:pPr>
        <w:pStyle w:val="TextoNormal"/>
      </w:pPr>
    </w:p>
    <w:p w14:paraId="4170E6D0" w14:textId="77777777" w:rsidR="00F64776" w:rsidRDefault="00F64776" w:rsidP="00F64776">
      <w:pPr>
        <w:pStyle w:val="TextoNormalNegritaCentrado"/>
        <w:keepNext/>
      </w:pPr>
      <w:r>
        <w:t>II. Fundamentos jurídicos</w:t>
      </w:r>
    </w:p>
    <w:p w14:paraId="55045DB1" w14:textId="401003DC" w:rsidR="00F64776" w:rsidRDefault="00F64776" w:rsidP="00F64776">
      <w:pPr>
        <w:pStyle w:val="TextoNormalNegritaCentrado"/>
        <w:keepNext/>
      </w:pPr>
    </w:p>
    <w:p w14:paraId="5565C8ED" w14:textId="1444ECCD"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24D6F354" w14:textId="77777777" w:rsidR="00F64776" w:rsidRDefault="00F64776" w:rsidP="00F64776">
      <w:pPr>
        <w:pStyle w:val="TextoNormal"/>
      </w:pPr>
    </w:p>
    <w:p w14:paraId="1618BECC" w14:textId="77777777" w:rsidR="00F64776" w:rsidRDefault="00F64776" w:rsidP="00F64776">
      <w:pPr>
        <w:pStyle w:val="TextoNormal"/>
      </w:pPr>
      <w:r>
        <w:t>Por lo expuesto, la Sección</w:t>
      </w:r>
    </w:p>
    <w:p w14:paraId="3D59D415" w14:textId="49C7EE96" w:rsidR="00F64776" w:rsidRDefault="00F64776" w:rsidP="00F64776">
      <w:pPr>
        <w:pStyle w:val="TextoNormal"/>
      </w:pPr>
    </w:p>
    <w:p w14:paraId="3913C981" w14:textId="77777777" w:rsidR="00F64776" w:rsidRDefault="00F64776" w:rsidP="00F64776">
      <w:pPr>
        <w:pStyle w:val="TextoNormalCentrado"/>
      </w:pPr>
      <w:r>
        <w:t>ACUERDA</w:t>
      </w:r>
    </w:p>
    <w:p w14:paraId="4713E518" w14:textId="6148989E" w:rsidR="00F64776" w:rsidRDefault="00F64776" w:rsidP="00F64776">
      <w:pPr>
        <w:pStyle w:val="TextoNormalCentrado"/>
      </w:pPr>
    </w:p>
    <w:p w14:paraId="37D70E20" w14:textId="5045C667" w:rsidR="00F64776" w:rsidRDefault="00F64776" w:rsidP="00F64776">
      <w:pPr>
        <w:pStyle w:val="TextoNormal"/>
      </w:pPr>
      <w:r>
        <w:t>Estimar justificada la abstención formulada por el magistrado don César Tolosa Tribiño en el recurso de amparo núm. 5236-2022 y apartarle definitivamente del conocimiento del referido recurso y de todas sus incidencias.</w:t>
      </w:r>
    </w:p>
    <w:p w14:paraId="72287132" w14:textId="77777777" w:rsidR="00F64776" w:rsidRDefault="00F64776" w:rsidP="00F64776">
      <w:pPr>
        <w:pStyle w:val="TextoNormal"/>
      </w:pPr>
    </w:p>
    <w:p w14:paraId="6BDD68EC" w14:textId="77777777" w:rsidR="00F64776" w:rsidRDefault="00F64776" w:rsidP="00F64776">
      <w:pPr>
        <w:pStyle w:val="TextoNormal"/>
      </w:pPr>
      <w:r>
        <w:t>Madrid, a seis de noviembre de dos mil veintitrés.</w:t>
      </w:r>
    </w:p>
    <w:p w14:paraId="0D659241" w14:textId="542972B1" w:rsidR="00F64776" w:rsidRDefault="00F64776">
      <w:pPr>
        <w:spacing w:after="160" w:line="278" w:lineRule="auto"/>
        <w:rPr>
          <w:rFonts w:ascii="Times New Roman" w:eastAsia="Times New Roman" w:hAnsi="Times New Roman" w:cs="Times New Roman"/>
          <w:sz w:val="24"/>
          <w:szCs w:val="24"/>
          <w:lang w:eastAsia="es-ES"/>
        </w:rPr>
      </w:pPr>
      <w:r>
        <w:br w:type="page"/>
      </w:r>
    </w:p>
    <w:p w14:paraId="303B86D8" w14:textId="77777777" w:rsidR="00F64776" w:rsidRDefault="00F64776" w:rsidP="00F64776">
      <w:pPr>
        <w:pStyle w:val="TtuloResolucin"/>
      </w:pPr>
      <w:bookmarkStart w:id="302" w:name="AUTO_2023_517"/>
      <w:r>
        <w:t>AUTO 517/2023, de 6 de noviembre de 2023</w:t>
      </w:r>
    </w:p>
    <w:bookmarkEnd w:id="302"/>
    <w:p w14:paraId="7EE883E5" w14:textId="77777777" w:rsidR="00F64776" w:rsidRDefault="00F64776" w:rsidP="00F64776">
      <w:pPr>
        <w:pStyle w:val="TtuloResolucin"/>
      </w:pPr>
      <w:r>
        <w:t>Sección Tercera</w:t>
      </w:r>
    </w:p>
    <w:p w14:paraId="0E6BDC01" w14:textId="77777777" w:rsidR="00F64776" w:rsidRDefault="00F64776" w:rsidP="00F64776">
      <w:pPr>
        <w:pStyle w:val="TextoNormalCentrado"/>
      </w:pPr>
      <w:r>
        <w:t>ECLI:ES:TC:2023:517A</w:t>
      </w:r>
    </w:p>
    <w:p w14:paraId="38A521EB" w14:textId="38F4479B" w:rsidR="00F64776" w:rsidRDefault="00F64776" w:rsidP="00F64776">
      <w:pPr>
        <w:pStyle w:val="TextoNormalCentrado"/>
      </w:pPr>
    </w:p>
    <w:p w14:paraId="1E7423F0" w14:textId="77777777" w:rsidR="00F64776" w:rsidRDefault="00F64776" w:rsidP="00F64776">
      <w:pPr>
        <w:pStyle w:val="SntesisDescriptiva"/>
      </w:pPr>
      <w:r>
        <w:t>Excms. Srs. doña Inmaculada Montalbán Huertas y doña Laura Díez Bueso.</w:t>
      </w:r>
    </w:p>
    <w:p w14:paraId="1A0AB6B9" w14:textId="28109014" w:rsidR="00F64776" w:rsidRDefault="00F64776" w:rsidP="00F64776">
      <w:pPr>
        <w:pStyle w:val="SntesisDescriptiva"/>
      </w:pPr>
    </w:p>
    <w:p w14:paraId="75E65274" w14:textId="77777777" w:rsidR="00F64776" w:rsidRDefault="00F64776" w:rsidP="00F64776">
      <w:pPr>
        <w:pStyle w:val="SntesisDescriptiva"/>
      </w:pPr>
      <w:r>
        <w:t>Acepta una abstención en el recurso de amparo 5781-2022, promovido en proceso contencioso-administrativo.</w:t>
      </w:r>
    </w:p>
    <w:p w14:paraId="07114CE4" w14:textId="3DBF7B34" w:rsidR="00F64776" w:rsidRDefault="00F64776" w:rsidP="00F64776">
      <w:pPr>
        <w:pStyle w:val="SntesisDescriptiva"/>
      </w:pPr>
    </w:p>
    <w:p w14:paraId="0877B2A0" w14:textId="77777777" w:rsidR="00F64776" w:rsidRDefault="00F64776" w:rsidP="00F64776">
      <w:pPr>
        <w:pStyle w:val="SntesisDescriptiva"/>
      </w:pPr>
    </w:p>
    <w:p w14:paraId="2FB11217" w14:textId="77777777" w:rsidR="00F64776" w:rsidRDefault="00F64776" w:rsidP="00F64776">
      <w:pPr>
        <w:pStyle w:val="SntesisDescriptiva"/>
      </w:pPr>
    </w:p>
    <w:p w14:paraId="1530071D" w14:textId="77777777" w:rsidR="00F64776" w:rsidRDefault="00F64776" w:rsidP="00F64776">
      <w:pPr>
        <w:pStyle w:val="TextoNormalNegritaCentrado"/>
      </w:pPr>
      <w:r>
        <w:t>AUTO</w:t>
      </w:r>
    </w:p>
    <w:p w14:paraId="39912CCA" w14:textId="11701DB3" w:rsidR="00F64776" w:rsidRDefault="00F64776" w:rsidP="00F64776">
      <w:pPr>
        <w:pStyle w:val="TextoNormalNegritaCentrado"/>
      </w:pPr>
    </w:p>
    <w:p w14:paraId="74CE819C" w14:textId="77777777" w:rsidR="00F64776" w:rsidRDefault="00F64776" w:rsidP="00F64776">
      <w:pPr>
        <w:pStyle w:val="TextoNormalNegritaCentrado"/>
        <w:keepNext/>
      </w:pPr>
      <w:r>
        <w:t>I. Antecedentes</w:t>
      </w:r>
    </w:p>
    <w:p w14:paraId="3F66C12C" w14:textId="640D7F03" w:rsidR="00F64776" w:rsidRDefault="00F64776" w:rsidP="00F64776">
      <w:pPr>
        <w:pStyle w:val="TextoNormalNegritaCentrado"/>
        <w:keepNext/>
      </w:pPr>
    </w:p>
    <w:p w14:paraId="6FE9EDC8" w14:textId="3EDF4672" w:rsidR="00F64776" w:rsidRDefault="00F64776" w:rsidP="00F64776">
      <w:pPr>
        <w:pStyle w:val="TextoNormal"/>
      </w:pPr>
      <w:r w:rsidRPr="00F64776">
        <w:rPr>
          <w:rStyle w:val="NumeroAFNegritaCaracter"/>
        </w:rPr>
        <w:t>1</w:t>
      </w:r>
      <w:r>
        <w:t>. Mediante escrito registrado en este tribunal el 1 de septiembre de 2022, la procuradora de los tribunales doña Irene Gutiérrez Carrillo, en nombre y representación de don Francisco Martín Galán y bajo la dirección del letrado don Pedro Corvo Román, formuló demanda de amparo contra la providencia de la Sala de lo Contencioso-Administrativo del Tribunal Supremo, en recurso de casación núm. 6911-2021.</w:t>
      </w:r>
    </w:p>
    <w:p w14:paraId="265B22E6" w14:textId="77777777" w:rsidR="00F64776" w:rsidRDefault="00F64776" w:rsidP="00F64776">
      <w:pPr>
        <w:pStyle w:val="TextoNormal"/>
      </w:pPr>
    </w:p>
    <w:p w14:paraId="1046E0ED" w14:textId="3135F61C" w:rsidR="00F64776" w:rsidRDefault="00F64776" w:rsidP="00F64776">
      <w:pPr>
        <w:pStyle w:val="TextoNormal"/>
      </w:pPr>
      <w:r w:rsidRPr="00F64776">
        <w:rPr>
          <w:rStyle w:val="NumeroAFNegritaCaracter"/>
        </w:rPr>
        <w:t>2</w:t>
      </w:r>
      <w:r>
        <w:t>. Por escrito de 5 de julio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230332CB" w14:textId="77777777" w:rsidR="00F64776" w:rsidRDefault="00F64776" w:rsidP="00F64776">
      <w:pPr>
        <w:pStyle w:val="TextoNormal"/>
      </w:pPr>
    </w:p>
    <w:p w14:paraId="36F03672" w14:textId="77777777" w:rsidR="00F64776" w:rsidRDefault="00F64776" w:rsidP="00F64776">
      <w:pPr>
        <w:pStyle w:val="TextoNormalNegritaCentrado"/>
        <w:keepNext/>
      </w:pPr>
      <w:r>
        <w:t>II. Fundamentos jurídicos</w:t>
      </w:r>
    </w:p>
    <w:p w14:paraId="12BBE001" w14:textId="0D4F5157" w:rsidR="00F64776" w:rsidRDefault="00F64776" w:rsidP="00F64776">
      <w:pPr>
        <w:pStyle w:val="TextoNormalNegritaCentrado"/>
        <w:keepNext/>
      </w:pPr>
    </w:p>
    <w:p w14:paraId="66F6074B" w14:textId="3BF53C1E"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4CB723D5" w14:textId="77777777" w:rsidR="00F64776" w:rsidRDefault="00F64776" w:rsidP="00F64776">
      <w:pPr>
        <w:pStyle w:val="TextoNormal"/>
      </w:pPr>
    </w:p>
    <w:p w14:paraId="164BB82C" w14:textId="77777777" w:rsidR="00F64776" w:rsidRDefault="00F64776" w:rsidP="00F64776">
      <w:pPr>
        <w:pStyle w:val="TextoNormal"/>
      </w:pPr>
      <w:r>
        <w:t>Por lo expuesto, la Sección</w:t>
      </w:r>
    </w:p>
    <w:p w14:paraId="58E86B1B" w14:textId="36F5FF30" w:rsidR="00F64776" w:rsidRDefault="00F64776" w:rsidP="00F64776">
      <w:pPr>
        <w:pStyle w:val="TextoNormal"/>
      </w:pPr>
    </w:p>
    <w:p w14:paraId="174FB1B8" w14:textId="77777777" w:rsidR="00F64776" w:rsidRDefault="00F64776" w:rsidP="00F64776">
      <w:pPr>
        <w:pStyle w:val="TextoNormalCentrado"/>
      </w:pPr>
      <w:r>
        <w:t>ACUERDA</w:t>
      </w:r>
    </w:p>
    <w:p w14:paraId="288E584A" w14:textId="77DDE965" w:rsidR="00F64776" w:rsidRDefault="00F64776" w:rsidP="00F64776">
      <w:pPr>
        <w:pStyle w:val="TextoNormalCentrado"/>
      </w:pPr>
    </w:p>
    <w:p w14:paraId="5D582049" w14:textId="18DB7A2C" w:rsidR="00F64776" w:rsidRDefault="00F64776" w:rsidP="00F64776">
      <w:pPr>
        <w:pStyle w:val="TextoNormal"/>
      </w:pPr>
      <w:r>
        <w:t>Estimar justificada la abstención formulada por el magistrado don César Tolosa Tribiño en el recurso de amparo núm. 5781-2022 y apartarle definitivamente del conocimiento del referido recurso y de todas sus incidencias.</w:t>
      </w:r>
    </w:p>
    <w:p w14:paraId="63974B8F" w14:textId="77777777" w:rsidR="00F64776" w:rsidRDefault="00F64776" w:rsidP="00F64776">
      <w:pPr>
        <w:pStyle w:val="TextoNormal"/>
      </w:pPr>
    </w:p>
    <w:p w14:paraId="16053042" w14:textId="77777777" w:rsidR="00F64776" w:rsidRDefault="00F64776" w:rsidP="00F64776">
      <w:pPr>
        <w:pStyle w:val="TextoNormal"/>
      </w:pPr>
      <w:r>
        <w:t>Madrid, a seis de noviembre de dos mil veintitrés.</w:t>
      </w:r>
    </w:p>
    <w:p w14:paraId="194C9FE2" w14:textId="77E31BF8" w:rsidR="00F64776" w:rsidRDefault="00F64776">
      <w:pPr>
        <w:spacing w:after="160" w:line="278" w:lineRule="auto"/>
        <w:rPr>
          <w:rFonts w:ascii="Times New Roman" w:eastAsia="Times New Roman" w:hAnsi="Times New Roman" w:cs="Times New Roman"/>
          <w:sz w:val="24"/>
          <w:szCs w:val="24"/>
          <w:lang w:eastAsia="es-ES"/>
        </w:rPr>
      </w:pPr>
      <w:r>
        <w:br w:type="page"/>
      </w:r>
    </w:p>
    <w:p w14:paraId="542BA297" w14:textId="77777777" w:rsidR="00F64776" w:rsidRDefault="00F64776" w:rsidP="00F64776">
      <w:pPr>
        <w:pStyle w:val="TtuloResolucin"/>
      </w:pPr>
      <w:bookmarkStart w:id="303" w:name="AUTO_2023_518"/>
      <w:r>
        <w:t>AUTO 518/2023, de 6 de noviembre de 2023</w:t>
      </w:r>
    </w:p>
    <w:bookmarkEnd w:id="303"/>
    <w:p w14:paraId="72F3A46E" w14:textId="77777777" w:rsidR="00F64776" w:rsidRDefault="00F64776" w:rsidP="00F64776">
      <w:pPr>
        <w:pStyle w:val="TtuloResolucin"/>
      </w:pPr>
      <w:r>
        <w:t>Sección Tercera</w:t>
      </w:r>
    </w:p>
    <w:p w14:paraId="2E5D33B5" w14:textId="77777777" w:rsidR="00F64776" w:rsidRDefault="00F64776" w:rsidP="00F64776">
      <w:pPr>
        <w:pStyle w:val="TextoNormalCentrado"/>
      </w:pPr>
      <w:r>
        <w:t>ECLI:ES:TC:2023:518A</w:t>
      </w:r>
    </w:p>
    <w:p w14:paraId="07DD6AB2" w14:textId="1E9AA94A" w:rsidR="00F64776" w:rsidRDefault="00F64776" w:rsidP="00F64776">
      <w:pPr>
        <w:pStyle w:val="TextoNormalCentrado"/>
      </w:pPr>
    </w:p>
    <w:p w14:paraId="00ADA9C7" w14:textId="77777777" w:rsidR="00F64776" w:rsidRDefault="00F64776" w:rsidP="00F64776">
      <w:pPr>
        <w:pStyle w:val="SntesisDescriptiva"/>
      </w:pPr>
      <w:r>
        <w:t>Excms. Srs. doña Inmaculada Montalbán Huertas y doña Laura Díez Bueso.</w:t>
      </w:r>
    </w:p>
    <w:p w14:paraId="56F4383A" w14:textId="721DEA2D" w:rsidR="00F64776" w:rsidRDefault="00F64776" w:rsidP="00F64776">
      <w:pPr>
        <w:pStyle w:val="SntesisDescriptiva"/>
      </w:pPr>
    </w:p>
    <w:p w14:paraId="40B7DF72" w14:textId="77777777" w:rsidR="00F64776" w:rsidRDefault="00F64776" w:rsidP="00F64776">
      <w:pPr>
        <w:pStyle w:val="SntesisDescriptiva"/>
      </w:pPr>
      <w:r>
        <w:t>Acepta una abstención en el recurso de amparo 5821-2022, promovido en proceso contencioso-administrativo.</w:t>
      </w:r>
    </w:p>
    <w:p w14:paraId="7080FD03" w14:textId="1F7759AC" w:rsidR="00F64776" w:rsidRDefault="00F64776" w:rsidP="00F64776">
      <w:pPr>
        <w:pStyle w:val="SntesisDescriptiva"/>
      </w:pPr>
    </w:p>
    <w:p w14:paraId="659EF8A8" w14:textId="77777777" w:rsidR="00F64776" w:rsidRDefault="00F64776" w:rsidP="00F64776">
      <w:pPr>
        <w:pStyle w:val="SntesisDescriptiva"/>
      </w:pPr>
    </w:p>
    <w:p w14:paraId="446F5FD1" w14:textId="77777777" w:rsidR="00F64776" w:rsidRDefault="00F64776" w:rsidP="00F64776">
      <w:pPr>
        <w:pStyle w:val="SntesisDescriptiva"/>
      </w:pPr>
    </w:p>
    <w:p w14:paraId="58E38328" w14:textId="77777777" w:rsidR="00F64776" w:rsidRDefault="00F64776" w:rsidP="00F64776">
      <w:pPr>
        <w:pStyle w:val="TextoNormalNegritaCentrado"/>
      </w:pPr>
      <w:r>
        <w:t>AUTO</w:t>
      </w:r>
    </w:p>
    <w:p w14:paraId="302434BB" w14:textId="7807A8CC" w:rsidR="00F64776" w:rsidRDefault="00F64776" w:rsidP="00F64776">
      <w:pPr>
        <w:pStyle w:val="TextoNormalNegritaCentrado"/>
      </w:pPr>
    </w:p>
    <w:p w14:paraId="4A6416C5" w14:textId="77777777" w:rsidR="00F64776" w:rsidRDefault="00F64776" w:rsidP="00F64776">
      <w:pPr>
        <w:pStyle w:val="TextoNormalNegritaCentrado"/>
        <w:keepNext/>
      </w:pPr>
      <w:r>
        <w:t>I. Antecedentes</w:t>
      </w:r>
    </w:p>
    <w:p w14:paraId="5F6308F3" w14:textId="755B4B49" w:rsidR="00F64776" w:rsidRDefault="00F64776" w:rsidP="00F64776">
      <w:pPr>
        <w:pStyle w:val="TextoNormalNegritaCentrado"/>
        <w:keepNext/>
      </w:pPr>
    </w:p>
    <w:p w14:paraId="1042B1E7" w14:textId="137BA1EC" w:rsidR="00F64776" w:rsidRDefault="00F64776" w:rsidP="00F64776">
      <w:pPr>
        <w:pStyle w:val="TextoNormal"/>
      </w:pPr>
      <w:r w:rsidRPr="00F64776">
        <w:rPr>
          <w:rStyle w:val="NumeroAFNegritaCaracter"/>
        </w:rPr>
        <w:t>1</w:t>
      </w:r>
      <w:r>
        <w:t>. Mediante escrito registrado en este tribunal el 2 de septiembre de 2022, la procuradora de los tribunales doña Noelia Nuevo Cabezuelo, en nombre y representación de don Yudi Quispe Camargo y bajo la dirección del letrado don Gregorio García Aparicio, formuló demanda de amparo contra la providencia de la Sala Contencioso-Administrativo del Tribunal Supremo, en recurso de casación núm. 1788-2022.</w:t>
      </w:r>
    </w:p>
    <w:p w14:paraId="014EE11B" w14:textId="77777777" w:rsidR="00F64776" w:rsidRDefault="00F64776" w:rsidP="00F64776">
      <w:pPr>
        <w:pStyle w:val="TextoNormal"/>
      </w:pPr>
    </w:p>
    <w:p w14:paraId="15451667" w14:textId="1358DA24" w:rsidR="00F64776" w:rsidRDefault="00F64776" w:rsidP="00F64776">
      <w:pPr>
        <w:pStyle w:val="TextoNormal"/>
      </w:pPr>
      <w:r w:rsidRPr="00F64776">
        <w:rPr>
          <w:rStyle w:val="NumeroAFNegritaCaracter"/>
        </w:rPr>
        <w:t>2</w:t>
      </w:r>
      <w:r>
        <w:t>. Por escrito de 5 de julio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3BF17EFB" w14:textId="77777777" w:rsidR="00F64776" w:rsidRDefault="00F64776" w:rsidP="00F64776">
      <w:pPr>
        <w:pStyle w:val="TextoNormal"/>
      </w:pPr>
    </w:p>
    <w:p w14:paraId="3ABCA132" w14:textId="77777777" w:rsidR="00F64776" w:rsidRDefault="00F64776" w:rsidP="00F64776">
      <w:pPr>
        <w:pStyle w:val="TextoNormalNegritaCentrado"/>
        <w:keepNext/>
      </w:pPr>
      <w:r>
        <w:t>II. Fundamentos jurídicos</w:t>
      </w:r>
    </w:p>
    <w:p w14:paraId="130E2661" w14:textId="48C4A361" w:rsidR="00F64776" w:rsidRDefault="00F64776" w:rsidP="00F64776">
      <w:pPr>
        <w:pStyle w:val="TextoNormalNegritaCentrado"/>
        <w:keepNext/>
      </w:pPr>
    </w:p>
    <w:p w14:paraId="48C1AF32" w14:textId="26DA4A9F"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2D9B9C2F" w14:textId="77777777" w:rsidR="00F64776" w:rsidRDefault="00F64776" w:rsidP="00F64776">
      <w:pPr>
        <w:pStyle w:val="TextoNormal"/>
      </w:pPr>
    </w:p>
    <w:p w14:paraId="002D906D" w14:textId="77777777" w:rsidR="00F64776" w:rsidRDefault="00F64776" w:rsidP="00F64776">
      <w:pPr>
        <w:pStyle w:val="TextoNormal"/>
      </w:pPr>
      <w:r>
        <w:t>Por lo expuesto, la Sección</w:t>
      </w:r>
    </w:p>
    <w:p w14:paraId="0319237A" w14:textId="3A44E5B8" w:rsidR="00F64776" w:rsidRDefault="00F64776" w:rsidP="00F64776">
      <w:pPr>
        <w:pStyle w:val="TextoNormal"/>
      </w:pPr>
    </w:p>
    <w:p w14:paraId="0927C4E3" w14:textId="77777777" w:rsidR="00F64776" w:rsidRDefault="00F64776" w:rsidP="00F64776">
      <w:pPr>
        <w:pStyle w:val="TextoNormalCentrado"/>
      </w:pPr>
      <w:r>
        <w:t>ACUERDA</w:t>
      </w:r>
    </w:p>
    <w:p w14:paraId="09B8ABD0" w14:textId="0CA3F62D" w:rsidR="00F64776" w:rsidRDefault="00F64776" w:rsidP="00F64776">
      <w:pPr>
        <w:pStyle w:val="TextoNormalCentrado"/>
      </w:pPr>
    </w:p>
    <w:p w14:paraId="71CF6DD9" w14:textId="3DB603BC" w:rsidR="00F64776" w:rsidRDefault="00F64776" w:rsidP="00F64776">
      <w:pPr>
        <w:pStyle w:val="TextoNormal"/>
      </w:pPr>
      <w:r>
        <w:t>Estimar justificada la abstención formulada por el magistrado don César Tolosa Tribiño en el recurso de amparo núm. 5821-2022 y apartarle definitivamente del conocimiento del referido recurso y de todas sus incidencias.</w:t>
      </w:r>
    </w:p>
    <w:p w14:paraId="303CD0E9" w14:textId="77777777" w:rsidR="00F64776" w:rsidRDefault="00F64776" w:rsidP="00F64776">
      <w:pPr>
        <w:pStyle w:val="TextoNormal"/>
      </w:pPr>
    </w:p>
    <w:p w14:paraId="385BD4AB" w14:textId="77777777" w:rsidR="00F64776" w:rsidRDefault="00F64776" w:rsidP="00F64776">
      <w:pPr>
        <w:pStyle w:val="TextoNormal"/>
      </w:pPr>
      <w:r>
        <w:t>Madrid, a seis de noviembre de dos mil veintitrés.</w:t>
      </w:r>
    </w:p>
    <w:p w14:paraId="1E10BE73" w14:textId="54340035" w:rsidR="00F64776" w:rsidRDefault="00F64776">
      <w:pPr>
        <w:spacing w:after="160" w:line="278" w:lineRule="auto"/>
        <w:rPr>
          <w:rFonts w:ascii="Times New Roman" w:eastAsia="Times New Roman" w:hAnsi="Times New Roman" w:cs="Times New Roman"/>
          <w:sz w:val="24"/>
          <w:szCs w:val="24"/>
          <w:lang w:eastAsia="es-ES"/>
        </w:rPr>
      </w:pPr>
      <w:r>
        <w:br w:type="page"/>
      </w:r>
    </w:p>
    <w:p w14:paraId="09EFFD14" w14:textId="77777777" w:rsidR="00F64776" w:rsidRDefault="00F64776" w:rsidP="00F64776">
      <w:pPr>
        <w:pStyle w:val="TtuloResolucin"/>
      </w:pPr>
      <w:bookmarkStart w:id="304" w:name="AUTO_2023_519"/>
      <w:r>
        <w:t>AUTO 519/2023, de 6 de noviembre de 2023</w:t>
      </w:r>
    </w:p>
    <w:bookmarkEnd w:id="304"/>
    <w:p w14:paraId="41CFCF15" w14:textId="77777777" w:rsidR="00F64776" w:rsidRDefault="00F64776" w:rsidP="00F64776">
      <w:pPr>
        <w:pStyle w:val="TtuloResolucin"/>
      </w:pPr>
      <w:r>
        <w:t>Sección Tercera</w:t>
      </w:r>
    </w:p>
    <w:p w14:paraId="5127924F" w14:textId="77777777" w:rsidR="00F64776" w:rsidRDefault="00F64776" w:rsidP="00F64776">
      <w:pPr>
        <w:pStyle w:val="TextoNormalCentrado"/>
      </w:pPr>
      <w:r>
        <w:t>ECLI:ES:TC:2023:519A</w:t>
      </w:r>
    </w:p>
    <w:p w14:paraId="7B454F04" w14:textId="06A05D4A" w:rsidR="00F64776" w:rsidRDefault="00F64776" w:rsidP="00F64776">
      <w:pPr>
        <w:pStyle w:val="TextoNormalCentrado"/>
      </w:pPr>
    </w:p>
    <w:p w14:paraId="7F3E2087" w14:textId="77777777" w:rsidR="00F64776" w:rsidRDefault="00F64776" w:rsidP="00F64776">
      <w:pPr>
        <w:pStyle w:val="SntesisDescriptiva"/>
      </w:pPr>
      <w:r>
        <w:t>Excms. Srs. doña Inmaculada Montalbán Huertas, don César Tolosa Tribiño y doña Laura Díez Bueso.</w:t>
      </w:r>
    </w:p>
    <w:p w14:paraId="530796C6" w14:textId="65300BB6" w:rsidR="00F64776" w:rsidRDefault="00F64776" w:rsidP="00F64776">
      <w:pPr>
        <w:pStyle w:val="SntesisDescriptiva"/>
      </w:pPr>
    </w:p>
    <w:p w14:paraId="6CC0AC3C" w14:textId="77777777" w:rsidR="00F64776" w:rsidRDefault="00F64776" w:rsidP="00F64776">
      <w:pPr>
        <w:pStyle w:val="SntesisDescriptiva"/>
      </w:pPr>
      <w:r>
        <w:t>Acepta una abstención en el recurso de amparo 6043-2022, promovido en proceso contencioso-administrativo.</w:t>
      </w:r>
    </w:p>
    <w:p w14:paraId="39051DC4" w14:textId="1453C531" w:rsidR="00F64776" w:rsidRDefault="00F64776" w:rsidP="00F64776">
      <w:pPr>
        <w:pStyle w:val="SntesisDescriptiva"/>
      </w:pPr>
    </w:p>
    <w:p w14:paraId="051AC81E" w14:textId="77777777" w:rsidR="00F64776" w:rsidRDefault="00F64776" w:rsidP="00F64776">
      <w:pPr>
        <w:pStyle w:val="SntesisDescriptiva"/>
      </w:pPr>
    </w:p>
    <w:p w14:paraId="4F1ED79F" w14:textId="77777777" w:rsidR="00F64776" w:rsidRDefault="00F64776" w:rsidP="00F64776">
      <w:pPr>
        <w:pStyle w:val="SntesisDescriptiva"/>
      </w:pPr>
    </w:p>
    <w:p w14:paraId="14E938CE" w14:textId="77777777" w:rsidR="00F64776" w:rsidRDefault="00F64776" w:rsidP="00F64776">
      <w:pPr>
        <w:pStyle w:val="TextoNormalNegritaCentrado"/>
      </w:pPr>
      <w:r>
        <w:t>AUTO</w:t>
      </w:r>
    </w:p>
    <w:p w14:paraId="0E46031C" w14:textId="2EF1FFA5" w:rsidR="00F64776" w:rsidRDefault="00F64776" w:rsidP="00F64776">
      <w:pPr>
        <w:pStyle w:val="TextoNormalNegritaCentrado"/>
      </w:pPr>
    </w:p>
    <w:p w14:paraId="54A1F9AC" w14:textId="77777777" w:rsidR="00F64776" w:rsidRDefault="00F64776" w:rsidP="00F64776">
      <w:pPr>
        <w:pStyle w:val="TextoNormalNegritaCentrado"/>
        <w:keepNext/>
      </w:pPr>
      <w:r>
        <w:t>I. Antecedentes</w:t>
      </w:r>
    </w:p>
    <w:p w14:paraId="35E2934D" w14:textId="5039CE08" w:rsidR="00F64776" w:rsidRDefault="00F64776" w:rsidP="00F64776">
      <w:pPr>
        <w:pStyle w:val="TextoNormalNegritaCentrado"/>
        <w:keepNext/>
      </w:pPr>
    </w:p>
    <w:p w14:paraId="6B987A83" w14:textId="5D3A6C95" w:rsidR="00F64776" w:rsidRDefault="00F64776" w:rsidP="00F64776">
      <w:pPr>
        <w:pStyle w:val="TextoNormal"/>
      </w:pPr>
      <w:r w:rsidRPr="00F64776">
        <w:rPr>
          <w:rStyle w:val="NumeroAFNegritaCaracter"/>
        </w:rPr>
        <w:t>1</w:t>
      </w:r>
      <w:r>
        <w:t>. Mediante escrito registrado en este tribunal el 14 de septiembre de 2022, el procurador de los tribunales don Alfonso Arjona Ramírez, en nombre y representación de don José Ramón Fernández Terrer y bajo la dirección del letrado don José Ramón Fernández Terrer, formuló demanda de amparo contra la providencia de la Sección Primera de la Sala de lo Contencioso-Administrativo del Tribunal Supremo, en recurso de casación núm. 3221-2022.</w:t>
      </w:r>
    </w:p>
    <w:p w14:paraId="5FF92C0D" w14:textId="77777777" w:rsidR="00F64776" w:rsidRDefault="00F64776" w:rsidP="00F64776">
      <w:pPr>
        <w:pStyle w:val="TextoNormal"/>
      </w:pPr>
    </w:p>
    <w:p w14:paraId="10A7B138" w14:textId="43FFF053" w:rsidR="00F64776" w:rsidRDefault="00F64776" w:rsidP="00F64776">
      <w:pPr>
        <w:pStyle w:val="TextoNormal"/>
      </w:pPr>
      <w:r w:rsidRPr="00F64776">
        <w:rPr>
          <w:rStyle w:val="NumeroAFNegritaCaracter"/>
        </w:rPr>
        <w:t>2</w:t>
      </w:r>
      <w:r>
        <w:t>. Por escrito de 5 de julio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030601E9" w14:textId="77777777" w:rsidR="00F64776" w:rsidRDefault="00F64776" w:rsidP="00F64776">
      <w:pPr>
        <w:pStyle w:val="TextoNormal"/>
      </w:pPr>
    </w:p>
    <w:p w14:paraId="7B9F1FA1" w14:textId="77777777" w:rsidR="00F64776" w:rsidRDefault="00F64776" w:rsidP="00F64776">
      <w:pPr>
        <w:pStyle w:val="TextoNormalNegritaCentrado"/>
        <w:keepNext/>
      </w:pPr>
      <w:r>
        <w:t>II. Fundamentos jurídicos</w:t>
      </w:r>
    </w:p>
    <w:p w14:paraId="68D5C41C" w14:textId="26ADFBBC" w:rsidR="00F64776" w:rsidRDefault="00F64776" w:rsidP="00F64776">
      <w:pPr>
        <w:pStyle w:val="TextoNormalNegritaCentrado"/>
        <w:keepNext/>
      </w:pPr>
    </w:p>
    <w:p w14:paraId="4F53104D" w14:textId="1F1D2914"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6D567764" w14:textId="77777777" w:rsidR="00F64776" w:rsidRDefault="00F64776" w:rsidP="00F64776">
      <w:pPr>
        <w:pStyle w:val="TextoNormal"/>
      </w:pPr>
    </w:p>
    <w:p w14:paraId="08EFEBD4" w14:textId="77777777" w:rsidR="00F64776" w:rsidRDefault="00F64776" w:rsidP="00F64776">
      <w:pPr>
        <w:pStyle w:val="TextoNormal"/>
      </w:pPr>
      <w:r>
        <w:t>Por lo expuesto, la Sección</w:t>
      </w:r>
    </w:p>
    <w:p w14:paraId="3E85A031" w14:textId="43F429AF" w:rsidR="00F64776" w:rsidRDefault="00F64776" w:rsidP="00F64776">
      <w:pPr>
        <w:pStyle w:val="TextoNormal"/>
      </w:pPr>
    </w:p>
    <w:p w14:paraId="40AA9CFD" w14:textId="77777777" w:rsidR="00F64776" w:rsidRDefault="00F64776" w:rsidP="00F64776">
      <w:pPr>
        <w:pStyle w:val="TextoNormalCentrado"/>
      </w:pPr>
      <w:r>
        <w:t>ACUERDA</w:t>
      </w:r>
    </w:p>
    <w:p w14:paraId="78B42622" w14:textId="3227EC8D" w:rsidR="00F64776" w:rsidRDefault="00F64776" w:rsidP="00F64776">
      <w:pPr>
        <w:pStyle w:val="TextoNormalCentrado"/>
      </w:pPr>
    </w:p>
    <w:p w14:paraId="1D9D6536" w14:textId="3A408EAD" w:rsidR="00F64776" w:rsidRDefault="00F64776" w:rsidP="00F64776">
      <w:pPr>
        <w:pStyle w:val="TextoNormal"/>
      </w:pPr>
      <w:r>
        <w:t>Estimar justificada la abstención formulada por el magistrado don César Tolosa Tribiño en el recurso de amparo núm. 6043-2022 y apartarle definitivamente del conocimiento del referido recurso y de todas sus incidencias.</w:t>
      </w:r>
    </w:p>
    <w:p w14:paraId="1587ACC5" w14:textId="77777777" w:rsidR="00F64776" w:rsidRDefault="00F64776" w:rsidP="00F64776">
      <w:pPr>
        <w:pStyle w:val="TextoNormal"/>
      </w:pPr>
    </w:p>
    <w:p w14:paraId="34020F33" w14:textId="77777777" w:rsidR="00F64776" w:rsidRDefault="00F64776" w:rsidP="00F64776">
      <w:pPr>
        <w:pStyle w:val="TextoNormal"/>
      </w:pPr>
      <w:r>
        <w:t>Madrid, a seis de noviembre de dos mil veintitrés.</w:t>
      </w:r>
    </w:p>
    <w:p w14:paraId="635AF55E" w14:textId="7471E163" w:rsidR="00F64776" w:rsidRDefault="00F64776">
      <w:pPr>
        <w:spacing w:after="160" w:line="278" w:lineRule="auto"/>
        <w:rPr>
          <w:rFonts w:ascii="Times New Roman" w:eastAsia="Times New Roman" w:hAnsi="Times New Roman" w:cs="Times New Roman"/>
          <w:sz w:val="24"/>
          <w:szCs w:val="24"/>
          <w:lang w:eastAsia="es-ES"/>
        </w:rPr>
      </w:pPr>
      <w:r>
        <w:br w:type="page"/>
      </w:r>
    </w:p>
    <w:p w14:paraId="2D7DEBC0" w14:textId="77777777" w:rsidR="00F64776" w:rsidRDefault="00F64776" w:rsidP="00F64776">
      <w:pPr>
        <w:pStyle w:val="TtuloResolucin"/>
      </w:pPr>
      <w:bookmarkStart w:id="305" w:name="AUTO_2023_520"/>
      <w:r>
        <w:t>AUTO 520/2023, de 6 de noviembre de 2023</w:t>
      </w:r>
    </w:p>
    <w:bookmarkEnd w:id="305"/>
    <w:p w14:paraId="4C420FDF" w14:textId="77777777" w:rsidR="00F64776" w:rsidRDefault="00F64776" w:rsidP="00F64776">
      <w:pPr>
        <w:pStyle w:val="TtuloResolucin"/>
      </w:pPr>
      <w:r>
        <w:t>Sección Tercera</w:t>
      </w:r>
    </w:p>
    <w:p w14:paraId="1ADAC330" w14:textId="77777777" w:rsidR="00F64776" w:rsidRDefault="00F64776" w:rsidP="00F64776">
      <w:pPr>
        <w:pStyle w:val="TextoNormalCentrado"/>
      </w:pPr>
      <w:r>
        <w:t>ECLI:ES:TC:2023:520A</w:t>
      </w:r>
    </w:p>
    <w:p w14:paraId="5528F221" w14:textId="52798471" w:rsidR="00F64776" w:rsidRDefault="00F64776" w:rsidP="00F64776">
      <w:pPr>
        <w:pStyle w:val="TextoNormalCentrado"/>
      </w:pPr>
    </w:p>
    <w:p w14:paraId="2EC84F75" w14:textId="77777777" w:rsidR="00F64776" w:rsidRDefault="00F64776" w:rsidP="00F64776">
      <w:pPr>
        <w:pStyle w:val="SntesisDescriptiva"/>
      </w:pPr>
      <w:r>
        <w:t>Excms. Srs. doña Inmaculada Montalbán Huertas y doña Laura Díez Bueso.</w:t>
      </w:r>
    </w:p>
    <w:p w14:paraId="139EA858" w14:textId="48ACF88F" w:rsidR="00F64776" w:rsidRDefault="00F64776" w:rsidP="00F64776">
      <w:pPr>
        <w:pStyle w:val="SntesisDescriptiva"/>
      </w:pPr>
    </w:p>
    <w:p w14:paraId="235051AA" w14:textId="77777777" w:rsidR="00F64776" w:rsidRDefault="00F64776" w:rsidP="00F64776">
      <w:pPr>
        <w:pStyle w:val="SntesisDescriptiva"/>
      </w:pPr>
      <w:r>
        <w:t>Acepta una abstención en el recurso de amparo 6591-2022, promovido por la entidad Post Belt Caminjun 3.0, S.L. en proceso contencioso-administrativo.</w:t>
      </w:r>
    </w:p>
    <w:p w14:paraId="756F8F01" w14:textId="53CE1033" w:rsidR="00F64776" w:rsidRDefault="00F64776" w:rsidP="00F64776">
      <w:pPr>
        <w:pStyle w:val="SntesisDescriptiva"/>
      </w:pPr>
    </w:p>
    <w:p w14:paraId="3650DCA6" w14:textId="77777777" w:rsidR="00F64776" w:rsidRDefault="00F64776" w:rsidP="00F64776">
      <w:pPr>
        <w:pStyle w:val="SntesisDescriptiva"/>
      </w:pPr>
    </w:p>
    <w:p w14:paraId="234A4F9D" w14:textId="77777777" w:rsidR="00F64776" w:rsidRDefault="00F64776" w:rsidP="00F64776">
      <w:pPr>
        <w:pStyle w:val="SntesisDescriptiva"/>
      </w:pPr>
    </w:p>
    <w:p w14:paraId="0FEA87A6" w14:textId="77777777" w:rsidR="00F64776" w:rsidRDefault="00F64776" w:rsidP="00F64776">
      <w:pPr>
        <w:pStyle w:val="TextoNormalNegritaCentrado"/>
      </w:pPr>
      <w:r>
        <w:t>AUTO</w:t>
      </w:r>
    </w:p>
    <w:p w14:paraId="22A10DB0" w14:textId="1796D15C" w:rsidR="00F64776" w:rsidRDefault="00F64776" w:rsidP="00F64776">
      <w:pPr>
        <w:pStyle w:val="TextoNormalNegritaCentrado"/>
      </w:pPr>
    </w:p>
    <w:p w14:paraId="39EF6CBD" w14:textId="77777777" w:rsidR="00F64776" w:rsidRDefault="00F64776" w:rsidP="00F64776">
      <w:pPr>
        <w:pStyle w:val="TextoNormalNegritaCentrado"/>
        <w:keepNext/>
      </w:pPr>
      <w:r>
        <w:t>I. Antecedentes</w:t>
      </w:r>
    </w:p>
    <w:p w14:paraId="49BE39C9" w14:textId="21BBBA86" w:rsidR="00F64776" w:rsidRDefault="00F64776" w:rsidP="00F64776">
      <w:pPr>
        <w:pStyle w:val="TextoNormalNegritaCentrado"/>
        <w:keepNext/>
      </w:pPr>
    </w:p>
    <w:p w14:paraId="70692DE1" w14:textId="15476C13" w:rsidR="00F64776" w:rsidRDefault="00F64776" w:rsidP="00F64776">
      <w:pPr>
        <w:pStyle w:val="TextoNormal"/>
      </w:pPr>
      <w:r w:rsidRPr="00F64776">
        <w:rPr>
          <w:rStyle w:val="NumeroAFNegritaCaracter"/>
        </w:rPr>
        <w:t>1</w:t>
      </w:r>
      <w:r>
        <w:t>. Mediante escrito registrado en este tribunal el 6 de octubre de 2022, la procuradora de los tribunales doña Olga Romojaro Casado, en nombre y representación de la entidad Post Belt Caminjun 3.0, S.L., y bajo la dirección del letrado don Ibor Fernandes Romero, formuló demanda de amparo contra la providencia de 15 de julio de 2022 dictada por la Sección Primera de la Sala de lo Contencioso-Administrativo del Tribunal Supremo, en recurso de casación núm. 8606-2021 contra la sentencia de la Sección Tercera de la Sala de lo Contencioso-Administrativo del Tribunal Superior de Justicia de Cataluña, en recurso de apelación núm. 99-2020.</w:t>
      </w:r>
    </w:p>
    <w:p w14:paraId="5925666C" w14:textId="77777777" w:rsidR="00F64776" w:rsidRDefault="00F64776" w:rsidP="00F64776">
      <w:pPr>
        <w:pStyle w:val="TextoNormal"/>
      </w:pPr>
    </w:p>
    <w:p w14:paraId="214E4E40" w14:textId="7D68D75A" w:rsidR="00F64776" w:rsidRDefault="00F64776" w:rsidP="00F64776">
      <w:pPr>
        <w:pStyle w:val="TextoNormal"/>
      </w:pPr>
      <w:r w:rsidRPr="00F64776">
        <w:rPr>
          <w:rStyle w:val="NumeroAFNegritaCaracter"/>
        </w:rPr>
        <w:t>2</w:t>
      </w:r>
      <w:r>
        <w:t>. Por escrito de 30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1465CC2B" w14:textId="77777777" w:rsidR="00F64776" w:rsidRDefault="00F64776" w:rsidP="00F64776">
      <w:pPr>
        <w:pStyle w:val="TextoNormal"/>
      </w:pPr>
    </w:p>
    <w:p w14:paraId="2FAB57D3" w14:textId="77777777" w:rsidR="00F64776" w:rsidRDefault="00F64776" w:rsidP="00F64776">
      <w:pPr>
        <w:pStyle w:val="TextoNormalNegritaCentrado"/>
        <w:keepNext/>
      </w:pPr>
      <w:r>
        <w:t>II. Fundamentos jurídicos</w:t>
      </w:r>
    </w:p>
    <w:p w14:paraId="394D30DA" w14:textId="665395EB" w:rsidR="00F64776" w:rsidRDefault="00F64776" w:rsidP="00F64776">
      <w:pPr>
        <w:pStyle w:val="TextoNormalNegritaCentrado"/>
        <w:keepNext/>
      </w:pPr>
    </w:p>
    <w:p w14:paraId="02A19ACF" w14:textId="39D8E3F5"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59EA7EB0" w14:textId="77777777" w:rsidR="00F64776" w:rsidRDefault="00F64776" w:rsidP="00F64776">
      <w:pPr>
        <w:pStyle w:val="TextoNormal"/>
      </w:pPr>
    </w:p>
    <w:p w14:paraId="3A23DF6C" w14:textId="77777777" w:rsidR="00F64776" w:rsidRDefault="00F64776" w:rsidP="00F64776">
      <w:pPr>
        <w:pStyle w:val="TextoNormal"/>
      </w:pPr>
      <w:r>
        <w:t>Por lo expuesto, la Sección</w:t>
      </w:r>
    </w:p>
    <w:p w14:paraId="2D42258C" w14:textId="4813C971" w:rsidR="00F64776" w:rsidRDefault="00F64776" w:rsidP="00F64776">
      <w:pPr>
        <w:pStyle w:val="TextoNormal"/>
      </w:pPr>
    </w:p>
    <w:p w14:paraId="241A8700" w14:textId="77777777" w:rsidR="00F64776" w:rsidRDefault="00F64776" w:rsidP="00F64776">
      <w:pPr>
        <w:pStyle w:val="TextoNormalCentrado"/>
      </w:pPr>
      <w:r>
        <w:t>ACUERDA</w:t>
      </w:r>
    </w:p>
    <w:p w14:paraId="734DA246" w14:textId="04574C66" w:rsidR="00F64776" w:rsidRDefault="00F64776" w:rsidP="00F64776">
      <w:pPr>
        <w:pStyle w:val="TextoNormalCentrado"/>
      </w:pPr>
    </w:p>
    <w:p w14:paraId="69E833C9" w14:textId="0C178675" w:rsidR="00F64776" w:rsidRDefault="00F64776" w:rsidP="00F64776">
      <w:pPr>
        <w:pStyle w:val="TextoNormal"/>
      </w:pPr>
      <w:r>
        <w:t>Estimar justificada la abstención formulada por el magistrado don César Tolosa Tribiño en el recurso de amparo núm. 6591-2022 y apartarle definitivamente del conocimiento del referido recurso y de todas sus incidencias.</w:t>
      </w:r>
    </w:p>
    <w:p w14:paraId="01BBA287" w14:textId="77777777" w:rsidR="00F64776" w:rsidRDefault="00F64776" w:rsidP="00F64776">
      <w:pPr>
        <w:pStyle w:val="TextoNormal"/>
      </w:pPr>
    </w:p>
    <w:p w14:paraId="6C61893D" w14:textId="77777777" w:rsidR="00F64776" w:rsidRDefault="00F64776" w:rsidP="00F64776">
      <w:pPr>
        <w:pStyle w:val="TextoNormal"/>
      </w:pPr>
      <w:r>
        <w:t>Madrid, a seis de noviembre de dos mil veintitrés.</w:t>
      </w:r>
    </w:p>
    <w:p w14:paraId="21E36797" w14:textId="5B46008F" w:rsidR="00F64776" w:rsidRDefault="00F64776">
      <w:pPr>
        <w:spacing w:after="160" w:line="278" w:lineRule="auto"/>
        <w:rPr>
          <w:rFonts w:ascii="Times New Roman" w:eastAsia="Times New Roman" w:hAnsi="Times New Roman" w:cs="Times New Roman"/>
          <w:sz w:val="24"/>
          <w:szCs w:val="24"/>
          <w:lang w:eastAsia="es-ES"/>
        </w:rPr>
      </w:pPr>
      <w:r>
        <w:br w:type="page"/>
      </w:r>
    </w:p>
    <w:p w14:paraId="3D1CBC20" w14:textId="77777777" w:rsidR="00F64776" w:rsidRDefault="00F64776" w:rsidP="00F64776">
      <w:pPr>
        <w:pStyle w:val="TtuloResolucin"/>
      </w:pPr>
      <w:bookmarkStart w:id="306" w:name="AUTO_2023_521"/>
      <w:r>
        <w:t>AUTO 521/2023, de 6 de noviembre de 2023</w:t>
      </w:r>
    </w:p>
    <w:bookmarkEnd w:id="306"/>
    <w:p w14:paraId="12244AB1" w14:textId="77777777" w:rsidR="00F64776" w:rsidRDefault="00F64776" w:rsidP="00F64776">
      <w:pPr>
        <w:pStyle w:val="TtuloResolucin"/>
      </w:pPr>
      <w:r>
        <w:t>Pleno</w:t>
      </w:r>
    </w:p>
    <w:p w14:paraId="36CD689F" w14:textId="77777777" w:rsidR="00F64776" w:rsidRDefault="00F64776" w:rsidP="00F64776">
      <w:pPr>
        <w:pStyle w:val="TextoNormalCentrado"/>
      </w:pPr>
      <w:r>
        <w:t>ECLI:ES:TC:2023:521A</w:t>
      </w:r>
    </w:p>
    <w:p w14:paraId="7C1B1811" w14:textId="34082057" w:rsidR="00F64776" w:rsidRDefault="00F64776" w:rsidP="00F64776">
      <w:pPr>
        <w:pStyle w:val="TextoNormalCentrado"/>
      </w:pPr>
    </w:p>
    <w:p w14:paraId="6D68FC5D" w14:textId="77777777" w:rsidR="00F64776" w:rsidRDefault="00F64776" w:rsidP="00F64776">
      <w:pPr>
        <w:pStyle w:val="SntesisDescriptiva"/>
      </w:pPr>
      <w:r>
        <w:t>Excms. Srs. don Cándido Conde-Pumpido Tourón, doña Inmaculada Montalbán Huertas, don Ricardo Enríquez Sancho, doña María Luisa Balaguer Callejón, don Ramón Sáez Valcárcel, don Enrique Arnaldo Alcubilla, doña Concepción Espejel Jorquera, doña María Luisa Segoviano Astaburuaga, don Juan Carlos Campo Moreno y doña Laura Díez Bueso.</w:t>
      </w:r>
    </w:p>
    <w:p w14:paraId="230E250D" w14:textId="3239C5E0" w:rsidR="00F64776" w:rsidRDefault="00F64776" w:rsidP="00F64776">
      <w:pPr>
        <w:pStyle w:val="SntesisDescriptiva"/>
      </w:pPr>
    </w:p>
    <w:p w14:paraId="2ED7546C" w14:textId="77777777" w:rsidR="00F64776" w:rsidRDefault="00F64776" w:rsidP="00F64776">
      <w:pPr>
        <w:pStyle w:val="SntesisDescriptiva"/>
      </w:pPr>
      <w:r>
        <w:t>Acepta una abstención en el recurso de inconstitucionalidad núm. 6914-2022, interpuesto por más de cincuenta diputados del Grupo Parlamentario Popular en relación con la Ley Orgánica 8/2022, de 27 de julio, de modificación de los artículos 570 bis y 599 de la Ley Orgánica 6/1985, de 1 de julio, del Poder Judicial.</w:t>
      </w:r>
    </w:p>
    <w:p w14:paraId="0E09A678" w14:textId="04F10EF4" w:rsidR="00F64776" w:rsidRDefault="00F64776" w:rsidP="00F64776">
      <w:pPr>
        <w:pStyle w:val="SntesisDescriptiva"/>
      </w:pPr>
    </w:p>
    <w:p w14:paraId="525D88A8" w14:textId="77777777" w:rsidR="00F64776" w:rsidRDefault="00F64776" w:rsidP="00F64776">
      <w:pPr>
        <w:pStyle w:val="SntesisDescriptiva"/>
      </w:pPr>
    </w:p>
    <w:p w14:paraId="7768543D" w14:textId="77777777" w:rsidR="00F64776" w:rsidRDefault="00F64776" w:rsidP="00F64776">
      <w:pPr>
        <w:pStyle w:val="SntesisDescriptiva"/>
      </w:pPr>
    </w:p>
    <w:p w14:paraId="5639A13D" w14:textId="77777777" w:rsidR="00F64776" w:rsidRDefault="00F64776" w:rsidP="00F64776">
      <w:pPr>
        <w:pStyle w:val="TextoNormalNegritaCentrado"/>
      </w:pPr>
      <w:r>
        <w:t>AUTO</w:t>
      </w:r>
    </w:p>
    <w:p w14:paraId="69B5BAF7" w14:textId="7BD284B2" w:rsidR="00F64776" w:rsidRDefault="00F64776" w:rsidP="00F64776">
      <w:pPr>
        <w:pStyle w:val="TextoNormalNegritaCentrado"/>
      </w:pPr>
    </w:p>
    <w:p w14:paraId="5DD6F315" w14:textId="77777777" w:rsidR="00F64776" w:rsidRDefault="00F64776" w:rsidP="00F64776">
      <w:pPr>
        <w:pStyle w:val="TextoNormalNegritaCentrado"/>
        <w:keepNext/>
      </w:pPr>
      <w:r>
        <w:t>I. Antecedentes</w:t>
      </w:r>
    </w:p>
    <w:p w14:paraId="1CCA4854" w14:textId="17456F99" w:rsidR="00F64776" w:rsidRDefault="00F64776" w:rsidP="00F64776">
      <w:pPr>
        <w:pStyle w:val="TextoNormalNegritaCentrado"/>
        <w:keepNext/>
      </w:pPr>
    </w:p>
    <w:p w14:paraId="6EEDEF87" w14:textId="01F82A30" w:rsidR="00F64776" w:rsidRDefault="00F64776" w:rsidP="00F64776">
      <w:pPr>
        <w:pStyle w:val="TextoNormal"/>
      </w:pPr>
      <w:r w:rsidRPr="00F64776">
        <w:rPr>
          <w:rStyle w:val="NumeroAFNegritaCaracter"/>
        </w:rPr>
        <w:t>1</w:t>
      </w:r>
      <w:r>
        <w:t xml:space="preserve">. Mediante escrito registrado en este tribunal el 24 de octubre de 2022, don Manuel Sánchez-Puelles González-Carvajal, procurador de los tribunales, en nombre y representación de más de cincuenta diputados del Grupo Parlamentario Popular en el Congreso de los Diputados y don Jaime Eduardo de Olano Vela, en su condición de comisionado de los diputados recurrentes, interpone recurso de inconstitucionalidad en relación con la Ley Orgánica 8/2022, de 27 de julio, de modificación de los artículos 570 </w:t>
      </w:r>
      <w:r w:rsidRPr="00F64776">
        <w:rPr>
          <w:i/>
        </w:rPr>
        <w:t>bis</w:t>
      </w:r>
      <w:r>
        <w:t xml:space="preserve"> y 599 de la Ley Orgánica 6/1985, de 1 de julio, del Poder Judicial, publicada en el “Boletín Oficial del Estado”, núm. 180, de 28 de julio de 2022.</w:t>
      </w:r>
    </w:p>
    <w:p w14:paraId="7451B0F8" w14:textId="77777777" w:rsidR="00F64776" w:rsidRDefault="00F64776" w:rsidP="00F64776">
      <w:pPr>
        <w:pStyle w:val="TextoNormal"/>
      </w:pPr>
    </w:p>
    <w:p w14:paraId="41734481" w14:textId="77777777" w:rsidR="00F64776" w:rsidRDefault="00F64776" w:rsidP="00F64776">
      <w:pPr>
        <w:pStyle w:val="TextoNormal"/>
      </w:pPr>
      <w:r w:rsidRPr="00F64776">
        <w:rPr>
          <w:rStyle w:val="NumeroAFNegritaCaracter"/>
        </w:rPr>
        <w:t>2</w:t>
      </w:r>
      <w:r>
        <w:t xml:space="preserve">. La Ley Orgánica 8/2022, de 27 de julio, de modificación de los artículos 570 </w:t>
      </w:r>
      <w:r w:rsidRPr="00F64776">
        <w:rPr>
          <w:i/>
        </w:rPr>
        <w:t>bis</w:t>
      </w:r>
      <w:r>
        <w:t xml:space="preserve"> y 599 de la Ley Orgánica 6/1985, de 1 de julio, del Poder Judicial, dispone:</w:t>
      </w:r>
    </w:p>
    <w:p w14:paraId="76A89651" w14:textId="77777777" w:rsidR="00F64776" w:rsidRDefault="00F64776" w:rsidP="00F64776">
      <w:pPr>
        <w:pStyle w:val="TextoNormal"/>
      </w:pPr>
    </w:p>
    <w:p w14:paraId="3819004F" w14:textId="77777777" w:rsidR="00F64776" w:rsidRDefault="00F64776" w:rsidP="00F64776">
      <w:pPr>
        <w:pStyle w:val="TextoNormal"/>
      </w:pPr>
      <w:r>
        <w:t>“Artículo único. Modificación de la Ley Orgánica 6/1985, de 1 de julio, del Poder Judicial.</w:t>
      </w:r>
    </w:p>
    <w:p w14:paraId="1A1D3ADF" w14:textId="77777777" w:rsidR="00F64776" w:rsidRDefault="00F64776" w:rsidP="00F64776">
      <w:pPr>
        <w:pStyle w:val="TextoNormal"/>
      </w:pPr>
    </w:p>
    <w:p w14:paraId="32772AC7" w14:textId="77777777" w:rsidR="00F64776" w:rsidRDefault="00F64776" w:rsidP="00F64776">
      <w:pPr>
        <w:pStyle w:val="TextoNormal"/>
      </w:pPr>
      <w:r>
        <w:t>La Ley Orgánica 6/1985, de 1 de julio, del Poder Judicial queda modificada como sigue:</w:t>
      </w:r>
    </w:p>
    <w:p w14:paraId="3A1794CA" w14:textId="77777777" w:rsidR="00F64776" w:rsidRDefault="00F64776" w:rsidP="00F64776">
      <w:pPr>
        <w:pStyle w:val="TextoNormal"/>
      </w:pPr>
    </w:p>
    <w:p w14:paraId="50129F89" w14:textId="77777777" w:rsidR="00F64776" w:rsidRDefault="00F64776" w:rsidP="00F64776">
      <w:pPr>
        <w:pStyle w:val="TextoNormal"/>
      </w:pPr>
      <w:r>
        <w:t xml:space="preserve">Uno. Se introduce un nuevo numeral 1 en el apartado 1 del artículo 570 </w:t>
      </w:r>
      <w:r w:rsidRPr="00F64776">
        <w:rPr>
          <w:i/>
        </w:rPr>
        <w:t>bis</w:t>
      </w:r>
      <w:r>
        <w:t>, con el siguiente tenor, quedando renumerados los numerales de dicho apartado:</w:t>
      </w:r>
    </w:p>
    <w:p w14:paraId="2A2AC0A8" w14:textId="77777777" w:rsidR="00F64776" w:rsidRDefault="00F64776" w:rsidP="00F64776">
      <w:pPr>
        <w:pStyle w:val="TextoNormal"/>
      </w:pPr>
    </w:p>
    <w:p w14:paraId="368DCE13" w14:textId="77777777" w:rsidR="00F64776" w:rsidRDefault="00F64776" w:rsidP="00F64776">
      <w:pPr>
        <w:pStyle w:val="TextoNormal"/>
      </w:pPr>
      <w:r>
        <w:t>‘1. Proponer el nombramiento de dos magistrados del Tribunal Constitucional, en los términos previstos por el artículo 599.1.1’.</w:t>
      </w:r>
    </w:p>
    <w:p w14:paraId="7CDB1103" w14:textId="77777777" w:rsidR="00F64776" w:rsidRDefault="00F64776" w:rsidP="00F64776">
      <w:pPr>
        <w:pStyle w:val="TextoNormal"/>
      </w:pPr>
    </w:p>
    <w:p w14:paraId="5E4449E4" w14:textId="77777777" w:rsidR="00F64776" w:rsidRDefault="00F64776" w:rsidP="00F64776">
      <w:pPr>
        <w:pStyle w:val="TextoNormal"/>
      </w:pPr>
      <w:r>
        <w:t>Dos. Se modifica el numeral 1 del apartado 1 del artículo 599, quedando redactado como sigue:</w:t>
      </w:r>
    </w:p>
    <w:p w14:paraId="5D4C14A6" w14:textId="77777777" w:rsidR="00F64776" w:rsidRDefault="00F64776" w:rsidP="00F64776">
      <w:pPr>
        <w:pStyle w:val="TextoNormal"/>
      </w:pPr>
    </w:p>
    <w:p w14:paraId="73939C17" w14:textId="77777777" w:rsidR="00F64776" w:rsidRDefault="00F64776" w:rsidP="00F64776">
      <w:pPr>
        <w:pStyle w:val="TextoNormal"/>
      </w:pPr>
      <w:r>
        <w:t>‘1. La propuesta de nombramiento, por mayoría de tres quintos, de los dos magistrados del Tribunal Constitucional cuya designación corresponde al Consejo General del Poder Judicial, que tendrá que realizarse en el plazo máximo de tres meses a contar desde el día siguiente al vencimiento del mandato anterior’”.</w:t>
      </w:r>
    </w:p>
    <w:p w14:paraId="7E8380D5" w14:textId="77777777" w:rsidR="00F64776" w:rsidRDefault="00F64776" w:rsidP="00F64776">
      <w:pPr>
        <w:pStyle w:val="TextoNormal"/>
      </w:pPr>
    </w:p>
    <w:p w14:paraId="102A2F70" w14:textId="77777777" w:rsidR="00F64776" w:rsidRDefault="00F64776" w:rsidP="00F64776">
      <w:pPr>
        <w:pStyle w:val="TextoNormal"/>
      </w:pPr>
      <w:r>
        <w:t>“Disposición final única. Entrada en vigor.</w:t>
      </w:r>
    </w:p>
    <w:p w14:paraId="3D36A218" w14:textId="77777777" w:rsidR="00F64776" w:rsidRDefault="00F64776" w:rsidP="00F64776">
      <w:pPr>
        <w:pStyle w:val="TextoNormal"/>
      </w:pPr>
    </w:p>
    <w:p w14:paraId="159D9337" w14:textId="73F53926" w:rsidR="00F64776" w:rsidRDefault="00F64776" w:rsidP="00F64776">
      <w:pPr>
        <w:pStyle w:val="TextoNormal"/>
      </w:pPr>
      <w:r>
        <w:t>La presente Ley Orgánica entrará en vigor el día siguiente al de su publicación en el ‘Boletín Oficial del Estado’”.</w:t>
      </w:r>
    </w:p>
    <w:p w14:paraId="07E92194" w14:textId="77777777" w:rsidR="00F64776" w:rsidRDefault="00F64776" w:rsidP="00F64776">
      <w:pPr>
        <w:pStyle w:val="TextoNormal"/>
      </w:pPr>
    </w:p>
    <w:p w14:paraId="648997E6" w14:textId="16BF3465" w:rsidR="00F64776" w:rsidRDefault="00F64776" w:rsidP="00F64776">
      <w:pPr>
        <w:pStyle w:val="TextoNormal"/>
      </w:pPr>
      <w:r w:rsidRPr="00F64776">
        <w:rPr>
          <w:rStyle w:val="NumeroAFNegritaCaracter"/>
        </w:rPr>
        <w:t>3</w:t>
      </w:r>
      <w:r>
        <w:t>. Por providencia de 16 de noviembre de 2022, dictada por el Pleno del Tribunal, se admitió a trámite el recurso de inconstitucionalidad, interpuesto contra la citada Ley Orgánica 8/2022, de 27 de julio.</w:t>
      </w:r>
    </w:p>
    <w:p w14:paraId="53C1AB88" w14:textId="77777777" w:rsidR="00F64776" w:rsidRDefault="00F64776" w:rsidP="00F64776">
      <w:pPr>
        <w:pStyle w:val="TextoNormal"/>
      </w:pPr>
    </w:p>
    <w:p w14:paraId="77542918" w14:textId="11A119FD" w:rsidR="00F64776" w:rsidRDefault="00F64776" w:rsidP="00F64776">
      <w:pPr>
        <w:pStyle w:val="TextoNormal"/>
      </w:pPr>
      <w:r w:rsidRPr="00F64776">
        <w:rPr>
          <w:rStyle w:val="NumeroAFNegritaCaracter"/>
        </w:rPr>
        <w:t>4</w:t>
      </w:r>
      <w:r>
        <w:t>. Por Real Decreto 1095/2022, de 30 de diciembre, se nombró magistrado del Tribunal Constitucional a don César Tolosa Tribiño, de conformidad con lo dispuesto en los artículos 159 de la Constitución y 16 de la Ley Orgánica 2/1979, de 3 de octubre, del Tribunal Constitucional, y a propuesta del Consejo General del Poder Judicial.</w:t>
      </w:r>
    </w:p>
    <w:p w14:paraId="10624197" w14:textId="77777777" w:rsidR="00F64776" w:rsidRDefault="00F64776" w:rsidP="00F64776">
      <w:pPr>
        <w:pStyle w:val="TextoNormal"/>
      </w:pPr>
    </w:p>
    <w:p w14:paraId="75B41221" w14:textId="1DAB969C" w:rsidR="00F64776" w:rsidRDefault="00F64776" w:rsidP="00F64776">
      <w:pPr>
        <w:pStyle w:val="TextoNormal"/>
      </w:pPr>
      <w:r w:rsidRPr="00F64776">
        <w:rPr>
          <w:rStyle w:val="NumeroAFNegritaCaracter"/>
        </w:rPr>
        <w:t>5</w:t>
      </w:r>
      <w:r>
        <w:t>. Por escrito de 17 de octubre de 2023, el magistrado don César Tolosa Tribiño comunicó al señor presidente de este tribunal, a los efectos oportunos, su voluntad de abstenerse de intervenir en el conocimiento del recurso de inconstitucionalidad núm. 6914-2022.</w:t>
      </w:r>
    </w:p>
    <w:p w14:paraId="46C9C152" w14:textId="77777777" w:rsidR="00F64776" w:rsidRDefault="00F64776" w:rsidP="00F64776">
      <w:pPr>
        <w:pStyle w:val="TextoNormal"/>
      </w:pPr>
    </w:p>
    <w:p w14:paraId="2E3CC9F4" w14:textId="24999147" w:rsidR="00F64776" w:rsidRDefault="00F64776" w:rsidP="00F64776">
      <w:pPr>
        <w:pStyle w:val="TextoNormal"/>
      </w:pPr>
      <w:r w:rsidRPr="00F64776">
        <w:rPr>
          <w:rStyle w:val="NumeroAFNegritaCaracter"/>
        </w:rPr>
        <w:t>6</w:t>
      </w:r>
      <w:r>
        <w:t xml:space="preserve">. La solicitud de abstención se sustenta en la causa décima del art. 219 de la Ley Orgánica 6/1985, de 1 de julio, del Poder Judicial (LOPJ) por “[t]ener interés directo o indirecto en el pleito o causa”, al haber sido el magistrado nombrado a propuesta del Consejo General del Poder Judicial con sustento en el nuevo numeral 1 introducido en el apartado primero del artículo 570 </w:t>
      </w:r>
      <w:r w:rsidRPr="00F64776">
        <w:rPr>
          <w:i/>
        </w:rPr>
        <w:t>bis</w:t>
      </w:r>
      <w:r>
        <w:t>, cuya constitucionalidad es objeto del presente recurso, de modo que una eventual estimación del recurso de inconstitucionalidad podría afectar a la validez del nombramiento del magistrado.</w:t>
      </w:r>
    </w:p>
    <w:p w14:paraId="49E48503" w14:textId="77777777" w:rsidR="00F64776" w:rsidRDefault="00F64776" w:rsidP="00F64776">
      <w:pPr>
        <w:pStyle w:val="TextoNormal"/>
      </w:pPr>
    </w:p>
    <w:p w14:paraId="1F2C65CA" w14:textId="77777777" w:rsidR="00F64776" w:rsidRDefault="00F64776" w:rsidP="00F64776">
      <w:pPr>
        <w:pStyle w:val="TextoNormalNegritaCentrado"/>
        <w:keepNext/>
      </w:pPr>
      <w:r>
        <w:t>II. Fundamentos jurídicos</w:t>
      </w:r>
    </w:p>
    <w:p w14:paraId="5656BACC" w14:textId="735501A1" w:rsidR="00F64776" w:rsidRDefault="00F64776" w:rsidP="00F64776">
      <w:pPr>
        <w:pStyle w:val="TextoNormalNegritaCentrado"/>
        <w:keepNext/>
      </w:pPr>
    </w:p>
    <w:p w14:paraId="74A2E2C8" w14:textId="77777777" w:rsidR="00F64776" w:rsidRDefault="00F64776" w:rsidP="00F64776">
      <w:pPr>
        <w:pStyle w:val="TextoNormal"/>
      </w:pPr>
      <w:r w:rsidRPr="00F64776">
        <w:rPr>
          <w:rStyle w:val="TextoNormalNegritaCaracter"/>
        </w:rPr>
        <w:t xml:space="preserve">Único. </w:t>
      </w:r>
      <w:r>
        <w:t xml:space="preserve">El objeto de la presente resolución es, de conformidad con lo previsto en el art. 10.1 k) de la Ley Orgánica del Tribunal Constitucional (LOTC), resolver sobre la abstención formulada por el magistrado don César Tolosa Tribiño quien ha remitido al Pleno escrito de 17 de octubre de 2023 comunicando su voluntad de abstenerse de toda intervención en el presente recurso y sus incidencias por tener interés directo en la causa (art. 219.10 LOPJ), al sustentarse su nombramiento como magistrado del Tribunal Constitucional en el nuevo numeral 1 introducido en el apartado primero del artículo 570 </w:t>
      </w:r>
      <w:r w:rsidRPr="00F64776">
        <w:rPr>
          <w:i/>
        </w:rPr>
        <w:t>bis</w:t>
      </w:r>
      <w:r>
        <w:t xml:space="preserve"> por la Ley Orgánica 8/2022, de 27 de julio, de modificación de los artículos 570 </w:t>
      </w:r>
      <w:r w:rsidRPr="00F64776">
        <w:rPr>
          <w:i/>
        </w:rPr>
        <w:t>bis</w:t>
      </w:r>
      <w:r>
        <w:t xml:space="preserve"> y 599 de la Ley Orgánica 6/1985, de 1 de julio, cuya constitucionalidad aparece cuestionada por los recurrentes.</w:t>
      </w:r>
    </w:p>
    <w:p w14:paraId="4E99452F" w14:textId="77777777" w:rsidR="00F64776" w:rsidRDefault="00F64776" w:rsidP="00F64776">
      <w:pPr>
        <w:pStyle w:val="TextoNormal"/>
      </w:pPr>
    </w:p>
    <w:p w14:paraId="7C67C000" w14:textId="3F55FA7F" w:rsidR="00F64776" w:rsidRDefault="00F64776" w:rsidP="00F64776">
      <w:pPr>
        <w:pStyle w:val="TextoNormal"/>
      </w:pPr>
      <w:r>
        <w:t>En atención a la circunstancia reseñada pudiendo depender la validez del nombramiento del magistrado de la constitucionalidad del precepto recurrido debe estimarse justificada la abstención al concurrir la causa décima del art. 219 LOPJ, por tener un interés directo en la causa.</w:t>
      </w:r>
    </w:p>
    <w:p w14:paraId="10B858ED" w14:textId="77777777" w:rsidR="00F64776" w:rsidRDefault="00F64776" w:rsidP="00F64776">
      <w:pPr>
        <w:pStyle w:val="TextoNormal"/>
      </w:pPr>
    </w:p>
    <w:p w14:paraId="6C445CEC" w14:textId="77777777" w:rsidR="00F64776" w:rsidRDefault="00F64776" w:rsidP="00F64776">
      <w:pPr>
        <w:pStyle w:val="TextoNormal"/>
      </w:pPr>
      <w:r>
        <w:t>Por lo expuesto, el Pleno</w:t>
      </w:r>
    </w:p>
    <w:p w14:paraId="1CABEA02" w14:textId="3F88557C" w:rsidR="00F64776" w:rsidRDefault="00F64776" w:rsidP="00F64776">
      <w:pPr>
        <w:pStyle w:val="TextoNormal"/>
      </w:pPr>
    </w:p>
    <w:p w14:paraId="352A0A71" w14:textId="77777777" w:rsidR="00F64776" w:rsidRDefault="00F64776" w:rsidP="00F64776">
      <w:pPr>
        <w:pStyle w:val="TextoNormalCentrado"/>
      </w:pPr>
      <w:r>
        <w:t>ACUERDA</w:t>
      </w:r>
    </w:p>
    <w:p w14:paraId="62AB4984" w14:textId="603039E6" w:rsidR="00F64776" w:rsidRDefault="00F64776" w:rsidP="00F64776">
      <w:pPr>
        <w:pStyle w:val="TextoNormalCentrado"/>
      </w:pPr>
    </w:p>
    <w:p w14:paraId="196571A2" w14:textId="63C50AC6" w:rsidR="00F64776" w:rsidRDefault="00F64776" w:rsidP="00F64776">
      <w:pPr>
        <w:pStyle w:val="TextoNormal"/>
      </w:pPr>
      <w:r>
        <w:t>Estimar la causa de abstención formulada por el magistrado don César Tolosa Tribiño en el recurso de inconstitucionalidad núm. 6914-2022, apartándole definitivamente del referido recurso y de todas sus incidencias.</w:t>
      </w:r>
    </w:p>
    <w:p w14:paraId="5C63868D" w14:textId="77777777" w:rsidR="00F64776" w:rsidRDefault="00F64776" w:rsidP="00F64776">
      <w:pPr>
        <w:pStyle w:val="TextoNormal"/>
      </w:pPr>
    </w:p>
    <w:p w14:paraId="0CA86263" w14:textId="77777777" w:rsidR="00F64776" w:rsidRDefault="00F64776" w:rsidP="00F64776">
      <w:pPr>
        <w:pStyle w:val="TextoNormal"/>
      </w:pPr>
      <w:r>
        <w:t>Madrid, a seis de noviembre de dos mil veintitrés.</w:t>
      </w:r>
    </w:p>
    <w:p w14:paraId="60DD2999" w14:textId="676D15CB" w:rsidR="00F64776" w:rsidRDefault="00F64776">
      <w:pPr>
        <w:spacing w:after="160" w:line="278" w:lineRule="auto"/>
        <w:rPr>
          <w:rFonts w:ascii="Times New Roman" w:eastAsia="Times New Roman" w:hAnsi="Times New Roman" w:cs="Times New Roman"/>
          <w:sz w:val="24"/>
          <w:szCs w:val="24"/>
          <w:lang w:eastAsia="es-ES"/>
        </w:rPr>
      </w:pPr>
      <w:r>
        <w:br w:type="page"/>
      </w:r>
    </w:p>
    <w:p w14:paraId="003DFE29" w14:textId="77777777" w:rsidR="00F64776" w:rsidRDefault="00F64776" w:rsidP="00F64776">
      <w:pPr>
        <w:pStyle w:val="TtuloResolucin"/>
      </w:pPr>
      <w:bookmarkStart w:id="307" w:name="AUTO_2023_522"/>
      <w:r>
        <w:t>AUTO 522/2023, de 6 de noviembre de 2023</w:t>
      </w:r>
    </w:p>
    <w:bookmarkEnd w:id="307"/>
    <w:p w14:paraId="00F981D9" w14:textId="77777777" w:rsidR="00F64776" w:rsidRDefault="00F64776" w:rsidP="00F64776">
      <w:pPr>
        <w:pStyle w:val="TtuloResolucin"/>
      </w:pPr>
      <w:r>
        <w:t>Pleno</w:t>
      </w:r>
    </w:p>
    <w:p w14:paraId="2D193557" w14:textId="77777777" w:rsidR="00F64776" w:rsidRDefault="00F64776" w:rsidP="00F64776">
      <w:pPr>
        <w:pStyle w:val="TextoNormalCentrado"/>
      </w:pPr>
      <w:r>
        <w:t>ECLI:ES:TC:2023:522A</w:t>
      </w:r>
    </w:p>
    <w:p w14:paraId="26E6B62C" w14:textId="742E3E4E" w:rsidR="00F64776" w:rsidRDefault="00F64776" w:rsidP="00F64776">
      <w:pPr>
        <w:pStyle w:val="TextoNormalCentrado"/>
      </w:pPr>
    </w:p>
    <w:p w14:paraId="0C5EB0FD" w14:textId="77777777" w:rsidR="00F64776" w:rsidRDefault="00F64776" w:rsidP="00F64776">
      <w:pPr>
        <w:pStyle w:val="SntesisDescriptiva"/>
      </w:pPr>
      <w:r>
        <w:t>Excms. Srs. don Cándido Conde-Pumpido Tourón, doña Inmaculada Montalbán Huertas, don Ricardo Enríquez Sancho, doña María Luisa Balaguer Callejón, don Ramón Sáez Valcárcel, don Enrique Arnaldo Alcubilla, doña Concepción Espejel Jorquera, don César Tolosa Tribiño, don Juan Carlos Campo Moreno y doña Laura Díez Bueso.</w:t>
      </w:r>
    </w:p>
    <w:p w14:paraId="7845DE9A" w14:textId="77E44CAE" w:rsidR="00F64776" w:rsidRDefault="00F64776" w:rsidP="00F64776">
      <w:pPr>
        <w:pStyle w:val="SntesisDescriptiva"/>
      </w:pPr>
    </w:p>
    <w:p w14:paraId="661EFF8F" w14:textId="77777777" w:rsidR="00F64776" w:rsidRDefault="00F64776" w:rsidP="00F64776">
      <w:pPr>
        <w:pStyle w:val="SntesisDescriptiva"/>
      </w:pPr>
      <w:r>
        <w:t>Acepta una abstención en el recurso de inconstitucionalidad núm. 6914-2022, interpuesto por más de cincuenta diputados del Grupo Parlamentario Popular en relación con la Ley Orgánica 8/2022, de 27 de julio, de modificación de los artículos 570 bis y 599 de la Ley Orgánica 6/1985, de 1 de julio, del Poder Judicial.</w:t>
      </w:r>
    </w:p>
    <w:p w14:paraId="3B2EFB8C" w14:textId="64CEA1B8" w:rsidR="00F64776" w:rsidRDefault="00F64776" w:rsidP="00F64776">
      <w:pPr>
        <w:pStyle w:val="SntesisDescriptiva"/>
      </w:pPr>
    </w:p>
    <w:p w14:paraId="5204341A" w14:textId="77777777" w:rsidR="00F64776" w:rsidRDefault="00F64776" w:rsidP="00F64776">
      <w:pPr>
        <w:pStyle w:val="SntesisDescriptiva"/>
      </w:pPr>
    </w:p>
    <w:p w14:paraId="6CF62F36" w14:textId="77777777" w:rsidR="00F64776" w:rsidRDefault="00F64776" w:rsidP="00F64776">
      <w:pPr>
        <w:pStyle w:val="SntesisDescriptiva"/>
      </w:pPr>
    </w:p>
    <w:p w14:paraId="7A455C5C" w14:textId="77777777" w:rsidR="00F64776" w:rsidRDefault="00F64776" w:rsidP="00F64776">
      <w:pPr>
        <w:pStyle w:val="TextoNormalNegritaCentrado"/>
      </w:pPr>
      <w:r>
        <w:t>AUTO</w:t>
      </w:r>
    </w:p>
    <w:p w14:paraId="3B66FA2A" w14:textId="78980003" w:rsidR="00F64776" w:rsidRDefault="00F64776" w:rsidP="00F64776">
      <w:pPr>
        <w:pStyle w:val="TextoNormalNegritaCentrado"/>
      </w:pPr>
    </w:p>
    <w:p w14:paraId="3F057AD4" w14:textId="77777777" w:rsidR="00F64776" w:rsidRDefault="00F64776" w:rsidP="00F64776">
      <w:pPr>
        <w:pStyle w:val="TextoNormalNegritaCentrado"/>
        <w:keepNext/>
      </w:pPr>
      <w:r>
        <w:t>I. Antecedentes</w:t>
      </w:r>
    </w:p>
    <w:p w14:paraId="31A87A9D" w14:textId="2774985A" w:rsidR="00F64776" w:rsidRDefault="00F64776" w:rsidP="00F64776">
      <w:pPr>
        <w:pStyle w:val="TextoNormalNegritaCentrado"/>
        <w:keepNext/>
      </w:pPr>
    </w:p>
    <w:p w14:paraId="07B35E92" w14:textId="4833A80C" w:rsidR="00F64776" w:rsidRDefault="00F64776" w:rsidP="00F64776">
      <w:pPr>
        <w:pStyle w:val="TextoNormal"/>
      </w:pPr>
      <w:r w:rsidRPr="00F64776">
        <w:rPr>
          <w:rStyle w:val="NumeroAFNegritaCaracter"/>
        </w:rPr>
        <w:t>1</w:t>
      </w:r>
      <w:r>
        <w:t xml:space="preserve">. Mediante escrito registrado en este tribunal el 24 de octubre de 2022, don Manuel Sánchez Puelles González-Carvajal, procurador de los tribunales, en nombre y representación de más de cincuenta diputados del Grupo Parlamentario Popular en el Congreso de los Diputados y don Jaime Eduardo de Olano Vela, en su condición de comisionado de los diputados recurrentes, interpone recurso de inconstitucionalidad en relación con la Ley Orgánica 8/2022, de 27 de julio, de modificación de los artículos 570 </w:t>
      </w:r>
      <w:r w:rsidRPr="00F64776">
        <w:rPr>
          <w:i/>
        </w:rPr>
        <w:t>bis</w:t>
      </w:r>
      <w:r>
        <w:t xml:space="preserve"> y 599 de la Ley Orgánica 6/1985, de 1 de julio, del Poder Judicial, publicada en el “Boletín Oficial del Estado”, núm. 180, de 28 de julio de 2022.</w:t>
      </w:r>
    </w:p>
    <w:p w14:paraId="2963298B" w14:textId="77777777" w:rsidR="00F64776" w:rsidRDefault="00F64776" w:rsidP="00F64776">
      <w:pPr>
        <w:pStyle w:val="TextoNormal"/>
      </w:pPr>
    </w:p>
    <w:p w14:paraId="2134228E" w14:textId="77777777" w:rsidR="00F64776" w:rsidRDefault="00F64776" w:rsidP="00F64776">
      <w:pPr>
        <w:pStyle w:val="TextoNormal"/>
      </w:pPr>
      <w:r w:rsidRPr="00F64776">
        <w:rPr>
          <w:rStyle w:val="NumeroAFNegritaCaracter"/>
        </w:rPr>
        <w:t>2</w:t>
      </w:r>
      <w:r>
        <w:t xml:space="preserve">. La Ley Orgánica 8/2022, de 27 de julio, de modificación de los artículos 570 </w:t>
      </w:r>
      <w:r w:rsidRPr="00F64776">
        <w:rPr>
          <w:i/>
        </w:rPr>
        <w:t>bis</w:t>
      </w:r>
      <w:r>
        <w:t xml:space="preserve"> y 599 de la Ley Orgánica 6/1985, de 1 de julio, del Poder Judicial, dispone:</w:t>
      </w:r>
    </w:p>
    <w:p w14:paraId="722770A6" w14:textId="77777777" w:rsidR="00F64776" w:rsidRDefault="00F64776" w:rsidP="00F64776">
      <w:pPr>
        <w:pStyle w:val="TextoNormal"/>
      </w:pPr>
    </w:p>
    <w:p w14:paraId="6539E370" w14:textId="77777777" w:rsidR="00F64776" w:rsidRDefault="00F64776" w:rsidP="00F64776">
      <w:pPr>
        <w:pStyle w:val="TextoNormal"/>
      </w:pPr>
      <w:r>
        <w:t>“Artículo único. Modificación de la Ley Orgánica 6/1985, de 1 de julio, del Poder Judicial.</w:t>
      </w:r>
    </w:p>
    <w:p w14:paraId="721A3DC2" w14:textId="77777777" w:rsidR="00F64776" w:rsidRDefault="00F64776" w:rsidP="00F64776">
      <w:pPr>
        <w:pStyle w:val="TextoNormal"/>
      </w:pPr>
    </w:p>
    <w:p w14:paraId="31764BAF" w14:textId="77777777" w:rsidR="00F64776" w:rsidRDefault="00F64776" w:rsidP="00F64776">
      <w:pPr>
        <w:pStyle w:val="TextoNormal"/>
      </w:pPr>
      <w:r>
        <w:t>La Ley Orgánica 6/1985, de 1 de julio, del Poder Judicial queda modificada como sigue:</w:t>
      </w:r>
    </w:p>
    <w:p w14:paraId="6155ACBC" w14:textId="77777777" w:rsidR="00F64776" w:rsidRDefault="00F64776" w:rsidP="00F64776">
      <w:pPr>
        <w:pStyle w:val="TextoNormal"/>
      </w:pPr>
    </w:p>
    <w:p w14:paraId="13E8DEAD" w14:textId="77777777" w:rsidR="00F64776" w:rsidRDefault="00F64776" w:rsidP="00F64776">
      <w:pPr>
        <w:pStyle w:val="TextoNormal"/>
      </w:pPr>
      <w:r>
        <w:t xml:space="preserve">Uno. Se introduce un nuevo numeral 1 en el apartado 1 del artículo 570 </w:t>
      </w:r>
      <w:r w:rsidRPr="00F64776">
        <w:rPr>
          <w:i/>
        </w:rPr>
        <w:t>bis</w:t>
      </w:r>
      <w:r>
        <w:t>, con el siguiente tenor, quedando renumerados los numerales de dicho apartado:</w:t>
      </w:r>
    </w:p>
    <w:p w14:paraId="678602D1" w14:textId="77777777" w:rsidR="00F64776" w:rsidRDefault="00F64776" w:rsidP="00F64776">
      <w:pPr>
        <w:pStyle w:val="TextoNormal"/>
      </w:pPr>
    </w:p>
    <w:p w14:paraId="2980E1DF" w14:textId="77777777" w:rsidR="00F64776" w:rsidRDefault="00F64776" w:rsidP="00F64776">
      <w:pPr>
        <w:pStyle w:val="TextoNormal"/>
      </w:pPr>
      <w:r>
        <w:t>‘1. Proponer el nombramiento de dos magistrados del Tribunal Constitucional, en los términos previstos por el artículo 599.1.1’.</w:t>
      </w:r>
    </w:p>
    <w:p w14:paraId="72CC8C19" w14:textId="77777777" w:rsidR="00F64776" w:rsidRDefault="00F64776" w:rsidP="00F64776">
      <w:pPr>
        <w:pStyle w:val="TextoNormal"/>
      </w:pPr>
    </w:p>
    <w:p w14:paraId="07436846" w14:textId="77777777" w:rsidR="00F64776" w:rsidRDefault="00F64776" w:rsidP="00F64776">
      <w:pPr>
        <w:pStyle w:val="TextoNormal"/>
      </w:pPr>
      <w:r>
        <w:t>Dos. Se modifica el numeral 1 del apartado 1 del artículo 599, quedando redactado como sigue:</w:t>
      </w:r>
    </w:p>
    <w:p w14:paraId="7100EA04" w14:textId="77777777" w:rsidR="00F64776" w:rsidRDefault="00F64776" w:rsidP="00F64776">
      <w:pPr>
        <w:pStyle w:val="TextoNormal"/>
      </w:pPr>
    </w:p>
    <w:p w14:paraId="42D50D3D" w14:textId="77777777" w:rsidR="00F64776" w:rsidRDefault="00F64776" w:rsidP="00F64776">
      <w:pPr>
        <w:pStyle w:val="TextoNormal"/>
      </w:pPr>
      <w:r>
        <w:t>‘1. La propuesta de nombramiento, por mayoría de tres quintos, de los dos magistrados del Tribunal Constitucional cuya designación corresponde al Consejo General del Poder Judicial, que tendrá que realizarse en el plazo máximo de tres meses a contar desde el día siguiente al vencimiento del mandato anterior’.”</w:t>
      </w:r>
    </w:p>
    <w:p w14:paraId="2C566FE8" w14:textId="77777777" w:rsidR="00F64776" w:rsidRDefault="00F64776" w:rsidP="00F64776">
      <w:pPr>
        <w:pStyle w:val="TextoNormal"/>
      </w:pPr>
    </w:p>
    <w:p w14:paraId="7BC21088" w14:textId="77777777" w:rsidR="00F64776" w:rsidRDefault="00F64776" w:rsidP="00F64776">
      <w:pPr>
        <w:pStyle w:val="TextoNormal"/>
      </w:pPr>
      <w:r>
        <w:t>“Disposición final única. Entrada en vigor.</w:t>
      </w:r>
    </w:p>
    <w:p w14:paraId="4A12D3DA" w14:textId="77777777" w:rsidR="00F64776" w:rsidRDefault="00F64776" w:rsidP="00F64776">
      <w:pPr>
        <w:pStyle w:val="TextoNormal"/>
      </w:pPr>
    </w:p>
    <w:p w14:paraId="2D44CC3F" w14:textId="4F563181" w:rsidR="00F64776" w:rsidRDefault="00F64776" w:rsidP="00F64776">
      <w:pPr>
        <w:pStyle w:val="TextoNormal"/>
      </w:pPr>
      <w:r>
        <w:t>La presente Ley Orgánica entrará en vigor el día siguiente al de su publicación en el ‘Boletín Oficial del Estado’.”</w:t>
      </w:r>
    </w:p>
    <w:p w14:paraId="149C7067" w14:textId="77777777" w:rsidR="00F64776" w:rsidRDefault="00F64776" w:rsidP="00F64776">
      <w:pPr>
        <w:pStyle w:val="TextoNormal"/>
      </w:pPr>
    </w:p>
    <w:p w14:paraId="7B5CE761" w14:textId="5DBF1972" w:rsidR="00F64776" w:rsidRDefault="00F64776" w:rsidP="00F64776">
      <w:pPr>
        <w:pStyle w:val="TextoNormal"/>
      </w:pPr>
      <w:r w:rsidRPr="00F64776">
        <w:rPr>
          <w:rStyle w:val="NumeroAFNegritaCaracter"/>
        </w:rPr>
        <w:t>3</w:t>
      </w:r>
      <w:r>
        <w:t>. El Pleno del Tribunal, por providencia de 16 de noviembre de 2022, admitió a trámite el recurso de inconstitucionalidad interpuesto contra la citada Ley Orgánica 8/2022, de 27 de julio.</w:t>
      </w:r>
    </w:p>
    <w:p w14:paraId="770137EC" w14:textId="77777777" w:rsidR="00F64776" w:rsidRDefault="00F64776" w:rsidP="00F64776">
      <w:pPr>
        <w:pStyle w:val="TextoNormal"/>
      </w:pPr>
    </w:p>
    <w:p w14:paraId="7B67AE44" w14:textId="4421A81A" w:rsidR="00F64776" w:rsidRDefault="00F64776" w:rsidP="00F64776">
      <w:pPr>
        <w:pStyle w:val="TextoNormal"/>
      </w:pPr>
      <w:r w:rsidRPr="00F64776">
        <w:rPr>
          <w:rStyle w:val="NumeroAFNegritaCaracter"/>
        </w:rPr>
        <w:t>4</w:t>
      </w:r>
      <w:r>
        <w:t>. Por Real Decreto 1094/2022, de 30 de diciembre, se nombró magistrada del Tribunal Constitucional a doña María Luisa Segoviano Astaburuaga, de conformidad con lo dispuesto en los artículos 159 de la Constitución y 16 de la Ley Orgánica 2/1979, de 3 de octubre, del Tribunal Constitucional, y a propuesta del Consejo General del Poder Judicial.</w:t>
      </w:r>
    </w:p>
    <w:p w14:paraId="2CB2F81A" w14:textId="77777777" w:rsidR="00F64776" w:rsidRDefault="00F64776" w:rsidP="00F64776">
      <w:pPr>
        <w:pStyle w:val="TextoNormal"/>
      </w:pPr>
    </w:p>
    <w:p w14:paraId="1FB7E15B" w14:textId="6A2D942C" w:rsidR="00F64776" w:rsidRDefault="00F64776" w:rsidP="00F64776">
      <w:pPr>
        <w:pStyle w:val="TextoNormal"/>
      </w:pPr>
      <w:r w:rsidRPr="00F64776">
        <w:rPr>
          <w:rStyle w:val="NumeroAFNegritaCaracter"/>
        </w:rPr>
        <w:t>5</w:t>
      </w:r>
      <w:r>
        <w:t>. La magistrada doña María Luisa Segoviano Astaburuaga, mediante escrito de 18 de octubre de 2023, comunicó al señor presidente de este tribunal, a los efectos oportunos, su voluntad de abstenerse de intervenir en el conocimiento del recurso de inconstitucionalidad núm. 6914-2022.</w:t>
      </w:r>
    </w:p>
    <w:p w14:paraId="6798BA85" w14:textId="77777777" w:rsidR="00F64776" w:rsidRDefault="00F64776" w:rsidP="00F64776">
      <w:pPr>
        <w:pStyle w:val="TextoNormal"/>
      </w:pPr>
    </w:p>
    <w:p w14:paraId="44D81799" w14:textId="025537F3" w:rsidR="00F64776" w:rsidRDefault="00F64776" w:rsidP="00F64776">
      <w:pPr>
        <w:pStyle w:val="TextoNormal"/>
      </w:pPr>
      <w:r w:rsidRPr="00F64776">
        <w:rPr>
          <w:rStyle w:val="NumeroAFNegritaCaracter"/>
        </w:rPr>
        <w:t>6</w:t>
      </w:r>
      <w:r>
        <w:t xml:space="preserve">. La solicitud de abstención se sustenta en la causa décima del art. 219 de la Ley Orgánica 6/1985, de 1 de julio, del Poder Judicial (LOPJ) por “[t]ener interés directo o indirecto en el pleito o causa”, al haber sido la magistrada nombrada a propuesta del Consejo General del Poder Judicial con sustento en el nuevo numeral 1 introducido en el apartado primero del artículo 570 </w:t>
      </w:r>
      <w:r w:rsidRPr="00F64776">
        <w:rPr>
          <w:i/>
        </w:rPr>
        <w:t>bis</w:t>
      </w:r>
      <w:r>
        <w:t>, cuya constitucionalidad es objeto del presente recurso, de modo que una eventual estimación del recurso de inconstitucionalidad podría afectar a la validez del nombramiento de la magistrada.</w:t>
      </w:r>
    </w:p>
    <w:p w14:paraId="3199BB75" w14:textId="77777777" w:rsidR="00F64776" w:rsidRDefault="00F64776" w:rsidP="00F64776">
      <w:pPr>
        <w:pStyle w:val="TextoNormal"/>
      </w:pPr>
    </w:p>
    <w:p w14:paraId="4D8AB4DB" w14:textId="77777777" w:rsidR="00F64776" w:rsidRDefault="00F64776" w:rsidP="00F64776">
      <w:pPr>
        <w:pStyle w:val="TextoNormalNegritaCentrado"/>
        <w:keepNext/>
      </w:pPr>
      <w:r>
        <w:t>II. Fundamentos jurídicos</w:t>
      </w:r>
    </w:p>
    <w:p w14:paraId="723431B1" w14:textId="4E3E77E7" w:rsidR="00F64776" w:rsidRDefault="00F64776" w:rsidP="00F64776">
      <w:pPr>
        <w:pStyle w:val="TextoNormalNegritaCentrado"/>
        <w:keepNext/>
      </w:pPr>
    </w:p>
    <w:p w14:paraId="6050B306" w14:textId="77777777" w:rsidR="00F64776" w:rsidRDefault="00F64776" w:rsidP="00F64776">
      <w:pPr>
        <w:pStyle w:val="TextoNormal"/>
      </w:pPr>
      <w:r w:rsidRPr="00F64776">
        <w:rPr>
          <w:rStyle w:val="TextoNormalNegritaCaracter"/>
        </w:rPr>
        <w:t xml:space="preserve">Único. </w:t>
      </w:r>
      <w:r>
        <w:t xml:space="preserve">El objeto de la presente resolución es, de conformidad con lo previsto en el art. 10.1 k) de la Ley Orgánica del Tribunal Constitucional (LOTC), resolver sobre la abstención formulada por la magistrada doña María Luisa Segoviano Astaburuaga, quien mediante escrito de 18 de octubre de 2023 ha comunicado su voluntad de abstenerse de toda intervención en el presente recurso y sus incidencias por tener interés directo en la causa (art. 219.10 LOPJ), al sustentarse su nombramiento como magistrada del Tribunal Constitucional en el nuevo numeral 1 introducido en el apartado primero del artículo 570 </w:t>
      </w:r>
      <w:r w:rsidRPr="00F64776">
        <w:rPr>
          <w:i/>
        </w:rPr>
        <w:t>bis</w:t>
      </w:r>
      <w:r>
        <w:t xml:space="preserve"> por la Ley Orgánica 8/2022, de 27 de julio, de modificación de los artículos 570 </w:t>
      </w:r>
      <w:r w:rsidRPr="00F64776">
        <w:rPr>
          <w:i/>
        </w:rPr>
        <w:t>bis</w:t>
      </w:r>
      <w:r>
        <w:t xml:space="preserve"> y 599 de la Ley Orgánica 6/1985, de 1 de julio, cuya constitucionalidad aparece cuestionada por los recurrentes.</w:t>
      </w:r>
    </w:p>
    <w:p w14:paraId="3AD91370" w14:textId="77777777" w:rsidR="00F64776" w:rsidRDefault="00F64776" w:rsidP="00F64776">
      <w:pPr>
        <w:pStyle w:val="TextoNormal"/>
      </w:pPr>
    </w:p>
    <w:p w14:paraId="65F20664" w14:textId="7C59F4E3" w:rsidR="00F64776" w:rsidRDefault="00F64776" w:rsidP="00F64776">
      <w:pPr>
        <w:pStyle w:val="TextoNormal"/>
      </w:pPr>
      <w:r>
        <w:t>En atención a la circunstancia reseñada pudiendo depender la validez del nombramiento de la magistrada de la constitucionalidad del precepto recurrido debe estimarse justificada la abstención al concurrir la causa décima del art. 219 LOPJ, por tener un interés directo en la causa.</w:t>
      </w:r>
    </w:p>
    <w:p w14:paraId="268C3AEB" w14:textId="77777777" w:rsidR="00F64776" w:rsidRDefault="00F64776" w:rsidP="00F64776">
      <w:pPr>
        <w:pStyle w:val="TextoNormal"/>
      </w:pPr>
    </w:p>
    <w:p w14:paraId="4A1FDB3B" w14:textId="77777777" w:rsidR="00F64776" w:rsidRDefault="00F64776" w:rsidP="00F64776">
      <w:pPr>
        <w:pStyle w:val="TextoNormal"/>
      </w:pPr>
      <w:r>
        <w:t>Por lo expuesto, el Pleno</w:t>
      </w:r>
    </w:p>
    <w:p w14:paraId="6AE6870B" w14:textId="1E414C7B" w:rsidR="00F64776" w:rsidRDefault="00F64776" w:rsidP="00F64776">
      <w:pPr>
        <w:pStyle w:val="TextoNormal"/>
      </w:pPr>
    </w:p>
    <w:p w14:paraId="0A33DA06" w14:textId="77777777" w:rsidR="00F64776" w:rsidRDefault="00F64776" w:rsidP="00F64776">
      <w:pPr>
        <w:pStyle w:val="TextoNormalCentrado"/>
      </w:pPr>
      <w:r>
        <w:t>ACUERDA</w:t>
      </w:r>
    </w:p>
    <w:p w14:paraId="40DD712C" w14:textId="0A4B6A26" w:rsidR="00F64776" w:rsidRDefault="00F64776" w:rsidP="00F64776">
      <w:pPr>
        <w:pStyle w:val="TextoNormalCentrado"/>
      </w:pPr>
    </w:p>
    <w:p w14:paraId="5E9E89C1" w14:textId="0317A149" w:rsidR="00F64776" w:rsidRDefault="00F64776" w:rsidP="00F64776">
      <w:pPr>
        <w:pStyle w:val="TextoNormal"/>
      </w:pPr>
      <w:r>
        <w:t>Estimar justificada la causa de abstención formulada por la magistrada doña María Luisa Segoviano Astaburuaga en el recurso de inconstitucionalidad núm. 6914-2022, apartándola definitivamente del referido recurso y de todas sus incidencias.</w:t>
      </w:r>
    </w:p>
    <w:p w14:paraId="63BC203D" w14:textId="77777777" w:rsidR="00F64776" w:rsidRDefault="00F64776" w:rsidP="00F64776">
      <w:pPr>
        <w:pStyle w:val="TextoNormal"/>
      </w:pPr>
    </w:p>
    <w:p w14:paraId="6906492A" w14:textId="77777777" w:rsidR="00F64776" w:rsidRDefault="00F64776" w:rsidP="00F64776">
      <w:pPr>
        <w:pStyle w:val="TextoNormal"/>
      </w:pPr>
      <w:r>
        <w:t>Madrid, a seis de noviembre de dos mil veintitrés.</w:t>
      </w:r>
    </w:p>
    <w:p w14:paraId="7E20591B" w14:textId="4A2778F3" w:rsidR="00F64776" w:rsidRDefault="00F64776">
      <w:pPr>
        <w:spacing w:after="160" w:line="278" w:lineRule="auto"/>
        <w:rPr>
          <w:rFonts w:ascii="Times New Roman" w:eastAsia="Times New Roman" w:hAnsi="Times New Roman" w:cs="Times New Roman"/>
          <w:sz w:val="24"/>
          <w:szCs w:val="24"/>
          <w:lang w:eastAsia="es-ES"/>
        </w:rPr>
      </w:pPr>
      <w:r>
        <w:br w:type="page"/>
      </w:r>
    </w:p>
    <w:p w14:paraId="2D69329F" w14:textId="77777777" w:rsidR="00F64776" w:rsidRDefault="00F64776" w:rsidP="00F64776">
      <w:pPr>
        <w:pStyle w:val="TtuloResolucin"/>
      </w:pPr>
      <w:bookmarkStart w:id="308" w:name="AUTO_2023_523"/>
      <w:r>
        <w:t>AUTO 523/2023, de 6 de noviembre de 2023</w:t>
      </w:r>
    </w:p>
    <w:bookmarkEnd w:id="308"/>
    <w:p w14:paraId="6913CD97" w14:textId="77777777" w:rsidR="00F64776" w:rsidRDefault="00F64776" w:rsidP="00F64776">
      <w:pPr>
        <w:pStyle w:val="TtuloResolucin"/>
      </w:pPr>
      <w:r>
        <w:t>Sección Tercera</w:t>
      </w:r>
    </w:p>
    <w:p w14:paraId="030EC18D" w14:textId="77777777" w:rsidR="00F64776" w:rsidRDefault="00F64776" w:rsidP="00F64776">
      <w:pPr>
        <w:pStyle w:val="TextoNormalCentrado"/>
      </w:pPr>
      <w:r>
        <w:t>ECLI:ES:TC:2023:523A</w:t>
      </w:r>
    </w:p>
    <w:p w14:paraId="5A2A75CE" w14:textId="4E829804" w:rsidR="00F64776" w:rsidRDefault="00F64776" w:rsidP="00F64776">
      <w:pPr>
        <w:pStyle w:val="TextoNormalCentrado"/>
      </w:pPr>
    </w:p>
    <w:p w14:paraId="4B395FDF" w14:textId="77777777" w:rsidR="00F64776" w:rsidRDefault="00F64776" w:rsidP="00F64776">
      <w:pPr>
        <w:pStyle w:val="SntesisDescriptiva"/>
      </w:pPr>
      <w:r>
        <w:t>Excms. Srs. doña Inmaculada Montalbán Huertas y doña Laura Díez Bueso.</w:t>
      </w:r>
    </w:p>
    <w:p w14:paraId="6065B1CE" w14:textId="38630EBE" w:rsidR="00F64776" w:rsidRDefault="00F64776" w:rsidP="00F64776">
      <w:pPr>
        <w:pStyle w:val="SntesisDescriptiva"/>
      </w:pPr>
    </w:p>
    <w:p w14:paraId="4ABC1FE9" w14:textId="77777777" w:rsidR="00F64776" w:rsidRDefault="00F64776" w:rsidP="00F64776">
      <w:pPr>
        <w:pStyle w:val="SntesisDescriptiva"/>
      </w:pPr>
      <w:r>
        <w:t>Acepta una abstención en el recurso de amparo 7071-2022, promovido en proceso contencioso-administrativo.</w:t>
      </w:r>
    </w:p>
    <w:p w14:paraId="278639C0" w14:textId="63623C9C" w:rsidR="00F64776" w:rsidRDefault="00F64776" w:rsidP="00F64776">
      <w:pPr>
        <w:pStyle w:val="SntesisDescriptiva"/>
      </w:pPr>
    </w:p>
    <w:p w14:paraId="659F1C2A" w14:textId="77777777" w:rsidR="00F64776" w:rsidRDefault="00F64776" w:rsidP="00F64776">
      <w:pPr>
        <w:pStyle w:val="SntesisDescriptiva"/>
      </w:pPr>
    </w:p>
    <w:p w14:paraId="7542B3DE" w14:textId="77777777" w:rsidR="00F64776" w:rsidRDefault="00F64776" w:rsidP="00F64776">
      <w:pPr>
        <w:pStyle w:val="SntesisDescriptiva"/>
      </w:pPr>
    </w:p>
    <w:p w14:paraId="6439C366" w14:textId="77777777" w:rsidR="00F64776" w:rsidRDefault="00F64776" w:rsidP="00F64776">
      <w:pPr>
        <w:pStyle w:val="TextoNormalNegritaCentrado"/>
      </w:pPr>
      <w:r>
        <w:t>AUTO</w:t>
      </w:r>
    </w:p>
    <w:p w14:paraId="54DF0901" w14:textId="0B695DA2" w:rsidR="00F64776" w:rsidRDefault="00F64776" w:rsidP="00F64776">
      <w:pPr>
        <w:pStyle w:val="TextoNormalNegritaCentrado"/>
      </w:pPr>
    </w:p>
    <w:p w14:paraId="592746DF" w14:textId="77777777" w:rsidR="00F64776" w:rsidRDefault="00F64776" w:rsidP="00F64776">
      <w:pPr>
        <w:pStyle w:val="TextoNormalNegritaCentrado"/>
        <w:keepNext/>
      </w:pPr>
      <w:r>
        <w:t>I. Antecedentes</w:t>
      </w:r>
    </w:p>
    <w:p w14:paraId="3F205698" w14:textId="56A6D431" w:rsidR="00F64776" w:rsidRDefault="00F64776" w:rsidP="00F64776">
      <w:pPr>
        <w:pStyle w:val="TextoNormalNegritaCentrado"/>
        <w:keepNext/>
      </w:pPr>
    </w:p>
    <w:p w14:paraId="0A5047B4" w14:textId="321F567F" w:rsidR="00F64776" w:rsidRDefault="00F64776" w:rsidP="00F64776">
      <w:pPr>
        <w:pStyle w:val="TextoNormal"/>
      </w:pPr>
      <w:r w:rsidRPr="00F64776">
        <w:rPr>
          <w:rStyle w:val="NumeroAFNegritaCaracter"/>
        </w:rPr>
        <w:t>1</w:t>
      </w:r>
      <w:r>
        <w:t>. Mediante escrito registrado en este tribunal el 31 de octubre de 2022, la procuradora de los tribunales doña Alicia Tejedor Bachiller, en nombre y representación de don César Martín Ledesma y bajo la dirección del letrado don Alberto Puente Pérez, formuló demanda de amparo contra la providencia de la Sección Primera de la Sala de lo Contencioso-Administrativo del Tribunal Supremo, en recurso de casación núm. 5649-2022.</w:t>
      </w:r>
    </w:p>
    <w:p w14:paraId="7C7B7FB0" w14:textId="77777777" w:rsidR="00F64776" w:rsidRDefault="00F64776" w:rsidP="00F64776">
      <w:pPr>
        <w:pStyle w:val="TextoNormal"/>
      </w:pPr>
    </w:p>
    <w:p w14:paraId="3D9E75C9" w14:textId="6ABC35A2" w:rsidR="00F64776" w:rsidRDefault="00F64776" w:rsidP="00F64776">
      <w:pPr>
        <w:pStyle w:val="TextoNormal"/>
      </w:pPr>
      <w:r w:rsidRPr="00F64776">
        <w:rPr>
          <w:rStyle w:val="NumeroAFNegritaCaracter"/>
        </w:rPr>
        <w:t>2</w:t>
      </w:r>
      <w:r>
        <w:t>. Por escrito de 5 de julio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51100F52" w14:textId="77777777" w:rsidR="00F64776" w:rsidRDefault="00F64776" w:rsidP="00F64776">
      <w:pPr>
        <w:pStyle w:val="TextoNormal"/>
      </w:pPr>
    </w:p>
    <w:p w14:paraId="4CBB44AB" w14:textId="77777777" w:rsidR="00F64776" w:rsidRDefault="00F64776" w:rsidP="00F64776">
      <w:pPr>
        <w:pStyle w:val="TextoNormalNegritaCentrado"/>
        <w:keepNext/>
      </w:pPr>
      <w:r>
        <w:t>II. Fundamentos jurídicos</w:t>
      </w:r>
    </w:p>
    <w:p w14:paraId="71DF941D" w14:textId="65B430A6" w:rsidR="00F64776" w:rsidRDefault="00F64776" w:rsidP="00F64776">
      <w:pPr>
        <w:pStyle w:val="TextoNormalNegritaCentrado"/>
        <w:keepNext/>
      </w:pPr>
    </w:p>
    <w:p w14:paraId="3385CFCE" w14:textId="21C0311F"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65646147" w14:textId="77777777" w:rsidR="00F64776" w:rsidRDefault="00F64776" w:rsidP="00F64776">
      <w:pPr>
        <w:pStyle w:val="TextoNormal"/>
      </w:pPr>
    </w:p>
    <w:p w14:paraId="44C0CCB9" w14:textId="77777777" w:rsidR="00F64776" w:rsidRDefault="00F64776" w:rsidP="00F64776">
      <w:pPr>
        <w:pStyle w:val="TextoNormal"/>
      </w:pPr>
      <w:r>
        <w:t>Por lo expuesto, la Sección</w:t>
      </w:r>
    </w:p>
    <w:p w14:paraId="71F96CC3" w14:textId="42835E2D" w:rsidR="00F64776" w:rsidRDefault="00F64776" w:rsidP="00F64776">
      <w:pPr>
        <w:pStyle w:val="TextoNormal"/>
      </w:pPr>
    </w:p>
    <w:p w14:paraId="55471F7E" w14:textId="77777777" w:rsidR="00F64776" w:rsidRDefault="00F64776" w:rsidP="00F64776">
      <w:pPr>
        <w:pStyle w:val="TextoNormalCentrado"/>
      </w:pPr>
      <w:r>
        <w:t>ACUERDA</w:t>
      </w:r>
    </w:p>
    <w:p w14:paraId="15DBA55D" w14:textId="26639490" w:rsidR="00F64776" w:rsidRDefault="00F64776" w:rsidP="00F64776">
      <w:pPr>
        <w:pStyle w:val="TextoNormalCentrado"/>
      </w:pPr>
    </w:p>
    <w:p w14:paraId="4A0D8FEF" w14:textId="0557AE60" w:rsidR="00F64776" w:rsidRDefault="00F64776" w:rsidP="00F64776">
      <w:pPr>
        <w:pStyle w:val="TextoNormal"/>
      </w:pPr>
      <w:r>
        <w:t>Estimar justificada la abstención formulada por el magistrado don César Tolosa Tribiño en el recurso de amparo núm. 7071-2022 y apartarle definitivamente del conocimiento del referido recurso y de todas sus incidencias.</w:t>
      </w:r>
    </w:p>
    <w:p w14:paraId="79E0F05D" w14:textId="77777777" w:rsidR="00F64776" w:rsidRDefault="00F64776" w:rsidP="00F64776">
      <w:pPr>
        <w:pStyle w:val="TextoNormal"/>
      </w:pPr>
    </w:p>
    <w:p w14:paraId="7D9DD86A" w14:textId="77777777" w:rsidR="00F64776" w:rsidRDefault="00F64776" w:rsidP="00F64776">
      <w:pPr>
        <w:pStyle w:val="TextoNormal"/>
      </w:pPr>
      <w:r>
        <w:t>Madrid, a seis de noviembre de dos mil veintitrés.</w:t>
      </w:r>
    </w:p>
    <w:p w14:paraId="3F2D509C" w14:textId="399DAEA6" w:rsidR="00F64776" w:rsidRDefault="00F64776">
      <w:pPr>
        <w:spacing w:after="160" w:line="278" w:lineRule="auto"/>
        <w:rPr>
          <w:rFonts w:ascii="Times New Roman" w:eastAsia="Times New Roman" w:hAnsi="Times New Roman" w:cs="Times New Roman"/>
          <w:sz w:val="24"/>
          <w:szCs w:val="24"/>
          <w:lang w:eastAsia="es-ES"/>
        </w:rPr>
      </w:pPr>
      <w:r>
        <w:br w:type="page"/>
      </w:r>
    </w:p>
    <w:p w14:paraId="59CAA7A1" w14:textId="77777777" w:rsidR="00F64776" w:rsidRDefault="00F64776" w:rsidP="00F64776">
      <w:pPr>
        <w:pStyle w:val="TtuloResolucin"/>
      </w:pPr>
      <w:bookmarkStart w:id="309" w:name="AUTO_2023_524"/>
      <w:r>
        <w:t>AUTO 524/2023, de 6 de noviembre de 2023</w:t>
      </w:r>
    </w:p>
    <w:bookmarkEnd w:id="309"/>
    <w:p w14:paraId="6F3A3EE2" w14:textId="77777777" w:rsidR="00F64776" w:rsidRDefault="00F64776" w:rsidP="00F64776">
      <w:pPr>
        <w:pStyle w:val="TtuloResolucin"/>
      </w:pPr>
      <w:r>
        <w:t>Sección Tercera</w:t>
      </w:r>
    </w:p>
    <w:p w14:paraId="79E95B93" w14:textId="77777777" w:rsidR="00F64776" w:rsidRDefault="00F64776" w:rsidP="00F64776">
      <w:pPr>
        <w:pStyle w:val="TextoNormalCentrado"/>
      </w:pPr>
      <w:r>
        <w:t>ECLI:ES:TC:2023:524A</w:t>
      </w:r>
    </w:p>
    <w:p w14:paraId="24F0CF95" w14:textId="623DDA37" w:rsidR="00F64776" w:rsidRDefault="00F64776" w:rsidP="00F64776">
      <w:pPr>
        <w:pStyle w:val="TextoNormalCentrado"/>
      </w:pPr>
    </w:p>
    <w:p w14:paraId="584374FF" w14:textId="77777777" w:rsidR="00F64776" w:rsidRDefault="00F64776" w:rsidP="00F64776">
      <w:pPr>
        <w:pStyle w:val="SntesisDescriptiva"/>
      </w:pPr>
      <w:r>
        <w:t>Excms. Srs. doña Inmaculada Montalbán Huertas y doña Laura Díez Bueso.</w:t>
      </w:r>
    </w:p>
    <w:p w14:paraId="207EAA1D" w14:textId="3650E3E4" w:rsidR="00F64776" w:rsidRDefault="00F64776" w:rsidP="00F64776">
      <w:pPr>
        <w:pStyle w:val="SntesisDescriptiva"/>
      </w:pPr>
    </w:p>
    <w:p w14:paraId="63A9927F" w14:textId="77777777" w:rsidR="00F64776" w:rsidRDefault="00F64776" w:rsidP="00F64776">
      <w:pPr>
        <w:pStyle w:val="SntesisDescriptiva"/>
      </w:pPr>
      <w:r>
        <w:t>Acepta una abstención en el recurso de amparo 7905-2022, promovido en proceso contencioso-administrativo.</w:t>
      </w:r>
    </w:p>
    <w:p w14:paraId="004A59E1" w14:textId="3F66BE91" w:rsidR="00F64776" w:rsidRDefault="00F64776" w:rsidP="00F64776">
      <w:pPr>
        <w:pStyle w:val="SntesisDescriptiva"/>
      </w:pPr>
    </w:p>
    <w:p w14:paraId="17B27C20" w14:textId="77777777" w:rsidR="00F64776" w:rsidRDefault="00F64776" w:rsidP="00F64776">
      <w:pPr>
        <w:pStyle w:val="SntesisDescriptiva"/>
      </w:pPr>
    </w:p>
    <w:p w14:paraId="707C9F88" w14:textId="77777777" w:rsidR="00F64776" w:rsidRDefault="00F64776" w:rsidP="00F64776">
      <w:pPr>
        <w:pStyle w:val="SntesisDescriptiva"/>
      </w:pPr>
    </w:p>
    <w:p w14:paraId="26D60EE9" w14:textId="77777777" w:rsidR="00F64776" w:rsidRDefault="00F64776" w:rsidP="00F64776">
      <w:pPr>
        <w:pStyle w:val="TextoNormalNegritaCentrado"/>
      </w:pPr>
      <w:r>
        <w:t>AUTO</w:t>
      </w:r>
    </w:p>
    <w:p w14:paraId="678EFEF1" w14:textId="73D7549D" w:rsidR="00F64776" w:rsidRDefault="00F64776" w:rsidP="00F64776">
      <w:pPr>
        <w:pStyle w:val="TextoNormalNegritaCentrado"/>
      </w:pPr>
    </w:p>
    <w:p w14:paraId="35C8D0A1" w14:textId="77777777" w:rsidR="00F64776" w:rsidRDefault="00F64776" w:rsidP="00F64776">
      <w:pPr>
        <w:pStyle w:val="TextoNormalNegritaCentrado"/>
        <w:keepNext/>
      </w:pPr>
      <w:r>
        <w:t>I. Antecedentes</w:t>
      </w:r>
    </w:p>
    <w:p w14:paraId="3091619E" w14:textId="545AADC2" w:rsidR="00F64776" w:rsidRDefault="00F64776" w:rsidP="00F64776">
      <w:pPr>
        <w:pStyle w:val="TextoNormalNegritaCentrado"/>
        <w:keepNext/>
      </w:pPr>
    </w:p>
    <w:p w14:paraId="27E8A849" w14:textId="430AADB3" w:rsidR="00F64776" w:rsidRDefault="00F64776" w:rsidP="00F64776">
      <w:pPr>
        <w:pStyle w:val="TextoNormal"/>
      </w:pPr>
      <w:r w:rsidRPr="00F64776">
        <w:rPr>
          <w:rStyle w:val="NumeroAFNegritaCaracter"/>
        </w:rPr>
        <w:t>1</w:t>
      </w:r>
      <w:r>
        <w:t>. Mediante escrito registrado en este tribunal el 29 de noviembre de 2022, el procurador de los tribunales don Carlos Ricardo Estévez Sanz, en nombre y representación de doña Jeremín Alejandra Orrego Díaz y otro y bajo la dirección de la letrada doña María Cruz Hernández Jiménez, formuló demanda de amparo contra el auto de 13 de octubre de 2022 dictado por la Sección Primera de la Sala de lo Contencioso-Administrativo del Tribunal Supremo, en recurso de queja núm. 454-2022 contra auto de la Sección Cuarta de la Sala de lo Contencioso-Administrativo de la Audiencia Nacional, procedimiento ordinario núm. 1854-2020.</w:t>
      </w:r>
    </w:p>
    <w:p w14:paraId="08D2354B" w14:textId="77777777" w:rsidR="00F64776" w:rsidRDefault="00F64776" w:rsidP="00F64776">
      <w:pPr>
        <w:pStyle w:val="TextoNormal"/>
      </w:pPr>
    </w:p>
    <w:p w14:paraId="1E3E9C24" w14:textId="15A2E838" w:rsidR="00F64776" w:rsidRDefault="00F64776" w:rsidP="00F64776">
      <w:pPr>
        <w:pStyle w:val="TextoNormal"/>
      </w:pPr>
      <w:r w:rsidRPr="00F64776">
        <w:rPr>
          <w:rStyle w:val="NumeroAFNegritaCaracter"/>
        </w:rPr>
        <w:t>2</w:t>
      </w:r>
      <w:r>
        <w:t>. Por escrito de 5 de julio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1231DDC0" w14:textId="77777777" w:rsidR="00F64776" w:rsidRDefault="00F64776" w:rsidP="00F64776">
      <w:pPr>
        <w:pStyle w:val="TextoNormal"/>
      </w:pPr>
    </w:p>
    <w:p w14:paraId="005B7D61" w14:textId="77777777" w:rsidR="00F64776" w:rsidRDefault="00F64776" w:rsidP="00F64776">
      <w:pPr>
        <w:pStyle w:val="TextoNormalNegritaCentrado"/>
        <w:keepNext/>
      </w:pPr>
      <w:r>
        <w:t>II. Fundamentos jurídicos</w:t>
      </w:r>
    </w:p>
    <w:p w14:paraId="275A5939" w14:textId="1B7F5E90" w:rsidR="00F64776" w:rsidRDefault="00F64776" w:rsidP="00F64776">
      <w:pPr>
        <w:pStyle w:val="TextoNormalNegritaCentrado"/>
        <w:keepNext/>
      </w:pPr>
    </w:p>
    <w:p w14:paraId="3E6DD3F6" w14:textId="6574F039"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4CD94711" w14:textId="77777777" w:rsidR="00F64776" w:rsidRDefault="00F64776" w:rsidP="00F64776">
      <w:pPr>
        <w:pStyle w:val="TextoNormal"/>
      </w:pPr>
    </w:p>
    <w:p w14:paraId="5C5E385F" w14:textId="77777777" w:rsidR="00F64776" w:rsidRDefault="00F64776" w:rsidP="00F64776">
      <w:pPr>
        <w:pStyle w:val="TextoNormal"/>
      </w:pPr>
      <w:r>
        <w:t>Por lo expuesto, la Sección</w:t>
      </w:r>
    </w:p>
    <w:p w14:paraId="6445CBE3" w14:textId="3921AFB3" w:rsidR="00F64776" w:rsidRDefault="00F64776" w:rsidP="00F64776">
      <w:pPr>
        <w:pStyle w:val="TextoNormal"/>
      </w:pPr>
    </w:p>
    <w:p w14:paraId="7D5619DA" w14:textId="77777777" w:rsidR="00F64776" w:rsidRDefault="00F64776" w:rsidP="00F64776">
      <w:pPr>
        <w:pStyle w:val="TextoNormalCentrado"/>
      </w:pPr>
      <w:r>
        <w:t>ACUERDA</w:t>
      </w:r>
    </w:p>
    <w:p w14:paraId="2F5AE892" w14:textId="4D98E355" w:rsidR="00F64776" w:rsidRDefault="00F64776" w:rsidP="00F64776">
      <w:pPr>
        <w:pStyle w:val="TextoNormalCentrado"/>
      </w:pPr>
    </w:p>
    <w:p w14:paraId="1CAC3765" w14:textId="15D5CCF9" w:rsidR="00F64776" w:rsidRDefault="00F64776" w:rsidP="00F64776">
      <w:pPr>
        <w:pStyle w:val="TextoNormal"/>
      </w:pPr>
      <w:r>
        <w:t>Estimar justificada la abstención formulada por el magistrado don César Tolosa Tribiño en el recurso de amparo núm. 7905-2022 y apartarle definitivamente del conocimiento del referido recurso y de todas sus incidencias.</w:t>
      </w:r>
    </w:p>
    <w:p w14:paraId="0A746843" w14:textId="77777777" w:rsidR="00F64776" w:rsidRDefault="00F64776" w:rsidP="00F64776">
      <w:pPr>
        <w:pStyle w:val="TextoNormal"/>
      </w:pPr>
    </w:p>
    <w:p w14:paraId="7D62223F" w14:textId="77777777" w:rsidR="00F64776" w:rsidRDefault="00F64776" w:rsidP="00F64776">
      <w:pPr>
        <w:pStyle w:val="TextoNormal"/>
      </w:pPr>
      <w:r>
        <w:t>Madrid, a seis de noviembre de dos mil veintitrés.</w:t>
      </w:r>
    </w:p>
    <w:p w14:paraId="61B7F407" w14:textId="50E16884" w:rsidR="00F64776" w:rsidRDefault="00F64776">
      <w:pPr>
        <w:spacing w:after="160" w:line="278" w:lineRule="auto"/>
        <w:rPr>
          <w:rFonts w:ascii="Times New Roman" w:eastAsia="Times New Roman" w:hAnsi="Times New Roman" w:cs="Times New Roman"/>
          <w:sz w:val="24"/>
          <w:szCs w:val="24"/>
          <w:lang w:eastAsia="es-ES"/>
        </w:rPr>
      </w:pPr>
      <w:r>
        <w:br w:type="page"/>
      </w:r>
    </w:p>
    <w:p w14:paraId="274B14BC" w14:textId="77777777" w:rsidR="00F64776" w:rsidRDefault="00F64776" w:rsidP="00F64776">
      <w:pPr>
        <w:pStyle w:val="TtuloResolucin"/>
      </w:pPr>
      <w:bookmarkStart w:id="310" w:name="AUTO_2023_525"/>
      <w:r>
        <w:t>AUTO 525/2023, de 6 de noviembre de 2023</w:t>
      </w:r>
    </w:p>
    <w:bookmarkEnd w:id="310"/>
    <w:p w14:paraId="31687142" w14:textId="77777777" w:rsidR="00F64776" w:rsidRDefault="00F64776" w:rsidP="00F64776">
      <w:pPr>
        <w:pStyle w:val="TtuloResolucin"/>
      </w:pPr>
      <w:r>
        <w:t>Sección Tercera</w:t>
      </w:r>
    </w:p>
    <w:p w14:paraId="4ACB4ED2" w14:textId="77777777" w:rsidR="00F64776" w:rsidRDefault="00F64776" w:rsidP="00F64776">
      <w:pPr>
        <w:pStyle w:val="TextoNormalCentrado"/>
      </w:pPr>
      <w:r>
        <w:t>ECLI:ES:TC:2023:525A</w:t>
      </w:r>
    </w:p>
    <w:p w14:paraId="508D305D" w14:textId="70AA27F1" w:rsidR="00F64776" w:rsidRDefault="00F64776" w:rsidP="00F64776">
      <w:pPr>
        <w:pStyle w:val="TextoNormalCentrado"/>
      </w:pPr>
    </w:p>
    <w:p w14:paraId="222D39FC" w14:textId="77777777" w:rsidR="00F64776" w:rsidRDefault="00F64776" w:rsidP="00F64776">
      <w:pPr>
        <w:pStyle w:val="SntesisDescriptiva"/>
      </w:pPr>
      <w:r>
        <w:t>Excms. Srs. doña Inmaculada Montalbán Huertas y doña Laura Díez Bueso.</w:t>
      </w:r>
    </w:p>
    <w:p w14:paraId="4D73D72F" w14:textId="7012F426" w:rsidR="00F64776" w:rsidRDefault="00F64776" w:rsidP="00F64776">
      <w:pPr>
        <w:pStyle w:val="SntesisDescriptiva"/>
      </w:pPr>
    </w:p>
    <w:p w14:paraId="1831D6AB" w14:textId="77777777" w:rsidR="00F64776" w:rsidRDefault="00F64776" w:rsidP="00F64776">
      <w:pPr>
        <w:pStyle w:val="SntesisDescriptiva"/>
      </w:pPr>
      <w:r>
        <w:t>Acepta una abstención en el recurso de amparo 8243-2022, promovido en proceso contencioso-administrativo.</w:t>
      </w:r>
    </w:p>
    <w:p w14:paraId="5475E32E" w14:textId="4999467C" w:rsidR="00F64776" w:rsidRDefault="00F64776" w:rsidP="00F64776">
      <w:pPr>
        <w:pStyle w:val="SntesisDescriptiva"/>
      </w:pPr>
    </w:p>
    <w:p w14:paraId="1992B5F8" w14:textId="77777777" w:rsidR="00F64776" w:rsidRDefault="00F64776" w:rsidP="00F64776">
      <w:pPr>
        <w:pStyle w:val="SntesisDescriptiva"/>
      </w:pPr>
    </w:p>
    <w:p w14:paraId="23D7C8F4" w14:textId="77777777" w:rsidR="00F64776" w:rsidRDefault="00F64776" w:rsidP="00F64776">
      <w:pPr>
        <w:pStyle w:val="SntesisDescriptiva"/>
      </w:pPr>
    </w:p>
    <w:p w14:paraId="1A3B2847" w14:textId="77777777" w:rsidR="00F64776" w:rsidRDefault="00F64776" w:rsidP="00F64776">
      <w:pPr>
        <w:pStyle w:val="TextoNormalNegritaCentrado"/>
      </w:pPr>
      <w:r>
        <w:t>AUTO</w:t>
      </w:r>
    </w:p>
    <w:p w14:paraId="6A383E9F" w14:textId="0AC748A9" w:rsidR="00F64776" w:rsidRDefault="00F64776" w:rsidP="00F64776">
      <w:pPr>
        <w:pStyle w:val="TextoNormalNegritaCentrado"/>
      </w:pPr>
    </w:p>
    <w:p w14:paraId="6F6826C4" w14:textId="77777777" w:rsidR="00F64776" w:rsidRDefault="00F64776" w:rsidP="00F64776">
      <w:pPr>
        <w:pStyle w:val="TextoNormalNegritaCentrado"/>
        <w:keepNext/>
      </w:pPr>
      <w:r>
        <w:t>I. Antecedentes</w:t>
      </w:r>
    </w:p>
    <w:p w14:paraId="46FF34B8" w14:textId="47966331" w:rsidR="00F64776" w:rsidRDefault="00F64776" w:rsidP="00F64776">
      <w:pPr>
        <w:pStyle w:val="TextoNormalNegritaCentrado"/>
        <w:keepNext/>
      </w:pPr>
    </w:p>
    <w:p w14:paraId="50BB8B93" w14:textId="52ECC79E" w:rsidR="00F64776" w:rsidRDefault="00F64776" w:rsidP="00F64776">
      <w:pPr>
        <w:pStyle w:val="TextoNormal"/>
      </w:pPr>
      <w:r w:rsidRPr="00F64776">
        <w:rPr>
          <w:rStyle w:val="NumeroAFNegritaCaracter"/>
        </w:rPr>
        <w:t>1</w:t>
      </w:r>
      <w:r>
        <w:t>. Mediante escrito registrado en este tribunal el 13 de diciembre de 2022, la procuradora de los tribunales doña Rosa María Martínez Virgili, en nombre y representación de doña Laila El Hamdouni y bajo la dirección del letrado don Iván Aybar Jiménez, formuló demanda de amparo contra la providencia de 19 de octubre de 2022 dictada por la Sección Primera de la Sala de lo Contencioso-Administrativo del Tribunal Supremo, en recurso de casación núm. 767-2022 contra la sentencia de la Sección Quinta de la Sala de lo Contencioso-Administrativo de la Audiencia Nacional, procedimiento ordinario núm. 484-2020.</w:t>
      </w:r>
    </w:p>
    <w:p w14:paraId="29BFEC24" w14:textId="77777777" w:rsidR="00F64776" w:rsidRDefault="00F64776" w:rsidP="00F64776">
      <w:pPr>
        <w:pStyle w:val="TextoNormal"/>
      </w:pPr>
    </w:p>
    <w:p w14:paraId="5E192C58" w14:textId="6EFF0753" w:rsidR="00F64776" w:rsidRDefault="00F64776" w:rsidP="00F64776">
      <w:pPr>
        <w:pStyle w:val="TextoNormal"/>
      </w:pPr>
      <w:r w:rsidRPr="00F64776">
        <w:rPr>
          <w:rStyle w:val="NumeroAFNegritaCaracter"/>
        </w:rPr>
        <w:t>2</w:t>
      </w:r>
      <w:r>
        <w:t>. Por escrito de 5 de julio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624AD96E" w14:textId="77777777" w:rsidR="00F64776" w:rsidRDefault="00F64776" w:rsidP="00F64776">
      <w:pPr>
        <w:pStyle w:val="TextoNormal"/>
      </w:pPr>
    </w:p>
    <w:p w14:paraId="5755FEF2" w14:textId="77777777" w:rsidR="00F64776" w:rsidRDefault="00F64776" w:rsidP="00F64776">
      <w:pPr>
        <w:pStyle w:val="TextoNormalNegritaCentrado"/>
        <w:keepNext/>
      </w:pPr>
      <w:r>
        <w:t>II. Fundamentos jurídicos</w:t>
      </w:r>
    </w:p>
    <w:p w14:paraId="01BF76BC" w14:textId="615364FC" w:rsidR="00F64776" w:rsidRDefault="00F64776" w:rsidP="00F64776">
      <w:pPr>
        <w:pStyle w:val="TextoNormalNegritaCentrado"/>
        <w:keepNext/>
      </w:pPr>
    </w:p>
    <w:p w14:paraId="22CEBD44" w14:textId="55D388DF"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1B3A4CB9" w14:textId="77777777" w:rsidR="00F64776" w:rsidRDefault="00F64776" w:rsidP="00F64776">
      <w:pPr>
        <w:pStyle w:val="TextoNormal"/>
      </w:pPr>
    </w:p>
    <w:p w14:paraId="4D76D1B1" w14:textId="77777777" w:rsidR="00F64776" w:rsidRDefault="00F64776" w:rsidP="00F64776">
      <w:pPr>
        <w:pStyle w:val="TextoNormal"/>
      </w:pPr>
      <w:r>
        <w:t>Por lo expuesto, la Sección</w:t>
      </w:r>
    </w:p>
    <w:p w14:paraId="74A30EDE" w14:textId="3D890AF9" w:rsidR="00F64776" w:rsidRDefault="00F64776" w:rsidP="00F64776">
      <w:pPr>
        <w:pStyle w:val="TextoNormal"/>
      </w:pPr>
    </w:p>
    <w:p w14:paraId="59D55D20" w14:textId="77777777" w:rsidR="00F64776" w:rsidRDefault="00F64776" w:rsidP="00F64776">
      <w:pPr>
        <w:pStyle w:val="TextoNormalCentrado"/>
      </w:pPr>
      <w:r>
        <w:t>ACUERDA</w:t>
      </w:r>
    </w:p>
    <w:p w14:paraId="0BDD0E72" w14:textId="3A7FF48B" w:rsidR="00F64776" w:rsidRDefault="00F64776" w:rsidP="00F64776">
      <w:pPr>
        <w:pStyle w:val="TextoNormalCentrado"/>
      </w:pPr>
    </w:p>
    <w:p w14:paraId="60B46645" w14:textId="03C45949" w:rsidR="00F64776" w:rsidRDefault="00F64776" w:rsidP="00F64776">
      <w:pPr>
        <w:pStyle w:val="TextoNormal"/>
      </w:pPr>
      <w:r>
        <w:t>Estimar justificada la abstención formulada por el magistrado don César Tolosa Tribiño en el recurso de amparo núm. 8243-2022 y apartarle definitivamente del conocimiento del referido recurso y de todas sus incidencias.</w:t>
      </w:r>
    </w:p>
    <w:p w14:paraId="482CC324" w14:textId="77777777" w:rsidR="00F64776" w:rsidRDefault="00F64776" w:rsidP="00F64776">
      <w:pPr>
        <w:pStyle w:val="TextoNormal"/>
      </w:pPr>
    </w:p>
    <w:p w14:paraId="0C5A96D5" w14:textId="77777777" w:rsidR="00F64776" w:rsidRDefault="00F64776" w:rsidP="00F64776">
      <w:pPr>
        <w:pStyle w:val="TextoNormal"/>
      </w:pPr>
      <w:r>
        <w:t>Madrid, a seis de noviembre de dos mil veintitrés.</w:t>
      </w:r>
    </w:p>
    <w:p w14:paraId="5AEDD521" w14:textId="621D481B" w:rsidR="00F64776" w:rsidRDefault="00F64776">
      <w:pPr>
        <w:spacing w:after="160" w:line="278" w:lineRule="auto"/>
        <w:rPr>
          <w:rFonts w:ascii="Times New Roman" w:eastAsia="Times New Roman" w:hAnsi="Times New Roman" w:cs="Times New Roman"/>
          <w:sz w:val="24"/>
          <w:szCs w:val="24"/>
          <w:lang w:eastAsia="es-ES"/>
        </w:rPr>
      </w:pPr>
      <w:r>
        <w:br w:type="page"/>
      </w:r>
    </w:p>
    <w:p w14:paraId="02515DD7" w14:textId="77777777" w:rsidR="00F64776" w:rsidRDefault="00F64776" w:rsidP="00F64776">
      <w:pPr>
        <w:pStyle w:val="TtuloResolucin"/>
      </w:pPr>
      <w:bookmarkStart w:id="311" w:name="AUTO_2023_526"/>
      <w:r>
        <w:t>AUTO 526/2023, de 6 de noviembre de 2023</w:t>
      </w:r>
    </w:p>
    <w:bookmarkEnd w:id="311"/>
    <w:p w14:paraId="0A63E30D" w14:textId="77777777" w:rsidR="00F64776" w:rsidRDefault="00F64776" w:rsidP="00F64776">
      <w:pPr>
        <w:pStyle w:val="TtuloResolucin"/>
      </w:pPr>
      <w:r>
        <w:t>Pleno</w:t>
      </w:r>
    </w:p>
    <w:p w14:paraId="3691D94A" w14:textId="77777777" w:rsidR="00F64776" w:rsidRDefault="00F64776" w:rsidP="00F64776">
      <w:pPr>
        <w:pStyle w:val="TextoNormalCentrado"/>
      </w:pPr>
      <w:r>
        <w:t>ECLI:ES:TC:2023:526A</w:t>
      </w:r>
    </w:p>
    <w:p w14:paraId="128E1E36" w14:textId="184F558E" w:rsidR="00F64776" w:rsidRDefault="00F64776" w:rsidP="00F64776">
      <w:pPr>
        <w:pStyle w:val="TextoNormalCentrado"/>
      </w:pPr>
    </w:p>
    <w:p w14:paraId="0DF0EBFB" w14:textId="77777777" w:rsidR="00F64776" w:rsidRDefault="00F64776" w:rsidP="00F64776">
      <w:pPr>
        <w:pStyle w:val="SntesisDescriptiva"/>
      </w:pPr>
      <w:r>
        <w:t>Excms. Srs. don Cándido Conde-Pumpido Tourón,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w:t>
      </w:r>
    </w:p>
    <w:p w14:paraId="5B65C807" w14:textId="1FE0CBA3" w:rsidR="00F64776" w:rsidRDefault="00F64776" w:rsidP="00F64776">
      <w:pPr>
        <w:pStyle w:val="SntesisDescriptiva"/>
      </w:pPr>
    </w:p>
    <w:p w14:paraId="69AB42A3" w14:textId="77777777" w:rsidR="00F64776" w:rsidRDefault="00F64776" w:rsidP="00F64776">
      <w:pPr>
        <w:pStyle w:val="SntesisDescriptiva"/>
      </w:pPr>
      <w:r>
        <w:t>Inadmite a trámite la cuestión de inconstitucionalidad 1019-2023, planteada por la Sección Cuarta de la Sala de lo Contencioso-Administrativo del Tribunal Supremo en relación con el artículo 17 bis.2 b) de la Ley Orgánica 8/2007, de 4 de julio, sobre financiación de los partidos políticos.</w:t>
      </w:r>
    </w:p>
    <w:p w14:paraId="7A3CF8BB" w14:textId="140D9F77" w:rsidR="00F64776" w:rsidRDefault="00F64776" w:rsidP="00F64776">
      <w:pPr>
        <w:pStyle w:val="SntesisDescriptiva"/>
      </w:pPr>
    </w:p>
    <w:p w14:paraId="11F0E59D" w14:textId="77777777" w:rsidR="00F64776" w:rsidRDefault="00F64776" w:rsidP="00F64776">
      <w:pPr>
        <w:pStyle w:val="SntesisDescriptiva"/>
      </w:pPr>
    </w:p>
    <w:p w14:paraId="493125E1" w14:textId="77777777" w:rsidR="00F64776" w:rsidRDefault="00F64776" w:rsidP="00F64776">
      <w:pPr>
        <w:pStyle w:val="SntesisDescriptiva"/>
      </w:pPr>
    </w:p>
    <w:p w14:paraId="548A9723" w14:textId="77777777" w:rsidR="00F64776" w:rsidRDefault="00F64776" w:rsidP="00F64776">
      <w:pPr>
        <w:pStyle w:val="TextoNormalNegritaCentrado"/>
      </w:pPr>
      <w:r>
        <w:t>AUTO</w:t>
      </w:r>
    </w:p>
    <w:p w14:paraId="442387CA" w14:textId="221D2E6C" w:rsidR="00F64776" w:rsidRDefault="00F64776" w:rsidP="00F64776">
      <w:pPr>
        <w:pStyle w:val="TextoNormalNegritaCentrado"/>
      </w:pPr>
    </w:p>
    <w:p w14:paraId="5C87B1CF" w14:textId="77777777" w:rsidR="00F64776" w:rsidRDefault="00F64776" w:rsidP="00F64776">
      <w:pPr>
        <w:pStyle w:val="TextoNormalNegritaCentrado"/>
        <w:keepNext/>
      </w:pPr>
      <w:r>
        <w:t>I. Antecedentes</w:t>
      </w:r>
    </w:p>
    <w:p w14:paraId="257DE723" w14:textId="6A1902A7" w:rsidR="00F64776" w:rsidRDefault="00F64776" w:rsidP="00F64776">
      <w:pPr>
        <w:pStyle w:val="TextoNormalNegritaCentrado"/>
        <w:keepNext/>
      </w:pPr>
    </w:p>
    <w:p w14:paraId="3C30E9D9" w14:textId="6CA8731E" w:rsidR="00F64776" w:rsidRDefault="00F64776" w:rsidP="00F64776">
      <w:pPr>
        <w:pStyle w:val="TextoNormal"/>
      </w:pPr>
      <w:r w:rsidRPr="00F64776">
        <w:rPr>
          <w:rStyle w:val="NumeroAFNegritaCaracter"/>
        </w:rPr>
        <w:t>1</w:t>
      </w:r>
      <w:r>
        <w:t>. La formación política Sí se puede concurrió a las elecciones locales convocadas por el Real Decreto 209/2019, de 1 de abril, presentando candidaturas en diez municipios de la provincia de Santa Cruz de Tenerife y en el Cabildo Insular de La Gomera. En cumplimiento de lo previsto en el art. 133.1 de la Ley Orgánica 5/1985, de 19 de junio, del régimen electoral general (LOREG), dicha formación presentó su contabilidad electoral ante el Tribunal de Cuentas.</w:t>
      </w:r>
    </w:p>
    <w:p w14:paraId="29E65FE7" w14:textId="77777777" w:rsidR="00F64776" w:rsidRDefault="00F64776" w:rsidP="00F64776">
      <w:pPr>
        <w:pStyle w:val="TextoNormal"/>
      </w:pPr>
    </w:p>
    <w:p w14:paraId="04C77A3E" w14:textId="6DA13B41" w:rsidR="00F64776" w:rsidRDefault="00F64776" w:rsidP="00F64776">
      <w:pPr>
        <w:pStyle w:val="TextoNormal"/>
      </w:pPr>
      <w:r w:rsidRPr="00F64776">
        <w:rPr>
          <w:rStyle w:val="NumeroAFNegritaCaracter"/>
        </w:rPr>
        <w:t>2</w:t>
      </w:r>
      <w:r>
        <w:t>. El Pleno del Tribunal de Cuentas aprobó el 25 de febrero de 2021 el “Informe de fiscalización de las contabilidades electorales de las elecciones locales de 26 de mayo de 2019”. En el apartado III.162, epígrafe “Superación del límite de gastos del proceso”, se puso de manifiesto que la formación “Sí se puede” superó el límite máximo de gastos establecido en el art. 193.2 LOREG en 2305,31 €, lo que supuso un exceso del 6,81 por 100 sobre el límite máximo de gastos (33 850,85 €). Asimismo, excedió el límite de gastos de publicidad exterior (art. 55.3 LOREG) en 672,52 €, lo que supuso un exceso del 9,93 por 100 sobre dicho límite (6770,17 €).</w:t>
      </w:r>
    </w:p>
    <w:p w14:paraId="39EE069F" w14:textId="77777777" w:rsidR="00F64776" w:rsidRDefault="00F64776" w:rsidP="00F64776">
      <w:pPr>
        <w:pStyle w:val="TextoNormal"/>
      </w:pPr>
    </w:p>
    <w:p w14:paraId="710BC4CB" w14:textId="77777777" w:rsidR="00F64776" w:rsidRDefault="00F64776" w:rsidP="00F64776">
      <w:pPr>
        <w:pStyle w:val="TextoNormal"/>
      </w:pPr>
      <w:r w:rsidRPr="00F64776">
        <w:rPr>
          <w:rStyle w:val="NumeroAFNegritaCaracter"/>
        </w:rPr>
        <w:t>3</w:t>
      </w:r>
      <w:r>
        <w:t>. Por resolución de 29 de abril de 2021, el Pleno del Tribunal de Cuentas acordó la apertura de un período de información previa a Sí se puede, otorgándole trámite de audiencia para que alegara lo que estimara conveniente sobre la procedencia de iniciar un procedimiento sancionador, en relación con la superación de los límites de los gastos electorales establecidos en los arts. 55.3 y 193.2 LOREG.</w:t>
      </w:r>
    </w:p>
    <w:p w14:paraId="1A739779" w14:textId="77777777" w:rsidR="00F64776" w:rsidRDefault="00F64776" w:rsidP="00F64776">
      <w:pPr>
        <w:pStyle w:val="TextoNormal"/>
      </w:pPr>
    </w:p>
    <w:p w14:paraId="099BA46E" w14:textId="4D4262F6" w:rsidR="00F64776" w:rsidRDefault="00F64776" w:rsidP="00F64776">
      <w:pPr>
        <w:pStyle w:val="TextoNormal"/>
      </w:pPr>
      <w:r>
        <w:t>La formación Sí se puede formuló alegaciones solicitando al Tribunal de Cuentas que declarara que no había superado dichos límites.</w:t>
      </w:r>
    </w:p>
    <w:p w14:paraId="176C4EE6" w14:textId="77777777" w:rsidR="00F64776" w:rsidRDefault="00F64776" w:rsidP="00F64776">
      <w:pPr>
        <w:pStyle w:val="TextoNormal"/>
      </w:pPr>
    </w:p>
    <w:p w14:paraId="4ADE2065" w14:textId="77777777" w:rsidR="00F64776" w:rsidRDefault="00F64776" w:rsidP="00F64776">
      <w:pPr>
        <w:pStyle w:val="TextoNormal"/>
      </w:pPr>
      <w:r w:rsidRPr="00F64776">
        <w:rPr>
          <w:rStyle w:val="NumeroAFNegritaCaracter"/>
        </w:rPr>
        <w:t>4</w:t>
      </w:r>
      <w:r>
        <w:t>. El 24 de junio de 2021, el Pleno del Tribunal de Cuentas acordó iniciar un procedimiento sancionador (art. 18 de la Ley Orgánica sobre financiación de los partidos políticos, en adelante Ley Orgánica 8/2007) y tras la instrucción del mismo, por resolución de 29 de noviembre de 2021 impuso a “Sí se puede” dos sanciones por la comisión de dos infracciones graves, ambas previstas en el art. 17.3 b) de la Ley Orgánica 8/2007, en los siguientes términos:</w:t>
      </w:r>
    </w:p>
    <w:p w14:paraId="42C6330D" w14:textId="77777777" w:rsidR="00F64776" w:rsidRDefault="00F64776" w:rsidP="00F64776">
      <w:pPr>
        <w:pStyle w:val="TextoNormal"/>
      </w:pPr>
    </w:p>
    <w:p w14:paraId="67000D35" w14:textId="77777777" w:rsidR="00F64776" w:rsidRDefault="00F64776" w:rsidP="00F64776">
      <w:pPr>
        <w:pStyle w:val="TextoNormal"/>
      </w:pPr>
      <w:r>
        <w:t xml:space="preserve">“Primero.— Imponer a la formación política ‘Sí se puede’ una sanción de veinticinco mil euros (25 000 €), cuantía mínima prevista en el art. 17 </w:t>
      </w:r>
      <w:r w:rsidRPr="00F64776">
        <w:rPr>
          <w:i/>
        </w:rPr>
        <w:t>bis</w:t>
      </w:r>
      <w:r>
        <w:t>.2 b) de la Ley Orgánica 8/2007 para la comisión de infracciones graves, por la infracción prevista en el artículo 17 3 b) de la Ley Orgánica 8/2007, consistente en la superación del límite máximo de gastos establecido en el art. 193.2 LOREG aplicable a la formación política en las referidas elecciones locales (33 850,85 €), en 1632,79 €, lo que ha supuesto un exceso de[l] 4,82 por 100 sobre dicho límite.</w:t>
      </w:r>
    </w:p>
    <w:p w14:paraId="278DCE6A" w14:textId="77777777" w:rsidR="00F64776" w:rsidRDefault="00F64776" w:rsidP="00F64776">
      <w:pPr>
        <w:pStyle w:val="TextoNormal"/>
      </w:pPr>
    </w:p>
    <w:p w14:paraId="2F6CE7E5" w14:textId="77777777" w:rsidR="00F64776" w:rsidRDefault="00F64776" w:rsidP="00F64776">
      <w:pPr>
        <w:pStyle w:val="TextoNormal"/>
      </w:pPr>
      <w:r>
        <w:t xml:space="preserve">Segundo.— Imponer a la formación política ‘Sí se puede’ una sanción de veinticinco mil euros (25 000 €), cuantía mínima prevista en el art. 17 </w:t>
      </w:r>
      <w:r w:rsidRPr="00F64776">
        <w:rPr>
          <w:i/>
        </w:rPr>
        <w:t>bis</w:t>
      </w:r>
      <w:r>
        <w:t>.2 b) de la Ley Orgánica 8/2007 para la comisión de infracciones graves, por la infracción prevista en el artículo 17.3 b) de la Ley Orgánica 8/2007, consistente en la superación del límite de gastos establecido en el art. 55.3 LOREG aplicable a la formación política en las referidas elecciones locales (6770,17 €), en 672,52 €, lo que ha supuesto un exceso del 9,93 por 100 sobre dicho límite”.</w:t>
      </w:r>
    </w:p>
    <w:p w14:paraId="75321E82" w14:textId="77777777" w:rsidR="00F64776" w:rsidRDefault="00F64776" w:rsidP="00F64776">
      <w:pPr>
        <w:pStyle w:val="TextoNormal"/>
      </w:pPr>
    </w:p>
    <w:p w14:paraId="301E2AEF" w14:textId="2FC54BAC" w:rsidR="00F64776" w:rsidRDefault="00F64776" w:rsidP="00F64776">
      <w:pPr>
        <w:pStyle w:val="TextoNormal"/>
      </w:pPr>
      <w:r>
        <w:t xml:space="preserve">Las sanciones se impusieron en la cuantía mínima prevista en el art. 17 </w:t>
      </w:r>
      <w:r w:rsidRPr="00F64776">
        <w:rPr>
          <w:i/>
        </w:rPr>
        <w:t>bis</w:t>
      </w:r>
      <w:r>
        <w:t>.2 b) de la Ley Orgánica 8/2007. Frente a la invocación por la formación Sí se puede del principio de proporcionalidad, la resolución sancionadora señaló que este debe ser valorado por el legislador, debiendo el Tribunal de Cuentas aplicar la normativa vigente.</w:t>
      </w:r>
    </w:p>
    <w:p w14:paraId="125BAC2A" w14:textId="77777777" w:rsidR="00F64776" w:rsidRDefault="00F64776" w:rsidP="00F64776">
      <w:pPr>
        <w:pStyle w:val="TextoNormal"/>
      </w:pPr>
    </w:p>
    <w:p w14:paraId="47DC27E5" w14:textId="77777777" w:rsidR="00F64776" w:rsidRDefault="00F64776" w:rsidP="00F64776">
      <w:pPr>
        <w:pStyle w:val="TextoNormal"/>
      </w:pPr>
      <w:r w:rsidRPr="00F64776">
        <w:rPr>
          <w:rStyle w:val="NumeroAFNegritaCaracter"/>
        </w:rPr>
        <w:t>5</w:t>
      </w:r>
      <w:r>
        <w:t>. La formación “Sí se puede” formuló recurso contencioso administrativo frente a la resolución sancionadora, que fue tramitado con núm. 2-456-2021 por la Sección Cuarta de la Sala de lo Contencioso-Administrativo del Tribunal Supremo.</w:t>
      </w:r>
    </w:p>
    <w:p w14:paraId="0B09EDA1" w14:textId="77777777" w:rsidR="00F64776" w:rsidRDefault="00F64776" w:rsidP="00F64776">
      <w:pPr>
        <w:pStyle w:val="TextoNormal"/>
      </w:pPr>
    </w:p>
    <w:p w14:paraId="7708C3AA" w14:textId="705E21AD" w:rsidR="00F64776" w:rsidRDefault="00F64776" w:rsidP="00F64776">
      <w:pPr>
        <w:pStyle w:val="TextoNormal"/>
      </w:pPr>
      <w:r>
        <w:t xml:space="preserve">En el escrito de demanda presentado el 16 de marzo de 2022, alegó que: (i) contrariamente a lo afirmado por el Tribunal de Cuentas, la entidad no realizó actos de publicidad exterior que infringieran el art. 55.3 LOREG; (ii) el proceso electoral en que participó era concurrente (municipal e insular), por lo que tenía derecho a aplicar un porcentaje suplementario de gasto (art. 131.2 LOREG), lo que determinaba la inexistencia de infracción; y (iii) que no concurría el requisito de culpabilidad en los términos en que había sido apreciado por el Tribunal de Cuentas. Con carácter subsidiario, solicitaba el planteamiento de una cuestión de inconstitucionalidad en relación con lo previsto en el art. 17 </w:t>
      </w:r>
      <w:r w:rsidRPr="00F64776">
        <w:rPr>
          <w:i/>
        </w:rPr>
        <w:t>bis</w:t>
      </w:r>
      <w:r>
        <w:t xml:space="preserve"> de la Ley Orgánica 8/2007, por entender que la sanción mínima prevista en el art. 17 </w:t>
      </w:r>
      <w:r w:rsidRPr="00F64776">
        <w:rPr>
          <w:i/>
        </w:rPr>
        <w:t>bis</w:t>
      </w:r>
      <w:r>
        <w:t>.2 b) era contraria al principio de proporcionalidad, teniendo en cuenta que el exceso de gasto en que había incurrido era muy modesto en comparación con la cuantía de las sanciones impuestas. Dicha solicitud se reiteró en el trámite de conclusiones.</w:t>
      </w:r>
    </w:p>
    <w:p w14:paraId="23629212" w14:textId="77777777" w:rsidR="00F64776" w:rsidRDefault="00F64776" w:rsidP="00F64776">
      <w:pPr>
        <w:pStyle w:val="TextoNormal"/>
      </w:pPr>
    </w:p>
    <w:p w14:paraId="1566C247" w14:textId="77777777" w:rsidR="00F64776" w:rsidRDefault="00F64776" w:rsidP="00F64776">
      <w:pPr>
        <w:pStyle w:val="TextoNormal"/>
      </w:pPr>
      <w:r w:rsidRPr="00F64776">
        <w:rPr>
          <w:rStyle w:val="NumeroAFNegritaCaracter"/>
        </w:rPr>
        <w:t>6</w:t>
      </w:r>
      <w:r>
        <w:t>. La abogada del Estado presentó su escrito de contestación a la demanda el 21 de abril de 2022. En él consideraba que las sanciones impuestas se ajustaban a la ley, si bien anticipaba su conformidad con la solicitud de planteamiento de una cuestión de inconstitucionalidad por la posible desproporción entre la infracción y la sanción. Añadía, que con ello se seguía el criterio resultante del oficio de 20 de abril de 2022 de la presidenta del Tribunal de Cuentas, acompañado con el escrito de contestación a la demanda.</w:t>
      </w:r>
    </w:p>
    <w:p w14:paraId="5338CC2B" w14:textId="77777777" w:rsidR="00F64776" w:rsidRDefault="00F64776" w:rsidP="00F64776">
      <w:pPr>
        <w:pStyle w:val="TextoNormal"/>
      </w:pPr>
    </w:p>
    <w:p w14:paraId="6DE0D238" w14:textId="382CB4F6" w:rsidR="00F64776" w:rsidRDefault="00F64776" w:rsidP="00F64776">
      <w:pPr>
        <w:pStyle w:val="TextoNormal"/>
      </w:pPr>
      <w:r>
        <w:t>En dicho oficio se indicaba que mediante acuerdo de 27 de julio de 2021, el Pleno del Tribunal de Cuentas había decidido elevar una moción a las Cortes Generales recomendando la modificación de algunos aspectos del régimen sancionador previsto en la Ley Orgánica 8/2007 por entender que concurría una falta de proporcionalidad entre infracciones y sanciones. Indicaba también que la conveniencia de tal modificación legislativa había sido reiterada por acuerdo del Pleno del Tribunal de Cuentas de 27 de enero de 2022, igualmente remitido a las Cortes Generales. Por ello, concluía el oficio manifestando su parecer favorable al planteamiento de una cuestión de inconstitucionalidad ante el Tribunal Constitucional respecto a la desproporción existente entre infracciones y sanciones, derivada del artículo 17 de la Ley Orgánica 8/2007.</w:t>
      </w:r>
    </w:p>
    <w:p w14:paraId="7105E2CC" w14:textId="77777777" w:rsidR="00F64776" w:rsidRDefault="00F64776" w:rsidP="00F64776">
      <w:pPr>
        <w:pStyle w:val="TextoNormal"/>
      </w:pPr>
    </w:p>
    <w:p w14:paraId="44606E01" w14:textId="286CC8BF" w:rsidR="00F64776" w:rsidRDefault="00F64776" w:rsidP="00F64776">
      <w:pPr>
        <w:pStyle w:val="TextoNormal"/>
      </w:pPr>
      <w:r w:rsidRPr="00F64776">
        <w:rPr>
          <w:rStyle w:val="NumeroAFNegritaCaracter"/>
        </w:rPr>
        <w:t>7</w:t>
      </w:r>
      <w:r>
        <w:t>. Evacuado el trámite de conclusiones por la representación procesal de la formación Sí se puede y por la abogada del Estado, se señaló el 22 de noviembre de 2022 para la votación y fallo del recurso contencioso administrativo.</w:t>
      </w:r>
    </w:p>
    <w:p w14:paraId="065DCE66" w14:textId="77777777" w:rsidR="00F64776" w:rsidRDefault="00F64776" w:rsidP="00F64776">
      <w:pPr>
        <w:pStyle w:val="TextoNormal"/>
      </w:pPr>
    </w:p>
    <w:p w14:paraId="0699478B" w14:textId="77777777" w:rsidR="00F64776" w:rsidRDefault="00F64776" w:rsidP="00F64776">
      <w:pPr>
        <w:pStyle w:val="TextoNormal"/>
      </w:pPr>
      <w:r w:rsidRPr="00F64776">
        <w:rPr>
          <w:rStyle w:val="NumeroAFNegritaCaracter"/>
        </w:rPr>
        <w:t>8</w:t>
      </w:r>
      <w:r>
        <w:t>. Mediante providencia de 22 de noviembre de 2022, la Sección Cuarta de la Sala de lo Contencioso-Administrativo del Tribunal Supremo acordó:</w:t>
      </w:r>
    </w:p>
    <w:p w14:paraId="41226CA5" w14:textId="77777777" w:rsidR="00F64776" w:rsidRDefault="00F64776" w:rsidP="00F64776">
      <w:pPr>
        <w:pStyle w:val="TextoNormal"/>
      </w:pPr>
    </w:p>
    <w:p w14:paraId="78D750F4" w14:textId="6B90DD81" w:rsidR="00F64776" w:rsidRDefault="00F64776" w:rsidP="00F64776">
      <w:pPr>
        <w:pStyle w:val="TextoNormal"/>
      </w:pPr>
      <w:r>
        <w:t>“Dada cuenta; visto el planteamiento de la cuestión de inconstitucionalidad que solicita la parte recurrente, ‘Sí se puede’, en su escrito de demanda, y la conformidad con dicha solicitud manifestada en el escrito de contestación a la misma por el abogado del Estado, la Sala acuerda oír al Ministerio Fiscal por el plazo de diez días sobre esa solicitud, dándole traslado de los escritos y del acto recurrido”.</w:t>
      </w:r>
    </w:p>
    <w:p w14:paraId="1ABDF8AE" w14:textId="77777777" w:rsidR="00F64776" w:rsidRDefault="00F64776" w:rsidP="00F64776">
      <w:pPr>
        <w:pStyle w:val="TextoNormal"/>
      </w:pPr>
    </w:p>
    <w:p w14:paraId="33A3E92C" w14:textId="77777777" w:rsidR="00F64776" w:rsidRDefault="00F64776" w:rsidP="00F64776">
      <w:pPr>
        <w:pStyle w:val="TextoNormal"/>
      </w:pPr>
      <w:r w:rsidRPr="00F64776">
        <w:rPr>
          <w:rStyle w:val="NumeroAFNegritaCaracter"/>
        </w:rPr>
        <w:t>9</w:t>
      </w:r>
      <w:r>
        <w:t>. Con fecha 1 de diciembre de 2022, el fiscal de Sala jefe presentó un escrito en el que, con cita de la doctrina constitucional sobre el trámite de audiencia del art. 35.2 de la Ley Orgánica 2/1979, de 3 de octubre, del Tribunal Constitucional (LOTC), señalaba diversos defectos en la forma en que se había abierto dicho trámite por providencia de 22 de noviembre de 2022 e interesaba que “en seguimiento de lo dispuesto en el art. 35.2 LOTC y lo declarado por la doctrina constitucional” se abriera de nuevo el correspondiente trámite de audiencia y se procediera a manifestar las dudas de constitucionalidad, identificando “con precisión tanto los preceptos legales sobre cuya constitucionalidad se albergan dudas como las normas de la Constitución que se consideran vulneradas”.</w:t>
      </w:r>
    </w:p>
    <w:p w14:paraId="39941002" w14:textId="77777777" w:rsidR="00F64776" w:rsidRDefault="00F64776" w:rsidP="00F64776">
      <w:pPr>
        <w:pStyle w:val="TextoNormal"/>
      </w:pPr>
    </w:p>
    <w:p w14:paraId="7746D802" w14:textId="77777777" w:rsidR="00F64776" w:rsidRDefault="00F64776" w:rsidP="00F64776">
      <w:pPr>
        <w:pStyle w:val="TextoNormal"/>
      </w:pPr>
      <w:r>
        <w:t>En concreto, el fiscal manifestó: (i) de la solicitud de la parte actora y por remisión al oficio de la presidenta del Tribunal de Cuentas podían deducirse las dudas de constitucionalidad que tienen las partes, si bien el referido oficio carece de argumentación suficiente; (ii) la providencia de 22 de noviembre de 2022 no satisface los requisitos que marca la doctrina constitucional sobre la identificación con precisión tanto de los preceptos legales de cuya constitucionalidad se albergan dudas como de las normas constitucionales que se consideran vulneradas; (iii) “por vía de hecho” se ha superado el requisito del carácter común y simultáneo y no sucesivo del plazo de diez días para alegaciones; y (iv) el órgano judicial debe concretar en la providencia sus propias dudas, no bastando con remitirse al planteamiento de una de las partes.</w:t>
      </w:r>
    </w:p>
    <w:p w14:paraId="058FA2C3" w14:textId="77777777" w:rsidR="00F64776" w:rsidRDefault="00F64776" w:rsidP="00F64776">
      <w:pPr>
        <w:pStyle w:val="TextoNormal"/>
      </w:pPr>
    </w:p>
    <w:p w14:paraId="2486A6F5" w14:textId="5B040F9F" w:rsidR="00F64776" w:rsidRDefault="00F64776" w:rsidP="00F64776">
      <w:pPr>
        <w:pStyle w:val="TextoNormal"/>
      </w:pPr>
      <w:r>
        <w:t>En cuanto al fondo, el fiscal se remitió a la Circular 2/1999, de 30 de diciembre, sobre la intervención del fiscal en las cuestiones de inconstitucionalidad en sede judicial (art. 35 Ley Orgánica del Tribunal Constitucional, LOTC), según la cual corresponde al fiscal general del Estado emitir el criterio correspondiente, salvo en los casos excepcionales indicados en su Instrucción 2/2012, de 27 de junio, sobre criterios a seguir en la tramitación de las cuestiones de inconstitucionalidad.</w:t>
      </w:r>
    </w:p>
    <w:p w14:paraId="0DD79896" w14:textId="77777777" w:rsidR="00F64776" w:rsidRDefault="00F64776" w:rsidP="00F64776">
      <w:pPr>
        <w:pStyle w:val="TextoNormal"/>
      </w:pPr>
    </w:p>
    <w:p w14:paraId="3D730186" w14:textId="77777777" w:rsidR="00F64776" w:rsidRDefault="00F64776" w:rsidP="00F64776">
      <w:pPr>
        <w:pStyle w:val="TextoNormal"/>
      </w:pPr>
      <w:r w:rsidRPr="00F64776">
        <w:rPr>
          <w:rStyle w:val="NumeroAFNegritaCaracter"/>
        </w:rPr>
        <w:t>10</w:t>
      </w:r>
      <w:r>
        <w:t xml:space="preserve">. Mediante auto de 25 de enero de 2023, la Sección Cuarta de la Sala de lo Contencioso-Administrativo del Tribunal Supremo acordó plantear una cuestión de inconstitucionalidad sobre el inciso “sin que en ningún caso pueda ser inferior a 25 000 €” del art. 17 </w:t>
      </w:r>
      <w:r w:rsidRPr="00F64776">
        <w:rPr>
          <w:i/>
        </w:rPr>
        <w:t>bis</w:t>
      </w:r>
      <w:r>
        <w:t>.2 b) de la Ley Orgánica 8/2007, y suspender las actuaciones hasta que este tribunal se pronunciara sobre su admisión. Del contenido del auto de planteamiento interesa destacar lo siguiente:</w:t>
      </w:r>
    </w:p>
    <w:p w14:paraId="3C8E605B" w14:textId="77777777" w:rsidR="00F64776" w:rsidRDefault="00F64776" w:rsidP="00F64776">
      <w:pPr>
        <w:pStyle w:val="TextoNormal"/>
      </w:pPr>
    </w:p>
    <w:p w14:paraId="5004D570" w14:textId="77777777" w:rsidR="00F64776" w:rsidRDefault="00F64776" w:rsidP="00F64776">
      <w:pPr>
        <w:pStyle w:val="TextoNormal"/>
      </w:pPr>
      <w:r>
        <w:t xml:space="preserve">a) Las sanciones impuestas a la entidad recurrente se sustentan en dos excesos en los gastos electorales permitidos, tanto respecto del límite máximo general (art. 193.2 LOREG), como del específico para gastos de publicidad exterior (art. 55.3 LOREG). Ambos excesos se tipifican en el art. 17.3 b) de la Ley Orgánica 8/2007, que regula como infracción grave “la superación por los partidos políticos, en más de un tres y en menos de un diez por 100, de los límites de gastos electorales”. Aunque el Tribunal de Cuentas consideró que las circunstancias del caso justificaban imponer las sanciones en su grado mínimo (el doble del exceso), de conformidad con el art. 17 </w:t>
      </w:r>
      <w:r w:rsidRPr="00F64776">
        <w:rPr>
          <w:i/>
        </w:rPr>
        <w:t>bis</w:t>
      </w:r>
      <w:r>
        <w:t>.2 b), último inciso, la sanción mínima no podía ser inferior a 25 000 €, por cada una de las dos conductas.</w:t>
      </w:r>
    </w:p>
    <w:p w14:paraId="2AA127DB" w14:textId="77777777" w:rsidR="00F64776" w:rsidRDefault="00F64776" w:rsidP="00F64776">
      <w:pPr>
        <w:pStyle w:val="TextoNormal"/>
      </w:pPr>
    </w:p>
    <w:p w14:paraId="15710BA4" w14:textId="77777777" w:rsidR="00F64776" w:rsidRDefault="00F64776" w:rsidP="00F64776">
      <w:pPr>
        <w:pStyle w:val="TextoNormal"/>
      </w:pPr>
      <w:r>
        <w:t>b) La Sala descarta la objeción formulada por el fiscal sobre el trámite de audiencia. Explica, que el asunto se deliberó el día señalado, llegando a la conclusión de que el inciso indicado que era aplicable al caso y de cuya validez dependía el fallo podía ser inconstitucional, según opinión común de ambas partes. Para la Sala, el fiscal ha tenido acceso a las actuaciones y, por tanto, a las razones que ambas partes y la presidenta del Tribunal de Cuentas aducen para entender que la norma puede ser inconstitucional. Además, “el problema constitucional suscitado en este caso es de una claridad meridiana” (razonamiento jurídico quinto).</w:t>
      </w:r>
    </w:p>
    <w:p w14:paraId="7F82FE93" w14:textId="77777777" w:rsidR="00F64776" w:rsidRDefault="00F64776" w:rsidP="00F64776">
      <w:pPr>
        <w:pStyle w:val="TextoNormal"/>
      </w:pPr>
    </w:p>
    <w:p w14:paraId="26915554" w14:textId="77777777" w:rsidR="00F64776" w:rsidRDefault="00F64776" w:rsidP="00F64776">
      <w:pPr>
        <w:pStyle w:val="TextoNormal"/>
      </w:pPr>
      <w:r>
        <w:t xml:space="preserve">c) La Sala concreta que el precepto cuestionado es el inciso “sin que en ningún caso pueda ser inferior a 25 000 €” y precisa que en otros apartados del mismo art. 17 </w:t>
      </w:r>
      <w:r w:rsidRPr="00F64776">
        <w:rPr>
          <w:i/>
        </w:rPr>
        <w:t>bis</w:t>
      </w:r>
      <w:r>
        <w:t xml:space="preserve"> hay incisos similares, pero no son de aplicación al caso. Aun así, del oficio de la presidenta del Tribunal de Cuentas se desprende que el problema se plantea con relativa frecuencia, de manera que este dista de ser un caso aislado o peculiar.</w:t>
      </w:r>
    </w:p>
    <w:p w14:paraId="3517ACCC" w14:textId="77777777" w:rsidR="00F64776" w:rsidRDefault="00F64776" w:rsidP="00F64776">
      <w:pPr>
        <w:pStyle w:val="TextoNormal"/>
      </w:pPr>
    </w:p>
    <w:p w14:paraId="77ECFF79" w14:textId="77777777" w:rsidR="00F64776" w:rsidRDefault="00F64776" w:rsidP="00F64776">
      <w:pPr>
        <w:pStyle w:val="TextoNormal"/>
      </w:pPr>
      <w:r>
        <w:t>El precepto constitucional que se estima infringido es el principio de proporcionalidad del art. 25.1 CE. Ciertamente, el legislador democrático goza de un innegable margen de apreciación a la hora de tipificar los delitos y regular las penas correspondientes, pero en varias ocasiones el Tribunal Constitucional ha afirmado que ello encuentra un tope en la necesaria proporción que debe mediar entre la gravedad de la conducta sancionada y la intensidad de la pena. Una respuesta sancionadora excesiva con respecto al desvalor del hecho ilícito supone así, una vulneración del principio de legalidad de los delitos y las penas, consagrado en dicho precepto. Cabe entender que este incluye, si no un mandato positivo de rigurosa proporcionalidad entre delito y pena, sí al menos, una prohibición de manifiesta falta de proporcionalidad. Afirma que el ejemplo más claro de este criterio jurisprudencial se encuentra en la STC 136/1999, de 20 de julio. Cita, asimismo, la Carta de los derechos fundamentales de la Unión Europea que, si bien no resulta aplicable al presente caso, afirma en su art. 49 que “la intensidad de las penas no deberá ser desproporcionada en relación con la infracción”.</w:t>
      </w:r>
    </w:p>
    <w:p w14:paraId="77CB1BF2" w14:textId="77777777" w:rsidR="00F64776" w:rsidRDefault="00F64776" w:rsidP="00F64776">
      <w:pPr>
        <w:pStyle w:val="TextoNormal"/>
      </w:pPr>
    </w:p>
    <w:p w14:paraId="59D8CD43" w14:textId="77777777" w:rsidR="00F64776" w:rsidRDefault="00F64776" w:rsidP="00F64776">
      <w:pPr>
        <w:pStyle w:val="TextoNormal"/>
      </w:pPr>
      <w:r>
        <w:t>Lo anterior resulta de aplicación, aunque la norma cuestionada no regule una pena propiamente dicha sino una sanción administrativa, ya que también le resulta aplicable el art. 25.1 CE. El principio de proporcionalidad es uno de los pilares de todo el derecho administrativo contemporáneo, tanto a nivel nacional como supranacional. De ahí que una norma legal excesiva carece de justificación objetiva y es, por ello, arbitraria en el sentido del art. 9.3 CE. En el presente caso considera “difícilmente discutible” que exista una manifiesta desproporción, pues la suma de las dos sanciones impuestas asciende a 50 000 €, cifra que es superior al total de lo gastado —con o sin exceso— por la formación política Sí se puede (razonamiento jurídico sexto).</w:t>
      </w:r>
    </w:p>
    <w:p w14:paraId="6A5D8AE0" w14:textId="77777777" w:rsidR="00F64776" w:rsidRDefault="00F64776" w:rsidP="00F64776">
      <w:pPr>
        <w:pStyle w:val="TextoNormal"/>
      </w:pPr>
    </w:p>
    <w:p w14:paraId="174F4073" w14:textId="77777777" w:rsidR="00F64776" w:rsidRDefault="00F64776" w:rsidP="00F64776">
      <w:pPr>
        <w:pStyle w:val="TextoNormal"/>
      </w:pPr>
      <w:r>
        <w:t xml:space="preserve">d) El razonamiento jurídico séptimo aborda los juicios de aplicabilidad y relevancia. Comenzando por el primero, afirma que no ofrece ninguna duda que el importe mínimo de las sanciones por exceso de gastos electorales establecido en el art. 17 </w:t>
      </w:r>
      <w:r w:rsidRPr="00F64776">
        <w:rPr>
          <w:i/>
        </w:rPr>
        <w:t>bis</w:t>
      </w:r>
      <w:r>
        <w:t>.2 b) de la Ley Orgánica 8/2007, es aplicable al caso. La resolución sancionadora afirma que, según el criterio general, las sanciones habrían debido ser el doble de los excesos en que se había incurrido (3265,58 € y 1354,04 €), pero ha de ajustarse al mínimo de 25 000 € establecido por el inciso cuestionado (por cada una de las dos conductas infractoras).</w:t>
      </w:r>
    </w:p>
    <w:p w14:paraId="78DDA045" w14:textId="77777777" w:rsidR="00F64776" w:rsidRDefault="00F64776" w:rsidP="00F64776">
      <w:pPr>
        <w:pStyle w:val="TextoNormal"/>
      </w:pPr>
    </w:p>
    <w:p w14:paraId="06434BD0" w14:textId="77777777" w:rsidR="00F64776" w:rsidRDefault="00F64776" w:rsidP="00F64776">
      <w:pPr>
        <w:pStyle w:val="TextoNormal"/>
      </w:pPr>
      <w:r>
        <w:t>A la aplicabilidad del mínimo solo podría oponerse la alegación de Sí se puede: por tratarse de un proceso electoral concurrente, y no de dos independientes (municipal e insular), el límite de gasto se debe incrementar por aplicación del art. 131.2 LOREG y no se habría excedido.</w:t>
      </w:r>
    </w:p>
    <w:p w14:paraId="0D7ADE38" w14:textId="77777777" w:rsidR="00F64776" w:rsidRDefault="00F64776" w:rsidP="00F64776">
      <w:pPr>
        <w:pStyle w:val="TextoNormal"/>
      </w:pPr>
    </w:p>
    <w:p w14:paraId="7D91D01C" w14:textId="77777777" w:rsidR="00F64776" w:rsidRDefault="00F64776" w:rsidP="00F64776">
      <w:pPr>
        <w:pStyle w:val="TextoNormal"/>
      </w:pPr>
      <w:r>
        <w:t>Sin embargo, la Sala descarta esta interpretación, pues las elecciones municipales y al cabildo insular son procesos electorales distintos, aunque se celebren el mismo día. En apoyo de esto cita el criterio de la Junta Electoral Central sobre las elecciones a las juntas generales de los territorios históricos del País Vasco y la propia regulación de la Ley Orgánica del régimen electoral general, que establece disposiciones especiales para las elecciones a los cabildos canarios (título IV).</w:t>
      </w:r>
    </w:p>
    <w:p w14:paraId="6B91D390" w14:textId="77777777" w:rsidR="00F64776" w:rsidRDefault="00F64776" w:rsidP="00F64776">
      <w:pPr>
        <w:pStyle w:val="TextoNormal"/>
      </w:pPr>
    </w:p>
    <w:p w14:paraId="3B993F16" w14:textId="1C27CD14" w:rsidR="00F64776" w:rsidRDefault="00F64776" w:rsidP="00F64776">
      <w:pPr>
        <w:pStyle w:val="TextoNormal"/>
      </w:pPr>
      <w:r>
        <w:t xml:space="preserve">Respecto del juicio de relevancia, el auto precisa que la recurrente combate la interpretación del órgano sancionador respecto de la sanción impuesta por excederse del límite específico aplicable al gasto en publicidad exterior. La Sala concluye que, aunque se admitiera la interpretación de Sí se puede y dicho límite específico se hubiera respetado, siempre quedaría la otra sanción de 25 000 €, por incumplir el art. 193.2 LOREG, que solo podría y debería anularse si se declara la inconstitucionalidad del inciso final del art. 17 </w:t>
      </w:r>
      <w:r w:rsidRPr="00F64776">
        <w:rPr>
          <w:i/>
        </w:rPr>
        <w:t>bis</w:t>
      </w:r>
      <w:r>
        <w:t>.2 b) de la Ley Orgánica 8/2007.</w:t>
      </w:r>
    </w:p>
    <w:p w14:paraId="50A4D833" w14:textId="77777777" w:rsidR="00F64776" w:rsidRDefault="00F64776" w:rsidP="00F64776">
      <w:pPr>
        <w:pStyle w:val="TextoNormal"/>
      </w:pPr>
    </w:p>
    <w:p w14:paraId="1C6492FA" w14:textId="51C33147" w:rsidR="00F64776" w:rsidRDefault="00F64776" w:rsidP="00F64776">
      <w:pPr>
        <w:pStyle w:val="TextoNormal"/>
      </w:pPr>
      <w:r w:rsidRPr="00F64776">
        <w:rPr>
          <w:rStyle w:val="NumeroAFNegritaCaracter"/>
        </w:rPr>
        <w:t>11</w:t>
      </w:r>
      <w:r>
        <w:t>. Mediante providencia de 20 de junio de 2023, el Pleno de este tribunal acordó oír al fiscal general del Estado para que, en el plazo de diez días, y a los efectos que determina el art. 37.1 LOTC, alegase lo que considerase conveniente acerca de la admisibilidad de la presente cuestión de inconstitucionalidad en relación con el cumplimiento de los requisitos procesales (art. 35.2 LOTC).</w:t>
      </w:r>
    </w:p>
    <w:p w14:paraId="4E6A244F" w14:textId="77777777" w:rsidR="00F64776" w:rsidRDefault="00F64776" w:rsidP="00F64776">
      <w:pPr>
        <w:pStyle w:val="TextoNormal"/>
      </w:pPr>
    </w:p>
    <w:p w14:paraId="0778EC06" w14:textId="77777777" w:rsidR="00F64776" w:rsidRDefault="00F64776" w:rsidP="00F64776">
      <w:pPr>
        <w:pStyle w:val="TextoNormal"/>
      </w:pPr>
      <w:r w:rsidRPr="00F64776">
        <w:rPr>
          <w:rStyle w:val="NumeroAFNegritaCaracter"/>
        </w:rPr>
        <w:t>12</w:t>
      </w:r>
      <w:r>
        <w:t>. El fiscal general del Estado evacuó el trámite conferido mediante escrito registrado en este tribunal el 25 de julio de 2023, interesando la inadmisión de la presente cuestión de inconstitucionalidad por apreciar defectos procesales en la apertura del trámite de audiencia previsto en el art. 35.2 LOTC, así como por no haberse realizado adecuadamente los juicios de aplicabilidad y de relevancia en el auto de planteamiento.</w:t>
      </w:r>
    </w:p>
    <w:p w14:paraId="294ADE9D" w14:textId="77777777" w:rsidR="00F64776" w:rsidRDefault="00F64776" w:rsidP="00F64776">
      <w:pPr>
        <w:pStyle w:val="TextoNormal"/>
      </w:pPr>
    </w:p>
    <w:p w14:paraId="685AC3A9" w14:textId="77777777" w:rsidR="00F64776" w:rsidRDefault="00F64776" w:rsidP="00F64776">
      <w:pPr>
        <w:pStyle w:val="TextoNormal"/>
      </w:pPr>
      <w:r>
        <w:t>a) Tras exponer los antecedentes del procedimiento y los aspectos más relevantes del razonamiento contenido en el auto de planteamiento de la cuestión de inconstitucionalidad, expone los defectos procesales del trámite de audiencia que, a su juicio, constituyen motivo de inadmisión de la cuestión.</w:t>
      </w:r>
    </w:p>
    <w:p w14:paraId="16A780BD" w14:textId="77777777" w:rsidR="00F64776" w:rsidRDefault="00F64776" w:rsidP="00F64776">
      <w:pPr>
        <w:pStyle w:val="TextoNormal"/>
      </w:pPr>
    </w:p>
    <w:p w14:paraId="36B86CAE" w14:textId="77777777" w:rsidR="00F64776" w:rsidRDefault="00F64776" w:rsidP="00F64776">
      <w:pPr>
        <w:pStyle w:val="TextoNormal"/>
      </w:pPr>
      <w:r>
        <w:t xml:space="preserve">Señala el fiscal general del Estado que la providencia de 22 de noviembre de 2022 no satisface las exigencias procesales del art. 35.2 LOTC, pues se limitó a dar traslado para alegaciones únicamente al Ministerio Fiscal, no identificaba expresamente el precepto legal afectado de posible inconstitucionalidad —art. 17 </w:t>
      </w:r>
      <w:r w:rsidRPr="00F64776">
        <w:rPr>
          <w:i/>
        </w:rPr>
        <w:t>bis</w:t>
      </w:r>
      <w:r>
        <w:t>.2 b) de la Ley Orgánica 8/2007—, ni mencionaba el precepto constitucional infringido —art. 25.1 CE, en relación con el principio de proporcionalidad de la sanción—.</w:t>
      </w:r>
    </w:p>
    <w:p w14:paraId="73091C76" w14:textId="77777777" w:rsidR="00F64776" w:rsidRDefault="00F64776" w:rsidP="00F64776">
      <w:pPr>
        <w:pStyle w:val="TextoNormal"/>
      </w:pPr>
    </w:p>
    <w:p w14:paraId="044C0E94" w14:textId="77777777" w:rsidR="00F64776" w:rsidRDefault="00F64776" w:rsidP="00F64776">
      <w:pPr>
        <w:pStyle w:val="TextoNormal"/>
      </w:pPr>
      <w:r>
        <w:t>Afirma también, que la sustitución del trámite del art. 35.2 LOTC por una mera remisión a las pretensiones precedentemente formuladas y razonadas por las partes quiebra la naturaleza procesal de esa audiencia, puesto que el legislador no lo ha concebido como un trámite sucesivo regido por el principio de contradicción sino como un trámite simultáneo.</w:t>
      </w:r>
    </w:p>
    <w:p w14:paraId="1CA7D206" w14:textId="77777777" w:rsidR="00F64776" w:rsidRDefault="00F64776" w:rsidP="00F64776">
      <w:pPr>
        <w:pStyle w:val="TextoNormal"/>
      </w:pPr>
    </w:p>
    <w:p w14:paraId="439A35CF" w14:textId="77777777" w:rsidR="00F64776" w:rsidRDefault="00F64776" w:rsidP="00F64776">
      <w:pPr>
        <w:pStyle w:val="TextoNormal"/>
      </w:pPr>
      <w:r>
        <w:t>Continúa explicando que es conocedor de la doctrina constitucional, en virtud de la cual, la finalidad del trámite de audiencia del art. 35 LOTC se entiende cumplida válidamente si la indeterminación es solo relativa, en la medida en que las partes hayan podido conocer el planteamiento de inconstitucionalidad realizado por el órgano judicial (STC 185/2014, de 6 de noviembre). Sin embargo, estima que en este caso el Ministerio Fiscal no podía haber identificado sin ningún género de dudas el precepto legal cuestionado.</w:t>
      </w:r>
    </w:p>
    <w:p w14:paraId="73CBC2A2" w14:textId="77777777" w:rsidR="00F64776" w:rsidRDefault="00F64776" w:rsidP="00F64776">
      <w:pPr>
        <w:pStyle w:val="TextoNormal"/>
      </w:pPr>
    </w:p>
    <w:p w14:paraId="0AC9881B" w14:textId="77777777" w:rsidR="00F64776" w:rsidRDefault="00F64776" w:rsidP="00F64776">
      <w:pPr>
        <w:pStyle w:val="TextoNormal"/>
      </w:pPr>
      <w:r>
        <w:t xml:space="preserve">A juicio del fiscal general del Estado, existe una posible confusión en la selección de la norma sancionadora. Afirma que los excesos de gasto de publicidad electoral y publicidad exterior fueron subsumidos como infracciones graves del art. 17.3 b) de la Ley Orgánica 8/2007, a las que se impusieron las correspondientes sanciones previstas en el art. 17 </w:t>
      </w:r>
      <w:r w:rsidRPr="00F64776">
        <w:rPr>
          <w:i/>
        </w:rPr>
        <w:t>bis</w:t>
      </w:r>
      <w:r>
        <w:t>.2 b) de la Ley Orgánica 8/2007, que en su redacción literal no remite al art. 17.3 b), sino a la infracción del art. 17.2 b) (que no es una infracción grave, sino una muy grave). Los patentes defectos de técnica legislativa ponen de manifiesto la falta de precisión y correspondencia entre las infracciones, su calificación o naturaleza y las sanciones previstas para dichas infracciones, que como mínimo da lugar a una duda fundada acerca de la aplicabilidad de la norma sobre la que ni el Tribunal Supremo ni la parte recurrente ni la abogada del Estado ni la resolución sancionadora del Tribunal de Cuentas ofrecían explicación alguna. Entiende por ello que existía una incertidumbre acerca de la norma legal aplicable al caso y sobre cuya constitucionalidad albergaba dudas el Tribunal Supremo.</w:t>
      </w:r>
    </w:p>
    <w:p w14:paraId="26E2E4EB" w14:textId="77777777" w:rsidR="00F64776" w:rsidRDefault="00F64776" w:rsidP="00F64776">
      <w:pPr>
        <w:pStyle w:val="TextoNormal"/>
      </w:pPr>
    </w:p>
    <w:p w14:paraId="4CCC6BB1" w14:textId="77777777" w:rsidR="00F64776" w:rsidRDefault="00F64776" w:rsidP="00F64776">
      <w:pPr>
        <w:pStyle w:val="TextoNormal"/>
      </w:pPr>
      <w:r>
        <w:t>Concluye señalando que los déficits del trámite de audiencia denunciados realmente impidieron a las partes y al Ministerio Fiscal valorar el verdadero contenido y alcance de la cuestión de inconstitucionalidad. Por lo tanto, el trámite de audiencia no fue adecuadamente planteado.</w:t>
      </w:r>
    </w:p>
    <w:p w14:paraId="5EBFE6FF" w14:textId="77777777" w:rsidR="00F64776" w:rsidRDefault="00F64776" w:rsidP="00F64776">
      <w:pPr>
        <w:pStyle w:val="TextoNormal"/>
      </w:pPr>
    </w:p>
    <w:p w14:paraId="4C955398" w14:textId="77777777" w:rsidR="00F64776" w:rsidRDefault="00F64776" w:rsidP="00F64776">
      <w:pPr>
        <w:pStyle w:val="TextoNormal"/>
      </w:pPr>
      <w:r>
        <w:t>b) En relación con los juicios de aplicabilidad y relevancia sostiene el fiscal general del Estado que las insuficiencias apuntadas en relación con la articulación del trámite de audiencia redundan insoslayablemente sobre los mismos:</w:t>
      </w:r>
    </w:p>
    <w:p w14:paraId="0F79C175" w14:textId="77777777" w:rsidR="00F64776" w:rsidRDefault="00F64776" w:rsidP="00F64776">
      <w:pPr>
        <w:pStyle w:val="TextoNormal"/>
      </w:pPr>
    </w:p>
    <w:p w14:paraId="08C2A859" w14:textId="77777777" w:rsidR="00F64776" w:rsidRDefault="00F64776" w:rsidP="00F64776">
      <w:pPr>
        <w:pStyle w:val="TextoNormal"/>
      </w:pPr>
      <w:r>
        <w:t xml:space="preserve">(i) Respecto del juicio de aplicabilidad, reitera la previa argumentación efectuada al cuestionar la tramitación del incidente previo al planteamiento de la cuestión de inconstitucionalidad. Afirma que el Tribunal de Cuentas subsumió la conducta de la recurrente en el art. 17.3 b) de la Ley Orgánica 8/2007 y la sancionó conforme al art. 17 </w:t>
      </w:r>
      <w:r w:rsidRPr="00F64776">
        <w:rPr>
          <w:i/>
        </w:rPr>
        <w:t>bis</w:t>
      </w:r>
      <w:r>
        <w:t>.2 b) de la citada ley, y que el Tribunal Supremo consideró, sin discutirlo, que este precepto era aplicable. Sin embargo, a juicio del Ministerio Fiscal, por las razones antes expuestas, el precepto por el que se sancionan las infracciones no era aplicable a las mismas. En la medida en que el auto cuestiona la constitucionalidad de un precepto no indiscutiblemente aplicable al caso concreto, sin justificar —frente a la razonable duda que surge del propio texto de la ley— dicha aplicación, no se habría realizado correctamente el juicio de aplicabilidad.</w:t>
      </w:r>
    </w:p>
    <w:p w14:paraId="4272C5BD" w14:textId="77777777" w:rsidR="00F64776" w:rsidRDefault="00F64776" w:rsidP="00F64776">
      <w:pPr>
        <w:pStyle w:val="TextoNormal"/>
      </w:pPr>
    </w:p>
    <w:p w14:paraId="65700A0E" w14:textId="5593D973" w:rsidR="00F64776" w:rsidRDefault="00F64776" w:rsidP="00F64776">
      <w:pPr>
        <w:pStyle w:val="TextoNormal"/>
      </w:pPr>
      <w:r>
        <w:t xml:space="preserve">(ii) En relación con el juicio de relevancia, afirma el fiscal general del Estado que, por inevitable derivación de lo razonado acerca del juicio de aplicabilidad, tampoco se cumpliría este presupuesto procesal. A mayor abundamiento añade que el auto de planteamiento descarta dos de las alegaciones de la formación Sí se puede, pero no se pronuncia sobre la alegación contenida en la demanda relativa a la indebida apreciación de la culpabilidad de su conducta por parte de la resolución sancionadora. En su opinión, esta queja debió resolverse con carácter previo al planteamiento de la cuestión, pues de entender que no existió ningún género de culpa por parte de la demandante, no sería de aplicación ningún precepto sancionador, lo que supondría que el art. 17 </w:t>
      </w:r>
      <w:r w:rsidRPr="00F64776">
        <w:rPr>
          <w:i/>
        </w:rPr>
        <w:t>bis</w:t>
      </w:r>
      <w:r>
        <w:t>.2 b) de la Ley Orgánica 8/2007 no sería la norma de cuya validez dependería el fallo. Ello conlleva que la cuestión de inconstitucionalidad se convierta en un juicio abstracto de la norma cuestionada.</w:t>
      </w:r>
    </w:p>
    <w:p w14:paraId="483FBD05" w14:textId="77777777" w:rsidR="00F64776" w:rsidRDefault="00F64776" w:rsidP="00F64776">
      <w:pPr>
        <w:pStyle w:val="TextoNormal"/>
      </w:pPr>
    </w:p>
    <w:p w14:paraId="4F0FE3A5" w14:textId="77777777" w:rsidR="00F64776" w:rsidRDefault="00F64776" w:rsidP="00F64776">
      <w:pPr>
        <w:pStyle w:val="TextoNormalNegritaCentrado"/>
        <w:keepNext/>
      </w:pPr>
      <w:r>
        <w:t>II. Fundamentos jurídicos</w:t>
      </w:r>
    </w:p>
    <w:p w14:paraId="4FCE6136" w14:textId="188C07B2" w:rsidR="00F64776" w:rsidRDefault="00F64776" w:rsidP="00F64776">
      <w:pPr>
        <w:pStyle w:val="TextoNormalNegritaCentrado"/>
        <w:keepNext/>
      </w:pPr>
    </w:p>
    <w:p w14:paraId="7F882C0E" w14:textId="77777777" w:rsidR="00F64776" w:rsidRDefault="00F64776" w:rsidP="00F64776">
      <w:pPr>
        <w:pStyle w:val="TextoNormal"/>
      </w:pPr>
      <w:r w:rsidRPr="00F64776">
        <w:rPr>
          <w:rStyle w:val="NumeroAFNegritaCaracter"/>
        </w:rPr>
        <w:t>1</w:t>
      </w:r>
      <w:r>
        <w:t xml:space="preserve">. La Sección Cuarta de la Sala de lo Contencioso-Administrativo del Tribunal Supremo plantea cuestión de inconstitucionalidad en relación con el inciso final del art. 17 </w:t>
      </w:r>
      <w:r w:rsidRPr="00F64776">
        <w:rPr>
          <w:i/>
        </w:rPr>
        <w:t>bis</w:t>
      </w:r>
      <w:r>
        <w:t xml:space="preserve"> 2 b) de la Ley Orgánica 8/2007, de 4 de julio, sobre financiación de partidos políticos, por contravenir el art. 25.1 CE, en conexión con el principio de proporcionalidad, y el art. 9.3 CE.</w:t>
      </w:r>
    </w:p>
    <w:p w14:paraId="2BE89726" w14:textId="77777777" w:rsidR="00F64776" w:rsidRDefault="00F64776" w:rsidP="00F64776">
      <w:pPr>
        <w:pStyle w:val="TextoNormal"/>
      </w:pPr>
    </w:p>
    <w:p w14:paraId="06D230D7" w14:textId="77777777" w:rsidR="00F64776" w:rsidRDefault="00F64776" w:rsidP="00F64776">
      <w:pPr>
        <w:pStyle w:val="TextoNormal"/>
      </w:pPr>
      <w:r>
        <w:t xml:space="preserve">a) El art. 17 </w:t>
      </w:r>
      <w:r w:rsidRPr="00F64776">
        <w:rPr>
          <w:i/>
        </w:rPr>
        <w:t>bis</w:t>
      </w:r>
      <w:r>
        <w:t xml:space="preserve"> 2 b) de la Ley Orgánica 8/2007 dispone:</w:t>
      </w:r>
    </w:p>
    <w:p w14:paraId="7CFC5E3D" w14:textId="77777777" w:rsidR="00F64776" w:rsidRDefault="00F64776" w:rsidP="00F64776">
      <w:pPr>
        <w:pStyle w:val="TextoNormal"/>
      </w:pPr>
    </w:p>
    <w:p w14:paraId="500F8EB5" w14:textId="77777777" w:rsidR="00F64776" w:rsidRDefault="00F64776" w:rsidP="00F64776">
      <w:pPr>
        <w:pStyle w:val="TextoNormal"/>
      </w:pPr>
      <w:r>
        <w:t>“Dos. Por la comisión de infracciones graves se impondrán las siguientes sanciones:</w:t>
      </w:r>
    </w:p>
    <w:p w14:paraId="3399F5A6" w14:textId="77777777" w:rsidR="00F64776" w:rsidRDefault="00F64776" w:rsidP="00F64776">
      <w:pPr>
        <w:pStyle w:val="TextoNormal"/>
      </w:pPr>
    </w:p>
    <w:p w14:paraId="075C6C31" w14:textId="77777777" w:rsidR="00F64776" w:rsidRDefault="00F64776" w:rsidP="00F64776">
      <w:pPr>
        <w:pStyle w:val="TextoNormal"/>
      </w:pPr>
      <w:r>
        <w:t>[…]</w:t>
      </w:r>
    </w:p>
    <w:p w14:paraId="002C190A" w14:textId="77777777" w:rsidR="00F64776" w:rsidRDefault="00F64776" w:rsidP="00F64776">
      <w:pPr>
        <w:pStyle w:val="TextoNormal"/>
      </w:pPr>
    </w:p>
    <w:p w14:paraId="652A9176" w14:textId="77777777" w:rsidR="00F64776" w:rsidRDefault="00F64776" w:rsidP="00F64776">
      <w:pPr>
        <w:pStyle w:val="TextoNormal"/>
      </w:pPr>
      <w:r>
        <w:t>b) Por las infracciones previstas en el artículo 17 apartado dos [tres] b), una sanción cuyo importe irá del doble al quíntuplo del exceso del gasto producido sin que en ningún caso pueda ser inferior a 25 000 €”.</w:t>
      </w:r>
    </w:p>
    <w:p w14:paraId="0A7D54AF" w14:textId="77777777" w:rsidR="00F64776" w:rsidRDefault="00F64776" w:rsidP="00F64776">
      <w:pPr>
        <w:pStyle w:val="TextoNormal"/>
      </w:pPr>
    </w:p>
    <w:p w14:paraId="63C87956" w14:textId="77777777" w:rsidR="00F64776" w:rsidRDefault="00F64776" w:rsidP="00F64776">
      <w:pPr>
        <w:pStyle w:val="TextoNormal"/>
      </w:pPr>
      <w:r>
        <w:t>De dicho precepto, únicamente es objeto de la presente cuestión de inconstitucionalidad el inciso final “sin que en ningún caso pueda ser inferior a 25 000 €”.</w:t>
      </w:r>
    </w:p>
    <w:p w14:paraId="66CBFA72" w14:textId="77777777" w:rsidR="00F64776" w:rsidRDefault="00F64776" w:rsidP="00F64776">
      <w:pPr>
        <w:pStyle w:val="TextoNormal"/>
      </w:pPr>
    </w:p>
    <w:p w14:paraId="3AF5448F" w14:textId="77777777" w:rsidR="00F64776" w:rsidRDefault="00F64776" w:rsidP="00F64776">
      <w:pPr>
        <w:pStyle w:val="TextoNormal"/>
      </w:pPr>
      <w:r>
        <w:t>b) Como ha quedado expuesto en los antecedentes, el órgano judicial considera que el inciso legal cuestionado vulnera el art. 25 CE, en conexión con el principio de proporcionalidad, así como el art. 9.3 CE, pues el importe mínimo de 25 000 € de las sanciones aplicables comporta una respuesta sancionadora excesiva con respecto al desvalor del hecho ilícito sancionado, carente de justificación objetiva. Respecto del caso concreto, explica que la desproporción es manifiesta y difícilmente discutible, pues la suma de las dos sanciones impuestas a la formación política Sí se puede es de 50 000 €, cifra superior al total de lo gastado —con o sin exceso— por la demandante.</w:t>
      </w:r>
    </w:p>
    <w:p w14:paraId="254E78CF" w14:textId="77777777" w:rsidR="00F64776" w:rsidRDefault="00F64776" w:rsidP="00F64776">
      <w:pPr>
        <w:pStyle w:val="TextoNormal"/>
      </w:pPr>
    </w:p>
    <w:p w14:paraId="67DC1172" w14:textId="3BCE6904" w:rsidR="00F64776" w:rsidRDefault="00F64776" w:rsidP="00F64776">
      <w:pPr>
        <w:pStyle w:val="TextoNormal"/>
      </w:pPr>
      <w:r>
        <w:t>c) El fiscal general del Estado, en el trámite previsto en el art. 37.1 LOTC, se ha opuesto a la admisión de la presente cuestión de inconstitucionalidad por entender que no se cumplen los requisitos procesales exigidos en el art. 35 LOTC.</w:t>
      </w:r>
    </w:p>
    <w:p w14:paraId="0FF7B2B5" w14:textId="77777777" w:rsidR="00F64776" w:rsidRDefault="00F64776" w:rsidP="00F64776">
      <w:pPr>
        <w:pStyle w:val="TextoNormal"/>
      </w:pPr>
    </w:p>
    <w:p w14:paraId="1EF17B36" w14:textId="68F694B7" w:rsidR="00F64776" w:rsidRDefault="00F64776" w:rsidP="00F64776">
      <w:pPr>
        <w:pStyle w:val="TextoNormal"/>
      </w:pPr>
      <w:r w:rsidRPr="00F64776">
        <w:rPr>
          <w:rStyle w:val="NumeroAFNegritaCaracter"/>
        </w:rPr>
        <w:t>2</w:t>
      </w:r>
      <w:r>
        <w:t xml:space="preserve">. El art. 37.1 LOTC permite a este tribunal rechazar </w:t>
      </w:r>
      <w:r w:rsidRPr="00F64776">
        <w:rPr>
          <w:i/>
        </w:rPr>
        <w:t>a limine</w:t>
      </w:r>
      <w:r>
        <w:t xml:space="preserve"> las cuestiones de inconstitucionalidad, mediante auto y sin otra audiencia que la del fiscal general del Estado, cuando faltaren las condiciones procesales o fuere notoriamente infundada la cuestión suscitada. El análisis de la cuestión de inconstitucionalidad que se somete a nuestra consideración revela la concurrencia del primer motivo de inadmisión, pues no satisface las exigencias para promoverla que imponen los arts. 163 CE y 35 a 37 LOTC.</w:t>
      </w:r>
    </w:p>
    <w:p w14:paraId="07A4431E" w14:textId="77777777" w:rsidR="00F64776" w:rsidRDefault="00F64776" w:rsidP="00F64776">
      <w:pPr>
        <w:pStyle w:val="TextoNormal"/>
      </w:pPr>
    </w:p>
    <w:p w14:paraId="142DCA54" w14:textId="77777777" w:rsidR="00F64776" w:rsidRDefault="00F64776" w:rsidP="00F64776">
      <w:pPr>
        <w:pStyle w:val="TextoNormal"/>
      </w:pPr>
      <w:r w:rsidRPr="00F64776">
        <w:rPr>
          <w:rStyle w:val="NumeroAFNegritaCaracter"/>
        </w:rPr>
        <w:t>3</w:t>
      </w:r>
      <w:r>
        <w:t>. Este tribunal constata que la realización del trámite de audiencia por el órgano judicial no se ajusta a las determinaciones del art. 35.2 LOTC, tal y como se expone a continuación:</w:t>
      </w:r>
    </w:p>
    <w:p w14:paraId="10FA7930" w14:textId="77777777" w:rsidR="00F64776" w:rsidRDefault="00F64776" w:rsidP="00F64776">
      <w:pPr>
        <w:pStyle w:val="TextoNormal"/>
      </w:pPr>
    </w:p>
    <w:p w14:paraId="21079C85" w14:textId="77777777" w:rsidR="00F64776" w:rsidRDefault="00F64776" w:rsidP="00F64776">
      <w:pPr>
        <w:pStyle w:val="TextoNormal"/>
      </w:pPr>
      <w:r>
        <w:t>a) Como hemos indicado en ocasiones anteriores, el trámite de audiencia previsto en el art. 35.2 LOTC tiene el doble objetivo de garantizar la audiencia de las partes y del Ministerio Fiscal ante una posible decisión judicial de tanta entidad como es el abrir un proceso de inconstitucionalidad y poner a disposición del juez un medio que le permita conocer la opinión de los sujetos interesados con el fin de facilitar su reflexión sobre la conveniencia o no de proceder a la apertura de dicho proceso; se trata, por lo tanto, de un requisito de todo punto inexcusable y cuya eventual omisión constituiría un defecto en el modo de proposición de la cuestión que permitiría, tras el trámite de admisión previsto en el art. 37 LOTC, la inadmisión de la cuestión así suscitada (ATC 65/2021, de 1 de junio, FJ 2, y las resoluciones allí citadas).</w:t>
      </w:r>
    </w:p>
    <w:p w14:paraId="437AE398" w14:textId="77777777" w:rsidR="00F64776" w:rsidRDefault="00F64776" w:rsidP="00F64776">
      <w:pPr>
        <w:pStyle w:val="TextoNormal"/>
      </w:pPr>
    </w:p>
    <w:p w14:paraId="6D771E71" w14:textId="77777777" w:rsidR="00F64776" w:rsidRDefault="00F64776" w:rsidP="00F64776">
      <w:pPr>
        <w:pStyle w:val="TextoNormal"/>
      </w:pPr>
      <w:r>
        <w:t>De las actuaciones resulta que la providencia de 22 de noviembre de 2022 únicamente concedió audiencia al Ministerio Fiscal, omitiendo abrir el trámite alegatorio para las partes en el proceso contencioso administrativo, como impone imperativamente el art 35.2 LOTC.</w:t>
      </w:r>
    </w:p>
    <w:p w14:paraId="298D8DD9" w14:textId="77777777" w:rsidR="00F64776" w:rsidRDefault="00F64776" w:rsidP="00F64776">
      <w:pPr>
        <w:pStyle w:val="TextoNormal"/>
      </w:pPr>
    </w:p>
    <w:p w14:paraId="2D835EE2" w14:textId="77777777" w:rsidR="00F64776" w:rsidRDefault="00F64776" w:rsidP="00F64776">
      <w:pPr>
        <w:pStyle w:val="TextoNormal"/>
      </w:pPr>
      <w:r>
        <w:t>Esta defectuosa articulación del trámite de audiencia constituye motivo de inadmisión de la cuestión de inconstitucionalidad. Este tribunal ha venido reiterando la necesidad de realizar correctamente el trámite de audiencia, insistiendo en la importancia de que todas las partes sean consultadas en relación con el planteamiento de la cuestión de inconstitucionalidad (por todos, ATC 13/2008, de 16 de enero). Asimismo, la doctrina constitucional viene señalando que el art. 35.2 LOTC dispone claramente que el plazo de diez días para que aleguen las partes y el Ministerio Fiscal ha de ser necesariamente común y no sucesivo (AATC 174/2007, de 27 de febrero, FJ 2; 127/2008, de 22 de mayo, FJ 2, y 220/2012, de 27 de noviembre, FJ 4).</w:t>
      </w:r>
    </w:p>
    <w:p w14:paraId="4212786D" w14:textId="77777777" w:rsidR="00F64776" w:rsidRDefault="00F64776" w:rsidP="00F64776">
      <w:pPr>
        <w:pStyle w:val="TextoNormal"/>
      </w:pPr>
    </w:p>
    <w:p w14:paraId="73A59E51" w14:textId="77777777" w:rsidR="00F64776" w:rsidRDefault="00F64776" w:rsidP="00F64776">
      <w:pPr>
        <w:pStyle w:val="TextoNormal"/>
      </w:pPr>
      <w:r>
        <w:t>Como se ha recogido en los antecedentes, el defecto formal en la apertura del trámite de audiencia fue puesto de manifiesto por el Ministerio Fiscal en su escrito de 1 de diciembre de 2022, pese a lo cual la Sala dictó auto de planteamiento considerando que las apreciaciones del fiscal carecían de base porque las partes ya habían manifestado su conformidad con el planteamiento de la cuestión de inconstitucionalidad, porque el Ministerio Fiscal había tenido acceso a las actuaciones y porque el problema constitucional suscitado era de una claridad meridiana.</w:t>
      </w:r>
    </w:p>
    <w:p w14:paraId="24022D69" w14:textId="77777777" w:rsidR="00F64776" w:rsidRDefault="00F64776" w:rsidP="00F64776">
      <w:pPr>
        <w:pStyle w:val="TextoNormal"/>
      </w:pPr>
    </w:p>
    <w:p w14:paraId="4937B263" w14:textId="77777777" w:rsidR="00F64776" w:rsidRDefault="00F64776" w:rsidP="00F64776">
      <w:pPr>
        <w:pStyle w:val="TextoNormal"/>
      </w:pPr>
      <w:r>
        <w:t xml:space="preserve">Tales consideraciones en nada obstan a la efectiva apreciación de la concurrencia del defecto procesal advertido por el fiscal general del Estado en sus alegaciones, pues ello equivaldría a minusvalorar la naturaleza y la importancia del trámite de audiencia, que, como razonó el ATC 220/2012, FJ 4, no es una secuencia del proceso </w:t>
      </w:r>
      <w:r w:rsidRPr="00F64776">
        <w:rPr>
          <w:i/>
        </w:rPr>
        <w:t>a quo</w:t>
      </w:r>
      <w:r>
        <w:t>, sino una pieza preliminar del posterior proceso constitucional.</w:t>
      </w:r>
    </w:p>
    <w:p w14:paraId="7B390FE8" w14:textId="77777777" w:rsidR="00F64776" w:rsidRDefault="00F64776" w:rsidP="00F64776">
      <w:pPr>
        <w:pStyle w:val="TextoNormal"/>
      </w:pPr>
    </w:p>
    <w:p w14:paraId="0AD17294" w14:textId="77777777" w:rsidR="00F64776" w:rsidRDefault="00F64776" w:rsidP="00F64776">
      <w:pPr>
        <w:pStyle w:val="TextoNormal"/>
      </w:pPr>
      <w:r>
        <w:t>En este sentido, conviene apuntar que sobre un caso análogo, el ATC 104/2011, de 5 de julio, consideró como motivo de inadmisión de la cuestión de inconstitucionalidad allí examinada la apertura defectuosa del trámite de audiencia, en un supuesto en que únicamente se había entablado el mismo con el Ministerio Fiscal y no con las partes personadas, que ya se habían pronunciado sobre la procedencia del planteamiento de la cuestión en el acto del juicio oral. Dijimos entonces que con este modo de proceder “se incumple tanto la letra como el sentido mismo de lo dispuesto en los arts. 35.2 y 36 LOTC” porque “la mera constancia de las alegaciones de las partes en el acto del juicio acerca de las pretensiones contenidas en las demandas no puede hacer las veces del trámite de audiencia que al efecto prevé el repetido art. 35.2 LOTC, pues, si así fuera, las posibilidades de alegar y de exponer sus respectivos pareceres quedarían constreñidas y desfigurado, con ello, este trámite previo al proceso constitucional” (FJ 2). Estas consideraciones resultan aplicables al presente caso.</w:t>
      </w:r>
    </w:p>
    <w:p w14:paraId="51C17B53" w14:textId="77777777" w:rsidR="00F64776" w:rsidRDefault="00F64776" w:rsidP="00F64776">
      <w:pPr>
        <w:pStyle w:val="TextoNormal"/>
      </w:pPr>
    </w:p>
    <w:p w14:paraId="1CE1E280" w14:textId="77777777" w:rsidR="00F64776" w:rsidRDefault="00F64776" w:rsidP="00F64776">
      <w:pPr>
        <w:pStyle w:val="TextoNormal"/>
      </w:pPr>
      <w:r>
        <w:t xml:space="preserve">A mayor abundamiento, si en el ATC 144/2020, de 17 de noviembre, rechazamos que pudiera entenderse correctamente evacuado el trámite únicamente con el Ministerio Fiscal y la parte demandada, porque en el trámite de audiencia deben participar todas las partes intervinientes en el proceso </w:t>
      </w:r>
      <w:r w:rsidRPr="00F64776">
        <w:rPr>
          <w:i/>
        </w:rPr>
        <w:t>a quo</w:t>
      </w:r>
      <w:r>
        <w:t xml:space="preserve">, con independencia de que sea la actora la que haya interesado el planteamiento de la cuestión de inconstitucionalidad [FJ 3 c)], </w:t>
      </w:r>
      <w:r w:rsidRPr="00F64776">
        <w:rPr>
          <w:i/>
        </w:rPr>
        <w:t>a fortiori</w:t>
      </w:r>
      <w:r>
        <w:t xml:space="preserve"> habrá de censurarse que el trámite se lleve a cabo únicamente con el Ministerio Fiscal. Pues, como advierte la STC 133/2004, de 22 de julio, FJ 1, la falta de ese trámite de audiencia previa no puede entenderse suplida por eventuales alegaciones formuladas al respecto por las partes en la instancia.</w:t>
      </w:r>
    </w:p>
    <w:p w14:paraId="449A46DE" w14:textId="77777777" w:rsidR="00F64776" w:rsidRDefault="00F64776" w:rsidP="00F64776">
      <w:pPr>
        <w:pStyle w:val="TextoNormal"/>
      </w:pPr>
    </w:p>
    <w:p w14:paraId="0FA11846" w14:textId="77777777" w:rsidR="00F64776" w:rsidRDefault="00F64776" w:rsidP="00F64776">
      <w:pPr>
        <w:pStyle w:val="TextoNormal"/>
      </w:pPr>
      <w:r>
        <w:t>b) Por otro lado, la providencia de 22 de noviembre de 2022 no indicaba el precepto legal sobre cuya constitucionalidad albergaba dudas la Sala, ni tampoco mencionaba los preceptos constitucionales que se reputaban infringidos por aquel, sino que se limitaba a remitirse a los escritos de las partes demandante y demandada en el proces</w:t>
      </w:r>
      <w:r w:rsidRPr="00F64776">
        <w:rPr>
          <w:i/>
        </w:rPr>
        <w:t>o a q</w:t>
      </w:r>
      <w:r>
        <w:t>uo.</w:t>
      </w:r>
    </w:p>
    <w:p w14:paraId="030EFA01" w14:textId="77777777" w:rsidR="00F64776" w:rsidRDefault="00F64776" w:rsidP="00F64776">
      <w:pPr>
        <w:pStyle w:val="TextoNormal"/>
      </w:pPr>
    </w:p>
    <w:p w14:paraId="453A582A" w14:textId="77777777" w:rsidR="00F64776" w:rsidRDefault="00F64776" w:rsidP="00F64776">
      <w:pPr>
        <w:pStyle w:val="TextoNormal"/>
      </w:pPr>
      <w:r>
        <w:t xml:space="preserve">(i) La doctrina constitucional ha venido reiterando la necesidad de que el órgano judicial exprese, en la providencia que abre el trámite </w:t>
      </w:r>
      <w:r w:rsidRPr="00F64776">
        <w:rPr>
          <w:i/>
        </w:rPr>
        <w:t>ex</w:t>
      </w:r>
      <w:r>
        <w:t xml:space="preserve"> art. 35.2 LOTC, su propia duda de constitucionalidad [ATC 144/2020, FJ 3 a)]. En el ATC 195/2015, de 18 de noviembre, FJ 5, afirmamos que la duda de constitucionalidad que da lugar a que el Tribunal Constitucional se pronuncie en este cauce procesal ha de ser necesariamente del órgano judicial, que no se puede limitar, a la hora de promover una cuestión de inconstitucionalidad, a remitirse a las dudas que sobre la constitucionalidad de una norma hayan expresado las partes, doctrina constitucional que se ha referido tanto a la regularidad del juicio de relevancia realizado en el auto de planteamiento (ATC 95/2004, de 23 de marzo, FJ 2) como a la corrección de la providencia por la que se otorga el trámite de audiencia </w:t>
      </w:r>
      <w:r w:rsidRPr="00F64776">
        <w:rPr>
          <w:i/>
        </w:rPr>
        <w:t>ex</w:t>
      </w:r>
      <w:r>
        <w:t xml:space="preserve"> art. 35.2 (ATC 104/2011, FJ 2).</w:t>
      </w:r>
    </w:p>
    <w:p w14:paraId="5FD9A7C7" w14:textId="77777777" w:rsidR="00F64776" w:rsidRDefault="00F64776" w:rsidP="00F64776">
      <w:pPr>
        <w:pStyle w:val="TextoNormal"/>
      </w:pPr>
    </w:p>
    <w:p w14:paraId="3F0A9525" w14:textId="77777777" w:rsidR="00F64776" w:rsidRDefault="00F64776" w:rsidP="00F64776">
      <w:pPr>
        <w:pStyle w:val="TextoNormal"/>
      </w:pPr>
      <w:r>
        <w:t>Por consiguiente, en la medida en que la providencia por la que se concede el trámite de audiencia al fiscal no hace otra cosa que remitirse a lo que sobre la procedencia de plantear la cuestión de inconstitucionalidad respecto de una norma ha expresado la parte demandante, y respecto de la cual ha manifestado su conformidad la Abogacía del Estado, actuando como mera transmisión de las alegaciones de las partes en el procedimiento, no puede entenderse realizado correctamente el trámite de audiencia</w:t>
      </w:r>
      <w:r w:rsidRPr="00F64776">
        <w:rPr>
          <w:i/>
        </w:rPr>
        <w:t xml:space="preserve"> e</w:t>
      </w:r>
      <w:r>
        <w:t>x art. 35.2 LOTC.</w:t>
      </w:r>
    </w:p>
    <w:p w14:paraId="25E92BC5" w14:textId="77777777" w:rsidR="00F64776" w:rsidRDefault="00F64776" w:rsidP="00F64776">
      <w:pPr>
        <w:pStyle w:val="TextoNormal"/>
      </w:pPr>
    </w:p>
    <w:p w14:paraId="38EE37FB" w14:textId="77777777" w:rsidR="00F64776" w:rsidRDefault="00F64776" w:rsidP="00F64776">
      <w:pPr>
        <w:pStyle w:val="TextoNormal"/>
      </w:pPr>
      <w:r>
        <w:t>(ii) A ello ha de añadirse que la providencia por la que se dio audiencia al Ministerio Fiscal omitió la mención de la norma legal sobre cuya constitucionalidad se duda, así como de los preceptos constitucionales que resultarían vulnerados por aquella. Hemos afirmado, en el ATC 144/2020, FJ 3 b), con cita de la STC 166/2007, de 4 de julio, FJ 6, que la providencia a través de la cual se otorga el trámite de audiencia a las partes y al Ministerio Fiscal ha de especificar los preceptos legales cuestionados y los preceptos constitucionales que se consideren vulnerados, o bien, a falta de una cita concreta de los preceptos constitucionales supuestamente vulnerados, ha de identificar mínimamente la duda de constitucionalidad (indeterminación relativa) ante quienes han de ser oídos, para que sobre la misma puedan versar las alegaciones, exigiendo en todo caso tal indeterminación relativa que las partes hayan podido conocer el planteamiento de la inconstitucionalidad realizado por el órgano judicial y, atendiendo a las circunstancias del caso, situarlo en sus exactos términos constitucionales y pronunciarse sobre él.</w:t>
      </w:r>
    </w:p>
    <w:p w14:paraId="10B78FA3" w14:textId="77777777" w:rsidR="00F64776" w:rsidRDefault="00F64776" w:rsidP="00F64776">
      <w:pPr>
        <w:pStyle w:val="TextoNormal"/>
      </w:pPr>
    </w:p>
    <w:p w14:paraId="02C19A47" w14:textId="4B9C4849" w:rsidR="00F64776" w:rsidRDefault="00F64776" w:rsidP="00F64776">
      <w:pPr>
        <w:pStyle w:val="TextoNormal"/>
      </w:pPr>
      <w:r>
        <w:t>En el caso que nos ocupa, la providencia de 22 de noviembre de 2022 ni citaba el precepto legal al que se refería la duda de constitucionalidad ni tampoco hacía mención al precepto constitucional que se reputaba vulnerado. Se constata, por lo tanto, que los términos en los que se dio audiencia al Ministerio Fiscal difícilmente pueden servir para que las alegaciones realizadas en dicho trámite cumplan su función de colaboración en el proceso de formación de la decisión del órgano judicial. Como señaló el ATC 104/2011, FJ 2, “(t)ales alegaciones deberían versar fundamentalmente sobre la vinculación entre la norma citada y apreciada por el órgano judicial como cuestionable y los supuestos de hecho que se dan en el caso sometido a su resolución, así como sobre el juicio de conformidad entre la norma y la Constitución, lo que requiere de manera inexcusable, como ya se ha dicho, que la providencia que otorga la audiencia especifique los preceptos legales cuestionados y las normas constitucionales que el órgano judicial estima de posible vulneración por aquéllos, quedando vinculado el órgano judicial por los términos en que se haya planteado dicho trámite a la hora de elevar la cuestión de inconstitucionalidad (por todos, AATC 29/2003, de 28 de enero, FJ único; 60/2004, de 24 de febrero, FJ 2, y 96/2004, de 23 de marzo, FJ 2)”. Y en este caso, como dijimos entonces respecto del asunto examinado en el ATC 104/2011, nada de ello ha tenido lugar.</w:t>
      </w:r>
    </w:p>
    <w:p w14:paraId="7665C080" w14:textId="77777777" w:rsidR="00F64776" w:rsidRDefault="00F64776" w:rsidP="00F64776">
      <w:pPr>
        <w:pStyle w:val="TextoNormal"/>
      </w:pPr>
    </w:p>
    <w:p w14:paraId="37AFE8B6" w14:textId="561B056C" w:rsidR="00F64776" w:rsidRDefault="00F64776" w:rsidP="00F64776">
      <w:pPr>
        <w:pStyle w:val="TextoNormal"/>
      </w:pPr>
      <w:r w:rsidRPr="00F64776">
        <w:rPr>
          <w:rStyle w:val="NumeroAFNegritaCaracter"/>
        </w:rPr>
        <w:t>4</w:t>
      </w:r>
      <w:r>
        <w:t>. En conclusión, ha existido un patente incumplimiento de un requisito procesal esencial, lo que debe determinar la inadmisión de la cuestión de inconstitucionalidad.</w:t>
      </w:r>
    </w:p>
    <w:p w14:paraId="105366D0" w14:textId="77777777" w:rsidR="00F64776" w:rsidRDefault="00F64776" w:rsidP="00F64776">
      <w:pPr>
        <w:pStyle w:val="TextoNormal"/>
      </w:pPr>
    </w:p>
    <w:p w14:paraId="5459F475" w14:textId="77777777" w:rsidR="00F64776" w:rsidRDefault="00F64776" w:rsidP="00F64776">
      <w:pPr>
        <w:pStyle w:val="TextoNormal"/>
      </w:pPr>
      <w:r>
        <w:t>Por lo expuesto, el Pleno</w:t>
      </w:r>
    </w:p>
    <w:p w14:paraId="326AB5EC" w14:textId="775A0AB7" w:rsidR="00F64776" w:rsidRDefault="00F64776" w:rsidP="00F64776">
      <w:pPr>
        <w:pStyle w:val="TextoNormal"/>
      </w:pPr>
    </w:p>
    <w:p w14:paraId="0E1FDC23" w14:textId="77777777" w:rsidR="00F64776" w:rsidRDefault="00F64776" w:rsidP="00F64776">
      <w:pPr>
        <w:pStyle w:val="TextoNormalCentrado"/>
      </w:pPr>
      <w:r>
        <w:t>ACUERDA</w:t>
      </w:r>
    </w:p>
    <w:p w14:paraId="2E8736F8" w14:textId="1454A3E2" w:rsidR="00F64776" w:rsidRDefault="00F64776" w:rsidP="00F64776">
      <w:pPr>
        <w:pStyle w:val="TextoNormalCentrado"/>
      </w:pPr>
    </w:p>
    <w:p w14:paraId="319F8023" w14:textId="4F038C91" w:rsidR="00F64776" w:rsidRDefault="00F64776" w:rsidP="00F64776">
      <w:pPr>
        <w:pStyle w:val="TextoNormal"/>
      </w:pPr>
      <w:r>
        <w:t>Inadmitir a trámite la presente cuestión de inconstitucionalidad.</w:t>
      </w:r>
    </w:p>
    <w:p w14:paraId="4BEE3566" w14:textId="77777777" w:rsidR="00F64776" w:rsidRDefault="00F64776" w:rsidP="00F64776">
      <w:pPr>
        <w:pStyle w:val="TextoNormal"/>
      </w:pPr>
    </w:p>
    <w:p w14:paraId="6F8A483A" w14:textId="77777777" w:rsidR="00F64776" w:rsidRDefault="00F64776" w:rsidP="00F64776">
      <w:pPr>
        <w:pStyle w:val="TextoNormal"/>
      </w:pPr>
      <w:r>
        <w:t>Madrid, a seis de noviembre de dos mil veintitrés.</w:t>
      </w:r>
    </w:p>
    <w:p w14:paraId="58E30E73" w14:textId="1C9A9CED" w:rsidR="00F64776" w:rsidRDefault="00F64776">
      <w:pPr>
        <w:spacing w:after="160" w:line="278" w:lineRule="auto"/>
        <w:rPr>
          <w:rFonts w:ascii="Times New Roman" w:eastAsia="Times New Roman" w:hAnsi="Times New Roman" w:cs="Times New Roman"/>
          <w:sz w:val="24"/>
          <w:szCs w:val="24"/>
          <w:lang w:eastAsia="es-ES"/>
        </w:rPr>
      </w:pPr>
      <w:r>
        <w:br w:type="page"/>
      </w:r>
    </w:p>
    <w:p w14:paraId="29B0EC52" w14:textId="77777777" w:rsidR="00F64776" w:rsidRDefault="00F64776" w:rsidP="00F64776">
      <w:pPr>
        <w:pStyle w:val="TtuloResolucin"/>
      </w:pPr>
      <w:bookmarkStart w:id="312" w:name="AUTO_2023_527"/>
      <w:r>
        <w:t>AUTO 527/2023, de 6 de noviembre de 2023</w:t>
      </w:r>
    </w:p>
    <w:bookmarkEnd w:id="312"/>
    <w:p w14:paraId="345932D5" w14:textId="77777777" w:rsidR="00F64776" w:rsidRDefault="00F64776" w:rsidP="00F64776">
      <w:pPr>
        <w:pStyle w:val="TtuloResolucin"/>
      </w:pPr>
      <w:r>
        <w:t>Sección Tercera</w:t>
      </w:r>
    </w:p>
    <w:p w14:paraId="4014DC1F" w14:textId="77777777" w:rsidR="00F64776" w:rsidRDefault="00F64776" w:rsidP="00F64776">
      <w:pPr>
        <w:pStyle w:val="TextoNormalCentrado"/>
      </w:pPr>
      <w:r>
        <w:t>ECLI:ES:TC:2023:527A</w:t>
      </w:r>
    </w:p>
    <w:p w14:paraId="618C7838" w14:textId="03D29117" w:rsidR="00F64776" w:rsidRDefault="00F64776" w:rsidP="00F64776">
      <w:pPr>
        <w:pStyle w:val="TextoNormalCentrado"/>
      </w:pPr>
    </w:p>
    <w:p w14:paraId="283CBAE2" w14:textId="77777777" w:rsidR="00F64776" w:rsidRDefault="00F64776" w:rsidP="00F64776">
      <w:pPr>
        <w:pStyle w:val="SntesisDescriptiva"/>
      </w:pPr>
      <w:r>
        <w:t>Excms. Srs. doña Inmaculada Montalbán Huertas y doña Laura Díez Bueso.</w:t>
      </w:r>
    </w:p>
    <w:p w14:paraId="4DC013EB" w14:textId="5CC90E76" w:rsidR="00F64776" w:rsidRDefault="00F64776" w:rsidP="00F64776">
      <w:pPr>
        <w:pStyle w:val="SntesisDescriptiva"/>
      </w:pPr>
    </w:p>
    <w:p w14:paraId="360CD32C" w14:textId="77777777" w:rsidR="00F64776" w:rsidRDefault="00F64776" w:rsidP="00F64776">
      <w:pPr>
        <w:pStyle w:val="SntesisDescriptiva"/>
      </w:pPr>
      <w:r>
        <w:t>Acepta una abstención en el recurso de amparo 2403-2023, promovido en proceso contencioso-administrativo.</w:t>
      </w:r>
    </w:p>
    <w:p w14:paraId="2AD86C97" w14:textId="4BCA96ED" w:rsidR="00F64776" w:rsidRDefault="00F64776" w:rsidP="00F64776">
      <w:pPr>
        <w:pStyle w:val="SntesisDescriptiva"/>
      </w:pPr>
    </w:p>
    <w:p w14:paraId="3047306C" w14:textId="77777777" w:rsidR="00F64776" w:rsidRDefault="00F64776" w:rsidP="00F64776">
      <w:pPr>
        <w:pStyle w:val="SntesisDescriptiva"/>
      </w:pPr>
    </w:p>
    <w:p w14:paraId="19A72330" w14:textId="77777777" w:rsidR="00F64776" w:rsidRDefault="00F64776" w:rsidP="00F64776">
      <w:pPr>
        <w:pStyle w:val="SntesisDescriptiva"/>
      </w:pPr>
    </w:p>
    <w:p w14:paraId="6F207842" w14:textId="77777777" w:rsidR="00F64776" w:rsidRDefault="00F64776" w:rsidP="00F64776">
      <w:pPr>
        <w:pStyle w:val="TextoNormalNegritaCentrado"/>
      </w:pPr>
      <w:r>
        <w:t>AUTO</w:t>
      </w:r>
    </w:p>
    <w:p w14:paraId="4ABA0A31" w14:textId="5E25E71F" w:rsidR="00F64776" w:rsidRDefault="00F64776" w:rsidP="00F64776">
      <w:pPr>
        <w:pStyle w:val="TextoNormalNegritaCentrado"/>
      </w:pPr>
    </w:p>
    <w:p w14:paraId="5371FC2D" w14:textId="77777777" w:rsidR="00F64776" w:rsidRDefault="00F64776" w:rsidP="00F64776">
      <w:pPr>
        <w:pStyle w:val="TextoNormalNegritaCentrado"/>
        <w:keepNext/>
      </w:pPr>
      <w:r>
        <w:t>I. Antecedentes</w:t>
      </w:r>
    </w:p>
    <w:p w14:paraId="650004FD" w14:textId="4CCC44A3" w:rsidR="00F64776" w:rsidRDefault="00F64776" w:rsidP="00F64776">
      <w:pPr>
        <w:pStyle w:val="TextoNormalNegritaCentrado"/>
        <w:keepNext/>
      </w:pPr>
    </w:p>
    <w:p w14:paraId="7D49C14D" w14:textId="66A054F5" w:rsidR="00F64776" w:rsidRDefault="00F64776" w:rsidP="00F64776">
      <w:pPr>
        <w:pStyle w:val="TextoNormal"/>
      </w:pPr>
      <w:r w:rsidRPr="00F64776">
        <w:rPr>
          <w:rStyle w:val="NumeroAFNegritaCaracter"/>
        </w:rPr>
        <w:t>1</w:t>
      </w:r>
      <w:r>
        <w:t>. Mediante escrito registrado en este tribunal el 11 de abril de 2023 la procuradora de los tribunales doña María Dolores González Company, en nombre y representación de don José Abel Álvarez Álvarez y otra persona más, y bajo la dirección de la letrada doña María Dolores Calderón Romero, formuló demanda de amparo contra la providencia de 20 de octubre de 2022 dictada por la Sección Primera de la Sala de lo Contencioso-Administrativo del Tribunal Supremo, en el recurso de casación 2285-2022.</w:t>
      </w:r>
    </w:p>
    <w:p w14:paraId="67276EA1" w14:textId="77777777" w:rsidR="00F64776" w:rsidRDefault="00F64776" w:rsidP="00F64776">
      <w:pPr>
        <w:pStyle w:val="TextoNormal"/>
      </w:pPr>
    </w:p>
    <w:p w14:paraId="6ABC3547" w14:textId="3CE47A61" w:rsidR="00F64776" w:rsidRDefault="00F64776" w:rsidP="00F64776">
      <w:pPr>
        <w:pStyle w:val="TextoNormal"/>
      </w:pPr>
      <w:r w:rsidRPr="00F64776">
        <w:rPr>
          <w:rStyle w:val="NumeroAFNegritaCaracter"/>
        </w:rPr>
        <w:t>2</w:t>
      </w:r>
      <w:r>
        <w:t>. Por escrito de 30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75F568C8" w14:textId="77777777" w:rsidR="00F64776" w:rsidRDefault="00F64776" w:rsidP="00F64776">
      <w:pPr>
        <w:pStyle w:val="TextoNormal"/>
      </w:pPr>
    </w:p>
    <w:p w14:paraId="6780F161" w14:textId="77777777" w:rsidR="00F64776" w:rsidRDefault="00F64776" w:rsidP="00F64776">
      <w:pPr>
        <w:pStyle w:val="TextoNormalNegritaCentrado"/>
        <w:keepNext/>
      </w:pPr>
      <w:r>
        <w:t>II. Fundamentos jurídicos</w:t>
      </w:r>
    </w:p>
    <w:p w14:paraId="7A3E6027" w14:textId="1A631DF5" w:rsidR="00F64776" w:rsidRDefault="00F64776" w:rsidP="00F64776">
      <w:pPr>
        <w:pStyle w:val="TextoNormalNegritaCentrado"/>
        <w:keepNext/>
      </w:pPr>
    </w:p>
    <w:p w14:paraId="13CE0B9A" w14:textId="2923F109"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7C6BD180" w14:textId="77777777" w:rsidR="00F64776" w:rsidRDefault="00F64776" w:rsidP="00F64776">
      <w:pPr>
        <w:pStyle w:val="TextoNormal"/>
      </w:pPr>
    </w:p>
    <w:p w14:paraId="052BD92E" w14:textId="77777777" w:rsidR="00F64776" w:rsidRDefault="00F64776" w:rsidP="00F64776">
      <w:pPr>
        <w:pStyle w:val="TextoNormal"/>
      </w:pPr>
      <w:r>
        <w:t>Por lo expuesto, la Sección</w:t>
      </w:r>
    </w:p>
    <w:p w14:paraId="4778B92E" w14:textId="52BF04E6" w:rsidR="00F64776" w:rsidRDefault="00F64776" w:rsidP="00F64776">
      <w:pPr>
        <w:pStyle w:val="TextoNormal"/>
      </w:pPr>
    </w:p>
    <w:p w14:paraId="2C5A8D5A" w14:textId="77777777" w:rsidR="00F64776" w:rsidRDefault="00F64776" w:rsidP="00F64776">
      <w:pPr>
        <w:pStyle w:val="TextoNormalCentrado"/>
      </w:pPr>
      <w:r>
        <w:t>ACUERDA</w:t>
      </w:r>
    </w:p>
    <w:p w14:paraId="53E47891" w14:textId="7EF2314F" w:rsidR="00F64776" w:rsidRDefault="00F64776" w:rsidP="00F64776">
      <w:pPr>
        <w:pStyle w:val="TextoNormalCentrado"/>
      </w:pPr>
    </w:p>
    <w:p w14:paraId="2F591F8F" w14:textId="091C8F23" w:rsidR="00F64776" w:rsidRDefault="00F64776" w:rsidP="00F64776">
      <w:pPr>
        <w:pStyle w:val="TextoNormal"/>
      </w:pPr>
      <w:r>
        <w:t>Estimar justificada la abstención formulada por el magistrado don César Tolosa Tribiño en el recurso de amparo núm. 2403-2023 y apartarle definitivamente del conocimiento del referido recurso y de todas sus incidencias.</w:t>
      </w:r>
    </w:p>
    <w:p w14:paraId="36091ECD" w14:textId="77777777" w:rsidR="00F64776" w:rsidRDefault="00F64776" w:rsidP="00F64776">
      <w:pPr>
        <w:pStyle w:val="TextoNormal"/>
      </w:pPr>
    </w:p>
    <w:p w14:paraId="49658417" w14:textId="77777777" w:rsidR="00F64776" w:rsidRDefault="00F64776" w:rsidP="00F64776">
      <w:pPr>
        <w:pStyle w:val="TextoNormal"/>
      </w:pPr>
      <w:r>
        <w:t>Madrid, a seis de noviembre de dos mil veintitrés.</w:t>
      </w:r>
    </w:p>
    <w:p w14:paraId="42D07E35" w14:textId="6EF4BA0E" w:rsidR="00F64776" w:rsidRDefault="00F64776">
      <w:pPr>
        <w:spacing w:after="160" w:line="278" w:lineRule="auto"/>
        <w:rPr>
          <w:rFonts w:ascii="Times New Roman" w:eastAsia="Times New Roman" w:hAnsi="Times New Roman" w:cs="Times New Roman"/>
          <w:sz w:val="24"/>
          <w:szCs w:val="24"/>
          <w:lang w:eastAsia="es-ES"/>
        </w:rPr>
      </w:pPr>
      <w:r>
        <w:br w:type="page"/>
      </w:r>
    </w:p>
    <w:p w14:paraId="275B4F67" w14:textId="77777777" w:rsidR="00F64776" w:rsidRDefault="00F64776" w:rsidP="00F64776">
      <w:pPr>
        <w:pStyle w:val="TtuloResolucin"/>
      </w:pPr>
      <w:bookmarkStart w:id="313" w:name="AUTO_2023_528"/>
      <w:r>
        <w:t>AUTO 528/2023, de 6 de noviembre de 2023</w:t>
      </w:r>
    </w:p>
    <w:bookmarkEnd w:id="313"/>
    <w:p w14:paraId="43443D82" w14:textId="77777777" w:rsidR="00F64776" w:rsidRDefault="00F64776" w:rsidP="00F64776">
      <w:pPr>
        <w:pStyle w:val="TtuloResolucin"/>
      </w:pPr>
      <w:r>
        <w:t>Sección Tercera</w:t>
      </w:r>
    </w:p>
    <w:p w14:paraId="610AAEE1" w14:textId="77777777" w:rsidR="00F64776" w:rsidRDefault="00F64776" w:rsidP="00F64776">
      <w:pPr>
        <w:pStyle w:val="TextoNormalCentrado"/>
      </w:pPr>
      <w:r>
        <w:t>ECLI:ES:TC:2023:528A</w:t>
      </w:r>
    </w:p>
    <w:p w14:paraId="753AB519" w14:textId="5EC5B056" w:rsidR="00F64776" w:rsidRDefault="00F64776" w:rsidP="00F64776">
      <w:pPr>
        <w:pStyle w:val="TextoNormalCentrado"/>
      </w:pPr>
    </w:p>
    <w:p w14:paraId="703C5510" w14:textId="77777777" w:rsidR="00F64776" w:rsidRDefault="00F64776" w:rsidP="00F64776">
      <w:pPr>
        <w:pStyle w:val="SntesisDescriptiva"/>
      </w:pPr>
      <w:r>
        <w:t>Excms. Srs. doña Inmaculada Montalbán Huertas y doña Laura Díez Bueso.</w:t>
      </w:r>
    </w:p>
    <w:p w14:paraId="366AC703" w14:textId="39619921" w:rsidR="00F64776" w:rsidRDefault="00F64776" w:rsidP="00F64776">
      <w:pPr>
        <w:pStyle w:val="SntesisDescriptiva"/>
      </w:pPr>
    </w:p>
    <w:p w14:paraId="5C94A237" w14:textId="77777777" w:rsidR="00F64776" w:rsidRDefault="00F64776" w:rsidP="00F64776">
      <w:pPr>
        <w:pStyle w:val="SntesisDescriptiva"/>
      </w:pPr>
      <w:r>
        <w:t>Acepta una abstención en el recurso de amparo 3731-2023, promovido en proceso contencioso-administrativo.</w:t>
      </w:r>
    </w:p>
    <w:p w14:paraId="6D4BB391" w14:textId="0C34B1C6" w:rsidR="00F64776" w:rsidRDefault="00F64776" w:rsidP="00F64776">
      <w:pPr>
        <w:pStyle w:val="SntesisDescriptiva"/>
      </w:pPr>
    </w:p>
    <w:p w14:paraId="334355A0" w14:textId="77777777" w:rsidR="00F64776" w:rsidRDefault="00F64776" w:rsidP="00F64776">
      <w:pPr>
        <w:pStyle w:val="SntesisDescriptiva"/>
      </w:pPr>
    </w:p>
    <w:p w14:paraId="40CBE19F" w14:textId="77777777" w:rsidR="00F64776" w:rsidRDefault="00F64776" w:rsidP="00F64776">
      <w:pPr>
        <w:pStyle w:val="SntesisDescriptiva"/>
      </w:pPr>
    </w:p>
    <w:p w14:paraId="2A20B76A" w14:textId="77777777" w:rsidR="00F64776" w:rsidRDefault="00F64776" w:rsidP="00F64776">
      <w:pPr>
        <w:pStyle w:val="TextoNormalNegritaCentrado"/>
      </w:pPr>
      <w:r>
        <w:t>AUTO</w:t>
      </w:r>
    </w:p>
    <w:p w14:paraId="0E2D5AF9" w14:textId="7D07AA64" w:rsidR="00F64776" w:rsidRDefault="00F64776" w:rsidP="00F64776">
      <w:pPr>
        <w:pStyle w:val="TextoNormalNegritaCentrado"/>
      </w:pPr>
    </w:p>
    <w:p w14:paraId="49223E7A" w14:textId="77777777" w:rsidR="00F64776" w:rsidRDefault="00F64776" w:rsidP="00F64776">
      <w:pPr>
        <w:pStyle w:val="TextoNormalNegritaCentrado"/>
        <w:keepNext/>
      </w:pPr>
      <w:r>
        <w:t>I. Antecedentes</w:t>
      </w:r>
    </w:p>
    <w:p w14:paraId="156C714F" w14:textId="7C439E71" w:rsidR="00F64776" w:rsidRDefault="00F64776" w:rsidP="00F64776">
      <w:pPr>
        <w:pStyle w:val="TextoNormalNegritaCentrado"/>
        <w:keepNext/>
      </w:pPr>
    </w:p>
    <w:p w14:paraId="467491D9" w14:textId="676646BE" w:rsidR="00F64776" w:rsidRDefault="00F64776" w:rsidP="00F64776">
      <w:pPr>
        <w:pStyle w:val="TextoNormal"/>
      </w:pPr>
      <w:r w:rsidRPr="00F64776">
        <w:rPr>
          <w:rStyle w:val="NumeroAFNegritaCaracter"/>
        </w:rPr>
        <w:t>1</w:t>
      </w:r>
      <w:r>
        <w:t>. Mediante escrito registrado en este tribunal el 1 de junio de 2023, el procurador de los tribunales don José María Ruiz de la Cuesta Vacas, en nombre y representación de doña  María Isabel Hernández Ortego y bajo la dirección del letrado don Francisco Javier Araúz de Robles Dávila, formuló demanda de amparo contra el auto de 16 de noviembre de 2022 y la providencia de la Sección Primera de la Sala de lo Contencioso-Administrativo del Tribunal Supremo, en recurso de queja núm. 410-2022 contra la sentencia de la Sección Octava de la Sala de lo Contencioso-Administrativo del Tribunal Superior de Justicia de Madrid, en procedimiento ordinario núm.1639-2020.</w:t>
      </w:r>
    </w:p>
    <w:p w14:paraId="653AE73C" w14:textId="77777777" w:rsidR="00F64776" w:rsidRDefault="00F64776" w:rsidP="00F64776">
      <w:pPr>
        <w:pStyle w:val="TextoNormal"/>
      </w:pPr>
    </w:p>
    <w:p w14:paraId="70DD0EFF" w14:textId="7AFD8D06" w:rsidR="00F64776" w:rsidRDefault="00F64776" w:rsidP="00F64776">
      <w:pPr>
        <w:pStyle w:val="TextoNormal"/>
      </w:pPr>
      <w:r w:rsidRPr="00F64776">
        <w:rPr>
          <w:rStyle w:val="NumeroAFNegritaCaracter"/>
        </w:rPr>
        <w:t>2</w:t>
      </w:r>
      <w:r>
        <w:t>. Por escrito de 5 de julio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65D4A6D1" w14:textId="77777777" w:rsidR="00F64776" w:rsidRDefault="00F64776" w:rsidP="00F64776">
      <w:pPr>
        <w:pStyle w:val="TextoNormal"/>
      </w:pPr>
    </w:p>
    <w:p w14:paraId="1190E667" w14:textId="77777777" w:rsidR="00F64776" w:rsidRDefault="00F64776" w:rsidP="00F64776">
      <w:pPr>
        <w:pStyle w:val="TextoNormalNegritaCentrado"/>
        <w:keepNext/>
      </w:pPr>
      <w:r>
        <w:t>II. Fundamentos jurídicos</w:t>
      </w:r>
    </w:p>
    <w:p w14:paraId="54172019" w14:textId="1C1CA273" w:rsidR="00F64776" w:rsidRDefault="00F64776" w:rsidP="00F64776">
      <w:pPr>
        <w:pStyle w:val="TextoNormalNegritaCentrado"/>
        <w:keepNext/>
      </w:pPr>
    </w:p>
    <w:p w14:paraId="4CCB26DE" w14:textId="73B54B26"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531A2F42" w14:textId="77777777" w:rsidR="00F64776" w:rsidRDefault="00F64776" w:rsidP="00F64776">
      <w:pPr>
        <w:pStyle w:val="TextoNormal"/>
      </w:pPr>
    </w:p>
    <w:p w14:paraId="437B78E3" w14:textId="77777777" w:rsidR="00F64776" w:rsidRDefault="00F64776" w:rsidP="00F64776">
      <w:pPr>
        <w:pStyle w:val="TextoNormal"/>
      </w:pPr>
      <w:r>
        <w:t>Por lo expuesto, la Sección</w:t>
      </w:r>
    </w:p>
    <w:p w14:paraId="42A6494A" w14:textId="264F18E9" w:rsidR="00F64776" w:rsidRDefault="00F64776" w:rsidP="00F64776">
      <w:pPr>
        <w:pStyle w:val="TextoNormal"/>
      </w:pPr>
    </w:p>
    <w:p w14:paraId="4F8B0100" w14:textId="77777777" w:rsidR="00F64776" w:rsidRDefault="00F64776" w:rsidP="00F64776">
      <w:pPr>
        <w:pStyle w:val="TextoNormalCentrado"/>
      </w:pPr>
      <w:r>
        <w:t>ACUERDA</w:t>
      </w:r>
    </w:p>
    <w:p w14:paraId="627B0704" w14:textId="24C909D5" w:rsidR="00F64776" w:rsidRDefault="00F64776" w:rsidP="00F64776">
      <w:pPr>
        <w:pStyle w:val="TextoNormalCentrado"/>
      </w:pPr>
    </w:p>
    <w:p w14:paraId="5E2FB4D2" w14:textId="6738D05A" w:rsidR="00F64776" w:rsidRDefault="00F64776" w:rsidP="00F64776">
      <w:pPr>
        <w:pStyle w:val="TextoNormal"/>
      </w:pPr>
      <w:r>
        <w:t>Estimar justificada la abstención formulada por el magistrado don César Tolosa Tribiño en el recurso de amparo núm. 3731-2023 y apartarle definitivamente del conocimiento del referido recurso y de todas sus incidencias.</w:t>
      </w:r>
    </w:p>
    <w:p w14:paraId="05DB5788" w14:textId="77777777" w:rsidR="00F64776" w:rsidRDefault="00F64776" w:rsidP="00F64776">
      <w:pPr>
        <w:pStyle w:val="TextoNormal"/>
      </w:pPr>
    </w:p>
    <w:p w14:paraId="41BB0EF3" w14:textId="77777777" w:rsidR="00F64776" w:rsidRDefault="00F64776" w:rsidP="00F64776">
      <w:pPr>
        <w:pStyle w:val="TextoNormal"/>
      </w:pPr>
      <w:r>
        <w:t>Madrid, a seis de noviembre de dos mil veintitrés.</w:t>
      </w:r>
    </w:p>
    <w:p w14:paraId="350775C2" w14:textId="42E8F345" w:rsidR="00F64776" w:rsidRDefault="00F64776">
      <w:pPr>
        <w:spacing w:after="160" w:line="278" w:lineRule="auto"/>
        <w:rPr>
          <w:rFonts w:ascii="Times New Roman" w:eastAsia="Times New Roman" w:hAnsi="Times New Roman" w:cs="Times New Roman"/>
          <w:sz w:val="24"/>
          <w:szCs w:val="24"/>
          <w:lang w:eastAsia="es-ES"/>
        </w:rPr>
      </w:pPr>
      <w:r>
        <w:br w:type="page"/>
      </w:r>
    </w:p>
    <w:p w14:paraId="0D9C8490" w14:textId="77777777" w:rsidR="00F64776" w:rsidRDefault="00F64776" w:rsidP="00F64776">
      <w:pPr>
        <w:pStyle w:val="TtuloResolucin"/>
      </w:pPr>
      <w:bookmarkStart w:id="314" w:name="AUTO_2023_529"/>
      <w:r>
        <w:t>AUTO 529/2023, de 6 de noviembre de 2023</w:t>
      </w:r>
    </w:p>
    <w:bookmarkEnd w:id="314"/>
    <w:p w14:paraId="3FB47CFB" w14:textId="77777777" w:rsidR="00F64776" w:rsidRDefault="00F64776" w:rsidP="00F64776">
      <w:pPr>
        <w:pStyle w:val="TtuloResolucin"/>
      </w:pPr>
      <w:r>
        <w:t>Sección Cuarta</w:t>
      </w:r>
    </w:p>
    <w:p w14:paraId="0E431C03" w14:textId="77777777" w:rsidR="00F64776" w:rsidRDefault="00F64776" w:rsidP="00F64776">
      <w:pPr>
        <w:pStyle w:val="TextoNormalCentrado"/>
      </w:pPr>
      <w:r>
        <w:t>ECLI:ES:TC:2023:529A</w:t>
      </w:r>
    </w:p>
    <w:p w14:paraId="24251835" w14:textId="71EF8EB8" w:rsidR="00F64776" w:rsidRDefault="00F64776" w:rsidP="00F64776">
      <w:pPr>
        <w:pStyle w:val="TextoNormalCentrado"/>
      </w:pPr>
    </w:p>
    <w:p w14:paraId="6F940C49" w14:textId="77777777" w:rsidR="00F64776" w:rsidRDefault="00F64776" w:rsidP="00F64776">
      <w:pPr>
        <w:pStyle w:val="SntesisDescriptiva"/>
      </w:pPr>
      <w:r>
        <w:t>Excms. Srs. doña María Luisa Balaguer Callejón y don Ramón Sáez Valcárcel.</w:t>
      </w:r>
    </w:p>
    <w:p w14:paraId="3B59D122" w14:textId="7FB8CCC1" w:rsidR="00F64776" w:rsidRDefault="00F64776" w:rsidP="00F64776">
      <w:pPr>
        <w:pStyle w:val="SntesisDescriptiva"/>
      </w:pPr>
    </w:p>
    <w:p w14:paraId="1A33BAC4" w14:textId="77777777" w:rsidR="00F64776" w:rsidRDefault="00F64776" w:rsidP="00F64776">
      <w:pPr>
        <w:pStyle w:val="SntesisDescriptiva"/>
      </w:pPr>
      <w:r>
        <w:t>Acepta una abstención en el recurso de amparo 3789-2023, promovido por la entidad Obras Generales del Norte, S.A., en pleito civil.</w:t>
      </w:r>
    </w:p>
    <w:p w14:paraId="73734091" w14:textId="2780FB41" w:rsidR="00F64776" w:rsidRDefault="00F64776" w:rsidP="00F64776">
      <w:pPr>
        <w:pStyle w:val="SntesisDescriptiva"/>
      </w:pPr>
    </w:p>
    <w:p w14:paraId="49C46AEA" w14:textId="77777777" w:rsidR="00F64776" w:rsidRDefault="00F64776" w:rsidP="00F64776">
      <w:pPr>
        <w:pStyle w:val="SntesisDescriptiva"/>
      </w:pPr>
    </w:p>
    <w:p w14:paraId="083ACACB" w14:textId="77777777" w:rsidR="00F64776" w:rsidRDefault="00F64776" w:rsidP="00F64776">
      <w:pPr>
        <w:pStyle w:val="SntesisDescriptiva"/>
      </w:pPr>
    </w:p>
    <w:p w14:paraId="19FABEA6" w14:textId="77777777" w:rsidR="00F64776" w:rsidRDefault="00F64776" w:rsidP="00F64776">
      <w:pPr>
        <w:pStyle w:val="TextoNormalNegritaCentrado"/>
      </w:pPr>
      <w:r>
        <w:t>AUTO</w:t>
      </w:r>
    </w:p>
    <w:p w14:paraId="2A0D3BB1" w14:textId="58B7B07E" w:rsidR="00F64776" w:rsidRDefault="00F64776" w:rsidP="00F64776">
      <w:pPr>
        <w:pStyle w:val="TextoNormalNegritaCentrado"/>
      </w:pPr>
    </w:p>
    <w:p w14:paraId="4C899C03" w14:textId="77777777" w:rsidR="00F64776" w:rsidRDefault="00F64776" w:rsidP="00F64776">
      <w:pPr>
        <w:pStyle w:val="TextoNormalNegritaCentrado"/>
        <w:keepNext/>
      </w:pPr>
      <w:r>
        <w:t>I. Antecedentes</w:t>
      </w:r>
    </w:p>
    <w:p w14:paraId="07DD4209" w14:textId="4E3B1B0D" w:rsidR="00F64776" w:rsidRDefault="00F64776" w:rsidP="00F64776">
      <w:pPr>
        <w:pStyle w:val="TextoNormalNegritaCentrado"/>
        <w:keepNext/>
      </w:pPr>
    </w:p>
    <w:p w14:paraId="4D72A05B" w14:textId="3366DD6F" w:rsidR="00F64776" w:rsidRDefault="00F64776" w:rsidP="00F64776">
      <w:pPr>
        <w:pStyle w:val="TextoNormal"/>
      </w:pPr>
      <w:r w:rsidRPr="00F64776">
        <w:rPr>
          <w:rStyle w:val="NumeroAFNegritaCaracter"/>
        </w:rPr>
        <w:t>1</w:t>
      </w:r>
      <w:r>
        <w:t>. Mediante escrito registrado en este tribunal el 5 de junio de 2023 por la entidad Obras Generales del Norte, S.A., (OGENSA), representada por la procuradora de los tribunales doña Susana Fernández Cobián, bajo la dirección del abogado don Pablo García-Vallaure Rivas, interpuso recurso de amparo contra la sentencia de la Sala de lo Civil y Penal del Tribunal Superior de Justicia de Madrid, en asunto civil núm. 26-2022 sobre anulación de laudo arbitral.</w:t>
      </w:r>
    </w:p>
    <w:p w14:paraId="09BCFC36" w14:textId="77777777" w:rsidR="00F64776" w:rsidRDefault="00F64776" w:rsidP="00F64776">
      <w:pPr>
        <w:pStyle w:val="TextoNormal"/>
      </w:pPr>
    </w:p>
    <w:p w14:paraId="7B4EE48F" w14:textId="3C665321" w:rsidR="00F64776" w:rsidRDefault="00F64776" w:rsidP="00F64776">
      <w:pPr>
        <w:pStyle w:val="TextoNormal"/>
      </w:pPr>
      <w:r w:rsidRPr="00F64776">
        <w:rPr>
          <w:rStyle w:val="NumeroAFNegritaCaracter"/>
        </w:rPr>
        <w:t>2</w:t>
      </w:r>
      <w:r>
        <w:t>. Por escrito fechado el día 6 de noviembre de 2023, el magistrado don Enrique Arnaldo Alcubilla comunicó a los efectos oportunos su voluntad de abstenerse de intervenir en el conocimiento del recurso de amparo núm. 3789-2023 y todas sus incidencias, de conformidad con los arts. 80 de la Ley Orgánica del Tribunal Constitucional (LOTC) y 217 de la Ley Orgánica del Poder Judicial (LOPJ), al entender que concurre en su persona la causa establecida en el art. 219.13 LOPJ, debido a la existencia de una previa intervención profesional como árbitro en un asunto similar al que se plantea en dicho recurso de amparo, entre las mismas partes.</w:t>
      </w:r>
    </w:p>
    <w:p w14:paraId="6ED4C451" w14:textId="77777777" w:rsidR="00F64776" w:rsidRDefault="00F64776" w:rsidP="00F64776">
      <w:pPr>
        <w:pStyle w:val="TextoNormal"/>
      </w:pPr>
    </w:p>
    <w:p w14:paraId="1F902E51" w14:textId="77777777" w:rsidR="00F64776" w:rsidRDefault="00F64776" w:rsidP="00F64776">
      <w:pPr>
        <w:pStyle w:val="TextoNormalNegritaCentrado"/>
        <w:keepNext/>
      </w:pPr>
      <w:r>
        <w:t>II. Fundamentos jurídicos</w:t>
      </w:r>
    </w:p>
    <w:p w14:paraId="0E57A286" w14:textId="15880E10" w:rsidR="00F64776" w:rsidRDefault="00F64776" w:rsidP="00F64776">
      <w:pPr>
        <w:pStyle w:val="TextoNormalNegritaCentrado"/>
        <w:keepNext/>
      </w:pPr>
    </w:p>
    <w:p w14:paraId="07A2A4E8" w14:textId="439B0489" w:rsidR="00F64776" w:rsidRDefault="00F64776" w:rsidP="00F64776">
      <w:pPr>
        <w:pStyle w:val="TextoNormal"/>
      </w:pPr>
      <w:r w:rsidRPr="00F64776">
        <w:rPr>
          <w:rStyle w:val="TextoNormalNegritaCaracter"/>
        </w:rPr>
        <w:t xml:space="preserve">Único. </w:t>
      </w:r>
      <w:r>
        <w:t>Vista la comunicación efectuada por el magistrado de esta Sección Cuarta del Tribunal Constitucional don Enrique Arnaldo Alcubilla, en virtud de lo previsto en los arts. 80 LOTC y 221.4 LOPJ se estima justificada la causa de abstención formulada, en atención a que, dada la existencia de una previa intervención profesional como árbitro en un asunto similar entre las mismas partes, al que se plantea en el recurso de amparo núm. 3789-2023, se halla incurso en la causa decimotercera del art. 219 LOPJ (“haber ocupado cargo público, desempeñado empleo o ejercido profesión con ocasión de los cuales haya participado directa o indirectamente en el asunto objeto del pleito o causa o en otro relacionado con el mismo”).</w:t>
      </w:r>
    </w:p>
    <w:p w14:paraId="3DCD75F5" w14:textId="77777777" w:rsidR="00F64776" w:rsidRDefault="00F64776" w:rsidP="00F64776">
      <w:pPr>
        <w:pStyle w:val="TextoNormal"/>
      </w:pPr>
    </w:p>
    <w:p w14:paraId="158AABAD" w14:textId="77777777" w:rsidR="00F64776" w:rsidRDefault="00F64776" w:rsidP="00F64776">
      <w:pPr>
        <w:pStyle w:val="TextoNormal"/>
      </w:pPr>
      <w:r>
        <w:t>Por lo expuesto, la Sección</w:t>
      </w:r>
    </w:p>
    <w:p w14:paraId="22EB5255" w14:textId="239490FB" w:rsidR="00F64776" w:rsidRDefault="00F64776" w:rsidP="00F64776">
      <w:pPr>
        <w:pStyle w:val="TextoNormal"/>
      </w:pPr>
    </w:p>
    <w:p w14:paraId="3613CF82" w14:textId="77777777" w:rsidR="00F64776" w:rsidRDefault="00F64776" w:rsidP="00F64776">
      <w:pPr>
        <w:pStyle w:val="TextoNormalCentrado"/>
      </w:pPr>
      <w:r>
        <w:t>ACUERDA</w:t>
      </w:r>
    </w:p>
    <w:p w14:paraId="14725CBE" w14:textId="025C9D86" w:rsidR="00F64776" w:rsidRDefault="00F64776" w:rsidP="00F64776">
      <w:pPr>
        <w:pStyle w:val="TextoNormalCentrado"/>
      </w:pPr>
    </w:p>
    <w:p w14:paraId="564D881D" w14:textId="776BA636" w:rsidR="00F64776" w:rsidRDefault="00F64776" w:rsidP="00F64776">
      <w:pPr>
        <w:pStyle w:val="TextoNormal"/>
      </w:pPr>
      <w:r>
        <w:t>Estimar justificada la abstención formulada por el magistrado don Enrique Arnaldo Alcubilla en el recurso de amparo núm. 3789-2023, apartándole definitivamente del conocimiento del referido recurso y de todas sus incidencias.</w:t>
      </w:r>
    </w:p>
    <w:p w14:paraId="70BE1B3A" w14:textId="77777777" w:rsidR="00F64776" w:rsidRDefault="00F64776" w:rsidP="00F64776">
      <w:pPr>
        <w:pStyle w:val="TextoNormal"/>
      </w:pPr>
    </w:p>
    <w:p w14:paraId="56CFE9C7" w14:textId="77777777" w:rsidR="00F64776" w:rsidRDefault="00F64776" w:rsidP="00F64776">
      <w:pPr>
        <w:pStyle w:val="TextoNormal"/>
      </w:pPr>
      <w:r>
        <w:t>Madrid, a seis de noviembre de dos mil veintitrés.</w:t>
      </w:r>
    </w:p>
    <w:p w14:paraId="06DAB281" w14:textId="12CDE1FB" w:rsidR="00F64776" w:rsidRDefault="00F64776">
      <w:pPr>
        <w:spacing w:after="160" w:line="278" w:lineRule="auto"/>
        <w:rPr>
          <w:rFonts w:ascii="Times New Roman" w:eastAsia="Times New Roman" w:hAnsi="Times New Roman" w:cs="Times New Roman"/>
          <w:sz w:val="24"/>
          <w:szCs w:val="24"/>
          <w:lang w:eastAsia="es-ES"/>
        </w:rPr>
      </w:pPr>
      <w:r>
        <w:br w:type="page"/>
      </w:r>
    </w:p>
    <w:p w14:paraId="1B1519A9" w14:textId="77777777" w:rsidR="00F64776" w:rsidRDefault="00F64776" w:rsidP="00F64776">
      <w:pPr>
        <w:pStyle w:val="TtuloResolucin"/>
      </w:pPr>
      <w:bookmarkStart w:id="315" w:name="AUTO_2023_530"/>
      <w:r>
        <w:t>AUTO 530/2023, de 6 de noviembre de 2023</w:t>
      </w:r>
    </w:p>
    <w:bookmarkEnd w:id="315"/>
    <w:p w14:paraId="01118BEC" w14:textId="77777777" w:rsidR="00F64776" w:rsidRDefault="00F64776" w:rsidP="00F64776">
      <w:pPr>
        <w:pStyle w:val="TtuloResolucin"/>
      </w:pPr>
      <w:r>
        <w:t>Sección Tercera</w:t>
      </w:r>
    </w:p>
    <w:p w14:paraId="227DA2EF" w14:textId="77777777" w:rsidR="00F64776" w:rsidRDefault="00F64776" w:rsidP="00F64776">
      <w:pPr>
        <w:pStyle w:val="TextoNormalCentrado"/>
      </w:pPr>
      <w:r>
        <w:t>ECLI:ES:TC:2023:530A</w:t>
      </w:r>
    </w:p>
    <w:p w14:paraId="771E37D1" w14:textId="2B7E2C7E" w:rsidR="00F64776" w:rsidRDefault="00F64776" w:rsidP="00F64776">
      <w:pPr>
        <w:pStyle w:val="TextoNormalCentrado"/>
      </w:pPr>
    </w:p>
    <w:p w14:paraId="57193B65" w14:textId="77777777" w:rsidR="00F64776" w:rsidRDefault="00F64776" w:rsidP="00F64776">
      <w:pPr>
        <w:pStyle w:val="SntesisDescriptiva"/>
      </w:pPr>
      <w:r>
        <w:t>Excms. Srs. doña Inmaculada Montalbán Huertas y doña Laura Díez Bueso.</w:t>
      </w:r>
    </w:p>
    <w:p w14:paraId="5693CE09" w14:textId="7F5410E6" w:rsidR="00F64776" w:rsidRDefault="00F64776" w:rsidP="00F64776">
      <w:pPr>
        <w:pStyle w:val="SntesisDescriptiva"/>
      </w:pPr>
    </w:p>
    <w:p w14:paraId="260946D8" w14:textId="77777777" w:rsidR="00F64776" w:rsidRDefault="00F64776" w:rsidP="00F64776">
      <w:pPr>
        <w:pStyle w:val="SntesisDescriptiva"/>
      </w:pPr>
      <w:r>
        <w:t>Acepta una abstención en el recurso de amparo 4083-2023, promovido en proceso contencioso-administrativo.</w:t>
      </w:r>
    </w:p>
    <w:p w14:paraId="1AE2BFAA" w14:textId="07DF8BF7" w:rsidR="00F64776" w:rsidRDefault="00F64776" w:rsidP="00F64776">
      <w:pPr>
        <w:pStyle w:val="SntesisDescriptiva"/>
      </w:pPr>
    </w:p>
    <w:p w14:paraId="0391BAC0" w14:textId="77777777" w:rsidR="00F64776" w:rsidRDefault="00F64776" w:rsidP="00F64776">
      <w:pPr>
        <w:pStyle w:val="SntesisDescriptiva"/>
      </w:pPr>
    </w:p>
    <w:p w14:paraId="3DD3EC40" w14:textId="77777777" w:rsidR="00F64776" w:rsidRDefault="00F64776" w:rsidP="00F64776">
      <w:pPr>
        <w:pStyle w:val="SntesisDescriptiva"/>
      </w:pPr>
    </w:p>
    <w:p w14:paraId="38B9CC0A" w14:textId="77777777" w:rsidR="00F64776" w:rsidRDefault="00F64776" w:rsidP="00F64776">
      <w:pPr>
        <w:pStyle w:val="TextoNormalNegritaCentrado"/>
      </w:pPr>
      <w:r>
        <w:t>AUTO</w:t>
      </w:r>
    </w:p>
    <w:p w14:paraId="75E85DEE" w14:textId="6E687768" w:rsidR="00F64776" w:rsidRDefault="00F64776" w:rsidP="00F64776">
      <w:pPr>
        <w:pStyle w:val="TextoNormalNegritaCentrado"/>
      </w:pPr>
    </w:p>
    <w:p w14:paraId="7F343A3D" w14:textId="77777777" w:rsidR="00F64776" w:rsidRDefault="00F64776" w:rsidP="00F64776">
      <w:pPr>
        <w:pStyle w:val="TextoNormalNegritaCentrado"/>
        <w:keepNext/>
      </w:pPr>
      <w:r>
        <w:t>I. Antecedentes</w:t>
      </w:r>
    </w:p>
    <w:p w14:paraId="4CEC3846" w14:textId="1D37C2AD" w:rsidR="00F64776" w:rsidRDefault="00F64776" w:rsidP="00F64776">
      <w:pPr>
        <w:pStyle w:val="TextoNormalNegritaCentrado"/>
        <w:keepNext/>
      </w:pPr>
    </w:p>
    <w:p w14:paraId="6FD1D15A" w14:textId="0462ECC1" w:rsidR="00F64776" w:rsidRDefault="00F64776" w:rsidP="00F64776">
      <w:pPr>
        <w:pStyle w:val="TextoNormal"/>
      </w:pPr>
      <w:r w:rsidRPr="00F64776">
        <w:rPr>
          <w:rStyle w:val="NumeroAFNegritaCaracter"/>
        </w:rPr>
        <w:t>1</w:t>
      </w:r>
      <w:r>
        <w:t>. Mediante escrito registrado en este tribunal el 15 de junio de 2023, el procurador de los tribunales don José María Ruiz de la Cuesta Vacas, en nombre y representación de doña Yolanda Doval Fernández y otra y bajo la dirección del letrado don Francisco Javier Araúz de Robles Dávila, formuló demanda de amparo contra la providencia de 1 de marzo de 2023 de la Sección Primera de la Sala de lo Contencioso-Administrativo del Tribunal Supremo, en recurso de queja núm. 398-2022.</w:t>
      </w:r>
    </w:p>
    <w:p w14:paraId="0CC4B282" w14:textId="77777777" w:rsidR="00F64776" w:rsidRDefault="00F64776" w:rsidP="00F64776">
      <w:pPr>
        <w:pStyle w:val="TextoNormal"/>
      </w:pPr>
    </w:p>
    <w:p w14:paraId="1E734C9D" w14:textId="1FF1AEF6" w:rsidR="00F64776" w:rsidRDefault="00F64776" w:rsidP="00F64776">
      <w:pPr>
        <w:pStyle w:val="TextoNormal"/>
      </w:pPr>
      <w:r w:rsidRPr="00F64776">
        <w:rPr>
          <w:rStyle w:val="NumeroAFNegritaCaracter"/>
        </w:rPr>
        <w:t>2</w:t>
      </w:r>
      <w:r>
        <w:t>. Por escrito de 30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1532FB6C" w14:textId="77777777" w:rsidR="00F64776" w:rsidRDefault="00F64776" w:rsidP="00F64776">
      <w:pPr>
        <w:pStyle w:val="TextoNormal"/>
      </w:pPr>
    </w:p>
    <w:p w14:paraId="6EDCF652" w14:textId="77777777" w:rsidR="00F64776" w:rsidRDefault="00F64776" w:rsidP="00F64776">
      <w:pPr>
        <w:pStyle w:val="TextoNormalNegritaCentrado"/>
        <w:keepNext/>
      </w:pPr>
      <w:r>
        <w:t>II. Fundamentos jurídicos</w:t>
      </w:r>
    </w:p>
    <w:p w14:paraId="632830CC" w14:textId="56DCC777" w:rsidR="00F64776" w:rsidRDefault="00F64776" w:rsidP="00F64776">
      <w:pPr>
        <w:pStyle w:val="TextoNormalNegritaCentrado"/>
        <w:keepNext/>
      </w:pPr>
    </w:p>
    <w:p w14:paraId="3E7674F8" w14:textId="72228817"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1900BBE2" w14:textId="77777777" w:rsidR="00F64776" w:rsidRDefault="00F64776" w:rsidP="00F64776">
      <w:pPr>
        <w:pStyle w:val="TextoNormal"/>
      </w:pPr>
    </w:p>
    <w:p w14:paraId="00C53D0B" w14:textId="77777777" w:rsidR="00F64776" w:rsidRDefault="00F64776" w:rsidP="00F64776">
      <w:pPr>
        <w:pStyle w:val="TextoNormal"/>
      </w:pPr>
      <w:r>
        <w:t>Por lo expuesto, la Sección</w:t>
      </w:r>
    </w:p>
    <w:p w14:paraId="46D0566B" w14:textId="01D26DA6" w:rsidR="00F64776" w:rsidRDefault="00F64776" w:rsidP="00F64776">
      <w:pPr>
        <w:pStyle w:val="TextoNormal"/>
      </w:pPr>
    </w:p>
    <w:p w14:paraId="248BBD91" w14:textId="77777777" w:rsidR="00F64776" w:rsidRDefault="00F64776" w:rsidP="00F64776">
      <w:pPr>
        <w:pStyle w:val="TextoNormalCentrado"/>
      </w:pPr>
      <w:r>
        <w:t>ACUERDA</w:t>
      </w:r>
    </w:p>
    <w:p w14:paraId="6573FCF4" w14:textId="2DBC1C05" w:rsidR="00F64776" w:rsidRDefault="00F64776" w:rsidP="00F64776">
      <w:pPr>
        <w:pStyle w:val="TextoNormalCentrado"/>
      </w:pPr>
    </w:p>
    <w:p w14:paraId="2C720397" w14:textId="2D0090B9" w:rsidR="00F64776" w:rsidRDefault="00F64776" w:rsidP="00F64776">
      <w:pPr>
        <w:pStyle w:val="TextoNormal"/>
      </w:pPr>
      <w:r>
        <w:t>Estimar justificada la abstención formulada por el magistrado don César Tolosa Tribiño en el recurso de amparo núm. 4083-2023 y apartarle definitivamente del conocimiento del referido recurso y de todas sus incidencias.</w:t>
      </w:r>
    </w:p>
    <w:p w14:paraId="50B3E05D" w14:textId="77777777" w:rsidR="00F64776" w:rsidRDefault="00F64776" w:rsidP="00F64776">
      <w:pPr>
        <w:pStyle w:val="TextoNormal"/>
      </w:pPr>
    </w:p>
    <w:p w14:paraId="0802234B" w14:textId="77777777" w:rsidR="00F64776" w:rsidRDefault="00F64776" w:rsidP="00F64776">
      <w:pPr>
        <w:pStyle w:val="TextoNormal"/>
      </w:pPr>
      <w:r>
        <w:t>Madrid, a seis de noviembre de dos mil veintitrés.</w:t>
      </w:r>
    </w:p>
    <w:p w14:paraId="3552C0B8" w14:textId="4385BF24" w:rsidR="00F64776" w:rsidRDefault="00F64776">
      <w:pPr>
        <w:spacing w:after="160" w:line="278" w:lineRule="auto"/>
        <w:rPr>
          <w:rFonts w:ascii="Times New Roman" w:eastAsia="Times New Roman" w:hAnsi="Times New Roman" w:cs="Times New Roman"/>
          <w:sz w:val="24"/>
          <w:szCs w:val="24"/>
          <w:lang w:eastAsia="es-ES"/>
        </w:rPr>
      </w:pPr>
      <w:r>
        <w:br w:type="page"/>
      </w:r>
    </w:p>
    <w:p w14:paraId="14F6D9C9" w14:textId="77777777" w:rsidR="00F64776" w:rsidRDefault="00F64776" w:rsidP="00F64776">
      <w:pPr>
        <w:pStyle w:val="TtuloResolucin"/>
      </w:pPr>
      <w:bookmarkStart w:id="316" w:name="AUTO_2023_531"/>
      <w:r>
        <w:t>AUTO 531/2023, de 6 de noviembre de 2023</w:t>
      </w:r>
    </w:p>
    <w:bookmarkEnd w:id="316"/>
    <w:p w14:paraId="0104BF43" w14:textId="77777777" w:rsidR="00F64776" w:rsidRDefault="00F64776" w:rsidP="00F64776">
      <w:pPr>
        <w:pStyle w:val="TtuloResolucin"/>
      </w:pPr>
      <w:r>
        <w:t>Sección Tercera</w:t>
      </w:r>
    </w:p>
    <w:p w14:paraId="2D81C68B" w14:textId="77777777" w:rsidR="00F64776" w:rsidRDefault="00F64776" w:rsidP="00F64776">
      <w:pPr>
        <w:pStyle w:val="TextoNormalCentrado"/>
      </w:pPr>
      <w:r>
        <w:t>ECLI:ES:TC:2023:531A</w:t>
      </w:r>
    </w:p>
    <w:p w14:paraId="0DFCBD07" w14:textId="063B56E8" w:rsidR="00F64776" w:rsidRDefault="00F64776" w:rsidP="00F64776">
      <w:pPr>
        <w:pStyle w:val="TextoNormalCentrado"/>
      </w:pPr>
    </w:p>
    <w:p w14:paraId="5469AFE5" w14:textId="77777777" w:rsidR="00F64776" w:rsidRDefault="00F64776" w:rsidP="00F64776">
      <w:pPr>
        <w:pStyle w:val="SntesisDescriptiva"/>
      </w:pPr>
      <w:r>
        <w:t>Excms. Srs. doña Inmaculada Montalbán Huertas y doña Laura Díez Bueso.</w:t>
      </w:r>
    </w:p>
    <w:p w14:paraId="157F8F38" w14:textId="59A61B14" w:rsidR="00F64776" w:rsidRDefault="00F64776" w:rsidP="00F64776">
      <w:pPr>
        <w:pStyle w:val="SntesisDescriptiva"/>
      </w:pPr>
    </w:p>
    <w:p w14:paraId="7E1DF909" w14:textId="77777777" w:rsidR="00F64776" w:rsidRDefault="00F64776" w:rsidP="00F64776">
      <w:pPr>
        <w:pStyle w:val="SntesisDescriptiva"/>
      </w:pPr>
      <w:r>
        <w:t>Acepta una abstención en el recurso de amparo 4097-2023, promovido en proceso contencioso-administrativo.</w:t>
      </w:r>
    </w:p>
    <w:p w14:paraId="7BF6E7D0" w14:textId="4A2810EC" w:rsidR="00F64776" w:rsidRDefault="00F64776" w:rsidP="00F64776">
      <w:pPr>
        <w:pStyle w:val="SntesisDescriptiva"/>
      </w:pPr>
    </w:p>
    <w:p w14:paraId="1B4819D6" w14:textId="77777777" w:rsidR="00F64776" w:rsidRDefault="00F64776" w:rsidP="00F64776">
      <w:pPr>
        <w:pStyle w:val="SntesisDescriptiva"/>
      </w:pPr>
    </w:p>
    <w:p w14:paraId="1CA1116D" w14:textId="77777777" w:rsidR="00F64776" w:rsidRDefault="00F64776" w:rsidP="00F64776">
      <w:pPr>
        <w:pStyle w:val="SntesisDescriptiva"/>
      </w:pPr>
    </w:p>
    <w:p w14:paraId="39DB5DEA" w14:textId="77777777" w:rsidR="00F64776" w:rsidRDefault="00F64776" w:rsidP="00F64776">
      <w:pPr>
        <w:pStyle w:val="TextoNormalNegritaCentrado"/>
      </w:pPr>
      <w:r>
        <w:t>AUTO</w:t>
      </w:r>
    </w:p>
    <w:p w14:paraId="282B584C" w14:textId="21E719F4" w:rsidR="00F64776" w:rsidRDefault="00F64776" w:rsidP="00F64776">
      <w:pPr>
        <w:pStyle w:val="TextoNormalNegritaCentrado"/>
      </w:pPr>
    </w:p>
    <w:p w14:paraId="4481E86C" w14:textId="77777777" w:rsidR="00F64776" w:rsidRDefault="00F64776" w:rsidP="00F64776">
      <w:pPr>
        <w:pStyle w:val="TextoNormalNegritaCentrado"/>
        <w:keepNext/>
      </w:pPr>
      <w:r>
        <w:t>I. Antecedentes</w:t>
      </w:r>
    </w:p>
    <w:p w14:paraId="42376029" w14:textId="6170EEB1" w:rsidR="00F64776" w:rsidRDefault="00F64776" w:rsidP="00F64776">
      <w:pPr>
        <w:pStyle w:val="TextoNormalNegritaCentrado"/>
        <w:keepNext/>
      </w:pPr>
    </w:p>
    <w:p w14:paraId="23CFA979" w14:textId="0F0CF6FF" w:rsidR="00F64776" w:rsidRDefault="00F64776" w:rsidP="00F64776">
      <w:pPr>
        <w:pStyle w:val="TextoNormal"/>
      </w:pPr>
      <w:r w:rsidRPr="00F64776">
        <w:rPr>
          <w:rStyle w:val="NumeroAFNegritaCaracter"/>
        </w:rPr>
        <w:t>1</w:t>
      </w:r>
      <w:r>
        <w:t>. Mediante escrito registrado en este tribunal el 15 de junio de 2023 el procurador de los tribunales don José María Ruiz de la Cuesta Vacas, en nombre y representación de doña Irene Guillén Sánchez y otra persona más, y bajo la dirección del letrado don Francisco Javier Araúz de Robles Dávila, formuló demanda de amparo contra la providencia y el auto de la Sección Primera de la Sala de lo Contencioso-Administrativo del Tribunal Supremo, en recurso de queja núm. 366-2022.</w:t>
      </w:r>
    </w:p>
    <w:p w14:paraId="1BCC24B4" w14:textId="77777777" w:rsidR="003508CA" w:rsidRDefault="003508CA"/>
    <w:p w14:paraId="7F8B299C" w14:textId="54B7C4EF" w:rsidR="00F64776" w:rsidRDefault="00F64776" w:rsidP="00F64776">
      <w:pPr>
        <w:pStyle w:val="TextoNormal"/>
      </w:pPr>
      <w:r w:rsidRPr="00F64776">
        <w:rPr>
          <w:rStyle w:val="NumeroAFNegritaCaracter"/>
        </w:rPr>
        <w:t>2</w:t>
      </w:r>
      <w:r>
        <w:t>. Por escrito de 30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21D34882" w14:textId="77777777" w:rsidR="00F64776" w:rsidRDefault="00F64776" w:rsidP="00F64776">
      <w:pPr>
        <w:pStyle w:val="TextoNormal"/>
      </w:pPr>
    </w:p>
    <w:p w14:paraId="5D0CF8EF" w14:textId="77777777" w:rsidR="00F64776" w:rsidRDefault="00F64776" w:rsidP="00F64776">
      <w:pPr>
        <w:pStyle w:val="TextoNormalNegritaCentrado"/>
        <w:keepNext/>
      </w:pPr>
      <w:r>
        <w:t>II. Fundamentos jurídicos</w:t>
      </w:r>
    </w:p>
    <w:p w14:paraId="030802EA" w14:textId="656489F2" w:rsidR="00F64776" w:rsidRDefault="00F64776" w:rsidP="00F64776">
      <w:pPr>
        <w:pStyle w:val="TextoNormalNegritaCentrado"/>
        <w:keepNext/>
      </w:pPr>
    </w:p>
    <w:p w14:paraId="363248BD" w14:textId="77376716"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35C74B6E" w14:textId="77777777" w:rsidR="00F64776" w:rsidRDefault="00F64776" w:rsidP="00F64776">
      <w:pPr>
        <w:pStyle w:val="TextoNormal"/>
      </w:pPr>
    </w:p>
    <w:p w14:paraId="6F841209" w14:textId="77777777" w:rsidR="00F64776" w:rsidRDefault="00F64776" w:rsidP="00F64776">
      <w:pPr>
        <w:pStyle w:val="TextoNormal"/>
      </w:pPr>
      <w:r>
        <w:t>Por lo expuesto, la Sección</w:t>
      </w:r>
    </w:p>
    <w:p w14:paraId="1DFD08A9" w14:textId="0F41EF40" w:rsidR="00F64776" w:rsidRDefault="00F64776" w:rsidP="00F64776">
      <w:pPr>
        <w:pStyle w:val="TextoNormal"/>
      </w:pPr>
    </w:p>
    <w:p w14:paraId="1E2285ED" w14:textId="77777777" w:rsidR="00F64776" w:rsidRDefault="00F64776" w:rsidP="00F64776">
      <w:pPr>
        <w:pStyle w:val="TextoNormalCentrado"/>
      </w:pPr>
      <w:r>
        <w:t>ACUERDA</w:t>
      </w:r>
    </w:p>
    <w:p w14:paraId="29EFFFC5" w14:textId="7733ED46" w:rsidR="00F64776" w:rsidRDefault="00F64776" w:rsidP="00F64776">
      <w:pPr>
        <w:pStyle w:val="TextoNormalCentrado"/>
      </w:pPr>
    </w:p>
    <w:p w14:paraId="3450DBAC" w14:textId="1D0818D9" w:rsidR="00F64776" w:rsidRDefault="00F64776" w:rsidP="00F64776">
      <w:pPr>
        <w:pStyle w:val="TextoNormal"/>
      </w:pPr>
      <w:r>
        <w:t>Estimar justificada la abstención formulada por el magistrado don César Tolosa Tribiño en el recurso de amparo núm. 4097-2023 y apartarle definitivamente del conocimiento del referido recurso y de todas sus incidencias.</w:t>
      </w:r>
    </w:p>
    <w:p w14:paraId="5F9AE4D7" w14:textId="77777777" w:rsidR="00F64776" w:rsidRDefault="00F64776" w:rsidP="00F64776">
      <w:pPr>
        <w:pStyle w:val="TextoNormal"/>
      </w:pPr>
    </w:p>
    <w:p w14:paraId="25E0E904" w14:textId="77777777" w:rsidR="00F64776" w:rsidRDefault="00F64776" w:rsidP="00F64776">
      <w:pPr>
        <w:pStyle w:val="TextoNormal"/>
      </w:pPr>
      <w:r>
        <w:t>Madrid, a seis de noviembre de dos mil veintitrés.</w:t>
      </w:r>
    </w:p>
    <w:p w14:paraId="0C1C4447" w14:textId="33741995" w:rsidR="00F64776" w:rsidRDefault="00F64776">
      <w:pPr>
        <w:spacing w:after="160" w:line="278" w:lineRule="auto"/>
        <w:rPr>
          <w:rFonts w:ascii="Times New Roman" w:eastAsia="Times New Roman" w:hAnsi="Times New Roman" w:cs="Times New Roman"/>
          <w:sz w:val="24"/>
          <w:szCs w:val="24"/>
          <w:lang w:eastAsia="es-ES"/>
        </w:rPr>
      </w:pPr>
      <w:r>
        <w:br w:type="page"/>
      </w:r>
    </w:p>
    <w:p w14:paraId="7C0E32AC" w14:textId="77777777" w:rsidR="00F64776" w:rsidRDefault="00F64776" w:rsidP="00F64776">
      <w:pPr>
        <w:pStyle w:val="TtuloResolucin"/>
      </w:pPr>
      <w:bookmarkStart w:id="317" w:name="AUTO_2023_532"/>
      <w:r>
        <w:t>AUTO 532/2023, de 6 de noviembre de 2023</w:t>
      </w:r>
    </w:p>
    <w:bookmarkEnd w:id="317"/>
    <w:p w14:paraId="03B4237A" w14:textId="77777777" w:rsidR="00F64776" w:rsidRDefault="00F64776" w:rsidP="00F64776">
      <w:pPr>
        <w:pStyle w:val="TtuloResolucin"/>
      </w:pPr>
      <w:r>
        <w:t>Pleno</w:t>
      </w:r>
    </w:p>
    <w:p w14:paraId="2ED01C00" w14:textId="77777777" w:rsidR="00F64776" w:rsidRDefault="00F64776" w:rsidP="00F64776">
      <w:pPr>
        <w:pStyle w:val="TextoNormalCentrado"/>
      </w:pPr>
      <w:r>
        <w:t>ECLI:ES:TC:2023:532A</w:t>
      </w:r>
    </w:p>
    <w:p w14:paraId="11347673" w14:textId="24B0D460" w:rsidR="00F64776" w:rsidRDefault="00F64776" w:rsidP="00F64776">
      <w:pPr>
        <w:pStyle w:val="TextoNormalCentrado"/>
      </w:pPr>
    </w:p>
    <w:p w14:paraId="2DBF1039" w14:textId="77777777" w:rsidR="00F64776" w:rsidRDefault="00F64776" w:rsidP="00F64776">
      <w:pPr>
        <w:pStyle w:val="SntesisDescriptiva"/>
      </w:pPr>
      <w:r>
        <w:t>Excms. Srs. don Cándido Conde-Pumpido Tourón, doña Inmaculada Montalbán Huertas, don Ricardo Enríquez Sancho, doña María Luisa Balaguer Callejón, don Ramón Sáez Valcárcel, don Enrique Arnaldo Alcubilla, doña Concepción Espejel Jorquera, doña María Luisa Segoviano Astaburuaga, don César Tolosa Tribiño y doña Laura Díez Bueso.</w:t>
      </w:r>
    </w:p>
    <w:p w14:paraId="0CE695CC" w14:textId="6F51BCA6" w:rsidR="00F64776" w:rsidRDefault="00F64776" w:rsidP="00F64776">
      <w:pPr>
        <w:pStyle w:val="SntesisDescriptiva"/>
      </w:pPr>
    </w:p>
    <w:p w14:paraId="30906BF7" w14:textId="77777777" w:rsidR="00F64776" w:rsidRDefault="00F64776" w:rsidP="00F64776">
      <w:pPr>
        <w:pStyle w:val="SntesisDescriptiva"/>
      </w:pPr>
      <w:r>
        <w:t>Inadmite a trámite la cuestión de inconstitucionalidad 4242-2023, planteada por el Juzgado de lo Mercantil núm. 7 de Barcelona respecto de la disposición transitoria primera, apartado 3.6 de la Ley 16/2022, de 5 de septiembre, en relación con el artículo 489.1.5 del texto refundido de la Ley concursal, aprobado por el Real Decreto Legislativo 1/2020, de 5 de mayo, en la redacción dada por la Ley 16/2022, así como en relación a los artículos 491 y 497 de ese mismo texto refundido, en la redacción anterior a la dada por la Ley 16/2022.</w:t>
      </w:r>
    </w:p>
    <w:p w14:paraId="61088522" w14:textId="7A47D3AC" w:rsidR="00F64776" w:rsidRDefault="00F64776" w:rsidP="00F64776">
      <w:pPr>
        <w:pStyle w:val="SntesisDescriptiva"/>
      </w:pPr>
    </w:p>
    <w:p w14:paraId="76321893" w14:textId="77777777" w:rsidR="00F64776" w:rsidRDefault="00F64776" w:rsidP="00F64776">
      <w:pPr>
        <w:pStyle w:val="SntesisDescriptiva"/>
      </w:pPr>
    </w:p>
    <w:p w14:paraId="57EC51F9" w14:textId="77777777" w:rsidR="00F64776" w:rsidRDefault="00F64776" w:rsidP="00F64776">
      <w:pPr>
        <w:pStyle w:val="SntesisDescriptiva"/>
      </w:pPr>
    </w:p>
    <w:p w14:paraId="0E5C5BF2" w14:textId="77777777" w:rsidR="00F64776" w:rsidRDefault="00F64776" w:rsidP="00F64776">
      <w:pPr>
        <w:pStyle w:val="TextoNormalNegritaCentrado"/>
      </w:pPr>
      <w:r>
        <w:t>AUTO</w:t>
      </w:r>
    </w:p>
    <w:p w14:paraId="2130C256" w14:textId="669C1EF4" w:rsidR="00F64776" w:rsidRDefault="00F64776" w:rsidP="00F64776">
      <w:pPr>
        <w:pStyle w:val="TextoNormalNegritaCentrado"/>
      </w:pPr>
    </w:p>
    <w:p w14:paraId="7788ABE3" w14:textId="77777777" w:rsidR="00F64776" w:rsidRDefault="00F64776" w:rsidP="00F64776">
      <w:pPr>
        <w:pStyle w:val="TextoNormalNegritaCentrado"/>
        <w:keepNext/>
      </w:pPr>
      <w:r>
        <w:t>I. Antecedentes</w:t>
      </w:r>
    </w:p>
    <w:p w14:paraId="49143792" w14:textId="27A4C790" w:rsidR="00F64776" w:rsidRDefault="00F64776" w:rsidP="00F64776">
      <w:pPr>
        <w:pStyle w:val="TextoNormalNegritaCentrado"/>
        <w:keepNext/>
      </w:pPr>
    </w:p>
    <w:p w14:paraId="72E3AA1D" w14:textId="0E5FD9DE" w:rsidR="00F64776" w:rsidRDefault="00F64776" w:rsidP="00F64776">
      <w:pPr>
        <w:pStyle w:val="TextoNormal"/>
      </w:pPr>
      <w:r w:rsidRPr="00F64776">
        <w:rPr>
          <w:rStyle w:val="NumeroAFNegritaCaracter"/>
        </w:rPr>
        <w:t>1</w:t>
      </w:r>
      <w:r>
        <w:t>. El 21 de junio de 2023 ha tenido entrada en el registro general de este Tribunal Constitucional un oficio del Juzgado de lo Mercantil núm. 7 de Barcelona por el que se remite, junto con el testimonio de las actuaciones, el auto de 12 de junio de 2023 por el que se acuerda plantear cuestión de inconstitucionalidad respecto de la disposición transitoria primera, apartado 3.6 de la Ley 16/2022, de 5 de septiembre, en relación con el art. 489.1.5 del texto refundido de la Ley concursal, aprobado por el Real Decreto Legislativo 1/2020, de 5 de mayo, en la redacción dada por la Ley 16/2022, así como en relación a los arts. 491 y 497 de ese mismo texto refundido, en la redacción anterior a la dada por la Ley 16/2022.</w:t>
      </w:r>
    </w:p>
    <w:p w14:paraId="416CD1E6" w14:textId="77777777" w:rsidR="00F64776" w:rsidRDefault="00F64776" w:rsidP="00F64776">
      <w:pPr>
        <w:pStyle w:val="TextoNormal"/>
      </w:pPr>
    </w:p>
    <w:p w14:paraId="31233E73" w14:textId="77777777" w:rsidR="00F64776" w:rsidRDefault="00F64776" w:rsidP="00F64776">
      <w:pPr>
        <w:pStyle w:val="TextoNormal"/>
      </w:pPr>
      <w:r w:rsidRPr="00F64776">
        <w:rPr>
          <w:rStyle w:val="NumeroAFNegritaCaracter"/>
        </w:rPr>
        <w:t>2</w:t>
      </w:r>
      <w:r>
        <w:t>. Los hechos de los que trae causa la cuestión de inconstitucionalidad son, en síntesis, los siguientes:</w:t>
      </w:r>
    </w:p>
    <w:p w14:paraId="46BBD86B" w14:textId="77777777" w:rsidR="00F64776" w:rsidRDefault="00F64776" w:rsidP="00F64776">
      <w:pPr>
        <w:pStyle w:val="TextoNormal"/>
      </w:pPr>
    </w:p>
    <w:p w14:paraId="645625C3" w14:textId="77777777" w:rsidR="00F64776" w:rsidRDefault="00F64776" w:rsidP="00F64776">
      <w:pPr>
        <w:pStyle w:val="TextoNormal"/>
      </w:pPr>
      <w:r>
        <w:t>a) En el procedimiento concursal núm. 569-2021 se formuló el 3 de junio de 2021 solicitud de concurso voluntario de acreedores consecutivo a acuerdo extrajudicial de pagos. En esa fecha el régimen jurídico vigente era el previsto en el texto refundido de la Ley concursal, aprobado por el Real Decreto Legislativo 1/2020, de 5 de mayo. El mediador concursal presentó junto con la solicitud de concurso un informe afirmando la concurrencia de los requisitos o presupuestos para obtener el beneficio de exoneración del pasivo insatisfecho.</w:t>
      </w:r>
    </w:p>
    <w:p w14:paraId="35A7A985" w14:textId="77777777" w:rsidR="00F64776" w:rsidRDefault="00F64776" w:rsidP="00F64776">
      <w:pPr>
        <w:pStyle w:val="TextoNormal"/>
      </w:pPr>
    </w:p>
    <w:p w14:paraId="3215484D" w14:textId="77777777" w:rsidR="00F64776" w:rsidRDefault="00F64776" w:rsidP="00F64776">
      <w:pPr>
        <w:pStyle w:val="TextoNormal"/>
      </w:pPr>
      <w:r>
        <w:t>b) Por auto de 7 de julio de 2021 se declaró el carácter voluntario del concurso, la apertura de la fase de liquidación, la suspensión del deudor en sus facultades de administración y disposición sobre su patrimonio y el nombramiento del administrador concursal.</w:t>
      </w:r>
    </w:p>
    <w:p w14:paraId="510DADF4" w14:textId="77777777" w:rsidR="00F64776" w:rsidRDefault="00F64776" w:rsidP="00F64776">
      <w:pPr>
        <w:pStyle w:val="TextoNormal"/>
      </w:pPr>
    </w:p>
    <w:p w14:paraId="12DAB1C5" w14:textId="77777777" w:rsidR="00F64776" w:rsidRDefault="00F64776" w:rsidP="00F64776">
      <w:pPr>
        <w:pStyle w:val="TextoNormal"/>
      </w:pPr>
      <w:r>
        <w:t>c) El 17 de noviembre de 2022 el administrador concursal interesó la conclusión del concurso, presentando la rendición de cuentas y solicitando la puesta en conocimiento de las partes, así como el traslado a la representación legal de la concursada para que, en su caso, solicitase el beneficio de exoneración del pasivo insatisfecho. El único activo era un vehículo del año 2015 valorado en 13 800 €, gravado con una reserva de dominio en favor de una entidad financiera. En cuanto a la masa pasiva del concurso, ascendía a un total de 120 611,77 €. De esa cantidad el crédito público era de 42 909 €, de los cuales 37 705,96 € correspondían a la Agencia Estatal de la Administración Tributaria (en adelante, AEAT), 226,22 € a la Tesorería General de la Seguridad Social, 4 203,21 € al Ayuntamiento de Barcelona y 773,62 € al Ayuntamiento de Badalona.</w:t>
      </w:r>
    </w:p>
    <w:p w14:paraId="106AF818" w14:textId="77777777" w:rsidR="00F64776" w:rsidRDefault="00F64776" w:rsidP="00F64776">
      <w:pPr>
        <w:pStyle w:val="TextoNormal"/>
      </w:pPr>
    </w:p>
    <w:p w14:paraId="473FA24F" w14:textId="77777777" w:rsidR="00F64776" w:rsidRDefault="00F64776" w:rsidP="00F64776">
      <w:pPr>
        <w:pStyle w:val="TextoNormal"/>
      </w:pPr>
      <w:r>
        <w:t>d) El 28 de noviembre de 2022 la representación procesal del deudor solicitó el beneficio de exoneración del pasivo insatisfecho en la modalidad de exoneración por aprobación del plan de pagos en aplicación de lo previsto en el art. 493 de la Ley concursal. El plan de pagos, de cinco años de duración, preveía el abono de una cantidad de 24,96 € mensuales.</w:t>
      </w:r>
    </w:p>
    <w:p w14:paraId="66D52149" w14:textId="77777777" w:rsidR="00F64776" w:rsidRDefault="00F64776" w:rsidP="00F64776">
      <w:pPr>
        <w:pStyle w:val="TextoNormal"/>
      </w:pPr>
    </w:p>
    <w:p w14:paraId="05295F15" w14:textId="77777777" w:rsidR="00F64776" w:rsidRDefault="00F64776" w:rsidP="00F64776">
      <w:pPr>
        <w:pStyle w:val="TextoNormal"/>
      </w:pPr>
      <w:r>
        <w:t>e) Por diligencia de ordenación de 29 de noviembre de 2022 se dio traslado de la propuesta de beneficio de exoneración del pasivo insatisfecho a la administración concursal y a los acreedores. El administrador concursal mostró su parecer favorable, señalando que no son exonerables determinados créditos públicos si se aplica la legislación vigente en el momento de solicitar dicho beneficio. Por su parte, la AEAT sostuvo que, dado que el beneficio de exoneración del pasivo insatisfecho fue presentado el 28 de noviembre de 2022, le resulta de aplicación la Ley concursal, en la redacción dada por la Ley 16/2022, de modo que de la aplicación del art. 489, en la redacción dada por la Ley 16/2022, resulta que el crédito público de la AEAT puede quedar exonerado hasta un máximo de 10 000 €.</w:t>
      </w:r>
    </w:p>
    <w:p w14:paraId="435F6CB7" w14:textId="77777777" w:rsidR="00F64776" w:rsidRDefault="00F64776" w:rsidP="00F64776">
      <w:pPr>
        <w:pStyle w:val="TextoNormal"/>
      </w:pPr>
    </w:p>
    <w:p w14:paraId="66DA5584" w14:textId="77777777" w:rsidR="00F64776" w:rsidRDefault="00F64776" w:rsidP="00F64776">
      <w:pPr>
        <w:pStyle w:val="TextoNormal"/>
      </w:pPr>
      <w:r>
        <w:t>f) Por auto de 9 de enero de 2023, el Juzgado de lo Mercantil núm. 7 de Barcelona acuerda la conclusión del concurso aprobando el plan de pagos previsto.</w:t>
      </w:r>
    </w:p>
    <w:p w14:paraId="2B7B3306" w14:textId="77777777" w:rsidR="00F64776" w:rsidRDefault="00F64776" w:rsidP="00F64776">
      <w:pPr>
        <w:pStyle w:val="TextoNormal"/>
      </w:pPr>
    </w:p>
    <w:p w14:paraId="5F83532D" w14:textId="77777777" w:rsidR="00F64776" w:rsidRDefault="00F64776" w:rsidP="00F64776">
      <w:pPr>
        <w:pStyle w:val="TextoNormal"/>
      </w:pPr>
      <w:r>
        <w:t xml:space="preserve">En lo que respecta a la exoneración del crédito público el auto sostiene que se ha de estar al criterio mantenido por el Tribunal Supremo en la sentencia de 2 de julio de 2019 en la que, básicamente, se considera que se debe incluir al crédito público en el sistema de exoneración, aplicando lo previsto en la redacción de la Ley concursal anterior a su refundición. Ello supone en este caso la inclusión del crédito público privilegiado y contra la masa en el plan de pagos y la exoneración provisional del restante crédito público. La entrada en vigor en su momento del texto refundido de la Ley concursal, con la modificación del régimen de extensión de los efectos de la exoneración en el art. 49l, no debe suponer una modificación de la anterior doctrina jurisprudencial, al apreciarse que el citado art. 49l debe ser inaplicado por vulnerar el art. 82.6 CE. Esta vulneración se deriva del hecho de que el texto refundido introduce en el art. 491 una regulación manifiestamente contraria a la norma que es objeto de refundición, en concreto el art. 178 </w:t>
      </w:r>
      <w:r w:rsidRPr="00F64776">
        <w:rPr>
          <w:i/>
        </w:rPr>
        <w:t>bis</w:t>
      </w:r>
      <w:r>
        <w:t xml:space="preserve">.3.4, lo que supone un exceso </w:t>
      </w:r>
      <w:r w:rsidRPr="00F64776">
        <w:rPr>
          <w:i/>
        </w:rPr>
        <w:t>ultra vires</w:t>
      </w:r>
      <w:r>
        <w:t xml:space="preserve"> en la delegación otorgada para proceder a la refundición, pudiendo los tribunales ordinarios, sin necesidad de plantear cuestión de inconstitucionalidad, inaplicar el precepto que se considere que excede de la materia que es objeto de refundición. En definitiva, se sostiene que el sistema de exoneración, tanto directo como provisional, previsto con anterioridad a la refundición de la legislación concursal tenía como efecto la exoneración de la totalidad del pasivo no satisfecho, sin la excepción del crédito público. Ello supone, por tanto, que el art. 497, que regula la extensión de la exoneración en el régimen especial (antes exoneración provisional), sea interpretado de la manera que recoge la STS de 2 de julio de 2019.</w:t>
      </w:r>
    </w:p>
    <w:p w14:paraId="3C054501" w14:textId="77777777" w:rsidR="00F64776" w:rsidRDefault="00F64776" w:rsidP="00F64776">
      <w:pPr>
        <w:pStyle w:val="TextoNormal"/>
      </w:pPr>
    </w:p>
    <w:p w14:paraId="23EE135A" w14:textId="77777777" w:rsidR="00F64776" w:rsidRDefault="00F64776" w:rsidP="00F64776">
      <w:pPr>
        <w:pStyle w:val="TextoNormal"/>
      </w:pPr>
      <w:r>
        <w:t>Igualmente, se aprueba el plan de pagos formulado por el concursado al que habrá de sujetarse el pago durante el plazo de cinco años de los créditos privilegiados y contra la masa que no hayan sido satisfechos en los términos indicados en la resolución del juzgado en que se acuerda la exoneración del pasivo no satisfecho.</w:t>
      </w:r>
    </w:p>
    <w:p w14:paraId="7E76DB78" w14:textId="77777777" w:rsidR="00F64776" w:rsidRDefault="00F64776" w:rsidP="00F64776">
      <w:pPr>
        <w:pStyle w:val="TextoNormal"/>
      </w:pPr>
    </w:p>
    <w:p w14:paraId="4DD7F294" w14:textId="77777777" w:rsidR="00F64776" w:rsidRDefault="00F64776" w:rsidP="00F64776">
      <w:pPr>
        <w:pStyle w:val="TextoNormal"/>
      </w:pPr>
      <w:r>
        <w:t>En el auto no hay referencia alguna a la aplicación de la regulación del texto refundido de la Ley concursal en su versión posterior a la modificación de la Ley 16/2022.</w:t>
      </w:r>
    </w:p>
    <w:p w14:paraId="4674898B" w14:textId="77777777" w:rsidR="00F64776" w:rsidRDefault="00F64776" w:rsidP="00F64776">
      <w:pPr>
        <w:pStyle w:val="TextoNormal"/>
      </w:pPr>
    </w:p>
    <w:p w14:paraId="51F99971" w14:textId="77777777" w:rsidR="00F64776" w:rsidRDefault="00F64776" w:rsidP="00F64776">
      <w:pPr>
        <w:pStyle w:val="TextoNormal"/>
      </w:pPr>
      <w:r>
        <w:t>g) Por la representación procesal de la AEAT se interpuso recurso de reposición en el que se alegaba que se estaba aplicando incorrectamente el texto refundido de la Ley concursal en la redacción anterior a la Ley 16/2022, de 5 de septiembre, y que, dado que la solicitud de beneficio de exoneración del pasivo insatisfecho fue presentada el 28 de noviembre de 2022, ha de aplicarse lo previsto en la Ley 16/2022 que, en esta parte, entró en vigor el día 26 de septiembre de 2022. De esa norma resulta que el crédito público de la AEAT puede ser exonerado hasta un máximo de 10 000 €. También se argumenta que el plan de pagos aprobado no cubre el crédito privilegiado de la AEAT que asciende a 13 214,40 €.</w:t>
      </w:r>
    </w:p>
    <w:p w14:paraId="29CA0F12" w14:textId="77777777" w:rsidR="00F64776" w:rsidRDefault="00F64776" w:rsidP="00F64776">
      <w:pPr>
        <w:pStyle w:val="TextoNormal"/>
      </w:pPr>
    </w:p>
    <w:p w14:paraId="238EFA15" w14:textId="77777777" w:rsidR="00F64776" w:rsidRDefault="00F64776" w:rsidP="00F64776">
      <w:pPr>
        <w:pStyle w:val="TextoNormal"/>
      </w:pPr>
      <w:r>
        <w:t>El administrador concursal se opone al recurso de reposición y plantea que la norma aplicable al beneficio de exoneración del pasivo insatisfecho ha de ser la vigente en la fecha en la que se dictó el auto de declaración del concurso, aplicando esa norma conforme al criterio del Tribunal Supremo en punto a la exoneración del crédito público.</w:t>
      </w:r>
    </w:p>
    <w:p w14:paraId="4E328A8F" w14:textId="77777777" w:rsidR="00F64776" w:rsidRDefault="00F64776" w:rsidP="00F64776">
      <w:pPr>
        <w:pStyle w:val="TextoNormal"/>
      </w:pPr>
    </w:p>
    <w:p w14:paraId="1EF66981" w14:textId="77777777" w:rsidR="00F64776" w:rsidRDefault="00F64776" w:rsidP="00F64776">
      <w:pPr>
        <w:pStyle w:val="TextoNormal"/>
      </w:pPr>
      <w:r>
        <w:t>h) El órgano judicial dictó providencia el día 21 de febrero de 2023 en la que acuerda dar traslado por diez días, conforme a lo dispuesto en el art. 35 de la Ley Orgánica del Tribunal Constitucional (LOTC), a las partes y al Ministerio Fiscal en relación con la pertinencia del planteamiento de cuestión de inconstitucionalidad respecto del art. 489.1.5 del texto refundido de la Ley concursal, en la redacción dada por la Ley 16/2022, en relación con la disposición transitoria primera, apartado 3.6 de la misma Ley 16/2022. Se afirma que “los primeros por ser contrarios al art. 9.3 de la CE” así como que “[l]a decisión final sobre la exoneración del pasivo insatisfecho depende de la validez de estas normas, porque de la validez de la [</w:t>
      </w:r>
      <w:r w:rsidRPr="00F64776">
        <w:rPr>
          <w:i/>
        </w:rPr>
        <w:t>sic</w:t>
      </w:r>
      <w:r>
        <w:t>] dependerá de que la exoneración se extienda o no a los créditos públicos no satisfechos y a su posible incardinación en un plan de pagos”.</w:t>
      </w:r>
    </w:p>
    <w:p w14:paraId="4CE6A65E" w14:textId="77777777" w:rsidR="00F64776" w:rsidRDefault="00F64776" w:rsidP="00F64776">
      <w:pPr>
        <w:pStyle w:val="TextoNormal"/>
      </w:pPr>
    </w:p>
    <w:p w14:paraId="23C2659D" w14:textId="77777777" w:rsidR="00F64776" w:rsidRDefault="00F64776" w:rsidP="00F64776">
      <w:pPr>
        <w:pStyle w:val="TextoNormal"/>
      </w:pPr>
      <w:r>
        <w:t>La parte concursada manifestó su parecer favorable al planteamiento de la cuestión.</w:t>
      </w:r>
    </w:p>
    <w:p w14:paraId="4AF553D0" w14:textId="77777777" w:rsidR="00F64776" w:rsidRDefault="00F64776" w:rsidP="00F64776">
      <w:pPr>
        <w:pStyle w:val="TextoNormal"/>
      </w:pPr>
    </w:p>
    <w:p w14:paraId="46790500" w14:textId="77777777" w:rsidR="00F64776" w:rsidRDefault="00F64776" w:rsidP="00F64776">
      <w:pPr>
        <w:pStyle w:val="TextoNormal"/>
      </w:pPr>
      <w:r>
        <w:t>La representación procesal de la AEAT volvió a señalar la necesidad de aplicar la regulación de la Ley 16/2022; mantuvo que no concurrían los requisitos para plantear la cuestión de inconstitucionalidad por la falta de identificación clara del precepto legal cuestionado y de las razones de su cuestionamiento y estimó que, en todo caso, la duda de constitucionalidad era infundada ya que no existía irretroactividad en el sentido proscrito por el art. 9.3 CE.</w:t>
      </w:r>
    </w:p>
    <w:p w14:paraId="405C24EC" w14:textId="77777777" w:rsidR="00F64776" w:rsidRDefault="00F64776" w:rsidP="00F64776">
      <w:pPr>
        <w:pStyle w:val="TextoNormal"/>
      </w:pPr>
    </w:p>
    <w:p w14:paraId="12D9DFC9" w14:textId="77777777" w:rsidR="00F64776" w:rsidRDefault="00F64776" w:rsidP="00F64776">
      <w:pPr>
        <w:pStyle w:val="TextoNormal"/>
      </w:pPr>
      <w:r>
        <w:t>No consta que el Ministerio Fiscal formulase alegaciones.</w:t>
      </w:r>
    </w:p>
    <w:p w14:paraId="5D8A2F6D" w14:textId="77777777" w:rsidR="00F64776" w:rsidRDefault="00F64776" w:rsidP="00F64776">
      <w:pPr>
        <w:pStyle w:val="TextoNormal"/>
      </w:pPr>
    </w:p>
    <w:p w14:paraId="6285DF58" w14:textId="77777777" w:rsidR="00F64776" w:rsidRDefault="00F64776" w:rsidP="00F64776">
      <w:pPr>
        <w:pStyle w:val="TextoNormal"/>
      </w:pPr>
      <w:r>
        <w:t>i) Como consecuencia del anterior escrito el órgano judicial dictó una nueva providencia de 22 de marzo de 2023 en la que especifica que las normas cuestionadas son la disposición transitoria primera, apartado 3.6 de la Ley 16/2022, en relación con el art. 489.1.5 del texto refundido de la Ley concursal, en la redacción dada por la Ley 16/2022, así como los arts. 491 y 497 del texto refundido, en su redacción anterior a la dada por la Ley 16/2022 y, finalmente, la disposición adicional primera del mismo texto refundido, en la redacción dada por la Ley 16/2022.</w:t>
      </w:r>
    </w:p>
    <w:p w14:paraId="6579530E" w14:textId="77777777" w:rsidR="00F64776" w:rsidRDefault="00F64776" w:rsidP="00F64776">
      <w:pPr>
        <w:pStyle w:val="TextoNormal"/>
      </w:pPr>
    </w:p>
    <w:p w14:paraId="1EE9DF5F" w14:textId="77777777" w:rsidR="00F64776" w:rsidRDefault="00F64776" w:rsidP="00F64776">
      <w:pPr>
        <w:pStyle w:val="TextoNormal"/>
      </w:pPr>
      <w:r>
        <w:t>En cuanto a los preceptos constitucionales que se entienden vulnerados indica que la disposición transitoria primera, apartado 3.6 de la Ley 16/2022, en relación con el art. 489.1.5 del texto refundido de la Ley concursal, en la redacción dada por la Ley 16/2022, sería contraria al art. 9.3 CE que recoge el principio de irretroactividad de las disposiciones sancionadoras no favorables o restrictivas de derechos individuales y el principio de seguridad jurídica.</w:t>
      </w:r>
    </w:p>
    <w:p w14:paraId="439BE6E0" w14:textId="77777777" w:rsidR="00F64776" w:rsidRDefault="00F64776" w:rsidP="00F64776">
      <w:pPr>
        <w:pStyle w:val="TextoNormal"/>
      </w:pPr>
    </w:p>
    <w:p w14:paraId="2988182A" w14:textId="77777777" w:rsidR="00F64776" w:rsidRDefault="00F64776" w:rsidP="00F64776">
      <w:pPr>
        <w:pStyle w:val="TextoNormal"/>
      </w:pPr>
      <w:r>
        <w:t>El principio de irretroactividad podría estar vulnerándose en la medida en que, en virtud de la disposición transitoria primera, apartado 3.6 de la Ley 16/2022, resultaría de aplicación al presente procedimiento la regulación del texto refundido de la Ley concursal en la redacción dada por la Ley 16/2022, y con ello el art. 489.1.5, que incluye el crédito público como crédito no exonerable, salvo determinados créditos públicos con determinados límites cuantitativos, y ello puede afectar al derecho a la exoneración de los créditos no satisfechos.</w:t>
      </w:r>
    </w:p>
    <w:p w14:paraId="44556DEE" w14:textId="77777777" w:rsidR="00F64776" w:rsidRDefault="00F64776" w:rsidP="00F64776">
      <w:pPr>
        <w:pStyle w:val="TextoNormal"/>
      </w:pPr>
    </w:p>
    <w:p w14:paraId="5DFA87B8" w14:textId="77777777" w:rsidR="00F64776" w:rsidRDefault="00F64776" w:rsidP="00F64776">
      <w:pPr>
        <w:pStyle w:val="TextoNormal"/>
      </w:pPr>
      <w:r>
        <w:t xml:space="preserve">La providencia explica que en la regulación anterior a la Ley 16/2022 la no exoneración, en su integridad, del crédito público se produjo con la aprobación del texto refundido de la Ley concursal de 2020, modificando el anterior sistema de la Ley concursal de 2003 en su art. 178 </w:t>
      </w:r>
      <w:r w:rsidRPr="00F64776">
        <w:rPr>
          <w:i/>
        </w:rPr>
        <w:t>bis</w:t>
      </w:r>
      <w:r>
        <w:t>, en la redacción dada por la Ley 25/2015, de 28 de julio, que permitía la denominada exoneración directa y tenía como efecto la exoneración de la totalidad del pasivo no satisfecho, sin excepción, incluyendo el crédito público. Y en el sistema de exoneración provisional mediante plan de pagos se aplicaban los criterios interpretativos de la sentencia del Tribunal Supremo de la Sala de lo Civil 381/2019, de 2 de julio, en el sentido de entender que el crédito público podía ser objeto de exoneración provisional y objeto de satisfacción a través del sistema de plan de pagos mediante la inclusión del crédito público privilegiado y contra la masa no satisfecho en el mismo. La providencia señala que este régimen se vio alterado por el texto refundido de la Ley concursal, cuyo art. 491 cambió por completo una norma clara e indiscutida del sistema llamado a refundir, reguló de manera contraria a la norma vigente los efectos de la exoneración y modificó el equilibrio de derechos que regula dicho sistema y, por tanto, la igualdad de trato de los acreedores, sin que esta alteración pudiera ser considerada una aclaración, regularización o sistematización de la norma vigente, incurriendo e</w:t>
      </w:r>
      <w:r w:rsidRPr="00F64776">
        <w:rPr>
          <w:i/>
        </w:rPr>
        <w:t>n ultra vir</w:t>
      </w:r>
      <w:r>
        <w:t>es.</w:t>
      </w:r>
    </w:p>
    <w:p w14:paraId="714E8578" w14:textId="77777777" w:rsidR="00F64776" w:rsidRDefault="00F64776" w:rsidP="00F64776">
      <w:pPr>
        <w:pStyle w:val="TextoNormal"/>
      </w:pPr>
    </w:p>
    <w:p w14:paraId="6F44235A" w14:textId="77777777" w:rsidR="00F64776" w:rsidRDefault="00F64776" w:rsidP="00F64776">
      <w:pPr>
        <w:pStyle w:val="TextoNormal"/>
      </w:pPr>
      <w:r>
        <w:t>También indica que el art. 489.1.5 del texto refundido de la Ley concursal, en la redacción dada por la Ley 16/2022 modifica sustantivamente la extensión de la exoneración y que la disposición transitoria primera, apartado 3.6 de la Ley 16/2022 hace depender la aplicación del nuevo régimen jurídico del momento de la solicitud del concurso, lo que podría vulnerar el principio de irretroactividad de las disposiciones sancionadoras no favorables o restrictivas de derechos individuales y el principio de seguridad jurídica, dado que la situación jurídica material de insolvencia de la persona física y la concurrencia de los requisitos materiales para obtener la exoneración estarían ya consolidados antes de que se produzca el momento, la solicitud de la exoneración, que el legislador escogió en la disposición transitoria primera, apartado 3.6 para hacer depender la aplicación de un régimen u otro.</w:t>
      </w:r>
    </w:p>
    <w:p w14:paraId="29B50E7E" w14:textId="77777777" w:rsidR="00F64776" w:rsidRDefault="00F64776" w:rsidP="00F64776">
      <w:pPr>
        <w:pStyle w:val="TextoNormal"/>
      </w:pPr>
    </w:p>
    <w:p w14:paraId="433CB62A" w14:textId="77777777" w:rsidR="00F64776" w:rsidRDefault="00F64776" w:rsidP="00F64776">
      <w:pPr>
        <w:pStyle w:val="TextoNormal"/>
      </w:pPr>
      <w:r>
        <w:t>La providencia señala que la solicitud de concurso voluntario se produjo el 3 de junio de 2021 y que la aprobación del plan de liquidación es anterior a la Ley 16/2022, por lo que antes de la entrada en vigor de la citada Ley 16/2022 ya concurría la situación fáctica esencial de los presupuestos materiales que exigía el derecho a la exoneración, siendo la posterior modalidad, exoneración directa o mediante plan de pagos, mera concreción procesal del sistema de exoneración. La liquidación de la masa activa del concursado y con ello la llegada de la fase de conclusión del concurso, dentro de la cual se solicita la exoneración, no es un presupuesto sustantivo o material para la exoneración, sino procesal, que puede llegar a determinar únicamente la modalidad de exoneración y sus efectos, pero no los presupuestos o requisitos de la exoneración. Añade que “[e]n cuanto al principio de seguridad jurídica, la situación de hecho ya se habría también producido o desarrollado con anterioridad a la ley (insolvencia y concurrencia de presupuestos materiales de la exoneración —persona física de buena fe—) pudiendo hablarse de retroactividad auténtica”.</w:t>
      </w:r>
    </w:p>
    <w:p w14:paraId="318B90BC" w14:textId="77777777" w:rsidR="00F64776" w:rsidRDefault="00F64776" w:rsidP="00F64776">
      <w:pPr>
        <w:pStyle w:val="TextoNormal"/>
      </w:pPr>
    </w:p>
    <w:p w14:paraId="6568610D" w14:textId="77777777" w:rsidR="00F64776" w:rsidRDefault="00F64776" w:rsidP="00F64776">
      <w:pPr>
        <w:pStyle w:val="TextoNormal"/>
      </w:pPr>
      <w:r>
        <w:t xml:space="preserve">Además, considera que se vulneraría el art. 82.5 CE por los arts. 491 y 497 del texto refundido de la Ley concursal, en su redacción anterior a la dada por la Ley 16/2022, por cuanto “tales preceptos han podido ir más allá de lo que le habilita la delegación del legislativo, más allá de la facultad de regularizar, aclarar y armonizar, puesto que habría regulado la exoneración, por un lado, en contra de la literalidad de la norma en lo que se refiere al sistema de exoneración directa del art. 178 </w:t>
      </w:r>
      <w:r w:rsidRPr="00F64776">
        <w:rPr>
          <w:i/>
        </w:rPr>
        <w:t>bis</w:t>
      </w:r>
      <w:r>
        <w:t>.4, que podía suponer la exoneración de crédito público ordinario y subordinado y, por otro lado, en contra de la interpretación sostenida por el Tribunal Supremo en la sentencia de 2 de julio de 2019 antes indicada respecto de la exoneración mediante plan de pagos”.</w:t>
      </w:r>
    </w:p>
    <w:p w14:paraId="2FAC275D" w14:textId="77777777" w:rsidR="00F64776" w:rsidRDefault="00F64776" w:rsidP="00F64776">
      <w:pPr>
        <w:pStyle w:val="TextoNormal"/>
      </w:pPr>
    </w:p>
    <w:p w14:paraId="44DC7E27" w14:textId="77777777" w:rsidR="00F64776" w:rsidRDefault="00F64776" w:rsidP="00F64776">
      <w:pPr>
        <w:pStyle w:val="TextoNormal"/>
      </w:pPr>
      <w:r>
        <w:t xml:space="preserve">Respecto a la aplicabilidad y relevancia de las normas cuestionadas se afirma que la decisión final sobre la exoneración del pasivo insatisfecho en el proceso </w:t>
      </w:r>
      <w:r w:rsidRPr="00F64776">
        <w:rPr>
          <w:i/>
        </w:rPr>
        <w:t>a quo</w:t>
      </w:r>
      <w:r>
        <w:t xml:space="preserve"> depende, por completo, de la validez de estas normas. En cuanto a la disposición transitoria primera, apartado 3.6 de la Ley 16/2022 en relación con el art. 489.1.5 del texto refundido de la Ley concursal, porque de su validez dependerá que la exoneración se extienda o no a los créditos públicos no satisfechos y a su posible incardinación en un plan de pagos. Y respecto de los arts. 491 y 497 de dicho texto refundido porque, de entenderse inconstitucional la disposición transitoria primera, apartado 3.6 de la Ley 16/2022, resultarán de aplicación a la decisión final sobre la exoneración del crédito público.</w:t>
      </w:r>
    </w:p>
    <w:p w14:paraId="1329793F" w14:textId="77777777" w:rsidR="00F64776" w:rsidRDefault="00F64776" w:rsidP="00F64776">
      <w:pPr>
        <w:pStyle w:val="TextoNormal"/>
      </w:pPr>
    </w:p>
    <w:p w14:paraId="2E683F2E" w14:textId="77777777" w:rsidR="00F64776" w:rsidRDefault="00F64776" w:rsidP="00F64776">
      <w:pPr>
        <w:pStyle w:val="TextoNormal"/>
      </w:pPr>
      <w:r>
        <w:t>j) La representación procesal del deudor manifestó su conformidad con el planteamiento de la cuestión.</w:t>
      </w:r>
    </w:p>
    <w:p w14:paraId="44DEC6EA" w14:textId="77777777" w:rsidR="00F64776" w:rsidRDefault="00F64776" w:rsidP="00F64776">
      <w:pPr>
        <w:pStyle w:val="TextoNormal"/>
      </w:pPr>
    </w:p>
    <w:p w14:paraId="60ADB4A8" w14:textId="77777777" w:rsidR="00F64776" w:rsidRDefault="00F64776" w:rsidP="00F64776">
      <w:pPr>
        <w:pStyle w:val="TextoNormal"/>
      </w:pPr>
      <w:r>
        <w:t>El Ministerio Fiscal sostiene que antes de plantear la cuestión de inconstitucionalidad el juez debería pronunciarse sobre la tesis de la AEAT, respecto a la aplicación de lo previsto por la Ley 16/2022, cuestión que no aclara en la providencia. Si opta por aplicarlo, la norma cuestionada será determinante para resolver el incidente concursal de exoneración del pasivo insatisfecho; pero no en el caso contrario. En cuanto a la duda de constitucionalidad relativa a los arts. 491 y 497 del texto refundido de la Ley concursal, el fiscal entiende que, al no haberse despejado la duda anterior, es inoportuno dudar de la constitucionalidad de la normativa llamada a suplir a la que se dejaría de aplicar en virtud de las normas de transitoriedad, ya que o es inconstitucional la norma desplazada o son inconstitucionales estos preceptos, pero no las dos normas a la vez.</w:t>
      </w:r>
    </w:p>
    <w:p w14:paraId="146FC1E7" w14:textId="77777777" w:rsidR="00F64776" w:rsidRDefault="00F64776" w:rsidP="00F64776">
      <w:pPr>
        <w:pStyle w:val="TextoNormal"/>
      </w:pPr>
    </w:p>
    <w:p w14:paraId="73629EDD" w14:textId="77777777" w:rsidR="00F64776" w:rsidRDefault="00F64776" w:rsidP="00F64776">
      <w:pPr>
        <w:pStyle w:val="TextoNormal"/>
      </w:pPr>
      <w:r>
        <w:t xml:space="preserve">En todo caso, el fiscal considera que el juez </w:t>
      </w:r>
      <w:r w:rsidRPr="00F64776">
        <w:rPr>
          <w:i/>
        </w:rPr>
        <w:t>a quo</w:t>
      </w:r>
      <w:r>
        <w:t xml:space="preserve"> puede resolver esta segunda objeción, pues el exceso en la delegación solo contravendría la ley delegante y no el art. 82.5 CE ya que en caso de </w:t>
      </w:r>
      <w:r w:rsidRPr="00F64776">
        <w:rPr>
          <w:i/>
        </w:rPr>
        <w:t>ultra vires</w:t>
      </w:r>
      <w:r>
        <w:t xml:space="preserve"> el art. 82.6 CE establece el mecanismo de control del exceso en la refundición que no es otro que el de los tribunales. Recuerda el fiscal que el Tribunal Constitucional ha acogido la posibilidad de que los excesos de la delegación legislativa achacable a los decretos legislativos puedan ser conocidos por la jurisdicción ordinaria, de manera que se identifiquen aquellos extremos en los que la delegación hubiera sido excedida, atribuyendo valor de reglamento a la norma que sobrepase aquella habilitación.</w:t>
      </w:r>
    </w:p>
    <w:p w14:paraId="1C2F03BF" w14:textId="77777777" w:rsidR="00F64776" w:rsidRDefault="00F64776" w:rsidP="00F64776">
      <w:pPr>
        <w:pStyle w:val="TextoNormal"/>
      </w:pPr>
    </w:p>
    <w:p w14:paraId="30519FE1" w14:textId="77777777" w:rsidR="00F64776" w:rsidRDefault="00F64776" w:rsidP="00F64776">
      <w:pPr>
        <w:pStyle w:val="TextoNormal"/>
      </w:pPr>
      <w:r>
        <w:t>No consta que la representación procesal de la AEAT formulase nuevas alegaciones.</w:t>
      </w:r>
    </w:p>
    <w:p w14:paraId="350D05F8" w14:textId="77777777" w:rsidR="00F64776" w:rsidRDefault="00F64776" w:rsidP="00F64776">
      <w:pPr>
        <w:pStyle w:val="TextoNormal"/>
      </w:pPr>
    </w:p>
    <w:p w14:paraId="26FDE41F" w14:textId="3EFF4801" w:rsidR="00F64776" w:rsidRDefault="00F64776" w:rsidP="00F64776">
      <w:pPr>
        <w:pStyle w:val="TextoNormal"/>
      </w:pPr>
      <w:r>
        <w:t>k) El órgano judicial dictó auto de 12 de junio de 2023 por el que acuerda plantear cuestión de inconstitucionalidad respecto de la disposición transitoria primera, apartado 3.6 de la Ley 16/2022, en relación con el art. 489.1.5 del texto refundido de la Ley concursal, en la redacción dada por la dicha Ley 16/2022, así como en cuanto a los arts. 491 y 497 del mismo texto refundido, en su redacción anterior a la dada por la Ley 16/2022.</w:t>
      </w:r>
    </w:p>
    <w:p w14:paraId="03AA2176" w14:textId="77777777" w:rsidR="00F64776" w:rsidRDefault="00F64776" w:rsidP="00F64776">
      <w:pPr>
        <w:pStyle w:val="TextoNormal"/>
      </w:pPr>
    </w:p>
    <w:p w14:paraId="0EE7A2E7" w14:textId="77777777" w:rsidR="00F64776" w:rsidRDefault="00F64776" w:rsidP="00F64776">
      <w:pPr>
        <w:pStyle w:val="TextoNormal"/>
      </w:pPr>
      <w:r w:rsidRPr="00F64776">
        <w:rPr>
          <w:rStyle w:val="NumeroAFNegritaCaracter"/>
        </w:rPr>
        <w:t>3</w:t>
      </w:r>
      <w:r>
        <w:t>. Del contenido del auto de planteamiento interesa destacar lo siguiente:</w:t>
      </w:r>
    </w:p>
    <w:p w14:paraId="17D5BBD4" w14:textId="77777777" w:rsidR="00F64776" w:rsidRDefault="00F64776" w:rsidP="00F64776">
      <w:pPr>
        <w:pStyle w:val="TextoNormal"/>
      </w:pPr>
    </w:p>
    <w:p w14:paraId="1C58C527" w14:textId="77777777" w:rsidR="00F64776" w:rsidRDefault="00F64776" w:rsidP="00F64776">
      <w:pPr>
        <w:pStyle w:val="TextoNormal"/>
      </w:pPr>
      <w:r>
        <w:t>El auto expone en primer lugar el contenido de las normas cuestionadas y lo que denomina antecedentes fácticos y normativos del asunto planteado, haciendo referencia a continuación a la regulación del sistema de exoneración de créditos en el texto refundido de la Ley concursal, en la redacción dada por la Ley 16/2022, y destacando que se exige que se trate de un deudor de buena fe, así como que el art. 489 de dicho texto refundido, a diferencia de la regulación anterior, fija un listado claro de créditos no exonerables, siendo exonerables los créditos que formen parte de la masa pasiva del concurso que no hayan sido satisfechos. Señala también que la exoneración se puede obtener en el momento de la conclusión del concurso o antes de ese momento y sin necesidad de liquidación, si se presenta un plan de pagos destinado a satisfacer los créditos exonerables.</w:t>
      </w:r>
    </w:p>
    <w:p w14:paraId="7BBB28AA" w14:textId="77777777" w:rsidR="00F64776" w:rsidRDefault="00F64776" w:rsidP="00F64776">
      <w:pPr>
        <w:pStyle w:val="TextoNormal"/>
      </w:pPr>
    </w:p>
    <w:p w14:paraId="70EED8CE" w14:textId="77777777" w:rsidR="00F64776" w:rsidRDefault="00F64776" w:rsidP="00F64776">
      <w:pPr>
        <w:pStyle w:val="TextoNormal"/>
      </w:pPr>
      <w:r>
        <w:t xml:space="preserve">Seguidamente expone la regulación del texto refundido de la Ley concursal aprobado por el Real Decreto Legislativo 1/2020 y, por tanto, anterior a la reforma de la Ley 16/2022, destacando, en cuanto a la extensión y efectos de la exoneración, que los arts. 491 y 497 excluían de la exoneración los créditos públicos fuera por exoneración directa o por pago de una determinada categoría de créditos (art. 491) o por la exoneración mediante plan de pagos (art. 497). Y alude también a la regulación anterior a ese texto refundido de la que señala que, tras su interpretación por la STS 381/2019, de 2 de julio, dictada por el Pleno de la Sala de lo Civil del Tribunal Supremo, se venía entendiendo en el sentido de que el crédito público podía ser objeto de exoneración provisional y objeto de satisfacción también a través del sistema de plan de pagos. En ese sentido se citan resoluciones judiciales que han considerado que el art 491 introducido por el texto refundido de la Ley concursal alteró por completo una norma clara e indiscutida del sistema llamado a refundir, sin que esta alteración pudiera ser considerada una aclaración, regularización o sistematización de la norma vigente, con la consecuencia de su inaplicación por entenderlo </w:t>
      </w:r>
      <w:r w:rsidRPr="00F64776">
        <w:rPr>
          <w:i/>
        </w:rPr>
        <w:t>ultra vires</w:t>
      </w:r>
      <w:r>
        <w:t>.</w:t>
      </w:r>
    </w:p>
    <w:p w14:paraId="21B6DED2" w14:textId="77777777" w:rsidR="00F64776" w:rsidRDefault="00F64776" w:rsidP="00F64776">
      <w:pPr>
        <w:pStyle w:val="TextoNormal"/>
      </w:pPr>
    </w:p>
    <w:p w14:paraId="693DAAFD" w14:textId="77777777" w:rsidR="00F64776" w:rsidRDefault="00F64776" w:rsidP="00F64776">
      <w:pPr>
        <w:pStyle w:val="TextoNormal"/>
      </w:pPr>
      <w:r>
        <w:t>En cuanto a los preceptos constitucionales que se entienden vulnerados, el auto considera que la disposición transitoria primera, apartado 3.6 de la Ley 16/2022, en relación con el art. 489.1.5 del texto refundido de la Ley concursal, en la redacción dada por la Ley 6/2022, podría estar vulnerando el art. 9.3 CE que recoge el principio de irretroactividad de las disposiciones sancionadoras no favorables o restrictivas de derechos individuales y el principio de seguridad jurídica.</w:t>
      </w:r>
    </w:p>
    <w:p w14:paraId="0658C751" w14:textId="77777777" w:rsidR="00F64776" w:rsidRDefault="00F64776" w:rsidP="00F64776">
      <w:pPr>
        <w:pStyle w:val="TextoNormal"/>
      </w:pPr>
    </w:p>
    <w:p w14:paraId="3F9D5036" w14:textId="77777777" w:rsidR="00F64776" w:rsidRDefault="00F64776" w:rsidP="00F64776">
      <w:pPr>
        <w:pStyle w:val="TextoNormal"/>
      </w:pPr>
      <w:r>
        <w:t>El principio de irretroactividad podría estar vulnerándose en la medida en que, en virtud de la disposición transitoria primera, apartado 3.6 de la Ley 16/2022, resultaría de aplicación al presente caso la regulación del texto refundido de la Ley concursal en la redacción dada por la Ley 16/2022 y con ello el art. 489.1.5, que incluye el crédito público como crédito no exonerable, salvo determinados créditos públicos con determinados límites cuantitativos, y eso puede afectar al derecho a la exoneración de los créditos no satisfechos.</w:t>
      </w:r>
    </w:p>
    <w:p w14:paraId="5133D848" w14:textId="77777777" w:rsidR="00F64776" w:rsidRDefault="00F64776" w:rsidP="00F64776">
      <w:pPr>
        <w:pStyle w:val="TextoNormal"/>
      </w:pPr>
    </w:p>
    <w:p w14:paraId="65E00F2A" w14:textId="77777777" w:rsidR="00F64776" w:rsidRDefault="00F64776" w:rsidP="00F64776">
      <w:pPr>
        <w:pStyle w:val="TextoNormal"/>
      </w:pPr>
      <w:r>
        <w:t xml:space="preserve">También resalta que, en la regulación anterior a la Ley 16/2022, la exclusión derivaba de lo previsto en el art. 491 del texto refundido de la Ley concursal que era inaplicado en los juzgados y tribunales por aplicar la doctrina </w:t>
      </w:r>
      <w:r w:rsidRPr="00F64776">
        <w:rPr>
          <w:i/>
        </w:rPr>
        <w:t>ultra vires</w:t>
      </w:r>
      <w:r>
        <w:t xml:space="preserve">. Según el órgano judicial “partiendo de la base de que el art. 489.1.5 del texto refundido de la Ley concursal en la redacción dada por la Ley 16/2022 modifica sustantivamente la extensión de la exoneración, entonces la disposición transitoria primera, apartado 3.6 en virtud de la cual se hace depender la aplicación del nuevo régimen jurídico del momento de la solicitud del concurso, podría vulnerar el principio de irretroactividad de las disposiciones sancionadoras no favorables o restrictivas de derechos individuales y el principio de seguridad jurídica”. Se alega que la situación jurídica material de insolvencia de la persona física y la concurrencia de los requisitos materiales (presupuestos objetivo y subjetivo) para obtener la exoneración estarían ya consolidados antes de que se produzca el momento, que es procesal adjetivo, que el legislador escogió en la disposición transitoria primera, apartado 3.6 para hacer depender la aplicación de un régimen u otro, que es la solicitud de la exoneración. Destaca que, en el caso </w:t>
      </w:r>
      <w:r w:rsidRPr="00F64776">
        <w:rPr>
          <w:i/>
        </w:rPr>
        <w:t>a quo</w:t>
      </w:r>
      <w:r>
        <w:t>, cuando se aprueba el plan de liquidación, ya concurrían los presupuestos materiales que exigía el derecho a la exoneración. Es decir, la llegada de la fase de conclusión del concurso, dentro de la cual se solicita la exoneración, no es un presupuesto sustantivo o material para la exoneración, sino procesal, que no determina en modo alguno los presupuestos o requisitos de la exoneración. Solamente podría determinar la llegada a la fase final del procedimiento si hubiera bienes suficientes para liquidar y hasta el final de la liquidación no se pudiera conocer si el deudor podía, con la venta de los bienes, cumplir con el requisito objetivo para la exoneración directa o tenía que presentar plan de pagos. Pero no es lo que sucede en este caso en que desde el principio del concurso se sabe que los bienes y derechos realizables, si los hay, serán insuficientes para pagar los créditos contra la masa y privilegiados y por ello será necesario presentar plan de pagos para obtener la exoneración.</w:t>
      </w:r>
    </w:p>
    <w:p w14:paraId="6239C07A" w14:textId="77777777" w:rsidR="00F64776" w:rsidRDefault="00F64776" w:rsidP="00F64776">
      <w:pPr>
        <w:pStyle w:val="TextoNormal"/>
      </w:pPr>
    </w:p>
    <w:p w14:paraId="70F3DA29" w14:textId="77777777" w:rsidR="00F64776" w:rsidRDefault="00F64776" w:rsidP="00F64776">
      <w:pPr>
        <w:pStyle w:val="TextoNormal"/>
      </w:pPr>
      <w:r>
        <w:t>Finalmente, se sostiene que “en cuanto al principio de seguridad jurídica que recoge el art. 9.3 de la CE, la situación de hecho (insolvencia y concurrencia de presupuestos materiales de la exoneración —persona física de buena fe—) ya se habría también producido o desarrollado con anterioridad al momento elegido por el legislador para hacer depender la entrada en vigor de la reforma de la Ley 16/2022, pudiendo hablarse de retroactividad auténtica”.</w:t>
      </w:r>
    </w:p>
    <w:p w14:paraId="21F1999D" w14:textId="77777777" w:rsidR="00F64776" w:rsidRDefault="00F64776" w:rsidP="00F64776">
      <w:pPr>
        <w:pStyle w:val="TextoNormal"/>
      </w:pPr>
    </w:p>
    <w:p w14:paraId="617A45A3" w14:textId="77777777" w:rsidR="00F64776" w:rsidRDefault="00F64776" w:rsidP="00F64776">
      <w:pPr>
        <w:pStyle w:val="TextoNormal"/>
      </w:pPr>
      <w:r>
        <w:t>En segundo lugar, sostiene que se vulnera el art. 82.5 CE por los arts. 491 y 497 del texto refundido de la Ley concursal, en la redacción anterior a la Ley 16/2022, por cuanto tales preceptos han podido ir más allá de la facultad de regularizar, aclarar y armonizar, puesto que habrían regulado la exoneración, por un lado, en contra de la literalidad de la norma en lo que se refiere al sistema de exoneración directa que podía suponer la exoneración de crédito público y, por otro lado, en contra de la interpretación sostenida por el Tribunal Supremo en la sentencia de 2 de julio de 2019 antes indicada.</w:t>
      </w:r>
    </w:p>
    <w:p w14:paraId="4B28AAD5" w14:textId="77777777" w:rsidR="00F64776" w:rsidRDefault="00F64776" w:rsidP="00F64776">
      <w:pPr>
        <w:pStyle w:val="TextoNormal"/>
      </w:pPr>
    </w:p>
    <w:p w14:paraId="13FC297C" w14:textId="7EF0696B" w:rsidR="00F64776" w:rsidRDefault="00F64776" w:rsidP="00F64776">
      <w:pPr>
        <w:pStyle w:val="TextoNormal"/>
      </w:pPr>
      <w:r>
        <w:t xml:space="preserve">El auto justifica la aplicabilidad y relevancia de los preceptos que cuestiona en los términos siguientes: “La decisión final sobre la exoneración del pasivo insatisfecho, es decir la que abarcaría al crédito público titularidad de la AEAT, depende, por completo, de la validez de estas normas. En cuanto a la disposición transitoria primera, apartado 3.6 de la Ley 16/2022 en relación con el art. 489.1.5 del texto refundido de la Ley concursal, porque de la validez de las mismas dependerá que la exoneración se extienda o no a los créditos públicos no satisfechos y a su posible incardinación en un plan de pagos. Respecto de los arts. 491 y 497 del texto refundido de la Ley concursal, porque, de entenderse inconstitucional la disposición transitoria, resultaran de aplicación a la decisión final sobre exoneración del crédito público, y se aplicaría entonces el art. 178 </w:t>
      </w:r>
      <w:r w:rsidRPr="00F64776">
        <w:rPr>
          <w:i/>
        </w:rPr>
        <w:t>bis</w:t>
      </w:r>
      <w:r>
        <w:t xml:space="preserve">, interpretado por la STS de 2 de julio de 2019. Esta decisión final sobre la exoneración no imposibilita la exoneración de otros tipos de créditos que, igualmente, se aplique la Ley 16/2022, el texto refundido de la Ley concursal o el art. 178 </w:t>
      </w:r>
      <w:r w:rsidRPr="00F64776">
        <w:rPr>
          <w:i/>
        </w:rPr>
        <w:t>bis</w:t>
      </w:r>
      <w:r>
        <w:t>, serían exonerados sin necesidad de plan de pagos”.</w:t>
      </w:r>
    </w:p>
    <w:p w14:paraId="431F81E3" w14:textId="77777777" w:rsidR="00F64776" w:rsidRDefault="00F64776" w:rsidP="00F64776">
      <w:pPr>
        <w:pStyle w:val="TextoNormal"/>
      </w:pPr>
    </w:p>
    <w:p w14:paraId="1F053DF8" w14:textId="77777777" w:rsidR="00F64776" w:rsidRDefault="00F64776" w:rsidP="00F64776">
      <w:pPr>
        <w:pStyle w:val="TextoNormal"/>
      </w:pPr>
      <w:r w:rsidRPr="00F64776">
        <w:rPr>
          <w:rStyle w:val="NumeroAFNegritaCaracter"/>
        </w:rPr>
        <w:t>4</w:t>
      </w:r>
      <w:r>
        <w:t>. Por escrito de 5 de septiembre de 2023 el magistrado don Juan Carlos Campo Moreno comunicó al señor presidente del Tribunal Constitucional su voluntad de abstenerse de intervenir en el conocimiento de las cuestiones de inconstitucionalidad núm. 4242-2023 y 4408-2023, por el hecho de haber participado el magistrado, en su condición de ministro de Justicia, en el Consejo de Ministros de 5 de mayo de 2020, en el que se aprobó el Real Decreto Legislativo 1/2020, de 5 de mayo, por el que se aprueba el texto refundido de la Ley concursal.</w:t>
      </w:r>
    </w:p>
    <w:p w14:paraId="2005B746" w14:textId="77777777" w:rsidR="00F64776" w:rsidRDefault="00F64776" w:rsidP="00F64776">
      <w:pPr>
        <w:pStyle w:val="TextoNormal"/>
      </w:pPr>
    </w:p>
    <w:p w14:paraId="26E0FBEE" w14:textId="4A2B4B41" w:rsidR="00F64776" w:rsidRDefault="00F64776" w:rsidP="00F64776">
      <w:pPr>
        <w:pStyle w:val="TextoNormal"/>
      </w:pPr>
      <w:r>
        <w:t>El Pleno del Tribunal, por ATC 433/2023, de 12 de septiembre, estimó justificada la abstención formulada por el magistrado don Juan Carlos Campo Moreno, apartándole definitivamente del conocimiento de las cuestiones de inconstitucionalidad núm. 4242-2023 y 4408-2023.</w:t>
      </w:r>
    </w:p>
    <w:p w14:paraId="73B55656" w14:textId="77777777" w:rsidR="00F64776" w:rsidRDefault="00F64776" w:rsidP="00F64776">
      <w:pPr>
        <w:pStyle w:val="TextoNormal"/>
      </w:pPr>
    </w:p>
    <w:p w14:paraId="2DA5F4B7" w14:textId="5B1942C3" w:rsidR="00F64776" w:rsidRDefault="00F64776" w:rsidP="00F64776">
      <w:pPr>
        <w:pStyle w:val="TextoNormal"/>
      </w:pPr>
      <w:r w:rsidRPr="00F64776">
        <w:rPr>
          <w:rStyle w:val="NumeroAFNegritaCaracter"/>
        </w:rPr>
        <w:t>5</w:t>
      </w:r>
      <w:r>
        <w:t>. Por providencia de 12 de septiembre de 2023, el Pleno acordó oír al fiscal general del Estado para que, en el plazo de diez días, y a los efectos que determina el art. 37.1 LOTC, alegase lo que considerase conveniente acerca de la admisibilidad de la presente cuestión de inconstitucionalidad, en relación con el cumplimiento de los requisitos procesales (art. 35.2 LOTC) y por si fuere notoriamente infundada.</w:t>
      </w:r>
    </w:p>
    <w:p w14:paraId="24EC06E4" w14:textId="77777777" w:rsidR="00F64776" w:rsidRDefault="00F64776" w:rsidP="00F64776">
      <w:pPr>
        <w:pStyle w:val="TextoNormal"/>
      </w:pPr>
    </w:p>
    <w:p w14:paraId="4CDE5BA7" w14:textId="77777777" w:rsidR="00F64776" w:rsidRDefault="00F64776" w:rsidP="00F64776">
      <w:pPr>
        <w:pStyle w:val="TextoNormal"/>
      </w:pPr>
      <w:r w:rsidRPr="00F64776">
        <w:rPr>
          <w:rStyle w:val="NumeroAFNegritaCaracter"/>
        </w:rPr>
        <w:t>6</w:t>
      </w:r>
      <w:r>
        <w:t>. El fiscal general del Estado evacuó el trámite conferido mediante escrito registrado en este tribunal el 10 de octubre de 2023, en el que considera que la cuestión de inconstitucionalidad debe ser inadmitida por incumplimiento de los presupuestos procesales del art. 35.2 LOTC, así como por ser notoriamente infundada.</w:t>
      </w:r>
    </w:p>
    <w:p w14:paraId="004BBB60" w14:textId="77777777" w:rsidR="00F64776" w:rsidRDefault="00F64776" w:rsidP="00F64776">
      <w:pPr>
        <w:pStyle w:val="TextoNormal"/>
      </w:pPr>
    </w:p>
    <w:p w14:paraId="4575151F" w14:textId="77777777" w:rsidR="00F64776" w:rsidRDefault="00F64776" w:rsidP="00F64776">
      <w:pPr>
        <w:pStyle w:val="TextoNormal"/>
      </w:pPr>
      <w:r>
        <w:t>Tras hacer referencia a los antecedentes del caso y a los datos que considera relevantes para el planteamiento de la duda de constitucionalidad, en particular las diferentes regulaciones que ha recibido el beneficio de exoneración del pasivo insatisfecho en las modificaciones de la legislación concursal, alude a los preceptos constitucionales que se entienden vulnerados, poniéndolos en relación con el planteamiento del órgano judicial, y a la formulación de los juicios de aplicabilidad y relevancia.</w:t>
      </w:r>
    </w:p>
    <w:p w14:paraId="2EA00C84" w14:textId="77777777" w:rsidR="00F64776" w:rsidRDefault="00F64776" w:rsidP="00F64776">
      <w:pPr>
        <w:pStyle w:val="TextoNormal"/>
      </w:pPr>
    </w:p>
    <w:p w14:paraId="659F1E9A" w14:textId="77777777" w:rsidR="00F64776" w:rsidRDefault="00F64776" w:rsidP="00F64776">
      <w:pPr>
        <w:pStyle w:val="TextoNormal"/>
      </w:pPr>
      <w:r>
        <w:t>Examina a continuación el cumplimiento de los requisitos procesales para el planteamiento de la cuestión de inconstitucionalidad. Descarta, en primer término, que la cuestión de inconstitucionalidad sea extemporánea, pero señala que, respecto a la primera providencia por la que abre el trámite de audiencia, “[l]a duda de constitucionalidad se realiza de una forma tan abierta e inconcreta que se desconocen los razonamientos sobre la posible inconstitucionalidad de estos y en particular el principio o principios con los que entran en colisión”. Para el fiscal general del Estado, la segunda providencia dictada por el órgano judicial incurre en el mismo defecto que la primera y amplía las dudas de constitucionalidad a otros preceptos de la normativa concursal respecto de otro artículo de la Constitución. En conclusión, para el Ministerio Público, el contenido de las providencias no identifica de forma adecuada y precisa las normas constitucionales con las que entrarían en colisión los preceptos cuestionados y en consecuencia las mismas no cumplen con las condiciones procesales. Tampoco se cumpliría el juicio de aplicabilidad, en la medida en que se formula sobre distintas hipótesis de posible inconstitucionalidad de los preceptos cuestionados que comportan dudas sobre su aplicación y, finalmente, se estima que no se ha dado debido cumplimiento al trámite de audiencia a las partes ya que, según el fiscal, no consta que las partes, el concursado y la AEAT, hayan podido alegar sobre esta segunda providencia que modifica sustancialmente la primera sobre la que se pronunciaron.</w:t>
      </w:r>
    </w:p>
    <w:p w14:paraId="75268D66" w14:textId="77777777" w:rsidR="00F64776" w:rsidRDefault="00F64776" w:rsidP="00F64776">
      <w:pPr>
        <w:pStyle w:val="TextoNormal"/>
      </w:pPr>
    </w:p>
    <w:p w14:paraId="4AC4D8D5" w14:textId="77777777" w:rsidR="00F64776" w:rsidRDefault="00F64776" w:rsidP="00F64776">
      <w:pPr>
        <w:pStyle w:val="TextoNormal"/>
      </w:pPr>
      <w:r>
        <w:t>En cuanto al fondo del asunto, el fiscal general del Estado estima que la cuestión carece de fundamento.</w:t>
      </w:r>
    </w:p>
    <w:p w14:paraId="4D66187E" w14:textId="77777777" w:rsidR="00F64776" w:rsidRDefault="00F64776" w:rsidP="00F64776">
      <w:pPr>
        <w:pStyle w:val="TextoNormal"/>
      </w:pPr>
    </w:p>
    <w:p w14:paraId="4EDBB07C" w14:textId="77777777" w:rsidR="00F64776" w:rsidRDefault="00F64776" w:rsidP="00F64776">
      <w:pPr>
        <w:pStyle w:val="TextoNormal"/>
      </w:pPr>
      <w:r>
        <w:t>Tras aludir a las normas cuestionadas y a la argumentación del auto de planteamiento, hace mención del contexto y antecedentes de las disposiciones legales cuestionadas para posteriormente descartar que la disposición transitoria primera, apartado 3.6 de la Ley 16/2022 colisione con el art. 9.3 CE, en relación con el principio de irretroactividad. La Ley 16/2022 entró en vigor el 26 de septiembre de 2022 y la solicitud de conclusión de concurso y rendición de cuentas se presentó el 17 y el 28 de noviembre de 2022  la representación procesal del concursado formuló solicitud del beneficio de exoneración del pasivo insatisfecho en la modalidad prevista en el art. 493 del texto refundido de la Ley concursal. Es decir, ambas solicitudes se presentaron después de la entrada en vigor de la Ley que establece —en la transitoria citada— que las solicitudes de exoneración, junto con otros siete supuestos más, se regirán por dicha Ley. El fiscal descarta el carácter sancionador o restrictivo de derechos individuales que el órgano judicial atribuye a la Ley 16/2002 en el régimen legal del beneficio de exoneración del pasivo insatisfecho, que no responde a la naturaleza y fines de la norma. Para el fiscal, “[l]a opción legítima del legislador expresada en la disposición transitoria primera, apartado 3.6 que opta por la nueva regulación para una serie de supuestos que se inician con nuevas solicitudes de la representación de la concursada, posteriores a la entrada en vigor de la Ley, no es contraria a la Constitución, ya que no existen ‘relaciones consagradas’ o ‘situaciones agotadas’, previas que se vean afectadas por la nueva norma”.</w:t>
      </w:r>
    </w:p>
    <w:p w14:paraId="0EAAF5FD" w14:textId="77777777" w:rsidR="00F64776" w:rsidRDefault="00F64776" w:rsidP="00F64776">
      <w:pPr>
        <w:pStyle w:val="TextoNormal"/>
      </w:pPr>
    </w:p>
    <w:p w14:paraId="742B29FA" w14:textId="77777777" w:rsidR="00F64776" w:rsidRDefault="00F64776" w:rsidP="00F64776">
      <w:pPr>
        <w:pStyle w:val="TextoNormal"/>
      </w:pPr>
      <w:r>
        <w:t>La colisión de la disposición transitoria primera, apartado 3.6 de la Ley 16/2022 con el art. 9.3 CE, en relación con el principio de seguridad jurídica es también descartada por el fiscal general del Estado. Con cita de doctrina constitucional tanto en relación con dicho principio como con la exclusión de las cuestiones de técnica legislativa del control de constitucionalidad, se considera que el precepto establece una previsión clara y precisa sobre la legislación aplicable sobre el beneficio de exoneración del pasivo insatisfecho a las solicitudes que se presenten en los procedimientos concursales después de la entrada en vigor de la Ley. Esta norma no produce un efecto sorpresivo ni una incertidumbre insuperable y no quiebra la legítima expectativa de los ciudadanos en la acomodación de la actuación de los poderes públicos a la Ley.</w:t>
      </w:r>
    </w:p>
    <w:p w14:paraId="211BC79F" w14:textId="77777777" w:rsidR="00F64776" w:rsidRDefault="00F64776" w:rsidP="00F64776">
      <w:pPr>
        <w:pStyle w:val="TextoNormal"/>
      </w:pPr>
    </w:p>
    <w:p w14:paraId="2A1C43A1" w14:textId="101FF7F6" w:rsidR="00F64776" w:rsidRDefault="00F64776" w:rsidP="00F64776">
      <w:pPr>
        <w:pStyle w:val="TextoNormal"/>
      </w:pPr>
      <w:r>
        <w:t>Por último, el Ministerio Público descarta que los arts. 491 y 497 del texto refundido de la Ley concursal en la redacción anterior a la Ley 16/2022 sean contarios al art. 82.5 CE, pues falta el debido juicio de aplicabilidad ya que ni los ha aplicado ni los va a aplicar. Por otra parte, el control de los excesos de delegación corresponde no solo al Tribunal Constitucional, sino también a la jurisdicción ordinaria.</w:t>
      </w:r>
    </w:p>
    <w:p w14:paraId="61CBFD1B" w14:textId="77777777" w:rsidR="00F64776" w:rsidRDefault="00F64776" w:rsidP="00F64776">
      <w:pPr>
        <w:pStyle w:val="TextoNormal"/>
      </w:pPr>
    </w:p>
    <w:p w14:paraId="0F189215" w14:textId="77777777" w:rsidR="00F64776" w:rsidRDefault="00F64776" w:rsidP="00F64776">
      <w:pPr>
        <w:pStyle w:val="TextoNormalNegritaCentrado"/>
        <w:keepNext/>
      </w:pPr>
      <w:r>
        <w:t>II. Fundamentos jurídicos</w:t>
      </w:r>
    </w:p>
    <w:p w14:paraId="1B9DA0EC" w14:textId="09334632" w:rsidR="00F64776" w:rsidRDefault="00F64776" w:rsidP="00F64776">
      <w:pPr>
        <w:pStyle w:val="TextoNormalNegritaCentrado"/>
        <w:keepNext/>
      </w:pPr>
    </w:p>
    <w:p w14:paraId="34239EC7" w14:textId="77777777" w:rsidR="00F64776" w:rsidRDefault="00F64776" w:rsidP="00F64776">
      <w:pPr>
        <w:pStyle w:val="TextoNormal"/>
      </w:pPr>
      <w:r w:rsidRPr="00F64776">
        <w:rPr>
          <w:rStyle w:val="NumeroAFNegritaCaracter"/>
        </w:rPr>
        <w:t>1</w:t>
      </w:r>
      <w:r>
        <w:t>. El Juzgado de lo Mercantil núm. 7 de Barcelona plantea cuestión de inconstitucionalidad respecto a la disposición transitoria primera, apartado 3.6 de la Ley 16/2022, de 5 de septiembre, en relación con el art. 489.1.5 del texto refundido de la Ley concursal, aprobado por el Real Decreto Legislativo 1/2020, de 5 de mayo, en la redacción dada por la Ley 16/2022, así como en relación a los arts. 491 y 497 del texto refundido de la Ley concursal, en la redacción anterior a la dada por la Ley 16/2022.</w:t>
      </w:r>
    </w:p>
    <w:p w14:paraId="6C9215B4" w14:textId="77777777" w:rsidR="00F64776" w:rsidRDefault="00F64776" w:rsidP="00F64776">
      <w:pPr>
        <w:pStyle w:val="TextoNormal"/>
      </w:pPr>
    </w:p>
    <w:p w14:paraId="3982DAA9" w14:textId="77777777" w:rsidR="00F64776" w:rsidRDefault="00F64776" w:rsidP="00F64776">
      <w:pPr>
        <w:pStyle w:val="TextoNormal"/>
      </w:pPr>
      <w:r>
        <w:t>Los preceptos cuestionados disponen lo siguiente:</w:t>
      </w:r>
    </w:p>
    <w:p w14:paraId="0923AB90" w14:textId="77777777" w:rsidR="00F64776" w:rsidRDefault="00F64776" w:rsidP="00F64776">
      <w:pPr>
        <w:pStyle w:val="TextoNormal"/>
      </w:pPr>
    </w:p>
    <w:p w14:paraId="236C3070" w14:textId="77777777" w:rsidR="00F64776" w:rsidRDefault="00F64776" w:rsidP="00F64776">
      <w:pPr>
        <w:pStyle w:val="TextoNormal"/>
      </w:pPr>
      <w:r>
        <w:t>a) De la Ley 16/2022</w:t>
      </w:r>
    </w:p>
    <w:p w14:paraId="571C7BB3" w14:textId="77777777" w:rsidR="00F64776" w:rsidRDefault="00F64776" w:rsidP="00F64776">
      <w:pPr>
        <w:pStyle w:val="TextoNormal"/>
      </w:pPr>
    </w:p>
    <w:p w14:paraId="11617640" w14:textId="77777777" w:rsidR="00F64776" w:rsidRDefault="00F64776" w:rsidP="00F64776">
      <w:pPr>
        <w:pStyle w:val="TextoNormal"/>
      </w:pPr>
      <w:r>
        <w:t>Disposición transitoria primera. Régimen aplicable a los procedimientos y actuaciones iniciadas después de la entrada en vigor de esta ley (en cursiva lo cuestionado):</w:t>
      </w:r>
    </w:p>
    <w:p w14:paraId="6440407C" w14:textId="77777777" w:rsidR="00F64776" w:rsidRDefault="00F64776" w:rsidP="00F64776">
      <w:pPr>
        <w:pStyle w:val="TextoNormal"/>
      </w:pPr>
    </w:p>
    <w:p w14:paraId="448B47E3" w14:textId="77777777" w:rsidR="00F64776" w:rsidRDefault="00F64776" w:rsidP="00F64776">
      <w:pPr>
        <w:pStyle w:val="TextoNormal"/>
      </w:pPr>
      <w:r>
        <w:t>“1. La presente ley será de aplicación:</w:t>
      </w:r>
    </w:p>
    <w:p w14:paraId="0C3819C3" w14:textId="77777777" w:rsidR="00F64776" w:rsidRDefault="00F64776" w:rsidP="00F64776">
      <w:pPr>
        <w:pStyle w:val="TextoNormal"/>
      </w:pPr>
    </w:p>
    <w:p w14:paraId="2BC3ECE0" w14:textId="77777777" w:rsidR="00F64776" w:rsidRDefault="00F64776" w:rsidP="00F64776">
      <w:pPr>
        <w:pStyle w:val="TextoNormal"/>
      </w:pPr>
      <w:r>
        <w:t>1.º A las solicitudes de concurso que se presenten por cualquier legitimado a partir de su entrada en vigor, incluidas las acompañadas de oferta de adquisición de una o varias unidades productivas, a la provisión de cualquiera de esas solicitudes y a la declaración de concurso.</w:t>
      </w:r>
    </w:p>
    <w:p w14:paraId="72211A77" w14:textId="77777777" w:rsidR="00F64776" w:rsidRDefault="00F64776" w:rsidP="00F64776">
      <w:pPr>
        <w:pStyle w:val="TextoNormal"/>
      </w:pPr>
    </w:p>
    <w:p w14:paraId="77BFE5DE" w14:textId="77777777" w:rsidR="00F64776" w:rsidRDefault="00F64776" w:rsidP="00F64776">
      <w:pPr>
        <w:pStyle w:val="TextoNormal"/>
      </w:pPr>
      <w:r>
        <w:t>2.º A las solicitudes de nombramiento de experto para recabar ofertas de adquisición de una o varias unidades productivas que se presenten a partir de su entrada en vigor.</w:t>
      </w:r>
    </w:p>
    <w:p w14:paraId="625AA5C6" w14:textId="77777777" w:rsidR="00F64776" w:rsidRDefault="00F64776" w:rsidP="00F64776">
      <w:pPr>
        <w:pStyle w:val="TextoNormal"/>
      </w:pPr>
    </w:p>
    <w:p w14:paraId="5FAA6E3A" w14:textId="77777777" w:rsidR="00F64776" w:rsidRDefault="00F64776" w:rsidP="00F64776">
      <w:pPr>
        <w:pStyle w:val="TextoNormal"/>
      </w:pPr>
      <w:r>
        <w:t>3.º A los concursos de acreedores voluntarios o necesarios declarados a partir de su entrada en vigor.</w:t>
      </w:r>
    </w:p>
    <w:p w14:paraId="2662BDDF" w14:textId="77777777" w:rsidR="00F64776" w:rsidRDefault="00F64776" w:rsidP="00F64776">
      <w:pPr>
        <w:pStyle w:val="TextoNormal"/>
      </w:pPr>
    </w:p>
    <w:p w14:paraId="60FC05B7" w14:textId="77777777" w:rsidR="00F64776" w:rsidRDefault="00F64776" w:rsidP="00F64776">
      <w:pPr>
        <w:pStyle w:val="TextoNormal"/>
      </w:pPr>
      <w:r>
        <w:t>4.º A las comunicaciones de apertura de negociaciones con los acreedores o de la intención de negociarlas que se realicen a partir de su entrada en vigor.</w:t>
      </w:r>
    </w:p>
    <w:p w14:paraId="67E845D5" w14:textId="77777777" w:rsidR="00F64776" w:rsidRDefault="00F64776" w:rsidP="00F64776">
      <w:pPr>
        <w:pStyle w:val="TextoNormal"/>
      </w:pPr>
    </w:p>
    <w:p w14:paraId="22F9A963" w14:textId="77777777" w:rsidR="00F64776" w:rsidRDefault="00F64776" w:rsidP="00F64776">
      <w:pPr>
        <w:pStyle w:val="TextoNormal"/>
      </w:pPr>
      <w:r>
        <w:t>5.º A los planes de reestructuración que se negocien y a las solicitudes de homologación que se presenten a partir de su entrada en vigor.</w:t>
      </w:r>
    </w:p>
    <w:p w14:paraId="6D302954" w14:textId="77777777" w:rsidR="00F64776" w:rsidRDefault="00F64776" w:rsidP="00F64776">
      <w:pPr>
        <w:pStyle w:val="TextoNormal"/>
      </w:pPr>
    </w:p>
    <w:p w14:paraId="1BAE22FB" w14:textId="77777777" w:rsidR="00F64776" w:rsidRDefault="00F64776" w:rsidP="00F64776">
      <w:pPr>
        <w:pStyle w:val="TextoNormal"/>
      </w:pPr>
      <w:r>
        <w:t>2. Los concursos declarados antes de la entrada en vigor por la presente ley se regirán por lo establecido en la legislación anterior.</w:t>
      </w:r>
    </w:p>
    <w:p w14:paraId="1F814BA7" w14:textId="77777777" w:rsidR="00F64776" w:rsidRDefault="00F64776" w:rsidP="00F64776">
      <w:pPr>
        <w:pStyle w:val="TextoNormal"/>
      </w:pPr>
    </w:p>
    <w:p w14:paraId="724E7431" w14:textId="77777777" w:rsidR="00F64776" w:rsidRDefault="00F64776" w:rsidP="00F64776">
      <w:pPr>
        <w:pStyle w:val="TextoNormal"/>
      </w:pPr>
      <w:r>
        <w:t xml:space="preserve">3. </w:t>
      </w:r>
      <w:r w:rsidRPr="00F64776">
        <w:rPr>
          <w:i/>
        </w:rPr>
        <w:t>Por excepción a lo establecido en el apartado anterior, se regirán por la presente ley</w:t>
      </w:r>
      <w:r>
        <w:t>:</w:t>
      </w:r>
    </w:p>
    <w:p w14:paraId="2C8D51D2" w14:textId="77777777" w:rsidR="00F64776" w:rsidRDefault="00F64776" w:rsidP="00F64776">
      <w:pPr>
        <w:pStyle w:val="TextoNormal"/>
      </w:pPr>
    </w:p>
    <w:p w14:paraId="107D159B" w14:textId="77777777" w:rsidR="00F64776" w:rsidRDefault="00F64776" w:rsidP="00F64776">
      <w:pPr>
        <w:pStyle w:val="TextoNormal"/>
      </w:pPr>
      <w:r>
        <w:t>1.º El informe de la administración concursal con el inventario y la relación de acreedores elaborada por el administrador concursal que se presenten después de su entrada en vigor.</w:t>
      </w:r>
    </w:p>
    <w:p w14:paraId="44DFA6E1" w14:textId="77777777" w:rsidR="00F64776" w:rsidRDefault="00F64776" w:rsidP="00F64776">
      <w:pPr>
        <w:pStyle w:val="TextoNormal"/>
      </w:pPr>
    </w:p>
    <w:p w14:paraId="6D371F67" w14:textId="77777777" w:rsidR="00F64776" w:rsidRDefault="00F64776" w:rsidP="00F64776">
      <w:pPr>
        <w:pStyle w:val="TextoNormal"/>
      </w:pPr>
      <w:r>
        <w:t>2.º Las acciones rescisorias que se ejerciten después de su entrada en vigor.</w:t>
      </w:r>
    </w:p>
    <w:p w14:paraId="40680C25" w14:textId="77777777" w:rsidR="00F64776" w:rsidRDefault="00F64776" w:rsidP="00F64776">
      <w:pPr>
        <w:pStyle w:val="TextoNormal"/>
      </w:pPr>
    </w:p>
    <w:p w14:paraId="047F5FBE" w14:textId="77777777" w:rsidR="00F64776" w:rsidRDefault="00F64776" w:rsidP="00F64776">
      <w:pPr>
        <w:pStyle w:val="TextoNormal"/>
      </w:pPr>
      <w:r>
        <w:t>3.º Las propuestas de convenio que se presenten después de su entrada en vigor, las adhesiones de los acreedores, y la tramitación de la propuesta.</w:t>
      </w:r>
    </w:p>
    <w:p w14:paraId="089C0959" w14:textId="77777777" w:rsidR="00F64776" w:rsidRDefault="00F64776" w:rsidP="00F64776">
      <w:pPr>
        <w:pStyle w:val="TextoNormal"/>
      </w:pPr>
    </w:p>
    <w:p w14:paraId="6B48063D" w14:textId="77777777" w:rsidR="00F64776" w:rsidRDefault="00F64776" w:rsidP="00F64776">
      <w:pPr>
        <w:pStyle w:val="TextoNormal"/>
      </w:pPr>
      <w:r>
        <w:t>4.º La modificación del convenio que se solicite después de su entrada en vigor.</w:t>
      </w:r>
    </w:p>
    <w:p w14:paraId="1C70176F" w14:textId="77777777" w:rsidR="00F64776" w:rsidRDefault="00F64776" w:rsidP="00F64776">
      <w:pPr>
        <w:pStyle w:val="TextoNormal"/>
      </w:pPr>
    </w:p>
    <w:p w14:paraId="0DBC16A8" w14:textId="77777777" w:rsidR="00F64776" w:rsidRDefault="00F64776" w:rsidP="00F64776">
      <w:pPr>
        <w:pStyle w:val="TextoNormal"/>
      </w:pPr>
      <w:r>
        <w:t>5.º La liquidación de la masa activa cuya apertura hubiera tenido lugar después de su entrada en vigor.</w:t>
      </w:r>
    </w:p>
    <w:p w14:paraId="268F4D15" w14:textId="77777777" w:rsidR="00F64776" w:rsidRDefault="00F64776" w:rsidP="00F64776">
      <w:pPr>
        <w:pStyle w:val="TextoNormal"/>
      </w:pPr>
    </w:p>
    <w:p w14:paraId="7E63206F" w14:textId="77777777" w:rsidR="00F64776" w:rsidRDefault="00F64776" w:rsidP="00F64776">
      <w:pPr>
        <w:pStyle w:val="TextoNormal"/>
      </w:pPr>
      <w:r>
        <w:t>6.</w:t>
      </w:r>
      <w:r w:rsidRPr="00F64776">
        <w:rPr>
          <w:i/>
        </w:rPr>
        <w:t>º Las solicitudes de exoneración del pasivo que se presenten después de su entrada en vigor</w:t>
      </w:r>
      <w:r>
        <w:t>.</w:t>
      </w:r>
    </w:p>
    <w:p w14:paraId="225729F8" w14:textId="77777777" w:rsidR="00F64776" w:rsidRDefault="00F64776" w:rsidP="00F64776">
      <w:pPr>
        <w:pStyle w:val="TextoNormal"/>
      </w:pPr>
    </w:p>
    <w:p w14:paraId="4BFE32FA" w14:textId="77777777" w:rsidR="00F64776" w:rsidRDefault="00F64776" w:rsidP="00F64776">
      <w:pPr>
        <w:pStyle w:val="TextoNormal"/>
      </w:pPr>
      <w:r>
        <w:t>7.º El régimen de calificación del concurso cuando la sección sexta hubiera sido abierta o reabierta después de su entrada en vigor.</w:t>
      </w:r>
    </w:p>
    <w:p w14:paraId="159070CE" w14:textId="77777777" w:rsidR="00F64776" w:rsidRDefault="00F64776" w:rsidP="00F64776">
      <w:pPr>
        <w:pStyle w:val="TextoNormal"/>
      </w:pPr>
    </w:p>
    <w:p w14:paraId="1EC77122" w14:textId="77777777" w:rsidR="00F64776" w:rsidRDefault="00F64776" w:rsidP="00F64776">
      <w:pPr>
        <w:pStyle w:val="TextoNormal"/>
      </w:pPr>
      <w:r>
        <w:t>8.º Los recursos a interponer contra las resoluciones del juez del concurso dictadas después de su entrada en vigor.</w:t>
      </w:r>
    </w:p>
    <w:p w14:paraId="4FDACB62" w14:textId="77777777" w:rsidR="00F64776" w:rsidRDefault="00F64776" w:rsidP="00F64776">
      <w:pPr>
        <w:pStyle w:val="TextoNormal"/>
      </w:pPr>
    </w:p>
    <w:p w14:paraId="7C834B82" w14:textId="77777777" w:rsidR="00F64776" w:rsidRDefault="00F64776" w:rsidP="00F64776">
      <w:pPr>
        <w:pStyle w:val="TextoNormal"/>
      </w:pPr>
      <w:r>
        <w:t>4. Los concursos consecutivos a un acuerdo de refinanciación o a un acuerdo extrajudicial de pagos que se declaren a partir de la entrada en vigor de la presente ley se regirán por lo establecido en los artículos 697 a 720 del texto refundido de la Ley concursal, en la redacción dada por el Real Decreto Legislativo 1/2020, de 5 de mayo”.</w:t>
      </w:r>
    </w:p>
    <w:p w14:paraId="6EAC5F30" w14:textId="77777777" w:rsidR="00F64776" w:rsidRDefault="00F64776" w:rsidP="00F64776">
      <w:pPr>
        <w:pStyle w:val="TextoNormal"/>
      </w:pPr>
    </w:p>
    <w:p w14:paraId="77BC7A99" w14:textId="77777777" w:rsidR="00F64776" w:rsidRDefault="00F64776" w:rsidP="00F64776">
      <w:pPr>
        <w:pStyle w:val="TextoNormal"/>
      </w:pPr>
      <w:r>
        <w:t>Artículo único, apartado 130, en cuanto da nueva redacción al art. 489 del texto refundido de la Ley concursal:</w:t>
      </w:r>
    </w:p>
    <w:p w14:paraId="79600BC3" w14:textId="77777777" w:rsidR="00F64776" w:rsidRDefault="00F64776" w:rsidP="00F64776">
      <w:pPr>
        <w:pStyle w:val="TextoNormal"/>
      </w:pPr>
    </w:p>
    <w:p w14:paraId="28AD60F2" w14:textId="77777777" w:rsidR="00F64776" w:rsidRDefault="00F64776" w:rsidP="00F64776">
      <w:pPr>
        <w:pStyle w:val="TextoNormal"/>
      </w:pPr>
      <w:r>
        <w:t>“Artículo 489. Extensión de la exoneración</w:t>
      </w:r>
    </w:p>
    <w:p w14:paraId="564FA6C9" w14:textId="77777777" w:rsidR="00F64776" w:rsidRDefault="00F64776" w:rsidP="00F64776">
      <w:pPr>
        <w:pStyle w:val="TextoNormal"/>
      </w:pPr>
    </w:p>
    <w:p w14:paraId="469FF85F" w14:textId="77777777" w:rsidR="00F64776" w:rsidRDefault="00F64776" w:rsidP="00F64776">
      <w:pPr>
        <w:pStyle w:val="TextoNormal"/>
      </w:pPr>
      <w:r>
        <w:t>1. La exoneración del pasivo insatisfecho se extenderá a la totalidad de las deudas insatisfechas, salvo las siguientes:</w:t>
      </w:r>
    </w:p>
    <w:p w14:paraId="0CCA9CAF" w14:textId="77777777" w:rsidR="00F64776" w:rsidRDefault="00F64776" w:rsidP="00F64776">
      <w:pPr>
        <w:pStyle w:val="TextoNormal"/>
      </w:pPr>
    </w:p>
    <w:p w14:paraId="44AFA43B" w14:textId="77777777" w:rsidR="00F64776" w:rsidRDefault="00F64776" w:rsidP="00F64776">
      <w:pPr>
        <w:pStyle w:val="TextoNormal"/>
      </w:pPr>
      <w:r>
        <w:t>[…]</w:t>
      </w:r>
    </w:p>
    <w:p w14:paraId="21B2EF29" w14:textId="77777777" w:rsidR="00F64776" w:rsidRDefault="00F64776" w:rsidP="00F64776">
      <w:pPr>
        <w:pStyle w:val="TextoNormal"/>
      </w:pPr>
    </w:p>
    <w:p w14:paraId="23FB0051" w14:textId="77777777" w:rsidR="00F64776" w:rsidRDefault="00F64776" w:rsidP="00F64776">
      <w:pPr>
        <w:pStyle w:val="TextoNormal"/>
      </w:pPr>
      <w:r>
        <w:t>5.º Las deudas por créditos de Derecho público. No obstante, las deudas para cuya gestión recaudatoria resulte competente la Agencia estatal de administración tributaria podrán exonerarse hasta el importe máximo de diez mil euros por deudor; para los primeros cinco mil euros de deuda la exoneración será integra, y a partir de esta cifra la exoneración alcanzará el cincuenta por ciento de la deuda hasta el máximo indicado. Asimismo, las deudas por créditos en seguridad social podrán exonerarse por el mismo importe y en las mismas condiciones. El importe exonerado, hasta el citado límite, se aplicará en orden inverso al de prelación legalmente establecido en esta ley y, dentro de cada clase, en función de su antigüedad”.</w:t>
      </w:r>
    </w:p>
    <w:p w14:paraId="3644FCF7" w14:textId="77777777" w:rsidR="00F64776" w:rsidRDefault="00F64776" w:rsidP="00F64776">
      <w:pPr>
        <w:pStyle w:val="TextoNormal"/>
      </w:pPr>
    </w:p>
    <w:p w14:paraId="6EF97217" w14:textId="77777777" w:rsidR="00F64776" w:rsidRDefault="00F64776" w:rsidP="00F64776">
      <w:pPr>
        <w:pStyle w:val="TextoNormal"/>
      </w:pPr>
      <w:r>
        <w:t>b) Del texto refundido de la Ley concursal, aprobado por el Real Decreto Legislativo 1/2020, de 5 de mayo, en la redacción anterior a la dada por la Ley 16/2022</w:t>
      </w:r>
    </w:p>
    <w:p w14:paraId="397C722A" w14:textId="77777777" w:rsidR="00F64776" w:rsidRDefault="00F64776" w:rsidP="00F64776">
      <w:pPr>
        <w:pStyle w:val="TextoNormal"/>
      </w:pPr>
    </w:p>
    <w:p w14:paraId="67089216" w14:textId="77777777" w:rsidR="00F64776" w:rsidRDefault="00F64776" w:rsidP="00F64776">
      <w:pPr>
        <w:pStyle w:val="TextoNormal"/>
      </w:pPr>
      <w:r>
        <w:t>“Artículo 491. Extensión de la exoneración</w:t>
      </w:r>
    </w:p>
    <w:p w14:paraId="7F6B54C2" w14:textId="77777777" w:rsidR="00F64776" w:rsidRDefault="00F64776" w:rsidP="00F64776">
      <w:pPr>
        <w:pStyle w:val="TextoNormal"/>
      </w:pPr>
    </w:p>
    <w:p w14:paraId="35949174" w14:textId="77777777" w:rsidR="00F64776" w:rsidRDefault="00F64776" w:rsidP="00F64776">
      <w:pPr>
        <w:pStyle w:val="TextoNormal"/>
      </w:pPr>
      <w:r>
        <w:t>1. Si se hubieran satisfecho en su integridad los créditos contra la masa y los créditos concursales privilegiados y, si el deudor que reuniera los requisitos para poder hacerlo, hubiera intentado un previo acuerdo extrajudicial de pagos, el beneficio de la exoneración del pasivo insatisfecho se extenderá a la totalidad de los créditos insatisfechos, exceptuando los créditos de derecho público y por alimentos.</w:t>
      </w:r>
    </w:p>
    <w:p w14:paraId="5DA924A3" w14:textId="77777777" w:rsidR="00F64776" w:rsidRDefault="00F64776" w:rsidP="00F64776">
      <w:pPr>
        <w:pStyle w:val="TextoNormal"/>
      </w:pPr>
    </w:p>
    <w:p w14:paraId="0BA1AFFF" w14:textId="77777777" w:rsidR="00F64776" w:rsidRDefault="00F64776" w:rsidP="00F64776">
      <w:pPr>
        <w:pStyle w:val="TextoNormal"/>
      </w:pPr>
      <w:r>
        <w:t>2. Si el deudor que reuniera los requisitos para poder hacerlo no hubiera intentado un previo acuerdo extrajudicial de pagos, el beneficio de la exoneración del pasivo insatisfecho se extenderá al setenta y cinco por ciento de los créditos ordinarios y a la totalidad de los subordinados”.</w:t>
      </w:r>
    </w:p>
    <w:p w14:paraId="1B270215" w14:textId="77777777" w:rsidR="00F64776" w:rsidRDefault="00F64776" w:rsidP="00F64776">
      <w:pPr>
        <w:pStyle w:val="TextoNormal"/>
      </w:pPr>
    </w:p>
    <w:p w14:paraId="54295EF0" w14:textId="77777777" w:rsidR="00F64776" w:rsidRDefault="00F64776" w:rsidP="00F64776">
      <w:pPr>
        <w:pStyle w:val="TextoNormal"/>
      </w:pPr>
      <w:r>
        <w:t>“Artículo 497. Extensión de la exoneración en caso de plan de pagos</w:t>
      </w:r>
    </w:p>
    <w:p w14:paraId="7E067E50" w14:textId="77777777" w:rsidR="00F64776" w:rsidRDefault="00F64776" w:rsidP="00F64776">
      <w:pPr>
        <w:pStyle w:val="TextoNormal"/>
      </w:pPr>
    </w:p>
    <w:p w14:paraId="55AEA909" w14:textId="77777777" w:rsidR="00F64776" w:rsidRDefault="00F64776" w:rsidP="00F64776">
      <w:pPr>
        <w:pStyle w:val="TextoNormal"/>
      </w:pPr>
      <w:r>
        <w:t>1. El beneficio de la exoneración del pasivo insatisfecho concedido a los deudores que hubiesen aceptado someterse al plan de pagos se extenderá a la parte que, conforme a este, vaya a quedar insatisfecha, de los siguientes créditos:</w:t>
      </w:r>
    </w:p>
    <w:p w14:paraId="599F4842" w14:textId="77777777" w:rsidR="00F64776" w:rsidRDefault="00F64776" w:rsidP="00F64776">
      <w:pPr>
        <w:pStyle w:val="TextoNormal"/>
      </w:pPr>
    </w:p>
    <w:p w14:paraId="026F00AF" w14:textId="77777777" w:rsidR="00F64776" w:rsidRDefault="00F64776" w:rsidP="00F64776">
      <w:pPr>
        <w:pStyle w:val="TextoNormal"/>
      </w:pPr>
      <w:r>
        <w:t>1.º Los créditos ordinarios y subordinados pendientes a la fecha de conclusión del concurso, aunque no hubieran sido comunicados, exceptuando los créditos de derecho público y por alimentos.</w:t>
      </w:r>
    </w:p>
    <w:p w14:paraId="1E173FEA" w14:textId="77777777" w:rsidR="00F64776" w:rsidRDefault="00F64776" w:rsidP="00F64776">
      <w:pPr>
        <w:pStyle w:val="TextoNormal"/>
      </w:pPr>
    </w:p>
    <w:p w14:paraId="2D5647C5" w14:textId="77777777" w:rsidR="00F64776" w:rsidRDefault="00F64776" w:rsidP="00F64776">
      <w:pPr>
        <w:pStyle w:val="TextoNormal"/>
      </w:pPr>
      <w:r>
        <w:t>2.º Respecto a los créditos con privilegio especial, el importe de los mismos que no haya podido satisfacerse con la ejecución de la garantía, salvo en la parte que pudiera gozar de privilegio general.</w:t>
      </w:r>
    </w:p>
    <w:p w14:paraId="0314FF63" w14:textId="77777777" w:rsidR="00F64776" w:rsidRDefault="00F64776" w:rsidP="00F64776">
      <w:pPr>
        <w:pStyle w:val="TextoNormal"/>
      </w:pPr>
    </w:p>
    <w:p w14:paraId="06540BBD" w14:textId="77777777" w:rsidR="00F64776" w:rsidRDefault="00F64776" w:rsidP="00F64776">
      <w:pPr>
        <w:pStyle w:val="TextoNormal"/>
      </w:pPr>
      <w:r>
        <w:t>2. Las solicitudes de aplazamiento o de fraccionamiento del pago de los créditos de derecho público se regirán por lo dispuesto en su normativa específica”.</w:t>
      </w:r>
    </w:p>
    <w:p w14:paraId="4B23A86D" w14:textId="77777777" w:rsidR="00F64776" w:rsidRDefault="00F64776" w:rsidP="00F64776">
      <w:pPr>
        <w:pStyle w:val="TextoNormal"/>
      </w:pPr>
    </w:p>
    <w:p w14:paraId="64DFDB59" w14:textId="77777777" w:rsidR="00F64776" w:rsidRDefault="00F64776" w:rsidP="00F64776">
      <w:pPr>
        <w:pStyle w:val="TextoNormal"/>
      </w:pPr>
      <w:r>
        <w:t>El órgano judicial considera que la disposición transitoria primera, apartado 3.6 de la Ley 16/2022, en relación con el art. 489.1.5 del texto refundido de la Ley concursal, en la redacción dada por la Ley 16/2022, son contrarios al art. 9.3 CE por vulneración de los principios de seguridad jurídica y de irretroactividad de las disposiciones restrictivas de derechos, mientras que los arts. 491 y 497 de dicho texto refundido, en su redacción anterior a la dada por la Ley 16/2022, contravendrían el art. 82.5 CE.</w:t>
      </w:r>
    </w:p>
    <w:p w14:paraId="37A9A44F" w14:textId="77777777" w:rsidR="00F64776" w:rsidRDefault="00F64776" w:rsidP="00F64776">
      <w:pPr>
        <w:pStyle w:val="TextoNormal"/>
      </w:pPr>
    </w:p>
    <w:p w14:paraId="527159CD" w14:textId="687CD676" w:rsidR="00F64776" w:rsidRDefault="00F64776" w:rsidP="00F64776">
      <w:pPr>
        <w:pStyle w:val="TextoNormal"/>
      </w:pPr>
      <w:r>
        <w:t>El fiscal general del Estado, en el trámite previsto en el art. 37.1 LOTC, se ha opuesto a la admisión de la presente cuestión de inconstitucionalidad por entender que no se cumplen los requisitos procesales exigidos por el art. 35 LOTC, así como por considerar que la cuestión planteada es notoriamente infundada.</w:t>
      </w:r>
    </w:p>
    <w:p w14:paraId="5FE982F5" w14:textId="77777777" w:rsidR="00F64776" w:rsidRDefault="00F64776" w:rsidP="00F64776">
      <w:pPr>
        <w:pStyle w:val="TextoNormal"/>
      </w:pPr>
    </w:p>
    <w:p w14:paraId="2816F9AD" w14:textId="77777777" w:rsidR="00F64776" w:rsidRDefault="00F64776" w:rsidP="00F64776">
      <w:pPr>
        <w:pStyle w:val="TextoNormal"/>
      </w:pPr>
      <w:r w:rsidRPr="00F64776">
        <w:rPr>
          <w:rStyle w:val="NumeroAFNegritaCaracter"/>
        </w:rPr>
        <w:t>2</w:t>
      </w:r>
      <w:r>
        <w:t xml:space="preserve">. El art. 37.1 LOTC permite a este tribunal rechazar </w:t>
      </w:r>
      <w:r w:rsidRPr="00F64776">
        <w:rPr>
          <w:i/>
        </w:rPr>
        <w:t>a limine</w:t>
      </w:r>
      <w:r>
        <w:t xml:space="preserve"> las cuestiones de inconstitucionalidad, mediante auto y sin otra audiencia que la del fiscal general del Estado, cuando faltaren las condiciones procesales o fuere notoriamente infundada la cuestión suscitada.</w:t>
      </w:r>
    </w:p>
    <w:p w14:paraId="6BC2972F" w14:textId="77777777" w:rsidR="00F64776" w:rsidRDefault="00F64776" w:rsidP="00F64776">
      <w:pPr>
        <w:pStyle w:val="TextoNormal"/>
      </w:pPr>
    </w:p>
    <w:p w14:paraId="5FEDB38A" w14:textId="77777777" w:rsidR="00F64776" w:rsidRDefault="00F64776" w:rsidP="00F64776">
      <w:pPr>
        <w:pStyle w:val="TextoNormal"/>
      </w:pPr>
      <w:r>
        <w:t>El análisis de la cuestión de inconstitucionalidad que se somete a nuestra consideración revela la concurrencia de ambos motivos de inadmisión, dado que no se satisfacen las exigencias que para promoverla imponen los arts. 163 CE y 35 a 37 LOTC y es, además, notoriamente infundada.</w:t>
      </w:r>
    </w:p>
    <w:p w14:paraId="4D4C6B74" w14:textId="77777777" w:rsidR="00F64776" w:rsidRDefault="00F64776" w:rsidP="00F64776">
      <w:pPr>
        <w:pStyle w:val="TextoNormal"/>
      </w:pPr>
    </w:p>
    <w:p w14:paraId="2A1EA925" w14:textId="77777777" w:rsidR="00F64776" w:rsidRDefault="00F64776" w:rsidP="00F64776">
      <w:pPr>
        <w:pStyle w:val="TextoNormal"/>
      </w:pPr>
      <w:r>
        <w:t>En cuanto a la posible inadmisión de la cuestión de inconstitucionalidad por la falta de las necesarias condiciones procesales para promoverla, este tribunal no aprecia la existencia de algunas de las causas de inadmisión planteadas por el fiscal general del Estado en sus alegaciones, si bien estima que, como luego se expondrá, no se ha dado adecuado cumplimiento al debido juicio de aplicabilidad en relación con algunos de los preceptos cuestionados.</w:t>
      </w:r>
    </w:p>
    <w:p w14:paraId="779EDDB2" w14:textId="77777777" w:rsidR="00F64776" w:rsidRDefault="00F64776" w:rsidP="00F64776">
      <w:pPr>
        <w:pStyle w:val="TextoNormal"/>
      </w:pPr>
    </w:p>
    <w:p w14:paraId="3103F0BF" w14:textId="77777777" w:rsidR="00F64776" w:rsidRDefault="00F64776" w:rsidP="00F64776">
      <w:pPr>
        <w:pStyle w:val="TextoNormal"/>
      </w:pPr>
      <w:r>
        <w:t>Frente a lo que sostiene el Ministerio Fiscal, no cabe considerar que el requisito de la previa audiencia a las partes y al Ministerio Fiscal acerca de la pertinencia de plantear la cuestión de inconstitucionalidad (art. 35.2 LOTC) se haya incumplido, ni que en dicho trámite de audiencia las providencias no cumplieran finalmente con la función que les asigna la doctrina constitucional en el sentido de situar la cuestión en sus estrictos términos constitucionales y permitir a las partes exponer su criterio al respecto.</w:t>
      </w:r>
    </w:p>
    <w:p w14:paraId="12DA44F9" w14:textId="77777777" w:rsidR="00F64776" w:rsidRDefault="00F64776" w:rsidP="00F64776">
      <w:pPr>
        <w:pStyle w:val="TextoNormal"/>
      </w:pPr>
    </w:p>
    <w:p w14:paraId="19E34C8C" w14:textId="77777777" w:rsidR="00F64776" w:rsidRDefault="00F64776" w:rsidP="00F64776">
      <w:pPr>
        <w:pStyle w:val="TextoNormal"/>
      </w:pPr>
      <w:r>
        <w:t>En efecto, aunque la primera providencia de 21 de febrero de 2023 adoleciera de defectos puestos de manifiesto por la AEAT, tales defectos pueden considerarse subsanados por la segunda providencia dictada el día 22 de marzo de 2023, en el sentido de que esta segunda providencia ha identificado las normas legales que cuestiona y expuesto las razones por las que considera que son contrarias a la Constitución. Por tanto, pese a las deficiencias expuestas, la finalidad del trámite de audiencia se ha atendido, por cuanto las partes y el Ministerio Fiscal han podido situar la cuestión en sus términos constitucionales y pronunciarse sobre ella. Y de los términos de dicha providencia también se desprende que el traslado a las partes se ha realizado de forma simultánea, pues se pronunciaron el concursado y el Ministerio Fiscal, sin que proceda ahora apreciación alguna sobre las razones por las que la representación procesal de la AEAT no formuló alegaciones (en un sentido similar, ATC 301/2023, de 6 de junio, FJ 2).</w:t>
      </w:r>
    </w:p>
    <w:p w14:paraId="4BB9E28E" w14:textId="77777777" w:rsidR="00F64776" w:rsidRDefault="00F64776" w:rsidP="00F64776">
      <w:pPr>
        <w:pStyle w:val="TextoNormal"/>
      </w:pPr>
    </w:p>
    <w:p w14:paraId="08DCB246" w14:textId="35352E3D" w:rsidR="00F64776" w:rsidRDefault="00F64776" w:rsidP="00F64776">
      <w:pPr>
        <w:pStyle w:val="TextoNormal"/>
      </w:pPr>
      <w:r>
        <w:t>Cuestión distinta, sin embargo, es el adecuado cumplimiento del debido juicio de aplicabilidad respecto a todos los preceptos cuestionados, que se examina seguidamente.</w:t>
      </w:r>
    </w:p>
    <w:p w14:paraId="1069E1B4" w14:textId="77777777" w:rsidR="00F64776" w:rsidRDefault="00F64776" w:rsidP="00F64776">
      <w:pPr>
        <w:pStyle w:val="TextoNormal"/>
      </w:pPr>
    </w:p>
    <w:p w14:paraId="355DCDE2" w14:textId="77777777" w:rsidR="00F64776" w:rsidRDefault="00F64776" w:rsidP="00F64776">
      <w:pPr>
        <w:pStyle w:val="TextoNormal"/>
      </w:pPr>
      <w:r w:rsidRPr="00F64776">
        <w:rPr>
          <w:rStyle w:val="NumeroAFNegritaCaracter"/>
        </w:rPr>
        <w:t>3</w:t>
      </w:r>
      <w:r>
        <w:t>. De acuerdo con lo dispuesto en el art. 35.1 LOTC, la norma ha de ser aplicable al caso y, conforme al art. 35.2 LOTC, el órgano judicial deberá “especificar o justificar en qué medida la decisión del proceso depende de la validez de la norma en cuestión”.</w:t>
      </w:r>
    </w:p>
    <w:p w14:paraId="0529F587" w14:textId="77777777" w:rsidR="00F64776" w:rsidRDefault="00F64776" w:rsidP="00F64776">
      <w:pPr>
        <w:pStyle w:val="TextoNormal"/>
      </w:pPr>
    </w:p>
    <w:p w14:paraId="312DDA1A" w14:textId="77777777" w:rsidR="00F64776" w:rsidRDefault="00F64776" w:rsidP="00F64776">
      <w:pPr>
        <w:pStyle w:val="TextoNormal"/>
      </w:pPr>
      <w:r>
        <w:t>Una de las condiciones procesales de la cuestión de inconstitucionalidad es que los preceptos cuestionados resulten “aplicable[s] al caso” (juicio de aplicabilidad) y que de su “validez dependa el fallo” (juicio de relevancia), tal y como exigen los artículos 163 CE y 35 LOTC. Es esta una doble condición necesaria y sucesiva para que este proceso mantenga su naturaleza incidental y no se convierta en un juicio abstracto de constitucionalidad desligado de las circunstancias del caso concreto, lo que daría lugar a una ampliación de la legitimación para interponer el recurso abstracto o directo de inconstitucionalidad establecida en el art. 162.1 a) CE y el art. 32.1 LOTC.</w:t>
      </w:r>
    </w:p>
    <w:p w14:paraId="08963969" w14:textId="77777777" w:rsidR="00F64776" w:rsidRDefault="00F64776" w:rsidP="00F64776">
      <w:pPr>
        <w:pStyle w:val="TextoNormal"/>
      </w:pPr>
    </w:p>
    <w:p w14:paraId="2C6F9C2D" w14:textId="77777777" w:rsidR="00F64776" w:rsidRDefault="00F64776" w:rsidP="00F64776">
      <w:pPr>
        <w:pStyle w:val="TextoNormal"/>
      </w:pPr>
      <w:r>
        <w:t>Conforme a reiterada doctrina, es competencia del órgano promotor de la cuestión, tanto “determinar cuáles son efectivamente las normas aplicables al caso que ha de decidir” (STC 17/1981, de 1 de junio, FJ 1), como exteriorizar el juicio de relevancia, esto es, “el esquema argumental dirigido a probar que el fallo del proceso judicial depende de la validez de la norma cuestionada” (por todos, ATC 21/2001, de 30 de enero, FJ 1), pues “si bien la aplicabilidad de la norma es condición necesaria para que el fallo dependa de su validez, no es, en modo alguno, condición suficiente” (ATC 111/2018, de 16 de octubre, FJ 2).</w:t>
      </w:r>
    </w:p>
    <w:p w14:paraId="0282314F" w14:textId="77777777" w:rsidR="00F64776" w:rsidRDefault="00F64776" w:rsidP="00F64776">
      <w:pPr>
        <w:pStyle w:val="TextoNormal"/>
      </w:pPr>
    </w:p>
    <w:p w14:paraId="0796E7DD" w14:textId="77777777" w:rsidR="00F64776" w:rsidRDefault="00F64776" w:rsidP="00F64776">
      <w:pPr>
        <w:pStyle w:val="TextoNormal"/>
      </w:pPr>
      <w:r>
        <w:t>Sobre ambos juicios, de aplicabilidad y relevancia, este tribunal ejerce un control “meramente externo” (ATC 159/2016, de 20 de septiembre, FJ 2), lo que significa que debe verificar su concurrencia a fin de que no se haga un uso de la cuestión de inconstitucionalidad “no acomodado a su naturaleza y finalidad propias” (ATC 9/2019, de 12 de febrero, FJ 2, con cita de otros), pero no sustituir al órgano judicial en la determinación de ese nexo causal (STC 41/1990, de 15 de marzo, FJ 2), que es una tarea propiamente jurisdiccional y por tanto reservada a aquel (art. 117.3 CE). También hemos señalado que este tribunal debe verificar que el órgano judicial ha argumentado suficientemente la relación entre su duda de constitucionalidad y el proceso que está pendiente ante él, pues de lo contrario la cuestión de inconstitucionalidad puede perder el carácter concreto que la caracteriza.</w:t>
      </w:r>
    </w:p>
    <w:p w14:paraId="012B7BE0" w14:textId="77777777" w:rsidR="00F64776" w:rsidRDefault="00F64776" w:rsidP="00F64776">
      <w:pPr>
        <w:pStyle w:val="TextoNormal"/>
      </w:pPr>
    </w:p>
    <w:p w14:paraId="493E9CBE" w14:textId="1F423BCA" w:rsidR="00F64776" w:rsidRDefault="00F64776" w:rsidP="00F64776">
      <w:pPr>
        <w:pStyle w:val="TextoNormal"/>
      </w:pPr>
      <w:r>
        <w:t xml:space="preserve">Por tanto, no es, en principio, el Tribunal Constitucional quien tiene que decidir las cuestiones de hecho o de legalidad ordinaria que se susciten en el proceso </w:t>
      </w:r>
      <w:r w:rsidRPr="00F64776">
        <w:rPr>
          <w:i/>
        </w:rPr>
        <w:t>a quo</w:t>
      </w:r>
      <w:r>
        <w:t xml:space="preserve"> y puedan tener repercusión en la relevancia de la duda de constitucionalidad que eleva el juez promotor. Estas apreciaciones corresponden inicialmente al órgano judicial en el ejercicio de la función que constitucionalmente le corresponde. Pero este tribunal debe verificar que el órgano judicial ha argumentado suficientemente la relación entre su duda de constitucionalidad y el proceso que está pendiente ante él en garantía del carácter concreto de la cuestión de inconstitucionalidad (ATC 67/2023, de 21 de febrero, citando el ATC 139/2017, de 17 de octubre, FJ 2). Consecuentemente, el Tribunal Constitucional, en el ejercicio de sus facultades de control externo del juicio formulado por los órganos judiciales al plantear la cuestión de inconstitucionalidad, puede declarar su inadmisibilidad por resultar inconsistente o errada la argumentación judicial sobre la aplicabilidad y relevancia de la norma cuestionada (ATC 173/2020, de 15 de diciembre, FJ 2).</w:t>
      </w:r>
    </w:p>
    <w:p w14:paraId="5337116B" w14:textId="77777777" w:rsidR="00F64776" w:rsidRDefault="00F64776" w:rsidP="00F64776">
      <w:pPr>
        <w:pStyle w:val="TextoNormal"/>
      </w:pPr>
    </w:p>
    <w:p w14:paraId="057CD93C" w14:textId="77777777" w:rsidR="00F64776" w:rsidRDefault="00F64776" w:rsidP="00F64776">
      <w:pPr>
        <w:pStyle w:val="TextoNormal"/>
      </w:pPr>
      <w:r w:rsidRPr="00F64776">
        <w:rPr>
          <w:rStyle w:val="NumeroAFNegritaCaracter"/>
        </w:rPr>
        <w:t>4</w:t>
      </w:r>
      <w:r>
        <w:t>. Conforme a la anterior doctrina, el juicio de aplicabilidad no puede considerarse adecuadamente formulado en relación con los arts. 491 y 497 del texto refundido de la Ley concursal, en la redacción anterior a la Ley 16/2022.</w:t>
      </w:r>
    </w:p>
    <w:p w14:paraId="0DCD2DD8" w14:textId="77777777" w:rsidR="00F64776" w:rsidRDefault="00F64776" w:rsidP="00F64776">
      <w:pPr>
        <w:pStyle w:val="TextoNormal"/>
      </w:pPr>
    </w:p>
    <w:p w14:paraId="12F9B508" w14:textId="77777777" w:rsidR="00F64776" w:rsidRDefault="00F64776" w:rsidP="00F64776">
      <w:pPr>
        <w:pStyle w:val="TextoNormal"/>
      </w:pPr>
      <w:r>
        <w:t>El órgano judicial plantea una suerte de doble juicio de aplicabilidad de las normas que cuestiona. Afirma, respecto a la disposición transitoria primera, apartado 3.6 de la Ley 16/2022, en relación con el art. 489.1.5 del texto refundido de la Ley concursal, en la redacción dada por la Ley 16/2022, que la decisión final sobre la exoneración del pasivo insatisfecho, es decir, la que abarcaría al crédito público titularidad de la AEAT, depende de la validez de estas normas, por cuanto determinan que la exoneración se extienda o no a los créditos públicos no satisfechos y a su posible incardinación en un plan de pagos. Estas consideraciones ponen de manifiesto la interdependencia que existe entre la validez de las normas cuestionadas y la resolución del recurso planteado por la AEAT al órgano judicial, por lo que, circunscrito a solicitudes de exoneración del pasivo que incluyan créditos públicos, ha de considerase debidamente efectuado el doble juicio de aplicabilidad y relevancia que exige el art. 35.1 LOTC, en relación con estos dos preceptos. Efectivamente, tras la aprobación de la Ley 16/2022, ambos regulan la exoneración del crédito público mediante la aprobación de un plan de pagos, en la doble perspectiva material y temporal, por lo que son aplicables y relevantes para la resolución que debe dictar el órgano judicial.</w:t>
      </w:r>
    </w:p>
    <w:p w14:paraId="4D3552AB" w14:textId="77777777" w:rsidR="00F64776" w:rsidRDefault="00F64776" w:rsidP="00F64776">
      <w:pPr>
        <w:pStyle w:val="TextoNormal"/>
      </w:pPr>
    </w:p>
    <w:p w14:paraId="29A265A9" w14:textId="77777777" w:rsidR="00F64776" w:rsidRDefault="00F64776" w:rsidP="00F64776">
      <w:pPr>
        <w:pStyle w:val="TextoNormal"/>
      </w:pPr>
      <w:r>
        <w:t xml:space="preserve">No sucede lo mismo con los arts. 491 y 497 del texto refundido de la Ley concursal, en la redacción anterior a la Ley 16/2022, los cuales, según el órgano judicial, de entenderse inconstitucional la disposición transitoria impugnada, resultarían de aplicación a la decisión final sobre exoneración del crédito público. Viene así a realizar una suerte de “doble juicio de aplicabilidad” sucesivo o en cascada. Razona el órgano judicial que, de entenderse inconstitucional la disposición transitoria, resultarían de aplicación a la decisión final sobre exoneración del crédito público los arts. 491 y 497 del texto refundido, con lo cual la aplicabilidad de estos preceptos al caso está, en realidad, condicionada a la previa declaración de inconstitucionalidad de uno de los preceptos cuestionados. No puede admitirse que en este caso el juicio de aplicabilidad se haya realizado debidamente, pues la aplicabilidad al caso de la norma cuestionada depende de una circunstancia completamente ajena al proceso judicial </w:t>
      </w:r>
      <w:r w:rsidRPr="00F64776">
        <w:rPr>
          <w:i/>
        </w:rPr>
        <w:t>a quo</w:t>
      </w:r>
      <w:r>
        <w:t xml:space="preserve">, como es que este Tribunal Constitucional, llegado el caso, apreciase que la disposición transitoria primera, apartado 3.6 de la Ley 16/2022 es contraria al art. 9.3 CE. Nótese, a mayor abundamiento, que esta manera de afirmar la potencial aplicabilidad al caso de los arts. 491 y 497 del texto refundido de la Ley concursal es contradictoria con la argumentación dirigida a fundamentar la inconstitucionalidad de la disposición transitoria primera, apartado 3.6 de la Ley 16/2022 (que descansa precisamente en la no aplicabilidad de los arts. 491 y 497 del texto refundido —más beneficiosos para el deudor que el posterior régimen de la Ley 16/2022— debido a su supuesto carácter </w:t>
      </w:r>
      <w:r w:rsidRPr="00F64776">
        <w:rPr>
          <w:i/>
        </w:rPr>
        <w:t>ultra vires</w:t>
      </w:r>
      <w:r>
        <w:t>).</w:t>
      </w:r>
    </w:p>
    <w:p w14:paraId="10758F56" w14:textId="77777777" w:rsidR="00F64776" w:rsidRDefault="00F64776" w:rsidP="00F64776">
      <w:pPr>
        <w:pStyle w:val="TextoNormal"/>
      </w:pPr>
    </w:p>
    <w:p w14:paraId="69A85A0C" w14:textId="2A4FCA38" w:rsidR="00F64776" w:rsidRDefault="00F64776" w:rsidP="00F64776">
      <w:pPr>
        <w:pStyle w:val="TextoNormal"/>
      </w:pPr>
      <w:r>
        <w:t>Por tanto, respecto de los arts. 491 y 497 del texto refundido de la Ley concursal, en la redacción anterior a la Ley 16/2022, el juicio de aplicabilidad no puede tenerse por adecuadamente formulado.</w:t>
      </w:r>
    </w:p>
    <w:p w14:paraId="6FBB7D43" w14:textId="77777777" w:rsidR="00F64776" w:rsidRDefault="00F64776" w:rsidP="00F64776">
      <w:pPr>
        <w:pStyle w:val="TextoNormal"/>
      </w:pPr>
    </w:p>
    <w:p w14:paraId="04B22C6D" w14:textId="77777777" w:rsidR="00F64776" w:rsidRDefault="00F64776" w:rsidP="00F64776">
      <w:pPr>
        <w:pStyle w:val="TextoNormal"/>
      </w:pPr>
      <w:r w:rsidRPr="00F64776">
        <w:rPr>
          <w:rStyle w:val="NumeroAFNegritaCaracter"/>
        </w:rPr>
        <w:t>5</w:t>
      </w:r>
      <w:r>
        <w:t>. Como también pone de manifiesto el fiscal general del Estado, la presente cuestión de inconstitucionalidad ha de ser considerada notoriamente infundada, en el sentido que a dicha expresión otorga la doctrina de este tribunal (ATC 172/2020, de 15 de diciembre, FJ 2, por todos).</w:t>
      </w:r>
    </w:p>
    <w:p w14:paraId="50139570" w14:textId="77777777" w:rsidR="00F64776" w:rsidRDefault="00F64776" w:rsidP="00F64776">
      <w:pPr>
        <w:pStyle w:val="TextoNormal"/>
      </w:pPr>
    </w:p>
    <w:p w14:paraId="4D13564E" w14:textId="77777777" w:rsidR="00F64776" w:rsidRDefault="00F64776" w:rsidP="00F64776">
      <w:pPr>
        <w:pStyle w:val="TextoNormal"/>
      </w:pPr>
      <w:r>
        <w:t>De acuerdo con lo señalado en el fundamento jurídico anterior, este análisis ha de referirse exclusivamente a las dudas en torno a la disposición transitoria primera, apartado 3.6 de la Ley 16/2022, en relación con el art. 489.1.5 del texto refundido de la Ley concursal, en la redacción dada por la Ley 16/2022. El primero de los preceptos dispone la aplicación de la Ley 16/2022 a las “solicitudes de exoneración del pasivo que se presenten después de su entrada en vigor” y el segundo establece el régimen de exoneración de los créditos públicos.</w:t>
      </w:r>
    </w:p>
    <w:p w14:paraId="0E8D5C59" w14:textId="77777777" w:rsidR="00F64776" w:rsidRDefault="00F64776" w:rsidP="00F64776">
      <w:pPr>
        <w:pStyle w:val="TextoNormal"/>
      </w:pPr>
    </w:p>
    <w:p w14:paraId="4321D3C8" w14:textId="3F97DF67" w:rsidR="00F64776" w:rsidRDefault="00F64776" w:rsidP="00F64776">
      <w:pPr>
        <w:pStyle w:val="TextoNormal"/>
      </w:pPr>
      <w:r>
        <w:t>Para el órgano judicial dicha aplicación del régimen de exoneración de los créditos, específicamente en relación con los créditos públicos, sería contraria a los principios de irretroactividad de las normas y de seguridad jurídica por establecer un supuesto de retroactividad auténtica, en cuanto se aplicaría a concursos en los que los requisitos materiales del concurso y, por tanto, de la exoneración, ya existirían antes de la entrada en vigor de la Ley 16/2022.</w:t>
      </w:r>
    </w:p>
    <w:p w14:paraId="1456C5B2" w14:textId="77777777" w:rsidR="00F64776" w:rsidRDefault="00F64776" w:rsidP="00F64776">
      <w:pPr>
        <w:pStyle w:val="TextoNormal"/>
      </w:pPr>
    </w:p>
    <w:p w14:paraId="6FA5F336" w14:textId="77777777" w:rsidR="00F64776" w:rsidRDefault="00F64776" w:rsidP="00F64776">
      <w:pPr>
        <w:pStyle w:val="TextoNormal"/>
      </w:pPr>
      <w:r w:rsidRPr="00F64776">
        <w:rPr>
          <w:rStyle w:val="NumeroAFNegritaCaracter"/>
        </w:rPr>
        <w:t>6</w:t>
      </w:r>
      <w:r>
        <w:t xml:space="preserve">. En la exposición de las razones por las que la cuestión debe considerarse infundada es preciso referirse, en primer término, a la regulación del denominado beneficio de exoneración del pasivo insatisfecho y al contexto en el que el órgano judicial formula la duda de constitucionalidad que plantea. El beneficio de exoneración del pasivo insatisfecho se introdujo en la Ley 14/2013, de 27 de septiembre, de apoyo a los emprendedores y su internacionalización, si bien limitado a las personas físicas empresarias. El Real Decreto-ley 1/2015, de 27 de febrero, y la posterior Ley 25/2015, de 28 de julio, de mecanismo de segunda oportunidad, reducción de la carga financiera y otras medidas de orden social, volvieron a modificar la Ley 22/2003, de 9 de julio, concursal, introduciendo el nuevo artículo 178 </w:t>
      </w:r>
      <w:r w:rsidRPr="00F64776">
        <w:rPr>
          <w:i/>
        </w:rPr>
        <w:t>bis</w:t>
      </w:r>
      <w:r>
        <w:t xml:space="preserve"> y añadiendo a la exoneración por acuerdo extrajudicial de pagos, la posibilidad de exoneración por la vía del cumplimiento de un plan de pagos. De esta manera quedaba incorporado a nuestro ordenamiento jurídico el mecanismo de la segunda oportunidad, acercando las posiciones del deudor persona física y del deudor persona jurídica tras la conclusión de un concurso con pasivo insatisfecho.</w:t>
      </w:r>
    </w:p>
    <w:p w14:paraId="0C51A2DE" w14:textId="77777777" w:rsidR="00F64776" w:rsidRDefault="00F64776" w:rsidP="00F64776">
      <w:pPr>
        <w:pStyle w:val="TextoNormal"/>
      </w:pPr>
    </w:p>
    <w:p w14:paraId="6D84116A" w14:textId="77777777" w:rsidR="00F64776" w:rsidRDefault="00F64776" w:rsidP="00F64776">
      <w:pPr>
        <w:pStyle w:val="TextoNormal"/>
      </w:pPr>
      <w:r>
        <w:t xml:space="preserve">A partir de esta modificación, en el caso de la insolvencia de las personas físicas, el legislador diseña dos sistemas diferentes a los efectos de la exoneración del pasivo insatisfecho. Uno es la liquidación del patrimonio embargable y posterior conclusión del concurso y el otro, que es el que se ha aplicado en el caso </w:t>
      </w:r>
      <w:r w:rsidRPr="00F64776">
        <w:rPr>
          <w:i/>
        </w:rPr>
        <w:t>a quo</w:t>
      </w:r>
      <w:r>
        <w:t>, consiste en la exoneración del pasivo sin liquidación del patrimonio y con sujeción a un plan de pagos. Tras la reforma de la Ley 16/2022 ese plan de pagos evita la liquidación concursal y permite al deudor afrontar, en alguna medida, el pago de los créditos exonerables (aquellos créditos en los que los acreedores no podrán ejercer ningún tipo de acción frente el deudor para su cobro, salvo la de solicitar la revocación de la exoneración, con lo que esa parte del pasivo va a quedar insatisfecha conforme a los arts. 490 y 499.1 del texto refundido de la Ley concursal). No obstante, hay determinados créditos que tienen la condición de no exonerables, esto es, que no quedan extinguidos en ningún caso pese a la conclusión del concurso, puesto que los correspondientes acreedores mantendrán sus acciones contra el deudor y podrán promover la ejecución judicial o extrajudicial de aquellos (art. 490 del texto refundido).</w:t>
      </w:r>
    </w:p>
    <w:p w14:paraId="68FADBAD" w14:textId="77777777" w:rsidR="00F64776" w:rsidRDefault="00F64776" w:rsidP="00F64776">
      <w:pPr>
        <w:pStyle w:val="TextoNormal"/>
      </w:pPr>
    </w:p>
    <w:p w14:paraId="2585B869" w14:textId="77777777" w:rsidR="00F64776" w:rsidRDefault="00F64776" w:rsidP="00F64776">
      <w:pPr>
        <w:pStyle w:val="TextoNormal"/>
      </w:pPr>
      <w:r>
        <w:t>El problema se traba en torno a la consideración de los términos en los que los créditos públicos pueden ser considerados no exonerables y, por tanto, exigibles, cuestión respecto a la que han existido cambios en la legislación.</w:t>
      </w:r>
    </w:p>
    <w:p w14:paraId="25F8F738" w14:textId="77777777" w:rsidR="00F64776" w:rsidRDefault="00F64776" w:rsidP="00F64776">
      <w:pPr>
        <w:pStyle w:val="TextoNormal"/>
      </w:pPr>
    </w:p>
    <w:p w14:paraId="49AEC16E" w14:textId="77777777" w:rsidR="00F64776" w:rsidRDefault="00F64776" w:rsidP="00F64776">
      <w:pPr>
        <w:pStyle w:val="TextoNormal"/>
      </w:pPr>
      <w:r>
        <w:t xml:space="preserve">En efecto, el art. 178 </w:t>
      </w:r>
      <w:r w:rsidRPr="00F64776">
        <w:rPr>
          <w:i/>
        </w:rPr>
        <w:t>bis</w:t>
      </w:r>
      <w:r>
        <w:t xml:space="preserve">.3.4 de la Ley concursal regulaba la llamada exoneración directa basada en la satisfacción o pago de los créditos privilegiados y contra la masa y si no se había intentado un acuerdo extrajudicial de pagos, del 25 por 100 de los créditos ordinarios. Que el sistema de exoneración directa del art. 178 </w:t>
      </w:r>
      <w:r w:rsidRPr="00F64776">
        <w:rPr>
          <w:i/>
        </w:rPr>
        <w:t>bis</w:t>
      </w:r>
      <w:r>
        <w:t xml:space="preserve">.3.4, tuviera como efecto la exoneración de la totalidad del pasivo no satisfecho, sin la excepción del crédito público, era una cuestión indubitada por la doctrina e indiscutida en los juzgados y tribunales. La única discusión se centraba en el alcance de la exoneración en el otro sistema, esto es, el de la exoneración provisional mediante plan de pagos, pues el art. 178 </w:t>
      </w:r>
      <w:r w:rsidRPr="00F64776">
        <w:rPr>
          <w:i/>
        </w:rPr>
        <w:t>bis</w:t>
      </w:r>
      <w:r>
        <w:t xml:space="preserve">.5, apartado primero, aplicable únicamente a este sistema, exceptuaba al crédito público y por alimentos del alcance de la exoneración provisional. Sin embargo, el párrafo primero del art.178 </w:t>
      </w:r>
      <w:r w:rsidRPr="00F64776">
        <w:rPr>
          <w:i/>
        </w:rPr>
        <w:t>bis</w:t>
      </w:r>
      <w:r>
        <w:t xml:space="preserve">.6 comenzaba diciendo que los créditos no exonerados según el apartado anterior (entre los que se debían incluir los créditos públicos) podían ser exonerados a través del plan de pagos. Si bien a continuación parecía remitir al sistema administrativo de aplazamiento y fraccionamiento para los créditos públicos (último párrafo del art. 178 </w:t>
      </w:r>
      <w:r w:rsidRPr="00F64776">
        <w:rPr>
          <w:i/>
        </w:rPr>
        <w:t>bis</w:t>
      </w:r>
      <w:r>
        <w:t>.6: “Respecto a los créditos de derecho público, la tramitación de las solicitudes de aplazamiento o fraccionamiento se regirá por lo dispuesto en su normativa específica”). Esta aparente contradicción de la regulación anterior a la refundición de la Ley concursal fue objeto de interpretación por la STS 381/2019, de 2 de julio, dictada por el Pleno de la Sala de lo Civil del Tribunal Supremo, en el sentido de entender que el crédito público podía ser objeto de exoneración provisional y objeto de satisfacción a través del sistema de plan de pagos mediante la inclusión del crédito público no satisfecho en el mismo.</w:t>
      </w:r>
    </w:p>
    <w:p w14:paraId="2EE1801A" w14:textId="77777777" w:rsidR="00F64776" w:rsidRDefault="00F64776" w:rsidP="00F64776">
      <w:pPr>
        <w:pStyle w:val="TextoNormal"/>
      </w:pPr>
    </w:p>
    <w:p w14:paraId="155D2635" w14:textId="77777777" w:rsidR="00F64776" w:rsidRDefault="00F64776" w:rsidP="00F64776">
      <w:pPr>
        <w:pStyle w:val="TextoNormal"/>
      </w:pPr>
      <w:r>
        <w:t>Posteriormente, los arts. 491 y 497 del texto refundido de la Ley concursal, aprobado por el Real Decreto Legislativo 1/2020 se apartaron del criterio jurisprudencial anterior y excluyeron expresamente los créditos públicos del régimen especial de beneficio de exoneración del pasivo insatisfecho, lo que implicaba que no se permitía así que el plan de pagos incluyese ningún tipo de crédito público, quedando al deudor la posibilidad de solicitar el aplazamiento ante las administraciones públicas correspondientes, sin que los acreedores públicos se viesen vinculados por la aprobación judicial del plan de pagos.</w:t>
      </w:r>
    </w:p>
    <w:p w14:paraId="6B531203" w14:textId="77777777" w:rsidR="00F64776" w:rsidRDefault="00F64776" w:rsidP="00F64776">
      <w:pPr>
        <w:pStyle w:val="TextoNormal"/>
      </w:pPr>
    </w:p>
    <w:p w14:paraId="00A32B5F" w14:textId="77777777" w:rsidR="00F64776" w:rsidRDefault="00F64776" w:rsidP="00F64776">
      <w:pPr>
        <w:pStyle w:val="TextoNormal"/>
      </w:pPr>
      <w:r>
        <w:t xml:space="preserve">A juicio del órgano judicial que ahora plantea la cuestión, la regulación recién descrita modifica por completo una norma clara e indiscutida del sistema llamado a refundir, pues regula de manera contraria a la norma refundida los efectos de la exoneración, alterando con ello el difícil equilibrio de derechos que regula dicho sistema y por tanto la igualdad de trato de los acreedores, sin que esta alteración pueda ser, de una manera muy clara, considerada una aclaración, regularización o sistematización de la norma vigente. A su juicio supone un </w:t>
      </w:r>
      <w:r w:rsidRPr="00F64776">
        <w:rPr>
          <w:i/>
        </w:rPr>
        <w:t>ultra vires</w:t>
      </w:r>
      <w:r>
        <w:t xml:space="preserve">, al no haber cumplido el mandato impuesto por la disposición final octava de la Ley 9/2015, de 25 de mayo, de medidas urgentes en materia concursal, que otorgaba al Gobierno un plazo de doce meses para aprobar un texto refundido de la Ley concursal, autorización que incluía la facultad de regularizar, aclarar y armonizar los textos legales a refundir. Se considera que tal función ha de hacerse respetando la jurisprudencia, no regulando en contra de ella, pues para esto último sería necesaria una norma con rango de ley. Dicho en otras palabras, para el órgano judicial, si aplicar el texto refundido de la Ley concursal comporta inaplicar la jurisprudencia, es un claro signo de que estamos ante un precepto </w:t>
      </w:r>
      <w:r w:rsidRPr="00F64776">
        <w:rPr>
          <w:i/>
        </w:rPr>
        <w:t>ultra vires</w:t>
      </w:r>
      <w:r>
        <w:t xml:space="preserve"> ya que la refundición no puede obviar el sentido dado por la jurisprudencia a la norma legal objeto de refundición, por lo que el texto refundido debe ser interpretado de conformidad con esa jurisprudencia.</w:t>
      </w:r>
    </w:p>
    <w:p w14:paraId="7C96E800" w14:textId="77777777" w:rsidR="00F64776" w:rsidRDefault="00F64776" w:rsidP="00F64776">
      <w:pPr>
        <w:pStyle w:val="TextoNormal"/>
      </w:pPr>
    </w:p>
    <w:p w14:paraId="56DDB976" w14:textId="6B0C5016" w:rsidR="00F64776" w:rsidRDefault="00F64776" w:rsidP="00F64776">
      <w:pPr>
        <w:pStyle w:val="TextoNormal"/>
      </w:pPr>
      <w:r>
        <w:t xml:space="preserve">Finalmente, la Ley 16/2022, en su artículo único, apartado 130, modificó el régimen de exoneración del pasivo insatisfecho en los términos que ya se han mencionado y de los que resulta, por lo que ahora importa, que la exoneración del pasivo insatisfecho no se extiende, según el modificado art. 489.5 del texto refundido de la Ley concursal, a las deudas por créditos de derecho público, si bien “las deudas para cuya gestión recaudatoria resulte competente la Agencia estatal de administración tributaria podrán exonerarse hasta el importe máximo de diez mil euros por deudor; para los primeros cinco mil euros de deuda la exoneración será integra, y a partir de esta cifra la exoneración alcanzará el cincuenta por ciento de la deuda hasta el máximo indicado. Asimismo, las deudas por créditos en seguridad social podrán exonerarse por el mismo importe y en las mismas condiciones”. Es la aplicación de este régimen en el caso </w:t>
      </w:r>
      <w:r w:rsidRPr="00F64776">
        <w:rPr>
          <w:i/>
        </w:rPr>
        <w:t>a quo</w:t>
      </w:r>
      <w:r>
        <w:t>, derivado del régimen transitorio previsto en la Ley 16/2022 lo que ha hecho que el órgano judicial considere que es contrario al art. 9.3 CE.</w:t>
      </w:r>
    </w:p>
    <w:p w14:paraId="2CCF5543" w14:textId="77777777" w:rsidR="00F64776" w:rsidRDefault="00F64776" w:rsidP="00F64776">
      <w:pPr>
        <w:pStyle w:val="TextoNormal"/>
      </w:pPr>
    </w:p>
    <w:p w14:paraId="3895357D" w14:textId="77777777" w:rsidR="00F64776" w:rsidRDefault="00F64776" w:rsidP="00F64776">
      <w:pPr>
        <w:pStyle w:val="TextoNormal"/>
      </w:pPr>
      <w:r w:rsidRPr="00F64776">
        <w:rPr>
          <w:rStyle w:val="NumeroAFNegritaCaracter"/>
        </w:rPr>
        <w:t>7</w:t>
      </w:r>
      <w:r>
        <w:t>. Atendiendo al planteamiento del órgano judicial procede ahora referirse a la doctrina constitucional en relación con el principio de irretroactividad de disposiciones restrictivas de un derecho ya consolidado (art. 9.3 CE). La invocación del principio de seguridad jurídica que se hace en el auto de planteamiento se vincula a la denuncia de vulneración del principio de irretroactividad de las disposiciones sancionadoras no favorables o restrictivas de derechos individuales, atendido al grado de irretroactividad, al considerar que se trata de un caso de retroactividad auténtica. En esa situación la pretendida lesión de la seguridad jurídica es una cuestión que solo puede resolverse caso por caso, teniendo en cuenta, de un lado, el grado de retroactividad de la norma y, de otro, las circunstancias que concurran en cada supuesto (SSTC 126/1987, de 16 de julio, FJ 11; 150/1990, de 4 de octubre, FJ 8; 197/1992, de 19 de noviembre, FJ 4; 173/1996, de 31 de octubre, FJ 3; 182/1997, de 28 de octubre, FJ 11; 234/2001, de 13 de diciembre, FJ 10; 116/2009, de 18 de mayo, FJ 3, y 181/2016, de 20 de octubre, FJ 4), cuestión que se examina a continuación.</w:t>
      </w:r>
    </w:p>
    <w:p w14:paraId="465F8223" w14:textId="77777777" w:rsidR="00F64776" w:rsidRDefault="00F64776" w:rsidP="00F64776">
      <w:pPr>
        <w:pStyle w:val="TextoNormal"/>
      </w:pPr>
    </w:p>
    <w:p w14:paraId="73687ECF" w14:textId="77777777" w:rsidR="00F64776" w:rsidRDefault="00F64776" w:rsidP="00F64776">
      <w:pPr>
        <w:pStyle w:val="TextoNormal"/>
      </w:pPr>
      <w:r>
        <w:t>Lo que el art. 9.3 CE prohíbe es la “incidencia de la nueva ley en los efectos jurídicos ya producidos de situaciones anteriores, de suerte que la incidencia en los derechos, en cuanto a su proyección hacia el futuro, no pertenece al campo estricto de la irretroactividad” (STC 42/1986, de 10 de abril). Como ha reiterado este tribunal “la eficacia y protección del derecho individual —nazca de una relación pública o de una privada— dependerá de su naturaleza y de su asunción más o menos plena por el sujeto, de su ingreso en el patrimonio del individuo, de manera que la irretroactividad solo es aplicable a los derechos consolidados, asumidos e integrados en el patrimonio del sujeto y no a los pendientes, futuros, condicionados y expectativas [por todas, SSTC 99/1987, de 11 de junio, FJ 6 b), o 178/1989, de 2 de noviembre, FJ 9], de lo que se deduce que solo puede afirmarse que una norma es retroactiva, a los efectos del art. 9.3 CE, cuando incide sobre ‘relaciones consagradas’ y afecta a ‘situaciones agotadas’ [por todas, STC 99/1987, de 11 de junio, FJ 6 b)]” (STC 112/2006, de 5 de abril, FJ 17).</w:t>
      </w:r>
    </w:p>
    <w:p w14:paraId="44315F76" w14:textId="77777777" w:rsidR="00F64776" w:rsidRDefault="00F64776" w:rsidP="00F64776">
      <w:pPr>
        <w:pStyle w:val="TextoNormal"/>
      </w:pPr>
    </w:p>
    <w:p w14:paraId="7F521AB9" w14:textId="1F4332D6" w:rsidR="00F64776" w:rsidRDefault="00F64776" w:rsidP="00F64776">
      <w:pPr>
        <w:pStyle w:val="TextoNormal"/>
      </w:pPr>
      <w:r>
        <w:t xml:space="preserve">En concreto, en situaciones de cambio normativo la doctrina constitucional ha distinguido entre las disposiciones legales que pretenden anudar efectos a situaciones de hecho producidas o desarrolladas con anterioridad a la propia ley (la llamada retroactividad auténtica) y las que pretenden incidir sobre situaciones o relaciones jurídicas actuales aún no concluidas (retroactividad impropia). La primera, la retroactividad auténtica, que es la que aprecia el órgano judicial en el caso </w:t>
      </w:r>
      <w:r w:rsidRPr="00F64776">
        <w:rPr>
          <w:i/>
        </w:rPr>
        <w:t>a quo</w:t>
      </w:r>
      <w:r>
        <w:t>, tiene lugar cuando la norma pretende anudar sus efectos a situaciones de hecho producidas con anterioridad a la propia ley y ya consumadas. En este caso solo exigencias cualificadas “del bien común” (STC 126/1987, de 16 de julio, FJ 11) o de “interés general” [STC 182/1997, FJ 11 d)], podrían imponer “el sacrificio del principio de seguridad jurídica” [STC 182/1997, FJ 11 d)], lo que ha de determinarse en una ponderación caso a caso.</w:t>
      </w:r>
    </w:p>
    <w:p w14:paraId="152C0A0E" w14:textId="77777777" w:rsidR="00F64776" w:rsidRDefault="00F64776" w:rsidP="00F64776">
      <w:pPr>
        <w:pStyle w:val="TextoNormal"/>
      </w:pPr>
    </w:p>
    <w:p w14:paraId="4B149237" w14:textId="77777777" w:rsidR="00F64776" w:rsidRDefault="00F64776" w:rsidP="00F64776">
      <w:pPr>
        <w:pStyle w:val="TextoNormal"/>
      </w:pPr>
      <w:r w:rsidRPr="00F64776">
        <w:rPr>
          <w:rStyle w:val="NumeroAFNegritaCaracter"/>
        </w:rPr>
        <w:t>8</w:t>
      </w:r>
      <w:r>
        <w:t>. La cuestionada es una regla de derecho transitorio de los procedimientos en curso, pues la norma vigente en el momento en que el deudor formula la propuesta de plan de pagos es la propia Ley 16/2022. En el régimen transitorio que allí se diseña, los concursos declarados antes de la entrada en vigor de esa ley se regirán por lo establecido en la legislación anterior, pero de esa vigencia de la legislación anterior se excepcionan, entre otras, las solicitudes de exoneración del pasivo.</w:t>
      </w:r>
    </w:p>
    <w:p w14:paraId="26D3C892" w14:textId="77777777" w:rsidR="00F64776" w:rsidRDefault="00F64776" w:rsidP="00F64776">
      <w:pPr>
        <w:pStyle w:val="TextoNormal"/>
      </w:pPr>
    </w:p>
    <w:p w14:paraId="24EEC178" w14:textId="77777777" w:rsidR="00F64776" w:rsidRDefault="00F64776" w:rsidP="00F64776">
      <w:pPr>
        <w:pStyle w:val="TextoNormal"/>
      </w:pPr>
      <w:r>
        <w:t xml:space="preserve">En el caso </w:t>
      </w:r>
      <w:r w:rsidRPr="00F64776">
        <w:rPr>
          <w:i/>
        </w:rPr>
        <w:t>a quo</w:t>
      </w:r>
      <w:r>
        <w:t xml:space="preserve"> lo que sucede es que el concurso se declara mediante auto de 7 de junio de 2021, pero la solicitud de beneficio de exoneración del pasivo insatisfecho no se presenta hasta el día 28 de noviembre de 2022, ya bajo la vigencia de la Ley 16/2022 y el concurso no finaliza hasta el 9 de enero de 2023 cuando el auto judicial acuerda la conclusión del mismo y el reconocimiento al deudor del beneficio de exoneración del pasivo insatisfecho. No cabe apreciar, por tanto, la retroactividad auténtica a la que alude el órgano judicial, en la medida en que no afecta a situaciones que puedan considerarse agotadas, por cuanto el concurso no estaba concluso cuando la específica regulación de la Ley 16/2022 que aquí se cuestiona entró en vigor, a los veinte días de su publicación en el “Boletín Oficial del Estado”, esto es, el 26 de septiembre de 2022 (disposición final decimonovena).</w:t>
      </w:r>
    </w:p>
    <w:p w14:paraId="4AEFE8DC" w14:textId="77777777" w:rsidR="00F64776" w:rsidRDefault="00F64776" w:rsidP="00F64776">
      <w:pPr>
        <w:pStyle w:val="TextoNormal"/>
      </w:pPr>
    </w:p>
    <w:p w14:paraId="0037BAA7" w14:textId="77777777" w:rsidR="00F64776" w:rsidRDefault="00F64776" w:rsidP="00F64776">
      <w:pPr>
        <w:pStyle w:val="TextoNormal"/>
      </w:pPr>
      <w:r>
        <w:t>Es, por otra parte, razonable que el legislador, en uso del margen del que dispone para regular el derecho transitorio en situaciones de cambio normativo, haya designado ese momento temporal para la aplicación del régimen de exoneración de créditos públicos que deriva de la Ley 16/2022. La exoneración con plan de pagos requiere no solamente la apertura del concurso, sino que el deudor lo solicite expresamente, ya que no es un efecto automático de la apertura del concurso (art. 486 en relación con el art. 495 del texto refundido de la Ley concursal) y, por otra parte, también requiere de una decisión específica del juez, previo traslado a los acreedores personados, en la que “previa verificación de la concurrencia de los presupuestos y requisitos establecidos en esta ley, del contenido del plan de pagos y de las posibilidades objetivas de que pueda ser cumplido, denegará o concederá provisionalmente la exoneración del pasivo insatisfecho, con aprobación del plan de pagos en los términos de la propuesta o con las modificaciones que estime oportunas, consten o no en las alegaciones de los acreedores” (art. 498.2 del texto refundido de la Ley concursal).</w:t>
      </w:r>
    </w:p>
    <w:p w14:paraId="276799C3" w14:textId="77777777" w:rsidR="00F64776" w:rsidRDefault="00F64776" w:rsidP="00F64776">
      <w:pPr>
        <w:pStyle w:val="TextoNormal"/>
      </w:pPr>
    </w:p>
    <w:p w14:paraId="27BFE7C5" w14:textId="77777777" w:rsidR="00F64776" w:rsidRDefault="00F64776" w:rsidP="00F64776">
      <w:pPr>
        <w:pStyle w:val="TextoNormal"/>
      </w:pPr>
      <w:r>
        <w:t xml:space="preserve">Finalmente, como entre otras muchas recuerda la STC 49/2015, de 5 de marzo, “el principio de irretroactividad de las leyes consagrado en el art. 9.3 CE ‘no es un principio general, sino que está referido exclusivamente a las leyes </w:t>
      </w:r>
      <w:r w:rsidRPr="00F64776">
        <w:rPr>
          <w:i/>
        </w:rPr>
        <w:t>ex post facto</w:t>
      </w:r>
      <w:r>
        <w:t xml:space="preserve"> sancionadoras o restrictivas de derechos individuales (SSTC 27/1981, 6/1983 y 150/1990)’ (STC 173/1996, de 31 de octubre, FJ 3). Fuera de estos dos ámbitos, nada impide constitucionalmente al legislador dotar a la ley del grado de retroactividad que considere oportuno” [FJ 4 a)]. Y los preceptos cuestionados no tienen carácter sancionador ni afectan a derechos individuales en el sentido que a esa expresión ha dado este tribunal, pues la expresión “restricción de derechos individuales” del art. 9.3 CE ha de equipararse a la idea de sanción, por lo cual hay que considerar que el límite de dicho artículo se refiere a las limitaciones introducidas en el ámbito de los derechos fundamentales y de las libertades públicas (del título I de la Constitución) o en la esfera general de protección de la persona (SSTC 104/2000, de 13 de abril, FJ 6; 131/2001, de 7 de junio, FJ 5; 112/2006, de 5 de abril, FJ 17; 89/2009, de 20 de abril, FJ 4; 90/2009, de 20 de abril, FJ 4, y 100/2012, de 8 de mayo, FJ 10).</w:t>
      </w:r>
    </w:p>
    <w:p w14:paraId="7E56DA85" w14:textId="77777777" w:rsidR="00F64776" w:rsidRDefault="00F64776" w:rsidP="00F64776">
      <w:pPr>
        <w:pStyle w:val="TextoNormal"/>
      </w:pPr>
    </w:p>
    <w:p w14:paraId="39E5E5D0" w14:textId="518594F1" w:rsidR="00F64776" w:rsidRDefault="00F64776" w:rsidP="00F64776">
      <w:pPr>
        <w:pStyle w:val="TextoNormal"/>
      </w:pPr>
      <w:r>
        <w:t>En suma, de acuerdo con lo razonado, no hay vulneración del art. 9.3 CE.</w:t>
      </w:r>
    </w:p>
    <w:p w14:paraId="4C502187" w14:textId="77777777" w:rsidR="00F64776" w:rsidRDefault="00F64776" w:rsidP="00F64776">
      <w:pPr>
        <w:pStyle w:val="TextoNormal"/>
      </w:pPr>
    </w:p>
    <w:p w14:paraId="2C6F3FDE" w14:textId="77777777" w:rsidR="00F64776" w:rsidRDefault="00F64776" w:rsidP="00F64776">
      <w:pPr>
        <w:pStyle w:val="TextoNormal"/>
      </w:pPr>
      <w:r w:rsidRPr="00F64776">
        <w:rPr>
          <w:rStyle w:val="NumeroAFNegritaCaracter"/>
        </w:rPr>
        <w:t>9</w:t>
      </w:r>
      <w:r>
        <w:t xml:space="preserve">. Del auto de planteamiento de la cuestión de inconstitucionalidad se desprende que al órgano judicial </w:t>
      </w:r>
      <w:r w:rsidRPr="00F64776">
        <w:rPr>
          <w:i/>
        </w:rPr>
        <w:t>a quo</w:t>
      </w:r>
      <w:r>
        <w:t xml:space="preserve"> le parece una opción legislativa más preferible, en punto a la exoneración del crédito público, la que deriva de la aplicación del régimen del inicial art. 178 </w:t>
      </w:r>
      <w:r w:rsidRPr="00F64776">
        <w:rPr>
          <w:i/>
        </w:rPr>
        <w:t>bis</w:t>
      </w:r>
      <w:r>
        <w:t xml:space="preserve"> de la Ley concursal y de la posterior sentencia del Tribunal Supremo de 2 de julio de 2019 que interpreta dicho régimen, extendiendo la exoneración al crédito público en los supuestos de aprobación de un plan de pagos. Eso es, sin duda, legítimo, pero los preceptos cuestionados no pueden reputarse inconstitucionales por las razones que sostiene el órgano judicial. En tal sentido, si hemos afirmado que un órgano judicial no se encuentra vinculado por sus resoluciones precedentes, de las que puede apartarse mediante un razonamiento fundado, exento de arbitrariedad (SSTC 150/2001, de 2 de julio, FFJJ 3 y 4; 162/2001, de 5 de julio, FFJJ 2 y 4, y 229/2001, de 26 de noviembre, FFJJ 2 y 4), menos aún el criterio de un órgano judicial puede constreñir el ejercicio de potestades propias de las Cortes Generales y la libertad de configuración del legislador.</w:t>
      </w:r>
    </w:p>
    <w:p w14:paraId="555036B3" w14:textId="77777777" w:rsidR="00F64776" w:rsidRDefault="00F64776" w:rsidP="00F64776">
      <w:pPr>
        <w:pStyle w:val="TextoNormal"/>
      </w:pPr>
    </w:p>
    <w:p w14:paraId="0FFF0D76" w14:textId="5DDE9272" w:rsidR="00F64776" w:rsidRDefault="00F64776" w:rsidP="00F64776">
      <w:pPr>
        <w:pStyle w:val="TextoNormal"/>
      </w:pPr>
      <w:r>
        <w:t>Por último, debe advertirse que la cuestión de inconstitucionalidad no es cauce procesal idóneo para que los órganos jurisdiccionales puedan cuestionar de modo genérico o abstracto la constitucionalidad de un régimen o esquema legal por contraste con un modelo alternativo que no corresponde valorar a este Tribunal Constitucional por ser materia de la exclusiva competencia del legislador, que dispone, dentro de los límites constitucionales, de un amplio margen de libertad de elección que este tribunal ni puede ni debe restringir (en este sentido, AATC 113/2011, de 19 de julio, FJ 4, y 91/2020, de 9 de septiembre, FJ 3).</w:t>
      </w:r>
    </w:p>
    <w:p w14:paraId="5B5C9460" w14:textId="77777777" w:rsidR="00F64776" w:rsidRDefault="00F64776" w:rsidP="00F64776">
      <w:pPr>
        <w:pStyle w:val="TextoNormal"/>
      </w:pPr>
    </w:p>
    <w:p w14:paraId="377297AC" w14:textId="77777777" w:rsidR="00F64776" w:rsidRDefault="00F64776" w:rsidP="00F64776">
      <w:pPr>
        <w:pStyle w:val="TextoNormal"/>
      </w:pPr>
      <w:r>
        <w:t>Por lo expuesto, el Pleno</w:t>
      </w:r>
    </w:p>
    <w:p w14:paraId="045E6AD0" w14:textId="35346E27" w:rsidR="00F64776" w:rsidRDefault="00F64776" w:rsidP="00F64776">
      <w:pPr>
        <w:pStyle w:val="TextoNormal"/>
      </w:pPr>
    </w:p>
    <w:p w14:paraId="519D3AFB" w14:textId="77777777" w:rsidR="00F64776" w:rsidRDefault="00F64776" w:rsidP="00F64776">
      <w:pPr>
        <w:pStyle w:val="TextoNormalCentrado"/>
      </w:pPr>
      <w:r>
        <w:t>ACUERDA</w:t>
      </w:r>
    </w:p>
    <w:p w14:paraId="12D0DFE5" w14:textId="722A08B7" w:rsidR="00F64776" w:rsidRDefault="00F64776" w:rsidP="00F64776">
      <w:pPr>
        <w:pStyle w:val="TextoNormalCentrado"/>
      </w:pPr>
    </w:p>
    <w:p w14:paraId="02B84B15" w14:textId="73251A0D" w:rsidR="00F64776" w:rsidRDefault="00F64776" w:rsidP="00F64776">
      <w:pPr>
        <w:pStyle w:val="TextoNormal"/>
      </w:pPr>
      <w:r>
        <w:t>Inadmitir a trámite la presente cuestión de inconstitucionalidad.</w:t>
      </w:r>
    </w:p>
    <w:p w14:paraId="570C414F" w14:textId="77777777" w:rsidR="00F64776" w:rsidRDefault="00F64776" w:rsidP="00F64776">
      <w:pPr>
        <w:pStyle w:val="TextoNormal"/>
      </w:pPr>
    </w:p>
    <w:p w14:paraId="14FA44C2" w14:textId="77777777" w:rsidR="00F64776" w:rsidRDefault="00F64776" w:rsidP="00F64776">
      <w:pPr>
        <w:pStyle w:val="TextoNormal"/>
      </w:pPr>
      <w:r>
        <w:t>Madrid, a seis de noviembre de dos mil veintitrés.</w:t>
      </w:r>
    </w:p>
    <w:p w14:paraId="240D65CD" w14:textId="31071DB3" w:rsidR="00F64776" w:rsidRDefault="00F64776">
      <w:pPr>
        <w:spacing w:after="160" w:line="278" w:lineRule="auto"/>
        <w:rPr>
          <w:rFonts w:ascii="Times New Roman" w:eastAsia="Times New Roman" w:hAnsi="Times New Roman" w:cs="Times New Roman"/>
          <w:sz w:val="24"/>
          <w:szCs w:val="24"/>
          <w:lang w:eastAsia="es-ES"/>
        </w:rPr>
      </w:pPr>
      <w:r>
        <w:br w:type="page"/>
      </w:r>
    </w:p>
    <w:p w14:paraId="3B32C673" w14:textId="77777777" w:rsidR="00F64776" w:rsidRDefault="00F64776" w:rsidP="00F64776">
      <w:pPr>
        <w:pStyle w:val="TtuloResolucin"/>
      </w:pPr>
      <w:bookmarkStart w:id="318" w:name="AUTO_2023_533"/>
      <w:r>
        <w:t>AUTO 533/2023, de 6 de noviembre de 2023</w:t>
      </w:r>
    </w:p>
    <w:bookmarkEnd w:id="318"/>
    <w:p w14:paraId="6B3222F0" w14:textId="77777777" w:rsidR="00F64776" w:rsidRDefault="00F64776" w:rsidP="00F64776">
      <w:pPr>
        <w:pStyle w:val="TtuloResolucin"/>
      </w:pPr>
      <w:r>
        <w:t>Sección Tercera</w:t>
      </w:r>
    </w:p>
    <w:p w14:paraId="33632218" w14:textId="77777777" w:rsidR="00F64776" w:rsidRDefault="00F64776" w:rsidP="00F64776">
      <w:pPr>
        <w:pStyle w:val="TextoNormalCentrado"/>
      </w:pPr>
      <w:r>
        <w:t>ECLI:ES:TC:2023:533A</w:t>
      </w:r>
    </w:p>
    <w:p w14:paraId="49237C63" w14:textId="7167BA4D" w:rsidR="00F64776" w:rsidRDefault="00F64776" w:rsidP="00F64776">
      <w:pPr>
        <w:pStyle w:val="TextoNormalCentrado"/>
      </w:pPr>
    </w:p>
    <w:p w14:paraId="49988ACD" w14:textId="77777777" w:rsidR="00F64776" w:rsidRDefault="00F64776" w:rsidP="00F64776">
      <w:pPr>
        <w:pStyle w:val="SntesisDescriptiva"/>
      </w:pPr>
      <w:r>
        <w:t>Excms. Srs. doña Inmaculada Montalbán Huertas y doña Laura Díez Bueso.</w:t>
      </w:r>
    </w:p>
    <w:p w14:paraId="5AF540BB" w14:textId="0DC13EF2" w:rsidR="00F64776" w:rsidRDefault="00F64776" w:rsidP="00F64776">
      <w:pPr>
        <w:pStyle w:val="SntesisDescriptiva"/>
      </w:pPr>
    </w:p>
    <w:p w14:paraId="260EE2BC" w14:textId="77777777" w:rsidR="00F64776" w:rsidRDefault="00F64776" w:rsidP="00F64776">
      <w:pPr>
        <w:pStyle w:val="SntesisDescriptiva"/>
      </w:pPr>
      <w:r>
        <w:t>Acepta una abstención en el recurso de amparo 4251-2023, promovido en proceso contencioso-administrativo.</w:t>
      </w:r>
    </w:p>
    <w:p w14:paraId="713C8063" w14:textId="391642D6" w:rsidR="00F64776" w:rsidRDefault="00F64776" w:rsidP="00F64776">
      <w:pPr>
        <w:pStyle w:val="SntesisDescriptiva"/>
      </w:pPr>
    </w:p>
    <w:p w14:paraId="0BBD1805" w14:textId="77777777" w:rsidR="00F64776" w:rsidRDefault="00F64776" w:rsidP="00F64776">
      <w:pPr>
        <w:pStyle w:val="SntesisDescriptiva"/>
      </w:pPr>
    </w:p>
    <w:p w14:paraId="2A1CB852" w14:textId="77777777" w:rsidR="00F64776" w:rsidRDefault="00F64776" w:rsidP="00F64776">
      <w:pPr>
        <w:pStyle w:val="SntesisDescriptiva"/>
      </w:pPr>
    </w:p>
    <w:p w14:paraId="66EAF09F" w14:textId="77777777" w:rsidR="00F64776" w:rsidRDefault="00F64776" w:rsidP="00F64776">
      <w:pPr>
        <w:pStyle w:val="TextoNormalNegritaCentrado"/>
      </w:pPr>
      <w:r>
        <w:t>AUTO</w:t>
      </w:r>
    </w:p>
    <w:p w14:paraId="306E1305" w14:textId="09DC63BD" w:rsidR="00F64776" w:rsidRDefault="00F64776" w:rsidP="00F64776">
      <w:pPr>
        <w:pStyle w:val="TextoNormalNegritaCentrado"/>
      </w:pPr>
    </w:p>
    <w:p w14:paraId="4317D6DF" w14:textId="77777777" w:rsidR="00F64776" w:rsidRDefault="00F64776" w:rsidP="00F64776">
      <w:pPr>
        <w:pStyle w:val="TextoNormalNegritaCentrado"/>
        <w:keepNext/>
      </w:pPr>
      <w:r>
        <w:t>I. Antecedentes</w:t>
      </w:r>
    </w:p>
    <w:p w14:paraId="5CF98EA6" w14:textId="6CE25D07" w:rsidR="00F64776" w:rsidRDefault="00F64776" w:rsidP="00F64776">
      <w:pPr>
        <w:pStyle w:val="TextoNormalNegritaCentrado"/>
        <w:keepNext/>
      </w:pPr>
    </w:p>
    <w:p w14:paraId="672EE792" w14:textId="1E10E008" w:rsidR="00F64776" w:rsidRDefault="00F64776" w:rsidP="00F64776">
      <w:pPr>
        <w:pStyle w:val="TextoNormal"/>
      </w:pPr>
      <w:r w:rsidRPr="00F64776">
        <w:rPr>
          <w:rStyle w:val="NumeroAFNegritaCaracter"/>
        </w:rPr>
        <w:t>1</w:t>
      </w:r>
      <w:r>
        <w:t>. Mediante escrito registrado en este tribunal el 21 de junio de 2023, la procuradora de los tribunales don José María Ruiz de la Cuesta Vacas, en nombre y representación de doña María Gema Ginestar Gómez y bajo la dirección del letrado don Francisco Javier Araúz de Robles Dávila, formuló demanda de amparo contra la providencia y el auto de 23 de noviembre de 2022 dictado por la Sección Primera de la Sala de lo Contencioso-Administrativo del Tribunal Supremo, en recurso de queja núm. 421-2022.</w:t>
      </w:r>
    </w:p>
    <w:p w14:paraId="30592A5C" w14:textId="77777777" w:rsidR="00F64776" w:rsidRDefault="00F64776" w:rsidP="00F64776">
      <w:pPr>
        <w:pStyle w:val="TextoNormal"/>
      </w:pPr>
    </w:p>
    <w:p w14:paraId="07701339" w14:textId="5BDA042D" w:rsidR="00F64776" w:rsidRDefault="00F64776" w:rsidP="00F64776">
      <w:pPr>
        <w:pStyle w:val="TextoNormal"/>
      </w:pPr>
      <w:r w:rsidRPr="00F64776">
        <w:rPr>
          <w:rStyle w:val="NumeroAFNegritaCaracter"/>
        </w:rPr>
        <w:t>2</w:t>
      </w:r>
      <w:r>
        <w:t>. Por escrito de 30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691CDC85" w14:textId="77777777" w:rsidR="00F64776" w:rsidRDefault="00F64776" w:rsidP="00F64776">
      <w:pPr>
        <w:pStyle w:val="TextoNormal"/>
      </w:pPr>
    </w:p>
    <w:p w14:paraId="4A6AB792" w14:textId="77777777" w:rsidR="00F64776" w:rsidRDefault="00F64776" w:rsidP="00F64776">
      <w:pPr>
        <w:pStyle w:val="TextoNormalNegritaCentrado"/>
        <w:keepNext/>
      </w:pPr>
      <w:r>
        <w:t>II. Fundamentos jurídicos</w:t>
      </w:r>
    </w:p>
    <w:p w14:paraId="52943C98" w14:textId="1BE56545" w:rsidR="00F64776" w:rsidRDefault="00F64776" w:rsidP="00F64776">
      <w:pPr>
        <w:pStyle w:val="TextoNormalNegritaCentrado"/>
        <w:keepNext/>
      </w:pPr>
    </w:p>
    <w:p w14:paraId="327FC19F" w14:textId="608B80A2"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467F6B8F" w14:textId="77777777" w:rsidR="00F64776" w:rsidRDefault="00F64776" w:rsidP="00F64776">
      <w:pPr>
        <w:pStyle w:val="TextoNormal"/>
      </w:pPr>
    </w:p>
    <w:p w14:paraId="5803CBE3" w14:textId="77777777" w:rsidR="00F64776" w:rsidRDefault="00F64776" w:rsidP="00F64776">
      <w:pPr>
        <w:pStyle w:val="TextoNormal"/>
      </w:pPr>
      <w:r>
        <w:t>Por lo expuesto, la Sección</w:t>
      </w:r>
    </w:p>
    <w:p w14:paraId="4C55BA86" w14:textId="0FE179A1" w:rsidR="00F64776" w:rsidRDefault="00F64776" w:rsidP="00F64776">
      <w:pPr>
        <w:pStyle w:val="TextoNormal"/>
      </w:pPr>
    </w:p>
    <w:p w14:paraId="53F69E64" w14:textId="77777777" w:rsidR="00F64776" w:rsidRDefault="00F64776" w:rsidP="00F64776">
      <w:pPr>
        <w:pStyle w:val="TextoNormalCentrado"/>
      </w:pPr>
      <w:r>
        <w:t>ACUERDA</w:t>
      </w:r>
    </w:p>
    <w:p w14:paraId="462790BE" w14:textId="76E89705" w:rsidR="00F64776" w:rsidRDefault="00F64776" w:rsidP="00F64776">
      <w:pPr>
        <w:pStyle w:val="TextoNormalCentrado"/>
      </w:pPr>
    </w:p>
    <w:p w14:paraId="6A6DBC75" w14:textId="0EE3C74C" w:rsidR="00F64776" w:rsidRDefault="00F64776" w:rsidP="00F64776">
      <w:pPr>
        <w:pStyle w:val="TextoNormal"/>
      </w:pPr>
      <w:r>
        <w:t>Estimar justificada la abstención formulada por el magistrado don César Tolosa Tribiño en el recurso de amparo núm. 4251-2023 y apartarle definitivamente del conocimiento del referido recurso y de todas sus incidencias.</w:t>
      </w:r>
    </w:p>
    <w:p w14:paraId="5B8F258F" w14:textId="77777777" w:rsidR="00F64776" w:rsidRDefault="00F64776" w:rsidP="00F64776">
      <w:pPr>
        <w:pStyle w:val="TextoNormal"/>
      </w:pPr>
    </w:p>
    <w:p w14:paraId="6B6C8245" w14:textId="77777777" w:rsidR="00F64776" w:rsidRDefault="00F64776" w:rsidP="00F64776">
      <w:pPr>
        <w:pStyle w:val="TextoNormal"/>
      </w:pPr>
      <w:r>
        <w:t>Madrid, a seis de noviembre de dos mil veintitrés.</w:t>
      </w:r>
    </w:p>
    <w:p w14:paraId="5BC49485" w14:textId="1F828FD4" w:rsidR="00F64776" w:rsidRDefault="00F64776">
      <w:pPr>
        <w:spacing w:after="160" w:line="278" w:lineRule="auto"/>
        <w:rPr>
          <w:rFonts w:ascii="Times New Roman" w:eastAsia="Times New Roman" w:hAnsi="Times New Roman" w:cs="Times New Roman"/>
          <w:sz w:val="24"/>
          <w:szCs w:val="24"/>
          <w:lang w:eastAsia="es-ES"/>
        </w:rPr>
      </w:pPr>
      <w:r>
        <w:br w:type="page"/>
      </w:r>
    </w:p>
    <w:p w14:paraId="77CC9277" w14:textId="77777777" w:rsidR="00F64776" w:rsidRDefault="00F64776" w:rsidP="00F64776">
      <w:pPr>
        <w:pStyle w:val="TtuloResolucin"/>
      </w:pPr>
      <w:bookmarkStart w:id="319" w:name="AUTO_2023_534"/>
      <w:r>
        <w:t>AUTO 534/2023, de 6 de noviembre de 2023</w:t>
      </w:r>
    </w:p>
    <w:bookmarkEnd w:id="319"/>
    <w:p w14:paraId="7CB7804E" w14:textId="77777777" w:rsidR="00F64776" w:rsidRDefault="00F64776" w:rsidP="00F64776">
      <w:pPr>
        <w:pStyle w:val="TtuloResolucin"/>
      </w:pPr>
      <w:r>
        <w:t>Sección Tercera</w:t>
      </w:r>
    </w:p>
    <w:p w14:paraId="1CC65662" w14:textId="77777777" w:rsidR="00F64776" w:rsidRDefault="00F64776" w:rsidP="00F64776">
      <w:pPr>
        <w:pStyle w:val="TextoNormalCentrado"/>
      </w:pPr>
      <w:r>
        <w:t>ECLI:ES:TC:2023:534A</w:t>
      </w:r>
    </w:p>
    <w:p w14:paraId="039626D5" w14:textId="325C5F72" w:rsidR="00F64776" w:rsidRDefault="00F64776" w:rsidP="00F64776">
      <w:pPr>
        <w:pStyle w:val="TextoNormalCentrado"/>
      </w:pPr>
    </w:p>
    <w:p w14:paraId="08F31757" w14:textId="77777777" w:rsidR="00F64776" w:rsidRDefault="00F64776" w:rsidP="00F64776">
      <w:pPr>
        <w:pStyle w:val="SntesisDescriptiva"/>
      </w:pPr>
      <w:r>
        <w:t>Excms. Srs. doña Inmaculada Montalbán Huertas y doña Laura Díez Bueso.</w:t>
      </w:r>
    </w:p>
    <w:p w14:paraId="5539A75E" w14:textId="1FD6A7E1" w:rsidR="00F64776" w:rsidRDefault="00F64776" w:rsidP="00F64776">
      <w:pPr>
        <w:pStyle w:val="SntesisDescriptiva"/>
      </w:pPr>
    </w:p>
    <w:p w14:paraId="10AD9B54" w14:textId="77777777" w:rsidR="00F64776" w:rsidRDefault="00F64776" w:rsidP="00F64776">
      <w:pPr>
        <w:pStyle w:val="SntesisDescriptiva"/>
      </w:pPr>
      <w:r>
        <w:t>Acepta una abstención en el recurso de amparo 4315-2023, promovido en proceso contencioso-administrativo.</w:t>
      </w:r>
    </w:p>
    <w:p w14:paraId="2A863136" w14:textId="791AB563" w:rsidR="00F64776" w:rsidRDefault="00F64776" w:rsidP="00F64776">
      <w:pPr>
        <w:pStyle w:val="SntesisDescriptiva"/>
      </w:pPr>
    </w:p>
    <w:p w14:paraId="1F184160" w14:textId="77777777" w:rsidR="00F64776" w:rsidRDefault="00F64776" w:rsidP="00F64776">
      <w:pPr>
        <w:pStyle w:val="SntesisDescriptiva"/>
      </w:pPr>
    </w:p>
    <w:p w14:paraId="4D902F16" w14:textId="77777777" w:rsidR="00F64776" w:rsidRDefault="00F64776" w:rsidP="00F64776">
      <w:pPr>
        <w:pStyle w:val="SntesisDescriptiva"/>
      </w:pPr>
    </w:p>
    <w:p w14:paraId="6468697A" w14:textId="77777777" w:rsidR="00F64776" w:rsidRDefault="00F64776" w:rsidP="00F64776">
      <w:pPr>
        <w:pStyle w:val="TextoNormalNegritaCentrado"/>
      </w:pPr>
      <w:r>
        <w:t>AUTO</w:t>
      </w:r>
    </w:p>
    <w:p w14:paraId="0686BCE8" w14:textId="7A09C8C7" w:rsidR="00F64776" w:rsidRDefault="00F64776" w:rsidP="00F64776">
      <w:pPr>
        <w:pStyle w:val="TextoNormalNegritaCentrado"/>
      </w:pPr>
    </w:p>
    <w:p w14:paraId="5866605D" w14:textId="77777777" w:rsidR="00F64776" w:rsidRDefault="00F64776" w:rsidP="00F64776">
      <w:pPr>
        <w:pStyle w:val="TextoNormalNegritaCentrado"/>
        <w:keepNext/>
      </w:pPr>
      <w:r>
        <w:t>I. Antecedentes</w:t>
      </w:r>
    </w:p>
    <w:p w14:paraId="6E325806" w14:textId="1C67E26E" w:rsidR="00F64776" w:rsidRDefault="00F64776" w:rsidP="00F64776">
      <w:pPr>
        <w:pStyle w:val="TextoNormalNegritaCentrado"/>
        <w:keepNext/>
      </w:pPr>
    </w:p>
    <w:p w14:paraId="45A3C20C" w14:textId="6F78E372" w:rsidR="00F64776" w:rsidRDefault="00F64776" w:rsidP="00F64776">
      <w:pPr>
        <w:pStyle w:val="TextoNormal"/>
      </w:pPr>
      <w:r w:rsidRPr="00F64776">
        <w:rPr>
          <w:rStyle w:val="NumeroAFNegritaCaracter"/>
        </w:rPr>
        <w:t>1</w:t>
      </w:r>
      <w:r>
        <w:t>. Mediante escrito registrado en este tribunal el 23 de junio de 2023, el procurador de los tribunales don José María Ruiz de la Cuesta Vacas, en nombre y representación de doña Cristina Mourelle Cacharrón y otros y bajo la dirección del letrado don Francisco Javier Araúz de Robles Dávila, formuló demanda de amparo contra el auto y la providencia de la Sección Primera de la Sala de lo Contencioso-Administrativo del Tribunal Supremo, en recurso de queja núm. 386-2022.</w:t>
      </w:r>
    </w:p>
    <w:p w14:paraId="0B502227" w14:textId="77777777" w:rsidR="00F64776" w:rsidRDefault="00F64776" w:rsidP="00F64776">
      <w:pPr>
        <w:pStyle w:val="TextoNormal"/>
      </w:pPr>
    </w:p>
    <w:p w14:paraId="18B9F170" w14:textId="56BD2F2D" w:rsidR="00F64776" w:rsidRDefault="00F64776" w:rsidP="00F64776">
      <w:pPr>
        <w:pStyle w:val="TextoNormal"/>
      </w:pPr>
      <w:r w:rsidRPr="00F64776">
        <w:rPr>
          <w:rStyle w:val="NumeroAFNegritaCaracter"/>
        </w:rPr>
        <w:t>2</w:t>
      </w:r>
      <w:r>
        <w:t>. Por escrito de 5 de julio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335DA6D3" w14:textId="77777777" w:rsidR="00F64776" w:rsidRDefault="00F64776" w:rsidP="00F64776">
      <w:pPr>
        <w:pStyle w:val="TextoNormal"/>
      </w:pPr>
    </w:p>
    <w:p w14:paraId="38D5D5B4" w14:textId="77777777" w:rsidR="00F64776" w:rsidRDefault="00F64776" w:rsidP="00F64776">
      <w:pPr>
        <w:pStyle w:val="TextoNormalNegritaCentrado"/>
        <w:keepNext/>
      </w:pPr>
      <w:r>
        <w:t>II. Fundamentos jurídicos</w:t>
      </w:r>
    </w:p>
    <w:p w14:paraId="62472E52" w14:textId="5FC8E3BE" w:rsidR="00F64776" w:rsidRDefault="00F64776" w:rsidP="00F64776">
      <w:pPr>
        <w:pStyle w:val="TextoNormalNegritaCentrado"/>
        <w:keepNext/>
      </w:pPr>
    </w:p>
    <w:p w14:paraId="047DD34D" w14:textId="62A3376F"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51624760" w14:textId="77777777" w:rsidR="00F64776" w:rsidRDefault="00F64776" w:rsidP="00F64776">
      <w:pPr>
        <w:pStyle w:val="TextoNormal"/>
      </w:pPr>
    </w:p>
    <w:p w14:paraId="322492FD" w14:textId="77777777" w:rsidR="00F64776" w:rsidRDefault="00F64776" w:rsidP="00F64776">
      <w:pPr>
        <w:pStyle w:val="TextoNormal"/>
      </w:pPr>
      <w:r>
        <w:t>Por lo expuesto, la Sección</w:t>
      </w:r>
    </w:p>
    <w:p w14:paraId="6DE8795F" w14:textId="0A852D39" w:rsidR="00F64776" w:rsidRDefault="00F64776" w:rsidP="00F64776">
      <w:pPr>
        <w:pStyle w:val="TextoNormal"/>
      </w:pPr>
    </w:p>
    <w:p w14:paraId="5F1FD30E" w14:textId="77777777" w:rsidR="00F64776" w:rsidRDefault="00F64776" w:rsidP="00F64776">
      <w:pPr>
        <w:pStyle w:val="TextoNormalCentrado"/>
      </w:pPr>
      <w:r>
        <w:t>ACUERDA</w:t>
      </w:r>
    </w:p>
    <w:p w14:paraId="3B388868" w14:textId="02D5CCD6" w:rsidR="00F64776" w:rsidRDefault="00F64776" w:rsidP="00F64776">
      <w:pPr>
        <w:pStyle w:val="TextoNormalCentrado"/>
      </w:pPr>
    </w:p>
    <w:p w14:paraId="79AAB11B" w14:textId="24595EDB" w:rsidR="00F64776" w:rsidRDefault="00F64776" w:rsidP="00F64776">
      <w:pPr>
        <w:pStyle w:val="TextoNormal"/>
      </w:pPr>
      <w:r>
        <w:t>Estimar justificada la abstención formulada por el magistrado don César Tolosa Tribiño en el recurso de amparo núm. 4315-2023 y apartarle definitivamente del conocimiento del referido recurso y de todas sus incidencias.</w:t>
      </w:r>
    </w:p>
    <w:p w14:paraId="6866CA92" w14:textId="77777777" w:rsidR="00F64776" w:rsidRDefault="00F64776" w:rsidP="00F64776">
      <w:pPr>
        <w:pStyle w:val="TextoNormal"/>
      </w:pPr>
    </w:p>
    <w:p w14:paraId="3C26F87E" w14:textId="77777777" w:rsidR="00F64776" w:rsidRDefault="00F64776" w:rsidP="00F64776">
      <w:pPr>
        <w:pStyle w:val="TextoNormal"/>
      </w:pPr>
      <w:r>
        <w:t>Madrid, a seis de noviembre de dos mil veintitrés.</w:t>
      </w:r>
    </w:p>
    <w:p w14:paraId="33BEF877" w14:textId="404EC605" w:rsidR="00F64776" w:rsidRDefault="00F64776">
      <w:pPr>
        <w:spacing w:after="160" w:line="278" w:lineRule="auto"/>
        <w:rPr>
          <w:rFonts w:ascii="Times New Roman" w:eastAsia="Times New Roman" w:hAnsi="Times New Roman" w:cs="Times New Roman"/>
          <w:sz w:val="24"/>
          <w:szCs w:val="24"/>
          <w:lang w:eastAsia="es-ES"/>
        </w:rPr>
      </w:pPr>
      <w:r>
        <w:br w:type="page"/>
      </w:r>
    </w:p>
    <w:p w14:paraId="60E6CC1C" w14:textId="77777777" w:rsidR="00F64776" w:rsidRDefault="00F64776" w:rsidP="00F64776">
      <w:pPr>
        <w:pStyle w:val="TtuloResolucin"/>
      </w:pPr>
      <w:bookmarkStart w:id="320" w:name="AUTO_2023_535"/>
      <w:r>
        <w:t>AUTO 535/2023, de 6 de noviembre de 2023</w:t>
      </w:r>
    </w:p>
    <w:bookmarkEnd w:id="320"/>
    <w:p w14:paraId="3FF99AF6" w14:textId="77777777" w:rsidR="00F64776" w:rsidRDefault="00F64776" w:rsidP="00F64776">
      <w:pPr>
        <w:pStyle w:val="TtuloResolucin"/>
      </w:pPr>
      <w:r>
        <w:t>Pleno</w:t>
      </w:r>
    </w:p>
    <w:p w14:paraId="40317CEB" w14:textId="77777777" w:rsidR="00F64776" w:rsidRDefault="00F64776" w:rsidP="00F64776">
      <w:pPr>
        <w:pStyle w:val="TextoNormalCentrado"/>
      </w:pPr>
      <w:r>
        <w:t>ECLI:ES:TC:2023:535A</w:t>
      </w:r>
    </w:p>
    <w:p w14:paraId="420EC98D" w14:textId="4C56FCEA" w:rsidR="00F64776" w:rsidRDefault="00F64776" w:rsidP="00F64776">
      <w:pPr>
        <w:pStyle w:val="TextoNormalCentrado"/>
      </w:pPr>
    </w:p>
    <w:p w14:paraId="4F219AFA" w14:textId="77777777" w:rsidR="00F64776" w:rsidRDefault="00F64776" w:rsidP="00F64776">
      <w:pPr>
        <w:pStyle w:val="SntesisDescriptiva"/>
      </w:pPr>
      <w:r>
        <w:t>Excms. Srs. don Cándido Conde-Pumpido Tourón, doña Inmaculada Montalbán Huertas, don Ricardo Enríquez Sancho, doña María Luisa Balaguer Callejón, don Ramón Sáez Valcárcel, don Enrique Arnaldo Alcubilla, doña Concepción Espejel Jorquera, doña María Luisa Segoviano Astaburuaga, don César Tolosa Tribiño y doña Laura Díez Bueso.</w:t>
      </w:r>
    </w:p>
    <w:p w14:paraId="280BC9C0" w14:textId="3D85BFF3" w:rsidR="00F64776" w:rsidRDefault="00F64776" w:rsidP="00F64776">
      <w:pPr>
        <w:pStyle w:val="SntesisDescriptiva"/>
      </w:pPr>
    </w:p>
    <w:p w14:paraId="67DAC30B" w14:textId="77777777" w:rsidR="00F64776" w:rsidRDefault="00F64776" w:rsidP="00F64776">
      <w:pPr>
        <w:pStyle w:val="SntesisDescriptiva"/>
      </w:pPr>
      <w:r>
        <w:t>Inadmite a trámite la cuestión de inconstitucionalidad 4408-2023, planteada por el Juzgado de lo Mercantil núm. 7 de Barcelona respecto de la disposición transitoria primera, apartado 3.6 de la Ley 16/2022, de 5 de septiembre, en relación con el artículo 489.1.5 del texto refundido de la Ley concursal, aprobado por el Real Decreto Legislativo 1/2020, de 5 de mayo, en la redacción dada por la Ley 16/2022; así como en cuanto a los artículos 491 y 497 de ese mismo refundido, en la redacción anterior a la dada por la Ley 16/2022.</w:t>
      </w:r>
    </w:p>
    <w:p w14:paraId="56028669" w14:textId="1759B754" w:rsidR="00F64776" w:rsidRDefault="00F64776" w:rsidP="00F64776">
      <w:pPr>
        <w:pStyle w:val="SntesisDescriptiva"/>
      </w:pPr>
    </w:p>
    <w:p w14:paraId="2063FD26" w14:textId="77777777" w:rsidR="00F64776" w:rsidRDefault="00F64776" w:rsidP="00F64776">
      <w:pPr>
        <w:pStyle w:val="SntesisDescriptiva"/>
      </w:pPr>
    </w:p>
    <w:p w14:paraId="319B7479" w14:textId="77777777" w:rsidR="00F64776" w:rsidRDefault="00F64776" w:rsidP="00F64776">
      <w:pPr>
        <w:pStyle w:val="SntesisDescriptiva"/>
      </w:pPr>
    </w:p>
    <w:p w14:paraId="2BF706BB" w14:textId="77777777" w:rsidR="00F64776" w:rsidRDefault="00F64776" w:rsidP="00F64776">
      <w:pPr>
        <w:pStyle w:val="TextoNormalNegritaCentrado"/>
      </w:pPr>
      <w:r>
        <w:t>AUTO</w:t>
      </w:r>
    </w:p>
    <w:p w14:paraId="19B5A16D" w14:textId="67FE9069" w:rsidR="00F64776" w:rsidRDefault="00F64776" w:rsidP="00F64776">
      <w:pPr>
        <w:pStyle w:val="TextoNormalNegritaCentrado"/>
      </w:pPr>
    </w:p>
    <w:p w14:paraId="78244159" w14:textId="77777777" w:rsidR="00F64776" w:rsidRDefault="00F64776" w:rsidP="00F64776">
      <w:pPr>
        <w:pStyle w:val="TextoNormalNegritaCentrado"/>
        <w:keepNext/>
      </w:pPr>
      <w:r>
        <w:t>I. Antecedentes</w:t>
      </w:r>
    </w:p>
    <w:p w14:paraId="097E19B0" w14:textId="45AC256B" w:rsidR="00F64776" w:rsidRDefault="00F64776" w:rsidP="00F64776">
      <w:pPr>
        <w:pStyle w:val="TextoNormalNegritaCentrado"/>
        <w:keepNext/>
      </w:pPr>
    </w:p>
    <w:p w14:paraId="4BC32CC5" w14:textId="4C6C63F9" w:rsidR="00F64776" w:rsidRDefault="00F64776" w:rsidP="00F64776">
      <w:pPr>
        <w:pStyle w:val="TextoNormal"/>
      </w:pPr>
      <w:r w:rsidRPr="00F64776">
        <w:rPr>
          <w:rStyle w:val="NumeroAFNegritaCaracter"/>
        </w:rPr>
        <w:t>1</w:t>
      </w:r>
      <w:r>
        <w:t>. El 27 de junio de 2023 tuvo entrada en el registro general de este Tribunal Constitucional un oficio del Juzgado de lo Mercantil núm. 7 de Barcelona por el que se remite, junto con el testimonio de las actuaciones, el auto de 12 de junio de 2023 por el que se acuerda plantear cuestión de inconstitucionalidad respecto de (i) la disposición transitoria primera, apartado 3.6 de la Ley 16/2022, de 5 de septiembre, en relación con el art. 489.1.5 del texto refundido de la Ley concursal, aprobado por el Real Decreto Legislativo 1/2020, de 5 de mayo, en la redacción dada por la Ley 16/2022; y (ii) los arts. 491 y 497 de ese mismo texto refundido, en la redacción anterior a la dada por la Ley 16/2022.</w:t>
      </w:r>
    </w:p>
    <w:p w14:paraId="5137185C" w14:textId="77777777" w:rsidR="00F64776" w:rsidRDefault="00F64776" w:rsidP="00F64776">
      <w:pPr>
        <w:pStyle w:val="TextoNormal"/>
      </w:pPr>
    </w:p>
    <w:p w14:paraId="1C109FF7" w14:textId="77777777" w:rsidR="00F64776" w:rsidRDefault="00F64776" w:rsidP="00F64776">
      <w:pPr>
        <w:pStyle w:val="TextoNormal"/>
      </w:pPr>
      <w:r w:rsidRPr="00F64776">
        <w:rPr>
          <w:rStyle w:val="NumeroAFNegritaCaracter"/>
        </w:rPr>
        <w:t>2</w:t>
      </w:r>
      <w:r>
        <w:t>. El planteamiento de la cuestión de inconstitucionalidad tiene origen en los siguientes antecedentes:</w:t>
      </w:r>
    </w:p>
    <w:p w14:paraId="5152E029" w14:textId="77777777" w:rsidR="00F64776" w:rsidRDefault="00F64776" w:rsidP="00F64776">
      <w:pPr>
        <w:pStyle w:val="TextoNormal"/>
      </w:pPr>
    </w:p>
    <w:p w14:paraId="44BDA5F9" w14:textId="77777777" w:rsidR="00F64776" w:rsidRDefault="00F64776" w:rsidP="00F64776">
      <w:pPr>
        <w:pStyle w:val="TextoNormal"/>
      </w:pPr>
      <w:r>
        <w:t>a) En el procedimiento concursal núm. 1068-2021 se formuló el 21 de octubre de 2021 solicitud de concurso voluntario de acreedores de persona física consecutivo a propuesta (fallida) de acuerdo extrajudicial de pagos. En esa fecha el régimen jurídico vigente era el previsto en el texto refundido de la Ley concursal, en su versión original del año 2020. El mediador concursal presentó junto con la solicitud de concurso un informe afirmando la concurrencia de los requisitos o presupuestos para obtener el beneficio de la exoneración del pasivo insatisfecho.</w:t>
      </w:r>
    </w:p>
    <w:p w14:paraId="06EB9146" w14:textId="77777777" w:rsidR="00F64776" w:rsidRDefault="00F64776" w:rsidP="00F64776">
      <w:pPr>
        <w:pStyle w:val="TextoNormal"/>
      </w:pPr>
    </w:p>
    <w:p w14:paraId="75FC8930" w14:textId="77777777" w:rsidR="00F64776" w:rsidRDefault="00F64776" w:rsidP="00F64776">
      <w:pPr>
        <w:pStyle w:val="TextoNormal"/>
      </w:pPr>
      <w:r>
        <w:t>b) Por auto de 24 de octubre de 2021 se declaró el concurso, su carácter voluntario, la apertura de la fase de liquidación, la suspensión del deudor en sus facultades de administración y disposición sobre su patrimonio y el nombramiento del administrador concursal, así como la tramitación del concurso por los cauces del procedimiento abreviado. Igualmente se tuvo por presentado el plan de liquidación y se dio traslado a los acreedores por el plazo de diez días para formular observaciones. Al no ser solicitado por ninguna de las partes en dicho plazo, la sección sexta de calificación del concurso no llegó a abrirse.</w:t>
      </w:r>
    </w:p>
    <w:p w14:paraId="387C0DF3" w14:textId="77777777" w:rsidR="00F64776" w:rsidRDefault="00F64776" w:rsidP="00F64776">
      <w:pPr>
        <w:pStyle w:val="TextoNormal"/>
      </w:pPr>
    </w:p>
    <w:p w14:paraId="7FDAE87B" w14:textId="77777777" w:rsidR="00F64776" w:rsidRDefault="00F64776" w:rsidP="00F64776">
      <w:pPr>
        <w:pStyle w:val="TextoNormal"/>
      </w:pPr>
      <w:r>
        <w:t>c) El plan de liquidación fue aprobado por auto de 22 de diciembre de 2021. En él se hacía constar un único activo susceptible de liquidación, a saber, la titularidad del 50 por 100 de un inmueble que resultaría después vendido en el concurso por el administrador concursal en fecha 17 de marzo de 2022.</w:t>
      </w:r>
    </w:p>
    <w:p w14:paraId="3918A893" w14:textId="77777777" w:rsidR="00F64776" w:rsidRDefault="00F64776" w:rsidP="00F64776">
      <w:pPr>
        <w:pStyle w:val="TextoNormal"/>
      </w:pPr>
    </w:p>
    <w:p w14:paraId="779D6F82" w14:textId="77777777" w:rsidR="00F64776" w:rsidRDefault="00F64776" w:rsidP="00F64776">
      <w:pPr>
        <w:pStyle w:val="TextoNormal"/>
      </w:pPr>
      <w:r>
        <w:t>d) El 1 de septiembre de 2022 el administrador concursal interesó la conclusión del concurso, presentando la rendición de cuentas y solicitando la puesta en conocimiento de las partes, así como el traslado a la representación legal de la concursada para que, en su caso, solicitase el beneficio de la exoneración del pasivo insatisfecho. La masa pasiva del concurso ascendía a un total de 5 117 320,00 €. De esa cantidad el crédito público era de 24 041,08 €, de los cuales 12 471,61 € correspondían a la Agencia Estatal de la Administración Tributaria (AEAT); 1319,78 € a la Tesorería General de la Seguridad Social; 9202,23 € al Institut Català de Finances de la Generalitat de Cataluña; 820,46 € a la Diputación de Barcelona; 117 € al Ayuntamiento de Vilanova i la Geltrú; y 110 € al Institut Municipal d’Hisenda del Ayuntamiento de Barcelona.</w:t>
      </w:r>
    </w:p>
    <w:p w14:paraId="3F4ADD3E" w14:textId="77777777" w:rsidR="00F64776" w:rsidRDefault="00F64776" w:rsidP="00F64776">
      <w:pPr>
        <w:pStyle w:val="TextoNormal"/>
      </w:pPr>
    </w:p>
    <w:p w14:paraId="5582E30B" w14:textId="77777777" w:rsidR="00F64776" w:rsidRDefault="00F64776" w:rsidP="00F64776">
      <w:pPr>
        <w:pStyle w:val="TextoNormal"/>
      </w:pPr>
      <w:r>
        <w:t>e) El 11 de octubre de 2022 el deudor solicitó el beneficio de la exoneración del pasivo insatisfecho en la modalidad de exoneración por aprobación del plan de pagos en aplicación de lo previsto en el art. 493 de la Ley concursal. El plan de pagos, de cinco años de duración, preveía el abono de una cantidad de 100,00 € mensuales.</w:t>
      </w:r>
    </w:p>
    <w:p w14:paraId="3CAE32FD" w14:textId="77777777" w:rsidR="00F64776" w:rsidRDefault="00F64776" w:rsidP="00F64776">
      <w:pPr>
        <w:pStyle w:val="TextoNormal"/>
      </w:pPr>
    </w:p>
    <w:p w14:paraId="20E9E08E" w14:textId="77777777" w:rsidR="00F64776" w:rsidRDefault="00F64776" w:rsidP="00F64776">
      <w:pPr>
        <w:pStyle w:val="TextoNormal"/>
      </w:pPr>
      <w:r>
        <w:t>f) Por diligencia de ordenación de 13 de octubre de 2022 se dio traslado de la propuesta de beneficio de la exoneración del pasivo insatisfecho a la administración concursal y a los acreedores. El administrador concursal mostró su parecer favorable, señalando (i) que, habiendo sido requerido el concursado para presentar la solicitud de beneficio de la exoneración del pasivo insatisfecho con anterioridad a la entrada en vigor de la Ley 16/2022, era de aplicación la regulación del texto refundido de la Ley concursal vigente en ese momento previo, y (ii) que procedía que el juzgado requiriese al concursado para presentar un nuevo plan de pagos, por haberse actualizado el crédito a favor de la AEAT, que ascendía en total a 15 495,55 €. Por su parte, la AEAT manifestó su oposición a la concesión del beneficio de la exoneración del pasivo insatisfecho y sostuvo que, dado que este fue solicitado el 11 de octubre de 2022, esto es, con posterioridad a la entrada en vigor de la Ley 16/2022 (que se produjo el 26 de septiembre de 2022), resultaba de aplicación al caso el texto refundido de la Ley concursal en la redacción dada por la Ley 16/2022 (de modo que el crédito público de la AEAT solamente podría quedar exonerado hasta un máximo de 10 000 €).</w:t>
      </w:r>
    </w:p>
    <w:p w14:paraId="2382084C" w14:textId="77777777" w:rsidR="00F64776" w:rsidRDefault="00F64776" w:rsidP="00F64776">
      <w:pPr>
        <w:pStyle w:val="TextoNormal"/>
      </w:pPr>
    </w:p>
    <w:p w14:paraId="1CECF852" w14:textId="77777777" w:rsidR="00F64776" w:rsidRDefault="00F64776" w:rsidP="00F64776">
      <w:pPr>
        <w:pStyle w:val="TextoNormal"/>
      </w:pPr>
      <w:r>
        <w:t>g) Por providencia de 2 de noviembre de 2022 se admitió a trámite el escrito de la AEAT, se acordó su tramitación como demanda incidental por el cauce del incidente concursal previsto en los arts. 532 y ss. de la Ley concursal, y se dio plazo de contestación por plazo común de diez días al deudor y a la administración concursal. El administrador concursal se reiteró en su posición de que, habiendo sido requerido el concursado para presentar la solicitud de beneficio de la exoneración del pasivo insatisfecho con anterioridad a la entrada en vigor de la Ley 16/2022, debía entenderse aplicable al caso el texto refundido de la Ley concursal antes de su reforma, a fin de garantizar la irretroactividad de disposiciones restrictivas de derechos individuales del art. 9.3 CE. Por su parte, el deudor, amén de presentar un nuevo plan de pagos, se opuso a la demanda incidental, alegando que la aplicación retroactiva que resultaría de la disposición transitoria, primera apartado 3.6 de la Ley 16/2022 vulneraría la prohibición de retroactividad desfavorable del art. 9.3 CE, así como el principio de seguridad jurídica consagrado en el mismo precepto; indicando que procedería, en su caso, el planteamiento de una cuestión de inconstitucionalidad sobre dicha cláusula de transitoriedad.</w:t>
      </w:r>
    </w:p>
    <w:p w14:paraId="5B04D62F" w14:textId="77777777" w:rsidR="00F64776" w:rsidRDefault="00F64776" w:rsidP="00F64776">
      <w:pPr>
        <w:pStyle w:val="TextoNormal"/>
      </w:pPr>
    </w:p>
    <w:p w14:paraId="79B8D6D9" w14:textId="77777777" w:rsidR="00F64776" w:rsidRDefault="00F64776" w:rsidP="00F64776">
      <w:pPr>
        <w:pStyle w:val="TextoNormal"/>
      </w:pPr>
      <w:r>
        <w:t>h) Por providencia de 25 de noviembre de 2022 se tuvo por cumplimentado el trámite de oposición y se declararon los autos listos para resolver lo que procediese.</w:t>
      </w:r>
    </w:p>
    <w:p w14:paraId="6D9BEBA3" w14:textId="77777777" w:rsidR="00F64776" w:rsidRDefault="00F64776" w:rsidP="00F64776">
      <w:pPr>
        <w:pStyle w:val="TextoNormal"/>
      </w:pPr>
    </w:p>
    <w:p w14:paraId="16C138F3" w14:textId="77777777" w:rsidR="00F64776" w:rsidRDefault="00F64776" w:rsidP="00F64776">
      <w:pPr>
        <w:pStyle w:val="TextoNormal"/>
      </w:pPr>
      <w:r>
        <w:t>i) El 28 de noviembre de 2022 el órgano judicial dictó providencia en la que, para valorar el posible planteamiento de una cuestión de inconstitucionalidad en relación con la disposición transitoria primera, apartado 3.6 de la Ley 16/2022, se requería al deudor por un plazo de cinco días, a fin de que presentase escrito en el que específicamente aclarase en qué aspectos le podría resultar más desfavorable el nuevo régimen de exoneración introducido por la Ley 16/2022. Dicho requerimiento fue atendido por el deudor mediante escrito de 14 de diciembre de 2022 en el que se señalaba, en síntesis, que la aplicación del nuevo régimen legal le imposibilitaría atender la deuda y le situaría en una nueva situación de insolvencia que nunca tuvo prevista cuando inició el procedimiento de segunda oportunidad.</w:t>
      </w:r>
    </w:p>
    <w:p w14:paraId="12F1B810" w14:textId="77777777" w:rsidR="00F64776" w:rsidRDefault="00F64776" w:rsidP="00F64776">
      <w:pPr>
        <w:pStyle w:val="TextoNormal"/>
      </w:pPr>
    </w:p>
    <w:p w14:paraId="7B69601F" w14:textId="77777777" w:rsidR="00F64776" w:rsidRDefault="00F64776" w:rsidP="00F64776">
      <w:pPr>
        <w:pStyle w:val="TextoNormal"/>
      </w:pPr>
      <w:r>
        <w:t>j) Por providencia de 8 de febrero de 2023, y con suspensión del plazo para dictar auto de exoneración y conclusión del concurso, el órgano judicial dio traslado por plazo común de diez días, conforme a lo dispuesto en el art. 35 de la Ley Orgánica del Tribunal Constitucional (LOTC), a las partes y al Ministerio Fiscal en relación con la pertinencia del planteamiento de cuestión de inconstitucionalidad respecto del art. 489.1.5 en relación con la disposición transitoria primera, apartado tercero 6 y la disposición adicional primera del texto refundido de la Ley concursal, todos ellos en la redacción dada por la Ley 16/2022; “[l]os primeros por ser contrarios al art. 9.3 de la CE” y “[l]a disposición adicional primera por ser, además, contraria al art. 14 CE”.</w:t>
      </w:r>
    </w:p>
    <w:p w14:paraId="6099584A" w14:textId="77777777" w:rsidR="00F64776" w:rsidRDefault="00F64776" w:rsidP="00F64776">
      <w:pPr>
        <w:pStyle w:val="TextoNormal"/>
      </w:pPr>
    </w:p>
    <w:p w14:paraId="5755229A" w14:textId="77777777" w:rsidR="00F64776" w:rsidRDefault="00F64776" w:rsidP="00F64776">
      <w:pPr>
        <w:pStyle w:val="TextoNormal"/>
      </w:pPr>
      <w:r>
        <w:t xml:space="preserve">La representación procesal de la AEAT presentó alegaciones en las que (i) volvió a señalar la necesidad de aplicar la regulación de la Ley 16/2022; (ii) mantuvo que, de no hacerse así, debían aplicarse los arts. 495.1 y 497.1 de la versión original del texto refundido de la Ley concursal (por ser errónea su consideración como </w:t>
      </w:r>
      <w:r w:rsidRPr="00F64776">
        <w:rPr>
          <w:i/>
        </w:rPr>
        <w:t>ultra vires</w:t>
      </w:r>
      <w:r>
        <w:t xml:space="preserve"> a pesar de lo afirmado al respecto por la jurisprudencia del Tribunal Supremo), de modo que el deudor no tendría derecho a la exoneración de ninguno de los créditos de derecho público; y (iii) negó la concurrencia de los requisitos para plantear la cuestión de inconstitucionalidad, por la falta de identificación clara del precepto legal cuestionado y de las razones de su cuestionamiento, por la insuficiente exteriorización del juicio de relevancia y, en todo caso, por ser las dudas de constitucionalidad infundadas.</w:t>
      </w:r>
    </w:p>
    <w:p w14:paraId="15830544" w14:textId="77777777" w:rsidR="00F64776" w:rsidRDefault="00F64776" w:rsidP="00F64776">
      <w:pPr>
        <w:pStyle w:val="TextoNormal"/>
      </w:pPr>
    </w:p>
    <w:p w14:paraId="31707B86" w14:textId="77777777" w:rsidR="00F64776" w:rsidRDefault="00F64776" w:rsidP="00F64776">
      <w:pPr>
        <w:pStyle w:val="TextoNormal"/>
      </w:pPr>
      <w:r>
        <w:t>Por su parte, la administración concursal se reiteró en su posición de que debía aplicarse al caso la redacción original del texto refundido de la Ley concursal (y no la Ley 16/2022).</w:t>
      </w:r>
    </w:p>
    <w:p w14:paraId="773DAF02" w14:textId="77777777" w:rsidR="00F64776" w:rsidRDefault="00F64776" w:rsidP="00F64776">
      <w:pPr>
        <w:pStyle w:val="TextoNormal"/>
      </w:pPr>
    </w:p>
    <w:p w14:paraId="6E0FF4AA" w14:textId="77777777" w:rsidR="00F64776" w:rsidRDefault="00F64776" w:rsidP="00F64776">
      <w:pPr>
        <w:pStyle w:val="TextoNormal"/>
      </w:pPr>
      <w:r>
        <w:t>No consta que presentasen alegaciones la parte concursada ni el Ministerio Fiscal.</w:t>
      </w:r>
    </w:p>
    <w:p w14:paraId="68961D19" w14:textId="77777777" w:rsidR="00F64776" w:rsidRDefault="00F64776" w:rsidP="00F64776">
      <w:pPr>
        <w:pStyle w:val="TextoNormal"/>
      </w:pPr>
    </w:p>
    <w:p w14:paraId="3E3CC214" w14:textId="77777777" w:rsidR="00F64776" w:rsidRDefault="00F64776" w:rsidP="00F64776">
      <w:pPr>
        <w:pStyle w:val="TextoNormal"/>
      </w:pPr>
      <w:r>
        <w:t>k) El 22 de marzo de 2023 se dictó una nueva providencia previa al planteamiento de cuestión de inconstitucionalidad “con la finalidad de completar el contenido” de la providencia anterior, una vez vistos los escritos presentados por la administración concursal y por la AEAT. En esta nueva providencia, de la que se dio traslado por diez días a las partes y al Ministerio Fiscal, se modificaron parcialmente las normas cuestionadas y las dudas de constitucionalidad, que se agrupan en tres bloques.</w:t>
      </w:r>
    </w:p>
    <w:p w14:paraId="40C28EDC" w14:textId="77777777" w:rsidR="00F64776" w:rsidRDefault="00F64776" w:rsidP="00F64776">
      <w:pPr>
        <w:pStyle w:val="TextoNormal"/>
      </w:pPr>
    </w:p>
    <w:p w14:paraId="5F4D4757" w14:textId="77777777" w:rsidR="00F64776" w:rsidRDefault="00F64776" w:rsidP="00F64776">
      <w:pPr>
        <w:pStyle w:val="TextoNormal"/>
      </w:pPr>
      <w:r>
        <w:t xml:space="preserve">Se indicaba, en primer lugar, que la disposición transitoria primera, apartado 3.6 de la Ley 16/2022 en relación con el art. 489.1.5 TRLC (en la redacción dada por la Ley 16/2022) podría contrariar el principio de seguridad jurídica y la prohibición de retroactividad desfavorable del art. 9.3 CE, pues la aplicación de los citados preceptos legales impediría la exoneración del crédito público, salvo determinadas excepciones sometidas a límites cuantitativos. Tal régimen sería menos favorable que el aplicable en defecto de la Ley 16/2022 porque, según el órgano promotor de la cuestión, hasta ese momento la exclusión del crédito público de entre los exonerables venía establecida por unos preceptos legales que deben entenderse como inaplicables por ser </w:t>
      </w:r>
      <w:r w:rsidRPr="00F64776">
        <w:rPr>
          <w:i/>
        </w:rPr>
        <w:t>ultra vires</w:t>
      </w:r>
      <w:r>
        <w:t>. De manera que la Ley 16/2022, al restringir sustantivamente la extensión de la exoneración y hacer depender la aplicación de este nuevo régimen del momento de la solicitud del beneficio de la exoneración del pasivo insatisfecho, estaría aplicando un régimen menos favorable a una situación jurídica material de insolvencia de la persona física que se encontraba consolidada antes del momento —la solicitud de la exoneración— que el legislador escogió en la disposición transitoria primera, apartado 3.6 para delimitar el régimen aplicable. La providencia indica que la solicitud de concurso voluntario se produjo el 21 de octubre de 2021 y que la aprobación del plan de liquidación es de 22 de diciembre de 2021, por lo que antes de la entrada en vigor de la citada Ley 16/2022 ya concurrían los presupuestos materiales exigidos para reconocer el derecho a la exoneración, siendo la posterior modalidad, exoneración directa o mediante plan de pagos, meras concreciones procesales del sistema de exoneración. La liquidación de la masa activa del concursado y con ello la llegada de la fase de conclusión del concurso, dentro de la cual se solicita la exoneración, no es un presupuesto sustantivo o material para la exoneración, sino procesal, que puede llegar a determinar únicamente la modalidad de exoneración y sus efectos, pero no los presupuestos o requisitos de la exoneración. Añade que “[e]n cuanto al principio de seguridad jurídica, la situación de hecho ya se habría también producido o desarrollado con anterioridad a la ley (insolvencia y concurrencia de presupuestos materiales de la exoneración —persona física de buena fe—) pudiendo hablarse de retroactividad auténtica”.</w:t>
      </w:r>
    </w:p>
    <w:p w14:paraId="273AA6F9" w14:textId="77777777" w:rsidR="00F64776" w:rsidRDefault="00F64776" w:rsidP="00F64776">
      <w:pPr>
        <w:pStyle w:val="TextoNormal"/>
      </w:pPr>
    </w:p>
    <w:p w14:paraId="52238D25" w14:textId="77777777" w:rsidR="00F64776" w:rsidRDefault="00F64776" w:rsidP="00F64776">
      <w:pPr>
        <w:pStyle w:val="TextoNormal"/>
      </w:pPr>
      <w:r>
        <w:t xml:space="preserve">En segundo lugar, se cuestionan los arts. 491 y 497 del texto refundido de la Ley concursal en la redacción anterior a la Ley 16/2022 por posible vulneración de los límites materiales que a los decretos legislativos impone el art. 82.5 CE. La providencia explica que el anterior sistema de la Ley concursal en su art. 178 </w:t>
      </w:r>
      <w:r w:rsidRPr="00F64776">
        <w:rPr>
          <w:i/>
        </w:rPr>
        <w:t>bis</w:t>
      </w:r>
      <w:r>
        <w:t xml:space="preserve">, en la redacción dada por la Ley 25/2015, permitía la denominada exoneración directa y tenía como efecto la exoneración de la totalidad del pasivo no satisfecho, sin excepción, incluyendo el crédito público. Señala también que en el sistema de exoneración provisional mediante plan de pagos se aplicaban los criterios interpretativos de la sentencia de la Sala de lo Civil del Tribunal Supremo 381/2019, de 2 de julio, en el sentido de entender que el crédito público podía ser objeto de exoneración provisional y objeto de satisfacción a través del sistema de plan de pagos mediante la inclusión del crédito público privilegiado y contra la masa no satisfecho en el mismo. La providencia señala que este régimen se vio alterado por el texto refundido de la Ley concursal, cuyos arts. 491 y 497, que ahora se cuestionan, prohibieron la exoneración del crédito público, alterando así por completo una norma clara e indiscutida del sistema a refundir, regulando de manera contraria a la norma vigente los efectos de la exoneración y modificando el equilibrio de derechos que regula dicho sistema y, por tanto, la igualdad de trato de los acreedores, sin que esta alteración pudiera ser considerada una aclaración, regularización o sistematización de la norma vigente, y estableciendo una norma contraria a la interpretación sostenida por el Tribunal Supremo en la sentencia de 2 de julio de 2019, por lo que incurrirían en </w:t>
      </w:r>
      <w:r w:rsidRPr="00F64776">
        <w:rPr>
          <w:i/>
        </w:rPr>
        <w:t>ultra vires</w:t>
      </w:r>
      <w:r>
        <w:t xml:space="preserve"> y vulnerarían así el art. 82.5 CE.</w:t>
      </w:r>
    </w:p>
    <w:p w14:paraId="1E047811" w14:textId="77777777" w:rsidR="00F64776" w:rsidRDefault="00F64776" w:rsidP="00F64776">
      <w:pPr>
        <w:pStyle w:val="TextoNormal"/>
      </w:pPr>
    </w:p>
    <w:p w14:paraId="26BEED2F" w14:textId="77777777" w:rsidR="00F64776" w:rsidRDefault="00F64776" w:rsidP="00F64776">
      <w:pPr>
        <w:pStyle w:val="TextoNormal"/>
      </w:pPr>
      <w:r>
        <w:t>Finalmente, se cuestiona la disposición adicional primera del texto refundido de la Ley concursal, en la redacción dada por la Ley 16/2022, por posible vulneración del principio de no discriminación del concursado (art. 14 CE) en función del territorio en que nazcan sus deudas, en la medida en que tal precepto permite la exoneración hasta determinado límite cuantitativo de los créditos en favor de la AEAT y de las haciendas forales, pero no de otras haciendas territoriales.</w:t>
      </w:r>
    </w:p>
    <w:p w14:paraId="1449038D" w14:textId="77777777" w:rsidR="00F64776" w:rsidRDefault="00F64776" w:rsidP="00F64776">
      <w:pPr>
        <w:pStyle w:val="TextoNormal"/>
      </w:pPr>
    </w:p>
    <w:p w14:paraId="55CD68D2" w14:textId="77777777" w:rsidR="00F64776" w:rsidRDefault="00F64776" w:rsidP="00F64776">
      <w:pPr>
        <w:pStyle w:val="TextoNormal"/>
      </w:pPr>
      <w:r>
        <w:t>Respecto a la aplicabilidad y relevancia de las normas cuestionadas se afirma que la decisión final sobre la exoneración del pasivo insatisfecho, es decir la que abarcaría al crédito público, depende por completo de la validez de estas normas. En cuanto a la disposición transitoria primera, apartado 3.6 de la Ley 16/2022 en relación con el art. 489.1.5 del texto refundido de la Ley concursal, porque de la validez de las mismas dependerá que la exoneración se extienda o no a los créditos públicos no satisfechos y a su posible incardinación en un plan de pagos. Respecto de los arts. 491 y 497 del texto refundido citado, porque, de entenderse inconstitucional la disposición transitoria primera, apartado 3.6 de la Ley 16/2022, resultarán de aplicación a la decisión final sobre exoneración del crédito público. Y, en cuanto a la disposición adicional primera, porque su validez puede influir en la posible aplicación del art. 489.1.5 respecto de créditos públicos que no sean recaudados por la AEAT ni las haciendas forales.</w:t>
      </w:r>
    </w:p>
    <w:p w14:paraId="2AAB328F" w14:textId="77777777" w:rsidR="00F64776" w:rsidRDefault="00F64776" w:rsidP="00F64776">
      <w:pPr>
        <w:pStyle w:val="TextoNormal"/>
      </w:pPr>
    </w:p>
    <w:p w14:paraId="130B9CBD" w14:textId="77777777" w:rsidR="00F64776" w:rsidRDefault="00F64776" w:rsidP="00F64776">
      <w:pPr>
        <w:pStyle w:val="TextoNormal"/>
      </w:pPr>
      <w:r>
        <w:t xml:space="preserve">En sus alegaciones, el Ministerio Fiscal considera incumplidos los juicios de aplicabilidad y relevancia y manifiesta la improcedencia de proponer la cuestión de inconstitucionalidad. En primer lugar, sostiene que antes de plantear la cuestión el juez debería haberse pronunciado sobre la posibilidad de acoger la tesis de la AEAT respecto a la aplicación de lo previsto por la Ley 16/2022. Si opta por aplicarla, la norma cuestionada será determinante para resolver acerca de la solicitud del beneficio de la exoneración del pasivo insatisfecho —en lo que respecta al crédito público insatisfecho—; pero no en el caso contrario. En cuanto a la duda de constitucionalidad relativa a los arts. 491 y 497 del texto refundido de la Ley concursal, el fiscal sostiene que al no haberse despejado la duda anterior es inoportuno dudar de la constitucionalidad de la normativa llamada a suplir a la que se dejaría de aplicar en virtud de las normas de transitoriedad, ya que o es inconstitucional la norma desplazada o son inconstitucionales estos preceptos, pero no las dos normas a la vez. En todo caso el fiscal considera que el juez </w:t>
      </w:r>
      <w:r w:rsidRPr="00F64776">
        <w:rPr>
          <w:i/>
        </w:rPr>
        <w:t>a quo</w:t>
      </w:r>
      <w:r>
        <w:t xml:space="preserve"> puede resolver esta segunda objeción, pues el exceso en la delegación solo contravendría la ley delegante y no el art. 82.5 CE ya que en caso de </w:t>
      </w:r>
      <w:r w:rsidRPr="00F64776">
        <w:rPr>
          <w:i/>
        </w:rPr>
        <w:t>ultra vires</w:t>
      </w:r>
      <w:r>
        <w:t xml:space="preserve"> el art. 82.6 CE establece el mecanismo de control del exceso en la refundición que no es otro que el de los tribunales. Recuerda el fiscal que el Tribunal Constitucional ha acogido la posibilidad de que los excesos de la delegación legislativa achacables a los decretos legislativos puedan ser conocidos por la jurisdicción ordinaria, de manera que se atribuya valor de reglamento a aquellos extremos en los que la delegación hubiera sido excedida. Por último, y en cuanto a la disposición adicional primera del texto refundido de la Ley concursal en la redacción dada por la Ley 16/2022, señala el Ministerio Fiscal que esta norma, relativa a las haciendas forales, no es aplicable al caso de autos, por lo que no procede plantear cuestión de inconstitucionalidad sobre ella.</w:t>
      </w:r>
    </w:p>
    <w:p w14:paraId="7A8E35BA" w14:textId="77777777" w:rsidR="00F64776" w:rsidRDefault="00F64776" w:rsidP="00F64776">
      <w:pPr>
        <w:pStyle w:val="TextoNormal"/>
      </w:pPr>
    </w:p>
    <w:p w14:paraId="334F336E" w14:textId="77777777" w:rsidR="00F64776" w:rsidRDefault="00F64776" w:rsidP="00F64776">
      <w:pPr>
        <w:pStyle w:val="TextoNormal"/>
      </w:pPr>
      <w:r>
        <w:t>La representación procesal del deudor manifestó su conformidad con el planteamiento de la cuestión. Otro tanto hizo el administrador concursal, que se reiteró en sus alegaciones del trámite de audiencia previo. Por su parte, la representación procesal de la AEAT formuló nuevas alegaciones en las que, en esencia, reiteró las ya formuladas en el trámite de audiencia anterior y añadió, respecto de la posible inconstitucionalidad de la disposición adicional primera del texto refundido de la Ley concursal (en la redacción dada por la Ley 16/2022) que esta norma no resulta aplicable al caso, además de ser la duda que le afecta notoriamente infundada.</w:t>
      </w:r>
    </w:p>
    <w:p w14:paraId="19F1E811" w14:textId="77777777" w:rsidR="00F64776" w:rsidRDefault="00F64776" w:rsidP="00F64776">
      <w:pPr>
        <w:pStyle w:val="TextoNormal"/>
      </w:pPr>
    </w:p>
    <w:p w14:paraId="4129686D" w14:textId="3FE78CD1" w:rsidR="00F64776" w:rsidRDefault="00F64776" w:rsidP="00F64776">
      <w:pPr>
        <w:pStyle w:val="TextoNormal"/>
      </w:pPr>
      <w:r>
        <w:t>l) El 19 de junio de 2023, el órgano judicial dictó auto por el que acordaba plantear cuestión de inconstitucionalidad en respecto de (i) la disposición transitoria primera, apartado 3.6 de la Ley 16/2022, en relación con el art. 489.1.5 del texto refundido de la Ley concursal (en la redacción dada por dicha Ley 16/2022) y (ii) los arts. 491 y 497 de ese mismo texto refundido, en su redacción anterior a la dada por la Ley 16/2022.</w:t>
      </w:r>
    </w:p>
    <w:p w14:paraId="193FB8B8" w14:textId="77777777" w:rsidR="00F64776" w:rsidRDefault="00F64776" w:rsidP="00F64776">
      <w:pPr>
        <w:pStyle w:val="TextoNormal"/>
      </w:pPr>
    </w:p>
    <w:p w14:paraId="02E4CD53" w14:textId="77777777" w:rsidR="00F64776" w:rsidRDefault="00F64776" w:rsidP="00F64776">
      <w:pPr>
        <w:pStyle w:val="TextoNormal"/>
      </w:pPr>
      <w:r w:rsidRPr="00F64776">
        <w:rPr>
          <w:rStyle w:val="NumeroAFNegritaCaracter"/>
        </w:rPr>
        <w:t>3</w:t>
      </w:r>
      <w:r>
        <w:t>. Del contenido del auto de planteamiento interesa destacar lo siguiente:</w:t>
      </w:r>
    </w:p>
    <w:p w14:paraId="5428AAA2" w14:textId="77777777" w:rsidR="00F64776" w:rsidRDefault="00F64776" w:rsidP="00F64776">
      <w:pPr>
        <w:pStyle w:val="TextoNormal"/>
      </w:pPr>
    </w:p>
    <w:p w14:paraId="6BEFD9A8" w14:textId="77777777" w:rsidR="00F64776" w:rsidRDefault="00F64776" w:rsidP="00F64776">
      <w:pPr>
        <w:pStyle w:val="TextoNormal"/>
      </w:pPr>
      <w:r>
        <w:t>a) El auto expone en primer lugar el contenido de las normas cuestionadas y los antecedentes fácticos y normativos del asunto planteado.</w:t>
      </w:r>
    </w:p>
    <w:p w14:paraId="5AF7D740" w14:textId="77777777" w:rsidR="00F64776" w:rsidRDefault="00F64776" w:rsidP="00F64776">
      <w:pPr>
        <w:pStyle w:val="TextoNormal"/>
      </w:pPr>
    </w:p>
    <w:p w14:paraId="5E8D8A02" w14:textId="77777777" w:rsidR="00F64776" w:rsidRDefault="00F64776" w:rsidP="00F64776">
      <w:pPr>
        <w:pStyle w:val="TextoNormal"/>
      </w:pPr>
      <w:r>
        <w:t>Hace referencia, primero, a la regulación del sistema de exoneración de créditos en el texto refundido de la Ley concursal, en la redacción dada por la Ley 16/2022. Destaca que se exige que se trate de un deudor de buena fe, así como que el art. 489, a diferencia de la regulación anterior, fija un listado claro de créditos no exonerables, siendo exonerables el resto de los créditos que formen parte de la masa pasiva del concurso que no hayan sido satisfechos. Señala también que la exoneración se puede obtener en el momento de la conclusión del concurso o antes de ese momento y sin necesidad de liquidación, si se presenta un plan de pagos destinado a satisfacer los créditos exonerables.</w:t>
      </w:r>
    </w:p>
    <w:p w14:paraId="14B612AB" w14:textId="77777777" w:rsidR="00F64776" w:rsidRDefault="00F64776" w:rsidP="00F64776">
      <w:pPr>
        <w:pStyle w:val="TextoNormal"/>
      </w:pPr>
    </w:p>
    <w:p w14:paraId="36D9553B" w14:textId="77777777" w:rsidR="00F64776" w:rsidRDefault="00F64776" w:rsidP="00F64776">
      <w:pPr>
        <w:pStyle w:val="TextoNormal"/>
      </w:pPr>
      <w:r>
        <w:t>Seguidamente expone la regulación del texto refundido de la Ley concursal derivada del Real Decreto Legislativo 1/2020 y, por tanto, anterior a la reforma de la Ley 16/2022. En cuanto a la extensión y efectos de la exoneración, destaca que los arts. 491 y 497 de ese mismo texto refundido excluían de la exoneración a los créditos públicos, fuera por exoneración directa o por pago de una determinada categoría de créditos (art. 491) o por la exoneración mediante plan de pagos (art. 497).</w:t>
      </w:r>
    </w:p>
    <w:p w14:paraId="1810EB36" w14:textId="77777777" w:rsidR="00F64776" w:rsidRDefault="00F64776" w:rsidP="00F64776">
      <w:pPr>
        <w:pStyle w:val="TextoNormal"/>
      </w:pPr>
    </w:p>
    <w:p w14:paraId="140E1B76" w14:textId="77777777" w:rsidR="00F64776" w:rsidRDefault="00F64776" w:rsidP="00F64776">
      <w:pPr>
        <w:pStyle w:val="TextoNormal"/>
      </w:pPr>
      <w:r>
        <w:t xml:space="preserve">Alude también a la regulación anterior al texto refundido de la Ley concursal, de la que señala que, tras su interpretación por la STS 381/2019, de 2 de julio, dictada por el Pleno de la Sala de lo Civil del Tribunal Supremo, se venía entendiendo en el sentido de que el crédito público podía ser objeto de exoneración provisional y objeto de satisfacción también a través del sistema de plan de pagos. En ese sentido se citan resoluciones judiciales que han considerado que el art. 491, introducido por el texto refundido de la Ley concursal, alteró por completo una norma clara e indiscutida del sistema llamado a refundir, sin que esta alteración pudiera ser considerada una aclaración regularización o sistematización de la norma vigente, con la consecuencia de su inaplicación por entenderlo </w:t>
      </w:r>
      <w:r w:rsidRPr="00F64776">
        <w:rPr>
          <w:i/>
        </w:rPr>
        <w:t>ultra vires</w:t>
      </w:r>
      <w:r>
        <w:t>.</w:t>
      </w:r>
    </w:p>
    <w:p w14:paraId="466126C0" w14:textId="77777777" w:rsidR="00F64776" w:rsidRDefault="00F64776" w:rsidP="00F64776">
      <w:pPr>
        <w:pStyle w:val="TextoNormal"/>
      </w:pPr>
    </w:p>
    <w:p w14:paraId="2E80850C" w14:textId="77777777" w:rsidR="00F64776" w:rsidRDefault="00F64776" w:rsidP="00F64776">
      <w:pPr>
        <w:pStyle w:val="TextoNormal"/>
      </w:pPr>
      <w:r>
        <w:t>b) En cuanto a las dudas de constitucionalidad, el auto considera, en primer lugar, que la disposición transitoria primera, apartado tercero 6 de la Ley 16/2022, en relación con el art. 489.1.5 del texto refundido de la Ley concursal, en la redacción dada por la Ley 6/2022, podría estar vulnerando los principios de irretroactividad de las disposiciones sancionadoras no favorables o restrictivas de derechos individuales y el principio de seguridad jurídica (art. 9.3 CE).</w:t>
      </w:r>
    </w:p>
    <w:p w14:paraId="37DA229A" w14:textId="77777777" w:rsidR="00F64776" w:rsidRDefault="00F64776" w:rsidP="00F64776">
      <w:pPr>
        <w:pStyle w:val="TextoNormal"/>
      </w:pPr>
    </w:p>
    <w:p w14:paraId="0468E13A" w14:textId="77777777" w:rsidR="00F64776" w:rsidRDefault="00F64776" w:rsidP="00F64776">
      <w:pPr>
        <w:pStyle w:val="TextoNormal"/>
      </w:pPr>
      <w:r>
        <w:t xml:space="preserve">Según el auto de planteamiento, el principio de irretroactividad de las disposiciones sancionadoras no favorables o restrictivas de derechos individuales podría estar vulnerándose en la medida en que, en virtud de la citada disposición transitoria, resultaría de aplicación al proceso </w:t>
      </w:r>
      <w:r w:rsidRPr="00F64776">
        <w:rPr>
          <w:i/>
        </w:rPr>
        <w:t>a quo</w:t>
      </w:r>
      <w:r>
        <w:t xml:space="preserve"> la regulación del texto refundido de la Ley concursal en la redacción dada por la Ley 16/2022 y con ello el art. 489.1.5, que define al crédito público como crédito no exonerable, salvo determinados créditos públicos con ciertos límites cuantitativos. También resalta que, en la regulación anterior a la Ley 16/2022, la exclusión derivaba de lo previsto en el art. 491 del texto refundido, que era inaplicado en los juzgados y tribunales en virtud de la doctrina </w:t>
      </w:r>
      <w:r w:rsidRPr="00F64776">
        <w:rPr>
          <w:i/>
        </w:rPr>
        <w:t>ultra vires</w:t>
      </w:r>
      <w:r>
        <w:t>.</w:t>
      </w:r>
    </w:p>
    <w:p w14:paraId="63515CBA" w14:textId="77777777" w:rsidR="00F64776" w:rsidRDefault="00F64776" w:rsidP="00F64776">
      <w:pPr>
        <w:pStyle w:val="TextoNormal"/>
      </w:pPr>
    </w:p>
    <w:p w14:paraId="5B55351A" w14:textId="77777777" w:rsidR="00F64776" w:rsidRDefault="00F64776" w:rsidP="00F64776">
      <w:pPr>
        <w:pStyle w:val="TextoNormal"/>
      </w:pPr>
      <w:r>
        <w:t>Según el órgano judicial, “[p]artiendo de la base de que el art. 489.1.5 del texto refundido de la Ley concursal, en la redacción dada por la Ley 16/2022, modifica sustantivamente la extensión de la exoneración, entonces la disposición transitoria primera, apartado 3.6 en virtud de la cual, se hace depender la aplicación del nuevo régimen jurídico del momento de la solicitud del concurso [</w:t>
      </w:r>
      <w:r w:rsidRPr="00F64776">
        <w:rPr>
          <w:i/>
        </w:rPr>
        <w:t>sic</w:t>
      </w:r>
      <w:r>
        <w:t xml:space="preserve">], podría vulnerar el principio de irretroactividad de las disposiciones sancionadoras no favorables o restrictivas de derechos individuales y el principio de seguridad jurídica”. Se alega que la situación jurídica material de insolvencia de la persona física y la concurrencia de los requisitos materiales (presupuestos objetivo y subjetivo) para obtener la exoneración estarían ya consolidados antes de que se produzca el momento, que es procesal adjetivo, que el legislador escogió en la disposición transitoria primera, apartado 3.6 para determinar la aplicación de un régimen u otro: la solicitud de exoneración. Destaca que, en el caso </w:t>
      </w:r>
      <w:r w:rsidRPr="00F64776">
        <w:rPr>
          <w:i/>
        </w:rPr>
        <w:t>a quo</w:t>
      </w:r>
      <w:r>
        <w:t xml:space="preserve">, cuando se aprobó el plan de liquidación ya concurrían los presupuestos materiales del derecho a la exoneración. Es decir, para el órgano judicial proponente de la cuestión la llegada de la fase de conclusión del concurso, dentro de la cual se solicita la exoneración, no es un presupuesto sustantivo o material para la exoneración, sino procesal, que no determina en modo alguno los presupuestos o requisitos de la exoneración. Solamente podría ser relevante si hubiera bienes suficientes para liquidar y hasta el final de la liquidación no se pudiera conocer si el deudor podía, con la venta de los bienes, cumplir con el requisito objetivo para la exoneración directa o tenía que presentar plan de pagos. Pero no es lo que sucede en el proceso </w:t>
      </w:r>
      <w:r w:rsidRPr="00F64776">
        <w:rPr>
          <w:i/>
        </w:rPr>
        <w:t>a quo</w:t>
      </w:r>
      <w:r>
        <w:t>, en el que desde el principio del concurso se sabía que los bienes y derechos realizables serían insuficientes para pagar los créditos contra la masa y privilegiados y que por ello sería necesario presentar un plan de pagos para obtener la exoneración. Finalmente se sostiene que “[e]n cuanto al principio de seguridad jurídica que recoge el art. 9.3 CE, la situación de hecho (insolvencia y concurrencia de presupuestos materiales de la exoneración —persona física de buena fe—) ya se habría también producido o desarrollado con anterioridad al momento elegido por el legislador para hacer depender la entrada en vigor de la reforma de la Ley 16/2022, pudiendo hablarse de retroactividad auténtica”.</w:t>
      </w:r>
    </w:p>
    <w:p w14:paraId="160A5CA2" w14:textId="77777777" w:rsidR="00F64776" w:rsidRDefault="00F64776" w:rsidP="00F64776">
      <w:pPr>
        <w:pStyle w:val="TextoNormal"/>
      </w:pPr>
    </w:p>
    <w:p w14:paraId="20D061C5" w14:textId="77777777" w:rsidR="00F64776" w:rsidRDefault="00F64776" w:rsidP="00F64776">
      <w:pPr>
        <w:pStyle w:val="TextoNormal"/>
      </w:pPr>
      <w:r>
        <w:t>En segundo lugar, el auto de planteamiento sostiene que el art. 82.5 CE habría sido vulnerado por los arts. 491 y 497 del texto refundido de la Ley concursal, en la redacción anterior a la Ley 16/2022, por cuanto tales preceptos habrían ido más allá de la facultad de regularizar, aclarar y armonizar, puesto que habrían regulado la exoneración, por un lado, en contra de la literalidad de la norma refundida en lo que se refiere al sistema de exoneración directa que podía suponer la exoneración de crédito público y, por otro lado, en contra de la interpretación sostenida por el Tribunal Supremo en la sentencia de 2 de julio de 2019 antes citada.</w:t>
      </w:r>
    </w:p>
    <w:p w14:paraId="392E08FF" w14:textId="77777777" w:rsidR="00F64776" w:rsidRDefault="00F64776" w:rsidP="00F64776">
      <w:pPr>
        <w:pStyle w:val="TextoNormal"/>
      </w:pPr>
    </w:p>
    <w:p w14:paraId="351FEE05" w14:textId="77777777" w:rsidR="00F64776" w:rsidRDefault="00F64776" w:rsidP="00F64776">
      <w:pPr>
        <w:pStyle w:val="TextoNormal"/>
      </w:pPr>
      <w:r>
        <w:t xml:space="preserve">c) Finalmente, el auto de planteamiento justifica la aplicabilidad y relevancia de los preceptos que cuestiona en los términos siguientes: “[l]a decisión final sobre la exoneración del pasivo insatisfecho, es decir la que abarcaría al crédito público titularidad de la AEAT, depende, por completo, de la validez de estas normas. </w:t>
      </w:r>
    </w:p>
    <w:p w14:paraId="4E6673C6" w14:textId="77777777" w:rsidR="00F64776" w:rsidRDefault="00F64776" w:rsidP="00F64776">
      <w:pPr>
        <w:pStyle w:val="TextoNormal"/>
      </w:pPr>
    </w:p>
    <w:p w14:paraId="18AAA537" w14:textId="3F14A509" w:rsidR="00F64776" w:rsidRDefault="00F64776" w:rsidP="00F64776">
      <w:pPr>
        <w:pStyle w:val="TextoNormal"/>
      </w:pPr>
      <w:r>
        <w:t xml:space="preserve">En cuanto a la disposición transitoria primera, apartado 3.6 de la Ley 16 /2022 en relación con el art. 489.1.5 del texto refundido de la Ley concursal, porque de la validez de las mismas dependerá que la exoneración se extienda o no a los créditos públicos no satisfechos y a su posible incardinación en un plan de pagos. Respecto de los art. 491 y 497 del texto refundido, porque, de entenderse inconstitucional la disposición transitoria, resultaran de aplicación a la decisión final sobre exoneración del crédito público, y se aplicaría entonces el art. 178 </w:t>
      </w:r>
      <w:r w:rsidRPr="00F64776">
        <w:rPr>
          <w:i/>
        </w:rPr>
        <w:t>bis</w:t>
      </w:r>
      <w:r>
        <w:t xml:space="preserve">, interpretado por la STS de 2 de julio de 2019. Esta decisión final sobre la exoneración no imposibilita la exoneración de otros tipos de créditos que, igualmente, se aplique la Ley 16/22, el del texto refundido de la Ley concursal o el art. 178 </w:t>
      </w:r>
      <w:r w:rsidRPr="00F64776">
        <w:rPr>
          <w:i/>
        </w:rPr>
        <w:t>bis</w:t>
      </w:r>
      <w:r>
        <w:t>, serían exonerados sin necesidad de plan de pagos”.</w:t>
      </w:r>
    </w:p>
    <w:p w14:paraId="67683F28" w14:textId="77777777" w:rsidR="00F64776" w:rsidRDefault="00F64776" w:rsidP="00F64776">
      <w:pPr>
        <w:pStyle w:val="TextoNormal"/>
      </w:pPr>
    </w:p>
    <w:p w14:paraId="1A412007" w14:textId="77777777" w:rsidR="00F64776" w:rsidRDefault="00F64776" w:rsidP="00F64776">
      <w:pPr>
        <w:pStyle w:val="TextoNormal"/>
      </w:pPr>
      <w:r w:rsidRPr="00F64776">
        <w:rPr>
          <w:rStyle w:val="NumeroAFNegritaCaracter"/>
        </w:rPr>
        <w:t>4</w:t>
      </w:r>
      <w:r>
        <w:t>. Por escrito de 5 de septiembre de 2023 el magistrado don Juan Carlos Campo Moreno comunicó al señor presidente su voluntad de abstenerse de intervenir en el conocimiento de las cuestiones de inconstitucionalidad núm. 4242-2023 y 4408-2023, por el hecho de haber participado, en su anterior condición de Ministro de Justicia, en el Consejo de Ministros de 5 de mayo de 2020, en el que se aprobó el Real Decreto Legislativo 112020, de 5 de mayo, por el que se aprueba el texto refundido de la Ley concursal.</w:t>
      </w:r>
    </w:p>
    <w:p w14:paraId="0D90377F" w14:textId="77777777" w:rsidR="00F64776" w:rsidRDefault="00F64776" w:rsidP="00F64776">
      <w:pPr>
        <w:pStyle w:val="TextoNormal"/>
      </w:pPr>
    </w:p>
    <w:p w14:paraId="69149281" w14:textId="70ADC5D2" w:rsidR="00F64776" w:rsidRDefault="00F64776" w:rsidP="00F64776">
      <w:pPr>
        <w:pStyle w:val="TextoNormal"/>
      </w:pPr>
      <w:r>
        <w:t>El Pleno, por auto de 12 de septiembre de 2023, estimó justificada la abstención formulada por el magistrado don Juan Carlos Campo Moreno, apartándole definitivamente del conocimiento de las cuestiones de inconstitucionalidad núm. 4242-2023 y 4408-2023.</w:t>
      </w:r>
    </w:p>
    <w:p w14:paraId="5003CF06" w14:textId="77777777" w:rsidR="00F64776" w:rsidRDefault="00F64776" w:rsidP="00F64776">
      <w:pPr>
        <w:pStyle w:val="TextoNormal"/>
      </w:pPr>
    </w:p>
    <w:p w14:paraId="0C90C1AD" w14:textId="6CCFA44D" w:rsidR="00F64776" w:rsidRDefault="00F64776" w:rsidP="00F64776">
      <w:pPr>
        <w:pStyle w:val="TextoNormal"/>
      </w:pPr>
      <w:r w:rsidRPr="00F64776">
        <w:rPr>
          <w:rStyle w:val="NumeroAFNegritaCaracter"/>
        </w:rPr>
        <w:t>5</w:t>
      </w:r>
      <w:r>
        <w:t>. Por providencia de 12 de septiembre de 2023, el Pleno acordó oír al fiscal general del Estado para que, en el plazo de diez días, y a los efectos que determina el art. 37.1 LOTC, alegase lo que considerase conveniente acerca de la admisibilidad de la presente cuestión de inconstitucionalidad, en relación con el cumplimiento de los requisitos procesales (art. 35.2 LOTC) y por si fuere notoriamente infundada.</w:t>
      </w:r>
    </w:p>
    <w:p w14:paraId="29B30E47" w14:textId="77777777" w:rsidR="00F64776" w:rsidRDefault="00F64776" w:rsidP="00F64776">
      <w:pPr>
        <w:pStyle w:val="TextoNormal"/>
      </w:pPr>
    </w:p>
    <w:p w14:paraId="52D0F774" w14:textId="77777777" w:rsidR="00F64776" w:rsidRDefault="00F64776" w:rsidP="00F64776">
      <w:pPr>
        <w:pStyle w:val="TextoNormal"/>
      </w:pPr>
      <w:r w:rsidRPr="00F64776">
        <w:rPr>
          <w:rStyle w:val="NumeroAFNegritaCaracter"/>
        </w:rPr>
        <w:t>6</w:t>
      </w:r>
      <w:r>
        <w:t>. El fiscal general del Estado evacuó el trámite conferido mediante escrito registrado en este tribunal el 10 de octubre de 2023, en el que considera que la cuestión de inconstitucionalidad debe ser inadmitida por incumplimiento de los presupuestos procesales del art. 35.2 LOTC, así como por ser notoriamente infundada. Salvo por determinados matices relativos a las peculiaridades de tramitación de cada procedimiento, las consideraciones del fiscal son análogas a las realizadas en el trámite de alegaciones del art. 37.1 LOTC abierto en el marco de la cuestión de inconstitucionalidad núm. 4242-2023, planteada por el mismo órgano judicial, respecto de los mismos preceptos y por los mismos motivos que la presente.</w:t>
      </w:r>
    </w:p>
    <w:p w14:paraId="083D02C6" w14:textId="77777777" w:rsidR="00F64776" w:rsidRDefault="00F64776" w:rsidP="00F64776">
      <w:pPr>
        <w:pStyle w:val="TextoNormal"/>
      </w:pPr>
    </w:p>
    <w:p w14:paraId="6D405213" w14:textId="77777777" w:rsidR="00F64776" w:rsidRDefault="00F64776" w:rsidP="00F64776">
      <w:pPr>
        <w:pStyle w:val="TextoNormal"/>
      </w:pPr>
      <w:r>
        <w:t>Tras hacer referencia a los antecedentes del caso y a los datos que considera relevantes para el planteamiento de la duda de constitucionalidad, en particular las diferentes regulaciones que ha recibido el beneficio de la exoneración del pasivo insatisfecho con las sucesivas modificaciones de la legislación concursal, alude a los preceptos constitucionales que se entienden vulnerados y a la formulación de los juicios de aplicabilidad y relevancia.</w:t>
      </w:r>
    </w:p>
    <w:p w14:paraId="3C079513" w14:textId="77777777" w:rsidR="00F64776" w:rsidRDefault="00F64776" w:rsidP="00F64776">
      <w:pPr>
        <w:pStyle w:val="TextoNormal"/>
      </w:pPr>
    </w:p>
    <w:p w14:paraId="4C903A5C" w14:textId="77777777" w:rsidR="00F64776" w:rsidRDefault="00F64776" w:rsidP="00F64776">
      <w:pPr>
        <w:pStyle w:val="TextoNormal"/>
      </w:pPr>
      <w:r>
        <w:t>Examina a continuación el cumplimiento de los requisitos procesales para el planteamiento de la cuestión de inconstitucionalidad. Descarta, en primer término, que la cuestión sea extemporánea, pero señala, respecto a la primera providencia por la que se abre el trámite de audiencia, que el órgano judicial no explica por qué considera aplicable y relevante para la resolución del concurso el art. 489.1.5 del texto refundido de la Ley concursal en la redacción dada por la Ley 16/20022. Señala, además, que la duda de constitucionalidad se realiza “de una forma tan abierta e inconcreta que se desconocen los razonamientos sobre la posible inconstitucionalidad” de estos y en particular el principio o principios con los que entran en colisión. Para el fiscal general del Estado, aunque la segunda providencia dictada por el órgano judicial contiene una mayor argumentación al respecto, amplía sin explicación las dudas de constitucionalidad a otros preceptos de la normativa concursal respecto de otro artículo de la Constitución. En conclusión, para el Ministerio Público, el contenido de las providencias no realiza un adecuado juicio de aplicabilidad y relevancia de las normas cuestionadas y en consecuencia no cumplen con las condiciones procesales. En particular, el juicio de aplicabilidad se formula sobre distintas hipótesis de posible inconstitucionalidad de los preceptos cuestionados que comportan dudas sobre su aplicación. Finalmente, se estima que no se ha dado debido cumplimiento al trámite de audiencia a las partes, ya que, según el fiscal, cabe deducir de los antecedentes del caso que el traslado a las partes personadas en el concurso no se realizó de forma simultánea, sino sucesiva y en virtud de distintas resoluciones.</w:t>
      </w:r>
    </w:p>
    <w:p w14:paraId="49473782" w14:textId="77777777" w:rsidR="00F64776" w:rsidRDefault="00F64776" w:rsidP="00F64776">
      <w:pPr>
        <w:pStyle w:val="TextoNormal"/>
      </w:pPr>
    </w:p>
    <w:p w14:paraId="66FFF8B5" w14:textId="77777777" w:rsidR="00F64776" w:rsidRDefault="00F64776" w:rsidP="00F64776">
      <w:pPr>
        <w:pStyle w:val="TextoNormal"/>
      </w:pPr>
      <w:r>
        <w:t>En cuanto al fondo del asunto, el fiscal general del Estado estima que la cuestión carece de fundamento.</w:t>
      </w:r>
    </w:p>
    <w:p w14:paraId="4E81C2E6" w14:textId="77777777" w:rsidR="00F64776" w:rsidRDefault="00F64776" w:rsidP="00F64776">
      <w:pPr>
        <w:pStyle w:val="TextoNormal"/>
      </w:pPr>
    </w:p>
    <w:p w14:paraId="744D3390" w14:textId="77777777" w:rsidR="00F64776" w:rsidRDefault="00F64776" w:rsidP="00F64776">
      <w:pPr>
        <w:pStyle w:val="TextoNormal"/>
      </w:pPr>
      <w:r>
        <w:t>Tras aludir a las normas cuestionadas y a la argumentación del auto de planteamiento, hace mención del contexto y antecedentes de las disposiciones legales cuestionadas, para posteriormente descartar que la disposición transitoria primera, apartado 3.6 de la Ley 16/2022 colisione con el principio de irretroactividad del art. 9.3 CE. La Ley 16/2022 entró en vigor el 26 de septiembre de 2022 y, aunque la solicitud de conclusión de concurso y rendición de cuentas se presentó el 1 de septiembre de 2022, fue el 11 de octubre de 2022 cuando la representación procesal del concursado formuló solicitud del beneficio de exoneración. Es decir, la solicitud del beneficio de la exoneración del pasivo insatisfecho se presentó después de la entrada en vigor de la ley que establece —en la transitoria citada— que las solicitudes de exoneración formuladas tras su entrada en vigor, junto con otros siete supuestos más, se regirán por la propia ley. El fiscal descarta el carácter sancionador o restrictivo de derechos individuales que el órgano judicial atribuye a la Ley 16/2002 en el régimen legal del beneficio de la exoneración del pasivo insatisfecho, que no responde a la naturaleza y fines de la norma. Para el fiscal, “[l]a opción legítima del legislador expresada en la disposición transitoria primera, apartado 3.6 que opta por la nueva regulación para una serie de supuestos que se inician con nuevas solicitudes de la representación de la concursada, posteriores a la entrada en vigor de la ley, no es contraria a la Constitución, ya que no existen ‘relaciones consagradas’ o ‘situaciones agotadas’, previas que se vean afectadas por la nueva norma”.</w:t>
      </w:r>
    </w:p>
    <w:p w14:paraId="72010A52" w14:textId="77777777" w:rsidR="00F64776" w:rsidRDefault="00F64776" w:rsidP="00F64776">
      <w:pPr>
        <w:pStyle w:val="TextoNormal"/>
      </w:pPr>
    </w:p>
    <w:p w14:paraId="6E767307" w14:textId="77777777" w:rsidR="00F64776" w:rsidRDefault="00F64776" w:rsidP="00F64776">
      <w:pPr>
        <w:pStyle w:val="TextoNormal"/>
      </w:pPr>
      <w:r>
        <w:t>La colisión de la de la disposición transitoria primera, apartado 3.6 de la Ley 16/2022 con el principio de seguridad jurídica del art. 9.3 CE es también descartada por el fiscal general del Estado. Con cita de doctrina constitucional tanto en relación con dicho principio como con la exclusión de las cuestiones de técnica legislativa del control de constitucionalidad, se considera que el precepto establece una previsión clara y precisa sobre la legislación aplicable a las solicitudes de beneficio de la exoneración del pasivo insatisfecho que se presenten en los procedimientos concursales después de la entrada en vigor de la ley. Esta norma no produce un efecto sorpresivo, ni una incertidumbre insuperable y no quiebra la legitima expectativa de los ciudadanos en la acomodación de la actuación de los poderes públicos a la ley.</w:t>
      </w:r>
    </w:p>
    <w:p w14:paraId="7F12E238" w14:textId="77777777" w:rsidR="00F64776" w:rsidRDefault="00F64776" w:rsidP="00F64776">
      <w:pPr>
        <w:pStyle w:val="TextoNormal"/>
      </w:pPr>
    </w:p>
    <w:p w14:paraId="4E899225" w14:textId="25B4B80E" w:rsidR="00F64776" w:rsidRDefault="00F64776" w:rsidP="00F64776">
      <w:pPr>
        <w:pStyle w:val="TextoNormal"/>
      </w:pPr>
      <w:r>
        <w:t xml:space="preserve">Por último, el Ministerio Público descarta que los arts. 491 y 497 del texto refundido de la Ley concursal en la redacción anterior a la Ley 16/2022 sean contarios al art. 82.5 CE, pues falta el debido juicio de aplicabilidad, ya que ni los ha aplicado ni los aplicaría en ningún caso, según la propia explicación que de su carácter </w:t>
      </w:r>
      <w:r w:rsidRPr="00F64776">
        <w:rPr>
          <w:i/>
        </w:rPr>
        <w:t>ultra vires</w:t>
      </w:r>
      <w:r>
        <w:t xml:space="preserve"> realiza el órgano judicial. Por otra parte, el control de los excesos de delegación corresponde no solo al Tribunal Constitucional, sino también a la jurisdicción ordinaria.</w:t>
      </w:r>
    </w:p>
    <w:p w14:paraId="73165C7F" w14:textId="77777777" w:rsidR="00F64776" w:rsidRDefault="00F64776" w:rsidP="00F64776">
      <w:pPr>
        <w:pStyle w:val="TextoNormal"/>
      </w:pPr>
    </w:p>
    <w:p w14:paraId="67A90EE0" w14:textId="77777777" w:rsidR="00F64776" w:rsidRDefault="00F64776" w:rsidP="00F64776">
      <w:pPr>
        <w:pStyle w:val="TextoNormalNegritaCentrado"/>
        <w:keepNext/>
      </w:pPr>
      <w:r>
        <w:t>II. Fundamentos jurídicos</w:t>
      </w:r>
    </w:p>
    <w:p w14:paraId="368160B8" w14:textId="1C684844" w:rsidR="00F64776" w:rsidRDefault="00F64776" w:rsidP="00F64776">
      <w:pPr>
        <w:pStyle w:val="TextoNormalNegritaCentrado"/>
        <w:keepNext/>
      </w:pPr>
    </w:p>
    <w:p w14:paraId="08C4B06A" w14:textId="77777777" w:rsidR="00F64776" w:rsidRDefault="00F64776" w:rsidP="00F64776">
      <w:pPr>
        <w:pStyle w:val="TextoNormal"/>
      </w:pPr>
      <w:r w:rsidRPr="00F64776">
        <w:rPr>
          <w:rStyle w:val="NumeroAFNegritaCaracter"/>
        </w:rPr>
        <w:t>1</w:t>
      </w:r>
      <w:r>
        <w:t>. El Juzgado de lo Mercantil núm. 7 de Barcelona plantea cuestión de inconstitucionalidad respecto de (i) la disposición transitoria primera, apartado 3.6 de la Ley 16/2022, de 5 de septiembre, en relación con el art. 489.1.5 del texto refundido de la Ley concursal, aprobado por el Real Decreto Legislativo 1/2020, de 5 de mayo, en la redacción dada por la Ley 16/2022, y (ii) los arts. 491 y 497 de ese mismo texto refundido, en la redacción anterior a la dada por la Ley 16/2022.</w:t>
      </w:r>
    </w:p>
    <w:p w14:paraId="1C475841" w14:textId="77777777" w:rsidR="00F64776" w:rsidRDefault="00F64776" w:rsidP="00F64776">
      <w:pPr>
        <w:pStyle w:val="TextoNormal"/>
      </w:pPr>
    </w:p>
    <w:p w14:paraId="7841C536" w14:textId="77777777" w:rsidR="00F64776" w:rsidRDefault="00F64776" w:rsidP="00F64776">
      <w:pPr>
        <w:pStyle w:val="TextoNormal"/>
      </w:pPr>
      <w:r>
        <w:t>Dichos preceptos disponen lo siguiente (se indica en cursiva lo cuestionado):</w:t>
      </w:r>
    </w:p>
    <w:p w14:paraId="08687136" w14:textId="77777777" w:rsidR="00F64776" w:rsidRDefault="00F64776" w:rsidP="00F64776">
      <w:pPr>
        <w:pStyle w:val="TextoNormal"/>
      </w:pPr>
    </w:p>
    <w:p w14:paraId="09E09CE8" w14:textId="77777777" w:rsidR="00F64776" w:rsidRDefault="00F64776" w:rsidP="00F64776">
      <w:pPr>
        <w:pStyle w:val="TextoNormal"/>
      </w:pPr>
      <w:r>
        <w:t>a) De la Ley 16/2022:</w:t>
      </w:r>
    </w:p>
    <w:p w14:paraId="7FA6FA80" w14:textId="77777777" w:rsidR="00F64776" w:rsidRDefault="00F64776" w:rsidP="00F64776">
      <w:pPr>
        <w:pStyle w:val="TextoNormal"/>
      </w:pPr>
    </w:p>
    <w:p w14:paraId="40310F8E" w14:textId="77777777" w:rsidR="00F64776" w:rsidRDefault="00F64776" w:rsidP="00F64776">
      <w:pPr>
        <w:pStyle w:val="TextoNormal"/>
      </w:pPr>
      <w:r>
        <w:t>“Disposición transitoria primera. Régimen aplicable a los procedimientos y actuaciones iniciadas después de la entrada en vigor de esta ley.</w:t>
      </w:r>
    </w:p>
    <w:p w14:paraId="5457A9EB" w14:textId="77777777" w:rsidR="00F64776" w:rsidRDefault="00F64776" w:rsidP="00F64776">
      <w:pPr>
        <w:pStyle w:val="TextoNormal"/>
      </w:pPr>
    </w:p>
    <w:p w14:paraId="224BF43C" w14:textId="77777777" w:rsidR="00F64776" w:rsidRDefault="00F64776" w:rsidP="00F64776">
      <w:pPr>
        <w:pStyle w:val="TextoNormal"/>
      </w:pPr>
      <w:r>
        <w:t>1. La presente ley será de aplicación:</w:t>
      </w:r>
    </w:p>
    <w:p w14:paraId="3C633249" w14:textId="77777777" w:rsidR="00F64776" w:rsidRDefault="00F64776" w:rsidP="00F64776">
      <w:pPr>
        <w:pStyle w:val="TextoNormal"/>
      </w:pPr>
    </w:p>
    <w:p w14:paraId="6C7656E3" w14:textId="77777777" w:rsidR="00F64776" w:rsidRDefault="00F64776" w:rsidP="00F64776">
      <w:pPr>
        <w:pStyle w:val="TextoNormal"/>
      </w:pPr>
      <w:r>
        <w:t>[…]</w:t>
      </w:r>
    </w:p>
    <w:p w14:paraId="24D03C2A" w14:textId="77777777" w:rsidR="00F64776" w:rsidRDefault="00F64776" w:rsidP="00F64776">
      <w:pPr>
        <w:pStyle w:val="TextoNormal"/>
      </w:pPr>
    </w:p>
    <w:p w14:paraId="2E9C1149" w14:textId="77777777" w:rsidR="00F64776" w:rsidRDefault="00F64776" w:rsidP="00F64776">
      <w:pPr>
        <w:pStyle w:val="TextoNormal"/>
      </w:pPr>
      <w:r>
        <w:t>2º. Los concursos declarados antes de la entrada en vigor por la presente ley se regirán por lo establecido en la legislación anterior.</w:t>
      </w:r>
    </w:p>
    <w:p w14:paraId="76452A78" w14:textId="77777777" w:rsidR="00F64776" w:rsidRDefault="00F64776" w:rsidP="00F64776">
      <w:pPr>
        <w:pStyle w:val="TextoNormal"/>
      </w:pPr>
    </w:p>
    <w:p w14:paraId="4E160E47" w14:textId="77777777" w:rsidR="00F64776" w:rsidRDefault="00F64776" w:rsidP="00F64776">
      <w:pPr>
        <w:pStyle w:val="TextoNormal"/>
      </w:pPr>
      <w:r>
        <w:t>3</w:t>
      </w:r>
      <w:r w:rsidRPr="00F64776">
        <w:rPr>
          <w:i/>
        </w:rPr>
        <w:t>º. Por excepción a lo establecido en el apartado anterior, se regirán por la presente ley</w:t>
      </w:r>
      <w:r>
        <w:t>:</w:t>
      </w:r>
    </w:p>
    <w:p w14:paraId="77CBAC11" w14:textId="77777777" w:rsidR="00F64776" w:rsidRDefault="00F64776" w:rsidP="00F64776">
      <w:pPr>
        <w:pStyle w:val="TextoNormal"/>
      </w:pPr>
    </w:p>
    <w:p w14:paraId="7C084A18" w14:textId="77777777" w:rsidR="00F64776" w:rsidRDefault="00F64776" w:rsidP="00F64776">
      <w:pPr>
        <w:pStyle w:val="TextoNormal"/>
      </w:pPr>
      <w:r>
        <w:t>[…]</w:t>
      </w:r>
    </w:p>
    <w:p w14:paraId="1B424035" w14:textId="77777777" w:rsidR="00F64776" w:rsidRDefault="00F64776" w:rsidP="00F64776">
      <w:pPr>
        <w:pStyle w:val="TextoNormal"/>
      </w:pPr>
    </w:p>
    <w:p w14:paraId="339DDB53" w14:textId="77777777" w:rsidR="00F64776" w:rsidRDefault="00F64776" w:rsidP="00F64776">
      <w:pPr>
        <w:pStyle w:val="TextoNormal"/>
      </w:pPr>
      <w:r>
        <w:t>6</w:t>
      </w:r>
      <w:r w:rsidRPr="00F64776">
        <w:rPr>
          <w:i/>
        </w:rPr>
        <w:t>º. Las solicitudes de exoneración del pasivo que se presenten después de su entrada en vigor</w:t>
      </w:r>
      <w:r>
        <w:t>”.</w:t>
      </w:r>
    </w:p>
    <w:p w14:paraId="29686A80" w14:textId="77777777" w:rsidR="00F64776" w:rsidRDefault="00F64776" w:rsidP="00F64776">
      <w:pPr>
        <w:pStyle w:val="TextoNormal"/>
      </w:pPr>
    </w:p>
    <w:p w14:paraId="64A8CE9B" w14:textId="77777777" w:rsidR="00F64776" w:rsidRDefault="00F64776" w:rsidP="00F64776">
      <w:pPr>
        <w:pStyle w:val="TextoNormal"/>
      </w:pPr>
      <w:r>
        <w:t>Artículo único, apartado 130, en cuanto da nueva redacción al art. 489 del texto refundido de la Ley concursal:</w:t>
      </w:r>
    </w:p>
    <w:p w14:paraId="2EF8EC21" w14:textId="77777777" w:rsidR="00F64776" w:rsidRDefault="00F64776" w:rsidP="00F64776">
      <w:pPr>
        <w:pStyle w:val="TextoNormal"/>
      </w:pPr>
    </w:p>
    <w:p w14:paraId="5010E615" w14:textId="77777777" w:rsidR="00F64776" w:rsidRDefault="00F64776" w:rsidP="00F64776">
      <w:pPr>
        <w:pStyle w:val="TextoNormal"/>
      </w:pPr>
      <w:r>
        <w:t>“Artículo 489. Extensión de la exoneración</w:t>
      </w:r>
    </w:p>
    <w:p w14:paraId="4489DBD9" w14:textId="77777777" w:rsidR="00F64776" w:rsidRDefault="00F64776" w:rsidP="00F64776">
      <w:pPr>
        <w:pStyle w:val="TextoNormal"/>
      </w:pPr>
    </w:p>
    <w:p w14:paraId="6DCE06B2" w14:textId="77777777" w:rsidR="00F64776" w:rsidRDefault="00F64776" w:rsidP="00F64776">
      <w:pPr>
        <w:pStyle w:val="TextoNormal"/>
      </w:pPr>
      <w:r>
        <w:t xml:space="preserve">1. </w:t>
      </w:r>
      <w:r w:rsidRPr="00F64776">
        <w:rPr>
          <w:i/>
        </w:rPr>
        <w:t>La exoneración del pasivo insatisfecho se extenderá a la totalidad de las deudas insatisfechas, salvo las siguientes</w:t>
      </w:r>
      <w:r>
        <w:t>:</w:t>
      </w:r>
    </w:p>
    <w:p w14:paraId="243F8BC7" w14:textId="77777777" w:rsidR="00F64776" w:rsidRDefault="00F64776" w:rsidP="00F64776">
      <w:pPr>
        <w:pStyle w:val="TextoNormal"/>
      </w:pPr>
    </w:p>
    <w:p w14:paraId="61C33E5C" w14:textId="77777777" w:rsidR="00F64776" w:rsidRDefault="00F64776" w:rsidP="00F64776">
      <w:pPr>
        <w:pStyle w:val="TextoNormal"/>
      </w:pPr>
      <w:r>
        <w:t>[…]</w:t>
      </w:r>
    </w:p>
    <w:p w14:paraId="1520F1D0" w14:textId="77777777" w:rsidR="00F64776" w:rsidRDefault="00F64776" w:rsidP="00F64776">
      <w:pPr>
        <w:pStyle w:val="TextoNormal"/>
      </w:pPr>
    </w:p>
    <w:p w14:paraId="6D9E782A" w14:textId="77777777" w:rsidR="00F64776" w:rsidRDefault="00F64776" w:rsidP="00F64776">
      <w:pPr>
        <w:pStyle w:val="TextoNormal"/>
      </w:pPr>
      <w:r>
        <w:t>5</w:t>
      </w:r>
      <w:r w:rsidRPr="00F64776">
        <w:rPr>
          <w:i/>
        </w:rPr>
        <w:t>º. Las deudas por créditos de Derecho público. No obstante, las deudas para cuya gestión recaudatoria resulte competente la Agencia Estatal de Administración Tributaria podrán exonerarse hasta el importe máximo de diez mil euros por deudor; para los primeros cinco mil euros de deuda la exoneración será integra, y a partir de esta cifra la exoneración alcanzará el cincuenta por ciento de la deuda hasta el máximo indicado. Asimismo, las deudas por créditos en seguridad social podrán exonerarse por el mismo importe y en las mismas condiciones. El importe exonerado, hasta el citado límite, se aplicará en orden inverso al de prelación legalmente establecido en esta ley y, dentro de cada clase, en función de su antigüedad</w:t>
      </w:r>
      <w:r>
        <w:t>”.</w:t>
      </w:r>
    </w:p>
    <w:p w14:paraId="626FE3D7" w14:textId="77777777" w:rsidR="00F64776" w:rsidRDefault="00F64776" w:rsidP="00F64776">
      <w:pPr>
        <w:pStyle w:val="TextoNormal"/>
      </w:pPr>
    </w:p>
    <w:p w14:paraId="71C20151" w14:textId="77777777" w:rsidR="00F64776" w:rsidRDefault="00F64776" w:rsidP="00F64776">
      <w:pPr>
        <w:pStyle w:val="TextoNormal"/>
      </w:pPr>
      <w:r>
        <w:t>b) Del texto refundido de la Ley concursal, en la redacción anterior a la dada por la Ley 16/2022:</w:t>
      </w:r>
    </w:p>
    <w:p w14:paraId="7920F6E3" w14:textId="77777777" w:rsidR="00F64776" w:rsidRDefault="00F64776" w:rsidP="00F64776">
      <w:pPr>
        <w:pStyle w:val="TextoNormal"/>
      </w:pPr>
    </w:p>
    <w:p w14:paraId="7088A97C" w14:textId="77777777" w:rsidR="00F64776" w:rsidRDefault="00F64776" w:rsidP="00F64776">
      <w:pPr>
        <w:pStyle w:val="TextoNormal"/>
      </w:pPr>
      <w:r>
        <w:t>“Artículo 491. Extensión de la exoneración.</w:t>
      </w:r>
    </w:p>
    <w:p w14:paraId="78C8941C" w14:textId="77777777" w:rsidR="00F64776" w:rsidRDefault="00F64776" w:rsidP="00F64776">
      <w:pPr>
        <w:pStyle w:val="TextoNormal"/>
      </w:pPr>
    </w:p>
    <w:p w14:paraId="34A8C2E4" w14:textId="77777777" w:rsidR="00F64776" w:rsidRPr="00F64776" w:rsidRDefault="00F64776" w:rsidP="00F64776">
      <w:pPr>
        <w:pStyle w:val="TextoNormal"/>
        <w:rPr>
          <w:i/>
        </w:rPr>
      </w:pPr>
      <w:r>
        <w:t xml:space="preserve">1. </w:t>
      </w:r>
      <w:r w:rsidRPr="00F64776">
        <w:rPr>
          <w:i/>
        </w:rPr>
        <w:t>Si se hubieran satisfecho en su integridad los créditos contra la masa y los créditos concursales privilegiados y, si el deudor que reuniera los requisitos para poder hacerlo, hubiera intentado un previo acuerdo extrajudicial de pagos, el beneficio de la exoneración del pasivo insatisfecho se extenderá a la totalidad de los créditos insatisfechos, exceptuando los créditos de derecho público y por alimentos.</w:t>
      </w:r>
    </w:p>
    <w:p w14:paraId="1F406054" w14:textId="77777777" w:rsidR="00F64776" w:rsidRPr="00F64776" w:rsidRDefault="00F64776" w:rsidP="00F64776">
      <w:pPr>
        <w:pStyle w:val="TextoNormal"/>
        <w:rPr>
          <w:i/>
        </w:rPr>
      </w:pPr>
    </w:p>
    <w:p w14:paraId="440D7D3A" w14:textId="77777777" w:rsidR="00F64776" w:rsidRDefault="00F64776" w:rsidP="00F64776">
      <w:pPr>
        <w:pStyle w:val="TextoNormal"/>
      </w:pPr>
      <w:r w:rsidRPr="00F64776">
        <w:rPr>
          <w:i/>
        </w:rPr>
        <w:t>2. Si el deudor que reuniera los requisitos para poder hacerlo no hubiera intentado un previo acuerdo extrajudicial de pagos, el beneficio de la exoneración del pasivo insatisfecho se extenderá al setenta y cinco por ciento de los créditos ordinarios y a la totalidad de los subordinados”.</w:t>
      </w:r>
    </w:p>
    <w:p w14:paraId="4C591811" w14:textId="77777777" w:rsidR="00F64776" w:rsidRDefault="00F64776" w:rsidP="00F64776">
      <w:pPr>
        <w:pStyle w:val="TextoNormal"/>
      </w:pPr>
    </w:p>
    <w:p w14:paraId="576748CA" w14:textId="77777777" w:rsidR="00F64776" w:rsidRDefault="00F64776" w:rsidP="00F64776">
      <w:pPr>
        <w:pStyle w:val="TextoNormal"/>
      </w:pPr>
    </w:p>
    <w:p w14:paraId="7C509C92" w14:textId="77777777" w:rsidR="00F64776" w:rsidRDefault="00F64776" w:rsidP="00F64776">
      <w:pPr>
        <w:pStyle w:val="TextoNormal"/>
      </w:pPr>
      <w:r>
        <w:t>“Artículo 497. Extensión de la exoneración en caso de plan de pagos</w:t>
      </w:r>
    </w:p>
    <w:p w14:paraId="2359DAD5" w14:textId="77777777" w:rsidR="00F64776" w:rsidRDefault="00F64776" w:rsidP="00F64776">
      <w:pPr>
        <w:pStyle w:val="TextoNormal"/>
      </w:pPr>
    </w:p>
    <w:p w14:paraId="2F89BFF0" w14:textId="77777777" w:rsidR="00F64776" w:rsidRPr="00F64776" w:rsidRDefault="00F64776" w:rsidP="00F64776">
      <w:pPr>
        <w:pStyle w:val="TextoNormal"/>
        <w:rPr>
          <w:i/>
        </w:rPr>
      </w:pPr>
      <w:r>
        <w:t xml:space="preserve">1. </w:t>
      </w:r>
      <w:r w:rsidRPr="00F64776">
        <w:rPr>
          <w:i/>
        </w:rPr>
        <w:t>El beneficio de la exoneración del pasivo insatisfecho concedido a los deudores que hubiesen aceptado someterse al plan de pagos se extenderá a la parte que, conforme a este, vaya a quedar insatisfecha, de los siguientes créditos:</w:t>
      </w:r>
    </w:p>
    <w:p w14:paraId="409DC65B" w14:textId="77777777" w:rsidR="00F64776" w:rsidRPr="00F64776" w:rsidRDefault="00F64776" w:rsidP="00F64776">
      <w:pPr>
        <w:pStyle w:val="TextoNormal"/>
        <w:rPr>
          <w:i/>
        </w:rPr>
      </w:pPr>
    </w:p>
    <w:p w14:paraId="6C57AD9A" w14:textId="77777777" w:rsidR="00F64776" w:rsidRPr="00F64776" w:rsidRDefault="00F64776" w:rsidP="00F64776">
      <w:pPr>
        <w:pStyle w:val="TextoNormal"/>
        <w:rPr>
          <w:i/>
        </w:rPr>
      </w:pPr>
      <w:r w:rsidRPr="00F64776">
        <w:rPr>
          <w:i/>
        </w:rPr>
        <w:t>1º. Los créditos ordinarios y subordinados pendientes a la fecha de conclusión del concurso, aunque no hubieran sido comunicados, exceptuando los créditos de derecho público y por alimentos.</w:t>
      </w:r>
    </w:p>
    <w:p w14:paraId="2FB5C823" w14:textId="77777777" w:rsidR="00F64776" w:rsidRPr="00F64776" w:rsidRDefault="00F64776" w:rsidP="00F64776">
      <w:pPr>
        <w:pStyle w:val="TextoNormal"/>
        <w:rPr>
          <w:i/>
        </w:rPr>
      </w:pPr>
    </w:p>
    <w:p w14:paraId="61CF5F53" w14:textId="77777777" w:rsidR="00F64776" w:rsidRPr="00F64776" w:rsidRDefault="00F64776" w:rsidP="00F64776">
      <w:pPr>
        <w:pStyle w:val="TextoNormal"/>
        <w:rPr>
          <w:i/>
        </w:rPr>
      </w:pPr>
      <w:r w:rsidRPr="00F64776">
        <w:rPr>
          <w:i/>
        </w:rPr>
        <w:t>2º. Respecto a los créditos con privilegio especial, el importe de los mismos que no haya podido satisfacerse con la ejecución de la garantía, salvo en la parte que pudiera gozar de privilegio general.</w:t>
      </w:r>
    </w:p>
    <w:p w14:paraId="7DCD8B2C" w14:textId="77777777" w:rsidR="00F64776" w:rsidRPr="00F64776" w:rsidRDefault="00F64776" w:rsidP="00F64776">
      <w:pPr>
        <w:pStyle w:val="TextoNormal"/>
        <w:rPr>
          <w:i/>
        </w:rPr>
      </w:pPr>
    </w:p>
    <w:p w14:paraId="35B4A65F" w14:textId="77777777" w:rsidR="00F64776" w:rsidRPr="00F64776" w:rsidRDefault="00F64776" w:rsidP="00F64776">
      <w:pPr>
        <w:pStyle w:val="TextoNormal"/>
        <w:rPr>
          <w:i/>
        </w:rPr>
      </w:pPr>
      <w:r w:rsidRPr="00F64776">
        <w:rPr>
          <w:i/>
        </w:rPr>
        <w:t>2. Las solicitudes de aplazamiento o de fraccionamiento del pago de los créditos de derecho público se regirán por lo dispuesto en su normativa específica”.</w:t>
      </w:r>
    </w:p>
    <w:p w14:paraId="5BD06B6B" w14:textId="77777777" w:rsidR="00F64776" w:rsidRPr="00F64776" w:rsidRDefault="00F64776" w:rsidP="00F64776">
      <w:pPr>
        <w:pStyle w:val="TextoNormal"/>
        <w:rPr>
          <w:i/>
        </w:rPr>
      </w:pPr>
    </w:p>
    <w:p w14:paraId="5C93A8DF" w14:textId="77777777" w:rsidR="00F64776" w:rsidRDefault="00F64776" w:rsidP="00F64776">
      <w:pPr>
        <w:pStyle w:val="TextoNormal"/>
      </w:pPr>
      <w:r w:rsidRPr="00F64776">
        <w:rPr>
          <w:i/>
        </w:rPr>
        <w:t>El</w:t>
      </w:r>
      <w:r>
        <w:t xml:space="preserve"> órgano judicial considera que la disposición transitoria primera, apartado tercero 6 de la Ley 16/2022, en relación con el art. 489.1.5 del texto refundido de la Ley concursal (en la redacción dada por la Ley 16/2022), es contraria al art. 9.3 CE por vulneración de los principios de seguridad jurídica y de irretroactividad de las disposiciones restrictivas de derechos, mientras que los arts. 491 y 497 del texto refundido, en su redacción anterior a la dada por la Ley 16/2022, contravendrían el art. 82.5 CE.</w:t>
      </w:r>
    </w:p>
    <w:p w14:paraId="6871E62B" w14:textId="77777777" w:rsidR="00F64776" w:rsidRDefault="00F64776" w:rsidP="00F64776">
      <w:pPr>
        <w:pStyle w:val="TextoNormal"/>
      </w:pPr>
    </w:p>
    <w:p w14:paraId="209C0B8A" w14:textId="058BDB59" w:rsidR="00F64776" w:rsidRDefault="00F64776" w:rsidP="00F64776">
      <w:pPr>
        <w:pStyle w:val="TextoNormal"/>
      </w:pPr>
      <w:r>
        <w:t>El Ministerio Fiscal, en el trámite previsto en el art. 37.1 LOTC, se ha opuesto a la admisión a trámite de la presente cuestión de inconstitucionalidad, por entender que la misma no cumple los requisitos procesales exigidos por el art. 35 LOTC, así como que es notoriamente infundada.</w:t>
      </w:r>
    </w:p>
    <w:p w14:paraId="4F6FA626" w14:textId="77777777" w:rsidR="00F64776" w:rsidRDefault="00F64776" w:rsidP="00F64776">
      <w:pPr>
        <w:pStyle w:val="TextoNormal"/>
      </w:pPr>
    </w:p>
    <w:p w14:paraId="185808A9" w14:textId="77777777" w:rsidR="00F64776" w:rsidRDefault="00F64776" w:rsidP="00F64776">
      <w:pPr>
        <w:pStyle w:val="TextoNormal"/>
      </w:pPr>
      <w:r w:rsidRPr="00F64776">
        <w:rPr>
          <w:rStyle w:val="NumeroAFNegritaCaracter"/>
        </w:rPr>
        <w:t>2</w:t>
      </w:r>
      <w:r>
        <w:t xml:space="preserve">. El art. 37.1 LOTC permite a este tribunal rechazar </w:t>
      </w:r>
      <w:r w:rsidRPr="00F64776">
        <w:rPr>
          <w:i/>
        </w:rPr>
        <w:t>a limine</w:t>
      </w:r>
      <w:r>
        <w:t xml:space="preserve"> las cuestiones de inconstitucionalidad, mediante auto y sin otra audiencia que la del fiscal general del Estado, cuando faltaren las condiciones procesales o fuere notoriamente infundada la cuestión suscitada.</w:t>
      </w:r>
    </w:p>
    <w:p w14:paraId="32A8F300" w14:textId="77777777" w:rsidR="00F64776" w:rsidRDefault="00F64776" w:rsidP="00F64776">
      <w:pPr>
        <w:pStyle w:val="TextoNormal"/>
      </w:pPr>
    </w:p>
    <w:p w14:paraId="41D12929" w14:textId="77777777" w:rsidR="00F64776" w:rsidRDefault="00F64776" w:rsidP="00F64776">
      <w:pPr>
        <w:pStyle w:val="TextoNormal"/>
      </w:pPr>
      <w:r>
        <w:t>El análisis de la cuestión de inconstitucionalidad que se somete a nuestra consideración revela la concurrencia de ambos motivos de inadmisión, dado que no satisfacen las exigencias que para promoverla imponen los arts. 163 CE y 35 a 37 LOTC y es, además, notoriamente infundada.</w:t>
      </w:r>
    </w:p>
    <w:p w14:paraId="728671DD" w14:textId="77777777" w:rsidR="00F64776" w:rsidRDefault="00F64776" w:rsidP="00F64776">
      <w:pPr>
        <w:pStyle w:val="TextoNormal"/>
      </w:pPr>
    </w:p>
    <w:p w14:paraId="3AA9EFE9" w14:textId="77777777" w:rsidR="00F64776" w:rsidRDefault="00F64776" w:rsidP="00F64776">
      <w:pPr>
        <w:pStyle w:val="TextoNormal"/>
      </w:pPr>
      <w:r>
        <w:t>En cuanto a la posible inadmisión de la cuestión de inconstitucionalidad por la falta de las necesarias condiciones procesales para promoverla, este tribunal no aprecia la existencia de algunas de las causas de inadmisión planteadas por el fiscal general del Estado en sus alegaciones, si bien estima que no se ha dado adecuado cumplimiento al debido juicio de aplicabilidad en relación con algunos de los preceptos cuestionados.</w:t>
      </w:r>
    </w:p>
    <w:p w14:paraId="66605983" w14:textId="77777777" w:rsidR="00F64776" w:rsidRDefault="00F64776" w:rsidP="00F64776">
      <w:pPr>
        <w:pStyle w:val="TextoNormal"/>
      </w:pPr>
    </w:p>
    <w:p w14:paraId="13702C05" w14:textId="77777777" w:rsidR="00F64776" w:rsidRDefault="00F64776" w:rsidP="00F64776">
      <w:pPr>
        <w:pStyle w:val="TextoNormal"/>
      </w:pPr>
      <w:r>
        <w:t>Frente a lo que sostiene el fiscal, no cabe considerar que el requisito de la previa audiencia a las partes y al Ministerio Fiscal acerca de la pertinencia de plantear la cuestión de inconstitucionalidad (art. 35.2 LOTC) se haya incumplido, ni tampoco que en dicho trámite de audiencia la providencia de 22 de marzo de 2023 no cumpliera con la función que le asigna la doctrina constitucional en el sentido de situar la cuestión en sus estrictos términos constitucionales y permitir a las partes exponer su criterio al respecto.</w:t>
      </w:r>
    </w:p>
    <w:p w14:paraId="56C094BA" w14:textId="77777777" w:rsidR="00F64776" w:rsidRDefault="00F64776" w:rsidP="00F64776">
      <w:pPr>
        <w:pStyle w:val="TextoNormal"/>
      </w:pPr>
    </w:p>
    <w:p w14:paraId="740959C9" w14:textId="77777777" w:rsidR="00F64776" w:rsidRDefault="00F64776" w:rsidP="00F64776">
      <w:pPr>
        <w:pStyle w:val="TextoNormal"/>
      </w:pPr>
      <w:r>
        <w:t>En efecto, aunque la primera providencia de 8 de febrero de 2023 adoleciera de defectos puestos de manifiesto por la AEAT, tales defectos pueden considerarse subsanados por la segunda providencia dictada el día 22 de marzo de 2023, en el sentido de que esta segunda providencia identificó las normas legales cuestionadas y expuso las razones de su posible inconstitucionalidad. Por tanto, pese a las deficiencias expuestas, la finalidad del trámite de audiencia se ha atendido, por cuanto las partes y el Ministerio Fiscal han podido situar la cuestión en sus términos constitucionales y pronunciarse sobre ella. Y de los términos de la citada providencia de 22 de marzo también se desprende que el traslado a las partes realizó de forma simultánea, pues tanto las partes como el Ministerio Fiscal formularon las alegaciones que entendieron oportunas.</w:t>
      </w:r>
    </w:p>
    <w:p w14:paraId="4A3D16D4" w14:textId="77777777" w:rsidR="00F64776" w:rsidRDefault="00F64776" w:rsidP="00F64776">
      <w:pPr>
        <w:pStyle w:val="TextoNormal"/>
      </w:pPr>
    </w:p>
    <w:p w14:paraId="59988B25" w14:textId="24A1A82C" w:rsidR="00F64776" w:rsidRDefault="00F64776" w:rsidP="00F64776">
      <w:pPr>
        <w:pStyle w:val="TextoNormal"/>
      </w:pPr>
      <w:r>
        <w:t>Cuestión distinta, sin embargo, es el adecuado cumplimiento del debido juicio de aplicabilidad respecto de parte de los preceptos cuestionados, extremo que se analiza seguidamente.</w:t>
      </w:r>
    </w:p>
    <w:p w14:paraId="4373D950" w14:textId="77777777" w:rsidR="00F64776" w:rsidRDefault="00F64776" w:rsidP="00F64776">
      <w:pPr>
        <w:pStyle w:val="TextoNormal"/>
      </w:pPr>
    </w:p>
    <w:p w14:paraId="3FF5BDA1" w14:textId="77777777" w:rsidR="00F64776" w:rsidRDefault="00F64776" w:rsidP="00F64776">
      <w:pPr>
        <w:pStyle w:val="TextoNormal"/>
      </w:pPr>
      <w:r w:rsidRPr="00F64776">
        <w:rPr>
          <w:rStyle w:val="NumeroAFNegritaCaracter"/>
        </w:rPr>
        <w:t>3</w:t>
      </w:r>
      <w:r>
        <w:t>. De acuerdo con lo dispuesto en el art. 35.1 LOTC la norma ha de ser “aplicable al caso” (juicio de aplicabilidad) y, conforme al art. 35.2 LOTC, el órgano judicial deberá “especificar o justificar en qué medida la decisión del proceso depende de la validez de la norma en cuestión” (juicio de relevancia). Es esta una doble condición necesaria y sucesiva para que este proceso mantenga su naturaleza incidental y no se convierta en un juicio abstracto de constitucionalidad desligado de las circunstancias del caso concreto, lo que daría lugar a una ampliación de la legitimación para interponer el recurso abstracto o directo de inconstitucionalidad establecida en el art. 162.1 a) CE y el art. 32.1 LOTC.</w:t>
      </w:r>
    </w:p>
    <w:p w14:paraId="19220D0E" w14:textId="77777777" w:rsidR="00F64776" w:rsidRDefault="00F64776" w:rsidP="00F64776">
      <w:pPr>
        <w:pStyle w:val="TextoNormal"/>
      </w:pPr>
    </w:p>
    <w:p w14:paraId="51818F0C" w14:textId="77777777" w:rsidR="00F64776" w:rsidRDefault="00F64776" w:rsidP="00F64776">
      <w:pPr>
        <w:pStyle w:val="TextoNormal"/>
      </w:pPr>
      <w:r>
        <w:t>Conforme a reiterada doctrina, es competencia del órgano promotor de la cuestión tanto “determinar cuáles son efectivamente las normas aplicables al caso que ha de decidir” (STC 17/1981, de 1 de junio, FJ 1), como exteriorizar el juicio de relevancia, esto es, “el esquema argumental dirigido a probar que el fallo del proceso judicial depende de la validez de la norma cuestionada” (por todos, ATC 21/2001, de 30 de enero, FJ 1), pues “si bien la aplicabilidad de la norma es condición necesaria para que el fallo dependa de su validez, no es, en modo alguno, condición suficiente” (ATC 111/2018, de 16 de octubre, FJ 2).</w:t>
      </w:r>
    </w:p>
    <w:p w14:paraId="74C3EF43" w14:textId="77777777" w:rsidR="00F64776" w:rsidRDefault="00F64776" w:rsidP="00F64776">
      <w:pPr>
        <w:pStyle w:val="TextoNormal"/>
      </w:pPr>
    </w:p>
    <w:p w14:paraId="489BA586" w14:textId="77777777" w:rsidR="00F64776" w:rsidRDefault="00F64776" w:rsidP="00F64776">
      <w:pPr>
        <w:pStyle w:val="TextoNormal"/>
      </w:pPr>
      <w:r>
        <w:t>Sobre ambos juicios, de aplicabilidad y relevancia, este tribunal ejerce un control “meramente externo” (ATC 159/2016, de 20 de septiembre, FJ 2), lo que significa que debe verificar su concurrencia a fin de que no se haga un uso de la cuestión de inconstitucionalidad “no acomodado a su naturaleza y finalidad propias” (ATC 9/2019, de 12 de febrero, FJ 2, con cita de otros), pero no sustituir al órgano judicial en la determinación de ese nexo causal (STC 41/1990, de 15 de marzo, FJ 2), que es una tarea propiamente jurisdiccional y por tanto reservada a aquel (art. 117.3 CE). También hemos señalado que este tribunal debe verificar que el órgano judicial ha argumentado suficientemente la relación entre su duda de constitucionalidad y el proceso que está pendiente ante él, pues de lo contrario la cuestión de inconstitucionalidad puede perder el carácter concreto que la caracteriza.</w:t>
      </w:r>
    </w:p>
    <w:p w14:paraId="5EFC5843" w14:textId="77777777" w:rsidR="00F64776" w:rsidRDefault="00F64776" w:rsidP="00F64776">
      <w:pPr>
        <w:pStyle w:val="TextoNormal"/>
      </w:pPr>
    </w:p>
    <w:p w14:paraId="08208336" w14:textId="44691302" w:rsidR="00F64776" w:rsidRDefault="00F64776" w:rsidP="00F64776">
      <w:pPr>
        <w:pStyle w:val="TextoNormal"/>
      </w:pPr>
      <w:r>
        <w:t xml:space="preserve">Por tanto, no es, en principio, el Tribunal Constitucional quien tiene que decidir las cuestiones de hecho o de legalidad ordinaria que se susciten en el proceso </w:t>
      </w:r>
      <w:r w:rsidRPr="00F64776">
        <w:rPr>
          <w:i/>
        </w:rPr>
        <w:t>a quo</w:t>
      </w:r>
      <w:r>
        <w:t xml:space="preserve"> y que puedan tener repercusión en la relevancia de la duda de constitucionalidad que eleva el juez promotor. Estas apreciaciones corresponden inicialmente al órgano judicial en el ejercicio de la función que constitucionalmente le corresponde. Ahora bien, este tribunal debe verificar que el órgano judicial ha argumentado suficientemente la relación entre su duda de constitucionalidad y el proceso que está pendiente ante él en garantía del carácter concreto de la cuestión de inconstitucionalidad (ATC 67/2023, de 21 de febrero, citando el ATC 139/2017, de 17 de octubre, FJ 2). Consecuentemente, el Tribunal Constitucional, en el ejercicio de sus facultades de control externo del juicio formulado por los órganos judiciales al plantear la cuestión, puede declarar su inadmisibilidad por resultar inconsistente o errada la argumentación judicial sobre la aplicabilidad y relevancia de la norma cuestionada (ATC 173/2020, de 15 de diciembre, FJ 2).</w:t>
      </w:r>
    </w:p>
    <w:p w14:paraId="58A70A43" w14:textId="77777777" w:rsidR="00F64776" w:rsidRDefault="00F64776" w:rsidP="00F64776">
      <w:pPr>
        <w:pStyle w:val="TextoNormal"/>
      </w:pPr>
    </w:p>
    <w:p w14:paraId="592DA589" w14:textId="77777777" w:rsidR="00F64776" w:rsidRDefault="00F64776" w:rsidP="00F64776">
      <w:pPr>
        <w:pStyle w:val="TextoNormal"/>
      </w:pPr>
      <w:r w:rsidRPr="00F64776">
        <w:rPr>
          <w:rStyle w:val="NumeroAFNegritaCaracter"/>
        </w:rPr>
        <w:t>4</w:t>
      </w:r>
      <w:r>
        <w:t>. Conforme a la anterior doctrina, el juicio de aplicabilidad solo puede considerarse adecuadamente formulado en este caso en relación con parte de los preceptos cuestionados, teniendo en cuenta que el órgano judicial plantea una suerte de doble juicio de aplicabilidad de las normas que cuestiona.</w:t>
      </w:r>
    </w:p>
    <w:p w14:paraId="3F0F884C" w14:textId="77777777" w:rsidR="00F64776" w:rsidRDefault="00F64776" w:rsidP="00F64776">
      <w:pPr>
        <w:pStyle w:val="TextoNormal"/>
      </w:pPr>
    </w:p>
    <w:p w14:paraId="5758897A" w14:textId="77777777" w:rsidR="00F64776" w:rsidRDefault="00F64776" w:rsidP="00F64776">
      <w:pPr>
        <w:pStyle w:val="TextoNormal"/>
      </w:pPr>
      <w:r>
        <w:t xml:space="preserve">El auto de planteamiento afirma, respecto a la disposición transitoria primera, apartado 3.6, de la Ley 16/2022, en relación con el art. 489.1.5 del texto refundido de la Ley concursal, en la redacción dada por la Ley 16/2022, que la decisión final sobre la exoneración del pasivo insatisfecho depende de la validez de estas normas, por cuanto determinan que la exoneración se extienda o no a los créditos públicos no satisfechos y a su posible incardinación en un plan de pagos. Estas consideraciones ponen de manifiesto la interdependencia que existe entre la validez de las normas cuestionadas y la resolución del incidente concursal planteado por la AEAT al órgano judicial, por lo que, circunscrito a solicitudes de exoneración del pasivo que incluyan créditos públicos, ha de considerase debidamente efectuado el doble juicio de aplicabilidad y relevancia que exige el art. 35.1 LOTC, en relación con estos dos preceptos. Efectivamente, tras la aprobación de la Ley 16/2022, ambos regulan la exoneración del crédito público mediante la aprobación de un plan de pagos, en la doble perspectiva material y temporal, por lo que son aplicables y relevantes para la resolución que debe dictar el órgano judicial en el proceso </w:t>
      </w:r>
      <w:r w:rsidRPr="00F64776">
        <w:rPr>
          <w:i/>
        </w:rPr>
        <w:t>a quo</w:t>
      </w:r>
      <w:r>
        <w:t>.</w:t>
      </w:r>
    </w:p>
    <w:p w14:paraId="40051FD0" w14:textId="77777777" w:rsidR="00F64776" w:rsidRDefault="00F64776" w:rsidP="00F64776">
      <w:pPr>
        <w:pStyle w:val="TextoNormal"/>
      </w:pPr>
    </w:p>
    <w:p w14:paraId="1DE61A98" w14:textId="77777777" w:rsidR="00F64776" w:rsidRDefault="00F64776" w:rsidP="00F64776">
      <w:pPr>
        <w:pStyle w:val="TextoNormal"/>
      </w:pPr>
      <w:r>
        <w:t xml:space="preserve">No sucede lo mismo, sin embargo, con los arts. 491 y 497 del texto refundido de la Ley concursal, en la redacción anterior a la Ley 16/2022. Según el órgano judicial, de entenderse inconstitucional la disposición transitoria, estos dos preceptos resultarían de aplicación a la decisión final sobre exoneración del crédito público. Viene así a realizar una suerte de “doble juicio de aplicabilidad” sucesivo o en cascada, en virtud del cual la aplicabilidad de los arts. 491 y 497 del texto refundido está, en realidad, condicionada a la previa declaración de inconstitucionalidad de uno de los preceptos cuestionados. No puede admitirse que en este caso el juicio de aplicabilidad se haya realizado debidamente, pues la aplicabilidad al caso de la norma cuestionada depende de una circunstancia completamente ajena al proceso judicial </w:t>
      </w:r>
      <w:r w:rsidRPr="00F64776">
        <w:rPr>
          <w:i/>
        </w:rPr>
        <w:t>a quo</w:t>
      </w:r>
      <w:r>
        <w:t xml:space="preserve">, como es que este Tribunal Constitucional apreciase, en su caso, que la disposición transitoria primera, apartado 3.6 de la Ley 16/2022 es contraria al art. 9.3 CE. Nótese, a mayor abundamiento, que esta manera de afirmar la potencial aplicabilidad al caso de los arts. 491 y 497 del texto refundido de la Ley concursal es contradictoria con la argumentación dirigida a fundamentar la inconstitucionalidad de la disposición transitoria primera, apartado 3.6 de la Ley 16/2022 (que descansa precisamente en la no aplicabilidad de los arts. 491 y 497 del texto refundido —más beneficiosos para el deudor que el posterior régimen de la Ley 16/2022— debido a su supuesto carácter </w:t>
      </w:r>
      <w:r w:rsidRPr="00F64776">
        <w:rPr>
          <w:i/>
        </w:rPr>
        <w:t>ultra vires</w:t>
      </w:r>
      <w:r>
        <w:t>).</w:t>
      </w:r>
    </w:p>
    <w:p w14:paraId="7E0B82ED" w14:textId="77777777" w:rsidR="00F64776" w:rsidRDefault="00F64776" w:rsidP="00F64776">
      <w:pPr>
        <w:pStyle w:val="TextoNormal"/>
      </w:pPr>
    </w:p>
    <w:p w14:paraId="3C2CDFBA" w14:textId="20B59FEE" w:rsidR="00F64776" w:rsidRDefault="00F64776" w:rsidP="00F64776">
      <w:pPr>
        <w:pStyle w:val="TextoNormal"/>
      </w:pPr>
      <w:r>
        <w:t>Por tanto, respecto de los arts. 491 y 497 del texto refundido de la Ley concursal, en la redacción anterior a la Ley 16/2022, el juicio de aplicabilidad no puede tenerse por adecuadamente formulado, lo que conduce a la inadmisión a trámite de la cuestión de inconstitucionalidad planteada respecto de ellos.</w:t>
      </w:r>
    </w:p>
    <w:p w14:paraId="11BDEFA5" w14:textId="77777777" w:rsidR="00F64776" w:rsidRDefault="00F64776" w:rsidP="00F64776">
      <w:pPr>
        <w:pStyle w:val="TextoNormal"/>
      </w:pPr>
    </w:p>
    <w:p w14:paraId="2FF8550B" w14:textId="77777777" w:rsidR="00F64776" w:rsidRDefault="00F64776" w:rsidP="00F64776">
      <w:pPr>
        <w:pStyle w:val="TextoNormal"/>
      </w:pPr>
      <w:r w:rsidRPr="00F64776">
        <w:rPr>
          <w:rStyle w:val="NumeroAFNegritaCaracter"/>
        </w:rPr>
        <w:t>5</w:t>
      </w:r>
      <w:r>
        <w:t>. Como también pone de manifiesto el fiscal general del Estado, la presente cuestión de inconstitucionalidad ha de ser considerada notoriamente infundada, en el sentido que a dicha expresión otorga la doctrina de este tribunal (ATC 172/2020, de 15 de diciembre, FJ 2, por todos).</w:t>
      </w:r>
    </w:p>
    <w:p w14:paraId="0063164D" w14:textId="77777777" w:rsidR="00F64776" w:rsidRDefault="00F64776" w:rsidP="00F64776">
      <w:pPr>
        <w:pStyle w:val="TextoNormal"/>
      </w:pPr>
    </w:p>
    <w:p w14:paraId="1E4381F4" w14:textId="77777777" w:rsidR="00F64776" w:rsidRDefault="00F64776" w:rsidP="00F64776">
      <w:pPr>
        <w:pStyle w:val="TextoNormal"/>
      </w:pPr>
      <w:r>
        <w:t>De acuerdo con lo señalado en el fundamento jurídico anterior, este análisis ha de referirse exclusivamente a las dudas planteadas en torno a la disposición transitoria primera, apartado tercero 6 de la Ley 16/2022, en relación con el art. 489.1.5 del texto refundido de la Ley concursal, en la redacción dada por la Ley 16/2022. El primero de estos preceptos dispone la aplicación de la Ley 16/2022 a las “solicitudes de exoneración del pasivo que se presenten después de su entrada en vigor” y el segundo establece el régimen de exoneración de los créditos públicos.</w:t>
      </w:r>
    </w:p>
    <w:p w14:paraId="26C4B11F" w14:textId="77777777" w:rsidR="00F64776" w:rsidRDefault="00F64776" w:rsidP="00F64776">
      <w:pPr>
        <w:pStyle w:val="TextoNormal"/>
      </w:pPr>
    </w:p>
    <w:p w14:paraId="7EB657B2" w14:textId="00287F60" w:rsidR="00F64776" w:rsidRDefault="00F64776" w:rsidP="00F64776">
      <w:pPr>
        <w:pStyle w:val="TextoNormal"/>
      </w:pPr>
      <w:r>
        <w:t>Para el órgano judicial, dicha aplicación del régimen de exoneración de los créditos, específicamente en relación con los créditos públicos, sería contraria a los principios de irretroactividad de las normas y de seguridad jurídica por establecer un supuesto de retroactividad auténtica, en cuanto se aplicaría a concursos en los que los requisitos materiales del concurso y, por tanto, de la exoneración, ya existirían antes de la entrada en vigor de la Ley 16/2022.</w:t>
      </w:r>
    </w:p>
    <w:p w14:paraId="3CBEC628" w14:textId="77777777" w:rsidR="00F64776" w:rsidRDefault="00F64776" w:rsidP="00F64776">
      <w:pPr>
        <w:pStyle w:val="TextoNormal"/>
      </w:pPr>
    </w:p>
    <w:p w14:paraId="3D00E039" w14:textId="77777777" w:rsidR="00F64776" w:rsidRDefault="00F64776" w:rsidP="00F64776">
      <w:pPr>
        <w:pStyle w:val="TextoNormal"/>
      </w:pPr>
      <w:r w:rsidRPr="00F64776">
        <w:rPr>
          <w:rStyle w:val="NumeroAFNegritaCaracter"/>
        </w:rPr>
        <w:t>6</w:t>
      </w:r>
      <w:r>
        <w:t>. En la exposición de las razones por las que la cuestión debe considerarse infundada es preciso referirse, en primer término, a la regulación del beneficio de la exoneración del pasivo insatisfecho y al contexto en el que el órgano judicial formula la cuestión de inconstitucionalidad.</w:t>
      </w:r>
    </w:p>
    <w:p w14:paraId="48874F46" w14:textId="77777777" w:rsidR="00F64776" w:rsidRDefault="00F64776" w:rsidP="00F64776">
      <w:pPr>
        <w:pStyle w:val="TextoNormal"/>
      </w:pPr>
    </w:p>
    <w:p w14:paraId="764C684E" w14:textId="77777777" w:rsidR="00F64776" w:rsidRDefault="00F64776" w:rsidP="00F64776">
      <w:pPr>
        <w:pStyle w:val="TextoNormal"/>
      </w:pPr>
      <w:r>
        <w:t xml:space="preserve">El beneficio de la exoneración del pasivo insatisfecho se introdujo en la Ley 14/2013, de 27 de septiembre, de apoyo a los emprendedores y su internacionalización, si bien que limitado a las personas físicas empresarias. El Real Decreto-ley 1/2015, de 27 de febrero, y la posterior Ley 25/2015, de 28 de julio, de mecanismo de segunda oportunidad, reducción de la carga financiera y otras medidas de orden social, volvieron a modificar la Ley 22/2003, de 9 de julio, concursal, introduciendo un nuevo art. 178 </w:t>
      </w:r>
      <w:r w:rsidRPr="00F64776">
        <w:rPr>
          <w:i/>
        </w:rPr>
        <w:t>bis</w:t>
      </w:r>
      <w:r>
        <w:t>, añadiendo a la exoneración por acuerdo extrajudicial de pagos la posibilidad de exoneración por la vía del cumplimiento de un plan de pagos. De esta manera quedaba incorporado a nuestro ordenamiento jurídico el mecanismo de la segunda oportunidad, acercando las posiciones del deudor persona física y del deudor persona jurídica tras la conclusión de un concurso con pasivo insatisfecho.</w:t>
      </w:r>
    </w:p>
    <w:p w14:paraId="01102BAC" w14:textId="77777777" w:rsidR="00F64776" w:rsidRDefault="00F64776" w:rsidP="00F64776">
      <w:pPr>
        <w:pStyle w:val="TextoNormal"/>
      </w:pPr>
    </w:p>
    <w:p w14:paraId="0E5D1B78" w14:textId="77777777" w:rsidR="00F64776" w:rsidRDefault="00F64776" w:rsidP="00F64776">
      <w:pPr>
        <w:pStyle w:val="TextoNormal"/>
      </w:pPr>
      <w:r>
        <w:t>A partir de esta modificación, en el caso de la insolvencia de las personas físicas el ordenamiento prevé dos sistemas diferentes a los efectos de la exoneración del pasivo insatisfecho. Uno es la liquidación del patrimonio embargable y la posterior conclusión del concurso, y el otro consiste en la exoneración del pasivo sin liquidación del patrimonio y con sujeción a un plan de pagos. Tras la reforma operada por la Ley 16/2022, ese plan de pagos evita la liquidación concursal y permite al deudor afrontar, en alguna medida, el pago de los créditos exonerables (aquellos créditos en los que los acreedores no podrán ejercer ningún tipo de acción frente el deudor para su cobro, salvo la de solicitar la revocación de la exoneración, con lo que esa parte del pasivo va a quedar insatisfecha conforme a los arts. 490 y 499.1 del texto refundido de la Ley concursal). No obstante, hay determinados créditos que tienen la condición de no exonerables, esto es, que no quedan extinguidos en ningún caso pese a la conclusión del concurso, puesto que los correspondientes acreedores mantendrán sus acciones contra el deudor y podrán promover la ejecución judicial o extrajudicial de aquellos (art. 490 del texto refundido).</w:t>
      </w:r>
    </w:p>
    <w:p w14:paraId="2B131767" w14:textId="77777777" w:rsidR="00F64776" w:rsidRDefault="00F64776" w:rsidP="00F64776">
      <w:pPr>
        <w:pStyle w:val="TextoNormal"/>
      </w:pPr>
    </w:p>
    <w:p w14:paraId="1A01A9C2" w14:textId="77777777" w:rsidR="00F64776" w:rsidRDefault="00F64776" w:rsidP="00F64776">
      <w:pPr>
        <w:pStyle w:val="TextoNormal"/>
      </w:pPr>
      <w:r>
        <w:t>El problema se traba en torno a la consideración de los términos en los que los créditos públicos pueden ser considerados no exonerables y, por tanto, exigibles, cuestión respecto a la que han existido cambios en la legislación.</w:t>
      </w:r>
    </w:p>
    <w:p w14:paraId="6B1E683F" w14:textId="77777777" w:rsidR="00F64776" w:rsidRDefault="00F64776" w:rsidP="00F64776">
      <w:pPr>
        <w:pStyle w:val="TextoNormal"/>
      </w:pPr>
    </w:p>
    <w:p w14:paraId="4DD7AE46" w14:textId="77777777" w:rsidR="00F64776" w:rsidRDefault="00F64776" w:rsidP="00F64776">
      <w:pPr>
        <w:pStyle w:val="TextoNormal"/>
      </w:pPr>
      <w:r>
        <w:t xml:space="preserve">En efecto, el art. 178 </w:t>
      </w:r>
      <w:r w:rsidRPr="00F64776">
        <w:rPr>
          <w:i/>
        </w:rPr>
        <w:t>bis</w:t>
      </w:r>
      <w:r>
        <w:t xml:space="preserve">,  apartado 3.4 de la Ley concursal regulaba la llamada exoneración directa, basada en la satisfacción o pago de los créditos privilegiados y contra la masa y si no se había intentado un acuerdo extrajudicial de pagos, del 25 por 100 de los créditos ordinarios. Que el sistema de exoneración directa del art. 178 </w:t>
      </w:r>
      <w:r w:rsidRPr="00F64776">
        <w:rPr>
          <w:i/>
        </w:rPr>
        <w:t>bis</w:t>
      </w:r>
      <w:r>
        <w:t xml:space="preserve">, apartado 3.4, tuviera como efecto la exoneración de la totalidad del pasivo no satisfecho, sin la excepción del crédito público, era una cuestión indubitada por la doctrina e indiscutida en los juzgados y tribunales. La única discusión se centraba en el alcance de la exoneración en el otro sistema, esto es, el de la exoneración provisional mediante plan de pagos, pues el art. 178 </w:t>
      </w:r>
      <w:r w:rsidRPr="00F64776">
        <w:rPr>
          <w:i/>
        </w:rPr>
        <w:t>bis</w:t>
      </w:r>
      <w:r>
        <w:t xml:space="preserve">, apartado 5.1, aplicable únicamente a este sistema, exceptuaba al crédito público y por alimentos del alcance de la exoneración provisional. Sin embargo, el párrafo primero del art.178 </w:t>
      </w:r>
      <w:r w:rsidRPr="00F64776">
        <w:rPr>
          <w:i/>
        </w:rPr>
        <w:t>bis</w:t>
      </w:r>
      <w:r>
        <w:t xml:space="preserve">, apartado 6, comenzaba diciendo que los créditos no exonerados según el apartado anterior (entre los que se debían incluir los créditos públicos) podían ser exonerados a través del plan de pagos. Si bien a continuación parecía remitir al sistema administrativo de aplazamiento y fraccionamiento para los créditos públicos (último párrafo del art. 178 </w:t>
      </w:r>
      <w:r w:rsidRPr="00F64776">
        <w:rPr>
          <w:i/>
        </w:rPr>
        <w:t>bis</w:t>
      </w:r>
      <w:r>
        <w:t>, apartado 6: “Respecto a los créditos de derecho público, la tramitación de las solicitudes de aplazamiento o fraccionamiento se regirá por lo dispuesto en su normativa específica”). Esta aparente contradicción de la regulación anterior a la refundición de la Ley concursal fue objeto de interpretación por la STS 381/2019, de 2 de julio, dictada por el Pleno de la Sala de lo Civil del Tribunal Supremo, en el sentido de entender que el crédito público podía ser objeto de exoneración provisional y objeto de satisfacción a través del sistema de plan de pagos mediante la inclusión del crédito público no satisfecho en el mismo.</w:t>
      </w:r>
    </w:p>
    <w:p w14:paraId="1848DF36" w14:textId="77777777" w:rsidR="00F64776" w:rsidRDefault="00F64776" w:rsidP="00F64776">
      <w:pPr>
        <w:pStyle w:val="TextoNormal"/>
      </w:pPr>
    </w:p>
    <w:p w14:paraId="6AE34D39" w14:textId="77777777" w:rsidR="00F64776" w:rsidRDefault="00F64776" w:rsidP="00F64776">
      <w:pPr>
        <w:pStyle w:val="TextoNormal"/>
      </w:pPr>
      <w:r>
        <w:t>Posteriormente los arts. 491 y 497 del texto refundido de la Ley concursal, aprobado por Real Decreto Legislativo 1/2020, se apartaron del criterio jurisprudencial anterior y excluyeron expresamente a los créditos públicos del régimen especial del beneficio de la exoneración del pasivo insatisfecho, lo que implicaba que no se permitía que el plan de pagos incluyese ningún tipo de crédito público, quedando al deudor la posibilidad de solicitar el aplazamiento ante las administraciones públicas correspondientes, sin que los acreedores públicos se viesen vinculados por la aprobación judicial del plan de pagos.</w:t>
      </w:r>
    </w:p>
    <w:p w14:paraId="4FDB80EA" w14:textId="77777777" w:rsidR="00F64776" w:rsidRDefault="00F64776" w:rsidP="00F64776">
      <w:pPr>
        <w:pStyle w:val="TextoNormal"/>
      </w:pPr>
    </w:p>
    <w:p w14:paraId="31E2A7AE" w14:textId="77777777" w:rsidR="00F64776" w:rsidRDefault="00F64776" w:rsidP="00F64776">
      <w:pPr>
        <w:pStyle w:val="TextoNormal"/>
      </w:pPr>
      <w:r>
        <w:t xml:space="preserve">A juicio del órgano judicial que ahora plantea la cuestión, la regulación recién descrita modificó por completo una norma clara e indiscutida del sistema llamado a refundir, pues reguló de manera contraria a la norma refundida los efectos de la exoneración, alterando con ello el difícil equilibrio de derechos que regula dicho sistema y por tanto la igualdad de trato de los acreedores, sin que esta alteración pueda ser considerada una aclaración, regularización o sistematización de la norma vigente, sino un </w:t>
      </w:r>
      <w:r w:rsidRPr="00F64776">
        <w:rPr>
          <w:i/>
        </w:rPr>
        <w:t>ultra vires</w:t>
      </w:r>
      <w:r>
        <w:t xml:space="preserve">. A su juicio, el mandato impuesto por la disposición final octava de la Ley 9/2015, de 25 de mayo, de medidas urgentes en materia concursal, que otorgaba al Gobierno un plazo de doce meses para aprobar un texto refundido de la Ley concursal, y que incluía la facultad de regularizar, aclarar y armonizar los textos legales a refundir, imponía al Gobierno realizar esta función respetando la jurisprudencia, no regulando en contra de ella, pues para esto último sería necesaria una norma con rango de ley. En otras palabras, para el órgano judicial el hecho de que aplicar el texto refundido de la Ley concursal comporte inaplicar la jurisprudencia sobre los preceptos refundidos es un claro signo de que estamos ante un </w:t>
      </w:r>
      <w:r w:rsidRPr="00F64776">
        <w:rPr>
          <w:i/>
        </w:rPr>
        <w:t>ultra vires</w:t>
      </w:r>
      <w:r>
        <w:t>, ya que la refundición no puede obviar el sentido dado por la jurisprudencia a la norma legal objeto de refundición, por lo que el texto refundido debe ser interpretado de conformidad con esa jurisprudencia.</w:t>
      </w:r>
    </w:p>
    <w:p w14:paraId="5916D717" w14:textId="77777777" w:rsidR="00F64776" w:rsidRDefault="00F64776" w:rsidP="00F64776">
      <w:pPr>
        <w:pStyle w:val="TextoNormal"/>
      </w:pPr>
    </w:p>
    <w:p w14:paraId="02794AFD" w14:textId="366F37D9" w:rsidR="00F64776" w:rsidRDefault="00F64776" w:rsidP="00F64776">
      <w:pPr>
        <w:pStyle w:val="TextoNormal"/>
      </w:pPr>
      <w:r>
        <w:t xml:space="preserve">Finalmente, la Ley 16/2022, en su art. único, apartado ciento treinta, modificó el régimen del beneficio de la exoneración del pasivo insatisfecho en los términos que ya se han mencionado y de los que resulta, por lo que ahora importa, que la exoneración del pasivo insatisfecho no se extiende, según el modificado art. 489.5 del texto refundido de la Ley concursal, a las deudas por créditos de derecho público, si bien “las deudas para cuya gestión recaudatoria resulte competente la Agencia Estatal de Administración Tributaria podrán exonerarse hasta el importe máximo de diez mil euros por deudor; para los primeros cinco mil euros de deuda la exoneración será integra, y a partir de esta cifra la exoneración alcanzará el cincuenta por ciento de la deuda hasta el máximo indicado. Asimismo, las deudas por créditos en seguridad social podrán exonerarse por el mismo importe y en las mismas condiciones”. Es la aplicación de este régimen en el caso </w:t>
      </w:r>
      <w:r w:rsidRPr="00F64776">
        <w:rPr>
          <w:i/>
        </w:rPr>
        <w:t>a quo</w:t>
      </w:r>
      <w:r>
        <w:t>, derivado del régimen transitorio previsto en la Ley 16/2022 lo que ha hecho que el órgano judicial considere que es contrario al art. 9.3 CE.</w:t>
      </w:r>
    </w:p>
    <w:p w14:paraId="18C22A50" w14:textId="77777777" w:rsidR="00F64776" w:rsidRDefault="00F64776" w:rsidP="00F64776">
      <w:pPr>
        <w:pStyle w:val="TextoNormal"/>
      </w:pPr>
    </w:p>
    <w:p w14:paraId="746255EE" w14:textId="77777777" w:rsidR="00F64776" w:rsidRDefault="00F64776" w:rsidP="00F64776">
      <w:pPr>
        <w:pStyle w:val="TextoNormal"/>
      </w:pPr>
      <w:r w:rsidRPr="00F64776">
        <w:rPr>
          <w:rStyle w:val="NumeroAFNegritaCaracter"/>
        </w:rPr>
        <w:t>7</w:t>
      </w:r>
      <w:r>
        <w:t>. Atendiendo al planteamiento del órgano judicial procede ahora referirse a la doctrina constitucional en relación con el principio de irretroactividad de disposición restrictiva de un derecho ya consolidado (art. 9.3 CE). La invocación del principio de seguridad jurídica que se hace en el auto de planteamiento se vincula a la denuncia de vulneración del principio de irretroactividad de las disposiciones sancionadoras no favorables o restrictivas de derechos individuales, al considerar que se trata de un caso de retroactividad auténtica. En esa situación, la pretendida lesión de la seguridad jurídica es una cuestión que solo puede resolverse caso por caso, teniendo en cuenta, de un lado, el grado de retroactividad de la norma y, de otro, las circunstancias que concurran en cada supuesto (SSTC 126/1987, FJ 11; 150/1990, de 4 de octubre, FJ 8; 197/1992, de 19 de noviembre, FJ 4; 173/1996, de 31 de octubre, FJ 3; 182/1997, de 28 de octubre, FJ 11; 234/2001, de 13 de diciembre, FJ 10; 116/2009, de 18 de mayo, FJ 3, y 181/2016, de 20 de octubre, FJ 4), cuestión que se examina a continuación.</w:t>
      </w:r>
    </w:p>
    <w:p w14:paraId="17CCA41D" w14:textId="77777777" w:rsidR="00F64776" w:rsidRDefault="00F64776" w:rsidP="00F64776">
      <w:pPr>
        <w:pStyle w:val="TextoNormal"/>
      </w:pPr>
    </w:p>
    <w:p w14:paraId="14835CA4" w14:textId="77777777" w:rsidR="00F64776" w:rsidRDefault="00F64776" w:rsidP="00F64776">
      <w:pPr>
        <w:pStyle w:val="TextoNormal"/>
      </w:pPr>
      <w:r>
        <w:t>Lo que el art. 9.3 CE prohíbe es la “incidencia de la nueva ley en los efectos jurídicos ya producidos de situaciones anteriores, de suerte que la incidencia en los derechos, en cuanto a su proyección hacia el futuro, no pertenece al campo estricto de la irretroactividad” (STC 42/1986, de 10 de abril). Como ha reiterado este tribunal, “la eficacia y protección del derecho individual —nazca de una relación pública o de una privada— dependerá de su naturaleza y de su asunción más o menos plena por el sujeto, de su ingreso en el patrimonio del individuo, de manera que la irretroactividad solo es aplicable a los derechos consolidados, asumidos e integrados en el patrimonio del sujeto y no a los pendientes, futuros, condicionados y expectativas [por todas, SSTC 99/1987, de 11 de junio, FJ 6 b), o 178/1989, de 2 de noviembre, FJ 9], de lo que se deduce que solo puede afirmarse que una norma es retroactiva, a los efectos del artículo 9.3 CE, cuando incide sobre ‘relaciones consagradas’ y afecta a ‘situaciones agotadas’ [por todas, STC 99/1987, de 11 de junio, FJ 6 b)]” (STC 112/2006, de 5 de abril, FJ 17).</w:t>
      </w:r>
    </w:p>
    <w:p w14:paraId="3B74FA47" w14:textId="77777777" w:rsidR="00F64776" w:rsidRDefault="00F64776" w:rsidP="00F64776">
      <w:pPr>
        <w:pStyle w:val="TextoNormal"/>
      </w:pPr>
    </w:p>
    <w:p w14:paraId="4046406C" w14:textId="125EF1EF" w:rsidR="00F64776" w:rsidRDefault="00F64776" w:rsidP="00F64776">
      <w:pPr>
        <w:pStyle w:val="TextoNormal"/>
      </w:pPr>
      <w:r>
        <w:t xml:space="preserve">En concreto, en situaciones de cambio normativo la doctrina constitucional ha distinguido entre las disposiciones legales que pretenden anudar efectos a situaciones de hecho producidas o desarrolladas con anterioridad a la propia ley (la llamada retroactividad auténtica) y las que pretenden incidir sobre situaciones o relaciones jurídicas actuales aún no concluidas (retroactividad impropia). La primera, la retroactividad auténtica, que es la que aprecia el órgano judicial en el caso </w:t>
      </w:r>
      <w:r w:rsidRPr="00F64776">
        <w:rPr>
          <w:i/>
        </w:rPr>
        <w:t>a quo</w:t>
      </w:r>
      <w:r>
        <w:t>, tiene lugar cuando la norma pretende anudar sus efectos a situaciones de hecho producidas con anterioridad a la propia ley y ya consumadas. En este caso solo exigencias cualificadas “del bien común” (STC 126/1987, de 16 de julio, FJ 11) o de “interés general” [STC 182/1997, FJ 11 d)], podrían imponer “el sacrificio del principio de seguridad jurídica” [STC 182/1997, FJ 11 d)], lo que ha de determinarse en una ponderación caso a caso.</w:t>
      </w:r>
    </w:p>
    <w:p w14:paraId="041BB963" w14:textId="77777777" w:rsidR="00F64776" w:rsidRDefault="00F64776" w:rsidP="00F64776">
      <w:pPr>
        <w:pStyle w:val="TextoNormal"/>
      </w:pPr>
    </w:p>
    <w:p w14:paraId="60C8DAFD" w14:textId="77777777" w:rsidR="00F64776" w:rsidRDefault="00F64776" w:rsidP="00F64776">
      <w:pPr>
        <w:pStyle w:val="TextoNormal"/>
      </w:pPr>
      <w:r w:rsidRPr="00F64776">
        <w:rPr>
          <w:rStyle w:val="NumeroAFNegritaCaracter"/>
        </w:rPr>
        <w:t>8</w:t>
      </w:r>
      <w:r>
        <w:t>. La cuestionada es una regla de derecho transitorio de los procedimientos en curso. En el régimen transitorio que allí se diseña, los concursos declarados antes de la entrada en vigor de esa ley se regirán por lo establecido en la legislación anterior, pero de esa vigencia de la legislación anterior se excepcionan, entre otras, las solicitudes de exoneración del pasivo.</w:t>
      </w:r>
    </w:p>
    <w:p w14:paraId="763989FE" w14:textId="77777777" w:rsidR="00F64776" w:rsidRDefault="00F64776" w:rsidP="00F64776">
      <w:pPr>
        <w:pStyle w:val="TextoNormal"/>
      </w:pPr>
    </w:p>
    <w:p w14:paraId="4B6D7F72" w14:textId="77777777" w:rsidR="00F64776" w:rsidRDefault="00F64776" w:rsidP="00F64776">
      <w:pPr>
        <w:pStyle w:val="TextoNormal"/>
      </w:pPr>
      <w:r>
        <w:t xml:space="preserve">En el caso </w:t>
      </w:r>
      <w:r w:rsidRPr="00F64776">
        <w:rPr>
          <w:i/>
        </w:rPr>
        <w:t>a quo</w:t>
      </w:r>
      <w:r>
        <w:t>, lo que sucede es que el concurso se declara mediante auto de 24 de octubre de 2021, pero la solicitud de beneficio de la exoneración del pasivo insatisfecho no se presenta hasta cerca de un año después, el día 11 de octubre de 2022, ya bajo la vigencia de la Ley 16/2022, encontrándose aún abierto el procedimiento concursal en la actualidad. No cabe apreciar, por tanto, la retroactividad auténtica a la que alude el órgano judicial, en la medida en que no afecta a situaciones que puedan considerarse agotadas, por cuanto el concurso no estaba concluso cuando la especifica regulación de la Ley 16/2022 que aquí se cuestiona entró en vigor a los veinte días de su publicación en el “Boletín Oficial del Estado”, esto es, el 26 de septiembre de 2022 (disposición final decimonovena).</w:t>
      </w:r>
    </w:p>
    <w:p w14:paraId="37AA9398" w14:textId="77777777" w:rsidR="00F64776" w:rsidRDefault="00F64776" w:rsidP="00F64776">
      <w:pPr>
        <w:pStyle w:val="TextoNormal"/>
      </w:pPr>
    </w:p>
    <w:p w14:paraId="072C9669" w14:textId="77777777" w:rsidR="00F64776" w:rsidRDefault="00F64776" w:rsidP="00F64776">
      <w:pPr>
        <w:pStyle w:val="TextoNormal"/>
      </w:pPr>
      <w:r>
        <w:t>Es, por otra parte, razonable que el legislador, en uso del margen del que dispone para regular el derecho transitorio en situaciones de cambio normativo, haya designado ese momento temporal para la aplicación del régimen de exoneración de créditos públicos que deriva de la Ley 16/2022. La exoneración con plan de pagos requiere no solamente la apertura del concurso, sino que el deudor lo solicite expresamente, ya que no es un efecto automático de la apertura del concurso (art. 486 en relación con el art. 495 del texto refundido de la Ley concursal) y, por otra parte, también requiere de una decisión específica del juez, previo traslado a los acreedores personados, en la que “previa verificación de la concurrencia de los presupuestos y requisitos establecidos en esta ley, del contenido del plan de pagos y de las posibilidades objetivas de que pueda ser cumplido, denegará o concederá provisionalmente la exoneración del pasivo insatisfecho, con aprobación del plan de pagos en los términos de la propuesta o con las modificaciones que estime oportunas, consten o no en las alegaciones de los acreedores” (art. 498.2 del texto refundido).</w:t>
      </w:r>
    </w:p>
    <w:p w14:paraId="25C0C6C5" w14:textId="77777777" w:rsidR="00F64776" w:rsidRDefault="00F64776" w:rsidP="00F64776">
      <w:pPr>
        <w:pStyle w:val="TextoNormal"/>
      </w:pPr>
    </w:p>
    <w:p w14:paraId="56D333E2" w14:textId="77777777" w:rsidR="00F64776" w:rsidRDefault="00F64776" w:rsidP="00F64776">
      <w:pPr>
        <w:pStyle w:val="TextoNormal"/>
      </w:pPr>
      <w:r>
        <w:t>Finalmente, como entre otras muchas recuerda la STC 49/2015, de 5 de marzo, “el principio de irretroactividad de las leyes consagrado en el art. 9.3 CE ‘no es un principio general, sino que está referido exclusivamente a las leyes ex post facto sancionadoras o restrictivas de derechos individuales (SSTC 27/1981, 6/1983, y 150/1990)’ (STC 173/1996, de 31 de octubre, FJ 3). Fuera de estos dos ámbitos, nada impide constitucionalmente al legislador dotar a la ley del grado de retroactividad que considere oportuno” [FJ 4 a)]. Y los preceptos cuestionados no tienen carácter sancionador ni afectan a derechos individuales en el sentido que a esa expresión ha dado este tribunal, pues la expresión “restricción de derechos individuales” del art. 9.3 CE ha de equipararse a la idea de sanción, por lo cual el límite de dicho artículo hay que considerar que se refiere a las limitaciones introducidas en el ámbito de los derechos fundamentales y de las libertades públicas (del título I de la Constitución) o en la esfera general de protección de la persona (SSTC 104/2000, de 13 de abril, FJ 6; 131/2001, de 7 de junio, FJ 5; 112/2006, de 5 de abril, FJ 17; 89/2009, de 20 de abril, FJ 4; 90/2009, de 20 de abril, FJ 4, y 100/2012, de 8 de mayo, FJ 10).</w:t>
      </w:r>
    </w:p>
    <w:p w14:paraId="13AD3412" w14:textId="77777777" w:rsidR="00F64776" w:rsidRDefault="00F64776" w:rsidP="00F64776">
      <w:pPr>
        <w:pStyle w:val="TextoNormal"/>
      </w:pPr>
    </w:p>
    <w:p w14:paraId="4499B208" w14:textId="76B36596" w:rsidR="00F64776" w:rsidRDefault="00F64776" w:rsidP="00F64776">
      <w:pPr>
        <w:pStyle w:val="TextoNormal"/>
      </w:pPr>
      <w:r>
        <w:t>En suma, de acuerdo con lo razonado, no hay vulneración del art. 9.3 CE.</w:t>
      </w:r>
    </w:p>
    <w:p w14:paraId="3872D5EE" w14:textId="77777777" w:rsidR="00F64776" w:rsidRDefault="00F64776" w:rsidP="00F64776">
      <w:pPr>
        <w:pStyle w:val="TextoNormal"/>
      </w:pPr>
    </w:p>
    <w:p w14:paraId="14583056" w14:textId="77777777" w:rsidR="00F64776" w:rsidRDefault="00F64776" w:rsidP="00F64776">
      <w:pPr>
        <w:pStyle w:val="TextoNormal"/>
      </w:pPr>
      <w:r w:rsidRPr="00F64776">
        <w:rPr>
          <w:rStyle w:val="NumeroAFNegritaCaracter"/>
        </w:rPr>
        <w:t>9</w:t>
      </w:r>
      <w:r>
        <w:t xml:space="preserve">. Del auto de planteamiento de la cuestión de inconstitucionalidad se desprende que al órgano judicial </w:t>
      </w:r>
      <w:r w:rsidRPr="00F64776">
        <w:rPr>
          <w:i/>
        </w:rPr>
        <w:t>a quo</w:t>
      </w:r>
      <w:r>
        <w:t xml:space="preserve"> le parece una opción legislativa más preferible, en punto a la exoneración del crédito público, la que deriva de la aplicación del régimen del inicial art. 178 </w:t>
      </w:r>
      <w:r w:rsidRPr="00F64776">
        <w:rPr>
          <w:i/>
        </w:rPr>
        <w:t>bis</w:t>
      </w:r>
      <w:r>
        <w:t xml:space="preserve"> de la Ley concursal y de la posterior sentencia del Tribunal Supremo de 2 de julio de 2019 que interpreta dicho régimen, extendiendo la exoneración al crédito público en los supuestos de aprobación de un plan de pagos. Eso es, sin duda, legítimo, pero los preceptos cuestionados no pueden reputarse inconstitucionales por las razones que sostiene el órgano judicial. En tal sentido, si hemos afirmado que un órgano judicial no se encuentra vinculado por sus resoluciones precedentes, de las que puede apartarse mediante un razonamiento fundado, exento de arbitrariedad (SSTC 150/2001, de 2 de julio, FFJJ 3 y 4; 162/2001, de 5 de julio, FFJJ 2 y 4, y 229/2001, de 26 de noviembre, FFJJ 2 y 4), menos aún el criterio de un órgano judicial puede constreñir el ejercicio de potestades propias de las Cortes Generales y la libertad de configuración del legislador.</w:t>
      </w:r>
    </w:p>
    <w:p w14:paraId="25BBA321" w14:textId="77777777" w:rsidR="00F64776" w:rsidRDefault="00F64776" w:rsidP="00F64776">
      <w:pPr>
        <w:pStyle w:val="TextoNormal"/>
      </w:pPr>
    </w:p>
    <w:p w14:paraId="31BDC389" w14:textId="4C84EFD4" w:rsidR="00F64776" w:rsidRDefault="00F64776" w:rsidP="00F64776">
      <w:pPr>
        <w:pStyle w:val="TextoNormal"/>
      </w:pPr>
      <w:r>
        <w:t>Por último, debe advertirse que la cuestión de inconstitucionalidad no es cauce procesal idóneo para que los órganos jurisdiccionales puedan cuestionar de modo genérico o abstracto la constitucionalidad de un régimen o esquema legal por contraste con un modelo alternativo que no corresponde valorar a este Tribunal Constitucional por ser materia de la exclusiva competencia del legislador, que dispone, dentro de los límites constitucionales, de un amplio margen de libertad de elección que este tribunal ni puede ni debe restringir (en este sentido, AATC 113/2011, de 19 de julio, FJ 4 y 91/2020, de 9 de septiembre, FJ 3).</w:t>
      </w:r>
    </w:p>
    <w:p w14:paraId="22118299" w14:textId="77777777" w:rsidR="00F64776" w:rsidRDefault="00F64776" w:rsidP="00F64776">
      <w:pPr>
        <w:pStyle w:val="TextoNormal"/>
      </w:pPr>
    </w:p>
    <w:p w14:paraId="5BA0141C" w14:textId="77777777" w:rsidR="00F64776" w:rsidRDefault="00F64776" w:rsidP="00F64776">
      <w:pPr>
        <w:pStyle w:val="TextoNormal"/>
      </w:pPr>
      <w:r>
        <w:t>Por lo expuesto, el Pleno</w:t>
      </w:r>
    </w:p>
    <w:p w14:paraId="6D041015" w14:textId="4FE9E918" w:rsidR="00F64776" w:rsidRDefault="00F64776" w:rsidP="00F64776">
      <w:pPr>
        <w:pStyle w:val="TextoNormal"/>
      </w:pPr>
    </w:p>
    <w:p w14:paraId="4529FE1B" w14:textId="77777777" w:rsidR="00F64776" w:rsidRDefault="00F64776" w:rsidP="00F64776">
      <w:pPr>
        <w:pStyle w:val="TextoNormalCentrado"/>
      </w:pPr>
      <w:r>
        <w:t>ACUERDA</w:t>
      </w:r>
    </w:p>
    <w:p w14:paraId="47FB6078" w14:textId="11B0C2B3" w:rsidR="00F64776" w:rsidRDefault="00F64776" w:rsidP="00F64776">
      <w:pPr>
        <w:pStyle w:val="TextoNormalCentrado"/>
      </w:pPr>
    </w:p>
    <w:p w14:paraId="125A9315" w14:textId="37C93551" w:rsidR="00F64776" w:rsidRDefault="00F64776" w:rsidP="00F64776">
      <w:pPr>
        <w:pStyle w:val="TextoNormal"/>
      </w:pPr>
      <w:r>
        <w:t>Inadmitir a trámite la presente cuestión de inconstitucionalidad.</w:t>
      </w:r>
    </w:p>
    <w:p w14:paraId="0AB540D2" w14:textId="77777777" w:rsidR="00F64776" w:rsidRDefault="00F64776" w:rsidP="00F64776">
      <w:pPr>
        <w:pStyle w:val="TextoNormal"/>
      </w:pPr>
    </w:p>
    <w:p w14:paraId="38EB24A5" w14:textId="77777777" w:rsidR="00F64776" w:rsidRDefault="00F64776" w:rsidP="00F64776">
      <w:pPr>
        <w:pStyle w:val="TextoNormal"/>
      </w:pPr>
      <w:r>
        <w:t>Madrid, a seis de noviembre de dos mil veintitrés.</w:t>
      </w:r>
    </w:p>
    <w:p w14:paraId="2F46D959" w14:textId="4C0CE507" w:rsidR="00F64776" w:rsidRDefault="00F64776">
      <w:pPr>
        <w:spacing w:after="160" w:line="278" w:lineRule="auto"/>
        <w:rPr>
          <w:rFonts w:ascii="Times New Roman" w:eastAsia="Times New Roman" w:hAnsi="Times New Roman" w:cs="Times New Roman"/>
          <w:sz w:val="24"/>
          <w:szCs w:val="24"/>
          <w:lang w:eastAsia="es-ES"/>
        </w:rPr>
      </w:pPr>
      <w:r>
        <w:br w:type="page"/>
      </w:r>
    </w:p>
    <w:p w14:paraId="4ADA4E79" w14:textId="77777777" w:rsidR="00F64776" w:rsidRDefault="00F64776" w:rsidP="00F64776">
      <w:pPr>
        <w:pStyle w:val="TtuloResolucin"/>
      </w:pPr>
      <w:bookmarkStart w:id="321" w:name="AUTO_2023_536"/>
      <w:r>
        <w:t>AUTO 536/2023, de 6 de noviembre de 2023</w:t>
      </w:r>
    </w:p>
    <w:bookmarkEnd w:id="321"/>
    <w:p w14:paraId="74556600" w14:textId="77777777" w:rsidR="00F64776" w:rsidRDefault="00F64776" w:rsidP="00F64776">
      <w:pPr>
        <w:pStyle w:val="TtuloResolucin"/>
      </w:pPr>
      <w:r>
        <w:t>Sección Primera</w:t>
      </w:r>
    </w:p>
    <w:p w14:paraId="02446563" w14:textId="77777777" w:rsidR="00F64776" w:rsidRDefault="00F64776" w:rsidP="00F64776">
      <w:pPr>
        <w:pStyle w:val="TextoNormalCentrado"/>
      </w:pPr>
      <w:r>
        <w:t>ECLI:ES:TC:2023:536A</w:t>
      </w:r>
    </w:p>
    <w:p w14:paraId="5A1A535C" w14:textId="3EFCC5FE" w:rsidR="00F64776" w:rsidRDefault="00F64776" w:rsidP="00F64776">
      <w:pPr>
        <w:pStyle w:val="TextoNormalCentrado"/>
      </w:pPr>
    </w:p>
    <w:p w14:paraId="219E1F89" w14:textId="77777777" w:rsidR="00F64776" w:rsidRDefault="00F64776" w:rsidP="00F64776">
      <w:pPr>
        <w:pStyle w:val="SntesisDescriptiva"/>
      </w:pPr>
      <w:r>
        <w:t>Excms. Srs. doña Concepción Espejel Jorquera y doña María Luisa Segoviano Astaburuaga.</w:t>
      </w:r>
    </w:p>
    <w:p w14:paraId="3323FBAA" w14:textId="067A6C6C" w:rsidR="00F64776" w:rsidRDefault="00F64776" w:rsidP="00F64776">
      <w:pPr>
        <w:pStyle w:val="SntesisDescriptiva"/>
      </w:pPr>
    </w:p>
    <w:p w14:paraId="33AA40B9" w14:textId="77777777" w:rsidR="00F64776" w:rsidRDefault="00F64776" w:rsidP="00F64776">
      <w:pPr>
        <w:pStyle w:val="SntesisDescriptiva"/>
      </w:pPr>
      <w:r>
        <w:t>Acepta una abstención en el recurso de amparo 5266-2023, promovido en causa penal.</w:t>
      </w:r>
    </w:p>
    <w:p w14:paraId="3B6FDC58" w14:textId="4D64EB78" w:rsidR="00F64776" w:rsidRDefault="00F64776" w:rsidP="00F64776">
      <w:pPr>
        <w:pStyle w:val="SntesisDescriptiva"/>
      </w:pPr>
    </w:p>
    <w:p w14:paraId="7E1A8117" w14:textId="77777777" w:rsidR="00F64776" w:rsidRDefault="00F64776" w:rsidP="00F64776">
      <w:pPr>
        <w:pStyle w:val="SntesisDescriptiva"/>
      </w:pPr>
    </w:p>
    <w:p w14:paraId="35CBBED6" w14:textId="77777777" w:rsidR="00F64776" w:rsidRDefault="00F64776" w:rsidP="00F64776">
      <w:pPr>
        <w:pStyle w:val="SntesisDescriptiva"/>
      </w:pPr>
    </w:p>
    <w:p w14:paraId="35052E5F" w14:textId="77777777" w:rsidR="00F64776" w:rsidRDefault="00F64776" w:rsidP="00F64776">
      <w:pPr>
        <w:pStyle w:val="TextoNormalNegritaCentrado"/>
      </w:pPr>
      <w:r>
        <w:t>AUTO</w:t>
      </w:r>
    </w:p>
    <w:p w14:paraId="4F6D9D13" w14:textId="3B2FD4D8" w:rsidR="00F64776" w:rsidRDefault="00F64776" w:rsidP="00F64776">
      <w:pPr>
        <w:pStyle w:val="TextoNormalNegritaCentrado"/>
      </w:pPr>
    </w:p>
    <w:p w14:paraId="76505F19" w14:textId="77777777" w:rsidR="00F64776" w:rsidRDefault="00F64776" w:rsidP="00F64776">
      <w:pPr>
        <w:pStyle w:val="TextoNormalNegritaCentrado"/>
        <w:keepNext/>
      </w:pPr>
      <w:r>
        <w:t>I. Antecedentes</w:t>
      </w:r>
    </w:p>
    <w:p w14:paraId="4D61D98F" w14:textId="3DE4319E" w:rsidR="00F64776" w:rsidRDefault="00F64776" w:rsidP="00F64776">
      <w:pPr>
        <w:pStyle w:val="TextoNormalNegritaCentrado"/>
        <w:keepNext/>
      </w:pPr>
    </w:p>
    <w:p w14:paraId="084D1E2B" w14:textId="77777777" w:rsidR="00F64776" w:rsidRDefault="00F64776" w:rsidP="00F64776">
      <w:pPr>
        <w:pStyle w:val="TextoNormal"/>
      </w:pPr>
      <w:r w:rsidRPr="00F64776">
        <w:rPr>
          <w:rStyle w:val="TextoNormalNegritaCaracter"/>
        </w:rPr>
        <w:t xml:space="preserve">Único. </w:t>
      </w:r>
      <w:r>
        <w:t>En el recurso de amparo núm. 5266-2023 don Julio Vales Ponte ha impugnado las resoluciones judiciales indicadas en el encabezamiento de este auto, a las que atribuye haber vulnerado su derecho a la tutela judicial efectiva (art. 24.1 CE), en su vertiente de derecho a obtener una resolución fundada y congruente que cumpla los cánones de una argumentación razonable y lógica.</w:t>
      </w:r>
    </w:p>
    <w:p w14:paraId="21492C52" w14:textId="77777777" w:rsidR="00F64776" w:rsidRDefault="00F64776" w:rsidP="00F64776">
      <w:pPr>
        <w:pStyle w:val="TextoNormal"/>
      </w:pPr>
    </w:p>
    <w:p w14:paraId="174E05E5" w14:textId="4415F036" w:rsidR="00F64776" w:rsidRDefault="00F64776" w:rsidP="00F64776">
      <w:pPr>
        <w:pStyle w:val="TextoNormal"/>
      </w:pPr>
      <w:r>
        <w:t>Mediante escrito de 6 de noviembre de 2023, el magistrado don Cándido Conde-Pumpido Tourón, presidente de la Sección Primera, comunicó a los efectos oportunos que se abstenía de intervenir en el antes indicado recurso de amparo, de conformidad con el art. 80 de la LOTC, por concurrir en su persona la causa de abstención prevista en el artículo 219.9 de la Ley Orgánica del Poder Judicial (LOPJ), por el vínculo de amistad que le une al demandante de amparo.</w:t>
      </w:r>
    </w:p>
    <w:p w14:paraId="479E1802" w14:textId="77777777" w:rsidR="00F64776" w:rsidRDefault="00F64776" w:rsidP="00F64776">
      <w:pPr>
        <w:pStyle w:val="TextoNormal"/>
      </w:pPr>
    </w:p>
    <w:p w14:paraId="7500D6C5" w14:textId="77777777" w:rsidR="00F64776" w:rsidRDefault="00F64776" w:rsidP="00F64776">
      <w:pPr>
        <w:pStyle w:val="TextoNormalNegritaCentrado"/>
        <w:keepNext/>
      </w:pPr>
      <w:r>
        <w:t>II. Fundamentos jurídicos</w:t>
      </w:r>
    </w:p>
    <w:p w14:paraId="3DF8CBC1" w14:textId="0CAD7226" w:rsidR="00F64776" w:rsidRDefault="00F64776" w:rsidP="00F64776">
      <w:pPr>
        <w:pStyle w:val="TextoNormalNegritaCentrado"/>
        <w:keepNext/>
      </w:pPr>
    </w:p>
    <w:p w14:paraId="39C4754F" w14:textId="4FA3583E" w:rsidR="00F64776" w:rsidRDefault="00F64776" w:rsidP="00F64776">
      <w:pPr>
        <w:pStyle w:val="TextoNormal"/>
      </w:pPr>
      <w:r w:rsidRPr="00F64776">
        <w:rPr>
          <w:rStyle w:val="TextoNormalNegritaCaracter"/>
        </w:rPr>
        <w:t xml:space="preserve">Único. </w:t>
      </w:r>
      <w:r>
        <w:t>Vista la comunicación efectuada por don Cándido Conde-Pumpido Tourón, presidente de esta Sección Primera del Tribunal Constitucional, la Sección, en virtud de lo previsto en el art. 219.9 LOPJ, supletoria de la Ley Orgánica del Tribunal Constitucional (art. 80), estima justificada la causa de abstención formulada.</w:t>
      </w:r>
    </w:p>
    <w:p w14:paraId="022ED38A" w14:textId="77777777" w:rsidR="00F64776" w:rsidRDefault="00F64776" w:rsidP="00F64776">
      <w:pPr>
        <w:pStyle w:val="TextoNormal"/>
      </w:pPr>
    </w:p>
    <w:p w14:paraId="76E5B2CB" w14:textId="77777777" w:rsidR="00F64776" w:rsidRDefault="00F64776" w:rsidP="00F64776">
      <w:pPr>
        <w:pStyle w:val="TextoNormal"/>
      </w:pPr>
      <w:r>
        <w:t>Por lo expuesto, la Sección</w:t>
      </w:r>
    </w:p>
    <w:p w14:paraId="206BB7E4" w14:textId="5F7A6E48" w:rsidR="00F64776" w:rsidRDefault="00F64776" w:rsidP="00F64776">
      <w:pPr>
        <w:pStyle w:val="TextoNormal"/>
      </w:pPr>
    </w:p>
    <w:p w14:paraId="354E8CA5" w14:textId="77777777" w:rsidR="00F64776" w:rsidRDefault="00F64776" w:rsidP="00F64776">
      <w:pPr>
        <w:pStyle w:val="TextoNormalCentrado"/>
      </w:pPr>
      <w:r>
        <w:t>ACUERDA</w:t>
      </w:r>
    </w:p>
    <w:p w14:paraId="3A5981E9" w14:textId="16D99C51" w:rsidR="00F64776" w:rsidRDefault="00F64776" w:rsidP="00F64776">
      <w:pPr>
        <w:pStyle w:val="TextoNormalCentrado"/>
      </w:pPr>
    </w:p>
    <w:p w14:paraId="12257C43" w14:textId="416614E2" w:rsidR="00F64776" w:rsidRDefault="00F64776" w:rsidP="00F64776">
      <w:pPr>
        <w:pStyle w:val="TextoNormal"/>
      </w:pPr>
      <w:r>
        <w:t>Estimar justificada la abstención formulada por el magistrado don Cándido Conde-Pumpido Tourón, presidente de esta Sección Primera, en el recurso de amparo núm. 5266-2023, apartándole definitivamente del conocimiento del referido recurso y de todas sus incidencias.</w:t>
      </w:r>
    </w:p>
    <w:p w14:paraId="0D59B16C" w14:textId="77777777" w:rsidR="00F64776" w:rsidRDefault="00F64776" w:rsidP="00F64776">
      <w:pPr>
        <w:pStyle w:val="TextoNormal"/>
      </w:pPr>
    </w:p>
    <w:p w14:paraId="44430EDC" w14:textId="77777777" w:rsidR="00F64776" w:rsidRDefault="00F64776" w:rsidP="00F64776">
      <w:pPr>
        <w:pStyle w:val="TextoNormal"/>
      </w:pPr>
      <w:r>
        <w:t>Madrid, a seis de noviembre de dos mil veintitrés.</w:t>
      </w:r>
    </w:p>
    <w:p w14:paraId="519D8EDC" w14:textId="247E6969" w:rsidR="00F64776" w:rsidRDefault="00F64776">
      <w:pPr>
        <w:spacing w:after="160" w:line="278" w:lineRule="auto"/>
        <w:rPr>
          <w:rFonts w:ascii="Times New Roman" w:eastAsia="Times New Roman" w:hAnsi="Times New Roman" w:cs="Times New Roman"/>
          <w:sz w:val="24"/>
          <w:szCs w:val="24"/>
          <w:lang w:eastAsia="es-ES"/>
        </w:rPr>
      </w:pPr>
      <w:r>
        <w:br w:type="page"/>
      </w:r>
    </w:p>
    <w:p w14:paraId="3FFD7EDF" w14:textId="77777777" w:rsidR="00F64776" w:rsidRDefault="00F64776" w:rsidP="00F64776">
      <w:pPr>
        <w:pStyle w:val="TtuloResolucin"/>
      </w:pPr>
      <w:bookmarkStart w:id="322" w:name="AUTO_2023_537"/>
      <w:r>
        <w:t>AUTO 537/2023, de 10 de noviembre de 2023</w:t>
      </w:r>
    </w:p>
    <w:bookmarkEnd w:id="322"/>
    <w:p w14:paraId="28A09604" w14:textId="77777777" w:rsidR="00F64776" w:rsidRDefault="00F64776" w:rsidP="00F64776">
      <w:pPr>
        <w:pStyle w:val="TtuloResolucin"/>
      </w:pPr>
      <w:r>
        <w:t>Sección Tercera</w:t>
      </w:r>
    </w:p>
    <w:p w14:paraId="75E04AD6" w14:textId="77777777" w:rsidR="00F64776" w:rsidRDefault="00F64776" w:rsidP="00F64776">
      <w:pPr>
        <w:pStyle w:val="TextoNormalCentrado"/>
      </w:pPr>
      <w:r>
        <w:t>ECLI:ES:TC:2023:537A</w:t>
      </w:r>
    </w:p>
    <w:p w14:paraId="4B25EFD5" w14:textId="096EAC9A" w:rsidR="00F64776" w:rsidRDefault="00F64776" w:rsidP="00F64776">
      <w:pPr>
        <w:pStyle w:val="TextoNormalCentrado"/>
      </w:pPr>
    </w:p>
    <w:p w14:paraId="1C448475" w14:textId="77777777" w:rsidR="00F64776" w:rsidRDefault="00F64776" w:rsidP="00F64776">
      <w:pPr>
        <w:pStyle w:val="SntesisDescriptiva"/>
      </w:pPr>
      <w:r>
        <w:t>Excms. Srs. doña Inmaculada Montalbán Huertas y doña Laura Díez Bueso.</w:t>
      </w:r>
    </w:p>
    <w:p w14:paraId="5985814A" w14:textId="71BDDFED" w:rsidR="00F64776" w:rsidRDefault="00F64776" w:rsidP="00F64776">
      <w:pPr>
        <w:pStyle w:val="SntesisDescriptiva"/>
      </w:pPr>
    </w:p>
    <w:p w14:paraId="46CB4B8B" w14:textId="77777777" w:rsidR="00F64776" w:rsidRDefault="00F64776" w:rsidP="00F64776">
      <w:pPr>
        <w:pStyle w:val="SntesisDescriptiva"/>
      </w:pPr>
      <w:r>
        <w:t>Acepta una abstención en el recurso de amparo 2182-2022, promovido en proceso contencioso-administrativo.</w:t>
      </w:r>
    </w:p>
    <w:p w14:paraId="164317BF" w14:textId="26F2AC5E" w:rsidR="00F64776" w:rsidRDefault="00F64776" w:rsidP="00F64776">
      <w:pPr>
        <w:pStyle w:val="SntesisDescriptiva"/>
      </w:pPr>
    </w:p>
    <w:p w14:paraId="17F004DD" w14:textId="77777777" w:rsidR="00F64776" w:rsidRDefault="00F64776" w:rsidP="00F64776">
      <w:pPr>
        <w:pStyle w:val="SntesisDescriptiva"/>
      </w:pPr>
    </w:p>
    <w:p w14:paraId="44EE0AD7" w14:textId="77777777" w:rsidR="00F64776" w:rsidRDefault="00F64776" w:rsidP="00F64776">
      <w:pPr>
        <w:pStyle w:val="SntesisDescriptiva"/>
      </w:pPr>
    </w:p>
    <w:p w14:paraId="691BFCA4" w14:textId="77777777" w:rsidR="00F64776" w:rsidRDefault="00F64776" w:rsidP="00F64776">
      <w:pPr>
        <w:pStyle w:val="TextoNormalNegritaCentrado"/>
      </w:pPr>
      <w:r>
        <w:t>AUTO</w:t>
      </w:r>
    </w:p>
    <w:p w14:paraId="6B09ED26" w14:textId="76DBCB87" w:rsidR="00F64776" w:rsidRDefault="00F64776" w:rsidP="00F64776">
      <w:pPr>
        <w:pStyle w:val="TextoNormalNegritaCentrado"/>
      </w:pPr>
    </w:p>
    <w:p w14:paraId="133390A8" w14:textId="77777777" w:rsidR="00F64776" w:rsidRDefault="00F64776" w:rsidP="00F64776">
      <w:pPr>
        <w:pStyle w:val="TextoNormalNegritaCentrado"/>
        <w:keepNext/>
      </w:pPr>
      <w:r>
        <w:t>I. Antecedentes</w:t>
      </w:r>
    </w:p>
    <w:p w14:paraId="58A7F0E2" w14:textId="3DD0ED7C" w:rsidR="00F64776" w:rsidRDefault="00F64776" w:rsidP="00F64776">
      <w:pPr>
        <w:pStyle w:val="TextoNormalNegritaCentrado"/>
        <w:keepNext/>
      </w:pPr>
    </w:p>
    <w:p w14:paraId="46750232" w14:textId="6EC36807" w:rsidR="00F64776" w:rsidRDefault="00F64776" w:rsidP="00F64776">
      <w:pPr>
        <w:pStyle w:val="TextoNormal"/>
      </w:pPr>
      <w:r w:rsidRPr="00F64776">
        <w:rPr>
          <w:rStyle w:val="NumeroAFNegritaCaracter"/>
        </w:rPr>
        <w:t>1</w:t>
      </w:r>
      <w:r>
        <w:t>. Mediante escrito registrado en este Tribunal el 29 de marzo de 2022, la procuradora de los tribunales doña Paloma Izquierdo Labrada, en nombre y representación de don Diego Alvés Pereira y bajo la dirección del letrado don Alfonso Carbonell Tortosa, formuló demanda de amparo contra la providencia de 16 de diciembre de 2021 dictada por la Sección Primera de la Sala de lo Contencioso-Administrativo del Tribunal Supremo, en recurso de casación núm. 5505-2021 dimanante de la Sección Primera del Tribunal Superior de Justicia de Aragón, recurso de apelación núm. 150-2020.</w:t>
      </w:r>
    </w:p>
    <w:p w14:paraId="566BEA23" w14:textId="77777777" w:rsidR="00F64776" w:rsidRDefault="00F64776" w:rsidP="00F64776">
      <w:pPr>
        <w:pStyle w:val="TextoNormal"/>
      </w:pPr>
    </w:p>
    <w:p w14:paraId="3F9E8A48" w14:textId="68049414" w:rsidR="00F64776" w:rsidRDefault="00F64776" w:rsidP="00F64776">
      <w:pPr>
        <w:pStyle w:val="TextoNormal"/>
      </w:pPr>
      <w:r w:rsidRPr="00F64776">
        <w:rPr>
          <w:rStyle w:val="NumeroAFNegritaCaracter"/>
        </w:rPr>
        <w:t>2</w:t>
      </w:r>
      <w:r>
        <w:t>. Por escrito de 5 de julio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Tercera del Tribunal Supremo que dictó la resolución impugnada.</w:t>
      </w:r>
    </w:p>
    <w:p w14:paraId="442F779C" w14:textId="77777777" w:rsidR="00F64776" w:rsidRDefault="00F64776" w:rsidP="00F64776">
      <w:pPr>
        <w:pStyle w:val="TextoNormal"/>
      </w:pPr>
    </w:p>
    <w:p w14:paraId="4477291D" w14:textId="77777777" w:rsidR="00F64776" w:rsidRDefault="00F64776" w:rsidP="00F64776">
      <w:pPr>
        <w:pStyle w:val="TextoNormalNegritaCentrado"/>
        <w:keepNext/>
      </w:pPr>
      <w:r>
        <w:t>II. Fundamentos jurídicos</w:t>
      </w:r>
    </w:p>
    <w:p w14:paraId="32EB6C72" w14:textId="0CAC2E41" w:rsidR="00F64776" w:rsidRDefault="00F64776" w:rsidP="00F64776">
      <w:pPr>
        <w:pStyle w:val="TextoNormalNegritaCentrado"/>
        <w:keepNext/>
      </w:pPr>
    </w:p>
    <w:p w14:paraId="3FAC3070" w14:textId="495BCDA9"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77C0FE6D" w14:textId="77777777" w:rsidR="00F64776" w:rsidRDefault="00F64776" w:rsidP="00F64776">
      <w:pPr>
        <w:pStyle w:val="TextoNormal"/>
      </w:pPr>
    </w:p>
    <w:p w14:paraId="13600DFE" w14:textId="77777777" w:rsidR="00F64776" w:rsidRDefault="00F64776" w:rsidP="00F64776">
      <w:pPr>
        <w:pStyle w:val="TextoNormal"/>
      </w:pPr>
      <w:r>
        <w:t>Por lo expuesto, la Sección</w:t>
      </w:r>
    </w:p>
    <w:p w14:paraId="54AF8B83" w14:textId="6D87F21C" w:rsidR="00F64776" w:rsidRDefault="00F64776" w:rsidP="00F64776">
      <w:pPr>
        <w:pStyle w:val="TextoNormal"/>
      </w:pPr>
    </w:p>
    <w:p w14:paraId="5DF9F2DF" w14:textId="77777777" w:rsidR="00F64776" w:rsidRDefault="00F64776" w:rsidP="00F64776">
      <w:pPr>
        <w:pStyle w:val="TextoNormalCentrado"/>
      </w:pPr>
      <w:r>
        <w:t>ACUERDA</w:t>
      </w:r>
    </w:p>
    <w:p w14:paraId="63E0E26D" w14:textId="455B6336" w:rsidR="00F64776" w:rsidRDefault="00F64776" w:rsidP="00F64776">
      <w:pPr>
        <w:pStyle w:val="TextoNormalCentrado"/>
      </w:pPr>
    </w:p>
    <w:p w14:paraId="40571982" w14:textId="687A6950" w:rsidR="00F64776" w:rsidRDefault="00F64776" w:rsidP="00F64776">
      <w:pPr>
        <w:pStyle w:val="TextoNormal"/>
      </w:pPr>
      <w:r>
        <w:t>Estimar justificada la abstención formulada por el magistrado don César Tolosa Tribiño en el recurso de amparo núm. 2182-2022 y apartarle definitivamente del conocimiento del referido recurso y de todas sus incidencias.</w:t>
      </w:r>
    </w:p>
    <w:p w14:paraId="672F3E50" w14:textId="77777777" w:rsidR="00F64776" w:rsidRDefault="00F64776" w:rsidP="00F64776">
      <w:pPr>
        <w:pStyle w:val="TextoNormal"/>
      </w:pPr>
    </w:p>
    <w:p w14:paraId="2DFAB25D" w14:textId="77777777" w:rsidR="00F64776" w:rsidRDefault="00F64776" w:rsidP="00F64776">
      <w:pPr>
        <w:pStyle w:val="TextoNormal"/>
      </w:pPr>
      <w:r>
        <w:t>Madrid, a diez de noviembre de dos mil veintitrés.</w:t>
      </w:r>
    </w:p>
    <w:p w14:paraId="67CDD723" w14:textId="5EC33A39" w:rsidR="00F64776" w:rsidRDefault="00F64776">
      <w:pPr>
        <w:spacing w:after="160" w:line="278" w:lineRule="auto"/>
        <w:rPr>
          <w:rFonts w:ascii="Times New Roman" w:eastAsia="Times New Roman" w:hAnsi="Times New Roman" w:cs="Times New Roman"/>
          <w:sz w:val="24"/>
          <w:szCs w:val="24"/>
          <w:lang w:eastAsia="es-ES"/>
        </w:rPr>
      </w:pPr>
      <w:r>
        <w:br w:type="page"/>
      </w:r>
    </w:p>
    <w:p w14:paraId="7BD60F6B" w14:textId="77777777" w:rsidR="00F64776" w:rsidRDefault="00F64776" w:rsidP="00F64776">
      <w:pPr>
        <w:pStyle w:val="TtuloResolucin"/>
      </w:pPr>
      <w:bookmarkStart w:id="323" w:name="AUTO_2023_538"/>
      <w:r>
        <w:t>AUTO 538/2023, de 10 de noviembre de 2023</w:t>
      </w:r>
    </w:p>
    <w:bookmarkEnd w:id="323"/>
    <w:p w14:paraId="5D19F059" w14:textId="77777777" w:rsidR="00F64776" w:rsidRDefault="00F64776" w:rsidP="00F64776">
      <w:pPr>
        <w:pStyle w:val="TtuloResolucin"/>
      </w:pPr>
      <w:r>
        <w:t>Sección Tercera</w:t>
      </w:r>
    </w:p>
    <w:p w14:paraId="64C000AA" w14:textId="77777777" w:rsidR="00F64776" w:rsidRDefault="00F64776" w:rsidP="00F64776">
      <w:pPr>
        <w:pStyle w:val="TextoNormalCentrado"/>
      </w:pPr>
      <w:r>
        <w:t>ECLI:ES:TC:2023:538A</w:t>
      </w:r>
    </w:p>
    <w:p w14:paraId="2A52095C" w14:textId="283DC51F" w:rsidR="00F64776" w:rsidRDefault="00F64776" w:rsidP="00F64776">
      <w:pPr>
        <w:pStyle w:val="TextoNormalCentrado"/>
      </w:pPr>
    </w:p>
    <w:p w14:paraId="1A791AF8" w14:textId="77777777" w:rsidR="00F64776" w:rsidRDefault="00F64776" w:rsidP="00F64776">
      <w:pPr>
        <w:pStyle w:val="SntesisDescriptiva"/>
      </w:pPr>
      <w:r>
        <w:t>Excms. Srs. doña Inmaculada Montalbán Huertas y doña Laura Díez Bueso.</w:t>
      </w:r>
    </w:p>
    <w:p w14:paraId="526E9BE9" w14:textId="78601E58" w:rsidR="00F64776" w:rsidRDefault="00F64776" w:rsidP="00F64776">
      <w:pPr>
        <w:pStyle w:val="SntesisDescriptiva"/>
      </w:pPr>
    </w:p>
    <w:p w14:paraId="3462A93A" w14:textId="77777777" w:rsidR="00F64776" w:rsidRDefault="00F64776" w:rsidP="00F64776">
      <w:pPr>
        <w:pStyle w:val="SntesisDescriptiva"/>
      </w:pPr>
      <w:r>
        <w:t>Acepta una abstención en el recurso de amparo 4997-2022, promovido en proceso contencioso-administrativo.</w:t>
      </w:r>
    </w:p>
    <w:p w14:paraId="1C1D4484" w14:textId="29DA3CFE" w:rsidR="00F64776" w:rsidRDefault="00F64776" w:rsidP="00F64776">
      <w:pPr>
        <w:pStyle w:val="SntesisDescriptiva"/>
      </w:pPr>
    </w:p>
    <w:p w14:paraId="311CCD73" w14:textId="77777777" w:rsidR="00F64776" w:rsidRDefault="00F64776" w:rsidP="00F64776">
      <w:pPr>
        <w:pStyle w:val="SntesisDescriptiva"/>
      </w:pPr>
    </w:p>
    <w:p w14:paraId="323FF3E8" w14:textId="77777777" w:rsidR="00F64776" w:rsidRDefault="00F64776" w:rsidP="00F64776">
      <w:pPr>
        <w:pStyle w:val="SntesisDescriptiva"/>
      </w:pPr>
    </w:p>
    <w:p w14:paraId="11B5B6AE" w14:textId="77777777" w:rsidR="00F64776" w:rsidRDefault="00F64776" w:rsidP="00F64776">
      <w:pPr>
        <w:pStyle w:val="TextoNormalNegritaCentrado"/>
      </w:pPr>
      <w:r>
        <w:t>AUTO</w:t>
      </w:r>
    </w:p>
    <w:p w14:paraId="1E725F70" w14:textId="24C41711" w:rsidR="00F64776" w:rsidRDefault="00F64776" w:rsidP="00F64776">
      <w:pPr>
        <w:pStyle w:val="TextoNormalNegritaCentrado"/>
      </w:pPr>
    </w:p>
    <w:p w14:paraId="6FBB88C1" w14:textId="77777777" w:rsidR="00F64776" w:rsidRDefault="00F64776" w:rsidP="00F64776">
      <w:pPr>
        <w:pStyle w:val="TextoNormalNegritaCentrado"/>
        <w:keepNext/>
      </w:pPr>
      <w:r>
        <w:t>I. Antecedentes</w:t>
      </w:r>
    </w:p>
    <w:p w14:paraId="262B7D0C" w14:textId="6D68FCEA" w:rsidR="00F64776" w:rsidRDefault="00F64776" w:rsidP="00F64776">
      <w:pPr>
        <w:pStyle w:val="TextoNormalNegritaCentrado"/>
        <w:keepNext/>
      </w:pPr>
    </w:p>
    <w:p w14:paraId="09D9C059" w14:textId="103BB58A" w:rsidR="00F64776" w:rsidRDefault="00F64776" w:rsidP="00F64776">
      <w:pPr>
        <w:pStyle w:val="TextoNormal"/>
      </w:pPr>
      <w:r w:rsidRPr="00F64776">
        <w:rPr>
          <w:rStyle w:val="NumeroAFNegritaCaracter"/>
        </w:rPr>
        <w:t>1</w:t>
      </w:r>
      <w:r>
        <w:t>. Mediante escrito registrado en este tribunal el 8 de julio de 2022, el procurador de los tribunales don Miguel Zamora Bausá, en nombre y representación de doña Francia Margarita Pérez Ramírez y bajo la dirección de la letrada doña Ana del Pozo Jiménez, formuló demanda de amparo contra la providencia de la Sección Primera de la Sala de lo Contencioso-Administrativo del Tribunal Supremo en recurso de casación núm. 4108-2021.</w:t>
      </w:r>
    </w:p>
    <w:p w14:paraId="47975595" w14:textId="77777777" w:rsidR="00F64776" w:rsidRDefault="00F64776" w:rsidP="00F64776">
      <w:pPr>
        <w:pStyle w:val="TextoNormal"/>
      </w:pPr>
    </w:p>
    <w:p w14:paraId="09A4987F" w14:textId="276DFBE7" w:rsidR="00F64776" w:rsidRDefault="00F64776" w:rsidP="00F64776">
      <w:pPr>
        <w:pStyle w:val="TextoNormal"/>
      </w:pPr>
      <w:r w:rsidRPr="00F64776">
        <w:rPr>
          <w:rStyle w:val="NumeroAFNegritaCaracter"/>
        </w:rPr>
        <w:t>2</w:t>
      </w:r>
      <w:r>
        <w:t>. Por escrito de 7 de julio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70515976" w14:textId="77777777" w:rsidR="00F64776" w:rsidRDefault="00F64776" w:rsidP="00F64776">
      <w:pPr>
        <w:pStyle w:val="TextoNormal"/>
      </w:pPr>
    </w:p>
    <w:p w14:paraId="1DA3A4D0" w14:textId="77777777" w:rsidR="00F64776" w:rsidRDefault="00F64776" w:rsidP="00F64776">
      <w:pPr>
        <w:pStyle w:val="TextoNormalNegritaCentrado"/>
        <w:keepNext/>
      </w:pPr>
      <w:r>
        <w:t>II. Fundamentos jurídicos</w:t>
      </w:r>
    </w:p>
    <w:p w14:paraId="26B7CFD3" w14:textId="74ACA0D9" w:rsidR="00F64776" w:rsidRDefault="00F64776" w:rsidP="00F64776">
      <w:pPr>
        <w:pStyle w:val="TextoNormalNegritaCentrado"/>
        <w:keepNext/>
      </w:pPr>
    </w:p>
    <w:p w14:paraId="14122404" w14:textId="6D9A9F8D"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59E04D35" w14:textId="77777777" w:rsidR="00F64776" w:rsidRDefault="00F64776" w:rsidP="00F64776">
      <w:pPr>
        <w:pStyle w:val="TextoNormal"/>
      </w:pPr>
    </w:p>
    <w:p w14:paraId="0D5789AD" w14:textId="77777777" w:rsidR="00F64776" w:rsidRDefault="00F64776" w:rsidP="00F64776">
      <w:pPr>
        <w:pStyle w:val="TextoNormal"/>
      </w:pPr>
      <w:r>
        <w:t>Por lo expuesto, la Sección</w:t>
      </w:r>
    </w:p>
    <w:p w14:paraId="28C90F72" w14:textId="44626207" w:rsidR="00F64776" w:rsidRDefault="00F64776" w:rsidP="00F64776">
      <w:pPr>
        <w:pStyle w:val="TextoNormal"/>
      </w:pPr>
    </w:p>
    <w:p w14:paraId="7DF1952B" w14:textId="77777777" w:rsidR="00F64776" w:rsidRDefault="00F64776" w:rsidP="00F64776">
      <w:pPr>
        <w:pStyle w:val="TextoNormalCentrado"/>
      </w:pPr>
      <w:r>
        <w:t>ACUERDA</w:t>
      </w:r>
    </w:p>
    <w:p w14:paraId="5C96BE55" w14:textId="1E109A06" w:rsidR="00F64776" w:rsidRDefault="00F64776" w:rsidP="00F64776">
      <w:pPr>
        <w:pStyle w:val="TextoNormalCentrado"/>
      </w:pPr>
    </w:p>
    <w:p w14:paraId="62C92C9B" w14:textId="5AC120DB" w:rsidR="00F64776" w:rsidRDefault="00F64776" w:rsidP="00F64776">
      <w:pPr>
        <w:pStyle w:val="TextoNormal"/>
      </w:pPr>
      <w:r>
        <w:t>Estimar justificada la abstención formulada por el magistrado don César Tolosa Tribiño en el recurso de amparo núm. 4997-2022 y apartarle definitivamente del conocimiento del referido recurso y de todas sus incidencias.</w:t>
      </w:r>
    </w:p>
    <w:p w14:paraId="7A068653" w14:textId="77777777" w:rsidR="00F64776" w:rsidRDefault="00F64776" w:rsidP="00F64776">
      <w:pPr>
        <w:pStyle w:val="TextoNormal"/>
      </w:pPr>
    </w:p>
    <w:p w14:paraId="36E4484B" w14:textId="77777777" w:rsidR="00F64776" w:rsidRDefault="00F64776" w:rsidP="00F64776">
      <w:pPr>
        <w:pStyle w:val="TextoNormal"/>
      </w:pPr>
      <w:r>
        <w:t>Madrid, a diez de noviembre de dos mil veintitrés.</w:t>
      </w:r>
    </w:p>
    <w:p w14:paraId="5DD9009B" w14:textId="68F9283A" w:rsidR="00F64776" w:rsidRDefault="00F64776">
      <w:pPr>
        <w:spacing w:after="160" w:line="278" w:lineRule="auto"/>
        <w:rPr>
          <w:rFonts w:ascii="Times New Roman" w:eastAsia="Times New Roman" w:hAnsi="Times New Roman" w:cs="Times New Roman"/>
          <w:sz w:val="24"/>
          <w:szCs w:val="24"/>
          <w:lang w:eastAsia="es-ES"/>
        </w:rPr>
      </w:pPr>
      <w:r>
        <w:br w:type="page"/>
      </w:r>
    </w:p>
    <w:p w14:paraId="51FE46AF" w14:textId="77777777" w:rsidR="00F64776" w:rsidRDefault="00F64776" w:rsidP="00F64776">
      <w:pPr>
        <w:pStyle w:val="TtuloResolucin"/>
      </w:pPr>
      <w:bookmarkStart w:id="324" w:name="AUTO_2023_539"/>
      <w:r>
        <w:t>AUTO 539/2023, de 10 de noviembre de 2023</w:t>
      </w:r>
    </w:p>
    <w:bookmarkEnd w:id="324"/>
    <w:p w14:paraId="10FF95EB" w14:textId="77777777" w:rsidR="00F64776" w:rsidRDefault="00F64776" w:rsidP="00F64776">
      <w:pPr>
        <w:pStyle w:val="TtuloResolucin"/>
      </w:pPr>
      <w:r>
        <w:t>Sección Tercera</w:t>
      </w:r>
    </w:p>
    <w:p w14:paraId="75174FDE" w14:textId="77777777" w:rsidR="00F64776" w:rsidRDefault="00F64776" w:rsidP="00F64776">
      <w:pPr>
        <w:pStyle w:val="TextoNormalCentrado"/>
      </w:pPr>
      <w:r>
        <w:t>ECLI:ES:TC:2023:539A</w:t>
      </w:r>
    </w:p>
    <w:p w14:paraId="4DEFCAA4" w14:textId="033DCE13" w:rsidR="00F64776" w:rsidRDefault="00F64776" w:rsidP="00F64776">
      <w:pPr>
        <w:pStyle w:val="TextoNormalCentrado"/>
      </w:pPr>
    </w:p>
    <w:p w14:paraId="354C53DA" w14:textId="77777777" w:rsidR="00F64776" w:rsidRDefault="00F64776" w:rsidP="00F64776">
      <w:pPr>
        <w:pStyle w:val="SntesisDescriptiva"/>
      </w:pPr>
      <w:r>
        <w:t>Excms. Srs. doña Inmaculada Montalbán Huertas y doña Laura Díez Bueso.</w:t>
      </w:r>
    </w:p>
    <w:p w14:paraId="0EE1D72F" w14:textId="0908E52B" w:rsidR="00F64776" w:rsidRDefault="00F64776" w:rsidP="00F64776">
      <w:pPr>
        <w:pStyle w:val="SntesisDescriptiva"/>
      </w:pPr>
    </w:p>
    <w:p w14:paraId="20CA3C0E" w14:textId="77777777" w:rsidR="00F64776" w:rsidRDefault="00F64776" w:rsidP="00F64776">
      <w:pPr>
        <w:pStyle w:val="SntesisDescriptiva"/>
      </w:pPr>
      <w:r>
        <w:t>Acepta una abstención en el recurso de amparo 5008-2022, promovido en proceso contencioso-administrativo.</w:t>
      </w:r>
    </w:p>
    <w:p w14:paraId="3B116B0A" w14:textId="26442EF5" w:rsidR="00F64776" w:rsidRDefault="00F64776" w:rsidP="00F64776">
      <w:pPr>
        <w:pStyle w:val="SntesisDescriptiva"/>
      </w:pPr>
    </w:p>
    <w:p w14:paraId="76801436" w14:textId="77777777" w:rsidR="00F64776" w:rsidRDefault="00F64776" w:rsidP="00F64776">
      <w:pPr>
        <w:pStyle w:val="SntesisDescriptiva"/>
      </w:pPr>
    </w:p>
    <w:p w14:paraId="147FE7E9" w14:textId="77777777" w:rsidR="00F64776" w:rsidRDefault="00F64776" w:rsidP="00F64776">
      <w:pPr>
        <w:pStyle w:val="SntesisDescriptiva"/>
      </w:pPr>
    </w:p>
    <w:p w14:paraId="3C37508C" w14:textId="77777777" w:rsidR="00F64776" w:rsidRDefault="00F64776" w:rsidP="00F64776">
      <w:pPr>
        <w:pStyle w:val="TextoNormalNegritaCentrado"/>
      </w:pPr>
      <w:r>
        <w:t>AUTO</w:t>
      </w:r>
    </w:p>
    <w:p w14:paraId="4DDE4F61" w14:textId="649827AF" w:rsidR="00F64776" w:rsidRDefault="00F64776" w:rsidP="00F64776">
      <w:pPr>
        <w:pStyle w:val="TextoNormalNegritaCentrado"/>
      </w:pPr>
    </w:p>
    <w:p w14:paraId="2E9DE5FA" w14:textId="77777777" w:rsidR="00F64776" w:rsidRDefault="00F64776" w:rsidP="00F64776">
      <w:pPr>
        <w:pStyle w:val="TextoNormalNegritaCentrado"/>
        <w:keepNext/>
      </w:pPr>
      <w:r>
        <w:t>I. Antecedentes</w:t>
      </w:r>
    </w:p>
    <w:p w14:paraId="39D68089" w14:textId="750DD47E" w:rsidR="00F64776" w:rsidRDefault="00F64776" w:rsidP="00F64776">
      <w:pPr>
        <w:pStyle w:val="TextoNormalNegritaCentrado"/>
        <w:keepNext/>
      </w:pPr>
    </w:p>
    <w:p w14:paraId="6656B5D1" w14:textId="7440EADC" w:rsidR="00F64776" w:rsidRDefault="00F64776" w:rsidP="00F64776">
      <w:pPr>
        <w:pStyle w:val="TextoNormal"/>
      </w:pPr>
      <w:r w:rsidRPr="00F64776">
        <w:rPr>
          <w:rStyle w:val="NumeroAFNegritaCaracter"/>
        </w:rPr>
        <w:t>1</w:t>
      </w:r>
      <w:r>
        <w:t>. Mediante escrito registrado en este tribunal el 8 de julio de 2022, la procuradora de los tribunales doña Blanca Berriatua Horta, en nombre y representación de doña María Luisa Pérez Ojeda y bajo la dirección del letrado don Jorge Enrique Vilar Bravo, formuló demanda de amparo contra la providencia de 8 de junio de 2022 de la Sala de lo Contencioso-Administrativo del Tribunal Supremo, en recurso de casación núm. 3599-2021.</w:t>
      </w:r>
    </w:p>
    <w:p w14:paraId="15CA60C2" w14:textId="77777777" w:rsidR="00F64776" w:rsidRDefault="00F64776" w:rsidP="00F64776">
      <w:pPr>
        <w:pStyle w:val="TextoNormal"/>
      </w:pPr>
    </w:p>
    <w:p w14:paraId="5435B2B9" w14:textId="45C2F7E3" w:rsidR="00F64776" w:rsidRDefault="00F64776" w:rsidP="00F64776">
      <w:pPr>
        <w:pStyle w:val="TextoNormal"/>
      </w:pPr>
      <w:r w:rsidRPr="00F64776">
        <w:rPr>
          <w:rStyle w:val="NumeroAFNegritaCaracter"/>
        </w:rPr>
        <w:t>2</w:t>
      </w:r>
      <w:r>
        <w:t>. Por escrito de 4 de septiembre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7128A3FF" w14:textId="77777777" w:rsidR="00F64776" w:rsidRDefault="00F64776" w:rsidP="00F64776">
      <w:pPr>
        <w:pStyle w:val="TextoNormal"/>
      </w:pPr>
    </w:p>
    <w:p w14:paraId="78779576" w14:textId="77777777" w:rsidR="00F64776" w:rsidRDefault="00F64776" w:rsidP="00F64776">
      <w:pPr>
        <w:pStyle w:val="TextoNormalNegritaCentrado"/>
        <w:keepNext/>
      </w:pPr>
      <w:r>
        <w:t>II. Fundamentos jurídicos</w:t>
      </w:r>
    </w:p>
    <w:p w14:paraId="086D37EF" w14:textId="6107849E" w:rsidR="00F64776" w:rsidRDefault="00F64776" w:rsidP="00F64776">
      <w:pPr>
        <w:pStyle w:val="TextoNormalNegritaCentrado"/>
        <w:keepNext/>
      </w:pPr>
    </w:p>
    <w:p w14:paraId="5A7BE9A5" w14:textId="6CB23721"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0EAE3B4F" w14:textId="77777777" w:rsidR="00F64776" w:rsidRDefault="00F64776" w:rsidP="00F64776">
      <w:pPr>
        <w:pStyle w:val="TextoNormal"/>
      </w:pPr>
    </w:p>
    <w:p w14:paraId="033A0180" w14:textId="77777777" w:rsidR="00F64776" w:rsidRDefault="00F64776" w:rsidP="00F64776">
      <w:pPr>
        <w:pStyle w:val="TextoNormal"/>
      </w:pPr>
      <w:r>
        <w:t>Por lo expuesto, la Sección</w:t>
      </w:r>
    </w:p>
    <w:p w14:paraId="45B81ACD" w14:textId="42E91792" w:rsidR="00F64776" w:rsidRDefault="00F64776" w:rsidP="00F64776">
      <w:pPr>
        <w:pStyle w:val="TextoNormal"/>
      </w:pPr>
    </w:p>
    <w:p w14:paraId="06A2FF76" w14:textId="77777777" w:rsidR="00F64776" w:rsidRDefault="00F64776" w:rsidP="00F64776">
      <w:pPr>
        <w:pStyle w:val="TextoNormalCentrado"/>
      </w:pPr>
      <w:r>
        <w:t>ACUERDA</w:t>
      </w:r>
    </w:p>
    <w:p w14:paraId="5EBB5651" w14:textId="53EB5830" w:rsidR="00F64776" w:rsidRDefault="00F64776" w:rsidP="00F64776">
      <w:pPr>
        <w:pStyle w:val="TextoNormalCentrado"/>
      </w:pPr>
    </w:p>
    <w:p w14:paraId="0410A4D9" w14:textId="0D90CD83" w:rsidR="00F64776" w:rsidRDefault="00F64776" w:rsidP="00F64776">
      <w:pPr>
        <w:pStyle w:val="TextoNormal"/>
      </w:pPr>
      <w:r>
        <w:t>Estimar justificada la abstención formulada por el magistrado don César Tolosa Tribiño en el recurso de amparo núm. 5008-2022 y apartarle definitivamente del conocimiento del referido recurso y de todas sus incidencias.</w:t>
      </w:r>
    </w:p>
    <w:p w14:paraId="41B2E827" w14:textId="77777777" w:rsidR="00F64776" w:rsidRDefault="00F64776" w:rsidP="00F64776">
      <w:pPr>
        <w:pStyle w:val="TextoNormal"/>
      </w:pPr>
    </w:p>
    <w:p w14:paraId="6F4E2E94" w14:textId="77777777" w:rsidR="00F64776" w:rsidRDefault="00F64776" w:rsidP="00F64776">
      <w:pPr>
        <w:pStyle w:val="TextoNormal"/>
      </w:pPr>
      <w:r>
        <w:t>Madrid, a diez de noviembre de dos mil veintitrés.</w:t>
      </w:r>
    </w:p>
    <w:p w14:paraId="1D501ACF" w14:textId="25212701" w:rsidR="00F64776" w:rsidRDefault="00F64776">
      <w:pPr>
        <w:spacing w:after="160" w:line="278" w:lineRule="auto"/>
        <w:rPr>
          <w:rFonts w:ascii="Times New Roman" w:eastAsia="Times New Roman" w:hAnsi="Times New Roman" w:cs="Times New Roman"/>
          <w:sz w:val="24"/>
          <w:szCs w:val="24"/>
          <w:lang w:eastAsia="es-ES"/>
        </w:rPr>
      </w:pPr>
      <w:r>
        <w:br w:type="page"/>
      </w:r>
    </w:p>
    <w:p w14:paraId="2025DF0C" w14:textId="77777777" w:rsidR="00F64776" w:rsidRDefault="00F64776" w:rsidP="00F64776">
      <w:pPr>
        <w:pStyle w:val="TtuloResolucin"/>
      </w:pPr>
      <w:bookmarkStart w:id="325" w:name="AUTO_2023_540"/>
      <w:r>
        <w:t>AUTO 540/2023, de 10 de noviembre de 2023</w:t>
      </w:r>
    </w:p>
    <w:bookmarkEnd w:id="325"/>
    <w:p w14:paraId="4F53F75D" w14:textId="77777777" w:rsidR="00F64776" w:rsidRDefault="00F64776" w:rsidP="00F64776">
      <w:pPr>
        <w:pStyle w:val="TtuloResolucin"/>
      </w:pPr>
      <w:r>
        <w:t>Sección Tercera</w:t>
      </w:r>
    </w:p>
    <w:p w14:paraId="14A734D0" w14:textId="77777777" w:rsidR="00F64776" w:rsidRDefault="00F64776" w:rsidP="00F64776">
      <w:pPr>
        <w:pStyle w:val="TextoNormalCentrado"/>
      </w:pPr>
      <w:r>
        <w:t>ECLI:ES:TC:2023:540A</w:t>
      </w:r>
    </w:p>
    <w:p w14:paraId="7FC3BFDA" w14:textId="13A3F97F" w:rsidR="00F64776" w:rsidRDefault="00F64776" w:rsidP="00F64776">
      <w:pPr>
        <w:pStyle w:val="TextoNormalCentrado"/>
      </w:pPr>
    </w:p>
    <w:p w14:paraId="435425C9" w14:textId="77777777" w:rsidR="00F64776" w:rsidRDefault="00F64776" w:rsidP="00F64776">
      <w:pPr>
        <w:pStyle w:val="SntesisDescriptiva"/>
      </w:pPr>
      <w:r>
        <w:t>Excms. Srs. doña Inmaculada Montalbán Huertas y doña Laura Díez Bueso.</w:t>
      </w:r>
    </w:p>
    <w:p w14:paraId="4EB4267B" w14:textId="70352EDF" w:rsidR="00F64776" w:rsidRDefault="00F64776" w:rsidP="00F64776">
      <w:pPr>
        <w:pStyle w:val="SntesisDescriptiva"/>
      </w:pPr>
    </w:p>
    <w:p w14:paraId="71D229ED" w14:textId="77777777" w:rsidR="00F64776" w:rsidRDefault="00F64776" w:rsidP="00F64776">
      <w:pPr>
        <w:pStyle w:val="SntesisDescriptiva"/>
      </w:pPr>
      <w:r>
        <w:t>Acepta una abstención en el recurso de amparo 5080-2022, promovido en proceso contencioso-administrativo.</w:t>
      </w:r>
    </w:p>
    <w:p w14:paraId="7013DF2E" w14:textId="4565EA16" w:rsidR="00F64776" w:rsidRDefault="00F64776" w:rsidP="00F64776">
      <w:pPr>
        <w:pStyle w:val="SntesisDescriptiva"/>
      </w:pPr>
    </w:p>
    <w:p w14:paraId="4BDCA933" w14:textId="77777777" w:rsidR="00F64776" w:rsidRDefault="00F64776" w:rsidP="00F64776">
      <w:pPr>
        <w:pStyle w:val="SntesisDescriptiva"/>
      </w:pPr>
    </w:p>
    <w:p w14:paraId="0E31E8B5" w14:textId="77777777" w:rsidR="00F64776" w:rsidRDefault="00F64776" w:rsidP="00F64776">
      <w:pPr>
        <w:pStyle w:val="SntesisDescriptiva"/>
      </w:pPr>
    </w:p>
    <w:p w14:paraId="222104C4" w14:textId="77777777" w:rsidR="00F64776" w:rsidRDefault="00F64776" w:rsidP="00F64776">
      <w:pPr>
        <w:pStyle w:val="TextoNormalNegritaCentrado"/>
      </w:pPr>
      <w:r>
        <w:t>AUTO</w:t>
      </w:r>
    </w:p>
    <w:p w14:paraId="1C7D7C4F" w14:textId="1516AE14" w:rsidR="00F64776" w:rsidRDefault="00F64776" w:rsidP="00F64776">
      <w:pPr>
        <w:pStyle w:val="TextoNormalNegritaCentrado"/>
      </w:pPr>
    </w:p>
    <w:p w14:paraId="612ADC91" w14:textId="77777777" w:rsidR="00F64776" w:rsidRDefault="00F64776" w:rsidP="00F64776">
      <w:pPr>
        <w:pStyle w:val="TextoNormalNegritaCentrado"/>
        <w:keepNext/>
      </w:pPr>
      <w:r>
        <w:t>I. Antecedentes</w:t>
      </w:r>
    </w:p>
    <w:p w14:paraId="309167D2" w14:textId="5548B3E9" w:rsidR="00F64776" w:rsidRDefault="00F64776" w:rsidP="00F64776">
      <w:pPr>
        <w:pStyle w:val="TextoNormalNegritaCentrado"/>
        <w:keepNext/>
      </w:pPr>
    </w:p>
    <w:p w14:paraId="60E32310" w14:textId="143CCA93" w:rsidR="00F64776" w:rsidRDefault="00F64776" w:rsidP="00F64776">
      <w:pPr>
        <w:pStyle w:val="TextoNormal"/>
      </w:pPr>
      <w:r w:rsidRPr="00F64776">
        <w:rPr>
          <w:rStyle w:val="NumeroAFNegritaCaracter"/>
        </w:rPr>
        <w:t>1</w:t>
      </w:r>
      <w:r>
        <w:t>. Mediante escrito registrado en este tribunal el 12 de julio de 2022, el procurador de los tribunales don Rafael Luján Panadero, en nombre y representación de don Juan Diego Trujillo Jiménez y otros y bajo la dirección del letrado don Víctor Blázquez García de la Serna, formuló demanda de amparo contra el auto de 29 de junio de 2022 dictado por el Tribunal Supremo, Sala de lo Contencioso-Administrativo Sección Primera, en recurso de casación núm. 2838-2022.</w:t>
      </w:r>
    </w:p>
    <w:p w14:paraId="1A7E0751" w14:textId="77777777" w:rsidR="00F64776" w:rsidRDefault="00F64776" w:rsidP="00F64776">
      <w:pPr>
        <w:pStyle w:val="TextoNormal"/>
      </w:pPr>
    </w:p>
    <w:p w14:paraId="35B599F8" w14:textId="4A9A7A0D" w:rsidR="00F64776" w:rsidRDefault="00F64776" w:rsidP="00F64776">
      <w:pPr>
        <w:pStyle w:val="TextoNormal"/>
      </w:pPr>
      <w:r w:rsidRPr="00F64776">
        <w:rPr>
          <w:rStyle w:val="NumeroAFNegritaCaracter"/>
        </w:rPr>
        <w:t>2</w:t>
      </w:r>
      <w:r>
        <w:t>. Por escrito de 12 de julio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484B7ECB" w14:textId="77777777" w:rsidR="00F64776" w:rsidRDefault="00F64776" w:rsidP="00F64776">
      <w:pPr>
        <w:pStyle w:val="TextoNormal"/>
      </w:pPr>
    </w:p>
    <w:p w14:paraId="691DA8C6" w14:textId="77777777" w:rsidR="00F64776" w:rsidRDefault="00F64776" w:rsidP="00F64776">
      <w:pPr>
        <w:pStyle w:val="TextoNormalNegritaCentrado"/>
        <w:keepNext/>
      </w:pPr>
      <w:r>
        <w:t>II. Fundamentos jurídicos</w:t>
      </w:r>
    </w:p>
    <w:p w14:paraId="67934918" w14:textId="186801E7" w:rsidR="00F64776" w:rsidRDefault="00F64776" w:rsidP="00F64776">
      <w:pPr>
        <w:pStyle w:val="TextoNormalNegritaCentrado"/>
        <w:keepNext/>
      </w:pPr>
    </w:p>
    <w:p w14:paraId="68BB397A" w14:textId="14CFD487"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4DC616D9" w14:textId="77777777" w:rsidR="00F64776" w:rsidRDefault="00F64776" w:rsidP="00F64776">
      <w:pPr>
        <w:pStyle w:val="TextoNormal"/>
      </w:pPr>
    </w:p>
    <w:p w14:paraId="7112D45C" w14:textId="77777777" w:rsidR="00F64776" w:rsidRDefault="00F64776" w:rsidP="00F64776">
      <w:pPr>
        <w:pStyle w:val="TextoNormal"/>
      </w:pPr>
      <w:r>
        <w:t>Por lo expuesto, la Sección</w:t>
      </w:r>
    </w:p>
    <w:p w14:paraId="6FDF3E34" w14:textId="626252E4" w:rsidR="00F64776" w:rsidRDefault="00F64776" w:rsidP="00F64776">
      <w:pPr>
        <w:pStyle w:val="TextoNormal"/>
      </w:pPr>
    </w:p>
    <w:p w14:paraId="3C2231A0" w14:textId="77777777" w:rsidR="00F64776" w:rsidRDefault="00F64776" w:rsidP="00F64776">
      <w:pPr>
        <w:pStyle w:val="TextoNormalCentrado"/>
      </w:pPr>
      <w:r>
        <w:t>ACUERDA</w:t>
      </w:r>
    </w:p>
    <w:p w14:paraId="09057901" w14:textId="31FFC480" w:rsidR="00F64776" w:rsidRDefault="00F64776" w:rsidP="00F64776">
      <w:pPr>
        <w:pStyle w:val="TextoNormalCentrado"/>
      </w:pPr>
    </w:p>
    <w:p w14:paraId="29164509" w14:textId="566335CC" w:rsidR="00F64776" w:rsidRDefault="00F64776" w:rsidP="00F64776">
      <w:pPr>
        <w:pStyle w:val="TextoNormal"/>
      </w:pPr>
      <w:r>
        <w:t>Estimar justificada la abstención formulada por el magistrado don César Tolosa Tribiño en el recurso de amparo núm. 5080-2022 y apartarle definitivamente del conocimiento del referido recurso y de todas sus incidencias.</w:t>
      </w:r>
    </w:p>
    <w:p w14:paraId="0968B1BF" w14:textId="77777777" w:rsidR="00F64776" w:rsidRDefault="00F64776" w:rsidP="00F64776">
      <w:pPr>
        <w:pStyle w:val="TextoNormal"/>
      </w:pPr>
    </w:p>
    <w:p w14:paraId="20EC117B" w14:textId="77777777" w:rsidR="00F64776" w:rsidRDefault="00F64776" w:rsidP="00F64776">
      <w:pPr>
        <w:pStyle w:val="TextoNormal"/>
      </w:pPr>
      <w:r>
        <w:t>Madrid, a diez de noviembre de dos mil veintitrés.</w:t>
      </w:r>
    </w:p>
    <w:p w14:paraId="685CC6A5" w14:textId="4A3DA78B" w:rsidR="00F64776" w:rsidRDefault="00F64776">
      <w:pPr>
        <w:spacing w:after="160" w:line="278" w:lineRule="auto"/>
        <w:rPr>
          <w:rFonts w:ascii="Times New Roman" w:eastAsia="Times New Roman" w:hAnsi="Times New Roman" w:cs="Times New Roman"/>
          <w:sz w:val="24"/>
          <w:szCs w:val="24"/>
          <w:lang w:eastAsia="es-ES"/>
        </w:rPr>
      </w:pPr>
      <w:r>
        <w:br w:type="page"/>
      </w:r>
    </w:p>
    <w:p w14:paraId="2CDAEAB4" w14:textId="77777777" w:rsidR="00F64776" w:rsidRDefault="00F64776" w:rsidP="00F64776">
      <w:pPr>
        <w:pStyle w:val="TtuloResolucin"/>
      </w:pPr>
      <w:bookmarkStart w:id="326" w:name="AUTO_2023_541"/>
      <w:r>
        <w:t>AUTO 541/2023, de 10 de noviembre de 2023</w:t>
      </w:r>
    </w:p>
    <w:bookmarkEnd w:id="326"/>
    <w:p w14:paraId="1EE4FC0F" w14:textId="77777777" w:rsidR="00F64776" w:rsidRDefault="00F64776" w:rsidP="00F64776">
      <w:pPr>
        <w:pStyle w:val="TtuloResolucin"/>
      </w:pPr>
      <w:r>
        <w:t>Sección Tercera</w:t>
      </w:r>
    </w:p>
    <w:p w14:paraId="729B0197" w14:textId="77777777" w:rsidR="00F64776" w:rsidRDefault="00F64776" w:rsidP="00F64776">
      <w:pPr>
        <w:pStyle w:val="TextoNormalCentrado"/>
      </w:pPr>
      <w:r>
        <w:t>ECLI:ES:TC:2023:541A</w:t>
      </w:r>
    </w:p>
    <w:p w14:paraId="7D8819F0" w14:textId="69581142" w:rsidR="00F64776" w:rsidRDefault="00F64776" w:rsidP="00F64776">
      <w:pPr>
        <w:pStyle w:val="TextoNormalCentrado"/>
      </w:pPr>
    </w:p>
    <w:p w14:paraId="58C57821" w14:textId="77777777" w:rsidR="00F64776" w:rsidRDefault="00F64776" w:rsidP="00F64776">
      <w:pPr>
        <w:pStyle w:val="SntesisDescriptiva"/>
      </w:pPr>
      <w:r>
        <w:t>Excms. Srs. doña Inmaculada Montalbán Huertas y doña Laura Díez Bueso.</w:t>
      </w:r>
    </w:p>
    <w:p w14:paraId="1B74AE6F" w14:textId="6654A832" w:rsidR="00F64776" w:rsidRDefault="00F64776" w:rsidP="00F64776">
      <w:pPr>
        <w:pStyle w:val="SntesisDescriptiva"/>
      </w:pPr>
    </w:p>
    <w:p w14:paraId="31B8EA14" w14:textId="77777777" w:rsidR="00F64776" w:rsidRDefault="00F64776" w:rsidP="00F64776">
      <w:pPr>
        <w:pStyle w:val="SntesisDescriptiva"/>
      </w:pPr>
      <w:r>
        <w:t>Acepta una abstención en el recurso de amparo 5490-2022, promovido en proceso contencioso-administrativo.</w:t>
      </w:r>
    </w:p>
    <w:p w14:paraId="7206FB54" w14:textId="10E4B9CF" w:rsidR="00F64776" w:rsidRDefault="00F64776" w:rsidP="00F64776">
      <w:pPr>
        <w:pStyle w:val="SntesisDescriptiva"/>
      </w:pPr>
    </w:p>
    <w:p w14:paraId="6F5F07F4" w14:textId="77777777" w:rsidR="00F64776" w:rsidRDefault="00F64776" w:rsidP="00F64776">
      <w:pPr>
        <w:pStyle w:val="SntesisDescriptiva"/>
      </w:pPr>
    </w:p>
    <w:p w14:paraId="25E6923A" w14:textId="77777777" w:rsidR="00F64776" w:rsidRDefault="00F64776" w:rsidP="00F64776">
      <w:pPr>
        <w:pStyle w:val="SntesisDescriptiva"/>
      </w:pPr>
    </w:p>
    <w:p w14:paraId="3B322D5F" w14:textId="77777777" w:rsidR="00F64776" w:rsidRDefault="00F64776" w:rsidP="00F64776">
      <w:pPr>
        <w:pStyle w:val="TextoNormalNegritaCentrado"/>
      </w:pPr>
      <w:r>
        <w:t>AUTO</w:t>
      </w:r>
    </w:p>
    <w:p w14:paraId="3E9C1FEE" w14:textId="0681C368" w:rsidR="00F64776" w:rsidRDefault="00F64776" w:rsidP="00F64776">
      <w:pPr>
        <w:pStyle w:val="TextoNormalNegritaCentrado"/>
      </w:pPr>
    </w:p>
    <w:p w14:paraId="2B6729B9" w14:textId="77777777" w:rsidR="00F64776" w:rsidRDefault="00F64776" w:rsidP="00F64776">
      <w:pPr>
        <w:pStyle w:val="TextoNormalNegritaCentrado"/>
        <w:keepNext/>
      </w:pPr>
      <w:r>
        <w:t>I. Antecedentes</w:t>
      </w:r>
    </w:p>
    <w:p w14:paraId="006E6C29" w14:textId="273806BC" w:rsidR="00F64776" w:rsidRDefault="00F64776" w:rsidP="00F64776">
      <w:pPr>
        <w:pStyle w:val="TextoNormalNegritaCentrado"/>
        <w:keepNext/>
      </w:pPr>
    </w:p>
    <w:p w14:paraId="145D1B26" w14:textId="09A28D48" w:rsidR="00F64776" w:rsidRDefault="00F64776" w:rsidP="00F64776">
      <w:pPr>
        <w:pStyle w:val="TextoNormal"/>
      </w:pPr>
      <w:r w:rsidRPr="00F64776">
        <w:rPr>
          <w:rStyle w:val="NumeroAFNegritaCaracter"/>
        </w:rPr>
        <w:t>1</w:t>
      </w:r>
      <w:r>
        <w:t>. Mediante escrito registrado en este tribunal el 26 de julio de 2022, la procuradora de los tribunales doña María Teresa Fernández Tejedor, en nombre y representación de don Emilio Rafael Gallango Leandro y bajo la dirección del letrado don Fermín Bernabé Vázquez Sánchez, formuló demanda de amparo contra la providencia de 8 de junio de 2022 de la Sección Primera de la Sala de lo Contencioso-Administrativo del Tribunal Supremo, en recurso de casación núm. 5981-2020.</w:t>
      </w:r>
    </w:p>
    <w:p w14:paraId="35E0EBEB" w14:textId="77777777" w:rsidR="00F64776" w:rsidRDefault="00F64776" w:rsidP="00F64776">
      <w:pPr>
        <w:pStyle w:val="TextoNormal"/>
      </w:pPr>
    </w:p>
    <w:p w14:paraId="4F310D64" w14:textId="2DAB6F50" w:rsidR="00F64776" w:rsidRDefault="00F64776" w:rsidP="00F64776">
      <w:pPr>
        <w:pStyle w:val="TextoNormal"/>
      </w:pPr>
      <w:r w:rsidRPr="00F64776">
        <w:rPr>
          <w:rStyle w:val="NumeroAFNegritaCaracter"/>
        </w:rPr>
        <w:t>2</w:t>
      </w:r>
      <w:r>
        <w:t>. Por escrito de 5 de julio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5BDA8A63" w14:textId="77777777" w:rsidR="00F64776" w:rsidRDefault="00F64776" w:rsidP="00F64776">
      <w:pPr>
        <w:pStyle w:val="TextoNormal"/>
      </w:pPr>
    </w:p>
    <w:p w14:paraId="2DEFAAC9" w14:textId="77777777" w:rsidR="00F64776" w:rsidRDefault="00F64776" w:rsidP="00F64776">
      <w:pPr>
        <w:pStyle w:val="TextoNormalNegritaCentrado"/>
        <w:keepNext/>
      </w:pPr>
      <w:r>
        <w:t>II. Fundamentos jurídicos</w:t>
      </w:r>
    </w:p>
    <w:p w14:paraId="008F30C4" w14:textId="104E7BCA" w:rsidR="00F64776" w:rsidRDefault="00F64776" w:rsidP="00F64776">
      <w:pPr>
        <w:pStyle w:val="TextoNormalNegritaCentrado"/>
        <w:keepNext/>
      </w:pPr>
    </w:p>
    <w:p w14:paraId="53C753E3" w14:textId="4DBD68CA"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5ABB0624" w14:textId="77777777" w:rsidR="00F64776" w:rsidRDefault="00F64776" w:rsidP="00F64776">
      <w:pPr>
        <w:pStyle w:val="TextoNormal"/>
      </w:pPr>
    </w:p>
    <w:p w14:paraId="16E85C03" w14:textId="77777777" w:rsidR="00F64776" w:rsidRDefault="00F64776" w:rsidP="00F64776">
      <w:pPr>
        <w:pStyle w:val="TextoNormal"/>
      </w:pPr>
      <w:r>
        <w:t>Por lo expuesto, la Sección</w:t>
      </w:r>
    </w:p>
    <w:p w14:paraId="727DABB1" w14:textId="5A30A2F4" w:rsidR="00F64776" w:rsidRDefault="00F64776" w:rsidP="00F64776">
      <w:pPr>
        <w:pStyle w:val="TextoNormal"/>
      </w:pPr>
    </w:p>
    <w:p w14:paraId="32D268B4" w14:textId="77777777" w:rsidR="00F64776" w:rsidRDefault="00F64776" w:rsidP="00F64776">
      <w:pPr>
        <w:pStyle w:val="TextoNormalCentrado"/>
      </w:pPr>
      <w:r>
        <w:t>ACUERDA</w:t>
      </w:r>
    </w:p>
    <w:p w14:paraId="3DACBDDA" w14:textId="26FC298A" w:rsidR="00F64776" w:rsidRDefault="00F64776" w:rsidP="00F64776">
      <w:pPr>
        <w:pStyle w:val="TextoNormalCentrado"/>
      </w:pPr>
    </w:p>
    <w:p w14:paraId="41C780F3" w14:textId="1DAACE02" w:rsidR="00F64776" w:rsidRDefault="00F64776" w:rsidP="00F64776">
      <w:pPr>
        <w:pStyle w:val="TextoNormal"/>
      </w:pPr>
      <w:r>
        <w:t>Estimar justificada la abstención formulada por el magistrado don César Tolosa Tribiño en el recurso de amparo núm. 5490-2022 y apartarle definitivamente del conocimiento del referido recurso y de todas sus incidencias.</w:t>
      </w:r>
    </w:p>
    <w:p w14:paraId="786347FE" w14:textId="77777777" w:rsidR="00F64776" w:rsidRDefault="00F64776" w:rsidP="00F64776">
      <w:pPr>
        <w:pStyle w:val="TextoNormal"/>
      </w:pPr>
    </w:p>
    <w:p w14:paraId="1321A391" w14:textId="77777777" w:rsidR="00F64776" w:rsidRDefault="00F64776" w:rsidP="00F64776">
      <w:pPr>
        <w:pStyle w:val="TextoNormal"/>
      </w:pPr>
      <w:r>
        <w:t>Madrid, a diez de noviembre de dos mil veintitrés.</w:t>
      </w:r>
    </w:p>
    <w:p w14:paraId="0C40C87B" w14:textId="2C57BFF8" w:rsidR="00F64776" w:rsidRDefault="00F64776">
      <w:pPr>
        <w:spacing w:after="160" w:line="278" w:lineRule="auto"/>
        <w:rPr>
          <w:rFonts w:ascii="Times New Roman" w:eastAsia="Times New Roman" w:hAnsi="Times New Roman" w:cs="Times New Roman"/>
          <w:sz w:val="24"/>
          <w:szCs w:val="24"/>
          <w:lang w:eastAsia="es-ES"/>
        </w:rPr>
      </w:pPr>
      <w:r>
        <w:br w:type="page"/>
      </w:r>
    </w:p>
    <w:p w14:paraId="15149AD4" w14:textId="77777777" w:rsidR="00F64776" w:rsidRDefault="00F64776" w:rsidP="00F64776">
      <w:pPr>
        <w:pStyle w:val="TtuloResolucin"/>
      </w:pPr>
      <w:bookmarkStart w:id="327" w:name="AUTO_2023_542"/>
      <w:r>
        <w:t>AUTO 542/2023, de 10 de noviembre de 2023</w:t>
      </w:r>
    </w:p>
    <w:bookmarkEnd w:id="327"/>
    <w:p w14:paraId="182388AA" w14:textId="77777777" w:rsidR="00F64776" w:rsidRDefault="00F64776" w:rsidP="00F64776">
      <w:pPr>
        <w:pStyle w:val="TtuloResolucin"/>
      </w:pPr>
      <w:r>
        <w:t>Sección Tercera</w:t>
      </w:r>
    </w:p>
    <w:p w14:paraId="1A38C28D" w14:textId="77777777" w:rsidR="00F64776" w:rsidRDefault="00F64776" w:rsidP="00F64776">
      <w:pPr>
        <w:pStyle w:val="TextoNormalCentrado"/>
      </w:pPr>
      <w:r>
        <w:t>ECLI:ES:TC:2023:542A</w:t>
      </w:r>
    </w:p>
    <w:p w14:paraId="4AA50852" w14:textId="383D1419" w:rsidR="00F64776" w:rsidRDefault="00F64776" w:rsidP="00F64776">
      <w:pPr>
        <w:pStyle w:val="TextoNormalCentrado"/>
      </w:pPr>
    </w:p>
    <w:p w14:paraId="08F42514" w14:textId="77777777" w:rsidR="00F64776" w:rsidRDefault="00F64776" w:rsidP="00F64776">
      <w:pPr>
        <w:pStyle w:val="SntesisDescriptiva"/>
      </w:pPr>
      <w:r>
        <w:t>Excms. Srs. doña Inmaculada Montalbán Huertas y doña Laura Díez Bueso.</w:t>
      </w:r>
    </w:p>
    <w:p w14:paraId="7FFB7D7B" w14:textId="6E09CC6B" w:rsidR="00F64776" w:rsidRDefault="00F64776" w:rsidP="00F64776">
      <w:pPr>
        <w:pStyle w:val="SntesisDescriptiva"/>
      </w:pPr>
    </w:p>
    <w:p w14:paraId="190F5A03" w14:textId="77777777" w:rsidR="00F64776" w:rsidRDefault="00F64776" w:rsidP="00F64776">
      <w:pPr>
        <w:pStyle w:val="SntesisDescriptiva"/>
      </w:pPr>
      <w:r>
        <w:t>Acepta una abstención en el recurso de amparo 5710-2022, promovido por la entidad Molino y Jarilla S.L., en proceso contencioso-administrativo.</w:t>
      </w:r>
    </w:p>
    <w:p w14:paraId="21BD886A" w14:textId="7F2712F6" w:rsidR="00F64776" w:rsidRDefault="00F64776" w:rsidP="00F64776">
      <w:pPr>
        <w:pStyle w:val="SntesisDescriptiva"/>
      </w:pPr>
    </w:p>
    <w:p w14:paraId="0A8E8A0B" w14:textId="77777777" w:rsidR="00F64776" w:rsidRDefault="00F64776" w:rsidP="00F64776">
      <w:pPr>
        <w:pStyle w:val="SntesisDescriptiva"/>
      </w:pPr>
    </w:p>
    <w:p w14:paraId="0AB9B541" w14:textId="77777777" w:rsidR="00F64776" w:rsidRDefault="00F64776" w:rsidP="00F64776">
      <w:pPr>
        <w:pStyle w:val="SntesisDescriptiva"/>
      </w:pPr>
    </w:p>
    <w:p w14:paraId="467D6068" w14:textId="77777777" w:rsidR="00F64776" w:rsidRDefault="00F64776" w:rsidP="00F64776">
      <w:pPr>
        <w:pStyle w:val="TextoNormalNegritaCentrado"/>
      </w:pPr>
      <w:r>
        <w:t>AUTO</w:t>
      </w:r>
    </w:p>
    <w:p w14:paraId="4D1D7D7F" w14:textId="7F6450D1" w:rsidR="00F64776" w:rsidRDefault="00F64776" w:rsidP="00F64776">
      <w:pPr>
        <w:pStyle w:val="TextoNormalNegritaCentrado"/>
      </w:pPr>
    </w:p>
    <w:p w14:paraId="261429FE" w14:textId="77777777" w:rsidR="00F64776" w:rsidRDefault="00F64776" w:rsidP="00F64776">
      <w:pPr>
        <w:pStyle w:val="TextoNormalNegritaCentrado"/>
        <w:keepNext/>
      </w:pPr>
      <w:r>
        <w:t>I. Antecedentes</w:t>
      </w:r>
    </w:p>
    <w:p w14:paraId="73595926" w14:textId="45BE06B5" w:rsidR="00F64776" w:rsidRDefault="00F64776" w:rsidP="00F64776">
      <w:pPr>
        <w:pStyle w:val="TextoNormalNegritaCentrado"/>
        <w:keepNext/>
      </w:pPr>
    </w:p>
    <w:p w14:paraId="25D49579" w14:textId="5BD2BB3C" w:rsidR="00F64776" w:rsidRDefault="00F64776" w:rsidP="00F64776">
      <w:pPr>
        <w:pStyle w:val="TextoNormal"/>
      </w:pPr>
      <w:r w:rsidRPr="00F64776">
        <w:rPr>
          <w:rStyle w:val="NumeroAFNegritaCaracter"/>
        </w:rPr>
        <w:t>1</w:t>
      </w:r>
      <w:r>
        <w:t>. Mediante escrito registrado en este tribunal el 25 de agosto de 2022, la procuradora de los tribunales doña Carmen Gómez Gutiérrez, en nombre y representación de la entidad Molino y Jarilla S.L., y bajo la dirección de la letrada doña Lourdes Capdevila González, formuló demanda de amparo contra la providencia de la Sección Primera de la Sala de lo Contencioso-Administrativo del Tribunal Supremo, en recurso de casación núm. 4238-2022.</w:t>
      </w:r>
    </w:p>
    <w:p w14:paraId="61FAE774" w14:textId="77777777" w:rsidR="00F64776" w:rsidRDefault="00F64776" w:rsidP="00F64776">
      <w:pPr>
        <w:pStyle w:val="TextoNormal"/>
      </w:pPr>
    </w:p>
    <w:p w14:paraId="78379D4C" w14:textId="260B47CC" w:rsidR="00F64776" w:rsidRDefault="00F64776" w:rsidP="00F64776">
      <w:pPr>
        <w:pStyle w:val="TextoNormal"/>
      </w:pPr>
      <w:r w:rsidRPr="00F64776">
        <w:rPr>
          <w:rStyle w:val="NumeroAFNegritaCaracter"/>
        </w:rPr>
        <w:t>2</w:t>
      </w:r>
      <w:r>
        <w:t>. Por escrito de 12 de julio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Tercera del Tribunal Supremo que dictó la resolución impugnada.</w:t>
      </w:r>
    </w:p>
    <w:p w14:paraId="12872ED9" w14:textId="77777777" w:rsidR="00F64776" w:rsidRDefault="00F64776" w:rsidP="00F64776">
      <w:pPr>
        <w:pStyle w:val="TextoNormal"/>
      </w:pPr>
    </w:p>
    <w:p w14:paraId="1268633D" w14:textId="77777777" w:rsidR="00F64776" w:rsidRDefault="00F64776" w:rsidP="00F64776">
      <w:pPr>
        <w:pStyle w:val="TextoNormalNegritaCentrado"/>
        <w:keepNext/>
      </w:pPr>
      <w:r>
        <w:t>II. Fundamentos jurídicos</w:t>
      </w:r>
    </w:p>
    <w:p w14:paraId="5B7F036A" w14:textId="32B2DA2B" w:rsidR="00F64776" w:rsidRDefault="00F64776" w:rsidP="00F64776">
      <w:pPr>
        <w:pStyle w:val="TextoNormalNegritaCentrado"/>
        <w:keepNext/>
      </w:pPr>
    </w:p>
    <w:p w14:paraId="1BF6C2E3" w14:textId="4DE672B5"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44A10E65" w14:textId="77777777" w:rsidR="00F64776" w:rsidRDefault="00F64776" w:rsidP="00F64776">
      <w:pPr>
        <w:pStyle w:val="TextoNormal"/>
      </w:pPr>
    </w:p>
    <w:p w14:paraId="6B93595C" w14:textId="77777777" w:rsidR="00F64776" w:rsidRDefault="00F64776" w:rsidP="00F64776">
      <w:pPr>
        <w:pStyle w:val="TextoNormal"/>
      </w:pPr>
      <w:r>
        <w:t>Por lo expuesto, la Sección</w:t>
      </w:r>
    </w:p>
    <w:p w14:paraId="58721216" w14:textId="2B2CAA70" w:rsidR="00F64776" w:rsidRDefault="00F64776" w:rsidP="00F64776">
      <w:pPr>
        <w:pStyle w:val="TextoNormal"/>
      </w:pPr>
    </w:p>
    <w:p w14:paraId="209589C9" w14:textId="77777777" w:rsidR="00F64776" w:rsidRDefault="00F64776" w:rsidP="00F64776">
      <w:pPr>
        <w:pStyle w:val="TextoNormalCentrado"/>
      </w:pPr>
      <w:r>
        <w:t>ACUERDA</w:t>
      </w:r>
    </w:p>
    <w:p w14:paraId="5024C1D3" w14:textId="2D2C8921" w:rsidR="00F64776" w:rsidRDefault="00F64776" w:rsidP="00F64776">
      <w:pPr>
        <w:pStyle w:val="TextoNormalCentrado"/>
      </w:pPr>
    </w:p>
    <w:p w14:paraId="5D25C317" w14:textId="0CBA2825" w:rsidR="00F64776" w:rsidRDefault="00F64776" w:rsidP="00F64776">
      <w:pPr>
        <w:pStyle w:val="TextoNormal"/>
      </w:pPr>
      <w:r>
        <w:t>Estimar justificada la abstención formulada por el magistrado don César Tolosa Tribiño en el recurso de amparo núm. 5710-2022 y apartarle definitivamente del conocimiento del referido recurso y de todas sus incidencias.</w:t>
      </w:r>
    </w:p>
    <w:p w14:paraId="6A6B65EA" w14:textId="77777777" w:rsidR="00F64776" w:rsidRDefault="00F64776" w:rsidP="00F64776">
      <w:pPr>
        <w:pStyle w:val="TextoNormal"/>
      </w:pPr>
    </w:p>
    <w:p w14:paraId="02ECA254" w14:textId="77777777" w:rsidR="00F64776" w:rsidRDefault="00F64776" w:rsidP="00F64776">
      <w:pPr>
        <w:pStyle w:val="TextoNormal"/>
      </w:pPr>
      <w:r>
        <w:t>Madrid, a diez de noviembre de dos mil veintitrés.</w:t>
      </w:r>
    </w:p>
    <w:p w14:paraId="0F225588" w14:textId="33380279" w:rsidR="00F64776" w:rsidRDefault="00F64776">
      <w:pPr>
        <w:spacing w:after="160" w:line="278" w:lineRule="auto"/>
        <w:rPr>
          <w:rFonts w:ascii="Times New Roman" w:eastAsia="Times New Roman" w:hAnsi="Times New Roman" w:cs="Times New Roman"/>
          <w:sz w:val="24"/>
          <w:szCs w:val="24"/>
          <w:lang w:eastAsia="es-ES"/>
        </w:rPr>
      </w:pPr>
      <w:r>
        <w:br w:type="page"/>
      </w:r>
    </w:p>
    <w:p w14:paraId="79B83B13" w14:textId="77777777" w:rsidR="00F64776" w:rsidRDefault="00F64776" w:rsidP="00F64776">
      <w:pPr>
        <w:pStyle w:val="TtuloResolucin"/>
      </w:pPr>
      <w:bookmarkStart w:id="328" w:name="AUTO_2023_543"/>
      <w:r>
        <w:t>AUTO 543/2023, de 10 de noviembre de 2023</w:t>
      </w:r>
    </w:p>
    <w:bookmarkEnd w:id="328"/>
    <w:p w14:paraId="25F7FBEB" w14:textId="77777777" w:rsidR="00F64776" w:rsidRDefault="00F64776" w:rsidP="00F64776">
      <w:pPr>
        <w:pStyle w:val="TtuloResolucin"/>
      </w:pPr>
      <w:r>
        <w:t>Sección Tercera</w:t>
      </w:r>
    </w:p>
    <w:p w14:paraId="7E132078" w14:textId="77777777" w:rsidR="00F64776" w:rsidRDefault="00F64776" w:rsidP="00F64776">
      <w:pPr>
        <w:pStyle w:val="TextoNormalCentrado"/>
      </w:pPr>
      <w:r>
        <w:t>ECLI:ES:TC:2023:543A</w:t>
      </w:r>
    </w:p>
    <w:p w14:paraId="45849B44" w14:textId="0B455679" w:rsidR="00F64776" w:rsidRDefault="00F64776" w:rsidP="00F64776">
      <w:pPr>
        <w:pStyle w:val="TextoNormalCentrado"/>
      </w:pPr>
    </w:p>
    <w:p w14:paraId="303FB8F6" w14:textId="77777777" w:rsidR="00F64776" w:rsidRDefault="00F64776" w:rsidP="00F64776">
      <w:pPr>
        <w:pStyle w:val="SntesisDescriptiva"/>
      </w:pPr>
      <w:r>
        <w:t>Excms. Srs. doña Inmaculada Montalbán Huertas y doña Laura Díez Bueso.</w:t>
      </w:r>
    </w:p>
    <w:p w14:paraId="496B3786" w14:textId="313DF07D" w:rsidR="00F64776" w:rsidRDefault="00F64776" w:rsidP="00F64776">
      <w:pPr>
        <w:pStyle w:val="SntesisDescriptiva"/>
      </w:pPr>
    </w:p>
    <w:p w14:paraId="5346322A" w14:textId="77777777" w:rsidR="00F64776" w:rsidRDefault="00F64776" w:rsidP="00F64776">
      <w:pPr>
        <w:pStyle w:val="SntesisDescriptiva"/>
      </w:pPr>
      <w:r>
        <w:t>Acepta una abstención en el recurso de amparo 6145-2022, promovido en proceso contencioso-administrativo.</w:t>
      </w:r>
    </w:p>
    <w:p w14:paraId="35B71F6F" w14:textId="4D3DB499" w:rsidR="00F64776" w:rsidRDefault="00F64776" w:rsidP="00F64776">
      <w:pPr>
        <w:pStyle w:val="SntesisDescriptiva"/>
      </w:pPr>
    </w:p>
    <w:p w14:paraId="4C509AD4" w14:textId="77777777" w:rsidR="00F64776" w:rsidRDefault="00F64776" w:rsidP="00F64776">
      <w:pPr>
        <w:pStyle w:val="SntesisDescriptiva"/>
      </w:pPr>
    </w:p>
    <w:p w14:paraId="7021ED14" w14:textId="77777777" w:rsidR="00F64776" w:rsidRDefault="00F64776" w:rsidP="00F64776">
      <w:pPr>
        <w:pStyle w:val="SntesisDescriptiva"/>
      </w:pPr>
    </w:p>
    <w:p w14:paraId="63CFE8AF" w14:textId="77777777" w:rsidR="00F64776" w:rsidRDefault="00F64776" w:rsidP="00F64776">
      <w:pPr>
        <w:pStyle w:val="TextoNormalNegritaCentrado"/>
      </w:pPr>
      <w:r>
        <w:t>AUTO</w:t>
      </w:r>
    </w:p>
    <w:p w14:paraId="3F03FD27" w14:textId="17138B33" w:rsidR="00F64776" w:rsidRDefault="00F64776" w:rsidP="00F64776">
      <w:pPr>
        <w:pStyle w:val="TextoNormalNegritaCentrado"/>
      </w:pPr>
    </w:p>
    <w:p w14:paraId="4078DBAB" w14:textId="77777777" w:rsidR="00F64776" w:rsidRDefault="00F64776" w:rsidP="00F64776">
      <w:pPr>
        <w:pStyle w:val="TextoNormalNegritaCentrado"/>
        <w:keepNext/>
      </w:pPr>
      <w:r>
        <w:t>I. Antecedentes</w:t>
      </w:r>
    </w:p>
    <w:p w14:paraId="516AC899" w14:textId="089E6AEE" w:rsidR="00F64776" w:rsidRDefault="00F64776" w:rsidP="00F64776">
      <w:pPr>
        <w:pStyle w:val="TextoNormalNegritaCentrado"/>
        <w:keepNext/>
      </w:pPr>
    </w:p>
    <w:p w14:paraId="614CBD9A" w14:textId="5DA51DE1" w:rsidR="00F64776" w:rsidRDefault="00F64776" w:rsidP="00F64776">
      <w:pPr>
        <w:pStyle w:val="TextoNormal"/>
      </w:pPr>
      <w:r w:rsidRPr="00F64776">
        <w:rPr>
          <w:rStyle w:val="NumeroAFNegritaCaracter"/>
        </w:rPr>
        <w:t>1</w:t>
      </w:r>
      <w:r>
        <w:t>. Mediante escrito registrado en este tribunal el 20 de septiembre de 2022, el procurador de los tribunales don Felipe Bermejo Valiente, en nombre y representación de don Miguel María García Cuevas y bajo la dirección de la letrada doña Jana Álvarez Trevín, formuló demanda de amparo contra la providencia de 6 de julio de 2022 de la Sección Primera de la Sala de lo Contencioso-Administrativo del Tribunal Supremo en recurso de casación núm. 4998-2021.</w:t>
      </w:r>
    </w:p>
    <w:p w14:paraId="74C2EFE2" w14:textId="77777777" w:rsidR="00F64776" w:rsidRDefault="00F64776" w:rsidP="00F64776">
      <w:pPr>
        <w:pStyle w:val="TextoNormal"/>
      </w:pPr>
    </w:p>
    <w:p w14:paraId="56D922FF" w14:textId="14959CA6" w:rsidR="00F64776" w:rsidRDefault="00F64776" w:rsidP="00F64776">
      <w:pPr>
        <w:pStyle w:val="TextoNormal"/>
      </w:pPr>
      <w:r w:rsidRPr="00F64776">
        <w:rPr>
          <w:rStyle w:val="NumeroAFNegritaCaracter"/>
        </w:rPr>
        <w:t>2</w:t>
      </w:r>
      <w:r>
        <w:t>. Por escrito de 4 de septiembre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0ED91B3A" w14:textId="77777777" w:rsidR="00F64776" w:rsidRDefault="00F64776" w:rsidP="00F64776">
      <w:pPr>
        <w:pStyle w:val="TextoNormal"/>
      </w:pPr>
    </w:p>
    <w:p w14:paraId="06E57811" w14:textId="77777777" w:rsidR="00F64776" w:rsidRDefault="00F64776" w:rsidP="00F64776">
      <w:pPr>
        <w:pStyle w:val="TextoNormalNegritaCentrado"/>
        <w:keepNext/>
      </w:pPr>
      <w:r>
        <w:t>II. Fundamentos jurídicos</w:t>
      </w:r>
    </w:p>
    <w:p w14:paraId="34D996E5" w14:textId="1A7EA0A4" w:rsidR="00F64776" w:rsidRDefault="00F64776" w:rsidP="00F64776">
      <w:pPr>
        <w:pStyle w:val="TextoNormalNegritaCentrado"/>
        <w:keepNext/>
      </w:pPr>
    </w:p>
    <w:p w14:paraId="27730BE4" w14:textId="11A1DBAD"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73822855" w14:textId="77777777" w:rsidR="00F64776" w:rsidRDefault="00F64776" w:rsidP="00F64776">
      <w:pPr>
        <w:pStyle w:val="TextoNormal"/>
      </w:pPr>
    </w:p>
    <w:p w14:paraId="22B40A8E" w14:textId="77777777" w:rsidR="00F64776" w:rsidRDefault="00F64776" w:rsidP="00F64776">
      <w:pPr>
        <w:pStyle w:val="TextoNormal"/>
      </w:pPr>
      <w:r>
        <w:t>Por lo expuesto, la Sección</w:t>
      </w:r>
    </w:p>
    <w:p w14:paraId="6664C60C" w14:textId="430E9D44" w:rsidR="00F64776" w:rsidRDefault="00F64776" w:rsidP="00F64776">
      <w:pPr>
        <w:pStyle w:val="TextoNormal"/>
      </w:pPr>
    </w:p>
    <w:p w14:paraId="1C131E7D" w14:textId="77777777" w:rsidR="00F64776" w:rsidRDefault="00F64776" w:rsidP="00F64776">
      <w:pPr>
        <w:pStyle w:val="TextoNormalCentrado"/>
      </w:pPr>
      <w:r>
        <w:t>ACUERDA</w:t>
      </w:r>
    </w:p>
    <w:p w14:paraId="0CB31BC6" w14:textId="4E3D2DCE" w:rsidR="00F64776" w:rsidRDefault="00F64776" w:rsidP="00F64776">
      <w:pPr>
        <w:pStyle w:val="TextoNormalCentrado"/>
      </w:pPr>
    </w:p>
    <w:p w14:paraId="69923408" w14:textId="28E30F2B" w:rsidR="00F64776" w:rsidRDefault="00F64776" w:rsidP="00F64776">
      <w:pPr>
        <w:pStyle w:val="TextoNormal"/>
      </w:pPr>
      <w:r>
        <w:t>Estimar justificada la abstención formulada por el magistrado don César Tolosa Tribiño en el recurso de amparo núm. 6145-2022 y apartarle definitivamente del conocimiento del referido recurso y de todas sus incidencias.</w:t>
      </w:r>
    </w:p>
    <w:p w14:paraId="38ED8573" w14:textId="77777777" w:rsidR="00F64776" w:rsidRDefault="00F64776" w:rsidP="00F64776">
      <w:pPr>
        <w:pStyle w:val="TextoNormal"/>
      </w:pPr>
    </w:p>
    <w:p w14:paraId="07BB799C" w14:textId="77777777" w:rsidR="00F64776" w:rsidRDefault="00F64776" w:rsidP="00F64776">
      <w:pPr>
        <w:pStyle w:val="TextoNormal"/>
      </w:pPr>
      <w:r>
        <w:t>Madrid, a diez de noviembre de dos mil veintitrés.</w:t>
      </w:r>
    </w:p>
    <w:p w14:paraId="16A0C677" w14:textId="30EA92F5" w:rsidR="00F64776" w:rsidRDefault="00F64776">
      <w:pPr>
        <w:spacing w:after="160" w:line="278" w:lineRule="auto"/>
        <w:rPr>
          <w:rFonts w:ascii="Times New Roman" w:eastAsia="Times New Roman" w:hAnsi="Times New Roman" w:cs="Times New Roman"/>
          <w:sz w:val="24"/>
          <w:szCs w:val="24"/>
          <w:lang w:eastAsia="es-ES"/>
        </w:rPr>
      </w:pPr>
      <w:r>
        <w:br w:type="page"/>
      </w:r>
    </w:p>
    <w:p w14:paraId="26101195" w14:textId="77777777" w:rsidR="00F64776" w:rsidRDefault="00F64776" w:rsidP="00F64776">
      <w:pPr>
        <w:pStyle w:val="TtuloResolucin"/>
      </w:pPr>
      <w:bookmarkStart w:id="329" w:name="AUTO_2023_544"/>
      <w:r>
        <w:t>AUTO 544/2023, de 10 de noviembre de 2023</w:t>
      </w:r>
    </w:p>
    <w:bookmarkEnd w:id="329"/>
    <w:p w14:paraId="19636D44" w14:textId="77777777" w:rsidR="00F64776" w:rsidRDefault="00F64776" w:rsidP="00F64776">
      <w:pPr>
        <w:pStyle w:val="TtuloResolucin"/>
      </w:pPr>
      <w:r>
        <w:t>Sección Tercera</w:t>
      </w:r>
    </w:p>
    <w:p w14:paraId="3AE71B1F" w14:textId="77777777" w:rsidR="00F64776" w:rsidRDefault="00F64776" w:rsidP="00F64776">
      <w:pPr>
        <w:pStyle w:val="TextoNormalCentrado"/>
      </w:pPr>
      <w:r>
        <w:t>ECLI:ES:TC:2023:544A</w:t>
      </w:r>
    </w:p>
    <w:p w14:paraId="044CE24A" w14:textId="1491DD65" w:rsidR="00F64776" w:rsidRDefault="00F64776" w:rsidP="00F64776">
      <w:pPr>
        <w:pStyle w:val="TextoNormalCentrado"/>
      </w:pPr>
    </w:p>
    <w:p w14:paraId="34AE7B1B" w14:textId="77777777" w:rsidR="00F64776" w:rsidRDefault="00F64776" w:rsidP="00F64776">
      <w:pPr>
        <w:pStyle w:val="SntesisDescriptiva"/>
      </w:pPr>
      <w:r>
        <w:t>Excms. Srs. doña Inmaculada Montalbán Huertas y doña Laura Díez Bueso.</w:t>
      </w:r>
    </w:p>
    <w:p w14:paraId="51819FE0" w14:textId="74DF46DD" w:rsidR="00F64776" w:rsidRDefault="00F64776" w:rsidP="00F64776">
      <w:pPr>
        <w:pStyle w:val="SntesisDescriptiva"/>
      </w:pPr>
    </w:p>
    <w:p w14:paraId="798D6F86" w14:textId="77777777" w:rsidR="00F64776" w:rsidRDefault="00F64776" w:rsidP="00F64776">
      <w:pPr>
        <w:pStyle w:val="SntesisDescriptiva"/>
      </w:pPr>
      <w:r>
        <w:t>Acepta una abstención en el recurso de amparo 6155-2022, promovido por la entidad Korreo Berri, S.L., en proceso contencioso-administrativo.</w:t>
      </w:r>
    </w:p>
    <w:p w14:paraId="65046E58" w14:textId="760A05CD" w:rsidR="00F64776" w:rsidRDefault="00F64776" w:rsidP="00F64776">
      <w:pPr>
        <w:pStyle w:val="SntesisDescriptiva"/>
      </w:pPr>
    </w:p>
    <w:p w14:paraId="07B4C2AF" w14:textId="77777777" w:rsidR="00F64776" w:rsidRDefault="00F64776" w:rsidP="00F64776">
      <w:pPr>
        <w:pStyle w:val="SntesisDescriptiva"/>
      </w:pPr>
    </w:p>
    <w:p w14:paraId="7EFFBE73" w14:textId="77777777" w:rsidR="00F64776" w:rsidRDefault="00F64776" w:rsidP="00F64776">
      <w:pPr>
        <w:pStyle w:val="SntesisDescriptiva"/>
      </w:pPr>
    </w:p>
    <w:p w14:paraId="6A2F0158" w14:textId="77777777" w:rsidR="00F64776" w:rsidRDefault="00F64776" w:rsidP="00F64776">
      <w:pPr>
        <w:pStyle w:val="TextoNormalNegritaCentrado"/>
      </w:pPr>
      <w:r>
        <w:t>AUTO</w:t>
      </w:r>
    </w:p>
    <w:p w14:paraId="76EC24C8" w14:textId="5C4BFCD3" w:rsidR="00F64776" w:rsidRDefault="00F64776" w:rsidP="00F64776">
      <w:pPr>
        <w:pStyle w:val="TextoNormalNegritaCentrado"/>
      </w:pPr>
    </w:p>
    <w:p w14:paraId="4A1F5210" w14:textId="77777777" w:rsidR="00F64776" w:rsidRDefault="00F64776" w:rsidP="00F64776">
      <w:pPr>
        <w:pStyle w:val="TextoNormalNegritaCentrado"/>
        <w:keepNext/>
      </w:pPr>
      <w:r>
        <w:t>I. Antecedentes</w:t>
      </w:r>
    </w:p>
    <w:p w14:paraId="43E25611" w14:textId="5D0CAB95" w:rsidR="00F64776" w:rsidRDefault="00F64776" w:rsidP="00F64776">
      <w:pPr>
        <w:pStyle w:val="TextoNormalNegritaCentrado"/>
        <w:keepNext/>
      </w:pPr>
    </w:p>
    <w:p w14:paraId="59932242" w14:textId="3B6BF499" w:rsidR="00F64776" w:rsidRDefault="00F64776" w:rsidP="00F64776">
      <w:pPr>
        <w:pStyle w:val="TextoNormal"/>
      </w:pPr>
      <w:r w:rsidRPr="00F64776">
        <w:rPr>
          <w:rStyle w:val="NumeroAFNegritaCaracter"/>
        </w:rPr>
        <w:t>1</w:t>
      </w:r>
      <w:r>
        <w:t>. Mediante escrito registrado en este tribunal el 20 de septiembre de 2022, el procurador de los tribunales don José Carlos Peñalver Garcerán, en nombre y representación de la entidad Korreo Berri, S.L., y bajo la dirección de la letrada doña María Inmaculada de la Fuente Cabero, formuló demanda de amparo contra la providencia de 6 de julio de 2022, dictada por la Sección Primera de la Sala de lo Contencioso-Administrativo del Tribunal Supremo, en recurso de casación núm. 1760-2021 contra la sentencia de la Sección Primera de la Sala de lo Contencioso-Administrativo del Tribunal Superior de Justicia del País Vasco, en recurso de apelación núm. 383-2020.</w:t>
      </w:r>
    </w:p>
    <w:p w14:paraId="2A6AE3FD" w14:textId="77777777" w:rsidR="00F64776" w:rsidRDefault="00F64776" w:rsidP="00F64776">
      <w:pPr>
        <w:pStyle w:val="TextoNormal"/>
      </w:pPr>
    </w:p>
    <w:p w14:paraId="19D34C24" w14:textId="1BAECD18" w:rsidR="00F64776" w:rsidRDefault="00F64776" w:rsidP="00F64776">
      <w:pPr>
        <w:pStyle w:val="TextoNormal"/>
      </w:pPr>
      <w:r w:rsidRPr="00F64776">
        <w:rPr>
          <w:rStyle w:val="NumeroAFNegritaCaracter"/>
        </w:rPr>
        <w:t>2</w:t>
      </w:r>
      <w:r>
        <w:t>. Por escrito de 5 de julio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1B18DBB9" w14:textId="77777777" w:rsidR="00F64776" w:rsidRDefault="00F64776" w:rsidP="00F64776">
      <w:pPr>
        <w:pStyle w:val="TextoNormal"/>
      </w:pPr>
    </w:p>
    <w:p w14:paraId="45AA3E98" w14:textId="77777777" w:rsidR="00F64776" w:rsidRDefault="00F64776" w:rsidP="00F64776">
      <w:pPr>
        <w:pStyle w:val="TextoNormalNegritaCentrado"/>
        <w:keepNext/>
      </w:pPr>
      <w:r>
        <w:t>II. Fundamentos jurídicos</w:t>
      </w:r>
    </w:p>
    <w:p w14:paraId="7EFA0FC4" w14:textId="5A3BDD6B" w:rsidR="00F64776" w:rsidRDefault="00F64776" w:rsidP="00F64776">
      <w:pPr>
        <w:pStyle w:val="TextoNormalNegritaCentrado"/>
        <w:keepNext/>
      </w:pPr>
    </w:p>
    <w:p w14:paraId="5FEC3945" w14:textId="22F333D1"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0DF65725" w14:textId="77777777" w:rsidR="00F64776" w:rsidRDefault="00F64776" w:rsidP="00F64776">
      <w:pPr>
        <w:pStyle w:val="TextoNormal"/>
      </w:pPr>
    </w:p>
    <w:p w14:paraId="30A69A0F" w14:textId="77777777" w:rsidR="00F64776" w:rsidRDefault="00F64776" w:rsidP="00F64776">
      <w:pPr>
        <w:pStyle w:val="TextoNormal"/>
      </w:pPr>
      <w:r>
        <w:t>Por lo expuesto, la Sección</w:t>
      </w:r>
    </w:p>
    <w:p w14:paraId="63EEDAF0" w14:textId="5D5212C3" w:rsidR="00F64776" w:rsidRDefault="00F64776" w:rsidP="00F64776">
      <w:pPr>
        <w:pStyle w:val="TextoNormal"/>
      </w:pPr>
    </w:p>
    <w:p w14:paraId="44666C44" w14:textId="77777777" w:rsidR="00F64776" w:rsidRDefault="00F64776" w:rsidP="00F64776">
      <w:pPr>
        <w:pStyle w:val="TextoNormalCentrado"/>
      </w:pPr>
      <w:r>
        <w:t>ACUERDA</w:t>
      </w:r>
    </w:p>
    <w:p w14:paraId="3626DFD7" w14:textId="0C661CAA" w:rsidR="00F64776" w:rsidRDefault="00F64776" w:rsidP="00F64776">
      <w:pPr>
        <w:pStyle w:val="TextoNormalCentrado"/>
      </w:pPr>
    </w:p>
    <w:p w14:paraId="1EDFFC69" w14:textId="11E303CA" w:rsidR="00F64776" w:rsidRDefault="00F64776" w:rsidP="00F64776">
      <w:pPr>
        <w:pStyle w:val="TextoNormal"/>
      </w:pPr>
      <w:r>
        <w:t>Estimar justificada la abstención formulada por el magistrado don César Tolosa Tribiño en el recurso de amparo núm. 6155-2022 y apartarle definitivamente del conocimiento del referido recurso y de todas sus incidencias.</w:t>
      </w:r>
    </w:p>
    <w:p w14:paraId="3F6C95CC" w14:textId="77777777" w:rsidR="00F64776" w:rsidRDefault="00F64776" w:rsidP="00F64776">
      <w:pPr>
        <w:pStyle w:val="TextoNormal"/>
      </w:pPr>
    </w:p>
    <w:p w14:paraId="2CDF9B9C" w14:textId="77777777" w:rsidR="00F64776" w:rsidRDefault="00F64776" w:rsidP="00F64776">
      <w:pPr>
        <w:pStyle w:val="TextoNormal"/>
      </w:pPr>
      <w:r>
        <w:t>Madrid, a diez de noviembre de dos mil veintitrés.</w:t>
      </w:r>
    </w:p>
    <w:p w14:paraId="4CEE0362" w14:textId="6204A921" w:rsidR="00F64776" w:rsidRDefault="00F64776">
      <w:pPr>
        <w:spacing w:after="160" w:line="278" w:lineRule="auto"/>
        <w:rPr>
          <w:rFonts w:ascii="Times New Roman" w:eastAsia="Times New Roman" w:hAnsi="Times New Roman" w:cs="Times New Roman"/>
          <w:sz w:val="24"/>
          <w:szCs w:val="24"/>
          <w:lang w:eastAsia="es-ES"/>
        </w:rPr>
      </w:pPr>
      <w:r>
        <w:br w:type="page"/>
      </w:r>
    </w:p>
    <w:p w14:paraId="6553FD53" w14:textId="77777777" w:rsidR="00F64776" w:rsidRDefault="00F64776" w:rsidP="00F64776">
      <w:pPr>
        <w:pStyle w:val="TtuloResolucin"/>
      </w:pPr>
      <w:bookmarkStart w:id="330" w:name="AUTO_2023_545"/>
      <w:r>
        <w:t>AUTO 545/2023, de 10 de noviembre de 2023</w:t>
      </w:r>
    </w:p>
    <w:bookmarkEnd w:id="330"/>
    <w:p w14:paraId="266E90C2" w14:textId="77777777" w:rsidR="00F64776" w:rsidRDefault="00F64776" w:rsidP="00F64776">
      <w:pPr>
        <w:pStyle w:val="TtuloResolucin"/>
      </w:pPr>
      <w:r>
        <w:t>Sección Tercera</w:t>
      </w:r>
    </w:p>
    <w:p w14:paraId="6104EF4D" w14:textId="77777777" w:rsidR="00F64776" w:rsidRDefault="00F64776" w:rsidP="00F64776">
      <w:pPr>
        <w:pStyle w:val="TextoNormalCentrado"/>
      </w:pPr>
      <w:r>
        <w:t>ECLI:ES:TC:2023:545A</w:t>
      </w:r>
    </w:p>
    <w:p w14:paraId="6BD76AFF" w14:textId="4230B10C" w:rsidR="00F64776" w:rsidRDefault="00F64776" w:rsidP="00F64776">
      <w:pPr>
        <w:pStyle w:val="TextoNormalCentrado"/>
      </w:pPr>
    </w:p>
    <w:p w14:paraId="28303032" w14:textId="77777777" w:rsidR="00F64776" w:rsidRDefault="00F64776" w:rsidP="00F64776">
      <w:pPr>
        <w:pStyle w:val="SntesisDescriptiva"/>
      </w:pPr>
      <w:r>
        <w:t>Excms. Srs. doña Inmaculada Montalbán Huertas y doña Laura Díez Bueso.</w:t>
      </w:r>
    </w:p>
    <w:p w14:paraId="426CA126" w14:textId="5C6EF815" w:rsidR="00F64776" w:rsidRDefault="00F64776" w:rsidP="00F64776">
      <w:pPr>
        <w:pStyle w:val="SntesisDescriptiva"/>
      </w:pPr>
    </w:p>
    <w:p w14:paraId="25AE85F0" w14:textId="77777777" w:rsidR="00F64776" w:rsidRDefault="00F64776" w:rsidP="00F64776">
      <w:pPr>
        <w:pStyle w:val="SntesisDescriptiva"/>
      </w:pPr>
      <w:r>
        <w:t>Acepta una abstención en el recurso de amparo 7592-2022, promovido en proceso contencioso-administrativo.</w:t>
      </w:r>
    </w:p>
    <w:p w14:paraId="3F5E5F6F" w14:textId="22800E3A" w:rsidR="00F64776" w:rsidRDefault="00F64776" w:rsidP="00F64776">
      <w:pPr>
        <w:pStyle w:val="SntesisDescriptiva"/>
      </w:pPr>
    </w:p>
    <w:p w14:paraId="608F002D" w14:textId="77777777" w:rsidR="00F64776" w:rsidRDefault="00F64776" w:rsidP="00F64776">
      <w:pPr>
        <w:pStyle w:val="SntesisDescriptiva"/>
      </w:pPr>
    </w:p>
    <w:p w14:paraId="3E148F15" w14:textId="77777777" w:rsidR="00F64776" w:rsidRDefault="00F64776" w:rsidP="00F64776">
      <w:pPr>
        <w:pStyle w:val="SntesisDescriptiva"/>
      </w:pPr>
    </w:p>
    <w:p w14:paraId="0D234B32" w14:textId="77777777" w:rsidR="00F64776" w:rsidRDefault="00F64776" w:rsidP="00F64776">
      <w:pPr>
        <w:pStyle w:val="TextoNormalNegritaCentrado"/>
      </w:pPr>
      <w:r>
        <w:t>AUTO</w:t>
      </w:r>
    </w:p>
    <w:p w14:paraId="5E0067BD" w14:textId="5098B34C" w:rsidR="00F64776" w:rsidRDefault="00F64776" w:rsidP="00F64776">
      <w:pPr>
        <w:pStyle w:val="TextoNormalNegritaCentrado"/>
      </w:pPr>
    </w:p>
    <w:p w14:paraId="14ECB561" w14:textId="77777777" w:rsidR="00F64776" w:rsidRDefault="00F64776" w:rsidP="00F64776">
      <w:pPr>
        <w:pStyle w:val="TextoNormalNegritaCentrado"/>
        <w:keepNext/>
      </w:pPr>
      <w:r>
        <w:t>I. Antecedentes</w:t>
      </w:r>
    </w:p>
    <w:p w14:paraId="6F152CCB" w14:textId="1A644D0D" w:rsidR="00F64776" w:rsidRDefault="00F64776" w:rsidP="00F64776">
      <w:pPr>
        <w:pStyle w:val="TextoNormalNegritaCentrado"/>
        <w:keepNext/>
      </w:pPr>
    </w:p>
    <w:p w14:paraId="5B68D18E" w14:textId="21C531F3" w:rsidR="00F64776" w:rsidRDefault="00F64776" w:rsidP="00F64776">
      <w:pPr>
        <w:pStyle w:val="TextoNormal"/>
      </w:pPr>
      <w:r w:rsidRPr="00F64776">
        <w:rPr>
          <w:rStyle w:val="NumeroAFNegritaCaracter"/>
        </w:rPr>
        <w:t>1</w:t>
      </w:r>
      <w:r>
        <w:t>. Mediante escrito registrado en este tribunal el 17 de noviembre de 2022, la procuradora de los tribunales doña María de la Concepción Moreno de Barreda Rovira, en nombre y representación de don Rafael de Miguel Lorenzo y bajo la dirección de la letrada doña Paloma de los Remedios Martín Cienfuegos, formuló demanda de amparo contra el auto de 20 de octubre de 2022 de la Sección Primera de la Sala de lo Contencioso-Administrativo del Tribunal Supremo, en recurso de queja núm. 440-2022.</w:t>
      </w:r>
    </w:p>
    <w:p w14:paraId="6E529FA7" w14:textId="77777777" w:rsidR="00F64776" w:rsidRDefault="00F64776" w:rsidP="00F64776">
      <w:pPr>
        <w:pStyle w:val="TextoNormal"/>
      </w:pPr>
    </w:p>
    <w:p w14:paraId="5B74E9B9" w14:textId="73E3FC3C" w:rsidR="00F64776" w:rsidRDefault="00F64776" w:rsidP="00F64776">
      <w:pPr>
        <w:pStyle w:val="TextoNormal"/>
      </w:pPr>
      <w:r w:rsidRPr="00F64776">
        <w:rPr>
          <w:rStyle w:val="NumeroAFNegritaCaracter"/>
        </w:rPr>
        <w:t>2</w:t>
      </w:r>
      <w:r>
        <w:t>. Por escrito de 5 de julio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 Administrativo del Tribunal Supremo que dictó la resolución impugnada.</w:t>
      </w:r>
    </w:p>
    <w:p w14:paraId="099FAA2E" w14:textId="77777777" w:rsidR="00F64776" w:rsidRDefault="00F64776" w:rsidP="00F64776">
      <w:pPr>
        <w:pStyle w:val="TextoNormal"/>
      </w:pPr>
    </w:p>
    <w:p w14:paraId="2973E574" w14:textId="77777777" w:rsidR="00F64776" w:rsidRDefault="00F64776" w:rsidP="00F64776">
      <w:pPr>
        <w:pStyle w:val="TextoNormalNegritaCentrado"/>
        <w:keepNext/>
      </w:pPr>
      <w:r>
        <w:t>II. Fundamentos jurídicos</w:t>
      </w:r>
    </w:p>
    <w:p w14:paraId="1FE5867F" w14:textId="43658A35" w:rsidR="00F64776" w:rsidRDefault="00F64776" w:rsidP="00F64776">
      <w:pPr>
        <w:pStyle w:val="TextoNormalNegritaCentrado"/>
        <w:keepNext/>
      </w:pPr>
    </w:p>
    <w:p w14:paraId="6747B7A7" w14:textId="2BFEFFB5"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739FE157" w14:textId="77777777" w:rsidR="00F64776" w:rsidRDefault="00F64776" w:rsidP="00F64776">
      <w:pPr>
        <w:pStyle w:val="TextoNormal"/>
      </w:pPr>
    </w:p>
    <w:p w14:paraId="4D0E18C1" w14:textId="77777777" w:rsidR="00F64776" w:rsidRDefault="00F64776" w:rsidP="00F64776">
      <w:pPr>
        <w:pStyle w:val="TextoNormal"/>
      </w:pPr>
      <w:r>
        <w:t>Por lo expuesto, la Sección</w:t>
      </w:r>
    </w:p>
    <w:p w14:paraId="7F73DDC6" w14:textId="1B0FED44" w:rsidR="00F64776" w:rsidRDefault="00F64776" w:rsidP="00F64776">
      <w:pPr>
        <w:pStyle w:val="TextoNormal"/>
      </w:pPr>
    </w:p>
    <w:p w14:paraId="2EA05A94" w14:textId="77777777" w:rsidR="00F64776" w:rsidRDefault="00F64776" w:rsidP="00F64776">
      <w:pPr>
        <w:pStyle w:val="TextoNormalCentrado"/>
      </w:pPr>
      <w:r>
        <w:t>ACUERDA</w:t>
      </w:r>
    </w:p>
    <w:p w14:paraId="3D931B0B" w14:textId="4F814E29" w:rsidR="00F64776" w:rsidRDefault="00F64776" w:rsidP="00F64776">
      <w:pPr>
        <w:pStyle w:val="TextoNormalCentrado"/>
      </w:pPr>
    </w:p>
    <w:p w14:paraId="4DD2BEF7" w14:textId="28F4D9C1" w:rsidR="00F64776" w:rsidRDefault="00F64776" w:rsidP="00F64776">
      <w:pPr>
        <w:pStyle w:val="TextoNormal"/>
      </w:pPr>
      <w:r>
        <w:t>Estimar justificada la abstención formulada por el magistrado don César Tolosa Tribiño en el recurso de amparo núm. 7592-2022 y apartarle definitivamente del conocimiento del referido recurso y de todas sus incidencias.</w:t>
      </w:r>
    </w:p>
    <w:p w14:paraId="0003D4D6" w14:textId="77777777" w:rsidR="00F64776" w:rsidRDefault="00F64776" w:rsidP="00F64776">
      <w:pPr>
        <w:pStyle w:val="TextoNormal"/>
      </w:pPr>
    </w:p>
    <w:p w14:paraId="3DF1E569" w14:textId="77777777" w:rsidR="00F64776" w:rsidRDefault="00F64776" w:rsidP="00F64776">
      <w:pPr>
        <w:pStyle w:val="TextoNormal"/>
      </w:pPr>
      <w:r>
        <w:t>Madrid, a diez de noviembre de dos mil veintitrés.</w:t>
      </w:r>
    </w:p>
    <w:p w14:paraId="44CAB913" w14:textId="302AED36" w:rsidR="00F64776" w:rsidRDefault="00F64776">
      <w:pPr>
        <w:spacing w:after="160" w:line="278" w:lineRule="auto"/>
        <w:rPr>
          <w:rFonts w:ascii="Times New Roman" w:eastAsia="Times New Roman" w:hAnsi="Times New Roman" w:cs="Times New Roman"/>
          <w:sz w:val="24"/>
          <w:szCs w:val="24"/>
          <w:lang w:eastAsia="es-ES"/>
        </w:rPr>
      </w:pPr>
      <w:r>
        <w:br w:type="page"/>
      </w:r>
    </w:p>
    <w:p w14:paraId="266D1144" w14:textId="77777777" w:rsidR="00F64776" w:rsidRDefault="00F64776" w:rsidP="00F64776">
      <w:pPr>
        <w:pStyle w:val="TtuloResolucin"/>
      </w:pPr>
      <w:bookmarkStart w:id="331" w:name="AUTO_2023_546"/>
      <w:r>
        <w:t>AUTO 546/2023, de 10 de noviembre de 2023</w:t>
      </w:r>
    </w:p>
    <w:bookmarkEnd w:id="331"/>
    <w:p w14:paraId="4CB2D01E" w14:textId="77777777" w:rsidR="00F64776" w:rsidRDefault="00F64776" w:rsidP="00F64776">
      <w:pPr>
        <w:pStyle w:val="TtuloResolucin"/>
      </w:pPr>
      <w:r>
        <w:t>Sección Tercera</w:t>
      </w:r>
    </w:p>
    <w:p w14:paraId="7869DEA5" w14:textId="77777777" w:rsidR="00F64776" w:rsidRDefault="00F64776" w:rsidP="00F64776">
      <w:pPr>
        <w:pStyle w:val="TextoNormalCentrado"/>
      </w:pPr>
      <w:r>
        <w:t>ECLI:ES:TC:2023:546A</w:t>
      </w:r>
    </w:p>
    <w:p w14:paraId="6E2B1B76" w14:textId="06C96D11" w:rsidR="00F64776" w:rsidRDefault="00F64776" w:rsidP="00F64776">
      <w:pPr>
        <w:pStyle w:val="TextoNormalCentrado"/>
      </w:pPr>
    </w:p>
    <w:p w14:paraId="14B19BA7" w14:textId="77777777" w:rsidR="00F64776" w:rsidRDefault="00F64776" w:rsidP="00F64776">
      <w:pPr>
        <w:pStyle w:val="SntesisDescriptiva"/>
      </w:pPr>
      <w:r>
        <w:t>Excms. Srs. doña Inmaculada Montalbán Huertas y doña Laura Díez Bueso.</w:t>
      </w:r>
    </w:p>
    <w:p w14:paraId="04198158" w14:textId="6183B487" w:rsidR="00F64776" w:rsidRDefault="00F64776" w:rsidP="00F64776">
      <w:pPr>
        <w:pStyle w:val="SntesisDescriptiva"/>
      </w:pPr>
    </w:p>
    <w:p w14:paraId="61B20E2F" w14:textId="77777777" w:rsidR="00F64776" w:rsidRDefault="00F64776" w:rsidP="00F64776">
      <w:pPr>
        <w:pStyle w:val="SntesisDescriptiva"/>
      </w:pPr>
      <w:r>
        <w:t>Acepta una abstención en el recurso de amparo 7701-2022, promovido en proceso contencioso-administrativo.</w:t>
      </w:r>
    </w:p>
    <w:p w14:paraId="2DA4284B" w14:textId="0DAA84B7" w:rsidR="00F64776" w:rsidRDefault="00F64776" w:rsidP="00F64776">
      <w:pPr>
        <w:pStyle w:val="SntesisDescriptiva"/>
      </w:pPr>
    </w:p>
    <w:p w14:paraId="04FF3FA9" w14:textId="77777777" w:rsidR="00F64776" w:rsidRDefault="00F64776" w:rsidP="00F64776">
      <w:pPr>
        <w:pStyle w:val="SntesisDescriptiva"/>
      </w:pPr>
    </w:p>
    <w:p w14:paraId="7B7D654D" w14:textId="77777777" w:rsidR="00F64776" w:rsidRDefault="00F64776" w:rsidP="00F64776">
      <w:pPr>
        <w:pStyle w:val="SntesisDescriptiva"/>
      </w:pPr>
    </w:p>
    <w:p w14:paraId="3048FB18" w14:textId="77777777" w:rsidR="00F64776" w:rsidRDefault="00F64776" w:rsidP="00F64776">
      <w:pPr>
        <w:pStyle w:val="TextoNormalNegritaCentrado"/>
      </w:pPr>
      <w:r>
        <w:t>AUTO</w:t>
      </w:r>
    </w:p>
    <w:p w14:paraId="556254F7" w14:textId="38625AFA" w:rsidR="00F64776" w:rsidRDefault="00F64776" w:rsidP="00F64776">
      <w:pPr>
        <w:pStyle w:val="TextoNormalNegritaCentrado"/>
      </w:pPr>
    </w:p>
    <w:p w14:paraId="2201350B" w14:textId="77777777" w:rsidR="00F64776" w:rsidRDefault="00F64776" w:rsidP="00F64776">
      <w:pPr>
        <w:pStyle w:val="TextoNormalNegritaCentrado"/>
        <w:keepNext/>
      </w:pPr>
      <w:r>
        <w:t>I. Antecedentes</w:t>
      </w:r>
    </w:p>
    <w:p w14:paraId="502C817A" w14:textId="567001C8" w:rsidR="00F64776" w:rsidRDefault="00F64776" w:rsidP="00F64776">
      <w:pPr>
        <w:pStyle w:val="TextoNormalNegritaCentrado"/>
        <w:keepNext/>
      </w:pPr>
    </w:p>
    <w:p w14:paraId="5F466FAF" w14:textId="698546F2" w:rsidR="00F64776" w:rsidRDefault="00F64776" w:rsidP="00F64776">
      <w:pPr>
        <w:pStyle w:val="TextoNormal"/>
      </w:pPr>
      <w:r w:rsidRPr="00F64776">
        <w:rPr>
          <w:rStyle w:val="NumeroAFNegritaCaracter"/>
        </w:rPr>
        <w:t>1</w:t>
      </w:r>
      <w:r>
        <w:t>. Mediante escrito registrado en este tribunal el 22 de noviembre de 2022, la procuradora de los tribunales doña Isabel Covadonga Juliá Corujo, en nombre y representación de doña María Pilar Zoraida Junquera Sánchez y bajo la dirección del letrado don Alejandro Huergo Lora, formuló demanda de amparo contra la providencia de 19 de octubre de 2022 de la Sección Primera de la Sala de lo Contencioso Administrativo del Tribunal Supremo en recurso de casación núm. 6916-2021.</w:t>
      </w:r>
    </w:p>
    <w:p w14:paraId="432A888A" w14:textId="77777777" w:rsidR="00F64776" w:rsidRDefault="00F64776" w:rsidP="00F64776">
      <w:pPr>
        <w:pStyle w:val="TextoNormal"/>
      </w:pPr>
    </w:p>
    <w:p w14:paraId="08DB504A" w14:textId="0C21A8E3" w:rsidR="00F64776" w:rsidRDefault="00F64776" w:rsidP="00F64776">
      <w:pPr>
        <w:pStyle w:val="TextoNormal"/>
      </w:pPr>
      <w:r w:rsidRPr="00F64776">
        <w:rPr>
          <w:rStyle w:val="NumeroAFNegritaCaracter"/>
        </w:rPr>
        <w:t>2</w:t>
      </w:r>
      <w:r>
        <w:t>. Por escrito de 17 de julio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2144182C" w14:textId="77777777" w:rsidR="00F64776" w:rsidRDefault="00F64776" w:rsidP="00F64776">
      <w:pPr>
        <w:pStyle w:val="TextoNormal"/>
      </w:pPr>
    </w:p>
    <w:p w14:paraId="195999DC" w14:textId="77777777" w:rsidR="00F64776" w:rsidRDefault="00F64776" w:rsidP="00F64776">
      <w:pPr>
        <w:pStyle w:val="TextoNormalNegritaCentrado"/>
        <w:keepNext/>
      </w:pPr>
      <w:r>
        <w:t>II. Fundamentos jurídicos</w:t>
      </w:r>
    </w:p>
    <w:p w14:paraId="1FC9F0FC" w14:textId="212EBEC7" w:rsidR="00F64776" w:rsidRDefault="00F64776" w:rsidP="00F64776">
      <w:pPr>
        <w:pStyle w:val="TextoNormalNegritaCentrado"/>
        <w:keepNext/>
      </w:pPr>
    </w:p>
    <w:p w14:paraId="0AE9D6E8" w14:textId="63B7DB85"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43FFA550" w14:textId="77777777" w:rsidR="00F64776" w:rsidRDefault="00F64776" w:rsidP="00F64776">
      <w:pPr>
        <w:pStyle w:val="TextoNormal"/>
      </w:pPr>
    </w:p>
    <w:p w14:paraId="03D198A1" w14:textId="77777777" w:rsidR="00F64776" w:rsidRDefault="00F64776" w:rsidP="00F64776">
      <w:pPr>
        <w:pStyle w:val="TextoNormal"/>
      </w:pPr>
      <w:r>
        <w:t>Por lo expuesto, la Sección</w:t>
      </w:r>
    </w:p>
    <w:p w14:paraId="5BB6FACA" w14:textId="15C00D79" w:rsidR="00F64776" w:rsidRDefault="00F64776" w:rsidP="00F64776">
      <w:pPr>
        <w:pStyle w:val="TextoNormal"/>
      </w:pPr>
    </w:p>
    <w:p w14:paraId="25B815F7" w14:textId="77777777" w:rsidR="00F64776" w:rsidRDefault="00F64776" w:rsidP="00F64776">
      <w:pPr>
        <w:pStyle w:val="TextoNormalCentrado"/>
      </w:pPr>
      <w:r>
        <w:t>ACUERDA</w:t>
      </w:r>
    </w:p>
    <w:p w14:paraId="018AAA82" w14:textId="3FBBE11E" w:rsidR="00F64776" w:rsidRDefault="00F64776" w:rsidP="00F64776">
      <w:pPr>
        <w:pStyle w:val="TextoNormalCentrado"/>
      </w:pPr>
    </w:p>
    <w:p w14:paraId="56FB8E21" w14:textId="0B886128" w:rsidR="00F64776" w:rsidRDefault="00F64776" w:rsidP="00F64776">
      <w:pPr>
        <w:pStyle w:val="TextoNormal"/>
      </w:pPr>
      <w:r>
        <w:t>Estimar justificada la abstención formulada por el magistrado don César Tolosa Tribiño en el recurso de amparo núm. 7701-2022 y apartarle definitivamente del conocimiento del referido recurso y de todas sus incidencias.</w:t>
      </w:r>
    </w:p>
    <w:p w14:paraId="54D5274F" w14:textId="77777777" w:rsidR="00F64776" w:rsidRDefault="00F64776" w:rsidP="00F64776">
      <w:pPr>
        <w:pStyle w:val="TextoNormal"/>
      </w:pPr>
    </w:p>
    <w:p w14:paraId="0B0A1490" w14:textId="77777777" w:rsidR="00F64776" w:rsidRDefault="00F64776" w:rsidP="00F64776">
      <w:pPr>
        <w:pStyle w:val="TextoNormal"/>
      </w:pPr>
      <w:r>
        <w:t>Madrid, a diez de noviembre de dos mil veintitrés.</w:t>
      </w:r>
    </w:p>
    <w:p w14:paraId="14CB1693" w14:textId="4E2DC8EA" w:rsidR="00F64776" w:rsidRDefault="00F64776">
      <w:pPr>
        <w:spacing w:after="160" w:line="278" w:lineRule="auto"/>
        <w:rPr>
          <w:rFonts w:ascii="Times New Roman" w:eastAsia="Times New Roman" w:hAnsi="Times New Roman" w:cs="Times New Roman"/>
          <w:sz w:val="24"/>
          <w:szCs w:val="24"/>
          <w:lang w:eastAsia="es-ES"/>
        </w:rPr>
      </w:pPr>
      <w:r>
        <w:br w:type="page"/>
      </w:r>
    </w:p>
    <w:p w14:paraId="44BFAB63" w14:textId="77777777" w:rsidR="00F64776" w:rsidRDefault="00F64776" w:rsidP="00F64776">
      <w:pPr>
        <w:pStyle w:val="TtuloResolucin"/>
      </w:pPr>
      <w:bookmarkStart w:id="332" w:name="AUTO_2023_547"/>
      <w:r>
        <w:t>AUTO 547/2023, de 10 de noviembre de 2023</w:t>
      </w:r>
    </w:p>
    <w:bookmarkEnd w:id="332"/>
    <w:p w14:paraId="1EF0F4D1" w14:textId="77777777" w:rsidR="00F64776" w:rsidRDefault="00F64776" w:rsidP="00F64776">
      <w:pPr>
        <w:pStyle w:val="TtuloResolucin"/>
      </w:pPr>
      <w:r>
        <w:t>Sección Tercera</w:t>
      </w:r>
    </w:p>
    <w:p w14:paraId="3F0A029D" w14:textId="77777777" w:rsidR="00F64776" w:rsidRDefault="00F64776" w:rsidP="00F64776">
      <w:pPr>
        <w:pStyle w:val="TextoNormalCentrado"/>
      </w:pPr>
      <w:r>
        <w:t>ECLI:ES:TC:2023:547A</w:t>
      </w:r>
    </w:p>
    <w:p w14:paraId="3E2BA617" w14:textId="2B8F99BF" w:rsidR="00F64776" w:rsidRDefault="00F64776" w:rsidP="00F64776">
      <w:pPr>
        <w:pStyle w:val="TextoNormalCentrado"/>
      </w:pPr>
    </w:p>
    <w:p w14:paraId="1C87D474" w14:textId="77777777" w:rsidR="00F64776" w:rsidRDefault="00F64776" w:rsidP="00F64776">
      <w:pPr>
        <w:pStyle w:val="SntesisDescriptiva"/>
      </w:pPr>
      <w:r>
        <w:t>Excms. Srs. doña Inmaculada Montalbán Huertas y doña Laura Díez Bueso.</w:t>
      </w:r>
    </w:p>
    <w:p w14:paraId="74269B98" w14:textId="082C09FD" w:rsidR="00F64776" w:rsidRDefault="00F64776" w:rsidP="00F64776">
      <w:pPr>
        <w:pStyle w:val="SntesisDescriptiva"/>
      </w:pPr>
    </w:p>
    <w:p w14:paraId="7163F72F" w14:textId="77777777" w:rsidR="00F64776" w:rsidRDefault="00F64776" w:rsidP="00F64776">
      <w:pPr>
        <w:pStyle w:val="SntesisDescriptiva"/>
      </w:pPr>
      <w:r>
        <w:t>Acepta una abstención en el recurso de amparo 7871-2022, promovido en proceso contencioso-administrativo.</w:t>
      </w:r>
    </w:p>
    <w:p w14:paraId="0C5D7BE4" w14:textId="7966A20E" w:rsidR="00F64776" w:rsidRDefault="00F64776" w:rsidP="00F64776">
      <w:pPr>
        <w:pStyle w:val="SntesisDescriptiva"/>
      </w:pPr>
    </w:p>
    <w:p w14:paraId="0472963D" w14:textId="77777777" w:rsidR="00F64776" w:rsidRDefault="00F64776" w:rsidP="00F64776">
      <w:pPr>
        <w:pStyle w:val="SntesisDescriptiva"/>
      </w:pPr>
    </w:p>
    <w:p w14:paraId="324F2D65" w14:textId="77777777" w:rsidR="00F64776" w:rsidRDefault="00F64776" w:rsidP="00F64776">
      <w:pPr>
        <w:pStyle w:val="SntesisDescriptiva"/>
      </w:pPr>
    </w:p>
    <w:p w14:paraId="4B28243F" w14:textId="77777777" w:rsidR="00F64776" w:rsidRDefault="00F64776" w:rsidP="00F64776">
      <w:pPr>
        <w:pStyle w:val="TextoNormalNegritaCentrado"/>
      </w:pPr>
      <w:r>
        <w:t>AUTO</w:t>
      </w:r>
    </w:p>
    <w:p w14:paraId="56EA5087" w14:textId="76202B40" w:rsidR="00F64776" w:rsidRDefault="00F64776" w:rsidP="00F64776">
      <w:pPr>
        <w:pStyle w:val="TextoNormalNegritaCentrado"/>
      </w:pPr>
    </w:p>
    <w:p w14:paraId="1490340B" w14:textId="77777777" w:rsidR="00F64776" w:rsidRDefault="00F64776" w:rsidP="00F64776">
      <w:pPr>
        <w:pStyle w:val="TextoNormalNegritaCentrado"/>
        <w:keepNext/>
      </w:pPr>
      <w:r>
        <w:t>I. Antecedentes</w:t>
      </w:r>
    </w:p>
    <w:p w14:paraId="47E500BC" w14:textId="375A0C22" w:rsidR="00F64776" w:rsidRDefault="00F64776" w:rsidP="00F64776">
      <w:pPr>
        <w:pStyle w:val="TextoNormalNegritaCentrado"/>
        <w:keepNext/>
      </w:pPr>
    </w:p>
    <w:p w14:paraId="66F43FFF" w14:textId="3BE3EF04" w:rsidR="00F64776" w:rsidRDefault="00F64776" w:rsidP="00F64776">
      <w:pPr>
        <w:pStyle w:val="TextoNormal"/>
      </w:pPr>
      <w:r w:rsidRPr="00F64776">
        <w:rPr>
          <w:rStyle w:val="NumeroAFNegritaCaracter"/>
        </w:rPr>
        <w:t>1</w:t>
      </w:r>
      <w:r>
        <w:t>. Mediante escrito registrado en este tribunal el 28 de noviembre de 2022, la procuradora de los tribunales doña Raquel Rujas Martín, en nombre y representación de Alfredo Lope Martín-Sanz y otros y bajo la dirección del letrado don Salvador Javier Domenech López, formuló demanda de amparo contra la providencia de 5 de octubre de 2022 de la Sección Primera de la Sala de lo Contencioso-Administrativo del Tribunal Supremo, en recurso de casación núm. 2311-2022.</w:t>
      </w:r>
    </w:p>
    <w:p w14:paraId="0CC9D92C" w14:textId="77777777" w:rsidR="00F64776" w:rsidRDefault="00F64776" w:rsidP="00F64776">
      <w:pPr>
        <w:pStyle w:val="TextoNormal"/>
      </w:pPr>
    </w:p>
    <w:p w14:paraId="443848F2" w14:textId="1B7CB0BA" w:rsidR="00F64776" w:rsidRDefault="00F64776" w:rsidP="00F64776">
      <w:pPr>
        <w:pStyle w:val="TextoNormal"/>
      </w:pPr>
      <w:r w:rsidRPr="00F64776">
        <w:rPr>
          <w:rStyle w:val="NumeroAFNegritaCaracter"/>
        </w:rPr>
        <w:t>2</w:t>
      </w:r>
      <w:r>
        <w:t>. Por escrito de 5 de julio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74E6AD53" w14:textId="77777777" w:rsidR="00F64776" w:rsidRDefault="00F64776" w:rsidP="00F64776">
      <w:pPr>
        <w:pStyle w:val="TextoNormal"/>
      </w:pPr>
    </w:p>
    <w:p w14:paraId="0CE05365" w14:textId="77777777" w:rsidR="00F64776" w:rsidRDefault="00F64776" w:rsidP="00F64776">
      <w:pPr>
        <w:pStyle w:val="TextoNormalNegritaCentrado"/>
        <w:keepNext/>
      </w:pPr>
      <w:r>
        <w:t>II. Fundamentos jurídicos</w:t>
      </w:r>
    </w:p>
    <w:p w14:paraId="63DD5915" w14:textId="3DAF65C7" w:rsidR="00F64776" w:rsidRDefault="00F64776" w:rsidP="00F64776">
      <w:pPr>
        <w:pStyle w:val="TextoNormalNegritaCentrado"/>
        <w:keepNext/>
      </w:pPr>
    </w:p>
    <w:p w14:paraId="708BA77C" w14:textId="33882C7D"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755F5516" w14:textId="77777777" w:rsidR="00F64776" w:rsidRDefault="00F64776" w:rsidP="00F64776">
      <w:pPr>
        <w:pStyle w:val="TextoNormal"/>
      </w:pPr>
    </w:p>
    <w:p w14:paraId="3C7B70CE" w14:textId="77777777" w:rsidR="00F64776" w:rsidRDefault="00F64776" w:rsidP="00F64776">
      <w:pPr>
        <w:pStyle w:val="TextoNormal"/>
      </w:pPr>
      <w:r>
        <w:t>Por lo expuesto, la Sección</w:t>
      </w:r>
    </w:p>
    <w:p w14:paraId="4F2D90FC" w14:textId="221FE406" w:rsidR="00F64776" w:rsidRDefault="00F64776" w:rsidP="00F64776">
      <w:pPr>
        <w:pStyle w:val="TextoNormal"/>
      </w:pPr>
    </w:p>
    <w:p w14:paraId="66A8C423" w14:textId="77777777" w:rsidR="00F64776" w:rsidRDefault="00F64776" w:rsidP="00F64776">
      <w:pPr>
        <w:pStyle w:val="TextoNormalCentrado"/>
      </w:pPr>
      <w:r>
        <w:t>ACUERDA</w:t>
      </w:r>
    </w:p>
    <w:p w14:paraId="099AC25B" w14:textId="111ED39C" w:rsidR="00F64776" w:rsidRDefault="00F64776" w:rsidP="00F64776">
      <w:pPr>
        <w:pStyle w:val="TextoNormalCentrado"/>
      </w:pPr>
    </w:p>
    <w:p w14:paraId="768936DE" w14:textId="090AE5DA" w:rsidR="00F64776" w:rsidRDefault="00F64776" w:rsidP="00F64776">
      <w:pPr>
        <w:pStyle w:val="TextoNormal"/>
      </w:pPr>
      <w:r>
        <w:t>Estimar justificada la abstención formulada por el magistrado don César Tolosa Tribiño en el recurso de amparo núm. 7871-2022 y apartarle definitivamente del conocimiento del referido recurso y de todas sus incidencias.</w:t>
      </w:r>
    </w:p>
    <w:p w14:paraId="36850789" w14:textId="77777777" w:rsidR="00F64776" w:rsidRDefault="00F64776" w:rsidP="00F64776">
      <w:pPr>
        <w:pStyle w:val="TextoNormal"/>
      </w:pPr>
    </w:p>
    <w:p w14:paraId="3B8B950E" w14:textId="77777777" w:rsidR="00F64776" w:rsidRDefault="00F64776" w:rsidP="00F64776">
      <w:pPr>
        <w:pStyle w:val="TextoNormal"/>
      </w:pPr>
      <w:r>
        <w:t>Madrid, a diez de noviembre de dos mil veintitrés.</w:t>
      </w:r>
    </w:p>
    <w:p w14:paraId="1D8B3AA5" w14:textId="01559E4B" w:rsidR="00F64776" w:rsidRDefault="00F64776">
      <w:pPr>
        <w:spacing w:after="160" w:line="278" w:lineRule="auto"/>
        <w:rPr>
          <w:rFonts w:ascii="Times New Roman" w:eastAsia="Times New Roman" w:hAnsi="Times New Roman" w:cs="Times New Roman"/>
          <w:sz w:val="24"/>
          <w:szCs w:val="24"/>
          <w:lang w:eastAsia="es-ES"/>
        </w:rPr>
      </w:pPr>
      <w:r>
        <w:br w:type="page"/>
      </w:r>
    </w:p>
    <w:p w14:paraId="00666FB3" w14:textId="77777777" w:rsidR="00F64776" w:rsidRDefault="00F64776" w:rsidP="00F64776">
      <w:pPr>
        <w:pStyle w:val="TtuloResolucin"/>
      </w:pPr>
      <w:bookmarkStart w:id="333" w:name="AUTO_2023_548"/>
      <w:r>
        <w:t>AUTO 548/2023, de 10 de noviembre de 2023</w:t>
      </w:r>
    </w:p>
    <w:bookmarkEnd w:id="333"/>
    <w:p w14:paraId="764B70FF" w14:textId="77777777" w:rsidR="00F64776" w:rsidRDefault="00F64776" w:rsidP="00F64776">
      <w:pPr>
        <w:pStyle w:val="TtuloResolucin"/>
      </w:pPr>
      <w:r>
        <w:t>Sección Tercera</w:t>
      </w:r>
    </w:p>
    <w:p w14:paraId="73348F6E" w14:textId="77777777" w:rsidR="00F64776" w:rsidRDefault="00F64776" w:rsidP="00F64776">
      <w:pPr>
        <w:pStyle w:val="TextoNormalCentrado"/>
      </w:pPr>
      <w:r>
        <w:t>ECLI:ES:TC:2023:548A</w:t>
      </w:r>
    </w:p>
    <w:p w14:paraId="370A76A2" w14:textId="2775F494" w:rsidR="00F64776" w:rsidRDefault="00F64776" w:rsidP="00F64776">
      <w:pPr>
        <w:pStyle w:val="TextoNormalCentrado"/>
      </w:pPr>
    </w:p>
    <w:p w14:paraId="29B42F0C" w14:textId="77777777" w:rsidR="00F64776" w:rsidRDefault="00F64776" w:rsidP="00F64776">
      <w:pPr>
        <w:pStyle w:val="SntesisDescriptiva"/>
      </w:pPr>
      <w:r>
        <w:t>Excms. Srs. doña Inmaculada Montalbán Huertas y doña Laura Díez Bueso.</w:t>
      </w:r>
    </w:p>
    <w:p w14:paraId="48904648" w14:textId="61E50315" w:rsidR="00F64776" w:rsidRDefault="00F64776" w:rsidP="00F64776">
      <w:pPr>
        <w:pStyle w:val="SntesisDescriptiva"/>
      </w:pPr>
    </w:p>
    <w:p w14:paraId="65F49FC9" w14:textId="77777777" w:rsidR="00F64776" w:rsidRDefault="00F64776" w:rsidP="00F64776">
      <w:pPr>
        <w:pStyle w:val="SntesisDescriptiva"/>
      </w:pPr>
      <w:r>
        <w:t>Acepta una abstención en el recurso de amparo 7931-2022, promovido en proceso contencioso-administrativo.</w:t>
      </w:r>
    </w:p>
    <w:p w14:paraId="6A78EB3C" w14:textId="3BE5477F" w:rsidR="00F64776" w:rsidRDefault="00F64776" w:rsidP="00F64776">
      <w:pPr>
        <w:pStyle w:val="SntesisDescriptiva"/>
      </w:pPr>
    </w:p>
    <w:p w14:paraId="26C22268" w14:textId="77777777" w:rsidR="00F64776" w:rsidRDefault="00F64776" w:rsidP="00F64776">
      <w:pPr>
        <w:pStyle w:val="SntesisDescriptiva"/>
      </w:pPr>
    </w:p>
    <w:p w14:paraId="4C5CEBBA" w14:textId="77777777" w:rsidR="00F64776" w:rsidRDefault="00F64776" w:rsidP="00F64776">
      <w:pPr>
        <w:pStyle w:val="SntesisDescriptiva"/>
      </w:pPr>
    </w:p>
    <w:p w14:paraId="2682BEAD" w14:textId="77777777" w:rsidR="00F64776" w:rsidRDefault="00F64776" w:rsidP="00F64776">
      <w:pPr>
        <w:pStyle w:val="TextoNormalNegritaCentrado"/>
      </w:pPr>
      <w:r>
        <w:t>AUTO</w:t>
      </w:r>
    </w:p>
    <w:p w14:paraId="58660D69" w14:textId="5E1D5640" w:rsidR="00F64776" w:rsidRDefault="00F64776" w:rsidP="00F64776">
      <w:pPr>
        <w:pStyle w:val="TextoNormalNegritaCentrado"/>
      </w:pPr>
    </w:p>
    <w:p w14:paraId="50BD3AE4" w14:textId="77777777" w:rsidR="00F64776" w:rsidRDefault="00F64776" w:rsidP="00F64776">
      <w:pPr>
        <w:pStyle w:val="TextoNormalNegritaCentrado"/>
        <w:keepNext/>
      </w:pPr>
      <w:r>
        <w:t>I. Antecedentes</w:t>
      </w:r>
    </w:p>
    <w:p w14:paraId="1E8689B1" w14:textId="2A5D1A0D" w:rsidR="00F64776" w:rsidRDefault="00F64776" w:rsidP="00F64776">
      <w:pPr>
        <w:pStyle w:val="TextoNormalNegritaCentrado"/>
        <w:keepNext/>
      </w:pPr>
    </w:p>
    <w:p w14:paraId="0437192F" w14:textId="03001C7C" w:rsidR="00F64776" w:rsidRDefault="00F64776" w:rsidP="00F64776">
      <w:pPr>
        <w:pStyle w:val="TextoNormal"/>
      </w:pPr>
      <w:r w:rsidRPr="00F64776">
        <w:rPr>
          <w:rStyle w:val="NumeroAFNegritaCaracter"/>
        </w:rPr>
        <w:t>1</w:t>
      </w:r>
      <w:r>
        <w:t>. Mediante escrito registrado en este Tribunal el 30 de noviembre de 2022, el procurador de los tribunales don Juan Álvaro Ferrer Pons, en nombre y representación de don Sergi Subirana Parlón y bajo la dirección del letrado don Francisco Valverde García, formuló demanda de amparo contra la providencia de 26 de octubre de 2022 de la Sala de lo Contencioso-Administrativo del Tribunal Supremo, en recurso de casación núm. 5120-2022.</w:t>
      </w:r>
    </w:p>
    <w:p w14:paraId="6EB9414C" w14:textId="77777777" w:rsidR="00F64776" w:rsidRDefault="00F64776" w:rsidP="00F64776">
      <w:pPr>
        <w:pStyle w:val="TextoNormal"/>
      </w:pPr>
    </w:p>
    <w:p w14:paraId="458F98DC" w14:textId="4E728A8A" w:rsidR="00F64776" w:rsidRDefault="00F64776" w:rsidP="00F64776">
      <w:pPr>
        <w:pStyle w:val="TextoNormal"/>
      </w:pPr>
      <w:r w:rsidRPr="00F64776">
        <w:rPr>
          <w:rStyle w:val="NumeroAFNegritaCaracter"/>
        </w:rPr>
        <w:t>2</w:t>
      </w:r>
      <w:r>
        <w:t>. Por escrito de 17 de julio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10C14A09" w14:textId="77777777" w:rsidR="00F64776" w:rsidRDefault="00F64776" w:rsidP="00F64776">
      <w:pPr>
        <w:pStyle w:val="TextoNormal"/>
      </w:pPr>
    </w:p>
    <w:p w14:paraId="4CAFFA79" w14:textId="77777777" w:rsidR="00F64776" w:rsidRDefault="00F64776" w:rsidP="00F64776">
      <w:pPr>
        <w:pStyle w:val="TextoNormalNegritaCentrado"/>
        <w:keepNext/>
      </w:pPr>
      <w:r>
        <w:t>II. Fundamentos jurídicos</w:t>
      </w:r>
    </w:p>
    <w:p w14:paraId="15659317" w14:textId="74C88C01" w:rsidR="00F64776" w:rsidRDefault="00F64776" w:rsidP="00F64776">
      <w:pPr>
        <w:pStyle w:val="TextoNormalNegritaCentrado"/>
        <w:keepNext/>
      </w:pPr>
    </w:p>
    <w:p w14:paraId="7720326D" w14:textId="68134AB4"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1074DE44" w14:textId="77777777" w:rsidR="00F64776" w:rsidRDefault="00F64776" w:rsidP="00F64776">
      <w:pPr>
        <w:pStyle w:val="TextoNormal"/>
      </w:pPr>
    </w:p>
    <w:p w14:paraId="74E389C7" w14:textId="77777777" w:rsidR="00F64776" w:rsidRDefault="00F64776" w:rsidP="00F64776">
      <w:pPr>
        <w:pStyle w:val="TextoNormal"/>
      </w:pPr>
      <w:r>
        <w:t>Por lo expuesto, la Sección</w:t>
      </w:r>
    </w:p>
    <w:p w14:paraId="312F127E" w14:textId="75E53307" w:rsidR="00F64776" w:rsidRDefault="00F64776" w:rsidP="00F64776">
      <w:pPr>
        <w:pStyle w:val="TextoNormal"/>
      </w:pPr>
    </w:p>
    <w:p w14:paraId="19F82E8A" w14:textId="77777777" w:rsidR="00F64776" w:rsidRDefault="00F64776" w:rsidP="00F64776">
      <w:pPr>
        <w:pStyle w:val="TextoNormalCentrado"/>
      </w:pPr>
      <w:r>
        <w:t>ACUERDA</w:t>
      </w:r>
    </w:p>
    <w:p w14:paraId="6140ECD9" w14:textId="12CB3D37" w:rsidR="00F64776" w:rsidRDefault="00F64776" w:rsidP="00F64776">
      <w:pPr>
        <w:pStyle w:val="TextoNormalCentrado"/>
      </w:pPr>
    </w:p>
    <w:p w14:paraId="1808721C" w14:textId="170E6A53" w:rsidR="00F64776" w:rsidRDefault="00F64776" w:rsidP="00F64776">
      <w:pPr>
        <w:pStyle w:val="TextoNormal"/>
      </w:pPr>
      <w:r>
        <w:t>Estimar justificada la abstención formulada por el magistrado don César Tolosa Tribiño en el recurso de amparo núm. 7931-2022 y apartarle definitivamente del conocimiento del referido recurso y de todas sus incidencias.</w:t>
      </w:r>
    </w:p>
    <w:p w14:paraId="05A3E54A" w14:textId="77777777" w:rsidR="00F64776" w:rsidRDefault="00F64776" w:rsidP="00F64776">
      <w:pPr>
        <w:pStyle w:val="TextoNormal"/>
      </w:pPr>
    </w:p>
    <w:p w14:paraId="5F0BC650" w14:textId="77777777" w:rsidR="00F64776" w:rsidRDefault="00F64776" w:rsidP="00F64776">
      <w:pPr>
        <w:pStyle w:val="TextoNormal"/>
      </w:pPr>
      <w:r>
        <w:t>Madrid, a diez de noviembre de dos mil veintitrés.</w:t>
      </w:r>
    </w:p>
    <w:p w14:paraId="3070CC0E" w14:textId="7250F958" w:rsidR="00F64776" w:rsidRDefault="00F64776">
      <w:pPr>
        <w:spacing w:after="160" w:line="278" w:lineRule="auto"/>
        <w:rPr>
          <w:rFonts w:ascii="Times New Roman" w:eastAsia="Times New Roman" w:hAnsi="Times New Roman" w:cs="Times New Roman"/>
          <w:sz w:val="24"/>
          <w:szCs w:val="24"/>
          <w:lang w:eastAsia="es-ES"/>
        </w:rPr>
      </w:pPr>
      <w:r>
        <w:br w:type="page"/>
      </w:r>
    </w:p>
    <w:p w14:paraId="18EE3394" w14:textId="77777777" w:rsidR="00F64776" w:rsidRDefault="00F64776" w:rsidP="00F64776">
      <w:pPr>
        <w:pStyle w:val="TtuloResolucin"/>
      </w:pPr>
      <w:bookmarkStart w:id="334" w:name="AUTO_2023_549"/>
      <w:r>
        <w:t>AUTO 549/2023, de 10 de noviembre de 2023</w:t>
      </w:r>
    </w:p>
    <w:bookmarkEnd w:id="334"/>
    <w:p w14:paraId="48DB85CE" w14:textId="77777777" w:rsidR="00F64776" w:rsidRDefault="00F64776" w:rsidP="00F64776">
      <w:pPr>
        <w:pStyle w:val="TtuloResolucin"/>
      </w:pPr>
      <w:r>
        <w:t>Sección Tercera</w:t>
      </w:r>
    </w:p>
    <w:p w14:paraId="159CE043" w14:textId="77777777" w:rsidR="00F64776" w:rsidRDefault="00F64776" w:rsidP="00F64776">
      <w:pPr>
        <w:pStyle w:val="TextoNormalCentrado"/>
      </w:pPr>
      <w:r>
        <w:t>ECLI:ES:TC:2023:549A</w:t>
      </w:r>
    </w:p>
    <w:p w14:paraId="7A57A753" w14:textId="0FBB0AE0" w:rsidR="00F64776" w:rsidRDefault="00F64776" w:rsidP="00F64776">
      <w:pPr>
        <w:pStyle w:val="TextoNormalCentrado"/>
      </w:pPr>
    </w:p>
    <w:p w14:paraId="1BD6A5F2" w14:textId="77777777" w:rsidR="00F64776" w:rsidRDefault="00F64776" w:rsidP="00F64776">
      <w:pPr>
        <w:pStyle w:val="SntesisDescriptiva"/>
      </w:pPr>
      <w:r>
        <w:t>Excms. Srs. doña Inmaculada Montalbán Huertas y doña Laura Díez Bueso.</w:t>
      </w:r>
    </w:p>
    <w:p w14:paraId="57447434" w14:textId="782AC50E" w:rsidR="00F64776" w:rsidRDefault="00F64776" w:rsidP="00F64776">
      <w:pPr>
        <w:pStyle w:val="SntesisDescriptiva"/>
      </w:pPr>
    </w:p>
    <w:p w14:paraId="244A836C" w14:textId="77777777" w:rsidR="00F64776" w:rsidRDefault="00F64776" w:rsidP="00F64776">
      <w:pPr>
        <w:pStyle w:val="SntesisDescriptiva"/>
      </w:pPr>
      <w:r>
        <w:t>Acepta una abstención en el recurso de amparo 8376-2022, promovido en proceso contencioso-administrativo.</w:t>
      </w:r>
    </w:p>
    <w:p w14:paraId="1A349FEA" w14:textId="6FE7A24E" w:rsidR="00F64776" w:rsidRDefault="00F64776" w:rsidP="00F64776">
      <w:pPr>
        <w:pStyle w:val="SntesisDescriptiva"/>
      </w:pPr>
    </w:p>
    <w:p w14:paraId="7F77E99C" w14:textId="77777777" w:rsidR="00F64776" w:rsidRDefault="00F64776" w:rsidP="00F64776">
      <w:pPr>
        <w:pStyle w:val="SntesisDescriptiva"/>
      </w:pPr>
    </w:p>
    <w:p w14:paraId="4F7D0362" w14:textId="77777777" w:rsidR="00F64776" w:rsidRDefault="00F64776" w:rsidP="00F64776">
      <w:pPr>
        <w:pStyle w:val="SntesisDescriptiva"/>
      </w:pPr>
    </w:p>
    <w:p w14:paraId="343AA7CB" w14:textId="77777777" w:rsidR="00F64776" w:rsidRDefault="00F64776" w:rsidP="00F64776">
      <w:pPr>
        <w:pStyle w:val="TextoNormalNegritaCentrado"/>
      </w:pPr>
      <w:r>
        <w:t>AUTO</w:t>
      </w:r>
    </w:p>
    <w:p w14:paraId="01F1E5F1" w14:textId="380F0B8B" w:rsidR="00F64776" w:rsidRDefault="00F64776" w:rsidP="00F64776">
      <w:pPr>
        <w:pStyle w:val="TextoNormalNegritaCentrado"/>
      </w:pPr>
    </w:p>
    <w:p w14:paraId="46B4867E" w14:textId="77777777" w:rsidR="00F64776" w:rsidRDefault="00F64776" w:rsidP="00F64776">
      <w:pPr>
        <w:pStyle w:val="TextoNormalNegritaCentrado"/>
        <w:keepNext/>
      </w:pPr>
      <w:r>
        <w:t>I. Antecedentes</w:t>
      </w:r>
    </w:p>
    <w:p w14:paraId="4FBF58DA" w14:textId="7AC084D3" w:rsidR="00F64776" w:rsidRDefault="00F64776" w:rsidP="00F64776">
      <w:pPr>
        <w:pStyle w:val="TextoNormalNegritaCentrado"/>
        <w:keepNext/>
      </w:pPr>
    </w:p>
    <w:p w14:paraId="12A42117" w14:textId="78ED2A91" w:rsidR="00F64776" w:rsidRDefault="00F64776" w:rsidP="00F64776">
      <w:pPr>
        <w:pStyle w:val="TextoNormal"/>
      </w:pPr>
      <w:r w:rsidRPr="00F64776">
        <w:rPr>
          <w:rStyle w:val="NumeroAFNegritaCaracter"/>
        </w:rPr>
        <w:t>1</w:t>
      </w:r>
      <w:r>
        <w:t>. Mediante escrito registrado en este tribunal el 19 de diciembre de 2022, la procuradora de los tribunales doña Consuelo Rodríguez Chacón, en nombre y representación de doña María Rosa Reyes Olaya y otros y bajo la dirección de la letrada doña Ana Gonzálvez Ferrando, formuló demanda de amparo contra la providencia de 2 de noviembre de 2022 dictada por la Sección Primera de la Sala de lo Contencioso-Administrativo del Tribunal Supremo, en recurso de casación núm. 4660-2022 contra la sentencia de la Sección Primera de la Sala de lo Contencioso-Administrativo del Tribunal Superior de Justicia de la Comunidad Valenciana, procedimiento ordinario núm. 89-2018.</w:t>
      </w:r>
    </w:p>
    <w:p w14:paraId="7E9A55BD" w14:textId="77777777" w:rsidR="00F64776" w:rsidRDefault="00F64776" w:rsidP="00F64776">
      <w:pPr>
        <w:pStyle w:val="TextoNormal"/>
      </w:pPr>
    </w:p>
    <w:p w14:paraId="6080BD7A" w14:textId="6CCBB5DD" w:rsidR="00F64776" w:rsidRDefault="00F64776" w:rsidP="00F64776">
      <w:pPr>
        <w:pStyle w:val="TextoNormal"/>
      </w:pPr>
      <w:r w:rsidRPr="00F64776">
        <w:rPr>
          <w:rStyle w:val="NumeroAFNegritaCaracter"/>
        </w:rPr>
        <w:t>2</w:t>
      </w:r>
      <w:r>
        <w:t>. Por escrito de 5 de julio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2AF2BDAE" w14:textId="77777777" w:rsidR="00F64776" w:rsidRDefault="00F64776" w:rsidP="00F64776">
      <w:pPr>
        <w:pStyle w:val="TextoNormal"/>
      </w:pPr>
    </w:p>
    <w:p w14:paraId="01618009" w14:textId="77777777" w:rsidR="00F64776" w:rsidRDefault="00F64776" w:rsidP="00F64776">
      <w:pPr>
        <w:pStyle w:val="TextoNormalNegritaCentrado"/>
        <w:keepNext/>
      </w:pPr>
      <w:r>
        <w:t>II. Fundamentos jurídicos</w:t>
      </w:r>
    </w:p>
    <w:p w14:paraId="3066638F" w14:textId="63063D10" w:rsidR="00F64776" w:rsidRDefault="00F64776" w:rsidP="00F64776">
      <w:pPr>
        <w:pStyle w:val="TextoNormalNegritaCentrado"/>
        <w:keepNext/>
      </w:pPr>
    </w:p>
    <w:p w14:paraId="1815A751" w14:textId="21AD37DF"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3232AC84" w14:textId="77777777" w:rsidR="00F64776" w:rsidRDefault="00F64776" w:rsidP="00F64776">
      <w:pPr>
        <w:pStyle w:val="TextoNormal"/>
      </w:pPr>
    </w:p>
    <w:p w14:paraId="1D0EB623" w14:textId="77777777" w:rsidR="00F64776" w:rsidRDefault="00F64776" w:rsidP="00F64776">
      <w:pPr>
        <w:pStyle w:val="TextoNormal"/>
      </w:pPr>
      <w:r>
        <w:t>Por lo expuesto, la Sección</w:t>
      </w:r>
    </w:p>
    <w:p w14:paraId="709065F1" w14:textId="6EA3CD7A" w:rsidR="00F64776" w:rsidRDefault="00F64776" w:rsidP="00F64776">
      <w:pPr>
        <w:pStyle w:val="TextoNormal"/>
      </w:pPr>
    </w:p>
    <w:p w14:paraId="0632F9C4" w14:textId="77777777" w:rsidR="00F64776" w:rsidRDefault="00F64776" w:rsidP="00F64776">
      <w:pPr>
        <w:pStyle w:val="TextoNormalCentrado"/>
      </w:pPr>
      <w:r>
        <w:t>ACUERDA</w:t>
      </w:r>
    </w:p>
    <w:p w14:paraId="60C9A736" w14:textId="3320A3A7" w:rsidR="00F64776" w:rsidRDefault="00F64776" w:rsidP="00F64776">
      <w:pPr>
        <w:pStyle w:val="TextoNormalCentrado"/>
      </w:pPr>
    </w:p>
    <w:p w14:paraId="5851D06A" w14:textId="55B54E5E" w:rsidR="00F64776" w:rsidRDefault="00F64776" w:rsidP="00F64776">
      <w:pPr>
        <w:pStyle w:val="TextoNormal"/>
      </w:pPr>
      <w:r>
        <w:t>Estimar justificada la abstención formulada por el magistrado don César Tolosa Tribiño en el recurso de amparo núm. 8376-2022 y apartarle definitivamente del conocimiento del referido recurso y de todas sus incidencias.</w:t>
      </w:r>
    </w:p>
    <w:p w14:paraId="4F5F5ECD" w14:textId="77777777" w:rsidR="00F64776" w:rsidRDefault="00F64776" w:rsidP="00F64776">
      <w:pPr>
        <w:pStyle w:val="TextoNormal"/>
      </w:pPr>
    </w:p>
    <w:p w14:paraId="69FD111B" w14:textId="77777777" w:rsidR="00F64776" w:rsidRDefault="00F64776" w:rsidP="00F64776">
      <w:pPr>
        <w:pStyle w:val="TextoNormal"/>
      </w:pPr>
      <w:r>
        <w:t>Madrid, a diez de noviembre de dos mil veintitrés.</w:t>
      </w:r>
    </w:p>
    <w:p w14:paraId="31381CF1" w14:textId="50BB04F8" w:rsidR="00F64776" w:rsidRDefault="00F64776">
      <w:pPr>
        <w:spacing w:after="160" w:line="278" w:lineRule="auto"/>
        <w:rPr>
          <w:rFonts w:ascii="Times New Roman" w:eastAsia="Times New Roman" w:hAnsi="Times New Roman" w:cs="Times New Roman"/>
          <w:sz w:val="24"/>
          <w:szCs w:val="24"/>
          <w:lang w:eastAsia="es-ES"/>
        </w:rPr>
      </w:pPr>
      <w:r>
        <w:br w:type="page"/>
      </w:r>
    </w:p>
    <w:p w14:paraId="3DDFDA3B" w14:textId="77777777" w:rsidR="00F64776" w:rsidRDefault="00F64776" w:rsidP="00F64776">
      <w:pPr>
        <w:pStyle w:val="TtuloResolucin"/>
      </w:pPr>
      <w:bookmarkStart w:id="335" w:name="AUTO_2023_550"/>
      <w:r>
        <w:t>AUTO 550/2023, de 10 de noviembre de 2023</w:t>
      </w:r>
    </w:p>
    <w:bookmarkEnd w:id="335"/>
    <w:p w14:paraId="6459B1D4" w14:textId="77777777" w:rsidR="00F64776" w:rsidRDefault="00F64776" w:rsidP="00F64776">
      <w:pPr>
        <w:pStyle w:val="TtuloResolucin"/>
      </w:pPr>
      <w:r>
        <w:t>Sección Tercera</w:t>
      </w:r>
    </w:p>
    <w:p w14:paraId="0EAD4667" w14:textId="77777777" w:rsidR="00F64776" w:rsidRDefault="00F64776" w:rsidP="00F64776">
      <w:pPr>
        <w:pStyle w:val="TextoNormalCentrado"/>
      </w:pPr>
      <w:r>
        <w:t>ECLI:ES:TC:2023:550A</w:t>
      </w:r>
    </w:p>
    <w:p w14:paraId="2C3D733B" w14:textId="4C7A6624" w:rsidR="00F64776" w:rsidRDefault="00F64776" w:rsidP="00F64776">
      <w:pPr>
        <w:pStyle w:val="TextoNormalCentrado"/>
      </w:pPr>
    </w:p>
    <w:p w14:paraId="4F482DC2" w14:textId="77777777" w:rsidR="00F64776" w:rsidRDefault="00F64776" w:rsidP="00F64776">
      <w:pPr>
        <w:pStyle w:val="SntesisDescriptiva"/>
      </w:pPr>
      <w:r>
        <w:t>Excms. Srs. doña Inmaculada Montalbán Huertas y doña Laura Díez Bueso.</w:t>
      </w:r>
    </w:p>
    <w:p w14:paraId="2FF97674" w14:textId="104201B5" w:rsidR="00F64776" w:rsidRDefault="00F64776" w:rsidP="00F64776">
      <w:pPr>
        <w:pStyle w:val="SntesisDescriptiva"/>
      </w:pPr>
    </w:p>
    <w:p w14:paraId="4609E8E9" w14:textId="77777777" w:rsidR="00F64776" w:rsidRDefault="00F64776" w:rsidP="00F64776">
      <w:pPr>
        <w:pStyle w:val="SntesisDescriptiva"/>
      </w:pPr>
      <w:r>
        <w:t>Acepta una abstención en el recurso de amparo 8377-2022, promovido en proceso contencioso-administrativo.</w:t>
      </w:r>
    </w:p>
    <w:p w14:paraId="37CFA8B1" w14:textId="34874FB7" w:rsidR="00F64776" w:rsidRDefault="00F64776" w:rsidP="00F64776">
      <w:pPr>
        <w:pStyle w:val="SntesisDescriptiva"/>
      </w:pPr>
    </w:p>
    <w:p w14:paraId="78AC4233" w14:textId="77777777" w:rsidR="00F64776" w:rsidRDefault="00F64776" w:rsidP="00F64776">
      <w:pPr>
        <w:pStyle w:val="SntesisDescriptiva"/>
      </w:pPr>
    </w:p>
    <w:p w14:paraId="29709AE9" w14:textId="77777777" w:rsidR="00F64776" w:rsidRDefault="00F64776" w:rsidP="00F64776">
      <w:pPr>
        <w:pStyle w:val="SntesisDescriptiva"/>
      </w:pPr>
    </w:p>
    <w:p w14:paraId="273AFF48" w14:textId="77777777" w:rsidR="00F64776" w:rsidRDefault="00F64776" w:rsidP="00F64776">
      <w:pPr>
        <w:pStyle w:val="TextoNormalNegritaCentrado"/>
      </w:pPr>
      <w:r>
        <w:t>AUTO</w:t>
      </w:r>
    </w:p>
    <w:p w14:paraId="2F5802A4" w14:textId="5E6A1881" w:rsidR="00F64776" w:rsidRDefault="00F64776" w:rsidP="00F64776">
      <w:pPr>
        <w:pStyle w:val="TextoNormalNegritaCentrado"/>
      </w:pPr>
    </w:p>
    <w:p w14:paraId="5A22E25B" w14:textId="77777777" w:rsidR="00F64776" w:rsidRDefault="00F64776" w:rsidP="00F64776">
      <w:pPr>
        <w:pStyle w:val="TextoNormalNegritaCentrado"/>
        <w:keepNext/>
      </w:pPr>
      <w:r>
        <w:t>I. Antecedentes</w:t>
      </w:r>
    </w:p>
    <w:p w14:paraId="68D104AE" w14:textId="35AD7309" w:rsidR="00F64776" w:rsidRDefault="00F64776" w:rsidP="00F64776">
      <w:pPr>
        <w:pStyle w:val="TextoNormalNegritaCentrado"/>
        <w:keepNext/>
      </w:pPr>
    </w:p>
    <w:p w14:paraId="05D91397" w14:textId="3C4E4405" w:rsidR="00F64776" w:rsidRDefault="00F64776" w:rsidP="00F64776">
      <w:pPr>
        <w:pStyle w:val="TextoNormal"/>
      </w:pPr>
      <w:r w:rsidRPr="00F64776">
        <w:rPr>
          <w:rStyle w:val="NumeroAFNegritaCaracter"/>
        </w:rPr>
        <w:t>1</w:t>
      </w:r>
      <w:r>
        <w:t>. Mediante escrito registrado en este tribunal el 19 de diciembre de 2022, el procurador de los tribunales don Juan José Lage Fernández-Cervera, en nombre y representación de don Santiago Fernández González y bajo la dirección del letrado don Ángel Sutil García, formuló demanda de amparo contra la providencia de la Sección Primera de la Sala de lo Contencioso Administrativo del Tribunal Supremo en recurso de casación núm. 5489-2022.</w:t>
      </w:r>
    </w:p>
    <w:p w14:paraId="4DC5221F" w14:textId="77777777" w:rsidR="00F64776" w:rsidRDefault="00F64776" w:rsidP="00F64776">
      <w:pPr>
        <w:pStyle w:val="TextoNormal"/>
      </w:pPr>
    </w:p>
    <w:p w14:paraId="026F3D61" w14:textId="781901FC" w:rsidR="00F64776" w:rsidRDefault="00F64776" w:rsidP="00F64776">
      <w:pPr>
        <w:pStyle w:val="TextoNormal"/>
      </w:pPr>
      <w:r w:rsidRPr="00F64776">
        <w:rPr>
          <w:rStyle w:val="NumeroAFNegritaCaracter"/>
        </w:rPr>
        <w:t>2</w:t>
      </w:r>
      <w:r>
        <w:t>. Por escrito de 4 de septiembre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040A7526" w14:textId="77777777" w:rsidR="00F64776" w:rsidRDefault="00F64776" w:rsidP="00F64776">
      <w:pPr>
        <w:pStyle w:val="TextoNormal"/>
      </w:pPr>
    </w:p>
    <w:p w14:paraId="6EA36E10" w14:textId="77777777" w:rsidR="00F64776" w:rsidRDefault="00F64776" w:rsidP="00F64776">
      <w:pPr>
        <w:pStyle w:val="TextoNormalNegritaCentrado"/>
        <w:keepNext/>
      </w:pPr>
      <w:r>
        <w:t>II. Fundamentos jurídicos</w:t>
      </w:r>
    </w:p>
    <w:p w14:paraId="5C695DAC" w14:textId="513B6520" w:rsidR="00F64776" w:rsidRDefault="00F64776" w:rsidP="00F64776">
      <w:pPr>
        <w:pStyle w:val="TextoNormalNegritaCentrado"/>
        <w:keepNext/>
      </w:pPr>
    </w:p>
    <w:p w14:paraId="740731F9" w14:textId="690388F7"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6E32760E" w14:textId="77777777" w:rsidR="00F64776" w:rsidRDefault="00F64776" w:rsidP="00F64776">
      <w:pPr>
        <w:pStyle w:val="TextoNormal"/>
      </w:pPr>
    </w:p>
    <w:p w14:paraId="4DE0AB13" w14:textId="77777777" w:rsidR="00F64776" w:rsidRDefault="00F64776" w:rsidP="00F64776">
      <w:pPr>
        <w:pStyle w:val="TextoNormal"/>
      </w:pPr>
      <w:r>
        <w:t>Por lo expuesto, la Sección</w:t>
      </w:r>
    </w:p>
    <w:p w14:paraId="7E6B3F2D" w14:textId="736391E3" w:rsidR="00F64776" w:rsidRDefault="00F64776" w:rsidP="00F64776">
      <w:pPr>
        <w:pStyle w:val="TextoNormal"/>
      </w:pPr>
    </w:p>
    <w:p w14:paraId="623A8755" w14:textId="77777777" w:rsidR="00F64776" w:rsidRDefault="00F64776" w:rsidP="00F64776">
      <w:pPr>
        <w:pStyle w:val="TextoNormalCentrado"/>
      </w:pPr>
      <w:r>
        <w:t>ACUERDA</w:t>
      </w:r>
    </w:p>
    <w:p w14:paraId="6B237008" w14:textId="498DDBEA" w:rsidR="00F64776" w:rsidRDefault="00F64776" w:rsidP="00F64776">
      <w:pPr>
        <w:pStyle w:val="TextoNormalCentrado"/>
      </w:pPr>
    </w:p>
    <w:p w14:paraId="01D26627" w14:textId="7FA593F2" w:rsidR="00F64776" w:rsidRDefault="00F64776" w:rsidP="00F64776">
      <w:pPr>
        <w:pStyle w:val="TextoNormal"/>
      </w:pPr>
      <w:r>
        <w:t>Estimar justificada la abstención formulada por el magistrado don César Tolosa Tribiño en el recurso de amparo núm. 8377-2022 y apartarle definitivamente del conocimiento del referido recurso y de todas sus incidencias.</w:t>
      </w:r>
    </w:p>
    <w:p w14:paraId="6F7CA7CF" w14:textId="77777777" w:rsidR="00F64776" w:rsidRDefault="00F64776" w:rsidP="00F64776">
      <w:pPr>
        <w:pStyle w:val="TextoNormal"/>
      </w:pPr>
    </w:p>
    <w:p w14:paraId="6DE82B45" w14:textId="77777777" w:rsidR="00F64776" w:rsidRDefault="00F64776" w:rsidP="00F64776">
      <w:pPr>
        <w:pStyle w:val="TextoNormal"/>
      </w:pPr>
      <w:r>
        <w:t>Madrid, a diez de noviembre de dos mil veintitrés.</w:t>
      </w:r>
    </w:p>
    <w:p w14:paraId="2D967414" w14:textId="7FEFF442" w:rsidR="00F64776" w:rsidRDefault="00F64776">
      <w:pPr>
        <w:spacing w:after="160" w:line="278" w:lineRule="auto"/>
        <w:rPr>
          <w:rFonts w:ascii="Times New Roman" w:eastAsia="Times New Roman" w:hAnsi="Times New Roman" w:cs="Times New Roman"/>
          <w:sz w:val="24"/>
          <w:szCs w:val="24"/>
          <w:lang w:eastAsia="es-ES"/>
        </w:rPr>
      </w:pPr>
      <w:r>
        <w:br w:type="page"/>
      </w:r>
    </w:p>
    <w:p w14:paraId="2FAE4D34" w14:textId="77777777" w:rsidR="00F64776" w:rsidRDefault="00F64776" w:rsidP="00F64776">
      <w:pPr>
        <w:pStyle w:val="TtuloResolucin"/>
      </w:pPr>
      <w:bookmarkStart w:id="336" w:name="AUTO_2023_551"/>
      <w:r>
        <w:t>AUTO 551/2023, de 10 de noviembre de 2023</w:t>
      </w:r>
    </w:p>
    <w:bookmarkEnd w:id="336"/>
    <w:p w14:paraId="4E389EFA" w14:textId="77777777" w:rsidR="00F64776" w:rsidRDefault="00F64776" w:rsidP="00F64776">
      <w:pPr>
        <w:pStyle w:val="TtuloResolucin"/>
      </w:pPr>
      <w:r>
        <w:t>Sección Tercera</w:t>
      </w:r>
    </w:p>
    <w:p w14:paraId="69D12446" w14:textId="77777777" w:rsidR="00F64776" w:rsidRDefault="00F64776" w:rsidP="00F64776">
      <w:pPr>
        <w:pStyle w:val="TextoNormalCentrado"/>
      </w:pPr>
      <w:r>
        <w:t>ECLI:ES:TC:2023:551A</w:t>
      </w:r>
    </w:p>
    <w:p w14:paraId="0C7B8DAD" w14:textId="7AF6D187" w:rsidR="00F64776" w:rsidRDefault="00F64776" w:rsidP="00F64776">
      <w:pPr>
        <w:pStyle w:val="TextoNormalCentrado"/>
      </w:pPr>
    </w:p>
    <w:p w14:paraId="242EE407" w14:textId="77777777" w:rsidR="00F64776" w:rsidRDefault="00F64776" w:rsidP="00F64776">
      <w:pPr>
        <w:pStyle w:val="SntesisDescriptiva"/>
      </w:pPr>
      <w:r>
        <w:t>Excms. Srs. doña Inmaculada Montalbán Huertas y doña Laura Díez Bueso.</w:t>
      </w:r>
    </w:p>
    <w:p w14:paraId="61F38CFA" w14:textId="57745006" w:rsidR="00F64776" w:rsidRDefault="00F64776" w:rsidP="00F64776">
      <w:pPr>
        <w:pStyle w:val="SntesisDescriptiva"/>
      </w:pPr>
    </w:p>
    <w:p w14:paraId="2AA6D1FA" w14:textId="77777777" w:rsidR="00F64776" w:rsidRDefault="00F64776" w:rsidP="00F64776">
      <w:pPr>
        <w:pStyle w:val="SntesisDescriptiva"/>
      </w:pPr>
      <w:r>
        <w:t>Acepta una abstención en el recurso de amparo 8460-2022, promovido en proceso contencioso-administrativo.</w:t>
      </w:r>
    </w:p>
    <w:p w14:paraId="651EC54D" w14:textId="6883FDA7" w:rsidR="00F64776" w:rsidRDefault="00F64776" w:rsidP="00F64776">
      <w:pPr>
        <w:pStyle w:val="SntesisDescriptiva"/>
      </w:pPr>
    </w:p>
    <w:p w14:paraId="04A07B98" w14:textId="77777777" w:rsidR="00F64776" w:rsidRDefault="00F64776" w:rsidP="00F64776">
      <w:pPr>
        <w:pStyle w:val="SntesisDescriptiva"/>
      </w:pPr>
    </w:p>
    <w:p w14:paraId="1BD13088" w14:textId="77777777" w:rsidR="00F64776" w:rsidRDefault="00F64776" w:rsidP="00F64776">
      <w:pPr>
        <w:pStyle w:val="SntesisDescriptiva"/>
      </w:pPr>
    </w:p>
    <w:p w14:paraId="7B730ABD" w14:textId="77777777" w:rsidR="00F64776" w:rsidRDefault="00F64776" w:rsidP="00F64776">
      <w:pPr>
        <w:pStyle w:val="TextoNormalNegritaCentrado"/>
      </w:pPr>
      <w:r>
        <w:t>AUTO</w:t>
      </w:r>
    </w:p>
    <w:p w14:paraId="08289E6A" w14:textId="19520ABF" w:rsidR="00F64776" w:rsidRDefault="00F64776" w:rsidP="00F64776">
      <w:pPr>
        <w:pStyle w:val="TextoNormalNegritaCentrado"/>
      </w:pPr>
    </w:p>
    <w:p w14:paraId="414E1152" w14:textId="77777777" w:rsidR="00F64776" w:rsidRDefault="00F64776" w:rsidP="00F64776">
      <w:pPr>
        <w:pStyle w:val="TextoNormalNegritaCentrado"/>
        <w:keepNext/>
      </w:pPr>
      <w:r>
        <w:t>I. Antecedentes</w:t>
      </w:r>
    </w:p>
    <w:p w14:paraId="57D59DCD" w14:textId="3913A281" w:rsidR="00F64776" w:rsidRDefault="00F64776" w:rsidP="00F64776">
      <w:pPr>
        <w:pStyle w:val="TextoNormalNegritaCentrado"/>
        <w:keepNext/>
      </w:pPr>
    </w:p>
    <w:p w14:paraId="214A9516" w14:textId="30111E54" w:rsidR="00F64776" w:rsidRDefault="00F64776" w:rsidP="00F64776">
      <w:pPr>
        <w:pStyle w:val="TextoNormal"/>
      </w:pPr>
      <w:r w:rsidRPr="00F64776">
        <w:rPr>
          <w:rStyle w:val="NumeroAFNegritaCaracter"/>
        </w:rPr>
        <w:t>1</w:t>
      </w:r>
      <w:r>
        <w:t>. Mediante escrito registrado en este tribunal el 21 de diciembre de 2022, el procurador de los tribunales don Jaime González Mínguez, en nombre y representación de doña Diana Lorena Ledesma Arias y bajo la dirección del letrado don Félix Ordoño Martínez, formuló demanda de amparo contra la providencia de 14 de diciembre de 2022 dictada por la Sección Primera de la Sala de lo Contencioso-Administrativo del Tribunal Supremo, en recurso de casación núm. 5554-2022 contra la sentencia de la Sección Décima del Tribunal Superior de Justicia de Madrid, recurso de apelación núm.1079-2021.</w:t>
      </w:r>
    </w:p>
    <w:p w14:paraId="7CDC4F3C" w14:textId="77777777" w:rsidR="00F64776" w:rsidRDefault="00F64776" w:rsidP="00F64776">
      <w:pPr>
        <w:pStyle w:val="TextoNormal"/>
      </w:pPr>
    </w:p>
    <w:p w14:paraId="568C78DA" w14:textId="14B9AB4E" w:rsidR="00F64776" w:rsidRDefault="00F64776" w:rsidP="00F64776">
      <w:pPr>
        <w:pStyle w:val="TextoNormal"/>
      </w:pPr>
      <w:r w:rsidRPr="00F64776">
        <w:rPr>
          <w:rStyle w:val="NumeroAFNegritaCaracter"/>
        </w:rPr>
        <w:t>2</w:t>
      </w:r>
      <w:r>
        <w:t>. Por escrito de 4 de septiembre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02721833" w14:textId="77777777" w:rsidR="00F64776" w:rsidRDefault="00F64776" w:rsidP="00F64776">
      <w:pPr>
        <w:pStyle w:val="TextoNormal"/>
      </w:pPr>
    </w:p>
    <w:p w14:paraId="1F02E148" w14:textId="77777777" w:rsidR="00F64776" w:rsidRDefault="00F64776" w:rsidP="00F64776">
      <w:pPr>
        <w:pStyle w:val="TextoNormalNegritaCentrado"/>
        <w:keepNext/>
      </w:pPr>
      <w:r>
        <w:t>II. Fundamentos jurídicos</w:t>
      </w:r>
    </w:p>
    <w:p w14:paraId="06FE7A55" w14:textId="6BA7CA25" w:rsidR="00F64776" w:rsidRDefault="00F64776" w:rsidP="00F64776">
      <w:pPr>
        <w:pStyle w:val="TextoNormalNegritaCentrado"/>
        <w:keepNext/>
      </w:pPr>
    </w:p>
    <w:p w14:paraId="5F6385ED" w14:textId="4357F9B0"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6301AE65" w14:textId="77777777" w:rsidR="00F64776" w:rsidRDefault="00F64776" w:rsidP="00F64776">
      <w:pPr>
        <w:pStyle w:val="TextoNormal"/>
      </w:pPr>
    </w:p>
    <w:p w14:paraId="57269C17" w14:textId="77777777" w:rsidR="00F64776" w:rsidRDefault="00F64776" w:rsidP="00F64776">
      <w:pPr>
        <w:pStyle w:val="TextoNormal"/>
      </w:pPr>
      <w:r>
        <w:t>Por lo expuesto, la Sección</w:t>
      </w:r>
    </w:p>
    <w:p w14:paraId="6D019D73" w14:textId="720223DC" w:rsidR="00F64776" w:rsidRDefault="00F64776" w:rsidP="00F64776">
      <w:pPr>
        <w:pStyle w:val="TextoNormal"/>
      </w:pPr>
    </w:p>
    <w:p w14:paraId="4253BE0C" w14:textId="77777777" w:rsidR="00F64776" w:rsidRDefault="00F64776" w:rsidP="00F64776">
      <w:pPr>
        <w:pStyle w:val="TextoNormalCentrado"/>
      </w:pPr>
      <w:r>
        <w:t>ACUERDA</w:t>
      </w:r>
    </w:p>
    <w:p w14:paraId="3B15C84D" w14:textId="4DB20AC3" w:rsidR="00F64776" w:rsidRDefault="00F64776" w:rsidP="00F64776">
      <w:pPr>
        <w:pStyle w:val="TextoNormalCentrado"/>
      </w:pPr>
    </w:p>
    <w:p w14:paraId="6DA5FBE0" w14:textId="13BCAD66" w:rsidR="00F64776" w:rsidRDefault="00F64776" w:rsidP="00F64776">
      <w:pPr>
        <w:pStyle w:val="TextoNormal"/>
      </w:pPr>
      <w:r>
        <w:t>Estimar justificada la abstención formulada por el magistrado don César Tolosa Tribiño en el recurso de amparo núm. 8460-2022 y apartarle definitivamente del conocimiento del referido recurso y de todas sus incidencias.</w:t>
      </w:r>
    </w:p>
    <w:p w14:paraId="7B3A00EF" w14:textId="77777777" w:rsidR="00F64776" w:rsidRDefault="00F64776" w:rsidP="00F64776">
      <w:pPr>
        <w:pStyle w:val="TextoNormal"/>
      </w:pPr>
    </w:p>
    <w:p w14:paraId="148D7BD4" w14:textId="77777777" w:rsidR="00F64776" w:rsidRDefault="00F64776" w:rsidP="00F64776">
      <w:pPr>
        <w:pStyle w:val="TextoNormal"/>
      </w:pPr>
      <w:r>
        <w:t>Madrid, a diez de noviembre de dos mil veintitrés.</w:t>
      </w:r>
    </w:p>
    <w:p w14:paraId="71C7C9C0" w14:textId="1893C350" w:rsidR="00F64776" w:rsidRDefault="00F64776">
      <w:pPr>
        <w:spacing w:after="160" w:line="278" w:lineRule="auto"/>
        <w:rPr>
          <w:rFonts w:ascii="Times New Roman" w:eastAsia="Times New Roman" w:hAnsi="Times New Roman" w:cs="Times New Roman"/>
          <w:sz w:val="24"/>
          <w:szCs w:val="24"/>
          <w:lang w:eastAsia="es-ES"/>
        </w:rPr>
      </w:pPr>
      <w:r>
        <w:br w:type="page"/>
      </w:r>
    </w:p>
    <w:p w14:paraId="1C994794" w14:textId="77777777" w:rsidR="00F64776" w:rsidRDefault="00F64776" w:rsidP="00F64776">
      <w:pPr>
        <w:pStyle w:val="TtuloResolucin"/>
      </w:pPr>
      <w:bookmarkStart w:id="337" w:name="AUTO_2023_552"/>
      <w:r>
        <w:t>AUTO 552/2023, de 10 de noviembre de 2023</w:t>
      </w:r>
    </w:p>
    <w:bookmarkEnd w:id="337"/>
    <w:p w14:paraId="1DD349A0" w14:textId="77777777" w:rsidR="00F64776" w:rsidRDefault="00F64776" w:rsidP="00F64776">
      <w:pPr>
        <w:pStyle w:val="TtuloResolucin"/>
      </w:pPr>
      <w:r>
        <w:t>Sección Tercera</w:t>
      </w:r>
    </w:p>
    <w:p w14:paraId="0FDB2430" w14:textId="77777777" w:rsidR="00F64776" w:rsidRDefault="00F64776" w:rsidP="00F64776">
      <w:pPr>
        <w:pStyle w:val="TextoNormalCentrado"/>
      </w:pPr>
      <w:r>
        <w:t>ECLI:ES:TC:2023:552A</w:t>
      </w:r>
    </w:p>
    <w:p w14:paraId="4974FE07" w14:textId="28423AEB" w:rsidR="00F64776" w:rsidRDefault="00F64776" w:rsidP="00F64776">
      <w:pPr>
        <w:pStyle w:val="TextoNormalCentrado"/>
      </w:pPr>
    </w:p>
    <w:p w14:paraId="4637846B" w14:textId="77777777" w:rsidR="00F64776" w:rsidRDefault="00F64776" w:rsidP="00F64776">
      <w:pPr>
        <w:pStyle w:val="SntesisDescriptiva"/>
      </w:pPr>
      <w:r>
        <w:t>Excms. Srs. doña Inmaculada Montalbán Huertas y doña Laura Díez Bueso.</w:t>
      </w:r>
    </w:p>
    <w:p w14:paraId="2551B7A8" w14:textId="4AFF7BA7" w:rsidR="00F64776" w:rsidRDefault="00F64776" w:rsidP="00F64776">
      <w:pPr>
        <w:pStyle w:val="SntesisDescriptiva"/>
      </w:pPr>
    </w:p>
    <w:p w14:paraId="2A649515" w14:textId="77777777" w:rsidR="00F64776" w:rsidRDefault="00F64776" w:rsidP="00F64776">
      <w:pPr>
        <w:pStyle w:val="SntesisDescriptiva"/>
      </w:pPr>
      <w:r>
        <w:t>Acepta una abstención en el recurso de amparo 54-2023, promovido en proceso contencioso-administrativo.</w:t>
      </w:r>
    </w:p>
    <w:p w14:paraId="5AB14338" w14:textId="5D6C9A34" w:rsidR="00F64776" w:rsidRDefault="00F64776" w:rsidP="00F64776">
      <w:pPr>
        <w:pStyle w:val="SntesisDescriptiva"/>
      </w:pPr>
    </w:p>
    <w:p w14:paraId="048EDB1B" w14:textId="77777777" w:rsidR="00F64776" w:rsidRDefault="00F64776" w:rsidP="00F64776">
      <w:pPr>
        <w:pStyle w:val="SntesisDescriptiva"/>
      </w:pPr>
    </w:p>
    <w:p w14:paraId="6028F81E" w14:textId="77777777" w:rsidR="00F64776" w:rsidRDefault="00F64776" w:rsidP="00F64776">
      <w:pPr>
        <w:pStyle w:val="SntesisDescriptiva"/>
      </w:pPr>
    </w:p>
    <w:p w14:paraId="64732B22" w14:textId="77777777" w:rsidR="00F64776" w:rsidRDefault="00F64776" w:rsidP="00F64776">
      <w:pPr>
        <w:pStyle w:val="TextoNormalNegritaCentrado"/>
      </w:pPr>
      <w:r>
        <w:t>AUTO</w:t>
      </w:r>
    </w:p>
    <w:p w14:paraId="39817BCA" w14:textId="3776D26B" w:rsidR="00F64776" w:rsidRDefault="00F64776" w:rsidP="00F64776">
      <w:pPr>
        <w:pStyle w:val="TextoNormalNegritaCentrado"/>
      </w:pPr>
    </w:p>
    <w:p w14:paraId="394082DA" w14:textId="77777777" w:rsidR="00F64776" w:rsidRDefault="00F64776" w:rsidP="00F64776">
      <w:pPr>
        <w:pStyle w:val="TextoNormalNegritaCentrado"/>
        <w:keepNext/>
      </w:pPr>
      <w:r>
        <w:t>I. Antecedentes</w:t>
      </w:r>
    </w:p>
    <w:p w14:paraId="6FE75E88" w14:textId="1A228477" w:rsidR="00F64776" w:rsidRDefault="00F64776" w:rsidP="00F64776">
      <w:pPr>
        <w:pStyle w:val="TextoNormalNegritaCentrado"/>
        <w:keepNext/>
      </w:pPr>
    </w:p>
    <w:p w14:paraId="58CECD98" w14:textId="5BDC7E51" w:rsidR="00F64776" w:rsidRDefault="00F64776" w:rsidP="00F64776">
      <w:pPr>
        <w:pStyle w:val="TextoNormal"/>
      </w:pPr>
      <w:r w:rsidRPr="00F64776">
        <w:rPr>
          <w:rStyle w:val="NumeroAFNegritaCaracter"/>
        </w:rPr>
        <w:t>1</w:t>
      </w:r>
      <w:r>
        <w:t>. Mediante escrito registrado en este tribunal el 9 de enero de 2023, el procurador de los tribunales don Juan Luis Senso Gómez, en nombre y representación de doña Uxía Rodríguez Rodríguez y bajo la dirección del letrado don Miguel Ángel Vizcaíno Galán, formuló demanda de amparo contra el auto de 15 de diciembre de 2022 dictado por la Sección Primera de la Sala de lo Contencioso-Administrativo del Tribunal Supremo, en recurso de queja núm. 515-2022 contra el auto de la Sección Sexta de la Sala de lo Contencioso-Administrativo de la Audiencia Nacional, procedimiento ordinario núm. 1638-2021.</w:t>
      </w:r>
    </w:p>
    <w:p w14:paraId="14A9F032" w14:textId="77777777" w:rsidR="00F64776" w:rsidRDefault="00F64776" w:rsidP="00F64776">
      <w:pPr>
        <w:pStyle w:val="TextoNormal"/>
      </w:pPr>
    </w:p>
    <w:p w14:paraId="32726A53" w14:textId="1A18A4DB" w:rsidR="00F64776" w:rsidRDefault="00F64776" w:rsidP="00F64776">
      <w:pPr>
        <w:pStyle w:val="TextoNormal"/>
      </w:pPr>
      <w:r w:rsidRPr="00F64776">
        <w:rPr>
          <w:rStyle w:val="NumeroAFNegritaCaracter"/>
        </w:rPr>
        <w:t>2</w:t>
      </w:r>
      <w:r>
        <w:t>. Por escrito de 4 de septiembre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4854ADD6" w14:textId="77777777" w:rsidR="00F64776" w:rsidRDefault="00F64776" w:rsidP="00F64776">
      <w:pPr>
        <w:pStyle w:val="TextoNormal"/>
      </w:pPr>
    </w:p>
    <w:p w14:paraId="06E5553E" w14:textId="77777777" w:rsidR="00F64776" w:rsidRDefault="00F64776" w:rsidP="00F64776">
      <w:pPr>
        <w:pStyle w:val="TextoNormalNegritaCentrado"/>
        <w:keepNext/>
      </w:pPr>
      <w:r>
        <w:t>II. Fundamentos jurídicos</w:t>
      </w:r>
    </w:p>
    <w:p w14:paraId="06409D2B" w14:textId="77DA25B4" w:rsidR="00F64776" w:rsidRDefault="00F64776" w:rsidP="00F64776">
      <w:pPr>
        <w:pStyle w:val="TextoNormalNegritaCentrado"/>
        <w:keepNext/>
      </w:pPr>
    </w:p>
    <w:p w14:paraId="140C5909" w14:textId="4A808AE2"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43CE937C" w14:textId="77777777" w:rsidR="00F64776" w:rsidRDefault="00F64776" w:rsidP="00F64776">
      <w:pPr>
        <w:pStyle w:val="TextoNormal"/>
      </w:pPr>
    </w:p>
    <w:p w14:paraId="1709DE29" w14:textId="77777777" w:rsidR="00F64776" w:rsidRDefault="00F64776" w:rsidP="00F64776">
      <w:pPr>
        <w:pStyle w:val="TextoNormal"/>
      </w:pPr>
      <w:r>
        <w:t>Por lo expuesto, la Sección</w:t>
      </w:r>
    </w:p>
    <w:p w14:paraId="0AB7CD62" w14:textId="484EEDE9" w:rsidR="00F64776" w:rsidRDefault="00F64776" w:rsidP="00F64776">
      <w:pPr>
        <w:pStyle w:val="TextoNormal"/>
      </w:pPr>
    </w:p>
    <w:p w14:paraId="2B838AE5" w14:textId="77777777" w:rsidR="00F64776" w:rsidRDefault="00F64776" w:rsidP="00F64776">
      <w:pPr>
        <w:pStyle w:val="TextoNormalCentrado"/>
      </w:pPr>
      <w:r>
        <w:t>ACUERDA</w:t>
      </w:r>
    </w:p>
    <w:p w14:paraId="30AC56FF" w14:textId="5E923EE4" w:rsidR="00F64776" w:rsidRDefault="00F64776" w:rsidP="00F64776">
      <w:pPr>
        <w:pStyle w:val="TextoNormalCentrado"/>
      </w:pPr>
    </w:p>
    <w:p w14:paraId="5A45D769" w14:textId="4465B208" w:rsidR="00F64776" w:rsidRDefault="00F64776" w:rsidP="00F64776">
      <w:pPr>
        <w:pStyle w:val="TextoNormal"/>
      </w:pPr>
      <w:r>
        <w:t>Estimar justificada la abstención formulada por el magistrado don César Tolosa Tribiño en el recurso de amparo núm. 54-2023 y apartarle definitivamente del conocimiento del referido recurso y de todas sus incidencias.</w:t>
      </w:r>
    </w:p>
    <w:p w14:paraId="1D345934" w14:textId="77777777" w:rsidR="00F64776" w:rsidRDefault="00F64776" w:rsidP="00F64776">
      <w:pPr>
        <w:pStyle w:val="TextoNormal"/>
      </w:pPr>
    </w:p>
    <w:p w14:paraId="779F72F6" w14:textId="77777777" w:rsidR="00F64776" w:rsidRDefault="00F64776" w:rsidP="00F64776">
      <w:pPr>
        <w:pStyle w:val="TextoNormal"/>
      </w:pPr>
      <w:r>
        <w:t>Madrid, a diez de noviembre de dos mil veintitrés.</w:t>
      </w:r>
    </w:p>
    <w:p w14:paraId="1196FE2D" w14:textId="68A1B5F3" w:rsidR="00F64776" w:rsidRDefault="00F64776">
      <w:pPr>
        <w:spacing w:after="160" w:line="278" w:lineRule="auto"/>
        <w:rPr>
          <w:rFonts w:ascii="Times New Roman" w:eastAsia="Times New Roman" w:hAnsi="Times New Roman" w:cs="Times New Roman"/>
          <w:sz w:val="24"/>
          <w:szCs w:val="24"/>
          <w:lang w:eastAsia="es-ES"/>
        </w:rPr>
      </w:pPr>
      <w:r>
        <w:br w:type="page"/>
      </w:r>
    </w:p>
    <w:p w14:paraId="4D67D5A7" w14:textId="77777777" w:rsidR="00F64776" w:rsidRDefault="00F64776" w:rsidP="00F64776">
      <w:pPr>
        <w:pStyle w:val="TtuloResolucin"/>
      </w:pPr>
      <w:bookmarkStart w:id="338" w:name="AUTO_2023_553"/>
      <w:r>
        <w:t>AUTO 553/2023, de 10 de noviembre de 2023</w:t>
      </w:r>
    </w:p>
    <w:bookmarkEnd w:id="338"/>
    <w:p w14:paraId="36E67BA3" w14:textId="77777777" w:rsidR="00F64776" w:rsidRDefault="00F64776" w:rsidP="00F64776">
      <w:pPr>
        <w:pStyle w:val="TtuloResolucin"/>
      </w:pPr>
      <w:r>
        <w:t>Sección Tercera</w:t>
      </w:r>
    </w:p>
    <w:p w14:paraId="5514ACEA" w14:textId="77777777" w:rsidR="00F64776" w:rsidRDefault="00F64776" w:rsidP="00F64776">
      <w:pPr>
        <w:pStyle w:val="TextoNormalCentrado"/>
      </w:pPr>
      <w:r>
        <w:t>ECLI:ES:TC:2023:553A</w:t>
      </w:r>
    </w:p>
    <w:p w14:paraId="091466D2" w14:textId="6EB94839" w:rsidR="00F64776" w:rsidRDefault="00F64776" w:rsidP="00F64776">
      <w:pPr>
        <w:pStyle w:val="TextoNormalCentrado"/>
      </w:pPr>
    </w:p>
    <w:p w14:paraId="2B765150" w14:textId="77777777" w:rsidR="00F64776" w:rsidRDefault="00F64776" w:rsidP="00F64776">
      <w:pPr>
        <w:pStyle w:val="SntesisDescriptiva"/>
      </w:pPr>
      <w:r>
        <w:t>Excms. Srs. doña Inmaculada Montalbán Huertas y doña Laura Díez Bueso.</w:t>
      </w:r>
    </w:p>
    <w:p w14:paraId="04DF20AF" w14:textId="7EF58182" w:rsidR="00F64776" w:rsidRDefault="00F64776" w:rsidP="00F64776">
      <w:pPr>
        <w:pStyle w:val="SntesisDescriptiva"/>
      </w:pPr>
    </w:p>
    <w:p w14:paraId="054C1C77" w14:textId="77777777" w:rsidR="00F64776" w:rsidRDefault="00F64776" w:rsidP="00F64776">
      <w:pPr>
        <w:pStyle w:val="SntesisDescriptiva"/>
      </w:pPr>
      <w:r>
        <w:t>Acepta una abstención en el recurso de amparo 990-2023, promovido en proceso contencioso-administrativo.</w:t>
      </w:r>
    </w:p>
    <w:p w14:paraId="589C9630" w14:textId="0A3A9AAA" w:rsidR="00F64776" w:rsidRDefault="00F64776" w:rsidP="00F64776">
      <w:pPr>
        <w:pStyle w:val="SntesisDescriptiva"/>
      </w:pPr>
    </w:p>
    <w:p w14:paraId="3B3F1107" w14:textId="77777777" w:rsidR="00F64776" w:rsidRDefault="00F64776" w:rsidP="00F64776">
      <w:pPr>
        <w:pStyle w:val="SntesisDescriptiva"/>
      </w:pPr>
    </w:p>
    <w:p w14:paraId="444BD208" w14:textId="77777777" w:rsidR="00F64776" w:rsidRDefault="00F64776" w:rsidP="00F64776">
      <w:pPr>
        <w:pStyle w:val="SntesisDescriptiva"/>
      </w:pPr>
    </w:p>
    <w:p w14:paraId="2082B709" w14:textId="77777777" w:rsidR="00F64776" w:rsidRDefault="00F64776" w:rsidP="00F64776">
      <w:pPr>
        <w:pStyle w:val="TextoNormalNegritaCentrado"/>
      </w:pPr>
      <w:r>
        <w:t>AUTO</w:t>
      </w:r>
    </w:p>
    <w:p w14:paraId="1E4C730C" w14:textId="75E6561E" w:rsidR="00F64776" w:rsidRDefault="00F64776" w:rsidP="00F64776">
      <w:pPr>
        <w:pStyle w:val="TextoNormalNegritaCentrado"/>
      </w:pPr>
    </w:p>
    <w:p w14:paraId="27FA7017" w14:textId="77777777" w:rsidR="00F64776" w:rsidRDefault="00F64776" w:rsidP="00F64776">
      <w:pPr>
        <w:pStyle w:val="TextoNormalNegritaCentrado"/>
        <w:keepNext/>
      </w:pPr>
      <w:r>
        <w:t>I. Antecedentes</w:t>
      </w:r>
    </w:p>
    <w:p w14:paraId="531AA271" w14:textId="3FD6A165" w:rsidR="00F64776" w:rsidRDefault="00F64776" w:rsidP="00F64776">
      <w:pPr>
        <w:pStyle w:val="TextoNormalNegritaCentrado"/>
        <w:keepNext/>
      </w:pPr>
    </w:p>
    <w:p w14:paraId="7C8D3E3B" w14:textId="0578D312" w:rsidR="00F64776" w:rsidRDefault="00F64776" w:rsidP="00F64776">
      <w:pPr>
        <w:pStyle w:val="TextoNormal"/>
      </w:pPr>
      <w:r w:rsidRPr="00F64776">
        <w:rPr>
          <w:rStyle w:val="NumeroAFNegritaCaracter"/>
        </w:rPr>
        <w:t>1</w:t>
      </w:r>
      <w:r>
        <w:t>. Mediante escrito registrado en este tribunal el 16 de febrero de 2023, el procurador de los tribunales don Antonio Ángel Sánchez-Jáuregui Alcaide, en nombre y representación de doña Lina María Gil Giraldo y bajo la dirección del letrado don César Manuel Pinto Cañón, formuló demanda de amparo contra la providencia de 8 de noviembre de 2022 dictada por el Tribunal Supremo, Sala de lo Contencioso-Administrativo Sección Primera, en el recurso de casación núm. 5833-2022.</w:t>
      </w:r>
    </w:p>
    <w:p w14:paraId="23AAD86E" w14:textId="77777777" w:rsidR="00F64776" w:rsidRDefault="00F64776" w:rsidP="00F64776">
      <w:pPr>
        <w:pStyle w:val="TextoNormal"/>
      </w:pPr>
    </w:p>
    <w:p w14:paraId="19356CD9" w14:textId="31DE1F47" w:rsidR="00F64776" w:rsidRDefault="00F64776" w:rsidP="00F64776">
      <w:pPr>
        <w:pStyle w:val="TextoNormal"/>
      </w:pPr>
      <w:r w:rsidRPr="00F64776">
        <w:rPr>
          <w:rStyle w:val="NumeroAFNegritaCaracter"/>
        </w:rPr>
        <w:t>2</w:t>
      </w:r>
      <w:r>
        <w:t>. Por escrito de 4 de septiembre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3420488D" w14:textId="77777777" w:rsidR="00F64776" w:rsidRDefault="00F64776" w:rsidP="00F64776">
      <w:pPr>
        <w:pStyle w:val="TextoNormal"/>
      </w:pPr>
    </w:p>
    <w:p w14:paraId="3ED2B055" w14:textId="77777777" w:rsidR="00F64776" w:rsidRDefault="00F64776" w:rsidP="00F64776">
      <w:pPr>
        <w:pStyle w:val="TextoNormalNegritaCentrado"/>
        <w:keepNext/>
      </w:pPr>
      <w:r>
        <w:t>II. Fundamentos jurídicos</w:t>
      </w:r>
    </w:p>
    <w:p w14:paraId="7CE915E1" w14:textId="14F96635" w:rsidR="00F64776" w:rsidRDefault="00F64776" w:rsidP="00F64776">
      <w:pPr>
        <w:pStyle w:val="TextoNormalNegritaCentrado"/>
        <w:keepNext/>
      </w:pPr>
    </w:p>
    <w:p w14:paraId="19068A90" w14:textId="7C2D6790"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73C13A7F" w14:textId="77777777" w:rsidR="00F64776" w:rsidRDefault="00F64776" w:rsidP="00F64776">
      <w:pPr>
        <w:pStyle w:val="TextoNormal"/>
      </w:pPr>
    </w:p>
    <w:p w14:paraId="7B93CCE9" w14:textId="77777777" w:rsidR="00F64776" w:rsidRDefault="00F64776" w:rsidP="00F64776">
      <w:pPr>
        <w:pStyle w:val="TextoNormal"/>
      </w:pPr>
      <w:r>
        <w:t>Por lo expuesto, la Sección</w:t>
      </w:r>
    </w:p>
    <w:p w14:paraId="0655DA4A" w14:textId="26A3F8FD" w:rsidR="00F64776" w:rsidRDefault="00F64776" w:rsidP="00F64776">
      <w:pPr>
        <w:pStyle w:val="TextoNormal"/>
      </w:pPr>
    </w:p>
    <w:p w14:paraId="4A159982" w14:textId="77777777" w:rsidR="00F64776" w:rsidRDefault="00F64776" w:rsidP="00F64776">
      <w:pPr>
        <w:pStyle w:val="TextoNormalCentrado"/>
      </w:pPr>
      <w:r>
        <w:t>ACUERDA</w:t>
      </w:r>
    </w:p>
    <w:p w14:paraId="39114355" w14:textId="6650F00A" w:rsidR="00F64776" w:rsidRDefault="00F64776" w:rsidP="00F64776">
      <w:pPr>
        <w:pStyle w:val="TextoNormalCentrado"/>
      </w:pPr>
    </w:p>
    <w:p w14:paraId="144D4273" w14:textId="72FB0400" w:rsidR="00F64776" w:rsidRDefault="00F64776" w:rsidP="00F64776">
      <w:pPr>
        <w:pStyle w:val="TextoNormal"/>
      </w:pPr>
      <w:r>
        <w:t>Estimar justificada la abstención formulada por el magistrado don César Tolosa Tribiño en el recurso de amparo núm. 990-2023 y apartarle definitivamente del conocimiento del referido recurso y de todas sus incidencias.</w:t>
      </w:r>
    </w:p>
    <w:p w14:paraId="6FBB58F3" w14:textId="77777777" w:rsidR="00F64776" w:rsidRDefault="00F64776" w:rsidP="00F64776">
      <w:pPr>
        <w:pStyle w:val="TextoNormal"/>
      </w:pPr>
    </w:p>
    <w:p w14:paraId="45BB4D62" w14:textId="77777777" w:rsidR="00F64776" w:rsidRDefault="00F64776" w:rsidP="00F64776">
      <w:pPr>
        <w:pStyle w:val="TextoNormal"/>
      </w:pPr>
      <w:r>
        <w:t>Madrid, a diez de noviembre de dos mil veintitrés.</w:t>
      </w:r>
    </w:p>
    <w:p w14:paraId="0756E3F7" w14:textId="2B74315B" w:rsidR="00F64776" w:rsidRDefault="00F64776">
      <w:pPr>
        <w:spacing w:after="160" w:line="278" w:lineRule="auto"/>
        <w:rPr>
          <w:rFonts w:ascii="Times New Roman" w:eastAsia="Times New Roman" w:hAnsi="Times New Roman" w:cs="Times New Roman"/>
          <w:sz w:val="24"/>
          <w:szCs w:val="24"/>
          <w:lang w:eastAsia="es-ES"/>
        </w:rPr>
      </w:pPr>
      <w:r>
        <w:br w:type="page"/>
      </w:r>
    </w:p>
    <w:p w14:paraId="0FBFB328" w14:textId="77777777" w:rsidR="00F64776" w:rsidRDefault="00F64776" w:rsidP="00F64776">
      <w:pPr>
        <w:pStyle w:val="TtuloResolucin"/>
      </w:pPr>
      <w:bookmarkStart w:id="339" w:name="AUTO_2023_554"/>
      <w:r>
        <w:t>AUTO 554/2023, de 10 de noviembre de 2023</w:t>
      </w:r>
    </w:p>
    <w:bookmarkEnd w:id="339"/>
    <w:p w14:paraId="2CCCB186" w14:textId="77777777" w:rsidR="00F64776" w:rsidRDefault="00F64776" w:rsidP="00F64776">
      <w:pPr>
        <w:pStyle w:val="TtuloResolucin"/>
      </w:pPr>
      <w:r>
        <w:t>Sección Tercera</w:t>
      </w:r>
    </w:p>
    <w:p w14:paraId="1F03F757" w14:textId="77777777" w:rsidR="00F64776" w:rsidRDefault="00F64776" w:rsidP="00F64776">
      <w:pPr>
        <w:pStyle w:val="TextoNormalCentrado"/>
      </w:pPr>
      <w:r>
        <w:t>ECLI:ES:TC:2023:554A</w:t>
      </w:r>
    </w:p>
    <w:p w14:paraId="345EE886" w14:textId="380B27D5" w:rsidR="00F64776" w:rsidRDefault="00F64776" w:rsidP="00F64776">
      <w:pPr>
        <w:pStyle w:val="TextoNormalCentrado"/>
      </w:pPr>
    </w:p>
    <w:p w14:paraId="002E4C64" w14:textId="77777777" w:rsidR="00F64776" w:rsidRDefault="00F64776" w:rsidP="00F64776">
      <w:pPr>
        <w:pStyle w:val="SntesisDescriptiva"/>
      </w:pPr>
      <w:r>
        <w:t>Excms. Srs. doña Inmaculada Montalbán Huertas y doña Laura Díez Bueso.</w:t>
      </w:r>
    </w:p>
    <w:p w14:paraId="60E1E078" w14:textId="546D4CF6" w:rsidR="00F64776" w:rsidRDefault="00F64776" w:rsidP="00F64776">
      <w:pPr>
        <w:pStyle w:val="SntesisDescriptiva"/>
      </w:pPr>
    </w:p>
    <w:p w14:paraId="40BCA450" w14:textId="77777777" w:rsidR="00F64776" w:rsidRDefault="00F64776" w:rsidP="00F64776">
      <w:pPr>
        <w:pStyle w:val="SntesisDescriptiva"/>
      </w:pPr>
      <w:r>
        <w:t>Acepta una abstención en el recurso de amparo 2647-2023, promovido en proceso contencioso-administrativo.</w:t>
      </w:r>
    </w:p>
    <w:p w14:paraId="09BB8C96" w14:textId="7B0D1A73" w:rsidR="00F64776" w:rsidRDefault="00F64776" w:rsidP="00F64776">
      <w:pPr>
        <w:pStyle w:val="SntesisDescriptiva"/>
      </w:pPr>
    </w:p>
    <w:p w14:paraId="1A3AD9CC" w14:textId="77777777" w:rsidR="00F64776" w:rsidRDefault="00F64776" w:rsidP="00F64776">
      <w:pPr>
        <w:pStyle w:val="SntesisDescriptiva"/>
      </w:pPr>
    </w:p>
    <w:p w14:paraId="58CA6F6B" w14:textId="77777777" w:rsidR="00F64776" w:rsidRDefault="00F64776" w:rsidP="00F64776">
      <w:pPr>
        <w:pStyle w:val="SntesisDescriptiva"/>
      </w:pPr>
    </w:p>
    <w:p w14:paraId="440BA6F2" w14:textId="77777777" w:rsidR="00F64776" w:rsidRDefault="00F64776" w:rsidP="00F64776">
      <w:pPr>
        <w:pStyle w:val="TextoNormalNegritaCentrado"/>
      </w:pPr>
      <w:r>
        <w:t>AUTO</w:t>
      </w:r>
    </w:p>
    <w:p w14:paraId="08128536" w14:textId="498D1280" w:rsidR="00F64776" w:rsidRDefault="00F64776" w:rsidP="00F64776">
      <w:pPr>
        <w:pStyle w:val="TextoNormalNegritaCentrado"/>
      </w:pPr>
    </w:p>
    <w:p w14:paraId="4A5E2CF5" w14:textId="77777777" w:rsidR="00F64776" w:rsidRDefault="00F64776" w:rsidP="00F64776">
      <w:pPr>
        <w:pStyle w:val="TextoNormalNegritaCentrado"/>
        <w:keepNext/>
      </w:pPr>
      <w:r>
        <w:t>I. Antecedentes</w:t>
      </w:r>
    </w:p>
    <w:p w14:paraId="12CF2334" w14:textId="2F8632F8" w:rsidR="00F64776" w:rsidRDefault="00F64776" w:rsidP="00F64776">
      <w:pPr>
        <w:pStyle w:val="TextoNormalNegritaCentrado"/>
        <w:keepNext/>
      </w:pPr>
    </w:p>
    <w:p w14:paraId="02E80807" w14:textId="728B0203" w:rsidR="00F64776" w:rsidRDefault="00F64776" w:rsidP="00F64776">
      <w:pPr>
        <w:pStyle w:val="TextoNormal"/>
      </w:pPr>
      <w:r w:rsidRPr="00F64776">
        <w:rPr>
          <w:rStyle w:val="NumeroAFNegritaCaracter"/>
        </w:rPr>
        <w:t>1</w:t>
      </w:r>
      <w:r>
        <w:t>. Mediante escrito registrado en este tribunal el 21 de abril de 2023, la procuradora de los tribunales doña María del Pilar Vived de la Vega, en nombre y representación de don Jesús Alberto Lobo Martos y bajo la dirección de la letrada doña María Concepción Díaz Gómez, formuló demanda de amparo contra el auto de 6 de abril de 2022 dictado por la Sección Primera de la Sala de lo Contencioso-Administrativo del Tribunal Supremo, en recurso de casación núm. 8073-2021 contra la sentencia de la Sección Quinta de la Sala de lo Contencioso-Administrativo de la Audiencia Nacional, recurso núm. 617-2020.</w:t>
      </w:r>
    </w:p>
    <w:p w14:paraId="792D44B3" w14:textId="77777777" w:rsidR="00F64776" w:rsidRDefault="00F64776" w:rsidP="00F64776">
      <w:pPr>
        <w:pStyle w:val="TextoNormal"/>
      </w:pPr>
    </w:p>
    <w:p w14:paraId="2DB792F1" w14:textId="3F340543" w:rsidR="00F64776" w:rsidRDefault="00F64776" w:rsidP="00F64776">
      <w:pPr>
        <w:pStyle w:val="TextoNormal"/>
      </w:pPr>
      <w:r w:rsidRPr="00F64776">
        <w:rPr>
          <w:rStyle w:val="NumeroAFNegritaCaracter"/>
        </w:rPr>
        <w:t>2</w:t>
      </w:r>
      <w:r>
        <w:t>. Por escrito de 4 de septiembre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1AB1584A" w14:textId="77777777" w:rsidR="00F64776" w:rsidRDefault="00F64776" w:rsidP="00F64776">
      <w:pPr>
        <w:pStyle w:val="TextoNormal"/>
      </w:pPr>
    </w:p>
    <w:p w14:paraId="14BBA440" w14:textId="77777777" w:rsidR="00F64776" w:rsidRDefault="00F64776" w:rsidP="00F64776">
      <w:pPr>
        <w:pStyle w:val="TextoNormalNegritaCentrado"/>
        <w:keepNext/>
      </w:pPr>
      <w:r>
        <w:t>II. Fundamentos jurídicos</w:t>
      </w:r>
    </w:p>
    <w:p w14:paraId="0A328415" w14:textId="4F01D7AB" w:rsidR="00F64776" w:rsidRDefault="00F64776" w:rsidP="00F64776">
      <w:pPr>
        <w:pStyle w:val="TextoNormalNegritaCentrado"/>
        <w:keepNext/>
      </w:pPr>
    </w:p>
    <w:p w14:paraId="785664C0" w14:textId="0D164DE0"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0A473C2C" w14:textId="77777777" w:rsidR="00F64776" w:rsidRDefault="00F64776" w:rsidP="00F64776">
      <w:pPr>
        <w:pStyle w:val="TextoNormal"/>
      </w:pPr>
    </w:p>
    <w:p w14:paraId="44A0E9CF" w14:textId="77777777" w:rsidR="00F64776" w:rsidRDefault="00F64776" w:rsidP="00F64776">
      <w:pPr>
        <w:pStyle w:val="TextoNormal"/>
      </w:pPr>
      <w:r>
        <w:t>Por lo expuesto, la Sección</w:t>
      </w:r>
    </w:p>
    <w:p w14:paraId="3B184011" w14:textId="2C5E9C5A" w:rsidR="00F64776" w:rsidRDefault="00F64776" w:rsidP="00F64776">
      <w:pPr>
        <w:pStyle w:val="TextoNormal"/>
      </w:pPr>
    </w:p>
    <w:p w14:paraId="0B0D0113" w14:textId="77777777" w:rsidR="00F64776" w:rsidRDefault="00F64776" w:rsidP="00F64776">
      <w:pPr>
        <w:pStyle w:val="TextoNormalCentrado"/>
      </w:pPr>
      <w:r>
        <w:t>ACUERDA</w:t>
      </w:r>
    </w:p>
    <w:p w14:paraId="5219BFA6" w14:textId="40DA2011" w:rsidR="00F64776" w:rsidRDefault="00F64776" w:rsidP="00F64776">
      <w:pPr>
        <w:pStyle w:val="TextoNormalCentrado"/>
      </w:pPr>
    </w:p>
    <w:p w14:paraId="506A4D9C" w14:textId="193036E3" w:rsidR="00F64776" w:rsidRDefault="00F64776" w:rsidP="00F64776">
      <w:pPr>
        <w:pStyle w:val="TextoNormal"/>
      </w:pPr>
      <w:r>
        <w:t>Estimar justificada la abstención formulada por el magistrado don César Tolosa Tribiño en el recurso de amparo núm. 2647-2023 y apartarle definitivamente del conocimiento del referido recurso y de todas sus incidencias.</w:t>
      </w:r>
    </w:p>
    <w:p w14:paraId="12D252D0" w14:textId="77777777" w:rsidR="00F64776" w:rsidRDefault="00F64776" w:rsidP="00F64776">
      <w:pPr>
        <w:pStyle w:val="TextoNormal"/>
      </w:pPr>
    </w:p>
    <w:p w14:paraId="151746FE" w14:textId="77777777" w:rsidR="00F64776" w:rsidRDefault="00F64776" w:rsidP="00F64776">
      <w:pPr>
        <w:pStyle w:val="TextoNormal"/>
      </w:pPr>
      <w:r>
        <w:t>Madrid, a diez de noviembre de dos mil veintitrés.</w:t>
      </w:r>
    </w:p>
    <w:p w14:paraId="7EB116B6" w14:textId="6AC13508" w:rsidR="00F64776" w:rsidRDefault="00F64776">
      <w:pPr>
        <w:spacing w:after="160" w:line="278" w:lineRule="auto"/>
        <w:rPr>
          <w:rFonts w:ascii="Times New Roman" w:eastAsia="Times New Roman" w:hAnsi="Times New Roman" w:cs="Times New Roman"/>
          <w:sz w:val="24"/>
          <w:szCs w:val="24"/>
          <w:lang w:eastAsia="es-ES"/>
        </w:rPr>
      </w:pPr>
      <w:r>
        <w:br w:type="page"/>
      </w:r>
    </w:p>
    <w:p w14:paraId="5E6021BA" w14:textId="77777777" w:rsidR="00F64776" w:rsidRDefault="00F64776" w:rsidP="00F64776">
      <w:pPr>
        <w:pStyle w:val="TtuloResolucin"/>
      </w:pPr>
      <w:bookmarkStart w:id="340" w:name="AUTO_2023_555"/>
      <w:r>
        <w:t>AUTO 555/2023, de 10 de noviembre de 2023</w:t>
      </w:r>
    </w:p>
    <w:bookmarkEnd w:id="340"/>
    <w:p w14:paraId="357709FA" w14:textId="77777777" w:rsidR="00F64776" w:rsidRDefault="00F64776" w:rsidP="00F64776">
      <w:pPr>
        <w:pStyle w:val="TtuloResolucin"/>
      </w:pPr>
      <w:r>
        <w:t>Sección Tercera</w:t>
      </w:r>
    </w:p>
    <w:p w14:paraId="04DE357E" w14:textId="77777777" w:rsidR="00F64776" w:rsidRDefault="00F64776" w:rsidP="00F64776">
      <w:pPr>
        <w:pStyle w:val="TextoNormalCentrado"/>
      </w:pPr>
      <w:r>
        <w:t>ECLI:ES:TC:2023:555A</w:t>
      </w:r>
    </w:p>
    <w:p w14:paraId="03495588" w14:textId="2F6305B1" w:rsidR="00F64776" w:rsidRDefault="00F64776" w:rsidP="00F64776">
      <w:pPr>
        <w:pStyle w:val="TextoNormalCentrado"/>
      </w:pPr>
    </w:p>
    <w:p w14:paraId="1A7CDA00" w14:textId="77777777" w:rsidR="00F64776" w:rsidRDefault="00F64776" w:rsidP="00F64776">
      <w:pPr>
        <w:pStyle w:val="SntesisDescriptiva"/>
      </w:pPr>
      <w:r>
        <w:t>Excms. Srs. doña Inmaculada Montalbán Huertas y doña Laura Díez Bueso.</w:t>
      </w:r>
    </w:p>
    <w:p w14:paraId="0AF4E2BE" w14:textId="6FAB522F" w:rsidR="00F64776" w:rsidRDefault="00F64776" w:rsidP="00F64776">
      <w:pPr>
        <w:pStyle w:val="SntesisDescriptiva"/>
      </w:pPr>
    </w:p>
    <w:p w14:paraId="5A5EC59D" w14:textId="77777777" w:rsidR="00F64776" w:rsidRDefault="00F64776" w:rsidP="00F64776">
      <w:pPr>
        <w:pStyle w:val="SntesisDescriptiva"/>
      </w:pPr>
      <w:r>
        <w:t>Acepta una abstención en el recurso de amparo 3997-2023, promovido por la entidad Universal Desiré 10, S.L., en proceso contencioso-administrativo.</w:t>
      </w:r>
    </w:p>
    <w:p w14:paraId="169B9F65" w14:textId="6B3E9172" w:rsidR="00F64776" w:rsidRDefault="00F64776" w:rsidP="00F64776">
      <w:pPr>
        <w:pStyle w:val="SntesisDescriptiva"/>
      </w:pPr>
    </w:p>
    <w:p w14:paraId="44CF6C6D" w14:textId="77777777" w:rsidR="00F64776" w:rsidRDefault="00F64776" w:rsidP="00F64776">
      <w:pPr>
        <w:pStyle w:val="SntesisDescriptiva"/>
      </w:pPr>
    </w:p>
    <w:p w14:paraId="072CC61F" w14:textId="77777777" w:rsidR="00F64776" w:rsidRDefault="00F64776" w:rsidP="00F64776">
      <w:pPr>
        <w:pStyle w:val="SntesisDescriptiva"/>
      </w:pPr>
    </w:p>
    <w:p w14:paraId="0FE277C7" w14:textId="77777777" w:rsidR="00F64776" w:rsidRDefault="00F64776" w:rsidP="00F64776">
      <w:pPr>
        <w:pStyle w:val="TextoNormalNegritaCentrado"/>
      </w:pPr>
      <w:r>
        <w:t>AUTO</w:t>
      </w:r>
    </w:p>
    <w:p w14:paraId="127AC63D" w14:textId="0B13C112" w:rsidR="00F64776" w:rsidRDefault="00F64776" w:rsidP="00F64776">
      <w:pPr>
        <w:pStyle w:val="TextoNormalNegritaCentrado"/>
      </w:pPr>
    </w:p>
    <w:p w14:paraId="699CCCAB" w14:textId="77777777" w:rsidR="00F64776" w:rsidRDefault="00F64776" w:rsidP="00F64776">
      <w:pPr>
        <w:pStyle w:val="TextoNormalNegritaCentrado"/>
        <w:keepNext/>
      </w:pPr>
      <w:r>
        <w:t>I. Antecedentes</w:t>
      </w:r>
    </w:p>
    <w:p w14:paraId="1B3C8F7D" w14:textId="7D5965A1" w:rsidR="00F64776" w:rsidRDefault="00F64776" w:rsidP="00F64776">
      <w:pPr>
        <w:pStyle w:val="TextoNormalNegritaCentrado"/>
        <w:keepNext/>
      </w:pPr>
    </w:p>
    <w:p w14:paraId="5C41597A" w14:textId="74E8BE13" w:rsidR="00F64776" w:rsidRDefault="00F64776" w:rsidP="00F64776">
      <w:pPr>
        <w:pStyle w:val="TextoNormal"/>
      </w:pPr>
      <w:r w:rsidRPr="00F64776">
        <w:rPr>
          <w:rStyle w:val="NumeroAFNegritaCaracter"/>
        </w:rPr>
        <w:t>1</w:t>
      </w:r>
      <w:r>
        <w:t>. Mediante escrito registrado en este tribunal el 12 de junio de 2023, la procuradora de los tribunales don/doña Emma Nel.lo Jover, en nombre y representación de la entidad Universal Desiré 10, S.L., y bajo la dirección de la letrada doña Eva María Infante Sánchez, formuló demanda de amparo contra el auto de 31 de mayo de 2022 dictado por la Sala de lo Contencioso-Administrativo del Tribunal Supremo, en recurso de queja núm. 201-2022 contra la sentencia dictada por la Sección Tercera de la Sala Contencioso-Administrativo del Tribunal Superior de Justicia de Cataluña, en recurso núm. 154-2019.</w:t>
      </w:r>
    </w:p>
    <w:p w14:paraId="2A064C40" w14:textId="77777777" w:rsidR="00F64776" w:rsidRDefault="00F64776" w:rsidP="00F64776">
      <w:pPr>
        <w:pStyle w:val="TextoNormal"/>
      </w:pPr>
    </w:p>
    <w:p w14:paraId="1EAF2CAE" w14:textId="292573D4" w:rsidR="00F64776" w:rsidRDefault="00F64776" w:rsidP="00F64776">
      <w:pPr>
        <w:pStyle w:val="TextoNormal"/>
      </w:pPr>
      <w:r w:rsidRPr="00F64776">
        <w:rPr>
          <w:rStyle w:val="NumeroAFNegritaCaracter"/>
        </w:rPr>
        <w:t>2</w:t>
      </w:r>
      <w:r>
        <w:t>. Por escrito de 4 de septiembre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5908EC8B" w14:textId="77777777" w:rsidR="00F64776" w:rsidRDefault="00F64776" w:rsidP="00F64776">
      <w:pPr>
        <w:pStyle w:val="TextoNormal"/>
      </w:pPr>
    </w:p>
    <w:p w14:paraId="642CF257" w14:textId="77777777" w:rsidR="00F64776" w:rsidRDefault="00F64776" w:rsidP="00F64776">
      <w:pPr>
        <w:pStyle w:val="TextoNormalNegritaCentrado"/>
        <w:keepNext/>
      </w:pPr>
      <w:r>
        <w:t>II. Fundamentos jurídicos</w:t>
      </w:r>
    </w:p>
    <w:p w14:paraId="09756AC3" w14:textId="788D6A1E" w:rsidR="00F64776" w:rsidRDefault="00F64776" w:rsidP="00F64776">
      <w:pPr>
        <w:pStyle w:val="TextoNormalNegritaCentrado"/>
        <w:keepNext/>
      </w:pPr>
    </w:p>
    <w:p w14:paraId="11968FA4" w14:textId="2973EB2C"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45F2E973" w14:textId="77777777" w:rsidR="00F64776" w:rsidRDefault="00F64776" w:rsidP="00F64776">
      <w:pPr>
        <w:pStyle w:val="TextoNormal"/>
      </w:pPr>
    </w:p>
    <w:p w14:paraId="0998201A" w14:textId="77777777" w:rsidR="00F64776" w:rsidRDefault="00F64776" w:rsidP="00F64776">
      <w:pPr>
        <w:pStyle w:val="TextoNormal"/>
      </w:pPr>
      <w:r>
        <w:t>Por lo expuesto, la Sección</w:t>
      </w:r>
    </w:p>
    <w:p w14:paraId="05C8873F" w14:textId="78F9289E" w:rsidR="00F64776" w:rsidRDefault="00F64776" w:rsidP="00F64776">
      <w:pPr>
        <w:pStyle w:val="TextoNormal"/>
      </w:pPr>
    </w:p>
    <w:p w14:paraId="5BFBF7F4" w14:textId="77777777" w:rsidR="00F64776" w:rsidRDefault="00F64776" w:rsidP="00F64776">
      <w:pPr>
        <w:pStyle w:val="TextoNormalCentrado"/>
      </w:pPr>
      <w:r>
        <w:t>ACUERDA</w:t>
      </w:r>
    </w:p>
    <w:p w14:paraId="35179486" w14:textId="64A9AA6D" w:rsidR="00F64776" w:rsidRDefault="00F64776" w:rsidP="00F64776">
      <w:pPr>
        <w:pStyle w:val="TextoNormalCentrado"/>
      </w:pPr>
    </w:p>
    <w:p w14:paraId="3DD1AC3D" w14:textId="2FC9768E" w:rsidR="00F64776" w:rsidRDefault="00F64776" w:rsidP="00F64776">
      <w:pPr>
        <w:pStyle w:val="TextoNormal"/>
      </w:pPr>
      <w:r>
        <w:t>Estimar justificada la abstención formulada por el magistrado don César Tolosa Tribiño en el recurso de amparo núm. 3997-2023 y apartarle definitivamente del conocimiento del referido recurso y de todas sus incidencias.</w:t>
      </w:r>
    </w:p>
    <w:p w14:paraId="4F704FE7" w14:textId="77777777" w:rsidR="00F64776" w:rsidRDefault="00F64776" w:rsidP="00F64776">
      <w:pPr>
        <w:pStyle w:val="TextoNormal"/>
      </w:pPr>
    </w:p>
    <w:p w14:paraId="4DE56B24" w14:textId="77777777" w:rsidR="00F64776" w:rsidRDefault="00F64776" w:rsidP="00F64776">
      <w:pPr>
        <w:pStyle w:val="TextoNormal"/>
      </w:pPr>
      <w:r>
        <w:t>Madrid, a diez de noviembre de dos mil veintitrés.</w:t>
      </w:r>
    </w:p>
    <w:p w14:paraId="04021399" w14:textId="5EB692D9" w:rsidR="00F64776" w:rsidRDefault="00F64776">
      <w:pPr>
        <w:spacing w:after="160" w:line="278" w:lineRule="auto"/>
        <w:rPr>
          <w:rFonts w:ascii="Times New Roman" w:eastAsia="Times New Roman" w:hAnsi="Times New Roman" w:cs="Times New Roman"/>
          <w:sz w:val="24"/>
          <w:szCs w:val="24"/>
          <w:lang w:eastAsia="es-ES"/>
        </w:rPr>
      </w:pPr>
      <w:r>
        <w:br w:type="page"/>
      </w:r>
    </w:p>
    <w:p w14:paraId="7D53B917" w14:textId="77777777" w:rsidR="00F64776" w:rsidRDefault="00F64776" w:rsidP="00F64776">
      <w:pPr>
        <w:pStyle w:val="TtuloResolucin"/>
      </w:pPr>
      <w:bookmarkStart w:id="341" w:name="AUTO_2023_556"/>
      <w:r>
        <w:t>AUTO 556/2023, de 10 de noviembre de 2023</w:t>
      </w:r>
    </w:p>
    <w:bookmarkEnd w:id="341"/>
    <w:p w14:paraId="087DA675" w14:textId="77777777" w:rsidR="00F64776" w:rsidRDefault="00F64776" w:rsidP="00F64776">
      <w:pPr>
        <w:pStyle w:val="TtuloResolucin"/>
      </w:pPr>
      <w:r>
        <w:t>Sección Tercera</w:t>
      </w:r>
    </w:p>
    <w:p w14:paraId="1F99285D" w14:textId="77777777" w:rsidR="00F64776" w:rsidRDefault="00F64776" w:rsidP="00F64776">
      <w:pPr>
        <w:pStyle w:val="TextoNormalCentrado"/>
      </w:pPr>
      <w:r>
        <w:t>ECLI:ES:TC:2023:556A</w:t>
      </w:r>
    </w:p>
    <w:p w14:paraId="3B3087D4" w14:textId="4FD7A9C7" w:rsidR="00F64776" w:rsidRDefault="00F64776" w:rsidP="00F64776">
      <w:pPr>
        <w:pStyle w:val="TextoNormalCentrado"/>
      </w:pPr>
    </w:p>
    <w:p w14:paraId="297C0473" w14:textId="77777777" w:rsidR="00F64776" w:rsidRDefault="00F64776" w:rsidP="00F64776">
      <w:pPr>
        <w:pStyle w:val="SntesisDescriptiva"/>
      </w:pPr>
      <w:r>
        <w:t>Excms. Srs. doña Inmaculada Montalbán Huertas y doña Laura Díez Bueso.</w:t>
      </w:r>
    </w:p>
    <w:p w14:paraId="6E34C5D7" w14:textId="7996CE7A" w:rsidR="00F64776" w:rsidRDefault="00F64776" w:rsidP="00F64776">
      <w:pPr>
        <w:pStyle w:val="SntesisDescriptiva"/>
      </w:pPr>
    </w:p>
    <w:p w14:paraId="2D8DFBFD" w14:textId="77777777" w:rsidR="00F64776" w:rsidRDefault="00F64776" w:rsidP="00F64776">
      <w:pPr>
        <w:pStyle w:val="SntesisDescriptiva"/>
      </w:pPr>
      <w:r>
        <w:t>Acepta una abstención en el recurso de amparo 4462-2023, promovido en proceso contencioso-administrativo.</w:t>
      </w:r>
    </w:p>
    <w:p w14:paraId="1358AFE4" w14:textId="4C6082FD" w:rsidR="00F64776" w:rsidRDefault="00F64776" w:rsidP="00F64776">
      <w:pPr>
        <w:pStyle w:val="SntesisDescriptiva"/>
      </w:pPr>
    </w:p>
    <w:p w14:paraId="616F6042" w14:textId="77777777" w:rsidR="00F64776" w:rsidRDefault="00F64776" w:rsidP="00F64776">
      <w:pPr>
        <w:pStyle w:val="SntesisDescriptiva"/>
      </w:pPr>
    </w:p>
    <w:p w14:paraId="2CEECB2D" w14:textId="77777777" w:rsidR="00F64776" w:rsidRDefault="00F64776" w:rsidP="00F64776">
      <w:pPr>
        <w:pStyle w:val="SntesisDescriptiva"/>
      </w:pPr>
    </w:p>
    <w:p w14:paraId="52990CB4" w14:textId="77777777" w:rsidR="00F64776" w:rsidRDefault="00F64776" w:rsidP="00F64776">
      <w:pPr>
        <w:pStyle w:val="TextoNormalNegritaCentrado"/>
      </w:pPr>
      <w:r>
        <w:t>AUTO</w:t>
      </w:r>
    </w:p>
    <w:p w14:paraId="38226B77" w14:textId="1B81835B" w:rsidR="00F64776" w:rsidRDefault="00F64776" w:rsidP="00F64776">
      <w:pPr>
        <w:pStyle w:val="TextoNormalNegritaCentrado"/>
      </w:pPr>
    </w:p>
    <w:p w14:paraId="13A9AAC1" w14:textId="77777777" w:rsidR="00F64776" w:rsidRDefault="00F64776" w:rsidP="00F64776">
      <w:pPr>
        <w:pStyle w:val="TextoNormalNegritaCentrado"/>
        <w:keepNext/>
      </w:pPr>
      <w:r>
        <w:t>I. Antecedentes</w:t>
      </w:r>
    </w:p>
    <w:p w14:paraId="29BE540D" w14:textId="05AB31FF" w:rsidR="00F64776" w:rsidRDefault="00F64776" w:rsidP="00F64776">
      <w:pPr>
        <w:pStyle w:val="TextoNormalNegritaCentrado"/>
        <w:keepNext/>
      </w:pPr>
    </w:p>
    <w:p w14:paraId="5B04A87D" w14:textId="65E46055" w:rsidR="00F64776" w:rsidRDefault="00F64776" w:rsidP="00F64776">
      <w:pPr>
        <w:pStyle w:val="TextoNormal"/>
      </w:pPr>
      <w:r w:rsidRPr="00F64776">
        <w:rPr>
          <w:rStyle w:val="NumeroAFNegritaCaracter"/>
        </w:rPr>
        <w:t>1</w:t>
      </w:r>
      <w:r>
        <w:t>. Mediante escrito registrado en este tribunal el 28 de junio de 2023, el procurador de los tribunales don José María Ruiz de la Cuesta Vacas, en nombre y representación de doña Dolores Adoración Rodríguez Suárez y bajo la dirección del letrado don Francisco Javier Araúz de Robles Dávila, formuló demanda de amparo contra las providencias de la Sección Primera de la Sala de lo Contencioso-Administrativo del Tribunal Supremo, en recurso de casación núm.1418-2022.</w:t>
      </w:r>
    </w:p>
    <w:p w14:paraId="7D14E96C" w14:textId="77777777" w:rsidR="00F64776" w:rsidRDefault="00F64776" w:rsidP="00F64776">
      <w:pPr>
        <w:pStyle w:val="TextoNormal"/>
      </w:pPr>
    </w:p>
    <w:p w14:paraId="46FC149B" w14:textId="14DE1B17" w:rsidR="00F64776" w:rsidRDefault="00F64776" w:rsidP="00F64776">
      <w:pPr>
        <w:pStyle w:val="TextoNormal"/>
      </w:pPr>
      <w:r w:rsidRPr="00F64776">
        <w:rPr>
          <w:rStyle w:val="NumeroAFNegritaCaracter"/>
        </w:rPr>
        <w:t>2</w:t>
      </w:r>
      <w:r>
        <w:t>. Por escrito de 5 de julio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5AAE94F3" w14:textId="77777777" w:rsidR="00F64776" w:rsidRDefault="00F64776" w:rsidP="00F64776">
      <w:pPr>
        <w:pStyle w:val="TextoNormal"/>
      </w:pPr>
    </w:p>
    <w:p w14:paraId="09B8092B" w14:textId="77777777" w:rsidR="00F64776" w:rsidRDefault="00F64776" w:rsidP="00F64776">
      <w:pPr>
        <w:pStyle w:val="TextoNormalNegritaCentrado"/>
        <w:keepNext/>
      </w:pPr>
      <w:r>
        <w:t>II. Fundamentos jurídicos</w:t>
      </w:r>
    </w:p>
    <w:p w14:paraId="507340E7" w14:textId="708DC47E" w:rsidR="00F64776" w:rsidRDefault="00F64776" w:rsidP="00F64776">
      <w:pPr>
        <w:pStyle w:val="TextoNormalNegritaCentrado"/>
        <w:keepNext/>
      </w:pPr>
    </w:p>
    <w:p w14:paraId="5F4BB984" w14:textId="118FDD6B"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1BF7745A" w14:textId="77777777" w:rsidR="00F64776" w:rsidRDefault="00F64776" w:rsidP="00F64776">
      <w:pPr>
        <w:pStyle w:val="TextoNormal"/>
      </w:pPr>
    </w:p>
    <w:p w14:paraId="48C3AD08" w14:textId="77777777" w:rsidR="00F64776" w:rsidRDefault="00F64776" w:rsidP="00F64776">
      <w:pPr>
        <w:pStyle w:val="TextoNormal"/>
      </w:pPr>
      <w:r>
        <w:t>Por lo expuesto, la Sección</w:t>
      </w:r>
    </w:p>
    <w:p w14:paraId="095725A4" w14:textId="6F4BC4A4" w:rsidR="00F64776" w:rsidRDefault="00F64776" w:rsidP="00F64776">
      <w:pPr>
        <w:pStyle w:val="TextoNormal"/>
      </w:pPr>
    </w:p>
    <w:p w14:paraId="7108B073" w14:textId="77777777" w:rsidR="00F64776" w:rsidRDefault="00F64776" w:rsidP="00F64776">
      <w:pPr>
        <w:pStyle w:val="TextoNormalCentrado"/>
      </w:pPr>
      <w:r>
        <w:t>ACUERDA</w:t>
      </w:r>
    </w:p>
    <w:p w14:paraId="32D82AA7" w14:textId="29E92A4E" w:rsidR="00F64776" w:rsidRDefault="00F64776" w:rsidP="00F64776">
      <w:pPr>
        <w:pStyle w:val="TextoNormalCentrado"/>
      </w:pPr>
    </w:p>
    <w:p w14:paraId="3254B3C8" w14:textId="7681BD2B" w:rsidR="00F64776" w:rsidRDefault="00F64776" w:rsidP="00F64776">
      <w:pPr>
        <w:pStyle w:val="TextoNormal"/>
      </w:pPr>
      <w:r>
        <w:t>Estimar justificada la abstención formulada por el magistrado don César Tolosa Tribiño en el recurso de amparo núm. 4462-2023 y apartarle definitivamente del conocimiento del referido recurso y de todas sus incidencias.</w:t>
      </w:r>
    </w:p>
    <w:p w14:paraId="2C23B9EB" w14:textId="77777777" w:rsidR="00F64776" w:rsidRDefault="00F64776" w:rsidP="00F64776">
      <w:pPr>
        <w:pStyle w:val="TextoNormal"/>
      </w:pPr>
    </w:p>
    <w:p w14:paraId="35929B22" w14:textId="77777777" w:rsidR="00F64776" w:rsidRDefault="00F64776" w:rsidP="00F64776">
      <w:pPr>
        <w:pStyle w:val="TextoNormal"/>
      </w:pPr>
      <w:r>
        <w:t>Madrid, a diez de noviembre de dos mil veintitrés.</w:t>
      </w:r>
    </w:p>
    <w:p w14:paraId="0D7FB5EC" w14:textId="7772DB59" w:rsidR="00F64776" w:rsidRDefault="00F64776">
      <w:pPr>
        <w:spacing w:after="160" w:line="278" w:lineRule="auto"/>
        <w:rPr>
          <w:rFonts w:ascii="Times New Roman" w:eastAsia="Times New Roman" w:hAnsi="Times New Roman" w:cs="Times New Roman"/>
          <w:sz w:val="24"/>
          <w:szCs w:val="24"/>
          <w:lang w:eastAsia="es-ES"/>
        </w:rPr>
      </w:pPr>
      <w:r>
        <w:br w:type="page"/>
      </w:r>
    </w:p>
    <w:p w14:paraId="3C85BF65" w14:textId="77777777" w:rsidR="00F64776" w:rsidRDefault="00F64776" w:rsidP="00F64776">
      <w:pPr>
        <w:pStyle w:val="TtuloResolucin"/>
      </w:pPr>
      <w:bookmarkStart w:id="342" w:name="AUTO_2023_557"/>
      <w:r>
        <w:t>AUTO 557/2023, de 10 de noviembre de 2023</w:t>
      </w:r>
    </w:p>
    <w:bookmarkEnd w:id="342"/>
    <w:p w14:paraId="1BB27E75" w14:textId="77777777" w:rsidR="00F64776" w:rsidRDefault="00F64776" w:rsidP="00F64776">
      <w:pPr>
        <w:pStyle w:val="TtuloResolucin"/>
      </w:pPr>
      <w:r>
        <w:t>Sección Tercera</w:t>
      </w:r>
    </w:p>
    <w:p w14:paraId="0AAD17F1" w14:textId="77777777" w:rsidR="00F64776" w:rsidRDefault="00F64776" w:rsidP="00F64776">
      <w:pPr>
        <w:pStyle w:val="TextoNormalCentrado"/>
      </w:pPr>
      <w:r>
        <w:t>ECLI:ES:TC:2023:557A</w:t>
      </w:r>
    </w:p>
    <w:p w14:paraId="7B907B0A" w14:textId="70CD2FBB" w:rsidR="00F64776" w:rsidRDefault="00F64776" w:rsidP="00F64776">
      <w:pPr>
        <w:pStyle w:val="TextoNormalCentrado"/>
      </w:pPr>
    </w:p>
    <w:p w14:paraId="65702D19" w14:textId="77777777" w:rsidR="00F64776" w:rsidRDefault="00F64776" w:rsidP="00F64776">
      <w:pPr>
        <w:pStyle w:val="SntesisDescriptiva"/>
      </w:pPr>
      <w:r>
        <w:t>Excms. Srs. doña Inmaculada Montalbán Huertas y doña Laura Díez Bueso.</w:t>
      </w:r>
    </w:p>
    <w:p w14:paraId="13E1C393" w14:textId="57189746" w:rsidR="00F64776" w:rsidRDefault="00F64776" w:rsidP="00F64776">
      <w:pPr>
        <w:pStyle w:val="SntesisDescriptiva"/>
      </w:pPr>
    </w:p>
    <w:p w14:paraId="1827A038" w14:textId="77777777" w:rsidR="00F64776" w:rsidRDefault="00F64776" w:rsidP="00F64776">
      <w:pPr>
        <w:pStyle w:val="SntesisDescriptiva"/>
      </w:pPr>
      <w:r>
        <w:t>Acepta una abstención en el recurso de amparo 4758-2023, promovido en proceso contencioso-administrativo.</w:t>
      </w:r>
    </w:p>
    <w:p w14:paraId="2EED0FA5" w14:textId="577E0235" w:rsidR="00F64776" w:rsidRDefault="00F64776" w:rsidP="00F64776">
      <w:pPr>
        <w:pStyle w:val="SntesisDescriptiva"/>
      </w:pPr>
    </w:p>
    <w:p w14:paraId="2E988124" w14:textId="77777777" w:rsidR="00F64776" w:rsidRDefault="00F64776" w:rsidP="00F64776">
      <w:pPr>
        <w:pStyle w:val="SntesisDescriptiva"/>
      </w:pPr>
    </w:p>
    <w:p w14:paraId="0D952ADF" w14:textId="77777777" w:rsidR="00F64776" w:rsidRDefault="00F64776" w:rsidP="00F64776">
      <w:pPr>
        <w:pStyle w:val="SntesisDescriptiva"/>
      </w:pPr>
    </w:p>
    <w:p w14:paraId="419759AF" w14:textId="77777777" w:rsidR="00F64776" w:rsidRDefault="00F64776" w:rsidP="00F64776">
      <w:pPr>
        <w:pStyle w:val="TextoNormalNegritaCentrado"/>
      </w:pPr>
      <w:r>
        <w:t>AUTO</w:t>
      </w:r>
    </w:p>
    <w:p w14:paraId="17E6AB7C" w14:textId="074D753D" w:rsidR="00F64776" w:rsidRDefault="00F64776" w:rsidP="00F64776">
      <w:pPr>
        <w:pStyle w:val="TextoNormalNegritaCentrado"/>
      </w:pPr>
    </w:p>
    <w:p w14:paraId="3770A254" w14:textId="77777777" w:rsidR="00F64776" w:rsidRDefault="00F64776" w:rsidP="00F64776">
      <w:pPr>
        <w:pStyle w:val="TextoNormalNegritaCentrado"/>
        <w:keepNext/>
      </w:pPr>
      <w:r>
        <w:t>I. Antecedentes</w:t>
      </w:r>
    </w:p>
    <w:p w14:paraId="1C3907F1" w14:textId="52F26099" w:rsidR="00F64776" w:rsidRDefault="00F64776" w:rsidP="00F64776">
      <w:pPr>
        <w:pStyle w:val="TextoNormalNegritaCentrado"/>
        <w:keepNext/>
      </w:pPr>
    </w:p>
    <w:p w14:paraId="37731CA6" w14:textId="7AC0677D" w:rsidR="00F64776" w:rsidRDefault="00F64776" w:rsidP="00F64776">
      <w:pPr>
        <w:pStyle w:val="TextoNormal"/>
      </w:pPr>
      <w:r w:rsidRPr="00F64776">
        <w:rPr>
          <w:rStyle w:val="NumeroAFNegritaCaracter"/>
        </w:rPr>
        <w:t>1</w:t>
      </w:r>
      <w:r>
        <w:t>. Mediante escrito registrado en este tribunal el 7 de julio de 2023, la procuradora de los tribunales doña Eva María Tomé Sieira, en nombre y representación de don Celestino Barros Pena y bajo la dirección del letrado don Celestino Barros Pena, formuló demanda de amparo contra la providencia de 16 de noviembre de 2022 dictada por la Sección Primera de la Sala de lo Contencioso-Administrativo del Tribunal Supremo, en recurso de casación núm. 6070-2022.</w:t>
      </w:r>
    </w:p>
    <w:p w14:paraId="716C6813" w14:textId="77777777" w:rsidR="00F64776" w:rsidRDefault="00F64776" w:rsidP="00F64776">
      <w:pPr>
        <w:pStyle w:val="TextoNormal"/>
      </w:pPr>
    </w:p>
    <w:p w14:paraId="7495EC87" w14:textId="2F563ACF" w:rsidR="00F64776" w:rsidRDefault="00F64776" w:rsidP="00F64776">
      <w:pPr>
        <w:pStyle w:val="TextoNormal"/>
      </w:pPr>
      <w:r w:rsidRPr="00F64776">
        <w:rPr>
          <w:rStyle w:val="NumeroAFNegritaCaracter"/>
        </w:rPr>
        <w:t>2</w:t>
      </w:r>
      <w:r>
        <w:t>. Por escrito de 12 de julio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13DD9DFE" w14:textId="77777777" w:rsidR="00F64776" w:rsidRDefault="00F64776" w:rsidP="00F64776">
      <w:pPr>
        <w:pStyle w:val="TextoNormal"/>
      </w:pPr>
    </w:p>
    <w:p w14:paraId="663E6B2F" w14:textId="77777777" w:rsidR="00F64776" w:rsidRDefault="00F64776" w:rsidP="00F64776">
      <w:pPr>
        <w:pStyle w:val="TextoNormalNegritaCentrado"/>
        <w:keepNext/>
      </w:pPr>
      <w:r>
        <w:t>II. Fundamentos jurídicos</w:t>
      </w:r>
    </w:p>
    <w:p w14:paraId="6038FF1E" w14:textId="05A00076" w:rsidR="00F64776" w:rsidRDefault="00F64776" w:rsidP="00F64776">
      <w:pPr>
        <w:pStyle w:val="TextoNormalNegritaCentrado"/>
        <w:keepNext/>
      </w:pPr>
    </w:p>
    <w:p w14:paraId="77F74614" w14:textId="4B1AB511"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71AAC9E9" w14:textId="77777777" w:rsidR="00F64776" w:rsidRDefault="00F64776" w:rsidP="00F64776">
      <w:pPr>
        <w:pStyle w:val="TextoNormal"/>
      </w:pPr>
    </w:p>
    <w:p w14:paraId="60CE0705" w14:textId="77777777" w:rsidR="00F64776" w:rsidRDefault="00F64776" w:rsidP="00F64776">
      <w:pPr>
        <w:pStyle w:val="TextoNormal"/>
      </w:pPr>
      <w:r>
        <w:t>Por lo expuesto, la Sección</w:t>
      </w:r>
    </w:p>
    <w:p w14:paraId="617E2FA7" w14:textId="40F70D82" w:rsidR="00F64776" w:rsidRDefault="00F64776" w:rsidP="00F64776">
      <w:pPr>
        <w:pStyle w:val="TextoNormal"/>
      </w:pPr>
    </w:p>
    <w:p w14:paraId="3496A963" w14:textId="77777777" w:rsidR="00F64776" w:rsidRDefault="00F64776" w:rsidP="00F64776">
      <w:pPr>
        <w:pStyle w:val="TextoNormalCentrado"/>
      </w:pPr>
      <w:r>
        <w:t>ACUERDA</w:t>
      </w:r>
    </w:p>
    <w:p w14:paraId="03C78CE5" w14:textId="1974E58A" w:rsidR="00F64776" w:rsidRDefault="00F64776" w:rsidP="00F64776">
      <w:pPr>
        <w:pStyle w:val="TextoNormalCentrado"/>
      </w:pPr>
    </w:p>
    <w:p w14:paraId="44BE843B" w14:textId="5BE3B2FC" w:rsidR="00F64776" w:rsidRDefault="00F64776" w:rsidP="00F64776">
      <w:pPr>
        <w:pStyle w:val="TextoNormal"/>
      </w:pPr>
      <w:r>
        <w:t>Estimar justificada la abstención formulada por el magistrado don César Tolosa Tribiño en el recurso de amparo núm. 4758-2023 y apartarle definitivamente del conocimiento del referido recurso y de todas sus incidencias.</w:t>
      </w:r>
    </w:p>
    <w:p w14:paraId="0E25B0D4" w14:textId="77777777" w:rsidR="00F64776" w:rsidRDefault="00F64776" w:rsidP="00F64776">
      <w:pPr>
        <w:pStyle w:val="TextoNormal"/>
      </w:pPr>
    </w:p>
    <w:p w14:paraId="3C8A6859" w14:textId="77777777" w:rsidR="00F64776" w:rsidRDefault="00F64776" w:rsidP="00F64776">
      <w:pPr>
        <w:pStyle w:val="TextoNormal"/>
      </w:pPr>
      <w:r>
        <w:t>Madrid, a diez de noviembre de dos mil veintitrés.</w:t>
      </w:r>
    </w:p>
    <w:p w14:paraId="25670A74" w14:textId="7D08C2DA" w:rsidR="00F64776" w:rsidRDefault="00F64776">
      <w:pPr>
        <w:spacing w:after="160" w:line="278" w:lineRule="auto"/>
        <w:rPr>
          <w:rFonts w:ascii="Times New Roman" w:eastAsia="Times New Roman" w:hAnsi="Times New Roman" w:cs="Times New Roman"/>
          <w:sz w:val="24"/>
          <w:szCs w:val="24"/>
          <w:lang w:eastAsia="es-ES"/>
        </w:rPr>
      </w:pPr>
      <w:r>
        <w:br w:type="page"/>
      </w:r>
    </w:p>
    <w:p w14:paraId="44BD401A" w14:textId="77777777" w:rsidR="00F64776" w:rsidRDefault="00F64776" w:rsidP="00F64776">
      <w:pPr>
        <w:pStyle w:val="TtuloResolucin"/>
      </w:pPr>
      <w:bookmarkStart w:id="343" w:name="AUTO_2023_558"/>
      <w:r>
        <w:t>AUTO 558/2023, de 13 de noviembre de 2023</w:t>
      </w:r>
    </w:p>
    <w:bookmarkEnd w:id="343"/>
    <w:p w14:paraId="648051D5" w14:textId="77777777" w:rsidR="00F64776" w:rsidRDefault="00F64776" w:rsidP="00F64776">
      <w:pPr>
        <w:pStyle w:val="TtuloResolucin"/>
      </w:pPr>
      <w:r>
        <w:t>Sección Tercera</w:t>
      </w:r>
    </w:p>
    <w:p w14:paraId="35935CC7" w14:textId="77777777" w:rsidR="00F64776" w:rsidRDefault="00F64776" w:rsidP="00F64776">
      <w:pPr>
        <w:pStyle w:val="TextoNormalCentrado"/>
      </w:pPr>
      <w:r>
        <w:t>ECLI:ES:TC:2023:558A</w:t>
      </w:r>
    </w:p>
    <w:p w14:paraId="33799C23" w14:textId="5B67BB90" w:rsidR="00F64776" w:rsidRDefault="00F64776" w:rsidP="00F64776">
      <w:pPr>
        <w:pStyle w:val="TextoNormalCentrado"/>
      </w:pPr>
    </w:p>
    <w:p w14:paraId="34C21048" w14:textId="77777777" w:rsidR="00F64776" w:rsidRDefault="00F64776" w:rsidP="00F64776">
      <w:pPr>
        <w:pStyle w:val="SntesisDescriptiva"/>
      </w:pPr>
      <w:r>
        <w:t>Excms. Srs. doña Inmaculada Montalbán Huertas y doña Laura Díez Bueso.</w:t>
      </w:r>
    </w:p>
    <w:p w14:paraId="6759D7B1" w14:textId="7CB48793" w:rsidR="00F64776" w:rsidRDefault="00F64776" w:rsidP="00F64776">
      <w:pPr>
        <w:pStyle w:val="SntesisDescriptiva"/>
      </w:pPr>
    </w:p>
    <w:p w14:paraId="48E88498" w14:textId="77777777" w:rsidR="00F64776" w:rsidRDefault="00F64776" w:rsidP="00F64776">
      <w:pPr>
        <w:pStyle w:val="SntesisDescriptiva"/>
      </w:pPr>
      <w:r>
        <w:t>Acepta una abstención en el recurso de amparo 3578-2022, promovido en proceso contencioso-administrativo.</w:t>
      </w:r>
    </w:p>
    <w:p w14:paraId="23A7C7CE" w14:textId="76A8E866" w:rsidR="00F64776" w:rsidRDefault="00F64776" w:rsidP="00F64776">
      <w:pPr>
        <w:pStyle w:val="SntesisDescriptiva"/>
      </w:pPr>
    </w:p>
    <w:p w14:paraId="25742BEA" w14:textId="77777777" w:rsidR="00F64776" w:rsidRDefault="00F64776" w:rsidP="00F64776">
      <w:pPr>
        <w:pStyle w:val="SntesisDescriptiva"/>
      </w:pPr>
    </w:p>
    <w:p w14:paraId="584EE6A0" w14:textId="77777777" w:rsidR="00F64776" w:rsidRDefault="00F64776" w:rsidP="00F64776">
      <w:pPr>
        <w:pStyle w:val="SntesisDescriptiva"/>
      </w:pPr>
    </w:p>
    <w:p w14:paraId="59EA5BD2" w14:textId="77777777" w:rsidR="00F64776" w:rsidRDefault="00F64776" w:rsidP="00F64776">
      <w:pPr>
        <w:pStyle w:val="TextoNormalNegritaCentrado"/>
      </w:pPr>
      <w:r>
        <w:t>AUTO</w:t>
      </w:r>
    </w:p>
    <w:p w14:paraId="019B74F3" w14:textId="43E24127" w:rsidR="00F64776" w:rsidRDefault="00F64776" w:rsidP="00F64776">
      <w:pPr>
        <w:pStyle w:val="TextoNormalNegritaCentrado"/>
      </w:pPr>
    </w:p>
    <w:p w14:paraId="73ED9668" w14:textId="77777777" w:rsidR="00F64776" w:rsidRDefault="00F64776" w:rsidP="00F64776">
      <w:pPr>
        <w:pStyle w:val="TextoNormalNegritaCentrado"/>
        <w:keepNext/>
      </w:pPr>
      <w:r>
        <w:t>I. Antecedentes</w:t>
      </w:r>
    </w:p>
    <w:p w14:paraId="45B46874" w14:textId="3517FA64" w:rsidR="00F64776" w:rsidRDefault="00F64776" w:rsidP="00F64776">
      <w:pPr>
        <w:pStyle w:val="TextoNormalNegritaCentrado"/>
        <w:keepNext/>
      </w:pPr>
    </w:p>
    <w:p w14:paraId="5245CE1D" w14:textId="50B9A769" w:rsidR="00F64776" w:rsidRDefault="00F64776" w:rsidP="00F64776">
      <w:pPr>
        <w:pStyle w:val="TextoNormal"/>
      </w:pPr>
      <w:r w:rsidRPr="00F64776">
        <w:rPr>
          <w:rStyle w:val="NumeroAFNegritaCaracter"/>
        </w:rPr>
        <w:t>1</w:t>
      </w:r>
      <w:r>
        <w:t>. Mediante escrito registrado en este tribunal el 19 de mayo de 2022, la procuradora de los tribunales doña Sonia de la Serna Blázquez, en nombre y representación de don Haj Bouhaes y bajo la dirección del letrado don Vicente Rebenga Galiano, formuló demanda de amparo contra la providencia de la Sección Primera de la Sala de lo Contencioso-Administrativo del Tribunal Supremo, en recurso de casación núm. 8348-2021.</w:t>
      </w:r>
    </w:p>
    <w:p w14:paraId="3DD31471" w14:textId="77777777" w:rsidR="00F64776" w:rsidRDefault="00F64776" w:rsidP="00F64776">
      <w:pPr>
        <w:pStyle w:val="TextoNormal"/>
      </w:pPr>
    </w:p>
    <w:p w14:paraId="2F2941BD" w14:textId="1176BFBE" w:rsidR="00F64776" w:rsidRDefault="00F64776" w:rsidP="00F64776">
      <w:pPr>
        <w:pStyle w:val="TextoNormal"/>
      </w:pPr>
      <w:r w:rsidRPr="00F64776">
        <w:rPr>
          <w:rStyle w:val="NumeroAFNegritaCaracter"/>
        </w:rPr>
        <w:t>2</w:t>
      </w:r>
      <w:r>
        <w:t>. Por escrito de 26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7A99539D" w14:textId="77777777" w:rsidR="00F64776" w:rsidRDefault="00F64776" w:rsidP="00F64776">
      <w:pPr>
        <w:pStyle w:val="TextoNormal"/>
      </w:pPr>
    </w:p>
    <w:p w14:paraId="58AEFD91" w14:textId="77777777" w:rsidR="00F64776" w:rsidRDefault="00F64776" w:rsidP="00F64776">
      <w:pPr>
        <w:pStyle w:val="TextoNormalNegritaCentrado"/>
        <w:keepNext/>
      </w:pPr>
      <w:r>
        <w:t>II. Fundamentos jurídicos</w:t>
      </w:r>
    </w:p>
    <w:p w14:paraId="43C67AA6" w14:textId="305C1C1B" w:rsidR="00F64776" w:rsidRDefault="00F64776" w:rsidP="00F64776">
      <w:pPr>
        <w:pStyle w:val="TextoNormalNegritaCentrado"/>
        <w:keepNext/>
      </w:pPr>
    </w:p>
    <w:p w14:paraId="1EBA0A55" w14:textId="2CC77810"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267E5C02" w14:textId="77777777" w:rsidR="00F64776" w:rsidRDefault="00F64776" w:rsidP="00F64776">
      <w:pPr>
        <w:pStyle w:val="TextoNormal"/>
      </w:pPr>
    </w:p>
    <w:p w14:paraId="213E0C15" w14:textId="77777777" w:rsidR="00F64776" w:rsidRDefault="00F64776" w:rsidP="00F64776">
      <w:pPr>
        <w:pStyle w:val="TextoNormal"/>
      </w:pPr>
      <w:r>
        <w:t>Por lo expuesto, la Sección</w:t>
      </w:r>
    </w:p>
    <w:p w14:paraId="0503CC27" w14:textId="7DBB9B34" w:rsidR="00F64776" w:rsidRDefault="00F64776" w:rsidP="00F64776">
      <w:pPr>
        <w:pStyle w:val="TextoNormal"/>
      </w:pPr>
    </w:p>
    <w:p w14:paraId="2666B7C8" w14:textId="77777777" w:rsidR="00F64776" w:rsidRDefault="00F64776" w:rsidP="00F64776">
      <w:pPr>
        <w:pStyle w:val="TextoNormalCentrado"/>
      </w:pPr>
      <w:r>
        <w:t>ACUERDA</w:t>
      </w:r>
    </w:p>
    <w:p w14:paraId="7809F249" w14:textId="30A0DDB8" w:rsidR="00F64776" w:rsidRDefault="00F64776" w:rsidP="00F64776">
      <w:pPr>
        <w:pStyle w:val="TextoNormalCentrado"/>
      </w:pPr>
    </w:p>
    <w:p w14:paraId="7C3F99E6" w14:textId="2EFFFD66" w:rsidR="00F64776" w:rsidRDefault="00F64776" w:rsidP="00F64776">
      <w:pPr>
        <w:pStyle w:val="TextoNormal"/>
      </w:pPr>
      <w:r>
        <w:t>Estimar justificada la abstención formulada por el magistrado don César Tolosa Tribiño en el recurso de amparo núm. 3578-2022 y apartarle definitivamente del conocimiento del referido recurso y de todas sus incidencias.</w:t>
      </w:r>
    </w:p>
    <w:p w14:paraId="46AABF59" w14:textId="77777777" w:rsidR="00F64776" w:rsidRDefault="00F64776" w:rsidP="00F64776">
      <w:pPr>
        <w:pStyle w:val="TextoNormal"/>
      </w:pPr>
    </w:p>
    <w:p w14:paraId="072A8D58" w14:textId="77777777" w:rsidR="00F64776" w:rsidRDefault="00F64776" w:rsidP="00F64776">
      <w:pPr>
        <w:pStyle w:val="TextoNormal"/>
      </w:pPr>
      <w:r>
        <w:t>Madrid, a trece de noviembre de dos mil veintitrés.</w:t>
      </w:r>
    </w:p>
    <w:p w14:paraId="09098F78" w14:textId="4ED1A152" w:rsidR="00F64776" w:rsidRDefault="00F64776">
      <w:pPr>
        <w:spacing w:after="160" w:line="278" w:lineRule="auto"/>
        <w:rPr>
          <w:rFonts w:ascii="Times New Roman" w:eastAsia="Times New Roman" w:hAnsi="Times New Roman" w:cs="Times New Roman"/>
          <w:sz w:val="24"/>
          <w:szCs w:val="24"/>
          <w:lang w:eastAsia="es-ES"/>
        </w:rPr>
      </w:pPr>
      <w:r>
        <w:br w:type="page"/>
      </w:r>
    </w:p>
    <w:p w14:paraId="72BE53EC" w14:textId="77777777" w:rsidR="00F64776" w:rsidRDefault="00F64776" w:rsidP="00F64776">
      <w:pPr>
        <w:pStyle w:val="TtuloResolucin"/>
      </w:pPr>
      <w:bookmarkStart w:id="344" w:name="AUTO_2023_559"/>
      <w:r>
        <w:t>AUTO 559/2023, de 13 de noviembre de 2023</w:t>
      </w:r>
    </w:p>
    <w:bookmarkEnd w:id="344"/>
    <w:p w14:paraId="73684FF2" w14:textId="77777777" w:rsidR="00F64776" w:rsidRDefault="00F64776" w:rsidP="00F64776">
      <w:pPr>
        <w:pStyle w:val="TtuloResolucin"/>
      </w:pPr>
      <w:r>
        <w:t>Sección Tercera</w:t>
      </w:r>
    </w:p>
    <w:p w14:paraId="25BDE2C8" w14:textId="77777777" w:rsidR="00F64776" w:rsidRDefault="00F64776" w:rsidP="00F64776">
      <w:pPr>
        <w:pStyle w:val="TextoNormalCentrado"/>
      </w:pPr>
      <w:r>
        <w:t>ECLI:ES:TC:2023:559A</w:t>
      </w:r>
    </w:p>
    <w:p w14:paraId="59D287E4" w14:textId="7CB4235F" w:rsidR="00F64776" w:rsidRDefault="00F64776" w:rsidP="00F64776">
      <w:pPr>
        <w:pStyle w:val="TextoNormalCentrado"/>
      </w:pPr>
    </w:p>
    <w:p w14:paraId="2BA44E43" w14:textId="77777777" w:rsidR="00F64776" w:rsidRDefault="00F64776" w:rsidP="00F64776">
      <w:pPr>
        <w:pStyle w:val="SntesisDescriptiva"/>
      </w:pPr>
      <w:r>
        <w:t>Excms. Srs. doña Inmaculada Montalbán Huertas y doña Laura Díez Bueso.</w:t>
      </w:r>
    </w:p>
    <w:p w14:paraId="01252261" w14:textId="08A48C3A" w:rsidR="00F64776" w:rsidRDefault="00F64776" w:rsidP="00F64776">
      <w:pPr>
        <w:pStyle w:val="SntesisDescriptiva"/>
      </w:pPr>
    </w:p>
    <w:p w14:paraId="1F8B6839" w14:textId="77777777" w:rsidR="00F64776" w:rsidRDefault="00F64776" w:rsidP="00F64776">
      <w:pPr>
        <w:pStyle w:val="SntesisDescriptiva"/>
      </w:pPr>
      <w:r>
        <w:t>Acepta una abstención en el recurso de amparo 4454-2022, promovido en proceso contencioso-administrativo.</w:t>
      </w:r>
    </w:p>
    <w:p w14:paraId="461FF0B6" w14:textId="526248B0" w:rsidR="00F64776" w:rsidRDefault="00F64776" w:rsidP="00F64776">
      <w:pPr>
        <w:pStyle w:val="SntesisDescriptiva"/>
      </w:pPr>
    </w:p>
    <w:p w14:paraId="6394CFB7" w14:textId="77777777" w:rsidR="00F64776" w:rsidRDefault="00F64776" w:rsidP="00F64776">
      <w:pPr>
        <w:pStyle w:val="SntesisDescriptiva"/>
      </w:pPr>
    </w:p>
    <w:p w14:paraId="73DE8CE5" w14:textId="77777777" w:rsidR="00F64776" w:rsidRDefault="00F64776" w:rsidP="00F64776">
      <w:pPr>
        <w:pStyle w:val="SntesisDescriptiva"/>
      </w:pPr>
    </w:p>
    <w:p w14:paraId="150910DC" w14:textId="77777777" w:rsidR="00F64776" w:rsidRDefault="00F64776" w:rsidP="00F64776">
      <w:pPr>
        <w:pStyle w:val="TextoNormalNegritaCentrado"/>
      </w:pPr>
      <w:r>
        <w:t>AUTO</w:t>
      </w:r>
    </w:p>
    <w:p w14:paraId="25975D31" w14:textId="3ADEEBCE" w:rsidR="00F64776" w:rsidRDefault="00F64776" w:rsidP="00F64776">
      <w:pPr>
        <w:pStyle w:val="TextoNormalNegritaCentrado"/>
      </w:pPr>
    </w:p>
    <w:p w14:paraId="05739A17" w14:textId="77777777" w:rsidR="00F64776" w:rsidRDefault="00F64776" w:rsidP="00F64776">
      <w:pPr>
        <w:pStyle w:val="TextoNormalNegritaCentrado"/>
        <w:keepNext/>
      </w:pPr>
      <w:r>
        <w:t>I. Antecedentes</w:t>
      </w:r>
    </w:p>
    <w:p w14:paraId="1E3AAF5C" w14:textId="4C6623AE" w:rsidR="00F64776" w:rsidRDefault="00F64776" w:rsidP="00F64776">
      <w:pPr>
        <w:pStyle w:val="TextoNormalNegritaCentrado"/>
        <w:keepNext/>
      </w:pPr>
    </w:p>
    <w:p w14:paraId="694E943C" w14:textId="4E61C8F9" w:rsidR="00F64776" w:rsidRDefault="00F64776" w:rsidP="00F64776">
      <w:pPr>
        <w:pStyle w:val="TextoNormal"/>
      </w:pPr>
      <w:r w:rsidRPr="00F64776">
        <w:rPr>
          <w:rStyle w:val="NumeroAFNegritaCaracter"/>
        </w:rPr>
        <w:t>1</w:t>
      </w:r>
      <w:r>
        <w:t>. Mediante escrito registrado en este tribunal el 21 de junio de 2022, la procuradora de los tribunales doña Gloria Cecilia Garzón Cadena, en nombre y representación de doña Hafida Zada y bajo la dirección del letrado don José Manuel Beltrán Cristóbal, formuló demanda de amparo contra las providencias de la Sala Contencioso-Administrativo del Tribunal Supremo en recurso de casación núm. 7118-2021.</w:t>
      </w:r>
    </w:p>
    <w:p w14:paraId="6171857D" w14:textId="77777777" w:rsidR="00F64776" w:rsidRDefault="00F64776" w:rsidP="00F64776">
      <w:pPr>
        <w:pStyle w:val="TextoNormal"/>
      </w:pPr>
    </w:p>
    <w:p w14:paraId="32D4AD5A" w14:textId="5C64E9DA" w:rsidR="00F64776" w:rsidRDefault="00F64776" w:rsidP="00F64776">
      <w:pPr>
        <w:pStyle w:val="TextoNormal"/>
      </w:pPr>
      <w:r w:rsidRPr="00F64776">
        <w:rPr>
          <w:rStyle w:val="NumeroAFNegritaCaracter"/>
        </w:rPr>
        <w:t>2</w:t>
      </w:r>
      <w:r>
        <w:t>. Por escrito de 26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23697555" w14:textId="77777777" w:rsidR="00F64776" w:rsidRDefault="00F64776" w:rsidP="00F64776">
      <w:pPr>
        <w:pStyle w:val="TextoNormal"/>
      </w:pPr>
    </w:p>
    <w:p w14:paraId="553FDD1B" w14:textId="77777777" w:rsidR="00F64776" w:rsidRDefault="00F64776" w:rsidP="00F64776">
      <w:pPr>
        <w:pStyle w:val="TextoNormalNegritaCentrado"/>
        <w:keepNext/>
      </w:pPr>
      <w:r>
        <w:t>II. Fundamentos jurídicos</w:t>
      </w:r>
    </w:p>
    <w:p w14:paraId="32BACCF7" w14:textId="4355FFB7" w:rsidR="00F64776" w:rsidRDefault="00F64776" w:rsidP="00F64776">
      <w:pPr>
        <w:pStyle w:val="TextoNormalNegritaCentrado"/>
        <w:keepNext/>
      </w:pPr>
    </w:p>
    <w:p w14:paraId="3B38A793" w14:textId="0C5061D7"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0A628786" w14:textId="77777777" w:rsidR="00F64776" w:rsidRDefault="00F64776" w:rsidP="00F64776">
      <w:pPr>
        <w:pStyle w:val="TextoNormal"/>
      </w:pPr>
    </w:p>
    <w:p w14:paraId="45C88A13" w14:textId="77777777" w:rsidR="00F64776" w:rsidRDefault="00F64776" w:rsidP="00F64776">
      <w:pPr>
        <w:pStyle w:val="TextoNormal"/>
      </w:pPr>
      <w:r>
        <w:t>Por lo expuesto, la Sección</w:t>
      </w:r>
    </w:p>
    <w:p w14:paraId="72CC4185" w14:textId="20FA84E2" w:rsidR="00F64776" w:rsidRDefault="00F64776" w:rsidP="00F64776">
      <w:pPr>
        <w:pStyle w:val="TextoNormal"/>
      </w:pPr>
    </w:p>
    <w:p w14:paraId="17B15CF8" w14:textId="77777777" w:rsidR="00F64776" w:rsidRDefault="00F64776" w:rsidP="00F64776">
      <w:pPr>
        <w:pStyle w:val="TextoNormalCentrado"/>
      </w:pPr>
      <w:r>
        <w:t>ACUERDA</w:t>
      </w:r>
    </w:p>
    <w:p w14:paraId="30FA62AB" w14:textId="10A7FD69" w:rsidR="00F64776" w:rsidRDefault="00F64776" w:rsidP="00F64776">
      <w:pPr>
        <w:pStyle w:val="TextoNormalCentrado"/>
      </w:pPr>
    </w:p>
    <w:p w14:paraId="1E966CE9" w14:textId="0BDCECC8" w:rsidR="00F64776" w:rsidRDefault="00F64776" w:rsidP="00F64776">
      <w:pPr>
        <w:pStyle w:val="TextoNormal"/>
      </w:pPr>
      <w:r>
        <w:t>Estimar justificada la abstención formulada por el magistrado don César Tolosa Tribiño en el recurso de amparo núm. 4454-2022 y apartarle definitivamente del conocimiento del referido recurso y de todas sus incidencias.</w:t>
      </w:r>
    </w:p>
    <w:p w14:paraId="4DE2B0FD" w14:textId="77777777" w:rsidR="00F64776" w:rsidRDefault="00F64776" w:rsidP="00F64776">
      <w:pPr>
        <w:pStyle w:val="TextoNormal"/>
      </w:pPr>
    </w:p>
    <w:p w14:paraId="02E76BBD" w14:textId="77777777" w:rsidR="00F64776" w:rsidRDefault="00F64776" w:rsidP="00F64776">
      <w:pPr>
        <w:pStyle w:val="TextoNormal"/>
      </w:pPr>
      <w:r>
        <w:t>Madrid, a trece de noviembre de dos mil veintitrés.</w:t>
      </w:r>
    </w:p>
    <w:p w14:paraId="041C9D96" w14:textId="58D63730" w:rsidR="00F64776" w:rsidRDefault="00F64776">
      <w:pPr>
        <w:spacing w:after="160" w:line="278" w:lineRule="auto"/>
        <w:rPr>
          <w:rFonts w:ascii="Times New Roman" w:eastAsia="Times New Roman" w:hAnsi="Times New Roman" w:cs="Times New Roman"/>
          <w:sz w:val="24"/>
          <w:szCs w:val="24"/>
          <w:lang w:eastAsia="es-ES"/>
        </w:rPr>
      </w:pPr>
      <w:r>
        <w:br w:type="page"/>
      </w:r>
    </w:p>
    <w:p w14:paraId="7D64F818" w14:textId="77777777" w:rsidR="00F64776" w:rsidRDefault="00F64776" w:rsidP="00F64776">
      <w:pPr>
        <w:pStyle w:val="TtuloResolucin"/>
      </w:pPr>
      <w:bookmarkStart w:id="345" w:name="AUTO_2023_560"/>
      <w:r>
        <w:t>AUTO 560/2023, de 13 de noviembre de 2023</w:t>
      </w:r>
    </w:p>
    <w:bookmarkEnd w:id="345"/>
    <w:p w14:paraId="3590F055" w14:textId="77777777" w:rsidR="00F64776" w:rsidRDefault="00F64776" w:rsidP="00F64776">
      <w:pPr>
        <w:pStyle w:val="TtuloResolucin"/>
      </w:pPr>
      <w:r>
        <w:t>Sección Tercera</w:t>
      </w:r>
    </w:p>
    <w:p w14:paraId="4DB51EC3" w14:textId="77777777" w:rsidR="00F64776" w:rsidRDefault="00F64776" w:rsidP="00F64776">
      <w:pPr>
        <w:pStyle w:val="TextoNormalCentrado"/>
      </w:pPr>
      <w:r>
        <w:t>ECLI:ES:TC:2023:560A</w:t>
      </w:r>
    </w:p>
    <w:p w14:paraId="5D221021" w14:textId="7ED1B261" w:rsidR="00F64776" w:rsidRDefault="00F64776" w:rsidP="00F64776">
      <w:pPr>
        <w:pStyle w:val="TextoNormalCentrado"/>
      </w:pPr>
    </w:p>
    <w:p w14:paraId="580CF68E" w14:textId="77777777" w:rsidR="00F64776" w:rsidRDefault="00F64776" w:rsidP="00F64776">
      <w:pPr>
        <w:pStyle w:val="SntesisDescriptiva"/>
      </w:pPr>
      <w:r>
        <w:t>Excms. Srs. doña Inmaculada Montalbán Huertas y doña Laura Díez Bueso.</w:t>
      </w:r>
    </w:p>
    <w:p w14:paraId="1579E351" w14:textId="001245D0" w:rsidR="00F64776" w:rsidRDefault="00F64776" w:rsidP="00F64776">
      <w:pPr>
        <w:pStyle w:val="SntesisDescriptiva"/>
      </w:pPr>
    </w:p>
    <w:p w14:paraId="7FB703D0" w14:textId="77777777" w:rsidR="00F64776" w:rsidRDefault="00F64776" w:rsidP="00F64776">
      <w:pPr>
        <w:pStyle w:val="SntesisDescriptiva"/>
      </w:pPr>
      <w:r>
        <w:t>Acepta una abstención en el recurso de amparo 4731-2022, promovido en proceso contencioso-administrativo.</w:t>
      </w:r>
    </w:p>
    <w:p w14:paraId="5470C610" w14:textId="056B4808" w:rsidR="00F64776" w:rsidRDefault="00F64776" w:rsidP="00F64776">
      <w:pPr>
        <w:pStyle w:val="SntesisDescriptiva"/>
      </w:pPr>
    </w:p>
    <w:p w14:paraId="2A82DF50" w14:textId="77777777" w:rsidR="00F64776" w:rsidRDefault="00F64776" w:rsidP="00F64776">
      <w:pPr>
        <w:pStyle w:val="SntesisDescriptiva"/>
      </w:pPr>
    </w:p>
    <w:p w14:paraId="00804592" w14:textId="77777777" w:rsidR="00F64776" w:rsidRDefault="00F64776" w:rsidP="00F64776">
      <w:pPr>
        <w:pStyle w:val="SntesisDescriptiva"/>
      </w:pPr>
    </w:p>
    <w:p w14:paraId="5BA648E4" w14:textId="77777777" w:rsidR="00F64776" w:rsidRDefault="00F64776" w:rsidP="00F64776">
      <w:pPr>
        <w:pStyle w:val="TextoNormalNegritaCentrado"/>
      </w:pPr>
      <w:r>
        <w:t>AUTO</w:t>
      </w:r>
    </w:p>
    <w:p w14:paraId="274DCB23" w14:textId="6E76B90E" w:rsidR="00F64776" w:rsidRDefault="00F64776" w:rsidP="00F64776">
      <w:pPr>
        <w:pStyle w:val="TextoNormalNegritaCentrado"/>
      </w:pPr>
    </w:p>
    <w:p w14:paraId="0DAF0543" w14:textId="77777777" w:rsidR="00F64776" w:rsidRDefault="00F64776" w:rsidP="00F64776">
      <w:pPr>
        <w:pStyle w:val="TextoNormalNegritaCentrado"/>
        <w:keepNext/>
      </w:pPr>
      <w:r>
        <w:t>I. Antecedentes</w:t>
      </w:r>
    </w:p>
    <w:p w14:paraId="60E9BCBF" w14:textId="01FACD9F" w:rsidR="00F64776" w:rsidRDefault="00F64776" w:rsidP="00F64776">
      <w:pPr>
        <w:pStyle w:val="TextoNormalNegritaCentrado"/>
        <w:keepNext/>
      </w:pPr>
    </w:p>
    <w:p w14:paraId="0DF565A9" w14:textId="1A8FA722" w:rsidR="00F64776" w:rsidRDefault="00F64776" w:rsidP="00F64776">
      <w:pPr>
        <w:pStyle w:val="TextoNormal"/>
      </w:pPr>
      <w:r w:rsidRPr="00F64776">
        <w:rPr>
          <w:rStyle w:val="NumeroAFNegritaCaracter"/>
        </w:rPr>
        <w:t>1</w:t>
      </w:r>
      <w:r>
        <w:t>. Mediante escrito registrado en este tribunal el 29 de junio de 2022, el procurador de los tribunales don Óscar Jesús Castellanos Quintero, en nombre y representación de don Edison Stalin Nieto Ceferino y bajo la dirección del letrado don José María Andrés Cervera, formuló demanda de amparo contra la providencia de la Sección Primera de la Sala de lo Contencioso-Administrativo del Tribunal Supremo, en recurso de casación núm. 465-2022.</w:t>
      </w:r>
    </w:p>
    <w:p w14:paraId="183924EA" w14:textId="77777777" w:rsidR="00F64776" w:rsidRDefault="00F64776" w:rsidP="00F64776">
      <w:pPr>
        <w:pStyle w:val="TextoNormal"/>
      </w:pPr>
    </w:p>
    <w:p w14:paraId="2256667B" w14:textId="701089DA" w:rsidR="00F64776" w:rsidRDefault="00F64776" w:rsidP="00F64776">
      <w:pPr>
        <w:pStyle w:val="TextoNormal"/>
      </w:pPr>
      <w:r w:rsidRPr="00F64776">
        <w:rPr>
          <w:rStyle w:val="NumeroAFNegritaCaracter"/>
        </w:rPr>
        <w:t>2</w:t>
      </w:r>
      <w:r>
        <w:t>. Por escrito de 26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2C04C17E" w14:textId="77777777" w:rsidR="00F64776" w:rsidRDefault="00F64776" w:rsidP="00F64776">
      <w:pPr>
        <w:pStyle w:val="TextoNormal"/>
      </w:pPr>
    </w:p>
    <w:p w14:paraId="67279411" w14:textId="77777777" w:rsidR="00F64776" w:rsidRDefault="00F64776" w:rsidP="00F64776">
      <w:pPr>
        <w:pStyle w:val="TextoNormalNegritaCentrado"/>
        <w:keepNext/>
      </w:pPr>
      <w:r>
        <w:t>II. Fundamentos jurídicos</w:t>
      </w:r>
    </w:p>
    <w:p w14:paraId="39671615" w14:textId="42C6FEBE" w:rsidR="00F64776" w:rsidRDefault="00F64776" w:rsidP="00F64776">
      <w:pPr>
        <w:pStyle w:val="TextoNormalNegritaCentrado"/>
        <w:keepNext/>
      </w:pPr>
    </w:p>
    <w:p w14:paraId="60160E60" w14:textId="2FD1CC25"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4FEE2F42" w14:textId="77777777" w:rsidR="00F64776" w:rsidRDefault="00F64776" w:rsidP="00F64776">
      <w:pPr>
        <w:pStyle w:val="TextoNormal"/>
      </w:pPr>
    </w:p>
    <w:p w14:paraId="19869B8E" w14:textId="77777777" w:rsidR="00F64776" w:rsidRDefault="00F64776" w:rsidP="00F64776">
      <w:pPr>
        <w:pStyle w:val="TextoNormal"/>
      </w:pPr>
      <w:r>
        <w:t>Por lo expuesto, la Sección</w:t>
      </w:r>
    </w:p>
    <w:p w14:paraId="7E6C3102" w14:textId="17A113F0" w:rsidR="00F64776" w:rsidRDefault="00F64776" w:rsidP="00F64776">
      <w:pPr>
        <w:pStyle w:val="TextoNormal"/>
      </w:pPr>
    </w:p>
    <w:p w14:paraId="1C56763D" w14:textId="77777777" w:rsidR="00F64776" w:rsidRDefault="00F64776" w:rsidP="00F64776">
      <w:pPr>
        <w:pStyle w:val="TextoNormalCentrado"/>
      </w:pPr>
      <w:r>
        <w:t>ACUERDA</w:t>
      </w:r>
    </w:p>
    <w:p w14:paraId="00FBAD33" w14:textId="52302709" w:rsidR="00F64776" w:rsidRDefault="00F64776" w:rsidP="00F64776">
      <w:pPr>
        <w:pStyle w:val="TextoNormalCentrado"/>
      </w:pPr>
    </w:p>
    <w:p w14:paraId="431F3B66" w14:textId="20368442" w:rsidR="00F64776" w:rsidRDefault="00F64776" w:rsidP="00F64776">
      <w:pPr>
        <w:pStyle w:val="TextoNormal"/>
      </w:pPr>
      <w:r>
        <w:t>Estimar justificada la abstención formulada por el magistrado don César Tolosa Tribiño en el recurso de amparo núm. 4731-2022 y apartarle definitivamente del conocimiento del referido recurso y de todas sus incidencias.</w:t>
      </w:r>
    </w:p>
    <w:p w14:paraId="572EE293" w14:textId="77777777" w:rsidR="00F64776" w:rsidRDefault="00F64776" w:rsidP="00F64776">
      <w:pPr>
        <w:pStyle w:val="TextoNormal"/>
      </w:pPr>
    </w:p>
    <w:p w14:paraId="6EE9BB7F" w14:textId="77777777" w:rsidR="00F64776" w:rsidRDefault="00F64776" w:rsidP="00F64776">
      <w:pPr>
        <w:pStyle w:val="TextoNormal"/>
      </w:pPr>
      <w:r>
        <w:t>Madrid, a trece de noviembre de dos mil veintitrés.</w:t>
      </w:r>
    </w:p>
    <w:p w14:paraId="5D075E63" w14:textId="7EBCEAB5" w:rsidR="00F64776" w:rsidRDefault="00F64776">
      <w:pPr>
        <w:spacing w:after="160" w:line="278" w:lineRule="auto"/>
        <w:rPr>
          <w:rFonts w:ascii="Times New Roman" w:eastAsia="Times New Roman" w:hAnsi="Times New Roman" w:cs="Times New Roman"/>
          <w:sz w:val="24"/>
          <w:szCs w:val="24"/>
          <w:lang w:eastAsia="es-ES"/>
        </w:rPr>
      </w:pPr>
      <w:r>
        <w:br w:type="page"/>
      </w:r>
    </w:p>
    <w:p w14:paraId="4FDEA111" w14:textId="77777777" w:rsidR="00F64776" w:rsidRDefault="00F64776" w:rsidP="00F64776">
      <w:pPr>
        <w:pStyle w:val="TtuloResolucin"/>
      </w:pPr>
      <w:bookmarkStart w:id="346" w:name="AUTO_2023_561"/>
      <w:r>
        <w:t>AUTO 561/2023, de 13 de noviembre de 2023</w:t>
      </w:r>
    </w:p>
    <w:bookmarkEnd w:id="346"/>
    <w:p w14:paraId="00E401C3" w14:textId="77777777" w:rsidR="00F64776" w:rsidRDefault="00F64776" w:rsidP="00F64776">
      <w:pPr>
        <w:pStyle w:val="TtuloResolucin"/>
      </w:pPr>
      <w:r>
        <w:t>Sección Tercera</w:t>
      </w:r>
    </w:p>
    <w:p w14:paraId="1F901C7C" w14:textId="77777777" w:rsidR="00F64776" w:rsidRDefault="00F64776" w:rsidP="00F64776">
      <w:pPr>
        <w:pStyle w:val="TextoNormalCentrado"/>
      </w:pPr>
      <w:r>
        <w:t>ECLI:ES:TC:2023:561A</w:t>
      </w:r>
    </w:p>
    <w:p w14:paraId="773A8FD3" w14:textId="1CAC784E" w:rsidR="00F64776" w:rsidRDefault="00F64776" w:rsidP="00F64776">
      <w:pPr>
        <w:pStyle w:val="TextoNormalCentrado"/>
      </w:pPr>
    </w:p>
    <w:p w14:paraId="732F332D" w14:textId="77777777" w:rsidR="00F64776" w:rsidRDefault="00F64776" w:rsidP="00F64776">
      <w:pPr>
        <w:pStyle w:val="SntesisDescriptiva"/>
      </w:pPr>
      <w:r>
        <w:t>Excms. Srs. doña Inmaculada Montalbán Huertas y doña Laura Díez Bueso.</w:t>
      </w:r>
    </w:p>
    <w:p w14:paraId="7F234042" w14:textId="066531AB" w:rsidR="00F64776" w:rsidRDefault="00F64776" w:rsidP="00F64776">
      <w:pPr>
        <w:pStyle w:val="SntesisDescriptiva"/>
      </w:pPr>
    </w:p>
    <w:p w14:paraId="5E0EAC6E" w14:textId="77777777" w:rsidR="00F64776" w:rsidRDefault="00F64776" w:rsidP="00F64776">
      <w:pPr>
        <w:pStyle w:val="SntesisDescriptiva"/>
      </w:pPr>
      <w:r>
        <w:t>Acepta una abstención en el recurso de amparo 5806-2022, promovido en proceso contencioso-administrativo.</w:t>
      </w:r>
    </w:p>
    <w:p w14:paraId="1FEBD1C6" w14:textId="34DB59BE" w:rsidR="00F64776" w:rsidRDefault="00F64776" w:rsidP="00F64776">
      <w:pPr>
        <w:pStyle w:val="SntesisDescriptiva"/>
      </w:pPr>
    </w:p>
    <w:p w14:paraId="56EEBDB9" w14:textId="77777777" w:rsidR="00F64776" w:rsidRDefault="00F64776" w:rsidP="00F64776">
      <w:pPr>
        <w:pStyle w:val="SntesisDescriptiva"/>
      </w:pPr>
    </w:p>
    <w:p w14:paraId="064E5661" w14:textId="77777777" w:rsidR="00F64776" w:rsidRDefault="00F64776" w:rsidP="00F64776">
      <w:pPr>
        <w:pStyle w:val="SntesisDescriptiva"/>
      </w:pPr>
    </w:p>
    <w:p w14:paraId="5BD6E4BE" w14:textId="77777777" w:rsidR="00F64776" w:rsidRDefault="00F64776" w:rsidP="00F64776">
      <w:pPr>
        <w:pStyle w:val="TextoNormalNegritaCentrado"/>
      </w:pPr>
      <w:r>
        <w:t>AUTO</w:t>
      </w:r>
    </w:p>
    <w:p w14:paraId="70A915F7" w14:textId="21BC9CC5" w:rsidR="00F64776" w:rsidRDefault="00F64776" w:rsidP="00F64776">
      <w:pPr>
        <w:pStyle w:val="TextoNormalNegritaCentrado"/>
      </w:pPr>
    </w:p>
    <w:p w14:paraId="144C55B4" w14:textId="77777777" w:rsidR="00F64776" w:rsidRDefault="00F64776" w:rsidP="00F64776">
      <w:pPr>
        <w:pStyle w:val="TextoNormalNegritaCentrado"/>
        <w:keepNext/>
      </w:pPr>
      <w:r>
        <w:t>I. Antecedentes</w:t>
      </w:r>
    </w:p>
    <w:p w14:paraId="25495C34" w14:textId="0A630891" w:rsidR="00F64776" w:rsidRDefault="00F64776" w:rsidP="00F64776">
      <w:pPr>
        <w:pStyle w:val="TextoNormalNegritaCentrado"/>
        <w:keepNext/>
      </w:pPr>
    </w:p>
    <w:p w14:paraId="41EB4953" w14:textId="210DA121" w:rsidR="00F64776" w:rsidRDefault="00F64776" w:rsidP="00F64776">
      <w:pPr>
        <w:pStyle w:val="TextoNormal"/>
      </w:pPr>
      <w:r w:rsidRPr="00F64776">
        <w:rPr>
          <w:rStyle w:val="NumeroAFNegritaCaracter"/>
        </w:rPr>
        <w:t>1</w:t>
      </w:r>
      <w:r>
        <w:t>. Mediante escrito registrado en este tribunal el 2 de septiembre de 2022, la procuradora de los tribunales doña Silvia Vázquez Senín, en nombre y representación de don Joaquín Balasch Risueño y bajo la dirección del letrado don Alejandro Villegas Viñeta, formuló demanda de amparo contra la providencia de 22 de junio de 2022 de la Sección Primera de la Sala de lo Contencioso-Administrativo del Tribunal Supremo en recurso de casación núm. 7384-2021.</w:t>
      </w:r>
    </w:p>
    <w:p w14:paraId="35225809" w14:textId="77777777" w:rsidR="00F64776" w:rsidRDefault="00F64776" w:rsidP="00F64776">
      <w:pPr>
        <w:pStyle w:val="TextoNormal"/>
      </w:pPr>
    </w:p>
    <w:p w14:paraId="45F9E000" w14:textId="6076E312" w:rsidR="00F64776" w:rsidRDefault="00F64776" w:rsidP="00F64776">
      <w:pPr>
        <w:pStyle w:val="TextoNormal"/>
      </w:pPr>
      <w:r w:rsidRPr="00F64776">
        <w:rPr>
          <w:rStyle w:val="NumeroAFNegritaCaracter"/>
        </w:rPr>
        <w:t>2</w:t>
      </w:r>
      <w:r>
        <w:t>. Por escrito de 9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 Administrativo del Tribunal Supremo que dictó la resolución impugnada.</w:t>
      </w:r>
    </w:p>
    <w:p w14:paraId="20CB7724" w14:textId="77777777" w:rsidR="00F64776" w:rsidRDefault="00F64776" w:rsidP="00F64776">
      <w:pPr>
        <w:pStyle w:val="TextoNormal"/>
      </w:pPr>
    </w:p>
    <w:p w14:paraId="5E826B70" w14:textId="77777777" w:rsidR="00F64776" w:rsidRDefault="00F64776" w:rsidP="00F64776">
      <w:pPr>
        <w:pStyle w:val="TextoNormalNegritaCentrado"/>
        <w:keepNext/>
      </w:pPr>
      <w:r>
        <w:t>II. Fundamentos jurídicos</w:t>
      </w:r>
    </w:p>
    <w:p w14:paraId="6432EE77" w14:textId="10F33D46" w:rsidR="00F64776" w:rsidRDefault="00F64776" w:rsidP="00F64776">
      <w:pPr>
        <w:pStyle w:val="TextoNormalNegritaCentrado"/>
        <w:keepNext/>
      </w:pPr>
    </w:p>
    <w:p w14:paraId="3AF0E973" w14:textId="661A0B0C"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36E41875" w14:textId="77777777" w:rsidR="00F64776" w:rsidRDefault="00F64776" w:rsidP="00F64776">
      <w:pPr>
        <w:pStyle w:val="TextoNormal"/>
      </w:pPr>
    </w:p>
    <w:p w14:paraId="2BA8248E" w14:textId="77777777" w:rsidR="00F64776" w:rsidRDefault="00F64776" w:rsidP="00F64776">
      <w:pPr>
        <w:pStyle w:val="TextoNormal"/>
      </w:pPr>
      <w:r>
        <w:t>Por lo expuesto, la Sección</w:t>
      </w:r>
    </w:p>
    <w:p w14:paraId="5D0304B6" w14:textId="57D89A66" w:rsidR="00F64776" w:rsidRDefault="00F64776" w:rsidP="00F64776">
      <w:pPr>
        <w:pStyle w:val="TextoNormal"/>
      </w:pPr>
    </w:p>
    <w:p w14:paraId="59B9A34B" w14:textId="77777777" w:rsidR="00F64776" w:rsidRDefault="00F64776" w:rsidP="00F64776">
      <w:pPr>
        <w:pStyle w:val="TextoNormalCentrado"/>
      </w:pPr>
      <w:r>
        <w:t>ACUERDA</w:t>
      </w:r>
    </w:p>
    <w:p w14:paraId="556B1484" w14:textId="07FEEC3D" w:rsidR="00F64776" w:rsidRDefault="00F64776" w:rsidP="00F64776">
      <w:pPr>
        <w:pStyle w:val="TextoNormalCentrado"/>
      </w:pPr>
    </w:p>
    <w:p w14:paraId="026C3FE5" w14:textId="0DDBF65B" w:rsidR="00F64776" w:rsidRDefault="00F64776" w:rsidP="00F64776">
      <w:pPr>
        <w:pStyle w:val="TextoNormal"/>
      </w:pPr>
      <w:r>
        <w:t>Estimar justificada la abstención formulada por el magistrado don César Tolosa Tribiño en el recurso de amparo núm. 5806-2022 y apartarle definitivamente del conocimiento del referido recurso y de todas sus incidencias.</w:t>
      </w:r>
    </w:p>
    <w:p w14:paraId="2F04DAB6" w14:textId="77777777" w:rsidR="00F64776" w:rsidRDefault="00F64776" w:rsidP="00F64776">
      <w:pPr>
        <w:pStyle w:val="TextoNormal"/>
      </w:pPr>
    </w:p>
    <w:p w14:paraId="0123FC81" w14:textId="77777777" w:rsidR="00F64776" w:rsidRDefault="00F64776" w:rsidP="00F64776">
      <w:pPr>
        <w:pStyle w:val="TextoNormal"/>
      </w:pPr>
      <w:r>
        <w:t>Madrid, a trece de noviembre de dos mil veintitrés.</w:t>
      </w:r>
    </w:p>
    <w:p w14:paraId="31451EC3" w14:textId="43B9F336" w:rsidR="00F64776" w:rsidRDefault="00F64776">
      <w:pPr>
        <w:spacing w:after="160" w:line="278" w:lineRule="auto"/>
        <w:rPr>
          <w:rFonts w:ascii="Times New Roman" w:eastAsia="Times New Roman" w:hAnsi="Times New Roman" w:cs="Times New Roman"/>
          <w:sz w:val="24"/>
          <w:szCs w:val="24"/>
          <w:lang w:eastAsia="es-ES"/>
        </w:rPr>
      </w:pPr>
      <w:r>
        <w:br w:type="page"/>
      </w:r>
    </w:p>
    <w:p w14:paraId="21BE2833" w14:textId="77777777" w:rsidR="00F64776" w:rsidRDefault="00F64776" w:rsidP="00F64776">
      <w:pPr>
        <w:pStyle w:val="TtuloResolucin"/>
      </w:pPr>
      <w:bookmarkStart w:id="347" w:name="AUTO_2023_562"/>
      <w:r>
        <w:t>AUTO 562/2023, de 13 de noviembre de 2023</w:t>
      </w:r>
    </w:p>
    <w:bookmarkEnd w:id="347"/>
    <w:p w14:paraId="1976F64C" w14:textId="77777777" w:rsidR="00F64776" w:rsidRDefault="00F64776" w:rsidP="00F64776">
      <w:pPr>
        <w:pStyle w:val="TtuloResolucin"/>
      </w:pPr>
      <w:r>
        <w:t>Sección Tercera</w:t>
      </w:r>
    </w:p>
    <w:p w14:paraId="39135E57" w14:textId="77777777" w:rsidR="00F64776" w:rsidRDefault="00F64776" w:rsidP="00F64776">
      <w:pPr>
        <w:pStyle w:val="TextoNormalCentrado"/>
      </w:pPr>
      <w:r>
        <w:t>ECLI:ES:TC:2023:562A</w:t>
      </w:r>
    </w:p>
    <w:p w14:paraId="61E0C2EE" w14:textId="06A312C2" w:rsidR="00F64776" w:rsidRDefault="00F64776" w:rsidP="00F64776">
      <w:pPr>
        <w:pStyle w:val="TextoNormalCentrado"/>
      </w:pPr>
    </w:p>
    <w:p w14:paraId="390034BB" w14:textId="77777777" w:rsidR="00F64776" w:rsidRDefault="00F64776" w:rsidP="00F64776">
      <w:pPr>
        <w:pStyle w:val="SntesisDescriptiva"/>
      </w:pPr>
      <w:r>
        <w:t>Excms. Srs. doña Inmaculada Montalbán Huertas y doña Laura Díez Bueso.</w:t>
      </w:r>
    </w:p>
    <w:p w14:paraId="4F6547BF" w14:textId="7B7E57EE" w:rsidR="00F64776" w:rsidRDefault="00F64776" w:rsidP="00F64776">
      <w:pPr>
        <w:pStyle w:val="SntesisDescriptiva"/>
      </w:pPr>
    </w:p>
    <w:p w14:paraId="3EDA95D9" w14:textId="77777777" w:rsidR="00F64776" w:rsidRDefault="00F64776" w:rsidP="00F64776">
      <w:pPr>
        <w:pStyle w:val="SntesisDescriptiva"/>
      </w:pPr>
      <w:r>
        <w:t>Acepta una abstención en el recurso de amparo 5830-2022, promovido en proceso contencioso-administrativo.</w:t>
      </w:r>
    </w:p>
    <w:p w14:paraId="6922C34B" w14:textId="75AB11E6" w:rsidR="00F64776" w:rsidRDefault="00F64776" w:rsidP="00F64776">
      <w:pPr>
        <w:pStyle w:val="SntesisDescriptiva"/>
      </w:pPr>
    </w:p>
    <w:p w14:paraId="1924D2F4" w14:textId="77777777" w:rsidR="00F64776" w:rsidRDefault="00F64776" w:rsidP="00F64776">
      <w:pPr>
        <w:pStyle w:val="SntesisDescriptiva"/>
      </w:pPr>
    </w:p>
    <w:p w14:paraId="6B5774A6" w14:textId="77777777" w:rsidR="00F64776" w:rsidRDefault="00F64776" w:rsidP="00F64776">
      <w:pPr>
        <w:pStyle w:val="SntesisDescriptiva"/>
      </w:pPr>
    </w:p>
    <w:p w14:paraId="1A287F56" w14:textId="77777777" w:rsidR="00F64776" w:rsidRDefault="00F64776" w:rsidP="00F64776">
      <w:pPr>
        <w:pStyle w:val="TextoNormalNegritaCentrado"/>
      </w:pPr>
      <w:r>
        <w:t>AUTO</w:t>
      </w:r>
    </w:p>
    <w:p w14:paraId="3411DAB5" w14:textId="2C0014BE" w:rsidR="00F64776" w:rsidRDefault="00F64776" w:rsidP="00F64776">
      <w:pPr>
        <w:pStyle w:val="TextoNormalNegritaCentrado"/>
      </w:pPr>
    </w:p>
    <w:p w14:paraId="1647771D" w14:textId="77777777" w:rsidR="00F64776" w:rsidRDefault="00F64776" w:rsidP="00F64776">
      <w:pPr>
        <w:pStyle w:val="TextoNormalNegritaCentrado"/>
        <w:keepNext/>
      </w:pPr>
      <w:r>
        <w:t>I. Antecedentes</w:t>
      </w:r>
    </w:p>
    <w:p w14:paraId="31023A69" w14:textId="3D879AB9" w:rsidR="00F64776" w:rsidRDefault="00F64776" w:rsidP="00F64776">
      <w:pPr>
        <w:pStyle w:val="TextoNormalNegritaCentrado"/>
        <w:keepNext/>
      </w:pPr>
    </w:p>
    <w:p w14:paraId="0DE346DE" w14:textId="3A83A1FC" w:rsidR="00F64776" w:rsidRDefault="00F64776" w:rsidP="00F64776">
      <w:pPr>
        <w:pStyle w:val="TextoNormal"/>
      </w:pPr>
      <w:r w:rsidRPr="00F64776">
        <w:rPr>
          <w:rStyle w:val="NumeroAFNegritaCaracter"/>
        </w:rPr>
        <w:t>1</w:t>
      </w:r>
      <w:r>
        <w:t>. Mediante escrito registrado en este tribunal el 4 de septiembre de 2022, el procurador de los tribunales don Luis de Argüelles González, en nombre y representación de don Aziz El Bazyq y bajo la dirección de la letrada doña María Rosa Sanz García-Muro, formuló demanda de amparo contra la providencia de 22 de junio de 2022 de la Sección Primera de la Sala de lo Contencioso-Administrativo del Tribunal Supremo, en el recurso de casación núm. 7647-2021.</w:t>
      </w:r>
    </w:p>
    <w:p w14:paraId="3F78C8D3" w14:textId="77777777" w:rsidR="00F64776" w:rsidRDefault="00F64776" w:rsidP="00F64776">
      <w:pPr>
        <w:pStyle w:val="TextoNormal"/>
      </w:pPr>
    </w:p>
    <w:p w14:paraId="4DB6D1E5" w14:textId="65AF107E" w:rsidR="00F64776" w:rsidRDefault="00F64776" w:rsidP="00F64776">
      <w:pPr>
        <w:pStyle w:val="TextoNormal"/>
      </w:pPr>
      <w:r w:rsidRPr="00F64776">
        <w:rPr>
          <w:rStyle w:val="NumeroAFNegritaCaracter"/>
        </w:rPr>
        <w:t>2</w:t>
      </w:r>
      <w:r>
        <w:t>. Por escrito de 9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33BEB488" w14:textId="77777777" w:rsidR="00F64776" w:rsidRDefault="00F64776" w:rsidP="00F64776">
      <w:pPr>
        <w:pStyle w:val="TextoNormal"/>
      </w:pPr>
    </w:p>
    <w:p w14:paraId="10F997E8" w14:textId="77777777" w:rsidR="00F64776" w:rsidRDefault="00F64776" w:rsidP="00F64776">
      <w:pPr>
        <w:pStyle w:val="TextoNormalNegritaCentrado"/>
        <w:keepNext/>
      </w:pPr>
      <w:r>
        <w:t>II. Fundamentos jurídicos</w:t>
      </w:r>
    </w:p>
    <w:p w14:paraId="1B36D4D2" w14:textId="218F493E" w:rsidR="00F64776" w:rsidRDefault="00F64776" w:rsidP="00F64776">
      <w:pPr>
        <w:pStyle w:val="TextoNormalNegritaCentrado"/>
        <w:keepNext/>
      </w:pPr>
    </w:p>
    <w:p w14:paraId="7907F9A5" w14:textId="413E3E6A"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280302E9" w14:textId="77777777" w:rsidR="00F64776" w:rsidRDefault="00F64776" w:rsidP="00F64776">
      <w:pPr>
        <w:pStyle w:val="TextoNormal"/>
      </w:pPr>
    </w:p>
    <w:p w14:paraId="5B6DE90E" w14:textId="77777777" w:rsidR="00F64776" w:rsidRDefault="00F64776" w:rsidP="00F64776">
      <w:pPr>
        <w:pStyle w:val="TextoNormal"/>
      </w:pPr>
      <w:r>
        <w:t>Por lo expuesto, la Sección</w:t>
      </w:r>
    </w:p>
    <w:p w14:paraId="31E9DDEC" w14:textId="73F364C6" w:rsidR="00F64776" w:rsidRDefault="00F64776" w:rsidP="00F64776">
      <w:pPr>
        <w:pStyle w:val="TextoNormal"/>
      </w:pPr>
    </w:p>
    <w:p w14:paraId="450C28CA" w14:textId="77777777" w:rsidR="00F64776" w:rsidRDefault="00F64776" w:rsidP="00F64776">
      <w:pPr>
        <w:pStyle w:val="TextoNormalCentrado"/>
      </w:pPr>
      <w:r>
        <w:t>ACUERDA</w:t>
      </w:r>
    </w:p>
    <w:p w14:paraId="56394B15" w14:textId="6F024489" w:rsidR="00F64776" w:rsidRDefault="00F64776" w:rsidP="00F64776">
      <w:pPr>
        <w:pStyle w:val="TextoNormalCentrado"/>
      </w:pPr>
    </w:p>
    <w:p w14:paraId="218D2577" w14:textId="3EE319C7" w:rsidR="00F64776" w:rsidRDefault="00F64776" w:rsidP="00F64776">
      <w:pPr>
        <w:pStyle w:val="TextoNormal"/>
      </w:pPr>
      <w:r>
        <w:t>Estimar justificada la abstención formulada por el magistrado don César Tolosa Tribiño en el recurso de amparo núm. 5830-2022 y apartarle definitivamente del conocimiento del referido recurso y de todas sus incidencias.</w:t>
      </w:r>
    </w:p>
    <w:p w14:paraId="7D294630" w14:textId="77777777" w:rsidR="00F64776" w:rsidRDefault="00F64776" w:rsidP="00F64776">
      <w:pPr>
        <w:pStyle w:val="TextoNormal"/>
      </w:pPr>
    </w:p>
    <w:p w14:paraId="789ABD07" w14:textId="77777777" w:rsidR="00F64776" w:rsidRDefault="00F64776" w:rsidP="00F64776">
      <w:pPr>
        <w:pStyle w:val="TextoNormal"/>
      </w:pPr>
      <w:r>
        <w:t>Madrid, a trece de noviembre de dos mil veintitrés.</w:t>
      </w:r>
    </w:p>
    <w:p w14:paraId="73BA98AB" w14:textId="587FDF4A" w:rsidR="00F64776" w:rsidRDefault="00F64776">
      <w:pPr>
        <w:spacing w:after="160" w:line="278" w:lineRule="auto"/>
        <w:rPr>
          <w:rFonts w:ascii="Times New Roman" w:eastAsia="Times New Roman" w:hAnsi="Times New Roman" w:cs="Times New Roman"/>
          <w:sz w:val="24"/>
          <w:szCs w:val="24"/>
          <w:lang w:eastAsia="es-ES"/>
        </w:rPr>
      </w:pPr>
      <w:r>
        <w:br w:type="page"/>
      </w:r>
    </w:p>
    <w:p w14:paraId="54CF7014" w14:textId="77777777" w:rsidR="00F64776" w:rsidRDefault="00F64776" w:rsidP="00F64776">
      <w:pPr>
        <w:pStyle w:val="TtuloResolucin"/>
      </w:pPr>
      <w:bookmarkStart w:id="348" w:name="AUTO_2023_563"/>
      <w:r>
        <w:t>AUTO 563/2023, de 13 de noviembre de 2023</w:t>
      </w:r>
    </w:p>
    <w:bookmarkEnd w:id="348"/>
    <w:p w14:paraId="49605B10" w14:textId="77777777" w:rsidR="00F64776" w:rsidRDefault="00F64776" w:rsidP="00F64776">
      <w:pPr>
        <w:pStyle w:val="TtuloResolucin"/>
      </w:pPr>
      <w:r>
        <w:t>Sección Tercera</w:t>
      </w:r>
    </w:p>
    <w:p w14:paraId="04FE2B0F" w14:textId="77777777" w:rsidR="00F64776" w:rsidRDefault="00F64776" w:rsidP="00F64776">
      <w:pPr>
        <w:pStyle w:val="TextoNormalCentrado"/>
      </w:pPr>
      <w:r>
        <w:t>ECLI:ES:TC:2023:563A</w:t>
      </w:r>
    </w:p>
    <w:p w14:paraId="58A96549" w14:textId="759F8D57" w:rsidR="00F64776" w:rsidRDefault="00F64776" w:rsidP="00F64776">
      <w:pPr>
        <w:pStyle w:val="TextoNormalCentrado"/>
      </w:pPr>
    </w:p>
    <w:p w14:paraId="10955363" w14:textId="77777777" w:rsidR="00F64776" w:rsidRDefault="00F64776" w:rsidP="00F64776">
      <w:pPr>
        <w:pStyle w:val="SntesisDescriptiva"/>
      </w:pPr>
      <w:r>
        <w:t>Excms. Srs. doña Inmaculada Montalbán Huertas y doña Laura Díez Bueso.</w:t>
      </w:r>
    </w:p>
    <w:p w14:paraId="7B981320" w14:textId="1422A80A" w:rsidR="00F64776" w:rsidRDefault="00F64776" w:rsidP="00F64776">
      <w:pPr>
        <w:pStyle w:val="SntesisDescriptiva"/>
      </w:pPr>
    </w:p>
    <w:p w14:paraId="563E9FE5" w14:textId="77777777" w:rsidR="00F64776" w:rsidRDefault="00F64776" w:rsidP="00F64776">
      <w:pPr>
        <w:pStyle w:val="SntesisDescriptiva"/>
      </w:pPr>
      <w:r>
        <w:t>Acepta una abstención en el recurso de amparo 5852-2022, promovido en proceso contencioso-administrativo.</w:t>
      </w:r>
    </w:p>
    <w:p w14:paraId="2A02681D" w14:textId="3960EBB0" w:rsidR="00F64776" w:rsidRDefault="00F64776" w:rsidP="00F64776">
      <w:pPr>
        <w:pStyle w:val="SntesisDescriptiva"/>
      </w:pPr>
    </w:p>
    <w:p w14:paraId="0F5FB7BC" w14:textId="77777777" w:rsidR="00F64776" w:rsidRDefault="00F64776" w:rsidP="00F64776">
      <w:pPr>
        <w:pStyle w:val="SntesisDescriptiva"/>
      </w:pPr>
    </w:p>
    <w:p w14:paraId="52F70637" w14:textId="77777777" w:rsidR="00F64776" w:rsidRDefault="00F64776" w:rsidP="00F64776">
      <w:pPr>
        <w:pStyle w:val="SntesisDescriptiva"/>
      </w:pPr>
    </w:p>
    <w:p w14:paraId="2A8AE10B" w14:textId="77777777" w:rsidR="00F64776" w:rsidRDefault="00F64776" w:rsidP="00F64776">
      <w:pPr>
        <w:pStyle w:val="TextoNormalNegritaCentrado"/>
      </w:pPr>
      <w:r>
        <w:t>AUTO</w:t>
      </w:r>
    </w:p>
    <w:p w14:paraId="3CF9085F" w14:textId="38C2F702" w:rsidR="00F64776" w:rsidRDefault="00F64776" w:rsidP="00F64776">
      <w:pPr>
        <w:pStyle w:val="TextoNormalNegritaCentrado"/>
      </w:pPr>
    </w:p>
    <w:p w14:paraId="096C9E54" w14:textId="77777777" w:rsidR="00F64776" w:rsidRDefault="00F64776" w:rsidP="00F64776">
      <w:pPr>
        <w:pStyle w:val="TextoNormalNegritaCentrado"/>
        <w:keepNext/>
      </w:pPr>
      <w:r>
        <w:t>I. Antecedentes</w:t>
      </w:r>
    </w:p>
    <w:p w14:paraId="20B1E97F" w14:textId="64576FE5" w:rsidR="00F64776" w:rsidRDefault="00F64776" w:rsidP="00F64776">
      <w:pPr>
        <w:pStyle w:val="TextoNormalNegritaCentrado"/>
        <w:keepNext/>
      </w:pPr>
    </w:p>
    <w:p w14:paraId="26670345" w14:textId="461F1DEB" w:rsidR="00F64776" w:rsidRDefault="00F64776" w:rsidP="00F64776">
      <w:pPr>
        <w:pStyle w:val="TextoNormal"/>
      </w:pPr>
      <w:r w:rsidRPr="00F64776">
        <w:rPr>
          <w:rStyle w:val="NumeroAFNegritaCaracter"/>
        </w:rPr>
        <w:t>1</w:t>
      </w:r>
      <w:r>
        <w:t>. Mediante escrito registrado en este tribunal el 5 de septiembre de 2022, el procurador de los tribunales don Guillermo García San Miguel Hoover, en nombre y representación de doña Beatriz Susana Barrera de Ochoa y bajo la dirección de la letrada doña María Teresa de Altagracia Murciego Álvarez, formuló demanda de amparo contra la providencia de 11 de mayo de 2022 dictada por la Sección Primera de la Sala de lo Contencioso-Administrativo del Tribunal Supremo, en recurso de casación núm. 7130-2021 contra la sentencia de la Sala de lo Contencioso-Administrativo del Tribunal Superior de Justicia de Castilla y León con sede en Valladolid, en el recurso de apelación núm. 462-2019.</w:t>
      </w:r>
    </w:p>
    <w:p w14:paraId="4A51DF7C" w14:textId="77777777" w:rsidR="00F64776" w:rsidRDefault="00F64776" w:rsidP="00F64776">
      <w:pPr>
        <w:pStyle w:val="TextoNormal"/>
      </w:pPr>
    </w:p>
    <w:p w14:paraId="4C3ACA40" w14:textId="3DAF91E2" w:rsidR="00F64776" w:rsidRDefault="00F64776" w:rsidP="00F64776">
      <w:pPr>
        <w:pStyle w:val="TextoNormal"/>
      </w:pPr>
      <w:r w:rsidRPr="00F64776">
        <w:rPr>
          <w:rStyle w:val="NumeroAFNegritaCaracter"/>
        </w:rPr>
        <w:t>2</w:t>
      </w:r>
      <w:r>
        <w:t>. Por escrito de 9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2464B84E" w14:textId="77777777" w:rsidR="00F64776" w:rsidRDefault="00F64776" w:rsidP="00F64776">
      <w:pPr>
        <w:pStyle w:val="TextoNormal"/>
      </w:pPr>
    </w:p>
    <w:p w14:paraId="7557CA5D" w14:textId="77777777" w:rsidR="00F64776" w:rsidRDefault="00F64776" w:rsidP="00F64776">
      <w:pPr>
        <w:pStyle w:val="TextoNormalNegritaCentrado"/>
        <w:keepNext/>
      </w:pPr>
      <w:r>
        <w:t>II. Fundamentos jurídicos</w:t>
      </w:r>
    </w:p>
    <w:p w14:paraId="4B836B42" w14:textId="0BB68D4F" w:rsidR="00F64776" w:rsidRDefault="00F64776" w:rsidP="00F64776">
      <w:pPr>
        <w:pStyle w:val="TextoNormalNegritaCentrado"/>
        <w:keepNext/>
      </w:pPr>
    </w:p>
    <w:p w14:paraId="497F58A4" w14:textId="67646534"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2D8F28A1" w14:textId="77777777" w:rsidR="00F64776" w:rsidRDefault="00F64776" w:rsidP="00F64776">
      <w:pPr>
        <w:pStyle w:val="TextoNormal"/>
      </w:pPr>
    </w:p>
    <w:p w14:paraId="1A9C9D6B" w14:textId="77777777" w:rsidR="00F64776" w:rsidRDefault="00F64776" w:rsidP="00F64776">
      <w:pPr>
        <w:pStyle w:val="TextoNormal"/>
      </w:pPr>
      <w:r>
        <w:t>Por lo expuesto, la Sección</w:t>
      </w:r>
    </w:p>
    <w:p w14:paraId="3D993B7B" w14:textId="3A8BA744" w:rsidR="00F64776" w:rsidRDefault="00F64776" w:rsidP="00F64776">
      <w:pPr>
        <w:pStyle w:val="TextoNormal"/>
      </w:pPr>
    </w:p>
    <w:p w14:paraId="5DBF0115" w14:textId="77777777" w:rsidR="00F64776" w:rsidRDefault="00F64776" w:rsidP="00F64776">
      <w:pPr>
        <w:pStyle w:val="TextoNormalCentrado"/>
      </w:pPr>
      <w:r>
        <w:t>ACUERDA</w:t>
      </w:r>
    </w:p>
    <w:p w14:paraId="0FE08D5D" w14:textId="349BF2D1" w:rsidR="00F64776" w:rsidRDefault="00F64776" w:rsidP="00F64776">
      <w:pPr>
        <w:pStyle w:val="TextoNormalCentrado"/>
      </w:pPr>
    </w:p>
    <w:p w14:paraId="602EBDDE" w14:textId="7C36E947" w:rsidR="00F64776" w:rsidRDefault="00F64776" w:rsidP="00F64776">
      <w:pPr>
        <w:pStyle w:val="TextoNormal"/>
      </w:pPr>
      <w:r>
        <w:t>Estimar justificada la abstención formulada por el magistrado don César Tolosa Tribiño en el recurso de amparo núm. 5852-2022 y apartarle definitivamente del conocimiento del referido recurso y de todas sus incidencias.</w:t>
      </w:r>
    </w:p>
    <w:p w14:paraId="5B6E03C8" w14:textId="77777777" w:rsidR="00F64776" w:rsidRDefault="00F64776" w:rsidP="00F64776">
      <w:pPr>
        <w:pStyle w:val="TextoNormal"/>
      </w:pPr>
    </w:p>
    <w:p w14:paraId="6B62707B" w14:textId="77777777" w:rsidR="00F64776" w:rsidRDefault="00F64776" w:rsidP="00F64776">
      <w:pPr>
        <w:pStyle w:val="TextoNormal"/>
      </w:pPr>
      <w:r>
        <w:t>Madrid, a trece de noviembre de dos mil veintitrés.</w:t>
      </w:r>
    </w:p>
    <w:p w14:paraId="290528F6" w14:textId="460125CE" w:rsidR="00F64776" w:rsidRDefault="00F64776">
      <w:pPr>
        <w:spacing w:after="160" w:line="278" w:lineRule="auto"/>
        <w:rPr>
          <w:rFonts w:ascii="Times New Roman" w:eastAsia="Times New Roman" w:hAnsi="Times New Roman" w:cs="Times New Roman"/>
          <w:sz w:val="24"/>
          <w:szCs w:val="24"/>
          <w:lang w:eastAsia="es-ES"/>
        </w:rPr>
      </w:pPr>
      <w:r>
        <w:br w:type="page"/>
      </w:r>
    </w:p>
    <w:p w14:paraId="6435AAE5" w14:textId="77777777" w:rsidR="00F64776" w:rsidRDefault="00F64776" w:rsidP="00F64776">
      <w:pPr>
        <w:pStyle w:val="TtuloResolucin"/>
      </w:pPr>
      <w:bookmarkStart w:id="349" w:name="AUTO_2023_564"/>
      <w:r>
        <w:t>AUTO 564/2023, de 13 de noviembre de 2023</w:t>
      </w:r>
    </w:p>
    <w:bookmarkEnd w:id="349"/>
    <w:p w14:paraId="2C4C9AB2" w14:textId="77777777" w:rsidR="00F64776" w:rsidRDefault="00F64776" w:rsidP="00F64776">
      <w:pPr>
        <w:pStyle w:val="TtuloResolucin"/>
      </w:pPr>
      <w:r>
        <w:t>Sección Tercera</w:t>
      </w:r>
    </w:p>
    <w:p w14:paraId="013F695E" w14:textId="77777777" w:rsidR="00F64776" w:rsidRDefault="00F64776" w:rsidP="00F64776">
      <w:pPr>
        <w:pStyle w:val="TextoNormalCentrado"/>
      </w:pPr>
      <w:r>
        <w:t>ECLI:ES:TC:2023:564A</w:t>
      </w:r>
    </w:p>
    <w:p w14:paraId="0D853499" w14:textId="4A3F80DD" w:rsidR="00F64776" w:rsidRDefault="00F64776" w:rsidP="00F64776">
      <w:pPr>
        <w:pStyle w:val="TextoNormalCentrado"/>
      </w:pPr>
    </w:p>
    <w:p w14:paraId="0A30242C" w14:textId="77777777" w:rsidR="00F64776" w:rsidRDefault="00F64776" w:rsidP="00F64776">
      <w:pPr>
        <w:pStyle w:val="SntesisDescriptiva"/>
      </w:pPr>
      <w:r>
        <w:t>Excms. Srs. doña Inmaculada Montalbán Huertas y doña Laura Díez Bueso.</w:t>
      </w:r>
    </w:p>
    <w:p w14:paraId="2A6F3137" w14:textId="06BFE13A" w:rsidR="00F64776" w:rsidRDefault="00F64776" w:rsidP="00F64776">
      <w:pPr>
        <w:pStyle w:val="SntesisDescriptiva"/>
      </w:pPr>
    </w:p>
    <w:p w14:paraId="175A5454" w14:textId="77777777" w:rsidR="00F64776" w:rsidRDefault="00F64776" w:rsidP="00F64776">
      <w:pPr>
        <w:pStyle w:val="SntesisDescriptiva"/>
      </w:pPr>
      <w:r>
        <w:t>Acepta una abstención en el recurso de amparo 6578-2022, promovido en proceso contencioso-administrativo.</w:t>
      </w:r>
    </w:p>
    <w:p w14:paraId="4E9C77E9" w14:textId="63B0F956" w:rsidR="00F64776" w:rsidRDefault="00F64776" w:rsidP="00F64776">
      <w:pPr>
        <w:pStyle w:val="SntesisDescriptiva"/>
      </w:pPr>
    </w:p>
    <w:p w14:paraId="64FD6865" w14:textId="77777777" w:rsidR="00F64776" w:rsidRDefault="00F64776" w:rsidP="00F64776">
      <w:pPr>
        <w:pStyle w:val="SntesisDescriptiva"/>
      </w:pPr>
    </w:p>
    <w:p w14:paraId="1563DC38" w14:textId="77777777" w:rsidR="00F64776" w:rsidRDefault="00F64776" w:rsidP="00F64776">
      <w:pPr>
        <w:pStyle w:val="SntesisDescriptiva"/>
      </w:pPr>
    </w:p>
    <w:p w14:paraId="5E6D021A" w14:textId="77777777" w:rsidR="00F64776" w:rsidRDefault="00F64776" w:rsidP="00F64776">
      <w:pPr>
        <w:pStyle w:val="TextoNormalNegritaCentrado"/>
      </w:pPr>
      <w:r>
        <w:t>AUTO</w:t>
      </w:r>
    </w:p>
    <w:p w14:paraId="3AF5BB0D" w14:textId="0015C681" w:rsidR="00F64776" w:rsidRDefault="00F64776" w:rsidP="00F64776">
      <w:pPr>
        <w:pStyle w:val="TextoNormalNegritaCentrado"/>
      </w:pPr>
    </w:p>
    <w:p w14:paraId="6DE97BE3" w14:textId="77777777" w:rsidR="00F64776" w:rsidRDefault="00F64776" w:rsidP="00F64776">
      <w:pPr>
        <w:pStyle w:val="TextoNormalNegritaCentrado"/>
        <w:keepNext/>
      </w:pPr>
      <w:r>
        <w:t>I. Antecedentes</w:t>
      </w:r>
    </w:p>
    <w:p w14:paraId="2379C9C3" w14:textId="123DF4EA" w:rsidR="00F64776" w:rsidRDefault="00F64776" w:rsidP="00F64776">
      <w:pPr>
        <w:pStyle w:val="TextoNormalNegritaCentrado"/>
        <w:keepNext/>
      </w:pPr>
    </w:p>
    <w:p w14:paraId="556CCE64" w14:textId="318E3BBB" w:rsidR="00F64776" w:rsidRDefault="00F64776" w:rsidP="00F64776">
      <w:pPr>
        <w:pStyle w:val="TextoNormal"/>
      </w:pPr>
      <w:r w:rsidRPr="00F64776">
        <w:rPr>
          <w:rStyle w:val="NumeroAFNegritaCaracter"/>
        </w:rPr>
        <w:t>1</w:t>
      </w:r>
      <w:r>
        <w:t>. Mediante escrito registrado en este tribunal el 5 de octubre de 2022, la procuradora de los tribunales doña María Concepción Villaescusa Sanz, en nombre y representación de doña Verónica Castro Ortiz y otra personas más, y bajo la dirección del letrado don Antonio Bruno Lebrón Guirado, formuló demanda de amparo contra la providencia y auto de la Sección Primera de la Sala de lo Contencioso-Administrativo del Tribunal Supremo, en recurso de queja núm. 210-2022.</w:t>
      </w:r>
    </w:p>
    <w:p w14:paraId="762B5833" w14:textId="77777777" w:rsidR="00F64776" w:rsidRDefault="00F64776" w:rsidP="00F64776">
      <w:pPr>
        <w:pStyle w:val="TextoNormal"/>
      </w:pPr>
    </w:p>
    <w:p w14:paraId="6E7CCC3B" w14:textId="46740783" w:rsidR="00F64776" w:rsidRDefault="00F64776" w:rsidP="00F64776">
      <w:pPr>
        <w:pStyle w:val="TextoNormal"/>
      </w:pPr>
      <w:r w:rsidRPr="00F64776">
        <w:rPr>
          <w:rStyle w:val="NumeroAFNegritaCaracter"/>
        </w:rPr>
        <w:t>2</w:t>
      </w:r>
      <w:r>
        <w:t>. Por escrito de 26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7E13FD3D" w14:textId="77777777" w:rsidR="00F64776" w:rsidRDefault="00F64776" w:rsidP="00F64776">
      <w:pPr>
        <w:pStyle w:val="TextoNormal"/>
      </w:pPr>
    </w:p>
    <w:p w14:paraId="594DD5F2" w14:textId="77777777" w:rsidR="00F64776" w:rsidRDefault="00F64776" w:rsidP="00F64776">
      <w:pPr>
        <w:pStyle w:val="TextoNormalNegritaCentrado"/>
        <w:keepNext/>
      </w:pPr>
      <w:r>
        <w:t>II. Fundamentos jurídicos</w:t>
      </w:r>
    </w:p>
    <w:p w14:paraId="3C82CB58" w14:textId="00BFCDFB" w:rsidR="00F64776" w:rsidRDefault="00F64776" w:rsidP="00F64776">
      <w:pPr>
        <w:pStyle w:val="TextoNormalNegritaCentrado"/>
        <w:keepNext/>
      </w:pPr>
    </w:p>
    <w:p w14:paraId="5DB83275" w14:textId="587DDA89"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77CDFDEC" w14:textId="77777777" w:rsidR="00F64776" w:rsidRDefault="00F64776" w:rsidP="00F64776">
      <w:pPr>
        <w:pStyle w:val="TextoNormal"/>
      </w:pPr>
    </w:p>
    <w:p w14:paraId="03F29EE4" w14:textId="77777777" w:rsidR="00F64776" w:rsidRDefault="00F64776" w:rsidP="00F64776">
      <w:pPr>
        <w:pStyle w:val="TextoNormal"/>
      </w:pPr>
      <w:r>
        <w:t>Por lo expuesto, la Sección</w:t>
      </w:r>
    </w:p>
    <w:p w14:paraId="12572874" w14:textId="34B7A2F0" w:rsidR="00F64776" w:rsidRDefault="00F64776" w:rsidP="00F64776">
      <w:pPr>
        <w:pStyle w:val="TextoNormal"/>
      </w:pPr>
    </w:p>
    <w:p w14:paraId="44FCD2E8" w14:textId="77777777" w:rsidR="00F64776" w:rsidRDefault="00F64776" w:rsidP="00F64776">
      <w:pPr>
        <w:pStyle w:val="TextoNormalCentrado"/>
      </w:pPr>
      <w:r>
        <w:t>ACUERDA</w:t>
      </w:r>
    </w:p>
    <w:p w14:paraId="56D976A2" w14:textId="6FA917A4" w:rsidR="00F64776" w:rsidRDefault="00F64776" w:rsidP="00F64776">
      <w:pPr>
        <w:pStyle w:val="TextoNormalCentrado"/>
      </w:pPr>
    </w:p>
    <w:p w14:paraId="157912EB" w14:textId="60D78255" w:rsidR="00F64776" w:rsidRDefault="00F64776" w:rsidP="00F64776">
      <w:pPr>
        <w:pStyle w:val="TextoNormal"/>
      </w:pPr>
      <w:r>
        <w:t>Estimar justificada la abstención formulada por el magistrado don César Tolosa Tribiño en el recurso de amparo núm. 6578-2022 y apartarle definitivamente del conocimiento del referido recurso y de todas sus incidencias.</w:t>
      </w:r>
    </w:p>
    <w:p w14:paraId="64ACF492" w14:textId="77777777" w:rsidR="00F64776" w:rsidRDefault="00F64776" w:rsidP="00F64776">
      <w:pPr>
        <w:pStyle w:val="TextoNormal"/>
      </w:pPr>
    </w:p>
    <w:p w14:paraId="5B21DD3D" w14:textId="77777777" w:rsidR="00F64776" w:rsidRDefault="00F64776" w:rsidP="00F64776">
      <w:pPr>
        <w:pStyle w:val="TextoNormal"/>
      </w:pPr>
      <w:r>
        <w:t>Madrid, a trece de noviembre de dos mil veintitrés.</w:t>
      </w:r>
    </w:p>
    <w:p w14:paraId="27E4EC82" w14:textId="14520036" w:rsidR="00F64776" w:rsidRDefault="00F64776">
      <w:pPr>
        <w:spacing w:after="160" w:line="278" w:lineRule="auto"/>
        <w:rPr>
          <w:rFonts w:ascii="Times New Roman" w:eastAsia="Times New Roman" w:hAnsi="Times New Roman" w:cs="Times New Roman"/>
          <w:sz w:val="24"/>
          <w:szCs w:val="24"/>
          <w:lang w:eastAsia="es-ES"/>
        </w:rPr>
      </w:pPr>
      <w:r>
        <w:br w:type="page"/>
      </w:r>
    </w:p>
    <w:p w14:paraId="500D5B4F" w14:textId="77777777" w:rsidR="00F64776" w:rsidRDefault="00F64776" w:rsidP="00F64776">
      <w:pPr>
        <w:pStyle w:val="TtuloResolucin"/>
      </w:pPr>
      <w:bookmarkStart w:id="350" w:name="AUTO_2023_565"/>
      <w:r>
        <w:t>AUTO 565/2023, de 13 de noviembre de 2023</w:t>
      </w:r>
    </w:p>
    <w:bookmarkEnd w:id="350"/>
    <w:p w14:paraId="20A8D71B" w14:textId="77777777" w:rsidR="00F64776" w:rsidRDefault="00F64776" w:rsidP="00F64776">
      <w:pPr>
        <w:pStyle w:val="TtuloResolucin"/>
      </w:pPr>
      <w:r>
        <w:t>Sección Tercera</w:t>
      </w:r>
    </w:p>
    <w:p w14:paraId="6A9FC56C" w14:textId="77777777" w:rsidR="00F64776" w:rsidRDefault="00F64776" w:rsidP="00F64776">
      <w:pPr>
        <w:pStyle w:val="TextoNormalCentrado"/>
      </w:pPr>
      <w:r>
        <w:t>ECLI:ES:TC:2023:565A</w:t>
      </w:r>
    </w:p>
    <w:p w14:paraId="219F0B03" w14:textId="6D76336D" w:rsidR="00F64776" w:rsidRDefault="00F64776" w:rsidP="00F64776">
      <w:pPr>
        <w:pStyle w:val="TextoNormalCentrado"/>
      </w:pPr>
    </w:p>
    <w:p w14:paraId="40B9A4DF" w14:textId="77777777" w:rsidR="00F64776" w:rsidRDefault="00F64776" w:rsidP="00F64776">
      <w:pPr>
        <w:pStyle w:val="SntesisDescriptiva"/>
      </w:pPr>
      <w:r>
        <w:t>Excms. Srs. doña Inmaculada Montalbán Huertas y doña Laura Díez Bueso.</w:t>
      </w:r>
    </w:p>
    <w:p w14:paraId="2613E237" w14:textId="63DA1738" w:rsidR="00F64776" w:rsidRDefault="00F64776" w:rsidP="00F64776">
      <w:pPr>
        <w:pStyle w:val="SntesisDescriptiva"/>
      </w:pPr>
    </w:p>
    <w:p w14:paraId="547945EE" w14:textId="77777777" w:rsidR="00F64776" w:rsidRDefault="00F64776" w:rsidP="00F64776">
      <w:pPr>
        <w:pStyle w:val="SntesisDescriptiva"/>
      </w:pPr>
      <w:r>
        <w:t>Acepta una abstención en el recurso de amparo 6931-2022, promovido en proceso contencioso-administrativo.</w:t>
      </w:r>
    </w:p>
    <w:p w14:paraId="53DF84A2" w14:textId="40F00EEC" w:rsidR="00F64776" w:rsidRDefault="00F64776" w:rsidP="00F64776">
      <w:pPr>
        <w:pStyle w:val="SntesisDescriptiva"/>
      </w:pPr>
    </w:p>
    <w:p w14:paraId="06F6CB73" w14:textId="77777777" w:rsidR="00F64776" w:rsidRDefault="00F64776" w:rsidP="00F64776">
      <w:pPr>
        <w:pStyle w:val="SntesisDescriptiva"/>
      </w:pPr>
    </w:p>
    <w:p w14:paraId="055CF913" w14:textId="77777777" w:rsidR="00F64776" w:rsidRDefault="00F64776" w:rsidP="00F64776">
      <w:pPr>
        <w:pStyle w:val="SntesisDescriptiva"/>
      </w:pPr>
    </w:p>
    <w:p w14:paraId="2CD92E81" w14:textId="77777777" w:rsidR="00F64776" w:rsidRDefault="00F64776" w:rsidP="00F64776">
      <w:pPr>
        <w:pStyle w:val="TextoNormalNegritaCentrado"/>
      </w:pPr>
      <w:r>
        <w:t>AUTO</w:t>
      </w:r>
    </w:p>
    <w:p w14:paraId="77E0067E" w14:textId="686604F6" w:rsidR="00F64776" w:rsidRDefault="00F64776" w:rsidP="00F64776">
      <w:pPr>
        <w:pStyle w:val="TextoNormalNegritaCentrado"/>
      </w:pPr>
    </w:p>
    <w:p w14:paraId="563D5737" w14:textId="77777777" w:rsidR="00F64776" w:rsidRDefault="00F64776" w:rsidP="00F64776">
      <w:pPr>
        <w:pStyle w:val="TextoNormalNegritaCentrado"/>
        <w:keepNext/>
      </w:pPr>
      <w:r>
        <w:t>I. Antecedentes</w:t>
      </w:r>
    </w:p>
    <w:p w14:paraId="3AC7EC34" w14:textId="22BD60F5" w:rsidR="00F64776" w:rsidRDefault="00F64776" w:rsidP="00F64776">
      <w:pPr>
        <w:pStyle w:val="TextoNormalNegritaCentrado"/>
        <w:keepNext/>
      </w:pPr>
    </w:p>
    <w:p w14:paraId="2D049EFF" w14:textId="328EAC4C" w:rsidR="00F64776" w:rsidRDefault="00F64776" w:rsidP="00F64776">
      <w:pPr>
        <w:pStyle w:val="TextoNormal"/>
      </w:pPr>
      <w:r w:rsidRPr="00F64776">
        <w:rPr>
          <w:rStyle w:val="NumeroAFNegritaCaracter"/>
        </w:rPr>
        <w:t>1</w:t>
      </w:r>
      <w:r>
        <w:t>. Mediante escrito registrado en este tribunal el 25 de octubre de 2022, la procuradora de los tribunales doña Cristina Gramage López, en nombre y representación de don Amidou Bathily y bajo la dirección del letrado don Rafael Uña Ruano, formuló demanda de amparo contra providencias de la Sala de lo Contencioso-Administrativo del Tribunal Supremo, en recurso de casación núm. 2959-2020.</w:t>
      </w:r>
    </w:p>
    <w:p w14:paraId="6623AC26" w14:textId="77777777" w:rsidR="00F64776" w:rsidRDefault="00F64776" w:rsidP="00F64776">
      <w:pPr>
        <w:pStyle w:val="TextoNormal"/>
      </w:pPr>
    </w:p>
    <w:p w14:paraId="0DC433A4" w14:textId="38D089FD" w:rsidR="00F64776" w:rsidRDefault="00F64776" w:rsidP="00F64776">
      <w:pPr>
        <w:pStyle w:val="TextoNormal"/>
      </w:pPr>
      <w:r w:rsidRPr="00F64776">
        <w:rPr>
          <w:rStyle w:val="NumeroAFNegritaCaracter"/>
        </w:rPr>
        <w:t>2</w:t>
      </w:r>
      <w:r>
        <w:t>. Por escrito de 12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4CE025C2" w14:textId="77777777" w:rsidR="00F64776" w:rsidRDefault="00F64776" w:rsidP="00F64776">
      <w:pPr>
        <w:pStyle w:val="TextoNormal"/>
      </w:pPr>
    </w:p>
    <w:p w14:paraId="6CB6C056" w14:textId="77777777" w:rsidR="00F64776" w:rsidRDefault="00F64776" w:rsidP="00F64776">
      <w:pPr>
        <w:pStyle w:val="TextoNormalNegritaCentrado"/>
        <w:keepNext/>
      </w:pPr>
      <w:r>
        <w:t>II. Fundamentos jurídicos</w:t>
      </w:r>
    </w:p>
    <w:p w14:paraId="261C8D6B" w14:textId="3069FA5E" w:rsidR="00F64776" w:rsidRDefault="00F64776" w:rsidP="00F64776">
      <w:pPr>
        <w:pStyle w:val="TextoNormalNegritaCentrado"/>
        <w:keepNext/>
      </w:pPr>
    </w:p>
    <w:p w14:paraId="4DE2F721" w14:textId="17F2068F"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7CA17CFB" w14:textId="77777777" w:rsidR="00F64776" w:rsidRDefault="00F64776" w:rsidP="00F64776">
      <w:pPr>
        <w:pStyle w:val="TextoNormal"/>
      </w:pPr>
    </w:p>
    <w:p w14:paraId="1AB60BE2" w14:textId="77777777" w:rsidR="00F64776" w:rsidRDefault="00F64776" w:rsidP="00F64776">
      <w:pPr>
        <w:pStyle w:val="TextoNormal"/>
      </w:pPr>
      <w:r>
        <w:t>Por lo expuesto, la Sección</w:t>
      </w:r>
    </w:p>
    <w:p w14:paraId="188A5C79" w14:textId="0F0A56F1" w:rsidR="00F64776" w:rsidRDefault="00F64776" w:rsidP="00F64776">
      <w:pPr>
        <w:pStyle w:val="TextoNormal"/>
      </w:pPr>
    </w:p>
    <w:p w14:paraId="41987D39" w14:textId="77777777" w:rsidR="00F64776" w:rsidRDefault="00F64776" w:rsidP="00F64776">
      <w:pPr>
        <w:pStyle w:val="TextoNormalCentrado"/>
      </w:pPr>
      <w:r>
        <w:t>ACUERDA</w:t>
      </w:r>
    </w:p>
    <w:p w14:paraId="24FF0F11" w14:textId="67F1C827" w:rsidR="00F64776" w:rsidRDefault="00F64776" w:rsidP="00F64776">
      <w:pPr>
        <w:pStyle w:val="TextoNormalCentrado"/>
      </w:pPr>
    </w:p>
    <w:p w14:paraId="1677FFE9" w14:textId="14A156B4" w:rsidR="00F64776" w:rsidRDefault="00F64776" w:rsidP="00F64776">
      <w:pPr>
        <w:pStyle w:val="TextoNormal"/>
      </w:pPr>
      <w:r>
        <w:t>Estimar justificada la abstención formulada por el magistrado don César Tolosa Tribiño en el recurso de amparo núm. 6931-2022 y apartarle definitivamente del conocimiento del referido recurso y de todas sus incidencias.</w:t>
      </w:r>
    </w:p>
    <w:p w14:paraId="55DCB1B9" w14:textId="77777777" w:rsidR="00F64776" w:rsidRDefault="00F64776" w:rsidP="00F64776">
      <w:pPr>
        <w:pStyle w:val="TextoNormal"/>
      </w:pPr>
    </w:p>
    <w:p w14:paraId="34EEC0C2" w14:textId="77777777" w:rsidR="00F64776" w:rsidRDefault="00F64776" w:rsidP="00F64776">
      <w:pPr>
        <w:pStyle w:val="TextoNormal"/>
      </w:pPr>
      <w:r>
        <w:t>Madrid, a trece de noviembre de dos mil veintitrés.</w:t>
      </w:r>
    </w:p>
    <w:p w14:paraId="43B34691" w14:textId="4FA6FB9F" w:rsidR="00F64776" w:rsidRDefault="00F64776">
      <w:pPr>
        <w:spacing w:after="160" w:line="278" w:lineRule="auto"/>
        <w:rPr>
          <w:rFonts w:ascii="Times New Roman" w:eastAsia="Times New Roman" w:hAnsi="Times New Roman" w:cs="Times New Roman"/>
          <w:sz w:val="24"/>
          <w:szCs w:val="24"/>
          <w:lang w:eastAsia="es-ES"/>
        </w:rPr>
      </w:pPr>
      <w:r>
        <w:br w:type="page"/>
      </w:r>
    </w:p>
    <w:p w14:paraId="71C69585" w14:textId="77777777" w:rsidR="00F64776" w:rsidRDefault="00F64776" w:rsidP="00F64776">
      <w:pPr>
        <w:pStyle w:val="TtuloResolucin"/>
      </w:pPr>
      <w:bookmarkStart w:id="351" w:name="AUTO_2023_566"/>
      <w:r>
        <w:t>AUTO 566/2023, de 13 de noviembre de 2023</w:t>
      </w:r>
    </w:p>
    <w:bookmarkEnd w:id="351"/>
    <w:p w14:paraId="470E6359" w14:textId="77777777" w:rsidR="00F64776" w:rsidRDefault="00F64776" w:rsidP="00F64776">
      <w:pPr>
        <w:pStyle w:val="TtuloResolucin"/>
      </w:pPr>
      <w:r>
        <w:t>Sección Tercera</w:t>
      </w:r>
    </w:p>
    <w:p w14:paraId="7823F221" w14:textId="77777777" w:rsidR="00F64776" w:rsidRDefault="00F64776" w:rsidP="00F64776">
      <w:pPr>
        <w:pStyle w:val="TextoNormalCentrado"/>
      </w:pPr>
      <w:r>
        <w:t>ECLI:ES:TC:2023:566A</w:t>
      </w:r>
    </w:p>
    <w:p w14:paraId="1F051E8B" w14:textId="227185BA" w:rsidR="00F64776" w:rsidRDefault="00F64776" w:rsidP="00F64776">
      <w:pPr>
        <w:pStyle w:val="TextoNormalCentrado"/>
      </w:pPr>
    </w:p>
    <w:p w14:paraId="0B58D932" w14:textId="77777777" w:rsidR="00F64776" w:rsidRDefault="00F64776" w:rsidP="00F64776">
      <w:pPr>
        <w:pStyle w:val="SntesisDescriptiva"/>
      </w:pPr>
      <w:r>
        <w:t>Excms. Srs. doña Inmaculada Montalbán Huertas y doña Laura Díez Bueso.</w:t>
      </w:r>
    </w:p>
    <w:p w14:paraId="088D4DA7" w14:textId="2FE8A6EF" w:rsidR="00F64776" w:rsidRDefault="00F64776" w:rsidP="00F64776">
      <w:pPr>
        <w:pStyle w:val="SntesisDescriptiva"/>
      </w:pPr>
    </w:p>
    <w:p w14:paraId="4BD42FFA" w14:textId="77777777" w:rsidR="00F64776" w:rsidRDefault="00F64776" w:rsidP="00F64776">
      <w:pPr>
        <w:pStyle w:val="SntesisDescriptiva"/>
      </w:pPr>
      <w:r>
        <w:t>Acepta una abstención en el recurso de amparo 7026-2022, promovido en proceso contencioso-administrativo.</w:t>
      </w:r>
    </w:p>
    <w:p w14:paraId="2A626083" w14:textId="1B1D3DAF" w:rsidR="00F64776" w:rsidRDefault="00F64776" w:rsidP="00F64776">
      <w:pPr>
        <w:pStyle w:val="SntesisDescriptiva"/>
      </w:pPr>
    </w:p>
    <w:p w14:paraId="337F9440" w14:textId="77777777" w:rsidR="00F64776" w:rsidRDefault="00F64776" w:rsidP="00F64776">
      <w:pPr>
        <w:pStyle w:val="SntesisDescriptiva"/>
      </w:pPr>
    </w:p>
    <w:p w14:paraId="52DC9FFC" w14:textId="77777777" w:rsidR="00F64776" w:rsidRDefault="00F64776" w:rsidP="00F64776">
      <w:pPr>
        <w:pStyle w:val="SntesisDescriptiva"/>
      </w:pPr>
    </w:p>
    <w:p w14:paraId="28F94980" w14:textId="77777777" w:rsidR="00F64776" w:rsidRDefault="00F64776" w:rsidP="00F64776">
      <w:pPr>
        <w:pStyle w:val="TextoNormalNegritaCentrado"/>
      </w:pPr>
      <w:r>
        <w:t>AUTO</w:t>
      </w:r>
    </w:p>
    <w:p w14:paraId="3C1E1085" w14:textId="686C9767" w:rsidR="00F64776" w:rsidRDefault="00F64776" w:rsidP="00F64776">
      <w:pPr>
        <w:pStyle w:val="TextoNormalNegritaCentrado"/>
      </w:pPr>
    </w:p>
    <w:p w14:paraId="01C8DFDE" w14:textId="77777777" w:rsidR="00F64776" w:rsidRDefault="00F64776" w:rsidP="00F64776">
      <w:pPr>
        <w:pStyle w:val="TextoNormalNegritaCentrado"/>
        <w:keepNext/>
      </w:pPr>
      <w:r>
        <w:t>I. Antecedentes</w:t>
      </w:r>
    </w:p>
    <w:p w14:paraId="08D954B7" w14:textId="1493B664" w:rsidR="00F64776" w:rsidRDefault="00F64776" w:rsidP="00F64776">
      <w:pPr>
        <w:pStyle w:val="TextoNormalNegritaCentrado"/>
        <w:keepNext/>
      </w:pPr>
    </w:p>
    <w:p w14:paraId="11AF6E1B" w14:textId="788FB20D" w:rsidR="00F64776" w:rsidRDefault="00F64776" w:rsidP="00F64776">
      <w:pPr>
        <w:pStyle w:val="TextoNormal"/>
      </w:pPr>
      <w:r w:rsidRPr="00F64776">
        <w:rPr>
          <w:rStyle w:val="NumeroAFNegritaCaracter"/>
        </w:rPr>
        <w:t>1</w:t>
      </w:r>
      <w:r>
        <w:t>. Mediante escrito registrado en este tribunal el 28 de octubre de 2022, la procuradora de los tribunales doña Berta Rodríguez-Curiel Espinosa, en nombre y representación de doña Jeanne Zaina y bajo la dirección del letrado don Jesús José Suárez Balmaseda, formuló demanda de amparo contra el auto de 19 de octubre de 2022, dictado por la Sección Primera de la Sala de lo Contencioso-Administrativo del Tribunal Supremo, en recurso de queja núm. 58-2021 contra el auto de la Sala de lo Contencioso-Administrativo del Tribunal Superior de Justicia de Granada, en recurso de apelación núm. 2180-2019.</w:t>
      </w:r>
    </w:p>
    <w:p w14:paraId="33851054" w14:textId="77777777" w:rsidR="00F64776" w:rsidRDefault="00F64776" w:rsidP="00F64776">
      <w:pPr>
        <w:pStyle w:val="TextoNormal"/>
      </w:pPr>
    </w:p>
    <w:p w14:paraId="5B69C769" w14:textId="093ADA44" w:rsidR="00F64776" w:rsidRDefault="00F64776" w:rsidP="00F64776">
      <w:pPr>
        <w:pStyle w:val="TextoNormal"/>
      </w:pPr>
      <w:r w:rsidRPr="00F64776">
        <w:rPr>
          <w:rStyle w:val="NumeroAFNegritaCaracter"/>
        </w:rPr>
        <w:t>2</w:t>
      </w:r>
      <w:r>
        <w:t>. Por escrito de 30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3169489E" w14:textId="77777777" w:rsidR="00F64776" w:rsidRDefault="00F64776" w:rsidP="00F64776">
      <w:pPr>
        <w:pStyle w:val="TextoNormal"/>
      </w:pPr>
    </w:p>
    <w:p w14:paraId="3C9C0E14" w14:textId="77777777" w:rsidR="00F64776" w:rsidRDefault="00F64776" w:rsidP="00F64776">
      <w:pPr>
        <w:pStyle w:val="TextoNormalNegritaCentrado"/>
        <w:keepNext/>
      </w:pPr>
      <w:r>
        <w:t>II. Fundamentos jurídicos</w:t>
      </w:r>
    </w:p>
    <w:p w14:paraId="1CB01CF4" w14:textId="2B537AD5" w:rsidR="00F64776" w:rsidRDefault="00F64776" w:rsidP="00F64776">
      <w:pPr>
        <w:pStyle w:val="TextoNormalNegritaCentrado"/>
        <w:keepNext/>
      </w:pPr>
    </w:p>
    <w:p w14:paraId="03742867" w14:textId="722339DE"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7DFF1B74" w14:textId="77777777" w:rsidR="00F64776" w:rsidRDefault="00F64776" w:rsidP="00F64776">
      <w:pPr>
        <w:pStyle w:val="TextoNormal"/>
      </w:pPr>
    </w:p>
    <w:p w14:paraId="4D53CA2C" w14:textId="77777777" w:rsidR="00F64776" w:rsidRDefault="00F64776" w:rsidP="00F64776">
      <w:pPr>
        <w:pStyle w:val="TextoNormal"/>
      </w:pPr>
      <w:r>
        <w:t>Por lo expuesto, la Sección</w:t>
      </w:r>
    </w:p>
    <w:p w14:paraId="620761FC" w14:textId="5046F5E2" w:rsidR="00F64776" w:rsidRDefault="00F64776" w:rsidP="00F64776">
      <w:pPr>
        <w:pStyle w:val="TextoNormal"/>
      </w:pPr>
    </w:p>
    <w:p w14:paraId="75206B2C" w14:textId="77777777" w:rsidR="00F64776" w:rsidRDefault="00F64776" w:rsidP="00F64776">
      <w:pPr>
        <w:pStyle w:val="TextoNormalCentrado"/>
      </w:pPr>
      <w:r>
        <w:t>ACUERDA</w:t>
      </w:r>
    </w:p>
    <w:p w14:paraId="1438C153" w14:textId="605D44AC" w:rsidR="00F64776" w:rsidRDefault="00F64776" w:rsidP="00F64776">
      <w:pPr>
        <w:pStyle w:val="TextoNormalCentrado"/>
      </w:pPr>
    </w:p>
    <w:p w14:paraId="11706CC5" w14:textId="21096A68" w:rsidR="00F64776" w:rsidRDefault="00F64776" w:rsidP="00F64776">
      <w:pPr>
        <w:pStyle w:val="TextoNormal"/>
      </w:pPr>
      <w:r>
        <w:t>Estimar justificada la abstención formulada por el magistrado don César Tolosa Tribiño en el recurso de amparo núm. 7026-2022 y apartarle definitivamente del conocimiento del referido recurso y de todas sus incidencias.</w:t>
      </w:r>
    </w:p>
    <w:p w14:paraId="20D0D50A" w14:textId="77777777" w:rsidR="00F64776" w:rsidRDefault="00F64776" w:rsidP="00F64776">
      <w:pPr>
        <w:pStyle w:val="TextoNormal"/>
      </w:pPr>
    </w:p>
    <w:p w14:paraId="01454E92" w14:textId="77777777" w:rsidR="00F64776" w:rsidRDefault="00F64776" w:rsidP="00F64776">
      <w:pPr>
        <w:pStyle w:val="TextoNormal"/>
      </w:pPr>
      <w:r>
        <w:t>Madrid, a trece de noviembre de dos mil veintitrés.</w:t>
      </w:r>
    </w:p>
    <w:p w14:paraId="74581F3F" w14:textId="73B39909" w:rsidR="00F64776" w:rsidRDefault="00F64776">
      <w:pPr>
        <w:spacing w:after="160" w:line="278" w:lineRule="auto"/>
        <w:rPr>
          <w:rFonts w:ascii="Times New Roman" w:eastAsia="Times New Roman" w:hAnsi="Times New Roman" w:cs="Times New Roman"/>
          <w:sz w:val="24"/>
          <w:szCs w:val="24"/>
          <w:lang w:eastAsia="es-ES"/>
        </w:rPr>
      </w:pPr>
      <w:r>
        <w:br w:type="page"/>
      </w:r>
    </w:p>
    <w:p w14:paraId="36495281" w14:textId="77777777" w:rsidR="00F64776" w:rsidRDefault="00F64776" w:rsidP="00F64776">
      <w:pPr>
        <w:pStyle w:val="TtuloResolucin"/>
      </w:pPr>
      <w:bookmarkStart w:id="352" w:name="AUTO_2023_567"/>
      <w:r>
        <w:t>AUTO 567/2023, de 13 de noviembre de 2023</w:t>
      </w:r>
    </w:p>
    <w:bookmarkEnd w:id="352"/>
    <w:p w14:paraId="6C35F644" w14:textId="77777777" w:rsidR="00F64776" w:rsidRDefault="00F64776" w:rsidP="00F64776">
      <w:pPr>
        <w:pStyle w:val="TtuloResolucin"/>
      </w:pPr>
      <w:r>
        <w:t>Sección Tercera</w:t>
      </w:r>
    </w:p>
    <w:p w14:paraId="21A7FC64" w14:textId="77777777" w:rsidR="00F64776" w:rsidRDefault="00F64776" w:rsidP="00F64776">
      <w:pPr>
        <w:pStyle w:val="TextoNormalCentrado"/>
      </w:pPr>
      <w:r>
        <w:t>ECLI:ES:TC:2023:567A</w:t>
      </w:r>
    </w:p>
    <w:p w14:paraId="37DE0CE1" w14:textId="5CA0D8BF" w:rsidR="00F64776" w:rsidRDefault="00F64776" w:rsidP="00F64776">
      <w:pPr>
        <w:pStyle w:val="TextoNormalCentrado"/>
      </w:pPr>
    </w:p>
    <w:p w14:paraId="176E8DED" w14:textId="77777777" w:rsidR="00F64776" w:rsidRDefault="00F64776" w:rsidP="00F64776">
      <w:pPr>
        <w:pStyle w:val="SntesisDescriptiva"/>
      </w:pPr>
      <w:r>
        <w:t>Excms. Srs. doña Inmaculada Montalbán Huertas y doña Laura Díez Bueso.</w:t>
      </w:r>
    </w:p>
    <w:p w14:paraId="3C5BEF08" w14:textId="2DEDD0C3" w:rsidR="00F64776" w:rsidRDefault="00F64776" w:rsidP="00F64776">
      <w:pPr>
        <w:pStyle w:val="SntesisDescriptiva"/>
      </w:pPr>
    </w:p>
    <w:p w14:paraId="58C06074" w14:textId="77777777" w:rsidR="00F64776" w:rsidRDefault="00F64776" w:rsidP="00F64776">
      <w:pPr>
        <w:pStyle w:val="SntesisDescriptiva"/>
      </w:pPr>
      <w:r>
        <w:t>Acepta una abstención en el recurso de amparo 7305-2022, promovido en proceso contencioso-administrativo.</w:t>
      </w:r>
    </w:p>
    <w:p w14:paraId="15D2178B" w14:textId="37DDF302" w:rsidR="00F64776" w:rsidRDefault="00F64776" w:rsidP="00F64776">
      <w:pPr>
        <w:pStyle w:val="SntesisDescriptiva"/>
      </w:pPr>
    </w:p>
    <w:p w14:paraId="47DB3DDB" w14:textId="77777777" w:rsidR="00F64776" w:rsidRDefault="00F64776" w:rsidP="00F64776">
      <w:pPr>
        <w:pStyle w:val="SntesisDescriptiva"/>
      </w:pPr>
    </w:p>
    <w:p w14:paraId="0C2FDF82" w14:textId="77777777" w:rsidR="00F64776" w:rsidRDefault="00F64776" w:rsidP="00F64776">
      <w:pPr>
        <w:pStyle w:val="SntesisDescriptiva"/>
      </w:pPr>
    </w:p>
    <w:p w14:paraId="548F063C" w14:textId="77777777" w:rsidR="00F64776" w:rsidRDefault="00F64776" w:rsidP="00F64776">
      <w:pPr>
        <w:pStyle w:val="TextoNormalNegritaCentrado"/>
      </w:pPr>
      <w:r>
        <w:t>AUTO</w:t>
      </w:r>
    </w:p>
    <w:p w14:paraId="1A69EE00" w14:textId="6CDC2547" w:rsidR="00F64776" w:rsidRDefault="00F64776" w:rsidP="00F64776">
      <w:pPr>
        <w:pStyle w:val="TextoNormalNegritaCentrado"/>
      </w:pPr>
    </w:p>
    <w:p w14:paraId="252AEC89" w14:textId="77777777" w:rsidR="00F64776" w:rsidRDefault="00F64776" w:rsidP="00F64776">
      <w:pPr>
        <w:pStyle w:val="TextoNormalNegritaCentrado"/>
        <w:keepNext/>
      </w:pPr>
      <w:r>
        <w:t>I. Antecedentes</w:t>
      </w:r>
    </w:p>
    <w:p w14:paraId="2EC9F099" w14:textId="141FDB40" w:rsidR="00F64776" w:rsidRDefault="00F64776" w:rsidP="00F64776">
      <w:pPr>
        <w:pStyle w:val="TextoNormalNegritaCentrado"/>
        <w:keepNext/>
      </w:pPr>
    </w:p>
    <w:p w14:paraId="39DD0F2B" w14:textId="20E991EC" w:rsidR="00F64776" w:rsidRDefault="00F64776" w:rsidP="00F64776">
      <w:pPr>
        <w:pStyle w:val="TextoNormal"/>
      </w:pPr>
      <w:r w:rsidRPr="00F64776">
        <w:rPr>
          <w:rStyle w:val="NumeroAFNegritaCaracter"/>
        </w:rPr>
        <w:t>1</w:t>
      </w:r>
      <w:r>
        <w:t>. Mediante escrito registrado en este tribunal el 8 de noviembre de 2022, la procuradora de los tribunales doña Victoria Pérez-Mulet Díez-Picazo, en nombre y representación de don Nobel Gálvez Heredia y bajo la dirección del letrado don Vicente Rebenga Galiano, formuló demanda de amparo contra la providencia de 11 de octubre de 2022 de la Sección Primera de la Sala de lo Contencioso-Administrativo del Tribunal Supremo, en recurso de casación núm. 4030-2022.</w:t>
      </w:r>
    </w:p>
    <w:p w14:paraId="171051CE" w14:textId="77777777" w:rsidR="00F64776" w:rsidRDefault="00F64776" w:rsidP="00F64776">
      <w:pPr>
        <w:pStyle w:val="TextoNormal"/>
      </w:pPr>
    </w:p>
    <w:p w14:paraId="0B0F90E4" w14:textId="0AE64BAB" w:rsidR="00F64776" w:rsidRDefault="00F64776" w:rsidP="00F64776">
      <w:pPr>
        <w:pStyle w:val="TextoNormal"/>
      </w:pPr>
      <w:r w:rsidRPr="00F64776">
        <w:rPr>
          <w:rStyle w:val="NumeroAFNegritaCaracter"/>
        </w:rPr>
        <w:t>2</w:t>
      </w:r>
      <w:r>
        <w:t>. Por escrito de 26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3369340C" w14:textId="77777777" w:rsidR="00F64776" w:rsidRDefault="00F64776" w:rsidP="00F64776">
      <w:pPr>
        <w:pStyle w:val="TextoNormal"/>
      </w:pPr>
    </w:p>
    <w:p w14:paraId="5629E561" w14:textId="77777777" w:rsidR="00F64776" w:rsidRDefault="00F64776" w:rsidP="00F64776">
      <w:pPr>
        <w:pStyle w:val="TextoNormalNegritaCentrado"/>
        <w:keepNext/>
      </w:pPr>
      <w:r>
        <w:t>II. Fundamentos jurídicos</w:t>
      </w:r>
    </w:p>
    <w:p w14:paraId="6D6B01D7" w14:textId="3D328520" w:rsidR="00F64776" w:rsidRDefault="00F64776" w:rsidP="00F64776">
      <w:pPr>
        <w:pStyle w:val="TextoNormalNegritaCentrado"/>
        <w:keepNext/>
      </w:pPr>
    </w:p>
    <w:p w14:paraId="25E096B9" w14:textId="6F84A6A6"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6C05835B" w14:textId="77777777" w:rsidR="00F64776" w:rsidRDefault="00F64776" w:rsidP="00F64776">
      <w:pPr>
        <w:pStyle w:val="TextoNormal"/>
      </w:pPr>
    </w:p>
    <w:p w14:paraId="33C5B59F" w14:textId="77777777" w:rsidR="00F64776" w:rsidRDefault="00F64776" w:rsidP="00F64776">
      <w:pPr>
        <w:pStyle w:val="TextoNormal"/>
      </w:pPr>
      <w:r>
        <w:t>Por lo expuesto, la Sección</w:t>
      </w:r>
    </w:p>
    <w:p w14:paraId="06B91166" w14:textId="04DD2AF5" w:rsidR="00F64776" w:rsidRDefault="00F64776" w:rsidP="00F64776">
      <w:pPr>
        <w:pStyle w:val="TextoNormal"/>
      </w:pPr>
    </w:p>
    <w:p w14:paraId="1E0F631A" w14:textId="77777777" w:rsidR="00F64776" w:rsidRDefault="00F64776" w:rsidP="00F64776">
      <w:pPr>
        <w:pStyle w:val="TextoNormalCentrado"/>
      </w:pPr>
      <w:r>
        <w:t>ACUERDA</w:t>
      </w:r>
    </w:p>
    <w:p w14:paraId="6AA23F22" w14:textId="6D5CD976" w:rsidR="00F64776" w:rsidRDefault="00F64776" w:rsidP="00F64776">
      <w:pPr>
        <w:pStyle w:val="TextoNormalCentrado"/>
      </w:pPr>
    </w:p>
    <w:p w14:paraId="433C853D" w14:textId="03D04A35" w:rsidR="00F64776" w:rsidRDefault="00F64776" w:rsidP="00F64776">
      <w:pPr>
        <w:pStyle w:val="TextoNormal"/>
      </w:pPr>
      <w:r>
        <w:t>Estimar justificada la abstención formulada por el magistrado don César Tolosa Tribiño en el recurso de amparo núm. 7305-2022 y apartarle definitivamente del conocimiento del referido recurso y de todas sus incidencias.</w:t>
      </w:r>
    </w:p>
    <w:p w14:paraId="7FD2E715" w14:textId="77777777" w:rsidR="00F64776" w:rsidRDefault="00F64776" w:rsidP="00F64776">
      <w:pPr>
        <w:pStyle w:val="TextoNormal"/>
      </w:pPr>
    </w:p>
    <w:p w14:paraId="448F1BF0" w14:textId="77777777" w:rsidR="00F64776" w:rsidRDefault="00F64776" w:rsidP="00F64776">
      <w:pPr>
        <w:pStyle w:val="TextoNormal"/>
      </w:pPr>
      <w:r>
        <w:t>Madrid, a trece de noviembre de dos mil veintitrés.</w:t>
      </w:r>
    </w:p>
    <w:p w14:paraId="597D10D6" w14:textId="2DFBCD1E" w:rsidR="00F64776" w:rsidRDefault="00F64776">
      <w:pPr>
        <w:spacing w:after="160" w:line="278" w:lineRule="auto"/>
        <w:rPr>
          <w:rFonts w:ascii="Times New Roman" w:eastAsia="Times New Roman" w:hAnsi="Times New Roman" w:cs="Times New Roman"/>
          <w:sz w:val="24"/>
          <w:szCs w:val="24"/>
          <w:lang w:eastAsia="es-ES"/>
        </w:rPr>
      </w:pPr>
      <w:r>
        <w:br w:type="page"/>
      </w:r>
    </w:p>
    <w:p w14:paraId="02349CF6" w14:textId="77777777" w:rsidR="00F64776" w:rsidRDefault="00F64776" w:rsidP="00F64776">
      <w:pPr>
        <w:pStyle w:val="TtuloResolucin"/>
      </w:pPr>
      <w:bookmarkStart w:id="353" w:name="AUTO_2023_568"/>
      <w:r>
        <w:t>AUTO 568/2023, de 13 de noviembre de 2023</w:t>
      </w:r>
    </w:p>
    <w:bookmarkEnd w:id="353"/>
    <w:p w14:paraId="1C58B457" w14:textId="77777777" w:rsidR="00F64776" w:rsidRDefault="00F64776" w:rsidP="00F64776">
      <w:pPr>
        <w:pStyle w:val="TtuloResolucin"/>
      </w:pPr>
      <w:r>
        <w:t>Sección Tercera</w:t>
      </w:r>
    </w:p>
    <w:p w14:paraId="2EF21940" w14:textId="77777777" w:rsidR="00F64776" w:rsidRDefault="00F64776" w:rsidP="00F64776">
      <w:pPr>
        <w:pStyle w:val="TextoNormalCentrado"/>
      </w:pPr>
      <w:r>
        <w:t>ECLI:ES:TC:2023:568A</w:t>
      </w:r>
    </w:p>
    <w:p w14:paraId="51C9FFBD" w14:textId="4D64CBFA" w:rsidR="00F64776" w:rsidRDefault="00F64776" w:rsidP="00F64776">
      <w:pPr>
        <w:pStyle w:val="TextoNormalCentrado"/>
      </w:pPr>
    </w:p>
    <w:p w14:paraId="475CF385" w14:textId="77777777" w:rsidR="00F64776" w:rsidRDefault="00F64776" w:rsidP="00F64776">
      <w:pPr>
        <w:pStyle w:val="SntesisDescriptiva"/>
      </w:pPr>
      <w:r>
        <w:t>Excms. Srs. doña Inmaculada Montalbán Huertas y doña Laura Díez Bueso.</w:t>
      </w:r>
    </w:p>
    <w:p w14:paraId="4A4BC5E7" w14:textId="57F4047C" w:rsidR="00F64776" w:rsidRDefault="00F64776" w:rsidP="00F64776">
      <w:pPr>
        <w:pStyle w:val="SntesisDescriptiva"/>
      </w:pPr>
    </w:p>
    <w:p w14:paraId="1C2B42B5" w14:textId="77777777" w:rsidR="00F64776" w:rsidRDefault="00F64776" w:rsidP="00F64776">
      <w:pPr>
        <w:pStyle w:val="SntesisDescriptiva"/>
      </w:pPr>
      <w:r>
        <w:t>Acepta una abstención en el recurso de amparo 7497-2022, promovido por la entidad Fertinagro Biotech, S.L., en proceso contencioso-administrativo.</w:t>
      </w:r>
    </w:p>
    <w:p w14:paraId="17CDA2F1" w14:textId="46F0BA63" w:rsidR="00F64776" w:rsidRDefault="00F64776" w:rsidP="00F64776">
      <w:pPr>
        <w:pStyle w:val="SntesisDescriptiva"/>
      </w:pPr>
    </w:p>
    <w:p w14:paraId="2D5F444E" w14:textId="77777777" w:rsidR="00F64776" w:rsidRDefault="00F64776" w:rsidP="00F64776">
      <w:pPr>
        <w:pStyle w:val="SntesisDescriptiva"/>
      </w:pPr>
    </w:p>
    <w:p w14:paraId="4769024E" w14:textId="77777777" w:rsidR="00F64776" w:rsidRDefault="00F64776" w:rsidP="00F64776">
      <w:pPr>
        <w:pStyle w:val="SntesisDescriptiva"/>
      </w:pPr>
    </w:p>
    <w:p w14:paraId="2492DE46" w14:textId="77777777" w:rsidR="00F64776" w:rsidRDefault="00F64776" w:rsidP="00F64776">
      <w:pPr>
        <w:pStyle w:val="TextoNormalNegritaCentrado"/>
      </w:pPr>
      <w:r>
        <w:t>AUTO</w:t>
      </w:r>
    </w:p>
    <w:p w14:paraId="1BBDBC8E" w14:textId="58F75C0A" w:rsidR="00F64776" w:rsidRDefault="00F64776" w:rsidP="00F64776">
      <w:pPr>
        <w:pStyle w:val="TextoNormalNegritaCentrado"/>
      </w:pPr>
    </w:p>
    <w:p w14:paraId="264C1430" w14:textId="77777777" w:rsidR="00F64776" w:rsidRDefault="00F64776" w:rsidP="00F64776">
      <w:pPr>
        <w:pStyle w:val="TextoNormalNegritaCentrado"/>
        <w:keepNext/>
      </w:pPr>
      <w:r>
        <w:t>I. Antecedentes</w:t>
      </w:r>
    </w:p>
    <w:p w14:paraId="5F31AC9E" w14:textId="0FB8240F" w:rsidR="00F64776" w:rsidRDefault="00F64776" w:rsidP="00F64776">
      <w:pPr>
        <w:pStyle w:val="TextoNormalNegritaCentrado"/>
        <w:keepNext/>
      </w:pPr>
    </w:p>
    <w:p w14:paraId="1C843980" w14:textId="3D5A20BB" w:rsidR="00F64776" w:rsidRDefault="00F64776" w:rsidP="00F64776">
      <w:pPr>
        <w:pStyle w:val="TextoNormal"/>
      </w:pPr>
      <w:r w:rsidRPr="00F64776">
        <w:rPr>
          <w:rStyle w:val="NumeroAFNegritaCaracter"/>
        </w:rPr>
        <w:t>1</w:t>
      </w:r>
      <w:r>
        <w:t>. Mediante escrito registrado en este tribunal el 15 de noviembre de 2022, la procuradora de los tribunales doña María Natalia Martín de Vidales Llorente, en nombre y representación de la entidad Fertinagro Biotech, S.L., y bajo la dirección del letrado don José Manuel Nolasco Gómez, formuló demanda de amparo contra la providencia de 19 de octubre de 2022 de la Sección Primera de la Sala de lo Contencioso-Administrativo del Tribunal Supremo, en recurso de casación 4817-2022.</w:t>
      </w:r>
    </w:p>
    <w:p w14:paraId="1D52F9B1" w14:textId="77777777" w:rsidR="00F64776" w:rsidRDefault="00F64776" w:rsidP="00F64776">
      <w:pPr>
        <w:pStyle w:val="TextoNormal"/>
      </w:pPr>
    </w:p>
    <w:p w14:paraId="5E9DA321" w14:textId="5F6AF375" w:rsidR="00F64776" w:rsidRDefault="00F64776" w:rsidP="00F64776">
      <w:pPr>
        <w:pStyle w:val="TextoNormal"/>
      </w:pPr>
      <w:r w:rsidRPr="00F64776">
        <w:rPr>
          <w:rStyle w:val="NumeroAFNegritaCaracter"/>
        </w:rPr>
        <w:t>2</w:t>
      </w:r>
      <w:r>
        <w:t>. Por escrito de 15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2925B791" w14:textId="77777777" w:rsidR="00F64776" w:rsidRDefault="00F64776" w:rsidP="00F64776">
      <w:pPr>
        <w:pStyle w:val="TextoNormal"/>
      </w:pPr>
    </w:p>
    <w:p w14:paraId="5FCE7D6B" w14:textId="77777777" w:rsidR="00F64776" w:rsidRDefault="00F64776" w:rsidP="00F64776">
      <w:pPr>
        <w:pStyle w:val="TextoNormalNegritaCentrado"/>
        <w:keepNext/>
      </w:pPr>
      <w:r>
        <w:t>II. Fundamentos jurídicos</w:t>
      </w:r>
    </w:p>
    <w:p w14:paraId="47B95420" w14:textId="2BDD31DC" w:rsidR="00F64776" w:rsidRDefault="00F64776" w:rsidP="00F64776">
      <w:pPr>
        <w:pStyle w:val="TextoNormalNegritaCentrado"/>
        <w:keepNext/>
      </w:pPr>
    </w:p>
    <w:p w14:paraId="762E01B1" w14:textId="543BF4A1"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68871AEA" w14:textId="77777777" w:rsidR="00F64776" w:rsidRDefault="00F64776" w:rsidP="00F64776">
      <w:pPr>
        <w:pStyle w:val="TextoNormal"/>
      </w:pPr>
    </w:p>
    <w:p w14:paraId="772529D4" w14:textId="77777777" w:rsidR="00F64776" w:rsidRDefault="00F64776" w:rsidP="00F64776">
      <w:pPr>
        <w:pStyle w:val="TextoNormal"/>
      </w:pPr>
      <w:r>
        <w:t>Por lo expuesto, la Sección</w:t>
      </w:r>
    </w:p>
    <w:p w14:paraId="543CA174" w14:textId="350AB742" w:rsidR="00F64776" w:rsidRDefault="00F64776" w:rsidP="00F64776">
      <w:pPr>
        <w:pStyle w:val="TextoNormal"/>
      </w:pPr>
    </w:p>
    <w:p w14:paraId="023FF482" w14:textId="77777777" w:rsidR="00F64776" w:rsidRDefault="00F64776" w:rsidP="00F64776">
      <w:pPr>
        <w:pStyle w:val="TextoNormalCentrado"/>
      </w:pPr>
      <w:r>
        <w:t>ACUERDA</w:t>
      </w:r>
    </w:p>
    <w:p w14:paraId="29185A50" w14:textId="264D659D" w:rsidR="00F64776" w:rsidRDefault="00F64776" w:rsidP="00F64776">
      <w:pPr>
        <w:pStyle w:val="TextoNormalCentrado"/>
      </w:pPr>
    </w:p>
    <w:p w14:paraId="46FCB639" w14:textId="67E78A7D" w:rsidR="00F64776" w:rsidRDefault="00F64776" w:rsidP="00F64776">
      <w:pPr>
        <w:pStyle w:val="TextoNormal"/>
      </w:pPr>
      <w:r>
        <w:t>Estimar justificada la abstención formulada por el magistrado don César Tolosa Tribiño en el recurso de amparo núm. 7497-2022 y apartarle definitivamente del conocimiento del referido recurso y de todas sus incidencias.</w:t>
      </w:r>
    </w:p>
    <w:p w14:paraId="21974135" w14:textId="77777777" w:rsidR="00F64776" w:rsidRDefault="00F64776" w:rsidP="00F64776">
      <w:pPr>
        <w:pStyle w:val="TextoNormal"/>
      </w:pPr>
    </w:p>
    <w:p w14:paraId="44D4184A" w14:textId="77777777" w:rsidR="00F64776" w:rsidRDefault="00F64776" w:rsidP="00F64776">
      <w:pPr>
        <w:pStyle w:val="TextoNormal"/>
      </w:pPr>
      <w:r>
        <w:t>Madrid, a trece de noviembre de dos mil veintitrés.</w:t>
      </w:r>
    </w:p>
    <w:p w14:paraId="09ED250B" w14:textId="69B2DD6D" w:rsidR="00F64776" w:rsidRDefault="00F64776">
      <w:pPr>
        <w:spacing w:after="160" w:line="278" w:lineRule="auto"/>
        <w:rPr>
          <w:rFonts w:ascii="Times New Roman" w:eastAsia="Times New Roman" w:hAnsi="Times New Roman" w:cs="Times New Roman"/>
          <w:sz w:val="24"/>
          <w:szCs w:val="24"/>
          <w:lang w:eastAsia="es-ES"/>
        </w:rPr>
      </w:pPr>
      <w:r>
        <w:br w:type="page"/>
      </w:r>
    </w:p>
    <w:p w14:paraId="64FFFB43" w14:textId="77777777" w:rsidR="00F64776" w:rsidRDefault="00F64776" w:rsidP="00F64776">
      <w:pPr>
        <w:pStyle w:val="TtuloResolucin"/>
      </w:pPr>
      <w:bookmarkStart w:id="354" w:name="AUTO_2023_569"/>
      <w:r>
        <w:t>AUTO 569/2023, de 13 de noviembre de 2023</w:t>
      </w:r>
    </w:p>
    <w:bookmarkEnd w:id="354"/>
    <w:p w14:paraId="7E1405E0" w14:textId="77777777" w:rsidR="00F64776" w:rsidRDefault="00F64776" w:rsidP="00F64776">
      <w:pPr>
        <w:pStyle w:val="TtuloResolucin"/>
      </w:pPr>
      <w:r>
        <w:t>Sección Tercera</w:t>
      </w:r>
    </w:p>
    <w:p w14:paraId="5083856E" w14:textId="77777777" w:rsidR="00F64776" w:rsidRDefault="00F64776" w:rsidP="00F64776">
      <w:pPr>
        <w:pStyle w:val="TextoNormalCentrado"/>
      </w:pPr>
      <w:r>
        <w:t>ECLI:ES:TC:2023:569A</w:t>
      </w:r>
    </w:p>
    <w:p w14:paraId="61CF351D" w14:textId="6535802F" w:rsidR="00F64776" w:rsidRDefault="00F64776" w:rsidP="00F64776">
      <w:pPr>
        <w:pStyle w:val="TextoNormalCentrado"/>
      </w:pPr>
    </w:p>
    <w:p w14:paraId="5965C621" w14:textId="77777777" w:rsidR="00F64776" w:rsidRDefault="00F64776" w:rsidP="00F64776">
      <w:pPr>
        <w:pStyle w:val="SntesisDescriptiva"/>
      </w:pPr>
      <w:r>
        <w:t>Excms. Srs. doña Inmaculada Montalbán Huertas y doña Laura Díez Bueso.</w:t>
      </w:r>
    </w:p>
    <w:p w14:paraId="7820F5E1" w14:textId="2385A709" w:rsidR="00F64776" w:rsidRDefault="00F64776" w:rsidP="00F64776">
      <w:pPr>
        <w:pStyle w:val="SntesisDescriptiva"/>
      </w:pPr>
    </w:p>
    <w:p w14:paraId="05DB276E" w14:textId="77777777" w:rsidR="00F64776" w:rsidRDefault="00F64776" w:rsidP="00F64776">
      <w:pPr>
        <w:pStyle w:val="SntesisDescriptiva"/>
      </w:pPr>
      <w:r>
        <w:t>Acepta una abstención en el recurso de amparo 8095-2022, promovido en proceso contencioso-administrativo.</w:t>
      </w:r>
    </w:p>
    <w:p w14:paraId="414EB17B" w14:textId="02FB82F2" w:rsidR="00F64776" w:rsidRDefault="00F64776" w:rsidP="00F64776">
      <w:pPr>
        <w:pStyle w:val="SntesisDescriptiva"/>
      </w:pPr>
    </w:p>
    <w:p w14:paraId="456C3BED" w14:textId="77777777" w:rsidR="00F64776" w:rsidRDefault="00F64776" w:rsidP="00F64776">
      <w:pPr>
        <w:pStyle w:val="SntesisDescriptiva"/>
      </w:pPr>
    </w:p>
    <w:p w14:paraId="16BE1483" w14:textId="77777777" w:rsidR="00F64776" w:rsidRDefault="00F64776" w:rsidP="00F64776">
      <w:pPr>
        <w:pStyle w:val="SntesisDescriptiva"/>
      </w:pPr>
    </w:p>
    <w:p w14:paraId="6D555165" w14:textId="77777777" w:rsidR="00F64776" w:rsidRDefault="00F64776" w:rsidP="00F64776">
      <w:pPr>
        <w:pStyle w:val="TextoNormalNegritaCentrado"/>
      </w:pPr>
      <w:r>
        <w:t>AUTO</w:t>
      </w:r>
    </w:p>
    <w:p w14:paraId="7D6B4F82" w14:textId="18D638FF" w:rsidR="00F64776" w:rsidRDefault="00F64776" w:rsidP="00F64776">
      <w:pPr>
        <w:pStyle w:val="TextoNormalNegritaCentrado"/>
      </w:pPr>
    </w:p>
    <w:p w14:paraId="39062B87" w14:textId="77777777" w:rsidR="00F64776" w:rsidRDefault="00F64776" w:rsidP="00F64776">
      <w:pPr>
        <w:pStyle w:val="TextoNormalNegritaCentrado"/>
        <w:keepNext/>
      </w:pPr>
      <w:r>
        <w:t>I. Antecedentes</w:t>
      </w:r>
    </w:p>
    <w:p w14:paraId="5F64464D" w14:textId="24E9D110" w:rsidR="00F64776" w:rsidRDefault="00F64776" w:rsidP="00F64776">
      <w:pPr>
        <w:pStyle w:val="TextoNormalNegritaCentrado"/>
        <w:keepNext/>
      </w:pPr>
    </w:p>
    <w:p w14:paraId="57495580" w14:textId="5240D23D" w:rsidR="00F64776" w:rsidRDefault="00F64776" w:rsidP="00F64776">
      <w:pPr>
        <w:pStyle w:val="TextoNormal"/>
      </w:pPr>
      <w:r w:rsidRPr="00F64776">
        <w:rPr>
          <w:rStyle w:val="NumeroAFNegritaCaracter"/>
        </w:rPr>
        <w:t>1</w:t>
      </w:r>
      <w:r>
        <w:t>. Mediante escrito registrado en este tribunal el 5 de diciembre de 2022, la procuradora de los tribunales doña Mónica de la Paloma Fuente Delgado, en nombre y representación de doña Yhinna Alejandra García Peña y otros y bajo la dirección del letrado don Mario Fernández García, formuló demanda de amparo contra la providencia de la Sección Primera de la Sala de lo Contencioso-Administrativo del Tribunal Supremo, en recurso de casación núm. 3695-2022.</w:t>
      </w:r>
    </w:p>
    <w:p w14:paraId="52374A7C" w14:textId="77777777" w:rsidR="00F64776" w:rsidRDefault="00F64776" w:rsidP="00F64776">
      <w:pPr>
        <w:pStyle w:val="TextoNormal"/>
      </w:pPr>
    </w:p>
    <w:p w14:paraId="34B3E93E" w14:textId="4446A32B" w:rsidR="00F64776" w:rsidRDefault="00F64776" w:rsidP="00F64776">
      <w:pPr>
        <w:pStyle w:val="TextoNormal"/>
      </w:pPr>
      <w:r w:rsidRPr="00F64776">
        <w:rPr>
          <w:rStyle w:val="NumeroAFNegritaCaracter"/>
        </w:rPr>
        <w:t>2</w:t>
      </w:r>
      <w:r>
        <w:t>. Por escrito de 26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2C1E4567" w14:textId="77777777" w:rsidR="00F64776" w:rsidRDefault="00F64776" w:rsidP="00F64776">
      <w:pPr>
        <w:pStyle w:val="TextoNormal"/>
      </w:pPr>
    </w:p>
    <w:p w14:paraId="569F701B" w14:textId="77777777" w:rsidR="00F64776" w:rsidRDefault="00F64776" w:rsidP="00F64776">
      <w:pPr>
        <w:pStyle w:val="TextoNormalNegritaCentrado"/>
        <w:keepNext/>
      </w:pPr>
      <w:r>
        <w:t>II. Fundamentos jurídicos</w:t>
      </w:r>
    </w:p>
    <w:p w14:paraId="1EF9A6E0" w14:textId="6A83A009" w:rsidR="00F64776" w:rsidRDefault="00F64776" w:rsidP="00F64776">
      <w:pPr>
        <w:pStyle w:val="TextoNormalNegritaCentrado"/>
        <w:keepNext/>
      </w:pPr>
    </w:p>
    <w:p w14:paraId="097D005D" w14:textId="22D361C2"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73890CCA" w14:textId="77777777" w:rsidR="00F64776" w:rsidRDefault="00F64776" w:rsidP="00F64776">
      <w:pPr>
        <w:pStyle w:val="TextoNormal"/>
      </w:pPr>
    </w:p>
    <w:p w14:paraId="18EC876F" w14:textId="77777777" w:rsidR="00F64776" w:rsidRDefault="00F64776" w:rsidP="00F64776">
      <w:pPr>
        <w:pStyle w:val="TextoNormal"/>
      </w:pPr>
      <w:r>
        <w:t>Por lo expuesto, la Sección</w:t>
      </w:r>
    </w:p>
    <w:p w14:paraId="3F1F82C6" w14:textId="36E8B820" w:rsidR="00F64776" w:rsidRDefault="00F64776" w:rsidP="00F64776">
      <w:pPr>
        <w:pStyle w:val="TextoNormal"/>
      </w:pPr>
    </w:p>
    <w:p w14:paraId="3576CD69" w14:textId="77777777" w:rsidR="00F64776" w:rsidRDefault="00F64776" w:rsidP="00F64776">
      <w:pPr>
        <w:pStyle w:val="TextoNormalCentrado"/>
      </w:pPr>
      <w:r>
        <w:t>ACUERDA</w:t>
      </w:r>
    </w:p>
    <w:p w14:paraId="23D181EE" w14:textId="377242BB" w:rsidR="00F64776" w:rsidRDefault="00F64776" w:rsidP="00F64776">
      <w:pPr>
        <w:pStyle w:val="TextoNormalCentrado"/>
      </w:pPr>
    </w:p>
    <w:p w14:paraId="7E0FF375" w14:textId="44FBD9BF" w:rsidR="00F64776" w:rsidRDefault="00F64776" w:rsidP="00F64776">
      <w:pPr>
        <w:pStyle w:val="TextoNormal"/>
      </w:pPr>
      <w:r>
        <w:t>Estimar justificada la abstención formulada por el magistrado don César Tolosa Tribiño en el recurso de amparo núm. 8095-2022 y apartarle definitivamente del conocimiento del referido recurso y de todas sus incidencias.</w:t>
      </w:r>
    </w:p>
    <w:p w14:paraId="21CC9035" w14:textId="77777777" w:rsidR="00F64776" w:rsidRDefault="00F64776" w:rsidP="00F64776">
      <w:pPr>
        <w:pStyle w:val="TextoNormal"/>
      </w:pPr>
    </w:p>
    <w:p w14:paraId="5B793886" w14:textId="77777777" w:rsidR="00F64776" w:rsidRDefault="00F64776" w:rsidP="00F64776">
      <w:pPr>
        <w:pStyle w:val="TextoNormal"/>
      </w:pPr>
      <w:r>
        <w:t>Madrid, a trece de noviembre de dos mil veintitrés.</w:t>
      </w:r>
    </w:p>
    <w:p w14:paraId="74461316" w14:textId="3F57258F" w:rsidR="00F64776" w:rsidRDefault="00F64776">
      <w:pPr>
        <w:spacing w:after="160" w:line="278" w:lineRule="auto"/>
        <w:rPr>
          <w:rFonts w:ascii="Times New Roman" w:eastAsia="Times New Roman" w:hAnsi="Times New Roman" w:cs="Times New Roman"/>
          <w:sz w:val="24"/>
          <w:szCs w:val="24"/>
          <w:lang w:eastAsia="es-ES"/>
        </w:rPr>
      </w:pPr>
      <w:r>
        <w:br w:type="page"/>
      </w:r>
    </w:p>
    <w:p w14:paraId="531BB090" w14:textId="77777777" w:rsidR="00F64776" w:rsidRDefault="00F64776" w:rsidP="00F64776">
      <w:pPr>
        <w:pStyle w:val="TtuloResolucin"/>
      </w:pPr>
      <w:bookmarkStart w:id="355" w:name="AUTO_2023_570"/>
      <w:r>
        <w:t>AUTO 570/2023, de 13 de noviembre de 2023</w:t>
      </w:r>
    </w:p>
    <w:bookmarkEnd w:id="355"/>
    <w:p w14:paraId="2DD39EA9" w14:textId="77777777" w:rsidR="00F64776" w:rsidRDefault="00F64776" w:rsidP="00F64776">
      <w:pPr>
        <w:pStyle w:val="TtuloResolucin"/>
      </w:pPr>
      <w:r>
        <w:t>Sección Tercera</w:t>
      </w:r>
    </w:p>
    <w:p w14:paraId="566D290B" w14:textId="77777777" w:rsidR="00F64776" w:rsidRDefault="00F64776" w:rsidP="00F64776">
      <w:pPr>
        <w:pStyle w:val="TextoNormalCentrado"/>
      </w:pPr>
      <w:r>
        <w:t>ECLI:ES:TC:2023:570A</w:t>
      </w:r>
    </w:p>
    <w:p w14:paraId="36DA6B3C" w14:textId="7450AF97" w:rsidR="00F64776" w:rsidRDefault="00F64776" w:rsidP="00F64776">
      <w:pPr>
        <w:pStyle w:val="TextoNormalCentrado"/>
      </w:pPr>
    </w:p>
    <w:p w14:paraId="29A9F702" w14:textId="77777777" w:rsidR="00F64776" w:rsidRDefault="00F64776" w:rsidP="00F64776">
      <w:pPr>
        <w:pStyle w:val="SntesisDescriptiva"/>
      </w:pPr>
      <w:r>
        <w:t>Excms. Srs. doña Inmaculada Montalbán Huertas y doña Laura Díez Bueso.</w:t>
      </w:r>
    </w:p>
    <w:p w14:paraId="42722CB4" w14:textId="3129BFA5" w:rsidR="00F64776" w:rsidRDefault="00F64776" w:rsidP="00F64776">
      <w:pPr>
        <w:pStyle w:val="SntesisDescriptiva"/>
      </w:pPr>
    </w:p>
    <w:p w14:paraId="5D14E23D" w14:textId="77777777" w:rsidR="00F64776" w:rsidRDefault="00F64776" w:rsidP="00F64776">
      <w:pPr>
        <w:pStyle w:val="SntesisDescriptiva"/>
      </w:pPr>
      <w:r>
        <w:t>Acepta una abstención en el recurso de amparo 2398-2023, promovido en proceso contencioso-administrativo.</w:t>
      </w:r>
    </w:p>
    <w:p w14:paraId="1743C617" w14:textId="1E1314E2" w:rsidR="00F64776" w:rsidRDefault="00F64776" w:rsidP="00F64776">
      <w:pPr>
        <w:pStyle w:val="SntesisDescriptiva"/>
      </w:pPr>
    </w:p>
    <w:p w14:paraId="56C66999" w14:textId="77777777" w:rsidR="00F64776" w:rsidRDefault="00F64776" w:rsidP="00F64776">
      <w:pPr>
        <w:pStyle w:val="SntesisDescriptiva"/>
      </w:pPr>
    </w:p>
    <w:p w14:paraId="3CF365E3" w14:textId="77777777" w:rsidR="00F64776" w:rsidRDefault="00F64776" w:rsidP="00F64776">
      <w:pPr>
        <w:pStyle w:val="SntesisDescriptiva"/>
      </w:pPr>
    </w:p>
    <w:p w14:paraId="4DB02294" w14:textId="77777777" w:rsidR="00F64776" w:rsidRDefault="00F64776" w:rsidP="00F64776">
      <w:pPr>
        <w:pStyle w:val="TextoNormalNegritaCentrado"/>
      </w:pPr>
      <w:r>
        <w:t>AUTO</w:t>
      </w:r>
    </w:p>
    <w:p w14:paraId="4E21AA56" w14:textId="7C907A48" w:rsidR="00F64776" w:rsidRDefault="00F64776" w:rsidP="00F64776">
      <w:pPr>
        <w:pStyle w:val="TextoNormalNegritaCentrado"/>
      </w:pPr>
    </w:p>
    <w:p w14:paraId="63FC0057" w14:textId="77777777" w:rsidR="00F64776" w:rsidRDefault="00F64776" w:rsidP="00F64776">
      <w:pPr>
        <w:pStyle w:val="TextoNormalNegritaCentrado"/>
        <w:keepNext/>
      </w:pPr>
      <w:r>
        <w:t>I. Antecedentes</w:t>
      </w:r>
    </w:p>
    <w:p w14:paraId="6EC8AD94" w14:textId="23B7F9EF" w:rsidR="00F64776" w:rsidRDefault="00F64776" w:rsidP="00F64776">
      <w:pPr>
        <w:pStyle w:val="TextoNormalNegritaCentrado"/>
        <w:keepNext/>
      </w:pPr>
    </w:p>
    <w:p w14:paraId="1987E640" w14:textId="3C9F5F28" w:rsidR="00F64776" w:rsidRDefault="00F64776" w:rsidP="00F64776">
      <w:pPr>
        <w:pStyle w:val="TextoNormal"/>
      </w:pPr>
      <w:r w:rsidRPr="00F64776">
        <w:rPr>
          <w:rStyle w:val="NumeroAFNegritaCaracter"/>
        </w:rPr>
        <w:t>1</w:t>
      </w:r>
      <w:r>
        <w:t>. Mediante escrito registrado en este tribunal el 11 de abril de 2023, la procuradora de los tribunales doña María del Pilar Morellón Usón, en nombre y representación de don Manuel Álvarez Álvarez y otros y bajo la dirección del letrado don Manuel Gutiérrez Morales-Vara de Rey, formuló demanda de amparo contra la providencia de 30 de noviembre de 2022 dictada por la Sala de lo Contencioso Administrativo Sección Primera, en el recurso de casación núm. 2286-2022.</w:t>
      </w:r>
    </w:p>
    <w:p w14:paraId="5E09370C" w14:textId="77777777" w:rsidR="00F64776" w:rsidRDefault="00F64776" w:rsidP="00F64776">
      <w:pPr>
        <w:pStyle w:val="TextoNormal"/>
      </w:pPr>
    </w:p>
    <w:p w14:paraId="4A9993E7" w14:textId="28220AAB" w:rsidR="00F64776" w:rsidRDefault="00F64776" w:rsidP="00F64776">
      <w:pPr>
        <w:pStyle w:val="TextoNormal"/>
      </w:pPr>
      <w:r w:rsidRPr="00F64776">
        <w:rPr>
          <w:rStyle w:val="NumeroAFNegritaCaracter"/>
        </w:rPr>
        <w:t>2</w:t>
      </w:r>
      <w:r>
        <w:t>. Por escrito de 26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44E4F014" w14:textId="77777777" w:rsidR="00F64776" w:rsidRDefault="00F64776" w:rsidP="00F64776">
      <w:pPr>
        <w:pStyle w:val="TextoNormal"/>
      </w:pPr>
    </w:p>
    <w:p w14:paraId="52F398AB" w14:textId="77777777" w:rsidR="00F64776" w:rsidRDefault="00F64776" w:rsidP="00F64776">
      <w:pPr>
        <w:pStyle w:val="TextoNormalNegritaCentrado"/>
        <w:keepNext/>
      </w:pPr>
      <w:r>
        <w:t>II. Fundamentos jurídicos</w:t>
      </w:r>
    </w:p>
    <w:p w14:paraId="7929A942" w14:textId="4E4F4AC0" w:rsidR="00F64776" w:rsidRDefault="00F64776" w:rsidP="00F64776">
      <w:pPr>
        <w:pStyle w:val="TextoNormalNegritaCentrado"/>
        <w:keepNext/>
      </w:pPr>
    </w:p>
    <w:p w14:paraId="7227F9A0" w14:textId="5B4F8FB7"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115710E8" w14:textId="77777777" w:rsidR="00F64776" w:rsidRDefault="00F64776" w:rsidP="00F64776">
      <w:pPr>
        <w:pStyle w:val="TextoNormal"/>
      </w:pPr>
    </w:p>
    <w:p w14:paraId="5AB37007" w14:textId="77777777" w:rsidR="00F64776" w:rsidRDefault="00F64776" w:rsidP="00F64776">
      <w:pPr>
        <w:pStyle w:val="TextoNormal"/>
      </w:pPr>
      <w:r>
        <w:t>Por lo expuesto, la Sección</w:t>
      </w:r>
    </w:p>
    <w:p w14:paraId="5EA787D5" w14:textId="5C12DCF4" w:rsidR="00F64776" w:rsidRDefault="00F64776" w:rsidP="00F64776">
      <w:pPr>
        <w:pStyle w:val="TextoNormal"/>
      </w:pPr>
    </w:p>
    <w:p w14:paraId="22255EEE" w14:textId="77777777" w:rsidR="00F64776" w:rsidRDefault="00F64776" w:rsidP="00F64776">
      <w:pPr>
        <w:pStyle w:val="TextoNormalCentrado"/>
      </w:pPr>
      <w:r>
        <w:t>ACUERDA</w:t>
      </w:r>
    </w:p>
    <w:p w14:paraId="3DA846F2" w14:textId="7BB677F8" w:rsidR="00F64776" w:rsidRDefault="00F64776" w:rsidP="00F64776">
      <w:pPr>
        <w:pStyle w:val="TextoNormalCentrado"/>
      </w:pPr>
    </w:p>
    <w:p w14:paraId="4F4EB3C9" w14:textId="1954040F" w:rsidR="00F64776" w:rsidRDefault="00F64776" w:rsidP="00F64776">
      <w:pPr>
        <w:pStyle w:val="TextoNormal"/>
      </w:pPr>
      <w:r>
        <w:t>Estimar justificada la abstención formulada por el magistrado don César Tolosa Tribiño en el recurso de amparo núm. 2398-2023 y apartarle definitivamente del conocimiento del referido recurso y de todas sus incidencias.</w:t>
      </w:r>
    </w:p>
    <w:p w14:paraId="0D39067D" w14:textId="77777777" w:rsidR="00F64776" w:rsidRDefault="00F64776" w:rsidP="00F64776">
      <w:pPr>
        <w:pStyle w:val="TextoNormal"/>
      </w:pPr>
    </w:p>
    <w:p w14:paraId="0EBFCD62" w14:textId="77777777" w:rsidR="00F64776" w:rsidRDefault="00F64776" w:rsidP="00F64776">
      <w:pPr>
        <w:pStyle w:val="TextoNormal"/>
      </w:pPr>
      <w:r>
        <w:t>Madrid, a trece de noviembre de dos mil veintitrés.</w:t>
      </w:r>
    </w:p>
    <w:p w14:paraId="278E9277" w14:textId="23959DCC" w:rsidR="00F64776" w:rsidRDefault="00F64776">
      <w:pPr>
        <w:spacing w:after="160" w:line="278" w:lineRule="auto"/>
        <w:rPr>
          <w:rFonts w:ascii="Times New Roman" w:eastAsia="Times New Roman" w:hAnsi="Times New Roman" w:cs="Times New Roman"/>
          <w:sz w:val="24"/>
          <w:szCs w:val="24"/>
          <w:lang w:eastAsia="es-ES"/>
        </w:rPr>
      </w:pPr>
      <w:r>
        <w:br w:type="page"/>
      </w:r>
    </w:p>
    <w:p w14:paraId="3203DF25" w14:textId="77777777" w:rsidR="00F64776" w:rsidRDefault="00F64776" w:rsidP="00F64776">
      <w:pPr>
        <w:pStyle w:val="TtuloResolucin"/>
      </w:pPr>
      <w:bookmarkStart w:id="356" w:name="AUTO_2023_571"/>
      <w:r>
        <w:t>AUTO 571/2023, de 13 de noviembre de 2023</w:t>
      </w:r>
    </w:p>
    <w:bookmarkEnd w:id="356"/>
    <w:p w14:paraId="2A0B09E0" w14:textId="77777777" w:rsidR="00F64776" w:rsidRDefault="00F64776" w:rsidP="00F64776">
      <w:pPr>
        <w:pStyle w:val="TtuloResolucin"/>
      </w:pPr>
      <w:r>
        <w:t>Sección Tercera</w:t>
      </w:r>
    </w:p>
    <w:p w14:paraId="34C32978" w14:textId="77777777" w:rsidR="00F64776" w:rsidRDefault="00F64776" w:rsidP="00F64776">
      <w:pPr>
        <w:pStyle w:val="TextoNormalCentrado"/>
      </w:pPr>
      <w:r>
        <w:t>ECLI:ES:TC:2023:571A</w:t>
      </w:r>
    </w:p>
    <w:p w14:paraId="3ADBA56B" w14:textId="1765BAFD" w:rsidR="00F64776" w:rsidRDefault="00F64776" w:rsidP="00F64776">
      <w:pPr>
        <w:pStyle w:val="TextoNormalCentrado"/>
      </w:pPr>
    </w:p>
    <w:p w14:paraId="706ACCB5" w14:textId="77777777" w:rsidR="00F64776" w:rsidRDefault="00F64776" w:rsidP="00F64776">
      <w:pPr>
        <w:pStyle w:val="SntesisDescriptiva"/>
      </w:pPr>
      <w:r>
        <w:t>Excms. Srs. doña Inmaculada Montalbán Huertas y doña Laura Díez Bueso.</w:t>
      </w:r>
    </w:p>
    <w:p w14:paraId="15FC5D60" w14:textId="0D96E20D" w:rsidR="00F64776" w:rsidRDefault="00F64776" w:rsidP="00F64776">
      <w:pPr>
        <w:pStyle w:val="SntesisDescriptiva"/>
      </w:pPr>
    </w:p>
    <w:p w14:paraId="32126E64" w14:textId="77777777" w:rsidR="00F64776" w:rsidRDefault="00F64776" w:rsidP="00F64776">
      <w:pPr>
        <w:pStyle w:val="SntesisDescriptiva"/>
      </w:pPr>
      <w:r>
        <w:t>Acepta una abstención en el recurso de amparo 2976-2023, promovido en proceso contencioso-administrativo.</w:t>
      </w:r>
    </w:p>
    <w:p w14:paraId="03E2A5DA" w14:textId="29014DCD" w:rsidR="00F64776" w:rsidRDefault="00F64776" w:rsidP="00F64776">
      <w:pPr>
        <w:pStyle w:val="SntesisDescriptiva"/>
      </w:pPr>
    </w:p>
    <w:p w14:paraId="11C254E5" w14:textId="77777777" w:rsidR="00F64776" w:rsidRDefault="00F64776" w:rsidP="00F64776">
      <w:pPr>
        <w:pStyle w:val="SntesisDescriptiva"/>
      </w:pPr>
    </w:p>
    <w:p w14:paraId="0B007E95" w14:textId="77777777" w:rsidR="00F64776" w:rsidRDefault="00F64776" w:rsidP="00F64776">
      <w:pPr>
        <w:pStyle w:val="SntesisDescriptiva"/>
      </w:pPr>
    </w:p>
    <w:p w14:paraId="4C920A39" w14:textId="77777777" w:rsidR="00F64776" w:rsidRDefault="00F64776" w:rsidP="00F64776">
      <w:pPr>
        <w:pStyle w:val="TextoNormalNegritaCentrado"/>
      </w:pPr>
      <w:r>
        <w:t>AUTO</w:t>
      </w:r>
    </w:p>
    <w:p w14:paraId="73FD63C6" w14:textId="5AE98B4E" w:rsidR="00F64776" w:rsidRDefault="00F64776" w:rsidP="00F64776">
      <w:pPr>
        <w:pStyle w:val="TextoNormalNegritaCentrado"/>
      </w:pPr>
    </w:p>
    <w:p w14:paraId="290DFFCE" w14:textId="77777777" w:rsidR="00F64776" w:rsidRDefault="00F64776" w:rsidP="00F64776">
      <w:pPr>
        <w:pStyle w:val="TextoNormalNegritaCentrado"/>
        <w:keepNext/>
      </w:pPr>
      <w:r>
        <w:t>I. Antecedentes</w:t>
      </w:r>
    </w:p>
    <w:p w14:paraId="362AAE9A" w14:textId="1E79285B" w:rsidR="00F64776" w:rsidRDefault="00F64776" w:rsidP="00F64776">
      <w:pPr>
        <w:pStyle w:val="TextoNormalNegritaCentrado"/>
        <w:keepNext/>
      </w:pPr>
    </w:p>
    <w:p w14:paraId="25C5A362" w14:textId="34275834" w:rsidR="00F64776" w:rsidRDefault="00F64776" w:rsidP="00F64776">
      <w:pPr>
        <w:pStyle w:val="TextoNormal"/>
      </w:pPr>
      <w:r w:rsidRPr="00F64776">
        <w:rPr>
          <w:rStyle w:val="NumeroAFNegritaCaracter"/>
        </w:rPr>
        <w:t>1</w:t>
      </w:r>
      <w:r>
        <w:t>. Mediante escrito registrado en este tribunal el 8 de mayo de 2023, el procurador de los tribunales don Argimiro Vázquez Guillén, en nombre y representación de don Carlos Pérez Quintanilla y bajo la dirección del letrado don José Luis Pena Fernández, formuló demanda de amparo contra el auto de 20 de octubre de 2022 de la Sección Primera de la Sala de lo Contencioso-Administrativo del Tribunal Supremo, en recurso de casación núm. 5089-2021.</w:t>
      </w:r>
    </w:p>
    <w:p w14:paraId="2946DED2" w14:textId="77777777" w:rsidR="00F64776" w:rsidRDefault="00F64776" w:rsidP="00F64776">
      <w:pPr>
        <w:pStyle w:val="TextoNormal"/>
      </w:pPr>
    </w:p>
    <w:p w14:paraId="6AF5FAC1" w14:textId="48AB0DAA" w:rsidR="00F64776" w:rsidRDefault="00F64776" w:rsidP="00F64776">
      <w:pPr>
        <w:pStyle w:val="TextoNormal"/>
      </w:pPr>
      <w:r w:rsidRPr="00F64776">
        <w:rPr>
          <w:rStyle w:val="NumeroAFNegritaCaracter"/>
        </w:rPr>
        <w:t>2</w:t>
      </w:r>
      <w:r>
        <w:t>. Por escrito de 5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323C9BC6" w14:textId="77777777" w:rsidR="00F64776" w:rsidRDefault="00F64776" w:rsidP="00F64776">
      <w:pPr>
        <w:pStyle w:val="TextoNormal"/>
      </w:pPr>
    </w:p>
    <w:p w14:paraId="02E4EF07" w14:textId="77777777" w:rsidR="00F64776" w:rsidRDefault="00F64776" w:rsidP="00F64776">
      <w:pPr>
        <w:pStyle w:val="TextoNormalNegritaCentrado"/>
        <w:keepNext/>
      </w:pPr>
      <w:r>
        <w:t>II. Fundamentos jurídicos</w:t>
      </w:r>
    </w:p>
    <w:p w14:paraId="1B06C1C8" w14:textId="6D44C921" w:rsidR="00F64776" w:rsidRDefault="00F64776" w:rsidP="00F64776">
      <w:pPr>
        <w:pStyle w:val="TextoNormalNegritaCentrado"/>
        <w:keepNext/>
      </w:pPr>
    </w:p>
    <w:p w14:paraId="6AE63A2E" w14:textId="12F6DF69"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3565242F" w14:textId="77777777" w:rsidR="00F64776" w:rsidRDefault="00F64776" w:rsidP="00F64776">
      <w:pPr>
        <w:pStyle w:val="TextoNormal"/>
      </w:pPr>
    </w:p>
    <w:p w14:paraId="7AC69310" w14:textId="77777777" w:rsidR="00F64776" w:rsidRDefault="00F64776" w:rsidP="00F64776">
      <w:pPr>
        <w:pStyle w:val="TextoNormal"/>
      </w:pPr>
      <w:r>
        <w:t>Por lo expuesto, la Sección</w:t>
      </w:r>
    </w:p>
    <w:p w14:paraId="5730F258" w14:textId="0BCE0C9D" w:rsidR="00F64776" w:rsidRDefault="00F64776" w:rsidP="00F64776">
      <w:pPr>
        <w:pStyle w:val="TextoNormal"/>
      </w:pPr>
    </w:p>
    <w:p w14:paraId="7BD983E0" w14:textId="77777777" w:rsidR="00F64776" w:rsidRDefault="00F64776" w:rsidP="00F64776">
      <w:pPr>
        <w:pStyle w:val="TextoNormalCentrado"/>
      </w:pPr>
      <w:r>
        <w:t>ACUERDA</w:t>
      </w:r>
    </w:p>
    <w:p w14:paraId="6BFD31AC" w14:textId="6B677AA9" w:rsidR="00F64776" w:rsidRDefault="00F64776" w:rsidP="00F64776">
      <w:pPr>
        <w:pStyle w:val="TextoNormalCentrado"/>
      </w:pPr>
    </w:p>
    <w:p w14:paraId="711D35A7" w14:textId="08A02B54" w:rsidR="00F64776" w:rsidRDefault="00F64776" w:rsidP="00F64776">
      <w:pPr>
        <w:pStyle w:val="TextoNormal"/>
      </w:pPr>
      <w:r>
        <w:t>Estimar justificada la abstención formulada por el magistrado don César Tolosa Tribiño en el recurso de amparo núm. 2976-2023 y apartarle definitivamente del conocimiento del referido recurso y de todas sus incidencias.</w:t>
      </w:r>
    </w:p>
    <w:p w14:paraId="4C57C55D" w14:textId="77777777" w:rsidR="00F64776" w:rsidRDefault="00F64776" w:rsidP="00F64776">
      <w:pPr>
        <w:pStyle w:val="TextoNormal"/>
      </w:pPr>
    </w:p>
    <w:p w14:paraId="2BA4C7FD" w14:textId="77777777" w:rsidR="00F64776" w:rsidRDefault="00F64776" w:rsidP="00F64776">
      <w:pPr>
        <w:pStyle w:val="TextoNormal"/>
      </w:pPr>
      <w:r>
        <w:t>Madrid, a trece de noviembre de dos mil veintitrés.</w:t>
      </w:r>
    </w:p>
    <w:p w14:paraId="68E0788B" w14:textId="067D4F08" w:rsidR="00F64776" w:rsidRDefault="00F64776">
      <w:pPr>
        <w:spacing w:after="160" w:line="278" w:lineRule="auto"/>
        <w:rPr>
          <w:rFonts w:ascii="Times New Roman" w:eastAsia="Times New Roman" w:hAnsi="Times New Roman" w:cs="Times New Roman"/>
          <w:sz w:val="24"/>
          <w:szCs w:val="24"/>
          <w:lang w:eastAsia="es-ES"/>
        </w:rPr>
      </w:pPr>
      <w:r>
        <w:br w:type="page"/>
      </w:r>
    </w:p>
    <w:p w14:paraId="550922CD" w14:textId="77777777" w:rsidR="00F64776" w:rsidRDefault="00F64776" w:rsidP="00F64776">
      <w:pPr>
        <w:pStyle w:val="TtuloResolucin"/>
      </w:pPr>
      <w:bookmarkStart w:id="357" w:name="AUTO_2023_572"/>
      <w:r>
        <w:t>AUTO 572/2023, de 13 de noviembre de 2023</w:t>
      </w:r>
    </w:p>
    <w:bookmarkEnd w:id="357"/>
    <w:p w14:paraId="7F05D789" w14:textId="77777777" w:rsidR="00F64776" w:rsidRDefault="00F64776" w:rsidP="00F64776">
      <w:pPr>
        <w:pStyle w:val="TtuloResolucin"/>
      </w:pPr>
      <w:r>
        <w:t>Sección Tercera</w:t>
      </w:r>
    </w:p>
    <w:p w14:paraId="15E1427A" w14:textId="77777777" w:rsidR="00F64776" w:rsidRDefault="00F64776" w:rsidP="00F64776">
      <w:pPr>
        <w:pStyle w:val="TextoNormalCentrado"/>
      </w:pPr>
      <w:r>
        <w:t>ECLI:ES:TC:2023:572A</w:t>
      </w:r>
    </w:p>
    <w:p w14:paraId="66D763E3" w14:textId="701FFAB1" w:rsidR="00F64776" w:rsidRDefault="00F64776" w:rsidP="00F64776">
      <w:pPr>
        <w:pStyle w:val="TextoNormalCentrado"/>
      </w:pPr>
    </w:p>
    <w:p w14:paraId="1C59D228" w14:textId="77777777" w:rsidR="00F64776" w:rsidRDefault="00F64776" w:rsidP="00F64776">
      <w:pPr>
        <w:pStyle w:val="SntesisDescriptiva"/>
      </w:pPr>
      <w:r>
        <w:t>Excms. Srs. doña Inmaculada Montalbán Huertas y doña Laura Díez Bueso.</w:t>
      </w:r>
    </w:p>
    <w:p w14:paraId="771E70BB" w14:textId="65D7A174" w:rsidR="00F64776" w:rsidRDefault="00F64776" w:rsidP="00F64776">
      <w:pPr>
        <w:pStyle w:val="SntesisDescriptiva"/>
      </w:pPr>
    </w:p>
    <w:p w14:paraId="00853CA9" w14:textId="77777777" w:rsidR="00F64776" w:rsidRDefault="00F64776" w:rsidP="00F64776">
      <w:pPr>
        <w:pStyle w:val="SntesisDescriptiva"/>
      </w:pPr>
      <w:r>
        <w:t>Acepta una abstención en el recurso de amparo 3868-2023, promovido en proceso contencioso-administrativo.</w:t>
      </w:r>
    </w:p>
    <w:p w14:paraId="36FBFC99" w14:textId="7C1659F0" w:rsidR="00F64776" w:rsidRDefault="00F64776" w:rsidP="00F64776">
      <w:pPr>
        <w:pStyle w:val="SntesisDescriptiva"/>
      </w:pPr>
    </w:p>
    <w:p w14:paraId="24BF5E39" w14:textId="77777777" w:rsidR="00F64776" w:rsidRDefault="00F64776" w:rsidP="00F64776">
      <w:pPr>
        <w:pStyle w:val="SntesisDescriptiva"/>
      </w:pPr>
    </w:p>
    <w:p w14:paraId="6278C933" w14:textId="77777777" w:rsidR="00F64776" w:rsidRDefault="00F64776" w:rsidP="00F64776">
      <w:pPr>
        <w:pStyle w:val="SntesisDescriptiva"/>
      </w:pPr>
    </w:p>
    <w:p w14:paraId="0BA26349" w14:textId="77777777" w:rsidR="00F64776" w:rsidRDefault="00F64776" w:rsidP="00F64776">
      <w:pPr>
        <w:pStyle w:val="TextoNormalNegritaCentrado"/>
      </w:pPr>
      <w:r>
        <w:t>AUTO</w:t>
      </w:r>
    </w:p>
    <w:p w14:paraId="5B9E50BB" w14:textId="638BF77D" w:rsidR="00F64776" w:rsidRDefault="00F64776" w:rsidP="00F64776">
      <w:pPr>
        <w:pStyle w:val="TextoNormalNegritaCentrado"/>
      </w:pPr>
    </w:p>
    <w:p w14:paraId="0303D5EF" w14:textId="77777777" w:rsidR="00F64776" w:rsidRDefault="00F64776" w:rsidP="00F64776">
      <w:pPr>
        <w:pStyle w:val="TextoNormalNegritaCentrado"/>
        <w:keepNext/>
      </w:pPr>
      <w:r>
        <w:t>I. Antecedentes</w:t>
      </w:r>
    </w:p>
    <w:p w14:paraId="29BA228C" w14:textId="64CC0C61" w:rsidR="00F64776" w:rsidRDefault="00F64776" w:rsidP="00F64776">
      <w:pPr>
        <w:pStyle w:val="TextoNormalNegritaCentrado"/>
        <w:keepNext/>
      </w:pPr>
    </w:p>
    <w:p w14:paraId="4DD769DE" w14:textId="50120E8F" w:rsidR="00F64776" w:rsidRDefault="00F64776" w:rsidP="00F64776">
      <w:pPr>
        <w:pStyle w:val="TextoNormal"/>
      </w:pPr>
      <w:r w:rsidRPr="00F64776">
        <w:rPr>
          <w:rStyle w:val="NumeroAFNegritaCaracter"/>
        </w:rPr>
        <w:t>1</w:t>
      </w:r>
      <w:r>
        <w:t>. Mediante escrito registrado en este tribunal el 7 de junio de 2023, la procuradora de los tribunales doña Gloria Santísima Trinidad Navarro Rodríguez, en nombre y representación de doña María Engracia Álvarez Maqueda y bajo la dirección del letrado don Luis Carlos Albo Aguirre, formuló demanda de amparo contra las providencias de la Sección Primera de la Sala de lo Contencioso-Administrativo del Tribunal Supremo, en recurso de casación núm. 5029-2022.</w:t>
      </w:r>
    </w:p>
    <w:p w14:paraId="2FE2D49E" w14:textId="77777777" w:rsidR="00F64776" w:rsidRDefault="00F64776" w:rsidP="00F64776">
      <w:pPr>
        <w:pStyle w:val="TextoNormal"/>
      </w:pPr>
    </w:p>
    <w:p w14:paraId="1F66104F" w14:textId="09BC92E4" w:rsidR="00F64776" w:rsidRDefault="00F64776" w:rsidP="00F64776">
      <w:pPr>
        <w:pStyle w:val="TextoNormal"/>
      </w:pPr>
      <w:r w:rsidRPr="00F64776">
        <w:rPr>
          <w:rStyle w:val="NumeroAFNegritaCaracter"/>
        </w:rPr>
        <w:t>2</w:t>
      </w:r>
      <w:r>
        <w:t>. Por escrito de 9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3D55CE34" w14:textId="77777777" w:rsidR="00F64776" w:rsidRDefault="00F64776" w:rsidP="00F64776">
      <w:pPr>
        <w:pStyle w:val="TextoNormal"/>
      </w:pPr>
    </w:p>
    <w:p w14:paraId="2BF17E1A" w14:textId="77777777" w:rsidR="00F64776" w:rsidRDefault="00F64776" w:rsidP="00F64776">
      <w:pPr>
        <w:pStyle w:val="TextoNormalNegritaCentrado"/>
        <w:keepNext/>
      </w:pPr>
      <w:r>
        <w:t>II. Fundamentos jurídicos</w:t>
      </w:r>
    </w:p>
    <w:p w14:paraId="34D710B8" w14:textId="39A938B6" w:rsidR="00F64776" w:rsidRDefault="00F64776" w:rsidP="00F64776">
      <w:pPr>
        <w:pStyle w:val="TextoNormalNegritaCentrado"/>
        <w:keepNext/>
      </w:pPr>
    </w:p>
    <w:p w14:paraId="385FCCFA" w14:textId="22CD5BD7"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7B0C88ED" w14:textId="77777777" w:rsidR="00F64776" w:rsidRDefault="00F64776" w:rsidP="00F64776">
      <w:pPr>
        <w:pStyle w:val="TextoNormal"/>
      </w:pPr>
    </w:p>
    <w:p w14:paraId="04276B31" w14:textId="77777777" w:rsidR="00F64776" w:rsidRDefault="00F64776" w:rsidP="00F64776">
      <w:pPr>
        <w:pStyle w:val="TextoNormal"/>
      </w:pPr>
      <w:r>
        <w:t>Por lo expuesto, la Sección</w:t>
      </w:r>
    </w:p>
    <w:p w14:paraId="02758FD5" w14:textId="731B94C6" w:rsidR="00F64776" w:rsidRDefault="00F64776" w:rsidP="00F64776">
      <w:pPr>
        <w:pStyle w:val="TextoNormal"/>
      </w:pPr>
    </w:p>
    <w:p w14:paraId="1653EE0F" w14:textId="77777777" w:rsidR="00F64776" w:rsidRDefault="00F64776" w:rsidP="00F64776">
      <w:pPr>
        <w:pStyle w:val="TextoNormalCentrado"/>
      </w:pPr>
      <w:r>
        <w:t>ACUERDA</w:t>
      </w:r>
    </w:p>
    <w:p w14:paraId="66F6F017" w14:textId="2A6596B9" w:rsidR="00F64776" w:rsidRDefault="00F64776" w:rsidP="00F64776">
      <w:pPr>
        <w:pStyle w:val="TextoNormalCentrado"/>
      </w:pPr>
    </w:p>
    <w:p w14:paraId="5DE92C2C" w14:textId="55507FCE" w:rsidR="00F64776" w:rsidRDefault="00F64776" w:rsidP="00F64776">
      <w:pPr>
        <w:pStyle w:val="TextoNormal"/>
      </w:pPr>
      <w:r>
        <w:t>Estimar justificada la abstención formulada por el magistrado don César Tolosa Tribiño en el recurso de amparo núm. 3868-2023 y apartarle definitivamente del conocimiento del referido recurso y de todas sus incidencias.</w:t>
      </w:r>
    </w:p>
    <w:p w14:paraId="247FD44E" w14:textId="77777777" w:rsidR="00F64776" w:rsidRDefault="00F64776" w:rsidP="00F64776">
      <w:pPr>
        <w:pStyle w:val="TextoNormal"/>
      </w:pPr>
    </w:p>
    <w:p w14:paraId="6FFC56EB" w14:textId="77777777" w:rsidR="00F64776" w:rsidRDefault="00F64776" w:rsidP="00F64776">
      <w:pPr>
        <w:pStyle w:val="TextoNormal"/>
      </w:pPr>
      <w:r>
        <w:t>Madrid, a trece de noviembre de dos mil veintitrés.</w:t>
      </w:r>
    </w:p>
    <w:p w14:paraId="04BC64AF" w14:textId="4A6F46F8" w:rsidR="00F64776" w:rsidRDefault="00F64776">
      <w:pPr>
        <w:spacing w:after="160" w:line="278" w:lineRule="auto"/>
        <w:rPr>
          <w:rFonts w:ascii="Times New Roman" w:eastAsia="Times New Roman" w:hAnsi="Times New Roman" w:cs="Times New Roman"/>
          <w:sz w:val="24"/>
          <w:szCs w:val="24"/>
          <w:lang w:eastAsia="es-ES"/>
        </w:rPr>
      </w:pPr>
      <w:r>
        <w:br w:type="page"/>
      </w:r>
    </w:p>
    <w:p w14:paraId="736F68DF" w14:textId="77777777" w:rsidR="00F64776" w:rsidRDefault="00F64776" w:rsidP="00F64776">
      <w:pPr>
        <w:pStyle w:val="TtuloResolucin"/>
      </w:pPr>
      <w:bookmarkStart w:id="358" w:name="AUTO_2023_573"/>
      <w:r>
        <w:t>AUTO 573/2023, de 13 de noviembre de 2023</w:t>
      </w:r>
    </w:p>
    <w:bookmarkEnd w:id="358"/>
    <w:p w14:paraId="6C06B72D" w14:textId="77777777" w:rsidR="00F64776" w:rsidRDefault="00F64776" w:rsidP="00F64776">
      <w:pPr>
        <w:pStyle w:val="TtuloResolucin"/>
      </w:pPr>
      <w:r>
        <w:t>Sección Tercera</w:t>
      </w:r>
    </w:p>
    <w:p w14:paraId="087873B3" w14:textId="77777777" w:rsidR="00F64776" w:rsidRDefault="00F64776" w:rsidP="00F64776">
      <w:pPr>
        <w:pStyle w:val="TextoNormalCentrado"/>
      </w:pPr>
      <w:r>
        <w:t>ECLI:ES:TC:2023:573A</w:t>
      </w:r>
    </w:p>
    <w:p w14:paraId="2D787844" w14:textId="01AA973B" w:rsidR="00F64776" w:rsidRDefault="00F64776" w:rsidP="00F64776">
      <w:pPr>
        <w:pStyle w:val="TextoNormalCentrado"/>
      </w:pPr>
    </w:p>
    <w:p w14:paraId="12ADE8F0" w14:textId="77777777" w:rsidR="00F64776" w:rsidRDefault="00F64776" w:rsidP="00F64776">
      <w:pPr>
        <w:pStyle w:val="SntesisDescriptiva"/>
      </w:pPr>
      <w:r>
        <w:t>Excms. Srs. doña Inmaculada Montalbán Huertas y doña Laura Díez Bueso.</w:t>
      </w:r>
    </w:p>
    <w:p w14:paraId="798397F5" w14:textId="48698206" w:rsidR="00F64776" w:rsidRDefault="00F64776" w:rsidP="00F64776">
      <w:pPr>
        <w:pStyle w:val="SntesisDescriptiva"/>
      </w:pPr>
    </w:p>
    <w:p w14:paraId="1C153F64" w14:textId="77777777" w:rsidR="00F64776" w:rsidRDefault="00F64776" w:rsidP="00F64776">
      <w:pPr>
        <w:pStyle w:val="SntesisDescriptiva"/>
      </w:pPr>
      <w:r>
        <w:t>Acepta una abstención en el recurso de amparo 4059-2023, promovido en proceso contencioso-administrativo.</w:t>
      </w:r>
    </w:p>
    <w:p w14:paraId="33D59FA6" w14:textId="255A810B" w:rsidR="00F64776" w:rsidRDefault="00F64776" w:rsidP="00F64776">
      <w:pPr>
        <w:pStyle w:val="SntesisDescriptiva"/>
      </w:pPr>
    </w:p>
    <w:p w14:paraId="4FB5DFDE" w14:textId="77777777" w:rsidR="00F64776" w:rsidRDefault="00F64776" w:rsidP="00F64776">
      <w:pPr>
        <w:pStyle w:val="SntesisDescriptiva"/>
      </w:pPr>
    </w:p>
    <w:p w14:paraId="0EF49366" w14:textId="77777777" w:rsidR="00F64776" w:rsidRDefault="00F64776" w:rsidP="00F64776">
      <w:pPr>
        <w:pStyle w:val="SntesisDescriptiva"/>
      </w:pPr>
    </w:p>
    <w:p w14:paraId="13C1DD33" w14:textId="77777777" w:rsidR="00F64776" w:rsidRDefault="00F64776" w:rsidP="00F64776">
      <w:pPr>
        <w:pStyle w:val="TextoNormalNegritaCentrado"/>
      </w:pPr>
      <w:r>
        <w:t>AUTO</w:t>
      </w:r>
    </w:p>
    <w:p w14:paraId="6797F076" w14:textId="4AF0D255" w:rsidR="00F64776" w:rsidRDefault="00F64776" w:rsidP="00F64776">
      <w:pPr>
        <w:pStyle w:val="TextoNormalNegritaCentrado"/>
      </w:pPr>
    </w:p>
    <w:p w14:paraId="55697CB7" w14:textId="77777777" w:rsidR="00F64776" w:rsidRDefault="00F64776" w:rsidP="00F64776">
      <w:pPr>
        <w:pStyle w:val="TextoNormalNegritaCentrado"/>
        <w:keepNext/>
      </w:pPr>
      <w:r>
        <w:t>I. Antecedentes</w:t>
      </w:r>
    </w:p>
    <w:p w14:paraId="3E7F42A6" w14:textId="332CB6B1" w:rsidR="00F64776" w:rsidRDefault="00F64776" w:rsidP="00F64776">
      <w:pPr>
        <w:pStyle w:val="TextoNormalNegritaCentrado"/>
        <w:keepNext/>
      </w:pPr>
    </w:p>
    <w:p w14:paraId="05C4CA15" w14:textId="4FC756D3" w:rsidR="00F64776" w:rsidRDefault="00F64776" w:rsidP="00F64776">
      <w:pPr>
        <w:pStyle w:val="TextoNormal"/>
      </w:pPr>
      <w:r w:rsidRPr="00F64776">
        <w:rPr>
          <w:rStyle w:val="NumeroAFNegritaCaracter"/>
        </w:rPr>
        <w:t>1</w:t>
      </w:r>
      <w:r>
        <w:t>. Mediante escrito registrado en este tribunal el 14 de junio de 2023, el procurador de los tribunales don José María Ruiz de la Cuesta Vacas, en nombre y representación de doña María Luisa García de Aguinaga y bajo la dirección del letrado don Francisco Javier Araúz de Robles Dávila, formuló demanda de amparo contra el auto de 14 de diciembre de 2022 de la Sección Primera de la Sala de lo Contencioso-Administrativo del Tribunal Supremo, en recurso de queja núm. 438-2022.</w:t>
      </w:r>
    </w:p>
    <w:p w14:paraId="0F706AE9" w14:textId="77777777" w:rsidR="00F64776" w:rsidRDefault="00F64776" w:rsidP="00F64776">
      <w:pPr>
        <w:pStyle w:val="TextoNormal"/>
      </w:pPr>
    </w:p>
    <w:p w14:paraId="4034987C" w14:textId="470951C6" w:rsidR="00F64776" w:rsidRDefault="00F64776" w:rsidP="00F64776">
      <w:pPr>
        <w:pStyle w:val="TextoNormal"/>
      </w:pPr>
      <w:r w:rsidRPr="00F64776">
        <w:rPr>
          <w:rStyle w:val="NumeroAFNegritaCaracter"/>
        </w:rPr>
        <w:t>2</w:t>
      </w:r>
      <w:r>
        <w:t>. Por escrito de 19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5DF152D3" w14:textId="77777777" w:rsidR="00F64776" w:rsidRDefault="00F64776" w:rsidP="00F64776">
      <w:pPr>
        <w:pStyle w:val="TextoNormal"/>
      </w:pPr>
    </w:p>
    <w:p w14:paraId="4F41D61B" w14:textId="77777777" w:rsidR="00F64776" w:rsidRDefault="00F64776" w:rsidP="00F64776">
      <w:pPr>
        <w:pStyle w:val="TextoNormalNegritaCentrado"/>
        <w:keepNext/>
      </w:pPr>
      <w:r>
        <w:t>II. Fundamentos jurídicos</w:t>
      </w:r>
    </w:p>
    <w:p w14:paraId="318A45DF" w14:textId="20A75A59" w:rsidR="00F64776" w:rsidRDefault="00F64776" w:rsidP="00F64776">
      <w:pPr>
        <w:pStyle w:val="TextoNormalNegritaCentrado"/>
        <w:keepNext/>
      </w:pPr>
    </w:p>
    <w:p w14:paraId="2776364A" w14:textId="081B6F92"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06D253E4" w14:textId="77777777" w:rsidR="00F64776" w:rsidRDefault="00F64776" w:rsidP="00F64776">
      <w:pPr>
        <w:pStyle w:val="TextoNormal"/>
      </w:pPr>
    </w:p>
    <w:p w14:paraId="37E36353" w14:textId="77777777" w:rsidR="00F64776" w:rsidRDefault="00F64776" w:rsidP="00F64776">
      <w:pPr>
        <w:pStyle w:val="TextoNormal"/>
      </w:pPr>
      <w:r>
        <w:t>Por lo expuesto, la Sección</w:t>
      </w:r>
    </w:p>
    <w:p w14:paraId="7D8EE940" w14:textId="6E9727EB" w:rsidR="00F64776" w:rsidRDefault="00F64776" w:rsidP="00F64776">
      <w:pPr>
        <w:pStyle w:val="TextoNormal"/>
      </w:pPr>
    </w:p>
    <w:p w14:paraId="52B3DD0D" w14:textId="77777777" w:rsidR="00F64776" w:rsidRDefault="00F64776" w:rsidP="00F64776">
      <w:pPr>
        <w:pStyle w:val="TextoNormalCentrado"/>
      </w:pPr>
      <w:r>
        <w:t>ACUERDA</w:t>
      </w:r>
    </w:p>
    <w:p w14:paraId="6715A79A" w14:textId="44CB9F87" w:rsidR="00F64776" w:rsidRDefault="00F64776" w:rsidP="00F64776">
      <w:pPr>
        <w:pStyle w:val="TextoNormalCentrado"/>
      </w:pPr>
    </w:p>
    <w:p w14:paraId="679D88AA" w14:textId="2190D1C7" w:rsidR="00F64776" w:rsidRDefault="00F64776" w:rsidP="00F64776">
      <w:pPr>
        <w:pStyle w:val="TextoNormal"/>
      </w:pPr>
      <w:r>
        <w:t>Estimar justificada la abstención formulada por el magistrado don César Tolosa Tribiño en el recurso de amparo núm. 4059-2023 y apartarle definitivamente del conocimiento del referido recurso y de todas sus incidencias.</w:t>
      </w:r>
    </w:p>
    <w:p w14:paraId="00893CA5" w14:textId="77777777" w:rsidR="00F64776" w:rsidRDefault="00F64776" w:rsidP="00F64776">
      <w:pPr>
        <w:pStyle w:val="TextoNormal"/>
      </w:pPr>
    </w:p>
    <w:p w14:paraId="3F96140E" w14:textId="77777777" w:rsidR="00F64776" w:rsidRDefault="00F64776" w:rsidP="00F64776">
      <w:pPr>
        <w:pStyle w:val="TextoNormal"/>
      </w:pPr>
      <w:r>
        <w:t>Madrid, a trece de noviembre de dos mil veintitrés.</w:t>
      </w:r>
    </w:p>
    <w:p w14:paraId="4D3812DD" w14:textId="7B388B43" w:rsidR="00F64776" w:rsidRDefault="00F64776">
      <w:pPr>
        <w:spacing w:after="160" w:line="278" w:lineRule="auto"/>
        <w:rPr>
          <w:rFonts w:ascii="Times New Roman" w:eastAsia="Times New Roman" w:hAnsi="Times New Roman" w:cs="Times New Roman"/>
          <w:sz w:val="24"/>
          <w:szCs w:val="24"/>
          <w:lang w:eastAsia="es-ES"/>
        </w:rPr>
      </w:pPr>
      <w:r>
        <w:br w:type="page"/>
      </w:r>
    </w:p>
    <w:p w14:paraId="36AEFEF7" w14:textId="77777777" w:rsidR="00F64776" w:rsidRDefault="00F64776" w:rsidP="00F64776">
      <w:pPr>
        <w:pStyle w:val="TtuloResolucin"/>
      </w:pPr>
      <w:bookmarkStart w:id="359" w:name="AUTO_2023_574"/>
      <w:r>
        <w:t>AUTO 574/2023, de 13 de noviembre de 2023</w:t>
      </w:r>
    </w:p>
    <w:bookmarkEnd w:id="359"/>
    <w:p w14:paraId="5B3322A7" w14:textId="77777777" w:rsidR="00F64776" w:rsidRDefault="00F64776" w:rsidP="00F64776">
      <w:pPr>
        <w:pStyle w:val="TtuloResolucin"/>
      </w:pPr>
      <w:r>
        <w:t>Sección Tercera</w:t>
      </w:r>
    </w:p>
    <w:p w14:paraId="688770EE" w14:textId="77777777" w:rsidR="00F64776" w:rsidRDefault="00F64776" w:rsidP="00F64776">
      <w:pPr>
        <w:pStyle w:val="TextoNormalCentrado"/>
      </w:pPr>
      <w:r>
        <w:t>ECLI:ES:TC:2023:574A</w:t>
      </w:r>
    </w:p>
    <w:p w14:paraId="4F8AC899" w14:textId="1A3E7126" w:rsidR="00F64776" w:rsidRDefault="00F64776" w:rsidP="00F64776">
      <w:pPr>
        <w:pStyle w:val="TextoNormalCentrado"/>
      </w:pPr>
    </w:p>
    <w:p w14:paraId="05DA2E80" w14:textId="77777777" w:rsidR="00F64776" w:rsidRDefault="00F64776" w:rsidP="00F64776">
      <w:pPr>
        <w:pStyle w:val="SntesisDescriptiva"/>
      </w:pPr>
      <w:r>
        <w:t>Excms. Srs. doña Inmaculada Montalbán Huertas y doña Laura Díez Bueso.</w:t>
      </w:r>
    </w:p>
    <w:p w14:paraId="2B946ED7" w14:textId="786CED58" w:rsidR="00F64776" w:rsidRDefault="00F64776" w:rsidP="00F64776">
      <w:pPr>
        <w:pStyle w:val="SntesisDescriptiva"/>
      </w:pPr>
    </w:p>
    <w:p w14:paraId="4CFEF976" w14:textId="77777777" w:rsidR="00F64776" w:rsidRDefault="00F64776" w:rsidP="00F64776">
      <w:pPr>
        <w:pStyle w:val="SntesisDescriptiva"/>
      </w:pPr>
      <w:r>
        <w:t>Acepta una abstención en el recurso de amparo 4204-2023, promovido en proceso contencioso-administrativo.</w:t>
      </w:r>
    </w:p>
    <w:p w14:paraId="621B9075" w14:textId="5681CF6A" w:rsidR="00F64776" w:rsidRDefault="00F64776" w:rsidP="00F64776">
      <w:pPr>
        <w:pStyle w:val="SntesisDescriptiva"/>
      </w:pPr>
    </w:p>
    <w:p w14:paraId="783C05FD" w14:textId="77777777" w:rsidR="00F64776" w:rsidRDefault="00F64776" w:rsidP="00F64776">
      <w:pPr>
        <w:pStyle w:val="SntesisDescriptiva"/>
      </w:pPr>
    </w:p>
    <w:p w14:paraId="7D34183E" w14:textId="77777777" w:rsidR="00F64776" w:rsidRDefault="00F64776" w:rsidP="00F64776">
      <w:pPr>
        <w:pStyle w:val="SntesisDescriptiva"/>
      </w:pPr>
    </w:p>
    <w:p w14:paraId="3B3423D8" w14:textId="77777777" w:rsidR="00F64776" w:rsidRDefault="00F64776" w:rsidP="00F64776">
      <w:pPr>
        <w:pStyle w:val="TextoNormalNegritaCentrado"/>
      </w:pPr>
      <w:r>
        <w:t>AUTO</w:t>
      </w:r>
    </w:p>
    <w:p w14:paraId="2D6E3D68" w14:textId="7936825D" w:rsidR="00F64776" w:rsidRDefault="00F64776" w:rsidP="00F64776">
      <w:pPr>
        <w:pStyle w:val="TextoNormalNegritaCentrado"/>
      </w:pPr>
    </w:p>
    <w:p w14:paraId="1E3A6832" w14:textId="77777777" w:rsidR="00F64776" w:rsidRDefault="00F64776" w:rsidP="00F64776">
      <w:pPr>
        <w:pStyle w:val="TextoNormalNegritaCentrado"/>
        <w:keepNext/>
      </w:pPr>
      <w:r>
        <w:t>I. Antecedentes</w:t>
      </w:r>
    </w:p>
    <w:p w14:paraId="4CB6B531" w14:textId="18520945" w:rsidR="00F64776" w:rsidRDefault="00F64776" w:rsidP="00F64776">
      <w:pPr>
        <w:pStyle w:val="TextoNormalNegritaCentrado"/>
        <w:keepNext/>
      </w:pPr>
    </w:p>
    <w:p w14:paraId="0784F495" w14:textId="4507AFA3" w:rsidR="00F64776" w:rsidRDefault="00F64776" w:rsidP="00F64776">
      <w:pPr>
        <w:pStyle w:val="TextoNormal"/>
      </w:pPr>
      <w:r w:rsidRPr="00F64776">
        <w:rPr>
          <w:rStyle w:val="NumeroAFNegritaCaracter"/>
        </w:rPr>
        <w:t>1</w:t>
      </w:r>
      <w:r>
        <w:t>. Mediante escrito registrado en este tribunal el 20 de junio de 2023, el procurador de los tribunales don José María Ruiz de la Cuesta Vacas, en nombre y representación de doña Carmen Nieves Portocarrero González y bajo la dirección del letrado don Francisco Javier Araúz de Robles Dávila, formuló demanda de amparo contra la providencia de 16 de marzo de 2023 de la Sección Primera de la Sala de lo Contencioso-Administrativo del Tribunal Supremo, en recurso de casación 2010-2022.</w:t>
      </w:r>
    </w:p>
    <w:p w14:paraId="6F8A6653" w14:textId="77777777" w:rsidR="00F64776" w:rsidRDefault="00F64776" w:rsidP="00F64776">
      <w:pPr>
        <w:pStyle w:val="TextoNormal"/>
      </w:pPr>
    </w:p>
    <w:p w14:paraId="14943EF2" w14:textId="20382EC8" w:rsidR="00F64776" w:rsidRDefault="00F64776" w:rsidP="00F64776">
      <w:pPr>
        <w:pStyle w:val="TextoNormal"/>
      </w:pPr>
      <w:r w:rsidRPr="00F64776">
        <w:rPr>
          <w:rStyle w:val="NumeroAFNegritaCaracter"/>
        </w:rPr>
        <w:t>2</w:t>
      </w:r>
      <w:r>
        <w:t>. Por escrito de 26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6A823D9D" w14:textId="77777777" w:rsidR="00F64776" w:rsidRDefault="00F64776" w:rsidP="00F64776">
      <w:pPr>
        <w:pStyle w:val="TextoNormal"/>
      </w:pPr>
    </w:p>
    <w:p w14:paraId="2AE265B2" w14:textId="77777777" w:rsidR="00F64776" w:rsidRDefault="00F64776" w:rsidP="00F64776">
      <w:pPr>
        <w:pStyle w:val="TextoNormalNegritaCentrado"/>
        <w:keepNext/>
      </w:pPr>
      <w:r>
        <w:t>II. Fundamentos jurídicos</w:t>
      </w:r>
    </w:p>
    <w:p w14:paraId="286BC27D" w14:textId="4910F70C" w:rsidR="00F64776" w:rsidRDefault="00F64776" w:rsidP="00F64776">
      <w:pPr>
        <w:pStyle w:val="TextoNormalNegritaCentrado"/>
        <w:keepNext/>
      </w:pPr>
    </w:p>
    <w:p w14:paraId="4DD3A879" w14:textId="4743FF7E"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15EDC95F" w14:textId="77777777" w:rsidR="00F64776" w:rsidRDefault="00F64776" w:rsidP="00F64776">
      <w:pPr>
        <w:pStyle w:val="TextoNormal"/>
      </w:pPr>
    </w:p>
    <w:p w14:paraId="02F6F7EB" w14:textId="77777777" w:rsidR="00F64776" w:rsidRDefault="00F64776" w:rsidP="00F64776">
      <w:pPr>
        <w:pStyle w:val="TextoNormal"/>
      </w:pPr>
      <w:r>
        <w:t>Por lo expuesto, la Sección</w:t>
      </w:r>
    </w:p>
    <w:p w14:paraId="31116E20" w14:textId="04BA87C3" w:rsidR="00F64776" w:rsidRDefault="00F64776" w:rsidP="00F64776">
      <w:pPr>
        <w:pStyle w:val="TextoNormal"/>
      </w:pPr>
    </w:p>
    <w:p w14:paraId="75222EA3" w14:textId="77777777" w:rsidR="00F64776" w:rsidRDefault="00F64776" w:rsidP="00F64776">
      <w:pPr>
        <w:pStyle w:val="TextoNormalCentrado"/>
      </w:pPr>
      <w:r>
        <w:t>ACUERDA</w:t>
      </w:r>
    </w:p>
    <w:p w14:paraId="4C8F0213" w14:textId="254F7AAE" w:rsidR="00F64776" w:rsidRDefault="00F64776" w:rsidP="00F64776">
      <w:pPr>
        <w:pStyle w:val="TextoNormalCentrado"/>
      </w:pPr>
    </w:p>
    <w:p w14:paraId="6B762F64" w14:textId="3004F3BC" w:rsidR="00F64776" w:rsidRDefault="00F64776" w:rsidP="00F64776">
      <w:pPr>
        <w:pStyle w:val="TextoNormal"/>
      </w:pPr>
      <w:r>
        <w:t>Estimar justificada la abstención formulada por el magistrado don César Tolosa Tribiño en el recurso de amparo núm. 4204-2023 y apartarle definitivamente del conocimiento del referido recurso y de todas sus incidencias.</w:t>
      </w:r>
    </w:p>
    <w:p w14:paraId="34B1B138" w14:textId="77777777" w:rsidR="00F64776" w:rsidRDefault="00F64776" w:rsidP="00F64776">
      <w:pPr>
        <w:pStyle w:val="TextoNormal"/>
      </w:pPr>
    </w:p>
    <w:p w14:paraId="0B85933A" w14:textId="77777777" w:rsidR="00F64776" w:rsidRDefault="00F64776" w:rsidP="00F64776">
      <w:pPr>
        <w:pStyle w:val="TextoNormal"/>
      </w:pPr>
      <w:r>
        <w:t>Madrid, a trece de noviembre de dos mil veintitrés.</w:t>
      </w:r>
    </w:p>
    <w:p w14:paraId="75FB41F5" w14:textId="431E55B4" w:rsidR="00F64776" w:rsidRDefault="00F64776">
      <w:pPr>
        <w:spacing w:after="160" w:line="278" w:lineRule="auto"/>
        <w:rPr>
          <w:rFonts w:ascii="Times New Roman" w:eastAsia="Times New Roman" w:hAnsi="Times New Roman" w:cs="Times New Roman"/>
          <w:sz w:val="24"/>
          <w:szCs w:val="24"/>
          <w:lang w:eastAsia="es-ES"/>
        </w:rPr>
      </w:pPr>
      <w:r>
        <w:br w:type="page"/>
      </w:r>
    </w:p>
    <w:p w14:paraId="6B79F6BB" w14:textId="77777777" w:rsidR="00F64776" w:rsidRDefault="00F64776" w:rsidP="00F64776">
      <w:pPr>
        <w:pStyle w:val="TtuloResolucin"/>
      </w:pPr>
      <w:bookmarkStart w:id="360" w:name="AUTO_2023_575"/>
      <w:r>
        <w:t>AUTO 575/2023, de 13 de noviembre de 2023</w:t>
      </w:r>
    </w:p>
    <w:bookmarkEnd w:id="360"/>
    <w:p w14:paraId="110635E5" w14:textId="77777777" w:rsidR="00F64776" w:rsidRDefault="00F64776" w:rsidP="00F64776">
      <w:pPr>
        <w:pStyle w:val="TtuloResolucin"/>
      </w:pPr>
      <w:r>
        <w:t>Sección Tercera</w:t>
      </w:r>
    </w:p>
    <w:p w14:paraId="3C9DCB97" w14:textId="77777777" w:rsidR="00F64776" w:rsidRDefault="00F64776" w:rsidP="00F64776">
      <w:pPr>
        <w:pStyle w:val="TextoNormalCentrado"/>
      </w:pPr>
      <w:r>
        <w:t>ECLI:ES:TC:2023:575A</w:t>
      </w:r>
    </w:p>
    <w:p w14:paraId="755A7134" w14:textId="29B5C044" w:rsidR="00F64776" w:rsidRDefault="00F64776" w:rsidP="00F64776">
      <w:pPr>
        <w:pStyle w:val="TextoNormalCentrado"/>
      </w:pPr>
    </w:p>
    <w:p w14:paraId="052921DB" w14:textId="77777777" w:rsidR="00F64776" w:rsidRDefault="00F64776" w:rsidP="00F64776">
      <w:pPr>
        <w:pStyle w:val="SntesisDescriptiva"/>
      </w:pPr>
      <w:r>
        <w:t>Excms. Srs. doña Inmaculada Montalbán Huertas y doña Laura Díez Bueso.</w:t>
      </w:r>
    </w:p>
    <w:p w14:paraId="15505E59" w14:textId="47403474" w:rsidR="00F64776" w:rsidRDefault="00F64776" w:rsidP="00F64776">
      <w:pPr>
        <w:pStyle w:val="SntesisDescriptiva"/>
      </w:pPr>
    </w:p>
    <w:p w14:paraId="3D40F29F" w14:textId="77777777" w:rsidR="00F64776" w:rsidRDefault="00F64776" w:rsidP="00F64776">
      <w:pPr>
        <w:pStyle w:val="SntesisDescriptiva"/>
      </w:pPr>
      <w:r>
        <w:t>Acepta una abstención en el recurso de amparo 4214-2023, promovido en proceso contencioso-administrativo.</w:t>
      </w:r>
    </w:p>
    <w:p w14:paraId="0D5A6FD8" w14:textId="61816D0A" w:rsidR="00F64776" w:rsidRDefault="00F64776" w:rsidP="00F64776">
      <w:pPr>
        <w:pStyle w:val="SntesisDescriptiva"/>
      </w:pPr>
    </w:p>
    <w:p w14:paraId="02AA16AA" w14:textId="77777777" w:rsidR="00F64776" w:rsidRDefault="00F64776" w:rsidP="00F64776">
      <w:pPr>
        <w:pStyle w:val="SntesisDescriptiva"/>
      </w:pPr>
    </w:p>
    <w:p w14:paraId="34CD8118" w14:textId="77777777" w:rsidR="00F64776" w:rsidRDefault="00F64776" w:rsidP="00F64776">
      <w:pPr>
        <w:pStyle w:val="SntesisDescriptiva"/>
      </w:pPr>
    </w:p>
    <w:p w14:paraId="056034AF" w14:textId="77777777" w:rsidR="00F64776" w:rsidRDefault="00F64776" w:rsidP="00F64776">
      <w:pPr>
        <w:pStyle w:val="TextoNormalNegritaCentrado"/>
      </w:pPr>
      <w:r>
        <w:t>AUTO</w:t>
      </w:r>
    </w:p>
    <w:p w14:paraId="212E9747" w14:textId="136E3126" w:rsidR="00F64776" w:rsidRDefault="00F64776" w:rsidP="00F64776">
      <w:pPr>
        <w:pStyle w:val="TextoNormalNegritaCentrado"/>
      </w:pPr>
    </w:p>
    <w:p w14:paraId="3D127638" w14:textId="77777777" w:rsidR="00F64776" w:rsidRDefault="00F64776" w:rsidP="00F64776">
      <w:pPr>
        <w:pStyle w:val="TextoNormalNegritaCentrado"/>
        <w:keepNext/>
      </w:pPr>
      <w:r>
        <w:t>I. Antecedentes</w:t>
      </w:r>
    </w:p>
    <w:p w14:paraId="39333F4A" w14:textId="7E0FBEAA" w:rsidR="00F64776" w:rsidRDefault="00F64776" w:rsidP="00F64776">
      <w:pPr>
        <w:pStyle w:val="TextoNormalNegritaCentrado"/>
        <w:keepNext/>
      </w:pPr>
    </w:p>
    <w:p w14:paraId="1D49B2C5" w14:textId="501086BC" w:rsidR="00F64776" w:rsidRDefault="00F64776" w:rsidP="00F64776">
      <w:pPr>
        <w:pStyle w:val="TextoNormal"/>
      </w:pPr>
      <w:r w:rsidRPr="00F64776">
        <w:rPr>
          <w:rStyle w:val="NumeroAFNegritaCaracter"/>
        </w:rPr>
        <w:t>1</w:t>
      </w:r>
      <w:r>
        <w:t>. Mediante escrito registrado en este tribunal el 20 de junio de 2023, el procurador de los tribunales don José María Ruiz de la Cuesta Vacas, en nombre y representación de doña Ruth María Rosario Boto Lorca y bajo la dirección del letrado don Francisco Javier Araúz de Robles Dávila, formuló demanda de amparo contra el auto y la providencia de 9 de mayo de 2023 dictados por la Sección Primera de la Sala de lo Contencioso-Administrativo del Tribunal Supremo, en recurso de queja núm. 376-2022 contra la sentencia de la Sección Octava de la Sala de lo Contencioso-Administrativo del Tribunal Superior de Justicia de Madrid, en procedimiento ordinario núm. 333-2020.</w:t>
      </w:r>
    </w:p>
    <w:p w14:paraId="1CF4CFA9" w14:textId="77777777" w:rsidR="00F64776" w:rsidRDefault="00F64776" w:rsidP="00F64776">
      <w:pPr>
        <w:pStyle w:val="TextoNormal"/>
      </w:pPr>
    </w:p>
    <w:p w14:paraId="09AF11DF" w14:textId="5F91A6D6" w:rsidR="00F64776" w:rsidRDefault="00F64776" w:rsidP="00F64776">
      <w:pPr>
        <w:pStyle w:val="TextoNormal"/>
      </w:pPr>
      <w:r w:rsidRPr="00F64776">
        <w:rPr>
          <w:rStyle w:val="NumeroAFNegritaCaracter"/>
        </w:rPr>
        <w:t>2</w:t>
      </w:r>
      <w:r>
        <w:t>. Por escrito de 26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108A9771" w14:textId="77777777" w:rsidR="00F64776" w:rsidRDefault="00F64776" w:rsidP="00F64776">
      <w:pPr>
        <w:pStyle w:val="TextoNormal"/>
      </w:pPr>
    </w:p>
    <w:p w14:paraId="3BB57B84" w14:textId="77777777" w:rsidR="00F64776" w:rsidRDefault="00F64776" w:rsidP="00F64776">
      <w:pPr>
        <w:pStyle w:val="TextoNormalNegritaCentrado"/>
        <w:keepNext/>
      </w:pPr>
      <w:r>
        <w:t>II. Fundamentos jurídicos</w:t>
      </w:r>
    </w:p>
    <w:p w14:paraId="535BE8C8" w14:textId="07FE23F1" w:rsidR="00F64776" w:rsidRDefault="00F64776" w:rsidP="00F64776">
      <w:pPr>
        <w:pStyle w:val="TextoNormalNegritaCentrado"/>
        <w:keepNext/>
      </w:pPr>
    </w:p>
    <w:p w14:paraId="42B6AEDE" w14:textId="62731106"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6B7407D4" w14:textId="77777777" w:rsidR="00F64776" w:rsidRDefault="00F64776" w:rsidP="00F64776">
      <w:pPr>
        <w:pStyle w:val="TextoNormal"/>
      </w:pPr>
    </w:p>
    <w:p w14:paraId="7A7A23DA" w14:textId="77777777" w:rsidR="00F64776" w:rsidRDefault="00F64776" w:rsidP="00F64776">
      <w:pPr>
        <w:pStyle w:val="TextoNormal"/>
      </w:pPr>
      <w:r>
        <w:t>Por lo expuesto, la Sección</w:t>
      </w:r>
    </w:p>
    <w:p w14:paraId="5B467ADB" w14:textId="39E3FD53" w:rsidR="00F64776" w:rsidRDefault="00F64776" w:rsidP="00F64776">
      <w:pPr>
        <w:pStyle w:val="TextoNormal"/>
      </w:pPr>
    </w:p>
    <w:p w14:paraId="32C6C3DA" w14:textId="77777777" w:rsidR="00F64776" w:rsidRDefault="00F64776" w:rsidP="00F64776">
      <w:pPr>
        <w:pStyle w:val="TextoNormalCentrado"/>
      </w:pPr>
      <w:r>
        <w:t>ACUERDA</w:t>
      </w:r>
    </w:p>
    <w:p w14:paraId="3C723187" w14:textId="03E2E70E" w:rsidR="00F64776" w:rsidRDefault="00F64776" w:rsidP="00F64776">
      <w:pPr>
        <w:pStyle w:val="TextoNormalCentrado"/>
      </w:pPr>
    </w:p>
    <w:p w14:paraId="017513C8" w14:textId="038481FA" w:rsidR="00F64776" w:rsidRDefault="00F64776" w:rsidP="00F64776">
      <w:pPr>
        <w:pStyle w:val="TextoNormal"/>
      </w:pPr>
      <w:r>
        <w:t>Estimar justificada la abstención formulada por el magistrado don César Tolosa Tribiño en el recurso de amparo núm. 4214-2023 y apartarle definitivamente del conocimiento del referido recurso y de todas sus incidencias.</w:t>
      </w:r>
    </w:p>
    <w:p w14:paraId="44ED7F1B" w14:textId="77777777" w:rsidR="00F64776" w:rsidRDefault="00F64776" w:rsidP="00F64776">
      <w:pPr>
        <w:pStyle w:val="TextoNormal"/>
      </w:pPr>
    </w:p>
    <w:p w14:paraId="7738985C" w14:textId="77777777" w:rsidR="00F64776" w:rsidRDefault="00F64776" w:rsidP="00F64776">
      <w:pPr>
        <w:pStyle w:val="TextoNormal"/>
      </w:pPr>
      <w:r>
        <w:t>Madrid, a trece de noviembre de dos mil veintitrés.</w:t>
      </w:r>
    </w:p>
    <w:p w14:paraId="35B6F2FB" w14:textId="469444C6" w:rsidR="00F64776" w:rsidRDefault="00F64776">
      <w:pPr>
        <w:spacing w:after="160" w:line="278" w:lineRule="auto"/>
        <w:rPr>
          <w:rFonts w:ascii="Times New Roman" w:eastAsia="Times New Roman" w:hAnsi="Times New Roman" w:cs="Times New Roman"/>
          <w:sz w:val="24"/>
          <w:szCs w:val="24"/>
          <w:lang w:eastAsia="es-ES"/>
        </w:rPr>
      </w:pPr>
      <w:r>
        <w:br w:type="page"/>
      </w:r>
    </w:p>
    <w:p w14:paraId="076FB447" w14:textId="77777777" w:rsidR="00F64776" w:rsidRDefault="00F64776" w:rsidP="00F64776">
      <w:pPr>
        <w:pStyle w:val="TtuloResolucin"/>
      </w:pPr>
      <w:bookmarkStart w:id="361" w:name="AUTO_2023_576"/>
      <w:r>
        <w:t>AUTO 576/2023, de 14 de noviembre de 2023</w:t>
      </w:r>
    </w:p>
    <w:bookmarkEnd w:id="361"/>
    <w:p w14:paraId="5CF754E3" w14:textId="77777777" w:rsidR="00F64776" w:rsidRDefault="00F64776" w:rsidP="00F64776">
      <w:pPr>
        <w:pStyle w:val="TtuloResolucin"/>
      </w:pPr>
      <w:r>
        <w:t>Sección Primera</w:t>
      </w:r>
    </w:p>
    <w:p w14:paraId="07F0EA9D" w14:textId="77777777" w:rsidR="00F64776" w:rsidRDefault="00F64776" w:rsidP="00F64776">
      <w:pPr>
        <w:pStyle w:val="TextoNormalCentrado"/>
      </w:pPr>
      <w:r>
        <w:t>ECLI:ES:TC:2023:576A</w:t>
      </w:r>
    </w:p>
    <w:p w14:paraId="353F2560" w14:textId="5289B4FB" w:rsidR="00F64776" w:rsidRDefault="00F64776" w:rsidP="00F64776">
      <w:pPr>
        <w:pStyle w:val="TextoNormalCentrado"/>
      </w:pPr>
    </w:p>
    <w:p w14:paraId="37476BF6" w14:textId="77777777" w:rsidR="00F64776" w:rsidRDefault="00F64776" w:rsidP="00F64776">
      <w:pPr>
        <w:pStyle w:val="SntesisDescriptiva"/>
      </w:pPr>
      <w:r>
        <w:t>Excms. Srs. don Cándido Conde-Pumpido Tourón y doña María Luisa Segoviano Astaburuaga.</w:t>
      </w:r>
    </w:p>
    <w:p w14:paraId="5A858559" w14:textId="4F597E19" w:rsidR="00F64776" w:rsidRDefault="00F64776" w:rsidP="00F64776">
      <w:pPr>
        <w:pStyle w:val="SntesisDescriptiva"/>
      </w:pPr>
    </w:p>
    <w:p w14:paraId="17A1A82C" w14:textId="77777777" w:rsidR="00F64776" w:rsidRDefault="00F64776" w:rsidP="00F64776">
      <w:pPr>
        <w:pStyle w:val="SntesisDescriptiva"/>
      </w:pPr>
      <w:r>
        <w:t>Acepta una abstención en el recurso de amparo 2052-2023, promovido en causa penal.</w:t>
      </w:r>
    </w:p>
    <w:p w14:paraId="6D9C2393" w14:textId="1A0D9F36" w:rsidR="00F64776" w:rsidRDefault="00F64776" w:rsidP="00F64776">
      <w:pPr>
        <w:pStyle w:val="SntesisDescriptiva"/>
      </w:pPr>
    </w:p>
    <w:p w14:paraId="0D34C7AC" w14:textId="77777777" w:rsidR="00F64776" w:rsidRDefault="00F64776" w:rsidP="00F64776">
      <w:pPr>
        <w:pStyle w:val="SntesisDescriptiva"/>
      </w:pPr>
    </w:p>
    <w:p w14:paraId="7D09BCB3" w14:textId="77777777" w:rsidR="00F64776" w:rsidRDefault="00F64776" w:rsidP="00F64776">
      <w:pPr>
        <w:pStyle w:val="SntesisDescriptiva"/>
      </w:pPr>
    </w:p>
    <w:p w14:paraId="4A1B93F2" w14:textId="77777777" w:rsidR="00F64776" w:rsidRDefault="00F64776" w:rsidP="00F64776">
      <w:pPr>
        <w:pStyle w:val="TextoNormalNegritaCentrado"/>
      </w:pPr>
      <w:r>
        <w:t>AUTO</w:t>
      </w:r>
    </w:p>
    <w:p w14:paraId="63B976D0" w14:textId="5D1001A2" w:rsidR="00F64776" w:rsidRDefault="00F64776" w:rsidP="00F64776">
      <w:pPr>
        <w:pStyle w:val="TextoNormalNegritaCentrado"/>
      </w:pPr>
    </w:p>
    <w:p w14:paraId="50F3562A" w14:textId="77777777" w:rsidR="00F64776" w:rsidRDefault="00F64776" w:rsidP="00F64776">
      <w:pPr>
        <w:pStyle w:val="TextoNormalNegritaCentrado"/>
        <w:keepNext/>
      </w:pPr>
      <w:r>
        <w:t>I. Antecedentes</w:t>
      </w:r>
    </w:p>
    <w:p w14:paraId="0791FFDF" w14:textId="0711CD08" w:rsidR="00F64776" w:rsidRDefault="00F64776" w:rsidP="00F64776">
      <w:pPr>
        <w:pStyle w:val="TextoNormalNegritaCentrado"/>
        <w:keepNext/>
      </w:pPr>
    </w:p>
    <w:p w14:paraId="75220C6C" w14:textId="77777777" w:rsidR="00F64776" w:rsidRDefault="00F64776" w:rsidP="00F64776">
      <w:pPr>
        <w:pStyle w:val="TextoNormal"/>
      </w:pPr>
      <w:r w:rsidRPr="00F64776">
        <w:rPr>
          <w:rStyle w:val="NumeroAFNegritaCaracter"/>
        </w:rPr>
        <w:t>1</w:t>
      </w:r>
      <w:r>
        <w:t>. Mediante escrito registrado en este tribunal el 28 de marzo de 2023, don Josep Singla Barceló, representado por el procurador de los tribunales don Adolfo Eduardo Morales Hernández-Sanjuán, bajo la dirección del letrado don Emilio J. Zegrí Boada, interpuso recurso de amparo contra la providencia de 14 de febrero de 2023 dictada por la Sección Segunda de la Sala de lo Penal de la Audiencia Nacional, que inadmite el incidente de nulidad de actuaciones interpuesto por la representación procesal del recurrente en amparo frente al auto de 2 de diciembre de 2021, desestimatorio del recurso de revisión que interpuso contra el decreto de 18 de octubre de 2021, a su vez desestimatorio del recurso de reposición planteado contra el decreto de 6 de julio de 2021, en virtud del cual se incoa la ejecutoria núm. 91-2018, dimanante de la sentencia núm. 31/2018, de 29 de junio, dictada por la Sección Segunda de la Sala de lo Penal de la Audiencia Nacional en el rollo de sala núm. 1-2016, parcialmente revocada por la Sala de lo Penal del Tribunal Supremo en la sentencia núm. 664/2020, de 3 de diciembre, dictada en el recurso de casación núm. 4148-2018.</w:t>
      </w:r>
    </w:p>
    <w:p w14:paraId="58127BD1" w14:textId="77777777" w:rsidR="00F64776" w:rsidRDefault="00F64776" w:rsidP="00F64776">
      <w:pPr>
        <w:pStyle w:val="TextoNormal"/>
      </w:pPr>
    </w:p>
    <w:p w14:paraId="405E2152" w14:textId="191480F0" w:rsidR="00F64776" w:rsidRDefault="00F64776" w:rsidP="00F64776">
      <w:pPr>
        <w:pStyle w:val="TextoNormal"/>
      </w:pPr>
      <w:r>
        <w:t>La magistrada doña Concepción Espejel Jorquera, presidenta de la citada Sección Segunda de la Sala de lo Penal de la Audiencia Nacional, presidió el tribunal sentenciador y fue ponente de la sentencia de instancia.</w:t>
      </w:r>
    </w:p>
    <w:p w14:paraId="0AD35479" w14:textId="77777777" w:rsidR="00F64776" w:rsidRDefault="00F64776" w:rsidP="00F64776">
      <w:pPr>
        <w:pStyle w:val="TextoNormal"/>
      </w:pPr>
    </w:p>
    <w:p w14:paraId="3B58580E" w14:textId="2063BD55" w:rsidR="00F64776" w:rsidRDefault="00F64776" w:rsidP="00F64776">
      <w:pPr>
        <w:pStyle w:val="TextoNormal"/>
      </w:pPr>
      <w:r w:rsidRPr="00F64776">
        <w:rPr>
          <w:rStyle w:val="NumeroAFNegritaCaracter"/>
        </w:rPr>
        <w:t>2</w:t>
      </w:r>
      <w:r>
        <w:t>. De conformidad con el acuerdo de 17 de enero de 2023, del Pleno del Tribunal Constitucional, por el que se dispone la composición de las Salas y Secciones del Tribunal Constitucional (“Boletín Oficial del Estado” núm. 16, de 19 de enero de 2023), a partir de la referida fecha la Sección Primera, presidida por el presidente del Tribunal, está integrada por don Cándido Conde-Pumpido Tourón, doña Concepción Espejel Jorquera y doña María Luisa Segoviano Astaburuaga (art. 1.2).</w:t>
      </w:r>
    </w:p>
    <w:p w14:paraId="514E8182" w14:textId="77777777" w:rsidR="00F64776" w:rsidRDefault="00F64776" w:rsidP="00F64776">
      <w:pPr>
        <w:pStyle w:val="TextoNormal"/>
      </w:pPr>
    </w:p>
    <w:p w14:paraId="50A24170" w14:textId="187249E7" w:rsidR="00F64776" w:rsidRDefault="00F64776" w:rsidP="00F64776">
      <w:pPr>
        <w:pStyle w:val="TextoNormal"/>
      </w:pPr>
      <w:r w:rsidRPr="00F64776">
        <w:rPr>
          <w:rStyle w:val="NumeroAFNegritaCaracter"/>
        </w:rPr>
        <w:t>3</w:t>
      </w:r>
      <w:r>
        <w:t>. Mediante escrito de 10 de noviembre de 2022, la magistrada doña Concepción Espejel Jorquera comunicó su voluntad de abstenerse en el conocimiento del presente recurso de amparo por entender que concurría la causa 11 del art. 219 de la Ley Orgánica del Poder Judicial (LOPJ), al haber formado parte, en su condición de presidenta de la Sección Segunda de la Sala de lo Penal de la Audiencia Nacional, del órgano judicial que dictó la sentencia núm. 31/2018, de 29 de junio, de la que fue ponente, en el rollo de sala núm. 1-2016, parcialmente revocada por la Sala de lo Penal del Tribunal Supremo en la sentencia núm. 664/2020, de 3 de diciembre, dictada en el recurso de casación núm. 4148-2018, de las cuales dimana la ejecutoria núm. 91-2018, en la que se han dictado las resoluciones impugnadas en el presente recurso de amparo.</w:t>
      </w:r>
    </w:p>
    <w:p w14:paraId="0E50E00F" w14:textId="77777777" w:rsidR="00F64776" w:rsidRDefault="00F64776" w:rsidP="00F64776">
      <w:pPr>
        <w:pStyle w:val="TextoNormal"/>
      </w:pPr>
    </w:p>
    <w:p w14:paraId="71BF9750" w14:textId="77777777" w:rsidR="00F64776" w:rsidRDefault="00F64776" w:rsidP="00F64776">
      <w:pPr>
        <w:pStyle w:val="TextoNormalNegritaCentrado"/>
        <w:keepNext/>
      </w:pPr>
      <w:r>
        <w:t>II. Fundamentos jurídicos</w:t>
      </w:r>
    </w:p>
    <w:p w14:paraId="3B951252" w14:textId="60ECA695" w:rsidR="00F64776" w:rsidRDefault="00F64776" w:rsidP="00F64776">
      <w:pPr>
        <w:pStyle w:val="TextoNormalNegritaCentrado"/>
        <w:keepNext/>
      </w:pPr>
    </w:p>
    <w:p w14:paraId="2522C7BE" w14:textId="47A6B097" w:rsidR="00F64776" w:rsidRDefault="00F64776" w:rsidP="00F64776">
      <w:pPr>
        <w:pStyle w:val="TextoNormal"/>
      </w:pPr>
      <w:r w:rsidRPr="00F64776">
        <w:rPr>
          <w:rStyle w:val="TextoNormalNegritaCaracter"/>
        </w:rPr>
        <w:t xml:space="preserve">Único. </w:t>
      </w:r>
      <w:r>
        <w:t>Vista la comunicación efectuada por la magistrada doña Concepción Espejel Jorquera, en virtud de lo previsto en los arts. 80 de la Ley Orgánica del Tribunal Constitucional y 221.4 LOPJ, se estima justificada la causa de abstención formulada, puesto que la mencionada magistrada, en atención a haber presidido y actuado como ponente en el tribunal que dictó la sentencia en única instancia de la que trae causa la ejecutoria en la que se han dictado las resoluciones impugnadas en amparo, está incursa en la causa 11 del art. 219 LOPJ.</w:t>
      </w:r>
    </w:p>
    <w:p w14:paraId="5B535337" w14:textId="77777777" w:rsidR="00F64776" w:rsidRDefault="00F64776" w:rsidP="00F64776">
      <w:pPr>
        <w:pStyle w:val="TextoNormal"/>
      </w:pPr>
    </w:p>
    <w:p w14:paraId="36404B74" w14:textId="77777777" w:rsidR="00F64776" w:rsidRDefault="00F64776" w:rsidP="00F64776">
      <w:pPr>
        <w:pStyle w:val="TextoNormal"/>
      </w:pPr>
      <w:r>
        <w:t>Por lo expuesto, la Sección</w:t>
      </w:r>
    </w:p>
    <w:p w14:paraId="3CCFA379" w14:textId="04BF3426" w:rsidR="00F64776" w:rsidRDefault="00F64776" w:rsidP="00F64776">
      <w:pPr>
        <w:pStyle w:val="TextoNormal"/>
      </w:pPr>
    </w:p>
    <w:p w14:paraId="05ACDEA7" w14:textId="77777777" w:rsidR="00F64776" w:rsidRDefault="00F64776" w:rsidP="00F64776">
      <w:pPr>
        <w:pStyle w:val="TextoNormalCentrado"/>
      </w:pPr>
      <w:r>
        <w:t>ACUERDA</w:t>
      </w:r>
    </w:p>
    <w:p w14:paraId="15848042" w14:textId="173920D2" w:rsidR="00F64776" w:rsidRDefault="00F64776" w:rsidP="00F64776">
      <w:pPr>
        <w:pStyle w:val="TextoNormalCentrado"/>
      </w:pPr>
    </w:p>
    <w:p w14:paraId="093686B4" w14:textId="0BDA65E2" w:rsidR="00F64776" w:rsidRDefault="00F64776" w:rsidP="00F64776">
      <w:pPr>
        <w:pStyle w:val="TextoNormal"/>
      </w:pPr>
      <w:r>
        <w:t>Estimar justificada la abstención formulada por la magistrada doña Concepción Espejel Jorquera en el recurso de amparo núm. 2052-2023 y apartarla definitivamente del conocimiento del referido recurso y de todas sus incidencias.</w:t>
      </w:r>
    </w:p>
    <w:p w14:paraId="4D6C991B" w14:textId="77777777" w:rsidR="00F64776" w:rsidRDefault="00F64776" w:rsidP="00F64776">
      <w:pPr>
        <w:pStyle w:val="TextoNormal"/>
      </w:pPr>
    </w:p>
    <w:p w14:paraId="083A9EA2" w14:textId="77777777" w:rsidR="00F64776" w:rsidRDefault="00F64776" w:rsidP="00F64776">
      <w:pPr>
        <w:pStyle w:val="TextoNormal"/>
      </w:pPr>
      <w:r>
        <w:t>Madrid, a catorce de noviembre de dos mil veintitrés.</w:t>
      </w:r>
    </w:p>
    <w:p w14:paraId="158F2E53" w14:textId="30F0ECF6" w:rsidR="00F64776" w:rsidRDefault="00F64776">
      <w:pPr>
        <w:spacing w:after="160" w:line="278" w:lineRule="auto"/>
        <w:rPr>
          <w:rFonts w:ascii="Times New Roman" w:eastAsia="Times New Roman" w:hAnsi="Times New Roman" w:cs="Times New Roman"/>
          <w:sz w:val="24"/>
          <w:szCs w:val="24"/>
          <w:lang w:eastAsia="es-ES"/>
        </w:rPr>
      </w:pPr>
      <w:r>
        <w:br w:type="page"/>
      </w:r>
    </w:p>
    <w:p w14:paraId="3383180F" w14:textId="77777777" w:rsidR="00F64776" w:rsidRDefault="00F64776" w:rsidP="00F64776">
      <w:pPr>
        <w:pStyle w:val="TtuloResolucin"/>
      </w:pPr>
      <w:bookmarkStart w:id="362" w:name="AUTO_2023_577"/>
      <w:r>
        <w:t>AUTO 577/2023, de 16 de noviembre de 2023</w:t>
      </w:r>
    </w:p>
    <w:bookmarkEnd w:id="362"/>
    <w:p w14:paraId="7026FCC5" w14:textId="77777777" w:rsidR="00F64776" w:rsidRDefault="00F64776" w:rsidP="00F64776">
      <w:pPr>
        <w:pStyle w:val="TtuloResolucin"/>
      </w:pPr>
      <w:r>
        <w:t>Sección Tercera</w:t>
      </w:r>
    </w:p>
    <w:p w14:paraId="625C085D" w14:textId="77777777" w:rsidR="00F64776" w:rsidRDefault="00F64776" w:rsidP="00F64776">
      <w:pPr>
        <w:pStyle w:val="TextoNormalCentrado"/>
      </w:pPr>
      <w:r>
        <w:t>ECLI:ES:TC:2023:577A</w:t>
      </w:r>
    </w:p>
    <w:p w14:paraId="241F4306" w14:textId="5E5AF453" w:rsidR="00F64776" w:rsidRDefault="00F64776" w:rsidP="00F64776">
      <w:pPr>
        <w:pStyle w:val="TextoNormalCentrado"/>
      </w:pPr>
    </w:p>
    <w:p w14:paraId="44F62C9F" w14:textId="77777777" w:rsidR="00F64776" w:rsidRDefault="00F64776" w:rsidP="00F64776">
      <w:pPr>
        <w:pStyle w:val="SntesisDescriptiva"/>
      </w:pPr>
      <w:r>
        <w:t>Excms. Srs. doña Inmaculada Montalbán Huertas y doña Laura Díez Bueso.</w:t>
      </w:r>
    </w:p>
    <w:p w14:paraId="160DCED3" w14:textId="2AC43A1D" w:rsidR="00F64776" w:rsidRDefault="00F64776" w:rsidP="00F64776">
      <w:pPr>
        <w:pStyle w:val="SntesisDescriptiva"/>
      </w:pPr>
    </w:p>
    <w:p w14:paraId="1C9BC4A9" w14:textId="77777777" w:rsidR="00F64776" w:rsidRDefault="00F64776" w:rsidP="00F64776">
      <w:pPr>
        <w:pStyle w:val="SntesisDescriptiva"/>
      </w:pPr>
      <w:r>
        <w:t>Acepta una abstención en el recurso de amparo 7271-2021, promovido en proceso contencioso-administrativo.</w:t>
      </w:r>
    </w:p>
    <w:p w14:paraId="09BA111B" w14:textId="422EE88A" w:rsidR="00F64776" w:rsidRDefault="00F64776" w:rsidP="00F64776">
      <w:pPr>
        <w:pStyle w:val="SntesisDescriptiva"/>
      </w:pPr>
    </w:p>
    <w:p w14:paraId="50F436E3" w14:textId="77777777" w:rsidR="00F64776" w:rsidRDefault="00F64776" w:rsidP="00F64776">
      <w:pPr>
        <w:pStyle w:val="SntesisDescriptiva"/>
      </w:pPr>
    </w:p>
    <w:p w14:paraId="16F73F44" w14:textId="77777777" w:rsidR="00F64776" w:rsidRDefault="00F64776" w:rsidP="00F64776">
      <w:pPr>
        <w:pStyle w:val="SntesisDescriptiva"/>
      </w:pPr>
    </w:p>
    <w:p w14:paraId="48C9DCEE" w14:textId="77777777" w:rsidR="00F64776" w:rsidRDefault="00F64776" w:rsidP="00F64776">
      <w:pPr>
        <w:pStyle w:val="TextoNormalNegritaCentrado"/>
      </w:pPr>
      <w:r>
        <w:t>AUTO</w:t>
      </w:r>
    </w:p>
    <w:p w14:paraId="79481C9F" w14:textId="5E7EFD57" w:rsidR="00F64776" w:rsidRDefault="00F64776" w:rsidP="00F64776">
      <w:pPr>
        <w:pStyle w:val="TextoNormalNegritaCentrado"/>
      </w:pPr>
    </w:p>
    <w:p w14:paraId="3F6B27AF" w14:textId="77777777" w:rsidR="00F64776" w:rsidRDefault="00F64776" w:rsidP="00F64776">
      <w:pPr>
        <w:pStyle w:val="TextoNormalNegritaCentrado"/>
        <w:keepNext/>
      </w:pPr>
      <w:r>
        <w:t>I. Antecedentes</w:t>
      </w:r>
    </w:p>
    <w:p w14:paraId="67CF4206" w14:textId="1524CA22" w:rsidR="00F64776" w:rsidRDefault="00F64776" w:rsidP="00F64776">
      <w:pPr>
        <w:pStyle w:val="TextoNormalNegritaCentrado"/>
        <w:keepNext/>
      </w:pPr>
    </w:p>
    <w:p w14:paraId="6B400884" w14:textId="4508153B" w:rsidR="00F64776" w:rsidRDefault="00F64776" w:rsidP="00F64776">
      <w:pPr>
        <w:pStyle w:val="TextoNormal"/>
      </w:pPr>
      <w:r w:rsidRPr="00F64776">
        <w:rPr>
          <w:rStyle w:val="NumeroAFNegritaCaracter"/>
        </w:rPr>
        <w:t>1</w:t>
      </w:r>
      <w:r>
        <w:t>. Mediante escrito registrado en este tribunal el 16 de noviembre de 2021, la procuradora de los tribunales doña Paloma Rubio Peláez, en nombre y representación de don Alain Georges Migliaccio y bajo la dirección del letrado don Miguel Ángel Torres Colomar, formuló demanda de amparo contra la providencia de 17 de junio de 2021 de la Sección Primera de la Sala de lo Contencioso-Administrativo del Tribunal Supremo, en recurso de casación núm. 7891-2020.</w:t>
      </w:r>
    </w:p>
    <w:p w14:paraId="7DA2956C" w14:textId="77777777" w:rsidR="00F64776" w:rsidRDefault="00F64776" w:rsidP="00F64776">
      <w:pPr>
        <w:pStyle w:val="TextoNormal"/>
      </w:pPr>
    </w:p>
    <w:p w14:paraId="1E8DEAB7" w14:textId="47201F14" w:rsidR="00F64776" w:rsidRDefault="00F64776" w:rsidP="00F64776">
      <w:pPr>
        <w:pStyle w:val="TextoNormal"/>
      </w:pPr>
      <w:r w:rsidRPr="00F64776">
        <w:rPr>
          <w:rStyle w:val="NumeroAFNegritaCaracter"/>
        </w:rPr>
        <w:t>2</w:t>
      </w:r>
      <w:r>
        <w:t>. Por escrito de 4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7D1247B9" w14:textId="77777777" w:rsidR="00F64776" w:rsidRDefault="00F64776" w:rsidP="00F64776">
      <w:pPr>
        <w:pStyle w:val="TextoNormal"/>
      </w:pPr>
    </w:p>
    <w:p w14:paraId="4CF3D85D" w14:textId="77777777" w:rsidR="00F64776" w:rsidRDefault="00F64776" w:rsidP="00F64776">
      <w:pPr>
        <w:pStyle w:val="TextoNormalNegritaCentrado"/>
        <w:keepNext/>
      </w:pPr>
      <w:r>
        <w:t>II. Fundamentos jurídicos</w:t>
      </w:r>
    </w:p>
    <w:p w14:paraId="2EDAA533" w14:textId="150070CB" w:rsidR="00F64776" w:rsidRDefault="00F64776" w:rsidP="00F64776">
      <w:pPr>
        <w:pStyle w:val="TextoNormalNegritaCentrado"/>
        <w:keepNext/>
      </w:pPr>
    </w:p>
    <w:p w14:paraId="10070E41" w14:textId="048127A9"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1851927B" w14:textId="77777777" w:rsidR="00F64776" w:rsidRDefault="00F64776" w:rsidP="00F64776">
      <w:pPr>
        <w:pStyle w:val="TextoNormal"/>
      </w:pPr>
    </w:p>
    <w:p w14:paraId="1F511ED1" w14:textId="77777777" w:rsidR="00F64776" w:rsidRDefault="00F64776" w:rsidP="00F64776">
      <w:pPr>
        <w:pStyle w:val="TextoNormal"/>
      </w:pPr>
      <w:r>
        <w:t>Por lo expuesto, la Sección</w:t>
      </w:r>
    </w:p>
    <w:p w14:paraId="54F31F2B" w14:textId="0DFF89AB" w:rsidR="00F64776" w:rsidRDefault="00F64776" w:rsidP="00F64776">
      <w:pPr>
        <w:pStyle w:val="TextoNormal"/>
      </w:pPr>
    </w:p>
    <w:p w14:paraId="39F20C02" w14:textId="77777777" w:rsidR="00F64776" w:rsidRDefault="00F64776" w:rsidP="00F64776">
      <w:pPr>
        <w:pStyle w:val="TextoNormalCentrado"/>
      </w:pPr>
      <w:r>
        <w:t>ACUERDA</w:t>
      </w:r>
    </w:p>
    <w:p w14:paraId="3034C63C" w14:textId="73A5C7E2" w:rsidR="00F64776" w:rsidRDefault="00F64776" w:rsidP="00F64776">
      <w:pPr>
        <w:pStyle w:val="TextoNormalCentrado"/>
      </w:pPr>
    </w:p>
    <w:p w14:paraId="5EBD7819" w14:textId="25B549CD" w:rsidR="00F64776" w:rsidRDefault="00F64776" w:rsidP="00F64776">
      <w:pPr>
        <w:pStyle w:val="TextoNormal"/>
      </w:pPr>
      <w:r>
        <w:t>Estimar justificada la abstención formulada por el magistrado don César Tolosa Tribiño en el recurso de amparo núm. 7271-2021 y apartarle definitivamente del conocimiento del referido recurso y de todas sus incidencias.</w:t>
      </w:r>
    </w:p>
    <w:p w14:paraId="559B85DF" w14:textId="77777777" w:rsidR="00F64776" w:rsidRDefault="00F64776" w:rsidP="00F64776">
      <w:pPr>
        <w:pStyle w:val="TextoNormal"/>
      </w:pPr>
    </w:p>
    <w:p w14:paraId="2BC9C293" w14:textId="77777777" w:rsidR="00F64776" w:rsidRDefault="00F64776" w:rsidP="00F64776">
      <w:pPr>
        <w:pStyle w:val="TextoNormal"/>
      </w:pPr>
      <w:r>
        <w:t>Madrid, a dieciséis de noviembre de dos mil veintitrés.</w:t>
      </w:r>
    </w:p>
    <w:p w14:paraId="34CBADBA" w14:textId="04D485D3" w:rsidR="00F64776" w:rsidRDefault="00F64776">
      <w:pPr>
        <w:spacing w:after="160" w:line="278" w:lineRule="auto"/>
        <w:rPr>
          <w:rFonts w:ascii="Times New Roman" w:eastAsia="Times New Roman" w:hAnsi="Times New Roman" w:cs="Times New Roman"/>
          <w:sz w:val="24"/>
          <w:szCs w:val="24"/>
          <w:lang w:eastAsia="es-ES"/>
        </w:rPr>
      </w:pPr>
      <w:r>
        <w:br w:type="page"/>
      </w:r>
    </w:p>
    <w:p w14:paraId="6F2C7D95" w14:textId="77777777" w:rsidR="00F64776" w:rsidRDefault="00F64776" w:rsidP="00F64776">
      <w:pPr>
        <w:pStyle w:val="TtuloResolucin"/>
      </w:pPr>
      <w:bookmarkStart w:id="363" w:name="AUTO_2023_578"/>
      <w:r>
        <w:t>AUTO 578/2023, de 16 de noviembre de 2023</w:t>
      </w:r>
    </w:p>
    <w:bookmarkEnd w:id="363"/>
    <w:p w14:paraId="0A0B85D5" w14:textId="77777777" w:rsidR="00F64776" w:rsidRDefault="00F64776" w:rsidP="00F64776">
      <w:pPr>
        <w:pStyle w:val="TtuloResolucin"/>
      </w:pPr>
      <w:r>
        <w:t>Sección Tercera</w:t>
      </w:r>
    </w:p>
    <w:p w14:paraId="5C9D7A40" w14:textId="77777777" w:rsidR="00F64776" w:rsidRDefault="00F64776" w:rsidP="00F64776">
      <w:pPr>
        <w:pStyle w:val="TextoNormalCentrado"/>
      </w:pPr>
      <w:r>
        <w:t>ECLI:ES:TC:2023:578A</w:t>
      </w:r>
    </w:p>
    <w:p w14:paraId="397DD172" w14:textId="2AD8DCDB" w:rsidR="00F64776" w:rsidRDefault="00F64776" w:rsidP="00F64776">
      <w:pPr>
        <w:pStyle w:val="TextoNormalCentrado"/>
      </w:pPr>
    </w:p>
    <w:p w14:paraId="2BAFB520" w14:textId="77777777" w:rsidR="00F64776" w:rsidRDefault="00F64776" w:rsidP="00F64776">
      <w:pPr>
        <w:pStyle w:val="SntesisDescriptiva"/>
      </w:pPr>
      <w:r>
        <w:t>Excms. Srs. doña Inmaculada Montalbán Huertas y doña Laura Díez Bueso.</w:t>
      </w:r>
    </w:p>
    <w:p w14:paraId="423FB06F" w14:textId="20605BD5" w:rsidR="00F64776" w:rsidRDefault="00F64776" w:rsidP="00F64776">
      <w:pPr>
        <w:pStyle w:val="SntesisDescriptiva"/>
      </w:pPr>
    </w:p>
    <w:p w14:paraId="26E0C19E" w14:textId="77777777" w:rsidR="00F64776" w:rsidRDefault="00F64776" w:rsidP="00F64776">
      <w:pPr>
        <w:pStyle w:val="SntesisDescriptiva"/>
      </w:pPr>
      <w:r>
        <w:t>Acepta una abstención en el recurso de amparo 742-2022, promovido en proceso contencioso-administrativo.</w:t>
      </w:r>
    </w:p>
    <w:p w14:paraId="2D85F649" w14:textId="074616AE" w:rsidR="00F64776" w:rsidRDefault="00F64776" w:rsidP="00F64776">
      <w:pPr>
        <w:pStyle w:val="SntesisDescriptiva"/>
      </w:pPr>
    </w:p>
    <w:p w14:paraId="538DF58B" w14:textId="77777777" w:rsidR="00F64776" w:rsidRDefault="00F64776" w:rsidP="00F64776">
      <w:pPr>
        <w:pStyle w:val="SntesisDescriptiva"/>
      </w:pPr>
    </w:p>
    <w:p w14:paraId="2B353442" w14:textId="77777777" w:rsidR="00F64776" w:rsidRDefault="00F64776" w:rsidP="00F64776">
      <w:pPr>
        <w:pStyle w:val="SntesisDescriptiva"/>
      </w:pPr>
    </w:p>
    <w:p w14:paraId="7ACDC5C5" w14:textId="77777777" w:rsidR="00F64776" w:rsidRDefault="00F64776" w:rsidP="00F64776">
      <w:pPr>
        <w:pStyle w:val="TextoNormalNegritaCentrado"/>
      </w:pPr>
      <w:r>
        <w:t>AUTO</w:t>
      </w:r>
    </w:p>
    <w:p w14:paraId="51AA2966" w14:textId="08031F20" w:rsidR="00F64776" w:rsidRDefault="00F64776" w:rsidP="00F64776">
      <w:pPr>
        <w:pStyle w:val="TextoNormalNegritaCentrado"/>
      </w:pPr>
    </w:p>
    <w:p w14:paraId="7CBBBBB8" w14:textId="77777777" w:rsidR="00F64776" w:rsidRDefault="00F64776" w:rsidP="00F64776">
      <w:pPr>
        <w:pStyle w:val="TextoNormalNegritaCentrado"/>
        <w:keepNext/>
      </w:pPr>
      <w:r>
        <w:t>I. Antecedentes</w:t>
      </w:r>
    </w:p>
    <w:p w14:paraId="1EB7DEE6" w14:textId="0EEEDDB2" w:rsidR="00F64776" w:rsidRDefault="00F64776" w:rsidP="00F64776">
      <w:pPr>
        <w:pStyle w:val="TextoNormalNegritaCentrado"/>
        <w:keepNext/>
      </w:pPr>
    </w:p>
    <w:p w14:paraId="55745861" w14:textId="1C83342E" w:rsidR="00F64776" w:rsidRDefault="00F64776" w:rsidP="00F64776">
      <w:pPr>
        <w:pStyle w:val="TextoNormal"/>
      </w:pPr>
      <w:r w:rsidRPr="00F64776">
        <w:rPr>
          <w:rStyle w:val="NumeroAFNegritaCaracter"/>
        </w:rPr>
        <w:t>1</w:t>
      </w:r>
      <w:r>
        <w:t>. Mediante escrito registrado en este tribunal el 3 de febrero de 2022, la procuradora de los tribunales doña María Abellán Albertos, en nombre y representación de don Rachid Harrouch y bajo la dirección del letrado don José Fernando Cendoya Guerra, formuló demanda de amparo contra el auto de la Sala de lo Contencioso-Administrativo del Tribunal Supremo, en recurso de queja núm. 531-2021 contra el auto dictado por la Sección Octava de la Sala de igual orden de la Audiencia Nacional, en procedimiento ordinario núm. 388-2019.</w:t>
      </w:r>
    </w:p>
    <w:p w14:paraId="670D24E4" w14:textId="77777777" w:rsidR="00F64776" w:rsidRDefault="00F64776" w:rsidP="00F64776">
      <w:pPr>
        <w:pStyle w:val="TextoNormal"/>
      </w:pPr>
    </w:p>
    <w:p w14:paraId="719DC86D" w14:textId="34CE2354" w:rsidR="00F64776" w:rsidRDefault="00F64776" w:rsidP="00F64776">
      <w:pPr>
        <w:pStyle w:val="TextoNormal"/>
      </w:pPr>
      <w:r w:rsidRPr="00F64776">
        <w:rPr>
          <w:rStyle w:val="NumeroAFNegritaCaracter"/>
        </w:rPr>
        <w:t>2</w:t>
      </w:r>
      <w:r>
        <w:t>. Por escrito de 4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7D693710" w14:textId="77777777" w:rsidR="00F64776" w:rsidRDefault="00F64776" w:rsidP="00F64776">
      <w:pPr>
        <w:pStyle w:val="TextoNormal"/>
      </w:pPr>
    </w:p>
    <w:p w14:paraId="619ABAFB" w14:textId="77777777" w:rsidR="00F64776" w:rsidRDefault="00F64776" w:rsidP="00F64776">
      <w:pPr>
        <w:pStyle w:val="TextoNormalNegritaCentrado"/>
        <w:keepNext/>
      </w:pPr>
      <w:r>
        <w:t>II. Fundamentos jurídicos</w:t>
      </w:r>
    </w:p>
    <w:p w14:paraId="65CD15F6" w14:textId="07D06AB8" w:rsidR="00F64776" w:rsidRDefault="00F64776" w:rsidP="00F64776">
      <w:pPr>
        <w:pStyle w:val="TextoNormalNegritaCentrado"/>
        <w:keepNext/>
      </w:pPr>
    </w:p>
    <w:p w14:paraId="5DB517F6" w14:textId="4CDF9CC2"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0B5227FC" w14:textId="77777777" w:rsidR="00F64776" w:rsidRDefault="00F64776" w:rsidP="00F64776">
      <w:pPr>
        <w:pStyle w:val="TextoNormal"/>
      </w:pPr>
    </w:p>
    <w:p w14:paraId="64007624" w14:textId="77777777" w:rsidR="00F64776" w:rsidRDefault="00F64776" w:rsidP="00F64776">
      <w:pPr>
        <w:pStyle w:val="TextoNormal"/>
      </w:pPr>
      <w:r>
        <w:t>Por lo expuesto, la Sección</w:t>
      </w:r>
    </w:p>
    <w:p w14:paraId="1E416761" w14:textId="4E27B2BA" w:rsidR="00F64776" w:rsidRDefault="00F64776" w:rsidP="00F64776">
      <w:pPr>
        <w:pStyle w:val="TextoNormal"/>
      </w:pPr>
    </w:p>
    <w:p w14:paraId="63AB324B" w14:textId="77777777" w:rsidR="00F64776" w:rsidRDefault="00F64776" w:rsidP="00F64776">
      <w:pPr>
        <w:pStyle w:val="TextoNormalCentrado"/>
      </w:pPr>
      <w:r>
        <w:t>ACUERDA</w:t>
      </w:r>
    </w:p>
    <w:p w14:paraId="5F57142B" w14:textId="2AADABF9" w:rsidR="00F64776" w:rsidRDefault="00F64776" w:rsidP="00F64776">
      <w:pPr>
        <w:pStyle w:val="TextoNormalCentrado"/>
      </w:pPr>
    </w:p>
    <w:p w14:paraId="66467389" w14:textId="37CB43F5" w:rsidR="00F64776" w:rsidRDefault="00F64776" w:rsidP="00F64776">
      <w:pPr>
        <w:pStyle w:val="TextoNormal"/>
      </w:pPr>
      <w:r>
        <w:t>Estimar justificada la abstención formulada por el magistrado don César Tolosa Tribiño en el recurso de amparo núm. 742-2022 y apartarle definitivamente del conocimiento del referido recurso y de todas sus incidencias.</w:t>
      </w:r>
    </w:p>
    <w:p w14:paraId="341B9574" w14:textId="77777777" w:rsidR="00F64776" w:rsidRDefault="00F64776" w:rsidP="00F64776">
      <w:pPr>
        <w:pStyle w:val="TextoNormal"/>
      </w:pPr>
    </w:p>
    <w:p w14:paraId="154AB7DC" w14:textId="77777777" w:rsidR="00F64776" w:rsidRDefault="00F64776" w:rsidP="00F64776">
      <w:pPr>
        <w:pStyle w:val="TextoNormal"/>
      </w:pPr>
      <w:r>
        <w:t>Madrid, a dieciséis de noviembre de dos mil veintitrés.</w:t>
      </w:r>
    </w:p>
    <w:p w14:paraId="2DC292BE" w14:textId="1C845260" w:rsidR="00F64776" w:rsidRDefault="00F64776">
      <w:pPr>
        <w:spacing w:after="160" w:line="278" w:lineRule="auto"/>
        <w:rPr>
          <w:rFonts w:ascii="Times New Roman" w:eastAsia="Times New Roman" w:hAnsi="Times New Roman" w:cs="Times New Roman"/>
          <w:sz w:val="24"/>
          <w:szCs w:val="24"/>
          <w:lang w:eastAsia="es-ES"/>
        </w:rPr>
      </w:pPr>
      <w:r>
        <w:br w:type="page"/>
      </w:r>
    </w:p>
    <w:p w14:paraId="65BAD787" w14:textId="77777777" w:rsidR="00F64776" w:rsidRDefault="00F64776" w:rsidP="00F64776">
      <w:pPr>
        <w:pStyle w:val="TtuloResolucin"/>
      </w:pPr>
      <w:bookmarkStart w:id="364" w:name="AUTO_2023_579"/>
      <w:r>
        <w:t>AUTO 579/2023, de 16 de noviembre de 2023</w:t>
      </w:r>
    </w:p>
    <w:bookmarkEnd w:id="364"/>
    <w:p w14:paraId="50616D4D" w14:textId="77777777" w:rsidR="00F64776" w:rsidRDefault="00F64776" w:rsidP="00F64776">
      <w:pPr>
        <w:pStyle w:val="TtuloResolucin"/>
      </w:pPr>
      <w:r>
        <w:t>Sección Tercera</w:t>
      </w:r>
    </w:p>
    <w:p w14:paraId="02315DF4" w14:textId="77777777" w:rsidR="00F64776" w:rsidRDefault="00F64776" w:rsidP="00F64776">
      <w:pPr>
        <w:pStyle w:val="TextoNormalCentrado"/>
      </w:pPr>
      <w:r>
        <w:t>ECLI:ES:TC:2023:579A</w:t>
      </w:r>
    </w:p>
    <w:p w14:paraId="6DEE1207" w14:textId="61367B9F" w:rsidR="00F64776" w:rsidRDefault="00F64776" w:rsidP="00F64776">
      <w:pPr>
        <w:pStyle w:val="TextoNormalCentrado"/>
      </w:pPr>
    </w:p>
    <w:p w14:paraId="6DDDE450" w14:textId="77777777" w:rsidR="00F64776" w:rsidRDefault="00F64776" w:rsidP="00F64776">
      <w:pPr>
        <w:pStyle w:val="SntesisDescriptiva"/>
      </w:pPr>
      <w:r>
        <w:t>Excms. Srs. doña Inmaculada Montalbán Huertas y doña Laura Díez Bueso.</w:t>
      </w:r>
    </w:p>
    <w:p w14:paraId="11E47B5E" w14:textId="055D7854" w:rsidR="00F64776" w:rsidRDefault="00F64776" w:rsidP="00F64776">
      <w:pPr>
        <w:pStyle w:val="SntesisDescriptiva"/>
      </w:pPr>
    </w:p>
    <w:p w14:paraId="7082E668" w14:textId="77777777" w:rsidR="00F64776" w:rsidRDefault="00F64776" w:rsidP="00F64776">
      <w:pPr>
        <w:pStyle w:val="SntesisDescriptiva"/>
      </w:pPr>
      <w:r>
        <w:t>Acepta una abstención en el recurso de amparo 814-2022, promovido en proceso contencioso-administrativo.</w:t>
      </w:r>
    </w:p>
    <w:p w14:paraId="62EA5F43" w14:textId="54558958" w:rsidR="00F64776" w:rsidRDefault="00F64776" w:rsidP="00F64776">
      <w:pPr>
        <w:pStyle w:val="SntesisDescriptiva"/>
      </w:pPr>
    </w:p>
    <w:p w14:paraId="474D0C09" w14:textId="77777777" w:rsidR="00F64776" w:rsidRDefault="00F64776" w:rsidP="00F64776">
      <w:pPr>
        <w:pStyle w:val="SntesisDescriptiva"/>
      </w:pPr>
    </w:p>
    <w:p w14:paraId="5BE3D9D1" w14:textId="77777777" w:rsidR="00F64776" w:rsidRDefault="00F64776" w:rsidP="00F64776">
      <w:pPr>
        <w:pStyle w:val="SntesisDescriptiva"/>
      </w:pPr>
    </w:p>
    <w:p w14:paraId="0D724875" w14:textId="77777777" w:rsidR="00F64776" w:rsidRDefault="00F64776" w:rsidP="00F64776">
      <w:pPr>
        <w:pStyle w:val="TextoNormalNegritaCentrado"/>
      </w:pPr>
      <w:r>
        <w:t>AUTO</w:t>
      </w:r>
    </w:p>
    <w:p w14:paraId="7E744F47" w14:textId="4F1255CC" w:rsidR="00F64776" w:rsidRDefault="00F64776" w:rsidP="00F64776">
      <w:pPr>
        <w:pStyle w:val="TextoNormalNegritaCentrado"/>
      </w:pPr>
    </w:p>
    <w:p w14:paraId="233042EA" w14:textId="77777777" w:rsidR="00F64776" w:rsidRDefault="00F64776" w:rsidP="00F64776">
      <w:pPr>
        <w:pStyle w:val="TextoNormalNegritaCentrado"/>
        <w:keepNext/>
      </w:pPr>
      <w:r>
        <w:t>I. Antecedentes</w:t>
      </w:r>
    </w:p>
    <w:p w14:paraId="69CB4BD0" w14:textId="37286179" w:rsidR="00F64776" w:rsidRDefault="00F64776" w:rsidP="00F64776">
      <w:pPr>
        <w:pStyle w:val="TextoNormalNegritaCentrado"/>
        <w:keepNext/>
      </w:pPr>
    </w:p>
    <w:p w14:paraId="5FDE540F" w14:textId="45AFFAC2" w:rsidR="00F64776" w:rsidRDefault="00F64776" w:rsidP="00F64776">
      <w:pPr>
        <w:pStyle w:val="TextoNormal"/>
      </w:pPr>
      <w:r w:rsidRPr="00F64776">
        <w:rPr>
          <w:rStyle w:val="NumeroAFNegritaCaracter"/>
        </w:rPr>
        <w:t>1</w:t>
      </w:r>
      <w:r>
        <w:t>. Mediante escrito registrado en este tribunal el 7 de febrero de 2022, la procuradora de los tribunales doña Mónica Sánchez Cano, en nombre y representación de don Ismail Ait Fares y bajo la dirección del letrado don Julio Pérez Martín, formuló demanda de amparo contra el auto de la Sección Primera de la Sala de lo Contencioso-Administrativo del Tribunal Supremo en recurso de queja núm. 560-2021 contra el dictado por la Sección Tercera de la Sala de igual orden de la Audiencia Nacional, en procedimiento ordinario núm. 638-2018.</w:t>
      </w:r>
    </w:p>
    <w:p w14:paraId="5D100477" w14:textId="77777777" w:rsidR="00F64776" w:rsidRDefault="00F64776" w:rsidP="00F64776">
      <w:pPr>
        <w:pStyle w:val="TextoNormal"/>
      </w:pPr>
    </w:p>
    <w:p w14:paraId="64CD0EAA" w14:textId="25FC5E9F" w:rsidR="00F64776" w:rsidRDefault="00F64776" w:rsidP="00F64776">
      <w:pPr>
        <w:pStyle w:val="TextoNormal"/>
      </w:pPr>
      <w:r w:rsidRPr="00F64776">
        <w:rPr>
          <w:rStyle w:val="NumeroAFNegritaCaracter"/>
        </w:rPr>
        <w:t>2</w:t>
      </w:r>
      <w:r>
        <w:t>. Por escrito de 4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2E20FE98" w14:textId="77777777" w:rsidR="00F64776" w:rsidRDefault="00F64776" w:rsidP="00F64776">
      <w:pPr>
        <w:pStyle w:val="TextoNormal"/>
      </w:pPr>
    </w:p>
    <w:p w14:paraId="4EF89E94" w14:textId="77777777" w:rsidR="00F64776" w:rsidRDefault="00F64776" w:rsidP="00F64776">
      <w:pPr>
        <w:pStyle w:val="TextoNormalNegritaCentrado"/>
        <w:keepNext/>
      </w:pPr>
      <w:r>
        <w:t>II. Fundamentos jurídicos</w:t>
      </w:r>
    </w:p>
    <w:p w14:paraId="55DE216C" w14:textId="45B51522" w:rsidR="00F64776" w:rsidRDefault="00F64776" w:rsidP="00F64776">
      <w:pPr>
        <w:pStyle w:val="TextoNormalNegritaCentrado"/>
        <w:keepNext/>
      </w:pPr>
    </w:p>
    <w:p w14:paraId="229D10CB" w14:textId="72784F81"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66C4FF74" w14:textId="77777777" w:rsidR="00F64776" w:rsidRDefault="00F64776" w:rsidP="00F64776">
      <w:pPr>
        <w:pStyle w:val="TextoNormal"/>
      </w:pPr>
    </w:p>
    <w:p w14:paraId="7EDAD16E" w14:textId="77777777" w:rsidR="00F64776" w:rsidRDefault="00F64776" w:rsidP="00F64776">
      <w:pPr>
        <w:pStyle w:val="TextoNormal"/>
      </w:pPr>
      <w:r>
        <w:t>Por lo expuesto, la Sección</w:t>
      </w:r>
    </w:p>
    <w:p w14:paraId="5876BFF6" w14:textId="5EAF1C3A" w:rsidR="00F64776" w:rsidRDefault="00F64776" w:rsidP="00F64776">
      <w:pPr>
        <w:pStyle w:val="TextoNormal"/>
      </w:pPr>
    </w:p>
    <w:p w14:paraId="061A9F55" w14:textId="77777777" w:rsidR="00F64776" w:rsidRDefault="00F64776" w:rsidP="00F64776">
      <w:pPr>
        <w:pStyle w:val="TextoNormalCentrado"/>
      </w:pPr>
      <w:r>
        <w:t>ACUERDA</w:t>
      </w:r>
    </w:p>
    <w:p w14:paraId="048532B3" w14:textId="04F6AB69" w:rsidR="00F64776" w:rsidRDefault="00F64776" w:rsidP="00F64776">
      <w:pPr>
        <w:pStyle w:val="TextoNormalCentrado"/>
      </w:pPr>
    </w:p>
    <w:p w14:paraId="1CE052CB" w14:textId="64D50A57" w:rsidR="00F64776" w:rsidRDefault="00F64776" w:rsidP="00F64776">
      <w:pPr>
        <w:pStyle w:val="TextoNormal"/>
      </w:pPr>
      <w:r>
        <w:t>Estimar justificada la abstención formulada por el magistrado don César Tolosa Tribiño en el recurso de amparo núm. 814-2022 y apartarle definitivamente del conocimiento del referido recurso y de todas sus incidencias.</w:t>
      </w:r>
    </w:p>
    <w:p w14:paraId="3548934D" w14:textId="77777777" w:rsidR="00F64776" w:rsidRDefault="00F64776" w:rsidP="00F64776">
      <w:pPr>
        <w:pStyle w:val="TextoNormal"/>
      </w:pPr>
    </w:p>
    <w:p w14:paraId="1A8CE316" w14:textId="77777777" w:rsidR="00F64776" w:rsidRDefault="00F64776" w:rsidP="00F64776">
      <w:pPr>
        <w:pStyle w:val="TextoNormal"/>
      </w:pPr>
      <w:r>
        <w:t>Madrid, a dieciséis de noviembre de dos mil veintitrés.</w:t>
      </w:r>
    </w:p>
    <w:p w14:paraId="08EF4BEA" w14:textId="5F4017A3" w:rsidR="00F64776" w:rsidRDefault="00F64776">
      <w:pPr>
        <w:spacing w:after="160" w:line="278" w:lineRule="auto"/>
        <w:rPr>
          <w:rFonts w:ascii="Times New Roman" w:eastAsia="Times New Roman" w:hAnsi="Times New Roman" w:cs="Times New Roman"/>
          <w:sz w:val="24"/>
          <w:szCs w:val="24"/>
          <w:lang w:eastAsia="es-ES"/>
        </w:rPr>
      </w:pPr>
      <w:r>
        <w:br w:type="page"/>
      </w:r>
    </w:p>
    <w:p w14:paraId="5B8A7391" w14:textId="77777777" w:rsidR="00F64776" w:rsidRDefault="00F64776" w:rsidP="00F64776">
      <w:pPr>
        <w:pStyle w:val="TtuloResolucin"/>
      </w:pPr>
      <w:bookmarkStart w:id="365" w:name="AUTO_2023_580"/>
      <w:r>
        <w:t>AUTO 580/2023, de 16 de noviembre de 2023</w:t>
      </w:r>
    </w:p>
    <w:bookmarkEnd w:id="365"/>
    <w:p w14:paraId="64BC6F0A" w14:textId="77777777" w:rsidR="00F64776" w:rsidRDefault="00F64776" w:rsidP="00F64776">
      <w:pPr>
        <w:pStyle w:val="TtuloResolucin"/>
      </w:pPr>
      <w:r>
        <w:t>Sección Tercera</w:t>
      </w:r>
    </w:p>
    <w:p w14:paraId="7D5D798E" w14:textId="77777777" w:rsidR="00F64776" w:rsidRDefault="00F64776" w:rsidP="00F64776">
      <w:pPr>
        <w:pStyle w:val="TextoNormalCentrado"/>
      </w:pPr>
      <w:r>
        <w:t>ECLI:ES:TC:2023:580A</w:t>
      </w:r>
    </w:p>
    <w:p w14:paraId="1C4B37C3" w14:textId="0CA6FDA6" w:rsidR="00F64776" w:rsidRDefault="00F64776" w:rsidP="00F64776">
      <w:pPr>
        <w:pStyle w:val="TextoNormalCentrado"/>
      </w:pPr>
    </w:p>
    <w:p w14:paraId="6D66285F" w14:textId="77777777" w:rsidR="00F64776" w:rsidRDefault="00F64776" w:rsidP="00F64776">
      <w:pPr>
        <w:pStyle w:val="SntesisDescriptiva"/>
      </w:pPr>
      <w:r>
        <w:t>Excms. Srs. doña Inmaculada Montalbán Huertas y doña Laura Díez Bueso.</w:t>
      </w:r>
    </w:p>
    <w:p w14:paraId="251DE301" w14:textId="069A6D77" w:rsidR="00F64776" w:rsidRDefault="00F64776" w:rsidP="00F64776">
      <w:pPr>
        <w:pStyle w:val="SntesisDescriptiva"/>
      </w:pPr>
    </w:p>
    <w:p w14:paraId="24810479" w14:textId="77777777" w:rsidR="00F64776" w:rsidRDefault="00F64776" w:rsidP="00F64776">
      <w:pPr>
        <w:pStyle w:val="SntesisDescriptiva"/>
      </w:pPr>
      <w:r>
        <w:t>Acepta una abstención en el recurso de amparo 1433-2022, promovido en proceso contencioso-administrativo.</w:t>
      </w:r>
    </w:p>
    <w:p w14:paraId="4D970733" w14:textId="35FC20BF" w:rsidR="00F64776" w:rsidRDefault="00F64776" w:rsidP="00F64776">
      <w:pPr>
        <w:pStyle w:val="SntesisDescriptiva"/>
      </w:pPr>
    </w:p>
    <w:p w14:paraId="70E699B2" w14:textId="77777777" w:rsidR="00F64776" w:rsidRDefault="00F64776" w:rsidP="00F64776">
      <w:pPr>
        <w:pStyle w:val="SntesisDescriptiva"/>
      </w:pPr>
    </w:p>
    <w:p w14:paraId="671733E9" w14:textId="77777777" w:rsidR="00F64776" w:rsidRDefault="00F64776" w:rsidP="00F64776">
      <w:pPr>
        <w:pStyle w:val="SntesisDescriptiva"/>
      </w:pPr>
    </w:p>
    <w:p w14:paraId="164D8E17" w14:textId="77777777" w:rsidR="00F64776" w:rsidRDefault="00F64776" w:rsidP="00F64776">
      <w:pPr>
        <w:pStyle w:val="TextoNormalNegritaCentrado"/>
      </w:pPr>
      <w:r>
        <w:t>AUTO</w:t>
      </w:r>
    </w:p>
    <w:p w14:paraId="45CAD1A8" w14:textId="10DA0063" w:rsidR="00F64776" w:rsidRDefault="00F64776" w:rsidP="00F64776">
      <w:pPr>
        <w:pStyle w:val="TextoNormalNegritaCentrado"/>
      </w:pPr>
    </w:p>
    <w:p w14:paraId="1BCCCDDC" w14:textId="77777777" w:rsidR="00F64776" w:rsidRDefault="00F64776" w:rsidP="00F64776">
      <w:pPr>
        <w:pStyle w:val="TextoNormalNegritaCentrado"/>
        <w:keepNext/>
      </w:pPr>
      <w:r>
        <w:t>I. Antecedentes</w:t>
      </w:r>
    </w:p>
    <w:p w14:paraId="218223D5" w14:textId="18A562D2" w:rsidR="00F64776" w:rsidRDefault="00F64776" w:rsidP="00F64776">
      <w:pPr>
        <w:pStyle w:val="TextoNormalNegritaCentrado"/>
        <w:keepNext/>
      </w:pPr>
    </w:p>
    <w:p w14:paraId="7C6E7B90" w14:textId="31AA1FF1" w:rsidR="00F64776" w:rsidRDefault="00F64776" w:rsidP="00F64776">
      <w:pPr>
        <w:pStyle w:val="TextoNormal"/>
      </w:pPr>
      <w:r w:rsidRPr="00F64776">
        <w:rPr>
          <w:rStyle w:val="NumeroAFNegritaCaracter"/>
        </w:rPr>
        <w:t>1</w:t>
      </w:r>
      <w:r>
        <w:t>. Mediante escrito registrado en este tribunal el 3 de marzo de 2022, la procuradora de los tribunales doña Irene Gutiérrez Carrillo, en nombre y representación de doña Ghada Helmi Zaki Alayadi y otros y bajo la dirección del letrado don Iván Ortega Ruiz, formuló demanda de amparo contra el auto de la Sección Primera de la Sala de lo Contencioso-Administrativo del Tribunal Supremo, en recurso de queja núm. 556-2021 contra el dictado por la Sección Segunda de la Sala de igual orden de la Audiencia Nacional, procedimiento ordinario núm.1171-2017.</w:t>
      </w:r>
    </w:p>
    <w:p w14:paraId="779AB04B" w14:textId="77777777" w:rsidR="00F64776" w:rsidRDefault="00F64776" w:rsidP="00F64776">
      <w:pPr>
        <w:pStyle w:val="TextoNormal"/>
      </w:pPr>
    </w:p>
    <w:p w14:paraId="75A10614" w14:textId="0314EF6A" w:rsidR="00F64776" w:rsidRDefault="00F64776" w:rsidP="00F64776">
      <w:pPr>
        <w:pStyle w:val="TextoNormal"/>
      </w:pPr>
      <w:r w:rsidRPr="00F64776">
        <w:rPr>
          <w:rStyle w:val="NumeroAFNegritaCaracter"/>
        </w:rPr>
        <w:t>2</w:t>
      </w:r>
      <w:r>
        <w:t>. Por escrito de 4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65E86273" w14:textId="77777777" w:rsidR="00F64776" w:rsidRDefault="00F64776" w:rsidP="00F64776">
      <w:pPr>
        <w:pStyle w:val="TextoNormal"/>
      </w:pPr>
    </w:p>
    <w:p w14:paraId="5BAF7E2F" w14:textId="77777777" w:rsidR="00F64776" w:rsidRDefault="00F64776" w:rsidP="00F64776">
      <w:pPr>
        <w:pStyle w:val="TextoNormalNegritaCentrado"/>
        <w:keepNext/>
      </w:pPr>
      <w:r>
        <w:t>II. Fundamentos jurídicos</w:t>
      </w:r>
    </w:p>
    <w:p w14:paraId="20047ACB" w14:textId="66E78A3F" w:rsidR="00F64776" w:rsidRDefault="00F64776" w:rsidP="00F64776">
      <w:pPr>
        <w:pStyle w:val="TextoNormalNegritaCentrado"/>
        <w:keepNext/>
      </w:pPr>
    </w:p>
    <w:p w14:paraId="7BF4AD57" w14:textId="57AFCBC5"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5E79DFAC" w14:textId="77777777" w:rsidR="00F64776" w:rsidRDefault="00F64776" w:rsidP="00F64776">
      <w:pPr>
        <w:pStyle w:val="TextoNormal"/>
      </w:pPr>
    </w:p>
    <w:p w14:paraId="5BDA002A" w14:textId="77777777" w:rsidR="00F64776" w:rsidRDefault="00F64776" w:rsidP="00F64776">
      <w:pPr>
        <w:pStyle w:val="TextoNormal"/>
      </w:pPr>
      <w:r>
        <w:t>Por lo expuesto, la Sección</w:t>
      </w:r>
    </w:p>
    <w:p w14:paraId="3BFAFB69" w14:textId="268BCA3B" w:rsidR="00F64776" w:rsidRDefault="00F64776" w:rsidP="00F64776">
      <w:pPr>
        <w:pStyle w:val="TextoNormal"/>
      </w:pPr>
    </w:p>
    <w:p w14:paraId="057A62B3" w14:textId="77777777" w:rsidR="00F64776" w:rsidRDefault="00F64776" w:rsidP="00F64776">
      <w:pPr>
        <w:pStyle w:val="TextoNormalCentrado"/>
      </w:pPr>
      <w:r>
        <w:t>ACUERDA</w:t>
      </w:r>
    </w:p>
    <w:p w14:paraId="5CA8ADC0" w14:textId="4E1E8FAB" w:rsidR="00F64776" w:rsidRDefault="00F64776" w:rsidP="00F64776">
      <w:pPr>
        <w:pStyle w:val="TextoNormalCentrado"/>
      </w:pPr>
    </w:p>
    <w:p w14:paraId="78CAFBFA" w14:textId="1E31AE91" w:rsidR="00F64776" w:rsidRDefault="00F64776" w:rsidP="00F64776">
      <w:pPr>
        <w:pStyle w:val="TextoNormal"/>
      </w:pPr>
      <w:r>
        <w:t>Estimar justificada la abstención formulada por el magistrado don César Tolosa Tribiño en el recurso de amparo núm. 1433-2022 y apartarle definitivamente del conocimiento del referido recurso y de todas sus incidencias.</w:t>
      </w:r>
    </w:p>
    <w:p w14:paraId="4A3A5CFE" w14:textId="77777777" w:rsidR="00F64776" w:rsidRDefault="00F64776" w:rsidP="00F64776">
      <w:pPr>
        <w:pStyle w:val="TextoNormal"/>
      </w:pPr>
    </w:p>
    <w:p w14:paraId="1652F359" w14:textId="77777777" w:rsidR="00F64776" w:rsidRDefault="00F64776" w:rsidP="00F64776">
      <w:pPr>
        <w:pStyle w:val="TextoNormal"/>
      </w:pPr>
      <w:r>
        <w:t>Madrid, a dieciséis de noviembre de dos mil veintitrés.</w:t>
      </w:r>
    </w:p>
    <w:p w14:paraId="65DD4012" w14:textId="73EFE999" w:rsidR="00F64776" w:rsidRDefault="00F64776">
      <w:pPr>
        <w:spacing w:after="160" w:line="278" w:lineRule="auto"/>
        <w:rPr>
          <w:rFonts w:ascii="Times New Roman" w:eastAsia="Times New Roman" w:hAnsi="Times New Roman" w:cs="Times New Roman"/>
          <w:sz w:val="24"/>
          <w:szCs w:val="24"/>
          <w:lang w:eastAsia="es-ES"/>
        </w:rPr>
      </w:pPr>
      <w:r>
        <w:br w:type="page"/>
      </w:r>
    </w:p>
    <w:p w14:paraId="77BD3092" w14:textId="77777777" w:rsidR="00F64776" w:rsidRDefault="00F64776" w:rsidP="00F64776">
      <w:pPr>
        <w:pStyle w:val="TtuloResolucin"/>
      </w:pPr>
      <w:bookmarkStart w:id="366" w:name="AUTO_2023_581"/>
      <w:r>
        <w:t>AUTO 581/2023, de 16 de noviembre de 2023</w:t>
      </w:r>
    </w:p>
    <w:bookmarkEnd w:id="366"/>
    <w:p w14:paraId="5E55BA43" w14:textId="77777777" w:rsidR="00F64776" w:rsidRDefault="00F64776" w:rsidP="00F64776">
      <w:pPr>
        <w:pStyle w:val="TtuloResolucin"/>
      </w:pPr>
      <w:r>
        <w:t>Sección Tercera</w:t>
      </w:r>
    </w:p>
    <w:p w14:paraId="469AA242" w14:textId="77777777" w:rsidR="00F64776" w:rsidRDefault="00F64776" w:rsidP="00F64776">
      <w:pPr>
        <w:pStyle w:val="TextoNormalCentrado"/>
      </w:pPr>
      <w:r>
        <w:t>ECLI:ES:TC:2023:581A</w:t>
      </w:r>
    </w:p>
    <w:p w14:paraId="7CF410D1" w14:textId="3A360CED" w:rsidR="00F64776" w:rsidRDefault="00F64776" w:rsidP="00F64776">
      <w:pPr>
        <w:pStyle w:val="TextoNormalCentrado"/>
      </w:pPr>
    </w:p>
    <w:p w14:paraId="3414FFE0" w14:textId="77777777" w:rsidR="00F64776" w:rsidRDefault="00F64776" w:rsidP="00F64776">
      <w:pPr>
        <w:pStyle w:val="SntesisDescriptiva"/>
      </w:pPr>
      <w:r>
        <w:t>Excms. Srs. doña Inmaculada Montalbán Huertas y doña Laura Díez Bueso.</w:t>
      </w:r>
    </w:p>
    <w:p w14:paraId="0CEBD309" w14:textId="4E0BC1C2" w:rsidR="00F64776" w:rsidRDefault="00F64776" w:rsidP="00F64776">
      <w:pPr>
        <w:pStyle w:val="SntesisDescriptiva"/>
      </w:pPr>
    </w:p>
    <w:p w14:paraId="28512DB2" w14:textId="77777777" w:rsidR="00F64776" w:rsidRDefault="00F64776" w:rsidP="00F64776">
      <w:pPr>
        <w:pStyle w:val="SntesisDescriptiva"/>
      </w:pPr>
      <w:r>
        <w:t>Acepta una abstención en el recurso de amparo 1800-2022, promovido en proceso contencioso-administrativo.</w:t>
      </w:r>
    </w:p>
    <w:p w14:paraId="43B68055" w14:textId="4B6622C8" w:rsidR="00F64776" w:rsidRDefault="00F64776" w:rsidP="00F64776">
      <w:pPr>
        <w:pStyle w:val="SntesisDescriptiva"/>
      </w:pPr>
    </w:p>
    <w:p w14:paraId="7D91DDD6" w14:textId="77777777" w:rsidR="00F64776" w:rsidRDefault="00F64776" w:rsidP="00F64776">
      <w:pPr>
        <w:pStyle w:val="SntesisDescriptiva"/>
      </w:pPr>
    </w:p>
    <w:p w14:paraId="54EE3149" w14:textId="77777777" w:rsidR="00F64776" w:rsidRDefault="00F64776" w:rsidP="00F64776">
      <w:pPr>
        <w:pStyle w:val="SntesisDescriptiva"/>
      </w:pPr>
    </w:p>
    <w:p w14:paraId="1ACB87E6" w14:textId="77777777" w:rsidR="00F64776" w:rsidRDefault="00F64776" w:rsidP="00F64776">
      <w:pPr>
        <w:pStyle w:val="TextoNormalNegritaCentrado"/>
      </w:pPr>
      <w:r>
        <w:t>AUTO</w:t>
      </w:r>
    </w:p>
    <w:p w14:paraId="25984510" w14:textId="5D9E3E5E" w:rsidR="00F64776" w:rsidRDefault="00F64776" w:rsidP="00F64776">
      <w:pPr>
        <w:pStyle w:val="TextoNormalNegritaCentrado"/>
      </w:pPr>
    </w:p>
    <w:p w14:paraId="6DD1C48D" w14:textId="77777777" w:rsidR="00F64776" w:rsidRDefault="00F64776" w:rsidP="00F64776">
      <w:pPr>
        <w:pStyle w:val="TextoNormalNegritaCentrado"/>
        <w:keepNext/>
      </w:pPr>
      <w:r>
        <w:t>I. Antecedentes</w:t>
      </w:r>
    </w:p>
    <w:p w14:paraId="03317E72" w14:textId="1CCC89DE" w:rsidR="00F64776" w:rsidRDefault="00F64776" w:rsidP="00F64776">
      <w:pPr>
        <w:pStyle w:val="TextoNormalNegritaCentrado"/>
        <w:keepNext/>
      </w:pPr>
    </w:p>
    <w:p w14:paraId="25AF0F16" w14:textId="59E5E25F" w:rsidR="00F64776" w:rsidRDefault="00F64776" w:rsidP="00F64776">
      <w:pPr>
        <w:pStyle w:val="TextoNormal"/>
      </w:pPr>
      <w:r w:rsidRPr="00F64776">
        <w:rPr>
          <w:rStyle w:val="NumeroAFNegritaCaracter"/>
        </w:rPr>
        <w:t>1</w:t>
      </w:r>
      <w:r>
        <w:t>. Mediante escrito registrado en este tribunal el 15 de marzo de 2022, el procurador de los tribunales don José Ramón Pardo Martínez, en nombre y representación de don Soufiane Smahi y bajo la dirección del letrado don Francisco Javier Aragón Cánovas, formuló demanda de amparo contra la providencia de la Sala de lo Contencioso-Administrativo del Tribunal Supremo, en recurso de casación núm. 7975-2021.</w:t>
      </w:r>
    </w:p>
    <w:p w14:paraId="64DB5AE0" w14:textId="77777777" w:rsidR="00F64776" w:rsidRDefault="00F64776" w:rsidP="00F64776">
      <w:pPr>
        <w:pStyle w:val="TextoNormal"/>
      </w:pPr>
    </w:p>
    <w:p w14:paraId="2700F2D6" w14:textId="00E1DECE" w:rsidR="00F64776" w:rsidRDefault="00F64776" w:rsidP="00F64776">
      <w:pPr>
        <w:pStyle w:val="TextoNormal"/>
      </w:pPr>
      <w:r w:rsidRPr="00F64776">
        <w:rPr>
          <w:rStyle w:val="NumeroAFNegritaCaracter"/>
        </w:rPr>
        <w:t>2</w:t>
      </w:r>
      <w:r>
        <w:t>. Por escrito de 4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02F927B8" w14:textId="77777777" w:rsidR="00F64776" w:rsidRDefault="00F64776" w:rsidP="00F64776">
      <w:pPr>
        <w:pStyle w:val="TextoNormal"/>
      </w:pPr>
    </w:p>
    <w:p w14:paraId="1BBE39A7" w14:textId="77777777" w:rsidR="00F64776" w:rsidRDefault="00F64776" w:rsidP="00F64776">
      <w:pPr>
        <w:pStyle w:val="TextoNormalNegritaCentrado"/>
        <w:keepNext/>
      </w:pPr>
      <w:r>
        <w:t>II. Fundamentos jurídicos</w:t>
      </w:r>
    </w:p>
    <w:p w14:paraId="51B77D6A" w14:textId="075324FA" w:rsidR="00F64776" w:rsidRDefault="00F64776" w:rsidP="00F64776">
      <w:pPr>
        <w:pStyle w:val="TextoNormalNegritaCentrado"/>
        <w:keepNext/>
      </w:pPr>
    </w:p>
    <w:p w14:paraId="464475BD" w14:textId="15C6A44C"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2392ADAA" w14:textId="77777777" w:rsidR="00F64776" w:rsidRDefault="00F64776" w:rsidP="00F64776">
      <w:pPr>
        <w:pStyle w:val="TextoNormal"/>
      </w:pPr>
    </w:p>
    <w:p w14:paraId="11C4DFF4" w14:textId="77777777" w:rsidR="00F64776" w:rsidRDefault="00F64776" w:rsidP="00F64776">
      <w:pPr>
        <w:pStyle w:val="TextoNormal"/>
      </w:pPr>
      <w:r>
        <w:t>Por lo expuesto, la Sección</w:t>
      </w:r>
    </w:p>
    <w:p w14:paraId="708D260D" w14:textId="71F9A892" w:rsidR="00F64776" w:rsidRDefault="00F64776" w:rsidP="00F64776">
      <w:pPr>
        <w:pStyle w:val="TextoNormal"/>
      </w:pPr>
    </w:p>
    <w:p w14:paraId="1365D469" w14:textId="77777777" w:rsidR="00F64776" w:rsidRDefault="00F64776" w:rsidP="00F64776">
      <w:pPr>
        <w:pStyle w:val="TextoNormalCentrado"/>
      </w:pPr>
      <w:r>
        <w:t>ACUERDA</w:t>
      </w:r>
    </w:p>
    <w:p w14:paraId="4012AAD6" w14:textId="2730BA3F" w:rsidR="00F64776" w:rsidRDefault="00F64776" w:rsidP="00F64776">
      <w:pPr>
        <w:pStyle w:val="TextoNormalCentrado"/>
      </w:pPr>
    </w:p>
    <w:p w14:paraId="76CEF696" w14:textId="7CD6E295" w:rsidR="00F64776" w:rsidRDefault="00F64776" w:rsidP="00F64776">
      <w:pPr>
        <w:pStyle w:val="TextoNormal"/>
      </w:pPr>
      <w:r>
        <w:t>Estimar justificada la abstención formulada por el magistrado don César Tolosa Tribiño en el recurso de amparo núm. 1800-2022 y apartarle definitivamente del conocimiento del referido recurso y de todas sus incidencias.</w:t>
      </w:r>
    </w:p>
    <w:p w14:paraId="7F0F2C91" w14:textId="77777777" w:rsidR="00F64776" w:rsidRDefault="00F64776" w:rsidP="00F64776">
      <w:pPr>
        <w:pStyle w:val="TextoNormal"/>
      </w:pPr>
    </w:p>
    <w:p w14:paraId="294EF9AA" w14:textId="77777777" w:rsidR="00F64776" w:rsidRDefault="00F64776" w:rsidP="00F64776">
      <w:pPr>
        <w:pStyle w:val="TextoNormal"/>
      </w:pPr>
      <w:r>
        <w:t>Madrid, a dieciséis de noviembre de dos mil veintitrés.</w:t>
      </w:r>
    </w:p>
    <w:p w14:paraId="2AABB91A" w14:textId="18E8ED18" w:rsidR="00F64776" w:rsidRDefault="00F64776">
      <w:pPr>
        <w:spacing w:after="160" w:line="278" w:lineRule="auto"/>
        <w:rPr>
          <w:rFonts w:ascii="Times New Roman" w:eastAsia="Times New Roman" w:hAnsi="Times New Roman" w:cs="Times New Roman"/>
          <w:sz w:val="24"/>
          <w:szCs w:val="24"/>
          <w:lang w:eastAsia="es-ES"/>
        </w:rPr>
      </w:pPr>
      <w:r>
        <w:br w:type="page"/>
      </w:r>
    </w:p>
    <w:p w14:paraId="591FF58F" w14:textId="77777777" w:rsidR="00F64776" w:rsidRDefault="00F64776" w:rsidP="00F64776">
      <w:pPr>
        <w:pStyle w:val="TtuloResolucin"/>
      </w:pPr>
      <w:bookmarkStart w:id="367" w:name="AUTO_2023_582"/>
      <w:r>
        <w:t>AUTO 582/2023, de 16 de noviembre de 2023</w:t>
      </w:r>
    </w:p>
    <w:bookmarkEnd w:id="367"/>
    <w:p w14:paraId="780DE5D9" w14:textId="77777777" w:rsidR="00F64776" w:rsidRDefault="00F64776" w:rsidP="00F64776">
      <w:pPr>
        <w:pStyle w:val="TtuloResolucin"/>
      </w:pPr>
      <w:r>
        <w:t>Sección Tercera</w:t>
      </w:r>
    </w:p>
    <w:p w14:paraId="784F55CF" w14:textId="77777777" w:rsidR="00F64776" w:rsidRDefault="00F64776" w:rsidP="00F64776">
      <w:pPr>
        <w:pStyle w:val="TextoNormalCentrado"/>
      </w:pPr>
      <w:r>
        <w:t>ECLI:ES:TC:2023:582A</w:t>
      </w:r>
    </w:p>
    <w:p w14:paraId="1BA5B093" w14:textId="3E73B764" w:rsidR="00F64776" w:rsidRDefault="00F64776" w:rsidP="00F64776">
      <w:pPr>
        <w:pStyle w:val="TextoNormalCentrado"/>
      </w:pPr>
    </w:p>
    <w:p w14:paraId="786F42CD" w14:textId="77777777" w:rsidR="00F64776" w:rsidRDefault="00F64776" w:rsidP="00F64776">
      <w:pPr>
        <w:pStyle w:val="SntesisDescriptiva"/>
      </w:pPr>
      <w:r>
        <w:t>Excms. Srs. doña Inmaculada Montalbán Huertas y doña Laura Díez Bueso.</w:t>
      </w:r>
    </w:p>
    <w:p w14:paraId="209208D5" w14:textId="1D69A1C2" w:rsidR="00F64776" w:rsidRDefault="00F64776" w:rsidP="00F64776">
      <w:pPr>
        <w:pStyle w:val="SntesisDescriptiva"/>
      </w:pPr>
    </w:p>
    <w:p w14:paraId="17B151C4" w14:textId="77777777" w:rsidR="00F64776" w:rsidRDefault="00F64776" w:rsidP="00F64776">
      <w:pPr>
        <w:pStyle w:val="SntesisDescriptiva"/>
      </w:pPr>
      <w:r>
        <w:t>Acepta una abstención en el recurso de amparo 3799-2022, promovido en proceso contencioso-administrativo.</w:t>
      </w:r>
    </w:p>
    <w:p w14:paraId="62587529" w14:textId="76939B14" w:rsidR="00F64776" w:rsidRDefault="00F64776" w:rsidP="00F64776">
      <w:pPr>
        <w:pStyle w:val="SntesisDescriptiva"/>
      </w:pPr>
    </w:p>
    <w:p w14:paraId="2E9ED427" w14:textId="77777777" w:rsidR="00F64776" w:rsidRDefault="00F64776" w:rsidP="00F64776">
      <w:pPr>
        <w:pStyle w:val="SntesisDescriptiva"/>
      </w:pPr>
    </w:p>
    <w:p w14:paraId="4098FB1B" w14:textId="77777777" w:rsidR="00F64776" w:rsidRDefault="00F64776" w:rsidP="00F64776">
      <w:pPr>
        <w:pStyle w:val="SntesisDescriptiva"/>
      </w:pPr>
    </w:p>
    <w:p w14:paraId="21C77ACE" w14:textId="77777777" w:rsidR="00F64776" w:rsidRDefault="00F64776" w:rsidP="00F64776">
      <w:pPr>
        <w:pStyle w:val="TextoNormalNegritaCentrado"/>
      </w:pPr>
      <w:r>
        <w:t>AUTO</w:t>
      </w:r>
    </w:p>
    <w:p w14:paraId="398189EC" w14:textId="3994EFFC" w:rsidR="00F64776" w:rsidRDefault="00F64776" w:rsidP="00F64776">
      <w:pPr>
        <w:pStyle w:val="TextoNormalNegritaCentrado"/>
      </w:pPr>
    </w:p>
    <w:p w14:paraId="1F50C763" w14:textId="77777777" w:rsidR="00F64776" w:rsidRDefault="00F64776" w:rsidP="00F64776">
      <w:pPr>
        <w:pStyle w:val="TextoNormalNegritaCentrado"/>
        <w:keepNext/>
      </w:pPr>
      <w:r>
        <w:t>I. Antecedentes</w:t>
      </w:r>
    </w:p>
    <w:p w14:paraId="1193D4D1" w14:textId="6F5808A6" w:rsidR="00F64776" w:rsidRDefault="00F64776" w:rsidP="00F64776">
      <w:pPr>
        <w:pStyle w:val="TextoNormalNegritaCentrado"/>
        <w:keepNext/>
      </w:pPr>
    </w:p>
    <w:p w14:paraId="4FCD7009" w14:textId="718B9B07" w:rsidR="00F64776" w:rsidRDefault="00F64776" w:rsidP="00F64776">
      <w:pPr>
        <w:pStyle w:val="TextoNormal"/>
      </w:pPr>
      <w:r w:rsidRPr="00F64776">
        <w:rPr>
          <w:rStyle w:val="NumeroAFNegritaCaracter"/>
        </w:rPr>
        <w:t>1</w:t>
      </w:r>
      <w:r>
        <w:t>. Mediante escrito registrado en este tribunal el 27 de mayo de 2022, la procuradora de los tribunales doña Lorena Peña Calvo, en nombre y representación de don Ledys Yohan Hurtado Centeno y bajo la dirección de la letrada doña María de las Mercedes Herrezuelo Gras, formuló demanda de amparo contra la providencia de 18 de mayo de 2022 de la Sección Primera de la Sala de lo Contencioso-Administrativo del Tribunal Supremo, en recurso de casación núm. 1770-2022.</w:t>
      </w:r>
    </w:p>
    <w:p w14:paraId="5F939D1A" w14:textId="77777777" w:rsidR="00F64776" w:rsidRDefault="00F64776" w:rsidP="00F64776">
      <w:pPr>
        <w:pStyle w:val="TextoNormal"/>
      </w:pPr>
    </w:p>
    <w:p w14:paraId="16AC7ACE" w14:textId="1C447528" w:rsidR="00F64776" w:rsidRDefault="00F64776" w:rsidP="00F64776">
      <w:pPr>
        <w:pStyle w:val="TextoNormal"/>
      </w:pPr>
      <w:r w:rsidRPr="00F64776">
        <w:rPr>
          <w:rStyle w:val="NumeroAFNegritaCaracter"/>
        </w:rPr>
        <w:t>2</w:t>
      </w:r>
      <w:r>
        <w:t>. Por escrito de 8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427AF653" w14:textId="77777777" w:rsidR="00F64776" w:rsidRDefault="00F64776" w:rsidP="00F64776">
      <w:pPr>
        <w:pStyle w:val="TextoNormal"/>
      </w:pPr>
    </w:p>
    <w:p w14:paraId="43E6DECE" w14:textId="77777777" w:rsidR="00F64776" w:rsidRDefault="00F64776" w:rsidP="00F64776">
      <w:pPr>
        <w:pStyle w:val="TextoNormalNegritaCentrado"/>
        <w:keepNext/>
      </w:pPr>
      <w:r>
        <w:t>II. Fundamentos jurídicos</w:t>
      </w:r>
    </w:p>
    <w:p w14:paraId="37BAD472" w14:textId="1574FBA6" w:rsidR="00F64776" w:rsidRDefault="00F64776" w:rsidP="00F64776">
      <w:pPr>
        <w:pStyle w:val="TextoNormalNegritaCentrado"/>
        <w:keepNext/>
      </w:pPr>
    </w:p>
    <w:p w14:paraId="14126FFD" w14:textId="2DD7478C"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5DC3BC98" w14:textId="77777777" w:rsidR="00F64776" w:rsidRDefault="00F64776" w:rsidP="00F64776">
      <w:pPr>
        <w:pStyle w:val="TextoNormal"/>
      </w:pPr>
    </w:p>
    <w:p w14:paraId="73E05CFB" w14:textId="77777777" w:rsidR="00F64776" w:rsidRDefault="00F64776" w:rsidP="00F64776">
      <w:pPr>
        <w:pStyle w:val="TextoNormal"/>
      </w:pPr>
      <w:r>
        <w:t>Por lo expuesto, la Sección</w:t>
      </w:r>
    </w:p>
    <w:p w14:paraId="24F10F2B" w14:textId="4EDF9EEA" w:rsidR="00F64776" w:rsidRDefault="00F64776" w:rsidP="00F64776">
      <w:pPr>
        <w:pStyle w:val="TextoNormal"/>
      </w:pPr>
    </w:p>
    <w:p w14:paraId="765F1FBA" w14:textId="77777777" w:rsidR="00F64776" w:rsidRDefault="00F64776" w:rsidP="00F64776">
      <w:pPr>
        <w:pStyle w:val="TextoNormalCentrado"/>
      </w:pPr>
      <w:r>
        <w:t>ACUERDA</w:t>
      </w:r>
    </w:p>
    <w:p w14:paraId="0C65F41A" w14:textId="3E524CF5" w:rsidR="00F64776" w:rsidRDefault="00F64776" w:rsidP="00F64776">
      <w:pPr>
        <w:pStyle w:val="TextoNormalCentrado"/>
      </w:pPr>
    </w:p>
    <w:p w14:paraId="3C66035C" w14:textId="309BAC8D" w:rsidR="00F64776" w:rsidRDefault="00F64776" w:rsidP="00F64776">
      <w:pPr>
        <w:pStyle w:val="TextoNormal"/>
      </w:pPr>
      <w:r>
        <w:t>Estimar justificada la abstención formulada por el magistrado don César Tolosa Tribiño en el recurso de amparo núm. 3799-2022 y apartarle definitivamente del conocimiento del referido recurso y de todas sus incidencias.</w:t>
      </w:r>
    </w:p>
    <w:p w14:paraId="6B44907C" w14:textId="77777777" w:rsidR="00F64776" w:rsidRDefault="00F64776" w:rsidP="00F64776">
      <w:pPr>
        <w:pStyle w:val="TextoNormal"/>
      </w:pPr>
    </w:p>
    <w:p w14:paraId="0D9EB66B" w14:textId="77777777" w:rsidR="00F64776" w:rsidRDefault="00F64776" w:rsidP="00F64776">
      <w:pPr>
        <w:pStyle w:val="TextoNormal"/>
      </w:pPr>
      <w:r>
        <w:t>Madrid, a dieciséis de noviembre de dos mil veintitrés.</w:t>
      </w:r>
    </w:p>
    <w:p w14:paraId="5FA702ED" w14:textId="2528274D" w:rsidR="00F64776" w:rsidRDefault="00F64776">
      <w:pPr>
        <w:spacing w:after="160" w:line="278" w:lineRule="auto"/>
        <w:rPr>
          <w:rFonts w:ascii="Times New Roman" w:eastAsia="Times New Roman" w:hAnsi="Times New Roman" w:cs="Times New Roman"/>
          <w:sz w:val="24"/>
          <w:szCs w:val="24"/>
          <w:lang w:eastAsia="es-ES"/>
        </w:rPr>
      </w:pPr>
      <w:r>
        <w:br w:type="page"/>
      </w:r>
    </w:p>
    <w:p w14:paraId="01956CDC" w14:textId="77777777" w:rsidR="00F64776" w:rsidRDefault="00F64776" w:rsidP="00F64776">
      <w:pPr>
        <w:pStyle w:val="TtuloResolucin"/>
      </w:pPr>
      <w:bookmarkStart w:id="368" w:name="AUTO_2023_583"/>
      <w:r>
        <w:t>AUTO 583/2023, de 16 de noviembre de 2023</w:t>
      </w:r>
    </w:p>
    <w:bookmarkEnd w:id="368"/>
    <w:p w14:paraId="4E2EC9BF" w14:textId="77777777" w:rsidR="00F64776" w:rsidRDefault="00F64776" w:rsidP="00F64776">
      <w:pPr>
        <w:pStyle w:val="TtuloResolucin"/>
      </w:pPr>
      <w:r>
        <w:t>Sección Tercera</w:t>
      </w:r>
    </w:p>
    <w:p w14:paraId="090C0090" w14:textId="77777777" w:rsidR="00F64776" w:rsidRDefault="00F64776" w:rsidP="00F64776">
      <w:pPr>
        <w:pStyle w:val="TextoNormalCentrado"/>
      </w:pPr>
      <w:r>
        <w:t>ECLI:ES:TC:2023:583A</w:t>
      </w:r>
    </w:p>
    <w:p w14:paraId="043D7442" w14:textId="44A1AA38" w:rsidR="00F64776" w:rsidRDefault="00F64776" w:rsidP="00F64776">
      <w:pPr>
        <w:pStyle w:val="TextoNormalCentrado"/>
      </w:pPr>
    </w:p>
    <w:p w14:paraId="456A760E" w14:textId="77777777" w:rsidR="00F64776" w:rsidRDefault="00F64776" w:rsidP="00F64776">
      <w:pPr>
        <w:pStyle w:val="SntesisDescriptiva"/>
      </w:pPr>
      <w:r>
        <w:t>Excms. Srs. doña Inmaculada Montalbán Huertas y doña Laura Díez Bueso.</w:t>
      </w:r>
    </w:p>
    <w:p w14:paraId="7DB792EA" w14:textId="068C0A0E" w:rsidR="00F64776" w:rsidRDefault="00F64776" w:rsidP="00F64776">
      <w:pPr>
        <w:pStyle w:val="SntesisDescriptiva"/>
      </w:pPr>
    </w:p>
    <w:p w14:paraId="31F7FAC2" w14:textId="77777777" w:rsidR="00F64776" w:rsidRDefault="00F64776" w:rsidP="00F64776">
      <w:pPr>
        <w:pStyle w:val="SntesisDescriptiva"/>
      </w:pPr>
      <w:r>
        <w:t>Acepta una abstención en el recurso de amparo 3806-2022, promovido en proceso contencioso-administrativo.</w:t>
      </w:r>
    </w:p>
    <w:p w14:paraId="4F88A329" w14:textId="47E832F7" w:rsidR="00F64776" w:rsidRDefault="00F64776" w:rsidP="00F64776">
      <w:pPr>
        <w:pStyle w:val="SntesisDescriptiva"/>
      </w:pPr>
    </w:p>
    <w:p w14:paraId="060E8D35" w14:textId="77777777" w:rsidR="00F64776" w:rsidRDefault="00F64776" w:rsidP="00F64776">
      <w:pPr>
        <w:pStyle w:val="SntesisDescriptiva"/>
      </w:pPr>
    </w:p>
    <w:p w14:paraId="34AE5ECC" w14:textId="77777777" w:rsidR="00F64776" w:rsidRDefault="00F64776" w:rsidP="00F64776">
      <w:pPr>
        <w:pStyle w:val="SntesisDescriptiva"/>
      </w:pPr>
    </w:p>
    <w:p w14:paraId="77F187AB" w14:textId="77777777" w:rsidR="00F64776" w:rsidRDefault="00F64776" w:rsidP="00F64776">
      <w:pPr>
        <w:pStyle w:val="TextoNormalNegritaCentrado"/>
      </w:pPr>
      <w:r>
        <w:t>AUTO</w:t>
      </w:r>
    </w:p>
    <w:p w14:paraId="2B1F37D1" w14:textId="67AD21AB" w:rsidR="00F64776" w:rsidRDefault="00F64776" w:rsidP="00F64776">
      <w:pPr>
        <w:pStyle w:val="TextoNormalNegritaCentrado"/>
      </w:pPr>
    </w:p>
    <w:p w14:paraId="2691C015" w14:textId="77777777" w:rsidR="00F64776" w:rsidRDefault="00F64776" w:rsidP="00F64776">
      <w:pPr>
        <w:pStyle w:val="TextoNormalNegritaCentrado"/>
        <w:keepNext/>
      </w:pPr>
      <w:r>
        <w:t>I. Antecedentes</w:t>
      </w:r>
    </w:p>
    <w:p w14:paraId="51756CB6" w14:textId="20D85717" w:rsidR="00F64776" w:rsidRDefault="00F64776" w:rsidP="00F64776">
      <w:pPr>
        <w:pStyle w:val="TextoNormalNegritaCentrado"/>
        <w:keepNext/>
      </w:pPr>
    </w:p>
    <w:p w14:paraId="7CC0060D" w14:textId="55223F6F" w:rsidR="00F64776" w:rsidRDefault="00F64776" w:rsidP="00F64776">
      <w:pPr>
        <w:pStyle w:val="TextoNormal"/>
      </w:pPr>
      <w:r w:rsidRPr="00F64776">
        <w:rPr>
          <w:rStyle w:val="NumeroAFNegritaCaracter"/>
        </w:rPr>
        <w:t>1</w:t>
      </w:r>
      <w:r>
        <w:t>. Mediante escrito registrado en este tribunal el 27 de mayo de 2022, la procuradora de los tribunales doña María del Valle Gili Ruiz, en nombre y representación de la entidad Granince S.A., y bajo la dirección del letrado don Alejandro Jiménez Grande, formuló demanda de amparo contra las providencias de la Sala de lo Contencioso-Administrativo del Tribunal Supremo, en recurso de casación núm. 5641-2021.</w:t>
      </w:r>
    </w:p>
    <w:p w14:paraId="75A62ACA" w14:textId="77777777" w:rsidR="00F64776" w:rsidRDefault="00F64776" w:rsidP="00F64776">
      <w:pPr>
        <w:pStyle w:val="TextoNormal"/>
      </w:pPr>
    </w:p>
    <w:p w14:paraId="48A39676" w14:textId="38A373A4" w:rsidR="00F64776" w:rsidRDefault="00F64776" w:rsidP="00F64776">
      <w:pPr>
        <w:pStyle w:val="TextoNormal"/>
      </w:pPr>
      <w:r w:rsidRPr="00F64776">
        <w:rPr>
          <w:rStyle w:val="NumeroAFNegritaCaracter"/>
        </w:rPr>
        <w:t>2</w:t>
      </w:r>
      <w:r>
        <w:t>. Por escrito de 8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764B081C" w14:textId="77777777" w:rsidR="00F64776" w:rsidRDefault="00F64776" w:rsidP="00F64776">
      <w:pPr>
        <w:pStyle w:val="TextoNormal"/>
      </w:pPr>
    </w:p>
    <w:p w14:paraId="1A3422E1" w14:textId="77777777" w:rsidR="00F64776" w:rsidRDefault="00F64776" w:rsidP="00F64776">
      <w:pPr>
        <w:pStyle w:val="TextoNormalNegritaCentrado"/>
        <w:keepNext/>
      </w:pPr>
      <w:r>
        <w:t>II. Fundamentos jurídicos</w:t>
      </w:r>
    </w:p>
    <w:p w14:paraId="3B3BAAC3" w14:textId="7B12C59D" w:rsidR="00F64776" w:rsidRDefault="00F64776" w:rsidP="00F64776">
      <w:pPr>
        <w:pStyle w:val="TextoNormalNegritaCentrado"/>
        <w:keepNext/>
      </w:pPr>
    </w:p>
    <w:p w14:paraId="09406A1A" w14:textId="5034CF0B"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7C0D9F00" w14:textId="77777777" w:rsidR="00F64776" w:rsidRDefault="00F64776" w:rsidP="00F64776">
      <w:pPr>
        <w:pStyle w:val="TextoNormal"/>
      </w:pPr>
    </w:p>
    <w:p w14:paraId="09688BBD" w14:textId="77777777" w:rsidR="00F64776" w:rsidRDefault="00F64776" w:rsidP="00F64776">
      <w:pPr>
        <w:pStyle w:val="TextoNormal"/>
      </w:pPr>
      <w:r>
        <w:t>Por lo expuesto, la Sección</w:t>
      </w:r>
    </w:p>
    <w:p w14:paraId="70924E47" w14:textId="37D1DF19" w:rsidR="00F64776" w:rsidRDefault="00F64776" w:rsidP="00F64776">
      <w:pPr>
        <w:pStyle w:val="TextoNormal"/>
      </w:pPr>
    </w:p>
    <w:p w14:paraId="4DD3E0EE" w14:textId="77777777" w:rsidR="00F64776" w:rsidRDefault="00F64776" w:rsidP="00F64776">
      <w:pPr>
        <w:pStyle w:val="TextoNormalCentrado"/>
      </w:pPr>
      <w:r>
        <w:t>ACUERDA</w:t>
      </w:r>
    </w:p>
    <w:p w14:paraId="6141D6AA" w14:textId="35D52AB3" w:rsidR="00F64776" w:rsidRDefault="00F64776" w:rsidP="00F64776">
      <w:pPr>
        <w:pStyle w:val="TextoNormalCentrado"/>
      </w:pPr>
    </w:p>
    <w:p w14:paraId="3959294F" w14:textId="2C9283EE" w:rsidR="00F64776" w:rsidRDefault="00F64776" w:rsidP="00F64776">
      <w:pPr>
        <w:pStyle w:val="TextoNormal"/>
      </w:pPr>
      <w:r>
        <w:t>Estimar justificada la abstención formulada por el magistrado don César Tolosa Tribiño en el recurso de amparo núm. 3806-2022 y apartarle definitivamente del conocimiento del referido recurso y de todas sus incidencias.</w:t>
      </w:r>
    </w:p>
    <w:p w14:paraId="16A5A3EC" w14:textId="77777777" w:rsidR="00F64776" w:rsidRDefault="00F64776" w:rsidP="00F64776">
      <w:pPr>
        <w:pStyle w:val="TextoNormal"/>
      </w:pPr>
    </w:p>
    <w:p w14:paraId="4C495E6D" w14:textId="77777777" w:rsidR="00F64776" w:rsidRDefault="00F64776" w:rsidP="00F64776">
      <w:pPr>
        <w:pStyle w:val="TextoNormal"/>
      </w:pPr>
      <w:r>
        <w:t>Madrid, a dieciséis de noviembre de dos mil veintitrés.</w:t>
      </w:r>
    </w:p>
    <w:p w14:paraId="7A200D76" w14:textId="3AB1691F" w:rsidR="00F64776" w:rsidRDefault="00F64776">
      <w:pPr>
        <w:spacing w:after="160" w:line="278" w:lineRule="auto"/>
        <w:rPr>
          <w:rFonts w:ascii="Times New Roman" w:eastAsia="Times New Roman" w:hAnsi="Times New Roman" w:cs="Times New Roman"/>
          <w:sz w:val="24"/>
          <w:szCs w:val="24"/>
          <w:lang w:eastAsia="es-ES"/>
        </w:rPr>
      </w:pPr>
      <w:r>
        <w:br w:type="page"/>
      </w:r>
    </w:p>
    <w:p w14:paraId="503B20AE" w14:textId="77777777" w:rsidR="00F64776" w:rsidRDefault="00F64776" w:rsidP="00F64776">
      <w:pPr>
        <w:pStyle w:val="TtuloResolucin"/>
      </w:pPr>
      <w:bookmarkStart w:id="369" w:name="AUTO_2023_584"/>
      <w:r>
        <w:t>AUTO 584/2023, de 16 de noviembre de 2023</w:t>
      </w:r>
    </w:p>
    <w:bookmarkEnd w:id="369"/>
    <w:p w14:paraId="6DD7CA29" w14:textId="77777777" w:rsidR="00F64776" w:rsidRDefault="00F64776" w:rsidP="00F64776">
      <w:pPr>
        <w:pStyle w:val="TtuloResolucin"/>
      </w:pPr>
      <w:r>
        <w:t>Sección Tercera</w:t>
      </w:r>
    </w:p>
    <w:p w14:paraId="0C827638" w14:textId="77777777" w:rsidR="00F64776" w:rsidRDefault="00F64776" w:rsidP="00F64776">
      <w:pPr>
        <w:pStyle w:val="TextoNormalCentrado"/>
      </w:pPr>
      <w:r>
        <w:t>ECLI:ES:TC:2023:584A</w:t>
      </w:r>
    </w:p>
    <w:p w14:paraId="0B972CE7" w14:textId="41A25ACE" w:rsidR="00F64776" w:rsidRDefault="00F64776" w:rsidP="00F64776">
      <w:pPr>
        <w:pStyle w:val="TextoNormalCentrado"/>
      </w:pPr>
    </w:p>
    <w:p w14:paraId="2D9B7ACC" w14:textId="77777777" w:rsidR="00F64776" w:rsidRDefault="00F64776" w:rsidP="00F64776">
      <w:pPr>
        <w:pStyle w:val="SntesisDescriptiva"/>
      </w:pPr>
      <w:r>
        <w:t>Excms. Srs. doña Inmaculada Montalbán Huertas y doña Laura Díez Bueso.</w:t>
      </w:r>
    </w:p>
    <w:p w14:paraId="309A8FC3" w14:textId="348A02D5" w:rsidR="00F64776" w:rsidRDefault="00F64776" w:rsidP="00F64776">
      <w:pPr>
        <w:pStyle w:val="SntesisDescriptiva"/>
      </w:pPr>
    </w:p>
    <w:p w14:paraId="51AFAB9A" w14:textId="77777777" w:rsidR="00F64776" w:rsidRDefault="00F64776" w:rsidP="00F64776">
      <w:pPr>
        <w:pStyle w:val="SntesisDescriptiva"/>
      </w:pPr>
      <w:r>
        <w:t>Acepta una abstención en el recurso de amparo 4442-2022, promovido en proceso contencioso-administrativo.</w:t>
      </w:r>
    </w:p>
    <w:p w14:paraId="286510A6" w14:textId="483C705E" w:rsidR="00F64776" w:rsidRDefault="00F64776" w:rsidP="00F64776">
      <w:pPr>
        <w:pStyle w:val="SntesisDescriptiva"/>
      </w:pPr>
    </w:p>
    <w:p w14:paraId="353C1092" w14:textId="77777777" w:rsidR="00F64776" w:rsidRDefault="00F64776" w:rsidP="00F64776">
      <w:pPr>
        <w:pStyle w:val="SntesisDescriptiva"/>
      </w:pPr>
    </w:p>
    <w:p w14:paraId="33971D72" w14:textId="77777777" w:rsidR="00F64776" w:rsidRDefault="00F64776" w:rsidP="00F64776">
      <w:pPr>
        <w:pStyle w:val="SntesisDescriptiva"/>
      </w:pPr>
    </w:p>
    <w:p w14:paraId="27D7F4A2" w14:textId="77777777" w:rsidR="00F64776" w:rsidRDefault="00F64776" w:rsidP="00F64776">
      <w:pPr>
        <w:pStyle w:val="TextoNormalNegritaCentrado"/>
      </w:pPr>
      <w:r>
        <w:t>AUTO</w:t>
      </w:r>
    </w:p>
    <w:p w14:paraId="7EAFFD33" w14:textId="409178E6" w:rsidR="00F64776" w:rsidRDefault="00F64776" w:rsidP="00F64776">
      <w:pPr>
        <w:pStyle w:val="TextoNormalNegritaCentrado"/>
      </w:pPr>
    </w:p>
    <w:p w14:paraId="592C7A47" w14:textId="77777777" w:rsidR="00F64776" w:rsidRDefault="00F64776" w:rsidP="00F64776">
      <w:pPr>
        <w:pStyle w:val="TextoNormalNegritaCentrado"/>
        <w:keepNext/>
      </w:pPr>
      <w:r>
        <w:t>I. Antecedentes</w:t>
      </w:r>
    </w:p>
    <w:p w14:paraId="3FDFAE81" w14:textId="0336677B" w:rsidR="00F64776" w:rsidRDefault="00F64776" w:rsidP="00F64776">
      <w:pPr>
        <w:pStyle w:val="TextoNormalNegritaCentrado"/>
        <w:keepNext/>
      </w:pPr>
    </w:p>
    <w:p w14:paraId="243C079F" w14:textId="60A60059" w:rsidR="00F64776" w:rsidRDefault="00F64776" w:rsidP="00F64776">
      <w:pPr>
        <w:pStyle w:val="TextoNormal"/>
      </w:pPr>
      <w:r w:rsidRPr="00F64776">
        <w:rPr>
          <w:rStyle w:val="NumeroAFNegritaCaracter"/>
        </w:rPr>
        <w:t>1</w:t>
      </w:r>
      <w:r>
        <w:t>. Mediante escrito registrado en este tribunal el 20 de junio de 2022 la procuradora de los tribunales doña Isabel Covadonga Juliá Corujo, en nombre y representación de don Francisco Javier Delgado González y Silvia Fernández Sáez, bajo la dirección de la letrada doña Carmen Fernández-Bravo García, formuló demanda de amparo contra la providencia de la Sección Primera de la Sala de lo Contencioso-Administrativo del Tribunal Supremo, en recurso de casación núm. 5045-2021.</w:t>
      </w:r>
    </w:p>
    <w:p w14:paraId="4973FDFB" w14:textId="77777777" w:rsidR="00F64776" w:rsidRDefault="00F64776" w:rsidP="00F64776">
      <w:pPr>
        <w:pStyle w:val="TextoNormal"/>
      </w:pPr>
    </w:p>
    <w:p w14:paraId="0AE797DB" w14:textId="6F94E2B5" w:rsidR="00F64776" w:rsidRDefault="00F64776" w:rsidP="00F64776">
      <w:pPr>
        <w:pStyle w:val="TextoNormal"/>
      </w:pPr>
      <w:r w:rsidRPr="00F64776">
        <w:rPr>
          <w:rStyle w:val="NumeroAFNegritaCaracter"/>
        </w:rPr>
        <w:t>2</w:t>
      </w:r>
      <w:r>
        <w:t>. Por escrito de 8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121E3DC1" w14:textId="77777777" w:rsidR="00F64776" w:rsidRDefault="00F64776" w:rsidP="00F64776">
      <w:pPr>
        <w:pStyle w:val="TextoNormal"/>
      </w:pPr>
    </w:p>
    <w:p w14:paraId="344A6031" w14:textId="77777777" w:rsidR="00F64776" w:rsidRDefault="00F64776" w:rsidP="00F64776">
      <w:pPr>
        <w:pStyle w:val="TextoNormalNegritaCentrado"/>
        <w:keepNext/>
      </w:pPr>
      <w:r>
        <w:t>II. Fundamentos jurídicos</w:t>
      </w:r>
    </w:p>
    <w:p w14:paraId="379D2F47" w14:textId="242B82EC" w:rsidR="00F64776" w:rsidRDefault="00F64776" w:rsidP="00F64776">
      <w:pPr>
        <w:pStyle w:val="TextoNormalNegritaCentrado"/>
        <w:keepNext/>
      </w:pPr>
    </w:p>
    <w:p w14:paraId="06E9FF1B" w14:textId="5DF06BC4"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559AF8C7" w14:textId="77777777" w:rsidR="00F64776" w:rsidRDefault="00F64776" w:rsidP="00F64776">
      <w:pPr>
        <w:pStyle w:val="TextoNormal"/>
      </w:pPr>
    </w:p>
    <w:p w14:paraId="423BDDE8" w14:textId="77777777" w:rsidR="00F64776" w:rsidRDefault="00F64776" w:rsidP="00F64776">
      <w:pPr>
        <w:pStyle w:val="TextoNormal"/>
      </w:pPr>
      <w:r>
        <w:t>Por lo expuesto, la Sección</w:t>
      </w:r>
    </w:p>
    <w:p w14:paraId="76BC9F93" w14:textId="3D42AEE2" w:rsidR="00F64776" w:rsidRDefault="00F64776" w:rsidP="00F64776">
      <w:pPr>
        <w:pStyle w:val="TextoNormal"/>
      </w:pPr>
    </w:p>
    <w:p w14:paraId="1BDD73BB" w14:textId="77777777" w:rsidR="00F64776" w:rsidRDefault="00F64776" w:rsidP="00F64776">
      <w:pPr>
        <w:pStyle w:val="TextoNormalCentrado"/>
      </w:pPr>
      <w:r>
        <w:t>ACUERDA</w:t>
      </w:r>
    </w:p>
    <w:p w14:paraId="14297E7D" w14:textId="16E64B24" w:rsidR="00F64776" w:rsidRDefault="00F64776" w:rsidP="00F64776">
      <w:pPr>
        <w:pStyle w:val="TextoNormalCentrado"/>
      </w:pPr>
    </w:p>
    <w:p w14:paraId="333F3E5F" w14:textId="1C48905D" w:rsidR="00F64776" w:rsidRDefault="00F64776" w:rsidP="00F64776">
      <w:pPr>
        <w:pStyle w:val="TextoNormal"/>
      </w:pPr>
      <w:r>
        <w:t>Estimar justificada la abstención formulada por el magistrado don César Tolosa Tribiño en el recurso de amparo núm. 4442-2022 y apartarle definitivamente del conocimiento del referido recurso y de todas sus incidencias.</w:t>
      </w:r>
    </w:p>
    <w:p w14:paraId="23699309" w14:textId="77777777" w:rsidR="00F64776" w:rsidRDefault="00F64776" w:rsidP="00F64776">
      <w:pPr>
        <w:pStyle w:val="TextoNormal"/>
      </w:pPr>
    </w:p>
    <w:p w14:paraId="73BD5478" w14:textId="77777777" w:rsidR="00F64776" w:rsidRDefault="00F64776" w:rsidP="00F64776">
      <w:pPr>
        <w:pStyle w:val="TextoNormal"/>
      </w:pPr>
      <w:r>
        <w:t>Madrid, a dieciséis de noviembre de dos mil veintitrés.</w:t>
      </w:r>
    </w:p>
    <w:p w14:paraId="5F683D4E" w14:textId="3D04B0B4" w:rsidR="00F64776" w:rsidRDefault="00F64776">
      <w:pPr>
        <w:spacing w:after="160" w:line="278" w:lineRule="auto"/>
        <w:rPr>
          <w:rFonts w:ascii="Times New Roman" w:eastAsia="Times New Roman" w:hAnsi="Times New Roman" w:cs="Times New Roman"/>
          <w:sz w:val="24"/>
          <w:szCs w:val="24"/>
          <w:lang w:eastAsia="es-ES"/>
        </w:rPr>
      </w:pPr>
      <w:r>
        <w:br w:type="page"/>
      </w:r>
    </w:p>
    <w:p w14:paraId="10808CCA" w14:textId="77777777" w:rsidR="00F64776" w:rsidRDefault="00F64776" w:rsidP="00F64776">
      <w:pPr>
        <w:pStyle w:val="TtuloResolucin"/>
      </w:pPr>
      <w:bookmarkStart w:id="370" w:name="AUTO_2023_585"/>
      <w:r>
        <w:t>AUTO 585/2023, de 16 de noviembre de 2023</w:t>
      </w:r>
    </w:p>
    <w:bookmarkEnd w:id="370"/>
    <w:p w14:paraId="6D1878A2" w14:textId="77777777" w:rsidR="00F64776" w:rsidRDefault="00F64776" w:rsidP="00F64776">
      <w:pPr>
        <w:pStyle w:val="TtuloResolucin"/>
      </w:pPr>
      <w:r>
        <w:t>Sección Tercera</w:t>
      </w:r>
    </w:p>
    <w:p w14:paraId="4689582A" w14:textId="77777777" w:rsidR="00F64776" w:rsidRDefault="00F64776" w:rsidP="00F64776">
      <w:pPr>
        <w:pStyle w:val="TextoNormalCentrado"/>
      </w:pPr>
      <w:r>
        <w:t>ECLI:ES:TC:2023:585A</w:t>
      </w:r>
    </w:p>
    <w:p w14:paraId="3E262E1C" w14:textId="59C3C5D5" w:rsidR="00F64776" w:rsidRDefault="00F64776" w:rsidP="00F64776">
      <w:pPr>
        <w:pStyle w:val="TextoNormalCentrado"/>
      </w:pPr>
    </w:p>
    <w:p w14:paraId="107D77BC" w14:textId="77777777" w:rsidR="00F64776" w:rsidRDefault="00F64776" w:rsidP="00F64776">
      <w:pPr>
        <w:pStyle w:val="SntesisDescriptiva"/>
      </w:pPr>
      <w:r>
        <w:t>Excms. Srs. doña Inmaculada Montalbán Huertas y doña Laura Díez Bueso.</w:t>
      </w:r>
    </w:p>
    <w:p w14:paraId="477A1A03" w14:textId="3244B26B" w:rsidR="00F64776" w:rsidRDefault="00F64776" w:rsidP="00F64776">
      <w:pPr>
        <w:pStyle w:val="SntesisDescriptiva"/>
      </w:pPr>
    </w:p>
    <w:p w14:paraId="4E457AC5" w14:textId="77777777" w:rsidR="00F64776" w:rsidRDefault="00F64776" w:rsidP="00F64776">
      <w:pPr>
        <w:pStyle w:val="SntesisDescriptiva"/>
      </w:pPr>
      <w:r>
        <w:t>Acepta una abstención en el recurso de amparo 4484-2022, promovido en proceso contencioso-administrativo.</w:t>
      </w:r>
    </w:p>
    <w:p w14:paraId="5C45D9F7" w14:textId="7EC7B3B1" w:rsidR="00F64776" w:rsidRDefault="00F64776" w:rsidP="00F64776">
      <w:pPr>
        <w:pStyle w:val="SntesisDescriptiva"/>
      </w:pPr>
    </w:p>
    <w:p w14:paraId="0B675B5E" w14:textId="77777777" w:rsidR="00F64776" w:rsidRDefault="00F64776" w:rsidP="00F64776">
      <w:pPr>
        <w:pStyle w:val="SntesisDescriptiva"/>
      </w:pPr>
    </w:p>
    <w:p w14:paraId="15E5B9F9" w14:textId="77777777" w:rsidR="00F64776" w:rsidRDefault="00F64776" w:rsidP="00F64776">
      <w:pPr>
        <w:pStyle w:val="SntesisDescriptiva"/>
      </w:pPr>
    </w:p>
    <w:p w14:paraId="13CAA8B1" w14:textId="77777777" w:rsidR="00F64776" w:rsidRDefault="00F64776" w:rsidP="00F64776">
      <w:pPr>
        <w:pStyle w:val="TextoNormalNegritaCentrado"/>
      </w:pPr>
      <w:r>
        <w:t>AUTO</w:t>
      </w:r>
    </w:p>
    <w:p w14:paraId="285DDE05" w14:textId="341B3B9C" w:rsidR="00F64776" w:rsidRDefault="00F64776" w:rsidP="00F64776">
      <w:pPr>
        <w:pStyle w:val="TextoNormalNegritaCentrado"/>
      </w:pPr>
    </w:p>
    <w:p w14:paraId="6F82C456" w14:textId="77777777" w:rsidR="00F64776" w:rsidRDefault="00F64776" w:rsidP="00F64776">
      <w:pPr>
        <w:pStyle w:val="TextoNormalNegritaCentrado"/>
        <w:keepNext/>
      </w:pPr>
      <w:r>
        <w:t>I. Antecedentes</w:t>
      </w:r>
    </w:p>
    <w:p w14:paraId="43F32697" w14:textId="621C374F" w:rsidR="00F64776" w:rsidRDefault="00F64776" w:rsidP="00F64776">
      <w:pPr>
        <w:pStyle w:val="TextoNormalNegritaCentrado"/>
        <w:keepNext/>
      </w:pPr>
    </w:p>
    <w:p w14:paraId="6383C163" w14:textId="7C1D3337" w:rsidR="00F64776" w:rsidRDefault="00F64776" w:rsidP="00F64776">
      <w:pPr>
        <w:pStyle w:val="TextoNormal"/>
      </w:pPr>
      <w:r w:rsidRPr="00F64776">
        <w:rPr>
          <w:rStyle w:val="NumeroAFNegritaCaracter"/>
        </w:rPr>
        <w:t>1</w:t>
      </w:r>
      <w:r>
        <w:t>. Mediante escrito registrado en este tribunal el 21 de junio de 2022, la procuradora de los tribunales doña María Aránzazu Garmendia Lorenzana, en nombre y representación de don Frederick Osemudiamen y bajo la dirección de la letrada doña María del Carmen Paneque Cuevas, formuló demanda de amparo contra la providencia de la Sala de lo Contencioso-Administrativo del Tribunal Supremo, en recurso de casación núm. 6925-2021.</w:t>
      </w:r>
    </w:p>
    <w:p w14:paraId="2420F573" w14:textId="77777777" w:rsidR="00F64776" w:rsidRDefault="00F64776" w:rsidP="00F64776">
      <w:pPr>
        <w:pStyle w:val="TextoNormal"/>
      </w:pPr>
    </w:p>
    <w:p w14:paraId="69C09F44" w14:textId="414AC93D" w:rsidR="00F64776" w:rsidRDefault="00F64776" w:rsidP="00F64776">
      <w:pPr>
        <w:pStyle w:val="TextoNormal"/>
      </w:pPr>
      <w:r w:rsidRPr="00F64776">
        <w:rPr>
          <w:rStyle w:val="NumeroAFNegritaCaracter"/>
        </w:rPr>
        <w:t>2</w:t>
      </w:r>
      <w:r>
        <w:t>. Por escrito de 8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27F77BDF" w14:textId="77777777" w:rsidR="00F64776" w:rsidRDefault="00F64776" w:rsidP="00F64776">
      <w:pPr>
        <w:pStyle w:val="TextoNormal"/>
      </w:pPr>
    </w:p>
    <w:p w14:paraId="4EB5EBF2" w14:textId="77777777" w:rsidR="00F64776" w:rsidRDefault="00F64776" w:rsidP="00F64776">
      <w:pPr>
        <w:pStyle w:val="TextoNormalNegritaCentrado"/>
        <w:keepNext/>
      </w:pPr>
      <w:r>
        <w:t>II. Fundamentos jurídicos</w:t>
      </w:r>
    </w:p>
    <w:p w14:paraId="317E2E8C" w14:textId="50CC751E" w:rsidR="00F64776" w:rsidRDefault="00F64776" w:rsidP="00F64776">
      <w:pPr>
        <w:pStyle w:val="TextoNormalNegritaCentrado"/>
        <w:keepNext/>
      </w:pPr>
    </w:p>
    <w:p w14:paraId="26328BAB" w14:textId="2C62413D"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14034D2A" w14:textId="77777777" w:rsidR="00F64776" w:rsidRDefault="00F64776" w:rsidP="00F64776">
      <w:pPr>
        <w:pStyle w:val="TextoNormal"/>
      </w:pPr>
    </w:p>
    <w:p w14:paraId="613E8C30" w14:textId="77777777" w:rsidR="00F64776" w:rsidRDefault="00F64776" w:rsidP="00F64776">
      <w:pPr>
        <w:pStyle w:val="TextoNormal"/>
      </w:pPr>
      <w:r>
        <w:t>Por lo expuesto, la Sección</w:t>
      </w:r>
    </w:p>
    <w:p w14:paraId="5BDD7CD9" w14:textId="5B0B72C3" w:rsidR="00F64776" w:rsidRDefault="00F64776" w:rsidP="00F64776">
      <w:pPr>
        <w:pStyle w:val="TextoNormal"/>
      </w:pPr>
    </w:p>
    <w:p w14:paraId="6467F535" w14:textId="77777777" w:rsidR="00F64776" w:rsidRDefault="00F64776" w:rsidP="00F64776">
      <w:pPr>
        <w:pStyle w:val="TextoNormalCentrado"/>
      </w:pPr>
      <w:r>
        <w:t>ACUERDA</w:t>
      </w:r>
    </w:p>
    <w:p w14:paraId="41504023" w14:textId="3EB943B9" w:rsidR="00F64776" w:rsidRDefault="00F64776" w:rsidP="00F64776">
      <w:pPr>
        <w:pStyle w:val="TextoNormalCentrado"/>
      </w:pPr>
    </w:p>
    <w:p w14:paraId="2B72A77B" w14:textId="688FDB78" w:rsidR="00F64776" w:rsidRDefault="00F64776" w:rsidP="00F64776">
      <w:pPr>
        <w:pStyle w:val="TextoNormal"/>
      </w:pPr>
      <w:r>
        <w:t>Estimar justificada la abstención formulada por el magistrado don César Tolosa Tribiño en el recurso de amparo núm. 4484-2022 y apartarle definitivamente del conocimiento del referido recurso y de todas sus incidencias.</w:t>
      </w:r>
    </w:p>
    <w:p w14:paraId="3E53E82F" w14:textId="77777777" w:rsidR="00F64776" w:rsidRDefault="00F64776" w:rsidP="00F64776">
      <w:pPr>
        <w:pStyle w:val="TextoNormal"/>
      </w:pPr>
    </w:p>
    <w:p w14:paraId="4F57BEC0" w14:textId="77777777" w:rsidR="00F64776" w:rsidRDefault="00F64776" w:rsidP="00F64776">
      <w:pPr>
        <w:pStyle w:val="TextoNormal"/>
      </w:pPr>
      <w:r>
        <w:t>Madrid, a dieciséis de noviembre de dos mil veintitrés.</w:t>
      </w:r>
    </w:p>
    <w:p w14:paraId="7D25D697" w14:textId="2FA668A6" w:rsidR="00F64776" w:rsidRDefault="00F64776">
      <w:pPr>
        <w:spacing w:after="160" w:line="278" w:lineRule="auto"/>
        <w:rPr>
          <w:rFonts w:ascii="Times New Roman" w:eastAsia="Times New Roman" w:hAnsi="Times New Roman" w:cs="Times New Roman"/>
          <w:sz w:val="24"/>
          <w:szCs w:val="24"/>
          <w:lang w:eastAsia="es-ES"/>
        </w:rPr>
      </w:pPr>
      <w:r>
        <w:br w:type="page"/>
      </w:r>
    </w:p>
    <w:p w14:paraId="607C52BC" w14:textId="77777777" w:rsidR="00F64776" w:rsidRDefault="00F64776" w:rsidP="00F64776">
      <w:pPr>
        <w:pStyle w:val="TtuloResolucin"/>
      </w:pPr>
      <w:bookmarkStart w:id="371" w:name="AUTO_2023_586"/>
      <w:r>
        <w:t>AUTO 586/2023, de 16 de noviembre de 2023</w:t>
      </w:r>
    </w:p>
    <w:bookmarkEnd w:id="371"/>
    <w:p w14:paraId="0EA32127" w14:textId="77777777" w:rsidR="00F64776" w:rsidRDefault="00F64776" w:rsidP="00F64776">
      <w:pPr>
        <w:pStyle w:val="TtuloResolucin"/>
      </w:pPr>
      <w:r>
        <w:t>Sección Tercera</w:t>
      </w:r>
    </w:p>
    <w:p w14:paraId="491D6C0F" w14:textId="77777777" w:rsidR="00F64776" w:rsidRDefault="00F64776" w:rsidP="00F64776">
      <w:pPr>
        <w:pStyle w:val="TextoNormalCentrado"/>
      </w:pPr>
      <w:r>
        <w:t>ECLI:ES:TC:2023:586A</w:t>
      </w:r>
    </w:p>
    <w:p w14:paraId="415A0C8F" w14:textId="36A09268" w:rsidR="00F64776" w:rsidRDefault="00F64776" w:rsidP="00F64776">
      <w:pPr>
        <w:pStyle w:val="TextoNormalCentrado"/>
      </w:pPr>
    </w:p>
    <w:p w14:paraId="20743CD2" w14:textId="77777777" w:rsidR="00F64776" w:rsidRDefault="00F64776" w:rsidP="00F64776">
      <w:pPr>
        <w:pStyle w:val="SntesisDescriptiva"/>
      </w:pPr>
      <w:r>
        <w:t>Excms. Srs. doña Inmaculada Montalbán Huertas y doña Laura Díez Bueso.</w:t>
      </w:r>
    </w:p>
    <w:p w14:paraId="68FB4CB7" w14:textId="0BBB0324" w:rsidR="00F64776" w:rsidRDefault="00F64776" w:rsidP="00F64776">
      <w:pPr>
        <w:pStyle w:val="SntesisDescriptiva"/>
      </w:pPr>
    </w:p>
    <w:p w14:paraId="33EDE887" w14:textId="77777777" w:rsidR="00F64776" w:rsidRDefault="00F64776" w:rsidP="00F64776">
      <w:pPr>
        <w:pStyle w:val="SntesisDescriptiva"/>
      </w:pPr>
      <w:r>
        <w:t>Acepta una abstención en el recurso de amparo 4680-2022, promovido en proceso contencioso-administrativo.</w:t>
      </w:r>
    </w:p>
    <w:p w14:paraId="7C462BF0" w14:textId="2B1085E8" w:rsidR="00F64776" w:rsidRDefault="00F64776" w:rsidP="00F64776">
      <w:pPr>
        <w:pStyle w:val="SntesisDescriptiva"/>
      </w:pPr>
    </w:p>
    <w:p w14:paraId="601BC8D5" w14:textId="77777777" w:rsidR="00F64776" w:rsidRDefault="00F64776" w:rsidP="00F64776">
      <w:pPr>
        <w:pStyle w:val="SntesisDescriptiva"/>
      </w:pPr>
    </w:p>
    <w:p w14:paraId="54DFF789" w14:textId="77777777" w:rsidR="00F64776" w:rsidRDefault="00F64776" w:rsidP="00F64776">
      <w:pPr>
        <w:pStyle w:val="SntesisDescriptiva"/>
      </w:pPr>
    </w:p>
    <w:p w14:paraId="2CF63303" w14:textId="77777777" w:rsidR="00F64776" w:rsidRDefault="00F64776" w:rsidP="00F64776">
      <w:pPr>
        <w:pStyle w:val="TextoNormalNegritaCentrado"/>
      </w:pPr>
      <w:r>
        <w:t>AUTO</w:t>
      </w:r>
    </w:p>
    <w:p w14:paraId="5B4850B6" w14:textId="004D34FB" w:rsidR="00F64776" w:rsidRDefault="00F64776" w:rsidP="00F64776">
      <w:pPr>
        <w:pStyle w:val="TextoNormalNegritaCentrado"/>
      </w:pPr>
    </w:p>
    <w:p w14:paraId="0A99D068" w14:textId="77777777" w:rsidR="00F64776" w:rsidRDefault="00F64776" w:rsidP="00F64776">
      <w:pPr>
        <w:pStyle w:val="TextoNormalNegritaCentrado"/>
        <w:keepNext/>
      </w:pPr>
      <w:r>
        <w:t>I. Antecedentes</w:t>
      </w:r>
    </w:p>
    <w:p w14:paraId="4925146E" w14:textId="2E8DA258" w:rsidR="00F64776" w:rsidRDefault="00F64776" w:rsidP="00F64776">
      <w:pPr>
        <w:pStyle w:val="TextoNormalNegritaCentrado"/>
        <w:keepNext/>
      </w:pPr>
    </w:p>
    <w:p w14:paraId="4745AF20" w14:textId="5380CB4D" w:rsidR="00F64776" w:rsidRDefault="00F64776" w:rsidP="00F64776">
      <w:pPr>
        <w:pStyle w:val="TextoNormal"/>
      </w:pPr>
      <w:r w:rsidRPr="00F64776">
        <w:rPr>
          <w:rStyle w:val="NumeroAFNegritaCaracter"/>
        </w:rPr>
        <w:t>1</w:t>
      </w:r>
      <w:r>
        <w:t>. Mediante escrito registrado en este tribunal el 28 de junio de 2022, la procuradora de los tribunales doña María José Barabino Ballesteros, en nombre y representación de doña Yamileth Betancourt Márquez y otra persona más, y bajo la dirección del letrado don Julio Pérez Martín, formuló demanda de amparo contra la providencia de 11 de mayo de 2022 dictada por la Sección Primera de la Sala de lo Contencioso-Administrativo del Tribunal Supremo, en recurso de casación núm. 460-2022 contra la sentencia núm. 479-2020 de la Sección Octava de la Audiencia Nacional.</w:t>
      </w:r>
    </w:p>
    <w:p w14:paraId="2F4A999F" w14:textId="77777777" w:rsidR="00F64776" w:rsidRDefault="00F64776" w:rsidP="00F64776">
      <w:pPr>
        <w:pStyle w:val="TextoNormal"/>
      </w:pPr>
    </w:p>
    <w:p w14:paraId="41282819" w14:textId="0A9AC925" w:rsidR="00F64776" w:rsidRDefault="00F64776" w:rsidP="00F64776">
      <w:pPr>
        <w:pStyle w:val="TextoNormal"/>
      </w:pPr>
      <w:r w:rsidRPr="00F64776">
        <w:rPr>
          <w:rStyle w:val="NumeroAFNegritaCaracter"/>
        </w:rPr>
        <w:t>2</w:t>
      </w:r>
      <w:r>
        <w:t>. Por escrito de 8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390AE7DC" w14:textId="77777777" w:rsidR="00F64776" w:rsidRDefault="00F64776" w:rsidP="00F64776">
      <w:pPr>
        <w:pStyle w:val="TextoNormal"/>
      </w:pPr>
    </w:p>
    <w:p w14:paraId="619B9958" w14:textId="77777777" w:rsidR="00F64776" w:rsidRDefault="00F64776" w:rsidP="00F64776">
      <w:pPr>
        <w:pStyle w:val="TextoNormalNegritaCentrado"/>
        <w:keepNext/>
      </w:pPr>
      <w:r>
        <w:t>II. Fundamentos jurídicos</w:t>
      </w:r>
    </w:p>
    <w:p w14:paraId="765F9CFA" w14:textId="4D160A72" w:rsidR="00F64776" w:rsidRDefault="00F64776" w:rsidP="00F64776">
      <w:pPr>
        <w:pStyle w:val="TextoNormalNegritaCentrado"/>
        <w:keepNext/>
      </w:pPr>
    </w:p>
    <w:p w14:paraId="1441E79E" w14:textId="4991F825"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3C8638AC" w14:textId="77777777" w:rsidR="00F64776" w:rsidRDefault="00F64776" w:rsidP="00F64776">
      <w:pPr>
        <w:pStyle w:val="TextoNormal"/>
      </w:pPr>
    </w:p>
    <w:p w14:paraId="450261DE" w14:textId="77777777" w:rsidR="00F64776" w:rsidRDefault="00F64776" w:rsidP="00F64776">
      <w:pPr>
        <w:pStyle w:val="TextoNormal"/>
      </w:pPr>
      <w:r>
        <w:t>Por lo expuesto, la Sección</w:t>
      </w:r>
    </w:p>
    <w:p w14:paraId="17FA6112" w14:textId="7B6AA329" w:rsidR="00F64776" w:rsidRDefault="00F64776" w:rsidP="00F64776">
      <w:pPr>
        <w:pStyle w:val="TextoNormal"/>
      </w:pPr>
    </w:p>
    <w:p w14:paraId="1E1D2295" w14:textId="77777777" w:rsidR="00F64776" w:rsidRDefault="00F64776" w:rsidP="00F64776">
      <w:pPr>
        <w:pStyle w:val="TextoNormalCentrado"/>
      </w:pPr>
      <w:r>
        <w:t>ACUERDA</w:t>
      </w:r>
    </w:p>
    <w:p w14:paraId="50505585" w14:textId="34EDB3F2" w:rsidR="00F64776" w:rsidRDefault="00F64776" w:rsidP="00F64776">
      <w:pPr>
        <w:pStyle w:val="TextoNormalCentrado"/>
      </w:pPr>
    </w:p>
    <w:p w14:paraId="40509190" w14:textId="6DED2364" w:rsidR="00F64776" w:rsidRDefault="00F64776" w:rsidP="00F64776">
      <w:pPr>
        <w:pStyle w:val="TextoNormal"/>
      </w:pPr>
      <w:r>
        <w:t>Estimar justificada la abstención formulada por el magistrado don César Tolosa Tribiño en el recurso de amparo núm. 4680-2022 y apartarle definitivamente del conocimiento del referido recurso y de todas sus incidencias.</w:t>
      </w:r>
    </w:p>
    <w:p w14:paraId="19652978" w14:textId="77777777" w:rsidR="00F64776" w:rsidRDefault="00F64776" w:rsidP="00F64776">
      <w:pPr>
        <w:pStyle w:val="TextoNormal"/>
      </w:pPr>
    </w:p>
    <w:p w14:paraId="2037F00C" w14:textId="77777777" w:rsidR="00F64776" w:rsidRDefault="00F64776" w:rsidP="00F64776">
      <w:pPr>
        <w:pStyle w:val="TextoNormal"/>
      </w:pPr>
      <w:r>
        <w:t>Madrid, a dieciséis de noviembre de dos mil veintitrés.</w:t>
      </w:r>
    </w:p>
    <w:p w14:paraId="408B7DB7" w14:textId="42629B04" w:rsidR="00F64776" w:rsidRDefault="00F64776">
      <w:pPr>
        <w:spacing w:after="160" w:line="278" w:lineRule="auto"/>
        <w:rPr>
          <w:rFonts w:ascii="Times New Roman" w:eastAsia="Times New Roman" w:hAnsi="Times New Roman" w:cs="Times New Roman"/>
          <w:sz w:val="24"/>
          <w:szCs w:val="24"/>
          <w:lang w:eastAsia="es-ES"/>
        </w:rPr>
      </w:pPr>
      <w:r>
        <w:br w:type="page"/>
      </w:r>
    </w:p>
    <w:p w14:paraId="15DFD141" w14:textId="77777777" w:rsidR="00F64776" w:rsidRDefault="00F64776" w:rsidP="00F64776">
      <w:pPr>
        <w:pStyle w:val="TtuloResolucin"/>
      </w:pPr>
      <w:bookmarkStart w:id="372" w:name="AUTO_2023_587"/>
      <w:r>
        <w:t>AUTO 587/2023, de 16 de noviembre de 2023</w:t>
      </w:r>
    </w:p>
    <w:bookmarkEnd w:id="372"/>
    <w:p w14:paraId="18D71F2D" w14:textId="77777777" w:rsidR="00F64776" w:rsidRDefault="00F64776" w:rsidP="00F64776">
      <w:pPr>
        <w:pStyle w:val="TtuloResolucin"/>
      </w:pPr>
      <w:r>
        <w:t>Sección Tercera</w:t>
      </w:r>
    </w:p>
    <w:p w14:paraId="4F52F825" w14:textId="77777777" w:rsidR="00F64776" w:rsidRDefault="00F64776" w:rsidP="00F64776">
      <w:pPr>
        <w:pStyle w:val="TextoNormalCentrado"/>
      </w:pPr>
      <w:r>
        <w:t>ECLI:ES:TC:2023:587A</w:t>
      </w:r>
    </w:p>
    <w:p w14:paraId="4B256DC9" w14:textId="75F190F5" w:rsidR="00F64776" w:rsidRDefault="00F64776" w:rsidP="00F64776">
      <w:pPr>
        <w:pStyle w:val="TextoNormalCentrado"/>
      </w:pPr>
    </w:p>
    <w:p w14:paraId="48D47330" w14:textId="77777777" w:rsidR="00F64776" w:rsidRDefault="00F64776" w:rsidP="00F64776">
      <w:pPr>
        <w:pStyle w:val="SntesisDescriptiva"/>
      </w:pPr>
      <w:r>
        <w:t>Excms. Srs. doña Inmaculada Montalbán Huertas y doña Laura Díez Bueso.</w:t>
      </w:r>
    </w:p>
    <w:p w14:paraId="16730B35" w14:textId="5681B39D" w:rsidR="00F64776" w:rsidRDefault="00F64776" w:rsidP="00F64776">
      <w:pPr>
        <w:pStyle w:val="SntesisDescriptiva"/>
      </w:pPr>
    </w:p>
    <w:p w14:paraId="6D948471" w14:textId="77777777" w:rsidR="00F64776" w:rsidRDefault="00F64776" w:rsidP="00F64776">
      <w:pPr>
        <w:pStyle w:val="SntesisDescriptiva"/>
      </w:pPr>
      <w:r>
        <w:t>Acepta una abstención en el recurso de amparo 4815-2022, promovido en proceso contencioso-administrativo.</w:t>
      </w:r>
    </w:p>
    <w:p w14:paraId="6067454A" w14:textId="74DA1640" w:rsidR="00F64776" w:rsidRDefault="00F64776" w:rsidP="00F64776">
      <w:pPr>
        <w:pStyle w:val="SntesisDescriptiva"/>
      </w:pPr>
    </w:p>
    <w:p w14:paraId="0EF0A3DA" w14:textId="77777777" w:rsidR="00F64776" w:rsidRDefault="00F64776" w:rsidP="00F64776">
      <w:pPr>
        <w:pStyle w:val="SntesisDescriptiva"/>
      </w:pPr>
    </w:p>
    <w:p w14:paraId="34EE4F67" w14:textId="77777777" w:rsidR="00F64776" w:rsidRDefault="00F64776" w:rsidP="00F64776">
      <w:pPr>
        <w:pStyle w:val="SntesisDescriptiva"/>
      </w:pPr>
    </w:p>
    <w:p w14:paraId="223659BE" w14:textId="77777777" w:rsidR="00F64776" w:rsidRDefault="00F64776" w:rsidP="00F64776">
      <w:pPr>
        <w:pStyle w:val="TextoNormalNegritaCentrado"/>
      </w:pPr>
      <w:r>
        <w:t>AUTO</w:t>
      </w:r>
    </w:p>
    <w:p w14:paraId="6105E154" w14:textId="39A24B7A" w:rsidR="00F64776" w:rsidRDefault="00F64776" w:rsidP="00F64776">
      <w:pPr>
        <w:pStyle w:val="TextoNormalNegritaCentrado"/>
      </w:pPr>
    </w:p>
    <w:p w14:paraId="2DA0EFDA" w14:textId="77777777" w:rsidR="00F64776" w:rsidRDefault="00F64776" w:rsidP="00F64776">
      <w:pPr>
        <w:pStyle w:val="TextoNormalNegritaCentrado"/>
        <w:keepNext/>
      </w:pPr>
      <w:r>
        <w:t>I. Antecedentes</w:t>
      </w:r>
    </w:p>
    <w:p w14:paraId="713DD6B6" w14:textId="6C630418" w:rsidR="00F64776" w:rsidRDefault="00F64776" w:rsidP="00F64776">
      <w:pPr>
        <w:pStyle w:val="TextoNormalNegritaCentrado"/>
        <w:keepNext/>
      </w:pPr>
    </w:p>
    <w:p w14:paraId="5808B467" w14:textId="7E9C1244" w:rsidR="00F64776" w:rsidRDefault="00F64776" w:rsidP="00F64776">
      <w:pPr>
        <w:pStyle w:val="TextoNormal"/>
      </w:pPr>
      <w:r w:rsidRPr="00F64776">
        <w:rPr>
          <w:rStyle w:val="NumeroAFNegritaCaracter"/>
        </w:rPr>
        <w:t>1</w:t>
      </w:r>
      <w:r>
        <w:t>. Mediante escrito registrado en este tribunal el 2 de julio de 2022 la procuradora de los tribunales doña María Otilia Esteban Gutiérrez, en nombre y representación de doña Lesly Judith Caballero Quintanilla y otros y bajo la dirección de la letrada doña María Girona Ayala, formuló demanda de amparo contra la providencia de la Sala de lo Contencioso-Administrativo del Tribunal Supremo, en recurso de casación núm. 2666-2022.</w:t>
      </w:r>
    </w:p>
    <w:p w14:paraId="738A6849" w14:textId="77777777" w:rsidR="00F64776" w:rsidRDefault="00F64776" w:rsidP="00F64776">
      <w:pPr>
        <w:pStyle w:val="TextoNormal"/>
      </w:pPr>
    </w:p>
    <w:p w14:paraId="7B64EB9D" w14:textId="1B20AF7F" w:rsidR="00F64776" w:rsidRDefault="00F64776" w:rsidP="00F64776">
      <w:pPr>
        <w:pStyle w:val="TextoNormal"/>
      </w:pPr>
      <w:r w:rsidRPr="00F64776">
        <w:rPr>
          <w:rStyle w:val="NumeroAFNegritaCaracter"/>
        </w:rPr>
        <w:t>2</w:t>
      </w:r>
      <w:r>
        <w:t>. Por escrito de 4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29C85487" w14:textId="77777777" w:rsidR="00F64776" w:rsidRDefault="00F64776" w:rsidP="00F64776">
      <w:pPr>
        <w:pStyle w:val="TextoNormal"/>
      </w:pPr>
    </w:p>
    <w:p w14:paraId="0EA14591" w14:textId="77777777" w:rsidR="00F64776" w:rsidRDefault="00F64776" w:rsidP="00F64776">
      <w:pPr>
        <w:pStyle w:val="TextoNormalNegritaCentrado"/>
        <w:keepNext/>
      </w:pPr>
      <w:r>
        <w:t>II. Fundamentos jurídicos</w:t>
      </w:r>
    </w:p>
    <w:p w14:paraId="3E73538B" w14:textId="6958CC44" w:rsidR="00F64776" w:rsidRDefault="00F64776" w:rsidP="00F64776">
      <w:pPr>
        <w:pStyle w:val="TextoNormalNegritaCentrado"/>
        <w:keepNext/>
      </w:pPr>
    </w:p>
    <w:p w14:paraId="3F62FDF1" w14:textId="5EA67BC3"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3B77EA25" w14:textId="77777777" w:rsidR="00F64776" w:rsidRDefault="00F64776" w:rsidP="00F64776">
      <w:pPr>
        <w:pStyle w:val="TextoNormal"/>
      </w:pPr>
    </w:p>
    <w:p w14:paraId="16A7C6D9" w14:textId="77777777" w:rsidR="00F64776" w:rsidRDefault="00F64776" w:rsidP="00F64776">
      <w:pPr>
        <w:pStyle w:val="TextoNormal"/>
      </w:pPr>
      <w:r>
        <w:t>Por lo expuesto, la Sección</w:t>
      </w:r>
    </w:p>
    <w:p w14:paraId="78E3FB63" w14:textId="5D3007CA" w:rsidR="00F64776" w:rsidRDefault="00F64776" w:rsidP="00F64776">
      <w:pPr>
        <w:pStyle w:val="TextoNormal"/>
      </w:pPr>
    </w:p>
    <w:p w14:paraId="2114B2D1" w14:textId="77777777" w:rsidR="00F64776" w:rsidRDefault="00F64776" w:rsidP="00F64776">
      <w:pPr>
        <w:pStyle w:val="TextoNormalCentrado"/>
      </w:pPr>
      <w:r>
        <w:t>ACUERDA</w:t>
      </w:r>
    </w:p>
    <w:p w14:paraId="34549531" w14:textId="2BEC3E09" w:rsidR="00F64776" w:rsidRDefault="00F64776" w:rsidP="00F64776">
      <w:pPr>
        <w:pStyle w:val="TextoNormalCentrado"/>
      </w:pPr>
    </w:p>
    <w:p w14:paraId="1D730790" w14:textId="60F5EFDC" w:rsidR="00F64776" w:rsidRDefault="00F64776" w:rsidP="00F64776">
      <w:pPr>
        <w:pStyle w:val="TextoNormal"/>
      </w:pPr>
      <w:r>
        <w:t>Estimar justificada la abstención formulada por el magistrado don César Tolosa Tribiño en el recurso de amparo núm. 4815-2022 y apartarle definitivamente del conocimiento del referido recurso y de todas sus incidencias.</w:t>
      </w:r>
    </w:p>
    <w:p w14:paraId="4CE4AD0D" w14:textId="77777777" w:rsidR="00F64776" w:rsidRDefault="00F64776" w:rsidP="00F64776">
      <w:pPr>
        <w:pStyle w:val="TextoNormal"/>
      </w:pPr>
    </w:p>
    <w:p w14:paraId="6580D9D8" w14:textId="77777777" w:rsidR="00F64776" w:rsidRDefault="00F64776" w:rsidP="00F64776">
      <w:pPr>
        <w:pStyle w:val="TextoNormal"/>
      </w:pPr>
      <w:r>
        <w:t>Madrid, a dieciséis de noviembre de dos mil veintitrés.</w:t>
      </w:r>
    </w:p>
    <w:p w14:paraId="6F1AA8FC" w14:textId="6CD1AB3A" w:rsidR="00F64776" w:rsidRDefault="00F64776">
      <w:pPr>
        <w:spacing w:after="160" w:line="278" w:lineRule="auto"/>
        <w:rPr>
          <w:rFonts w:ascii="Times New Roman" w:eastAsia="Times New Roman" w:hAnsi="Times New Roman" w:cs="Times New Roman"/>
          <w:sz w:val="24"/>
          <w:szCs w:val="24"/>
          <w:lang w:eastAsia="es-ES"/>
        </w:rPr>
      </w:pPr>
      <w:r>
        <w:br w:type="page"/>
      </w:r>
    </w:p>
    <w:p w14:paraId="239D881D" w14:textId="77777777" w:rsidR="00F64776" w:rsidRDefault="00F64776" w:rsidP="00F64776">
      <w:pPr>
        <w:pStyle w:val="TtuloResolucin"/>
      </w:pPr>
      <w:bookmarkStart w:id="373" w:name="AUTO_2023_588"/>
      <w:r>
        <w:t>AUTO 588/2023, de 16 de noviembre de 2023</w:t>
      </w:r>
    </w:p>
    <w:bookmarkEnd w:id="373"/>
    <w:p w14:paraId="27F3BE55" w14:textId="77777777" w:rsidR="00F64776" w:rsidRDefault="00F64776" w:rsidP="00F64776">
      <w:pPr>
        <w:pStyle w:val="TtuloResolucin"/>
      </w:pPr>
      <w:r>
        <w:t>Sección Tercera</w:t>
      </w:r>
    </w:p>
    <w:p w14:paraId="46EBD5B3" w14:textId="77777777" w:rsidR="00F64776" w:rsidRDefault="00F64776" w:rsidP="00F64776">
      <w:pPr>
        <w:pStyle w:val="TextoNormalCentrado"/>
      </w:pPr>
      <w:r>
        <w:t>ECLI:ES:TC:2023:588A</w:t>
      </w:r>
    </w:p>
    <w:p w14:paraId="522D5E39" w14:textId="318498EF" w:rsidR="00F64776" w:rsidRDefault="00F64776" w:rsidP="00F64776">
      <w:pPr>
        <w:pStyle w:val="TextoNormalCentrado"/>
      </w:pPr>
    </w:p>
    <w:p w14:paraId="4E527020" w14:textId="77777777" w:rsidR="00F64776" w:rsidRDefault="00F64776" w:rsidP="00F64776">
      <w:pPr>
        <w:pStyle w:val="SntesisDescriptiva"/>
      </w:pPr>
      <w:r>
        <w:t>Excms. Srs. doña Inmaculada Montalbán Huertas y doña Laura Díez Bueso.</w:t>
      </w:r>
    </w:p>
    <w:p w14:paraId="0EA936A7" w14:textId="0CA26D94" w:rsidR="00F64776" w:rsidRDefault="00F64776" w:rsidP="00F64776">
      <w:pPr>
        <w:pStyle w:val="SntesisDescriptiva"/>
      </w:pPr>
    </w:p>
    <w:p w14:paraId="45BE6D57" w14:textId="77777777" w:rsidR="00F64776" w:rsidRDefault="00F64776" w:rsidP="00F64776">
      <w:pPr>
        <w:pStyle w:val="SntesisDescriptiva"/>
      </w:pPr>
      <w:r>
        <w:t>Acepta una abstención en el recurso de amparo 4942-2022, promovido en proceso contencioso-administrativo.</w:t>
      </w:r>
    </w:p>
    <w:p w14:paraId="78C77A93" w14:textId="17B63FE8" w:rsidR="00F64776" w:rsidRDefault="00F64776" w:rsidP="00F64776">
      <w:pPr>
        <w:pStyle w:val="SntesisDescriptiva"/>
      </w:pPr>
    </w:p>
    <w:p w14:paraId="763F9E13" w14:textId="77777777" w:rsidR="00F64776" w:rsidRDefault="00F64776" w:rsidP="00F64776">
      <w:pPr>
        <w:pStyle w:val="SntesisDescriptiva"/>
      </w:pPr>
    </w:p>
    <w:p w14:paraId="7C511897" w14:textId="77777777" w:rsidR="00F64776" w:rsidRDefault="00F64776" w:rsidP="00F64776">
      <w:pPr>
        <w:pStyle w:val="SntesisDescriptiva"/>
      </w:pPr>
    </w:p>
    <w:p w14:paraId="2F8F52A1" w14:textId="77777777" w:rsidR="00F64776" w:rsidRDefault="00F64776" w:rsidP="00F64776">
      <w:pPr>
        <w:pStyle w:val="TextoNormalNegritaCentrado"/>
      </w:pPr>
      <w:r>
        <w:t>AUTO</w:t>
      </w:r>
    </w:p>
    <w:p w14:paraId="6321D974" w14:textId="24A02A9B" w:rsidR="00F64776" w:rsidRDefault="00F64776" w:rsidP="00F64776">
      <w:pPr>
        <w:pStyle w:val="TextoNormalNegritaCentrado"/>
      </w:pPr>
    </w:p>
    <w:p w14:paraId="37C00AB3" w14:textId="77777777" w:rsidR="00F64776" w:rsidRDefault="00F64776" w:rsidP="00F64776">
      <w:pPr>
        <w:pStyle w:val="TextoNormalNegritaCentrado"/>
        <w:keepNext/>
      </w:pPr>
      <w:r>
        <w:t>I. Antecedentes</w:t>
      </w:r>
    </w:p>
    <w:p w14:paraId="503B6361" w14:textId="11605596" w:rsidR="00F64776" w:rsidRDefault="00F64776" w:rsidP="00F64776">
      <w:pPr>
        <w:pStyle w:val="TextoNormalNegritaCentrado"/>
        <w:keepNext/>
      </w:pPr>
    </w:p>
    <w:p w14:paraId="0B565B23" w14:textId="28F735A9" w:rsidR="00F64776" w:rsidRDefault="00F64776" w:rsidP="00F64776">
      <w:pPr>
        <w:pStyle w:val="TextoNormal"/>
      </w:pPr>
      <w:r w:rsidRPr="00F64776">
        <w:rPr>
          <w:rStyle w:val="NumeroAFNegritaCaracter"/>
        </w:rPr>
        <w:t>1</w:t>
      </w:r>
      <w:r>
        <w:t>. Mediante escrito registrado en este tribunal el 6 de julio de 2022, la procuradora de los tribunales doña María Aránzazu López Orejas, en nombre y representación de doña Ariana Katherine Medina Tomateo y bajo la dirección de la letrada doña Susana López Mármol, formuló demanda de amparo contra la providencia de la Sala de lo Contencioso-Administrativo del Tribunal Supremo, en recurso de casación núm. 3449-2022.</w:t>
      </w:r>
    </w:p>
    <w:p w14:paraId="59FE43EA" w14:textId="77777777" w:rsidR="00F64776" w:rsidRDefault="00F64776" w:rsidP="00F64776">
      <w:pPr>
        <w:pStyle w:val="TextoNormal"/>
      </w:pPr>
    </w:p>
    <w:p w14:paraId="79700534" w14:textId="4CB33581" w:rsidR="00F64776" w:rsidRDefault="00F64776" w:rsidP="00F64776">
      <w:pPr>
        <w:pStyle w:val="TextoNormal"/>
      </w:pPr>
      <w:r w:rsidRPr="00F64776">
        <w:rPr>
          <w:rStyle w:val="NumeroAFNegritaCaracter"/>
        </w:rPr>
        <w:t>2</w:t>
      </w:r>
      <w:r>
        <w:t>. Por escrito de 4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4E3A414C" w14:textId="77777777" w:rsidR="00F64776" w:rsidRDefault="00F64776" w:rsidP="00F64776">
      <w:pPr>
        <w:pStyle w:val="TextoNormal"/>
      </w:pPr>
    </w:p>
    <w:p w14:paraId="1E5F0623" w14:textId="77777777" w:rsidR="00F64776" w:rsidRDefault="00F64776" w:rsidP="00F64776">
      <w:pPr>
        <w:pStyle w:val="TextoNormalNegritaCentrado"/>
        <w:keepNext/>
      </w:pPr>
      <w:r>
        <w:t>II. Fundamentos jurídicos</w:t>
      </w:r>
    </w:p>
    <w:p w14:paraId="76D4350B" w14:textId="4603E46D" w:rsidR="00F64776" w:rsidRDefault="00F64776" w:rsidP="00F64776">
      <w:pPr>
        <w:pStyle w:val="TextoNormalNegritaCentrado"/>
        <w:keepNext/>
      </w:pPr>
    </w:p>
    <w:p w14:paraId="3AE6766B" w14:textId="2E0063BF"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61B2BE95" w14:textId="77777777" w:rsidR="00F64776" w:rsidRDefault="00F64776" w:rsidP="00F64776">
      <w:pPr>
        <w:pStyle w:val="TextoNormal"/>
      </w:pPr>
    </w:p>
    <w:p w14:paraId="7542D96A" w14:textId="77777777" w:rsidR="00F64776" w:rsidRDefault="00F64776" w:rsidP="00F64776">
      <w:pPr>
        <w:pStyle w:val="TextoNormal"/>
      </w:pPr>
      <w:r>
        <w:t>Por lo expuesto, la Sección</w:t>
      </w:r>
    </w:p>
    <w:p w14:paraId="1F9787FF" w14:textId="134911F7" w:rsidR="00F64776" w:rsidRDefault="00F64776" w:rsidP="00F64776">
      <w:pPr>
        <w:pStyle w:val="TextoNormal"/>
      </w:pPr>
    </w:p>
    <w:p w14:paraId="15E4F9EC" w14:textId="77777777" w:rsidR="00F64776" w:rsidRDefault="00F64776" w:rsidP="00F64776">
      <w:pPr>
        <w:pStyle w:val="TextoNormalCentrado"/>
      </w:pPr>
      <w:r>
        <w:t>ACUERDA</w:t>
      </w:r>
    </w:p>
    <w:p w14:paraId="00F59F9E" w14:textId="69F923F2" w:rsidR="00F64776" w:rsidRDefault="00F64776" w:rsidP="00F64776">
      <w:pPr>
        <w:pStyle w:val="TextoNormalCentrado"/>
      </w:pPr>
    </w:p>
    <w:p w14:paraId="729CDD4E" w14:textId="06E300BC" w:rsidR="00F64776" w:rsidRDefault="00F64776" w:rsidP="00F64776">
      <w:pPr>
        <w:pStyle w:val="TextoNormal"/>
      </w:pPr>
      <w:r>
        <w:t>Estimar justificada la abstención formulada por el magistrado don César Tolosa Tribiño en el recurso de amparo núm. 4942-2022 y apartarle definitivamente del conocimiento del referido recurso y de todas sus incidencias.</w:t>
      </w:r>
    </w:p>
    <w:p w14:paraId="0AA5F19A" w14:textId="77777777" w:rsidR="00F64776" w:rsidRDefault="00F64776" w:rsidP="00F64776">
      <w:pPr>
        <w:pStyle w:val="TextoNormal"/>
      </w:pPr>
    </w:p>
    <w:p w14:paraId="4F9DD888" w14:textId="77777777" w:rsidR="00F64776" w:rsidRDefault="00F64776" w:rsidP="00F64776">
      <w:pPr>
        <w:pStyle w:val="TextoNormal"/>
      </w:pPr>
      <w:r>
        <w:t>Madrid, a dieciséis de noviembre de dos mil veintitrés.</w:t>
      </w:r>
    </w:p>
    <w:p w14:paraId="187C679F" w14:textId="77A000C5" w:rsidR="00F64776" w:rsidRDefault="00F64776">
      <w:pPr>
        <w:spacing w:after="160" w:line="278" w:lineRule="auto"/>
        <w:rPr>
          <w:rFonts w:ascii="Times New Roman" w:eastAsia="Times New Roman" w:hAnsi="Times New Roman" w:cs="Times New Roman"/>
          <w:sz w:val="24"/>
          <w:szCs w:val="24"/>
          <w:lang w:eastAsia="es-ES"/>
        </w:rPr>
      </w:pPr>
      <w:r>
        <w:br w:type="page"/>
      </w:r>
    </w:p>
    <w:p w14:paraId="25A86621" w14:textId="77777777" w:rsidR="00F64776" w:rsidRDefault="00F64776" w:rsidP="00F64776">
      <w:pPr>
        <w:pStyle w:val="TtuloResolucin"/>
      </w:pPr>
      <w:bookmarkStart w:id="374" w:name="AUTO_2023_589"/>
      <w:r>
        <w:t>AUTO 589/2023, de 16 de noviembre de 2023</w:t>
      </w:r>
    </w:p>
    <w:bookmarkEnd w:id="374"/>
    <w:p w14:paraId="4B30EA7E" w14:textId="77777777" w:rsidR="00F64776" w:rsidRDefault="00F64776" w:rsidP="00F64776">
      <w:pPr>
        <w:pStyle w:val="TtuloResolucin"/>
      </w:pPr>
      <w:r>
        <w:t>Sección Tercera</w:t>
      </w:r>
    </w:p>
    <w:p w14:paraId="45C1ACB8" w14:textId="77777777" w:rsidR="00F64776" w:rsidRDefault="00F64776" w:rsidP="00F64776">
      <w:pPr>
        <w:pStyle w:val="TextoNormalCentrado"/>
      </w:pPr>
      <w:r>
        <w:t>ECLI:ES:TC:2023:589A</w:t>
      </w:r>
    </w:p>
    <w:p w14:paraId="66FBC8B0" w14:textId="644F000C" w:rsidR="00F64776" w:rsidRDefault="00F64776" w:rsidP="00F64776">
      <w:pPr>
        <w:pStyle w:val="TextoNormalCentrado"/>
      </w:pPr>
    </w:p>
    <w:p w14:paraId="2357C068" w14:textId="77777777" w:rsidR="00F64776" w:rsidRDefault="00F64776" w:rsidP="00F64776">
      <w:pPr>
        <w:pStyle w:val="SntesisDescriptiva"/>
      </w:pPr>
      <w:r>
        <w:t>Excms. Srs. doña Inmaculada Montalbán Huertas y doña Laura Díez Bueso.</w:t>
      </w:r>
    </w:p>
    <w:p w14:paraId="65D4B46F" w14:textId="2C1B033B" w:rsidR="00F64776" w:rsidRDefault="00F64776" w:rsidP="00F64776">
      <w:pPr>
        <w:pStyle w:val="SntesisDescriptiva"/>
      </w:pPr>
    </w:p>
    <w:p w14:paraId="394010C1" w14:textId="77777777" w:rsidR="00F64776" w:rsidRDefault="00F64776" w:rsidP="00F64776">
      <w:pPr>
        <w:pStyle w:val="SntesisDescriptiva"/>
      </w:pPr>
      <w:r>
        <w:t>Acepta una abstención en el recurso de amparo 5140-2022, promovido en proceso contencioso-administrativo.</w:t>
      </w:r>
    </w:p>
    <w:p w14:paraId="505AA42D" w14:textId="40593481" w:rsidR="00F64776" w:rsidRDefault="00F64776" w:rsidP="00F64776">
      <w:pPr>
        <w:pStyle w:val="SntesisDescriptiva"/>
      </w:pPr>
    </w:p>
    <w:p w14:paraId="5C175F0B" w14:textId="77777777" w:rsidR="00F64776" w:rsidRDefault="00F64776" w:rsidP="00F64776">
      <w:pPr>
        <w:pStyle w:val="SntesisDescriptiva"/>
      </w:pPr>
    </w:p>
    <w:p w14:paraId="09542010" w14:textId="77777777" w:rsidR="00F64776" w:rsidRDefault="00F64776" w:rsidP="00F64776">
      <w:pPr>
        <w:pStyle w:val="SntesisDescriptiva"/>
      </w:pPr>
    </w:p>
    <w:p w14:paraId="66E78299" w14:textId="77777777" w:rsidR="00F64776" w:rsidRDefault="00F64776" w:rsidP="00F64776">
      <w:pPr>
        <w:pStyle w:val="TextoNormalNegritaCentrado"/>
      </w:pPr>
      <w:r>
        <w:t>AUTO</w:t>
      </w:r>
    </w:p>
    <w:p w14:paraId="5245F0D4" w14:textId="6034DBF7" w:rsidR="00F64776" w:rsidRDefault="00F64776" w:rsidP="00F64776">
      <w:pPr>
        <w:pStyle w:val="TextoNormalNegritaCentrado"/>
      </w:pPr>
    </w:p>
    <w:p w14:paraId="36DEC3B2" w14:textId="77777777" w:rsidR="00F64776" w:rsidRDefault="00F64776" w:rsidP="00F64776">
      <w:pPr>
        <w:pStyle w:val="TextoNormalNegritaCentrado"/>
        <w:keepNext/>
      </w:pPr>
      <w:r>
        <w:t>I. Antecedentes</w:t>
      </w:r>
    </w:p>
    <w:p w14:paraId="67EA0687" w14:textId="18094668" w:rsidR="00F64776" w:rsidRDefault="00F64776" w:rsidP="00F64776">
      <w:pPr>
        <w:pStyle w:val="TextoNormalNegritaCentrado"/>
        <w:keepNext/>
      </w:pPr>
    </w:p>
    <w:p w14:paraId="0D6F20D6" w14:textId="73ECB521" w:rsidR="00F64776" w:rsidRDefault="00F64776" w:rsidP="00F64776">
      <w:pPr>
        <w:pStyle w:val="TextoNormal"/>
      </w:pPr>
      <w:r w:rsidRPr="00F64776">
        <w:rPr>
          <w:rStyle w:val="NumeroAFNegritaCaracter"/>
        </w:rPr>
        <w:t>1</w:t>
      </w:r>
      <w:r>
        <w:t>. Mediante escrito registrado en este tribunal el 14 de julio de 2022, la procuradora de los tribunales doña María del Mar Serrano Moreno, en nombre y representación de don Axel Montenegro y bajo la dirección del letrado don Julio García Latorre, formuló demanda de amparo contra el auto de 8 de junio de 2022, dictado por la Sección Primera de la Sala de lo Contencioso-Administrativo del Tribunal Supremo, en recurso de queja núm. 229-2022 contra el dictado por la Sección Séptima de la Audiencia Nacional, procedimiento ordinario núm.723-2020.</w:t>
      </w:r>
    </w:p>
    <w:p w14:paraId="67D000DC" w14:textId="77777777" w:rsidR="00F64776" w:rsidRDefault="00F64776" w:rsidP="00F64776">
      <w:pPr>
        <w:pStyle w:val="TextoNormal"/>
      </w:pPr>
    </w:p>
    <w:p w14:paraId="5C8EFBB5" w14:textId="67930800" w:rsidR="00F64776" w:rsidRDefault="00F64776" w:rsidP="00F64776">
      <w:pPr>
        <w:pStyle w:val="TextoNormal"/>
      </w:pPr>
      <w:r w:rsidRPr="00F64776">
        <w:rPr>
          <w:rStyle w:val="NumeroAFNegritaCaracter"/>
        </w:rPr>
        <w:t>2</w:t>
      </w:r>
      <w:r>
        <w:t>. Por escrito de 8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33916B4A" w14:textId="77777777" w:rsidR="00F64776" w:rsidRDefault="00F64776" w:rsidP="00F64776">
      <w:pPr>
        <w:pStyle w:val="TextoNormal"/>
      </w:pPr>
    </w:p>
    <w:p w14:paraId="52F98602" w14:textId="77777777" w:rsidR="00F64776" w:rsidRDefault="00F64776" w:rsidP="00F64776">
      <w:pPr>
        <w:pStyle w:val="TextoNormalNegritaCentrado"/>
        <w:keepNext/>
      </w:pPr>
      <w:r>
        <w:t>II. Fundamentos jurídicos</w:t>
      </w:r>
    </w:p>
    <w:p w14:paraId="2C341A13" w14:textId="65D90DF6" w:rsidR="00F64776" w:rsidRDefault="00F64776" w:rsidP="00F64776">
      <w:pPr>
        <w:pStyle w:val="TextoNormalNegritaCentrado"/>
        <w:keepNext/>
      </w:pPr>
    </w:p>
    <w:p w14:paraId="5C130D58" w14:textId="61797A5E"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329D44ED" w14:textId="77777777" w:rsidR="00F64776" w:rsidRDefault="00F64776" w:rsidP="00F64776">
      <w:pPr>
        <w:pStyle w:val="TextoNormal"/>
      </w:pPr>
    </w:p>
    <w:p w14:paraId="2F349202" w14:textId="77777777" w:rsidR="00F64776" w:rsidRDefault="00F64776" w:rsidP="00F64776">
      <w:pPr>
        <w:pStyle w:val="TextoNormal"/>
      </w:pPr>
      <w:r>
        <w:t>Por lo expuesto, la Sección</w:t>
      </w:r>
    </w:p>
    <w:p w14:paraId="3C4ACC5D" w14:textId="1C8ED957" w:rsidR="00F64776" w:rsidRDefault="00F64776" w:rsidP="00F64776">
      <w:pPr>
        <w:pStyle w:val="TextoNormal"/>
      </w:pPr>
    </w:p>
    <w:p w14:paraId="247A9C25" w14:textId="77777777" w:rsidR="00F64776" w:rsidRDefault="00F64776" w:rsidP="00F64776">
      <w:pPr>
        <w:pStyle w:val="TextoNormalCentrado"/>
      </w:pPr>
      <w:r>
        <w:t>ACUERDA</w:t>
      </w:r>
    </w:p>
    <w:p w14:paraId="0F852D7A" w14:textId="032E5B8B" w:rsidR="00F64776" w:rsidRDefault="00F64776" w:rsidP="00F64776">
      <w:pPr>
        <w:pStyle w:val="TextoNormalCentrado"/>
      </w:pPr>
    </w:p>
    <w:p w14:paraId="7692C7E0" w14:textId="780ACC51" w:rsidR="00F64776" w:rsidRDefault="00F64776" w:rsidP="00F64776">
      <w:pPr>
        <w:pStyle w:val="TextoNormal"/>
      </w:pPr>
      <w:r>
        <w:t>Estimar justificada la abstención formulada por el magistrado don César Tolosa Tribiño en el recurso de amparo núm. 5140-2022 y apartarle definitivamente del conocimiento del referido recurso y de todas sus incidencias.</w:t>
      </w:r>
    </w:p>
    <w:p w14:paraId="17F6FE9F" w14:textId="77777777" w:rsidR="00F64776" w:rsidRDefault="00F64776" w:rsidP="00F64776">
      <w:pPr>
        <w:pStyle w:val="TextoNormal"/>
      </w:pPr>
    </w:p>
    <w:p w14:paraId="03D82E3D" w14:textId="77777777" w:rsidR="00F64776" w:rsidRDefault="00F64776" w:rsidP="00F64776">
      <w:pPr>
        <w:pStyle w:val="TextoNormal"/>
      </w:pPr>
      <w:r>
        <w:t>Madrid, a dieciséis de noviembre de dos mil veintitrés.</w:t>
      </w:r>
    </w:p>
    <w:p w14:paraId="2031FD94" w14:textId="38D9E5AA" w:rsidR="00F64776" w:rsidRDefault="00F64776">
      <w:pPr>
        <w:spacing w:after="160" w:line="278" w:lineRule="auto"/>
        <w:rPr>
          <w:rFonts w:ascii="Times New Roman" w:eastAsia="Times New Roman" w:hAnsi="Times New Roman" w:cs="Times New Roman"/>
          <w:sz w:val="24"/>
          <w:szCs w:val="24"/>
          <w:lang w:eastAsia="es-ES"/>
        </w:rPr>
      </w:pPr>
      <w:r>
        <w:br w:type="page"/>
      </w:r>
    </w:p>
    <w:p w14:paraId="68A34905" w14:textId="77777777" w:rsidR="00F64776" w:rsidRDefault="00F64776" w:rsidP="00F64776">
      <w:pPr>
        <w:pStyle w:val="TtuloResolucin"/>
      </w:pPr>
      <w:bookmarkStart w:id="375" w:name="AUTO_2023_590"/>
      <w:r>
        <w:t>AUTO 590/2023, de 16 de noviembre de 2023</w:t>
      </w:r>
    </w:p>
    <w:bookmarkEnd w:id="375"/>
    <w:p w14:paraId="16A0205A" w14:textId="77777777" w:rsidR="00F64776" w:rsidRDefault="00F64776" w:rsidP="00F64776">
      <w:pPr>
        <w:pStyle w:val="TtuloResolucin"/>
      </w:pPr>
      <w:r>
        <w:t>Sección Tercera</w:t>
      </w:r>
    </w:p>
    <w:p w14:paraId="5C358A6E" w14:textId="77777777" w:rsidR="00F64776" w:rsidRDefault="00F64776" w:rsidP="00F64776">
      <w:pPr>
        <w:pStyle w:val="TextoNormalCentrado"/>
      </w:pPr>
      <w:r>
        <w:t>ECLI:ES:TC:2023:590A</w:t>
      </w:r>
    </w:p>
    <w:p w14:paraId="31F33AF3" w14:textId="5B295883" w:rsidR="00F64776" w:rsidRDefault="00F64776" w:rsidP="00F64776">
      <w:pPr>
        <w:pStyle w:val="TextoNormalCentrado"/>
      </w:pPr>
    </w:p>
    <w:p w14:paraId="54DD1D68" w14:textId="77777777" w:rsidR="00F64776" w:rsidRDefault="00F64776" w:rsidP="00F64776">
      <w:pPr>
        <w:pStyle w:val="SntesisDescriptiva"/>
      </w:pPr>
      <w:r>
        <w:t>Excms. Srs. doña Inmaculada Montalbán Huertas y doña Laura Díez Bueso.</w:t>
      </w:r>
    </w:p>
    <w:p w14:paraId="510B13C9" w14:textId="3102D61E" w:rsidR="00F64776" w:rsidRDefault="00F64776" w:rsidP="00F64776">
      <w:pPr>
        <w:pStyle w:val="SntesisDescriptiva"/>
      </w:pPr>
    </w:p>
    <w:p w14:paraId="4E4B9E73" w14:textId="77777777" w:rsidR="00F64776" w:rsidRDefault="00F64776" w:rsidP="00F64776">
      <w:pPr>
        <w:pStyle w:val="SntesisDescriptiva"/>
      </w:pPr>
      <w:r>
        <w:t>Acepta una abstención en el recurso de amparo 6460-2022, promovido en proceso contencioso-administrativo.</w:t>
      </w:r>
    </w:p>
    <w:p w14:paraId="1904C9D8" w14:textId="67C010A6" w:rsidR="00F64776" w:rsidRDefault="00F64776" w:rsidP="00F64776">
      <w:pPr>
        <w:pStyle w:val="SntesisDescriptiva"/>
      </w:pPr>
    </w:p>
    <w:p w14:paraId="1B466D4C" w14:textId="77777777" w:rsidR="00F64776" w:rsidRDefault="00F64776" w:rsidP="00F64776">
      <w:pPr>
        <w:pStyle w:val="SntesisDescriptiva"/>
      </w:pPr>
    </w:p>
    <w:p w14:paraId="43F8F6E7" w14:textId="77777777" w:rsidR="00F64776" w:rsidRDefault="00F64776" w:rsidP="00F64776">
      <w:pPr>
        <w:pStyle w:val="SntesisDescriptiva"/>
      </w:pPr>
    </w:p>
    <w:p w14:paraId="36DFD17E" w14:textId="77777777" w:rsidR="00F64776" w:rsidRDefault="00F64776" w:rsidP="00F64776">
      <w:pPr>
        <w:pStyle w:val="TextoNormalNegritaCentrado"/>
      </w:pPr>
      <w:r>
        <w:t>AUTO</w:t>
      </w:r>
    </w:p>
    <w:p w14:paraId="3AE8C150" w14:textId="0E4CE452" w:rsidR="00F64776" w:rsidRDefault="00F64776" w:rsidP="00F64776">
      <w:pPr>
        <w:pStyle w:val="TextoNormalNegritaCentrado"/>
      </w:pPr>
    </w:p>
    <w:p w14:paraId="3B4DB817" w14:textId="77777777" w:rsidR="00F64776" w:rsidRDefault="00F64776" w:rsidP="00F64776">
      <w:pPr>
        <w:pStyle w:val="TextoNormalNegritaCentrado"/>
        <w:keepNext/>
      </w:pPr>
      <w:r>
        <w:t>I. Antecedentes</w:t>
      </w:r>
    </w:p>
    <w:p w14:paraId="38A30952" w14:textId="61A969D3" w:rsidR="00F64776" w:rsidRDefault="00F64776" w:rsidP="00F64776">
      <w:pPr>
        <w:pStyle w:val="TextoNormalNegritaCentrado"/>
        <w:keepNext/>
      </w:pPr>
    </w:p>
    <w:p w14:paraId="34DA3C8F" w14:textId="6EA0001F" w:rsidR="00F64776" w:rsidRDefault="00F64776" w:rsidP="00F64776">
      <w:pPr>
        <w:pStyle w:val="TextoNormal"/>
      </w:pPr>
      <w:r w:rsidRPr="00F64776">
        <w:rPr>
          <w:rStyle w:val="NumeroAFNegritaCaracter"/>
        </w:rPr>
        <w:t>1</w:t>
      </w:r>
      <w:r>
        <w:t>. Mediante escrito registrado en este tribunal el 3 de octubre de 2022, el procurador de los tribunales don Federico Ruipérez Palomino, en nombre y representación de la Associació de Venedors Mercat Fira de Bellcaire y bajo la dirección del letrado don Carlos Ramón Chinchilla Salido, formuló demanda de amparo contra la providencia de 13 de julio de 2022 de la Sección Primera de la Sala de lo Contencioso-Administrativo del Tribunal Supremo, en recurso de casación núm. 3448-2021.</w:t>
      </w:r>
    </w:p>
    <w:p w14:paraId="08F66B61" w14:textId="77777777" w:rsidR="00F64776" w:rsidRDefault="00F64776" w:rsidP="00F64776">
      <w:pPr>
        <w:pStyle w:val="TextoNormal"/>
      </w:pPr>
    </w:p>
    <w:p w14:paraId="4C0EDA66" w14:textId="78700B71" w:rsidR="00F64776" w:rsidRDefault="00F64776" w:rsidP="00F64776">
      <w:pPr>
        <w:pStyle w:val="TextoNormal"/>
      </w:pPr>
      <w:r w:rsidRPr="00F64776">
        <w:rPr>
          <w:rStyle w:val="NumeroAFNegritaCaracter"/>
        </w:rPr>
        <w:t>2</w:t>
      </w:r>
      <w:r>
        <w:t>. Por escrito de 8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64C9F6E0" w14:textId="77777777" w:rsidR="00F64776" w:rsidRDefault="00F64776" w:rsidP="00F64776">
      <w:pPr>
        <w:pStyle w:val="TextoNormal"/>
      </w:pPr>
    </w:p>
    <w:p w14:paraId="4C7FB046" w14:textId="77777777" w:rsidR="00F64776" w:rsidRDefault="00F64776" w:rsidP="00F64776">
      <w:pPr>
        <w:pStyle w:val="TextoNormalNegritaCentrado"/>
        <w:keepNext/>
      </w:pPr>
      <w:r>
        <w:t>II. Fundamentos jurídicos</w:t>
      </w:r>
    </w:p>
    <w:p w14:paraId="26D30B58" w14:textId="0966EC30" w:rsidR="00F64776" w:rsidRDefault="00F64776" w:rsidP="00F64776">
      <w:pPr>
        <w:pStyle w:val="TextoNormalNegritaCentrado"/>
        <w:keepNext/>
      </w:pPr>
    </w:p>
    <w:p w14:paraId="3F514A62" w14:textId="7837BEC2"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03D26C39" w14:textId="77777777" w:rsidR="00F64776" w:rsidRDefault="00F64776" w:rsidP="00F64776">
      <w:pPr>
        <w:pStyle w:val="TextoNormal"/>
      </w:pPr>
    </w:p>
    <w:p w14:paraId="2E9A9680" w14:textId="77777777" w:rsidR="00F64776" w:rsidRDefault="00F64776" w:rsidP="00F64776">
      <w:pPr>
        <w:pStyle w:val="TextoNormal"/>
      </w:pPr>
      <w:r>
        <w:t>Por lo expuesto, la Sección</w:t>
      </w:r>
    </w:p>
    <w:p w14:paraId="060F18F7" w14:textId="0C3D816B" w:rsidR="00F64776" w:rsidRDefault="00F64776" w:rsidP="00F64776">
      <w:pPr>
        <w:pStyle w:val="TextoNormal"/>
      </w:pPr>
    </w:p>
    <w:p w14:paraId="2AF91C46" w14:textId="77777777" w:rsidR="00F64776" w:rsidRDefault="00F64776" w:rsidP="00F64776">
      <w:pPr>
        <w:pStyle w:val="TextoNormalCentrado"/>
      </w:pPr>
      <w:r>
        <w:t>ACUERDA</w:t>
      </w:r>
    </w:p>
    <w:p w14:paraId="14013736" w14:textId="0DAFC3D9" w:rsidR="00F64776" w:rsidRDefault="00F64776" w:rsidP="00F64776">
      <w:pPr>
        <w:pStyle w:val="TextoNormalCentrado"/>
      </w:pPr>
    </w:p>
    <w:p w14:paraId="5EE4221B" w14:textId="70FD3BD3" w:rsidR="00F64776" w:rsidRDefault="00F64776" w:rsidP="00F64776">
      <w:pPr>
        <w:pStyle w:val="TextoNormal"/>
      </w:pPr>
      <w:r>
        <w:t>Estimar justificada la abstención formulada por el magistrado don César Tolosa Tribiño en el recurso de amparo núm. 6460-2022 y apartarle definitivamente del conocimiento del referido recurso y de todas sus incidencias.</w:t>
      </w:r>
    </w:p>
    <w:p w14:paraId="477BFBDC" w14:textId="77777777" w:rsidR="00F64776" w:rsidRDefault="00F64776" w:rsidP="00F64776">
      <w:pPr>
        <w:pStyle w:val="TextoNormal"/>
      </w:pPr>
    </w:p>
    <w:p w14:paraId="53048ED1" w14:textId="77777777" w:rsidR="00F64776" w:rsidRDefault="00F64776" w:rsidP="00F64776">
      <w:pPr>
        <w:pStyle w:val="TextoNormal"/>
      </w:pPr>
      <w:r>
        <w:t>Madrid, a dieciséis de noviembre de dos mil veintitrés.</w:t>
      </w:r>
    </w:p>
    <w:p w14:paraId="0999247F" w14:textId="5319C0ED" w:rsidR="00F64776" w:rsidRDefault="00F64776">
      <w:pPr>
        <w:spacing w:after="160" w:line="278" w:lineRule="auto"/>
        <w:rPr>
          <w:rFonts w:ascii="Times New Roman" w:eastAsia="Times New Roman" w:hAnsi="Times New Roman" w:cs="Times New Roman"/>
          <w:sz w:val="24"/>
          <w:szCs w:val="24"/>
          <w:lang w:eastAsia="es-ES"/>
        </w:rPr>
      </w:pPr>
      <w:r>
        <w:br w:type="page"/>
      </w:r>
    </w:p>
    <w:p w14:paraId="13DA89ED" w14:textId="77777777" w:rsidR="00F64776" w:rsidRDefault="00F64776" w:rsidP="00F64776">
      <w:pPr>
        <w:pStyle w:val="TtuloResolucin"/>
      </w:pPr>
      <w:bookmarkStart w:id="376" w:name="AUTO_2023_591"/>
      <w:r>
        <w:t>AUTO 591/2023, de 16 de noviembre de 2023</w:t>
      </w:r>
    </w:p>
    <w:bookmarkEnd w:id="376"/>
    <w:p w14:paraId="1D9F435C" w14:textId="77777777" w:rsidR="00F64776" w:rsidRDefault="00F64776" w:rsidP="00F64776">
      <w:pPr>
        <w:pStyle w:val="TtuloResolucin"/>
      </w:pPr>
      <w:r>
        <w:t>Sección Tercera</w:t>
      </w:r>
    </w:p>
    <w:p w14:paraId="1F2B80DD" w14:textId="77777777" w:rsidR="00F64776" w:rsidRDefault="00F64776" w:rsidP="00F64776">
      <w:pPr>
        <w:pStyle w:val="TextoNormalCentrado"/>
      </w:pPr>
      <w:r>
        <w:t>ECLI:ES:TC:2023:591A</w:t>
      </w:r>
    </w:p>
    <w:p w14:paraId="37345F28" w14:textId="6F335407" w:rsidR="00F64776" w:rsidRDefault="00F64776" w:rsidP="00F64776">
      <w:pPr>
        <w:pStyle w:val="TextoNormalCentrado"/>
      </w:pPr>
    </w:p>
    <w:p w14:paraId="5F217D22" w14:textId="77777777" w:rsidR="00F64776" w:rsidRDefault="00F64776" w:rsidP="00F64776">
      <w:pPr>
        <w:pStyle w:val="SntesisDescriptiva"/>
      </w:pPr>
      <w:r>
        <w:t>Excms. Srs. doña Inmaculada Montalbán Huertas y doña Laura Díez Bueso.</w:t>
      </w:r>
    </w:p>
    <w:p w14:paraId="7F9C499B" w14:textId="29C0A909" w:rsidR="00F64776" w:rsidRDefault="00F64776" w:rsidP="00F64776">
      <w:pPr>
        <w:pStyle w:val="SntesisDescriptiva"/>
      </w:pPr>
    </w:p>
    <w:p w14:paraId="03124B40" w14:textId="77777777" w:rsidR="00F64776" w:rsidRDefault="00F64776" w:rsidP="00F64776">
      <w:pPr>
        <w:pStyle w:val="SntesisDescriptiva"/>
      </w:pPr>
      <w:r>
        <w:t>Acepta una abstención en el recurso de amparo 6628-2022, promovido en proceso contencioso-administrativo.</w:t>
      </w:r>
    </w:p>
    <w:p w14:paraId="2E45E4B8" w14:textId="4A6440AF" w:rsidR="00F64776" w:rsidRDefault="00F64776" w:rsidP="00F64776">
      <w:pPr>
        <w:pStyle w:val="SntesisDescriptiva"/>
      </w:pPr>
    </w:p>
    <w:p w14:paraId="20E83706" w14:textId="77777777" w:rsidR="00F64776" w:rsidRDefault="00F64776" w:rsidP="00F64776">
      <w:pPr>
        <w:pStyle w:val="SntesisDescriptiva"/>
      </w:pPr>
    </w:p>
    <w:p w14:paraId="4513B32F" w14:textId="77777777" w:rsidR="00F64776" w:rsidRDefault="00F64776" w:rsidP="00F64776">
      <w:pPr>
        <w:pStyle w:val="SntesisDescriptiva"/>
      </w:pPr>
    </w:p>
    <w:p w14:paraId="6F4A05B3" w14:textId="77777777" w:rsidR="00F64776" w:rsidRDefault="00F64776" w:rsidP="00F64776">
      <w:pPr>
        <w:pStyle w:val="TextoNormalNegritaCentrado"/>
      </w:pPr>
      <w:r>
        <w:t>AUTO</w:t>
      </w:r>
    </w:p>
    <w:p w14:paraId="6447514F" w14:textId="1F071F57" w:rsidR="00F64776" w:rsidRDefault="00F64776" w:rsidP="00F64776">
      <w:pPr>
        <w:pStyle w:val="TextoNormalNegritaCentrado"/>
      </w:pPr>
    </w:p>
    <w:p w14:paraId="06BC3D41" w14:textId="77777777" w:rsidR="00F64776" w:rsidRDefault="00F64776" w:rsidP="00F64776">
      <w:pPr>
        <w:pStyle w:val="TextoNormalNegritaCentrado"/>
        <w:keepNext/>
      </w:pPr>
      <w:r>
        <w:t>I. Antecedentes</w:t>
      </w:r>
    </w:p>
    <w:p w14:paraId="264C5569" w14:textId="59755EA1" w:rsidR="00F64776" w:rsidRDefault="00F64776" w:rsidP="00F64776">
      <w:pPr>
        <w:pStyle w:val="TextoNormalNegritaCentrado"/>
        <w:keepNext/>
      </w:pPr>
    </w:p>
    <w:p w14:paraId="63F41B94" w14:textId="02B63C04" w:rsidR="00F64776" w:rsidRDefault="00F64776" w:rsidP="00F64776">
      <w:pPr>
        <w:pStyle w:val="TextoNormal"/>
      </w:pPr>
      <w:r w:rsidRPr="00F64776">
        <w:rPr>
          <w:rStyle w:val="NumeroAFNegritaCaracter"/>
        </w:rPr>
        <w:t>1</w:t>
      </w:r>
      <w:r>
        <w:t>. Mediante escrito registrado en este tribunal el 7 de octubre de 2022, la procuradora de los tribunales doña Laura Lucena Herráez, en nombre y representación de la entidad R.N.B., S.L., y bajo la dirección del letrado don Manuel Esclapez Escudero, formuló demanda de amparo contra las providencias de la Sección Primera de la Sala de lo Contencioso-Administrativo del Tribunal Supremo, en recurso de casación núm. 6852-2021.</w:t>
      </w:r>
    </w:p>
    <w:p w14:paraId="59E75A87" w14:textId="77777777" w:rsidR="00F64776" w:rsidRDefault="00F64776" w:rsidP="00F64776">
      <w:pPr>
        <w:pStyle w:val="TextoNormal"/>
      </w:pPr>
    </w:p>
    <w:p w14:paraId="6B1728B1" w14:textId="5916BF10" w:rsidR="00F64776" w:rsidRDefault="00F64776" w:rsidP="00F64776">
      <w:pPr>
        <w:pStyle w:val="TextoNormal"/>
      </w:pPr>
      <w:r w:rsidRPr="00F64776">
        <w:rPr>
          <w:rStyle w:val="NumeroAFNegritaCaracter"/>
        </w:rPr>
        <w:t>2</w:t>
      </w:r>
      <w:r>
        <w:t>. Por escrito de 4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75C585D9" w14:textId="77777777" w:rsidR="00F64776" w:rsidRDefault="00F64776" w:rsidP="00F64776">
      <w:pPr>
        <w:pStyle w:val="TextoNormal"/>
      </w:pPr>
    </w:p>
    <w:p w14:paraId="68D37F50" w14:textId="77777777" w:rsidR="00F64776" w:rsidRDefault="00F64776" w:rsidP="00F64776">
      <w:pPr>
        <w:pStyle w:val="TextoNormalNegritaCentrado"/>
        <w:keepNext/>
      </w:pPr>
      <w:r>
        <w:t>II. Fundamentos jurídicos</w:t>
      </w:r>
    </w:p>
    <w:p w14:paraId="42CFA6B0" w14:textId="333A90D8" w:rsidR="00F64776" w:rsidRDefault="00F64776" w:rsidP="00F64776">
      <w:pPr>
        <w:pStyle w:val="TextoNormalNegritaCentrado"/>
        <w:keepNext/>
      </w:pPr>
    </w:p>
    <w:p w14:paraId="4ED96BEA" w14:textId="5A8C756D"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5F016E5E" w14:textId="77777777" w:rsidR="00F64776" w:rsidRDefault="00F64776" w:rsidP="00F64776">
      <w:pPr>
        <w:pStyle w:val="TextoNormal"/>
      </w:pPr>
    </w:p>
    <w:p w14:paraId="0FBC7299" w14:textId="77777777" w:rsidR="00F64776" w:rsidRDefault="00F64776" w:rsidP="00F64776">
      <w:pPr>
        <w:pStyle w:val="TextoNormal"/>
      </w:pPr>
      <w:r>
        <w:t>Por lo expuesto, la Sección</w:t>
      </w:r>
    </w:p>
    <w:p w14:paraId="2D9F7781" w14:textId="59B855B2" w:rsidR="00F64776" w:rsidRDefault="00F64776" w:rsidP="00F64776">
      <w:pPr>
        <w:pStyle w:val="TextoNormal"/>
      </w:pPr>
    </w:p>
    <w:p w14:paraId="03560AB5" w14:textId="77777777" w:rsidR="00F64776" w:rsidRDefault="00F64776" w:rsidP="00F64776">
      <w:pPr>
        <w:pStyle w:val="TextoNormalCentrado"/>
      </w:pPr>
      <w:r>
        <w:t>ACUERDA</w:t>
      </w:r>
    </w:p>
    <w:p w14:paraId="646638A0" w14:textId="40973195" w:rsidR="00F64776" w:rsidRDefault="00F64776" w:rsidP="00F64776">
      <w:pPr>
        <w:pStyle w:val="TextoNormalCentrado"/>
      </w:pPr>
    </w:p>
    <w:p w14:paraId="7C70A6CD" w14:textId="08BC0EB2" w:rsidR="00F64776" w:rsidRDefault="00F64776" w:rsidP="00F64776">
      <w:pPr>
        <w:pStyle w:val="TextoNormal"/>
      </w:pPr>
      <w:r>
        <w:t>Estimar justificada la abstención formulada por el magistrado don César Tolosa Tribiño en el recurso de amparo núm. 6628-2022 y apartarle definitivamente del conocimiento del referido recurso y de todas sus incidencias.</w:t>
      </w:r>
    </w:p>
    <w:p w14:paraId="75EA85BF" w14:textId="77777777" w:rsidR="00F64776" w:rsidRDefault="00F64776" w:rsidP="00F64776">
      <w:pPr>
        <w:pStyle w:val="TextoNormal"/>
      </w:pPr>
    </w:p>
    <w:p w14:paraId="103C7F60" w14:textId="77777777" w:rsidR="00F64776" w:rsidRDefault="00F64776" w:rsidP="00F64776">
      <w:pPr>
        <w:pStyle w:val="TextoNormal"/>
      </w:pPr>
      <w:r>
        <w:t>Madrid, a dieciséis de noviembre de dos mil veintitrés.</w:t>
      </w:r>
    </w:p>
    <w:p w14:paraId="22A62CCF" w14:textId="5C11D498" w:rsidR="00F64776" w:rsidRDefault="00F64776">
      <w:pPr>
        <w:spacing w:after="160" w:line="278" w:lineRule="auto"/>
        <w:rPr>
          <w:rFonts w:ascii="Times New Roman" w:eastAsia="Times New Roman" w:hAnsi="Times New Roman" w:cs="Times New Roman"/>
          <w:sz w:val="24"/>
          <w:szCs w:val="24"/>
          <w:lang w:eastAsia="es-ES"/>
        </w:rPr>
      </w:pPr>
      <w:r>
        <w:br w:type="page"/>
      </w:r>
    </w:p>
    <w:p w14:paraId="7B41615B" w14:textId="77777777" w:rsidR="00F64776" w:rsidRDefault="00F64776" w:rsidP="00F64776">
      <w:pPr>
        <w:pStyle w:val="TtuloResolucin"/>
      </w:pPr>
      <w:bookmarkStart w:id="377" w:name="AUTO_2023_592"/>
      <w:r>
        <w:t>AUTO 592/2023, de 16 de noviembre de 2023</w:t>
      </w:r>
    </w:p>
    <w:bookmarkEnd w:id="377"/>
    <w:p w14:paraId="40018DBB" w14:textId="77777777" w:rsidR="00F64776" w:rsidRDefault="00F64776" w:rsidP="00F64776">
      <w:pPr>
        <w:pStyle w:val="TtuloResolucin"/>
      </w:pPr>
      <w:r>
        <w:t>Sección Tercera</w:t>
      </w:r>
    </w:p>
    <w:p w14:paraId="153A88AB" w14:textId="77777777" w:rsidR="00F64776" w:rsidRDefault="00F64776" w:rsidP="00F64776">
      <w:pPr>
        <w:pStyle w:val="TextoNormalCentrado"/>
      </w:pPr>
      <w:r>
        <w:t>ECLI:ES:TC:2023:592A</w:t>
      </w:r>
    </w:p>
    <w:p w14:paraId="229C5F0B" w14:textId="63F6FC51" w:rsidR="00F64776" w:rsidRDefault="00F64776" w:rsidP="00F64776">
      <w:pPr>
        <w:pStyle w:val="TextoNormalCentrado"/>
      </w:pPr>
    </w:p>
    <w:p w14:paraId="0E133C50" w14:textId="77777777" w:rsidR="00F64776" w:rsidRDefault="00F64776" w:rsidP="00F64776">
      <w:pPr>
        <w:pStyle w:val="SntesisDescriptiva"/>
      </w:pPr>
      <w:r>
        <w:t>Excms. Srs. doña Inmaculada Montalbán Huertas y doña Laura Díez Bueso.</w:t>
      </w:r>
    </w:p>
    <w:p w14:paraId="77D20BC1" w14:textId="5019EFD9" w:rsidR="00F64776" w:rsidRDefault="00F64776" w:rsidP="00F64776">
      <w:pPr>
        <w:pStyle w:val="SntesisDescriptiva"/>
      </w:pPr>
    </w:p>
    <w:p w14:paraId="47F017D9" w14:textId="77777777" w:rsidR="00F64776" w:rsidRDefault="00F64776" w:rsidP="00F64776">
      <w:pPr>
        <w:pStyle w:val="SntesisDescriptiva"/>
      </w:pPr>
      <w:r>
        <w:t>Acepta una abstención en el recurso de amparo 2442-2023, promovido en proceso contencioso-administrativo.</w:t>
      </w:r>
    </w:p>
    <w:p w14:paraId="2FB38685" w14:textId="153C5E08" w:rsidR="00F64776" w:rsidRDefault="00F64776" w:rsidP="00F64776">
      <w:pPr>
        <w:pStyle w:val="SntesisDescriptiva"/>
      </w:pPr>
    </w:p>
    <w:p w14:paraId="19A5E918" w14:textId="77777777" w:rsidR="00F64776" w:rsidRDefault="00F64776" w:rsidP="00F64776">
      <w:pPr>
        <w:pStyle w:val="SntesisDescriptiva"/>
      </w:pPr>
    </w:p>
    <w:p w14:paraId="53AA9029" w14:textId="77777777" w:rsidR="00F64776" w:rsidRDefault="00F64776" w:rsidP="00F64776">
      <w:pPr>
        <w:pStyle w:val="SntesisDescriptiva"/>
      </w:pPr>
    </w:p>
    <w:p w14:paraId="0FB9970D" w14:textId="77777777" w:rsidR="00F64776" w:rsidRDefault="00F64776" w:rsidP="00F64776">
      <w:pPr>
        <w:pStyle w:val="TextoNormalNegritaCentrado"/>
      </w:pPr>
      <w:r>
        <w:t>AUTO</w:t>
      </w:r>
    </w:p>
    <w:p w14:paraId="720C951F" w14:textId="67C1C543" w:rsidR="00F64776" w:rsidRDefault="00F64776" w:rsidP="00F64776">
      <w:pPr>
        <w:pStyle w:val="TextoNormalNegritaCentrado"/>
      </w:pPr>
    </w:p>
    <w:p w14:paraId="3DAE1F8E" w14:textId="77777777" w:rsidR="00F64776" w:rsidRDefault="00F64776" w:rsidP="00F64776">
      <w:pPr>
        <w:pStyle w:val="TextoNormalNegritaCentrado"/>
        <w:keepNext/>
      </w:pPr>
      <w:r>
        <w:t>I. Antecedentes</w:t>
      </w:r>
    </w:p>
    <w:p w14:paraId="559EBE0A" w14:textId="45ED5A4D" w:rsidR="00F64776" w:rsidRDefault="00F64776" w:rsidP="00F64776">
      <w:pPr>
        <w:pStyle w:val="TextoNormalNegritaCentrado"/>
        <w:keepNext/>
      </w:pPr>
    </w:p>
    <w:p w14:paraId="05E82B7C" w14:textId="39289D82" w:rsidR="00F64776" w:rsidRDefault="00F64776" w:rsidP="00F64776">
      <w:pPr>
        <w:pStyle w:val="TextoNormal"/>
      </w:pPr>
      <w:r w:rsidRPr="00F64776">
        <w:rPr>
          <w:rStyle w:val="NumeroAFNegritaCaracter"/>
        </w:rPr>
        <w:t>1</w:t>
      </w:r>
      <w:r>
        <w:t>. Mediante escrito registrado en este tribunal el 12 de abril de 2023, el procurador de los tribunales don José María Ruiz de la Cuesta Vacas, en nombre y representación de don Francisco Javier Martín Sánchez y bajo la dirección del letrado don Francisco Javier Araúz de Robles Dávila, formuló demanda de amparo contra el auto de 16 de noviembre de 2022 dictado por la Sección Primera de la Sala de lo Contencioso-Administrativo del Tribunal Supremo, en recurso de queja núm. 303-2022.</w:t>
      </w:r>
    </w:p>
    <w:p w14:paraId="42B6FE28" w14:textId="77777777" w:rsidR="00F64776" w:rsidRDefault="00F64776" w:rsidP="00F64776">
      <w:pPr>
        <w:pStyle w:val="TextoNormal"/>
      </w:pPr>
    </w:p>
    <w:p w14:paraId="3BB822DB" w14:textId="726C1216" w:rsidR="00F64776" w:rsidRDefault="00F64776" w:rsidP="00F64776">
      <w:pPr>
        <w:pStyle w:val="TextoNormal"/>
      </w:pPr>
      <w:r w:rsidRPr="00F64776">
        <w:rPr>
          <w:rStyle w:val="NumeroAFNegritaCaracter"/>
        </w:rPr>
        <w:t>2</w:t>
      </w:r>
      <w:r>
        <w:t>. Por escrito de 8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6A2125D6" w14:textId="77777777" w:rsidR="00F64776" w:rsidRDefault="00F64776" w:rsidP="00F64776">
      <w:pPr>
        <w:pStyle w:val="TextoNormal"/>
      </w:pPr>
    </w:p>
    <w:p w14:paraId="12FD1F24" w14:textId="77777777" w:rsidR="00F64776" w:rsidRDefault="00F64776" w:rsidP="00F64776">
      <w:pPr>
        <w:pStyle w:val="TextoNormalNegritaCentrado"/>
        <w:keepNext/>
      </w:pPr>
      <w:r>
        <w:t>II. Fundamentos jurídicos</w:t>
      </w:r>
    </w:p>
    <w:p w14:paraId="10090B23" w14:textId="45FCEC2C" w:rsidR="00F64776" w:rsidRDefault="00F64776" w:rsidP="00F64776">
      <w:pPr>
        <w:pStyle w:val="TextoNormalNegritaCentrado"/>
        <w:keepNext/>
      </w:pPr>
    </w:p>
    <w:p w14:paraId="5731B8A3" w14:textId="7283D393"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5229ADC0" w14:textId="77777777" w:rsidR="00F64776" w:rsidRDefault="00F64776" w:rsidP="00F64776">
      <w:pPr>
        <w:pStyle w:val="TextoNormal"/>
      </w:pPr>
    </w:p>
    <w:p w14:paraId="69AFA603" w14:textId="77777777" w:rsidR="00F64776" w:rsidRDefault="00F64776" w:rsidP="00F64776">
      <w:pPr>
        <w:pStyle w:val="TextoNormal"/>
      </w:pPr>
      <w:r>
        <w:t>Por lo expuesto, la Sección</w:t>
      </w:r>
    </w:p>
    <w:p w14:paraId="7FF23A2C" w14:textId="0AAEA9AA" w:rsidR="00F64776" w:rsidRDefault="00F64776" w:rsidP="00F64776">
      <w:pPr>
        <w:pStyle w:val="TextoNormal"/>
      </w:pPr>
    </w:p>
    <w:p w14:paraId="5B5B38E1" w14:textId="77777777" w:rsidR="00F64776" w:rsidRDefault="00F64776" w:rsidP="00F64776">
      <w:pPr>
        <w:pStyle w:val="TextoNormalCentrado"/>
      </w:pPr>
      <w:r>
        <w:t>ACUERDA</w:t>
      </w:r>
    </w:p>
    <w:p w14:paraId="67DEEF18" w14:textId="6E8765D9" w:rsidR="00F64776" w:rsidRDefault="00F64776" w:rsidP="00F64776">
      <w:pPr>
        <w:pStyle w:val="TextoNormalCentrado"/>
      </w:pPr>
    </w:p>
    <w:p w14:paraId="05555346" w14:textId="35685D27" w:rsidR="00F64776" w:rsidRDefault="00F64776" w:rsidP="00F64776">
      <w:pPr>
        <w:pStyle w:val="TextoNormal"/>
      </w:pPr>
      <w:r>
        <w:t>Estimar justificada la abstención formulada por el magistrado don César Tolosa Tribiño en el recurso de amparo núm. 2442-2023 y apartarle definitivamente del conocimiento del referido recurso y de todas sus incidencias.</w:t>
      </w:r>
    </w:p>
    <w:p w14:paraId="1300CE61" w14:textId="77777777" w:rsidR="00F64776" w:rsidRDefault="00F64776" w:rsidP="00F64776">
      <w:pPr>
        <w:pStyle w:val="TextoNormal"/>
      </w:pPr>
    </w:p>
    <w:p w14:paraId="60F0F8EA" w14:textId="77777777" w:rsidR="00F64776" w:rsidRDefault="00F64776" w:rsidP="00F64776">
      <w:pPr>
        <w:pStyle w:val="TextoNormal"/>
      </w:pPr>
      <w:r>
        <w:t>Madrid, a dieciséis de noviembre de dos mil veintitrés.</w:t>
      </w:r>
    </w:p>
    <w:p w14:paraId="284AE616" w14:textId="5C69AA64" w:rsidR="00F64776" w:rsidRDefault="00F64776">
      <w:pPr>
        <w:spacing w:after="160" w:line="278" w:lineRule="auto"/>
        <w:rPr>
          <w:rFonts w:ascii="Times New Roman" w:eastAsia="Times New Roman" w:hAnsi="Times New Roman" w:cs="Times New Roman"/>
          <w:sz w:val="24"/>
          <w:szCs w:val="24"/>
          <w:lang w:eastAsia="es-ES"/>
        </w:rPr>
      </w:pPr>
      <w:r>
        <w:br w:type="page"/>
      </w:r>
    </w:p>
    <w:p w14:paraId="4DBBAD36" w14:textId="77777777" w:rsidR="00F64776" w:rsidRDefault="00F64776" w:rsidP="00F64776">
      <w:pPr>
        <w:pStyle w:val="TtuloResolucin"/>
      </w:pPr>
      <w:bookmarkStart w:id="378" w:name="AUTO_2023_593"/>
      <w:r>
        <w:t>AUTO 593/2023, de 16 de noviembre de 2023</w:t>
      </w:r>
    </w:p>
    <w:bookmarkEnd w:id="378"/>
    <w:p w14:paraId="297C2CFA" w14:textId="77777777" w:rsidR="00F64776" w:rsidRDefault="00F64776" w:rsidP="00F64776">
      <w:pPr>
        <w:pStyle w:val="TtuloResolucin"/>
      </w:pPr>
      <w:r>
        <w:t>Sección Tercera</w:t>
      </w:r>
    </w:p>
    <w:p w14:paraId="61092402" w14:textId="77777777" w:rsidR="00F64776" w:rsidRDefault="00F64776" w:rsidP="00F64776">
      <w:pPr>
        <w:pStyle w:val="TextoNormalCentrado"/>
      </w:pPr>
      <w:r>
        <w:t>ECLI:ES:TC:2023:593A</w:t>
      </w:r>
    </w:p>
    <w:p w14:paraId="02067D98" w14:textId="4E0CEDBC" w:rsidR="00F64776" w:rsidRDefault="00F64776" w:rsidP="00F64776">
      <w:pPr>
        <w:pStyle w:val="TextoNormalCentrado"/>
      </w:pPr>
    </w:p>
    <w:p w14:paraId="331988FB" w14:textId="77777777" w:rsidR="00F64776" w:rsidRDefault="00F64776" w:rsidP="00F64776">
      <w:pPr>
        <w:pStyle w:val="SntesisDescriptiva"/>
      </w:pPr>
      <w:r>
        <w:t>Excms. Srs. doña Inmaculada Montalbán Huertas y doña Laura Díez Bueso.</w:t>
      </w:r>
    </w:p>
    <w:p w14:paraId="6588AC81" w14:textId="474EBF9B" w:rsidR="00F64776" w:rsidRDefault="00F64776" w:rsidP="00F64776">
      <w:pPr>
        <w:pStyle w:val="SntesisDescriptiva"/>
      </w:pPr>
    </w:p>
    <w:p w14:paraId="79737FEB" w14:textId="77777777" w:rsidR="00F64776" w:rsidRDefault="00F64776" w:rsidP="00F64776">
      <w:pPr>
        <w:pStyle w:val="SntesisDescriptiva"/>
      </w:pPr>
      <w:r>
        <w:t>Acepta una abstención en el recurso de amparo 2466-2023, promovido en proceso contencioso-administrativo.</w:t>
      </w:r>
    </w:p>
    <w:p w14:paraId="4859F86A" w14:textId="3E9BC8CF" w:rsidR="00F64776" w:rsidRDefault="00F64776" w:rsidP="00F64776">
      <w:pPr>
        <w:pStyle w:val="SntesisDescriptiva"/>
      </w:pPr>
    </w:p>
    <w:p w14:paraId="0290AA31" w14:textId="77777777" w:rsidR="00F64776" w:rsidRDefault="00F64776" w:rsidP="00F64776">
      <w:pPr>
        <w:pStyle w:val="SntesisDescriptiva"/>
      </w:pPr>
    </w:p>
    <w:p w14:paraId="11D111B4" w14:textId="77777777" w:rsidR="00F64776" w:rsidRDefault="00F64776" w:rsidP="00F64776">
      <w:pPr>
        <w:pStyle w:val="SntesisDescriptiva"/>
      </w:pPr>
    </w:p>
    <w:p w14:paraId="4425DBA8" w14:textId="77777777" w:rsidR="00F64776" w:rsidRDefault="00F64776" w:rsidP="00F64776">
      <w:pPr>
        <w:pStyle w:val="TextoNormalNegritaCentrado"/>
      </w:pPr>
      <w:r>
        <w:t>AUTO</w:t>
      </w:r>
    </w:p>
    <w:p w14:paraId="75EBB2F5" w14:textId="6E3D63AD" w:rsidR="00F64776" w:rsidRDefault="00F64776" w:rsidP="00F64776">
      <w:pPr>
        <w:pStyle w:val="TextoNormalNegritaCentrado"/>
      </w:pPr>
    </w:p>
    <w:p w14:paraId="57C3196B" w14:textId="77777777" w:rsidR="00F64776" w:rsidRDefault="00F64776" w:rsidP="00F64776">
      <w:pPr>
        <w:pStyle w:val="TextoNormalNegritaCentrado"/>
        <w:keepNext/>
      </w:pPr>
      <w:r>
        <w:t>I. Antecedentes</w:t>
      </w:r>
    </w:p>
    <w:p w14:paraId="5F188F00" w14:textId="4C32E68A" w:rsidR="00F64776" w:rsidRDefault="00F64776" w:rsidP="00F64776">
      <w:pPr>
        <w:pStyle w:val="TextoNormalNegritaCentrado"/>
        <w:keepNext/>
      </w:pPr>
    </w:p>
    <w:p w14:paraId="08FA00D5" w14:textId="21AABBAA" w:rsidR="00F64776" w:rsidRDefault="00F64776" w:rsidP="00F64776">
      <w:pPr>
        <w:pStyle w:val="TextoNormal"/>
      </w:pPr>
      <w:r w:rsidRPr="00F64776">
        <w:rPr>
          <w:rStyle w:val="NumeroAFNegritaCaracter"/>
        </w:rPr>
        <w:t>1</w:t>
      </w:r>
      <w:r>
        <w:t>. Mediante escrito registrado en este tribunal el 13 de abril de 2023, el procurador de los tribunales don José María Ruiz de la Cuesta Vacas, en nombre y representación de doña Ana Isabel Huerta Arcas y bajo la dirección del letrado don Francisco Javier Araúz de Robles Dávila, formuló demanda de amparo contra la providencia de 23 de febrero de 2023 dictada por la Sección Primera de la Sala de lo Contencioso-Administrativo del Tribunal Supremo, en recurso de casación núm. 408-2022 contra la sentencia de la Sección Octava de la Sala de lo Contencioso-Administrativo del Tribunal Superior de Justicia de Madrid, en recurso núm. 1019-2020.</w:t>
      </w:r>
    </w:p>
    <w:p w14:paraId="27726548" w14:textId="77777777" w:rsidR="00F64776" w:rsidRDefault="00F64776" w:rsidP="00F64776">
      <w:pPr>
        <w:pStyle w:val="TextoNormal"/>
      </w:pPr>
    </w:p>
    <w:p w14:paraId="3D3DEDBB" w14:textId="2BAFAA5A" w:rsidR="00F64776" w:rsidRDefault="00F64776" w:rsidP="00F64776">
      <w:pPr>
        <w:pStyle w:val="TextoNormal"/>
      </w:pPr>
      <w:r w:rsidRPr="00F64776">
        <w:rPr>
          <w:rStyle w:val="NumeroAFNegritaCaracter"/>
        </w:rPr>
        <w:t>2</w:t>
      </w:r>
      <w:r>
        <w:t>. Por escrito de 8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2DD7091C" w14:textId="77777777" w:rsidR="00F64776" w:rsidRDefault="00F64776" w:rsidP="00F64776">
      <w:pPr>
        <w:pStyle w:val="TextoNormal"/>
      </w:pPr>
    </w:p>
    <w:p w14:paraId="759673F4" w14:textId="77777777" w:rsidR="00F64776" w:rsidRDefault="00F64776" w:rsidP="00F64776">
      <w:pPr>
        <w:pStyle w:val="TextoNormalNegritaCentrado"/>
        <w:keepNext/>
      </w:pPr>
      <w:r>
        <w:t>II. Fundamentos jurídicos</w:t>
      </w:r>
    </w:p>
    <w:p w14:paraId="6C79692B" w14:textId="08C48106" w:rsidR="00F64776" w:rsidRDefault="00F64776" w:rsidP="00F64776">
      <w:pPr>
        <w:pStyle w:val="TextoNormalNegritaCentrado"/>
        <w:keepNext/>
      </w:pPr>
    </w:p>
    <w:p w14:paraId="00D7505B" w14:textId="2B8BC7D5"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79021FE1" w14:textId="77777777" w:rsidR="00F64776" w:rsidRDefault="00F64776" w:rsidP="00F64776">
      <w:pPr>
        <w:pStyle w:val="TextoNormal"/>
      </w:pPr>
    </w:p>
    <w:p w14:paraId="3E6C3D74" w14:textId="77777777" w:rsidR="00F64776" w:rsidRDefault="00F64776" w:rsidP="00F64776">
      <w:pPr>
        <w:pStyle w:val="TextoNormal"/>
      </w:pPr>
      <w:r>
        <w:t>Por lo expuesto, la Sección</w:t>
      </w:r>
    </w:p>
    <w:p w14:paraId="1BD8A438" w14:textId="6120B27D" w:rsidR="00F64776" w:rsidRDefault="00F64776" w:rsidP="00F64776">
      <w:pPr>
        <w:pStyle w:val="TextoNormal"/>
      </w:pPr>
    </w:p>
    <w:p w14:paraId="0A1A11AA" w14:textId="77777777" w:rsidR="00F64776" w:rsidRDefault="00F64776" w:rsidP="00F64776">
      <w:pPr>
        <w:pStyle w:val="TextoNormalCentrado"/>
      </w:pPr>
      <w:r>
        <w:t>ACUERDA</w:t>
      </w:r>
    </w:p>
    <w:p w14:paraId="0D128118" w14:textId="19EF3D94" w:rsidR="00F64776" w:rsidRDefault="00F64776" w:rsidP="00F64776">
      <w:pPr>
        <w:pStyle w:val="TextoNormalCentrado"/>
      </w:pPr>
    </w:p>
    <w:p w14:paraId="20A8E6EC" w14:textId="0AAFB804" w:rsidR="00F64776" w:rsidRDefault="00F64776" w:rsidP="00F64776">
      <w:pPr>
        <w:pStyle w:val="TextoNormal"/>
      </w:pPr>
      <w:r>
        <w:t>Estimar justificada la abstención formulada por el magistrado don César Tolosa Tribiño en el recurso de amparo núm. 2466-2023 y apartarle definitivamente del conocimiento del referido recurso y de todas sus incidencias.</w:t>
      </w:r>
    </w:p>
    <w:p w14:paraId="50C03D40" w14:textId="77777777" w:rsidR="00F64776" w:rsidRDefault="00F64776" w:rsidP="00F64776">
      <w:pPr>
        <w:pStyle w:val="TextoNormal"/>
      </w:pPr>
    </w:p>
    <w:p w14:paraId="17EFD56D" w14:textId="77777777" w:rsidR="00F64776" w:rsidRDefault="00F64776" w:rsidP="00F64776">
      <w:pPr>
        <w:pStyle w:val="TextoNormal"/>
      </w:pPr>
      <w:r>
        <w:t>Madrid, a dieciséis de noviembre de dos mil veintitrés.</w:t>
      </w:r>
    </w:p>
    <w:p w14:paraId="0B10E61D" w14:textId="22588B54" w:rsidR="00F64776" w:rsidRDefault="00F64776">
      <w:pPr>
        <w:spacing w:after="160" w:line="278" w:lineRule="auto"/>
        <w:rPr>
          <w:rFonts w:ascii="Times New Roman" w:eastAsia="Times New Roman" w:hAnsi="Times New Roman" w:cs="Times New Roman"/>
          <w:sz w:val="24"/>
          <w:szCs w:val="24"/>
          <w:lang w:eastAsia="es-ES"/>
        </w:rPr>
      </w:pPr>
      <w:r>
        <w:br w:type="page"/>
      </w:r>
    </w:p>
    <w:p w14:paraId="48462DEB" w14:textId="77777777" w:rsidR="00F64776" w:rsidRDefault="00F64776" w:rsidP="00F64776">
      <w:pPr>
        <w:pStyle w:val="TtuloResolucin"/>
      </w:pPr>
      <w:bookmarkStart w:id="379" w:name="AUTO_2023_594"/>
      <w:r>
        <w:t>AUTO 594/2023, de 16 de noviembre de 2023</w:t>
      </w:r>
    </w:p>
    <w:bookmarkEnd w:id="379"/>
    <w:p w14:paraId="073B57BA" w14:textId="77777777" w:rsidR="00F64776" w:rsidRDefault="00F64776" w:rsidP="00F64776">
      <w:pPr>
        <w:pStyle w:val="TtuloResolucin"/>
      </w:pPr>
      <w:r>
        <w:t>Sección Tercera</w:t>
      </w:r>
    </w:p>
    <w:p w14:paraId="2E89DC9A" w14:textId="77777777" w:rsidR="00F64776" w:rsidRDefault="00F64776" w:rsidP="00F64776">
      <w:pPr>
        <w:pStyle w:val="TextoNormalCentrado"/>
      </w:pPr>
      <w:r>
        <w:t>ECLI:ES:TC:2023:594A</w:t>
      </w:r>
    </w:p>
    <w:p w14:paraId="65EBC2F5" w14:textId="20A329DE" w:rsidR="00F64776" w:rsidRDefault="00F64776" w:rsidP="00F64776">
      <w:pPr>
        <w:pStyle w:val="TextoNormalCentrado"/>
      </w:pPr>
    </w:p>
    <w:p w14:paraId="459AFFB2" w14:textId="77777777" w:rsidR="00F64776" w:rsidRDefault="00F64776" w:rsidP="00F64776">
      <w:pPr>
        <w:pStyle w:val="SntesisDescriptiva"/>
      </w:pPr>
      <w:r>
        <w:t>Excms. Srs. doña Inmaculada Montalbán Huertas y doña Laura Díez Bueso.</w:t>
      </w:r>
    </w:p>
    <w:p w14:paraId="1C7991FC" w14:textId="7EE22B10" w:rsidR="00F64776" w:rsidRDefault="00F64776" w:rsidP="00F64776">
      <w:pPr>
        <w:pStyle w:val="SntesisDescriptiva"/>
      </w:pPr>
    </w:p>
    <w:p w14:paraId="145C7ABF" w14:textId="77777777" w:rsidR="00F64776" w:rsidRDefault="00F64776" w:rsidP="00F64776">
      <w:pPr>
        <w:pStyle w:val="SntesisDescriptiva"/>
      </w:pPr>
      <w:r>
        <w:t>Acepta una abstención en el recurso de amparo 2504-2023, promovido en proceso contencioso-administrativo.</w:t>
      </w:r>
    </w:p>
    <w:p w14:paraId="7ECC47C3" w14:textId="7DE9FB59" w:rsidR="00F64776" w:rsidRDefault="00F64776" w:rsidP="00F64776">
      <w:pPr>
        <w:pStyle w:val="SntesisDescriptiva"/>
      </w:pPr>
    </w:p>
    <w:p w14:paraId="67ADDA0E" w14:textId="77777777" w:rsidR="00F64776" w:rsidRDefault="00F64776" w:rsidP="00F64776">
      <w:pPr>
        <w:pStyle w:val="SntesisDescriptiva"/>
      </w:pPr>
    </w:p>
    <w:p w14:paraId="100A9D9E" w14:textId="77777777" w:rsidR="00F64776" w:rsidRDefault="00F64776" w:rsidP="00F64776">
      <w:pPr>
        <w:pStyle w:val="SntesisDescriptiva"/>
      </w:pPr>
    </w:p>
    <w:p w14:paraId="1719D30E" w14:textId="77777777" w:rsidR="00F64776" w:rsidRDefault="00F64776" w:rsidP="00F64776">
      <w:pPr>
        <w:pStyle w:val="TextoNormalNegritaCentrado"/>
      </w:pPr>
      <w:r>
        <w:t>AUTO</w:t>
      </w:r>
    </w:p>
    <w:p w14:paraId="6755D89F" w14:textId="63643A34" w:rsidR="00F64776" w:rsidRDefault="00F64776" w:rsidP="00F64776">
      <w:pPr>
        <w:pStyle w:val="TextoNormalNegritaCentrado"/>
      </w:pPr>
    </w:p>
    <w:p w14:paraId="01988AE5" w14:textId="77777777" w:rsidR="00F64776" w:rsidRDefault="00F64776" w:rsidP="00F64776">
      <w:pPr>
        <w:pStyle w:val="TextoNormalNegritaCentrado"/>
        <w:keepNext/>
      </w:pPr>
      <w:r>
        <w:t>I. Antecedentes</w:t>
      </w:r>
    </w:p>
    <w:p w14:paraId="5B35BBD8" w14:textId="37743EC3" w:rsidR="00F64776" w:rsidRDefault="00F64776" w:rsidP="00F64776">
      <w:pPr>
        <w:pStyle w:val="TextoNormalNegritaCentrado"/>
        <w:keepNext/>
      </w:pPr>
    </w:p>
    <w:p w14:paraId="4E33F712" w14:textId="4BDF23D7" w:rsidR="00F64776" w:rsidRDefault="00F64776" w:rsidP="00F64776">
      <w:pPr>
        <w:pStyle w:val="TextoNormal"/>
      </w:pPr>
      <w:r w:rsidRPr="00F64776">
        <w:rPr>
          <w:rStyle w:val="NumeroAFNegritaCaracter"/>
        </w:rPr>
        <w:t>1</w:t>
      </w:r>
      <w:r>
        <w:t>. Mediante escrito registrado en este tribunal el 14 de abril de 2023, el procurador de los tribunales don José María Ruiz de la Cuesta Vacas, en nombre y representación de doña Manuela Moreno Vázquez y bajo la dirección del letrado don Francisco Javier Araúz de Robles Dávila, formuló demanda de amparo contra el auto de 3 de noviembre de 2022 de la Sección Primera de la Sala de lo Contencioso-Administrativo del Tribunal Supremo, en recurso de queja núm. 287-2022.</w:t>
      </w:r>
    </w:p>
    <w:p w14:paraId="18AC6BBE" w14:textId="77777777" w:rsidR="00F64776" w:rsidRDefault="00F64776" w:rsidP="00F64776">
      <w:pPr>
        <w:pStyle w:val="TextoNormal"/>
      </w:pPr>
    </w:p>
    <w:p w14:paraId="15ED7450" w14:textId="2F19C622" w:rsidR="00F64776" w:rsidRDefault="00F64776" w:rsidP="00F64776">
      <w:pPr>
        <w:pStyle w:val="TextoNormal"/>
      </w:pPr>
      <w:r w:rsidRPr="00F64776">
        <w:rPr>
          <w:rStyle w:val="NumeroAFNegritaCaracter"/>
        </w:rPr>
        <w:t>2</w:t>
      </w:r>
      <w:r>
        <w:t>. Por escrito de 8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567C8EA5" w14:textId="77777777" w:rsidR="00F64776" w:rsidRDefault="00F64776" w:rsidP="00F64776">
      <w:pPr>
        <w:pStyle w:val="TextoNormal"/>
      </w:pPr>
    </w:p>
    <w:p w14:paraId="418D0A1C" w14:textId="77777777" w:rsidR="00F64776" w:rsidRDefault="00F64776" w:rsidP="00F64776">
      <w:pPr>
        <w:pStyle w:val="TextoNormalNegritaCentrado"/>
        <w:keepNext/>
      </w:pPr>
      <w:r>
        <w:t>II. Fundamentos jurídicos</w:t>
      </w:r>
    </w:p>
    <w:p w14:paraId="5BE85C72" w14:textId="7C2F66F0" w:rsidR="00F64776" w:rsidRDefault="00F64776" w:rsidP="00F64776">
      <w:pPr>
        <w:pStyle w:val="TextoNormalNegritaCentrado"/>
        <w:keepNext/>
      </w:pPr>
    </w:p>
    <w:p w14:paraId="484E91FE" w14:textId="7ED59E8D"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35076F80" w14:textId="77777777" w:rsidR="00F64776" w:rsidRDefault="00F64776" w:rsidP="00F64776">
      <w:pPr>
        <w:pStyle w:val="TextoNormal"/>
      </w:pPr>
    </w:p>
    <w:p w14:paraId="3A40D819" w14:textId="77777777" w:rsidR="00F64776" w:rsidRDefault="00F64776" w:rsidP="00F64776">
      <w:pPr>
        <w:pStyle w:val="TextoNormal"/>
      </w:pPr>
      <w:r>
        <w:t>Por lo expuesto, la Sección</w:t>
      </w:r>
    </w:p>
    <w:p w14:paraId="26995715" w14:textId="63AE8C14" w:rsidR="00F64776" w:rsidRDefault="00F64776" w:rsidP="00F64776">
      <w:pPr>
        <w:pStyle w:val="TextoNormal"/>
      </w:pPr>
    </w:p>
    <w:p w14:paraId="112C3004" w14:textId="77777777" w:rsidR="00F64776" w:rsidRDefault="00F64776" w:rsidP="00F64776">
      <w:pPr>
        <w:pStyle w:val="TextoNormalCentrado"/>
      </w:pPr>
      <w:r>
        <w:t>ACUERDA</w:t>
      </w:r>
    </w:p>
    <w:p w14:paraId="084EE811" w14:textId="5629804F" w:rsidR="00F64776" w:rsidRDefault="00F64776" w:rsidP="00F64776">
      <w:pPr>
        <w:pStyle w:val="TextoNormalCentrado"/>
      </w:pPr>
    </w:p>
    <w:p w14:paraId="04C991C8" w14:textId="43EA686B" w:rsidR="00F64776" w:rsidRDefault="00F64776" w:rsidP="00F64776">
      <w:pPr>
        <w:pStyle w:val="TextoNormal"/>
      </w:pPr>
      <w:r>
        <w:t>Estimar justificada la abstención formulada por el magistrado don César Tolosa Tribiño en el recurso de amparo núm. 2504-2023 y apartarle definitivamente del conocimiento del referido recurso y de todas sus incidencias.</w:t>
      </w:r>
    </w:p>
    <w:p w14:paraId="371D0444" w14:textId="77777777" w:rsidR="00F64776" w:rsidRDefault="00F64776" w:rsidP="00F64776">
      <w:pPr>
        <w:pStyle w:val="TextoNormal"/>
      </w:pPr>
    </w:p>
    <w:p w14:paraId="31575BF2" w14:textId="77777777" w:rsidR="00F64776" w:rsidRDefault="00F64776" w:rsidP="00F64776">
      <w:pPr>
        <w:pStyle w:val="TextoNormal"/>
      </w:pPr>
      <w:r>
        <w:t>Madrid, a dieciséis de noviembre de dos mil veintitrés.</w:t>
      </w:r>
    </w:p>
    <w:p w14:paraId="67C6F1C4" w14:textId="5635D2A1" w:rsidR="00F64776" w:rsidRDefault="00F64776">
      <w:pPr>
        <w:spacing w:after="160" w:line="278" w:lineRule="auto"/>
        <w:rPr>
          <w:rFonts w:ascii="Times New Roman" w:eastAsia="Times New Roman" w:hAnsi="Times New Roman" w:cs="Times New Roman"/>
          <w:sz w:val="24"/>
          <w:szCs w:val="24"/>
          <w:lang w:eastAsia="es-ES"/>
        </w:rPr>
      </w:pPr>
      <w:r>
        <w:br w:type="page"/>
      </w:r>
    </w:p>
    <w:p w14:paraId="711853E1" w14:textId="77777777" w:rsidR="00F64776" w:rsidRDefault="00F64776" w:rsidP="00F64776">
      <w:pPr>
        <w:pStyle w:val="TtuloResolucin"/>
      </w:pPr>
      <w:bookmarkStart w:id="380" w:name="AUTO_2023_595"/>
      <w:r>
        <w:t>AUTO 595/2023, de 16 de noviembre de 2023</w:t>
      </w:r>
    </w:p>
    <w:bookmarkEnd w:id="380"/>
    <w:p w14:paraId="7D86B647" w14:textId="77777777" w:rsidR="00F64776" w:rsidRDefault="00F64776" w:rsidP="00F64776">
      <w:pPr>
        <w:pStyle w:val="TtuloResolucin"/>
      </w:pPr>
      <w:r>
        <w:t>Sección Tercera</w:t>
      </w:r>
    </w:p>
    <w:p w14:paraId="18B4B166" w14:textId="77777777" w:rsidR="00F64776" w:rsidRDefault="00F64776" w:rsidP="00F64776">
      <w:pPr>
        <w:pStyle w:val="TextoNormalCentrado"/>
      </w:pPr>
      <w:r>
        <w:t>ECLI:ES:TC:2023:595A</w:t>
      </w:r>
    </w:p>
    <w:p w14:paraId="408E9749" w14:textId="394EA24A" w:rsidR="00F64776" w:rsidRDefault="00F64776" w:rsidP="00F64776">
      <w:pPr>
        <w:pStyle w:val="TextoNormalCentrado"/>
      </w:pPr>
    </w:p>
    <w:p w14:paraId="137823C3" w14:textId="77777777" w:rsidR="00F64776" w:rsidRDefault="00F64776" w:rsidP="00F64776">
      <w:pPr>
        <w:pStyle w:val="SntesisDescriptiva"/>
      </w:pPr>
      <w:r>
        <w:t>Excms. Srs. doña Inmaculada Montalbán Huertas y doña Laura Díez Bueso.</w:t>
      </w:r>
    </w:p>
    <w:p w14:paraId="54C1E429" w14:textId="2D5AE7B7" w:rsidR="00F64776" w:rsidRDefault="00F64776" w:rsidP="00F64776">
      <w:pPr>
        <w:pStyle w:val="SntesisDescriptiva"/>
      </w:pPr>
    </w:p>
    <w:p w14:paraId="6B0199BA" w14:textId="77777777" w:rsidR="00F64776" w:rsidRDefault="00F64776" w:rsidP="00F64776">
      <w:pPr>
        <w:pStyle w:val="SntesisDescriptiva"/>
      </w:pPr>
      <w:r>
        <w:t>Acepta una abstención en el recurso de amparo 2707-2023, promovido en proceso contencioso-administrativo.</w:t>
      </w:r>
    </w:p>
    <w:p w14:paraId="34D461DC" w14:textId="52BB0026" w:rsidR="00F64776" w:rsidRDefault="00F64776" w:rsidP="00F64776">
      <w:pPr>
        <w:pStyle w:val="SntesisDescriptiva"/>
      </w:pPr>
    </w:p>
    <w:p w14:paraId="62F4C604" w14:textId="77777777" w:rsidR="00F64776" w:rsidRDefault="00F64776" w:rsidP="00F64776">
      <w:pPr>
        <w:pStyle w:val="SntesisDescriptiva"/>
      </w:pPr>
    </w:p>
    <w:p w14:paraId="1591B08F" w14:textId="77777777" w:rsidR="00F64776" w:rsidRDefault="00F64776" w:rsidP="00F64776">
      <w:pPr>
        <w:pStyle w:val="SntesisDescriptiva"/>
      </w:pPr>
    </w:p>
    <w:p w14:paraId="0F3A5944" w14:textId="77777777" w:rsidR="00F64776" w:rsidRDefault="00F64776" w:rsidP="00F64776">
      <w:pPr>
        <w:pStyle w:val="TextoNormalNegritaCentrado"/>
      </w:pPr>
      <w:r>
        <w:t>AUTO</w:t>
      </w:r>
    </w:p>
    <w:p w14:paraId="6996117E" w14:textId="3D29FF77" w:rsidR="00F64776" w:rsidRDefault="00F64776" w:rsidP="00F64776">
      <w:pPr>
        <w:pStyle w:val="TextoNormalNegritaCentrado"/>
      </w:pPr>
    </w:p>
    <w:p w14:paraId="2E589AC7" w14:textId="77777777" w:rsidR="00F64776" w:rsidRDefault="00F64776" w:rsidP="00F64776">
      <w:pPr>
        <w:pStyle w:val="TextoNormalNegritaCentrado"/>
        <w:keepNext/>
      </w:pPr>
      <w:r>
        <w:t>I. Antecedentes</w:t>
      </w:r>
    </w:p>
    <w:p w14:paraId="7D8750D0" w14:textId="4B343EC3" w:rsidR="00F64776" w:rsidRDefault="00F64776" w:rsidP="00F64776">
      <w:pPr>
        <w:pStyle w:val="TextoNormalNegritaCentrado"/>
        <w:keepNext/>
      </w:pPr>
    </w:p>
    <w:p w14:paraId="126E8517" w14:textId="20EA21C7" w:rsidR="00F64776" w:rsidRDefault="00F64776" w:rsidP="00F64776">
      <w:pPr>
        <w:pStyle w:val="TextoNormal"/>
      </w:pPr>
      <w:r w:rsidRPr="00F64776">
        <w:rPr>
          <w:rStyle w:val="NumeroAFNegritaCaracter"/>
        </w:rPr>
        <w:t>1</w:t>
      </w:r>
      <w:r>
        <w:t>. Mediante escrito registrado en este tribunal el 24 de abril de 2023, la procuradora de los tribunales doña Ana María Araúz de Robles Villalón, en nombre y representación de don Helios Villanueva Alcántara y bajo la dirección del letrado don Francisco Javier Araúz de Robles Dávila, formuló demanda de amparo contra la providencia de 9 de marzo de 2023, dictada por la Sección Primera de la Sala de lo Contencioso-Administrativo del Tribunal Supremo, en recurso de casación núm. 3380-2022.</w:t>
      </w:r>
    </w:p>
    <w:p w14:paraId="1DD8AB38" w14:textId="77777777" w:rsidR="00F64776" w:rsidRDefault="00F64776" w:rsidP="00F64776">
      <w:pPr>
        <w:pStyle w:val="TextoNormal"/>
      </w:pPr>
    </w:p>
    <w:p w14:paraId="0FF2CD10" w14:textId="6AFA87E0" w:rsidR="00F64776" w:rsidRDefault="00F64776" w:rsidP="00F64776">
      <w:pPr>
        <w:pStyle w:val="TextoNormal"/>
      </w:pPr>
      <w:r w:rsidRPr="00F64776">
        <w:rPr>
          <w:rStyle w:val="NumeroAFNegritaCaracter"/>
        </w:rPr>
        <w:t>2</w:t>
      </w:r>
      <w:r>
        <w:t>. Por escrito de 8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0F4C4A09" w14:textId="77777777" w:rsidR="00F64776" w:rsidRDefault="00F64776" w:rsidP="00F64776">
      <w:pPr>
        <w:pStyle w:val="TextoNormal"/>
      </w:pPr>
    </w:p>
    <w:p w14:paraId="2C7EA357" w14:textId="77777777" w:rsidR="00F64776" w:rsidRDefault="00F64776" w:rsidP="00F64776">
      <w:pPr>
        <w:pStyle w:val="TextoNormalNegritaCentrado"/>
        <w:keepNext/>
      </w:pPr>
      <w:r>
        <w:t>II. Fundamentos jurídicos</w:t>
      </w:r>
    </w:p>
    <w:p w14:paraId="13936488" w14:textId="188474B9" w:rsidR="00F64776" w:rsidRDefault="00F64776" w:rsidP="00F64776">
      <w:pPr>
        <w:pStyle w:val="TextoNormalNegritaCentrado"/>
        <w:keepNext/>
      </w:pPr>
    </w:p>
    <w:p w14:paraId="27B05173" w14:textId="2FD73FCC"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63E9EE24" w14:textId="77777777" w:rsidR="00F64776" w:rsidRDefault="00F64776" w:rsidP="00F64776">
      <w:pPr>
        <w:pStyle w:val="TextoNormal"/>
      </w:pPr>
    </w:p>
    <w:p w14:paraId="1D1F865E" w14:textId="77777777" w:rsidR="00F64776" w:rsidRDefault="00F64776" w:rsidP="00F64776">
      <w:pPr>
        <w:pStyle w:val="TextoNormal"/>
      </w:pPr>
      <w:r>
        <w:t>Por lo expuesto, la Sección</w:t>
      </w:r>
    </w:p>
    <w:p w14:paraId="61BC5224" w14:textId="10A821A6" w:rsidR="00F64776" w:rsidRDefault="00F64776" w:rsidP="00F64776">
      <w:pPr>
        <w:pStyle w:val="TextoNormal"/>
      </w:pPr>
    </w:p>
    <w:p w14:paraId="6D2E564E" w14:textId="77777777" w:rsidR="00F64776" w:rsidRDefault="00F64776" w:rsidP="00F64776">
      <w:pPr>
        <w:pStyle w:val="TextoNormalCentrado"/>
      </w:pPr>
      <w:r>
        <w:t>ACUERDA</w:t>
      </w:r>
    </w:p>
    <w:p w14:paraId="3E0509B0" w14:textId="62518A2A" w:rsidR="00F64776" w:rsidRDefault="00F64776" w:rsidP="00F64776">
      <w:pPr>
        <w:pStyle w:val="TextoNormalCentrado"/>
      </w:pPr>
    </w:p>
    <w:p w14:paraId="59289AE7" w14:textId="05CB815E" w:rsidR="00F64776" w:rsidRDefault="00F64776" w:rsidP="00F64776">
      <w:pPr>
        <w:pStyle w:val="TextoNormal"/>
      </w:pPr>
      <w:r>
        <w:t>Estimar justificada la abstención formulada por el magistrado don César Tolosa Tribiño en el recurso de amparo núm. 2707-2023 y apartarle definitivamente del conocimiento del referido recurso y de todas sus incidencias.</w:t>
      </w:r>
    </w:p>
    <w:p w14:paraId="7573940C" w14:textId="77777777" w:rsidR="00F64776" w:rsidRDefault="00F64776" w:rsidP="00F64776">
      <w:pPr>
        <w:pStyle w:val="TextoNormal"/>
      </w:pPr>
    </w:p>
    <w:p w14:paraId="43284316" w14:textId="77777777" w:rsidR="00F64776" w:rsidRDefault="00F64776" w:rsidP="00F64776">
      <w:pPr>
        <w:pStyle w:val="TextoNormal"/>
      </w:pPr>
      <w:r>
        <w:t>Madrid, a dieciséis de noviembre de dos mil veintitrés.</w:t>
      </w:r>
    </w:p>
    <w:p w14:paraId="4714839E" w14:textId="790A3084" w:rsidR="00F64776" w:rsidRDefault="00F64776">
      <w:pPr>
        <w:spacing w:after="160" w:line="278" w:lineRule="auto"/>
        <w:rPr>
          <w:rFonts w:ascii="Times New Roman" w:eastAsia="Times New Roman" w:hAnsi="Times New Roman" w:cs="Times New Roman"/>
          <w:sz w:val="24"/>
          <w:szCs w:val="24"/>
          <w:lang w:eastAsia="es-ES"/>
        </w:rPr>
      </w:pPr>
      <w:r>
        <w:br w:type="page"/>
      </w:r>
    </w:p>
    <w:p w14:paraId="0808AC03" w14:textId="77777777" w:rsidR="00F64776" w:rsidRDefault="00F64776" w:rsidP="00F64776">
      <w:pPr>
        <w:pStyle w:val="TtuloResolucin"/>
      </w:pPr>
      <w:bookmarkStart w:id="381" w:name="AUTO_2023_596"/>
      <w:r>
        <w:t>AUTO 596/2023, de 16 de noviembre de 2023</w:t>
      </w:r>
    </w:p>
    <w:bookmarkEnd w:id="381"/>
    <w:p w14:paraId="6656D288" w14:textId="77777777" w:rsidR="00F64776" w:rsidRDefault="00F64776" w:rsidP="00F64776">
      <w:pPr>
        <w:pStyle w:val="TtuloResolucin"/>
      </w:pPr>
      <w:r>
        <w:t>Sección Tercera</w:t>
      </w:r>
    </w:p>
    <w:p w14:paraId="423CDAE7" w14:textId="77777777" w:rsidR="00F64776" w:rsidRDefault="00F64776" w:rsidP="00F64776">
      <w:pPr>
        <w:pStyle w:val="TextoNormalCentrado"/>
      </w:pPr>
      <w:r>
        <w:t>ECLI:ES:TC:2023:596A</w:t>
      </w:r>
    </w:p>
    <w:p w14:paraId="0B46F834" w14:textId="3CAC8A27" w:rsidR="00F64776" w:rsidRDefault="00F64776" w:rsidP="00F64776">
      <w:pPr>
        <w:pStyle w:val="TextoNormalCentrado"/>
      </w:pPr>
    </w:p>
    <w:p w14:paraId="08846AA8" w14:textId="77777777" w:rsidR="00F64776" w:rsidRDefault="00F64776" w:rsidP="00F64776">
      <w:pPr>
        <w:pStyle w:val="SntesisDescriptiva"/>
      </w:pPr>
      <w:r>
        <w:t>Excms. Srs. doña Inmaculada Montalbán Huertas y doña Laura Díez Bueso.</w:t>
      </w:r>
    </w:p>
    <w:p w14:paraId="40579847" w14:textId="7B79BE3F" w:rsidR="00F64776" w:rsidRDefault="00F64776" w:rsidP="00F64776">
      <w:pPr>
        <w:pStyle w:val="SntesisDescriptiva"/>
      </w:pPr>
    </w:p>
    <w:p w14:paraId="4D6A02C2" w14:textId="77777777" w:rsidR="00F64776" w:rsidRDefault="00F64776" w:rsidP="00F64776">
      <w:pPr>
        <w:pStyle w:val="SntesisDescriptiva"/>
      </w:pPr>
      <w:r>
        <w:t>Acepta una abstención en el recurso de amparo 2747-2023, promovido en proceso contencioso-administrativo.</w:t>
      </w:r>
    </w:p>
    <w:p w14:paraId="2DC4726D" w14:textId="64668E32" w:rsidR="00F64776" w:rsidRDefault="00F64776" w:rsidP="00F64776">
      <w:pPr>
        <w:pStyle w:val="SntesisDescriptiva"/>
      </w:pPr>
    </w:p>
    <w:p w14:paraId="3CA6BC60" w14:textId="77777777" w:rsidR="00F64776" w:rsidRDefault="00F64776" w:rsidP="00F64776">
      <w:pPr>
        <w:pStyle w:val="SntesisDescriptiva"/>
      </w:pPr>
    </w:p>
    <w:p w14:paraId="7740CD77" w14:textId="77777777" w:rsidR="00F64776" w:rsidRDefault="00F64776" w:rsidP="00F64776">
      <w:pPr>
        <w:pStyle w:val="SntesisDescriptiva"/>
      </w:pPr>
    </w:p>
    <w:p w14:paraId="38E85C2A" w14:textId="77777777" w:rsidR="00F64776" w:rsidRDefault="00F64776" w:rsidP="00F64776">
      <w:pPr>
        <w:pStyle w:val="TextoNormalNegritaCentrado"/>
      </w:pPr>
      <w:r>
        <w:t>AUTO</w:t>
      </w:r>
    </w:p>
    <w:p w14:paraId="376AE0C2" w14:textId="1A3D335E" w:rsidR="00F64776" w:rsidRDefault="00F64776" w:rsidP="00F64776">
      <w:pPr>
        <w:pStyle w:val="TextoNormalNegritaCentrado"/>
      </w:pPr>
    </w:p>
    <w:p w14:paraId="69A07FA8" w14:textId="77777777" w:rsidR="00F64776" w:rsidRDefault="00F64776" w:rsidP="00F64776">
      <w:pPr>
        <w:pStyle w:val="TextoNormalNegritaCentrado"/>
        <w:keepNext/>
      </w:pPr>
      <w:r>
        <w:t>I. Antecedentes</w:t>
      </w:r>
    </w:p>
    <w:p w14:paraId="6F301025" w14:textId="21E858B9" w:rsidR="00F64776" w:rsidRDefault="00F64776" w:rsidP="00F64776">
      <w:pPr>
        <w:pStyle w:val="TextoNormalNegritaCentrado"/>
        <w:keepNext/>
      </w:pPr>
    </w:p>
    <w:p w14:paraId="0C57C769" w14:textId="266444F1" w:rsidR="00F64776" w:rsidRDefault="00F64776" w:rsidP="00F64776">
      <w:pPr>
        <w:pStyle w:val="TextoNormal"/>
      </w:pPr>
      <w:r w:rsidRPr="00F64776">
        <w:rPr>
          <w:rStyle w:val="NumeroAFNegritaCaracter"/>
        </w:rPr>
        <w:t>1</w:t>
      </w:r>
      <w:r>
        <w:t>. Mediante escrito registrado en este tribunal el 25 de abril de 2023, el procurador de los tribunales don Arturo Romero Ballester, en nombre y representación de la Asociación Cardenal Albornoz y bajo la dirección del letrado don José Antonio García-Trevijano Garnica, formuló demanda de amparo contra la providencia y auto de la Sección Cuarta de la Sala de lo Contencioso-Administrativo del Tribunal Supremo, en recurso ordinario núm. 85-2022.</w:t>
      </w:r>
    </w:p>
    <w:p w14:paraId="2557E5B4" w14:textId="77777777" w:rsidR="00F64776" w:rsidRDefault="00F64776" w:rsidP="00F64776">
      <w:pPr>
        <w:pStyle w:val="TextoNormal"/>
      </w:pPr>
    </w:p>
    <w:p w14:paraId="701EBDB1" w14:textId="136175BC" w:rsidR="00F64776" w:rsidRDefault="00F64776" w:rsidP="00F64776">
      <w:pPr>
        <w:pStyle w:val="TextoNormal"/>
      </w:pPr>
      <w:r w:rsidRPr="00F64776">
        <w:rPr>
          <w:rStyle w:val="NumeroAFNegritaCaracter"/>
        </w:rPr>
        <w:t>2</w:t>
      </w:r>
      <w:r>
        <w:t>. Por escrito de 8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7FB5C117" w14:textId="77777777" w:rsidR="00F64776" w:rsidRDefault="00F64776" w:rsidP="00F64776">
      <w:pPr>
        <w:pStyle w:val="TextoNormal"/>
      </w:pPr>
    </w:p>
    <w:p w14:paraId="7B77997C" w14:textId="77777777" w:rsidR="00F64776" w:rsidRDefault="00F64776" w:rsidP="00F64776">
      <w:pPr>
        <w:pStyle w:val="TextoNormalNegritaCentrado"/>
        <w:keepNext/>
      </w:pPr>
      <w:r>
        <w:t>II. Fundamentos jurídicos</w:t>
      </w:r>
    </w:p>
    <w:p w14:paraId="54955A24" w14:textId="00B00334" w:rsidR="00F64776" w:rsidRDefault="00F64776" w:rsidP="00F64776">
      <w:pPr>
        <w:pStyle w:val="TextoNormalNegritaCentrado"/>
        <w:keepNext/>
      </w:pPr>
    </w:p>
    <w:p w14:paraId="65FE74C9" w14:textId="5A8AAD1D"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0B7D9B3D" w14:textId="77777777" w:rsidR="00F64776" w:rsidRDefault="00F64776" w:rsidP="00F64776">
      <w:pPr>
        <w:pStyle w:val="TextoNormal"/>
      </w:pPr>
    </w:p>
    <w:p w14:paraId="3ABA1F4B" w14:textId="77777777" w:rsidR="00F64776" w:rsidRDefault="00F64776" w:rsidP="00F64776">
      <w:pPr>
        <w:pStyle w:val="TextoNormal"/>
      </w:pPr>
      <w:r>
        <w:t>Por lo expuesto, la Sección</w:t>
      </w:r>
    </w:p>
    <w:p w14:paraId="14DB5A99" w14:textId="3E2F6172" w:rsidR="00F64776" w:rsidRDefault="00F64776" w:rsidP="00F64776">
      <w:pPr>
        <w:pStyle w:val="TextoNormal"/>
      </w:pPr>
    </w:p>
    <w:p w14:paraId="48B54FDF" w14:textId="77777777" w:rsidR="00F64776" w:rsidRDefault="00F64776" w:rsidP="00F64776">
      <w:pPr>
        <w:pStyle w:val="TextoNormalCentrado"/>
      </w:pPr>
      <w:r>
        <w:t>ACUERDA</w:t>
      </w:r>
    </w:p>
    <w:p w14:paraId="400F0BEE" w14:textId="1C49725E" w:rsidR="00F64776" w:rsidRDefault="00F64776" w:rsidP="00F64776">
      <w:pPr>
        <w:pStyle w:val="TextoNormalCentrado"/>
      </w:pPr>
    </w:p>
    <w:p w14:paraId="6AEBBE2C" w14:textId="70EB9BA3" w:rsidR="00F64776" w:rsidRDefault="00F64776" w:rsidP="00F64776">
      <w:pPr>
        <w:pStyle w:val="TextoNormal"/>
      </w:pPr>
      <w:r>
        <w:t>Estimar justificada la abstención formulada por el magistrado don César Tolosa Tribiño en el recurso de amparo núm. 2747-2023 y apartarle definitivamente del conocimiento del referido recurso y de todas sus incidencias.</w:t>
      </w:r>
    </w:p>
    <w:p w14:paraId="43160039" w14:textId="77777777" w:rsidR="00F64776" w:rsidRDefault="00F64776" w:rsidP="00F64776">
      <w:pPr>
        <w:pStyle w:val="TextoNormal"/>
      </w:pPr>
    </w:p>
    <w:p w14:paraId="08920FF6" w14:textId="77777777" w:rsidR="00F64776" w:rsidRDefault="00F64776" w:rsidP="00F64776">
      <w:pPr>
        <w:pStyle w:val="TextoNormal"/>
      </w:pPr>
      <w:r>
        <w:t>Madrid, a dieciséis de noviembre de dos mil veintitrés.</w:t>
      </w:r>
    </w:p>
    <w:p w14:paraId="182FA891" w14:textId="77627CAB" w:rsidR="00F64776" w:rsidRDefault="00F64776">
      <w:pPr>
        <w:spacing w:after="160" w:line="278" w:lineRule="auto"/>
        <w:rPr>
          <w:rFonts w:ascii="Times New Roman" w:eastAsia="Times New Roman" w:hAnsi="Times New Roman" w:cs="Times New Roman"/>
          <w:sz w:val="24"/>
          <w:szCs w:val="24"/>
          <w:lang w:eastAsia="es-ES"/>
        </w:rPr>
      </w:pPr>
      <w:r>
        <w:br w:type="page"/>
      </w:r>
    </w:p>
    <w:p w14:paraId="6C7F23DF" w14:textId="77777777" w:rsidR="00F64776" w:rsidRDefault="00F64776" w:rsidP="00F64776">
      <w:pPr>
        <w:pStyle w:val="TtuloResolucin"/>
      </w:pPr>
      <w:bookmarkStart w:id="382" w:name="AUTO_2023_597"/>
      <w:r>
        <w:t>AUTO 597/2023, de 16 de noviembre de 2023</w:t>
      </w:r>
    </w:p>
    <w:bookmarkEnd w:id="382"/>
    <w:p w14:paraId="12FA58B7" w14:textId="77777777" w:rsidR="00F64776" w:rsidRDefault="00F64776" w:rsidP="00F64776">
      <w:pPr>
        <w:pStyle w:val="TtuloResolucin"/>
      </w:pPr>
      <w:r>
        <w:t>Sección Primera</w:t>
      </w:r>
    </w:p>
    <w:p w14:paraId="47734B38" w14:textId="77777777" w:rsidR="00F64776" w:rsidRDefault="00F64776" w:rsidP="00F64776">
      <w:pPr>
        <w:pStyle w:val="TextoNormalCentrado"/>
      </w:pPr>
      <w:r>
        <w:t>ECLI:ES:TC:2023:597A</w:t>
      </w:r>
    </w:p>
    <w:p w14:paraId="50A92F5F" w14:textId="058B2E13" w:rsidR="00F64776" w:rsidRDefault="00F64776" w:rsidP="00F64776">
      <w:pPr>
        <w:pStyle w:val="TextoNormalCentrado"/>
      </w:pPr>
    </w:p>
    <w:p w14:paraId="4FF8E5F2" w14:textId="77777777" w:rsidR="00F64776" w:rsidRDefault="00F64776" w:rsidP="00F64776">
      <w:pPr>
        <w:pStyle w:val="SntesisDescriptiva"/>
      </w:pPr>
      <w:r>
        <w:t>Excms. Srs. doña Concepción Espejel Jorquera y doña María Luisa Segoviano Astaburuaga.</w:t>
      </w:r>
    </w:p>
    <w:p w14:paraId="77E5CC6D" w14:textId="45E07BC4" w:rsidR="00F64776" w:rsidRDefault="00F64776" w:rsidP="00F64776">
      <w:pPr>
        <w:pStyle w:val="SntesisDescriptiva"/>
      </w:pPr>
    </w:p>
    <w:p w14:paraId="131C9D00" w14:textId="77777777" w:rsidR="00F64776" w:rsidRDefault="00F64776" w:rsidP="00F64776">
      <w:pPr>
        <w:pStyle w:val="SntesisDescriptiva"/>
      </w:pPr>
      <w:r>
        <w:t>Acepta una abstención en el recurso de amparo 4805-2023, promovido en proceso militar.</w:t>
      </w:r>
    </w:p>
    <w:p w14:paraId="652E9E58" w14:textId="487D89CF" w:rsidR="00F64776" w:rsidRDefault="00F64776" w:rsidP="00F64776">
      <w:pPr>
        <w:pStyle w:val="SntesisDescriptiva"/>
      </w:pPr>
    </w:p>
    <w:p w14:paraId="1407D902" w14:textId="77777777" w:rsidR="00F64776" w:rsidRDefault="00F64776" w:rsidP="00F64776">
      <w:pPr>
        <w:pStyle w:val="SntesisDescriptiva"/>
      </w:pPr>
    </w:p>
    <w:p w14:paraId="47E72C2D" w14:textId="77777777" w:rsidR="00F64776" w:rsidRDefault="00F64776" w:rsidP="00F64776">
      <w:pPr>
        <w:pStyle w:val="SntesisDescriptiva"/>
      </w:pPr>
    </w:p>
    <w:p w14:paraId="0A2D625D" w14:textId="77777777" w:rsidR="00F64776" w:rsidRDefault="00F64776" w:rsidP="00F64776">
      <w:pPr>
        <w:pStyle w:val="TextoNormalNegritaCentrado"/>
      </w:pPr>
      <w:r>
        <w:t>AUTO</w:t>
      </w:r>
    </w:p>
    <w:p w14:paraId="68D3FDB7" w14:textId="27B948DF" w:rsidR="00F64776" w:rsidRDefault="00F64776" w:rsidP="00F64776">
      <w:pPr>
        <w:pStyle w:val="TextoNormalNegritaCentrado"/>
      </w:pPr>
    </w:p>
    <w:p w14:paraId="089CB3EA" w14:textId="77777777" w:rsidR="00F64776" w:rsidRDefault="00F64776" w:rsidP="00F64776">
      <w:pPr>
        <w:pStyle w:val="TextoNormalNegritaCentrado"/>
        <w:keepNext/>
      </w:pPr>
      <w:r>
        <w:t>I. Antecedentes</w:t>
      </w:r>
    </w:p>
    <w:p w14:paraId="0E801B05" w14:textId="63993BEC" w:rsidR="00F64776" w:rsidRDefault="00F64776" w:rsidP="00F64776">
      <w:pPr>
        <w:pStyle w:val="TextoNormalNegritaCentrado"/>
        <w:keepNext/>
      </w:pPr>
    </w:p>
    <w:p w14:paraId="72384825" w14:textId="77777777" w:rsidR="00F64776" w:rsidRDefault="00F64776" w:rsidP="00F64776">
      <w:pPr>
        <w:pStyle w:val="TextoNormal"/>
      </w:pPr>
      <w:r w:rsidRPr="00F64776">
        <w:rPr>
          <w:rStyle w:val="TextoNormalNegritaCaracter"/>
        </w:rPr>
        <w:t xml:space="preserve">Único. </w:t>
      </w:r>
      <w:r>
        <w:t>En el recurso de amparo núm. 4805-2023 se impugna la sentencia 56/2023, de 19 de junio, dictada por la Sala de lo Militar del Tribunal Supremo contra la sentencia dictada por el Tribunal Militar Territorial Cuarto, de 1 de diciembre de 2022, sumario núm. 41-10-21, por la que se condenó a don Matheus de Amorim Orjales como autor de un delito consumado relativo al ejercicio de los derechos fundamentales y de las libertades públicas por los militares, en su modalidad de abuso sexual.</w:t>
      </w:r>
    </w:p>
    <w:p w14:paraId="20FCDF62" w14:textId="77777777" w:rsidR="00F64776" w:rsidRDefault="00F64776" w:rsidP="00F64776">
      <w:pPr>
        <w:pStyle w:val="TextoNormal"/>
      </w:pPr>
    </w:p>
    <w:p w14:paraId="2EF61143" w14:textId="78DF2765" w:rsidR="00F64776" w:rsidRDefault="00F64776" w:rsidP="00F64776">
      <w:pPr>
        <w:pStyle w:val="TextoNormal"/>
      </w:pPr>
      <w:r>
        <w:t>Mediante escrito de 16 de noviembre de 2023, don Cándido Conde-Pumpido Tourón, presidente de la Sección Primera del Tribunal Constitucional, comunicó a los efectos oportunos que se abstenía de intervenir en el antes indicado recurso de amparo, de conformidad con el art. 80 de la Ley Orgánica del Tribunal Constitucional, por concurrir la causa de abstención prevista en el artículo 219.15 de la Ley Orgánica del Poder Judicial (LOPJ).</w:t>
      </w:r>
    </w:p>
    <w:p w14:paraId="6020EB32" w14:textId="77777777" w:rsidR="00F64776" w:rsidRDefault="00F64776" w:rsidP="00F64776">
      <w:pPr>
        <w:pStyle w:val="TextoNormal"/>
      </w:pPr>
    </w:p>
    <w:p w14:paraId="04A73E6C" w14:textId="77777777" w:rsidR="00F64776" w:rsidRDefault="00F64776" w:rsidP="00F64776">
      <w:pPr>
        <w:pStyle w:val="TextoNormalNegritaCentrado"/>
        <w:keepNext/>
      </w:pPr>
      <w:r>
        <w:t>II. Fundamentos jurídicos</w:t>
      </w:r>
    </w:p>
    <w:p w14:paraId="17B51B0A" w14:textId="19DB1452" w:rsidR="00F64776" w:rsidRDefault="00F64776" w:rsidP="00F64776">
      <w:pPr>
        <w:pStyle w:val="TextoNormalNegritaCentrado"/>
        <w:keepNext/>
      </w:pPr>
    </w:p>
    <w:p w14:paraId="66C2FB31" w14:textId="586F2204" w:rsidR="00F64776" w:rsidRDefault="00F64776" w:rsidP="00F64776">
      <w:pPr>
        <w:pStyle w:val="TextoNormal"/>
      </w:pPr>
      <w:r w:rsidRPr="00F64776">
        <w:rPr>
          <w:rStyle w:val="TextoNormalNegritaCaracter"/>
        </w:rPr>
        <w:t xml:space="preserve">Único. </w:t>
      </w:r>
      <w:r>
        <w:t>Vista la comunicación efectuada por don Cándido Conde-Pumpido Tourón, presidente de esta sección primera del Tribunal Constitucional, la Sección, en virtud de lo previsto en el art. 219.15 LOPJ, supletoria de la Ley Orgánica del Tribunal Constitucional (art. 80), estima justificada la causa de abstención formulada.</w:t>
      </w:r>
    </w:p>
    <w:p w14:paraId="492613DF" w14:textId="77777777" w:rsidR="00F64776" w:rsidRDefault="00F64776" w:rsidP="00F64776">
      <w:pPr>
        <w:pStyle w:val="TextoNormal"/>
      </w:pPr>
    </w:p>
    <w:p w14:paraId="1FD999F0" w14:textId="77777777" w:rsidR="00F64776" w:rsidRDefault="00F64776" w:rsidP="00F64776">
      <w:pPr>
        <w:pStyle w:val="TextoNormal"/>
      </w:pPr>
      <w:r>
        <w:t>Por lo expuesto, la Sección</w:t>
      </w:r>
    </w:p>
    <w:p w14:paraId="12F1657F" w14:textId="51CF7C1F" w:rsidR="00F64776" w:rsidRDefault="00F64776" w:rsidP="00F64776">
      <w:pPr>
        <w:pStyle w:val="TextoNormal"/>
      </w:pPr>
    </w:p>
    <w:p w14:paraId="3AF1AC92" w14:textId="77777777" w:rsidR="00F64776" w:rsidRDefault="00F64776" w:rsidP="00F64776">
      <w:pPr>
        <w:pStyle w:val="TextoNormalCentrado"/>
      </w:pPr>
      <w:r>
        <w:t>ACUERDA</w:t>
      </w:r>
    </w:p>
    <w:p w14:paraId="288FC7DC" w14:textId="2EF2FD71" w:rsidR="00F64776" w:rsidRDefault="00F64776" w:rsidP="00F64776">
      <w:pPr>
        <w:pStyle w:val="TextoNormalCentrado"/>
      </w:pPr>
    </w:p>
    <w:p w14:paraId="361D8AA4" w14:textId="46A95C8B" w:rsidR="00F64776" w:rsidRDefault="00F64776" w:rsidP="00F64776">
      <w:pPr>
        <w:pStyle w:val="TextoNormal"/>
      </w:pPr>
      <w:r>
        <w:t>Estimar justificada la abstención formulada por el magistrado don Cándido Conde-Pumpido Tourón, presidente de esta sección primera, en el recurso de amparo núm. 4805-2023 apartándole definitivamente del conocimiento del referido recurso y de todas sus incidencias.</w:t>
      </w:r>
    </w:p>
    <w:p w14:paraId="20A4492C" w14:textId="77777777" w:rsidR="00F64776" w:rsidRDefault="00F64776" w:rsidP="00F64776">
      <w:pPr>
        <w:pStyle w:val="TextoNormal"/>
      </w:pPr>
    </w:p>
    <w:p w14:paraId="652F9B1A" w14:textId="77777777" w:rsidR="00F64776" w:rsidRDefault="00F64776" w:rsidP="00F64776">
      <w:pPr>
        <w:pStyle w:val="TextoNormal"/>
      </w:pPr>
      <w:r>
        <w:t>Madrid, a dieciséis de noviembre de dos mil veintitrés.</w:t>
      </w:r>
    </w:p>
    <w:p w14:paraId="2BB83CC7" w14:textId="56005A29" w:rsidR="00F64776" w:rsidRDefault="00F64776">
      <w:pPr>
        <w:spacing w:after="160" w:line="278" w:lineRule="auto"/>
        <w:rPr>
          <w:rFonts w:ascii="Times New Roman" w:eastAsia="Times New Roman" w:hAnsi="Times New Roman" w:cs="Times New Roman"/>
          <w:sz w:val="24"/>
          <w:szCs w:val="24"/>
          <w:lang w:eastAsia="es-ES"/>
        </w:rPr>
      </w:pPr>
      <w:r>
        <w:br w:type="page"/>
      </w:r>
    </w:p>
    <w:p w14:paraId="56D2D328" w14:textId="77777777" w:rsidR="00F64776" w:rsidRDefault="00F64776" w:rsidP="00F64776">
      <w:pPr>
        <w:pStyle w:val="TtuloResolucin"/>
      </w:pPr>
      <w:bookmarkStart w:id="383" w:name="AUTO_2023_598"/>
      <w:r>
        <w:t>AUTO 598/2023, de 20 de noviembre de 2023</w:t>
      </w:r>
    </w:p>
    <w:bookmarkEnd w:id="383"/>
    <w:p w14:paraId="479414C5" w14:textId="77777777" w:rsidR="00F64776" w:rsidRDefault="00F64776" w:rsidP="00F64776">
      <w:pPr>
        <w:pStyle w:val="TtuloResolucin"/>
      </w:pPr>
      <w:r>
        <w:t>Sala Primera</w:t>
      </w:r>
    </w:p>
    <w:p w14:paraId="7FD2E489" w14:textId="77777777" w:rsidR="00F64776" w:rsidRDefault="00F64776" w:rsidP="00F64776">
      <w:pPr>
        <w:pStyle w:val="TextoNormalCentrado"/>
      </w:pPr>
      <w:r>
        <w:t>ECLI:ES:TC:2023:598A</w:t>
      </w:r>
    </w:p>
    <w:p w14:paraId="3612B969" w14:textId="075FC345" w:rsidR="00F64776" w:rsidRDefault="00F64776" w:rsidP="00F64776">
      <w:pPr>
        <w:pStyle w:val="TextoNormalCentrado"/>
      </w:pPr>
    </w:p>
    <w:p w14:paraId="3862CABD" w14:textId="77777777" w:rsidR="00F64776" w:rsidRDefault="00F64776" w:rsidP="00F64776">
      <w:pPr>
        <w:pStyle w:val="SntesisDescriptiva"/>
      </w:pPr>
      <w:r>
        <w:t>Excms. Srs. don Cándido Conde-Pumpido Tourón, don Ricardo Enríquez Sancho, doña Concepción Espejel Jorquera, doña María Luisa Segoviano Astaburuaga y don Juan Carlos Campo Moreno.</w:t>
      </w:r>
    </w:p>
    <w:p w14:paraId="38CBD8B8" w14:textId="7F45EB5A" w:rsidR="00F64776" w:rsidRDefault="00F64776" w:rsidP="00F64776">
      <w:pPr>
        <w:pStyle w:val="SntesisDescriptiva"/>
      </w:pPr>
    </w:p>
    <w:p w14:paraId="7F99404B" w14:textId="77777777" w:rsidR="00F64776" w:rsidRDefault="00F64776" w:rsidP="00F64776">
      <w:pPr>
        <w:pStyle w:val="SntesisDescriptiva"/>
      </w:pPr>
      <w:r>
        <w:t>Deniega la aclaración de la sentencia 91/2023, de 11 de septiembre, dictada en el recurso de amparo 5905-2020, promovido por doña Tatiana Castillo Medina en pleito civil.</w:t>
      </w:r>
    </w:p>
    <w:p w14:paraId="07FB5862" w14:textId="507A5199" w:rsidR="00F64776" w:rsidRDefault="00F64776" w:rsidP="00F64776">
      <w:pPr>
        <w:pStyle w:val="SntesisDescriptiva"/>
      </w:pPr>
    </w:p>
    <w:p w14:paraId="1FFD918F" w14:textId="77777777" w:rsidR="00F64776" w:rsidRDefault="00F64776" w:rsidP="00F64776">
      <w:pPr>
        <w:pStyle w:val="SntesisDescriptiva"/>
      </w:pPr>
    </w:p>
    <w:p w14:paraId="097B928A" w14:textId="77777777" w:rsidR="00F64776" w:rsidRDefault="00F64776" w:rsidP="00F64776">
      <w:pPr>
        <w:pStyle w:val="SntesisDescriptiva"/>
      </w:pPr>
    </w:p>
    <w:p w14:paraId="1772CFF8" w14:textId="77777777" w:rsidR="00F64776" w:rsidRDefault="00F64776" w:rsidP="00F64776">
      <w:pPr>
        <w:pStyle w:val="TextoNormalNegritaCentrado"/>
      </w:pPr>
      <w:r>
        <w:t>AUTO</w:t>
      </w:r>
    </w:p>
    <w:p w14:paraId="6551CD26" w14:textId="0E380DB7" w:rsidR="00F64776" w:rsidRDefault="00F64776" w:rsidP="00F64776">
      <w:pPr>
        <w:pStyle w:val="TextoNormalNegritaCentrado"/>
      </w:pPr>
    </w:p>
    <w:p w14:paraId="07E035CA" w14:textId="77777777" w:rsidR="00F64776" w:rsidRDefault="00F64776" w:rsidP="00F64776">
      <w:pPr>
        <w:pStyle w:val="TextoNormalNegritaCentrado"/>
        <w:keepNext/>
      </w:pPr>
      <w:r>
        <w:t>I. Antecedentes</w:t>
      </w:r>
    </w:p>
    <w:p w14:paraId="701D0D6F" w14:textId="25995F0D" w:rsidR="00F64776" w:rsidRDefault="00F64776" w:rsidP="00F64776">
      <w:pPr>
        <w:pStyle w:val="TextoNormalNegritaCentrado"/>
        <w:keepNext/>
      </w:pPr>
    </w:p>
    <w:p w14:paraId="634D982C" w14:textId="77777777" w:rsidR="00F64776" w:rsidRDefault="00F64776" w:rsidP="00F64776">
      <w:pPr>
        <w:pStyle w:val="TextoNormal"/>
      </w:pPr>
      <w:r w:rsidRPr="00F64776">
        <w:rPr>
          <w:rStyle w:val="NumeroAFNegritaCaracter"/>
        </w:rPr>
        <w:t>1</w:t>
      </w:r>
      <w:r>
        <w:t>. El recurso de amparo núm. 5905-2020 interpuesto por doña Tatiana Castillo Medina, en representación de su hijo menor de edad, fue estimado en STC 91/2023, de 11 de septiembre, que acordó en su fallo lo siguiente:</w:t>
      </w:r>
    </w:p>
    <w:p w14:paraId="0179838A" w14:textId="77777777" w:rsidR="00F64776" w:rsidRDefault="00F64776" w:rsidP="00F64776">
      <w:pPr>
        <w:pStyle w:val="TextoNormal"/>
      </w:pPr>
    </w:p>
    <w:p w14:paraId="2C39C987" w14:textId="77777777" w:rsidR="00F64776" w:rsidRDefault="00F64776" w:rsidP="00F64776">
      <w:pPr>
        <w:pStyle w:val="TextoNormal"/>
      </w:pPr>
      <w:r>
        <w:t>“1º Declarar que ha sido vulnerado el derecho fundamental de la demandante de amparo a la tutela judicial efectiva sin indefensión (art. 24.1 CE).</w:t>
      </w:r>
    </w:p>
    <w:p w14:paraId="34868789" w14:textId="77777777" w:rsidR="00F64776" w:rsidRDefault="00F64776" w:rsidP="00F64776">
      <w:pPr>
        <w:pStyle w:val="TextoNormal"/>
      </w:pPr>
    </w:p>
    <w:p w14:paraId="715AF4ED" w14:textId="77777777" w:rsidR="00F64776" w:rsidRDefault="00F64776" w:rsidP="00F64776">
      <w:pPr>
        <w:pStyle w:val="TextoNormal"/>
      </w:pPr>
      <w:r>
        <w:t>2º Restablecerla en su derecho y, en consecuencia, declarar la nulidad del auto núm. 310/2020, de 7 de octubre, de la Audiencia Provincial de Madrid (Sección Novena), dictado en el rollo de apelación núm. 425-2020.</w:t>
      </w:r>
    </w:p>
    <w:p w14:paraId="61932715" w14:textId="77777777" w:rsidR="00F64776" w:rsidRDefault="00F64776" w:rsidP="00F64776">
      <w:pPr>
        <w:pStyle w:val="TextoNormal"/>
      </w:pPr>
    </w:p>
    <w:p w14:paraId="2056CC54" w14:textId="28E671B9" w:rsidR="00F64776" w:rsidRDefault="00F64776" w:rsidP="00F64776">
      <w:pPr>
        <w:pStyle w:val="TextoNormal"/>
      </w:pPr>
      <w:r>
        <w:t>3º Retrotraer las actuaciones al momento inmediatamente anterior al pronunciamiento de la citada resolución para que el órgano judicial dicte una nueva respetuosa con el derecho fundamental vulnerado”.</w:t>
      </w:r>
    </w:p>
    <w:p w14:paraId="0C24DC18" w14:textId="77777777" w:rsidR="00F64776" w:rsidRDefault="00F64776" w:rsidP="00F64776">
      <w:pPr>
        <w:pStyle w:val="TextoNormal"/>
      </w:pPr>
    </w:p>
    <w:p w14:paraId="40CF6EE0" w14:textId="090C8DF7" w:rsidR="00F64776" w:rsidRDefault="00F64776" w:rsidP="00F64776">
      <w:pPr>
        <w:pStyle w:val="TextoNormal"/>
      </w:pPr>
      <w:r w:rsidRPr="00F64776">
        <w:rPr>
          <w:rStyle w:val="NumeroAFNegritaCaracter"/>
        </w:rPr>
        <w:t>2</w:t>
      </w:r>
      <w:r>
        <w:t>. Por escrito presentado el 18 de septiembre de 2023, la representación procesal de la demandante de amparo solicitó la “aclaración, subsanación o complemento” de la sentencia, a la que achacaba haber incurrido en un error material manifiesto por haber omitido un pronunciamiento sobre las costas del recurso de amparo, en los términos del art. 95.2 de la Ley Orgánica del Tribunal Constitucional (LOTC), que establece que “el Tribunal podrá imponer las costas que se derivaren de la tramitación del proceso a la parte o partes que hayan mantenido posiciones infundadas, si apreciare temeridad o mala fe”. Sostiene que la entidad Banco Bilbao Vizcaya Argentaria, S.A. (en adelante, BBVA), que se personó en el procedimiento de amparo y formuló alegaciones, se opuso de manera manifiestamente infundada a su demanda de amparo, incurriendo en temeridad y mala fe. Solicita por ello que, previos los trámites del art. 93.1 LOTC, se dicte resolución por la que se proceda a complementar la parte dispositiva de la sentencia en el sentido de imponer las costas a la entidad financiera.</w:t>
      </w:r>
    </w:p>
    <w:p w14:paraId="6D4249F1" w14:textId="77777777" w:rsidR="00F64776" w:rsidRDefault="00F64776" w:rsidP="00F64776">
      <w:pPr>
        <w:pStyle w:val="TextoNormal"/>
      </w:pPr>
    </w:p>
    <w:p w14:paraId="76E0909D" w14:textId="2018DD29" w:rsidR="00F64776" w:rsidRDefault="00F64776" w:rsidP="00F64776">
      <w:pPr>
        <w:pStyle w:val="TextoNormal"/>
      </w:pPr>
      <w:r w:rsidRPr="00F64776">
        <w:rPr>
          <w:rStyle w:val="NumeroAFNegritaCaracter"/>
        </w:rPr>
        <w:t>3</w:t>
      </w:r>
      <w:r>
        <w:t>. Por diligencia de ordenación de 19 de septiembre de 2023, se acordó dar traslado del escrito al Ministerio Fiscal y a las partes personadas para que en el plazo de cinco días pudieran alegar lo que estimaran oportuno.</w:t>
      </w:r>
    </w:p>
    <w:p w14:paraId="2F8101E0" w14:textId="77777777" w:rsidR="00F64776" w:rsidRDefault="00F64776" w:rsidP="00F64776">
      <w:pPr>
        <w:pStyle w:val="TextoNormal"/>
      </w:pPr>
    </w:p>
    <w:p w14:paraId="7E9F269F" w14:textId="77777777" w:rsidR="00F64776" w:rsidRDefault="00F64776" w:rsidP="00F64776">
      <w:pPr>
        <w:pStyle w:val="TextoNormal"/>
      </w:pPr>
      <w:r w:rsidRPr="00F64776">
        <w:rPr>
          <w:rStyle w:val="NumeroAFNegritaCaracter"/>
        </w:rPr>
        <w:t>4</w:t>
      </w:r>
      <w:r>
        <w:t>. Por escrito presentado el 20 de septiembre de 2023, la representación procesal de la entidad BBVA formuló alegaciones en las que se opuso a la solicitud de complemento de la sentencia. Aduce lo siguiente:</w:t>
      </w:r>
    </w:p>
    <w:p w14:paraId="3482600F" w14:textId="77777777" w:rsidR="00F64776" w:rsidRDefault="00F64776" w:rsidP="00F64776">
      <w:pPr>
        <w:pStyle w:val="TextoNormal"/>
      </w:pPr>
    </w:p>
    <w:p w14:paraId="03236545" w14:textId="77777777" w:rsidR="00F64776" w:rsidRDefault="00F64776" w:rsidP="00F64776">
      <w:pPr>
        <w:pStyle w:val="TextoNormal"/>
      </w:pPr>
      <w:r>
        <w:t xml:space="preserve">(i) La sentencia no incurre en omisión alguna, pues en el recurso de amparo el pronunciamiento sobre costas es facultativo (art. 95.2 LOTC), de modo que el Tribunal Constitucional podrá imponerlas o no, y su imposición solo se prevé para el caso de que se haya sostenido una posición infundada, con temeridad o mala fe. Además, no se ha solicitado la imposición de costas ni por la parte recurrente en amparo ni por el Ministerio Fiscal, por lo que su imposición sería una cuestión planteada </w:t>
      </w:r>
      <w:r w:rsidRPr="00F64776">
        <w:rPr>
          <w:i/>
        </w:rPr>
        <w:t>ex novo</w:t>
      </w:r>
      <w:r>
        <w:t xml:space="preserve"> y no un pronunciamiento omitido por el Tribunal Constitucional que deba ser completado.</w:t>
      </w:r>
    </w:p>
    <w:p w14:paraId="5334BFB4" w14:textId="77777777" w:rsidR="00F64776" w:rsidRDefault="00F64776" w:rsidP="00F64776">
      <w:pPr>
        <w:pStyle w:val="TextoNormal"/>
      </w:pPr>
    </w:p>
    <w:p w14:paraId="273565C2" w14:textId="77777777" w:rsidR="00F64776" w:rsidRDefault="00F64776" w:rsidP="00F64776">
      <w:pPr>
        <w:pStyle w:val="TextoNormal"/>
      </w:pPr>
      <w:r>
        <w:t>(ii) El BBVA no ha sostenido en el procedimiento de amparo posiciones infundadas ni actuado con temeridad ni mala fe, simplemente argumentó unos hechos y unos fundamentos de derecho que han resultado insuficientes para convencer al Tribunal, que ha otorgado el amparo solicitado, lo que no significa que su posición haya sido infundada, temeraria o de mala fe.</w:t>
      </w:r>
    </w:p>
    <w:p w14:paraId="3EE5001C" w14:textId="77777777" w:rsidR="00F64776" w:rsidRDefault="00F64776" w:rsidP="00F64776">
      <w:pPr>
        <w:pStyle w:val="TextoNormal"/>
      </w:pPr>
    </w:p>
    <w:p w14:paraId="4FA012DB" w14:textId="77777777" w:rsidR="00F64776" w:rsidRDefault="00F64776" w:rsidP="00F64776">
      <w:pPr>
        <w:pStyle w:val="TextoNormal"/>
      </w:pPr>
      <w:r>
        <w:t>(iii) Las costas cuya imposición se solicita se habrían generado a la parte recurrente con independencia de la oposición del BBVA.</w:t>
      </w:r>
    </w:p>
    <w:p w14:paraId="6286164B" w14:textId="77777777" w:rsidR="00F64776" w:rsidRDefault="00F64776" w:rsidP="00F64776">
      <w:pPr>
        <w:pStyle w:val="TextoNormal"/>
      </w:pPr>
    </w:p>
    <w:p w14:paraId="239668CC" w14:textId="4C7D1F1C" w:rsidR="00F64776" w:rsidRDefault="00F64776" w:rsidP="00F64776">
      <w:pPr>
        <w:pStyle w:val="TextoNormal"/>
      </w:pPr>
      <w:r>
        <w:t>(iv) Lo solicitado afectaría a la intangibilidad, invariabilidad o inmodificabilidad de las resoluciones judiciales como dimensión del derecho a la tutela judicial efectiva. El complemento de sentencia no debe cambiar el sentido del fallo por estar obligado el Tribunal a no salirse del contexto interpretativo de lo ya manifestado y razonado, y en este caso el Tribunal no menciona siquiera una posible actuación infundada o temeraria del BBVA en el recurso de amparo.</w:t>
      </w:r>
    </w:p>
    <w:p w14:paraId="05DF4682" w14:textId="77777777" w:rsidR="00F64776" w:rsidRDefault="00F64776" w:rsidP="00F64776">
      <w:pPr>
        <w:pStyle w:val="TextoNormal"/>
      </w:pPr>
    </w:p>
    <w:p w14:paraId="6B01678B" w14:textId="52CB2C46" w:rsidR="00F64776" w:rsidRDefault="00F64776" w:rsidP="00F64776">
      <w:pPr>
        <w:pStyle w:val="TextoNormal"/>
      </w:pPr>
      <w:r w:rsidRPr="00F64776">
        <w:rPr>
          <w:rStyle w:val="NumeroAFNegritaCaracter"/>
        </w:rPr>
        <w:t>5</w:t>
      </w:r>
      <w:r>
        <w:t>. Por escrito presentado el 9 de octubre de 2023 el fiscal ante el Tribunal Constitucional presentó alegaciones en las que interesó igualmente la desestimación de lo solicitado. El fiscal aduce que en la demanda de amparo no se solicitó la condena en costas de la entidad financiera, que la doctrina constitucional que ha interpretado el art. 95.2 LOTC ha mantenido una postura muy restrictiva, como consecuencia del principio legal de gratuidad del procedimiento ante el Tribunal Constitucional (cita las SSTC 101/1990, de 4 de junio; 114/1999, de 14 de junio, FJ 3, y 194/2007, de 10 de septiembre), que en todos los precedentes la condena en costas por temeridad o mala fe recayó sobre la parte recurrente en amparo, así como la inadecuación del cauce de aclaración de sentencia regulado en el art. 93.1 LOTC, que con arreglo a constante doctrina constitucional debe limitarse a la aclaración de algún concepto oscuro, o a la rectificación de algún error material, pero no podrá suponer variación o modificación de la resolución judicial (ATC 159/2020, de 14 de noviembre, FJ 1, y los allí citados), ni constituye un medio de impugnación para la sustitución o revisión de la decisión adoptada (ATC 102/2020, de 21 de septiembre, FJ único). Concluye el fiscal que en el presente caso la aclaración o complemento de la sentencia que se solicita no tiene por objeto aclarar un concepto oscuro o rectificar un error material de la sentencia, sino modificar la resolución judicial ampliando su contenido sobre condena en costas, lo que no es posible por la irrecurribilidad de las sentencias del Tribunal Constitucional.</w:t>
      </w:r>
    </w:p>
    <w:p w14:paraId="3E43D253" w14:textId="77777777" w:rsidR="00F64776" w:rsidRDefault="00F64776" w:rsidP="00F64776">
      <w:pPr>
        <w:pStyle w:val="TextoNormal"/>
      </w:pPr>
    </w:p>
    <w:p w14:paraId="498E7DC1" w14:textId="77777777" w:rsidR="00F64776" w:rsidRDefault="00F64776" w:rsidP="00F64776">
      <w:pPr>
        <w:pStyle w:val="TextoNormalNegritaCentrado"/>
        <w:keepNext/>
      </w:pPr>
      <w:r>
        <w:t>II. Fundamentos jurídicos</w:t>
      </w:r>
    </w:p>
    <w:p w14:paraId="584B7FE4" w14:textId="637639A6" w:rsidR="00F64776" w:rsidRDefault="00F64776" w:rsidP="00F64776">
      <w:pPr>
        <w:pStyle w:val="TextoNormalNegritaCentrado"/>
        <w:keepNext/>
      </w:pPr>
    </w:p>
    <w:p w14:paraId="035F4E52" w14:textId="77777777" w:rsidR="00F64776" w:rsidRDefault="00F64776" w:rsidP="00F64776">
      <w:pPr>
        <w:pStyle w:val="TextoNormal"/>
      </w:pPr>
      <w:r w:rsidRPr="00F64776">
        <w:rPr>
          <w:rStyle w:val="NumeroAFNegritaCaracter"/>
        </w:rPr>
        <w:t>1</w:t>
      </w:r>
      <w:r>
        <w:t>. La recurrente en amparo solicita la aclaración o complemento de la STC 91/2023, de 11 de septiembre, para que se impongan las costas del recurso a la entidad mercantil BBVA, S.A., que se personó en el mismo y formuló alegaciones oponiéndose a dicha solicitud. En su escrito interesa la aplicación del art. 95.2 LOTC porque dicha entidad financiera actuó, a su juicio, con mala fe y temeridad manifiesta.</w:t>
      </w:r>
    </w:p>
    <w:p w14:paraId="5DB8A2A6" w14:textId="77777777" w:rsidR="00F64776" w:rsidRDefault="00F64776" w:rsidP="00F64776">
      <w:pPr>
        <w:pStyle w:val="TextoNormal"/>
      </w:pPr>
    </w:p>
    <w:p w14:paraId="3AC13280" w14:textId="77777777" w:rsidR="00F64776" w:rsidRDefault="00F64776" w:rsidP="00F64776">
      <w:pPr>
        <w:pStyle w:val="TextoNormal"/>
      </w:pPr>
      <w:r>
        <w:t>La entidad BBVA, S.A., se opone a lo solicitado aduciendo que la sentencia no incurre en ninguna omisión que deba ser completada, dado que la imposición de costas es una facultad del Tribunal, que podrá ejercer o no, que el BBVA, S.A., no planteó una oposición infundada al recurso de amparo, ni actuó con temeridad ni mala fe, que las costas se habrían generado igualmente con independencia de su oposición al recurso, y que el pronunciamiento solicitado afectaría a la intangibilidad de la sentencia.</w:t>
      </w:r>
    </w:p>
    <w:p w14:paraId="45E0A3CC" w14:textId="77777777" w:rsidR="00F64776" w:rsidRDefault="00F64776" w:rsidP="00F64776">
      <w:pPr>
        <w:pStyle w:val="TextoNormal"/>
      </w:pPr>
    </w:p>
    <w:p w14:paraId="77F8FBDB" w14:textId="337DC5A1" w:rsidR="00F64776" w:rsidRDefault="00F64776" w:rsidP="00F64776">
      <w:pPr>
        <w:pStyle w:val="TextoNormal"/>
      </w:pPr>
      <w:r>
        <w:t>El fiscal ante el Tribunal Constitucional se opone igualmente a lo solicitado porque en la demanda de amparo no se instó condena en costas, la doctrina constitucional ha aplicado el art. 95.2 LOTC de manera restrictiva, y solo sobre quien recurre en amparo, no sobre la parte compareciente que formula alegaciones, y porque la vía del art. 93.1 LOTC permite la aclaración de algún concepto oscuro, o la rectificación de algún error material en que haya podido incurrir la sentencia, pero no la variación o modificación de la misma, que es lo que ocurriría en este caso si se ampliase su contenido para realizar el pronunciamiento sobre costas que se solicita.</w:t>
      </w:r>
    </w:p>
    <w:p w14:paraId="35E0BDB1" w14:textId="77777777" w:rsidR="00F64776" w:rsidRDefault="00F64776" w:rsidP="00F64776">
      <w:pPr>
        <w:pStyle w:val="TextoNormal"/>
      </w:pPr>
    </w:p>
    <w:p w14:paraId="5FF6F34D" w14:textId="77777777" w:rsidR="00F64776" w:rsidRDefault="00F64776" w:rsidP="00F64776">
      <w:pPr>
        <w:pStyle w:val="TextoNormal"/>
      </w:pPr>
      <w:r w:rsidRPr="00F64776">
        <w:rPr>
          <w:rStyle w:val="NumeroAFNegritaCaracter"/>
        </w:rPr>
        <w:t>2</w:t>
      </w:r>
      <w:r>
        <w:t>. El art. 93.1 LOTC establece que, en el plazo de dos días, a contar desde la notificación, las partes podrán solicitar la aclaración de sus sentencias, precepto que ha de entenderse extendido al resto de resoluciones que este Tribunal Constitucional tiene competencia para dictar (AATC 120/2019, de 21 de octubre, FJ 1, y 159/2020, de 14 de diciembre, FJ 1). De acuerdo con el art. 267.1 de la Ley Orgánica del Poder Judicial, esta actuación judicial deberá limitarse a “aclarar algún concepto oscuro y rectificar cualquier error material de que adolezcan”, pero no podrá suponer, sin embargo, variación o modificación de la resolución judicial (ATC 159/2020, de 14 de diciembre, FJ 1, y los allí citados), o dicho de otra manera, “no constituye un medio de impugnación para la sustitución o revisión de la decisión adoptada, pues contra las sentencias del Tribunal Constitucional no cabe recurso alguno” (AATC 102/2020, de 21 de septiembre, FJ único, y 50/2021, de 21 de abril, FJ único).</w:t>
      </w:r>
    </w:p>
    <w:p w14:paraId="092DFD6D" w14:textId="77777777" w:rsidR="00F64776" w:rsidRDefault="00F64776" w:rsidP="00F64776">
      <w:pPr>
        <w:pStyle w:val="TextoNormal"/>
      </w:pPr>
    </w:p>
    <w:p w14:paraId="0CBF38B9" w14:textId="77777777" w:rsidR="00F64776" w:rsidRDefault="00F64776" w:rsidP="00F64776">
      <w:pPr>
        <w:pStyle w:val="TextoNormal"/>
      </w:pPr>
      <w:r>
        <w:t>No constituye concepto oscuro que requiera ser aclarado, ni omisión que deba ser suplida la falta de pronunciamiento en materia de costas en un procedimiento de amparo pues “se trata de una facultad de la que puede hacer uso este tribunal cuando aprecie temeridad o mala fe y, cuando no habiéndolo hecho así, ha de entenderse denegada tal pretensión de la parte (AATC 65/1994, de 28 de febrero, FJ único; 211/2003, de 30 de junio, FJ único; 177/2006, de 5 de junio, FJ único; 122/2017, de 18 de septiembre, FJ único; 57/2018, de 4 de junio, FJ único, y 102/2021, de 13 diciembre, FJ 2)” (ATC 283/2023, de 5 de junio, FJ único).</w:t>
      </w:r>
    </w:p>
    <w:p w14:paraId="71DA4267" w14:textId="77777777" w:rsidR="00F64776" w:rsidRDefault="00F64776" w:rsidP="00F64776">
      <w:pPr>
        <w:pStyle w:val="TextoNormal"/>
      </w:pPr>
    </w:p>
    <w:p w14:paraId="0AC610F7" w14:textId="75B1E5DA" w:rsidR="00F64776" w:rsidRDefault="00F64776" w:rsidP="00F64776">
      <w:pPr>
        <w:pStyle w:val="TextoNormal"/>
      </w:pPr>
      <w:r>
        <w:t>En definitiva, la aclaración solicitada excede del objeto de este trámite procesal pues, como pone de manifiesto el Ministerio Fiscal en su escrito de alegaciones, lo que se solicita no es aclarar un concepto oscuro o rectificar un error material de la sentencia, sino modificar su contenido mediante la imposición de una condena en costas que resultaría incompatible con la naturaleza irrecurrible de las sentencias del Tribunal Constitucional.</w:t>
      </w:r>
    </w:p>
    <w:p w14:paraId="5B0F8F98" w14:textId="77777777" w:rsidR="00F64776" w:rsidRDefault="00F64776" w:rsidP="00F64776">
      <w:pPr>
        <w:pStyle w:val="TextoNormal"/>
      </w:pPr>
    </w:p>
    <w:p w14:paraId="42BFD91C" w14:textId="77777777" w:rsidR="00F64776" w:rsidRDefault="00F64776" w:rsidP="00F64776">
      <w:pPr>
        <w:pStyle w:val="TextoNormal"/>
      </w:pPr>
      <w:r>
        <w:t>Por lo expuesto, la Sala</w:t>
      </w:r>
    </w:p>
    <w:p w14:paraId="706B55B1" w14:textId="60C36328" w:rsidR="00F64776" w:rsidRDefault="00F64776" w:rsidP="00F64776">
      <w:pPr>
        <w:pStyle w:val="TextoNormal"/>
      </w:pPr>
    </w:p>
    <w:p w14:paraId="567CE062" w14:textId="77777777" w:rsidR="00F64776" w:rsidRDefault="00F64776" w:rsidP="00F64776">
      <w:pPr>
        <w:pStyle w:val="TextoNormalCentrado"/>
      </w:pPr>
      <w:r>
        <w:t>ACUERDA</w:t>
      </w:r>
    </w:p>
    <w:p w14:paraId="2C693261" w14:textId="5ABE6D88" w:rsidR="00F64776" w:rsidRDefault="00F64776" w:rsidP="00F64776">
      <w:pPr>
        <w:pStyle w:val="TextoNormalCentrado"/>
      </w:pPr>
    </w:p>
    <w:p w14:paraId="36CB38E9" w14:textId="2D530E2C" w:rsidR="00F64776" w:rsidRDefault="00F64776" w:rsidP="00F64776">
      <w:pPr>
        <w:pStyle w:val="TextoNormal"/>
      </w:pPr>
      <w:r>
        <w:t>No haber lugar a la aclaración solicitada.</w:t>
      </w:r>
    </w:p>
    <w:p w14:paraId="2E18751E" w14:textId="77777777" w:rsidR="00F64776" w:rsidRDefault="00F64776" w:rsidP="00F64776">
      <w:pPr>
        <w:pStyle w:val="TextoNormal"/>
      </w:pPr>
    </w:p>
    <w:p w14:paraId="680632DA" w14:textId="77777777" w:rsidR="00F64776" w:rsidRDefault="00F64776" w:rsidP="00F64776">
      <w:pPr>
        <w:pStyle w:val="TextoNormal"/>
      </w:pPr>
      <w:r>
        <w:t>Madrid, a veinte de noviembre de dos mil veintitrés.</w:t>
      </w:r>
    </w:p>
    <w:p w14:paraId="4D24DB06" w14:textId="19F34E6C" w:rsidR="00F64776" w:rsidRDefault="00F64776">
      <w:pPr>
        <w:spacing w:after="160" w:line="278" w:lineRule="auto"/>
        <w:rPr>
          <w:rFonts w:ascii="Times New Roman" w:eastAsia="Times New Roman" w:hAnsi="Times New Roman" w:cs="Times New Roman"/>
          <w:sz w:val="24"/>
          <w:szCs w:val="24"/>
          <w:lang w:eastAsia="es-ES"/>
        </w:rPr>
      </w:pPr>
      <w:r>
        <w:br w:type="page"/>
      </w:r>
    </w:p>
    <w:p w14:paraId="30662D14" w14:textId="77777777" w:rsidR="00F64776" w:rsidRDefault="00F64776" w:rsidP="00F64776">
      <w:pPr>
        <w:pStyle w:val="TtuloResolucin"/>
      </w:pPr>
      <w:bookmarkStart w:id="384" w:name="AUTO_2023_599"/>
      <w:r>
        <w:t>AUTO 599/2023, de 20 de noviembre de 2023</w:t>
      </w:r>
    </w:p>
    <w:bookmarkEnd w:id="384"/>
    <w:p w14:paraId="074ACC6F" w14:textId="77777777" w:rsidR="00F64776" w:rsidRDefault="00F64776" w:rsidP="00F64776">
      <w:pPr>
        <w:pStyle w:val="TtuloResolucin"/>
      </w:pPr>
      <w:r>
        <w:t>Sala Segunda</w:t>
      </w:r>
    </w:p>
    <w:p w14:paraId="221FC39D" w14:textId="77777777" w:rsidR="00F64776" w:rsidRDefault="00F64776" w:rsidP="00F64776">
      <w:pPr>
        <w:pStyle w:val="TextoNormalCentrado"/>
      </w:pPr>
      <w:r>
        <w:t>ECLI:ES:TC:2023:599A</w:t>
      </w:r>
    </w:p>
    <w:p w14:paraId="77EF7E50" w14:textId="39CDAAD7" w:rsidR="00F64776" w:rsidRDefault="00F64776" w:rsidP="00F64776">
      <w:pPr>
        <w:pStyle w:val="TextoNormalCentrado"/>
      </w:pPr>
    </w:p>
    <w:p w14:paraId="0231B936" w14:textId="77777777" w:rsidR="00F64776" w:rsidRDefault="00F64776" w:rsidP="00F64776">
      <w:pPr>
        <w:pStyle w:val="SntesisDescriptiva"/>
      </w:pPr>
      <w:r>
        <w:t>Excms. Srs. doña Inmaculada Montalbán Huertas, doña María Luisa Balaguer Callejón, don Ramón Sáez Valcárcel, don Enrique Arnaldo Alcubilla, don César Tolosa Tribiño y doña Laura Díez Bueso.</w:t>
      </w:r>
    </w:p>
    <w:p w14:paraId="4CDF4ED4" w14:textId="2DDFEA71" w:rsidR="00F64776" w:rsidRDefault="00F64776" w:rsidP="00F64776">
      <w:pPr>
        <w:pStyle w:val="SntesisDescriptiva"/>
      </w:pPr>
    </w:p>
    <w:p w14:paraId="5BA68C33" w14:textId="77777777" w:rsidR="00F64776" w:rsidRDefault="00F64776" w:rsidP="00F64776">
      <w:pPr>
        <w:pStyle w:val="SntesisDescriptiva"/>
      </w:pPr>
      <w:r>
        <w:t>Deniega la suspensión en el recurso de amparo 5582-2021, promovido por don José Martínez López en causa penal.</w:t>
      </w:r>
    </w:p>
    <w:p w14:paraId="09489C22" w14:textId="419A6878" w:rsidR="00F64776" w:rsidRDefault="00F64776" w:rsidP="00F64776">
      <w:pPr>
        <w:pStyle w:val="SntesisDescriptiva"/>
      </w:pPr>
    </w:p>
    <w:p w14:paraId="5B6EF92C" w14:textId="77777777" w:rsidR="00F64776" w:rsidRDefault="00F64776" w:rsidP="00F64776">
      <w:pPr>
        <w:pStyle w:val="SntesisDescriptiva"/>
      </w:pPr>
    </w:p>
    <w:p w14:paraId="55910073" w14:textId="77777777" w:rsidR="00F64776" w:rsidRDefault="00F64776" w:rsidP="00F64776">
      <w:pPr>
        <w:pStyle w:val="SntesisDescriptiva"/>
      </w:pPr>
    </w:p>
    <w:p w14:paraId="363042F4" w14:textId="77777777" w:rsidR="00F64776" w:rsidRDefault="00F64776" w:rsidP="00F64776">
      <w:pPr>
        <w:pStyle w:val="TextoNormalNegritaCentrado"/>
      </w:pPr>
      <w:r>
        <w:t>AUTO</w:t>
      </w:r>
    </w:p>
    <w:p w14:paraId="6FC9F9BB" w14:textId="327E6688" w:rsidR="00F64776" w:rsidRDefault="00F64776" w:rsidP="00F64776">
      <w:pPr>
        <w:pStyle w:val="TextoNormalNegritaCentrado"/>
      </w:pPr>
    </w:p>
    <w:p w14:paraId="1445A2A1" w14:textId="77777777" w:rsidR="00F64776" w:rsidRDefault="00F64776" w:rsidP="00F64776">
      <w:pPr>
        <w:pStyle w:val="TextoNormalNegritaCentrado"/>
        <w:keepNext/>
      </w:pPr>
      <w:r>
        <w:t>I. Antecedentes</w:t>
      </w:r>
    </w:p>
    <w:p w14:paraId="4DD4A902" w14:textId="72647E13" w:rsidR="00F64776" w:rsidRDefault="00F64776" w:rsidP="00F64776">
      <w:pPr>
        <w:pStyle w:val="TextoNormalNegritaCentrado"/>
        <w:keepNext/>
      </w:pPr>
    </w:p>
    <w:p w14:paraId="672F3B7D" w14:textId="1E49CF51" w:rsidR="00F64776" w:rsidRDefault="00F64776" w:rsidP="00F64776">
      <w:pPr>
        <w:pStyle w:val="TextoNormal"/>
      </w:pPr>
      <w:r w:rsidRPr="00F64776">
        <w:rPr>
          <w:rStyle w:val="NumeroAFNegritaCaracter"/>
        </w:rPr>
        <w:t>1</w:t>
      </w:r>
      <w:r>
        <w:t>. Con fecha 3 de septiembre de 2021 tuvo entrada en el registro general de este Tribunal Constitucional un escrito de la procuradora doña Cristina Herguedas Pastor, en representación de don José Martínez López, asistido por el letrado don Francisco de Asís Parra Garófano, por el que interpuso recurso de amparo contra los autos del Juzgado de Instrucción núm. 4 de Vera dictados el 3 de mayo y el 9 de junio de 2021, por los que respectivamente se acordó el sobreseimiento provisional y archivo de la diligencias previas núm. 140-2021 y se desestimó el posterior recurso de reforma, y contra el auto de la Sección Segunda de la Audiencia Provincial de Almería, de 16 de julio de 2021, que desestimó el recurso de apelación interpuesto contra los anteriores.</w:t>
      </w:r>
    </w:p>
    <w:p w14:paraId="5E1262CC" w14:textId="77777777" w:rsidR="00F64776" w:rsidRDefault="00F64776" w:rsidP="00F64776">
      <w:pPr>
        <w:pStyle w:val="TextoNormal"/>
      </w:pPr>
    </w:p>
    <w:p w14:paraId="435E79EB" w14:textId="77777777" w:rsidR="00F64776" w:rsidRDefault="00F64776" w:rsidP="00F64776">
      <w:pPr>
        <w:pStyle w:val="TextoNormal"/>
      </w:pPr>
      <w:r w:rsidRPr="00F64776">
        <w:rPr>
          <w:rStyle w:val="NumeroAFNegritaCaracter"/>
        </w:rPr>
        <w:t>2</w:t>
      </w:r>
      <w:r>
        <w:t>. Los hechos relevantes para la resolución de esta pieza de suspensión son los siguientes:</w:t>
      </w:r>
    </w:p>
    <w:p w14:paraId="0928BC14" w14:textId="77777777" w:rsidR="00F64776" w:rsidRDefault="00F64776" w:rsidP="00F64776">
      <w:pPr>
        <w:pStyle w:val="TextoNormal"/>
      </w:pPr>
    </w:p>
    <w:p w14:paraId="7AF89153" w14:textId="77777777" w:rsidR="00F64776" w:rsidRDefault="00F64776" w:rsidP="00F64776">
      <w:pPr>
        <w:pStyle w:val="TextoNormal"/>
      </w:pPr>
      <w:r>
        <w:t>a) El demandante de amparo fue detenido, por agentes de la Guardia Civil, el día 4 de marzo de 2021 por la comisión de un delito de atentado y lesiones en el municipio de Cuevas de Almanzora (Almería). El recurrente fue puesto a disposición del Juzgado de Instrucción núm. 4 de Vera al día siguiente. El juzgado incoó el procedimiento de diligencias urgentes núm. 9-2021, que tras su correspondiente tramitación dio lugar a que se le citara para la celebración del juicio oral el día 19 de marzo siguiente, ante el Juzgado de lo Penal núm. 4 de Almería.</w:t>
      </w:r>
    </w:p>
    <w:p w14:paraId="7ABBC2E2" w14:textId="77777777" w:rsidR="00F64776" w:rsidRDefault="00F64776" w:rsidP="00F64776">
      <w:pPr>
        <w:pStyle w:val="TextoNormal"/>
      </w:pPr>
    </w:p>
    <w:p w14:paraId="3EEB2167" w14:textId="77777777" w:rsidR="00F64776" w:rsidRDefault="00F64776" w:rsidP="00F64776">
      <w:pPr>
        <w:pStyle w:val="TextoNormal"/>
      </w:pPr>
      <w:r>
        <w:t>b) El demandante de amparo, el 17 de marzo de 2021, formuló una querella contra los agentes de la Guardia Civil, con números L85943L, L77343N, Z12765U y F98357P, por los hechos que tuvieron lugar mientras estuvo detenido, atribuyéndoles la comisión de los delitos de detención ilegal, torturas y lesiones. Con la querella aportó diversa documentación atinente a las lesiones sufridas y solicitó la práctica de una pluralidad de diligencias de investigación.</w:t>
      </w:r>
    </w:p>
    <w:p w14:paraId="4475006A" w14:textId="77777777" w:rsidR="00F64776" w:rsidRDefault="00F64776" w:rsidP="00F64776">
      <w:pPr>
        <w:pStyle w:val="TextoNormal"/>
      </w:pPr>
    </w:p>
    <w:p w14:paraId="2FF700C5" w14:textId="77777777" w:rsidR="00F64776" w:rsidRDefault="00F64776" w:rsidP="00F64776">
      <w:pPr>
        <w:pStyle w:val="TextoNormal"/>
      </w:pPr>
      <w:r>
        <w:t>c) El demandante de amparo solicitó del Juzgado de lo Penal núm. 4 de Almería, la suspensión del juicio rápido núm. 151-2021, que se seguía contra él, al haber interpuesto querella contra los referidos agentes de la Guardia Civil. Por auto del indicado juzgado de lo penal, de 19 de marzo de 2021, se acordó la suspensión y la devolución de las actuaciones al juzgado de instrucción a fin de practicar instrucción suplementaria.</w:t>
      </w:r>
    </w:p>
    <w:p w14:paraId="441D31E6" w14:textId="77777777" w:rsidR="00F64776" w:rsidRDefault="00F64776" w:rsidP="00F64776">
      <w:pPr>
        <w:pStyle w:val="TextoNormal"/>
      </w:pPr>
    </w:p>
    <w:p w14:paraId="21597310" w14:textId="77777777" w:rsidR="00F64776" w:rsidRDefault="00F64776" w:rsidP="00F64776">
      <w:pPr>
        <w:pStyle w:val="TextoNormal"/>
      </w:pPr>
      <w:r>
        <w:t>d) El Juzgado de Instrucción núm. 4 de Vera, en el procedimiento de diligencias previas núm. 140-2021, iniciado en virtud de la referida querella, dictó, el 3 de mayo de 2021, auto por el que acordó el sobreseimiento provisional y archivo de la causa. Se indicaba en los razonamientos jurídicos:</w:t>
      </w:r>
    </w:p>
    <w:p w14:paraId="360CEA4B" w14:textId="77777777" w:rsidR="00F64776" w:rsidRDefault="00F64776" w:rsidP="00F64776">
      <w:pPr>
        <w:pStyle w:val="TextoNormal"/>
      </w:pPr>
    </w:p>
    <w:p w14:paraId="525D0D75" w14:textId="77777777" w:rsidR="00F64776" w:rsidRDefault="00F64776" w:rsidP="00F64776">
      <w:pPr>
        <w:pStyle w:val="TextoNormal"/>
      </w:pPr>
      <w:r>
        <w:t xml:space="preserve">“Primero. - De lo actuado no aparece debidamente justificada la perpetración del delito que ha dado motivo a la formación de la causa, por lo que de acuerdo con lo dispuesto en el artículo 641.1 /779.1.1 de la Ley de enjuiciamiento criminal, procede decretar el sobreseimiento provisional de las actuaciones. </w:t>
      </w:r>
    </w:p>
    <w:p w14:paraId="4398797C" w14:textId="77777777" w:rsidR="00F64776" w:rsidRDefault="00F64776" w:rsidP="00F64776">
      <w:pPr>
        <w:pStyle w:val="TextoNormal"/>
      </w:pPr>
      <w:r>
        <w:t>Segundo. - Conforme dispone el art.779.1.1 de la LECr se deberá notificar dicha resolución a quienes pudiera causar perjuicio la misma, aun cuando no se haya mostrado parte en la causa”.</w:t>
      </w:r>
    </w:p>
    <w:p w14:paraId="07F1B00F" w14:textId="77777777" w:rsidR="00F64776" w:rsidRDefault="00F64776" w:rsidP="00F64776">
      <w:pPr>
        <w:pStyle w:val="TextoNormal"/>
      </w:pPr>
    </w:p>
    <w:p w14:paraId="4DDC0A65" w14:textId="77777777" w:rsidR="00F64776" w:rsidRDefault="00F64776" w:rsidP="00F64776">
      <w:pPr>
        <w:pStyle w:val="TextoNormal"/>
      </w:pPr>
      <w:r>
        <w:t>e) El demandante de amparo interpuso recurso de reforma y subsidiario de apelación contra el anterior auto, en el que además de aportar determinados documentos solicitaba la práctica de diversas diligencias para la averiguación de los hechos, e invocaba la vulneración del derecho a la tutela judicial efectiva (art. 24.1 CE), tanto desde la perspectiva del derecho al proceso, como desde la del derecho a obtener una resolución jurídicamente fundada.</w:t>
      </w:r>
    </w:p>
    <w:p w14:paraId="24E28FB6" w14:textId="77777777" w:rsidR="00F64776" w:rsidRDefault="00F64776" w:rsidP="00F64776">
      <w:pPr>
        <w:pStyle w:val="TextoNormal"/>
      </w:pPr>
    </w:p>
    <w:p w14:paraId="4BDF2156" w14:textId="77777777" w:rsidR="00F64776" w:rsidRDefault="00F64776" w:rsidP="00F64776">
      <w:pPr>
        <w:pStyle w:val="TextoNormal"/>
      </w:pPr>
      <w:r>
        <w:t>f) Por auto del Juzgado de Instrucción núm. 4 de Vera, de 9 de junio de 2021, se desestimó el recurso de reforma. En dicha resolución se indicaba que “de una simple lectura de la querella, así como de la documental aportada con la misma, no se deduce la comisión de ilícito penal alguno por parte de los agentes de la autoridad”, destacando que “de una simple lectura del atestado se desprende que precisamente por las circunstancias concurrentes en el momento de la detención, fue necesaria la intervención de varios agentes, dada la excitación y violencia que presentaba el ahora querellante ya que incluso este habría agredido a los agentes de la Guardia Civil, quienes como así consta en el atestado, emplearon la fuerza mínima indispensable y ejecutaron técnicas operativas tendentes a causar el menor daño en la integridad física. Es más, el atestado, refleja que los agentes dieron aviso a los servicios sanitarios, para confeccionar el parte de lesiones en garantía de la integridad física del detenido, y ahora querellante […] sin estimarse necesaria la práctica de ninguna diligencia de instrucción, no existe dato alguno que permita acreditar siquiera indiciariamente la comisión de un presunto delito de tortura, detención ilegal o lesiones”.</w:t>
      </w:r>
    </w:p>
    <w:p w14:paraId="3164908B" w14:textId="77777777" w:rsidR="00F64776" w:rsidRDefault="00F64776" w:rsidP="00F64776">
      <w:pPr>
        <w:pStyle w:val="TextoNormal"/>
      </w:pPr>
    </w:p>
    <w:p w14:paraId="6BF25703" w14:textId="77777777" w:rsidR="00F64776" w:rsidRDefault="00F64776" w:rsidP="00F64776">
      <w:pPr>
        <w:pStyle w:val="TextoNormal"/>
      </w:pPr>
      <w:r>
        <w:t>g) Finalmente, por auto de la Sección Segunda de la Audiencia Provincial de Almería, de 16 de julio de 2021, se desestimó el subsidiario recurso de apelación interpuesto contra la decisión de sobreseimiento y archivo. Se razona en el auto de la Audiencia Provincial que: “[e]l ahora querellante fue detenido incoándose diligencias urgentes en el Juzgado de Instrucción núm. 4 de Vera por la presunta comisión por su parte de un delito de atentado y lesiones. En estas diligencias el ahora apelante, se acogió a su derecho a no declarar. No manifestó en ningún momento la brutal agresión de la que fue objeto y que ahora sustenta la querella. No pidió ser reconocido por el médico forense y su defensa en el acta de enjuiciamiento rápido, nada dijo, no oponiéndose a la continuación de las actuaciones por los trámites de las diligencias urgentes, lo que ocurrió el día 5 de marzo de 2021. Así las cosas, el 17 de marzo es cuando decide presentar una querella, por cierto, dos días antes del señalado para el juicio oral en las diligencias urgentes y solicitar en el mismo, con base en esa querella la suspensión del plenario. Consideramos que se trata de una actuación procesal injustificada y que denota mala fe procesal. Se ha presentado la querella con la única finalidad de suspender la celebración del juicio. Nada dijo el acusado de la brutal agresión de la que supuestamente fue objeto, lo que nos resulta a todas luces incongruente e ilógico con el modo normal de proceder del común de los ciudadanos. No resulta justificada una instrucción suplementaria sobre la base de lo expuesto”.</w:t>
      </w:r>
    </w:p>
    <w:p w14:paraId="7DB45CDC" w14:textId="77777777" w:rsidR="00F64776" w:rsidRDefault="00F64776" w:rsidP="00F64776">
      <w:pPr>
        <w:pStyle w:val="TextoNormal"/>
      </w:pPr>
    </w:p>
    <w:p w14:paraId="13B7C778" w14:textId="77777777" w:rsidR="00F64776" w:rsidRDefault="00F64776" w:rsidP="00F64776">
      <w:pPr>
        <w:pStyle w:val="TextoNormal"/>
      </w:pPr>
      <w:r>
        <w:t>h) Recibido por el Juzgado de Primera Instancia e Instrucción núm. 4 de Vera el testimonio de la resolución dictada por la Sección Segunda de la Audiencia Provincial de Almería acordó, por providencia de 1 de abril de 2022, dar traslado de las actuaciones al Juzgado de lo Penal núm. 4 de Almería, quien, por otra providencia de 13 de abril del 2022, señaló la celebración del juicio para el día 7 de junio de 2022.</w:t>
      </w:r>
    </w:p>
    <w:p w14:paraId="277BFE28" w14:textId="77777777" w:rsidR="00F64776" w:rsidRDefault="00F64776" w:rsidP="00F64776">
      <w:pPr>
        <w:pStyle w:val="TextoNormal"/>
      </w:pPr>
    </w:p>
    <w:p w14:paraId="7C42832C" w14:textId="49EF73AA" w:rsidR="00F64776" w:rsidRDefault="00F64776" w:rsidP="00F64776">
      <w:pPr>
        <w:pStyle w:val="TextoNormal"/>
      </w:pPr>
      <w:r>
        <w:t>i) El mismo día señalado para la celebración del juicio se acordó la suspensión de la vista oral “al encontrarse pendiente de resolución en el Tribunal Constitucional un recurso de amparo promovido por el acusado con relación a las presentes actuaciones”.</w:t>
      </w:r>
    </w:p>
    <w:p w14:paraId="4D804C44" w14:textId="77777777" w:rsidR="00F64776" w:rsidRDefault="00F64776" w:rsidP="00F64776">
      <w:pPr>
        <w:pStyle w:val="TextoNormal"/>
      </w:pPr>
    </w:p>
    <w:p w14:paraId="3BCECB9D" w14:textId="77777777" w:rsidR="00F64776" w:rsidRDefault="00F64776" w:rsidP="00F64776">
      <w:pPr>
        <w:pStyle w:val="TextoNormal"/>
      </w:pPr>
      <w:r w:rsidRPr="00F64776">
        <w:rPr>
          <w:rStyle w:val="NumeroAFNegritaCaracter"/>
        </w:rPr>
        <w:t>3</w:t>
      </w:r>
      <w:r>
        <w:t>. La demanda de amparo alega que las resoluciones judiciales impugnadas han vulnerado los derechos a la integridad física y moral (art. 15 CE), con relación a la tutela judicial efectiva (art. 24.1 CE) y a un proceso con todas las garantías y uso de los medios pertinentes de prueba para la defensa (art. 24.2 CE) por la falta de una investigación judicial suficiente de los hechos denunciados en la querella.</w:t>
      </w:r>
    </w:p>
    <w:p w14:paraId="70834CD8" w14:textId="77777777" w:rsidR="00F64776" w:rsidRDefault="00F64776" w:rsidP="00F64776">
      <w:pPr>
        <w:pStyle w:val="TextoNormal"/>
      </w:pPr>
    </w:p>
    <w:p w14:paraId="2353B0E1" w14:textId="77777777" w:rsidR="00F64776" w:rsidRDefault="00F64776" w:rsidP="00F64776">
      <w:pPr>
        <w:pStyle w:val="TextoNormal"/>
      </w:pPr>
      <w:r>
        <w:t>Con cita de la STC 130/2016, de 18 de julio, considera que la actuación del Juzgado de Primera Instancia e Instrucción núm. 4 de Vera y de la Sección Segunda de la Audiencia Provincial de Almería ha vulnerado los mencionados derechos pues en la querella se presentan indicios claros de la comisión del delito de torturas y se solicitan diligencias de prueba, produciéndose el archivo de las actuaciones sin la práctica de una sola de las diligencias. Considera que dicho proceder va en contra de la obligación de investigación, pronta e imparcial, que tienen los órganos jurisdiccionales cuando se produce la denuncia por comisión de este tipo de delitos.</w:t>
      </w:r>
    </w:p>
    <w:p w14:paraId="37339F3A" w14:textId="77777777" w:rsidR="00F64776" w:rsidRDefault="00F64776" w:rsidP="00F64776">
      <w:pPr>
        <w:pStyle w:val="TextoNormal"/>
      </w:pPr>
    </w:p>
    <w:p w14:paraId="3D235644" w14:textId="77777777" w:rsidR="00F64776" w:rsidRDefault="00F64776" w:rsidP="00F64776">
      <w:pPr>
        <w:pStyle w:val="TextoNormal"/>
      </w:pPr>
      <w:r>
        <w:t>Considera que la argumentación dada por la Audiencia Provincial para desestimar el recurso de apelación no puede ser aceptada ya que en el momento de la detención el recurrente se encontraba esposado. Afirma, la existencia de un deber de perseverar en la investigación cuando haya datos que generen un panorama sospechoso potencialmente conectado con la existencia de torturas o malos tratos.</w:t>
      </w:r>
    </w:p>
    <w:p w14:paraId="1FEB0627" w14:textId="77777777" w:rsidR="00F64776" w:rsidRDefault="00F64776" w:rsidP="00F64776">
      <w:pPr>
        <w:pStyle w:val="TextoNormal"/>
      </w:pPr>
    </w:p>
    <w:p w14:paraId="3E149E0E" w14:textId="77777777" w:rsidR="00F64776" w:rsidRDefault="00F64776" w:rsidP="00F64776">
      <w:pPr>
        <w:pStyle w:val="TextoNormal"/>
      </w:pPr>
      <w:r>
        <w:t>Sostiene, que los agentes recomendaron al detenido que la asistencia letrada se realizara telefónicamente cuando en dicha fecha las asistencias se realizaban presencialmente y con normalidad, sin perjuicio de la necesidad del uso de mascarillas y gel hidroalcohólico.</w:t>
      </w:r>
    </w:p>
    <w:p w14:paraId="02519766" w14:textId="77777777" w:rsidR="00F64776" w:rsidRDefault="00F64776" w:rsidP="00F64776">
      <w:pPr>
        <w:pStyle w:val="TextoNormal"/>
      </w:pPr>
    </w:p>
    <w:p w14:paraId="66B41E8B" w14:textId="77777777" w:rsidR="00F64776" w:rsidRDefault="00F64776" w:rsidP="00F64776">
      <w:pPr>
        <w:pStyle w:val="TextoNormal"/>
      </w:pPr>
      <w:r>
        <w:t>Refiere que en la querella se aportó un parte de lesiones del día 5 de marzo de 2021, nada más salir de la custodia policial, en el que se objetivan en el centro de salud del municipio de Vera (Almería), las lesiones consistentes en “cabeza con hematomas en ambas orbitas más en el izquierdo, erosiones en hemitórax derecho, dolor moderado en las parrillas costales, no crepitaciones, neurológico sin alteraciones”, a lo que se añade que en el parte del día 8 de marzo siguiente, con base al diagnóstico mediante radiografías, se hace constar que el sujeto tiene “fractura en la costilla”.</w:t>
      </w:r>
    </w:p>
    <w:p w14:paraId="78593AC7" w14:textId="77777777" w:rsidR="00F64776" w:rsidRDefault="00F64776" w:rsidP="00F64776">
      <w:pPr>
        <w:pStyle w:val="TextoNormal"/>
      </w:pPr>
    </w:p>
    <w:p w14:paraId="255AF996" w14:textId="787E50AC" w:rsidR="00F64776" w:rsidRDefault="00F64776" w:rsidP="00F64776">
      <w:pPr>
        <w:pStyle w:val="TextoNormal"/>
      </w:pPr>
      <w:r>
        <w:t>Tras referirse a los motivos por los que la demanda de amparo tiene trascendencia constitucional, en el suplico de la misma solicita que se reconozcan vulnerados los derechos invocados, se declare la nulidad de las resoluciones impugnadas y se retrotraigan las actuaciones al momento del dictado del primero de los autos impugnados para que se proceda en términos respetuosos con los derechos fundamentales vulnerados.</w:t>
      </w:r>
    </w:p>
    <w:p w14:paraId="439C29C1" w14:textId="77777777" w:rsidR="00F64776" w:rsidRDefault="00F64776" w:rsidP="00F64776">
      <w:pPr>
        <w:pStyle w:val="TextoNormal"/>
      </w:pPr>
    </w:p>
    <w:p w14:paraId="2329C811" w14:textId="1809A634" w:rsidR="00F64776" w:rsidRDefault="00F64776" w:rsidP="00F64776">
      <w:pPr>
        <w:pStyle w:val="TextoNormal"/>
      </w:pPr>
      <w:r w:rsidRPr="00F64776">
        <w:rPr>
          <w:rStyle w:val="NumeroAFNegritaCaracter"/>
        </w:rPr>
        <w:t>4</w:t>
      </w:r>
      <w:r>
        <w:t>. El 22 de abril de 2022, la representación del recurrente de amparo presentó escrito por el que solicitaba la medida cautelar de suspensión del auto de la Sección Segunda de la Audiencia Provincial de Almería de 16 de julio de 2021 y de la diligencia de ordenación del Juzgado de lo Penal núm. 4 de Almería, que ordena la celebración de juicio oral para la fecha 7 de junio de 2022. Razona que la celebración del juicio, antes de que el Tribunal Constitucional, resuelva el recurso de amparo es “verdaderamente dañoso para la causa de amparo solicitada”, y considera que se justifica la adopción de la medida cautelar de suspensión de tales resoluciones atendido el objeto de la impugnación del recurso de amparo.</w:t>
      </w:r>
    </w:p>
    <w:p w14:paraId="569E3598" w14:textId="77777777" w:rsidR="00F64776" w:rsidRDefault="00F64776" w:rsidP="00F64776">
      <w:pPr>
        <w:pStyle w:val="TextoNormal"/>
      </w:pPr>
    </w:p>
    <w:p w14:paraId="1C3C1FBE" w14:textId="5C44EE6A" w:rsidR="00F64776" w:rsidRDefault="00F64776" w:rsidP="00F64776">
      <w:pPr>
        <w:pStyle w:val="TextoNormal"/>
      </w:pPr>
      <w:r w:rsidRPr="00F64776">
        <w:rPr>
          <w:rStyle w:val="NumeroAFNegritaCaracter"/>
        </w:rPr>
        <w:t>5</w:t>
      </w:r>
      <w:r>
        <w:t>. En virtud de providencia de la Sección Tercera de fecha 23 de octubre de 2023, se acordó la admisión a trámite de este recurso de amparo, apreciando que concurre en el mismo una especial trascendencia constitucional [art. 50.1 de la Ley Orgánica del Tribunal Constitucional (LOTC)] porque el asunto suscitado trasciende del caso concreto al plantear una cuestión jurídica de relevante y general repercusión social o económica [STC 155/2009, de 25 de junio, FJ 2 g)]. Además, en la misma resolución se decidió la formación de pieza separada de suspensión. En esta pieza se acordó, por providencia de la misma fecha, conceder audiencia a la parte recurrente y al Ministerio Fiscal para que manifestaran lo que estimaran pertinente sobre la suspensión solicitada.</w:t>
      </w:r>
    </w:p>
    <w:p w14:paraId="226C594E" w14:textId="77777777" w:rsidR="00F64776" w:rsidRDefault="00F64776" w:rsidP="00F64776">
      <w:pPr>
        <w:pStyle w:val="TextoNormal"/>
      </w:pPr>
    </w:p>
    <w:p w14:paraId="00359612" w14:textId="5D2CD888" w:rsidR="00F64776" w:rsidRDefault="00F64776" w:rsidP="00F64776">
      <w:pPr>
        <w:pStyle w:val="TextoNormal"/>
      </w:pPr>
      <w:r w:rsidRPr="00F64776">
        <w:rPr>
          <w:rStyle w:val="NumeroAFNegritaCaracter"/>
        </w:rPr>
        <w:t>6</w:t>
      </w:r>
      <w:r>
        <w:t>. En fecha 30 de octubre de 2023, el demandante de amparo presentó sus alegaciones, en las que refirió que finalmente el juicio señalado para el día 7 de junio de 2022, fue suspendido ante la exhibición del recurso de amparo. Alega que podría producirse un perjuicio irreparable si se enjuiciara al recurrente, si previamente no se hubieran esclarecido los presuntos hechos delictivos de los agentes querellados.</w:t>
      </w:r>
    </w:p>
    <w:p w14:paraId="4FEEB130" w14:textId="77777777" w:rsidR="00F64776" w:rsidRDefault="00F64776" w:rsidP="00F64776">
      <w:pPr>
        <w:pStyle w:val="TextoNormal"/>
      </w:pPr>
    </w:p>
    <w:p w14:paraId="76F777DD" w14:textId="6B7D7048" w:rsidR="00F64776" w:rsidRDefault="00F64776" w:rsidP="00F64776">
      <w:pPr>
        <w:pStyle w:val="TextoNormal"/>
      </w:pPr>
      <w:r w:rsidRPr="00F64776">
        <w:rPr>
          <w:rStyle w:val="NumeroAFNegritaCaracter"/>
        </w:rPr>
        <w:t>7</w:t>
      </w:r>
      <w:r>
        <w:t>. El Ministerio Fiscal, mediante escrito registrado en este tribunal el 8 de noviembre de 2023, expone los antecedentes que dieron lugar a la demanda de amparo y refleja la doctrina del Tribunal Constitucional relativa a la naturaleza y presupuestos requeridos para la adopción de la medida cautelar interesada por el recurrente. A continuación, solicita que se deniegue la suspensión pretendida por haberse acordado la misma judicialmente y encontrarse la celebración del juicio suspendida por decisión del Juzgado de lo Penal núm. 4 de Almería, sin perjuicio de la posibilidad de nueva solicitud si la suspensión judicial es alzada y se señala la celebración de nuevo juicio (art. 57 LOTC).</w:t>
      </w:r>
    </w:p>
    <w:p w14:paraId="0B91B10D" w14:textId="77777777" w:rsidR="00F64776" w:rsidRDefault="00F64776" w:rsidP="00F64776">
      <w:pPr>
        <w:pStyle w:val="TextoNormal"/>
      </w:pPr>
    </w:p>
    <w:p w14:paraId="766DAC38" w14:textId="77777777" w:rsidR="00F64776" w:rsidRDefault="00F64776" w:rsidP="00F64776">
      <w:pPr>
        <w:pStyle w:val="TextoNormalNegritaCentrado"/>
        <w:keepNext/>
      </w:pPr>
      <w:r>
        <w:t>II. Fundamentos jurídicos</w:t>
      </w:r>
    </w:p>
    <w:p w14:paraId="525D8334" w14:textId="687F4B03" w:rsidR="00F64776" w:rsidRDefault="00F64776" w:rsidP="00F64776">
      <w:pPr>
        <w:pStyle w:val="TextoNormalNegritaCentrado"/>
        <w:keepNext/>
      </w:pPr>
    </w:p>
    <w:p w14:paraId="1BE57EB2" w14:textId="77777777" w:rsidR="00F64776" w:rsidRDefault="00F64776" w:rsidP="00F64776">
      <w:pPr>
        <w:pStyle w:val="TextoNormal"/>
      </w:pPr>
      <w:r w:rsidRPr="00F64776">
        <w:rPr>
          <w:rStyle w:val="NumeroAFNegritaCaracter"/>
        </w:rPr>
        <w:t>1</w:t>
      </w:r>
      <w:r>
        <w:t>. El objeto de esta pieza de suspensión es determinar la procedencia o no de la medida cautelar instada por la parte recurrente en amparo, que consiste en la suspensión de la eficacia del auto de la Sección Segunda de la Audiencia Provincial de Almería de 16 de julio de 2021, así como de la correlativa diligencia de ordenación del Juzgado de lo Penal núm. 4 de Almería, que trae causa del mismo, en la que se acuerda la celebración del juicio oral el día 7 de junio de 2022.</w:t>
      </w:r>
    </w:p>
    <w:p w14:paraId="2A87E5B7" w14:textId="77777777" w:rsidR="00F64776" w:rsidRDefault="00F64776" w:rsidP="00F64776">
      <w:pPr>
        <w:pStyle w:val="TextoNormal"/>
      </w:pPr>
    </w:p>
    <w:p w14:paraId="506FD6A6" w14:textId="77777777" w:rsidR="00F64776" w:rsidRDefault="00F64776" w:rsidP="00F64776">
      <w:pPr>
        <w:pStyle w:val="TextoNormal"/>
      </w:pPr>
      <w:r>
        <w:t>La finalidad de dicha solicitud es que de celebrarse el acto del juicio podría producirse un perjuicio irreparable al enjuiciarse la conducta del recurrente, sin que previamente se hubieran esclarecido los presuntos hechos delictivos atribuidos a los agentes querellados.</w:t>
      </w:r>
    </w:p>
    <w:p w14:paraId="72A63DD5" w14:textId="77777777" w:rsidR="00F64776" w:rsidRDefault="00F64776" w:rsidP="00F64776">
      <w:pPr>
        <w:pStyle w:val="TextoNormal"/>
      </w:pPr>
    </w:p>
    <w:p w14:paraId="3EE14FEE" w14:textId="3C4B148C" w:rsidR="00F64776" w:rsidRDefault="00F64776" w:rsidP="00F64776">
      <w:pPr>
        <w:pStyle w:val="TextoNormal"/>
      </w:pPr>
      <w:r>
        <w:t>Por su parte, el Ministerio Fiscal se opone a la medida cautelar solicitada, atendidas las circunstancias sobrevenidas, al haberse acordado por el Juzgado de lo Penal núm. 4 de Almería la suspensión del señalamiento del juicio a la vista de la demanda de amparo interpuesta.</w:t>
      </w:r>
    </w:p>
    <w:p w14:paraId="2D49F512" w14:textId="77777777" w:rsidR="00F64776" w:rsidRDefault="00F64776" w:rsidP="00F64776">
      <w:pPr>
        <w:pStyle w:val="TextoNormal"/>
      </w:pPr>
    </w:p>
    <w:p w14:paraId="0D8E4B8E" w14:textId="77777777" w:rsidR="00F64776" w:rsidRDefault="00F64776" w:rsidP="00F64776">
      <w:pPr>
        <w:pStyle w:val="TextoNormal"/>
      </w:pPr>
      <w:r w:rsidRPr="00F64776">
        <w:rPr>
          <w:rStyle w:val="NumeroAFNegritaCaracter"/>
        </w:rPr>
        <w:t>2</w:t>
      </w:r>
      <w:r>
        <w:t>. Para resolver este incidente cautelar es necesario partir de que la facultad de este tribunal de adoptar medidas cautelares en los procesos de amparo, reconocida en el art. 56 LOTC, se sustenta en la necesidad de asegurar la efectividad de las resoluciones que pongan fin a los mismos, esto es, de preservar la integridad del derecho fundamental cuya vulneración se denuncia, en tanto en cuanto la ejecución del acto o resolución impugnados pudiera ocasionar un perjuicio que hiciese perder al amparo su finalidad.</w:t>
      </w:r>
    </w:p>
    <w:p w14:paraId="2B50AC00" w14:textId="77777777" w:rsidR="00F64776" w:rsidRDefault="00F64776" w:rsidP="00F64776">
      <w:pPr>
        <w:pStyle w:val="TextoNormal"/>
      </w:pPr>
    </w:p>
    <w:p w14:paraId="4A24F5E4" w14:textId="77777777" w:rsidR="00F64776" w:rsidRDefault="00F64776" w:rsidP="00F64776">
      <w:pPr>
        <w:pStyle w:val="TextoNormal"/>
      </w:pPr>
      <w:r>
        <w:t>Como recuerda el ATC 55/2018, de 22 de mayo, FJ 2 c), “la perspectiva única que ha de ser tenida en cuenta para decidir sobre cualquier pretensión cautelar formulada en el proceso de amparo ha de ser el de la preservación de la eficacia de un posible pronunciamiento estimatorio, sin prejuzgar cuál haya de ser el sentido de la futura sentencia que le ponga fin (por todos, AATC 64/1990, de 30 de enero, y 319/2003, de 13 de octubre)”.</w:t>
      </w:r>
    </w:p>
    <w:p w14:paraId="41BDD706" w14:textId="77777777" w:rsidR="00F64776" w:rsidRDefault="00F64776" w:rsidP="00F64776">
      <w:pPr>
        <w:pStyle w:val="TextoNormal"/>
      </w:pPr>
    </w:p>
    <w:p w14:paraId="7B44E16F" w14:textId="77777777" w:rsidR="00F64776" w:rsidRDefault="00F64776" w:rsidP="00F64776">
      <w:pPr>
        <w:pStyle w:val="TextoNormal"/>
      </w:pPr>
      <w:r>
        <w:t>El recurrente considera que la eficacia de un eventual pronunciamiento estimatorio de la demanda de amparo se podría ver afectada si se celebra el juicio rápido que se sigue contra él por los delitos de atentado y de lesiones, sin que previamente se haya realizado una investigación suficiente de los delitos de detención ilegal, torturas y lesiones, que el mismo atribuye a los agentes de la Guardia Civil. Es por ello por lo que solicita la suspensión del auto de la Sección Segunda de la Audiencia Provincial de Almería, que confirma el archivo de las diligencias previas seguidas contra los guardias civiles, y también de la diligencia de ordenación de la letrada de la administración de justicia del Juzgado de lo Penal núm. 4 de Almería que, en atención a dicho auto, acuerda levantar la suspensión de la celebración del juicio contra el recurrente y señala fecha de nuevo juicio oral.</w:t>
      </w:r>
    </w:p>
    <w:p w14:paraId="5A4E3061" w14:textId="77777777" w:rsidR="00F64776" w:rsidRDefault="00F64776" w:rsidP="00F64776">
      <w:pPr>
        <w:pStyle w:val="TextoNormal"/>
      </w:pPr>
    </w:p>
    <w:p w14:paraId="30790B10" w14:textId="216983EF" w:rsidR="00F64776" w:rsidRDefault="00F64776" w:rsidP="00F64776">
      <w:pPr>
        <w:pStyle w:val="TextoNormal"/>
      </w:pPr>
      <w:r>
        <w:t>Ahora bien, sucede que el mismo día señalado para la celebración del indicado juicio oral, el Juzgado de lo Penal núm. 4 de Almería, al tener conocimiento de la interposición del recurso de amparo acordó la suspensión del acto del juicio. Atendida tal circunstancia sobrevenida, no procede acordar la pretendida suspensión de las resoluciones, al haber decaído el eventual riesgo para el derecho fundamental afectado en el que se fundaba la solicitud de suspensión. Se ha constatado que la diligencia de ordenación de señalamiento se ha dejado sin efecto por la propia decisión del órgano judicial, de modo que no era preciso acordar la suspensión de esta, al haberse dejado sin efecto y por tanto constatarse la ausencia de un posible perjuicio irreparable, único que podría determinar la necesidad de la medida cautelar solicitada.</w:t>
      </w:r>
    </w:p>
    <w:p w14:paraId="0FD63404" w14:textId="77777777" w:rsidR="00F64776" w:rsidRDefault="00F64776" w:rsidP="00F64776">
      <w:pPr>
        <w:pStyle w:val="TextoNormal"/>
      </w:pPr>
    </w:p>
    <w:p w14:paraId="2E6A83EB" w14:textId="77777777" w:rsidR="00F64776" w:rsidRDefault="00F64776" w:rsidP="00F64776">
      <w:pPr>
        <w:pStyle w:val="TextoNormal"/>
      </w:pPr>
      <w:r>
        <w:t>Por lo expuesto, la Sala</w:t>
      </w:r>
    </w:p>
    <w:p w14:paraId="48F6BF97" w14:textId="3D20CD23" w:rsidR="00F64776" w:rsidRDefault="00F64776" w:rsidP="00F64776">
      <w:pPr>
        <w:pStyle w:val="TextoNormal"/>
      </w:pPr>
    </w:p>
    <w:p w14:paraId="6D10D6EE" w14:textId="77777777" w:rsidR="00F64776" w:rsidRDefault="00F64776" w:rsidP="00F64776">
      <w:pPr>
        <w:pStyle w:val="TextoNormalCentrado"/>
      </w:pPr>
      <w:r>
        <w:t>ACUERDA</w:t>
      </w:r>
    </w:p>
    <w:p w14:paraId="784C289E" w14:textId="1CBF2C3D" w:rsidR="00F64776" w:rsidRDefault="00F64776" w:rsidP="00F64776">
      <w:pPr>
        <w:pStyle w:val="TextoNormalCentrado"/>
      </w:pPr>
    </w:p>
    <w:p w14:paraId="7E4983F0" w14:textId="655776EF" w:rsidR="00F64776" w:rsidRDefault="00F64776" w:rsidP="00F64776">
      <w:pPr>
        <w:pStyle w:val="TextoNormal"/>
      </w:pPr>
      <w:r>
        <w:t>Denegar la medida cautelar solicitada.</w:t>
      </w:r>
    </w:p>
    <w:p w14:paraId="683D755A" w14:textId="77777777" w:rsidR="00F64776" w:rsidRDefault="00F64776" w:rsidP="00F64776">
      <w:pPr>
        <w:pStyle w:val="TextoNormal"/>
      </w:pPr>
    </w:p>
    <w:p w14:paraId="7372C57A" w14:textId="77777777" w:rsidR="00F64776" w:rsidRDefault="00F64776" w:rsidP="00F64776">
      <w:pPr>
        <w:pStyle w:val="TextoNormal"/>
      </w:pPr>
      <w:r>
        <w:t>Madrid, a veinte de noviembre de dos mil veintitrés.</w:t>
      </w:r>
    </w:p>
    <w:p w14:paraId="738E1483" w14:textId="2CB5E62B" w:rsidR="00F64776" w:rsidRDefault="00F64776">
      <w:pPr>
        <w:spacing w:after="160" w:line="278" w:lineRule="auto"/>
        <w:rPr>
          <w:rFonts w:ascii="Times New Roman" w:eastAsia="Times New Roman" w:hAnsi="Times New Roman" w:cs="Times New Roman"/>
          <w:sz w:val="24"/>
          <w:szCs w:val="24"/>
          <w:lang w:eastAsia="es-ES"/>
        </w:rPr>
      </w:pPr>
      <w:r>
        <w:br w:type="page"/>
      </w:r>
    </w:p>
    <w:p w14:paraId="4C0FE194" w14:textId="77777777" w:rsidR="00F64776" w:rsidRDefault="00F64776" w:rsidP="00F64776">
      <w:pPr>
        <w:pStyle w:val="TtuloResolucin"/>
      </w:pPr>
      <w:bookmarkStart w:id="385" w:name="AUTO_2023_600"/>
      <w:r>
        <w:t>AUTO 600/2023, de 20 de noviembre de 2023</w:t>
      </w:r>
    </w:p>
    <w:bookmarkEnd w:id="385"/>
    <w:p w14:paraId="06940CD4" w14:textId="77777777" w:rsidR="00F64776" w:rsidRDefault="00F64776" w:rsidP="00F64776">
      <w:pPr>
        <w:pStyle w:val="TtuloResolucin"/>
      </w:pPr>
      <w:r>
        <w:t>Sala Segunda</w:t>
      </w:r>
    </w:p>
    <w:p w14:paraId="1E34CFF6" w14:textId="77777777" w:rsidR="00F64776" w:rsidRDefault="00F64776" w:rsidP="00F64776">
      <w:pPr>
        <w:pStyle w:val="TextoNormalCentrado"/>
      </w:pPr>
      <w:r>
        <w:t>ECLI:ES:TC:2023:600A</w:t>
      </w:r>
    </w:p>
    <w:p w14:paraId="7E30E2F4" w14:textId="347F999C" w:rsidR="00F64776" w:rsidRDefault="00F64776" w:rsidP="00F64776">
      <w:pPr>
        <w:pStyle w:val="TextoNormalCentrado"/>
      </w:pPr>
    </w:p>
    <w:p w14:paraId="23E2E556" w14:textId="77777777" w:rsidR="00F64776" w:rsidRDefault="00F64776" w:rsidP="00F64776">
      <w:pPr>
        <w:pStyle w:val="SntesisDescriptiva"/>
      </w:pPr>
      <w:r>
        <w:t>Excms. Srs. doña Inmaculada Montalbán Huertas, doña María Luisa Balaguer Callejón, don Ramón Sáez Valcárcel, don Enrique Arnaldo Alcubilla, don César Tolosa Tribiño y doña Laura Díez Bueso.</w:t>
      </w:r>
    </w:p>
    <w:p w14:paraId="2A9759BC" w14:textId="0B5A57B1" w:rsidR="00F64776" w:rsidRDefault="00F64776" w:rsidP="00F64776">
      <w:pPr>
        <w:pStyle w:val="SntesisDescriptiva"/>
      </w:pPr>
    </w:p>
    <w:p w14:paraId="5A2861D0" w14:textId="77777777" w:rsidR="00F64776" w:rsidRDefault="00F64776" w:rsidP="00F64776">
      <w:pPr>
        <w:pStyle w:val="SntesisDescriptiva"/>
      </w:pPr>
      <w:r>
        <w:t>Acuerda la suspensión en el recurso de amparo 1430-2022, promovido por doña María Teresa Fernández Shaw Navarro y doña Lucía Carlota Siloniz Fernández Shaw en procedimiento hipotecario.</w:t>
      </w:r>
    </w:p>
    <w:p w14:paraId="0D5A02B7" w14:textId="5126D78F" w:rsidR="00F64776" w:rsidRDefault="00F64776" w:rsidP="00F64776">
      <w:pPr>
        <w:pStyle w:val="SntesisDescriptiva"/>
      </w:pPr>
    </w:p>
    <w:p w14:paraId="7D9BDEE5" w14:textId="77777777" w:rsidR="00F64776" w:rsidRDefault="00F64776" w:rsidP="00F64776">
      <w:pPr>
        <w:pStyle w:val="SntesisDescriptiva"/>
      </w:pPr>
    </w:p>
    <w:p w14:paraId="53214BE4" w14:textId="77777777" w:rsidR="00F64776" w:rsidRDefault="00F64776" w:rsidP="00F64776">
      <w:pPr>
        <w:pStyle w:val="SntesisDescriptiva"/>
      </w:pPr>
    </w:p>
    <w:p w14:paraId="3862C8C3" w14:textId="77777777" w:rsidR="00F64776" w:rsidRDefault="00F64776" w:rsidP="00F64776">
      <w:pPr>
        <w:pStyle w:val="TextoNormalNegritaCentrado"/>
      </w:pPr>
      <w:r>
        <w:t>AUTO</w:t>
      </w:r>
    </w:p>
    <w:p w14:paraId="4CEE8176" w14:textId="74E96208" w:rsidR="00F64776" w:rsidRDefault="00F64776" w:rsidP="00F64776">
      <w:pPr>
        <w:pStyle w:val="TextoNormalNegritaCentrado"/>
      </w:pPr>
    </w:p>
    <w:p w14:paraId="395E89EE" w14:textId="77777777" w:rsidR="00F64776" w:rsidRDefault="00F64776" w:rsidP="00F64776">
      <w:pPr>
        <w:pStyle w:val="TextoNormalNegritaCentrado"/>
        <w:keepNext/>
      </w:pPr>
      <w:r>
        <w:t>I. Antecedentes</w:t>
      </w:r>
    </w:p>
    <w:p w14:paraId="3DDF8B5C" w14:textId="43F216B9" w:rsidR="00F64776" w:rsidRDefault="00F64776" w:rsidP="00F64776">
      <w:pPr>
        <w:pStyle w:val="TextoNormalNegritaCentrado"/>
        <w:keepNext/>
      </w:pPr>
    </w:p>
    <w:p w14:paraId="54BA612E" w14:textId="34655BFE" w:rsidR="00F64776" w:rsidRDefault="00F64776" w:rsidP="00F64776">
      <w:pPr>
        <w:pStyle w:val="TextoNormal"/>
      </w:pPr>
      <w:r w:rsidRPr="00F64776">
        <w:rPr>
          <w:rStyle w:val="NumeroAFNegritaCaracter"/>
        </w:rPr>
        <w:t>1</w:t>
      </w:r>
      <w:r>
        <w:t>. Por escrito presentado en el registro general de este tribunal, el día 3 de marzo de 2022, doña María Teresa Fernández Shaw Navarro y doña Lucía Carlota Siloniz Fernández Shaw, representadas por el procurador don Carlos Blanco Sánchez de Cueto y asistida por el letrado don Juan José Ortiz Quevedo, interpusieron recurso de amparo frente a la providencia de 2 de febrero de 2022, dictada por el Juzgado de Primera Instancia e Instrucción núm. 5 de El Puerto de Santa María, en el procedimiento de ejecución hipotecaria núm. 629-2015, que inadmitió el incidente de nulidad promovido por la demandante de amparo, en el que se denunciaba el carácter abusivo de los intereses de demora y de la cláusula de vencimiento anticipado del título de ejecución, y se solicitaba la nulidad de todo lo actuado.</w:t>
      </w:r>
    </w:p>
    <w:p w14:paraId="654C7F05" w14:textId="77777777" w:rsidR="00F64776" w:rsidRDefault="00F64776" w:rsidP="00F64776">
      <w:pPr>
        <w:pStyle w:val="TextoNormal"/>
      </w:pPr>
    </w:p>
    <w:p w14:paraId="68EE1565" w14:textId="77777777" w:rsidR="00F64776" w:rsidRDefault="00F64776" w:rsidP="00F64776">
      <w:pPr>
        <w:pStyle w:val="TextoNormal"/>
      </w:pPr>
      <w:r w:rsidRPr="00F64776">
        <w:rPr>
          <w:rStyle w:val="NumeroAFNegritaCaracter"/>
        </w:rPr>
        <w:t>2</w:t>
      </w:r>
      <w:r>
        <w:t>. La recurrente invoca la vulneración del derecho a la tutela judicial efectiva sin indefensión (art. 24.1 CE), en su vertiente de derecho a una resolución motivada y fundada en Derecho, así como en relación con el principio de primacía del Derecho de la Unión (arts. 10.2 y 96.1 CE) y el de seguridad jurídica (art. 9.3 CE), y el derecho a una vivienda digna (art. 47 CE), en que habría incurrido el juzgado de primera instancia e instrucción al inadmitir el incidente excepcional de nulidad formulado, apartándose de la doctrina jurisprudencial emanada del Tribunal de Justicia de la Unión Europea, y del Tribunal Constitucional. Y ello porque no se ha producido en ningún caso control de oficio sobre las posibles cláusulas abusivas contenidas en el contrato, para lo que no existen límites ni de plazo ni de forma para realizar ese control, de acuerdo con la jurisprudencia que se cita.</w:t>
      </w:r>
    </w:p>
    <w:p w14:paraId="72595717" w14:textId="77777777" w:rsidR="00F64776" w:rsidRDefault="00F64776" w:rsidP="00F64776">
      <w:pPr>
        <w:pStyle w:val="TextoNormal"/>
      </w:pPr>
    </w:p>
    <w:p w14:paraId="3A00AF49" w14:textId="43511E22" w:rsidR="00F64776" w:rsidRDefault="00F64776" w:rsidP="00F64776">
      <w:pPr>
        <w:pStyle w:val="TextoNormal"/>
      </w:pPr>
      <w:r>
        <w:t>Por medio de otrosí solicitó la suspensión cautelar del lanzamiento del inmueble de la vivienda que ocupa, así como ordenar la anotación preventiva de la demanda de amparo en el registro de la propiedad. Alega, en esencia, que, de no acordarse la suspensión del lanzamiento acordado por el órgano judicial, se originaría un perjuicio irreparable. Aduce que, por otra parte, la citada medida cautelar no entraña una grave perturbación de un interés constitucionalmente protegido o de los derechos y libertades de otra persona, como exige el art. 56.2 de la Ley Orgánica del Tribunal Constitucional (LOTC).</w:t>
      </w:r>
    </w:p>
    <w:p w14:paraId="39E2FDE8" w14:textId="77777777" w:rsidR="00F64776" w:rsidRDefault="00F64776" w:rsidP="00F64776">
      <w:pPr>
        <w:pStyle w:val="TextoNormal"/>
      </w:pPr>
    </w:p>
    <w:p w14:paraId="59579079" w14:textId="0C4A1914" w:rsidR="00F64776" w:rsidRDefault="00F64776" w:rsidP="00F64776">
      <w:pPr>
        <w:pStyle w:val="TextoNormal"/>
      </w:pPr>
      <w:r w:rsidRPr="00F64776">
        <w:rPr>
          <w:rStyle w:val="NumeroAFNegritaCaracter"/>
        </w:rPr>
        <w:t>3</w:t>
      </w:r>
      <w:r>
        <w:t>. Mediante providencia de 22 de mayo de 2023, la Sección Tercera de este tribunal acordó admitir a trámite el recurso de amparo como consecuencia de que el órgano judicial pudiera haber incurrido en una negativa manifiesta del deber de acatamiento de la doctrina de este tribunal [STC 155/2009, de 25 de junio, FJ 2 f)]. Acordó, al propio tiempo, dirigir comunicación al órgano judicial interviniente, a fin de que en el plazo que no exceda de diez días remita certificación o fotocopia adverada de las actuaciones correspondientes al procedimiento de ejecución hipotecaria núm. 629-2015, y emplazar a quienes hubieran sido parte en el proceso del que trae causa el presente recurso, excepto la parte recurrente en amparo, para que en plazo de diez días puedan comparecer, si lo desean. Finalmente, se acordó formar pieza separada para la tramitación de suspensión de la ejecución.</w:t>
      </w:r>
    </w:p>
    <w:p w14:paraId="44A3E470" w14:textId="77777777" w:rsidR="00F64776" w:rsidRDefault="00F64776" w:rsidP="00F64776">
      <w:pPr>
        <w:pStyle w:val="TextoNormal"/>
      </w:pPr>
    </w:p>
    <w:p w14:paraId="5C4BDB32" w14:textId="544E9C91" w:rsidR="00F64776" w:rsidRDefault="00F64776" w:rsidP="00F64776">
      <w:pPr>
        <w:pStyle w:val="TextoNormal"/>
      </w:pPr>
      <w:r w:rsidRPr="00F64776">
        <w:rPr>
          <w:rStyle w:val="NumeroAFNegritaCaracter"/>
        </w:rPr>
        <w:t>4</w:t>
      </w:r>
      <w:r>
        <w:t>. En la misma fecha, la Sección Tercera de este tribunal dictó providencia acordando formar la pieza para la tramitación del incidente sobre la suspensión solicitada y conceder, conforme determina el artículo 56 LOTC, un plazo común de tres días a la recurrente y al Ministerio Fiscal para alegar lo que consideren procedente dentro del mismo.</w:t>
      </w:r>
    </w:p>
    <w:p w14:paraId="3B1930C2" w14:textId="77777777" w:rsidR="00F64776" w:rsidRDefault="00F64776" w:rsidP="00F64776">
      <w:pPr>
        <w:pStyle w:val="TextoNormal"/>
      </w:pPr>
    </w:p>
    <w:p w14:paraId="01D19E42" w14:textId="5DA6DCF2" w:rsidR="00F64776" w:rsidRDefault="00F64776" w:rsidP="00F64776">
      <w:pPr>
        <w:pStyle w:val="TextoNormal"/>
      </w:pPr>
      <w:r w:rsidRPr="00F64776">
        <w:rPr>
          <w:rStyle w:val="NumeroAFNegritaCaracter"/>
        </w:rPr>
        <w:t>5</w:t>
      </w:r>
      <w:r>
        <w:t>. El recurrente presentó escrito de alegaciones en fecha 24 de mayo de 2023, reiterando la solicitud de suspensión del lanzamiento o la anotación preventiva de la demanda de amparo en el registro de la propiedad. Explica que ya se ha producido la adjudicación de la vivienda a favor del acreedor (Banco Santander) con facultad de disposición, con lo que existe un riesgo cierto de que se materialice el lanzamiento, que provocaría un perjuicio irreparable, que haría perder al amparo su finalidad. Igualmente, dicha medida habría de completarse mediante la anotación preventiva de la demanda de amparo al objeto de evitar actos de disposición de la vivienda familiar en favor de terceros, que diera lugar a situaciones cuya reversibilidad deviniera imposible.</w:t>
      </w:r>
    </w:p>
    <w:p w14:paraId="261C5BFD" w14:textId="77777777" w:rsidR="00F64776" w:rsidRDefault="00F64776" w:rsidP="00F64776">
      <w:pPr>
        <w:pStyle w:val="TextoNormal"/>
      </w:pPr>
    </w:p>
    <w:p w14:paraId="44A03133" w14:textId="28952E2C" w:rsidR="00F64776" w:rsidRDefault="00F64776" w:rsidP="00F64776">
      <w:pPr>
        <w:pStyle w:val="TextoNormal"/>
      </w:pPr>
      <w:r w:rsidRPr="00F64776">
        <w:rPr>
          <w:rStyle w:val="NumeroAFNegritaCaracter"/>
        </w:rPr>
        <w:t>6</w:t>
      </w:r>
      <w:r>
        <w:t>. Por escrito presentado el día 7 de junio de 2023, el Ministerio Fiscal formuló alegaciones. Tras hacer referencia a la jurisprudencia de este tribunal respecto de la suspensión cautelar, estima que procede acceder a la medida cautelar interesada por las demandantes, ya que en caso contrario se produciría una situación difícilmente reversible, que hará perder al recurso de amparo su finalidad, como es la posibilidad de que se produzca el lanzamiento de la vivienda que ocupan, que constituye su vivienda habitual. En caso de que se considere que no procede acordar la suspensión interesada, el Ministerio Fiscal interesa que se acuerde la anotación preventiva de la demanda de amparo en el registro de la propiedad con la finalidad de evitar situaciones cuya reversibilidad sería imposible.</w:t>
      </w:r>
    </w:p>
    <w:p w14:paraId="21A74E8A" w14:textId="77777777" w:rsidR="00F64776" w:rsidRDefault="00F64776" w:rsidP="00F64776">
      <w:pPr>
        <w:pStyle w:val="TextoNormal"/>
      </w:pPr>
    </w:p>
    <w:p w14:paraId="10AA8A2C" w14:textId="40B7E8CD" w:rsidR="00F64776" w:rsidRDefault="00F64776" w:rsidP="00F64776">
      <w:pPr>
        <w:pStyle w:val="TextoNormal"/>
      </w:pPr>
      <w:r w:rsidRPr="00F64776">
        <w:rPr>
          <w:rStyle w:val="NumeroAFNegritaCaracter"/>
        </w:rPr>
        <w:t>7</w:t>
      </w:r>
      <w:r>
        <w:t>. El 11 de septiembre de 2023 el secretario de justicia reiteró al Juzgado de Primera Instancia núm. 5 de El Puerto de Santa María requerimiento instando de nuevo lo interesado en comunicación de fecha 22 de mayo de 2023, y significando que de conformidad con lo dispuesto en el art. 87.7 LOTC, los juzgados y tribunales prestarán con carácter preferente y urgente al Tribunal Constitucional el auxilio jurisdiccional que este solicite.</w:t>
      </w:r>
    </w:p>
    <w:p w14:paraId="1E5796FB" w14:textId="77777777" w:rsidR="00F64776" w:rsidRDefault="00F64776" w:rsidP="00F64776">
      <w:pPr>
        <w:pStyle w:val="TextoNormal"/>
      </w:pPr>
    </w:p>
    <w:p w14:paraId="5D7C1C49" w14:textId="7D56068A" w:rsidR="00F64776" w:rsidRDefault="00F64776" w:rsidP="00F64776">
      <w:pPr>
        <w:pStyle w:val="TextoNormal"/>
      </w:pPr>
      <w:r w:rsidRPr="00F64776">
        <w:rPr>
          <w:rStyle w:val="NumeroAFNegritaCaracter"/>
        </w:rPr>
        <w:t>8</w:t>
      </w:r>
      <w:r>
        <w:t>. El 27 de septiembre de 2023 se remitieron por el Juzgado de Primera Instancia e Instrucción núm. 5 de El Puerto de Santa María los autos del procedimiento de ejecución hipotecaria.</w:t>
      </w:r>
    </w:p>
    <w:p w14:paraId="5B423FA4" w14:textId="77777777" w:rsidR="00F64776" w:rsidRDefault="00F64776" w:rsidP="00F64776">
      <w:pPr>
        <w:pStyle w:val="TextoNormal"/>
      </w:pPr>
    </w:p>
    <w:p w14:paraId="790A343A" w14:textId="77777777" w:rsidR="00F64776" w:rsidRDefault="00F64776" w:rsidP="00F64776">
      <w:pPr>
        <w:pStyle w:val="TextoNormal"/>
      </w:pPr>
      <w:r w:rsidRPr="00F64776">
        <w:rPr>
          <w:rStyle w:val="NumeroAFNegritaCaracter"/>
        </w:rPr>
        <w:t>9</w:t>
      </w:r>
      <w:r>
        <w:t>. El día 13 de octubre de 2023 tuvo entrada escrito presentado por el procurador don Carlos Blanco Sánchez de Cueto, solicitando impulso procesal respecto de la pieza de suspensión, y que se acuerde con urgencia la suspensión del lanzamiento o la anotación preventiva de la demanda de amparo en el registro de la propiedad.</w:t>
      </w:r>
    </w:p>
    <w:p w14:paraId="082F69F9" w14:textId="77777777" w:rsidR="00F64776" w:rsidRDefault="00F64776" w:rsidP="00F64776">
      <w:pPr>
        <w:pStyle w:val="TextoNormal"/>
      </w:pPr>
    </w:p>
    <w:p w14:paraId="1763FF4B" w14:textId="793408C2" w:rsidR="00F64776" w:rsidRDefault="00F64776" w:rsidP="00F64776">
      <w:pPr>
        <w:pStyle w:val="TextoNormal"/>
      </w:pPr>
      <w:r>
        <w:t>Se fundamenta dicha urgencia en que el Banco Santander, parte ejecutante del procedimiento de ejecución hipotecaria núm. 629-2015, que se viene tramitando por el Juzgado de Primera Instancia e Instrucción núm. 5 de El Puerto de Santa María, ha presentado con fecha 9 de octubre escrito al juzgado solicitando de nuevo fecha del lanzamiento y toma de posesión de la vivienda habitual de la recurrente en amparo, pretendiendo de este modo que se produzca una situación de hecho consolidada que dificulte el cumplimiento de una posible resolución favorable a la recurrente en amparo.</w:t>
      </w:r>
    </w:p>
    <w:p w14:paraId="4284C67A" w14:textId="77777777" w:rsidR="00F64776" w:rsidRDefault="00F64776" w:rsidP="00F64776">
      <w:pPr>
        <w:pStyle w:val="TextoNormal"/>
      </w:pPr>
    </w:p>
    <w:p w14:paraId="24942A8F" w14:textId="77777777" w:rsidR="00F64776" w:rsidRDefault="00F64776" w:rsidP="00F64776">
      <w:pPr>
        <w:pStyle w:val="TextoNormalNegritaCentrado"/>
        <w:keepNext/>
      </w:pPr>
      <w:r>
        <w:t>II. Fundamentos jurídicos</w:t>
      </w:r>
    </w:p>
    <w:p w14:paraId="0F34E290" w14:textId="7AE454BF" w:rsidR="00F64776" w:rsidRDefault="00F64776" w:rsidP="00F64776">
      <w:pPr>
        <w:pStyle w:val="TextoNormalNegritaCentrado"/>
        <w:keepNext/>
      </w:pPr>
    </w:p>
    <w:p w14:paraId="5390D3D8" w14:textId="77777777" w:rsidR="00F64776" w:rsidRDefault="00F64776" w:rsidP="00F64776">
      <w:pPr>
        <w:pStyle w:val="TextoNormal"/>
      </w:pPr>
      <w:r w:rsidRPr="00F64776">
        <w:rPr>
          <w:rStyle w:val="NumeroAFNegritaCaracter"/>
        </w:rPr>
        <w:t>1</w:t>
      </w:r>
      <w:r>
        <w:t>. El objeto de esta pieza de suspensión consiste en determinar la procedencia de las medidas provisionales de suspensión del procedimiento de ejecución hipotecaria núm. 629-2015 cuestionado y de anotación preventiva de la demanda de amparo en el registro de la propiedad, interesadas tanto por la demandante de amparo, como por el Ministerio Fiscal.</w:t>
      </w:r>
    </w:p>
    <w:p w14:paraId="2691E887" w14:textId="77777777" w:rsidR="00F64776" w:rsidRDefault="00F64776" w:rsidP="00F64776">
      <w:pPr>
        <w:pStyle w:val="TextoNormal"/>
      </w:pPr>
    </w:p>
    <w:p w14:paraId="3CA37529" w14:textId="77777777" w:rsidR="00F64776" w:rsidRDefault="00F64776" w:rsidP="00F64776">
      <w:pPr>
        <w:pStyle w:val="TextoNormal"/>
      </w:pPr>
      <w:r>
        <w:t>Alegan las demandantes el perjuicio irreparable que conllevaría la materialización del lanzamiento, dado que ya se ha producido la adjudicación de la vivienda a favor del Banco Santander, como la posibilidad de que se lleve a cabo un acto de disposición. Especialmente, como se indica en el escrito presentado el 13 de octubre, habida cuenta de que el Banco Santander ha solicitado en fecha de 9 de octubre de 2023 que, firme el decreto de adjudicación de la vivienda, se le dé oportuna toma de posesión judicial de la finca adjudicada.</w:t>
      </w:r>
    </w:p>
    <w:p w14:paraId="54422616" w14:textId="77777777" w:rsidR="00F64776" w:rsidRDefault="00F64776" w:rsidP="00F64776">
      <w:pPr>
        <w:pStyle w:val="TextoNormal"/>
      </w:pPr>
    </w:p>
    <w:p w14:paraId="66655B5D" w14:textId="2C7AB014" w:rsidR="00F64776" w:rsidRDefault="00F64776" w:rsidP="00F64776">
      <w:pPr>
        <w:pStyle w:val="TextoNormal"/>
      </w:pPr>
      <w:r>
        <w:t>El fiscal considera que procede la suspensión del procedimiento de ejecución hipotecaria, interesando únicamente subsidiariamente que se acuerde la anotación preventiva de la demanda de amparo en el registro de la propiedad al objeto de evitar actos de disposición de la vivienda afectada en favor de terceros de carácter irreivindicable.</w:t>
      </w:r>
    </w:p>
    <w:p w14:paraId="1A2D43E8" w14:textId="77777777" w:rsidR="00F64776" w:rsidRDefault="00F64776" w:rsidP="00F64776">
      <w:pPr>
        <w:pStyle w:val="TextoNormal"/>
      </w:pPr>
    </w:p>
    <w:p w14:paraId="01654045" w14:textId="77777777" w:rsidR="00F64776" w:rsidRDefault="00F64776" w:rsidP="00F64776">
      <w:pPr>
        <w:pStyle w:val="TextoNormal"/>
      </w:pPr>
      <w:r w:rsidRPr="00F64776">
        <w:rPr>
          <w:rStyle w:val="NumeroAFNegritaCaracter"/>
        </w:rPr>
        <w:t>2</w:t>
      </w:r>
      <w:r>
        <w:t>. El art. 56.2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14:paraId="73CD49EC" w14:textId="77777777" w:rsidR="00F64776" w:rsidRDefault="00F64776" w:rsidP="00F64776">
      <w:pPr>
        <w:pStyle w:val="TextoNormal"/>
      </w:pPr>
    </w:p>
    <w:p w14:paraId="7D0FAEC4" w14:textId="253C7206" w:rsidR="00F64776" w:rsidRDefault="00F64776" w:rsidP="00F64776">
      <w:pPr>
        <w:pStyle w:val="TextoNormal"/>
      </w:pPr>
      <w:r>
        <w:t>Este tribunal ha admitido de forma reiterada —entre otros muchos, en los AATC 74/2013, de 8 de abril, FJ 2; 152/2013, de 8 de julio, FJ 2; 37/2014, de 10 de febrero, FJ 2; 59/2015, de 16 de marzo, FJ 2; 48/2016, de 29 de febrero, FJ 2; 106/2017, de 17 de julio, FJ 1, y 21/2018, de 5 de marzo, FJ 3—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aquellos, con la consiguiente consolidación de una posición jurídicamente inatacable o de muy difícil y costoso restablecimiento”.</w:t>
      </w:r>
    </w:p>
    <w:p w14:paraId="62D8A2BF" w14:textId="77777777" w:rsidR="00F64776" w:rsidRDefault="00F64776" w:rsidP="00F64776">
      <w:pPr>
        <w:pStyle w:val="TextoNormal"/>
      </w:pPr>
    </w:p>
    <w:p w14:paraId="0E9EFDC6" w14:textId="25D37D6D" w:rsidR="00F64776" w:rsidRDefault="00F64776" w:rsidP="00F64776">
      <w:pPr>
        <w:pStyle w:val="TextoNormal"/>
      </w:pPr>
      <w:r w:rsidRPr="00F64776">
        <w:rPr>
          <w:rStyle w:val="NumeroAFNegritaCaracter"/>
        </w:rPr>
        <w:t>3</w:t>
      </w:r>
      <w:r>
        <w:t>. La aplicación de la doctrina de la que se ha hecho mención al caso aquí planteado permite concluir que resulta procedente acordar la suspensión solicitada. Para alcanzar dicha conclusión debe tomarse en consideración que se ha celebrado la subasta del inmueble hipotecado, que constituye la vivienda de las recurrentes en amparo, adjudicándose a la entidad bancaria por decreto de adjudicación de 25 de marzo de 2019 y se ha facultado a la ejecutante para que solicite la toma de posesión del inmueble subastado, solicitud que se ha presentado nuevamente en fecha de 9 de octubre de 2023. Dicha situación, como ya apreciamos recientemente en el ATC 119/2022, de 26 de septiembre, “permite advertir el previsible riesgo de que por la ejecutante se promueva la ejecución del desalojo y el lanzamiento de la ejecutada y de su familia de la vivienda. Ello abocaría a una situación difícilmente reversible, que podría hacer perder al presente recurso de amparo su finalidad. Por lo demás, no se advierte en este momento procesal, atendidas las particulares circunstancias del presente caso, que la suspensión de la ejecución pueda entrañar una perturbación grave a un interés constitucionalmente protegido o a los derechos fundamentales o libertades públicas de un tercero”.</w:t>
      </w:r>
    </w:p>
    <w:p w14:paraId="61EB3F29" w14:textId="77777777" w:rsidR="00F64776" w:rsidRDefault="00F64776" w:rsidP="00F64776">
      <w:pPr>
        <w:pStyle w:val="TextoNormal"/>
      </w:pPr>
    </w:p>
    <w:p w14:paraId="0D0274F5" w14:textId="77777777" w:rsidR="00F64776" w:rsidRDefault="00F64776" w:rsidP="00F64776">
      <w:pPr>
        <w:pStyle w:val="TextoNormal"/>
      </w:pPr>
      <w:r>
        <w:t>Por lo expuesto, la Sala</w:t>
      </w:r>
    </w:p>
    <w:p w14:paraId="568FB1B6" w14:textId="61A1889A" w:rsidR="00F64776" w:rsidRDefault="00F64776" w:rsidP="00F64776">
      <w:pPr>
        <w:pStyle w:val="TextoNormal"/>
      </w:pPr>
    </w:p>
    <w:p w14:paraId="15E5F922" w14:textId="77777777" w:rsidR="00F64776" w:rsidRDefault="00F64776" w:rsidP="00F64776">
      <w:pPr>
        <w:pStyle w:val="TextoNormalCentrado"/>
      </w:pPr>
      <w:r>
        <w:t>ACUERDA</w:t>
      </w:r>
    </w:p>
    <w:p w14:paraId="6ABE304C" w14:textId="1D4FB52B" w:rsidR="00F64776" w:rsidRDefault="00F64776" w:rsidP="00F64776">
      <w:pPr>
        <w:pStyle w:val="TextoNormalCentrado"/>
      </w:pPr>
    </w:p>
    <w:p w14:paraId="3BCEE7D5" w14:textId="0BA0B877" w:rsidR="00F64776" w:rsidRDefault="00F64776" w:rsidP="00F64776">
      <w:pPr>
        <w:pStyle w:val="TextoNormal"/>
      </w:pPr>
      <w:r>
        <w:t>La suspensión cautelar solicitada del procedimiento de ejecución hipotecaria núm. 629-2015, seguido en el Juzgado de Primera Instancia e Instrucción núm. 5 de El Puerto de Santa María.</w:t>
      </w:r>
    </w:p>
    <w:p w14:paraId="0D21C0D2" w14:textId="77777777" w:rsidR="00F64776" w:rsidRDefault="00F64776" w:rsidP="00F64776">
      <w:pPr>
        <w:pStyle w:val="TextoNormal"/>
      </w:pPr>
    </w:p>
    <w:p w14:paraId="6DB44EB4" w14:textId="77777777" w:rsidR="00F64776" w:rsidRDefault="00F64776" w:rsidP="00F64776">
      <w:pPr>
        <w:pStyle w:val="TextoNormal"/>
      </w:pPr>
      <w:r>
        <w:t>Madrid, a veinte de noviembre de dos mil veintitrés.</w:t>
      </w:r>
    </w:p>
    <w:p w14:paraId="57E361B1" w14:textId="4927A575" w:rsidR="00F64776" w:rsidRDefault="00F64776">
      <w:pPr>
        <w:spacing w:after="160" w:line="278" w:lineRule="auto"/>
        <w:rPr>
          <w:rFonts w:ascii="Times New Roman" w:eastAsia="Times New Roman" w:hAnsi="Times New Roman" w:cs="Times New Roman"/>
          <w:sz w:val="24"/>
          <w:szCs w:val="24"/>
          <w:lang w:eastAsia="es-ES"/>
        </w:rPr>
      </w:pPr>
      <w:r>
        <w:br w:type="page"/>
      </w:r>
    </w:p>
    <w:p w14:paraId="597A33CF" w14:textId="77777777" w:rsidR="00F64776" w:rsidRDefault="00F64776" w:rsidP="00F64776">
      <w:pPr>
        <w:pStyle w:val="TtuloResolucin"/>
      </w:pPr>
      <w:bookmarkStart w:id="386" w:name="AUTO_2023_601"/>
      <w:r>
        <w:t>AUTO 601/2023, de 20 de noviembre de 2023</w:t>
      </w:r>
    </w:p>
    <w:bookmarkEnd w:id="386"/>
    <w:p w14:paraId="757A27D2" w14:textId="77777777" w:rsidR="00F64776" w:rsidRDefault="00F64776" w:rsidP="00F64776">
      <w:pPr>
        <w:pStyle w:val="TtuloResolucin"/>
      </w:pPr>
      <w:r>
        <w:t>Sala Segunda</w:t>
      </w:r>
    </w:p>
    <w:p w14:paraId="44B2CB8D" w14:textId="77777777" w:rsidR="00F64776" w:rsidRDefault="00F64776" w:rsidP="00F64776">
      <w:pPr>
        <w:pStyle w:val="TextoNormalCentrado"/>
      </w:pPr>
      <w:r>
        <w:t>ECLI:ES:TC:2023:601A</w:t>
      </w:r>
    </w:p>
    <w:p w14:paraId="179D182D" w14:textId="00B54208" w:rsidR="00F64776" w:rsidRDefault="00F64776" w:rsidP="00F64776">
      <w:pPr>
        <w:pStyle w:val="TextoNormalCentrado"/>
      </w:pPr>
    </w:p>
    <w:p w14:paraId="301C9E56" w14:textId="77777777" w:rsidR="00F64776" w:rsidRDefault="00F64776" w:rsidP="00F64776">
      <w:pPr>
        <w:pStyle w:val="SntesisDescriptiva"/>
      </w:pPr>
      <w:r>
        <w:t>Excms. Srs. doña Inmaculada Montalbán Huertas, doña María Luisa Balaguer Callejón, don Ramón Sáez Valcárcel, don Enrique Arnaldo Alcubilla, don César Tolosa Tribiño y doña Laura Díez Bueso.</w:t>
      </w:r>
    </w:p>
    <w:p w14:paraId="51505565" w14:textId="11E8EEC4" w:rsidR="00F64776" w:rsidRDefault="00F64776" w:rsidP="00F64776">
      <w:pPr>
        <w:pStyle w:val="SntesisDescriptiva"/>
      </w:pPr>
    </w:p>
    <w:p w14:paraId="2A7CADE1" w14:textId="77777777" w:rsidR="00F64776" w:rsidRDefault="00F64776" w:rsidP="00F64776">
      <w:pPr>
        <w:pStyle w:val="SntesisDescriptiva"/>
      </w:pPr>
      <w:r>
        <w:t>Deniega la suspensión y ordena la anotación preventiva de la demanda en el recurso de amparo 1762-2023, promovido por don Ernesto Gallego Sánchez en procedimiento hipotecario.</w:t>
      </w:r>
    </w:p>
    <w:p w14:paraId="1AF10865" w14:textId="2BDBCE0E" w:rsidR="00F64776" w:rsidRDefault="00F64776" w:rsidP="00F64776">
      <w:pPr>
        <w:pStyle w:val="SntesisDescriptiva"/>
      </w:pPr>
    </w:p>
    <w:p w14:paraId="5AACF56D" w14:textId="77777777" w:rsidR="00F64776" w:rsidRDefault="00F64776" w:rsidP="00F64776">
      <w:pPr>
        <w:pStyle w:val="SntesisDescriptiva"/>
      </w:pPr>
    </w:p>
    <w:p w14:paraId="785BFEFA" w14:textId="77777777" w:rsidR="00F64776" w:rsidRDefault="00F64776" w:rsidP="00F64776">
      <w:pPr>
        <w:pStyle w:val="SntesisDescriptiva"/>
      </w:pPr>
    </w:p>
    <w:p w14:paraId="36C74F66" w14:textId="77777777" w:rsidR="00F64776" w:rsidRDefault="00F64776" w:rsidP="00F64776">
      <w:pPr>
        <w:pStyle w:val="TextoNormalNegritaCentrado"/>
      </w:pPr>
      <w:r>
        <w:t>AUTO</w:t>
      </w:r>
    </w:p>
    <w:p w14:paraId="10BB5639" w14:textId="7DE78ADE" w:rsidR="00F64776" w:rsidRDefault="00F64776" w:rsidP="00F64776">
      <w:pPr>
        <w:pStyle w:val="TextoNormalNegritaCentrado"/>
      </w:pPr>
    </w:p>
    <w:p w14:paraId="448CE001" w14:textId="77777777" w:rsidR="00F64776" w:rsidRDefault="00F64776" w:rsidP="00F64776">
      <w:pPr>
        <w:pStyle w:val="TextoNormalNegritaCentrado"/>
        <w:keepNext/>
      </w:pPr>
      <w:r>
        <w:t>I. Antecedentes</w:t>
      </w:r>
    </w:p>
    <w:p w14:paraId="37B24A96" w14:textId="4DE425D9" w:rsidR="00F64776" w:rsidRDefault="00F64776" w:rsidP="00F64776">
      <w:pPr>
        <w:pStyle w:val="TextoNormalNegritaCentrado"/>
        <w:keepNext/>
      </w:pPr>
    </w:p>
    <w:p w14:paraId="3FD2BB74" w14:textId="77777777" w:rsidR="00F64776" w:rsidRDefault="00F64776" w:rsidP="00F64776">
      <w:pPr>
        <w:pStyle w:val="TextoNormal"/>
      </w:pPr>
      <w:r w:rsidRPr="00F64776">
        <w:rPr>
          <w:rStyle w:val="NumeroAFNegritaCaracter"/>
        </w:rPr>
        <w:t>1</w:t>
      </w:r>
      <w:r>
        <w:t>. Por escrito registrado en este tribunal el 16 de marzo de 2023, el procurador de los tribunales don Jacobo García García, en nombre y representación de don Ernesto Gallego Sánchez, con asistencia letrada de don Emilio Zurro Fuente, interpuso recurso de amparo contra la providencia de 6 de febrero de 2023 del Juzgado de Primera Instancia e Instrucción núm. 6 de Coslada, dictada en el procedimiento de ejecución hipotecaria núm. 602-2011, por la que se inadmite el recurso de revisión interpuesto contra el decreto de 2 de febrero de 2023, y contra la providencia dictada por el mismo juzgado el 22 de febrero de 2023, por la que se inadmite el incidente de nulidad interpuesto contra la anterior. Se alega en la demanda de amparo la vulneración del derecho a la tutela judicial efectiva (art. 24.1 CE), por haber sido privado el recurrente de su derecho a la revisión de las resoluciones de los letrados de la administración de justicia.</w:t>
      </w:r>
    </w:p>
    <w:p w14:paraId="28E6802D" w14:textId="77777777" w:rsidR="00F64776" w:rsidRDefault="00F64776" w:rsidP="00F64776">
      <w:pPr>
        <w:pStyle w:val="TextoNormal"/>
      </w:pPr>
    </w:p>
    <w:p w14:paraId="4F52546E" w14:textId="1E3D94A9" w:rsidR="00F64776" w:rsidRDefault="00F64776" w:rsidP="00F64776">
      <w:pPr>
        <w:pStyle w:val="TextoNormal"/>
      </w:pPr>
      <w:r>
        <w:t>En la demanda de amparo se solicita por medio de otrosí la suspensión cautelar del procedimiento de ejecución hipotecaria.</w:t>
      </w:r>
    </w:p>
    <w:p w14:paraId="420BCA4F" w14:textId="77777777" w:rsidR="00F64776" w:rsidRDefault="00F64776" w:rsidP="00F64776">
      <w:pPr>
        <w:pStyle w:val="TextoNormal"/>
      </w:pPr>
    </w:p>
    <w:p w14:paraId="21396291" w14:textId="77777777" w:rsidR="00F64776" w:rsidRDefault="00F64776" w:rsidP="00F64776">
      <w:pPr>
        <w:pStyle w:val="TextoNormal"/>
      </w:pPr>
      <w:r w:rsidRPr="00F64776">
        <w:rPr>
          <w:rStyle w:val="NumeroAFNegritaCaracter"/>
        </w:rPr>
        <w:t>2</w:t>
      </w:r>
      <w:r>
        <w:t>. Los hechos referidos en la demanda de amparo que resultan relevantes para resolver la pretensión cautelar interesada son los siguientes:</w:t>
      </w:r>
    </w:p>
    <w:p w14:paraId="2414348F" w14:textId="77777777" w:rsidR="00F64776" w:rsidRDefault="00F64776" w:rsidP="00F64776">
      <w:pPr>
        <w:pStyle w:val="TextoNormal"/>
      </w:pPr>
    </w:p>
    <w:p w14:paraId="7031C0CF" w14:textId="77777777" w:rsidR="00F64776" w:rsidRDefault="00F64776" w:rsidP="00F64776">
      <w:pPr>
        <w:pStyle w:val="TextoNormal"/>
      </w:pPr>
      <w:r>
        <w:t>a) En el Juzgado de Primera Instancia e Instrucción núm. 6 de Coslada se sigue contra el recurrente el procedimiento de ejecución hipotecaria núm. 602-2011. Concluido este, el recurrente presentó escrito solicitando la suspensión del lanzamiento de conformidad con el art. 1 de la Ley 1/2013, de 14 de mayo (suspensión de los lanzamientos sobre viviendas habituales de colectivos especialmente vulnerables), lo que fue denegado por el juzgado por auto de 13 de abril de 2021, confirmado en reposición por auto de 11 de junio de 2021, porque el préstamo hipotecario que se ejecuta no se concedió para la adquisición de la vivienda sobre la que se lleva a cabo el lanzamiento, por lo que no se cumple uno de los requisitos establecidos por el citado precepto legal para apreciar la situación de especial vulnerabilidad que se erige en presupuesto de la suspensión.</w:t>
      </w:r>
    </w:p>
    <w:p w14:paraId="11C7F346" w14:textId="77777777" w:rsidR="00F64776" w:rsidRDefault="00F64776" w:rsidP="00F64776">
      <w:pPr>
        <w:pStyle w:val="TextoNormal"/>
      </w:pPr>
    </w:p>
    <w:p w14:paraId="6D5048AE" w14:textId="77777777" w:rsidR="00F64776" w:rsidRDefault="00F64776" w:rsidP="00F64776">
      <w:pPr>
        <w:pStyle w:val="TextoNormal"/>
      </w:pPr>
      <w:r>
        <w:t>b) Por diligencia de ordenación de 1 de diciembre de 2022, el letrado de la administración de justicia del referido juzgado señaló el día 7 de febrero de 2023 para proceder al lanzamiento de la vivienda, sita en el municipio de Coslada (lanzamiento que quedó suspendido, al hallar la comisión judicial terceros ocupantes en la vivienda).</w:t>
      </w:r>
    </w:p>
    <w:p w14:paraId="1168FBD9" w14:textId="77777777" w:rsidR="00F64776" w:rsidRDefault="00F64776" w:rsidP="00F64776">
      <w:pPr>
        <w:pStyle w:val="TextoNormal"/>
      </w:pPr>
    </w:p>
    <w:p w14:paraId="14DF46C4" w14:textId="77777777" w:rsidR="00F64776" w:rsidRDefault="00F64776" w:rsidP="00F64776">
      <w:pPr>
        <w:pStyle w:val="TextoNormal"/>
      </w:pPr>
      <w:r>
        <w:t>Contra esta diligencia interpuso el recurrente recurso de reposición, que fue desestimado por decreto de 2 de febrero de 2023, descartando las infracciones alegadas en el recurso, referidas a la infracción del art. 661 de la Ley de enjuiciamiento civil (LEC) por falta de comunicación a terceros que habitan en la vivienda; del art. 675 LEC, por inadecuación de procedimiento; y del art. 1 del Real Decreto-ley 11/2022, de 25 de junio, que modifica el Real Decreto-ley 11/2020, de 31 de marzo, por no haber procedido a la notificación del procedimiento a los servicios sociales del Ayuntamiento de Coslada.</w:t>
      </w:r>
    </w:p>
    <w:p w14:paraId="2AC71404" w14:textId="77777777" w:rsidR="00F64776" w:rsidRDefault="00F64776" w:rsidP="00F64776">
      <w:pPr>
        <w:pStyle w:val="TextoNormal"/>
      </w:pPr>
    </w:p>
    <w:p w14:paraId="0E8AF095" w14:textId="77777777" w:rsidR="00F64776" w:rsidRDefault="00F64776" w:rsidP="00F64776">
      <w:pPr>
        <w:pStyle w:val="TextoNormal"/>
      </w:pPr>
      <w:r>
        <w:t xml:space="preserve">c) Contra el referido decreto de 2 de febrero de 2023 interpuso el recurrente recurso de revisión, que fue inadmitido por providencia de 6 de febrero de 2023, por entender el órgano judicial que la resolución impugnada no es susceptible de ser recurrida en revisión conforme a lo previsto en el art. 454 </w:t>
      </w:r>
      <w:r w:rsidRPr="00F64776">
        <w:rPr>
          <w:i/>
        </w:rPr>
        <w:t>bis</w:t>
      </w:r>
      <w:r>
        <w:t xml:space="preserve"> LEC.</w:t>
      </w:r>
    </w:p>
    <w:p w14:paraId="3AF1272B" w14:textId="77777777" w:rsidR="00F64776" w:rsidRDefault="00F64776" w:rsidP="00F64776">
      <w:pPr>
        <w:pStyle w:val="TextoNormal"/>
      </w:pPr>
    </w:p>
    <w:p w14:paraId="0BDE3AA2" w14:textId="77777777" w:rsidR="00F64776" w:rsidRDefault="00F64776" w:rsidP="00F64776">
      <w:pPr>
        <w:pStyle w:val="TextoNormal"/>
      </w:pPr>
      <w:r>
        <w:t xml:space="preserve">d) Contra dicha providencia el recurrente presentó incidente de nulidad de actuaciones en el que invocaba la STC 15/2020, de 28 de enero, que declaró inconstitucional y nulo el art. 454 </w:t>
      </w:r>
      <w:r w:rsidRPr="00F64776">
        <w:rPr>
          <w:i/>
        </w:rPr>
        <w:t>bis</w:t>
      </w:r>
      <w:r>
        <w:t>.1, párrafo primero, LEC por vulnerar el derecho a la tutela judicial efectiva sin indefensión (art. 24.1 CE), porque establecía un régimen de impugnación de las decisiones de los letrados de la administración de justicia que generaba un espacio inmune al control jurisdiccional; precisó, además, que en tanto que el legislador no se pronunciase al respecto, el recurso judicial procedente frente al decreto del letrado de la administración de justicia que resuelva el recurso de reposición ha de ser el recurso directo de revisión al que se refiere el propio art. 454</w:t>
      </w:r>
      <w:r w:rsidRPr="00F64776">
        <w:rPr>
          <w:i/>
        </w:rPr>
        <w:t xml:space="preserve"> bi</w:t>
      </w:r>
      <w:r>
        <w:t>s LEC.</w:t>
      </w:r>
    </w:p>
    <w:p w14:paraId="1B9E9373" w14:textId="77777777" w:rsidR="00F64776" w:rsidRDefault="00F64776" w:rsidP="00F64776">
      <w:pPr>
        <w:pStyle w:val="TextoNormal"/>
      </w:pPr>
    </w:p>
    <w:p w14:paraId="5FA34C13" w14:textId="594A2150" w:rsidR="00F64776" w:rsidRDefault="00F64776" w:rsidP="00F64776">
      <w:pPr>
        <w:pStyle w:val="TextoNormal"/>
      </w:pPr>
      <w:r>
        <w:t>e) El incidente de nulidad fue inadmitido a trámite por providencia de 22 de febrero de 2023, sin dar respuesta a los motivos de nulidad alegados por el recurrente.</w:t>
      </w:r>
    </w:p>
    <w:p w14:paraId="1A3637D0" w14:textId="77777777" w:rsidR="00F64776" w:rsidRDefault="00F64776" w:rsidP="00F64776">
      <w:pPr>
        <w:pStyle w:val="TextoNormal"/>
      </w:pPr>
    </w:p>
    <w:p w14:paraId="5A6D0E90" w14:textId="77777777" w:rsidR="00F64776" w:rsidRDefault="00F64776" w:rsidP="00F64776">
      <w:pPr>
        <w:pStyle w:val="TextoNormal"/>
      </w:pPr>
      <w:r w:rsidRPr="00F64776">
        <w:rPr>
          <w:rStyle w:val="NumeroAFNegritaCaracter"/>
        </w:rPr>
        <w:t>3</w:t>
      </w:r>
      <w:r>
        <w:t>. La Sección Cuarta del Tribunal Constitucional admitió a trámite el recurso mediante providencia de 25 de septiembre de 2023, apreciando en el mismo especial trascendencia constitucional [art. 50.1 de la Ley Orgánica del Tribunal Constitucional (LOTC)] porque el órgano judicial pudiera haber incurrido en una negativa manifiesta del deber de acatar la doctrina de este tribunal [STC 155/2009, de 25 de junio, FJ 2 a)]. Se ordenó asimismo formar la oportuna pieza separada de suspensión.</w:t>
      </w:r>
    </w:p>
    <w:p w14:paraId="0B739497" w14:textId="77777777" w:rsidR="00F64776" w:rsidRDefault="00F64776" w:rsidP="00F64776">
      <w:pPr>
        <w:pStyle w:val="TextoNormal"/>
      </w:pPr>
    </w:p>
    <w:p w14:paraId="23B1675F" w14:textId="71CF390B" w:rsidR="00F64776" w:rsidRDefault="00F64776" w:rsidP="00F64776">
      <w:pPr>
        <w:pStyle w:val="TextoNormal"/>
      </w:pPr>
      <w:r>
        <w:t>Por providencia de la misma fecha se acordó, de conformidad con lo previsto en el art. 56 LOTC, conceder un plazo común de tres días al Ministerio Fiscal y al solicitante de amparo para que alegasen lo que estimaren pertinente en relación con la petición de suspensión.</w:t>
      </w:r>
    </w:p>
    <w:p w14:paraId="78193035" w14:textId="77777777" w:rsidR="00F64776" w:rsidRDefault="00F64776" w:rsidP="00F64776">
      <w:pPr>
        <w:pStyle w:val="TextoNormal"/>
      </w:pPr>
    </w:p>
    <w:p w14:paraId="40C24252" w14:textId="1ABC7A4D" w:rsidR="00F64776" w:rsidRDefault="00F64776" w:rsidP="00F64776">
      <w:pPr>
        <w:pStyle w:val="TextoNormal"/>
      </w:pPr>
      <w:r w:rsidRPr="00F64776">
        <w:rPr>
          <w:rStyle w:val="NumeroAFNegritaCaracter"/>
        </w:rPr>
        <w:t>4</w:t>
      </w:r>
      <w:r>
        <w:t>. Por la representación procesal del recurrente se presentó escrito el 2 de octubre de 2023 reiterando la solicitud de suspensión del procedimiento hipotecario hasta la resolución del presente recurso de amparo. Razona en tal sentido que, de no accederse a la suspensión interesada, se le ocasionaría un daño irreparable, dado que lo que está en juego es el lanzamiento de su vivienda habitual, perdiendo el amparo su finalidad si llega a ejecutarse el lanzamiento antes de que el recurso de amparo sea resuelto por este tribunal, sin que, por el contrario, la suspensión depare perjuicio irreparable al ejecutante hipotecario, por ser este un fondo inmobiliario.</w:t>
      </w:r>
    </w:p>
    <w:p w14:paraId="38CE0082" w14:textId="77777777" w:rsidR="00F64776" w:rsidRDefault="00F64776" w:rsidP="00F64776">
      <w:pPr>
        <w:pStyle w:val="TextoNormal"/>
      </w:pPr>
    </w:p>
    <w:p w14:paraId="6F0842ED" w14:textId="3004A05F" w:rsidR="00F64776" w:rsidRDefault="00F64776" w:rsidP="00F64776">
      <w:pPr>
        <w:pStyle w:val="TextoNormal"/>
      </w:pPr>
      <w:r w:rsidRPr="00F64776">
        <w:rPr>
          <w:rStyle w:val="NumeroAFNegritaCaracter"/>
        </w:rPr>
        <w:t>5</w:t>
      </w:r>
      <w:r>
        <w:t>. El Ministerio Fiscal presentó su escrito de alegaciones el 10 de octubre de 2023, en el que, tras exponer los antecedentes del caso y compendiar la doctrina constitucional que estimó de aplicación, concluye que procede acceder a la medida cautelar interesada por el recurrente, ya que, en caso contrario, la privación de la posesión de su vivienda habitual le abocaría a una situación difícilmente reversible, que haría perder al recurso de amparo su finalidad. Además, advierte que el otorgamiento de la suspensión no originaría una perturbación grave a un interés constitucionalmente protegido o a los derechos fundamentales o libertades públicas de un tercero.</w:t>
      </w:r>
    </w:p>
    <w:p w14:paraId="72CF5C37" w14:textId="77777777" w:rsidR="00F64776" w:rsidRDefault="00F64776" w:rsidP="00F64776">
      <w:pPr>
        <w:pStyle w:val="TextoNormal"/>
      </w:pPr>
    </w:p>
    <w:p w14:paraId="41F314FC" w14:textId="77777777" w:rsidR="00F64776" w:rsidRDefault="00F64776" w:rsidP="00F64776">
      <w:pPr>
        <w:pStyle w:val="TextoNormalNegritaCentrado"/>
        <w:keepNext/>
      </w:pPr>
      <w:r>
        <w:t>II. Fundamentos jurídicos</w:t>
      </w:r>
    </w:p>
    <w:p w14:paraId="7733B068" w14:textId="15037D85" w:rsidR="00F64776" w:rsidRDefault="00F64776" w:rsidP="00F64776">
      <w:pPr>
        <w:pStyle w:val="TextoNormalNegritaCentrado"/>
        <w:keepNext/>
      </w:pPr>
    </w:p>
    <w:p w14:paraId="0D6A359D" w14:textId="57D11B13" w:rsidR="00F64776" w:rsidRDefault="00F64776" w:rsidP="00F64776">
      <w:pPr>
        <w:pStyle w:val="TextoNormal"/>
      </w:pPr>
      <w:r w:rsidRPr="00F64776">
        <w:rPr>
          <w:rStyle w:val="NumeroAFNegritaCaracter"/>
        </w:rPr>
        <w:t>1</w:t>
      </w:r>
      <w:r>
        <w:t>. En el presente recurso de amparo, interpuesto contra las resoluciones indicadas en los antecedentes de este auto, se ha solicitado por el recurrente la suspensión del procedimiento de ejecución hipotecaria durante la sustanciación del proceso constitucional, a fin de evitarle daños y perjuicios de imposible o difícil reparación en caso de que el amparo le fuera otorgado. El Ministerio Fiscal interesa que se otorgue la medida cautelar de suspensión solicitada.</w:t>
      </w:r>
    </w:p>
    <w:p w14:paraId="3FECEA99" w14:textId="77777777" w:rsidR="00F64776" w:rsidRDefault="00F64776" w:rsidP="00F64776">
      <w:pPr>
        <w:pStyle w:val="TextoNormal"/>
      </w:pPr>
    </w:p>
    <w:p w14:paraId="2D4E4051" w14:textId="77777777" w:rsidR="00F64776" w:rsidRDefault="00F64776" w:rsidP="00F64776">
      <w:pPr>
        <w:pStyle w:val="TextoNormal"/>
      </w:pPr>
      <w:r w:rsidRPr="00F64776">
        <w:rPr>
          <w:rStyle w:val="NumeroAFNegritaCaracter"/>
        </w:rPr>
        <w:t>2</w:t>
      </w:r>
      <w:r>
        <w:t>. El artículo 56.2 LOTC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14:paraId="3D7DCD00" w14:textId="77777777" w:rsidR="00F64776" w:rsidRDefault="00F64776" w:rsidP="00F64776">
      <w:pPr>
        <w:pStyle w:val="TextoNormal"/>
      </w:pPr>
    </w:p>
    <w:p w14:paraId="7560B1EE" w14:textId="3F79FB99" w:rsidR="00F64776" w:rsidRDefault="00F64776" w:rsidP="00F64776">
      <w:pPr>
        <w:pStyle w:val="TextoNormal"/>
      </w:pPr>
      <w:r>
        <w:t>Esta previsión ha determinado que el Tribunal haya considerado que la suspensión se configura como una medida provisional de carácter excepcional y de aplicación restrictiva, dado el interés general en la efectividad de las decisiones de los poderes públicos y, en particular, en la ejecución de las resoluciones dictadas por jueces y tribunales en el ejercicio de la potestad jurisdiccional que les confiere el art. 117.3 CE; por lo que la regla general es la improcedencia de la suspensión de las resoluciones judiciales, por la perturbación de la función jurisdiccional que la misma supone, salvo en los casos en los que se acredite de forma fehaciente tanto el carácter irreparable del perjuicio para los derechos fundamentales como la pérdida de la finalidad del amparo en caso de mantenerse la ejecución de la resolución (así, AATC 139/2020, de 16 de noviembre, FJ 2, y 103/2021, de 13 de diciembre, FJ 2).</w:t>
      </w:r>
    </w:p>
    <w:p w14:paraId="714558B2" w14:textId="77777777" w:rsidR="00F64776" w:rsidRDefault="00F64776" w:rsidP="00F64776">
      <w:pPr>
        <w:pStyle w:val="TextoNormal"/>
      </w:pPr>
    </w:p>
    <w:p w14:paraId="66C8F74A" w14:textId="77777777" w:rsidR="00F64776" w:rsidRDefault="00F64776" w:rsidP="00F64776">
      <w:pPr>
        <w:pStyle w:val="TextoNormal"/>
      </w:pPr>
      <w:r w:rsidRPr="00F64776">
        <w:rPr>
          <w:rStyle w:val="NumeroAFNegritaCaracter"/>
        </w:rPr>
        <w:t>3</w:t>
      </w:r>
      <w:r>
        <w:t>. La jurisprudencia constitucional ha admitido asimismo de forma reiterada —entre otros muchos, en los AATC 74/2013, de 8 de abril, FJ 2; 152/2013, de 8 de julio, FJ 2; 37/2014, de 10 de febrero, FJ 2; 59/2015, de 16 de marzo, FJ 2; 48/2016, de 29 de febrero, FJ 2; 106/2017, de 17 de julio, FJ 1; 21/2018, de 5 de marzo, FJ 3, y 119/2022, de 26 de septiembre, FJ 2—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aquellos, con la consiguiente consolidación de una posición jurídicamente inatacable o de muy difícil y costoso restablecimiento”.</w:t>
      </w:r>
    </w:p>
    <w:p w14:paraId="5EBEC5ED" w14:textId="77777777" w:rsidR="00F64776" w:rsidRDefault="00F64776" w:rsidP="00F64776">
      <w:pPr>
        <w:pStyle w:val="TextoNormal"/>
      </w:pPr>
    </w:p>
    <w:p w14:paraId="24927585" w14:textId="5C1AC840" w:rsidR="00F64776" w:rsidRDefault="00F64776" w:rsidP="00F64776">
      <w:pPr>
        <w:pStyle w:val="TextoNormal"/>
      </w:pPr>
      <w:r>
        <w:t>Sin embargo, también se ha reiterado por este tribunal, como recuerda el ATC 48/2022, de 7 de marzo, FJ 2, que no resulta procedente la suspensión solicitada de un eventual e hipotético lanzamiento cuando la petición se apoya en una posibilidad de futuro, pero no concurre un riesgo cierto, como sucede cuando no se ha celebrado todavía la subasta (AATC 75/2019, de 15 de julio, FJ 3, y 85/2019, de 15 de julio, FJ 3); cuando, aun celebrada la subasta, no se ha producido la adjudicación de la vivienda a favor del acreedor (ATC 164/2020, de 14 de diciembre, FJ 3); y cuando, como ocurre en el presente caso, la suspensión del lanzamiento ha sido acordada en la propia vía judicial (AATC 50/2015, de 2 de marzo, FJ 2, y 136/2020, de 16 de noviembre, FJ 3) o está de hecho suspendida (ATC 98/2019, de 16 de septiembre, FJ 3). Esto no impide que, en el supuesto de que el órgano judicial acordara de manera efectiva el lanzamiento, el demandante de amparo pueda acudir de nuevo ante este tribunal solicitando la modificación de la decisión de denegación conforme a lo previsto en el art. 57 LOTC (así, ATC 164/2020, de 14 de diciembre, FJ 3).</w:t>
      </w:r>
    </w:p>
    <w:p w14:paraId="17306792" w14:textId="77777777" w:rsidR="00F64776" w:rsidRDefault="00F64776" w:rsidP="00F64776">
      <w:pPr>
        <w:pStyle w:val="TextoNormal"/>
      </w:pPr>
    </w:p>
    <w:p w14:paraId="5BB5806B" w14:textId="77777777" w:rsidR="00F64776" w:rsidRDefault="00F64776" w:rsidP="00F64776">
      <w:pPr>
        <w:pStyle w:val="TextoNormal"/>
      </w:pPr>
      <w:r w:rsidRPr="00F64776">
        <w:rPr>
          <w:rStyle w:val="NumeroAFNegritaCaracter"/>
        </w:rPr>
        <w:t>4</w:t>
      </w:r>
      <w:r>
        <w:t>. La aplicación de la citada jurisprudencia constitucional al presente caso permite concluir que resulta improcedente decretar la suspensión solicitada con fundamento en el perjuicio derivado de un eventual lanzamiento de vivienda que, si bien ha sido acordado, ha quedado suspendido, según resulta del examen de las actuaciones, al haber sido hallados en la vivienda terceros ocupantes, por lo que el lanzamiento está suspendido en el momento actual.</w:t>
      </w:r>
    </w:p>
    <w:p w14:paraId="3FAC6C5C" w14:textId="77777777" w:rsidR="00F64776" w:rsidRDefault="00F64776" w:rsidP="00F64776">
      <w:pPr>
        <w:pStyle w:val="TextoNormal"/>
      </w:pPr>
    </w:p>
    <w:p w14:paraId="48CBF991" w14:textId="77777777" w:rsidR="00F64776" w:rsidRDefault="00F64776" w:rsidP="00F64776">
      <w:pPr>
        <w:pStyle w:val="TextoNormal"/>
      </w:pPr>
      <w:r>
        <w:t>Por otra parte, el recurrente, en su escrito de alegaciones en esta pieza separada de suspensión, presentado el 2 de octubre de 2023, no pone en ningún momento de manifiesto que la transmisión de la vivienda a un tercero se haya consumado, ni que esté pendiente una próxima fecha de lanzamiento, sino que simplemente insiste en solicitar la suspensión de las resoluciones impugnadas para evitar que una eventual ejecución del lanzamiento antes de la resolución del recurso de amparo haga perder a este su finalidad.</w:t>
      </w:r>
    </w:p>
    <w:p w14:paraId="1FFCCF1C" w14:textId="77777777" w:rsidR="00F64776" w:rsidRDefault="00F64776" w:rsidP="00F64776">
      <w:pPr>
        <w:pStyle w:val="TextoNormal"/>
      </w:pPr>
    </w:p>
    <w:p w14:paraId="657FFC6C" w14:textId="6CE723BE" w:rsidR="00F64776" w:rsidRDefault="00F64776" w:rsidP="00F64776">
      <w:pPr>
        <w:pStyle w:val="TextoNormal"/>
      </w:pPr>
      <w:r>
        <w:t>Por consiguiente, y sin prejuzgar la decisión de fondo del recurso, procede denegar la suspensión solicitada y acordar, de modo alternativo, la anotación preventiva de la demanda de amparo en el registro de la propiedad, en cuanto se reputa medida cautelar idónea para evitar el perjuicio derivado de que la adquisición del bien por tercero lo haga irreivindicable.</w:t>
      </w:r>
    </w:p>
    <w:p w14:paraId="5FBF48D2" w14:textId="77777777" w:rsidR="00F64776" w:rsidRDefault="00F64776" w:rsidP="00F64776">
      <w:pPr>
        <w:pStyle w:val="TextoNormal"/>
      </w:pPr>
    </w:p>
    <w:p w14:paraId="573135A7" w14:textId="77777777" w:rsidR="00F64776" w:rsidRDefault="00F64776" w:rsidP="00F64776">
      <w:pPr>
        <w:pStyle w:val="TextoNormal"/>
      </w:pPr>
      <w:r>
        <w:t>Por lo expuesto, la Sala</w:t>
      </w:r>
    </w:p>
    <w:p w14:paraId="2C898BD5" w14:textId="33C63D7A" w:rsidR="00F64776" w:rsidRDefault="00F64776" w:rsidP="00F64776">
      <w:pPr>
        <w:pStyle w:val="TextoNormal"/>
      </w:pPr>
    </w:p>
    <w:p w14:paraId="6704ACCF" w14:textId="77777777" w:rsidR="00F64776" w:rsidRDefault="00F64776" w:rsidP="00F64776">
      <w:pPr>
        <w:pStyle w:val="TextoNormalCentrado"/>
      </w:pPr>
      <w:r>
        <w:t>ACUERDA</w:t>
      </w:r>
    </w:p>
    <w:p w14:paraId="081EB759" w14:textId="1D6C83B0" w:rsidR="00F64776" w:rsidRDefault="00F64776" w:rsidP="00F64776">
      <w:pPr>
        <w:pStyle w:val="TextoNormalCentrado"/>
      </w:pPr>
    </w:p>
    <w:p w14:paraId="6967D18A" w14:textId="77777777" w:rsidR="00F64776" w:rsidRDefault="00F64776" w:rsidP="00F64776">
      <w:pPr>
        <w:pStyle w:val="TextoNormal"/>
      </w:pPr>
      <w:r>
        <w:t>1º Denegar la suspensión cautelar solicitada en el procedimiento de ejecución hipotecaria núm. 602-2011 del Juzgado de Primera Instancia e Instrucción núm. 6 de Coslada.</w:t>
      </w:r>
    </w:p>
    <w:p w14:paraId="483CFA7D" w14:textId="77777777" w:rsidR="00F64776" w:rsidRDefault="00F64776" w:rsidP="00F64776">
      <w:pPr>
        <w:pStyle w:val="TextoNormal"/>
      </w:pPr>
    </w:p>
    <w:p w14:paraId="620F010B" w14:textId="69F73EB6" w:rsidR="00F64776" w:rsidRDefault="00F64776" w:rsidP="00F64776">
      <w:pPr>
        <w:pStyle w:val="TextoNormal"/>
      </w:pPr>
      <w:r>
        <w:t>2º Ordenar la anotación preventiva de la demanda de amparo en el registro de la propiedad, a cuyo efecto el juzgado habrá de expedir el mandamiento oportuno, para que pueda practicarse la misma en relación con el inmueble sito en Coslada al que se refieren las presentes actuaciones.</w:t>
      </w:r>
    </w:p>
    <w:p w14:paraId="6D66A11A" w14:textId="77777777" w:rsidR="00F64776" w:rsidRDefault="00F64776" w:rsidP="00F64776">
      <w:pPr>
        <w:pStyle w:val="TextoNormal"/>
      </w:pPr>
    </w:p>
    <w:p w14:paraId="023096F1" w14:textId="77777777" w:rsidR="00F64776" w:rsidRDefault="00F64776" w:rsidP="00F64776">
      <w:pPr>
        <w:pStyle w:val="TextoNormal"/>
      </w:pPr>
      <w:r>
        <w:t>Madrid, a veinte de noviembre de dos mil veintitrés.</w:t>
      </w:r>
    </w:p>
    <w:p w14:paraId="38A89444" w14:textId="364CC301" w:rsidR="00F64776" w:rsidRDefault="00F64776">
      <w:pPr>
        <w:spacing w:after="160" w:line="278" w:lineRule="auto"/>
        <w:rPr>
          <w:rFonts w:ascii="Times New Roman" w:eastAsia="Times New Roman" w:hAnsi="Times New Roman" w:cs="Times New Roman"/>
          <w:sz w:val="24"/>
          <w:szCs w:val="24"/>
          <w:lang w:eastAsia="es-ES"/>
        </w:rPr>
      </w:pPr>
      <w:r>
        <w:br w:type="page"/>
      </w:r>
    </w:p>
    <w:p w14:paraId="2BB29D17" w14:textId="77777777" w:rsidR="00F64776" w:rsidRDefault="00F64776" w:rsidP="00F64776">
      <w:pPr>
        <w:pStyle w:val="TtuloResolucin"/>
      </w:pPr>
      <w:bookmarkStart w:id="387" w:name="AUTO_2023_602"/>
      <w:r>
        <w:t>AUTO 602/2023, de 21 de noviembre de 2023</w:t>
      </w:r>
    </w:p>
    <w:bookmarkEnd w:id="387"/>
    <w:p w14:paraId="630BFDA6" w14:textId="77777777" w:rsidR="00F64776" w:rsidRDefault="00F64776" w:rsidP="00F64776">
      <w:pPr>
        <w:pStyle w:val="TtuloResolucin"/>
      </w:pPr>
      <w:r>
        <w:t>Pleno</w:t>
      </w:r>
    </w:p>
    <w:p w14:paraId="605CE3A8" w14:textId="77777777" w:rsidR="00F64776" w:rsidRDefault="00F64776" w:rsidP="00F64776">
      <w:pPr>
        <w:pStyle w:val="TextoNormalCentrado"/>
      </w:pPr>
      <w:r>
        <w:t>ECLI:ES:TC:2023:602A</w:t>
      </w:r>
    </w:p>
    <w:p w14:paraId="7541B555" w14:textId="74D667E6" w:rsidR="00F64776" w:rsidRDefault="00F64776" w:rsidP="00F64776">
      <w:pPr>
        <w:pStyle w:val="TextoNormalCentrado"/>
      </w:pPr>
    </w:p>
    <w:p w14:paraId="5E59808D" w14:textId="77777777" w:rsidR="00F64776" w:rsidRDefault="00F64776" w:rsidP="00F64776">
      <w:pPr>
        <w:pStyle w:val="SntesisDescriptiva"/>
      </w:pPr>
      <w:r>
        <w:t>Excms. Srs. don Cándido Conde-Pumpido Tourón,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w:t>
      </w:r>
    </w:p>
    <w:p w14:paraId="677BE5B6" w14:textId="014C11F4" w:rsidR="00F64776" w:rsidRDefault="00F64776" w:rsidP="00F64776">
      <w:pPr>
        <w:pStyle w:val="SntesisDescriptiva"/>
      </w:pPr>
    </w:p>
    <w:p w14:paraId="39E9D9B6" w14:textId="77777777" w:rsidR="00F64776" w:rsidRDefault="00F64776" w:rsidP="00F64776">
      <w:pPr>
        <w:pStyle w:val="SntesisDescriptiva"/>
      </w:pPr>
      <w:r>
        <w:t>Acuerda el desistimiento en el conflicto positivo de competencia 3464-2023, planteado por el Gobierno Vasco en relación con la Orden HFP/55/2023, de 24 de enero, relativa al análisis sistemático del riesgo de conflicto de interés en los procedimientos que ejecutan el plan de recuperación, transformación y resiliencia.</w:t>
      </w:r>
    </w:p>
    <w:p w14:paraId="641F5179" w14:textId="3BE0CB73" w:rsidR="00F64776" w:rsidRDefault="00F64776" w:rsidP="00F64776">
      <w:pPr>
        <w:pStyle w:val="SntesisDescriptiva"/>
      </w:pPr>
    </w:p>
    <w:p w14:paraId="72FB437E" w14:textId="77777777" w:rsidR="00F64776" w:rsidRDefault="00F64776" w:rsidP="00F64776">
      <w:pPr>
        <w:pStyle w:val="SntesisDescriptiva"/>
      </w:pPr>
    </w:p>
    <w:p w14:paraId="723FAAC7" w14:textId="77777777" w:rsidR="00F64776" w:rsidRDefault="00F64776" w:rsidP="00F64776">
      <w:pPr>
        <w:pStyle w:val="SntesisDescriptiva"/>
      </w:pPr>
    </w:p>
    <w:p w14:paraId="3912CCCC" w14:textId="77777777" w:rsidR="00F64776" w:rsidRDefault="00F64776" w:rsidP="00F64776">
      <w:pPr>
        <w:pStyle w:val="TextoNormalNegritaCentrado"/>
      </w:pPr>
      <w:r>
        <w:t>AUTO</w:t>
      </w:r>
    </w:p>
    <w:p w14:paraId="07A6A9D4" w14:textId="1FCDE68F" w:rsidR="00F64776" w:rsidRDefault="00F64776" w:rsidP="00F64776">
      <w:pPr>
        <w:pStyle w:val="TextoNormalNegritaCentrado"/>
      </w:pPr>
    </w:p>
    <w:p w14:paraId="6495F66F" w14:textId="77777777" w:rsidR="00F64776" w:rsidRDefault="00F64776" w:rsidP="00F64776">
      <w:pPr>
        <w:pStyle w:val="TextoNormalNegritaCentrado"/>
        <w:keepNext/>
      </w:pPr>
      <w:r>
        <w:t>I. Antecedentes</w:t>
      </w:r>
    </w:p>
    <w:p w14:paraId="3F942A55" w14:textId="3228DC3E" w:rsidR="00F64776" w:rsidRDefault="00F64776" w:rsidP="00F64776">
      <w:pPr>
        <w:pStyle w:val="TextoNormalNegritaCentrado"/>
        <w:keepNext/>
      </w:pPr>
    </w:p>
    <w:p w14:paraId="574C4111" w14:textId="77777777" w:rsidR="00F64776" w:rsidRDefault="00F64776" w:rsidP="00F64776">
      <w:pPr>
        <w:pStyle w:val="TextoNormal"/>
      </w:pPr>
      <w:r w:rsidRPr="00F64776">
        <w:rPr>
          <w:rStyle w:val="NumeroAFNegritaCaracter"/>
        </w:rPr>
        <w:t>1</w:t>
      </w:r>
      <w:r>
        <w:t>. Mediante escrito presentado en el registro general de este Tribunal Constitucional el día 24 de mayo de 2023, el letrado de los servicios jurídicos centrales de la administración general de la Comunidad Autónoma del País Vasco, en la representación que ostenta del Consejo de Gobierno de dicha comunidad autónoma, promovió conflicto positivo de competencia en relación con la Orden HFP/55/2023, de 24 de enero, relativa al análisis sistemático del riesgo de conflicto de interés en los procedimientos que ejecutan el plan de recuperación, transformación y resiliencia.</w:t>
      </w:r>
    </w:p>
    <w:p w14:paraId="0EF5FE82" w14:textId="77777777" w:rsidR="00F64776" w:rsidRDefault="00F64776" w:rsidP="00F64776">
      <w:pPr>
        <w:pStyle w:val="TextoNormal"/>
      </w:pPr>
    </w:p>
    <w:p w14:paraId="1C29FFF4" w14:textId="1A3A305C" w:rsidR="00F64776" w:rsidRDefault="00F64776" w:rsidP="00F64776">
      <w:pPr>
        <w:pStyle w:val="TextoNormal"/>
      </w:pPr>
      <w:r>
        <w:t>Admitido a trámite el conflicto por providencia del Pleno de este tribunal de 4 de julio de 2023, adoptada a propuesta de la Sección Cuarta, el abogado del Estado formuló sus alegaciones mediante escrito registrado el 7 de agosto de 2023, en el que solicitó la íntegra desestimación del conflicto.</w:t>
      </w:r>
    </w:p>
    <w:p w14:paraId="3FB20117" w14:textId="77777777" w:rsidR="00F64776" w:rsidRDefault="00F64776" w:rsidP="00F64776">
      <w:pPr>
        <w:pStyle w:val="TextoNormal"/>
      </w:pPr>
    </w:p>
    <w:p w14:paraId="05329296" w14:textId="00900FA8" w:rsidR="00F64776" w:rsidRDefault="00F64776" w:rsidP="00F64776">
      <w:pPr>
        <w:pStyle w:val="TextoNormal"/>
      </w:pPr>
      <w:r w:rsidRPr="00F64776">
        <w:rPr>
          <w:rStyle w:val="NumeroAFNegritaCaracter"/>
        </w:rPr>
        <w:t>2</w:t>
      </w:r>
      <w:r>
        <w:t>. Por escrito registrado en este tribunal el 23 de octubre de 2023 el letrado de los servicios jurídicos centrales de la administración general de la Comunidad Autónoma del País Vasco trasladó a este tribunal la certificación del acuerdo adoptado por el Consejo de Gobierno de dicha comunidad autónoma, en sesión celebrada el 17 de octubre de 2023, por el que se desiste del conflicto positivo de competencia planteado en relación con la referida Orden HFP/55/2023, de 24 de enero, solicitando que se tenga por desistido al Gobierno Vasco en este conflicto positivo de competencia y, por este motivo, se acuerde la terminación del proceso constitucional.</w:t>
      </w:r>
    </w:p>
    <w:p w14:paraId="11B8E7CD" w14:textId="77777777" w:rsidR="00F64776" w:rsidRDefault="00F64776" w:rsidP="00F64776">
      <w:pPr>
        <w:pStyle w:val="TextoNormal"/>
      </w:pPr>
    </w:p>
    <w:p w14:paraId="335A8563" w14:textId="70F37674" w:rsidR="00F64776" w:rsidRDefault="00F64776" w:rsidP="00F64776">
      <w:pPr>
        <w:pStyle w:val="TextoNormal"/>
      </w:pPr>
      <w:r w:rsidRPr="00F64776">
        <w:rPr>
          <w:rStyle w:val="NumeroAFNegritaCaracter"/>
        </w:rPr>
        <w:t>3</w:t>
      </w:r>
      <w:r>
        <w:t>. Por diligencia de ordenación de 23 de octubre de 2023 se acordó incorporar a los autos el escrito presentado por la representación legal del Consejo de Gobierno del País Vasco y oír al abogado del Estado en relación con la solicitud de desistimiento formulada en dicho escrito.</w:t>
      </w:r>
    </w:p>
    <w:p w14:paraId="6E8DC65E" w14:textId="77777777" w:rsidR="00F64776" w:rsidRDefault="00F64776" w:rsidP="00F64776">
      <w:pPr>
        <w:pStyle w:val="TextoNormal"/>
      </w:pPr>
    </w:p>
    <w:p w14:paraId="2BEA6010" w14:textId="59740533" w:rsidR="00F64776" w:rsidRDefault="00F64776" w:rsidP="00F64776">
      <w:pPr>
        <w:pStyle w:val="TextoNormal"/>
      </w:pPr>
      <w:r w:rsidRPr="00F64776">
        <w:rPr>
          <w:rStyle w:val="NumeroAFNegritaCaracter"/>
        </w:rPr>
        <w:t>4</w:t>
      </w:r>
      <w:r>
        <w:t>. El 30 de octubre de 2023 el abogado del Estado presentó escrito manifestando que no se oponía a la eventual finalización del procedimiento por la solicitud de desistimiento formulada por el Consejo de Gobierno del País Vasco.</w:t>
      </w:r>
    </w:p>
    <w:p w14:paraId="1EE0AE98" w14:textId="77777777" w:rsidR="00F64776" w:rsidRDefault="00F64776" w:rsidP="00F64776">
      <w:pPr>
        <w:pStyle w:val="TextoNormal"/>
      </w:pPr>
    </w:p>
    <w:p w14:paraId="1007D909" w14:textId="77777777" w:rsidR="00F64776" w:rsidRDefault="00F64776" w:rsidP="00F64776">
      <w:pPr>
        <w:pStyle w:val="TextoNormalNegritaCentrado"/>
        <w:keepNext/>
      </w:pPr>
      <w:r>
        <w:t>II. Fundamentos jurídicos</w:t>
      </w:r>
    </w:p>
    <w:p w14:paraId="2D755DC9" w14:textId="0A9BA4A4" w:rsidR="00F64776" w:rsidRDefault="00F64776" w:rsidP="00F64776">
      <w:pPr>
        <w:pStyle w:val="TextoNormalNegritaCentrado"/>
        <w:keepNext/>
      </w:pPr>
    </w:p>
    <w:p w14:paraId="54B00A7D" w14:textId="77777777" w:rsidR="00F64776" w:rsidRDefault="00F64776" w:rsidP="00F64776">
      <w:pPr>
        <w:pStyle w:val="TextoNormal"/>
      </w:pPr>
      <w:r w:rsidRPr="00F64776">
        <w:rPr>
          <w:rStyle w:val="TextoNormalNegritaCaracter"/>
        </w:rPr>
        <w:t xml:space="preserve">Único. </w:t>
      </w:r>
      <w:r>
        <w:t>El desistimiento aparece contemplado como modo de terminación de los procesos constitucionales en el art. 86 de la Ley Orgánica del Tribunal Constitucional, cuyo art. 80 remite, a su vez, a la Ley de enjuiciamiento civil (LEC) para la regulación con carácter supletorio de este acto procesal (arts. 19.1 y 3 y 20.2 y 3 LEC), que puede ser parcial, cuando afecta a alguna de las pretensiones en caso de pluralidad del objeto, y total, cuando se refiere a todas o a la única pretensión (SSTC 96/1990, de 24 de mayo, FJ 1, y 237/1992, de 15 de diciembre, y AATC 33/1993, de 26 de enero, y 173/1997, de 20 de mayo). Así pues, en virtud de los citados preceptos puede estimarse como forma admitida para poner fin a un recurso de inconstitucionalidad o a un conflicto positivo de competencia, total o parcialmente, la manifestación de la voluntad de desistir, siempre que, según reiterada doctrina de este tribunal, no se advierta interés constitucional que justifique la prosecución del proceso hasta su finalización por sentencia (por todos, ATC 40/2014, de 11 de febrero).</w:t>
      </w:r>
    </w:p>
    <w:p w14:paraId="10980BD0" w14:textId="77777777" w:rsidR="00F64776" w:rsidRDefault="00F64776" w:rsidP="00F64776">
      <w:pPr>
        <w:pStyle w:val="TextoNormal"/>
      </w:pPr>
    </w:p>
    <w:p w14:paraId="65AA102A" w14:textId="7CB43EFB" w:rsidR="00F64776" w:rsidRDefault="00F64776" w:rsidP="00F64776">
      <w:pPr>
        <w:pStyle w:val="TextoNormal"/>
      </w:pPr>
      <w:r>
        <w:t>El letrado del Gobierno Vasco, debidamente autorizado al efecto, pide que se tenga al Consejo de Gobierno de dicha comunidad autónoma por desistido del presente conflicto positivo de competencias. El abogado del Estado no se opone a ello, sin que se advierta interés constitucional que aconseje la prosecución del conflicto hasta su finalización por sentencia, por lo que procede acceder a lo solicitado.</w:t>
      </w:r>
    </w:p>
    <w:p w14:paraId="3ADFA837" w14:textId="77777777" w:rsidR="00F64776" w:rsidRDefault="00F64776" w:rsidP="00F64776">
      <w:pPr>
        <w:pStyle w:val="TextoNormal"/>
      </w:pPr>
    </w:p>
    <w:p w14:paraId="517C3952" w14:textId="77777777" w:rsidR="00F64776" w:rsidRDefault="00F64776" w:rsidP="00F64776">
      <w:pPr>
        <w:pStyle w:val="TextoNormal"/>
      </w:pPr>
      <w:r>
        <w:t>Por lo expuesto, el Pleno</w:t>
      </w:r>
    </w:p>
    <w:p w14:paraId="4594996F" w14:textId="70CF083E" w:rsidR="00F64776" w:rsidRDefault="00F64776" w:rsidP="00F64776">
      <w:pPr>
        <w:pStyle w:val="TextoNormal"/>
      </w:pPr>
    </w:p>
    <w:p w14:paraId="34556CE9" w14:textId="77777777" w:rsidR="00F64776" w:rsidRDefault="00F64776" w:rsidP="00F64776">
      <w:pPr>
        <w:pStyle w:val="TextoNormalCentrado"/>
      </w:pPr>
      <w:r>
        <w:t>ACUERDA</w:t>
      </w:r>
    </w:p>
    <w:p w14:paraId="0DF8E73A" w14:textId="20CB5A57" w:rsidR="00F64776" w:rsidRDefault="00F64776" w:rsidP="00F64776">
      <w:pPr>
        <w:pStyle w:val="TextoNormalCentrado"/>
      </w:pPr>
    </w:p>
    <w:p w14:paraId="5EAD0C24" w14:textId="32FB2CD1" w:rsidR="00F64776" w:rsidRDefault="00F64776" w:rsidP="00F64776">
      <w:pPr>
        <w:pStyle w:val="TextoNormal"/>
      </w:pPr>
      <w:r>
        <w:t>Tener por desistido al letrado de los servicios jurídicos centrales de la administración general de la Comunidad Autónoma del País Vasco, en la representación que legalmente ostenta, del conflicto positivo de competencia planteado en relación con la Orden HFP/55/2023, de 24 de enero, relativa al análisis sistemático del riesgo de conflicto de interés en los procedimientos que ejecutan el plan de recuperación, transformación y resiliencia y, por tanto, declarar la extinción del proceso.</w:t>
      </w:r>
    </w:p>
    <w:p w14:paraId="5446507E" w14:textId="77777777" w:rsidR="00F64776" w:rsidRDefault="00F64776" w:rsidP="00F64776">
      <w:pPr>
        <w:pStyle w:val="TextoNormal"/>
      </w:pPr>
    </w:p>
    <w:p w14:paraId="460AB54D" w14:textId="77777777" w:rsidR="00F64776" w:rsidRDefault="00F64776" w:rsidP="00F64776">
      <w:pPr>
        <w:pStyle w:val="TextoNormal"/>
      </w:pPr>
      <w:r>
        <w:t>Madrid, a veintiuno de noviembre de dos mil veintitrés.</w:t>
      </w:r>
    </w:p>
    <w:p w14:paraId="00D1C79D" w14:textId="0AE3751B" w:rsidR="00F64776" w:rsidRDefault="00F64776">
      <w:pPr>
        <w:spacing w:after="160" w:line="278" w:lineRule="auto"/>
        <w:rPr>
          <w:rFonts w:ascii="Times New Roman" w:eastAsia="Times New Roman" w:hAnsi="Times New Roman" w:cs="Times New Roman"/>
          <w:sz w:val="24"/>
          <w:szCs w:val="24"/>
          <w:lang w:eastAsia="es-ES"/>
        </w:rPr>
      </w:pPr>
      <w:r>
        <w:br w:type="page"/>
      </w:r>
    </w:p>
    <w:p w14:paraId="2B56CEDE" w14:textId="77777777" w:rsidR="00F64776" w:rsidRDefault="00F64776" w:rsidP="00F64776">
      <w:pPr>
        <w:pStyle w:val="TtuloResolucin"/>
      </w:pPr>
      <w:bookmarkStart w:id="388" w:name="AUTO_2023_603"/>
      <w:r>
        <w:t>AUTO 603/2023, de 21 de noviembre de 2023</w:t>
      </w:r>
    </w:p>
    <w:bookmarkEnd w:id="388"/>
    <w:p w14:paraId="60E55272" w14:textId="77777777" w:rsidR="00F64776" w:rsidRDefault="00F64776" w:rsidP="00F64776">
      <w:pPr>
        <w:pStyle w:val="TtuloResolucin"/>
      </w:pPr>
      <w:r>
        <w:t>Pleno</w:t>
      </w:r>
    </w:p>
    <w:p w14:paraId="0694FFF5" w14:textId="77777777" w:rsidR="00F64776" w:rsidRDefault="00F64776" w:rsidP="00F64776">
      <w:pPr>
        <w:pStyle w:val="TextoNormalCentrado"/>
      </w:pPr>
      <w:r>
        <w:t>ECLI:ES:TC:2023:603A</w:t>
      </w:r>
    </w:p>
    <w:p w14:paraId="77B13124" w14:textId="63B735BA" w:rsidR="00F64776" w:rsidRDefault="00F64776" w:rsidP="00F64776">
      <w:pPr>
        <w:pStyle w:val="TextoNormalCentrado"/>
      </w:pPr>
    </w:p>
    <w:p w14:paraId="15771B55" w14:textId="77777777" w:rsidR="00F64776" w:rsidRDefault="00F64776" w:rsidP="00F64776">
      <w:pPr>
        <w:pStyle w:val="SntesisDescriptiva"/>
      </w:pPr>
      <w:r>
        <w:t>Excms. Srs. don Cándido Conde-Pumpido Tourón,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w:t>
      </w:r>
    </w:p>
    <w:p w14:paraId="34D33EBA" w14:textId="346157EE" w:rsidR="00F64776" w:rsidRDefault="00F64776" w:rsidP="00F64776">
      <w:pPr>
        <w:pStyle w:val="SntesisDescriptiva"/>
      </w:pPr>
    </w:p>
    <w:p w14:paraId="50A294AB" w14:textId="77777777" w:rsidR="00F64776" w:rsidRDefault="00F64776" w:rsidP="00F64776">
      <w:pPr>
        <w:pStyle w:val="SntesisDescriptiva"/>
      </w:pPr>
      <w:r>
        <w:t>Inadmite a trámite la cuestión de inconstitucionalidad 3866-2023, planteada por el Juzgado de lo Contencioso-Administrativo núm. 5 de Barcelona en relación con el artículo 57.1 de la Ley Orgánica 4/2000, de 11 de enero, sobre derechos y libertades de los extranjeros en España y su integración social.</w:t>
      </w:r>
    </w:p>
    <w:p w14:paraId="7D004100" w14:textId="3198DEA8" w:rsidR="00F64776" w:rsidRDefault="00F64776" w:rsidP="00F64776">
      <w:pPr>
        <w:pStyle w:val="SntesisDescriptiva"/>
      </w:pPr>
    </w:p>
    <w:p w14:paraId="71B85047" w14:textId="77777777" w:rsidR="00F64776" w:rsidRDefault="00F64776" w:rsidP="00F64776">
      <w:pPr>
        <w:pStyle w:val="SntesisDescriptiva"/>
      </w:pPr>
    </w:p>
    <w:p w14:paraId="7F216DA4" w14:textId="77777777" w:rsidR="00F64776" w:rsidRDefault="00F64776" w:rsidP="00F64776">
      <w:pPr>
        <w:pStyle w:val="SntesisDescriptiva"/>
      </w:pPr>
    </w:p>
    <w:p w14:paraId="6C275278" w14:textId="77777777" w:rsidR="00F64776" w:rsidRDefault="00F64776" w:rsidP="00F64776">
      <w:pPr>
        <w:pStyle w:val="TextoNormalNegritaCentrado"/>
      </w:pPr>
      <w:r>
        <w:t>AUTO</w:t>
      </w:r>
    </w:p>
    <w:p w14:paraId="4A278B57" w14:textId="6A196AE9" w:rsidR="00F64776" w:rsidRDefault="00F64776" w:rsidP="00F64776">
      <w:pPr>
        <w:pStyle w:val="TextoNormalNegritaCentrado"/>
      </w:pPr>
    </w:p>
    <w:p w14:paraId="0D9371CF" w14:textId="77777777" w:rsidR="00F64776" w:rsidRDefault="00F64776" w:rsidP="00F64776">
      <w:pPr>
        <w:pStyle w:val="TextoNormalNegritaCentrado"/>
        <w:keepNext/>
      </w:pPr>
      <w:r>
        <w:t>I. Antecedentes</w:t>
      </w:r>
    </w:p>
    <w:p w14:paraId="68542CC0" w14:textId="0045B73E" w:rsidR="00F64776" w:rsidRDefault="00F64776" w:rsidP="00F64776">
      <w:pPr>
        <w:pStyle w:val="TextoNormalNegritaCentrado"/>
        <w:keepNext/>
      </w:pPr>
    </w:p>
    <w:p w14:paraId="4856DCC7" w14:textId="0FC014F2" w:rsidR="00F64776" w:rsidRDefault="00F64776" w:rsidP="00F64776">
      <w:pPr>
        <w:pStyle w:val="TextoNormal"/>
      </w:pPr>
      <w:r w:rsidRPr="00F64776">
        <w:rPr>
          <w:rStyle w:val="NumeroAFNegritaCaracter"/>
        </w:rPr>
        <w:t>1</w:t>
      </w:r>
      <w:r>
        <w:t>. El 7 de junio de 2023 tuvo entrada en el registro de este tribunal un oficio del Juzgado de lo Contencioso-Administrativo núm. 5 de Barcelona, al que se acompañaba, junto al testimonio del procedimiento abreviado núm. 494-2021, el auto de 23 de mayo de 2023, por el que se acuerda plantear cuestión de inconstitucionalidad en relación con el art. 57.1 de la Ley Orgánica 4/2000, de 11 de enero, sobre derechos y libertades de los extranjeros en España y su integración social (en adelante, LOEx), por posible vulneración del principio de legalidad consagrado en el art. 25 CE.</w:t>
      </w:r>
    </w:p>
    <w:p w14:paraId="574EB214" w14:textId="77777777" w:rsidR="00F64776" w:rsidRDefault="00F64776" w:rsidP="00F64776">
      <w:pPr>
        <w:pStyle w:val="TextoNormal"/>
      </w:pPr>
    </w:p>
    <w:p w14:paraId="6E3BD24B" w14:textId="77777777" w:rsidR="00F64776" w:rsidRDefault="00F64776" w:rsidP="00F64776">
      <w:pPr>
        <w:pStyle w:val="TextoNormal"/>
      </w:pPr>
      <w:r w:rsidRPr="00F64776">
        <w:rPr>
          <w:rStyle w:val="NumeroAFNegritaCaracter"/>
        </w:rPr>
        <w:t>2</w:t>
      </w:r>
      <w:r>
        <w:t>. Los antecedentes de hecho del planteamiento de la presente cuestión de inconstitucionalidad son, sucintamente expuestos, los siguientes:</w:t>
      </w:r>
    </w:p>
    <w:p w14:paraId="7113177D" w14:textId="77777777" w:rsidR="00F64776" w:rsidRDefault="00F64776" w:rsidP="00F64776">
      <w:pPr>
        <w:pStyle w:val="TextoNormal"/>
      </w:pPr>
    </w:p>
    <w:p w14:paraId="1FA9F37C" w14:textId="77777777" w:rsidR="00F64776" w:rsidRDefault="00F64776" w:rsidP="00F64776">
      <w:pPr>
        <w:pStyle w:val="TextoNormal"/>
      </w:pPr>
      <w:r>
        <w:t>a) Tras la tramitación del correspondiente expediente administrativo, la Subdelegación del Gobierno en Barcelona acordó el 19 de junio de 2021 la expulsión del territorio nacional de don M.L., de nacionalidad marroquí, prohibiéndole la entrada en España por un período de cinco años, por haber incurrido en la infracción tipificada en el art. 53.1 a) LOEx.</w:t>
      </w:r>
    </w:p>
    <w:p w14:paraId="3C389706" w14:textId="77777777" w:rsidR="00F64776" w:rsidRDefault="00F64776" w:rsidP="00F64776">
      <w:pPr>
        <w:pStyle w:val="TextoNormal"/>
      </w:pPr>
    </w:p>
    <w:p w14:paraId="738859A9" w14:textId="77777777" w:rsidR="00F64776" w:rsidRDefault="00F64776" w:rsidP="00F64776">
      <w:pPr>
        <w:pStyle w:val="TextoNormal"/>
      </w:pPr>
      <w:r>
        <w:t>b) La representación del sancionado interpuso recurso contencioso-administrativo contra la anterior resolución, rechazando que procediera la expulsión, de acuerdo con sus circunstancias personales: (i) Es residente en España desde 2017, momento en el que, siendo menor de edad, se le declaró en situación de desamparo y era atendido por la Generalitat, contando con autorización de residencia temporal. (ii) Cumple libertad vigilada en un piso tutelado, siendo atendido por asistentes y educadores sociales. (iii) Cuando lo detuvo la policía, no le dejaron coger sus pertenencias y documentación, motivo por el que no pudo acreditar su identidad ni su estancia regular en España. (iv) Dispone de NIE y de pasaporte desde 2018, y le consta un domicilio permanente donde ser localizado. (v) No constan antecedentes judiciales ni sanciones administrativas, no siendo suficientes los antecedentes policiales, que no acreditan la comisión de delitos. (vi) Dispone de familiares en España (tíos, un hermano mayor y dos hermanos menores), con los que tiene un gran vínculo, y está haciendo cursos y prácticas de cocina e informática y de lengua castellana, y realizó un curso de lengua catalana. (vii) Percibe una paga semanal de 30 € concedida por la Generalitat para el sustento vital, y dispone de tarjeta sanitaria.</w:t>
      </w:r>
    </w:p>
    <w:p w14:paraId="6D645B80" w14:textId="77777777" w:rsidR="00F64776" w:rsidRDefault="00F64776" w:rsidP="00F64776">
      <w:pPr>
        <w:pStyle w:val="TextoNormal"/>
      </w:pPr>
    </w:p>
    <w:p w14:paraId="2CFA9A68" w14:textId="77777777" w:rsidR="00F64776" w:rsidRDefault="00F64776" w:rsidP="00F64776">
      <w:pPr>
        <w:pStyle w:val="TextoNormal"/>
      </w:pPr>
      <w:r>
        <w:t>Además, adujo que la sanción de expulsión, ante una infracción grave, no se puede aplicar automáticamente, sino que el art. 57.1 LOEx requiere que se atienda al principio de proporcionalidad. Asimismo, invocó la sentencia de la Sala de lo Contencioso-Administrativo del Tribunal Supremo de 17 de marzo de 2021, que fija doctrina casacional de forma inequívoca, y descarta que exista una opción libre entre multa y expulsión, pero señalando que la normativa comunitaria se aleja del automatismo de la expulsión. Y en este caso se está proponiendo una sanción de grado máximo sin razonar los motivos que la justifican y violentando el principio de proporcionalidad. Falta de justificación que se produce también en cuanto a las circunstancias en las que se basó la administración para aplicar el procedimiento preferente, a pesar de que no concurrían las circunstancias del art. 63.1 LOEx. Como medida cautelar, se solicitó la suspensión del acto que decretó la orden de expulsión.</w:t>
      </w:r>
    </w:p>
    <w:p w14:paraId="638B0EEB" w14:textId="77777777" w:rsidR="00F64776" w:rsidRDefault="00F64776" w:rsidP="00F64776">
      <w:pPr>
        <w:pStyle w:val="TextoNormal"/>
      </w:pPr>
    </w:p>
    <w:p w14:paraId="3FAFA7F0" w14:textId="77777777" w:rsidR="00F64776" w:rsidRDefault="00F64776" w:rsidP="00F64776">
      <w:pPr>
        <w:pStyle w:val="TextoNormal"/>
      </w:pPr>
      <w:r>
        <w:t>c) El conocimiento del asunto correspondió al Juzgado de lo Contencioso-Administrativo núm. 5 de Barcelona que, una vez admitido a trámite (procedimiento abreviado núm. 494-2021), lo sustanció por escrito, a solicitud de la parte actora (art. 78.3 LJCA). El abogado del Estado presentó escrito de contestación a la demanda en el que señaló que, de acuerdo con la doctrina establecida en las sentencias del Tribunal Supremo de 17 de marzo de 2021 y 16 de marzo de 2022, recogiendo el criterio establecido en las sentencias del TJUE de 8 de octubre de 2020 y 3 de marzo de 2022, en nuestro ordenamiento procede aplicar únicamente la sanción de expulsión siempre y cuando concurran circunstancias agravantes. Y, en este caso, consta en el expediente administrativo que el actor fue identificado el 12 de marzo de 2021 por funcionarios de policía autonómica que comprobaron que carecía de cualquier tipo de documento que amparase su estancia en nuestro país, de documentación que acreditara su filiación e identidad (lo que imposibilitaba comprobar cómo y cuándo entró en territorio español) y de domicilio conocido en España, lo que podría conllevar el riesgo de incomparecencia. Además, le constaban dos detenciones, siendo la última el 12 de marzo de 2021, por robo con fuerza en las cosas, por lo que el interesado podría constituir un riesgo para el orden público. Por último, no presentaba ninguna justificación de su tiempo de estancia en nuestro país, ni había intentado regularizar de forma válida su situación antes de la incoación del procedimiento. Por consiguiente, en aplicación de la doctrina jurisprudencial, la consecuencia jurídica de la estancia irregular en España del recurrente debía ser la expulsión del territorio.</w:t>
      </w:r>
    </w:p>
    <w:p w14:paraId="04B136F3" w14:textId="77777777" w:rsidR="00F64776" w:rsidRDefault="00F64776" w:rsidP="00F64776">
      <w:pPr>
        <w:pStyle w:val="TextoNormal"/>
      </w:pPr>
    </w:p>
    <w:p w14:paraId="3B15ABF2" w14:textId="77777777" w:rsidR="00F64776" w:rsidRDefault="00F64776" w:rsidP="00F64776">
      <w:pPr>
        <w:pStyle w:val="TextoNormal"/>
      </w:pPr>
      <w:r>
        <w:t>d) Una vez sustanciado el procedimiento, y pendiente únicamente de dictar sentencia, el juzgado, en providencia de 31 de marzo de 2023, acordó dar audiencia a las partes y al Ministerio Fiscal para que, en el término de diez días, pudieran alegar lo que considerasen pertinente sobre la posibilidad de plantear cuestión de inconstitucionalidad en relación con el art. 57.1 de la Ley Orgánica 4/2000, de 11 de enero. Señala la providencia que se considera infringido el art. 25.1 CE puesto que no se determinan por ley las circunstancias que pueden dar lugar a la imposición de la sanción de expulsión, quedando a la libre apreciación por parte de los tribunales.</w:t>
      </w:r>
    </w:p>
    <w:p w14:paraId="3B896CB4" w14:textId="77777777" w:rsidR="00F64776" w:rsidRDefault="00F64776" w:rsidP="00F64776">
      <w:pPr>
        <w:pStyle w:val="TextoNormal"/>
      </w:pPr>
    </w:p>
    <w:p w14:paraId="310F5EF1" w14:textId="77777777" w:rsidR="00F64776" w:rsidRDefault="00F64776" w:rsidP="00F64776">
      <w:pPr>
        <w:pStyle w:val="TextoNormal"/>
      </w:pPr>
      <w:r>
        <w:t>El fiscal presentó su escrito de alegaciones el 18 de abril de 2023, estimando que no era procedente el planteamiento de la cuestión de inconstitucionalidad porque ya está resuelta por el Tribunal Constitucional y porque tanto la doctrina del Tribunal de Justicia de la Unión Europea como la del Tribunal Supremo aportan criterios suficientes para resolver el recurso contencioso-administrativo, ya que exigen una especial fundamentación de las decisiones sancionadoras y determinan que la imposición de la sanción de expulsión exige la apreciación de circunstancias agravantes.</w:t>
      </w:r>
    </w:p>
    <w:p w14:paraId="40065700" w14:textId="77777777" w:rsidR="00F64776" w:rsidRDefault="00F64776" w:rsidP="00F64776">
      <w:pPr>
        <w:pStyle w:val="TextoNormal"/>
      </w:pPr>
    </w:p>
    <w:p w14:paraId="17D52704" w14:textId="77777777" w:rsidR="00F64776" w:rsidRDefault="00F64776" w:rsidP="00F64776">
      <w:pPr>
        <w:pStyle w:val="TextoNormal"/>
      </w:pPr>
      <w:r>
        <w:t>De la misma fecha es el escrito de alegaciones del abogado del Estado, que considera innecesario el planteamiento de la cuestión de inconstitucionalidad, ya que el art. 57.1 LOEx no incurre en ningún vicio de inconstitucionalidad habida cuenta que el Tribunal Constitucional ya se ha pronunciado en anteriores ocasiones sobre tal precepto, rechazando en todo caso su inconstitucionalidad (ATC 454/2007, de 12 de diciembre). Se refiere, asimismo, a la sentencia del Tribunal Supremo 366/2021, de 17 de marzo, que recoge la interpretación que debe darse a la normativa nacional conforme a la Directiva 2008/115/CE, y a la sentencia del Tribunal de Justicia de la Unión Europea de 8 de octubre de 2020, que estima necesaria la presencia de circunstancias que agraven la situación de irregularidad.</w:t>
      </w:r>
    </w:p>
    <w:p w14:paraId="14A7A051" w14:textId="77777777" w:rsidR="00F64776" w:rsidRDefault="00F64776" w:rsidP="00F64776">
      <w:pPr>
        <w:pStyle w:val="TextoNormal"/>
      </w:pPr>
    </w:p>
    <w:p w14:paraId="7F3F44D9" w14:textId="77777777" w:rsidR="00F64776" w:rsidRDefault="00F64776" w:rsidP="00F64776">
      <w:pPr>
        <w:pStyle w:val="TextoNormal"/>
      </w:pPr>
      <w:r>
        <w:t>La parte actora no formuló alegaciones.</w:t>
      </w:r>
    </w:p>
    <w:p w14:paraId="171615EF" w14:textId="77777777" w:rsidR="00F64776" w:rsidRDefault="00F64776" w:rsidP="00F64776">
      <w:pPr>
        <w:pStyle w:val="TextoNormal"/>
      </w:pPr>
    </w:p>
    <w:p w14:paraId="41197381" w14:textId="22746D08" w:rsidR="00F64776" w:rsidRDefault="00F64776" w:rsidP="00F64776">
      <w:pPr>
        <w:pStyle w:val="TextoNormal"/>
      </w:pPr>
      <w:r>
        <w:t>e) Por auto de 23 de mayo de 2023, el Juzgado de lo Contencioso-Administrativo núm. 5 de Barcelona acordó plantear cuestión de inconstitucionalidad en relación con el art. 57.1 de la Ley Orgánica 4/2000, de 11 de enero, sobre derechos y libertades de los extranjeros en España y su integración social, por considerar que puede vulnerar el art. 25.1 CE.</w:t>
      </w:r>
    </w:p>
    <w:p w14:paraId="57EEB914" w14:textId="77777777" w:rsidR="00F64776" w:rsidRDefault="00F64776" w:rsidP="00F64776">
      <w:pPr>
        <w:pStyle w:val="TextoNormal"/>
      </w:pPr>
    </w:p>
    <w:p w14:paraId="2365E53A" w14:textId="77777777" w:rsidR="00F64776" w:rsidRDefault="00F64776" w:rsidP="00F64776">
      <w:pPr>
        <w:pStyle w:val="TextoNormal"/>
      </w:pPr>
      <w:r w:rsidRPr="00F64776">
        <w:rPr>
          <w:rStyle w:val="NumeroAFNegritaCaracter"/>
        </w:rPr>
        <w:t>3</w:t>
      </w:r>
      <w:r>
        <w:t>. El auto, tras referirse brevemente a los antecedentes del procedimiento y al desarrollo del trámite de audiencia previo al planteamiento de la cuestión, fundamenta esta, en síntesis, en los siguientes argumentos:</w:t>
      </w:r>
    </w:p>
    <w:p w14:paraId="00691B2C" w14:textId="77777777" w:rsidR="00F64776" w:rsidRDefault="00F64776" w:rsidP="00F64776">
      <w:pPr>
        <w:pStyle w:val="TextoNormal"/>
      </w:pPr>
    </w:p>
    <w:p w14:paraId="28BB51FE" w14:textId="77777777" w:rsidR="00F64776" w:rsidRDefault="00F64776" w:rsidP="00F64776">
      <w:pPr>
        <w:pStyle w:val="TextoNormal"/>
      </w:pPr>
      <w:r>
        <w:t xml:space="preserve">a) Comenzando con la reproducción del art. 35 de la Ley Orgánica del Tribunal Constitucional (LOTC) y del precepto cuestionado, el auto dedica el tercero de sus razonamientos jurídicos a realizar el juicio de relevancia, indicando que, en el caso que nos ocupa, el acto impugnado en el proceso </w:t>
      </w:r>
      <w:r w:rsidRPr="00F64776">
        <w:rPr>
          <w:i/>
        </w:rPr>
        <w:t>a quo</w:t>
      </w:r>
      <w:r>
        <w:t xml:space="preserve"> impone la sanción de expulsión al recurrente, al que se le incoó el procedimiento sancionador el 24 de marzo de 2021, encontrándose detenido en las dependencias de los Mossos d’Esquadra por un delito de robo con fuerza. Relata los datos que figuraban en el expediente y que la persona sancionada presentó alegaciones considerando que no se justificaba la sanción de expulsión, atendidas las circunstancias concurrentes. La resolución sancionadora fundamenta la imposición de la sanción en el apartado primero de los hechos (carencia de documentación que amparase su estancia en el país y que acreditara su filiación e identidad, imposibilitando comprobar cómo y cuándo entró en territorio español, carencia de domicilio conocido en España, y constancia de dos detenciones por robo con fuerza en las cosas, por lo que podría constituir un riesgo para el orden público, la seguridad pública o la seguridad nacional). Concluye el órgano judicial que, atendiendo a la resolución finalizadora del procedimiento, se comprueba que el precepto de aplicación es el art. 57.1 LOEx, conforme al cual la administración “realiza una valoración de las circunstancias concurrentes en el caso, que van más allá de la situación de irregularidad, circunstancias que no las encontramos en el tipo infractor y lo hace en aplicación de la previsión del art. 57.1 de la Ley Orgánica 4/2000 interpretado por la jurisprudencia de los tribunales”.</w:t>
      </w:r>
    </w:p>
    <w:p w14:paraId="3B8B7A7D" w14:textId="77777777" w:rsidR="00F64776" w:rsidRDefault="00F64776" w:rsidP="00F64776">
      <w:pPr>
        <w:pStyle w:val="TextoNormal"/>
      </w:pPr>
    </w:p>
    <w:p w14:paraId="24487964" w14:textId="77777777" w:rsidR="00F64776" w:rsidRDefault="00F64776" w:rsidP="00F64776">
      <w:pPr>
        <w:pStyle w:val="TextoNormal"/>
      </w:pPr>
      <w:r>
        <w:t>b) A continuación se expone la jurisprudencia del Tribunal de Justicia de la Unión Europea y del Tribunal Supremo sobre el art. 57.1 LOEx, comenzando por referirse a la tipificación de las infracciones graves que se realiza en el art. 53 LOEx, especialmente la del apartado 1 a), y el establecimiento de las sanciones que se efectúa en el art. 55, cuyos apartados 3 y 4 establecen los criterios de graduación. Entiende el órgano judicial que, de acuerdo con ello, a quien se encontrara en situación de irregularidad administrativa en territorio español se le impondría una sanción económica a graduar atendiendo a los criterios del art. 55.3 y 4. Pero el art. 28.3 LOEx establece los supuestos en los que será obligatoria la salida del territorio español, entre ellos, la situación de irregularidad administrativa. No obstante, la LOEx abre la puerta a otro tipo de sanción ante esta situación de irregularidad: la expulsión a que se refiere el art. 57.1, que puede aplicarse en atención al principio de proporcionalidad, señalando el auto que la clave es descifrar qué se entiende por principio de proporcionalidad. En este sentido, cita las sentencias del Tribunal Supremo de 16 de marzo de 2022 y 17 de marzo de 2021, en las que se indica que para imponer la sanción de expulsión se requiere una motivación específica y distinta o complementaria de la pura permanencia ilegal, que “la administración ha de especificar, si impone la expulsión, cuáles son las razones de proporcionalidad, de grado de subjetividad, de daño o riesgo derivado de la infracción y, en general, añadimos nosotros, cuáles son las circunstancias jurídicas o fácticas que concurren para la expulsión y prohibición de entrada, que es una sanción más grave que la de multa”; enunciando el Tribunal Supremo algunas circunstancias agravatorias que podían justificar la adopción de la más grave sanción de expulsión.</w:t>
      </w:r>
    </w:p>
    <w:p w14:paraId="55ACA1CA" w14:textId="77777777" w:rsidR="00F64776" w:rsidRDefault="00F64776" w:rsidP="00F64776">
      <w:pPr>
        <w:pStyle w:val="TextoNormal"/>
      </w:pPr>
    </w:p>
    <w:p w14:paraId="3E61439B" w14:textId="77777777" w:rsidR="00F64776" w:rsidRDefault="00F64776" w:rsidP="00F64776">
      <w:pPr>
        <w:pStyle w:val="TextoNormal"/>
      </w:pPr>
      <w:r>
        <w:t>c) Al socaire de estos pronunciamientos, afirma el auto que son muchas las sentencias (del Tribunal Constitucional, del Tribunal Supremo y del Tribunal de Justicia de la Unión Europea) dictadas en relación con la sanción de expulsión, siendo la última la STJUE de 3 de marzo de 2022, asunto C-409/20, que resuelve una cuestión prejudicial planteada por un juzgado de lo contencioso-administrativo. En ella se señala que la Directiva 2008/115/CE, de 16 de diciembre, no se opone a una normativa de un Estado miembro que sanciona la permanencia irregular de un nacional de un tercer país, cuando no concurren circunstancias agravantes, en un primer momento, con una sanción de multa que llevaba aparejada la obligación de abandonar el territorio de dicho Estado miembro en el plazo fijado, salvo que, antes de que expire, se regularice la situación y, en un segundo momento, a falta de regularización, con una decisión en la que se ordena obligatoriamente su expulsión.</w:t>
      </w:r>
    </w:p>
    <w:p w14:paraId="194213BC" w14:textId="77777777" w:rsidR="00F64776" w:rsidRDefault="00F64776" w:rsidP="00F64776">
      <w:pPr>
        <w:pStyle w:val="TextoNormal"/>
      </w:pPr>
    </w:p>
    <w:p w14:paraId="3B986C25" w14:textId="77777777" w:rsidR="00F64776" w:rsidRDefault="00F64776" w:rsidP="00F64776">
      <w:pPr>
        <w:pStyle w:val="TextoNormal"/>
      </w:pPr>
      <w:r>
        <w:t>Expone el órgano judicial que la pervivencia o no de la sanción de multa ha dado lugar a diferentes sentencias del Tribunal de Justicia de la Unión Europea y del Tribunal Supremo, refiriéndose el auto a un “calvario jurídico [que] se inició con la STJUE de 23 de abril de 2015” (asunto C-38/14), sobre la compatibilidad con la Directiva 2008/115/CE de la alternativa multa-expulsión prevista por la legislación española. A partir de ella, desaparece la posibilidad de imponer la sanción de multa, de modo que ante una situación de irregularidad solo cabía la sanción de expulsión. “La duda que entonces surgía era qué sucedía con las circunstancias agravantes y cuál era su sentido, si lo tenía. Y es aquí cuando cambia la configuración de la pena ya que la misma no entraría dentro del campo de la proporcionalidad”. El Tribunal Supremo recogió este criterio en su sentencia de 12 de junio de 2018. Por tanto, entiende el órgano judicial que a partir de la STJUE de 23 de abril de 2015 desaparecen las circunstancias agravantes que eran necesarias para imponer la sanción de expulsión.</w:t>
      </w:r>
    </w:p>
    <w:p w14:paraId="14214254" w14:textId="77777777" w:rsidR="00F64776" w:rsidRDefault="00F64776" w:rsidP="00F64776">
      <w:pPr>
        <w:pStyle w:val="TextoNormal"/>
      </w:pPr>
    </w:p>
    <w:p w14:paraId="49C1CF8E" w14:textId="77777777" w:rsidR="00F64776" w:rsidRDefault="00F64776" w:rsidP="00F64776">
      <w:pPr>
        <w:pStyle w:val="TextoNormal"/>
      </w:pPr>
      <w:r>
        <w:t>La problemática vuelve a cambiar con la STJUE de 8 de octubre de 2020, asunto C-568/19, según la cual, la Directiva 2008/115/CE debe interpretarse en el sentido de que, cuando la normativa nacional, en caso de situación irregular de nacionales de terceros países, imponga, o bien una sanción de multa o bien la expulsión, teniendo en cuenta que la segunda medida solo puede adoptarse si existen circunstancias agravantes adicionales a la situación irregular de la persona, la autoridad nacional competente no podrá basarse directamente en la Directiva para adoptar una decisión de retorno, aun cuando no existan circunstancias agravantes. Advierte el auto que, aunque parece que esta última decisión resucita la sanción de multa, el Tribunal Supremo, en sentencia de 17 de marzo de 2021, dispuso que en relación con dicho pronunciamiento había de entenderse: “Primero, que la situación de estancia irregular determina, en su caso, la decisión de expulsión y no cabe la posibilidad de sustitución por una sanción de multa. Segundo, que la expulsión, comprensiva de la decisión de retorno y su ejecución, exige, en cada caso y de manera individualizada, la valoración y apreciación de circunstancias agravantes que pongan de manifiesto y justifiquen la proporcionalidad de la medida adoptada, tras la tramitación de un procedimiento con plenas garantías de los derechos de los afectados, conforme exige la jurisprudencia comunitaria. Tercero, que por tales circunstancias de agravación han de considerarse las que se han venido apreciando por la jurisprudencia con relación a la gravedad de la mera estancia irregular, bien sean de carácter subjetivo o de carácter objetivo, y que pueden comprender otras de análoga significación”.</w:t>
      </w:r>
    </w:p>
    <w:p w14:paraId="759BBFF5" w14:textId="77777777" w:rsidR="00F64776" w:rsidRDefault="00F64776" w:rsidP="00F64776">
      <w:pPr>
        <w:pStyle w:val="TextoNormal"/>
      </w:pPr>
    </w:p>
    <w:p w14:paraId="27537846" w14:textId="77777777" w:rsidR="00F64776" w:rsidRDefault="00F64776" w:rsidP="00F64776">
      <w:pPr>
        <w:pStyle w:val="TextoNormal"/>
      </w:pPr>
      <w:r>
        <w:t>De la anterior jurisprudencia deduce el órgano judicial promotor de la cuestión que la estancia meramente irregular no está sancionada con la expulsión, sino que es necesario que a ello se añada alguna circunstancia, “de forma tal que las llamadas circunstancias agravantes no son tales, sino que conforman el mismo tipo, y esta determinación la realiza la jurisprudencia y no el legislador. Es en este punto donde puede colisionar con el principio de legalidad previsto en el art. 25 CE en la medida que el tipo infractor no aparece delimitado ni en una norma con rango de ley ni en un reglamento. No podemos considerar que son circunstancias agravantes desde el momento en que la sanción a imponer es única y no admite margen de graduación”.</w:t>
      </w:r>
    </w:p>
    <w:p w14:paraId="6D1C4F98" w14:textId="77777777" w:rsidR="00F64776" w:rsidRDefault="00F64776" w:rsidP="00F64776">
      <w:pPr>
        <w:pStyle w:val="TextoNormal"/>
      </w:pPr>
    </w:p>
    <w:p w14:paraId="46C58B1B" w14:textId="77777777" w:rsidR="00F64776" w:rsidRDefault="00F64776" w:rsidP="00F64776">
      <w:pPr>
        <w:pStyle w:val="TextoNormal"/>
      </w:pPr>
      <w:r>
        <w:t>d) El último razonamiento jurídico del auto se dedica al análisis del alcance del art. 25.1 CE, que “consagra el principio de legalidad como derecho fundamental”, realizando el órgano promotor una amplia exposición de la jurisprudencia constitucional sobre dicho precepto, a partir de la cual se afirma que “[e]s por ello que se plantea la cuestión de inconstitucionalidad del precepto de acuerdo con la interpretación jurisprudencial realizada”, pues, actualmente, “nos encontramos con un tipo sancionador consistente en la mera estancia irregular conllevando la expulsión solo si concurren unas circunstancias agravantes que no están previstas en la ley”, ya que el art. 55.3 LOEx se refiere a la graduación de la multa y no se puede efectuar una aplicación analógica de la norma en un procedimiento sancionador y “llevar al campo de la proporcionalidad el de la tipicidad”.</w:t>
      </w:r>
    </w:p>
    <w:p w14:paraId="0E4B19A3" w14:textId="77777777" w:rsidR="00F64776" w:rsidRDefault="00F64776" w:rsidP="00F64776">
      <w:pPr>
        <w:pStyle w:val="TextoNormal"/>
      </w:pPr>
    </w:p>
    <w:p w14:paraId="40F9AF8E" w14:textId="77777777" w:rsidR="00F64776" w:rsidRDefault="00F64776" w:rsidP="00F64776">
      <w:pPr>
        <w:pStyle w:val="TextoNormal"/>
      </w:pPr>
      <w:r>
        <w:t xml:space="preserve">Asimismo, indica el auto de planteamiento que, desde la sentencia del Tribunal Supremo de 17 de marzo de 2021, para valorar la posibilidad de expulsión en una estancia irregular del extranjero deben tenerse en cuenta una serie de factores objetivos, precisados por el propio Tribunal Supremo, a los que este ha añadido los criterios de la Instrucción 11/2020, de 23 de octubre, circunstancias todas ellas que se colocan en el ámbito de la proporcionalidad, lo que implica un juicio de ponderación de la pena a imponer en relación con la finalidad de la misma. Sin embargo, entiende el órgano judicial que estas circunstancias de hecho operan como elementos integrantes del tipo, de forma que su definición jurisprudencial implica una vulneración del principio de legalidad que en el ámbito sancionador administrativo exige que el tipo se establezca por normas con fuerza de ley o reglamentarias, pero nunca por vía jurisprudencial, lo cual, a la vez, atenta contra el principio constitucional de seguridad jurídica (art. 9.3 CE). La introducción de tales circunstancias como justificativas de la expulsión en lugar de la multa colisiona con el art. 25 CE, que consagra el principio </w:t>
      </w:r>
      <w:r w:rsidRPr="00F64776">
        <w:rPr>
          <w:i/>
        </w:rPr>
        <w:t>nulla poena sine lege</w:t>
      </w:r>
      <w:r>
        <w:t>. Las circunstancias agravantes deben ubicarse en el tipo y no en la proporcionalidad o la culpabilidad, que son elementos adicionales a los requeridos para afirmar la existencia del encaje típico.</w:t>
      </w:r>
    </w:p>
    <w:p w14:paraId="6FCF4BFD" w14:textId="77777777" w:rsidR="00F64776" w:rsidRDefault="00F64776" w:rsidP="00F64776">
      <w:pPr>
        <w:pStyle w:val="TextoNormal"/>
      </w:pPr>
    </w:p>
    <w:p w14:paraId="1AADEC3E" w14:textId="061BCA76" w:rsidR="00F64776" w:rsidRDefault="00F64776" w:rsidP="00F64776">
      <w:pPr>
        <w:pStyle w:val="TextoNormal"/>
      </w:pPr>
      <w:r>
        <w:t>De acuerdo con ello, concluye el órgano judicial que el art. 57.1 LOEx, al remitir al principio de proporcionalidad para la imposición de la sanción de expulsión, contraviene los postulados del principio de legalidad proclamados en el art. 25.1 CE, en la medida en que no existe margen para aplicar la proporcionalidad pues la sanción es una, la expulsión, y la valoración a la que obliga la Directiva 2008/115/CE del Parlamento Europeo y del Consejo, de 16 de diciembre, se refiere a la toma en consideración de las posibles excepciones a la medida de expulsión en los términos de los arts. 5 y 6 de la misma; situaciones que nada tienen que ver con circunstancias agravantes a la estancia irregular, sino con excepciones que permitirían no adoptar la expulsión.</w:t>
      </w:r>
    </w:p>
    <w:p w14:paraId="7C0B0800" w14:textId="77777777" w:rsidR="00F64776" w:rsidRDefault="00F64776" w:rsidP="00F64776">
      <w:pPr>
        <w:pStyle w:val="TextoNormal"/>
      </w:pPr>
    </w:p>
    <w:p w14:paraId="5FC35499" w14:textId="5CE9A7A6" w:rsidR="00F64776" w:rsidRDefault="00F64776" w:rsidP="00F64776">
      <w:pPr>
        <w:pStyle w:val="TextoNormal"/>
      </w:pPr>
      <w:r w:rsidRPr="00F64776">
        <w:rPr>
          <w:rStyle w:val="NumeroAFNegritaCaracter"/>
        </w:rPr>
        <w:t>4</w:t>
      </w:r>
      <w:r>
        <w:t>. Por providencia de 26 de septiembre de 2023, el Pleno de este Tribunal acordó, a los efectos que determina el art. 37.1 LOTC, oír al fiscal general del Estado para que, en el plazo de diez días, alegara lo que considerara conveniente acerca de la admisibilidad de la presente cuestión de inconstitucionalidad, por si fuere notoriamente infundada.</w:t>
      </w:r>
    </w:p>
    <w:p w14:paraId="1FA05CEA" w14:textId="77777777" w:rsidR="00F64776" w:rsidRDefault="00F64776" w:rsidP="00F64776">
      <w:pPr>
        <w:pStyle w:val="TextoNormal"/>
      </w:pPr>
    </w:p>
    <w:p w14:paraId="68C486D0" w14:textId="77777777" w:rsidR="00F64776" w:rsidRDefault="00F64776" w:rsidP="00F64776">
      <w:pPr>
        <w:pStyle w:val="TextoNormal"/>
      </w:pPr>
      <w:r w:rsidRPr="00F64776">
        <w:rPr>
          <w:rStyle w:val="NumeroAFNegritaCaracter"/>
        </w:rPr>
        <w:t>5</w:t>
      </w:r>
      <w:r>
        <w:t>. El 24 de octubre de 2023 tuvo entrada en el registro general de este tribunal el escrito de alegaciones del fiscal general del Estado interesando la inadmisión a trámite de la cuestión de inconstitucionalidad, por considerarla notoriamente infundada.</w:t>
      </w:r>
    </w:p>
    <w:p w14:paraId="59F8BB36" w14:textId="77777777" w:rsidR="00F64776" w:rsidRDefault="00F64776" w:rsidP="00F64776">
      <w:pPr>
        <w:pStyle w:val="TextoNormal"/>
      </w:pPr>
    </w:p>
    <w:p w14:paraId="65A1F20A" w14:textId="77777777" w:rsidR="00F64776" w:rsidRDefault="00F64776" w:rsidP="00F64776">
      <w:pPr>
        <w:pStyle w:val="TextoNormal"/>
      </w:pPr>
      <w:r>
        <w:t>Una vez relatados los antecedentes de hecho de la cuestión planteada, y determinados los efectos a los que se le ha dado traslado para alegaciones en relación con la admisión de la cuestión, de los que deduce la inexistencia de otros óbices, procede el fiscal general del Estado a examinar el carácter infundado de la cuestión, con mención de la doctrina de este tribunal sobre dicho concepto. A continuación, expone los argumentos en los que la magistrada promotora de la cuestión de inconstitucionalidad sustenta sus dudas de validez constitucional, de los que colige que aquella considera que el art. 57.1 LOEx es contrario al principio de legalidad penal en materia sancionadora (art. 25.1 CE) y, particularmente, a la garantía material de certeza o taxatividad, ya que contempla la sanción de expulsión, que podrá aplicarse en determinados casos en atención al principio de proporcionalidad, sin que la ley establezca las circunstancias concretas que determinan la imposición de tal sanción, rechazando el órgano judicial que dichas circunstancias puedan ser establecidas por la jurisprudencia.</w:t>
      </w:r>
    </w:p>
    <w:p w14:paraId="7F868F23" w14:textId="77777777" w:rsidR="00F64776" w:rsidRDefault="00F64776" w:rsidP="00F64776">
      <w:pPr>
        <w:pStyle w:val="TextoNormal"/>
      </w:pPr>
    </w:p>
    <w:p w14:paraId="53A1D65C" w14:textId="77777777" w:rsidR="00F64776" w:rsidRDefault="00F64776" w:rsidP="00F64776">
      <w:pPr>
        <w:pStyle w:val="TextoNormal"/>
      </w:pPr>
      <w:r>
        <w:t>Indica el escrito, en primer lugar, que el planteamiento de la cuestión de inconstitucionalidad carecerá de fundamento cuando se utilice para plantear o resolver cuestiones interpretativas que corresponden al ámbito de la legalidad ordinaria o cuando el Tribunal Constitucional ya haya rechazado anteriormente las mismas dudas de constitucionalidad que se suscitan. Y, en este caso, el Tribunal Constitucional se ha pronunciado en diversas ocasiones sobre la posible inconstitucionalidad del art. 57.1 LOEx por contradecir la garantía de legalidad en materia sancionadora del art. 25.1 CE. En tal sentido, se menciona la STC 260/2007, de 20 de diciembre, dictada en el recurso de inconstitucionalidad interpuesto por el Parlamento Vasco contra diversos preceptos de la Ley Orgánica 8/2000, que modificó la Ley Orgánica 4/2000, y, entre ellos, el que dio nueva redacción al art. 57 de esta última. En el recurso se alegaba que el art. 57.1 era contrario a los principios de seguridad jurídica, de interdicción de la arbitrariedad de los poderes públicos (art. 9.3 CE), de proporcionalidad en materia sancionadora y, en definitiva, al principio de legalidad consagrado en el art. 25.1 CE. En dicha sentencia el Tribunal Constitucional descartó que el art. 57.1 LOEx sea contrario al principio de legalidad sancionadora, reiterando en su fundamento jurídico 7 lo que acababa de señalar en su ATC 409/2007, de 6 de noviembre, por el que se inadmitió a trámite la cuestión de inconstitucionalidad núm. 422-2007. El fiscal general del Estado reproduce la fundamentación de tales resoluciones en su escrito de alegaciones, y la considera plenamente aplicable a la presente cuestión, permitiendo concluir que lo suscitado por el órgano judicial sobre la posible invalidez constitucional del art. 57.1 LOEx, por poder infringir el principio de legalidad del art. 25.1 CE, debe ser rechazado de plano, puesto que el Tribunal Constitucional ya se ha pronunciado sobre la constitucionalidad del precepto, señalando que no define conductas típicas infractoras, sino que establece las sanciones imponibles a las conductas tipificadas, atendiendo al principio de proporcionalidad, sin que pueda entenderse que se trate de una norma sancionadora totalmente abierta, que atribuya a la administración una absoluta discrecionalidad en la imposición de la sanción prevista.</w:t>
      </w:r>
    </w:p>
    <w:p w14:paraId="379A924A" w14:textId="77777777" w:rsidR="00F64776" w:rsidRDefault="00F64776" w:rsidP="00F64776">
      <w:pPr>
        <w:pStyle w:val="TextoNormal"/>
      </w:pPr>
    </w:p>
    <w:p w14:paraId="656A3B2F" w14:textId="77777777" w:rsidR="00F64776" w:rsidRDefault="00F64776" w:rsidP="00F64776">
      <w:pPr>
        <w:pStyle w:val="TextoNormal"/>
      </w:pPr>
      <w:r>
        <w:t>A lo anterior añade que el pronunciamiento de la STC 260/2007 se produce en relación con la redacción que da al art. 57.1 LOEx la Ley Orgánica 8/2000, debiendo tenerse en cuenta que fue modificado por la Ley Orgánica 2/2009, de 11 de diciembre, que introdujo expresamente en su redacción, ahora vigente, que la sustitución de la pena de multa por la de expulsión debe hacerse “en atención al principio de proporcionalidad [y] mediante la resolución motivada que valore los hechos que configuran la infracción”. Por ello, cabe considerar que el pronunciamiento sobre la validez del precepto que hizo la STC 260/2007 cobra aún más fuerza en la redacción vigente, que sitúa en el necesario juicio de proporcionalidad la determinación de la imposición de la sanción de expulsión, que deberá hacerse en resolución motivada y valorando los elementos fácticos que cualifiquen la infracción.</w:t>
      </w:r>
    </w:p>
    <w:p w14:paraId="7A3E7266" w14:textId="77777777" w:rsidR="00F64776" w:rsidRDefault="00F64776" w:rsidP="00F64776">
      <w:pPr>
        <w:pStyle w:val="TextoNormal"/>
      </w:pPr>
    </w:p>
    <w:p w14:paraId="4321A506" w14:textId="77777777" w:rsidR="00F64776" w:rsidRDefault="00F64776" w:rsidP="00F64776">
      <w:pPr>
        <w:pStyle w:val="TextoNormal"/>
      </w:pPr>
      <w:r>
        <w:t>Por otra parte, significa el escrito de alegaciones que el Tribunal Constitucional también se ha pronunciado sobre la validez del régimen sancionador del art. 57.1 LOEx al examinar diversos recursos de amparo interpuestos por ciudadanos extranjeros contra las resoluciones que les sancionaban con la expulsión. En esos recursos el Tribunal ha validado el criterio de que la sanción de multa es la sanción básica o principal, y que su sustitución por la de expulsión está sujeta al principio de proporcionalidad y a la necesidad de que la resolución que la impone motive las circunstancias que cualifican la conducta de mera estancia irregular, justificando la imposición de la expulsión en lugar de la sanción de multa (STC 140/2009, de 15 de junio). En esta línea, destaca la más reciente doctrina constitucional sobre la aplicación de la sanción de expulsión prevista en el art. 57.1 LOEx, a raíz de la última jurisprudencia del Tribunal de Justicia de la Unión Europea, que se ha pronunciado sobre la interpretación de la Directiva 2008/115/CE para dar respuesta a las cuestiones prejudiciales planteadas por diversos órganos judiciales nacionales sobre la acomodación del citado precepto con la Directiva. Así, cita la STC 47/2023, de 10 de mayo, en la que el Tribunal Constitucional apreció que la resolución administrativa vulneraba la garantía material de certeza, en la dimensión de aplicación judicial, dado que no había observado la exigencia del juicio de proporcionalidad que exige el art. 57.1, al no haberse apreciado, ni en aquella ni en las de los órganos judiciales que la confirmaron, la concurrencia de elementos o circunstancias negativas que permitieran valorar una mayor gravedad de la conducta infractora y justificar la imposición de la sanción más grave de expulsión. El Tribunal admite que esas circunstancias o elementos fácticos que deben ser tenidos en cuenta han de ser determinados por la administración y los órganos judiciales, en el marco de las competencias propias y siguiendo los criterios establecidos legalmente (en el mismo sentido, SSTC 53/2023, de 22 de mayo, y 70/2023 y 71/2023, de 19 de junio).</w:t>
      </w:r>
    </w:p>
    <w:p w14:paraId="1FBC8A85" w14:textId="77777777" w:rsidR="00F64776" w:rsidRDefault="00F64776" w:rsidP="00F64776">
      <w:pPr>
        <w:pStyle w:val="TextoNormal"/>
      </w:pPr>
    </w:p>
    <w:p w14:paraId="1BE7AEE0" w14:textId="77777777" w:rsidR="00F64776" w:rsidRDefault="00F64776" w:rsidP="00F64776">
      <w:pPr>
        <w:pStyle w:val="TextoNormal"/>
      </w:pPr>
      <w:r>
        <w:t xml:space="preserve">En definitiva, concluye el fiscal general del Estado, que las dudas de validez constitucional sobre el art. 57.1 LOEx que expone la magistrada </w:t>
      </w:r>
      <w:r w:rsidRPr="00F64776">
        <w:rPr>
          <w:i/>
        </w:rPr>
        <w:t>a quo</w:t>
      </w:r>
      <w:r>
        <w:t xml:space="preserve"> en el auto de planteamiento de la cuestión carecen de todo fundamento, ya que el Tribunal Constitucional se ha pronunciado en diversas resoluciones, descartando su invalidez por infringir la garantía de certeza o taxatividad, inherente al principio de legalidad del art. 25.1 CE. El art. 57.1 no es una norma que defina una conducta infractora, sino una norma que establece la sanción imponible respecto de determinadas conductas infractoras tipificadas en otros preceptos legales, y no de manera totalmente abierta, sino reglada, sujetando la imposición de la sanción más gravosa al principio de proporcionalidad y a la necesidad de motivar los hechos o circunstancias que se valoran para cualificar negativamente la conducta, quedando sujeta la administración a lo dispuesto en el art. 55.3, para la graduación de las sanciones, y en el art. 50, que remite a lo dispuesto en la Ley de procedimiento administrativo.</w:t>
      </w:r>
    </w:p>
    <w:p w14:paraId="237120D4" w14:textId="77777777" w:rsidR="00F64776" w:rsidRDefault="00F64776" w:rsidP="00F64776">
      <w:pPr>
        <w:pStyle w:val="TextoNormal"/>
      </w:pPr>
    </w:p>
    <w:p w14:paraId="736DC84A" w14:textId="1A4BFFEB" w:rsidR="00F64776" w:rsidRDefault="00F64776" w:rsidP="00F64776">
      <w:pPr>
        <w:pStyle w:val="TextoNormal"/>
      </w:pPr>
      <w:r>
        <w:t>Por último, se observa que el rechazo que se plantea por la magistrada promotora de la cuestión a que sean los tribunales y, en particular, la jurisprudencia el Tribunal Supremo, los que hayan ido delimitando, en el ejercicio de la función jurisdiccional de control y revisión de las resoluciones administrativas, las circunstancias o criterios que pueden ser valorados para apreciar la proporcionalidad de la sanción de expulsión impuesta en aplicación del art. 57.1, implica desconocer la actividad propia de la función jurisdiccional y el margen de libre apreciación que corresponde a los tribunales, añadiendo que se trata de criterios de valoración que no tienen un carácter tasado, sino orientativo del juicio de proporcionalidad requerido para la imposición de la sanción más grave de expulsión. En suma, se trata de una competencia propia de la jurisdicción ordinaria, correspondiendo al órgano judicial ejercerla, revisando y valorando si, en el caso del proceso subyacente, la resolución administrativa impugnada estaba debidamente motivada y si se había observado o no el principio de proporcionalidad al imponer al recurrente la sanción de expulsión.</w:t>
      </w:r>
    </w:p>
    <w:p w14:paraId="194E1A5F" w14:textId="77777777" w:rsidR="00F64776" w:rsidRDefault="00F64776" w:rsidP="00F64776">
      <w:pPr>
        <w:pStyle w:val="TextoNormal"/>
      </w:pPr>
    </w:p>
    <w:p w14:paraId="02544F2B" w14:textId="77777777" w:rsidR="00F64776" w:rsidRDefault="00F64776" w:rsidP="00F64776">
      <w:pPr>
        <w:pStyle w:val="TextoNormalNegritaCentrado"/>
        <w:keepNext/>
      </w:pPr>
      <w:r>
        <w:t>II. Fundamentos jurídicos</w:t>
      </w:r>
    </w:p>
    <w:p w14:paraId="6110F78C" w14:textId="62F594A4" w:rsidR="00F64776" w:rsidRDefault="00F64776" w:rsidP="00F64776">
      <w:pPr>
        <w:pStyle w:val="TextoNormalNegritaCentrado"/>
        <w:keepNext/>
      </w:pPr>
    </w:p>
    <w:p w14:paraId="3F6A884E" w14:textId="77777777" w:rsidR="00F64776" w:rsidRDefault="00F64776" w:rsidP="00F64776">
      <w:pPr>
        <w:pStyle w:val="TextoNormal"/>
      </w:pPr>
      <w:r w:rsidRPr="00F64776">
        <w:rPr>
          <w:rStyle w:val="NumeroAFNegritaCaracter"/>
        </w:rPr>
        <w:t>1</w:t>
      </w:r>
      <w:r>
        <w:t>. El Juzgado de lo Contencioso-Administrativo núm. 5 de Barcelona plantea cuestión de inconstitucionalidad en relación con el art. 57.1 de la Ley Orgánica 4/2000, de 11 de enero, sobre derechos y libertades de los extranjeros en España y su integración social, cuyo tenor (de acuerdo con la redacción que le da la Ley Orgánica 2/2009, de 11 de diciembre) es el siguiente:</w:t>
      </w:r>
    </w:p>
    <w:p w14:paraId="023E463D" w14:textId="77777777" w:rsidR="00F64776" w:rsidRDefault="00F64776" w:rsidP="00F64776">
      <w:pPr>
        <w:pStyle w:val="TextoNormal"/>
      </w:pPr>
    </w:p>
    <w:p w14:paraId="2401ED61" w14:textId="77777777" w:rsidR="00F64776" w:rsidRDefault="00F64776" w:rsidP="00F64776">
      <w:pPr>
        <w:pStyle w:val="TextoNormal"/>
      </w:pPr>
      <w:r>
        <w:t>“Artículo 57. Expulsión del territorio</w:t>
      </w:r>
    </w:p>
    <w:p w14:paraId="03E6F9DB" w14:textId="77777777" w:rsidR="00F64776" w:rsidRDefault="00F64776" w:rsidP="00F64776">
      <w:pPr>
        <w:pStyle w:val="TextoNormal"/>
      </w:pPr>
    </w:p>
    <w:p w14:paraId="02F8BACB" w14:textId="77777777" w:rsidR="00F64776" w:rsidRDefault="00F64776" w:rsidP="00F64776">
      <w:pPr>
        <w:pStyle w:val="TextoNormal"/>
      </w:pPr>
      <w:r>
        <w:t>1. Cuando los infractores sean extranjeros y realicen conductas de las tipificadas como muy graves, o conductas graves de las previstas en los apartados a), b), c), d) y f) del artículo 53.1 de esta Ley Orgánica, podrá aplicarse, en atención al principio de proporcionalidad, en lugar de la sanción de multa, la expulsión del territorio español, previa la tramitación del correspondiente expediente administrativo y mediante la resolución motivada que valore los hechos que configuran la infracción”.</w:t>
      </w:r>
    </w:p>
    <w:p w14:paraId="1D7FA32D" w14:textId="77777777" w:rsidR="00F64776" w:rsidRDefault="00F64776" w:rsidP="00F64776">
      <w:pPr>
        <w:pStyle w:val="TextoNormal"/>
      </w:pPr>
    </w:p>
    <w:p w14:paraId="0797F483" w14:textId="77777777" w:rsidR="00F64776" w:rsidRDefault="00F64776" w:rsidP="00F64776">
      <w:pPr>
        <w:pStyle w:val="TextoNormal"/>
      </w:pPr>
      <w:r>
        <w:t>Como ha quedado relatado en los antecedentes, el órgano judicial promotor de la cuestión considera que el art. 57.1 LOEx es contrario al principio de legalidad penal en materia sancionadora (art. 25.1 CE), ya que contempla la sanción de expulsión, que podrá aplicarse en determinados casos en atención al principio de proporcionalidad, sin que la ley establezca las circunstancias concretas que determinan la imposición de tal sanción, circunstancias agravantes que, a su juicio, deben ubicarse en el tipo y no en la proporcionalidad o la culpabilidad, que son elementos adicionales a los requeridos para afirmar la existencia del encaje típico.</w:t>
      </w:r>
    </w:p>
    <w:p w14:paraId="7382D6FC" w14:textId="77777777" w:rsidR="00F64776" w:rsidRDefault="00F64776" w:rsidP="00F64776">
      <w:pPr>
        <w:pStyle w:val="TextoNormal"/>
      </w:pPr>
    </w:p>
    <w:p w14:paraId="1CB609B7" w14:textId="75FD1A42" w:rsidR="00F64776" w:rsidRDefault="00F64776" w:rsidP="00F64776">
      <w:pPr>
        <w:pStyle w:val="TextoNormal"/>
      </w:pPr>
      <w:r>
        <w:t>El fiscal general del Estado, en el trámite previsto en el art. 37.1 LOTC, se ha opuesto a la admisión de la presente cuestión de inconstitucionalidad, por entender que resulta notoriamente infundada, al haberse pronunciado ya el Tribunal Constitucional en sentido desestimatorio sobre la duda de constitucionalidad que se suscita.</w:t>
      </w:r>
    </w:p>
    <w:p w14:paraId="3B8192FB" w14:textId="77777777" w:rsidR="00F64776" w:rsidRDefault="00F64776" w:rsidP="00F64776">
      <w:pPr>
        <w:pStyle w:val="TextoNormal"/>
      </w:pPr>
    </w:p>
    <w:p w14:paraId="0C0A533C" w14:textId="77777777" w:rsidR="00F64776" w:rsidRDefault="00F64776" w:rsidP="00F64776">
      <w:pPr>
        <w:pStyle w:val="TextoNormal"/>
      </w:pPr>
      <w:r w:rsidRPr="00F64776">
        <w:rPr>
          <w:rStyle w:val="NumeroAFNegritaCaracter"/>
        </w:rPr>
        <w:t>2</w:t>
      </w:r>
      <w:r>
        <w:t>. Conforme a lo dispuesto en el art. 37.1 LOTC, este tribunal puede rechazar en trámite de admisión y mediante auto, previa audiencia al fiscal general del Estado, aquellas cuestiones de inconstitucionalidad que fueren notoriamente infundadas, en el significado que nuestra reiterada doctrina viene dando a este concepto, “que se traduce procesalmente en otorgar a este tribunal un margen de apreciación a la hora de controlar la solidez de la fundamentación de las cuestiones de inconstitucionalidad, existiendo supuestos en los que un examen preliminar de las mismas permite apreciar la falta de viabilidad de la cuestión suscitada, sin que ello signifique, necesariamente, que carezca de forma total y absoluta de fundamentación o que ésta sea arbitraria” (por todos, ATC 89/2019, de 16 de julio, FJ 5, y los allí citados).</w:t>
      </w:r>
    </w:p>
    <w:p w14:paraId="28B81D17" w14:textId="77777777" w:rsidR="00F64776" w:rsidRDefault="00F64776" w:rsidP="00F64776">
      <w:pPr>
        <w:pStyle w:val="TextoNormal"/>
      </w:pPr>
    </w:p>
    <w:p w14:paraId="46D25489" w14:textId="5FEFF980" w:rsidR="00F64776" w:rsidRDefault="00F64776" w:rsidP="00F64776">
      <w:pPr>
        <w:pStyle w:val="TextoNormal"/>
      </w:pPr>
      <w:r>
        <w:t>De acuerdo con esta consolidada doctrina, y de conformidad con lo alegado por el fiscal general del Estado, resulta procedente apreciar en este momento procesal que la presente cuestión resulta notoriamente infundada (art. 37.1 LOTC) y ha de ser por ello inadmitida, por las razones que seguidamente se exponen.</w:t>
      </w:r>
    </w:p>
    <w:p w14:paraId="7C2F2425" w14:textId="77777777" w:rsidR="00F64776" w:rsidRDefault="00F64776" w:rsidP="00F64776">
      <w:pPr>
        <w:pStyle w:val="TextoNormal"/>
      </w:pPr>
    </w:p>
    <w:p w14:paraId="49F8AA34" w14:textId="77777777" w:rsidR="00F64776" w:rsidRDefault="00F64776" w:rsidP="00F64776">
      <w:pPr>
        <w:pStyle w:val="TextoNormal"/>
      </w:pPr>
      <w:r w:rsidRPr="00F64776">
        <w:rPr>
          <w:rStyle w:val="NumeroAFNegritaCaracter"/>
        </w:rPr>
        <w:t>3</w:t>
      </w:r>
      <w:r>
        <w:t>. La duda de constitucionalidad del órgano judicial va dirigida contra la insuficiencia del art. 57.1 LOEx, que no incorpora las razones que pueden justificar la imposición de la sanción de expulsión (que, a su juicio, deben formar parte del tipo y no de la sanción), lo que ha obligado a que sea la jurisprudencia del Tribunal Supremo la que complete sus determinaciones para acomodar su aplicación a la sucesiva doctrina del Tribunal de Justicia de la Unión Europea en relación con su ajuste a la Directiva 2008/115/CE.</w:t>
      </w:r>
    </w:p>
    <w:p w14:paraId="02835CD1" w14:textId="77777777" w:rsidR="00F64776" w:rsidRDefault="00F64776" w:rsidP="00F64776">
      <w:pPr>
        <w:pStyle w:val="TextoNormal"/>
      </w:pPr>
    </w:p>
    <w:p w14:paraId="6EAA1C9C" w14:textId="77777777" w:rsidR="00F64776" w:rsidRDefault="00F64776" w:rsidP="00F64776">
      <w:pPr>
        <w:pStyle w:val="TextoNormal"/>
      </w:pPr>
      <w:r>
        <w:t>Como bien ha señalado el fiscal general del Estado en su escrito de alegaciones, este tribunal ya se ha pronunciado sobre la cuestión relativa a la conformidad del art. 57.1 LOEx con el art. 25.1 CE. Lo hizo, en primer lugar, en el ATC 409/2007, de 6 de noviembre, cuya doctrina fue reiterada en los AATC 454/2007, 455/2007 y 457/2007, todos de 12 de diciembre, al inadmitir una cuestión de inconstitucionalidad planteada en relación con dicho precepto, en la que el órgano judicial promotor de la cuestión entendía que resultaba contrario al art. 25.1 CE porque no contenía criterios ni pautas para imponer la sanción administrativa de multa o la de expulsión, apoderando sin límites a la administración para optar por una de las dos, lo que conducía a una falta de previsibilidad de las consecuencias sancionadoras de la entrada ilegal del ciudadano extranjero. Asimismo, declaramos la constitucionalidad del art. 57.1 LOEx —aplicando la previa doctrina del ATC 409/2007— en la STC 260/2007, de 20 de diciembre, que resolvió el recurso de inconstitucionalidad interpuesto por el Parlamento Vasco contra diversos preceptos de la Ley Orgánica 8/2000, de 22 de diciembre, de reforma de la Ley Orgánica 4/2000, de 11 de enero, sobre derechos y libertades de los extranjeros en España y su integración social.</w:t>
      </w:r>
    </w:p>
    <w:p w14:paraId="3BEF9E67" w14:textId="77777777" w:rsidR="00F64776" w:rsidRDefault="00F64776" w:rsidP="00F64776">
      <w:pPr>
        <w:pStyle w:val="TextoNormal"/>
      </w:pPr>
    </w:p>
    <w:p w14:paraId="3806CAD9" w14:textId="77777777" w:rsidR="00F64776" w:rsidRDefault="00F64776" w:rsidP="00F64776">
      <w:pPr>
        <w:pStyle w:val="TextoNormal"/>
      </w:pPr>
      <w:r>
        <w:t>En la STC 260/2007 negamos que el art. 57.1 LOEx resultara contrario al principio de legalidad sancionadora consagrado en el art. 25.1 CE, confirmando en su fundamento jurídico 7 el criterio, previamente sentado en el ATC 409/2007, de que “el precepto cuestionado no define conductas, sino que establece sanciones para las conductas tipificadas en el art. 53 de la Ley, disponiendo que cuando aquellas se realicen ‘podrá aplicarse en lugar de la sanción de multa la expulsión del territorio español, previa la tramitación del correspondiente expediente administrativo’, sin que de tal posibilidad se derive incumplimiento de lo dispuesto en el art. 25.1 CE en relación con la imperiosa exigencia de predeterminación normativa de las conductas ilícitas y de las sanciones correspondientes. Dicha predeterminación normativa supone la existencia de preceptos jurídicos (</w:t>
      </w:r>
      <w:r w:rsidRPr="00F64776">
        <w:rPr>
          <w:i/>
        </w:rPr>
        <w:t>lex previa</w:t>
      </w:r>
      <w:r>
        <w:t>) que permitan predecir con suficiente grado de certeza (</w:t>
      </w:r>
      <w:r w:rsidRPr="00F64776">
        <w:rPr>
          <w:i/>
        </w:rPr>
        <w:t>lex certa</w:t>
      </w:r>
      <w:r>
        <w:t>) las conductas infractoras y conocer de antemano a qué atenerse en cuanto a la aneja responsabilidad y a la eventual sanción de que pueda hacerse merecedor el infractor (SSTC 219/1989, de 21 de diciembre, FJ 4; 61/1990, de 29 de marzo, FJ 7, y 133/1999, de 15 de julio, FJ 2)”. Y precisamos, con cita de la STC 113/2002, de 9 de mayo, FJ 6, y del ATC 409/2007 que “la necesidad de que la ley predetermine suficientemente las infracciones y las sanciones, así como la correspondencia entre unas y otras, no implica un automatismo tal que suponga la exclusión de todo poder de apreciación por parte de los órganos administrativos a la hora de imponer una sanción concreta. Así lo ha reconocido este tribunal al decir en su STC 207/1990, de 17 de diciembre, FJ 3, que el establecimiento de dicha correspondencia ‘puede dejar márgenes más o menos amplios a la discrecionalidad judicial o administrativa’; lo que en modo alguno puede ocurrir es que quede ‘encomendada por entero a ella’, ya que ello equivaldría a una simple habilitación en blanco a la administración por norma legal vacía de contenido material propio, lo cual, como hemos dicho anteriormente (con cita de la STC 42/1987), contraviene frontalmente las exigencias constitucionales”.</w:t>
      </w:r>
    </w:p>
    <w:p w14:paraId="6A7CF5A4" w14:textId="77777777" w:rsidR="00F64776" w:rsidRDefault="00F64776" w:rsidP="00F64776">
      <w:pPr>
        <w:pStyle w:val="TextoNormal"/>
      </w:pPr>
    </w:p>
    <w:p w14:paraId="5E6B92DC" w14:textId="77777777" w:rsidR="00F64776" w:rsidRDefault="00F64776" w:rsidP="00F64776">
      <w:pPr>
        <w:pStyle w:val="TextoNormal"/>
      </w:pPr>
      <w:r>
        <w:t>En concreto, determinamos, tanto en el ATC 409/2007, FJ 3, como en la STC 260/2007, FJ 7, que el art. 57.1 LOEx no contiene esa habilitación en blanco a la administración: “En primer lugar, el art. 57, apartados 5 y 6 de la Ley Orgánica 4/2000 acota negativamente el ámbito de aplicación de la sanción de expulsión. En segundo lugar, el art. 55, apartado 3 establece criterios para la aplicación de dicha sanción al regular la graduación de las sanciones establecidas en la Ley. Finalmente, el art. 50 remite a lo establecido en el art. 131 de la Ley 30/1992 [referencia que, actualmente, ha de entenderse hecha al art. 29 de la Ley 40/2015, de 1 de octubre, de régimen jurídico del sector público] en concreción del principio de proporcionalidad y los criterios de graduación de la sanción a aplicar en el curso de un procedimiento administrativo que deberá acomodarse a las exigencias del art. 20, apartado 2 de la misma Ley Orgánica 4/2000”.</w:t>
      </w:r>
    </w:p>
    <w:p w14:paraId="44C3C61D" w14:textId="77777777" w:rsidR="00F64776" w:rsidRDefault="00F64776" w:rsidP="00F64776">
      <w:pPr>
        <w:pStyle w:val="TextoNormal"/>
      </w:pPr>
    </w:p>
    <w:p w14:paraId="712EF9F1" w14:textId="77777777" w:rsidR="00F64776" w:rsidRDefault="00F64776" w:rsidP="00F64776">
      <w:pPr>
        <w:pStyle w:val="TextoNormal"/>
      </w:pPr>
      <w:r>
        <w:t>En todo caso, se recordó la doctrina establecida en la STC 113/2002, FJ 7, según la cual, el hecho de que la sanción pueda imponerse con carácter potestativo, como así permite hacer el precepto ahora cuestionado (“podrá aplicarse”), sin fijar unos criterios específicos que sirvan como orientación para decidir sobre su imposición y graduación, no supone la consagración legal de una inadmisible discrecionalidad a favor de la administración sancionadora, por lo que, al igual que en aquella resolución, “también aquí se puede afirmar, en un examen preliminar, que el precepto cuestionado cumple con las exigencias de predeterminación normativa y certeza que se derivan de los principios de legalidad y seguridad jurídica consagrados en los arts. 25.1 y 9.3 CE, pues la imposición de la sanción de expulsión no depende de la absoluta discrecionalidad de la administración, cuya actuación se encuentra condicionada, de una parte, por la existencia de una conducta tipificable como infracción grave [art. 53 a) de la Ley Orgánica 4/2000], y, por otra, por la concurrencia de los criterios establecidos en la misma Ley o por la remisión de esta a la Ley 30/1992. Tal como afirma el fiscal general del Estado en sus alegaciones, la Ley establece unos presupuestos objetivos y subjetivos, así como unos criterios de aplicación que condicionan normativamente a la administración para decidir cuándo procede la imposición de la sanción de expulsión y permiten el control jurisdiccional de sus decisiones” (ATC 409/2007, FJ 3, y STC 260/207, FJ 7).</w:t>
      </w:r>
    </w:p>
    <w:p w14:paraId="1670A59C" w14:textId="77777777" w:rsidR="00F64776" w:rsidRDefault="00F64776" w:rsidP="00F64776">
      <w:pPr>
        <w:pStyle w:val="TextoNormal"/>
      </w:pPr>
    </w:p>
    <w:p w14:paraId="3923F698" w14:textId="77777777" w:rsidR="00F64776" w:rsidRDefault="00F64776" w:rsidP="00F64776">
      <w:pPr>
        <w:pStyle w:val="TextoNormal"/>
      </w:pPr>
      <w:r>
        <w:t>En el presente supuesto, el planteamiento del órgano judicial promotor de la cuestión parte de la misma premisa: la ausencia en la Ley de las circunstancias agravantes que permitan decidir la imposición de la sanción de expulsión, que, a mayor abundamiento, considera que deberían incluirse en el tipo y no en el precepto que determina la sanción a imponer. Esa duda de constitucionalidad ha de ser rechazada al amparo de la doctrina que establecieron en su día el ATC 409/2007 y la STC 260/2007, debiendo reiterarse aquí que, como en dichas resoluciones se argumentó, el art. 57.1 LOEx no define conductas, sino que se refiere a unas muy concretas, que ya se encuentran tipificadas como muy graves en el art. 54, o como graves en los apartados a), b), c), d) y f) del artículo 53.1. Y, respecto de estas, la sanción de expulsión no depende de la absoluta discrecionalidad de la administración, cuya actuación se encuentra condicionada por los límites que establece la propia Ley Orgánica, sin que sea exigible a esta la inclusión de un agotador listado de criterios o circunstancias agravantes, que nunca podría abarcar todas las situaciones posibles, en cuya apreciación es esencial la labor de los órganos jurisdiccionales al examinar las circunstancias de cada caso, en ejercicio de su función revisora de la actuación administrativa.</w:t>
      </w:r>
    </w:p>
    <w:p w14:paraId="36252416" w14:textId="77777777" w:rsidR="00F64776" w:rsidRDefault="00F64776" w:rsidP="00F64776">
      <w:pPr>
        <w:pStyle w:val="TextoNormal"/>
      </w:pPr>
    </w:p>
    <w:p w14:paraId="5B6BF6A7" w14:textId="60FD41E6" w:rsidR="00F64776" w:rsidRDefault="00F64776" w:rsidP="00F64776">
      <w:pPr>
        <w:pStyle w:val="TextoNormal"/>
      </w:pPr>
      <w:r>
        <w:t>Debemos añadir una consideración más, coincidente con lo alegado por el fiscal general del Estado, y que refuerza los argumentos ya expuestos en pro de la constitucionalidad del precepto cuestionado: los pronunciamientos de este tribunal sobre el respeto del principio de legalidad del art. 25.1 CE por parte del art. 57.1 LOEx, a los que nos hemos referido, se produjeron en relación con la redacción dada al mismo por la Ley Orgánica 8/2000, de 22 de diciembre, mientras que aquí se cuestiona la constitucionalidad de la redacción incluida por la Ley Orgánica 2/2009, de 11 de diciembre, de reforma de la Ley Orgánica 4/2000, de 11 de enero, sobre derechos y libertades de los extranjeros en España y su integración social. Y, en esta última, se incluye expresamente una previsión que sujeta a la administración al deber de actuar de conformidad con unas pautas que ya habían quedado asentadas en la doctrina constitucional, al disponer que “podrá aplicarse, en atención al principio de proporcionalidad, en lugar de la sanción de multa, la expulsión del territorio español, previa la tramitación del correspondiente expediente administrativo y mediante la resolución motivada que valore los hechos que configuran la infracción”. Esto es, la imposición de la sanción de expulsión requiere respetar en todo caso el principio de proporcionalidad, lo que implica una labor de ponderación en la decisión administrativa, y, además, se exige a la administración la tramitación de un expediente, con las debidas garantías, que concluya con una resolución en la que se motive cumplidamente que, en atención a las circunstancias fácticas del caso, procede imponer al extranjero sujeto al expediente la sanción de expulsión y no la de multa prevista inicialmente en el art. 55 LOEx. Se añade así en la propia Ley un régimen más garantista aún, que refleja la doctrina constitucional derivada de los pronunciamientos de este Tribunal Constitucional en la materia.</w:t>
      </w:r>
    </w:p>
    <w:p w14:paraId="22E1EAF0" w14:textId="77777777" w:rsidR="00F64776" w:rsidRDefault="00F64776" w:rsidP="00F64776">
      <w:pPr>
        <w:pStyle w:val="TextoNormal"/>
      </w:pPr>
    </w:p>
    <w:p w14:paraId="7D4BCCB6" w14:textId="11173A99" w:rsidR="00F64776" w:rsidRDefault="00F64776" w:rsidP="00F64776">
      <w:pPr>
        <w:pStyle w:val="TextoNormal"/>
      </w:pPr>
      <w:r w:rsidRPr="00F64776">
        <w:rPr>
          <w:rStyle w:val="NumeroAFNegritaCaracter"/>
        </w:rPr>
        <w:t>4</w:t>
      </w:r>
      <w:r>
        <w:t>. Por lo demás, cabe añadir que, también en la vía de amparo, hemos reiterado el previo reconocimiento de la constitucionalidad del art. 57.1 LOEx al examinar recursos que traían causa de acuerdos de expulsión de ciudadanos extranjeros adoptados en aplicación de dicho precepto, en los cuales se ha puesto de relieve de manera meridiana que, siendo la multa la sanción prevista normalmente en el art. 55 LOEx para las infracciones tipificadas en los arts. 52 a 54 (entre ellas, la de estancia irregular en territorio español), la administración no goza de una absoluta discrecionalidad para poder sustituir aquella por la sanción de expulsión del art. 57.1. Por el contrario, se encuentra sujeta a unos presupuestos objetivos y subjetivos, así como a unos criterios de aplicación que condicionan normativamente su decisión y, entre ellos, la necesidad de someterse al principio de proporcionalidad y de motivar en debida forma, en el marco de este último, la justificación de su decisión, lo que implica que la administración debe hacer expresas las razones por las que, valorando los criterios establecidos legalmente para la graduación de las sanciones, opta en el caso concreto por la sustitución de la sanción de multa por la de expulsión (SSTC 140/2009, de 15 de junio, FFJJ 3 y 5, y 145/2011, de 26 de septiembre, FJ 4).</w:t>
      </w:r>
    </w:p>
    <w:p w14:paraId="175F9ED9" w14:textId="77777777" w:rsidR="00F64776" w:rsidRDefault="00F64776" w:rsidP="00F64776">
      <w:pPr>
        <w:pStyle w:val="TextoNormal"/>
      </w:pPr>
    </w:p>
    <w:p w14:paraId="0C775B60" w14:textId="77777777" w:rsidR="00F64776" w:rsidRDefault="00F64776" w:rsidP="00F64776">
      <w:pPr>
        <w:pStyle w:val="TextoNormal"/>
      </w:pPr>
      <w:r w:rsidRPr="00F64776">
        <w:rPr>
          <w:rStyle w:val="NumeroAFNegritaCaracter"/>
        </w:rPr>
        <w:t>5</w:t>
      </w:r>
      <w:r>
        <w:t xml:space="preserve">. En conclusión, las dudas de constitucionalidad del órgano judicial </w:t>
      </w:r>
      <w:r w:rsidRPr="00F64776">
        <w:rPr>
          <w:i/>
        </w:rPr>
        <w:t>a quo</w:t>
      </w:r>
      <w:r>
        <w:t xml:space="preserve"> que han dado lugar al planteamiento de la presente cuestión de inconstitucionalidad carecen de todo fundamento, toda vez que la posible infracción del principio de legalidad sancionadora que se deriva del art. 25.1 CE, debida al no establecimiento en el art. 57.1 LOEx de las circunstancias agravantes que justificarían la imposición de la sanción de expulsión en lugar de la de multa, ya ha sido descartada por este Tribunal Constitucional en anteriores pronunciamientos, en los que ha dejado claro tanto el carácter sancionador del precepto como que el mismo incluye las garantías necesarias para dar satisfacción a las exigencias de certeza o taxatividad que impone el precepto constitucional cuya vulneración fundamentaba el planteamiento de la cuestión.</w:t>
      </w:r>
    </w:p>
    <w:p w14:paraId="45A4E4AB" w14:textId="77777777" w:rsidR="00F64776" w:rsidRDefault="00F64776" w:rsidP="00F64776">
      <w:pPr>
        <w:pStyle w:val="TextoNormal"/>
      </w:pPr>
    </w:p>
    <w:p w14:paraId="07DC285A" w14:textId="61E55D05" w:rsidR="00F64776" w:rsidRDefault="00F64776" w:rsidP="00F64776">
      <w:pPr>
        <w:pStyle w:val="TextoNormal"/>
      </w:pPr>
      <w:r>
        <w:t>Por consiguiente, procede inadmitir la presente cuestión de inconstitucionalidad, por resultar notoriamente infundada.</w:t>
      </w:r>
    </w:p>
    <w:p w14:paraId="0B40850D" w14:textId="77777777" w:rsidR="00F64776" w:rsidRDefault="00F64776" w:rsidP="00F64776">
      <w:pPr>
        <w:pStyle w:val="TextoNormal"/>
      </w:pPr>
    </w:p>
    <w:p w14:paraId="36A86451" w14:textId="77777777" w:rsidR="00F64776" w:rsidRDefault="00F64776" w:rsidP="00F64776">
      <w:pPr>
        <w:pStyle w:val="TextoNormal"/>
      </w:pPr>
      <w:r>
        <w:t>Por lo expuesto, el Pleno</w:t>
      </w:r>
    </w:p>
    <w:p w14:paraId="4CF007B4" w14:textId="2F6451F1" w:rsidR="00F64776" w:rsidRDefault="00F64776" w:rsidP="00F64776">
      <w:pPr>
        <w:pStyle w:val="TextoNormal"/>
      </w:pPr>
    </w:p>
    <w:p w14:paraId="1EFBBFC0" w14:textId="77777777" w:rsidR="00F64776" w:rsidRDefault="00F64776" w:rsidP="00F64776">
      <w:pPr>
        <w:pStyle w:val="TextoNormalCentrado"/>
      </w:pPr>
      <w:r>
        <w:t>ACUERDA</w:t>
      </w:r>
    </w:p>
    <w:p w14:paraId="1811A90C" w14:textId="788EF28B" w:rsidR="00F64776" w:rsidRDefault="00F64776" w:rsidP="00F64776">
      <w:pPr>
        <w:pStyle w:val="TextoNormalCentrado"/>
      </w:pPr>
    </w:p>
    <w:p w14:paraId="0D8D1B35" w14:textId="795974C7" w:rsidR="00F64776" w:rsidRDefault="00F64776" w:rsidP="00F64776">
      <w:pPr>
        <w:pStyle w:val="TextoNormal"/>
      </w:pPr>
      <w:r>
        <w:t>Inadmitir a trámite la presente cuestión de inconstitucionalidad.</w:t>
      </w:r>
    </w:p>
    <w:p w14:paraId="2EE0442B" w14:textId="77777777" w:rsidR="00F64776" w:rsidRDefault="00F64776" w:rsidP="00F64776">
      <w:pPr>
        <w:pStyle w:val="TextoNormal"/>
      </w:pPr>
    </w:p>
    <w:p w14:paraId="1632D79E" w14:textId="77777777" w:rsidR="00F64776" w:rsidRDefault="00F64776" w:rsidP="00F64776">
      <w:pPr>
        <w:pStyle w:val="TextoNormal"/>
      </w:pPr>
      <w:r>
        <w:t>Madrid, a veintiuno de noviembre de dos mil veintitrés.</w:t>
      </w:r>
    </w:p>
    <w:p w14:paraId="3E0E8941" w14:textId="4EB45050" w:rsidR="00F64776" w:rsidRDefault="00F64776">
      <w:pPr>
        <w:spacing w:after="160" w:line="278" w:lineRule="auto"/>
        <w:rPr>
          <w:rFonts w:ascii="Times New Roman" w:eastAsia="Times New Roman" w:hAnsi="Times New Roman" w:cs="Times New Roman"/>
          <w:sz w:val="24"/>
          <w:szCs w:val="24"/>
          <w:lang w:eastAsia="es-ES"/>
        </w:rPr>
      </w:pPr>
      <w:r>
        <w:br w:type="page"/>
      </w:r>
    </w:p>
    <w:p w14:paraId="553EE917" w14:textId="77777777" w:rsidR="00F64776" w:rsidRDefault="00F64776" w:rsidP="00F64776">
      <w:pPr>
        <w:pStyle w:val="TtuloResolucin"/>
      </w:pPr>
      <w:bookmarkStart w:id="389" w:name="AUTO_2023_604"/>
      <w:r>
        <w:t>AUTO 604/2023, de 21 de noviembre de 2023</w:t>
      </w:r>
    </w:p>
    <w:bookmarkEnd w:id="389"/>
    <w:p w14:paraId="4BF8F8BF" w14:textId="77777777" w:rsidR="00F64776" w:rsidRDefault="00F64776" w:rsidP="00F64776">
      <w:pPr>
        <w:pStyle w:val="TtuloResolucin"/>
      </w:pPr>
      <w:r>
        <w:t>Pleno</w:t>
      </w:r>
    </w:p>
    <w:p w14:paraId="54BCCCB8" w14:textId="77777777" w:rsidR="00F64776" w:rsidRDefault="00F64776" w:rsidP="00F64776">
      <w:pPr>
        <w:pStyle w:val="TextoNormalCentrado"/>
      </w:pPr>
      <w:r>
        <w:t>ECLI:ES:TC:2023:604A</w:t>
      </w:r>
    </w:p>
    <w:p w14:paraId="21109454" w14:textId="1417163D" w:rsidR="00F64776" w:rsidRDefault="00F64776" w:rsidP="00F64776">
      <w:pPr>
        <w:pStyle w:val="TextoNormalCentrado"/>
      </w:pPr>
    </w:p>
    <w:p w14:paraId="1B91AA78" w14:textId="77777777" w:rsidR="00F64776" w:rsidRDefault="00F64776" w:rsidP="00F64776">
      <w:pPr>
        <w:pStyle w:val="SntesisDescriptiva"/>
      </w:pPr>
      <w:r>
        <w:t>Excms. Srs. don Cándido Conde-Pumpido Tourón,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w:t>
      </w:r>
    </w:p>
    <w:p w14:paraId="018F30DE" w14:textId="0AE202CA" w:rsidR="00F64776" w:rsidRDefault="00F64776" w:rsidP="00F64776">
      <w:pPr>
        <w:pStyle w:val="SntesisDescriptiva"/>
      </w:pPr>
    </w:p>
    <w:p w14:paraId="54807FF4" w14:textId="77777777" w:rsidR="00F64776" w:rsidRDefault="00F64776" w:rsidP="00F64776">
      <w:pPr>
        <w:pStyle w:val="SntesisDescriptiva"/>
      </w:pPr>
      <w:r>
        <w:t>Inadmite a trámite la cuestión de inconstitucionalidad 5470-2023, planteada por la Sección Primera de la Sala de lo Contencioso-Administrativo del Tribunal Superior de Justicia de la Región de Murcia, en relación con la disposición transitoria quinta de la Ley de la Asamblea Regional de Murcia 6/2019, de 4 de abril, de coordinación de las policías locales de la Comunidad Autónoma de la Región de Murcia.</w:t>
      </w:r>
    </w:p>
    <w:p w14:paraId="445F9EFB" w14:textId="219B0E4E" w:rsidR="00F64776" w:rsidRDefault="00F64776" w:rsidP="00F64776">
      <w:pPr>
        <w:pStyle w:val="SntesisDescriptiva"/>
      </w:pPr>
    </w:p>
    <w:p w14:paraId="4D60AC38" w14:textId="77777777" w:rsidR="00F64776" w:rsidRDefault="00F64776" w:rsidP="00F64776">
      <w:pPr>
        <w:pStyle w:val="SntesisDescriptiva"/>
      </w:pPr>
    </w:p>
    <w:p w14:paraId="0FBF6DC5" w14:textId="77777777" w:rsidR="00F64776" w:rsidRDefault="00F64776" w:rsidP="00F64776">
      <w:pPr>
        <w:pStyle w:val="SntesisDescriptiva"/>
      </w:pPr>
    </w:p>
    <w:p w14:paraId="0AE833A8" w14:textId="77777777" w:rsidR="00F64776" w:rsidRDefault="00F64776" w:rsidP="00F64776">
      <w:pPr>
        <w:pStyle w:val="TextoNormalNegritaCentrado"/>
      </w:pPr>
      <w:r>
        <w:t>AUTO</w:t>
      </w:r>
    </w:p>
    <w:p w14:paraId="50B07BA8" w14:textId="1D84CE39" w:rsidR="00F64776" w:rsidRDefault="00F64776" w:rsidP="00F64776">
      <w:pPr>
        <w:pStyle w:val="TextoNormalNegritaCentrado"/>
      </w:pPr>
    </w:p>
    <w:p w14:paraId="2B5971B5" w14:textId="77777777" w:rsidR="00F64776" w:rsidRDefault="00F64776" w:rsidP="00F64776">
      <w:pPr>
        <w:pStyle w:val="TextoNormalNegritaCentrado"/>
        <w:keepNext/>
      </w:pPr>
      <w:r>
        <w:t>I. Antecedentes</w:t>
      </w:r>
    </w:p>
    <w:p w14:paraId="4D2D090C" w14:textId="53C0ED38" w:rsidR="00F64776" w:rsidRDefault="00F64776" w:rsidP="00F64776">
      <w:pPr>
        <w:pStyle w:val="TextoNormalNegritaCentrado"/>
        <w:keepNext/>
      </w:pPr>
    </w:p>
    <w:p w14:paraId="062235B2" w14:textId="6458F40A" w:rsidR="00F64776" w:rsidRDefault="00F64776" w:rsidP="00F64776">
      <w:pPr>
        <w:pStyle w:val="TextoNormal"/>
      </w:pPr>
      <w:r w:rsidRPr="00F64776">
        <w:rPr>
          <w:rStyle w:val="NumeroAFNegritaCaracter"/>
        </w:rPr>
        <w:t>1</w:t>
      </w:r>
      <w:r>
        <w:t>. En fecha 2 de agosto de 2023 ha tenido entrada en el registro general de este tribunal el oficio de 23 de mayo de 2023 firmado por el letrado de la administración de justicia de la Sección Primera de la Sala de lo Contencioso-Administrativo del Tribunal Superior de Justicia de la Región de Murcia. Al referido oficio se adjunta, con el testimonio de las actuaciones, el auto de 15 de mayo de 2023, en el que el citado órgano judicial acuerda plantear cuestión de inconstitucionalidad respecto de la disposición transitoria quinta de la Ley 6/2019, de 4 de abril, de coordinación de las policías locales de la Región de Murcia.</w:t>
      </w:r>
    </w:p>
    <w:p w14:paraId="13BD4EAA" w14:textId="77777777" w:rsidR="00F64776" w:rsidRDefault="00F64776" w:rsidP="00F64776">
      <w:pPr>
        <w:pStyle w:val="TextoNormal"/>
      </w:pPr>
    </w:p>
    <w:p w14:paraId="5EABB3EB" w14:textId="77777777" w:rsidR="00F64776" w:rsidRDefault="00F64776" w:rsidP="00F64776">
      <w:pPr>
        <w:pStyle w:val="TextoNormal"/>
      </w:pPr>
      <w:r w:rsidRPr="00F64776">
        <w:rPr>
          <w:rStyle w:val="NumeroAFNegritaCaracter"/>
        </w:rPr>
        <w:t>2</w:t>
      </w:r>
      <w:r>
        <w:t>. Los hechos de los que trae causa la cuestión de inconstitucionalidad son, en síntesis, los siguientes:</w:t>
      </w:r>
    </w:p>
    <w:p w14:paraId="45A84307" w14:textId="77777777" w:rsidR="00F64776" w:rsidRDefault="00F64776" w:rsidP="00F64776">
      <w:pPr>
        <w:pStyle w:val="TextoNormal"/>
      </w:pPr>
    </w:p>
    <w:p w14:paraId="010D1329" w14:textId="77777777" w:rsidR="00F64776" w:rsidRDefault="00F64776" w:rsidP="00F64776">
      <w:pPr>
        <w:pStyle w:val="TextoNormal"/>
      </w:pPr>
      <w:r>
        <w:t>a) En fecha 22 de julio de 2020, don Alfonso Hernández Álvarez, Policía Local del Ayuntamiento de Molina de Segura, presentó ante dicha administración pública una reclamación de derechos y cantidad en la que solicitaba su integración “en el grupo B con las retribuciones económicas correspondientes a dicho grupo, y desde enero del año 2020 que entró en vigor el ejercicio presupuestario municipal”. Para justificar esta petición, el solicitante señala, sucintamente expuesto, lo siguiente: (i) conforme al art. 22 de la Ley 6/2019, de 4 de abril, de coordinación de las policías locales de la Región de Murcia, la “categoría de subinspector se clasifica en el grupo B”; (ii) de acuerdo con el art. 27 de la misma norma legal corresponde a cada ayuntamiento aprobar la relación de puestos de trabajo (en adelante RPT), en la que debe incluirse “el grupo de clasificación profesional” al que está adscrita la plaza, que debe adecuarse “a las categorías y escalas previstas en la ley”; (iii) la disposición transitoria quinta de la Ley 6/2019 establece, a su vez, que “[e]n el plazo de cuatro años a contar desde la entrada en vigor de esta ley” el personal funcionario perteneciente a la categoría de cabo que se encuentre en posesión de la “titulación exigida en la normativa básica sobre función pública para el ingreso en los cuerpos y escalas del grupo B” debe quedar integrado “a todos los efectos” en dicho grupo; (iv) el párrafo 10 del apartado III del preámbulo de la ley reconoce, asimismo, que la nueva categoría de “subinspector” se corresponde con la “actual cabo” y afirma que con la nueva clasificación profesional se pretende “reconocer […] la labor desempeñada por este personal funcionario que, en la mayoría de los municipios, asume la responsabilidad de la jefatura de los servicios, áreas, unidades”; (v) entiende, finalmente, el solicitante que el reconocimiento de la categoría de subinspector a los antiguos cabos “no debería verse afectada por una interpretación discrecional del plazo de cuatro años para la adaptación e integración del grupo B”.</w:t>
      </w:r>
    </w:p>
    <w:p w14:paraId="6625DBF9" w14:textId="77777777" w:rsidR="00F64776" w:rsidRDefault="00F64776" w:rsidP="00F64776">
      <w:pPr>
        <w:pStyle w:val="TextoNormal"/>
      </w:pPr>
    </w:p>
    <w:p w14:paraId="16716602" w14:textId="77777777" w:rsidR="00F64776" w:rsidRDefault="00F64776" w:rsidP="00F64776">
      <w:pPr>
        <w:pStyle w:val="TextoNormal"/>
      </w:pPr>
      <w:r>
        <w:t>b) En fecha 27 de febrero de 2021, don Alfonso Hernández Álvarez presentó recurso contencioso-administrativo frente a la desestimación presunta de la anterior reclamación de integración, a todos los efectos, en el grupo profesional B. En ella reitera la fundamentación jurídica de la previa reclamación en vía administrativa. Añade, como datos fácticos de relevancia, que presta sus servicios “como funcionario de carrera para el Ayuntamiento de Molina de Segura, con la categoría de subinspector de la Policía local, grupo B (antiguos cabos, grupo C1), con una antigüedad de 23 de julio de 1997, percibiendo las retribuciones correspondientes a la misma” y que el Ayuntamiento de Molina de Segura, en sesión extraordinaria celebrada el 31 de julio de 2020 aprobó la RPT de 2020 [“Boletín Oficial de la Región de Murcia” (“BORM”) núm. 198, de 27 de agosto de 2020] “en la que se incluye la categoría de subinspectores, con el grupo B/C1 a extinguir y con una titulación exigida de técnico superior, requisito que ostento al ser licenciado en Criminología por la Universidad de Murcia”. Este título universitario se aporta como documento adjunto.</w:t>
      </w:r>
    </w:p>
    <w:p w14:paraId="4D727A95" w14:textId="77777777" w:rsidR="00F64776" w:rsidRDefault="00F64776" w:rsidP="00F64776">
      <w:pPr>
        <w:pStyle w:val="TextoNormal"/>
      </w:pPr>
    </w:p>
    <w:p w14:paraId="151216F3" w14:textId="77777777" w:rsidR="00F64776" w:rsidRDefault="00F64776" w:rsidP="00F64776">
      <w:pPr>
        <w:pStyle w:val="TextoNormal"/>
      </w:pPr>
      <w:r>
        <w:t>c) La demanda fue turnada al Juzgado de lo Contencioso-Administrativo núm. 6 de Murcia y dio lugar al procedimiento abreviado 101-2021. En él se personó el Ayuntamiento de Molina de Segura, que, en la vista celebrada el 14 de diciembre de 2021 se opuso a la pretensión del actor alegando que aún no había expirado el plazo de cuatro años establecido por la propia disposición transitoria quinta de la Ley 6/2019 para reconocer la integración en el grupo B. También alegó que, conforme al apartado 2 de la referida disposición, esa integración no puede suponer incremento del gasto público ni modificación de las retribuciones totales anuales.</w:t>
      </w:r>
    </w:p>
    <w:p w14:paraId="16A68271" w14:textId="77777777" w:rsidR="00F64776" w:rsidRDefault="00F64776" w:rsidP="00F64776">
      <w:pPr>
        <w:pStyle w:val="TextoNormal"/>
      </w:pPr>
    </w:p>
    <w:p w14:paraId="43437C15" w14:textId="77777777" w:rsidR="00F64776" w:rsidRDefault="00F64776" w:rsidP="00F64776">
      <w:pPr>
        <w:pStyle w:val="TextoNormal"/>
      </w:pPr>
      <w:r>
        <w:t>d) En fecha 21 de diciembre de 2021 el referido juzgado dictó la sentencia núm. 281/2021, estimatoria de la demanda. En cuanto al punto de oposición fundamental planteado por el ayuntamiento demandado, la sentencia considera que una interpretación sistemática de los arts. 22 y 27 y de la propia disposición transitoria quinta de la Ley 6/2019 permite inferir que “la integración puede solicitarse, no solo cuando transcurridos cuatro años desde la entrada en vigor de la ley no ha tenido lugar (como opone el ayuntamiento), sino también cuando habiéndose adaptado la estructura de puestos de trabajo de la Policía Local a lo que exige la ley no existe obstáculo para la integración, situación que es la que tiene lugar en el presente caso en que desde agosto de 2020 el ayuntamiento cuenta con una RPT que permite la integración prevista por la ley sin necesidad de esperar al transcurso del plazo de cuatro años”. Constata, en este punto, que la RPT para el ejercicio 2020 (publicada en el ‘BORM’ núm. 128, de 27 de agosto de 2020) detalla “el número de puestos por cada puesto de trabajo, el tipo de relación de empleo, el grupo de pertenencia, la escala y subescala, el complemento específico y la forma de provisión”. En consecuencia, el juzgado declara en el fallo de la sentencia el derecho del actor “a ser incluido en el grupo profesional B, con las consecuencias económicas inherentes teniendo en cuenta, en todo caso, lo que dispone el apartado 2 [de la propia disposición transitoria quinta]”. Esa salvedad, según se añade en el fundamento jurídico segundo de la sentencia, que consiste la exigencia de que no se produzca incremento del gasto público ni modificaciones de las retribuciones totales anuales, implica, en definitiva, la necesaria minoración de las retribuciones complementarias del actor para compensar el aumento de su sueldo base.</w:t>
      </w:r>
    </w:p>
    <w:p w14:paraId="78BAD075" w14:textId="77777777" w:rsidR="00F64776" w:rsidRDefault="00F64776" w:rsidP="00F64776">
      <w:pPr>
        <w:pStyle w:val="TextoNormal"/>
      </w:pPr>
    </w:p>
    <w:p w14:paraId="4446A773" w14:textId="77777777" w:rsidR="00F64776" w:rsidRDefault="00F64776" w:rsidP="00F64776">
      <w:pPr>
        <w:pStyle w:val="TextoNormal"/>
      </w:pPr>
      <w:r>
        <w:t>e) En fecha 13 de enero de 2021, el Ayuntamiento de Molina de Segura presentó recurso de apelación contra la sentencia. En su escrito de interposición considera que la disposición transitoria quinta concede “un plazo de cuatro años a contar desde la entrada en vigor de la ley para integrar en dicho grupo [B] al personal que se encuentre en posesión de la titulación exigida en la normativa”. Explica el letrado del ayuntamiento que lo que realmente se requiere para la integración es la conversión de las plazas de plantilla y no de los puestos de trabajo que figuran en la RPT, que solo determinaría a qué grupo hay que pertenecer para ocupar un determinado puesto, pero no otorga por sí misma “el grupo de clasificación profesional”. Por esta razón entiende que “la integración del personal que ocupaba las plazas de subinspector y que cumple los requisitos de titulación en el grupo B, se hará mediante la conversión al grupo B de la plaza que ocupan en plantilla”, modificación esta que “no se ha realizado aún, al tener plazo para ello hasta el día 6 de octubre de 2023” según la referida disposición transitoria. Es, pues, la plantilla de personal del consistorio, que se establece anualmente con ocasión de la aprobación del presupuesto, el instrumento que ha de dar lugar al cumplimiento de lo exigido en la disposición transitoria quinta de la Ley 6/2019. La RPT solo define el puesto de trabajo. El argumento del juzgado según el cual, una vez elaborada una RPT completamente adaptada a la nueva normativa el ayuntamiento ya está en situación de dar cumplimiento a la disposición aludida sería, por tanto, erróneo.</w:t>
      </w:r>
    </w:p>
    <w:p w14:paraId="4C1386A1" w14:textId="77777777" w:rsidR="00F64776" w:rsidRDefault="00F64776" w:rsidP="00F64776">
      <w:pPr>
        <w:pStyle w:val="TextoNormal"/>
      </w:pPr>
    </w:p>
    <w:p w14:paraId="3022226E" w14:textId="77777777" w:rsidR="00F64776" w:rsidRDefault="00F64776" w:rsidP="00F64776">
      <w:pPr>
        <w:pStyle w:val="TextoNormal"/>
      </w:pPr>
      <w:r>
        <w:t>f) Hallándose el rollo de apelación núm. 195-2022 únicamente pendiente del dictado de sentencia, el Ayuntamiento de Molina de Aragón presentó un escrito de fecha 27 de febrero de 2023 con el siguiente suplico:</w:t>
      </w:r>
    </w:p>
    <w:p w14:paraId="2C1014DF" w14:textId="77777777" w:rsidR="00F64776" w:rsidRDefault="00F64776" w:rsidP="00F64776">
      <w:pPr>
        <w:pStyle w:val="TextoNormal"/>
      </w:pPr>
    </w:p>
    <w:p w14:paraId="5762CD26" w14:textId="77777777" w:rsidR="00F64776" w:rsidRDefault="00F64776" w:rsidP="00F64776">
      <w:pPr>
        <w:pStyle w:val="TextoNormal"/>
      </w:pPr>
      <w:r>
        <w:t>“A la Sala suplico en el supuesto de que la Sala a la que tengo el honor de dirigirme considere que la Ley 6/2019, de 4 de abril, de coordinación de las policías locales de la Comunidad Autónoma de la Región de Murcia, pudiera ser contraria a la Constitución y más concretamente al art. 149.1.18 y 103.3, en relación con los artículos 18.1 del Real Decreto Legislativo 5/2015, de 30 de octubre, por el que se aprueba el texto refundido de la Ley del estatuto básico del empleado público, y con el art. 163 c) del citado texto legal y que de la validez de dichas normas de rango legal pueda depender el fallo, interesamos que se plantee cuestión de inconstitucionalidad respecto del artículo 22 y la disposición transitoria quinta de la Ley 6/2019, de 4 de abril de coordinación de las policías locales de la Comunidad Autónoma de la Región de Murcia”.</w:t>
      </w:r>
    </w:p>
    <w:p w14:paraId="353BBF69" w14:textId="77777777" w:rsidR="00F64776" w:rsidRDefault="00F64776" w:rsidP="00F64776">
      <w:pPr>
        <w:pStyle w:val="TextoNormal"/>
      </w:pPr>
    </w:p>
    <w:p w14:paraId="38366BDB" w14:textId="77777777" w:rsidR="00F64776" w:rsidRDefault="00F64776" w:rsidP="00F64776">
      <w:pPr>
        <w:pStyle w:val="TextoNormal"/>
      </w:pPr>
      <w:r>
        <w:t>En el cuerpo del escrito, el letrado del ayuntamiento argumenta que la integración en el grupo B prevista en el art. 22 y en la disposición transitoria quinta de la Ley 6/2019 supone “una promoción automática de un grupo inferior, el grupo C, subgrupo C1, a un grupo superior, el grupo B”. Ese automatismo vulnera lo previsto en el art. 18.1 en el texto refundido de la Ley del estatuto básico del empleado público (TRLEEP), “el cual establece el régimen de la promoción interna de los funcionarios de carrera y exige que se realice ‘mediante procesos selectivos que garanticen el cumplimiento de los principios constitucionales de igualdad, mérito y capacidad así como los contemplados en el artículo 55.2 de este estatuto’”. Esto mismo “reitera el art. 18.2 al disponer que ‘los funcionarios deberán poseer los requisitos exigidos para el ingreso, tener una antigüedad de, al menos, dos años de servicio activo en el inferior subgrupo, o grupo de clasificación profesional, en el supuesto de que este no tenga subgrupo y superar las correspondientes pruebas selectivas’”. Añade el letrado que el art. 3.2 TRLEEP prevé expresamente la aplicación directa de esta normativa a los cuerpos de Policía local, tal y como confirmaría el art. 92 de la Ley 7/1985, de 2 de abril, reguladora de las bases del régimen local.</w:t>
      </w:r>
    </w:p>
    <w:p w14:paraId="6364640A" w14:textId="77777777" w:rsidR="00F64776" w:rsidRDefault="00F64776" w:rsidP="00F64776">
      <w:pPr>
        <w:pStyle w:val="TextoNormal"/>
      </w:pPr>
    </w:p>
    <w:p w14:paraId="47A789E0" w14:textId="77777777" w:rsidR="00F64776" w:rsidRDefault="00F64776" w:rsidP="00F64776">
      <w:pPr>
        <w:pStyle w:val="TextoNormal"/>
      </w:pPr>
      <w:r>
        <w:t>La Ley 6/2019 prescinde, en definitiva, del requisito de superar unas pruebas selectivas “al disponer que solo es preceptiva la titulación académica correspondiente”. Entiende el letrado que la citada ley incurre, por ello, en “inconstitucionalidad mediata con las normas básicas aplicables”, con cita de los arts. 16.3 c), 18.1 y 2 y 55.2 TRLEEP, con consiguiente vulneración de la competencia del Estado para dictar las bases de régimen estatutario de los funcionarios públicos del art. 149.1.18 CE, esto es, la legislación de carácter básico. También considera infringido el art. 103.3 de la CE.</w:t>
      </w:r>
    </w:p>
    <w:p w14:paraId="0A77A927" w14:textId="77777777" w:rsidR="00F64776" w:rsidRDefault="00F64776" w:rsidP="00F64776">
      <w:pPr>
        <w:pStyle w:val="TextoNormal"/>
      </w:pPr>
    </w:p>
    <w:p w14:paraId="086E8F8E" w14:textId="77777777" w:rsidR="00F64776" w:rsidRDefault="00F64776" w:rsidP="00F64776">
      <w:pPr>
        <w:pStyle w:val="TextoNormal"/>
      </w:pPr>
      <w:r>
        <w:t>Cita, como apoyo de su alegación de inconstitucionalidad, la STC 17/2022, de 8 de febrero (“Boletín Oficial del Estado” de 10 de marzo de 2022), que resuelve, según afirma, “un supuesto idéntico al aquí debatido y que declaró la nulidad de la previsión legal autonómica que establece un sistema de promoción interna basado exclusivamente en la posesión de la titulación académica y prescinde de la superación de las correspondientes pruebas selectivas” (Ley 1/2018, de 22 de febrero, de coordinación de policías locales de la Comunidad de Madrid).</w:t>
      </w:r>
    </w:p>
    <w:p w14:paraId="7312F613" w14:textId="77777777" w:rsidR="00F64776" w:rsidRDefault="00F64776" w:rsidP="00F64776">
      <w:pPr>
        <w:pStyle w:val="TextoNormal"/>
      </w:pPr>
    </w:p>
    <w:p w14:paraId="3E321F4A" w14:textId="77777777" w:rsidR="00F64776" w:rsidRDefault="00F64776" w:rsidP="00F64776">
      <w:pPr>
        <w:pStyle w:val="TextoNormal"/>
      </w:pPr>
      <w:r>
        <w:t>g) Ante estas alegaciones, el letrado de la administración de justicia dictó diligencia de ordenación de fecha 28 de febrero de 2023 dando traslado de ellas a la parte apelada “para que en un plazo de diez días alegue lo que a su derecho convenga sobre lo interesado en el mencionado escrito”.</w:t>
      </w:r>
    </w:p>
    <w:p w14:paraId="78E8C42B" w14:textId="77777777" w:rsidR="00F64776" w:rsidRDefault="00F64776" w:rsidP="00F64776">
      <w:pPr>
        <w:pStyle w:val="TextoNormal"/>
      </w:pPr>
    </w:p>
    <w:p w14:paraId="4C6E45E3" w14:textId="77777777" w:rsidR="00F64776" w:rsidRDefault="00F64776" w:rsidP="00F64776">
      <w:pPr>
        <w:pStyle w:val="TextoNormal"/>
      </w:pPr>
      <w:r>
        <w:t>h) El recurrente presentó alegaciones el 17 de marzo de 2023. En ellas considera que, a diferencia de lo previsto en la disposición transitoria primera de la Ley 1/2018 antes citada, la Ley 6/2019, no establece un régimen de integración directa en el grupo de clasificación. Pretende justificar este argumento con la reproducción de un extracto de la STC 17/2022, en el que se rechaza la posibilidad de una interpretación conforme de la norma cuestionada. Entiende el demandante que esa imposibilidad vendría determinada por la taxatividad con la que se expresa la norma madrileña, que utiliza la expresión “quedarán directamente integrados”. La norma murciana admitiría, en cambio, una interpretación más flexible.</w:t>
      </w:r>
    </w:p>
    <w:p w14:paraId="5744CD3F" w14:textId="77777777" w:rsidR="00F64776" w:rsidRDefault="00F64776" w:rsidP="00F64776">
      <w:pPr>
        <w:pStyle w:val="TextoNormal"/>
      </w:pPr>
    </w:p>
    <w:p w14:paraId="1E3D8985" w14:textId="77777777" w:rsidR="00F64776" w:rsidRDefault="00F64776" w:rsidP="00F64776">
      <w:pPr>
        <w:pStyle w:val="TextoNormal"/>
      </w:pPr>
      <w:r>
        <w:t>i) Presentadas las alegaciones de la parte apelada, el letrado de la administración de justicia dictó diligencia de ordenación el 20 de marzo de 2023 en la que acuerda que se remitan “las actuaciones a la UPAD [unidad procesal de apoyo directo] de la Sala para que por la Magistrada-Ponente se dicte la resolución procedente”.</w:t>
      </w:r>
    </w:p>
    <w:p w14:paraId="33BFD022" w14:textId="77777777" w:rsidR="00F64776" w:rsidRDefault="00F64776" w:rsidP="00F64776">
      <w:pPr>
        <w:pStyle w:val="TextoNormal"/>
      </w:pPr>
    </w:p>
    <w:p w14:paraId="40F85833" w14:textId="77777777" w:rsidR="00F64776" w:rsidRDefault="00F64776" w:rsidP="00F64776">
      <w:pPr>
        <w:pStyle w:val="TextoNormal"/>
      </w:pPr>
      <w:r>
        <w:t>j) Recibidas las actuaciones por la Sala, esta dictó providencia de fecha 29 de marzo de 2023, con el siguiente contenido: “Dada cuenta; De conformidad con lo dispuesto en el artículo 35.2 de la Ley Orgánica 2/1979 de 3 de octubre, del Tribunal Constitucional, óigase por el plazo de diez días al Ministerio Fiscal sobre la pertinencia de plantear la cuestión de inconstitucionalidad o sobre el fondo de esta, a cuyo efecto remítanse las actuaciones al SCOP [servicio común procesal]”.</w:t>
      </w:r>
    </w:p>
    <w:p w14:paraId="7D41C7D4" w14:textId="77777777" w:rsidR="00F64776" w:rsidRDefault="00F64776" w:rsidP="00F64776">
      <w:pPr>
        <w:pStyle w:val="TextoNormal"/>
      </w:pPr>
    </w:p>
    <w:p w14:paraId="4CF94123" w14:textId="77777777" w:rsidR="00F64776" w:rsidRDefault="00F64776" w:rsidP="00F64776">
      <w:pPr>
        <w:pStyle w:val="TextoNormal"/>
      </w:pPr>
      <w:r>
        <w:t>k) En fecha 8 de mayo de 2023 se recibieron las alegaciones del Ministerio Fiscal, con el siguiente contenido: “puede haber contradicción efectiva e insalvable por vía interpretativa de la normativa autonómica con los apartados primero y segundo del art. 18, en relación con el art. 16.3 c), del texto refundido de la Ley del estatuto básico del empleado público aprobado por Real Decreto Legislativo 5/2015, de 30 de octubre”.</w:t>
      </w:r>
    </w:p>
    <w:p w14:paraId="12244637" w14:textId="77777777" w:rsidR="00F64776" w:rsidRDefault="00F64776" w:rsidP="00F64776">
      <w:pPr>
        <w:pStyle w:val="TextoNormal"/>
      </w:pPr>
    </w:p>
    <w:p w14:paraId="19138CDD" w14:textId="69F48E19" w:rsidR="00F64776" w:rsidRDefault="00F64776" w:rsidP="00F64776">
      <w:pPr>
        <w:pStyle w:val="TextoNormal"/>
      </w:pPr>
      <w:r>
        <w:t>l) Recibidas las alegaciones del Ministerio Fiscal, la Sala dictó auto de 15 de mayo de 2023, en el que acuerda: “[e]levar cuestión de inconstitucionalidad al Tribunal Constitucional respecto a la disposición transitoria quinta de la Ley 6/2019, de 4 de abril, de coordinación de las policías locales de la Comunidad Autónoma de la Región de Murcia”.</w:t>
      </w:r>
    </w:p>
    <w:p w14:paraId="1952C65F" w14:textId="77777777" w:rsidR="00F64776" w:rsidRDefault="00F64776" w:rsidP="00F64776">
      <w:pPr>
        <w:pStyle w:val="TextoNormal"/>
      </w:pPr>
    </w:p>
    <w:p w14:paraId="2CD1B6E0" w14:textId="15511003" w:rsidR="00F64776" w:rsidRDefault="00F64776" w:rsidP="00F64776">
      <w:pPr>
        <w:pStyle w:val="TextoNormal"/>
      </w:pPr>
      <w:r w:rsidRPr="00F64776">
        <w:rPr>
          <w:rStyle w:val="NumeroAFNegritaCaracter"/>
        </w:rPr>
        <w:t>3</w:t>
      </w:r>
      <w:r>
        <w:t>. En el auto de planteamiento, el órgano judicial, tras exponer los antecedentes procesales y reproducir ampliamente la fundamentación jurídica de la sentencia de instancia, justifica sintéticamente el cumplimiento de los presupuestos procesales poniendo únicamente de manifiesto que el procedimiento está concluso y pendiente únicamente de sentencia. Exterioriza, después, el “juicio de relevancia”, a cuyo efecto reproduce la disposición transitoria quinta de la Ley 6/2019 y añade, acto seguido, un párrafo conclusivo donde afirma que el fallo del pleito depende de la validez de la norma legal cuestionada. Expone, tras esto, el “fundamento de la inconstitucionalidad”, para lo que reproduce la disposición transitoria primera de la Ley 1/2018, de 22 de febrero, de coordinación de policías locales de la Comunidad de Madrid, así como un amplio extracto de la STC 17/2022, de 8 de febrero, que declaró inconstitucional y nulo el apartado primero de dicha disposición. Afirma, a continuación, que la disposición transitoria quinta de la Ley 6/2019 plantea un supuesto idéntico al resuelto en la citada STC 17/2022, ya que la norma cuestionada solo se diferencia de la anulada en dicha resolución en un extremo accesorio, el plazo de cuatro años que se concede a las administraciones locales para que procedan a la integración del personal funcionario afectado, extremo este que carecería de toda relevancia en el examen de constitucionalidad.</w:t>
      </w:r>
    </w:p>
    <w:p w14:paraId="694A9B9A" w14:textId="77777777" w:rsidR="00F64776" w:rsidRDefault="00F64776" w:rsidP="00F64776">
      <w:pPr>
        <w:pStyle w:val="TextoNormal"/>
      </w:pPr>
    </w:p>
    <w:p w14:paraId="35AD0B8C" w14:textId="17E34052" w:rsidR="00F64776" w:rsidRDefault="00F64776" w:rsidP="00F64776">
      <w:pPr>
        <w:pStyle w:val="TextoNormal"/>
      </w:pPr>
      <w:r w:rsidRPr="00F64776">
        <w:rPr>
          <w:rStyle w:val="NumeroAFNegritaCaracter"/>
        </w:rPr>
        <w:t>4</w:t>
      </w:r>
      <w:r>
        <w:t>. Por providencia de 26 de septiembre de 2023, el Pleno acordó oír al fiscal general del Estado para que, en el plazo de diez días, y a los efectos que determina el art. 37.1 de la Ley Orgánica del Tribunal Constitucional (LOTC), alegase lo que considerase conveniente acerca de la admisibilidad de la presente cuestión de inconstitucionalidad, en relación con el cumplimiento de los requisitos procesales (art. 35.2 LOTC).</w:t>
      </w:r>
    </w:p>
    <w:p w14:paraId="7379C7F0" w14:textId="77777777" w:rsidR="00F64776" w:rsidRDefault="00F64776" w:rsidP="00F64776">
      <w:pPr>
        <w:pStyle w:val="TextoNormal"/>
      </w:pPr>
    </w:p>
    <w:p w14:paraId="0C47E856" w14:textId="77777777" w:rsidR="00F64776" w:rsidRDefault="00F64776" w:rsidP="00F64776">
      <w:pPr>
        <w:pStyle w:val="TextoNormal"/>
      </w:pPr>
      <w:r w:rsidRPr="00F64776">
        <w:rPr>
          <w:rStyle w:val="NumeroAFNegritaCaracter"/>
        </w:rPr>
        <w:t>5</w:t>
      </w:r>
      <w:r>
        <w:t>. El fiscal general del Estado evacuó el trámite conferido mediante escrito registrado en este tribunal el 18 de octubre de 2023, en el que considera que la cuestión de inconstitucionalidad debe ser inadmitida por incumplimiento de los presupuestos procesales del art. 35.2 LOTC, en particular por las siguientes razones: (i) el primer traslado, a la parte apelada, no fue realizado por el propio tribunal sino por “una diligencia de ordenación de letrado de la administración de justicia”, lo que implica el incumplimiento de lo preceptuado en el art. 35.2 LOTC, de suerte que, en opinión del fiscal general, “lo efectuado no es un auténtico trámite de audiencia a los efectos del art. 35.2 LOTC”; (ii) aunque el segundo traslado, esta vez al Ministerio Fiscal, sí fue efectuado por providencia, esta no identifica “ni las normas legales que pudieran ser objeto de la cuestión de inconstitucionalidad, ni las normas constitucionales con las que confrontar aquellas”, lo que contraviene la doctrina del Tribunal Constitucional sobre la correcta realización del trámite del art. 35.2 LOTC; (iii) finalmente, también se habría incumplido “el requisito de traslado simultáneo” al Ministerio Fiscal y a las partes, lo que constituye, asimismo, una irregularidad que, “por afectar a un trámite procesal esencial, determina la inadmisión de la cuestión”.</w:t>
      </w:r>
    </w:p>
    <w:p w14:paraId="13FBF8EE" w14:textId="77777777" w:rsidR="00F64776" w:rsidRDefault="00F64776" w:rsidP="00F64776">
      <w:pPr>
        <w:pStyle w:val="TextoNormal"/>
      </w:pPr>
    </w:p>
    <w:p w14:paraId="49886590" w14:textId="44898479" w:rsidR="00F64776" w:rsidRDefault="00F64776" w:rsidP="00F64776">
      <w:pPr>
        <w:pStyle w:val="TextoNormal"/>
      </w:pPr>
      <w:r>
        <w:t>Por todo ello, el fiscal general del Estado interesa que se dicte auto inadmitiendo la cuestión de inconstitucionalidad por incumplimiento de los requisitos procesales.</w:t>
      </w:r>
    </w:p>
    <w:p w14:paraId="61409519" w14:textId="77777777" w:rsidR="00F64776" w:rsidRDefault="00F64776" w:rsidP="00F64776">
      <w:pPr>
        <w:pStyle w:val="TextoNormal"/>
      </w:pPr>
    </w:p>
    <w:p w14:paraId="587C2AA6" w14:textId="77777777" w:rsidR="00F64776" w:rsidRDefault="00F64776" w:rsidP="00F64776">
      <w:pPr>
        <w:pStyle w:val="TextoNormalNegritaCentrado"/>
        <w:keepNext/>
      </w:pPr>
      <w:r>
        <w:t>II. Fundamentos jurídicos</w:t>
      </w:r>
    </w:p>
    <w:p w14:paraId="1EE45D39" w14:textId="39D9180B" w:rsidR="00F64776" w:rsidRDefault="00F64776" w:rsidP="00F64776">
      <w:pPr>
        <w:pStyle w:val="TextoNormalNegritaCentrado"/>
        <w:keepNext/>
      </w:pPr>
    </w:p>
    <w:p w14:paraId="0794E980" w14:textId="77777777" w:rsidR="00F64776" w:rsidRDefault="00F64776" w:rsidP="00F64776">
      <w:pPr>
        <w:pStyle w:val="TextoNormal"/>
      </w:pPr>
      <w:r w:rsidRPr="00F64776">
        <w:rPr>
          <w:rStyle w:val="NumeroAFNegritaCaracter"/>
        </w:rPr>
        <w:t>1</w:t>
      </w:r>
      <w:r>
        <w:t>. La Sección Primera de la Sala de lo Contencioso-Administrativo del Tribunal Superior de Justicia de la Región de Murcia plantea cuestión de inconstitucionalidad respecto de la disposición transitoria quinta de la Ley 6/2019, de 4 de abril, de coordinación de las policías locales de la Región de Murcia. Dicho precepto dispone lo siguiente:</w:t>
      </w:r>
    </w:p>
    <w:p w14:paraId="6982147E" w14:textId="77777777" w:rsidR="00F64776" w:rsidRDefault="00F64776" w:rsidP="00F64776">
      <w:pPr>
        <w:pStyle w:val="TextoNormal"/>
      </w:pPr>
    </w:p>
    <w:p w14:paraId="278680A3" w14:textId="77777777" w:rsidR="00F64776" w:rsidRDefault="00F64776" w:rsidP="00F64776">
      <w:pPr>
        <w:pStyle w:val="TextoNormal"/>
      </w:pPr>
      <w:r>
        <w:t>“1. En el plazo de cuatro años, a contar desde la entrada en vigor de esta ley, el personal funcionario perteneciente a las extintas categorías de cabo y oficial, que se encuentre en posesión de la titulación exigida en la normativa básica sobre función pública para el ingreso en los cuerpos y escalas del grupo B y A1 respectivamente, deberá quedar, a todos los efectos, integrado en dichos grupos de clasificación, dentro de la escala básica los primeros y en la escala superior los segundos.</w:t>
      </w:r>
    </w:p>
    <w:p w14:paraId="54669F75" w14:textId="77777777" w:rsidR="00F64776" w:rsidRDefault="00F64776" w:rsidP="00F64776">
      <w:pPr>
        <w:pStyle w:val="TextoNormal"/>
      </w:pPr>
    </w:p>
    <w:p w14:paraId="3F60ED77" w14:textId="5CC5C458" w:rsidR="00F64776" w:rsidRDefault="00F64776" w:rsidP="00F64776">
      <w:pPr>
        <w:pStyle w:val="TextoNormal"/>
      </w:pPr>
      <w:r>
        <w:t>El personal funcionario que carezca de la citada titulación académica permanecerá clasificado en los grupos C1 y A2 respectivamente, y en situación de ‘a extinguir’, no obstante, dispondrá de un plazo de tres años, a contar desde la finalización del plazo indicado en el apartado anterior, para acreditar la obtención de la citada titulación e integrarse en el grupo de clasificación superior. Transcurrido este plazo de tres años no se producirá la integración automática de ninguna otra persona funcionaria.</w:t>
      </w:r>
    </w:p>
    <w:p w14:paraId="679E4C99" w14:textId="77777777" w:rsidR="00F64776" w:rsidRDefault="00F64776" w:rsidP="00F64776">
      <w:pPr>
        <w:pStyle w:val="TextoNormal"/>
      </w:pPr>
    </w:p>
    <w:p w14:paraId="347CA5CD" w14:textId="77777777" w:rsidR="00F64776" w:rsidRDefault="00F64776" w:rsidP="00F64776">
      <w:pPr>
        <w:pStyle w:val="TextoNormal"/>
      </w:pPr>
      <w:r w:rsidRPr="00F64776">
        <w:rPr>
          <w:rStyle w:val="NumeroAFNegritaCaracter"/>
        </w:rPr>
        <w:t>2</w:t>
      </w:r>
      <w:r>
        <w:t xml:space="preserve">. De acuerdo con art. 37.1 LOTC, este tribunal puede rechazar </w:t>
      </w:r>
      <w:r w:rsidRPr="00F64776">
        <w:rPr>
          <w:i/>
        </w:rPr>
        <w:t>a limine</w:t>
      </w:r>
      <w:r>
        <w:t xml:space="preserve"> las cuestiones de inconstitucionalidad, mediante auto y sin otra audiencia que la del fiscal general del Estado, cuando no se cumplen las condiciones procesales o resulta notoriamente infundada la cuestión suscitada. El análisis de la cuestión de inconstitucionalidad que se somete a nuestra consideración revela la concurrencia del primer motivo de inadmisión, pues no satisface las exigencias para promoverla que imponen los arts. 163 CE y 35 a 37 LOTC.</w:t>
      </w:r>
    </w:p>
    <w:p w14:paraId="4630BDCA" w14:textId="77777777" w:rsidR="00F64776" w:rsidRDefault="00F64776" w:rsidP="00F64776">
      <w:pPr>
        <w:pStyle w:val="TextoNormal"/>
      </w:pPr>
    </w:p>
    <w:p w14:paraId="7AF90672" w14:textId="77777777" w:rsidR="00F64776" w:rsidRDefault="00F64776" w:rsidP="00F64776">
      <w:pPr>
        <w:pStyle w:val="TextoNormal"/>
      </w:pPr>
      <w:r>
        <w:t>Este tribunal constata, en particular, que la realización del trámite de audiencia por parte del órgano judicial no se ha ajustado a las exigencias del art. 35.2 LOTC, por las siguientes razones:</w:t>
      </w:r>
    </w:p>
    <w:p w14:paraId="4B74A98B" w14:textId="77777777" w:rsidR="00F64776" w:rsidRDefault="00F64776" w:rsidP="00F64776">
      <w:pPr>
        <w:pStyle w:val="TextoNormal"/>
      </w:pPr>
    </w:p>
    <w:p w14:paraId="6F6139D4" w14:textId="77777777" w:rsidR="00F64776" w:rsidRDefault="00F64776" w:rsidP="00F64776">
      <w:pPr>
        <w:pStyle w:val="TextoNormal"/>
      </w:pPr>
      <w:r>
        <w:t xml:space="preserve">a) El primer traslado, efectuado únicamente con la parte apelada, relativo al posible planteamiento de la cuestión de inconstitucionalidad, no fue realizado por el órgano judicial sino por el letrado de la administración de justicia, mediante una diligencia de ordenación que se remitía </w:t>
      </w:r>
      <w:r w:rsidRPr="00F64776">
        <w:rPr>
          <w:i/>
        </w:rPr>
        <w:t>in toto</w:t>
      </w:r>
      <w:r>
        <w:t xml:space="preserve"> a un escrito previamente presentado por la parte apelante, el Ayuntamiento de Molina de Segura.</w:t>
      </w:r>
    </w:p>
    <w:p w14:paraId="5F32BCFC" w14:textId="77777777" w:rsidR="00F64776" w:rsidRDefault="00F64776" w:rsidP="00F64776">
      <w:pPr>
        <w:pStyle w:val="TextoNormal"/>
      </w:pPr>
    </w:p>
    <w:p w14:paraId="60D0364E" w14:textId="77777777" w:rsidR="00F64776" w:rsidRDefault="00F64776" w:rsidP="00F64776">
      <w:pPr>
        <w:pStyle w:val="TextoNormal"/>
      </w:pPr>
      <w:r>
        <w:t>Este modo de dar inicio al trámite de audiencia a las partes supone un incumplimiento flagrante de lo dispuesto en el art. 35.2 LOTC. Implica, en realidad, que, tal y como alega el fiscal general del Estado, dicho trámite no se haya abierto realmente pues este solo puede desplegar válidamente sus efectos cuando es cumplimentado por el titular de la potestad jurisdiccional.</w:t>
      </w:r>
    </w:p>
    <w:p w14:paraId="1C7BDBE7" w14:textId="77777777" w:rsidR="00F64776" w:rsidRDefault="00F64776" w:rsidP="00F64776">
      <w:pPr>
        <w:pStyle w:val="TextoNormal"/>
      </w:pPr>
    </w:p>
    <w:p w14:paraId="068C29CC" w14:textId="77777777" w:rsidR="00F64776" w:rsidRDefault="00F64776" w:rsidP="00F64776">
      <w:pPr>
        <w:pStyle w:val="TextoNormal"/>
      </w:pPr>
      <w:r>
        <w:t>En efecto, de acuerdo con la doctrina de este tribunal, solo el titular de la potestad jurisdiccional puede cumplimentar el trámite de audiencia del art. 35.2 LOTC. Como señalamos en el ATC 84/2021, de 15 de septiembre, FJ 2 a), recogiendo la doctrina sobre la materia, “una diligencia de ordenación del letrado de la administración de justicia […] no es cauce idóneo para la apertura del trámite de audiencia previsto en el art. 35.2 LOTC”, pues, como ya señaló el ATC 189/2003, de 3 de junio, FJ 3, “la facultad de plantear cuestiones de inconstitucionalidad queda reservada a los órganos integrantes del poder judicial, esto es, al juez o tribunal que esté conociendo del asunto y que considere que una norma con rango de ley relevante para el fallo pueda ser inconstitucional (art. 35.1 LOTC), previa apertura del trámite de audiencia a las partes y al Ministerio Fiscal (art. 35.2 LOTC)”. El trámite del art. 35.2 LOTC debe “ser acordado mediante resolución judicial (auto o providencia) de ese mismo juzgado o tribunal al que se la ha suscitado la duda de constitucionalidad, sin que esa facultad pueda ser suplida por el secretario judicial [hoy letrado de la administración de justicia], que carece de tal competencia”.</w:t>
      </w:r>
    </w:p>
    <w:p w14:paraId="1BBB0A8C" w14:textId="77777777" w:rsidR="00F64776" w:rsidRDefault="00F64776" w:rsidP="00F64776">
      <w:pPr>
        <w:pStyle w:val="TextoNormal"/>
      </w:pPr>
    </w:p>
    <w:p w14:paraId="6AF01537" w14:textId="77777777" w:rsidR="00F64776" w:rsidRDefault="00F64776" w:rsidP="00F64776">
      <w:pPr>
        <w:pStyle w:val="TextoNormal"/>
      </w:pPr>
      <w:r>
        <w:t>En definitiva, la apertura del trámite de audiencia previsto en el art. 35.2 LOTC “es una decisión de carácter jurisdiccional, que no podía adoptar el entonces secretario judicial” [ATC 84/2021, de 15 de septiembre, FJ 2 a)]. Como sintetiza la STC 151/2020, de 22 de octubre, FJ 2, con cita de otras anteriores, “[e]l trámite por el que el órgano judicial acuerda oír a las partes personadas y al Ministerio Fiscal, a los efectos de promover una cuestión de inconstitucionalidad, es actividad estrictamente jurisdiccional porque solo al titular de aquel es al que se le puede suscitar la duda de constitucionalidad en relación con las normas legales que deba aplicar y que sean relevantes para la resolución del proceso que tenga a su cargo”.</w:t>
      </w:r>
    </w:p>
    <w:p w14:paraId="7A0F3F19" w14:textId="77777777" w:rsidR="00F64776" w:rsidRDefault="00F64776" w:rsidP="00F64776">
      <w:pPr>
        <w:pStyle w:val="TextoNormal"/>
      </w:pPr>
    </w:p>
    <w:p w14:paraId="6EB139D4" w14:textId="77777777" w:rsidR="00F64776" w:rsidRDefault="00F64776" w:rsidP="00F64776">
      <w:pPr>
        <w:pStyle w:val="TextoNormal"/>
      </w:pPr>
      <w:r>
        <w:t>Es cierto que, en el caso ahora enjuiciado, con posterioridad al traslado efectuado a la parte apelada por el letrado de la administración de justicia, el órgano judicial dictó una providencia. No obstante, esta se limitó a dar un traslado sucesivo al Ministerio Fiscal por plazo de diez días. No trataba, por ello, de subsanar el grave defecto inicial producido con la apertura del trámite del art. 35.2 LOTC por parte del letrado de la administración de justicia. Al contrario, daba por bueno dicho proceder y se limitaba a complementarlo.</w:t>
      </w:r>
    </w:p>
    <w:p w14:paraId="671684FC" w14:textId="77777777" w:rsidR="00F64776" w:rsidRDefault="00F64776" w:rsidP="00F64776">
      <w:pPr>
        <w:pStyle w:val="TextoNormal"/>
      </w:pPr>
    </w:p>
    <w:p w14:paraId="658957F8" w14:textId="77777777" w:rsidR="00F64776" w:rsidRDefault="00F64776" w:rsidP="00F64776">
      <w:pPr>
        <w:pStyle w:val="TextoNormal"/>
      </w:pPr>
      <w:r>
        <w:t>b) En segundo lugar, no se ha dado audiencia, tal y como exige el art. 35.2 LOTC, a todas las partes personadas. La diligencia de ordenación del letrado de la administración de justicia dio traslado únicamente a la parte apelada. Por su parte, el órgano judicial dio audiencia exclusivamente al Ministerio Fiscal. Uno y otro omitieron del trámite a la parte apelante, el Ayuntamiento de Molina de Segura, probablemente en consideración de su condición de “promotor” de la cuestión.</w:t>
      </w:r>
    </w:p>
    <w:p w14:paraId="7492724E" w14:textId="77777777" w:rsidR="00F64776" w:rsidRDefault="00F64776" w:rsidP="00F64776">
      <w:pPr>
        <w:pStyle w:val="TextoNormal"/>
      </w:pPr>
    </w:p>
    <w:p w14:paraId="54781E10" w14:textId="77777777" w:rsidR="00F64776" w:rsidRDefault="00F64776" w:rsidP="00F64776">
      <w:pPr>
        <w:pStyle w:val="TextoNormal"/>
      </w:pPr>
      <w:r>
        <w:t xml:space="preserve">Sin embargo, de acuerdo con nuestra doctrina, no puede entenderse correctamente evacuado el trámite del art. 35.2 LOTC únicamente con el Ministerio Fiscal y la parte apelada, pues en el trámite de audiencia deben participar todas las partes intervinientes en el proceso </w:t>
      </w:r>
      <w:r w:rsidRPr="00F64776">
        <w:rPr>
          <w:i/>
        </w:rPr>
        <w:t>a quo</w:t>
      </w:r>
      <w:r>
        <w:t>, con independencia de que una de ellas haya interesado el planteamiento de la cuestión de inconstitucionalidad [por todos, ATC 144/2020, de 17 de noviembre FJ 3 c)]. Este requisito procesal, de carácter esencial y determinante de la inadmisión, ha resultado, por tanto, incumplido.</w:t>
      </w:r>
    </w:p>
    <w:p w14:paraId="1930FECB" w14:textId="77777777" w:rsidR="00F64776" w:rsidRDefault="00F64776" w:rsidP="00F64776">
      <w:pPr>
        <w:pStyle w:val="TextoNormal"/>
      </w:pPr>
    </w:p>
    <w:p w14:paraId="06925860" w14:textId="77777777" w:rsidR="00F64776" w:rsidRDefault="00F64776" w:rsidP="00F64776">
      <w:pPr>
        <w:pStyle w:val="TextoNormal"/>
      </w:pPr>
      <w:r>
        <w:t>c) En relación con los sujetos a quienes sí se dio trámite de audiencia, se ha infringido, en todo caso, la exigencia del art. 35.2 LOTC según la cual esa audiencia ha de efectuarse de modo simultáneo. Nuestra doctrina pone de relieve que la forma correcta de cumplir con el mencionado requisito procesal es la notificación simultánea a las partes y al Ministerio Fiscal (ATC 35/2016, de 16 de febrero, FJ 2). De acuerdo con esa misma doctrina, el cumplimiento sucesivo del trámite de audiencia constituye una irregularidad que, por afectar a un trámite procesal esencial, determina la inadmisión de la cuestión de inconstitucionalidad (AATC 174/2007, de 27 de febrero, FJ 2; 127/2008, de 22 de mayo, FJ 3; 220/2012, de 27 de noviembre, FJ 4, y 122/2016, de 7 de junio, FJ 3).</w:t>
      </w:r>
    </w:p>
    <w:p w14:paraId="543FADF0" w14:textId="77777777" w:rsidR="00F64776" w:rsidRDefault="00F64776" w:rsidP="00F64776">
      <w:pPr>
        <w:pStyle w:val="TextoNormal"/>
      </w:pPr>
    </w:p>
    <w:p w14:paraId="034CFADF" w14:textId="77777777" w:rsidR="00F64776" w:rsidRDefault="00F64776" w:rsidP="00F64776">
      <w:pPr>
        <w:pStyle w:val="TextoNormal"/>
      </w:pPr>
      <w:r>
        <w:t>En el caso que enjuiciamos, el traslado sucesivo efectuado, primero a la parte apelada y luego al Ministerio Fiscal, supone, en definitiva, un nuevo incumplimiento de un requisito procesal esencial.</w:t>
      </w:r>
    </w:p>
    <w:p w14:paraId="478FE37A" w14:textId="77777777" w:rsidR="00F64776" w:rsidRDefault="00F64776" w:rsidP="00F64776">
      <w:pPr>
        <w:pStyle w:val="TextoNormal"/>
      </w:pPr>
    </w:p>
    <w:p w14:paraId="06127F52" w14:textId="77777777" w:rsidR="00F64776" w:rsidRDefault="00F64776" w:rsidP="00F64776">
      <w:pPr>
        <w:pStyle w:val="TextoNormal"/>
      </w:pPr>
      <w:r>
        <w:t>d) Ni en la diligencia de ordenación del letrado de la administración de justicia ni, sobre todo, en la providencia posterior dictada por el órgano judicial se identificaron los preceptos legales cuestionados ni la norma constitucional que se estimaba infringida.</w:t>
      </w:r>
    </w:p>
    <w:p w14:paraId="58B66335" w14:textId="77777777" w:rsidR="00F64776" w:rsidRDefault="00F64776" w:rsidP="00F64776">
      <w:pPr>
        <w:pStyle w:val="TextoNormal"/>
      </w:pPr>
    </w:p>
    <w:p w14:paraId="0CB0999B" w14:textId="77777777" w:rsidR="00F64776" w:rsidRDefault="00F64776" w:rsidP="00F64776">
      <w:pPr>
        <w:pStyle w:val="TextoNormal"/>
      </w:pPr>
      <w:r>
        <w:t>De acuerdo con nuestra doctrina [por todos, STC 166/2007, de 4 de julio, FJ 6, y ATC 144/2020, FJ 3 b)], la providencia a través de la cual se otorga el trámite de audiencia a las partes y al Ministerio Fiscal ha de especificar los preceptos legales cuestionados y los preceptos constitucionales que se consideren vulnerados, o bien, a falta de una cita concreta de los preceptos constitucionales supuestamente vulnerados, ha de identificar mínimamente la duda de constitucionalidad, para que sobre la misma puedan versar las alegaciones. Tal indeterminación relativa de la providencia de traslado exige, en todo caso, que las partes hayan podido conocer el planteamiento de la inconstitucionalidad realizado por el órgano judicial y, atendiendo a las circunstancias del caso, situarlo en sus exactos términos constitucionales y pronunciarse sobre él.</w:t>
      </w:r>
    </w:p>
    <w:p w14:paraId="4B3CA81B" w14:textId="77777777" w:rsidR="00F64776" w:rsidRDefault="00F64776" w:rsidP="00F64776">
      <w:pPr>
        <w:pStyle w:val="TextoNormal"/>
      </w:pPr>
    </w:p>
    <w:p w14:paraId="6D073F5C" w14:textId="77777777" w:rsidR="00F64776" w:rsidRDefault="00F64776" w:rsidP="00F64776">
      <w:pPr>
        <w:pStyle w:val="TextoNormal"/>
      </w:pPr>
      <w:r>
        <w:t>Es claro que esta exigencia procesal tampoco ha sido cumplida en el presente caso. La única resolución que podía determinar válidamente el contenido de la duda de inconstitucionalidad, aunque fuese de forma relativa, era la providencia dictada por el titular de la potestad jurisdiccional. Sin embargo, dicha providencia, que ha quedado reproducida literalmente en los antecedentes, no manifestaba nada respecto de dicha duda (pues no identificaba preceptos legales o constitucionales ni contenía razonamiento alguno); ni siquiera se remitía al previo escrito de la parte apelante en el que se había solicitado el planteamiento de cuestión.</w:t>
      </w:r>
    </w:p>
    <w:p w14:paraId="618AAE93" w14:textId="77777777" w:rsidR="00F64776" w:rsidRDefault="00F64776" w:rsidP="00F64776">
      <w:pPr>
        <w:pStyle w:val="TextoNormal"/>
      </w:pPr>
    </w:p>
    <w:p w14:paraId="6C29288D" w14:textId="77777777" w:rsidR="00F64776" w:rsidRDefault="00F64776" w:rsidP="00F64776">
      <w:pPr>
        <w:pStyle w:val="TextoNormal"/>
      </w:pPr>
      <w:r>
        <w:t xml:space="preserve">e) Como se desprende de lo señalado en los apartados anteriores, la única duda de constitucionalidad que fue objeto de debate en el proceso </w:t>
      </w:r>
      <w:r w:rsidRPr="00F64776">
        <w:rPr>
          <w:i/>
        </w:rPr>
        <w:t>a quo</w:t>
      </w:r>
      <w:r>
        <w:t xml:space="preserve"> fue, en realidad, la planteada por el Ayuntamiento de Molina de Segura en su escrito de 27 de febrero de 2023, que solo fue asumida como propia por el órgano judicial en el auto de planteamiento.</w:t>
      </w:r>
    </w:p>
    <w:p w14:paraId="2E2A8D61" w14:textId="77777777" w:rsidR="00F64776" w:rsidRDefault="00F64776" w:rsidP="00F64776">
      <w:pPr>
        <w:pStyle w:val="TextoNormal"/>
      </w:pPr>
    </w:p>
    <w:p w14:paraId="04AF1525" w14:textId="77777777" w:rsidR="00F64776" w:rsidRDefault="00F64776" w:rsidP="00F64776">
      <w:pPr>
        <w:pStyle w:val="TextoNormal"/>
      </w:pPr>
      <w:r>
        <w:t>Sin embargo, la doctrina de este Tribunal ha venido reiterando la necesidad de que el órgano judicial exprese, ya en la providencia que abre el trámite del art. 35.2 LOTC, su propia duda de constitucionalidad [por todos, ATC 144/2020, FJ 3 a)]. Esta exigencia no afecta, por tanto, únicamente a la regularidad del juicio de relevancia realizado en el auto de planteamiento (ATC 95/2004, de 23 de marzo, FJ 2); también determina un requisito esencial de la providencia que abre el trámite de audiencia de acuerdo con el art. 35.2 LOTC (ATC 104/2011, de 5 de julio, FJ 2). La duda de constitucionalidad sometida a debate de las partes ha de ser necesariamente del órgano judicial, que no se puede limitar, a la hora de promover una cuestión de inconstitucionalidad, a remitirse a las dudas que sobre la constitucionalidad de una norma hayan expresado las partes (ATC 195/2015, de 18 de noviembre, FJ 5).</w:t>
      </w:r>
    </w:p>
    <w:p w14:paraId="3FE358B8" w14:textId="77777777" w:rsidR="00F64776" w:rsidRDefault="00F64776" w:rsidP="00F64776">
      <w:pPr>
        <w:pStyle w:val="TextoNormal"/>
      </w:pPr>
    </w:p>
    <w:p w14:paraId="39B1D6DB" w14:textId="1F8D7F52" w:rsidR="00F64776" w:rsidRDefault="00F64776" w:rsidP="00F64776">
      <w:pPr>
        <w:pStyle w:val="TextoNormal"/>
      </w:pPr>
      <w:r>
        <w:t>Es claro que, en el presente caso, la única duda explicitada antes del dictado del auto de planteamiento fue la expresada por el Ayuntamiento de Molina de Segura en su escrito de 27 de febrero de 2023, y que el órgano judicial, como ya se ha explicado, nunca planteó a las partes una duda asumida como propia.</w:t>
      </w:r>
    </w:p>
    <w:p w14:paraId="2A3238BC" w14:textId="77777777" w:rsidR="00F64776" w:rsidRDefault="00F64776" w:rsidP="00F64776">
      <w:pPr>
        <w:pStyle w:val="TextoNormal"/>
      </w:pPr>
    </w:p>
    <w:p w14:paraId="092DDE39" w14:textId="4D55EBD5" w:rsidR="00F64776" w:rsidRDefault="00F64776" w:rsidP="00F64776">
      <w:pPr>
        <w:pStyle w:val="TextoNormal"/>
      </w:pPr>
      <w:r w:rsidRPr="00F64776">
        <w:rPr>
          <w:rStyle w:val="NumeroAFNegritaCaracter"/>
        </w:rPr>
        <w:t>3</w:t>
      </w:r>
      <w:r>
        <w:t>. En conclusión, de acuerdo con lo expuesto en el fundamento jurídico precedente, ha existido un patente incumplimiento de los requisitos procesales esenciales que rigen el trámite de audiencia del art. 35.2 LOTC, lo que debe determinar la inadmisión de la cuestión de inconstitucionalidad.</w:t>
      </w:r>
    </w:p>
    <w:p w14:paraId="1B01503A" w14:textId="77777777" w:rsidR="00F64776" w:rsidRDefault="00F64776" w:rsidP="00F64776">
      <w:pPr>
        <w:pStyle w:val="TextoNormal"/>
      </w:pPr>
    </w:p>
    <w:p w14:paraId="1173B1D3" w14:textId="77777777" w:rsidR="00F64776" w:rsidRDefault="00F64776" w:rsidP="00F64776">
      <w:pPr>
        <w:pStyle w:val="TextoNormal"/>
      </w:pPr>
      <w:r>
        <w:t>Por lo expuesto, el Pleno</w:t>
      </w:r>
    </w:p>
    <w:p w14:paraId="7BB166B3" w14:textId="5FBDDA7C" w:rsidR="00F64776" w:rsidRDefault="00F64776" w:rsidP="00F64776">
      <w:pPr>
        <w:pStyle w:val="TextoNormal"/>
      </w:pPr>
    </w:p>
    <w:p w14:paraId="7516D151" w14:textId="77777777" w:rsidR="00F64776" w:rsidRDefault="00F64776" w:rsidP="00F64776">
      <w:pPr>
        <w:pStyle w:val="TextoNormalCentrado"/>
      </w:pPr>
      <w:r>
        <w:t>ACUERDA</w:t>
      </w:r>
    </w:p>
    <w:p w14:paraId="15541E6B" w14:textId="571FAC03" w:rsidR="00F64776" w:rsidRDefault="00F64776" w:rsidP="00F64776">
      <w:pPr>
        <w:pStyle w:val="TextoNormalCentrado"/>
      </w:pPr>
    </w:p>
    <w:p w14:paraId="0A71281D" w14:textId="321CA745" w:rsidR="00F64776" w:rsidRDefault="00F64776" w:rsidP="00F64776">
      <w:pPr>
        <w:pStyle w:val="TextoNormal"/>
      </w:pPr>
      <w:r>
        <w:t>Inadmitir a trámite la presente cuestión de inconstitucionalidad.</w:t>
      </w:r>
    </w:p>
    <w:p w14:paraId="79784820" w14:textId="77777777" w:rsidR="00F64776" w:rsidRDefault="00F64776" w:rsidP="00F64776">
      <w:pPr>
        <w:pStyle w:val="TextoNormal"/>
      </w:pPr>
    </w:p>
    <w:p w14:paraId="108A3E21" w14:textId="77777777" w:rsidR="00F64776" w:rsidRDefault="00F64776" w:rsidP="00F64776">
      <w:pPr>
        <w:pStyle w:val="TextoNormal"/>
      </w:pPr>
      <w:r>
        <w:t>Madrid, a veintiuno de noviembre de dos mil veintitrés.</w:t>
      </w:r>
    </w:p>
    <w:p w14:paraId="5CD4EBB8" w14:textId="6F63EB3A" w:rsidR="00F64776" w:rsidRDefault="00F64776">
      <w:pPr>
        <w:spacing w:after="160" w:line="278" w:lineRule="auto"/>
        <w:rPr>
          <w:rFonts w:ascii="Times New Roman" w:eastAsia="Times New Roman" w:hAnsi="Times New Roman" w:cs="Times New Roman"/>
          <w:sz w:val="24"/>
          <w:szCs w:val="24"/>
          <w:lang w:eastAsia="es-ES"/>
        </w:rPr>
      </w:pPr>
      <w:r>
        <w:br w:type="page"/>
      </w:r>
    </w:p>
    <w:p w14:paraId="7C00B340" w14:textId="77777777" w:rsidR="00F64776" w:rsidRDefault="00F64776" w:rsidP="00F64776">
      <w:pPr>
        <w:pStyle w:val="TtuloResolucin"/>
      </w:pPr>
      <w:bookmarkStart w:id="390" w:name="AUTO_2023_605"/>
      <w:r>
        <w:t>AUTO 605/2023, de 1 de diciembre de 2023</w:t>
      </w:r>
    </w:p>
    <w:bookmarkEnd w:id="390"/>
    <w:p w14:paraId="4EEEF12F" w14:textId="77777777" w:rsidR="00F64776" w:rsidRDefault="00F64776" w:rsidP="00F64776">
      <w:pPr>
        <w:pStyle w:val="TtuloResolucin"/>
      </w:pPr>
      <w:r>
        <w:t>Sección Tercera</w:t>
      </w:r>
    </w:p>
    <w:p w14:paraId="7548D7D7" w14:textId="77777777" w:rsidR="00F64776" w:rsidRDefault="00F64776" w:rsidP="00F64776">
      <w:pPr>
        <w:pStyle w:val="TextoNormalCentrado"/>
      </w:pPr>
      <w:r>
        <w:t>ECLI:ES:TC:2023:605A</w:t>
      </w:r>
    </w:p>
    <w:p w14:paraId="17B57991" w14:textId="28057AE8" w:rsidR="00F64776" w:rsidRDefault="00F64776" w:rsidP="00F64776">
      <w:pPr>
        <w:pStyle w:val="TextoNormalCentrado"/>
      </w:pPr>
    </w:p>
    <w:p w14:paraId="7AB1FBBF" w14:textId="77777777" w:rsidR="00F64776" w:rsidRDefault="00F64776" w:rsidP="00F64776">
      <w:pPr>
        <w:pStyle w:val="SntesisDescriptiva"/>
      </w:pPr>
      <w:r>
        <w:t>Excms. Srs. doña Inmaculada Montalbán Huertas y doña Laura Díez Bueso.</w:t>
      </w:r>
    </w:p>
    <w:p w14:paraId="2DD91162" w14:textId="7B7CB829" w:rsidR="00F64776" w:rsidRDefault="00F64776" w:rsidP="00F64776">
      <w:pPr>
        <w:pStyle w:val="SntesisDescriptiva"/>
      </w:pPr>
    </w:p>
    <w:p w14:paraId="5667A72E" w14:textId="77777777" w:rsidR="00F64776" w:rsidRDefault="00F64776" w:rsidP="00F64776">
      <w:pPr>
        <w:pStyle w:val="SntesisDescriptiva"/>
      </w:pPr>
      <w:r>
        <w:t>Acepta una abstención en el recurso de amparo 3149-2022, promovido por la entidad J.F. Baños S.XXI, S.L., en proceso contencioso administrativo.</w:t>
      </w:r>
    </w:p>
    <w:p w14:paraId="6A5C948F" w14:textId="7CBC1467" w:rsidR="00F64776" w:rsidRDefault="00F64776" w:rsidP="00F64776">
      <w:pPr>
        <w:pStyle w:val="SntesisDescriptiva"/>
      </w:pPr>
    </w:p>
    <w:p w14:paraId="59D82DBC" w14:textId="77777777" w:rsidR="00F64776" w:rsidRDefault="00F64776" w:rsidP="00F64776">
      <w:pPr>
        <w:pStyle w:val="SntesisDescriptiva"/>
      </w:pPr>
    </w:p>
    <w:p w14:paraId="46A39575" w14:textId="77777777" w:rsidR="00F64776" w:rsidRDefault="00F64776" w:rsidP="00F64776">
      <w:pPr>
        <w:pStyle w:val="SntesisDescriptiva"/>
      </w:pPr>
    </w:p>
    <w:p w14:paraId="44A3F995" w14:textId="77777777" w:rsidR="00F64776" w:rsidRDefault="00F64776" w:rsidP="00F64776">
      <w:pPr>
        <w:pStyle w:val="TextoNormalNegritaCentrado"/>
      </w:pPr>
      <w:r>
        <w:t>AUTO</w:t>
      </w:r>
    </w:p>
    <w:p w14:paraId="76EA8DE7" w14:textId="1F52C032" w:rsidR="00F64776" w:rsidRDefault="00F64776" w:rsidP="00F64776">
      <w:pPr>
        <w:pStyle w:val="TextoNormalNegritaCentrado"/>
      </w:pPr>
    </w:p>
    <w:p w14:paraId="44F95181" w14:textId="77777777" w:rsidR="00F64776" w:rsidRDefault="00F64776" w:rsidP="00F64776">
      <w:pPr>
        <w:pStyle w:val="TextoNormalNegritaCentrado"/>
        <w:keepNext/>
      </w:pPr>
      <w:r>
        <w:t>I. Antecedentes</w:t>
      </w:r>
    </w:p>
    <w:p w14:paraId="457EBEB4" w14:textId="2A66CDFE" w:rsidR="00F64776" w:rsidRDefault="00F64776" w:rsidP="00F64776">
      <w:pPr>
        <w:pStyle w:val="TextoNormalNegritaCentrado"/>
        <w:keepNext/>
      </w:pPr>
    </w:p>
    <w:p w14:paraId="5B4930A9" w14:textId="441784DB" w:rsidR="00F64776" w:rsidRDefault="00F64776" w:rsidP="00F64776">
      <w:pPr>
        <w:pStyle w:val="TextoNormal"/>
      </w:pPr>
      <w:r w:rsidRPr="00F64776">
        <w:rPr>
          <w:rStyle w:val="NumeroAFNegritaCaracter"/>
        </w:rPr>
        <w:t>1</w:t>
      </w:r>
      <w:r>
        <w:t>. Mediante escrito registrado en este tribunal el 4 de mayo de 2022 la procuradora de los tribunales doña Delfina Pariente Pouso, en nombre y representación de la entidad J.F. Baños S.XXI S.L., y bajo la dirección del letrado don Ricardo Lijo Rodríguez, formuló demanda de amparo contra la providencia de 2 de marzo de 2022 dictada por la Sección Primera de la Sala de lo Contencioso-Administrativo del Tribunal Supremo, en recurso de casación núm. 4753-2021 contra la sentencia de la Sección Cuarta de la Sala de lo Contencioso-Administrativo del Tribunal Superior de Justicia de Galicia, recurso núm. 15894-2018.</w:t>
      </w:r>
    </w:p>
    <w:p w14:paraId="10F73E1E" w14:textId="77777777" w:rsidR="00F64776" w:rsidRDefault="00F64776" w:rsidP="00F64776">
      <w:pPr>
        <w:pStyle w:val="TextoNormal"/>
      </w:pPr>
    </w:p>
    <w:p w14:paraId="1C7517FD" w14:textId="72328595" w:rsidR="00F64776" w:rsidRDefault="00F64776" w:rsidP="00F64776">
      <w:pPr>
        <w:pStyle w:val="TextoNormal"/>
      </w:pPr>
      <w:r w:rsidRPr="00F64776">
        <w:rPr>
          <w:rStyle w:val="NumeroAFNegritaCaracter"/>
        </w:rPr>
        <w:t>2</w:t>
      </w:r>
      <w:r>
        <w:t>. Por escrito de 29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65DB0448" w14:textId="77777777" w:rsidR="00F64776" w:rsidRDefault="00F64776" w:rsidP="00F64776">
      <w:pPr>
        <w:pStyle w:val="TextoNormal"/>
      </w:pPr>
    </w:p>
    <w:p w14:paraId="7A03DF6E" w14:textId="77777777" w:rsidR="00F64776" w:rsidRDefault="00F64776" w:rsidP="00F64776">
      <w:pPr>
        <w:pStyle w:val="TextoNormalNegritaCentrado"/>
        <w:keepNext/>
      </w:pPr>
      <w:r>
        <w:t>II. Fundamentos jurídicos</w:t>
      </w:r>
    </w:p>
    <w:p w14:paraId="1C1C00DB" w14:textId="79598302" w:rsidR="00F64776" w:rsidRDefault="00F64776" w:rsidP="00F64776">
      <w:pPr>
        <w:pStyle w:val="TextoNormalNegritaCentrado"/>
        <w:keepNext/>
      </w:pPr>
    </w:p>
    <w:p w14:paraId="76D6716B" w14:textId="3050C496"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7DEA4010" w14:textId="77777777" w:rsidR="00F64776" w:rsidRDefault="00F64776" w:rsidP="00F64776">
      <w:pPr>
        <w:pStyle w:val="TextoNormal"/>
      </w:pPr>
    </w:p>
    <w:p w14:paraId="38AEB2BB" w14:textId="77777777" w:rsidR="00F64776" w:rsidRDefault="00F64776" w:rsidP="00F64776">
      <w:pPr>
        <w:pStyle w:val="TextoNormal"/>
      </w:pPr>
      <w:r>
        <w:t>Por lo expuesto, la Sección</w:t>
      </w:r>
    </w:p>
    <w:p w14:paraId="43EABC2C" w14:textId="1F41C1A6" w:rsidR="00F64776" w:rsidRDefault="00F64776" w:rsidP="00F64776">
      <w:pPr>
        <w:pStyle w:val="TextoNormal"/>
      </w:pPr>
    </w:p>
    <w:p w14:paraId="5C884FCB" w14:textId="77777777" w:rsidR="00F64776" w:rsidRDefault="00F64776" w:rsidP="00F64776">
      <w:pPr>
        <w:pStyle w:val="TextoNormalCentrado"/>
      </w:pPr>
      <w:r>
        <w:t>ACUERDA</w:t>
      </w:r>
    </w:p>
    <w:p w14:paraId="1968F993" w14:textId="6B3B49BA" w:rsidR="00F64776" w:rsidRDefault="00F64776" w:rsidP="00F64776">
      <w:pPr>
        <w:pStyle w:val="TextoNormalCentrado"/>
      </w:pPr>
    </w:p>
    <w:p w14:paraId="5B60BEF8" w14:textId="298B25A8" w:rsidR="00F64776" w:rsidRDefault="00F64776" w:rsidP="00F64776">
      <w:pPr>
        <w:pStyle w:val="TextoNormal"/>
      </w:pPr>
      <w:r>
        <w:t>Estimar justificada la abstención formulada por el magistrado don César Tolosa Tribiño en el recurso de amparo núm. 3149-2022 y apartarle definitivamente del conocimiento del referido recurso y de todas sus incidencias.</w:t>
      </w:r>
    </w:p>
    <w:p w14:paraId="106AD813" w14:textId="77777777" w:rsidR="00F64776" w:rsidRDefault="00F64776" w:rsidP="00F64776">
      <w:pPr>
        <w:pStyle w:val="TextoNormal"/>
      </w:pPr>
    </w:p>
    <w:p w14:paraId="33A4C99B" w14:textId="77777777" w:rsidR="00F64776" w:rsidRDefault="00F64776" w:rsidP="00F64776">
      <w:pPr>
        <w:pStyle w:val="TextoNormal"/>
      </w:pPr>
      <w:r>
        <w:t>Madrid, a uno de diciembre de dos mil veintitrés.</w:t>
      </w:r>
    </w:p>
    <w:p w14:paraId="7D8528A1" w14:textId="7874B1C1" w:rsidR="00F64776" w:rsidRDefault="00F64776">
      <w:pPr>
        <w:spacing w:after="160" w:line="278" w:lineRule="auto"/>
        <w:rPr>
          <w:rFonts w:ascii="Times New Roman" w:eastAsia="Times New Roman" w:hAnsi="Times New Roman" w:cs="Times New Roman"/>
          <w:sz w:val="24"/>
          <w:szCs w:val="24"/>
          <w:lang w:eastAsia="es-ES"/>
        </w:rPr>
      </w:pPr>
      <w:r>
        <w:br w:type="page"/>
      </w:r>
    </w:p>
    <w:p w14:paraId="39369777" w14:textId="77777777" w:rsidR="00F64776" w:rsidRDefault="00F64776" w:rsidP="00F64776">
      <w:pPr>
        <w:pStyle w:val="TtuloResolucin"/>
      </w:pPr>
      <w:bookmarkStart w:id="391" w:name="AUTO_2023_606"/>
      <w:r>
        <w:t>AUTO 606/2023, de 1 de diciembre de 2023</w:t>
      </w:r>
    </w:p>
    <w:bookmarkEnd w:id="391"/>
    <w:p w14:paraId="367E01AD" w14:textId="77777777" w:rsidR="00F64776" w:rsidRDefault="00F64776" w:rsidP="00F64776">
      <w:pPr>
        <w:pStyle w:val="TtuloResolucin"/>
      </w:pPr>
      <w:r>
        <w:t>Sección Tercera</w:t>
      </w:r>
    </w:p>
    <w:p w14:paraId="4D7D43DD" w14:textId="77777777" w:rsidR="00F64776" w:rsidRDefault="00F64776" w:rsidP="00F64776">
      <w:pPr>
        <w:pStyle w:val="TextoNormalCentrado"/>
      </w:pPr>
      <w:r>
        <w:t>ECLI:ES:TC:2023:606A</w:t>
      </w:r>
    </w:p>
    <w:p w14:paraId="45F70382" w14:textId="304E78CE" w:rsidR="00F64776" w:rsidRDefault="00F64776" w:rsidP="00F64776">
      <w:pPr>
        <w:pStyle w:val="TextoNormalCentrado"/>
      </w:pPr>
    </w:p>
    <w:p w14:paraId="1DA11EBB" w14:textId="77777777" w:rsidR="00F64776" w:rsidRDefault="00F64776" w:rsidP="00F64776">
      <w:pPr>
        <w:pStyle w:val="SntesisDescriptiva"/>
      </w:pPr>
      <w:r>
        <w:t>Excms. Srs. doña Inmaculada Montalbán Huertas y doña Laura Díez Bueso.</w:t>
      </w:r>
    </w:p>
    <w:p w14:paraId="05C8EAD7" w14:textId="07E6002B" w:rsidR="00F64776" w:rsidRDefault="00F64776" w:rsidP="00F64776">
      <w:pPr>
        <w:pStyle w:val="SntesisDescriptiva"/>
      </w:pPr>
    </w:p>
    <w:p w14:paraId="52D2EA60" w14:textId="77777777" w:rsidR="00F64776" w:rsidRDefault="00F64776" w:rsidP="00F64776">
      <w:pPr>
        <w:pStyle w:val="SntesisDescriptiva"/>
      </w:pPr>
      <w:r>
        <w:t>Acepta una abstención en el recurso de amparo 3710-2022, promovido en proceso contencioso administrativo.</w:t>
      </w:r>
    </w:p>
    <w:p w14:paraId="7B0924BD" w14:textId="28D37241" w:rsidR="00F64776" w:rsidRDefault="00F64776" w:rsidP="00F64776">
      <w:pPr>
        <w:pStyle w:val="SntesisDescriptiva"/>
      </w:pPr>
    </w:p>
    <w:p w14:paraId="5267EEA0" w14:textId="77777777" w:rsidR="00F64776" w:rsidRDefault="00F64776" w:rsidP="00F64776">
      <w:pPr>
        <w:pStyle w:val="SntesisDescriptiva"/>
      </w:pPr>
    </w:p>
    <w:p w14:paraId="732B1836" w14:textId="77777777" w:rsidR="00F64776" w:rsidRDefault="00F64776" w:rsidP="00F64776">
      <w:pPr>
        <w:pStyle w:val="SntesisDescriptiva"/>
      </w:pPr>
    </w:p>
    <w:p w14:paraId="54B09886" w14:textId="77777777" w:rsidR="00F64776" w:rsidRDefault="00F64776" w:rsidP="00F64776">
      <w:pPr>
        <w:pStyle w:val="TextoNormalNegritaCentrado"/>
      </w:pPr>
      <w:r>
        <w:t>AUTO</w:t>
      </w:r>
    </w:p>
    <w:p w14:paraId="2FEF35FF" w14:textId="06F734C8" w:rsidR="00F64776" w:rsidRDefault="00F64776" w:rsidP="00F64776">
      <w:pPr>
        <w:pStyle w:val="TextoNormalNegritaCentrado"/>
      </w:pPr>
    </w:p>
    <w:p w14:paraId="38EACD04" w14:textId="77777777" w:rsidR="00F64776" w:rsidRDefault="00F64776" w:rsidP="00F64776">
      <w:pPr>
        <w:pStyle w:val="TextoNormalNegritaCentrado"/>
        <w:keepNext/>
      </w:pPr>
      <w:r>
        <w:t>I. Antecedentes</w:t>
      </w:r>
    </w:p>
    <w:p w14:paraId="7A15E1C8" w14:textId="3483A201" w:rsidR="00F64776" w:rsidRDefault="00F64776" w:rsidP="00F64776">
      <w:pPr>
        <w:pStyle w:val="TextoNormalNegritaCentrado"/>
        <w:keepNext/>
      </w:pPr>
    </w:p>
    <w:p w14:paraId="47C74E35" w14:textId="3ACF5C03" w:rsidR="00F64776" w:rsidRDefault="00F64776" w:rsidP="00F64776">
      <w:pPr>
        <w:pStyle w:val="TextoNormal"/>
      </w:pPr>
      <w:r w:rsidRPr="00F64776">
        <w:rPr>
          <w:rStyle w:val="NumeroAFNegritaCaracter"/>
        </w:rPr>
        <w:t>1</w:t>
      </w:r>
      <w:r>
        <w:t>. Mediante escrito registrado en este tribunal el 24 de mayo de 2022 la procuradora de los tribunales doña Pilar Marta Bermejillo de Hevia, en nombre y representación de don Antonio Alberto Calvar Carballo-Pérez y bajo la dirección del letrado don Antonio Alberto Calvar Carballo-Pérez, formuló demanda de amparo contra el auto de la Sala Especial art. 61 de la Ley Orgánica del Poder Judicial (LOPJ), del Tribunal Supremo, en recurso núm. 9-2020.</w:t>
      </w:r>
    </w:p>
    <w:p w14:paraId="4D5C32E9" w14:textId="77777777" w:rsidR="00F64776" w:rsidRDefault="00F64776" w:rsidP="00F64776">
      <w:pPr>
        <w:pStyle w:val="TextoNormal"/>
      </w:pPr>
    </w:p>
    <w:p w14:paraId="320F37FE" w14:textId="1ADCBD9C" w:rsidR="00F64776" w:rsidRDefault="00F64776" w:rsidP="00F64776">
      <w:pPr>
        <w:pStyle w:val="TextoNormal"/>
      </w:pPr>
      <w:r w:rsidRPr="00F64776">
        <w:rPr>
          <w:rStyle w:val="NumeroAFNegritaCaracter"/>
        </w:rPr>
        <w:t>2</w:t>
      </w:r>
      <w:r>
        <w:t>. Por escrito de 29 de mayo de 2023 el magistrado don César Tolosa Tribiño manifestó su voluntad de abstenerse en el presente recurso de amparo y todas sus incidencias, por entender que concurría la causa establecida en el artículo 219.11 LOPJ, al haber intervenido en la instancia anterior, toda vez que formó parte en su condición de magistrado de la Sala Especial del art. 61 LOPJ del Tribunal Supremo que dictó la resolución impugnada.</w:t>
      </w:r>
    </w:p>
    <w:p w14:paraId="673B073B" w14:textId="77777777" w:rsidR="00F64776" w:rsidRDefault="00F64776" w:rsidP="00F64776">
      <w:pPr>
        <w:pStyle w:val="TextoNormal"/>
      </w:pPr>
    </w:p>
    <w:p w14:paraId="718C3E3D" w14:textId="77777777" w:rsidR="00F64776" w:rsidRDefault="00F64776" w:rsidP="00F64776">
      <w:pPr>
        <w:pStyle w:val="TextoNormalNegritaCentrado"/>
        <w:keepNext/>
      </w:pPr>
      <w:r>
        <w:t>II. Fundamentos jurídicos</w:t>
      </w:r>
    </w:p>
    <w:p w14:paraId="050CD7BE" w14:textId="58BD4EFE" w:rsidR="00F64776" w:rsidRDefault="00F64776" w:rsidP="00F64776">
      <w:pPr>
        <w:pStyle w:val="TextoNormalNegritaCentrado"/>
        <w:keepNext/>
      </w:pPr>
    </w:p>
    <w:p w14:paraId="5451B30A" w14:textId="2347FA0D"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7C842724" w14:textId="77777777" w:rsidR="00F64776" w:rsidRDefault="00F64776" w:rsidP="00F64776">
      <w:pPr>
        <w:pStyle w:val="TextoNormal"/>
      </w:pPr>
    </w:p>
    <w:p w14:paraId="3BB6E7BA" w14:textId="77777777" w:rsidR="00F64776" w:rsidRDefault="00F64776" w:rsidP="00F64776">
      <w:pPr>
        <w:pStyle w:val="TextoNormal"/>
      </w:pPr>
      <w:r>
        <w:t>Por lo expuesto, la Sección</w:t>
      </w:r>
    </w:p>
    <w:p w14:paraId="16B709E9" w14:textId="0703E6B8" w:rsidR="00F64776" w:rsidRDefault="00F64776" w:rsidP="00F64776">
      <w:pPr>
        <w:pStyle w:val="TextoNormal"/>
      </w:pPr>
    </w:p>
    <w:p w14:paraId="39C8CC42" w14:textId="77777777" w:rsidR="00F64776" w:rsidRDefault="00F64776" w:rsidP="00F64776">
      <w:pPr>
        <w:pStyle w:val="TextoNormalCentrado"/>
      </w:pPr>
      <w:r>
        <w:t>ACUERDA</w:t>
      </w:r>
    </w:p>
    <w:p w14:paraId="07FE8837" w14:textId="4ABC6DB0" w:rsidR="00F64776" w:rsidRDefault="00F64776" w:rsidP="00F64776">
      <w:pPr>
        <w:pStyle w:val="TextoNormalCentrado"/>
      </w:pPr>
    </w:p>
    <w:p w14:paraId="3DCD430F" w14:textId="06927E61" w:rsidR="00F64776" w:rsidRDefault="00F64776" w:rsidP="00F64776">
      <w:pPr>
        <w:pStyle w:val="TextoNormal"/>
      </w:pPr>
      <w:r>
        <w:t>Estimar justificada la abstención formulada por el magistrado don César Tolosa Tribiño en el recurso de amparo núm. 3710-2022 y apartarle definitivamente del conocimiento del referido recurso y de todas sus incidencias.</w:t>
      </w:r>
    </w:p>
    <w:p w14:paraId="50A11C6B" w14:textId="77777777" w:rsidR="00F64776" w:rsidRDefault="00F64776" w:rsidP="00F64776">
      <w:pPr>
        <w:pStyle w:val="TextoNormal"/>
      </w:pPr>
    </w:p>
    <w:p w14:paraId="7D0B3C82" w14:textId="77777777" w:rsidR="00F64776" w:rsidRDefault="00F64776" w:rsidP="00F64776">
      <w:pPr>
        <w:pStyle w:val="TextoNormal"/>
      </w:pPr>
      <w:r>
        <w:t>Madrid, a uno de diciembre de dos mil veintitrés.</w:t>
      </w:r>
    </w:p>
    <w:p w14:paraId="02D494F6" w14:textId="30634230" w:rsidR="00F64776" w:rsidRDefault="00F64776">
      <w:pPr>
        <w:spacing w:after="160" w:line="278" w:lineRule="auto"/>
        <w:rPr>
          <w:rFonts w:ascii="Times New Roman" w:eastAsia="Times New Roman" w:hAnsi="Times New Roman" w:cs="Times New Roman"/>
          <w:sz w:val="24"/>
          <w:szCs w:val="24"/>
          <w:lang w:eastAsia="es-ES"/>
        </w:rPr>
      </w:pPr>
      <w:r>
        <w:br w:type="page"/>
      </w:r>
    </w:p>
    <w:p w14:paraId="3EA719B4" w14:textId="77777777" w:rsidR="00F64776" w:rsidRDefault="00F64776" w:rsidP="00F64776">
      <w:pPr>
        <w:pStyle w:val="TtuloResolucin"/>
      </w:pPr>
      <w:bookmarkStart w:id="392" w:name="AUTO_2023_607"/>
      <w:r>
        <w:t>AUTO 607/2023, de 1 de diciembre de 2023</w:t>
      </w:r>
    </w:p>
    <w:bookmarkEnd w:id="392"/>
    <w:p w14:paraId="5794FD1F" w14:textId="77777777" w:rsidR="00F64776" w:rsidRDefault="00F64776" w:rsidP="00F64776">
      <w:pPr>
        <w:pStyle w:val="TtuloResolucin"/>
      </w:pPr>
      <w:r>
        <w:t>Sección Tercera</w:t>
      </w:r>
    </w:p>
    <w:p w14:paraId="46850F3E" w14:textId="77777777" w:rsidR="00F64776" w:rsidRDefault="00F64776" w:rsidP="00F64776">
      <w:pPr>
        <w:pStyle w:val="TextoNormalCentrado"/>
      </w:pPr>
      <w:r>
        <w:t>ECLI:ES:TC:2023:607A</w:t>
      </w:r>
    </w:p>
    <w:p w14:paraId="0EC48239" w14:textId="23C48DEA" w:rsidR="00F64776" w:rsidRDefault="00F64776" w:rsidP="00F64776">
      <w:pPr>
        <w:pStyle w:val="TextoNormalCentrado"/>
      </w:pPr>
    </w:p>
    <w:p w14:paraId="16FF0E5F" w14:textId="77777777" w:rsidR="00F64776" w:rsidRDefault="00F64776" w:rsidP="00F64776">
      <w:pPr>
        <w:pStyle w:val="SntesisDescriptiva"/>
      </w:pPr>
      <w:r>
        <w:t>Excms. Srs. doña Inmaculada Montalbán Huertas y doña Laura Díez Bueso.</w:t>
      </w:r>
    </w:p>
    <w:p w14:paraId="65514720" w14:textId="7A227568" w:rsidR="00F64776" w:rsidRDefault="00F64776" w:rsidP="00F64776">
      <w:pPr>
        <w:pStyle w:val="SntesisDescriptiva"/>
      </w:pPr>
    </w:p>
    <w:p w14:paraId="2402B518" w14:textId="77777777" w:rsidR="00F64776" w:rsidRDefault="00F64776" w:rsidP="00F64776">
      <w:pPr>
        <w:pStyle w:val="SntesisDescriptiva"/>
      </w:pPr>
      <w:r>
        <w:t>Acepta una abstención en el recurso de amparo 4177-2022, promovido en proceso contencioso administrativo.</w:t>
      </w:r>
    </w:p>
    <w:p w14:paraId="0C14B700" w14:textId="11BD3E10" w:rsidR="00F64776" w:rsidRDefault="00F64776" w:rsidP="00F64776">
      <w:pPr>
        <w:pStyle w:val="SntesisDescriptiva"/>
      </w:pPr>
    </w:p>
    <w:p w14:paraId="2FBD9E29" w14:textId="77777777" w:rsidR="00F64776" w:rsidRDefault="00F64776" w:rsidP="00F64776">
      <w:pPr>
        <w:pStyle w:val="SntesisDescriptiva"/>
      </w:pPr>
    </w:p>
    <w:p w14:paraId="1BA3F07E" w14:textId="77777777" w:rsidR="00F64776" w:rsidRDefault="00F64776" w:rsidP="00F64776">
      <w:pPr>
        <w:pStyle w:val="SntesisDescriptiva"/>
      </w:pPr>
    </w:p>
    <w:p w14:paraId="168154BD" w14:textId="77777777" w:rsidR="00F64776" w:rsidRDefault="00F64776" w:rsidP="00F64776">
      <w:pPr>
        <w:pStyle w:val="TextoNormalNegritaCentrado"/>
      </w:pPr>
      <w:r>
        <w:t>AUTO</w:t>
      </w:r>
    </w:p>
    <w:p w14:paraId="526A9935" w14:textId="5E845A19" w:rsidR="00F64776" w:rsidRDefault="00F64776" w:rsidP="00F64776">
      <w:pPr>
        <w:pStyle w:val="TextoNormalNegritaCentrado"/>
      </w:pPr>
    </w:p>
    <w:p w14:paraId="638D6D86" w14:textId="77777777" w:rsidR="00F64776" w:rsidRDefault="00F64776" w:rsidP="00F64776">
      <w:pPr>
        <w:pStyle w:val="TextoNormalNegritaCentrado"/>
        <w:keepNext/>
      </w:pPr>
      <w:r>
        <w:t>I. Antecedentes</w:t>
      </w:r>
    </w:p>
    <w:p w14:paraId="5CD5A2B5" w14:textId="0ACFDE3C" w:rsidR="00F64776" w:rsidRDefault="00F64776" w:rsidP="00F64776">
      <w:pPr>
        <w:pStyle w:val="TextoNormalNegritaCentrado"/>
        <w:keepNext/>
      </w:pPr>
    </w:p>
    <w:p w14:paraId="112F9571" w14:textId="25FA5BF5" w:rsidR="00F64776" w:rsidRDefault="00F64776" w:rsidP="00F64776">
      <w:pPr>
        <w:pStyle w:val="TextoNormal"/>
      </w:pPr>
      <w:r w:rsidRPr="00F64776">
        <w:rPr>
          <w:rStyle w:val="NumeroAFNegritaCaracter"/>
        </w:rPr>
        <w:t>1</w:t>
      </w:r>
      <w:r>
        <w:t>. Mediante escrito registrado en este tribunal el 12 de junio de 2022 la procuradora de los tribunales doña Lourdes Íñigo Rodríguez, en nombre y representación de don Anderson Jean Pierre Rodríguez Caballero y bajo la dirección de la letrada doña Rosa María Sanz Carrasco, formuló demanda de amparo contra providencias de la Sala de lo Contencioso-Administrativo del Tribunal Supremo en recurso de casación núm. 8168-2021.</w:t>
      </w:r>
    </w:p>
    <w:p w14:paraId="60AE5167" w14:textId="77777777" w:rsidR="00F64776" w:rsidRDefault="00F64776" w:rsidP="00F64776">
      <w:pPr>
        <w:pStyle w:val="TextoNormal"/>
      </w:pPr>
    </w:p>
    <w:p w14:paraId="3195CB5F" w14:textId="745767DD" w:rsidR="00F64776" w:rsidRDefault="00F64776" w:rsidP="00F64776">
      <w:pPr>
        <w:pStyle w:val="TextoNormal"/>
      </w:pPr>
      <w:r w:rsidRPr="00F64776">
        <w:rPr>
          <w:rStyle w:val="NumeroAFNegritaCaracter"/>
        </w:rPr>
        <w:t>2</w:t>
      </w:r>
      <w:r>
        <w:t>. Por escrito de 29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0A9AE232" w14:textId="77777777" w:rsidR="00F64776" w:rsidRDefault="00F64776" w:rsidP="00F64776">
      <w:pPr>
        <w:pStyle w:val="TextoNormal"/>
      </w:pPr>
    </w:p>
    <w:p w14:paraId="33BC5892" w14:textId="77777777" w:rsidR="00F64776" w:rsidRDefault="00F64776" w:rsidP="00F64776">
      <w:pPr>
        <w:pStyle w:val="TextoNormalNegritaCentrado"/>
        <w:keepNext/>
      </w:pPr>
      <w:r>
        <w:t>II. Fundamentos jurídicos</w:t>
      </w:r>
    </w:p>
    <w:p w14:paraId="3E0823CA" w14:textId="5951D745" w:rsidR="00F64776" w:rsidRDefault="00F64776" w:rsidP="00F64776">
      <w:pPr>
        <w:pStyle w:val="TextoNormalNegritaCentrado"/>
        <w:keepNext/>
      </w:pPr>
    </w:p>
    <w:p w14:paraId="30C6CC8A" w14:textId="356435E6"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6F1ECC88" w14:textId="77777777" w:rsidR="00F64776" w:rsidRDefault="00F64776" w:rsidP="00F64776">
      <w:pPr>
        <w:pStyle w:val="TextoNormal"/>
      </w:pPr>
    </w:p>
    <w:p w14:paraId="73D45AE8" w14:textId="77777777" w:rsidR="00F64776" w:rsidRDefault="00F64776" w:rsidP="00F64776">
      <w:pPr>
        <w:pStyle w:val="TextoNormal"/>
      </w:pPr>
      <w:r>
        <w:t>Por lo expuesto, la Sección</w:t>
      </w:r>
    </w:p>
    <w:p w14:paraId="16A62730" w14:textId="7F3A1F6B" w:rsidR="00F64776" w:rsidRDefault="00F64776" w:rsidP="00F64776">
      <w:pPr>
        <w:pStyle w:val="TextoNormal"/>
      </w:pPr>
    </w:p>
    <w:p w14:paraId="24509EF6" w14:textId="77777777" w:rsidR="00F64776" w:rsidRDefault="00F64776" w:rsidP="00F64776">
      <w:pPr>
        <w:pStyle w:val="TextoNormalCentrado"/>
      </w:pPr>
      <w:r>
        <w:t>ACUERDA</w:t>
      </w:r>
    </w:p>
    <w:p w14:paraId="011B5C5E" w14:textId="11B33DA5" w:rsidR="00F64776" w:rsidRDefault="00F64776" w:rsidP="00F64776">
      <w:pPr>
        <w:pStyle w:val="TextoNormalCentrado"/>
      </w:pPr>
    </w:p>
    <w:p w14:paraId="6B67982D" w14:textId="0045ED7D" w:rsidR="00F64776" w:rsidRDefault="00F64776" w:rsidP="00F64776">
      <w:pPr>
        <w:pStyle w:val="TextoNormal"/>
      </w:pPr>
      <w:r>
        <w:t>Estimar justificada la abstención formulada por el magistrado don César Tolosa Tribiño en el recurso de amparo núm. 4177-2022 y apartarle definitivamente del conocimiento del referido recurso y de todas sus incidencias.</w:t>
      </w:r>
    </w:p>
    <w:p w14:paraId="48B9ED8E" w14:textId="77777777" w:rsidR="00F64776" w:rsidRDefault="00F64776" w:rsidP="00F64776">
      <w:pPr>
        <w:pStyle w:val="TextoNormal"/>
      </w:pPr>
    </w:p>
    <w:p w14:paraId="56340C7E" w14:textId="77777777" w:rsidR="00F64776" w:rsidRDefault="00F64776" w:rsidP="00F64776">
      <w:pPr>
        <w:pStyle w:val="TextoNormal"/>
      </w:pPr>
      <w:r>
        <w:t>Madrid, a uno de diciembre de dos mil veintitrés.</w:t>
      </w:r>
    </w:p>
    <w:p w14:paraId="3A8E5A90" w14:textId="023513F1" w:rsidR="00F64776" w:rsidRDefault="00F64776">
      <w:pPr>
        <w:spacing w:after="160" w:line="278" w:lineRule="auto"/>
        <w:rPr>
          <w:rFonts w:ascii="Times New Roman" w:eastAsia="Times New Roman" w:hAnsi="Times New Roman" w:cs="Times New Roman"/>
          <w:sz w:val="24"/>
          <w:szCs w:val="24"/>
          <w:lang w:eastAsia="es-ES"/>
        </w:rPr>
      </w:pPr>
      <w:r>
        <w:br w:type="page"/>
      </w:r>
    </w:p>
    <w:p w14:paraId="1CE35A51" w14:textId="77777777" w:rsidR="00F64776" w:rsidRDefault="00F64776" w:rsidP="00F64776">
      <w:pPr>
        <w:pStyle w:val="TtuloResolucin"/>
      </w:pPr>
      <w:bookmarkStart w:id="393" w:name="AUTO_2023_608"/>
      <w:r>
        <w:t>AUTO 608/2023, de 1 de diciembre de 2023</w:t>
      </w:r>
    </w:p>
    <w:bookmarkEnd w:id="393"/>
    <w:p w14:paraId="679F056B" w14:textId="77777777" w:rsidR="00F64776" w:rsidRDefault="00F64776" w:rsidP="00F64776">
      <w:pPr>
        <w:pStyle w:val="TtuloResolucin"/>
      </w:pPr>
      <w:r>
        <w:t>Sección Tercera</w:t>
      </w:r>
    </w:p>
    <w:p w14:paraId="6BFAFB34" w14:textId="77777777" w:rsidR="00F64776" w:rsidRDefault="00F64776" w:rsidP="00F64776">
      <w:pPr>
        <w:pStyle w:val="TextoNormalCentrado"/>
      </w:pPr>
      <w:r>
        <w:t>ECLI:ES:TC:2023:608A</w:t>
      </w:r>
    </w:p>
    <w:p w14:paraId="40026DA5" w14:textId="3835333A" w:rsidR="00F64776" w:rsidRDefault="00F64776" w:rsidP="00F64776">
      <w:pPr>
        <w:pStyle w:val="TextoNormalCentrado"/>
      </w:pPr>
    </w:p>
    <w:p w14:paraId="09038092" w14:textId="77777777" w:rsidR="00F64776" w:rsidRDefault="00F64776" w:rsidP="00F64776">
      <w:pPr>
        <w:pStyle w:val="SntesisDescriptiva"/>
      </w:pPr>
      <w:r>
        <w:t>Excms. Srs. doña Inmaculada Montalbán Huertas y doña Laura Díez Bueso.</w:t>
      </w:r>
    </w:p>
    <w:p w14:paraId="6C0A2E01" w14:textId="5D93C543" w:rsidR="00F64776" w:rsidRDefault="00F64776" w:rsidP="00F64776">
      <w:pPr>
        <w:pStyle w:val="SntesisDescriptiva"/>
      </w:pPr>
    </w:p>
    <w:p w14:paraId="7996F136" w14:textId="77777777" w:rsidR="00F64776" w:rsidRDefault="00F64776" w:rsidP="00F64776">
      <w:pPr>
        <w:pStyle w:val="SntesisDescriptiva"/>
      </w:pPr>
      <w:r>
        <w:t>Acepta una abstención en el recurso de amparo 4403-2022, promovido en proceso contencioso administrativo.</w:t>
      </w:r>
    </w:p>
    <w:p w14:paraId="5C8C5B57" w14:textId="0F98F25F" w:rsidR="00F64776" w:rsidRDefault="00F64776" w:rsidP="00F64776">
      <w:pPr>
        <w:pStyle w:val="SntesisDescriptiva"/>
      </w:pPr>
    </w:p>
    <w:p w14:paraId="4A3CB7A0" w14:textId="77777777" w:rsidR="00F64776" w:rsidRDefault="00F64776" w:rsidP="00F64776">
      <w:pPr>
        <w:pStyle w:val="SntesisDescriptiva"/>
      </w:pPr>
    </w:p>
    <w:p w14:paraId="1315DDA4" w14:textId="77777777" w:rsidR="00F64776" w:rsidRDefault="00F64776" w:rsidP="00F64776">
      <w:pPr>
        <w:pStyle w:val="SntesisDescriptiva"/>
      </w:pPr>
    </w:p>
    <w:p w14:paraId="2DD3A283" w14:textId="77777777" w:rsidR="00F64776" w:rsidRDefault="00F64776" w:rsidP="00F64776">
      <w:pPr>
        <w:pStyle w:val="TextoNormalNegritaCentrado"/>
      </w:pPr>
      <w:r>
        <w:t>AUTO</w:t>
      </w:r>
    </w:p>
    <w:p w14:paraId="1A4A99DE" w14:textId="3AFD9897" w:rsidR="00F64776" w:rsidRDefault="00F64776" w:rsidP="00F64776">
      <w:pPr>
        <w:pStyle w:val="TextoNormalNegritaCentrado"/>
      </w:pPr>
    </w:p>
    <w:p w14:paraId="7BAADA35" w14:textId="77777777" w:rsidR="00F64776" w:rsidRDefault="00F64776" w:rsidP="00F64776">
      <w:pPr>
        <w:pStyle w:val="TextoNormalNegritaCentrado"/>
        <w:keepNext/>
      </w:pPr>
      <w:r>
        <w:t>I. Antecedentes</w:t>
      </w:r>
    </w:p>
    <w:p w14:paraId="7E991850" w14:textId="5246A814" w:rsidR="00F64776" w:rsidRDefault="00F64776" w:rsidP="00F64776">
      <w:pPr>
        <w:pStyle w:val="TextoNormalNegritaCentrado"/>
        <w:keepNext/>
      </w:pPr>
    </w:p>
    <w:p w14:paraId="0B0760BA" w14:textId="38AEFAEA" w:rsidR="00F64776" w:rsidRDefault="00F64776" w:rsidP="00F64776">
      <w:pPr>
        <w:pStyle w:val="TextoNormal"/>
      </w:pPr>
      <w:r w:rsidRPr="00F64776">
        <w:rPr>
          <w:rStyle w:val="NumeroAFNegritaCaracter"/>
        </w:rPr>
        <w:t>1</w:t>
      </w:r>
      <w:r>
        <w:t>. Mediante escrito registrado en este tribunal el 20 de junio de 2022 la procuradora de los tribunales doña Ruth María Oterino Sánchez, en nombre y representación de don Harmesk Kumar y bajo la dirección del letrado don Víctor Blázquez García de la Serna, formuló demanda de amparo contra la providencia de 15 de junio de 2022, dictada por la Sala de lo Contencioso-Administrativo del Tribunal Supremo en recurso de casación núm. 976-2022 contra la sentencia dictada por la Sección Cuarta de la Sala de lo Contencioso-Administrativo del Tribunal Superior de Justicia de Valencia en recurso de apelación núm. 395-2020.</w:t>
      </w:r>
    </w:p>
    <w:p w14:paraId="4D8DAAC8" w14:textId="77777777" w:rsidR="00F64776" w:rsidRDefault="00F64776" w:rsidP="00F64776">
      <w:pPr>
        <w:pStyle w:val="TextoNormal"/>
      </w:pPr>
    </w:p>
    <w:p w14:paraId="24CD66DD" w14:textId="6E536BE2" w:rsidR="00F64776" w:rsidRDefault="00F64776" w:rsidP="00F64776">
      <w:pPr>
        <w:pStyle w:val="TextoNormal"/>
      </w:pPr>
      <w:r w:rsidRPr="00F64776">
        <w:rPr>
          <w:rStyle w:val="NumeroAFNegritaCaracter"/>
        </w:rPr>
        <w:t>2</w:t>
      </w:r>
      <w:r>
        <w:t>. Por escrito de 29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7AED26F1" w14:textId="77777777" w:rsidR="00F64776" w:rsidRDefault="00F64776" w:rsidP="00F64776">
      <w:pPr>
        <w:pStyle w:val="TextoNormal"/>
      </w:pPr>
    </w:p>
    <w:p w14:paraId="6E13663D" w14:textId="77777777" w:rsidR="00F64776" w:rsidRDefault="00F64776" w:rsidP="00F64776">
      <w:pPr>
        <w:pStyle w:val="TextoNormalNegritaCentrado"/>
        <w:keepNext/>
      </w:pPr>
      <w:r>
        <w:t>II. Fundamentos jurídicos</w:t>
      </w:r>
    </w:p>
    <w:p w14:paraId="38064EA7" w14:textId="65043934" w:rsidR="00F64776" w:rsidRDefault="00F64776" w:rsidP="00F64776">
      <w:pPr>
        <w:pStyle w:val="TextoNormalNegritaCentrado"/>
        <w:keepNext/>
      </w:pPr>
    </w:p>
    <w:p w14:paraId="255095C0" w14:textId="1B3C3CE0"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7B03E653" w14:textId="77777777" w:rsidR="00F64776" w:rsidRDefault="00F64776" w:rsidP="00F64776">
      <w:pPr>
        <w:pStyle w:val="TextoNormal"/>
      </w:pPr>
    </w:p>
    <w:p w14:paraId="22DFF2D6" w14:textId="77777777" w:rsidR="00F64776" w:rsidRDefault="00F64776" w:rsidP="00F64776">
      <w:pPr>
        <w:pStyle w:val="TextoNormal"/>
      </w:pPr>
      <w:r>
        <w:t>Por lo expuesto, la Sección</w:t>
      </w:r>
    </w:p>
    <w:p w14:paraId="4AB33C5B" w14:textId="591F5A81" w:rsidR="00F64776" w:rsidRDefault="00F64776" w:rsidP="00F64776">
      <w:pPr>
        <w:pStyle w:val="TextoNormal"/>
      </w:pPr>
    </w:p>
    <w:p w14:paraId="0163DF35" w14:textId="77777777" w:rsidR="00F64776" w:rsidRDefault="00F64776" w:rsidP="00F64776">
      <w:pPr>
        <w:pStyle w:val="TextoNormalCentrado"/>
      </w:pPr>
      <w:r>
        <w:t>ACUERDA</w:t>
      </w:r>
    </w:p>
    <w:p w14:paraId="410EC4F3" w14:textId="6EA66B00" w:rsidR="00F64776" w:rsidRDefault="00F64776" w:rsidP="00F64776">
      <w:pPr>
        <w:pStyle w:val="TextoNormalCentrado"/>
      </w:pPr>
    </w:p>
    <w:p w14:paraId="57327070" w14:textId="451052AD" w:rsidR="00F64776" w:rsidRDefault="00F64776" w:rsidP="00F64776">
      <w:pPr>
        <w:pStyle w:val="TextoNormal"/>
      </w:pPr>
      <w:r>
        <w:t>Estimar justificada la abstención formulada por el magistrado don César Tolosa Tribiño en el recurso de amparo núm. 4403-2022 y apartarle definitivamente del conocimiento del referido recurso y de todas sus incidencias.</w:t>
      </w:r>
    </w:p>
    <w:p w14:paraId="2ED8D7A7" w14:textId="77777777" w:rsidR="00F64776" w:rsidRDefault="00F64776" w:rsidP="00F64776">
      <w:pPr>
        <w:pStyle w:val="TextoNormal"/>
      </w:pPr>
    </w:p>
    <w:p w14:paraId="17C547BE" w14:textId="77777777" w:rsidR="00F64776" w:rsidRDefault="00F64776" w:rsidP="00F64776">
      <w:pPr>
        <w:pStyle w:val="TextoNormal"/>
      </w:pPr>
      <w:r>
        <w:t>Madrid, a uno de diciembre de dos mil veintitrés.</w:t>
      </w:r>
    </w:p>
    <w:p w14:paraId="5D995EEC" w14:textId="5FDB618B" w:rsidR="00F64776" w:rsidRDefault="00F64776">
      <w:pPr>
        <w:spacing w:after="160" w:line="278" w:lineRule="auto"/>
        <w:rPr>
          <w:rFonts w:ascii="Times New Roman" w:eastAsia="Times New Roman" w:hAnsi="Times New Roman" w:cs="Times New Roman"/>
          <w:sz w:val="24"/>
          <w:szCs w:val="24"/>
          <w:lang w:eastAsia="es-ES"/>
        </w:rPr>
      </w:pPr>
      <w:r>
        <w:br w:type="page"/>
      </w:r>
    </w:p>
    <w:p w14:paraId="4986825E" w14:textId="77777777" w:rsidR="00F64776" w:rsidRDefault="00F64776" w:rsidP="00F64776">
      <w:pPr>
        <w:pStyle w:val="TtuloResolucin"/>
      </w:pPr>
      <w:bookmarkStart w:id="394" w:name="AUTO_2023_609"/>
      <w:r>
        <w:t>AUTO 609/2023, de 1 de diciembre de 2023</w:t>
      </w:r>
    </w:p>
    <w:bookmarkEnd w:id="394"/>
    <w:p w14:paraId="54CFB320" w14:textId="77777777" w:rsidR="00F64776" w:rsidRDefault="00F64776" w:rsidP="00F64776">
      <w:pPr>
        <w:pStyle w:val="TtuloResolucin"/>
      </w:pPr>
      <w:r>
        <w:t>Sección Tercera</w:t>
      </w:r>
    </w:p>
    <w:p w14:paraId="7916F401" w14:textId="77777777" w:rsidR="00F64776" w:rsidRDefault="00F64776" w:rsidP="00F64776">
      <w:pPr>
        <w:pStyle w:val="TextoNormalCentrado"/>
      </w:pPr>
      <w:r>
        <w:t>ECLI:ES:TC:2023:609A</w:t>
      </w:r>
    </w:p>
    <w:p w14:paraId="0D0622F6" w14:textId="3F77FC4D" w:rsidR="00F64776" w:rsidRDefault="00F64776" w:rsidP="00F64776">
      <w:pPr>
        <w:pStyle w:val="TextoNormalCentrado"/>
      </w:pPr>
    </w:p>
    <w:p w14:paraId="4920DE1C" w14:textId="77777777" w:rsidR="00F64776" w:rsidRDefault="00F64776" w:rsidP="00F64776">
      <w:pPr>
        <w:pStyle w:val="SntesisDescriptiva"/>
      </w:pPr>
      <w:r>
        <w:t>Excms. Srs. doña Inmaculada Montalbán Huertas y doña Laura Díez Bueso.</w:t>
      </w:r>
    </w:p>
    <w:p w14:paraId="6846C37E" w14:textId="7DC6A7D0" w:rsidR="00F64776" w:rsidRDefault="00F64776" w:rsidP="00F64776">
      <w:pPr>
        <w:pStyle w:val="SntesisDescriptiva"/>
      </w:pPr>
    </w:p>
    <w:p w14:paraId="28B3136E" w14:textId="77777777" w:rsidR="00F64776" w:rsidRDefault="00F64776" w:rsidP="00F64776">
      <w:pPr>
        <w:pStyle w:val="SntesisDescriptiva"/>
      </w:pPr>
      <w:r>
        <w:t>Acepta una abstención en el recurso de amparo 5263-2022, promovido en proceso contencioso administrativo.</w:t>
      </w:r>
    </w:p>
    <w:p w14:paraId="31EB4314" w14:textId="29792CA9" w:rsidR="00F64776" w:rsidRDefault="00F64776" w:rsidP="00F64776">
      <w:pPr>
        <w:pStyle w:val="SntesisDescriptiva"/>
      </w:pPr>
    </w:p>
    <w:p w14:paraId="25AADACD" w14:textId="77777777" w:rsidR="00F64776" w:rsidRDefault="00F64776" w:rsidP="00F64776">
      <w:pPr>
        <w:pStyle w:val="SntesisDescriptiva"/>
      </w:pPr>
    </w:p>
    <w:p w14:paraId="4CE10C0C" w14:textId="77777777" w:rsidR="00F64776" w:rsidRDefault="00F64776" w:rsidP="00F64776">
      <w:pPr>
        <w:pStyle w:val="SntesisDescriptiva"/>
      </w:pPr>
    </w:p>
    <w:p w14:paraId="04AA1540" w14:textId="77777777" w:rsidR="00F64776" w:rsidRDefault="00F64776" w:rsidP="00F64776">
      <w:pPr>
        <w:pStyle w:val="TextoNormalNegritaCentrado"/>
      </w:pPr>
      <w:r>
        <w:t>AUTO</w:t>
      </w:r>
    </w:p>
    <w:p w14:paraId="2A91A1CE" w14:textId="2FF92917" w:rsidR="00F64776" w:rsidRDefault="00F64776" w:rsidP="00F64776">
      <w:pPr>
        <w:pStyle w:val="TextoNormalNegritaCentrado"/>
      </w:pPr>
    </w:p>
    <w:p w14:paraId="7A2E3C41" w14:textId="77777777" w:rsidR="00F64776" w:rsidRDefault="00F64776" w:rsidP="00F64776">
      <w:pPr>
        <w:pStyle w:val="TextoNormalNegritaCentrado"/>
        <w:keepNext/>
      </w:pPr>
      <w:r>
        <w:t>I. Antecedentes</w:t>
      </w:r>
    </w:p>
    <w:p w14:paraId="2FF7C9E2" w14:textId="5008BC57" w:rsidR="00F64776" w:rsidRDefault="00F64776" w:rsidP="00F64776">
      <w:pPr>
        <w:pStyle w:val="TextoNormalNegritaCentrado"/>
        <w:keepNext/>
      </w:pPr>
    </w:p>
    <w:p w14:paraId="28162EC2" w14:textId="5C9C5C07" w:rsidR="00F64776" w:rsidRDefault="00F64776" w:rsidP="00F64776">
      <w:pPr>
        <w:pStyle w:val="TextoNormal"/>
      </w:pPr>
      <w:r w:rsidRPr="00F64776">
        <w:rPr>
          <w:rStyle w:val="NumeroAFNegritaCaracter"/>
        </w:rPr>
        <w:t>1</w:t>
      </w:r>
      <w:r>
        <w:t>. Mediante escrito registrado en este tribunal el 18 de julio de 2022 la procuradora de los tribunales doña Cristina de Prada Antón, en nombre y representación de doña Yanira Haydee Ardón Sánchez y otra persona más, y bajo la dirección de la letrada doña María de las Mercedes Herrezuelo Grás, formuló demanda de amparo contra auto de la Sección Primera de la Sala de lo Contencioso-Administrativo del Tribunal Supremo en recurso de queja núm. 252-2022.</w:t>
      </w:r>
    </w:p>
    <w:p w14:paraId="4E351AA5" w14:textId="77777777" w:rsidR="00F64776" w:rsidRDefault="00F64776" w:rsidP="00F64776">
      <w:pPr>
        <w:pStyle w:val="TextoNormal"/>
      </w:pPr>
    </w:p>
    <w:p w14:paraId="10FBF380" w14:textId="55D616F5" w:rsidR="00F64776" w:rsidRDefault="00F64776" w:rsidP="00F64776">
      <w:pPr>
        <w:pStyle w:val="TextoNormal"/>
      </w:pPr>
      <w:r w:rsidRPr="00F64776">
        <w:rPr>
          <w:rStyle w:val="NumeroAFNegritaCaracter"/>
        </w:rPr>
        <w:t>2</w:t>
      </w:r>
      <w:r>
        <w:t>. Por escrito de 29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36F4AE58" w14:textId="77777777" w:rsidR="00F64776" w:rsidRDefault="00F64776" w:rsidP="00F64776">
      <w:pPr>
        <w:pStyle w:val="TextoNormal"/>
      </w:pPr>
    </w:p>
    <w:p w14:paraId="06B5E9D6" w14:textId="77777777" w:rsidR="00F64776" w:rsidRDefault="00F64776" w:rsidP="00F64776">
      <w:pPr>
        <w:pStyle w:val="TextoNormalNegritaCentrado"/>
        <w:keepNext/>
      </w:pPr>
      <w:r>
        <w:t>II. Fundamentos jurídicos</w:t>
      </w:r>
    </w:p>
    <w:p w14:paraId="6ED16B20" w14:textId="7307A0EF" w:rsidR="00F64776" w:rsidRDefault="00F64776" w:rsidP="00F64776">
      <w:pPr>
        <w:pStyle w:val="TextoNormalNegritaCentrado"/>
        <w:keepNext/>
      </w:pPr>
    </w:p>
    <w:p w14:paraId="22337332" w14:textId="14AE7603"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767DC228" w14:textId="77777777" w:rsidR="00F64776" w:rsidRDefault="00F64776" w:rsidP="00F64776">
      <w:pPr>
        <w:pStyle w:val="TextoNormal"/>
      </w:pPr>
    </w:p>
    <w:p w14:paraId="24016C72" w14:textId="77777777" w:rsidR="00F64776" w:rsidRDefault="00F64776" w:rsidP="00F64776">
      <w:pPr>
        <w:pStyle w:val="TextoNormal"/>
      </w:pPr>
      <w:r>
        <w:t>Por lo expuesto, la Sección</w:t>
      </w:r>
    </w:p>
    <w:p w14:paraId="5ECF37AB" w14:textId="4E9778C8" w:rsidR="00F64776" w:rsidRDefault="00F64776" w:rsidP="00F64776">
      <w:pPr>
        <w:pStyle w:val="TextoNormal"/>
      </w:pPr>
    </w:p>
    <w:p w14:paraId="5E9422AA" w14:textId="77777777" w:rsidR="00F64776" w:rsidRDefault="00F64776" w:rsidP="00F64776">
      <w:pPr>
        <w:pStyle w:val="TextoNormalCentrado"/>
      </w:pPr>
      <w:r>
        <w:t>ACUERDA</w:t>
      </w:r>
    </w:p>
    <w:p w14:paraId="3B0B38FA" w14:textId="38959C26" w:rsidR="00F64776" w:rsidRDefault="00F64776" w:rsidP="00F64776">
      <w:pPr>
        <w:pStyle w:val="TextoNormalCentrado"/>
      </w:pPr>
    </w:p>
    <w:p w14:paraId="78F06FF4" w14:textId="3B03E0D9" w:rsidR="00F64776" w:rsidRDefault="00F64776" w:rsidP="00F64776">
      <w:pPr>
        <w:pStyle w:val="TextoNormal"/>
      </w:pPr>
      <w:r>
        <w:t>Estimar justificada la abstención formulada por el magistrado don César Tolosa Tribiño en el recurso de amparo núm. 5263-2022 y apartarle definitivamente del conocimiento del referido recurso y de todas sus incidencias.</w:t>
      </w:r>
    </w:p>
    <w:p w14:paraId="06433DB7" w14:textId="77777777" w:rsidR="00F64776" w:rsidRDefault="00F64776" w:rsidP="00F64776">
      <w:pPr>
        <w:pStyle w:val="TextoNormal"/>
      </w:pPr>
    </w:p>
    <w:p w14:paraId="24B40512" w14:textId="77777777" w:rsidR="00F64776" w:rsidRDefault="00F64776" w:rsidP="00F64776">
      <w:pPr>
        <w:pStyle w:val="TextoNormal"/>
      </w:pPr>
      <w:r>
        <w:t>Madrid, a uno de diciembre de dos mil veintitrés.</w:t>
      </w:r>
    </w:p>
    <w:p w14:paraId="3086FB73" w14:textId="456932EF" w:rsidR="00F64776" w:rsidRDefault="00F64776">
      <w:pPr>
        <w:spacing w:after="160" w:line="278" w:lineRule="auto"/>
        <w:rPr>
          <w:rFonts w:ascii="Times New Roman" w:eastAsia="Times New Roman" w:hAnsi="Times New Roman" w:cs="Times New Roman"/>
          <w:sz w:val="24"/>
          <w:szCs w:val="24"/>
          <w:lang w:eastAsia="es-ES"/>
        </w:rPr>
      </w:pPr>
      <w:r>
        <w:br w:type="page"/>
      </w:r>
    </w:p>
    <w:p w14:paraId="5AB712E8" w14:textId="77777777" w:rsidR="00F64776" w:rsidRDefault="00F64776" w:rsidP="00F64776">
      <w:pPr>
        <w:pStyle w:val="TtuloResolucin"/>
      </w:pPr>
      <w:bookmarkStart w:id="395" w:name="AUTO_2023_610"/>
      <w:r>
        <w:t>AUTO 610/2023, de 1 de diciembre de 2023</w:t>
      </w:r>
    </w:p>
    <w:bookmarkEnd w:id="395"/>
    <w:p w14:paraId="78ECFDE1" w14:textId="77777777" w:rsidR="00F64776" w:rsidRDefault="00F64776" w:rsidP="00F64776">
      <w:pPr>
        <w:pStyle w:val="TtuloResolucin"/>
      </w:pPr>
      <w:r>
        <w:t>Sección Tercera</w:t>
      </w:r>
    </w:p>
    <w:p w14:paraId="6976871B" w14:textId="77777777" w:rsidR="00F64776" w:rsidRDefault="00F64776" w:rsidP="00F64776">
      <w:pPr>
        <w:pStyle w:val="TextoNormalCentrado"/>
      </w:pPr>
      <w:r>
        <w:t>ECLI:ES:TC:2023:610A</w:t>
      </w:r>
    </w:p>
    <w:p w14:paraId="1700E5C9" w14:textId="187C091E" w:rsidR="00F64776" w:rsidRDefault="00F64776" w:rsidP="00F64776">
      <w:pPr>
        <w:pStyle w:val="TextoNormalCentrado"/>
      </w:pPr>
    </w:p>
    <w:p w14:paraId="6B8A27C7" w14:textId="77777777" w:rsidR="00F64776" w:rsidRDefault="00F64776" w:rsidP="00F64776">
      <w:pPr>
        <w:pStyle w:val="SntesisDescriptiva"/>
      </w:pPr>
      <w:r>
        <w:t>Excms. Srs. doña Inmaculada Montalbán Huertas y doña Laura Díez Bueso.</w:t>
      </w:r>
    </w:p>
    <w:p w14:paraId="7004268F" w14:textId="6A481CEA" w:rsidR="00F64776" w:rsidRDefault="00F64776" w:rsidP="00F64776">
      <w:pPr>
        <w:pStyle w:val="SntesisDescriptiva"/>
      </w:pPr>
    </w:p>
    <w:p w14:paraId="51EE3658" w14:textId="77777777" w:rsidR="00F64776" w:rsidRDefault="00F64776" w:rsidP="00F64776">
      <w:pPr>
        <w:pStyle w:val="SntesisDescriptiva"/>
      </w:pPr>
      <w:r>
        <w:t>Acepta una abstención en el recurso de amparo 5380-2022, promovido en proceso contencioso administrativo.</w:t>
      </w:r>
    </w:p>
    <w:p w14:paraId="74E06640" w14:textId="5FBF88C1" w:rsidR="00F64776" w:rsidRDefault="00F64776" w:rsidP="00F64776">
      <w:pPr>
        <w:pStyle w:val="SntesisDescriptiva"/>
      </w:pPr>
    </w:p>
    <w:p w14:paraId="4D9E1935" w14:textId="77777777" w:rsidR="00F64776" w:rsidRDefault="00F64776" w:rsidP="00F64776">
      <w:pPr>
        <w:pStyle w:val="SntesisDescriptiva"/>
      </w:pPr>
    </w:p>
    <w:p w14:paraId="5723383A" w14:textId="77777777" w:rsidR="00F64776" w:rsidRDefault="00F64776" w:rsidP="00F64776">
      <w:pPr>
        <w:pStyle w:val="SntesisDescriptiva"/>
      </w:pPr>
    </w:p>
    <w:p w14:paraId="6B9600CE" w14:textId="77777777" w:rsidR="00F64776" w:rsidRDefault="00F64776" w:rsidP="00F64776">
      <w:pPr>
        <w:pStyle w:val="TextoNormalNegritaCentrado"/>
      </w:pPr>
      <w:r>
        <w:t>AUTO</w:t>
      </w:r>
    </w:p>
    <w:p w14:paraId="1A16F41C" w14:textId="7D9F83F3" w:rsidR="00F64776" w:rsidRDefault="00F64776" w:rsidP="00F64776">
      <w:pPr>
        <w:pStyle w:val="TextoNormalNegritaCentrado"/>
      </w:pPr>
    </w:p>
    <w:p w14:paraId="1E930954" w14:textId="77777777" w:rsidR="00F64776" w:rsidRDefault="00F64776" w:rsidP="00F64776">
      <w:pPr>
        <w:pStyle w:val="TextoNormalNegritaCentrado"/>
        <w:keepNext/>
      </w:pPr>
      <w:r>
        <w:t>I. Antecedentes</w:t>
      </w:r>
    </w:p>
    <w:p w14:paraId="7E7E58F5" w14:textId="5027B68C" w:rsidR="00F64776" w:rsidRDefault="00F64776" w:rsidP="00F64776">
      <w:pPr>
        <w:pStyle w:val="TextoNormalNegritaCentrado"/>
        <w:keepNext/>
      </w:pPr>
    </w:p>
    <w:p w14:paraId="7F90896B" w14:textId="4C7FB203" w:rsidR="00F64776" w:rsidRDefault="00F64776" w:rsidP="00F64776">
      <w:pPr>
        <w:pStyle w:val="TextoNormal"/>
      </w:pPr>
      <w:r w:rsidRPr="00F64776">
        <w:rPr>
          <w:rStyle w:val="NumeroAFNegritaCaracter"/>
        </w:rPr>
        <w:t>1</w:t>
      </w:r>
      <w:r>
        <w:t>. Mediante escrito registrado en este tribunal el 21 de julio de 2022 la procuradora de los tribunales doña María Blanca Fernández de la Cruz Martín, en nombre y representación de doña Celia Margarita Muria Rivas y bajo la dirección del letrado don Fernando Muñiz Zubeldia, formuló demanda de amparo contra la providencia de 8 de junio de 2022, dictada por la Sala de lo Contencioso-Administrativo del Tribunal Supremo en recurso de casación núm. 8756-2021 contra sentencia de la Sala de lo Contencioso-Administrativo del Tribunal Superior de Justicia de Canarias en recurso de apelación núm. 208-2020.</w:t>
      </w:r>
    </w:p>
    <w:p w14:paraId="0F9A7BE0" w14:textId="77777777" w:rsidR="00F64776" w:rsidRDefault="00F64776" w:rsidP="00F64776">
      <w:pPr>
        <w:pStyle w:val="TextoNormal"/>
      </w:pPr>
    </w:p>
    <w:p w14:paraId="6A534DB2" w14:textId="45807F73" w:rsidR="00F64776" w:rsidRDefault="00F64776" w:rsidP="00F64776">
      <w:pPr>
        <w:pStyle w:val="TextoNormal"/>
      </w:pPr>
      <w:r w:rsidRPr="00F64776">
        <w:rPr>
          <w:rStyle w:val="NumeroAFNegritaCaracter"/>
        </w:rPr>
        <w:t>2</w:t>
      </w:r>
      <w:r>
        <w:t>. Por escrito de 29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1A97F0F0" w14:textId="77777777" w:rsidR="00F64776" w:rsidRDefault="00F64776" w:rsidP="00F64776">
      <w:pPr>
        <w:pStyle w:val="TextoNormal"/>
      </w:pPr>
    </w:p>
    <w:p w14:paraId="01EAC266" w14:textId="77777777" w:rsidR="00F64776" w:rsidRDefault="00F64776" w:rsidP="00F64776">
      <w:pPr>
        <w:pStyle w:val="TextoNormalNegritaCentrado"/>
        <w:keepNext/>
      </w:pPr>
      <w:r>
        <w:t>II. Fundamentos jurídicos</w:t>
      </w:r>
    </w:p>
    <w:p w14:paraId="5548DDE0" w14:textId="6774ABAC" w:rsidR="00F64776" w:rsidRDefault="00F64776" w:rsidP="00F64776">
      <w:pPr>
        <w:pStyle w:val="TextoNormalNegritaCentrado"/>
        <w:keepNext/>
      </w:pPr>
    </w:p>
    <w:p w14:paraId="1309DCE3" w14:textId="4C291BEF"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7E7C097B" w14:textId="77777777" w:rsidR="00F64776" w:rsidRDefault="00F64776" w:rsidP="00F64776">
      <w:pPr>
        <w:pStyle w:val="TextoNormal"/>
      </w:pPr>
    </w:p>
    <w:p w14:paraId="6F916DB2" w14:textId="77777777" w:rsidR="00F64776" w:rsidRDefault="00F64776" w:rsidP="00F64776">
      <w:pPr>
        <w:pStyle w:val="TextoNormal"/>
      </w:pPr>
      <w:r>
        <w:t>Por lo expuesto, la Sección</w:t>
      </w:r>
    </w:p>
    <w:p w14:paraId="36217DCD" w14:textId="3DE4049A" w:rsidR="00F64776" w:rsidRDefault="00F64776" w:rsidP="00F64776">
      <w:pPr>
        <w:pStyle w:val="TextoNormal"/>
      </w:pPr>
    </w:p>
    <w:p w14:paraId="226A14CE" w14:textId="77777777" w:rsidR="00F64776" w:rsidRDefault="00F64776" w:rsidP="00F64776">
      <w:pPr>
        <w:pStyle w:val="TextoNormalCentrado"/>
      </w:pPr>
      <w:r>
        <w:t>ACUERDA</w:t>
      </w:r>
    </w:p>
    <w:p w14:paraId="3629305B" w14:textId="6530F669" w:rsidR="00F64776" w:rsidRDefault="00F64776" w:rsidP="00F64776">
      <w:pPr>
        <w:pStyle w:val="TextoNormalCentrado"/>
      </w:pPr>
    </w:p>
    <w:p w14:paraId="4EAF5F0D" w14:textId="38DE5E53" w:rsidR="00F64776" w:rsidRDefault="00F64776" w:rsidP="00F64776">
      <w:pPr>
        <w:pStyle w:val="TextoNormal"/>
      </w:pPr>
      <w:r>
        <w:t>Estimar justificada la abstención formulada por el magistrado don César Tolosa Tribiño en el recurso de amparo núm. 5380-2022 y apartarle definitivamente del conocimiento del referido recurso y de todas sus incidencias.</w:t>
      </w:r>
    </w:p>
    <w:p w14:paraId="25BDD166" w14:textId="77777777" w:rsidR="00F64776" w:rsidRDefault="00F64776" w:rsidP="00F64776">
      <w:pPr>
        <w:pStyle w:val="TextoNormal"/>
      </w:pPr>
    </w:p>
    <w:p w14:paraId="26F5ABBD" w14:textId="77777777" w:rsidR="00F64776" w:rsidRDefault="00F64776" w:rsidP="00F64776">
      <w:pPr>
        <w:pStyle w:val="TextoNormal"/>
      </w:pPr>
      <w:r>
        <w:t>Madrid, a uno de diciembre de dos mil veintitrés.</w:t>
      </w:r>
    </w:p>
    <w:p w14:paraId="1D892429" w14:textId="313D07A5" w:rsidR="00F64776" w:rsidRDefault="00F64776">
      <w:pPr>
        <w:spacing w:after="160" w:line="278" w:lineRule="auto"/>
        <w:rPr>
          <w:rFonts w:ascii="Times New Roman" w:eastAsia="Times New Roman" w:hAnsi="Times New Roman" w:cs="Times New Roman"/>
          <w:sz w:val="24"/>
          <w:szCs w:val="24"/>
          <w:lang w:eastAsia="es-ES"/>
        </w:rPr>
      </w:pPr>
      <w:r>
        <w:br w:type="page"/>
      </w:r>
    </w:p>
    <w:p w14:paraId="5BD71B43" w14:textId="77777777" w:rsidR="00F64776" w:rsidRDefault="00F64776" w:rsidP="00F64776">
      <w:pPr>
        <w:pStyle w:val="TtuloResolucin"/>
      </w:pPr>
      <w:bookmarkStart w:id="396" w:name="AUTO_2023_611"/>
      <w:r>
        <w:t>AUTO 611/2023, de 1 de diciembre de 2023</w:t>
      </w:r>
    </w:p>
    <w:bookmarkEnd w:id="396"/>
    <w:p w14:paraId="51AAC235" w14:textId="77777777" w:rsidR="00F64776" w:rsidRDefault="00F64776" w:rsidP="00F64776">
      <w:pPr>
        <w:pStyle w:val="TtuloResolucin"/>
      </w:pPr>
      <w:r>
        <w:t>Sección Tercera</w:t>
      </w:r>
    </w:p>
    <w:p w14:paraId="1326B9A5" w14:textId="77777777" w:rsidR="00F64776" w:rsidRDefault="00F64776" w:rsidP="00F64776">
      <w:pPr>
        <w:pStyle w:val="TextoNormalCentrado"/>
      </w:pPr>
      <w:r>
        <w:t>ECLI:ES:TC:2023:611A</w:t>
      </w:r>
    </w:p>
    <w:p w14:paraId="7811E41C" w14:textId="6168F909" w:rsidR="00F64776" w:rsidRDefault="00F64776" w:rsidP="00F64776">
      <w:pPr>
        <w:pStyle w:val="TextoNormalCentrado"/>
      </w:pPr>
    </w:p>
    <w:p w14:paraId="1AB3D720" w14:textId="77777777" w:rsidR="00F64776" w:rsidRDefault="00F64776" w:rsidP="00F64776">
      <w:pPr>
        <w:pStyle w:val="SntesisDescriptiva"/>
      </w:pPr>
      <w:r>
        <w:t>Excms. Srs. doña Inmaculada Montalbán Huertas y doña Laura Díez Bueso.</w:t>
      </w:r>
    </w:p>
    <w:p w14:paraId="110BADE8" w14:textId="081B4F0A" w:rsidR="00F64776" w:rsidRDefault="00F64776" w:rsidP="00F64776">
      <w:pPr>
        <w:pStyle w:val="SntesisDescriptiva"/>
      </w:pPr>
    </w:p>
    <w:p w14:paraId="5B808D18" w14:textId="77777777" w:rsidR="00F64776" w:rsidRDefault="00F64776" w:rsidP="00F64776">
      <w:pPr>
        <w:pStyle w:val="SntesisDescriptiva"/>
      </w:pPr>
      <w:r>
        <w:t>Acepta una abstención en el recurso de amparo 5394-2022, promovido por la entidad Accesos Ibiza, S.A., en proceso contencioso administrativo.</w:t>
      </w:r>
    </w:p>
    <w:p w14:paraId="12A03C26" w14:textId="28302ECF" w:rsidR="00F64776" w:rsidRDefault="00F64776" w:rsidP="00F64776">
      <w:pPr>
        <w:pStyle w:val="SntesisDescriptiva"/>
      </w:pPr>
    </w:p>
    <w:p w14:paraId="57201B50" w14:textId="77777777" w:rsidR="00F64776" w:rsidRDefault="00F64776" w:rsidP="00F64776">
      <w:pPr>
        <w:pStyle w:val="SntesisDescriptiva"/>
      </w:pPr>
    </w:p>
    <w:p w14:paraId="67EEB49E" w14:textId="77777777" w:rsidR="00F64776" w:rsidRDefault="00F64776" w:rsidP="00F64776">
      <w:pPr>
        <w:pStyle w:val="SntesisDescriptiva"/>
      </w:pPr>
    </w:p>
    <w:p w14:paraId="2595BC36" w14:textId="77777777" w:rsidR="00F64776" w:rsidRDefault="00F64776" w:rsidP="00F64776">
      <w:pPr>
        <w:pStyle w:val="TextoNormalNegritaCentrado"/>
      </w:pPr>
      <w:r>
        <w:t>AUTO</w:t>
      </w:r>
    </w:p>
    <w:p w14:paraId="30120C0D" w14:textId="3F652052" w:rsidR="00F64776" w:rsidRDefault="00F64776" w:rsidP="00F64776">
      <w:pPr>
        <w:pStyle w:val="TextoNormalNegritaCentrado"/>
      </w:pPr>
    </w:p>
    <w:p w14:paraId="629D4415" w14:textId="77777777" w:rsidR="00F64776" w:rsidRDefault="00F64776" w:rsidP="00F64776">
      <w:pPr>
        <w:pStyle w:val="TextoNormalNegritaCentrado"/>
        <w:keepNext/>
      </w:pPr>
      <w:r>
        <w:t>I. Antecedentes</w:t>
      </w:r>
    </w:p>
    <w:p w14:paraId="5DC14259" w14:textId="5A1B4119" w:rsidR="00F64776" w:rsidRDefault="00F64776" w:rsidP="00F64776">
      <w:pPr>
        <w:pStyle w:val="TextoNormalNegritaCentrado"/>
        <w:keepNext/>
      </w:pPr>
    </w:p>
    <w:p w14:paraId="1B9E491D" w14:textId="7AEAE97B" w:rsidR="00F64776" w:rsidRDefault="00F64776" w:rsidP="00F64776">
      <w:pPr>
        <w:pStyle w:val="TextoNormal"/>
      </w:pPr>
      <w:r w:rsidRPr="00F64776">
        <w:rPr>
          <w:rStyle w:val="NumeroAFNegritaCaracter"/>
        </w:rPr>
        <w:t>1</w:t>
      </w:r>
      <w:r>
        <w:t>. Mediante escrito registrado en este tribunal el 21 de julio de 2022 la procuradora de los tribunales doña Marta Franch Martínez, en nombre y representación de la entidad Accesos Ibiza, S.A., y bajo la dirección del letrado don José Antonio García Trevijano Garnica, formuló demanda de amparo contra la providencia de 16 de diciembre de 2021 de la Sección Primera de la Sala de lo Contencioso-Administrativo del Tribunal Supremo en el recurso de casación núm. 1578-2021.</w:t>
      </w:r>
    </w:p>
    <w:p w14:paraId="680A75B5" w14:textId="77777777" w:rsidR="00F64776" w:rsidRDefault="00F64776" w:rsidP="00F64776">
      <w:pPr>
        <w:pStyle w:val="TextoNormal"/>
      </w:pPr>
    </w:p>
    <w:p w14:paraId="209C8CB0" w14:textId="693DF1F8" w:rsidR="00F64776" w:rsidRDefault="00F64776" w:rsidP="00F64776">
      <w:pPr>
        <w:pStyle w:val="TextoNormal"/>
      </w:pPr>
      <w:r w:rsidRPr="00F64776">
        <w:rPr>
          <w:rStyle w:val="NumeroAFNegritaCaracter"/>
        </w:rPr>
        <w:t>2</w:t>
      </w:r>
      <w:r>
        <w:t>. Por escrito de 29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167F19ED" w14:textId="77777777" w:rsidR="00F64776" w:rsidRDefault="00F64776" w:rsidP="00F64776">
      <w:pPr>
        <w:pStyle w:val="TextoNormal"/>
      </w:pPr>
    </w:p>
    <w:p w14:paraId="2CC14E7E" w14:textId="77777777" w:rsidR="00F64776" w:rsidRDefault="00F64776" w:rsidP="00F64776">
      <w:pPr>
        <w:pStyle w:val="TextoNormalNegritaCentrado"/>
        <w:keepNext/>
      </w:pPr>
      <w:r>
        <w:t>II. Fundamentos jurídicos</w:t>
      </w:r>
    </w:p>
    <w:p w14:paraId="4D634ECB" w14:textId="75D2A2ED" w:rsidR="00F64776" w:rsidRDefault="00F64776" w:rsidP="00F64776">
      <w:pPr>
        <w:pStyle w:val="TextoNormalNegritaCentrado"/>
        <w:keepNext/>
      </w:pPr>
    </w:p>
    <w:p w14:paraId="28B1C3B4" w14:textId="0F3A6D2E"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426BA382" w14:textId="77777777" w:rsidR="00F64776" w:rsidRDefault="00F64776" w:rsidP="00F64776">
      <w:pPr>
        <w:pStyle w:val="TextoNormal"/>
      </w:pPr>
    </w:p>
    <w:p w14:paraId="1D3C8A8E" w14:textId="77777777" w:rsidR="00F64776" w:rsidRDefault="00F64776" w:rsidP="00F64776">
      <w:pPr>
        <w:pStyle w:val="TextoNormal"/>
      </w:pPr>
      <w:r>
        <w:t>Por lo expuesto, la Sección</w:t>
      </w:r>
    </w:p>
    <w:p w14:paraId="7DDBB31F" w14:textId="70739589" w:rsidR="00F64776" w:rsidRDefault="00F64776" w:rsidP="00F64776">
      <w:pPr>
        <w:pStyle w:val="TextoNormal"/>
      </w:pPr>
    </w:p>
    <w:p w14:paraId="1AEA1C81" w14:textId="77777777" w:rsidR="00F64776" w:rsidRDefault="00F64776" w:rsidP="00F64776">
      <w:pPr>
        <w:pStyle w:val="TextoNormalCentrado"/>
      </w:pPr>
      <w:r>
        <w:t>ACUERDA</w:t>
      </w:r>
    </w:p>
    <w:p w14:paraId="5AAD315F" w14:textId="414BFB07" w:rsidR="00F64776" w:rsidRDefault="00F64776" w:rsidP="00F64776">
      <w:pPr>
        <w:pStyle w:val="TextoNormalCentrado"/>
      </w:pPr>
    </w:p>
    <w:p w14:paraId="4AFA1DC3" w14:textId="78548CD7" w:rsidR="00F64776" w:rsidRDefault="00F64776" w:rsidP="00F64776">
      <w:pPr>
        <w:pStyle w:val="TextoNormal"/>
      </w:pPr>
      <w:r>
        <w:t>Estimar justificada la abstención formulada por el magistrado don César Tolosa Tribiño en el recurso de amparo núm. 5394-2022 y apartarle definitivamente del conocimiento del referido recurso y de todas sus incidencias.</w:t>
      </w:r>
    </w:p>
    <w:p w14:paraId="098E5825" w14:textId="77777777" w:rsidR="00F64776" w:rsidRDefault="00F64776" w:rsidP="00F64776">
      <w:pPr>
        <w:pStyle w:val="TextoNormal"/>
      </w:pPr>
    </w:p>
    <w:p w14:paraId="01ECFDA9" w14:textId="77777777" w:rsidR="00F64776" w:rsidRDefault="00F64776" w:rsidP="00F64776">
      <w:pPr>
        <w:pStyle w:val="TextoNormal"/>
      </w:pPr>
      <w:r>
        <w:t>Madrid, a uno de diciembre de dos mil veintitrés.</w:t>
      </w:r>
    </w:p>
    <w:p w14:paraId="583FC0E3" w14:textId="20D79983" w:rsidR="00F64776" w:rsidRDefault="00F64776">
      <w:pPr>
        <w:spacing w:after="160" w:line="278" w:lineRule="auto"/>
        <w:rPr>
          <w:rFonts w:ascii="Times New Roman" w:eastAsia="Times New Roman" w:hAnsi="Times New Roman" w:cs="Times New Roman"/>
          <w:sz w:val="24"/>
          <w:szCs w:val="24"/>
          <w:lang w:eastAsia="es-ES"/>
        </w:rPr>
      </w:pPr>
      <w:r>
        <w:br w:type="page"/>
      </w:r>
    </w:p>
    <w:p w14:paraId="3D463626" w14:textId="77777777" w:rsidR="00F64776" w:rsidRDefault="00F64776" w:rsidP="00F64776">
      <w:pPr>
        <w:pStyle w:val="TtuloResolucin"/>
      </w:pPr>
      <w:bookmarkStart w:id="397" w:name="AUTO_2023_612"/>
      <w:r>
        <w:t>AUTO 612/2023, de 1 de diciembre de 2023</w:t>
      </w:r>
    </w:p>
    <w:bookmarkEnd w:id="397"/>
    <w:p w14:paraId="768F00B9" w14:textId="77777777" w:rsidR="00F64776" w:rsidRDefault="00F64776" w:rsidP="00F64776">
      <w:pPr>
        <w:pStyle w:val="TtuloResolucin"/>
      </w:pPr>
      <w:r>
        <w:t>Sección Tercera</w:t>
      </w:r>
    </w:p>
    <w:p w14:paraId="229DB436" w14:textId="77777777" w:rsidR="00F64776" w:rsidRDefault="00F64776" w:rsidP="00F64776">
      <w:pPr>
        <w:pStyle w:val="TextoNormalCentrado"/>
      </w:pPr>
      <w:r>
        <w:t>ECLI:ES:TC:2023:612A</w:t>
      </w:r>
    </w:p>
    <w:p w14:paraId="2C4BD269" w14:textId="73D3E24E" w:rsidR="00F64776" w:rsidRDefault="00F64776" w:rsidP="00F64776">
      <w:pPr>
        <w:pStyle w:val="TextoNormalCentrado"/>
      </w:pPr>
    </w:p>
    <w:p w14:paraId="6402EE7D" w14:textId="77777777" w:rsidR="00F64776" w:rsidRDefault="00F64776" w:rsidP="00F64776">
      <w:pPr>
        <w:pStyle w:val="SntesisDescriptiva"/>
      </w:pPr>
      <w:r>
        <w:t>Excms. Srs. doña Inmaculada Montalbán Huertas y doña Laura Díez Bueso.</w:t>
      </w:r>
    </w:p>
    <w:p w14:paraId="31F5CBAE" w14:textId="3D93A3E2" w:rsidR="00F64776" w:rsidRDefault="00F64776" w:rsidP="00F64776">
      <w:pPr>
        <w:pStyle w:val="SntesisDescriptiva"/>
      </w:pPr>
    </w:p>
    <w:p w14:paraId="7B8580A2" w14:textId="77777777" w:rsidR="00F64776" w:rsidRDefault="00F64776" w:rsidP="00F64776">
      <w:pPr>
        <w:pStyle w:val="SntesisDescriptiva"/>
      </w:pPr>
      <w:r>
        <w:t>Acepta una abstención en el recurso de amparo 6074-2022, promovido en proceso contencioso administrativo.</w:t>
      </w:r>
    </w:p>
    <w:p w14:paraId="3BB74C63" w14:textId="01FA546D" w:rsidR="00F64776" w:rsidRDefault="00F64776" w:rsidP="00F64776">
      <w:pPr>
        <w:pStyle w:val="SntesisDescriptiva"/>
      </w:pPr>
    </w:p>
    <w:p w14:paraId="095BC506" w14:textId="77777777" w:rsidR="00F64776" w:rsidRDefault="00F64776" w:rsidP="00F64776">
      <w:pPr>
        <w:pStyle w:val="SntesisDescriptiva"/>
      </w:pPr>
    </w:p>
    <w:p w14:paraId="086ADF49" w14:textId="77777777" w:rsidR="00F64776" w:rsidRDefault="00F64776" w:rsidP="00F64776">
      <w:pPr>
        <w:pStyle w:val="SntesisDescriptiva"/>
      </w:pPr>
    </w:p>
    <w:p w14:paraId="0813F358" w14:textId="77777777" w:rsidR="00F64776" w:rsidRDefault="00F64776" w:rsidP="00F64776">
      <w:pPr>
        <w:pStyle w:val="TextoNormalNegritaCentrado"/>
      </w:pPr>
      <w:r>
        <w:t>AUTO</w:t>
      </w:r>
    </w:p>
    <w:p w14:paraId="6D65B281" w14:textId="717DF459" w:rsidR="00F64776" w:rsidRDefault="00F64776" w:rsidP="00F64776">
      <w:pPr>
        <w:pStyle w:val="TextoNormalNegritaCentrado"/>
      </w:pPr>
    </w:p>
    <w:p w14:paraId="465811FC" w14:textId="77777777" w:rsidR="00F64776" w:rsidRDefault="00F64776" w:rsidP="00F64776">
      <w:pPr>
        <w:pStyle w:val="TextoNormalNegritaCentrado"/>
        <w:keepNext/>
      </w:pPr>
      <w:r>
        <w:t>I. Antecedentes</w:t>
      </w:r>
    </w:p>
    <w:p w14:paraId="370C8FD4" w14:textId="77F67E4C" w:rsidR="00F64776" w:rsidRDefault="00F64776" w:rsidP="00F64776">
      <w:pPr>
        <w:pStyle w:val="TextoNormalNegritaCentrado"/>
        <w:keepNext/>
      </w:pPr>
    </w:p>
    <w:p w14:paraId="70A1EA72" w14:textId="785E1962" w:rsidR="00F64776" w:rsidRDefault="00F64776" w:rsidP="00F64776">
      <w:pPr>
        <w:pStyle w:val="TextoNormal"/>
      </w:pPr>
      <w:r w:rsidRPr="00F64776">
        <w:rPr>
          <w:rStyle w:val="NumeroAFNegritaCaracter"/>
        </w:rPr>
        <w:t>1</w:t>
      </w:r>
      <w:r>
        <w:t>. 1. Mediante escrito registrado en este tribunal el 15 de septiembre de 2022 la procuradora de los tribunales doña Ana de la Corte Macías, en nombre y representación de don Charfeddine Farhati y bajo la dirección de la letrada doña Diana García Ávila, formuló demanda de amparo contra providencia de la Sección Primera Sala de lo Contencioso-Administrativo del Tribunal Supremo en recurso de casación núm. 2398-2022.</w:t>
      </w:r>
    </w:p>
    <w:p w14:paraId="32EC74C0" w14:textId="77777777" w:rsidR="00F64776" w:rsidRDefault="00F64776" w:rsidP="00F64776">
      <w:pPr>
        <w:pStyle w:val="TextoNormal"/>
      </w:pPr>
    </w:p>
    <w:p w14:paraId="40F36058" w14:textId="200143F3" w:rsidR="00F64776" w:rsidRDefault="00F64776" w:rsidP="00F64776">
      <w:pPr>
        <w:pStyle w:val="TextoNormal"/>
      </w:pPr>
      <w:r w:rsidRPr="00F64776">
        <w:rPr>
          <w:rStyle w:val="NumeroAFNegritaCaracter"/>
        </w:rPr>
        <w:t>2</w:t>
      </w:r>
      <w:r>
        <w:t>. Por escrito de 29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536D7A27" w14:textId="77777777" w:rsidR="00F64776" w:rsidRDefault="00F64776" w:rsidP="00F64776">
      <w:pPr>
        <w:pStyle w:val="TextoNormal"/>
      </w:pPr>
    </w:p>
    <w:p w14:paraId="7E49835C" w14:textId="77777777" w:rsidR="00F64776" w:rsidRDefault="00F64776" w:rsidP="00F64776">
      <w:pPr>
        <w:pStyle w:val="TextoNormalNegritaCentrado"/>
        <w:keepNext/>
      </w:pPr>
      <w:r>
        <w:t>II. Fundamentos jurídicos</w:t>
      </w:r>
    </w:p>
    <w:p w14:paraId="150AA735" w14:textId="54BD53ED" w:rsidR="00F64776" w:rsidRDefault="00F64776" w:rsidP="00F64776">
      <w:pPr>
        <w:pStyle w:val="TextoNormalNegritaCentrado"/>
        <w:keepNext/>
      </w:pPr>
    </w:p>
    <w:p w14:paraId="47EB25C7" w14:textId="7BA117CE"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2557C5C4" w14:textId="77777777" w:rsidR="00F64776" w:rsidRDefault="00F64776" w:rsidP="00F64776">
      <w:pPr>
        <w:pStyle w:val="TextoNormal"/>
      </w:pPr>
    </w:p>
    <w:p w14:paraId="6BB1613E" w14:textId="77777777" w:rsidR="00F64776" w:rsidRDefault="00F64776" w:rsidP="00F64776">
      <w:pPr>
        <w:pStyle w:val="TextoNormal"/>
      </w:pPr>
      <w:r>
        <w:t>Por lo expuesto, la Sección</w:t>
      </w:r>
    </w:p>
    <w:p w14:paraId="51A419D0" w14:textId="1F7F24BE" w:rsidR="00F64776" w:rsidRDefault="00F64776" w:rsidP="00F64776">
      <w:pPr>
        <w:pStyle w:val="TextoNormal"/>
      </w:pPr>
    </w:p>
    <w:p w14:paraId="58172F9C" w14:textId="77777777" w:rsidR="00F64776" w:rsidRDefault="00F64776" w:rsidP="00F64776">
      <w:pPr>
        <w:pStyle w:val="TextoNormalCentrado"/>
      </w:pPr>
      <w:r>
        <w:t>ACUERDA</w:t>
      </w:r>
    </w:p>
    <w:p w14:paraId="6BD38556" w14:textId="2CAF31D3" w:rsidR="00F64776" w:rsidRDefault="00F64776" w:rsidP="00F64776">
      <w:pPr>
        <w:pStyle w:val="TextoNormalCentrado"/>
      </w:pPr>
    </w:p>
    <w:p w14:paraId="179414D2" w14:textId="26EF81F9" w:rsidR="00F64776" w:rsidRDefault="00F64776" w:rsidP="00F64776">
      <w:pPr>
        <w:pStyle w:val="TextoNormal"/>
      </w:pPr>
      <w:r>
        <w:t>Estimar justificada la abstención formulada por el magistrado don César Tolosa Tribiño en el recurso de amparo núm. 6074-2022 y apartarle definitivamente del conocimiento del referido recurso y de todas sus incidencias.</w:t>
      </w:r>
    </w:p>
    <w:p w14:paraId="11698533" w14:textId="77777777" w:rsidR="00F64776" w:rsidRDefault="00F64776" w:rsidP="00F64776">
      <w:pPr>
        <w:pStyle w:val="TextoNormal"/>
      </w:pPr>
    </w:p>
    <w:p w14:paraId="198A97EC" w14:textId="77777777" w:rsidR="00F64776" w:rsidRDefault="00F64776" w:rsidP="00F64776">
      <w:pPr>
        <w:pStyle w:val="TextoNormal"/>
      </w:pPr>
      <w:r>
        <w:t>Madrid, a uno de diciembre de dos mil veintitrés.</w:t>
      </w:r>
    </w:p>
    <w:p w14:paraId="283F8F90" w14:textId="29735F0E" w:rsidR="00F64776" w:rsidRDefault="00F64776">
      <w:pPr>
        <w:spacing w:after="160" w:line="278" w:lineRule="auto"/>
        <w:rPr>
          <w:rFonts w:ascii="Times New Roman" w:eastAsia="Times New Roman" w:hAnsi="Times New Roman" w:cs="Times New Roman"/>
          <w:sz w:val="24"/>
          <w:szCs w:val="24"/>
          <w:lang w:eastAsia="es-ES"/>
        </w:rPr>
      </w:pPr>
      <w:r>
        <w:br w:type="page"/>
      </w:r>
    </w:p>
    <w:p w14:paraId="5420D3AF" w14:textId="77777777" w:rsidR="00F64776" w:rsidRDefault="00F64776" w:rsidP="00F64776">
      <w:pPr>
        <w:pStyle w:val="TtuloResolucin"/>
      </w:pPr>
      <w:bookmarkStart w:id="398" w:name="AUTO_2023_613"/>
      <w:r>
        <w:t>AUTO 613/2023, de 1 de diciembre de 2023</w:t>
      </w:r>
    </w:p>
    <w:bookmarkEnd w:id="398"/>
    <w:p w14:paraId="782B44D4" w14:textId="77777777" w:rsidR="00F64776" w:rsidRDefault="00F64776" w:rsidP="00F64776">
      <w:pPr>
        <w:pStyle w:val="TtuloResolucin"/>
      </w:pPr>
      <w:r>
        <w:t>Sección Tercera</w:t>
      </w:r>
    </w:p>
    <w:p w14:paraId="4CCE4579" w14:textId="77777777" w:rsidR="00F64776" w:rsidRDefault="00F64776" w:rsidP="00F64776">
      <w:pPr>
        <w:pStyle w:val="TextoNormalCentrado"/>
      </w:pPr>
      <w:r>
        <w:t>ECLI:ES:TC:2023:613A</w:t>
      </w:r>
    </w:p>
    <w:p w14:paraId="284CF94D" w14:textId="2C04BCDD" w:rsidR="00F64776" w:rsidRDefault="00F64776" w:rsidP="00F64776">
      <w:pPr>
        <w:pStyle w:val="TextoNormalCentrado"/>
      </w:pPr>
    </w:p>
    <w:p w14:paraId="4F673226" w14:textId="77777777" w:rsidR="00F64776" w:rsidRDefault="00F64776" w:rsidP="00F64776">
      <w:pPr>
        <w:pStyle w:val="SntesisDescriptiva"/>
      </w:pPr>
      <w:r>
        <w:t>Excms. Srs. doña Inmaculada Montalbán Huertas y doña Laura Díez Bueso.</w:t>
      </w:r>
    </w:p>
    <w:p w14:paraId="5D71F177" w14:textId="77493AF1" w:rsidR="00F64776" w:rsidRDefault="00F64776" w:rsidP="00F64776">
      <w:pPr>
        <w:pStyle w:val="SntesisDescriptiva"/>
      </w:pPr>
    </w:p>
    <w:p w14:paraId="09F6C9F2" w14:textId="77777777" w:rsidR="00F64776" w:rsidRDefault="00F64776" w:rsidP="00F64776">
      <w:pPr>
        <w:pStyle w:val="SntesisDescriptiva"/>
      </w:pPr>
      <w:r>
        <w:t>Acepta una abstención en el recurso de amparo 6740-2022, promovido en proceso contencioso administrativo.</w:t>
      </w:r>
    </w:p>
    <w:p w14:paraId="3FD02E46" w14:textId="308C1B0F" w:rsidR="00F64776" w:rsidRDefault="00F64776" w:rsidP="00F64776">
      <w:pPr>
        <w:pStyle w:val="SntesisDescriptiva"/>
      </w:pPr>
    </w:p>
    <w:p w14:paraId="3E000B42" w14:textId="77777777" w:rsidR="00F64776" w:rsidRDefault="00F64776" w:rsidP="00F64776">
      <w:pPr>
        <w:pStyle w:val="SntesisDescriptiva"/>
      </w:pPr>
    </w:p>
    <w:p w14:paraId="3C2900AB" w14:textId="77777777" w:rsidR="00F64776" w:rsidRDefault="00F64776" w:rsidP="00F64776">
      <w:pPr>
        <w:pStyle w:val="SntesisDescriptiva"/>
      </w:pPr>
    </w:p>
    <w:p w14:paraId="1F1AFFB4" w14:textId="77777777" w:rsidR="00F64776" w:rsidRDefault="00F64776" w:rsidP="00F64776">
      <w:pPr>
        <w:pStyle w:val="TextoNormalNegritaCentrado"/>
      </w:pPr>
      <w:r>
        <w:t>AUTO</w:t>
      </w:r>
    </w:p>
    <w:p w14:paraId="3313BED8" w14:textId="178D3445" w:rsidR="00F64776" w:rsidRDefault="00F64776" w:rsidP="00F64776">
      <w:pPr>
        <w:pStyle w:val="TextoNormalNegritaCentrado"/>
      </w:pPr>
    </w:p>
    <w:p w14:paraId="51529115" w14:textId="77777777" w:rsidR="00F64776" w:rsidRDefault="00F64776" w:rsidP="00F64776">
      <w:pPr>
        <w:pStyle w:val="TextoNormalNegritaCentrado"/>
        <w:keepNext/>
      </w:pPr>
      <w:r>
        <w:t>I. Antecedentes</w:t>
      </w:r>
    </w:p>
    <w:p w14:paraId="680BA2C0" w14:textId="216F9923" w:rsidR="00F64776" w:rsidRDefault="00F64776" w:rsidP="00F64776">
      <w:pPr>
        <w:pStyle w:val="TextoNormalNegritaCentrado"/>
        <w:keepNext/>
      </w:pPr>
    </w:p>
    <w:p w14:paraId="3AA87169" w14:textId="69E2206B" w:rsidR="00F64776" w:rsidRDefault="00F64776" w:rsidP="00F64776">
      <w:pPr>
        <w:pStyle w:val="TextoNormal"/>
      </w:pPr>
      <w:r w:rsidRPr="00F64776">
        <w:rPr>
          <w:rStyle w:val="NumeroAFNegritaCaracter"/>
        </w:rPr>
        <w:t>1</w:t>
      </w:r>
      <w:r>
        <w:t>. Mediante escrito registrado en este tribunal el 14 de octubre de 2022 la procuradora de los tribunales doña Sonia María Morante Mudarra, en nombre y representación de don Roger Oliver Rivas y bajo la dirección del letrado don José León Cano Uribe, formuló demanda de amparo contra providencia de la Sala de lo Contencioso-Administrativo del Tribunal Supremo en recurso de casación núm. 3090-2022.</w:t>
      </w:r>
    </w:p>
    <w:p w14:paraId="33F57F6D" w14:textId="77777777" w:rsidR="00F64776" w:rsidRDefault="00F64776" w:rsidP="00F64776">
      <w:pPr>
        <w:pStyle w:val="TextoNormal"/>
      </w:pPr>
    </w:p>
    <w:p w14:paraId="13AE75F3" w14:textId="551F7BF4" w:rsidR="00F64776" w:rsidRDefault="00F64776" w:rsidP="00F64776">
      <w:pPr>
        <w:pStyle w:val="TextoNormal"/>
      </w:pPr>
      <w:r w:rsidRPr="00F64776">
        <w:rPr>
          <w:rStyle w:val="NumeroAFNegritaCaracter"/>
        </w:rPr>
        <w:t>2</w:t>
      </w:r>
      <w:r>
        <w:t>. Por escrito de 29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29C59BD3" w14:textId="77777777" w:rsidR="00F64776" w:rsidRDefault="00F64776" w:rsidP="00F64776">
      <w:pPr>
        <w:pStyle w:val="TextoNormal"/>
      </w:pPr>
    </w:p>
    <w:p w14:paraId="15F1CE8E" w14:textId="77777777" w:rsidR="00F64776" w:rsidRDefault="00F64776" w:rsidP="00F64776">
      <w:pPr>
        <w:pStyle w:val="TextoNormalNegritaCentrado"/>
        <w:keepNext/>
      </w:pPr>
      <w:r>
        <w:t>II. Fundamentos jurídicos</w:t>
      </w:r>
    </w:p>
    <w:p w14:paraId="64FE28DD" w14:textId="057288AB" w:rsidR="00F64776" w:rsidRDefault="00F64776" w:rsidP="00F64776">
      <w:pPr>
        <w:pStyle w:val="TextoNormalNegritaCentrado"/>
        <w:keepNext/>
      </w:pPr>
    </w:p>
    <w:p w14:paraId="71C39DC7" w14:textId="33B89BB6"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78580354" w14:textId="77777777" w:rsidR="00F64776" w:rsidRDefault="00F64776" w:rsidP="00F64776">
      <w:pPr>
        <w:pStyle w:val="TextoNormal"/>
      </w:pPr>
    </w:p>
    <w:p w14:paraId="385B9B15" w14:textId="77777777" w:rsidR="00F64776" w:rsidRDefault="00F64776" w:rsidP="00F64776">
      <w:pPr>
        <w:pStyle w:val="TextoNormal"/>
      </w:pPr>
      <w:r>
        <w:t>Por lo expuesto, la Sección</w:t>
      </w:r>
    </w:p>
    <w:p w14:paraId="73348728" w14:textId="41320E4E" w:rsidR="00F64776" w:rsidRDefault="00F64776" w:rsidP="00F64776">
      <w:pPr>
        <w:pStyle w:val="TextoNormal"/>
      </w:pPr>
    </w:p>
    <w:p w14:paraId="00C83224" w14:textId="77777777" w:rsidR="00F64776" w:rsidRDefault="00F64776" w:rsidP="00F64776">
      <w:pPr>
        <w:pStyle w:val="TextoNormalCentrado"/>
      </w:pPr>
      <w:r>
        <w:t>ACUERDA</w:t>
      </w:r>
    </w:p>
    <w:p w14:paraId="11FAF959" w14:textId="643C8506" w:rsidR="00F64776" w:rsidRDefault="00F64776" w:rsidP="00F64776">
      <w:pPr>
        <w:pStyle w:val="TextoNormalCentrado"/>
      </w:pPr>
    </w:p>
    <w:p w14:paraId="51104BFC" w14:textId="793FF58F" w:rsidR="00F64776" w:rsidRDefault="00F64776" w:rsidP="00F64776">
      <w:pPr>
        <w:pStyle w:val="TextoNormal"/>
      </w:pPr>
      <w:r>
        <w:t>Estimar justificada la abstención formulada por el magistrado don César Tolosa Tribiño en el recurso de amparo núm. 6740-2022 y apartarle definitivamente del conocimiento del referido recurso y de todas sus incidencias.</w:t>
      </w:r>
    </w:p>
    <w:p w14:paraId="47F5A904" w14:textId="77777777" w:rsidR="00F64776" w:rsidRDefault="00F64776" w:rsidP="00F64776">
      <w:pPr>
        <w:pStyle w:val="TextoNormal"/>
      </w:pPr>
    </w:p>
    <w:p w14:paraId="620CE08C" w14:textId="77777777" w:rsidR="00F64776" w:rsidRDefault="00F64776" w:rsidP="00F64776">
      <w:pPr>
        <w:pStyle w:val="TextoNormal"/>
      </w:pPr>
      <w:r>
        <w:t>Madrid, a uno de diciembre de dos mil veintitrés.</w:t>
      </w:r>
    </w:p>
    <w:p w14:paraId="1CACE2F0" w14:textId="2F8ADC7E" w:rsidR="00F64776" w:rsidRDefault="00F64776">
      <w:pPr>
        <w:spacing w:after="160" w:line="278" w:lineRule="auto"/>
        <w:rPr>
          <w:rFonts w:ascii="Times New Roman" w:eastAsia="Times New Roman" w:hAnsi="Times New Roman" w:cs="Times New Roman"/>
          <w:sz w:val="24"/>
          <w:szCs w:val="24"/>
          <w:lang w:eastAsia="es-ES"/>
        </w:rPr>
      </w:pPr>
      <w:r>
        <w:br w:type="page"/>
      </w:r>
    </w:p>
    <w:p w14:paraId="56718379" w14:textId="77777777" w:rsidR="00F64776" w:rsidRDefault="00F64776" w:rsidP="00F64776">
      <w:pPr>
        <w:pStyle w:val="TtuloResolucin"/>
      </w:pPr>
      <w:bookmarkStart w:id="399" w:name="AUTO_2023_614"/>
      <w:r>
        <w:t>AUTO 614/2023, de 1 de diciembre de 2023</w:t>
      </w:r>
    </w:p>
    <w:bookmarkEnd w:id="399"/>
    <w:p w14:paraId="661C6A44" w14:textId="77777777" w:rsidR="00F64776" w:rsidRDefault="00F64776" w:rsidP="00F64776">
      <w:pPr>
        <w:pStyle w:val="TtuloResolucin"/>
      </w:pPr>
      <w:r>
        <w:t>Sección Tercera</w:t>
      </w:r>
    </w:p>
    <w:p w14:paraId="6CA5867A" w14:textId="77777777" w:rsidR="00F64776" w:rsidRDefault="00F64776" w:rsidP="00F64776">
      <w:pPr>
        <w:pStyle w:val="TextoNormalCentrado"/>
      </w:pPr>
      <w:r>
        <w:t>ECLI:ES:TC:2023:614A</w:t>
      </w:r>
    </w:p>
    <w:p w14:paraId="1C900B05" w14:textId="5D038F83" w:rsidR="00F64776" w:rsidRDefault="00F64776" w:rsidP="00F64776">
      <w:pPr>
        <w:pStyle w:val="TextoNormalCentrado"/>
      </w:pPr>
    </w:p>
    <w:p w14:paraId="14801105" w14:textId="77777777" w:rsidR="00F64776" w:rsidRDefault="00F64776" w:rsidP="00F64776">
      <w:pPr>
        <w:pStyle w:val="SntesisDescriptiva"/>
      </w:pPr>
      <w:r>
        <w:t>Excms. Srs. doña Inmaculada Montalbán Huertas y doña Laura Díez Bueso.</w:t>
      </w:r>
    </w:p>
    <w:p w14:paraId="75862FD6" w14:textId="37E62E04" w:rsidR="00F64776" w:rsidRDefault="00F64776" w:rsidP="00F64776">
      <w:pPr>
        <w:pStyle w:val="SntesisDescriptiva"/>
      </w:pPr>
    </w:p>
    <w:p w14:paraId="3F97CE87" w14:textId="77777777" w:rsidR="00F64776" w:rsidRDefault="00F64776" w:rsidP="00F64776">
      <w:pPr>
        <w:pStyle w:val="SntesisDescriptiva"/>
      </w:pPr>
      <w:r>
        <w:t>Acepta una abstención en el recurso de amparo 7074-2022, promovido por Acciona Saltos de Agua, S.L., en proceso contencioso administrativo.</w:t>
      </w:r>
    </w:p>
    <w:p w14:paraId="60E29E5F" w14:textId="70E295C0" w:rsidR="00F64776" w:rsidRDefault="00F64776" w:rsidP="00F64776">
      <w:pPr>
        <w:pStyle w:val="SntesisDescriptiva"/>
      </w:pPr>
    </w:p>
    <w:p w14:paraId="0FFF0DF8" w14:textId="77777777" w:rsidR="00F64776" w:rsidRDefault="00F64776" w:rsidP="00F64776">
      <w:pPr>
        <w:pStyle w:val="SntesisDescriptiva"/>
      </w:pPr>
    </w:p>
    <w:p w14:paraId="743E15CF" w14:textId="77777777" w:rsidR="00F64776" w:rsidRDefault="00F64776" w:rsidP="00F64776">
      <w:pPr>
        <w:pStyle w:val="SntesisDescriptiva"/>
      </w:pPr>
    </w:p>
    <w:p w14:paraId="6E23ECC1" w14:textId="77777777" w:rsidR="00F64776" w:rsidRDefault="00F64776" w:rsidP="00F64776">
      <w:pPr>
        <w:pStyle w:val="TextoNormalNegritaCentrado"/>
      </w:pPr>
      <w:r>
        <w:t>AUTO</w:t>
      </w:r>
    </w:p>
    <w:p w14:paraId="214E589A" w14:textId="55A9CCD5" w:rsidR="00F64776" w:rsidRDefault="00F64776" w:rsidP="00F64776">
      <w:pPr>
        <w:pStyle w:val="TextoNormalNegritaCentrado"/>
      </w:pPr>
    </w:p>
    <w:p w14:paraId="44316EC7" w14:textId="77777777" w:rsidR="00F64776" w:rsidRDefault="00F64776" w:rsidP="00F64776">
      <w:pPr>
        <w:pStyle w:val="TextoNormalNegritaCentrado"/>
        <w:keepNext/>
      </w:pPr>
      <w:r>
        <w:t>I. Antecedentes</w:t>
      </w:r>
    </w:p>
    <w:p w14:paraId="7B01241C" w14:textId="75D33F54" w:rsidR="00F64776" w:rsidRDefault="00F64776" w:rsidP="00F64776">
      <w:pPr>
        <w:pStyle w:val="TextoNormalNegritaCentrado"/>
        <w:keepNext/>
      </w:pPr>
    </w:p>
    <w:p w14:paraId="43433252" w14:textId="39FF6316" w:rsidR="00F64776" w:rsidRDefault="00F64776" w:rsidP="00F64776">
      <w:pPr>
        <w:pStyle w:val="TextoNormal"/>
      </w:pPr>
      <w:r w:rsidRPr="00F64776">
        <w:rPr>
          <w:rStyle w:val="NumeroAFNegritaCaracter"/>
        </w:rPr>
        <w:t>1</w:t>
      </w:r>
      <w:r>
        <w:t>. Mediante escrito registrado en este tribunal el 31 de octubre de 2022 la procuradora de los tribunales doña Gloria Messa Teichman, en nombre y representación de la entidad Acciona Saltos de Agua, S.L., y bajo la dirección del letrado don Andrés Prieto Tenorio, formuló demanda de amparo contra la providencia de 15 de septiembre de 2022, dictada por la Sección Primera de la Sala de lo Contencioso-Administrativo del Tribunal Supremo en recurso de casación núm. 8240-2021 contra la sentencia de la Sección Segunda de la Sala de lo Contencioso-Administrativo del Tribunal Superior de Justicia de Aragón en procedimiento ordinario núm. 181-2020.</w:t>
      </w:r>
    </w:p>
    <w:p w14:paraId="44DC8ED0" w14:textId="77777777" w:rsidR="00F64776" w:rsidRDefault="00F64776" w:rsidP="00F64776">
      <w:pPr>
        <w:pStyle w:val="TextoNormal"/>
      </w:pPr>
    </w:p>
    <w:p w14:paraId="5CE4B88D" w14:textId="1799C185" w:rsidR="00F64776" w:rsidRDefault="00F64776" w:rsidP="00F64776">
      <w:pPr>
        <w:pStyle w:val="TextoNormal"/>
      </w:pPr>
      <w:r w:rsidRPr="00F64776">
        <w:rPr>
          <w:rStyle w:val="NumeroAFNegritaCaracter"/>
        </w:rPr>
        <w:t>2</w:t>
      </w:r>
      <w:r>
        <w:t>. Por escrito de 29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57B40855" w14:textId="77777777" w:rsidR="00F64776" w:rsidRDefault="00F64776" w:rsidP="00F64776">
      <w:pPr>
        <w:pStyle w:val="TextoNormal"/>
      </w:pPr>
    </w:p>
    <w:p w14:paraId="1D1805EB" w14:textId="77777777" w:rsidR="00F64776" w:rsidRDefault="00F64776" w:rsidP="00F64776">
      <w:pPr>
        <w:pStyle w:val="TextoNormalNegritaCentrado"/>
        <w:keepNext/>
      </w:pPr>
      <w:r>
        <w:t>II. Fundamentos jurídicos</w:t>
      </w:r>
    </w:p>
    <w:p w14:paraId="7E61B152" w14:textId="04DC93A0" w:rsidR="00F64776" w:rsidRDefault="00F64776" w:rsidP="00F64776">
      <w:pPr>
        <w:pStyle w:val="TextoNormalNegritaCentrado"/>
        <w:keepNext/>
      </w:pPr>
    </w:p>
    <w:p w14:paraId="4E62321A" w14:textId="44090D03"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33FBB8E7" w14:textId="77777777" w:rsidR="00F64776" w:rsidRDefault="00F64776" w:rsidP="00F64776">
      <w:pPr>
        <w:pStyle w:val="TextoNormal"/>
      </w:pPr>
    </w:p>
    <w:p w14:paraId="690771DA" w14:textId="77777777" w:rsidR="00F64776" w:rsidRDefault="00F64776" w:rsidP="00F64776">
      <w:pPr>
        <w:pStyle w:val="TextoNormal"/>
      </w:pPr>
      <w:r>
        <w:t>Por lo expuesto, la Sección</w:t>
      </w:r>
    </w:p>
    <w:p w14:paraId="7531C6CB" w14:textId="11A4596D" w:rsidR="00F64776" w:rsidRDefault="00F64776" w:rsidP="00F64776">
      <w:pPr>
        <w:pStyle w:val="TextoNormal"/>
      </w:pPr>
    </w:p>
    <w:p w14:paraId="5B42B0BF" w14:textId="77777777" w:rsidR="00F64776" w:rsidRDefault="00F64776" w:rsidP="00F64776">
      <w:pPr>
        <w:pStyle w:val="TextoNormalCentrado"/>
      </w:pPr>
      <w:r>
        <w:t>ACUERDA</w:t>
      </w:r>
    </w:p>
    <w:p w14:paraId="3FEFDAA0" w14:textId="6FA2FFF8" w:rsidR="00F64776" w:rsidRDefault="00F64776" w:rsidP="00F64776">
      <w:pPr>
        <w:pStyle w:val="TextoNormalCentrado"/>
      </w:pPr>
    </w:p>
    <w:p w14:paraId="1B2F9691" w14:textId="0BAFEFC0" w:rsidR="00F64776" w:rsidRDefault="00F64776" w:rsidP="00F64776">
      <w:pPr>
        <w:pStyle w:val="TextoNormal"/>
      </w:pPr>
      <w:r>
        <w:t>Estimar justificada la abstención formulada por el magistrado don César Tolosa Tribiño en el recurso de amparo núm. 7074-2022 y apartarle definitivamente del conocimiento del referido recurso y de todas sus incidencias.</w:t>
      </w:r>
    </w:p>
    <w:p w14:paraId="059A9D40" w14:textId="77777777" w:rsidR="00F64776" w:rsidRDefault="00F64776" w:rsidP="00F64776">
      <w:pPr>
        <w:pStyle w:val="TextoNormal"/>
      </w:pPr>
    </w:p>
    <w:p w14:paraId="1B541FC0" w14:textId="77777777" w:rsidR="00F64776" w:rsidRDefault="00F64776" w:rsidP="00F64776">
      <w:pPr>
        <w:pStyle w:val="TextoNormal"/>
      </w:pPr>
      <w:r>
        <w:t>Madrid, a uno de diciembre de dos mil veintitrés.</w:t>
      </w:r>
    </w:p>
    <w:p w14:paraId="5195F40B" w14:textId="00C032E6" w:rsidR="00F64776" w:rsidRDefault="00F64776">
      <w:pPr>
        <w:spacing w:after="160" w:line="278" w:lineRule="auto"/>
        <w:rPr>
          <w:rFonts w:ascii="Times New Roman" w:eastAsia="Times New Roman" w:hAnsi="Times New Roman" w:cs="Times New Roman"/>
          <w:sz w:val="24"/>
          <w:szCs w:val="24"/>
          <w:lang w:eastAsia="es-ES"/>
        </w:rPr>
      </w:pPr>
      <w:r>
        <w:br w:type="page"/>
      </w:r>
    </w:p>
    <w:p w14:paraId="1E3A2301" w14:textId="77777777" w:rsidR="00F64776" w:rsidRDefault="00F64776" w:rsidP="00F64776">
      <w:pPr>
        <w:pStyle w:val="TtuloResolucin"/>
      </w:pPr>
      <w:bookmarkStart w:id="400" w:name="AUTO_2023_615"/>
      <w:r>
        <w:t>AUTO 615/2023, de 1 de diciembre de 2023</w:t>
      </w:r>
    </w:p>
    <w:bookmarkEnd w:id="400"/>
    <w:p w14:paraId="4B31A4F6" w14:textId="77777777" w:rsidR="00F64776" w:rsidRDefault="00F64776" w:rsidP="00F64776">
      <w:pPr>
        <w:pStyle w:val="TtuloResolucin"/>
      </w:pPr>
      <w:r>
        <w:t>Sección Tercera</w:t>
      </w:r>
    </w:p>
    <w:p w14:paraId="03F3F320" w14:textId="77777777" w:rsidR="00F64776" w:rsidRDefault="00F64776" w:rsidP="00F64776">
      <w:pPr>
        <w:pStyle w:val="TextoNormalCentrado"/>
      </w:pPr>
      <w:r>
        <w:t>ECLI:ES:TC:2023:615A</w:t>
      </w:r>
    </w:p>
    <w:p w14:paraId="68E3475B" w14:textId="72355B14" w:rsidR="00F64776" w:rsidRDefault="00F64776" w:rsidP="00F64776">
      <w:pPr>
        <w:pStyle w:val="TextoNormalCentrado"/>
      </w:pPr>
    </w:p>
    <w:p w14:paraId="12F87F67" w14:textId="77777777" w:rsidR="00F64776" w:rsidRDefault="00F64776" w:rsidP="00F64776">
      <w:pPr>
        <w:pStyle w:val="SntesisDescriptiva"/>
      </w:pPr>
      <w:r>
        <w:t>Excms. Srs. doña Inmaculada Montalbán Huertas y doña Laura Díez Bueso.</w:t>
      </w:r>
    </w:p>
    <w:p w14:paraId="6AABF563" w14:textId="61F1C3FC" w:rsidR="00F64776" w:rsidRDefault="00F64776" w:rsidP="00F64776">
      <w:pPr>
        <w:pStyle w:val="SntesisDescriptiva"/>
      </w:pPr>
    </w:p>
    <w:p w14:paraId="6D002C9E" w14:textId="77777777" w:rsidR="00F64776" w:rsidRDefault="00F64776" w:rsidP="00F64776">
      <w:pPr>
        <w:pStyle w:val="SntesisDescriptiva"/>
      </w:pPr>
      <w:r>
        <w:t>Acepta una abstención en el recurso de amparo 7651-2022, promovido en proceso contencioso administrativo.</w:t>
      </w:r>
    </w:p>
    <w:p w14:paraId="683AD3C3" w14:textId="33DAD3E8" w:rsidR="00F64776" w:rsidRDefault="00F64776" w:rsidP="00F64776">
      <w:pPr>
        <w:pStyle w:val="SntesisDescriptiva"/>
      </w:pPr>
    </w:p>
    <w:p w14:paraId="6F42730A" w14:textId="77777777" w:rsidR="00F64776" w:rsidRDefault="00F64776" w:rsidP="00F64776">
      <w:pPr>
        <w:pStyle w:val="SntesisDescriptiva"/>
      </w:pPr>
    </w:p>
    <w:p w14:paraId="4B8F8663" w14:textId="77777777" w:rsidR="00F64776" w:rsidRDefault="00F64776" w:rsidP="00F64776">
      <w:pPr>
        <w:pStyle w:val="SntesisDescriptiva"/>
      </w:pPr>
    </w:p>
    <w:p w14:paraId="02B3C6A7" w14:textId="77777777" w:rsidR="00F64776" w:rsidRDefault="00F64776" w:rsidP="00F64776">
      <w:pPr>
        <w:pStyle w:val="TextoNormalNegritaCentrado"/>
      </w:pPr>
      <w:r>
        <w:t>AUTO</w:t>
      </w:r>
    </w:p>
    <w:p w14:paraId="67FC4BEC" w14:textId="54F98017" w:rsidR="00F64776" w:rsidRDefault="00F64776" w:rsidP="00F64776">
      <w:pPr>
        <w:pStyle w:val="TextoNormalNegritaCentrado"/>
      </w:pPr>
    </w:p>
    <w:p w14:paraId="53C93BF2" w14:textId="77777777" w:rsidR="00F64776" w:rsidRDefault="00F64776" w:rsidP="00F64776">
      <w:pPr>
        <w:pStyle w:val="TextoNormalNegritaCentrado"/>
        <w:keepNext/>
      </w:pPr>
      <w:r>
        <w:t>I. Antecedentes</w:t>
      </w:r>
    </w:p>
    <w:p w14:paraId="147A5883" w14:textId="34A25CA7" w:rsidR="00F64776" w:rsidRDefault="00F64776" w:rsidP="00F64776">
      <w:pPr>
        <w:pStyle w:val="TextoNormalNegritaCentrado"/>
        <w:keepNext/>
      </w:pPr>
    </w:p>
    <w:p w14:paraId="4DDA2648" w14:textId="1E874A11" w:rsidR="00F64776" w:rsidRDefault="00F64776" w:rsidP="00F64776">
      <w:pPr>
        <w:pStyle w:val="TextoNormal"/>
      </w:pPr>
      <w:r w:rsidRPr="00F64776">
        <w:rPr>
          <w:rStyle w:val="NumeroAFNegritaCaracter"/>
        </w:rPr>
        <w:t>1</w:t>
      </w:r>
      <w:r>
        <w:t>. Mediante escrito registrado en este tribunal el 21 de noviembre de 2022 la procuradora de los tribunales doña Silvia Urdiales González, en nombre y representación de doña Marcela Idalia Salamanca Álvarez y bajo la dirección de la letrada doña Ana Fernández Martín, formuló demanda de amparo contra la providencia de 26 de octubre de 2022, dictada por la Sección Primera de la Sala de lo Contencioso-Administrativo del Tribunal Supremo en recurso de casación núm. 4880-2022 contra sentencia de la Sección Tercera de la Sala de lo Contencioso-Administrativo de la Audiencia Nacional, procedimiento ordinario núm. 1931-2020.</w:t>
      </w:r>
    </w:p>
    <w:p w14:paraId="452F3AF5" w14:textId="77777777" w:rsidR="00F64776" w:rsidRDefault="00F64776" w:rsidP="00F64776">
      <w:pPr>
        <w:pStyle w:val="TextoNormal"/>
      </w:pPr>
    </w:p>
    <w:p w14:paraId="4DE2453A" w14:textId="528E1186" w:rsidR="00F64776" w:rsidRDefault="00F64776" w:rsidP="00F64776">
      <w:pPr>
        <w:pStyle w:val="TextoNormal"/>
      </w:pPr>
      <w:r w:rsidRPr="00F64776">
        <w:rPr>
          <w:rStyle w:val="NumeroAFNegritaCaracter"/>
        </w:rPr>
        <w:t>2</w:t>
      </w:r>
      <w:r>
        <w:t>. Por escrito de 29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3D5E0529" w14:textId="77777777" w:rsidR="00F64776" w:rsidRDefault="00F64776" w:rsidP="00F64776">
      <w:pPr>
        <w:pStyle w:val="TextoNormal"/>
      </w:pPr>
    </w:p>
    <w:p w14:paraId="5E73F806" w14:textId="77777777" w:rsidR="00F64776" w:rsidRDefault="00F64776" w:rsidP="00F64776">
      <w:pPr>
        <w:pStyle w:val="TextoNormalNegritaCentrado"/>
        <w:keepNext/>
      </w:pPr>
      <w:r>
        <w:t>II. Fundamentos jurídicos</w:t>
      </w:r>
    </w:p>
    <w:p w14:paraId="15437C9C" w14:textId="59103953" w:rsidR="00F64776" w:rsidRDefault="00F64776" w:rsidP="00F64776">
      <w:pPr>
        <w:pStyle w:val="TextoNormalNegritaCentrado"/>
        <w:keepNext/>
      </w:pPr>
    </w:p>
    <w:p w14:paraId="2EF170C0" w14:textId="4FC180AF"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42B2F6F8" w14:textId="77777777" w:rsidR="00F64776" w:rsidRDefault="00F64776" w:rsidP="00F64776">
      <w:pPr>
        <w:pStyle w:val="TextoNormal"/>
      </w:pPr>
    </w:p>
    <w:p w14:paraId="00957405" w14:textId="77777777" w:rsidR="00F64776" w:rsidRDefault="00F64776" w:rsidP="00F64776">
      <w:pPr>
        <w:pStyle w:val="TextoNormal"/>
      </w:pPr>
      <w:r>
        <w:t>Por lo expuesto, la Sección</w:t>
      </w:r>
    </w:p>
    <w:p w14:paraId="706AA571" w14:textId="4659DD8E" w:rsidR="00F64776" w:rsidRDefault="00F64776" w:rsidP="00F64776">
      <w:pPr>
        <w:pStyle w:val="TextoNormal"/>
      </w:pPr>
    </w:p>
    <w:p w14:paraId="04D8604D" w14:textId="77777777" w:rsidR="00F64776" w:rsidRDefault="00F64776" w:rsidP="00F64776">
      <w:pPr>
        <w:pStyle w:val="TextoNormalCentrado"/>
      </w:pPr>
      <w:r>
        <w:t>ACUERDA</w:t>
      </w:r>
    </w:p>
    <w:p w14:paraId="4666E11A" w14:textId="73D671CB" w:rsidR="00F64776" w:rsidRDefault="00F64776" w:rsidP="00F64776">
      <w:pPr>
        <w:pStyle w:val="TextoNormalCentrado"/>
      </w:pPr>
    </w:p>
    <w:p w14:paraId="0F8269D6" w14:textId="1922E846" w:rsidR="00F64776" w:rsidRDefault="00F64776" w:rsidP="00F64776">
      <w:pPr>
        <w:pStyle w:val="TextoNormal"/>
      </w:pPr>
      <w:r>
        <w:t>Estimar justificada la abstención formulada por el magistrado don César Tolosa Tribiño en el recurso de amparo núm. 7651-2022 y apartarle definitivamente del conocimiento del referido recurso y de todas sus incidencias.</w:t>
      </w:r>
    </w:p>
    <w:p w14:paraId="7DCB09AF" w14:textId="77777777" w:rsidR="00F64776" w:rsidRDefault="00F64776" w:rsidP="00F64776">
      <w:pPr>
        <w:pStyle w:val="TextoNormal"/>
      </w:pPr>
    </w:p>
    <w:p w14:paraId="3F1B7DAA" w14:textId="77777777" w:rsidR="00F64776" w:rsidRDefault="00F64776" w:rsidP="00F64776">
      <w:pPr>
        <w:pStyle w:val="TextoNormal"/>
      </w:pPr>
      <w:r>
        <w:t>Madrid, a uno de diciembre de dos mil veintitrés.</w:t>
      </w:r>
    </w:p>
    <w:p w14:paraId="40FB6561" w14:textId="076D0818" w:rsidR="00F64776" w:rsidRDefault="00F64776">
      <w:pPr>
        <w:spacing w:after="160" w:line="278" w:lineRule="auto"/>
        <w:rPr>
          <w:rFonts w:ascii="Times New Roman" w:eastAsia="Times New Roman" w:hAnsi="Times New Roman" w:cs="Times New Roman"/>
          <w:sz w:val="24"/>
          <w:szCs w:val="24"/>
          <w:lang w:eastAsia="es-ES"/>
        </w:rPr>
      </w:pPr>
      <w:r>
        <w:br w:type="page"/>
      </w:r>
    </w:p>
    <w:p w14:paraId="1FC81FA0" w14:textId="77777777" w:rsidR="00F64776" w:rsidRDefault="00F64776" w:rsidP="00F64776">
      <w:pPr>
        <w:pStyle w:val="TtuloResolucin"/>
      </w:pPr>
      <w:bookmarkStart w:id="401" w:name="AUTO_2023_616"/>
      <w:r>
        <w:t>AUTO 616/2023, de 1 de diciembre de 2023</w:t>
      </w:r>
    </w:p>
    <w:bookmarkEnd w:id="401"/>
    <w:p w14:paraId="79E9C2B7" w14:textId="77777777" w:rsidR="00F64776" w:rsidRDefault="00F64776" w:rsidP="00F64776">
      <w:pPr>
        <w:pStyle w:val="TtuloResolucin"/>
      </w:pPr>
      <w:r>
        <w:t>Sección Tercera</w:t>
      </w:r>
    </w:p>
    <w:p w14:paraId="46D7C35F" w14:textId="77777777" w:rsidR="00F64776" w:rsidRDefault="00F64776" w:rsidP="00F64776">
      <w:pPr>
        <w:pStyle w:val="TextoNormalCentrado"/>
      </w:pPr>
      <w:r>
        <w:t>ECLI:ES:TC:2023:616A</w:t>
      </w:r>
    </w:p>
    <w:p w14:paraId="03E0D67B" w14:textId="6390D8BD" w:rsidR="00F64776" w:rsidRDefault="00F64776" w:rsidP="00F64776">
      <w:pPr>
        <w:pStyle w:val="TextoNormalCentrado"/>
      </w:pPr>
    </w:p>
    <w:p w14:paraId="586F5861" w14:textId="77777777" w:rsidR="00F64776" w:rsidRDefault="00F64776" w:rsidP="00F64776">
      <w:pPr>
        <w:pStyle w:val="SntesisDescriptiva"/>
      </w:pPr>
      <w:r>
        <w:t>Excms. Srs. doña Inmaculada Montalbán Huertas y doña Laura Díez Bueso.</w:t>
      </w:r>
    </w:p>
    <w:p w14:paraId="346BB73A" w14:textId="2360ECF6" w:rsidR="00F64776" w:rsidRDefault="00F64776" w:rsidP="00F64776">
      <w:pPr>
        <w:pStyle w:val="SntesisDescriptiva"/>
      </w:pPr>
    </w:p>
    <w:p w14:paraId="53D780FF" w14:textId="77777777" w:rsidR="00F64776" w:rsidRDefault="00F64776" w:rsidP="00F64776">
      <w:pPr>
        <w:pStyle w:val="SntesisDescriptiva"/>
      </w:pPr>
      <w:r>
        <w:t>Acepta una abstención en el recurso de amparo 7747-2022, promovido en proceso contencioso administrativo.</w:t>
      </w:r>
    </w:p>
    <w:p w14:paraId="5EDE81DE" w14:textId="1928F8A5" w:rsidR="00F64776" w:rsidRDefault="00F64776" w:rsidP="00F64776">
      <w:pPr>
        <w:pStyle w:val="SntesisDescriptiva"/>
      </w:pPr>
    </w:p>
    <w:p w14:paraId="7F26E555" w14:textId="77777777" w:rsidR="00F64776" w:rsidRDefault="00F64776" w:rsidP="00F64776">
      <w:pPr>
        <w:pStyle w:val="SntesisDescriptiva"/>
      </w:pPr>
    </w:p>
    <w:p w14:paraId="2DC4A55C" w14:textId="77777777" w:rsidR="00F64776" w:rsidRDefault="00F64776" w:rsidP="00F64776">
      <w:pPr>
        <w:pStyle w:val="SntesisDescriptiva"/>
      </w:pPr>
    </w:p>
    <w:p w14:paraId="7DC121B7" w14:textId="77777777" w:rsidR="00F64776" w:rsidRDefault="00F64776" w:rsidP="00F64776">
      <w:pPr>
        <w:pStyle w:val="TextoNormalNegritaCentrado"/>
      </w:pPr>
      <w:r>
        <w:t>AUTO</w:t>
      </w:r>
    </w:p>
    <w:p w14:paraId="4195B5E3" w14:textId="276F8EAC" w:rsidR="00F64776" w:rsidRDefault="00F64776" w:rsidP="00F64776">
      <w:pPr>
        <w:pStyle w:val="TextoNormalNegritaCentrado"/>
      </w:pPr>
    </w:p>
    <w:p w14:paraId="1F968373" w14:textId="77777777" w:rsidR="00F64776" w:rsidRDefault="00F64776" w:rsidP="00F64776">
      <w:pPr>
        <w:pStyle w:val="TextoNormalNegritaCentrado"/>
        <w:keepNext/>
      </w:pPr>
      <w:r>
        <w:t>I. Antecedentes</w:t>
      </w:r>
    </w:p>
    <w:p w14:paraId="134EFCC0" w14:textId="58430EAA" w:rsidR="00F64776" w:rsidRDefault="00F64776" w:rsidP="00F64776">
      <w:pPr>
        <w:pStyle w:val="TextoNormalNegritaCentrado"/>
        <w:keepNext/>
      </w:pPr>
    </w:p>
    <w:p w14:paraId="350511A7" w14:textId="5EBEC72A" w:rsidR="00F64776" w:rsidRDefault="00F64776" w:rsidP="00F64776">
      <w:pPr>
        <w:pStyle w:val="TextoNormal"/>
      </w:pPr>
      <w:r w:rsidRPr="00F64776">
        <w:rPr>
          <w:rStyle w:val="NumeroAFNegritaCaracter"/>
        </w:rPr>
        <w:t>1</w:t>
      </w:r>
      <w:r>
        <w:t>. Mediante escrito registrado en este tribunal el 23 de noviembre de 2022 la procuradora de los tribunales doña Sofía María Álvarez-Buylla Martínez, en nombre y representación de doña María Fernanda Hernández y bajo la dirección de la letrada doña María Rosa Sanz García-Muro, formuló demanda de amparo contra la providencia de 19 de octubre de 2022, dictada por la Sección Primera de la Sala de lo Contencioso-Administrativo del Tribunal Supremo en recurso de casación núm. 5190-2022 contra sentencia de la Sección Quinta de la Sala de lo Contencioso-Administrativo de la Audiencia Nacional, procedimiento ordinario núm. 225-2021.</w:t>
      </w:r>
    </w:p>
    <w:p w14:paraId="7FF5CCB4" w14:textId="77777777" w:rsidR="00F64776" w:rsidRDefault="00F64776" w:rsidP="00F64776">
      <w:pPr>
        <w:pStyle w:val="TextoNormal"/>
      </w:pPr>
    </w:p>
    <w:p w14:paraId="0D298385" w14:textId="088D9AA7" w:rsidR="00F64776" w:rsidRDefault="00F64776" w:rsidP="00F64776">
      <w:pPr>
        <w:pStyle w:val="TextoNormal"/>
      </w:pPr>
      <w:r w:rsidRPr="00F64776">
        <w:rPr>
          <w:rStyle w:val="NumeroAFNegritaCaracter"/>
        </w:rPr>
        <w:t>2</w:t>
      </w:r>
      <w:r>
        <w:t>. Por escrito de 29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37D5C98A" w14:textId="77777777" w:rsidR="00F64776" w:rsidRDefault="00F64776" w:rsidP="00F64776">
      <w:pPr>
        <w:pStyle w:val="TextoNormal"/>
      </w:pPr>
    </w:p>
    <w:p w14:paraId="185B4E25" w14:textId="77777777" w:rsidR="00F64776" w:rsidRDefault="00F64776" w:rsidP="00F64776">
      <w:pPr>
        <w:pStyle w:val="TextoNormalNegritaCentrado"/>
        <w:keepNext/>
      </w:pPr>
      <w:r>
        <w:t>II. Fundamentos jurídicos</w:t>
      </w:r>
    </w:p>
    <w:p w14:paraId="118AB693" w14:textId="118AE40C" w:rsidR="00F64776" w:rsidRDefault="00F64776" w:rsidP="00F64776">
      <w:pPr>
        <w:pStyle w:val="TextoNormalNegritaCentrado"/>
        <w:keepNext/>
      </w:pPr>
    </w:p>
    <w:p w14:paraId="3F9F015E" w14:textId="0B5208D8"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14EB1BA9" w14:textId="77777777" w:rsidR="00F64776" w:rsidRDefault="00F64776" w:rsidP="00F64776">
      <w:pPr>
        <w:pStyle w:val="TextoNormal"/>
      </w:pPr>
    </w:p>
    <w:p w14:paraId="58879264" w14:textId="77777777" w:rsidR="00F64776" w:rsidRDefault="00F64776" w:rsidP="00F64776">
      <w:pPr>
        <w:pStyle w:val="TextoNormal"/>
      </w:pPr>
      <w:r>
        <w:t>Por lo expuesto, la Sección</w:t>
      </w:r>
    </w:p>
    <w:p w14:paraId="4260D290" w14:textId="177AAE90" w:rsidR="00F64776" w:rsidRDefault="00F64776" w:rsidP="00F64776">
      <w:pPr>
        <w:pStyle w:val="TextoNormal"/>
      </w:pPr>
    </w:p>
    <w:p w14:paraId="707EDB72" w14:textId="77777777" w:rsidR="00F64776" w:rsidRDefault="00F64776" w:rsidP="00F64776">
      <w:pPr>
        <w:pStyle w:val="TextoNormalCentrado"/>
      </w:pPr>
      <w:r>
        <w:t>ACUERDA</w:t>
      </w:r>
    </w:p>
    <w:p w14:paraId="1795A117" w14:textId="6251A048" w:rsidR="00F64776" w:rsidRDefault="00F64776" w:rsidP="00F64776">
      <w:pPr>
        <w:pStyle w:val="TextoNormalCentrado"/>
      </w:pPr>
    </w:p>
    <w:p w14:paraId="68FBA744" w14:textId="194CCA00" w:rsidR="00F64776" w:rsidRDefault="00F64776" w:rsidP="00F64776">
      <w:pPr>
        <w:pStyle w:val="TextoNormal"/>
      </w:pPr>
      <w:r>
        <w:t>Estimar justificada la abstención formulada por el magistrado don César Tolosa Tribiño en el recurso de amparo núm. 7747-2022 y apartarle definitivamente del conocimiento del referido recurso y de todas sus incidencias.</w:t>
      </w:r>
    </w:p>
    <w:p w14:paraId="17E2A22A" w14:textId="77777777" w:rsidR="00F64776" w:rsidRDefault="00F64776" w:rsidP="00F64776">
      <w:pPr>
        <w:pStyle w:val="TextoNormal"/>
      </w:pPr>
    </w:p>
    <w:p w14:paraId="4E299CFC" w14:textId="77777777" w:rsidR="00F64776" w:rsidRDefault="00F64776" w:rsidP="00F64776">
      <w:pPr>
        <w:pStyle w:val="TextoNormal"/>
      </w:pPr>
      <w:r>
        <w:t>Madrid, a uno de diciembre de dos mil veintitrés.</w:t>
      </w:r>
    </w:p>
    <w:p w14:paraId="7DDA5EA6" w14:textId="3D6E07A2" w:rsidR="00F64776" w:rsidRDefault="00F64776">
      <w:pPr>
        <w:spacing w:after="160" w:line="278" w:lineRule="auto"/>
        <w:rPr>
          <w:rFonts w:ascii="Times New Roman" w:eastAsia="Times New Roman" w:hAnsi="Times New Roman" w:cs="Times New Roman"/>
          <w:sz w:val="24"/>
          <w:szCs w:val="24"/>
          <w:lang w:eastAsia="es-ES"/>
        </w:rPr>
      </w:pPr>
      <w:r>
        <w:br w:type="page"/>
      </w:r>
    </w:p>
    <w:p w14:paraId="019472F7" w14:textId="77777777" w:rsidR="00F64776" w:rsidRDefault="00F64776" w:rsidP="00F64776">
      <w:pPr>
        <w:pStyle w:val="TtuloResolucin"/>
      </w:pPr>
      <w:bookmarkStart w:id="402" w:name="AUTO_2023_617"/>
      <w:r>
        <w:t>AUTO 617/2023, de 1 de diciembre de 2023</w:t>
      </w:r>
    </w:p>
    <w:bookmarkEnd w:id="402"/>
    <w:p w14:paraId="48C54270" w14:textId="77777777" w:rsidR="00F64776" w:rsidRDefault="00F64776" w:rsidP="00F64776">
      <w:pPr>
        <w:pStyle w:val="TtuloResolucin"/>
      </w:pPr>
      <w:r>
        <w:t>Sección Tercera</w:t>
      </w:r>
    </w:p>
    <w:p w14:paraId="01597C9A" w14:textId="77777777" w:rsidR="00F64776" w:rsidRDefault="00F64776" w:rsidP="00F64776">
      <w:pPr>
        <w:pStyle w:val="TextoNormalCentrado"/>
      </w:pPr>
      <w:r>
        <w:t>ECLI:ES:TC:2023:617A</w:t>
      </w:r>
    </w:p>
    <w:p w14:paraId="5F0167E7" w14:textId="53FBE3A8" w:rsidR="00F64776" w:rsidRDefault="00F64776" w:rsidP="00F64776">
      <w:pPr>
        <w:pStyle w:val="TextoNormalCentrado"/>
      </w:pPr>
    </w:p>
    <w:p w14:paraId="68EBAF6B" w14:textId="77777777" w:rsidR="00F64776" w:rsidRDefault="00F64776" w:rsidP="00F64776">
      <w:pPr>
        <w:pStyle w:val="SntesisDescriptiva"/>
      </w:pPr>
      <w:r>
        <w:t>Excms. Srs. doña Inmaculada Montalbán Huertas y doña Laura Díez Bueso.</w:t>
      </w:r>
    </w:p>
    <w:p w14:paraId="607249B2" w14:textId="1B821852" w:rsidR="00F64776" w:rsidRDefault="00F64776" w:rsidP="00F64776">
      <w:pPr>
        <w:pStyle w:val="SntesisDescriptiva"/>
      </w:pPr>
    </w:p>
    <w:p w14:paraId="4A206FD7" w14:textId="77777777" w:rsidR="00F64776" w:rsidRDefault="00F64776" w:rsidP="00F64776">
      <w:pPr>
        <w:pStyle w:val="SntesisDescriptiva"/>
      </w:pPr>
      <w:r>
        <w:t>Acepta una abstención en el recurso de amparo 7934-2022, promovido en proceso contencioso administrativo.</w:t>
      </w:r>
    </w:p>
    <w:p w14:paraId="4430086F" w14:textId="01C05242" w:rsidR="00F64776" w:rsidRDefault="00F64776" w:rsidP="00F64776">
      <w:pPr>
        <w:pStyle w:val="SntesisDescriptiva"/>
      </w:pPr>
    </w:p>
    <w:p w14:paraId="1F8F36F7" w14:textId="77777777" w:rsidR="00F64776" w:rsidRDefault="00F64776" w:rsidP="00F64776">
      <w:pPr>
        <w:pStyle w:val="SntesisDescriptiva"/>
      </w:pPr>
    </w:p>
    <w:p w14:paraId="2B8C0DAF" w14:textId="77777777" w:rsidR="00F64776" w:rsidRDefault="00F64776" w:rsidP="00F64776">
      <w:pPr>
        <w:pStyle w:val="SntesisDescriptiva"/>
      </w:pPr>
    </w:p>
    <w:p w14:paraId="6736B486" w14:textId="77777777" w:rsidR="00F64776" w:rsidRDefault="00F64776" w:rsidP="00F64776">
      <w:pPr>
        <w:pStyle w:val="TextoNormalNegritaCentrado"/>
      </w:pPr>
      <w:r>
        <w:t>AUTO</w:t>
      </w:r>
    </w:p>
    <w:p w14:paraId="2B84B6FB" w14:textId="1D6C84FE" w:rsidR="00F64776" w:rsidRDefault="00F64776" w:rsidP="00F64776">
      <w:pPr>
        <w:pStyle w:val="TextoNormalNegritaCentrado"/>
      </w:pPr>
    </w:p>
    <w:p w14:paraId="7FBAB35A" w14:textId="77777777" w:rsidR="00F64776" w:rsidRDefault="00F64776" w:rsidP="00F64776">
      <w:pPr>
        <w:pStyle w:val="TextoNormalNegritaCentrado"/>
        <w:keepNext/>
      </w:pPr>
      <w:r>
        <w:t>I. Antecedentes</w:t>
      </w:r>
    </w:p>
    <w:p w14:paraId="22EA6595" w14:textId="1547D4C8" w:rsidR="00F64776" w:rsidRDefault="00F64776" w:rsidP="00F64776">
      <w:pPr>
        <w:pStyle w:val="TextoNormalNegritaCentrado"/>
        <w:keepNext/>
      </w:pPr>
    </w:p>
    <w:p w14:paraId="55265F36" w14:textId="20F107F7" w:rsidR="00F64776" w:rsidRDefault="00F64776" w:rsidP="00F64776">
      <w:pPr>
        <w:pStyle w:val="TextoNormal"/>
      </w:pPr>
      <w:r w:rsidRPr="00F64776">
        <w:rPr>
          <w:rStyle w:val="NumeroAFNegritaCaracter"/>
        </w:rPr>
        <w:t>1</w:t>
      </w:r>
      <w:r>
        <w:t>. Mediante escrito registrado en este tribunal el 30 de noviembre de 2022 el procurador de los tribunales don Sergio Cabezas Llamas, en nombre y representación de don Pelayo Engonga Micha Mbang y bajo la dirección de la letrada doña María Teresa Costero López, formuló demanda de amparo contra providencia de la Sección Primera de la Sala de lo Contencioso-Administrativo del Tribunal Supremo en recurso de casación núm. 6205-2022.</w:t>
      </w:r>
    </w:p>
    <w:p w14:paraId="6860FE46" w14:textId="77777777" w:rsidR="00F64776" w:rsidRDefault="00F64776" w:rsidP="00F64776">
      <w:pPr>
        <w:pStyle w:val="TextoNormal"/>
      </w:pPr>
    </w:p>
    <w:p w14:paraId="7E342EB0" w14:textId="3EDBFCD8" w:rsidR="00F64776" w:rsidRDefault="00F64776" w:rsidP="00F64776">
      <w:pPr>
        <w:pStyle w:val="TextoNormal"/>
      </w:pPr>
      <w:r w:rsidRPr="00F64776">
        <w:rPr>
          <w:rStyle w:val="NumeroAFNegritaCaracter"/>
        </w:rPr>
        <w:t>2</w:t>
      </w:r>
      <w:r>
        <w:t>. Por escrito de 29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77A0C79F" w14:textId="77777777" w:rsidR="00F64776" w:rsidRDefault="00F64776" w:rsidP="00F64776">
      <w:pPr>
        <w:pStyle w:val="TextoNormal"/>
      </w:pPr>
    </w:p>
    <w:p w14:paraId="1E4FACEF" w14:textId="77777777" w:rsidR="00F64776" w:rsidRDefault="00F64776" w:rsidP="00F64776">
      <w:pPr>
        <w:pStyle w:val="TextoNormalNegritaCentrado"/>
        <w:keepNext/>
      </w:pPr>
      <w:r>
        <w:t>II. Fundamentos jurídicos</w:t>
      </w:r>
    </w:p>
    <w:p w14:paraId="043787A8" w14:textId="615BEAE8" w:rsidR="00F64776" w:rsidRDefault="00F64776" w:rsidP="00F64776">
      <w:pPr>
        <w:pStyle w:val="TextoNormalNegritaCentrado"/>
        <w:keepNext/>
      </w:pPr>
    </w:p>
    <w:p w14:paraId="51925D1B" w14:textId="6EAA35AF" w:rsidR="00F64776" w:rsidRDefault="00F64776" w:rsidP="00F64776">
      <w:pPr>
        <w:pStyle w:val="TextoNormal"/>
      </w:pPr>
      <w:r>
        <w:t>Único.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5F0D1F6C" w14:textId="77777777" w:rsidR="00F64776" w:rsidRDefault="00F64776" w:rsidP="00F64776">
      <w:pPr>
        <w:pStyle w:val="TextoNormal"/>
      </w:pPr>
    </w:p>
    <w:p w14:paraId="44D8F88B" w14:textId="77777777" w:rsidR="00F64776" w:rsidRDefault="00F64776" w:rsidP="00F64776">
      <w:pPr>
        <w:pStyle w:val="TextoNormal"/>
      </w:pPr>
      <w:r>
        <w:t>Por lo expuesto, la Sección</w:t>
      </w:r>
    </w:p>
    <w:p w14:paraId="3944427E" w14:textId="0AB7B64A" w:rsidR="00F64776" w:rsidRDefault="00F64776" w:rsidP="00F64776">
      <w:pPr>
        <w:pStyle w:val="TextoNormal"/>
      </w:pPr>
    </w:p>
    <w:p w14:paraId="031A9A99" w14:textId="77777777" w:rsidR="00F64776" w:rsidRDefault="00F64776" w:rsidP="00F64776">
      <w:pPr>
        <w:pStyle w:val="TextoNormalCentrado"/>
      </w:pPr>
      <w:r>
        <w:t>ACUERDA</w:t>
      </w:r>
    </w:p>
    <w:p w14:paraId="0C1CBD84" w14:textId="459F15F8" w:rsidR="00F64776" w:rsidRDefault="00F64776" w:rsidP="00F64776">
      <w:pPr>
        <w:pStyle w:val="TextoNormalCentrado"/>
      </w:pPr>
    </w:p>
    <w:p w14:paraId="4F8F7E32" w14:textId="4EE9159C" w:rsidR="00F64776" w:rsidRDefault="00F64776" w:rsidP="00F64776">
      <w:pPr>
        <w:pStyle w:val="TextoNormal"/>
      </w:pPr>
      <w:r>
        <w:t>Estimar justificada la abstención formulada por el magistrado don César Tolosa Tribiño en el recurso de amparo núm. 7934-2022 y apartarle definitivamente del conocimiento del referido recurso y de todas sus incidencias.</w:t>
      </w:r>
    </w:p>
    <w:p w14:paraId="0EF484E8" w14:textId="77777777" w:rsidR="00F64776" w:rsidRDefault="00F64776" w:rsidP="00F64776">
      <w:pPr>
        <w:pStyle w:val="TextoNormal"/>
      </w:pPr>
    </w:p>
    <w:p w14:paraId="5268B50B" w14:textId="77777777" w:rsidR="00F64776" w:rsidRDefault="00F64776" w:rsidP="00F64776">
      <w:pPr>
        <w:pStyle w:val="TextoNormal"/>
      </w:pPr>
      <w:r>
        <w:t>Madrid, a uno de diciembre de dos mil veintitrés.</w:t>
      </w:r>
    </w:p>
    <w:p w14:paraId="24ABF1B3" w14:textId="73641DEA" w:rsidR="00F64776" w:rsidRDefault="00F64776">
      <w:pPr>
        <w:spacing w:after="160" w:line="278" w:lineRule="auto"/>
        <w:rPr>
          <w:rFonts w:ascii="Times New Roman" w:eastAsia="Times New Roman" w:hAnsi="Times New Roman" w:cs="Times New Roman"/>
          <w:sz w:val="24"/>
          <w:szCs w:val="24"/>
          <w:lang w:eastAsia="es-ES"/>
        </w:rPr>
      </w:pPr>
      <w:r>
        <w:br w:type="page"/>
      </w:r>
    </w:p>
    <w:p w14:paraId="3023D12D" w14:textId="77777777" w:rsidR="00F64776" w:rsidRDefault="00F64776" w:rsidP="00F64776">
      <w:pPr>
        <w:pStyle w:val="TtuloResolucin"/>
      </w:pPr>
      <w:bookmarkStart w:id="403" w:name="AUTO_2023_618"/>
      <w:r>
        <w:t>AUTO 618/2023, de 1 de diciembre de 2023</w:t>
      </w:r>
    </w:p>
    <w:bookmarkEnd w:id="403"/>
    <w:p w14:paraId="2693BD35" w14:textId="77777777" w:rsidR="00F64776" w:rsidRDefault="00F64776" w:rsidP="00F64776">
      <w:pPr>
        <w:pStyle w:val="TtuloResolucin"/>
      </w:pPr>
      <w:r>
        <w:t>Sección Tercera</w:t>
      </w:r>
    </w:p>
    <w:p w14:paraId="5F07DB92" w14:textId="77777777" w:rsidR="00F64776" w:rsidRDefault="00F64776" w:rsidP="00F64776">
      <w:pPr>
        <w:pStyle w:val="TextoNormalCentrado"/>
      </w:pPr>
      <w:r>
        <w:t>ECLI:ES:TC:2023:618A</w:t>
      </w:r>
    </w:p>
    <w:p w14:paraId="654325AB" w14:textId="5C08F766" w:rsidR="00F64776" w:rsidRDefault="00F64776" w:rsidP="00F64776">
      <w:pPr>
        <w:pStyle w:val="TextoNormalCentrado"/>
      </w:pPr>
    </w:p>
    <w:p w14:paraId="229DE8B7" w14:textId="77777777" w:rsidR="00F64776" w:rsidRDefault="00F64776" w:rsidP="00F64776">
      <w:pPr>
        <w:pStyle w:val="SntesisDescriptiva"/>
      </w:pPr>
      <w:r>
        <w:t>Excms. Srs. doña Inmaculada Montalbán Huertas y doña Laura Díez Bueso.</w:t>
      </w:r>
    </w:p>
    <w:p w14:paraId="39AD854B" w14:textId="50DF53C7" w:rsidR="00F64776" w:rsidRDefault="00F64776" w:rsidP="00F64776">
      <w:pPr>
        <w:pStyle w:val="SntesisDescriptiva"/>
      </w:pPr>
    </w:p>
    <w:p w14:paraId="08CA7334" w14:textId="77777777" w:rsidR="00F64776" w:rsidRDefault="00F64776" w:rsidP="00F64776">
      <w:pPr>
        <w:pStyle w:val="SntesisDescriptiva"/>
      </w:pPr>
      <w:r>
        <w:t>Acepta una abstención en el recurso de amparo 8484-2022, promovido en proceso contencioso administrativo.</w:t>
      </w:r>
    </w:p>
    <w:p w14:paraId="7D52A5B9" w14:textId="66ACA889" w:rsidR="00F64776" w:rsidRDefault="00F64776" w:rsidP="00F64776">
      <w:pPr>
        <w:pStyle w:val="SntesisDescriptiva"/>
      </w:pPr>
    </w:p>
    <w:p w14:paraId="2752965D" w14:textId="77777777" w:rsidR="00F64776" w:rsidRDefault="00F64776" w:rsidP="00F64776">
      <w:pPr>
        <w:pStyle w:val="SntesisDescriptiva"/>
      </w:pPr>
    </w:p>
    <w:p w14:paraId="2FFDFA4A" w14:textId="77777777" w:rsidR="00F64776" w:rsidRDefault="00F64776" w:rsidP="00F64776">
      <w:pPr>
        <w:pStyle w:val="SntesisDescriptiva"/>
      </w:pPr>
    </w:p>
    <w:p w14:paraId="6C34309B" w14:textId="77777777" w:rsidR="00F64776" w:rsidRDefault="00F64776" w:rsidP="00F64776">
      <w:pPr>
        <w:pStyle w:val="TextoNormalNegritaCentrado"/>
      </w:pPr>
      <w:r>
        <w:t>AUTO</w:t>
      </w:r>
    </w:p>
    <w:p w14:paraId="0821B5A9" w14:textId="1042C2B4" w:rsidR="00F64776" w:rsidRDefault="00F64776" w:rsidP="00F64776">
      <w:pPr>
        <w:pStyle w:val="TextoNormalNegritaCentrado"/>
      </w:pPr>
    </w:p>
    <w:p w14:paraId="365EC801" w14:textId="77777777" w:rsidR="00F64776" w:rsidRDefault="00F64776" w:rsidP="00F64776">
      <w:pPr>
        <w:pStyle w:val="TextoNormalNegritaCentrado"/>
        <w:keepNext/>
      </w:pPr>
      <w:r>
        <w:t>I. Antecedentes</w:t>
      </w:r>
    </w:p>
    <w:p w14:paraId="6AF8B9E8" w14:textId="6300F25D" w:rsidR="00F64776" w:rsidRDefault="00F64776" w:rsidP="00F64776">
      <w:pPr>
        <w:pStyle w:val="TextoNormalNegritaCentrado"/>
        <w:keepNext/>
      </w:pPr>
    </w:p>
    <w:p w14:paraId="6CD2088F" w14:textId="406EBBDB" w:rsidR="00F64776" w:rsidRDefault="00F64776" w:rsidP="00F64776">
      <w:pPr>
        <w:pStyle w:val="TextoNormal"/>
      </w:pPr>
      <w:r w:rsidRPr="00F64776">
        <w:rPr>
          <w:rStyle w:val="NumeroAFNegritaCaracter"/>
        </w:rPr>
        <w:t>1</w:t>
      </w:r>
      <w:r>
        <w:t>. Mediante escrito registrado en este tribunal el 22 de diciembre de 2022 la procuradora de los tribunales doña María Isabel Salamanca Álvaro, en nombre y representación de don Mamadou Coulibali y bajo la dirección de la letrada doña Virginia Inés Parra Villegas, formuló demanda de amparo contra la providencia de 2 de noviembre de 2022, dictada por la Sección Primera de la  Sala de lo Contencioso-Administrativo del Tribunal Supremo en recurso de casación núm. 5942-2022 contra sentencia de la Sección Tercera de la Audiencia Nacional procedimiento ordinario núm. 1991-2020.</w:t>
      </w:r>
    </w:p>
    <w:p w14:paraId="1CCD5B79" w14:textId="77777777" w:rsidR="00F64776" w:rsidRDefault="00F64776" w:rsidP="00F64776">
      <w:pPr>
        <w:pStyle w:val="TextoNormal"/>
      </w:pPr>
    </w:p>
    <w:p w14:paraId="28B3387B" w14:textId="220D021A" w:rsidR="00F64776" w:rsidRDefault="00F64776" w:rsidP="00F64776">
      <w:pPr>
        <w:pStyle w:val="TextoNormal"/>
      </w:pPr>
      <w:r w:rsidRPr="00F64776">
        <w:rPr>
          <w:rStyle w:val="NumeroAFNegritaCaracter"/>
        </w:rPr>
        <w:t>2</w:t>
      </w:r>
      <w:r>
        <w:t>. Por escrito de 29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3F04508A" w14:textId="77777777" w:rsidR="00F64776" w:rsidRDefault="00F64776" w:rsidP="00F64776">
      <w:pPr>
        <w:pStyle w:val="TextoNormal"/>
      </w:pPr>
    </w:p>
    <w:p w14:paraId="458E9FED" w14:textId="77777777" w:rsidR="00F64776" w:rsidRDefault="00F64776" w:rsidP="00F64776">
      <w:pPr>
        <w:pStyle w:val="TextoNormalNegritaCentrado"/>
        <w:keepNext/>
      </w:pPr>
      <w:r>
        <w:t>II. Fundamentos jurídicos</w:t>
      </w:r>
    </w:p>
    <w:p w14:paraId="4A1C3A49" w14:textId="37F4CDF9" w:rsidR="00F64776" w:rsidRDefault="00F64776" w:rsidP="00F64776">
      <w:pPr>
        <w:pStyle w:val="TextoNormalNegritaCentrado"/>
        <w:keepNext/>
      </w:pPr>
    </w:p>
    <w:p w14:paraId="52B55824" w14:textId="1F44F3B8"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379F3252" w14:textId="77777777" w:rsidR="00F64776" w:rsidRDefault="00F64776" w:rsidP="00F64776">
      <w:pPr>
        <w:pStyle w:val="TextoNormal"/>
      </w:pPr>
    </w:p>
    <w:p w14:paraId="2EA60138" w14:textId="77777777" w:rsidR="00F64776" w:rsidRDefault="00F64776" w:rsidP="00F64776">
      <w:pPr>
        <w:pStyle w:val="TextoNormal"/>
      </w:pPr>
      <w:r>
        <w:t>Por lo expuesto, la Sección</w:t>
      </w:r>
    </w:p>
    <w:p w14:paraId="2E3EC3BC" w14:textId="38E7C60F" w:rsidR="00F64776" w:rsidRDefault="00F64776" w:rsidP="00F64776">
      <w:pPr>
        <w:pStyle w:val="TextoNormal"/>
      </w:pPr>
    </w:p>
    <w:p w14:paraId="6FD711F5" w14:textId="77777777" w:rsidR="00F64776" w:rsidRDefault="00F64776" w:rsidP="00F64776">
      <w:pPr>
        <w:pStyle w:val="TextoNormalCentrado"/>
      </w:pPr>
      <w:r>
        <w:t>ACUERDA</w:t>
      </w:r>
    </w:p>
    <w:p w14:paraId="682AE339" w14:textId="505BE117" w:rsidR="00F64776" w:rsidRDefault="00F64776" w:rsidP="00F64776">
      <w:pPr>
        <w:pStyle w:val="TextoNormalCentrado"/>
      </w:pPr>
    </w:p>
    <w:p w14:paraId="589EC695" w14:textId="5E3514A0" w:rsidR="00F64776" w:rsidRDefault="00F64776" w:rsidP="00F64776">
      <w:pPr>
        <w:pStyle w:val="TextoNormal"/>
      </w:pPr>
      <w:r>
        <w:t>Estimar justificada la abstención formulada por el magistrado don César Tolosa Tribiño en el recurso de amparo núm. 8484-2022 y apartarle definitivamente del conocimiento del referido recurso y de todas sus incidencias.</w:t>
      </w:r>
    </w:p>
    <w:p w14:paraId="02411150" w14:textId="77777777" w:rsidR="00F64776" w:rsidRDefault="00F64776" w:rsidP="00F64776">
      <w:pPr>
        <w:pStyle w:val="TextoNormal"/>
      </w:pPr>
    </w:p>
    <w:p w14:paraId="13152CA1" w14:textId="77777777" w:rsidR="00F64776" w:rsidRDefault="00F64776" w:rsidP="00F64776">
      <w:pPr>
        <w:pStyle w:val="TextoNormal"/>
      </w:pPr>
      <w:r>
        <w:t>Madrid, a uno de diciembre de dos mil veintitrés.</w:t>
      </w:r>
    </w:p>
    <w:p w14:paraId="5F36D174" w14:textId="550E3C76" w:rsidR="00F64776" w:rsidRDefault="00F64776">
      <w:pPr>
        <w:spacing w:after="160" w:line="278" w:lineRule="auto"/>
        <w:rPr>
          <w:rFonts w:ascii="Times New Roman" w:eastAsia="Times New Roman" w:hAnsi="Times New Roman" w:cs="Times New Roman"/>
          <w:sz w:val="24"/>
          <w:szCs w:val="24"/>
          <w:lang w:eastAsia="es-ES"/>
        </w:rPr>
      </w:pPr>
      <w:r>
        <w:br w:type="page"/>
      </w:r>
    </w:p>
    <w:p w14:paraId="73DA9538" w14:textId="77777777" w:rsidR="00F64776" w:rsidRDefault="00F64776" w:rsidP="00F64776">
      <w:pPr>
        <w:pStyle w:val="TtuloResolucin"/>
      </w:pPr>
      <w:bookmarkStart w:id="404" w:name="AUTO_2023_619"/>
      <w:r>
        <w:t>AUTO 619/2023, de 1 de diciembre de 2023</w:t>
      </w:r>
    </w:p>
    <w:bookmarkEnd w:id="404"/>
    <w:p w14:paraId="0D7108E6" w14:textId="77777777" w:rsidR="00F64776" w:rsidRDefault="00F64776" w:rsidP="00F64776">
      <w:pPr>
        <w:pStyle w:val="TtuloResolucin"/>
      </w:pPr>
      <w:r>
        <w:t>Sección Tercera</w:t>
      </w:r>
    </w:p>
    <w:p w14:paraId="41A4076C" w14:textId="77777777" w:rsidR="00F64776" w:rsidRDefault="00F64776" w:rsidP="00F64776">
      <w:pPr>
        <w:pStyle w:val="TextoNormalCentrado"/>
      </w:pPr>
      <w:r>
        <w:t>ECLI:ES:TC:2023:619A</w:t>
      </w:r>
    </w:p>
    <w:p w14:paraId="7242E235" w14:textId="0AED034B" w:rsidR="00F64776" w:rsidRDefault="00F64776" w:rsidP="00F64776">
      <w:pPr>
        <w:pStyle w:val="TextoNormalCentrado"/>
      </w:pPr>
    </w:p>
    <w:p w14:paraId="5DE818B1" w14:textId="77777777" w:rsidR="00F64776" w:rsidRDefault="00F64776" w:rsidP="00F64776">
      <w:pPr>
        <w:pStyle w:val="SntesisDescriptiva"/>
      </w:pPr>
      <w:r>
        <w:t>Excms. Srs. doña Inmaculada Montalbán Huertas y doña Laura Díez Bueso.</w:t>
      </w:r>
    </w:p>
    <w:p w14:paraId="4776AE42" w14:textId="2F07EBA6" w:rsidR="00F64776" w:rsidRDefault="00F64776" w:rsidP="00F64776">
      <w:pPr>
        <w:pStyle w:val="SntesisDescriptiva"/>
      </w:pPr>
    </w:p>
    <w:p w14:paraId="15A80BEF" w14:textId="77777777" w:rsidR="00F64776" w:rsidRDefault="00F64776" w:rsidP="00F64776">
      <w:pPr>
        <w:pStyle w:val="SntesisDescriptiva"/>
      </w:pPr>
      <w:r>
        <w:t>Acepta una abstención en el recurso de amparo 8534-2022, promovido en proceso contencioso administrativo.</w:t>
      </w:r>
    </w:p>
    <w:p w14:paraId="3449ACB1" w14:textId="0972D6D3" w:rsidR="00F64776" w:rsidRDefault="00F64776" w:rsidP="00F64776">
      <w:pPr>
        <w:pStyle w:val="SntesisDescriptiva"/>
      </w:pPr>
    </w:p>
    <w:p w14:paraId="78E969E7" w14:textId="77777777" w:rsidR="00F64776" w:rsidRDefault="00F64776" w:rsidP="00F64776">
      <w:pPr>
        <w:pStyle w:val="SntesisDescriptiva"/>
      </w:pPr>
    </w:p>
    <w:p w14:paraId="267A83EC" w14:textId="77777777" w:rsidR="00F64776" w:rsidRDefault="00F64776" w:rsidP="00F64776">
      <w:pPr>
        <w:pStyle w:val="SntesisDescriptiva"/>
      </w:pPr>
    </w:p>
    <w:p w14:paraId="2365100E" w14:textId="77777777" w:rsidR="00F64776" w:rsidRDefault="00F64776" w:rsidP="00F64776">
      <w:pPr>
        <w:pStyle w:val="TextoNormalNegritaCentrado"/>
      </w:pPr>
      <w:r>
        <w:t>AUTO</w:t>
      </w:r>
    </w:p>
    <w:p w14:paraId="6F8696C6" w14:textId="1953154E" w:rsidR="00F64776" w:rsidRDefault="00F64776" w:rsidP="00F64776">
      <w:pPr>
        <w:pStyle w:val="TextoNormalNegritaCentrado"/>
      </w:pPr>
    </w:p>
    <w:p w14:paraId="0464D1D3" w14:textId="77777777" w:rsidR="00F64776" w:rsidRDefault="00F64776" w:rsidP="00F64776">
      <w:pPr>
        <w:pStyle w:val="TextoNormalNegritaCentrado"/>
        <w:keepNext/>
      </w:pPr>
      <w:r>
        <w:t>I. Antecedentes</w:t>
      </w:r>
    </w:p>
    <w:p w14:paraId="0EFDFDCF" w14:textId="40FEA74B" w:rsidR="00F64776" w:rsidRDefault="00F64776" w:rsidP="00F64776">
      <w:pPr>
        <w:pStyle w:val="TextoNormalNegritaCentrado"/>
        <w:keepNext/>
      </w:pPr>
    </w:p>
    <w:p w14:paraId="0E5E4827" w14:textId="4BCF7CD4" w:rsidR="00F64776" w:rsidRDefault="00F64776" w:rsidP="00F64776">
      <w:pPr>
        <w:pStyle w:val="TextoNormal"/>
      </w:pPr>
      <w:r w:rsidRPr="00F64776">
        <w:rPr>
          <w:rStyle w:val="NumeroAFNegritaCaracter"/>
        </w:rPr>
        <w:t>1</w:t>
      </w:r>
      <w:r>
        <w:t>. Mediante escrito registrado en este tribunal el 23 de diciembre de 2022 el procurador de los tribunales don Carlos Blanco Sánchez de Cueto, en nombre y representación de don Eduardo José Baroja Otero y otros y bajo la dirección del letrado don Francisco Almodóvar Navalón, formuló demanda de amparo contra el auto de 10 de noviembre de 2022 de la Sección Primera de la Sala de lo Contencioso-Administrativo del Tribunal Supremo en recurso de queja núm. 480-2022.</w:t>
      </w:r>
    </w:p>
    <w:p w14:paraId="5505E5CE" w14:textId="77777777" w:rsidR="00F64776" w:rsidRDefault="00F64776" w:rsidP="00F64776">
      <w:pPr>
        <w:pStyle w:val="TextoNormal"/>
      </w:pPr>
    </w:p>
    <w:p w14:paraId="6D63AB05" w14:textId="028EC84C" w:rsidR="00F64776" w:rsidRDefault="00F64776" w:rsidP="00F64776">
      <w:pPr>
        <w:pStyle w:val="TextoNormal"/>
      </w:pPr>
      <w:r w:rsidRPr="00F64776">
        <w:rPr>
          <w:rStyle w:val="NumeroAFNegritaCaracter"/>
        </w:rPr>
        <w:t>2</w:t>
      </w:r>
      <w:r>
        <w:t>. Por escrito de 29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2AC9977C" w14:textId="77777777" w:rsidR="00F64776" w:rsidRDefault="00F64776" w:rsidP="00F64776">
      <w:pPr>
        <w:pStyle w:val="TextoNormal"/>
      </w:pPr>
    </w:p>
    <w:p w14:paraId="1DE3C0FB" w14:textId="77777777" w:rsidR="00F64776" w:rsidRDefault="00F64776" w:rsidP="00F64776">
      <w:pPr>
        <w:pStyle w:val="TextoNormalNegritaCentrado"/>
        <w:keepNext/>
      </w:pPr>
      <w:r>
        <w:t>II. Fundamentos jurídicos</w:t>
      </w:r>
    </w:p>
    <w:p w14:paraId="3576DDB9" w14:textId="2C24E14B" w:rsidR="00F64776" w:rsidRDefault="00F64776" w:rsidP="00F64776">
      <w:pPr>
        <w:pStyle w:val="TextoNormalNegritaCentrado"/>
        <w:keepNext/>
      </w:pPr>
    </w:p>
    <w:p w14:paraId="3532C791" w14:textId="51273702"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16688F8F" w14:textId="77777777" w:rsidR="00F64776" w:rsidRDefault="00F64776" w:rsidP="00F64776">
      <w:pPr>
        <w:pStyle w:val="TextoNormal"/>
      </w:pPr>
    </w:p>
    <w:p w14:paraId="61C0F8BC" w14:textId="77777777" w:rsidR="00F64776" w:rsidRDefault="00F64776" w:rsidP="00F64776">
      <w:pPr>
        <w:pStyle w:val="TextoNormal"/>
      </w:pPr>
      <w:r>
        <w:t>Por lo expuesto, la Sección</w:t>
      </w:r>
    </w:p>
    <w:p w14:paraId="02E921B4" w14:textId="44BEAB5D" w:rsidR="00F64776" w:rsidRDefault="00F64776" w:rsidP="00F64776">
      <w:pPr>
        <w:pStyle w:val="TextoNormal"/>
      </w:pPr>
    </w:p>
    <w:p w14:paraId="00DB5D5C" w14:textId="77777777" w:rsidR="00F64776" w:rsidRDefault="00F64776" w:rsidP="00F64776">
      <w:pPr>
        <w:pStyle w:val="TextoNormalCentrado"/>
      </w:pPr>
      <w:r>
        <w:t>ACUERDA</w:t>
      </w:r>
    </w:p>
    <w:p w14:paraId="7603A7E7" w14:textId="054D484D" w:rsidR="00F64776" w:rsidRDefault="00F64776" w:rsidP="00F64776">
      <w:pPr>
        <w:pStyle w:val="TextoNormalCentrado"/>
      </w:pPr>
    </w:p>
    <w:p w14:paraId="7F0616AF" w14:textId="27A137A1" w:rsidR="00F64776" w:rsidRDefault="00F64776" w:rsidP="00F64776">
      <w:pPr>
        <w:pStyle w:val="TextoNormal"/>
      </w:pPr>
      <w:r>
        <w:t>Estimar justificada la abstención formulada por el magistrado don César Tolosa Tribiño en el recurso de amparo núm. 8534-2022 y apartarle definitivamente del conocimiento del referido recurso y de todas sus incidencias.</w:t>
      </w:r>
    </w:p>
    <w:p w14:paraId="1D864F36" w14:textId="77777777" w:rsidR="00F64776" w:rsidRDefault="00F64776" w:rsidP="00F64776">
      <w:pPr>
        <w:pStyle w:val="TextoNormal"/>
      </w:pPr>
    </w:p>
    <w:p w14:paraId="6882ED46" w14:textId="77777777" w:rsidR="00F64776" w:rsidRDefault="00F64776" w:rsidP="00F64776">
      <w:pPr>
        <w:pStyle w:val="TextoNormal"/>
      </w:pPr>
      <w:r>
        <w:t>Madrid, a uno de diciembre de dos mil veintitrés.</w:t>
      </w:r>
    </w:p>
    <w:p w14:paraId="7903A1E7" w14:textId="1B6705B2" w:rsidR="00F64776" w:rsidRDefault="00F64776">
      <w:pPr>
        <w:spacing w:after="160" w:line="278" w:lineRule="auto"/>
        <w:rPr>
          <w:rFonts w:ascii="Times New Roman" w:eastAsia="Times New Roman" w:hAnsi="Times New Roman" w:cs="Times New Roman"/>
          <w:sz w:val="24"/>
          <w:szCs w:val="24"/>
          <w:lang w:eastAsia="es-ES"/>
        </w:rPr>
      </w:pPr>
      <w:r>
        <w:br w:type="page"/>
      </w:r>
    </w:p>
    <w:p w14:paraId="4A1D5DA6" w14:textId="77777777" w:rsidR="00F64776" w:rsidRDefault="00F64776" w:rsidP="00F64776">
      <w:pPr>
        <w:pStyle w:val="TtuloResolucin"/>
      </w:pPr>
      <w:bookmarkStart w:id="405" w:name="AUTO_2023_620"/>
      <w:r>
        <w:t>AUTO 620/2023, de 1 de diciembre de 2023</w:t>
      </w:r>
    </w:p>
    <w:bookmarkEnd w:id="405"/>
    <w:p w14:paraId="2FA3375C" w14:textId="77777777" w:rsidR="00F64776" w:rsidRDefault="00F64776" w:rsidP="00F64776">
      <w:pPr>
        <w:pStyle w:val="TtuloResolucin"/>
      </w:pPr>
      <w:r>
        <w:t>Sección Tercera</w:t>
      </w:r>
    </w:p>
    <w:p w14:paraId="234C7FFB" w14:textId="77777777" w:rsidR="00F64776" w:rsidRDefault="00F64776" w:rsidP="00F64776">
      <w:pPr>
        <w:pStyle w:val="TextoNormalCentrado"/>
      </w:pPr>
      <w:r>
        <w:t>ECLI:ES:TC:2023:620A</w:t>
      </w:r>
    </w:p>
    <w:p w14:paraId="57FF1EC7" w14:textId="714C9DBE" w:rsidR="00F64776" w:rsidRDefault="00F64776" w:rsidP="00F64776">
      <w:pPr>
        <w:pStyle w:val="TextoNormalCentrado"/>
      </w:pPr>
    </w:p>
    <w:p w14:paraId="04349E30" w14:textId="77777777" w:rsidR="00F64776" w:rsidRDefault="00F64776" w:rsidP="00F64776">
      <w:pPr>
        <w:pStyle w:val="SntesisDescriptiva"/>
      </w:pPr>
      <w:r>
        <w:t>Excms. Srs. doña Inmaculada Montalbán Huertas y doña Laura Díez Bueso.</w:t>
      </w:r>
    </w:p>
    <w:p w14:paraId="4AE3092F" w14:textId="02E41CE1" w:rsidR="00F64776" w:rsidRDefault="00F64776" w:rsidP="00F64776">
      <w:pPr>
        <w:pStyle w:val="SntesisDescriptiva"/>
      </w:pPr>
    </w:p>
    <w:p w14:paraId="7C56724D" w14:textId="77777777" w:rsidR="00F64776" w:rsidRDefault="00F64776" w:rsidP="00F64776">
      <w:pPr>
        <w:pStyle w:val="SntesisDescriptiva"/>
      </w:pPr>
      <w:r>
        <w:t>Acepta una abstención en el recurso de amparo 3148-2023, promovido por la entidad Accorinvest Spain, S.A., en proceso contencioso administrativo.</w:t>
      </w:r>
    </w:p>
    <w:p w14:paraId="7B931C1B" w14:textId="55AA2B92" w:rsidR="00F64776" w:rsidRDefault="00F64776" w:rsidP="00F64776">
      <w:pPr>
        <w:pStyle w:val="SntesisDescriptiva"/>
      </w:pPr>
    </w:p>
    <w:p w14:paraId="178613E5" w14:textId="77777777" w:rsidR="00F64776" w:rsidRDefault="00F64776" w:rsidP="00F64776">
      <w:pPr>
        <w:pStyle w:val="SntesisDescriptiva"/>
      </w:pPr>
    </w:p>
    <w:p w14:paraId="166F78AF" w14:textId="77777777" w:rsidR="00F64776" w:rsidRDefault="00F64776" w:rsidP="00F64776">
      <w:pPr>
        <w:pStyle w:val="SntesisDescriptiva"/>
      </w:pPr>
    </w:p>
    <w:p w14:paraId="735A131F" w14:textId="77777777" w:rsidR="00F64776" w:rsidRDefault="00F64776" w:rsidP="00F64776">
      <w:pPr>
        <w:pStyle w:val="TextoNormalNegritaCentrado"/>
      </w:pPr>
      <w:r>
        <w:t>AUTO</w:t>
      </w:r>
    </w:p>
    <w:p w14:paraId="00B4C506" w14:textId="31F73286" w:rsidR="00F64776" w:rsidRDefault="00F64776" w:rsidP="00F64776">
      <w:pPr>
        <w:pStyle w:val="TextoNormalNegritaCentrado"/>
      </w:pPr>
    </w:p>
    <w:p w14:paraId="2B6FFC16" w14:textId="77777777" w:rsidR="00F64776" w:rsidRDefault="00F64776" w:rsidP="00F64776">
      <w:pPr>
        <w:pStyle w:val="TextoNormalNegritaCentrado"/>
        <w:keepNext/>
      </w:pPr>
      <w:r>
        <w:t>I. Antecedentes</w:t>
      </w:r>
    </w:p>
    <w:p w14:paraId="6C088FC8" w14:textId="1F80CE1D" w:rsidR="00F64776" w:rsidRDefault="00F64776" w:rsidP="00F64776">
      <w:pPr>
        <w:pStyle w:val="TextoNormalNegritaCentrado"/>
        <w:keepNext/>
      </w:pPr>
    </w:p>
    <w:p w14:paraId="271FE390" w14:textId="2F97CB1C" w:rsidR="00F64776" w:rsidRDefault="00F64776" w:rsidP="00F64776">
      <w:pPr>
        <w:pStyle w:val="TextoNormal"/>
      </w:pPr>
      <w:r w:rsidRPr="00F64776">
        <w:rPr>
          <w:rStyle w:val="NumeroAFNegritaCaracter"/>
        </w:rPr>
        <w:t>1</w:t>
      </w:r>
      <w:r>
        <w:t>. Mediante escrito registrado en este tribunal el 11 de mayo de 2023 la procuradora de los tribunales doña María Reyes Arévalo Espejo, en nombre y representación de la entidad Accorinvest Spain, S.A., y bajo la dirección de la letrada doña Ana López Carrascal, formuló demanda de amparo contra la providencia de 15 de diciembre de 2022 de la Sección Primera de la Sala de lo Contencioso-Administrativo del Tribunal Supremo en recurso de casación núm. 6169-2022.</w:t>
      </w:r>
    </w:p>
    <w:p w14:paraId="5C1F833E" w14:textId="77777777" w:rsidR="00F64776" w:rsidRDefault="00F64776" w:rsidP="00F64776">
      <w:pPr>
        <w:pStyle w:val="TextoNormal"/>
      </w:pPr>
    </w:p>
    <w:p w14:paraId="142E8B37" w14:textId="77F4C6CF" w:rsidR="00F64776" w:rsidRDefault="00F64776" w:rsidP="00F64776">
      <w:pPr>
        <w:pStyle w:val="TextoNormal"/>
      </w:pPr>
      <w:r w:rsidRPr="00F64776">
        <w:rPr>
          <w:rStyle w:val="NumeroAFNegritaCaracter"/>
        </w:rPr>
        <w:t>2</w:t>
      </w:r>
      <w:r>
        <w:t>. Por escrito de 29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2354FB3C" w14:textId="77777777" w:rsidR="00F64776" w:rsidRDefault="00F64776" w:rsidP="00F64776">
      <w:pPr>
        <w:pStyle w:val="TextoNormal"/>
      </w:pPr>
    </w:p>
    <w:p w14:paraId="7070E95F" w14:textId="77777777" w:rsidR="00F64776" w:rsidRDefault="00F64776" w:rsidP="00F64776">
      <w:pPr>
        <w:pStyle w:val="TextoNormalNegritaCentrado"/>
        <w:keepNext/>
      </w:pPr>
      <w:r>
        <w:t>II. Fundamentos jurídicos</w:t>
      </w:r>
    </w:p>
    <w:p w14:paraId="6CBC32C7" w14:textId="0AF4E7E5" w:rsidR="00F64776" w:rsidRDefault="00F64776" w:rsidP="00F64776">
      <w:pPr>
        <w:pStyle w:val="TextoNormalNegritaCentrado"/>
        <w:keepNext/>
      </w:pPr>
    </w:p>
    <w:p w14:paraId="5F9BEF3D" w14:textId="386BD57E"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7BAF6EDD" w14:textId="77777777" w:rsidR="00F64776" w:rsidRDefault="00F64776" w:rsidP="00F64776">
      <w:pPr>
        <w:pStyle w:val="TextoNormal"/>
      </w:pPr>
    </w:p>
    <w:p w14:paraId="2DDEF4BF" w14:textId="77777777" w:rsidR="00F64776" w:rsidRDefault="00F64776" w:rsidP="00F64776">
      <w:pPr>
        <w:pStyle w:val="TextoNormal"/>
      </w:pPr>
      <w:r>
        <w:t>Por lo expuesto, la Sección</w:t>
      </w:r>
    </w:p>
    <w:p w14:paraId="065350A5" w14:textId="45497374" w:rsidR="00F64776" w:rsidRDefault="00F64776" w:rsidP="00F64776">
      <w:pPr>
        <w:pStyle w:val="TextoNormal"/>
      </w:pPr>
    </w:p>
    <w:p w14:paraId="1006A56A" w14:textId="77777777" w:rsidR="00F64776" w:rsidRDefault="00F64776" w:rsidP="00F64776">
      <w:pPr>
        <w:pStyle w:val="TextoNormalCentrado"/>
      </w:pPr>
      <w:r>
        <w:t>ACUERDA</w:t>
      </w:r>
    </w:p>
    <w:p w14:paraId="4718E282" w14:textId="20B66327" w:rsidR="00F64776" w:rsidRDefault="00F64776" w:rsidP="00F64776">
      <w:pPr>
        <w:pStyle w:val="TextoNormalCentrado"/>
      </w:pPr>
    </w:p>
    <w:p w14:paraId="76DBB59E" w14:textId="65D35858" w:rsidR="00F64776" w:rsidRDefault="00F64776" w:rsidP="00F64776">
      <w:pPr>
        <w:pStyle w:val="TextoNormal"/>
      </w:pPr>
      <w:r>
        <w:t>Estimar justificada la abstención formulada por el magistrado don César Tolosa Tribiño en el recurso de amparo núm. 3148-2023 y apartarle definitivamente del conocimiento del referido recurso y de todas sus incidencias.</w:t>
      </w:r>
    </w:p>
    <w:p w14:paraId="78B8FC00" w14:textId="77777777" w:rsidR="00F64776" w:rsidRDefault="00F64776" w:rsidP="00F64776">
      <w:pPr>
        <w:pStyle w:val="TextoNormal"/>
      </w:pPr>
    </w:p>
    <w:p w14:paraId="4FF37764" w14:textId="77777777" w:rsidR="00F64776" w:rsidRDefault="00F64776" w:rsidP="00F64776">
      <w:pPr>
        <w:pStyle w:val="TextoNormal"/>
      </w:pPr>
      <w:r>
        <w:t>Madrid, a uno de diciembre de dos mil veintitrés.</w:t>
      </w:r>
    </w:p>
    <w:p w14:paraId="63F1B08D" w14:textId="4A0EF2DB" w:rsidR="00F64776" w:rsidRDefault="00F64776">
      <w:pPr>
        <w:spacing w:after="160" w:line="278" w:lineRule="auto"/>
        <w:rPr>
          <w:rFonts w:ascii="Times New Roman" w:eastAsia="Times New Roman" w:hAnsi="Times New Roman" w:cs="Times New Roman"/>
          <w:sz w:val="24"/>
          <w:szCs w:val="24"/>
          <w:lang w:eastAsia="es-ES"/>
        </w:rPr>
      </w:pPr>
      <w:r>
        <w:br w:type="page"/>
      </w:r>
    </w:p>
    <w:p w14:paraId="454CE800" w14:textId="77777777" w:rsidR="00F64776" w:rsidRDefault="00F64776" w:rsidP="00F64776">
      <w:pPr>
        <w:pStyle w:val="TtuloResolucin"/>
      </w:pPr>
      <w:bookmarkStart w:id="406" w:name="AUTO_2023_621"/>
      <w:r>
        <w:t>AUTO 621/2023, de 1 de diciembre de 2023</w:t>
      </w:r>
    </w:p>
    <w:bookmarkEnd w:id="406"/>
    <w:p w14:paraId="1E11A5B9" w14:textId="77777777" w:rsidR="00F64776" w:rsidRDefault="00F64776" w:rsidP="00F64776">
      <w:pPr>
        <w:pStyle w:val="TtuloResolucin"/>
      </w:pPr>
      <w:r>
        <w:t>Sección Tercera</w:t>
      </w:r>
    </w:p>
    <w:p w14:paraId="6B8705A8" w14:textId="77777777" w:rsidR="00F64776" w:rsidRDefault="00F64776" w:rsidP="00F64776">
      <w:pPr>
        <w:pStyle w:val="TextoNormalCentrado"/>
      </w:pPr>
      <w:r>
        <w:t>ECLI:ES:TC:2023:621A</w:t>
      </w:r>
    </w:p>
    <w:p w14:paraId="39F3ACEF" w14:textId="543E0D09" w:rsidR="00F64776" w:rsidRDefault="00F64776" w:rsidP="00F64776">
      <w:pPr>
        <w:pStyle w:val="TextoNormalCentrado"/>
      </w:pPr>
    </w:p>
    <w:p w14:paraId="1C3476CD" w14:textId="77777777" w:rsidR="00F64776" w:rsidRDefault="00F64776" w:rsidP="00F64776">
      <w:pPr>
        <w:pStyle w:val="SntesisDescriptiva"/>
      </w:pPr>
      <w:r>
        <w:t>Excms. Srs. doña Inmaculada Montalbán Huertas y doña Laura Díez Bueso.</w:t>
      </w:r>
    </w:p>
    <w:p w14:paraId="267FA06D" w14:textId="093A49F8" w:rsidR="00F64776" w:rsidRDefault="00F64776" w:rsidP="00F64776">
      <w:pPr>
        <w:pStyle w:val="SntesisDescriptiva"/>
      </w:pPr>
    </w:p>
    <w:p w14:paraId="5AC3F235" w14:textId="77777777" w:rsidR="00F64776" w:rsidRDefault="00F64776" w:rsidP="00F64776">
      <w:pPr>
        <w:pStyle w:val="SntesisDescriptiva"/>
      </w:pPr>
      <w:r>
        <w:t>Acepta una abstención en el recurso de amparo 3172-2023, promovido en proceso contencioso administrativo.</w:t>
      </w:r>
    </w:p>
    <w:p w14:paraId="03A4AB87" w14:textId="5F54FEE8" w:rsidR="00F64776" w:rsidRDefault="00F64776" w:rsidP="00F64776">
      <w:pPr>
        <w:pStyle w:val="SntesisDescriptiva"/>
      </w:pPr>
    </w:p>
    <w:p w14:paraId="02E44FAA" w14:textId="77777777" w:rsidR="00F64776" w:rsidRDefault="00F64776" w:rsidP="00F64776">
      <w:pPr>
        <w:pStyle w:val="SntesisDescriptiva"/>
      </w:pPr>
    </w:p>
    <w:p w14:paraId="64882E61" w14:textId="77777777" w:rsidR="00F64776" w:rsidRDefault="00F64776" w:rsidP="00F64776">
      <w:pPr>
        <w:pStyle w:val="SntesisDescriptiva"/>
      </w:pPr>
    </w:p>
    <w:p w14:paraId="74BBC8DB" w14:textId="77777777" w:rsidR="00F64776" w:rsidRDefault="00F64776" w:rsidP="00F64776">
      <w:pPr>
        <w:pStyle w:val="TextoNormalNegritaCentrado"/>
      </w:pPr>
      <w:r>
        <w:t>AUTO</w:t>
      </w:r>
    </w:p>
    <w:p w14:paraId="3A77626E" w14:textId="1107D67A" w:rsidR="00F64776" w:rsidRDefault="00F64776" w:rsidP="00F64776">
      <w:pPr>
        <w:pStyle w:val="TextoNormalNegritaCentrado"/>
      </w:pPr>
    </w:p>
    <w:p w14:paraId="5A05A395" w14:textId="77777777" w:rsidR="00F64776" w:rsidRDefault="00F64776" w:rsidP="00F64776">
      <w:pPr>
        <w:pStyle w:val="TextoNormalNegritaCentrado"/>
        <w:keepNext/>
      </w:pPr>
      <w:r>
        <w:t>I. Antecedentes</w:t>
      </w:r>
    </w:p>
    <w:p w14:paraId="5767954D" w14:textId="3BD79F43" w:rsidR="00F64776" w:rsidRDefault="00F64776" w:rsidP="00F64776">
      <w:pPr>
        <w:pStyle w:val="TextoNormalNegritaCentrado"/>
        <w:keepNext/>
      </w:pPr>
    </w:p>
    <w:p w14:paraId="73CCEB8A" w14:textId="7D37B478" w:rsidR="00F64776" w:rsidRDefault="00F64776" w:rsidP="00F64776">
      <w:pPr>
        <w:pStyle w:val="TextoNormal"/>
      </w:pPr>
      <w:r w:rsidRPr="00F64776">
        <w:rPr>
          <w:rStyle w:val="NumeroAFNegritaCaracter"/>
        </w:rPr>
        <w:t>1</w:t>
      </w:r>
      <w:r>
        <w:t>. Mediante escrito registrado en este tribunal el 12 de mayo de 2023 el procurador de los tribunales don José María Ruiz de la Cuesta Vacas, en nombre y representación de doña María Teresa Pérez Vázquez y bajo la dirección del letrado don Francisco Javier Araúz de Robles Dávila, formuló demanda de amparo contra la providencia de 20 de octubre de 2022 de la Sección Primera de la Sala de lo Contencioso-Administrativo del Tribunal Supremo en recurso de casación núm. 5800-2021.</w:t>
      </w:r>
    </w:p>
    <w:p w14:paraId="4CC775FD" w14:textId="77777777" w:rsidR="00F64776" w:rsidRDefault="00F64776" w:rsidP="00F64776">
      <w:pPr>
        <w:pStyle w:val="TextoNormal"/>
      </w:pPr>
    </w:p>
    <w:p w14:paraId="5C2358ED" w14:textId="44E36059" w:rsidR="00F64776" w:rsidRDefault="00F64776" w:rsidP="00F64776">
      <w:pPr>
        <w:pStyle w:val="TextoNormal"/>
      </w:pPr>
      <w:r w:rsidRPr="00F64776">
        <w:rPr>
          <w:rStyle w:val="NumeroAFNegritaCaracter"/>
        </w:rPr>
        <w:t>2</w:t>
      </w:r>
      <w:r>
        <w:t>. Por escrito de 29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6845FA60" w14:textId="77777777" w:rsidR="00F64776" w:rsidRDefault="00F64776" w:rsidP="00F64776">
      <w:pPr>
        <w:pStyle w:val="TextoNormal"/>
      </w:pPr>
    </w:p>
    <w:p w14:paraId="65071E68" w14:textId="77777777" w:rsidR="00F64776" w:rsidRDefault="00F64776" w:rsidP="00F64776">
      <w:pPr>
        <w:pStyle w:val="TextoNormalNegritaCentrado"/>
        <w:keepNext/>
      </w:pPr>
      <w:r>
        <w:t>II. Fundamentos jurídicos</w:t>
      </w:r>
    </w:p>
    <w:p w14:paraId="0E6CA92A" w14:textId="79A25E43" w:rsidR="00F64776" w:rsidRDefault="00F64776" w:rsidP="00F64776">
      <w:pPr>
        <w:pStyle w:val="TextoNormalNegritaCentrado"/>
        <w:keepNext/>
      </w:pPr>
    </w:p>
    <w:p w14:paraId="1DDB9616" w14:textId="4BF75359"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011705B2" w14:textId="77777777" w:rsidR="00F64776" w:rsidRDefault="00F64776" w:rsidP="00F64776">
      <w:pPr>
        <w:pStyle w:val="TextoNormal"/>
      </w:pPr>
    </w:p>
    <w:p w14:paraId="56028D92" w14:textId="77777777" w:rsidR="00F64776" w:rsidRDefault="00F64776" w:rsidP="00F64776">
      <w:pPr>
        <w:pStyle w:val="TextoNormal"/>
      </w:pPr>
      <w:r>
        <w:t>Por lo expuesto, la Sección</w:t>
      </w:r>
    </w:p>
    <w:p w14:paraId="6483CDD6" w14:textId="2F7C7E35" w:rsidR="00F64776" w:rsidRDefault="00F64776" w:rsidP="00F64776">
      <w:pPr>
        <w:pStyle w:val="TextoNormal"/>
      </w:pPr>
    </w:p>
    <w:p w14:paraId="109F6C55" w14:textId="77777777" w:rsidR="00F64776" w:rsidRDefault="00F64776" w:rsidP="00F64776">
      <w:pPr>
        <w:pStyle w:val="TextoNormalCentrado"/>
      </w:pPr>
      <w:r>
        <w:t>ACUERDA</w:t>
      </w:r>
    </w:p>
    <w:p w14:paraId="1845E0F4" w14:textId="4BD39F9F" w:rsidR="00F64776" w:rsidRDefault="00F64776" w:rsidP="00F64776">
      <w:pPr>
        <w:pStyle w:val="TextoNormalCentrado"/>
      </w:pPr>
    </w:p>
    <w:p w14:paraId="2F3D3E65" w14:textId="5B8F65E8" w:rsidR="00F64776" w:rsidRDefault="00F64776" w:rsidP="00F64776">
      <w:pPr>
        <w:pStyle w:val="TextoNormal"/>
      </w:pPr>
      <w:r>
        <w:t>Estimar justificada la abstención formulada por el magistrado don César Tolosa Tribiño en el recurso de amparo núm. 3172-2023 y apartarle definitivamente del conocimiento del referido recurso y de todas sus incidencias.</w:t>
      </w:r>
    </w:p>
    <w:p w14:paraId="2B466F6C" w14:textId="77777777" w:rsidR="00F64776" w:rsidRDefault="00F64776" w:rsidP="00F64776">
      <w:pPr>
        <w:pStyle w:val="TextoNormal"/>
      </w:pPr>
    </w:p>
    <w:p w14:paraId="3E968C86" w14:textId="77777777" w:rsidR="00F64776" w:rsidRDefault="00F64776" w:rsidP="00F64776">
      <w:pPr>
        <w:pStyle w:val="TextoNormal"/>
      </w:pPr>
      <w:r>
        <w:t>Madrid, a uno de diciembre de dos mil veintitrés.</w:t>
      </w:r>
    </w:p>
    <w:p w14:paraId="1817B530" w14:textId="608EB379" w:rsidR="00F64776" w:rsidRDefault="00F64776">
      <w:pPr>
        <w:spacing w:after="160" w:line="278" w:lineRule="auto"/>
        <w:rPr>
          <w:rFonts w:ascii="Times New Roman" w:eastAsia="Times New Roman" w:hAnsi="Times New Roman" w:cs="Times New Roman"/>
          <w:sz w:val="24"/>
          <w:szCs w:val="24"/>
          <w:lang w:eastAsia="es-ES"/>
        </w:rPr>
      </w:pPr>
      <w:r>
        <w:br w:type="page"/>
      </w:r>
    </w:p>
    <w:p w14:paraId="3767FDDF" w14:textId="77777777" w:rsidR="00F64776" w:rsidRDefault="00F64776" w:rsidP="00F64776">
      <w:pPr>
        <w:pStyle w:val="TtuloResolucin"/>
      </w:pPr>
      <w:bookmarkStart w:id="407" w:name="AUTO_2023_622"/>
      <w:r>
        <w:t>AUTO 622/2023, de 4 de diciembre de 2023</w:t>
      </w:r>
    </w:p>
    <w:bookmarkEnd w:id="407"/>
    <w:p w14:paraId="4BEC42AF" w14:textId="77777777" w:rsidR="00F64776" w:rsidRDefault="00F64776" w:rsidP="00F64776">
      <w:pPr>
        <w:pStyle w:val="TtuloResolucin"/>
      </w:pPr>
      <w:r>
        <w:t>Sección Tercera</w:t>
      </w:r>
    </w:p>
    <w:p w14:paraId="61664A98" w14:textId="77777777" w:rsidR="00F64776" w:rsidRDefault="00F64776" w:rsidP="00F64776">
      <w:pPr>
        <w:pStyle w:val="TextoNormalCentrado"/>
      </w:pPr>
      <w:r>
        <w:t>ECLI:ES:TC:2023:622A</w:t>
      </w:r>
    </w:p>
    <w:p w14:paraId="0B3DD9FD" w14:textId="5EE063EC" w:rsidR="00F64776" w:rsidRDefault="00F64776" w:rsidP="00F64776">
      <w:pPr>
        <w:pStyle w:val="TextoNormalCentrado"/>
      </w:pPr>
    </w:p>
    <w:p w14:paraId="37E19226" w14:textId="77777777" w:rsidR="00F64776" w:rsidRDefault="00F64776" w:rsidP="00F64776">
      <w:pPr>
        <w:pStyle w:val="SntesisDescriptiva"/>
      </w:pPr>
      <w:r>
        <w:t>Excms. Srs. doña Inmaculada Montalbán Huertas y doña Laura Díez Bueso.</w:t>
      </w:r>
    </w:p>
    <w:p w14:paraId="54581DDD" w14:textId="537E85D8" w:rsidR="00F64776" w:rsidRDefault="00F64776" w:rsidP="00F64776">
      <w:pPr>
        <w:pStyle w:val="SntesisDescriptiva"/>
      </w:pPr>
    </w:p>
    <w:p w14:paraId="6605332F" w14:textId="77777777" w:rsidR="00F64776" w:rsidRDefault="00F64776" w:rsidP="00F64776">
      <w:pPr>
        <w:pStyle w:val="SntesisDescriptiva"/>
      </w:pPr>
      <w:r>
        <w:t>Acepta una abstención en el recurso de amparo 4706-2022, promovido en proceso contencioso administrativo.</w:t>
      </w:r>
    </w:p>
    <w:p w14:paraId="453776BC" w14:textId="7BD2EE19" w:rsidR="00F64776" w:rsidRDefault="00F64776" w:rsidP="00F64776">
      <w:pPr>
        <w:pStyle w:val="SntesisDescriptiva"/>
      </w:pPr>
    </w:p>
    <w:p w14:paraId="6708931F" w14:textId="77777777" w:rsidR="00F64776" w:rsidRDefault="00F64776" w:rsidP="00F64776">
      <w:pPr>
        <w:pStyle w:val="SntesisDescriptiva"/>
      </w:pPr>
    </w:p>
    <w:p w14:paraId="725FAFE8" w14:textId="77777777" w:rsidR="00F64776" w:rsidRDefault="00F64776" w:rsidP="00F64776">
      <w:pPr>
        <w:pStyle w:val="SntesisDescriptiva"/>
      </w:pPr>
    </w:p>
    <w:p w14:paraId="6FB3923D" w14:textId="77777777" w:rsidR="00F64776" w:rsidRDefault="00F64776" w:rsidP="00F64776">
      <w:pPr>
        <w:pStyle w:val="TextoNormalNegritaCentrado"/>
      </w:pPr>
      <w:r>
        <w:t>AUTO</w:t>
      </w:r>
    </w:p>
    <w:p w14:paraId="79A1599E" w14:textId="3DF80A65" w:rsidR="00F64776" w:rsidRDefault="00F64776" w:rsidP="00F64776">
      <w:pPr>
        <w:pStyle w:val="TextoNormalNegritaCentrado"/>
      </w:pPr>
    </w:p>
    <w:p w14:paraId="52576CB7" w14:textId="77777777" w:rsidR="00F64776" w:rsidRDefault="00F64776" w:rsidP="00F64776">
      <w:pPr>
        <w:pStyle w:val="TextoNormalNegritaCentrado"/>
        <w:keepNext/>
      </w:pPr>
      <w:r>
        <w:t>I. Antecedentes</w:t>
      </w:r>
    </w:p>
    <w:p w14:paraId="09444F26" w14:textId="1C9D1C67" w:rsidR="00F64776" w:rsidRDefault="00F64776" w:rsidP="00F64776">
      <w:pPr>
        <w:pStyle w:val="TextoNormalNegritaCentrado"/>
        <w:keepNext/>
      </w:pPr>
    </w:p>
    <w:p w14:paraId="0F8B8F64" w14:textId="7CFBDA48" w:rsidR="00F64776" w:rsidRDefault="00F64776" w:rsidP="00F64776">
      <w:pPr>
        <w:pStyle w:val="TextoNormal"/>
      </w:pPr>
      <w:r w:rsidRPr="00F64776">
        <w:rPr>
          <w:rStyle w:val="NumeroAFNegritaCaracter"/>
        </w:rPr>
        <w:t>1</w:t>
      </w:r>
      <w:r>
        <w:t>. Mediante escrito registrado en este tribunal el 29 de junio de 2022 la procuradora de los tribunales doña Patricia Rosch Iglesias, en nombre y representación de don Marcelo Guevara Duque y bajo la dirección del letrado don Félix Ordoño Martínez, formuló demanda de amparo contra providencias de la Sección Primera de la Sala de lo Contencioso-Administrativo del Tribunal Supremo en recurso de casación núm. 1099-2022.</w:t>
      </w:r>
    </w:p>
    <w:p w14:paraId="32F520F6" w14:textId="77777777" w:rsidR="00F64776" w:rsidRDefault="00F64776" w:rsidP="00F64776">
      <w:pPr>
        <w:pStyle w:val="TextoNormal"/>
      </w:pPr>
    </w:p>
    <w:p w14:paraId="38787D05" w14:textId="030B9486" w:rsidR="00F64776" w:rsidRDefault="00F64776" w:rsidP="00F64776">
      <w:pPr>
        <w:pStyle w:val="TextoNormal"/>
      </w:pPr>
      <w:r w:rsidRPr="00F64776">
        <w:rPr>
          <w:rStyle w:val="NumeroAFNegritaCaracter"/>
        </w:rPr>
        <w:t>2</w:t>
      </w:r>
      <w:r>
        <w:t>. Por escrito de 1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2EC4C630" w14:textId="77777777" w:rsidR="00F64776" w:rsidRDefault="00F64776" w:rsidP="00F64776">
      <w:pPr>
        <w:pStyle w:val="TextoNormal"/>
      </w:pPr>
    </w:p>
    <w:p w14:paraId="76663DB5" w14:textId="77777777" w:rsidR="00F64776" w:rsidRDefault="00F64776" w:rsidP="00F64776">
      <w:pPr>
        <w:pStyle w:val="TextoNormalNegritaCentrado"/>
        <w:keepNext/>
      </w:pPr>
      <w:r>
        <w:t>II. Fundamentos jurídicos</w:t>
      </w:r>
    </w:p>
    <w:p w14:paraId="228F7766" w14:textId="74E4538D" w:rsidR="00F64776" w:rsidRDefault="00F64776" w:rsidP="00F64776">
      <w:pPr>
        <w:pStyle w:val="TextoNormalNegritaCentrado"/>
        <w:keepNext/>
      </w:pPr>
    </w:p>
    <w:p w14:paraId="278766D0" w14:textId="19532C2D"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718FAC0A" w14:textId="77777777" w:rsidR="00F64776" w:rsidRDefault="00F64776" w:rsidP="00F64776">
      <w:pPr>
        <w:pStyle w:val="TextoNormal"/>
      </w:pPr>
    </w:p>
    <w:p w14:paraId="1ED91850" w14:textId="77777777" w:rsidR="00F64776" w:rsidRDefault="00F64776" w:rsidP="00F64776">
      <w:pPr>
        <w:pStyle w:val="TextoNormal"/>
      </w:pPr>
      <w:r>
        <w:t>Por lo expuesto, la Sección</w:t>
      </w:r>
    </w:p>
    <w:p w14:paraId="21BCA477" w14:textId="5CFE3236" w:rsidR="00F64776" w:rsidRDefault="00F64776" w:rsidP="00F64776">
      <w:pPr>
        <w:pStyle w:val="TextoNormal"/>
      </w:pPr>
    </w:p>
    <w:p w14:paraId="63B7402F" w14:textId="77777777" w:rsidR="00F64776" w:rsidRDefault="00F64776" w:rsidP="00F64776">
      <w:pPr>
        <w:pStyle w:val="TextoNormalCentrado"/>
      </w:pPr>
      <w:r>
        <w:t>ACUERDA</w:t>
      </w:r>
    </w:p>
    <w:p w14:paraId="345C76B8" w14:textId="5A435240" w:rsidR="00F64776" w:rsidRDefault="00F64776" w:rsidP="00F64776">
      <w:pPr>
        <w:pStyle w:val="TextoNormalCentrado"/>
      </w:pPr>
    </w:p>
    <w:p w14:paraId="1ACB0292" w14:textId="792E52EF" w:rsidR="00F64776" w:rsidRDefault="00F64776" w:rsidP="00F64776">
      <w:pPr>
        <w:pStyle w:val="TextoNormal"/>
      </w:pPr>
      <w:r>
        <w:t>Estimar justificada la abstención formulada por el magistrado don César Tolosa Tribiño en el recurso de amparo núm. 4706-2022 y apartarle definitivamente del conocimiento del referido recurso y de todas sus incidencias.</w:t>
      </w:r>
    </w:p>
    <w:p w14:paraId="3DDE0E24" w14:textId="77777777" w:rsidR="00F64776" w:rsidRDefault="00F64776" w:rsidP="00F64776">
      <w:pPr>
        <w:pStyle w:val="TextoNormal"/>
      </w:pPr>
    </w:p>
    <w:p w14:paraId="68365CE3" w14:textId="77777777" w:rsidR="00F64776" w:rsidRDefault="00F64776" w:rsidP="00F64776">
      <w:pPr>
        <w:pStyle w:val="TextoNormal"/>
      </w:pPr>
      <w:r>
        <w:t>Madrid, a cuatro de diciembre de dos mil veintitrés.</w:t>
      </w:r>
    </w:p>
    <w:p w14:paraId="0CEBF320" w14:textId="52DAD4C9" w:rsidR="00F64776" w:rsidRDefault="00F64776">
      <w:pPr>
        <w:spacing w:after="160" w:line="278" w:lineRule="auto"/>
        <w:rPr>
          <w:rFonts w:ascii="Times New Roman" w:eastAsia="Times New Roman" w:hAnsi="Times New Roman" w:cs="Times New Roman"/>
          <w:sz w:val="24"/>
          <w:szCs w:val="24"/>
          <w:lang w:eastAsia="es-ES"/>
        </w:rPr>
      </w:pPr>
      <w:r>
        <w:br w:type="page"/>
      </w:r>
    </w:p>
    <w:p w14:paraId="6512D1D9" w14:textId="77777777" w:rsidR="00F64776" w:rsidRDefault="00F64776" w:rsidP="00F64776">
      <w:pPr>
        <w:pStyle w:val="TtuloResolucin"/>
      </w:pPr>
      <w:bookmarkStart w:id="408" w:name="AUTO_2023_623"/>
      <w:r>
        <w:t>AUTO 623/2023, de 4 de diciembre de 2023</w:t>
      </w:r>
    </w:p>
    <w:bookmarkEnd w:id="408"/>
    <w:p w14:paraId="5804D877" w14:textId="77777777" w:rsidR="00F64776" w:rsidRDefault="00F64776" w:rsidP="00F64776">
      <w:pPr>
        <w:pStyle w:val="TtuloResolucin"/>
      </w:pPr>
      <w:r>
        <w:t>Sección Tercera</w:t>
      </w:r>
    </w:p>
    <w:p w14:paraId="3D23054B" w14:textId="77777777" w:rsidR="00F64776" w:rsidRDefault="00F64776" w:rsidP="00F64776">
      <w:pPr>
        <w:pStyle w:val="TextoNormalCentrado"/>
      </w:pPr>
      <w:r>
        <w:t>ECLI:ES:TC:2023:623A</w:t>
      </w:r>
    </w:p>
    <w:p w14:paraId="5D770C8D" w14:textId="3B295EB4" w:rsidR="00F64776" w:rsidRDefault="00F64776" w:rsidP="00F64776">
      <w:pPr>
        <w:pStyle w:val="TextoNormalCentrado"/>
      </w:pPr>
    </w:p>
    <w:p w14:paraId="767127DF" w14:textId="77777777" w:rsidR="00F64776" w:rsidRDefault="00F64776" w:rsidP="00F64776">
      <w:pPr>
        <w:pStyle w:val="SntesisDescriptiva"/>
      </w:pPr>
      <w:r>
        <w:t>Excms. Srs. doña Inmaculada Montalbán Huertas y doña Laura Díez Bueso.</w:t>
      </w:r>
    </w:p>
    <w:p w14:paraId="142FF747" w14:textId="0F2E1891" w:rsidR="00F64776" w:rsidRDefault="00F64776" w:rsidP="00F64776">
      <w:pPr>
        <w:pStyle w:val="SntesisDescriptiva"/>
      </w:pPr>
    </w:p>
    <w:p w14:paraId="2D14C459" w14:textId="77777777" w:rsidR="00F64776" w:rsidRDefault="00F64776" w:rsidP="00F64776">
      <w:pPr>
        <w:pStyle w:val="SntesisDescriptiva"/>
      </w:pPr>
      <w:r>
        <w:t>Acepta una abstención en el recurso de amparo 4850-2022, promovido en proceso contencioso administrativo.</w:t>
      </w:r>
    </w:p>
    <w:p w14:paraId="602AC8C9" w14:textId="6465B670" w:rsidR="00F64776" w:rsidRDefault="00F64776" w:rsidP="00F64776">
      <w:pPr>
        <w:pStyle w:val="SntesisDescriptiva"/>
      </w:pPr>
    </w:p>
    <w:p w14:paraId="4D037A4B" w14:textId="77777777" w:rsidR="00F64776" w:rsidRDefault="00F64776" w:rsidP="00F64776">
      <w:pPr>
        <w:pStyle w:val="SntesisDescriptiva"/>
      </w:pPr>
    </w:p>
    <w:p w14:paraId="1626B5BC" w14:textId="77777777" w:rsidR="00F64776" w:rsidRDefault="00F64776" w:rsidP="00F64776">
      <w:pPr>
        <w:pStyle w:val="SntesisDescriptiva"/>
      </w:pPr>
    </w:p>
    <w:p w14:paraId="2D492299" w14:textId="77777777" w:rsidR="00F64776" w:rsidRDefault="00F64776" w:rsidP="00F64776">
      <w:pPr>
        <w:pStyle w:val="TextoNormalNegritaCentrado"/>
      </w:pPr>
      <w:r>
        <w:t>AUTO</w:t>
      </w:r>
    </w:p>
    <w:p w14:paraId="6CFA8903" w14:textId="62673AD7" w:rsidR="00F64776" w:rsidRDefault="00F64776" w:rsidP="00F64776">
      <w:pPr>
        <w:pStyle w:val="TextoNormalNegritaCentrado"/>
      </w:pPr>
    </w:p>
    <w:p w14:paraId="6270A819" w14:textId="77777777" w:rsidR="00F64776" w:rsidRDefault="00F64776" w:rsidP="00F64776">
      <w:pPr>
        <w:pStyle w:val="TextoNormalNegritaCentrado"/>
        <w:keepNext/>
      </w:pPr>
      <w:r>
        <w:t>I. Antecedentes</w:t>
      </w:r>
    </w:p>
    <w:p w14:paraId="3671E0A1" w14:textId="49C33FBA" w:rsidR="00F64776" w:rsidRDefault="00F64776" w:rsidP="00F64776">
      <w:pPr>
        <w:pStyle w:val="TextoNormalNegritaCentrado"/>
        <w:keepNext/>
      </w:pPr>
    </w:p>
    <w:p w14:paraId="70D57CFB" w14:textId="708488C3" w:rsidR="00F64776" w:rsidRDefault="00F64776" w:rsidP="00F64776">
      <w:pPr>
        <w:pStyle w:val="TextoNormal"/>
      </w:pPr>
      <w:r w:rsidRPr="00F64776">
        <w:rPr>
          <w:rStyle w:val="NumeroAFNegritaCaracter"/>
        </w:rPr>
        <w:t>1</w:t>
      </w:r>
      <w:r>
        <w:t>. Mediante escrito registrado en este tribunal el 4 de julio de 2022 el procurador de los tribunales don Clemente de la Cruz Rodríguez Arce, en nombre y representación de don Juan Antonio Morales Morales y bajo la dirección del letrado don José Antonio Cumplido González, formuló demanda de amparo contra providencia de la Sección Primera de la Sala de lo Contencioso-Administrativo del Tribunal Supremo en recurso de casación núm. 5916-2021 contra sentencia de la Sección Quinta de la Sala de lo Contencioso-Administrativo de la Audiencia Nacional, recurso de apelación núm. 34-2021.</w:t>
      </w:r>
    </w:p>
    <w:p w14:paraId="64C54697" w14:textId="77777777" w:rsidR="00F64776" w:rsidRDefault="00F64776" w:rsidP="00F64776">
      <w:pPr>
        <w:pStyle w:val="TextoNormal"/>
      </w:pPr>
    </w:p>
    <w:p w14:paraId="38B026BA" w14:textId="68C5C656" w:rsidR="00F64776" w:rsidRDefault="00F64776" w:rsidP="00F64776">
      <w:pPr>
        <w:pStyle w:val="TextoNormal"/>
      </w:pPr>
      <w:r w:rsidRPr="00F64776">
        <w:rPr>
          <w:rStyle w:val="NumeroAFNegritaCaracter"/>
        </w:rPr>
        <w:t>2</w:t>
      </w:r>
      <w:r>
        <w:t>. Por escrito de 1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4A88A147" w14:textId="77777777" w:rsidR="00F64776" w:rsidRDefault="00F64776" w:rsidP="00F64776">
      <w:pPr>
        <w:pStyle w:val="TextoNormal"/>
      </w:pPr>
    </w:p>
    <w:p w14:paraId="724EAAE6" w14:textId="77777777" w:rsidR="00F64776" w:rsidRDefault="00F64776" w:rsidP="00F64776">
      <w:pPr>
        <w:pStyle w:val="TextoNormalNegritaCentrado"/>
        <w:keepNext/>
      </w:pPr>
      <w:r>
        <w:t>II. Fundamentos jurídicos</w:t>
      </w:r>
    </w:p>
    <w:p w14:paraId="720E6E24" w14:textId="2EA45B48" w:rsidR="00F64776" w:rsidRDefault="00F64776" w:rsidP="00F64776">
      <w:pPr>
        <w:pStyle w:val="TextoNormalNegritaCentrado"/>
        <w:keepNext/>
      </w:pPr>
    </w:p>
    <w:p w14:paraId="74AB01CF" w14:textId="19ED5135"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03300CF1" w14:textId="77777777" w:rsidR="00F64776" w:rsidRDefault="00F64776" w:rsidP="00F64776">
      <w:pPr>
        <w:pStyle w:val="TextoNormal"/>
      </w:pPr>
    </w:p>
    <w:p w14:paraId="3E14FF4D" w14:textId="77777777" w:rsidR="00F64776" w:rsidRDefault="00F64776" w:rsidP="00F64776">
      <w:pPr>
        <w:pStyle w:val="TextoNormal"/>
      </w:pPr>
      <w:r>
        <w:t>Por lo expuesto, la Sección</w:t>
      </w:r>
    </w:p>
    <w:p w14:paraId="2A4B015D" w14:textId="1A8010E6" w:rsidR="00F64776" w:rsidRDefault="00F64776" w:rsidP="00F64776">
      <w:pPr>
        <w:pStyle w:val="TextoNormal"/>
      </w:pPr>
    </w:p>
    <w:p w14:paraId="7A9CD4D4" w14:textId="77777777" w:rsidR="00F64776" w:rsidRDefault="00F64776" w:rsidP="00F64776">
      <w:pPr>
        <w:pStyle w:val="TextoNormalCentrado"/>
      </w:pPr>
      <w:r>
        <w:t>ACUERDA</w:t>
      </w:r>
    </w:p>
    <w:p w14:paraId="5F456C43" w14:textId="05572115" w:rsidR="00F64776" w:rsidRDefault="00F64776" w:rsidP="00F64776">
      <w:pPr>
        <w:pStyle w:val="TextoNormalCentrado"/>
      </w:pPr>
    </w:p>
    <w:p w14:paraId="2AFEF43B" w14:textId="11EC48B0" w:rsidR="00F64776" w:rsidRDefault="00F64776" w:rsidP="00F64776">
      <w:pPr>
        <w:pStyle w:val="TextoNormal"/>
      </w:pPr>
      <w:r>
        <w:t>Estimar justificada la abstención formulada por el magistrado don César Tolosa Tribiño en el recurso de amparo núm. 4850-2022 y apartarle definitivamente del conocimiento del referido recurso y de todas sus incidencias.</w:t>
      </w:r>
    </w:p>
    <w:p w14:paraId="025CB135" w14:textId="77777777" w:rsidR="00F64776" w:rsidRDefault="00F64776" w:rsidP="00F64776">
      <w:pPr>
        <w:pStyle w:val="TextoNormal"/>
      </w:pPr>
    </w:p>
    <w:p w14:paraId="44629A6E" w14:textId="77777777" w:rsidR="00F64776" w:rsidRDefault="00F64776" w:rsidP="00F64776">
      <w:pPr>
        <w:pStyle w:val="TextoNormal"/>
      </w:pPr>
      <w:r>
        <w:t>Madrid, a cuatro de diciembre de dos mil veintitrés.</w:t>
      </w:r>
    </w:p>
    <w:p w14:paraId="3282D5AA" w14:textId="604B9E44" w:rsidR="00F64776" w:rsidRDefault="00F64776">
      <w:pPr>
        <w:spacing w:after="160" w:line="278" w:lineRule="auto"/>
        <w:rPr>
          <w:rFonts w:ascii="Times New Roman" w:eastAsia="Times New Roman" w:hAnsi="Times New Roman" w:cs="Times New Roman"/>
          <w:sz w:val="24"/>
          <w:szCs w:val="24"/>
          <w:lang w:eastAsia="es-ES"/>
        </w:rPr>
      </w:pPr>
      <w:r>
        <w:br w:type="page"/>
      </w:r>
    </w:p>
    <w:p w14:paraId="0C04EE2B" w14:textId="77777777" w:rsidR="00F64776" w:rsidRDefault="00F64776" w:rsidP="00F64776">
      <w:pPr>
        <w:pStyle w:val="TtuloResolucin"/>
      </w:pPr>
      <w:bookmarkStart w:id="409" w:name="AUTO_2023_624"/>
      <w:r>
        <w:t>AUTO 624/2023, de 4 de diciembre de 2023</w:t>
      </w:r>
    </w:p>
    <w:bookmarkEnd w:id="409"/>
    <w:p w14:paraId="0A21E9F3" w14:textId="77777777" w:rsidR="00F64776" w:rsidRDefault="00F64776" w:rsidP="00F64776">
      <w:pPr>
        <w:pStyle w:val="TtuloResolucin"/>
      </w:pPr>
      <w:r>
        <w:t>Sección Tercera</w:t>
      </w:r>
    </w:p>
    <w:p w14:paraId="42A1674A" w14:textId="77777777" w:rsidR="00F64776" w:rsidRDefault="00F64776" w:rsidP="00F64776">
      <w:pPr>
        <w:pStyle w:val="TextoNormalCentrado"/>
      </w:pPr>
      <w:r>
        <w:t>ECLI:ES:TC:2023:624A</w:t>
      </w:r>
    </w:p>
    <w:p w14:paraId="1D0DBF9B" w14:textId="337C4CF7" w:rsidR="00F64776" w:rsidRDefault="00F64776" w:rsidP="00F64776">
      <w:pPr>
        <w:pStyle w:val="TextoNormalCentrado"/>
      </w:pPr>
    </w:p>
    <w:p w14:paraId="117161D2" w14:textId="77777777" w:rsidR="00F64776" w:rsidRDefault="00F64776" w:rsidP="00F64776">
      <w:pPr>
        <w:pStyle w:val="SntesisDescriptiva"/>
      </w:pPr>
      <w:r>
        <w:t>Excms. Srs. doña Inmaculada Montalbán Huertas y doña Laura Díez Bueso.</w:t>
      </w:r>
    </w:p>
    <w:p w14:paraId="580506DB" w14:textId="53E4F3FF" w:rsidR="00F64776" w:rsidRDefault="00F64776" w:rsidP="00F64776">
      <w:pPr>
        <w:pStyle w:val="SntesisDescriptiva"/>
      </w:pPr>
    </w:p>
    <w:p w14:paraId="7A894879" w14:textId="77777777" w:rsidR="00F64776" w:rsidRDefault="00F64776" w:rsidP="00F64776">
      <w:pPr>
        <w:pStyle w:val="SntesisDescriptiva"/>
      </w:pPr>
      <w:r>
        <w:t>Acepta una abstención en el recurso de amparo 7603-2022, promovido en proceso contencioso administrativo.</w:t>
      </w:r>
    </w:p>
    <w:p w14:paraId="2702E839" w14:textId="35939A0A" w:rsidR="00F64776" w:rsidRDefault="00F64776" w:rsidP="00F64776">
      <w:pPr>
        <w:pStyle w:val="SntesisDescriptiva"/>
      </w:pPr>
    </w:p>
    <w:p w14:paraId="599F9866" w14:textId="77777777" w:rsidR="00F64776" w:rsidRDefault="00F64776" w:rsidP="00F64776">
      <w:pPr>
        <w:pStyle w:val="SntesisDescriptiva"/>
      </w:pPr>
    </w:p>
    <w:p w14:paraId="3ED6A860" w14:textId="77777777" w:rsidR="00F64776" w:rsidRDefault="00F64776" w:rsidP="00F64776">
      <w:pPr>
        <w:pStyle w:val="SntesisDescriptiva"/>
      </w:pPr>
    </w:p>
    <w:p w14:paraId="1C32AABE" w14:textId="77777777" w:rsidR="00F64776" w:rsidRDefault="00F64776" w:rsidP="00F64776">
      <w:pPr>
        <w:pStyle w:val="TextoNormalNegritaCentrado"/>
      </w:pPr>
      <w:r>
        <w:t>AUTO</w:t>
      </w:r>
    </w:p>
    <w:p w14:paraId="2A2E2ED3" w14:textId="48C72DBE" w:rsidR="00F64776" w:rsidRDefault="00F64776" w:rsidP="00F64776">
      <w:pPr>
        <w:pStyle w:val="TextoNormalNegritaCentrado"/>
      </w:pPr>
    </w:p>
    <w:p w14:paraId="36498867" w14:textId="77777777" w:rsidR="00F64776" w:rsidRDefault="00F64776" w:rsidP="00F64776">
      <w:pPr>
        <w:pStyle w:val="TextoNormalNegritaCentrado"/>
        <w:keepNext/>
      </w:pPr>
      <w:r>
        <w:t>I. Antecedentes</w:t>
      </w:r>
    </w:p>
    <w:p w14:paraId="478BEAAA" w14:textId="5DB650E0" w:rsidR="00F64776" w:rsidRDefault="00F64776" w:rsidP="00F64776">
      <w:pPr>
        <w:pStyle w:val="TextoNormalNegritaCentrado"/>
        <w:keepNext/>
      </w:pPr>
    </w:p>
    <w:p w14:paraId="3BD9188B" w14:textId="00442463" w:rsidR="00F64776" w:rsidRDefault="00F64776" w:rsidP="00F64776">
      <w:pPr>
        <w:pStyle w:val="TextoNormal"/>
      </w:pPr>
      <w:r w:rsidRPr="00F64776">
        <w:rPr>
          <w:rStyle w:val="NumeroAFNegritaCaracter"/>
        </w:rPr>
        <w:t>1</w:t>
      </w:r>
      <w:r>
        <w:t>. Mediante escrito registrado en este tribunal el 18 de noviembre de 2022 la procuradora de los tribunales doña María Inmaculada Mozos Serna, en nombre y representación de don Siradio Bah y bajo la dirección de la letrada doña María Esperanza Pies Hernández, formuló demanda de amparo contra la providencia de 11 de octubre de 2022, dictada por la Sala de lo Contencioso-Administrativo del Tribunal Supremo en recurso de casación núm. 4107-2022 contra la sentencia dictada por la Sección Primera de la Sala de lo Contencioso-Administrativo de la Audiencia Nacional en procedimiento ordinario núm. 952-2020.</w:t>
      </w:r>
    </w:p>
    <w:p w14:paraId="6BE1BA34" w14:textId="77777777" w:rsidR="00F64776" w:rsidRDefault="00F64776" w:rsidP="00F64776">
      <w:pPr>
        <w:pStyle w:val="TextoNormal"/>
      </w:pPr>
    </w:p>
    <w:p w14:paraId="25451663" w14:textId="39F0A037" w:rsidR="00F64776" w:rsidRDefault="00F64776" w:rsidP="00F64776">
      <w:pPr>
        <w:pStyle w:val="TextoNormal"/>
      </w:pPr>
      <w:r w:rsidRPr="00F64776">
        <w:rPr>
          <w:rStyle w:val="NumeroAFNegritaCaracter"/>
        </w:rPr>
        <w:t>2</w:t>
      </w:r>
      <w:r>
        <w:t>. Por escrito de 1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14030ADB" w14:textId="77777777" w:rsidR="00F64776" w:rsidRDefault="00F64776" w:rsidP="00F64776">
      <w:pPr>
        <w:pStyle w:val="TextoNormal"/>
      </w:pPr>
    </w:p>
    <w:p w14:paraId="5D9246D5" w14:textId="77777777" w:rsidR="00F64776" w:rsidRDefault="00F64776" w:rsidP="00F64776">
      <w:pPr>
        <w:pStyle w:val="TextoNormalNegritaCentrado"/>
        <w:keepNext/>
      </w:pPr>
      <w:r>
        <w:t>II. Fundamentos jurídicos</w:t>
      </w:r>
    </w:p>
    <w:p w14:paraId="29C3974B" w14:textId="4F8FE007" w:rsidR="00F64776" w:rsidRDefault="00F64776" w:rsidP="00F64776">
      <w:pPr>
        <w:pStyle w:val="TextoNormalNegritaCentrado"/>
        <w:keepNext/>
      </w:pPr>
    </w:p>
    <w:p w14:paraId="34163EEC" w14:textId="33B208BE"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1AAB1AD9" w14:textId="77777777" w:rsidR="00F64776" w:rsidRDefault="00F64776" w:rsidP="00F64776">
      <w:pPr>
        <w:pStyle w:val="TextoNormal"/>
      </w:pPr>
    </w:p>
    <w:p w14:paraId="33891F75" w14:textId="77777777" w:rsidR="00F64776" w:rsidRDefault="00F64776" w:rsidP="00F64776">
      <w:pPr>
        <w:pStyle w:val="TextoNormal"/>
      </w:pPr>
      <w:r>
        <w:t>Por lo expuesto, la Sección</w:t>
      </w:r>
    </w:p>
    <w:p w14:paraId="59D54511" w14:textId="65C78D6B" w:rsidR="00F64776" w:rsidRDefault="00F64776" w:rsidP="00F64776">
      <w:pPr>
        <w:pStyle w:val="TextoNormal"/>
      </w:pPr>
    </w:p>
    <w:p w14:paraId="1259049E" w14:textId="77777777" w:rsidR="00F64776" w:rsidRDefault="00F64776" w:rsidP="00F64776">
      <w:pPr>
        <w:pStyle w:val="TextoNormalCentrado"/>
      </w:pPr>
      <w:r>
        <w:t>ACUERDA</w:t>
      </w:r>
    </w:p>
    <w:p w14:paraId="0A9438BD" w14:textId="735155E4" w:rsidR="00F64776" w:rsidRDefault="00F64776" w:rsidP="00F64776">
      <w:pPr>
        <w:pStyle w:val="TextoNormalCentrado"/>
      </w:pPr>
    </w:p>
    <w:p w14:paraId="23B0CF84" w14:textId="5115CC53" w:rsidR="00F64776" w:rsidRDefault="00F64776" w:rsidP="00F64776">
      <w:pPr>
        <w:pStyle w:val="TextoNormal"/>
      </w:pPr>
      <w:r>
        <w:t>Estimar justificada la abstención formulada por el magistrado don César Tolosa Tribiño en el recurso de amparo núm. 7603-2022 y apartarle definitivamente del conocimiento del referido recurso y de todas sus incidencias.</w:t>
      </w:r>
    </w:p>
    <w:p w14:paraId="2B72C19E" w14:textId="77777777" w:rsidR="00F64776" w:rsidRDefault="00F64776" w:rsidP="00F64776">
      <w:pPr>
        <w:pStyle w:val="TextoNormal"/>
      </w:pPr>
    </w:p>
    <w:p w14:paraId="512DAE5B" w14:textId="77777777" w:rsidR="00F64776" w:rsidRDefault="00F64776" w:rsidP="00F64776">
      <w:pPr>
        <w:pStyle w:val="TextoNormal"/>
      </w:pPr>
      <w:r>
        <w:t>Madrid, a cuatro de diciembre de dos mil veintitrés.</w:t>
      </w:r>
    </w:p>
    <w:p w14:paraId="2D7B1158" w14:textId="655530D0" w:rsidR="00F64776" w:rsidRDefault="00F64776">
      <w:pPr>
        <w:spacing w:after="160" w:line="278" w:lineRule="auto"/>
        <w:rPr>
          <w:rFonts w:ascii="Times New Roman" w:eastAsia="Times New Roman" w:hAnsi="Times New Roman" w:cs="Times New Roman"/>
          <w:sz w:val="24"/>
          <w:szCs w:val="24"/>
          <w:lang w:eastAsia="es-ES"/>
        </w:rPr>
      </w:pPr>
      <w:r>
        <w:br w:type="page"/>
      </w:r>
    </w:p>
    <w:p w14:paraId="3C6CF56C" w14:textId="77777777" w:rsidR="00F64776" w:rsidRDefault="00F64776" w:rsidP="00F64776">
      <w:pPr>
        <w:pStyle w:val="TtuloResolucin"/>
      </w:pPr>
      <w:bookmarkStart w:id="410" w:name="AUTO_2023_625"/>
      <w:r>
        <w:t>AUTO 625/2023, de 4 de diciembre de 2023</w:t>
      </w:r>
    </w:p>
    <w:bookmarkEnd w:id="410"/>
    <w:p w14:paraId="0F71839E" w14:textId="77777777" w:rsidR="00F64776" w:rsidRDefault="00F64776" w:rsidP="00F64776">
      <w:pPr>
        <w:pStyle w:val="TtuloResolucin"/>
      </w:pPr>
      <w:r>
        <w:t>Sección Tercera</w:t>
      </w:r>
    </w:p>
    <w:p w14:paraId="3BC19A42" w14:textId="77777777" w:rsidR="00F64776" w:rsidRDefault="00F64776" w:rsidP="00F64776">
      <w:pPr>
        <w:pStyle w:val="TextoNormalCentrado"/>
      </w:pPr>
      <w:r>
        <w:t>ECLI:ES:TC:2023:625A</w:t>
      </w:r>
    </w:p>
    <w:p w14:paraId="0800839D" w14:textId="16C5C274" w:rsidR="00F64776" w:rsidRDefault="00F64776" w:rsidP="00F64776">
      <w:pPr>
        <w:pStyle w:val="TextoNormalCentrado"/>
      </w:pPr>
    </w:p>
    <w:p w14:paraId="1103049D" w14:textId="77777777" w:rsidR="00F64776" w:rsidRDefault="00F64776" w:rsidP="00F64776">
      <w:pPr>
        <w:pStyle w:val="SntesisDescriptiva"/>
      </w:pPr>
      <w:r>
        <w:t>Excms. Srs. doña Inmaculada Montalbán Huertas y doña Laura Díez Bueso.</w:t>
      </w:r>
    </w:p>
    <w:p w14:paraId="0A1A9717" w14:textId="39230EFE" w:rsidR="00F64776" w:rsidRDefault="00F64776" w:rsidP="00F64776">
      <w:pPr>
        <w:pStyle w:val="SntesisDescriptiva"/>
      </w:pPr>
    </w:p>
    <w:p w14:paraId="4923A458" w14:textId="77777777" w:rsidR="00F64776" w:rsidRDefault="00F64776" w:rsidP="00F64776">
      <w:pPr>
        <w:pStyle w:val="SntesisDescriptiva"/>
      </w:pPr>
      <w:r>
        <w:t>Acepta una abstención en el recurso de amparo 8100-2022, promovido en proceso contencioso administrativo.</w:t>
      </w:r>
    </w:p>
    <w:p w14:paraId="10A58B84" w14:textId="39E60A3D" w:rsidR="00F64776" w:rsidRDefault="00F64776" w:rsidP="00F64776">
      <w:pPr>
        <w:pStyle w:val="SntesisDescriptiva"/>
      </w:pPr>
    </w:p>
    <w:p w14:paraId="6BE12A88" w14:textId="77777777" w:rsidR="00F64776" w:rsidRDefault="00F64776" w:rsidP="00F64776">
      <w:pPr>
        <w:pStyle w:val="SntesisDescriptiva"/>
      </w:pPr>
    </w:p>
    <w:p w14:paraId="2C3D9A0C" w14:textId="77777777" w:rsidR="00F64776" w:rsidRDefault="00F64776" w:rsidP="00F64776">
      <w:pPr>
        <w:pStyle w:val="SntesisDescriptiva"/>
      </w:pPr>
    </w:p>
    <w:p w14:paraId="54E6826B" w14:textId="77777777" w:rsidR="00F64776" w:rsidRDefault="00F64776" w:rsidP="00F64776">
      <w:pPr>
        <w:pStyle w:val="TextoNormalNegritaCentrado"/>
      </w:pPr>
      <w:r>
        <w:t>AUTO</w:t>
      </w:r>
    </w:p>
    <w:p w14:paraId="70858EF9" w14:textId="4ECACB4F" w:rsidR="00F64776" w:rsidRDefault="00F64776" w:rsidP="00F64776">
      <w:pPr>
        <w:pStyle w:val="TextoNormalNegritaCentrado"/>
      </w:pPr>
    </w:p>
    <w:p w14:paraId="441333A5" w14:textId="77777777" w:rsidR="00F64776" w:rsidRDefault="00F64776" w:rsidP="00F64776">
      <w:pPr>
        <w:pStyle w:val="TextoNormalNegritaCentrado"/>
        <w:keepNext/>
      </w:pPr>
      <w:r>
        <w:t>I. Antecedentes</w:t>
      </w:r>
    </w:p>
    <w:p w14:paraId="53E9E559" w14:textId="4F106C2F" w:rsidR="00F64776" w:rsidRDefault="00F64776" w:rsidP="00F64776">
      <w:pPr>
        <w:pStyle w:val="TextoNormalNegritaCentrado"/>
        <w:keepNext/>
      </w:pPr>
    </w:p>
    <w:p w14:paraId="6182A5FC" w14:textId="013F5F46" w:rsidR="00F64776" w:rsidRDefault="00F64776" w:rsidP="00F64776">
      <w:pPr>
        <w:pStyle w:val="TextoNormal"/>
      </w:pPr>
      <w:r w:rsidRPr="00F64776">
        <w:rPr>
          <w:rStyle w:val="NumeroAFNegritaCaracter"/>
        </w:rPr>
        <w:t>1</w:t>
      </w:r>
      <w:r>
        <w:t>. Mediante escrito registrado en este tribunal el 6 de diciembre de 2022 la procuradora de los tribunales doña María de la Concepción Bueno García, en nombre y representación de Amina El Karrat y otros y bajo la dirección del letrado don Manuel Figueras Álvarez, formuló demanda de amparo contra providencia de la Sección Primera de la Sala de lo Contencioso-Administrativo del Tribunal Supremo dictada en el recurso de casación núm. 2727-2022 interpuesto contra la sentencia dictada por la Sala de lo Contencioso-Administrativo de la Audiencia Nacional Sección Quinta, en procedimiento ordinario núm. 707-2020.</w:t>
      </w:r>
    </w:p>
    <w:p w14:paraId="05D4DD29" w14:textId="77777777" w:rsidR="00F64776" w:rsidRDefault="00F64776" w:rsidP="00F64776">
      <w:pPr>
        <w:pStyle w:val="TextoNormal"/>
      </w:pPr>
    </w:p>
    <w:p w14:paraId="5B878898" w14:textId="2A8C5E83" w:rsidR="00F64776" w:rsidRDefault="00F64776" w:rsidP="00F64776">
      <w:pPr>
        <w:pStyle w:val="TextoNormal"/>
      </w:pPr>
      <w:r w:rsidRPr="00F64776">
        <w:rPr>
          <w:rStyle w:val="NumeroAFNegritaCaracter"/>
        </w:rPr>
        <w:t>2</w:t>
      </w:r>
      <w:r>
        <w:t>. Por escrito de 1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729CD814" w14:textId="77777777" w:rsidR="00F64776" w:rsidRDefault="00F64776" w:rsidP="00F64776">
      <w:pPr>
        <w:pStyle w:val="TextoNormal"/>
      </w:pPr>
    </w:p>
    <w:p w14:paraId="36A76B76" w14:textId="77777777" w:rsidR="00F64776" w:rsidRDefault="00F64776" w:rsidP="00F64776">
      <w:pPr>
        <w:pStyle w:val="TextoNormalNegritaCentrado"/>
        <w:keepNext/>
      </w:pPr>
      <w:r>
        <w:t>II. Fundamentos jurídicos</w:t>
      </w:r>
    </w:p>
    <w:p w14:paraId="4151BDBC" w14:textId="77E8BCFF" w:rsidR="00F64776" w:rsidRDefault="00F64776" w:rsidP="00F64776">
      <w:pPr>
        <w:pStyle w:val="TextoNormalNegritaCentrado"/>
        <w:keepNext/>
      </w:pPr>
    </w:p>
    <w:p w14:paraId="0260764E" w14:textId="314C91F6"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46D289F0" w14:textId="77777777" w:rsidR="00F64776" w:rsidRDefault="00F64776" w:rsidP="00F64776">
      <w:pPr>
        <w:pStyle w:val="TextoNormal"/>
      </w:pPr>
    </w:p>
    <w:p w14:paraId="50853AD3" w14:textId="77777777" w:rsidR="00F64776" w:rsidRDefault="00F64776" w:rsidP="00F64776">
      <w:pPr>
        <w:pStyle w:val="TextoNormal"/>
      </w:pPr>
      <w:r>
        <w:t>Por lo expuesto, la Sección</w:t>
      </w:r>
    </w:p>
    <w:p w14:paraId="7AFD8AD3" w14:textId="6BC3C5B9" w:rsidR="00F64776" w:rsidRDefault="00F64776" w:rsidP="00F64776">
      <w:pPr>
        <w:pStyle w:val="TextoNormal"/>
      </w:pPr>
    </w:p>
    <w:p w14:paraId="5FAA292B" w14:textId="77777777" w:rsidR="00F64776" w:rsidRDefault="00F64776" w:rsidP="00F64776">
      <w:pPr>
        <w:pStyle w:val="TextoNormalCentrado"/>
      </w:pPr>
      <w:r>
        <w:t>ACUERDA</w:t>
      </w:r>
    </w:p>
    <w:p w14:paraId="7853A0F2" w14:textId="3B524EEA" w:rsidR="00F64776" w:rsidRDefault="00F64776" w:rsidP="00F64776">
      <w:pPr>
        <w:pStyle w:val="TextoNormalCentrado"/>
      </w:pPr>
    </w:p>
    <w:p w14:paraId="6B80B641" w14:textId="43DCC377" w:rsidR="00F64776" w:rsidRDefault="00F64776" w:rsidP="00F64776">
      <w:pPr>
        <w:pStyle w:val="TextoNormal"/>
      </w:pPr>
      <w:r>
        <w:t>Estimar justificada la abstención formulada por el magistrado don César Tolosa Tribiño en el recurso de amparo núm. 8100-2022 y apartarle definitivamente del conocimiento del referido recurso y de todas sus incidencias.</w:t>
      </w:r>
    </w:p>
    <w:p w14:paraId="4316C23F" w14:textId="77777777" w:rsidR="00F64776" w:rsidRDefault="00F64776" w:rsidP="00F64776">
      <w:pPr>
        <w:pStyle w:val="TextoNormal"/>
      </w:pPr>
    </w:p>
    <w:p w14:paraId="4E07E358" w14:textId="77777777" w:rsidR="00F64776" w:rsidRDefault="00F64776" w:rsidP="00F64776">
      <w:pPr>
        <w:pStyle w:val="TextoNormal"/>
      </w:pPr>
      <w:r>
        <w:t>Madrid, a cuatro de diciembre de dos mil veintitrés.</w:t>
      </w:r>
    </w:p>
    <w:p w14:paraId="468B422E" w14:textId="6776B0E8" w:rsidR="00F64776" w:rsidRDefault="00F64776">
      <w:pPr>
        <w:spacing w:after="160" w:line="278" w:lineRule="auto"/>
        <w:rPr>
          <w:rFonts w:ascii="Times New Roman" w:eastAsia="Times New Roman" w:hAnsi="Times New Roman" w:cs="Times New Roman"/>
          <w:sz w:val="24"/>
          <w:szCs w:val="24"/>
          <w:lang w:eastAsia="es-ES"/>
        </w:rPr>
      </w:pPr>
      <w:r>
        <w:br w:type="page"/>
      </w:r>
    </w:p>
    <w:p w14:paraId="037C09AD" w14:textId="77777777" w:rsidR="00F64776" w:rsidRDefault="00F64776" w:rsidP="00F64776">
      <w:pPr>
        <w:pStyle w:val="TtuloResolucin"/>
      </w:pPr>
      <w:bookmarkStart w:id="411" w:name="AUTO_2023_626"/>
      <w:r>
        <w:t>AUTO 626/2023, de 4 de diciembre de 2023</w:t>
      </w:r>
    </w:p>
    <w:bookmarkEnd w:id="411"/>
    <w:p w14:paraId="6CE1EDD0" w14:textId="77777777" w:rsidR="00F64776" w:rsidRDefault="00F64776" w:rsidP="00F64776">
      <w:pPr>
        <w:pStyle w:val="TtuloResolucin"/>
      </w:pPr>
      <w:r>
        <w:t>Sección Tercera</w:t>
      </w:r>
    </w:p>
    <w:p w14:paraId="4C6E4AAA" w14:textId="77777777" w:rsidR="00F64776" w:rsidRDefault="00F64776" w:rsidP="00F64776">
      <w:pPr>
        <w:pStyle w:val="TextoNormalCentrado"/>
      </w:pPr>
      <w:r>
        <w:t>ECLI:ES:TC:2023:626A</w:t>
      </w:r>
    </w:p>
    <w:p w14:paraId="23EB70DA" w14:textId="1A5510B2" w:rsidR="00F64776" w:rsidRDefault="00F64776" w:rsidP="00F64776">
      <w:pPr>
        <w:pStyle w:val="TextoNormalCentrado"/>
      </w:pPr>
    </w:p>
    <w:p w14:paraId="0F18B271" w14:textId="77777777" w:rsidR="00F64776" w:rsidRDefault="00F64776" w:rsidP="00F64776">
      <w:pPr>
        <w:pStyle w:val="SntesisDescriptiva"/>
      </w:pPr>
      <w:r>
        <w:t>Excms. Srs. doña Inmaculada Montalbán Huertas y doña Laura Díez Bueso.</w:t>
      </w:r>
    </w:p>
    <w:p w14:paraId="7C91E8B6" w14:textId="04997B37" w:rsidR="00F64776" w:rsidRDefault="00F64776" w:rsidP="00F64776">
      <w:pPr>
        <w:pStyle w:val="SntesisDescriptiva"/>
      </w:pPr>
    </w:p>
    <w:p w14:paraId="23D6E8BE" w14:textId="77777777" w:rsidR="00F64776" w:rsidRDefault="00F64776" w:rsidP="00F64776">
      <w:pPr>
        <w:pStyle w:val="SntesisDescriptiva"/>
      </w:pPr>
      <w:r>
        <w:t>Acepta una abstención en el recurso de amparo 8291-2022, promovido en proceso contencioso administrativo.</w:t>
      </w:r>
    </w:p>
    <w:p w14:paraId="53E849C7" w14:textId="116326DF" w:rsidR="00F64776" w:rsidRDefault="00F64776" w:rsidP="00F64776">
      <w:pPr>
        <w:pStyle w:val="SntesisDescriptiva"/>
      </w:pPr>
    </w:p>
    <w:p w14:paraId="7EAED57B" w14:textId="77777777" w:rsidR="00F64776" w:rsidRDefault="00F64776" w:rsidP="00F64776">
      <w:pPr>
        <w:pStyle w:val="SntesisDescriptiva"/>
      </w:pPr>
    </w:p>
    <w:p w14:paraId="16A79B74" w14:textId="77777777" w:rsidR="00F64776" w:rsidRDefault="00F64776" w:rsidP="00F64776">
      <w:pPr>
        <w:pStyle w:val="SntesisDescriptiva"/>
      </w:pPr>
    </w:p>
    <w:p w14:paraId="259F0F42" w14:textId="77777777" w:rsidR="00F64776" w:rsidRDefault="00F64776" w:rsidP="00F64776">
      <w:pPr>
        <w:pStyle w:val="TextoNormalNegritaCentrado"/>
      </w:pPr>
      <w:r>
        <w:t>AUTO</w:t>
      </w:r>
    </w:p>
    <w:p w14:paraId="7550C3E2" w14:textId="36779BC1" w:rsidR="00F64776" w:rsidRDefault="00F64776" w:rsidP="00F64776">
      <w:pPr>
        <w:pStyle w:val="TextoNormalNegritaCentrado"/>
      </w:pPr>
    </w:p>
    <w:p w14:paraId="61FD4855" w14:textId="77777777" w:rsidR="00F64776" w:rsidRDefault="00F64776" w:rsidP="00F64776">
      <w:pPr>
        <w:pStyle w:val="TextoNormalNegritaCentrado"/>
        <w:keepNext/>
      </w:pPr>
      <w:r>
        <w:t>I. Antecedentes</w:t>
      </w:r>
    </w:p>
    <w:p w14:paraId="5962A5DB" w14:textId="3881AE02" w:rsidR="00F64776" w:rsidRDefault="00F64776" w:rsidP="00F64776">
      <w:pPr>
        <w:pStyle w:val="TextoNormalNegritaCentrado"/>
        <w:keepNext/>
      </w:pPr>
    </w:p>
    <w:p w14:paraId="05681274" w14:textId="6A41230F" w:rsidR="00F64776" w:rsidRDefault="00F64776" w:rsidP="00F64776">
      <w:pPr>
        <w:pStyle w:val="TextoNormal"/>
      </w:pPr>
      <w:r w:rsidRPr="00F64776">
        <w:rPr>
          <w:rStyle w:val="NumeroAFNegritaCaracter"/>
        </w:rPr>
        <w:t>1</w:t>
      </w:r>
      <w:r>
        <w:t>. Mediante escrito registrado en este tribunal el 15 de diciembre de 2022, el procurador de los tribunales don José María Ruiz de la Cuesta Vacas, en nombre y representación de doña Berta Fernández Álvarez y otros y bajo la dirección del letrado don Francisco Javier Araúz de Robles Dávila, formuló demanda de amparo contra la providencia de 3 de noviembre de 2022, dictada por la Sección Primera de la Sala de lo Contencioso-Administrativo del Tribunal Supremo en recurso de casación núm. 1204-2022 contra sentencia de la Sección Octava de la Sala de lo Contencioso-Administrativo del Tribunal Superior de Justicia de Madrid en recurso de apelación núm. 1312-2020.</w:t>
      </w:r>
    </w:p>
    <w:p w14:paraId="53F9B6DB" w14:textId="77777777" w:rsidR="00F64776" w:rsidRDefault="00F64776" w:rsidP="00F64776">
      <w:pPr>
        <w:pStyle w:val="TextoNormal"/>
      </w:pPr>
    </w:p>
    <w:p w14:paraId="58EA440D" w14:textId="21EDE5FD" w:rsidR="00F64776" w:rsidRDefault="00F64776" w:rsidP="00F64776">
      <w:pPr>
        <w:pStyle w:val="TextoNormal"/>
      </w:pPr>
      <w:r w:rsidRPr="00F64776">
        <w:rPr>
          <w:rStyle w:val="NumeroAFNegritaCaracter"/>
        </w:rPr>
        <w:t>2</w:t>
      </w:r>
      <w:r>
        <w:t>. Por escrito de 5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20953E6A" w14:textId="77777777" w:rsidR="00F64776" w:rsidRDefault="00F64776" w:rsidP="00F64776">
      <w:pPr>
        <w:pStyle w:val="TextoNormal"/>
      </w:pPr>
    </w:p>
    <w:p w14:paraId="33FC2938" w14:textId="77777777" w:rsidR="00F64776" w:rsidRDefault="00F64776" w:rsidP="00F64776">
      <w:pPr>
        <w:pStyle w:val="TextoNormalNegritaCentrado"/>
        <w:keepNext/>
      </w:pPr>
      <w:r>
        <w:t>II. Fundamentos jurídicos</w:t>
      </w:r>
    </w:p>
    <w:p w14:paraId="3C49BA51" w14:textId="737D964E" w:rsidR="00F64776" w:rsidRDefault="00F64776" w:rsidP="00F64776">
      <w:pPr>
        <w:pStyle w:val="TextoNormalNegritaCentrado"/>
        <w:keepNext/>
      </w:pPr>
    </w:p>
    <w:p w14:paraId="3799D7E8" w14:textId="2ECD092A"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19EB4362" w14:textId="77777777" w:rsidR="00F64776" w:rsidRDefault="00F64776" w:rsidP="00F64776">
      <w:pPr>
        <w:pStyle w:val="TextoNormal"/>
      </w:pPr>
    </w:p>
    <w:p w14:paraId="0D754555" w14:textId="77777777" w:rsidR="00F64776" w:rsidRDefault="00F64776" w:rsidP="00F64776">
      <w:pPr>
        <w:pStyle w:val="TextoNormal"/>
      </w:pPr>
      <w:r>
        <w:t>Por lo expuesto, la Sección</w:t>
      </w:r>
    </w:p>
    <w:p w14:paraId="0E1109DA" w14:textId="3EB3A95E" w:rsidR="00F64776" w:rsidRDefault="00F64776" w:rsidP="00F64776">
      <w:pPr>
        <w:pStyle w:val="TextoNormal"/>
      </w:pPr>
    </w:p>
    <w:p w14:paraId="18DBC46A" w14:textId="77777777" w:rsidR="00F64776" w:rsidRDefault="00F64776" w:rsidP="00F64776">
      <w:pPr>
        <w:pStyle w:val="TextoNormalCentrado"/>
      </w:pPr>
      <w:r>
        <w:t>ACUERDA</w:t>
      </w:r>
    </w:p>
    <w:p w14:paraId="3F20A821" w14:textId="62DECFEE" w:rsidR="00F64776" w:rsidRDefault="00F64776" w:rsidP="00F64776">
      <w:pPr>
        <w:pStyle w:val="TextoNormalCentrado"/>
      </w:pPr>
    </w:p>
    <w:p w14:paraId="22882923" w14:textId="5C9EF011" w:rsidR="00F64776" w:rsidRDefault="00F64776" w:rsidP="00F64776">
      <w:pPr>
        <w:pStyle w:val="TextoNormal"/>
      </w:pPr>
      <w:r>
        <w:t>Estimar justificada la abstención formulada por el magistrado don César Tolosa Tribiño en el recurso de amparo núm. 8291-2022 y apartarle definitivamente del conocimiento del referido recurso y de todas sus incidencias.</w:t>
      </w:r>
    </w:p>
    <w:p w14:paraId="594B030C" w14:textId="77777777" w:rsidR="00F64776" w:rsidRDefault="00F64776" w:rsidP="00F64776">
      <w:pPr>
        <w:pStyle w:val="TextoNormal"/>
      </w:pPr>
    </w:p>
    <w:p w14:paraId="3D8C0F50" w14:textId="77777777" w:rsidR="00F64776" w:rsidRDefault="00F64776" w:rsidP="00F64776">
      <w:pPr>
        <w:pStyle w:val="TextoNormal"/>
      </w:pPr>
      <w:r>
        <w:t>Madrid, a cuatro de diciembre de dos mil veintitrés.</w:t>
      </w:r>
    </w:p>
    <w:p w14:paraId="0B047720" w14:textId="455AAD70" w:rsidR="00F64776" w:rsidRDefault="00F64776">
      <w:pPr>
        <w:spacing w:after="160" w:line="278" w:lineRule="auto"/>
        <w:rPr>
          <w:rFonts w:ascii="Times New Roman" w:eastAsia="Times New Roman" w:hAnsi="Times New Roman" w:cs="Times New Roman"/>
          <w:sz w:val="24"/>
          <w:szCs w:val="24"/>
          <w:lang w:eastAsia="es-ES"/>
        </w:rPr>
      </w:pPr>
      <w:r>
        <w:br w:type="page"/>
      </w:r>
    </w:p>
    <w:p w14:paraId="00643BD8" w14:textId="77777777" w:rsidR="00F64776" w:rsidRDefault="00F64776" w:rsidP="00F64776">
      <w:pPr>
        <w:pStyle w:val="TtuloResolucin"/>
      </w:pPr>
      <w:bookmarkStart w:id="412" w:name="AUTO_2023_627"/>
      <w:r>
        <w:t>AUTO 627/2023, de 4 de diciembre de 2023</w:t>
      </w:r>
    </w:p>
    <w:bookmarkEnd w:id="412"/>
    <w:p w14:paraId="359E36B4" w14:textId="77777777" w:rsidR="00F64776" w:rsidRDefault="00F64776" w:rsidP="00F64776">
      <w:pPr>
        <w:pStyle w:val="TtuloResolucin"/>
      </w:pPr>
      <w:r>
        <w:t>Sección Tercera</w:t>
      </w:r>
    </w:p>
    <w:p w14:paraId="56474687" w14:textId="77777777" w:rsidR="00F64776" w:rsidRDefault="00F64776" w:rsidP="00F64776">
      <w:pPr>
        <w:pStyle w:val="TextoNormalCentrado"/>
      </w:pPr>
      <w:r>
        <w:t>ECLI:ES:TC:2023:627A</w:t>
      </w:r>
    </w:p>
    <w:p w14:paraId="13AACDF6" w14:textId="1AAC1250" w:rsidR="00F64776" w:rsidRDefault="00F64776" w:rsidP="00F64776">
      <w:pPr>
        <w:pStyle w:val="TextoNormalCentrado"/>
      </w:pPr>
    </w:p>
    <w:p w14:paraId="4704D84E" w14:textId="77777777" w:rsidR="00F64776" w:rsidRDefault="00F64776" w:rsidP="00F64776">
      <w:pPr>
        <w:pStyle w:val="SntesisDescriptiva"/>
      </w:pPr>
      <w:r>
        <w:t>Excms. Srs. doña Inmaculada Montalbán Huertas y doña Laura Díez Bueso.</w:t>
      </w:r>
    </w:p>
    <w:p w14:paraId="63CF3A66" w14:textId="20004FDF" w:rsidR="00F64776" w:rsidRDefault="00F64776" w:rsidP="00F64776">
      <w:pPr>
        <w:pStyle w:val="SntesisDescriptiva"/>
      </w:pPr>
    </w:p>
    <w:p w14:paraId="37D25B82" w14:textId="77777777" w:rsidR="00F64776" w:rsidRDefault="00F64776" w:rsidP="00F64776">
      <w:pPr>
        <w:pStyle w:val="SntesisDescriptiva"/>
      </w:pPr>
      <w:r>
        <w:t>Acepta una abstención en el recurso de amparo 8474-2022, promovido en proceso contencioso administrativo.</w:t>
      </w:r>
    </w:p>
    <w:p w14:paraId="0CD92F55" w14:textId="02F97A38" w:rsidR="00F64776" w:rsidRDefault="00F64776" w:rsidP="00F64776">
      <w:pPr>
        <w:pStyle w:val="SntesisDescriptiva"/>
      </w:pPr>
    </w:p>
    <w:p w14:paraId="494EC2A5" w14:textId="77777777" w:rsidR="00F64776" w:rsidRDefault="00F64776" w:rsidP="00F64776">
      <w:pPr>
        <w:pStyle w:val="SntesisDescriptiva"/>
      </w:pPr>
    </w:p>
    <w:p w14:paraId="7B607E18" w14:textId="77777777" w:rsidR="00F64776" w:rsidRDefault="00F64776" w:rsidP="00F64776">
      <w:pPr>
        <w:pStyle w:val="SntesisDescriptiva"/>
      </w:pPr>
    </w:p>
    <w:p w14:paraId="36324E02" w14:textId="77777777" w:rsidR="00F64776" w:rsidRDefault="00F64776" w:rsidP="00F64776">
      <w:pPr>
        <w:pStyle w:val="TextoNormalNegritaCentrado"/>
      </w:pPr>
      <w:r>
        <w:t>AUTO</w:t>
      </w:r>
    </w:p>
    <w:p w14:paraId="28D0379F" w14:textId="56F2A860" w:rsidR="00F64776" w:rsidRDefault="00F64776" w:rsidP="00F64776">
      <w:pPr>
        <w:pStyle w:val="TextoNormalNegritaCentrado"/>
      </w:pPr>
    </w:p>
    <w:p w14:paraId="73B36123" w14:textId="77777777" w:rsidR="00F64776" w:rsidRDefault="00F64776" w:rsidP="00F64776">
      <w:pPr>
        <w:pStyle w:val="TextoNormalNegritaCentrado"/>
        <w:keepNext/>
      </w:pPr>
      <w:r>
        <w:t>I. Antecedentes</w:t>
      </w:r>
    </w:p>
    <w:p w14:paraId="694C5ADA" w14:textId="31465EE6" w:rsidR="00F64776" w:rsidRDefault="00F64776" w:rsidP="00F64776">
      <w:pPr>
        <w:pStyle w:val="TextoNormalNegritaCentrado"/>
        <w:keepNext/>
      </w:pPr>
    </w:p>
    <w:p w14:paraId="1FAEF875" w14:textId="4C37C86F" w:rsidR="00F64776" w:rsidRDefault="00F64776" w:rsidP="00F64776">
      <w:pPr>
        <w:pStyle w:val="TextoNormal"/>
      </w:pPr>
      <w:r w:rsidRPr="00F64776">
        <w:rPr>
          <w:rStyle w:val="NumeroAFNegritaCaracter"/>
        </w:rPr>
        <w:t>1</w:t>
      </w:r>
      <w:r>
        <w:t>. Mediante escrito registrado en este tribunal el 22 de diciembre de 2022, el procurador de los tribunales don José María Ruiz de la Cuesta Vacas, en nombre y representación de don Rafael Toledo Tejerina y bajo la dirección del letrado don Francisco Javier Araúz de Robles Dávila, formuló demanda de amparo contra providencia de la Sección Primera Sala de lo Contencioso-Administrativo del Tribunal Supremo en recurso de casación núm. 7094-2021 contra sentencia de la Sección Segunda del Tribunal Superior de Justicia de Canarias en recurso de apelación núm. 70-2021.</w:t>
      </w:r>
    </w:p>
    <w:p w14:paraId="16CA0CB9" w14:textId="77777777" w:rsidR="00F64776" w:rsidRDefault="00F64776" w:rsidP="00F64776">
      <w:pPr>
        <w:pStyle w:val="TextoNormal"/>
      </w:pPr>
    </w:p>
    <w:p w14:paraId="7BD97931" w14:textId="092E75C5" w:rsidR="00F64776" w:rsidRDefault="00F64776" w:rsidP="00F64776">
      <w:pPr>
        <w:pStyle w:val="TextoNormal"/>
      </w:pPr>
      <w:r w:rsidRPr="00F64776">
        <w:rPr>
          <w:rStyle w:val="NumeroAFNegritaCaracter"/>
        </w:rPr>
        <w:t>2</w:t>
      </w:r>
      <w:r>
        <w:t>. Por escrito de 5 de junio de 2023 el magistrado don César Tolosa Tribiño manifestó su voluntad de abstenerse en el presente recurso de amparo y todas sus incidencias, por entender que concurría la causa establecida en el artículo 219.11 de la Ley Orgánica del Poder Judicial (LPOJ), al haber intervenido en la instancia anterior, toda vez que formó parte en su condición de magistrado de la Sección Primera de la Sala de lo Contencioso-Administrativo del Tribunal Supremo que dictó la resolución impugnada.</w:t>
      </w:r>
    </w:p>
    <w:p w14:paraId="0AECA737" w14:textId="77777777" w:rsidR="00F64776" w:rsidRDefault="00F64776" w:rsidP="00F64776">
      <w:pPr>
        <w:pStyle w:val="TextoNormal"/>
      </w:pPr>
    </w:p>
    <w:p w14:paraId="63013C8F" w14:textId="77777777" w:rsidR="00F64776" w:rsidRDefault="00F64776" w:rsidP="00F64776">
      <w:pPr>
        <w:pStyle w:val="TextoNormalNegritaCentrado"/>
        <w:keepNext/>
      </w:pPr>
      <w:r>
        <w:t>II. Fundamentos jurídicos</w:t>
      </w:r>
    </w:p>
    <w:p w14:paraId="714C69AA" w14:textId="1B7E9AB1" w:rsidR="00F64776" w:rsidRDefault="00F64776" w:rsidP="00F64776">
      <w:pPr>
        <w:pStyle w:val="TextoNormalNegritaCentrado"/>
        <w:keepNext/>
      </w:pPr>
    </w:p>
    <w:p w14:paraId="3E028FD1" w14:textId="4F100126"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547BAE7F" w14:textId="77777777" w:rsidR="00F64776" w:rsidRDefault="00F64776" w:rsidP="00F64776">
      <w:pPr>
        <w:pStyle w:val="TextoNormal"/>
      </w:pPr>
    </w:p>
    <w:p w14:paraId="1080F0DA" w14:textId="77777777" w:rsidR="00F64776" w:rsidRDefault="00F64776" w:rsidP="00F64776">
      <w:pPr>
        <w:pStyle w:val="TextoNormal"/>
      </w:pPr>
      <w:r>
        <w:t>Por lo expuesto, la Sección</w:t>
      </w:r>
    </w:p>
    <w:p w14:paraId="2799452D" w14:textId="3DFF9196" w:rsidR="00F64776" w:rsidRDefault="00F64776" w:rsidP="00F64776">
      <w:pPr>
        <w:pStyle w:val="TextoNormal"/>
      </w:pPr>
    </w:p>
    <w:p w14:paraId="40D51791" w14:textId="77777777" w:rsidR="00F64776" w:rsidRDefault="00F64776" w:rsidP="00F64776">
      <w:pPr>
        <w:pStyle w:val="TextoNormalCentrado"/>
      </w:pPr>
      <w:r>
        <w:t>ACUERDA</w:t>
      </w:r>
    </w:p>
    <w:p w14:paraId="1C1682EA" w14:textId="26A91D48" w:rsidR="00F64776" w:rsidRDefault="00F64776" w:rsidP="00F64776">
      <w:pPr>
        <w:pStyle w:val="TextoNormalCentrado"/>
      </w:pPr>
    </w:p>
    <w:p w14:paraId="7328087F" w14:textId="61DAE194" w:rsidR="00F64776" w:rsidRDefault="00F64776" w:rsidP="00F64776">
      <w:pPr>
        <w:pStyle w:val="TextoNormal"/>
      </w:pPr>
      <w:r>
        <w:t>Estimar justificada la abstención formulada por el magistrado don César Tolosa Tribiño en el recurso de amparo núm. 8474-2022 y apartarle definitivamente del conocimiento del referido recurso y de todas sus incidencias.</w:t>
      </w:r>
    </w:p>
    <w:p w14:paraId="780CE6E3" w14:textId="77777777" w:rsidR="00F64776" w:rsidRDefault="00F64776" w:rsidP="00F64776">
      <w:pPr>
        <w:pStyle w:val="TextoNormal"/>
      </w:pPr>
    </w:p>
    <w:p w14:paraId="52AEEA3D" w14:textId="77777777" w:rsidR="00F64776" w:rsidRDefault="00F64776" w:rsidP="00F64776">
      <w:pPr>
        <w:pStyle w:val="TextoNormal"/>
      </w:pPr>
      <w:r>
        <w:t>Madrid, a cuatro de diciembre de dos mil veintitrés.</w:t>
      </w:r>
    </w:p>
    <w:p w14:paraId="5DACE571" w14:textId="4CEB037B" w:rsidR="00F64776" w:rsidRDefault="00F64776">
      <w:pPr>
        <w:spacing w:after="160" w:line="278" w:lineRule="auto"/>
        <w:rPr>
          <w:rFonts w:ascii="Times New Roman" w:eastAsia="Times New Roman" w:hAnsi="Times New Roman" w:cs="Times New Roman"/>
          <w:sz w:val="24"/>
          <w:szCs w:val="24"/>
          <w:lang w:eastAsia="es-ES"/>
        </w:rPr>
      </w:pPr>
      <w:r>
        <w:br w:type="page"/>
      </w:r>
    </w:p>
    <w:p w14:paraId="37125715" w14:textId="77777777" w:rsidR="00F64776" w:rsidRDefault="00F64776" w:rsidP="00F64776">
      <w:pPr>
        <w:pStyle w:val="TtuloResolucin"/>
      </w:pPr>
      <w:bookmarkStart w:id="413" w:name="AUTO_2023_628"/>
      <w:r>
        <w:t>AUTO 628/2023, de 4 de diciembre de 2023</w:t>
      </w:r>
    </w:p>
    <w:bookmarkEnd w:id="413"/>
    <w:p w14:paraId="30CB56A3" w14:textId="77777777" w:rsidR="00F64776" w:rsidRDefault="00F64776" w:rsidP="00F64776">
      <w:pPr>
        <w:pStyle w:val="TtuloResolucin"/>
      </w:pPr>
      <w:r>
        <w:t>Sección Tercera</w:t>
      </w:r>
    </w:p>
    <w:p w14:paraId="384E42D6" w14:textId="77777777" w:rsidR="00F64776" w:rsidRDefault="00F64776" w:rsidP="00F64776">
      <w:pPr>
        <w:pStyle w:val="TextoNormalCentrado"/>
      </w:pPr>
      <w:r>
        <w:t>ECLI:ES:TC:2023:628A</w:t>
      </w:r>
    </w:p>
    <w:p w14:paraId="17B9F22A" w14:textId="538BE147" w:rsidR="00F64776" w:rsidRDefault="00F64776" w:rsidP="00F64776">
      <w:pPr>
        <w:pStyle w:val="TextoNormalCentrado"/>
      </w:pPr>
    </w:p>
    <w:p w14:paraId="12D7B496" w14:textId="77777777" w:rsidR="00F64776" w:rsidRDefault="00F64776" w:rsidP="00F64776">
      <w:pPr>
        <w:pStyle w:val="SntesisDescriptiva"/>
      </w:pPr>
      <w:r>
        <w:t>Excms. Srs. doña Inmaculada Montalbán Huertas y doña Laura Díez Bueso.</w:t>
      </w:r>
    </w:p>
    <w:p w14:paraId="7E7BA1F5" w14:textId="68013EEB" w:rsidR="00F64776" w:rsidRDefault="00F64776" w:rsidP="00F64776">
      <w:pPr>
        <w:pStyle w:val="SntesisDescriptiva"/>
      </w:pPr>
    </w:p>
    <w:p w14:paraId="3FDD3958" w14:textId="77777777" w:rsidR="00F64776" w:rsidRDefault="00F64776" w:rsidP="00F64776">
      <w:pPr>
        <w:pStyle w:val="SntesisDescriptiva"/>
      </w:pPr>
      <w:r>
        <w:t>Acepta una abstención en el recurso de amparo 2808-2023, promovido en proceso contencioso administrativo.</w:t>
      </w:r>
    </w:p>
    <w:p w14:paraId="783A244C" w14:textId="698F7736" w:rsidR="00F64776" w:rsidRDefault="00F64776" w:rsidP="00F64776">
      <w:pPr>
        <w:pStyle w:val="SntesisDescriptiva"/>
      </w:pPr>
    </w:p>
    <w:p w14:paraId="4FE8FAEE" w14:textId="77777777" w:rsidR="00F64776" w:rsidRDefault="00F64776" w:rsidP="00F64776">
      <w:pPr>
        <w:pStyle w:val="SntesisDescriptiva"/>
      </w:pPr>
    </w:p>
    <w:p w14:paraId="75F960AE" w14:textId="77777777" w:rsidR="00F64776" w:rsidRDefault="00F64776" w:rsidP="00F64776">
      <w:pPr>
        <w:pStyle w:val="SntesisDescriptiva"/>
      </w:pPr>
    </w:p>
    <w:p w14:paraId="6F1361D2" w14:textId="77777777" w:rsidR="00F64776" w:rsidRDefault="00F64776" w:rsidP="00F64776">
      <w:pPr>
        <w:pStyle w:val="TextoNormalNegritaCentrado"/>
      </w:pPr>
      <w:r>
        <w:t>AUTO</w:t>
      </w:r>
    </w:p>
    <w:p w14:paraId="104D8AE3" w14:textId="09D5EDE0" w:rsidR="00F64776" w:rsidRDefault="00F64776" w:rsidP="00F64776">
      <w:pPr>
        <w:pStyle w:val="TextoNormalNegritaCentrado"/>
      </w:pPr>
    </w:p>
    <w:p w14:paraId="19B3C606" w14:textId="77777777" w:rsidR="00F64776" w:rsidRDefault="00F64776" w:rsidP="00F64776">
      <w:pPr>
        <w:pStyle w:val="TextoNormalNegritaCentrado"/>
        <w:keepNext/>
      </w:pPr>
      <w:r>
        <w:t>I. Antecedentes</w:t>
      </w:r>
    </w:p>
    <w:p w14:paraId="7FB9A445" w14:textId="0FDFD9D0" w:rsidR="00F64776" w:rsidRDefault="00F64776" w:rsidP="00F64776">
      <w:pPr>
        <w:pStyle w:val="TextoNormalNegritaCentrado"/>
        <w:keepNext/>
      </w:pPr>
    </w:p>
    <w:p w14:paraId="1684396C" w14:textId="154DE24B" w:rsidR="00F64776" w:rsidRDefault="00F64776" w:rsidP="00F64776">
      <w:pPr>
        <w:pStyle w:val="TextoNormal"/>
      </w:pPr>
      <w:r w:rsidRPr="00F64776">
        <w:rPr>
          <w:rStyle w:val="NumeroAFNegritaCaracter"/>
        </w:rPr>
        <w:t>1</w:t>
      </w:r>
      <w:r>
        <w:t>. Mediante escrito registrado en este tribunal el 27 de abril de 2023, el procurador de los tribunales don José María Ruiz de la Cuesta Vacas, en nombre y representación de don Santiago Ernesto Isern Rovira y bajo la dirección del letrado don Francisco Javier Araúz de Robles Dávila, formuló demanda de amparo contra auto y providencia de la Sección Primera de la Sala de lo Contencioso-Administrativo del Tribunal Supremo en recurso de queja núm. 417/2022.</w:t>
      </w:r>
    </w:p>
    <w:p w14:paraId="5C88DE31" w14:textId="77777777" w:rsidR="00F64776" w:rsidRDefault="00F64776" w:rsidP="00F64776">
      <w:pPr>
        <w:pStyle w:val="TextoNormal"/>
      </w:pPr>
    </w:p>
    <w:p w14:paraId="47511269" w14:textId="7C7B177F" w:rsidR="00F64776" w:rsidRDefault="00F64776" w:rsidP="00F64776">
      <w:pPr>
        <w:pStyle w:val="TextoNormal"/>
      </w:pPr>
      <w:r w:rsidRPr="00F64776">
        <w:rPr>
          <w:rStyle w:val="NumeroAFNegritaCaracter"/>
        </w:rPr>
        <w:t>2</w:t>
      </w:r>
      <w:r>
        <w:t>. Por escrito de 5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7B75FEF8" w14:textId="77777777" w:rsidR="00F64776" w:rsidRDefault="00F64776" w:rsidP="00F64776">
      <w:pPr>
        <w:pStyle w:val="TextoNormal"/>
      </w:pPr>
    </w:p>
    <w:p w14:paraId="5B0CD916" w14:textId="77777777" w:rsidR="00F64776" w:rsidRDefault="00F64776" w:rsidP="00F64776">
      <w:pPr>
        <w:pStyle w:val="TextoNormalNegritaCentrado"/>
        <w:keepNext/>
      </w:pPr>
      <w:r>
        <w:t>II. Fundamentos jurídicos</w:t>
      </w:r>
    </w:p>
    <w:p w14:paraId="7B67948F" w14:textId="4FBB2F27" w:rsidR="00F64776" w:rsidRDefault="00F64776" w:rsidP="00F64776">
      <w:pPr>
        <w:pStyle w:val="TextoNormalNegritaCentrado"/>
        <w:keepNext/>
      </w:pPr>
    </w:p>
    <w:p w14:paraId="5AA66A38" w14:textId="3BE70ED6"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343EEC80" w14:textId="77777777" w:rsidR="00F64776" w:rsidRDefault="00F64776" w:rsidP="00F64776">
      <w:pPr>
        <w:pStyle w:val="TextoNormal"/>
      </w:pPr>
    </w:p>
    <w:p w14:paraId="1C371DD6" w14:textId="77777777" w:rsidR="00F64776" w:rsidRDefault="00F64776" w:rsidP="00F64776">
      <w:pPr>
        <w:pStyle w:val="TextoNormal"/>
      </w:pPr>
      <w:r>
        <w:t>Por lo expuesto, la Sección</w:t>
      </w:r>
    </w:p>
    <w:p w14:paraId="44D22C4E" w14:textId="4DFA73BE" w:rsidR="00F64776" w:rsidRDefault="00F64776" w:rsidP="00F64776">
      <w:pPr>
        <w:pStyle w:val="TextoNormal"/>
      </w:pPr>
    </w:p>
    <w:p w14:paraId="3954E704" w14:textId="77777777" w:rsidR="00F64776" w:rsidRDefault="00F64776" w:rsidP="00F64776">
      <w:pPr>
        <w:pStyle w:val="TextoNormalCentrado"/>
      </w:pPr>
      <w:r>
        <w:t>ACUERDA</w:t>
      </w:r>
    </w:p>
    <w:p w14:paraId="1624EDAF" w14:textId="21BF0CA5" w:rsidR="00F64776" w:rsidRDefault="00F64776" w:rsidP="00F64776">
      <w:pPr>
        <w:pStyle w:val="TextoNormalCentrado"/>
      </w:pPr>
    </w:p>
    <w:p w14:paraId="30A31AE2" w14:textId="7C4B1CFA" w:rsidR="00F64776" w:rsidRDefault="00F64776" w:rsidP="00F64776">
      <w:pPr>
        <w:pStyle w:val="TextoNormal"/>
      </w:pPr>
      <w:r>
        <w:t>Estimar justificada la abstención formulada por el magistrado don César Tolosa Tribiño en el recurso de amparo núm. 2808-2023 y apartarle definitivamente del conocimiento del referido recurso y de todas sus incidencias.</w:t>
      </w:r>
    </w:p>
    <w:p w14:paraId="6508D916" w14:textId="77777777" w:rsidR="00F64776" w:rsidRDefault="00F64776" w:rsidP="00F64776">
      <w:pPr>
        <w:pStyle w:val="TextoNormal"/>
      </w:pPr>
    </w:p>
    <w:p w14:paraId="110DED6F" w14:textId="77777777" w:rsidR="00F64776" w:rsidRDefault="00F64776" w:rsidP="00F64776">
      <w:pPr>
        <w:pStyle w:val="TextoNormal"/>
      </w:pPr>
      <w:r>
        <w:t>Madrid, a cuatro de diciembre de dos mil veintitrés.</w:t>
      </w:r>
    </w:p>
    <w:p w14:paraId="4CC9F21F" w14:textId="7A5A6607" w:rsidR="00F64776" w:rsidRDefault="00F64776">
      <w:pPr>
        <w:spacing w:after="160" w:line="278" w:lineRule="auto"/>
        <w:rPr>
          <w:rFonts w:ascii="Times New Roman" w:eastAsia="Times New Roman" w:hAnsi="Times New Roman" w:cs="Times New Roman"/>
          <w:sz w:val="24"/>
          <w:szCs w:val="24"/>
          <w:lang w:eastAsia="es-ES"/>
        </w:rPr>
      </w:pPr>
      <w:r>
        <w:br w:type="page"/>
      </w:r>
    </w:p>
    <w:p w14:paraId="2D45A0BE" w14:textId="77777777" w:rsidR="00F64776" w:rsidRDefault="00F64776" w:rsidP="00F64776">
      <w:pPr>
        <w:pStyle w:val="TtuloResolucin"/>
      </w:pPr>
      <w:bookmarkStart w:id="414" w:name="AUTO_2023_629"/>
      <w:r>
        <w:t>AUTO 629/2023, de 4 de diciembre de 2023</w:t>
      </w:r>
    </w:p>
    <w:bookmarkEnd w:id="414"/>
    <w:p w14:paraId="4A4E3B1E" w14:textId="77777777" w:rsidR="00F64776" w:rsidRDefault="00F64776" w:rsidP="00F64776">
      <w:pPr>
        <w:pStyle w:val="TtuloResolucin"/>
      </w:pPr>
      <w:r>
        <w:t>Sección Tercera</w:t>
      </w:r>
    </w:p>
    <w:p w14:paraId="17D96D1D" w14:textId="77777777" w:rsidR="00F64776" w:rsidRDefault="00F64776" w:rsidP="00F64776">
      <w:pPr>
        <w:pStyle w:val="TextoNormalCentrado"/>
      </w:pPr>
      <w:r>
        <w:t>ECLI:ES:TC:2023:629A</w:t>
      </w:r>
    </w:p>
    <w:p w14:paraId="20C697BE" w14:textId="7DB8065F" w:rsidR="00F64776" w:rsidRDefault="00F64776" w:rsidP="00F64776">
      <w:pPr>
        <w:pStyle w:val="TextoNormalCentrado"/>
      </w:pPr>
    </w:p>
    <w:p w14:paraId="16D46BF8" w14:textId="77777777" w:rsidR="00F64776" w:rsidRDefault="00F64776" w:rsidP="00F64776">
      <w:pPr>
        <w:pStyle w:val="SntesisDescriptiva"/>
      </w:pPr>
      <w:r>
        <w:t>Excms. Srs. doña Inmaculada Montalbán Huertas y doña Laura Díez Bueso.</w:t>
      </w:r>
    </w:p>
    <w:p w14:paraId="448B4B1C" w14:textId="2ECD58CD" w:rsidR="00F64776" w:rsidRDefault="00F64776" w:rsidP="00F64776">
      <w:pPr>
        <w:pStyle w:val="SntesisDescriptiva"/>
      </w:pPr>
    </w:p>
    <w:p w14:paraId="68F7F564" w14:textId="77777777" w:rsidR="00F64776" w:rsidRDefault="00F64776" w:rsidP="00F64776">
      <w:pPr>
        <w:pStyle w:val="SntesisDescriptiva"/>
      </w:pPr>
      <w:r>
        <w:t>Acepta una abstención en el recurso de amparo 3001-2023, promovido en proceso contencioso administrativo.</w:t>
      </w:r>
    </w:p>
    <w:p w14:paraId="3D0AB1A4" w14:textId="5E4DC7D4" w:rsidR="00F64776" w:rsidRDefault="00F64776" w:rsidP="00F64776">
      <w:pPr>
        <w:pStyle w:val="SntesisDescriptiva"/>
      </w:pPr>
    </w:p>
    <w:p w14:paraId="5FE28BFC" w14:textId="77777777" w:rsidR="00F64776" w:rsidRDefault="00F64776" w:rsidP="00F64776">
      <w:pPr>
        <w:pStyle w:val="SntesisDescriptiva"/>
      </w:pPr>
    </w:p>
    <w:p w14:paraId="3F72E651" w14:textId="77777777" w:rsidR="00F64776" w:rsidRDefault="00F64776" w:rsidP="00F64776">
      <w:pPr>
        <w:pStyle w:val="SntesisDescriptiva"/>
      </w:pPr>
    </w:p>
    <w:p w14:paraId="3938A19B" w14:textId="77777777" w:rsidR="00F64776" w:rsidRDefault="00F64776" w:rsidP="00F64776">
      <w:pPr>
        <w:pStyle w:val="TextoNormalNegritaCentrado"/>
      </w:pPr>
      <w:r>
        <w:t>AUTO</w:t>
      </w:r>
    </w:p>
    <w:p w14:paraId="194ADC06" w14:textId="67E78DD2" w:rsidR="00F64776" w:rsidRDefault="00F64776" w:rsidP="00F64776">
      <w:pPr>
        <w:pStyle w:val="TextoNormalNegritaCentrado"/>
      </w:pPr>
    </w:p>
    <w:p w14:paraId="03D99CCF" w14:textId="77777777" w:rsidR="00F64776" w:rsidRDefault="00F64776" w:rsidP="00F64776">
      <w:pPr>
        <w:pStyle w:val="TextoNormalNegritaCentrado"/>
        <w:keepNext/>
      </w:pPr>
      <w:r>
        <w:t>I. Antecedentes</w:t>
      </w:r>
    </w:p>
    <w:p w14:paraId="68948E56" w14:textId="2625667D" w:rsidR="00F64776" w:rsidRDefault="00F64776" w:rsidP="00F64776">
      <w:pPr>
        <w:pStyle w:val="TextoNormalNegritaCentrado"/>
        <w:keepNext/>
      </w:pPr>
    </w:p>
    <w:p w14:paraId="23A8FC37" w14:textId="57FF6C36" w:rsidR="00F64776" w:rsidRDefault="00F64776" w:rsidP="00F64776">
      <w:pPr>
        <w:pStyle w:val="TextoNormal"/>
      </w:pPr>
      <w:r w:rsidRPr="00F64776">
        <w:rPr>
          <w:rStyle w:val="NumeroAFNegritaCaracter"/>
        </w:rPr>
        <w:t>1</w:t>
      </w:r>
      <w:r>
        <w:t>. Mediante escrito registrado en este tribunal el 8 de mayo de 2023, el procurador de los tribunales don José María Ruiz de la Cuesta Vacas, en nombre y representación de doña Ana María Latorre Álvarez y bajo la dirección del letrado don Francisco Javier Araúz de Robles Dávila, formuló demanda de amparo contra la providencia de 8 de noviembre de 2022 de la Sección Primera de la Sala de lo Contencioso-Administrativo del Tribunal Supremo en recurso de casación núm. 99-2022.</w:t>
      </w:r>
    </w:p>
    <w:p w14:paraId="4DB33D0F" w14:textId="77777777" w:rsidR="00F64776" w:rsidRDefault="00F64776" w:rsidP="00F64776">
      <w:pPr>
        <w:pStyle w:val="TextoNormal"/>
      </w:pPr>
    </w:p>
    <w:p w14:paraId="099FF96F" w14:textId="3EE3F787" w:rsidR="00F64776" w:rsidRDefault="00F64776" w:rsidP="00F64776">
      <w:pPr>
        <w:pStyle w:val="TextoNormal"/>
      </w:pPr>
      <w:r w:rsidRPr="00F64776">
        <w:rPr>
          <w:rStyle w:val="NumeroAFNegritaCaracter"/>
        </w:rPr>
        <w:t>2</w:t>
      </w:r>
      <w:r>
        <w:t>. Por escrito de 5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534CC7C2" w14:textId="77777777" w:rsidR="00F64776" w:rsidRDefault="00F64776" w:rsidP="00F64776">
      <w:pPr>
        <w:pStyle w:val="TextoNormal"/>
      </w:pPr>
    </w:p>
    <w:p w14:paraId="27A2A1FE" w14:textId="77777777" w:rsidR="00F64776" w:rsidRDefault="00F64776" w:rsidP="00F64776">
      <w:pPr>
        <w:pStyle w:val="TextoNormalNegritaCentrado"/>
        <w:keepNext/>
      </w:pPr>
      <w:r>
        <w:t>II. Fundamentos jurídicos</w:t>
      </w:r>
    </w:p>
    <w:p w14:paraId="45A54106" w14:textId="6FBC58AC" w:rsidR="00F64776" w:rsidRDefault="00F64776" w:rsidP="00F64776">
      <w:pPr>
        <w:pStyle w:val="TextoNormalNegritaCentrado"/>
        <w:keepNext/>
      </w:pPr>
    </w:p>
    <w:p w14:paraId="3A489610" w14:textId="730B2C46"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547D649E" w14:textId="77777777" w:rsidR="00F64776" w:rsidRDefault="00F64776" w:rsidP="00F64776">
      <w:pPr>
        <w:pStyle w:val="TextoNormal"/>
      </w:pPr>
    </w:p>
    <w:p w14:paraId="13D7DA02" w14:textId="77777777" w:rsidR="00F64776" w:rsidRDefault="00F64776" w:rsidP="00F64776">
      <w:pPr>
        <w:pStyle w:val="TextoNormal"/>
      </w:pPr>
      <w:r>
        <w:t>Por lo expuesto, la Sección</w:t>
      </w:r>
    </w:p>
    <w:p w14:paraId="6A58D18F" w14:textId="6C6C5A7A" w:rsidR="00F64776" w:rsidRDefault="00F64776" w:rsidP="00F64776">
      <w:pPr>
        <w:pStyle w:val="TextoNormal"/>
      </w:pPr>
    </w:p>
    <w:p w14:paraId="14944919" w14:textId="77777777" w:rsidR="00F64776" w:rsidRDefault="00F64776" w:rsidP="00F64776">
      <w:pPr>
        <w:pStyle w:val="TextoNormalCentrado"/>
      </w:pPr>
      <w:r>
        <w:t>ACUERDA</w:t>
      </w:r>
    </w:p>
    <w:p w14:paraId="23D2F23B" w14:textId="6EA394E7" w:rsidR="00F64776" w:rsidRDefault="00F64776" w:rsidP="00F64776">
      <w:pPr>
        <w:pStyle w:val="TextoNormalCentrado"/>
      </w:pPr>
    </w:p>
    <w:p w14:paraId="39C6360A" w14:textId="0413FC32" w:rsidR="00F64776" w:rsidRDefault="00F64776" w:rsidP="00F64776">
      <w:pPr>
        <w:pStyle w:val="TextoNormal"/>
      </w:pPr>
      <w:r>
        <w:t>Estimar justificada la abstención formulada por el magistrado don César Tolosa Tribiño en el recurso de amparo núm. 3001-2023 y apartarle definitivamente del conocimiento del referido recurso y de todas sus incidencias.</w:t>
      </w:r>
    </w:p>
    <w:p w14:paraId="6AD13EFD" w14:textId="77777777" w:rsidR="00F64776" w:rsidRDefault="00F64776" w:rsidP="00F64776">
      <w:pPr>
        <w:pStyle w:val="TextoNormal"/>
      </w:pPr>
    </w:p>
    <w:p w14:paraId="011A168F" w14:textId="77777777" w:rsidR="00F64776" w:rsidRDefault="00F64776" w:rsidP="00F64776">
      <w:pPr>
        <w:pStyle w:val="TextoNormal"/>
      </w:pPr>
      <w:r>
        <w:t>Madrid, a cuatro de diciembre de dos mil veintitrés.</w:t>
      </w:r>
    </w:p>
    <w:p w14:paraId="1042345C" w14:textId="56DF7A72" w:rsidR="00F64776" w:rsidRDefault="00F64776">
      <w:pPr>
        <w:spacing w:after="160" w:line="278" w:lineRule="auto"/>
        <w:rPr>
          <w:rFonts w:ascii="Times New Roman" w:eastAsia="Times New Roman" w:hAnsi="Times New Roman" w:cs="Times New Roman"/>
          <w:sz w:val="24"/>
          <w:szCs w:val="24"/>
          <w:lang w:eastAsia="es-ES"/>
        </w:rPr>
      </w:pPr>
      <w:r>
        <w:br w:type="page"/>
      </w:r>
    </w:p>
    <w:p w14:paraId="1676A53D" w14:textId="77777777" w:rsidR="00F64776" w:rsidRDefault="00F64776" w:rsidP="00F64776">
      <w:pPr>
        <w:pStyle w:val="TtuloResolucin"/>
      </w:pPr>
      <w:bookmarkStart w:id="415" w:name="AUTO_2023_630"/>
      <w:r>
        <w:t>AUTO 630/2023, de 4 de diciembre de 2023</w:t>
      </w:r>
    </w:p>
    <w:bookmarkEnd w:id="415"/>
    <w:p w14:paraId="2E0B710D" w14:textId="77777777" w:rsidR="00F64776" w:rsidRDefault="00F64776" w:rsidP="00F64776">
      <w:pPr>
        <w:pStyle w:val="TtuloResolucin"/>
      </w:pPr>
      <w:r>
        <w:t>Sección Tercera</w:t>
      </w:r>
    </w:p>
    <w:p w14:paraId="62F517C8" w14:textId="77777777" w:rsidR="00F64776" w:rsidRDefault="00F64776" w:rsidP="00F64776">
      <w:pPr>
        <w:pStyle w:val="TextoNormalCentrado"/>
      </w:pPr>
      <w:r>
        <w:t>ECLI:ES:TC:2023:630A</w:t>
      </w:r>
    </w:p>
    <w:p w14:paraId="0AE29319" w14:textId="3131EA45" w:rsidR="00F64776" w:rsidRDefault="00F64776" w:rsidP="00F64776">
      <w:pPr>
        <w:pStyle w:val="TextoNormalCentrado"/>
      </w:pPr>
    </w:p>
    <w:p w14:paraId="599E26D4" w14:textId="77777777" w:rsidR="00F64776" w:rsidRDefault="00F64776" w:rsidP="00F64776">
      <w:pPr>
        <w:pStyle w:val="SntesisDescriptiva"/>
      </w:pPr>
      <w:r>
        <w:t>Excms. Srs. doña Inmaculada Montalbán Huertas y doña Laura Díez Bueso.</w:t>
      </w:r>
    </w:p>
    <w:p w14:paraId="43908A66" w14:textId="1B1A438D" w:rsidR="00F64776" w:rsidRDefault="00F64776" w:rsidP="00F64776">
      <w:pPr>
        <w:pStyle w:val="SntesisDescriptiva"/>
      </w:pPr>
    </w:p>
    <w:p w14:paraId="0780F2B1" w14:textId="77777777" w:rsidR="00F64776" w:rsidRDefault="00F64776" w:rsidP="00F64776">
      <w:pPr>
        <w:pStyle w:val="SntesisDescriptiva"/>
      </w:pPr>
      <w:r>
        <w:t>Acepta una abstención en el recurso de amparo 3025-2023, promovido en proceso contencioso administrativo.</w:t>
      </w:r>
    </w:p>
    <w:p w14:paraId="571451D9" w14:textId="4194E0CD" w:rsidR="00F64776" w:rsidRDefault="00F64776" w:rsidP="00F64776">
      <w:pPr>
        <w:pStyle w:val="SntesisDescriptiva"/>
      </w:pPr>
    </w:p>
    <w:p w14:paraId="6E07EF23" w14:textId="77777777" w:rsidR="00F64776" w:rsidRDefault="00F64776" w:rsidP="00F64776">
      <w:pPr>
        <w:pStyle w:val="SntesisDescriptiva"/>
      </w:pPr>
    </w:p>
    <w:p w14:paraId="354246AC" w14:textId="77777777" w:rsidR="00F64776" w:rsidRDefault="00F64776" w:rsidP="00F64776">
      <w:pPr>
        <w:pStyle w:val="SntesisDescriptiva"/>
      </w:pPr>
    </w:p>
    <w:p w14:paraId="3B3D74D5" w14:textId="77777777" w:rsidR="00F64776" w:rsidRDefault="00F64776" w:rsidP="00F64776">
      <w:pPr>
        <w:pStyle w:val="TextoNormalNegritaCentrado"/>
      </w:pPr>
      <w:r>
        <w:t>AUTO</w:t>
      </w:r>
    </w:p>
    <w:p w14:paraId="71A482E8" w14:textId="4F3EE755" w:rsidR="00F64776" w:rsidRDefault="00F64776" w:rsidP="00F64776">
      <w:pPr>
        <w:pStyle w:val="TextoNormalNegritaCentrado"/>
      </w:pPr>
    </w:p>
    <w:p w14:paraId="40E118A6" w14:textId="77777777" w:rsidR="00F64776" w:rsidRDefault="00F64776" w:rsidP="00F64776">
      <w:pPr>
        <w:pStyle w:val="TextoNormalNegritaCentrado"/>
        <w:keepNext/>
      </w:pPr>
      <w:r>
        <w:t>I. Antecedentes</w:t>
      </w:r>
    </w:p>
    <w:p w14:paraId="1BAB8A74" w14:textId="1EEB3871" w:rsidR="00F64776" w:rsidRDefault="00F64776" w:rsidP="00F64776">
      <w:pPr>
        <w:pStyle w:val="TextoNormalNegritaCentrado"/>
        <w:keepNext/>
      </w:pPr>
    </w:p>
    <w:p w14:paraId="41BF5A40" w14:textId="5011ED85" w:rsidR="00F64776" w:rsidRDefault="00F64776" w:rsidP="00F64776">
      <w:pPr>
        <w:pStyle w:val="TextoNormal"/>
      </w:pPr>
      <w:r w:rsidRPr="00F64776">
        <w:rPr>
          <w:rStyle w:val="NumeroAFNegritaCaracter"/>
        </w:rPr>
        <w:t>1</w:t>
      </w:r>
      <w:r>
        <w:t>. Mediante escrito registrado en este tribunal el 9 de mayo de 2023, el procurador de los tribunales don José María Ruiz de la Cuesta Vacas, en nombre y representación de don Sergio Gutiérrez Rojas y bajo la dirección del letrado don Francisco Javier Araúz de Robles Dávila, formuló demanda de amparo contra la providencia de 17 de noviembre de 2022 de la Sección Primera de la Sala de lo Contencioso-Administrativo del Tribunal Supremo en recurso de casación núm. 101-2022.</w:t>
      </w:r>
    </w:p>
    <w:p w14:paraId="42BA160E" w14:textId="77777777" w:rsidR="00F64776" w:rsidRDefault="00F64776" w:rsidP="00F64776">
      <w:pPr>
        <w:pStyle w:val="TextoNormal"/>
      </w:pPr>
    </w:p>
    <w:p w14:paraId="5681F5AD" w14:textId="63B66F28" w:rsidR="00F64776" w:rsidRDefault="00F64776" w:rsidP="00F64776">
      <w:pPr>
        <w:pStyle w:val="TextoNormal"/>
      </w:pPr>
      <w:r w:rsidRPr="00F64776">
        <w:rPr>
          <w:rStyle w:val="NumeroAFNegritaCaracter"/>
        </w:rPr>
        <w:t>2</w:t>
      </w:r>
      <w:r>
        <w:t>. Por escrito de 5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0CE53721" w14:textId="77777777" w:rsidR="00F64776" w:rsidRDefault="00F64776" w:rsidP="00F64776">
      <w:pPr>
        <w:pStyle w:val="TextoNormal"/>
      </w:pPr>
    </w:p>
    <w:p w14:paraId="4D401EEC" w14:textId="77777777" w:rsidR="00F64776" w:rsidRDefault="00F64776" w:rsidP="00F64776">
      <w:pPr>
        <w:pStyle w:val="TextoNormalNegritaCentrado"/>
        <w:keepNext/>
      </w:pPr>
      <w:r>
        <w:t>II. Fundamentos jurídicos</w:t>
      </w:r>
    </w:p>
    <w:p w14:paraId="72174136" w14:textId="012D9880" w:rsidR="00F64776" w:rsidRDefault="00F64776" w:rsidP="00F64776">
      <w:pPr>
        <w:pStyle w:val="TextoNormalNegritaCentrado"/>
        <w:keepNext/>
      </w:pPr>
    </w:p>
    <w:p w14:paraId="45E9E96D" w14:textId="37FF6B9C"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330E4F31" w14:textId="77777777" w:rsidR="00F64776" w:rsidRDefault="00F64776" w:rsidP="00F64776">
      <w:pPr>
        <w:pStyle w:val="TextoNormal"/>
      </w:pPr>
    </w:p>
    <w:p w14:paraId="168D1C72" w14:textId="77777777" w:rsidR="00F64776" w:rsidRDefault="00F64776" w:rsidP="00F64776">
      <w:pPr>
        <w:pStyle w:val="TextoNormal"/>
      </w:pPr>
      <w:r>
        <w:t>Por lo expuesto, la Sección</w:t>
      </w:r>
    </w:p>
    <w:p w14:paraId="046AC621" w14:textId="0F3F9D95" w:rsidR="00F64776" w:rsidRDefault="00F64776" w:rsidP="00F64776">
      <w:pPr>
        <w:pStyle w:val="TextoNormal"/>
      </w:pPr>
    </w:p>
    <w:p w14:paraId="18700FA9" w14:textId="77777777" w:rsidR="00F64776" w:rsidRDefault="00F64776" w:rsidP="00F64776">
      <w:pPr>
        <w:pStyle w:val="TextoNormalCentrado"/>
      </w:pPr>
      <w:r>
        <w:t>ACUERDA</w:t>
      </w:r>
    </w:p>
    <w:p w14:paraId="4B52268B" w14:textId="299D73CC" w:rsidR="00F64776" w:rsidRDefault="00F64776" w:rsidP="00F64776">
      <w:pPr>
        <w:pStyle w:val="TextoNormalCentrado"/>
      </w:pPr>
    </w:p>
    <w:p w14:paraId="26616D4A" w14:textId="02AA7B0A" w:rsidR="00F64776" w:rsidRDefault="00F64776" w:rsidP="00F64776">
      <w:pPr>
        <w:pStyle w:val="TextoNormal"/>
      </w:pPr>
      <w:r>
        <w:t>Estimar justificada la abstención formulada por el magistrado don César Tolosa Tribiño en el recurso de amparo núm. 3025-2023 y apartarle definitivamente del conocimiento del referido recurso y de todas sus incidencias.</w:t>
      </w:r>
    </w:p>
    <w:p w14:paraId="4586318F" w14:textId="77777777" w:rsidR="00F64776" w:rsidRDefault="00F64776" w:rsidP="00F64776">
      <w:pPr>
        <w:pStyle w:val="TextoNormal"/>
      </w:pPr>
    </w:p>
    <w:p w14:paraId="301EDB4A" w14:textId="77777777" w:rsidR="00F64776" w:rsidRDefault="00F64776" w:rsidP="00F64776">
      <w:pPr>
        <w:pStyle w:val="TextoNormal"/>
      </w:pPr>
      <w:r>
        <w:t>Madrid, a cuatro de diciembre de dos mil veintitrés.</w:t>
      </w:r>
    </w:p>
    <w:p w14:paraId="7352C5AC" w14:textId="49764E3F" w:rsidR="00F64776" w:rsidRDefault="00F64776">
      <w:pPr>
        <w:spacing w:after="160" w:line="278" w:lineRule="auto"/>
        <w:rPr>
          <w:rFonts w:ascii="Times New Roman" w:eastAsia="Times New Roman" w:hAnsi="Times New Roman" w:cs="Times New Roman"/>
          <w:sz w:val="24"/>
          <w:szCs w:val="24"/>
          <w:lang w:eastAsia="es-ES"/>
        </w:rPr>
      </w:pPr>
      <w:r>
        <w:br w:type="page"/>
      </w:r>
    </w:p>
    <w:p w14:paraId="0EC56262" w14:textId="77777777" w:rsidR="00F64776" w:rsidRDefault="00F64776" w:rsidP="00F64776">
      <w:pPr>
        <w:pStyle w:val="TtuloResolucin"/>
      </w:pPr>
      <w:bookmarkStart w:id="416" w:name="AUTO_2023_631"/>
      <w:r>
        <w:t>AUTO 631/2023, de 4 de diciembre de 2023</w:t>
      </w:r>
    </w:p>
    <w:bookmarkEnd w:id="416"/>
    <w:p w14:paraId="7A5EA2F6" w14:textId="77777777" w:rsidR="00F64776" w:rsidRDefault="00F64776" w:rsidP="00F64776">
      <w:pPr>
        <w:pStyle w:val="TtuloResolucin"/>
      </w:pPr>
      <w:r>
        <w:t>Sección Tercera</w:t>
      </w:r>
    </w:p>
    <w:p w14:paraId="4E65A134" w14:textId="77777777" w:rsidR="00F64776" w:rsidRDefault="00F64776" w:rsidP="00F64776">
      <w:pPr>
        <w:pStyle w:val="TextoNormalCentrado"/>
      </w:pPr>
      <w:r>
        <w:t>ECLI:ES:TC:2023:631A</w:t>
      </w:r>
    </w:p>
    <w:p w14:paraId="32657441" w14:textId="7929A9D7" w:rsidR="00F64776" w:rsidRDefault="00F64776" w:rsidP="00F64776">
      <w:pPr>
        <w:pStyle w:val="TextoNormalCentrado"/>
      </w:pPr>
    </w:p>
    <w:p w14:paraId="5A37DFE6" w14:textId="77777777" w:rsidR="00F64776" w:rsidRDefault="00F64776" w:rsidP="00F64776">
      <w:pPr>
        <w:pStyle w:val="SntesisDescriptiva"/>
      </w:pPr>
      <w:r>
        <w:t>Excms. Srs. doña Inmaculada Montalbán Huertas y doña Laura Díez Bueso.</w:t>
      </w:r>
    </w:p>
    <w:p w14:paraId="18EC9496" w14:textId="470D09A5" w:rsidR="00F64776" w:rsidRDefault="00F64776" w:rsidP="00F64776">
      <w:pPr>
        <w:pStyle w:val="SntesisDescriptiva"/>
      </w:pPr>
    </w:p>
    <w:p w14:paraId="764B77E0" w14:textId="77777777" w:rsidR="00F64776" w:rsidRDefault="00F64776" w:rsidP="00F64776">
      <w:pPr>
        <w:pStyle w:val="SntesisDescriptiva"/>
      </w:pPr>
      <w:r>
        <w:t>Acepta una abstención en el recurso de amparo 3027-2023, promovido en proceso contencioso administrativo.</w:t>
      </w:r>
    </w:p>
    <w:p w14:paraId="72D4AE1B" w14:textId="64283A25" w:rsidR="00F64776" w:rsidRDefault="00F64776" w:rsidP="00F64776">
      <w:pPr>
        <w:pStyle w:val="SntesisDescriptiva"/>
      </w:pPr>
    </w:p>
    <w:p w14:paraId="4710ABAE" w14:textId="77777777" w:rsidR="00F64776" w:rsidRDefault="00F64776" w:rsidP="00F64776">
      <w:pPr>
        <w:pStyle w:val="SntesisDescriptiva"/>
      </w:pPr>
    </w:p>
    <w:p w14:paraId="6F823736" w14:textId="77777777" w:rsidR="00F64776" w:rsidRDefault="00F64776" w:rsidP="00F64776">
      <w:pPr>
        <w:pStyle w:val="SntesisDescriptiva"/>
      </w:pPr>
    </w:p>
    <w:p w14:paraId="3C3732F5" w14:textId="77777777" w:rsidR="00F64776" w:rsidRDefault="00F64776" w:rsidP="00F64776">
      <w:pPr>
        <w:pStyle w:val="TextoNormalNegritaCentrado"/>
      </w:pPr>
      <w:r>
        <w:t>AUTO</w:t>
      </w:r>
    </w:p>
    <w:p w14:paraId="69411744" w14:textId="01267A87" w:rsidR="00F64776" w:rsidRDefault="00F64776" w:rsidP="00F64776">
      <w:pPr>
        <w:pStyle w:val="TextoNormalNegritaCentrado"/>
      </w:pPr>
    </w:p>
    <w:p w14:paraId="633240BB" w14:textId="77777777" w:rsidR="00F64776" w:rsidRDefault="00F64776" w:rsidP="00F64776">
      <w:pPr>
        <w:pStyle w:val="TextoNormalNegritaCentrado"/>
        <w:keepNext/>
      </w:pPr>
      <w:r>
        <w:t>I. Antecedentes</w:t>
      </w:r>
    </w:p>
    <w:p w14:paraId="07E281C4" w14:textId="1798FD18" w:rsidR="00F64776" w:rsidRDefault="00F64776" w:rsidP="00F64776">
      <w:pPr>
        <w:pStyle w:val="TextoNormalNegritaCentrado"/>
        <w:keepNext/>
      </w:pPr>
    </w:p>
    <w:p w14:paraId="3BBA6958" w14:textId="2C6871EB" w:rsidR="00F64776" w:rsidRDefault="00F64776" w:rsidP="00F64776">
      <w:pPr>
        <w:pStyle w:val="TextoNormal"/>
      </w:pPr>
      <w:r w:rsidRPr="00F64776">
        <w:rPr>
          <w:rStyle w:val="NumeroAFNegritaCaracter"/>
        </w:rPr>
        <w:t>1</w:t>
      </w:r>
      <w:r>
        <w:t>. Mediante escrito registrado en este tribunal el 9 de mayo de 2023, el procurador de los tribunales don José María Ruiz de la Cuesta Vacas, en nombre y representación de doña Ana Gaspar Vallejo y bajo la dirección del letrado don Francisco Javier Araúz de Robles Dávila, formuló demanda de amparo contra providencias de la Sección Primera de lo Contencioso-Administrativo del Tribunal Supremo en recurso de casación núm. 2293-2022.</w:t>
      </w:r>
    </w:p>
    <w:p w14:paraId="61C7859B" w14:textId="77777777" w:rsidR="00F64776" w:rsidRDefault="00F64776" w:rsidP="00F64776">
      <w:pPr>
        <w:pStyle w:val="TextoNormal"/>
      </w:pPr>
    </w:p>
    <w:p w14:paraId="20996D7F" w14:textId="5D70D04A" w:rsidR="00F64776" w:rsidRDefault="00F64776" w:rsidP="00F64776">
      <w:pPr>
        <w:pStyle w:val="TextoNormal"/>
      </w:pPr>
      <w:r w:rsidRPr="00F64776">
        <w:rPr>
          <w:rStyle w:val="NumeroAFNegritaCaracter"/>
        </w:rPr>
        <w:t>2</w:t>
      </w:r>
      <w:r>
        <w:t>. Por escrito de 5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5B809E21" w14:textId="77777777" w:rsidR="00F64776" w:rsidRDefault="00F64776" w:rsidP="00F64776">
      <w:pPr>
        <w:pStyle w:val="TextoNormal"/>
      </w:pPr>
    </w:p>
    <w:p w14:paraId="514C29A5" w14:textId="77777777" w:rsidR="00F64776" w:rsidRDefault="00F64776" w:rsidP="00F64776">
      <w:pPr>
        <w:pStyle w:val="TextoNormalNegritaCentrado"/>
        <w:keepNext/>
      </w:pPr>
      <w:r>
        <w:t>II. Fundamentos jurídicos</w:t>
      </w:r>
    </w:p>
    <w:p w14:paraId="481EAD5F" w14:textId="5BEDEA8E" w:rsidR="00F64776" w:rsidRDefault="00F64776" w:rsidP="00F64776">
      <w:pPr>
        <w:pStyle w:val="TextoNormalNegritaCentrado"/>
        <w:keepNext/>
      </w:pPr>
    </w:p>
    <w:p w14:paraId="2403E951" w14:textId="24665AB6"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36D48532" w14:textId="77777777" w:rsidR="00F64776" w:rsidRDefault="00F64776" w:rsidP="00F64776">
      <w:pPr>
        <w:pStyle w:val="TextoNormal"/>
      </w:pPr>
    </w:p>
    <w:p w14:paraId="6FAEE40C" w14:textId="77777777" w:rsidR="00F64776" w:rsidRDefault="00F64776" w:rsidP="00F64776">
      <w:pPr>
        <w:pStyle w:val="TextoNormal"/>
      </w:pPr>
      <w:r>
        <w:t>Por lo expuesto, la Sección</w:t>
      </w:r>
    </w:p>
    <w:p w14:paraId="23DC250E" w14:textId="4F865670" w:rsidR="00F64776" w:rsidRDefault="00F64776" w:rsidP="00F64776">
      <w:pPr>
        <w:pStyle w:val="TextoNormal"/>
      </w:pPr>
    </w:p>
    <w:p w14:paraId="03E7C410" w14:textId="77777777" w:rsidR="00F64776" w:rsidRDefault="00F64776" w:rsidP="00F64776">
      <w:pPr>
        <w:pStyle w:val="TextoNormalCentrado"/>
      </w:pPr>
      <w:r>
        <w:t>ACUERDA</w:t>
      </w:r>
    </w:p>
    <w:p w14:paraId="4C9DE225" w14:textId="5FF98ECA" w:rsidR="00F64776" w:rsidRDefault="00F64776" w:rsidP="00F64776">
      <w:pPr>
        <w:pStyle w:val="TextoNormalCentrado"/>
      </w:pPr>
    </w:p>
    <w:p w14:paraId="4672A42A" w14:textId="3710C024" w:rsidR="00F64776" w:rsidRDefault="00F64776" w:rsidP="00F64776">
      <w:pPr>
        <w:pStyle w:val="TextoNormal"/>
      </w:pPr>
      <w:r>
        <w:t>Estimar justificada la abstención formulada por el magistrado don César Tolosa Tribiño en el recurso de amparo núm. 3027-2023 y apartarle definitivamente del conocimiento del referido recurso y de todas sus incidencias.</w:t>
      </w:r>
    </w:p>
    <w:p w14:paraId="7F1F3839" w14:textId="77777777" w:rsidR="00F64776" w:rsidRDefault="00F64776" w:rsidP="00F64776">
      <w:pPr>
        <w:pStyle w:val="TextoNormal"/>
      </w:pPr>
    </w:p>
    <w:p w14:paraId="4704ADDC" w14:textId="77777777" w:rsidR="00F64776" w:rsidRDefault="00F64776" w:rsidP="00F64776">
      <w:pPr>
        <w:pStyle w:val="TextoNormal"/>
      </w:pPr>
      <w:r>
        <w:t>Madrid, a cuatro de diciembre de dos mil veintitrés.</w:t>
      </w:r>
    </w:p>
    <w:p w14:paraId="0F17A516" w14:textId="1924FFC2" w:rsidR="00F64776" w:rsidRDefault="00F64776">
      <w:pPr>
        <w:spacing w:after="160" w:line="278" w:lineRule="auto"/>
        <w:rPr>
          <w:rFonts w:ascii="Times New Roman" w:eastAsia="Times New Roman" w:hAnsi="Times New Roman" w:cs="Times New Roman"/>
          <w:sz w:val="24"/>
          <w:szCs w:val="24"/>
          <w:lang w:eastAsia="es-ES"/>
        </w:rPr>
      </w:pPr>
      <w:r>
        <w:br w:type="page"/>
      </w:r>
    </w:p>
    <w:p w14:paraId="237B974F" w14:textId="77777777" w:rsidR="00F64776" w:rsidRDefault="00F64776" w:rsidP="00F64776">
      <w:pPr>
        <w:pStyle w:val="TtuloResolucin"/>
      </w:pPr>
      <w:bookmarkStart w:id="417" w:name="AUTO_2023_632"/>
      <w:r>
        <w:t>AUTO 632/2023, de 4 de diciembre de 2023</w:t>
      </w:r>
    </w:p>
    <w:bookmarkEnd w:id="417"/>
    <w:p w14:paraId="14AABB91" w14:textId="77777777" w:rsidR="00F64776" w:rsidRDefault="00F64776" w:rsidP="00F64776">
      <w:pPr>
        <w:pStyle w:val="TtuloResolucin"/>
      </w:pPr>
      <w:r>
        <w:t>Sección Tercera</w:t>
      </w:r>
    </w:p>
    <w:p w14:paraId="14A88929" w14:textId="77777777" w:rsidR="00F64776" w:rsidRDefault="00F64776" w:rsidP="00F64776">
      <w:pPr>
        <w:pStyle w:val="TextoNormalCentrado"/>
      </w:pPr>
      <w:r>
        <w:t>ECLI:ES:TC:2023:632A</w:t>
      </w:r>
    </w:p>
    <w:p w14:paraId="5E3DF040" w14:textId="0936C176" w:rsidR="00F64776" w:rsidRDefault="00F64776" w:rsidP="00F64776">
      <w:pPr>
        <w:pStyle w:val="TextoNormalCentrado"/>
      </w:pPr>
    </w:p>
    <w:p w14:paraId="5C154C12" w14:textId="77777777" w:rsidR="00F64776" w:rsidRDefault="00F64776" w:rsidP="00F64776">
      <w:pPr>
        <w:pStyle w:val="SntesisDescriptiva"/>
      </w:pPr>
      <w:r>
        <w:t>Excms. Srs. doña Inmaculada Montalbán Huertas y doña Laura Díez Bueso.</w:t>
      </w:r>
    </w:p>
    <w:p w14:paraId="046EE2E2" w14:textId="2D02B638" w:rsidR="00F64776" w:rsidRDefault="00F64776" w:rsidP="00F64776">
      <w:pPr>
        <w:pStyle w:val="SntesisDescriptiva"/>
      </w:pPr>
    </w:p>
    <w:p w14:paraId="6D134184" w14:textId="77777777" w:rsidR="00F64776" w:rsidRDefault="00F64776" w:rsidP="00F64776">
      <w:pPr>
        <w:pStyle w:val="SntesisDescriptiva"/>
      </w:pPr>
      <w:r>
        <w:t>Acepta una abstención en el recurso de amparo 3037-2023, promovido en proceso contencioso administrativo.</w:t>
      </w:r>
    </w:p>
    <w:p w14:paraId="5A2699CF" w14:textId="15E77F81" w:rsidR="00F64776" w:rsidRDefault="00F64776" w:rsidP="00F64776">
      <w:pPr>
        <w:pStyle w:val="SntesisDescriptiva"/>
      </w:pPr>
    </w:p>
    <w:p w14:paraId="2B343EF8" w14:textId="77777777" w:rsidR="00F64776" w:rsidRDefault="00F64776" w:rsidP="00F64776">
      <w:pPr>
        <w:pStyle w:val="SntesisDescriptiva"/>
      </w:pPr>
    </w:p>
    <w:p w14:paraId="28508ABB" w14:textId="77777777" w:rsidR="00F64776" w:rsidRDefault="00F64776" w:rsidP="00F64776">
      <w:pPr>
        <w:pStyle w:val="SntesisDescriptiva"/>
      </w:pPr>
    </w:p>
    <w:p w14:paraId="3C645BEF" w14:textId="77777777" w:rsidR="00F64776" w:rsidRDefault="00F64776" w:rsidP="00F64776">
      <w:pPr>
        <w:pStyle w:val="TextoNormalNegritaCentrado"/>
      </w:pPr>
      <w:r>
        <w:t>AUTO</w:t>
      </w:r>
    </w:p>
    <w:p w14:paraId="6F7CA29A" w14:textId="1B76ECBA" w:rsidR="00F64776" w:rsidRDefault="00F64776" w:rsidP="00F64776">
      <w:pPr>
        <w:pStyle w:val="TextoNormalNegritaCentrado"/>
      </w:pPr>
    </w:p>
    <w:p w14:paraId="6851EB2F" w14:textId="77777777" w:rsidR="00F64776" w:rsidRDefault="00F64776" w:rsidP="00F64776">
      <w:pPr>
        <w:pStyle w:val="TextoNormalNegritaCentrado"/>
        <w:keepNext/>
      </w:pPr>
      <w:r>
        <w:t>I. Antecedentes</w:t>
      </w:r>
    </w:p>
    <w:p w14:paraId="459A3ED5" w14:textId="496950EA" w:rsidR="00F64776" w:rsidRDefault="00F64776" w:rsidP="00F64776">
      <w:pPr>
        <w:pStyle w:val="TextoNormalNegritaCentrado"/>
        <w:keepNext/>
      </w:pPr>
    </w:p>
    <w:p w14:paraId="7D7F94BC" w14:textId="3A70F73B" w:rsidR="00F64776" w:rsidRDefault="00F64776" w:rsidP="00F64776">
      <w:pPr>
        <w:pStyle w:val="TextoNormal"/>
      </w:pPr>
      <w:r w:rsidRPr="00F64776">
        <w:rPr>
          <w:rStyle w:val="NumeroAFNegritaCaracter"/>
        </w:rPr>
        <w:t>1</w:t>
      </w:r>
      <w:r>
        <w:t>. Mediante escrito registrado en este tribunal el 9 de mayo de 2023, el procurador de los tribunales don José María Ruiz de la Cuesta Vacas, en nombre y representación de don Antonio Fernández García y otros y bajo la dirección del letrado don Francisco Javier Araúz de Robles Dávila, formuló demanda de amparo contra el auto de 7 de noviembre de 2022 de la Sección Primera de la Sala de lo Contencioso-Administrativo del Tribunal Supremo en recurso de queja núm. 327-2022.</w:t>
      </w:r>
    </w:p>
    <w:p w14:paraId="3C206D0B" w14:textId="77777777" w:rsidR="00F64776" w:rsidRDefault="00F64776" w:rsidP="00F64776">
      <w:pPr>
        <w:pStyle w:val="TextoNormal"/>
      </w:pPr>
    </w:p>
    <w:p w14:paraId="0CEC55EE" w14:textId="34EEAE37" w:rsidR="00F64776" w:rsidRDefault="00F64776" w:rsidP="00F64776">
      <w:pPr>
        <w:pStyle w:val="TextoNormal"/>
      </w:pPr>
      <w:r w:rsidRPr="00F64776">
        <w:rPr>
          <w:rStyle w:val="NumeroAFNegritaCaracter"/>
        </w:rPr>
        <w:t>2</w:t>
      </w:r>
      <w:r>
        <w:t>. Por escrito de 5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27F4874E" w14:textId="77777777" w:rsidR="00F64776" w:rsidRDefault="00F64776" w:rsidP="00F64776">
      <w:pPr>
        <w:pStyle w:val="TextoNormal"/>
      </w:pPr>
    </w:p>
    <w:p w14:paraId="768FA794" w14:textId="77777777" w:rsidR="00F64776" w:rsidRDefault="00F64776" w:rsidP="00F64776">
      <w:pPr>
        <w:pStyle w:val="TextoNormalNegritaCentrado"/>
        <w:keepNext/>
      </w:pPr>
      <w:r>
        <w:t>II. Fundamentos jurídicos</w:t>
      </w:r>
    </w:p>
    <w:p w14:paraId="3262C7BA" w14:textId="1294EE89" w:rsidR="00F64776" w:rsidRDefault="00F64776" w:rsidP="00F64776">
      <w:pPr>
        <w:pStyle w:val="TextoNormalNegritaCentrado"/>
        <w:keepNext/>
      </w:pPr>
    </w:p>
    <w:p w14:paraId="028E4DD0" w14:textId="7F94F5D9"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2C365880" w14:textId="77777777" w:rsidR="00F64776" w:rsidRDefault="00F64776" w:rsidP="00F64776">
      <w:pPr>
        <w:pStyle w:val="TextoNormal"/>
      </w:pPr>
    </w:p>
    <w:p w14:paraId="17268A56" w14:textId="77777777" w:rsidR="00F64776" w:rsidRDefault="00F64776" w:rsidP="00F64776">
      <w:pPr>
        <w:pStyle w:val="TextoNormal"/>
      </w:pPr>
      <w:r>
        <w:t>Por lo expuesto, la Sección</w:t>
      </w:r>
    </w:p>
    <w:p w14:paraId="33118C7B" w14:textId="434708B9" w:rsidR="00F64776" w:rsidRDefault="00F64776" w:rsidP="00F64776">
      <w:pPr>
        <w:pStyle w:val="TextoNormal"/>
      </w:pPr>
    </w:p>
    <w:p w14:paraId="4456CBCC" w14:textId="77777777" w:rsidR="00F64776" w:rsidRDefault="00F64776" w:rsidP="00F64776">
      <w:pPr>
        <w:pStyle w:val="TextoNormalCentrado"/>
      </w:pPr>
      <w:r>
        <w:t>ACUERDA</w:t>
      </w:r>
    </w:p>
    <w:p w14:paraId="51EC36C5" w14:textId="6DFE001A" w:rsidR="00F64776" w:rsidRDefault="00F64776" w:rsidP="00F64776">
      <w:pPr>
        <w:pStyle w:val="TextoNormalCentrado"/>
      </w:pPr>
    </w:p>
    <w:p w14:paraId="1141F754" w14:textId="2AB9FBB4" w:rsidR="00F64776" w:rsidRDefault="00F64776" w:rsidP="00F64776">
      <w:pPr>
        <w:pStyle w:val="TextoNormal"/>
      </w:pPr>
      <w:r>
        <w:t>Estimar justificada la abstención formulada por el magistrado don César Tolosa Tribiño en el recurso de amparo núm. 3037-2023 y apartarle definitivamente del conocimiento del referido recurso y de todas sus incidencias.</w:t>
      </w:r>
    </w:p>
    <w:p w14:paraId="7CF8B3DC" w14:textId="77777777" w:rsidR="00F64776" w:rsidRDefault="00F64776" w:rsidP="00F64776">
      <w:pPr>
        <w:pStyle w:val="TextoNormal"/>
      </w:pPr>
    </w:p>
    <w:p w14:paraId="5DF7B1C4" w14:textId="77777777" w:rsidR="00F64776" w:rsidRDefault="00F64776" w:rsidP="00F64776">
      <w:pPr>
        <w:pStyle w:val="TextoNormal"/>
      </w:pPr>
      <w:r>
        <w:t>Madrid, a cuatro de diciembre de dos mil veintitrés.</w:t>
      </w:r>
    </w:p>
    <w:p w14:paraId="75D9396F" w14:textId="297D611F" w:rsidR="00F64776" w:rsidRDefault="00F64776">
      <w:pPr>
        <w:spacing w:after="160" w:line="278" w:lineRule="auto"/>
        <w:rPr>
          <w:rFonts w:ascii="Times New Roman" w:eastAsia="Times New Roman" w:hAnsi="Times New Roman" w:cs="Times New Roman"/>
          <w:sz w:val="24"/>
          <w:szCs w:val="24"/>
          <w:lang w:eastAsia="es-ES"/>
        </w:rPr>
      </w:pPr>
      <w:r>
        <w:br w:type="page"/>
      </w:r>
    </w:p>
    <w:p w14:paraId="6EDF7F9F" w14:textId="77777777" w:rsidR="00F64776" w:rsidRDefault="00F64776" w:rsidP="00F64776">
      <w:pPr>
        <w:pStyle w:val="TtuloResolucin"/>
      </w:pPr>
      <w:bookmarkStart w:id="418" w:name="AUTO_2023_633"/>
      <w:r>
        <w:t>AUTO 633/2023, de 4 de diciembre de 2023</w:t>
      </w:r>
    </w:p>
    <w:bookmarkEnd w:id="418"/>
    <w:p w14:paraId="5000BDD6" w14:textId="77777777" w:rsidR="00F64776" w:rsidRDefault="00F64776" w:rsidP="00F64776">
      <w:pPr>
        <w:pStyle w:val="TtuloResolucin"/>
      </w:pPr>
      <w:r>
        <w:t>Sección Tercera</w:t>
      </w:r>
    </w:p>
    <w:p w14:paraId="074F44E0" w14:textId="77777777" w:rsidR="00F64776" w:rsidRDefault="00F64776" w:rsidP="00F64776">
      <w:pPr>
        <w:pStyle w:val="TextoNormalCentrado"/>
      </w:pPr>
      <w:r>
        <w:t>ECLI:ES:TC:2023:633A</w:t>
      </w:r>
    </w:p>
    <w:p w14:paraId="05E998FE" w14:textId="6D9EFCA5" w:rsidR="00F64776" w:rsidRDefault="00F64776" w:rsidP="00F64776">
      <w:pPr>
        <w:pStyle w:val="TextoNormalCentrado"/>
      </w:pPr>
    </w:p>
    <w:p w14:paraId="1D33B50C" w14:textId="77777777" w:rsidR="00F64776" w:rsidRDefault="00F64776" w:rsidP="00F64776">
      <w:pPr>
        <w:pStyle w:val="SntesisDescriptiva"/>
      </w:pPr>
      <w:r>
        <w:t>Excms. Srs. doña Inmaculada Montalbán Huertas y doña Laura Díez Bueso.</w:t>
      </w:r>
    </w:p>
    <w:p w14:paraId="624FC909" w14:textId="29E04E97" w:rsidR="00F64776" w:rsidRDefault="00F64776" w:rsidP="00F64776">
      <w:pPr>
        <w:pStyle w:val="SntesisDescriptiva"/>
      </w:pPr>
    </w:p>
    <w:p w14:paraId="7B09D05F" w14:textId="77777777" w:rsidR="00F64776" w:rsidRDefault="00F64776" w:rsidP="00F64776">
      <w:pPr>
        <w:pStyle w:val="SntesisDescriptiva"/>
      </w:pPr>
      <w:r>
        <w:t>Acepta una abstención en el recurso de amparo 3123-2023, promovido en proceso contencioso administrativo.</w:t>
      </w:r>
    </w:p>
    <w:p w14:paraId="6202DEDB" w14:textId="232C7178" w:rsidR="00F64776" w:rsidRDefault="00F64776" w:rsidP="00F64776">
      <w:pPr>
        <w:pStyle w:val="SntesisDescriptiva"/>
      </w:pPr>
    </w:p>
    <w:p w14:paraId="084A9974" w14:textId="77777777" w:rsidR="00F64776" w:rsidRDefault="00F64776" w:rsidP="00F64776">
      <w:pPr>
        <w:pStyle w:val="SntesisDescriptiva"/>
      </w:pPr>
    </w:p>
    <w:p w14:paraId="2BBC7E48" w14:textId="77777777" w:rsidR="00F64776" w:rsidRDefault="00F64776" w:rsidP="00F64776">
      <w:pPr>
        <w:pStyle w:val="SntesisDescriptiva"/>
      </w:pPr>
    </w:p>
    <w:p w14:paraId="23215CC7" w14:textId="77777777" w:rsidR="00F64776" w:rsidRDefault="00F64776" w:rsidP="00F64776">
      <w:pPr>
        <w:pStyle w:val="TextoNormalNegritaCentrado"/>
      </w:pPr>
      <w:r>
        <w:t>AUTO</w:t>
      </w:r>
    </w:p>
    <w:p w14:paraId="5B8A1F0E" w14:textId="5CD644FC" w:rsidR="00F64776" w:rsidRDefault="00F64776" w:rsidP="00F64776">
      <w:pPr>
        <w:pStyle w:val="TextoNormalNegritaCentrado"/>
      </w:pPr>
    </w:p>
    <w:p w14:paraId="6CF58263" w14:textId="77777777" w:rsidR="00F64776" w:rsidRDefault="00F64776" w:rsidP="00F64776">
      <w:pPr>
        <w:pStyle w:val="TextoNormalNegritaCentrado"/>
        <w:keepNext/>
      </w:pPr>
      <w:r>
        <w:t>I. Antecedentes</w:t>
      </w:r>
    </w:p>
    <w:p w14:paraId="4BA6759C" w14:textId="4BFABB70" w:rsidR="00F64776" w:rsidRDefault="00F64776" w:rsidP="00F64776">
      <w:pPr>
        <w:pStyle w:val="TextoNormalNegritaCentrado"/>
        <w:keepNext/>
      </w:pPr>
    </w:p>
    <w:p w14:paraId="43D37E60" w14:textId="66D22F19" w:rsidR="00F64776" w:rsidRDefault="00F64776" w:rsidP="00F64776">
      <w:pPr>
        <w:pStyle w:val="TextoNormal"/>
      </w:pPr>
      <w:r w:rsidRPr="00F64776">
        <w:rPr>
          <w:rStyle w:val="NumeroAFNegritaCaracter"/>
        </w:rPr>
        <w:t>1</w:t>
      </w:r>
      <w:r>
        <w:t>. Mediante escrito registrado en este tribunal el 11 de mayo de 2023, el procurador de los tribunales don José María Ruiz de la Cuesta Vacas, en nombre y representación de doña María José Flores Guidi y bajo la dirección del letrado don Francisco Javier Araúz de Robles Dávila, formuló demanda de amparo contra la providencia de 3 de noviembre de 2022 de la Sección Primera Sala de lo Contencioso-Administrativo del Tribunal Supremo en recurso de casación núm. 7507-2021.</w:t>
      </w:r>
    </w:p>
    <w:p w14:paraId="62332F5E" w14:textId="77777777" w:rsidR="00F64776" w:rsidRDefault="00F64776" w:rsidP="00F64776">
      <w:pPr>
        <w:pStyle w:val="TextoNormal"/>
      </w:pPr>
    </w:p>
    <w:p w14:paraId="698927DF" w14:textId="1404280A" w:rsidR="00F64776" w:rsidRDefault="00F64776" w:rsidP="00F64776">
      <w:pPr>
        <w:pStyle w:val="TextoNormal"/>
      </w:pPr>
      <w:r w:rsidRPr="00F64776">
        <w:rPr>
          <w:rStyle w:val="NumeroAFNegritaCaracter"/>
        </w:rPr>
        <w:t>2</w:t>
      </w:r>
      <w:r>
        <w:t>. Por escrito de 5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2B073950" w14:textId="77777777" w:rsidR="00F64776" w:rsidRDefault="00F64776" w:rsidP="00F64776">
      <w:pPr>
        <w:pStyle w:val="TextoNormal"/>
      </w:pPr>
    </w:p>
    <w:p w14:paraId="2900AC9B" w14:textId="77777777" w:rsidR="00F64776" w:rsidRDefault="00F64776" w:rsidP="00F64776">
      <w:pPr>
        <w:pStyle w:val="TextoNormalNegritaCentrado"/>
        <w:keepNext/>
      </w:pPr>
      <w:r>
        <w:t>II. Fundamentos jurídicos</w:t>
      </w:r>
    </w:p>
    <w:p w14:paraId="440B1902" w14:textId="78CB441B" w:rsidR="00F64776" w:rsidRDefault="00F64776" w:rsidP="00F64776">
      <w:pPr>
        <w:pStyle w:val="TextoNormalNegritaCentrado"/>
        <w:keepNext/>
      </w:pPr>
    </w:p>
    <w:p w14:paraId="7C586193" w14:textId="6878D09B"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3FDAFA90" w14:textId="77777777" w:rsidR="00F64776" w:rsidRDefault="00F64776" w:rsidP="00F64776">
      <w:pPr>
        <w:pStyle w:val="TextoNormal"/>
      </w:pPr>
    </w:p>
    <w:p w14:paraId="78A03D51" w14:textId="77777777" w:rsidR="00F64776" w:rsidRDefault="00F64776" w:rsidP="00F64776">
      <w:pPr>
        <w:pStyle w:val="TextoNormal"/>
      </w:pPr>
      <w:r>
        <w:t>Por lo expuesto, la Sección</w:t>
      </w:r>
    </w:p>
    <w:p w14:paraId="68AD8FB7" w14:textId="656F4468" w:rsidR="00F64776" w:rsidRDefault="00F64776" w:rsidP="00F64776">
      <w:pPr>
        <w:pStyle w:val="TextoNormal"/>
      </w:pPr>
    </w:p>
    <w:p w14:paraId="3570FF1F" w14:textId="77777777" w:rsidR="00F64776" w:rsidRDefault="00F64776" w:rsidP="00F64776">
      <w:pPr>
        <w:pStyle w:val="TextoNormalCentrado"/>
      </w:pPr>
      <w:r>
        <w:t>ACUERDA</w:t>
      </w:r>
    </w:p>
    <w:p w14:paraId="048D55F7" w14:textId="3D27A851" w:rsidR="00F64776" w:rsidRDefault="00F64776" w:rsidP="00F64776">
      <w:pPr>
        <w:pStyle w:val="TextoNormalCentrado"/>
      </w:pPr>
    </w:p>
    <w:p w14:paraId="45B2FAF5" w14:textId="7E5256A0" w:rsidR="00F64776" w:rsidRDefault="00F64776" w:rsidP="00F64776">
      <w:pPr>
        <w:pStyle w:val="TextoNormal"/>
      </w:pPr>
      <w:r>
        <w:t>Estimar justificada la abstención formulada por el magistrado don César Tolosa Tribiño en el recurso de amparo núm. 3123-2023 y apartarle definitivamente del conocimiento del referido recurso y de todas sus incidencias.</w:t>
      </w:r>
    </w:p>
    <w:p w14:paraId="17D0345E" w14:textId="77777777" w:rsidR="00F64776" w:rsidRDefault="00F64776" w:rsidP="00F64776">
      <w:pPr>
        <w:pStyle w:val="TextoNormal"/>
      </w:pPr>
    </w:p>
    <w:p w14:paraId="14D0AD89" w14:textId="77777777" w:rsidR="00F64776" w:rsidRDefault="00F64776" w:rsidP="00F64776">
      <w:pPr>
        <w:pStyle w:val="TextoNormal"/>
      </w:pPr>
      <w:r>
        <w:t>Madrid, a cuatro de diciembre de dos mil veintitrés.</w:t>
      </w:r>
    </w:p>
    <w:p w14:paraId="60479D60" w14:textId="366D5394" w:rsidR="00F64776" w:rsidRDefault="00F64776">
      <w:pPr>
        <w:spacing w:after="160" w:line="278" w:lineRule="auto"/>
        <w:rPr>
          <w:rFonts w:ascii="Times New Roman" w:eastAsia="Times New Roman" w:hAnsi="Times New Roman" w:cs="Times New Roman"/>
          <w:sz w:val="24"/>
          <w:szCs w:val="24"/>
          <w:lang w:eastAsia="es-ES"/>
        </w:rPr>
      </w:pPr>
      <w:r>
        <w:br w:type="page"/>
      </w:r>
    </w:p>
    <w:p w14:paraId="30C185B0" w14:textId="77777777" w:rsidR="00F64776" w:rsidRDefault="00F64776" w:rsidP="00F64776">
      <w:pPr>
        <w:pStyle w:val="TtuloResolucin"/>
      </w:pPr>
      <w:bookmarkStart w:id="419" w:name="AUTO_2023_634"/>
      <w:r>
        <w:t>AUTO 634/2023, de 4 de diciembre de 2023</w:t>
      </w:r>
    </w:p>
    <w:bookmarkEnd w:id="419"/>
    <w:p w14:paraId="723E5530" w14:textId="77777777" w:rsidR="00F64776" w:rsidRDefault="00F64776" w:rsidP="00F64776">
      <w:pPr>
        <w:pStyle w:val="TtuloResolucin"/>
      </w:pPr>
      <w:r>
        <w:t>Sección Tercera</w:t>
      </w:r>
    </w:p>
    <w:p w14:paraId="24730F7F" w14:textId="77777777" w:rsidR="00F64776" w:rsidRDefault="00F64776" w:rsidP="00F64776">
      <w:pPr>
        <w:pStyle w:val="TextoNormalCentrado"/>
      </w:pPr>
      <w:r>
        <w:t>ECLI:ES:TC:2023:634A</w:t>
      </w:r>
    </w:p>
    <w:p w14:paraId="13D1CAFC" w14:textId="7264EA07" w:rsidR="00F64776" w:rsidRDefault="00F64776" w:rsidP="00F64776">
      <w:pPr>
        <w:pStyle w:val="TextoNormalCentrado"/>
      </w:pPr>
    </w:p>
    <w:p w14:paraId="19C1D73E" w14:textId="77777777" w:rsidR="00F64776" w:rsidRDefault="00F64776" w:rsidP="00F64776">
      <w:pPr>
        <w:pStyle w:val="SntesisDescriptiva"/>
      </w:pPr>
      <w:r>
        <w:t>Excms. Srs. doña Inmaculada Montalbán Huertas y doña Laura Díez Bueso.</w:t>
      </w:r>
    </w:p>
    <w:p w14:paraId="1226EB9A" w14:textId="7A293421" w:rsidR="00F64776" w:rsidRDefault="00F64776" w:rsidP="00F64776">
      <w:pPr>
        <w:pStyle w:val="SntesisDescriptiva"/>
      </w:pPr>
    </w:p>
    <w:p w14:paraId="730CF223" w14:textId="77777777" w:rsidR="00F64776" w:rsidRDefault="00F64776" w:rsidP="00F64776">
      <w:pPr>
        <w:pStyle w:val="SntesisDescriptiva"/>
      </w:pPr>
      <w:r>
        <w:t>Acepta una abstención en el recurso de amparo 3210-2023, promovido en proceso contencioso administrativo.</w:t>
      </w:r>
    </w:p>
    <w:p w14:paraId="7B79FB24" w14:textId="11A49C4D" w:rsidR="00F64776" w:rsidRDefault="00F64776" w:rsidP="00F64776">
      <w:pPr>
        <w:pStyle w:val="SntesisDescriptiva"/>
      </w:pPr>
    </w:p>
    <w:p w14:paraId="1706BAA3" w14:textId="77777777" w:rsidR="00F64776" w:rsidRDefault="00F64776" w:rsidP="00F64776">
      <w:pPr>
        <w:pStyle w:val="SntesisDescriptiva"/>
      </w:pPr>
    </w:p>
    <w:p w14:paraId="4D1A952B" w14:textId="77777777" w:rsidR="00F64776" w:rsidRDefault="00F64776" w:rsidP="00F64776">
      <w:pPr>
        <w:pStyle w:val="SntesisDescriptiva"/>
      </w:pPr>
    </w:p>
    <w:p w14:paraId="5C3956F6" w14:textId="77777777" w:rsidR="00F64776" w:rsidRDefault="00F64776" w:rsidP="00F64776">
      <w:pPr>
        <w:pStyle w:val="TextoNormalNegritaCentrado"/>
      </w:pPr>
      <w:r>
        <w:t>AUTO</w:t>
      </w:r>
    </w:p>
    <w:p w14:paraId="47AB8ECF" w14:textId="1B927258" w:rsidR="00F64776" w:rsidRDefault="00F64776" w:rsidP="00F64776">
      <w:pPr>
        <w:pStyle w:val="TextoNormalNegritaCentrado"/>
      </w:pPr>
    </w:p>
    <w:p w14:paraId="5FDD8BFE" w14:textId="77777777" w:rsidR="00F64776" w:rsidRDefault="00F64776" w:rsidP="00F64776">
      <w:pPr>
        <w:pStyle w:val="TextoNormalNegritaCentrado"/>
        <w:keepNext/>
      </w:pPr>
      <w:r>
        <w:t>I. Antecedentes</w:t>
      </w:r>
    </w:p>
    <w:p w14:paraId="5A503EA1" w14:textId="537F90A9" w:rsidR="00F64776" w:rsidRDefault="00F64776" w:rsidP="00F64776">
      <w:pPr>
        <w:pStyle w:val="TextoNormalNegritaCentrado"/>
        <w:keepNext/>
      </w:pPr>
    </w:p>
    <w:p w14:paraId="00D06C61" w14:textId="1558E189" w:rsidR="00F64776" w:rsidRDefault="00F64776" w:rsidP="00F64776">
      <w:pPr>
        <w:pStyle w:val="TextoNormal"/>
      </w:pPr>
      <w:r w:rsidRPr="00F64776">
        <w:rPr>
          <w:rStyle w:val="NumeroAFNegritaCaracter"/>
        </w:rPr>
        <w:t>1</w:t>
      </w:r>
      <w:r>
        <w:t>. Mediante escrito registrado en este tribunal el 16 de mayo de 2023, el procurador de los tribunales don José María Ruiz de la Cuesta Vacas, en nombre y representación de don José Antonio Martín Rodríguez y bajo la dirección del letrado don Francisco Javier Araúz de Robles Dávila, formuló demanda de amparo contra auto y providencia de la Sección Primera de la Sala de lo Contencioso-Administrativo del Tribunal Supremo en recurso de queja núm. 270-2022.</w:t>
      </w:r>
    </w:p>
    <w:p w14:paraId="2911C98C" w14:textId="77777777" w:rsidR="00F64776" w:rsidRDefault="00F64776" w:rsidP="00F64776">
      <w:pPr>
        <w:pStyle w:val="TextoNormal"/>
      </w:pPr>
    </w:p>
    <w:p w14:paraId="4F1B09AE" w14:textId="075718E0" w:rsidR="00F64776" w:rsidRDefault="00F64776" w:rsidP="00F64776">
      <w:pPr>
        <w:pStyle w:val="TextoNormal"/>
      </w:pPr>
      <w:r w:rsidRPr="00F64776">
        <w:rPr>
          <w:rStyle w:val="NumeroAFNegritaCaracter"/>
        </w:rPr>
        <w:t>2</w:t>
      </w:r>
      <w:r>
        <w:t>. Por escrito de 12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4F64FD6E" w14:textId="77777777" w:rsidR="00F64776" w:rsidRDefault="00F64776" w:rsidP="00F64776">
      <w:pPr>
        <w:pStyle w:val="TextoNormal"/>
      </w:pPr>
    </w:p>
    <w:p w14:paraId="236E74A6" w14:textId="77777777" w:rsidR="00F64776" w:rsidRDefault="00F64776" w:rsidP="00F64776">
      <w:pPr>
        <w:pStyle w:val="TextoNormalNegritaCentrado"/>
        <w:keepNext/>
      </w:pPr>
      <w:r>
        <w:t>II. Fundamentos jurídicos</w:t>
      </w:r>
    </w:p>
    <w:p w14:paraId="77E9AB9D" w14:textId="5A69AF14" w:rsidR="00F64776" w:rsidRDefault="00F64776" w:rsidP="00F64776">
      <w:pPr>
        <w:pStyle w:val="TextoNormalNegritaCentrado"/>
        <w:keepNext/>
      </w:pPr>
    </w:p>
    <w:p w14:paraId="077955F6" w14:textId="3342EC46"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22B68D19" w14:textId="77777777" w:rsidR="00F64776" w:rsidRDefault="00F64776" w:rsidP="00F64776">
      <w:pPr>
        <w:pStyle w:val="TextoNormal"/>
      </w:pPr>
    </w:p>
    <w:p w14:paraId="3690241F" w14:textId="77777777" w:rsidR="00F64776" w:rsidRDefault="00F64776" w:rsidP="00F64776">
      <w:pPr>
        <w:pStyle w:val="TextoNormal"/>
      </w:pPr>
      <w:r>
        <w:t>Por lo expuesto, la Sección</w:t>
      </w:r>
    </w:p>
    <w:p w14:paraId="1D9A65EC" w14:textId="4744D445" w:rsidR="00F64776" w:rsidRDefault="00F64776" w:rsidP="00F64776">
      <w:pPr>
        <w:pStyle w:val="TextoNormal"/>
      </w:pPr>
    </w:p>
    <w:p w14:paraId="5544904D" w14:textId="77777777" w:rsidR="00F64776" w:rsidRDefault="00F64776" w:rsidP="00F64776">
      <w:pPr>
        <w:pStyle w:val="TextoNormalCentrado"/>
      </w:pPr>
      <w:r>
        <w:t>ACUERDA</w:t>
      </w:r>
    </w:p>
    <w:p w14:paraId="359C6573" w14:textId="4BECC4BE" w:rsidR="00F64776" w:rsidRDefault="00F64776" w:rsidP="00F64776">
      <w:pPr>
        <w:pStyle w:val="TextoNormalCentrado"/>
      </w:pPr>
    </w:p>
    <w:p w14:paraId="14D3549F" w14:textId="0A6209D1" w:rsidR="00F64776" w:rsidRDefault="00F64776" w:rsidP="00F64776">
      <w:pPr>
        <w:pStyle w:val="TextoNormal"/>
      </w:pPr>
      <w:r>
        <w:t>Estimar justificada la abstención formulada por el magistrado don César Tolosa Tribiño en el recurso de amparo núm. 3210-2023 y apartarle definitivamente del conocimiento del referido recurso y de todas sus incidencias.</w:t>
      </w:r>
    </w:p>
    <w:p w14:paraId="43648CD9" w14:textId="77777777" w:rsidR="00F64776" w:rsidRDefault="00F64776" w:rsidP="00F64776">
      <w:pPr>
        <w:pStyle w:val="TextoNormal"/>
      </w:pPr>
    </w:p>
    <w:p w14:paraId="2F470EAD" w14:textId="77777777" w:rsidR="00F64776" w:rsidRDefault="00F64776" w:rsidP="00F64776">
      <w:pPr>
        <w:pStyle w:val="TextoNormal"/>
      </w:pPr>
      <w:r>
        <w:t>Madrid, a cuatro de diciembre de dos mil veintitrés.</w:t>
      </w:r>
    </w:p>
    <w:p w14:paraId="3C4BC571" w14:textId="41E25CBD" w:rsidR="00F64776" w:rsidRDefault="00F64776">
      <w:pPr>
        <w:spacing w:after="160" w:line="278" w:lineRule="auto"/>
        <w:rPr>
          <w:rFonts w:ascii="Times New Roman" w:eastAsia="Times New Roman" w:hAnsi="Times New Roman" w:cs="Times New Roman"/>
          <w:sz w:val="24"/>
          <w:szCs w:val="24"/>
          <w:lang w:eastAsia="es-ES"/>
        </w:rPr>
      </w:pPr>
      <w:r>
        <w:br w:type="page"/>
      </w:r>
    </w:p>
    <w:p w14:paraId="3A1304C2" w14:textId="77777777" w:rsidR="00F64776" w:rsidRDefault="00F64776" w:rsidP="00F64776">
      <w:pPr>
        <w:pStyle w:val="TtuloResolucin"/>
      </w:pPr>
      <w:bookmarkStart w:id="420" w:name="AUTO_2023_635"/>
      <w:r>
        <w:t>AUTO 635/2023, de 4 de diciembre de 2023</w:t>
      </w:r>
    </w:p>
    <w:bookmarkEnd w:id="420"/>
    <w:p w14:paraId="35929430" w14:textId="77777777" w:rsidR="00F64776" w:rsidRDefault="00F64776" w:rsidP="00F64776">
      <w:pPr>
        <w:pStyle w:val="TtuloResolucin"/>
      </w:pPr>
      <w:r>
        <w:t>Sección Tercera</w:t>
      </w:r>
    </w:p>
    <w:p w14:paraId="4DAB0F5C" w14:textId="77777777" w:rsidR="00F64776" w:rsidRDefault="00F64776" w:rsidP="00F64776">
      <w:pPr>
        <w:pStyle w:val="TextoNormalCentrado"/>
      </w:pPr>
      <w:r>
        <w:t>ECLI:ES:TC:2023:635A</w:t>
      </w:r>
    </w:p>
    <w:p w14:paraId="1D6FF312" w14:textId="6ACCCB95" w:rsidR="00F64776" w:rsidRDefault="00F64776" w:rsidP="00F64776">
      <w:pPr>
        <w:pStyle w:val="TextoNormalCentrado"/>
      </w:pPr>
    </w:p>
    <w:p w14:paraId="1DE6B92D" w14:textId="77777777" w:rsidR="00F64776" w:rsidRDefault="00F64776" w:rsidP="00F64776">
      <w:pPr>
        <w:pStyle w:val="SntesisDescriptiva"/>
      </w:pPr>
      <w:r>
        <w:t>Excms. Srs. doña Inmaculada Montalbán Huertas y doña Laura Díez Bueso.</w:t>
      </w:r>
    </w:p>
    <w:p w14:paraId="123253F2" w14:textId="2FCB1B65" w:rsidR="00F64776" w:rsidRDefault="00F64776" w:rsidP="00F64776">
      <w:pPr>
        <w:pStyle w:val="SntesisDescriptiva"/>
      </w:pPr>
    </w:p>
    <w:p w14:paraId="6F8782AF" w14:textId="77777777" w:rsidR="00F64776" w:rsidRDefault="00F64776" w:rsidP="00F64776">
      <w:pPr>
        <w:pStyle w:val="SntesisDescriptiva"/>
      </w:pPr>
      <w:r>
        <w:t>Acepta una abstención en el recurso de amparo 3291-2023, promovido en proceso contencioso administrativo.</w:t>
      </w:r>
    </w:p>
    <w:p w14:paraId="02B61354" w14:textId="1E1039D6" w:rsidR="00F64776" w:rsidRDefault="00F64776" w:rsidP="00F64776">
      <w:pPr>
        <w:pStyle w:val="SntesisDescriptiva"/>
      </w:pPr>
    </w:p>
    <w:p w14:paraId="64BE10EF" w14:textId="77777777" w:rsidR="00F64776" w:rsidRDefault="00F64776" w:rsidP="00F64776">
      <w:pPr>
        <w:pStyle w:val="SntesisDescriptiva"/>
      </w:pPr>
    </w:p>
    <w:p w14:paraId="112BB126" w14:textId="77777777" w:rsidR="00F64776" w:rsidRDefault="00F64776" w:rsidP="00F64776">
      <w:pPr>
        <w:pStyle w:val="SntesisDescriptiva"/>
      </w:pPr>
    </w:p>
    <w:p w14:paraId="28FEB2D4" w14:textId="77777777" w:rsidR="00F64776" w:rsidRDefault="00F64776" w:rsidP="00F64776">
      <w:pPr>
        <w:pStyle w:val="TextoNormalNegritaCentrado"/>
      </w:pPr>
      <w:r>
        <w:t>AUTO</w:t>
      </w:r>
    </w:p>
    <w:p w14:paraId="61CD30A6" w14:textId="17D03144" w:rsidR="00F64776" w:rsidRDefault="00F64776" w:rsidP="00F64776">
      <w:pPr>
        <w:pStyle w:val="TextoNormalNegritaCentrado"/>
      </w:pPr>
    </w:p>
    <w:p w14:paraId="65563922" w14:textId="77777777" w:rsidR="00F64776" w:rsidRDefault="00F64776" w:rsidP="00F64776">
      <w:pPr>
        <w:pStyle w:val="TextoNormalNegritaCentrado"/>
        <w:keepNext/>
      </w:pPr>
      <w:r>
        <w:t>I. Antecedentes</w:t>
      </w:r>
    </w:p>
    <w:p w14:paraId="301EF95F" w14:textId="2F518489" w:rsidR="00F64776" w:rsidRDefault="00F64776" w:rsidP="00F64776">
      <w:pPr>
        <w:pStyle w:val="TextoNormalNegritaCentrado"/>
        <w:keepNext/>
      </w:pPr>
    </w:p>
    <w:p w14:paraId="630246D6" w14:textId="4E0EE9C9" w:rsidR="00F64776" w:rsidRDefault="00F64776" w:rsidP="00F64776">
      <w:pPr>
        <w:pStyle w:val="TextoNormal"/>
      </w:pPr>
      <w:r w:rsidRPr="00F64776">
        <w:rPr>
          <w:rStyle w:val="NumeroAFNegritaCaracter"/>
        </w:rPr>
        <w:t>1</w:t>
      </w:r>
      <w:r>
        <w:t>. Mediante escrito registrado en este tribunal el 18 de mayo de 2023, el procurador de los tribunales don José María Ruiz de la Cuesta Vacas, en nombre y representación de doña Belén Sanz Aránguez Ávila y otros y bajo la dirección del letrado don Francisco Javier Araúz de Robles Dávila, formuló demanda de amparo contra el auto de fecha 10 de noviembre de 2022 y providencia de la Sección Primera de la Sala de lo Contencioso-Administrativo del Tribunal Supremo en recurso de queja núm. 404-2022.</w:t>
      </w:r>
    </w:p>
    <w:p w14:paraId="7EE9205B" w14:textId="77777777" w:rsidR="00F64776" w:rsidRDefault="00F64776" w:rsidP="00F64776">
      <w:pPr>
        <w:pStyle w:val="TextoNormal"/>
      </w:pPr>
    </w:p>
    <w:p w14:paraId="08B75DA4" w14:textId="1B125745" w:rsidR="00F64776" w:rsidRDefault="00F64776" w:rsidP="00F64776">
      <w:pPr>
        <w:pStyle w:val="TextoNormal"/>
      </w:pPr>
      <w:r w:rsidRPr="00F64776">
        <w:rPr>
          <w:rStyle w:val="NumeroAFNegritaCaracter"/>
        </w:rPr>
        <w:t>2</w:t>
      </w:r>
      <w:r>
        <w:t>. Por escrito de 5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1321D139" w14:textId="77777777" w:rsidR="00F64776" w:rsidRDefault="00F64776" w:rsidP="00F64776">
      <w:pPr>
        <w:pStyle w:val="TextoNormal"/>
      </w:pPr>
    </w:p>
    <w:p w14:paraId="13C35063" w14:textId="77777777" w:rsidR="00F64776" w:rsidRDefault="00F64776" w:rsidP="00F64776">
      <w:pPr>
        <w:pStyle w:val="TextoNormalNegritaCentrado"/>
        <w:keepNext/>
      </w:pPr>
      <w:r>
        <w:t>II. Fundamentos jurídicos</w:t>
      </w:r>
    </w:p>
    <w:p w14:paraId="051E78A5" w14:textId="7D071526" w:rsidR="00F64776" w:rsidRDefault="00F64776" w:rsidP="00F64776">
      <w:pPr>
        <w:pStyle w:val="TextoNormalNegritaCentrado"/>
        <w:keepNext/>
      </w:pPr>
    </w:p>
    <w:p w14:paraId="02736F7F" w14:textId="1FD1E7EE"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78FD8D6C" w14:textId="77777777" w:rsidR="00F64776" w:rsidRDefault="00F64776" w:rsidP="00F64776">
      <w:pPr>
        <w:pStyle w:val="TextoNormal"/>
      </w:pPr>
    </w:p>
    <w:p w14:paraId="6D28C172" w14:textId="77777777" w:rsidR="00F64776" w:rsidRDefault="00F64776" w:rsidP="00F64776">
      <w:pPr>
        <w:pStyle w:val="TextoNormal"/>
      </w:pPr>
      <w:r>
        <w:t>Por lo expuesto, la Sección</w:t>
      </w:r>
    </w:p>
    <w:p w14:paraId="2A4EFFEC" w14:textId="33BCCD9D" w:rsidR="00F64776" w:rsidRDefault="00F64776" w:rsidP="00F64776">
      <w:pPr>
        <w:pStyle w:val="TextoNormal"/>
      </w:pPr>
    </w:p>
    <w:p w14:paraId="7AC99CC4" w14:textId="77777777" w:rsidR="00F64776" w:rsidRDefault="00F64776" w:rsidP="00F64776">
      <w:pPr>
        <w:pStyle w:val="TextoNormalCentrado"/>
      </w:pPr>
      <w:r>
        <w:t>ACUERDA</w:t>
      </w:r>
    </w:p>
    <w:p w14:paraId="69850C47" w14:textId="3034F5E2" w:rsidR="00F64776" w:rsidRDefault="00F64776" w:rsidP="00F64776">
      <w:pPr>
        <w:pStyle w:val="TextoNormalCentrado"/>
      </w:pPr>
    </w:p>
    <w:p w14:paraId="575DC37D" w14:textId="432183B4" w:rsidR="00F64776" w:rsidRDefault="00F64776" w:rsidP="00F64776">
      <w:pPr>
        <w:pStyle w:val="TextoNormal"/>
      </w:pPr>
      <w:r>
        <w:t>Estimar justificada la abstención formulada por el magistrado don César Tolosa Tribiño en el recurso de amparo núm. 3291-2023 y apartarle definitivamente del conocimiento del referido recurso y de todas sus incidencias.</w:t>
      </w:r>
    </w:p>
    <w:p w14:paraId="0FD542E8" w14:textId="77777777" w:rsidR="00F64776" w:rsidRDefault="00F64776" w:rsidP="00F64776">
      <w:pPr>
        <w:pStyle w:val="TextoNormal"/>
      </w:pPr>
    </w:p>
    <w:p w14:paraId="22422B40" w14:textId="77777777" w:rsidR="00F64776" w:rsidRDefault="00F64776" w:rsidP="00F64776">
      <w:pPr>
        <w:pStyle w:val="TextoNormal"/>
      </w:pPr>
      <w:r>
        <w:t>Madrid, a cuatro de diciembre de dos mil veintitrés.</w:t>
      </w:r>
    </w:p>
    <w:p w14:paraId="16075536" w14:textId="325CB10A" w:rsidR="00F64776" w:rsidRDefault="00F64776">
      <w:pPr>
        <w:spacing w:after="160" w:line="278" w:lineRule="auto"/>
        <w:rPr>
          <w:rFonts w:ascii="Times New Roman" w:eastAsia="Times New Roman" w:hAnsi="Times New Roman" w:cs="Times New Roman"/>
          <w:sz w:val="24"/>
          <w:szCs w:val="24"/>
          <w:lang w:eastAsia="es-ES"/>
        </w:rPr>
      </w:pPr>
      <w:r>
        <w:br w:type="page"/>
      </w:r>
    </w:p>
    <w:p w14:paraId="09E40575" w14:textId="77777777" w:rsidR="00F64776" w:rsidRDefault="00F64776" w:rsidP="00F64776">
      <w:pPr>
        <w:pStyle w:val="TtuloResolucin"/>
      </w:pPr>
      <w:bookmarkStart w:id="421" w:name="AUTO_2023_636"/>
      <w:r>
        <w:t>AUTO 636/2023, de 4 de diciembre de 2023</w:t>
      </w:r>
    </w:p>
    <w:bookmarkEnd w:id="421"/>
    <w:p w14:paraId="52B0484C" w14:textId="77777777" w:rsidR="00F64776" w:rsidRDefault="00F64776" w:rsidP="00F64776">
      <w:pPr>
        <w:pStyle w:val="TtuloResolucin"/>
      </w:pPr>
      <w:r>
        <w:t>Sección Tercera</w:t>
      </w:r>
    </w:p>
    <w:p w14:paraId="06B371C3" w14:textId="77777777" w:rsidR="00F64776" w:rsidRDefault="00F64776" w:rsidP="00F64776">
      <w:pPr>
        <w:pStyle w:val="TextoNormalCentrado"/>
      </w:pPr>
      <w:r>
        <w:t>ECLI:ES:TC:2023:636A</w:t>
      </w:r>
    </w:p>
    <w:p w14:paraId="593F53C5" w14:textId="6D7D9B15" w:rsidR="00F64776" w:rsidRDefault="00F64776" w:rsidP="00F64776">
      <w:pPr>
        <w:pStyle w:val="TextoNormalCentrado"/>
      </w:pPr>
    </w:p>
    <w:p w14:paraId="6B694086" w14:textId="77777777" w:rsidR="00F64776" w:rsidRDefault="00F64776" w:rsidP="00F64776">
      <w:pPr>
        <w:pStyle w:val="SntesisDescriptiva"/>
      </w:pPr>
      <w:r>
        <w:t>Excms. Srs. doña Inmaculada Montalbán Huertas y doña Laura Díez Bueso.</w:t>
      </w:r>
    </w:p>
    <w:p w14:paraId="40CE85DF" w14:textId="4DF281C5" w:rsidR="00F64776" w:rsidRDefault="00F64776" w:rsidP="00F64776">
      <w:pPr>
        <w:pStyle w:val="SntesisDescriptiva"/>
      </w:pPr>
    </w:p>
    <w:p w14:paraId="644C8E44" w14:textId="77777777" w:rsidR="00F64776" w:rsidRDefault="00F64776" w:rsidP="00F64776">
      <w:pPr>
        <w:pStyle w:val="SntesisDescriptiva"/>
      </w:pPr>
      <w:r>
        <w:t>Acepta una abstención en el recurso de amparo 3293-2023, promovido en proceso contencioso administrativo.</w:t>
      </w:r>
    </w:p>
    <w:p w14:paraId="046126CB" w14:textId="1E19F158" w:rsidR="00F64776" w:rsidRDefault="00F64776" w:rsidP="00F64776">
      <w:pPr>
        <w:pStyle w:val="SntesisDescriptiva"/>
      </w:pPr>
    </w:p>
    <w:p w14:paraId="1563A0DE" w14:textId="77777777" w:rsidR="00F64776" w:rsidRDefault="00F64776" w:rsidP="00F64776">
      <w:pPr>
        <w:pStyle w:val="SntesisDescriptiva"/>
      </w:pPr>
    </w:p>
    <w:p w14:paraId="0948CEA2" w14:textId="77777777" w:rsidR="00F64776" w:rsidRDefault="00F64776" w:rsidP="00F64776">
      <w:pPr>
        <w:pStyle w:val="SntesisDescriptiva"/>
      </w:pPr>
    </w:p>
    <w:p w14:paraId="423E000A" w14:textId="77777777" w:rsidR="00F64776" w:rsidRDefault="00F64776" w:rsidP="00F64776">
      <w:pPr>
        <w:pStyle w:val="TextoNormalNegritaCentrado"/>
      </w:pPr>
      <w:r>
        <w:t>AUTO</w:t>
      </w:r>
    </w:p>
    <w:p w14:paraId="470CEFA8" w14:textId="5652D18D" w:rsidR="00F64776" w:rsidRDefault="00F64776" w:rsidP="00F64776">
      <w:pPr>
        <w:pStyle w:val="TextoNormalNegritaCentrado"/>
      </w:pPr>
    </w:p>
    <w:p w14:paraId="1AABE363" w14:textId="77777777" w:rsidR="00F64776" w:rsidRDefault="00F64776" w:rsidP="00F64776">
      <w:pPr>
        <w:pStyle w:val="TextoNormalNegritaCentrado"/>
        <w:keepNext/>
      </w:pPr>
      <w:r>
        <w:t>I. Antecedentes</w:t>
      </w:r>
    </w:p>
    <w:p w14:paraId="704A69D6" w14:textId="71CB2DE0" w:rsidR="00F64776" w:rsidRDefault="00F64776" w:rsidP="00F64776">
      <w:pPr>
        <w:pStyle w:val="TextoNormalNegritaCentrado"/>
        <w:keepNext/>
      </w:pPr>
    </w:p>
    <w:p w14:paraId="158BEA4F" w14:textId="64B764C6" w:rsidR="00F64776" w:rsidRDefault="00F64776" w:rsidP="00F64776">
      <w:pPr>
        <w:pStyle w:val="TextoNormal"/>
      </w:pPr>
      <w:r w:rsidRPr="00F64776">
        <w:rPr>
          <w:rStyle w:val="NumeroAFNegritaCaracter"/>
        </w:rPr>
        <w:t>1</w:t>
      </w:r>
      <w:r>
        <w:t>. Mediante escrito registrado en este tribunal el 18 de mayo de 2023, el procurador de los tribunales don José María Ruiz de la Cuesta Vacas, en nombre y representación de doña María Gemma Jiménez Jiménez y otros y bajo la dirección del letrado don Francisco Javier Araúz de Robles Dávila, formuló demanda de amparo contra el auto de 10 de noviembre de 2022 de la Sección Primera de la Sala de lo Contencioso-Administrativo del Tribunal Supremo en recurso de queja núm. 351-2022.</w:t>
      </w:r>
    </w:p>
    <w:p w14:paraId="63C3ABD5" w14:textId="77777777" w:rsidR="00F64776" w:rsidRDefault="00F64776" w:rsidP="00F64776">
      <w:pPr>
        <w:pStyle w:val="TextoNormal"/>
      </w:pPr>
    </w:p>
    <w:p w14:paraId="014B696E" w14:textId="50F363CB" w:rsidR="00F64776" w:rsidRDefault="00F64776" w:rsidP="00F64776">
      <w:pPr>
        <w:pStyle w:val="TextoNormal"/>
      </w:pPr>
      <w:r w:rsidRPr="00F64776">
        <w:rPr>
          <w:rStyle w:val="NumeroAFNegritaCaracter"/>
        </w:rPr>
        <w:t>2</w:t>
      </w:r>
      <w:r>
        <w:t>. Por escrito de 5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0121057D" w14:textId="77777777" w:rsidR="00F64776" w:rsidRDefault="00F64776" w:rsidP="00F64776">
      <w:pPr>
        <w:pStyle w:val="TextoNormal"/>
      </w:pPr>
    </w:p>
    <w:p w14:paraId="2546D477" w14:textId="77777777" w:rsidR="00F64776" w:rsidRDefault="00F64776" w:rsidP="00F64776">
      <w:pPr>
        <w:pStyle w:val="TextoNormalNegritaCentrado"/>
        <w:keepNext/>
      </w:pPr>
      <w:r>
        <w:t>II. Fundamentos jurídicos</w:t>
      </w:r>
    </w:p>
    <w:p w14:paraId="1ED955A6" w14:textId="12B783C5" w:rsidR="00F64776" w:rsidRDefault="00F64776" w:rsidP="00F64776">
      <w:pPr>
        <w:pStyle w:val="TextoNormalNegritaCentrado"/>
        <w:keepNext/>
      </w:pPr>
    </w:p>
    <w:p w14:paraId="22CA3773" w14:textId="10459270"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6558D96A" w14:textId="77777777" w:rsidR="00F64776" w:rsidRDefault="00F64776" w:rsidP="00F64776">
      <w:pPr>
        <w:pStyle w:val="TextoNormal"/>
      </w:pPr>
    </w:p>
    <w:p w14:paraId="7810BC5D" w14:textId="77777777" w:rsidR="00F64776" w:rsidRDefault="00F64776" w:rsidP="00F64776">
      <w:pPr>
        <w:pStyle w:val="TextoNormal"/>
      </w:pPr>
      <w:r>
        <w:t>Por lo expuesto, la Sección</w:t>
      </w:r>
    </w:p>
    <w:p w14:paraId="4A8693B6" w14:textId="27DD83A9" w:rsidR="00F64776" w:rsidRDefault="00F64776" w:rsidP="00F64776">
      <w:pPr>
        <w:pStyle w:val="TextoNormal"/>
      </w:pPr>
    </w:p>
    <w:p w14:paraId="5333D920" w14:textId="77777777" w:rsidR="00F64776" w:rsidRDefault="00F64776" w:rsidP="00F64776">
      <w:pPr>
        <w:pStyle w:val="TextoNormalCentrado"/>
      </w:pPr>
      <w:r>
        <w:t>ACUERDA</w:t>
      </w:r>
    </w:p>
    <w:p w14:paraId="60C6BBD4" w14:textId="43208FA7" w:rsidR="00F64776" w:rsidRDefault="00F64776" w:rsidP="00F64776">
      <w:pPr>
        <w:pStyle w:val="TextoNormalCentrado"/>
      </w:pPr>
    </w:p>
    <w:p w14:paraId="3A1C6282" w14:textId="6DFBD656" w:rsidR="00F64776" w:rsidRDefault="00F64776" w:rsidP="00F64776">
      <w:pPr>
        <w:pStyle w:val="TextoNormal"/>
      </w:pPr>
      <w:r>
        <w:t>Estimar justificada la abstención formulada por el magistrado don César Tolosa Tribiño en el recurso de amparo núm. 3293-2023 y apartarle definitivamente del conocimiento del referido recurso y de todas sus incidencias.</w:t>
      </w:r>
    </w:p>
    <w:p w14:paraId="3C0D4E4E" w14:textId="77777777" w:rsidR="00F64776" w:rsidRDefault="00F64776" w:rsidP="00F64776">
      <w:pPr>
        <w:pStyle w:val="TextoNormal"/>
      </w:pPr>
    </w:p>
    <w:p w14:paraId="360CCE23" w14:textId="77777777" w:rsidR="00F64776" w:rsidRDefault="00F64776" w:rsidP="00F64776">
      <w:pPr>
        <w:pStyle w:val="TextoNormal"/>
      </w:pPr>
      <w:r>
        <w:t>Madrid, a cuatro de diciembre de dos mil veintitrés.</w:t>
      </w:r>
    </w:p>
    <w:p w14:paraId="37C17FBD" w14:textId="154E5340" w:rsidR="00F64776" w:rsidRDefault="00F64776">
      <w:pPr>
        <w:spacing w:after="160" w:line="278" w:lineRule="auto"/>
        <w:rPr>
          <w:rFonts w:ascii="Times New Roman" w:eastAsia="Times New Roman" w:hAnsi="Times New Roman" w:cs="Times New Roman"/>
          <w:sz w:val="24"/>
          <w:szCs w:val="24"/>
          <w:lang w:eastAsia="es-ES"/>
        </w:rPr>
      </w:pPr>
      <w:r>
        <w:br w:type="page"/>
      </w:r>
    </w:p>
    <w:p w14:paraId="1A387351" w14:textId="77777777" w:rsidR="00F64776" w:rsidRDefault="00F64776" w:rsidP="00F64776">
      <w:pPr>
        <w:pStyle w:val="TtuloResolucin"/>
      </w:pPr>
      <w:bookmarkStart w:id="422" w:name="AUTO_2023_637"/>
      <w:r>
        <w:t>AUTO 637/2023, de 4 de diciembre de 2023</w:t>
      </w:r>
    </w:p>
    <w:bookmarkEnd w:id="422"/>
    <w:p w14:paraId="3395E76F" w14:textId="77777777" w:rsidR="00F64776" w:rsidRDefault="00F64776" w:rsidP="00F64776">
      <w:pPr>
        <w:pStyle w:val="TtuloResolucin"/>
      </w:pPr>
      <w:r>
        <w:t>Sección Tercera</w:t>
      </w:r>
    </w:p>
    <w:p w14:paraId="74405ECA" w14:textId="77777777" w:rsidR="00F64776" w:rsidRDefault="00F64776" w:rsidP="00F64776">
      <w:pPr>
        <w:pStyle w:val="TextoNormalCentrado"/>
      </w:pPr>
      <w:r>
        <w:t>ECLI:ES:TC:2023:637A</w:t>
      </w:r>
    </w:p>
    <w:p w14:paraId="5982D288" w14:textId="0AD3A3D2" w:rsidR="00F64776" w:rsidRDefault="00F64776" w:rsidP="00F64776">
      <w:pPr>
        <w:pStyle w:val="TextoNormalCentrado"/>
      </w:pPr>
    </w:p>
    <w:p w14:paraId="6184FC91" w14:textId="77777777" w:rsidR="00F64776" w:rsidRDefault="00F64776" w:rsidP="00F64776">
      <w:pPr>
        <w:pStyle w:val="SntesisDescriptiva"/>
      </w:pPr>
      <w:r>
        <w:t>Excms. Srs. doña Inmaculada Montalbán Huertas y doña Laura Díez Bueso.</w:t>
      </w:r>
    </w:p>
    <w:p w14:paraId="1A1BA00D" w14:textId="30D7CA9F" w:rsidR="00F64776" w:rsidRDefault="00F64776" w:rsidP="00F64776">
      <w:pPr>
        <w:pStyle w:val="SntesisDescriptiva"/>
      </w:pPr>
    </w:p>
    <w:p w14:paraId="02EA1571" w14:textId="77777777" w:rsidR="00F64776" w:rsidRDefault="00F64776" w:rsidP="00F64776">
      <w:pPr>
        <w:pStyle w:val="SntesisDescriptiva"/>
      </w:pPr>
      <w:r>
        <w:t>Acepta una abstención en el recurso de amparo 3389-2023, promovido en proceso contencioso administrativo.</w:t>
      </w:r>
    </w:p>
    <w:p w14:paraId="63E751B3" w14:textId="3C361C57" w:rsidR="00F64776" w:rsidRDefault="00F64776" w:rsidP="00F64776">
      <w:pPr>
        <w:pStyle w:val="SntesisDescriptiva"/>
      </w:pPr>
    </w:p>
    <w:p w14:paraId="2310EEA4" w14:textId="77777777" w:rsidR="00F64776" w:rsidRDefault="00F64776" w:rsidP="00F64776">
      <w:pPr>
        <w:pStyle w:val="SntesisDescriptiva"/>
      </w:pPr>
    </w:p>
    <w:p w14:paraId="1A978E96" w14:textId="77777777" w:rsidR="00F64776" w:rsidRDefault="00F64776" w:rsidP="00F64776">
      <w:pPr>
        <w:pStyle w:val="SntesisDescriptiva"/>
      </w:pPr>
    </w:p>
    <w:p w14:paraId="28D5067B" w14:textId="77777777" w:rsidR="00F64776" w:rsidRDefault="00F64776" w:rsidP="00F64776">
      <w:pPr>
        <w:pStyle w:val="TextoNormalNegritaCentrado"/>
      </w:pPr>
      <w:r>
        <w:t>AUTO</w:t>
      </w:r>
    </w:p>
    <w:p w14:paraId="5C92B739" w14:textId="038BE4CC" w:rsidR="00F64776" w:rsidRDefault="00F64776" w:rsidP="00F64776">
      <w:pPr>
        <w:pStyle w:val="TextoNormalNegritaCentrado"/>
      </w:pPr>
    </w:p>
    <w:p w14:paraId="06AF0083" w14:textId="77777777" w:rsidR="00F64776" w:rsidRDefault="00F64776" w:rsidP="00F64776">
      <w:pPr>
        <w:pStyle w:val="TextoNormalNegritaCentrado"/>
        <w:keepNext/>
      </w:pPr>
      <w:r>
        <w:t>I. Antecedentes</w:t>
      </w:r>
    </w:p>
    <w:p w14:paraId="27230511" w14:textId="058627BC" w:rsidR="00F64776" w:rsidRDefault="00F64776" w:rsidP="00F64776">
      <w:pPr>
        <w:pStyle w:val="TextoNormalNegritaCentrado"/>
        <w:keepNext/>
      </w:pPr>
    </w:p>
    <w:p w14:paraId="423E99CC" w14:textId="4CBFCD82" w:rsidR="00F64776" w:rsidRDefault="00F64776" w:rsidP="00F64776">
      <w:pPr>
        <w:pStyle w:val="TextoNormal"/>
      </w:pPr>
      <w:r w:rsidRPr="00F64776">
        <w:rPr>
          <w:rStyle w:val="NumeroAFNegritaCaracter"/>
        </w:rPr>
        <w:t>1</w:t>
      </w:r>
      <w:r>
        <w:t>. Mediante escrito registrado en este tribunal el 22 de mayo de 2023, el procurador de los tribunales don José María Ruiz de la Cuesta Vacas, en nombre y representación de doña Julia Concepción Cruz Espada y bajo la dirección del letrado don Francisco Javier Araúz de Robles Dávila, formuló demanda de amparo contra providencia de la Sección Primera de la Sala de lo Contencioso-Administrativo del Tribunal Supremo en recurso de casación núm. 98-2022 dimanante del Tribunal Superior de Justicia de Canarias, recurso de apelación núm. 133-2021.</w:t>
      </w:r>
    </w:p>
    <w:p w14:paraId="11466065" w14:textId="77777777" w:rsidR="00F64776" w:rsidRDefault="00F64776" w:rsidP="00F64776">
      <w:pPr>
        <w:pStyle w:val="TextoNormal"/>
      </w:pPr>
    </w:p>
    <w:p w14:paraId="3D710623" w14:textId="46292D05" w:rsidR="00F64776" w:rsidRDefault="00F64776" w:rsidP="00F64776">
      <w:pPr>
        <w:pStyle w:val="TextoNormal"/>
      </w:pPr>
      <w:r w:rsidRPr="00F64776">
        <w:rPr>
          <w:rStyle w:val="NumeroAFNegritaCaracter"/>
        </w:rPr>
        <w:t>2</w:t>
      </w:r>
      <w:r>
        <w:t>. Por escrito de 5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0565112B" w14:textId="77777777" w:rsidR="00F64776" w:rsidRDefault="00F64776" w:rsidP="00F64776">
      <w:pPr>
        <w:pStyle w:val="TextoNormal"/>
      </w:pPr>
    </w:p>
    <w:p w14:paraId="26438B83" w14:textId="77777777" w:rsidR="00F64776" w:rsidRDefault="00F64776" w:rsidP="00F64776">
      <w:pPr>
        <w:pStyle w:val="TextoNormalNegritaCentrado"/>
        <w:keepNext/>
      </w:pPr>
      <w:r>
        <w:t>II. Fundamentos jurídicos</w:t>
      </w:r>
    </w:p>
    <w:p w14:paraId="53EE3DC9" w14:textId="75C51F02" w:rsidR="00F64776" w:rsidRDefault="00F64776" w:rsidP="00F64776">
      <w:pPr>
        <w:pStyle w:val="TextoNormalNegritaCentrado"/>
        <w:keepNext/>
      </w:pPr>
    </w:p>
    <w:p w14:paraId="4A13EF3B" w14:textId="5E3B2D60"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3E53E2C6" w14:textId="77777777" w:rsidR="00F64776" w:rsidRDefault="00F64776" w:rsidP="00F64776">
      <w:pPr>
        <w:pStyle w:val="TextoNormal"/>
      </w:pPr>
    </w:p>
    <w:p w14:paraId="6FB3A20A" w14:textId="77777777" w:rsidR="00F64776" w:rsidRDefault="00F64776" w:rsidP="00F64776">
      <w:pPr>
        <w:pStyle w:val="TextoNormal"/>
      </w:pPr>
      <w:r>
        <w:t>Por lo expuesto, la Sección</w:t>
      </w:r>
    </w:p>
    <w:p w14:paraId="450B5A7F" w14:textId="5F9B9BC4" w:rsidR="00F64776" w:rsidRDefault="00F64776" w:rsidP="00F64776">
      <w:pPr>
        <w:pStyle w:val="TextoNormal"/>
      </w:pPr>
    </w:p>
    <w:p w14:paraId="405C8E49" w14:textId="77777777" w:rsidR="00F64776" w:rsidRDefault="00F64776" w:rsidP="00F64776">
      <w:pPr>
        <w:pStyle w:val="TextoNormalCentrado"/>
      </w:pPr>
      <w:r>
        <w:t>ACUERDA</w:t>
      </w:r>
    </w:p>
    <w:p w14:paraId="06CD239D" w14:textId="06DBFBEE" w:rsidR="00F64776" w:rsidRDefault="00F64776" w:rsidP="00F64776">
      <w:pPr>
        <w:pStyle w:val="TextoNormalCentrado"/>
      </w:pPr>
    </w:p>
    <w:p w14:paraId="75E71346" w14:textId="3CDB6382" w:rsidR="00F64776" w:rsidRDefault="00F64776" w:rsidP="00F64776">
      <w:pPr>
        <w:pStyle w:val="TextoNormal"/>
      </w:pPr>
      <w:r>
        <w:t>Estimar justificada la abstención formulada por el magistrado don César Tolosa Tribiño en el recurso de amparo núm. 3389-2023 y apartarle definitivamente del conocimiento del referido recurso y de todas sus incidencias.</w:t>
      </w:r>
    </w:p>
    <w:p w14:paraId="601FF5B5" w14:textId="77777777" w:rsidR="00F64776" w:rsidRDefault="00F64776" w:rsidP="00F64776">
      <w:pPr>
        <w:pStyle w:val="TextoNormal"/>
      </w:pPr>
    </w:p>
    <w:p w14:paraId="08F639C1" w14:textId="77777777" w:rsidR="00F64776" w:rsidRDefault="00F64776" w:rsidP="00F64776">
      <w:pPr>
        <w:pStyle w:val="TextoNormal"/>
      </w:pPr>
      <w:r>
        <w:t>Madrid, a cuatro de diciembre de dos mil veintitrés.</w:t>
      </w:r>
    </w:p>
    <w:p w14:paraId="7DCE4756" w14:textId="6D93ACA5" w:rsidR="00F64776" w:rsidRDefault="00F64776">
      <w:pPr>
        <w:spacing w:after="160" w:line="278" w:lineRule="auto"/>
        <w:rPr>
          <w:rFonts w:ascii="Times New Roman" w:eastAsia="Times New Roman" w:hAnsi="Times New Roman" w:cs="Times New Roman"/>
          <w:sz w:val="24"/>
          <w:szCs w:val="24"/>
          <w:lang w:eastAsia="es-ES"/>
        </w:rPr>
      </w:pPr>
      <w:r>
        <w:br w:type="page"/>
      </w:r>
    </w:p>
    <w:p w14:paraId="197078B9" w14:textId="77777777" w:rsidR="00F64776" w:rsidRDefault="00F64776" w:rsidP="00F64776">
      <w:pPr>
        <w:pStyle w:val="TtuloResolucin"/>
      </w:pPr>
      <w:bookmarkStart w:id="423" w:name="AUTO_2023_638"/>
      <w:r>
        <w:t>AUTO 638/2023, de 4 de diciembre de 2023</w:t>
      </w:r>
    </w:p>
    <w:bookmarkEnd w:id="423"/>
    <w:p w14:paraId="257E1812" w14:textId="77777777" w:rsidR="00F64776" w:rsidRDefault="00F64776" w:rsidP="00F64776">
      <w:pPr>
        <w:pStyle w:val="TtuloResolucin"/>
      </w:pPr>
      <w:r>
        <w:t>Sección Tercera</w:t>
      </w:r>
    </w:p>
    <w:p w14:paraId="7490FF47" w14:textId="77777777" w:rsidR="00F64776" w:rsidRDefault="00F64776" w:rsidP="00F64776">
      <w:pPr>
        <w:pStyle w:val="TextoNormalCentrado"/>
      </w:pPr>
      <w:r>
        <w:t>ECLI:ES:TC:2023:638A</w:t>
      </w:r>
    </w:p>
    <w:p w14:paraId="2CD21F77" w14:textId="140DE82F" w:rsidR="00F64776" w:rsidRDefault="00F64776" w:rsidP="00F64776">
      <w:pPr>
        <w:pStyle w:val="TextoNormalCentrado"/>
      </w:pPr>
    </w:p>
    <w:p w14:paraId="0DA0949C" w14:textId="77777777" w:rsidR="00F64776" w:rsidRDefault="00F64776" w:rsidP="00F64776">
      <w:pPr>
        <w:pStyle w:val="SntesisDescriptiva"/>
      </w:pPr>
      <w:r>
        <w:t>Excms. Srs. doña Inmaculada Montalbán Huertas y doña Laura Díez Bueso.</w:t>
      </w:r>
    </w:p>
    <w:p w14:paraId="5FD511C7" w14:textId="0C17F1B6" w:rsidR="00F64776" w:rsidRDefault="00F64776" w:rsidP="00F64776">
      <w:pPr>
        <w:pStyle w:val="SntesisDescriptiva"/>
      </w:pPr>
    </w:p>
    <w:p w14:paraId="514553BC" w14:textId="77777777" w:rsidR="00F64776" w:rsidRDefault="00F64776" w:rsidP="00F64776">
      <w:pPr>
        <w:pStyle w:val="SntesisDescriptiva"/>
      </w:pPr>
      <w:r>
        <w:t>Acepta una abstención en el recurso de amparo 3423-2023, promovido en proceso contencioso administrativo.</w:t>
      </w:r>
    </w:p>
    <w:p w14:paraId="0D06AADF" w14:textId="53D5EF2C" w:rsidR="00F64776" w:rsidRDefault="00F64776" w:rsidP="00F64776">
      <w:pPr>
        <w:pStyle w:val="SntesisDescriptiva"/>
      </w:pPr>
    </w:p>
    <w:p w14:paraId="7A30ADC8" w14:textId="77777777" w:rsidR="00F64776" w:rsidRDefault="00F64776" w:rsidP="00F64776">
      <w:pPr>
        <w:pStyle w:val="SntesisDescriptiva"/>
      </w:pPr>
    </w:p>
    <w:p w14:paraId="4B79CE77" w14:textId="77777777" w:rsidR="00F64776" w:rsidRDefault="00F64776" w:rsidP="00F64776">
      <w:pPr>
        <w:pStyle w:val="SntesisDescriptiva"/>
      </w:pPr>
    </w:p>
    <w:p w14:paraId="18AA9EB4" w14:textId="77777777" w:rsidR="00F64776" w:rsidRDefault="00F64776" w:rsidP="00F64776">
      <w:pPr>
        <w:pStyle w:val="TextoNormalNegritaCentrado"/>
      </w:pPr>
      <w:r>
        <w:t>AUTO</w:t>
      </w:r>
    </w:p>
    <w:p w14:paraId="6DDF8E42" w14:textId="34616D4B" w:rsidR="00F64776" w:rsidRDefault="00F64776" w:rsidP="00F64776">
      <w:pPr>
        <w:pStyle w:val="TextoNormalNegritaCentrado"/>
      </w:pPr>
    </w:p>
    <w:p w14:paraId="3C2FF68F" w14:textId="77777777" w:rsidR="00F64776" w:rsidRDefault="00F64776" w:rsidP="00F64776">
      <w:pPr>
        <w:pStyle w:val="TextoNormalNegritaCentrado"/>
        <w:keepNext/>
      </w:pPr>
      <w:r>
        <w:t>I. Antecedentes</w:t>
      </w:r>
    </w:p>
    <w:p w14:paraId="0C83BD0E" w14:textId="34F87F14" w:rsidR="00F64776" w:rsidRDefault="00F64776" w:rsidP="00F64776">
      <w:pPr>
        <w:pStyle w:val="TextoNormalNegritaCentrado"/>
        <w:keepNext/>
      </w:pPr>
    </w:p>
    <w:p w14:paraId="4051BC6F" w14:textId="46A43450" w:rsidR="00F64776" w:rsidRDefault="00F64776" w:rsidP="00F64776">
      <w:pPr>
        <w:pStyle w:val="TextoNormal"/>
      </w:pPr>
      <w:r w:rsidRPr="00F64776">
        <w:rPr>
          <w:rStyle w:val="NumeroAFNegritaCaracter"/>
        </w:rPr>
        <w:t>1</w:t>
      </w:r>
      <w:r>
        <w:t>. Mediante escrito registrado en este tribunal el 23 de mayo de 2023, la procuradora de los tribunales doña Ana María Araúz de Robles Villalón, en nombre y representación de doña Maite Solano Pitillas y otros y bajo la dirección del letrado don Francisco Javier Araúz de Robles Dávila, formuló demanda de amparo contra la providencia de 1 de diciembre de 2022, dictada por la Sala de lo Contencioso-Administrativo del Tribunal Supremo en recurso de casación núm. 5446-2022 contra la sentencia dictada por la Sala de lo Contencioso-Administrativo del Tribunal Superior de Justicia de Navarra en apelación núm. 514-2021.</w:t>
      </w:r>
    </w:p>
    <w:p w14:paraId="1E221A6C" w14:textId="77777777" w:rsidR="00F64776" w:rsidRDefault="00F64776" w:rsidP="00F64776">
      <w:pPr>
        <w:pStyle w:val="TextoNormal"/>
      </w:pPr>
    </w:p>
    <w:p w14:paraId="7DB1332D" w14:textId="70C572E5" w:rsidR="00F64776" w:rsidRDefault="00F64776" w:rsidP="00F64776">
      <w:pPr>
        <w:pStyle w:val="TextoNormal"/>
      </w:pPr>
      <w:r w:rsidRPr="00F64776">
        <w:rPr>
          <w:rStyle w:val="NumeroAFNegritaCaracter"/>
        </w:rPr>
        <w:t>2</w:t>
      </w:r>
      <w:r>
        <w:t>. Por escrito de 5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5F748428" w14:textId="77777777" w:rsidR="00F64776" w:rsidRDefault="00F64776" w:rsidP="00F64776">
      <w:pPr>
        <w:pStyle w:val="TextoNormal"/>
      </w:pPr>
    </w:p>
    <w:p w14:paraId="0CC0FDB8" w14:textId="77777777" w:rsidR="00F64776" w:rsidRDefault="00F64776" w:rsidP="00F64776">
      <w:pPr>
        <w:pStyle w:val="TextoNormalNegritaCentrado"/>
        <w:keepNext/>
      </w:pPr>
      <w:r>
        <w:t>II. Fundamentos jurídicos</w:t>
      </w:r>
    </w:p>
    <w:p w14:paraId="360F0F57" w14:textId="7ACC5AB6" w:rsidR="00F64776" w:rsidRDefault="00F64776" w:rsidP="00F64776">
      <w:pPr>
        <w:pStyle w:val="TextoNormalNegritaCentrado"/>
        <w:keepNext/>
      </w:pPr>
    </w:p>
    <w:p w14:paraId="7190EA69" w14:textId="7544365A"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1AE4D868" w14:textId="77777777" w:rsidR="00F64776" w:rsidRDefault="00F64776" w:rsidP="00F64776">
      <w:pPr>
        <w:pStyle w:val="TextoNormal"/>
      </w:pPr>
    </w:p>
    <w:p w14:paraId="2EE97586" w14:textId="77777777" w:rsidR="00F64776" w:rsidRDefault="00F64776" w:rsidP="00F64776">
      <w:pPr>
        <w:pStyle w:val="TextoNormal"/>
      </w:pPr>
      <w:r>
        <w:t>Por lo expuesto, la Sección</w:t>
      </w:r>
    </w:p>
    <w:p w14:paraId="5FA97A89" w14:textId="03CEC85E" w:rsidR="00F64776" w:rsidRDefault="00F64776" w:rsidP="00F64776">
      <w:pPr>
        <w:pStyle w:val="TextoNormal"/>
      </w:pPr>
    </w:p>
    <w:p w14:paraId="754B08C5" w14:textId="77777777" w:rsidR="00F64776" w:rsidRDefault="00F64776" w:rsidP="00F64776">
      <w:pPr>
        <w:pStyle w:val="TextoNormalCentrado"/>
      </w:pPr>
      <w:r>
        <w:t>ACUERDA</w:t>
      </w:r>
    </w:p>
    <w:p w14:paraId="364D3183" w14:textId="4A713D57" w:rsidR="00F64776" w:rsidRDefault="00F64776" w:rsidP="00F64776">
      <w:pPr>
        <w:pStyle w:val="TextoNormalCentrado"/>
      </w:pPr>
    </w:p>
    <w:p w14:paraId="35588694" w14:textId="202FB455" w:rsidR="00F64776" w:rsidRDefault="00F64776" w:rsidP="00F64776">
      <w:pPr>
        <w:pStyle w:val="TextoNormal"/>
      </w:pPr>
      <w:r>
        <w:t>Estimar justificada la abstención formulada por el magistrado don César Tolosa Tribiño en el recurso de amparo núm. 3423-2023 y apartarle definitivamente del conocimiento del referido recurso y de todas sus incidencias.</w:t>
      </w:r>
    </w:p>
    <w:p w14:paraId="07558A70" w14:textId="77777777" w:rsidR="00F64776" w:rsidRDefault="00F64776" w:rsidP="00F64776">
      <w:pPr>
        <w:pStyle w:val="TextoNormal"/>
      </w:pPr>
    </w:p>
    <w:p w14:paraId="4535B17F" w14:textId="77777777" w:rsidR="00F64776" w:rsidRDefault="00F64776" w:rsidP="00F64776">
      <w:pPr>
        <w:pStyle w:val="TextoNormal"/>
      </w:pPr>
      <w:r>
        <w:t>Madrid, a cuatro de diciembre de dos mil veintitrés.</w:t>
      </w:r>
    </w:p>
    <w:p w14:paraId="3D9720BF" w14:textId="69D02403" w:rsidR="00F64776" w:rsidRDefault="00F64776">
      <w:pPr>
        <w:spacing w:after="160" w:line="278" w:lineRule="auto"/>
        <w:rPr>
          <w:rFonts w:ascii="Times New Roman" w:eastAsia="Times New Roman" w:hAnsi="Times New Roman" w:cs="Times New Roman"/>
          <w:sz w:val="24"/>
          <w:szCs w:val="24"/>
          <w:lang w:eastAsia="es-ES"/>
        </w:rPr>
      </w:pPr>
      <w:r>
        <w:br w:type="page"/>
      </w:r>
    </w:p>
    <w:p w14:paraId="58AE2701" w14:textId="77777777" w:rsidR="00F64776" w:rsidRDefault="00F64776" w:rsidP="00F64776">
      <w:pPr>
        <w:pStyle w:val="TtuloResolucin"/>
      </w:pPr>
      <w:bookmarkStart w:id="424" w:name="AUTO_2023_639"/>
      <w:r>
        <w:t>AUTO 639/2023, de 4 de diciembre de 2023</w:t>
      </w:r>
    </w:p>
    <w:bookmarkEnd w:id="424"/>
    <w:p w14:paraId="663D4175" w14:textId="77777777" w:rsidR="00F64776" w:rsidRDefault="00F64776" w:rsidP="00F64776">
      <w:pPr>
        <w:pStyle w:val="TtuloResolucin"/>
      </w:pPr>
      <w:r>
        <w:t>Sección Tercera</w:t>
      </w:r>
    </w:p>
    <w:p w14:paraId="362CCA5E" w14:textId="77777777" w:rsidR="00F64776" w:rsidRDefault="00F64776" w:rsidP="00F64776">
      <w:pPr>
        <w:pStyle w:val="TextoNormalCentrado"/>
      </w:pPr>
      <w:r>
        <w:t>ECLI:ES:TC:2023:639A</w:t>
      </w:r>
    </w:p>
    <w:p w14:paraId="796ADA9B" w14:textId="13516F70" w:rsidR="00F64776" w:rsidRDefault="00F64776" w:rsidP="00F64776">
      <w:pPr>
        <w:pStyle w:val="TextoNormalCentrado"/>
      </w:pPr>
    </w:p>
    <w:p w14:paraId="3573A9AA" w14:textId="77777777" w:rsidR="00F64776" w:rsidRDefault="00F64776" w:rsidP="00F64776">
      <w:pPr>
        <w:pStyle w:val="SntesisDescriptiva"/>
      </w:pPr>
      <w:r>
        <w:t>Excms. Srs. doña Inmaculada Montalbán Huertas y doña Laura Díez Bueso.</w:t>
      </w:r>
    </w:p>
    <w:p w14:paraId="24505E3E" w14:textId="3A3C46C4" w:rsidR="00F64776" w:rsidRDefault="00F64776" w:rsidP="00F64776">
      <w:pPr>
        <w:pStyle w:val="SntesisDescriptiva"/>
      </w:pPr>
    </w:p>
    <w:p w14:paraId="3C648DBA" w14:textId="77777777" w:rsidR="00F64776" w:rsidRDefault="00F64776" w:rsidP="00F64776">
      <w:pPr>
        <w:pStyle w:val="SntesisDescriptiva"/>
      </w:pPr>
      <w:r>
        <w:t>Acepta una abstención en el recurso de amparo 3476-2023, promovido en proceso contencioso administrativo.</w:t>
      </w:r>
    </w:p>
    <w:p w14:paraId="22D28D98" w14:textId="028ED3EB" w:rsidR="00F64776" w:rsidRDefault="00F64776" w:rsidP="00F64776">
      <w:pPr>
        <w:pStyle w:val="SntesisDescriptiva"/>
      </w:pPr>
    </w:p>
    <w:p w14:paraId="5D3E9C45" w14:textId="77777777" w:rsidR="00F64776" w:rsidRDefault="00F64776" w:rsidP="00F64776">
      <w:pPr>
        <w:pStyle w:val="SntesisDescriptiva"/>
      </w:pPr>
    </w:p>
    <w:p w14:paraId="36A346DE" w14:textId="77777777" w:rsidR="00F64776" w:rsidRDefault="00F64776" w:rsidP="00F64776">
      <w:pPr>
        <w:pStyle w:val="SntesisDescriptiva"/>
      </w:pPr>
    </w:p>
    <w:p w14:paraId="54E1A340" w14:textId="77777777" w:rsidR="00F64776" w:rsidRDefault="00F64776" w:rsidP="00F64776">
      <w:pPr>
        <w:pStyle w:val="TextoNormalNegritaCentrado"/>
      </w:pPr>
      <w:r>
        <w:t>AUTO</w:t>
      </w:r>
    </w:p>
    <w:p w14:paraId="661DE96A" w14:textId="249074E8" w:rsidR="00F64776" w:rsidRDefault="00F64776" w:rsidP="00F64776">
      <w:pPr>
        <w:pStyle w:val="TextoNormalNegritaCentrado"/>
      </w:pPr>
    </w:p>
    <w:p w14:paraId="5F9A54D7" w14:textId="77777777" w:rsidR="00F64776" w:rsidRDefault="00F64776" w:rsidP="00F64776">
      <w:pPr>
        <w:pStyle w:val="TextoNormalNegritaCentrado"/>
        <w:keepNext/>
      </w:pPr>
      <w:r>
        <w:t>I. Antecedentes</w:t>
      </w:r>
    </w:p>
    <w:p w14:paraId="524686DA" w14:textId="76B02C24" w:rsidR="00F64776" w:rsidRDefault="00F64776" w:rsidP="00F64776">
      <w:pPr>
        <w:pStyle w:val="TextoNormalNegritaCentrado"/>
        <w:keepNext/>
      </w:pPr>
    </w:p>
    <w:p w14:paraId="0E825B6F" w14:textId="544AB18B" w:rsidR="00F64776" w:rsidRDefault="00F64776" w:rsidP="00F64776">
      <w:pPr>
        <w:pStyle w:val="TextoNormal"/>
      </w:pPr>
      <w:r w:rsidRPr="00F64776">
        <w:rPr>
          <w:rStyle w:val="NumeroAFNegritaCaracter"/>
        </w:rPr>
        <w:t>1</w:t>
      </w:r>
      <w:r>
        <w:t>. Mediante escrito registrado en este tribunal el 24 de mayo de 2023, el procurador de los tribunales don José María Ruiz de la Cuesta Vacas, en nombre y representación de doña Araceli Chico Fernández y bajo la dirección del letrado don Francisco Javier Araúz de Robles Dávila, formuló demanda de amparo contra el auto y la providencia de la Sección Primera de la Sala de lo Contencioso-Administrativo del Tribunal Supremo, en el recurso de queja núm. 314-2022.</w:t>
      </w:r>
    </w:p>
    <w:p w14:paraId="59115D30" w14:textId="77777777" w:rsidR="00F64776" w:rsidRDefault="00F64776" w:rsidP="00F64776">
      <w:pPr>
        <w:pStyle w:val="TextoNormal"/>
      </w:pPr>
    </w:p>
    <w:p w14:paraId="109C9ED4" w14:textId="20E662C2" w:rsidR="00F64776" w:rsidRDefault="00F64776" w:rsidP="00F64776">
      <w:pPr>
        <w:pStyle w:val="TextoNormal"/>
      </w:pPr>
      <w:r w:rsidRPr="00F64776">
        <w:rPr>
          <w:rStyle w:val="NumeroAFNegritaCaracter"/>
        </w:rPr>
        <w:t>2</w:t>
      </w:r>
      <w:r>
        <w:t>. Por escrito de 5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3A007576" w14:textId="77777777" w:rsidR="00F64776" w:rsidRDefault="00F64776" w:rsidP="00F64776">
      <w:pPr>
        <w:pStyle w:val="TextoNormal"/>
      </w:pPr>
    </w:p>
    <w:p w14:paraId="242BAD48" w14:textId="77777777" w:rsidR="00F64776" w:rsidRDefault="00F64776" w:rsidP="00F64776">
      <w:pPr>
        <w:pStyle w:val="TextoNormalNegritaCentrado"/>
        <w:keepNext/>
      </w:pPr>
      <w:r>
        <w:t>II. Fundamentos jurídicos</w:t>
      </w:r>
    </w:p>
    <w:p w14:paraId="2A90A664" w14:textId="0A4C176F" w:rsidR="00F64776" w:rsidRDefault="00F64776" w:rsidP="00F64776">
      <w:pPr>
        <w:pStyle w:val="TextoNormalNegritaCentrado"/>
        <w:keepNext/>
      </w:pPr>
    </w:p>
    <w:p w14:paraId="3CBA96B8" w14:textId="516F9501"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5BE8BCDA" w14:textId="77777777" w:rsidR="00F64776" w:rsidRDefault="00F64776" w:rsidP="00F64776">
      <w:pPr>
        <w:pStyle w:val="TextoNormal"/>
      </w:pPr>
    </w:p>
    <w:p w14:paraId="1A86E774" w14:textId="77777777" w:rsidR="00F64776" w:rsidRDefault="00F64776" w:rsidP="00F64776">
      <w:pPr>
        <w:pStyle w:val="TextoNormal"/>
      </w:pPr>
      <w:r>
        <w:t>Por lo expuesto, la Sección</w:t>
      </w:r>
    </w:p>
    <w:p w14:paraId="7DAC0EA0" w14:textId="4CBA1A11" w:rsidR="00F64776" w:rsidRDefault="00F64776" w:rsidP="00F64776">
      <w:pPr>
        <w:pStyle w:val="TextoNormal"/>
      </w:pPr>
    </w:p>
    <w:p w14:paraId="47480074" w14:textId="77777777" w:rsidR="00F64776" w:rsidRDefault="00F64776" w:rsidP="00F64776">
      <w:pPr>
        <w:pStyle w:val="TextoNormalCentrado"/>
      </w:pPr>
      <w:r>
        <w:t>ACUERDA</w:t>
      </w:r>
    </w:p>
    <w:p w14:paraId="414193FA" w14:textId="0BD6B770" w:rsidR="00F64776" w:rsidRDefault="00F64776" w:rsidP="00F64776">
      <w:pPr>
        <w:pStyle w:val="TextoNormalCentrado"/>
      </w:pPr>
    </w:p>
    <w:p w14:paraId="66AF4FBE" w14:textId="6E930749" w:rsidR="00F64776" w:rsidRDefault="00F64776" w:rsidP="00F64776">
      <w:pPr>
        <w:pStyle w:val="TextoNormal"/>
      </w:pPr>
      <w:r>
        <w:t>Estimar justificada la abstención formulada por el magistrado don César Tolosa Tribiño en el recurso de amparo núm. 3476-2023 y apartarle definitivamente del conocimiento del referido recurso y de todas sus incidencias.</w:t>
      </w:r>
    </w:p>
    <w:p w14:paraId="12B52C65" w14:textId="77777777" w:rsidR="00F64776" w:rsidRDefault="00F64776" w:rsidP="00F64776">
      <w:pPr>
        <w:pStyle w:val="TextoNormal"/>
      </w:pPr>
    </w:p>
    <w:p w14:paraId="3DEE4522" w14:textId="77777777" w:rsidR="00F64776" w:rsidRDefault="00F64776" w:rsidP="00F64776">
      <w:pPr>
        <w:pStyle w:val="TextoNormal"/>
      </w:pPr>
      <w:r>
        <w:t>Madrid, a cuatro de diciembre de dos mil veintitrés.</w:t>
      </w:r>
    </w:p>
    <w:p w14:paraId="1C42BABA" w14:textId="4702439E" w:rsidR="00F64776" w:rsidRDefault="00F64776">
      <w:pPr>
        <w:spacing w:after="160" w:line="278" w:lineRule="auto"/>
        <w:rPr>
          <w:rFonts w:ascii="Times New Roman" w:eastAsia="Times New Roman" w:hAnsi="Times New Roman" w:cs="Times New Roman"/>
          <w:sz w:val="24"/>
          <w:szCs w:val="24"/>
          <w:lang w:eastAsia="es-ES"/>
        </w:rPr>
      </w:pPr>
      <w:r>
        <w:br w:type="page"/>
      </w:r>
    </w:p>
    <w:p w14:paraId="40AD2790" w14:textId="77777777" w:rsidR="00F64776" w:rsidRDefault="00F64776" w:rsidP="00F64776">
      <w:pPr>
        <w:pStyle w:val="TtuloResolucin"/>
      </w:pPr>
      <w:bookmarkStart w:id="425" w:name="AUTO_2023_640"/>
      <w:r>
        <w:t>AUTO 640/2023, de 11 de diciembre de 2023</w:t>
      </w:r>
    </w:p>
    <w:bookmarkEnd w:id="425"/>
    <w:p w14:paraId="69878404" w14:textId="77777777" w:rsidR="00F64776" w:rsidRDefault="00F64776" w:rsidP="00F64776">
      <w:pPr>
        <w:pStyle w:val="TtuloResolucin"/>
      </w:pPr>
      <w:r>
        <w:t>Sección Tercera</w:t>
      </w:r>
    </w:p>
    <w:p w14:paraId="54B0EB88" w14:textId="77777777" w:rsidR="00F64776" w:rsidRDefault="00F64776" w:rsidP="00F64776">
      <w:pPr>
        <w:pStyle w:val="TextoNormalCentrado"/>
      </w:pPr>
      <w:r>
        <w:t>ECLI:ES:TC:2023:640A</w:t>
      </w:r>
    </w:p>
    <w:p w14:paraId="52FB6D80" w14:textId="12A4BB44" w:rsidR="00F64776" w:rsidRDefault="00F64776" w:rsidP="00F64776">
      <w:pPr>
        <w:pStyle w:val="TextoNormalCentrado"/>
      </w:pPr>
    </w:p>
    <w:p w14:paraId="3CEAF9F0" w14:textId="77777777" w:rsidR="00F64776" w:rsidRDefault="00F64776" w:rsidP="00F64776">
      <w:pPr>
        <w:pStyle w:val="SntesisDescriptiva"/>
      </w:pPr>
      <w:r>
        <w:t>Excms. Srs. doña Inmaculada Montalbán Huertas y doña Laura Díez Bueso.</w:t>
      </w:r>
    </w:p>
    <w:p w14:paraId="2099A42E" w14:textId="413C2F2F" w:rsidR="00F64776" w:rsidRDefault="00F64776" w:rsidP="00F64776">
      <w:pPr>
        <w:pStyle w:val="SntesisDescriptiva"/>
      </w:pPr>
    </w:p>
    <w:p w14:paraId="47F5A258" w14:textId="77777777" w:rsidR="00F64776" w:rsidRDefault="00F64776" w:rsidP="00F64776">
      <w:pPr>
        <w:pStyle w:val="SntesisDescriptiva"/>
      </w:pPr>
      <w:r>
        <w:t>Acepta una abstención en el recurso de amparo 1152-2022, promovido por la entidad RHL Hamburger Lloyd Tanker GmbH &amp; CO KG, en proceso contencioso administrativo.</w:t>
      </w:r>
    </w:p>
    <w:p w14:paraId="7B1E91B2" w14:textId="5EC85F1C" w:rsidR="00F64776" w:rsidRDefault="00F64776" w:rsidP="00F64776">
      <w:pPr>
        <w:pStyle w:val="SntesisDescriptiva"/>
      </w:pPr>
    </w:p>
    <w:p w14:paraId="056AC506" w14:textId="77777777" w:rsidR="00F64776" w:rsidRDefault="00F64776" w:rsidP="00F64776">
      <w:pPr>
        <w:pStyle w:val="SntesisDescriptiva"/>
      </w:pPr>
    </w:p>
    <w:p w14:paraId="0451525A" w14:textId="77777777" w:rsidR="00F64776" w:rsidRDefault="00F64776" w:rsidP="00F64776">
      <w:pPr>
        <w:pStyle w:val="SntesisDescriptiva"/>
      </w:pPr>
    </w:p>
    <w:p w14:paraId="3E4F2C73" w14:textId="77777777" w:rsidR="00F64776" w:rsidRDefault="00F64776" w:rsidP="00F64776">
      <w:pPr>
        <w:pStyle w:val="TextoNormalNegritaCentrado"/>
      </w:pPr>
      <w:r>
        <w:t>AUTO</w:t>
      </w:r>
    </w:p>
    <w:p w14:paraId="061B256F" w14:textId="5A77BB09" w:rsidR="00F64776" w:rsidRDefault="00F64776" w:rsidP="00F64776">
      <w:pPr>
        <w:pStyle w:val="TextoNormalNegritaCentrado"/>
      </w:pPr>
    </w:p>
    <w:p w14:paraId="724C027F" w14:textId="77777777" w:rsidR="00F64776" w:rsidRDefault="00F64776" w:rsidP="00F64776">
      <w:pPr>
        <w:pStyle w:val="TextoNormalNegritaCentrado"/>
        <w:keepNext/>
      </w:pPr>
      <w:r>
        <w:t>I. Antecedentes</w:t>
      </w:r>
    </w:p>
    <w:p w14:paraId="59DF6459" w14:textId="6A1993E7" w:rsidR="00F64776" w:rsidRDefault="00F64776" w:rsidP="00F64776">
      <w:pPr>
        <w:pStyle w:val="TextoNormalNegritaCentrado"/>
        <w:keepNext/>
      </w:pPr>
    </w:p>
    <w:p w14:paraId="281CEDFC" w14:textId="3B82C89F" w:rsidR="00F64776" w:rsidRDefault="00F64776" w:rsidP="00F64776">
      <w:pPr>
        <w:pStyle w:val="TextoNormal"/>
      </w:pPr>
      <w:r w:rsidRPr="00F64776">
        <w:rPr>
          <w:rStyle w:val="NumeroAFNegritaCaracter"/>
        </w:rPr>
        <w:t>1</w:t>
      </w:r>
      <w:r>
        <w:t>. Mediante escrito registrado en este tribunal el 22 de febrero de 2022 la procuradora de los tribunales doña Virginia Rosa Lobo Ruiz, en nombre y representación de la entidad RHL Hamburger Lloyd Tanker GmbH &amp; Co. KG y bajo la dirección del letrado don José Antonio Domínguez Castro, formuló demanda de amparo contra la sentencia núm. 1531-2021, de 20 de diciembre de 2021, dictada por el Pleno de la Sala de lo Contencioso-Administrativo del Tribunal Supremo, resolución objeto del presente recurso de amparo núm. 1152-2022.</w:t>
      </w:r>
    </w:p>
    <w:p w14:paraId="69255EFC" w14:textId="77777777" w:rsidR="00F64776" w:rsidRDefault="00F64776" w:rsidP="00F64776">
      <w:pPr>
        <w:pStyle w:val="TextoNormal"/>
      </w:pPr>
    </w:p>
    <w:p w14:paraId="4A46B392" w14:textId="3050B80E" w:rsidR="00F64776" w:rsidRDefault="00F64776" w:rsidP="00F64776">
      <w:pPr>
        <w:pStyle w:val="TextoNormal"/>
      </w:pPr>
      <w:r w:rsidRPr="00F64776">
        <w:rPr>
          <w:rStyle w:val="NumeroAFNegritaCaracter"/>
        </w:rPr>
        <w:t>2</w:t>
      </w:r>
      <w:r>
        <w:t>. Por escrito de 12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del Pleno de la Sala de lo Contencioso-Administrativo del Tribunal Supremo que dictó la resolución impugnada.</w:t>
      </w:r>
    </w:p>
    <w:p w14:paraId="77219380" w14:textId="77777777" w:rsidR="00F64776" w:rsidRDefault="00F64776" w:rsidP="00F64776">
      <w:pPr>
        <w:pStyle w:val="TextoNormal"/>
      </w:pPr>
    </w:p>
    <w:p w14:paraId="45CC521C" w14:textId="77777777" w:rsidR="00F64776" w:rsidRDefault="00F64776" w:rsidP="00F64776">
      <w:pPr>
        <w:pStyle w:val="TextoNormalNegritaCentrado"/>
        <w:keepNext/>
      </w:pPr>
      <w:r>
        <w:t>II. Fundamentos jurídicos</w:t>
      </w:r>
    </w:p>
    <w:p w14:paraId="395CB112" w14:textId="3401D81B" w:rsidR="00F64776" w:rsidRDefault="00F64776" w:rsidP="00F64776">
      <w:pPr>
        <w:pStyle w:val="TextoNormalNegritaCentrado"/>
        <w:keepNext/>
      </w:pPr>
    </w:p>
    <w:p w14:paraId="70D8FE65" w14:textId="6DA175AB"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43697D1B" w14:textId="77777777" w:rsidR="00F64776" w:rsidRDefault="00F64776" w:rsidP="00F64776">
      <w:pPr>
        <w:pStyle w:val="TextoNormal"/>
      </w:pPr>
    </w:p>
    <w:p w14:paraId="3E488C62" w14:textId="77777777" w:rsidR="00F64776" w:rsidRDefault="00F64776" w:rsidP="00F64776">
      <w:pPr>
        <w:pStyle w:val="TextoNormal"/>
      </w:pPr>
      <w:r>
        <w:t>Por lo expuesto, la Sección</w:t>
      </w:r>
    </w:p>
    <w:p w14:paraId="06938EC3" w14:textId="65D883E3" w:rsidR="00F64776" w:rsidRDefault="00F64776" w:rsidP="00F64776">
      <w:pPr>
        <w:pStyle w:val="TextoNormal"/>
      </w:pPr>
    </w:p>
    <w:p w14:paraId="03855751" w14:textId="77777777" w:rsidR="00F64776" w:rsidRDefault="00F64776" w:rsidP="00F64776">
      <w:pPr>
        <w:pStyle w:val="TextoNormalCentrado"/>
      </w:pPr>
      <w:r>
        <w:t>ACUERDA</w:t>
      </w:r>
    </w:p>
    <w:p w14:paraId="3AF1A16A" w14:textId="62CA3CA4" w:rsidR="00F64776" w:rsidRDefault="00F64776" w:rsidP="00F64776">
      <w:pPr>
        <w:pStyle w:val="TextoNormalCentrado"/>
      </w:pPr>
    </w:p>
    <w:p w14:paraId="59C1E848" w14:textId="7EF8F8E1" w:rsidR="00F64776" w:rsidRDefault="00F64776" w:rsidP="00F64776">
      <w:pPr>
        <w:pStyle w:val="TextoNormal"/>
      </w:pPr>
      <w:r>
        <w:t>Estimar justificada la abstención formulada por el magistrado don César Tolosa Tribiño en el recurso de amparo núm. 1152-2022 y apartarle definitivamente del conocimiento del referido recurso y de todas sus incidencias.</w:t>
      </w:r>
    </w:p>
    <w:p w14:paraId="7311406E" w14:textId="77777777" w:rsidR="00F64776" w:rsidRDefault="00F64776" w:rsidP="00F64776">
      <w:pPr>
        <w:pStyle w:val="TextoNormal"/>
      </w:pPr>
    </w:p>
    <w:p w14:paraId="3D1EC11B" w14:textId="77777777" w:rsidR="00F64776" w:rsidRDefault="00F64776" w:rsidP="00F64776">
      <w:pPr>
        <w:pStyle w:val="TextoNormal"/>
      </w:pPr>
      <w:r>
        <w:t>Madrid, a once de diciembre de dos mil veintitrés.</w:t>
      </w:r>
    </w:p>
    <w:p w14:paraId="217F3C46" w14:textId="293810FD" w:rsidR="00F64776" w:rsidRDefault="00F64776">
      <w:pPr>
        <w:spacing w:after="160" w:line="278" w:lineRule="auto"/>
        <w:rPr>
          <w:rFonts w:ascii="Times New Roman" w:eastAsia="Times New Roman" w:hAnsi="Times New Roman" w:cs="Times New Roman"/>
          <w:sz w:val="24"/>
          <w:szCs w:val="24"/>
          <w:lang w:eastAsia="es-ES"/>
        </w:rPr>
      </w:pPr>
      <w:r>
        <w:br w:type="page"/>
      </w:r>
    </w:p>
    <w:p w14:paraId="28F66279" w14:textId="77777777" w:rsidR="00F64776" w:rsidRDefault="00F64776" w:rsidP="00F64776">
      <w:pPr>
        <w:pStyle w:val="TtuloResolucin"/>
      </w:pPr>
      <w:bookmarkStart w:id="426" w:name="AUTO_2023_641"/>
      <w:r>
        <w:t>AUTO 641/2023, de 11 de diciembre de 2023</w:t>
      </w:r>
    </w:p>
    <w:bookmarkEnd w:id="426"/>
    <w:p w14:paraId="32FC8BD4" w14:textId="77777777" w:rsidR="00F64776" w:rsidRDefault="00F64776" w:rsidP="00F64776">
      <w:pPr>
        <w:pStyle w:val="TtuloResolucin"/>
      </w:pPr>
      <w:r>
        <w:t>Sección Tercera</w:t>
      </w:r>
    </w:p>
    <w:p w14:paraId="1DCD39EA" w14:textId="77777777" w:rsidR="00F64776" w:rsidRDefault="00F64776" w:rsidP="00F64776">
      <w:pPr>
        <w:pStyle w:val="TextoNormalCentrado"/>
      </w:pPr>
      <w:r>
        <w:t>ECLI:ES:TC:2023:641A</w:t>
      </w:r>
    </w:p>
    <w:p w14:paraId="4AB0A15E" w14:textId="752B6BA3" w:rsidR="00F64776" w:rsidRDefault="00F64776" w:rsidP="00F64776">
      <w:pPr>
        <w:pStyle w:val="TextoNormalCentrado"/>
      </w:pPr>
    </w:p>
    <w:p w14:paraId="1CFA80FE" w14:textId="77777777" w:rsidR="00F64776" w:rsidRDefault="00F64776" w:rsidP="00F64776">
      <w:pPr>
        <w:pStyle w:val="SntesisDescriptiva"/>
      </w:pPr>
      <w:r>
        <w:t>Excms. Srs. doña Inmaculada Montalbán Huertas y doña Laura Díez Bueso.</w:t>
      </w:r>
    </w:p>
    <w:p w14:paraId="745EF2E9" w14:textId="7999D12C" w:rsidR="00F64776" w:rsidRDefault="00F64776" w:rsidP="00F64776">
      <w:pPr>
        <w:pStyle w:val="SntesisDescriptiva"/>
      </w:pPr>
    </w:p>
    <w:p w14:paraId="5A4D4430" w14:textId="77777777" w:rsidR="00F64776" w:rsidRDefault="00F64776" w:rsidP="00F64776">
      <w:pPr>
        <w:pStyle w:val="SntesisDescriptiva"/>
      </w:pPr>
      <w:r>
        <w:t>Acepta una abstención en el recurso de amparo 1782-2022, promovido en proceso contencioso administrativo.</w:t>
      </w:r>
    </w:p>
    <w:p w14:paraId="628E8E6C" w14:textId="11FAB70E" w:rsidR="00F64776" w:rsidRDefault="00F64776" w:rsidP="00F64776">
      <w:pPr>
        <w:pStyle w:val="SntesisDescriptiva"/>
      </w:pPr>
    </w:p>
    <w:p w14:paraId="1C666FDC" w14:textId="77777777" w:rsidR="00F64776" w:rsidRDefault="00F64776" w:rsidP="00F64776">
      <w:pPr>
        <w:pStyle w:val="SntesisDescriptiva"/>
      </w:pPr>
    </w:p>
    <w:p w14:paraId="00F0CFA9" w14:textId="77777777" w:rsidR="00F64776" w:rsidRDefault="00F64776" w:rsidP="00F64776">
      <w:pPr>
        <w:pStyle w:val="SntesisDescriptiva"/>
      </w:pPr>
    </w:p>
    <w:p w14:paraId="04FD56F7" w14:textId="77777777" w:rsidR="00F64776" w:rsidRDefault="00F64776" w:rsidP="00F64776">
      <w:pPr>
        <w:pStyle w:val="TextoNormalNegritaCentrado"/>
      </w:pPr>
      <w:r>
        <w:t>AUTO</w:t>
      </w:r>
    </w:p>
    <w:p w14:paraId="777B1D3B" w14:textId="491D52C6" w:rsidR="00F64776" w:rsidRDefault="00F64776" w:rsidP="00F64776">
      <w:pPr>
        <w:pStyle w:val="TextoNormalNegritaCentrado"/>
      </w:pPr>
    </w:p>
    <w:p w14:paraId="0E80F177" w14:textId="77777777" w:rsidR="00F64776" w:rsidRDefault="00F64776" w:rsidP="00F64776">
      <w:pPr>
        <w:pStyle w:val="TextoNormalNegritaCentrado"/>
        <w:keepNext/>
      </w:pPr>
      <w:r>
        <w:t>I. Antecedentes</w:t>
      </w:r>
    </w:p>
    <w:p w14:paraId="6DAB74F3" w14:textId="65B29166" w:rsidR="00F64776" w:rsidRDefault="00F64776" w:rsidP="00F64776">
      <w:pPr>
        <w:pStyle w:val="TextoNormalNegritaCentrado"/>
        <w:keepNext/>
      </w:pPr>
    </w:p>
    <w:p w14:paraId="4BBC10F7" w14:textId="219AAACF" w:rsidR="00F64776" w:rsidRDefault="00F64776" w:rsidP="00F64776">
      <w:pPr>
        <w:pStyle w:val="TextoNormal"/>
      </w:pPr>
      <w:r w:rsidRPr="00F64776">
        <w:rPr>
          <w:rStyle w:val="NumeroAFNegritaCaracter"/>
        </w:rPr>
        <w:t>1</w:t>
      </w:r>
      <w:r>
        <w:t>. Mediante escrito registrado en este tribunal el 15 de marzo de 2022, la procuradora de los tribunales doña Mónica de la Paloma Fente Delgado, en nombre y representación de don Jacques Hachuel Moreno y bajo la dirección del letrado don José Luis Mazón Costa, formuló demanda de amparo contra las providencias de la Sección Primera de la Sala de lo Contencioso-Administrativo del Tribunal Supremo, en el recurso de casación núm. 6289-2021.</w:t>
      </w:r>
    </w:p>
    <w:p w14:paraId="60A5E0DF" w14:textId="77777777" w:rsidR="00F64776" w:rsidRDefault="00F64776" w:rsidP="00F64776">
      <w:pPr>
        <w:pStyle w:val="TextoNormal"/>
      </w:pPr>
    </w:p>
    <w:p w14:paraId="51A2B183" w14:textId="0F9B32D9" w:rsidR="00F64776" w:rsidRDefault="00F64776" w:rsidP="00F64776">
      <w:pPr>
        <w:pStyle w:val="TextoNormal"/>
      </w:pPr>
      <w:r w:rsidRPr="00F64776">
        <w:rPr>
          <w:rStyle w:val="NumeroAFNegritaCaracter"/>
        </w:rPr>
        <w:t>2</w:t>
      </w:r>
      <w:r>
        <w:t>. Por escrito de 12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54215C4B" w14:textId="77777777" w:rsidR="00F64776" w:rsidRDefault="00F64776" w:rsidP="00F64776">
      <w:pPr>
        <w:pStyle w:val="TextoNormal"/>
      </w:pPr>
    </w:p>
    <w:p w14:paraId="73D344BE" w14:textId="77777777" w:rsidR="00F64776" w:rsidRDefault="00F64776" w:rsidP="00F64776">
      <w:pPr>
        <w:pStyle w:val="TextoNormalNegritaCentrado"/>
        <w:keepNext/>
      </w:pPr>
      <w:r>
        <w:t>II. Fundamentos jurídicos</w:t>
      </w:r>
    </w:p>
    <w:p w14:paraId="58FE98AC" w14:textId="3A33E48A" w:rsidR="00F64776" w:rsidRDefault="00F64776" w:rsidP="00F64776">
      <w:pPr>
        <w:pStyle w:val="TextoNormalNegritaCentrado"/>
        <w:keepNext/>
      </w:pPr>
    </w:p>
    <w:p w14:paraId="06BEC799" w14:textId="5F6DA3AE"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3BA46EB2" w14:textId="77777777" w:rsidR="00F64776" w:rsidRDefault="00F64776" w:rsidP="00F64776">
      <w:pPr>
        <w:pStyle w:val="TextoNormal"/>
      </w:pPr>
    </w:p>
    <w:p w14:paraId="4D6B7B06" w14:textId="77777777" w:rsidR="00F64776" w:rsidRDefault="00F64776" w:rsidP="00F64776">
      <w:pPr>
        <w:pStyle w:val="TextoNormal"/>
      </w:pPr>
      <w:r>
        <w:t>Por lo expuesto, la Sección</w:t>
      </w:r>
    </w:p>
    <w:p w14:paraId="214B9710" w14:textId="6BEF10FC" w:rsidR="00F64776" w:rsidRDefault="00F64776" w:rsidP="00F64776">
      <w:pPr>
        <w:pStyle w:val="TextoNormal"/>
      </w:pPr>
    </w:p>
    <w:p w14:paraId="05C70603" w14:textId="77777777" w:rsidR="00F64776" w:rsidRDefault="00F64776" w:rsidP="00F64776">
      <w:pPr>
        <w:pStyle w:val="TextoNormalCentrado"/>
      </w:pPr>
      <w:r>
        <w:t>ACUERDA</w:t>
      </w:r>
    </w:p>
    <w:p w14:paraId="6D90DEE1" w14:textId="69C355FF" w:rsidR="00F64776" w:rsidRDefault="00F64776" w:rsidP="00F64776">
      <w:pPr>
        <w:pStyle w:val="TextoNormalCentrado"/>
      </w:pPr>
    </w:p>
    <w:p w14:paraId="574E0C67" w14:textId="683EB750" w:rsidR="00F64776" w:rsidRDefault="00F64776" w:rsidP="00F64776">
      <w:pPr>
        <w:pStyle w:val="TextoNormal"/>
      </w:pPr>
      <w:r>
        <w:t>Estimar justificada la abstención formulada por el magistrado don César Tolosa Tribiño en el recurso de amparo núm. 1782-2022 y apartarle definitivamente del conocimiento del referido recurso y de todas sus incidencias.</w:t>
      </w:r>
    </w:p>
    <w:p w14:paraId="558DB758" w14:textId="77777777" w:rsidR="00F64776" w:rsidRDefault="00F64776" w:rsidP="00F64776">
      <w:pPr>
        <w:pStyle w:val="TextoNormal"/>
      </w:pPr>
    </w:p>
    <w:p w14:paraId="1209B0EB" w14:textId="77777777" w:rsidR="00F64776" w:rsidRDefault="00F64776" w:rsidP="00F64776">
      <w:pPr>
        <w:pStyle w:val="TextoNormal"/>
      </w:pPr>
      <w:r>
        <w:t>Madrid, a once de diciembre de dos mil veintitrés.</w:t>
      </w:r>
    </w:p>
    <w:p w14:paraId="3A46B836" w14:textId="4615B47A" w:rsidR="00F64776" w:rsidRDefault="00F64776">
      <w:pPr>
        <w:spacing w:after="160" w:line="278" w:lineRule="auto"/>
        <w:rPr>
          <w:rFonts w:ascii="Times New Roman" w:eastAsia="Times New Roman" w:hAnsi="Times New Roman" w:cs="Times New Roman"/>
          <w:sz w:val="24"/>
          <w:szCs w:val="24"/>
          <w:lang w:eastAsia="es-ES"/>
        </w:rPr>
      </w:pPr>
      <w:r>
        <w:br w:type="page"/>
      </w:r>
    </w:p>
    <w:p w14:paraId="25F4DA1D" w14:textId="77777777" w:rsidR="00F64776" w:rsidRDefault="00F64776" w:rsidP="00F64776">
      <w:pPr>
        <w:pStyle w:val="TtuloResolucin"/>
      </w:pPr>
      <w:bookmarkStart w:id="427" w:name="AUTO_2023_642"/>
      <w:r>
        <w:t>AUTO 642/2023, de 11 de diciembre de 2023</w:t>
      </w:r>
    </w:p>
    <w:bookmarkEnd w:id="427"/>
    <w:p w14:paraId="313FAC89" w14:textId="77777777" w:rsidR="00F64776" w:rsidRDefault="00F64776" w:rsidP="00F64776">
      <w:pPr>
        <w:pStyle w:val="TtuloResolucin"/>
      </w:pPr>
      <w:r>
        <w:t>Sección Tercera</w:t>
      </w:r>
    </w:p>
    <w:p w14:paraId="01061F2C" w14:textId="77777777" w:rsidR="00F64776" w:rsidRDefault="00F64776" w:rsidP="00F64776">
      <w:pPr>
        <w:pStyle w:val="TextoNormalCentrado"/>
      </w:pPr>
      <w:r>
        <w:t>ECLI:ES:TC:2023:642A</w:t>
      </w:r>
    </w:p>
    <w:p w14:paraId="6ABE85B0" w14:textId="2A1BA142" w:rsidR="00F64776" w:rsidRDefault="00F64776" w:rsidP="00F64776">
      <w:pPr>
        <w:pStyle w:val="TextoNormalCentrado"/>
      </w:pPr>
    </w:p>
    <w:p w14:paraId="7F808CAE" w14:textId="77777777" w:rsidR="00F64776" w:rsidRDefault="00F64776" w:rsidP="00F64776">
      <w:pPr>
        <w:pStyle w:val="SntesisDescriptiva"/>
      </w:pPr>
      <w:r>
        <w:t>Excms. Srs. doña Inmaculada Montalbán Huertas y doña Laura Díez Bueso.</w:t>
      </w:r>
    </w:p>
    <w:p w14:paraId="4695C761" w14:textId="7B0EBD49" w:rsidR="00F64776" w:rsidRDefault="00F64776" w:rsidP="00F64776">
      <w:pPr>
        <w:pStyle w:val="SntesisDescriptiva"/>
      </w:pPr>
    </w:p>
    <w:p w14:paraId="746723FB" w14:textId="77777777" w:rsidR="00F64776" w:rsidRDefault="00F64776" w:rsidP="00F64776">
      <w:pPr>
        <w:pStyle w:val="SntesisDescriptiva"/>
      </w:pPr>
      <w:r>
        <w:t>Acepta una abstención en el recurso de amparo 2741-2022, promovido en proceso contencioso administrativo.</w:t>
      </w:r>
    </w:p>
    <w:p w14:paraId="520BA116" w14:textId="232F9B57" w:rsidR="00F64776" w:rsidRDefault="00F64776" w:rsidP="00F64776">
      <w:pPr>
        <w:pStyle w:val="SntesisDescriptiva"/>
      </w:pPr>
    </w:p>
    <w:p w14:paraId="25117D90" w14:textId="77777777" w:rsidR="00F64776" w:rsidRDefault="00F64776" w:rsidP="00F64776">
      <w:pPr>
        <w:pStyle w:val="SntesisDescriptiva"/>
      </w:pPr>
    </w:p>
    <w:p w14:paraId="54246771" w14:textId="77777777" w:rsidR="00F64776" w:rsidRDefault="00F64776" w:rsidP="00F64776">
      <w:pPr>
        <w:pStyle w:val="SntesisDescriptiva"/>
      </w:pPr>
    </w:p>
    <w:p w14:paraId="0C32DD15" w14:textId="77777777" w:rsidR="00F64776" w:rsidRDefault="00F64776" w:rsidP="00F64776">
      <w:pPr>
        <w:pStyle w:val="TextoNormalNegritaCentrado"/>
      </w:pPr>
      <w:r>
        <w:t>AUTO</w:t>
      </w:r>
    </w:p>
    <w:p w14:paraId="2A2F2F4B" w14:textId="6F362B95" w:rsidR="00F64776" w:rsidRDefault="00F64776" w:rsidP="00F64776">
      <w:pPr>
        <w:pStyle w:val="TextoNormalNegritaCentrado"/>
      </w:pPr>
    </w:p>
    <w:p w14:paraId="2F647390" w14:textId="77777777" w:rsidR="00F64776" w:rsidRDefault="00F64776" w:rsidP="00F64776">
      <w:pPr>
        <w:pStyle w:val="TextoNormalNegritaCentrado"/>
        <w:keepNext/>
      </w:pPr>
      <w:r>
        <w:t>I. Antecedentes</w:t>
      </w:r>
    </w:p>
    <w:p w14:paraId="78F2EDE7" w14:textId="1A9DB639" w:rsidR="00F64776" w:rsidRDefault="00F64776" w:rsidP="00F64776">
      <w:pPr>
        <w:pStyle w:val="TextoNormalNegritaCentrado"/>
        <w:keepNext/>
      </w:pPr>
    </w:p>
    <w:p w14:paraId="4BC0F532" w14:textId="4F38FE45" w:rsidR="00F64776" w:rsidRDefault="00F64776" w:rsidP="00F64776">
      <w:pPr>
        <w:pStyle w:val="TextoNormal"/>
      </w:pPr>
      <w:r w:rsidRPr="00F64776">
        <w:rPr>
          <w:rStyle w:val="NumeroAFNegritaCaracter"/>
        </w:rPr>
        <w:t>1</w:t>
      </w:r>
      <w:r>
        <w:t>. Mediante escrito registrado en este tribunal el 19 de abril de 2022, la procuradora de los tribunales doña Lucía Pilar Carazo Gallo, en nombre y representación de don Taoufik Al Hilali y bajo la dirección de la letrada doña María de los Reyes Castro Martín, formuló demanda de amparo contra la providencia de 17 de marzo de 2022 dictada por la Sección Primera de la Sala de lo Contencioso-Administrativo del Tribunal Supremo, en el recurso de casación núm. 4487-2021 contra la sentencia de la Sala de lo Contencioso-Administrativo del Tribunal Superior de Justicia de Andalucía, en el recurso de apelación núm.1510-2018.</w:t>
      </w:r>
    </w:p>
    <w:p w14:paraId="2D0173F4" w14:textId="77777777" w:rsidR="00F64776" w:rsidRDefault="00F64776" w:rsidP="00F64776">
      <w:pPr>
        <w:pStyle w:val="TextoNormal"/>
      </w:pPr>
    </w:p>
    <w:p w14:paraId="06C7CE23" w14:textId="076A24E8" w:rsidR="00F64776" w:rsidRDefault="00F64776" w:rsidP="00F64776">
      <w:pPr>
        <w:pStyle w:val="TextoNormal"/>
      </w:pPr>
      <w:r w:rsidRPr="00F64776">
        <w:rPr>
          <w:rStyle w:val="NumeroAFNegritaCaracter"/>
        </w:rPr>
        <w:t>2</w:t>
      </w:r>
      <w:r>
        <w:t>. Por escrito de 27 de noviembre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11304C55" w14:textId="77777777" w:rsidR="00F64776" w:rsidRDefault="00F64776" w:rsidP="00F64776">
      <w:pPr>
        <w:pStyle w:val="TextoNormal"/>
      </w:pPr>
    </w:p>
    <w:p w14:paraId="225D4140" w14:textId="77777777" w:rsidR="00F64776" w:rsidRDefault="00F64776" w:rsidP="00F64776">
      <w:pPr>
        <w:pStyle w:val="TextoNormalNegritaCentrado"/>
        <w:keepNext/>
      </w:pPr>
      <w:r>
        <w:t>II. Fundamentos jurídicos</w:t>
      </w:r>
    </w:p>
    <w:p w14:paraId="188947FF" w14:textId="659BBAE1" w:rsidR="00F64776" w:rsidRDefault="00F64776" w:rsidP="00F64776">
      <w:pPr>
        <w:pStyle w:val="TextoNormalNegritaCentrado"/>
        <w:keepNext/>
      </w:pPr>
    </w:p>
    <w:p w14:paraId="04FEEC86" w14:textId="071D4F12"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6330BF59" w14:textId="77777777" w:rsidR="00F64776" w:rsidRDefault="00F64776" w:rsidP="00F64776">
      <w:pPr>
        <w:pStyle w:val="TextoNormal"/>
      </w:pPr>
    </w:p>
    <w:p w14:paraId="53B29F25" w14:textId="77777777" w:rsidR="00F64776" w:rsidRDefault="00F64776" w:rsidP="00F64776">
      <w:pPr>
        <w:pStyle w:val="TextoNormal"/>
      </w:pPr>
      <w:r>
        <w:t>Por lo expuesto, la Sección</w:t>
      </w:r>
    </w:p>
    <w:p w14:paraId="37F9B9E5" w14:textId="025D632E" w:rsidR="00F64776" w:rsidRDefault="00F64776" w:rsidP="00F64776">
      <w:pPr>
        <w:pStyle w:val="TextoNormal"/>
      </w:pPr>
    </w:p>
    <w:p w14:paraId="6BB30AFC" w14:textId="77777777" w:rsidR="00F64776" w:rsidRDefault="00F64776" w:rsidP="00F64776">
      <w:pPr>
        <w:pStyle w:val="TextoNormalCentrado"/>
      </w:pPr>
      <w:r>
        <w:t>ACUERDA</w:t>
      </w:r>
    </w:p>
    <w:p w14:paraId="0CFBB2EB" w14:textId="2F0B9DD7" w:rsidR="00F64776" w:rsidRDefault="00F64776" w:rsidP="00F64776">
      <w:pPr>
        <w:pStyle w:val="TextoNormalCentrado"/>
      </w:pPr>
    </w:p>
    <w:p w14:paraId="0F17E491" w14:textId="22A8442D" w:rsidR="00F64776" w:rsidRDefault="00F64776" w:rsidP="00F64776">
      <w:pPr>
        <w:pStyle w:val="TextoNormal"/>
      </w:pPr>
      <w:r>
        <w:t>Estimar justificada la abstención formulada por el magistrado don César Tolosa Tribiño en el recurso de amparo núm. 2741-2022 y apartarle definitivamente del conocimiento del referido recurso y de todas sus incidencias.</w:t>
      </w:r>
    </w:p>
    <w:p w14:paraId="044D738C" w14:textId="77777777" w:rsidR="00F64776" w:rsidRDefault="00F64776" w:rsidP="00F64776">
      <w:pPr>
        <w:pStyle w:val="TextoNormal"/>
      </w:pPr>
    </w:p>
    <w:p w14:paraId="3174723A" w14:textId="77777777" w:rsidR="00F64776" w:rsidRDefault="00F64776" w:rsidP="00F64776">
      <w:pPr>
        <w:pStyle w:val="TextoNormal"/>
      </w:pPr>
      <w:r>
        <w:t>Madrid, a once de diciembre de dos mil veintitrés.</w:t>
      </w:r>
    </w:p>
    <w:p w14:paraId="7C08837D" w14:textId="6DA95A8D" w:rsidR="00F64776" w:rsidRDefault="00F64776">
      <w:pPr>
        <w:spacing w:after="160" w:line="278" w:lineRule="auto"/>
        <w:rPr>
          <w:rFonts w:ascii="Times New Roman" w:eastAsia="Times New Roman" w:hAnsi="Times New Roman" w:cs="Times New Roman"/>
          <w:sz w:val="24"/>
          <w:szCs w:val="24"/>
          <w:lang w:eastAsia="es-ES"/>
        </w:rPr>
      </w:pPr>
      <w:r>
        <w:br w:type="page"/>
      </w:r>
    </w:p>
    <w:p w14:paraId="024FFFED" w14:textId="77777777" w:rsidR="00F64776" w:rsidRDefault="00F64776" w:rsidP="00F64776">
      <w:pPr>
        <w:pStyle w:val="TtuloResolucin"/>
      </w:pPr>
      <w:bookmarkStart w:id="428" w:name="AUTO_2023_643"/>
      <w:r>
        <w:t>AUTO 643/2023, de 11 de diciembre de 2023</w:t>
      </w:r>
    </w:p>
    <w:bookmarkEnd w:id="428"/>
    <w:p w14:paraId="683D7C7D" w14:textId="77777777" w:rsidR="00F64776" w:rsidRDefault="00F64776" w:rsidP="00F64776">
      <w:pPr>
        <w:pStyle w:val="TtuloResolucin"/>
      </w:pPr>
      <w:r>
        <w:t>Sección Tercera</w:t>
      </w:r>
    </w:p>
    <w:p w14:paraId="6585286E" w14:textId="77777777" w:rsidR="00F64776" w:rsidRDefault="00F64776" w:rsidP="00F64776">
      <w:pPr>
        <w:pStyle w:val="TextoNormalCentrado"/>
      </w:pPr>
      <w:r>
        <w:t>ECLI:ES:TC:2023:643A</w:t>
      </w:r>
    </w:p>
    <w:p w14:paraId="6B4B4EB3" w14:textId="43170770" w:rsidR="00F64776" w:rsidRDefault="00F64776" w:rsidP="00F64776">
      <w:pPr>
        <w:pStyle w:val="TextoNormalCentrado"/>
      </w:pPr>
    </w:p>
    <w:p w14:paraId="54722013" w14:textId="77777777" w:rsidR="00F64776" w:rsidRDefault="00F64776" w:rsidP="00F64776">
      <w:pPr>
        <w:pStyle w:val="SntesisDescriptiva"/>
      </w:pPr>
      <w:r>
        <w:t>Excms. Srs. doña Inmaculada Montalbán Huertas y doña Laura Díez Bueso.</w:t>
      </w:r>
    </w:p>
    <w:p w14:paraId="710695D1" w14:textId="24AE7959" w:rsidR="00F64776" w:rsidRDefault="00F64776" w:rsidP="00F64776">
      <w:pPr>
        <w:pStyle w:val="SntesisDescriptiva"/>
      </w:pPr>
    </w:p>
    <w:p w14:paraId="57883EE9" w14:textId="77777777" w:rsidR="00F64776" w:rsidRDefault="00F64776" w:rsidP="00F64776">
      <w:pPr>
        <w:pStyle w:val="SntesisDescriptiva"/>
      </w:pPr>
      <w:r>
        <w:t>Acepta una abstención en el recurso de amparo 4017-2022, promovido en proceso contencioso administrativo.</w:t>
      </w:r>
    </w:p>
    <w:p w14:paraId="17402688" w14:textId="1312E92E" w:rsidR="00F64776" w:rsidRDefault="00F64776" w:rsidP="00F64776">
      <w:pPr>
        <w:pStyle w:val="SntesisDescriptiva"/>
      </w:pPr>
    </w:p>
    <w:p w14:paraId="241C8B0C" w14:textId="77777777" w:rsidR="00F64776" w:rsidRDefault="00F64776" w:rsidP="00F64776">
      <w:pPr>
        <w:pStyle w:val="SntesisDescriptiva"/>
      </w:pPr>
    </w:p>
    <w:p w14:paraId="3D9FEC5F" w14:textId="77777777" w:rsidR="00F64776" w:rsidRDefault="00F64776" w:rsidP="00F64776">
      <w:pPr>
        <w:pStyle w:val="SntesisDescriptiva"/>
      </w:pPr>
    </w:p>
    <w:p w14:paraId="53F7D0A5" w14:textId="77777777" w:rsidR="00F64776" w:rsidRDefault="00F64776" w:rsidP="00F64776">
      <w:pPr>
        <w:pStyle w:val="TextoNormalNegritaCentrado"/>
      </w:pPr>
      <w:r>
        <w:t>AUTO</w:t>
      </w:r>
    </w:p>
    <w:p w14:paraId="3AFB055F" w14:textId="4B09D9DD" w:rsidR="00F64776" w:rsidRDefault="00F64776" w:rsidP="00F64776">
      <w:pPr>
        <w:pStyle w:val="TextoNormalNegritaCentrado"/>
      </w:pPr>
    </w:p>
    <w:p w14:paraId="601F57A1" w14:textId="77777777" w:rsidR="00F64776" w:rsidRDefault="00F64776" w:rsidP="00F64776">
      <w:pPr>
        <w:pStyle w:val="TextoNormalNegritaCentrado"/>
        <w:keepNext/>
      </w:pPr>
      <w:r>
        <w:t>I. Antecedentes</w:t>
      </w:r>
    </w:p>
    <w:p w14:paraId="4CB2302A" w14:textId="6AEEA43B" w:rsidR="00F64776" w:rsidRDefault="00F64776" w:rsidP="00F64776">
      <w:pPr>
        <w:pStyle w:val="TextoNormalNegritaCentrado"/>
        <w:keepNext/>
      </w:pPr>
    </w:p>
    <w:p w14:paraId="62692453" w14:textId="152E4497" w:rsidR="00F64776" w:rsidRDefault="00F64776" w:rsidP="00F64776">
      <w:pPr>
        <w:pStyle w:val="TextoNormal"/>
      </w:pPr>
      <w:r w:rsidRPr="00F64776">
        <w:rPr>
          <w:rStyle w:val="NumeroAFNegritaCaracter"/>
        </w:rPr>
        <w:t>1</w:t>
      </w:r>
      <w:r>
        <w:t>. Mediante escrito registrado en este tribunal el 6 de junio de 2022, la procuradora de los tribunales doña María Dolores González Rodríguez, en nombre y representación de don Carlos Ariel Tinoco Calero y bajo la dirección de la letrada doña Patricia Gómez Santiago, formuló demanda de amparo contra la providencia de 20 de abril de 2022 dictada por la Sección Primera de la Sala de lo Contencioso-Administrativo del Tribunal Supremo en recurso de casación núm. 5713-2021, contra la sentencia de la Sección Primera de la Sala de lo Contencioso-Administrativo del Tribunal Superior de Justicia de Andalucía, con sede en Sevilla, en recurso de apelación núm. 1131-2020.</w:t>
      </w:r>
    </w:p>
    <w:p w14:paraId="3B10F500" w14:textId="77777777" w:rsidR="00F64776" w:rsidRDefault="00F64776" w:rsidP="00F64776">
      <w:pPr>
        <w:pStyle w:val="TextoNormal"/>
      </w:pPr>
    </w:p>
    <w:p w14:paraId="05848FB3" w14:textId="37553A93" w:rsidR="00F64776" w:rsidRDefault="00F64776" w:rsidP="00F64776">
      <w:pPr>
        <w:pStyle w:val="TextoNormal"/>
      </w:pPr>
      <w:r w:rsidRPr="00F64776">
        <w:rPr>
          <w:rStyle w:val="NumeroAFNegritaCaracter"/>
        </w:rPr>
        <w:t>2</w:t>
      </w:r>
      <w:r>
        <w:t>. Por escrito de 5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46913275" w14:textId="77777777" w:rsidR="00F64776" w:rsidRDefault="00F64776" w:rsidP="00F64776">
      <w:pPr>
        <w:pStyle w:val="TextoNormal"/>
      </w:pPr>
    </w:p>
    <w:p w14:paraId="5983D671" w14:textId="77777777" w:rsidR="00F64776" w:rsidRDefault="00F64776" w:rsidP="00F64776">
      <w:pPr>
        <w:pStyle w:val="TextoNormalNegritaCentrado"/>
        <w:keepNext/>
      </w:pPr>
      <w:r>
        <w:t>II. Fundamentos jurídicos</w:t>
      </w:r>
    </w:p>
    <w:p w14:paraId="5DAB73E2" w14:textId="158990C7" w:rsidR="00F64776" w:rsidRDefault="00F64776" w:rsidP="00F64776">
      <w:pPr>
        <w:pStyle w:val="TextoNormalNegritaCentrado"/>
        <w:keepNext/>
      </w:pPr>
    </w:p>
    <w:p w14:paraId="0EBFA9DB" w14:textId="6676B9DF"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7E13817F" w14:textId="77777777" w:rsidR="00F64776" w:rsidRDefault="00F64776" w:rsidP="00F64776">
      <w:pPr>
        <w:pStyle w:val="TextoNormal"/>
      </w:pPr>
    </w:p>
    <w:p w14:paraId="708204B9" w14:textId="77777777" w:rsidR="00F64776" w:rsidRDefault="00F64776" w:rsidP="00F64776">
      <w:pPr>
        <w:pStyle w:val="TextoNormal"/>
      </w:pPr>
      <w:r>
        <w:t>Por lo expuesto, la Sección</w:t>
      </w:r>
    </w:p>
    <w:p w14:paraId="586618C4" w14:textId="5FD1038C" w:rsidR="00F64776" w:rsidRDefault="00F64776" w:rsidP="00F64776">
      <w:pPr>
        <w:pStyle w:val="TextoNormal"/>
      </w:pPr>
    </w:p>
    <w:p w14:paraId="65191042" w14:textId="77777777" w:rsidR="00F64776" w:rsidRDefault="00F64776" w:rsidP="00F64776">
      <w:pPr>
        <w:pStyle w:val="TextoNormalCentrado"/>
      </w:pPr>
      <w:r>
        <w:t>ACUERDA</w:t>
      </w:r>
    </w:p>
    <w:p w14:paraId="7DF3BE13" w14:textId="0ACFE88D" w:rsidR="00F64776" w:rsidRDefault="00F64776" w:rsidP="00F64776">
      <w:pPr>
        <w:pStyle w:val="TextoNormalCentrado"/>
      </w:pPr>
    </w:p>
    <w:p w14:paraId="2FF51A95" w14:textId="69099840" w:rsidR="00F64776" w:rsidRDefault="00F64776" w:rsidP="00F64776">
      <w:pPr>
        <w:pStyle w:val="TextoNormal"/>
      </w:pPr>
      <w:r>
        <w:t>Estimar justificada la abstención formulada por el magistrado don César Tolosa Tribiño en el recurso de amparo núm. 4017-2022 y apartarle definitivamente del conocimiento del referido recurso y de todas sus incidencias.</w:t>
      </w:r>
    </w:p>
    <w:p w14:paraId="3D30A3DB" w14:textId="77777777" w:rsidR="00F64776" w:rsidRDefault="00F64776" w:rsidP="00F64776">
      <w:pPr>
        <w:pStyle w:val="TextoNormal"/>
      </w:pPr>
    </w:p>
    <w:p w14:paraId="763BD78D" w14:textId="77777777" w:rsidR="00F64776" w:rsidRDefault="00F64776" w:rsidP="00F64776">
      <w:pPr>
        <w:pStyle w:val="TextoNormal"/>
      </w:pPr>
      <w:r>
        <w:t>Madrid, a once de diciembre de dos mil veintitrés.</w:t>
      </w:r>
    </w:p>
    <w:p w14:paraId="73E92A4A" w14:textId="53084BBF" w:rsidR="00F64776" w:rsidRDefault="00F64776">
      <w:pPr>
        <w:spacing w:after="160" w:line="278" w:lineRule="auto"/>
        <w:rPr>
          <w:rFonts w:ascii="Times New Roman" w:eastAsia="Times New Roman" w:hAnsi="Times New Roman" w:cs="Times New Roman"/>
          <w:sz w:val="24"/>
          <w:szCs w:val="24"/>
          <w:lang w:eastAsia="es-ES"/>
        </w:rPr>
      </w:pPr>
      <w:r>
        <w:br w:type="page"/>
      </w:r>
    </w:p>
    <w:p w14:paraId="1348CED5" w14:textId="77777777" w:rsidR="00F64776" w:rsidRDefault="00F64776" w:rsidP="00F64776">
      <w:pPr>
        <w:pStyle w:val="TtuloResolucin"/>
      </w:pPr>
      <w:bookmarkStart w:id="429" w:name="AUTO_2023_644"/>
      <w:r>
        <w:t>AUTO 644/2023, de 11 de diciembre de 2023</w:t>
      </w:r>
    </w:p>
    <w:bookmarkEnd w:id="429"/>
    <w:p w14:paraId="118AD0DC" w14:textId="77777777" w:rsidR="00F64776" w:rsidRDefault="00F64776" w:rsidP="00F64776">
      <w:pPr>
        <w:pStyle w:val="TtuloResolucin"/>
      </w:pPr>
      <w:r>
        <w:t>Sección Tercera</w:t>
      </w:r>
    </w:p>
    <w:p w14:paraId="77533834" w14:textId="77777777" w:rsidR="00F64776" w:rsidRDefault="00F64776" w:rsidP="00F64776">
      <w:pPr>
        <w:pStyle w:val="TextoNormalCentrado"/>
      </w:pPr>
      <w:r>
        <w:t>ECLI:ES:TC:2023:644A</w:t>
      </w:r>
    </w:p>
    <w:p w14:paraId="32101BD5" w14:textId="2F089545" w:rsidR="00F64776" w:rsidRDefault="00F64776" w:rsidP="00F64776">
      <w:pPr>
        <w:pStyle w:val="TextoNormalCentrado"/>
      </w:pPr>
    </w:p>
    <w:p w14:paraId="6D6ABE12" w14:textId="77777777" w:rsidR="00F64776" w:rsidRDefault="00F64776" w:rsidP="00F64776">
      <w:pPr>
        <w:pStyle w:val="SntesisDescriptiva"/>
      </w:pPr>
      <w:r>
        <w:t>Excms. Srs. doña Inmaculada Montalbán Huertas y doña Laura Díez Bueso.</w:t>
      </w:r>
    </w:p>
    <w:p w14:paraId="0F145F95" w14:textId="1BA393D3" w:rsidR="00F64776" w:rsidRDefault="00F64776" w:rsidP="00F64776">
      <w:pPr>
        <w:pStyle w:val="SntesisDescriptiva"/>
      </w:pPr>
    </w:p>
    <w:p w14:paraId="472876AA" w14:textId="77777777" w:rsidR="00F64776" w:rsidRDefault="00F64776" w:rsidP="00F64776">
      <w:pPr>
        <w:pStyle w:val="SntesisDescriptiva"/>
      </w:pPr>
      <w:r>
        <w:t>Acepta una abstención en el recurso de amparo 4153-2022, promovido en proceso contencioso administrativo.</w:t>
      </w:r>
    </w:p>
    <w:p w14:paraId="67093FFE" w14:textId="68E8D461" w:rsidR="00F64776" w:rsidRDefault="00F64776" w:rsidP="00F64776">
      <w:pPr>
        <w:pStyle w:val="SntesisDescriptiva"/>
      </w:pPr>
    </w:p>
    <w:p w14:paraId="6DC948D5" w14:textId="77777777" w:rsidR="00F64776" w:rsidRDefault="00F64776" w:rsidP="00F64776">
      <w:pPr>
        <w:pStyle w:val="SntesisDescriptiva"/>
      </w:pPr>
    </w:p>
    <w:p w14:paraId="28FB5EB9" w14:textId="77777777" w:rsidR="00F64776" w:rsidRDefault="00F64776" w:rsidP="00F64776">
      <w:pPr>
        <w:pStyle w:val="SntesisDescriptiva"/>
      </w:pPr>
    </w:p>
    <w:p w14:paraId="05CD2C45" w14:textId="77777777" w:rsidR="00F64776" w:rsidRDefault="00F64776" w:rsidP="00F64776">
      <w:pPr>
        <w:pStyle w:val="TextoNormalNegritaCentrado"/>
      </w:pPr>
      <w:r>
        <w:t>AUTO</w:t>
      </w:r>
    </w:p>
    <w:p w14:paraId="21E2483A" w14:textId="00F9AF78" w:rsidR="00F64776" w:rsidRDefault="00F64776" w:rsidP="00F64776">
      <w:pPr>
        <w:pStyle w:val="TextoNormalNegritaCentrado"/>
      </w:pPr>
    </w:p>
    <w:p w14:paraId="0CDCAAB9" w14:textId="77777777" w:rsidR="00F64776" w:rsidRDefault="00F64776" w:rsidP="00F64776">
      <w:pPr>
        <w:pStyle w:val="TextoNormalNegritaCentrado"/>
        <w:keepNext/>
      </w:pPr>
      <w:r>
        <w:t>I. Antecedentes</w:t>
      </w:r>
    </w:p>
    <w:p w14:paraId="7D3B3AAC" w14:textId="6446D816" w:rsidR="00F64776" w:rsidRDefault="00F64776" w:rsidP="00F64776">
      <w:pPr>
        <w:pStyle w:val="TextoNormalNegritaCentrado"/>
        <w:keepNext/>
      </w:pPr>
    </w:p>
    <w:p w14:paraId="7522900F" w14:textId="1B359CC4" w:rsidR="00F64776" w:rsidRDefault="00F64776" w:rsidP="00F64776">
      <w:pPr>
        <w:pStyle w:val="TextoNormal"/>
      </w:pPr>
      <w:r w:rsidRPr="00F64776">
        <w:rPr>
          <w:rStyle w:val="NumeroAFNegritaCaracter"/>
        </w:rPr>
        <w:t>1</w:t>
      </w:r>
      <w:r>
        <w:t>. Mediante escrito registrado en este tribunal el 10 de junio de 2022, la procuradora de los tribunales doña María Reynolds Martínez, en nombre y representación de don Abdssamad Belaamad y bajo la dirección del letrado don Dionisio Negueruela Jiménez, formuló demanda de amparo contra la providencia de la Sala de lo Contencioso-Administrativo del Tribunal Supremo, en el recurso de casación núm. 7745-2021.</w:t>
      </w:r>
    </w:p>
    <w:p w14:paraId="0EF9F864" w14:textId="77777777" w:rsidR="00F64776" w:rsidRDefault="00F64776" w:rsidP="00F64776">
      <w:pPr>
        <w:pStyle w:val="TextoNormal"/>
      </w:pPr>
    </w:p>
    <w:p w14:paraId="6A2D91DD" w14:textId="00B2F3EB" w:rsidR="00F64776" w:rsidRDefault="00F64776" w:rsidP="00F64776">
      <w:pPr>
        <w:pStyle w:val="TextoNormal"/>
      </w:pPr>
      <w:r w:rsidRPr="00F64776">
        <w:rPr>
          <w:rStyle w:val="NumeroAFNegritaCaracter"/>
        </w:rPr>
        <w:t>2</w:t>
      </w:r>
      <w:r>
        <w:t>. Por escrito de 5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0FAC1E56" w14:textId="77777777" w:rsidR="00F64776" w:rsidRDefault="00F64776" w:rsidP="00F64776">
      <w:pPr>
        <w:pStyle w:val="TextoNormal"/>
      </w:pPr>
    </w:p>
    <w:p w14:paraId="737A2A62" w14:textId="77777777" w:rsidR="00F64776" w:rsidRDefault="00F64776" w:rsidP="00F64776">
      <w:pPr>
        <w:pStyle w:val="TextoNormalNegritaCentrado"/>
        <w:keepNext/>
      </w:pPr>
      <w:r>
        <w:t>II. Fundamentos jurídicos</w:t>
      </w:r>
    </w:p>
    <w:p w14:paraId="01F5F109" w14:textId="532CA9C7" w:rsidR="00F64776" w:rsidRDefault="00F64776" w:rsidP="00F64776">
      <w:pPr>
        <w:pStyle w:val="TextoNormalNegritaCentrado"/>
        <w:keepNext/>
      </w:pPr>
    </w:p>
    <w:p w14:paraId="73ED7ED6" w14:textId="058933A3"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2B597C40" w14:textId="77777777" w:rsidR="00F64776" w:rsidRDefault="00F64776" w:rsidP="00F64776">
      <w:pPr>
        <w:pStyle w:val="TextoNormal"/>
      </w:pPr>
    </w:p>
    <w:p w14:paraId="2A3F6769" w14:textId="77777777" w:rsidR="00F64776" w:rsidRDefault="00F64776" w:rsidP="00F64776">
      <w:pPr>
        <w:pStyle w:val="TextoNormal"/>
      </w:pPr>
      <w:r>
        <w:t>Por lo expuesto, la Sección</w:t>
      </w:r>
    </w:p>
    <w:p w14:paraId="6161D457" w14:textId="011C002D" w:rsidR="00F64776" w:rsidRDefault="00F64776" w:rsidP="00F64776">
      <w:pPr>
        <w:pStyle w:val="TextoNormal"/>
      </w:pPr>
    </w:p>
    <w:p w14:paraId="02A63B6D" w14:textId="77777777" w:rsidR="00F64776" w:rsidRDefault="00F64776" w:rsidP="00F64776">
      <w:pPr>
        <w:pStyle w:val="TextoNormalCentrado"/>
      </w:pPr>
      <w:r>
        <w:t>ACUERDA</w:t>
      </w:r>
    </w:p>
    <w:p w14:paraId="16AE3EF4" w14:textId="35B1D788" w:rsidR="00F64776" w:rsidRDefault="00F64776" w:rsidP="00F64776">
      <w:pPr>
        <w:pStyle w:val="TextoNormalCentrado"/>
      </w:pPr>
    </w:p>
    <w:p w14:paraId="44B95B54" w14:textId="15F17D42" w:rsidR="00F64776" w:rsidRDefault="00F64776" w:rsidP="00F64776">
      <w:pPr>
        <w:pStyle w:val="TextoNormal"/>
      </w:pPr>
      <w:r>
        <w:t>Estimar justificada la abstención formulada por el magistrado don César Tolosa Tribiño en el recurso de amparo núm. 4153-2022 y apartarle definitivamente del conocimiento del referido recurso y de todas sus incidencias.</w:t>
      </w:r>
    </w:p>
    <w:p w14:paraId="17A92563" w14:textId="77777777" w:rsidR="00F64776" w:rsidRDefault="00F64776" w:rsidP="00F64776">
      <w:pPr>
        <w:pStyle w:val="TextoNormal"/>
      </w:pPr>
    </w:p>
    <w:p w14:paraId="4330B403" w14:textId="77777777" w:rsidR="00F64776" w:rsidRDefault="00F64776" w:rsidP="00F64776">
      <w:pPr>
        <w:pStyle w:val="TextoNormal"/>
      </w:pPr>
      <w:r>
        <w:t>Madrid, a once de diciembre de dos mil veintitrés.</w:t>
      </w:r>
    </w:p>
    <w:p w14:paraId="6840C538" w14:textId="17DAEEF5" w:rsidR="00F64776" w:rsidRDefault="00F64776">
      <w:pPr>
        <w:spacing w:after="160" w:line="278" w:lineRule="auto"/>
        <w:rPr>
          <w:rFonts w:ascii="Times New Roman" w:eastAsia="Times New Roman" w:hAnsi="Times New Roman" w:cs="Times New Roman"/>
          <w:sz w:val="24"/>
          <w:szCs w:val="24"/>
          <w:lang w:eastAsia="es-ES"/>
        </w:rPr>
      </w:pPr>
      <w:r>
        <w:br w:type="page"/>
      </w:r>
    </w:p>
    <w:p w14:paraId="2D71D57E" w14:textId="77777777" w:rsidR="00F64776" w:rsidRDefault="00F64776" w:rsidP="00F64776">
      <w:pPr>
        <w:pStyle w:val="TtuloResolucin"/>
      </w:pPr>
      <w:bookmarkStart w:id="430" w:name="AUTO_2023_645"/>
      <w:r>
        <w:t>AUTO 645/2023, de 11 de diciembre de 2023</w:t>
      </w:r>
    </w:p>
    <w:bookmarkEnd w:id="430"/>
    <w:p w14:paraId="45492BA9" w14:textId="77777777" w:rsidR="00F64776" w:rsidRDefault="00F64776" w:rsidP="00F64776">
      <w:pPr>
        <w:pStyle w:val="TtuloResolucin"/>
      </w:pPr>
      <w:r>
        <w:t>Sección Segunda</w:t>
      </w:r>
    </w:p>
    <w:p w14:paraId="0D1146F3" w14:textId="77777777" w:rsidR="00F64776" w:rsidRDefault="00F64776" w:rsidP="00F64776">
      <w:pPr>
        <w:pStyle w:val="TextoNormalCentrado"/>
      </w:pPr>
      <w:r>
        <w:t>ECLI:ES:TC:2023:645A</w:t>
      </w:r>
    </w:p>
    <w:p w14:paraId="22BA0CA2" w14:textId="56837AF7" w:rsidR="00F64776" w:rsidRDefault="00F64776" w:rsidP="00F64776">
      <w:pPr>
        <w:pStyle w:val="TextoNormalCentrado"/>
      </w:pPr>
    </w:p>
    <w:p w14:paraId="7C97CDE5" w14:textId="77777777" w:rsidR="00F64776" w:rsidRDefault="00F64776" w:rsidP="00F64776">
      <w:pPr>
        <w:pStyle w:val="SntesisDescriptiva"/>
      </w:pPr>
      <w:r>
        <w:t>Excms. Srs. don Ricardo Enríquez Sancho y doña María Luisa Segoviano Astaburuaga.</w:t>
      </w:r>
    </w:p>
    <w:p w14:paraId="34C93DE4" w14:textId="27582BDF" w:rsidR="00F64776" w:rsidRDefault="00F64776" w:rsidP="00F64776">
      <w:pPr>
        <w:pStyle w:val="SntesisDescriptiva"/>
      </w:pPr>
    </w:p>
    <w:p w14:paraId="7FEC52A5" w14:textId="77777777" w:rsidR="00F64776" w:rsidRDefault="00F64776" w:rsidP="00F64776">
      <w:pPr>
        <w:pStyle w:val="SntesisDescriptiva"/>
      </w:pPr>
      <w:r>
        <w:t>Acepta una abstención en el recurso de amparo 4631-2022, promovido en proceso contencioso administrativo.</w:t>
      </w:r>
    </w:p>
    <w:p w14:paraId="2571F474" w14:textId="1FBBBA71" w:rsidR="00F64776" w:rsidRDefault="00F64776" w:rsidP="00F64776">
      <w:pPr>
        <w:pStyle w:val="SntesisDescriptiva"/>
      </w:pPr>
    </w:p>
    <w:p w14:paraId="275CBDEB" w14:textId="77777777" w:rsidR="00F64776" w:rsidRDefault="00F64776" w:rsidP="00F64776">
      <w:pPr>
        <w:pStyle w:val="SntesisDescriptiva"/>
      </w:pPr>
    </w:p>
    <w:p w14:paraId="7E3FB43F" w14:textId="77777777" w:rsidR="00F64776" w:rsidRDefault="00F64776" w:rsidP="00F64776">
      <w:pPr>
        <w:pStyle w:val="SntesisDescriptiva"/>
      </w:pPr>
    </w:p>
    <w:p w14:paraId="4D7CCF9F" w14:textId="77777777" w:rsidR="00F64776" w:rsidRDefault="00F64776" w:rsidP="00F64776">
      <w:pPr>
        <w:pStyle w:val="TextoNormalNegritaCentrado"/>
      </w:pPr>
      <w:r>
        <w:t>AUTO</w:t>
      </w:r>
    </w:p>
    <w:p w14:paraId="0BBC6FEE" w14:textId="571EA3C0" w:rsidR="00F64776" w:rsidRDefault="00F64776" w:rsidP="00F64776">
      <w:pPr>
        <w:pStyle w:val="TextoNormalNegritaCentrado"/>
      </w:pPr>
    </w:p>
    <w:p w14:paraId="4547DEB4" w14:textId="77777777" w:rsidR="00F64776" w:rsidRDefault="00F64776" w:rsidP="00F64776">
      <w:pPr>
        <w:pStyle w:val="TextoNormalNegritaCentrado"/>
        <w:keepNext/>
      </w:pPr>
      <w:r>
        <w:t>I. Antecedentes</w:t>
      </w:r>
    </w:p>
    <w:p w14:paraId="7B8803A8" w14:textId="2C013480" w:rsidR="00F64776" w:rsidRDefault="00F64776" w:rsidP="00F64776">
      <w:pPr>
        <w:pStyle w:val="TextoNormalNegritaCentrado"/>
        <w:keepNext/>
      </w:pPr>
    </w:p>
    <w:p w14:paraId="482D0583" w14:textId="6DE4EAB9" w:rsidR="00F64776" w:rsidRDefault="00F64776" w:rsidP="00F64776">
      <w:pPr>
        <w:pStyle w:val="TextoNormal"/>
      </w:pPr>
      <w:r w:rsidRPr="00F64776">
        <w:rPr>
          <w:rStyle w:val="NumeroAFNegritaCaracter"/>
        </w:rPr>
        <w:t>1</w:t>
      </w:r>
      <w:r>
        <w:t>. Por escrito fechado el día 28 de noviembre de 2023, el magistrado don Juan Carlos Campo Moreno comunicó al magistrado presidente de la Sección Segunda, a los efectos oportunos, su voluntad de abstenerse de intervenir en el conocimiento del recurso de amparo núm. 4631-2022.</w:t>
      </w:r>
    </w:p>
    <w:p w14:paraId="5FEAA149" w14:textId="77777777" w:rsidR="00F64776" w:rsidRDefault="00F64776" w:rsidP="00F64776">
      <w:pPr>
        <w:pStyle w:val="TextoNormal"/>
      </w:pPr>
    </w:p>
    <w:p w14:paraId="257C72CF" w14:textId="57CFEF22" w:rsidR="00F64776" w:rsidRDefault="00F64776" w:rsidP="00F64776">
      <w:pPr>
        <w:pStyle w:val="TextoNormal"/>
      </w:pPr>
      <w:r w:rsidRPr="00F64776">
        <w:rPr>
          <w:rStyle w:val="NumeroAFNegritaCaracter"/>
        </w:rPr>
        <w:t>2</w:t>
      </w:r>
      <w:r>
        <w:t>. La solicitud de abstención se vincula a la participación del magistrado, en su anterior condición de ministro de Justicia, en la tramitación y aprobación por el Consejo de Ministros, del que formó parte, de las propuestas motivadas de indulto parcial y condicionado por razones de utilidad pública, en relación con la parte de las penas privativas de libertad que restaba por extinguir a diversas personas, entre ellas a don Joaquim Forn i Chiarello.</w:t>
      </w:r>
    </w:p>
    <w:p w14:paraId="64C151DD" w14:textId="77777777" w:rsidR="00F64776" w:rsidRDefault="00F64776" w:rsidP="00F64776">
      <w:pPr>
        <w:pStyle w:val="TextoNormal"/>
      </w:pPr>
    </w:p>
    <w:p w14:paraId="270F8FFE" w14:textId="77777777" w:rsidR="00F64776" w:rsidRDefault="00F64776" w:rsidP="00F64776">
      <w:pPr>
        <w:pStyle w:val="TextoNormalNegritaCentrado"/>
        <w:keepNext/>
      </w:pPr>
      <w:r>
        <w:t>II. Fundamentos jurídicos</w:t>
      </w:r>
    </w:p>
    <w:p w14:paraId="12A5BD3B" w14:textId="7B592C90" w:rsidR="00F64776" w:rsidRDefault="00F64776" w:rsidP="00F64776">
      <w:pPr>
        <w:pStyle w:val="TextoNormalNegritaCentrado"/>
        <w:keepNext/>
      </w:pPr>
    </w:p>
    <w:p w14:paraId="301DBEDB" w14:textId="77777777" w:rsidR="00F64776" w:rsidRDefault="00F64776" w:rsidP="00F64776">
      <w:pPr>
        <w:pStyle w:val="TextoNormal"/>
      </w:pPr>
      <w:r w:rsidRPr="00F64776">
        <w:rPr>
          <w:rStyle w:val="TextoNormalNegritaCaracter"/>
        </w:rPr>
        <w:t xml:space="preserve">Único. </w:t>
      </w:r>
      <w:r>
        <w:t>Visto el contenido de la comunicación efectuada por el magistrado don Juan Carlos Campo Moreno, en virtud de lo previsto en los arts. 80 de la Ley Orgánica del Tribunal Constitucional y 221.4 de la Ley Orgánica del Poder Judicial, se estima justificada la causa de la abstención formulada con base en el art. 219.13 de esta última ley orgánica, esto es, “[h]aber ocupado cargo público, desempeñado empleo o ejercido profesión con ocasión de los cuales haya participado directa o indirectamente en el asunto objeto del pleito o causa o en otro relacionado con el mismo”.</w:t>
      </w:r>
    </w:p>
    <w:p w14:paraId="402B6DEF" w14:textId="77777777" w:rsidR="00F64776" w:rsidRDefault="00F64776" w:rsidP="00F64776">
      <w:pPr>
        <w:pStyle w:val="TextoNormal"/>
      </w:pPr>
    </w:p>
    <w:p w14:paraId="4B4882E1" w14:textId="2AC0F802" w:rsidR="00F64776" w:rsidRDefault="00F64776" w:rsidP="00F64776">
      <w:pPr>
        <w:pStyle w:val="TextoNormal"/>
      </w:pPr>
      <w:r>
        <w:t>Según ha indicado en su propuesta, en su anterior condición de ministro de Justicia el magistrado señor Campo Moreno formó parte del Consejo de Ministros que aprobó los reales decretos núm. 456 a 464/2021 inclusive, todos de 22 de junio, por los que se concedieron diversos indultos que habían sido propuestos, entre los que se encuentra el Real Decreto 459/2021, de 22 de junio (“Boletín Oficial del Estado” del día 23 de junio de 2021) por el que se indulta al señor Forn i Chiarello. La impugnación de dicho indulto es el objeto de la acción ejercida en la vía judicial por la asociación recurrente y que, tras ser inadmitida por la Sala Tercera, Sección Quinta, del Tribunal Supremo, es ahora objeto del presente recurso de amparo. En tal medida, procede estimar justificada la abstención formulada.</w:t>
      </w:r>
    </w:p>
    <w:p w14:paraId="728FB933" w14:textId="77777777" w:rsidR="00F64776" w:rsidRDefault="00F64776" w:rsidP="00F64776">
      <w:pPr>
        <w:pStyle w:val="TextoNormal"/>
      </w:pPr>
    </w:p>
    <w:p w14:paraId="69958333" w14:textId="77777777" w:rsidR="00F64776" w:rsidRDefault="00F64776" w:rsidP="00F64776">
      <w:pPr>
        <w:pStyle w:val="TextoNormal"/>
      </w:pPr>
      <w:r>
        <w:t>Por lo expuesto, la Sección</w:t>
      </w:r>
    </w:p>
    <w:p w14:paraId="159921B0" w14:textId="2EAE2385" w:rsidR="00F64776" w:rsidRDefault="00F64776" w:rsidP="00F64776">
      <w:pPr>
        <w:pStyle w:val="TextoNormal"/>
      </w:pPr>
    </w:p>
    <w:p w14:paraId="58E57B7E" w14:textId="77777777" w:rsidR="00F64776" w:rsidRDefault="00F64776" w:rsidP="00F64776">
      <w:pPr>
        <w:pStyle w:val="TextoNormalCentrado"/>
      </w:pPr>
      <w:r>
        <w:t>ACUERDA</w:t>
      </w:r>
    </w:p>
    <w:p w14:paraId="1877A448" w14:textId="40E629FC" w:rsidR="00F64776" w:rsidRDefault="00F64776" w:rsidP="00F64776">
      <w:pPr>
        <w:pStyle w:val="TextoNormalCentrado"/>
      </w:pPr>
    </w:p>
    <w:p w14:paraId="3D7375FB" w14:textId="77777777" w:rsidR="00F64776" w:rsidRDefault="00F64776" w:rsidP="00F64776">
      <w:pPr>
        <w:pStyle w:val="TextoNormal"/>
      </w:pPr>
      <w:r>
        <w:t>Estimar justificada la abstención formulada por el magistrado don Juan Carlos Campo Moreno, apartándole definitivamente del conocimiento del recurso de amparo núm. 4631-2022, así como de todas sus incidencias.</w:t>
      </w:r>
    </w:p>
    <w:p w14:paraId="431A6415" w14:textId="77777777" w:rsidR="00F64776" w:rsidRDefault="00F64776" w:rsidP="00F64776">
      <w:pPr>
        <w:pStyle w:val="TextoNormal"/>
      </w:pPr>
    </w:p>
    <w:p w14:paraId="6F3F1071" w14:textId="667E5BA2" w:rsidR="00F64776" w:rsidRDefault="00F64776" w:rsidP="00F64776">
      <w:pPr>
        <w:pStyle w:val="TextoNormal"/>
      </w:pPr>
      <w:r>
        <w:t>Notifíquese a las partes.</w:t>
      </w:r>
    </w:p>
    <w:p w14:paraId="2526C42D" w14:textId="77777777" w:rsidR="00F64776" w:rsidRDefault="00F64776" w:rsidP="00F64776">
      <w:pPr>
        <w:pStyle w:val="TextoNormal"/>
      </w:pPr>
    </w:p>
    <w:p w14:paraId="37287FCD" w14:textId="77777777" w:rsidR="00F64776" w:rsidRDefault="00F64776" w:rsidP="00F64776">
      <w:pPr>
        <w:pStyle w:val="TextoNormal"/>
      </w:pPr>
      <w:r>
        <w:t>Madrid, a once de diciembre de dos mil veintitrés.</w:t>
      </w:r>
    </w:p>
    <w:p w14:paraId="66305ADB" w14:textId="681A6616" w:rsidR="00F64776" w:rsidRDefault="00F64776">
      <w:pPr>
        <w:spacing w:after="160" w:line="278" w:lineRule="auto"/>
        <w:rPr>
          <w:rFonts w:ascii="Times New Roman" w:eastAsia="Times New Roman" w:hAnsi="Times New Roman" w:cs="Times New Roman"/>
          <w:sz w:val="24"/>
          <w:szCs w:val="24"/>
          <w:lang w:eastAsia="es-ES"/>
        </w:rPr>
      </w:pPr>
      <w:r>
        <w:br w:type="page"/>
      </w:r>
    </w:p>
    <w:p w14:paraId="394F161D" w14:textId="77777777" w:rsidR="00F64776" w:rsidRDefault="00F64776" w:rsidP="00F64776">
      <w:pPr>
        <w:pStyle w:val="TtuloResolucin"/>
      </w:pPr>
      <w:bookmarkStart w:id="431" w:name="AUTO_2023_646"/>
      <w:r>
        <w:t>AUTO 646/2023, de 11 de diciembre de 2023</w:t>
      </w:r>
    </w:p>
    <w:bookmarkEnd w:id="431"/>
    <w:p w14:paraId="1306ABDB" w14:textId="77777777" w:rsidR="00F64776" w:rsidRDefault="00F64776" w:rsidP="00F64776">
      <w:pPr>
        <w:pStyle w:val="TtuloResolucin"/>
      </w:pPr>
      <w:r>
        <w:t>Sección Tercera</w:t>
      </w:r>
    </w:p>
    <w:p w14:paraId="03B474E7" w14:textId="77777777" w:rsidR="00F64776" w:rsidRDefault="00F64776" w:rsidP="00F64776">
      <w:pPr>
        <w:pStyle w:val="TextoNormalCentrado"/>
      </w:pPr>
      <w:r>
        <w:t>ECLI:ES:TC:2023:646A</w:t>
      </w:r>
    </w:p>
    <w:p w14:paraId="2FED26A1" w14:textId="37EFC063" w:rsidR="00F64776" w:rsidRDefault="00F64776" w:rsidP="00F64776">
      <w:pPr>
        <w:pStyle w:val="TextoNormalCentrado"/>
      </w:pPr>
    </w:p>
    <w:p w14:paraId="12D25DDE" w14:textId="77777777" w:rsidR="00F64776" w:rsidRDefault="00F64776" w:rsidP="00F64776">
      <w:pPr>
        <w:pStyle w:val="SntesisDescriptiva"/>
      </w:pPr>
      <w:r>
        <w:t>Excms. Srs. doña Inmaculada Montalbán Huertas y doña Laura Díez Bueso.</w:t>
      </w:r>
    </w:p>
    <w:p w14:paraId="3318ACF8" w14:textId="54B0845A" w:rsidR="00F64776" w:rsidRDefault="00F64776" w:rsidP="00F64776">
      <w:pPr>
        <w:pStyle w:val="SntesisDescriptiva"/>
      </w:pPr>
    </w:p>
    <w:p w14:paraId="4F024779" w14:textId="77777777" w:rsidR="00F64776" w:rsidRDefault="00F64776" w:rsidP="00F64776">
      <w:pPr>
        <w:pStyle w:val="SntesisDescriptiva"/>
      </w:pPr>
      <w:r>
        <w:t>Acepta una abstención en el recurso de amparo 4911-2022, promovido en proceso contencioso administrativo.</w:t>
      </w:r>
    </w:p>
    <w:p w14:paraId="35B954BF" w14:textId="21F4FFB3" w:rsidR="00F64776" w:rsidRDefault="00F64776" w:rsidP="00F64776">
      <w:pPr>
        <w:pStyle w:val="SntesisDescriptiva"/>
      </w:pPr>
    </w:p>
    <w:p w14:paraId="416FD46D" w14:textId="77777777" w:rsidR="00F64776" w:rsidRDefault="00F64776" w:rsidP="00F64776">
      <w:pPr>
        <w:pStyle w:val="SntesisDescriptiva"/>
      </w:pPr>
    </w:p>
    <w:p w14:paraId="63BB9B9C" w14:textId="77777777" w:rsidR="00F64776" w:rsidRDefault="00F64776" w:rsidP="00F64776">
      <w:pPr>
        <w:pStyle w:val="SntesisDescriptiva"/>
      </w:pPr>
    </w:p>
    <w:p w14:paraId="3625191C" w14:textId="77777777" w:rsidR="00F64776" w:rsidRDefault="00F64776" w:rsidP="00F64776">
      <w:pPr>
        <w:pStyle w:val="TextoNormalNegritaCentrado"/>
      </w:pPr>
      <w:r>
        <w:t>AUTO</w:t>
      </w:r>
    </w:p>
    <w:p w14:paraId="12B815E4" w14:textId="3B2C8633" w:rsidR="00F64776" w:rsidRDefault="00F64776" w:rsidP="00F64776">
      <w:pPr>
        <w:pStyle w:val="TextoNormalNegritaCentrado"/>
      </w:pPr>
    </w:p>
    <w:p w14:paraId="0E81D5BC" w14:textId="77777777" w:rsidR="00F64776" w:rsidRDefault="00F64776" w:rsidP="00F64776">
      <w:pPr>
        <w:pStyle w:val="TextoNormalNegritaCentrado"/>
        <w:keepNext/>
      </w:pPr>
      <w:r>
        <w:t>I. Antecedentes</w:t>
      </w:r>
    </w:p>
    <w:p w14:paraId="2CCF239C" w14:textId="2195E513" w:rsidR="00F64776" w:rsidRDefault="00F64776" w:rsidP="00F64776">
      <w:pPr>
        <w:pStyle w:val="TextoNormalNegritaCentrado"/>
        <w:keepNext/>
      </w:pPr>
    </w:p>
    <w:p w14:paraId="0A435CD1" w14:textId="711A48EA" w:rsidR="00F64776" w:rsidRDefault="00F64776" w:rsidP="00F64776">
      <w:pPr>
        <w:pStyle w:val="TextoNormal"/>
      </w:pPr>
      <w:r w:rsidRPr="00F64776">
        <w:rPr>
          <w:rStyle w:val="NumeroAFNegritaCaracter"/>
        </w:rPr>
        <w:t>1</w:t>
      </w:r>
      <w:r>
        <w:t>. Mediante escrito registrado en este tribunal el 5 de julio de 2022, la procuradora de los tribunales doña María Paloma Gutiérrez París, en nombre y representación de don Enzo Abel Arzamendia Araujo y bajo la dirección de la letrada doña Belén Rebollo Martín, formuló demanda de amparo contra la providencia de la Sala de lo Contencioso-Administrativo del Tribunal Supremo, en el recurso de casación 2822-2022.</w:t>
      </w:r>
    </w:p>
    <w:p w14:paraId="091572CD" w14:textId="77777777" w:rsidR="00F64776" w:rsidRDefault="00F64776" w:rsidP="00F64776">
      <w:pPr>
        <w:pStyle w:val="TextoNormal"/>
      </w:pPr>
    </w:p>
    <w:p w14:paraId="71AB7381" w14:textId="63C8204C" w:rsidR="00F64776" w:rsidRDefault="00F64776" w:rsidP="00F64776">
      <w:pPr>
        <w:pStyle w:val="TextoNormal"/>
      </w:pPr>
      <w:r w:rsidRPr="00F64776">
        <w:rPr>
          <w:rStyle w:val="NumeroAFNegritaCaracter"/>
        </w:rPr>
        <w:t>2</w:t>
      </w:r>
      <w:r>
        <w:t>. Por escrito de 5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056D62ED" w14:textId="77777777" w:rsidR="00F64776" w:rsidRDefault="00F64776" w:rsidP="00F64776">
      <w:pPr>
        <w:pStyle w:val="TextoNormal"/>
      </w:pPr>
    </w:p>
    <w:p w14:paraId="63F3E357" w14:textId="77777777" w:rsidR="00F64776" w:rsidRDefault="00F64776" w:rsidP="00F64776">
      <w:pPr>
        <w:pStyle w:val="TextoNormalNegritaCentrado"/>
        <w:keepNext/>
      </w:pPr>
      <w:r>
        <w:t>II. Fundamentos jurídicos</w:t>
      </w:r>
    </w:p>
    <w:p w14:paraId="44B6B577" w14:textId="305C674E" w:rsidR="00F64776" w:rsidRDefault="00F64776" w:rsidP="00F64776">
      <w:pPr>
        <w:pStyle w:val="TextoNormalNegritaCentrado"/>
        <w:keepNext/>
      </w:pPr>
    </w:p>
    <w:p w14:paraId="2CBC599E" w14:textId="74F0F061"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49D73825" w14:textId="77777777" w:rsidR="00F64776" w:rsidRDefault="00F64776" w:rsidP="00F64776">
      <w:pPr>
        <w:pStyle w:val="TextoNormal"/>
      </w:pPr>
    </w:p>
    <w:p w14:paraId="44850B26" w14:textId="77777777" w:rsidR="00F64776" w:rsidRDefault="00F64776" w:rsidP="00F64776">
      <w:pPr>
        <w:pStyle w:val="TextoNormal"/>
      </w:pPr>
      <w:r>
        <w:t>Por lo expuesto, la Sección</w:t>
      </w:r>
    </w:p>
    <w:p w14:paraId="510BF0DB" w14:textId="5223DA93" w:rsidR="00F64776" w:rsidRDefault="00F64776" w:rsidP="00F64776">
      <w:pPr>
        <w:pStyle w:val="TextoNormal"/>
      </w:pPr>
    </w:p>
    <w:p w14:paraId="76E9389E" w14:textId="77777777" w:rsidR="00F64776" w:rsidRDefault="00F64776" w:rsidP="00F64776">
      <w:pPr>
        <w:pStyle w:val="TextoNormalCentrado"/>
      </w:pPr>
      <w:r>
        <w:t>ACUERDA</w:t>
      </w:r>
    </w:p>
    <w:p w14:paraId="269C1A77" w14:textId="4DB01382" w:rsidR="00F64776" w:rsidRDefault="00F64776" w:rsidP="00F64776">
      <w:pPr>
        <w:pStyle w:val="TextoNormalCentrado"/>
      </w:pPr>
    </w:p>
    <w:p w14:paraId="7DA55C78" w14:textId="4BD970F0" w:rsidR="00F64776" w:rsidRDefault="00F64776" w:rsidP="00F64776">
      <w:pPr>
        <w:pStyle w:val="TextoNormal"/>
      </w:pPr>
      <w:r>
        <w:t>Estimar justificada la abstención formulada por el magistrado don César Tolosa Tribiño en el recurso de amparo núm. 4911-2022 y apartarle definitivamente del conocimiento del referido recurso y de todas sus incidencias.</w:t>
      </w:r>
    </w:p>
    <w:p w14:paraId="5FEDFE93" w14:textId="77777777" w:rsidR="00F64776" w:rsidRDefault="00F64776" w:rsidP="00F64776">
      <w:pPr>
        <w:pStyle w:val="TextoNormal"/>
      </w:pPr>
    </w:p>
    <w:p w14:paraId="25A9C0EB" w14:textId="77777777" w:rsidR="00F64776" w:rsidRDefault="00F64776" w:rsidP="00F64776">
      <w:pPr>
        <w:pStyle w:val="TextoNormal"/>
      </w:pPr>
      <w:r>
        <w:t>Madrid, a once de diciembre de dos mil veintitrés.</w:t>
      </w:r>
    </w:p>
    <w:p w14:paraId="429A5BFB" w14:textId="36C77B3C" w:rsidR="00F64776" w:rsidRDefault="00F64776">
      <w:pPr>
        <w:spacing w:after="160" w:line="278" w:lineRule="auto"/>
        <w:rPr>
          <w:rFonts w:ascii="Times New Roman" w:eastAsia="Times New Roman" w:hAnsi="Times New Roman" w:cs="Times New Roman"/>
          <w:sz w:val="24"/>
          <w:szCs w:val="24"/>
          <w:lang w:eastAsia="es-ES"/>
        </w:rPr>
      </w:pPr>
      <w:r>
        <w:br w:type="page"/>
      </w:r>
    </w:p>
    <w:p w14:paraId="2CCC6C85" w14:textId="77777777" w:rsidR="00F64776" w:rsidRDefault="00F64776" w:rsidP="00F64776">
      <w:pPr>
        <w:pStyle w:val="TtuloResolucin"/>
      </w:pPr>
      <w:bookmarkStart w:id="432" w:name="AUTO_2023_647"/>
      <w:r>
        <w:t>AUTO 647/2023, de 11 de diciembre de 2023</w:t>
      </w:r>
    </w:p>
    <w:bookmarkEnd w:id="432"/>
    <w:p w14:paraId="2AD8C10C" w14:textId="77777777" w:rsidR="00F64776" w:rsidRDefault="00F64776" w:rsidP="00F64776">
      <w:pPr>
        <w:pStyle w:val="TtuloResolucin"/>
      </w:pPr>
      <w:r>
        <w:t>Sección Tercera</w:t>
      </w:r>
    </w:p>
    <w:p w14:paraId="1F0E5DE7" w14:textId="77777777" w:rsidR="00F64776" w:rsidRDefault="00F64776" w:rsidP="00F64776">
      <w:pPr>
        <w:pStyle w:val="TextoNormalCentrado"/>
      </w:pPr>
      <w:r>
        <w:t>ECLI:ES:TC:2023:647A</w:t>
      </w:r>
    </w:p>
    <w:p w14:paraId="4483BB09" w14:textId="0CAB349F" w:rsidR="00F64776" w:rsidRDefault="00F64776" w:rsidP="00F64776">
      <w:pPr>
        <w:pStyle w:val="TextoNormalCentrado"/>
      </w:pPr>
    </w:p>
    <w:p w14:paraId="29A075B6" w14:textId="77777777" w:rsidR="00F64776" w:rsidRDefault="00F64776" w:rsidP="00F64776">
      <w:pPr>
        <w:pStyle w:val="SntesisDescriptiva"/>
      </w:pPr>
      <w:r>
        <w:t>Excms. Srs. doña Inmaculada Montalbán Huertas y doña Laura Díez Bueso.</w:t>
      </w:r>
    </w:p>
    <w:p w14:paraId="6A89A6D1" w14:textId="3DD18322" w:rsidR="00F64776" w:rsidRDefault="00F64776" w:rsidP="00F64776">
      <w:pPr>
        <w:pStyle w:val="SntesisDescriptiva"/>
      </w:pPr>
    </w:p>
    <w:p w14:paraId="7D5A15DE" w14:textId="77777777" w:rsidR="00F64776" w:rsidRDefault="00F64776" w:rsidP="00F64776">
      <w:pPr>
        <w:pStyle w:val="SntesisDescriptiva"/>
      </w:pPr>
      <w:r>
        <w:t>Acepta una abstención en el recurso de amparo 5406-2022, promovido en proceso contencioso administrativo.</w:t>
      </w:r>
    </w:p>
    <w:p w14:paraId="4EDC4AC3" w14:textId="742CFFB1" w:rsidR="00F64776" w:rsidRDefault="00F64776" w:rsidP="00F64776">
      <w:pPr>
        <w:pStyle w:val="SntesisDescriptiva"/>
      </w:pPr>
    </w:p>
    <w:p w14:paraId="7274E0C0" w14:textId="77777777" w:rsidR="00F64776" w:rsidRDefault="00F64776" w:rsidP="00F64776">
      <w:pPr>
        <w:pStyle w:val="SntesisDescriptiva"/>
      </w:pPr>
    </w:p>
    <w:p w14:paraId="6F39676E" w14:textId="77777777" w:rsidR="00F64776" w:rsidRDefault="00F64776" w:rsidP="00F64776">
      <w:pPr>
        <w:pStyle w:val="SntesisDescriptiva"/>
      </w:pPr>
    </w:p>
    <w:p w14:paraId="62890D26" w14:textId="77777777" w:rsidR="00F64776" w:rsidRDefault="00F64776" w:rsidP="00F64776">
      <w:pPr>
        <w:pStyle w:val="TextoNormalNegritaCentrado"/>
      </w:pPr>
      <w:r>
        <w:t>AUTO</w:t>
      </w:r>
    </w:p>
    <w:p w14:paraId="173AC862" w14:textId="45261F3C" w:rsidR="00F64776" w:rsidRDefault="00F64776" w:rsidP="00F64776">
      <w:pPr>
        <w:pStyle w:val="TextoNormalNegritaCentrado"/>
      </w:pPr>
    </w:p>
    <w:p w14:paraId="60F2F65C" w14:textId="77777777" w:rsidR="00F64776" w:rsidRDefault="00F64776" w:rsidP="00F64776">
      <w:pPr>
        <w:pStyle w:val="TextoNormalNegritaCentrado"/>
        <w:keepNext/>
      </w:pPr>
      <w:r>
        <w:t>I. Antecedentes</w:t>
      </w:r>
    </w:p>
    <w:p w14:paraId="00C3345B" w14:textId="5BBC46BF" w:rsidR="00F64776" w:rsidRDefault="00F64776" w:rsidP="00F64776">
      <w:pPr>
        <w:pStyle w:val="TextoNormalNegritaCentrado"/>
        <w:keepNext/>
      </w:pPr>
    </w:p>
    <w:p w14:paraId="29714AB0" w14:textId="2A50C2B0" w:rsidR="00F64776" w:rsidRDefault="00F64776" w:rsidP="00F64776">
      <w:pPr>
        <w:pStyle w:val="TextoNormal"/>
      </w:pPr>
      <w:r w:rsidRPr="00F64776">
        <w:rPr>
          <w:rStyle w:val="NumeroAFNegritaCaracter"/>
        </w:rPr>
        <w:t>1</w:t>
      </w:r>
      <w:r>
        <w:t>. Mediante escrito registrado en este tribunal el 21 de julio de 2022, la procuradora de los tribunales doña Diana Higueras Piñeiro, en nombre y representación de don Misael Enrique Jiménez Amarista y bajo la dirección de la letrada doña María del Carmen Márquez Santos, interpuso demanda de amparo contra la providencia de 18 de mayo de 2022 de la Sección Primera de la Sala de lo Contencioso-Administrativo del Tribunal Supremo en recurso de casación 1953-2022.</w:t>
      </w:r>
    </w:p>
    <w:p w14:paraId="5F608389" w14:textId="77777777" w:rsidR="00F64776" w:rsidRDefault="00F64776" w:rsidP="00F64776">
      <w:pPr>
        <w:pStyle w:val="TextoNormal"/>
      </w:pPr>
    </w:p>
    <w:p w14:paraId="4D72AFF6" w14:textId="68F9E002" w:rsidR="00F64776" w:rsidRDefault="00F64776" w:rsidP="00F64776">
      <w:pPr>
        <w:pStyle w:val="TextoNormal"/>
      </w:pPr>
      <w:r w:rsidRPr="00F64776">
        <w:rPr>
          <w:rStyle w:val="NumeroAFNegritaCaracter"/>
        </w:rPr>
        <w:t>2</w:t>
      </w:r>
      <w:r>
        <w:t>. Por escrito de 1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6E53FE57" w14:textId="77777777" w:rsidR="00F64776" w:rsidRDefault="00F64776" w:rsidP="00F64776">
      <w:pPr>
        <w:pStyle w:val="TextoNormal"/>
      </w:pPr>
    </w:p>
    <w:p w14:paraId="666FB3B8" w14:textId="77777777" w:rsidR="00F64776" w:rsidRDefault="00F64776" w:rsidP="00F64776">
      <w:pPr>
        <w:pStyle w:val="TextoNormalNegritaCentrado"/>
        <w:keepNext/>
      </w:pPr>
      <w:r>
        <w:t>II. Fundamentos jurídicos</w:t>
      </w:r>
    </w:p>
    <w:p w14:paraId="70848297" w14:textId="2692BD2A" w:rsidR="00F64776" w:rsidRDefault="00F64776" w:rsidP="00F64776">
      <w:pPr>
        <w:pStyle w:val="TextoNormalNegritaCentrado"/>
        <w:keepNext/>
      </w:pPr>
    </w:p>
    <w:p w14:paraId="47FF7E39" w14:textId="46A74251"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5E35814F" w14:textId="77777777" w:rsidR="00F64776" w:rsidRDefault="00F64776" w:rsidP="00F64776">
      <w:pPr>
        <w:pStyle w:val="TextoNormal"/>
      </w:pPr>
    </w:p>
    <w:p w14:paraId="2A5885A8" w14:textId="77777777" w:rsidR="00F64776" w:rsidRDefault="00F64776" w:rsidP="00F64776">
      <w:pPr>
        <w:pStyle w:val="TextoNormal"/>
      </w:pPr>
      <w:r>
        <w:t>Por lo expuesto, la Sección</w:t>
      </w:r>
    </w:p>
    <w:p w14:paraId="585E2BED" w14:textId="2FC81849" w:rsidR="00F64776" w:rsidRDefault="00F64776" w:rsidP="00F64776">
      <w:pPr>
        <w:pStyle w:val="TextoNormal"/>
      </w:pPr>
    </w:p>
    <w:p w14:paraId="69BF8A06" w14:textId="77777777" w:rsidR="00F64776" w:rsidRDefault="00F64776" w:rsidP="00F64776">
      <w:pPr>
        <w:pStyle w:val="TextoNormalCentrado"/>
      </w:pPr>
      <w:r>
        <w:t>ACUERDA</w:t>
      </w:r>
    </w:p>
    <w:p w14:paraId="0C2EC40C" w14:textId="7923B40F" w:rsidR="00F64776" w:rsidRDefault="00F64776" w:rsidP="00F64776">
      <w:pPr>
        <w:pStyle w:val="TextoNormalCentrado"/>
      </w:pPr>
    </w:p>
    <w:p w14:paraId="296DB30C" w14:textId="707A8FF9" w:rsidR="00F64776" w:rsidRDefault="00F64776" w:rsidP="00F64776">
      <w:pPr>
        <w:pStyle w:val="TextoNormal"/>
      </w:pPr>
      <w:r>
        <w:t>Estimar justificada la abstención formulada por el magistrado don César Tolosa Tribiño en el recurso de amparo núm. 5406-2022 y apartarle definitivamente del conocimiento del referido recurso y de todas sus incidencias.</w:t>
      </w:r>
    </w:p>
    <w:p w14:paraId="70CCDF8E" w14:textId="77777777" w:rsidR="00F64776" w:rsidRDefault="00F64776" w:rsidP="00F64776">
      <w:pPr>
        <w:pStyle w:val="TextoNormal"/>
      </w:pPr>
    </w:p>
    <w:p w14:paraId="4EF959A4" w14:textId="77777777" w:rsidR="00F64776" w:rsidRDefault="00F64776" w:rsidP="00F64776">
      <w:pPr>
        <w:pStyle w:val="TextoNormal"/>
      </w:pPr>
      <w:r>
        <w:t>Madrid, a once de diciembre de dos mil veintitrés.</w:t>
      </w:r>
    </w:p>
    <w:p w14:paraId="041D6308" w14:textId="766CDE21" w:rsidR="00F64776" w:rsidRDefault="00F64776">
      <w:pPr>
        <w:spacing w:after="160" w:line="278" w:lineRule="auto"/>
        <w:rPr>
          <w:rFonts w:ascii="Times New Roman" w:eastAsia="Times New Roman" w:hAnsi="Times New Roman" w:cs="Times New Roman"/>
          <w:sz w:val="24"/>
          <w:szCs w:val="24"/>
          <w:lang w:eastAsia="es-ES"/>
        </w:rPr>
      </w:pPr>
      <w:r>
        <w:br w:type="page"/>
      </w:r>
    </w:p>
    <w:p w14:paraId="6403408A" w14:textId="77777777" w:rsidR="00F64776" w:rsidRDefault="00F64776" w:rsidP="00F64776">
      <w:pPr>
        <w:pStyle w:val="TtuloResolucin"/>
      </w:pPr>
      <w:bookmarkStart w:id="433" w:name="AUTO_2023_648"/>
      <w:r>
        <w:t>AUTO 648/2023, de 11 de diciembre de 2023</w:t>
      </w:r>
    </w:p>
    <w:bookmarkEnd w:id="433"/>
    <w:p w14:paraId="7ACC55AC" w14:textId="77777777" w:rsidR="00F64776" w:rsidRDefault="00F64776" w:rsidP="00F64776">
      <w:pPr>
        <w:pStyle w:val="TtuloResolucin"/>
      </w:pPr>
      <w:r>
        <w:t>Sección Tercera</w:t>
      </w:r>
    </w:p>
    <w:p w14:paraId="6CE10F93" w14:textId="77777777" w:rsidR="00F64776" w:rsidRDefault="00F64776" w:rsidP="00F64776">
      <w:pPr>
        <w:pStyle w:val="TextoNormalCentrado"/>
      </w:pPr>
      <w:r>
        <w:t>ECLI:ES:TC:2023:648A</w:t>
      </w:r>
    </w:p>
    <w:p w14:paraId="6A049A5B" w14:textId="4DA277F7" w:rsidR="00F64776" w:rsidRDefault="00F64776" w:rsidP="00F64776">
      <w:pPr>
        <w:pStyle w:val="TextoNormalCentrado"/>
      </w:pPr>
    </w:p>
    <w:p w14:paraId="05B37E7E" w14:textId="77777777" w:rsidR="00F64776" w:rsidRDefault="00F64776" w:rsidP="00F64776">
      <w:pPr>
        <w:pStyle w:val="SntesisDescriptiva"/>
      </w:pPr>
      <w:r>
        <w:t>Excms. Srs. doña Inmaculada Montalbán Huertas y doña Laura Díez Bueso.</w:t>
      </w:r>
    </w:p>
    <w:p w14:paraId="6163FB8B" w14:textId="53B5EF8B" w:rsidR="00F64776" w:rsidRDefault="00F64776" w:rsidP="00F64776">
      <w:pPr>
        <w:pStyle w:val="SntesisDescriptiva"/>
      </w:pPr>
    </w:p>
    <w:p w14:paraId="080A03C7" w14:textId="77777777" w:rsidR="00F64776" w:rsidRDefault="00F64776" w:rsidP="00F64776">
      <w:pPr>
        <w:pStyle w:val="SntesisDescriptiva"/>
      </w:pPr>
      <w:r>
        <w:t>Acepta una abstención en el recurso de amparo 5561-2022, promovido en proceso contencioso administrativo.</w:t>
      </w:r>
    </w:p>
    <w:p w14:paraId="6ACA87E2" w14:textId="76CBEB2D" w:rsidR="00F64776" w:rsidRDefault="00F64776" w:rsidP="00F64776">
      <w:pPr>
        <w:pStyle w:val="SntesisDescriptiva"/>
      </w:pPr>
    </w:p>
    <w:p w14:paraId="3C2E6F10" w14:textId="77777777" w:rsidR="00F64776" w:rsidRDefault="00F64776" w:rsidP="00F64776">
      <w:pPr>
        <w:pStyle w:val="SntesisDescriptiva"/>
      </w:pPr>
    </w:p>
    <w:p w14:paraId="0DC52A16" w14:textId="77777777" w:rsidR="00F64776" w:rsidRDefault="00F64776" w:rsidP="00F64776">
      <w:pPr>
        <w:pStyle w:val="SntesisDescriptiva"/>
      </w:pPr>
    </w:p>
    <w:p w14:paraId="2A4CE274" w14:textId="77777777" w:rsidR="00F64776" w:rsidRDefault="00F64776" w:rsidP="00F64776">
      <w:pPr>
        <w:pStyle w:val="TextoNormalNegritaCentrado"/>
      </w:pPr>
      <w:r>
        <w:t>AUTO</w:t>
      </w:r>
    </w:p>
    <w:p w14:paraId="5F787ADA" w14:textId="2C0DD90F" w:rsidR="00F64776" w:rsidRDefault="00F64776" w:rsidP="00F64776">
      <w:pPr>
        <w:pStyle w:val="TextoNormalNegritaCentrado"/>
      </w:pPr>
    </w:p>
    <w:p w14:paraId="1C95D512" w14:textId="77777777" w:rsidR="00F64776" w:rsidRDefault="00F64776" w:rsidP="00F64776">
      <w:pPr>
        <w:pStyle w:val="TextoNormalNegritaCentrado"/>
        <w:keepNext/>
      </w:pPr>
      <w:r>
        <w:t>I. Antecedentes</w:t>
      </w:r>
    </w:p>
    <w:p w14:paraId="63FDB2CF" w14:textId="16C19C4C" w:rsidR="00F64776" w:rsidRDefault="00F64776" w:rsidP="00F64776">
      <w:pPr>
        <w:pStyle w:val="TextoNormalNegritaCentrado"/>
        <w:keepNext/>
      </w:pPr>
    </w:p>
    <w:p w14:paraId="6CA05637" w14:textId="5924D57F" w:rsidR="00F64776" w:rsidRDefault="00F64776" w:rsidP="00F64776">
      <w:pPr>
        <w:pStyle w:val="TextoNormal"/>
      </w:pPr>
      <w:r w:rsidRPr="00F64776">
        <w:rPr>
          <w:rStyle w:val="NumeroAFNegritaCaracter"/>
        </w:rPr>
        <w:t>1</w:t>
      </w:r>
      <w:r>
        <w:t>. Mediante escrito registrado en este tribunal el 27 de julio de 2022, la procuradora de los tribunales doña María Elena Juanas Fabeiro, en nombre y representación de don Jorge Luis Gutiérrez Velásquez y bajo la dirección del letrado don José Manuel Beltrán Cristóbal, interpuso demanda de amparo contra la providencia de 28 de junio de 2022, dictada por la Sección Primera de la Sala de lo Contencioso-Administrativo del Tribunal Supremo en el recurso de queja núm. 217-2022, resolución objeto del presente recurso de amparo núm. 5561-2022.</w:t>
      </w:r>
    </w:p>
    <w:p w14:paraId="4C33B8AA" w14:textId="77777777" w:rsidR="00F64776" w:rsidRDefault="00F64776" w:rsidP="00F64776">
      <w:pPr>
        <w:pStyle w:val="TextoNormal"/>
      </w:pPr>
    </w:p>
    <w:p w14:paraId="72D869A2" w14:textId="4562CB90" w:rsidR="00F64776" w:rsidRDefault="00F64776" w:rsidP="00F64776">
      <w:pPr>
        <w:pStyle w:val="TextoNormal"/>
      </w:pPr>
      <w:r w:rsidRPr="00F64776">
        <w:rPr>
          <w:rStyle w:val="NumeroAFNegritaCaracter"/>
        </w:rPr>
        <w:t>2</w:t>
      </w:r>
      <w:r>
        <w:t>. Por escrito de 5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7081980C" w14:textId="77777777" w:rsidR="00F64776" w:rsidRDefault="00F64776" w:rsidP="00F64776">
      <w:pPr>
        <w:pStyle w:val="TextoNormal"/>
      </w:pPr>
    </w:p>
    <w:p w14:paraId="209493C1" w14:textId="77777777" w:rsidR="00F64776" w:rsidRDefault="00F64776" w:rsidP="00F64776">
      <w:pPr>
        <w:pStyle w:val="TextoNormalNegritaCentrado"/>
        <w:keepNext/>
      </w:pPr>
      <w:r>
        <w:t>II. Fundamentos jurídicos</w:t>
      </w:r>
    </w:p>
    <w:p w14:paraId="0A83F3EE" w14:textId="033197AE" w:rsidR="00F64776" w:rsidRDefault="00F64776" w:rsidP="00F64776">
      <w:pPr>
        <w:pStyle w:val="TextoNormalNegritaCentrado"/>
        <w:keepNext/>
      </w:pPr>
    </w:p>
    <w:p w14:paraId="025460EE" w14:textId="6A8D1C64"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54C64B1D" w14:textId="77777777" w:rsidR="00F64776" w:rsidRDefault="00F64776" w:rsidP="00F64776">
      <w:pPr>
        <w:pStyle w:val="TextoNormal"/>
      </w:pPr>
    </w:p>
    <w:p w14:paraId="3927F283" w14:textId="77777777" w:rsidR="00F64776" w:rsidRDefault="00F64776" w:rsidP="00F64776">
      <w:pPr>
        <w:pStyle w:val="TextoNormal"/>
      </w:pPr>
      <w:r>
        <w:t>Por lo expuesto, la Sección</w:t>
      </w:r>
    </w:p>
    <w:p w14:paraId="699C6D1C" w14:textId="3112CBFA" w:rsidR="00F64776" w:rsidRDefault="00F64776" w:rsidP="00F64776">
      <w:pPr>
        <w:pStyle w:val="TextoNormal"/>
      </w:pPr>
    </w:p>
    <w:p w14:paraId="15BAE3BE" w14:textId="77777777" w:rsidR="00F64776" w:rsidRDefault="00F64776" w:rsidP="00F64776">
      <w:pPr>
        <w:pStyle w:val="TextoNormalCentrado"/>
      </w:pPr>
      <w:r>
        <w:t>ACUERDA</w:t>
      </w:r>
    </w:p>
    <w:p w14:paraId="778ED421" w14:textId="3D6CE5DB" w:rsidR="00F64776" w:rsidRDefault="00F64776" w:rsidP="00F64776">
      <w:pPr>
        <w:pStyle w:val="TextoNormalCentrado"/>
      </w:pPr>
    </w:p>
    <w:p w14:paraId="65E1BA48" w14:textId="1FB44416" w:rsidR="00F64776" w:rsidRDefault="00F64776" w:rsidP="00F64776">
      <w:pPr>
        <w:pStyle w:val="TextoNormal"/>
      </w:pPr>
      <w:r>
        <w:t>Estimar justificada la abstención formulada por el magistrado don César Tolosa Tribiño en el recurso de amparo núm. 5561-2022 y apartarle definitivamente del conocimiento del referido recurso y de todas sus incidencias.</w:t>
      </w:r>
    </w:p>
    <w:p w14:paraId="0626F88A" w14:textId="77777777" w:rsidR="00F64776" w:rsidRDefault="00F64776" w:rsidP="00F64776">
      <w:pPr>
        <w:pStyle w:val="TextoNormal"/>
      </w:pPr>
    </w:p>
    <w:p w14:paraId="55039B2F" w14:textId="77777777" w:rsidR="00F64776" w:rsidRDefault="00F64776" w:rsidP="00F64776">
      <w:pPr>
        <w:pStyle w:val="TextoNormal"/>
      </w:pPr>
      <w:r>
        <w:t>Madrid, a once de diciembre de dos mil veintitrés.</w:t>
      </w:r>
    </w:p>
    <w:p w14:paraId="76CFA3C9" w14:textId="16CB4391" w:rsidR="00F64776" w:rsidRDefault="00F64776">
      <w:pPr>
        <w:spacing w:after="160" w:line="278" w:lineRule="auto"/>
        <w:rPr>
          <w:rFonts w:ascii="Times New Roman" w:eastAsia="Times New Roman" w:hAnsi="Times New Roman" w:cs="Times New Roman"/>
          <w:sz w:val="24"/>
          <w:szCs w:val="24"/>
          <w:lang w:eastAsia="es-ES"/>
        </w:rPr>
      </w:pPr>
      <w:r>
        <w:br w:type="page"/>
      </w:r>
    </w:p>
    <w:p w14:paraId="07D04402" w14:textId="77777777" w:rsidR="00F64776" w:rsidRDefault="00F64776" w:rsidP="00F64776">
      <w:pPr>
        <w:pStyle w:val="TtuloResolucin"/>
      </w:pPr>
      <w:bookmarkStart w:id="434" w:name="AUTO_2023_649"/>
      <w:r>
        <w:t>AUTO 649/2023, de 11 de diciembre de 2023</w:t>
      </w:r>
    </w:p>
    <w:bookmarkEnd w:id="434"/>
    <w:p w14:paraId="29A4258A" w14:textId="77777777" w:rsidR="00F64776" w:rsidRDefault="00F64776" w:rsidP="00F64776">
      <w:pPr>
        <w:pStyle w:val="TtuloResolucin"/>
      </w:pPr>
      <w:r>
        <w:t>Sección Tercera</w:t>
      </w:r>
    </w:p>
    <w:p w14:paraId="0BA965C4" w14:textId="77777777" w:rsidR="00F64776" w:rsidRDefault="00F64776" w:rsidP="00F64776">
      <w:pPr>
        <w:pStyle w:val="TextoNormalCentrado"/>
      </w:pPr>
      <w:r>
        <w:t>ECLI:ES:TC:2023:649A</w:t>
      </w:r>
    </w:p>
    <w:p w14:paraId="6C756BDF" w14:textId="6FB847DA" w:rsidR="00F64776" w:rsidRDefault="00F64776" w:rsidP="00F64776">
      <w:pPr>
        <w:pStyle w:val="TextoNormalCentrado"/>
      </w:pPr>
    </w:p>
    <w:p w14:paraId="56F818D3" w14:textId="77777777" w:rsidR="00F64776" w:rsidRDefault="00F64776" w:rsidP="00F64776">
      <w:pPr>
        <w:pStyle w:val="SntesisDescriptiva"/>
      </w:pPr>
      <w:r>
        <w:t>Excms. Srs. doña Inmaculada Montalbán Huertas y doña Laura Díez Bueso.</w:t>
      </w:r>
    </w:p>
    <w:p w14:paraId="27E28E42" w14:textId="39784B93" w:rsidR="00F64776" w:rsidRDefault="00F64776" w:rsidP="00F64776">
      <w:pPr>
        <w:pStyle w:val="SntesisDescriptiva"/>
      </w:pPr>
    </w:p>
    <w:p w14:paraId="41B6A8E6" w14:textId="77777777" w:rsidR="00F64776" w:rsidRDefault="00F64776" w:rsidP="00F64776">
      <w:pPr>
        <w:pStyle w:val="SntesisDescriptiva"/>
      </w:pPr>
      <w:r>
        <w:t>Acepta una abstención en el recurso de amparo 5636-2022, promovido en proceso contencioso administrativo.</w:t>
      </w:r>
    </w:p>
    <w:p w14:paraId="5C6C49DC" w14:textId="415A5689" w:rsidR="00F64776" w:rsidRDefault="00F64776" w:rsidP="00F64776">
      <w:pPr>
        <w:pStyle w:val="SntesisDescriptiva"/>
      </w:pPr>
    </w:p>
    <w:p w14:paraId="4D8D54CD" w14:textId="77777777" w:rsidR="00F64776" w:rsidRDefault="00F64776" w:rsidP="00F64776">
      <w:pPr>
        <w:pStyle w:val="SntesisDescriptiva"/>
      </w:pPr>
    </w:p>
    <w:p w14:paraId="580CB2D0" w14:textId="77777777" w:rsidR="00F64776" w:rsidRDefault="00F64776" w:rsidP="00F64776">
      <w:pPr>
        <w:pStyle w:val="SntesisDescriptiva"/>
      </w:pPr>
    </w:p>
    <w:p w14:paraId="72D742C8" w14:textId="77777777" w:rsidR="00F64776" w:rsidRDefault="00F64776" w:rsidP="00F64776">
      <w:pPr>
        <w:pStyle w:val="TextoNormalNegritaCentrado"/>
      </w:pPr>
      <w:r>
        <w:t>AUTO</w:t>
      </w:r>
    </w:p>
    <w:p w14:paraId="06CEF457" w14:textId="4C8058B0" w:rsidR="00F64776" w:rsidRDefault="00F64776" w:rsidP="00F64776">
      <w:pPr>
        <w:pStyle w:val="TextoNormalNegritaCentrado"/>
      </w:pPr>
    </w:p>
    <w:p w14:paraId="55B5AEFB" w14:textId="77777777" w:rsidR="00F64776" w:rsidRDefault="00F64776" w:rsidP="00F64776">
      <w:pPr>
        <w:pStyle w:val="TextoNormalNegritaCentrado"/>
        <w:keepNext/>
      </w:pPr>
      <w:r>
        <w:t>I. Antecedentes</w:t>
      </w:r>
    </w:p>
    <w:p w14:paraId="0A5065D2" w14:textId="495ED246" w:rsidR="00F64776" w:rsidRDefault="00F64776" w:rsidP="00F64776">
      <w:pPr>
        <w:pStyle w:val="TextoNormalNegritaCentrado"/>
        <w:keepNext/>
      </w:pPr>
    </w:p>
    <w:p w14:paraId="2D99AF8F" w14:textId="5E4BF3FD" w:rsidR="00F64776" w:rsidRDefault="00F64776" w:rsidP="00F64776">
      <w:pPr>
        <w:pStyle w:val="TextoNormal"/>
      </w:pPr>
      <w:r w:rsidRPr="00F64776">
        <w:rPr>
          <w:rStyle w:val="NumeroAFNegritaCaracter"/>
        </w:rPr>
        <w:t>1</w:t>
      </w:r>
      <w:r>
        <w:t>. Mediante escrito registrado en este tribunal el 29 de julio de 2022, la procuradora de los tribunales doña María de la Concepción Moreno de Barreda Rovira, en nombre y representación de doña Ana Vilma Canales y otros y bajo la dirección del letrado don Julio Pérez Martín, formuló demanda de amparo contra el auto de 29 de junio de 2022 de la Sección Primera de la Sala de lo Contencioso-Administrativo del Tribunal Supremo, en el recurso de queja núm. 242-2022.</w:t>
      </w:r>
    </w:p>
    <w:p w14:paraId="725B0DF7" w14:textId="77777777" w:rsidR="00F64776" w:rsidRDefault="00F64776" w:rsidP="00F64776">
      <w:pPr>
        <w:pStyle w:val="TextoNormal"/>
      </w:pPr>
    </w:p>
    <w:p w14:paraId="1D48B58F" w14:textId="3DF52336" w:rsidR="00F64776" w:rsidRDefault="00F64776" w:rsidP="00F64776">
      <w:pPr>
        <w:pStyle w:val="TextoNormal"/>
      </w:pPr>
      <w:r w:rsidRPr="00F64776">
        <w:rPr>
          <w:rStyle w:val="NumeroAFNegritaCaracter"/>
        </w:rPr>
        <w:t>2</w:t>
      </w:r>
      <w:r>
        <w:t>. Por escrito de 1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48821CB0" w14:textId="77777777" w:rsidR="00F64776" w:rsidRDefault="00F64776" w:rsidP="00F64776">
      <w:pPr>
        <w:pStyle w:val="TextoNormal"/>
      </w:pPr>
    </w:p>
    <w:p w14:paraId="46E3AC82" w14:textId="77777777" w:rsidR="00F64776" w:rsidRDefault="00F64776" w:rsidP="00F64776">
      <w:pPr>
        <w:pStyle w:val="TextoNormalNegritaCentrado"/>
        <w:keepNext/>
      </w:pPr>
      <w:r>
        <w:t>II. Fundamentos jurídicos</w:t>
      </w:r>
    </w:p>
    <w:p w14:paraId="2BC2C2B5" w14:textId="69B459BE" w:rsidR="00F64776" w:rsidRDefault="00F64776" w:rsidP="00F64776">
      <w:pPr>
        <w:pStyle w:val="TextoNormalNegritaCentrado"/>
        <w:keepNext/>
      </w:pPr>
    </w:p>
    <w:p w14:paraId="55CE6E00" w14:textId="31498668"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1E3155C0" w14:textId="77777777" w:rsidR="00F64776" w:rsidRDefault="00F64776" w:rsidP="00F64776">
      <w:pPr>
        <w:pStyle w:val="TextoNormal"/>
      </w:pPr>
    </w:p>
    <w:p w14:paraId="4DF1520D" w14:textId="77777777" w:rsidR="00F64776" w:rsidRDefault="00F64776" w:rsidP="00F64776">
      <w:pPr>
        <w:pStyle w:val="TextoNormal"/>
      </w:pPr>
      <w:r>
        <w:t>Por lo expuesto, la Sección</w:t>
      </w:r>
    </w:p>
    <w:p w14:paraId="305389CF" w14:textId="0FDA8A1E" w:rsidR="00F64776" w:rsidRDefault="00F64776" w:rsidP="00F64776">
      <w:pPr>
        <w:pStyle w:val="TextoNormal"/>
      </w:pPr>
    </w:p>
    <w:p w14:paraId="4B4F00D5" w14:textId="77777777" w:rsidR="00F64776" w:rsidRDefault="00F64776" w:rsidP="00F64776">
      <w:pPr>
        <w:pStyle w:val="TextoNormalCentrado"/>
      </w:pPr>
      <w:r>
        <w:t>ACUERDA</w:t>
      </w:r>
    </w:p>
    <w:p w14:paraId="49D2BCA2" w14:textId="349B77C8" w:rsidR="00F64776" w:rsidRDefault="00F64776" w:rsidP="00F64776">
      <w:pPr>
        <w:pStyle w:val="TextoNormalCentrado"/>
      </w:pPr>
    </w:p>
    <w:p w14:paraId="617E3F05" w14:textId="43448C8A" w:rsidR="00F64776" w:rsidRDefault="00F64776" w:rsidP="00F64776">
      <w:pPr>
        <w:pStyle w:val="TextoNormal"/>
      </w:pPr>
      <w:r>
        <w:t>Estimar justificada la abstención formulada por el magistrado don César Tolosa Tribiño en el recurso de amparo núm. 5636-2022 y apartarle definitivamente del conocimiento del referido recurso y de todas sus incidencias.</w:t>
      </w:r>
    </w:p>
    <w:p w14:paraId="524A259A" w14:textId="77777777" w:rsidR="00F64776" w:rsidRDefault="00F64776" w:rsidP="00F64776">
      <w:pPr>
        <w:pStyle w:val="TextoNormal"/>
      </w:pPr>
    </w:p>
    <w:p w14:paraId="7342E0DC" w14:textId="77777777" w:rsidR="00F64776" w:rsidRDefault="00F64776" w:rsidP="00F64776">
      <w:pPr>
        <w:pStyle w:val="TextoNormal"/>
      </w:pPr>
      <w:r>
        <w:t>Madrid, a once de diciembre de dos mil veintitrés.</w:t>
      </w:r>
    </w:p>
    <w:p w14:paraId="48B68091" w14:textId="1C6F1664" w:rsidR="00F64776" w:rsidRDefault="00F64776">
      <w:pPr>
        <w:spacing w:after="160" w:line="278" w:lineRule="auto"/>
        <w:rPr>
          <w:rFonts w:ascii="Times New Roman" w:eastAsia="Times New Roman" w:hAnsi="Times New Roman" w:cs="Times New Roman"/>
          <w:sz w:val="24"/>
          <w:szCs w:val="24"/>
          <w:lang w:eastAsia="es-ES"/>
        </w:rPr>
      </w:pPr>
      <w:r>
        <w:br w:type="page"/>
      </w:r>
    </w:p>
    <w:p w14:paraId="179F9766" w14:textId="77777777" w:rsidR="00F64776" w:rsidRDefault="00F64776" w:rsidP="00F64776">
      <w:pPr>
        <w:pStyle w:val="TtuloResolucin"/>
      </w:pPr>
      <w:bookmarkStart w:id="435" w:name="AUTO_2023_650"/>
      <w:r>
        <w:t>AUTO 650/2023, de 11 de diciembre de 2023</w:t>
      </w:r>
    </w:p>
    <w:bookmarkEnd w:id="435"/>
    <w:p w14:paraId="3E2B2A0D" w14:textId="77777777" w:rsidR="00F64776" w:rsidRDefault="00F64776" w:rsidP="00F64776">
      <w:pPr>
        <w:pStyle w:val="TtuloResolucin"/>
      </w:pPr>
      <w:r>
        <w:t>Sección Tercera</w:t>
      </w:r>
    </w:p>
    <w:p w14:paraId="06EB52F6" w14:textId="77777777" w:rsidR="00F64776" w:rsidRDefault="00F64776" w:rsidP="00F64776">
      <w:pPr>
        <w:pStyle w:val="TextoNormalCentrado"/>
      </w:pPr>
      <w:r>
        <w:t>ECLI:ES:TC:2023:650A</w:t>
      </w:r>
    </w:p>
    <w:p w14:paraId="23D63153" w14:textId="6B2F0BF9" w:rsidR="00F64776" w:rsidRDefault="00F64776" w:rsidP="00F64776">
      <w:pPr>
        <w:pStyle w:val="TextoNormalCentrado"/>
      </w:pPr>
    </w:p>
    <w:p w14:paraId="084B6975" w14:textId="77777777" w:rsidR="00F64776" w:rsidRDefault="00F64776" w:rsidP="00F64776">
      <w:pPr>
        <w:pStyle w:val="SntesisDescriptiva"/>
      </w:pPr>
      <w:r>
        <w:t>Excms. Srs. doña Inmaculada Montalbán Huertas y doña Laura Díez Bueso.</w:t>
      </w:r>
    </w:p>
    <w:p w14:paraId="3C0EAB1C" w14:textId="19C727B7" w:rsidR="00F64776" w:rsidRDefault="00F64776" w:rsidP="00F64776">
      <w:pPr>
        <w:pStyle w:val="SntesisDescriptiva"/>
      </w:pPr>
    </w:p>
    <w:p w14:paraId="71A152EC" w14:textId="77777777" w:rsidR="00F64776" w:rsidRDefault="00F64776" w:rsidP="00F64776">
      <w:pPr>
        <w:pStyle w:val="SntesisDescriptiva"/>
      </w:pPr>
      <w:r>
        <w:t>Acepta una abstención en el recurso de amparo 5746-2022, promovido en proceso contencioso administrativo.</w:t>
      </w:r>
    </w:p>
    <w:p w14:paraId="0BCB7AFA" w14:textId="1839849E" w:rsidR="00F64776" w:rsidRDefault="00F64776" w:rsidP="00F64776">
      <w:pPr>
        <w:pStyle w:val="SntesisDescriptiva"/>
      </w:pPr>
    </w:p>
    <w:p w14:paraId="2922CF98" w14:textId="77777777" w:rsidR="00F64776" w:rsidRDefault="00F64776" w:rsidP="00F64776">
      <w:pPr>
        <w:pStyle w:val="SntesisDescriptiva"/>
      </w:pPr>
    </w:p>
    <w:p w14:paraId="2DDAD9FB" w14:textId="77777777" w:rsidR="00F64776" w:rsidRDefault="00F64776" w:rsidP="00F64776">
      <w:pPr>
        <w:pStyle w:val="SntesisDescriptiva"/>
      </w:pPr>
    </w:p>
    <w:p w14:paraId="01B58456" w14:textId="77777777" w:rsidR="00F64776" w:rsidRDefault="00F64776" w:rsidP="00F64776">
      <w:pPr>
        <w:pStyle w:val="TextoNormalNegritaCentrado"/>
      </w:pPr>
      <w:r>
        <w:t>AUTO</w:t>
      </w:r>
    </w:p>
    <w:p w14:paraId="2C8ECEB5" w14:textId="7D9CC16E" w:rsidR="00F64776" w:rsidRDefault="00F64776" w:rsidP="00F64776">
      <w:pPr>
        <w:pStyle w:val="TextoNormalNegritaCentrado"/>
      </w:pPr>
    </w:p>
    <w:p w14:paraId="0234E391" w14:textId="77777777" w:rsidR="00F64776" w:rsidRDefault="00F64776" w:rsidP="00F64776">
      <w:pPr>
        <w:pStyle w:val="TextoNormalNegritaCentrado"/>
        <w:keepNext/>
      </w:pPr>
      <w:r>
        <w:t>I. Antecedentes</w:t>
      </w:r>
    </w:p>
    <w:p w14:paraId="148B27E9" w14:textId="3986C4B3" w:rsidR="00F64776" w:rsidRDefault="00F64776" w:rsidP="00F64776">
      <w:pPr>
        <w:pStyle w:val="TextoNormalNegritaCentrado"/>
        <w:keepNext/>
      </w:pPr>
    </w:p>
    <w:p w14:paraId="00C9F786" w14:textId="587691BC" w:rsidR="00F64776" w:rsidRDefault="00F64776" w:rsidP="00F64776">
      <w:pPr>
        <w:pStyle w:val="TextoNormal"/>
      </w:pPr>
      <w:r w:rsidRPr="00F64776">
        <w:rPr>
          <w:rStyle w:val="NumeroAFNegritaCaracter"/>
        </w:rPr>
        <w:t>1</w:t>
      </w:r>
      <w:r>
        <w:t>. Mediante escrito registrado en este tribunal el 1 de septiembre de 2022, la procuradora de los tribunales doña Patricia Carmen Rodríguez Gómez, en nombre y representación de don Óscar Javier Vélez Mayorga y bajo la dirección de la letrada doña María Concepción Díaz Gómez, interpuso demanda de amparo contra la providencia de 15 de junio de 2023 de la Sala de lo Contencioso-Administrativo del Tribunal Supremo dictada en el recurso de casación 2373-2022.</w:t>
      </w:r>
    </w:p>
    <w:p w14:paraId="3F9FD941" w14:textId="77777777" w:rsidR="00F64776" w:rsidRDefault="00F64776" w:rsidP="00F64776">
      <w:pPr>
        <w:pStyle w:val="TextoNormal"/>
      </w:pPr>
    </w:p>
    <w:p w14:paraId="2B371288" w14:textId="08A2448C" w:rsidR="00F64776" w:rsidRDefault="00F64776" w:rsidP="00F64776">
      <w:pPr>
        <w:pStyle w:val="TextoNormal"/>
      </w:pPr>
      <w:r w:rsidRPr="00F64776">
        <w:rPr>
          <w:rStyle w:val="NumeroAFNegritaCaracter"/>
        </w:rPr>
        <w:t>2</w:t>
      </w:r>
      <w:r>
        <w:t>. Por escrito de 29 de noviembre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455AF3B3" w14:textId="77777777" w:rsidR="00F64776" w:rsidRDefault="00F64776" w:rsidP="00F64776">
      <w:pPr>
        <w:pStyle w:val="TextoNormal"/>
      </w:pPr>
    </w:p>
    <w:p w14:paraId="18567B16" w14:textId="77777777" w:rsidR="00F64776" w:rsidRDefault="00F64776" w:rsidP="00F64776">
      <w:pPr>
        <w:pStyle w:val="TextoNormalNegritaCentrado"/>
        <w:keepNext/>
      </w:pPr>
      <w:r>
        <w:t>II. Fundamentos jurídicos</w:t>
      </w:r>
    </w:p>
    <w:p w14:paraId="42B8BFC7" w14:textId="44A21042" w:rsidR="00F64776" w:rsidRDefault="00F64776" w:rsidP="00F64776">
      <w:pPr>
        <w:pStyle w:val="TextoNormalNegritaCentrado"/>
        <w:keepNext/>
      </w:pPr>
    </w:p>
    <w:p w14:paraId="139ADB15" w14:textId="66D20B0A"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1612E369" w14:textId="77777777" w:rsidR="00F64776" w:rsidRDefault="00F64776" w:rsidP="00F64776">
      <w:pPr>
        <w:pStyle w:val="TextoNormal"/>
      </w:pPr>
    </w:p>
    <w:p w14:paraId="5B48E0CC" w14:textId="77777777" w:rsidR="00F64776" w:rsidRDefault="00F64776" w:rsidP="00F64776">
      <w:pPr>
        <w:pStyle w:val="TextoNormal"/>
      </w:pPr>
      <w:r>
        <w:t>Por lo expuesto, la Sección</w:t>
      </w:r>
    </w:p>
    <w:p w14:paraId="53B3ED06" w14:textId="3898DC51" w:rsidR="00F64776" w:rsidRDefault="00F64776" w:rsidP="00F64776">
      <w:pPr>
        <w:pStyle w:val="TextoNormal"/>
      </w:pPr>
    </w:p>
    <w:p w14:paraId="5FA43E6E" w14:textId="77777777" w:rsidR="00F64776" w:rsidRDefault="00F64776" w:rsidP="00F64776">
      <w:pPr>
        <w:pStyle w:val="TextoNormalCentrado"/>
      </w:pPr>
      <w:r>
        <w:t>ACUERDA</w:t>
      </w:r>
    </w:p>
    <w:p w14:paraId="3A360A85" w14:textId="463E5088" w:rsidR="00F64776" w:rsidRDefault="00F64776" w:rsidP="00F64776">
      <w:pPr>
        <w:pStyle w:val="TextoNormalCentrado"/>
      </w:pPr>
    </w:p>
    <w:p w14:paraId="51AC3A1B" w14:textId="573E1132" w:rsidR="00F64776" w:rsidRDefault="00F64776" w:rsidP="00F64776">
      <w:pPr>
        <w:pStyle w:val="TextoNormal"/>
      </w:pPr>
      <w:r>
        <w:t>Estimar justificada la abstención formulada por el magistrado don César Tolosa Tribiño en el recurso de amparo núm. 5746-2022 y apartarle definitivamente del conocimiento del referido recurso y de todas sus incidencias.</w:t>
      </w:r>
    </w:p>
    <w:p w14:paraId="7BF698EC" w14:textId="77777777" w:rsidR="00F64776" w:rsidRDefault="00F64776" w:rsidP="00F64776">
      <w:pPr>
        <w:pStyle w:val="TextoNormal"/>
      </w:pPr>
    </w:p>
    <w:p w14:paraId="2C6A08B6" w14:textId="77777777" w:rsidR="00F64776" w:rsidRDefault="00F64776" w:rsidP="00F64776">
      <w:pPr>
        <w:pStyle w:val="TextoNormal"/>
      </w:pPr>
      <w:r>
        <w:t>Madrid, a once de diciembre de dos mil veintitrés.</w:t>
      </w:r>
    </w:p>
    <w:p w14:paraId="0ADAC6F3" w14:textId="060F0B9B" w:rsidR="00F64776" w:rsidRDefault="00F64776">
      <w:pPr>
        <w:spacing w:after="160" w:line="278" w:lineRule="auto"/>
        <w:rPr>
          <w:rFonts w:ascii="Times New Roman" w:eastAsia="Times New Roman" w:hAnsi="Times New Roman" w:cs="Times New Roman"/>
          <w:sz w:val="24"/>
          <w:szCs w:val="24"/>
          <w:lang w:eastAsia="es-ES"/>
        </w:rPr>
      </w:pPr>
      <w:r>
        <w:br w:type="page"/>
      </w:r>
    </w:p>
    <w:p w14:paraId="6B219DF6" w14:textId="77777777" w:rsidR="00F64776" w:rsidRDefault="00F64776" w:rsidP="00F64776">
      <w:pPr>
        <w:pStyle w:val="TtuloResolucin"/>
      </w:pPr>
      <w:bookmarkStart w:id="436" w:name="AUTO_2023_651"/>
      <w:r>
        <w:t>AUTO 651/2023, de 11 de diciembre de 2023</w:t>
      </w:r>
    </w:p>
    <w:bookmarkEnd w:id="436"/>
    <w:p w14:paraId="1F73C349" w14:textId="77777777" w:rsidR="00F64776" w:rsidRDefault="00F64776" w:rsidP="00F64776">
      <w:pPr>
        <w:pStyle w:val="TtuloResolucin"/>
      </w:pPr>
      <w:r>
        <w:t>Sección Tercera</w:t>
      </w:r>
    </w:p>
    <w:p w14:paraId="63A2B6F7" w14:textId="77777777" w:rsidR="00F64776" w:rsidRDefault="00F64776" w:rsidP="00F64776">
      <w:pPr>
        <w:pStyle w:val="TextoNormalCentrado"/>
      </w:pPr>
      <w:r>
        <w:t>ECLI:ES:TC:2023:651A</w:t>
      </w:r>
    </w:p>
    <w:p w14:paraId="1C68C835" w14:textId="7AD54AC7" w:rsidR="00F64776" w:rsidRDefault="00F64776" w:rsidP="00F64776">
      <w:pPr>
        <w:pStyle w:val="TextoNormalCentrado"/>
      </w:pPr>
    </w:p>
    <w:p w14:paraId="779E3E26" w14:textId="77777777" w:rsidR="00F64776" w:rsidRDefault="00F64776" w:rsidP="00F64776">
      <w:pPr>
        <w:pStyle w:val="SntesisDescriptiva"/>
      </w:pPr>
      <w:r>
        <w:t>Excms. Srs. doña Inmaculada Montalbán Huertas y doña Laura Díez Bueso.</w:t>
      </w:r>
    </w:p>
    <w:p w14:paraId="00EA464E" w14:textId="3697C646" w:rsidR="00F64776" w:rsidRDefault="00F64776" w:rsidP="00F64776">
      <w:pPr>
        <w:pStyle w:val="SntesisDescriptiva"/>
      </w:pPr>
    </w:p>
    <w:p w14:paraId="03D38A00" w14:textId="77777777" w:rsidR="00F64776" w:rsidRDefault="00F64776" w:rsidP="00F64776">
      <w:pPr>
        <w:pStyle w:val="SntesisDescriptiva"/>
      </w:pPr>
      <w:r>
        <w:t>Acepta una abstención en el recurso de amparo 6385-2022, promovido en proceso contencioso administrativo.</w:t>
      </w:r>
    </w:p>
    <w:p w14:paraId="3C75A200" w14:textId="07D4A53B" w:rsidR="00F64776" w:rsidRDefault="00F64776" w:rsidP="00F64776">
      <w:pPr>
        <w:pStyle w:val="SntesisDescriptiva"/>
      </w:pPr>
    </w:p>
    <w:p w14:paraId="74E89F42" w14:textId="77777777" w:rsidR="00F64776" w:rsidRDefault="00F64776" w:rsidP="00F64776">
      <w:pPr>
        <w:pStyle w:val="SntesisDescriptiva"/>
      </w:pPr>
    </w:p>
    <w:p w14:paraId="7E95604A" w14:textId="77777777" w:rsidR="00F64776" w:rsidRDefault="00F64776" w:rsidP="00F64776">
      <w:pPr>
        <w:pStyle w:val="SntesisDescriptiva"/>
      </w:pPr>
    </w:p>
    <w:p w14:paraId="254E544C" w14:textId="77777777" w:rsidR="00F64776" w:rsidRDefault="00F64776" w:rsidP="00F64776">
      <w:pPr>
        <w:pStyle w:val="TextoNormalNegritaCentrado"/>
      </w:pPr>
      <w:r>
        <w:t>AUTO</w:t>
      </w:r>
    </w:p>
    <w:p w14:paraId="525EDFBB" w14:textId="1CB9F73B" w:rsidR="00F64776" w:rsidRDefault="00F64776" w:rsidP="00F64776">
      <w:pPr>
        <w:pStyle w:val="TextoNormalNegritaCentrado"/>
      </w:pPr>
    </w:p>
    <w:p w14:paraId="36E249A8" w14:textId="77777777" w:rsidR="00F64776" w:rsidRDefault="00F64776" w:rsidP="00F64776">
      <w:pPr>
        <w:pStyle w:val="TextoNormalNegritaCentrado"/>
        <w:keepNext/>
      </w:pPr>
      <w:r>
        <w:t>I. Antecedentes</w:t>
      </w:r>
    </w:p>
    <w:p w14:paraId="159DA7C5" w14:textId="5C39F7BF" w:rsidR="00F64776" w:rsidRDefault="00F64776" w:rsidP="00F64776">
      <w:pPr>
        <w:pStyle w:val="TextoNormalNegritaCentrado"/>
        <w:keepNext/>
      </w:pPr>
    </w:p>
    <w:p w14:paraId="6DF4E394" w14:textId="6B1F8C2B" w:rsidR="00F64776" w:rsidRDefault="00F64776" w:rsidP="00F64776">
      <w:pPr>
        <w:pStyle w:val="TextoNormal"/>
      </w:pPr>
      <w:r w:rsidRPr="00F64776">
        <w:rPr>
          <w:rStyle w:val="NumeroAFNegritaCaracter"/>
        </w:rPr>
        <w:t>1</w:t>
      </w:r>
      <w:r>
        <w:t>. Mediante escrito registrado en este tribunal el 28 de septiembre de 2022, la procuradora de los tribunales doña María Dolores Corredoira Lidor, en nombre y representación de la entidad Avícola Casas, S.C., y bajo la dirección del letrado don Celestino Muinelo Voces, formuló demanda de amparo contra la providencia de 13 de julio de 2022 dictada por la Sección Primera de la Sala de lo Contencioso-Administrativo del Tribunal Supremo, en el recurso de casación núm. 3653-2022, resolución objeto del presente recurso de amparo núm. 6385-2022.</w:t>
      </w:r>
    </w:p>
    <w:p w14:paraId="2D20B50A" w14:textId="77777777" w:rsidR="00F64776" w:rsidRDefault="00F64776" w:rsidP="00F64776">
      <w:pPr>
        <w:pStyle w:val="TextoNormal"/>
      </w:pPr>
    </w:p>
    <w:p w14:paraId="2EEBD05D" w14:textId="0CDF4723" w:rsidR="00F64776" w:rsidRDefault="00F64776" w:rsidP="00F64776">
      <w:pPr>
        <w:pStyle w:val="TextoNormal"/>
      </w:pPr>
      <w:r w:rsidRPr="00F64776">
        <w:rPr>
          <w:rStyle w:val="NumeroAFNegritaCaracter"/>
        </w:rPr>
        <w:t>2</w:t>
      </w:r>
      <w:r>
        <w:t>. Por escrito de 12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07B1A1CB" w14:textId="77777777" w:rsidR="00F64776" w:rsidRDefault="00F64776" w:rsidP="00F64776">
      <w:pPr>
        <w:pStyle w:val="TextoNormal"/>
      </w:pPr>
    </w:p>
    <w:p w14:paraId="36751E81" w14:textId="77777777" w:rsidR="00F64776" w:rsidRDefault="00F64776" w:rsidP="00F64776">
      <w:pPr>
        <w:pStyle w:val="TextoNormalNegritaCentrado"/>
        <w:keepNext/>
      </w:pPr>
      <w:r>
        <w:t>II. Fundamentos jurídicos</w:t>
      </w:r>
    </w:p>
    <w:p w14:paraId="2E717F96" w14:textId="53386B31" w:rsidR="00F64776" w:rsidRDefault="00F64776" w:rsidP="00F64776">
      <w:pPr>
        <w:pStyle w:val="TextoNormalNegritaCentrado"/>
        <w:keepNext/>
      </w:pPr>
    </w:p>
    <w:p w14:paraId="405483DA" w14:textId="61F9C4D6"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33DAAC2A" w14:textId="77777777" w:rsidR="00F64776" w:rsidRDefault="00F64776" w:rsidP="00F64776">
      <w:pPr>
        <w:pStyle w:val="TextoNormal"/>
      </w:pPr>
    </w:p>
    <w:p w14:paraId="717AD260" w14:textId="77777777" w:rsidR="00F64776" w:rsidRDefault="00F64776" w:rsidP="00F64776">
      <w:pPr>
        <w:pStyle w:val="TextoNormal"/>
      </w:pPr>
      <w:r>
        <w:t>Por lo expuesto, la Sección</w:t>
      </w:r>
    </w:p>
    <w:p w14:paraId="42EE1C3D" w14:textId="43BE2AC0" w:rsidR="00F64776" w:rsidRDefault="00F64776" w:rsidP="00F64776">
      <w:pPr>
        <w:pStyle w:val="TextoNormal"/>
      </w:pPr>
    </w:p>
    <w:p w14:paraId="694CEBA8" w14:textId="77777777" w:rsidR="00F64776" w:rsidRDefault="00F64776" w:rsidP="00F64776">
      <w:pPr>
        <w:pStyle w:val="TextoNormalCentrado"/>
      </w:pPr>
      <w:r>
        <w:t>ACUERDA</w:t>
      </w:r>
    </w:p>
    <w:p w14:paraId="0985DE1D" w14:textId="6FA6B3CE" w:rsidR="00F64776" w:rsidRDefault="00F64776" w:rsidP="00F64776">
      <w:pPr>
        <w:pStyle w:val="TextoNormalCentrado"/>
      </w:pPr>
    </w:p>
    <w:p w14:paraId="36A1DC05" w14:textId="7A826CDA" w:rsidR="00F64776" w:rsidRDefault="00F64776" w:rsidP="00F64776">
      <w:pPr>
        <w:pStyle w:val="TextoNormal"/>
      </w:pPr>
      <w:r>
        <w:t>Estimar justificada la abstención formulada por el magistrado don César Tolosa Tribiño en el recurso de amparo núm. 6385-2022 y apartarle definitivamente del conocimiento del referido recurso y de todas sus incidencias.</w:t>
      </w:r>
    </w:p>
    <w:p w14:paraId="4E499C0C" w14:textId="77777777" w:rsidR="00F64776" w:rsidRDefault="00F64776" w:rsidP="00F64776">
      <w:pPr>
        <w:pStyle w:val="TextoNormal"/>
      </w:pPr>
    </w:p>
    <w:p w14:paraId="659109D6" w14:textId="77777777" w:rsidR="00F64776" w:rsidRDefault="00F64776" w:rsidP="00F64776">
      <w:pPr>
        <w:pStyle w:val="TextoNormal"/>
      </w:pPr>
      <w:r>
        <w:t>Madrid, a once de diciembre de dos mil veintitrés.</w:t>
      </w:r>
    </w:p>
    <w:p w14:paraId="344AD735" w14:textId="362EE5F2" w:rsidR="00F64776" w:rsidRDefault="00F64776">
      <w:pPr>
        <w:spacing w:after="160" w:line="278" w:lineRule="auto"/>
        <w:rPr>
          <w:rFonts w:ascii="Times New Roman" w:eastAsia="Times New Roman" w:hAnsi="Times New Roman" w:cs="Times New Roman"/>
          <w:sz w:val="24"/>
          <w:szCs w:val="24"/>
          <w:lang w:eastAsia="es-ES"/>
        </w:rPr>
      </w:pPr>
      <w:r>
        <w:br w:type="page"/>
      </w:r>
    </w:p>
    <w:p w14:paraId="4809D9AA" w14:textId="77777777" w:rsidR="00F64776" w:rsidRDefault="00F64776" w:rsidP="00F64776">
      <w:pPr>
        <w:pStyle w:val="TtuloResolucin"/>
      </w:pPr>
      <w:bookmarkStart w:id="437" w:name="AUTO_2023_652"/>
      <w:r>
        <w:t>AUTO 652/2023, de 11 de diciembre de 2023</w:t>
      </w:r>
    </w:p>
    <w:bookmarkEnd w:id="437"/>
    <w:p w14:paraId="12AB1B88" w14:textId="77777777" w:rsidR="00F64776" w:rsidRDefault="00F64776" w:rsidP="00F64776">
      <w:pPr>
        <w:pStyle w:val="TtuloResolucin"/>
      </w:pPr>
      <w:r>
        <w:t>Sección Tercera</w:t>
      </w:r>
    </w:p>
    <w:p w14:paraId="33E93A30" w14:textId="77777777" w:rsidR="00F64776" w:rsidRDefault="00F64776" w:rsidP="00F64776">
      <w:pPr>
        <w:pStyle w:val="TextoNormalCentrado"/>
      </w:pPr>
      <w:r>
        <w:t>ECLI:ES:TC:2023:652A</w:t>
      </w:r>
    </w:p>
    <w:p w14:paraId="00F35573" w14:textId="1221C0AC" w:rsidR="00F64776" w:rsidRDefault="00F64776" w:rsidP="00F64776">
      <w:pPr>
        <w:pStyle w:val="TextoNormalCentrado"/>
      </w:pPr>
    </w:p>
    <w:p w14:paraId="3C0EEFFC" w14:textId="77777777" w:rsidR="00F64776" w:rsidRDefault="00F64776" w:rsidP="00F64776">
      <w:pPr>
        <w:pStyle w:val="SntesisDescriptiva"/>
      </w:pPr>
      <w:r>
        <w:t>Excms. Srs. doña Inmaculada Montalbán Huertas y doña Laura Díez Bueso.</w:t>
      </w:r>
    </w:p>
    <w:p w14:paraId="6FF337C3" w14:textId="60AF319B" w:rsidR="00F64776" w:rsidRDefault="00F64776" w:rsidP="00F64776">
      <w:pPr>
        <w:pStyle w:val="SntesisDescriptiva"/>
      </w:pPr>
    </w:p>
    <w:p w14:paraId="6F8D5751" w14:textId="77777777" w:rsidR="00F64776" w:rsidRDefault="00F64776" w:rsidP="00F64776">
      <w:pPr>
        <w:pStyle w:val="SntesisDescriptiva"/>
      </w:pPr>
      <w:r>
        <w:t>Acepta una abstención en el recurso de amparo 6543-2022, promovido en proceso contencioso administrativo.</w:t>
      </w:r>
    </w:p>
    <w:p w14:paraId="0D36FBF0" w14:textId="116BCC67" w:rsidR="00F64776" w:rsidRDefault="00F64776" w:rsidP="00F64776">
      <w:pPr>
        <w:pStyle w:val="SntesisDescriptiva"/>
      </w:pPr>
    </w:p>
    <w:p w14:paraId="06AFD809" w14:textId="77777777" w:rsidR="00F64776" w:rsidRDefault="00F64776" w:rsidP="00F64776">
      <w:pPr>
        <w:pStyle w:val="SntesisDescriptiva"/>
      </w:pPr>
    </w:p>
    <w:p w14:paraId="3EE50CF3" w14:textId="77777777" w:rsidR="00F64776" w:rsidRDefault="00F64776" w:rsidP="00F64776">
      <w:pPr>
        <w:pStyle w:val="SntesisDescriptiva"/>
      </w:pPr>
    </w:p>
    <w:p w14:paraId="29ED1DF8" w14:textId="77777777" w:rsidR="00F64776" w:rsidRDefault="00F64776" w:rsidP="00F64776">
      <w:pPr>
        <w:pStyle w:val="TextoNormalNegritaCentrado"/>
      </w:pPr>
      <w:r>
        <w:t>AUTO</w:t>
      </w:r>
    </w:p>
    <w:p w14:paraId="61DD0C68" w14:textId="7831CF5D" w:rsidR="00F64776" w:rsidRDefault="00F64776" w:rsidP="00F64776">
      <w:pPr>
        <w:pStyle w:val="TextoNormalNegritaCentrado"/>
      </w:pPr>
    </w:p>
    <w:p w14:paraId="06DE30E8" w14:textId="77777777" w:rsidR="00F64776" w:rsidRDefault="00F64776" w:rsidP="00F64776">
      <w:pPr>
        <w:pStyle w:val="TextoNormalNegritaCentrado"/>
        <w:keepNext/>
      </w:pPr>
      <w:r>
        <w:t>I. Antecedentes</w:t>
      </w:r>
    </w:p>
    <w:p w14:paraId="1E094C88" w14:textId="65C9B97F" w:rsidR="00F64776" w:rsidRDefault="00F64776" w:rsidP="00F64776">
      <w:pPr>
        <w:pStyle w:val="TextoNormalNegritaCentrado"/>
        <w:keepNext/>
      </w:pPr>
    </w:p>
    <w:p w14:paraId="5886BC79" w14:textId="4C1C1C1A" w:rsidR="00F64776" w:rsidRDefault="00F64776" w:rsidP="00F64776">
      <w:pPr>
        <w:pStyle w:val="TextoNormal"/>
      </w:pPr>
      <w:r w:rsidRPr="00F64776">
        <w:rPr>
          <w:rStyle w:val="NumeroAFNegritaCaracter"/>
        </w:rPr>
        <w:t>1</w:t>
      </w:r>
      <w:r>
        <w:t>. Mediante escrito registrado en este tribunal el 4 de octubre de 2022, la procuradora de los tribunales doña María Teresa de Donesteve Velázquez-Gaztelu, en nombre y representación de don Juan Valle Anguita y bajo la dirección del letrado don Juan Felipe Vicario Peñas, interpuso demanda de amparo contra sentencia y providencia de fecha 14 de julio de 2022, dictadas por la Sección Sexta de la Sala de lo Contencioso-Administrativo del Tribunal Supremo en recurso ordinario 154-2021.</w:t>
      </w:r>
    </w:p>
    <w:p w14:paraId="5392BDB3" w14:textId="77777777" w:rsidR="00F64776" w:rsidRDefault="00F64776" w:rsidP="00F64776">
      <w:pPr>
        <w:pStyle w:val="TextoNormal"/>
      </w:pPr>
    </w:p>
    <w:p w14:paraId="5363315F" w14:textId="3C88C244" w:rsidR="00F64776" w:rsidRDefault="00F64776" w:rsidP="00F64776">
      <w:pPr>
        <w:pStyle w:val="TextoNormal"/>
      </w:pPr>
      <w:r w:rsidRPr="00F64776">
        <w:rPr>
          <w:rStyle w:val="NumeroAFNegritaCaracter"/>
        </w:rPr>
        <w:t>2</w:t>
      </w:r>
      <w:r>
        <w:t>. Por escrito de 5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Sexta de la Sala de lo Contencioso-Administrativo del Tribunal Supremo que dictó la resolución impugnada.</w:t>
      </w:r>
    </w:p>
    <w:p w14:paraId="1732813A" w14:textId="77777777" w:rsidR="00F64776" w:rsidRDefault="00F64776" w:rsidP="00F64776">
      <w:pPr>
        <w:pStyle w:val="TextoNormal"/>
      </w:pPr>
    </w:p>
    <w:p w14:paraId="3B40CFF2" w14:textId="77777777" w:rsidR="00F64776" w:rsidRDefault="00F64776" w:rsidP="00F64776">
      <w:pPr>
        <w:pStyle w:val="TextoNormalNegritaCentrado"/>
        <w:keepNext/>
      </w:pPr>
      <w:r>
        <w:t>II. Fundamentos jurídicos</w:t>
      </w:r>
    </w:p>
    <w:p w14:paraId="601BCD14" w14:textId="25975FBE" w:rsidR="00F64776" w:rsidRDefault="00F64776" w:rsidP="00F64776">
      <w:pPr>
        <w:pStyle w:val="TextoNormalNegritaCentrado"/>
        <w:keepNext/>
      </w:pPr>
    </w:p>
    <w:p w14:paraId="6CCC5CF8" w14:textId="5F552EB3"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6CB71C25" w14:textId="77777777" w:rsidR="00F64776" w:rsidRDefault="00F64776" w:rsidP="00F64776">
      <w:pPr>
        <w:pStyle w:val="TextoNormal"/>
      </w:pPr>
    </w:p>
    <w:p w14:paraId="7836B3D2" w14:textId="77777777" w:rsidR="00F64776" w:rsidRDefault="00F64776" w:rsidP="00F64776">
      <w:pPr>
        <w:pStyle w:val="TextoNormal"/>
      </w:pPr>
      <w:r>
        <w:t>Por lo expuesto, la Sección</w:t>
      </w:r>
    </w:p>
    <w:p w14:paraId="1C8879A5" w14:textId="3AAF7560" w:rsidR="00F64776" w:rsidRDefault="00F64776" w:rsidP="00F64776">
      <w:pPr>
        <w:pStyle w:val="TextoNormal"/>
      </w:pPr>
    </w:p>
    <w:p w14:paraId="5DF1D977" w14:textId="77777777" w:rsidR="00F64776" w:rsidRDefault="00F64776" w:rsidP="00F64776">
      <w:pPr>
        <w:pStyle w:val="TextoNormalCentrado"/>
      </w:pPr>
      <w:r>
        <w:t>ACUERDA</w:t>
      </w:r>
    </w:p>
    <w:p w14:paraId="7757992C" w14:textId="769C1C2D" w:rsidR="00F64776" w:rsidRDefault="00F64776" w:rsidP="00F64776">
      <w:pPr>
        <w:pStyle w:val="TextoNormalCentrado"/>
      </w:pPr>
    </w:p>
    <w:p w14:paraId="146006E3" w14:textId="42F4E63E" w:rsidR="00F64776" w:rsidRDefault="00F64776" w:rsidP="00F64776">
      <w:pPr>
        <w:pStyle w:val="TextoNormal"/>
      </w:pPr>
      <w:r>
        <w:t>Estimar justificada la abstención formulada por el magistrado don César Tolosa Tribiño en el recurso de amparo núm. 6543-2022 y apartarle definitivamente del conocimiento del referido recurso y de todas sus incidencias.</w:t>
      </w:r>
    </w:p>
    <w:p w14:paraId="32C8ABA9" w14:textId="77777777" w:rsidR="00F64776" w:rsidRDefault="00F64776" w:rsidP="00F64776">
      <w:pPr>
        <w:pStyle w:val="TextoNormal"/>
      </w:pPr>
    </w:p>
    <w:p w14:paraId="1F194D67" w14:textId="77777777" w:rsidR="00F64776" w:rsidRDefault="00F64776" w:rsidP="00F64776">
      <w:pPr>
        <w:pStyle w:val="TextoNormal"/>
      </w:pPr>
      <w:r>
        <w:t>Madrid, a once de diciembre de dos mil veintitrés.</w:t>
      </w:r>
    </w:p>
    <w:p w14:paraId="2D4F502F" w14:textId="56C3E541" w:rsidR="00F64776" w:rsidRDefault="00F64776">
      <w:pPr>
        <w:spacing w:after="160" w:line="278" w:lineRule="auto"/>
        <w:rPr>
          <w:rFonts w:ascii="Times New Roman" w:eastAsia="Times New Roman" w:hAnsi="Times New Roman" w:cs="Times New Roman"/>
          <w:sz w:val="24"/>
          <w:szCs w:val="24"/>
          <w:lang w:eastAsia="es-ES"/>
        </w:rPr>
      </w:pPr>
      <w:r>
        <w:br w:type="page"/>
      </w:r>
    </w:p>
    <w:p w14:paraId="42E859CB" w14:textId="77777777" w:rsidR="00F64776" w:rsidRDefault="00F64776" w:rsidP="00F64776">
      <w:pPr>
        <w:pStyle w:val="TtuloResolucin"/>
      </w:pPr>
      <w:bookmarkStart w:id="438" w:name="AUTO_2023_653"/>
      <w:r>
        <w:t>AUTO 653/2023, de 11 de diciembre de 2023</w:t>
      </w:r>
    </w:p>
    <w:bookmarkEnd w:id="438"/>
    <w:p w14:paraId="17CB4DAD" w14:textId="77777777" w:rsidR="00F64776" w:rsidRDefault="00F64776" w:rsidP="00F64776">
      <w:pPr>
        <w:pStyle w:val="TtuloResolucin"/>
      </w:pPr>
      <w:r>
        <w:t>Sección Tercera</w:t>
      </w:r>
    </w:p>
    <w:p w14:paraId="0B7F33D0" w14:textId="77777777" w:rsidR="00F64776" w:rsidRDefault="00F64776" w:rsidP="00F64776">
      <w:pPr>
        <w:pStyle w:val="TextoNormalCentrado"/>
      </w:pPr>
      <w:r>
        <w:t>ECLI:ES:TC:2023:653A</w:t>
      </w:r>
    </w:p>
    <w:p w14:paraId="6E53EB92" w14:textId="2481329B" w:rsidR="00F64776" w:rsidRDefault="00F64776" w:rsidP="00F64776">
      <w:pPr>
        <w:pStyle w:val="TextoNormalCentrado"/>
      </w:pPr>
    </w:p>
    <w:p w14:paraId="42DA386C" w14:textId="77777777" w:rsidR="00F64776" w:rsidRDefault="00F64776" w:rsidP="00F64776">
      <w:pPr>
        <w:pStyle w:val="SntesisDescriptiva"/>
      </w:pPr>
      <w:r>
        <w:t>Excms. Srs. doña Inmaculada Montalbán Huertas y doña Laura Díez Bueso.</w:t>
      </w:r>
    </w:p>
    <w:p w14:paraId="0A433CF4" w14:textId="508614D6" w:rsidR="00F64776" w:rsidRDefault="00F64776" w:rsidP="00F64776">
      <w:pPr>
        <w:pStyle w:val="SntesisDescriptiva"/>
      </w:pPr>
    </w:p>
    <w:p w14:paraId="29C45006" w14:textId="77777777" w:rsidR="00F64776" w:rsidRDefault="00F64776" w:rsidP="00F64776">
      <w:pPr>
        <w:pStyle w:val="SntesisDescriptiva"/>
      </w:pPr>
      <w:r>
        <w:t>Acepta una abstención en el recurso de amparo 6860-2022, promovido en proceso contencioso administrativo.</w:t>
      </w:r>
    </w:p>
    <w:p w14:paraId="40DD5FE2" w14:textId="07B444E9" w:rsidR="00F64776" w:rsidRDefault="00F64776" w:rsidP="00F64776">
      <w:pPr>
        <w:pStyle w:val="SntesisDescriptiva"/>
      </w:pPr>
    </w:p>
    <w:p w14:paraId="62075546" w14:textId="77777777" w:rsidR="00F64776" w:rsidRDefault="00F64776" w:rsidP="00F64776">
      <w:pPr>
        <w:pStyle w:val="SntesisDescriptiva"/>
      </w:pPr>
    </w:p>
    <w:p w14:paraId="3871248C" w14:textId="77777777" w:rsidR="00F64776" w:rsidRDefault="00F64776" w:rsidP="00F64776">
      <w:pPr>
        <w:pStyle w:val="SntesisDescriptiva"/>
      </w:pPr>
    </w:p>
    <w:p w14:paraId="44F6574D" w14:textId="77777777" w:rsidR="00F64776" w:rsidRDefault="00F64776" w:rsidP="00F64776">
      <w:pPr>
        <w:pStyle w:val="TextoNormalNegritaCentrado"/>
      </w:pPr>
      <w:r>
        <w:t>AUTO</w:t>
      </w:r>
    </w:p>
    <w:p w14:paraId="43D0B27D" w14:textId="385C38A8" w:rsidR="00F64776" w:rsidRDefault="00F64776" w:rsidP="00F64776">
      <w:pPr>
        <w:pStyle w:val="TextoNormalNegritaCentrado"/>
      </w:pPr>
    </w:p>
    <w:p w14:paraId="055BD192" w14:textId="77777777" w:rsidR="00F64776" w:rsidRDefault="00F64776" w:rsidP="00F64776">
      <w:pPr>
        <w:pStyle w:val="TextoNormalNegritaCentrado"/>
        <w:keepNext/>
      </w:pPr>
      <w:r>
        <w:t>I. Antecedentes</w:t>
      </w:r>
    </w:p>
    <w:p w14:paraId="238E837E" w14:textId="2D573367" w:rsidR="00F64776" w:rsidRDefault="00F64776" w:rsidP="00F64776">
      <w:pPr>
        <w:pStyle w:val="TextoNormalNegritaCentrado"/>
        <w:keepNext/>
      </w:pPr>
    </w:p>
    <w:p w14:paraId="3E529B8A" w14:textId="7F369153" w:rsidR="00F64776" w:rsidRDefault="00F64776" w:rsidP="00F64776">
      <w:pPr>
        <w:pStyle w:val="TextoNormal"/>
      </w:pPr>
      <w:r w:rsidRPr="00F64776">
        <w:rPr>
          <w:rStyle w:val="NumeroAFNegritaCaracter"/>
        </w:rPr>
        <w:t>1</w:t>
      </w:r>
      <w:r>
        <w:t>. Mediante escrito registrado en este tribunal el 21 de octubre de 2022, el procurador de los tribunales don Federico Pinilla Romeo, en nombre y representación de la entidad Mantenimiento y Montajes Industriales S.A., y bajo la dirección del letrado don Nicolás González-Deleito Domínguez, formuló demanda de amparo contra la providencia de la Sala de lo Contencioso-Administrativo del Tribunal Supremo, en el recurso de casación núm. 4475-2021.</w:t>
      </w:r>
    </w:p>
    <w:p w14:paraId="15726294" w14:textId="77777777" w:rsidR="00F64776" w:rsidRDefault="00F64776" w:rsidP="00F64776">
      <w:pPr>
        <w:pStyle w:val="TextoNormal"/>
      </w:pPr>
    </w:p>
    <w:p w14:paraId="0A1A592B" w14:textId="0F8C3DEA" w:rsidR="00F64776" w:rsidRDefault="00F64776" w:rsidP="00F64776">
      <w:pPr>
        <w:pStyle w:val="TextoNormal"/>
      </w:pPr>
      <w:r w:rsidRPr="00F64776">
        <w:rPr>
          <w:rStyle w:val="NumeroAFNegritaCaracter"/>
        </w:rPr>
        <w:t>2</w:t>
      </w:r>
      <w:r>
        <w:t>. Por escrito de 5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56DB5B82" w14:textId="77777777" w:rsidR="00F64776" w:rsidRDefault="00F64776" w:rsidP="00F64776">
      <w:pPr>
        <w:pStyle w:val="TextoNormal"/>
      </w:pPr>
    </w:p>
    <w:p w14:paraId="7C430E9A" w14:textId="77777777" w:rsidR="00F64776" w:rsidRDefault="00F64776" w:rsidP="00F64776">
      <w:pPr>
        <w:pStyle w:val="TextoNormalNegritaCentrado"/>
        <w:keepNext/>
      </w:pPr>
      <w:r>
        <w:t>II. Fundamentos jurídicos</w:t>
      </w:r>
    </w:p>
    <w:p w14:paraId="4B5177CC" w14:textId="0F6DA441" w:rsidR="00F64776" w:rsidRDefault="00F64776" w:rsidP="00F64776">
      <w:pPr>
        <w:pStyle w:val="TextoNormalNegritaCentrado"/>
        <w:keepNext/>
      </w:pPr>
    </w:p>
    <w:p w14:paraId="1888F93B" w14:textId="5160627A"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3FA6205E" w14:textId="77777777" w:rsidR="00F64776" w:rsidRDefault="00F64776" w:rsidP="00F64776">
      <w:pPr>
        <w:pStyle w:val="TextoNormal"/>
      </w:pPr>
    </w:p>
    <w:p w14:paraId="754304A5" w14:textId="77777777" w:rsidR="00F64776" w:rsidRDefault="00F64776" w:rsidP="00F64776">
      <w:pPr>
        <w:pStyle w:val="TextoNormal"/>
      </w:pPr>
      <w:r>
        <w:t>Por lo expuesto, la Sección</w:t>
      </w:r>
    </w:p>
    <w:p w14:paraId="737623B7" w14:textId="16452256" w:rsidR="00F64776" w:rsidRDefault="00F64776" w:rsidP="00F64776">
      <w:pPr>
        <w:pStyle w:val="TextoNormal"/>
      </w:pPr>
    </w:p>
    <w:p w14:paraId="1619B34E" w14:textId="77777777" w:rsidR="00F64776" w:rsidRDefault="00F64776" w:rsidP="00F64776">
      <w:pPr>
        <w:pStyle w:val="TextoNormalCentrado"/>
      </w:pPr>
      <w:r>
        <w:t>ACUERDA</w:t>
      </w:r>
    </w:p>
    <w:p w14:paraId="60F4A511" w14:textId="246D7477" w:rsidR="00F64776" w:rsidRDefault="00F64776" w:rsidP="00F64776">
      <w:pPr>
        <w:pStyle w:val="TextoNormalCentrado"/>
      </w:pPr>
    </w:p>
    <w:p w14:paraId="303409E3" w14:textId="576C0E19" w:rsidR="00F64776" w:rsidRDefault="00F64776" w:rsidP="00F64776">
      <w:pPr>
        <w:pStyle w:val="TextoNormal"/>
      </w:pPr>
      <w:r>
        <w:t>Estimar justificada la abstención formulada por el magistrado don César Tolosa Tribiño en el recurso de amparo núm. 6860-2022 y apartarle definitivamente del conocimiento del referido recurso y de todas sus incidencias.</w:t>
      </w:r>
    </w:p>
    <w:p w14:paraId="4527CC0F" w14:textId="77777777" w:rsidR="00F64776" w:rsidRDefault="00F64776" w:rsidP="00F64776">
      <w:pPr>
        <w:pStyle w:val="TextoNormal"/>
      </w:pPr>
    </w:p>
    <w:p w14:paraId="01A76F28" w14:textId="77777777" w:rsidR="00F64776" w:rsidRDefault="00F64776" w:rsidP="00F64776">
      <w:pPr>
        <w:pStyle w:val="TextoNormal"/>
      </w:pPr>
      <w:r>
        <w:t>Madrid, a once de diciembre de dos mil veintitrés.</w:t>
      </w:r>
    </w:p>
    <w:p w14:paraId="70487F6F" w14:textId="284DB681" w:rsidR="00F64776" w:rsidRDefault="00F64776">
      <w:pPr>
        <w:spacing w:after="160" w:line="278" w:lineRule="auto"/>
        <w:rPr>
          <w:rFonts w:ascii="Times New Roman" w:eastAsia="Times New Roman" w:hAnsi="Times New Roman" w:cs="Times New Roman"/>
          <w:sz w:val="24"/>
          <w:szCs w:val="24"/>
          <w:lang w:eastAsia="es-ES"/>
        </w:rPr>
      </w:pPr>
      <w:r>
        <w:br w:type="page"/>
      </w:r>
    </w:p>
    <w:p w14:paraId="546D5D6B" w14:textId="77777777" w:rsidR="00F64776" w:rsidRDefault="00F64776" w:rsidP="00F64776">
      <w:pPr>
        <w:pStyle w:val="TtuloResolucin"/>
      </w:pPr>
      <w:bookmarkStart w:id="439" w:name="AUTO_2023_654"/>
      <w:r>
        <w:t>AUTO 654/2023, de 11 de diciembre de 2023</w:t>
      </w:r>
    </w:p>
    <w:bookmarkEnd w:id="439"/>
    <w:p w14:paraId="399E52A2" w14:textId="77777777" w:rsidR="00F64776" w:rsidRDefault="00F64776" w:rsidP="00F64776">
      <w:pPr>
        <w:pStyle w:val="TtuloResolucin"/>
      </w:pPr>
      <w:r>
        <w:t>Sección Tercera</w:t>
      </w:r>
    </w:p>
    <w:p w14:paraId="100DF08B" w14:textId="77777777" w:rsidR="00F64776" w:rsidRDefault="00F64776" w:rsidP="00F64776">
      <w:pPr>
        <w:pStyle w:val="TextoNormalCentrado"/>
      </w:pPr>
      <w:r>
        <w:t>ECLI:ES:TC:2023:654A</w:t>
      </w:r>
    </w:p>
    <w:p w14:paraId="47C39F67" w14:textId="36C71F71" w:rsidR="00F64776" w:rsidRDefault="00F64776" w:rsidP="00F64776">
      <w:pPr>
        <w:pStyle w:val="TextoNormalCentrado"/>
      </w:pPr>
    </w:p>
    <w:p w14:paraId="462A7591" w14:textId="77777777" w:rsidR="00F64776" w:rsidRDefault="00F64776" w:rsidP="00F64776">
      <w:pPr>
        <w:pStyle w:val="SntesisDescriptiva"/>
      </w:pPr>
      <w:r>
        <w:t>Excms. Srs. doña Inmaculada Montalbán Huertas y doña Laura Díez Bueso.</w:t>
      </w:r>
    </w:p>
    <w:p w14:paraId="3DC1C529" w14:textId="4DB57A87" w:rsidR="00F64776" w:rsidRDefault="00F64776" w:rsidP="00F64776">
      <w:pPr>
        <w:pStyle w:val="SntesisDescriptiva"/>
      </w:pPr>
    </w:p>
    <w:p w14:paraId="40DBD297" w14:textId="77777777" w:rsidR="00F64776" w:rsidRDefault="00F64776" w:rsidP="00F64776">
      <w:pPr>
        <w:pStyle w:val="SntesisDescriptiva"/>
      </w:pPr>
      <w:r>
        <w:t>Acepta una abstención en el recurso de amparo 7172-2022, promovido por Acción Comercial Outsourcing, S.L., en proceso contencioso administrativo.</w:t>
      </w:r>
    </w:p>
    <w:p w14:paraId="08BC1F88" w14:textId="341265E5" w:rsidR="00F64776" w:rsidRDefault="00F64776" w:rsidP="00F64776">
      <w:pPr>
        <w:pStyle w:val="SntesisDescriptiva"/>
      </w:pPr>
    </w:p>
    <w:p w14:paraId="1F3618EF" w14:textId="77777777" w:rsidR="00F64776" w:rsidRDefault="00F64776" w:rsidP="00F64776">
      <w:pPr>
        <w:pStyle w:val="SntesisDescriptiva"/>
      </w:pPr>
    </w:p>
    <w:p w14:paraId="0B3028BD" w14:textId="77777777" w:rsidR="00F64776" w:rsidRDefault="00F64776" w:rsidP="00F64776">
      <w:pPr>
        <w:pStyle w:val="SntesisDescriptiva"/>
      </w:pPr>
    </w:p>
    <w:p w14:paraId="028C9641" w14:textId="77777777" w:rsidR="00F64776" w:rsidRDefault="00F64776" w:rsidP="00F64776">
      <w:pPr>
        <w:pStyle w:val="TextoNormalNegritaCentrado"/>
      </w:pPr>
      <w:r>
        <w:t>AUTO</w:t>
      </w:r>
    </w:p>
    <w:p w14:paraId="36521B22" w14:textId="06E7B80E" w:rsidR="00F64776" w:rsidRDefault="00F64776" w:rsidP="00F64776">
      <w:pPr>
        <w:pStyle w:val="TextoNormalNegritaCentrado"/>
      </w:pPr>
    </w:p>
    <w:p w14:paraId="101CEB0F" w14:textId="77777777" w:rsidR="00F64776" w:rsidRDefault="00F64776" w:rsidP="00F64776">
      <w:pPr>
        <w:pStyle w:val="TextoNormalNegritaCentrado"/>
        <w:keepNext/>
      </w:pPr>
      <w:r>
        <w:t>I. Antecedentes</w:t>
      </w:r>
    </w:p>
    <w:p w14:paraId="36CE6114" w14:textId="266F1F9F" w:rsidR="00F64776" w:rsidRDefault="00F64776" w:rsidP="00F64776">
      <w:pPr>
        <w:pStyle w:val="TextoNormalNegritaCentrado"/>
        <w:keepNext/>
      </w:pPr>
    </w:p>
    <w:p w14:paraId="52847145" w14:textId="42B2EFA3" w:rsidR="00F64776" w:rsidRDefault="00F64776" w:rsidP="00F64776">
      <w:pPr>
        <w:pStyle w:val="TextoNormal"/>
      </w:pPr>
      <w:r w:rsidRPr="00F64776">
        <w:rPr>
          <w:rStyle w:val="NumeroAFNegritaCaracter"/>
        </w:rPr>
        <w:t>1</w:t>
      </w:r>
      <w:r>
        <w:t>. Mediante escrito registrado en este tribunal el 3 de noviembre de 2022, el procurador de los tribunales don Ramiro Reynolds Martínez, en nombre y representación de Acción Comercial Outsourcing, S.L., y bajo la dirección del letrado don Marco Antonio Rodrigo Ruiz, interpuso demanda de amparo contra providencias de la Sala de lo Contencioso-Administrativo del Tribunal Supremo en recurso de casación 8593-2021.</w:t>
      </w:r>
    </w:p>
    <w:p w14:paraId="493146F9" w14:textId="77777777" w:rsidR="00F64776" w:rsidRDefault="00F64776" w:rsidP="00F64776">
      <w:pPr>
        <w:pStyle w:val="TextoNormal"/>
      </w:pPr>
    </w:p>
    <w:p w14:paraId="03A5EDDC" w14:textId="71ABCD59" w:rsidR="00F64776" w:rsidRDefault="00F64776" w:rsidP="00F64776">
      <w:pPr>
        <w:pStyle w:val="TextoNormal"/>
      </w:pPr>
      <w:r w:rsidRPr="00F64776">
        <w:rPr>
          <w:rStyle w:val="NumeroAFNegritaCaracter"/>
        </w:rPr>
        <w:t>2</w:t>
      </w:r>
      <w:r>
        <w:t>. Por escrito de 12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63EED0D9" w14:textId="77777777" w:rsidR="00F64776" w:rsidRDefault="00F64776" w:rsidP="00F64776">
      <w:pPr>
        <w:pStyle w:val="TextoNormal"/>
      </w:pPr>
    </w:p>
    <w:p w14:paraId="1025F4C3" w14:textId="77777777" w:rsidR="00F64776" w:rsidRDefault="00F64776" w:rsidP="00F64776">
      <w:pPr>
        <w:pStyle w:val="TextoNormalNegritaCentrado"/>
        <w:keepNext/>
      </w:pPr>
      <w:r>
        <w:t>II. Fundamentos jurídicos</w:t>
      </w:r>
    </w:p>
    <w:p w14:paraId="2CA42E49" w14:textId="31908408" w:rsidR="00F64776" w:rsidRDefault="00F64776" w:rsidP="00F64776">
      <w:pPr>
        <w:pStyle w:val="TextoNormalNegritaCentrado"/>
        <w:keepNext/>
      </w:pPr>
    </w:p>
    <w:p w14:paraId="54812897" w14:textId="4A67322F"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4FECA4C3" w14:textId="77777777" w:rsidR="00F64776" w:rsidRDefault="00F64776" w:rsidP="00F64776">
      <w:pPr>
        <w:pStyle w:val="TextoNormal"/>
      </w:pPr>
    </w:p>
    <w:p w14:paraId="3026DB3B" w14:textId="77777777" w:rsidR="00F64776" w:rsidRDefault="00F64776" w:rsidP="00F64776">
      <w:pPr>
        <w:pStyle w:val="TextoNormal"/>
      </w:pPr>
      <w:r>
        <w:t>Por lo expuesto, la Sección</w:t>
      </w:r>
    </w:p>
    <w:p w14:paraId="0C8B9566" w14:textId="61EF308F" w:rsidR="00F64776" w:rsidRDefault="00F64776" w:rsidP="00F64776">
      <w:pPr>
        <w:pStyle w:val="TextoNormal"/>
      </w:pPr>
    </w:p>
    <w:p w14:paraId="32382408" w14:textId="77777777" w:rsidR="00F64776" w:rsidRDefault="00F64776" w:rsidP="00F64776">
      <w:pPr>
        <w:pStyle w:val="TextoNormalCentrado"/>
      </w:pPr>
      <w:r>
        <w:t>ACUERDA</w:t>
      </w:r>
    </w:p>
    <w:p w14:paraId="11508E26" w14:textId="5A6A11C2" w:rsidR="00F64776" w:rsidRDefault="00F64776" w:rsidP="00F64776">
      <w:pPr>
        <w:pStyle w:val="TextoNormalCentrado"/>
      </w:pPr>
    </w:p>
    <w:p w14:paraId="50C8DE98" w14:textId="4510409D" w:rsidR="00F64776" w:rsidRDefault="00F64776" w:rsidP="00F64776">
      <w:pPr>
        <w:pStyle w:val="TextoNormal"/>
      </w:pPr>
      <w:r>
        <w:t>Estimar justificada la abstención formulada por el magistrado don César Tolosa Tribiño en el recurso de amparo núm. 7172-2022 y apartarle definitivamente del conocimiento del referido recurso y de todas sus incidencias.</w:t>
      </w:r>
    </w:p>
    <w:p w14:paraId="579BD80E" w14:textId="77777777" w:rsidR="00F64776" w:rsidRDefault="00F64776" w:rsidP="00F64776">
      <w:pPr>
        <w:pStyle w:val="TextoNormal"/>
      </w:pPr>
    </w:p>
    <w:p w14:paraId="29F89B6E" w14:textId="77777777" w:rsidR="00F64776" w:rsidRDefault="00F64776" w:rsidP="00F64776">
      <w:pPr>
        <w:pStyle w:val="TextoNormal"/>
      </w:pPr>
      <w:r>
        <w:t>Madrid, a once de diciembre de dos mil veintitrés.</w:t>
      </w:r>
    </w:p>
    <w:p w14:paraId="6F3DEA3E" w14:textId="35503E1E" w:rsidR="00F64776" w:rsidRDefault="00F64776">
      <w:pPr>
        <w:spacing w:after="160" w:line="278" w:lineRule="auto"/>
        <w:rPr>
          <w:rFonts w:ascii="Times New Roman" w:eastAsia="Times New Roman" w:hAnsi="Times New Roman" w:cs="Times New Roman"/>
          <w:sz w:val="24"/>
          <w:szCs w:val="24"/>
          <w:lang w:eastAsia="es-ES"/>
        </w:rPr>
      </w:pPr>
      <w:r>
        <w:br w:type="page"/>
      </w:r>
    </w:p>
    <w:p w14:paraId="0EDCF3B2" w14:textId="77777777" w:rsidR="00F64776" w:rsidRDefault="00F64776" w:rsidP="00F64776">
      <w:pPr>
        <w:pStyle w:val="TtuloResolucin"/>
      </w:pPr>
      <w:bookmarkStart w:id="440" w:name="AUTO_2023_655"/>
      <w:r>
        <w:t>AUTO 655/2023, de 11 de diciembre de 2023</w:t>
      </w:r>
    </w:p>
    <w:bookmarkEnd w:id="440"/>
    <w:p w14:paraId="7B4326CE" w14:textId="77777777" w:rsidR="00F64776" w:rsidRDefault="00F64776" w:rsidP="00F64776">
      <w:pPr>
        <w:pStyle w:val="TtuloResolucin"/>
      </w:pPr>
      <w:r>
        <w:t>Sección Tercera</w:t>
      </w:r>
    </w:p>
    <w:p w14:paraId="5C5ED032" w14:textId="77777777" w:rsidR="00F64776" w:rsidRDefault="00F64776" w:rsidP="00F64776">
      <w:pPr>
        <w:pStyle w:val="TextoNormalCentrado"/>
      </w:pPr>
      <w:r>
        <w:t>ECLI:ES:TC:2023:655A</w:t>
      </w:r>
    </w:p>
    <w:p w14:paraId="31832E85" w14:textId="109C6F19" w:rsidR="00F64776" w:rsidRDefault="00F64776" w:rsidP="00F64776">
      <w:pPr>
        <w:pStyle w:val="TextoNormalCentrado"/>
      </w:pPr>
    </w:p>
    <w:p w14:paraId="0E661926" w14:textId="77777777" w:rsidR="00F64776" w:rsidRDefault="00F64776" w:rsidP="00F64776">
      <w:pPr>
        <w:pStyle w:val="SntesisDescriptiva"/>
      </w:pPr>
      <w:r>
        <w:t>Excms. Srs. doña Inmaculada Montalbán Huertas y doña Laura Díez Bueso.</w:t>
      </w:r>
    </w:p>
    <w:p w14:paraId="39C797D8" w14:textId="3918FB1B" w:rsidR="00F64776" w:rsidRDefault="00F64776" w:rsidP="00F64776">
      <w:pPr>
        <w:pStyle w:val="SntesisDescriptiva"/>
      </w:pPr>
    </w:p>
    <w:p w14:paraId="51428FC3" w14:textId="77777777" w:rsidR="00F64776" w:rsidRDefault="00F64776" w:rsidP="00F64776">
      <w:pPr>
        <w:pStyle w:val="SntesisDescriptiva"/>
      </w:pPr>
      <w:r>
        <w:t>Acepta una abstención en el recurso de amparo 7262-2022, promovido en proceso contencioso administrativo.</w:t>
      </w:r>
    </w:p>
    <w:p w14:paraId="796F4E4E" w14:textId="3E1BF2E8" w:rsidR="00F64776" w:rsidRDefault="00F64776" w:rsidP="00F64776">
      <w:pPr>
        <w:pStyle w:val="SntesisDescriptiva"/>
      </w:pPr>
    </w:p>
    <w:p w14:paraId="5BBF810F" w14:textId="77777777" w:rsidR="00F64776" w:rsidRDefault="00F64776" w:rsidP="00F64776">
      <w:pPr>
        <w:pStyle w:val="SntesisDescriptiva"/>
      </w:pPr>
    </w:p>
    <w:p w14:paraId="5BDFC41B" w14:textId="77777777" w:rsidR="00F64776" w:rsidRDefault="00F64776" w:rsidP="00F64776">
      <w:pPr>
        <w:pStyle w:val="SntesisDescriptiva"/>
      </w:pPr>
    </w:p>
    <w:p w14:paraId="016C9A8E" w14:textId="77777777" w:rsidR="00F64776" w:rsidRDefault="00F64776" w:rsidP="00F64776">
      <w:pPr>
        <w:pStyle w:val="TextoNormalNegritaCentrado"/>
      </w:pPr>
      <w:r>
        <w:t>AUTO</w:t>
      </w:r>
    </w:p>
    <w:p w14:paraId="6AA7CEC1" w14:textId="42B3A924" w:rsidR="00F64776" w:rsidRDefault="00F64776" w:rsidP="00F64776">
      <w:pPr>
        <w:pStyle w:val="TextoNormalNegritaCentrado"/>
      </w:pPr>
    </w:p>
    <w:p w14:paraId="612F15E9" w14:textId="77777777" w:rsidR="00F64776" w:rsidRDefault="00F64776" w:rsidP="00F64776">
      <w:pPr>
        <w:pStyle w:val="TextoNormalNegritaCentrado"/>
        <w:keepNext/>
      </w:pPr>
      <w:r>
        <w:t>I. Antecedentes</w:t>
      </w:r>
    </w:p>
    <w:p w14:paraId="400851A4" w14:textId="1A30E788" w:rsidR="00F64776" w:rsidRDefault="00F64776" w:rsidP="00F64776">
      <w:pPr>
        <w:pStyle w:val="TextoNormalNegritaCentrado"/>
        <w:keepNext/>
      </w:pPr>
    </w:p>
    <w:p w14:paraId="1A9E7AB1" w14:textId="3B9052BA" w:rsidR="00F64776" w:rsidRDefault="00F64776" w:rsidP="00F64776">
      <w:pPr>
        <w:pStyle w:val="TextoNormal"/>
      </w:pPr>
      <w:r w:rsidRPr="00F64776">
        <w:rPr>
          <w:rStyle w:val="NumeroAFNegritaCaracter"/>
        </w:rPr>
        <w:t>1</w:t>
      </w:r>
      <w:r>
        <w:t>. Mediante escrito registrado en este tribunal el 7 de noviembre de 2022, la procuradora de los tribunales doña Gloria María Calderón Duque, en nombre y representación de don Pablo Iván Gutiérrez Ferrero y bajo la dirección de la letrada doña María José Salgado Lanzós, formuló demanda de amparo contra la providencia de la Sala de lo Contencioso-Administrativo del Tribunal Supremo, en el recurso de casación núm. 6286-2021.</w:t>
      </w:r>
    </w:p>
    <w:p w14:paraId="02C24A1F" w14:textId="77777777" w:rsidR="00F64776" w:rsidRDefault="00F64776" w:rsidP="00F64776">
      <w:pPr>
        <w:pStyle w:val="TextoNormal"/>
      </w:pPr>
    </w:p>
    <w:p w14:paraId="56F5FC57" w14:textId="31607A59" w:rsidR="00F64776" w:rsidRDefault="00F64776" w:rsidP="00F64776">
      <w:pPr>
        <w:pStyle w:val="TextoNormal"/>
      </w:pPr>
      <w:r w:rsidRPr="00F64776">
        <w:rPr>
          <w:rStyle w:val="NumeroAFNegritaCaracter"/>
        </w:rPr>
        <w:t>2</w:t>
      </w:r>
      <w:r>
        <w:t>. Por escrito de 12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56F3D86C" w14:textId="77777777" w:rsidR="00F64776" w:rsidRDefault="00F64776" w:rsidP="00F64776">
      <w:pPr>
        <w:pStyle w:val="TextoNormal"/>
      </w:pPr>
    </w:p>
    <w:p w14:paraId="4E7425E9" w14:textId="77777777" w:rsidR="00F64776" w:rsidRDefault="00F64776" w:rsidP="00F64776">
      <w:pPr>
        <w:pStyle w:val="TextoNormalNegritaCentrado"/>
        <w:keepNext/>
      </w:pPr>
      <w:r>
        <w:t>II. Fundamentos jurídicos</w:t>
      </w:r>
    </w:p>
    <w:p w14:paraId="36D053BB" w14:textId="71290A11" w:rsidR="00F64776" w:rsidRDefault="00F64776" w:rsidP="00F64776">
      <w:pPr>
        <w:pStyle w:val="TextoNormalNegritaCentrado"/>
        <w:keepNext/>
      </w:pPr>
    </w:p>
    <w:p w14:paraId="1A10C29A" w14:textId="5BE31413"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0014B220" w14:textId="77777777" w:rsidR="00F64776" w:rsidRDefault="00F64776" w:rsidP="00F64776">
      <w:pPr>
        <w:pStyle w:val="TextoNormal"/>
      </w:pPr>
    </w:p>
    <w:p w14:paraId="65565DE2" w14:textId="77777777" w:rsidR="00F64776" w:rsidRDefault="00F64776" w:rsidP="00F64776">
      <w:pPr>
        <w:pStyle w:val="TextoNormal"/>
      </w:pPr>
      <w:r>
        <w:t>Por lo expuesto, la Sección</w:t>
      </w:r>
    </w:p>
    <w:p w14:paraId="2CF5B2E2" w14:textId="68DC452A" w:rsidR="00F64776" w:rsidRDefault="00F64776" w:rsidP="00F64776">
      <w:pPr>
        <w:pStyle w:val="TextoNormal"/>
      </w:pPr>
    </w:p>
    <w:p w14:paraId="703A32C7" w14:textId="77777777" w:rsidR="00F64776" w:rsidRDefault="00F64776" w:rsidP="00F64776">
      <w:pPr>
        <w:pStyle w:val="TextoNormalCentrado"/>
      </w:pPr>
      <w:r>
        <w:t>ACUERDA</w:t>
      </w:r>
    </w:p>
    <w:p w14:paraId="72B9410B" w14:textId="48012D78" w:rsidR="00F64776" w:rsidRDefault="00F64776" w:rsidP="00F64776">
      <w:pPr>
        <w:pStyle w:val="TextoNormalCentrado"/>
      </w:pPr>
    </w:p>
    <w:p w14:paraId="1653ABB9" w14:textId="22EF9E58" w:rsidR="00F64776" w:rsidRDefault="00F64776" w:rsidP="00F64776">
      <w:pPr>
        <w:pStyle w:val="TextoNormal"/>
      </w:pPr>
      <w:r>
        <w:t>Estimar justificada la abstención formulada por el magistrado don César Tolosa Tribiño en el recurso de amparo núm. 7262-2022 y apartarle definitivamente del conocimiento del referido recurso y de todas sus incidencias.</w:t>
      </w:r>
    </w:p>
    <w:p w14:paraId="03176B0E" w14:textId="77777777" w:rsidR="00F64776" w:rsidRDefault="00F64776" w:rsidP="00F64776">
      <w:pPr>
        <w:pStyle w:val="TextoNormal"/>
      </w:pPr>
    </w:p>
    <w:p w14:paraId="77423B17" w14:textId="77777777" w:rsidR="00F64776" w:rsidRDefault="00F64776" w:rsidP="00F64776">
      <w:pPr>
        <w:pStyle w:val="TextoNormal"/>
      </w:pPr>
      <w:r>
        <w:t>Madrid, a once de diciembre de dos mil veintitrés.</w:t>
      </w:r>
    </w:p>
    <w:p w14:paraId="6C46D756" w14:textId="74BFE38B" w:rsidR="00F64776" w:rsidRDefault="00F64776">
      <w:pPr>
        <w:spacing w:after="160" w:line="278" w:lineRule="auto"/>
        <w:rPr>
          <w:rFonts w:ascii="Times New Roman" w:eastAsia="Times New Roman" w:hAnsi="Times New Roman" w:cs="Times New Roman"/>
          <w:sz w:val="24"/>
          <w:szCs w:val="24"/>
          <w:lang w:eastAsia="es-ES"/>
        </w:rPr>
      </w:pPr>
      <w:r>
        <w:br w:type="page"/>
      </w:r>
    </w:p>
    <w:p w14:paraId="0CAAAAE9" w14:textId="77777777" w:rsidR="00F64776" w:rsidRDefault="00F64776" w:rsidP="00F64776">
      <w:pPr>
        <w:pStyle w:val="TtuloResolucin"/>
      </w:pPr>
      <w:bookmarkStart w:id="441" w:name="AUTO_2023_656"/>
      <w:r>
        <w:t>AUTO 656/2023, de 11 de diciembre de 2023</w:t>
      </w:r>
    </w:p>
    <w:bookmarkEnd w:id="441"/>
    <w:p w14:paraId="67E2156E" w14:textId="77777777" w:rsidR="00F64776" w:rsidRDefault="00F64776" w:rsidP="00F64776">
      <w:pPr>
        <w:pStyle w:val="TtuloResolucin"/>
      </w:pPr>
      <w:r>
        <w:t>Sección Tercera</w:t>
      </w:r>
    </w:p>
    <w:p w14:paraId="24D58EDC" w14:textId="77777777" w:rsidR="00F64776" w:rsidRDefault="00F64776" w:rsidP="00F64776">
      <w:pPr>
        <w:pStyle w:val="TextoNormalCentrado"/>
      </w:pPr>
      <w:r>
        <w:t>ECLI:ES:TC:2023:656A</w:t>
      </w:r>
    </w:p>
    <w:p w14:paraId="779F83AC" w14:textId="3D8B5200" w:rsidR="00F64776" w:rsidRDefault="00F64776" w:rsidP="00F64776">
      <w:pPr>
        <w:pStyle w:val="TextoNormalCentrado"/>
      </w:pPr>
    </w:p>
    <w:p w14:paraId="2DD26CF1" w14:textId="77777777" w:rsidR="00F64776" w:rsidRDefault="00F64776" w:rsidP="00F64776">
      <w:pPr>
        <w:pStyle w:val="SntesisDescriptiva"/>
      </w:pPr>
      <w:r>
        <w:t>Excms. Srs. doña Inmaculada Montalbán Huertas y doña Laura Díez Bueso.</w:t>
      </w:r>
    </w:p>
    <w:p w14:paraId="761F02E7" w14:textId="1EBF5952" w:rsidR="00F64776" w:rsidRDefault="00F64776" w:rsidP="00F64776">
      <w:pPr>
        <w:pStyle w:val="SntesisDescriptiva"/>
      </w:pPr>
    </w:p>
    <w:p w14:paraId="21AFD814" w14:textId="77777777" w:rsidR="00F64776" w:rsidRDefault="00F64776" w:rsidP="00F64776">
      <w:pPr>
        <w:pStyle w:val="SntesisDescriptiva"/>
      </w:pPr>
      <w:r>
        <w:t>Acepta una abstención en el recurso de amparo 7281-2022, promovido en proceso contencioso administrativo.</w:t>
      </w:r>
    </w:p>
    <w:p w14:paraId="2A513373" w14:textId="082F828C" w:rsidR="00F64776" w:rsidRDefault="00F64776" w:rsidP="00F64776">
      <w:pPr>
        <w:pStyle w:val="SntesisDescriptiva"/>
      </w:pPr>
    </w:p>
    <w:p w14:paraId="33F3B420" w14:textId="77777777" w:rsidR="00F64776" w:rsidRDefault="00F64776" w:rsidP="00F64776">
      <w:pPr>
        <w:pStyle w:val="SntesisDescriptiva"/>
      </w:pPr>
    </w:p>
    <w:p w14:paraId="0ED507D7" w14:textId="77777777" w:rsidR="00F64776" w:rsidRDefault="00F64776" w:rsidP="00F64776">
      <w:pPr>
        <w:pStyle w:val="SntesisDescriptiva"/>
      </w:pPr>
    </w:p>
    <w:p w14:paraId="59DCC5C7" w14:textId="77777777" w:rsidR="00F64776" w:rsidRDefault="00F64776" w:rsidP="00F64776">
      <w:pPr>
        <w:pStyle w:val="TextoNormalNegritaCentrado"/>
      </w:pPr>
      <w:r>
        <w:t>AUTO</w:t>
      </w:r>
    </w:p>
    <w:p w14:paraId="12DBA862" w14:textId="0FD78382" w:rsidR="00F64776" w:rsidRDefault="00F64776" w:rsidP="00F64776">
      <w:pPr>
        <w:pStyle w:val="TextoNormalNegritaCentrado"/>
      </w:pPr>
    </w:p>
    <w:p w14:paraId="749D56FA" w14:textId="77777777" w:rsidR="00F64776" w:rsidRDefault="00F64776" w:rsidP="00F64776">
      <w:pPr>
        <w:pStyle w:val="TextoNormalNegritaCentrado"/>
        <w:keepNext/>
      </w:pPr>
      <w:r>
        <w:t>I. Antecedentes</w:t>
      </w:r>
    </w:p>
    <w:p w14:paraId="483DFA05" w14:textId="0CAD6F8E" w:rsidR="00F64776" w:rsidRDefault="00F64776" w:rsidP="00F64776">
      <w:pPr>
        <w:pStyle w:val="TextoNormalNegritaCentrado"/>
        <w:keepNext/>
      </w:pPr>
    </w:p>
    <w:p w14:paraId="6C34008F" w14:textId="6A32D1B4" w:rsidR="00F64776" w:rsidRDefault="00F64776" w:rsidP="00F64776">
      <w:pPr>
        <w:pStyle w:val="TextoNormal"/>
      </w:pPr>
      <w:r w:rsidRPr="00F64776">
        <w:rPr>
          <w:rStyle w:val="NumeroAFNegritaCaracter"/>
        </w:rPr>
        <w:t>1</w:t>
      </w:r>
      <w:r>
        <w:t>. Mediante escrito registrado en este Tribunal el 7 de noviembre de 2022, la procuradora de los tribunales doña María Soledad Castañeda González, en nombre y representación de doña Rocío Castillo Gómez y bajo la dirección del letrado don Lorenzo Guirado Galiana, interpuso demanda de amparo contra la providencia de 27 de octubre de 2022 de la Sección Primera de la Sala de lo Contencioso-Administrativo del Tribunal Supremo en recurso de casación núm. 2652-2022.</w:t>
      </w:r>
    </w:p>
    <w:p w14:paraId="3D36C25D" w14:textId="77777777" w:rsidR="00F64776" w:rsidRDefault="00F64776" w:rsidP="00F64776">
      <w:pPr>
        <w:pStyle w:val="TextoNormal"/>
      </w:pPr>
    </w:p>
    <w:p w14:paraId="2A3E73AB" w14:textId="3DBE1552" w:rsidR="00F64776" w:rsidRDefault="00F64776" w:rsidP="00F64776">
      <w:pPr>
        <w:pStyle w:val="TextoNormal"/>
      </w:pPr>
      <w:r w:rsidRPr="00F64776">
        <w:rPr>
          <w:rStyle w:val="NumeroAFNegritaCaracter"/>
        </w:rPr>
        <w:t>2</w:t>
      </w:r>
      <w:r>
        <w:t>. Por escrito de 5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27FBF463" w14:textId="77777777" w:rsidR="00F64776" w:rsidRDefault="00F64776" w:rsidP="00F64776">
      <w:pPr>
        <w:pStyle w:val="TextoNormal"/>
      </w:pPr>
    </w:p>
    <w:p w14:paraId="47E97A59" w14:textId="77777777" w:rsidR="00F64776" w:rsidRDefault="00F64776" w:rsidP="00F64776">
      <w:pPr>
        <w:pStyle w:val="TextoNormalNegritaCentrado"/>
        <w:keepNext/>
      </w:pPr>
      <w:r>
        <w:t>II. Fundamentos jurídicos</w:t>
      </w:r>
    </w:p>
    <w:p w14:paraId="030B6472" w14:textId="6719128C" w:rsidR="00F64776" w:rsidRDefault="00F64776" w:rsidP="00F64776">
      <w:pPr>
        <w:pStyle w:val="TextoNormalNegritaCentrado"/>
        <w:keepNext/>
      </w:pPr>
    </w:p>
    <w:p w14:paraId="352F413F" w14:textId="6118F87F"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69E1C3D0" w14:textId="77777777" w:rsidR="00F64776" w:rsidRDefault="00F64776" w:rsidP="00F64776">
      <w:pPr>
        <w:pStyle w:val="TextoNormal"/>
      </w:pPr>
    </w:p>
    <w:p w14:paraId="34D889B9" w14:textId="77777777" w:rsidR="00F64776" w:rsidRDefault="00F64776" w:rsidP="00F64776">
      <w:pPr>
        <w:pStyle w:val="TextoNormal"/>
      </w:pPr>
      <w:r>
        <w:t>Por lo expuesto, la Sección</w:t>
      </w:r>
    </w:p>
    <w:p w14:paraId="4F8427EB" w14:textId="1BFC3060" w:rsidR="00F64776" w:rsidRDefault="00F64776" w:rsidP="00F64776">
      <w:pPr>
        <w:pStyle w:val="TextoNormal"/>
      </w:pPr>
    </w:p>
    <w:p w14:paraId="7021AE77" w14:textId="77777777" w:rsidR="00F64776" w:rsidRDefault="00F64776" w:rsidP="00F64776">
      <w:pPr>
        <w:pStyle w:val="TextoNormalCentrado"/>
      </w:pPr>
      <w:r>
        <w:t>ACUERDA</w:t>
      </w:r>
    </w:p>
    <w:p w14:paraId="75B3CF85" w14:textId="0E2D04E6" w:rsidR="00F64776" w:rsidRDefault="00F64776" w:rsidP="00F64776">
      <w:pPr>
        <w:pStyle w:val="TextoNormalCentrado"/>
      </w:pPr>
    </w:p>
    <w:p w14:paraId="2D30AA3E" w14:textId="3EFFE623" w:rsidR="00F64776" w:rsidRDefault="00F64776" w:rsidP="00F64776">
      <w:pPr>
        <w:pStyle w:val="TextoNormal"/>
      </w:pPr>
      <w:r>
        <w:t>Estimar justificada la abstención formulada por el magistrado don César Tolosa Tribiño en el recurso de amparo núm. 7281-2022 y apartarle definitivamente del conocimiento del referido recurso y de todas sus incidencias.</w:t>
      </w:r>
    </w:p>
    <w:p w14:paraId="1F62D739" w14:textId="77777777" w:rsidR="00F64776" w:rsidRDefault="00F64776" w:rsidP="00F64776">
      <w:pPr>
        <w:pStyle w:val="TextoNormal"/>
      </w:pPr>
    </w:p>
    <w:p w14:paraId="1DA77746" w14:textId="77777777" w:rsidR="00F64776" w:rsidRDefault="00F64776" w:rsidP="00F64776">
      <w:pPr>
        <w:pStyle w:val="TextoNormal"/>
      </w:pPr>
      <w:r>
        <w:t>Madrid, a once de diciembre de dos mil veintitrés.</w:t>
      </w:r>
    </w:p>
    <w:p w14:paraId="1863F156" w14:textId="4D2E22F8" w:rsidR="00F64776" w:rsidRDefault="00F64776">
      <w:pPr>
        <w:spacing w:after="160" w:line="278" w:lineRule="auto"/>
        <w:rPr>
          <w:rFonts w:ascii="Times New Roman" w:eastAsia="Times New Roman" w:hAnsi="Times New Roman" w:cs="Times New Roman"/>
          <w:sz w:val="24"/>
          <w:szCs w:val="24"/>
          <w:lang w:eastAsia="es-ES"/>
        </w:rPr>
      </w:pPr>
      <w:r>
        <w:br w:type="page"/>
      </w:r>
    </w:p>
    <w:p w14:paraId="53A88C3E" w14:textId="77777777" w:rsidR="00F64776" w:rsidRDefault="00F64776" w:rsidP="00F64776">
      <w:pPr>
        <w:pStyle w:val="TtuloResolucin"/>
      </w:pPr>
      <w:bookmarkStart w:id="442" w:name="AUTO_2023_657"/>
      <w:r>
        <w:t>AUTO 657/2023, de 11 de diciembre de 2023</w:t>
      </w:r>
    </w:p>
    <w:bookmarkEnd w:id="442"/>
    <w:p w14:paraId="5B0F49D7" w14:textId="77777777" w:rsidR="00F64776" w:rsidRDefault="00F64776" w:rsidP="00F64776">
      <w:pPr>
        <w:pStyle w:val="TtuloResolucin"/>
      </w:pPr>
      <w:r>
        <w:t>Sección Tercera</w:t>
      </w:r>
    </w:p>
    <w:p w14:paraId="1A4BCA3D" w14:textId="77777777" w:rsidR="00F64776" w:rsidRDefault="00F64776" w:rsidP="00F64776">
      <w:pPr>
        <w:pStyle w:val="TextoNormalCentrado"/>
      </w:pPr>
      <w:r>
        <w:t>ECLI:ES:TC:2023:657A</w:t>
      </w:r>
    </w:p>
    <w:p w14:paraId="6AA80BD3" w14:textId="4BDA8C79" w:rsidR="00F64776" w:rsidRDefault="00F64776" w:rsidP="00F64776">
      <w:pPr>
        <w:pStyle w:val="TextoNormalCentrado"/>
      </w:pPr>
    </w:p>
    <w:p w14:paraId="72276940" w14:textId="77777777" w:rsidR="00F64776" w:rsidRDefault="00F64776" w:rsidP="00F64776">
      <w:pPr>
        <w:pStyle w:val="SntesisDescriptiva"/>
      </w:pPr>
      <w:r>
        <w:t>Excms. Srs. doña Inmaculada Montalbán Huertas y doña Laura Díez Bueso.</w:t>
      </w:r>
    </w:p>
    <w:p w14:paraId="6BDA4A87" w14:textId="306A1EAC" w:rsidR="00F64776" w:rsidRDefault="00F64776" w:rsidP="00F64776">
      <w:pPr>
        <w:pStyle w:val="SntesisDescriptiva"/>
      </w:pPr>
    </w:p>
    <w:p w14:paraId="610C595C" w14:textId="77777777" w:rsidR="00F64776" w:rsidRDefault="00F64776" w:rsidP="00F64776">
      <w:pPr>
        <w:pStyle w:val="SntesisDescriptiva"/>
      </w:pPr>
      <w:r>
        <w:t>Acepta una abstención en el recurso de amparo 7562-2022, promovido en proceso contencioso administrativo.</w:t>
      </w:r>
    </w:p>
    <w:p w14:paraId="464DA5F1" w14:textId="2BE3E671" w:rsidR="00F64776" w:rsidRDefault="00F64776" w:rsidP="00F64776">
      <w:pPr>
        <w:pStyle w:val="SntesisDescriptiva"/>
      </w:pPr>
    </w:p>
    <w:p w14:paraId="23DAC049" w14:textId="77777777" w:rsidR="00F64776" w:rsidRDefault="00F64776" w:rsidP="00F64776">
      <w:pPr>
        <w:pStyle w:val="SntesisDescriptiva"/>
      </w:pPr>
    </w:p>
    <w:p w14:paraId="5B98BE04" w14:textId="77777777" w:rsidR="00F64776" w:rsidRDefault="00F64776" w:rsidP="00F64776">
      <w:pPr>
        <w:pStyle w:val="SntesisDescriptiva"/>
      </w:pPr>
    </w:p>
    <w:p w14:paraId="022BD38F" w14:textId="77777777" w:rsidR="00F64776" w:rsidRDefault="00F64776" w:rsidP="00F64776">
      <w:pPr>
        <w:pStyle w:val="TextoNormalNegritaCentrado"/>
      </w:pPr>
      <w:r>
        <w:t>AUTO</w:t>
      </w:r>
    </w:p>
    <w:p w14:paraId="555B6924" w14:textId="2EDD7DB2" w:rsidR="00F64776" w:rsidRDefault="00F64776" w:rsidP="00F64776">
      <w:pPr>
        <w:pStyle w:val="TextoNormalNegritaCentrado"/>
      </w:pPr>
    </w:p>
    <w:p w14:paraId="6E03707A" w14:textId="77777777" w:rsidR="00F64776" w:rsidRDefault="00F64776" w:rsidP="00F64776">
      <w:pPr>
        <w:pStyle w:val="TextoNormalNegritaCentrado"/>
        <w:keepNext/>
      </w:pPr>
      <w:r>
        <w:t>I. Antecedentes</w:t>
      </w:r>
    </w:p>
    <w:p w14:paraId="374869AD" w14:textId="700AEBC2" w:rsidR="00F64776" w:rsidRDefault="00F64776" w:rsidP="00F64776">
      <w:pPr>
        <w:pStyle w:val="TextoNormalNegritaCentrado"/>
        <w:keepNext/>
      </w:pPr>
    </w:p>
    <w:p w14:paraId="382663F1" w14:textId="0BA79A0C" w:rsidR="00F64776" w:rsidRDefault="00F64776" w:rsidP="00F64776">
      <w:pPr>
        <w:pStyle w:val="TextoNormal"/>
      </w:pPr>
      <w:r w:rsidRPr="00F64776">
        <w:rPr>
          <w:rStyle w:val="NumeroAFNegritaCaracter"/>
        </w:rPr>
        <w:t>1</w:t>
      </w:r>
      <w:r>
        <w:t>. Mediante escrito registrado en este tribunal el 17 de noviembre de 2022, el procurador de los tribunales don Abelardo Miguel Rodríguez González, en nombre y representación de don Saliou Bah y bajo la dirección del letrado don Antonio Romero de Gracia, formuló demanda de amparo contra la providencia de la Sección Primera de la Sala de lo Contencioso-Administrativo del Tribunal Supremo, en el recurso de casación núm. 2148-2022.</w:t>
      </w:r>
    </w:p>
    <w:p w14:paraId="5DF4232A" w14:textId="77777777" w:rsidR="00F64776" w:rsidRDefault="00F64776" w:rsidP="00F64776">
      <w:pPr>
        <w:pStyle w:val="TextoNormal"/>
      </w:pPr>
    </w:p>
    <w:p w14:paraId="6B483760" w14:textId="19B27AA3" w:rsidR="00F64776" w:rsidRDefault="00F64776" w:rsidP="00F64776">
      <w:pPr>
        <w:pStyle w:val="TextoNormal"/>
      </w:pPr>
      <w:r w:rsidRPr="00F64776">
        <w:rPr>
          <w:rStyle w:val="NumeroAFNegritaCaracter"/>
        </w:rPr>
        <w:t>2</w:t>
      </w:r>
      <w:r>
        <w:t>. Por escrito de 12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729D5634" w14:textId="77777777" w:rsidR="00F64776" w:rsidRDefault="00F64776" w:rsidP="00F64776">
      <w:pPr>
        <w:pStyle w:val="TextoNormal"/>
      </w:pPr>
    </w:p>
    <w:p w14:paraId="0185A174" w14:textId="77777777" w:rsidR="00F64776" w:rsidRDefault="00F64776" w:rsidP="00F64776">
      <w:pPr>
        <w:pStyle w:val="TextoNormalNegritaCentrado"/>
        <w:keepNext/>
      </w:pPr>
      <w:r>
        <w:t>II. Fundamentos jurídicos</w:t>
      </w:r>
    </w:p>
    <w:p w14:paraId="53432374" w14:textId="51B4008A" w:rsidR="00F64776" w:rsidRDefault="00F64776" w:rsidP="00F64776">
      <w:pPr>
        <w:pStyle w:val="TextoNormalNegritaCentrado"/>
        <w:keepNext/>
      </w:pPr>
    </w:p>
    <w:p w14:paraId="3B091566" w14:textId="57786381"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2B9C15C9" w14:textId="77777777" w:rsidR="00F64776" w:rsidRDefault="00F64776" w:rsidP="00F64776">
      <w:pPr>
        <w:pStyle w:val="TextoNormal"/>
      </w:pPr>
    </w:p>
    <w:p w14:paraId="0F3A6908" w14:textId="77777777" w:rsidR="00F64776" w:rsidRDefault="00F64776" w:rsidP="00F64776">
      <w:pPr>
        <w:pStyle w:val="TextoNormal"/>
      </w:pPr>
      <w:r>
        <w:t>Por lo expuesto, la Sección</w:t>
      </w:r>
    </w:p>
    <w:p w14:paraId="7A015422" w14:textId="200587E0" w:rsidR="00F64776" w:rsidRDefault="00F64776" w:rsidP="00F64776">
      <w:pPr>
        <w:pStyle w:val="TextoNormal"/>
      </w:pPr>
    </w:p>
    <w:p w14:paraId="48E4286F" w14:textId="77777777" w:rsidR="00F64776" w:rsidRDefault="00F64776" w:rsidP="00F64776">
      <w:pPr>
        <w:pStyle w:val="TextoNormalCentrado"/>
      </w:pPr>
      <w:r>
        <w:t>ACUERDA</w:t>
      </w:r>
    </w:p>
    <w:p w14:paraId="106AE1A9" w14:textId="6F5FCA63" w:rsidR="00F64776" w:rsidRDefault="00F64776" w:rsidP="00F64776">
      <w:pPr>
        <w:pStyle w:val="TextoNormalCentrado"/>
      </w:pPr>
    </w:p>
    <w:p w14:paraId="2B7B1B85" w14:textId="2CDB7DD5" w:rsidR="00F64776" w:rsidRDefault="00F64776" w:rsidP="00F64776">
      <w:pPr>
        <w:pStyle w:val="TextoNormal"/>
      </w:pPr>
      <w:r>
        <w:t>Estimar justificada la abstención formulada por el magistrado don César Tolosa Tribiño en el recurso de amparo núm. 7562-2022 y apartarle definitivamente del conocimiento del referido recurso y de todas sus incidencias.</w:t>
      </w:r>
    </w:p>
    <w:p w14:paraId="22B6F43D" w14:textId="77777777" w:rsidR="00F64776" w:rsidRDefault="00F64776" w:rsidP="00F64776">
      <w:pPr>
        <w:pStyle w:val="TextoNormal"/>
      </w:pPr>
    </w:p>
    <w:p w14:paraId="61C3E725" w14:textId="77777777" w:rsidR="00F64776" w:rsidRDefault="00F64776" w:rsidP="00F64776">
      <w:pPr>
        <w:pStyle w:val="TextoNormal"/>
      </w:pPr>
      <w:r>
        <w:t>Madrid, a once de diciembre de dos mil veintitrés.</w:t>
      </w:r>
    </w:p>
    <w:p w14:paraId="6E556FD2" w14:textId="5EAFAAAC" w:rsidR="00F64776" w:rsidRDefault="00F64776">
      <w:pPr>
        <w:spacing w:after="160" w:line="278" w:lineRule="auto"/>
        <w:rPr>
          <w:rFonts w:ascii="Times New Roman" w:eastAsia="Times New Roman" w:hAnsi="Times New Roman" w:cs="Times New Roman"/>
          <w:sz w:val="24"/>
          <w:szCs w:val="24"/>
          <w:lang w:eastAsia="es-ES"/>
        </w:rPr>
      </w:pPr>
      <w:r>
        <w:br w:type="page"/>
      </w:r>
    </w:p>
    <w:p w14:paraId="7125D623" w14:textId="77777777" w:rsidR="00F64776" w:rsidRDefault="00F64776" w:rsidP="00F64776">
      <w:pPr>
        <w:pStyle w:val="TtuloResolucin"/>
      </w:pPr>
      <w:bookmarkStart w:id="443" w:name="AUTO_2023_658"/>
      <w:r>
        <w:t>AUTO 658/2023, de 11 de diciembre de 2023</w:t>
      </w:r>
    </w:p>
    <w:bookmarkEnd w:id="443"/>
    <w:p w14:paraId="35F7785C" w14:textId="77777777" w:rsidR="00F64776" w:rsidRDefault="00F64776" w:rsidP="00F64776">
      <w:pPr>
        <w:pStyle w:val="TtuloResolucin"/>
      </w:pPr>
      <w:r>
        <w:t>Sección Tercera</w:t>
      </w:r>
    </w:p>
    <w:p w14:paraId="2A2ACEC9" w14:textId="77777777" w:rsidR="00F64776" w:rsidRDefault="00F64776" w:rsidP="00F64776">
      <w:pPr>
        <w:pStyle w:val="TextoNormalCentrado"/>
      </w:pPr>
      <w:r>
        <w:t>ECLI:ES:TC:2023:658A</w:t>
      </w:r>
    </w:p>
    <w:p w14:paraId="01403D82" w14:textId="18846531" w:rsidR="00F64776" w:rsidRDefault="00F64776" w:rsidP="00F64776">
      <w:pPr>
        <w:pStyle w:val="TextoNormalCentrado"/>
      </w:pPr>
    </w:p>
    <w:p w14:paraId="508C775E" w14:textId="77777777" w:rsidR="00F64776" w:rsidRDefault="00F64776" w:rsidP="00F64776">
      <w:pPr>
        <w:pStyle w:val="SntesisDescriptiva"/>
      </w:pPr>
      <w:r>
        <w:t>Excms. Srs. doña Inmaculada Montalbán Huertas y doña Laura Díez Bueso.</w:t>
      </w:r>
    </w:p>
    <w:p w14:paraId="32C908FF" w14:textId="656AE2D2" w:rsidR="00F64776" w:rsidRDefault="00F64776" w:rsidP="00F64776">
      <w:pPr>
        <w:pStyle w:val="SntesisDescriptiva"/>
      </w:pPr>
    </w:p>
    <w:p w14:paraId="38B1FEA3" w14:textId="77777777" w:rsidR="00F64776" w:rsidRDefault="00F64776" w:rsidP="00F64776">
      <w:pPr>
        <w:pStyle w:val="SntesisDescriptiva"/>
      </w:pPr>
      <w:r>
        <w:t>Acepta una abstención en el recurso de amparo 7807-2022, promovido en proceso contencioso administrativo.</w:t>
      </w:r>
    </w:p>
    <w:p w14:paraId="71580DFC" w14:textId="5A1D7F85" w:rsidR="00F64776" w:rsidRDefault="00F64776" w:rsidP="00F64776">
      <w:pPr>
        <w:pStyle w:val="SntesisDescriptiva"/>
      </w:pPr>
    </w:p>
    <w:p w14:paraId="6E7E42DA" w14:textId="77777777" w:rsidR="00F64776" w:rsidRDefault="00F64776" w:rsidP="00F64776">
      <w:pPr>
        <w:pStyle w:val="SntesisDescriptiva"/>
      </w:pPr>
    </w:p>
    <w:p w14:paraId="738D1E4A" w14:textId="77777777" w:rsidR="00F64776" w:rsidRDefault="00F64776" w:rsidP="00F64776">
      <w:pPr>
        <w:pStyle w:val="SntesisDescriptiva"/>
      </w:pPr>
    </w:p>
    <w:p w14:paraId="56C1361D" w14:textId="77777777" w:rsidR="00F64776" w:rsidRDefault="00F64776" w:rsidP="00F64776">
      <w:pPr>
        <w:pStyle w:val="TextoNormalNegritaCentrado"/>
      </w:pPr>
      <w:r>
        <w:t>AUTO</w:t>
      </w:r>
    </w:p>
    <w:p w14:paraId="7D2D861B" w14:textId="567EBA62" w:rsidR="00F64776" w:rsidRDefault="00F64776" w:rsidP="00F64776">
      <w:pPr>
        <w:pStyle w:val="TextoNormalNegritaCentrado"/>
      </w:pPr>
    </w:p>
    <w:p w14:paraId="018ABD46" w14:textId="77777777" w:rsidR="00F64776" w:rsidRDefault="00F64776" w:rsidP="00F64776">
      <w:pPr>
        <w:pStyle w:val="TextoNormalNegritaCentrado"/>
        <w:keepNext/>
      </w:pPr>
      <w:r>
        <w:t>I. Antecedentes</w:t>
      </w:r>
    </w:p>
    <w:p w14:paraId="1C51AC51" w14:textId="044C6351" w:rsidR="00F64776" w:rsidRDefault="00F64776" w:rsidP="00F64776">
      <w:pPr>
        <w:pStyle w:val="TextoNormalNegritaCentrado"/>
        <w:keepNext/>
      </w:pPr>
    </w:p>
    <w:p w14:paraId="561B6195" w14:textId="7D72F0CF" w:rsidR="00F64776" w:rsidRDefault="00F64776" w:rsidP="00F64776">
      <w:pPr>
        <w:pStyle w:val="TextoNormal"/>
      </w:pPr>
      <w:r w:rsidRPr="00F64776">
        <w:rPr>
          <w:rStyle w:val="NumeroAFNegritaCaracter"/>
        </w:rPr>
        <w:t>1</w:t>
      </w:r>
      <w:r>
        <w:t>. Mediante escrito registrado en este tribunal el 24 de noviembre de 2022 la procuradora de los tribunales doña Ana Villa Ruano, en nombre y representación de don José Segura Vargas y bajo la dirección de la letrada doña María del Carmen Duro López, interpuso demanda de amparo contra la providencia de 5 de octubre de 2022, dictada por la Sección Primera de la Sala de Contencioso-Administrativo del Tribunal Supremo en recurso de casación 2492-2021, resolución objeto del presente recurso de amparo núm. 7807-2022.</w:t>
      </w:r>
    </w:p>
    <w:p w14:paraId="6EED0F3A" w14:textId="77777777" w:rsidR="00F64776" w:rsidRDefault="00F64776" w:rsidP="00F64776">
      <w:pPr>
        <w:pStyle w:val="TextoNormal"/>
      </w:pPr>
    </w:p>
    <w:p w14:paraId="74EBA059" w14:textId="7BD6F746" w:rsidR="00F64776" w:rsidRDefault="00F64776" w:rsidP="00F64776">
      <w:pPr>
        <w:pStyle w:val="TextoNormal"/>
      </w:pPr>
      <w:r w:rsidRPr="00F64776">
        <w:rPr>
          <w:rStyle w:val="NumeroAFNegritaCaracter"/>
        </w:rPr>
        <w:t>2</w:t>
      </w:r>
      <w:r>
        <w:t>. Por escrito de 5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2678A688" w14:textId="77777777" w:rsidR="00F64776" w:rsidRDefault="00F64776" w:rsidP="00F64776">
      <w:pPr>
        <w:pStyle w:val="TextoNormal"/>
      </w:pPr>
    </w:p>
    <w:p w14:paraId="2D24AC8E" w14:textId="77777777" w:rsidR="00F64776" w:rsidRDefault="00F64776" w:rsidP="00F64776">
      <w:pPr>
        <w:pStyle w:val="TextoNormalNegritaCentrado"/>
        <w:keepNext/>
      </w:pPr>
      <w:r>
        <w:t>II. Fundamentos jurídicos</w:t>
      </w:r>
    </w:p>
    <w:p w14:paraId="035BD3C9" w14:textId="74D86842" w:rsidR="00F64776" w:rsidRDefault="00F64776" w:rsidP="00F64776">
      <w:pPr>
        <w:pStyle w:val="TextoNormalNegritaCentrado"/>
        <w:keepNext/>
      </w:pPr>
    </w:p>
    <w:p w14:paraId="4A7556D7" w14:textId="6A33A561"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2412296E" w14:textId="77777777" w:rsidR="00F64776" w:rsidRDefault="00F64776" w:rsidP="00F64776">
      <w:pPr>
        <w:pStyle w:val="TextoNormal"/>
      </w:pPr>
    </w:p>
    <w:p w14:paraId="37B9BE32" w14:textId="77777777" w:rsidR="00F64776" w:rsidRDefault="00F64776" w:rsidP="00F64776">
      <w:pPr>
        <w:pStyle w:val="TextoNormal"/>
      </w:pPr>
      <w:r>
        <w:t>Por lo expuesto, la Sección</w:t>
      </w:r>
    </w:p>
    <w:p w14:paraId="1DAE620A" w14:textId="45F3DEDE" w:rsidR="00F64776" w:rsidRDefault="00F64776" w:rsidP="00F64776">
      <w:pPr>
        <w:pStyle w:val="TextoNormal"/>
      </w:pPr>
    </w:p>
    <w:p w14:paraId="5E0B0BAE" w14:textId="77777777" w:rsidR="00F64776" w:rsidRDefault="00F64776" w:rsidP="00F64776">
      <w:pPr>
        <w:pStyle w:val="TextoNormalCentrado"/>
      </w:pPr>
      <w:r>
        <w:t>ACUERDA</w:t>
      </w:r>
    </w:p>
    <w:p w14:paraId="366838A0" w14:textId="57511E7A" w:rsidR="00F64776" w:rsidRDefault="00F64776" w:rsidP="00F64776">
      <w:pPr>
        <w:pStyle w:val="TextoNormalCentrado"/>
      </w:pPr>
    </w:p>
    <w:p w14:paraId="00C60198" w14:textId="4737C76F" w:rsidR="00F64776" w:rsidRDefault="00F64776" w:rsidP="00F64776">
      <w:pPr>
        <w:pStyle w:val="TextoNormal"/>
      </w:pPr>
      <w:r>
        <w:t>Estimar justificada la abstención formulada por el magistrado don César Tolosa Tribiño en el recurso de amparo núm. 7807-2022 y apartarle definitivamente del conocimiento del referido recurso y de todas sus incidencias.</w:t>
      </w:r>
    </w:p>
    <w:p w14:paraId="69099AD2" w14:textId="77777777" w:rsidR="00F64776" w:rsidRDefault="00F64776" w:rsidP="00F64776">
      <w:pPr>
        <w:pStyle w:val="TextoNormal"/>
      </w:pPr>
    </w:p>
    <w:p w14:paraId="088B8E92" w14:textId="77777777" w:rsidR="00F64776" w:rsidRDefault="00F64776" w:rsidP="00F64776">
      <w:pPr>
        <w:pStyle w:val="TextoNormal"/>
      </w:pPr>
      <w:r>
        <w:t>Madrid, a once de diciembre de dos mil veintitrés.</w:t>
      </w:r>
    </w:p>
    <w:p w14:paraId="49B1A8DF" w14:textId="3FA85CBC" w:rsidR="00F64776" w:rsidRDefault="00F64776">
      <w:pPr>
        <w:spacing w:after="160" w:line="278" w:lineRule="auto"/>
        <w:rPr>
          <w:rFonts w:ascii="Times New Roman" w:eastAsia="Times New Roman" w:hAnsi="Times New Roman" w:cs="Times New Roman"/>
          <w:sz w:val="24"/>
          <w:szCs w:val="24"/>
          <w:lang w:eastAsia="es-ES"/>
        </w:rPr>
      </w:pPr>
      <w:r>
        <w:br w:type="page"/>
      </w:r>
    </w:p>
    <w:p w14:paraId="5B6176D8" w14:textId="77777777" w:rsidR="00F64776" w:rsidRDefault="00F64776" w:rsidP="00F64776">
      <w:pPr>
        <w:pStyle w:val="TtuloResolucin"/>
      </w:pPr>
      <w:bookmarkStart w:id="444" w:name="AUTO_2023_659"/>
      <w:r>
        <w:t>AUTO 659/2023, de 11 de diciembre de 2023</w:t>
      </w:r>
    </w:p>
    <w:bookmarkEnd w:id="444"/>
    <w:p w14:paraId="0270F511" w14:textId="77777777" w:rsidR="00F64776" w:rsidRDefault="00F64776" w:rsidP="00F64776">
      <w:pPr>
        <w:pStyle w:val="TtuloResolucin"/>
      </w:pPr>
      <w:r>
        <w:t>Sección Tercera</w:t>
      </w:r>
    </w:p>
    <w:p w14:paraId="68D823C8" w14:textId="77777777" w:rsidR="00F64776" w:rsidRDefault="00F64776" w:rsidP="00F64776">
      <w:pPr>
        <w:pStyle w:val="TextoNormalCentrado"/>
      </w:pPr>
      <w:r>
        <w:t>ECLI:ES:TC:2023:659A</w:t>
      </w:r>
    </w:p>
    <w:p w14:paraId="4C1709CD" w14:textId="2ADFDAC3" w:rsidR="00F64776" w:rsidRDefault="00F64776" w:rsidP="00F64776">
      <w:pPr>
        <w:pStyle w:val="TextoNormalCentrado"/>
      </w:pPr>
    </w:p>
    <w:p w14:paraId="668F996E" w14:textId="77777777" w:rsidR="00F64776" w:rsidRDefault="00F64776" w:rsidP="00F64776">
      <w:pPr>
        <w:pStyle w:val="SntesisDescriptiva"/>
      </w:pPr>
      <w:r>
        <w:t>Excms. Srs. doña Inmaculada Montalbán Huertas y doña Laura Díez Bueso.</w:t>
      </w:r>
    </w:p>
    <w:p w14:paraId="1B750FC4" w14:textId="74EA9629" w:rsidR="00F64776" w:rsidRDefault="00F64776" w:rsidP="00F64776">
      <w:pPr>
        <w:pStyle w:val="SntesisDescriptiva"/>
      </w:pPr>
    </w:p>
    <w:p w14:paraId="1B256FE0" w14:textId="77777777" w:rsidR="00F64776" w:rsidRDefault="00F64776" w:rsidP="00F64776">
      <w:pPr>
        <w:pStyle w:val="SntesisDescriptiva"/>
      </w:pPr>
      <w:r>
        <w:t>Acepta una abstención en el recurso de amparo 8498-2022, promovido en proceso contencioso administrativo.</w:t>
      </w:r>
    </w:p>
    <w:p w14:paraId="1D639EEB" w14:textId="11D45DF6" w:rsidR="00F64776" w:rsidRDefault="00F64776" w:rsidP="00F64776">
      <w:pPr>
        <w:pStyle w:val="SntesisDescriptiva"/>
      </w:pPr>
    </w:p>
    <w:p w14:paraId="1E822B53" w14:textId="77777777" w:rsidR="00F64776" w:rsidRDefault="00F64776" w:rsidP="00F64776">
      <w:pPr>
        <w:pStyle w:val="SntesisDescriptiva"/>
      </w:pPr>
    </w:p>
    <w:p w14:paraId="54AFE686" w14:textId="77777777" w:rsidR="00F64776" w:rsidRDefault="00F64776" w:rsidP="00F64776">
      <w:pPr>
        <w:pStyle w:val="SntesisDescriptiva"/>
      </w:pPr>
    </w:p>
    <w:p w14:paraId="31F04AED" w14:textId="77777777" w:rsidR="00F64776" w:rsidRDefault="00F64776" w:rsidP="00F64776">
      <w:pPr>
        <w:pStyle w:val="TextoNormalNegritaCentrado"/>
      </w:pPr>
      <w:r>
        <w:t>AUTO</w:t>
      </w:r>
    </w:p>
    <w:p w14:paraId="21952A02" w14:textId="727948F1" w:rsidR="00F64776" w:rsidRDefault="00F64776" w:rsidP="00F64776">
      <w:pPr>
        <w:pStyle w:val="TextoNormalNegritaCentrado"/>
      </w:pPr>
    </w:p>
    <w:p w14:paraId="691CBC83" w14:textId="77777777" w:rsidR="00F64776" w:rsidRDefault="00F64776" w:rsidP="00F64776">
      <w:pPr>
        <w:pStyle w:val="TextoNormalNegritaCentrado"/>
        <w:keepNext/>
      </w:pPr>
      <w:r>
        <w:t>I. Antecedentes</w:t>
      </w:r>
    </w:p>
    <w:p w14:paraId="0B87F4CE" w14:textId="79C72D2B" w:rsidR="00F64776" w:rsidRDefault="00F64776" w:rsidP="00F64776">
      <w:pPr>
        <w:pStyle w:val="TextoNormalNegritaCentrado"/>
        <w:keepNext/>
      </w:pPr>
    </w:p>
    <w:p w14:paraId="20501A7C" w14:textId="0391E95B" w:rsidR="00F64776" w:rsidRDefault="00F64776" w:rsidP="00F64776">
      <w:pPr>
        <w:pStyle w:val="TextoNormal"/>
      </w:pPr>
      <w:r w:rsidRPr="00F64776">
        <w:rPr>
          <w:rStyle w:val="NumeroAFNegritaCaracter"/>
        </w:rPr>
        <w:t>1</w:t>
      </w:r>
      <w:r>
        <w:t>. Mediante escrito registrado en este tribunal el 22 de diciembre de 2022, el procurador de los tribunales don Miguel Zamora Bausá, en nombre y representación de don Juan Pablo Carvajal Arenas y bajo la dirección del letrado don Juan Antonio Iglesias Fernández, interpuso demanda de amparo contra la providencia de 4 de noviembre de 2022 de la Sección Sexta de la Sala de lo Contencioso-Administrativo del Tribunal Supremo en recurso ordinario 161-2021.</w:t>
      </w:r>
    </w:p>
    <w:p w14:paraId="3753E7BD" w14:textId="77777777" w:rsidR="00F64776" w:rsidRDefault="00F64776" w:rsidP="00F64776">
      <w:pPr>
        <w:pStyle w:val="TextoNormal"/>
      </w:pPr>
    </w:p>
    <w:p w14:paraId="50F15C35" w14:textId="694D2F7A" w:rsidR="00F64776" w:rsidRDefault="00F64776" w:rsidP="00F64776">
      <w:pPr>
        <w:pStyle w:val="TextoNormal"/>
      </w:pPr>
      <w:r w:rsidRPr="00F64776">
        <w:rPr>
          <w:rStyle w:val="NumeroAFNegritaCaracter"/>
        </w:rPr>
        <w:t>2</w:t>
      </w:r>
      <w:r>
        <w:t>. Por escrito de 5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Sexta de la Sala de lo Contencioso-Administrativo del Tribunal Supremo que dictó la resolución impugnada.</w:t>
      </w:r>
    </w:p>
    <w:p w14:paraId="50D79F41" w14:textId="77777777" w:rsidR="00F64776" w:rsidRDefault="00F64776" w:rsidP="00F64776">
      <w:pPr>
        <w:pStyle w:val="TextoNormal"/>
      </w:pPr>
    </w:p>
    <w:p w14:paraId="0BF56A60" w14:textId="77777777" w:rsidR="00F64776" w:rsidRDefault="00F64776" w:rsidP="00F64776">
      <w:pPr>
        <w:pStyle w:val="TextoNormalNegritaCentrado"/>
        <w:keepNext/>
      </w:pPr>
      <w:r>
        <w:t>II. Fundamentos jurídicos</w:t>
      </w:r>
    </w:p>
    <w:p w14:paraId="163B3386" w14:textId="78345D8A" w:rsidR="00F64776" w:rsidRDefault="00F64776" w:rsidP="00F64776">
      <w:pPr>
        <w:pStyle w:val="TextoNormalNegritaCentrado"/>
        <w:keepNext/>
      </w:pPr>
    </w:p>
    <w:p w14:paraId="58656B7A" w14:textId="33363ABD"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16597056" w14:textId="77777777" w:rsidR="00F64776" w:rsidRDefault="00F64776" w:rsidP="00F64776">
      <w:pPr>
        <w:pStyle w:val="TextoNormal"/>
      </w:pPr>
    </w:p>
    <w:p w14:paraId="7D5AAC63" w14:textId="77777777" w:rsidR="00F64776" w:rsidRDefault="00F64776" w:rsidP="00F64776">
      <w:pPr>
        <w:pStyle w:val="TextoNormal"/>
      </w:pPr>
      <w:r>
        <w:t>Por lo expuesto, la Sección</w:t>
      </w:r>
    </w:p>
    <w:p w14:paraId="63AC51FF" w14:textId="64D292E8" w:rsidR="00F64776" w:rsidRDefault="00F64776" w:rsidP="00F64776">
      <w:pPr>
        <w:pStyle w:val="TextoNormal"/>
      </w:pPr>
    </w:p>
    <w:p w14:paraId="0CA14373" w14:textId="77777777" w:rsidR="00F64776" w:rsidRDefault="00F64776" w:rsidP="00F64776">
      <w:pPr>
        <w:pStyle w:val="TextoNormalCentrado"/>
      </w:pPr>
      <w:r>
        <w:t>ACUERDA</w:t>
      </w:r>
    </w:p>
    <w:p w14:paraId="547266EE" w14:textId="43E39393" w:rsidR="00F64776" w:rsidRDefault="00F64776" w:rsidP="00F64776">
      <w:pPr>
        <w:pStyle w:val="TextoNormalCentrado"/>
      </w:pPr>
    </w:p>
    <w:p w14:paraId="229B63B4" w14:textId="3E4CA464" w:rsidR="00F64776" w:rsidRDefault="00F64776" w:rsidP="00F64776">
      <w:pPr>
        <w:pStyle w:val="TextoNormal"/>
      </w:pPr>
      <w:r>
        <w:t>Estimar justificada la abstención formulada por el magistrado don César Tolosa Tribiño en el recurso de amparo núm. 8498-2022 y apartarle definitivamente del conocimiento del referido recurso y de todas sus incidencias.</w:t>
      </w:r>
    </w:p>
    <w:p w14:paraId="718B0169" w14:textId="77777777" w:rsidR="00F64776" w:rsidRDefault="00F64776" w:rsidP="00F64776">
      <w:pPr>
        <w:pStyle w:val="TextoNormal"/>
      </w:pPr>
    </w:p>
    <w:p w14:paraId="5CA3F3C4" w14:textId="77777777" w:rsidR="00F64776" w:rsidRDefault="00F64776" w:rsidP="00F64776">
      <w:pPr>
        <w:pStyle w:val="TextoNormal"/>
      </w:pPr>
      <w:r>
        <w:t>Madrid, a once de diciembre de dos mil veintitrés.</w:t>
      </w:r>
    </w:p>
    <w:p w14:paraId="55269332" w14:textId="43E9D9AD" w:rsidR="00F64776" w:rsidRDefault="00F64776">
      <w:pPr>
        <w:spacing w:after="160" w:line="278" w:lineRule="auto"/>
        <w:rPr>
          <w:rFonts w:ascii="Times New Roman" w:eastAsia="Times New Roman" w:hAnsi="Times New Roman" w:cs="Times New Roman"/>
          <w:sz w:val="24"/>
          <w:szCs w:val="24"/>
          <w:lang w:eastAsia="es-ES"/>
        </w:rPr>
      </w:pPr>
      <w:r>
        <w:br w:type="page"/>
      </w:r>
    </w:p>
    <w:p w14:paraId="56E946E1" w14:textId="77777777" w:rsidR="00F64776" w:rsidRDefault="00F64776" w:rsidP="00F64776">
      <w:pPr>
        <w:pStyle w:val="TtuloResolucin"/>
      </w:pPr>
      <w:bookmarkStart w:id="445" w:name="AUTO_2023_660"/>
      <w:r>
        <w:t>AUTO 660/2023, de 11 de diciembre de 2023</w:t>
      </w:r>
    </w:p>
    <w:bookmarkEnd w:id="445"/>
    <w:p w14:paraId="1FFB777C" w14:textId="77777777" w:rsidR="00F64776" w:rsidRDefault="00F64776" w:rsidP="00F64776">
      <w:pPr>
        <w:pStyle w:val="TtuloResolucin"/>
      </w:pPr>
      <w:r>
        <w:t>Sección Tercera</w:t>
      </w:r>
    </w:p>
    <w:p w14:paraId="01F9BC73" w14:textId="77777777" w:rsidR="00F64776" w:rsidRDefault="00F64776" w:rsidP="00F64776">
      <w:pPr>
        <w:pStyle w:val="TextoNormalCentrado"/>
      </w:pPr>
      <w:r>
        <w:t>ECLI:ES:TC:2023:660A</w:t>
      </w:r>
    </w:p>
    <w:p w14:paraId="28342970" w14:textId="7426723E" w:rsidR="00F64776" w:rsidRDefault="00F64776" w:rsidP="00F64776">
      <w:pPr>
        <w:pStyle w:val="TextoNormalCentrado"/>
      </w:pPr>
    </w:p>
    <w:p w14:paraId="6758D261" w14:textId="77777777" w:rsidR="00F64776" w:rsidRDefault="00F64776" w:rsidP="00F64776">
      <w:pPr>
        <w:pStyle w:val="SntesisDescriptiva"/>
      </w:pPr>
      <w:r>
        <w:t>Excms. Srs. doña Inmaculada Montalbán Huertas y doña Laura Díez Bueso.</w:t>
      </w:r>
    </w:p>
    <w:p w14:paraId="4DE97042" w14:textId="0F8473BD" w:rsidR="00F64776" w:rsidRDefault="00F64776" w:rsidP="00F64776">
      <w:pPr>
        <w:pStyle w:val="SntesisDescriptiva"/>
      </w:pPr>
    </w:p>
    <w:p w14:paraId="6593DF41" w14:textId="77777777" w:rsidR="00F64776" w:rsidRDefault="00F64776" w:rsidP="00F64776">
      <w:pPr>
        <w:pStyle w:val="SntesisDescriptiva"/>
      </w:pPr>
      <w:r>
        <w:t>Acepta una abstención en el recurso de amparo 1053-2023, promovido en proceso contencioso administrativo.</w:t>
      </w:r>
    </w:p>
    <w:p w14:paraId="0837C141" w14:textId="5DFD9D99" w:rsidR="00F64776" w:rsidRDefault="00F64776" w:rsidP="00F64776">
      <w:pPr>
        <w:pStyle w:val="SntesisDescriptiva"/>
      </w:pPr>
    </w:p>
    <w:p w14:paraId="1ECCD406" w14:textId="77777777" w:rsidR="00F64776" w:rsidRDefault="00F64776" w:rsidP="00F64776">
      <w:pPr>
        <w:pStyle w:val="SntesisDescriptiva"/>
      </w:pPr>
    </w:p>
    <w:p w14:paraId="0AC65DCE" w14:textId="77777777" w:rsidR="00F64776" w:rsidRDefault="00F64776" w:rsidP="00F64776">
      <w:pPr>
        <w:pStyle w:val="SntesisDescriptiva"/>
      </w:pPr>
    </w:p>
    <w:p w14:paraId="6600CF45" w14:textId="77777777" w:rsidR="00F64776" w:rsidRDefault="00F64776" w:rsidP="00F64776">
      <w:pPr>
        <w:pStyle w:val="TextoNormalNegritaCentrado"/>
      </w:pPr>
      <w:r>
        <w:t>AUTO</w:t>
      </w:r>
    </w:p>
    <w:p w14:paraId="31A7F739" w14:textId="13C41FB3" w:rsidR="00F64776" w:rsidRDefault="00F64776" w:rsidP="00F64776">
      <w:pPr>
        <w:pStyle w:val="TextoNormalNegritaCentrado"/>
      </w:pPr>
    </w:p>
    <w:p w14:paraId="46E251BC" w14:textId="77777777" w:rsidR="00F64776" w:rsidRDefault="00F64776" w:rsidP="00F64776">
      <w:pPr>
        <w:pStyle w:val="TextoNormalNegritaCentrado"/>
        <w:keepNext/>
      </w:pPr>
      <w:r>
        <w:t>I. Antecedentes</w:t>
      </w:r>
    </w:p>
    <w:p w14:paraId="3F0C7F6D" w14:textId="5D815D3A" w:rsidR="00F64776" w:rsidRDefault="00F64776" w:rsidP="00F64776">
      <w:pPr>
        <w:pStyle w:val="TextoNormalNegritaCentrado"/>
        <w:keepNext/>
      </w:pPr>
    </w:p>
    <w:p w14:paraId="18452939" w14:textId="4ECDC585" w:rsidR="00F64776" w:rsidRDefault="00F64776" w:rsidP="00F64776">
      <w:pPr>
        <w:pStyle w:val="TextoNormal"/>
      </w:pPr>
      <w:r w:rsidRPr="00F64776">
        <w:rPr>
          <w:rStyle w:val="NumeroAFNegritaCaracter"/>
        </w:rPr>
        <w:t>1</w:t>
      </w:r>
      <w:r>
        <w:t>. Mediante escrito registrado en este tribunal el 17 de febrero de 2023, la procuradora de los tribunales doña Paloma Rabadán Chaves, en nombre y representación de don Farhat Riaz y bajo la dirección del letrado don Fernando Sánchez García, interpuso demanda de amparo contra la providencia de 23 de noviembre de 2022 de la Sección Primera de la Sala de lo Contencioso-Administrativo del Tribunal Supremo en recurso de casación núm. 4036-2022.</w:t>
      </w:r>
    </w:p>
    <w:p w14:paraId="19A919D3" w14:textId="77777777" w:rsidR="00F64776" w:rsidRDefault="00F64776" w:rsidP="00F64776">
      <w:pPr>
        <w:pStyle w:val="TextoNormal"/>
      </w:pPr>
    </w:p>
    <w:p w14:paraId="35A4CB3A" w14:textId="5F31DECD" w:rsidR="00F64776" w:rsidRDefault="00F64776" w:rsidP="00F64776">
      <w:pPr>
        <w:pStyle w:val="TextoNormal"/>
      </w:pPr>
      <w:r w:rsidRPr="00F64776">
        <w:rPr>
          <w:rStyle w:val="NumeroAFNegritaCaracter"/>
        </w:rPr>
        <w:t>2</w:t>
      </w:r>
      <w:r>
        <w:t>. Por escrito de 5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256946EC" w14:textId="77777777" w:rsidR="00F64776" w:rsidRDefault="00F64776" w:rsidP="00F64776">
      <w:pPr>
        <w:pStyle w:val="TextoNormal"/>
      </w:pPr>
    </w:p>
    <w:p w14:paraId="7F08221F" w14:textId="77777777" w:rsidR="00F64776" w:rsidRDefault="00F64776" w:rsidP="00F64776">
      <w:pPr>
        <w:pStyle w:val="TextoNormalNegritaCentrado"/>
        <w:keepNext/>
      </w:pPr>
      <w:r>
        <w:t>II. Fundamentos jurídicos</w:t>
      </w:r>
    </w:p>
    <w:p w14:paraId="73A2E70A" w14:textId="4B866CC8" w:rsidR="00F64776" w:rsidRDefault="00F64776" w:rsidP="00F64776">
      <w:pPr>
        <w:pStyle w:val="TextoNormalNegritaCentrado"/>
        <w:keepNext/>
      </w:pPr>
    </w:p>
    <w:p w14:paraId="53BC87EE" w14:textId="55E79B51"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40F7933C" w14:textId="77777777" w:rsidR="00F64776" w:rsidRDefault="00F64776" w:rsidP="00F64776">
      <w:pPr>
        <w:pStyle w:val="TextoNormal"/>
      </w:pPr>
    </w:p>
    <w:p w14:paraId="6A9CA568" w14:textId="77777777" w:rsidR="00F64776" w:rsidRDefault="00F64776" w:rsidP="00F64776">
      <w:pPr>
        <w:pStyle w:val="TextoNormal"/>
      </w:pPr>
      <w:r>
        <w:t>Por lo expuesto, la Sección</w:t>
      </w:r>
    </w:p>
    <w:p w14:paraId="29298AE5" w14:textId="39C235F4" w:rsidR="00F64776" w:rsidRDefault="00F64776" w:rsidP="00F64776">
      <w:pPr>
        <w:pStyle w:val="TextoNormal"/>
      </w:pPr>
    </w:p>
    <w:p w14:paraId="09C9EAC0" w14:textId="77777777" w:rsidR="00F64776" w:rsidRDefault="00F64776" w:rsidP="00F64776">
      <w:pPr>
        <w:pStyle w:val="TextoNormalCentrado"/>
      </w:pPr>
      <w:r>
        <w:t>ACUERDA</w:t>
      </w:r>
    </w:p>
    <w:p w14:paraId="4F36A63A" w14:textId="7E93DE73" w:rsidR="00F64776" w:rsidRDefault="00F64776" w:rsidP="00F64776">
      <w:pPr>
        <w:pStyle w:val="TextoNormalCentrado"/>
      </w:pPr>
    </w:p>
    <w:p w14:paraId="247437DD" w14:textId="198FF24D" w:rsidR="00F64776" w:rsidRDefault="00F64776" w:rsidP="00F64776">
      <w:pPr>
        <w:pStyle w:val="TextoNormal"/>
      </w:pPr>
      <w:r>
        <w:t>Estimar justificada la abstención formulada por el magistrado don César Tolosa Tribiño en el recurso de amparo núm. 1053-2023 y apartarle definitivamente del conocimiento del referido recurso y de todas sus incidencias.</w:t>
      </w:r>
    </w:p>
    <w:p w14:paraId="76328433" w14:textId="77777777" w:rsidR="00F64776" w:rsidRDefault="00F64776" w:rsidP="00F64776">
      <w:pPr>
        <w:pStyle w:val="TextoNormal"/>
      </w:pPr>
    </w:p>
    <w:p w14:paraId="146DEE91" w14:textId="77777777" w:rsidR="00F64776" w:rsidRDefault="00F64776" w:rsidP="00F64776">
      <w:pPr>
        <w:pStyle w:val="TextoNormal"/>
      </w:pPr>
      <w:r>
        <w:t>Madrid, a once de diciembre de dos mil veintitrés.</w:t>
      </w:r>
    </w:p>
    <w:p w14:paraId="5778AEA4" w14:textId="4BD0C12A" w:rsidR="00F64776" w:rsidRDefault="00F64776">
      <w:pPr>
        <w:spacing w:after="160" w:line="278" w:lineRule="auto"/>
        <w:rPr>
          <w:rFonts w:ascii="Times New Roman" w:eastAsia="Times New Roman" w:hAnsi="Times New Roman" w:cs="Times New Roman"/>
          <w:sz w:val="24"/>
          <w:szCs w:val="24"/>
          <w:lang w:eastAsia="es-ES"/>
        </w:rPr>
      </w:pPr>
      <w:r>
        <w:br w:type="page"/>
      </w:r>
    </w:p>
    <w:p w14:paraId="23756531" w14:textId="77777777" w:rsidR="00F64776" w:rsidRDefault="00F64776" w:rsidP="00F64776">
      <w:pPr>
        <w:pStyle w:val="TtuloResolucin"/>
      </w:pPr>
      <w:bookmarkStart w:id="446" w:name="AUTO_2023_661"/>
      <w:r>
        <w:t>AUTO 661/2023, de 11 de diciembre de 2023</w:t>
      </w:r>
    </w:p>
    <w:bookmarkEnd w:id="446"/>
    <w:p w14:paraId="379714DC" w14:textId="77777777" w:rsidR="00F64776" w:rsidRDefault="00F64776" w:rsidP="00F64776">
      <w:pPr>
        <w:pStyle w:val="TtuloResolucin"/>
      </w:pPr>
      <w:r>
        <w:t>Sala Primera</w:t>
      </w:r>
    </w:p>
    <w:p w14:paraId="779CBAB1" w14:textId="77777777" w:rsidR="00F64776" w:rsidRDefault="00F64776" w:rsidP="00F64776">
      <w:pPr>
        <w:pStyle w:val="TextoNormalCentrado"/>
      </w:pPr>
      <w:r>
        <w:t>ECLI:ES:TC:2023:661A</w:t>
      </w:r>
    </w:p>
    <w:p w14:paraId="61210391" w14:textId="4A92AA51" w:rsidR="00F64776" w:rsidRDefault="00F64776" w:rsidP="00F64776">
      <w:pPr>
        <w:pStyle w:val="TextoNormalCentrado"/>
      </w:pPr>
    </w:p>
    <w:p w14:paraId="768C03D5" w14:textId="77777777" w:rsidR="00F64776" w:rsidRDefault="00F64776" w:rsidP="00F64776">
      <w:pPr>
        <w:pStyle w:val="SntesisDescriptiva"/>
      </w:pPr>
      <w:r>
        <w:t>Excms. Srs. don Cándido Conde-Pumpido Tourón, don Ricardo Enríquez Sancho, doña Concepción Espejel Jorquera, doña María Luisa Segoviano Astaburuaga y don Juan Carlos Campo Moreno.</w:t>
      </w:r>
    </w:p>
    <w:p w14:paraId="1CB3E999" w14:textId="3D1555DE" w:rsidR="00F64776" w:rsidRDefault="00F64776" w:rsidP="00F64776">
      <w:pPr>
        <w:pStyle w:val="SntesisDescriptiva"/>
      </w:pPr>
    </w:p>
    <w:p w14:paraId="3D05649D" w14:textId="77777777" w:rsidR="00F64776" w:rsidRDefault="00F64776" w:rsidP="00F64776">
      <w:pPr>
        <w:pStyle w:val="SntesisDescriptiva"/>
      </w:pPr>
      <w:r>
        <w:t>Deniega la suspensión en el recurso de amparo 3229-2023, promovido por don R.R., en procedimiento de jurisdicción voluntaria.</w:t>
      </w:r>
    </w:p>
    <w:p w14:paraId="22FEDA06" w14:textId="25FEDA32" w:rsidR="00F64776" w:rsidRDefault="00F64776" w:rsidP="00F64776">
      <w:pPr>
        <w:pStyle w:val="SntesisDescriptiva"/>
      </w:pPr>
    </w:p>
    <w:p w14:paraId="5E8F3D37" w14:textId="77777777" w:rsidR="00F64776" w:rsidRDefault="00F64776" w:rsidP="00F64776">
      <w:pPr>
        <w:pStyle w:val="SntesisDescriptiva"/>
      </w:pPr>
    </w:p>
    <w:p w14:paraId="197C9363" w14:textId="77777777" w:rsidR="00F64776" w:rsidRDefault="00F64776" w:rsidP="00F64776">
      <w:pPr>
        <w:pStyle w:val="SntesisDescriptiva"/>
      </w:pPr>
    </w:p>
    <w:p w14:paraId="64695A2E" w14:textId="77777777" w:rsidR="00F64776" w:rsidRDefault="00F64776" w:rsidP="00F64776">
      <w:pPr>
        <w:pStyle w:val="TextoNormalNegritaCentrado"/>
      </w:pPr>
      <w:r>
        <w:t>AUTO</w:t>
      </w:r>
    </w:p>
    <w:p w14:paraId="173C79F1" w14:textId="061EBDF0" w:rsidR="00F64776" w:rsidRDefault="00F64776" w:rsidP="00F64776">
      <w:pPr>
        <w:pStyle w:val="TextoNormalNegritaCentrado"/>
      </w:pPr>
    </w:p>
    <w:p w14:paraId="5175A15C" w14:textId="77777777" w:rsidR="00F64776" w:rsidRDefault="00F64776" w:rsidP="00F64776">
      <w:pPr>
        <w:pStyle w:val="TextoNormalNegritaCentrado"/>
        <w:keepNext/>
      </w:pPr>
      <w:r>
        <w:t>I. Antecedentes</w:t>
      </w:r>
    </w:p>
    <w:p w14:paraId="75E43396" w14:textId="4E9BFE3F" w:rsidR="00F64776" w:rsidRDefault="00F64776" w:rsidP="00F64776">
      <w:pPr>
        <w:pStyle w:val="TextoNormalNegritaCentrado"/>
        <w:keepNext/>
      </w:pPr>
    </w:p>
    <w:p w14:paraId="12451078" w14:textId="4A85ECB3" w:rsidR="00F64776" w:rsidRDefault="00F64776" w:rsidP="00F64776">
      <w:pPr>
        <w:pStyle w:val="TextoNormal"/>
      </w:pPr>
      <w:r w:rsidRPr="00F64776">
        <w:rPr>
          <w:rStyle w:val="NumeroAFNegritaCaracter"/>
        </w:rPr>
        <w:t>1</w:t>
      </w:r>
      <w:r>
        <w:t>. Con fecha 16 de mayo de 2023 tuvo entrada en el registro general de este Tribunal Constitucional escrito de la procuradora de los tribunales doña Ana María Álvarez Úbeda, en nombre y representación de don R.R., asistido del letrado don Luis María Pardo Rodríguez, en el que formaliza demanda de amparo contra las resoluciones que constan en el encabezamiento.</w:t>
      </w:r>
    </w:p>
    <w:p w14:paraId="5253E064" w14:textId="77777777" w:rsidR="00F64776" w:rsidRDefault="00F64776" w:rsidP="00F64776">
      <w:pPr>
        <w:pStyle w:val="TextoNormal"/>
      </w:pPr>
    </w:p>
    <w:p w14:paraId="2D5DE407" w14:textId="77777777" w:rsidR="00F64776" w:rsidRDefault="00F64776" w:rsidP="00F64776">
      <w:pPr>
        <w:pStyle w:val="TextoNormal"/>
      </w:pPr>
      <w:r w:rsidRPr="00F64776">
        <w:rPr>
          <w:rStyle w:val="NumeroAFNegritaCaracter"/>
        </w:rPr>
        <w:t>2</w:t>
      </w:r>
      <w:r>
        <w:t>. Los hechos relevantes para la resolución de esta pieza de suspensión, tal y como se deducen de la demanda y la documentación hasta ahora aportada, son los siguientes:</w:t>
      </w:r>
    </w:p>
    <w:p w14:paraId="07EE3A98" w14:textId="77777777" w:rsidR="00F64776" w:rsidRDefault="00F64776" w:rsidP="00F64776">
      <w:pPr>
        <w:pStyle w:val="TextoNormal"/>
      </w:pPr>
    </w:p>
    <w:p w14:paraId="4902062C" w14:textId="77777777" w:rsidR="00F64776" w:rsidRDefault="00F64776" w:rsidP="00F64776">
      <w:pPr>
        <w:pStyle w:val="TextoNormal"/>
      </w:pPr>
      <w:r>
        <w:t>a) De conformidad con el art. 156 del Código civil (CC), el 25 de febrero de 2022 doña S.A.A. promovió expediente de jurisdicción voluntaria en nombre propio por medio de un formulario, al no haber llegado a un acuerdo con el padre, ahora demandante de amparo, respecto a la “realización de tratamiento/valoración por vacuna covid” del hijo común menor de edad, C.R.A., nacido el 10 de agosto de 2014.</w:t>
      </w:r>
    </w:p>
    <w:p w14:paraId="20FB5CD3" w14:textId="77777777" w:rsidR="00F64776" w:rsidRDefault="00F64776" w:rsidP="00F64776">
      <w:pPr>
        <w:pStyle w:val="TextoNormal"/>
      </w:pPr>
    </w:p>
    <w:p w14:paraId="227A112B" w14:textId="77777777" w:rsidR="00F64776" w:rsidRDefault="00F64776" w:rsidP="00F64776">
      <w:pPr>
        <w:pStyle w:val="TextoNormal"/>
      </w:pPr>
      <w:r>
        <w:t>b) La solicitud dio lugar a la incoación del procedimiento de jurisdicción voluntaria núm. 318-2022 en el Juzgado de Primera Instancia núm. 8 de Alicante, que mediante el auto núm. 437/2022, de 15 de junio de 2022, estimó la petición formulada y atribuyó a la solicitante la facultad de decidir sobre la administración de la vacuna frente a la covid-19 al menor C.R.A.</w:t>
      </w:r>
    </w:p>
    <w:p w14:paraId="28F2AEBA" w14:textId="77777777" w:rsidR="00F64776" w:rsidRDefault="00F64776" w:rsidP="00F64776">
      <w:pPr>
        <w:pStyle w:val="TextoNormal"/>
      </w:pPr>
    </w:p>
    <w:p w14:paraId="3B33ABF3" w14:textId="77777777" w:rsidR="00F64776" w:rsidRDefault="00F64776" w:rsidP="00F64776">
      <w:pPr>
        <w:pStyle w:val="TextoNormal"/>
      </w:pPr>
      <w:r>
        <w:t>Expuesto de forma sintética, la decisión judicial se fundamenta en que el objeto del incidente no es determinar si el proceso de elaboración de la vacuna o el de vacunación que se está llevando a cabo en España, se ajusta a las prescripciones legales, sino la atribución de la facultad de decidir sobre la vacunación del menor a uno de sus progenitores, en función del interés del menor concernido.</w:t>
      </w:r>
    </w:p>
    <w:p w14:paraId="02804055" w14:textId="77777777" w:rsidR="00F64776" w:rsidRDefault="00F64776" w:rsidP="00F64776">
      <w:pPr>
        <w:pStyle w:val="TextoNormal"/>
      </w:pPr>
    </w:p>
    <w:p w14:paraId="162E7EDD" w14:textId="77777777" w:rsidR="00F64776" w:rsidRDefault="00F64776" w:rsidP="00F64776">
      <w:pPr>
        <w:pStyle w:val="TextoNormal"/>
      </w:pPr>
      <w:r>
        <w:t>En consideración a las normas legales de aplicación —arts. 156 y 162.1 CC; arts. 2.1, 9.1 y 2 de la Ley Orgánica 1/1996, de 15 de enero, de protección jurídica del menor, de modificación parcial del Código civil y de la Ley de enjuiciamiento civil; arts. 3, 4, 8 y 9.3 de la Ley 41/2002, de 14 de noviembre, básica reguladora de la autonomía del paciente y de derechos y obligaciones en materia de información y documentación clínica; y art. 43 de la Ley 10/2014 de 29 de diciembre, de salud de la Comunidad Valenciana— los hechos alegados y la prueba practicada, la resolución judicial se basa en los siguientes argumentos:</w:t>
      </w:r>
    </w:p>
    <w:p w14:paraId="0A1945F6" w14:textId="77777777" w:rsidR="00F64776" w:rsidRDefault="00F64776" w:rsidP="00F64776">
      <w:pPr>
        <w:pStyle w:val="TextoNormal"/>
      </w:pPr>
    </w:p>
    <w:p w14:paraId="44E1EFEF" w14:textId="77777777" w:rsidR="00F64776" w:rsidRDefault="00F64776" w:rsidP="00F64776">
      <w:pPr>
        <w:pStyle w:val="TextoNormal"/>
      </w:pPr>
      <w:r>
        <w:t>(i) Existen diversas posturas y multitud de estudios sobre la conveniencia de vacunar o no a los menores entre cinco y once años, pero lo cierto es que la Agencia Europea del Medicamento, tras los estudios pertinentes, aprobó la utilización de la vacuna contra el coronavirus.</w:t>
      </w:r>
    </w:p>
    <w:p w14:paraId="66836FF9" w14:textId="77777777" w:rsidR="00F64776" w:rsidRDefault="00F64776" w:rsidP="00F64776">
      <w:pPr>
        <w:pStyle w:val="TextoNormal"/>
      </w:pPr>
    </w:p>
    <w:p w14:paraId="298A8F26" w14:textId="77777777" w:rsidR="00F64776" w:rsidRDefault="00F64776" w:rsidP="00F64776">
      <w:pPr>
        <w:pStyle w:val="TextoNormal"/>
      </w:pPr>
      <w:r>
        <w:t>(ii) El Ministerio de Sanidad español incluye en el plan de vacunación a los menores entre cinco y once años; en su página web y bajo la rúbrica “Vacunación covid en población infantil: preguntas y respuestas”, analiza los riesgos y beneficios de la vacunación. Advierte que las respuestas que da “están adaptadas a la normativa y recomendaciones oficiales en España”. En la página web se examinan los efectos secundarios de la vacunación, en su mayoría leves y de corta duración, así como que se han notificado casos muy raros de miocarditis y pericarditis (trece por cada 100 000 varones vacunados entre doce y veintinueve años) y que se desconoce en la población infantil la frecuencia de su aparición. La información oficial refiere que vale la pena vacunarse a pesar del riesgo antes aludido y que es más frecuente que los niños padezcan la enfermedad “siendo en la actualidad el colectivo con mayor incidencia en casos de contagio”, además de que los niños pueden padecer de forma muy excepcional graves complicaciones, como el síndrome inflamatorio multisistémico. La información oficial también valora que en los ensayos clínicos no se produjeron en menores casos de miocarditis y que con la vacunación se protege a los miembros de la familia, permitiendo que los niños puedan acudir al colegio y participar en actividades de forma más segura. Las propias autoridades sanitarias consideran que esta vacuna debe considerarse como “vacunación de calendario oficial”. Por lo tanto, es clara la postura de la autoridad sanitaria favorable a la vacunación. Y desde esta perspectiva, el auto declara que en principio el interés del menor pasa por otorgar la facultad de decisión a aquel de los progenitores que defienda la postura oficial favorable.</w:t>
      </w:r>
    </w:p>
    <w:p w14:paraId="47AB621C" w14:textId="77777777" w:rsidR="00F64776" w:rsidRDefault="00F64776" w:rsidP="00F64776">
      <w:pPr>
        <w:pStyle w:val="TextoNormal"/>
      </w:pPr>
    </w:p>
    <w:p w14:paraId="22769B09" w14:textId="77777777" w:rsidR="00F64776" w:rsidRDefault="00F64776" w:rsidP="00F64776">
      <w:pPr>
        <w:pStyle w:val="TextoNormal"/>
      </w:pPr>
      <w:r>
        <w:t>(iii) El auto también señala que debe atenderse a las circunstancias concretas de la familia y del menor para valorar si existen razones que en el caso concreto desaconsejen la vacunación. En este caso ni se alega, ni se acredita que el menor sufra algún tipo de patología por la cual la vacunación esté contraindicada.</w:t>
      </w:r>
    </w:p>
    <w:p w14:paraId="49EAFC70" w14:textId="77777777" w:rsidR="00F64776" w:rsidRDefault="00F64776" w:rsidP="00F64776">
      <w:pPr>
        <w:pStyle w:val="TextoNormal"/>
      </w:pPr>
    </w:p>
    <w:p w14:paraId="52869CF6" w14:textId="77777777" w:rsidR="00F64776" w:rsidRDefault="00F64776" w:rsidP="00F64776">
      <w:pPr>
        <w:pStyle w:val="TextoNormal"/>
      </w:pPr>
      <w:r>
        <w:t>Por todo ello, el auto estima la pretensión de intervención judicial por desacuerdo en el ejercicio de la patria potestad entre los progenitores y atribuye la facultad de decidir a la madre sobre la vacunación del menor contra la covid-19.</w:t>
      </w:r>
    </w:p>
    <w:p w14:paraId="719D3238" w14:textId="77777777" w:rsidR="00F64776" w:rsidRDefault="00F64776" w:rsidP="00F64776">
      <w:pPr>
        <w:pStyle w:val="TextoNormal"/>
      </w:pPr>
    </w:p>
    <w:p w14:paraId="4E137381" w14:textId="77777777" w:rsidR="00F64776" w:rsidRDefault="00F64776" w:rsidP="00F64776">
      <w:pPr>
        <w:pStyle w:val="TextoNormal"/>
      </w:pPr>
      <w:r>
        <w:t>c) El padre del menor interpuso recurso de apelación contra la anterior resolución, en el que alegó, en síntesis, lo siguiente: (i) la lesión de su derecho a la tutela judicial efectiva, pues se le comunicó por correo electrónico y en idioma español, que no domina, la existencia del procedimiento y la citación para la comparecencia que tuvo lugar, declarándose precluida la posibilidad de oponerse a la solicitud a pesar de que solicitó la suspensión de la vista, por lo que se resolvió la petición sin que fuera oído; (ii) la vacunación del menor no supone un beneficio para el mismo, dados los efectos adversos ya producidos, la alta probabilidad de que las vacunas produjeran enfermedades a largo plazo, dada su fabricación con ARN mensajero, y que la vacuna no produce inmunidad, pues no existe ninguna evidencia científica en tal sentido; (iii) la vacunación del menor infringiría el art. 6.1 del Convenio de Oviedo, la citada Ley 41/2002, por falta de consentimiento informado, el Real Decreto 1090/2015, de 4 de diciembre, por el que se regulan los ensayos clínicos con medicamentos, y el Real Decreto legislativo 1/2015, de 24 de julio, sobre la necesidad de prescripción médica; y (iv) resultan inadecuados los trámites del procedimiento de jurisdicción voluntaria para solventar la cuestión planteada.</w:t>
      </w:r>
    </w:p>
    <w:p w14:paraId="35820D6A" w14:textId="77777777" w:rsidR="00F64776" w:rsidRDefault="00F64776" w:rsidP="00F64776">
      <w:pPr>
        <w:pStyle w:val="TextoNormal"/>
      </w:pPr>
    </w:p>
    <w:p w14:paraId="6F72E82B" w14:textId="77777777" w:rsidR="00F64776" w:rsidRDefault="00F64776" w:rsidP="00F64776">
      <w:pPr>
        <w:pStyle w:val="TextoNormal"/>
      </w:pPr>
      <w:r>
        <w:t>La impugnación dio lugar al recurso de apelación núm. 281-2023 de la Sección Sexta de la Audiencia Provincial de Alicante, que desestimó la apelación y confirmó el auto impugnado mediante el auto núm. 87/2023, de 23 de marzo.</w:t>
      </w:r>
    </w:p>
    <w:p w14:paraId="41CD8D79" w14:textId="77777777" w:rsidR="00F64776" w:rsidRDefault="00F64776" w:rsidP="00F64776">
      <w:pPr>
        <w:pStyle w:val="TextoNormal"/>
      </w:pPr>
    </w:p>
    <w:p w14:paraId="0150FA90" w14:textId="77777777" w:rsidR="00F64776" w:rsidRDefault="00F64776" w:rsidP="00F64776">
      <w:pPr>
        <w:pStyle w:val="TextoNormal"/>
      </w:pPr>
      <w:r>
        <w:t>En primer lugar, la Sala rechaza la alegación de indefensión formulada por el recurrente al constar que fue informado, con antelación suficiente a la celebración de la comparecencia, de la existencia del procedimiento y de la posibilidad de oponerse a la cuestión planteada, practicándose la comunicación válidamente por correo electrónico, cuya recepción aquel reconoció. Si su conocimiento del idioma español es deficiente, continúa el auto, tuvo tiempo suficiente para solicitar la traducción y pudo acudir a letrados de su lugar de residencia para recabar asesoramiento. Invoca además la Sala el denominado principio de economía procesal, que aconseja evitar una retroacción de actuaciones que solo produciría una pérdida de tiempo y de esfuerzo sin preverse que con ello el resultado final fuera a ser distinto.</w:t>
      </w:r>
    </w:p>
    <w:p w14:paraId="64C506C0" w14:textId="77777777" w:rsidR="00F64776" w:rsidRDefault="00F64776" w:rsidP="00F64776">
      <w:pPr>
        <w:pStyle w:val="TextoNormal"/>
      </w:pPr>
    </w:p>
    <w:p w14:paraId="2AFC2F06" w14:textId="77777777" w:rsidR="00F64776" w:rsidRDefault="00F64776" w:rsidP="00F64776">
      <w:pPr>
        <w:pStyle w:val="TextoNormal"/>
      </w:pPr>
      <w:r>
        <w:t>En cuanto al fondo del asunto, el auto declara, en esencia, que en el presente caso ambos progenitores ejercen conjuntamente la patria potestad y no hay acuerdo en cuanto a la administración de la vacuna contra la covid-19 al hijo menor, siendo adecuados los trámites del procedimiento de jurisdicción voluntaria empleado conforme al art. 156 CC y los arts. 85 y 86 de la Ley 15/2015, de 2 de julio, de la jurisdicción voluntaria.</w:t>
      </w:r>
    </w:p>
    <w:p w14:paraId="775A6E57" w14:textId="77777777" w:rsidR="00F64776" w:rsidRDefault="00F64776" w:rsidP="00F64776">
      <w:pPr>
        <w:pStyle w:val="TextoNormal"/>
      </w:pPr>
    </w:p>
    <w:p w14:paraId="5345D9A1" w14:textId="77777777" w:rsidR="00F64776" w:rsidRDefault="00F64776" w:rsidP="00F64776">
      <w:pPr>
        <w:pStyle w:val="TextoNormal"/>
      </w:pPr>
      <w:r>
        <w:t>Estas medidas han de adoptarse necesariamente en interés del menor (art. 2.1 de la Ley Orgánica 1/1996, de protección jurídica del menor) y tomando como punto de partida el art. 43 CE, que reconoce el derecho a la protección de la salud, que ha sido objeto de regulación básica a través de la Ley 14/1986, de 25 de abril, general de sanidad, y la Ley 33/2011, de 4 de octubre, general de salud pública. Afirma la Sala que la vacunación tiene en la actualidad carácter voluntario, por lo que es necesario obtener el consentimiento informado de quien ha se ser vacunado. Añade que no es obligada la vacunación, pero sí se recomienda por las autoridades sanitarias.</w:t>
      </w:r>
    </w:p>
    <w:p w14:paraId="512915BD" w14:textId="77777777" w:rsidR="00F64776" w:rsidRDefault="00F64776" w:rsidP="00F64776">
      <w:pPr>
        <w:pStyle w:val="TextoNormal"/>
      </w:pPr>
    </w:p>
    <w:p w14:paraId="33AB8356" w14:textId="77777777" w:rsidR="00F64776" w:rsidRDefault="00F64776" w:rsidP="00F64776">
      <w:pPr>
        <w:pStyle w:val="TextoNormal"/>
      </w:pPr>
      <w:r>
        <w:t>El auto cita el Convenio del Consejo de Europa para la protección de los derechos humanos y la dignidad del ser humano respecto de las aplicaciones de la biología y la medicina (Convenio sobre los derechos del hombre y la biomedicina), suscrito el día 4 de abril de 1997, vigente en España, así como la Ley 41/2002, promulgada ante la necesidad de matizar y ampliar el derecho a la información del paciente. En el art. 9 de esta ley se recogen los límites del consentimiento informado y el consentimiento por representación, cuyos apartados 6 y 7 fueron incorporados a la Ley 41/2002 por la disposición final segunda de la Ley 26/2015, de 28 de julio, de modificación del sistema de protección a la infancia y a la adolescencia, a los efectos de que en los casos en que el consentimiento haya de otorgarlo el representante legal o las personas vinculadas por razones familiares o de hecho, la decisión se adopte atendiendo siempre al mayor beneficio para la vida o salud del paciente y que, en caso contrario, se ponga en conocimiento de la autoridad judicial para que adopte la resolución que proceda. En el ámbito de la Comunidad Valenciana, la Ley 10/2014, de 29 de diciembre, de salud de la Comunidad Valenciana, regula en el art. 43 el derecho al consentimiento informado. En aplicación de esta normativa, la Sala entiende que en caso de menores de edad se está ante el consentimiento por sustitución o representación, que recaería sobre los progenitores que ostentan la patria potestad o sobre aquel de los dos designado judicialmente en caso de discrepancia, decisión que el o los progenitores habrán de adoptar atendiendo siempre al mayor beneficio para la vida o salud del paciente.</w:t>
      </w:r>
    </w:p>
    <w:p w14:paraId="2FCDA9DC" w14:textId="77777777" w:rsidR="00F64776" w:rsidRDefault="00F64776" w:rsidP="00F64776">
      <w:pPr>
        <w:pStyle w:val="TextoNormal"/>
      </w:pPr>
    </w:p>
    <w:p w14:paraId="3B1F7F04" w14:textId="77777777" w:rsidR="00F64776" w:rsidRDefault="00F64776" w:rsidP="00F64776">
      <w:pPr>
        <w:pStyle w:val="TextoNormal"/>
      </w:pPr>
      <w:r>
        <w:t>En relación con la vacunación contra la covid-19, el auto destaca los siguientes hechos esenciales para la resolución del recurso que califica como notorios:</w:t>
      </w:r>
    </w:p>
    <w:p w14:paraId="59B32220" w14:textId="77777777" w:rsidR="00F64776" w:rsidRDefault="00F64776" w:rsidP="00F64776">
      <w:pPr>
        <w:pStyle w:val="TextoNormal"/>
      </w:pPr>
    </w:p>
    <w:p w14:paraId="26F5366A" w14:textId="77777777" w:rsidR="00F64776" w:rsidRDefault="00F64776" w:rsidP="00F64776">
      <w:pPr>
        <w:pStyle w:val="TextoNormal"/>
      </w:pPr>
      <w:r>
        <w:t>“A- El 25 de noviembre de 2021 la Agencia Europea del Medicamento (EMA) autorizó la vacuna infantil Pfizer-Comirnaty para la población de entre cinco y once años.</w:t>
      </w:r>
    </w:p>
    <w:p w14:paraId="20428C3E" w14:textId="77777777" w:rsidR="00F64776" w:rsidRDefault="00F64776" w:rsidP="00F64776">
      <w:pPr>
        <w:pStyle w:val="TextoNormal"/>
      </w:pPr>
    </w:p>
    <w:p w14:paraId="0440552A" w14:textId="77777777" w:rsidR="00F64776" w:rsidRDefault="00F64776" w:rsidP="00F64776">
      <w:pPr>
        <w:pStyle w:val="TextoNormal"/>
      </w:pPr>
      <w:r>
        <w:t>B.- El 7 de diciembre de 2021 la Comisión de salud pública constituida dentro del Ministerio de Sanidad aprobó la propuesta realizada por la Ponencia de Vacunas para la incorporación de los niños y niñas de entre cinco y once años a la estrategia nacional de vacunación contra la covid-19, justificando su decisión en la conveniencia de disminuir la carga de enfermedad de este colectivo y la transmisión en el entorno familiar, en los centros educativos y en la comunidad, destacando la importancia de proteger a los menores de estas edades no solo de la enfermedad en su faceta aguda, sino también ante posibles afecciones a futuro y frente al síndrome de covid persistente.</w:t>
      </w:r>
    </w:p>
    <w:p w14:paraId="009A1CE8" w14:textId="77777777" w:rsidR="00F64776" w:rsidRDefault="00F64776" w:rsidP="00F64776">
      <w:pPr>
        <w:pStyle w:val="TextoNormal"/>
      </w:pPr>
    </w:p>
    <w:p w14:paraId="2BD7CE7A" w14:textId="77777777" w:rsidR="00F64776" w:rsidRDefault="00F64776" w:rsidP="00F64776">
      <w:pPr>
        <w:pStyle w:val="TextoNormal"/>
      </w:pPr>
      <w:r>
        <w:t>C.- La Asociación Española de Pediatría acordó incluir la vacuna de estos menores en el calendario de vacunación de 2022 con base en los siguientes puntos:</w:t>
      </w:r>
    </w:p>
    <w:p w14:paraId="0494EE6A" w14:textId="77777777" w:rsidR="00F64776" w:rsidRDefault="00F64776" w:rsidP="00F64776">
      <w:pPr>
        <w:pStyle w:val="TextoNormal"/>
      </w:pPr>
    </w:p>
    <w:p w14:paraId="6738586E" w14:textId="77777777" w:rsidR="00F64776" w:rsidRDefault="00F64776" w:rsidP="00F64776">
      <w:pPr>
        <w:pStyle w:val="TextoNormal"/>
      </w:pPr>
      <w:r>
        <w:t>a.- Contemplar el derecho del niño a su protección individual frente a esta enfermedad que, aunque en general en estas edades es leve, puede complicarse en ocasiones.</w:t>
      </w:r>
    </w:p>
    <w:p w14:paraId="1DA06C63" w14:textId="77777777" w:rsidR="00F64776" w:rsidRDefault="00F64776" w:rsidP="00F64776">
      <w:pPr>
        <w:pStyle w:val="TextoNormal"/>
      </w:pPr>
    </w:p>
    <w:p w14:paraId="13D732CA" w14:textId="77777777" w:rsidR="00F64776" w:rsidRDefault="00F64776" w:rsidP="00F64776">
      <w:pPr>
        <w:pStyle w:val="TextoNormal"/>
      </w:pPr>
      <w:r>
        <w:t>b.- Conseguir y mantener espacios educativos seguros, que permitan la normalización de la escolarización y las relaciones interpersonales de los niños, con el consiguiente bienestar psicoemocional.</w:t>
      </w:r>
    </w:p>
    <w:p w14:paraId="1D34FB31" w14:textId="77777777" w:rsidR="00F64776" w:rsidRDefault="00F64776" w:rsidP="00F64776">
      <w:pPr>
        <w:pStyle w:val="TextoNormal"/>
      </w:pPr>
    </w:p>
    <w:p w14:paraId="3BF22714" w14:textId="77777777" w:rsidR="00F64776" w:rsidRDefault="00F64776" w:rsidP="00F64776">
      <w:pPr>
        <w:pStyle w:val="TextoNormal"/>
      </w:pPr>
      <w:r>
        <w:t>c.- Lograr la inmunidad de grupo o de rebaño.</w:t>
      </w:r>
    </w:p>
    <w:p w14:paraId="3908C799" w14:textId="77777777" w:rsidR="00F64776" w:rsidRDefault="00F64776" w:rsidP="00F64776">
      <w:pPr>
        <w:pStyle w:val="TextoNormal"/>
      </w:pPr>
    </w:p>
    <w:p w14:paraId="7EC3D573" w14:textId="77777777" w:rsidR="00F64776" w:rsidRDefault="00F64776" w:rsidP="00F64776">
      <w:pPr>
        <w:pStyle w:val="TextoNormal"/>
      </w:pPr>
      <w:r>
        <w:t>d.- Disminuir la circulación del SARS-COV-2 y la aparición de nuevas variantes.</w:t>
      </w:r>
    </w:p>
    <w:p w14:paraId="7AD8E4FF" w14:textId="77777777" w:rsidR="00F64776" w:rsidRDefault="00F64776" w:rsidP="00F64776">
      <w:pPr>
        <w:pStyle w:val="TextoNormal"/>
      </w:pPr>
    </w:p>
    <w:p w14:paraId="44F161CB" w14:textId="77777777" w:rsidR="00F64776" w:rsidRDefault="00F64776" w:rsidP="00F64776">
      <w:pPr>
        <w:pStyle w:val="TextoNormal"/>
      </w:pPr>
      <w:r>
        <w:t>e.- No privar a la población infantil del beneficio que aporta la vacunación, del que ya gozan los mayores de doce años (aunque los objetivos en términos de salud sean diferentes)”.</w:t>
      </w:r>
    </w:p>
    <w:p w14:paraId="1A473129" w14:textId="77777777" w:rsidR="00F64776" w:rsidRDefault="00F64776" w:rsidP="00F64776">
      <w:pPr>
        <w:pStyle w:val="TextoNormal"/>
      </w:pPr>
    </w:p>
    <w:p w14:paraId="301B3861" w14:textId="77777777" w:rsidR="00F64776" w:rsidRDefault="00F64776" w:rsidP="00F64776">
      <w:pPr>
        <w:pStyle w:val="TextoNormal"/>
      </w:pPr>
      <w:r>
        <w:t>El auto centra la cuestión en determinar a cuál de los progenitores se ha de atribuir la facultad de decidir si el menor debe ser vacunado, sin que corresponda a los órganos judiciales entrar en debates científicos sobre los efectos y las consecuencias la administración o falta de administración de la vacuna, pues los propios expertos en dicha materia desconocen exactamente no solo el origen de la pandemia, sino cómo va a evolucionar y los efectos a largo plazo de las vacunas. No puede obviarse, a juicio de la Sala, que desde la existencia de las vacunas la mortalidad, gravedad y consecuencias que produce la enfermedad covid-19 han disminuido. La solución ha de tomar como punto de partida las recomendaciones, avaladas por informes científicos, de las autoridades administrativas competentes en materia de salud pública y también de aquella respuesta al problema que goza de un más elevado nivel de consenso social. Trasladado al ámbito del art. 156 CC y disposiciones concordantes, aquella postura constituye en nuestro entorno social el canon objetivo que define, con carácter general, lo que debe considerarse más beneficioso para el interés de los menores que se encuentren en situación de normalidad.</w:t>
      </w:r>
    </w:p>
    <w:p w14:paraId="2783416F" w14:textId="77777777" w:rsidR="00F64776" w:rsidRDefault="00F64776" w:rsidP="00F64776">
      <w:pPr>
        <w:pStyle w:val="TextoNormal"/>
      </w:pPr>
    </w:p>
    <w:p w14:paraId="26C705A0" w14:textId="77777777" w:rsidR="00F64776" w:rsidRDefault="00F64776" w:rsidP="00F64776">
      <w:pPr>
        <w:pStyle w:val="TextoNormal"/>
      </w:pPr>
      <w:r>
        <w:t>A continuación, el auto procede al examen del caso en concreto, atendidas las patologías del paciente, su estado de salud, las posibles contraindicaciones a la vacunación y los casos en los cuales no es aconsejable o, al menos, debe suspenderse o retrasarse la administración de la vacuna. En el caso sometido a su consideración, la Sala afirma que no se aporta por ninguna de las partes informe médico alguno que aconseje o desaconseje la vacunación del menor, ni se acredita que este sufra algún tipo de patología que determine la contraindicación de la vacuna, por lo que debe estarse a las recomendaciones generales ya expuestas.</w:t>
      </w:r>
    </w:p>
    <w:p w14:paraId="07910F2B" w14:textId="77777777" w:rsidR="00F64776" w:rsidRDefault="00F64776" w:rsidP="00F64776">
      <w:pPr>
        <w:pStyle w:val="TextoNormal"/>
      </w:pPr>
    </w:p>
    <w:p w14:paraId="672AA743" w14:textId="77777777" w:rsidR="00F64776" w:rsidRDefault="00F64776" w:rsidP="00F64776">
      <w:pPr>
        <w:pStyle w:val="TextoNormal"/>
      </w:pPr>
      <w:r>
        <w:t>Se afirma en el auto que es cierto que la resolución recurrida en apelación no contiene referencia alguna al derecho del menor a ser oído, lo que se debió producir de conformidad con la Ley de la jurisdicción voluntaria en relación con el art. 9 de la Ley Orgánica 1/1996, tal como lo interpreta el Tribunal Supremo en sentencia de 27 de julio de 2021, que cita la STC 64/2019, de 9 de mayo. Pero la Sala considera que resulta innecesaria dicha exploración y oír al menor, que en el presente caso no ha cumplido doce años (tan solo tiene ocho años) y entiende que con dicha edad carece de la madurez suficiente para conocer la repercusión y consecuencias de las preguntas que se le formulen, atendidas las consideraciones técnicas y científicas de la cuestión planteada, requisito necesario para que resulte procedente la práctica de la exploración del menor o que sea oído.</w:t>
      </w:r>
    </w:p>
    <w:p w14:paraId="741ACECC" w14:textId="77777777" w:rsidR="00F64776" w:rsidRDefault="00F64776" w:rsidP="00F64776">
      <w:pPr>
        <w:pStyle w:val="TextoNormal"/>
      </w:pPr>
    </w:p>
    <w:p w14:paraId="447FB4B1" w14:textId="72568F25" w:rsidR="00F64776" w:rsidRDefault="00F64776" w:rsidP="00F64776">
      <w:pPr>
        <w:pStyle w:val="TextoNormal"/>
      </w:pPr>
      <w:r>
        <w:t>Como conclusión, el auto rechaza que se haya producido error en la valoración de la prueba y declara que, en ningún caso, se está autorizando la vacunación del menor, sino que se autoriza a uno de los progenitores a decidir lo que considere más apropiado en interés del menor, todo lo cual determina la desestimación del recurso de apelación.</w:t>
      </w:r>
    </w:p>
    <w:p w14:paraId="10B40A31" w14:textId="77777777" w:rsidR="00F64776" w:rsidRDefault="00F64776" w:rsidP="00F64776">
      <w:pPr>
        <w:pStyle w:val="TextoNormal"/>
      </w:pPr>
    </w:p>
    <w:p w14:paraId="62FCAA04" w14:textId="77777777" w:rsidR="00F64776" w:rsidRDefault="00F64776" w:rsidP="00F64776">
      <w:pPr>
        <w:pStyle w:val="TextoNormal"/>
      </w:pPr>
      <w:r w:rsidRPr="00F64776">
        <w:rPr>
          <w:rStyle w:val="NumeroAFNegritaCaracter"/>
        </w:rPr>
        <w:t>3</w:t>
      </w:r>
      <w:r>
        <w:t>. El recurrente alega en la demanda de amparo, en esencia, que las resoluciones judiciales impugnadas vulneran el “derecho a la seguridad jurídica” (art. 9 CE) y los derechos a la tutela judicial efectiva y a la defensa (art. 24 CE), porque no le fue notificado el expediente de jurisdicción voluntaria conforme al Reglamento (CE) número 1393/2007, del Parlamento Europeo y del Consejo, de 13 de noviembre de 2007, relativo a la notificación y al traslado en los Estados miembros de documentos judiciales y extrajudiciales en materia civil o mercantil, al art. 155.1 a la Ley de enjuiciamiento civil y a la jurisprudencia constitucional, sino que las notificaciones le fueron despachadas por correo electrónico, siendo extranjero con domicilio conocido en Italia y reseñado en la demanda, lo que le ha perjudicado gravemente al no poder contestar ni oponerse a la demanda de jurisdicción voluntaria. Sostiene que las resoluciones judiciales no sustentan en derecho positivo la inaplicación de las normas que regulan los medicamentos bajo seguimiento adicional, esto es, el Real Decreto Legislativo 1/2015 y el Real Decreto 1090/2015, ya que no se han completado todas las fases del estudio clínico aleatorizado, controlado con placebo y enmascaramiento.</w:t>
      </w:r>
    </w:p>
    <w:p w14:paraId="088E11CA" w14:textId="77777777" w:rsidR="00F64776" w:rsidRDefault="00F64776" w:rsidP="00F64776">
      <w:pPr>
        <w:pStyle w:val="TextoNormal"/>
      </w:pPr>
    </w:p>
    <w:p w14:paraId="3CBCF483" w14:textId="77777777" w:rsidR="00F64776" w:rsidRDefault="00F64776" w:rsidP="00F64776">
      <w:pPr>
        <w:pStyle w:val="TextoNormal"/>
      </w:pPr>
      <w:r>
        <w:t>Asimismo, alega la vulneración de los derechos a la integridad física y moral (art. 15 CE) y a la igualdad ante la ley y no discriminación (art. 14 CE), al atribuir unilateralmente a uno de los progenitores por resolución judicial en procedimiento de jurisdicción voluntaria, la facultad de inocular al menor C.R.A. las denominadas vacunas contra la covid-19 —en su estatus actual—, esto es, como medicamento bajo distintivo triangulo negro, bajo autorización condicional y seguimiento adicional, y que, para confirmar la eficacia y seguridad el fabricante deberá enviar el informe del estudio clínico final para el estudio aleatorizado, controlado con placebo y con enmascaramiento en diciembre de 2023 (plazo ampliado cinco años más por los graves casos de pericarditis y miocarditis).</w:t>
      </w:r>
    </w:p>
    <w:p w14:paraId="04F64D46" w14:textId="77777777" w:rsidR="00F64776" w:rsidRDefault="00F64776" w:rsidP="00F64776">
      <w:pPr>
        <w:pStyle w:val="TextoNormal"/>
      </w:pPr>
    </w:p>
    <w:p w14:paraId="69691258" w14:textId="4EB6193F" w:rsidR="00F64776" w:rsidRDefault="00F64776" w:rsidP="00F64776">
      <w:pPr>
        <w:pStyle w:val="TextoNormal"/>
      </w:pPr>
      <w:r>
        <w:t>Mediante otrosí interesa, al amparo del art. 56.2 de la Ley Orgánica del Tribunal Constitucional (LOTC), la suspensión de la ejecución de los autos recurridos. Entiende el demandante que “la ejecución inmediata del fallo impuesto es en este momento susceptible de causar perjuicios de imposible reparación, habida cuenta que actualmente se encuentra en trámite el presente recurso de amparo, debe suspenderse la ejecución inmediata de la parte dispositiva del auto hasta que por parte de este Excmo. Tribunal se decida la cuestión, y todo ello a fin de no hacer plenamente ineficaz la resolución que en tal recurso pueda dictarse, caso de otorgarse el amparo”.</w:t>
      </w:r>
    </w:p>
    <w:p w14:paraId="25E2D1C9" w14:textId="77777777" w:rsidR="00F64776" w:rsidRDefault="00F64776" w:rsidP="00F64776">
      <w:pPr>
        <w:pStyle w:val="TextoNormal"/>
      </w:pPr>
    </w:p>
    <w:p w14:paraId="602AF6DA" w14:textId="77777777" w:rsidR="00F64776" w:rsidRDefault="00F64776" w:rsidP="00F64776">
      <w:pPr>
        <w:pStyle w:val="TextoNormal"/>
      </w:pPr>
      <w:r w:rsidRPr="00F64776">
        <w:rPr>
          <w:rStyle w:val="NumeroAFNegritaCaracter"/>
        </w:rPr>
        <w:t>4</w:t>
      </w:r>
      <w:r>
        <w:t>. En virtud de providencia de fecha 11 de septiembre de 2023, la Sección Primera de este tribunal acordó admitir a trámite el recurso, “apreciando que concurre en el mismo una especial trascendencia constitucional (art. 50.1 LOTC) porque el recurso plantea un problema o afecta a una faceta de un derecho fundamental sobre el que no hay doctrina de este tribunal [STC 155/2009, de 25 de junio, FJ 2 a)] y el asunto suscitado trasciende del caso concreto porque plantea una cuestión jurídica de relevante y general repercusión social o económica [STC 155/2009, FJ 2 g)”.</w:t>
      </w:r>
    </w:p>
    <w:p w14:paraId="0426AE79" w14:textId="77777777" w:rsidR="00F64776" w:rsidRDefault="00F64776" w:rsidP="00F64776">
      <w:pPr>
        <w:pStyle w:val="TextoNormal"/>
      </w:pPr>
    </w:p>
    <w:p w14:paraId="7CAF5E15" w14:textId="5B00146C" w:rsidR="00F64776" w:rsidRDefault="00F64776" w:rsidP="00F64776">
      <w:pPr>
        <w:pStyle w:val="TextoNormal"/>
      </w:pPr>
      <w:r>
        <w:t>En lo que ahora interesa, en la misma providencia se acordó la formación de pieza separada de suspensión.</w:t>
      </w:r>
    </w:p>
    <w:p w14:paraId="35211CE8" w14:textId="77777777" w:rsidR="00F64776" w:rsidRDefault="00F64776" w:rsidP="00F64776">
      <w:pPr>
        <w:pStyle w:val="TextoNormal"/>
      </w:pPr>
    </w:p>
    <w:p w14:paraId="18BC419A" w14:textId="2E83689F" w:rsidR="00F64776" w:rsidRDefault="00F64776" w:rsidP="00F64776">
      <w:pPr>
        <w:pStyle w:val="TextoNormal"/>
      </w:pPr>
      <w:r w:rsidRPr="00F64776">
        <w:rPr>
          <w:rStyle w:val="NumeroAFNegritaCaracter"/>
        </w:rPr>
        <w:t>5</w:t>
      </w:r>
      <w:r>
        <w:t>. Mediante providencia de la misma fecha se acordó la formación de pieza separada de suspensión y, de conformidad con el art. 56 LOTC, conceder al demandante de amparo y al Ministerio Fiscal un plazo común de tres días para que aleguen lo que estimen pertinente respecto a la solicitud de suspensión.</w:t>
      </w:r>
    </w:p>
    <w:p w14:paraId="08DA54FA" w14:textId="77777777" w:rsidR="00F64776" w:rsidRDefault="00F64776" w:rsidP="00F64776">
      <w:pPr>
        <w:pStyle w:val="TextoNormal"/>
      </w:pPr>
    </w:p>
    <w:p w14:paraId="3D7C2818" w14:textId="2A1F0535" w:rsidR="00F64776" w:rsidRDefault="00F64776" w:rsidP="00F64776">
      <w:pPr>
        <w:pStyle w:val="TextoNormal"/>
      </w:pPr>
      <w:r w:rsidRPr="00F64776">
        <w:rPr>
          <w:rStyle w:val="NumeroAFNegritaCaracter"/>
        </w:rPr>
        <w:t>6</w:t>
      </w:r>
      <w:r>
        <w:t>. Por diligencia de ordenación de 13 de septiembre de 2023 se acordó, conforme al art. 88 LOTC, librar oficio para requerir a la Consejería de Sanidad y Salud Pública de la Generalitat Valenciana a fin de que en el plazo de diez días remita informe sobre si le consta que se haya procedido a la vacunación frente a la covid-19 del menor C.R.A.</w:t>
      </w:r>
    </w:p>
    <w:p w14:paraId="39EEEBDC" w14:textId="77777777" w:rsidR="00F64776" w:rsidRDefault="00F64776" w:rsidP="00F64776">
      <w:pPr>
        <w:pStyle w:val="TextoNormal"/>
      </w:pPr>
    </w:p>
    <w:p w14:paraId="7BE21D69" w14:textId="0EC3886D" w:rsidR="00F64776" w:rsidRDefault="00F64776" w:rsidP="00F64776">
      <w:pPr>
        <w:pStyle w:val="TextoNormal"/>
      </w:pPr>
      <w:r w:rsidRPr="00F64776">
        <w:rPr>
          <w:rStyle w:val="NumeroAFNegritaCaracter"/>
        </w:rPr>
        <w:t>7</w:t>
      </w:r>
      <w:r>
        <w:t>. El día 14 de septiembre de 2023, la representación procesal del demandante presentó escrito de alegaciones, donde confirmó íntegramente la solicitud de suspensión cautelar “para evitar daños y perjuicios de imposible [reparación] en cuanto se resuelve el recurso de amparo solicitado. Entendiendo que la ejecución inmediata del fallo impuesto es en este momento susceptible de causar perjuicios de imposible reparación, habida cuenta que actualmente se encuentra en trámite el presente recurso de amparo, debe suspenderse la ejecución inmediata de la parte dispositiva del auto hasta que por parte de este Excmo. Tribunal se decida la cuestión, y todo ello a fin de no hacer plenamente ineficaz la resolución que en tal recurso pueda dictarse, caso de otorgarse el amparo”.</w:t>
      </w:r>
    </w:p>
    <w:p w14:paraId="2DB7A4E5" w14:textId="77777777" w:rsidR="00F64776" w:rsidRDefault="00F64776" w:rsidP="00F64776">
      <w:pPr>
        <w:pStyle w:val="TextoNormal"/>
      </w:pPr>
    </w:p>
    <w:p w14:paraId="2EBDDE58" w14:textId="77777777" w:rsidR="00F64776" w:rsidRDefault="00F64776" w:rsidP="00F64776">
      <w:pPr>
        <w:pStyle w:val="TextoNormal"/>
      </w:pPr>
      <w:r w:rsidRPr="00F64776">
        <w:rPr>
          <w:rStyle w:val="NumeroAFNegritaCaracter"/>
        </w:rPr>
        <w:t>8</w:t>
      </w:r>
      <w:r>
        <w:t>. En contestación a lo acordado en la diligencia de ordenación de 13 de septiembre de 2023, el siguiente día 20 se recibió en el registro de entrada de este tribunal oficio del Hospital General de Alicante de la misma fecha, en el que informa que “una vez consultados nuestros registros informáticos no nos constan registros de vacunación frente al covid-19 a” C.R.A.</w:t>
      </w:r>
    </w:p>
    <w:p w14:paraId="50BFE317" w14:textId="77777777" w:rsidR="00F64776" w:rsidRDefault="00F64776" w:rsidP="00F64776">
      <w:pPr>
        <w:pStyle w:val="TextoNormal"/>
      </w:pPr>
    </w:p>
    <w:p w14:paraId="5126E3F5" w14:textId="49294B1A" w:rsidR="00F64776" w:rsidRDefault="00F64776" w:rsidP="00F64776">
      <w:pPr>
        <w:pStyle w:val="TextoNormal"/>
      </w:pPr>
      <w:r>
        <w:t>En diligencia de ordenación de 20 de septiembre de 2023 se acordó la unión del anterior escrito a la pieza separada de suspensión y su puesta en conocimiento de las partes.</w:t>
      </w:r>
    </w:p>
    <w:p w14:paraId="5265A4C1" w14:textId="77777777" w:rsidR="00F64776" w:rsidRDefault="00F64776" w:rsidP="00F64776">
      <w:pPr>
        <w:pStyle w:val="TextoNormal"/>
      </w:pPr>
    </w:p>
    <w:p w14:paraId="738BD7B1" w14:textId="77777777" w:rsidR="00F64776" w:rsidRDefault="00F64776" w:rsidP="00F64776">
      <w:pPr>
        <w:pStyle w:val="TextoNormal"/>
      </w:pPr>
      <w:r w:rsidRPr="00F64776">
        <w:rPr>
          <w:rStyle w:val="NumeroAFNegritaCaracter"/>
        </w:rPr>
        <w:t>9</w:t>
      </w:r>
      <w:r>
        <w:t>. El escrito de alegaciones del Ministerio Fiscal tuvo entrada en el registro general de este tribunal día 28 de septiembre de 2023. Tras exponer los antecedentes del caso y la doctrina constitucional aplicable, interesó la denegación de la suspensión cautelar solicitada.</w:t>
      </w:r>
    </w:p>
    <w:p w14:paraId="367C1CE3" w14:textId="77777777" w:rsidR="00F64776" w:rsidRDefault="00F64776" w:rsidP="00F64776">
      <w:pPr>
        <w:pStyle w:val="TextoNormal"/>
      </w:pPr>
    </w:p>
    <w:p w14:paraId="47AE1295" w14:textId="076BE8C9" w:rsidR="00F64776" w:rsidRDefault="00F64776" w:rsidP="00F64776">
      <w:pPr>
        <w:pStyle w:val="TextoNormal"/>
      </w:pPr>
      <w:r>
        <w:t>En el apartado titulado “[a]plicación de la doctrina constitucional”, el Ministerio Fiscal aduce lo siguiente: (i) “el recurrente se limita a solicitar en el otrosí segundo de la demanda, sin otra argumentación, la inmediata ejecución del fallo con el fin de evitar daños y perjuicios, pero no realiza ninguna justificación del perjuicio irreparable que hiciere perder al amparo su finalidad, incumpliendo así lo exigido [...] por la doctrina constitucional, cuando dice que la acreditación del perjuicio es carga del recurrente, quien debe precisar los concretos perjuicios que de la ejecución se deriven, así como justificar o argumentar razonadamente la irreparabilidad de los mismos”; y (ii) “se estima que es de aplicación el criterio adoptado en los recientes autos de fecha 17 de abril de 2023, FJ 3, y núm. 102/2023 de fecha 6 de marzo, FJ 5, [...] y, por tanto, no procede la suspensión dado que cualquier pronunciamiento cautelar que este tribunal pudiera hacer en favor de la suspensión solicitada significaría entrar anticipadamente en el debate de fondo de la pretensión de amparo y por tanto la cuestión deberá ser abordada al dictar sentencia y no en este momento procesal”.</w:t>
      </w:r>
    </w:p>
    <w:p w14:paraId="6B1A88F6" w14:textId="77777777" w:rsidR="00F64776" w:rsidRDefault="00F64776" w:rsidP="00F64776">
      <w:pPr>
        <w:pStyle w:val="TextoNormal"/>
      </w:pPr>
    </w:p>
    <w:p w14:paraId="0722DC9F" w14:textId="5F766B71" w:rsidR="00F64776" w:rsidRDefault="00F64776" w:rsidP="00F64776">
      <w:pPr>
        <w:pStyle w:val="TextoNormal"/>
      </w:pPr>
      <w:r w:rsidRPr="00F64776">
        <w:rPr>
          <w:rStyle w:val="NumeroAFNegritaCaracter"/>
        </w:rPr>
        <w:t>10</w:t>
      </w:r>
      <w:r>
        <w:t>. En diligencia de ordenación de fecha 23 de octubre de 2023 se dejó constancia de haberse efectuado los emplazamientos acordados en la providencia de admisión, sin que se hubiera producido personación alguna.</w:t>
      </w:r>
    </w:p>
    <w:p w14:paraId="1BD10C24" w14:textId="77777777" w:rsidR="00F64776" w:rsidRDefault="00F64776" w:rsidP="00F64776">
      <w:pPr>
        <w:pStyle w:val="TextoNormal"/>
      </w:pPr>
    </w:p>
    <w:p w14:paraId="3648C924" w14:textId="77777777" w:rsidR="00F64776" w:rsidRDefault="00F64776" w:rsidP="00F64776">
      <w:pPr>
        <w:pStyle w:val="TextoNormalNegritaCentrado"/>
        <w:keepNext/>
      </w:pPr>
      <w:r>
        <w:t>II. Fundamentos jurídicos</w:t>
      </w:r>
    </w:p>
    <w:p w14:paraId="452E7020" w14:textId="21904236" w:rsidR="00F64776" w:rsidRDefault="00F64776" w:rsidP="00F64776">
      <w:pPr>
        <w:pStyle w:val="TextoNormalNegritaCentrado"/>
        <w:keepNext/>
      </w:pPr>
    </w:p>
    <w:p w14:paraId="717723B5" w14:textId="77777777" w:rsidR="00F64776" w:rsidRDefault="00F64776" w:rsidP="00F64776">
      <w:pPr>
        <w:pStyle w:val="TextoNormal"/>
      </w:pPr>
      <w:r w:rsidRPr="00F64776">
        <w:rPr>
          <w:rStyle w:val="NumeroAFNegritaCaracter"/>
        </w:rPr>
        <w:t>1</w:t>
      </w:r>
      <w:r>
        <w:t>. Como ha quedado reflejado en los antecedentes de esta resolución, el demandante de amparo interesa la suspensión de la ejecución de las resoluciones judiciales en cuya virtud se ha autorizado la vacunación contra la covid-19 de su hijo menor de edad.</w:t>
      </w:r>
    </w:p>
    <w:p w14:paraId="164D2057" w14:textId="77777777" w:rsidR="00F64776" w:rsidRDefault="00F64776" w:rsidP="00F64776">
      <w:pPr>
        <w:pStyle w:val="TextoNormal"/>
      </w:pPr>
    </w:p>
    <w:p w14:paraId="0DF74D5F" w14:textId="1CD04754" w:rsidR="00F64776" w:rsidRDefault="00F64776" w:rsidP="00F64776">
      <w:pPr>
        <w:pStyle w:val="TextoNormal"/>
      </w:pPr>
      <w:r>
        <w:t>El Ministerio Fiscal interesa la denegación de la suspensión: de una parte, por no haber expuesto el recurrente justificación alguna del perjuicio irreparable que hiciese perder al amparo su finalidad y, por otro lado, porque cualquier pronunciamiento cautelar en favor de la suspensión solicitada significaría entrar anticipadamente en el debate de fondo de la pretensión de amparo, cuestión que deberá ser abordada al dictar sentencia y no en este momento procesal.</w:t>
      </w:r>
    </w:p>
    <w:p w14:paraId="1095ACAC" w14:textId="77777777" w:rsidR="00F64776" w:rsidRDefault="00F64776" w:rsidP="00F64776">
      <w:pPr>
        <w:pStyle w:val="TextoNormal"/>
      </w:pPr>
    </w:p>
    <w:p w14:paraId="0AF489C3" w14:textId="66691BC1" w:rsidR="00F64776" w:rsidRDefault="00F64776" w:rsidP="00F64776">
      <w:pPr>
        <w:pStyle w:val="TextoNormal"/>
      </w:pPr>
      <w:r w:rsidRPr="00F64776">
        <w:rPr>
          <w:rStyle w:val="NumeroAFNegritaCaracter"/>
        </w:rPr>
        <w:t>2</w:t>
      </w:r>
      <w:r>
        <w:t>. Al amparo de lo establecido en el art. 86.3 LOTC y en el acuerdo del Pleno del Tribunal Constitucional de 23 de julio de 2015, por el que se regula la exclusión de los datos de identidad personal en la publicación de las resoluciones jurisdiccionales (“Boletín Oficial del Estado” núm. 178, de 27 de julio de 2015), en atención a que el objeto de controversia de este proceso constitucional versa sobre una persona que requiere un especial deber de tutela por su minoría de edad, en la presente resolución se identifican por sus iniciales a los intervinientes con la finalidad de preservar de modo efectivo el anonimato de la persona concernida.</w:t>
      </w:r>
    </w:p>
    <w:p w14:paraId="56D41AFD" w14:textId="77777777" w:rsidR="00F64776" w:rsidRDefault="00F64776" w:rsidP="00F64776">
      <w:pPr>
        <w:pStyle w:val="TextoNormal"/>
      </w:pPr>
    </w:p>
    <w:p w14:paraId="45E962F3" w14:textId="77777777" w:rsidR="00F64776" w:rsidRDefault="00F64776" w:rsidP="00F64776">
      <w:pPr>
        <w:pStyle w:val="TextoNormal"/>
      </w:pPr>
      <w:r w:rsidRPr="00F64776">
        <w:rPr>
          <w:rStyle w:val="NumeroAFNegritaCaracter"/>
        </w:rPr>
        <w:t>3</w:t>
      </w:r>
      <w:r>
        <w:t>. Para resolver este incidente cautelar es necesario partir de lo que dispone el art. 56.1 LOTC que, como regla general, establece que “la interposición del recurso de amparo no suspenderá los efectos del acto o sentencia impugnados”. No obstante, su apartado 2, señala después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 La excepción a la regla general viene así determinada por una doble condición: en primer lugar, que la ejecución del acto o resolución impugnados produzca un perjuicio que pudiera hacer perder al amparo su finalidad, para el caso de que fuera finalmente estimado; y en segundo término, que la suspensión no genere, a su vez, una perturbación grave a un interés constitucionalmente protegido, ni a los derechos fundamentales o libertades de otra persona.</w:t>
      </w:r>
    </w:p>
    <w:p w14:paraId="1C36B01B" w14:textId="77777777" w:rsidR="00F64776" w:rsidRDefault="00F64776" w:rsidP="00F64776">
      <w:pPr>
        <w:pStyle w:val="TextoNormal"/>
      </w:pPr>
    </w:p>
    <w:p w14:paraId="2F49B84B" w14:textId="4A1F0E6D" w:rsidR="00F64776" w:rsidRDefault="00F64776" w:rsidP="00F64776">
      <w:pPr>
        <w:pStyle w:val="TextoNormal"/>
      </w:pPr>
      <w:r>
        <w:t>Cuando el amparo constitucional se solicita respecto a resoluciones judiciales firmes, este tribunal tiene declarado (AATC 190/2015, de 5 de noviembre, FJ 2; 130/2022, de 10 de octubre, FJ 3; 436/2023, de 25 de septiembre, FJ 2, y los autos en ellos citados) que la suspensión de la ejecución entraña siempre, en sí misma, una perturbación de la función jurisdiccional que comprende la potestad de hacer ejecutar lo juzgado (art. 117.3 CE). Consecuentemente, la regla general debe ser la improcedencia de la suspensión, que se configura así como una medida provisional de carácter excepcional y de aplicación restrictiva; esta naturaleza deriva de la necesidad de preservar el interés general, de la garantía de la efectividad de las decisiones de los poderes públicos y del aseguramiento de la ejecución de las resoluciones dictadas por jueces y tribunales en el ejercicio de la potestad jurisdiccional que les confiere el art. 117.3 CE. En definitiva, se trata de preservar la presunción de legitimidad que alcanza a todas las actuaciones de los poderes públicos, presunción inherente a la entera actividad pública.</w:t>
      </w:r>
    </w:p>
    <w:p w14:paraId="5DE20EE8" w14:textId="77777777" w:rsidR="00F64776" w:rsidRDefault="00F64776" w:rsidP="00F64776">
      <w:pPr>
        <w:pStyle w:val="TextoNormal"/>
      </w:pPr>
    </w:p>
    <w:p w14:paraId="5D1AF22A" w14:textId="77777777" w:rsidR="00F64776" w:rsidRDefault="00F64776" w:rsidP="00F64776">
      <w:pPr>
        <w:pStyle w:val="TextoNormal"/>
      </w:pPr>
      <w:r w:rsidRPr="00F64776">
        <w:rPr>
          <w:rStyle w:val="NumeroAFNegritaCaracter"/>
        </w:rPr>
        <w:t>4</w:t>
      </w:r>
      <w:r>
        <w:t>. La facultad de este tribunal de adoptar medidas cautelares en los procesos de amparo, reconocida en el art. 56 LOTC, se sustenta en la necesidad de asegurar la efectividad de las resoluciones que les pongan fin, esto es, de preservar la integridad del derecho fundamental cuya vulneración se denuncia, en tanto en cuanto la ejecución del acto o resolución impugnados pudiera ocasionar un perjuicio que hiciese perder al amparo su finalidad.</w:t>
      </w:r>
    </w:p>
    <w:p w14:paraId="54AB6B62" w14:textId="77777777" w:rsidR="00F64776" w:rsidRDefault="00F64776" w:rsidP="00F64776">
      <w:pPr>
        <w:pStyle w:val="TextoNormal"/>
      </w:pPr>
    </w:p>
    <w:p w14:paraId="2D8F5FF2" w14:textId="77777777" w:rsidR="00F64776" w:rsidRDefault="00F64776" w:rsidP="00F64776">
      <w:pPr>
        <w:pStyle w:val="TextoNormal"/>
      </w:pPr>
      <w:r>
        <w:t>Como recuerdan los AATC 130/2022, de 10 de octubre, FJ 4, y 436/2023, de 25 de septiembre, con cita en ambos del ATC 55/2018, de 22 de mayo, FJ 2 c), “la perspectiva única que ha de ser tenida en cuenta para decidir sobre cualquier pretensión cautelar formulada en el proceso de amparo ha de ser el de la preservación de la eficacia de un posible pronunciamiento estimatorio, sin prejuzgar cuál haya de ser el sentido de la futura sentencia que le ponga fin […] En tal medida, ‘no procede en este incidente examinar ni la concurrencia ni la ausencia de apariencia de buen derecho’ de la pretensión de amparo formulada, criterio este del que no se vale la regulación del artículo 56 LOTC para conceder o denegar la protección cautelar pretendida”.</w:t>
      </w:r>
    </w:p>
    <w:p w14:paraId="4297253B" w14:textId="77777777" w:rsidR="00F64776" w:rsidRDefault="00F64776" w:rsidP="00F64776">
      <w:pPr>
        <w:pStyle w:val="TextoNormal"/>
      </w:pPr>
    </w:p>
    <w:p w14:paraId="5B0C735A" w14:textId="77777777" w:rsidR="00F64776" w:rsidRDefault="00F64776" w:rsidP="00F64776">
      <w:pPr>
        <w:pStyle w:val="TextoNormal"/>
      </w:pPr>
      <w:r>
        <w:t>Adicionalmente, “este tribunal viene exigiendo a quien solicita la adopción de la medida cautelar de suspensión del acto o resolución judicial recurrido que alegue, pruebe o justifique, ofreciendo un principio razonable de prueba, la irreparabilidad o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147/2017, de 13 de noviembre, FJ 1; 130/2022, de 10 de octubre, FJ 4, y 436/2023, de 25 de septiembre, FJ 2).</w:t>
      </w:r>
    </w:p>
    <w:p w14:paraId="58F2AD9E" w14:textId="77777777" w:rsidR="00F64776" w:rsidRDefault="00F64776" w:rsidP="00F64776">
      <w:pPr>
        <w:pStyle w:val="TextoNormal"/>
      </w:pPr>
    </w:p>
    <w:p w14:paraId="1BB00366" w14:textId="2F62DCB8" w:rsidR="00F64776" w:rsidRDefault="00F64776" w:rsidP="00F64776">
      <w:pPr>
        <w:pStyle w:val="TextoNormal"/>
      </w:pPr>
      <w:r>
        <w:t>En cuanto al concepto de perjuicio irreparable, debe entenderse que es “aquel que provoque que el restablecimiento del recurrente en los derechos fundamentales cuya vulneración denuncia sea tardío e impida definitivamente que la restauración sea efectiva […]. Los perjuicios irreparables deben ser reales, sin que sea posible alegar los futuros o hipotéticos o un simple temor; la pérdida de la finalidad del amparo no puede equipararse a la mayor o menor dificultad, molestia o incomodidad para el recurrente” (AATC 137/2017, de 16 de octubre, FJ 1; 130/2022, de 10 de octubre, FJ 4, y 436/2023, de 25 de septiembre, FJ 2).</w:t>
      </w:r>
    </w:p>
    <w:p w14:paraId="4E985B5B" w14:textId="77777777" w:rsidR="00F64776" w:rsidRDefault="00F64776" w:rsidP="00F64776">
      <w:pPr>
        <w:pStyle w:val="TextoNormal"/>
      </w:pPr>
    </w:p>
    <w:p w14:paraId="388055DF" w14:textId="77777777" w:rsidR="00F64776" w:rsidRDefault="00F64776" w:rsidP="00F64776">
      <w:pPr>
        <w:pStyle w:val="TextoNormal"/>
      </w:pPr>
      <w:r w:rsidRPr="00F64776">
        <w:rPr>
          <w:rStyle w:val="NumeroAFNegritaCaracter"/>
        </w:rPr>
        <w:t>5</w:t>
      </w:r>
      <w:r>
        <w:t>. El Tribunal ha declarado asimismo en los AATC 71/2020, de 14 de julio, FJ 3; 111/2020, de 21 de septiembre, FJ 2, y 436/2023, de 25 de septiembre, FJ 2, así como en los autos en ellos citados, que otro de los elementos que configuran la naturaleza excepcional de la suspensión de los actos impugnados en amparo es la necesidad de preservar la eficacia de un posible pronunciamiento estimatorio, sin prejuzgar cuál haya de ser el sentido de la futura sentencia que le ponga fin; y, en esta misma línea, que en este incidente procesal no cabe efectuar el análisis de la cuestión de fondo, ni cabe cuestionar las bases fácticas que la sustentan, ni tampoco anticipar indebidamente lo que debe ser resuelto en la oportuna sentencia.</w:t>
      </w:r>
    </w:p>
    <w:p w14:paraId="5E0B3FB6" w14:textId="77777777" w:rsidR="00F64776" w:rsidRDefault="00F64776" w:rsidP="00F64776">
      <w:pPr>
        <w:pStyle w:val="TextoNormal"/>
      </w:pPr>
    </w:p>
    <w:p w14:paraId="7A88AB41" w14:textId="28AA1901" w:rsidR="00F64776" w:rsidRDefault="00F64776" w:rsidP="00F64776">
      <w:pPr>
        <w:pStyle w:val="TextoNormal"/>
      </w:pPr>
      <w:r>
        <w:t>En esta misma línea jurisprudencial, los AATC 102/2023, de 6 de marzo, FJ 4, y 436/2023, de 25 de septiembre, FJ 2, declaran que “expresando el desacuerdo parental una diferencia de criterio sobre cómo mejor proteger la salud del hijo común menor de edad y sobre la conveniencia o utilidad de la administración de la vacuna debatida, cualquier pronunciamiento cautelar que este tribunal pudiera hacer en favor de la suspensión solicitada debería analizar y anticipar el debate de fondo de la pretensión de amparo, dado que la decisión judicial cuestionada se apoya en considerar que la vacuna sometida a debate no supone un grave riesgo para la vida o salud de la menor [ATC 139/2022, de 26 de octubre, FJ 3 b)]. Esa cuestión se integra en lo que constituye el fondo del recurso de amparo; por lo que, en todo caso, deberá ser abordada al dictar sentencia y no en este momento procesal previo”.</w:t>
      </w:r>
    </w:p>
    <w:p w14:paraId="0155512B" w14:textId="77777777" w:rsidR="00F64776" w:rsidRDefault="00F64776" w:rsidP="00F64776">
      <w:pPr>
        <w:pStyle w:val="TextoNormal"/>
      </w:pPr>
    </w:p>
    <w:p w14:paraId="3F6F44B7" w14:textId="47506160" w:rsidR="00F64776" w:rsidRDefault="00F64776" w:rsidP="00F64776">
      <w:pPr>
        <w:pStyle w:val="TextoNormal"/>
      </w:pPr>
      <w:r w:rsidRPr="00F64776">
        <w:rPr>
          <w:rStyle w:val="NumeroAFNegritaCaracter"/>
        </w:rPr>
        <w:t>6</w:t>
      </w:r>
      <w:r>
        <w:t>. En el presente caso, las alegaciones coincidentes presentadas por el recurrente en la demanda de amparo y en este incidente de suspensión se apoyan en los “perjuicios de imposible reparación”, que deben entenderse referidos a la vida o salud del menor como resultado de la administración de la vacuna contra la covid-19. Este planteamiento se identifica plenamente con lo que constituye el fondo del recurso de amparo que, en su caso, será abordado al dictar sentencia, sin que proceda en este incidente cautelar analizar y anticipar el debate de fondo de la pretensión de amparo, centrado en si la decisión judicial cuestionada de autorizar la administración de la vacuna contra la covid-19 al menor de edad C.R.A., se apoya erróneamente en considerar que la vacunación no supone un grave riesgo para su vida o su salud, lo cual determina la denegación de la medida cautelar interesada por el demandante.</w:t>
      </w:r>
    </w:p>
    <w:p w14:paraId="35DBDA10" w14:textId="77777777" w:rsidR="00F64776" w:rsidRDefault="00F64776" w:rsidP="00F64776">
      <w:pPr>
        <w:pStyle w:val="TextoNormal"/>
      </w:pPr>
    </w:p>
    <w:p w14:paraId="39B3BB59" w14:textId="77777777" w:rsidR="00F64776" w:rsidRDefault="00F64776" w:rsidP="00F64776">
      <w:pPr>
        <w:pStyle w:val="TextoNormal"/>
      </w:pPr>
      <w:r>
        <w:t>Por lo expuesto, la Sala</w:t>
      </w:r>
    </w:p>
    <w:p w14:paraId="73745B82" w14:textId="51E783AF" w:rsidR="00F64776" w:rsidRDefault="00F64776" w:rsidP="00F64776">
      <w:pPr>
        <w:pStyle w:val="TextoNormal"/>
      </w:pPr>
    </w:p>
    <w:p w14:paraId="72386F80" w14:textId="77777777" w:rsidR="00F64776" w:rsidRDefault="00F64776" w:rsidP="00F64776">
      <w:pPr>
        <w:pStyle w:val="TextoNormalCentrado"/>
      </w:pPr>
      <w:r>
        <w:t>ACUERDA</w:t>
      </w:r>
    </w:p>
    <w:p w14:paraId="51D136A1" w14:textId="6229A1FE" w:rsidR="00F64776" w:rsidRDefault="00F64776" w:rsidP="00F64776">
      <w:pPr>
        <w:pStyle w:val="TextoNormalCentrado"/>
      </w:pPr>
    </w:p>
    <w:p w14:paraId="7EEB155A" w14:textId="1B9F06D2" w:rsidR="00F64776" w:rsidRDefault="00F64776" w:rsidP="00F64776">
      <w:pPr>
        <w:pStyle w:val="TextoNormal"/>
      </w:pPr>
      <w:r>
        <w:t>Denegar la medida cautelar de suspensión solicitada.</w:t>
      </w:r>
    </w:p>
    <w:p w14:paraId="1EBB4E02" w14:textId="77777777" w:rsidR="00F64776" w:rsidRDefault="00F64776" w:rsidP="00F64776">
      <w:pPr>
        <w:pStyle w:val="TextoNormal"/>
      </w:pPr>
    </w:p>
    <w:p w14:paraId="2A94E71E" w14:textId="77777777" w:rsidR="00F64776" w:rsidRDefault="00F64776" w:rsidP="00F64776">
      <w:pPr>
        <w:pStyle w:val="TextoNormal"/>
      </w:pPr>
      <w:r>
        <w:t>Madrid, a once de diciembre de dos mil veintitrés.</w:t>
      </w:r>
    </w:p>
    <w:p w14:paraId="36E11F07" w14:textId="75701B71" w:rsidR="00F64776" w:rsidRDefault="00F64776">
      <w:pPr>
        <w:spacing w:after="160" w:line="278" w:lineRule="auto"/>
        <w:rPr>
          <w:rFonts w:ascii="Times New Roman" w:eastAsia="Times New Roman" w:hAnsi="Times New Roman" w:cs="Times New Roman"/>
          <w:sz w:val="24"/>
          <w:szCs w:val="24"/>
          <w:lang w:eastAsia="es-ES"/>
        </w:rPr>
      </w:pPr>
      <w:r>
        <w:br w:type="page"/>
      </w:r>
    </w:p>
    <w:p w14:paraId="100654CE" w14:textId="77777777" w:rsidR="00F64776" w:rsidRDefault="00F64776" w:rsidP="00F64776">
      <w:pPr>
        <w:pStyle w:val="TtuloResolucin"/>
      </w:pPr>
      <w:bookmarkStart w:id="447" w:name="AUTO_2023_662"/>
      <w:r>
        <w:t>AUTO 662/2023, de 11 de diciembre de 2023</w:t>
      </w:r>
    </w:p>
    <w:bookmarkEnd w:id="447"/>
    <w:p w14:paraId="72852CBF" w14:textId="77777777" w:rsidR="00F64776" w:rsidRDefault="00F64776" w:rsidP="00F64776">
      <w:pPr>
        <w:pStyle w:val="TtuloResolucin"/>
      </w:pPr>
      <w:r>
        <w:t>Sección Tercera</w:t>
      </w:r>
    </w:p>
    <w:p w14:paraId="173749AC" w14:textId="77777777" w:rsidR="00F64776" w:rsidRDefault="00F64776" w:rsidP="00F64776">
      <w:pPr>
        <w:pStyle w:val="TextoNormalCentrado"/>
      </w:pPr>
      <w:r>
        <w:t>ECLI:ES:TC:2023:662A</w:t>
      </w:r>
    </w:p>
    <w:p w14:paraId="337DE8EB" w14:textId="005D529F" w:rsidR="00F64776" w:rsidRDefault="00F64776" w:rsidP="00F64776">
      <w:pPr>
        <w:pStyle w:val="TextoNormalCentrado"/>
      </w:pPr>
    </w:p>
    <w:p w14:paraId="7B891CA8" w14:textId="77777777" w:rsidR="00F64776" w:rsidRDefault="00F64776" w:rsidP="00F64776">
      <w:pPr>
        <w:pStyle w:val="SntesisDescriptiva"/>
      </w:pPr>
      <w:r>
        <w:t>Excms. Srs. doña Inmaculada Montalbán Huertas y doña Laura Díez Bueso.</w:t>
      </w:r>
    </w:p>
    <w:p w14:paraId="5016BCBB" w14:textId="13533E48" w:rsidR="00F64776" w:rsidRDefault="00F64776" w:rsidP="00F64776">
      <w:pPr>
        <w:pStyle w:val="SntesisDescriptiva"/>
      </w:pPr>
    </w:p>
    <w:p w14:paraId="1F64B6A8" w14:textId="77777777" w:rsidR="00F64776" w:rsidRDefault="00F64776" w:rsidP="00F64776">
      <w:pPr>
        <w:pStyle w:val="SntesisDescriptiva"/>
      </w:pPr>
      <w:r>
        <w:t>Acepta una abstención en el recurso de amparo 3425-2023, promovido en proceso contencioso administrativo.</w:t>
      </w:r>
    </w:p>
    <w:p w14:paraId="36BF7133" w14:textId="696694BB" w:rsidR="00F64776" w:rsidRDefault="00F64776" w:rsidP="00F64776">
      <w:pPr>
        <w:pStyle w:val="SntesisDescriptiva"/>
      </w:pPr>
    </w:p>
    <w:p w14:paraId="64CC8DC8" w14:textId="77777777" w:rsidR="00F64776" w:rsidRDefault="00F64776" w:rsidP="00F64776">
      <w:pPr>
        <w:pStyle w:val="SntesisDescriptiva"/>
      </w:pPr>
    </w:p>
    <w:p w14:paraId="31798E34" w14:textId="77777777" w:rsidR="00F64776" w:rsidRDefault="00F64776" w:rsidP="00F64776">
      <w:pPr>
        <w:pStyle w:val="SntesisDescriptiva"/>
      </w:pPr>
    </w:p>
    <w:p w14:paraId="6D8AB384" w14:textId="77777777" w:rsidR="00F64776" w:rsidRDefault="00F64776" w:rsidP="00F64776">
      <w:pPr>
        <w:pStyle w:val="TextoNormalNegritaCentrado"/>
      </w:pPr>
      <w:r>
        <w:t>AUTO</w:t>
      </w:r>
    </w:p>
    <w:p w14:paraId="44334BE8" w14:textId="7EF3E44F" w:rsidR="00F64776" w:rsidRDefault="00F64776" w:rsidP="00F64776">
      <w:pPr>
        <w:pStyle w:val="TextoNormalNegritaCentrado"/>
      </w:pPr>
    </w:p>
    <w:p w14:paraId="4C4867F3" w14:textId="77777777" w:rsidR="00F64776" w:rsidRDefault="00F64776" w:rsidP="00F64776">
      <w:pPr>
        <w:pStyle w:val="TextoNormalNegritaCentrado"/>
        <w:keepNext/>
      </w:pPr>
      <w:r>
        <w:t>I. Antecedentes</w:t>
      </w:r>
    </w:p>
    <w:p w14:paraId="40CF6FE4" w14:textId="710447EE" w:rsidR="00F64776" w:rsidRDefault="00F64776" w:rsidP="00F64776">
      <w:pPr>
        <w:pStyle w:val="TextoNormalNegritaCentrado"/>
        <w:keepNext/>
      </w:pPr>
    </w:p>
    <w:p w14:paraId="4C19CFF6" w14:textId="1DB685C5" w:rsidR="00F64776" w:rsidRDefault="00F64776" w:rsidP="00F64776">
      <w:pPr>
        <w:pStyle w:val="TextoNormal"/>
      </w:pPr>
      <w:r w:rsidRPr="00F64776">
        <w:rPr>
          <w:rStyle w:val="NumeroAFNegritaCaracter"/>
        </w:rPr>
        <w:t>1</w:t>
      </w:r>
      <w:r>
        <w:t>. Mediante escrito registrado en este tribunal el 23 de mayo de 2023, la procuradora de los tribunales doña Virginia Rosa Lobo Ruiz, en nombre y representación de doña María Nieves Peña Morón y bajo la dirección del letrado don Pablo María Álvarez Castaño, formuló demanda de amparo contra la providencia de 10 de noviembre de 2022 de la Sección Primera de la Sala de lo Contencioso-Administrativo del Tribunal Supremo, en el recurso de casación núm. 2394-2022.</w:t>
      </w:r>
    </w:p>
    <w:p w14:paraId="0FFB3B69" w14:textId="77777777" w:rsidR="00F64776" w:rsidRDefault="00F64776" w:rsidP="00F64776">
      <w:pPr>
        <w:pStyle w:val="TextoNormal"/>
      </w:pPr>
    </w:p>
    <w:p w14:paraId="37E8D543" w14:textId="0F2CFD4C" w:rsidR="00F64776" w:rsidRDefault="00F64776" w:rsidP="00F64776">
      <w:pPr>
        <w:pStyle w:val="TextoNormal"/>
      </w:pPr>
      <w:r w:rsidRPr="00F64776">
        <w:rPr>
          <w:rStyle w:val="NumeroAFNegritaCaracter"/>
        </w:rPr>
        <w:t>2</w:t>
      </w:r>
      <w:r>
        <w:t>. Por escrito de 5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6DD6F550" w14:textId="77777777" w:rsidR="00F64776" w:rsidRDefault="00F64776" w:rsidP="00F64776">
      <w:pPr>
        <w:pStyle w:val="TextoNormal"/>
      </w:pPr>
    </w:p>
    <w:p w14:paraId="0F6E2613" w14:textId="77777777" w:rsidR="00F64776" w:rsidRDefault="00F64776" w:rsidP="00F64776">
      <w:pPr>
        <w:pStyle w:val="TextoNormalNegritaCentrado"/>
        <w:keepNext/>
      </w:pPr>
      <w:r>
        <w:t>II. Fundamentos jurídicos</w:t>
      </w:r>
    </w:p>
    <w:p w14:paraId="61582B5E" w14:textId="0E8495A9" w:rsidR="00F64776" w:rsidRDefault="00F64776" w:rsidP="00F64776">
      <w:pPr>
        <w:pStyle w:val="TextoNormalNegritaCentrado"/>
        <w:keepNext/>
      </w:pPr>
    </w:p>
    <w:p w14:paraId="3F9963E7" w14:textId="0EE31952"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28CA5465" w14:textId="77777777" w:rsidR="00F64776" w:rsidRDefault="00F64776" w:rsidP="00F64776">
      <w:pPr>
        <w:pStyle w:val="TextoNormal"/>
      </w:pPr>
    </w:p>
    <w:p w14:paraId="22735980" w14:textId="77777777" w:rsidR="00F64776" w:rsidRDefault="00F64776" w:rsidP="00F64776">
      <w:pPr>
        <w:pStyle w:val="TextoNormal"/>
      </w:pPr>
      <w:r>
        <w:t>Por lo expuesto, la Sección</w:t>
      </w:r>
    </w:p>
    <w:p w14:paraId="2C8E4A5C" w14:textId="69C76B7C" w:rsidR="00F64776" w:rsidRDefault="00F64776" w:rsidP="00F64776">
      <w:pPr>
        <w:pStyle w:val="TextoNormal"/>
      </w:pPr>
    </w:p>
    <w:p w14:paraId="18E32B19" w14:textId="77777777" w:rsidR="00F64776" w:rsidRDefault="00F64776" w:rsidP="00F64776">
      <w:pPr>
        <w:pStyle w:val="TextoNormalCentrado"/>
      </w:pPr>
      <w:r>
        <w:t>ACUERDA</w:t>
      </w:r>
    </w:p>
    <w:p w14:paraId="1E0FA038" w14:textId="588246CE" w:rsidR="00F64776" w:rsidRDefault="00F64776" w:rsidP="00F64776">
      <w:pPr>
        <w:pStyle w:val="TextoNormalCentrado"/>
      </w:pPr>
    </w:p>
    <w:p w14:paraId="41881FB5" w14:textId="1E353AA6" w:rsidR="00F64776" w:rsidRDefault="00F64776" w:rsidP="00F64776">
      <w:pPr>
        <w:pStyle w:val="TextoNormal"/>
      </w:pPr>
      <w:r>
        <w:t>Estimar justificada la abstención formulada por el magistrado don César Tolosa Tribiño en el recurso de amparo núm. 3425-2023 y apartarle definitivamente del conocimiento del referido recurso y de todas sus incidencias.</w:t>
      </w:r>
    </w:p>
    <w:p w14:paraId="559E970F" w14:textId="77777777" w:rsidR="00F64776" w:rsidRDefault="00F64776" w:rsidP="00F64776">
      <w:pPr>
        <w:pStyle w:val="TextoNormal"/>
      </w:pPr>
    </w:p>
    <w:p w14:paraId="7E6A3F46" w14:textId="77777777" w:rsidR="00F64776" w:rsidRDefault="00F64776" w:rsidP="00F64776">
      <w:pPr>
        <w:pStyle w:val="TextoNormal"/>
      </w:pPr>
      <w:r>
        <w:t>Madrid, a once de diciembre de dos mil veintitrés.</w:t>
      </w:r>
    </w:p>
    <w:p w14:paraId="20750C42" w14:textId="4564068F" w:rsidR="00F64776" w:rsidRDefault="00F64776">
      <w:pPr>
        <w:spacing w:after="160" w:line="278" w:lineRule="auto"/>
        <w:rPr>
          <w:rFonts w:ascii="Times New Roman" w:eastAsia="Times New Roman" w:hAnsi="Times New Roman" w:cs="Times New Roman"/>
          <w:sz w:val="24"/>
          <w:szCs w:val="24"/>
          <w:lang w:eastAsia="es-ES"/>
        </w:rPr>
      </w:pPr>
      <w:r>
        <w:br w:type="page"/>
      </w:r>
    </w:p>
    <w:p w14:paraId="28F38093" w14:textId="77777777" w:rsidR="00F64776" w:rsidRDefault="00F64776" w:rsidP="00F64776">
      <w:pPr>
        <w:pStyle w:val="TtuloResolucin"/>
      </w:pPr>
      <w:bookmarkStart w:id="448" w:name="AUTO_2023_663"/>
      <w:r>
        <w:t>AUTO 663/2023, de 11 de diciembre de 2023</w:t>
      </w:r>
    </w:p>
    <w:bookmarkEnd w:id="448"/>
    <w:p w14:paraId="75E1314F" w14:textId="77777777" w:rsidR="00F64776" w:rsidRDefault="00F64776" w:rsidP="00F64776">
      <w:pPr>
        <w:pStyle w:val="TtuloResolucin"/>
      </w:pPr>
      <w:r>
        <w:t>Sala Segunda</w:t>
      </w:r>
    </w:p>
    <w:p w14:paraId="0EAFF2CE" w14:textId="77777777" w:rsidR="00F64776" w:rsidRDefault="00F64776" w:rsidP="00F64776">
      <w:pPr>
        <w:pStyle w:val="TextoNormalCentrado"/>
      </w:pPr>
      <w:r>
        <w:t>ECLI:ES:TC:2023:663A</w:t>
      </w:r>
    </w:p>
    <w:p w14:paraId="0165C1B3" w14:textId="37C4A9B9" w:rsidR="00F64776" w:rsidRDefault="00F64776" w:rsidP="00F64776">
      <w:pPr>
        <w:pStyle w:val="TextoNormalCentrado"/>
      </w:pPr>
    </w:p>
    <w:p w14:paraId="0E7FDD2F" w14:textId="77777777" w:rsidR="00F64776" w:rsidRDefault="00F64776" w:rsidP="00F64776">
      <w:pPr>
        <w:pStyle w:val="SntesisDescriptiva"/>
      </w:pPr>
      <w:r>
        <w:t>Excms. Srs. doña Inmaculada Montalbán Huertas, doña María Luisa Balaguer Callejón, don Ramón Sáez Valcárcel, don Enrique Arnaldo Alcubilla, don César Tolosa Tribiño y doña Laura Díez Bueso.</w:t>
      </w:r>
    </w:p>
    <w:p w14:paraId="3AEBAFC4" w14:textId="7EC2B3FD" w:rsidR="00F64776" w:rsidRDefault="00F64776" w:rsidP="00F64776">
      <w:pPr>
        <w:pStyle w:val="SntesisDescriptiva"/>
      </w:pPr>
    </w:p>
    <w:p w14:paraId="4F20BDF9" w14:textId="77777777" w:rsidR="00F64776" w:rsidRDefault="00F64776" w:rsidP="00F64776">
      <w:pPr>
        <w:pStyle w:val="SntesisDescriptiva"/>
      </w:pPr>
      <w:r>
        <w:t>Acuerda la suspensión en el recurso de amparo 6218-2023, promovido por don Fikri Boutajer en proceso de extradición.</w:t>
      </w:r>
    </w:p>
    <w:p w14:paraId="7B175A6C" w14:textId="49F4CB1C" w:rsidR="00F64776" w:rsidRDefault="00F64776" w:rsidP="00F64776">
      <w:pPr>
        <w:pStyle w:val="SntesisDescriptiva"/>
      </w:pPr>
    </w:p>
    <w:p w14:paraId="3ED63041" w14:textId="77777777" w:rsidR="00F64776" w:rsidRDefault="00F64776" w:rsidP="00F64776">
      <w:pPr>
        <w:pStyle w:val="SntesisDescriptiva"/>
      </w:pPr>
    </w:p>
    <w:p w14:paraId="1455DEF2" w14:textId="77777777" w:rsidR="00F64776" w:rsidRDefault="00F64776" w:rsidP="00F64776">
      <w:pPr>
        <w:pStyle w:val="SntesisDescriptiva"/>
      </w:pPr>
    </w:p>
    <w:p w14:paraId="7BAEC8DE" w14:textId="77777777" w:rsidR="00F64776" w:rsidRDefault="00F64776" w:rsidP="00F64776">
      <w:pPr>
        <w:pStyle w:val="TextoNormalNegritaCentrado"/>
      </w:pPr>
      <w:r>
        <w:t>AUTO</w:t>
      </w:r>
    </w:p>
    <w:p w14:paraId="3EDBC87D" w14:textId="10A7427F" w:rsidR="00F64776" w:rsidRDefault="00F64776" w:rsidP="00F64776">
      <w:pPr>
        <w:pStyle w:val="TextoNormalNegritaCentrado"/>
      </w:pPr>
    </w:p>
    <w:p w14:paraId="43C563D8" w14:textId="77777777" w:rsidR="00F64776" w:rsidRDefault="00F64776" w:rsidP="00F64776">
      <w:pPr>
        <w:pStyle w:val="TextoNormalNegritaCentrado"/>
        <w:keepNext/>
      </w:pPr>
      <w:r>
        <w:t>I. Antecedentes</w:t>
      </w:r>
    </w:p>
    <w:p w14:paraId="34EA3E78" w14:textId="196B4867" w:rsidR="00F64776" w:rsidRDefault="00F64776" w:rsidP="00F64776">
      <w:pPr>
        <w:pStyle w:val="TextoNormalNegritaCentrado"/>
        <w:keepNext/>
      </w:pPr>
    </w:p>
    <w:p w14:paraId="37D21BB6" w14:textId="77777777" w:rsidR="00F64776" w:rsidRDefault="00F64776" w:rsidP="00F64776">
      <w:pPr>
        <w:pStyle w:val="TextoNormal"/>
      </w:pPr>
      <w:r w:rsidRPr="00F64776">
        <w:rPr>
          <w:rStyle w:val="NumeroAFNegritaCaracter"/>
        </w:rPr>
        <w:t>1</w:t>
      </w:r>
      <w:r>
        <w:t>. Mediante escrito registrado en este tribunal el 27 septiembre de 2023, la procuradora de los tribunales doña María del Prado Prieto Navarro, en nombre y representación de don Fikri Boutajer y bajo la dirección del letrado don Youssef Bouzrouti El Haddouchi, interpuso recurso de amparo contra el auto núm. 325/2023, de 27 de junio de la Sección Segunda de la Sala de lo Penal de la Audiencia Nacional, por el que se acuerda la extradición del demandante al Reino de Marruecos para ser enjuiciado por un delito de tráfico de drogas (rollo de sala núm. 19-2023, derivado del procedimiento de extradición núm. 30-2023 del Juzgado Central de Instrucción núm. 2); y contra el auto núm. 62/2023, de 21 de julio, del Pleno de la Sala, que lo ratificó al desestimar el recurso de súplica núm. 60-2023 interpuesto.</w:t>
      </w:r>
    </w:p>
    <w:p w14:paraId="035F1769" w14:textId="77777777" w:rsidR="00F64776" w:rsidRDefault="00F64776" w:rsidP="00F64776">
      <w:pPr>
        <w:pStyle w:val="TextoNormal"/>
      </w:pPr>
    </w:p>
    <w:p w14:paraId="3BE0BC9B" w14:textId="3237A92C" w:rsidR="00F64776" w:rsidRDefault="00F64776" w:rsidP="00F64776">
      <w:pPr>
        <w:pStyle w:val="TextoNormal"/>
      </w:pPr>
      <w:r>
        <w:t>En la demanda de amparo se solicita por otrosí la suspensión de la ejecución de las resoluciones judiciales impugnadas, de conformidad con el art. 56.2 de la Ley Orgánica del Tribunal Constitucional (LOTC), alegando que la entrega extradicional del recurrente al Reino de Marruecos haría perder su finalidad a la pretensión de amparo en caso de ser estimada, causándole un perjuicio irreparable.</w:t>
      </w:r>
    </w:p>
    <w:p w14:paraId="6FA0B826" w14:textId="77777777" w:rsidR="00F64776" w:rsidRDefault="00F64776" w:rsidP="00F64776">
      <w:pPr>
        <w:pStyle w:val="TextoNormal"/>
      </w:pPr>
    </w:p>
    <w:p w14:paraId="1E01F166" w14:textId="77777777" w:rsidR="00F64776" w:rsidRDefault="00F64776" w:rsidP="00F64776">
      <w:pPr>
        <w:pStyle w:val="TextoNormal"/>
      </w:pPr>
      <w:r w:rsidRPr="00F64776">
        <w:rPr>
          <w:rStyle w:val="NumeroAFNegritaCaracter"/>
        </w:rPr>
        <w:t>2</w:t>
      </w:r>
      <w:r>
        <w:t>. La Sección Tercera de este tribunal acordó la admisión a trámite de la demanda de amparo por providencia de 23 de octubre de 2023, y conforme a lo dispuesto en el art. 51 LOTC ordenó requerir atentamente a la Sección Segunda de la Sala de lo Penal de la Audiencia Nacional a fin de que, en plazo que no exceda de diez días, remitiera testimonio de las actuaciones correspondientes al recurso de súplica núm. 60/2023 y a la Sección Segunda de la Sala de lo Penal de la Audiencia Nacional a fin de que, en el mismo plazo, remitiera testimonio de las actuaciones correspondientes al procedimiento de extradición núm. 19-2023; debiendo previamente emplazarse, para que en el plazo de diez días pudieran comparecer, si lo desean, en el recurso de amparo a quienes hubieran sido parte en el procedimiento, excepto la parte recurrente en amparo.</w:t>
      </w:r>
    </w:p>
    <w:p w14:paraId="69C7F0D5" w14:textId="77777777" w:rsidR="00F64776" w:rsidRDefault="00F64776" w:rsidP="00F64776">
      <w:pPr>
        <w:pStyle w:val="TextoNormal"/>
      </w:pPr>
    </w:p>
    <w:p w14:paraId="4D2C7663" w14:textId="5F59B69C" w:rsidR="00F64776" w:rsidRDefault="00F64776" w:rsidP="00F64776">
      <w:pPr>
        <w:pStyle w:val="TextoNormal"/>
      </w:pPr>
      <w:r>
        <w:t>Asimismo, por providencia de la misma fecha, se procedió a formar la presente pieza separada de suspensión, concediendo un plazo común de tres días al demandante y al Ministerio Fiscal para que alegasen lo que estimasen pertinente sobre dicha pretensión.</w:t>
      </w:r>
    </w:p>
    <w:p w14:paraId="3D87CAAC" w14:textId="77777777" w:rsidR="00F64776" w:rsidRDefault="00F64776" w:rsidP="00F64776">
      <w:pPr>
        <w:pStyle w:val="TextoNormal"/>
      </w:pPr>
    </w:p>
    <w:p w14:paraId="3F277FAA" w14:textId="77777777" w:rsidR="00F64776" w:rsidRDefault="00F64776" w:rsidP="00F64776">
      <w:pPr>
        <w:pStyle w:val="TextoNormal"/>
      </w:pPr>
      <w:r w:rsidRPr="00F64776">
        <w:rPr>
          <w:rStyle w:val="NumeroAFNegritaCaracter"/>
        </w:rPr>
        <w:t>3</w:t>
      </w:r>
      <w:r>
        <w:t>. La representación procesal del recurrente, por escrito registrado en este tribunal el 27 de octubre de 2023, ratificó su pretensión cautelar; reiteró que si no se suspende la ejecución de la extradición acordada se le causaría el lógico perjuicio y consiguiente pérdida de la finalidad del amparo, caso de otorgarse, puesto que “si el Tribunal Constitucional no accede a la suspensión cautelar de la ejecución de la resolución impugnada, implicaría que se procederá a la entrega forzosa del reclamado a las autoridades marroquís. En consecuencia, posteriormente, aun en el caso de estimarse el amparo, la sentencia carecería de eficacia por cuanto el reclamado ya estaría en Marruecos, y la ejecución del fallo devendría imposible”.</w:t>
      </w:r>
    </w:p>
    <w:p w14:paraId="28F973D1" w14:textId="77777777" w:rsidR="00F64776" w:rsidRDefault="00F64776" w:rsidP="00F64776">
      <w:pPr>
        <w:pStyle w:val="TextoNormal"/>
      </w:pPr>
    </w:p>
    <w:p w14:paraId="79284141" w14:textId="7C931A8B" w:rsidR="00F64776" w:rsidRDefault="00F64776" w:rsidP="00F64776">
      <w:pPr>
        <w:pStyle w:val="TextoNormal"/>
      </w:pPr>
      <w:r>
        <w:t>Subraya, por lo demás, que el reclamado actualmente se encuentra privado de libertad cautelarmente por esta causa, y la concesión de la medida cautelar solicitada no afectaría directamente a su situación personal, por cuanto la Audiencia Nacional puede seguir adoptando cuantas medidas estime oportunas para garantizar su presencia en el territorio español, no afectando, por otra parte, medida cautelar a ningún tercero.</w:t>
      </w:r>
    </w:p>
    <w:p w14:paraId="4853B889" w14:textId="77777777" w:rsidR="00F64776" w:rsidRDefault="00F64776" w:rsidP="00F64776">
      <w:pPr>
        <w:pStyle w:val="TextoNormal"/>
      </w:pPr>
    </w:p>
    <w:p w14:paraId="0A6B8463" w14:textId="77777777" w:rsidR="00F64776" w:rsidRDefault="00F64776" w:rsidP="00F64776">
      <w:pPr>
        <w:pStyle w:val="TextoNormal"/>
      </w:pPr>
      <w:r w:rsidRPr="00F64776">
        <w:rPr>
          <w:rStyle w:val="NumeroAFNegritaCaracter"/>
        </w:rPr>
        <w:t>4</w:t>
      </w:r>
      <w:r>
        <w:t>. Mediante escrito presentado en fecha 8 de noviembre de 2023, el fiscal alega en primer lugar que, si bien la doctrina de este tribunal tiene establecido que la suspensión de la ejecución es siempre una medida excepcional dado el interés constitucionalmente relevante en garantizar la efectividad de las resoluciones judiciales firmes, esta regla general debe ceder cuando la ejecución de lo resuelto cause un perjuicio irreparable que haga perder al recurso de amparo toda su efectividad. Añade que es doctrina consolidada del Tribunal Constitucional que, en los supuestos en que las resoluciones judiciales impugnadas acuerdan la entrega de los recurrentes a las autoridades de otros Estados en virtud de un procedimiento extradicional, el perjuicio irreparable de la ejecución de la autorización de la entrega se hace evidente, dado que, en el caso en que se estimase la lesión de derechos invocada en amparo, sería casi imposible la restitución del derecho fundamental que se trata de hacer valer y el recurso, que tiene como objeto impedir la entrega, perdería toda su virtualidad (por todos AATC 80/2004, de 11 de marzo;157/2005, de 18 de abril; 291/2006, de 24 de julio, y los más recientes AATC 218/2012, de 26 de noviembre, FJ 4; 91/2016, de 27 de abril, FJ 2; 100/2018, de 1 de octubre; 6/2019, de 4 de febrero, FJ 2, y más concretamente en un supuesto análogo al ahora examinado ATC 35/2022, de 7 de febrero, FJ 2)).</w:t>
      </w:r>
    </w:p>
    <w:p w14:paraId="14FFCD7A" w14:textId="77777777" w:rsidR="00F64776" w:rsidRDefault="00F64776" w:rsidP="00F64776">
      <w:pPr>
        <w:pStyle w:val="TextoNormal"/>
      </w:pPr>
    </w:p>
    <w:p w14:paraId="4E5463C7" w14:textId="0AC17E56" w:rsidR="00F64776" w:rsidRDefault="00F64776" w:rsidP="00F64776">
      <w:pPr>
        <w:pStyle w:val="TextoNormal"/>
      </w:pPr>
      <w:r>
        <w:t>El fiscal interesa que, a la vista de lo expuesto, se proceda a acceder a la solicitud de la medida cautelar de suspensión de la ejecución de los autos dictados por la Sección Segunda de la Sala de lo Penal de la Audiencia Nacional y por el Pleno de dicha Sala que son objeto de este proceso, apreciando la concurrencia de un perjuicio irreparable para el demandante en el supuesto que se ejecutase la decisión judicial de autorizar la entrega extradicional del recurrente al Reino de Marruecos. Termina señalando que dicha suspensión ha de quedar circunscrita a la autorización de la entrega, sin perjuicio de las medidas que aquel tribunal pueda adoptar para garantizar que el recurrente esté a disposición de la justicia.</w:t>
      </w:r>
    </w:p>
    <w:p w14:paraId="0C53BFE9" w14:textId="77777777" w:rsidR="00F64776" w:rsidRDefault="00F64776" w:rsidP="00F64776">
      <w:pPr>
        <w:pStyle w:val="TextoNormal"/>
      </w:pPr>
    </w:p>
    <w:p w14:paraId="7987D17B" w14:textId="77777777" w:rsidR="00F64776" w:rsidRDefault="00F64776" w:rsidP="00F64776">
      <w:pPr>
        <w:pStyle w:val="TextoNormalNegritaCentrado"/>
        <w:keepNext/>
      </w:pPr>
      <w:r>
        <w:t>II. Fundamentos jurídicos</w:t>
      </w:r>
    </w:p>
    <w:p w14:paraId="0E458311" w14:textId="1BC1EC02" w:rsidR="00F64776" w:rsidRDefault="00F64776" w:rsidP="00F64776">
      <w:pPr>
        <w:pStyle w:val="TextoNormalNegritaCentrado"/>
        <w:keepNext/>
      </w:pPr>
    </w:p>
    <w:p w14:paraId="679D6F89" w14:textId="77777777" w:rsidR="00F64776" w:rsidRDefault="00F64776" w:rsidP="00F64776">
      <w:pPr>
        <w:pStyle w:val="TextoNormal"/>
      </w:pPr>
      <w:r w:rsidRPr="00F64776">
        <w:rPr>
          <w:rStyle w:val="NumeroAFNegritaCaracter"/>
        </w:rPr>
        <w:t>1</w:t>
      </w:r>
      <w:r>
        <w:t>. La facultad que compete a este tribunal de adoptar medidas cautelares en los procesos de amparo, reconocida en el art. 56 LOTC, se sustenta en la necesidad de asegurar la efectividad de las resoluciones que pongan fin a los mismos, esto es, de preservar la integridad del derecho fundamental cuya vulneración se denuncia, en tanto en cuanto la ejecución del acto o resolución impugnados pudiera ocasionar un perjuicio que hiciese perder al amparo su finalidad.</w:t>
      </w:r>
    </w:p>
    <w:p w14:paraId="52F7224C" w14:textId="77777777" w:rsidR="00F64776" w:rsidRDefault="00F64776" w:rsidP="00F64776">
      <w:pPr>
        <w:pStyle w:val="TextoNormal"/>
      </w:pPr>
    </w:p>
    <w:p w14:paraId="2C59A1BB" w14:textId="37412590" w:rsidR="00F64776" w:rsidRDefault="00F64776" w:rsidP="00F64776">
      <w:pPr>
        <w:pStyle w:val="TextoNormal"/>
      </w:pPr>
      <w:r>
        <w:t>De forma reiterada venimos considerando que, cuando el recurso de amparo se dirige contra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ello, la adopción de esta medida cautelar resulta pertinente solo cuando se acredite suficientemente por el recurrente en amparo la irreparabilidad del perjuicio que pudiera traer consigo la ejecución de la resolución impugnada, privando al amparo de su finalidad, y siempre que la suspensión no ocasione perturbación grave a un interés constitucionalmente protegido, ni a los derechos fundamentales o libertades de un tercero.</w:t>
      </w:r>
    </w:p>
    <w:p w14:paraId="26C4AACD" w14:textId="77777777" w:rsidR="00F64776" w:rsidRDefault="00F64776" w:rsidP="00F64776">
      <w:pPr>
        <w:pStyle w:val="TextoNormal"/>
      </w:pPr>
    </w:p>
    <w:p w14:paraId="413C29A7" w14:textId="77777777" w:rsidR="00F64776" w:rsidRDefault="00F64776" w:rsidP="00F64776">
      <w:pPr>
        <w:pStyle w:val="TextoNormal"/>
      </w:pPr>
      <w:r w:rsidRPr="00F64776">
        <w:rPr>
          <w:rStyle w:val="NumeroAFNegritaCaracter"/>
        </w:rPr>
        <w:t>2</w:t>
      </w:r>
      <w:r>
        <w:t>. En el caso presente, la ejecución de los autos impugnados implicaría acceder en fase jurisdiccional a la extradición del recurrente al Reino de Marruecos para ser enjuiciado por los delitos que se le imputan; por lo que, obviamente, de tal ejecución se derivarían para el recurrente perjuicios personales de difícil reparación.</w:t>
      </w:r>
    </w:p>
    <w:p w14:paraId="50730019" w14:textId="77777777" w:rsidR="00F64776" w:rsidRDefault="00F64776" w:rsidP="00F64776">
      <w:pPr>
        <w:pStyle w:val="TextoNormal"/>
      </w:pPr>
    </w:p>
    <w:p w14:paraId="12B4EF0F" w14:textId="77777777" w:rsidR="00F64776" w:rsidRDefault="00F64776" w:rsidP="00F64776">
      <w:pPr>
        <w:pStyle w:val="TextoNormal"/>
      </w:pPr>
      <w:r>
        <w:t>Como hemos recordado en el ATC 6/2019, de 4 de febrero, FJ 2, en los supuestos de extradición es práctica constitucional reiterada acordar la suspensión de la ejecución de las resoluciones judiciales impugnadas que la acuerdan pues, en estos casos, si la persona requerida fuera entregada a las autoridades del Estado requirente perdería su finalidad el recurso de amparo que, en definitiva, tiene por objeto impedir su extradición. Una vez que el recurrente se encontrara bajo la potestad de otro Estado sería muy difícil que un eventual pronunciamiento estimatorio de este tribunal pudiera surtir plenos efectos en ese Estado (por todos, AATC 291/1998, de 29 de diciembre, FJ 2; 2/2002, de 14 de enero, FJ 2; 80/2004, de 11 de marzo, FJ 2; 157/2005, de 18 de abril, FJ 2; 291/2006, de 24 de julio, FJ 2; 218/2012, de 26 de noviembre, FJ 2, y 35/2022, de 7 de febrero, FJ 2).</w:t>
      </w:r>
    </w:p>
    <w:p w14:paraId="3FA20906" w14:textId="77777777" w:rsidR="00F64776" w:rsidRDefault="00F64776" w:rsidP="00F64776">
      <w:pPr>
        <w:pStyle w:val="TextoNormal"/>
      </w:pPr>
    </w:p>
    <w:p w14:paraId="64938BA3" w14:textId="7A078FE9" w:rsidR="00F64776" w:rsidRDefault="00F64776" w:rsidP="00F64776">
      <w:pPr>
        <w:pStyle w:val="TextoNormal"/>
      </w:pPr>
      <w:r>
        <w:t>De otra parte, en esa misma doctrina se advierte que en estos casos no se aprecia que la suspensión pueda originar una perturbación grave de los intereses generales ni de los derechos fundamentales o libertades públicas de un tercero. En efecto, aunque ciertamente existen intereses generales que aconsejan tanto el cumplimiento de las resoluciones judiciales como de los tratados internacionales, dichos intereses “no quedarán afectados por la suspensión provisional de unos autos cuya ejecución inmediata provocaría consecuencias irreversibles”, si bien la suspensión cautelar “queda circunscrita única y exclusivamente, a la declaración de procedencia de la extradición acordada por los órganos judiciales, y sin perjuicio de que el órgano judicial competente adopte las medidas oportunas para que el recurrente permanezca a disposición de la justicia” (por todos, AATC 2/2002, de 14 de enero, FJ 2; 80/2004, de 11 de marzo, FJ 2; 202/2005, de 9 de mayo; 218/2012, de 26 de noviembre, FJ 2, y 35/2022, de 7 de febrero).</w:t>
      </w:r>
    </w:p>
    <w:p w14:paraId="2F85AC20" w14:textId="77777777" w:rsidR="00F64776" w:rsidRDefault="00F64776" w:rsidP="00F64776">
      <w:pPr>
        <w:pStyle w:val="TextoNormal"/>
      </w:pPr>
    </w:p>
    <w:p w14:paraId="63B63B3C" w14:textId="0D2DD883" w:rsidR="00F64776" w:rsidRDefault="00F64776" w:rsidP="00F64776">
      <w:pPr>
        <w:pStyle w:val="TextoNormal"/>
      </w:pPr>
      <w:r w:rsidRPr="00F64776">
        <w:rPr>
          <w:rStyle w:val="NumeroAFNegritaCaracter"/>
        </w:rPr>
        <w:t>3</w:t>
      </w:r>
      <w:r>
        <w:t>. De conformidad con todo lo expuesto, procede acordar la suspensión cautelar de las resoluciones impugnadas en amparo, que se circunscribe única y exclusivamente a la declaración judicial de procedencia de la extradición. La suspensión cautelar acordada lo es, en todo caso, sin perjuicio de las resoluciones judiciales que el tribunal competente de la extradición pueda adoptar para asegurar que el recurrente en amparo permanezca a disposición de la justicia.</w:t>
      </w:r>
    </w:p>
    <w:p w14:paraId="1EA8D6E8" w14:textId="77777777" w:rsidR="00F64776" w:rsidRDefault="00F64776" w:rsidP="00F64776">
      <w:pPr>
        <w:pStyle w:val="TextoNormal"/>
      </w:pPr>
    </w:p>
    <w:p w14:paraId="76F5D7C8" w14:textId="77777777" w:rsidR="00F64776" w:rsidRDefault="00F64776" w:rsidP="00F64776">
      <w:pPr>
        <w:pStyle w:val="TextoNormal"/>
      </w:pPr>
      <w:r>
        <w:t>Por lo expuesto, la Sala</w:t>
      </w:r>
    </w:p>
    <w:p w14:paraId="6C3DE703" w14:textId="1DD45CB9" w:rsidR="00F64776" w:rsidRDefault="00F64776" w:rsidP="00F64776">
      <w:pPr>
        <w:pStyle w:val="TextoNormal"/>
      </w:pPr>
    </w:p>
    <w:p w14:paraId="59170E38" w14:textId="77777777" w:rsidR="00F64776" w:rsidRDefault="00F64776" w:rsidP="00F64776">
      <w:pPr>
        <w:pStyle w:val="TextoNormalCentrado"/>
      </w:pPr>
      <w:r>
        <w:t>ACUERDA</w:t>
      </w:r>
    </w:p>
    <w:p w14:paraId="0B9B59ED" w14:textId="61D5908B" w:rsidR="00F64776" w:rsidRDefault="00F64776" w:rsidP="00F64776">
      <w:pPr>
        <w:pStyle w:val="TextoNormalCentrado"/>
      </w:pPr>
    </w:p>
    <w:p w14:paraId="1F60E723" w14:textId="2597BF43" w:rsidR="00F64776" w:rsidRDefault="00F64776" w:rsidP="00F64776">
      <w:pPr>
        <w:pStyle w:val="TextoNormal"/>
      </w:pPr>
      <w:r>
        <w:t>Suspender la ejecución del auto núm. 325/2023, de 27 de junio, de la Sección Segunda de la Sala de lo Penal de la Audiencia Nacional, por el que se acuerda la extradición del demandante al Reino de Marruecos para ser enjuiciado por un delito de tráfico de drogas (rollo de sala núm. 19-2023, derivado del procedimiento de extradición núm. 30-2023 del Juzgado Central de Instrucción núm. 2); y contra el auto núm. 62/2023, de 21 de julio, del Pleno de la Sala, que lo ratificó en súplica.</w:t>
      </w:r>
    </w:p>
    <w:p w14:paraId="6239E5DA" w14:textId="77777777" w:rsidR="00F64776" w:rsidRDefault="00F64776" w:rsidP="00F64776">
      <w:pPr>
        <w:pStyle w:val="TextoNormal"/>
      </w:pPr>
    </w:p>
    <w:p w14:paraId="77BEEF0C" w14:textId="77777777" w:rsidR="00F64776" w:rsidRDefault="00F64776" w:rsidP="00F64776">
      <w:pPr>
        <w:pStyle w:val="TextoNormal"/>
      </w:pPr>
      <w:r>
        <w:t>Madrid, a once de diciembre de dos mil veintitrés.</w:t>
      </w:r>
    </w:p>
    <w:p w14:paraId="6BD423C1" w14:textId="446C85A5" w:rsidR="00F64776" w:rsidRDefault="00F64776">
      <w:pPr>
        <w:spacing w:after="160" w:line="278" w:lineRule="auto"/>
        <w:rPr>
          <w:rFonts w:ascii="Times New Roman" w:eastAsia="Times New Roman" w:hAnsi="Times New Roman" w:cs="Times New Roman"/>
          <w:sz w:val="24"/>
          <w:szCs w:val="24"/>
          <w:lang w:eastAsia="es-ES"/>
        </w:rPr>
      </w:pPr>
      <w:r>
        <w:br w:type="page"/>
      </w:r>
    </w:p>
    <w:p w14:paraId="47E10DC7" w14:textId="77777777" w:rsidR="00F64776" w:rsidRDefault="00F64776" w:rsidP="00F64776">
      <w:pPr>
        <w:pStyle w:val="TtuloResolucin"/>
      </w:pPr>
      <w:bookmarkStart w:id="449" w:name="AUTO_2023_664"/>
      <w:r>
        <w:t>AUTO 664/2023, de 12 de diciembre de 2023</w:t>
      </w:r>
    </w:p>
    <w:bookmarkEnd w:id="449"/>
    <w:p w14:paraId="7D94D4A7" w14:textId="77777777" w:rsidR="00F64776" w:rsidRDefault="00F64776" w:rsidP="00F64776">
      <w:pPr>
        <w:pStyle w:val="TtuloResolucin"/>
      </w:pPr>
      <w:r>
        <w:t>Pleno</w:t>
      </w:r>
    </w:p>
    <w:p w14:paraId="7DE0F06C" w14:textId="77777777" w:rsidR="00F64776" w:rsidRDefault="00F64776" w:rsidP="00F64776">
      <w:pPr>
        <w:pStyle w:val="TextoNormalCentrado"/>
      </w:pPr>
      <w:r>
        <w:t>ECLI:ES:TC:2023:664A</w:t>
      </w:r>
    </w:p>
    <w:p w14:paraId="42B9C4C3" w14:textId="6BBE481A" w:rsidR="00F64776" w:rsidRDefault="00F64776" w:rsidP="00F64776">
      <w:pPr>
        <w:pStyle w:val="TextoNormalCentrado"/>
      </w:pPr>
    </w:p>
    <w:p w14:paraId="73361912" w14:textId="77777777" w:rsidR="00F64776" w:rsidRDefault="00F64776" w:rsidP="00F64776">
      <w:pPr>
        <w:pStyle w:val="SntesisDescriptiva"/>
      </w:pPr>
      <w:r>
        <w:t>Excms. Srs. don Cándido Conde-Pumpido Tourón, doña Inmaculada Montalbán Huertas, don Ricardo Enríquez Sancho, doña María Luisa Balaguer Callejón, don Ramón Sáez Valcárcel, don Enrique Arnaldo Alcubilla, doña Concepción Espejel Jorquera, doña María Luisa Segoviano Astaburuaga, don César Tolosa Tribiño y doña Laura Díez Bueso.</w:t>
      </w:r>
    </w:p>
    <w:p w14:paraId="61D8DD68" w14:textId="7E8C9B7D" w:rsidR="00F64776" w:rsidRDefault="00F64776" w:rsidP="00F64776">
      <w:pPr>
        <w:pStyle w:val="SntesisDescriptiva"/>
      </w:pPr>
    </w:p>
    <w:p w14:paraId="48DCA6F6" w14:textId="77777777" w:rsidR="00F64776" w:rsidRDefault="00F64776" w:rsidP="00F64776">
      <w:pPr>
        <w:pStyle w:val="SntesisDescriptiva"/>
      </w:pPr>
      <w:r>
        <w:t>Acepta una abstención en el recurso de amparo 843-2021, promovido en procedimiento parlamentario.</w:t>
      </w:r>
    </w:p>
    <w:p w14:paraId="3563CBDA" w14:textId="50903F63" w:rsidR="00F64776" w:rsidRDefault="00F64776" w:rsidP="00F64776">
      <w:pPr>
        <w:pStyle w:val="SntesisDescriptiva"/>
      </w:pPr>
    </w:p>
    <w:p w14:paraId="51152B34" w14:textId="77777777" w:rsidR="00F64776" w:rsidRDefault="00F64776" w:rsidP="00F64776">
      <w:pPr>
        <w:pStyle w:val="SntesisDescriptiva"/>
      </w:pPr>
    </w:p>
    <w:p w14:paraId="633B5923" w14:textId="77777777" w:rsidR="00F64776" w:rsidRDefault="00F64776" w:rsidP="00F64776">
      <w:pPr>
        <w:pStyle w:val="SntesisDescriptiva"/>
      </w:pPr>
    </w:p>
    <w:p w14:paraId="42523276" w14:textId="77777777" w:rsidR="00F64776" w:rsidRDefault="00F64776" w:rsidP="00F64776">
      <w:pPr>
        <w:pStyle w:val="TextoNormalNegritaCentrado"/>
      </w:pPr>
      <w:r>
        <w:t>AUTO</w:t>
      </w:r>
    </w:p>
    <w:p w14:paraId="71E21F55" w14:textId="0AD902EF" w:rsidR="00F64776" w:rsidRDefault="00F64776" w:rsidP="00F64776">
      <w:pPr>
        <w:pStyle w:val="TextoNormalNegritaCentrado"/>
      </w:pPr>
    </w:p>
    <w:p w14:paraId="3BAC155D" w14:textId="77777777" w:rsidR="00F64776" w:rsidRDefault="00F64776" w:rsidP="00F64776">
      <w:pPr>
        <w:pStyle w:val="TextoNormalNegritaCentrado"/>
        <w:keepNext/>
      </w:pPr>
      <w:r>
        <w:t>I. Antecedentes</w:t>
      </w:r>
    </w:p>
    <w:p w14:paraId="6D653A42" w14:textId="5F78E312" w:rsidR="00F64776" w:rsidRDefault="00F64776" w:rsidP="00F64776">
      <w:pPr>
        <w:pStyle w:val="TextoNormalNegritaCentrado"/>
        <w:keepNext/>
      </w:pPr>
    </w:p>
    <w:p w14:paraId="78890072" w14:textId="333751F0" w:rsidR="00F64776" w:rsidRDefault="00F64776" w:rsidP="00F64776">
      <w:pPr>
        <w:pStyle w:val="TextoNormal"/>
      </w:pPr>
      <w:r w:rsidRPr="00F64776">
        <w:rPr>
          <w:rStyle w:val="NumeroAFNegritaCaracter"/>
        </w:rPr>
        <w:t>1</w:t>
      </w:r>
      <w:r>
        <w:t>. Por escrito fechado el día 22 de noviembre de 2023, el magistrado don Juan Carlos Campo Moreno comunicó al señor presidente, a los efectos oportunos, su voluntad de abstenerse de intervenir en el conocimiento del recurso de amparo núm. 843-2021, promovido por el Grupo Parlamentario Popular en el Congreso contra el acuerdo de la señora presidenta del Congreso de los Diputados de 4 de febrero de 2021 y el acuerdo de la mesa del Congreso de los Diputados de 9 de febrero de 2021.</w:t>
      </w:r>
    </w:p>
    <w:p w14:paraId="376FFFB0" w14:textId="77777777" w:rsidR="00F64776" w:rsidRDefault="00F64776" w:rsidP="00F64776">
      <w:pPr>
        <w:pStyle w:val="TextoNormal"/>
      </w:pPr>
    </w:p>
    <w:p w14:paraId="4365C0B4" w14:textId="2D4EFB6A" w:rsidR="00F64776" w:rsidRDefault="00F64776" w:rsidP="00F64776">
      <w:pPr>
        <w:pStyle w:val="TextoNormal"/>
      </w:pPr>
      <w:r w:rsidRPr="00F64776">
        <w:rPr>
          <w:rStyle w:val="NumeroAFNegritaCaracter"/>
        </w:rPr>
        <w:t>2</w:t>
      </w:r>
      <w:r>
        <w:t>. La solicitud de abstención se fundamenta en la relación personal que el magistrado mantiene con quien desempeñaba, al tiempo de dictarse las resoluciones impugnadas, el cargo de presidenta del Congreso de los Diputados, y que dictó, en tal calidad, una de las resoluciones parlamentarias impugnadas.</w:t>
      </w:r>
    </w:p>
    <w:p w14:paraId="5E9F5432" w14:textId="77777777" w:rsidR="00F64776" w:rsidRDefault="00F64776" w:rsidP="00F64776">
      <w:pPr>
        <w:pStyle w:val="TextoNormal"/>
      </w:pPr>
    </w:p>
    <w:p w14:paraId="55AD89F1" w14:textId="77777777" w:rsidR="00F64776" w:rsidRDefault="00F64776" w:rsidP="00F64776">
      <w:pPr>
        <w:pStyle w:val="TextoNormalNegritaCentrado"/>
        <w:keepNext/>
      </w:pPr>
      <w:r>
        <w:t>II. Fundamentos jurídicos</w:t>
      </w:r>
    </w:p>
    <w:p w14:paraId="0E4D67A9" w14:textId="4A8E71B8" w:rsidR="00F64776" w:rsidRDefault="00F64776" w:rsidP="00F64776">
      <w:pPr>
        <w:pStyle w:val="TextoNormalNegritaCentrado"/>
        <w:keepNext/>
      </w:pPr>
    </w:p>
    <w:p w14:paraId="72A65E61" w14:textId="45E434B1" w:rsidR="00F64776" w:rsidRDefault="00F64776" w:rsidP="00F64776">
      <w:pPr>
        <w:pStyle w:val="TextoNormal"/>
      </w:pPr>
      <w:r w:rsidRPr="00F64776">
        <w:rPr>
          <w:rStyle w:val="TextoNormalNegritaCaracter"/>
        </w:rPr>
        <w:t xml:space="preserve">Único. </w:t>
      </w:r>
      <w:r>
        <w:t>Visto el contenido de la comunicación efectuada por el magistrado don Juan Carlos Campo, en virtud de lo previsto en los arts. 80 de la Ley Orgánica del Tribunal Constitucional y 221.4 de la Ley Orgánica del Poder Judicial (LOPJ), se estima justificada la causa de abstención formulada, que se fundamenta en la relación personal del magistrado con quien desempeñaba el cargo de presidenta del Congreso de los Diputados al tiempo de dictarse las resoluciones impugnadas, de acuerdo con las causas 1 y 14 de la LOPJ, que definen como motivo de abstención: el vínculo matrimonial o situación de hecho asimilable y el parentesco por consanguinidad o afinidad dentro del cuarto grado con las partes o el representante del Ministerio Fiscal (causa 1); en los procesos en que sea parte la administración pública, encontrarse el juez o magistrado con la autoridad o funcionario que hubiese dictado el acto o informado respecto del mismo o realizado el hecho por razón de los cuales se sigue el proceso en alguna de las circunstancias mencionadas en las causas 1 a 9, 12 y 13 de este artículo (causa 14).</w:t>
      </w:r>
    </w:p>
    <w:p w14:paraId="77398A5C" w14:textId="77777777" w:rsidR="00F64776" w:rsidRDefault="00F64776" w:rsidP="00F64776">
      <w:pPr>
        <w:pStyle w:val="TextoNormal"/>
      </w:pPr>
    </w:p>
    <w:p w14:paraId="02A12300" w14:textId="77777777" w:rsidR="00F64776" w:rsidRDefault="00F64776" w:rsidP="00F64776">
      <w:pPr>
        <w:pStyle w:val="TextoNormal"/>
      </w:pPr>
      <w:r>
        <w:t>Por lo expuesto, el Pleno</w:t>
      </w:r>
    </w:p>
    <w:p w14:paraId="78D9A0E9" w14:textId="4FFEF245" w:rsidR="00F64776" w:rsidRDefault="00F64776" w:rsidP="00F64776">
      <w:pPr>
        <w:pStyle w:val="TextoNormal"/>
      </w:pPr>
    </w:p>
    <w:p w14:paraId="7D7ED1DF" w14:textId="77777777" w:rsidR="00F64776" w:rsidRDefault="00F64776" w:rsidP="00F64776">
      <w:pPr>
        <w:pStyle w:val="TextoNormalCentrado"/>
      </w:pPr>
      <w:r>
        <w:t>ACUERDA</w:t>
      </w:r>
    </w:p>
    <w:p w14:paraId="77FBF253" w14:textId="178C53FD" w:rsidR="00F64776" w:rsidRDefault="00F64776" w:rsidP="00F64776">
      <w:pPr>
        <w:pStyle w:val="TextoNormalCentrado"/>
      </w:pPr>
    </w:p>
    <w:p w14:paraId="215ABAE0" w14:textId="30BFE3F7" w:rsidR="00F64776" w:rsidRDefault="00F64776" w:rsidP="00F64776">
      <w:pPr>
        <w:pStyle w:val="TextoNormal"/>
      </w:pPr>
      <w:r>
        <w:t>Estimar justificada la abstención formulada por el magistrado don Juan Carlos Campo Moreno en el recurso de amparo núm. 843-2021, apartándole definitivamente del conocimiento del mismo, así como de todas sus incidencias.</w:t>
      </w:r>
    </w:p>
    <w:p w14:paraId="2EDB92E8" w14:textId="77777777" w:rsidR="00F64776" w:rsidRDefault="00F64776" w:rsidP="00F64776">
      <w:pPr>
        <w:pStyle w:val="TextoNormal"/>
      </w:pPr>
    </w:p>
    <w:p w14:paraId="47917E91" w14:textId="77777777" w:rsidR="00F64776" w:rsidRDefault="00F64776" w:rsidP="00F64776">
      <w:pPr>
        <w:pStyle w:val="TextoNormal"/>
      </w:pPr>
      <w:r>
        <w:t>Madrid, a doce de diciembre de dos mil veintitrés.</w:t>
      </w:r>
    </w:p>
    <w:p w14:paraId="3343EA26" w14:textId="4F7A7451" w:rsidR="00F64776" w:rsidRDefault="00F64776">
      <w:pPr>
        <w:spacing w:after="160" w:line="278" w:lineRule="auto"/>
        <w:rPr>
          <w:rFonts w:ascii="Times New Roman" w:eastAsia="Times New Roman" w:hAnsi="Times New Roman" w:cs="Times New Roman"/>
          <w:sz w:val="24"/>
          <w:szCs w:val="24"/>
          <w:lang w:eastAsia="es-ES"/>
        </w:rPr>
      </w:pPr>
      <w:r>
        <w:br w:type="page"/>
      </w:r>
    </w:p>
    <w:p w14:paraId="4278034A" w14:textId="77777777" w:rsidR="00F64776" w:rsidRDefault="00F64776" w:rsidP="00F64776">
      <w:pPr>
        <w:pStyle w:val="TtuloResolucin"/>
      </w:pPr>
      <w:bookmarkStart w:id="450" w:name="AUTO_2023_665"/>
      <w:r>
        <w:t>AUTO 665/2023, de 12 de diciembre de 2023</w:t>
      </w:r>
    </w:p>
    <w:bookmarkEnd w:id="450"/>
    <w:p w14:paraId="558166EE" w14:textId="77777777" w:rsidR="00F64776" w:rsidRDefault="00F64776" w:rsidP="00F64776">
      <w:pPr>
        <w:pStyle w:val="TtuloResolucin"/>
      </w:pPr>
      <w:r>
        <w:t>Pleno</w:t>
      </w:r>
    </w:p>
    <w:p w14:paraId="0A0A5E0A" w14:textId="77777777" w:rsidR="00F64776" w:rsidRDefault="00F64776" w:rsidP="00F64776">
      <w:pPr>
        <w:pStyle w:val="TtuloBOE"/>
      </w:pPr>
      <w:r>
        <w:t>(BOE núm. 16, de 18 de enero de 2024)</w:t>
      </w:r>
    </w:p>
    <w:p w14:paraId="5F4C2E40" w14:textId="77777777" w:rsidR="00F64776" w:rsidRDefault="00F64776" w:rsidP="00F64776">
      <w:pPr>
        <w:pStyle w:val="TextoNormalCentrado"/>
      </w:pPr>
      <w:r>
        <w:t>ECLI:ES:TC:2023:665A</w:t>
      </w:r>
    </w:p>
    <w:p w14:paraId="3863612E" w14:textId="5793E1D9" w:rsidR="00F64776" w:rsidRDefault="00F64776" w:rsidP="00F64776">
      <w:pPr>
        <w:pStyle w:val="TextoNormalCentrado"/>
      </w:pPr>
    </w:p>
    <w:p w14:paraId="40E80B72" w14:textId="77777777" w:rsidR="00F64776" w:rsidRDefault="00F64776" w:rsidP="00F64776">
      <w:pPr>
        <w:pStyle w:val="SntesisDescriptiva"/>
      </w:pPr>
      <w:r>
        <w:t>Excms. Srs. don Cándido Conde-Pumpido Tourón, doña Inmaculada Montalbán Huertas, don Ricardo Enríquez Sancho, doña María Luisa Balaguer Callejón, don Ramón Sáez Valcárcel, don Enrique Arnaldo Alcubilla, doña Concepción Espejel Jorquera, doña María Luisa Segoviano Astaburuaga, don Juan Carlos Campo Moreno y doña Laura Díez Bueso.</w:t>
      </w:r>
    </w:p>
    <w:p w14:paraId="63E9BDA1" w14:textId="7D33A258" w:rsidR="00F64776" w:rsidRDefault="00F64776" w:rsidP="00F64776">
      <w:pPr>
        <w:pStyle w:val="SntesisDescriptiva"/>
      </w:pPr>
    </w:p>
    <w:p w14:paraId="0FFC892C" w14:textId="77777777" w:rsidR="00F64776" w:rsidRDefault="00F64776" w:rsidP="00F64776">
      <w:pPr>
        <w:pStyle w:val="SntesisDescriptiva"/>
      </w:pPr>
      <w:r>
        <w:t>Inadmite una recusación formulada en el recurso de amparo 3966-2022, promovido por doña Blanca Parga Landa en proceso contencioso administrativo.</w:t>
      </w:r>
    </w:p>
    <w:p w14:paraId="660A9DE4" w14:textId="40582126" w:rsidR="00F64776" w:rsidRDefault="00F64776" w:rsidP="00F64776">
      <w:pPr>
        <w:pStyle w:val="SntesisDescriptiva"/>
      </w:pPr>
    </w:p>
    <w:p w14:paraId="04058CAA" w14:textId="77777777" w:rsidR="00F64776" w:rsidRDefault="00F64776" w:rsidP="00F64776">
      <w:pPr>
        <w:pStyle w:val="SntesisDescriptiva"/>
      </w:pPr>
    </w:p>
    <w:p w14:paraId="560023FD" w14:textId="77777777" w:rsidR="00F64776" w:rsidRDefault="00F64776" w:rsidP="00F64776">
      <w:pPr>
        <w:pStyle w:val="SntesisDescriptiva"/>
      </w:pPr>
    </w:p>
    <w:p w14:paraId="484B648E" w14:textId="77777777" w:rsidR="00F64776" w:rsidRDefault="00F64776" w:rsidP="00F64776">
      <w:pPr>
        <w:pStyle w:val="TextoNormalNegritaCentrado"/>
      </w:pPr>
      <w:r>
        <w:t>AUTO</w:t>
      </w:r>
    </w:p>
    <w:p w14:paraId="360F34C8" w14:textId="00689C93" w:rsidR="00F64776" w:rsidRDefault="00F64776" w:rsidP="00F64776">
      <w:pPr>
        <w:pStyle w:val="TextoNormalNegritaCentrado"/>
      </w:pPr>
    </w:p>
    <w:p w14:paraId="4ECA2647" w14:textId="77777777" w:rsidR="00F64776" w:rsidRDefault="00F64776" w:rsidP="00F64776">
      <w:pPr>
        <w:pStyle w:val="TextoNormalNegritaCentrado"/>
        <w:keepNext/>
      </w:pPr>
      <w:r>
        <w:t>I. Antecedentes</w:t>
      </w:r>
    </w:p>
    <w:p w14:paraId="483D29F5" w14:textId="6D7F7C22" w:rsidR="00F64776" w:rsidRDefault="00F64776" w:rsidP="00F64776">
      <w:pPr>
        <w:pStyle w:val="TextoNormalNegritaCentrado"/>
        <w:keepNext/>
      </w:pPr>
    </w:p>
    <w:p w14:paraId="662A862E" w14:textId="77777777" w:rsidR="00F64776" w:rsidRDefault="00F64776" w:rsidP="00F64776">
      <w:pPr>
        <w:pStyle w:val="TextoNormal"/>
      </w:pPr>
      <w:r w:rsidRPr="00F64776">
        <w:rPr>
          <w:rStyle w:val="NumeroAFNegritaCaracter"/>
        </w:rPr>
        <w:t>1</w:t>
      </w:r>
      <w:r>
        <w:t>. Mediante escrito registrado en este tribunal el 3 de junio de 2022, la procuradora de los tribunales doña Rosa María Martínez Virgili, en nombre y representación de doña Blanca Parga Landa, quien asume su propia defensa, interpuso un recurso de amparo contra: (i) el art. 9 de la Orden SND/399/2020, de 9 de mayo, para la flexibilización de determinadas restricciones de ámbito nacional, establecidas tras la declaración del estado de alarma en aplicación de la fase 1 del plan para la transición hacia una nueva normalidad; (ii) el art. 9 de la Orden SND/414/2020, de 16 de mayo, para la flexibilización de determinadas restricciones de ámbito nacional establecidas tras la declaración del estado de alarma en aplicación de la fase 2 del plan para la transición hacia una nueva normalidad; y (iii) el art. 9 de la Orden SND/458/2020, de 30 de mayo, para la flexibilización de determinadas restricciones de ámbito nacional establecidas tras la declaración del estado de alarma en aplicación de la fase 3 del plan para la transición hacia una nueva normalidad. En la demanda se alega la vulneración de los derechos fundamentales reconocidos en los arts. 16.1 CE, en su vertiente del derecho al culto y 16.3 CE, en razón de que las órdenes impugnadas habrían obviado el mandato de colaboración del Estado con la Iglesia católica.</w:t>
      </w:r>
    </w:p>
    <w:p w14:paraId="7B8A4D10" w14:textId="77777777" w:rsidR="00F64776" w:rsidRDefault="00F64776" w:rsidP="00F64776">
      <w:pPr>
        <w:pStyle w:val="TextoNormal"/>
      </w:pPr>
    </w:p>
    <w:p w14:paraId="0FDD4286" w14:textId="0ED59F60" w:rsidR="00F64776" w:rsidRDefault="00F64776" w:rsidP="00F64776">
      <w:pPr>
        <w:pStyle w:val="TextoNormal"/>
      </w:pPr>
      <w:r>
        <w:t>Posteriormente, por escrito de 17 de junio de 2022, se amplía el objeto del recurso de amparo a la sentencia de 7 de marzo de 2022, dictada por la Sala de lo Contencioso-Administrativo del Tribunal Supremo, desestimatoria del recurso interpuesto contra las órdenes SND/399/2020, SND/414/2020 y SND/458/2020, así como a la providencia de la misma sala, de 27 de abril de 2022, que inadmitió el incidente excepcional de nulidad de actuaciones interpuesto contra la sentencia de 7 de marzo.</w:t>
      </w:r>
    </w:p>
    <w:p w14:paraId="7685E109" w14:textId="77777777" w:rsidR="00F64776" w:rsidRDefault="00F64776" w:rsidP="00F64776">
      <w:pPr>
        <w:pStyle w:val="TextoNormal"/>
      </w:pPr>
    </w:p>
    <w:p w14:paraId="56166E15" w14:textId="09896389" w:rsidR="00F64776" w:rsidRDefault="00F64776" w:rsidP="00F64776">
      <w:pPr>
        <w:pStyle w:val="TextoNormal"/>
      </w:pPr>
      <w:r w:rsidRPr="00F64776">
        <w:rPr>
          <w:rStyle w:val="NumeroAFNegritaCaracter"/>
        </w:rPr>
        <w:t>2</w:t>
      </w:r>
      <w:r>
        <w:t>. La Secretaría de Justicia de la Sección Primera del Tribunal Constitucional, por diligencia de ordenación de 7 de junio de 2022, tiene por recibido el escrito de demanda, notificándose así al Ministerio Fiscal y a la representación de la demandante. El 7 de julio del mismo año se dicta nueva diligencia, teniendo por recibido el escrito complementario de la demanda de 17 de junio de 2022, que ampliaba el objeto del recurso de amparo.</w:t>
      </w:r>
    </w:p>
    <w:p w14:paraId="2D4AC7C6" w14:textId="77777777" w:rsidR="00F64776" w:rsidRDefault="00F64776" w:rsidP="00F64776">
      <w:pPr>
        <w:pStyle w:val="TextoNormal"/>
      </w:pPr>
    </w:p>
    <w:p w14:paraId="0712E635" w14:textId="030BFEA4" w:rsidR="00F64776" w:rsidRDefault="00F64776" w:rsidP="00F64776">
      <w:pPr>
        <w:pStyle w:val="TextoNormal"/>
      </w:pPr>
      <w:r w:rsidRPr="00F64776">
        <w:rPr>
          <w:rStyle w:val="NumeroAFNegritaCaracter"/>
        </w:rPr>
        <w:t>3</w:t>
      </w:r>
      <w:r>
        <w:t>. Por acuerdo del Pleno del Tribunal Constitucional de 17 de enero de 2023 se dispone la nueva composición de las salas y secciones, tras la renovación de un tercio de los integrantes del Tribunal. En el art. 3 de dicho acuerdo, publicado en el “Boletín Oficial del Estado” núm. 16, de 19 de enero de 2023, se establece que “[l]os magistrados conservarán las ponencias que tuvieren asignadas, cualquiera que sea la clase y fase en que se encuentre el proceso y de que su conocimiento competa al Pleno, a las salas o a las secciones”; de lo citado se deriva que, tal y como se comunica a la recurrente en amparo por diligencia de ordenación de 19 de enero de 2023, el presente recurso de amparo pasa a la Sección Tercera de la Sala Segunda del Tribunal Constitucional, al cambiar la ponente de sección. Esta última, tal y como se establece en el mismo acuerdo de 17 de enero de 2023, está integrada por doña Inmaculada Montalbán Huertas, don César Tolosa Tribiño y doña Laura Díez Bueso.</w:t>
      </w:r>
    </w:p>
    <w:p w14:paraId="3EA17FF4" w14:textId="77777777" w:rsidR="00F64776" w:rsidRDefault="00F64776" w:rsidP="00F64776">
      <w:pPr>
        <w:pStyle w:val="TextoNormal"/>
      </w:pPr>
    </w:p>
    <w:p w14:paraId="7A69F8D6" w14:textId="09D857E4" w:rsidR="00F64776" w:rsidRDefault="00F64776" w:rsidP="00F64776">
      <w:pPr>
        <w:pStyle w:val="TextoNormal"/>
      </w:pPr>
      <w:r w:rsidRPr="00F64776">
        <w:rPr>
          <w:rStyle w:val="NumeroAFNegritaCaracter"/>
        </w:rPr>
        <w:t>4</w:t>
      </w:r>
      <w:r>
        <w:t>. En la reunión de la Sala Segunda celebrada el día 20 de febrero de 2023, se aprueba la conexión de los recursos de amparo núm. 3966-2022 y 1238-2022 de la citada sala, siendo ponente de este último la magistrada doña Laura Díez Bueso, que a partir de ese momento asume la ponencia de ambos asuntos. El acuerdo de conexión es notificado a la parte recurrente en amparo el día 21 de febrero de 2023.</w:t>
      </w:r>
    </w:p>
    <w:p w14:paraId="4EBCB964" w14:textId="77777777" w:rsidR="00F64776" w:rsidRDefault="00F64776" w:rsidP="00F64776">
      <w:pPr>
        <w:pStyle w:val="TextoNormal"/>
      </w:pPr>
    </w:p>
    <w:p w14:paraId="45F2488F" w14:textId="0D4F63CB" w:rsidR="00F64776" w:rsidRDefault="00F64776" w:rsidP="00F64776">
      <w:pPr>
        <w:pStyle w:val="TextoNormal"/>
      </w:pPr>
      <w:r w:rsidRPr="00F64776">
        <w:rPr>
          <w:rStyle w:val="NumeroAFNegritaCaracter"/>
        </w:rPr>
        <w:t>5</w:t>
      </w:r>
      <w:r>
        <w:t>. Mediante escrito registrado el día 1 de septiembre de 2023, la recurrente en amparo firma una comunicación en la que, dándose por enterada de la conexión de los recursos de amparo núm. 1238-2022 y 3966-2022, desiste de ambos y solicita su archivo. El lunes siguiente, 4 de septiembre, se registra un nuevo escrito firmado por la recurrente en amparo y en el que solicita que se deje sin efecto el escrito de desistimiento, al haberse presentado por error.</w:t>
      </w:r>
    </w:p>
    <w:p w14:paraId="4EE1C211" w14:textId="77777777" w:rsidR="00F64776" w:rsidRDefault="00F64776" w:rsidP="00F64776">
      <w:pPr>
        <w:pStyle w:val="TextoNormal"/>
      </w:pPr>
    </w:p>
    <w:p w14:paraId="483D862F" w14:textId="77777777" w:rsidR="00F64776" w:rsidRDefault="00F64776" w:rsidP="00F64776">
      <w:pPr>
        <w:pStyle w:val="TextoNormal"/>
      </w:pPr>
      <w:r w:rsidRPr="00F64776">
        <w:rPr>
          <w:rStyle w:val="NumeroAFNegritaCaracter"/>
        </w:rPr>
        <w:t>6</w:t>
      </w:r>
      <w:r>
        <w:t>. El día 7 de septiembre, la parte recurrente en amparo presenta escrito de recusación de la magistrada ponente, doña Laura Díez Bueso, sin acompañar poder especial para ello.</w:t>
      </w:r>
    </w:p>
    <w:p w14:paraId="059494A1" w14:textId="77777777" w:rsidR="00F64776" w:rsidRDefault="00F64776" w:rsidP="00F64776">
      <w:pPr>
        <w:pStyle w:val="TextoNormal"/>
      </w:pPr>
    </w:p>
    <w:p w14:paraId="36D0FDB3" w14:textId="77777777" w:rsidR="00F64776" w:rsidRDefault="00F64776" w:rsidP="00F64776">
      <w:pPr>
        <w:pStyle w:val="TextoNormal"/>
      </w:pPr>
      <w:r>
        <w:t>En el escrito de recusación se pone de manifiesto que la magistrada señora Díez Bueso ha desempeñado altos cargos en el Ministerio de la Presidencia, Relaciones con las Cortes y Memoria Democrática entre los años 2018 y 2022, estando entre las funciones de este Ministerio la política del Gobierno en materia de memoria histórica y democrática, así como el ejercicio del derecho a la libertad religiosa y de culto; la coordinación de la calidad de la actividad normativa del gobierno; la coordinación de los asuntos de relevancia constitucional y la coordinación interministerial que le encomienden las disposiciones vigentes, el Gobierno o su presidente.</w:t>
      </w:r>
    </w:p>
    <w:p w14:paraId="7072E02F" w14:textId="77777777" w:rsidR="00F64776" w:rsidRDefault="00F64776" w:rsidP="00F64776">
      <w:pPr>
        <w:pStyle w:val="TextoNormal"/>
      </w:pPr>
    </w:p>
    <w:p w14:paraId="3FB0F248" w14:textId="77777777" w:rsidR="00F64776" w:rsidRDefault="00F64776" w:rsidP="00F64776">
      <w:pPr>
        <w:pStyle w:val="TextoNormal"/>
      </w:pPr>
      <w:r>
        <w:t xml:space="preserve">En la medida en que la parte recurrente impugna </w:t>
      </w:r>
      <w:r w:rsidRPr="00F64776">
        <w:rPr>
          <w:i/>
        </w:rPr>
        <w:t>ex</w:t>
      </w:r>
      <w:r>
        <w:t xml:space="preserve"> art. 43.1 de la Ley Orgánica del Tribunal Constitucional (LOTC), el art. 9 de las tres órdenes (SND 399/2020, SND 414/2020 y SND 458/2020) dictadas por el Gobierno por considerar que vulneran, entre otros, el derecho al culto y el sistema de relaciones con la confesión católica y concluye que la materia sobre la que versa el recurso es aquella respecto de la que la ponente, como alto cargo del Ministerio de la Presidencia, ha desempeñado funciones directa o indirectamente y por tanto, incurre en la causas de recusación que recoge el art. 219 de la Ley Orgánica del Poder Judicial (LOPJ) cuando se refiere a: (i) “[h]aber ocupado cargo público, desempeñado empleo o ejercido profesión con ocasión de los cuales haya participado directa o indirectamente en el asunto objeto del pleito o causa o en otro relacionado con el mismo” (decimotercera); (ii) “[e]n los procesos en que sea parte la Administración pública, encontrarse el juez o magistrado con la autoridad o funcionario que hubiese dictado el acto o informado respecto del mismo o realizado el hecho por razón de los cuales se sigue el proceso en alguna de las circunstancias mencionadas en las causas […] decimotercera […] de este artículo” (decimocuarta); y (iii) “[h]aber ocupado el juez o magistrado cargo público o administrativo con ocasión del cual haya podido tener conocimiento del objeto del litigio y formar criterio en detrimento de la debida imparcialidad” (decimosexta).</w:t>
      </w:r>
    </w:p>
    <w:p w14:paraId="26B30B66" w14:textId="77777777" w:rsidR="00F64776" w:rsidRDefault="00F64776" w:rsidP="00F64776">
      <w:pPr>
        <w:pStyle w:val="TextoNormal"/>
      </w:pPr>
    </w:p>
    <w:p w14:paraId="111418D6" w14:textId="6B3047CF" w:rsidR="00F64776" w:rsidRDefault="00F64776" w:rsidP="00F64776">
      <w:pPr>
        <w:pStyle w:val="TextoNormal"/>
      </w:pPr>
      <w:r>
        <w:t>Concluye el escrito afirmando que “la Excma. Sra. ponente tendría que juzgar ahora la calidad y la constitucionalidad del que ha sido directa o indirectamente su propio trabajo como alto cargo del Ministerio de la Presidencia. Es más, si permaneciera en el cargo anterior a su nombramiento como magistrada del Tribunal Constitucional, desempeñaría como alto cargo del Ministerio de la Presidencia directa o indirectamente funciones como parte demandada por el recurso contra el art. 9, lugares de culto, de las órdenes SND 399/2020, SND 414/2020 y SND 458/2020 dictadas por el Gobierno. Las funciones principales que ha desempeñado en el Ministerio de la Presidencia se consideran en relación con el presente recurso mixto de amparo un óbice previsto en las tres causas citadas del art. 219 LOPJ”.</w:t>
      </w:r>
    </w:p>
    <w:p w14:paraId="45901AC1" w14:textId="77777777" w:rsidR="00F64776" w:rsidRDefault="00F64776" w:rsidP="00F64776">
      <w:pPr>
        <w:pStyle w:val="TextoNormal"/>
      </w:pPr>
    </w:p>
    <w:p w14:paraId="12FE084F" w14:textId="369176BF" w:rsidR="00F64776" w:rsidRDefault="00F64776" w:rsidP="00F64776">
      <w:pPr>
        <w:pStyle w:val="TextoNormal"/>
      </w:pPr>
      <w:r w:rsidRPr="00F64776">
        <w:rPr>
          <w:rStyle w:val="NumeroAFNegritaCaracter"/>
        </w:rPr>
        <w:t>7</w:t>
      </w:r>
      <w:r>
        <w:t>. El día 18 de septiembre de 2023, la recurrente presenta el poder especial requerido por el art. 223.2 LOPJ.</w:t>
      </w:r>
    </w:p>
    <w:p w14:paraId="66ACA689" w14:textId="77777777" w:rsidR="00F64776" w:rsidRDefault="00F64776" w:rsidP="00F64776">
      <w:pPr>
        <w:pStyle w:val="TextoNormal"/>
      </w:pPr>
    </w:p>
    <w:p w14:paraId="5A75F1F2" w14:textId="2E1E8810" w:rsidR="00F64776" w:rsidRDefault="00F64776" w:rsidP="00F64776">
      <w:pPr>
        <w:pStyle w:val="TextoNormal"/>
      </w:pPr>
      <w:r w:rsidRPr="00F64776">
        <w:rPr>
          <w:rStyle w:val="NumeroAFNegritaCaracter"/>
        </w:rPr>
        <w:t>8</w:t>
      </w:r>
      <w:r>
        <w:t>. Por diligencia de ordenación de 19 de septiembre de 2023, el secretario de justicia tiene por recibido el escrito de recusación y el poder especial, y, conforme a lo previsto en el art. 10.l LOTC, remite dicho escrito al Pleno de este tribunal, para resolver lo que proceda.</w:t>
      </w:r>
    </w:p>
    <w:p w14:paraId="6AA70C22" w14:textId="77777777" w:rsidR="00F64776" w:rsidRDefault="00F64776" w:rsidP="00F64776">
      <w:pPr>
        <w:pStyle w:val="TextoNormal"/>
      </w:pPr>
    </w:p>
    <w:p w14:paraId="2138AC13" w14:textId="5CC10D0D" w:rsidR="00F64776" w:rsidRDefault="00F64776" w:rsidP="00F64776">
      <w:pPr>
        <w:pStyle w:val="TextoNormal"/>
      </w:pPr>
      <w:r w:rsidRPr="00F64776">
        <w:rPr>
          <w:rStyle w:val="NumeroAFNegritaCaracter"/>
        </w:rPr>
        <w:t>9</w:t>
      </w:r>
      <w:r>
        <w:t>. El secretario de justicia del Pleno, mediante diligencia de ordenación de 20 de septiembre de 2023, tiene por recibida comunicación de la Sala Segunda de este tribunal remitiendo actuaciones relativas al escrito presentado el día 7 de septiembre de 2023 por la procuradora doña Rosa María Martínez Virgili, en nombre y representación de doña Blanca Parga Landa, mediante el que formula recusación de la magistrada doña Laura Díez Bueso, y acuerda designar como ponente del incidente de recusación a la magistrada doña María Luisa Balaguer Callejón, a la que por turno corresponde, para que proponga al Pleno la resolución que proceda.</w:t>
      </w:r>
    </w:p>
    <w:p w14:paraId="2F611233" w14:textId="77777777" w:rsidR="00F64776" w:rsidRDefault="00F64776" w:rsidP="00F64776">
      <w:pPr>
        <w:pStyle w:val="TextoNormal"/>
      </w:pPr>
    </w:p>
    <w:p w14:paraId="47D8CEC9" w14:textId="5CC3B064" w:rsidR="00F64776" w:rsidRDefault="00F64776" w:rsidP="00F64776">
      <w:pPr>
        <w:pStyle w:val="TextoNormal"/>
      </w:pPr>
      <w:r w:rsidRPr="00F64776">
        <w:rPr>
          <w:rStyle w:val="NumeroAFNegritaCaracter"/>
        </w:rPr>
        <w:t>10</w:t>
      </w:r>
      <w:r>
        <w:t>. La procuradora de los tribunales doña Rosa María Martínez Virgili, en nombre y representación de doña Blanca Parga Landa, presenta escrito de subsanación del escrito de recusación, manifestando que no se le notificó dicha designación y que el conocimiento de que la ponente del recurso de amparo era doña Laura Díez Bueso tuvo lugar el día 6 de septiembre de 2023, día en que acudió al Tribunal Constitucional personalmente para consultar el expediente, razón por la que, en atención a lo previsto en el artículo 223.1 LOPJ se interpuso el incidente al día siguiente.</w:t>
      </w:r>
    </w:p>
    <w:p w14:paraId="36803AA9" w14:textId="77777777" w:rsidR="00F64776" w:rsidRDefault="00F64776" w:rsidP="00F64776">
      <w:pPr>
        <w:pStyle w:val="TextoNormal"/>
      </w:pPr>
    </w:p>
    <w:p w14:paraId="5FA99B4F" w14:textId="77777777" w:rsidR="00F64776" w:rsidRDefault="00F64776" w:rsidP="00F64776">
      <w:pPr>
        <w:pStyle w:val="TextoNormalNegritaCentrado"/>
        <w:keepNext/>
      </w:pPr>
      <w:r>
        <w:t>II. Fundamentos jurídicos</w:t>
      </w:r>
    </w:p>
    <w:p w14:paraId="5F3885EC" w14:textId="16769E75" w:rsidR="00F64776" w:rsidRDefault="00F64776" w:rsidP="00F64776">
      <w:pPr>
        <w:pStyle w:val="TextoNormalNegritaCentrado"/>
        <w:keepNext/>
      </w:pPr>
    </w:p>
    <w:p w14:paraId="382FFC16" w14:textId="77777777" w:rsidR="00F64776" w:rsidRDefault="00F64776" w:rsidP="00F64776">
      <w:pPr>
        <w:pStyle w:val="TextoNormal"/>
      </w:pPr>
      <w:r w:rsidRPr="00F64776">
        <w:rPr>
          <w:rStyle w:val="NumeroAFNegritaCaracter"/>
        </w:rPr>
        <w:t>1</w:t>
      </w:r>
      <w:r>
        <w:t xml:space="preserve">. </w:t>
      </w:r>
      <w:r w:rsidRPr="00F64776">
        <w:rPr>
          <w:i/>
        </w:rPr>
        <w:t>Objeto de la presente resolución</w:t>
      </w:r>
    </w:p>
    <w:p w14:paraId="63A2F129" w14:textId="77777777" w:rsidR="00F64776" w:rsidRDefault="00F64776" w:rsidP="00F64776">
      <w:pPr>
        <w:pStyle w:val="TextoNormal"/>
      </w:pPr>
    </w:p>
    <w:p w14:paraId="71C9EB5F" w14:textId="77777777" w:rsidR="00F64776" w:rsidRDefault="00F64776" w:rsidP="00F64776">
      <w:pPr>
        <w:pStyle w:val="TextoNormal"/>
      </w:pPr>
      <w:r>
        <w:t>En los recursos de amparo núm. 1238-2022 y 3966-2022, ambos conexos, se ha presentado escrito iniciado por la recurrente en amparo, en el que se promueve la recusación de la magistrada de este tribunal y ponente de ambos asuntos, doña Laura Díez Bueso.</w:t>
      </w:r>
    </w:p>
    <w:p w14:paraId="3A519771" w14:textId="77777777" w:rsidR="00F64776" w:rsidRDefault="00F64776" w:rsidP="00F64776">
      <w:pPr>
        <w:pStyle w:val="TextoNormal"/>
      </w:pPr>
    </w:p>
    <w:p w14:paraId="70F2A9C6" w14:textId="346DF671" w:rsidR="00F64776" w:rsidRDefault="00F64776" w:rsidP="00F64776">
      <w:pPr>
        <w:pStyle w:val="TextoNormal"/>
      </w:pPr>
      <w:r>
        <w:t>Tal y como se ha expuesto con mayor detalle en los antecedentes, en el incidente formulado se invocan como causa de recusación las previstas en los apartados decimotercero, decimocuarto y decimosexto del art. 219 LOPJ, cuya concurrencia se fundaría en el hecho de que la recusada, en su condición de directora de Gabinete del secretario de Estado de Relaciones con las Cortes primero, y de directora general de Asuntos Constitucionales y Coordinación Jurídica del Ministerio de la Presidencia, Relaciones con las Cortes y Memoria Democrática después, en el período comprendido entre los años 2018 y 2022, habría tenido ocasión de formarse criterio sobre la materia objeto del recurso de amparo.</w:t>
      </w:r>
    </w:p>
    <w:p w14:paraId="3F777A9C" w14:textId="77777777" w:rsidR="00F64776" w:rsidRDefault="00F64776" w:rsidP="00F64776">
      <w:pPr>
        <w:pStyle w:val="TextoNormal"/>
      </w:pPr>
    </w:p>
    <w:p w14:paraId="5D0ACD4A" w14:textId="77777777" w:rsidR="00F64776" w:rsidRDefault="00F64776" w:rsidP="00F64776">
      <w:pPr>
        <w:pStyle w:val="TextoNormal"/>
      </w:pPr>
      <w:r w:rsidRPr="00F64776">
        <w:rPr>
          <w:rStyle w:val="NumeroAFNegritaCaracter"/>
        </w:rPr>
        <w:t>2</w:t>
      </w:r>
      <w:r>
        <w:t xml:space="preserve">. </w:t>
      </w:r>
      <w:r w:rsidRPr="00F64776">
        <w:rPr>
          <w:i/>
        </w:rPr>
        <w:t>Extemporaneidad de las recusaciones formuladas en los recursos de amparo</w:t>
      </w:r>
    </w:p>
    <w:p w14:paraId="7F1CF886" w14:textId="77777777" w:rsidR="00F64776" w:rsidRDefault="00F64776" w:rsidP="00F64776">
      <w:pPr>
        <w:pStyle w:val="TextoNormal"/>
      </w:pPr>
    </w:p>
    <w:p w14:paraId="2C4097F6" w14:textId="77777777" w:rsidR="00F64776" w:rsidRDefault="00F64776" w:rsidP="00F64776">
      <w:pPr>
        <w:pStyle w:val="TextoNormal"/>
      </w:pPr>
      <w:r>
        <w:t xml:space="preserve">El primer párrafo del art. 223.1 LOPJ, aplicable </w:t>
      </w:r>
      <w:r w:rsidRPr="00F64776">
        <w:rPr>
          <w:i/>
        </w:rPr>
        <w:t>ex</w:t>
      </w:r>
      <w:r>
        <w:t xml:space="preserve"> art. 80 LOTC, establece que “[l]a recusación deberá proponerse tan pronto como se tenga conocimiento de la causa en que se funde, pues, en otro caso, no se admitirá a trámite”.</w:t>
      </w:r>
    </w:p>
    <w:p w14:paraId="73381BAB" w14:textId="77777777" w:rsidR="00F64776" w:rsidRDefault="00F64776" w:rsidP="00F64776">
      <w:pPr>
        <w:pStyle w:val="TextoNormal"/>
      </w:pPr>
    </w:p>
    <w:p w14:paraId="67061E04" w14:textId="77777777" w:rsidR="00F64776" w:rsidRDefault="00F64776" w:rsidP="00F64776">
      <w:pPr>
        <w:pStyle w:val="TextoNormal"/>
      </w:pPr>
      <w:r>
        <w:t>La razón de que el legislador orgánico haya formulado esta previsión se explica en el fundamento jurídico 3, del ATC 17/2022, de 25 de enero, donde se dice que “[l]a exigencia de una actitud proactiva de la parte que propone la recusación está íntimamente vinculada con la necesidad de evitar la posibilidad de utilizar el instrumento de la recusación como un mecanismo intimidatorio que sobrevuele la intervención de un magistrado en la tramitación de un procedimiento, a modo de condicionante de su actuación”. Pero además, el mismo auto sostiene que la razón de ser de la limitación temporal de las recusaciones también tiene por finalidad impedir una permanente incertidumbre para los intervinientes “en sus legítimas expectativas sobre la apariencia de imparcialidad de quien ha de resolver su causa”.</w:t>
      </w:r>
    </w:p>
    <w:p w14:paraId="388A5DB6" w14:textId="77777777" w:rsidR="00F64776" w:rsidRDefault="00F64776" w:rsidP="00F64776">
      <w:pPr>
        <w:pStyle w:val="TextoNormal"/>
      </w:pPr>
    </w:p>
    <w:p w14:paraId="13F9976D" w14:textId="77777777" w:rsidR="00F64776" w:rsidRDefault="00F64776" w:rsidP="00F64776">
      <w:pPr>
        <w:pStyle w:val="TextoNormal"/>
      </w:pPr>
      <w:r>
        <w:t>Conforme a ese fundamento del art. 223.1 LOPJ y, en atención a la naturaleza y composición de este tribunal, debe resolverse en primer término sobre el carácter temporáneo o no de la recusación formulada, y ello antes incluso de exponer la doctrina constitucional eventualmente aplicable y relativa a la imparcialidad del juzgador y a las recusaciones y abstenciones en sede de jurisdicción constitucional.</w:t>
      </w:r>
    </w:p>
    <w:p w14:paraId="5FAF66B8" w14:textId="77777777" w:rsidR="00F64776" w:rsidRDefault="00F64776" w:rsidP="00F64776">
      <w:pPr>
        <w:pStyle w:val="TextoNormal"/>
      </w:pPr>
    </w:p>
    <w:p w14:paraId="4B2331CF" w14:textId="77777777" w:rsidR="00F64776" w:rsidRDefault="00F64776" w:rsidP="00F64776">
      <w:pPr>
        <w:pStyle w:val="TextoNormal"/>
      </w:pPr>
      <w:r>
        <w:t>La recusación examinada se promueve en procesos constitucionales cuyo conocimiento corresponde a la Sección Tercera del Tribunal Constitucional desde el 19 de enero de 2023, tal y como se comunica a la recurrente en amparo en tiempo y forma. La composición de la sección es pública, notoria e invariable desde el momento en que se publica en el “Boletín Oficial del Estado” el acuerdo del Pleno del Tribunal Constitucional, de 17 de enero de 2023, que dispone la nueva composición de las salas y secciones, tras la renovación de un tercio de los integrantes del Tribunal Constitucional; renovación esta que supuso la incorporación al Pleno del Tribunal Constitucional de la señora Díez Bueso, quien fue nombrada magistrada por Real Decreto 1093/2022, de 30 de diciembre, publicado en el “Boletín Oficial del Estado” núm. 314 de 31 de diciembre de 2022, y cuya toma de posesión tuvo lugar el día 9 de enero de 2023.</w:t>
      </w:r>
    </w:p>
    <w:p w14:paraId="065CA802" w14:textId="77777777" w:rsidR="00F64776" w:rsidRDefault="00F64776" w:rsidP="00F64776">
      <w:pPr>
        <w:pStyle w:val="TextoNormal"/>
      </w:pPr>
    </w:p>
    <w:p w14:paraId="5B31496D" w14:textId="77777777" w:rsidR="00F64776" w:rsidRDefault="00F64776" w:rsidP="00F64776">
      <w:pPr>
        <w:pStyle w:val="TextoNormal"/>
      </w:pPr>
      <w:r>
        <w:t>El acuerdo de 17 de enero de 2023 fue publicado en el “Boletín Oficial del Estado” de 19 de enero de 2023, misma fecha en la que, por diligencia de ordenación, se comunica a la recurrente en amparo a qué sección ha quedado atribuido el conocimiento de su causa. La composición de la Sección Tercera también se incluye en el acuerdo de 17 de enero de 2023, en el que se lee que está integrada por doña Inmaculada Montalbán Huertas, don César Tolosa Tribiño y doña Laura Díez Bueso.</w:t>
      </w:r>
    </w:p>
    <w:p w14:paraId="3E5A1213" w14:textId="77777777" w:rsidR="00F64776" w:rsidRDefault="00F64776" w:rsidP="00F64776">
      <w:pPr>
        <w:pStyle w:val="TextoNormal"/>
      </w:pPr>
    </w:p>
    <w:p w14:paraId="4AACF5DB" w14:textId="77777777" w:rsidR="00F64776" w:rsidRDefault="00F64776" w:rsidP="00F64776">
      <w:pPr>
        <w:pStyle w:val="TextoNormal"/>
      </w:pPr>
      <w:r>
        <w:t>Cuando nos encontramos ante recursos de amparo en trámite de admisibilidad, como es el caso que ahora nos ocupa, siendo competente la sección para conocer de ese trámite (</w:t>
      </w:r>
      <w:r w:rsidRPr="00F64776">
        <w:rPr>
          <w:i/>
        </w:rPr>
        <w:t>ex</w:t>
      </w:r>
      <w:r>
        <w:t xml:space="preserve"> art. 50.1 LOTC), el momento determinante para el cómputo del plazo de recusación viene dado por la fecha en que se hace pública la composición de la sección siempre y cuando, con posterioridad a esa fecha, no se produzcan alteraciones en la atribución del conocimiento del asunto a otra sección por cualquiera de las causas previstas en la ley, en particular por la conexión del asunto a otro más antiguo, lo que podría alterar la designación de ponente y, eventualmente, la adscripción del asunto a una u otra sección.</w:t>
      </w:r>
    </w:p>
    <w:p w14:paraId="613E05A7" w14:textId="77777777" w:rsidR="00F64776" w:rsidRDefault="00F64776" w:rsidP="00F64776">
      <w:pPr>
        <w:pStyle w:val="TextoNormal"/>
      </w:pPr>
    </w:p>
    <w:p w14:paraId="774D24AD" w14:textId="77777777" w:rsidR="00F64776" w:rsidRDefault="00F64776" w:rsidP="00F64776">
      <w:pPr>
        <w:pStyle w:val="TextoNormal"/>
      </w:pPr>
      <w:r>
        <w:t xml:space="preserve">Si concurre la reasignación de la ponencia, entonces la fecha </w:t>
      </w:r>
      <w:r w:rsidRPr="00F64776">
        <w:rPr>
          <w:i/>
        </w:rPr>
        <w:t>a quo</w:t>
      </w:r>
      <w:r>
        <w:t xml:space="preserve"> para proceder a una eventual recusación en plazo será la de la comunicación de esa reasignación, si de la misma se deriva un cambio de la sección competente para conocer del trámite de admisibilidad del recurso de amparo.</w:t>
      </w:r>
    </w:p>
    <w:p w14:paraId="390AB28B" w14:textId="77777777" w:rsidR="00F64776" w:rsidRDefault="00F64776" w:rsidP="00F64776">
      <w:pPr>
        <w:pStyle w:val="TextoNormal"/>
      </w:pPr>
    </w:p>
    <w:p w14:paraId="601EE11B" w14:textId="77777777" w:rsidR="00F64776" w:rsidRDefault="00F64776" w:rsidP="00F64776">
      <w:pPr>
        <w:pStyle w:val="TextoNormal"/>
      </w:pPr>
      <w:r>
        <w:t>En el supuesto que ahora nos ocupa, la recurrente conoce en la misma fecha, el 19 de enero de 2023, tanto la composición de la sección, como la atribución del trámite de admisibilidad del recurso de amparo a la Sección Tercera del Tribunal. Desde ese momento la recurrente conoce que doña Laura Díez Bueso integrará la sección que, de forma colegiada e independientemente de la atribución de la ponencia a uno u otro magistrado de la sección, habrá de decidir sobre la admisibilidad del recurso de amparo. La posterior conexión de los recursos de amparo núm. 1238-2022 y 3966-2022, comunicada el 21 de febrero de 2023, en nada altera la competencia de la Sección Tercera, cambiando exclusivamente la ponencia del segundo de los asuntos.</w:t>
      </w:r>
    </w:p>
    <w:p w14:paraId="1987FF1A" w14:textId="77777777" w:rsidR="00F64776" w:rsidRDefault="00F64776" w:rsidP="00F64776">
      <w:pPr>
        <w:pStyle w:val="TextoNormal"/>
      </w:pPr>
    </w:p>
    <w:p w14:paraId="6781525D" w14:textId="12EB2139" w:rsidR="00F64776" w:rsidRDefault="00F64776" w:rsidP="00F64776">
      <w:pPr>
        <w:pStyle w:val="TextoNormal"/>
      </w:pPr>
      <w:r>
        <w:t>Atendidos los motivos de recusación aducidos, no puede inferirse —ni se alega en el escrito de recusación— que el conocimiento de los hechos en que se sustentan fuera posterior a la fecha de integración de la Sección Tercera, ni siquiera a la fecha en la que se comunica a la recurrente la conexión de los recursos de amparo. Ello conduce a apreciar la extemporaneidad del incidente planteado el día 7 de septiembre de 2023, ya que el plazo para recusar, conforme al art. 223.1.1 LOPJ, se inició el día 19 de enero de 2023 y finalizó a las 15:00 horas del día 2 de febrero de 2023, transcurrido el plazo de diez días desde la notificación de la primera resolución por la que se conoció la identidad de la magistrada a recusar.</w:t>
      </w:r>
    </w:p>
    <w:p w14:paraId="2AB42357" w14:textId="77777777" w:rsidR="00F64776" w:rsidRDefault="00F64776" w:rsidP="00F64776">
      <w:pPr>
        <w:pStyle w:val="TextoNormal"/>
      </w:pPr>
    </w:p>
    <w:p w14:paraId="27604070" w14:textId="77777777" w:rsidR="00F64776" w:rsidRDefault="00F64776" w:rsidP="00F64776">
      <w:pPr>
        <w:pStyle w:val="TextoNormal"/>
      </w:pPr>
      <w:r>
        <w:t>Por lo expuesto, el Pleno</w:t>
      </w:r>
    </w:p>
    <w:p w14:paraId="6D8678B2" w14:textId="5AD1380D" w:rsidR="00F64776" w:rsidRDefault="00F64776" w:rsidP="00F64776">
      <w:pPr>
        <w:pStyle w:val="TextoNormal"/>
      </w:pPr>
    </w:p>
    <w:p w14:paraId="3AE2D3EB" w14:textId="77777777" w:rsidR="00F64776" w:rsidRDefault="00F64776" w:rsidP="00F64776">
      <w:pPr>
        <w:pStyle w:val="TextoNormalCentrado"/>
      </w:pPr>
      <w:r>
        <w:t>ACUERDA</w:t>
      </w:r>
    </w:p>
    <w:p w14:paraId="70410D86" w14:textId="0AB0C784" w:rsidR="00F64776" w:rsidRDefault="00F64776" w:rsidP="00F64776">
      <w:pPr>
        <w:pStyle w:val="TextoNormalCentrado"/>
      </w:pPr>
    </w:p>
    <w:p w14:paraId="76EEE4F0" w14:textId="77777777" w:rsidR="00F64776" w:rsidRDefault="00F64776" w:rsidP="00F64776">
      <w:pPr>
        <w:pStyle w:val="TextoNormal"/>
      </w:pPr>
      <w:r>
        <w:t>Inadmitir la recusación promovida en el recurso de amparo núm. 3966-2022.</w:t>
      </w:r>
    </w:p>
    <w:p w14:paraId="1A32C726" w14:textId="77777777" w:rsidR="00F64776" w:rsidRDefault="00F64776" w:rsidP="00F64776">
      <w:pPr>
        <w:pStyle w:val="TextoNormal"/>
      </w:pPr>
    </w:p>
    <w:p w14:paraId="6F25FEEB" w14:textId="290EAE1C" w:rsidR="00F64776" w:rsidRDefault="00F64776" w:rsidP="00F64776">
      <w:pPr>
        <w:pStyle w:val="TextoNormal"/>
      </w:pPr>
      <w:r>
        <w:t>Publíquese este auto en el “Boletín Oficial del Estado”.</w:t>
      </w:r>
    </w:p>
    <w:p w14:paraId="5A401E93" w14:textId="77777777" w:rsidR="00F64776" w:rsidRDefault="00F64776" w:rsidP="00F64776">
      <w:pPr>
        <w:pStyle w:val="TextoNormal"/>
      </w:pPr>
    </w:p>
    <w:p w14:paraId="218AFACD" w14:textId="77777777" w:rsidR="00F64776" w:rsidRDefault="00F64776" w:rsidP="00F64776">
      <w:pPr>
        <w:pStyle w:val="TextoNormal"/>
      </w:pPr>
      <w:r>
        <w:t>Madrid, a doce de diciembre de dos mil veintitrés.</w:t>
      </w:r>
    </w:p>
    <w:p w14:paraId="63865991" w14:textId="3426FE32" w:rsidR="00F64776" w:rsidRDefault="00F64776">
      <w:pPr>
        <w:spacing w:after="160" w:line="278" w:lineRule="auto"/>
        <w:rPr>
          <w:rFonts w:ascii="Times New Roman" w:eastAsia="Times New Roman" w:hAnsi="Times New Roman" w:cs="Times New Roman"/>
          <w:sz w:val="24"/>
          <w:szCs w:val="24"/>
          <w:lang w:eastAsia="es-ES"/>
        </w:rPr>
      </w:pPr>
      <w:r>
        <w:br w:type="page"/>
      </w:r>
    </w:p>
    <w:p w14:paraId="77716324" w14:textId="77777777" w:rsidR="00F64776" w:rsidRDefault="00F64776" w:rsidP="00F64776">
      <w:pPr>
        <w:pStyle w:val="TtuloResolucin"/>
      </w:pPr>
      <w:bookmarkStart w:id="451" w:name="AUTO_2023_666"/>
      <w:r>
        <w:t>AUTO 666/2023, de 12 de diciembre de 2023</w:t>
      </w:r>
    </w:p>
    <w:bookmarkEnd w:id="451"/>
    <w:p w14:paraId="645DE9E7" w14:textId="77777777" w:rsidR="00F64776" w:rsidRDefault="00F64776" w:rsidP="00F64776">
      <w:pPr>
        <w:pStyle w:val="TtuloResolucin"/>
      </w:pPr>
      <w:r>
        <w:t>Pleno</w:t>
      </w:r>
    </w:p>
    <w:p w14:paraId="0218D067" w14:textId="77777777" w:rsidR="00F64776" w:rsidRDefault="00F64776" w:rsidP="00F64776">
      <w:pPr>
        <w:pStyle w:val="TextoNormalCentrado"/>
      </w:pPr>
      <w:r>
        <w:t>ECLI:ES:TC:2023:666A</w:t>
      </w:r>
    </w:p>
    <w:p w14:paraId="027C7D03" w14:textId="7CD49303" w:rsidR="00F64776" w:rsidRDefault="00F64776" w:rsidP="00F64776">
      <w:pPr>
        <w:pStyle w:val="TextoNormalCentrado"/>
      </w:pPr>
    </w:p>
    <w:p w14:paraId="7C29F6FC" w14:textId="77777777" w:rsidR="00F64776" w:rsidRDefault="00F64776" w:rsidP="00F64776">
      <w:pPr>
        <w:pStyle w:val="SntesisDescriptiva"/>
      </w:pPr>
      <w:r>
        <w:t>Excms. Srs. don Cándido Conde-Pumpido Tourón,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w:t>
      </w:r>
    </w:p>
    <w:p w14:paraId="0019B637" w14:textId="65C61BEB" w:rsidR="00F64776" w:rsidRDefault="00F64776" w:rsidP="00F64776">
      <w:pPr>
        <w:pStyle w:val="SntesisDescriptiva"/>
      </w:pPr>
    </w:p>
    <w:p w14:paraId="709AF1A3" w14:textId="77777777" w:rsidR="00F64776" w:rsidRDefault="00F64776" w:rsidP="00F64776">
      <w:pPr>
        <w:pStyle w:val="SntesisDescriptiva"/>
      </w:pPr>
      <w:r>
        <w:t>Deja sin efecto, al estimar un recurso de revisión, la diligencia de ordenación dictada en el recurso de amparo 5532-2022, promovido por don José Edmundo Espinosa Lorente y doña Fermina Espinosa Lorente en proceso contencioso administrativo, devolviendo las actuaciones para que se resuelva sobre su admisión.</w:t>
      </w:r>
    </w:p>
    <w:p w14:paraId="4509889C" w14:textId="0F55FB6B" w:rsidR="00F64776" w:rsidRDefault="00F64776" w:rsidP="00F64776">
      <w:pPr>
        <w:pStyle w:val="SntesisDescriptiva"/>
      </w:pPr>
    </w:p>
    <w:p w14:paraId="22B9C9B8" w14:textId="77777777" w:rsidR="00F64776" w:rsidRDefault="00F64776" w:rsidP="00F64776">
      <w:pPr>
        <w:pStyle w:val="SntesisDescriptiva"/>
      </w:pPr>
    </w:p>
    <w:p w14:paraId="5C72D723" w14:textId="77777777" w:rsidR="00F64776" w:rsidRDefault="00F64776" w:rsidP="00F64776">
      <w:pPr>
        <w:pStyle w:val="SntesisDescriptiva"/>
      </w:pPr>
    </w:p>
    <w:p w14:paraId="1CE0BCF3" w14:textId="77777777" w:rsidR="00F64776" w:rsidRDefault="00F64776" w:rsidP="00F64776">
      <w:pPr>
        <w:pStyle w:val="TextoNormalNegritaCentrado"/>
      </w:pPr>
      <w:r>
        <w:t>AUTO</w:t>
      </w:r>
    </w:p>
    <w:p w14:paraId="76840D01" w14:textId="42F3C531" w:rsidR="00F64776" w:rsidRDefault="00F64776" w:rsidP="00F64776">
      <w:pPr>
        <w:pStyle w:val="TextoNormalNegritaCentrado"/>
      </w:pPr>
    </w:p>
    <w:p w14:paraId="64428EB9" w14:textId="77777777" w:rsidR="00F64776" w:rsidRDefault="00F64776" w:rsidP="00F64776">
      <w:pPr>
        <w:pStyle w:val="TextoNormalNegritaCentrado"/>
        <w:keepNext/>
      </w:pPr>
      <w:r>
        <w:t>I. Antecedentes</w:t>
      </w:r>
    </w:p>
    <w:p w14:paraId="30E6226B" w14:textId="07C323D6" w:rsidR="00F64776" w:rsidRDefault="00F64776" w:rsidP="00F64776">
      <w:pPr>
        <w:pStyle w:val="TextoNormalNegritaCentrado"/>
        <w:keepNext/>
      </w:pPr>
    </w:p>
    <w:p w14:paraId="3C0DE163" w14:textId="77777777" w:rsidR="00F64776" w:rsidRDefault="00F64776" w:rsidP="00F64776">
      <w:pPr>
        <w:pStyle w:val="TextoNormal"/>
      </w:pPr>
      <w:r w:rsidRPr="00F64776">
        <w:rPr>
          <w:rStyle w:val="NumeroAFNegritaCaracter"/>
        </w:rPr>
        <w:t>1</w:t>
      </w:r>
      <w:r>
        <w:t>. Mediante escrito registrado el 27 de julio de 2022, don José Edmundo Espinosa Lorente y doña Fermina Espinosa Lorente, representados por la procuradora de los tribunales doña Olga Gutiérrez Álvarez, interpusieron recurso de amparo contra: (i) varias resoluciones de la Sección Segunda de la Sala de lo Contencioso-Administrativo del Tribunal Superior de Justicia de Andalucía dictadas en el recurso contencioso-administrativo núm. 199-2017: la sentencia núm. 3296/2020, de 27 de octubre, desestimatoria del recurso, y la providencia y auto de 3 de febrero de 2021 que inadmiten los recursos de nulidad; y (ii) las resoluciones dictadas por la Sección Primera de la Sala de lo Contencioso-Administrativo del Tribunal Supremo en el recurso de casación núm. 6176-2021: la providencia de 6 de abril de 2022, que inadmite el recurso de casación; el auto de 22 de junio de 2022, que declara no haber lugar al complemento de dicha providencia, y la providencia de 22 de junio de 2022, que inadmite el incidente de nulidad de actuaciones formulado contra la inicial providencia de 6 de abril.</w:t>
      </w:r>
    </w:p>
    <w:p w14:paraId="5702D7D1" w14:textId="77777777" w:rsidR="00F64776" w:rsidRDefault="00F64776" w:rsidP="00F64776">
      <w:pPr>
        <w:pStyle w:val="TextoNormal"/>
      </w:pPr>
    </w:p>
    <w:p w14:paraId="02C60C90" w14:textId="4F9373B3" w:rsidR="00F64776" w:rsidRDefault="00F64776" w:rsidP="00F64776">
      <w:pPr>
        <w:pStyle w:val="TextoNormal"/>
      </w:pPr>
      <w:r>
        <w:t xml:space="preserve">En el segundo otrosí digo de la demanda de amparo se solicitaba la abstención de doña Inmaculada Montalbán Huertas, doña María Luisa Balaguer Callejón, don Cándido Conde-Pumpido Tourón y don Juan Antonio Xiol Ríos, esencialmente, por entender que su actividad profesional había determinado un contacto previo con el objeto del procedimiento y denotaba una posición sobre el </w:t>
      </w:r>
      <w:r w:rsidRPr="00F64776">
        <w:rPr>
          <w:i/>
        </w:rPr>
        <w:t>thema decidendi</w:t>
      </w:r>
      <w:r>
        <w:t xml:space="preserve"> de su recurso, atinente al impuesto de sucesiones que los demandantes debían declarar como beneficiarios de una adquisición hereditaria.</w:t>
      </w:r>
    </w:p>
    <w:p w14:paraId="7E30CFCF" w14:textId="77777777" w:rsidR="00F64776" w:rsidRDefault="00F64776" w:rsidP="00F64776">
      <w:pPr>
        <w:pStyle w:val="TextoNormal"/>
      </w:pPr>
    </w:p>
    <w:p w14:paraId="1414033F" w14:textId="77777777" w:rsidR="00F64776" w:rsidRDefault="00F64776" w:rsidP="00F64776">
      <w:pPr>
        <w:pStyle w:val="TextoNormal"/>
      </w:pPr>
      <w:r w:rsidRPr="00F64776">
        <w:rPr>
          <w:rStyle w:val="NumeroAFNegritaCaracter"/>
        </w:rPr>
        <w:t>2</w:t>
      </w:r>
      <w:r>
        <w:t>. Por diligencia de ordenación del secretario de justicia de la Sección Primera de 27 de marzo de 2023, notificada ese mismo día, se puso en conocimiento de los recurrentes que, en virtud del acuerdo adoptado por el Pleno del Tribunal Constitucional el 17 de enero de 2023, publicado en el “Boletín Oficial del Estado” de 19 de enero, el recurso de amparo núm. 5532-2022 había sido turnado a la Sección Primera de la Sala Primera del Tribunal Constitucional.</w:t>
      </w:r>
    </w:p>
    <w:p w14:paraId="04371BC5" w14:textId="77777777" w:rsidR="00F64776" w:rsidRDefault="00F64776" w:rsidP="00F64776">
      <w:pPr>
        <w:pStyle w:val="TextoNormal"/>
      </w:pPr>
    </w:p>
    <w:p w14:paraId="13002218" w14:textId="0E627D0B" w:rsidR="00F64776" w:rsidRDefault="00F64776" w:rsidP="00F64776">
      <w:pPr>
        <w:pStyle w:val="TextoNormal"/>
      </w:pPr>
      <w:r>
        <w:t>La representación procesal de los demandantes presentó escrito el 31 de marzo de 2023, en el que, entre otros extremos, se reitera la petición de abstención del magistrado don Cándido Conde-Pumpido Tourón y la magistrada doña María Luisa Balaguer Callejón y se añade la del magistrado don César Tolosa Tribiño. Se insiste en que respecto del señor Conde-Pumpido y la señora Balaguer hay falta de imparcialidad objetiva y subjetiva porque distintas actuaciones de su carrera profesional muestran una posición sobre los impuestos contraria a las pretensiones de los recurrentes. También respecto del señor Tolosa se aduce, sin mayor concreción, que tiene una convicción sobre las cuestiones que suscita la demanda exteriorizada en su actuación como magistrado del Tribunal Supremo. En el suplico se pide que se tengan por pedidas las abstenciones y, para el caso de que no se produzcan o no se admita el recurso de amparo, que se inicien las recusaciones.</w:t>
      </w:r>
    </w:p>
    <w:p w14:paraId="57983190" w14:textId="77777777" w:rsidR="00F64776" w:rsidRDefault="00F64776" w:rsidP="00F64776">
      <w:pPr>
        <w:pStyle w:val="TextoNormal"/>
      </w:pPr>
    </w:p>
    <w:p w14:paraId="487C6BD6" w14:textId="4EA80EF3" w:rsidR="00F64776" w:rsidRDefault="00F64776" w:rsidP="00F64776">
      <w:pPr>
        <w:pStyle w:val="TextoNormal"/>
      </w:pPr>
      <w:r w:rsidRPr="00F64776">
        <w:rPr>
          <w:rStyle w:val="NumeroAFNegritaCaracter"/>
        </w:rPr>
        <w:t>3</w:t>
      </w:r>
      <w:r>
        <w:t>. Por providencia de 30 de octubre de 2023, la Sección Primera del Tribunal Constitucional acordó la nulidad de la providencia de la misma Sección Primera de 19 de mayo de 2023, que había acordado no admitir a trámite el recurso por no haber satisfecho debidamente la carga de justificar su especial trascendencia constitucional [arts. 49.1 y 50.1 a) de la Ley Orgánica del Tribunal Constitucional (LOTC)], reponiéndose las actuaciones al escrito presentado por la representación de los demandantes el 31 de marzo de 2023.</w:t>
      </w:r>
    </w:p>
    <w:p w14:paraId="10C2B4CF" w14:textId="77777777" w:rsidR="00F64776" w:rsidRDefault="00F64776" w:rsidP="00F64776">
      <w:pPr>
        <w:pStyle w:val="TextoNormal"/>
      </w:pPr>
    </w:p>
    <w:p w14:paraId="2BE24199" w14:textId="6FDE95B5" w:rsidR="00F64776" w:rsidRDefault="00F64776" w:rsidP="00F64776">
      <w:pPr>
        <w:pStyle w:val="TextoNormal"/>
      </w:pPr>
      <w:r w:rsidRPr="00F64776">
        <w:rPr>
          <w:rStyle w:val="NumeroAFNegritaCaracter"/>
        </w:rPr>
        <w:t>4</w:t>
      </w:r>
      <w:r>
        <w:t>. Por diligencia de ordenación de 13 de noviembre de 2023, el secretario de justicia del Pleno del Tribunal tuvo “por recibida comunicación de la Sala Primera de este tribunal remitiendo escritos de la procuradora doña Olga Gutiérrez Álvarez, en nombre y representación de don José Edmundo Espinosa Lorente y doña Fermina Espinosa Lorente, mediante los que formula recusación del Excmo. Sr. don Cándido Conde-Pumpido Tourón, de las Excmas. Sras. doña Inmaculada Montalbán Huertas y doña María Luisa Balaguer Callejón y del Excmo. Sr. don César Tolosa Tribiño”. En ella se acordó también “designar ponente del incidente de recusación al magistrado Excmo. Sr. don Ramón Sáez Valcárcel, al que por turno corresponde, para que proponga al Pleno la resolución que proceda”.</w:t>
      </w:r>
    </w:p>
    <w:p w14:paraId="3F908671" w14:textId="77777777" w:rsidR="00F64776" w:rsidRDefault="00F64776" w:rsidP="00F64776">
      <w:pPr>
        <w:pStyle w:val="TextoNormal"/>
      </w:pPr>
    </w:p>
    <w:p w14:paraId="75CFFDBB" w14:textId="5E9720A6" w:rsidR="00F64776" w:rsidRDefault="00F64776" w:rsidP="00F64776">
      <w:pPr>
        <w:pStyle w:val="TextoNormal"/>
      </w:pPr>
      <w:r w:rsidRPr="00F64776">
        <w:rPr>
          <w:rStyle w:val="NumeroAFNegritaCaracter"/>
        </w:rPr>
        <w:t>5</w:t>
      </w:r>
      <w:r>
        <w:t>. Por escrito de 16 de noviembre de 2023 los recurrentes presentaron recurso de reposición contra la anterior diligencia de ordenación, proponiendo alternativamente su tratamiento como recurso de revisión. Sostienen que esa diligencia “no se atiene al dice y suplica” de su escrito de 31 de marzo de 2023, al que da respuesta, ya que en él se pedía la abstención y no la recusación de los magistrados, que se supeditaba al rechazo de la abstención o a la no admisión del recurso de amparo. Insisten en que, en función de las razones que las magistradas señoras Balaguer y Montalbán y los magistrados señores Conde-Pumpido y Tolosa aleguen para no abstenerse, decidirán recusar o no, ejemplificando acto seguido con hipotéticos argumentos de los magistrados para rechazar la abstención que los llevaría a no recusar. Añaden los recurrentes, y así lo solicitan, que el Pleno del Tribunal Constitucional solo puede admitir a trámite el recurso de amparo y resolverlo, ya que la resolución de las recusaciones de las magistradas doña Inmaculada Montalbán Huertas, doña María Luisa Balaguer Callejón y del magistrado don Cándido Conde-Pumpido Tourón se haría “fuera de plazo y por órgano incompetente”, pues debieron resolverse antes por un tribunal con una composición distinta.</w:t>
      </w:r>
    </w:p>
    <w:p w14:paraId="4A9978DE" w14:textId="77777777" w:rsidR="00F64776" w:rsidRDefault="00F64776" w:rsidP="00F64776">
      <w:pPr>
        <w:pStyle w:val="TextoNormal"/>
      </w:pPr>
    </w:p>
    <w:p w14:paraId="6999892A" w14:textId="77777777" w:rsidR="00F64776" w:rsidRDefault="00F64776" w:rsidP="00F64776">
      <w:pPr>
        <w:pStyle w:val="TextoNormalNegritaCentrado"/>
        <w:keepNext/>
      </w:pPr>
      <w:r>
        <w:t>II. Fundamentos jurídicos</w:t>
      </w:r>
    </w:p>
    <w:p w14:paraId="3E5CC933" w14:textId="089F7D60" w:rsidR="00F64776" w:rsidRDefault="00F64776" w:rsidP="00F64776">
      <w:pPr>
        <w:pStyle w:val="TextoNormalNegritaCentrado"/>
        <w:keepNext/>
      </w:pPr>
    </w:p>
    <w:p w14:paraId="61D9E2B7" w14:textId="77777777" w:rsidR="00F64776" w:rsidRDefault="00F64776" w:rsidP="00F64776">
      <w:pPr>
        <w:pStyle w:val="TextoNormal"/>
      </w:pPr>
      <w:r w:rsidRPr="00F64776">
        <w:rPr>
          <w:rStyle w:val="TextoNormalNegritaCaracter"/>
        </w:rPr>
        <w:t xml:space="preserve">Único. </w:t>
      </w:r>
      <w:r>
        <w:t>Como hemos señalado en los recientes AATC 6/2023, de 24 de enero, y 487/2023, de 24 de octubre, las diligencias de ordenación dictadas por los secretarios de justicia del Tribunal Constitucional no son recurribles en reposición ante el propio secretario de justicia que las haya dictado ni, por ende, susceptibles de recurso de revisión, sin perjuicio de que puedan ser examinadas, en su caso, por la correspondiente sección de este tribunal o por las salas o el Pleno.</w:t>
      </w:r>
    </w:p>
    <w:p w14:paraId="418695E6" w14:textId="77777777" w:rsidR="00F64776" w:rsidRDefault="00F64776" w:rsidP="00F64776">
      <w:pPr>
        <w:pStyle w:val="TextoNormal"/>
      </w:pPr>
    </w:p>
    <w:p w14:paraId="633C0E22" w14:textId="77777777" w:rsidR="00F64776" w:rsidRDefault="00F64776" w:rsidP="00F64776">
      <w:pPr>
        <w:pStyle w:val="TextoNormal"/>
      </w:pPr>
      <w:r>
        <w:t>Como en los citados autos, abordaremos la pretensión formulada por los recurrentes en su escrito de 16 de noviembre de 2023, dado su contenido y naturaleza, como una petición de revisión de lo acordado por el secretario de justicia del Pleno, ya que los recurrentes afirman que no procedía la designación de ponente que se efectúa en la diligencia de ordenación recurrida, porque, a diferencia de lo sostenido en esta, ellos no habían formulado recusación, sino solicitado la abstención de diversos magistrados del Tribunal, por lo que debe ser dejada sin efecto y procederse a admitir el recurso de amparo.</w:t>
      </w:r>
    </w:p>
    <w:p w14:paraId="4FC531A8" w14:textId="77777777" w:rsidR="00F64776" w:rsidRDefault="00F64776" w:rsidP="00F64776">
      <w:pPr>
        <w:pStyle w:val="TextoNormal"/>
      </w:pPr>
    </w:p>
    <w:p w14:paraId="0570B284" w14:textId="447CAA7A" w:rsidR="00F64776" w:rsidRDefault="00F64776" w:rsidP="00F64776">
      <w:pPr>
        <w:pStyle w:val="TextoNormal"/>
      </w:pPr>
      <w:r>
        <w:t>Ante la manifestación expresa de los demandantes en el escrito del pasado 13 de noviembre de que el objeto de su pretensión era solicitar la abstención de varios magistrados del Tribunal Constitucional y no recursarlos en ese momento, sino después y condicionadamente, debemos dejar sin efecto la diligencia de ordenación cuya revisión se ha instado y devolver las actuaciones a la Sección Primera del Tribunal, a quien corresponde resolver sobre la admisión del recurso de amparo.</w:t>
      </w:r>
    </w:p>
    <w:p w14:paraId="37004B07" w14:textId="77777777" w:rsidR="00F64776" w:rsidRDefault="00F64776" w:rsidP="00F64776">
      <w:pPr>
        <w:pStyle w:val="TextoNormal"/>
      </w:pPr>
    </w:p>
    <w:p w14:paraId="4A7801A6" w14:textId="77777777" w:rsidR="00F64776" w:rsidRDefault="00F64776" w:rsidP="00F64776">
      <w:pPr>
        <w:pStyle w:val="TextoNormal"/>
      </w:pPr>
      <w:r>
        <w:t>Por lo expuesto, el Pleno</w:t>
      </w:r>
    </w:p>
    <w:p w14:paraId="5AA0F560" w14:textId="6BF25371" w:rsidR="00F64776" w:rsidRDefault="00F64776" w:rsidP="00F64776">
      <w:pPr>
        <w:pStyle w:val="TextoNormal"/>
      </w:pPr>
    </w:p>
    <w:p w14:paraId="2EBAFA44" w14:textId="77777777" w:rsidR="00F64776" w:rsidRDefault="00F64776" w:rsidP="00F64776">
      <w:pPr>
        <w:pStyle w:val="TextoNormalCentrado"/>
      </w:pPr>
      <w:r>
        <w:t>ACUERDA</w:t>
      </w:r>
    </w:p>
    <w:p w14:paraId="1F310609" w14:textId="36C13FD7" w:rsidR="00F64776" w:rsidRDefault="00F64776" w:rsidP="00F64776">
      <w:pPr>
        <w:pStyle w:val="TextoNormalCentrado"/>
      </w:pPr>
    </w:p>
    <w:p w14:paraId="1D5F6178" w14:textId="6F2AFF8C" w:rsidR="00F64776" w:rsidRDefault="00F64776" w:rsidP="00F64776">
      <w:pPr>
        <w:pStyle w:val="TextoNormal"/>
      </w:pPr>
      <w:r>
        <w:t>Dejar sin efecto la diligencia de ordenación del secretario de justicia del Pleno del Tribunal Constitucional de 13 de noviembre de 2023 y devolver las actuaciones correspondientes al recurso de amparo núm. 5532-2022 a la Sección Primera del Tribunal.</w:t>
      </w:r>
    </w:p>
    <w:p w14:paraId="49C2BCBB" w14:textId="77777777" w:rsidR="00F64776" w:rsidRDefault="00F64776" w:rsidP="00F64776">
      <w:pPr>
        <w:pStyle w:val="TextoNormal"/>
      </w:pPr>
    </w:p>
    <w:p w14:paraId="72818CE6" w14:textId="77777777" w:rsidR="00F64776" w:rsidRDefault="00F64776" w:rsidP="00F64776">
      <w:pPr>
        <w:pStyle w:val="TextoNormal"/>
      </w:pPr>
      <w:r>
        <w:t>Madrid, a doce de diciembre de dos mil veintitrés.</w:t>
      </w:r>
    </w:p>
    <w:p w14:paraId="03FD4FA5" w14:textId="27E50EBC" w:rsidR="00F64776" w:rsidRDefault="00F64776">
      <w:pPr>
        <w:spacing w:after="160" w:line="278" w:lineRule="auto"/>
        <w:rPr>
          <w:rFonts w:ascii="Times New Roman" w:eastAsia="Times New Roman" w:hAnsi="Times New Roman" w:cs="Times New Roman"/>
          <w:sz w:val="24"/>
          <w:szCs w:val="24"/>
          <w:lang w:eastAsia="es-ES"/>
        </w:rPr>
      </w:pPr>
      <w:r>
        <w:br w:type="page"/>
      </w:r>
    </w:p>
    <w:p w14:paraId="50D185D6" w14:textId="77777777" w:rsidR="00F64776" w:rsidRDefault="00F64776" w:rsidP="00F64776">
      <w:pPr>
        <w:pStyle w:val="TtuloResolucin"/>
      </w:pPr>
      <w:bookmarkStart w:id="452" w:name="AUTO_2023_667"/>
      <w:r>
        <w:t>AUTO 667/2023, de 12 de diciembre de 2023</w:t>
      </w:r>
    </w:p>
    <w:bookmarkEnd w:id="452"/>
    <w:p w14:paraId="7AC97154" w14:textId="77777777" w:rsidR="00F64776" w:rsidRDefault="00F64776" w:rsidP="00F64776">
      <w:pPr>
        <w:pStyle w:val="TtuloResolucin"/>
      </w:pPr>
      <w:r>
        <w:t>Pleno</w:t>
      </w:r>
    </w:p>
    <w:p w14:paraId="716436D4" w14:textId="77777777" w:rsidR="00F64776" w:rsidRDefault="00F64776" w:rsidP="00F64776">
      <w:pPr>
        <w:pStyle w:val="TextoNormalCentrado"/>
      </w:pPr>
      <w:r>
        <w:t>ECLI:ES:TC:2023:667A</w:t>
      </w:r>
    </w:p>
    <w:p w14:paraId="2D7730CD" w14:textId="5097FA25" w:rsidR="00F64776" w:rsidRDefault="00F64776" w:rsidP="00F64776">
      <w:pPr>
        <w:pStyle w:val="TextoNormalCentrado"/>
      </w:pPr>
    </w:p>
    <w:p w14:paraId="0472812F" w14:textId="77777777" w:rsidR="00F64776" w:rsidRDefault="00F64776" w:rsidP="00F64776">
      <w:pPr>
        <w:pStyle w:val="SntesisDescriptiva"/>
      </w:pPr>
      <w:r>
        <w:t>Excms. Srs. don Cándido Conde-Pumpido Tourón,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w:t>
      </w:r>
    </w:p>
    <w:p w14:paraId="2A9E5C6B" w14:textId="3DFF4122" w:rsidR="00F64776" w:rsidRDefault="00F64776" w:rsidP="00F64776">
      <w:pPr>
        <w:pStyle w:val="SntesisDescriptiva"/>
      </w:pPr>
    </w:p>
    <w:p w14:paraId="2E92BAF5" w14:textId="77777777" w:rsidR="00F64776" w:rsidRDefault="00F64776" w:rsidP="00F64776">
      <w:pPr>
        <w:pStyle w:val="SntesisDescriptiva"/>
      </w:pPr>
      <w:r>
        <w:t>Inadmite a trámite la cuestión de inconstitucionalidad 1699-2023, planteada por el Juzgado de lo Contencioso-Administrativo núm. 22 de Madrid, en relación con el párrafo cuarto del artículo 104.5 del texto refundido de la Ley reguladora de las haciendas locales, aprobado por el Real Decreto Legislativo 2/2004, de 5 de marzo, en la redacción dada por el Real Decreto-ley 26/2021, de 8 de noviembre.</w:t>
      </w:r>
    </w:p>
    <w:p w14:paraId="189A9AB4" w14:textId="37A77726" w:rsidR="00F64776" w:rsidRDefault="00F64776" w:rsidP="00F64776">
      <w:pPr>
        <w:pStyle w:val="SntesisDescriptiva"/>
      </w:pPr>
    </w:p>
    <w:p w14:paraId="7EECCE7A" w14:textId="77777777" w:rsidR="00F64776" w:rsidRDefault="00F64776" w:rsidP="00F64776">
      <w:pPr>
        <w:pStyle w:val="SntesisDescriptiva"/>
      </w:pPr>
    </w:p>
    <w:p w14:paraId="4931A0D7" w14:textId="77777777" w:rsidR="00F64776" w:rsidRDefault="00F64776" w:rsidP="00F64776">
      <w:pPr>
        <w:pStyle w:val="SntesisDescriptiva"/>
      </w:pPr>
    </w:p>
    <w:p w14:paraId="4B16066D" w14:textId="77777777" w:rsidR="00F64776" w:rsidRDefault="00F64776" w:rsidP="00F64776">
      <w:pPr>
        <w:pStyle w:val="TextoNormalNegritaCentrado"/>
      </w:pPr>
      <w:r>
        <w:t>AUTO</w:t>
      </w:r>
    </w:p>
    <w:p w14:paraId="41B5E1BC" w14:textId="79A1B126" w:rsidR="00F64776" w:rsidRDefault="00F64776" w:rsidP="00F64776">
      <w:pPr>
        <w:pStyle w:val="TextoNormalNegritaCentrado"/>
      </w:pPr>
    </w:p>
    <w:p w14:paraId="0C4DCE70" w14:textId="77777777" w:rsidR="00F64776" w:rsidRDefault="00F64776" w:rsidP="00F64776">
      <w:pPr>
        <w:pStyle w:val="TextoNormalNegritaCentrado"/>
        <w:keepNext/>
      </w:pPr>
      <w:r>
        <w:t>I. Antecedentes</w:t>
      </w:r>
    </w:p>
    <w:p w14:paraId="6EEF3757" w14:textId="6A2AF033" w:rsidR="00F64776" w:rsidRDefault="00F64776" w:rsidP="00F64776">
      <w:pPr>
        <w:pStyle w:val="TextoNormalNegritaCentrado"/>
        <w:keepNext/>
      </w:pPr>
    </w:p>
    <w:p w14:paraId="4C8F8D5F" w14:textId="429CB188" w:rsidR="00F64776" w:rsidRDefault="00F64776" w:rsidP="00F64776">
      <w:pPr>
        <w:pStyle w:val="TextoNormal"/>
      </w:pPr>
      <w:r w:rsidRPr="00F64776">
        <w:rPr>
          <w:rStyle w:val="NumeroAFNegritaCaracter"/>
        </w:rPr>
        <w:t>1</w:t>
      </w:r>
      <w:r>
        <w:t>. El día 14 de marzo de 2023, tuvo entrada en el registro general del Tribunal Constitucional, oficio del Juzgado de lo Contencioso-Administrativo núm. 22 de Madrid por el que se remite, junto con el testimonio de las actuaciones (procedimiento abreviado núm. 452-2022), el auto de 6 de marzo de 2023 por el que se plantea cuestión de inconstitucionalidad en relación con el precepto citado en el encabezamiento de la presente resolución.</w:t>
      </w:r>
    </w:p>
    <w:p w14:paraId="7202EF02" w14:textId="77777777" w:rsidR="00F64776" w:rsidRDefault="00F64776" w:rsidP="00F64776">
      <w:pPr>
        <w:pStyle w:val="TextoNormal"/>
      </w:pPr>
    </w:p>
    <w:p w14:paraId="0636BA0E" w14:textId="77777777" w:rsidR="00F64776" w:rsidRDefault="00F64776" w:rsidP="00F64776">
      <w:pPr>
        <w:pStyle w:val="TextoNormal"/>
      </w:pPr>
      <w:r w:rsidRPr="00F64776">
        <w:rPr>
          <w:rStyle w:val="NumeroAFNegritaCaracter"/>
        </w:rPr>
        <w:t>2</w:t>
      </w:r>
      <w:r>
        <w:t>. Los hechos que pueden ser relevantes en este proceso constitucional son los siguientes:</w:t>
      </w:r>
    </w:p>
    <w:p w14:paraId="32EEAB23" w14:textId="77777777" w:rsidR="00F64776" w:rsidRDefault="00F64776" w:rsidP="00F64776">
      <w:pPr>
        <w:pStyle w:val="TextoNormal"/>
      </w:pPr>
    </w:p>
    <w:p w14:paraId="768F21FB" w14:textId="77777777" w:rsidR="00F64776" w:rsidRDefault="00F64776" w:rsidP="00F64776">
      <w:pPr>
        <w:pStyle w:val="TextoNormal"/>
      </w:pPr>
      <w:r>
        <w:t>a) La entidad Raimconsa, S.A., adquirió el día 29 de septiembre de 2005, un solar sito en Villanueva de la Cañada, por importe de 1 138 317,16 €. En el solar se promovió un edificio de once viviendas, once plazas de garaje y un trastero. El día 27 de octubre de 2021 se otorgó escritura pública de declaración de obra nueva y división horizontal.</w:t>
      </w:r>
    </w:p>
    <w:p w14:paraId="61C3EB8A" w14:textId="77777777" w:rsidR="00F64776" w:rsidRDefault="00F64776" w:rsidP="00F64776">
      <w:pPr>
        <w:pStyle w:val="TextoNormal"/>
      </w:pPr>
    </w:p>
    <w:p w14:paraId="65594BA2" w14:textId="77777777" w:rsidR="00F64776" w:rsidRDefault="00F64776" w:rsidP="00F64776">
      <w:pPr>
        <w:pStyle w:val="TextoNormal"/>
      </w:pPr>
      <w:r>
        <w:t>El día 10 de diciembre de 2021, la mercantil transmitió la edificación completa mediante once escrituras públicas. En concreto, la vivienda objeto de este proceso tuvo un precio de venta de 184 816,00 €.</w:t>
      </w:r>
    </w:p>
    <w:p w14:paraId="6F77341E" w14:textId="77777777" w:rsidR="00F64776" w:rsidRDefault="00F64776" w:rsidP="00F64776">
      <w:pPr>
        <w:pStyle w:val="TextoNormal"/>
      </w:pPr>
    </w:p>
    <w:p w14:paraId="007BFB81" w14:textId="77777777" w:rsidR="00F64776" w:rsidRDefault="00F64776" w:rsidP="00F64776">
      <w:pPr>
        <w:pStyle w:val="TextoNormal"/>
      </w:pPr>
      <w:r>
        <w:t>b) El Ayuntamiento de Villanueva de la Cañada practicó por la venta que la entidad había llevado a cabo, la liquidación del impuesto sobre el incremento de valor de los terrenos de naturaleza urbana (IIVTNU) con relación a cada vivienda, correspondiendo a la vivienda objeto de este proceso una cantidad de 2 110,72 € (liquidación núm. 56-2022).</w:t>
      </w:r>
    </w:p>
    <w:p w14:paraId="6554991F" w14:textId="77777777" w:rsidR="00F64776" w:rsidRDefault="00F64776" w:rsidP="00F64776">
      <w:pPr>
        <w:pStyle w:val="TextoNormal"/>
      </w:pPr>
    </w:p>
    <w:p w14:paraId="5269BB5E" w14:textId="77777777" w:rsidR="00F64776" w:rsidRDefault="00F64776" w:rsidP="00F64776">
      <w:pPr>
        <w:pStyle w:val="TextoNormal"/>
      </w:pPr>
      <w:r>
        <w:t>Para hallar el valor de transmisión del terreno y comprobar la concurrencia del hecho imponible, el ayuntamiento aplicó el método recogido en el párrafo cuarto del art. 104.5 TRLHL, consistente en la aplicación de la proporcionalidad catastral entre el valor del suelo respecto del total del valor del inmueble. .La Dirección General del Catastro estimó que el valor del suelo representaba el 70,89 por 100 del valor catastral al momento del devengo del IIVTNU, proporción que aplicada al valor total del inmueble transmitido (184 816,00 €) da un resultado de 131 016,06 € (valor del suelo en el año 2021).</w:t>
      </w:r>
    </w:p>
    <w:p w14:paraId="3C74427D" w14:textId="77777777" w:rsidR="00F64776" w:rsidRDefault="00F64776" w:rsidP="00F64776">
      <w:pPr>
        <w:pStyle w:val="TextoNormal"/>
      </w:pPr>
    </w:p>
    <w:p w14:paraId="2AD142AB" w14:textId="77777777" w:rsidR="00F64776" w:rsidRDefault="00F64776" w:rsidP="00F64776">
      <w:pPr>
        <w:pStyle w:val="TextoNormal"/>
      </w:pPr>
      <w:r>
        <w:t>Y siendo el precio de compra del solar, no discutido por las partes, de 1 138 317,16 €, el valor del suelo de la vivienda en dicho momento se calculó aplicando el coeficiente de participación en relación con el valor total del edificio, al no existir construcción en dicha fecha (8,25 por 100), arrojando un resultado de 93 911,17 € (valor del suelo en el año 2005).</w:t>
      </w:r>
    </w:p>
    <w:p w14:paraId="04B31DE0" w14:textId="77777777" w:rsidR="00F64776" w:rsidRDefault="00F64776" w:rsidP="00F64776">
      <w:pPr>
        <w:pStyle w:val="TextoNormal"/>
      </w:pPr>
    </w:p>
    <w:p w14:paraId="7C0C0BB1" w14:textId="77777777" w:rsidR="00F64776" w:rsidRDefault="00F64776" w:rsidP="00F64776">
      <w:pPr>
        <w:pStyle w:val="TextoNormal"/>
      </w:pPr>
      <w:r>
        <w:t>c) La entidad interpuso recurso de reposición contra dicha liquidación ante el Ayuntamiento de Villanueva de la Cañada, en el que aportó informe pericial aplicando el método residual de valoración, considerando el coste del suelo como “residuo” que se produce al deducir al valor de venta todos los gastos y beneficios más los costes de la construcción. Y aplicando dicho método concluyó a tal efecto que con la transmisión de la vivienda no solo no se había manifestado un incremento de valor del suelo, sino un detrimento del valor de este, evaluable en la cifra de 31 512,35 €. Asimismo, calculó el valor del suelo en el momento de la adquisición también en 93 911,17 €, pero en el momento de la venta lo calculó en 62 398,82 €.</w:t>
      </w:r>
    </w:p>
    <w:p w14:paraId="5646A859" w14:textId="77777777" w:rsidR="00F64776" w:rsidRDefault="00F64776" w:rsidP="00F64776">
      <w:pPr>
        <w:pStyle w:val="TextoNormal"/>
      </w:pPr>
    </w:p>
    <w:p w14:paraId="1912E0CF" w14:textId="77777777" w:rsidR="00F64776" w:rsidRDefault="00F64776" w:rsidP="00F64776">
      <w:pPr>
        <w:pStyle w:val="TextoNormal"/>
      </w:pPr>
      <w:r>
        <w:t>La administración desestimó el recurso de reposición mediante resolución de 15 de marzo de 2022.</w:t>
      </w:r>
    </w:p>
    <w:p w14:paraId="3A9547F6" w14:textId="77777777" w:rsidR="00F64776" w:rsidRDefault="00F64776" w:rsidP="00F64776">
      <w:pPr>
        <w:pStyle w:val="TextoNormal"/>
      </w:pPr>
    </w:p>
    <w:p w14:paraId="2F9BEBC7" w14:textId="77777777" w:rsidR="00F64776" w:rsidRDefault="00F64776" w:rsidP="00F64776">
      <w:pPr>
        <w:pStyle w:val="TextoNormal"/>
      </w:pPr>
      <w:r>
        <w:t>d) La entidad Raimconsa, S.A., interpuso recurso contencioso administrativo ante el Juzgado de lo Contencioso-Administrativo número 22 de Madrid que dio lugar al procedimiento abreviado núm. 452-2022.</w:t>
      </w:r>
    </w:p>
    <w:p w14:paraId="1DE038BF" w14:textId="77777777" w:rsidR="00F64776" w:rsidRDefault="00F64776" w:rsidP="00F64776">
      <w:pPr>
        <w:pStyle w:val="TextoNormal"/>
      </w:pPr>
    </w:p>
    <w:p w14:paraId="0C25CB02" w14:textId="77777777" w:rsidR="00F64776" w:rsidRDefault="00F64776" w:rsidP="00F64776">
      <w:pPr>
        <w:pStyle w:val="TextoNormal"/>
      </w:pPr>
      <w:r>
        <w:t>En su demanda, el recurrente alegó, por una parte, que no puede liquidarse una plusvalía en caso de que no exista un incremento de valor, y, por otro lado, que la nueva regulación del impuesto dada por el Real Decreto-ley 26/2021, de 8 de noviembre, permite una valoración del suelo sin que el método recogido en la nueva redacción del párrafo cuarto del art. 104.5 sea único o excluyente, pudiendo de contrario presentarse pruebas que acrediten el valor del suelo.</w:t>
      </w:r>
    </w:p>
    <w:p w14:paraId="43503471" w14:textId="77777777" w:rsidR="00F64776" w:rsidRDefault="00F64776" w:rsidP="00F64776">
      <w:pPr>
        <w:pStyle w:val="TextoNormal"/>
      </w:pPr>
    </w:p>
    <w:p w14:paraId="5BEDA559" w14:textId="77777777" w:rsidR="00F64776" w:rsidRDefault="00F64776" w:rsidP="00F64776">
      <w:pPr>
        <w:pStyle w:val="TextoNormal"/>
      </w:pPr>
      <w:r>
        <w:t>e) Por providencia de 15 de diciembre de 2022, el órgano judicial otorgó trámite de audiencia a las partes y al Ministerio Fiscal sobre la pertinencia de plantear una cuestión de inconstitucionalidad respecto al párrafo cuarto del art. 104.5 TRLHL, en la redacción dada por el Real Decreto-ley 26/2021, de 8 de noviembre, al entender que el mismo pudiera ser contrario al art. 31.1 CE. Entre otros argumentos, el órgano judicial indica que “el precepto legal establece una regla fija y automática de valoración del terreno para los casos de trasmisión de terreno y construcción (caso de autos, en el que se adquirió un solar y se vendió lo edificado sobre el mismo), que no admite prueba en contrario de incrementos efectivos distintos (generalmente inferiores) al legalmente establecido por aplicación de la regla proporcional que contiene el precepto. Ese automatismo se vincula directamente a la proporción entre valor del terreno y valor de la construcción que toma el precepto como punto de partida inamovible, como presunción legal no discutible, pese a que pueda haber variado, como plantea la demanda y como contempla la doctrina constitucional” [cita la STC 182/2021, de 26 de octubre, FJ 5, apartado D)].</w:t>
      </w:r>
    </w:p>
    <w:p w14:paraId="1496CA35" w14:textId="77777777" w:rsidR="00F64776" w:rsidRDefault="00F64776" w:rsidP="00F64776">
      <w:pPr>
        <w:pStyle w:val="TextoNormal"/>
      </w:pPr>
    </w:p>
    <w:p w14:paraId="6DE7B5D7" w14:textId="77777777" w:rsidR="00F64776" w:rsidRDefault="00F64776" w:rsidP="00F64776">
      <w:pPr>
        <w:pStyle w:val="TextoNormal"/>
      </w:pPr>
      <w:r>
        <w:t xml:space="preserve">El Ministerio Fiscal presentó su escrito de alegaciones en el que concluye que se cumplen los requisitos procesales salvo el juicio de relevancia respecto al que considera que “el órgano judicial ha de determinar, antes de plantear la cuestión, si la validez de la norma cuestionada tiene influjo directo en el fallo del asunto, para lo cual ha de despejar de antemano la incógnita relativa a si, en el supuesto concretamente planteado, se produce el resultado lesivo del art. 31.1 CE. En otras palabras: el órgano judicial ha de verificar que de la prueba practicada se infiere que el valor del suelo no ha experimentado incremento real y que, por tal razón, la aplicación de las reglas de valoración contenidas en el art. 104.5, párrafo cuarto, conduce a un resultado proscrito constitucionalmente en el art 31.1 CE”. La representación del recurrente alegó que el planteamiento de la cuestión de inconstitucionalidad no era necesario si el art. 104.5 TRLHL se interpreta y considera como una presunción de valor </w:t>
      </w:r>
      <w:r w:rsidRPr="00F64776">
        <w:rPr>
          <w:i/>
        </w:rPr>
        <w:t>iuris tantum</w:t>
      </w:r>
      <w:r>
        <w:t xml:space="preserve">, contra la que cabe prueba en contra (señala que este es el criterio sostenido en la sentencia núm. 2/2023, de 9 de enero, del Juzgado de lo Contencioso-Administrativo núm. 32 de Madrid, que en el supuesto de la liquidación correspondiente a la vivienda 1 B del mismo edificio resuelve estimando la demanda formulada por esta parte, entendiendo que el artículo 104.5 TRLHL no impide la práctica de prueba en contra). Sin embargo, entienden que es necesario el planteamiento de la cuestión de inconstitucionalidad si dicho precepto se interpreta como una presunción de valor </w:t>
      </w:r>
      <w:r w:rsidRPr="00F64776">
        <w:rPr>
          <w:i/>
        </w:rPr>
        <w:t>iuris et de iure</w:t>
      </w:r>
      <w:r>
        <w:t xml:space="preserve"> contra la que no quepa prueba en contra. Finalmente, el Ayuntamiento de Villanueva de la Cañada defendió la improcedencia del planteamiento de la cuestión de inconstitucionalidad.</w:t>
      </w:r>
    </w:p>
    <w:p w14:paraId="16A0A63E" w14:textId="77777777" w:rsidR="00F64776" w:rsidRDefault="00F64776" w:rsidP="00F64776">
      <w:pPr>
        <w:pStyle w:val="TextoNormal"/>
      </w:pPr>
    </w:p>
    <w:p w14:paraId="68ABD82B" w14:textId="712BCE1D" w:rsidR="00F64776" w:rsidRDefault="00F64776" w:rsidP="00F64776">
      <w:pPr>
        <w:pStyle w:val="TextoNormal"/>
      </w:pPr>
      <w:r>
        <w:t>f) Por auto de 6 de marzo de 2023, el juzgado acordó plantear cuestión de inconstitucionalidad en relación con el párrafo cuarto del art. 104.5 TRLHL en la redacción dada por el Real Decreto-ley 26/2021, por si pudiera ser contrario al art. 31 CE.</w:t>
      </w:r>
    </w:p>
    <w:p w14:paraId="66B92926" w14:textId="77777777" w:rsidR="00F64776" w:rsidRDefault="00F64776" w:rsidP="00F64776">
      <w:pPr>
        <w:pStyle w:val="TextoNormal"/>
      </w:pPr>
    </w:p>
    <w:p w14:paraId="6ACA1202" w14:textId="77777777" w:rsidR="00F64776" w:rsidRDefault="00F64776" w:rsidP="00F64776">
      <w:pPr>
        <w:pStyle w:val="TextoNormal"/>
      </w:pPr>
      <w:r w:rsidRPr="00F64776">
        <w:rPr>
          <w:rStyle w:val="NumeroAFNegritaCaracter"/>
        </w:rPr>
        <w:t>3</w:t>
      </w:r>
      <w:r>
        <w:t>. Del contenido del auto de planteamiento de la cuestión de inconstitucionalidad interesa destacar lo siguiente:</w:t>
      </w:r>
    </w:p>
    <w:p w14:paraId="5EB514D4" w14:textId="77777777" w:rsidR="00F64776" w:rsidRDefault="00F64776" w:rsidP="00F64776">
      <w:pPr>
        <w:pStyle w:val="TextoNormal"/>
      </w:pPr>
    </w:p>
    <w:p w14:paraId="02F10723" w14:textId="77777777" w:rsidR="00F64776" w:rsidRDefault="00F64776" w:rsidP="00F64776">
      <w:pPr>
        <w:pStyle w:val="TextoNormal"/>
      </w:pPr>
      <w:r>
        <w:t>Tras exponer los antecedentes de hecho de la presente cuestión de inconstitucionalidad, el auto expone que la norma cuya constitucionalidad se cuestiona es el párrafo cuarto del art. 104.5 TRLHL porque pudiera infringir el art. 31.1 CE, que consagra el principio de contribución al sostenimiento de los gastos públicos según la capacidad económica.</w:t>
      </w:r>
    </w:p>
    <w:p w14:paraId="12BB2BD3" w14:textId="77777777" w:rsidR="00F64776" w:rsidRDefault="00F64776" w:rsidP="00F64776">
      <w:pPr>
        <w:pStyle w:val="TextoNormal"/>
      </w:pPr>
    </w:p>
    <w:p w14:paraId="1DF5CB18" w14:textId="77777777" w:rsidR="00F64776" w:rsidRDefault="00F64776" w:rsidP="00F64776">
      <w:pPr>
        <w:pStyle w:val="TextoNormal"/>
      </w:pPr>
      <w:r>
        <w:t xml:space="preserve">En cuanto al cumplimiento de los requisitos procesales, el auto afirma que el párrafo cuestionado es la norma de aplicación al caso de la que pende el resultado de la </w:t>
      </w:r>
      <w:r w:rsidRPr="00F64776">
        <w:rPr>
          <w:i/>
        </w:rPr>
        <w:t>litis</w:t>
      </w:r>
      <w:r>
        <w:t xml:space="preserve">. De otra parte, explica que “[e]n el supuesto que nos ocupa, […] la decisión de la </w:t>
      </w:r>
      <w:r w:rsidRPr="00F64776">
        <w:rPr>
          <w:i/>
        </w:rPr>
        <w:t>litis</w:t>
      </w:r>
      <w:r>
        <w:t xml:space="preserve"> se contrae a decidir si es posible admitir que el contribuyente acredite la inexistencia de incremento de valor del terreno a través del medio de prueba técnico que se ha practicado, un dictamen pericial, que en este caso concluye de forma terminante que se ha producido una pérdida de valor del terreno; o si, por el contrario, la valoración del terreno ha de ser la que imperativamente establece [la norma cuestionada], como sostiene la administración. La no aplicación de la regla de valoración que establece el precepto legal cuestionado y la correlativa admisión de la prueba pericial y la valoración de la misma (cuyo resultado ya se ha explicado </w:t>
      </w:r>
      <w:r w:rsidRPr="00F64776">
        <w:rPr>
          <w:i/>
        </w:rPr>
        <w:t>supra</w:t>
      </w:r>
      <w:r>
        <w:t>) conduciría a un resultado favorable a las pretensiones de la parte demandante. En consecuencia, la decisión sobre la constitucionalidad de la norma cuestionada es totalmente relevante para la decisión que haya de adoptarse en este proceso judicial y no hay otro punto de controversia entre las partes que haya que decidir en el mismo”.</w:t>
      </w:r>
    </w:p>
    <w:p w14:paraId="4EE97A67" w14:textId="77777777" w:rsidR="00F64776" w:rsidRDefault="00F64776" w:rsidP="00F64776">
      <w:pPr>
        <w:pStyle w:val="TextoNormal"/>
      </w:pPr>
    </w:p>
    <w:p w14:paraId="7E5AA1F7" w14:textId="77777777" w:rsidR="00F64776" w:rsidRDefault="00F64776" w:rsidP="00F64776">
      <w:pPr>
        <w:pStyle w:val="TextoNormal"/>
      </w:pPr>
      <w:r>
        <w:t xml:space="preserve">Además, el órgano judicial razona sobre la imposibilidad de interpretación de la norma cuestionada considerando que “la parte actora ha traído a este recurso elementos probatorios con base en los cuales la sentencia pudiera declarar probado que no ha existido incremento del valor del terreno del inmueble sobre el que se ha practicado la liquidación tributaria controvertida, valorando como prueba de ello un dictamen pericial […] concluye que se ha producido una pérdida de valor del terreno”. Entiende que pudiera pensarse que estamos únicamente ante un problema de prueba, ya que “[s]e trataría de decidir si pueden los interesados valerse de los pertinentes medios de prueba, en legítima defensa de sus derechos e intereses, para acreditar un presupuesto de hecho insoslayable para el posterior estudio jurídico de la cuestión: la inexistencia de incremento de valor del terreno, que constituye la base imponible del impuesto. Si así fuera, pudiera entenderse innecesario plantear la cuestión de inconstitucionalidad”. Sin embargo, afirma: “en el caso de autos, el </w:t>
      </w:r>
      <w:r w:rsidRPr="00F64776">
        <w:rPr>
          <w:i/>
        </w:rPr>
        <w:t>thema decidendi</w:t>
      </w:r>
      <w:r>
        <w:t xml:space="preserve"> no pasa por decidir si es posible o no admitir una prueba que acredite que no ha existido incremento de valor del terreno que ha sido objeto de gravamen. El problema es que la norma legal cuestionada impone una valoración del terreno que no admite alternativa y hace irrelevante cualquier medio de prueba que permita alcanzar otra solución. El párrafo cuarto del artículo 104.5 del Texto refundido de la Ley [reguladora] de [las] haciendas locales, en la redacción que le ha dado el Real Decreto-ley 26/2021, de 8 de noviembre, establece un sistema único de cálculo del valor de los terrenos, que no admite prueba en contrario, porque la prueba de ese valor es precisamente la fórmula que establece el precepto en sí mismo. Por lo tanto, el problema radica en que la taxativa o imperativa dicción de dicho precepto obliga a que, en los casos de transmisión de un inmueble en el que haya suelo y construcción, el valor del suelo haya de ser necesariamente el que resulte de aplicar la fórmula o proporción que establece el precepto, sin posibilidad de ningún otro sistema de cálculo. Ello hace que sea difícil efectuar una interpretación de la norma acomodada al ordenamiento constitucional que soslaye el planteamiento de la cuestión de inconstitucionalidad”.</w:t>
      </w:r>
    </w:p>
    <w:p w14:paraId="279F0DE1" w14:textId="77777777" w:rsidR="00F64776" w:rsidRDefault="00F64776" w:rsidP="00F64776">
      <w:pPr>
        <w:pStyle w:val="TextoNormal"/>
      </w:pPr>
    </w:p>
    <w:p w14:paraId="2054CC35" w14:textId="77777777" w:rsidR="00F64776" w:rsidRDefault="00F64776" w:rsidP="00F64776">
      <w:pPr>
        <w:pStyle w:val="TextoNormal"/>
      </w:pPr>
      <w:r>
        <w:t>En cuanto a los motivos para el planteamiento de la cuestión de inconstitucionalidad, el órgano judicial considera que el precepto cuestionado establece un sistema único e imperativo de cálculo del incremento del valor del suelo, en el que la proporción entre el valor del suelo y de la construcción respecto del valor catastral total se ha de proyectar necesariamente sobre los valores de adquisición y de trasmisión, sin que exista posibilidad alguna de discutir y, en consecuencia, de alterar el resultado de esa proyección. Si el catastro determina que la construcción representa un determinado porcentaje del importe total del valor catastral, la administración deberá aplicarlo y el obligado tributario no podrá discutir este porcentaje y su proyección sobre los valores de adquisición y trasmisión, aunque la realidad sea que el coste real y efectivo de la construcción haya sido otro muy distinto, que pudiera estar alejado del verdaderamente necesario para llevar a término una vivienda. Se pone de relieve que este argumento se utiliza expresamente por la parte recurrente en el supuesto de autos, cuando alega que el valor de la construcción es esencialmente variable entendiendo imprescindible que el administrado pueda practicar prueba en contra de la presunción de reparto de valor. Sin embargo, a juicio del órgano judicial, la dicción del precepto cuya constitucionalidad se cuestiona impide al obligado tributario practicar prueba en contra que sirva para determinar dicha proporción. A su juicio, dicha regulación no permite que el contribuyente pueda probar, a través de otros medios de prueba admitidos en derecho el valor real del suelo; se niega, en consecuencia, al administrado, la posibilidad de acreditar situaciones inexpresivas de capacidad económica, en las que el valor del suelo en una transmisión se vea reducido a un porcentaje inferior al que resulta de la aplicación de la proporción que establece el catastro. En este caso concreto se aporta una prueba técnica de la que resulta, según el órgano judicial, que la proporción catastral entre el valor del suelo y el valor de construcción es contraria a la realidad del mercado inmobiliario y de los costes de construcción. Se añade que el porcentaje que representa el valor del suelo en el valor catastral total es mutable en el tiempo en función de diferentes variables.</w:t>
      </w:r>
    </w:p>
    <w:p w14:paraId="333C1717" w14:textId="77777777" w:rsidR="00F64776" w:rsidRDefault="00F64776" w:rsidP="00F64776">
      <w:pPr>
        <w:pStyle w:val="TextoNormal"/>
      </w:pPr>
    </w:p>
    <w:p w14:paraId="258E8012" w14:textId="7B5379DC" w:rsidR="00F64776" w:rsidRDefault="00F64776" w:rsidP="00F64776">
      <w:pPr>
        <w:pStyle w:val="TextoNormal"/>
      </w:pPr>
      <w:r>
        <w:t>De acuerdo con lo anterior, el órgano judicial aprecia que la regulación cuestionada contradice el art. 31 CE, así como la jurisprudencia del Tribunal Constitucional (cita SSTC 26/2017, de 16 de febrero; 37/2017, de 1 de marzo; 59/2017, de 11 de mayo; 126/2019, de 31 de octubre, y 182/2021) porque no permite al sujeto pasivo acreditar un resultado diferente al resultante de la aplicación de las reglas de valoración que contiene, al establecer una regla de valoración imperativa, que es la misma razón que llevó al Tribunal Constitucional a declarar inconstitucional y nulo el art. 110.4 TRLHL, en su anterior redacción, al impedir a los sujetos pasivos que puedan acreditar la existencia de una situación inexpresiva de capacidad económica. La exclusión de la prueba en contrario para acreditar si el terreno ha experimentado un incremento de valor constitutivo del hecho imponible del impuesto, o si por el contrario, es un supuesto de no sujeción, no tiene cabida en el art. 31 CE. Asimismo, porque puede producir que la capacidad económica gravada por el tributo sea inexistente, virtual o fáctica.</w:t>
      </w:r>
    </w:p>
    <w:p w14:paraId="092BD9AF" w14:textId="77777777" w:rsidR="00F64776" w:rsidRDefault="00F64776" w:rsidP="00F64776">
      <w:pPr>
        <w:pStyle w:val="TextoNormal"/>
      </w:pPr>
    </w:p>
    <w:p w14:paraId="3939DBF0" w14:textId="44A10194" w:rsidR="00F64776" w:rsidRDefault="00F64776" w:rsidP="00F64776">
      <w:pPr>
        <w:pStyle w:val="TextoNormal"/>
      </w:pPr>
      <w:r w:rsidRPr="00F64776">
        <w:rPr>
          <w:rStyle w:val="NumeroAFNegritaCaracter"/>
        </w:rPr>
        <w:t>4</w:t>
      </w:r>
      <w:r>
        <w:t>. Mediante providencia de 6 de junio de 2023 el Pleno, a los efectos que determina el art. 37.1 de la Ley Orgánica del Tribunal Constitucional (LOTC), acordó oír al fiscal general del Estado para que, en el plazo de diez días alegase lo que considerase conveniente acerca de la admisibilidad de la presente cuestión de inconstitucionalidad en relación con el cumplimiento de los requisitos procesales (juicio de relevancia) y por si fuere notoriamente infundada.</w:t>
      </w:r>
    </w:p>
    <w:p w14:paraId="27CC6E77" w14:textId="77777777" w:rsidR="00F64776" w:rsidRDefault="00F64776" w:rsidP="00F64776">
      <w:pPr>
        <w:pStyle w:val="TextoNormal"/>
      </w:pPr>
    </w:p>
    <w:p w14:paraId="44A568D2" w14:textId="77777777" w:rsidR="00F64776" w:rsidRDefault="00F64776" w:rsidP="00F64776">
      <w:pPr>
        <w:pStyle w:val="TextoNormal"/>
      </w:pPr>
      <w:r w:rsidRPr="00F64776">
        <w:rPr>
          <w:rStyle w:val="NumeroAFNegritaCaracter"/>
        </w:rPr>
        <w:t>5</w:t>
      </w:r>
      <w:r>
        <w:t>. El fiscal general del Estado evacuó el trámite conferido mediante escrito registrado en este tribunal el día 6 de julio de 2023, en el que consideraba que la cuestión de inconstitucionalidad debe ser inadmitida por ser manifiestamente infundada y no haberse realizado adecuadamente el juicio de relevancia.</w:t>
      </w:r>
    </w:p>
    <w:p w14:paraId="2B1AC8DC" w14:textId="77777777" w:rsidR="00F64776" w:rsidRDefault="00F64776" w:rsidP="00F64776">
      <w:pPr>
        <w:pStyle w:val="TextoNormal"/>
      </w:pPr>
    </w:p>
    <w:p w14:paraId="56E3342B" w14:textId="77777777" w:rsidR="00F64776" w:rsidRDefault="00F64776" w:rsidP="00F64776">
      <w:pPr>
        <w:pStyle w:val="TextoNormal"/>
      </w:pPr>
      <w:r>
        <w:t>a) Tras exponer los antecedentes de los que trae causa la presente cuestión y reproducir el contenido del precepto cuestionado, alude a la duda de constitucionalidad que plantea el órgano judicial, reproduciendo el tenor del auto de planteamiento de la cuestión.</w:t>
      </w:r>
    </w:p>
    <w:p w14:paraId="12B6B4C3" w14:textId="77777777" w:rsidR="00F64776" w:rsidRDefault="00F64776" w:rsidP="00F64776">
      <w:pPr>
        <w:pStyle w:val="TextoNormal"/>
      </w:pPr>
    </w:p>
    <w:p w14:paraId="4359C0FB" w14:textId="77777777" w:rsidR="00F64776" w:rsidRDefault="00F64776" w:rsidP="00F64776">
      <w:pPr>
        <w:pStyle w:val="TextoNormal"/>
      </w:pPr>
      <w:r>
        <w:t>b) Seguidamente, el fiscal general del Estado estima, con cita del ATC 267/2013, de 19 de noviembre, FJ 3, y de la STC 95/2015, de 14 de mayo, FJ 2, que se han cumplido los presupuestos procedimentales del trámite de audiencia, al haberse oído a las partes y al Ministerio Fiscal, en términos que les han permitido pronunciarse sobre la duda de inconstitucionalidad que sometía a su consideración el órgano judicial, contribuyendo, con sus alegaciones, a la formación de la decisión del órgano judicial sobre la pertinencia o no de su planteamiento.</w:t>
      </w:r>
    </w:p>
    <w:p w14:paraId="5D253FC8" w14:textId="77777777" w:rsidR="00F64776" w:rsidRDefault="00F64776" w:rsidP="00F64776">
      <w:pPr>
        <w:pStyle w:val="TextoNormal"/>
      </w:pPr>
    </w:p>
    <w:p w14:paraId="17181842" w14:textId="77777777" w:rsidR="00F64776" w:rsidRDefault="00F64776" w:rsidP="00F64776">
      <w:pPr>
        <w:pStyle w:val="TextoNormal"/>
      </w:pPr>
      <w:r>
        <w:t xml:space="preserve">c) En cuanto al juicio de aplicabilidad, considera, tras citar los AATC 63/2019, de 18 de junio, FJ 3, y 20/2022, de 26 de enero, FJ 4, que este debe entenderse adecuadamente establecido dado que en el proceso </w:t>
      </w:r>
      <w:r w:rsidRPr="00F64776">
        <w:rPr>
          <w:i/>
        </w:rPr>
        <w:t>a quo</w:t>
      </w:r>
      <w:r>
        <w:t>, el demandante impugna la liquidación del IIVTNU girada por el Ayuntamiento de Villanueva de la Cañada por entender que no se ha producido un incremento de valor con ocasión de la transmisión del inmueble de su propiedad, para lo que frente al método empleado por la administración, el señalado por el art. 104.5, párrafo cuarto, TRLHL, aporta una prueba pericial que acreditaría que no ha existido un incremento de valor y por tanto no procedería la exacción del impuesto.</w:t>
      </w:r>
    </w:p>
    <w:p w14:paraId="2425BB5C" w14:textId="77777777" w:rsidR="00F64776" w:rsidRDefault="00F64776" w:rsidP="00F64776">
      <w:pPr>
        <w:pStyle w:val="TextoNormal"/>
      </w:pPr>
    </w:p>
    <w:p w14:paraId="2DDC0C3B" w14:textId="77777777" w:rsidR="00F64776" w:rsidRDefault="00F64776" w:rsidP="00F64776">
      <w:pPr>
        <w:pStyle w:val="TextoNormal"/>
      </w:pPr>
      <w:r>
        <w:t xml:space="preserve">d) Respecto del juicio de relevancia, el fiscal general del Estado considera que no está adecuadamente cumplimentado. Razona que “se presenta como duda razonable si el juicio de relevancia se ha efectuado adecuadamente en la medida que el órgano judicial parece plantearse como hipótesis la existencia de ‘una minoración del suelo’”. Hace referencia a que el órgano judicial declara que “[…] la decisión de la </w:t>
      </w:r>
      <w:r w:rsidRPr="00F64776">
        <w:rPr>
          <w:i/>
        </w:rPr>
        <w:t>litis</w:t>
      </w:r>
      <w:r>
        <w:t xml:space="preserve"> se contrae a decidir si es posible admitir que el contribuyente acredite la inexistencia de incremento de valor del terreno a través del medio de prueba técnico que se ha practicado, un dictamen pericial, que en este caso concluye de forma terminante que se ha producido una pérdida de valor del terreno [...]”. Entiende el fiscal general del Estado que “[l]a circunstancia de que el órgano judicial plantee de manera condicional el hecho que determina el devengo del impuesto, esta condicionalidad conlleva que la duda de constitucionalidad se plantee como una hipótesis, lo que supone que la cuestión de inconstitucionalidad pierda su finalidad y se convierta en un juicio abstracto de constitucionalidad de la norma cuestionada, lo que está vedado por este tribunal, ya que la norma debe ser aplicable al caso y de su validez dependa el fallo”.</w:t>
      </w:r>
    </w:p>
    <w:p w14:paraId="12F47E38" w14:textId="77777777" w:rsidR="00F64776" w:rsidRDefault="00F64776" w:rsidP="00F64776">
      <w:pPr>
        <w:pStyle w:val="TextoNormal"/>
      </w:pPr>
    </w:p>
    <w:p w14:paraId="4CE090E9" w14:textId="77777777" w:rsidR="00F64776" w:rsidRDefault="00F64776" w:rsidP="00F64776">
      <w:pPr>
        <w:pStyle w:val="TextoNormal"/>
      </w:pPr>
      <w:r>
        <w:t>A juicio del fiscal, “[n]ada le impedía al órgano judicial, en aplicación de las reglas sobre admisión de la prueba en el proceso, admitir la pericial aportada por la parte demandante y, dado su contenido y los motivos que expone para cuestionar la inconstitucionalidad del párrafo cuarto del art. 104.5 TRLHL, pendiente el proceso de dictarse sentencia, plantear la duda de inconstitucionalidad sobre la viabilidad de apreciar valores diferentes a los asignados al terreno conforme al método que establece el precepto legal con ocasión de las pruebas aportadas por la demandante. En la medida que, sin valorar la prueba, para lo cual debe ser admitida, no puede el órgano judicial verificar que de esta se infiere que el valor del suelo no ha experimentado incremento real y que, por tal razón, la aplicación de las reglas de valoración contenidas en el art. 104.5, párrafo cuarto, conduce a un resultado proscrito constitucionalmente del art. 31.1 CE”.</w:t>
      </w:r>
    </w:p>
    <w:p w14:paraId="277DBE61" w14:textId="77777777" w:rsidR="00F64776" w:rsidRDefault="00F64776" w:rsidP="00F64776">
      <w:pPr>
        <w:pStyle w:val="TextoNormal"/>
      </w:pPr>
    </w:p>
    <w:p w14:paraId="3DEF3315" w14:textId="77777777" w:rsidR="00F64776" w:rsidRDefault="00F64776" w:rsidP="00F64776">
      <w:pPr>
        <w:pStyle w:val="TextoNormal"/>
      </w:pPr>
      <w:r>
        <w:t>Y afirma que “[e]stas circunstancias conllevan que debamos afirmar que el juicio de relevancia no se haya formulado correctamente por el órgano judicial y determina la inadmisibilidad de la cuestión de inconstitucionalidad, se altera la naturaleza de la cuestión de inconstitucionalidad. Esta es una modalidad procedimental en la que la función depurativa abstracta de la norma con rango de ley ha de circunscribirse a lo que resulte aplicable y relevante para la resolución del litigio entablado, convirtiéndose, por tanto, en el presente caso, en un instrumento procesal para buscar una depuración abstracta del ordenamiento ya que se utilizaría ‘para obtener un pronunciamiento innecesario o indiferente para la decisión del proceso en el que la cuestión se suscita’ (STC 64/2003, de 27 de marzo, FJ 5)”.</w:t>
      </w:r>
    </w:p>
    <w:p w14:paraId="16979742" w14:textId="77777777" w:rsidR="00F64776" w:rsidRDefault="00F64776" w:rsidP="00F64776">
      <w:pPr>
        <w:pStyle w:val="TextoNormal"/>
      </w:pPr>
    </w:p>
    <w:p w14:paraId="0A8D731C" w14:textId="77777777" w:rsidR="00F64776" w:rsidRDefault="00F64776" w:rsidP="00F64776">
      <w:pPr>
        <w:pStyle w:val="TextoNormal"/>
      </w:pPr>
      <w:r>
        <w:t>e) Por último, el fiscal sostiene que la cuestión de inconstitucionalidad puede considerarse notoriamente infundada dado que, según razona, el Tribunal Constitucional ya ha valorado la constitucionalidad del art. 104.5 TRLHL que regula el método de estimación directa y las reglas que lo componen para el cálculo del valor del terreno en el momento de la transmisión, en su STC 17/2023, de 9 de marzo, reproduciendo el fundamento jurídico 3 B) de dicha sentencia.</w:t>
      </w:r>
    </w:p>
    <w:p w14:paraId="762BEEC0" w14:textId="77777777" w:rsidR="00F64776" w:rsidRDefault="00F64776" w:rsidP="00F64776">
      <w:pPr>
        <w:pStyle w:val="TextoNormal"/>
      </w:pPr>
    </w:p>
    <w:p w14:paraId="473B5379" w14:textId="77777777" w:rsidR="00F64776" w:rsidRDefault="00F64776" w:rsidP="00F64776">
      <w:pPr>
        <w:pStyle w:val="TextoNormal"/>
      </w:pPr>
      <w:r>
        <w:t>A ello añade que los motivos expuestos por el órgano judicial sobre la inconstitucionalidad de la norma carecen de fundamento, explicando que “el método de cálculo del terreno que prevé el art. 104.5, párrafo cuarto, TRLHL permite obtener valores del terreno conformes a la realidad económica del momento en que se produce su transmisión y, por ende, el devengo del impuesto”. Y “[e]l carácter imperativo del método de cálculo del valor del terreno, en los supuestos en que no esté determinado en los títulos que documentan la adquisición y transmisión, que también defiende el órgano promotor de la cuestión, vendría conformado por la propia dicción del art. 104.5, párrafo cuarto, y refrendado por lo dispuesto en los arts. 107.5 y 110.4 TRLHL”.</w:t>
      </w:r>
    </w:p>
    <w:p w14:paraId="374FF4D0" w14:textId="77777777" w:rsidR="00F64776" w:rsidRDefault="00F64776" w:rsidP="00F64776">
      <w:pPr>
        <w:pStyle w:val="TextoNormal"/>
      </w:pPr>
    </w:p>
    <w:p w14:paraId="41D2DA43" w14:textId="77777777" w:rsidR="00F64776" w:rsidRDefault="00F64776" w:rsidP="00F64776">
      <w:pPr>
        <w:pStyle w:val="TextoNormal"/>
      </w:pPr>
      <w:r>
        <w:t>Es decir, explica el fiscal, que “el legislador ha venido a fijar como se ha de probar el valor del terreno en los supuestos en que no se haya fijado en los títulos de adquisición y trasmisión su valor para lo cual establece qué elementos deben tenerse en cuenta para su determinación, esto es, el método consiste en aplicar la proporción que represente, en la fecha de devengo del impuesto, el valor catastral del terreno respecto del valor catastral total y esta proporción se aplicará tanto al valor de transmisión como, en su caso, al de adquisición, sin permitir otro medio de prueba”.</w:t>
      </w:r>
    </w:p>
    <w:p w14:paraId="554BF072" w14:textId="77777777" w:rsidR="00F64776" w:rsidRDefault="00F64776" w:rsidP="00F64776">
      <w:pPr>
        <w:pStyle w:val="TextoNormal"/>
      </w:pPr>
    </w:p>
    <w:p w14:paraId="4155BCAF" w14:textId="77777777" w:rsidR="00F64776" w:rsidRDefault="00F64776" w:rsidP="00F64776">
      <w:pPr>
        <w:pStyle w:val="TextoNormal"/>
      </w:pPr>
      <w:r>
        <w:t>Este carácter imperativo de la regla de cálculo, a su vez, “inhabilita la posibilidad de acudir a métodos de cálculo diferentes al establecido legalmente”, de modo que no se permite al sujeto pasivo determinar un decremento de valor con ocasión de la transmisión del terreno por otro procedimiento distinto al previsto en el art. 104.5 TRLHL, y tampoco puede la administración apartarse de dicha norma reguladora. Si bien, en su opinión, ello no sería “contrario a la doctrina de este tribunal que, en su STC 59/2017, de 11 de mayo, declaró inconstitucional y nulo el artículo 110.4 TRLHL, al impedir a los sujetos pasivos que puedan acreditar la existencia de una situación inexpresiva de capacidad económica [SSTC 26/2017, FJ 5, y 37/2017, FJ 5 b)]”.</w:t>
      </w:r>
    </w:p>
    <w:p w14:paraId="22B00680" w14:textId="77777777" w:rsidR="00F64776" w:rsidRDefault="00F64776" w:rsidP="00F64776">
      <w:pPr>
        <w:pStyle w:val="TextoNormal"/>
      </w:pPr>
    </w:p>
    <w:p w14:paraId="27C660D7" w14:textId="77777777" w:rsidR="00F64776" w:rsidRDefault="00F64776" w:rsidP="00F64776">
      <w:pPr>
        <w:pStyle w:val="TextoNormal"/>
      </w:pPr>
      <w:r>
        <w:t>La inconstitucionalidad anterior, explica, era resultado de la configuración del impuesto, cuando lo que ahora se ha hecho es introducir el método de estimación directa, que permite obtener valores reales exponentes de la existencia o inexistencia de un incremento del valor del terreno en el momento de la transmisión.</w:t>
      </w:r>
    </w:p>
    <w:p w14:paraId="76FD4D85" w14:textId="77777777" w:rsidR="00F64776" w:rsidRDefault="00F64776" w:rsidP="00F64776">
      <w:pPr>
        <w:pStyle w:val="TextoNormal"/>
      </w:pPr>
    </w:p>
    <w:p w14:paraId="03E570CC" w14:textId="77777777" w:rsidR="00F64776" w:rsidRDefault="00F64776" w:rsidP="00F64776">
      <w:pPr>
        <w:pStyle w:val="TextoNormal"/>
      </w:pPr>
      <w:r>
        <w:t>Además, el párrafo cuarto del art. 104.5 TRLHL al establecer el porcentaje por referencia al valor catastral, conforme a la doctrina que se infiere de la STC 182/2021, respondería a razones de técnica tributaria en orden a simplificar el cálculo del porcentaje a aplicar lo que hace que tenga una justificación objetiva y razonable, porcentaje que se aplica por referencia a los valores de transmisión y adquisición.</w:t>
      </w:r>
    </w:p>
    <w:p w14:paraId="66000EEB" w14:textId="77777777" w:rsidR="00F64776" w:rsidRDefault="00F64776" w:rsidP="00F64776">
      <w:pPr>
        <w:pStyle w:val="TextoNormal"/>
      </w:pPr>
    </w:p>
    <w:p w14:paraId="4209F3A9" w14:textId="32C64FC8" w:rsidR="00F64776" w:rsidRDefault="00F64776" w:rsidP="00F64776">
      <w:pPr>
        <w:pStyle w:val="TextoNormal"/>
      </w:pPr>
      <w:r>
        <w:t>La determinación del valor del terreno no es el valor catastral, sino que el posible alejamiento del valor catastral del valor real se ve compensado por la aplicación del porcentaje a valores reales como el de adquisición y trasmisión, sin que a ello se oponga que el terreno se adquirió como solar y se trasmite con una construcción, supuesto que le sirve al órgano judicial para denunciar el precepto cuestionado porque se comparan valores heterogéneos ya que se adquirió un solar y se vende un inmueble constituido por terreno y construcción. Pues bien, el porcentaje obtenido conforme al párrafo cuarto del art. 104.5 TRLHL, se aplica a valores reales, no ficticios o artificiales, los de adquisición y trasmisión, valores no ajenos al mercado, para constatar si se produce una inexistencia de incremento de valor. La regla no está así al margen de la capacidad económica gravada por el impuesto y demostrada por el contribuyente y no desconocería el principio de capacidad económica como criterio de imposición, ni el principio de prohibición de la confiscatoriedad (art. 31.1 CE).</w:t>
      </w:r>
    </w:p>
    <w:p w14:paraId="0AD5D6D7" w14:textId="77777777" w:rsidR="00F64776" w:rsidRDefault="00F64776" w:rsidP="00F64776">
      <w:pPr>
        <w:pStyle w:val="TextoNormal"/>
      </w:pPr>
    </w:p>
    <w:p w14:paraId="1E9BD17C" w14:textId="77777777" w:rsidR="00F64776" w:rsidRDefault="00F64776" w:rsidP="00F64776">
      <w:pPr>
        <w:pStyle w:val="TextoNormalNegritaCentrado"/>
        <w:keepNext/>
      </w:pPr>
      <w:r>
        <w:t>II. Fundamentos jurídicos</w:t>
      </w:r>
    </w:p>
    <w:p w14:paraId="301CCC18" w14:textId="5BCE90F4" w:rsidR="00F64776" w:rsidRDefault="00F64776" w:rsidP="00F64776">
      <w:pPr>
        <w:pStyle w:val="TextoNormalNegritaCentrado"/>
        <w:keepNext/>
      </w:pPr>
    </w:p>
    <w:p w14:paraId="5F8ECDE3" w14:textId="77777777" w:rsidR="00F64776" w:rsidRDefault="00F64776" w:rsidP="00F64776">
      <w:pPr>
        <w:pStyle w:val="TextoNormal"/>
      </w:pPr>
      <w:r w:rsidRPr="00F64776">
        <w:rPr>
          <w:rStyle w:val="NumeroAFNegritaCaracter"/>
        </w:rPr>
        <w:t>1</w:t>
      </w:r>
      <w:r>
        <w:t>. El Juzgado de lo Contencioso-Administrativo núm. 22 de Madrid plantea una cuestión de inconstitucionalidad en relación con el párrafo cuarto del art. 104.5 del texto refundido de la Ley reguladora de las haciendas locales (TRLHL), aprobado por el Real Decreto Legislativo 2/2004, de 5 de marzo, por si pudiera ser contrario al principio de capacidad económica como criterio de la imposición del art. 31.1 CE.</w:t>
      </w:r>
    </w:p>
    <w:p w14:paraId="5A00A0AF" w14:textId="77777777" w:rsidR="00F64776" w:rsidRDefault="00F64776" w:rsidP="00F64776">
      <w:pPr>
        <w:pStyle w:val="TextoNormal"/>
      </w:pPr>
    </w:p>
    <w:p w14:paraId="48677C87" w14:textId="77777777" w:rsidR="00F64776" w:rsidRDefault="00F64776" w:rsidP="00F64776">
      <w:pPr>
        <w:pStyle w:val="TextoNormal"/>
      </w:pPr>
      <w:r>
        <w:t>a) El artículo 104.5 TRLHL, cuyo párrafo cuarto es ahora cuestionado, establece lo siguiente:</w:t>
      </w:r>
    </w:p>
    <w:p w14:paraId="26024CBA" w14:textId="77777777" w:rsidR="00F64776" w:rsidRDefault="00F64776" w:rsidP="00F64776">
      <w:pPr>
        <w:pStyle w:val="TextoNormal"/>
      </w:pPr>
    </w:p>
    <w:p w14:paraId="261F1235" w14:textId="77777777" w:rsidR="00F64776" w:rsidRDefault="00F64776" w:rsidP="00F64776">
      <w:pPr>
        <w:pStyle w:val="TextoNormal"/>
      </w:pPr>
      <w:r>
        <w:t>“5. No se producirá la sujeción al impuesto en las transmisiones de terrenos respecto de los cuales se constate la inexistencia de incremento de valor por diferencia entre los valores de dichos terrenos en las fechas de transmisión y adquisición.</w:t>
      </w:r>
    </w:p>
    <w:p w14:paraId="4F28482C" w14:textId="77777777" w:rsidR="00F64776" w:rsidRDefault="00F64776" w:rsidP="00F64776">
      <w:pPr>
        <w:pStyle w:val="TextoNormal"/>
      </w:pPr>
    </w:p>
    <w:p w14:paraId="3CFB8646" w14:textId="77777777" w:rsidR="00F64776" w:rsidRDefault="00F64776" w:rsidP="00F64776">
      <w:pPr>
        <w:pStyle w:val="TextoNormal"/>
      </w:pPr>
      <w:r>
        <w:t>Para ello, el interesado en acreditar la inexistencia de incremento de valor deberá declarar la transmisión, así como aportar los títulos que documenten la transmisión y la adquisición, entendiéndose por interesados, a estos efectos, las personas o entidades a que se refiere el artículo 106.</w:t>
      </w:r>
    </w:p>
    <w:p w14:paraId="738D6046" w14:textId="77777777" w:rsidR="00F64776" w:rsidRDefault="00F64776" w:rsidP="00F64776">
      <w:pPr>
        <w:pStyle w:val="TextoNormal"/>
      </w:pPr>
    </w:p>
    <w:p w14:paraId="2DAA8AF1" w14:textId="77777777" w:rsidR="00F64776" w:rsidRDefault="00F64776" w:rsidP="00F64776">
      <w:pPr>
        <w:pStyle w:val="TextoNormal"/>
      </w:pPr>
      <w:r>
        <w:t>Para constatar la inexistencia de incremento de valor, como valor de transmisión o de adquisición del terreno se tomará en cada caso el mayor de los siguientes valores, sin que a estos efectos puedan computarse los gastos o tributos que graven dichas operaciones: el que conste en el título que documente la operación o el comprobado, en su caso, por la administración tributaria.</w:t>
      </w:r>
    </w:p>
    <w:p w14:paraId="76FC3E28" w14:textId="77777777" w:rsidR="00F64776" w:rsidRDefault="00F64776" w:rsidP="00F64776">
      <w:pPr>
        <w:pStyle w:val="TextoNormal"/>
      </w:pPr>
    </w:p>
    <w:p w14:paraId="1BAC00AB" w14:textId="77777777" w:rsidR="00F64776" w:rsidRDefault="00F64776" w:rsidP="00F64776">
      <w:pPr>
        <w:pStyle w:val="TextoNormal"/>
      </w:pPr>
      <w:r>
        <w:t>Cuando se trate de la transmisión de un inmueble en el que haya suelo y construcción, se tomará como valor del suelo a estos efectos el que resulte de aplicar la proporción que represente en la fecha de devengo del impuesto el valor catastral del terreno respecto del valor catastral total y esta proporción se aplicará tanto al valor de transmisión como, en su caso, al de adquisición.</w:t>
      </w:r>
    </w:p>
    <w:p w14:paraId="5E038B0A" w14:textId="77777777" w:rsidR="00F64776" w:rsidRDefault="00F64776" w:rsidP="00F64776">
      <w:pPr>
        <w:pStyle w:val="TextoNormal"/>
      </w:pPr>
    </w:p>
    <w:p w14:paraId="46DDFCF4" w14:textId="77777777" w:rsidR="00F64776" w:rsidRDefault="00F64776" w:rsidP="00F64776">
      <w:pPr>
        <w:pStyle w:val="TextoNormal"/>
      </w:pPr>
      <w:r>
        <w:t>Si la adquisición o la transmisión hubiera sido a título lucrativo se aplicarán las reglas de los párrafos anteriores tomando, en su caso, por el primero de los dos valores a comparar señalados anteriormente, el declarado en el impuesto sobre sucesiones y donaciones.</w:t>
      </w:r>
    </w:p>
    <w:p w14:paraId="6016BC78" w14:textId="77777777" w:rsidR="00F64776" w:rsidRDefault="00F64776" w:rsidP="00F64776">
      <w:pPr>
        <w:pStyle w:val="TextoNormal"/>
      </w:pPr>
    </w:p>
    <w:p w14:paraId="3BFDF25D" w14:textId="77777777" w:rsidR="00F64776" w:rsidRDefault="00F64776" w:rsidP="00F64776">
      <w:pPr>
        <w:pStyle w:val="TextoNormal"/>
      </w:pPr>
      <w:r>
        <w:t>En la posterior transmisión de los inmuebles a los que se refiere este apartado, para el cómputo del número de años a lo largo de los cuales se ha puesto de manifiesto el incremento de valor de los terrenos, no se tendrá en cuenta el periodo anterior a su adquisición. Lo dispuesto en este párrafo no será de aplicación en los supuestos de aportaciones o transmisiones de bienes inmuebles que resulten no sujetas en virtud de lo dispuesto en el apartado 3 de este artículo o en la disposición adicional segunda de la Ley 27/2014, de 27 de noviembre, del impuesto sobre sociedades”.</w:t>
      </w:r>
    </w:p>
    <w:p w14:paraId="11A0545A" w14:textId="77777777" w:rsidR="00F64776" w:rsidRDefault="00F64776" w:rsidP="00F64776">
      <w:pPr>
        <w:pStyle w:val="TextoNormal"/>
      </w:pPr>
    </w:p>
    <w:p w14:paraId="60F6F679" w14:textId="77777777" w:rsidR="00F64776" w:rsidRDefault="00F64776" w:rsidP="00F64776">
      <w:pPr>
        <w:pStyle w:val="TextoNormal"/>
      </w:pPr>
      <w:r>
        <w:t>b) El párrafo cuarto del art. 104.5 TRLHL, establece un método para determinar el valor del suelo, cuando se transmite un inmueble con suelo y construcción, que será el que resulte de aplicar la proporción que represente en la fecha de devengo del impuesto el valor catastral del terreno respecto del valor catastral total, y esta proporción se aplicará tanto al valor de transmisión como, en su caso, al de adquisición. Razona el órgano judicial que el precepto cuestionado establece un sistema único e imperativo de cálculo del incremento del valor del suelo, en el que la proporción entre valor del suelo y de la construcción respecto del valor catastral total se ha de proyectar necesariamente sobre los valores de adquisición y de trasmisión, sin que exista posibilidad alguna de discutir la misma, una vez que el catastro la determina. A juicio del órgano judicial, la dicción del precepto cuya constitucionalidad se cuestiona impide al obligado tributario practicar prueba en contra que sirva para determinar dicha proporción; negándose al administrado la posibilidad de acreditar situaciones inexpresivas de capacidad económica, en las que el valor del suelo en una transmisión se vea reducido a un porcentaje inferior al que resulta de la aplicación de la proporción que establece el catastro, lo que contradice el art. 31.1 CE.</w:t>
      </w:r>
    </w:p>
    <w:p w14:paraId="1224AB64" w14:textId="77777777" w:rsidR="00F64776" w:rsidRDefault="00F64776" w:rsidP="00F64776">
      <w:pPr>
        <w:pStyle w:val="TextoNormal"/>
      </w:pPr>
    </w:p>
    <w:p w14:paraId="4D415066" w14:textId="158666A8" w:rsidR="00F64776" w:rsidRDefault="00F64776" w:rsidP="00F64776">
      <w:pPr>
        <w:pStyle w:val="TextoNormal"/>
      </w:pPr>
      <w:r>
        <w:t>c) El fiscal general del Estado, en el trámite previsto en el art. 37.1 LOTC, y tal y como se ha dado cuenta en los antecedentes de esta resolución, se ha opuesto a la admisión de la presente cuestión de inconstitucionalidad por entender que no se cumplen los requisitos procesales exigidos por el art. 35 LOTC en cuanto a la adecuada formulación del juicio de relevancia. También entiende que la cuestión es notoriamente infundada porque el método establecido, aunque reconoce que es imperativo, no se aleja de la realidad económica del valor de los terrenos urbanos.</w:t>
      </w:r>
    </w:p>
    <w:p w14:paraId="51AEBA9F" w14:textId="77777777" w:rsidR="00F64776" w:rsidRDefault="00F64776" w:rsidP="00F64776">
      <w:pPr>
        <w:pStyle w:val="TextoNormal"/>
      </w:pPr>
    </w:p>
    <w:p w14:paraId="514D811E" w14:textId="5729FCD3" w:rsidR="00F64776" w:rsidRDefault="00F64776" w:rsidP="00F64776">
      <w:pPr>
        <w:pStyle w:val="TextoNormal"/>
      </w:pPr>
      <w:r w:rsidRPr="00F64776">
        <w:rPr>
          <w:rStyle w:val="NumeroAFNegritaCaracter"/>
        </w:rPr>
        <w:t>2</w:t>
      </w:r>
      <w:r>
        <w:t xml:space="preserve">. El art. 37.1 LOTC permite a este tribunal rechazar </w:t>
      </w:r>
      <w:r w:rsidRPr="00F64776">
        <w:rPr>
          <w:i/>
        </w:rPr>
        <w:t>a limine</w:t>
      </w:r>
      <w:r>
        <w:t xml:space="preserve"> las cuestiones de inconstitucionalidad, mediante auto y sin otra audiencia que la del fiscal general del Estado, cuando faltaren las condiciones procesales o fuere notoriamente infundada la cuestión suscitada. El análisis de la cuestión de inconstitucionalidad que se somete a nuestra consideración revela la concurrencia del primer motivo de inadmisión, dado que, como también ha señalado el fiscal general, no satisface las exigencias para promoverla que imponen los arts. 163 CE y 35 a 37 LOTC.</w:t>
      </w:r>
    </w:p>
    <w:p w14:paraId="09E5E73F" w14:textId="77777777" w:rsidR="00F64776" w:rsidRDefault="00F64776" w:rsidP="00F64776">
      <w:pPr>
        <w:pStyle w:val="TextoNormal"/>
      </w:pPr>
    </w:p>
    <w:p w14:paraId="5222EAD6" w14:textId="77777777" w:rsidR="00F64776" w:rsidRDefault="00F64776" w:rsidP="00F64776">
      <w:pPr>
        <w:pStyle w:val="TextoNormal"/>
      </w:pPr>
      <w:r w:rsidRPr="00F64776">
        <w:rPr>
          <w:rStyle w:val="NumeroAFNegritaCaracter"/>
        </w:rPr>
        <w:t>3</w:t>
      </w:r>
      <w:r>
        <w:t>. Son condiciones procesales de la cuestión de inconstitucionalidad que los preceptos cuestionados resulten “aplicable[s] al caso” (juicio de aplicabilidad) y que de su “validez dependa el fallo” (juicio de relevancia), tal y como exigen los arts. 163 CE y 35 LOTC. Es esta una doble condición necesaria y sucesiva para que este proceso mantenga su naturaleza incidental y no se convierta en un juicio abstracto de constitucionalidad desligado de las circunstancias del caso concreto, lo que daría lugar a una ampliación de la legitimación para interponer recurso abstracto o directo de inconstitucionalidad establecida en la Constitución [art. 162.1 a)] y en la Ley Orgánica del Tribunal Constitucional (art. 32.1).</w:t>
      </w:r>
    </w:p>
    <w:p w14:paraId="00A491BE" w14:textId="77777777" w:rsidR="00F64776" w:rsidRDefault="00F64776" w:rsidP="00F64776">
      <w:pPr>
        <w:pStyle w:val="TextoNormal"/>
      </w:pPr>
    </w:p>
    <w:p w14:paraId="54A4281D" w14:textId="77777777" w:rsidR="00F64776" w:rsidRDefault="00F64776" w:rsidP="00F64776">
      <w:pPr>
        <w:pStyle w:val="TextoNormal"/>
      </w:pPr>
      <w:r>
        <w:t>Conforme a reiterada doctrina constitucional (por todos, ATC 376/2023, de 18 de julio), “es competencia del órgano promotor de la cuestión tanto ‘determinar cuáles son efectivamente las normas aplicables al caso que ha de decidir’ (STC 17/1981, de 1 de junio, FJ 1), como exteriorizar el juicio de relevancia, esto es, ‘el esquema argumental dirigido a probar que el fallo del proceso judicial depende de la validez de la norma cuestionada’ (por todos, ATC 21/2001, de 30 de enero, FJ 1), pues ‘si bien la aplicabilidad de la norma es condición necesaria para que el fallo dependa de su validez, no es, en modo alguno, condición suficiente’ (ATC 111/2018, de 16 de octubre, FJ 2). Este juicio de relevancia ‘constituye una de las más esenciales condiciones procesales de las cuestiones de inconstitucionalidad en garantía de que su planteamiento no desborde la función de control concreto o incidental de la constitucionalidad de las leyes, por no versar sobre la norma de cuya validez depende el fallo, único objeto posible de este tipo de procedimientos’ [STC 150/2020, de 22 de octubre, FJ 2 b), citando la STC 104/2018, de 4 de octubre, FJ 2].</w:t>
      </w:r>
    </w:p>
    <w:p w14:paraId="7D2BDB4B" w14:textId="77777777" w:rsidR="00F64776" w:rsidRDefault="00F64776" w:rsidP="00F64776">
      <w:pPr>
        <w:pStyle w:val="TextoNormal"/>
      </w:pPr>
    </w:p>
    <w:p w14:paraId="31CEBCBE" w14:textId="77777777" w:rsidR="00F64776" w:rsidRDefault="00F64776" w:rsidP="00F64776">
      <w:pPr>
        <w:pStyle w:val="TextoNormal"/>
      </w:pPr>
      <w:r>
        <w:t>Sobre ambos juicios, de aplicabilidad y relevancia, este tribunal ejerce un control ‘meramente externo’ (ATC 159/2016, de 20 de septiembre, FJ 2), lo que significa que debe verificar su concurrencia a fin de que no se haga un uso de la cuestión de inconstitucionalidad ‘no acomodado a su naturaleza y finalidad propias’ (ATC 9/2019, de 12 de febrero, FJ 2, con cita de otros), pero no sustituir al órgano judicial en la determinación de ese nexo causal (STC 41/1990, de 15 de marzo, FJ 2), que es una tarea propiamente jurisdiccional y por tanto reservada a aquel (art. 117.3 CE).</w:t>
      </w:r>
    </w:p>
    <w:p w14:paraId="1838BB77" w14:textId="77777777" w:rsidR="00F64776" w:rsidRDefault="00F64776" w:rsidP="00F64776">
      <w:pPr>
        <w:pStyle w:val="TextoNormal"/>
      </w:pPr>
    </w:p>
    <w:p w14:paraId="16ECD00E" w14:textId="3E4884D6" w:rsidR="00F64776" w:rsidRDefault="00F64776" w:rsidP="00F64776">
      <w:pPr>
        <w:pStyle w:val="TextoNormal"/>
      </w:pPr>
      <w:r>
        <w:t xml:space="preserve">No es, en principio, el Tribunal Constitucional el que ha de decidir las cuestiones de hecho o de legalidad ordinaria que se susciten en el proceso </w:t>
      </w:r>
      <w:r w:rsidRPr="00F64776">
        <w:rPr>
          <w:i/>
        </w:rPr>
        <w:t>a quo</w:t>
      </w:r>
      <w:r>
        <w:t xml:space="preserve"> y que puedan tener repercusión con la relevancia de la duda de constitucionalidad que eleva el juez promotor. Estas apreciaciones corresponden inicialmente al órgano judicial en el ejercicio de la función que constitucionalmente le corresponde. Pero corresponde a este tribunal verificar que el órgano judicial ha argumentado suficientemente la relación entre su duda de constitucionalidad y el proceso que está pendiente ante él, pues de lo contrario la cuestión de inconstitucionalidad puede perder el carácter concreto que la caracteriza (ATC 20/2022, de 26 de enero, FJ 4). Y, consecuentemente, el Tribunal Constitucional, en el ejercicio de sus facultades de control externo del juicio formulado por los órganos judiciales al plantear la cuestión de inconstitucionalidad, puede declarar su inadmisibilidad por resultar inconsistente o errada la argumentación judicial sobre la aplicabilidad y relevancia de la norma cuestionada (ATC 173/2020, de 15 de diciembre, FJ 2)”.</w:t>
      </w:r>
    </w:p>
    <w:p w14:paraId="0FFF7CB8" w14:textId="77777777" w:rsidR="00F64776" w:rsidRDefault="00F64776" w:rsidP="00F64776">
      <w:pPr>
        <w:pStyle w:val="TextoNormal"/>
      </w:pPr>
    </w:p>
    <w:p w14:paraId="305F798C" w14:textId="77777777" w:rsidR="00F64776" w:rsidRDefault="00F64776" w:rsidP="00F64776">
      <w:pPr>
        <w:pStyle w:val="TextoNormal"/>
      </w:pPr>
      <w:r w:rsidRPr="00F64776">
        <w:rPr>
          <w:rStyle w:val="NumeroAFNegritaCaracter"/>
        </w:rPr>
        <w:t>4</w:t>
      </w:r>
      <w:r>
        <w:t xml:space="preserve">. En el presente caso, por las razones que se exponen a continuación, debe considerarse que el auto de planteamiento no cumple el requisito </w:t>
      </w:r>
      <w:r w:rsidRPr="00F64776">
        <w:rPr>
          <w:i/>
        </w:rPr>
        <w:t>ex</w:t>
      </w:r>
      <w:r>
        <w:t xml:space="preserve"> art. 35.2 LOTC por el que se exige al órgano judicial que especifique o justifique en qué medida la decisión del proceso depende de la validez de la norma en cuestión. Resultan determinantes a estos efectos, los criterios que tuvimos en cuenta en el citado ATC 376/2023, en el que inadmitimos la cuestión de inconstitucionalidad núm. 1577-2023, planteada por el Juzgado de lo Contencioso-Administrativo núm. 33 de Madrid, sobre el mismo precepto ahora cuestionado y por los mismos motivos que ahora se plantea.</w:t>
      </w:r>
    </w:p>
    <w:p w14:paraId="382C611C" w14:textId="77777777" w:rsidR="00F64776" w:rsidRDefault="00F64776" w:rsidP="00F64776">
      <w:pPr>
        <w:pStyle w:val="TextoNormal"/>
      </w:pPr>
    </w:p>
    <w:p w14:paraId="50E0D5A7" w14:textId="77777777" w:rsidR="00F64776" w:rsidRDefault="00F64776" w:rsidP="00F64776">
      <w:pPr>
        <w:pStyle w:val="TextoNormal"/>
      </w:pPr>
      <w:r>
        <w:t>El órgano judicial en el auto de planteamiento de la cuestión de inconstitucionalidad presume que se ha podido producir una minoración del valor del suelo, por lo que, como pone acertadamente de manifiesto el fiscal general del Estado, parece plantearse como hipótesis la existencia de dicha minoración, planteando, en consecuencia, la cuestión en términos meramente hipotéticos, a partir de una presunción sugerida por la parte que no es asumida expresamente por el órgano judicial cuando plantea la cuestión.</w:t>
      </w:r>
    </w:p>
    <w:p w14:paraId="01E7B303" w14:textId="77777777" w:rsidR="00F64776" w:rsidRDefault="00F64776" w:rsidP="00F64776">
      <w:pPr>
        <w:pStyle w:val="TextoNormal"/>
      </w:pPr>
    </w:p>
    <w:p w14:paraId="38D3CD2B" w14:textId="77777777" w:rsidR="00F64776" w:rsidRDefault="00F64776" w:rsidP="00F64776">
      <w:pPr>
        <w:pStyle w:val="TextoNormal"/>
      </w:pPr>
      <w:r>
        <w:t>En efecto, en el auto de planteamiento, al exteriorizar el juicio de relevancia, lo ha fundado en un supuesto no demostrado, planteando “si es posible admitir que el contribuyente acredite la inexistencia de incremento de valor del terreno a través del medio de prueba técnico que se ha practicado, un dictamen pericial, que en este caso concluye de forma terminante que se ha producido una pérdida de valor del terreno”.</w:t>
      </w:r>
    </w:p>
    <w:p w14:paraId="3E12D299" w14:textId="77777777" w:rsidR="00F64776" w:rsidRDefault="00F64776" w:rsidP="00F64776">
      <w:pPr>
        <w:pStyle w:val="TextoNormal"/>
      </w:pPr>
    </w:p>
    <w:p w14:paraId="48322722" w14:textId="77777777" w:rsidR="00F64776" w:rsidRDefault="00F64776" w:rsidP="00F64776">
      <w:pPr>
        <w:pStyle w:val="TextoNormal"/>
      </w:pPr>
      <w:r>
        <w:t>Pero sobre esa concreta pérdida de valor del terreno, alegada por la parte, no se ha manifestado el órgano judicial que no ha entrado a valorar el contenido del informe técnico practicado fuera del proceso y aportado por la parte, ni se ha pronunciado, en el auto de planteamiento de la cuestión sobre si el método empleado, de valor residual estático, sería idóneo a dichos efectos. Se limitó a señalar que, de aceptarse dicha prueba, podría haber una pérdida de valor del terreno, pero no fundamentó que efectivamente tal pérdida de valor se haya producido, pese a que eso es precisamente lo determinante de la duda de constitucionalidad que pretende plantear. Así, como señala el fiscal general del Estado, el órgano judicial plantea de manera condicional el hecho que determina el devengo del impuesto Y, como también afirma el fiscal general del Estado, dicha condicionalidad conlleva que la duda de constitucionalidad se plantee como una hipótesis lo que supone que la cuestión de inconstitucionalidad pierda su finalidad y se convierta en un juicio abstracto de la norma cuestionada, lo que está vedado por este tribunal ya que la norma debe ser aplicable al caso y de su validez dependa el fallo.</w:t>
      </w:r>
    </w:p>
    <w:p w14:paraId="6CA79054" w14:textId="77777777" w:rsidR="00F64776" w:rsidRDefault="00F64776" w:rsidP="00F64776">
      <w:pPr>
        <w:pStyle w:val="TextoNormal"/>
      </w:pPr>
    </w:p>
    <w:p w14:paraId="2850C249" w14:textId="09EF94E8" w:rsidR="00F64776" w:rsidRDefault="00F64776" w:rsidP="00F64776">
      <w:pPr>
        <w:pStyle w:val="TextoNormal"/>
      </w:pPr>
      <w:r>
        <w:t>Por lo tanto, cabe concluir que el órgano judicial no ha exteriorizado debidamente el esquema argumental dirigido a probar que el fallo del proceso judicial depende de la validez de la norma cuestionada. Tal y como señalamos en los AATC 154/2022, de 16 de noviembre y 376/2023, de 18 de julio “el juicio de relevancia se efectúa con una argumentación incompleta, sin que se logre justificar de manera precisa que la decisión del procedimiento depende de la constitucionalidad de la norma que cuestiona. No habiendo justificado la relevancia, se incumple lo exigido por el art. 35.2 LOTC, lo que determina la inadmisión a trámite de esta cuestión de inconstitucionalidad, pues esta ‘no puede resultar desvirtuada por un uso no acomodado a su naturaleza y finalidad propias, lo que sucedería si se permitiera que se utilizase para obtener pronunciamientos innecesarios o indiferentes para la decisión del proceso en que la cuestión se suscita’ (por todas, SSTC 115/2009, de 18 de mayo, FJ 2, y 87/2012, de 18 de abril, FJ 2)”.</w:t>
      </w:r>
    </w:p>
    <w:p w14:paraId="1E2F8D25" w14:textId="77777777" w:rsidR="00F64776" w:rsidRDefault="00F64776" w:rsidP="00F64776">
      <w:pPr>
        <w:pStyle w:val="TextoNormal"/>
      </w:pPr>
    </w:p>
    <w:p w14:paraId="3877376A" w14:textId="77777777" w:rsidR="00F64776" w:rsidRDefault="00F64776" w:rsidP="00F64776">
      <w:pPr>
        <w:pStyle w:val="TextoNormal"/>
      </w:pPr>
      <w:r>
        <w:t>Por lo expuesto, el Pleno</w:t>
      </w:r>
    </w:p>
    <w:p w14:paraId="2AC8FDA3" w14:textId="7BB70CE9" w:rsidR="00F64776" w:rsidRDefault="00F64776" w:rsidP="00F64776">
      <w:pPr>
        <w:pStyle w:val="TextoNormal"/>
      </w:pPr>
    </w:p>
    <w:p w14:paraId="117FA645" w14:textId="77777777" w:rsidR="00F64776" w:rsidRDefault="00F64776" w:rsidP="00F64776">
      <w:pPr>
        <w:pStyle w:val="TextoNormalCentrado"/>
      </w:pPr>
      <w:r>
        <w:t>ACUERDA</w:t>
      </w:r>
    </w:p>
    <w:p w14:paraId="04B5770D" w14:textId="40A4E8B1" w:rsidR="00F64776" w:rsidRDefault="00F64776" w:rsidP="00F64776">
      <w:pPr>
        <w:pStyle w:val="TextoNormalCentrado"/>
      </w:pPr>
    </w:p>
    <w:p w14:paraId="16FE07DE" w14:textId="2A8085AC" w:rsidR="00F64776" w:rsidRDefault="00F64776" w:rsidP="00F64776">
      <w:pPr>
        <w:pStyle w:val="TextoNormal"/>
      </w:pPr>
      <w:r>
        <w:t>Inadmitir a trámite la presente cuestión de inconstitucionalidad.</w:t>
      </w:r>
    </w:p>
    <w:p w14:paraId="2FC43148" w14:textId="77777777" w:rsidR="00F64776" w:rsidRDefault="00F64776" w:rsidP="00F64776">
      <w:pPr>
        <w:pStyle w:val="TextoNormal"/>
      </w:pPr>
    </w:p>
    <w:p w14:paraId="354B5BA0" w14:textId="77777777" w:rsidR="00F64776" w:rsidRDefault="00F64776" w:rsidP="00F64776">
      <w:pPr>
        <w:pStyle w:val="TextoNormal"/>
      </w:pPr>
      <w:r>
        <w:t>Madrid, a doce de diciembre de dos mil veintitrés.</w:t>
      </w:r>
    </w:p>
    <w:p w14:paraId="49F9A08C" w14:textId="0890ED5C" w:rsidR="00F64776" w:rsidRDefault="00F64776">
      <w:pPr>
        <w:spacing w:after="160" w:line="278" w:lineRule="auto"/>
        <w:rPr>
          <w:rFonts w:ascii="Times New Roman" w:eastAsia="Times New Roman" w:hAnsi="Times New Roman" w:cs="Times New Roman"/>
          <w:sz w:val="24"/>
          <w:szCs w:val="24"/>
          <w:lang w:eastAsia="es-ES"/>
        </w:rPr>
      </w:pPr>
      <w:r>
        <w:br w:type="page"/>
      </w:r>
    </w:p>
    <w:p w14:paraId="1080273A" w14:textId="77777777" w:rsidR="00F64776" w:rsidRDefault="00F64776" w:rsidP="00F64776">
      <w:pPr>
        <w:pStyle w:val="TtuloResolucin"/>
      </w:pPr>
      <w:bookmarkStart w:id="453" w:name="AUTO_2023_668"/>
      <w:r>
        <w:t>AUTO 668/2023, de 12 de diciembre de 2023</w:t>
      </w:r>
    </w:p>
    <w:bookmarkEnd w:id="453"/>
    <w:p w14:paraId="186FEB09" w14:textId="77777777" w:rsidR="00F64776" w:rsidRDefault="00F64776" w:rsidP="00F64776">
      <w:pPr>
        <w:pStyle w:val="TtuloResolucin"/>
      </w:pPr>
      <w:r>
        <w:t>Pleno</w:t>
      </w:r>
    </w:p>
    <w:p w14:paraId="6F1002F9" w14:textId="77777777" w:rsidR="00F64776" w:rsidRDefault="00F64776" w:rsidP="00F64776">
      <w:pPr>
        <w:pStyle w:val="TextoNormalCentrado"/>
      </w:pPr>
      <w:r>
        <w:t>ECLI:ES:TC:2023:668A</w:t>
      </w:r>
    </w:p>
    <w:p w14:paraId="29C9574D" w14:textId="2C26FEF7" w:rsidR="00F64776" w:rsidRDefault="00F64776" w:rsidP="00F64776">
      <w:pPr>
        <w:pStyle w:val="TextoNormalCentrado"/>
      </w:pPr>
    </w:p>
    <w:p w14:paraId="5F993425" w14:textId="77777777" w:rsidR="00F64776" w:rsidRDefault="00F64776" w:rsidP="00F64776">
      <w:pPr>
        <w:pStyle w:val="SntesisDescriptiva"/>
      </w:pPr>
      <w:r>
        <w:t>Excms. Srs. doña Inmaculada Montalbán Huertas, don Ricardo Enríquez Sancho, doña María Luisa Balaguer Callejón, don Ramón Sáez Valcárcel, don Enrique Arnaldo Alcubilla, doña Concepción Espejel Jorquera, don César Tolosa Tribiño, don Juan Carlos Campo Moreno y doña Laura Díez Bueso.</w:t>
      </w:r>
    </w:p>
    <w:p w14:paraId="61098B6B" w14:textId="33124977" w:rsidR="00F64776" w:rsidRDefault="00F64776" w:rsidP="00F64776">
      <w:pPr>
        <w:pStyle w:val="SntesisDescriptiva"/>
      </w:pPr>
    </w:p>
    <w:p w14:paraId="2EA2ADCF" w14:textId="77777777" w:rsidR="00F64776" w:rsidRDefault="00F64776" w:rsidP="00F64776">
      <w:pPr>
        <w:pStyle w:val="SntesisDescriptiva"/>
      </w:pPr>
      <w:r>
        <w:t>Inadmite la petición de nulidad de actuaciones en relación con los AATC 487/2023 y 488/2023, de 24 de octubre, dictados en incidente de recusación en el recurso de amparo 4811-2023, promovido por don Antonio López Navidad, en proceso contencioso-administrativo.</w:t>
      </w:r>
    </w:p>
    <w:p w14:paraId="123BE6C4" w14:textId="5C867E28" w:rsidR="00F64776" w:rsidRDefault="00F64776" w:rsidP="00F64776">
      <w:pPr>
        <w:pStyle w:val="SntesisDescriptiva"/>
      </w:pPr>
    </w:p>
    <w:p w14:paraId="42F93DF1" w14:textId="77777777" w:rsidR="00F64776" w:rsidRDefault="00F64776" w:rsidP="00F64776">
      <w:pPr>
        <w:pStyle w:val="SntesisDescriptiva"/>
      </w:pPr>
    </w:p>
    <w:p w14:paraId="599D2145" w14:textId="77777777" w:rsidR="00F64776" w:rsidRDefault="00F64776" w:rsidP="00F64776">
      <w:pPr>
        <w:pStyle w:val="SntesisDescriptiva"/>
      </w:pPr>
    </w:p>
    <w:p w14:paraId="1ECA4EFA" w14:textId="77777777" w:rsidR="00F64776" w:rsidRDefault="00F64776" w:rsidP="00F64776">
      <w:pPr>
        <w:pStyle w:val="TextoNormalNegritaCentrado"/>
      </w:pPr>
      <w:r>
        <w:t>AUTO</w:t>
      </w:r>
    </w:p>
    <w:p w14:paraId="2604C0BA" w14:textId="1F62725E" w:rsidR="00F64776" w:rsidRDefault="00F64776" w:rsidP="00F64776">
      <w:pPr>
        <w:pStyle w:val="TextoNormalNegritaCentrado"/>
      </w:pPr>
    </w:p>
    <w:p w14:paraId="463A0B3F" w14:textId="77777777" w:rsidR="00F64776" w:rsidRDefault="00F64776" w:rsidP="00F64776">
      <w:pPr>
        <w:pStyle w:val="TextoNormalNegritaCentrado"/>
        <w:keepNext/>
      </w:pPr>
      <w:r>
        <w:t>I. Antecedentes</w:t>
      </w:r>
    </w:p>
    <w:p w14:paraId="5580E601" w14:textId="4D04A4FB" w:rsidR="00F64776" w:rsidRDefault="00F64776" w:rsidP="00F64776">
      <w:pPr>
        <w:pStyle w:val="TextoNormalNegritaCentrado"/>
        <w:keepNext/>
      </w:pPr>
    </w:p>
    <w:p w14:paraId="57C93EC7" w14:textId="51DBAFC3" w:rsidR="00F64776" w:rsidRDefault="00F64776" w:rsidP="00F64776">
      <w:pPr>
        <w:pStyle w:val="TextoNormal"/>
      </w:pPr>
      <w:r w:rsidRPr="00F64776">
        <w:rPr>
          <w:rStyle w:val="NumeroAFNegritaCaracter"/>
        </w:rPr>
        <w:t>1</w:t>
      </w:r>
      <w:r>
        <w:t>. El 14 de noviembre de 2023, el procurador de los tribunales don Guzmán de la Villa de la Serna, actuando en nombre y representación de don Antonio López Navidad, presentó en el registro general de este tribunal un escrito promoviendo un “incidente excepcional de nulidad de actuaciones” contra dos autos de fecha 24 de octubre de 2023 dictados por el Pleno de este tribunal con ocasión del incidente de recusación promovido en el recurso de amparo núm. 4811-2023, uno de ellos rechazando la revisión de la diligencia de ordenación de 5 de septiembre de 2023 por la que se designaba ponente para el incidente de recusación, y otro por el que se acordaba la inadmisión a trámite del referido incidente.</w:t>
      </w:r>
    </w:p>
    <w:p w14:paraId="3D5DC64F" w14:textId="77777777" w:rsidR="00F64776" w:rsidRDefault="00F64776" w:rsidP="00F64776">
      <w:pPr>
        <w:pStyle w:val="TextoNormal"/>
      </w:pPr>
    </w:p>
    <w:p w14:paraId="3EEB7E1E" w14:textId="7E97F059" w:rsidR="00F64776" w:rsidRDefault="00F64776" w:rsidP="00F64776">
      <w:pPr>
        <w:pStyle w:val="TextoNormal"/>
      </w:pPr>
      <w:r w:rsidRPr="00F64776">
        <w:rPr>
          <w:rStyle w:val="NumeroAFNegritaCaracter"/>
        </w:rPr>
        <w:t>2</w:t>
      </w:r>
      <w:r>
        <w:t>. La petición anulatoria se promueve por el recurrente de amparo en el recurso núm. 4811-2023 y promotor del incidente de recusación por los siguientes motivos: (i) en relación con el auto que rechazaba la revisión de la diligencia de ordenación, por la vulneración del derecho a la tutela judicial efectiva, ya que la designación de ponente sería contraria al art. 217 de la Ley Orgánica del Poder Judicial (LOPJ); (ii) en relación con el auto de inadmisión del incidente de recusación, por vulneración del derecho a un tribunal con todas las garantías e imparcial (art. 24.2 CE) ya que se considera que dicha resolución es nula pues “[n]o se requiere esfuerzo intelectual alguno para evidenciar la concurrencia de los tres criterios de corrupción de las cuatro resoluciones colegiadas”.</w:t>
      </w:r>
    </w:p>
    <w:p w14:paraId="7DF7C741" w14:textId="77777777" w:rsidR="00F64776" w:rsidRDefault="00F64776" w:rsidP="00F64776">
      <w:pPr>
        <w:pStyle w:val="TextoNormal"/>
      </w:pPr>
    </w:p>
    <w:p w14:paraId="7DAC7B04" w14:textId="77777777" w:rsidR="00F64776" w:rsidRDefault="00F64776" w:rsidP="00F64776">
      <w:pPr>
        <w:pStyle w:val="TextoNormalNegritaCentrado"/>
        <w:keepNext/>
      </w:pPr>
      <w:r>
        <w:t>II. Fundamentos jurídicos</w:t>
      </w:r>
    </w:p>
    <w:p w14:paraId="20B0EE93" w14:textId="3EBD427D" w:rsidR="00F64776" w:rsidRDefault="00F64776" w:rsidP="00F64776">
      <w:pPr>
        <w:pStyle w:val="TextoNormalNegritaCentrado"/>
        <w:keepNext/>
      </w:pPr>
    </w:p>
    <w:p w14:paraId="2A3BEC6E" w14:textId="77777777" w:rsidR="00F64776" w:rsidRDefault="00F64776" w:rsidP="00F64776">
      <w:pPr>
        <w:pStyle w:val="TextoNormal"/>
      </w:pPr>
      <w:r w:rsidRPr="00F64776">
        <w:rPr>
          <w:rStyle w:val="TextoNormalNegritaCaracter"/>
        </w:rPr>
        <w:t xml:space="preserve">Único. </w:t>
      </w:r>
      <w:r>
        <w:t>Como señala el ATC 263/2023, de 23 de mayo, “nuestra Ley Orgánica no contempla el incidente de nulidad de actuaciones entre los medios impugnatorios que pueden promoverse contra las resoluciones de este tribunal. Y ‘existiendo en la LOTC previsiones explícitas y específicas sobre los recursos o medios impugnatorios frente a las resoluciones dictadas por este tribunal, no es posible entrar a debatir siquiera la aplicación de reglas extrañas a las misma ni, más en concreto, es posible amparar en la regla de supletoriedad del art. 80 LOTC la aplicación frente a las resoluciones de este tribunal del incidente de nulidad de actuaciones regulado en los arts. 240 y ss. LOPJ, ya que dicha aplicación vendría a contradecir el tenor explícito e indubitado de las previsiones de la LOTC, en particular, en lo que aquí interesa, de lo dispuesto en el art. 93 LOTC’ (ATC 46/2010, de 14 de abril, FJ 2; y previamente los AATC 46/1998, de 24 de febrero, FJ 1; 275/2007, de 7 de junio, FJ 1; 276/2007, de 7 de junio, FJ 1, y 277/2007, de 7 de junio, FJ 1)”.</w:t>
      </w:r>
    </w:p>
    <w:p w14:paraId="47A5EF12" w14:textId="77777777" w:rsidR="00F64776" w:rsidRDefault="00F64776" w:rsidP="00F64776">
      <w:pPr>
        <w:pStyle w:val="TextoNormal"/>
      </w:pPr>
    </w:p>
    <w:p w14:paraId="48CDEF73" w14:textId="77777777" w:rsidR="00F64776" w:rsidRDefault="00F64776" w:rsidP="00F64776">
      <w:pPr>
        <w:pStyle w:val="TextoNormal"/>
      </w:pPr>
      <w:r>
        <w:t xml:space="preserve">Como también señala el citado ATC 263/2023, “[e]stas consideraciones se han visto reforzadas tras la reforma del art. 241.1 de la Ley Orgánica del Poder Judicial llevada a cabo por la Ley Orgánica 6/2007, de 24 de mayo, que ha configurado el incidente de nulidad de actuaciones como un instrumento procesal destinado a reparar lesiones de cualquier derecho fundamental causadas por órganos judiciales que no puedan ser remediadas a través de los recursos ordinarios o extraordinarios previstos por la ley. Importa recalcar que se trata de un cauce de reparación de eventuales vulneraciones de derechos fundamentales ocasionadas exclusivamente por los jueces o tribunales ordinarios, y cuya solución se encomienda a la propia jurisdicción ordinaria, con el fin de preservar la subsidiariedad del recurso de amparo. Es por ello que de </w:t>
      </w:r>
      <w:r w:rsidRPr="00F64776">
        <w:rPr>
          <w:i/>
        </w:rPr>
        <w:t>lege data</w:t>
      </w:r>
      <w:r>
        <w:t xml:space="preserve"> este cauce impugnatorio no tiene acomodo frente a resoluciones de fondo emanadas de un tribunal configurado como supremo intérprete de la Constitución y órgano jurisdiccional superior en materia de garantías constitucionales”.</w:t>
      </w:r>
    </w:p>
    <w:p w14:paraId="6EB2F9D2" w14:textId="77777777" w:rsidR="00F64776" w:rsidRDefault="00F64776" w:rsidP="00F64776">
      <w:pPr>
        <w:pStyle w:val="TextoNormal"/>
      </w:pPr>
    </w:p>
    <w:p w14:paraId="3234DC52" w14:textId="6326DCC8" w:rsidR="00F64776" w:rsidRDefault="00F64776" w:rsidP="00F64776">
      <w:pPr>
        <w:pStyle w:val="TextoNormal"/>
      </w:pPr>
      <w:r>
        <w:t>El incidente de nulidad de actuaciones promovido ha de ser, por ello, inadmitido a trámite.</w:t>
      </w:r>
    </w:p>
    <w:p w14:paraId="0466CD31" w14:textId="77777777" w:rsidR="00F64776" w:rsidRDefault="00F64776" w:rsidP="00F64776">
      <w:pPr>
        <w:pStyle w:val="TextoNormal"/>
      </w:pPr>
    </w:p>
    <w:p w14:paraId="0EF9371C" w14:textId="77777777" w:rsidR="00F64776" w:rsidRDefault="00F64776" w:rsidP="00F64776">
      <w:pPr>
        <w:pStyle w:val="TextoNormal"/>
      </w:pPr>
      <w:r>
        <w:t>Por lo expuesto, el Pleno</w:t>
      </w:r>
    </w:p>
    <w:p w14:paraId="354E4948" w14:textId="175E1285" w:rsidR="00F64776" w:rsidRDefault="00F64776" w:rsidP="00F64776">
      <w:pPr>
        <w:pStyle w:val="TextoNormal"/>
      </w:pPr>
    </w:p>
    <w:p w14:paraId="33719665" w14:textId="77777777" w:rsidR="00F64776" w:rsidRDefault="00F64776" w:rsidP="00F64776">
      <w:pPr>
        <w:pStyle w:val="TextoNormalCentrado"/>
      </w:pPr>
      <w:r>
        <w:t>ACUERDA</w:t>
      </w:r>
    </w:p>
    <w:p w14:paraId="6A1EC525" w14:textId="397E0AD0" w:rsidR="00F64776" w:rsidRDefault="00F64776" w:rsidP="00F64776">
      <w:pPr>
        <w:pStyle w:val="TextoNormalCentrado"/>
      </w:pPr>
    </w:p>
    <w:p w14:paraId="42397207" w14:textId="30D83F99" w:rsidR="00F64776" w:rsidRDefault="00F64776" w:rsidP="00F64776">
      <w:pPr>
        <w:pStyle w:val="TextoNormal"/>
      </w:pPr>
      <w:r>
        <w:t>Inadmitir la petición de nulidad de actuaciones.</w:t>
      </w:r>
    </w:p>
    <w:p w14:paraId="48855C4F" w14:textId="77777777" w:rsidR="00F64776" w:rsidRDefault="00F64776" w:rsidP="00F64776">
      <w:pPr>
        <w:pStyle w:val="TextoNormal"/>
      </w:pPr>
    </w:p>
    <w:p w14:paraId="5E50AF6B" w14:textId="77777777" w:rsidR="00F64776" w:rsidRDefault="00F64776" w:rsidP="00F64776">
      <w:pPr>
        <w:pStyle w:val="TextoNormal"/>
      </w:pPr>
      <w:r>
        <w:t>Madrid, a doce de diciembre de dos mil veintitrés.</w:t>
      </w:r>
    </w:p>
    <w:p w14:paraId="7117323F" w14:textId="21EF9A31" w:rsidR="00F64776" w:rsidRDefault="00F64776">
      <w:pPr>
        <w:spacing w:after="160" w:line="278" w:lineRule="auto"/>
        <w:rPr>
          <w:rFonts w:ascii="Times New Roman" w:eastAsia="Times New Roman" w:hAnsi="Times New Roman" w:cs="Times New Roman"/>
          <w:sz w:val="24"/>
          <w:szCs w:val="24"/>
          <w:lang w:eastAsia="es-ES"/>
        </w:rPr>
      </w:pPr>
      <w:r>
        <w:br w:type="page"/>
      </w:r>
    </w:p>
    <w:p w14:paraId="5FACE2A8" w14:textId="77777777" w:rsidR="00F64776" w:rsidRDefault="00F64776" w:rsidP="00F64776">
      <w:pPr>
        <w:pStyle w:val="TtuloResolucin"/>
      </w:pPr>
      <w:bookmarkStart w:id="454" w:name="AUTO_2023_669"/>
      <w:r>
        <w:t>AUTO 669/2023, de 12 de diciembre de 2023</w:t>
      </w:r>
    </w:p>
    <w:bookmarkEnd w:id="454"/>
    <w:p w14:paraId="518E531B" w14:textId="77777777" w:rsidR="00F64776" w:rsidRDefault="00F64776" w:rsidP="00F64776">
      <w:pPr>
        <w:pStyle w:val="TtuloResolucin"/>
      </w:pPr>
      <w:r>
        <w:t>Pleno</w:t>
      </w:r>
    </w:p>
    <w:p w14:paraId="3375D778" w14:textId="77777777" w:rsidR="00F64776" w:rsidRDefault="00F64776" w:rsidP="00F64776">
      <w:pPr>
        <w:pStyle w:val="TextoNormalCentrado"/>
      </w:pPr>
      <w:r>
        <w:t>ECLI:ES:TC:2023:669A</w:t>
      </w:r>
    </w:p>
    <w:p w14:paraId="7EA8874E" w14:textId="225BB685" w:rsidR="00F64776" w:rsidRDefault="00F64776" w:rsidP="00F64776">
      <w:pPr>
        <w:pStyle w:val="TextoNormalCentrado"/>
      </w:pPr>
    </w:p>
    <w:p w14:paraId="66E86BA6" w14:textId="77777777" w:rsidR="00F64776" w:rsidRDefault="00F64776" w:rsidP="00F64776">
      <w:pPr>
        <w:pStyle w:val="SntesisDescriptiva"/>
      </w:pPr>
      <w:r>
        <w:t>Excms. Srs. don Cándido Conde-Pumpido Tourón,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w:t>
      </w:r>
    </w:p>
    <w:p w14:paraId="190A6909" w14:textId="343EC3C0" w:rsidR="00F64776" w:rsidRDefault="00F64776" w:rsidP="00F64776">
      <w:pPr>
        <w:pStyle w:val="SntesisDescriptiva"/>
      </w:pPr>
    </w:p>
    <w:p w14:paraId="39CAB964" w14:textId="77777777" w:rsidR="00F64776" w:rsidRDefault="00F64776" w:rsidP="00F64776">
      <w:pPr>
        <w:pStyle w:val="SntesisDescriptiva"/>
      </w:pPr>
      <w:r>
        <w:t>Inadmite a trámite la cuestión de inconstitucionalidad 5479-2023, planteada por la Sección Segunda de la Sala de lo Contencioso-Administrativo del Tribunal Superior de Justicia de Canarias en relación con la disposición adicional sexagésima novena de la Ley 48/2015, de 29 de octubre, de presupuestos generales del Estado para el año 2016.</w:t>
      </w:r>
    </w:p>
    <w:p w14:paraId="2A7BECF9" w14:textId="5ACB06A4" w:rsidR="00F64776" w:rsidRDefault="00F64776" w:rsidP="00F64776">
      <w:pPr>
        <w:pStyle w:val="SntesisDescriptiva"/>
      </w:pPr>
    </w:p>
    <w:p w14:paraId="24810727" w14:textId="77777777" w:rsidR="00F64776" w:rsidRDefault="00F64776" w:rsidP="00F64776">
      <w:pPr>
        <w:pStyle w:val="SntesisDescriptiva"/>
      </w:pPr>
    </w:p>
    <w:p w14:paraId="5975C1A6" w14:textId="77777777" w:rsidR="00F64776" w:rsidRDefault="00F64776" w:rsidP="00F64776">
      <w:pPr>
        <w:pStyle w:val="SntesisDescriptiva"/>
      </w:pPr>
    </w:p>
    <w:p w14:paraId="6706AD2E" w14:textId="77777777" w:rsidR="00F64776" w:rsidRDefault="00F64776" w:rsidP="00F64776">
      <w:pPr>
        <w:pStyle w:val="TextoNormalNegritaCentrado"/>
      </w:pPr>
      <w:r>
        <w:t>AUTO</w:t>
      </w:r>
    </w:p>
    <w:p w14:paraId="47F2D9D9" w14:textId="4A9C3E16" w:rsidR="00F64776" w:rsidRDefault="00F64776" w:rsidP="00F64776">
      <w:pPr>
        <w:pStyle w:val="TextoNormalNegritaCentrado"/>
      </w:pPr>
    </w:p>
    <w:p w14:paraId="503562D3" w14:textId="77777777" w:rsidR="00F64776" w:rsidRDefault="00F64776" w:rsidP="00F64776">
      <w:pPr>
        <w:pStyle w:val="TextoNormalNegritaCentrado"/>
        <w:keepNext/>
      </w:pPr>
      <w:r>
        <w:t>I. Antecedentes</w:t>
      </w:r>
    </w:p>
    <w:p w14:paraId="40586F3C" w14:textId="1BB02984" w:rsidR="00F64776" w:rsidRDefault="00F64776" w:rsidP="00F64776">
      <w:pPr>
        <w:pStyle w:val="TextoNormalNegritaCentrado"/>
        <w:keepNext/>
      </w:pPr>
    </w:p>
    <w:p w14:paraId="2960C6EB" w14:textId="77777777" w:rsidR="00F64776" w:rsidRDefault="00F64776" w:rsidP="00F64776">
      <w:pPr>
        <w:pStyle w:val="TextoNormal"/>
      </w:pPr>
      <w:r w:rsidRPr="00F64776">
        <w:rPr>
          <w:rStyle w:val="NumeroAFNegritaCaracter"/>
        </w:rPr>
        <w:t>1</w:t>
      </w:r>
      <w:r>
        <w:t>. El día 7 de agosto de 2023, tuvo entrada en el registro general de este tribunal un oficio de la Sección Segunda de la Sala de lo Contencioso-Administrativo del Tribunal Superior de Justicia de Canarias, al que se acompañaba el testimonio del auto de planteamiento de la cuestión de inconstitucionalidad respecto de la disposición adicional sexagésima novena de la Ley de presupuestos generales del Estado para el año 2016, por posible vulneración de los arts. 24.1, 117.3 y 118 CE, en relación con los arts. 9.3 y 33.3 CE.</w:t>
      </w:r>
    </w:p>
    <w:p w14:paraId="477F892F" w14:textId="77777777" w:rsidR="00F64776" w:rsidRDefault="00F64776" w:rsidP="00F64776">
      <w:pPr>
        <w:pStyle w:val="TextoNormal"/>
      </w:pPr>
    </w:p>
    <w:p w14:paraId="100A60DC" w14:textId="77777777" w:rsidR="00F64776" w:rsidRDefault="00F64776" w:rsidP="00F64776">
      <w:pPr>
        <w:pStyle w:val="TextoNormal"/>
      </w:pPr>
      <w:r>
        <w:t>La disposición adicional sexagésima novena de la Ley de presupuestos generales del Estado para el año 2016, que se intitula “Declaración de utilidad pública e interés social en relación con la Biblioteca Pública de Las Palmas”, tiene el siguiente contenido:</w:t>
      </w:r>
    </w:p>
    <w:p w14:paraId="22993F8C" w14:textId="77777777" w:rsidR="00F64776" w:rsidRDefault="00F64776" w:rsidP="00F64776">
      <w:pPr>
        <w:pStyle w:val="TextoNormal"/>
      </w:pPr>
    </w:p>
    <w:p w14:paraId="7E8F364F" w14:textId="5C6EB541" w:rsidR="00F64776" w:rsidRDefault="00F64776" w:rsidP="00F64776">
      <w:pPr>
        <w:pStyle w:val="TextoNormal"/>
      </w:pPr>
      <w:r>
        <w:t>“Se declara la utilidad pública e interés social de la expropiación de los derechos de ejecución de las resoluciones jurisdiccionales relacionadas con la demolición de la Biblioteca Pública del Estado en Las Palmas de Gran Canaria, atendiendo a la titularidad pública del solar y de la construcción, a su calificación legal como bien de interés cultural y a su afectación a la preservación de la igualdad de todos los ciudadanos en las condiciones de acceso a la cultura y al derecho a la educación, a los efectos previstos en la Ley de 16 de diciembre de 1954 de expropiación forzosa”.</w:t>
      </w:r>
    </w:p>
    <w:p w14:paraId="2AFE95A0" w14:textId="77777777" w:rsidR="00F64776" w:rsidRDefault="00F64776" w:rsidP="00F64776">
      <w:pPr>
        <w:pStyle w:val="TextoNormal"/>
      </w:pPr>
    </w:p>
    <w:p w14:paraId="6F968A31" w14:textId="77777777" w:rsidR="00F64776" w:rsidRDefault="00F64776" w:rsidP="00F64776">
      <w:pPr>
        <w:pStyle w:val="TextoNormal"/>
      </w:pPr>
      <w:r w:rsidRPr="00F64776">
        <w:rPr>
          <w:rStyle w:val="NumeroAFNegritaCaracter"/>
        </w:rPr>
        <w:t>2</w:t>
      </w:r>
      <w:r>
        <w:t>. Los antecedentes de hecho de la cuestión son, sucintamente expuestos, los siguientes:</w:t>
      </w:r>
    </w:p>
    <w:p w14:paraId="2B8741B4" w14:textId="77777777" w:rsidR="00F64776" w:rsidRDefault="00F64776" w:rsidP="00F64776">
      <w:pPr>
        <w:pStyle w:val="TextoNormal"/>
      </w:pPr>
    </w:p>
    <w:p w14:paraId="6708F062" w14:textId="77777777" w:rsidR="00F64776" w:rsidRDefault="00F64776" w:rsidP="00F64776">
      <w:pPr>
        <w:pStyle w:val="TextoNormal"/>
      </w:pPr>
      <w:r>
        <w:t>A) Impugnación del acuerdo por el que se concede la licencia para la construcción de la Biblioteca Pública del Estado en Las Palmas de Gran Canaria.</w:t>
      </w:r>
    </w:p>
    <w:p w14:paraId="1B8BE000" w14:textId="77777777" w:rsidR="00F64776" w:rsidRDefault="00F64776" w:rsidP="00F64776">
      <w:pPr>
        <w:pStyle w:val="TextoNormal"/>
      </w:pPr>
    </w:p>
    <w:p w14:paraId="509286E6" w14:textId="77777777" w:rsidR="00F64776" w:rsidRDefault="00F64776" w:rsidP="00F64776">
      <w:pPr>
        <w:pStyle w:val="TextoNormal"/>
      </w:pPr>
      <w:r>
        <w:t>a) Por acuerdo de la comisión de gobierno del Ayuntamiento de Las Palmas de Gran Canaria de 25 de septiembre de 1997 se otorgó a la Dirección General del Archivo y Bibliotecas del Ministerio de Educación, licencia para la construcción de la biblioteca pública del Estado en el solar sito entre la calle Venegas y la avenida Marítima del Norte.</w:t>
      </w:r>
    </w:p>
    <w:p w14:paraId="6D84BDC1" w14:textId="77777777" w:rsidR="00F64776" w:rsidRDefault="00F64776" w:rsidP="00F64776">
      <w:pPr>
        <w:pStyle w:val="TextoNormal"/>
      </w:pPr>
    </w:p>
    <w:p w14:paraId="13C4F7E6" w14:textId="77777777" w:rsidR="00F64776" w:rsidRDefault="00F64776" w:rsidP="00F64776">
      <w:pPr>
        <w:pStyle w:val="TextoNormal"/>
      </w:pPr>
      <w:r>
        <w:t>b) La Sección Segunda de la Sala de lo Contencioso-Administrativo del Tribunal Superior de Justicia de Canarias, con sede en Las Palmas de Gran Canaria, dictó, con fecha 10 de octubre de 2002, en el recurso contencioso administrativo núm. 814-1998, sentencia por la que estimaba el recurso interpuesto por la representación procesal de la comunidad de propietarios del edificio San Telmo contra el acuerdo de la comisión municipal de gobierno del Ayuntamiento de Las Palmas de Gran Canaria, de fecha 25 de septiembre de 1997, y, consiguientemente, anuló la licencia municipal concedida al Ministerio de Educación y Cultura para la construcción de la biblioteca pública del Estado en el solar situado entre la calle Venegas y la avenida Marítima del Norte.</w:t>
      </w:r>
    </w:p>
    <w:p w14:paraId="33F299D2" w14:textId="77777777" w:rsidR="00F64776" w:rsidRDefault="00F64776" w:rsidP="00F64776">
      <w:pPr>
        <w:pStyle w:val="TextoNormal"/>
      </w:pPr>
    </w:p>
    <w:p w14:paraId="5C63F660" w14:textId="77777777" w:rsidR="00F64776" w:rsidRDefault="00F64776" w:rsidP="00F64776">
      <w:pPr>
        <w:pStyle w:val="TextoNormal"/>
      </w:pPr>
      <w:r>
        <w:t>La sentencia razonaba que el plan especial, como instrumento de desarrollo del plan general, no existía cuando se concedió la licencia a pesar de que era preceptivo. Por otra parte, indicaba que el proyecto redactado para la biblioteca pública del Estado alteraba la determinación establecida en el plan general de ordenación urbana (PGOU) respecto del sistema general cultural administrativo y de espacios libres, vulneraba la zonificación en cuanto a zona verde y le privaba de 817 metros cuadrados, al ubicar el edificio en un emplazamiento totalmente distinto. Indica la sentencia que no solo se concedió la licencia sin redactar el plan especial, sino que además se cambiaron extremos en el proyecto autorizado sin ser modificado mediante una ordenanza.</w:t>
      </w:r>
    </w:p>
    <w:p w14:paraId="634DEAC6" w14:textId="77777777" w:rsidR="00F64776" w:rsidRDefault="00F64776" w:rsidP="00F64776">
      <w:pPr>
        <w:pStyle w:val="TextoNormal"/>
      </w:pPr>
    </w:p>
    <w:p w14:paraId="7596D909" w14:textId="77777777" w:rsidR="00F64776" w:rsidRDefault="00F64776" w:rsidP="00F64776">
      <w:pPr>
        <w:pStyle w:val="TextoNormal"/>
      </w:pPr>
      <w:r>
        <w:t>c) La sentencia fue confirmada por la Sala de lo Contencioso-Administrativo del Tribunal Supremo de 4 de julio de 2006, que desestimó el recurso de casación, interpuesto por el Estado y el Ayuntamiento de Las Palmas de Gran Canaria.</w:t>
      </w:r>
    </w:p>
    <w:p w14:paraId="25F1EF28" w14:textId="77777777" w:rsidR="00F64776" w:rsidRDefault="00F64776" w:rsidP="00F64776">
      <w:pPr>
        <w:pStyle w:val="TextoNormal"/>
      </w:pPr>
    </w:p>
    <w:p w14:paraId="1772FDCE" w14:textId="77777777" w:rsidR="00F64776" w:rsidRDefault="00F64776" w:rsidP="00F64776">
      <w:pPr>
        <w:pStyle w:val="TextoNormal"/>
      </w:pPr>
      <w:r>
        <w:t>d) El día 9 de diciembre de 2007, la comunidad de propietarios solicitó el íntegro cumplimiento del fallo de la sentencia con las consecuencias legales inherentes al mismo, lo que reiteró con fecha 14 de febrero de 2008. Tales solicitudes dieron lugar a que la Sala de lo Contencioso-Administrativo del Tribunal Superior de Justicia de Canarias ordenara requerir al Ayuntamiento para que, en el plazo de diez días, informase acerca del funcionario o el órgano responsable del cumplimiento de la sentencia, con la advertencia de que, si no se cumplimentaba en plazo el requerimiento, se impondría directamente multa coercitiva al alcalde.</w:t>
      </w:r>
    </w:p>
    <w:p w14:paraId="02AA7DBD" w14:textId="77777777" w:rsidR="00F64776" w:rsidRDefault="00F64776" w:rsidP="00F64776">
      <w:pPr>
        <w:pStyle w:val="TextoNormal"/>
      </w:pPr>
    </w:p>
    <w:p w14:paraId="48F1242A" w14:textId="77777777" w:rsidR="00F64776" w:rsidRDefault="00F64776" w:rsidP="00F64776">
      <w:pPr>
        <w:pStyle w:val="TextoNormal"/>
      </w:pPr>
      <w:r>
        <w:t>B) Primer incidente de inejecución material de la sentencia.</w:t>
      </w:r>
    </w:p>
    <w:p w14:paraId="72C2565C" w14:textId="77777777" w:rsidR="00F64776" w:rsidRDefault="00F64776" w:rsidP="00F64776">
      <w:pPr>
        <w:pStyle w:val="TextoNormal"/>
      </w:pPr>
    </w:p>
    <w:p w14:paraId="75A74703" w14:textId="77777777" w:rsidR="00F64776" w:rsidRDefault="00F64776" w:rsidP="00F64776">
      <w:pPr>
        <w:pStyle w:val="TextoNormal"/>
      </w:pPr>
      <w:r>
        <w:t>a) El representante procesal del Ayuntamiento de Las Palmas de Gran Canaria presentó un escrito aduciendo que concurría un supuesto de inejecución material de la sentencia. Razonaba que en el plan general de ordenación vigente, la parcela en la que se situaba el edificio de la biblioteca pública del Estado estaba clasificada como suelo urbano consolidado de ordenación directa y su clasificación era de equipamiento cultural en un ámbito de ordenanza A (edificabilidad agotada).</w:t>
      </w:r>
    </w:p>
    <w:p w14:paraId="46C5F54E" w14:textId="77777777" w:rsidR="00F64776" w:rsidRDefault="00F64776" w:rsidP="00F64776">
      <w:pPr>
        <w:pStyle w:val="TextoNormal"/>
      </w:pPr>
    </w:p>
    <w:p w14:paraId="510B67CA" w14:textId="77777777" w:rsidR="00F64776" w:rsidRDefault="00F64776" w:rsidP="00F64776">
      <w:pPr>
        <w:pStyle w:val="TextoNormal"/>
      </w:pPr>
      <w:r>
        <w:t>b) La Sala, por auto de 16 de septiembre de 2008, dando la razón al ayuntamiento, desestimó la solicitud de la comunidad de propietarios por la que se pretendía que se declarara tanto la nulidad de las determinaciones del planeamiento vigente con relación a la parcela, como la declaración de inejecutable por imposibilidad material de la sentencia recaída en los autos. Además, el órgano judicial estableció que la indemnización sustitutoria se fijaría por los trámites del artículo 105.2 de la Ley 29/1998, de 13 de julio, reguladora de la jurisdicción contencioso-administrativa (LJCA) en relación con el artículo 713 y siguientes de la Ley de enjuiciamiento civil (LEC). Al propio tiempo concedió el plazo de diez días a la parte actora para que presentase relación de daños y perjuicios como consecuencia de la imposibilidad legal de ejecución del fallo. Dicho auto fue confirmado por otro que desestimó el recurso de súplica.</w:t>
      </w:r>
    </w:p>
    <w:p w14:paraId="460AE1DF" w14:textId="77777777" w:rsidR="00F64776" w:rsidRDefault="00F64776" w:rsidP="00F64776">
      <w:pPr>
        <w:pStyle w:val="TextoNormal"/>
      </w:pPr>
    </w:p>
    <w:p w14:paraId="39F45F45" w14:textId="77777777" w:rsidR="00F64776" w:rsidRDefault="00F64776" w:rsidP="00F64776">
      <w:pPr>
        <w:pStyle w:val="TextoNormal"/>
      </w:pPr>
      <w:r>
        <w:t>c) Sin embargo, por sentencia de la Sala de lo Contencioso-Administrativo del Tribunal Supremo de 17 de noviembre de 2010, se estimó el recurso de casación interpuesto por la comunidad de propietarios contra los autos anteriores.</w:t>
      </w:r>
    </w:p>
    <w:p w14:paraId="308C93A5" w14:textId="77777777" w:rsidR="00F64776" w:rsidRDefault="00F64776" w:rsidP="00F64776">
      <w:pPr>
        <w:pStyle w:val="TextoNormal"/>
      </w:pPr>
    </w:p>
    <w:p w14:paraId="46CFD3C3" w14:textId="77777777" w:rsidR="00F64776" w:rsidRDefault="00F64776" w:rsidP="00F64776">
      <w:pPr>
        <w:pStyle w:val="TextoNormal"/>
      </w:pPr>
      <w:r>
        <w:t>La sentencia razona que el cambio o alteración del planeamiento tuvo como finalidad eludir el cumplimiento de la sentencia, y por consiguiente, los autos recurridos contradicen los términos del fallo que se pretendía ejecutar. En la sentencia se argumenta que no cabe apreciar la causa de inejecución de la sentencia firme porque la aprobación de la nueva ordenación urbanística del ámbito en cuestión no tuvo otra finalidad que eludir el cumplimiento de una sentencia, cuya ejecución en forma específica y plena impone la demolición de la edificación destinada a biblioteca pública, según lo establecido en los artículos 103.4 y 5, 105.1 y 2, 108 y 109 LJCA y la interpretación jurisprudencial recogida, entre otras, en las sentencias de la propia Sala.</w:t>
      </w:r>
    </w:p>
    <w:p w14:paraId="2B90CB16" w14:textId="77777777" w:rsidR="00F64776" w:rsidRDefault="00F64776" w:rsidP="00F64776">
      <w:pPr>
        <w:pStyle w:val="TextoNormal"/>
      </w:pPr>
    </w:p>
    <w:p w14:paraId="5DBC03C0" w14:textId="77777777" w:rsidR="00F64776" w:rsidRDefault="00F64776" w:rsidP="00F64776">
      <w:pPr>
        <w:pStyle w:val="TextoNormal"/>
      </w:pPr>
      <w:r>
        <w:t>Se indica en el fallo que la ordenación de la indicada parcela es nula de pleno derecho por haberse aprobado para eludir el cumplimiento de la referida sentencia de 10 de octubre de 2002. Afirma que dicha sentencia debe ejecutarse inmediatamente con demolición de lo construido al amparo de la licencia municipal anulada por la misma.</w:t>
      </w:r>
    </w:p>
    <w:p w14:paraId="4C2A1F96" w14:textId="77777777" w:rsidR="00F64776" w:rsidRDefault="00F64776" w:rsidP="00F64776">
      <w:pPr>
        <w:pStyle w:val="TextoNormal"/>
      </w:pPr>
    </w:p>
    <w:p w14:paraId="68DA1F8A" w14:textId="77777777" w:rsidR="00F64776" w:rsidRDefault="00F64776" w:rsidP="00F64776">
      <w:pPr>
        <w:pStyle w:val="TextoNormal"/>
      </w:pPr>
      <w:r>
        <w:t>d) Tras la sentencia del Tribunal Supremo, la comunidad de propietarios presentó una nueva solicitud para que se diera cumplimiento a la sentencia de 10 de octubre de 2002. Por auto de 1 de diciembre de 2011, la Sala de lo Contencioso-Administrativo del Tribunal Superior de Justicia de Canarias acordó requerir nuevamente al alcalde del Ayuntamiento de Las Palmas de Gran Canaria para que llevara a puro y debido efecto la sentencia recaída en los autos, bajo apercibimiento de desobediencia y la imposición de multas coercitivas.</w:t>
      </w:r>
    </w:p>
    <w:p w14:paraId="70E53DB7" w14:textId="77777777" w:rsidR="00F64776" w:rsidRDefault="00F64776" w:rsidP="00F64776">
      <w:pPr>
        <w:pStyle w:val="TextoNormal"/>
      </w:pPr>
    </w:p>
    <w:p w14:paraId="5E5FC6D5" w14:textId="77777777" w:rsidR="00F64776" w:rsidRDefault="00F64776" w:rsidP="00F64776">
      <w:pPr>
        <w:pStyle w:val="TextoNormal"/>
      </w:pPr>
      <w:r>
        <w:t>C) Segundo incidente de inejecución de sentencia.</w:t>
      </w:r>
    </w:p>
    <w:p w14:paraId="2C2D2C85" w14:textId="77777777" w:rsidR="00F64776" w:rsidRDefault="00F64776" w:rsidP="00F64776">
      <w:pPr>
        <w:pStyle w:val="TextoNormal"/>
      </w:pPr>
    </w:p>
    <w:p w14:paraId="60E282A2" w14:textId="77777777" w:rsidR="00F64776" w:rsidRDefault="00F64776" w:rsidP="00F64776">
      <w:pPr>
        <w:pStyle w:val="TextoNormal"/>
      </w:pPr>
      <w:r>
        <w:t>a) La representación del Ayuntamiento presentó escrito contestando al requerimiento. En el escrito manifestaba nuevamente la imposibilidad legal de ejecutar la sentencia dictada por la Sala de lo Contencioso-Administrativo y solicitaba la apertura de la pieza separada para indemnizar, en su caso, los daños y perjuicios que tal inejecución pudiera representar a la parte recurrente, la comunidad de propietarios. Dicha solicitud fue desestimada por providencia de la Sala de 29 de febrero de 2012, confirmada por la misma sala al desestimar el recurso de reposición, interpuesto frente a dicha providencia, por auto de 14 de febrero de 2013.</w:t>
      </w:r>
    </w:p>
    <w:p w14:paraId="487A58D4" w14:textId="77777777" w:rsidR="00F64776" w:rsidRDefault="00F64776" w:rsidP="00F64776">
      <w:pPr>
        <w:pStyle w:val="TextoNormal"/>
      </w:pPr>
    </w:p>
    <w:p w14:paraId="58E21433" w14:textId="77777777" w:rsidR="00F64776" w:rsidRDefault="00F64776" w:rsidP="00F64776">
      <w:pPr>
        <w:pStyle w:val="TextoNormal"/>
      </w:pPr>
      <w:r>
        <w:t>b) Finalmente la Sala de lo Contencioso-Administrativo del Tribunal Supremo, por sentencia de 16 de mayo de 2014, desestimó el recurso de casación interpuesto por el Estado y el formulado por el Ayuntamiento de las Palmas de Gran Canaria, frente al auto anterior.</w:t>
      </w:r>
    </w:p>
    <w:p w14:paraId="1DBC7CD6" w14:textId="77777777" w:rsidR="00F64776" w:rsidRDefault="00F64776" w:rsidP="00F64776">
      <w:pPr>
        <w:pStyle w:val="TextoNormal"/>
      </w:pPr>
    </w:p>
    <w:p w14:paraId="163C0F9A" w14:textId="77777777" w:rsidR="00F64776" w:rsidRDefault="00F64776" w:rsidP="00F64776">
      <w:pPr>
        <w:pStyle w:val="TextoNormal"/>
      </w:pPr>
      <w:r>
        <w:t>Considera el Tribunal Supremo que no existe ninguna razón para excluir de la demolición, una obra cuya licencia fue jurisdiccionalmente declarada ilegal por el hecho de que el uso asignado a dicha edificación ilegal sea albergar un archivo, museo o biblioteca de titularidad estatal. La protección conferida a estos por la Ley 16/1985, de 25 de junio, del patrimonio histórico español presupone que la construcción o edificación, que lógicamente es previa o anterior a su uso, sea conforme al ordenamiento jurídico, de manera que no es admisible, como sostienen los recurrentes, que, una vez que se haya instalado el uso protegido (archivo, museo o biblioteca), el edificio resulte legalizado. Y tampoco es admisible que la demolición, se haya de sustituir por una indemnización en favor de quien ejercitó la acción tendente a la protección de la legalidad urbanística.</w:t>
      </w:r>
    </w:p>
    <w:p w14:paraId="47480BB8" w14:textId="77777777" w:rsidR="00F64776" w:rsidRDefault="00F64776" w:rsidP="00F64776">
      <w:pPr>
        <w:pStyle w:val="TextoNormal"/>
      </w:pPr>
    </w:p>
    <w:p w14:paraId="1892EB98" w14:textId="77777777" w:rsidR="00F64776" w:rsidRDefault="00F64776" w:rsidP="00F64776">
      <w:pPr>
        <w:pStyle w:val="TextoNormal"/>
      </w:pPr>
      <w:r>
        <w:t>c) En fecha 13 de noviembre de 2014, por el Ayuntamiento de Las Palmas de Gran Canaria se interpuso recurso de amparo frente al auto de 1 de diciembre de 2011 dictado por la Sala de lo Contencioso-Administrativo del Tribunal Superior de Justicia de Canarias y contra la sentencia de la Sala de lo Contencioso-Administrativo del Tribunal Supremo de 16 de mayo de 2014, que, una vez registrado con el núm. 6855-2014, fue inadmitido por providencia de 6 de julio de 2015 dictada por la Sección Segunda del Tribunal Constitucional al apreciar la manifiesta inexistencia de la violación del derecho fundamental invocado.</w:t>
      </w:r>
    </w:p>
    <w:p w14:paraId="57899F16" w14:textId="77777777" w:rsidR="00F64776" w:rsidRDefault="00F64776" w:rsidP="00F64776">
      <w:pPr>
        <w:pStyle w:val="TextoNormal"/>
      </w:pPr>
    </w:p>
    <w:p w14:paraId="4F5D1DFE" w14:textId="77777777" w:rsidR="00F64776" w:rsidRDefault="00F64776" w:rsidP="00F64776">
      <w:pPr>
        <w:pStyle w:val="TextoNormal"/>
      </w:pPr>
      <w:r>
        <w:t>D) Actuaciones procesales tras la aprobación de la disposición adicional sexagésima novena de la Ley de presupuestos generales del Estado para el año 2016.</w:t>
      </w:r>
    </w:p>
    <w:p w14:paraId="3FF5CCFF" w14:textId="77777777" w:rsidR="00F64776" w:rsidRDefault="00F64776" w:rsidP="00F64776">
      <w:pPr>
        <w:pStyle w:val="TextoNormal"/>
      </w:pPr>
    </w:p>
    <w:p w14:paraId="4C5FE132" w14:textId="77777777" w:rsidR="00F64776" w:rsidRDefault="00F64776" w:rsidP="00F64776">
      <w:pPr>
        <w:pStyle w:val="TextoNormal"/>
      </w:pPr>
      <w:r>
        <w:t>a) Tras aprobarse la disposición adicional sexagésima novena de la Ley de presupuestos generales del Estado para el año 2016, objeto de la presente cuestión de inconstitucionalidad, el Ayuntamiento de Las Palmas de Gran Canaria dando respuesta a los requerimientos de información realizados por la Sección Segunda del Tribunal Superior de Justicia de Canarias, puso en conocimiento del órgano judicial mediante sendos escritos —de 16 de noviembre de 2016 y 20 de enero de 2017— la aprobación de la referida ley y la iniciación del expediente de expropiación y su paralización en tanto no se resolviera por el Tribunal Supremo —y quedasen determinados— los concretos titulares de los derechos a expropiar.</w:t>
      </w:r>
    </w:p>
    <w:p w14:paraId="17444943" w14:textId="77777777" w:rsidR="00F64776" w:rsidRDefault="00F64776" w:rsidP="00F64776">
      <w:pPr>
        <w:pStyle w:val="TextoNormal"/>
      </w:pPr>
    </w:p>
    <w:p w14:paraId="33690598" w14:textId="77777777" w:rsidR="00F64776" w:rsidRDefault="00F64776" w:rsidP="00F64776">
      <w:pPr>
        <w:pStyle w:val="TextoNormal"/>
      </w:pPr>
      <w:r>
        <w:t>b) La Sección Segunda del Tribunal Superior de Justicia de Canarias dictó auto el día 16 de mayo de 2018, por el que “[d]e conformidad con lo dispuesto en la disposición adicional sexagésima novena de la Ley 48/2015, de 29 de octubre de presupuestos generales del Estado para el año 2016, que antes hemos trascrito, procede el archivo de la presente ejecución de sentencia a fin de que se sigan los trámites establecidos en la misma. Sin costas”.</w:t>
      </w:r>
    </w:p>
    <w:p w14:paraId="5E2707FF" w14:textId="77777777" w:rsidR="00F64776" w:rsidRDefault="00F64776" w:rsidP="00F64776">
      <w:pPr>
        <w:pStyle w:val="TextoNormal"/>
      </w:pPr>
    </w:p>
    <w:p w14:paraId="30FCE61D" w14:textId="77777777" w:rsidR="00F64776" w:rsidRDefault="00F64776" w:rsidP="00F64776">
      <w:pPr>
        <w:pStyle w:val="TextoNormal"/>
      </w:pPr>
      <w:r>
        <w:t>c) La comunidad de propietarios interpuso recurso de reposición frente a dicho auto, instando la revocación del archivo de la ejecución pues entendía que en tanto en cuanto no se iniciase el procedimiento de expropiación por parte de la Administración General del Estado procedía la demolición de la biblioteca y, en todo caso, iniciado aquel procedimiento expropiatorio debía ser tutelado por la Sala, todo ello en aplicación de los artículos 24 y 118 CE y los artículos 17 y 18 de la Ley Orgánica del Poder Judicial (LOPJ). Dicho recurso fue impugnado, con sustento en argumentos no coincidentes, por el Ayuntamiento de Las Palmas de Gran Canaria y por la Abogacía del Estado.</w:t>
      </w:r>
    </w:p>
    <w:p w14:paraId="44E2AC03" w14:textId="77777777" w:rsidR="00F64776" w:rsidRDefault="00F64776" w:rsidP="00F64776">
      <w:pPr>
        <w:pStyle w:val="TextoNormal"/>
      </w:pPr>
    </w:p>
    <w:p w14:paraId="3D23836D" w14:textId="77777777" w:rsidR="00F64776" w:rsidRDefault="00F64776" w:rsidP="00F64776">
      <w:pPr>
        <w:pStyle w:val="TextoNormal"/>
      </w:pPr>
      <w:r>
        <w:t>Por su parte, la Abogacía del Estado también interpuso recurso contra el auto de 16 de mayo de 2018, al considerar que la expropiación debía llevarse a cabo en el seno del procedimiento por el cauce del art. 105.3 (LJCA). Dicho recurso fue impugnado por el ayuntamiento.</w:t>
      </w:r>
    </w:p>
    <w:p w14:paraId="40615BD1" w14:textId="77777777" w:rsidR="00F64776" w:rsidRDefault="00F64776" w:rsidP="00F64776">
      <w:pPr>
        <w:pStyle w:val="TextoNormal"/>
      </w:pPr>
    </w:p>
    <w:p w14:paraId="0E1A2F69" w14:textId="77777777" w:rsidR="00F64776" w:rsidRDefault="00F64776" w:rsidP="00F64776">
      <w:pPr>
        <w:pStyle w:val="TextoNormal"/>
      </w:pPr>
      <w:r>
        <w:t>d) Por auto de 7 de noviembre de 2019, de la Sección Segunda de la Sala de lo Contencioso-Administrativo del Tribunal Superior de Justicia, se revocó el archivo de la ejecución. Tras dar cuenta en su fundamento de Derecho primero de la aprobación de la Ley de presupuestos generales del Estado para 2016, argumenta que estamos ante un supuesto especial de expropiación, previsto en el artículo 18.2 LOPJ (“Solo por causa de utilidad pública o interés social, declarada por el Gobierno, podrán expropiarse los derechos reconocidos frente a la administración pública en una sentencia firme, antes de su ejecución. En este caso, el juez o tribunal a quien corresponda la ejecución será el único competente para señalar por vía incidental la correspondiente indemnización”). En su fundamento de Derecho segundo reitera que “estamos ante un supuesto especial de expropiación previsto en el artículo 18.2 LOPJ […]. En similares términos se pronuncia el apartado 3 del artículo 105 LJCA […]. Por tanto, una vez que la administración del Estado ha declarado, mediante ley, la utilidad pública e interés social de la expropiación de los derechos de la ejecución de la sentencia dictada en estas actuaciones (quedando determinado qué derecho en concreto es el que se expropia) la siguiente fase es la determinación de la indemnización correspondiente. Lo cual nos lleva ya a la siguiente cuestión: cuál es el procedimiento a seguir para la fijación de dicha indemnización. Pues bien, es en este extremo en el que procede estimar el recurso de reposición, pues como decimos, estamos ante un supuesto especial de expropiación que debe regirse por los preceptos anteriormente citados, los cuales determinan de forma clara y expresa que la indemnización se fijará por el juez o tribunal a quien competa la ejecución de la sentencia, y por el trámite de los incidentes”. Consecuentemente, en la parte dispositiva estima “los recursos de reposición formulados contra el auto de fecha 16 de mayo de 2016, que revocamos, y en su lugar, acordamos la apertura del correspondiente incidente a seguir ante esta misma sala, a los efectos de determinar la indemnización que en su caso proceda por la expropiación de los derechos de ejecución de la sentencia dictada en estas actuaciones”.</w:t>
      </w:r>
    </w:p>
    <w:p w14:paraId="24578965" w14:textId="77777777" w:rsidR="00F64776" w:rsidRDefault="00F64776" w:rsidP="00F64776">
      <w:pPr>
        <w:pStyle w:val="TextoNormal"/>
      </w:pPr>
    </w:p>
    <w:p w14:paraId="60B6868E" w14:textId="77777777" w:rsidR="00F64776" w:rsidRDefault="00F64776" w:rsidP="00F64776">
      <w:pPr>
        <w:pStyle w:val="TextoNormal"/>
      </w:pPr>
      <w:r>
        <w:t>e) Por providencia de 3 de febrero de 2021, se insta “a la parte damnificada a que presente su reclamación indemnizatoria razonadamente y dar traslado a las demás partes afectadas. Después valorar, si es que se pide, la apertura de periodo probatorio o resolver sobre las propuestas y después, una vez conclusa la tramitación del expediente, pasar los autos al ponente para resolver el incidente”. Y, finalmente por diligencia de ordenación de 31 de marzo de 2022, se requirió a la comunidad de propietarios para que, en el plazo de veinte días, presentara la reclamación indemnizatoria, previamente a tramitar el incidente de ejecución, ampliándose ese plazo por otra diligencia de 26 de mayo.</w:t>
      </w:r>
    </w:p>
    <w:p w14:paraId="362CC627" w14:textId="77777777" w:rsidR="00F64776" w:rsidRDefault="00F64776" w:rsidP="00F64776">
      <w:pPr>
        <w:pStyle w:val="TextoNormal"/>
      </w:pPr>
    </w:p>
    <w:p w14:paraId="47483C15" w14:textId="77777777" w:rsidR="00F64776" w:rsidRDefault="00F64776" w:rsidP="00F64776">
      <w:pPr>
        <w:pStyle w:val="TextoNormal"/>
      </w:pPr>
      <w:r>
        <w:t>f) El día 15 de junio de 2022, la comunidad de propietarios del edificio San Telmo, presentó escrito en el que, tras referirse a los antecedentes del procedimiento, se remitió al informe pericial que acompañaba a los efectos de fijar el importe del justiprecio en la cantidad de 5 343 590,57 €, al que aplicaba el 5 por ciento del premio de afección del art. 47 de la Ley de 16 de diciembre de 1954 sobre expropiación forzosa (LEF) y solicitaba que, en caso de disconformidad, se cite a los peritos para que sean examinadas.</w:t>
      </w:r>
    </w:p>
    <w:p w14:paraId="5E615C8F" w14:textId="77777777" w:rsidR="00F64776" w:rsidRDefault="00F64776" w:rsidP="00F64776">
      <w:pPr>
        <w:pStyle w:val="TextoNormal"/>
      </w:pPr>
    </w:p>
    <w:p w14:paraId="76D084E2" w14:textId="77777777" w:rsidR="00F64776" w:rsidRDefault="00F64776" w:rsidP="00F64776">
      <w:pPr>
        <w:pStyle w:val="TextoNormal"/>
      </w:pPr>
      <w:r>
        <w:t>Se indica en el escrito que en el supuesto de que no se garantice en este supuesto el principio de plena indemnidad se realiza expresa reserva de las acciones que correspondan —ante los tribunales o ante la justicia constitucional— para garantizar el derecho a la tutela judicial efectiva, especialmente cuando se ha declarado la utilidad pública del citado derecho mediante ley, sin motivación alguna que justifique tan grave excepción e impidiendo su impugnación por los afectados.</w:t>
      </w:r>
    </w:p>
    <w:p w14:paraId="276CCA04" w14:textId="77777777" w:rsidR="00F64776" w:rsidRDefault="00F64776" w:rsidP="00F64776">
      <w:pPr>
        <w:pStyle w:val="TextoNormal"/>
      </w:pPr>
    </w:p>
    <w:p w14:paraId="00A6F518" w14:textId="77777777" w:rsidR="00F64776" w:rsidRDefault="00F64776" w:rsidP="00F64776">
      <w:pPr>
        <w:pStyle w:val="TextoNormal"/>
      </w:pPr>
      <w:r>
        <w:t>Del mismo se dio traslado al Ayuntamiento y a la Abogacía del Estado a fin de que formularan alegaciones. El Ayuntamiento presentó contestación mediante escrito firmado el día 9 de septiembre de 2022 y la Administración General del Estado mediante escrito presentado el 20 de septiembre siguiente proponiendo en ambos casos la práctica de prueba documental y la citación de los peritos firmantes de los informes aportados.</w:t>
      </w:r>
    </w:p>
    <w:p w14:paraId="68F50EBA" w14:textId="77777777" w:rsidR="00F64776" w:rsidRDefault="00F64776" w:rsidP="00F64776">
      <w:pPr>
        <w:pStyle w:val="TextoNormal"/>
      </w:pPr>
    </w:p>
    <w:p w14:paraId="05D572E4" w14:textId="77777777" w:rsidR="00F64776" w:rsidRDefault="00F64776" w:rsidP="00F64776">
      <w:pPr>
        <w:pStyle w:val="TextoNormal"/>
      </w:pPr>
      <w:r>
        <w:t>g) Una vez ratificados los informes periciales, la Sección Segunda de la Sala de lo Contencioso-Administrativo del Tribunal Superior de Justicia, por providencia de 8 de junio de 2023, indicó —con referencia a la disposición adicional cuestionada—, que dado que la resolución del presente incidente tiene su origen y base en la aplicación de dicho precepto legal, de conformidad con lo dispuesto en el artículo 35.2 de la Ley Orgánica del Tribunal Constitucional (LOTC), se daba traslado a las partes y al Ministerio Fiscal para que pudieran alegar sobre la pertinencia de plantear la cuestión de inconstitucionalidad, o sobre el fondo de esta.</w:t>
      </w:r>
    </w:p>
    <w:p w14:paraId="2691B87F" w14:textId="77777777" w:rsidR="00F64776" w:rsidRDefault="00F64776" w:rsidP="00F64776">
      <w:pPr>
        <w:pStyle w:val="TextoNormal"/>
      </w:pPr>
    </w:p>
    <w:p w14:paraId="0E286691" w14:textId="77777777" w:rsidR="00F64776" w:rsidRDefault="00F64776" w:rsidP="00F64776">
      <w:pPr>
        <w:pStyle w:val="TextoNormal"/>
      </w:pPr>
      <w:r>
        <w:t>La providencia señala que la disposición adicional podía vulnerar los arts. 24.1, 117.3 y 118 CE, al haber expropiado el derecho a la ejecución de la sentencia y haber sustraído la posibilidad de apreciar la concurrencia del motivo alegado para expropiar, basándose la expropiación en los mismos motivos expresamente denegados al considerar que estaban siendo utilizados de forma fraudulenta, ocasionando también la vulneración del principio de interdicción de arbitrariedad de los poderes públicos (art. 9.3 CE) y del principio de separación de poderes, así como del art. 33.3 CE, al haberse producido la expropiación por una ley singular, con inobservancia de la garantía del procedimiento expropiatorio.</w:t>
      </w:r>
    </w:p>
    <w:p w14:paraId="1F788420" w14:textId="77777777" w:rsidR="00F64776" w:rsidRDefault="00F64776" w:rsidP="00F64776">
      <w:pPr>
        <w:pStyle w:val="TextoNormal"/>
      </w:pPr>
    </w:p>
    <w:p w14:paraId="48839D2A" w14:textId="77777777" w:rsidR="00F64776" w:rsidRDefault="00F64776" w:rsidP="00F64776">
      <w:pPr>
        <w:pStyle w:val="TextoNormal"/>
      </w:pPr>
      <w:r>
        <w:t>h) Mediante escrito de 19 de junio de 2023, el fiscal manifestó que se cumplían todos los requisitos del art. 35 LOTC y por ello no se oponía al planteamiento de la cuestión de inconstitucionalidad.</w:t>
      </w:r>
    </w:p>
    <w:p w14:paraId="071E171C" w14:textId="77777777" w:rsidR="00F64776" w:rsidRDefault="00F64776" w:rsidP="00F64776">
      <w:pPr>
        <w:pStyle w:val="TextoNormal"/>
      </w:pPr>
    </w:p>
    <w:p w14:paraId="05F335A7" w14:textId="77777777" w:rsidR="00F64776" w:rsidRDefault="00F64776" w:rsidP="00F64776">
      <w:pPr>
        <w:pStyle w:val="TextoNormal"/>
      </w:pPr>
      <w:r>
        <w:t>i) El abogado del Estado formuló sus alegaciones oponiéndose al planteamiento de la cuestión de inconstitucionalidad mediante escrito de 29 de junio de 2023.</w:t>
      </w:r>
    </w:p>
    <w:p w14:paraId="548182BF" w14:textId="77777777" w:rsidR="00F64776" w:rsidRDefault="00F64776" w:rsidP="00F64776">
      <w:pPr>
        <w:pStyle w:val="TextoNormal"/>
      </w:pPr>
    </w:p>
    <w:p w14:paraId="590AE5A1" w14:textId="77777777" w:rsidR="00F64776" w:rsidRDefault="00F64776" w:rsidP="00F64776">
      <w:pPr>
        <w:pStyle w:val="TextoNormal"/>
      </w:pPr>
      <w:r>
        <w:t>El abogado del Estado considera que no concurren los requisitos exigidos para el planteamiento de la cuestión de inconstitucionalidad, al haber sido aplicada la norma de cuya constitucionalidad se duda y no haber finalizado el procedimiento, pues la propia sala había tramitado el incidente conforme a los arts. 560 y concordantes LEC, y había acordado la práctica de su ratificación y aclaración de las periciales aportadas por las partes, pero omitiendo pronunciarse sobre el trámite de vista o conclusiones, pese a la solicitud de la Abogacía del Estado. Añade que en la providencia del art. 35.1 LOTC tampoco se ha efectuado el juicio de aplicabilidad y relevancia.</w:t>
      </w:r>
    </w:p>
    <w:p w14:paraId="47EEFCE6" w14:textId="77777777" w:rsidR="00F64776" w:rsidRDefault="00F64776" w:rsidP="00F64776">
      <w:pPr>
        <w:pStyle w:val="TextoNormal"/>
      </w:pPr>
    </w:p>
    <w:p w14:paraId="3D8EB5B3" w14:textId="77777777" w:rsidR="00F64776" w:rsidRDefault="00F64776" w:rsidP="00F64776">
      <w:pPr>
        <w:pStyle w:val="TextoNormal"/>
      </w:pPr>
      <w:r>
        <w:t>También, desde la perspectiva material considera improcedente el planteamiento de la cuestión de inconstitucionalidad. Descarta la infracción del art. 24.1 CE, al entender que el art. 105.3 LJCA no agota las posibilidades del legislador de acordar la expropiación de los derechos reconocidos en una sentencia, al ser posible acudir a una ley singular (STC 166/1986, de 19 de diciembre, FJ 13). Considera que el impedimento legal para ejecutar la sentencia establecido en la disposición adicional sexagésima novena de la Ley de presupuestos generales del Estado para el año 2016, encontraría su justificación en mantener el edificio de la biblioteca pública del Estado y cumpliría los parámetros establecidos por la doctrina constitucional.</w:t>
      </w:r>
    </w:p>
    <w:p w14:paraId="15430C8D" w14:textId="77777777" w:rsidR="00F64776" w:rsidRDefault="00F64776" w:rsidP="00F64776">
      <w:pPr>
        <w:pStyle w:val="TextoNormal"/>
      </w:pPr>
    </w:p>
    <w:p w14:paraId="15A6A2AD" w14:textId="77777777" w:rsidR="00F64776" w:rsidRDefault="00F64776" w:rsidP="00F64776">
      <w:pPr>
        <w:pStyle w:val="TextoNormal"/>
      </w:pPr>
      <w:r>
        <w:t>Por otra parte, descarta que se infrinjan los arts. 117.3 y 118 CE, al considerar que la expropiación se tramita en el marco del proceso y nada impide que el órgano judicial pueda examinar la concurrencia de los motivos que justifican la declaración de utilidad pública e interés social. Alude a la prudencia exigida para calificar una ley como arbitraria.</w:t>
      </w:r>
    </w:p>
    <w:p w14:paraId="182B0A00" w14:textId="77777777" w:rsidR="00F64776" w:rsidRDefault="00F64776" w:rsidP="00F64776">
      <w:pPr>
        <w:pStyle w:val="TextoNormal"/>
      </w:pPr>
    </w:p>
    <w:p w14:paraId="067846A3" w14:textId="77777777" w:rsidR="00F64776" w:rsidRDefault="00F64776" w:rsidP="00F64776">
      <w:pPr>
        <w:pStyle w:val="TextoNormal"/>
      </w:pPr>
      <w:r>
        <w:t>Finalmente descarta que se infrinja el art. 33 CE por el hecho de que se declare la utilidad pública y se haga por vía legislativa.</w:t>
      </w:r>
    </w:p>
    <w:p w14:paraId="128704BD" w14:textId="77777777" w:rsidR="00F64776" w:rsidRDefault="00F64776" w:rsidP="00F64776">
      <w:pPr>
        <w:pStyle w:val="TextoNormal"/>
      </w:pPr>
    </w:p>
    <w:p w14:paraId="5E5C0B55" w14:textId="77777777" w:rsidR="00F64776" w:rsidRDefault="00F64776" w:rsidP="00F64776">
      <w:pPr>
        <w:pStyle w:val="TextoNormal"/>
      </w:pPr>
      <w:r>
        <w:t>j) La representación del Ayuntamiento de las Palmas de Gran Canaria se adhiere a las alegaciones del abogado del Estado y, en consecuencia, se opone al planteamiento de la cuestión de inconstitucionalidad al considerar que procede una armonización y equilibrio de los derechos fundamentales en colisión, evitando someter el procedimiento a dilaciones indebidas.</w:t>
      </w:r>
    </w:p>
    <w:p w14:paraId="027F9E77" w14:textId="77777777" w:rsidR="00F64776" w:rsidRDefault="00F64776" w:rsidP="00F64776">
      <w:pPr>
        <w:pStyle w:val="TextoNormal"/>
      </w:pPr>
    </w:p>
    <w:p w14:paraId="4FA8DAD3" w14:textId="3DE4BA6E" w:rsidR="00F64776" w:rsidRDefault="00F64776" w:rsidP="00F64776">
      <w:pPr>
        <w:pStyle w:val="TextoNormal"/>
      </w:pPr>
      <w:r>
        <w:t>k) Finalmente, la comunidad de propietarios del edificio San Telmo se muestra conforme con el planteamiento de la cuestión de inconstitucionalidad, insistiendo en que admitir que todas las ejecuciones judiciales de sentencias firmes se pudieran culminar con la simple declaración de utilidad pública e interés social del derecho a ejecutar el fallo hecha por ley produciría una perversión del derecho a la tutela judicial, que conduciría a la quiebra del Estado de Derecho, puesto que la Administración nunca tendría la obligación de ejecutar ninguna sentencia que le fuera desfavorable, pues le bastaría la declaración de utilidad pública e interés social del derecho fundamental del art. 24 CE.</w:t>
      </w:r>
    </w:p>
    <w:p w14:paraId="0D843C30" w14:textId="77777777" w:rsidR="00F64776" w:rsidRDefault="00F64776" w:rsidP="00F64776">
      <w:pPr>
        <w:pStyle w:val="TextoNormal"/>
      </w:pPr>
    </w:p>
    <w:p w14:paraId="06ECD289" w14:textId="77777777" w:rsidR="00F64776" w:rsidRDefault="00F64776" w:rsidP="00F64776">
      <w:pPr>
        <w:pStyle w:val="TextoNormal"/>
      </w:pPr>
      <w:r w:rsidRPr="00F64776">
        <w:rPr>
          <w:rStyle w:val="NumeroAFNegritaCaracter"/>
        </w:rPr>
        <w:t>3</w:t>
      </w:r>
      <w:r>
        <w:t>. El auto de planteamiento de la cuestión de constitucionalidad, dictado por la Sección Segunda de la Sala de lo Contencioso-Administrativo del Tribunal Superior de Justicia de Canarias, dedica los antecedentes a resaltar los aspectos más destacados del procedimiento seguido por el recurso contencioso administrativo interpuesto por la representación de la comunidad de propietarios del edificio San Telmo frente al acuerdo del Ayuntamiento de las Palmas de Gran Canaria de 25 de septiembre, por el que se otorgó al Ministerio de Educación licencia de obras para la construcción de la biblioteca pública del Estado en el solar situado entre la calle Venegas y la avenida Marítima del Norte.</w:t>
      </w:r>
    </w:p>
    <w:p w14:paraId="5992374F" w14:textId="77777777" w:rsidR="00F64776" w:rsidRDefault="00F64776" w:rsidP="00F64776">
      <w:pPr>
        <w:pStyle w:val="TextoNormal"/>
      </w:pPr>
    </w:p>
    <w:p w14:paraId="02D736AA" w14:textId="77777777" w:rsidR="00F64776" w:rsidRDefault="00F64776" w:rsidP="00F64776">
      <w:pPr>
        <w:pStyle w:val="TextoNormal"/>
      </w:pPr>
      <w:r>
        <w:t>En la fundamentación jurídica identifica la disposición adicional cuestionada y los arts. 24.1, 33.3, 117.3 y 118 —en relación con el art. 9.3— de la Constitución como posiblemente vulnerados. Refiere que la decisión que debe adoptar la Sala en el incidente de ejecución le plantea serias dudas, sobre la adecuación de la disposición adicional sexagésima novena de la Ley de presupuestos generales del estado para 2016, con el derecho a la tutela judicial efectiva y el principio de separación de poderes, al ser obligado para los poderes públicos el respeto a las resoluciones judiciales y la interdicción de arbitrariedad y finalmente destaca que los bienes y derechos solo pueden ser expropiados, conforme a lo dispuesto en las leyes.</w:t>
      </w:r>
    </w:p>
    <w:p w14:paraId="0A3A5152" w14:textId="77777777" w:rsidR="00F64776" w:rsidRDefault="00F64776" w:rsidP="00F64776">
      <w:pPr>
        <w:pStyle w:val="TextoNormal"/>
      </w:pPr>
    </w:p>
    <w:p w14:paraId="1D860D94" w14:textId="77777777" w:rsidR="00F64776" w:rsidRDefault="00F64776" w:rsidP="00F64776">
      <w:pPr>
        <w:pStyle w:val="TextoNormal"/>
      </w:pPr>
      <w:r>
        <w:t>Se detiene en el examen del juicio de aplicabilidad y relevancia y rebate los obstáculos advertidos por el abogado del Estado y —a través de su adhesión— por el Ayuntamiento. A tal fin sostiene que el incidente se incoó por aplicación del art. 105.3 LJCA al producirse la expropiación por la disposición adicional sexagésima novena de la Ley de presupuestos generales del Estado para 2016, y corresponderle al juez la determinación de la correspondiente indemnización, sin que ello suponga haber aplicado la norma cuestionada. Recuerda sin embargo, que por auto de 16 de mayo de 2018 se acordó archivar la ejecución y seguir los trámite establecidos en la disposición adicional cuestionada, que remite a la Ley de expropiación forzosa para la fijación de la indemnización, esto es, la indemnización tendría que efectuarse por el jurado provincial de expropiación forzosa, pero, al recurrir ambas partes dicho auto por entender que debía ser el Tribunal que conoce la ejecución quien determinara la indemnización (art. 105.3 LJCA), se estimó el recurso de reposición por auto de 7 de noviembre de 2019.</w:t>
      </w:r>
    </w:p>
    <w:p w14:paraId="7D4EAAB3" w14:textId="77777777" w:rsidR="00F64776" w:rsidRDefault="00F64776" w:rsidP="00F64776">
      <w:pPr>
        <w:pStyle w:val="TextoNormal"/>
      </w:pPr>
    </w:p>
    <w:p w14:paraId="5BA5BC78" w14:textId="77777777" w:rsidR="00F64776" w:rsidRDefault="00F64776" w:rsidP="00F64776">
      <w:pPr>
        <w:pStyle w:val="TextoNormal"/>
      </w:pPr>
      <w:r>
        <w:t>Aclara que al encontrarse pendiente de resolver sobre la indemnización solicitada se plantea la cuestión de inconstitucionalidad, ya que el primer presupuesto para resolver sobre la pretensión indemnizatoria es verificar si concurren los motivos que justifican la declaración de utilidad pública o de interés social. Sostiene que al establecerse la utilidad pública o interés social en la disposición adicional sexagésima novena de la Ley de presupuestos generales del Estado para 2016 no es posible dejarla sin efecto. Añade, sobre el momento oportuno del planteamiento, que una vez celebrada la vista en la que se aclararon los informes, no se prevé trámite de conclusiones, estando tan solo pendiente el incidente de fijación de la indemnización (art. 105.3 LJCA).</w:t>
      </w:r>
    </w:p>
    <w:p w14:paraId="208D51F6" w14:textId="77777777" w:rsidR="00F64776" w:rsidRDefault="00F64776" w:rsidP="00F64776">
      <w:pPr>
        <w:pStyle w:val="TextoNormal"/>
      </w:pPr>
    </w:p>
    <w:p w14:paraId="3AB49152" w14:textId="77777777" w:rsidR="00F64776" w:rsidRDefault="00F64776" w:rsidP="00F64776">
      <w:pPr>
        <w:pStyle w:val="TextoNormal"/>
      </w:pPr>
      <w:r>
        <w:t>En cuanto al fondo, sintetiza nuevamente el recorrido procedimental que ha seguido la pretensión de la comunidad de propietarios recurrente para concluir que con la expropiación del derecho a ejecutar la sentencia que ordena la demolición de la biblioteca, a través de una ley, “y en los concretos términos que la misma establece”, se vulneran los preceptos constitucionales citados.</w:t>
      </w:r>
    </w:p>
    <w:p w14:paraId="4303D0E7" w14:textId="77777777" w:rsidR="00F64776" w:rsidRDefault="00F64776" w:rsidP="00F64776">
      <w:pPr>
        <w:pStyle w:val="TextoNormal"/>
      </w:pPr>
    </w:p>
    <w:p w14:paraId="306AF861" w14:textId="77777777" w:rsidR="00F64776" w:rsidRDefault="00F64776" w:rsidP="00F64776">
      <w:pPr>
        <w:pStyle w:val="TextoNormal"/>
      </w:pPr>
      <w:r>
        <w:t>Admite que la posibilidad de expropiar los derechos declarados en sentencia firme está prevista en la legislación, pero debe realizarse de conformidad con lo dispuesto en las leyes (art. 33.3 CE) y en este caso por “leyes” indica que debe entenderse la Ley Orgánica del Poder Judicial y la Ley reguladora de la jurisdicción contencioso-administrativa (transcribe los arts. 18.2 LOPJ y 105.3 LJCA). Destaca que estos preceptos establecen unos requisitos y garantías, entre los que destaca que la declaración de utilidad pública la realiza el Gobierno —o en su caso el Consejo de Gobierno de la Comunidad Autónoma—, pero al realizarse por el poder legislativo, considera que se “ha sustraído el derecho de defensa de la parte ejecutante […] al no poder impugnar dicha decisión” (art. 24.1 CE). Destaca que la expropiación puede acordarse por ley pero que “debe realizarse de conformidad con lo dispuesto en las leyes, como garantía del procedimiento expropiatorio” (art. 33.3 CE), con cita de la STC 48/2005, de 3 de marzo.</w:t>
      </w:r>
    </w:p>
    <w:p w14:paraId="0A08BD19" w14:textId="77777777" w:rsidR="00F64776" w:rsidRDefault="00F64776" w:rsidP="00F64776">
      <w:pPr>
        <w:pStyle w:val="TextoNormal"/>
      </w:pPr>
    </w:p>
    <w:p w14:paraId="0A7AD09A" w14:textId="77777777" w:rsidR="00F64776" w:rsidRDefault="00F64776" w:rsidP="00F64776">
      <w:pPr>
        <w:pStyle w:val="TextoNormal"/>
      </w:pPr>
      <w:r>
        <w:t>También entiende que se vulnera el principio de separación de poderes (art. 117 CE), pues son los jueces y tribunales quienes tienen atribuida exclusivamente la potestad de juzgar y hacer ejecutar lo juzgado. Recuerda que los motivos de utilidad pública e interés social en los que justifica la disposición adicional citada la expropiación fueron alegados por la administración y expresamente rechazados por falta de justificación suficiente por la STS de 16 de mayo de 2014. Insiste que la disposición adicional sustrae la posibilidad de que el Tribunal examine los motivos que permiten adoptar la expropiación y elude los motivos concretos y tasados, los requisitos materiales, temporales y formales de obligado cumplimiento previstos en el art. 105.3 LJCA.</w:t>
      </w:r>
    </w:p>
    <w:p w14:paraId="5B47CB8E" w14:textId="77777777" w:rsidR="00F64776" w:rsidRDefault="00F64776" w:rsidP="00F64776">
      <w:pPr>
        <w:pStyle w:val="TextoNormal"/>
      </w:pPr>
    </w:p>
    <w:p w14:paraId="67D961BC" w14:textId="13B3564D" w:rsidR="00F64776" w:rsidRDefault="00F64776" w:rsidP="00F64776">
      <w:pPr>
        <w:pStyle w:val="TextoNormal"/>
      </w:pPr>
      <w:r>
        <w:t>Razona finalmente que el art. 118 CE impone a todos los poderes públicos el respeto a las resoluciones judiciales, pero la disposición adicional soslaya el cumplimiento de la sentencia ya firme, máxime cuando los concretos motivos de utilidad pública o de interés social aludidos en la misma fueron rechazados expresamente por el Tribunal Supremo, lo que supone a juicio de la Sección conculcar también la interdicción de arbitrariedad de los poderes públicos (art. 9.3 CE).</w:t>
      </w:r>
    </w:p>
    <w:p w14:paraId="132FE8FF" w14:textId="77777777" w:rsidR="00F64776" w:rsidRDefault="00F64776" w:rsidP="00F64776">
      <w:pPr>
        <w:pStyle w:val="TextoNormal"/>
      </w:pPr>
    </w:p>
    <w:p w14:paraId="148A192E" w14:textId="18BB588C" w:rsidR="00F64776" w:rsidRDefault="00F64776" w:rsidP="00F64776">
      <w:pPr>
        <w:pStyle w:val="TextoNormal"/>
      </w:pPr>
      <w:r w:rsidRPr="00F64776">
        <w:rPr>
          <w:rStyle w:val="NumeroAFNegritaCaracter"/>
        </w:rPr>
        <w:t>4</w:t>
      </w:r>
      <w:r>
        <w:t>. Por providencia de 24 de octubre de 2023, el Pleno del Tribunal Constitucional acordó, a los efectos que determina el art. 37.1 LOTC, oír al fiscal general del Estado para que, en plazo de diez días, alegue lo que considere conveniente acerca de la admisibilidad de la presente cuestión de inconstitucionalidad, por falta de las condiciones procesales —aplicación previa del precepto cuestionado—.</w:t>
      </w:r>
    </w:p>
    <w:p w14:paraId="5BCC454C" w14:textId="77777777" w:rsidR="00F64776" w:rsidRDefault="00F64776" w:rsidP="00F64776">
      <w:pPr>
        <w:pStyle w:val="TextoNormal"/>
      </w:pPr>
    </w:p>
    <w:p w14:paraId="3B870A04" w14:textId="77777777" w:rsidR="00F64776" w:rsidRDefault="00F64776" w:rsidP="00F64776">
      <w:pPr>
        <w:pStyle w:val="TextoNormal"/>
      </w:pPr>
      <w:r w:rsidRPr="00F64776">
        <w:rPr>
          <w:rStyle w:val="NumeroAFNegritaCaracter"/>
        </w:rPr>
        <w:t>5</w:t>
      </w:r>
      <w:r>
        <w:t>. Mediante escrito registrado el día 24 de noviembre de 2023, el fiscal jefe de la Fiscalía ante el Tribunal Constitucional, por delegación del fiscal general del Estado, presentó sus alegaciones en las que se pronuncia a favor de la inadmisión de la cuestión de inconstitucionalidad.</w:t>
      </w:r>
    </w:p>
    <w:p w14:paraId="520B8036" w14:textId="77777777" w:rsidR="00F64776" w:rsidRDefault="00F64776" w:rsidP="00F64776">
      <w:pPr>
        <w:pStyle w:val="TextoNormal"/>
      </w:pPr>
    </w:p>
    <w:p w14:paraId="06C4DD70" w14:textId="77777777" w:rsidR="00F64776" w:rsidRDefault="00F64776" w:rsidP="00F64776">
      <w:pPr>
        <w:pStyle w:val="TextoNormal"/>
      </w:pPr>
      <w:r>
        <w:t>El fiscal tras relatar los acontecimientos procesales previos al planteamiento de la cuestión de inconstitucionalidad y el contenido del auto en la que se plantea refiere que el órgano promotor de la cuestión, como consecuencia de la disposición adicional sexagésima novena de la Ley de presupuestos generales del Estado para 2016, dictó el auto de 16 de mayo de 2018 —cuyo contenido es glosado por el fiscal— por el que acordaba el archivo de la ejecución.</w:t>
      </w:r>
    </w:p>
    <w:p w14:paraId="61BD58FA" w14:textId="77777777" w:rsidR="00F64776" w:rsidRDefault="00F64776" w:rsidP="00F64776">
      <w:pPr>
        <w:pStyle w:val="TextoNormal"/>
      </w:pPr>
    </w:p>
    <w:p w14:paraId="6BE2ABBA" w14:textId="77777777" w:rsidR="00F64776" w:rsidRDefault="00F64776" w:rsidP="00F64776">
      <w:pPr>
        <w:pStyle w:val="TextoNormal"/>
      </w:pPr>
      <w:r>
        <w:t>Recuerda que el recurso de reposición frente a dicho auto fue estimado dando lugar a la apertura del correspondiente incidente a los efectos de determinar la indemnización procedente por la expropiación de los derechos de ejecución. Y, en ejecución de dicho auto, se dictaron dos providencias de 3 de febrero de 2021 y 5 de abril de 2023 por las que se requiere a la parte afectada por la expropiación para que presente la reclamación indemnizatoria en la pieza de indemnización abierta.</w:t>
      </w:r>
    </w:p>
    <w:p w14:paraId="2CDEBD78" w14:textId="77777777" w:rsidR="00F64776" w:rsidRDefault="00F64776" w:rsidP="00F64776">
      <w:pPr>
        <w:pStyle w:val="TextoNormal"/>
      </w:pPr>
    </w:p>
    <w:p w14:paraId="1E54BF0E" w14:textId="77777777" w:rsidR="00F64776" w:rsidRDefault="00F64776" w:rsidP="00F64776">
      <w:pPr>
        <w:pStyle w:val="TextoNormal"/>
      </w:pPr>
      <w:r>
        <w:t xml:space="preserve">Considera que, con anterioridad a plantearse la cuestión de inconstitucionalidad, la norma cuestionada constituyó el fundamento para que el órgano judicial archivara la ejecución sin ningún tipo de reserva o condicionalidad y diera por buena la expropiación </w:t>
      </w:r>
      <w:r w:rsidRPr="00F64776">
        <w:rPr>
          <w:i/>
        </w:rPr>
        <w:t>ex lege</w:t>
      </w:r>
      <w:r>
        <w:t xml:space="preserve"> acordada. Indica que posteriormente ratificó la aplicación de dicha disposición al dictar el auto de 7 de noviembre de 2019, pues no solo rechaza la petición de demolición del inmueble, sino que reconoce la expropiación decretada </w:t>
      </w:r>
      <w:r w:rsidRPr="00F64776">
        <w:rPr>
          <w:i/>
        </w:rPr>
        <w:t>ex lege</w:t>
      </w:r>
      <w:r>
        <w:t>; asimismo, señala el procedimiento a seguir para la fijación de la indemnización expropiatoria, y revoca el archivo decretado para determinar la indemnización. Por ello concluye que la norma cuestionada ha sido aplicada por el órgano judicial previamente a plantear su duda de constitucionalidad.</w:t>
      </w:r>
    </w:p>
    <w:p w14:paraId="066B4110" w14:textId="77777777" w:rsidR="00F64776" w:rsidRDefault="00F64776" w:rsidP="00F64776">
      <w:pPr>
        <w:pStyle w:val="TextoNormal"/>
      </w:pPr>
    </w:p>
    <w:p w14:paraId="40861702" w14:textId="77777777" w:rsidR="00F64776" w:rsidRDefault="00F64776" w:rsidP="00F64776">
      <w:pPr>
        <w:pStyle w:val="TextoNormal"/>
      </w:pPr>
      <w:r>
        <w:t>Las decisiones que tomó el órgano judicial evidencian que asumió la expropiación que decretaba la norma cuestionada y por ello excluía la demolición de la biblioteca. Consecuentemente no se respetó el carácter prejudicial de la cuestión de inconstitucionalidad (ATC 220/2012, de 27 de noviembre, FJ 3), por lo que es evidente que tampoco se ha formulado adecuadamente el juicio de relevancia.</w:t>
      </w:r>
    </w:p>
    <w:p w14:paraId="35125ADD" w14:textId="77777777" w:rsidR="00F64776" w:rsidRDefault="00F64776" w:rsidP="00F64776">
      <w:pPr>
        <w:pStyle w:val="TextoNormal"/>
      </w:pPr>
    </w:p>
    <w:p w14:paraId="6B8969B6" w14:textId="4D277A2F" w:rsidR="00F64776" w:rsidRDefault="00F64776" w:rsidP="00F64776">
      <w:pPr>
        <w:pStyle w:val="TextoNormal"/>
      </w:pPr>
      <w:r>
        <w:t>No se opone a lo anterior la justificación que, en el auto de planteamiento de la cuestión de inconstitucionalidad, dio a la causa de oposición del planteamiento de la cuestión formulada por el abogado del Estado, al contradecirse con el contenido de los autos de 16 de mayo de 2018 y 7 de noviembre de 2019, pues no procedería fijar la indemnización y no se hubieran evacuado los escritos en torno a su determinación, si el órgano judicial no hubiera aplicado la disposición expropiatoria para desestimar la demolición de la biblioteca.</w:t>
      </w:r>
    </w:p>
    <w:p w14:paraId="27353F72" w14:textId="77777777" w:rsidR="00F64776" w:rsidRDefault="00F64776" w:rsidP="00F64776">
      <w:pPr>
        <w:pStyle w:val="TextoNormal"/>
      </w:pPr>
    </w:p>
    <w:p w14:paraId="3BDF1EDF" w14:textId="77777777" w:rsidR="00F64776" w:rsidRDefault="00F64776" w:rsidP="00F64776">
      <w:pPr>
        <w:pStyle w:val="TextoNormalNegritaCentrado"/>
        <w:keepNext/>
      </w:pPr>
      <w:r>
        <w:t>II. Fundamentos jurídicos</w:t>
      </w:r>
    </w:p>
    <w:p w14:paraId="7C358226" w14:textId="2BCEE976" w:rsidR="00F64776" w:rsidRDefault="00F64776" w:rsidP="00F64776">
      <w:pPr>
        <w:pStyle w:val="TextoNormalNegritaCentrado"/>
        <w:keepNext/>
      </w:pPr>
    </w:p>
    <w:p w14:paraId="63ED9AF1" w14:textId="77777777" w:rsidR="00F64776" w:rsidRDefault="00F64776" w:rsidP="00F64776">
      <w:pPr>
        <w:pStyle w:val="TextoNormal"/>
      </w:pPr>
      <w:r w:rsidRPr="00F64776">
        <w:rPr>
          <w:rStyle w:val="NumeroAFNegritaCaracter"/>
        </w:rPr>
        <w:t>1</w:t>
      </w:r>
      <w:r>
        <w:t>. La Sección Segunda de la Sala de lo Contencioso-Administrativo del Tribunal Superior de Justicia de Canarias plantea cuestión de inconstitucionalidad en relación con la disposición adicional sexagésima novena de la Ley 48/2015, de 29 de octubre, de presupuestos generales del Estado del año 2016, por posible vulneración de los arts. 24.1, 117.3 y 118 CE, en relación con los arts. 9.3 y 33.3 CE.</w:t>
      </w:r>
    </w:p>
    <w:p w14:paraId="06DDD25B" w14:textId="77777777" w:rsidR="00F64776" w:rsidRDefault="00F64776" w:rsidP="00F64776">
      <w:pPr>
        <w:pStyle w:val="TextoNormal"/>
      </w:pPr>
    </w:p>
    <w:p w14:paraId="528B4A2F" w14:textId="77777777" w:rsidR="00F64776" w:rsidRDefault="00F64776" w:rsidP="00F64776">
      <w:pPr>
        <w:pStyle w:val="TextoNormal"/>
      </w:pPr>
      <w:r>
        <w:t>La disposición adicional sexagésima novena de la Ley de presupuestos generales del Estado para el año 2016, que se intitula “Declaración de utilidad pública e interés social en relación con la Biblioteca Pública de Las Palmas”, tiene el siguiente contenido:</w:t>
      </w:r>
    </w:p>
    <w:p w14:paraId="3FFBD3C9" w14:textId="77777777" w:rsidR="00F64776" w:rsidRDefault="00F64776" w:rsidP="00F64776">
      <w:pPr>
        <w:pStyle w:val="TextoNormal"/>
      </w:pPr>
    </w:p>
    <w:p w14:paraId="7012ADF5" w14:textId="77777777" w:rsidR="00F64776" w:rsidRDefault="00F64776" w:rsidP="00F64776">
      <w:pPr>
        <w:pStyle w:val="TextoNormal"/>
      </w:pPr>
      <w:r>
        <w:t>“Se declara la utilidad pública e interés social de la expropiación de los derechos de ejecución de las resoluciones jurisdiccionales relacionadas con la demolición de la Biblioteca Pública del Estado en Las Palmas de Gran Canaria, atendiendo a la titularidad pública del solar y de la construcción, a su calificación legal como bien de interés cultural y a su afectación a la preservación de la igualdad de todos los ciudadanos en las condiciones de acceso a la cultura y al derecho a la educación, a los efectos previstos en la Ley de 16 de diciembre de 1954 de expropiación forzosa”.</w:t>
      </w:r>
    </w:p>
    <w:p w14:paraId="340DE87D" w14:textId="77777777" w:rsidR="00F64776" w:rsidRDefault="00F64776" w:rsidP="00F64776">
      <w:pPr>
        <w:pStyle w:val="TextoNormal"/>
      </w:pPr>
    </w:p>
    <w:p w14:paraId="479E2073" w14:textId="77777777" w:rsidR="00F64776" w:rsidRDefault="00F64776" w:rsidP="00F64776">
      <w:pPr>
        <w:pStyle w:val="TextoNormal"/>
      </w:pPr>
      <w:r>
        <w:t>El órgano judicial, tras reconocer que es posible que la expropiación se produzca por ley, considera que, al haberse declarado la utilidad pública de la expropiación forzosa por la disposición adicional impugnada, se ha afectado al derecho de defensa (art. 24.1 CE), a la separación de poderes (art. 117 CE), soslayando el cumplimiento de una sentencia firme que excluyó la concurrencia de concretos motivos de utilidad pública o de interés social (arts. 118, 33.3 y 9.3 CE).</w:t>
      </w:r>
    </w:p>
    <w:p w14:paraId="44A3E3D2" w14:textId="77777777" w:rsidR="00F64776" w:rsidRDefault="00F64776" w:rsidP="00F64776">
      <w:pPr>
        <w:pStyle w:val="TextoNormal"/>
      </w:pPr>
    </w:p>
    <w:p w14:paraId="35A8BF5A" w14:textId="1E01C0FE" w:rsidR="00F64776" w:rsidRDefault="00F64776" w:rsidP="00F64776">
      <w:pPr>
        <w:pStyle w:val="TextoNormal"/>
      </w:pPr>
      <w:r>
        <w:t>El fiscal general del Estado, en el trámite previsto en el art. 37.1 de la Ley Orgánica del Tribunal Constitucional (LOTC), se ha opuesto a la admisión de la presente cuestión de inconstitucionalidad por entender que no se ha respetado el carácter prejudicial de la cuestión de constitucionalidad y consiguientemente no haberse formulado adecuadamente el juicio de relevancia exigido por el art. 35 LOTC.</w:t>
      </w:r>
    </w:p>
    <w:p w14:paraId="20E86033" w14:textId="77777777" w:rsidR="00F64776" w:rsidRDefault="00F64776" w:rsidP="00F64776">
      <w:pPr>
        <w:pStyle w:val="TextoNormal"/>
      </w:pPr>
    </w:p>
    <w:p w14:paraId="28E656DC" w14:textId="77777777" w:rsidR="00F64776" w:rsidRDefault="00F64776" w:rsidP="00F64776">
      <w:pPr>
        <w:pStyle w:val="TextoNormal"/>
      </w:pPr>
      <w:r w:rsidRPr="00F64776">
        <w:rPr>
          <w:rStyle w:val="NumeroAFNegritaCaracter"/>
        </w:rPr>
        <w:t>2</w:t>
      </w:r>
      <w:r>
        <w:t>. Conforme a lo dispuesto en el art. 37.1 LOTC, este tribunal puede rechazar en trámite de admisión, mediante auto y con la sola audiencia del fiscal general del Estado, aquellas cuestiones de inconstitucionalidad que adolezcan de la falta de los necesarios requisitos procesales o que fueren notoriamente infundadas.</w:t>
      </w:r>
    </w:p>
    <w:p w14:paraId="1B662670" w14:textId="77777777" w:rsidR="00F64776" w:rsidRDefault="00F64776" w:rsidP="00F64776">
      <w:pPr>
        <w:pStyle w:val="TextoNormal"/>
      </w:pPr>
    </w:p>
    <w:p w14:paraId="112AB7FE" w14:textId="77777777" w:rsidR="00F64776" w:rsidRDefault="00F64776" w:rsidP="00F64776">
      <w:pPr>
        <w:pStyle w:val="TextoNormal"/>
      </w:pPr>
      <w:r>
        <w:t>Procede examinar la inadecuada formulación del juicio de relevancia efectuado por el órgano judicial por haber aplicado previamente la norma cuestionada y que ha sido puesta de manifiesto en las alegaciones efectuadas en este proceso constitucional por el Ministerio Fiscal, como también lo pusieron de manifiesto, en el procedimiento seguido ante el órgano judicial promovente de la cuestión de inconstitucionalidad, tanto el abogado del Estado como la representación del Ayuntamiento de las Palmas de Gran Canaria.</w:t>
      </w:r>
    </w:p>
    <w:p w14:paraId="112009B6" w14:textId="77777777" w:rsidR="00F64776" w:rsidRDefault="00F64776" w:rsidP="00F64776">
      <w:pPr>
        <w:pStyle w:val="TextoNormal"/>
      </w:pPr>
    </w:p>
    <w:p w14:paraId="48C7DD65" w14:textId="77777777" w:rsidR="00F64776" w:rsidRDefault="00F64776" w:rsidP="00F64776">
      <w:pPr>
        <w:pStyle w:val="TextoNormal"/>
      </w:pPr>
      <w:r>
        <w:t>Es preciso volver sobre los antecedentes a fin de verificar si la disposición adicional sexagésima novena de la Ley de presupuestos generales del Estado para el año 2016 fue o no aplicada por el órgano judicial y consiguientemente no se formuló correctamente el juicio de relevancia del precepto.</w:t>
      </w:r>
    </w:p>
    <w:p w14:paraId="2FDADA53" w14:textId="77777777" w:rsidR="00F64776" w:rsidRDefault="00F64776" w:rsidP="00F64776">
      <w:pPr>
        <w:pStyle w:val="TextoNormal"/>
      </w:pPr>
    </w:p>
    <w:p w14:paraId="150F17D6" w14:textId="77777777" w:rsidR="00F64776" w:rsidRDefault="00F64776" w:rsidP="00F64776">
      <w:pPr>
        <w:pStyle w:val="TextoNormal"/>
      </w:pPr>
      <w:r>
        <w:t>En tal sentido, cuando se dictó la Ley de presupuestos generales del Estado para el año 2016, la Sección Segunda de la Sala de lo Contencioso-Administrativo del Tribunal Superior de Justicia de Canarias se encontraba tramitando el procedimiento de ejecución de la sentencia de 10 de octubre de 2002, dictada en el recurso contencioso administrativo núm. 814-1998, confirmada por la sentencia dictada el 4 de julio de 2006 por la Sala de lo Contencioso-Administrativo del Tribunal Supremo, del que resultaba la obligación de proceder a la demolición de la referida biblioteca, y ello, tras haberse desestimado dos incidentes de inejecución planteados por el Ayuntamiento de las Palmas de Gran Canaria.</w:t>
      </w:r>
    </w:p>
    <w:p w14:paraId="7722A23A" w14:textId="77777777" w:rsidR="00F64776" w:rsidRDefault="00F64776" w:rsidP="00F64776">
      <w:pPr>
        <w:pStyle w:val="TextoNormal"/>
      </w:pPr>
    </w:p>
    <w:p w14:paraId="708125A2" w14:textId="77777777" w:rsidR="00F64776" w:rsidRDefault="00F64776" w:rsidP="00F64776">
      <w:pPr>
        <w:pStyle w:val="TextoNormal"/>
      </w:pPr>
      <w:r>
        <w:t>Como se ha indicado, la disposición adicional cuestionada declaró la utilidad pública e interés social de la expropiación de los derechos de ejecución de las resoluciones jurisdiccionales relacionadas con la demolición de la Biblioteca Pública del Estado en Las Palmas de Gran Canaria, a los efectos previstos en la Ley de 16 de diciembre de 1954 sobre expropiación forzosa.</w:t>
      </w:r>
    </w:p>
    <w:p w14:paraId="4531ACFE" w14:textId="77777777" w:rsidR="00F64776" w:rsidRDefault="00F64776" w:rsidP="00F64776">
      <w:pPr>
        <w:pStyle w:val="TextoNormal"/>
      </w:pPr>
    </w:p>
    <w:p w14:paraId="547B23C7" w14:textId="77777777" w:rsidR="00F64776" w:rsidRDefault="00F64776" w:rsidP="00F64776">
      <w:pPr>
        <w:pStyle w:val="TextoNormal"/>
      </w:pPr>
      <w:r>
        <w:t>El Ayuntamiento de Las Palmas de Gran Canaria mediante dos escritos —de 16 de noviembre de 2016 y 20 de enero de 2017— puso en conocimiento del órgano judicial la aprobación de la referida disposición adicional sexagésima novena. Ante dicha comunicación, el órgano judicial promovente de la cuestión, aplicó la norma —“sin ningún tipo de reserva o condicionalidad”, como afirma el fiscal—. Esto es, sin cuestionar la constitucionalidad de la declaración de expropiatoria que se contenía en la disposición adicional, acordó por auto de 16 de mayo de 2018 el archivo del procedimiento de ejecución de sentencia y consiguientemente rechazó la demolición del inmueble que la comunidad de propietarios del edificio San Telmo pretendía. El reconocimiento de la validez y eficacia de la disposición adicional —luego cuestionada— llevó a que el órgano judicial orientara inicialmente la expropiación por los trámites de la Ley 16 de diciembre de 1954, de expropiación forzosa, y archivara el procedimiento de ejecución de las sentencias dictadas.</w:t>
      </w:r>
    </w:p>
    <w:p w14:paraId="292A0654" w14:textId="77777777" w:rsidR="00F64776" w:rsidRDefault="00F64776" w:rsidP="00F64776">
      <w:pPr>
        <w:pStyle w:val="TextoNormal"/>
      </w:pPr>
    </w:p>
    <w:p w14:paraId="5E77FC51" w14:textId="77777777" w:rsidR="00F64776" w:rsidRDefault="00F64776" w:rsidP="00F64776">
      <w:pPr>
        <w:pStyle w:val="TextoNormal"/>
      </w:pPr>
      <w:r>
        <w:t>En tal sentido indicó que “[d]e conformidad con lo dispuesto en la disposición adicional sexagésima novena de la Ley 48/2015, de 29 de octubre de presupuestos generales del Estado para el año 2016, que antes hemos trascrito, procede el archivo de la presente ejecución de sentencia a fin de que se sigan los trámites establecidos en la misma”.</w:t>
      </w:r>
    </w:p>
    <w:p w14:paraId="6F051B58" w14:textId="77777777" w:rsidR="00F64776" w:rsidRDefault="00F64776" w:rsidP="00F64776">
      <w:pPr>
        <w:pStyle w:val="TextoNormal"/>
      </w:pPr>
    </w:p>
    <w:p w14:paraId="3AB9B846" w14:textId="77777777" w:rsidR="00F64776" w:rsidRDefault="00F64776" w:rsidP="00F64776">
      <w:pPr>
        <w:pStyle w:val="TextoNormal"/>
      </w:pPr>
      <w:r>
        <w:t>De este modo es claro que dio validez a la declaración de utilidad pública e interés social que la norma contenía, pues de lo contrario, antes de proceder al rechazo de la demolición del edificio como consecuencia de la disposición adicional expropiatoria y al correspondiente archivo del procedimiento de ejecución por aplicación de la misma, hubiera iniciado los trámites para proceder al planteamiento de su inconstitucionalidad.</w:t>
      </w:r>
    </w:p>
    <w:p w14:paraId="6722DE65" w14:textId="77777777" w:rsidR="00F64776" w:rsidRDefault="00F64776" w:rsidP="00F64776">
      <w:pPr>
        <w:pStyle w:val="TextoNormal"/>
      </w:pPr>
    </w:p>
    <w:p w14:paraId="56B07A94" w14:textId="77777777" w:rsidR="00F64776" w:rsidRDefault="00F64776" w:rsidP="00F64776">
      <w:pPr>
        <w:pStyle w:val="TextoNormal"/>
      </w:pPr>
      <w:r>
        <w:t>Pero no se detuvo allí la aplicación de la norma, pues cuando frente a dicha decisión de archivo, la comunidad de propietarios interpuso el recurso de reposición, instando la revocación del auto, para que la tramitación del procedimiento expropiatorio tuviera lugar en el marco del procedimiento de ejecución, la Sección Segunda de la Sala de lo Contencioso-Administrativo del Tribunal Superior de Justicia de Canarias, al estimar el recurso de reposición en virtud del auto de 7 de noviembre de 2019, sustentó nuevamente su decisión en la validez de la disposición adicional luego cuestionada.</w:t>
      </w:r>
    </w:p>
    <w:p w14:paraId="0D4101B0" w14:textId="77777777" w:rsidR="00F64776" w:rsidRDefault="00F64776" w:rsidP="00F64776">
      <w:pPr>
        <w:pStyle w:val="TextoNormal"/>
      </w:pPr>
    </w:p>
    <w:p w14:paraId="69C0FCDB" w14:textId="77777777" w:rsidR="00F64776" w:rsidRDefault="00F64776" w:rsidP="00F64776">
      <w:pPr>
        <w:pStyle w:val="TextoNormal"/>
      </w:pPr>
      <w:r>
        <w:t>De este modo, decidió revocar el archivo del procedimiento de ejecución al entender que “estamos ante un supuesto especial de expropiación” y “una vez que la Administración del Estado ha declarado, mediante ley, la utilidad pública e interés social de la expropiación de los derechos de la ejecución de la sentencia dictada en estas actuaciones (quedando determinado qué derecho en concreto es el que se expropia) la siguiente fase es la determinación de la indemnización correspondiente”.</w:t>
      </w:r>
    </w:p>
    <w:p w14:paraId="4E66D383" w14:textId="77777777" w:rsidR="00F64776" w:rsidRDefault="00F64776" w:rsidP="00F64776">
      <w:pPr>
        <w:pStyle w:val="TextoNormal"/>
      </w:pPr>
    </w:p>
    <w:p w14:paraId="2D9D6869" w14:textId="77777777" w:rsidR="00F64776" w:rsidRDefault="00F64776" w:rsidP="00F64776">
      <w:pPr>
        <w:pStyle w:val="TextoNormal"/>
      </w:pPr>
      <w:r>
        <w:t>Esto es, el órgano judicial dio nuevamente por válida —por segunda vez— la expropiación realizada por ministerio de la ley y abrió paso a la determinación de la indemnización con fundamento en la misma.</w:t>
      </w:r>
    </w:p>
    <w:p w14:paraId="4EF4F688" w14:textId="77777777" w:rsidR="00F64776" w:rsidRDefault="00F64776" w:rsidP="00F64776">
      <w:pPr>
        <w:pStyle w:val="TextoNormal"/>
      </w:pPr>
    </w:p>
    <w:p w14:paraId="352AD8D1" w14:textId="77777777" w:rsidR="00F64776" w:rsidRDefault="00F64776" w:rsidP="00F64776">
      <w:pPr>
        <w:pStyle w:val="TextoNormal"/>
      </w:pPr>
      <w:r>
        <w:t>Es por ello por lo que puede concluirse que antes de dictar el auto de planteamiento de la cuestión de inconstitucionalidad el órgano judicial aplicó la norma y procedió inicialmente al archivo de la ejecución de la sentencia y consiguientemente de las actuaciones concernientes a la demolición de la biblioteca pública. Posteriormente, volvió a aplicar la norma al revocar el archivo y abrir trámite incidental para fijar la correspondiente indemnización, pero ahora en el marco de lo que el órgano judicial consideró un supuesto especial de expropiación previsto en el art. 18.2 LOPJ, al que dio virtualidad jurídica y constitucional, pues de otro modo, no podría haber iniciado el procedimiento de determinación de la indemnización.</w:t>
      </w:r>
    </w:p>
    <w:p w14:paraId="1190BDEC" w14:textId="77777777" w:rsidR="00F64776" w:rsidRDefault="00F64776" w:rsidP="00F64776">
      <w:pPr>
        <w:pStyle w:val="TextoNormal"/>
      </w:pPr>
    </w:p>
    <w:p w14:paraId="7CD144A7" w14:textId="7810811F" w:rsidR="00F64776" w:rsidRDefault="00F64776" w:rsidP="00F64776">
      <w:pPr>
        <w:pStyle w:val="TextoNormal"/>
      </w:pPr>
      <w:r>
        <w:t xml:space="preserve">En suma, el auto de planteamiento de la cuestión se dicta tras haberse aplicado la norma cuestionada en el proceso </w:t>
      </w:r>
      <w:r w:rsidRPr="00F64776">
        <w:rPr>
          <w:i/>
        </w:rPr>
        <w:t>a quo</w:t>
      </w:r>
      <w:r>
        <w:t>, por lo que es posible afirmar que la actuación del órgano promotor “ignora el carácter eminentemente prejudicial de la cuestión de inconstitucionalidad en nuestro ordenamiento jurídico”, cuya finalidad es “la de suspender el procedimiento y esperar a la respuesta de este tribunal para la aplicación de la norma” (ATC 134/2006, de 4 de abril, FJ 2), con la consecuencia de que, no respetándose tal exigencia, “tampoco se ha formulado adecuadamente el juicio de relevancia pues mal puede realizarse este en relación con un precepto que ya se aplicó en una resolución previa” (ATC 184/2009, de 15 de junio, FJ 2; o ATC 220/2012, de 27 de noviembre, FJ 3).</w:t>
      </w:r>
    </w:p>
    <w:p w14:paraId="41466BD7" w14:textId="77777777" w:rsidR="00F64776" w:rsidRDefault="00F64776" w:rsidP="00F64776">
      <w:pPr>
        <w:pStyle w:val="TextoNormal"/>
      </w:pPr>
    </w:p>
    <w:p w14:paraId="711B9CEE" w14:textId="77777777" w:rsidR="00F64776" w:rsidRDefault="00F64776" w:rsidP="00F64776">
      <w:pPr>
        <w:pStyle w:val="TextoNormal"/>
      </w:pPr>
      <w:r w:rsidRPr="00F64776">
        <w:rPr>
          <w:rStyle w:val="NumeroAFNegritaCaracter"/>
        </w:rPr>
        <w:t>3</w:t>
      </w:r>
      <w:r>
        <w:t>. En definitiva, coincidiendo con las apreciaciones efectuadas por el fiscal ante la Fiscalía del Tribunal Constitucional, ha podido constatarse que lo que hace el órgano judicial es aplicar la norma cuestionada inicialmente para archivar el procedimiento de ejecución y posteriormente para abrir paso a la determinación de la indemnización procedente, de ahí que, en atención a los razonamientos expuestos, hemos de concluir que, en el planteamiento de la actual cuestión de inconstitucionalidad, no se ha respetado debidamente el mandato de suspensión de las actuaciones exigido por el art. 35.3 LOTC, en los términos interpretados por este tribunal, con la consiguiente incidencia de este incumplimiento sobre el juicio de relevancia.</w:t>
      </w:r>
    </w:p>
    <w:p w14:paraId="465A5293" w14:textId="77777777" w:rsidR="00F64776" w:rsidRDefault="00F64776" w:rsidP="00F64776">
      <w:pPr>
        <w:pStyle w:val="TextoNormal"/>
      </w:pPr>
    </w:p>
    <w:p w14:paraId="3E7BD8C8" w14:textId="3FEF406D" w:rsidR="00F64776" w:rsidRDefault="00F64776" w:rsidP="00F64776">
      <w:pPr>
        <w:pStyle w:val="TextoNormal"/>
      </w:pPr>
      <w:r>
        <w:t>El conjunto de las circunstancias descritas, por sí solas y sin necesidad de entrar en el fondo, determinan la inadmisión a trámite de la presente cuestión de inconstitucionalidad, en aplicación de lo dispuesto en el art. 37.1 LOTC.</w:t>
      </w:r>
    </w:p>
    <w:p w14:paraId="5D5DDDC8" w14:textId="77777777" w:rsidR="00F64776" w:rsidRDefault="00F64776" w:rsidP="00F64776">
      <w:pPr>
        <w:pStyle w:val="TextoNormal"/>
      </w:pPr>
    </w:p>
    <w:p w14:paraId="0BFC0E73" w14:textId="77777777" w:rsidR="00F64776" w:rsidRDefault="00F64776" w:rsidP="00F64776">
      <w:pPr>
        <w:pStyle w:val="TextoNormal"/>
      </w:pPr>
      <w:r>
        <w:t>Por lo expuesto, el Pleno</w:t>
      </w:r>
    </w:p>
    <w:p w14:paraId="56561F09" w14:textId="40F18159" w:rsidR="00F64776" w:rsidRDefault="00F64776" w:rsidP="00F64776">
      <w:pPr>
        <w:pStyle w:val="TextoNormal"/>
      </w:pPr>
    </w:p>
    <w:p w14:paraId="3660D42B" w14:textId="77777777" w:rsidR="00F64776" w:rsidRDefault="00F64776" w:rsidP="00F64776">
      <w:pPr>
        <w:pStyle w:val="TextoNormalCentrado"/>
      </w:pPr>
      <w:r>
        <w:t>ACUERDA</w:t>
      </w:r>
    </w:p>
    <w:p w14:paraId="1E9610E5" w14:textId="7E12E825" w:rsidR="00F64776" w:rsidRDefault="00F64776" w:rsidP="00F64776">
      <w:pPr>
        <w:pStyle w:val="TextoNormalCentrado"/>
      </w:pPr>
    </w:p>
    <w:p w14:paraId="6EA6FF64" w14:textId="17A093D8" w:rsidR="00F64776" w:rsidRDefault="00F64776" w:rsidP="00F64776">
      <w:pPr>
        <w:pStyle w:val="TextoNormal"/>
      </w:pPr>
      <w:r>
        <w:t>Inadmitir a trámite la cuestión de inconstitucionalidad núm. 5479-2023 planteada por la Sección Segunda de la Sala de lo Contencioso-Administrativo del Tribunal Superior de Justicia de Canarias.</w:t>
      </w:r>
    </w:p>
    <w:p w14:paraId="744B8F94" w14:textId="77777777" w:rsidR="00F64776" w:rsidRDefault="00F64776" w:rsidP="00F64776">
      <w:pPr>
        <w:pStyle w:val="TextoNormal"/>
      </w:pPr>
    </w:p>
    <w:p w14:paraId="73D0B13A" w14:textId="77777777" w:rsidR="00F64776" w:rsidRDefault="00F64776" w:rsidP="00F64776">
      <w:pPr>
        <w:pStyle w:val="TextoNormal"/>
      </w:pPr>
      <w:r>
        <w:t>Madrid, a doce de diciembre de dos mil veintitrés.</w:t>
      </w:r>
    </w:p>
    <w:p w14:paraId="380654F0" w14:textId="65F5485D" w:rsidR="00F64776" w:rsidRDefault="00F64776">
      <w:pPr>
        <w:spacing w:after="160" w:line="278" w:lineRule="auto"/>
        <w:rPr>
          <w:rFonts w:ascii="Times New Roman" w:eastAsia="Times New Roman" w:hAnsi="Times New Roman" w:cs="Times New Roman"/>
          <w:sz w:val="24"/>
          <w:szCs w:val="24"/>
          <w:lang w:eastAsia="es-ES"/>
        </w:rPr>
      </w:pPr>
      <w:r>
        <w:br w:type="page"/>
      </w:r>
    </w:p>
    <w:p w14:paraId="39C96A78" w14:textId="77777777" w:rsidR="00F64776" w:rsidRDefault="00F64776" w:rsidP="00F64776">
      <w:pPr>
        <w:pStyle w:val="TtuloResolucin"/>
      </w:pPr>
      <w:bookmarkStart w:id="455" w:name="AUTO_2023_670"/>
      <w:r>
        <w:t>AUTO 670/2023, de 18 de diciembre de 2023</w:t>
      </w:r>
    </w:p>
    <w:bookmarkEnd w:id="455"/>
    <w:p w14:paraId="017707DA" w14:textId="77777777" w:rsidR="00F64776" w:rsidRDefault="00F64776" w:rsidP="00F64776">
      <w:pPr>
        <w:pStyle w:val="TtuloResolucin"/>
      </w:pPr>
      <w:r>
        <w:t>Sección Tercera</w:t>
      </w:r>
    </w:p>
    <w:p w14:paraId="00A65305" w14:textId="77777777" w:rsidR="00F64776" w:rsidRDefault="00F64776" w:rsidP="00F64776">
      <w:pPr>
        <w:pStyle w:val="TextoNormalCentrado"/>
      </w:pPr>
      <w:r>
        <w:t>ECLI:ES:TC:2023:670A</w:t>
      </w:r>
    </w:p>
    <w:p w14:paraId="742454F3" w14:textId="30DBF081" w:rsidR="00F64776" w:rsidRDefault="00F64776" w:rsidP="00F64776">
      <w:pPr>
        <w:pStyle w:val="TextoNormalCentrado"/>
      </w:pPr>
    </w:p>
    <w:p w14:paraId="4626F6CA" w14:textId="77777777" w:rsidR="00F64776" w:rsidRDefault="00F64776" w:rsidP="00F64776">
      <w:pPr>
        <w:pStyle w:val="SntesisDescriptiva"/>
      </w:pPr>
      <w:r>
        <w:t>Excms. Srs. doña Inmaculada Montalbán Huertas y doña Laura Díez Bueso.</w:t>
      </w:r>
    </w:p>
    <w:p w14:paraId="20780A3D" w14:textId="382D8A7F" w:rsidR="00F64776" w:rsidRDefault="00F64776" w:rsidP="00F64776">
      <w:pPr>
        <w:pStyle w:val="SntesisDescriptiva"/>
      </w:pPr>
    </w:p>
    <w:p w14:paraId="637B70A0" w14:textId="77777777" w:rsidR="00F64776" w:rsidRDefault="00F64776" w:rsidP="00F64776">
      <w:pPr>
        <w:pStyle w:val="SntesisDescriptiva"/>
      </w:pPr>
      <w:r>
        <w:t>Acepta una abstención en el recurso de amparo 3164-2022, promovido en proceso contencioso administrativo.</w:t>
      </w:r>
    </w:p>
    <w:p w14:paraId="767412DA" w14:textId="5E043BEA" w:rsidR="00F64776" w:rsidRDefault="00F64776" w:rsidP="00F64776">
      <w:pPr>
        <w:pStyle w:val="SntesisDescriptiva"/>
      </w:pPr>
    </w:p>
    <w:p w14:paraId="3C880C04" w14:textId="77777777" w:rsidR="00F64776" w:rsidRDefault="00F64776" w:rsidP="00F64776">
      <w:pPr>
        <w:pStyle w:val="SntesisDescriptiva"/>
      </w:pPr>
    </w:p>
    <w:p w14:paraId="57CEB808" w14:textId="77777777" w:rsidR="00F64776" w:rsidRDefault="00F64776" w:rsidP="00F64776">
      <w:pPr>
        <w:pStyle w:val="SntesisDescriptiva"/>
      </w:pPr>
    </w:p>
    <w:p w14:paraId="4555D1B5" w14:textId="77777777" w:rsidR="00F64776" w:rsidRDefault="00F64776" w:rsidP="00F64776">
      <w:pPr>
        <w:pStyle w:val="TextoNormalNegritaCentrado"/>
      </w:pPr>
      <w:r>
        <w:t>AUTO</w:t>
      </w:r>
    </w:p>
    <w:p w14:paraId="042F4071" w14:textId="23C7DC29" w:rsidR="00F64776" w:rsidRDefault="00F64776" w:rsidP="00F64776">
      <w:pPr>
        <w:pStyle w:val="TextoNormalNegritaCentrado"/>
      </w:pPr>
    </w:p>
    <w:p w14:paraId="6E890104" w14:textId="77777777" w:rsidR="00F64776" w:rsidRDefault="00F64776" w:rsidP="00F64776">
      <w:pPr>
        <w:pStyle w:val="TextoNormalNegritaCentrado"/>
        <w:keepNext/>
      </w:pPr>
      <w:r>
        <w:t>I. Antecedentes</w:t>
      </w:r>
    </w:p>
    <w:p w14:paraId="7C9198EF" w14:textId="78A50A4C" w:rsidR="00F64776" w:rsidRDefault="00F64776" w:rsidP="00F64776">
      <w:pPr>
        <w:pStyle w:val="TextoNormalNegritaCentrado"/>
        <w:keepNext/>
      </w:pPr>
    </w:p>
    <w:p w14:paraId="6AE59FFC" w14:textId="1AD4A9F3" w:rsidR="00F64776" w:rsidRDefault="00F64776" w:rsidP="00F64776">
      <w:pPr>
        <w:pStyle w:val="TextoNormal"/>
      </w:pPr>
      <w:r w:rsidRPr="00F64776">
        <w:rPr>
          <w:rStyle w:val="NumeroAFNegritaCaracter"/>
        </w:rPr>
        <w:t>1</w:t>
      </w:r>
      <w:r>
        <w:t>. Mediante escrito registrado en este tribunal el 4 de mayo de 2022, el procurador de los tribunales don Manuel Garrote Barbón, en nombre y representación de don Pedro Regalado Jiménez Martínez y bajo la dirección del letrado don José de Mier Marfil, formuló demanda de amparo contra las providencias de la Sección Primera de la Sala de lo Contencioso-Administrativo del Tribunal Supremo, en el recurso de casación núm. 3578-2021.</w:t>
      </w:r>
    </w:p>
    <w:p w14:paraId="7359E640" w14:textId="77777777" w:rsidR="00F64776" w:rsidRDefault="00F64776" w:rsidP="00F64776">
      <w:pPr>
        <w:pStyle w:val="TextoNormal"/>
      </w:pPr>
    </w:p>
    <w:p w14:paraId="56406EF9" w14:textId="4D8190F1" w:rsidR="00F64776" w:rsidRDefault="00F64776" w:rsidP="00F64776">
      <w:pPr>
        <w:pStyle w:val="TextoNormal"/>
      </w:pPr>
      <w:r w:rsidRPr="00F64776">
        <w:rPr>
          <w:rStyle w:val="NumeroAFNegritaCaracter"/>
        </w:rPr>
        <w:t>2</w:t>
      </w:r>
      <w:r>
        <w:t>. Por escrito de 1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31775187" w14:textId="77777777" w:rsidR="00F64776" w:rsidRDefault="00F64776" w:rsidP="00F64776">
      <w:pPr>
        <w:pStyle w:val="TextoNormal"/>
      </w:pPr>
    </w:p>
    <w:p w14:paraId="1C5E6EE6" w14:textId="77777777" w:rsidR="00F64776" w:rsidRDefault="00F64776" w:rsidP="00F64776">
      <w:pPr>
        <w:pStyle w:val="TextoNormalNegritaCentrado"/>
        <w:keepNext/>
      </w:pPr>
      <w:r>
        <w:t>II. Fundamentos jurídicos</w:t>
      </w:r>
    </w:p>
    <w:p w14:paraId="398A2516" w14:textId="03BD9DE1" w:rsidR="00F64776" w:rsidRDefault="00F64776" w:rsidP="00F64776">
      <w:pPr>
        <w:pStyle w:val="TextoNormalNegritaCentrado"/>
        <w:keepNext/>
      </w:pPr>
    </w:p>
    <w:p w14:paraId="3DFD5525" w14:textId="47E3670E"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56A80D2E" w14:textId="77777777" w:rsidR="00F64776" w:rsidRDefault="00F64776" w:rsidP="00F64776">
      <w:pPr>
        <w:pStyle w:val="TextoNormal"/>
      </w:pPr>
    </w:p>
    <w:p w14:paraId="77802118" w14:textId="77777777" w:rsidR="00F64776" w:rsidRDefault="00F64776" w:rsidP="00F64776">
      <w:pPr>
        <w:pStyle w:val="TextoNormal"/>
      </w:pPr>
      <w:r>
        <w:t>Por lo expuesto, la Sección</w:t>
      </w:r>
    </w:p>
    <w:p w14:paraId="3040948C" w14:textId="388F9627" w:rsidR="00F64776" w:rsidRDefault="00F64776" w:rsidP="00F64776">
      <w:pPr>
        <w:pStyle w:val="TextoNormal"/>
      </w:pPr>
    </w:p>
    <w:p w14:paraId="3D6FA4DB" w14:textId="77777777" w:rsidR="00F64776" w:rsidRDefault="00F64776" w:rsidP="00F64776">
      <w:pPr>
        <w:pStyle w:val="TextoNormalCentrado"/>
      </w:pPr>
      <w:r>
        <w:t>ACUERDA</w:t>
      </w:r>
    </w:p>
    <w:p w14:paraId="3BCB4DF1" w14:textId="0179EC6C" w:rsidR="00F64776" w:rsidRDefault="00F64776" w:rsidP="00F64776">
      <w:pPr>
        <w:pStyle w:val="TextoNormalCentrado"/>
      </w:pPr>
    </w:p>
    <w:p w14:paraId="7AAA60CF" w14:textId="7550E8D8" w:rsidR="00F64776" w:rsidRDefault="00F64776" w:rsidP="00F64776">
      <w:pPr>
        <w:pStyle w:val="TextoNormal"/>
      </w:pPr>
      <w:r>
        <w:t>Estimar justificada la abstención formulada por el magistrado don César Tolosa Tribiño en el recurso de amparo núm. 3164-2022 y apartarle definitivamente del conocimiento del referido recurso y de todas sus incidencias.</w:t>
      </w:r>
    </w:p>
    <w:p w14:paraId="27389CAA" w14:textId="77777777" w:rsidR="00F64776" w:rsidRDefault="00F64776" w:rsidP="00F64776">
      <w:pPr>
        <w:pStyle w:val="TextoNormal"/>
      </w:pPr>
    </w:p>
    <w:p w14:paraId="0A61C0B0" w14:textId="77777777" w:rsidR="00F64776" w:rsidRDefault="00F64776" w:rsidP="00F64776">
      <w:pPr>
        <w:pStyle w:val="TextoNormal"/>
      </w:pPr>
      <w:r>
        <w:t>Madrid, a dieciocho de diciembre de dos mil veintitrés.</w:t>
      </w:r>
    </w:p>
    <w:p w14:paraId="581EB57B" w14:textId="2D250CBF" w:rsidR="00F64776" w:rsidRDefault="00F64776">
      <w:pPr>
        <w:spacing w:after="160" w:line="278" w:lineRule="auto"/>
        <w:rPr>
          <w:rFonts w:ascii="Times New Roman" w:eastAsia="Times New Roman" w:hAnsi="Times New Roman" w:cs="Times New Roman"/>
          <w:sz w:val="24"/>
          <w:szCs w:val="24"/>
          <w:lang w:eastAsia="es-ES"/>
        </w:rPr>
      </w:pPr>
      <w:r>
        <w:br w:type="page"/>
      </w:r>
    </w:p>
    <w:p w14:paraId="569A93F0" w14:textId="77777777" w:rsidR="00F64776" w:rsidRDefault="00F64776" w:rsidP="00F64776">
      <w:pPr>
        <w:pStyle w:val="TtuloResolucin"/>
      </w:pPr>
      <w:bookmarkStart w:id="456" w:name="AUTO_2023_671"/>
      <w:r>
        <w:t>AUTO 671/2023, de 18 de diciembre de 2023</w:t>
      </w:r>
    </w:p>
    <w:bookmarkEnd w:id="456"/>
    <w:p w14:paraId="4928611C" w14:textId="77777777" w:rsidR="00F64776" w:rsidRDefault="00F64776" w:rsidP="00F64776">
      <w:pPr>
        <w:pStyle w:val="TtuloResolucin"/>
      </w:pPr>
      <w:r>
        <w:t>Sección Tercera</w:t>
      </w:r>
    </w:p>
    <w:p w14:paraId="11D16516" w14:textId="77777777" w:rsidR="00F64776" w:rsidRDefault="00F64776" w:rsidP="00F64776">
      <w:pPr>
        <w:pStyle w:val="TextoNormalCentrado"/>
      </w:pPr>
      <w:r>
        <w:t>ECLI:ES:TC:2023:671A</w:t>
      </w:r>
    </w:p>
    <w:p w14:paraId="15D0DB5A" w14:textId="087BD61A" w:rsidR="00F64776" w:rsidRDefault="00F64776" w:rsidP="00F64776">
      <w:pPr>
        <w:pStyle w:val="TextoNormalCentrado"/>
      </w:pPr>
    </w:p>
    <w:p w14:paraId="16D2227D" w14:textId="77777777" w:rsidR="00F64776" w:rsidRDefault="00F64776" w:rsidP="00F64776">
      <w:pPr>
        <w:pStyle w:val="SntesisDescriptiva"/>
      </w:pPr>
      <w:r>
        <w:t>Excms. Srs. doña Inmaculada Montalbán Huertas y doña Laura Díez Bueso.</w:t>
      </w:r>
    </w:p>
    <w:p w14:paraId="3E743A1C" w14:textId="0BE622CF" w:rsidR="00F64776" w:rsidRDefault="00F64776" w:rsidP="00F64776">
      <w:pPr>
        <w:pStyle w:val="SntesisDescriptiva"/>
      </w:pPr>
    </w:p>
    <w:p w14:paraId="177ECBBC" w14:textId="77777777" w:rsidR="00F64776" w:rsidRDefault="00F64776" w:rsidP="00F64776">
      <w:pPr>
        <w:pStyle w:val="SntesisDescriptiva"/>
      </w:pPr>
      <w:r>
        <w:t>Acepta una abstención en el recurso de amparo 3380-2022, promovido en proceso contencioso administrativo.</w:t>
      </w:r>
    </w:p>
    <w:p w14:paraId="220AABCC" w14:textId="0E6D706D" w:rsidR="00F64776" w:rsidRDefault="00F64776" w:rsidP="00F64776">
      <w:pPr>
        <w:pStyle w:val="SntesisDescriptiva"/>
      </w:pPr>
    </w:p>
    <w:p w14:paraId="0DA0E292" w14:textId="77777777" w:rsidR="00F64776" w:rsidRDefault="00F64776" w:rsidP="00F64776">
      <w:pPr>
        <w:pStyle w:val="SntesisDescriptiva"/>
      </w:pPr>
    </w:p>
    <w:p w14:paraId="319746D5" w14:textId="77777777" w:rsidR="00F64776" w:rsidRDefault="00F64776" w:rsidP="00F64776">
      <w:pPr>
        <w:pStyle w:val="SntesisDescriptiva"/>
      </w:pPr>
    </w:p>
    <w:p w14:paraId="77B618B5" w14:textId="77777777" w:rsidR="00F64776" w:rsidRDefault="00F64776" w:rsidP="00F64776">
      <w:pPr>
        <w:pStyle w:val="TextoNormalNegritaCentrado"/>
      </w:pPr>
      <w:r>
        <w:t>AUTO</w:t>
      </w:r>
    </w:p>
    <w:p w14:paraId="0F40DB54" w14:textId="462AEC3F" w:rsidR="00F64776" w:rsidRDefault="00F64776" w:rsidP="00F64776">
      <w:pPr>
        <w:pStyle w:val="TextoNormalNegritaCentrado"/>
      </w:pPr>
    </w:p>
    <w:p w14:paraId="6968A437" w14:textId="77777777" w:rsidR="00F64776" w:rsidRDefault="00F64776" w:rsidP="00F64776">
      <w:pPr>
        <w:pStyle w:val="TextoNormalNegritaCentrado"/>
        <w:keepNext/>
      </w:pPr>
      <w:r>
        <w:t>I. Antecedentes</w:t>
      </w:r>
    </w:p>
    <w:p w14:paraId="503B5EE4" w14:textId="10B42128" w:rsidR="00F64776" w:rsidRDefault="00F64776" w:rsidP="00F64776">
      <w:pPr>
        <w:pStyle w:val="TextoNormalNegritaCentrado"/>
        <w:keepNext/>
      </w:pPr>
    </w:p>
    <w:p w14:paraId="23FEB825" w14:textId="3F2E634B" w:rsidR="00F64776" w:rsidRDefault="00F64776" w:rsidP="00F64776">
      <w:pPr>
        <w:pStyle w:val="TextoNormal"/>
      </w:pPr>
      <w:r w:rsidRPr="00F64776">
        <w:rPr>
          <w:rStyle w:val="NumeroAFNegritaCaracter"/>
        </w:rPr>
        <w:t>1</w:t>
      </w:r>
      <w:r>
        <w:t>. Mediante escrito registrado en este tribunal el 12 de mayo de 2022, el procurador de los tribunales don José Manuel Saura Estruch, en nombre y representación de la entidad Clavealbir S.L., y bajo la dirección de la letrada doña Berenice María Laporta Sáez, formuló demanda de amparo contra la providencia de la Sección Primera de la Sala de lo Contencioso-Administrativo del Tribunal Supremo, en el recurso de casación núm. 8798-2021.</w:t>
      </w:r>
    </w:p>
    <w:p w14:paraId="3D053BF1" w14:textId="77777777" w:rsidR="00F64776" w:rsidRDefault="00F64776" w:rsidP="00F64776">
      <w:pPr>
        <w:pStyle w:val="TextoNormal"/>
      </w:pPr>
    </w:p>
    <w:p w14:paraId="0A7664CC" w14:textId="22910DC4" w:rsidR="00F64776" w:rsidRDefault="00F64776" w:rsidP="00F64776">
      <w:pPr>
        <w:pStyle w:val="TextoNormal"/>
      </w:pPr>
      <w:r w:rsidRPr="00F64776">
        <w:rPr>
          <w:rStyle w:val="NumeroAFNegritaCaracter"/>
        </w:rPr>
        <w:t>2</w:t>
      </w:r>
      <w:r>
        <w:t>. Por escrito de 1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2A9F69F2" w14:textId="77777777" w:rsidR="00F64776" w:rsidRDefault="00F64776" w:rsidP="00F64776">
      <w:pPr>
        <w:pStyle w:val="TextoNormal"/>
      </w:pPr>
    </w:p>
    <w:p w14:paraId="77FA632C" w14:textId="77777777" w:rsidR="00F64776" w:rsidRDefault="00F64776" w:rsidP="00F64776">
      <w:pPr>
        <w:pStyle w:val="TextoNormalNegritaCentrado"/>
        <w:keepNext/>
      </w:pPr>
      <w:r>
        <w:t>II. Fundamentos jurídicos</w:t>
      </w:r>
    </w:p>
    <w:p w14:paraId="443480D7" w14:textId="2D3F7F10" w:rsidR="00F64776" w:rsidRDefault="00F64776" w:rsidP="00F64776">
      <w:pPr>
        <w:pStyle w:val="TextoNormalNegritaCentrado"/>
        <w:keepNext/>
      </w:pPr>
    </w:p>
    <w:p w14:paraId="3E7C5783" w14:textId="0C637302"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506DC031" w14:textId="77777777" w:rsidR="00F64776" w:rsidRDefault="00F64776" w:rsidP="00F64776">
      <w:pPr>
        <w:pStyle w:val="TextoNormal"/>
      </w:pPr>
    </w:p>
    <w:p w14:paraId="2CCE75D0" w14:textId="77777777" w:rsidR="00F64776" w:rsidRDefault="00F64776" w:rsidP="00F64776">
      <w:pPr>
        <w:pStyle w:val="TextoNormal"/>
      </w:pPr>
      <w:r>
        <w:t>Por lo expuesto, la Sección</w:t>
      </w:r>
    </w:p>
    <w:p w14:paraId="5CE69B2C" w14:textId="15DBD030" w:rsidR="00F64776" w:rsidRDefault="00F64776" w:rsidP="00F64776">
      <w:pPr>
        <w:pStyle w:val="TextoNormal"/>
      </w:pPr>
    </w:p>
    <w:p w14:paraId="458874D2" w14:textId="77777777" w:rsidR="00F64776" w:rsidRDefault="00F64776" w:rsidP="00F64776">
      <w:pPr>
        <w:pStyle w:val="TextoNormalCentrado"/>
      </w:pPr>
      <w:r>
        <w:t>ACUERDA</w:t>
      </w:r>
    </w:p>
    <w:p w14:paraId="17B6002B" w14:textId="3C312C97" w:rsidR="00F64776" w:rsidRDefault="00F64776" w:rsidP="00F64776">
      <w:pPr>
        <w:pStyle w:val="TextoNormalCentrado"/>
      </w:pPr>
    </w:p>
    <w:p w14:paraId="0609CBDF" w14:textId="40DEE701" w:rsidR="00F64776" w:rsidRDefault="00F64776" w:rsidP="00F64776">
      <w:pPr>
        <w:pStyle w:val="TextoNormal"/>
      </w:pPr>
      <w:r>
        <w:t>Estimar justificada la abstención formulada por el magistrado don César Tolosa Tribiño en el recurso de amparo núm. 3380-2022 y apartarle definitivamente del conocimiento del referido recurso y de todas sus incidencias.</w:t>
      </w:r>
    </w:p>
    <w:p w14:paraId="34874522" w14:textId="77777777" w:rsidR="00F64776" w:rsidRDefault="00F64776" w:rsidP="00F64776">
      <w:pPr>
        <w:pStyle w:val="TextoNormal"/>
      </w:pPr>
    </w:p>
    <w:p w14:paraId="52C88D11" w14:textId="77777777" w:rsidR="00F64776" w:rsidRDefault="00F64776" w:rsidP="00F64776">
      <w:pPr>
        <w:pStyle w:val="TextoNormal"/>
      </w:pPr>
      <w:r>
        <w:t>Madrid, a dieciocho de diciembre de dos mil veintitrés.</w:t>
      </w:r>
    </w:p>
    <w:p w14:paraId="7EA0885C" w14:textId="6F9C233C" w:rsidR="00F64776" w:rsidRDefault="00F64776">
      <w:pPr>
        <w:spacing w:after="160" w:line="278" w:lineRule="auto"/>
        <w:rPr>
          <w:rFonts w:ascii="Times New Roman" w:eastAsia="Times New Roman" w:hAnsi="Times New Roman" w:cs="Times New Roman"/>
          <w:sz w:val="24"/>
          <w:szCs w:val="24"/>
          <w:lang w:eastAsia="es-ES"/>
        </w:rPr>
      </w:pPr>
      <w:r>
        <w:br w:type="page"/>
      </w:r>
    </w:p>
    <w:p w14:paraId="66EC568E" w14:textId="77777777" w:rsidR="00F64776" w:rsidRDefault="00F64776" w:rsidP="00F64776">
      <w:pPr>
        <w:pStyle w:val="TtuloResolucin"/>
      </w:pPr>
      <w:bookmarkStart w:id="457" w:name="AUTO_2023_672"/>
      <w:r>
        <w:t>AUTO 672/2023, de 18 de diciembre de 2023</w:t>
      </w:r>
    </w:p>
    <w:bookmarkEnd w:id="457"/>
    <w:p w14:paraId="1CC9F16F" w14:textId="77777777" w:rsidR="00F64776" w:rsidRDefault="00F64776" w:rsidP="00F64776">
      <w:pPr>
        <w:pStyle w:val="TtuloResolucin"/>
      </w:pPr>
      <w:r>
        <w:t>Sección Tercera</w:t>
      </w:r>
    </w:p>
    <w:p w14:paraId="6265DF69" w14:textId="77777777" w:rsidR="00F64776" w:rsidRDefault="00F64776" w:rsidP="00F64776">
      <w:pPr>
        <w:pStyle w:val="TextoNormalCentrado"/>
      </w:pPr>
      <w:r>
        <w:t>ECLI:ES:TC:2023:672A</w:t>
      </w:r>
    </w:p>
    <w:p w14:paraId="51933122" w14:textId="16D0C6C3" w:rsidR="00F64776" w:rsidRDefault="00F64776" w:rsidP="00F64776">
      <w:pPr>
        <w:pStyle w:val="TextoNormalCentrado"/>
      </w:pPr>
    </w:p>
    <w:p w14:paraId="360B84DD" w14:textId="77777777" w:rsidR="00F64776" w:rsidRDefault="00F64776" w:rsidP="00F64776">
      <w:pPr>
        <w:pStyle w:val="SntesisDescriptiva"/>
      </w:pPr>
      <w:r>
        <w:t>Excms. Srs. doña Inmaculada Montalbán Huertas y doña Laura Díez Bueso.</w:t>
      </w:r>
    </w:p>
    <w:p w14:paraId="3DAE36CA" w14:textId="5F78BD85" w:rsidR="00F64776" w:rsidRDefault="00F64776" w:rsidP="00F64776">
      <w:pPr>
        <w:pStyle w:val="SntesisDescriptiva"/>
      </w:pPr>
    </w:p>
    <w:p w14:paraId="5AFAFDC6" w14:textId="77777777" w:rsidR="00F64776" w:rsidRDefault="00F64776" w:rsidP="00F64776">
      <w:pPr>
        <w:pStyle w:val="SntesisDescriptiva"/>
      </w:pPr>
      <w:r>
        <w:t>Acepta una abstención en el recurso de amparo 3773-2022, promovido en proceso contencioso administrativo.</w:t>
      </w:r>
    </w:p>
    <w:p w14:paraId="22700A67" w14:textId="3F4BD36E" w:rsidR="00F64776" w:rsidRDefault="00F64776" w:rsidP="00F64776">
      <w:pPr>
        <w:pStyle w:val="SntesisDescriptiva"/>
      </w:pPr>
    </w:p>
    <w:p w14:paraId="490EC369" w14:textId="77777777" w:rsidR="00F64776" w:rsidRDefault="00F64776" w:rsidP="00F64776">
      <w:pPr>
        <w:pStyle w:val="SntesisDescriptiva"/>
      </w:pPr>
    </w:p>
    <w:p w14:paraId="713E1CDB" w14:textId="77777777" w:rsidR="00F64776" w:rsidRDefault="00F64776" w:rsidP="00F64776">
      <w:pPr>
        <w:pStyle w:val="SntesisDescriptiva"/>
      </w:pPr>
    </w:p>
    <w:p w14:paraId="0612A877" w14:textId="77777777" w:rsidR="00F64776" w:rsidRDefault="00F64776" w:rsidP="00F64776">
      <w:pPr>
        <w:pStyle w:val="TextoNormalNegritaCentrado"/>
      </w:pPr>
      <w:r>
        <w:t>AUTO</w:t>
      </w:r>
    </w:p>
    <w:p w14:paraId="4C76AE8F" w14:textId="001378EC" w:rsidR="00F64776" w:rsidRDefault="00F64776" w:rsidP="00F64776">
      <w:pPr>
        <w:pStyle w:val="TextoNormalNegritaCentrado"/>
      </w:pPr>
    </w:p>
    <w:p w14:paraId="6BCFA580" w14:textId="77777777" w:rsidR="00F64776" w:rsidRDefault="00F64776" w:rsidP="00F64776">
      <w:pPr>
        <w:pStyle w:val="TextoNormalNegritaCentrado"/>
        <w:keepNext/>
      </w:pPr>
      <w:r>
        <w:t>I. Antecedentes</w:t>
      </w:r>
    </w:p>
    <w:p w14:paraId="28BDA6A6" w14:textId="0EAF07EC" w:rsidR="00F64776" w:rsidRDefault="00F64776" w:rsidP="00F64776">
      <w:pPr>
        <w:pStyle w:val="TextoNormalNegritaCentrado"/>
        <w:keepNext/>
      </w:pPr>
    </w:p>
    <w:p w14:paraId="70E1B651" w14:textId="7090F01C" w:rsidR="00F64776" w:rsidRDefault="00F64776" w:rsidP="00F64776">
      <w:pPr>
        <w:pStyle w:val="TextoNormal"/>
      </w:pPr>
      <w:r w:rsidRPr="00F64776">
        <w:rPr>
          <w:rStyle w:val="NumeroAFNegritaCaracter"/>
        </w:rPr>
        <w:t>1</w:t>
      </w:r>
      <w:r>
        <w:t>. Mediante escrito registrado en este tribunal el 26 de mayo de 2022, la procuradora de los tribunales doña María Irene Arnés Bueno, en nombre y representación de don Oldrín José Gaitán Calderón y bajo la dirección del letrado don Manuel Fernando Calvo Pastrana, formuló demanda de amparo contra el auto y la providencia de 5 de abril de 2022, dictados por la Sección Primera de la Sala de lo Contencioso-Administrativo del Tribunal Supremo, en el recurso de queja núm. 495-2021 contra el auto de la Sección Décima de la Sala de lo Contencioso-Administrativo del Tribunal Superior de Justicia de Madrid, en el recurso de apelación núm. 485-2020.</w:t>
      </w:r>
    </w:p>
    <w:p w14:paraId="70A60FEA" w14:textId="77777777" w:rsidR="00F64776" w:rsidRDefault="00F64776" w:rsidP="00F64776">
      <w:pPr>
        <w:pStyle w:val="TextoNormal"/>
      </w:pPr>
    </w:p>
    <w:p w14:paraId="562D6F56" w14:textId="4E4FC22F" w:rsidR="00F64776" w:rsidRDefault="00F64776" w:rsidP="00F64776">
      <w:pPr>
        <w:pStyle w:val="TextoNormal"/>
      </w:pPr>
      <w:r w:rsidRPr="00F64776">
        <w:rPr>
          <w:rStyle w:val="NumeroAFNegritaCaracter"/>
        </w:rPr>
        <w:t>2</w:t>
      </w:r>
      <w:r>
        <w:t>. Por escrito de 1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0303DE35" w14:textId="77777777" w:rsidR="00F64776" w:rsidRDefault="00F64776" w:rsidP="00F64776">
      <w:pPr>
        <w:pStyle w:val="TextoNormal"/>
      </w:pPr>
    </w:p>
    <w:p w14:paraId="35264F5B" w14:textId="77777777" w:rsidR="00F64776" w:rsidRDefault="00F64776" w:rsidP="00F64776">
      <w:pPr>
        <w:pStyle w:val="TextoNormalNegritaCentrado"/>
        <w:keepNext/>
      </w:pPr>
      <w:r>
        <w:t>II. Fundamentos jurídicos</w:t>
      </w:r>
    </w:p>
    <w:p w14:paraId="5E964698" w14:textId="461F2DA1" w:rsidR="00F64776" w:rsidRDefault="00F64776" w:rsidP="00F64776">
      <w:pPr>
        <w:pStyle w:val="TextoNormalNegritaCentrado"/>
        <w:keepNext/>
      </w:pPr>
    </w:p>
    <w:p w14:paraId="05588BB9" w14:textId="3F9DA343"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4A6C78F8" w14:textId="77777777" w:rsidR="00F64776" w:rsidRDefault="00F64776" w:rsidP="00F64776">
      <w:pPr>
        <w:pStyle w:val="TextoNormal"/>
      </w:pPr>
    </w:p>
    <w:p w14:paraId="2690FDB0" w14:textId="77777777" w:rsidR="00F64776" w:rsidRDefault="00F64776" w:rsidP="00F64776">
      <w:pPr>
        <w:pStyle w:val="TextoNormal"/>
      </w:pPr>
      <w:r>
        <w:t>Por lo expuesto, la Sección</w:t>
      </w:r>
    </w:p>
    <w:p w14:paraId="72B2C6F6" w14:textId="4F87C4AD" w:rsidR="00F64776" w:rsidRDefault="00F64776" w:rsidP="00F64776">
      <w:pPr>
        <w:pStyle w:val="TextoNormal"/>
      </w:pPr>
    </w:p>
    <w:p w14:paraId="7458899C" w14:textId="77777777" w:rsidR="00F64776" w:rsidRDefault="00F64776" w:rsidP="00F64776">
      <w:pPr>
        <w:pStyle w:val="TextoNormalCentrado"/>
      </w:pPr>
      <w:r>
        <w:t>ACUERDA</w:t>
      </w:r>
    </w:p>
    <w:p w14:paraId="28AF6F26" w14:textId="6D47BE33" w:rsidR="00F64776" w:rsidRDefault="00F64776" w:rsidP="00F64776">
      <w:pPr>
        <w:pStyle w:val="TextoNormalCentrado"/>
      </w:pPr>
    </w:p>
    <w:p w14:paraId="0627CF5E" w14:textId="404AFB0D" w:rsidR="00F64776" w:rsidRDefault="00F64776" w:rsidP="00F64776">
      <w:pPr>
        <w:pStyle w:val="TextoNormal"/>
      </w:pPr>
      <w:r>
        <w:t>Estimar justificada la abstención formulada por el magistrado don César Tolosa Tribiño en el recurso de amparo núm. 3773-2022 y apartarle definitivamente del conocimiento del referido recurso y de todas sus incidencias.</w:t>
      </w:r>
    </w:p>
    <w:p w14:paraId="3CD056CC" w14:textId="77777777" w:rsidR="00F64776" w:rsidRDefault="00F64776" w:rsidP="00F64776">
      <w:pPr>
        <w:pStyle w:val="TextoNormal"/>
      </w:pPr>
    </w:p>
    <w:p w14:paraId="06D3F0A1" w14:textId="77777777" w:rsidR="00F64776" w:rsidRDefault="00F64776" w:rsidP="00F64776">
      <w:pPr>
        <w:pStyle w:val="TextoNormal"/>
      </w:pPr>
      <w:r>
        <w:t>Madrid, a dieciocho de diciembre de dos mil veintitrés.</w:t>
      </w:r>
    </w:p>
    <w:p w14:paraId="565BCB4B" w14:textId="1A92E8D2" w:rsidR="00F64776" w:rsidRDefault="00F64776">
      <w:pPr>
        <w:spacing w:after="160" w:line="278" w:lineRule="auto"/>
        <w:rPr>
          <w:rFonts w:ascii="Times New Roman" w:eastAsia="Times New Roman" w:hAnsi="Times New Roman" w:cs="Times New Roman"/>
          <w:sz w:val="24"/>
          <w:szCs w:val="24"/>
          <w:lang w:eastAsia="es-ES"/>
        </w:rPr>
      </w:pPr>
      <w:r>
        <w:br w:type="page"/>
      </w:r>
    </w:p>
    <w:p w14:paraId="46F4ECB9" w14:textId="77777777" w:rsidR="00F64776" w:rsidRDefault="00F64776" w:rsidP="00F64776">
      <w:pPr>
        <w:pStyle w:val="TtuloResolucin"/>
      </w:pPr>
      <w:bookmarkStart w:id="458" w:name="AUTO_2023_673"/>
      <w:r>
        <w:t>AUTO 673/2023, de 18 de diciembre de 2023</w:t>
      </w:r>
    </w:p>
    <w:bookmarkEnd w:id="458"/>
    <w:p w14:paraId="3CF40664" w14:textId="77777777" w:rsidR="00F64776" w:rsidRDefault="00F64776" w:rsidP="00F64776">
      <w:pPr>
        <w:pStyle w:val="TtuloResolucin"/>
      </w:pPr>
      <w:r>
        <w:t>Sección Tercera</w:t>
      </w:r>
    </w:p>
    <w:p w14:paraId="7507096F" w14:textId="77777777" w:rsidR="00F64776" w:rsidRDefault="00F64776" w:rsidP="00F64776">
      <w:pPr>
        <w:pStyle w:val="TextoNormalCentrado"/>
      </w:pPr>
      <w:r>
        <w:t>ECLI:ES:TC:2023:673A</w:t>
      </w:r>
    </w:p>
    <w:p w14:paraId="15D22216" w14:textId="397267DB" w:rsidR="00F64776" w:rsidRDefault="00F64776" w:rsidP="00F64776">
      <w:pPr>
        <w:pStyle w:val="TextoNormalCentrado"/>
      </w:pPr>
    </w:p>
    <w:p w14:paraId="205014DB" w14:textId="77777777" w:rsidR="00F64776" w:rsidRDefault="00F64776" w:rsidP="00F64776">
      <w:pPr>
        <w:pStyle w:val="SntesisDescriptiva"/>
      </w:pPr>
      <w:r>
        <w:t>Excms. Srs. doña Inmaculada Montalbán Huertas y doña Laura Díez Bueso.</w:t>
      </w:r>
    </w:p>
    <w:p w14:paraId="08758108" w14:textId="1EE3B2D3" w:rsidR="00F64776" w:rsidRDefault="00F64776" w:rsidP="00F64776">
      <w:pPr>
        <w:pStyle w:val="SntesisDescriptiva"/>
      </w:pPr>
    </w:p>
    <w:p w14:paraId="42622A70" w14:textId="77777777" w:rsidR="00F64776" w:rsidRDefault="00F64776" w:rsidP="00F64776">
      <w:pPr>
        <w:pStyle w:val="SntesisDescriptiva"/>
      </w:pPr>
      <w:r>
        <w:t>Acepta una abstención en el recurso de amparo 3872-2022, promovido en proceso contencioso administrativo.</w:t>
      </w:r>
    </w:p>
    <w:p w14:paraId="68080C68" w14:textId="17D0DAAF" w:rsidR="00F64776" w:rsidRDefault="00F64776" w:rsidP="00F64776">
      <w:pPr>
        <w:pStyle w:val="SntesisDescriptiva"/>
      </w:pPr>
    </w:p>
    <w:p w14:paraId="4B4D6676" w14:textId="77777777" w:rsidR="00F64776" w:rsidRDefault="00F64776" w:rsidP="00F64776">
      <w:pPr>
        <w:pStyle w:val="SntesisDescriptiva"/>
      </w:pPr>
    </w:p>
    <w:p w14:paraId="5C8DC366" w14:textId="77777777" w:rsidR="00F64776" w:rsidRDefault="00F64776" w:rsidP="00F64776">
      <w:pPr>
        <w:pStyle w:val="SntesisDescriptiva"/>
      </w:pPr>
    </w:p>
    <w:p w14:paraId="723CE3E5" w14:textId="77777777" w:rsidR="00F64776" w:rsidRDefault="00F64776" w:rsidP="00F64776">
      <w:pPr>
        <w:pStyle w:val="TextoNormalNegritaCentrado"/>
      </w:pPr>
      <w:r>
        <w:t>AUTO</w:t>
      </w:r>
    </w:p>
    <w:p w14:paraId="50ED0526" w14:textId="2FEB5587" w:rsidR="00F64776" w:rsidRDefault="00F64776" w:rsidP="00F64776">
      <w:pPr>
        <w:pStyle w:val="TextoNormalNegritaCentrado"/>
      </w:pPr>
    </w:p>
    <w:p w14:paraId="5BC634FC" w14:textId="77777777" w:rsidR="00F64776" w:rsidRDefault="00F64776" w:rsidP="00F64776">
      <w:pPr>
        <w:pStyle w:val="TextoNormalNegritaCentrado"/>
        <w:keepNext/>
      </w:pPr>
      <w:r>
        <w:t>I. Antecedentes</w:t>
      </w:r>
    </w:p>
    <w:p w14:paraId="6E09E56D" w14:textId="0CB37618" w:rsidR="00F64776" w:rsidRDefault="00F64776" w:rsidP="00F64776">
      <w:pPr>
        <w:pStyle w:val="TextoNormalNegritaCentrado"/>
        <w:keepNext/>
      </w:pPr>
    </w:p>
    <w:p w14:paraId="11D004A8" w14:textId="241EBD3E" w:rsidR="00F64776" w:rsidRDefault="00F64776" w:rsidP="00F64776">
      <w:pPr>
        <w:pStyle w:val="TextoNormal"/>
      </w:pPr>
      <w:r w:rsidRPr="00F64776">
        <w:rPr>
          <w:rStyle w:val="NumeroAFNegritaCaracter"/>
        </w:rPr>
        <w:t>1</w:t>
      </w:r>
      <w:r>
        <w:t>. Mediante escrito registrado en este tribunal el 31 de mayo de 2022, el procurador de los tribunales don Vicente Ruigómez Ortiz de Mendivil, en nombre y representación de don Edgar Ahauana Hinojosa y bajo la dirección de la letrada doña María Teresa Costero López, formuló demanda de amparo contra la providencia de 25 de mayo de 2022 dictada por el Tribunal Supremo, Sala de lo Contencioso-Administrativo, Sección Primera, en el recurso de casación núm. 2430-2022.</w:t>
      </w:r>
    </w:p>
    <w:p w14:paraId="4A3AD0B3" w14:textId="77777777" w:rsidR="00F64776" w:rsidRDefault="00F64776" w:rsidP="00F64776">
      <w:pPr>
        <w:pStyle w:val="TextoNormal"/>
      </w:pPr>
    </w:p>
    <w:p w14:paraId="4289038A" w14:textId="14A16C33" w:rsidR="00F64776" w:rsidRDefault="00F64776" w:rsidP="00F64776">
      <w:pPr>
        <w:pStyle w:val="TextoNormal"/>
      </w:pPr>
      <w:r w:rsidRPr="00F64776">
        <w:rPr>
          <w:rStyle w:val="NumeroAFNegritaCaracter"/>
        </w:rPr>
        <w:t>2</w:t>
      </w:r>
      <w:r>
        <w:t>. Por escrito de 1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68BE8A42" w14:textId="77777777" w:rsidR="00F64776" w:rsidRDefault="00F64776" w:rsidP="00F64776">
      <w:pPr>
        <w:pStyle w:val="TextoNormal"/>
      </w:pPr>
    </w:p>
    <w:p w14:paraId="1D18B5F7" w14:textId="77777777" w:rsidR="00F64776" w:rsidRDefault="00F64776" w:rsidP="00F64776">
      <w:pPr>
        <w:pStyle w:val="TextoNormalNegritaCentrado"/>
        <w:keepNext/>
      </w:pPr>
      <w:r>
        <w:t>II. Fundamentos jurídicos</w:t>
      </w:r>
    </w:p>
    <w:p w14:paraId="36997151" w14:textId="379D0013" w:rsidR="00F64776" w:rsidRDefault="00F64776" w:rsidP="00F64776">
      <w:pPr>
        <w:pStyle w:val="TextoNormalNegritaCentrado"/>
        <w:keepNext/>
      </w:pPr>
    </w:p>
    <w:p w14:paraId="752CDAAE" w14:textId="091E7BB0"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3522FF91" w14:textId="77777777" w:rsidR="00F64776" w:rsidRDefault="00F64776" w:rsidP="00F64776">
      <w:pPr>
        <w:pStyle w:val="TextoNormal"/>
      </w:pPr>
    </w:p>
    <w:p w14:paraId="5630A1C4" w14:textId="77777777" w:rsidR="00F64776" w:rsidRDefault="00F64776" w:rsidP="00F64776">
      <w:pPr>
        <w:pStyle w:val="TextoNormal"/>
      </w:pPr>
      <w:r>
        <w:t>Por lo expuesto, la Sección</w:t>
      </w:r>
    </w:p>
    <w:p w14:paraId="678B1E74" w14:textId="5F1C27D3" w:rsidR="00F64776" w:rsidRDefault="00F64776" w:rsidP="00F64776">
      <w:pPr>
        <w:pStyle w:val="TextoNormal"/>
      </w:pPr>
    </w:p>
    <w:p w14:paraId="534885E3" w14:textId="77777777" w:rsidR="00F64776" w:rsidRDefault="00F64776" w:rsidP="00F64776">
      <w:pPr>
        <w:pStyle w:val="TextoNormalCentrado"/>
      </w:pPr>
      <w:r>
        <w:t>ACUERDA</w:t>
      </w:r>
    </w:p>
    <w:p w14:paraId="761E2126" w14:textId="7CEAB5AC" w:rsidR="00F64776" w:rsidRDefault="00F64776" w:rsidP="00F64776">
      <w:pPr>
        <w:pStyle w:val="TextoNormalCentrado"/>
      </w:pPr>
    </w:p>
    <w:p w14:paraId="7F5B04BB" w14:textId="61D1648E" w:rsidR="00F64776" w:rsidRDefault="00F64776" w:rsidP="00F64776">
      <w:pPr>
        <w:pStyle w:val="TextoNormal"/>
      </w:pPr>
      <w:r>
        <w:t>Estimar justificada la abstención formulada por el magistrado don César Tolosa Tribiño en el recurso de amparo núm. 3872-2022 y apartarle definitivamente del conocimiento del referido recurso y de todas sus incidencias.</w:t>
      </w:r>
    </w:p>
    <w:p w14:paraId="0A6208B8" w14:textId="77777777" w:rsidR="00F64776" w:rsidRDefault="00F64776" w:rsidP="00F64776">
      <w:pPr>
        <w:pStyle w:val="TextoNormal"/>
      </w:pPr>
    </w:p>
    <w:p w14:paraId="15C17C2A" w14:textId="77777777" w:rsidR="00F64776" w:rsidRDefault="00F64776" w:rsidP="00F64776">
      <w:pPr>
        <w:pStyle w:val="TextoNormal"/>
      </w:pPr>
      <w:r>
        <w:t>Madrid, a dieciocho de diciembre de dos mil veintitrés.</w:t>
      </w:r>
    </w:p>
    <w:p w14:paraId="35D4AD7A" w14:textId="3B0FECD9" w:rsidR="00F64776" w:rsidRDefault="00F64776">
      <w:pPr>
        <w:spacing w:after="160" w:line="278" w:lineRule="auto"/>
        <w:rPr>
          <w:rFonts w:ascii="Times New Roman" w:eastAsia="Times New Roman" w:hAnsi="Times New Roman" w:cs="Times New Roman"/>
          <w:sz w:val="24"/>
          <w:szCs w:val="24"/>
          <w:lang w:eastAsia="es-ES"/>
        </w:rPr>
      </w:pPr>
      <w:r>
        <w:br w:type="page"/>
      </w:r>
    </w:p>
    <w:p w14:paraId="729054D2" w14:textId="77777777" w:rsidR="00F64776" w:rsidRDefault="00F64776" w:rsidP="00F64776">
      <w:pPr>
        <w:pStyle w:val="TtuloResolucin"/>
      </w:pPr>
      <w:bookmarkStart w:id="459" w:name="AUTO_2023_674"/>
      <w:r>
        <w:t>AUTO 674/2023, de 18 de diciembre de 2023</w:t>
      </w:r>
    </w:p>
    <w:bookmarkEnd w:id="459"/>
    <w:p w14:paraId="4463D34A" w14:textId="77777777" w:rsidR="00F64776" w:rsidRDefault="00F64776" w:rsidP="00F64776">
      <w:pPr>
        <w:pStyle w:val="TtuloResolucin"/>
      </w:pPr>
      <w:r>
        <w:t>Sección Tercera</w:t>
      </w:r>
    </w:p>
    <w:p w14:paraId="5ECC685A" w14:textId="77777777" w:rsidR="00F64776" w:rsidRDefault="00F64776" w:rsidP="00F64776">
      <w:pPr>
        <w:pStyle w:val="TextoNormalCentrado"/>
      </w:pPr>
      <w:r>
        <w:t>ECLI:ES:TC:2023:674A</w:t>
      </w:r>
    </w:p>
    <w:p w14:paraId="50C25B7A" w14:textId="4B3C2E63" w:rsidR="00F64776" w:rsidRDefault="00F64776" w:rsidP="00F64776">
      <w:pPr>
        <w:pStyle w:val="TextoNormalCentrado"/>
      </w:pPr>
    </w:p>
    <w:p w14:paraId="6547DE9D" w14:textId="77777777" w:rsidR="00F64776" w:rsidRDefault="00F64776" w:rsidP="00F64776">
      <w:pPr>
        <w:pStyle w:val="SntesisDescriptiva"/>
      </w:pPr>
      <w:r>
        <w:t>Excms. Srs. doña Inmaculada Montalbán Huertas y doña Laura Díez Bueso.</w:t>
      </w:r>
    </w:p>
    <w:p w14:paraId="1445E86D" w14:textId="58F25F89" w:rsidR="00F64776" w:rsidRDefault="00F64776" w:rsidP="00F64776">
      <w:pPr>
        <w:pStyle w:val="SntesisDescriptiva"/>
      </w:pPr>
    </w:p>
    <w:p w14:paraId="18270F20" w14:textId="77777777" w:rsidR="00F64776" w:rsidRDefault="00F64776" w:rsidP="00F64776">
      <w:pPr>
        <w:pStyle w:val="SntesisDescriptiva"/>
      </w:pPr>
      <w:r>
        <w:t>Acepta una abstención en el recurso de amparo 4656-2022, promovido en proceso contencioso administrativo.</w:t>
      </w:r>
    </w:p>
    <w:p w14:paraId="2C3D688A" w14:textId="4AE040E9" w:rsidR="00F64776" w:rsidRDefault="00F64776" w:rsidP="00F64776">
      <w:pPr>
        <w:pStyle w:val="SntesisDescriptiva"/>
      </w:pPr>
    </w:p>
    <w:p w14:paraId="0A595AB6" w14:textId="77777777" w:rsidR="00F64776" w:rsidRDefault="00F64776" w:rsidP="00F64776">
      <w:pPr>
        <w:pStyle w:val="SntesisDescriptiva"/>
      </w:pPr>
    </w:p>
    <w:p w14:paraId="25B45255" w14:textId="77777777" w:rsidR="00F64776" w:rsidRDefault="00F64776" w:rsidP="00F64776">
      <w:pPr>
        <w:pStyle w:val="SntesisDescriptiva"/>
      </w:pPr>
    </w:p>
    <w:p w14:paraId="5A013491" w14:textId="77777777" w:rsidR="00F64776" w:rsidRDefault="00F64776" w:rsidP="00F64776">
      <w:pPr>
        <w:pStyle w:val="TextoNormalNegritaCentrado"/>
      </w:pPr>
      <w:r>
        <w:t>AUTO</w:t>
      </w:r>
    </w:p>
    <w:p w14:paraId="2100ADB4" w14:textId="321490BB" w:rsidR="00F64776" w:rsidRDefault="00F64776" w:rsidP="00F64776">
      <w:pPr>
        <w:pStyle w:val="TextoNormalNegritaCentrado"/>
      </w:pPr>
    </w:p>
    <w:p w14:paraId="3D626210" w14:textId="77777777" w:rsidR="00F64776" w:rsidRDefault="00F64776" w:rsidP="00F64776">
      <w:pPr>
        <w:pStyle w:val="TextoNormalNegritaCentrado"/>
        <w:keepNext/>
      </w:pPr>
      <w:r>
        <w:t>I. Antecedentes</w:t>
      </w:r>
    </w:p>
    <w:p w14:paraId="297DB0E9" w14:textId="55F89B15" w:rsidR="00F64776" w:rsidRDefault="00F64776" w:rsidP="00F64776">
      <w:pPr>
        <w:pStyle w:val="TextoNormalNegritaCentrado"/>
        <w:keepNext/>
      </w:pPr>
    </w:p>
    <w:p w14:paraId="1D1AE4C4" w14:textId="28562AC0" w:rsidR="00F64776" w:rsidRDefault="00F64776" w:rsidP="00F64776">
      <w:pPr>
        <w:pStyle w:val="TextoNormal"/>
      </w:pPr>
      <w:r w:rsidRPr="00F64776">
        <w:rPr>
          <w:rStyle w:val="NumeroAFNegritaCaracter"/>
        </w:rPr>
        <w:t>1</w:t>
      </w:r>
      <w:r>
        <w:t>. Mediante escrito registrado en este tribunal el 27 de junio de 2022, la procuradora de los tribunales doña Elisa María Sainz de Baranda Riva, en nombre y representación de don Naby Yaya Sylla y bajo la dirección del letrado don Miguel Ángel Vizcaíno Galán, formuló demanda de amparo contra el auto de 15 de junio de 2022, dictado por la Sección Primera de la Sala de lo Contencioso-Administrativo del Tribunal Supremo en recurso de queja núm. 222-2021 contra sentencia de la Sala de lo Contencioso-Administrativo del Tribunal Superior de Justicia de Andalucía con sede en Granada, recurso de apelación núm. 2069-2019.</w:t>
      </w:r>
    </w:p>
    <w:p w14:paraId="43F5A181" w14:textId="77777777" w:rsidR="00F64776" w:rsidRDefault="00F64776" w:rsidP="00F64776">
      <w:pPr>
        <w:pStyle w:val="TextoNormal"/>
      </w:pPr>
    </w:p>
    <w:p w14:paraId="0EEF0F5E" w14:textId="58BD5DCD" w:rsidR="00F64776" w:rsidRDefault="00F64776" w:rsidP="00F64776">
      <w:pPr>
        <w:pStyle w:val="TextoNormal"/>
      </w:pPr>
      <w:r w:rsidRPr="00F64776">
        <w:rPr>
          <w:rStyle w:val="NumeroAFNegritaCaracter"/>
        </w:rPr>
        <w:t>2</w:t>
      </w:r>
      <w:r>
        <w:t>. Por escrito de 1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5137637B" w14:textId="77777777" w:rsidR="00F64776" w:rsidRDefault="00F64776" w:rsidP="00F64776">
      <w:pPr>
        <w:pStyle w:val="TextoNormal"/>
      </w:pPr>
    </w:p>
    <w:p w14:paraId="09F69C48" w14:textId="77777777" w:rsidR="00F64776" w:rsidRDefault="00F64776" w:rsidP="00F64776">
      <w:pPr>
        <w:pStyle w:val="TextoNormalNegritaCentrado"/>
        <w:keepNext/>
      </w:pPr>
      <w:r>
        <w:t>II. Fundamentos jurídicos</w:t>
      </w:r>
    </w:p>
    <w:p w14:paraId="20CFFD32" w14:textId="66313CCE" w:rsidR="00F64776" w:rsidRDefault="00F64776" w:rsidP="00F64776">
      <w:pPr>
        <w:pStyle w:val="TextoNormalNegritaCentrado"/>
        <w:keepNext/>
      </w:pPr>
    </w:p>
    <w:p w14:paraId="3E013C2C" w14:textId="2D1BFDCC"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3F79EF8B" w14:textId="77777777" w:rsidR="00F64776" w:rsidRDefault="00F64776" w:rsidP="00F64776">
      <w:pPr>
        <w:pStyle w:val="TextoNormal"/>
      </w:pPr>
    </w:p>
    <w:p w14:paraId="7D4AE065" w14:textId="77777777" w:rsidR="00F64776" w:rsidRDefault="00F64776" w:rsidP="00F64776">
      <w:pPr>
        <w:pStyle w:val="TextoNormal"/>
      </w:pPr>
      <w:r>
        <w:t>Por lo expuesto, la Sección</w:t>
      </w:r>
    </w:p>
    <w:p w14:paraId="209671BB" w14:textId="4695D64B" w:rsidR="00F64776" w:rsidRDefault="00F64776" w:rsidP="00F64776">
      <w:pPr>
        <w:pStyle w:val="TextoNormal"/>
      </w:pPr>
    </w:p>
    <w:p w14:paraId="118FE617" w14:textId="77777777" w:rsidR="00F64776" w:rsidRDefault="00F64776" w:rsidP="00F64776">
      <w:pPr>
        <w:pStyle w:val="TextoNormalCentrado"/>
      </w:pPr>
      <w:r>
        <w:t>ACUERDA</w:t>
      </w:r>
    </w:p>
    <w:p w14:paraId="1B0D9245" w14:textId="72B12972" w:rsidR="00F64776" w:rsidRDefault="00F64776" w:rsidP="00F64776">
      <w:pPr>
        <w:pStyle w:val="TextoNormalCentrado"/>
      </w:pPr>
    </w:p>
    <w:p w14:paraId="429B48DD" w14:textId="5A471C27" w:rsidR="00F64776" w:rsidRDefault="00F64776" w:rsidP="00F64776">
      <w:pPr>
        <w:pStyle w:val="TextoNormal"/>
      </w:pPr>
      <w:r>
        <w:t>Estimar justificada la abstención formulada por el magistrado don César Tolosa Tribiño en el recurso de amparo núm. 4656-2022 y apartarle definitivamente del conocimiento del referido recurso y de todas sus incidencias.</w:t>
      </w:r>
    </w:p>
    <w:p w14:paraId="7DB079CA" w14:textId="77777777" w:rsidR="00F64776" w:rsidRDefault="00F64776" w:rsidP="00F64776">
      <w:pPr>
        <w:pStyle w:val="TextoNormal"/>
      </w:pPr>
    </w:p>
    <w:p w14:paraId="6A7CACF2" w14:textId="77777777" w:rsidR="00F64776" w:rsidRDefault="00F64776" w:rsidP="00F64776">
      <w:pPr>
        <w:pStyle w:val="TextoNormal"/>
      </w:pPr>
      <w:r>
        <w:t>Madrid, a dieciocho de diciembre de dos mil veintitrés.</w:t>
      </w:r>
    </w:p>
    <w:p w14:paraId="41B28CD6" w14:textId="79D1C960" w:rsidR="00F64776" w:rsidRDefault="00F64776">
      <w:pPr>
        <w:spacing w:after="160" w:line="278" w:lineRule="auto"/>
        <w:rPr>
          <w:rFonts w:ascii="Times New Roman" w:eastAsia="Times New Roman" w:hAnsi="Times New Roman" w:cs="Times New Roman"/>
          <w:sz w:val="24"/>
          <w:szCs w:val="24"/>
          <w:lang w:eastAsia="es-ES"/>
        </w:rPr>
      </w:pPr>
      <w:r>
        <w:br w:type="page"/>
      </w:r>
    </w:p>
    <w:p w14:paraId="662ECE1E" w14:textId="77777777" w:rsidR="00F64776" w:rsidRDefault="00F64776" w:rsidP="00F64776">
      <w:pPr>
        <w:pStyle w:val="TtuloResolucin"/>
      </w:pPr>
      <w:bookmarkStart w:id="460" w:name="AUTO_2023_675"/>
      <w:r>
        <w:t>AUTO 675/2023, de 18 de diciembre de 2023</w:t>
      </w:r>
    </w:p>
    <w:bookmarkEnd w:id="460"/>
    <w:p w14:paraId="475DE9D2" w14:textId="77777777" w:rsidR="00F64776" w:rsidRDefault="00F64776" w:rsidP="00F64776">
      <w:pPr>
        <w:pStyle w:val="TtuloResolucin"/>
      </w:pPr>
      <w:r>
        <w:t>Sección Tercera</w:t>
      </w:r>
    </w:p>
    <w:p w14:paraId="504C6652" w14:textId="77777777" w:rsidR="00F64776" w:rsidRDefault="00F64776" w:rsidP="00F64776">
      <w:pPr>
        <w:pStyle w:val="TextoNormalCentrado"/>
      </w:pPr>
      <w:r>
        <w:t>ECLI:ES:TC:2023:675A</w:t>
      </w:r>
    </w:p>
    <w:p w14:paraId="40669DB3" w14:textId="3BBCAD2D" w:rsidR="00F64776" w:rsidRDefault="00F64776" w:rsidP="00F64776">
      <w:pPr>
        <w:pStyle w:val="TextoNormalCentrado"/>
      </w:pPr>
    </w:p>
    <w:p w14:paraId="76703F9C" w14:textId="77777777" w:rsidR="00F64776" w:rsidRDefault="00F64776" w:rsidP="00F64776">
      <w:pPr>
        <w:pStyle w:val="SntesisDescriptiva"/>
      </w:pPr>
      <w:r>
        <w:t>Excms. Srs. doña Inmaculada Montalbán Huertas y doña Laura Díez Bueso.</w:t>
      </w:r>
    </w:p>
    <w:p w14:paraId="6D2D0A61" w14:textId="73F41901" w:rsidR="00F64776" w:rsidRDefault="00F64776" w:rsidP="00F64776">
      <w:pPr>
        <w:pStyle w:val="SntesisDescriptiva"/>
      </w:pPr>
    </w:p>
    <w:p w14:paraId="30EB4C06" w14:textId="77777777" w:rsidR="00F64776" w:rsidRDefault="00F64776" w:rsidP="00F64776">
      <w:pPr>
        <w:pStyle w:val="SntesisDescriptiva"/>
      </w:pPr>
      <w:r>
        <w:t>Acepta una abstención en el recurso de amparo 4695-2022, promovido en proceso contencioso administrativo.</w:t>
      </w:r>
    </w:p>
    <w:p w14:paraId="240C6F19" w14:textId="0C0EDAC4" w:rsidR="00F64776" w:rsidRDefault="00F64776" w:rsidP="00F64776">
      <w:pPr>
        <w:pStyle w:val="SntesisDescriptiva"/>
      </w:pPr>
    </w:p>
    <w:p w14:paraId="4B0878C7" w14:textId="77777777" w:rsidR="00F64776" w:rsidRDefault="00F64776" w:rsidP="00F64776">
      <w:pPr>
        <w:pStyle w:val="SntesisDescriptiva"/>
      </w:pPr>
    </w:p>
    <w:p w14:paraId="7F5BD4E9" w14:textId="77777777" w:rsidR="00F64776" w:rsidRDefault="00F64776" w:rsidP="00F64776">
      <w:pPr>
        <w:pStyle w:val="SntesisDescriptiva"/>
      </w:pPr>
    </w:p>
    <w:p w14:paraId="0985A0F6" w14:textId="77777777" w:rsidR="00F64776" w:rsidRDefault="00F64776" w:rsidP="00F64776">
      <w:pPr>
        <w:pStyle w:val="TextoNormalNegritaCentrado"/>
      </w:pPr>
      <w:r>
        <w:t>AUTO</w:t>
      </w:r>
    </w:p>
    <w:p w14:paraId="7A01C98A" w14:textId="319DB06A" w:rsidR="00F64776" w:rsidRDefault="00F64776" w:rsidP="00F64776">
      <w:pPr>
        <w:pStyle w:val="TextoNormalNegritaCentrado"/>
      </w:pPr>
    </w:p>
    <w:p w14:paraId="17D41576" w14:textId="77777777" w:rsidR="00F64776" w:rsidRDefault="00F64776" w:rsidP="00F64776">
      <w:pPr>
        <w:pStyle w:val="TextoNormalNegritaCentrado"/>
        <w:keepNext/>
      </w:pPr>
      <w:r>
        <w:t>I. Antecedentes</w:t>
      </w:r>
    </w:p>
    <w:p w14:paraId="4EEDF245" w14:textId="1974259F" w:rsidR="00F64776" w:rsidRDefault="00F64776" w:rsidP="00F64776">
      <w:pPr>
        <w:pStyle w:val="TextoNormalNegritaCentrado"/>
        <w:keepNext/>
      </w:pPr>
    </w:p>
    <w:p w14:paraId="546A9D8E" w14:textId="2B126639" w:rsidR="00F64776" w:rsidRDefault="00F64776" w:rsidP="00F64776">
      <w:pPr>
        <w:pStyle w:val="TextoNormal"/>
      </w:pPr>
      <w:r w:rsidRPr="00F64776">
        <w:rPr>
          <w:rStyle w:val="NumeroAFNegritaCaracter"/>
        </w:rPr>
        <w:t>1</w:t>
      </w:r>
      <w:r>
        <w:t>. Mediante escrito registrado en este tribunal el 28 de junio de 2022, la procuradora de los tribunales doña Silvia Vázquez Senín, en nombre y representación de la entidad Olivares y Florida, S.L., y bajo la dirección del letrado don José Álvarez de Toledo Saavedra, formuló demanda de amparo contra providencia de la Sección Primera de la Sala de lo Contencioso-Administrativo del Tribunal Supremo en recurso de casación núm. 7464-2021.</w:t>
      </w:r>
    </w:p>
    <w:p w14:paraId="1ECA1EAE" w14:textId="77777777" w:rsidR="00F64776" w:rsidRDefault="00F64776" w:rsidP="00F64776">
      <w:pPr>
        <w:pStyle w:val="TextoNormal"/>
      </w:pPr>
    </w:p>
    <w:p w14:paraId="04D3FB6F" w14:textId="60F6A9B6" w:rsidR="00F64776" w:rsidRDefault="00F64776" w:rsidP="00F64776">
      <w:pPr>
        <w:pStyle w:val="TextoNormal"/>
      </w:pPr>
      <w:r w:rsidRPr="00F64776">
        <w:rPr>
          <w:rStyle w:val="NumeroAFNegritaCaracter"/>
        </w:rPr>
        <w:t>2</w:t>
      </w:r>
      <w:r>
        <w:t>. Por escrito de 1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40E57BA4" w14:textId="77777777" w:rsidR="00F64776" w:rsidRDefault="00F64776" w:rsidP="00F64776">
      <w:pPr>
        <w:pStyle w:val="TextoNormal"/>
      </w:pPr>
    </w:p>
    <w:p w14:paraId="5EB0AF7A" w14:textId="77777777" w:rsidR="00F64776" w:rsidRDefault="00F64776" w:rsidP="00F64776">
      <w:pPr>
        <w:pStyle w:val="TextoNormalNegritaCentrado"/>
        <w:keepNext/>
      </w:pPr>
      <w:r>
        <w:t>II. Fundamentos jurídicos</w:t>
      </w:r>
    </w:p>
    <w:p w14:paraId="2BA37DC0" w14:textId="3A1BFC74" w:rsidR="00F64776" w:rsidRDefault="00F64776" w:rsidP="00F64776">
      <w:pPr>
        <w:pStyle w:val="TextoNormalNegritaCentrado"/>
        <w:keepNext/>
      </w:pPr>
    </w:p>
    <w:p w14:paraId="1C8A7608" w14:textId="2DBE7724"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772EA0C1" w14:textId="77777777" w:rsidR="00F64776" w:rsidRDefault="00F64776" w:rsidP="00F64776">
      <w:pPr>
        <w:pStyle w:val="TextoNormal"/>
      </w:pPr>
    </w:p>
    <w:p w14:paraId="4EA7A49F" w14:textId="77777777" w:rsidR="00F64776" w:rsidRDefault="00F64776" w:rsidP="00F64776">
      <w:pPr>
        <w:pStyle w:val="TextoNormal"/>
      </w:pPr>
      <w:r>
        <w:t>Por lo expuesto, la Sección</w:t>
      </w:r>
    </w:p>
    <w:p w14:paraId="138180E1" w14:textId="6A3A0390" w:rsidR="00F64776" w:rsidRDefault="00F64776" w:rsidP="00F64776">
      <w:pPr>
        <w:pStyle w:val="TextoNormal"/>
      </w:pPr>
    </w:p>
    <w:p w14:paraId="25ACFA14" w14:textId="77777777" w:rsidR="00F64776" w:rsidRDefault="00F64776" w:rsidP="00F64776">
      <w:pPr>
        <w:pStyle w:val="TextoNormalCentrado"/>
      </w:pPr>
      <w:r>
        <w:t>ACUERDA</w:t>
      </w:r>
    </w:p>
    <w:p w14:paraId="7DEC0B83" w14:textId="6382A2D0" w:rsidR="00F64776" w:rsidRDefault="00F64776" w:rsidP="00F64776">
      <w:pPr>
        <w:pStyle w:val="TextoNormalCentrado"/>
      </w:pPr>
    </w:p>
    <w:p w14:paraId="70678205" w14:textId="4DF3DFF1" w:rsidR="00F64776" w:rsidRDefault="00F64776" w:rsidP="00F64776">
      <w:pPr>
        <w:pStyle w:val="TextoNormal"/>
      </w:pPr>
      <w:r>
        <w:t>Estimar justificada la abstención formulada por el magistrado don César Tolosa Tribiño en el recurso de amparo núm. 4695-2022 y apartarle definitivamente del conocimiento del referido recurso y de todas sus incidencias.</w:t>
      </w:r>
    </w:p>
    <w:p w14:paraId="64FF79B8" w14:textId="77777777" w:rsidR="00F64776" w:rsidRDefault="00F64776" w:rsidP="00F64776">
      <w:pPr>
        <w:pStyle w:val="TextoNormal"/>
      </w:pPr>
    </w:p>
    <w:p w14:paraId="5C948FE3" w14:textId="77777777" w:rsidR="00F64776" w:rsidRDefault="00F64776" w:rsidP="00F64776">
      <w:pPr>
        <w:pStyle w:val="TextoNormal"/>
      </w:pPr>
      <w:r>
        <w:t>Madrid, a dieciocho de diciembre de dos mil veintitrés.</w:t>
      </w:r>
    </w:p>
    <w:p w14:paraId="02F384DA" w14:textId="533C5179" w:rsidR="00F64776" w:rsidRDefault="00F64776">
      <w:pPr>
        <w:spacing w:after="160" w:line="278" w:lineRule="auto"/>
        <w:rPr>
          <w:rFonts w:ascii="Times New Roman" w:eastAsia="Times New Roman" w:hAnsi="Times New Roman" w:cs="Times New Roman"/>
          <w:sz w:val="24"/>
          <w:szCs w:val="24"/>
          <w:lang w:eastAsia="es-ES"/>
        </w:rPr>
      </w:pPr>
      <w:r>
        <w:br w:type="page"/>
      </w:r>
    </w:p>
    <w:p w14:paraId="1962AE04" w14:textId="77777777" w:rsidR="00F64776" w:rsidRDefault="00F64776" w:rsidP="00F64776">
      <w:pPr>
        <w:pStyle w:val="TtuloResolucin"/>
      </w:pPr>
      <w:bookmarkStart w:id="461" w:name="AUTO_2023_676"/>
      <w:r>
        <w:t>AUTO 676/2023, de 18 de diciembre de 2023</w:t>
      </w:r>
    </w:p>
    <w:bookmarkEnd w:id="461"/>
    <w:p w14:paraId="4F1056E5" w14:textId="77777777" w:rsidR="00F64776" w:rsidRDefault="00F64776" w:rsidP="00F64776">
      <w:pPr>
        <w:pStyle w:val="TtuloResolucin"/>
      </w:pPr>
      <w:r>
        <w:t>Sección Tercera</w:t>
      </w:r>
    </w:p>
    <w:p w14:paraId="3AE62DFE" w14:textId="77777777" w:rsidR="00F64776" w:rsidRDefault="00F64776" w:rsidP="00F64776">
      <w:pPr>
        <w:pStyle w:val="TextoNormalCentrado"/>
      </w:pPr>
      <w:r>
        <w:t>ECLI:ES:TC:2023:676A</w:t>
      </w:r>
    </w:p>
    <w:p w14:paraId="4768BAA6" w14:textId="17CD5297" w:rsidR="00F64776" w:rsidRDefault="00F64776" w:rsidP="00F64776">
      <w:pPr>
        <w:pStyle w:val="TextoNormalCentrado"/>
      </w:pPr>
    </w:p>
    <w:p w14:paraId="5F0AEED4" w14:textId="77777777" w:rsidR="00F64776" w:rsidRDefault="00F64776" w:rsidP="00F64776">
      <w:pPr>
        <w:pStyle w:val="SntesisDescriptiva"/>
      </w:pPr>
      <w:r>
        <w:t>Excms. Srs. doña Inmaculada Montalbán Huertas y doña Laura Díez Bueso.</w:t>
      </w:r>
    </w:p>
    <w:p w14:paraId="22D71937" w14:textId="30EF1525" w:rsidR="00F64776" w:rsidRDefault="00F64776" w:rsidP="00F64776">
      <w:pPr>
        <w:pStyle w:val="SntesisDescriptiva"/>
      </w:pPr>
    </w:p>
    <w:p w14:paraId="100A34EF" w14:textId="77777777" w:rsidR="00F64776" w:rsidRDefault="00F64776" w:rsidP="00F64776">
      <w:pPr>
        <w:pStyle w:val="SntesisDescriptiva"/>
      </w:pPr>
      <w:r>
        <w:t>Acepta una abstención en el recurso de amparo 5598-2022, promovido en proceso contencioso administrativo.</w:t>
      </w:r>
    </w:p>
    <w:p w14:paraId="3A3414FC" w14:textId="7B15D7F1" w:rsidR="00F64776" w:rsidRDefault="00F64776" w:rsidP="00F64776">
      <w:pPr>
        <w:pStyle w:val="SntesisDescriptiva"/>
      </w:pPr>
    </w:p>
    <w:p w14:paraId="1EB980FD" w14:textId="77777777" w:rsidR="00F64776" w:rsidRDefault="00F64776" w:rsidP="00F64776">
      <w:pPr>
        <w:pStyle w:val="SntesisDescriptiva"/>
      </w:pPr>
    </w:p>
    <w:p w14:paraId="141D2331" w14:textId="77777777" w:rsidR="00F64776" w:rsidRDefault="00F64776" w:rsidP="00F64776">
      <w:pPr>
        <w:pStyle w:val="SntesisDescriptiva"/>
      </w:pPr>
    </w:p>
    <w:p w14:paraId="1530639C" w14:textId="77777777" w:rsidR="00F64776" w:rsidRDefault="00F64776" w:rsidP="00F64776">
      <w:pPr>
        <w:pStyle w:val="TextoNormalNegritaCentrado"/>
      </w:pPr>
      <w:r>
        <w:t>AUTO</w:t>
      </w:r>
    </w:p>
    <w:p w14:paraId="74BF0BED" w14:textId="603966FA" w:rsidR="00F64776" w:rsidRDefault="00F64776" w:rsidP="00F64776">
      <w:pPr>
        <w:pStyle w:val="TextoNormalNegritaCentrado"/>
      </w:pPr>
    </w:p>
    <w:p w14:paraId="22E87126" w14:textId="77777777" w:rsidR="00F64776" w:rsidRDefault="00F64776" w:rsidP="00F64776">
      <w:pPr>
        <w:pStyle w:val="TextoNormalNegritaCentrado"/>
        <w:keepNext/>
      </w:pPr>
      <w:r>
        <w:t>I. Antecedentes</w:t>
      </w:r>
    </w:p>
    <w:p w14:paraId="1A01FBE6" w14:textId="59295D2D" w:rsidR="00F64776" w:rsidRDefault="00F64776" w:rsidP="00F64776">
      <w:pPr>
        <w:pStyle w:val="TextoNormalNegritaCentrado"/>
        <w:keepNext/>
      </w:pPr>
    </w:p>
    <w:p w14:paraId="60F9287B" w14:textId="0B68A306" w:rsidR="00F64776" w:rsidRDefault="00F64776" w:rsidP="00F64776">
      <w:pPr>
        <w:pStyle w:val="TextoNormal"/>
      </w:pPr>
      <w:r w:rsidRPr="00F64776">
        <w:rPr>
          <w:rStyle w:val="NumeroAFNegritaCaracter"/>
        </w:rPr>
        <w:t>1</w:t>
      </w:r>
      <w:r>
        <w:t>. Mediante escrito registrado en este tribunal el 28 de julio de 2022, el procurador de los tribunales don Ramiro Reynolds Martínez, en nombre y representación de don Rafael Torrecilla Díaz y bajo la dirección de la letrada doña María Victoria Ortuño Martín, formuló demanda de amparo contra auto de la Sección Primera de la Sala de lo Contencioso-Administrativo del Tribunal Supremo en recurso de casación núm. 452-2022.</w:t>
      </w:r>
    </w:p>
    <w:p w14:paraId="4490E29F" w14:textId="77777777" w:rsidR="00F64776" w:rsidRDefault="00F64776" w:rsidP="00F64776">
      <w:pPr>
        <w:pStyle w:val="TextoNormal"/>
      </w:pPr>
    </w:p>
    <w:p w14:paraId="510E4FA8" w14:textId="411E40F2" w:rsidR="00F64776" w:rsidRDefault="00F64776" w:rsidP="00F64776">
      <w:pPr>
        <w:pStyle w:val="TextoNormal"/>
      </w:pPr>
      <w:r w:rsidRPr="00F64776">
        <w:rPr>
          <w:rStyle w:val="NumeroAFNegritaCaracter"/>
        </w:rPr>
        <w:t>2</w:t>
      </w:r>
      <w:r>
        <w:t>. Por escrito de 1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7A611D07" w14:textId="77777777" w:rsidR="00F64776" w:rsidRDefault="00F64776" w:rsidP="00F64776">
      <w:pPr>
        <w:pStyle w:val="TextoNormal"/>
      </w:pPr>
    </w:p>
    <w:p w14:paraId="4F64D29C" w14:textId="77777777" w:rsidR="00F64776" w:rsidRDefault="00F64776" w:rsidP="00F64776">
      <w:pPr>
        <w:pStyle w:val="TextoNormalNegritaCentrado"/>
        <w:keepNext/>
      </w:pPr>
      <w:r>
        <w:t>II. Fundamentos jurídicos</w:t>
      </w:r>
    </w:p>
    <w:p w14:paraId="6DA0F591" w14:textId="52F9ACBE" w:rsidR="00F64776" w:rsidRDefault="00F64776" w:rsidP="00F64776">
      <w:pPr>
        <w:pStyle w:val="TextoNormalNegritaCentrado"/>
        <w:keepNext/>
      </w:pPr>
    </w:p>
    <w:p w14:paraId="4E662C93" w14:textId="739D538C"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5AF53774" w14:textId="77777777" w:rsidR="00F64776" w:rsidRDefault="00F64776" w:rsidP="00F64776">
      <w:pPr>
        <w:pStyle w:val="TextoNormal"/>
      </w:pPr>
    </w:p>
    <w:p w14:paraId="38727A0B" w14:textId="77777777" w:rsidR="00F64776" w:rsidRDefault="00F64776" w:rsidP="00F64776">
      <w:pPr>
        <w:pStyle w:val="TextoNormal"/>
      </w:pPr>
      <w:r>
        <w:t>Por lo expuesto, la Sección</w:t>
      </w:r>
    </w:p>
    <w:p w14:paraId="70270070" w14:textId="2348BC74" w:rsidR="00F64776" w:rsidRDefault="00F64776" w:rsidP="00F64776">
      <w:pPr>
        <w:pStyle w:val="TextoNormal"/>
      </w:pPr>
    </w:p>
    <w:p w14:paraId="565E76F5" w14:textId="77777777" w:rsidR="00F64776" w:rsidRDefault="00F64776" w:rsidP="00F64776">
      <w:pPr>
        <w:pStyle w:val="TextoNormalCentrado"/>
      </w:pPr>
      <w:r>
        <w:t>ACUERDA</w:t>
      </w:r>
    </w:p>
    <w:p w14:paraId="7E8ED521" w14:textId="48934F85" w:rsidR="00F64776" w:rsidRDefault="00F64776" w:rsidP="00F64776">
      <w:pPr>
        <w:pStyle w:val="TextoNormalCentrado"/>
      </w:pPr>
    </w:p>
    <w:p w14:paraId="6CD4E13A" w14:textId="3DD1626F" w:rsidR="00F64776" w:rsidRDefault="00F64776" w:rsidP="00F64776">
      <w:pPr>
        <w:pStyle w:val="TextoNormal"/>
      </w:pPr>
      <w:r>
        <w:t>Estimar justificada la abstención formulada por el magistrado don César Tolosa Tribiño en el recurso de amparo núm. 5598-2022 y apartarle definitivamente del conocimiento del referido recurso y de todas sus incidencias.</w:t>
      </w:r>
    </w:p>
    <w:p w14:paraId="127554FC" w14:textId="77777777" w:rsidR="00F64776" w:rsidRDefault="00F64776" w:rsidP="00F64776">
      <w:pPr>
        <w:pStyle w:val="TextoNormal"/>
      </w:pPr>
    </w:p>
    <w:p w14:paraId="42D55795" w14:textId="77777777" w:rsidR="00F64776" w:rsidRDefault="00F64776" w:rsidP="00F64776">
      <w:pPr>
        <w:pStyle w:val="TextoNormal"/>
      </w:pPr>
      <w:r>
        <w:t>Madrid, a dieciocho de diciembre de dos mil veintitrés.</w:t>
      </w:r>
    </w:p>
    <w:p w14:paraId="15DC0751" w14:textId="35116F8A" w:rsidR="00F64776" w:rsidRDefault="00F64776">
      <w:pPr>
        <w:spacing w:after="160" w:line="278" w:lineRule="auto"/>
        <w:rPr>
          <w:rFonts w:ascii="Times New Roman" w:eastAsia="Times New Roman" w:hAnsi="Times New Roman" w:cs="Times New Roman"/>
          <w:sz w:val="24"/>
          <w:szCs w:val="24"/>
          <w:lang w:eastAsia="es-ES"/>
        </w:rPr>
      </w:pPr>
      <w:r>
        <w:br w:type="page"/>
      </w:r>
    </w:p>
    <w:p w14:paraId="51A6A217" w14:textId="77777777" w:rsidR="00F64776" w:rsidRDefault="00F64776" w:rsidP="00F64776">
      <w:pPr>
        <w:pStyle w:val="TtuloResolucin"/>
      </w:pPr>
      <w:bookmarkStart w:id="462" w:name="AUTO_2023_677"/>
      <w:r>
        <w:t>AUTO 677/2023, de 18 de diciembre de 2023</w:t>
      </w:r>
    </w:p>
    <w:bookmarkEnd w:id="462"/>
    <w:p w14:paraId="67D95131" w14:textId="77777777" w:rsidR="00F64776" w:rsidRDefault="00F64776" w:rsidP="00F64776">
      <w:pPr>
        <w:pStyle w:val="TtuloResolucin"/>
      </w:pPr>
      <w:r>
        <w:t>Sección Tercera</w:t>
      </w:r>
    </w:p>
    <w:p w14:paraId="0FC49BBD" w14:textId="77777777" w:rsidR="00F64776" w:rsidRDefault="00F64776" w:rsidP="00F64776">
      <w:pPr>
        <w:pStyle w:val="TextoNormalCentrado"/>
      </w:pPr>
      <w:r>
        <w:t>ECLI:ES:TC:2023:677A</w:t>
      </w:r>
    </w:p>
    <w:p w14:paraId="5C56B26B" w14:textId="05079AA7" w:rsidR="00F64776" w:rsidRDefault="00F64776" w:rsidP="00F64776">
      <w:pPr>
        <w:pStyle w:val="TextoNormalCentrado"/>
      </w:pPr>
    </w:p>
    <w:p w14:paraId="225E8609" w14:textId="77777777" w:rsidR="00F64776" w:rsidRDefault="00F64776" w:rsidP="00F64776">
      <w:pPr>
        <w:pStyle w:val="SntesisDescriptiva"/>
      </w:pPr>
      <w:r>
        <w:t>Excms. Srs. doña Inmaculada Montalbán Huertas y doña Laura Díez Bueso.</w:t>
      </w:r>
    </w:p>
    <w:p w14:paraId="04AF7E19" w14:textId="5B8542BF" w:rsidR="00F64776" w:rsidRDefault="00F64776" w:rsidP="00F64776">
      <w:pPr>
        <w:pStyle w:val="SntesisDescriptiva"/>
      </w:pPr>
    </w:p>
    <w:p w14:paraId="0725CFAF" w14:textId="77777777" w:rsidR="00F64776" w:rsidRDefault="00F64776" w:rsidP="00F64776">
      <w:pPr>
        <w:pStyle w:val="SntesisDescriptiva"/>
      </w:pPr>
      <w:r>
        <w:t>Acepta una abstención en el recurso de amparo 6104-2022, promovido en proceso contencioso administrativo.</w:t>
      </w:r>
    </w:p>
    <w:p w14:paraId="23BFE0AB" w14:textId="131AD338" w:rsidR="00F64776" w:rsidRDefault="00F64776" w:rsidP="00F64776">
      <w:pPr>
        <w:pStyle w:val="SntesisDescriptiva"/>
      </w:pPr>
    </w:p>
    <w:p w14:paraId="34E97B28" w14:textId="77777777" w:rsidR="00F64776" w:rsidRDefault="00F64776" w:rsidP="00F64776">
      <w:pPr>
        <w:pStyle w:val="SntesisDescriptiva"/>
      </w:pPr>
    </w:p>
    <w:p w14:paraId="6C88E02A" w14:textId="77777777" w:rsidR="00F64776" w:rsidRDefault="00F64776" w:rsidP="00F64776">
      <w:pPr>
        <w:pStyle w:val="SntesisDescriptiva"/>
      </w:pPr>
    </w:p>
    <w:p w14:paraId="04B1F6B9" w14:textId="77777777" w:rsidR="00F64776" w:rsidRDefault="00F64776" w:rsidP="00F64776">
      <w:pPr>
        <w:pStyle w:val="TextoNormalNegritaCentrado"/>
      </w:pPr>
      <w:r>
        <w:t>AUTO</w:t>
      </w:r>
    </w:p>
    <w:p w14:paraId="62B758E5" w14:textId="2EDA3863" w:rsidR="00F64776" w:rsidRDefault="00F64776" w:rsidP="00F64776">
      <w:pPr>
        <w:pStyle w:val="TextoNormalNegritaCentrado"/>
      </w:pPr>
    </w:p>
    <w:p w14:paraId="5F180825" w14:textId="77777777" w:rsidR="00F64776" w:rsidRDefault="00F64776" w:rsidP="00F64776">
      <w:pPr>
        <w:pStyle w:val="TextoNormalNegritaCentrado"/>
        <w:keepNext/>
      </w:pPr>
      <w:r>
        <w:t>I. Antecedentes</w:t>
      </w:r>
    </w:p>
    <w:p w14:paraId="6050BFBF" w14:textId="14D8E00D" w:rsidR="00F64776" w:rsidRDefault="00F64776" w:rsidP="00F64776">
      <w:pPr>
        <w:pStyle w:val="TextoNormalNegritaCentrado"/>
        <w:keepNext/>
      </w:pPr>
    </w:p>
    <w:p w14:paraId="41A5C2EE" w14:textId="56CF973E" w:rsidR="00F64776" w:rsidRDefault="00F64776" w:rsidP="00F64776">
      <w:pPr>
        <w:pStyle w:val="TextoNormal"/>
      </w:pPr>
      <w:r w:rsidRPr="00F64776">
        <w:rPr>
          <w:rStyle w:val="NumeroAFNegritaCaracter"/>
        </w:rPr>
        <w:t>1</w:t>
      </w:r>
      <w:r>
        <w:t>. Mediante escrito registrado en este tribunal el 19 de septiembre de 2022, la procuradora de los tribunales doña Beatriz Ayllón Caro, en nombre y representación de don Rachid Bouchrit y bajo la dirección del letrado don Eduardo Álvaro Muñoz de Dios Sáez, formuló demanda de amparo contra providencia de la Sala de lo Contencioso-Administrativo del Tribunal Supremo en recurso de casación núm. 996-2022.</w:t>
      </w:r>
    </w:p>
    <w:p w14:paraId="4F8C093E" w14:textId="77777777" w:rsidR="00F64776" w:rsidRDefault="00F64776" w:rsidP="00F64776">
      <w:pPr>
        <w:pStyle w:val="TextoNormal"/>
      </w:pPr>
    </w:p>
    <w:p w14:paraId="49E228C9" w14:textId="2C404EC5" w:rsidR="00F64776" w:rsidRDefault="00F64776" w:rsidP="00F64776">
      <w:pPr>
        <w:pStyle w:val="TextoNormal"/>
      </w:pPr>
      <w:r w:rsidRPr="00F64776">
        <w:rPr>
          <w:rStyle w:val="NumeroAFNegritaCaracter"/>
        </w:rPr>
        <w:t>2</w:t>
      </w:r>
      <w:r>
        <w:t>. Por escrito de 1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299217CA" w14:textId="77777777" w:rsidR="00F64776" w:rsidRDefault="00F64776" w:rsidP="00F64776">
      <w:pPr>
        <w:pStyle w:val="TextoNormal"/>
      </w:pPr>
    </w:p>
    <w:p w14:paraId="77CA9E87" w14:textId="77777777" w:rsidR="00F64776" w:rsidRDefault="00F64776" w:rsidP="00F64776">
      <w:pPr>
        <w:pStyle w:val="TextoNormalNegritaCentrado"/>
        <w:keepNext/>
      </w:pPr>
      <w:r>
        <w:t>II. Fundamentos jurídicos</w:t>
      </w:r>
    </w:p>
    <w:p w14:paraId="04095C6C" w14:textId="762B578C" w:rsidR="00F64776" w:rsidRDefault="00F64776" w:rsidP="00F64776">
      <w:pPr>
        <w:pStyle w:val="TextoNormalNegritaCentrado"/>
        <w:keepNext/>
      </w:pPr>
    </w:p>
    <w:p w14:paraId="145EBC5A" w14:textId="09A258A2"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0AB6D3CD" w14:textId="77777777" w:rsidR="00F64776" w:rsidRDefault="00F64776" w:rsidP="00F64776">
      <w:pPr>
        <w:pStyle w:val="TextoNormal"/>
      </w:pPr>
    </w:p>
    <w:p w14:paraId="25BF67C9" w14:textId="77777777" w:rsidR="00F64776" w:rsidRDefault="00F64776" w:rsidP="00F64776">
      <w:pPr>
        <w:pStyle w:val="TextoNormal"/>
      </w:pPr>
      <w:r>
        <w:t>Por lo expuesto, la Sección</w:t>
      </w:r>
    </w:p>
    <w:p w14:paraId="3AB336E4" w14:textId="084DA4FE" w:rsidR="00F64776" w:rsidRDefault="00F64776" w:rsidP="00F64776">
      <w:pPr>
        <w:pStyle w:val="TextoNormal"/>
      </w:pPr>
    </w:p>
    <w:p w14:paraId="4CE73B0D" w14:textId="77777777" w:rsidR="00F64776" w:rsidRDefault="00F64776" w:rsidP="00F64776">
      <w:pPr>
        <w:pStyle w:val="TextoNormalCentrado"/>
      </w:pPr>
      <w:r>
        <w:t>ACUERDA</w:t>
      </w:r>
    </w:p>
    <w:p w14:paraId="504D3B6A" w14:textId="3DED1FBC" w:rsidR="00F64776" w:rsidRDefault="00F64776" w:rsidP="00F64776">
      <w:pPr>
        <w:pStyle w:val="TextoNormalCentrado"/>
      </w:pPr>
    </w:p>
    <w:p w14:paraId="1755EFE7" w14:textId="56E13BFF" w:rsidR="00F64776" w:rsidRDefault="00F64776" w:rsidP="00F64776">
      <w:pPr>
        <w:pStyle w:val="TextoNormal"/>
      </w:pPr>
      <w:r>
        <w:t>Estimar justificada la abstención formulada por el magistrado don César Tolosa Tribiño en el recurso de amparo núm. 6104-2022 y apartarle definitivamente del conocimiento del referido recurso y de todas sus incidencias.</w:t>
      </w:r>
    </w:p>
    <w:p w14:paraId="1577FCBD" w14:textId="77777777" w:rsidR="00F64776" w:rsidRDefault="00F64776" w:rsidP="00F64776">
      <w:pPr>
        <w:pStyle w:val="TextoNormal"/>
      </w:pPr>
    </w:p>
    <w:p w14:paraId="6C6316C3" w14:textId="77777777" w:rsidR="00F64776" w:rsidRDefault="00F64776" w:rsidP="00F64776">
      <w:pPr>
        <w:pStyle w:val="TextoNormal"/>
      </w:pPr>
      <w:r>
        <w:t>Madrid, a dieciocho de diciembre de dos mil veintitrés.</w:t>
      </w:r>
    </w:p>
    <w:p w14:paraId="68361AB4" w14:textId="7EAB67EB" w:rsidR="00F64776" w:rsidRDefault="00F64776">
      <w:pPr>
        <w:spacing w:after="160" w:line="278" w:lineRule="auto"/>
        <w:rPr>
          <w:rFonts w:ascii="Times New Roman" w:eastAsia="Times New Roman" w:hAnsi="Times New Roman" w:cs="Times New Roman"/>
          <w:sz w:val="24"/>
          <w:szCs w:val="24"/>
          <w:lang w:eastAsia="es-ES"/>
        </w:rPr>
      </w:pPr>
      <w:r>
        <w:br w:type="page"/>
      </w:r>
    </w:p>
    <w:p w14:paraId="68449B80" w14:textId="77777777" w:rsidR="00F64776" w:rsidRDefault="00F64776" w:rsidP="00F64776">
      <w:pPr>
        <w:pStyle w:val="TtuloResolucin"/>
      </w:pPr>
      <w:bookmarkStart w:id="463" w:name="AUTO_2023_678"/>
      <w:r>
        <w:t>AUTO 678/2023, de 18 de diciembre de 2023</w:t>
      </w:r>
    </w:p>
    <w:bookmarkEnd w:id="463"/>
    <w:p w14:paraId="329A128D" w14:textId="77777777" w:rsidR="00F64776" w:rsidRDefault="00F64776" w:rsidP="00F64776">
      <w:pPr>
        <w:pStyle w:val="TtuloResolucin"/>
      </w:pPr>
      <w:r>
        <w:t>Sección Tercera</w:t>
      </w:r>
    </w:p>
    <w:p w14:paraId="0DA72441" w14:textId="77777777" w:rsidR="00F64776" w:rsidRDefault="00F64776" w:rsidP="00F64776">
      <w:pPr>
        <w:pStyle w:val="TextoNormalCentrado"/>
      </w:pPr>
      <w:r>
        <w:t>ECLI:ES:TC:2023:678A</w:t>
      </w:r>
    </w:p>
    <w:p w14:paraId="6739A785" w14:textId="29DC90AE" w:rsidR="00F64776" w:rsidRDefault="00F64776" w:rsidP="00F64776">
      <w:pPr>
        <w:pStyle w:val="TextoNormalCentrado"/>
      </w:pPr>
    </w:p>
    <w:p w14:paraId="52AF1B64" w14:textId="77777777" w:rsidR="00F64776" w:rsidRDefault="00F64776" w:rsidP="00F64776">
      <w:pPr>
        <w:pStyle w:val="SntesisDescriptiva"/>
      </w:pPr>
      <w:r>
        <w:t>Excms. Srs. doña Inmaculada Montalbán Huertas y doña Laura Díez Bueso.</w:t>
      </w:r>
    </w:p>
    <w:p w14:paraId="5D96EA2C" w14:textId="01A28403" w:rsidR="00F64776" w:rsidRDefault="00F64776" w:rsidP="00F64776">
      <w:pPr>
        <w:pStyle w:val="SntesisDescriptiva"/>
      </w:pPr>
    </w:p>
    <w:p w14:paraId="1DDC69B7" w14:textId="77777777" w:rsidR="00F64776" w:rsidRDefault="00F64776" w:rsidP="00F64776">
      <w:pPr>
        <w:pStyle w:val="SntesisDescriptiva"/>
      </w:pPr>
      <w:r>
        <w:t>Acepta una abstención en el recurso de amparo 6184-2022, promovido en proceso contencioso administrativo.</w:t>
      </w:r>
    </w:p>
    <w:p w14:paraId="7897E067" w14:textId="7588D83C" w:rsidR="00F64776" w:rsidRDefault="00F64776" w:rsidP="00F64776">
      <w:pPr>
        <w:pStyle w:val="SntesisDescriptiva"/>
      </w:pPr>
    </w:p>
    <w:p w14:paraId="6FF23CAC" w14:textId="77777777" w:rsidR="00F64776" w:rsidRDefault="00F64776" w:rsidP="00F64776">
      <w:pPr>
        <w:pStyle w:val="SntesisDescriptiva"/>
      </w:pPr>
    </w:p>
    <w:p w14:paraId="390CFC76" w14:textId="77777777" w:rsidR="00F64776" w:rsidRDefault="00F64776" w:rsidP="00F64776">
      <w:pPr>
        <w:pStyle w:val="SntesisDescriptiva"/>
      </w:pPr>
    </w:p>
    <w:p w14:paraId="721D3875" w14:textId="77777777" w:rsidR="00F64776" w:rsidRDefault="00F64776" w:rsidP="00F64776">
      <w:pPr>
        <w:pStyle w:val="TextoNormalNegritaCentrado"/>
      </w:pPr>
      <w:r>
        <w:t>AUTO</w:t>
      </w:r>
    </w:p>
    <w:p w14:paraId="756E47DF" w14:textId="22C81D6A" w:rsidR="00F64776" w:rsidRDefault="00F64776" w:rsidP="00F64776">
      <w:pPr>
        <w:pStyle w:val="TextoNormalNegritaCentrado"/>
      </w:pPr>
    </w:p>
    <w:p w14:paraId="442185E4" w14:textId="77777777" w:rsidR="00F64776" w:rsidRDefault="00F64776" w:rsidP="00F64776">
      <w:pPr>
        <w:pStyle w:val="TextoNormalNegritaCentrado"/>
        <w:keepNext/>
      </w:pPr>
      <w:r>
        <w:t>I. Antecedentes</w:t>
      </w:r>
    </w:p>
    <w:p w14:paraId="293CDBD3" w14:textId="1EC9F0A4" w:rsidR="00F64776" w:rsidRDefault="00F64776" w:rsidP="00F64776">
      <w:pPr>
        <w:pStyle w:val="TextoNormalNegritaCentrado"/>
        <w:keepNext/>
      </w:pPr>
    </w:p>
    <w:p w14:paraId="0FB3B657" w14:textId="14B27AFB" w:rsidR="00F64776" w:rsidRDefault="00F64776" w:rsidP="00F64776">
      <w:pPr>
        <w:pStyle w:val="TextoNormal"/>
      </w:pPr>
      <w:r w:rsidRPr="00F64776">
        <w:rPr>
          <w:rStyle w:val="NumeroAFNegritaCaracter"/>
        </w:rPr>
        <w:t>1</w:t>
      </w:r>
      <w:r>
        <w:t>. Mediante escrito registrado en este tribunal el 21 de septiembre de 2022, la procuradora de los tribunales doña Marta Saint-Aubin Alonso, en nombre y representación de doña Gema Dos Anjos Bargas y bajo la dirección del letrado don José Ángel Pérez Tomás, formuló demanda de amparo contra providencia de la Sección Primera de la  Sala de lo Contencioso-Administrativo del Tribunal Supremo en recurso de casación núm. 2856-2022.</w:t>
      </w:r>
    </w:p>
    <w:p w14:paraId="7E86BECE" w14:textId="77777777" w:rsidR="00F64776" w:rsidRDefault="00F64776" w:rsidP="00F64776">
      <w:pPr>
        <w:pStyle w:val="TextoNormal"/>
      </w:pPr>
    </w:p>
    <w:p w14:paraId="0FDC1162" w14:textId="23AB972B" w:rsidR="00F64776" w:rsidRDefault="00F64776" w:rsidP="00F64776">
      <w:pPr>
        <w:pStyle w:val="TextoNormal"/>
      </w:pPr>
      <w:r w:rsidRPr="00F64776">
        <w:rPr>
          <w:rStyle w:val="NumeroAFNegritaCaracter"/>
        </w:rPr>
        <w:t>2</w:t>
      </w:r>
      <w:r>
        <w:t>. Por escrito de 1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2363DD7D" w14:textId="77777777" w:rsidR="00F64776" w:rsidRDefault="00F64776" w:rsidP="00F64776">
      <w:pPr>
        <w:pStyle w:val="TextoNormal"/>
      </w:pPr>
    </w:p>
    <w:p w14:paraId="0A485936" w14:textId="77777777" w:rsidR="00F64776" w:rsidRDefault="00F64776" w:rsidP="00F64776">
      <w:pPr>
        <w:pStyle w:val="TextoNormalNegritaCentrado"/>
        <w:keepNext/>
      </w:pPr>
      <w:r>
        <w:t>II. Fundamentos jurídicos</w:t>
      </w:r>
    </w:p>
    <w:p w14:paraId="0665724E" w14:textId="7CDECC16" w:rsidR="00F64776" w:rsidRDefault="00F64776" w:rsidP="00F64776">
      <w:pPr>
        <w:pStyle w:val="TextoNormalNegritaCentrado"/>
        <w:keepNext/>
      </w:pPr>
    </w:p>
    <w:p w14:paraId="4C418BFF" w14:textId="09FE630A"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0DFD7899" w14:textId="77777777" w:rsidR="00F64776" w:rsidRDefault="00F64776" w:rsidP="00F64776">
      <w:pPr>
        <w:pStyle w:val="TextoNormal"/>
      </w:pPr>
    </w:p>
    <w:p w14:paraId="4AB9EBB2" w14:textId="77777777" w:rsidR="00F64776" w:rsidRDefault="00F64776" w:rsidP="00F64776">
      <w:pPr>
        <w:pStyle w:val="TextoNormal"/>
      </w:pPr>
      <w:r>
        <w:t>Por lo expuesto, la Sección</w:t>
      </w:r>
    </w:p>
    <w:p w14:paraId="69C3609D" w14:textId="075E60F3" w:rsidR="00F64776" w:rsidRDefault="00F64776" w:rsidP="00F64776">
      <w:pPr>
        <w:pStyle w:val="TextoNormal"/>
      </w:pPr>
    </w:p>
    <w:p w14:paraId="58E5BADE" w14:textId="77777777" w:rsidR="00F64776" w:rsidRDefault="00F64776" w:rsidP="00F64776">
      <w:pPr>
        <w:pStyle w:val="TextoNormalCentrado"/>
      </w:pPr>
      <w:r>
        <w:t>ACUERDA</w:t>
      </w:r>
    </w:p>
    <w:p w14:paraId="6A7A6056" w14:textId="73CEA03A" w:rsidR="00F64776" w:rsidRDefault="00F64776" w:rsidP="00F64776">
      <w:pPr>
        <w:pStyle w:val="TextoNormalCentrado"/>
      </w:pPr>
    </w:p>
    <w:p w14:paraId="490BD5E4" w14:textId="661969F9" w:rsidR="00F64776" w:rsidRDefault="00F64776" w:rsidP="00F64776">
      <w:pPr>
        <w:pStyle w:val="TextoNormal"/>
      </w:pPr>
      <w:r>
        <w:t>Estimar justificada la abstención formulada por el magistrado don César Tolosa Tribiño en el recurso de amparo núm. 6184-2022 y apartarle definitivamente del conocimiento del referido recurso y de todas sus incidencias.</w:t>
      </w:r>
    </w:p>
    <w:p w14:paraId="363BD7C9" w14:textId="77777777" w:rsidR="00F64776" w:rsidRDefault="00F64776" w:rsidP="00F64776">
      <w:pPr>
        <w:pStyle w:val="TextoNormal"/>
      </w:pPr>
    </w:p>
    <w:p w14:paraId="2968807C" w14:textId="77777777" w:rsidR="00F64776" w:rsidRDefault="00F64776" w:rsidP="00F64776">
      <w:pPr>
        <w:pStyle w:val="TextoNormal"/>
      </w:pPr>
      <w:r>
        <w:t>Madrid, a dieciocho de diciembre de dos mil veintitrés.</w:t>
      </w:r>
    </w:p>
    <w:p w14:paraId="460AB3B6" w14:textId="239D2190" w:rsidR="00F64776" w:rsidRDefault="00F64776">
      <w:pPr>
        <w:spacing w:after="160" w:line="278" w:lineRule="auto"/>
        <w:rPr>
          <w:rFonts w:ascii="Times New Roman" w:eastAsia="Times New Roman" w:hAnsi="Times New Roman" w:cs="Times New Roman"/>
          <w:sz w:val="24"/>
          <w:szCs w:val="24"/>
          <w:lang w:eastAsia="es-ES"/>
        </w:rPr>
      </w:pPr>
      <w:r>
        <w:br w:type="page"/>
      </w:r>
    </w:p>
    <w:p w14:paraId="7926D7C8" w14:textId="77777777" w:rsidR="00F64776" w:rsidRDefault="00F64776" w:rsidP="00F64776">
      <w:pPr>
        <w:pStyle w:val="TtuloResolucin"/>
      </w:pPr>
      <w:bookmarkStart w:id="464" w:name="AUTO_2023_679"/>
      <w:r>
        <w:t>AUTO 679/2023, de 18 de diciembre de 2023</w:t>
      </w:r>
    </w:p>
    <w:bookmarkEnd w:id="464"/>
    <w:p w14:paraId="4E37C1EE" w14:textId="77777777" w:rsidR="00F64776" w:rsidRDefault="00F64776" w:rsidP="00F64776">
      <w:pPr>
        <w:pStyle w:val="TtuloResolucin"/>
      </w:pPr>
      <w:r>
        <w:t>Sección Tercera</w:t>
      </w:r>
    </w:p>
    <w:p w14:paraId="0DC43513" w14:textId="77777777" w:rsidR="00F64776" w:rsidRDefault="00F64776" w:rsidP="00F64776">
      <w:pPr>
        <w:pStyle w:val="TextoNormalCentrado"/>
      </w:pPr>
      <w:r>
        <w:t>ECLI:ES:TC:2023:679A</w:t>
      </w:r>
    </w:p>
    <w:p w14:paraId="43122772" w14:textId="2A800ECA" w:rsidR="00F64776" w:rsidRDefault="00F64776" w:rsidP="00F64776">
      <w:pPr>
        <w:pStyle w:val="TextoNormalCentrado"/>
      </w:pPr>
    </w:p>
    <w:p w14:paraId="683ADE48" w14:textId="77777777" w:rsidR="00F64776" w:rsidRDefault="00F64776" w:rsidP="00F64776">
      <w:pPr>
        <w:pStyle w:val="SntesisDescriptiva"/>
      </w:pPr>
      <w:r>
        <w:t>Excms. Srs. doña Inmaculada Montalbán Huertas y doña Laura Díez Bueso.</w:t>
      </w:r>
    </w:p>
    <w:p w14:paraId="5D4C02A5" w14:textId="480E50B4" w:rsidR="00F64776" w:rsidRDefault="00F64776" w:rsidP="00F64776">
      <w:pPr>
        <w:pStyle w:val="SntesisDescriptiva"/>
      </w:pPr>
    </w:p>
    <w:p w14:paraId="08809ED1" w14:textId="77777777" w:rsidR="00F64776" w:rsidRDefault="00F64776" w:rsidP="00F64776">
      <w:pPr>
        <w:pStyle w:val="SntesisDescriptiva"/>
      </w:pPr>
      <w:r>
        <w:t>Acepta una abstención en el recurso de amparo 6294-2022, promovido en proceso contencioso administrativo.</w:t>
      </w:r>
    </w:p>
    <w:p w14:paraId="413D0883" w14:textId="5D7C66CD" w:rsidR="00F64776" w:rsidRDefault="00F64776" w:rsidP="00F64776">
      <w:pPr>
        <w:pStyle w:val="SntesisDescriptiva"/>
      </w:pPr>
    </w:p>
    <w:p w14:paraId="075D35E0" w14:textId="77777777" w:rsidR="00F64776" w:rsidRDefault="00F64776" w:rsidP="00F64776">
      <w:pPr>
        <w:pStyle w:val="SntesisDescriptiva"/>
      </w:pPr>
    </w:p>
    <w:p w14:paraId="7F468CA0" w14:textId="77777777" w:rsidR="00F64776" w:rsidRDefault="00F64776" w:rsidP="00F64776">
      <w:pPr>
        <w:pStyle w:val="SntesisDescriptiva"/>
      </w:pPr>
    </w:p>
    <w:p w14:paraId="2ADC8A0C" w14:textId="77777777" w:rsidR="00F64776" w:rsidRDefault="00F64776" w:rsidP="00F64776">
      <w:pPr>
        <w:pStyle w:val="TextoNormalNegritaCentrado"/>
      </w:pPr>
      <w:r>
        <w:t>AUTO</w:t>
      </w:r>
    </w:p>
    <w:p w14:paraId="2F4DF6B6" w14:textId="5CFE8260" w:rsidR="00F64776" w:rsidRDefault="00F64776" w:rsidP="00F64776">
      <w:pPr>
        <w:pStyle w:val="TextoNormalNegritaCentrado"/>
      </w:pPr>
    </w:p>
    <w:p w14:paraId="07CBF7F8" w14:textId="77777777" w:rsidR="00F64776" w:rsidRDefault="00F64776" w:rsidP="00F64776">
      <w:pPr>
        <w:pStyle w:val="TextoNormalNegritaCentrado"/>
        <w:keepNext/>
      </w:pPr>
      <w:r>
        <w:t>I. Antecedentes</w:t>
      </w:r>
    </w:p>
    <w:p w14:paraId="5A8DE84D" w14:textId="1115AE4A" w:rsidR="00F64776" w:rsidRDefault="00F64776" w:rsidP="00F64776">
      <w:pPr>
        <w:pStyle w:val="TextoNormalNegritaCentrado"/>
        <w:keepNext/>
      </w:pPr>
    </w:p>
    <w:p w14:paraId="0527647C" w14:textId="55C1BFEE" w:rsidR="00F64776" w:rsidRDefault="00F64776" w:rsidP="00F64776">
      <w:pPr>
        <w:pStyle w:val="TextoNormal"/>
      </w:pPr>
      <w:r w:rsidRPr="00F64776">
        <w:rPr>
          <w:rStyle w:val="NumeroAFNegritaCaracter"/>
        </w:rPr>
        <w:t>1</w:t>
      </w:r>
      <w:r>
        <w:t>. Mediante escrito registrado en este tribunal el 23 de septiembre de 2022, la procuradora de los tribunales doña Sofía Pereda Gil, en nombre y representación de don Vicente Manuel Cano Moya y bajo la dirección de la letrada doña Ana María Gamboa Monte, formuló demanda de amparo contra auto de la Sección Primera de la Sala de lo Contencioso-Administrativo del Tribunal Supremo en recurso de queja núm. 244-2022.</w:t>
      </w:r>
    </w:p>
    <w:p w14:paraId="10FC14EE" w14:textId="77777777" w:rsidR="00F64776" w:rsidRDefault="00F64776" w:rsidP="00F64776">
      <w:pPr>
        <w:pStyle w:val="TextoNormal"/>
      </w:pPr>
    </w:p>
    <w:p w14:paraId="07CFD3E3" w14:textId="689A7178" w:rsidR="00F64776" w:rsidRDefault="00F64776" w:rsidP="00F64776">
      <w:pPr>
        <w:pStyle w:val="TextoNormal"/>
      </w:pPr>
      <w:r w:rsidRPr="00F64776">
        <w:rPr>
          <w:rStyle w:val="NumeroAFNegritaCaracter"/>
        </w:rPr>
        <w:t>2</w:t>
      </w:r>
      <w:r>
        <w:t>. Por escrito de 1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03A37431" w14:textId="77777777" w:rsidR="00F64776" w:rsidRDefault="00F64776" w:rsidP="00F64776">
      <w:pPr>
        <w:pStyle w:val="TextoNormal"/>
      </w:pPr>
    </w:p>
    <w:p w14:paraId="308AED19" w14:textId="77777777" w:rsidR="00F64776" w:rsidRDefault="00F64776" w:rsidP="00F64776">
      <w:pPr>
        <w:pStyle w:val="TextoNormalNegritaCentrado"/>
        <w:keepNext/>
      </w:pPr>
      <w:r>
        <w:t>II. Fundamentos jurídicos</w:t>
      </w:r>
    </w:p>
    <w:p w14:paraId="7ED06A67" w14:textId="1C8EE243" w:rsidR="00F64776" w:rsidRDefault="00F64776" w:rsidP="00F64776">
      <w:pPr>
        <w:pStyle w:val="TextoNormalNegritaCentrado"/>
        <w:keepNext/>
      </w:pPr>
    </w:p>
    <w:p w14:paraId="7392841E" w14:textId="6F5617AB"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55B99961" w14:textId="77777777" w:rsidR="00F64776" w:rsidRDefault="00F64776" w:rsidP="00F64776">
      <w:pPr>
        <w:pStyle w:val="TextoNormal"/>
      </w:pPr>
    </w:p>
    <w:p w14:paraId="59A846AA" w14:textId="77777777" w:rsidR="00F64776" w:rsidRDefault="00F64776" w:rsidP="00F64776">
      <w:pPr>
        <w:pStyle w:val="TextoNormal"/>
      </w:pPr>
      <w:r>
        <w:t>Por lo expuesto, la Sección</w:t>
      </w:r>
    </w:p>
    <w:p w14:paraId="024E72D4" w14:textId="1697D3E2" w:rsidR="00F64776" w:rsidRDefault="00F64776" w:rsidP="00F64776">
      <w:pPr>
        <w:pStyle w:val="TextoNormal"/>
      </w:pPr>
    </w:p>
    <w:p w14:paraId="25FC2804" w14:textId="77777777" w:rsidR="00F64776" w:rsidRDefault="00F64776" w:rsidP="00F64776">
      <w:pPr>
        <w:pStyle w:val="TextoNormalCentrado"/>
      </w:pPr>
      <w:r>
        <w:t>ACUERDA</w:t>
      </w:r>
    </w:p>
    <w:p w14:paraId="10906326" w14:textId="0E386EB7" w:rsidR="00F64776" w:rsidRDefault="00F64776" w:rsidP="00F64776">
      <w:pPr>
        <w:pStyle w:val="TextoNormalCentrado"/>
      </w:pPr>
    </w:p>
    <w:p w14:paraId="7E828EA4" w14:textId="71A73145" w:rsidR="00F64776" w:rsidRDefault="00F64776" w:rsidP="00F64776">
      <w:pPr>
        <w:pStyle w:val="TextoNormal"/>
      </w:pPr>
      <w:r>
        <w:t>Estimar justificada la abstención formulada por el magistrado don César Tolosa Tribiño en el recurso de amparo núm. 6294-2022 y apartarle definitivamente del conocimiento del referido recurso y de todas sus incidencias.</w:t>
      </w:r>
    </w:p>
    <w:p w14:paraId="23A93FEB" w14:textId="77777777" w:rsidR="00F64776" w:rsidRDefault="00F64776" w:rsidP="00F64776">
      <w:pPr>
        <w:pStyle w:val="TextoNormal"/>
      </w:pPr>
    </w:p>
    <w:p w14:paraId="0F22C680" w14:textId="77777777" w:rsidR="00F64776" w:rsidRDefault="00F64776" w:rsidP="00F64776">
      <w:pPr>
        <w:pStyle w:val="TextoNormal"/>
      </w:pPr>
      <w:r>
        <w:t>Madrid, a dieciocho de diciembre de dos mil veintitrés.</w:t>
      </w:r>
    </w:p>
    <w:p w14:paraId="7C62FC10" w14:textId="7C6CED97" w:rsidR="00F64776" w:rsidRDefault="00F64776">
      <w:pPr>
        <w:spacing w:after="160" w:line="278" w:lineRule="auto"/>
        <w:rPr>
          <w:rFonts w:ascii="Times New Roman" w:eastAsia="Times New Roman" w:hAnsi="Times New Roman" w:cs="Times New Roman"/>
          <w:sz w:val="24"/>
          <w:szCs w:val="24"/>
          <w:lang w:eastAsia="es-ES"/>
        </w:rPr>
      </w:pPr>
      <w:r>
        <w:br w:type="page"/>
      </w:r>
    </w:p>
    <w:p w14:paraId="481979A9" w14:textId="77777777" w:rsidR="00F64776" w:rsidRDefault="00F64776" w:rsidP="00F64776">
      <w:pPr>
        <w:pStyle w:val="TtuloResolucin"/>
      </w:pPr>
      <w:bookmarkStart w:id="465" w:name="AUTO_2023_680"/>
      <w:r>
        <w:t>AUTO 680/2023, de 18 de diciembre de 2023</w:t>
      </w:r>
    </w:p>
    <w:bookmarkEnd w:id="465"/>
    <w:p w14:paraId="55F9838C" w14:textId="77777777" w:rsidR="00F64776" w:rsidRDefault="00F64776" w:rsidP="00F64776">
      <w:pPr>
        <w:pStyle w:val="TtuloResolucin"/>
      </w:pPr>
      <w:r>
        <w:t>Sección Tercera</w:t>
      </w:r>
    </w:p>
    <w:p w14:paraId="794C5EC2" w14:textId="77777777" w:rsidR="00F64776" w:rsidRDefault="00F64776" w:rsidP="00F64776">
      <w:pPr>
        <w:pStyle w:val="TextoNormalCentrado"/>
      </w:pPr>
      <w:r>
        <w:t>ECLI:ES:TC:2023:680A</w:t>
      </w:r>
    </w:p>
    <w:p w14:paraId="6EAE0D87" w14:textId="2649D3BA" w:rsidR="00F64776" w:rsidRDefault="00F64776" w:rsidP="00F64776">
      <w:pPr>
        <w:pStyle w:val="TextoNormalCentrado"/>
      </w:pPr>
    </w:p>
    <w:p w14:paraId="6E1C854B" w14:textId="77777777" w:rsidR="00F64776" w:rsidRDefault="00F64776" w:rsidP="00F64776">
      <w:pPr>
        <w:pStyle w:val="SntesisDescriptiva"/>
      </w:pPr>
      <w:r>
        <w:t>Excms. Srs. doña Inmaculada Montalbán Huertas y doña Laura Díez Bueso.</w:t>
      </w:r>
    </w:p>
    <w:p w14:paraId="6A46D861" w14:textId="3AE7EA83" w:rsidR="00F64776" w:rsidRDefault="00F64776" w:rsidP="00F64776">
      <w:pPr>
        <w:pStyle w:val="SntesisDescriptiva"/>
      </w:pPr>
    </w:p>
    <w:p w14:paraId="66CE4F93" w14:textId="77777777" w:rsidR="00F64776" w:rsidRDefault="00F64776" w:rsidP="00F64776">
      <w:pPr>
        <w:pStyle w:val="SntesisDescriptiva"/>
      </w:pPr>
      <w:r>
        <w:t>Acepta una abstención en el recurso de amparo 6890-2022, promovido en proceso contencioso administrativo.</w:t>
      </w:r>
    </w:p>
    <w:p w14:paraId="570CB723" w14:textId="1DDA9D39" w:rsidR="00F64776" w:rsidRDefault="00F64776" w:rsidP="00F64776">
      <w:pPr>
        <w:pStyle w:val="SntesisDescriptiva"/>
      </w:pPr>
    </w:p>
    <w:p w14:paraId="1E377788" w14:textId="77777777" w:rsidR="00F64776" w:rsidRDefault="00F64776" w:rsidP="00F64776">
      <w:pPr>
        <w:pStyle w:val="SntesisDescriptiva"/>
      </w:pPr>
    </w:p>
    <w:p w14:paraId="591E8E65" w14:textId="77777777" w:rsidR="00F64776" w:rsidRDefault="00F64776" w:rsidP="00F64776">
      <w:pPr>
        <w:pStyle w:val="SntesisDescriptiva"/>
      </w:pPr>
    </w:p>
    <w:p w14:paraId="582F0ACD" w14:textId="77777777" w:rsidR="00F64776" w:rsidRDefault="00F64776" w:rsidP="00F64776">
      <w:pPr>
        <w:pStyle w:val="TextoNormalNegritaCentrado"/>
      </w:pPr>
      <w:r>
        <w:t>AUTO</w:t>
      </w:r>
    </w:p>
    <w:p w14:paraId="3AD0BA57" w14:textId="748973DE" w:rsidR="00F64776" w:rsidRDefault="00F64776" w:rsidP="00F64776">
      <w:pPr>
        <w:pStyle w:val="TextoNormalNegritaCentrado"/>
      </w:pPr>
    </w:p>
    <w:p w14:paraId="6F921147" w14:textId="77777777" w:rsidR="00F64776" w:rsidRDefault="00F64776" w:rsidP="00F64776">
      <w:pPr>
        <w:pStyle w:val="TextoNormalNegritaCentrado"/>
        <w:keepNext/>
      </w:pPr>
      <w:r>
        <w:t>I. Antecedentes</w:t>
      </w:r>
    </w:p>
    <w:p w14:paraId="0B423AB7" w14:textId="06D33482" w:rsidR="00F64776" w:rsidRDefault="00F64776" w:rsidP="00F64776">
      <w:pPr>
        <w:pStyle w:val="TextoNormalNegritaCentrado"/>
        <w:keepNext/>
      </w:pPr>
    </w:p>
    <w:p w14:paraId="7CF26D87" w14:textId="4BE3B042" w:rsidR="00F64776" w:rsidRDefault="00F64776" w:rsidP="00F64776">
      <w:pPr>
        <w:pStyle w:val="TextoNormal"/>
      </w:pPr>
      <w:r w:rsidRPr="00F64776">
        <w:rPr>
          <w:rStyle w:val="NumeroAFNegritaCaracter"/>
        </w:rPr>
        <w:t>1</w:t>
      </w:r>
      <w:r>
        <w:t>. Mediante escrito registrado en este tribunal el 21 de octubre de 2022, la procuradora de los tribunales doña María Isabel Salamanca Álvaro, en nombre y representación de doña Fabiana García Colman y bajo la dirección del letrado don Luis María Chamorro Coronado, formuló demanda de amparo contra providencia de la Sala de lo Contencioso-Administrativo del Tribunal Supremo en recurso de casación núm. 5468-2022.</w:t>
      </w:r>
    </w:p>
    <w:p w14:paraId="5176F97E" w14:textId="77777777" w:rsidR="00F64776" w:rsidRDefault="00F64776" w:rsidP="00F64776">
      <w:pPr>
        <w:pStyle w:val="TextoNormal"/>
      </w:pPr>
    </w:p>
    <w:p w14:paraId="410D2D4A" w14:textId="624841A7" w:rsidR="00F64776" w:rsidRDefault="00F64776" w:rsidP="00F64776">
      <w:pPr>
        <w:pStyle w:val="TextoNormal"/>
      </w:pPr>
      <w:r w:rsidRPr="00F64776">
        <w:rPr>
          <w:rStyle w:val="NumeroAFNegritaCaracter"/>
        </w:rPr>
        <w:t>2</w:t>
      </w:r>
      <w:r>
        <w:t>. Por escrito de 1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19D7AA85" w14:textId="77777777" w:rsidR="00F64776" w:rsidRDefault="00F64776" w:rsidP="00F64776">
      <w:pPr>
        <w:pStyle w:val="TextoNormal"/>
      </w:pPr>
    </w:p>
    <w:p w14:paraId="60ADB520" w14:textId="77777777" w:rsidR="00F64776" w:rsidRDefault="00F64776" w:rsidP="00F64776">
      <w:pPr>
        <w:pStyle w:val="TextoNormalNegritaCentrado"/>
        <w:keepNext/>
      </w:pPr>
      <w:r>
        <w:t>II. Fundamentos jurídicos</w:t>
      </w:r>
    </w:p>
    <w:p w14:paraId="29D5D0FC" w14:textId="0ABF1C4F" w:rsidR="00F64776" w:rsidRDefault="00F64776" w:rsidP="00F64776">
      <w:pPr>
        <w:pStyle w:val="TextoNormalNegritaCentrado"/>
        <w:keepNext/>
      </w:pPr>
    </w:p>
    <w:p w14:paraId="29C67446" w14:textId="457DDCE9"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337303D7" w14:textId="77777777" w:rsidR="00F64776" w:rsidRDefault="00F64776" w:rsidP="00F64776">
      <w:pPr>
        <w:pStyle w:val="TextoNormal"/>
      </w:pPr>
    </w:p>
    <w:p w14:paraId="47849024" w14:textId="77777777" w:rsidR="00F64776" w:rsidRDefault="00F64776" w:rsidP="00F64776">
      <w:pPr>
        <w:pStyle w:val="TextoNormal"/>
      </w:pPr>
      <w:r>
        <w:t>Por lo expuesto, la Sección</w:t>
      </w:r>
    </w:p>
    <w:p w14:paraId="329B4BA1" w14:textId="0AB11BCF" w:rsidR="00F64776" w:rsidRDefault="00F64776" w:rsidP="00F64776">
      <w:pPr>
        <w:pStyle w:val="TextoNormal"/>
      </w:pPr>
    </w:p>
    <w:p w14:paraId="030AA999" w14:textId="77777777" w:rsidR="00F64776" w:rsidRDefault="00F64776" w:rsidP="00F64776">
      <w:pPr>
        <w:pStyle w:val="TextoNormalCentrado"/>
      </w:pPr>
      <w:r>
        <w:t>ACUERDA</w:t>
      </w:r>
    </w:p>
    <w:p w14:paraId="473CBEA2" w14:textId="006A2499" w:rsidR="00F64776" w:rsidRDefault="00F64776" w:rsidP="00F64776">
      <w:pPr>
        <w:pStyle w:val="TextoNormalCentrado"/>
      </w:pPr>
    </w:p>
    <w:p w14:paraId="21F1E758" w14:textId="5844EAD7" w:rsidR="00F64776" w:rsidRDefault="00F64776" w:rsidP="00F64776">
      <w:pPr>
        <w:pStyle w:val="TextoNormal"/>
      </w:pPr>
      <w:r>
        <w:t>Estimar justificada la abstención formulada por el magistrado don César Tolosa Tribiño en el recurso de amparo núm. 6890-2022 y apartarle definitivamente del conocimiento del referido recurso y de todas sus incidencias.</w:t>
      </w:r>
    </w:p>
    <w:p w14:paraId="739192F1" w14:textId="77777777" w:rsidR="00F64776" w:rsidRDefault="00F64776" w:rsidP="00F64776">
      <w:pPr>
        <w:pStyle w:val="TextoNormal"/>
      </w:pPr>
    </w:p>
    <w:p w14:paraId="7180B5CE" w14:textId="77777777" w:rsidR="00F64776" w:rsidRDefault="00F64776" w:rsidP="00F64776">
      <w:pPr>
        <w:pStyle w:val="TextoNormal"/>
      </w:pPr>
      <w:r>
        <w:t>Madrid, a dieciocho de diciembre de dos mil veintitrés.</w:t>
      </w:r>
    </w:p>
    <w:p w14:paraId="2B4BD6DE" w14:textId="177ECD81" w:rsidR="00F64776" w:rsidRDefault="00F64776">
      <w:pPr>
        <w:spacing w:after="160" w:line="278" w:lineRule="auto"/>
        <w:rPr>
          <w:rFonts w:ascii="Times New Roman" w:eastAsia="Times New Roman" w:hAnsi="Times New Roman" w:cs="Times New Roman"/>
          <w:sz w:val="24"/>
          <w:szCs w:val="24"/>
          <w:lang w:eastAsia="es-ES"/>
        </w:rPr>
      </w:pPr>
      <w:r>
        <w:br w:type="page"/>
      </w:r>
    </w:p>
    <w:p w14:paraId="6B518990" w14:textId="77777777" w:rsidR="00F64776" w:rsidRDefault="00F64776" w:rsidP="00F64776">
      <w:pPr>
        <w:pStyle w:val="TtuloResolucin"/>
      </w:pPr>
      <w:bookmarkStart w:id="466" w:name="AUTO_2023_681"/>
      <w:r>
        <w:t>AUTO 681/2023, de 18 de diciembre de 2023</w:t>
      </w:r>
    </w:p>
    <w:bookmarkEnd w:id="466"/>
    <w:p w14:paraId="13449569" w14:textId="77777777" w:rsidR="00F64776" w:rsidRDefault="00F64776" w:rsidP="00F64776">
      <w:pPr>
        <w:pStyle w:val="TtuloResolucin"/>
      </w:pPr>
      <w:r>
        <w:t>Sección Tercera</w:t>
      </w:r>
    </w:p>
    <w:p w14:paraId="099386C4" w14:textId="77777777" w:rsidR="00F64776" w:rsidRDefault="00F64776" w:rsidP="00F64776">
      <w:pPr>
        <w:pStyle w:val="TextoNormalCentrado"/>
      </w:pPr>
      <w:r>
        <w:t>ECLI:ES:TC:2023:681A</w:t>
      </w:r>
    </w:p>
    <w:p w14:paraId="1D7636C9" w14:textId="5B2084CD" w:rsidR="00F64776" w:rsidRDefault="00F64776" w:rsidP="00F64776">
      <w:pPr>
        <w:pStyle w:val="TextoNormalCentrado"/>
      </w:pPr>
    </w:p>
    <w:p w14:paraId="65B4F730" w14:textId="77777777" w:rsidR="00F64776" w:rsidRDefault="00F64776" w:rsidP="00F64776">
      <w:pPr>
        <w:pStyle w:val="SntesisDescriptiva"/>
      </w:pPr>
      <w:r>
        <w:t>Excms. Srs. doña Inmaculada Montalbán Huertas y doña Laura Díez Bueso.</w:t>
      </w:r>
    </w:p>
    <w:p w14:paraId="66971218" w14:textId="4C9E0865" w:rsidR="00F64776" w:rsidRDefault="00F64776" w:rsidP="00F64776">
      <w:pPr>
        <w:pStyle w:val="SntesisDescriptiva"/>
      </w:pPr>
    </w:p>
    <w:p w14:paraId="6602C00F" w14:textId="77777777" w:rsidR="00F64776" w:rsidRDefault="00F64776" w:rsidP="00F64776">
      <w:pPr>
        <w:pStyle w:val="SntesisDescriptiva"/>
      </w:pPr>
      <w:r>
        <w:t>Acepta una abstención en el recurso de amparo 6910-2022, promovido en proceso contencioso administrativo.</w:t>
      </w:r>
    </w:p>
    <w:p w14:paraId="7867149B" w14:textId="258E7A9E" w:rsidR="00F64776" w:rsidRDefault="00F64776" w:rsidP="00F64776">
      <w:pPr>
        <w:pStyle w:val="SntesisDescriptiva"/>
      </w:pPr>
    </w:p>
    <w:p w14:paraId="118B2B82" w14:textId="77777777" w:rsidR="00F64776" w:rsidRDefault="00F64776" w:rsidP="00F64776">
      <w:pPr>
        <w:pStyle w:val="SntesisDescriptiva"/>
      </w:pPr>
    </w:p>
    <w:p w14:paraId="59148884" w14:textId="77777777" w:rsidR="00F64776" w:rsidRDefault="00F64776" w:rsidP="00F64776">
      <w:pPr>
        <w:pStyle w:val="SntesisDescriptiva"/>
      </w:pPr>
    </w:p>
    <w:p w14:paraId="0BD959BE" w14:textId="77777777" w:rsidR="00F64776" w:rsidRDefault="00F64776" w:rsidP="00F64776">
      <w:pPr>
        <w:pStyle w:val="TextoNormalNegritaCentrado"/>
      </w:pPr>
      <w:r>
        <w:t>AUTO</w:t>
      </w:r>
    </w:p>
    <w:p w14:paraId="6C683FB7" w14:textId="76613FCC" w:rsidR="00F64776" w:rsidRDefault="00F64776" w:rsidP="00F64776">
      <w:pPr>
        <w:pStyle w:val="TextoNormalNegritaCentrado"/>
      </w:pPr>
    </w:p>
    <w:p w14:paraId="10828721" w14:textId="77777777" w:rsidR="00F64776" w:rsidRDefault="00F64776" w:rsidP="00F64776">
      <w:pPr>
        <w:pStyle w:val="TextoNormalNegritaCentrado"/>
        <w:keepNext/>
      </w:pPr>
      <w:r>
        <w:t>I. Antecedentes</w:t>
      </w:r>
    </w:p>
    <w:p w14:paraId="1926FD6D" w14:textId="07D4F9DF" w:rsidR="00F64776" w:rsidRDefault="00F64776" w:rsidP="00F64776">
      <w:pPr>
        <w:pStyle w:val="TextoNormalNegritaCentrado"/>
        <w:keepNext/>
      </w:pPr>
    </w:p>
    <w:p w14:paraId="44BB32DD" w14:textId="47FFE5B5" w:rsidR="00F64776" w:rsidRDefault="00F64776" w:rsidP="00F64776">
      <w:pPr>
        <w:pStyle w:val="TextoNormal"/>
      </w:pPr>
      <w:r w:rsidRPr="00F64776">
        <w:rPr>
          <w:rStyle w:val="NumeroAFNegritaCaracter"/>
        </w:rPr>
        <w:t>1</w:t>
      </w:r>
      <w:r>
        <w:t>. Mediante escrito registrado en este tribunal el 24 de octubre de 2022, la procuradora de los tribunales doña Cristina Bota Vinuesa, en nombre y representación de don Melkis Manuel Oñoro Arias y bajo la dirección del letrado don Julio Pérez Martín, formuló demanda de amparo contra providencia de la Sección Primera de la Sala de lo Contencioso-Administrativo del Tribunal Supremo en recurso de casación núm. 5221-2022.</w:t>
      </w:r>
    </w:p>
    <w:p w14:paraId="38C881CD" w14:textId="77777777" w:rsidR="00F64776" w:rsidRDefault="00F64776" w:rsidP="00F64776">
      <w:pPr>
        <w:pStyle w:val="TextoNormal"/>
      </w:pPr>
    </w:p>
    <w:p w14:paraId="4E1D97E8" w14:textId="628B7750" w:rsidR="00F64776" w:rsidRDefault="00F64776" w:rsidP="00F64776">
      <w:pPr>
        <w:pStyle w:val="TextoNormal"/>
      </w:pPr>
      <w:r w:rsidRPr="00F64776">
        <w:rPr>
          <w:rStyle w:val="NumeroAFNegritaCaracter"/>
        </w:rPr>
        <w:t>2</w:t>
      </w:r>
      <w:r>
        <w:t>. Por escrito de 1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44DE3F5D" w14:textId="77777777" w:rsidR="00F64776" w:rsidRDefault="00F64776" w:rsidP="00F64776">
      <w:pPr>
        <w:pStyle w:val="TextoNormal"/>
      </w:pPr>
    </w:p>
    <w:p w14:paraId="16C43CB8" w14:textId="77777777" w:rsidR="00F64776" w:rsidRDefault="00F64776" w:rsidP="00F64776">
      <w:pPr>
        <w:pStyle w:val="TextoNormalNegritaCentrado"/>
        <w:keepNext/>
      </w:pPr>
      <w:r>
        <w:t>II. Fundamentos jurídicos</w:t>
      </w:r>
    </w:p>
    <w:p w14:paraId="140EDAF1" w14:textId="18F1FEAF" w:rsidR="00F64776" w:rsidRDefault="00F64776" w:rsidP="00F64776">
      <w:pPr>
        <w:pStyle w:val="TextoNormalNegritaCentrado"/>
        <w:keepNext/>
      </w:pPr>
    </w:p>
    <w:p w14:paraId="1E38C987" w14:textId="7A4E857D"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673909B6" w14:textId="77777777" w:rsidR="00F64776" w:rsidRDefault="00F64776" w:rsidP="00F64776">
      <w:pPr>
        <w:pStyle w:val="TextoNormal"/>
      </w:pPr>
    </w:p>
    <w:p w14:paraId="09E92567" w14:textId="77777777" w:rsidR="00F64776" w:rsidRDefault="00F64776" w:rsidP="00F64776">
      <w:pPr>
        <w:pStyle w:val="TextoNormal"/>
      </w:pPr>
      <w:r>
        <w:t>Por lo expuesto, la Sección</w:t>
      </w:r>
    </w:p>
    <w:p w14:paraId="50B9C3E7" w14:textId="019D483E" w:rsidR="00F64776" w:rsidRDefault="00F64776" w:rsidP="00F64776">
      <w:pPr>
        <w:pStyle w:val="TextoNormal"/>
      </w:pPr>
    </w:p>
    <w:p w14:paraId="32E90841" w14:textId="77777777" w:rsidR="00F64776" w:rsidRDefault="00F64776" w:rsidP="00F64776">
      <w:pPr>
        <w:pStyle w:val="TextoNormalCentrado"/>
      </w:pPr>
      <w:r>
        <w:t>ACUERDA</w:t>
      </w:r>
    </w:p>
    <w:p w14:paraId="302987E6" w14:textId="444F57D3" w:rsidR="00F64776" w:rsidRDefault="00F64776" w:rsidP="00F64776">
      <w:pPr>
        <w:pStyle w:val="TextoNormalCentrado"/>
      </w:pPr>
    </w:p>
    <w:p w14:paraId="13F6B938" w14:textId="7B2C54C2" w:rsidR="00F64776" w:rsidRDefault="00F64776" w:rsidP="00F64776">
      <w:pPr>
        <w:pStyle w:val="TextoNormal"/>
      </w:pPr>
      <w:r>
        <w:t>Estimar justificada la abstención formulada por el magistrado don César Tolosa Tribiño en el recurso de amparo núm. 6910-2022 y apartarle definitivamente del conocimiento del referido recurso y de todas sus incidencias.</w:t>
      </w:r>
    </w:p>
    <w:p w14:paraId="5429C02B" w14:textId="77777777" w:rsidR="00F64776" w:rsidRDefault="00F64776" w:rsidP="00F64776">
      <w:pPr>
        <w:pStyle w:val="TextoNormal"/>
      </w:pPr>
    </w:p>
    <w:p w14:paraId="6C8F0967" w14:textId="77777777" w:rsidR="00F64776" w:rsidRDefault="00F64776" w:rsidP="00F64776">
      <w:pPr>
        <w:pStyle w:val="TextoNormal"/>
      </w:pPr>
      <w:r>
        <w:t>Madrid, a dieciocho de diciembre de dos mil veintitrés.</w:t>
      </w:r>
    </w:p>
    <w:p w14:paraId="35DE17DD" w14:textId="244641F8" w:rsidR="00F64776" w:rsidRDefault="00F64776">
      <w:pPr>
        <w:spacing w:after="160" w:line="278" w:lineRule="auto"/>
        <w:rPr>
          <w:rFonts w:ascii="Times New Roman" w:eastAsia="Times New Roman" w:hAnsi="Times New Roman" w:cs="Times New Roman"/>
          <w:sz w:val="24"/>
          <w:szCs w:val="24"/>
          <w:lang w:eastAsia="es-ES"/>
        </w:rPr>
      </w:pPr>
      <w:r>
        <w:br w:type="page"/>
      </w:r>
    </w:p>
    <w:p w14:paraId="0C9A1CCC" w14:textId="77777777" w:rsidR="00F64776" w:rsidRDefault="00F64776" w:rsidP="00F64776">
      <w:pPr>
        <w:pStyle w:val="TtuloResolucin"/>
      </w:pPr>
      <w:bookmarkStart w:id="467" w:name="AUTO_2023_682"/>
      <w:r>
        <w:t>AUTO 682/2023, de 18 de diciembre de 2023</w:t>
      </w:r>
    </w:p>
    <w:bookmarkEnd w:id="467"/>
    <w:p w14:paraId="12562FA5" w14:textId="77777777" w:rsidR="00F64776" w:rsidRDefault="00F64776" w:rsidP="00F64776">
      <w:pPr>
        <w:pStyle w:val="TtuloResolucin"/>
      </w:pPr>
      <w:r>
        <w:t>Sección Tercera</w:t>
      </w:r>
    </w:p>
    <w:p w14:paraId="0DF78987" w14:textId="77777777" w:rsidR="00F64776" w:rsidRDefault="00F64776" w:rsidP="00F64776">
      <w:pPr>
        <w:pStyle w:val="TextoNormalCentrado"/>
      </w:pPr>
      <w:r>
        <w:t>ECLI:ES:TC:2023:682A</w:t>
      </w:r>
    </w:p>
    <w:p w14:paraId="1C94E24E" w14:textId="16BA8E73" w:rsidR="00F64776" w:rsidRDefault="00F64776" w:rsidP="00F64776">
      <w:pPr>
        <w:pStyle w:val="TextoNormalCentrado"/>
      </w:pPr>
    </w:p>
    <w:p w14:paraId="1A4044E1" w14:textId="77777777" w:rsidR="00F64776" w:rsidRDefault="00F64776" w:rsidP="00F64776">
      <w:pPr>
        <w:pStyle w:val="SntesisDescriptiva"/>
      </w:pPr>
      <w:r>
        <w:t>Excms. Srs. doña Inmaculada Montalbán Huertas y doña Laura Díez Bueso.</w:t>
      </w:r>
    </w:p>
    <w:p w14:paraId="787AF389" w14:textId="1FDDC7A2" w:rsidR="00F64776" w:rsidRDefault="00F64776" w:rsidP="00F64776">
      <w:pPr>
        <w:pStyle w:val="SntesisDescriptiva"/>
      </w:pPr>
    </w:p>
    <w:p w14:paraId="06958C87" w14:textId="77777777" w:rsidR="00F64776" w:rsidRDefault="00F64776" w:rsidP="00F64776">
      <w:pPr>
        <w:pStyle w:val="SntesisDescriptiva"/>
      </w:pPr>
      <w:r>
        <w:t>Acepta una abstención en el recurso de amparo 6921-2022, promovido en proceso contencioso administrativo.</w:t>
      </w:r>
    </w:p>
    <w:p w14:paraId="776CA80F" w14:textId="1E784256" w:rsidR="00F64776" w:rsidRDefault="00F64776" w:rsidP="00F64776">
      <w:pPr>
        <w:pStyle w:val="SntesisDescriptiva"/>
      </w:pPr>
    </w:p>
    <w:p w14:paraId="5EFBDB77" w14:textId="77777777" w:rsidR="00F64776" w:rsidRDefault="00F64776" w:rsidP="00F64776">
      <w:pPr>
        <w:pStyle w:val="SntesisDescriptiva"/>
      </w:pPr>
    </w:p>
    <w:p w14:paraId="6D7A6040" w14:textId="77777777" w:rsidR="00F64776" w:rsidRDefault="00F64776" w:rsidP="00F64776">
      <w:pPr>
        <w:pStyle w:val="SntesisDescriptiva"/>
      </w:pPr>
    </w:p>
    <w:p w14:paraId="3965F03D" w14:textId="77777777" w:rsidR="00F64776" w:rsidRDefault="00F64776" w:rsidP="00F64776">
      <w:pPr>
        <w:pStyle w:val="TextoNormalNegritaCentrado"/>
      </w:pPr>
      <w:r>
        <w:t>AUTO</w:t>
      </w:r>
    </w:p>
    <w:p w14:paraId="796E7D8E" w14:textId="1ED3AB78" w:rsidR="00F64776" w:rsidRDefault="00F64776" w:rsidP="00F64776">
      <w:pPr>
        <w:pStyle w:val="TextoNormalNegritaCentrado"/>
      </w:pPr>
    </w:p>
    <w:p w14:paraId="22830E70" w14:textId="77777777" w:rsidR="00F64776" w:rsidRDefault="00F64776" w:rsidP="00F64776">
      <w:pPr>
        <w:pStyle w:val="TextoNormalNegritaCentrado"/>
        <w:keepNext/>
      </w:pPr>
      <w:r>
        <w:t>I. Antecedentes</w:t>
      </w:r>
    </w:p>
    <w:p w14:paraId="3C1A69A8" w14:textId="5C542101" w:rsidR="00F64776" w:rsidRDefault="00F64776" w:rsidP="00F64776">
      <w:pPr>
        <w:pStyle w:val="TextoNormalNegritaCentrado"/>
        <w:keepNext/>
      </w:pPr>
    </w:p>
    <w:p w14:paraId="16267106" w14:textId="090385B9" w:rsidR="00F64776" w:rsidRDefault="00F64776" w:rsidP="00F64776">
      <w:pPr>
        <w:pStyle w:val="TextoNormal"/>
      </w:pPr>
      <w:r w:rsidRPr="00F64776">
        <w:rPr>
          <w:rStyle w:val="NumeroAFNegritaCaracter"/>
        </w:rPr>
        <w:t>1</w:t>
      </w:r>
      <w:r>
        <w:t>. Mediante escrito registrado en este tribunal el 24 de octubre de 2022, el procurador de los tribunales don Domingo José Collado Moreno, en nombre y representación de don Daniel Jesús Cristóbal Rojas y bajo la dirección del letrado don José Soto Hernández, formuló demanda de amparo contra providencia de la Sección Primera de la Sala de lo Contencioso-Administrativo del Tribunal Supremo en recurso de casación núm. 963-2022.</w:t>
      </w:r>
    </w:p>
    <w:p w14:paraId="61E6A7D4" w14:textId="77777777" w:rsidR="00F64776" w:rsidRDefault="00F64776" w:rsidP="00F64776">
      <w:pPr>
        <w:pStyle w:val="TextoNormal"/>
      </w:pPr>
    </w:p>
    <w:p w14:paraId="5E1DBB7B" w14:textId="7C4C2B08" w:rsidR="00F64776" w:rsidRDefault="00F64776" w:rsidP="00F64776">
      <w:pPr>
        <w:pStyle w:val="TextoNormal"/>
      </w:pPr>
      <w:r w:rsidRPr="00F64776">
        <w:rPr>
          <w:rStyle w:val="NumeroAFNegritaCaracter"/>
        </w:rPr>
        <w:t>2</w:t>
      </w:r>
      <w:r>
        <w:t>. Por escrito de 1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729A9674" w14:textId="77777777" w:rsidR="00F64776" w:rsidRDefault="00F64776" w:rsidP="00F64776">
      <w:pPr>
        <w:pStyle w:val="TextoNormal"/>
      </w:pPr>
    </w:p>
    <w:p w14:paraId="69B5A09E" w14:textId="77777777" w:rsidR="00F64776" w:rsidRDefault="00F64776" w:rsidP="00F64776">
      <w:pPr>
        <w:pStyle w:val="TextoNormalNegritaCentrado"/>
        <w:keepNext/>
      </w:pPr>
      <w:r>
        <w:t>II. Fundamentos jurídicos</w:t>
      </w:r>
    </w:p>
    <w:p w14:paraId="798BF2A7" w14:textId="08E8E569" w:rsidR="00F64776" w:rsidRDefault="00F64776" w:rsidP="00F64776">
      <w:pPr>
        <w:pStyle w:val="TextoNormalNegritaCentrado"/>
        <w:keepNext/>
      </w:pPr>
    </w:p>
    <w:p w14:paraId="4C9F4960" w14:textId="3AF837FA"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09783355" w14:textId="77777777" w:rsidR="00F64776" w:rsidRDefault="00F64776" w:rsidP="00F64776">
      <w:pPr>
        <w:pStyle w:val="TextoNormal"/>
      </w:pPr>
    </w:p>
    <w:p w14:paraId="5CD54593" w14:textId="77777777" w:rsidR="00F64776" w:rsidRDefault="00F64776" w:rsidP="00F64776">
      <w:pPr>
        <w:pStyle w:val="TextoNormal"/>
      </w:pPr>
      <w:r>
        <w:t>Por lo expuesto, la Sección</w:t>
      </w:r>
    </w:p>
    <w:p w14:paraId="7210C5F9" w14:textId="0887CD22" w:rsidR="00F64776" w:rsidRDefault="00F64776" w:rsidP="00F64776">
      <w:pPr>
        <w:pStyle w:val="TextoNormal"/>
      </w:pPr>
    </w:p>
    <w:p w14:paraId="77193C95" w14:textId="77777777" w:rsidR="00F64776" w:rsidRDefault="00F64776" w:rsidP="00F64776">
      <w:pPr>
        <w:pStyle w:val="TextoNormalCentrado"/>
      </w:pPr>
      <w:r>
        <w:t>ACUERDA</w:t>
      </w:r>
    </w:p>
    <w:p w14:paraId="5FEE1569" w14:textId="4BB84418" w:rsidR="00F64776" w:rsidRDefault="00F64776" w:rsidP="00F64776">
      <w:pPr>
        <w:pStyle w:val="TextoNormalCentrado"/>
      </w:pPr>
    </w:p>
    <w:p w14:paraId="1877A8EE" w14:textId="419881E3" w:rsidR="00F64776" w:rsidRDefault="00F64776" w:rsidP="00F64776">
      <w:pPr>
        <w:pStyle w:val="TextoNormal"/>
      </w:pPr>
      <w:r>
        <w:t>Estimar justificada la abstención formulada por el magistrado don César Tolosa Tribiño en el recurso de amparo núm. 6921-2022 y apartarle definitivamente del conocimiento del referido recurso y de todas sus incidencias.</w:t>
      </w:r>
    </w:p>
    <w:p w14:paraId="44670F87" w14:textId="77777777" w:rsidR="00F64776" w:rsidRDefault="00F64776" w:rsidP="00F64776">
      <w:pPr>
        <w:pStyle w:val="TextoNormal"/>
      </w:pPr>
    </w:p>
    <w:p w14:paraId="7173F64B" w14:textId="77777777" w:rsidR="00F64776" w:rsidRDefault="00F64776" w:rsidP="00F64776">
      <w:pPr>
        <w:pStyle w:val="TextoNormal"/>
      </w:pPr>
      <w:r>
        <w:t>Madrid, a dieciocho de diciembre de dos mil veintitrés.</w:t>
      </w:r>
    </w:p>
    <w:p w14:paraId="44B03307" w14:textId="36A26810" w:rsidR="00F64776" w:rsidRDefault="00F64776">
      <w:pPr>
        <w:spacing w:after="160" w:line="278" w:lineRule="auto"/>
        <w:rPr>
          <w:rFonts w:ascii="Times New Roman" w:eastAsia="Times New Roman" w:hAnsi="Times New Roman" w:cs="Times New Roman"/>
          <w:sz w:val="24"/>
          <w:szCs w:val="24"/>
          <w:lang w:eastAsia="es-ES"/>
        </w:rPr>
      </w:pPr>
      <w:r>
        <w:br w:type="page"/>
      </w:r>
    </w:p>
    <w:p w14:paraId="2269B01F" w14:textId="77777777" w:rsidR="00F64776" w:rsidRDefault="00F64776" w:rsidP="00F64776">
      <w:pPr>
        <w:pStyle w:val="TtuloResolucin"/>
      </w:pPr>
      <w:bookmarkStart w:id="468" w:name="AUTO_2023_683"/>
      <w:r>
        <w:t>AUTO 683/2023, de 18 de diciembre de 2023</w:t>
      </w:r>
    </w:p>
    <w:bookmarkEnd w:id="468"/>
    <w:p w14:paraId="06AB6EE9" w14:textId="77777777" w:rsidR="00F64776" w:rsidRDefault="00F64776" w:rsidP="00F64776">
      <w:pPr>
        <w:pStyle w:val="TtuloResolucin"/>
      </w:pPr>
      <w:r>
        <w:t>Sección Tercera</w:t>
      </w:r>
    </w:p>
    <w:p w14:paraId="24F05ADD" w14:textId="77777777" w:rsidR="00F64776" w:rsidRDefault="00F64776" w:rsidP="00F64776">
      <w:pPr>
        <w:pStyle w:val="TextoNormalCentrado"/>
      </w:pPr>
      <w:r>
        <w:t>ECLI:ES:TC:2023:683A</w:t>
      </w:r>
    </w:p>
    <w:p w14:paraId="692037C5" w14:textId="14087EAC" w:rsidR="00F64776" w:rsidRDefault="00F64776" w:rsidP="00F64776">
      <w:pPr>
        <w:pStyle w:val="TextoNormalCentrado"/>
      </w:pPr>
    </w:p>
    <w:p w14:paraId="58289EB8" w14:textId="77777777" w:rsidR="00F64776" w:rsidRDefault="00F64776" w:rsidP="00F64776">
      <w:pPr>
        <w:pStyle w:val="SntesisDescriptiva"/>
      </w:pPr>
      <w:r>
        <w:t>Excms. Srs. doña Inmaculada Montalbán Huertas y doña Laura Díez Bueso.</w:t>
      </w:r>
    </w:p>
    <w:p w14:paraId="47828601" w14:textId="755BA728" w:rsidR="00F64776" w:rsidRDefault="00F64776" w:rsidP="00F64776">
      <w:pPr>
        <w:pStyle w:val="SntesisDescriptiva"/>
      </w:pPr>
    </w:p>
    <w:p w14:paraId="237604E7" w14:textId="77777777" w:rsidR="00F64776" w:rsidRDefault="00F64776" w:rsidP="00F64776">
      <w:pPr>
        <w:pStyle w:val="SntesisDescriptiva"/>
      </w:pPr>
      <w:r>
        <w:t>Acepta una abstención en el recurso de amparo 7675-2022, promovido por Pincasa S.L., en proceso contencioso administrativo.</w:t>
      </w:r>
    </w:p>
    <w:p w14:paraId="5CF5D9F0" w14:textId="5EB6BCCE" w:rsidR="00F64776" w:rsidRDefault="00F64776" w:rsidP="00F64776">
      <w:pPr>
        <w:pStyle w:val="SntesisDescriptiva"/>
      </w:pPr>
    </w:p>
    <w:p w14:paraId="77D82F60" w14:textId="77777777" w:rsidR="00F64776" w:rsidRDefault="00F64776" w:rsidP="00F64776">
      <w:pPr>
        <w:pStyle w:val="SntesisDescriptiva"/>
      </w:pPr>
    </w:p>
    <w:p w14:paraId="47924CA8" w14:textId="77777777" w:rsidR="00F64776" w:rsidRDefault="00F64776" w:rsidP="00F64776">
      <w:pPr>
        <w:pStyle w:val="SntesisDescriptiva"/>
      </w:pPr>
    </w:p>
    <w:p w14:paraId="5B5DCFC0" w14:textId="77777777" w:rsidR="00F64776" w:rsidRDefault="00F64776" w:rsidP="00F64776">
      <w:pPr>
        <w:pStyle w:val="TextoNormalNegritaCentrado"/>
      </w:pPr>
      <w:r>
        <w:t>AUTO</w:t>
      </w:r>
    </w:p>
    <w:p w14:paraId="2ED3C4D0" w14:textId="0D323D14" w:rsidR="00F64776" w:rsidRDefault="00F64776" w:rsidP="00F64776">
      <w:pPr>
        <w:pStyle w:val="TextoNormalNegritaCentrado"/>
      </w:pPr>
    </w:p>
    <w:p w14:paraId="7F45C53C" w14:textId="77777777" w:rsidR="00F64776" w:rsidRDefault="00F64776" w:rsidP="00F64776">
      <w:pPr>
        <w:pStyle w:val="TextoNormalNegritaCentrado"/>
        <w:keepNext/>
      </w:pPr>
      <w:r>
        <w:t>I. Antecedentes</w:t>
      </w:r>
    </w:p>
    <w:p w14:paraId="7D978BC6" w14:textId="39DA1AE0" w:rsidR="00F64776" w:rsidRDefault="00F64776" w:rsidP="00F64776">
      <w:pPr>
        <w:pStyle w:val="TextoNormalNegritaCentrado"/>
        <w:keepNext/>
      </w:pPr>
    </w:p>
    <w:p w14:paraId="223EA74E" w14:textId="01A3AA57" w:rsidR="00F64776" w:rsidRDefault="00F64776" w:rsidP="00F64776">
      <w:pPr>
        <w:pStyle w:val="TextoNormal"/>
      </w:pPr>
      <w:r w:rsidRPr="00F64776">
        <w:rPr>
          <w:rStyle w:val="NumeroAFNegritaCaracter"/>
        </w:rPr>
        <w:t>1</w:t>
      </w:r>
      <w:r>
        <w:t>. Mediante escrito registrado en este tribunal el 21 de noviembre de 2022, el procurador de los tribunales don Fernando Ruíz de Velasco Martínez de Ercilla, en nombre y representación de le entidad Pincasa, S.L., y bajo la dirección del letrado don Ángel de Martín Santiago, formuló demanda de amparo contra auto de 11 de octubre de 2022 dictado por la Sección Primera de la Sala de lo Contencioso-Administrativo del Tribunal Supremo en recurso de queja núm. 497-2022 contra sentencia del Juzgado de lo Contencioso-Administrativo núm. 1 de Madrid, recurso núm. 437-2021.</w:t>
      </w:r>
    </w:p>
    <w:p w14:paraId="3B90C23F" w14:textId="77777777" w:rsidR="00F64776" w:rsidRDefault="00F64776" w:rsidP="00F64776">
      <w:pPr>
        <w:pStyle w:val="TextoNormal"/>
      </w:pPr>
    </w:p>
    <w:p w14:paraId="24E610D0" w14:textId="4098ACDA" w:rsidR="00F64776" w:rsidRDefault="00F64776" w:rsidP="00F64776">
      <w:pPr>
        <w:pStyle w:val="TextoNormal"/>
      </w:pPr>
      <w:r w:rsidRPr="00F64776">
        <w:rPr>
          <w:rStyle w:val="NumeroAFNegritaCaracter"/>
        </w:rPr>
        <w:t>2</w:t>
      </w:r>
      <w:r>
        <w:t>. Por escrito de 13 de noviembre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7DE5F6CF" w14:textId="77777777" w:rsidR="00F64776" w:rsidRDefault="00F64776" w:rsidP="00F64776">
      <w:pPr>
        <w:pStyle w:val="TextoNormal"/>
      </w:pPr>
    </w:p>
    <w:p w14:paraId="36992BC0" w14:textId="77777777" w:rsidR="00F64776" w:rsidRDefault="00F64776" w:rsidP="00F64776">
      <w:pPr>
        <w:pStyle w:val="TextoNormalNegritaCentrado"/>
        <w:keepNext/>
      </w:pPr>
      <w:r>
        <w:t>II. Fundamentos jurídicos</w:t>
      </w:r>
    </w:p>
    <w:p w14:paraId="2EFB419C" w14:textId="7810C66D" w:rsidR="00F64776" w:rsidRDefault="00F64776" w:rsidP="00F64776">
      <w:pPr>
        <w:pStyle w:val="TextoNormalNegritaCentrado"/>
        <w:keepNext/>
      </w:pPr>
    </w:p>
    <w:p w14:paraId="2CC6B705" w14:textId="5929CB7F"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048B9519" w14:textId="77777777" w:rsidR="00F64776" w:rsidRDefault="00F64776" w:rsidP="00F64776">
      <w:pPr>
        <w:pStyle w:val="TextoNormal"/>
      </w:pPr>
    </w:p>
    <w:p w14:paraId="02B58829" w14:textId="77777777" w:rsidR="00F64776" w:rsidRDefault="00F64776" w:rsidP="00F64776">
      <w:pPr>
        <w:pStyle w:val="TextoNormal"/>
      </w:pPr>
      <w:r>
        <w:t>Por lo expuesto, la Sección</w:t>
      </w:r>
    </w:p>
    <w:p w14:paraId="29E8AEE6" w14:textId="5E8A824C" w:rsidR="00F64776" w:rsidRDefault="00F64776" w:rsidP="00F64776">
      <w:pPr>
        <w:pStyle w:val="TextoNormal"/>
      </w:pPr>
    </w:p>
    <w:p w14:paraId="452BC16F" w14:textId="77777777" w:rsidR="00F64776" w:rsidRDefault="00F64776" w:rsidP="00F64776">
      <w:pPr>
        <w:pStyle w:val="TextoNormalCentrado"/>
      </w:pPr>
      <w:r>
        <w:t>ACUERDA</w:t>
      </w:r>
    </w:p>
    <w:p w14:paraId="12F7D029" w14:textId="47F961DA" w:rsidR="00F64776" w:rsidRDefault="00F64776" w:rsidP="00F64776">
      <w:pPr>
        <w:pStyle w:val="TextoNormalCentrado"/>
      </w:pPr>
    </w:p>
    <w:p w14:paraId="1CB89C19" w14:textId="71491C15" w:rsidR="00F64776" w:rsidRDefault="00F64776" w:rsidP="00F64776">
      <w:pPr>
        <w:pStyle w:val="TextoNormal"/>
      </w:pPr>
      <w:r>
        <w:t>Estimar justificada la abstención formulada por el magistrado don César Tolosa Tribiño en el recurso de amparo núm. 7675-2022 y apartarle definitivamente del conocimiento del referido recurso y de todas sus incidencias.</w:t>
      </w:r>
    </w:p>
    <w:p w14:paraId="246A77D6" w14:textId="77777777" w:rsidR="00F64776" w:rsidRDefault="00F64776" w:rsidP="00F64776">
      <w:pPr>
        <w:pStyle w:val="TextoNormal"/>
      </w:pPr>
    </w:p>
    <w:p w14:paraId="220A467C" w14:textId="77777777" w:rsidR="00F64776" w:rsidRDefault="00F64776" w:rsidP="00F64776">
      <w:pPr>
        <w:pStyle w:val="TextoNormal"/>
      </w:pPr>
      <w:r>
        <w:t>Madrid, a dieciocho de diciembre de dos mil veintitrés.</w:t>
      </w:r>
    </w:p>
    <w:p w14:paraId="26A1C530" w14:textId="271679D0" w:rsidR="00F64776" w:rsidRDefault="00F64776">
      <w:pPr>
        <w:spacing w:after="160" w:line="278" w:lineRule="auto"/>
        <w:rPr>
          <w:rFonts w:ascii="Times New Roman" w:eastAsia="Times New Roman" w:hAnsi="Times New Roman" w:cs="Times New Roman"/>
          <w:sz w:val="24"/>
          <w:szCs w:val="24"/>
          <w:lang w:eastAsia="es-ES"/>
        </w:rPr>
      </w:pPr>
      <w:r>
        <w:br w:type="page"/>
      </w:r>
    </w:p>
    <w:p w14:paraId="791AA3B6" w14:textId="77777777" w:rsidR="00F64776" w:rsidRDefault="00F64776" w:rsidP="00F64776">
      <w:pPr>
        <w:pStyle w:val="TtuloResolucin"/>
      </w:pPr>
      <w:bookmarkStart w:id="469" w:name="AUTO_2023_684"/>
      <w:r>
        <w:t>AUTO 684/2023, de 18 de diciembre de 2023</w:t>
      </w:r>
    </w:p>
    <w:bookmarkEnd w:id="469"/>
    <w:p w14:paraId="19A0997F" w14:textId="77777777" w:rsidR="00F64776" w:rsidRDefault="00F64776" w:rsidP="00F64776">
      <w:pPr>
        <w:pStyle w:val="TtuloResolucin"/>
      </w:pPr>
      <w:r>
        <w:t>Sección Tercera</w:t>
      </w:r>
    </w:p>
    <w:p w14:paraId="7D323106" w14:textId="77777777" w:rsidR="00F64776" w:rsidRDefault="00F64776" w:rsidP="00F64776">
      <w:pPr>
        <w:pStyle w:val="TextoNormalCentrado"/>
      </w:pPr>
      <w:r>
        <w:t>ECLI:ES:TC:2023:684A</w:t>
      </w:r>
    </w:p>
    <w:p w14:paraId="03F017E6" w14:textId="2CD186EE" w:rsidR="00F64776" w:rsidRDefault="00F64776" w:rsidP="00F64776">
      <w:pPr>
        <w:pStyle w:val="TextoNormalCentrado"/>
      </w:pPr>
    </w:p>
    <w:p w14:paraId="06D99683" w14:textId="77777777" w:rsidR="00F64776" w:rsidRDefault="00F64776" w:rsidP="00F64776">
      <w:pPr>
        <w:pStyle w:val="SntesisDescriptiva"/>
      </w:pPr>
      <w:r>
        <w:t>Excms. Srs. doña Inmaculada Montalbán Huertas y doña Laura Díez Bueso.</w:t>
      </w:r>
    </w:p>
    <w:p w14:paraId="2E44772E" w14:textId="139CF116" w:rsidR="00F64776" w:rsidRDefault="00F64776" w:rsidP="00F64776">
      <w:pPr>
        <w:pStyle w:val="SntesisDescriptiva"/>
      </w:pPr>
    </w:p>
    <w:p w14:paraId="2067D4AA" w14:textId="77777777" w:rsidR="00F64776" w:rsidRDefault="00F64776" w:rsidP="00F64776">
      <w:pPr>
        <w:pStyle w:val="SntesisDescriptiva"/>
      </w:pPr>
      <w:r>
        <w:t>Acepta una abstención en el recurso de amparo 8269-2022, promovido en proceso contencioso administrativo.</w:t>
      </w:r>
    </w:p>
    <w:p w14:paraId="42A5001D" w14:textId="4F022590" w:rsidR="00F64776" w:rsidRDefault="00F64776" w:rsidP="00F64776">
      <w:pPr>
        <w:pStyle w:val="SntesisDescriptiva"/>
      </w:pPr>
    </w:p>
    <w:p w14:paraId="69B9A4CD" w14:textId="77777777" w:rsidR="00F64776" w:rsidRDefault="00F64776" w:rsidP="00F64776">
      <w:pPr>
        <w:pStyle w:val="SntesisDescriptiva"/>
      </w:pPr>
    </w:p>
    <w:p w14:paraId="605466E0" w14:textId="77777777" w:rsidR="00F64776" w:rsidRDefault="00F64776" w:rsidP="00F64776">
      <w:pPr>
        <w:pStyle w:val="SntesisDescriptiva"/>
      </w:pPr>
    </w:p>
    <w:p w14:paraId="30232A20" w14:textId="77777777" w:rsidR="00F64776" w:rsidRDefault="00F64776" w:rsidP="00F64776">
      <w:pPr>
        <w:pStyle w:val="TextoNormalNegritaCentrado"/>
      </w:pPr>
      <w:r>
        <w:t>AUTO</w:t>
      </w:r>
    </w:p>
    <w:p w14:paraId="6E685841" w14:textId="340EA02A" w:rsidR="00F64776" w:rsidRDefault="00F64776" w:rsidP="00F64776">
      <w:pPr>
        <w:pStyle w:val="TextoNormalNegritaCentrado"/>
      </w:pPr>
    </w:p>
    <w:p w14:paraId="4437E015" w14:textId="77777777" w:rsidR="00F64776" w:rsidRDefault="00F64776" w:rsidP="00F64776">
      <w:pPr>
        <w:pStyle w:val="TextoNormalNegritaCentrado"/>
        <w:keepNext/>
      </w:pPr>
      <w:r>
        <w:t>I. Antecedentes</w:t>
      </w:r>
    </w:p>
    <w:p w14:paraId="535DEA45" w14:textId="54F132D4" w:rsidR="00F64776" w:rsidRDefault="00F64776" w:rsidP="00F64776">
      <w:pPr>
        <w:pStyle w:val="TextoNormalNegritaCentrado"/>
        <w:keepNext/>
      </w:pPr>
    </w:p>
    <w:p w14:paraId="5B5432E1" w14:textId="0EFAA289" w:rsidR="00F64776" w:rsidRDefault="00F64776" w:rsidP="00F64776">
      <w:pPr>
        <w:pStyle w:val="TextoNormal"/>
      </w:pPr>
      <w:r w:rsidRPr="00F64776">
        <w:rPr>
          <w:rStyle w:val="NumeroAFNegritaCaracter"/>
        </w:rPr>
        <w:t>1</w:t>
      </w:r>
      <w:r>
        <w:t>. Mediante escrito registrado en este tribunal el 14 de diciembre de 2022, el procurador de los tribunales don Fernando Pérez Cruz, en nombre y representación de don Antonio Moreno Donoso y bajo la dirección de la letrada doña María Teresa Iñiguez Velázquez, formuló demanda de amparo contra providencia de la Sección Primera de la Sala de lo Contencioso-Administrativo del Tribunal Supremo en recurso de casación núm. 6066-2022 contra sentencia de la Sección Segunda de la Sala de lo Contencioso-Administrativo del Tribunal Superior de Justicia de la Comunidad Valenciana en procedimiento ordinario núm. 436-2019.</w:t>
      </w:r>
    </w:p>
    <w:p w14:paraId="11700AFD" w14:textId="77777777" w:rsidR="00F64776" w:rsidRDefault="00F64776" w:rsidP="00F64776">
      <w:pPr>
        <w:pStyle w:val="TextoNormal"/>
      </w:pPr>
    </w:p>
    <w:p w14:paraId="6179645B" w14:textId="39E3E8BF" w:rsidR="00F64776" w:rsidRDefault="00F64776" w:rsidP="00F64776">
      <w:pPr>
        <w:pStyle w:val="TextoNormal"/>
      </w:pPr>
      <w:r w:rsidRPr="00F64776">
        <w:rPr>
          <w:rStyle w:val="NumeroAFNegritaCaracter"/>
        </w:rPr>
        <w:t>2</w:t>
      </w:r>
      <w:r>
        <w:t>. Por escrito de 18 de septiembre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6D58D6A1" w14:textId="77777777" w:rsidR="00F64776" w:rsidRDefault="00F64776" w:rsidP="00F64776">
      <w:pPr>
        <w:pStyle w:val="TextoNormal"/>
      </w:pPr>
    </w:p>
    <w:p w14:paraId="55D3E75A" w14:textId="77777777" w:rsidR="00F64776" w:rsidRDefault="00F64776" w:rsidP="00F64776">
      <w:pPr>
        <w:pStyle w:val="TextoNormalNegritaCentrado"/>
        <w:keepNext/>
      </w:pPr>
      <w:r>
        <w:t>II. Fundamentos jurídicos</w:t>
      </w:r>
    </w:p>
    <w:p w14:paraId="1527BDCB" w14:textId="30A8C680" w:rsidR="00F64776" w:rsidRDefault="00F64776" w:rsidP="00F64776">
      <w:pPr>
        <w:pStyle w:val="TextoNormalNegritaCentrado"/>
        <w:keepNext/>
      </w:pPr>
    </w:p>
    <w:p w14:paraId="6B352AEC" w14:textId="6CA9A7FF"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416D454D" w14:textId="77777777" w:rsidR="00F64776" w:rsidRDefault="00F64776" w:rsidP="00F64776">
      <w:pPr>
        <w:pStyle w:val="TextoNormal"/>
      </w:pPr>
    </w:p>
    <w:p w14:paraId="27DAE74C" w14:textId="77777777" w:rsidR="00F64776" w:rsidRDefault="00F64776" w:rsidP="00F64776">
      <w:pPr>
        <w:pStyle w:val="TextoNormal"/>
      </w:pPr>
      <w:r>
        <w:t>Por lo expuesto, la Sección</w:t>
      </w:r>
    </w:p>
    <w:p w14:paraId="16C6C920" w14:textId="631E98DB" w:rsidR="00F64776" w:rsidRDefault="00F64776" w:rsidP="00F64776">
      <w:pPr>
        <w:pStyle w:val="TextoNormal"/>
      </w:pPr>
    </w:p>
    <w:p w14:paraId="552E051C" w14:textId="77777777" w:rsidR="00F64776" w:rsidRDefault="00F64776" w:rsidP="00F64776">
      <w:pPr>
        <w:pStyle w:val="TextoNormalCentrado"/>
      </w:pPr>
      <w:r>
        <w:t>ACUERDA</w:t>
      </w:r>
    </w:p>
    <w:p w14:paraId="43F1BE29" w14:textId="2C18F9A5" w:rsidR="00F64776" w:rsidRDefault="00F64776" w:rsidP="00F64776">
      <w:pPr>
        <w:pStyle w:val="TextoNormalCentrado"/>
      </w:pPr>
    </w:p>
    <w:p w14:paraId="28A8B8E6" w14:textId="6BCA27E5" w:rsidR="00F64776" w:rsidRDefault="00F64776" w:rsidP="00F64776">
      <w:pPr>
        <w:pStyle w:val="TextoNormal"/>
      </w:pPr>
      <w:r>
        <w:t>Estimar justificada la abstención formulada por el magistrado don César Tolosa Tribiño en el recurso de amparo núm. 8269-2022 y apartarle definitivamente del conocimiento del referido recurso y de todas sus incidencias.</w:t>
      </w:r>
    </w:p>
    <w:p w14:paraId="75F95882" w14:textId="77777777" w:rsidR="00F64776" w:rsidRDefault="00F64776" w:rsidP="00F64776">
      <w:pPr>
        <w:pStyle w:val="TextoNormal"/>
      </w:pPr>
    </w:p>
    <w:p w14:paraId="3DDE8269" w14:textId="77777777" w:rsidR="00F64776" w:rsidRDefault="00F64776" w:rsidP="00F64776">
      <w:pPr>
        <w:pStyle w:val="TextoNormal"/>
      </w:pPr>
      <w:r>
        <w:t>Madrid, a dieciocho de diciembre de dos mil veintitrés.</w:t>
      </w:r>
    </w:p>
    <w:p w14:paraId="09AE903E" w14:textId="08E04084" w:rsidR="00F64776" w:rsidRDefault="00F64776">
      <w:pPr>
        <w:spacing w:after="160" w:line="278" w:lineRule="auto"/>
        <w:rPr>
          <w:rFonts w:ascii="Times New Roman" w:eastAsia="Times New Roman" w:hAnsi="Times New Roman" w:cs="Times New Roman"/>
          <w:sz w:val="24"/>
          <w:szCs w:val="24"/>
          <w:lang w:eastAsia="es-ES"/>
        </w:rPr>
      </w:pPr>
      <w:r>
        <w:br w:type="page"/>
      </w:r>
    </w:p>
    <w:p w14:paraId="37D65D1A" w14:textId="77777777" w:rsidR="00F64776" w:rsidRDefault="00F64776" w:rsidP="00F64776">
      <w:pPr>
        <w:pStyle w:val="TtuloResolucin"/>
      </w:pPr>
      <w:bookmarkStart w:id="470" w:name="AUTO_2023_685"/>
      <w:r>
        <w:t>AUTO 685/2023, de 18 de diciembre de 2023</w:t>
      </w:r>
    </w:p>
    <w:bookmarkEnd w:id="470"/>
    <w:p w14:paraId="0562FD40" w14:textId="77777777" w:rsidR="00F64776" w:rsidRDefault="00F64776" w:rsidP="00F64776">
      <w:pPr>
        <w:pStyle w:val="TtuloResolucin"/>
      </w:pPr>
      <w:r>
        <w:t>Sección Tercera</w:t>
      </w:r>
    </w:p>
    <w:p w14:paraId="5905EC3E" w14:textId="77777777" w:rsidR="00F64776" w:rsidRDefault="00F64776" w:rsidP="00F64776">
      <w:pPr>
        <w:pStyle w:val="TextoNormalCentrado"/>
      </w:pPr>
      <w:r>
        <w:t>ECLI:ES:TC:2023:685A</w:t>
      </w:r>
    </w:p>
    <w:p w14:paraId="5568A51A" w14:textId="2A92B3BC" w:rsidR="00F64776" w:rsidRDefault="00F64776" w:rsidP="00F64776">
      <w:pPr>
        <w:pStyle w:val="TextoNormalCentrado"/>
      </w:pPr>
    </w:p>
    <w:p w14:paraId="6EB03CDB" w14:textId="77777777" w:rsidR="00F64776" w:rsidRDefault="00F64776" w:rsidP="00F64776">
      <w:pPr>
        <w:pStyle w:val="SntesisDescriptiva"/>
      </w:pPr>
      <w:r>
        <w:t>Excms. Srs. doña Inmaculada Montalbán Huertas y doña Laura Díez Bueso.</w:t>
      </w:r>
    </w:p>
    <w:p w14:paraId="5D9CCA48" w14:textId="6309167A" w:rsidR="00F64776" w:rsidRDefault="00F64776" w:rsidP="00F64776">
      <w:pPr>
        <w:pStyle w:val="SntesisDescriptiva"/>
      </w:pPr>
    </w:p>
    <w:p w14:paraId="246D1EFB" w14:textId="77777777" w:rsidR="00F64776" w:rsidRDefault="00F64776" w:rsidP="00F64776">
      <w:pPr>
        <w:pStyle w:val="SntesisDescriptiva"/>
      </w:pPr>
      <w:r>
        <w:t>Acepta una abstención en el recurso de amparo 8414-2022, promovido en proceso contencioso administrativo.</w:t>
      </w:r>
    </w:p>
    <w:p w14:paraId="259A8F42" w14:textId="3576AA39" w:rsidR="00F64776" w:rsidRDefault="00F64776" w:rsidP="00F64776">
      <w:pPr>
        <w:pStyle w:val="SntesisDescriptiva"/>
      </w:pPr>
    </w:p>
    <w:p w14:paraId="01A965D8" w14:textId="77777777" w:rsidR="00F64776" w:rsidRDefault="00F64776" w:rsidP="00F64776">
      <w:pPr>
        <w:pStyle w:val="SntesisDescriptiva"/>
      </w:pPr>
    </w:p>
    <w:p w14:paraId="61FE22BA" w14:textId="77777777" w:rsidR="00F64776" w:rsidRDefault="00F64776" w:rsidP="00F64776">
      <w:pPr>
        <w:pStyle w:val="SntesisDescriptiva"/>
      </w:pPr>
    </w:p>
    <w:p w14:paraId="1F8DAE6C" w14:textId="77777777" w:rsidR="00F64776" w:rsidRDefault="00F64776" w:rsidP="00F64776">
      <w:pPr>
        <w:pStyle w:val="TextoNormalNegritaCentrado"/>
      </w:pPr>
      <w:r>
        <w:t>AUTO</w:t>
      </w:r>
    </w:p>
    <w:p w14:paraId="25DA47DC" w14:textId="42039C3D" w:rsidR="00F64776" w:rsidRDefault="00F64776" w:rsidP="00F64776">
      <w:pPr>
        <w:pStyle w:val="TextoNormalNegritaCentrado"/>
      </w:pPr>
    </w:p>
    <w:p w14:paraId="78D760BF" w14:textId="77777777" w:rsidR="00F64776" w:rsidRDefault="00F64776" w:rsidP="00F64776">
      <w:pPr>
        <w:pStyle w:val="TextoNormalNegritaCentrado"/>
        <w:keepNext/>
      </w:pPr>
      <w:r>
        <w:t>I. Antecedentes</w:t>
      </w:r>
    </w:p>
    <w:p w14:paraId="2973BB8C" w14:textId="57EEA25B" w:rsidR="00F64776" w:rsidRDefault="00F64776" w:rsidP="00F64776">
      <w:pPr>
        <w:pStyle w:val="TextoNormalNegritaCentrado"/>
        <w:keepNext/>
      </w:pPr>
    </w:p>
    <w:p w14:paraId="75207377" w14:textId="3DA14A7E" w:rsidR="00F64776" w:rsidRDefault="00F64776" w:rsidP="00F64776">
      <w:pPr>
        <w:pStyle w:val="TextoNormal"/>
      </w:pPr>
      <w:r w:rsidRPr="00F64776">
        <w:rPr>
          <w:rStyle w:val="NumeroAFNegritaCaracter"/>
        </w:rPr>
        <w:t>1</w:t>
      </w:r>
      <w:r>
        <w:t>. Mediante escrito registrado en este tribunal el 20 de diciembre de 2022, la procuradora de los tribunales doña Patricia Fraile Díaz-Calderay, en nombre y representación de don Juan Carlos Bernal Vaca y bajo la dirección de la letrada doña María Dolores Pena Rey, formuló demanda de amparo contra la providencia de 14 de diciembre de 2022 de la Sección Primera de la  Sala de lo Contencioso-Administrativo del Tribunal Supremo en recurso de casación núm. 6703-2022.</w:t>
      </w:r>
    </w:p>
    <w:p w14:paraId="55488905" w14:textId="77777777" w:rsidR="00F64776" w:rsidRDefault="00F64776" w:rsidP="00F64776">
      <w:pPr>
        <w:pStyle w:val="TextoNormal"/>
      </w:pPr>
    </w:p>
    <w:p w14:paraId="319F79C5" w14:textId="39435833" w:rsidR="00F64776" w:rsidRDefault="00F64776" w:rsidP="00F64776">
      <w:pPr>
        <w:pStyle w:val="TextoNormal"/>
      </w:pPr>
      <w:r w:rsidRPr="00F64776">
        <w:rPr>
          <w:rStyle w:val="NumeroAFNegritaCaracter"/>
        </w:rPr>
        <w:t>2</w:t>
      </w:r>
      <w:r>
        <w:t>. Por escrito de 1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52FEBB79" w14:textId="77777777" w:rsidR="00F64776" w:rsidRDefault="00F64776" w:rsidP="00F64776">
      <w:pPr>
        <w:pStyle w:val="TextoNormal"/>
      </w:pPr>
    </w:p>
    <w:p w14:paraId="650E7A8B" w14:textId="77777777" w:rsidR="00F64776" w:rsidRDefault="00F64776" w:rsidP="00F64776">
      <w:pPr>
        <w:pStyle w:val="TextoNormalNegritaCentrado"/>
        <w:keepNext/>
      </w:pPr>
      <w:r>
        <w:t>II. Fundamentos jurídicos</w:t>
      </w:r>
    </w:p>
    <w:p w14:paraId="50030BA8" w14:textId="1FE310F6" w:rsidR="00F64776" w:rsidRDefault="00F64776" w:rsidP="00F64776">
      <w:pPr>
        <w:pStyle w:val="TextoNormalNegritaCentrado"/>
        <w:keepNext/>
      </w:pPr>
    </w:p>
    <w:p w14:paraId="1288D69C" w14:textId="11EF7252"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155BD0ED" w14:textId="77777777" w:rsidR="00F64776" w:rsidRDefault="00F64776" w:rsidP="00F64776">
      <w:pPr>
        <w:pStyle w:val="TextoNormal"/>
      </w:pPr>
    </w:p>
    <w:p w14:paraId="7497FE5F" w14:textId="77777777" w:rsidR="00F64776" w:rsidRDefault="00F64776" w:rsidP="00F64776">
      <w:pPr>
        <w:pStyle w:val="TextoNormal"/>
      </w:pPr>
      <w:r>
        <w:t>Por lo expuesto, la Sección</w:t>
      </w:r>
    </w:p>
    <w:p w14:paraId="63824C89" w14:textId="18BF0E65" w:rsidR="00F64776" w:rsidRDefault="00F64776" w:rsidP="00F64776">
      <w:pPr>
        <w:pStyle w:val="TextoNormal"/>
      </w:pPr>
    </w:p>
    <w:p w14:paraId="50364559" w14:textId="77777777" w:rsidR="00F64776" w:rsidRDefault="00F64776" w:rsidP="00F64776">
      <w:pPr>
        <w:pStyle w:val="TextoNormalCentrado"/>
      </w:pPr>
      <w:r>
        <w:t>ACUERDA</w:t>
      </w:r>
    </w:p>
    <w:p w14:paraId="4C34435C" w14:textId="0C08FF49" w:rsidR="00F64776" w:rsidRDefault="00F64776" w:rsidP="00F64776">
      <w:pPr>
        <w:pStyle w:val="TextoNormalCentrado"/>
      </w:pPr>
    </w:p>
    <w:p w14:paraId="28C25BC4" w14:textId="43473336" w:rsidR="00F64776" w:rsidRDefault="00F64776" w:rsidP="00F64776">
      <w:pPr>
        <w:pStyle w:val="TextoNormal"/>
      </w:pPr>
      <w:r>
        <w:t>Estimar justificada la abstención formulada por el magistrado don César Tolosa Tribiño en el recurso de amparo núm. 8414-2022 y apartarle definitivamente del conocimiento del referido recurso y de todas sus incidencias.</w:t>
      </w:r>
    </w:p>
    <w:p w14:paraId="7FBA3EE7" w14:textId="77777777" w:rsidR="00F64776" w:rsidRDefault="00F64776" w:rsidP="00F64776">
      <w:pPr>
        <w:pStyle w:val="TextoNormal"/>
      </w:pPr>
    </w:p>
    <w:p w14:paraId="0E0D2A2A" w14:textId="77777777" w:rsidR="00F64776" w:rsidRDefault="00F64776" w:rsidP="00F64776">
      <w:pPr>
        <w:pStyle w:val="TextoNormal"/>
      </w:pPr>
      <w:r>
        <w:t>Madrid, a dieciocho de diciembre de dos mil veintitrés.</w:t>
      </w:r>
    </w:p>
    <w:p w14:paraId="5BDB7E48" w14:textId="0E8883B3" w:rsidR="00F64776" w:rsidRDefault="00F64776">
      <w:pPr>
        <w:spacing w:after="160" w:line="278" w:lineRule="auto"/>
        <w:rPr>
          <w:rFonts w:ascii="Times New Roman" w:eastAsia="Times New Roman" w:hAnsi="Times New Roman" w:cs="Times New Roman"/>
          <w:sz w:val="24"/>
          <w:szCs w:val="24"/>
          <w:lang w:eastAsia="es-ES"/>
        </w:rPr>
      </w:pPr>
      <w:r>
        <w:br w:type="page"/>
      </w:r>
    </w:p>
    <w:p w14:paraId="6E12FB21" w14:textId="77777777" w:rsidR="00F64776" w:rsidRDefault="00F64776" w:rsidP="00F64776">
      <w:pPr>
        <w:pStyle w:val="TtuloResolucin"/>
      </w:pPr>
      <w:bookmarkStart w:id="471" w:name="AUTO_2023_686"/>
      <w:r>
        <w:t>AUTO 686/2023, de 18 de diciembre de 2023</w:t>
      </w:r>
    </w:p>
    <w:bookmarkEnd w:id="471"/>
    <w:p w14:paraId="68E414BA" w14:textId="77777777" w:rsidR="00F64776" w:rsidRDefault="00F64776" w:rsidP="00F64776">
      <w:pPr>
        <w:pStyle w:val="TtuloResolucin"/>
      </w:pPr>
      <w:r>
        <w:t>Sección Tercera</w:t>
      </w:r>
    </w:p>
    <w:p w14:paraId="62C55656" w14:textId="77777777" w:rsidR="00F64776" w:rsidRDefault="00F64776" w:rsidP="00F64776">
      <w:pPr>
        <w:pStyle w:val="TextoNormalCentrado"/>
      </w:pPr>
      <w:r>
        <w:t>ECLI:ES:TC:2023:686A</w:t>
      </w:r>
    </w:p>
    <w:p w14:paraId="329F23FE" w14:textId="1E349859" w:rsidR="00F64776" w:rsidRDefault="00F64776" w:rsidP="00F64776">
      <w:pPr>
        <w:pStyle w:val="TextoNormalCentrado"/>
      </w:pPr>
    </w:p>
    <w:p w14:paraId="774F4FC7" w14:textId="77777777" w:rsidR="00F64776" w:rsidRDefault="00F64776" w:rsidP="00F64776">
      <w:pPr>
        <w:pStyle w:val="SntesisDescriptiva"/>
      </w:pPr>
      <w:r>
        <w:t>Excms. Srs. doña Inmaculada Montalbán Huertas y doña Laura Díez Bueso.</w:t>
      </w:r>
    </w:p>
    <w:p w14:paraId="425FD4CD" w14:textId="71738201" w:rsidR="00F64776" w:rsidRDefault="00F64776" w:rsidP="00F64776">
      <w:pPr>
        <w:pStyle w:val="SntesisDescriptiva"/>
      </w:pPr>
    </w:p>
    <w:p w14:paraId="26F67A3C" w14:textId="77777777" w:rsidR="00F64776" w:rsidRDefault="00F64776" w:rsidP="00F64776">
      <w:pPr>
        <w:pStyle w:val="SntesisDescriptiva"/>
      </w:pPr>
      <w:r>
        <w:t>Acepta una abstención en el recurso de amparo 1617-2023, promovido en proceso contencioso administrativo.</w:t>
      </w:r>
    </w:p>
    <w:p w14:paraId="0F72C385" w14:textId="40C37F46" w:rsidR="00F64776" w:rsidRDefault="00F64776" w:rsidP="00F64776">
      <w:pPr>
        <w:pStyle w:val="SntesisDescriptiva"/>
      </w:pPr>
    </w:p>
    <w:p w14:paraId="40F8B90A" w14:textId="77777777" w:rsidR="00F64776" w:rsidRDefault="00F64776" w:rsidP="00F64776">
      <w:pPr>
        <w:pStyle w:val="SntesisDescriptiva"/>
      </w:pPr>
    </w:p>
    <w:p w14:paraId="3C35A073" w14:textId="77777777" w:rsidR="00F64776" w:rsidRDefault="00F64776" w:rsidP="00F64776">
      <w:pPr>
        <w:pStyle w:val="SntesisDescriptiva"/>
      </w:pPr>
    </w:p>
    <w:p w14:paraId="7B637A12" w14:textId="77777777" w:rsidR="00F64776" w:rsidRDefault="00F64776" w:rsidP="00F64776">
      <w:pPr>
        <w:pStyle w:val="TextoNormalNegritaCentrado"/>
      </w:pPr>
      <w:r>
        <w:t>AUTO</w:t>
      </w:r>
    </w:p>
    <w:p w14:paraId="1C912541" w14:textId="074EF6EC" w:rsidR="00F64776" w:rsidRDefault="00F64776" w:rsidP="00F64776">
      <w:pPr>
        <w:pStyle w:val="TextoNormalNegritaCentrado"/>
      </w:pPr>
    </w:p>
    <w:p w14:paraId="0F575229" w14:textId="77777777" w:rsidR="00F64776" w:rsidRDefault="00F64776" w:rsidP="00F64776">
      <w:pPr>
        <w:pStyle w:val="TextoNormalNegritaCentrado"/>
        <w:keepNext/>
      </w:pPr>
      <w:r>
        <w:t>I. Antecedentes</w:t>
      </w:r>
    </w:p>
    <w:p w14:paraId="1F613A2E" w14:textId="7001C7B5" w:rsidR="00F64776" w:rsidRDefault="00F64776" w:rsidP="00F64776">
      <w:pPr>
        <w:pStyle w:val="TextoNormalNegritaCentrado"/>
        <w:keepNext/>
      </w:pPr>
    </w:p>
    <w:p w14:paraId="11E4BCA8" w14:textId="43A54929" w:rsidR="00F64776" w:rsidRDefault="00F64776" w:rsidP="00F64776">
      <w:pPr>
        <w:pStyle w:val="TextoNormal"/>
      </w:pPr>
      <w:r w:rsidRPr="00F64776">
        <w:rPr>
          <w:rStyle w:val="NumeroAFNegritaCaracter"/>
        </w:rPr>
        <w:t>1</w:t>
      </w:r>
      <w:r>
        <w:t>. Mediante escrito registrado en este tribunal el 10 de marzo de 2023, el procurador de los tribunales don Eduardo Manzanos Llorente, en nombre y representación de don Ismael Carbonell Pastor y bajo la dirección del letrado don Arturo Mollá Nicora, formuló demanda de amparo contra la providencia de 2 de noviembre de 2022 dictada por la Sección Primera de la Sala de lo Contencioso-Administrativo del Tribunal Supremo en recurso de casación núm. 3159-2022 contra sentencia de la Sala de lo Contencioso-Administrativo del Tribunal Superior de Justicia de la Comunidad Valenciana en recurso de apelación núm. 57-2020.</w:t>
      </w:r>
    </w:p>
    <w:p w14:paraId="5BCAE7D9" w14:textId="77777777" w:rsidR="00F64776" w:rsidRDefault="00F64776" w:rsidP="00F64776">
      <w:pPr>
        <w:pStyle w:val="TextoNormal"/>
      </w:pPr>
    </w:p>
    <w:p w14:paraId="724CF0AA" w14:textId="4395EEED" w:rsidR="00F64776" w:rsidRDefault="00F64776" w:rsidP="00F64776">
      <w:pPr>
        <w:pStyle w:val="TextoNormal"/>
      </w:pPr>
      <w:r w:rsidRPr="00F64776">
        <w:rPr>
          <w:rStyle w:val="NumeroAFNegritaCaracter"/>
        </w:rPr>
        <w:t>2</w:t>
      </w:r>
      <w:r>
        <w:t>. Por escrito de 13 de noviembre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7BA57F60" w14:textId="77777777" w:rsidR="00F64776" w:rsidRDefault="00F64776" w:rsidP="00F64776">
      <w:pPr>
        <w:pStyle w:val="TextoNormal"/>
      </w:pPr>
    </w:p>
    <w:p w14:paraId="669A774F" w14:textId="77777777" w:rsidR="00F64776" w:rsidRDefault="00F64776" w:rsidP="00F64776">
      <w:pPr>
        <w:pStyle w:val="TextoNormalNegritaCentrado"/>
        <w:keepNext/>
      </w:pPr>
      <w:r>
        <w:t>II. Fundamentos jurídicos</w:t>
      </w:r>
    </w:p>
    <w:p w14:paraId="08B64709" w14:textId="53CFD13A" w:rsidR="00F64776" w:rsidRDefault="00F64776" w:rsidP="00F64776">
      <w:pPr>
        <w:pStyle w:val="TextoNormalNegritaCentrado"/>
        <w:keepNext/>
      </w:pPr>
    </w:p>
    <w:p w14:paraId="1F4837F9" w14:textId="537648E9"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28B8AEAA" w14:textId="77777777" w:rsidR="00F64776" w:rsidRDefault="00F64776" w:rsidP="00F64776">
      <w:pPr>
        <w:pStyle w:val="TextoNormal"/>
      </w:pPr>
    </w:p>
    <w:p w14:paraId="14BCF1F8" w14:textId="77777777" w:rsidR="00F64776" w:rsidRDefault="00F64776" w:rsidP="00F64776">
      <w:pPr>
        <w:pStyle w:val="TextoNormal"/>
      </w:pPr>
      <w:r>
        <w:t>Por lo expuesto, la Sección</w:t>
      </w:r>
    </w:p>
    <w:p w14:paraId="4BC1854A" w14:textId="5A233BE0" w:rsidR="00F64776" w:rsidRDefault="00F64776" w:rsidP="00F64776">
      <w:pPr>
        <w:pStyle w:val="TextoNormal"/>
      </w:pPr>
    </w:p>
    <w:p w14:paraId="2D1C6279" w14:textId="77777777" w:rsidR="00F64776" w:rsidRDefault="00F64776" w:rsidP="00F64776">
      <w:pPr>
        <w:pStyle w:val="TextoNormalCentrado"/>
      </w:pPr>
      <w:r>
        <w:t>ACUERDA</w:t>
      </w:r>
    </w:p>
    <w:p w14:paraId="49D946A5" w14:textId="2F781723" w:rsidR="00F64776" w:rsidRDefault="00F64776" w:rsidP="00F64776">
      <w:pPr>
        <w:pStyle w:val="TextoNormalCentrado"/>
      </w:pPr>
    </w:p>
    <w:p w14:paraId="088CF780" w14:textId="22FFA0CD" w:rsidR="00F64776" w:rsidRDefault="00F64776" w:rsidP="00F64776">
      <w:pPr>
        <w:pStyle w:val="TextoNormal"/>
      </w:pPr>
      <w:r>
        <w:t>Estimar justificada la abstención formulada por el magistrado don César Tolosa Tribiño en el recurso de amparo núm. 1617-2023 y apartarle definitivamente del conocimiento del referido recurso y de todas sus incidencias.</w:t>
      </w:r>
    </w:p>
    <w:p w14:paraId="7FF87795" w14:textId="77777777" w:rsidR="00F64776" w:rsidRDefault="00F64776" w:rsidP="00F64776">
      <w:pPr>
        <w:pStyle w:val="TextoNormal"/>
      </w:pPr>
    </w:p>
    <w:p w14:paraId="7FA20E4B" w14:textId="77777777" w:rsidR="00F64776" w:rsidRDefault="00F64776" w:rsidP="00F64776">
      <w:pPr>
        <w:pStyle w:val="TextoNormal"/>
      </w:pPr>
      <w:r>
        <w:t>Madrid, a dieciocho de diciembre de dos mil veintitrés.</w:t>
      </w:r>
    </w:p>
    <w:p w14:paraId="5A985CFC" w14:textId="22342124" w:rsidR="00F64776" w:rsidRDefault="00F64776">
      <w:pPr>
        <w:spacing w:after="160" w:line="278" w:lineRule="auto"/>
        <w:rPr>
          <w:rFonts w:ascii="Times New Roman" w:eastAsia="Times New Roman" w:hAnsi="Times New Roman" w:cs="Times New Roman"/>
          <w:sz w:val="24"/>
          <w:szCs w:val="24"/>
          <w:lang w:eastAsia="es-ES"/>
        </w:rPr>
      </w:pPr>
      <w:r>
        <w:br w:type="page"/>
      </w:r>
    </w:p>
    <w:p w14:paraId="1E9F12D0" w14:textId="77777777" w:rsidR="00F64776" w:rsidRDefault="00F64776" w:rsidP="00F64776">
      <w:pPr>
        <w:pStyle w:val="TtuloResolucin"/>
      </w:pPr>
      <w:bookmarkStart w:id="472" w:name="AUTO_2023_687"/>
      <w:r>
        <w:t>AUTO 687/2023, de 18 de diciembre de 2023</w:t>
      </w:r>
    </w:p>
    <w:bookmarkEnd w:id="472"/>
    <w:p w14:paraId="3603A027" w14:textId="77777777" w:rsidR="00F64776" w:rsidRDefault="00F64776" w:rsidP="00F64776">
      <w:pPr>
        <w:pStyle w:val="TtuloResolucin"/>
      </w:pPr>
      <w:r>
        <w:t>Sección Tercera</w:t>
      </w:r>
    </w:p>
    <w:p w14:paraId="079B9971" w14:textId="77777777" w:rsidR="00F64776" w:rsidRDefault="00F64776" w:rsidP="00F64776">
      <w:pPr>
        <w:pStyle w:val="TextoNormalCentrado"/>
      </w:pPr>
      <w:r>
        <w:t>ECLI:ES:TC:2023:687A</w:t>
      </w:r>
    </w:p>
    <w:p w14:paraId="2AC9C498" w14:textId="1987BE48" w:rsidR="00F64776" w:rsidRDefault="00F64776" w:rsidP="00F64776">
      <w:pPr>
        <w:pStyle w:val="TextoNormalCentrado"/>
      </w:pPr>
    </w:p>
    <w:p w14:paraId="28B6F004" w14:textId="77777777" w:rsidR="00F64776" w:rsidRDefault="00F64776" w:rsidP="00F64776">
      <w:pPr>
        <w:pStyle w:val="SntesisDescriptiva"/>
      </w:pPr>
      <w:r>
        <w:t>Excms. Srs. doña Inmaculada Montalbán Huertas y doña Laura Díez Bueso.</w:t>
      </w:r>
    </w:p>
    <w:p w14:paraId="6655C455" w14:textId="0359D7C2" w:rsidR="00F64776" w:rsidRDefault="00F64776" w:rsidP="00F64776">
      <w:pPr>
        <w:pStyle w:val="SntesisDescriptiva"/>
      </w:pPr>
    </w:p>
    <w:p w14:paraId="303ECB34" w14:textId="77777777" w:rsidR="00F64776" w:rsidRDefault="00F64776" w:rsidP="00F64776">
      <w:pPr>
        <w:pStyle w:val="SntesisDescriptiva"/>
      </w:pPr>
      <w:r>
        <w:t>Acepta una abstención en el recurso de amparo 1704-2023, promovido en proceso contencioso administrativo.</w:t>
      </w:r>
    </w:p>
    <w:p w14:paraId="1EED3B13" w14:textId="0DFFFAA2" w:rsidR="00F64776" w:rsidRDefault="00F64776" w:rsidP="00F64776">
      <w:pPr>
        <w:pStyle w:val="SntesisDescriptiva"/>
      </w:pPr>
    </w:p>
    <w:p w14:paraId="3488CA78" w14:textId="77777777" w:rsidR="00F64776" w:rsidRDefault="00F64776" w:rsidP="00F64776">
      <w:pPr>
        <w:pStyle w:val="SntesisDescriptiva"/>
      </w:pPr>
    </w:p>
    <w:p w14:paraId="78E80C7B" w14:textId="77777777" w:rsidR="00F64776" w:rsidRDefault="00F64776" w:rsidP="00F64776">
      <w:pPr>
        <w:pStyle w:val="SntesisDescriptiva"/>
      </w:pPr>
    </w:p>
    <w:p w14:paraId="050FA56F" w14:textId="77777777" w:rsidR="00F64776" w:rsidRDefault="00F64776" w:rsidP="00F64776">
      <w:pPr>
        <w:pStyle w:val="TextoNormalNegritaCentrado"/>
      </w:pPr>
      <w:r>
        <w:t>AUTO</w:t>
      </w:r>
    </w:p>
    <w:p w14:paraId="0F611E45" w14:textId="1BD2E7B4" w:rsidR="00F64776" w:rsidRDefault="00F64776" w:rsidP="00F64776">
      <w:pPr>
        <w:pStyle w:val="TextoNormalNegritaCentrado"/>
      </w:pPr>
    </w:p>
    <w:p w14:paraId="180582C7" w14:textId="77777777" w:rsidR="00F64776" w:rsidRDefault="00F64776" w:rsidP="00F64776">
      <w:pPr>
        <w:pStyle w:val="TextoNormalNegritaCentrado"/>
        <w:keepNext/>
      </w:pPr>
      <w:r>
        <w:t>I. Antecedentes</w:t>
      </w:r>
    </w:p>
    <w:p w14:paraId="72A1E2CD" w14:textId="4786C377" w:rsidR="00F64776" w:rsidRDefault="00F64776" w:rsidP="00F64776">
      <w:pPr>
        <w:pStyle w:val="TextoNormalNegritaCentrado"/>
        <w:keepNext/>
      </w:pPr>
    </w:p>
    <w:p w14:paraId="4D62FD28" w14:textId="5914B935" w:rsidR="00F64776" w:rsidRDefault="00F64776" w:rsidP="00F64776">
      <w:pPr>
        <w:pStyle w:val="TextoNormal"/>
      </w:pPr>
      <w:r w:rsidRPr="00F64776">
        <w:rPr>
          <w:rStyle w:val="NumeroAFNegritaCaracter"/>
        </w:rPr>
        <w:t>1</w:t>
      </w:r>
      <w:r>
        <w:t>. Mediante escrito registrado en este tribunal el 14 de marzo de 2023, el procurador de los tribunales don Antonio Nicolás Vallellano, en nombre y representación de don Juan Francisco Romero Sánchez y bajo la dirección del letrado don Carlos Muñoz Ferrera, formuló demanda de amparo contra el auto de 3 de noviembre de 2022, dictado por la Sección Primera Sala de lo Contencioso Administrativo del Tribunal Supremo en recurso de casación núm. 4013-2018, resolución objeto del presente recurso de amparo.</w:t>
      </w:r>
    </w:p>
    <w:p w14:paraId="4CEDC6A4" w14:textId="77777777" w:rsidR="00F64776" w:rsidRDefault="00F64776" w:rsidP="00F64776">
      <w:pPr>
        <w:pStyle w:val="TextoNormal"/>
      </w:pPr>
    </w:p>
    <w:p w14:paraId="310711F3" w14:textId="30FD3F83" w:rsidR="00F64776" w:rsidRDefault="00F64776" w:rsidP="00F64776">
      <w:pPr>
        <w:pStyle w:val="TextoNormal"/>
      </w:pPr>
      <w:r w:rsidRPr="00F64776">
        <w:rPr>
          <w:rStyle w:val="NumeroAFNegritaCaracter"/>
        </w:rPr>
        <w:t>2</w:t>
      </w:r>
      <w:r>
        <w:t>. Por escrito de 1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Tercera del Tribunal Supremo que dictó la resolución impugnada.</w:t>
      </w:r>
    </w:p>
    <w:p w14:paraId="353B0E04" w14:textId="77777777" w:rsidR="00F64776" w:rsidRDefault="00F64776" w:rsidP="00F64776">
      <w:pPr>
        <w:pStyle w:val="TextoNormal"/>
      </w:pPr>
    </w:p>
    <w:p w14:paraId="43DD7855" w14:textId="77777777" w:rsidR="00F64776" w:rsidRDefault="00F64776" w:rsidP="00F64776">
      <w:pPr>
        <w:pStyle w:val="TextoNormalNegritaCentrado"/>
        <w:keepNext/>
      </w:pPr>
      <w:r>
        <w:t>II. Fundamentos jurídicos</w:t>
      </w:r>
    </w:p>
    <w:p w14:paraId="4436DA20" w14:textId="075ADD03" w:rsidR="00F64776" w:rsidRDefault="00F64776" w:rsidP="00F64776">
      <w:pPr>
        <w:pStyle w:val="TextoNormalNegritaCentrado"/>
        <w:keepNext/>
      </w:pPr>
    </w:p>
    <w:p w14:paraId="7A22293F" w14:textId="79E98F8D"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5B94B700" w14:textId="77777777" w:rsidR="00F64776" w:rsidRDefault="00F64776" w:rsidP="00F64776">
      <w:pPr>
        <w:pStyle w:val="TextoNormal"/>
      </w:pPr>
    </w:p>
    <w:p w14:paraId="273C650E" w14:textId="77777777" w:rsidR="00F64776" w:rsidRDefault="00F64776" w:rsidP="00F64776">
      <w:pPr>
        <w:pStyle w:val="TextoNormal"/>
      </w:pPr>
      <w:r>
        <w:t>Por lo expuesto, la Sección</w:t>
      </w:r>
    </w:p>
    <w:p w14:paraId="161A092E" w14:textId="7FDEF3D0" w:rsidR="00F64776" w:rsidRDefault="00F64776" w:rsidP="00F64776">
      <w:pPr>
        <w:pStyle w:val="TextoNormal"/>
      </w:pPr>
    </w:p>
    <w:p w14:paraId="71F8211E" w14:textId="77777777" w:rsidR="00F64776" w:rsidRDefault="00F64776" w:rsidP="00F64776">
      <w:pPr>
        <w:pStyle w:val="TextoNormalCentrado"/>
      </w:pPr>
      <w:r>
        <w:t>ACUERDA</w:t>
      </w:r>
    </w:p>
    <w:p w14:paraId="5860E830" w14:textId="18B85095" w:rsidR="00F64776" w:rsidRDefault="00F64776" w:rsidP="00F64776">
      <w:pPr>
        <w:pStyle w:val="TextoNormalCentrado"/>
      </w:pPr>
    </w:p>
    <w:p w14:paraId="7E5032FE" w14:textId="65C124D2" w:rsidR="00F64776" w:rsidRDefault="00F64776" w:rsidP="00F64776">
      <w:pPr>
        <w:pStyle w:val="TextoNormal"/>
      </w:pPr>
      <w:r>
        <w:t>Estimar justificada la abstención formulada por el magistrado don César Tolosa Tribiño en el recurso de amparo núm. 1704-2023 y apartarle definitivamente del conocimiento del referido recurso y de todas sus incidencias.</w:t>
      </w:r>
    </w:p>
    <w:p w14:paraId="6845BE00" w14:textId="77777777" w:rsidR="00F64776" w:rsidRDefault="00F64776" w:rsidP="00F64776">
      <w:pPr>
        <w:pStyle w:val="TextoNormal"/>
      </w:pPr>
    </w:p>
    <w:p w14:paraId="52F67769" w14:textId="77777777" w:rsidR="00F64776" w:rsidRDefault="00F64776" w:rsidP="00F64776">
      <w:pPr>
        <w:pStyle w:val="TextoNormal"/>
      </w:pPr>
      <w:r>
        <w:t>Madrid, a dieciocho de diciembre de dos mil veintitrés.</w:t>
      </w:r>
    </w:p>
    <w:p w14:paraId="13D7EA52" w14:textId="5D4510F2" w:rsidR="00F64776" w:rsidRDefault="00F64776">
      <w:pPr>
        <w:spacing w:after="160" w:line="278" w:lineRule="auto"/>
        <w:rPr>
          <w:rFonts w:ascii="Times New Roman" w:eastAsia="Times New Roman" w:hAnsi="Times New Roman" w:cs="Times New Roman"/>
          <w:sz w:val="24"/>
          <w:szCs w:val="24"/>
          <w:lang w:eastAsia="es-ES"/>
        </w:rPr>
      </w:pPr>
      <w:r>
        <w:br w:type="page"/>
      </w:r>
    </w:p>
    <w:p w14:paraId="2F5947C8" w14:textId="77777777" w:rsidR="00F64776" w:rsidRDefault="00F64776" w:rsidP="00F64776">
      <w:pPr>
        <w:pStyle w:val="TtuloResolucin"/>
      </w:pPr>
      <w:bookmarkStart w:id="473" w:name="AUTO_2023_688"/>
      <w:r>
        <w:t>AUTO 688/2023, de 18 de diciembre de 2023</w:t>
      </w:r>
    </w:p>
    <w:bookmarkEnd w:id="473"/>
    <w:p w14:paraId="03D283D7" w14:textId="77777777" w:rsidR="00F64776" w:rsidRDefault="00F64776" w:rsidP="00F64776">
      <w:pPr>
        <w:pStyle w:val="TtuloResolucin"/>
      </w:pPr>
      <w:r>
        <w:t>Sección Tercera</w:t>
      </w:r>
    </w:p>
    <w:p w14:paraId="7AFB7B0D" w14:textId="77777777" w:rsidR="00F64776" w:rsidRDefault="00F64776" w:rsidP="00F64776">
      <w:pPr>
        <w:pStyle w:val="TextoNormalCentrado"/>
      </w:pPr>
      <w:r>
        <w:t>ECLI:ES:TC:2023:688A</w:t>
      </w:r>
    </w:p>
    <w:p w14:paraId="4DEBD913" w14:textId="6BF3972D" w:rsidR="00F64776" w:rsidRDefault="00F64776" w:rsidP="00F64776">
      <w:pPr>
        <w:pStyle w:val="TextoNormalCentrado"/>
      </w:pPr>
    </w:p>
    <w:p w14:paraId="160BEF86" w14:textId="77777777" w:rsidR="00F64776" w:rsidRDefault="00F64776" w:rsidP="00F64776">
      <w:pPr>
        <w:pStyle w:val="SntesisDescriptiva"/>
      </w:pPr>
      <w:r>
        <w:t>Excms. Srs. doña Inmaculada Montalbán Huertas y doña Laura Díez Bueso.</w:t>
      </w:r>
    </w:p>
    <w:p w14:paraId="57346885" w14:textId="109A99D3" w:rsidR="00F64776" w:rsidRDefault="00F64776" w:rsidP="00F64776">
      <w:pPr>
        <w:pStyle w:val="SntesisDescriptiva"/>
      </w:pPr>
    </w:p>
    <w:p w14:paraId="38007BC5" w14:textId="77777777" w:rsidR="00F64776" w:rsidRDefault="00F64776" w:rsidP="00F64776">
      <w:pPr>
        <w:pStyle w:val="SntesisDescriptiva"/>
      </w:pPr>
      <w:r>
        <w:t>Acepta una abstención en el recurso de amparo 3343-2023, promovido en proceso contencioso administrativo.</w:t>
      </w:r>
    </w:p>
    <w:p w14:paraId="5D0880F7" w14:textId="2A487014" w:rsidR="00F64776" w:rsidRDefault="00F64776" w:rsidP="00F64776">
      <w:pPr>
        <w:pStyle w:val="SntesisDescriptiva"/>
      </w:pPr>
    </w:p>
    <w:p w14:paraId="58A88189" w14:textId="77777777" w:rsidR="00F64776" w:rsidRDefault="00F64776" w:rsidP="00F64776">
      <w:pPr>
        <w:pStyle w:val="SntesisDescriptiva"/>
      </w:pPr>
    </w:p>
    <w:p w14:paraId="2CF85B10" w14:textId="77777777" w:rsidR="00F64776" w:rsidRDefault="00F64776" w:rsidP="00F64776">
      <w:pPr>
        <w:pStyle w:val="SntesisDescriptiva"/>
      </w:pPr>
    </w:p>
    <w:p w14:paraId="4A5444D1" w14:textId="77777777" w:rsidR="00F64776" w:rsidRDefault="00F64776" w:rsidP="00F64776">
      <w:pPr>
        <w:pStyle w:val="TextoNormalNegritaCentrado"/>
      </w:pPr>
      <w:r>
        <w:t>AUTO</w:t>
      </w:r>
    </w:p>
    <w:p w14:paraId="18DAFE65" w14:textId="245E223D" w:rsidR="00F64776" w:rsidRDefault="00F64776" w:rsidP="00F64776">
      <w:pPr>
        <w:pStyle w:val="TextoNormalNegritaCentrado"/>
      </w:pPr>
    </w:p>
    <w:p w14:paraId="18CF78B5" w14:textId="77777777" w:rsidR="00F64776" w:rsidRDefault="00F64776" w:rsidP="00F64776">
      <w:pPr>
        <w:pStyle w:val="TextoNormalNegritaCentrado"/>
        <w:keepNext/>
      </w:pPr>
      <w:r>
        <w:t>I. Antecedentes</w:t>
      </w:r>
    </w:p>
    <w:p w14:paraId="1DC0C83D" w14:textId="07CE84F6" w:rsidR="00F64776" w:rsidRDefault="00F64776" w:rsidP="00F64776">
      <w:pPr>
        <w:pStyle w:val="TextoNormalNegritaCentrado"/>
        <w:keepNext/>
      </w:pPr>
    </w:p>
    <w:p w14:paraId="756A6143" w14:textId="751FC843" w:rsidR="00F64776" w:rsidRDefault="00F64776" w:rsidP="00F64776">
      <w:pPr>
        <w:pStyle w:val="TextoNormal"/>
      </w:pPr>
      <w:r w:rsidRPr="00F64776">
        <w:rPr>
          <w:rStyle w:val="NumeroAFNegritaCaracter"/>
        </w:rPr>
        <w:t>1</w:t>
      </w:r>
      <w:r>
        <w:t>. Mediante escrito registrado en este tribunal el 19 de mayo de 2023, la procuradora de los tribunales doña Paloma Rubio Peláez, en nombre y representación de don Juan Luis Ferra Mari y otros y bajo la dirección del letrado don Miguel Ángel Torres Colomar, formuló demanda de amparo contra providencia de la Sección Primera Sala de lo Contencioso-Administrativo del Tribunal Supremo en recurso de casación núm. 3033-2021.</w:t>
      </w:r>
    </w:p>
    <w:p w14:paraId="7E84DF1C" w14:textId="77777777" w:rsidR="00F64776" w:rsidRDefault="00F64776" w:rsidP="00F64776">
      <w:pPr>
        <w:pStyle w:val="TextoNormal"/>
      </w:pPr>
    </w:p>
    <w:p w14:paraId="4DA296DC" w14:textId="310F486F" w:rsidR="00F64776" w:rsidRDefault="00F64776" w:rsidP="00F64776">
      <w:pPr>
        <w:pStyle w:val="TextoNormal"/>
      </w:pPr>
      <w:r w:rsidRPr="00F64776">
        <w:rPr>
          <w:rStyle w:val="NumeroAFNegritaCaracter"/>
        </w:rPr>
        <w:t>2</w:t>
      </w:r>
      <w:r>
        <w:t>. Por escrito de 1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575C1354" w14:textId="77777777" w:rsidR="00F64776" w:rsidRDefault="00F64776" w:rsidP="00F64776">
      <w:pPr>
        <w:pStyle w:val="TextoNormal"/>
      </w:pPr>
    </w:p>
    <w:p w14:paraId="101F59C8" w14:textId="77777777" w:rsidR="00F64776" w:rsidRDefault="00F64776" w:rsidP="00F64776">
      <w:pPr>
        <w:pStyle w:val="TextoNormalNegritaCentrado"/>
        <w:keepNext/>
      </w:pPr>
      <w:r>
        <w:t>II. Fundamentos jurídicos</w:t>
      </w:r>
    </w:p>
    <w:p w14:paraId="7B85EA7B" w14:textId="5B8172D6" w:rsidR="00F64776" w:rsidRDefault="00F64776" w:rsidP="00F64776">
      <w:pPr>
        <w:pStyle w:val="TextoNormalNegritaCentrado"/>
        <w:keepNext/>
      </w:pPr>
    </w:p>
    <w:p w14:paraId="4DA73D02" w14:textId="56D0F4BE"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1698C210" w14:textId="77777777" w:rsidR="00F64776" w:rsidRDefault="00F64776" w:rsidP="00F64776">
      <w:pPr>
        <w:pStyle w:val="TextoNormal"/>
      </w:pPr>
    </w:p>
    <w:p w14:paraId="5415D712" w14:textId="77777777" w:rsidR="00F64776" w:rsidRDefault="00F64776" w:rsidP="00F64776">
      <w:pPr>
        <w:pStyle w:val="TextoNormal"/>
      </w:pPr>
      <w:r>
        <w:t>Por lo expuesto, la Sección</w:t>
      </w:r>
    </w:p>
    <w:p w14:paraId="710F8892" w14:textId="7BF72A11" w:rsidR="00F64776" w:rsidRDefault="00F64776" w:rsidP="00F64776">
      <w:pPr>
        <w:pStyle w:val="TextoNormal"/>
      </w:pPr>
    </w:p>
    <w:p w14:paraId="2BD5548B" w14:textId="77777777" w:rsidR="00F64776" w:rsidRDefault="00F64776" w:rsidP="00F64776">
      <w:pPr>
        <w:pStyle w:val="TextoNormalCentrado"/>
      </w:pPr>
      <w:r>
        <w:t>ACUERDA</w:t>
      </w:r>
    </w:p>
    <w:p w14:paraId="24F8B9E6" w14:textId="75006952" w:rsidR="00F64776" w:rsidRDefault="00F64776" w:rsidP="00F64776">
      <w:pPr>
        <w:pStyle w:val="TextoNormalCentrado"/>
      </w:pPr>
    </w:p>
    <w:p w14:paraId="5ACBC537" w14:textId="5659AAEB" w:rsidR="00F64776" w:rsidRDefault="00F64776" w:rsidP="00F64776">
      <w:pPr>
        <w:pStyle w:val="TextoNormal"/>
      </w:pPr>
      <w:r>
        <w:t>Estimar justificada la abstención formulada por el magistrado don César Tolosa Tribiño en el recurso de amparo núm. 3343-2023 y apartarle definitivamente del conocimiento del referido recurso y de todas sus incidencias.</w:t>
      </w:r>
    </w:p>
    <w:p w14:paraId="723EB8B1" w14:textId="77777777" w:rsidR="00F64776" w:rsidRDefault="00F64776" w:rsidP="00F64776">
      <w:pPr>
        <w:pStyle w:val="TextoNormal"/>
      </w:pPr>
    </w:p>
    <w:p w14:paraId="772108F2" w14:textId="77777777" w:rsidR="00F64776" w:rsidRDefault="00F64776" w:rsidP="00F64776">
      <w:pPr>
        <w:pStyle w:val="TextoNormal"/>
      </w:pPr>
      <w:r>
        <w:t>Madrid, a dieciocho de diciembre de dos mil veintitrés.</w:t>
      </w:r>
    </w:p>
    <w:p w14:paraId="2F56931D" w14:textId="275687C5" w:rsidR="00F64776" w:rsidRDefault="00F64776">
      <w:pPr>
        <w:spacing w:after="160" w:line="278" w:lineRule="auto"/>
        <w:rPr>
          <w:rFonts w:ascii="Times New Roman" w:eastAsia="Times New Roman" w:hAnsi="Times New Roman" w:cs="Times New Roman"/>
          <w:sz w:val="24"/>
          <w:szCs w:val="24"/>
          <w:lang w:eastAsia="es-ES"/>
        </w:rPr>
      </w:pPr>
      <w:r>
        <w:br w:type="page"/>
      </w:r>
    </w:p>
    <w:p w14:paraId="25C39AD4" w14:textId="77777777" w:rsidR="00F64776" w:rsidRDefault="00F64776" w:rsidP="00F64776">
      <w:pPr>
        <w:pStyle w:val="TtuloResolucin"/>
      </w:pPr>
      <w:bookmarkStart w:id="474" w:name="AUTO_2023_689"/>
      <w:r>
        <w:t>AUTO 689/2023, de 18 de diciembre de 2023</w:t>
      </w:r>
    </w:p>
    <w:bookmarkEnd w:id="474"/>
    <w:p w14:paraId="75FBA559" w14:textId="77777777" w:rsidR="00F64776" w:rsidRDefault="00F64776" w:rsidP="00F64776">
      <w:pPr>
        <w:pStyle w:val="TtuloResolucin"/>
      </w:pPr>
      <w:r>
        <w:t>Sección Tercera</w:t>
      </w:r>
    </w:p>
    <w:p w14:paraId="5826B8AB" w14:textId="77777777" w:rsidR="00F64776" w:rsidRDefault="00F64776" w:rsidP="00F64776">
      <w:pPr>
        <w:pStyle w:val="TextoNormalCentrado"/>
      </w:pPr>
      <w:r>
        <w:t>ECLI:ES:TC:2023:689A</w:t>
      </w:r>
    </w:p>
    <w:p w14:paraId="62D384D4" w14:textId="679B9EC4" w:rsidR="00F64776" w:rsidRDefault="00F64776" w:rsidP="00F64776">
      <w:pPr>
        <w:pStyle w:val="TextoNormalCentrado"/>
      </w:pPr>
    </w:p>
    <w:p w14:paraId="7B413524" w14:textId="77777777" w:rsidR="00F64776" w:rsidRDefault="00F64776" w:rsidP="00F64776">
      <w:pPr>
        <w:pStyle w:val="SntesisDescriptiva"/>
      </w:pPr>
      <w:r>
        <w:t>Excms. Srs. doña Inmaculada Montalbán Huertas y doña Laura Díez Bueso.</w:t>
      </w:r>
    </w:p>
    <w:p w14:paraId="6B994BDF" w14:textId="7300A830" w:rsidR="00F64776" w:rsidRDefault="00F64776" w:rsidP="00F64776">
      <w:pPr>
        <w:pStyle w:val="SntesisDescriptiva"/>
      </w:pPr>
    </w:p>
    <w:p w14:paraId="4C64FA45" w14:textId="77777777" w:rsidR="00F64776" w:rsidRDefault="00F64776" w:rsidP="00F64776">
      <w:pPr>
        <w:pStyle w:val="SntesisDescriptiva"/>
      </w:pPr>
      <w:r>
        <w:t>Acepta una abstención en el recurso de amparo 3387-2023, promovido por Quinber Dreams, S.L., en proceso contencioso administrativo.</w:t>
      </w:r>
    </w:p>
    <w:p w14:paraId="4925998B" w14:textId="42803B05" w:rsidR="00F64776" w:rsidRDefault="00F64776" w:rsidP="00F64776">
      <w:pPr>
        <w:pStyle w:val="SntesisDescriptiva"/>
      </w:pPr>
    </w:p>
    <w:p w14:paraId="7114F5C5" w14:textId="77777777" w:rsidR="00F64776" w:rsidRDefault="00F64776" w:rsidP="00F64776">
      <w:pPr>
        <w:pStyle w:val="SntesisDescriptiva"/>
      </w:pPr>
    </w:p>
    <w:p w14:paraId="55AA7102" w14:textId="77777777" w:rsidR="00F64776" w:rsidRDefault="00F64776" w:rsidP="00F64776">
      <w:pPr>
        <w:pStyle w:val="SntesisDescriptiva"/>
      </w:pPr>
    </w:p>
    <w:p w14:paraId="6E888E90" w14:textId="77777777" w:rsidR="00F64776" w:rsidRDefault="00F64776" w:rsidP="00F64776">
      <w:pPr>
        <w:pStyle w:val="TextoNormalNegritaCentrado"/>
      </w:pPr>
      <w:r>
        <w:t>AUTO</w:t>
      </w:r>
    </w:p>
    <w:p w14:paraId="4D9E9CE6" w14:textId="58F5F36D" w:rsidR="00F64776" w:rsidRDefault="00F64776" w:rsidP="00F64776">
      <w:pPr>
        <w:pStyle w:val="TextoNormalNegritaCentrado"/>
      </w:pPr>
    </w:p>
    <w:p w14:paraId="6FAB4AEA" w14:textId="77777777" w:rsidR="00F64776" w:rsidRDefault="00F64776" w:rsidP="00F64776">
      <w:pPr>
        <w:pStyle w:val="TextoNormalNegritaCentrado"/>
        <w:keepNext/>
      </w:pPr>
      <w:r>
        <w:t>I. Antecedentes</w:t>
      </w:r>
    </w:p>
    <w:p w14:paraId="21B2F4F4" w14:textId="696C0290" w:rsidR="00F64776" w:rsidRDefault="00F64776" w:rsidP="00F64776">
      <w:pPr>
        <w:pStyle w:val="TextoNormalNegritaCentrado"/>
        <w:keepNext/>
      </w:pPr>
    </w:p>
    <w:p w14:paraId="48AAF6AF" w14:textId="4AAD1425" w:rsidR="00F64776" w:rsidRDefault="00F64776" w:rsidP="00F64776">
      <w:pPr>
        <w:pStyle w:val="TextoNormal"/>
      </w:pPr>
      <w:r w:rsidRPr="00F64776">
        <w:rPr>
          <w:rStyle w:val="NumeroAFNegritaCaracter"/>
        </w:rPr>
        <w:t>1</w:t>
      </w:r>
      <w:r>
        <w:t>. Mediante escrito registrado en este tribunal el 22 de mayo de 2023, la procuradora de los tribunales doña Marta Oti Moreno, en nombre y representación de la entidad Quinber Dreams, S.L., y bajo la dirección del letrado don Miguel Ángel Cuesta Arroyo, formuló demanda de amparo contra la providencia de 28 de marzo de 2023, dictada por la Sala de lo Contencioso-Administrativo del Tribunal Supremo en recurso de casación núm. 4779-2022 contra la sentencia dictada por la Sala de lo Contencioso-Administrativo del Tribunal Superior de Justicia de Madrid en recurso de apelación núm. 314-2021.</w:t>
      </w:r>
    </w:p>
    <w:p w14:paraId="7FC393F7" w14:textId="77777777" w:rsidR="00F64776" w:rsidRDefault="00F64776" w:rsidP="00F64776">
      <w:pPr>
        <w:pStyle w:val="TextoNormal"/>
      </w:pPr>
    </w:p>
    <w:p w14:paraId="49422BD0" w14:textId="779BE8CD" w:rsidR="00F64776" w:rsidRDefault="00F64776" w:rsidP="00F64776">
      <w:pPr>
        <w:pStyle w:val="TextoNormal"/>
      </w:pPr>
      <w:r w:rsidRPr="00F64776">
        <w:rPr>
          <w:rStyle w:val="NumeroAFNegritaCaracter"/>
        </w:rPr>
        <w:t>2</w:t>
      </w:r>
      <w:r>
        <w:t>. Por escrito de 1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11CAACE1" w14:textId="77777777" w:rsidR="00F64776" w:rsidRDefault="00F64776" w:rsidP="00F64776">
      <w:pPr>
        <w:pStyle w:val="TextoNormal"/>
      </w:pPr>
    </w:p>
    <w:p w14:paraId="116D9E8E" w14:textId="77777777" w:rsidR="00F64776" w:rsidRDefault="00F64776" w:rsidP="00F64776">
      <w:pPr>
        <w:pStyle w:val="TextoNormalNegritaCentrado"/>
        <w:keepNext/>
      </w:pPr>
      <w:r>
        <w:t>II. Fundamentos jurídicos</w:t>
      </w:r>
    </w:p>
    <w:p w14:paraId="4B6FA079" w14:textId="146C14FB" w:rsidR="00F64776" w:rsidRDefault="00F64776" w:rsidP="00F64776">
      <w:pPr>
        <w:pStyle w:val="TextoNormalNegritaCentrado"/>
        <w:keepNext/>
      </w:pPr>
    </w:p>
    <w:p w14:paraId="1E29B861" w14:textId="46D2D102" w:rsidR="00F64776" w:rsidRDefault="00F64776" w:rsidP="00F64776">
      <w:pPr>
        <w:pStyle w:val="TextoNormal"/>
      </w:pPr>
      <w:r w:rsidRPr="00F64776">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1257A83B" w14:textId="77777777" w:rsidR="00F64776" w:rsidRDefault="00F64776" w:rsidP="00F64776">
      <w:pPr>
        <w:pStyle w:val="TextoNormal"/>
      </w:pPr>
    </w:p>
    <w:p w14:paraId="342A0833" w14:textId="77777777" w:rsidR="00F64776" w:rsidRDefault="00F64776" w:rsidP="00F64776">
      <w:pPr>
        <w:pStyle w:val="TextoNormal"/>
      </w:pPr>
      <w:r>
        <w:t>Por lo expuesto, la Sección</w:t>
      </w:r>
    </w:p>
    <w:p w14:paraId="18E9D6DF" w14:textId="5DE4F8CF" w:rsidR="00F64776" w:rsidRDefault="00F64776" w:rsidP="00F64776">
      <w:pPr>
        <w:pStyle w:val="TextoNormal"/>
      </w:pPr>
    </w:p>
    <w:p w14:paraId="34AC957C" w14:textId="77777777" w:rsidR="00F64776" w:rsidRDefault="00F64776" w:rsidP="00F64776">
      <w:pPr>
        <w:pStyle w:val="TextoNormalCentrado"/>
      </w:pPr>
      <w:r>
        <w:t>ACUERDA</w:t>
      </w:r>
    </w:p>
    <w:p w14:paraId="5D1CAB6F" w14:textId="2FE9BAB6" w:rsidR="00F64776" w:rsidRDefault="00F64776" w:rsidP="00F64776">
      <w:pPr>
        <w:pStyle w:val="TextoNormalCentrado"/>
      </w:pPr>
    </w:p>
    <w:p w14:paraId="774B7A7F" w14:textId="25A75060" w:rsidR="00F64776" w:rsidRDefault="00F64776" w:rsidP="00F64776">
      <w:pPr>
        <w:pStyle w:val="TextoNormal"/>
      </w:pPr>
      <w:r>
        <w:t>Estimar justificada la abstención formulada por el magistrado don César Tolosa Tribiño en el recurso de amparo núm. 3387-2023 y apartarle definitivamente del conocimiento del referido recurso y de todas sus incidencias.</w:t>
      </w:r>
    </w:p>
    <w:p w14:paraId="43467277" w14:textId="77777777" w:rsidR="00F64776" w:rsidRDefault="00F64776" w:rsidP="00F64776">
      <w:pPr>
        <w:pStyle w:val="TextoNormal"/>
      </w:pPr>
    </w:p>
    <w:p w14:paraId="34C9477A" w14:textId="77777777" w:rsidR="00F64776" w:rsidRDefault="00F64776" w:rsidP="00DA359F">
      <w:pPr>
        <w:pStyle w:val="TextoNormal"/>
      </w:pPr>
      <w:r>
        <w:t>Madrid, a dieciocho de diciembre de dos mil veintitrés.</w:t>
      </w:r>
    </w:p>
    <w:p w14:paraId="6D1B1AEB" w14:textId="43E4AC0C" w:rsidR="00DA359F" w:rsidRDefault="00DA359F">
      <w:pPr>
        <w:spacing w:after="160" w:line="278" w:lineRule="auto"/>
        <w:rPr>
          <w:rFonts w:ascii="Times New Roman" w:eastAsia="Times New Roman" w:hAnsi="Times New Roman" w:cs="Times New Roman"/>
          <w:sz w:val="24"/>
          <w:szCs w:val="24"/>
          <w:lang w:eastAsia="es-ES"/>
        </w:rPr>
      </w:pPr>
      <w:r>
        <w:br w:type="page"/>
      </w:r>
    </w:p>
    <w:p w14:paraId="36A919CF" w14:textId="77777777" w:rsidR="00DA359F" w:rsidRDefault="00DA359F" w:rsidP="00F64776">
      <w:pPr>
        <w:pStyle w:val="ParrafoNormal"/>
      </w:pPr>
    </w:p>
    <w:p w14:paraId="631EBA29" w14:textId="77777777" w:rsidR="00DA359F" w:rsidRDefault="00DA359F" w:rsidP="00DA359F">
      <w:pPr>
        <w:pStyle w:val="TextoNormal"/>
      </w:pPr>
    </w:p>
    <w:p w14:paraId="0EAD8603" w14:textId="77777777" w:rsidR="00DA359F" w:rsidRDefault="00DA359F" w:rsidP="00DA359F">
      <w:pPr>
        <w:pStyle w:val="TextoNormal"/>
      </w:pPr>
    </w:p>
    <w:p w14:paraId="7D8BBDEC" w14:textId="77777777" w:rsidR="00DA359F" w:rsidRDefault="00DA359F" w:rsidP="00DA359F">
      <w:pPr>
        <w:pStyle w:val="TextoNormal"/>
      </w:pPr>
    </w:p>
    <w:p w14:paraId="704CAA02" w14:textId="77777777" w:rsidR="00DA359F" w:rsidRDefault="00DA359F" w:rsidP="00DA359F">
      <w:pPr>
        <w:pStyle w:val="Ttulondice"/>
        <w:suppressAutoHyphens/>
      </w:pPr>
      <w:r>
        <w:t>3. ÍNDICE DE DISPOSICIONES CON FUERZA DE LEY IMPUGNADAS</w:t>
      </w:r>
    </w:p>
    <w:p w14:paraId="6B5AC524" w14:textId="1449DA69" w:rsidR="00DA359F" w:rsidRDefault="00DA359F" w:rsidP="00DA359F">
      <w:pPr>
        <w:pStyle w:val="TextoNormal"/>
        <w:suppressAutoHyphens/>
      </w:pPr>
    </w:p>
    <w:p w14:paraId="04C1299F" w14:textId="77777777" w:rsidR="00DA359F" w:rsidRDefault="00DA359F" w:rsidP="00DA359F">
      <w:pPr>
        <w:pStyle w:val="TextoNormal"/>
        <w:suppressAutoHyphens/>
      </w:pPr>
    </w:p>
    <w:p w14:paraId="5236479D" w14:textId="77777777" w:rsidR="00DA359F" w:rsidRDefault="00DA359F" w:rsidP="00DA359F">
      <w:pPr>
        <w:pStyle w:val="TextoNormal"/>
        <w:suppressAutoHyphens/>
      </w:pPr>
    </w:p>
    <w:p w14:paraId="7890CC45" w14:textId="77777777" w:rsidR="00DA359F" w:rsidRDefault="00DA359F" w:rsidP="00DA359F">
      <w:pPr>
        <w:pStyle w:val="TextoNormal"/>
        <w:suppressAutoHyphens/>
      </w:pPr>
    </w:p>
    <w:p w14:paraId="2EC4E46F" w14:textId="77777777" w:rsidR="00DA359F" w:rsidRDefault="00DA359F" w:rsidP="00DA359F">
      <w:pPr>
        <w:pStyle w:val="TextoNormal"/>
        <w:suppressAutoHyphens/>
      </w:pPr>
    </w:p>
    <w:p w14:paraId="047B5FB0" w14:textId="77777777" w:rsidR="00DA359F" w:rsidRDefault="00DA359F" w:rsidP="00DA359F">
      <w:pPr>
        <w:pStyle w:val="TextoNormal"/>
        <w:suppressAutoHyphens/>
      </w:pPr>
    </w:p>
    <w:p w14:paraId="3DA02F05" w14:textId="77777777" w:rsidR="00DA359F" w:rsidRDefault="00DA359F" w:rsidP="00DA359F">
      <w:pPr>
        <w:pStyle w:val="TextoNormal"/>
        <w:suppressAutoHyphens/>
      </w:pPr>
    </w:p>
    <w:p w14:paraId="29F11E75" w14:textId="77777777" w:rsidR="00DA359F" w:rsidRDefault="00DA359F" w:rsidP="00DA359F">
      <w:pPr>
        <w:pStyle w:val="TextoNormal"/>
        <w:suppressAutoHyphens/>
      </w:pPr>
    </w:p>
    <w:p w14:paraId="45FEC500" w14:textId="77777777" w:rsidR="00DA359F" w:rsidRDefault="00DA359F" w:rsidP="00DA359F">
      <w:pPr>
        <w:pStyle w:val="TextoNormal"/>
        <w:suppressAutoHyphens/>
      </w:pPr>
    </w:p>
    <w:p w14:paraId="6039983F" w14:textId="77777777" w:rsidR="00DA359F" w:rsidRDefault="00DA359F" w:rsidP="00DA359F">
      <w:pPr>
        <w:pStyle w:val="TextoNormal"/>
      </w:pPr>
    </w:p>
    <w:p w14:paraId="4017986B" w14:textId="77777777" w:rsidR="00DA359F" w:rsidRDefault="00DA359F" w:rsidP="00DA359F">
      <w:pPr>
        <w:pStyle w:val="TextoNormal"/>
      </w:pPr>
      <w:bookmarkStart w:id="475" w:name="INDICE22802"/>
      <w:bookmarkEnd w:id="475"/>
    </w:p>
    <w:p w14:paraId="2268496F" w14:textId="77777777" w:rsidR="00DA359F" w:rsidRDefault="00DA359F" w:rsidP="00DA359F">
      <w:pPr>
        <w:pStyle w:val="TextoIndiceNivel2"/>
        <w:suppressAutoHyphens/>
      </w:pPr>
      <w:r>
        <w:t>A) Disposiciones con fuerza de ley del Estado</w:t>
      </w:r>
    </w:p>
    <w:p w14:paraId="62A038EB" w14:textId="37B47E91" w:rsidR="00DA359F" w:rsidRDefault="00DA359F" w:rsidP="00DA359F">
      <w:pPr>
        <w:pStyle w:val="TextoIndiceNivel2"/>
      </w:pPr>
    </w:p>
    <w:p w14:paraId="69A7FBEB" w14:textId="77777777" w:rsidR="00DA359F" w:rsidRDefault="00DA359F" w:rsidP="00DA359F">
      <w:pPr>
        <w:pStyle w:val="TextoNormalNegritaCursivandice"/>
        <w:keepNext/>
      </w:pPr>
      <w:r>
        <w:t>Real Decreto Legislativo 1/1994, de 20 de junio. Texto refundido de la Ley general de la Seguridad Social</w:t>
      </w:r>
    </w:p>
    <w:p w14:paraId="38035173" w14:textId="10A1AB01" w:rsidR="00DA359F" w:rsidRDefault="00DA359F" w:rsidP="00DA359F">
      <w:pPr>
        <w:pStyle w:val="SangriaFrancesaArticulo"/>
      </w:pPr>
      <w:r w:rsidRPr="00DA359F">
        <w:rPr>
          <w:rStyle w:val="TextoNormalNegritaCaracter"/>
        </w:rPr>
        <w:t>Artículo 177</w:t>
      </w:r>
      <w:r>
        <w:t xml:space="preserve"> (redactado por el Real Decreto Legislativo 8/2015, de 30 de octubre)</w:t>
      </w:r>
      <w:r w:rsidRPr="00DA359F">
        <w:rPr>
          <w:rStyle w:val="TextoNormalNegritaCaracter"/>
        </w:rPr>
        <w:t>.</w:t>
      </w:r>
      <w:r w:rsidRPr="00DA359F">
        <w:rPr>
          <w:rStyle w:val="TextoNormalCaracter"/>
        </w:rPr>
        <w:t>-</w:t>
      </w:r>
      <w:r>
        <w:t xml:space="preserve"> Auto </w:t>
      </w:r>
      <w:hyperlink w:anchor="AUTO_2023_446" w:history="1">
        <w:r w:rsidRPr="00DA359F">
          <w:rPr>
            <w:rStyle w:val="TextoNormalCaracter"/>
          </w:rPr>
          <w:t>446/2023</w:t>
        </w:r>
      </w:hyperlink>
      <w:r>
        <w:t>.</w:t>
      </w:r>
    </w:p>
    <w:p w14:paraId="5F326789" w14:textId="2BBACAD0" w:rsidR="00DA359F" w:rsidRDefault="00DA359F" w:rsidP="00DA359F">
      <w:pPr>
        <w:pStyle w:val="SangriaFrancesaArticulo"/>
      </w:pPr>
    </w:p>
    <w:p w14:paraId="22448F07" w14:textId="77777777" w:rsidR="00DA359F" w:rsidRDefault="00DA359F" w:rsidP="00DA359F">
      <w:pPr>
        <w:pStyle w:val="TextoNormalNegritaCursivandice"/>
        <w:keepNext/>
      </w:pPr>
      <w:r>
        <w:t>Ley Orgánica 4/2000, de 11 de enero, sobre derechos y libertades de los extranjeros en España y su integración social</w:t>
      </w:r>
    </w:p>
    <w:p w14:paraId="0C571284" w14:textId="1DC51271" w:rsidR="00DA359F" w:rsidRDefault="00DA359F" w:rsidP="00DA359F">
      <w:pPr>
        <w:pStyle w:val="SangriaFrancesaArticulo"/>
      </w:pPr>
      <w:r w:rsidRPr="00DA359F">
        <w:rPr>
          <w:rStyle w:val="TextoNormalNegritaCaracter"/>
        </w:rPr>
        <w:t>Artículo 57.1.</w:t>
      </w:r>
      <w:r w:rsidRPr="00DA359F">
        <w:rPr>
          <w:rStyle w:val="TextoNormalCaracter"/>
        </w:rPr>
        <w:t>-</w:t>
      </w:r>
      <w:r>
        <w:t xml:space="preserve"> Auto </w:t>
      </w:r>
      <w:hyperlink w:anchor="AUTO_2023_603" w:history="1">
        <w:r w:rsidRPr="00DA359F">
          <w:rPr>
            <w:rStyle w:val="TextoNormalCaracter"/>
          </w:rPr>
          <w:t>603/2023</w:t>
        </w:r>
      </w:hyperlink>
      <w:r>
        <w:t>.</w:t>
      </w:r>
    </w:p>
    <w:p w14:paraId="30D3CE67" w14:textId="48A21045" w:rsidR="00DA359F" w:rsidRDefault="00DA359F" w:rsidP="00DA359F">
      <w:pPr>
        <w:pStyle w:val="SangriaFrancesaArticulo"/>
      </w:pPr>
    </w:p>
    <w:p w14:paraId="5566C864" w14:textId="77777777" w:rsidR="00DA359F" w:rsidRDefault="00DA359F" w:rsidP="00DA359F">
      <w:pPr>
        <w:pStyle w:val="TextoNormalNegritaCursivandice"/>
        <w:keepNext/>
      </w:pPr>
      <w:r>
        <w:t>Real Decreto Legislativo 2/2004, de 5 de marzo, por el que se aprueba el texto refundido de la Ley reguladora de las haciendas locales</w:t>
      </w:r>
    </w:p>
    <w:p w14:paraId="37D06A0E" w14:textId="74D60884" w:rsidR="00DA359F" w:rsidRDefault="00DA359F" w:rsidP="00DA359F">
      <w:pPr>
        <w:pStyle w:val="SangriaFrancesaArticulo"/>
      </w:pPr>
      <w:r w:rsidRPr="00DA359F">
        <w:rPr>
          <w:rStyle w:val="TextoNormalNegritaCaracter"/>
        </w:rPr>
        <w:t>Artículo 104.5</w:t>
      </w:r>
      <w:r>
        <w:t xml:space="preserve"> (redactado por el Real Decreto-ley 26/2021, de 8 de noviembre)</w:t>
      </w:r>
      <w:r w:rsidRPr="00DA359F">
        <w:rPr>
          <w:rStyle w:val="TextoNormalNegritaCaracter"/>
        </w:rPr>
        <w:t>.</w:t>
      </w:r>
      <w:r w:rsidRPr="00DA359F">
        <w:rPr>
          <w:rStyle w:val="TextoNormalCaracter"/>
        </w:rPr>
        <w:t>-</w:t>
      </w:r>
      <w:r>
        <w:t xml:space="preserve"> Auto </w:t>
      </w:r>
      <w:hyperlink w:anchor="AUTO_2023_376" w:history="1">
        <w:r w:rsidRPr="00DA359F">
          <w:rPr>
            <w:rStyle w:val="TextoNormalCaracter"/>
          </w:rPr>
          <w:t>376/2023</w:t>
        </w:r>
      </w:hyperlink>
      <w:r>
        <w:t>.</w:t>
      </w:r>
    </w:p>
    <w:p w14:paraId="566DA74E" w14:textId="539F4979" w:rsidR="00DA359F" w:rsidRDefault="00DA359F" w:rsidP="00DA359F">
      <w:pPr>
        <w:pStyle w:val="SangriaFrancesaArticulo"/>
      </w:pPr>
      <w:r w:rsidRPr="00DA359F">
        <w:rPr>
          <w:rStyle w:val="TextoNormalNegritaCaracter"/>
        </w:rPr>
        <w:t>Artículo 104.5, párrafo 4</w:t>
      </w:r>
      <w:r>
        <w:t xml:space="preserve"> (redactado por el Real Decreto Ley 26/2021, de 8 de noviembre)</w:t>
      </w:r>
      <w:r w:rsidRPr="00DA359F">
        <w:rPr>
          <w:rStyle w:val="TextoNormalNegritaCaracter"/>
        </w:rPr>
        <w:t>.</w:t>
      </w:r>
      <w:r w:rsidRPr="00DA359F">
        <w:rPr>
          <w:rStyle w:val="TextoNormalCaracter"/>
        </w:rPr>
        <w:t>-</w:t>
      </w:r>
      <w:r>
        <w:t xml:space="preserve"> Auto </w:t>
      </w:r>
      <w:hyperlink w:anchor="AUTO_2023_667" w:history="1">
        <w:r w:rsidRPr="00DA359F">
          <w:rPr>
            <w:rStyle w:val="TextoNormalCaracter"/>
          </w:rPr>
          <w:t>667/2023</w:t>
        </w:r>
      </w:hyperlink>
      <w:r>
        <w:t>.</w:t>
      </w:r>
    </w:p>
    <w:p w14:paraId="0C91356B" w14:textId="39BB02F8" w:rsidR="00DA359F" w:rsidRDefault="00DA359F" w:rsidP="00DA359F">
      <w:pPr>
        <w:pStyle w:val="SangriaFrancesaArticulo"/>
      </w:pPr>
    </w:p>
    <w:p w14:paraId="78B56ACD" w14:textId="77777777" w:rsidR="00DA359F" w:rsidRDefault="00DA359F" w:rsidP="00DA359F">
      <w:pPr>
        <w:pStyle w:val="TextoNormalNegritaCursivandice"/>
        <w:keepNext/>
      </w:pPr>
      <w:r>
        <w:t>Ley Orgánica 8/2007, de 4 de julio, sobre financiación de los partidos políticos</w:t>
      </w:r>
    </w:p>
    <w:p w14:paraId="59AC7AB7" w14:textId="79B2F6E8" w:rsidR="00DA359F" w:rsidRDefault="00DA359F" w:rsidP="00DA359F">
      <w:pPr>
        <w:pStyle w:val="SangriaFrancesaArticulo"/>
      </w:pPr>
      <w:r w:rsidRPr="00DA359F">
        <w:rPr>
          <w:rStyle w:val="TextoNormalNegritaCaracter"/>
        </w:rPr>
        <w:t>Artículo 17 bis.2 b)</w:t>
      </w:r>
      <w:r>
        <w:t xml:space="preserve"> (redactado por la Ley Orgánica 3/2015, de 30 de marzo)</w:t>
      </w:r>
      <w:r w:rsidRPr="00DA359F">
        <w:rPr>
          <w:rStyle w:val="TextoNormalNegritaCaracter"/>
        </w:rPr>
        <w:t>.</w:t>
      </w:r>
      <w:r w:rsidRPr="00DA359F">
        <w:rPr>
          <w:rStyle w:val="TextoNormalCaracter"/>
        </w:rPr>
        <w:t>-</w:t>
      </w:r>
      <w:r>
        <w:t xml:space="preserve"> Auto </w:t>
      </w:r>
      <w:hyperlink w:anchor="AUTO_2023_526" w:history="1">
        <w:r w:rsidRPr="00DA359F">
          <w:rPr>
            <w:rStyle w:val="TextoNormalCaracter"/>
          </w:rPr>
          <w:t>526/2023</w:t>
        </w:r>
      </w:hyperlink>
      <w:r>
        <w:t>.</w:t>
      </w:r>
    </w:p>
    <w:p w14:paraId="420AFC2E" w14:textId="3A79472E" w:rsidR="00DA359F" w:rsidRDefault="00DA359F" w:rsidP="00DA359F">
      <w:pPr>
        <w:pStyle w:val="SangriaFrancesaArticulo"/>
      </w:pPr>
    </w:p>
    <w:p w14:paraId="0350B7C5" w14:textId="77777777" w:rsidR="00DA359F" w:rsidRDefault="00DA359F" w:rsidP="00DA359F">
      <w:pPr>
        <w:pStyle w:val="TextoNormalNegritaCursivandice"/>
        <w:keepNext/>
      </w:pPr>
      <w:r>
        <w:t>Ley 13/2011, de 27 de mayo, de regulación del juego</w:t>
      </w:r>
    </w:p>
    <w:p w14:paraId="11093233" w14:textId="628E8FEF" w:rsidR="00DA359F" w:rsidRDefault="00DA359F" w:rsidP="00DA359F">
      <w:pPr>
        <w:pStyle w:val="SangriaFrancesaArticulo"/>
      </w:pPr>
      <w:r w:rsidRPr="00DA359F">
        <w:rPr>
          <w:rStyle w:val="TextoNormalNegritaCaracter"/>
        </w:rPr>
        <w:t>Artículo 7.2.</w:t>
      </w:r>
      <w:r w:rsidRPr="00DA359F">
        <w:rPr>
          <w:rStyle w:val="TextoNormalCaracter"/>
        </w:rPr>
        <w:t>-</w:t>
      </w:r>
      <w:r>
        <w:t xml:space="preserve"> Sentencia </w:t>
      </w:r>
      <w:hyperlink w:anchor="SENTENCIA_2023_169" w:history="1">
        <w:r w:rsidRPr="00DA359F">
          <w:rPr>
            <w:rStyle w:val="TextoNormalCaracter"/>
          </w:rPr>
          <w:t>169/2023</w:t>
        </w:r>
      </w:hyperlink>
      <w:r>
        <w:t>.</w:t>
      </w:r>
    </w:p>
    <w:p w14:paraId="778F8497" w14:textId="57DE950F" w:rsidR="00DA359F" w:rsidRDefault="00DA359F" w:rsidP="00DA359F">
      <w:pPr>
        <w:pStyle w:val="SangriaFrancesaArticulo"/>
      </w:pPr>
    </w:p>
    <w:p w14:paraId="7947AB55" w14:textId="77777777" w:rsidR="00DA359F" w:rsidRDefault="00DA359F" w:rsidP="00DA359F">
      <w:pPr>
        <w:pStyle w:val="TextoNormalNegritaCursivandice"/>
        <w:keepNext/>
      </w:pPr>
      <w:r>
        <w:t>Real Decreto Legislativo 2/2015, de 23 de octubre, por el que se aprueba el texto refundido de la Ley del estatuto de los trabajadores</w:t>
      </w:r>
    </w:p>
    <w:p w14:paraId="37419E1B" w14:textId="34AE36F2" w:rsidR="00DA359F" w:rsidRDefault="00DA359F" w:rsidP="00DA359F">
      <w:pPr>
        <w:pStyle w:val="SangriaFrancesaArticulo"/>
      </w:pPr>
      <w:r w:rsidRPr="00DA359F">
        <w:rPr>
          <w:rStyle w:val="TextoNormalNegritaCaracter"/>
        </w:rPr>
        <w:t>Artículo 48.4.</w:t>
      </w:r>
      <w:r w:rsidRPr="00DA359F">
        <w:rPr>
          <w:rStyle w:val="TextoNormalCaracter"/>
        </w:rPr>
        <w:t>-</w:t>
      </w:r>
      <w:r>
        <w:t xml:space="preserve"> Auto </w:t>
      </w:r>
      <w:hyperlink w:anchor="AUTO_2023_446" w:history="1">
        <w:r w:rsidRPr="00DA359F">
          <w:rPr>
            <w:rStyle w:val="TextoNormalCaracter"/>
          </w:rPr>
          <w:t>446/2023</w:t>
        </w:r>
      </w:hyperlink>
      <w:r>
        <w:t>.</w:t>
      </w:r>
    </w:p>
    <w:p w14:paraId="7D3560C9" w14:textId="03CF000D" w:rsidR="00DA359F" w:rsidRDefault="00DA359F" w:rsidP="00DA359F">
      <w:pPr>
        <w:pStyle w:val="SangriaFrancesaArticulo"/>
      </w:pPr>
    </w:p>
    <w:p w14:paraId="42651FBB" w14:textId="77777777" w:rsidR="00DA359F" w:rsidRDefault="00DA359F" w:rsidP="00DA359F">
      <w:pPr>
        <w:pStyle w:val="TextoNormalNegritaCursivandice"/>
        <w:keepNext/>
      </w:pPr>
      <w:r>
        <w:t>Ley 48/2015, de 29 de octubre. Presupuestos Generales del Estado para el año 2016</w:t>
      </w:r>
    </w:p>
    <w:p w14:paraId="22DD7F97" w14:textId="14BBC6A0" w:rsidR="00DA359F" w:rsidRDefault="00DA359F" w:rsidP="00DA359F">
      <w:pPr>
        <w:pStyle w:val="SangriaFrancesaArticulo"/>
      </w:pPr>
      <w:r w:rsidRPr="00DA359F">
        <w:rPr>
          <w:rStyle w:val="TextoNormalNegritaCaracter"/>
        </w:rPr>
        <w:t>Disposición adicional sexagésima novena.</w:t>
      </w:r>
      <w:r w:rsidRPr="00DA359F">
        <w:rPr>
          <w:rStyle w:val="TextoNormalCaracter"/>
        </w:rPr>
        <w:t>-</w:t>
      </w:r>
      <w:r>
        <w:t xml:space="preserve"> Auto </w:t>
      </w:r>
      <w:hyperlink w:anchor="AUTO_2023_669" w:history="1">
        <w:r w:rsidRPr="00DA359F">
          <w:rPr>
            <w:rStyle w:val="TextoNormalCaracter"/>
          </w:rPr>
          <w:t>669/2023</w:t>
        </w:r>
      </w:hyperlink>
      <w:r>
        <w:t>.</w:t>
      </w:r>
    </w:p>
    <w:p w14:paraId="72F5E827" w14:textId="5ED81654" w:rsidR="00DA359F" w:rsidRDefault="00DA359F" w:rsidP="00DA359F">
      <w:pPr>
        <w:pStyle w:val="SangriaFrancesaArticulo"/>
      </w:pPr>
    </w:p>
    <w:p w14:paraId="71C01458" w14:textId="77777777" w:rsidR="00DA359F" w:rsidRDefault="00DA359F" w:rsidP="00DA359F">
      <w:pPr>
        <w:pStyle w:val="TextoNormalNegritaCursivandice"/>
        <w:keepNext/>
      </w:pPr>
      <w:r>
        <w:t>Real Decreto Legislativo 5/2015, de 30 de octubre, por el que se aprueba el texto refundido de la Ley del estatuto básico del empleado público</w:t>
      </w:r>
    </w:p>
    <w:p w14:paraId="3118C588" w14:textId="50524F26" w:rsidR="00DA359F" w:rsidRDefault="00DA359F" w:rsidP="00DA359F">
      <w:pPr>
        <w:pStyle w:val="SangriaFrancesaArticulo"/>
      </w:pPr>
      <w:r w:rsidRPr="00DA359F">
        <w:rPr>
          <w:rStyle w:val="TextoNormalNegritaCaracter"/>
        </w:rPr>
        <w:t>Artículo 49 a).</w:t>
      </w:r>
      <w:r w:rsidRPr="00DA359F">
        <w:rPr>
          <w:rStyle w:val="TextoNormalCaracter"/>
        </w:rPr>
        <w:t>-</w:t>
      </w:r>
      <w:r>
        <w:t xml:space="preserve"> Auto </w:t>
      </w:r>
      <w:hyperlink w:anchor="AUTO_2023_446" w:history="1">
        <w:r w:rsidRPr="00DA359F">
          <w:rPr>
            <w:rStyle w:val="TextoNormalCaracter"/>
          </w:rPr>
          <w:t>446/2023</w:t>
        </w:r>
      </w:hyperlink>
      <w:r>
        <w:t>.</w:t>
      </w:r>
    </w:p>
    <w:p w14:paraId="6C92B226" w14:textId="17EB6648" w:rsidR="00DA359F" w:rsidRDefault="00DA359F" w:rsidP="00DA359F">
      <w:pPr>
        <w:pStyle w:val="SangriaFrancesaArticulo"/>
      </w:pPr>
      <w:r w:rsidRPr="00DA359F">
        <w:rPr>
          <w:rStyle w:val="TextoNormalNegritaCaracter"/>
        </w:rPr>
        <w:t>Artículo 49 c).</w:t>
      </w:r>
      <w:r w:rsidRPr="00DA359F">
        <w:rPr>
          <w:rStyle w:val="TextoNormalCaracter"/>
        </w:rPr>
        <w:t>-</w:t>
      </w:r>
      <w:r>
        <w:t xml:space="preserve"> Auto </w:t>
      </w:r>
      <w:hyperlink w:anchor="AUTO_2023_446" w:history="1">
        <w:r w:rsidRPr="00DA359F">
          <w:rPr>
            <w:rStyle w:val="TextoNormalCaracter"/>
          </w:rPr>
          <w:t>446/2023</w:t>
        </w:r>
      </w:hyperlink>
      <w:r>
        <w:t>.</w:t>
      </w:r>
    </w:p>
    <w:p w14:paraId="7AAA4CC1" w14:textId="724F7043" w:rsidR="00DA359F" w:rsidRDefault="00DA359F" w:rsidP="00DA359F">
      <w:pPr>
        <w:pStyle w:val="SangriaFrancesaArticulo"/>
      </w:pPr>
    </w:p>
    <w:p w14:paraId="4D3EEE9C" w14:textId="77777777" w:rsidR="00DA359F" w:rsidRDefault="00DA359F" w:rsidP="00DA359F">
      <w:pPr>
        <w:pStyle w:val="TextoNormalNegritaCursivandice"/>
        <w:keepNext/>
      </w:pPr>
      <w:r>
        <w:t>Real Decreto Legislativo 1/2020, de 5 de mayo. Texto refundido de la Ley concursal</w:t>
      </w:r>
    </w:p>
    <w:p w14:paraId="614490F7" w14:textId="6CC25704" w:rsidR="00DA359F" w:rsidRDefault="00DA359F" w:rsidP="00DA359F">
      <w:pPr>
        <w:pStyle w:val="SangriaFrancesaArticulo"/>
      </w:pPr>
      <w:r w:rsidRPr="00DA359F">
        <w:rPr>
          <w:rStyle w:val="TextoNormalNegritaCaracter"/>
        </w:rPr>
        <w:t>Artículo 489.1.5</w:t>
      </w:r>
      <w:r>
        <w:t xml:space="preserve"> (redactado por la Ley 16/2022, de 5 de septiembre)</w:t>
      </w:r>
      <w:r w:rsidRPr="00DA359F">
        <w:rPr>
          <w:rStyle w:val="TextoNormalNegritaCaracter"/>
        </w:rPr>
        <w:t>.</w:t>
      </w:r>
      <w:r w:rsidRPr="00DA359F">
        <w:rPr>
          <w:rStyle w:val="TextoNormalCaracter"/>
        </w:rPr>
        <w:t>-</w:t>
      </w:r>
      <w:r>
        <w:t xml:space="preserve"> Autos </w:t>
      </w:r>
      <w:hyperlink w:anchor="AUTO_2023_532" w:history="1">
        <w:r w:rsidRPr="00DA359F">
          <w:rPr>
            <w:rStyle w:val="TextoNormalCaracter"/>
          </w:rPr>
          <w:t>532/2023</w:t>
        </w:r>
      </w:hyperlink>
      <w:r>
        <w:t xml:space="preserve">; </w:t>
      </w:r>
      <w:hyperlink w:anchor="AUTO_2023_535" w:history="1">
        <w:r w:rsidRPr="00DA359F">
          <w:rPr>
            <w:rStyle w:val="TextoNormalCaracter"/>
          </w:rPr>
          <w:t>535/2023</w:t>
        </w:r>
      </w:hyperlink>
      <w:r>
        <w:t>.</w:t>
      </w:r>
    </w:p>
    <w:p w14:paraId="60E1513E" w14:textId="4DC2D0A6" w:rsidR="00DA359F" w:rsidRDefault="00DA359F" w:rsidP="00DA359F">
      <w:pPr>
        <w:pStyle w:val="SangriaFrancesaArticulo"/>
      </w:pPr>
      <w:r w:rsidRPr="00DA359F">
        <w:rPr>
          <w:rStyle w:val="TextoNormalNegritaCaracter"/>
        </w:rPr>
        <w:t>Artículo 491.</w:t>
      </w:r>
      <w:r w:rsidRPr="00DA359F">
        <w:rPr>
          <w:rStyle w:val="TextoNormalCaracter"/>
        </w:rPr>
        <w:t>-</w:t>
      </w:r>
      <w:r>
        <w:t xml:space="preserve"> Autos </w:t>
      </w:r>
      <w:hyperlink w:anchor="AUTO_2023_532" w:history="1">
        <w:r w:rsidRPr="00DA359F">
          <w:rPr>
            <w:rStyle w:val="TextoNormalCaracter"/>
          </w:rPr>
          <w:t>532/2023</w:t>
        </w:r>
      </w:hyperlink>
      <w:r>
        <w:t xml:space="preserve">; </w:t>
      </w:r>
      <w:hyperlink w:anchor="AUTO_2023_535" w:history="1">
        <w:r w:rsidRPr="00DA359F">
          <w:rPr>
            <w:rStyle w:val="TextoNormalCaracter"/>
          </w:rPr>
          <w:t>535/2023</w:t>
        </w:r>
      </w:hyperlink>
      <w:r>
        <w:t>.</w:t>
      </w:r>
    </w:p>
    <w:p w14:paraId="4B0824EC" w14:textId="718D015A" w:rsidR="00DA359F" w:rsidRDefault="00DA359F" w:rsidP="00DA359F">
      <w:pPr>
        <w:pStyle w:val="SangriaFrancesaArticulo"/>
      </w:pPr>
      <w:r w:rsidRPr="00DA359F">
        <w:rPr>
          <w:rStyle w:val="TextoNormalNegritaCaracter"/>
        </w:rPr>
        <w:t>Artículo 497.</w:t>
      </w:r>
      <w:r w:rsidRPr="00DA359F">
        <w:rPr>
          <w:rStyle w:val="TextoNormalCaracter"/>
        </w:rPr>
        <w:t>-</w:t>
      </w:r>
      <w:r>
        <w:t xml:space="preserve"> Autos </w:t>
      </w:r>
      <w:hyperlink w:anchor="AUTO_2023_532" w:history="1">
        <w:r w:rsidRPr="00DA359F">
          <w:rPr>
            <w:rStyle w:val="TextoNormalCaracter"/>
          </w:rPr>
          <w:t>532/2023</w:t>
        </w:r>
      </w:hyperlink>
      <w:r>
        <w:t xml:space="preserve">; </w:t>
      </w:r>
      <w:hyperlink w:anchor="AUTO_2023_535" w:history="1">
        <w:r w:rsidRPr="00DA359F">
          <w:rPr>
            <w:rStyle w:val="TextoNormalCaracter"/>
          </w:rPr>
          <w:t>535/2023</w:t>
        </w:r>
      </w:hyperlink>
      <w:r>
        <w:t>.</w:t>
      </w:r>
    </w:p>
    <w:p w14:paraId="23B735CE" w14:textId="4697DD0D" w:rsidR="00DA359F" w:rsidRDefault="00DA359F" w:rsidP="00DA359F">
      <w:pPr>
        <w:pStyle w:val="SangriaFrancesaArticulo"/>
      </w:pPr>
    </w:p>
    <w:p w14:paraId="4C889AD5" w14:textId="77777777" w:rsidR="00DA359F" w:rsidRDefault="00DA359F" w:rsidP="00DA359F">
      <w:pPr>
        <w:pStyle w:val="TextoNormalNegritaCursivandice"/>
        <w:keepNext/>
      </w:pPr>
      <w:r>
        <w:t>Ley Orgánica 3/2021, de 24 de marzo, de regulación de la eutanasia</w:t>
      </w:r>
    </w:p>
    <w:p w14:paraId="6EAAAA7A" w14:textId="393F49DB"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94" w:history="1">
        <w:r w:rsidRPr="00DA359F">
          <w:rPr>
            <w:rStyle w:val="TextoNormalCaracter"/>
          </w:rPr>
          <w:t>94/2023</w:t>
        </w:r>
      </w:hyperlink>
      <w:r>
        <w:t>.</w:t>
      </w:r>
    </w:p>
    <w:p w14:paraId="78E835BA" w14:textId="7F6206C5" w:rsidR="00DA359F" w:rsidRDefault="00DA359F" w:rsidP="00DA359F">
      <w:pPr>
        <w:pStyle w:val="SangriaFrancesaArticulo"/>
      </w:pPr>
    </w:p>
    <w:p w14:paraId="64A41551" w14:textId="77777777" w:rsidR="00DA359F" w:rsidRDefault="00DA359F" w:rsidP="00DA359F">
      <w:pPr>
        <w:pStyle w:val="TextoNormalNegritaCursivandice"/>
        <w:keepNext/>
      </w:pPr>
      <w:r>
        <w:t>Ley Orgánica 4/2021, de 29 de marzo, por la que se modifica la Ley Orgánica 6/1985, de 1 de julio, del Poder Judicial, para el establecimiento del régimen jurídico aplicable al Consejo General del Poder Judicial en funciones</w:t>
      </w:r>
    </w:p>
    <w:p w14:paraId="5D6E4DCE" w14:textId="6AA6B332"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128" w:history="1">
        <w:r w:rsidRPr="00DA359F">
          <w:rPr>
            <w:rStyle w:val="TextoNormalCaracter"/>
          </w:rPr>
          <w:t>128/2023</w:t>
        </w:r>
      </w:hyperlink>
      <w:r>
        <w:t>.</w:t>
      </w:r>
    </w:p>
    <w:p w14:paraId="7F5002DE" w14:textId="3B8AF88F" w:rsidR="00DA359F" w:rsidRDefault="00DA359F" w:rsidP="00DA359F">
      <w:pPr>
        <w:pStyle w:val="SangriaFrancesaArticulo"/>
      </w:pPr>
    </w:p>
    <w:p w14:paraId="2A8C9C2E" w14:textId="77777777" w:rsidR="00DA359F" w:rsidRDefault="00DA359F" w:rsidP="00DA359F">
      <w:pPr>
        <w:pStyle w:val="TextoNormalNegritaCursivandice"/>
        <w:keepNext/>
      </w:pPr>
      <w:r>
        <w:t>Real Decreto-ley 8/2021, de 4 de mayo, por el que se adoptan medidas urgentes en el orden sanitario, social y jurisdiccional, a aplicar tras la finalización de la vigencia del estado de alarma declarado por el Real Decreto 926/2020, de 25 de octubre, por el que se declara el estado de alarma para contener la propagación de infecciones causadas por el SARS-CoV-2</w:t>
      </w:r>
    </w:p>
    <w:p w14:paraId="491A89A5" w14:textId="1C39B3DC" w:rsidR="00DA359F" w:rsidRDefault="00DA359F" w:rsidP="00DA359F">
      <w:pPr>
        <w:pStyle w:val="SangriaFrancesaArticulo"/>
      </w:pPr>
      <w:r w:rsidRPr="00DA359F">
        <w:rPr>
          <w:rStyle w:val="TextoNormalNegritaCaracter"/>
        </w:rPr>
        <w:t>Artículo 15.</w:t>
      </w:r>
      <w:r w:rsidRPr="00DA359F">
        <w:rPr>
          <w:rStyle w:val="TextoNormalCaracter"/>
        </w:rPr>
        <w:t>-</w:t>
      </w:r>
      <w:r>
        <w:t xml:space="preserve"> Sentencia </w:t>
      </w:r>
      <w:hyperlink w:anchor="SENTENCIA_2023_166" w:history="1">
        <w:r w:rsidRPr="00DA359F">
          <w:rPr>
            <w:rStyle w:val="TextoNormalCaracter"/>
          </w:rPr>
          <w:t>166/2023</w:t>
        </w:r>
      </w:hyperlink>
      <w:r>
        <w:t>.</w:t>
      </w:r>
    </w:p>
    <w:p w14:paraId="39C57EDB" w14:textId="2177A30E" w:rsidR="00DA359F" w:rsidRDefault="00DA359F" w:rsidP="00DA359F">
      <w:pPr>
        <w:pStyle w:val="SangriaFrancesaArticulo"/>
      </w:pPr>
      <w:r w:rsidRPr="00DA359F">
        <w:rPr>
          <w:rStyle w:val="TextoNormalNegritaCaracter"/>
        </w:rPr>
        <w:t>Disposición final primera, apartado 6.</w:t>
      </w:r>
      <w:r w:rsidRPr="00DA359F">
        <w:rPr>
          <w:rStyle w:val="TextoNormalCaracter"/>
        </w:rPr>
        <w:t>-</w:t>
      </w:r>
      <w:r>
        <w:t xml:space="preserve"> Sentencia </w:t>
      </w:r>
      <w:hyperlink w:anchor="SENTENCIA_2023_166" w:history="1">
        <w:r w:rsidRPr="00DA359F">
          <w:rPr>
            <w:rStyle w:val="TextoNormalCaracter"/>
          </w:rPr>
          <w:t>166/2023</w:t>
        </w:r>
      </w:hyperlink>
      <w:r>
        <w:t>.</w:t>
      </w:r>
    </w:p>
    <w:p w14:paraId="12D735BA" w14:textId="6534E86D" w:rsidR="00DA359F" w:rsidRDefault="00DA359F" w:rsidP="00DA359F">
      <w:pPr>
        <w:pStyle w:val="SangriaFrancesaArticulo"/>
      </w:pPr>
    </w:p>
    <w:p w14:paraId="2112C8B2" w14:textId="77777777" w:rsidR="00DA359F" w:rsidRDefault="00DA359F" w:rsidP="00DA359F">
      <w:pPr>
        <w:pStyle w:val="TextoNormalNegritaCursivandice"/>
        <w:keepNext/>
      </w:pPr>
      <w:r>
        <w:t>Real Decreto-ley 9/2021, de 11 de mayo, por el que se modifica el texto refundido de la Ley del Estatuto de los trabajadores, aprobado por el Real Decreto Legislativo 2/2015, de 23 de octubre, para garantizar los derechos laborales de las personas dedicadas al reparto en el ámbito de plataformas digitales</w:t>
      </w:r>
    </w:p>
    <w:p w14:paraId="06BB1978" w14:textId="665010C7"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Sentencias </w:t>
      </w:r>
      <w:hyperlink w:anchor="SENTENCIA_2023_144" w:history="1">
        <w:r w:rsidRPr="00DA359F">
          <w:rPr>
            <w:rStyle w:val="TextoNormalCaracter"/>
          </w:rPr>
          <w:t>144/2023</w:t>
        </w:r>
      </w:hyperlink>
      <w:r>
        <w:t xml:space="preserve">; </w:t>
      </w:r>
      <w:hyperlink w:anchor="SENTENCIA_2023_147" w:history="1">
        <w:r w:rsidRPr="00DA359F">
          <w:rPr>
            <w:rStyle w:val="TextoNormalCaracter"/>
          </w:rPr>
          <w:t>147/2023</w:t>
        </w:r>
      </w:hyperlink>
      <w:r>
        <w:t>.</w:t>
      </w:r>
    </w:p>
    <w:p w14:paraId="62BE686E" w14:textId="3DB93F38" w:rsidR="00DA359F" w:rsidRDefault="00DA359F" w:rsidP="00DA359F">
      <w:pPr>
        <w:pStyle w:val="SangriaFrancesaArticulo"/>
      </w:pPr>
    </w:p>
    <w:p w14:paraId="5FAE6289" w14:textId="77777777" w:rsidR="00DA359F" w:rsidRDefault="00DA359F" w:rsidP="00DA359F">
      <w:pPr>
        <w:pStyle w:val="TextoNormalNegritaCursivandice"/>
        <w:keepNext/>
      </w:pPr>
      <w:r>
        <w:t>Real Decreto-ley 14/2021, de 6 de julio, de medidas urgentes para la reducción de la temporalidad en el empleo público</w:t>
      </w:r>
    </w:p>
    <w:p w14:paraId="48106551" w14:textId="02903E21"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145" w:history="1">
        <w:r w:rsidRPr="00DA359F">
          <w:rPr>
            <w:rStyle w:val="TextoNormalCaracter"/>
          </w:rPr>
          <w:t>145/2023</w:t>
        </w:r>
      </w:hyperlink>
      <w:r>
        <w:t>.</w:t>
      </w:r>
    </w:p>
    <w:p w14:paraId="6A75F8BC" w14:textId="4AD42807" w:rsidR="00DA359F" w:rsidRDefault="00DA359F" w:rsidP="00DA359F">
      <w:pPr>
        <w:pStyle w:val="SangriaFrancesaArticulo"/>
      </w:pPr>
    </w:p>
    <w:p w14:paraId="3209A184" w14:textId="77777777" w:rsidR="00DA359F" w:rsidRDefault="00DA359F" w:rsidP="00DA359F">
      <w:pPr>
        <w:pStyle w:val="TextoNormalNegritaCursivandice"/>
        <w:keepNext/>
      </w:pPr>
      <w:r>
        <w:t>Ley 16/2022, de 5 de septiembre, de reforma del texto refundido de la Ley concursal, aprobado por el Real Decreto Legislativo 1/2020, de 5 de mayo, para la transposición de la Directiva (UE) 2019/1023 del Parlamento Europeo y del Consejo, de 20 de junio de 2019, sobre marcos de reestructuración preventiva, exoneración de deudas e inhabilitaciones, y sobre medidas para aumentar la eficiencia de los procedimientos de reestructuración, insolvencia y exoneración de deudas, y por la que se modifica la Directiva (UE) 2017/1132 del Parlamento Europeo y del Consejo, sobre determinados aspectos del Derecho de sociedades (Directiva sobre reestructuración e insolvencia)</w:t>
      </w:r>
    </w:p>
    <w:p w14:paraId="2FF997AB" w14:textId="50869EB0" w:rsidR="00DA359F" w:rsidRDefault="00DA359F" w:rsidP="00DA359F">
      <w:pPr>
        <w:pStyle w:val="SangriaFrancesaArticulo"/>
      </w:pPr>
      <w:r w:rsidRPr="00DA359F">
        <w:rPr>
          <w:rStyle w:val="TextoNormalNegritaCaracter"/>
        </w:rPr>
        <w:t>Disposición transitoria primera, apartado 3.6.</w:t>
      </w:r>
      <w:r w:rsidRPr="00DA359F">
        <w:rPr>
          <w:rStyle w:val="TextoNormalCaracter"/>
        </w:rPr>
        <w:t>-</w:t>
      </w:r>
      <w:r>
        <w:t xml:space="preserve"> Autos </w:t>
      </w:r>
      <w:hyperlink w:anchor="AUTO_2023_532" w:history="1">
        <w:r w:rsidRPr="00DA359F">
          <w:rPr>
            <w:rStyle w:val="TextoNormalCaracter"/>
          </w:rPr>
          <w:t>532/2023</w:t>
        </w:r>
      </w:hyperlink>
      <w:r>
        <w:t xml:space="preserve">; </w:t>
      </w:r>
      <w:hyperlink w:anchor="AUTO_2023_535" w:history="1">
        <w:r w:rsidRPr="00DA359F">
          <w:rPr>
            <w:rStyle w:val="TextoNormalCaracter"/>
          </w:rPr>
          <w:t>535/2023</w:t>
        </w:r>
      </w:hyperlink>
      <w:r>
        <w:t>.</w:t>
      </w:r>
    </w:p>
    <w:p w14:paraId="5121B162" w14:textId="149EED12" w:rsidR="00DA359F" w:rsidRDefault="00DA359F" w:rsidP="00DA359F">
      <w:pPr>
        <w:pStyle w:val="SangriaFrancesaArticulo"/>
      </w:pPr>
    </w:p>
    <w:p w14:paraId="47CA3BD2" w14:textId="77777777" w:rsidR="00DA359F" w:rsidRDefault="00DA359F" w:rsidP="00DA359F">
      <w:pPr>
        <w:pStyle w:val="TextoNormalNegritaCursivandice"/>
        <w:keepNext/>
      </w:pPr>
      <w:r>
        <w:t>Ley 38/2022, de 27 de diciembre, para el establecimiento de gravámenes temporales energético y de entidades de crédito y establecimientos financieros de crédito y por la que se crea el impuesto temporal de solidaridad de las grandes fortunas, y se modifican determinadas normas tributarias</w:t>
      </w:r>
    </w:p>
    <w:p w14:paraId="3459438D" w14:textId="432B4C02" w:rsidR="00DA359F" w:rsidRDefault="00DA359F" w:rsidP="00DA359F">
      <w:pPr>
        <w:pStyle w:val="SangriaFrancesaArticulo"/>
      </w:pPr>
      <w:r w:rsidRPr="00DA359F">
        <w:rPr>
          <w:rStyle w:val="TextoNormalNegritaCaracter"/>
        </w:rPr>
        <w:t>Artículo 3.</w:t>
      </w:r>
      <w:r w:rsidRPr="00DA359F">
        <w:rPr>
          <w:rStyle w:val="TextoNormalCaracter"/>
        </w:rPr>
        <w:t>-</w:t>
      </w:r>
      <w:r>
        <w:t xml:space="preserve"> Sentencias </w:t>
      </w:r>
      <w:hyperlink w:anchor="SENTENCIA_2023_149" w:history="1">
        <w:r w:rsidRPr="00DA359F">
          <w:rPr>
            <w:rStyle w:val="TextoNormalCaracter"/>
          </w:rPr>
          <w:t>149/2023</w:t>
        </w:r>
      </w:hyperlink>
      <w:r>
        <w:t xml:space="preserve">; </w:t>
      </w:r>
      <w:hyperlink w:anchor="SENTENCIA_2023_170" w:history="1">
        <w:r w:rsidRPr="00DA359F">
          <w:rPr>
            <w:rStyle w:val="TextoNormalCaracter"/>
          </w:rPr>
          <w:t>170/2023</w:t>
        </w:r>
      </w:hyperlink>
      <w:r>
        <w:t xml:space="preserve">; </w:t>
      </w:r>
      <w:hyperlink w:anchor="SENTENCIA_2023_171" w:history="1">
        <w:r w:rsidRPr="00DA359F">
          <w:rPr>
            <w:rStyle w:val="TextoNormalCaracter"/>
          </w:rPr>
          <w:t>171/2023</w:t>
        </w:r>
      </w:hyperlink>
      <w:r>
        <w:t xml:space="preserve">; </w:t>
      </w:r>
      <w:hyperlink w:anchor="SENTENCIA_2023_189" w:history="1">
        <w:r w:rsidRPr="00DA359F">
          <w:rPr>
            <w:rStyle w:val="TextoNormalCaracter"/>
          </w:rPr>
          <w:t>189/2023</w:t>
        </w:r>
      </w:hyperlink>
      <w:r>
        <w:t xml:space="preserve">; </w:t>
      </w:r>
      <w:hyperlink w:anchor="SENTENCIA_2023_190" w:history="1">
        <w:r w:rsidRPr="00DA359F">
          <w:rPr>
            <w:rStyle w:val="TextoNormalCaracter"/>
          </w:rPr>
          <w:t>190/2023</w:t>
        </w:r>
      </w:hyperlink>
      <w:r>
        <w:t>.</w:t>
      </w:r>
    </w:p>
    <w:p w14:paraId="3D7B4E80" w14:textId="3E7F4A7C" w:rsidR="00DA359F" w:rsidRDefault="00DA359F" w:rsidP="00DA359F">
      <w:pPr>
        <w:pStyle w:val="TextoNormal"/>
      </w:pPr>
    </w:p>
    <w:p w14:paraId="4B0CA1D2" w14:textId="77777777" w:rsidR="00DA359F" w:rsidRDefault="00DA359F" w:rsidP="00DA359F">
      <w:pPr>
        <w:pStyle w:val="SangriaFrancesaArticulo"/>
      </w:pPr>
      <w:bookmarkStart w:id="476" w:name="INDICE22806"/>
    </w:p>
    <w:bookmarkEnd w:id="476"/>
    <w:p w14:paraId="4E973368" w14:textId="77777777" w:rsidR="00DA359F" w:rsidRDefault="00DA359F" w:rsidP="00DA359F">
      <w:pPr>
        <w:pStyle w:val="TextoIndiceNivel2"/>
        <w:suppressAutoHyphens/>
      </w:pPr>
      <w:r>
        <w:t>B) Disposiciones con fuerza de ley de las Comunidades Autónomas</w:t>
      </w:r>
    </w:p>
    <w:p w14:paraId="3AAB073F" w14:textId="4E41D50D" w:rsidR="00DA359F" w:rsidRDefault="00DA359F" w:rsidP="00DA359F">
      <w:pPr>
        <w:pStyle w:val="TextoNormal"/>
      </w:pPr>
    </w:p>
    <w:p w14:paraId="19BE075C" w14:textId="77777777" w:rsidR="00DA359F" w:rsidRDefault="00DA359F" w:rsidP="00DA359F">
      <w:pPr>
        <w:pStyle w:val="TextoNormalNegritaCentrado"/>
        <w:suppressAutoHyphens/>
      </w:pPr>
      <w:r w:rsidRPr="00DA359F">
        <w:rPr>
          <w:rStyle w:val="TextoNormalNegritaCentradoSombreado"/>
        </w:rPr>
        <w:t>B.1) Baleares</w:t>
      </w:r>
    </w:p>
    <w:p w14:paraId="1C17100B" w14:textId="3BCF4605" w:rsidR="00DA359F" w:rsidRDefault="00DA359F" w:rsidP="00DA359F">
      <w:pPr>
        <w:pStyle w:val="TextoNormalNegritaCentrado"/>
      </w:pPr>
    </w:p>
    <w:p w14:paraId="039226E9" w14:textId="77777777" w:rsidR="00DA359F" w:rsidRDefault="00DA359F" w:rsidP="00DA359F">
      <w:pPr>
        <w:pStyle w:val="TextoNormalNegritaCursivandice"/>
        <w:keepNext/>
      </w:pPr>
      <w:r>
        <w:t>Comunidad Autónoma de las Illes Balears. Ley 6/2022, de 5 de agosto, de archivos y gestión documental de las Illes Balears</w:t>
      </w:r>
    </w:p>
    <w:p w14:paraId="22CA6608" w14:textId="02E648BA" w:rsidR="00DA359F" w:rsidRDefault="00DA359F" w:rsidP="00DA359F">
      <w:pPr>
        <w:pStyle w:val="SangriaFrancesaArticulo"/>
      </w:pPr>
      <w:r w:rsidRPr="00DA359F">
        <w:rPr>
          <w:rStyle w:val="TextoNormalNegritaCaracter"/>
        </w:rPr>
        <w:t xml:space="preserve">Artículo 35.1 primer inciso </w:t>
      </w:r>
      <w:r w:rsidRPr="00DA359F">
        <w:rPr>
          <w:rStyle w:val="TextoNormalNegritaCursivaCaracter"/>
        </w:rPr>
        <w:t>in fine</w:t>
      </w:r>
      <w:r w:rsidRPr="00DA359F">
        <w:rPr>
          <w:rStyle w:val="TextoNormalNegritaCaracter"/>
        </w:rPr>
        <w:t>.</w:t>
      </w:r>
      <w:r w:rsidRPr="00DA359F">
        <w:rPr>
          <w:rStyle w:val="TextoNormalCaracter"/>
        </w:rPr>
        <w:t>-</w:t>
      </w:r>
      <w:r>
        <w:t xml:space="preserve"> Autos </w:t>
      </w:r>
      <w:hyperlink w:anchor="AUTO_2023_354" w:history="1">
        <w:r w:rsidRPr="00DA359F">
          <w:rPr>
            <w:rStyle w:val="TextoNormalCaracter"/>
          </w:rPr>
          <w:t>354/2023</w:t>
        </w:r>
      </w:hyperlink>
      <w:r>
        <w:t xml:space="preserve">; </w:t>
      </w:r>
      <w:hyperlink w:anchor="AUTO_2023_485" w:history="1">
        <w:r w:rsidRPr="00DA359F">
          <w:rPr>
            <w:rStyle w:val="TextoNormalCaracter"/>
          </w:rPr>
          <w:t>485/2023</w:t>
        </w:r>
      </w:hyperlink>
      <w:r>
        <w:t>.</w:t>
      </w:r>
    </w:p>
    <w:p w14:paraId="06DD951C" w14:textId="1CAE49A6" w:rsidR="00DA359F" w:rsidRDefault="00DA359F" w:rsidP="00DA359F">
      <w:pPr>
        <w:pStyle w:val="SangriaFrancesaArticulo"/>
      </w:pPr>
      <w:r w:rsidRPr="00DA359F">
        <w:rPr>
          <w:rStyle w:val="TextoNormalNegritaCaracter"/>
        </w:rPr>
        <w:t>Artículo 35.1 segundo inciso a).</w:t>
      </w:r>
      <w:r w:rsidRPr="00DA359F">
        <w:rPr>
          <w:rStyle w:val="TextoNormalCaracter"/>
        </w:rPr>
        <w:t>-</w:t>
      </w:r>
      <w:r>
        <w:t xml:space="preserve"> Autos </w:t>
      </w:r>
      <w:hyperlink w:anchor="AUTO_2023_354" w:history="1">
        <w:r w:rsidRPr="00DA359F">
          <w:rPr>
            <w:rStyle w:val="TextoNormalCaracter"/>
          </w:rPr>
          <w:t>354/2023</w:t>
        </w:r>
      </w:hyperlink>
      <w:r>
        <w:t xml:space="preserve">; </w:t>
      </w:r>
      <w:hyperlink w:anchor="AUTO_2023_485" w:history="1">
        <w:r w:rsidRPr="00DA359F">
          <w:rPr>
            <w:rStyle w:val="TextoNormalCaracter"/>
          </w:rPr>
          <w:t>485/2023</w:t>
        </w:r>
      </w:hyperlink>
      <w:r>
        <w:t>.</w:t>
      </w:r>
    </w:p>
    <w:p w14:paraId="3182A835" w14:textId="548F9291" w:rsidR="00DA359F" w:rsidRDefault="00DA359F" w:rsidP="00DA359F">
      <w:pPr>
        <w:pStyle w:val="SangriaFrancesaArticulo"/>
      </w:pPr>
      <w:r w:rsidRPr="00DA359F">
        <w:rPr>
          <w:rStyle w:val="TextoNormalNegritaCaracter"/>
        </w:rPr>
        <w:t>Artículo 35.2.</w:t>
      </w:r>
      <w:r w:rsidRPr="00DA359F">
        <w:rPr>
          <w:rStyle w:val="TextoNormalCaracter"/>
        </w:rPr>
        <w:t>-</w:t>
      </w:r>
      <w:r>
        <w:t xml:space="preserve"> Autos </w:t>
      </w:r>
      <w:hyperlink w:anchor="AUTO_2023_354" w:history="1">
        <w:r w:rsidRPr="00DA359F">
          <w:rPr>
            <w:rStyle w:val="TextoNormalCaracter"/>
          </w:rPr>
          <w:t>354/2023</w:t>
        </w:r>
      </w:hyperlink>
      <w:r>
        <w:t xml:space="preserve">; </w:t>
      </w:r>
      <w:hyperlink w:anchor="AUTO_2023_485" w:history="1">
        <w:r w:rsidRPr="00DA359F">
          <w:rPr>
            <w:rStyle w:val="TextoNormalCaracter"/>
          </w:rPr>
          <w:t>485/2023</w:t>
        </w:r>
      </w:hyperlink>
      <w:r>
        <w:t>.</w:t>
      </w:r>
    </w:p>
    <w:p w14:paraId="0429EB77" w14:textId="2950743A" w:rsidR="00DA359F" w:rsidRDefault="00DA359F" w:rsidP="00DA359F">
      <w:pPr>
        <w:pStyle w:val="SangriaFrancesaArticulo"/>
      </w:pPr>
      <w:r w:rsidRPr="00DA359F">
        <w:rPr>
          <w:rStyle w:val="TextoNormalNegritaCaracter"/>
        </w:rPr>
        <w:t>Artículo 39.6.</w:t>
      </w:r>
      <w:r w:rsidRPr="00DA359F">
        <w:rPr>
          <w:rStyle w:val="TextoNormalCaracter"/>
        </w:rPr>
        <w:t>-</w:t>
      </w:r>
      <w:r>
        <w:t xml:space="preserve"> Autos </w:t>
      </w:r>
      <w:hyperlink w:anchor="AUTO_2023_354" w:history="1">
        <w:r w:rsidRPr="00DA359F">
          <w:rPr>
            <w:rStyle w:val="TextoNormalCaracter"/>
          </w:rPr>
          <w:t>354/2023</w:t>
        </w:r>
      </w:hyperlink>
      <w:r>
        <w:t xml:space="preserve">; </w:t>
      </w:r>
      <w:hyperlink w:anchor="AUTO_2023_485" w:history="1">
        <w:r w:rsidRPr="00DA359F">
          <w:rPr>
            <w:rStyle w:val="TextoNormalCaracter"/>
          </w:rPr>
          <w:t>485/2023</w:t>
        </w:r>
      </w:hyperlink>
      <w:r>
        <w:t>.</w:t>
      </w:r>
    </w:p>
    <w:p w14:paraId="6C56C6AA" w14:textId="58104B69" w:rsidR="00DA359F" w:rsidRDefault="00DA359F" w:rsidP="00DA359F">
      <w:pPr>
        <w:pStyle w:val="TextoNormal"/>
      </w:pPr>
    </w:p>
    <w:p w14:paraId="20EB452B" w14:textId="77777777" w:rsidR="00DA359F" w:rsidRDefault="00DA359F" w:rsidP="00DA359F">
      <w:pPr>
        <w:pStyle w:val="TextoNormalNegritaCentrado"/>
        <w:suppressAutoHyphens/>
      </w:pPr>
      <w:r w:rsidRPr="00DA359F">
        <w:rPr>
          <w:rStyle w:val="TextoNormalNegritaCentradoSombreado"/>
        </w:rPr>
        <w:t>B.2) Extremadura</w:t>
      </w:r>
    </w:p>
    <w:p w14:paraId="1DF97D7D" w14:textId="074FF15E" w:rsidR="00DA359F" w:rsidRDefault="00DA359F" w:rsidP="00DA359F">
      <w:pPr>
        <w:pStyle w:val="TextoNormalNegritaCentrado"/>
      </w:pPr>
    </w:p>
    <w:p w14:paraId="146D99E3" w14:textId="77777777" w:rsidR="00DA359F" w:rsidRDefault="00DA359F" w:rsidP="00DA359F">
      <w:pPr>
        <w:pStyle w:val="TextoNormalNegritaCursivandice"/>
        <w:keepNext/>
      </w:pPr>
      <w:r>
        <w:t>Comunidad Autónoma de Extremadura. Decreto-ley 5/2022, de 31 de agosto, por el que se establecen medidas urgentes necesarias en la regulación del aprovechamiento de recursos minerales de litio en Extremadura</w:t>
      </w:r>
    </w:p>
    <w:p w14:paraId="61A7B007" w14:textId="5AF8FD75" w:rsidR="00DA359F" w:rsidRDefault="00DA359F" w:rsidP="00DA359F">
      <w:pPr>
        <w:pStyle w:val="SangriaFrancesaArticulo"/>
      </w:pPr>
      <w:r w:rsidRPr="00DA359F">
        <w:rPr>
          <w:rStyle w:val="TextoNormalNegritaCaracter"/>
        </w:rPr>
        <w:t>Artículo 2.</w:t>
      </w:r>
      <w:r w:rsidRPr="00DA359F">
        <w:rPr>
          <w:rStyle w:val="TextoNormalCaracter"/>
        </w:rPr>
        <w:t>-</w:t>
      </w:r>
      <w:r>
        <w:t xml:space="preserve"> Sentencia </w:t>
      </w:r>
      <w:hyperlink w:anchor="SENTENCIA_2023_127" w:history="1">
        <w:r w:rsidRPr="00DA359F">
          <w:rPr>
            <w:rStyle w:val="TextoNormalCaracter"/>
          </w:rPr>
          <w:t>127/2023</w:t>
        </w:r>
      </w:hyperlink>
      <w:r>
        <w:t xml:space="preserve"> (anula).</w:t>
      </w:r>
    </w:p>
    <w:p w14:paraId="13EE5698" w14:textId="770B6970" w:rsidR="00DA359F" w:rsidRDefault="00DA359F" w:rsidP="00DA359F">
      <w:pPr>
        <w:pStyle w:val="SangriaFrancesaArticulo"/>
      </w:pPr>
      <w:r w:rsidRPr="00DA359F">
        <w:rPr>
          <w:rStyle w:val="TextoNormalNegritaCaracter"/>
        </w:rPr>
        <w:t>Artículo 3.</w:t>
      </w:r>
      <w:r w:rsidRPr="00DA359F">
        <w:rPr>
          <w:rStyle w:val="TextoNormalCaracter"/>
        </w:rPr>
        <w:t>-</w:t>
      </w:r>
      <w:r>
        <w:t xml:space="preserve"> Sentencia </w:t>
      </w:r>
      <w:hyperlink w:anchor="SENTENCIA_2023_127" w:history="1">
        <w:r w:rsidRPr="00DA359F">
          <w:rPr>
            <w:rStyle w:val="TextoNormalCaracter"/>
          </w:rPr>
          <w:t>127/2023</w:t>
        </w:r>
      </w:hyperlink>
      <w:r>
        <w:t xml:space="preserve"> (anula).</w:t>
      </w:r>
    </w:p>
    <w:p w14:paraId="138167CC" w14:textId="078A54BF" w:rsidR="00DA359F" w:rsidRDefault="00DA359F" w:rsidP="00DA359F">
      <w:pPr>
        <w:pStyle w:val="SangriaFrancesaArticulo"/>
      </w:pPr>
      <w:r w:rsidRPr="00DA359F">
        <w:rPr>
          <w:rStyle w:val="TextoNormalNegritaCaracter"/>
        </w:rPr>
        <w:t>Artículo 4.</w:t>
      </w:r>
      <w:r w:rsidRPr="00DA359F">
        <w:rPr>
          <w:rStyle w:val="TextoNormalCaracter"/>
        </w:rPr>
        <w:t>-</w:t>
      </w:r>
      <w:r>
        <w:t xml:space="preserve"> Sentencia </w:t>
      </w:r>
      <w:hyperlink w:anchor="SENTENCIA_2023_127" w:history="1">
        <w:r w:rsidRPr="00DA359F">
          <w:rPr>
            <w:rStyle w:val="TextoNormalCaracter"/>
          </w:rPr>
          <w:t>127/2023</w:t>
        </w:r>
      </w:hyperlink>
      <w:r>
        <w:t xml:space="preserve"> (anula).</w:t>
      </w:r>
    </w:p>
    <w:p w14:paraId="1D281895" w14:textId="2643D64F" w:rsidR="00DA359F" w:rsidRDefault="00DA359F" w:rsidP="00DA359F">
      <w:pPr>
        <w:pStyle w:val="TextoNormal"/>
      </w:pPr>
    </w:p>
    <w:p w14:paraId="0D15E5A7" w14:textId="77777777" w:rsidR="00DA359F" w:rsidRDefault="00DA359F" w:rsidP="00DA359F">
      <w:pPr>
        <w:pStyle w:val="TextoNormalNegritaCentrado"/>
        <w:suppressAutoHyphens/>
      </w:pPr>
      <w:r w:rsidRPr="00DA359F">
        <w:rPr>
          <w:rStyle w:val="TextoNormalNegritaCentradoSombreado"/>
        </w:rPr>
        <w:t>B.3) Madrid</w:t>
      </w:r>
    </w:p>
    <w:p w14:paraId="06E3AC98" w14:textId="6760F14C" w:rsidR="00DA359F" w:rsidRDefault="00DA359F" w:rsidP="00DA359F">
      <w:pPr>
        <w:pStyle w:val="TextoNormalNegritaCentrado"/>
      </w:pPr>
    </w:p>
    <w:p w14:paraId="7F9CB58A" w14:textId="77777777" w:rsidR="00DA359F" w:rsidRDefault="00DA359F" w:rsidP="00DA359F">
      <w:pPr>
        <w:pStyle w:val="TextoNormalNegritaCursivandice"/>
        <w:keepNext/>
      </w:pPr>
      <w:r>
        <w:t>Comunidad de Madrid. Ley 1/2023, de 15 de febrero, de creación de la Agencia Madrileña para el Apoyo a las Personas Adultas con Discapacidad</w:t>
      </w:r>
    </w:p>
    <w:p w14:paraId="571C1C20" w14:textId="25276351" w:rsidR="00DA359F" w:rsidRDefault="00DA359F" w:rsidP="00DA359F">
      <w:pPr>
        <w:pStyle w:val="SangriaFrancesaArticulo"/>
      </w:pPr>
      <w:r w:rsidRPr="00DA359F">
        <w:rPr>
          <w:rStyle w:val="TextoNormalNegritaCaracter"/>
        </w:rPr>
        <w:t>disposición adicional segunda.</w:t>
      </w:r>
      <w:r w:rsidRPr="00DA359F">
        <w:rPr>
          <w:rStyle w:val="TextoNormalCaracter"/>
        </w:rPr>
        <w:t>-</w:t>
      </w:r>
      <w:r>
        <w:t xml:space="preserve"> Auto </w:t>
      </w:r>
      <w:hyperlink w:anchor="AUTO_2023_445" w:history="1">
        <w:r w:rsidRPr="00DA359F">
          <w:rPr>
            <w:rStyle w:val="TextoNormalCaracter"/>
          </w:rPr>
          <w:t>445/2023</w:t>
        </w:r>
      </w:hyperlink>
      <w:r>
        <w:t>.</w:t>
      </w:r>
    </w:p>
    <w:p w14:paraId="6ACE62BB" w14:textId="54445A40" w:rsidR="00DA359F" w:rsidRDefault="00DA359F" w:rsidP="00DA359F">
      <w:pPr>
        <w:pStyle w:val="SangriaFrancesaArticulo"/>
      </w:pPr>
      <w:r w:rsidRPr="00DA359F">
        <w:rPr>
          <w:rStyle w:val="TextoNormalNegritaCaracter"/>
        </w:rPr>
        <w:t>disposición adicional segunda.</w:t>
      </w:r>
      <w:r w:rsidRPr="00DA359F">
        <w:rPr>
          <w:rStyle w:val="TextoNormalCaracter"/>
        </w:rPr>
        <w:t>-</w:t>
      </w:r>
      <w:r>
        <w:t xml:space="preserve"> Sentencia </w:t>
      </w:r>
      <w:hyperlink w:anchor="SENTENCIA_2023_146" w:history="1">
        <w:r w:rsidRPr="00DA359F">
          <w:rPr>
            <w:rStyle w:val="TextoNormalCaracter"/>
          </w:rPr>
          <w:t>146/2023</w:t>
        </w:r>
      </w:hyperlink>
      <w:r>
        <w:t xml:space="preserve"> (anula).</w:t>
      </w:r>
    </w:p>
    <w:p w14:paraId="4169F82A" w14:textId="19624A70" w:rsidR="00DA359F" w:rsidRDefault="00DA359F" w:rsidP="00DA359F">
      <w:pPr>
        <w:pStyle w:val="TextoNormal"/>
      </w:pPr>
    </w:p>
    <w:p w14:paraId="3B6F03EB" w14:textId="77777777" w:rsidR="00DA359F" w:rsidRDefault="00DA359F" w:rsidP="00DA359F">
      <w:pPr>
        <w:pStyle w:val="TextoNormalNegritaCentrado"/>
        <w:suppressAutoHyphens/>
      </w:pPr>
      <w:r w:rsidRPr="00DA359F">
        <w:rPr>
          <w:rStyle w:val="TextoNormalNegritaCentradoSombreado"/>
        </w:rPr>
        <w:t>B.4) Murcia</w:t>
      </w:r>
    </w:p>
    <w:p w14:paraId="5F971D5F" w14:textId="434EA725" w:rsidR="00DA359F" w:rsidRDefault="00DA359F" w:rsidP="00DA359F">
      <w:pPr>
        <w:pStyle w:val="TextoNormalNegritaCentrado"/>
      </w:pPr>
    </w:p>
    <w:p w14:paraId="26378FA1" w14:textId="77777777" w:rsidR="00DA359F" w:rsidRDefault="00DA359F" w:rsidP="00DA359F">
      <w:pPr>
        <w:pStyle w:val="TextoNormalNegritaCursivandice"/>
        <w:keepNext/>
      </w:pPr>
      <w:r>
        <w:t>Comunidad Autónoma de Murcia. Ley 6/2019, de 4 de abril, de coordinación de las policías locales de la Comunidad Autónoma de la Región de Murcia</w:t>
      </w:r>
    </w:p>
    <w:p w14:paraId="5268CCC9" w14:textId="7FFB6360" w:rsidR="00DA359F" w:rsidRDefault="00DA359F" w:rsidP="00DA359F">
      <w:pPr>
        <w:pStyle w:val="SangriaFrancesaArticulo"/>
      </w:pPr>
      <w:r w:rsidRPr="00DA359F">
        <w:rPr>
          <w:rStyle w:val="TextoNormalNegritaCaracter"/>
        </w:rPr>
        <w:t>Disposición transitoria quinta.</w:t>
      </w:r>
      <w:r w:rsidRPr="00DA359F">
        <w:rPr>
          <w:rStyle w:val="TextoNormalCaracter"/>
        </w:rPr>
        <w:t>-</w:t>
      </w:r>
      <w:r>
        <w:t xml:space="preserve"> Auto </w:t>
      </w:r>
      <w:hyperlink w:anchor="AUTO_2023_604" w:history="1">
        <w:r w:rsidRPr="00DA359F">
          <w:rPr>
            <w:rStyle w:val="TextoNormalCaracter"/>
          </w:rPr>
          <w:t>604/2023</w:t>
        </w:r>
      </w:hyperlink>
      <w:r>
        <w:t>.</w:t>
      </w:r>
    </w:p>
    <w:p w14:paraId="29FC3687" w14:textId="4BC4A7DE" w:rsidR="00DA359F" w:rsidRDefault="00DA359F" w:rsidP="00DA359F">
      <w:pPr>
        <w:pStyle w:val="SangriaFrancesaArticulo"/>
      </w:pPr>
    </w:p>
    <w:p w14:paraId="66C9953D" w14:textId="77777777" w:rsidR="00DA359F" w:rsidRDefault="00DA359F" w:rsidP="00DA359F">
      <w:pPr>
        <w:pStyle w:val="TextoNormalNegritaCursivandice"/>
        <w:keepNext/>
      </w:pPr>
      <w:r>
        <w:t>Comunidad Autónoma de la Región de Murcia. Decreto-ley 5/2021, de 27 de agosto, de modificación de la Ley 3/2020, de 27 de julio, de recuperación y protección del mar Menor</w:t>
      </w:r>
    </w:p>
    <w:p w14:paraId="7383FC05" w14:textId="5F081A8B" w:rsidR="00DA359F" w:rsidRDefault="00DA359F" w:rsidP="00DA359F">
      <w:pPr>
        <w:pStyle w:val="SangriaFrancesaArticulo"/>
      </w:pPr>
      <w:r w:rsidRPr="00DA359F">
        <w:rPr>
          <w:rStyle w:val="TextoNormalNegritaCaracter"/>
        </w:rPr>
        <w:t>Artículo único, apartado 1.</w:t>
      </w:r>
      <w:r w:rsidRPr="00DA359F">
        <w:rPr>
          <w:rStyle w:val="TextoNormalCaracter"/>
        </w:rPr>
        <w:t>-</w:t>
      </w:r>
      <w:r>
        <w:t xml:space="preserve"> Sentencia </w:t>
      </w:r>
      <w:hyperlink w:anchor="SENTENCIA_2023_126" w:history="1">
        <w:r w:rsidRPr="00DA359F">
          <w:rPr>
            <w:rStyle w:val="TextoNormalCaracter"/>
          </w:rPr>
          <w:t>126/2023</w:t>
        </w:r>
      </w:hyperlink>
      <w:r>
        <w:t>.</w:t>
      </w:r>
    </w:p>
    <w:p w14:paraId="0FF09D9E" w14:textId="5AB86E9B" w:rsidR="00DA359F" w:rsidRDefault="00DA359F" w:rsidP="00DA359F">
      <w:pPr>
        <w:pStyle w:val="SangriaFrancesaArticulo"/>
      </w:pPr>
      <w:r w:rsidRPr="00DA359F">
        <w:rPr>
          <w:rStyle w:val="TextoNormalNegritaCaracter"/>
        </w:rPr>
        <w:t>Artículo único, apartado 2.</w:t>
      </w:r>
      <w:r w:rsidRPr="00DA359F">
        <w:rPr>
          <w:rStyle w:val="TextoNormalCaracter"/>
        </w:rPr>
        <w:t>-</w:t>
      </w:r>
      <w:r>
        <w:t xml:space="preserve"> Sentencia </w:t>
      </w:r>
      <w:hyperlink w:anchor="SENTENCIA_2023_126" w:history="1">
        <w:r w:rsidRPr="00DA359F">
          <w:rPr>
            <w:rStyle w:val="TextoNormalCaracter"/>
          </w:rPr>
          <w:t>126/2023</w:t>
        </w:r>
      </w:hyperlink>
      <w:r>
        <w:t>.</w:t>
      </w:r>
    </w:p>
    <w:p w14:paraId="77647622" w14:textId="6414E060" w:rsidR="00DA359F" w:rsidRDefault="00DA359F" w:rsidP="00DA359F">
      <w:pPr>
        <w:pStyle w:val="TextoNormal"/>
      </w:pPr>
    </w:p>
    <w:p w14:paraId="4CA65661" w14:textId="77777777" w:rsidR="00DA359F" w:rsidRDefault="00DA359F" w:rsidP="00DA359F">
      <w:pPr>
        <w:pStyle w:val="TextoNormalNegritaCentrado"/>
        <w:suppressAutoHyphens/>
      </w:pPr>
      <w:r w:rsidRPr="00DA359F">
        <w:rPr>
          <w:rStyle w:val="TextoNormalNegritaCentradoSombreado"/>
        </w:rPr>
        <w:t>B.5) País Vasco</w:t>
      </w:r>
    </w:p>
    <w:p w14:paraId="3E2E89E2" w14:textId="1A6C6D35" w:rsidR="00DA359F" w:rsidRDefault="00DA359F" w:rsidP="00DA359F">
      <w:pPr>
        <w:pStyle w:val="TextoNormalNegritaCentrado"/>
      </w:pPr>
    </w:p>
    <w:p w14:paraId="7E08F252" w14:textId="77777777" w:rsidR="00DA359F" w:rsidRDefault="00DA359F" w:rsidP="00DA359F">
      <w:pPr>
        <w:pStyle w:val="TextoNormalNegritaCursivandice"/>
        <w:keepNext/>
      </w:pPr>
      <w:r>
        <w:t>Comunidad Autónoma del País Vasco. Ley 2/2016, de 7 de abril, de instituciones locales de Euskadi</w:t>
      </w:r>
    </w:p>
    <w:p w14:paraId="3CB6EA73" w14:textId="57B8D2DF" w:rsidR="00DA359F" w:rsidRDefault="00DA359F" w:rsidP="00DA359F">
      <w:pPr>
        <w:pStyle w:val="SangriaFrancesaArticulo"/>
      </w:pPr>
      <w:r w:rsidRPr="00DA359F">
        <w:rPr>
          <w:rStyle w:val="TextoNormalNegritaCaracter"/>
        </w:rPr>
        <w:t>Artículo 6.2.</w:t>
      </w:r>
      <w:r w:rsidRPr="00DA359F">
        <w:rPr>
          <w:rStyle w:val="TextoNormalCaracter"/>
        </w:rPr>
        <w:t>-</w:t>
      </w:r>
      <w:r>
        <w:t xml:space="preserve"> Sentencia </w:t>
      </w:r>
      <w:hyperlink w:anchor="SENTENCIA_2023_85" w:history="1">
        <w:r w:rsidRPr="00DA359F">
          <w:rPr>
            <w:rStyle w:val="TextoNormalCaracter"/>
          </w:rPr>
          <w:t>85/2023</w:t>
        </w:r>
      </w:hyperlink>
      <w:r>
        <w:t xml:space="preserve"> (anula parcialmente).</w:t>
      </w:r>
    </w:p>
    <w:p w14:paraId="708088EF" w14:textId="3C1AD714" w:rsidR="00DA359F" w:rsidRDefault="00DA359F" w:rsidP="00DA359F">
      <w:pPr>
        <w:pStyle w:val="SangriaFrancesaArticulo"/>
      </w:pPr>
      <w:r w:rsidRPr="00DA359F">
        <w:rPr>
          <w:rStyle w:val="TextoNormalNegritaCaracter"/>
        </w:rPr>
        <w:t>Artículo 6.2, inciso "que pueda alegar válidamente el desconocimiento del euskera".</w:t>
      </w:r>
      <w:r w:rsidRPr="00DA359F">
        <w:rPr>
          <w:rStyle w:val="TextoNormalCaracter"/>
        </w:rPr>
        <w:t>-</w:t>
      </w:r>
      <w:r>
        <w:t xml:space="preserve"> Sentencia </w:t>
      </w:r>
      <w:hyperlink w:anchor="SENTENCIA_2023_85" w:history="1">
        <w:r w:rsidRPr="00DA359F">
          <w:rPr>
            <w:rStyle w:val="TextoNormalCaracter"/>
          </w:rPr>
          <w:t>85/2023</w:t>
        </w:r>
      </w:hyperlink>
      <w:r>
        <w:t xml:space="preserve"> (anula).</w:t>
      </w:r>
    </w:p>
    <w:p w14:paraId="5C2C5C7E" w14:textId="2CE53720" w:rsidR="00DA359F" w:rsidRDefault="00DA359F" w:rsidP="00DA359F">
      <w:pPr>
        <w:pStyle w:val="TextoNormal"/>
      </w:pPr>
    </w:p>
    <w:p w14:paraId="5C3D135B" w14:textId="77777777" w:rsidR="00DA359F" w:rsidRDefault="00DA359F" w:rsidP="00DA359F">
      <w:pPr>
        <w:pStyle w:val="TextoNormalNegritaCentrado"/>
        <w:suppressAutoHyphens/>
      </w:pPr>
      <w:r w:rsidRPr="00DA359F">
        <w:rPr>
          <w:rStyle w:val="TextoNormalNegritaCentradoSombreado"/>
        </w:rPr>
        <w:t>B.6) Valencia</w:t>
      </w:r>
    </w:p>
    <w:p w14:paraId="66ECC355" w14:textId="240E8626" w:rsidR="00DA359F" w:rsidRDefault="00DA359F" w:rsidP="00DA359F">
      <w:pPr>
        <w:pStyle w:val="TextoNormalNegritaCentrado"/>
      </w:pPr>
    </w:p>
    <w:p w14:paraId="2CF12A6F" w14:textId="77777777" w:rsidR="00DA359F" w:rsidRDefault="00DA359F" w:rsidP="00DA359F">
      <w:pPr>
        <w:pStyle w:val="TextoNormalNegritaCursivandice"/>
        <w:keepNext/>
      </w:pPr>
      <w:r>
        <w:t>Comunitat Valenciana. Ley 5/2014, de 25 de julio, de ordenación del territorio, urbanismo y paisaje, de la Comunitat Valenciana</w:t>
      </w:r>
    </w:p>
    <w:p w14:paraId="3CF0E473" w14:textId="7E89BF94" w:rsidR="00DA359F" w:rsidRDefault="00DA359F" w:rsidP="00DA359F">
      <w:pPr>
        <w:pStyle w:val="SangriaFrancesaArticulo"/>
      </w:pPr>
      <w:r w:rsidRPr="00DA359F">
        <w:rPr>
          <w:rStyle w:val="TextoNormalNegritaCaracter"/>
        </w:rPr>
        <w:t>Disposición transitoria undécima</w:t>
      </w:r>
      <w:r>
        <w:t xml:space="preserve"> (redactada por el Decreto Legislativo 1/2021, de 18 de junio)</w:t>
      </w:r>
      <w:r w:rsidRPr="00DA359F">
        <w:rPr>
          <w:rStyle w:val="TextoNormalNegritaCaracter"/>
        </w:rPr>
        <w:t>.</w:t>
      </w:r>
      <w:r w:rsidRPr="00DA359F">
        <w:rPr>
          <w:rStyle w:val="TextoNormalCaracter"/>
        </w:rPr>
        <w:t>-</w:t>
      </w:r>
      <w:r>
        <w:t xml:space="preserve"> Sentencia </w:t>
      </w:r>
      <w:hyperlink w:anchor="SENTENCIA_2023_168" w:history="1">
        <w:r w:rsidRPr="00DA359F">
          <w:rPr>
            <w:rStyle w:val="TextoNormalCaracter"/>
          </w:rPr>
          <w:t>168/2023</w:t>
        </w:r>
      </w:hyperlink>
      <w:r>
        <w:t xml:space="preserve"> (anula).</w:t>
      </w:r>
    </w:p>
    <w:p w14:paraId="0EC2A540" w14:textId="6E81A701" w:rsidR="00DA359F" w:rsidRDefault="00DA359F" w:rsidP="00DA359F">
      <w:pPr>
        <w:pStyle w:val="SangriaFrancesaArticulo"/>
      </w:pPr>
      <w:r w:rsidRPr="00DA359F">
        <w:rPr>
          <w:rStyle w:val="TextoNormalNegritaCaracter"/>
        </w:rPr>
        <w:t>Disposición transitoria undécima</w:t>
      </w:r>
      <w:r>
        <w:t xml:space="preserve"> (redactada por la Ley 13/2016, de 29 de diciembre)</w:t>
      </w:r>
      <w:r w:rsidRPr="00DA359F">
        <w:rPr>
          <w:rStyle w:val="TextoNormalNegritaCaracter"/>
        </w:rPr>
        <w:t>.</w:t>
      </w:r>
      <w:r w:rsidRPr="00DA359F">
        <w:rPr>
          <w:rStyle w:val="TextoNormalCaracter"/>
        </w:rPr>
        <w:t>-</w:t>
      </w:r>
      <w:r>
        <w:t xml:space="preserve"> Sentencia </w:t>
      </w:r>
      <w:hyperlink w:anchor="SENTENCIA_2023_168" w:history="1">
        <w:r w:rsidRPr="00DA359F">
          <w:rPr>
            <w:rStyle w:val="TextoNormalCaracter"/>
          </w:rPr>
          <w:t>168/2023</w:t>
        </w:r>
      </w:hyperlink>
      <w:r>
        <w:t xml:space="preserve"> (anula).</w:t>
      </w:r>
    </w:p>
    <w:p w14:paraId="48C23491" w14:textId="0EB8DEC6" w:rsidR="00DA359F" w:rsidRDefault="00DA359F" w:rsidP="00DA359F">
      <w:pPr>
        <w:pStyle w:val="SangriaFrancesaArticulo"/>
      </w:pPr>
      <w:r w:rsidRPr="00DA359F">
        <w:rPr>
          <w:rStyle w:val="TextoNormalNegritaCaracter"/>
        </w:rPr>
        <w:t>Disposición transitoria undécima</w:t>
      </w:r>
      <w:r>
        <w:t xml:space="preserve"> (redactada por la Ley 27/2018, de 27 de diciembre)</w:t>
      </w:r>
      <w:r w:rsidRPr="00DA359F">
        <w:rPr>
          <w:rStyle w:val="TextoNormalNegritaCaracter"/>
        </w:rPr>
        <w:t>.</w:t>
      </w:r>
      <w:r w:rsidRPr="00DA359F">
        <w:rPr>
          <w:rStyle w:val="TextoNormalCaracter"/>
        </w:rPr>
        <w:t>-</w:t>
      </w:r>
      <w:r>
        <w:t xml:space="preserve"> Sentencia </w:t>
      </w:r>
      <w:hyperlink w:anchor="SENTENCIA_2023_168" w:history="1">
        <w:r w:rsidRPr="00DA359F">
          <w:rPr>
            <w:rStyle w:val="TextoNormalCaracter"/>
          </w:rPr>
          <w:t>168/2023</w:t>
        </w:r>
      </w:hyperlink>
      <w:r>
        <w:t xml:space="preserve"> (anula).</w:t>
      </w:r>
    </w:p>
    <w:p w14:paraId="735533DD" w14:textId="7D32FDBC" w:rsidR="00DA359F" w:rsidRDefault="00DA359F" w:rsidP="00DA359F">
      <w:pPr>
        <w:pStyle w:val="SangriaFrancesaArticulo"/>
      </w:pPr>
      <w:r w:rsidRPr="00DA359F">
        <w:rPr>
          <w:rStyle w:val="TextoNormalNegritaCaracter"/>
        </w:rPr>
        <w:t>Disposición transitoria undécima</w:t>
      </w:r>
      <w:r>
        <w:t xml:space="preserve"> (redactada por la Ley 3/2020, de 30 de diciembre)</w:t>
      </w:r>
      <w:r w:rsidRPr="00DA359F">
        <w:rPr>
          <w:rStyle w:val="TextoNormalNegritaCaracter"/>
        </w:rPr>
        <w:t>.</w:t>
      </w:r>
      <w:r w:rsidRPr="00DA359F">
        <w:rPr>
          <w:rStyle w:val="TextoNormalCaracter"/>
        </w:rPr>
        <w:t>-</w:t>
      </w:r>
      <w:r>
        <w:t xml:space="preserve"> Sentencia </w:t>
      </w:r>
      <w:hyperlink w:anchor="SENTENCIA_2023_168" w:history="1">
        <w:r w:rsidRPr="00DA359F">
          <w:rPr>
            <w:rStyle w:val="TextoNormalCaracter"/>
          </w:rPr>
          <w:t>168/2023</w:t>
        </w:r>
      </w:hyperlink>
      <w:r>
        <w:t xml:space="preserve"> (anula).</w:t>
      </w:r>
    </w:p>
    <w:p w14:paraId="4E1D0094" w14:textId="5DFF4AE0" w:rsidR="00DA359F" w:rsidRDefault="00DA359F" w:rsidP="00DA359F">
      <w:pPr>
        <w:pStyle w:val="SangriaFrancesaArticulo"/>
      </w:pPr>
      <w:r w:rsidRPr="00DA359F">
        <w:rPr>
          <w:rStyle w:val="TextoNormalNegritaCaracter"/>
        </w:rPr>
        <w:t>Disposición transitoria undécima</w:t>
      </w:r>
      <w:r>
        <w:t xml:space="preserve"> (redactada por la Ley 9/2019, de 23 de diciembre)</w:t>
      </w:r>
      <w:r w:rsidRPr="00DA359F">
        <w:rPr>
          <w:rStyle w:val="TextoNormalNegritaCaracter"/>
        </w:rPr>
        <w:t>.</w:t>
      </w:r>
      <w:r w:rsidRPr="00DA359F">
        <w:rPr>
          <w:rStyle w:val="TextoNormalCaracter"/>
        </w:rPr>
        <w:t>-</w:t>
      </w:r>
      <w:r>
        <w:t xml:space="preserve"> Sentencia </w:t>
      </w:r>
      <w:hyperlink w:anchor="SENTENCIA_2023_168" w:history="1">
        <w:r w:rsidRPr="00DA359F">
          <w:rPr>
            <w:rStyle w:val="TextoNormalCaracter"/>
          </w:rPr>
          <w:t>168/2023</w:t>
        </w:r>
      </w:hyperlink>
      <w:r>
        <w:t xml:space="preserve"> (anula).</w:t>
      </w:r>
    </w:p>
    <w:p w14:paraId="4BA2337C" w14:textId="289DF06B" w:rsidR="00DA359F" w:rsidRDefault="00DA359F" w:rsidP="00DA359F">
      <w:pPr>
        <w:pStyle w:val="SangriaFrancesaArticulo"/>
      </w:pPr>
    </w:p>
    <w:p w14:paraId="1ACE7186" w14:textId="77777777" w:rsidR="00DA359F" w:rsidRDefault="00DA359F" w:rsidP="00DA359F">
      <w:pPr>
        <w:pStyle w:val="TextoNormalNegritaCursivandice"/>
        <w:keepNext/>
      </w:pPr>
      <w:r>
        <w:t>Comunitat Valenciana. Decreto Legislativo 1/2021, de 18 de junio, del Consell, de aprobación del texto refundido de la Ley de ordenación del territorio, urbanismo y paisaje</w:t>
      </w:r>
    </w:p>
    <w:p w14:paraId="25BA00B3" w14:textId="21AD4417" w:rsidR="00DA359F" w:rsidRDefault="00DA359F" w:rsidP="00DA359F">
      <w:pPr>
        <w:pStyle w:val="SangriaFrancesaArticulo"/>
      </w:pPr>
      <w:r w:rsidRPr="00DA359F">
        <w:rPr>
          <w:rStyle w:val="TextoNormalNegritaCaracter"/>
        </w:rPr>
        <w:t>Disposición transitoria vigésima.</w:t>
      </w:r>
      <w:r w:rsidRPr="00DA359F">
        <w:rPr>
          <w:rStyle w:val="TextoNormalCaracter"/>
        </w:rPr>
        <w:t>-</w:t>
      </w:r>
      <w:r>
        <w:t xml:space="preserve"> Sentencia </w:t>
      </w:r>
      <w:hyperlink w:anchor="SENTENCIA_2023_168" w:history="1">
        <w:r w:rsidRPr="00DA359F">
          <w:rPr>
            <w:rStyle w:val="TextoNormalCaracter"/>
          </w:rPr>
          <w:t>168/2023</w:t>
        </w:r>
      </w:hyperlink>
      <w:r>
        <w:t xml:space="preserve"> (anula).</w:t>
      </w:r>
    </w:p>
    <w:p w14:paraId="19B61F9E" w14:textId="7AE7B28F" w:rsidR="00DA359F" w:rsidRDefault="00DA359F" w:rsidP="00DA359F">
      <w:pPr>
        <w:pStyle w:val="SangriaFrancesaArticulo"/>
      </w:pPr>
    </w:p>
    <w:p w14:paraId="0B475B8D" w14:textId="77777777" w:rsidR="00DA359F" w:rsidRDefault="00DA359F" w:rsidP="00DA359F">
      <w:pPr>
        <w:pStyle w:val="TextoNormalNegritaCursivandice"/>
        <w:keepNext/>
      </w:pPr>
      <w:r>
        <w:t>Comunitat Valenciana. Ley 5/2021, de 5 de noviembre, reguladora del fondo de cooperación municipal de los municipios y entidades locales menores de la Comunitat Valenciana</w:t>
      </w:r>
    </w:p>
    <w:p w14:paraId="1E4903A6" w14:textId="2A17F306" w:rsidR="00DA359F" w:rsidRDefault="00DA359F" w:rsidP="00DA359F">
      <w:pPr>
        <w:pStyle w:val="SangriaFrancesaArticulo"/>
      </w:pPr>
      <w:r w:rsidRPr="00DA359F">
        <w:rPr>
          <w:rStyle w:val="TextoNormalNegritaCaracter"/>
        </w:rPr>
        <w:t>Artículo 2.2.</w:t>
      </w:r>
      <w:r w:rsidRPr="00DA359F">
        <w:rPr>
          <w:rStyle w:val="TextoNormalCaracter"/>
        </w:rPr>
        <w:t>-</w:t>
      </w:r>
      <w:r>
        <w:t xml:space="preserve"> Sentencias </w:t>
      </w:r>
      <w:hyperlink w:anchor="SENTENCIA_2023_124" w:history="1">
        <w:r w:rsidRPr="00DA359F">
          <w:rPr>
            <w:rStyle w:val="TextoNormalCaracter"/>
          </w:rPr>
          <w:t>124/2023</w:t>
        </w:r>
      </w:hyperlink>
      <w:r>
        <w:t xml:space="preserve">; </w:t>
      </w:r>
      <w:hyperlink w:anchor="SENTENCIA_2023_143" w:history="1">
        <w:r w:rsidRPr="00DA359F">
          <w:rPr>
            <w:rStyle w:val="TextoNormalCaracter"/>
          </w:rPr>
          <w:t>143/2023</w:t>
        </w:r>
      </w:hyperlink>
      <w:r>
        <w:t>.</w:t>
      </w:r>
    </w:p>
    <w:p w14:paraId="509234E4" w14:textId="3933448E" w:rsidR="00DA359F" w:rsidRDefault="00DA359F" w:rsidP="00DA359F">
      <w:pPr>
        <w:pStyle w:val="SangriaFrancesaArticulo"/>
      </w:pPr>
      <w:r w:rsidRPr="00DA359F">
        <w:rPr>
          <w:rStyle w:val="TextoNormalNegritaCaracter"/>
        </w:rPr>
        <w:t>Artículo 5.1.</w:t>
      </w:r>
      <w:r w:rsidRPr="00DA359F">
        <w:rPr>
          <w:rStyle w:val="TextoNormalCaracter"/>
        </w:rPr>
        <w:t>-</w:t>
      </w:r>
      <w:r>
        <w:t xml:space="preserve"> Sentencia </w:t>
      </w:r>
      <w:hyperlink w:anchor="SENTENCIA_2023_143" w:history="1">
        <w:r w:rsidRPr="00DA359F">
          <w:rPr>
            <w:rStyle w:val="TextoNormalCaracter"/>
          </w:rPr>
          <w:t>143/2023</w:t>
        </w:r>
      </w:hyperlink>
      <w:r>
        <w:t>.</w:t>
      </w:r>
    </w:p>
    <w:p w14:paraId="2B9C10E8" w14:textId="27AA2B66" w:rsidR="00DA359F" w:rsidRDefault="00DA359F" w:rsidP="00DA359F">
      <w:pPr>
        <w:pStyle w:val="SangriaFrancesaArticulo"/>
      </w:pPr>
      <w:r w:rsidRPr="00DA359F">
        <w:rPr>
          <w:rStyle w:val="TextoNormalNegritaCaracter"/>
        </w:rPr>
        <w:t>Artículo 5.1 inciso "y las diputaciones provinciales".</w:t>
      </w:r>
      <w:r w:rsidRPr="00DA359F">
        <w:rPr>
          <w:rStyle w:val="TextoNormalCaracter"/>
        </w:rPr>
        <w:t>-</w:t>
      </w:r>
      <w:r>
        <w:t xml:space="preserve"> Sentencia </w:t>
      </w:r>
      <w:hyperlink w:anchor="SENTENCIA_2023_124" w:history="1">
        <w:r w:rsidRPr="00DA359F">
          <w:rPr>
            <w:rStyle w:val="TextoNormalCaracter"/>
          </w:rPr>
          <w:t>124/2023</w:t>
        </w:r>
      </w:hyperlink>
      <w:r>
        <w:t>.</w:t>
      </w:r>
    </w:p>
    <w:p w14:paraId="09734E42" w14:textId="386AA906" w:rsidR="00DA359F" w:rsidRDefault="00DA359F" w:rsidP="00DA359F">
      <w:pPr>
        <w:pStyle w:val="SangriaFrancesaArticulo"/>
      </w:pPr>
      <w:r w:rsidRPr="00DA359F">
        <w:rPr>
          <w:rStyle w:val="TextoNormalNegritaCaracter"/>
        </w:rPr>
        <w:t>Artículo 5.2.</w:t>
      </w:r>
      <w:r w:rsidRPr="00DA359F">
        <w:rPr>
          <w:rStyle w:val="TextoNormalCaracter"/>
        </w:rPr>
        <w:t>-</w:t>
      </w:r>
      <w:r>
        <w:t xml:space="preserve"> Sentencia </w:t>
      </w:r>
      <w:hyperlink w:anchor="SENTENCIA_2023_143" w:history="1">
        <w:r w:rsidRPr="00DA359F">
          <w:rPr>
            <w:rStyle w:val="TextoNormalCaracter"/>
          </w:rPr>
          <w:t>143/2023</w:t>
        </w:r>
      </w:hyperlink>
      <w:r>
        <w:t>.</w:t>
      </w:r>
    </w:p>
    <w:p w14:paraId="2E0F3C4B" w14:textId="413EA47F" w:rsidR="00DA359F" w:rsidRDefault="00DA359F" w:rsidP="00DA359F">
      <w:pPr>
        <w:pStyle w:val="SangriaFrancesaArticulo"/>
      </w:pPr>
      <w:r w:rsidRPr="00DA359F">
        <w:rPr>
          <w:rStyle w:val="TextoNormalNegritaCaracter"/>
        </w:rPr>
        <w:t>Artículo 5.2 inciso "en el que participarán las diputaciones provinciales".</w:t>
      </w:r>
      <w:r w:rsidRPr="00DA359F">
        <w:rPr>
          <w:rStyle w:val="TextoNormalCaracter"/>
        </w:rPr>
        <w:t>-</w:t>
      </w:r>
      <w:r>
        <w:t xml:space="preserve"> Sentencia </w:t>
      </w:r>
      <w:hyperlink w:anchor="SENTENCIA_2023_124" w:history="1">
        <w:r w:rsidRPr="00DA359F">
          <w:rPr>
            <w:rStyle w:val="TextoNormalCaracter"/>
          </w:rPr>
          <w:t>124/2023</w:t>
        </w:r>
      </w:hyperlink>
      <w:r>
        <w:t>.</w:t>
      </w:r>
    </w:p>
    <w:p w14:paraId="72B84477" w14:textId="61C12EFF" w:rsidR="00DA359F" w:rsidRDefault="00DA359F" w:rsidP="00DA359F">
      <w:pPr>
        <w:pStyle w:val="SangriaFrancesaArticulo"/>
      </w:pPr>
      <w:r w:rsidRPr="00DA359F">
        <w:rPr>
          <w:rStyle w:val="TextoNormalNegritaCaracter"/>
        </w:rPr>
        <w:t>Artículo 5.2 inciso "y cada diputación provincial".</w:t>
      </w:r>
      <w:r w:rsidRPr="00DA359F">
        <w:rPr>
          <w:rStyle w:val="TextoNormalCaracter"/>
        </w:rPr>
        <w:t>-</w:t>
      </w:r>
      <w:r>
        <w:t xml:space="preserve"> Sentencia </w:t>
      </w:r>
      <w:hyperlink w:anchor="SENTENCIA_2023_124" w:history="1">
        <w:r w:rsidRPr="00DA359F">
          <w:rPr>
            <w:rStyle w:val="TextoNormalCaracter"/>
          </w:rPr>
          <w:t>124/2023</w:t>
        </w:r>
      </w:hyperlink>
      <w:r>
        <w:t>.</w:t>
      </w:r>
    </w:p>
    <w:p w14:paraId="762175B6" w14:textId="47766DAD" w:rsidR="00DA359F" w:rsidRDefault="00DA359F" w:rsidP="00DA359F">
      <w:pPr>
        <w:pStyle w:val="SangriaFrancesaArticulo"/>
      </w:pPr>
      <w:r w:rsidRPr="00DA359F">
        <w:rPr>
          <w:rStyle w:val="TextoNormalNegritaCaracter"/>
        </w:rPr>
        <w:t>Artículo 5.5.</w:t>
      </w:r>
      <w:r w:rsidRPr="00DA359F">
        <w:rPr>
          <w:rStyle w:val="TextoNormalCaracter"/>
        </w:rPr>
        <w:t>-</w:t>
      </w:r>
      <w:r>
        <w:t xml:space="preserve"> Sentencias </w:t>
      </w:r>
      <w:hyperlink w:anchor="SENTENCIA_2023_124" w:history="1">
        <w:r w:rsidRPr="00DA359F">
          <w:rPr>
            <w:rStyle w:val="TextoNormalCaracter"/>
          </w:rPr>
          <w:t>124/2023</w:t>
        </w:r>
      </w:hyperlink>
      <w:r>
        <w:t xml:space="preserve">; </w:t>
      </w:r>
      <w:hyperlink w:anchor="SENTENCIA_2023_143" w:history="1">
        <w:r w:rsidRPr="00DA359F">
          <w:rPr>
            <w:rStyle w:val="TextoNormalCaracter"/>
          </w:rPr>
          <w:t>143/2023</w:t>
        </w:r>
      </w:hyperlink>
      <w:r>
        <w:t>.</w:t>
      </w:r>
    </w:p>
    <w:p w14:paraId="32812FF5" w14:textId="7C1098A7" w:rsidR="00DA359F" w:rsidRDefault="00DA359F" w:rsidP="00DA359F">
      <w:pPr>
        <w:pStyle w:val="SangriaFrancesaArticulo"/>
      </w:pPr>
      <w:r w:rsidRPr="00DA359F">
        <w:rPr>
          <w:rStyle w:val="TextoNormalNegritaCaracter"/>
        </w:rPr>
        <w:t>Artículo 5.6.</w:t>
      </w:r>
      <w:r w:rsidRPr="00DA359F">
        <w:rPr>
          <w:rStyle w:val="TextoNormalCaracter"/>
        </w:rPr>
        <w:t>-</w:t>
      </w:r>
      <w:r>
        <w:t xml:space="preserve"> Sentencias </w:t>
      </w:r>
      <w:hyperlink w:anchor="SENTENCIA_2023_124" w:history="1">
        <w:r w:rsidRPr="00DA359F">
          <w:rPr>
            <w:rStyle w:val="TextoNormalCaracter"/>
          </w:rPr>
          <w:t>124/2023</w:t>
        </w:r>
      </w:hyperlink>
      <w:r>
        <w:t xml:space="preserve">; </w:t>
      </w:r>
      <w:hyperlink w:anchor="SENTENCIA_2023_143" w:history="1">
        <w:r w:rsidRPr="00DA359F">
          <w:rPr>
            <w:rStyle w:val="TextoNormalCaracter"/>
          </w:rPr>
          <w:t>143/2023</w:t>
        </w:r>
      </w:hyperlink>
      <w:r>
        <w:t>.</w:t>
      </w:r>
    </w:p>
    <w:p w14:paraId="07742E8F" w14:textId="78B989AD" w:rsidR="00DA359F" w:rsidRDefault="00DA359F" w:rsidP="00DA359F">
      <w:pPr>
        <w:pStyle w:val="SangriaFrancesaArticulo"/>
      </w:pPr>
      <w:r w:rsidRPr="00DA359F">
        <w:rPr>
          <w:rStyle w:val="TextoNormalNegritaCaracter"/>
        </w:rPr>
        <w:t>Artículo 5.6 inciso ", en aplicación del artículo 66 del Estatuto de autonomía de la Comunitat Valenciana,".</w:t>
      </w:r>
      <w:r w:rsidRPr="00DA359F">
        <w:rPr>
          <w:rStyle w:val="TextoNormalCaracter"/>
        </w:rPr>
        <w:t>-</w:t>
      </w:r>
      <w:r>
        <w:t xml:space="preserve"> Sentencia </w:t>
      </w:r>
      <w:hyperlink w:anchor="SENTENCIA_2023_124" w:history="1">
        <w:r w:rsidRPr="00DA359F">
          <w:rPr>
            <w:rStyle w:val="TextoNormalCaracter"/>
          </w:rPr>
          <w:t>124/2023</w:t>
        </w:r>
      </w:hyperlink>
      <w:r>
        <w:t xml:space="preserve"> (anula).</w:t>
      </w:r>
    </w:p>
    <w:p w14:paraId="5A5B4CFC" w14:textId="7C034913" w:rsidR="00DA359F" w:rsidRDefault="00DA359F" w:rsidP="00DA359F">
      <w:pPr>
        <w:pStyle w:val="SangriaFrancesaArticulo"/>
      </w:pPr>
      <w:r w:rsidRPr="00DA359F">
        <w:rPr>
          <w:rStyle w:val="TextoNormalNegritaCaracter"/>
        </w:rPr>
        <w:t>Artículo 7.</w:t>
      </w:r>
      <w:r w:rsidRPr="00DA359F">
        <w:rPr>
          <w:rStyle w:val="TextoNormalCaracter"/>
        </w:rPr>
        <w:t>-</w:t>
      </w:r>
      <w:r>
        <w:t xml:space="preserve"> Sentencia </w:t>
      </w:r>
      <w:hyperlink w:anchor="SENTENCIA_2023_124" w:history="1">
        <w:r w:rsidRPr="00DA359F">
          <w:rPr>
            <w:rStyle w:val="TextoNormalCaracter"/>
          </w:rPr>
          <w:t>124/2023</w:t>
        </w:r>
      </w:hyperlink>
      <w:r>
        <w:t xml:space="preserve"> (anula).</w:t>
      </w:r>
    </w:p>
    <w:p w14:paraId="744A5321" w14:textId="188143FE" w:rsidR="00DA359F" w:rsidRDefault="00DA359F" w:rsidP="00DA359F">
      <w:pPr>
        <w:pStyle w:val="SangriaFrancesaArticulo"/>
      </w:pPr>
      <w:r w:rsidRPr="00DA359F">
        <w:rPr>
          <w:rStyle w:val="TextoNormalNegritaCaracter"/>
        </w:rPr>
        <w:t>Artículo 7 a).</w:t>
      </w:r>
      <w:r w:rsidRPr="00DA359F">
        <w:rPr>
          <w:rStyle w:val="TextoNormalCaracter"/>
        </w:rPr>
        <w:t>-</w:t>
      </w:r>
      <w:r>
        <w:t xml:space="preserve"> Sentencia </w:t>
      </w:r>
      <w:hyperlink w:anchor="SENTENCIA_2023_143" w:history="1">
        <w:r w:rsidRPr="00DA359F">
          <w:rPr>
            <w:rStyle w:val="TextoNormalCaracter"/>
          </w:rPr>
          <w:t>143/2023</w:t>
        </w:r>
      </w:hyperlink>
      <w:r>
        <w:t>.</w:t>
      </w:r>
    </w:p>
    <w:p w14:paraId="3DBE0094" w14:textId="361E8B2E" w:rsidR="00DA359F" w:rsidRDefault="00DA359F" w:rsidP="00DA359F">
      <w:pPr>
        <w:pStyle w:val="SangriaFrancesaArticulo"/>
      </w:pPr>
      <w:r w:rsidRPr="00DA359F">
        <w:rPr>
          <w:rStyle w:val="TextoNormalNegritaCaracter"/>
        </w:rPr>
        <w:t>Artículo 8.</w:t>
      </w:r>
      <w:r w:rsidRPr="00DA359F">
        <w:rPr>
          <w:rStyle w:val="TextoNormalCaracter"/>
        </w:rPr>
        <w:t>-</w:t>
      </w:r>
      <w:r>
        <w:t xml:space="preserve"> Sentencias </w:t>
      </w:r>
      <w:hyperlink w:anchor="SENTENCIA_2023_124" w:history="1">
        <w:r w:rsidRPr="00DA359F">
          <w:rPr>
            <w:rStyle w:val="TextoNormalCaracter"/>
          </w:rPr>
          <w:t>124/2023</w:t>
        </w:r>
      </w:hyperlink>
      <w:r>
        <w:t xml:space="preserve">; </w:t>
      </w:r>
      <w:hyperlink w:anchor="SENTENCIA_2023_143" w:history="1">
        <w:r w:rsidRPr="00DA359F">
          <w:rPr>
            <w:rStyle w:val="TextoNormalCaracter"/>
          </w:rPr>
          <w:t>143/2023</w:t>
        </w:r>
      </w:hyperlink>
      <w:r>
        <w:t>.</w:t>
      </w:r>
    </w:p>
    <w:p w14:paraId="66CEE1D2" w14:textId="25F6311A" w:rsidR="00DA359F" w:rsidRDefault="00DA359F" w:rsidP="00DA359F">
      <w:pPr>
        <w:pStyle w:val="SangriaFrancesaArticulo"/>
      </w:pPr>
      <w:r w:rsidRPr="00DA359F">
        <w:rPr>
          <w:rStyle w:val="TextoNormalNegritaCaracter"/>
        </w:rPr>
        <w:t>Artículo 9.1.</w:t>
      </w:r>
      <w:r w:rsidRPr="00DA359F">
        <w:rPr>
          <w:rStyle w:val="TextoNormalCaracter"/>
        </w:rPr>
        <w:t>-</w:t>
      </w:r>
      <w:r>
        <w:t xml:space="preserve"> Sentencia </w:t>
      </w:r>
      <w:hyperlink w:anchor="SENTENCIA_2023_143" w:history="1">
        <w:r w:rsidRPr="00DA359F">
          <w:rPr>
            <w:rStyle w:val="TextoNormalCaracter"/>
          </w:rPr>
          <w:t>143/2023</w:t>
        </w:r>
      </w:hyperlink>
      <w:r>
        <w:t>.</w:t>
      </w:r>
    </w:p>
    <w:p w14:paraId="2A46619E" w14:textId="51BF1306" w:rsidR="00DA359F" w:rsidRDefault="00DA359F" w:rsidP="00DA359F">
      <w:pPr>
        <w:pStyle w:val="SangriaFrancesaArticulo"/>
      </w:pPr>
      <w:r w:rsidRPr="00DA359F">
        <w:rPr>
          <w:rStyle w:val="TextoNormalNegritaCaracter"/>
        </w:rPr>
        <w:t>Artículo 11.1 d).</w:t>
      </w:r>
      <w:r w:rsidRPr="00DA359F">
        <w:rPr>
          <w:rStyle w:val="TextoNormalCaracter"/>
        </w:rPr>
        <w:t>-</w:t>
      </w:r>
      <w:r>
        <w:t xml:space="preserve"> Sentencia </w:t>
      </w:r>
      <w:hyperlink w:anchor="SENTENCIA_2023_143" w:history="1">
        <w:r w:rsidRPr="00DA359F">
          <w:rPr>
            <w:rStyle w:val="TextoNormalCaracter"/>
          </w:rPr>
          <w:t>143/2023</w:t>
        </w:r>
      </w:hyperlink>
      <w:r>
        <w:t>.</w:t>
      </w:r>
    </w:p>
    <w:p w14:paraId="2B6B66C6" w14:textId="2C3B2476" w:rsidR="00DA359F" w:rsidRDefault="00DA359F" w:rsidP="00DA359F">
      <w:pPr>
        <w:pStyle w:val="SangriaFrancesaArticulo"/>
      </w:pPr>
      <w:r w:rsidRPr="00DA359F">
        <w:rPr>
          <w:rStyle w:val="TextoNormalNegritaCaracter"/>
        </w:rPr>
        <w:t>Artículo 11.2 e) tercer guion.</w:t>
      </w:r>
      <w:r w:rsidRPr="00DA359F">
        <w:rPr>
          <w:rStyle w:val="TextoNormalCaracter"/>
        </w:rPr>
        <w:t>-</w:t>
      </w:r>
      <w:r>
        <w:t xml:space="preserve"> Sentencia </w:t>
      </w:r>
      <w:hyperlink w:anchor="SENTENCIA_2023_143" w:history="1">
        <w:r w:rsidRPr="00DA359F">
          <w:rPr>
            <w:rStyle w:val="TextoNormalCaracter"/>
          </w:rPr>
          <w:t>143/2023</w:t>
        </w:r>
      </w:hyperlink>
      <w:r>
        <w:t>.</w:t>
      </w:r>
    </w:p>
    <w:p w14:paraId="01F157C9" w14:textId="0900078D" w:rsidR="00DA359F" w:rsidRDefault="00DA359F" w:rsidP="00DA359F">
      <w:pPr>
        <w:pStyle w:val="SangriaFrancesaArticulo"/>
      </w:pPr>
      <w:r w:rsidRPr="00DA359F">
        <w:rPr>
          <w:rStyle w:val="TextoNormalNegritaCaracter"/>
        </w:rPr>
        <w:t>Disposición final primera.</w:t>
      </w:r>
      <w:r w:rsidRPr="00DA359F">
        <w:rPr>
          <w:rStyle w:val="TextoNormalCaracter"/>
        </w:rPr>
        <w:t>-</w:t>
      </w:r>
      <w:r>
        <w:t xml:space="preserve"> Sentencia </w:t>
      </w:r>
      <w:hyperlink w:anchor="SENTENCIA_2023_143" w:history="1">
        <w:r w:rsidRPr="00DA359F">
          <w:rPr>
            <w:rStyle w:val="TextoNormalCaracter"/>
          </w:rPr>
          <w:t>143/2023</w:t>
        </w:r>
      </w:hyperlink>
      <w:r>
        <w:t>.</w:t>
      </w:r>
    </w:p>
    <w:p w14:paraId="49FD9481" w14:textId="2036E43E" w:rsidR="00DA359F" w:rsidRDefault="00DA359F">
      <w:pPr>
        <w:spacing w:after="160" w:line="278" w:lineRule="auto"/>
        <w:rPr>
          <w:rFonts w:ascii="Times New Roman" w:eastAsia="Times New Roman" w:hAnsi="Times New Roman" w:cs="Times New Roman"/>
          <w:sz w:val="24"/>
          <w:szCs w:val="24"/>
          <w:lang w:eastAsia="es-ES"/>
        </w:rPr>
      </w:pPr>
      <w:r>
        <w:br w:type="page"/>
      </w:r>
    </w:p>
    <w:p w14:paraId="74DEEE05" w14:textId="77777777" w:rsidR="00DA359F" w:rsidRDefault="00DA359F" w:rsidP="00DA359F">
      <w:pPr>
        <w:pStyle w:val="SangriaFrancesaArticulo"/>
      </w:pPr>
    </w:p>
    <w:p w14:paraId="62B021FB" w14:textId="77777777" w:rsidR="00DA359F" w:rsidRDefault="00DA359F" w:rsidP="00DA359F">
      <w:pPr>
        <w:pStyle w:val="TextoNormal"/>
      </w:pPr>
    </w:p>
    <w:p w14:paraId="1FB664B4" w14:textId="77777777" w:rsidR="00DA359F" w:rsidRDefault="00DA359F" w:rsidP="00DA359F">
      <w:pPr>
        <w:pStyle w:val="TextoNormal"/>
      </w:pPr>
    </w:p>
    <w:p w14:paraId="0A864404" w14:textId="77777777" w:rsidR="00DA359F" w:rsidRDefault="00DA359F" w:rsidP="00DA359F">
      <w:pPr>
        <w:pStyle w:val="TextoNormal"/>
      </w:pPr>
    </w:p>
    <w:p w14:paraId="42617522" w14:textId="77777777" w:rsidR="00DA359F" w:rsidRDefault="00DA359F" w:rsidP="00DA359F">
      <w:pPr>
        <w:pStyle w:val="Ttulondice"/>
        <w:suppressAutoHyphens/>
      </w:pPr>
      <w:r>
        <w:t>4. ÍNDICE DE DISPOSICIONES GENERALES Y RESOLUCIONES IMPUGNADAS</w:t>
      </w:r>
    </w:p>
    <w:p w14:paraId="09148ED1" w14:textId="74B7987A" w:rsidR="00DA359F" w:rsidRDefault="00DA359F" w:rsidP="00DA359F">
      <w:pPr>
        <w:pStyle w:val="TextoNormal"/>
        <w:suppressAutoHyphens/>
      </w:pPr>
    </w:p>
    <w:p w14:paraId="78736492" w14:textId="77777777" w:rsidR="00DA359F" w:rsidRDefault="00DA359F" w:rsidP="00DA359F">
      <w:pPr>
        <w:pStyle w:val="TextoNormal"/>
        <w:suppressAutoHyphens/>
      </w:pPr>
    </w:p>
    <w:p w14:paraId="0430964A" w14:textId="77777777" w:rsidR="00DA359F" w:rsidRDefault="00DA359F" w:rsidP="00DA359F">
      <w:pPr>
        <w:pStyle w:val="TextoNormal"/>
        <w:suppressAutoHyphens/>
      </w:pPr>
    </w:p>
    <w:p w14:paraId="0FC0EA86" w14:textId="77777777" w:rsidR="00DA359F" w:rsidRDefault="00DA359F" w:rsidP="00DA359F">
      <w:pPr>
        <w:pStyle w:val="TextoNormal"/>
        <w:suppressAutoHyphens/>
      </w:pPr>
    </w:p>
    <w:p w14:paraId="38380BEC" w14:textId="77777777" w:rsidR="00DA359F" w:rsidRDefault="00DA359F" w:rsidP="00DA359F">
      <w:pPr>
        <w:pStyle w:val="TextoNormal"/>
        <w:suppressAutoHyphens/>
      </w:pPr>
    </w:p>
    <w:p w14:paraId="5E0FEA24" w14:textId="77777777" w:rsidR="00DA359F" w:rsidRDefault="00DA359F" w:rsidP="00DA359F">
      <w:pPr>
        <w:pStyle w:val="TextoNormal"/>
        <w:suppressAutoHyphens/>
      </w:pPr>
    </w:p>
    <w:p w14:paraId="57AF78BF" w14:textId="77777777" w:rsidR="00DA359F" w:rsidRDefault="00DA359F" w:rsidP="00DA359F">
      <w:pPr>
        <w:pStyle w:val="TextoNormal"/>
        <w:suppressAutoHyphens/>
      </w:pPr>
    </w:p>
    <w:p w14:paraId="101491BE" w14:textId="77777777" w:rsidR="00DA359F" w:rsidRDefault="00DA359F" w:rsidP="00DA359F">
      <w:pPr>
        <w:pStyle w:val="TextoNormal"/>
        <w:suppressAutoHyphens/>
      </w:pPr>
    </w:p>
    <w:p w14:paraId="1431A7C8" w14:textId="77777777" w:rsidR="00DA359F" w:rsidRDefault="00DA359F" w:rsidP="00DA359F">
      <w:pPr>
        <w:pStyle w:val="TextoNormal"/>
        <w:suppressAutoHyphens/>
      </w:pPr>
    </w:p>
    <w:p w14:paraId="6BF42CCB" w14:textId="77777777" w:rsidR="00DA359F" w:rsidRDefault="00DA359F" w:rsidP="00DA359F">
      <w:pPr>
        <w:pStyle w:val="TextoNormal"/>
      </w:pPr>
    </w:p>
    <w:p w14:paraId="44B0022F" w14:textId="77777777" w:rsidR="00DA359F" w:rsidRDefault="00DA359F" w:rsidP="00DA359F">
      <w:pPr>
        <w:pStyle w:val="TextoNormal"/>
      </w:pPr>
      <w:bookmarkStart w:id="477" w:name="INDICE22803"/>
      <w:bookmarkEnd w:id="477"/>
    </w:p>
    <w:p w14:paraId="675599FC" w14:textId="77777777" w:rsidR="00DA359F" w:rsidRDefault="00DA359F" w:rsidP="00DA359F">
      <w:pPr>
        <w:pStyle w:val="TextoIndiceNivel2"/>
        <w:suppressAutoHyphens/>
      </w:pPr>
      <w:r>
        <w:t>A) Disposiciones del Estado</w:t>
      </w:r>
    </w:p>
    <w:p w14:paraId="415DBAA8" w14:textId="43CE95CC" w:rsidR="00DA359F" w:rsidRDefault="00DA359F" w:rsidP="00DA359F">
      <w:pPr>
        <w:pStyle w:val="TextoIndiceNivel2"/>
      </w:pPr>
    </w:p>
    <w:p w14:paraId="289C8A81" w14:textId="77777777" w:rsidR="00DA359F" w:rsidRDefault="00DA359F" w:rsidP="00DA359F">
      <w:pPr>
        <w:pStyle w:val="TextoNormalNegritaCursivandice"/>
        <w:keepNext/>
      </w:pPr>
      <w:r>
        <w:t>Resolución de 28 de abril de 2017, de la delegada del Gobierno en Madrid, en materia de expulsión del territorio nacional</w:t>
      </w:r>
    </w:p>
    <w:p w14:paraId="3C4305CA" w14:textId="555121C9"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130" w:history="1">
        <w:r w:rsidRPr="00DA359F">
          <w:rPr>
            <w:rStyle w:val="TextoNormalCaracter"/>
          </w:rPr>
          <w:t>130/2023</w:t>
        </w:r>
      </w:hyperlink>
      <w:r>
        <w:t>.</w:t>
      </w:r>
    </w:p>
    <w:p w14:paraId="26F2A103" w14:textId="4517C73B" w:rsidR="00DA359F" w:rsidRDefault="00DA359F" w:rsidP="00DA359F">
      <w:pPr>
        <w:pStyle w:val="SangriaFrancesaArticulo"/>
      </w:pPr>
    </w:p>
    <w:p w14:paraId="67A1B947" w14:textId="77777777" w:rsidR="00DA359F" w:rsidRDefault="00DA359F" w:rsidP="00DA359F">
      <w:pPr>
        <w:pStyle w:val="TextoNormalNegritaCursivandice"/>
        <w:keepNext/>
      </w:pPr>
      <w:r>
        <w:t>Acuerdo de la mesa del Senado de 18 de junio de 2019 por el que se desestima la reconsideración y la revisión frente al acuerdo de 29 de mayo de 2019 en relación con el requisito de promesa o juramento de acatamiento de la Constitución</w:t>
      </w:r>
    </w:p>
    <w:p w14:paraId="0272F627" w14:textId="0A92758F"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140" w:history="1">
        <w:r w:rsidRPr="00DA359F">
          <w:rPr>
            <w:rStyle w:val="TextoNormalCaracter"/>
          </w:rPr>
          <w:t>140/2023</w:t>
        </w:r>
      </w:hyperlink>
      <w:r>
        <w:t>.</w:t>
      </w:r>
    </w:p>
    <w:p w14:paraId="3A8879FD" w14:textId="20BCB4DB" w:rsidR="00DA359F" w:rsidRDefault="00DA359F" w:rsidP="00DA359F">
      <w:pPr>
        <w:pStyle w:val="SangriaFrancesaArticulo"/>
      </w:pPr>
    </w:p>
    <w:p w14:paraId="3DEEA195" w14:textId="77777777" w:rsidR="00DA359F" w:rsidRDefault="00DA359F" w:rsidP="00DA359F">
      <w:pPr>
        <w:pStyle w:val="TextoNormalNegritaCursivandice"/>
        <w:keepNext/>
      </w:pPr>
      <w:r>
        <w:t>Acuerdo de la presidenta del Congreso de los Diputados de 21 de mayo de 2019 en relación con el requisito de promesa o juramento de acatamiento de la Constitución. Acuerdos de la mesa del Congreso de los Diputados de 23 de mayo de 2019 y de 20 de junio de 2019, por los que se desestima la revisión y la reconsideración, respectivamente, frente al anterior acuerdo</w:t>
      </w:r>
    </w:p>
    <w:p w14:paraId="1B8CEAC7" w14:textId="5783D794"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139" w:history="1">
        <w:r w:rsidRPr="00DA359F">
          <w:rPr>
            <w:rStyle w:val="TextoNormalCaracter"/>
          </w:rPr>
          <w:t>139/2023</w:t>
        </w:r>
      </w:hyperlink>
      <w:r>
        <w:t>.</w:t>
      </w:r>
    </w:p>
    <w:p w14:paraId="1D39AE40" w14:textId="48DE8479" w:rsidR="00DA359F" w:rsidRDefault="00DA359F" w:rsidP="00DA359F">
      <w:pPr>
        <w:pStyle w:val="SangriaFrancesaArticulo"/>
      </w:pPr>
    </w:p>
    <w:p w14:paraId="52650C38" w14:textId="77777777" w:rsidR="00DA359F" w:rsidRDefault="00DA359F" w:rsidP="00DA359F">
      <w:pPr>
        <w:pStyle w:val="TextoNormalNegritaCursivandice"/>
        <w:keepNext/>
      </w:pPr>
      <w:r>
        <w:t>Acuerdo de la presidenta del Senado de 3 de diciembre de 2019, en relación con el requisito de promesa o juramento de acatamiento de la Constitución. Acuerdo de la mesa del Senado de 12 de diciembre de 2019, por el que se desestima la revisión frente al acuerdo anterior</w:t>
      </w:r>
    </w:p>
    <w:p w14:paraId="21368376" w14:textId="7D51193A"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141" w:history="1">
        <w:r w:rsidRPr="00DA359F">
          <w:rPr>
            <w:rStyle w:val="TextoNormalCaracter"/>
          </w:rPr>
          <w:t>141/2023</w:t>
        </w:r>
      </w:hyperlink>
      <w:r>
        <w:t>.</w:t>
      </w:r>
    </w:p>
    <w:p w14:paraId="57239AE7" w14:textId="0BFA6D0F" w:rsidR="00DA359F" w:rsidRDefault="00DA359F" w:rsidP="00DA359F">
      <w:pPr>
        <w:pStyle w:val="SangriaFrancesaArticulo"/>
      </w:pPr>
    </w:p>
    <w:p w14:paraId="5FCF9C60" w14:textId="77777777" w:rsidR="00DA359F" w:rsidRDefault="00DA359F" w:rsidP="00DA359F">
      <w:pPr>
        <w:pStyle w:val="TextoNormalNegritaCursivandice"/>
        <w:keepNext/>
      </w:pPr>
      <w:r>
        <w:t>Acuerdo de la presidenta del Congreso de los Diputados de 3 de diciembre de 2019 en relación con el requisito de promesa o juramento de acatamiento de la Constitución. Acuerdo de la mesa del Congreso de los Diputados de 13 de diciembre de 2019 por el que se denegó su competencia para el control de la decisión adoptada por la presidenta. Acuerdo de la misma mesa de 23 de enero de 2020 por el que se desestima la solicitud de reconsideración frente al acuerdo anterior</w:t>
      </w:r>
    </w:p>
    <w:p w14:paraId="27B7C0D6" w14:textId="4332BF3E"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Sentencias </w:t>
      </w:r>
      <w:hyperlink w:anchor="SENTENCIA_2023_125" w:history="1">
        <w:r w:rsidRPr="00DA359F">
          <w:rPr>
            <w:rStyle w:val="TextoNormalCaracter"/>
          </w:rPr>
          <w:t>125/2023</w:t>
        </w:r>
      </w:hyperlink>
      <w:r>
        <w:t xml:space="preserve">; </w:t>
      </w:r>
      <w:hyperlink w:anchor="SENTENCIA_2023_142" w:history="1">
        <w:r w:rsidRPr="00DA359F">
          <w:rPr>
            <w:rStyle w:val="TextoNormalCaracter"/>
          </w:rPr>
          <w:t>142/2023</w:t>
        </w:r>
      </w:hyperlink>
      <w:r>
        <w:t>.</w:t>
      </w:r>
    </w:p>
    <w:p w14:paraId="64FFB0AF" w14:textId="402A0968" w:rsidR="00DA359F" w:rsidRDefault="00DA359F" w:rsidP="00DA359F">
      <w:pPr>
        <w:pStyle w:val="SangriaFrancesaArticulo"/>
      </w:pPr>
    </w:p>
    <w:p w14:paraId="5F17E927" w14:textId="77777777" w:rsidR="00DA359F" w:rsidRDefault="00DA359F" w:rsidP="00DA359F">
      <w:pPr>
        <w:pStyle w:val="TextoNormalNegritaCursivandice"/>
        <w:keepNext/>
      </w:pPr>
      <w:r>
        <w:t>Acuerdos del Consejo de Ministros de 24 de mayo de 2019 y de 29 de septiembre de 2020, sobre imposición de sanción en materia de blanqueo de capitales</w:t>
      </w:r>
    </w:p>
    <w:p w14:paraId="5D801150" w14:textId="37430963" w:rsidR="00DA359F" w:rsidRDefault="00DA359F" w:rsidP="00DA359F">
      <w:pPr>
        <w:pStyle w:val="SangriaFrancesaArticulo"/>
      </w:pPr>
      <w:r w:rsidRPr="00DA359F">
        <w:rPr>
          <w:rStyle w:val="TextoNormalNegritaCaracter"/>
        </w:rPr>
        <w:t>Acuerdos gubernativos.</w:t>
      </w:r>
      <w:r w:rsidRPr="00DA359F">
        <w:rPr>
          <w:rStyle w:val="TextoNormalCaracter"/>
        </w:rPr>
        <w:t>-</w:t>
      </w:r>
      <w:r>
        <w:t xml:space="preserve"> Sentencia </w:t>
      </w:r>
      <w:hyperlink w:anchor="SENTENCIA_2023_179" w:history="1">
        <w:r w:rsidRPr="00DA359F">
          <w:rPr>
            <w:rStyle w:val="TextoNormalCaracter"/>
          </w:rPr>
          <w:t>179/2023</w:t>
        </w:r>
      </w:hyperlink>
      <w:r>
        <w:t>.</w:t>
      </w:r>
    </w:p>
    <w:p w14:paraId="60FA4348" w14:textId="7BF412BF" w:rsidR="00DA359F" w:rsidRDefault="00DA359F" w:rsidP="00DA359F">
      <w:pPr>
        <w:pStyle w:val="SangriaFrancesaArticulo"/>
      </w:pPr>
    </w:p>
    <w:p w14:paraId="27D12E7C" w14:textId="77777777" w:rsidR="00DA359F" w:rsidRDefault="00DA359F" w:rsidP="00DA359F">
      <w:pPr>
        <w:pStyle w:val="TextoNormalNegritaCursivandice"/>
        <w:keepNext/>
      </w:pPr>
      <w:r>
        <w:t>Resolución de 3 de marzo de 2021 del Delegado del Gobierno en la Comunidad de Madrid en el expediente 325-2021 por la que se acordó la prohibición de la concentración convocada para el 8 de marzo de 2021</w:t>
      </w:r>
    </w:p>
    <w:p w14:paraId="28723202" w14:textId="5A209E9B"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Sentencias </w:t>
      </w:r>
      <w:hyperlink w:anchor="SENTENCIA_2023_164" w:history="1">
        <w:r w:rsidRPr="00DA359F">
          <w:rPr>
            <w:rStyle w:val="TextoNormalCaracter"/>
          </w:rPr>
          <w:t>164/2023</w:t>
        </w:r>
      </w:hyperlink>
      <w:r>
        <w:t xml:space="preserve"> (anula); </w:t>
      </w:r>
      <w:hyperlink w:anchor="SENTENCIA_2023_188" w:history="1">
        <w:r w:rsidRPr="00DA359F">
          <w:rPr>
            <w:rStyle w:val="TextoNormalCaracter"/>
          </w:rPr>
          <w:t>188/2023</w:t>
        </w:r>
      </w:hyperlink>
      <w:r>
        <w:t xml:space="preserve"> (anula).</w:t>
      </w:r>
    </w:p>
    <w:p w14:paraId="1F24A38F" w14:textId="5BA372A6" w:rsidR="00DA359F" w:rsidRDefault="00DA359F" w:rsidP="00DA359F">
      <w:pPr>
        <w:pStyle w:val="SangriaFrancesaArticulo"/>
      </w:pPr>
    </w:p>
    <w:p w14:paraId="637F34DB" w14:textId="77777777" w:rsidR="00DA359F" w:rsidRDefault="00DA359F" w:rsidP="00DA359F">
      <w:pPr>
        <w:pStyle w:val="TextoNormalNegritaCursivandice"/>
        <w:keepNext/>
      </w:pPr>
      <w:r>
        <w:t>Resolución de 3 de marzo de 2021 del Delegado del Gobierno en la Comunidad de Madrid en el expediente 346-2021 por la que se acordó la prohibición de la concentración convocada para el 8 de marzo de 2021</w:t>
      </w:r>
    </w:p>
    <w:p w14:paraId="7F999F8A" w14:textId="50AC92CE"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176" w:history="1">
        <w:r w:rsidRPr="00DA359F">
          <w:rPr>
            <w:rStyle w:val="TextoNormalCaracter"/>
          </w:rPr>
          <w:t>176/2023</w:t>
        </w:r>
      </w:hyperlink>
      <w:r>
        <w:t xml:space="preserve"> (anula).</w:t>
      </w:r>
    </w:p>
    <w:p w14:paraId="19640AAF" w14:textId="2DFA8A55" w:rsidR="00DA359F" w:rsidRDefault="00DA359F" w:rsidP="00DA359F">
      <w:pPr>
        <w:pStyle w:val="SangriaFrancesaArticulo"/>
      </w:pPr>
    </w:p>
    <w:p w14:paraId="5F5C2725" w14:textId="77777777" w:rsidR="00DA359F" w:rsidRDefault="00DA359F" w:rsidP="00DA359F">
      <w:pPr>
        <w:pStyle w:val="TextoNormalNegritaCursivandice"/>
        <w:keepNext/>
      </w:pPr>
      <w:r>
        <w:t>Resolución de 3 de marzo de 2021 del Delegado del Gobierno en la Comunidad de Madrid por la que se acordó la prohibición de la concentración convocada para el 8 de marzo de 2021</w:t>
      </w:r>
    </w:p>
    <w:p w14:paraId="47425B0D" w14:textId="1C344AEE"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175" w:history="1">
        <w:r w:rsidRPr="00DA359F">
          <w:rPr>
            <w:rStyle w:val="TextoNormalCaracter"/>
          </w:rPr>
          <w:t>175/2023</w:t>
        </w:r>
      </w:hyperlink>
      <w:r>
        <w:t xml:space="preserve"> (anula).</w:t>
      </w:r>
    </w:p>
    <w:p w14:paraId="2CD00CFE" w14:textId="448F4477" w:rsidR="00DA359F" w:rsidRDefault="00DA359F" w:rsidP="00DA359F">
      <w:pPr>
        <w:pStyle w:val="SangriaFrancesaArticulo"/>
      </w:pPr>
    </w:p>
    <w:p w14:paraId="7725A58C" w14:textId="77777777" w:rsidR="00DA359F" w:rsidRDefault="00DA359F" w:rsidP="00DA359F">
      <w:pPr>
        <w:pStyle w:val="TextoNormalNegritaCursivandice"/>
        <w:keepNext/>
      </w:pPr>
      <w:r>
        <w:t>Resolución de 3 de marzo de 2021 del Delegado del Gobierno en la Comunidad de Madrid que acordó la prohibición de la concentración convocada para el 8 de marzo de 2021</w:t>
      </w:r>
    </w:p>
    <w:p w14:paraId="1193A1C1" w14:textId="2F218735"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174" w:history="1">
        <w:r w:rsidRPr="00DA359F">
          <w:rPr>
            <w:rStyle w:val="TextoNormalCaracter"/>
          </w:rPr>
          <w:t>174/2023</w:t>
        </w:r>
      </w:hyperlink>
      <w:r>
        <w:t xml:space="preserve"> (anula).</w:t>
      </w:r>
    </w:p>
    <w:p w14:paraId="7408F38E" w14:textId="16749563" w:rsidR="00DA359F" w:rsidRDefault="00DA359F" w:rsidP="00DA359F">
      <w:pPr>
        <w:pStyle w:val="SangriaFrancesaArticulo"/>
      </w:pPr>
    </w:p>
    <w:p w14:paraId="7F1B9EC2" w14:textId="77777777" w:rsidR="00DA359F" w:rsidRDefault="00DA359F" w:rsidP="00DA359F">
      <w:pPr>
        <w:pStyle w:val="TextoNormalNegritaCursivandice"/>
        <w:keepNext/>
      </w:pPr>
      <w:r>
        <w:t>Resolución de 3 de marzo de 2021 del Delegado del Gobierno en la Comunidad de Madrid, pronunciada en el expediente núm. 317-2021, acordando la prohibición de la concentración convocada para el 7 de marzo de 2021</w:t>
      </w:r>
    </w:p>
    <w:p w14:paraId="6E56A00C" w14:textId="1CB8071F"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178" w:history="1">
        <w:r w:rsidRPr="00DA359F">
          <w:rPr>
            <w:rStyle w:val="TextoNormalCaracter"/>
          </w:rPr>
          <w:t>178/2023</w:t>
        </w:r>
      </w:hyperlink>
      <w:r>
        <w:t xml:space="preserve"> (anula).</w:t>
      </w:r>
    </w:p>
    <w:p w14:paraId="47657FEE" w14:textId="1BE9AB20" w:rsidR="00DA359F" w:rsidRDefault="00DA359F" w:rsidP="00DA359F">
      <w:pPr>
        <w:pStyle w:val="SangriaFrancesaArticulo"/>
      </w:pPr>
    </w:p>
    <w:p w14:paraId="6263FF25" w14:textId="77777777" w:rsidR="00DA359F" w:rsidRDefault="00DA359F" w:rsidP="00DA359F">
      <w:pPr>
        <w:pStyle w:val="TextoNormalNegritaCursivandice"/>
        <w:keepNext/>
      </w:pPr>
      <w:r>
        <w:t>Resolución de 3 de marzo de 2021 del Delegado del Gobierno en la Comunidad de Madrid, que acordó la prohibición de la concentración convocada para el 7 de marzo de 2021</w:t>
      </w:r>
    </w:p>
    <w:p w14:paraId="69CF42FF" w14:textId="356F8F2C"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177" w:history="1">
        <w:r w:rsidRPr="00DA359F">
          <w:rPr>
            <w:rStyle w:val="TextoNormalCaracter"/>
          </w:rPr>
          <w:t>177/2023</w:t>
        </w:r>
      </w:hyperlink>
      <w:r>
        <w:t xml:space="preserve"> (anula).</w:t>
      </w:r>
    </w:p>
    <w:p w14:paraId="0150DAE9" w14:textId="15EABFDD" w:rsidR="00DA359F" w:rsidRDefault="00DA359F" w:rsidP="00DA359F">
      <w:pPr>
        <w:pStyle w:val="SangriaFrancesaArticulo"/>
      </w:pPr>
    </w:p>
    <w:p w14:paraId="00F32E42" w14:textId="77777777" w:rsidR="00DA359F" w:rsidRDefault="00DA359F" w:rsidP="00DA359F">
      <w:pPr>
        <w:pStyle w:val="TextoNormalNegritaCursivandice"/>
        <w:keepNext/>
      </w:pPr>
      <w:r>
        <w:t>Acuerdo de la mesa del Congreso de los Diputados de 20 de abril de 2021, sobre creación de la Autoridad Independiente de Recuperación Económica y la mejora de la gobernanza de los fondos europeos de recuperación. Acuerdo de la misma mesa de 18 de mayo de 2021 que desestima la solicitud de reconsideración frente al acuerdo anterior</w:t>
      </w:r>
    </w:p>
    <w:p w14:paraId="04D49965" w14:textId="39205E7E"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132" w:history="1">
        <w:r w:rsidRPr="00DA359F">
          <w:rPr>
            <w:rStyle w:val="TextoNormalCaracter"/>
          </w:rPr>
          <w:t>132/2023</w:t>
        </w:r>
      </w:hyperlink>
      <w:r>
        <w:t>.</w:t>
      </w:r>
    </w:p>
    <w:p w14:paraId="64C50248" w14:textId="74F5629A" w:rsidR="00DA359F" w:rsidRDefault="00DA359F" w:rsidP="00DA359F">
      <w:pPr>
        <w:pStyle w:val="SangriaFrancesaArticulo"/>
      </w:pPr>
    </w:p>
    <w:p w14:paraId="3DB5F377" w14:textId="77777777" w:rsidR="00DA359F" w:rsidRDefault="00DA359F" w:rsidP="00DA359F">
      <w:pPr>
        <w:pStyle w:val="TextoNormalNegritaCursivandice"/>
        <w:keepNext/>
      </w:pPr>
      <w:r>
        <w:t>Resoluciones de 25 y 30 de junio de 2021 de la presidenta del Senado, en el ejercicio de varios actos reglamentarios y desestimación de la solicitud de reconsideración del primero</w:t>
      </w:r>
    </w:p>
    <w:p w14:paraId="44929780" w14:textId="7EA84599"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167" w:history="1">
        <w:r w:rsidRPr="00DA359F">
          <w:rPr>
            <w:rStyle w:val="TextoNormalCaracter"/>
          </w:rPr>
          <w:t>167/2023</w:t>
        </w:r>
      </w:hyperlink>
      <w:r>
        <w:t xml:space="preserve"> (anula).</w:t>
      </w:r>
    </w:p>
    <w:p w14:paraId="176C4DFB" w14:textId="30F866F5" w:rsidR="00DA359F" w:rsidRDefault="00DA359F" w:rsidP="00DA359F">
      <w:pPr>
        <w:pStyle w:val="SangriaFrancesaArticulo"/>
      </w:pPr>
    </w:p>
    <w:p w14:paraId="74A48D67" w14:textId="77777777" w:rsidR="00DA359F" w:rsidRDefault="00DA359F" w:rsidP="00DA359F">
      <w:pPr>
        <w:pStyle w:val="TextoNormalNegritaCursivandice"/>
        <w:keepNext/>
      </w:pPr>
      <w:r>
        <w:t>Acuerdo de la presidenta del Senado de 25 de mayo de 2021, en relación con el requisito de promesa o juramento de acatamiento de la Constitución. Acuerdos de la mesa del Senado de 1 y 7 de junio de 2021 que desestiman las solicitudes de revisión y la posterior solicitud de reconsideración frente al acuerdo anterior. Acuerdos de la mesa del Senado de 7 de junio y 21 de julio de 2021 por los que se desestima la solicitud de revisión y posterior reconsideración de actas notariales de acatamiento</w:t>
      </w:r>
    </w:p>
    <w:p w14:paraId="7D66E15E" w14:textId="622FA057"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133" w:history="1">
        <w:r w:rsidRPr="00DA359F">
          <w:rPr>
            <w:rStyle w:val="TextoNormalCaracter"/>
          </w:rPr>
          <w:t>133/2023</w:t>
        </w:r>
      </w:hyperlink>
      <w:r>
        <w:t>.</w:t>
      </w:r>
    </w:p>
    <w:p w14:paraId="6D4ADB07" w14:textId="6BC19B12" w:rsidR="00DA359F" w:rsidRDefault="00DA359F" w:rsidP="00DA359F">
      <w:pPr>
        <w:pStyle w:val="SangriaFrancesaArticulo"/>
      </w:pPr>
    </w:p>
    <w:p w14:paraId="14D802AF" w14:textId="77777777" w:rsidR="00DA359F" w:rsidRDefault="00DA359F" w:rsidP="00DA359F">
      <w:pPr>
        <w:pStyle w:val="TextoNormalNegritaCursivandice"/>
        <w:keepNext/>
      </w:pPr>
      <w:r>
        <w:t>Acuerdo de la presidenta del Congreso de los Diputados de 13 de septiembre de 2021, en materia de solicitud de información sobre indultos</w:t>
      </w:r>
    </w:p>
    <w:p w14:paraId="2765E202" w14:textId="67F890F3"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165" w:history="1">
        <w:r w:rsidRPr="00DA359F">
          <w:rPr>
            <w:rStyle w:val="TextoNormalCaracter"/>
          </w:rPr>
          <w:t>165/2023</w:t>
        </w:r>
      </w:hyperlink>
      <w:r>
        <w:t>.</w:t>
      </w:r>
    </w:p>
    <w:p w14:paraId="15128849" w14:textId="03030F12" w:rsidR="00DA359F" w:rsidRDefault="00DA359F" w:rsidP="00DA359F">
      <w:pPr>
        <w:pStyle w:val="SangriaFrancesaArticulo"/>
      </w:pPr>
    </w:p>
    <w:p w14:paraId="101CEFCB" w14:textId="77777777" w:rsidR="00DA359F" w:rsidRDefault="00DA359F" w:rsidP="00DA359F">
      <w:pPr>
        <w:pStyle w:val="TextoNormalNegritaCursivandice"/>
        <w:keepNext/>
      </w:pPr>
      <w:r>
        <w:t>Acuerdos de la mesa del Senado de 8 y 15 de marzo de 2022 por los que se desestima la revisión y la reconsideración del acuerdo del presidente del Senado de 15 de febrero de 2022 en relación con el requisito de promesa o juramento de acatamiento de la Constitución</w:t>
      </w:r>
    </w:p>
    <w:p w14:paraId="4E7839D4" w14:textId="7ABAF31A"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135" w:history="1">
        <w:r w:rsidRPr="00DA359F">
          <w:rPr>
            <w:rStyle w:val="TextoNormalCaracter"/>
          </w:rPr>
          <w:t>135/2023</w:t>
        </w:r>
      </w:hyperlink>
      <w:r>
        <w:t>.</w:t>
      </w:r>
    </w:p>
    <w:p w14:paraId="335C33B3" w14:textId="733835E3" w:rsidR="00DA359F" w:rsidRDefault="00DA359F" w:rsidP="00DA359F">
      <w:pPr>
        <w:pStyle w:val="TextoNormal"/>
      </w:pPr>
    </w:p>
    <w:p w14:paraId="224B647C" w14:textId="77777777" w:rsidR="00DA359F" w:rsidRDefault="00DA359F" w:rsidP="00DA359F">
      <w:pPr>
        <w:pStyle w:val="SangriaFrancesaArticulo"/>
      </w:pPr>
      <w:bookmarkStart w:id="478" w:name="INDICE22824"/>
    </w:p>
    <w:bookmarkEnd w:id="478"/>
    <w:p w14:paraId="0FCF1066" w14:textId="77777777" w:rsidR="00DA359F" w:rsidRDefault="00DA359F" w:rsidP="00DA359F">
      <w:pPr>
        <w:pStyle w:val="TextoIndiceNivel2"/>
        <w:suppressAutoHyphens/>
      </w:pPr>
      <w:r>
        <w:t>B) Disposiciones de las Comunidades y Ciudades Autónomas</w:t>
      </w:r>
    </w:p>
    <w:p w14:paraId="29A8B156" w14:textId="47A7EA29" w:rsidR="00DA359F" w:rsidRDefault="00DA359F" w:rsidP="00DA359F">
      <w:pPr>
        <w:pStyle w:val="TextoNormal"/>
      </w:pPr>
    </w:p>
    <w:p w14:paraId="153FBAE4" w14:textId="77777777" w:rsidR="00DA359F" w:rsidRDefault="00DA359F" w:rsidP="00DA359F">
      <w:pPr>
        <w:pStyle w:val="TextoNormalNegritaCentrado"/>
        <w:suppressAutoHyphens/>
      </w:pPr>
      <w:r w:rsidRPr="00DA359F">
        <w:rPr>
          <w:rStyle w:val="TextoNormalNegritaCentradoSombreado"/>
        </w:rPr>
        <w:t>B.1) Andalucía</w:t>
      </w:r>
    </w:p>
    <w:p w14:paraId="506F604D" w14:textId="5BCE527F" w:rsidR="00DA359F" w:rsidRDefault="00DA359F" w:rsidP="00DA359F">
      <w:pPr>
        <w:pStyle w:val="TextoNormalNegritaCentrado"/>
      </w:pPr>
    </w:p>
    <w:p w14:paraId="21B72AE4" w14:textId="77777777" w:rsidR="00DA359F" w:rsidRDefault="00DA359F" w:rsidP="00DA359F">
      <w:pPr>
        <w:pStyle w:val="TextoNormalNegritaCursivandice"/>
        <w:keepNext/>
      </w:pPr>
      <w:r>
        <w:t>Comunidad Autónoma de Andalucía. Acuerdo de la mesa del Parlamento de Andalucía de 18 de noviembre de 2020, de adquisición de la condición de diputados no adscritos. Acuerdo del mismo órgano, de 25 de noviembre de 2020, que desestima los recursos de reconsideración</w:t>
      </w:r>
    </w:p>
    <w:p w14:paraId="02731711" w14:textId="00BA44C0"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93" w:history="1">
        <w:r w:rsidRPr="00DA359F">
          <w:rPr>
            <w:rStyle w:val="TextoNormalCaracter"/>
          </w:rPr>
          <w:t>93/2023</w:t>
        </w:r>
      </w:hyperlink>
      <w:r>
        <w:t xml:space="preserve"> (anula).</w:t>
      </w:r>
    </w:p>
    <w:p w14:paraId="7C185D26" w14:textId="4DBA62F4" w:rsidR="00DA359F" w:rsidRDefault="00DA359F" w:rsidP="00DA359F">
      <w:pPr>
        <w:pStyle w:val="TextoNormal"/>
      </w:pPr>
    </w:p>
    <w:p w14:paraId="728159D1" w14:textId="77777777" w:rsidR="00DA359F" w:rsidRDefault="00DA359F" w:rsidP="00DA359F">
      <w:pPr>
        <w:pStyle w:val="TextoNormalNegritaCentrado"/>
        <w:suppressAutoHyphens/>
      </w:pPr>
      <w:r w:rsidRPr="00DA359F">
        <w:rPr>
          <w:rStyle w:val="TextoNormalNegritaCentradoSombreado"/>
        </w:rPr>
        <w:t>B.2) Canarias</w:t>
      </w:r>
    </w:p>
    <w:p w14:paraId="6113B3BF" w14:textId="4BE38565" w:rsidR="00DA359F" w:rsidRDefault="00DA359F" w:rsidP="00DA359F">
      <w:pPr>
        <w:pStyle w:val="TextoNormalNegritaCentrado"/>
      </w:pPr>
    </w:p>
    <w:p w14:paraId="4699189A" w14:textId="77777777" w:rsidR="00DA359F" w:rsidRDefault="00DA359F" w:rsidP="00DA359F">
      <w:pPr>
        <w:pStyle w:val="TextoNormalNegritaCursivandice"/>
        <w:keepNext/>
      </w:pPr>
      <w:r>
        <w:t>Comunidad Autónoma de Canarias. Denegación presunta y posterior resolución 46/2018, de 10 de julio, de la Viceconsejería de Comunicación y Relaciones con los Medios de la Presidencia del Gobierno de Canarias, por la que se ordena el archivo de la solicitud de convocatoria en materia de adjudicación de licencias de comunicación audiovisual</w:t>
      </w:r>
    </w:p>
    <w:p w14:paraId="3BB47B9F" w14:textId="6257D2F0"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108" w:history="1">
        <w:r w:rsidRPr="00DA359F">
          <w:rPr>
            <w:rStyle w:val="TextoNormalCaracter"/>
          </w:rPr>
          <w:t>108/2023</w:t>
        </w:r>
      </w:hyperlink>
      <w:r>
        <w:t>.</w:t>
      </w:r>
    </w:p>
    <w:p w14:paraId="2746B93B" w14:textId="5F3CD497" w:rsidR="00DA359F" w:rsidRDefault="00DA359F" w:rsidP="00DA359F">
      <w:pPr>
        <w:pStyle w:val="SangriaFrancesaArticulo"/>
      </w:pPr>
    </w:p>
    <w:p w14:paraId="45FBDCF1" w14:textId="77777777" w:rsidR="00DA359F" w:rsidRDefault="00DA359F" w:rsidP="00DA359F">
      <w:pPr>
        <w:pStyle w:val="TextoNormalNegritaCursivandice"/>
        <w:keepNext/>
      </w:pPr>
      <w:r>
        <w:t>Comunidad Autónoma de Canarias. Denegación presunta y posterior resolución 47/2018, de 10 de julio, de la Viceconsejería de Comunicación y Relaciones con los Medios de la Presidencia del Gobierno de Canarias, por la que se ordena el archivo de la solicitud de convocatoria en materia de adjudicación de licencias de comunicación audiovisual</w:t>
      </w:r>
    </w:p>
    <w:p w14:paraId="67D39092" w14:textId="383579A7"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105" w:history="1">
        <w:r w:rsidRPr="00DA359F">
          <w:rPr>
            <w:rStyle w:val="TextoNormalCaracter"/>
          </w:rPr>
          <w:t>105/2023</w:t>
        </w:r>
      </w:hyperlink>
      <w:r>
        <w:t>.</w:t>
      </w:r>
    </w:p>
    <w:p w14:paraId="472E96D9" w14:textId="615DD57A" w:rsidR="00DA359F" w:rsidRDefault="00DA359F" w:rsidP="00DA359F">
      <w:pPr>
        <w:pStyle w:val="SangriaFrancesaArticulo"/>
      </w:pPr>
    </w:p>
    <w:p w14:paraId="3C9176FF" w14:textId="77777777" w:rsidR="00DA359F" w:rsidRDefault="00DA359F" w:rsidP="00DA359F">
      <w:pPr>
        <w:pStyle w:val="TextoNormalNegritaCursivandice"/>
        <w:keepNext/>
      </w:pPr>
      <w:r>
        <w:t>Comunidad Autónoma de Canarias. Denegación presunta y posterior resolución 48/2018, de 10 de julio, de la Viceconsejería de Comunicación y Relaciones con los Medios de la Presidencia del Gobierno de Canarias, por la que se ordena el archivo de la solicitud de convocatoria en materia de adjudicación de licencias de comunicación audiovisual</w:t>
      </w:r>
    </w:p>
    <w:p w14:paraId="3F907B48" w14:textId="3595B2A1"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100" w:history="1">
        <w:r w:rsidRPr="00DA359F">
          <w:rPr>
            <w:rStyle w:val="TextoNormalCaracter"/>
          </w:rPr>
          <w:t>100/2023</w:t>
        </w:r>
      </w:hyperlink>
      <w:r>
        <w:t>.</w:t>
      </w:r>
    </w:p>
    <w:p w14:paraId="0DC70B57" w14:textId="280AC0BB" w:rsidR="00DA359F" w:rsidRDefault="00DA359F" w:rsidP="00DA359F">
      <w:pPr>
        <w:pStyle w:val="SangriaFrancesaArticulo"/>
      </w:pPr>
    </w:p>
    <w:p w14:paraId="3BD0FA09" w14:textId="77777777" w:rsidR="00DA359F" w:rsidRDefault="00DA359F" w:rsidP="00DA359F">
      <w:pPr>
        <w:pStyle w:val="TextoNormalNegritaCursivandice"/>
        <w:keepNext/>
      </w:pPr>
      <w:r>
        <w:t>Comunidad Autónoma de Canarias. Resolución 50/2018, de 10 de julio, de la Viceconsejería de Comunicación y Relaciones con los Medios de la Presidencia del Gobierno de Canarias, por la que se ordena el archivo de la solicitud de convocatoria en materia de adjudicación de licencias de comunicación audiovisual</w:t>
      </w:r>
    </w:p>
    <w:p w14:paraId="5AB7F93D" w14:textId="63E7708A"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104" w:history="1">
        <w:r w:rsidRPr="00DA359F">
          <w:rPr>
            <w:rStyle w:val="TextoNormalCaracter"/>
          </w:rPr>
          <w:t>104/2023</w:t>
        </w:r>
      </w:hyperlink>
      <w:r>
        <w:t>.</w:t>
      </w:r>
    </w:p>
    <w:p w14:paraId="52717DD3" w14:textId="66F4DC65" w:rsidR="00DA359F" w:rsidRDefault="00DA359F" w:rsidP="00DA359F">
      <w:pPr>
        <w:pStyle w:val="SangriaFrancesaArticulo"/>
      </w:pPr>
    </w:p>
    <w:p w14:paraId="142AFA3A" w14:textId="77777777" w:rsidR="00DA359F" w:rsidRDefault="00DA359F" w:rsidP="00DA359F">
      <w:pPr>
        <w:pStyle w:val="TextoNormalNegritaCursivandice"/>
        <w:keepNext/>
      </w:pPr>
      <w:r>
        <w:t>Comunidad Autónoma de Canarias. Resolución 110/2018, de 20 de diciembre, de la Viceconsejería de Comunicación y Relaciones con los Medios de la Presidencia del Gobierno de Canarias, por la que se ordena el archivo de la solicitud de convocatoria en materia de adjudicación de licencias de comunicación audiovisual</w:t>
      </w:r>
    </w:p>
    <w:p w14:paraId="52261826" w14:textId="34977724"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110" w:history="1">
        <w:r w:rsidRPr="00DA359F">
          <w:rPr>
            <w:rStyle w:val="TextoNormalCaracter"/>
          </w:rPr>
          <w:t>110/2023</w:t>
        </w:r>
      </w:hyperlink>
      <w:r>
        <w:t>.</w:t>
      </w:r>
    </w:p>
    <w:p w14:paraId="385F6462" w14:textId="3E9AC28B" w:rsidR="00DA359F" w:rsidRDefault="00DA359F" w:rsidP="00DA359F">
      <w:pPr>
        <w:pStyle w:val="SangriaFrancesaArticulo"/>
      </w:pPr>
    </w:p>
    <w:p w14:paraId="0D95A901" w14:textId="77777777" w:rsidR="00DA359F" w:rsidRDefault="00DA359F" w:rsidP="00DA359F">
      <w:pPr>
        <w:pStyle w:val="TextoNormalNegritaCursivandice"/>
        <w:keepNext/>
      </w:pPr>
      <w:r>
        <w:t>Comunidad Autónoma de Canarias. Resolución 112/2018, de 20 de diciembre, de la Viceconsejería de Comunicación y Relaciones con los Medios de la Presidencia del Gobierno de Canarias, por la que se ordena el archivo de la solicitud de convocatoria en materia de adjudicación de licencias de comunicación audiovisual</w:t>
      </w:r>
    </w:p>
    <w:p w14:paraId="7A182E92" w14:textId="79D07C65"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109" w:history="1">
        <w:r w:rsidRPr="00DA359F">
          <w:rPr>
            <w:rStyle w:val="TextoNormalCaracter"/>
          </w:rPr>
          <w:t>109/2023</w:t>
        </w:r>
      </w:hyperlink>
      <w:r>
        <w:t>.</w:t>
      </w:r>
    </w:p>
    <w:p w14:paraId="1499E3B2" w14:textId="6EC0EB85" w:rsidR="00DA359F" w:rsidRDefault="00DA359F" w:rsidP="00DA359F">
      <w:pPr>
        <w:pStyle w:val="SangriaFrancesaArticulo"/>
      </w:pPr>
    </w:p>
    <w:p w14:paraId="52636D53" w14:textId="77777777" w:rsidR="00DA359F" w:rsidRDefault="00DA359F" w:rsidP="00DA359F">
      <w:pPr>
        <w:pStyle w:val="TextoNormalNegritaCursivandice"/>
        <w:keepNext/>
      </w:pPr>
      <w:r>
        <w:t>Comunidad Autónoma de Canarias. Resolución núm. 113/2018, de 20 de diciembre, de la Viceconsejería de Comunicación y Relaciones con los Medios de la Presidencia del Gobierno de Canarias, por la que se ordena el archivo de la solicitud de convocatoria en materia de adjudicación de licencias de comunicación audiovisual</w:t>
      </w:r>
    </w:p>
    <w:p w14:paraId="208CA5EB" w14:textId="39DFEF42"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114" w:history="1">
        <w:r w:rsidRPr="00DA359F">
          <w:rPr>
            <w:rStyle w:val="TextoNormalCaracter"/>
          </w:rPr>
          <w:t>114/2023</w:t>
        </w:r>
      </w:hyperlink>
      <w:r>
        <w:t>.</w:t>
      </w:r>
    </w:p>
    <w:p w14:paraId="1F62F4B5" w14:textId="3252762F" w:rsidR="00DA359F" w:rsidRDefault="00DA359F" w:rsidP="00DA359F">
      <w:pPr>
        <w:pStyle w:val="SangriaFrancesaArticulo"/>
      </w:pPr>
    </w:p>
    <w:p w14:paraId="4F8390BC" w14:textId="77777777" w:rsidR="00DA359F" w:rsidRDefault="00DA359F" w:rsidP="00DA359F">
      <w:pPr>
        <w:pStyle w:val="TextoNormalNegritaCursivandice"/>
        <w:keepNext/>
      </w:pPr>
      <w:r>
        <w:t>Comunidad Autónoma de Canarias. Resolución 114/2018, de 20 de diciembre, de la Viceconsejería de Comunicación y Relaciones con los Medios de la Presidencia del Gobierno de Canarias, que acuerda el archivo de la solicitud de convocatoria en materia de adjudicación de licencias de comunicación audiovisual</w:t>
      </w:r>
    </w:p>
    <w:p w14:paraId="3D7A465C" w14:textId="6327B60A"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103" w:history="1">
        <w:r w:rsidRPr="00DA359F">
          <w:rPr>
            <w:rStyle w:val="TextoNormalCaracter"/>
          </w:rPr>
          <w:t>103/2023</w:t>
        </w:r>
      </w:hyperlink>
      <w:r>
        <w:t>.</w:t>
      </w:r>
    </w:p>
    <w:p w14:paraId="1095E196" w14:textId="60FBF887" w:rsidR="00DA359F" w:rsidRDefault="00DA359F" w:rsidP="00DA359F">
      <w:pPr>
        <w:pStyle w:val="TextoNormal"/>
      </w:pPr>
    </w:p>
    <w:p w14:paraId="2DA5BA18" w14:textId="77777777" w:rsidR="00DA359F" w:rsidRDefault="00DA359F" w:rsidP="00DA359F">
      <w:pPr>
        <w:pStyle w:val="TextoNormalNegritaCentrado"/>
        <w:suppressAutoHyphens/>
      </w:pPr>
      <w:r w:rsidRPr="00DA359F">
        <w:rPr>
          <w:rStyle w:val="TextoNormalNegritaCentradoSombreado"/>
        </w:rPr>
        <w:t>B.3) Cantabria</w:t>
      </w:r>
    </w:p>
    <w:p w14:paraId="00B0CDAB" w14:textId="19CECD46" w:rsidR="00DA359F" w:rsidRDefault="00DA359F" w:rsidP="00DA359F">
      <w:pPr>
        <w:pStyle w:val="TextoNormalNegritaCentrado"/>
      </w:pPr>
    </w:p>
    <w:p w14:paraId="67B7AA1C" w14:textId="77777777" w:rsidR="00DA359F" w:rsidRDefault="00DA359F" w:rsidP="00DA359F">
      <w:pPr>
        <w:pStyle w:val="TextoNormalNegritaCursivandice"/>
        <w:keepNext/>
      </w:pPr>
      <w:r>
        <w:t>Comunidad Autónoma de Cantabria. Acuerdo de 22 de noviembre de 2018 del Consejo de Gobierno de la Comunidad Autónoma de Cantabria por el que se desestima el recurso de alzada interpuesto contra la desestimación presunta en materia de adjudicación de licencias de comunicación audiovisual</w:t>
      </w:r>
    </w:p>
    <w:p w14:paraId="0039C7EA" w14:textId="62704893"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111" w:history="1">
        <w:r w:rsidRPr="00DA359F">
          <w:rPr>
            <w:rStyle w:val="TextoNormalCaracter"/>
          </w:rPr>
          <w:t>111/2023</w:t>
        </w:r>
      </w:hyperlink>
      <w:r>
        <w:t>.</w:t>
      </w:r>
    </w:p>
    <w:p w14:paraId="592F930F" w14:textId="112980AB" w:rsidR="00DA359F" w:rsidRDefault="00DA359F" w:rsidP="00DA359F">
      <w:pPr>
        <w:pStyle w:val="TextoNormal"/>
      </w:pPr>
    </w:p>
    <w:p w14:paraId="37421CA0" w14:textId="77777777" w:rsidR="00DA359F" w:rsidRDefault="00DA359F" w:rsidP="00DA359F">
      <w:pPr>
        <w:pStyle w:val="TextoNormalNegritaCentrado"/>
        <w:suppressAutoHyphens/>
      </w:pPr>
      <w:r w:rsidRPr="00DA359F">
        <w:rPr>
          <w:rStyle w:val="TextoNormalNegritaCentradoSombreado"/>
        </w:rPr>
        <w:t>B.4) Castilla-La Mancha</w:t>
      </w:r>
    </w:p>
    <w:p w14:paraId="373111B8" w14:textId="70819BC7" w:rsidR="00DA359F" w:rsidRDefault="00DA359F" w:rsidP="00DA359F">
      <w:pPr>
        <w:pStyle w:val="TextoNormalNegritaCentrado"/>
      </w:pPr>
    </w:p>
    <w:p w14:paraId="55A364DE" w14:textId="77777777" w:rsidR="00DA359F" w:rsidRDefault="00DA359F" w:rsidP="00DA359F">
      <w:pPr>
        <w:pStyle w:val="TextoNormalNegritaCursivandice"/>
        <w:keepNext/>
      </w:pPr>
      <w:r>
        <w:t>Comunidad Autónoma de Castilla-La Mancha. Resolución de 27 de julio de 2018 del director general de Telecomunicaciones y Nuevas Tecnologías, por la que se deniega la solicitud de convocatoria en materia de adjudicación de licencias de comunicación audiovisual</w:t>
      </w:r>
    </w:p>
    <w:p w14:paraId="119D9F91" w14:textId="3A4E20B0"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117" w:history="1">
        <w:r w:rsidRPr="00DA359F">
          <w:rPr>
            <w:rStyle w:val="TextoNormalCaracter"/>
          </w:rPr>
          <w:t>117/2023</w:t>
        </w:r>
      </w:hyperlink>
      <w:r>
        <w:t>.</w:t>
      </w:r>
    </w:p>
    <w:p w14:paraId="501578B1" w14:textId="62C3EE66" w:rsidR="00DA359F" w:rsidRDefault="00DA359F" w:rsidP="00DA359F">
      <w:pPr>
        <w:pStyle w:val="TextoNormal"/>
      </w:pPr>
    </w:p>
    <w:p w14:paraId="578D9135" w14:textId="77777777" w:rsidR="00DA359F" w:rsidRDefault="00DA359F" w:rsidP="00DA359F">
      <w:pPr>
        <w:pStyle w:val="TextoNormalNegritaCentrado"/>
        <w:suppressAutoHyphens/>
      </w:pPr>
      <w:r w:rsidRPr="00DA359F">
        <w:rPr>
          <w:rStyle w:val="TextoNormalNegritaCentradoSombreado"/>
        </w:rPr>
        <w:t>B.5) Cataluña</w:t>
      </w:r>
    </w:p>
    <w:p w14:paraId="24A047DD" w14:textId="33F19FD6" w:rsidR="00DA359F" w:rsidRDefault="00DA359F" w:rsidP="00DA359F">
      <w:pPr>
        <w:pStyle w:val="TextoNormalNegritaCentrado"/>
      </w:pPr>
    </w:p>
    <w:p w14:paraId="02DBD859" w14:textId="77777777" w:rsidR="00DA359F" w:rsidRDefault="00DA359F" w:rsidP="00DA359F">
      <w:pPr>
        <w:pStyle w:val="TextoNormalNegritaCursivandice"/>
        <w:keepNext/>
      </w:pPr>
      <w:r>
        <w:t>Comunidad Autónoma de Cataluña. Acuerdo de la mesa del Parlamento de Cataluña de 20 de abril de 2021, sobre la distribución del número de senadores que corresponde designar proporcionalmente a cada grupo parlamentario. Acuerdo de 26 de abril de 2021 por el que se desestima la reconsideración solicitada respecto del anterior</w:t>
      </w:r>
    </w:p>
    <w:p w14:paraId="45335489" w14:textId="725CB062"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116" w:history="1">
        <w:r w:rsidRPr="00DA359F">
          <w:rPr>
            <w:rStyle w:val="TextoNormalCaracter"/>
          </w:rPr>
          <w:t>116/2023</w:t>
        </w:r>
      </w:hyperlink>
      <w:r>
        <w:t>.</w:t>
      </w:r>
    </w:p>
    <w:p w14:paraId="0605F423" w14:textId="2D738EA0" w:rsidR="00DA359F" w:rsidRDefault="00DA359F" w:rsidP="00DA359F">
      <w:pPr>
        <w:pStyle w:val="SangriaFrancesaArticulo"/>
      </w:pPr>
    </w:p>
    <w:p w14:paraId="0477A669" w14:textId="77777777" w:rsidR="00DA359F" w:rsidRDefault="00DA359F" w:rsidP="00DA359F">
      <w:pPr>
        <w:pStyle w:val="TextoNormalNegritaCursivandice"/>
        <w:keepNext/>
      </w:pPr>
      <w:r>
        <w:t>Comunidad Autónoma de Cataluña. Acuerdo de la Secretaría General del Parlamento de Cataluña, de 3 de febrero de 2022, por el que se dan instrucciones a la administración parlamentaria para dar de baja a un diputado de la Cámara</w:t>
      </w:r>
    </w:p>
    <w:p w14:paraId="5084A364" w14:textId="420FB18F"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82" w:history="1">
        <w:r w:rsidRPr="00DA359F">
          <w:rPr>
            <w:rStyle w:val="TextoNormalCaracter"/>
          </w:rPr>
          <w:t>82/2023</w:t>
        </w:r>
      </w:hyperlink>
      <w:r>
        <w:t>.</w:t>
      </w:r>
    </w:p>
    <w:p w14:paraId="5E38D105" w14:textId="44B78C0D" w:rsidR="00DA359F" w:rsidRDefault="00DA359F" w:rsidP="00DA359F">
      <w:pPr>
        <w:pStyle w:val="TextoNormal"/>
      </w:pPr>
    </w:p>
    <w:p w14:paraId="64150650" w14:textId="77777777" w:rsidR="00DA359F" w:rsidRDefault="00DA359F" w:rsidP="00DA359F">
      <w:pPr>
        <w:pStyle w:val="TextoNormalNegritaCentrado"/>
        <w:suppressAutoHyphens/>
      </w:pPr>
      <w:r w:rsidRPr="00DA359F">
        <w:rPr>
          <w:rStyle w:val="TextoNormalNegritaCentradoSombreado"/>
        </w:rPr>
        <w:t>B.6) La Rioja</w:t>
      </w:r>
    </w:p>
    <w:p w14:paraId="10BC8A39" w14:textId="2C0F5AA4" w:rsidR="00DA359F" w:rsidRDefault="00DA359F" w:rsidP="00DA359F">
      <w:pPr>
        <w:pStyle w:val="TextoNormalNegritaCentrado"/>
      </w:pPr>
    </w:p>
    <w:p w14:paraId="335A7CF2" w14:textId="77777777" w:rsidR="00DA359F" w:rsidRDefault="00DA359F" w:rsidP="00DA359F">
      <w:pPr>
        <w:pStyle w:val="TextoNormalNegritaCursivandice"/>
        <w:keepNext/>
      </w:pPr>
      <w:r>
        <w:t>Comunidad Autónoma de La Rioja. Resolución de 24 de julio de 2018 de la Consejería de Administración Pública y Hacienda de La Rioja por la que se desestima el recurso de alzada interpuesto contra la desestimación presunta de la solicitud de 5 de julio de 2018 en materia de adjudicación de licencias de comunicación audiovisual</w:t>
      </w:r>
    </w:p>
    <w:p w14:paraId="2A5B7588" w14:textId="2AF9CC04"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99" w:history="1">
        <w:r w:rsidRPr="00DA359F">
          <w:rPr>
            <w:rStyle w:val="TextoNormalCaracter"/>
          </w:rPr>
          <w:t>99/2023</w:t>
        </w:r>
      </w:hyperlink>
      <w:r>
        <w:t>.</w:t>
      </w:r>
    </w:p>
    <w:p w14:paraId="674EA0A8" w14:textId="4E7645AA" w:rsidR="00DA359F" w:rsidRDefault="00DA359F" w:rsidP="00DA359F">
      <w:pPr>
        <w:pStyle w:val="SangriaFrancesaArticulo"/>
      </w:pPr>
    </w:p>
    <w:p w14:paraId="1664BDBC" w14:textId="77777777" w:rsidR="00DA359F" w:rsidRDefault="00DA359F" w:rsidP="00DA359F">
      <w:pPr>
        <w:pStyle w:val="TextoNormalNegritaCursivandice"/>
        <w:keepNext/>
      </w:pPr>
      <w:r>
        <w:t>Comunidad Autónoma de La Rioja. Resolución de 24 de julio de 2018 de la Consejería de Administración Pública y Hacienda de La Rioja por la que se desestima el recurso de alzada interpuesto contra la desestimación presunta en materia de adjudicación de licencias de comunicación audiovisual</w:t>
      </w:r>
    </w:p>
    <w:p w14:paraId="6CCE4F56" w14:textId="5EC42461"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89" w:history="1">
        <w:r w:rsidRPr="00DA359F">
          <w:rPr>
            <w:rStyle w:val="TextoNormalCaracter"/>
          </w:rPr>
          <w:t>89/2023</w:t>
        </w:r>
      </w:hyperlink>
      <w:r>
        <w:t>.</w:t>
      </w:r>
    </w:p>
    <w:p w14:paraId="0068D4FF" w14:textId="50BFE558" w:rsidR="00DA359F" w:rsidRDefault="00DA359F" w:rsidP="00DA359F">
      <w:pPr>
        <w:pStyle w:val="SangriaFrancesaArticulo"/>
      </w:pPr>
    </w:p>
    <w:p w14:paraId="6BAAC036" w14:textId="77777777" w:rsidR="00DA359F" w:rsidRDefault="00DA359F" w:rsidP="00DA359F">
      <w:pPr>
        <w:pStyle w:val="TextoNormalNegritaCursivandice"/>
        <w:keepNext/>
      </w:pPr>
      <w:r>
        <w:t>Comunidad Autónoma de La Rioja. Resolución de 18 de octubre de 2018 dictada por la Consejería de Administración Pública y Hacienda de La Rioja en recurso de alzada contra la resolución de 3 de octubre de 2018 en materia de adjudicación de licencias de comunicación audiovisual</w:t>
      </w:r>
    </w:p>
    <w:p w14:paraId="3056F597" w14:textId="6CB90A8E"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98" w:history="1">
        <w:r w:rsidRPr="00DA359F">
          <w:rPr>
            <w:rStyle w:val="TextoNormalCaracter"/>
          </w:rPr>
          <w:t>98/2023</w:t>
        </w:r>
      </w:hyperlink>
      <w:r>
        <w:t>.</w:t>
      </w:r>
    </w:p>
    <w:p w14:paraId="0F164845" w14:textId="713F9C2A" w:rsidR="00DA359F" w:rsidRDefault="00DA359F" w:rsidP="00DA359F">
      <w:pPr>
        <w:pStyle w:val="TextoNormal"/>
      </w:pPr>
    </w:p>
    <w:p w14:paraId="2DDD48CF" w14:textId="77777777" w:rsidR="00DA359F" w:rsidRDefault="00DA359F" w:rsidP="00DA359F">
      <w:pPr>
        <w:pStyle w:val="TextoNormalNegritaCentrado"/>
        <w:suppressAutoHyphens/>
      </w:pPr>
      <w:r w:rsidRPr="00DA359F">
        <w:rPr>
          <w:rStyle w:val="TextoNormalNegritaCentradoSombreado"/>
        </w:rPr>
        <w:t>B.7) País Vasco</w:t>
      </w:r>
    </w:p>
    <w:p w14:paraId="765AF22A" w14:textId="0620A818" w:rsidR="00DA359F" w:rsidRDefault="00DA359F" w:rsidP="00DA359F">
      <w:pPr>
        <w:pStyle w:val="TextoNormalNegritaCentrado"/>
      </w:pPr>
    </w:p>
    <w:p w14:paraId="68CECCF9" w14:textId="77777777" w:rsidR="00DA359F" w:rsidRDefault="00DA359F" w:rsidP="00DA359F">
      <w:pPr>
        <w:pStyle w:val="TextoNormalNegritaCursivandice"/>
        <w:keepNext/>
      </w:pPr>
      <w:r>
        <w:t>Comunidad Autónoma del País Vasco. Orden de 5 de julio de 2018 de la Consejería de Cultura y Política Lingüística del Gobierno Vasco por la que se desestima el recurso de alzada interpuesto contra la desestimación presunta en materia de adjudicación de licencias de comunicación audiovisual</w:t>
      </w:r>
    </w:p>
    <w:p w14:paraId="3B9D1EF3" w14:textId="2419A2C3"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115" w:history="1">
        <w:r w:rsidRPr="00DA359F">
          <w:rPr>
            <w:rStyle w:val="TextoNormalCaracter"/>
          </w:rPr>
          <w:t>115/2023</w:t>
        </w:r>
      </w:hyperlink>
      <w:r>
        <w:t>.</w:t>
      </w:r>
    </w:p>
    <w:p w14:paraId="4870A826" w14:textId="796BE780" w:rsidR="00DA359F" w:rsidRDefault="00DA359F" w:rsidP="00DA359F">
      <w:pPr>
        <w:pStyle w:val="SangriaFrancesaArticulo"/>
      </w:pPr>
    </w:p>
    <w:p w14:paraId="5427F82A" w14:textId="77777777" w:rsidR="00DA359F" w:rsidRDefault="00DA359F" w:rsidP="00DA359F">
      <w:pPr>
        <w:pStyle w:val="TextoNormalNegritaCursivandice"/>
        <w:keepNext/>
      </w:pPr>
      <w:r>
        <w:t>Comunidad Autónoma del País Vasco. Orden de 5 de julio de 2018, de la Consejería de Cultura y Política Lingüística del Gobierno Vasco por la que se desestima el recurso de alzada interpuesto contra la resolución de 26 de abril de 2018 del Gabinete y Medios de Comunicación Social en materia de adjudicación de licencias de comunicación audiovisual</w:t>
      </w:r>
    </w:p>
    <w:p w14:paraId="2DE84BD5" w14:textId="3E5C38BA"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106" w:history="1">
        <w:r w:rsidRPr="00DA359F">
          <w:rPr>
            <w:rStyle w:val="TextoNormalCaracter"/>
          </w:rPr>
          <w:t>106/2023</w:t>
        </w:r>
      </w:hyperlink>
      <w:r>
        <w:t>.</w:t>
      </w:r>
    </w:p>
    <w:p w14:paraId="11896D9D" w14:textId="56664EC2" w:rsidR="00DA359F" w:rsidRDefault="00DA359F" w:rsidP="00DA359F">
      <w:pPr>
        <w:pStyle w:val="SangriaFrancesaArticulo"/>
      </w:pPr>
    </w:p>
    <w:p w14:paraId="522DFB5B" w14:textId="77777777" w:rsidR="00DA359F" w:rsidRDefault="00DA359F" w:rsidP="00DA359F">
      <w:pPr>
        <w:pStyle w:val="TextoNormalNegritaCursivandice"/>
        <w:keepNext/>
      </w:pPr>
      <w:r>
        <w:t>Comunidad Autónoma del País Vasco. Orden de 21 de enero de 2019 de la Consejería de Cultura y Política Lingüística del Gobierno Vasco por la que se desestima el recurso de alzada interpuesto contra la resolución de 14 de noviembre de 2018 del Gabinete y Medios de Comunicación Social en materia de adjudicación de licencias de comunicación audiovisual</w:t>
      </w:r>
    </w:p>
    <w:p w14:paraId="33BA728B" w14:textId="5F7D73CF"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102" w:history="1">
        <w:r w:rsidRPr="00DA359F">
          <w:rPr>
            <w:rStyle w:val="TextoNormalCaracter"/>
          </w:rPr>
          <w:t>102/2023</w:t>
        </w:r>
      </w:hyperlink>
      <w:r>
        <w:t>.</w:t>
      </w:r>
    </w:p>
    <w:p w14:paraId="667F735E" w14:textId="54F0C4CB" w:rsidR="00DA359F" w:rsidRDefault="00DA359F" w:rsidP="00DA359F">
      <w:pPr>
        <w:pStyle w:val="TextoNormal"/>
      </w:pPr>
    </w:p>
    <w:p w14:paraId="61D7BB4B" w14:textId="77777777" w:rsidR="00DA359F" w:rsidRDefault="00DA359F" w:rsidP="00DA359F">
      <w:pPr>
        <w:pStyle w:val="SangriaFrancesaArticulo"/>
      </w:pPr>
      <w:bookmarkStart w:id="479" w:name="INDICE22825"/>
    </w:p>
    <w:bookmarkEnd w:id="479"/>
    <w:p w14:paraId="217FC000" w14:textId="77777777" w:rsidR="00DA359F" w:rsidRDefault="00DA359F" w:rsidP="00DA359F">
      <w:pPr>
        <w:pStyle w:val="TextoIndiceNivel2"/>
        <w:suppressAutoHyphens/>
      </w:pPr>
      <w:r>
        <w:t>C) Disposiciones de territorios históricos y corporaciones locales</w:t>
      </w:r>
    </w:p>
    <w:p w14:paraId="3F30C74B" w14:textId="4D5A6FCC" w:rsidR="00DA359F" w:rsidRDefault="00DA359F" w:rsidP="00DA359F">
      <w:pPr>
        <w:pStyle w:val="TextoNormal"/>
      </w:pPr>
    </w:p>
    <w:p w14:paraId="2BFFCC21" w14:textId="77777777" w:rsidR="00DA359F" w:rsidRDefault="00DA359F" w:rsidP="00DA359F">
      <w:pPr>
        <w:pStyle w:val="TextoNormalNegritaCentrado"/>
        <w:suppressAutoHyphens/>
      </w:pPr>
      <w:r w:rsidRPr="00DA359F">
        <w:rPr>
          <w:rStyle w:val="TextoNormalNegritaCentradoSombreado"/>
        </w:rPr>
        <w:t>C.8) Territorios históricos</w:t>
      </w:r>
    </w:p>
    <w:p w14:paraId="72BF505E" w14:textId="1FA58584" w:rsidR="00DA359F" w:rsidRDefault="00DA359F" w:rsidP="00DA359F">
      <w:pPr>
        <w:pStyle w:val="TextoNormal"/>
      </w:pPr>
    </w:p>
    <w:p w14:paraId="50447126" w14:textId="77777777" w:rsidR="00DA359F" w:rsidRDefault="00DA359F" w:rsidP="00DA359F">
      <w:pPr>
        <w:pStyle w:val="TextoNormalNegritaCentradoSubrayado"/>
        <w:suppressAutoHyphens/>
      </w:pPr>
      <w:r>
        <w:t>C.8.1) Gipuzkoa</w:t>
      </w:r>
    </w:p>
    <w:p w14:paraId="67D7EA22" w14:textId="48C88934" w:rsidR="00DA359F" w:rsidRDefault="00DA359F" w:rsidP="00DA359F">
      <w:pPr>
        <w:pStyle w:val="TextoNormalNegritaCentradoSubrayado"/>
      </w:pPr>
    </w:p>
    <w:p w14:paraId="38D19E19" w14:textId="77777777" w:rsidR="00DA359F" w:rsidRDefault="00DA359F" w:rsidP="00DA359F">
      <w:pPr>
        <w:pStyle w:val="TextoNormalNegritaCursivandice"/>
        <w:keepNext/>
      </w:pPr>
      <w:r>
        <w:t>Territorio Histórico de Gipuzkoa. Norma Foral 16/1989, de 5 de julio, del impuesto sobre el incremento de valor de los terrenos de naturaleza urbana</w:t>
      </w:r>
    </w:p>
    <w:p w14:paraId="569BC966" w14:textId="7A1040F5" w:rsidR="00DA359F" w:rsidRDefault="00DA359F" w:rsidP="00DA359F">
      <w:pPr>
        <w:pStyle w:val="SangriaFrancesaArticulo"/>
      </w:pPr>
      <w:r w:rsidRPr="00DA359F">
        <w:rPr>
          <w:rStyle w:val="TextoNormalNegritaCaracter"/>
        </w:rPr>
        <w:t>Artículo 4.1 párrafo 2.</w:t>
      </w:r>
      <w:r w:rsidRPr="00DA359F">
        <w:rPr>
          <w:rStyle w:val="TextoNormalCaracter"/>
        </w:rPr>
        <w:t>-</w:t>
      </w:r>
      <w:r>
        <w:t xml:space="preserve"> Auto </w:t>
      </w:r>
      <w:hyperlink w:anchor="AUTO_2023_486" w:history="1">
        <w:r w:rsidRPr="00DA359F">
          <w:rPr>
            <w:rStyle w:val="TextoNormalCaracter"/>
          </w:rPr>
          <w:t>486/2023</w:t>
        </w:r>
      </w:hyperlink>
      <w:r>
        <w:t>.</w:t>
      </w:r>
    </w:p>
    <w:p w14:paraId="6D3A444A" w14:textId="15D845CE" w:rsidR="00DA359F" w:rsidRDefault="00DA359F" w:rsidP="00DA359F">
      <w:pPr>
        <w:pStyle w:val="SangriaFrancesaArticulo"/>
      </w:pPr>
      <w:r w:rsidRPr="00DA359F">
        <w:rPr>
          <w:rStyle w:val="TextoNormalNegritaCaracter"/>
        </w:rPr>
        <w:t>Artículo 4.2 a).</w:t>
      </w:r>
      <w:r w:rsidRPr="00DA359F">
        <w:rPr>
          <w:rStyle w:val="TextoNormalCaracter"/>
        </w:rPr>
        <w:t>-</w:t>
      </w:r>
      <w:r>
        <w:t xml:space="preserve"> Auto </w:t>
      </w:r>
      <w:hyperlink w:anchor="AUTO_2023_486" w:history="1">
        <w:r w:rsidRPr="00DA359F">
          <w:rPr>
            <w:rStyle w:val="TextoNormalCaracter"/>
          </w:rPr>
          <w:t>486/2023</w:t>
        </w:r>
      </w:hyperlink>
      <w:r>
        <w:t>.</w:t>
      </w:r>
    </w:p>
    <w:p w14:paraId="47DF6420" w14:textId="4F5EE7D0" w:rsidR="00DA359F" w:rsidRDefault="00DA359F" w:rsidP="00DA359F">
      <w:pPr>
        <w:pStyle w:val="SangriaFrancesaArticulo"/>
      </w:pPr>
      <w:r w:rsidRPr="00DA359F">
        <w:rPr>
          <w:rStyle w:val="TextoNormalNegritaCaracter"/>
        </w:rPr>
        <w:t>Artículo 4.3.</w:t>
      </w:r>
      <w:r w:rsidRPr="00DA359F">
        <w:rPr>
          <w:rStyle w:val="TextoNormalCaracter"/>
        </w:rPr>
        <w:t>-</w:t>
      </w:r>
      <w:r>
        <w:t xml:space="preserve"> Auto </w:t>
      </w:r>
      <w:hyperlink w:anchor="AUTO_2023_486" w:history="1">
        <w:r w:rsidRPr="00DA359F">
          <w:rPr>
            <w:rStyle w:val="TextoNormalCaracter"/>
          </w:rPr>
          <w:t>486/2023</w:t>
        </w:r>
      </w:hyperlink>
      <w:r>
        <w:t>.</w:t>
      </w:r>
    </w:p>
    <w:p w14:paraId="4147AA2A" w14:textId="7557D9D5" w:rsidR="00DA359F" w:rsidRDefault="00DA359F">
      <w:pPr>
        <w:spacing w:after="160" w:line="278" w:lineRule="auto"/>
        <w:rPr>
          <w:rFonts w:ascii="Times New Roman" w:eastAsia="Times New Roman" w:hAnsi="Times New Roman" w:cs="Times New Roman"/>
          <w:sz w:val="24"/>
          <w:szCs w:val="24"/>
          <w:lang w:eastAsia="es-ES"/>
        </w:rPr>
      </w:pPr>
      <w:r>
        <w:br w:type="page"/>
      </w:r>
    </w:p>
    <w:p w14:paraId="464CB2A5" w14:textId="77777777" w:rsidR="00DA359F" w:rsidRDefault="00DA359F" w:rsidP="00DA359F">
      <w:pPr>
        <w:pStyle w:val="SangriaFrancesaArticulo"/>
      </w:pPr>
    </w:p>
    <w:p w14:paraId="2B4AB312" w14:textId="77777777" w:rsidR="00DA359F" w:rsidRDefault="00DA359F" w:rsidP="00DA359F">
      <w:pPr>
        <w:pStyle w:val="TextoNormal"/>
      </w:pPr>
    </w:p>
    <w:p w14:paraId="03CF0E32" w14:textId="77777777" w:rsidR="00DA359F" w:rsidRDefault="00DA359F" w:rsidP="00DA359F">
      <w:pPr>
        <w:pStyle w:val="TextoNormal"/>
      </w:pPr>
    </w:p>
    <w:p w14:paraId="43AADFC2" w14:textId="77777777" w:rsidR="00DA359F" w:rsidRDefault="00DA359F" w:rsidP="00DA359F">
      <w:pPr>
        <w:pStyle w:val="TextoNormal"/>
      </w:pPr>
    </w:p>
    <w:p w14:paraId="782F7B14" w14:textId="77777777" w:rsidR="00DA359F" w:rsidRDefault="00DA359F" w:rsidP="00DA359F">
      <w:pPr>
        <w:pStyle w:val="Ttulondice"/>
        <w:suppressAutoHyphens/>
      </w:pPr>
      <w:r>
        <w:t>5. ÍNDICE DE DISPOSICIONES CITADAS</w:t>
      </w:r>
    </w:p>
    <w:p w14:paraId="427E8BB4" w14:textId="1125F4DD" w:rsidR="00DA359F" w:rsidRDefault="00DA359F" w:rsidP="00DA359F">
      <w:pPr>
        <w:pStyle w:val="TextoNormal"/>
        <w:suppressAutoHyphens/>
      </w:pPr>
    </w:p>
    <w:p w14:paraId="522B569C" w14:textId="77777777" w:rsidR="00DA359F" w:rsidRDefault="00DA359F" w:rsidP="00DA359F">
      <w:pPr>
        <w:pStyle w:val="TextoNormal"/>
        <w:suppressAutoHyphens/>
      </w:pPr>
    </w:p>
    <w:p w14:paraId="43B15451" w14:textId="77777777" w:rsidR="00DA359F" w:rsidRDefault="00DA359F" w:rsidP="00DA359F">
      <w:pPr>
        <w:pStyle w:val="TextoNormal"/>
        <w:suppressAutoHyphens/>
      </w:pPr>
    </w:p>
    <w:p w14:paraId="1C10D4F4" w14:textId="77777777" w:rsidR="00DA359F" w:rsidRDefault="00DA359F" w:rsidP="00DA359F">
      <w:pPr>
        <w:pStyle w:val="TextoNormal"/>
        <w:suppressAutoHyphens/>
      </w:pPr>
    </w:p>
    <w:p w14:paraId="709F88FA" w14:textId="77777777" w:rsidR="00DA359F" w:rsidRDefault="00DA359F" w:rsidP="00DA359F">
      <w:pPr>
        <w:pStyle w:val="TextoNormal"/>
        <w:suppressAutoHyphens/>
      </w:pPr>
    </w:p>
    <w:p w14:paraId="7601D13D" w14:textId="77777777" w:rsidR="00DA359F" w:rsidRDefault="00DA359F" w:rsidP="00DA359F">
      <w:pPr>
        <w:pStyle w:val="TextoNormal"/>
        <w:suppressAutoHyphens/>
      </w:pPr>
    </w:p>
    <w:p w14:paraId="6D3C15F9" w14:textId="77777777" w:rsidR="00DA359F" w:rsidRDefault="00DA359F" w:rsidP="00DA359F">
      <w:pPr>
        <w:pStyle w:val="TextoNormal"/>
        <w:suppressAutoHyphens/>
      </w:pPr>
    </w:p>
    <w:p w14:paraId="0C0687C0" w14:textId="77777777" w:rsidR="00DA359F" w:rsidRDefault="00DA359F" w:rsidP="00DA359F">
      <w:pPr>
        <w:pStyle w:val="TextoNormal"/>
        <w:suppressAutoHyphens/>
      </w:pPr>
    </w:p>
    <w:p w14:paraId="755114D2" w14:textId="77777777" w:rsidR="00DA359F" w:rsidRDefault="00DA359F" w:rsidP="00DA359F">
      <w:pPr>
        <w:pStyle w:val="TextoNormal"/>
        <w:suppressAutoHyphens/>
      </w:pPr>
    </w:p>
    <w:p w14:paraId="62C63FF0" w14:textId="77777777" w:rsidR="00DA359F" w:rsidRDefault="00DA359F" w:rsidP="00DA359F">
      <w:pPr>
        <w:pStyle w:val="TextoNormal"/>
      </w:pPr>
    </w:p>
    <w:p w14:paraId="32BD0E7D" w14:textId="77777777" w:rsidR="00DA359F" w:rsidRDefault="00DA359F" w:rsidP="00DA359F">
      <w:pPr>
        <w:pStyle w:val="TextoNormal"/>
      </w:pPr>
      <w:bookmarkStart w:id="480" w:name="INDICE22804"/>
      <w:bookmarkEnd w:id="480"/>
    </w:p>
    <w:p w14:paraId="5DDD41B6" w14:textId="77777777" w:rsidR="00DA359F" w:rsidRDefault="00DA359F" w:rsidP="00DA359F">
      <w:pPr>
        <w:pStyle w:val="TextoIndiceNivel2"/>
        <w:suppressAutoHyphens/>
      </w:pPr>
      <w:r>
        <w:t>A) Constitución</w:t>
      </w:r>
    </w:p>
    <w:p w14:paraId="4C19495E" w14:textId="2F229C91" w:rsidR="00DA359F" w:rsidRDefault="00DA359F" w:rsidP="00DA359F">
      <w:pPr>
        <w:pStyle w:val="TextoIndiceNivel2"/>
      </w:pPr>
    </w:p>
    <w:p w14:paraId="61A87288" w14:textId="77777777" w:rsidR="00DA359F" w:rsidRDefault="00DA359F" w:rsidP="00DA359F">
      <w:pPr>
        <w:pStyle w:val="TextoNormalNegritaCursivandice"/>
        <w:keepNext/>
      </w:pPr>
      <w:r>
        <w:t>Constitución española, de 27 de diciembre de 1978</w:t>
      </w:r>
    </w:p>
    <w:p w14:paraId="3342CDD3" w14:textId="4C417E3A"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Sentencias </w:t>
      </w:r>
      <w:hyperlink w:anchor="SENTENCIA_2023_84" w:history="1">
        <w:r w:rsidRPr="00DA359F">
          <w:rPr>
            <w:rStyle w:val="TextoNormalCaracter"/>
          </w:rPr>
          <w:t>84/2023</w:t>
        </w:r>
      </w:hyperlink>
      <w:r>
        <w:t xml:space="preserve">, VP; </w:t>
      </w:r>
      <w:hyperlink w:anchor="SENTENCIA_2023_94" w:history="1">
        <w:r w:rsidRPr="00DA359F">
          <w:rPr>
            <w:rStyle w:val="TextoNormalCaracter"/>
          </w:rPr>
          <w:t>94/2023</w:t>
        </w:r>
      </w:hyperlink>
      <w:r>
        <w:t xml:space="preserve">, ff. 2, 3, 5, 6, VP III; </w:t>
      </w:r>
      <w:hyperlink w:anchor="SENTENCIA_2023_95" w:history="1">
        <w:r w:rsidRPr="00DA359F">
          <w:rPr>
            <w:rStyle w:val="TextoNormalCaracter"/>
          </w:rPr>
          <w:t>95/2023</w:t>
        </w:r>
      </w:hyperlink>
      <w:r>
        <w:t xml:space="preserve">, f. 4; </w:t>
      </w:r>
      <w:hyperlink w:anchor="SENTENCIA_2023_144" w:history="1">
        <w:r w:rsidRPr="00DA359F">
          <w:rPr>
            <w:rStyle w:val="TextoNormalCaracter"/>
          </w:rPr>
          <w:t>144/2023</w:t>
        </w:r>
      </w:hyperlink>
      <w:r>
        <w:t xml:space="preserve">, VP; </w:t>
      </w:r>
      <w:hyperlink w:anchor="SENTENCIA_2023_145" w:history="1">
        <w:r w:rsidRPr="00DA359F">
          <w:rPr>
            <w:rStyle w:val="TextoNormalCaracter"/>
          </w:rPr>
          <w:t>145/2023</w:t>
        </w:r>
      </w:hyperlink>
      <w:r>
        <w:t>, f. 4.</w:t>
      </w:r>
    </w:p>
    <w:p w14:paraId="4D13FD6C" w14:textId="1FCA06C5" w:rsidR="00DA359F" w:rsidRDefault="00DA359F" w:rsidP="00DA359F">
      <w:pPr>
        <w:pStyle w:val="SangriaFrancesaArticulo"/>
      </w:pPr>
      <w:r w:rsidRPr="00DA359F">
        <w:rPr>
          <w:rStyle w:val="TextoNormalNegritaCaracter"/>
        </w:rPr>
        <w:t>Título I.</w:t>
      </w:r>
      <w:r w:rsidRPr="00DA359F">
        <w:rPr>
          <w:rStyle w:val="TextoNormalCaracter"/>
        </w:rPr>
        <w:t>-</w:t>
      </w:r>
      <w:r>
        <w:t xml:space="preserve"> Sentencia </w:t>
      </w:r>
      <w:hyperlink w:anchor="SENTENCIA_2023_145" w:history="1">
        <w:r w:rsidRPr="00DA359F">
          <w:rPr>
            <w:rStyle w:val="TextoNormalCaracter"/>
          </w:rPr>
          <w:t>145/2023</w:t>
        </w:r>
      </w:hyperlink>
      <w:r>
        <w:t>, f. 4.</w:t>
      </w:r>
    </w:p>
    <w:p w14:paraId="19B8428F" w14:textId="46A723DE" w:rsidR="00DA359F" w:rsidRDefault="00DA359F" w:rsidP="00DA359F">
      <w:pPr>
        <w:pStyle w:val="SangriaIzquierdaArticulo"/>
      </w:pPr>
      <w:r>
        <w:t xml:space="preserve">Autos </w:t>
      </w:r>
      <w:hyperlink w:anchor="AUTO_2023_532" w:history="1">
        <w:r w:rsidRPr="00DA359F">
          <w:rPr>
            <w:rStyle w:val="TextoNormalCaracter"/>
          </w:rPr>
          <w:t>532/2023</w:t>
        </w:r>
      </w:hyperlink>
      <w:r>
        <w:t xml:space="preserve">, f. 8; </w:t>
      </w:r>
      <w:hyperlink w:anchor="AUTO_2023_535" w:history="1">
        <w:r w:rsidRPr="00DA359F">
          <w:rPr>
            <w:rStyle w:val="TextoNormalCaracter"/>
          </w:rPr>
          <w:t>535/2023</w:t>
        </w:r>
      </w:hyperlink>
      <w:r>
        <w:t>, f. 8.</w:t>
      </w:r>
    </w:p>
    <w:p w14:paraId="1406AD09" w14:textId="6F05363A" w:rsidR="00DA359F" w:rsidRDefault="00DA359F" w:rsidP="00DA359F">
      <w:pPr>
        <w:pStyle w:val="SangriaFrancesaArticulo"/>
      </w:pPr>
      <w:r w:rsidRPr="00DA359F">
        <w:rPr>
          <w:rStyle w:val="TextoNormalNegritaCaracter"/>
        </w:rPr>
        <w:t>Título I, capítulo II, sección primera.</w:t>
      </w:r>
      <w:r w:rsidRPr="00DA359F">
        <w:rPr>
          <w:rStyle w:val="TextoNormalCaracter"/>
        </w:rPr>
        <w:t>-</w:t>
      </w:r>
      <w:r>
        <w:t xml:space="preserve"> Sentencia </w:t>
      </w:r>
      <w:hyperlink w:anchor="SENTENCIA_2023_94" w:history="1">
        <w:r w:rsidRPr="00DA359F">
          <w:rPr>
            <w:rStyle w:val="TextoNormalCaracter"/>
          </w:rPr>
          <w:t>94/2023</w:t>
        </w:r>
      </w:hyperlink>
      <w:r>
        <w:t>, f. 6, VP III.</w:t>
      </w:r>
    </w:p>
    <w:p w14:paraId="32D5C313" w14:textId="48710EBC" w:rsidR="00DA359F" w:rsidRDefault="00DA359F" w:rsidP="00DA359F">
      <w:pPr>
        <w:pStyle w:val="SangriaFrancesaArticulo"/>
      </w:pPr>
      <w:r w:rsidRPr="00DA359F">
        <w:rPr>
          <w:rStyle w:val="TextoNormalNegritaCaracter"/>
        </w:rPr>
        <w:t>Título III.</w:t>
      </w:r>
      <w:r w:rsidRPr="00DA359F">
        <w:rPr>
          <w:rStyle w:val="TextoNormalCaracter"/>
        </w:rPr>
        <w:t>-</w:t>
      </w:r>
      <w:r>
        <w:t xml:space="preserve"> Sentencias </w:t>
      </w:r>
      <w:hyperlink w:anchor="SENTENCIA_2023_128" w:history="1">
        <w:r w:rsidRPr="00DA359F">
          <w:rPr>
            <w:rStyle w:val="TextoNormalCaracter"/>
          </w:rPr>
          <w:t>128/2023</w:t>
        </w:r>
      </w:hyperlink>
      <w:r>
        <w:t xml:space="preserve">, VP; </w:t>
      </w:r>
      <w:hyperlink w:anchor="SENTENCIA_2023_167" w:history="1">
        <w:r w:rsidRPr="00DA359F">
          <w:rPr>
            <w:rStyle w:val="TextoNormalCaracter"/>
          </w:rPr>
          <w:t>167/2023</w:t>
        </w:r>
      </w:hyperlink>
      <w:r>
        <w:t>, f. 5.</w:t>
      </w:r>
    </w:p>
    <w:p w14:paraId="111691B0" w14:textId="5B2B8A9B" w:rsidR="00DA359F" w:rsidRDefault="00DA359F" w:rsidP="00DA359F">
      <w:pPr>
        <w:pStyle w:val="SangriaFrancesaArticulo"/>
      </w:pPr>
      <w:r w:rsidRPr="00DA359F">
        <w:rPr>
          <w:rStyle w:val="TextoNormalNegritaCaracter"/>
        </w:rPr>
        <w:t>Título IV.</w:t>
      </w:r>
      <w:r w:rsidRPr="00DA359F">
        <w:rPr>
          <w:rStyle w:val="TextoNormalCaracter"/>
        </w:rPr>
        <w:t>-</w:t>
      </w:r>
      <w:r>
        <w:t xml:space="preserve"> Sentencia </w:t>
      </w:r>
      <w:hyperlink w:anchor="SENTENCIA_2023_128" w:history="1">
        <w:r w:rsidRPr="00DA359F">
          <w:rPr>
            <w:rStyle w:val="TextoNormalCaracter"/>
          </w:rPr>
          <w:t>128/2023</w:t>
        </w:r>
      </w:hyperlink>
      <w:r>
        <w:t>, VP.</w:t>
      </w:r>
    </w:p>
    <w:p w14:paraId="03519EE6" w14:textId="4E3A3188" w:rsidR="00DA359F" w:rsidRDefault="00DA359F" w:rsidP="00DA359F">
      <w:pPr>
        <w:pStyle w:val="SangriaFrancesaArticulo"/>
      </w:pPr>
      <w:r w:rsidRPr="00DA359F">
        <w:rPr>
          <w:rStyle w:val="TextoNormalNegritaCaracter"/>
        </w:rPr>
        <w:t>Título V.</w:t>
      </w:r>
      <w:r w:rsidRPr="00DA359F">
        <w:rPr>
          <w:rStyle w:val="TextoNormalCaracter"/>
        </w:rPr>
        <w:t>-</w:t>
      </w:r>
      <w:r>
        <w:t xml:space="preserve"> Sentencia </w:t>
      </w:r>
      <w:hyperlink w:anchor="SENTENCIA_2023_128" w:history="1">
        <w:r w:rsidRPr="00DA359F">
          <w:rPr>
            <w:rStyle w:val="TextoNormalCaracter"/>
          </w:rPr>
          <w:t>128/2023</w:t>
        </w:r>
      </w:hyperlink>
      <w:r>
        <w:t>, VP.</w:t>
      </w:r>
    </w:p>
    <w:p w14:paraId="4E3D29C5" w14:textId="0251EC21" w:rsidR="00DA359F" w:rsidRDefault="00DA359F" w:rsidP="00DA359F">
      <w:pPr>
        <w:pStyle w:val="SangriaFrancesaArticulo"/>
      </w:pPr>
      <w:r w:rsidRPr="00DA359F">
        <w:rPr>
          <w:rStyle w:val="TextoNormalNegritaCaracter"/>
        </w:rPr>
        <w:t>Título VI.</w:t>
      </w:r>
      <w:r w:rsidRPr="00DA359F">
        <w:rPr>
          <w:rStyle w:val="TextoNormalCaracter"/>
        </w:rPr>
        <w:t>-</w:t>
      </w:r>
      <w:r>
        <w:t xml:space="preserve"> Sentencia </w:t>
      </w:r>
      <w:hyperlink w:anchor="SENTENCIA_2023_128" w:history="1">
        <w:r w:rsidRPr="00DA359F">
          <w:rPr>
            <w:rStyle w:val="TextoNormalCaracter"/>
          </w:rPr>
          <w:t>128/2023</w:t>
        </w:r>
      </w:hyperlink>
      <w:r>
        <w:t>, VP.</w:t>
      </w:r>
    </w:p>
    <w:p w14:paraId="0267FA82" w14:textId="1FF001C8" w:rsidR="00DA359F" w:rsidRDefault="00DA359F" w:rsidP="00DA359F">
      <w:pPr>
        <w:pStyle w:val="SangriaFrancesaArticulo"/>
      </w:pPr>
      <w:r w:rsidRPr="00DA359F">
        <w:rPr>
          <w:rStyle w:val="TextoNormalNegritaCaracter"/>
        </w:rPr>
        <w:t>Capítulo II.</w:t>
      </w:r>
      <w:r w:rsidRPr="00DA359F">
        <w:rPr>
          <w:rStyle w:val="TextoNormalCaracter"/>
        </w:rPr>
        <w:t>-</w:t>
      </w:r>
      <w:r>
        <w:t xml:space="preserve"> Sentencia </w:t>
      </w:r>
      <w:hyperlink w:anchor="SENTENCIA_2023_167" w:history="1">
        <w:r w:rsidRPr="00DA359F">
          <w:rPr>
            <w:rStyle w:val="TextoNormalCaracter"/>
          </w:rPr>
          <w:t>167/2023</w:t>
        </w:r>
      </w:hyperlink>
      <w:r>
        <w:t>, f. 5.</w:t>
      </w:r>
    </w:p>
    <w:p w14:paraId="53E19680" w14:textId="3E6DC040" w:rsidR="00DA359F" w:rsidRDefault="00DA359F" w:rsidP="00DA359F">
      <w:pPr>
        <w:pStyle w:val="SangriaFrancesaArticulo"/>
      </w:pPr>
      <w:r w:rsidRPr="00DA359F">
        <w:rPr>
          <w:rStyle w:val="TextoNormalNegritaCaracter"/>
        </w:rPr>
        <w:t>Preámbulo.</w:t>
      </w:r>
      <w:r w:rsidRPr="00DA359F">
        <w:rPr>
          <w:rStyle w:val="TextoNormalCaracter"/>
        </w:rPr>
        <w:t>-</w:t>
      </w:r>
      <w:r>
        <w:t xml:space="preserve"> Sentencia </w:t>
      </w:r>
      <w:hyperlink w:anchor="SENTENCIA_2023_149" w:history="1">
        <w:r w:rsidRPr="00DA359F">
          <w:rPr>
            <w:rStyle w:val="TextoNormalCaracter"/>
          </w:rPr>
          <w:t>149/2023</w:t>
        </w:r>
      </w:hyperlink>
      <w:r>
        <w:t>, VP.</w:t>
      </w:r>
    </w:p>
    <w:p w14:paraId="2E2ACF1D" w14:textId="3061E805" w:rsidR="00DA359F" w:rsidRDefault="00DA359F" w:rsidP="00DA359F">
      <w:pPr>
        <w:pStyle w:val="SangriaFrancesaArticulo"/>
      </w:pPr>
      <w:r w:rsidRPr="00DA359F">
        <w:rPr>
          <w:rStyle w:val="TextoNormalNegritaCaracter"/>
        </w:rPr>
        <w:t>Artículo 1.</w:t>
      </w:r>
      <w:r w:rsidRPr="00DA359F">
        <w:rPr>
          <w:rStyle w:val="TextoNormalCaracter"/>
        </w:rPr>
        <w:t>-</w:t>
      </w:r>
      <w:r>
        <w:t xml:space="preserve"> Sentencias </w:t>
      </w:r>
      <w:hyperlink w:anchor="SENTENCIA_2023_79" w:history="1">
        <w:r w:rsidRPr="00DA359F">
          <w:rPr>
            <w:rStyle w:val="TextoNormalCaracter"/>
          </w:rPr>
          <w:t>79/2023</w:t>
        </w:r>
      </w:hyperlink>
      <w:r>
        <w:t xml:space="preserve">, f. 4; </w:t>
      </w:r>
      <w:hyperlink w:anchor="SENTENCIA_2023_95" w:history="1">
        <w:r w:rsidRPr="00DA359F">
          <w:rPr>
            <w:rStyle w:val="TextoNormalCaracter"/>
          </w:rPr>
          <w:t>95/2023</w:t>
        </w:r>
      </w:hyperlink>
      <w:r>
        <w:t xml:space="preserve">, f. 4; </w:t>
      </w:r>
      <w:hyperlink w:anchor="SENTENCIA_2023_128" w:history="1">
        <w:r w:rsidRPr="00DA359F">
          <w:rPr>
            <w:rStyle w:val="TextoNormalCaracter"/>
          </w:rPr>
          <w:t>128/2023</w:t>
        </w:r>
      </w:hyperlink>
      <w:r>
        <w:t xml:space="preserve">, VP; </w:t>
      </w:r>
      <w:hyperlink w:anchor="SENTENCIA_2023_149" w:history="1">
        <w:r w:rsidRPr="00DA359F">
          <w:rPr>
            <w:rStyle w:val="TextoNormalCaracter"/>
          </w:rPr>
          <w:t>149/2023</w:t>
        </w:r>
      </w:hyperlink>
      <w:r>
        <w:t xml:space="preserve">, VP; </w:t>
      </w:r>
      <w:hyperlink w:anchor="SENTENCIA_2023_167" w:history="1">
        <w:r w:rsidRPr="00DA359F">
          <w:rPr>
            <w:rStyle w:val="TextoNormalCaracter"/>
          </w:rPr>
          <w:t>167/2023</w:t>
        </w:r>
      </w:hyperlink>
      <w:r>
        <w:t>, f. 4.</w:t>
      </w:r>
    </w:p>
    <w:p w14:paraId="059B0074" w14:textId="0393F22C" w:rsidR="00DA359F" w:rsidRDefault="00DA359F" w:rsidP="00DA359F">
      <w:pPr>
        <w:pStyle w:val="SangriaFrancesaArticulo"/>
      </w:pPr>
      <w:r w:rsidRPr="00DA359F">
        <w:rPr>
          <w:rStyle w:val="TextoNormalNegritaCaracter"/>
        </w:rPr>
        <w:t>Artículo 1.1.</w:t>
      </w:r>
      <w:r w:rsidRPr="00DA359F">
        <w:rPr>
          <w:rStyle w:val="TextoNormalCaracter"/>
        </w:rPr>
        <w:t>-</w:t>
      </w:r>
      <w:r>
        <w:t xml:space="preserve"> Sentencias </w:t>
      </w:r>
      <w:hyperlink w:anchor="SENTENCIA_2023_79" w:history="1">
        <w:r w:rsidRPr="00DA359F">
          <w:rPr>
            <w:rStyle w:val="TextoNormalCaracter"/>
          </w:rPr>
          <w:t>79/2023</w:t>
        </w:r>
      </w:hyperlink>
      <w:r>
        <w:t xml:space="preserve">, ff. 2, 3; </w:t>
      </w:r>
      <w:hyperlink w:anchor="SENTENCIA_2023_83" w:history="1">
        <w:r w:rsidRPr="00DA359F">
          <w:rPr>
            <w:rStyle w:val="TextoNormalCaracter"/>
          </w:rPr>
          <w:t>83/2023</w:t>
        </w:r>
      </w:hyperlink>
      <w:r>
        <w:t xml:space="preserve">, VP I; </w:t>
      </w:r>
      <w:hyperlink w:anchor="SENTENCIA_2023_89" w:history="1">
        <w:r w:rsidRPr="00DA359F">
          <w:rPr>
            <w:rStyle w:val="TextoNormalCaracter"/>
          </w:rPr>
          <w:t>89/2023</w:t>
        </w:r>
      </w:hyperlink>
      <w:r>
        <w:t xml:space="preserve">, VP I; </w:t>
      </w:r>
      <w:hyperlink w:anchor="SENTENCIA_2023_93" w:history="1">
        <w:r w:rsidRPr="00DA359F">
          <w:rPr>
            <w:rStyle w:val="TextoNormalCaracter"/>
          </w:rPr>
          <w:t>93/2023</w:t>
        </w:r>
      </w:hyperlink>
      <w:r>
        <w:t xml:space="preserve">, f. 4; </w:t>
      </w:r>
      <w:hyperlink w:anchor="SENTENCIA_2023_94" w:history="1">
        <w:r w:rsidRPr="00DA359F">
          <w:rPr>
            <w:rStyle w:val="TextoNormalCaracter"/>
          </w:rPr>
          <w:t>94/2023</w:t>
        </w:r>
      </w:hyperlink>
      <w:r>
        <w:t xml:space="preserve">, ff. 3, 6, VP III; </w:t>
      </w:r>
      <w:hyperlink w:anchor="SENTENCIA_2023_126" w:history="1">
        <w:r w:rsidRPr="00DA359F">
          <w:rPr>
            <w:rStyle w:val="TextoNormalCaracter"/>
          </w:rPr>
          <w:t>126/2023</w:t>
        </w:r>
      </w:hyperlink>
      <w:r>
        <w:t xml:space="preserve">, f. 3; </w:t>
      </w:r>
      <w:hyperlink w:anchor="SENTENCIA_2023_128" w:history="1">
        <w:r w:rsidRPr="00DA359F">
          <w:rPr>
            <w:rStyle w:val="TextoNormalCaracter"/>
          </w:rPr>
          <w:t>128/2023</w:t>
        </w:r>
      </w:hyperlink>
      <w:r>
        <w:t xml:space="preserve">, VP; </w:t>
      </w:r>
      <w:hyperlink w:anchor="SENTENCIA_2023_136" w:history="1">
        <w:r w:rsidRPr="00DA359F">
          <w:rPr>
            <w:rStyle w:val="TextoNormalCaracter"/>
          </w:rPr>
          <w:t>136/2023</w:t>
        </w:r>
      </w:hyperlink>
      <w:r>
        <w:t xml:space="preserve">, f. 5; </w:t>
      </w:r>
      <w:hyperlink w:anchor="SENTENCIA_2023_144" w:history="1">
        <w:r w:rsidRPr="00DA359F">
          <w:rPr>
            <w:rStyle w:val="TextoNormalCaracter"/>
          </w:rPr>
          <w:t>144/2023</w:t>
        </w:r>
      </w:hyperlink>
      <w:r>
        <w:t xml:space="preserve">, VP; </w:t>
      </w:r>
      <w:hyperlink w:anchor="SENTENCIA_2023_148" w:history="1">
        <w:r w:rsidRPr="00DA359F">
          <w:rPr>
            <w:rStyle w:val="TextoNormalCaracter"/>
          </w:rPr>
          <w:t>148/2023</w:t>
        </w:r>
      </w:hyperlink>
      <w:r>
        <w:t xml:space="preserve">, f. 4; </w:t>
      </w:r>
      <w:hyperlink w:anchor="SENTENCIA_2023_149" w:history="1">
        <w:r w:rsidRPr="00DA359F">
          <w:rPr>
            <w:rStyle w:val="TextoNormalCaracter"/>
          </w:rPr>
          <w:t>149/2023</w:t>
        </w:r>
      </w:hyperlink>
      <w:r>
        <w:t xml:space="preserve">, VP; </w:t>
      </w:r>
      <w:hyperlink w:anchor="SENTENCIA_2023_165" w:history="1">
        <w:r w:rsidRPr="00DA359F">
          <w:rPr>
            <w:rStyle w:val="TextoNormalCaracter"/>
          </w:rPr>
          <w:t>165/2023</w:t>
        </w:r>
      </w:hyperlink>
      <w:r>
        <w:t xml:space="preserve">, VP I; </w:t>
      </w:r>
      <w:hyperlink w:anchor="SENTENCIA_2023_170" w:history="1">
        <w:r w:rsidRPr="00DA359F">
          <w:rPr>
            <w:rStyle w:val="TextoNormalCaracter"/>
          </w:rPr>
          <w:t>170/2023</w:t>
        </w:r>
      </w:hyperlink>
      <w:r>
        <w:t xml:space="preserve">, VP; </w:t>
      </w:r>
      <w:hyperlink w:anchor="SENTENCIA_2023_171" w:history="1">
        <w:r w:rsidRPr="00DA359F">
          <w:rPr>
            <w:rStyle w:val="TextoNormalCaracter"/>
          </w:rPr>
          <w:t>171/2023</w:t>
        </w:r>
      </w:hyperlink>
      <w:r>
        <w:t xml:space="preserve">, VP; </w:t>
      </w:r>
      <w:hyperlink w:anchor="SENTENCIA_2023_189" w:history="1">
        <w:r w:rsidRPr="00DA359F">
          <w:rPr>
            <w:rStyle w:val="TextoNormalCaracter"/>
          </w:rPr>
          <w:t>189/2023</w:t>
        </w:r>
      </w:hyperlink>
      <w:r>
        <w:t xml:space="preserve">, VP; </w:t>
      </w:r>
      <w:hyperlink w:anchor="SENTENCIA_2023_190" w:history="1">
        <w:r w:rsidRPr="00DA359F">
          <w:rPr>
            <w:rStyle w:val="TextoNormalCaracter"/>
          </w:rPr>
          <w:t>190/2023</w:t>
        </w:r>
      </w:hyperlink>
      <w:r>
        <w:t>, VP.</w:t>
      </w:r>
    </w:p>
    <w:p w14:paraId="54712EC6" w14:textId="0FF128B4" w:rsidR="00DA359F" w:rsidRDefault="00DA359F" w:rsidP="00DA359F">
      <w:pPr>
        <w:pStyle w:val="SangriaIzquierdaArticulo"/>
      </w:pPr>
      <w:r>
        <w:t xml:space="preserve">Autos </w:t>
      </w:r>
      <w:hyperlink w:anchor="AUTO_2023_432" w:history="1">
        <w:r w:rsidRPr="00DA359F">
          <w:rPr>
            <w:rStyle w:val="TextoNormalCaracter"/>
          </w:rPr>
          <w:t>432/2023</w:t>
        </w:r>
      </w:hyperlink>
      <w:r>
        <w:t xml:space="preserve">, f. 2; </w:t>
      </w:r>
      <w:hyperlink w:anchor="AUTO_2023_484" w:history="1">
        <w:r w:rsidRPr="00DA359F">
          <w:rPr>
            <w:rStyle w:val="TextoNormalCaracter"/>
          </w:rPr>
          <w:t>484/2023</w:t>
        </w:r>
      </w:hyperlink>
      <w:r>
        <w:t>, f. 3.</w:t>
      </w:r>
    </w:p>
    <w:p w14:paraId="3272DA0A" w14:textId="2270DB95" w:rsidR="00DA359F" w:rsidRDefault="00DA359F" w:rsidP="00DA359F">
      <w:pPr>
        <w:pStyle w:val="SangriaFrancesaArticulo"/>
      </w:pPr>
      <w:r w:rsidRPr="00DA359F">
        <w:rPr>
          <w:rStyle w:val="TextoNormalNegritaCaracter"/>
        </w:rPr>
        <w:t>Artículo 1.2.</w:t>
      </w:r>
      <w:r w:rsidRPr="00DA359F">
        <w:rPr>
          <w:rStyle w:val="TextoNormalCaracter"/>
        </w:rPr>
        <w:t>-</w:t>
      </w:r>
      <w:r>
        <w:t xml:space="preserve"> Sentencia </w:t>
      </w:r>
      <w:hyperlink w:anchor="SENTENCIA_2023_165" w:history="1">
        <w:r w:rsidRPr="00DA359F">
          <w:rPr>
            <w:rStyle w:val="TextoNormalCaracter"/>
          </w:rPr>
          <w:t>165/2023</w:t>
        </w:r>
      </w:hyperlink>
      <w:r>
        <w:t>, VP I.</w:t>
      </w:r>
    </w:p>
    <w:p w14:paraId="7FC2F979" w14:textId="2449B3F2" w:rsidR="00DA359F" w:rsidRDefault="00DA359F" w:rsidP="00DA359F">
      <w:pPr>
        <w:pStyle w:val="SangriaFrancesaArticulo"/>
      </w:pPr>
      <w:r w:rsidRPr="00DA359F">
        <w:rPr>
          <w:rStyle w:val="TextoNormalNegritaCaracter"/>
        </w:rPr>
        <w:t>Artículo 1.3.</w:t>
      </w:r>
      <w:r w:rsidRPr="00DA359F">
        <w:rPr>
          <w:rStyle w:val="TextoNormalCaracter"/>
        </w:rPr>
        <w:t>-</w:t>
      </w:r>
      <w:r>
        <w:t xml:space="preserve"> Sentencias </w:t>
      </w:r>
      <w:hyperlink w:anchor="SENTENCIA_2023_128" w:history="1">
        <w:r w:rsidRPr="00DA359F">
          <w:rPr>
            <w:rStyle w:val="TextoNormalCaracter"/>
          </w:rPr>
          <w:t>128/2023</w:t>
        </w:r>
      </w:hyperlink>
      <w:r>
        <w:t xml:space="preserve">, VP; </w:t>
      </w:r>
      <w:hyperlink w:anchor="SENTENCIA_2023_144" w:history="1">
        <w:r w:rsidRPr="00DA359F">
          <w:rPr>
            <w:rStyle w:val="TextoNormalCaracter"/>
          </w:rPr>
          <w:t>144/2023</w:t>
        </w:r>
      </w:hyperlink>
      <w:r>
        <w:t>, VP.</w:t>
      </w:r>
    </w:p>
    <w:p w14:paraId="5C6D7269" w14:textId="31C2C831" w:rsidR="00DA359F" w:rsidRDefault="00DA359F" w:rsidP="00DA359F">
      <w:pPr>
        <w:pStyle w:val="SangriaFrancesaArticulo"/>
      </w:pPr>
      <w:r w:rsidRPr="00DA359F">
        <w:rPr>
          <w:rStyle w:val="TextoNormalNegritaCaracter"/>
        </w:rPr>
        <w:t>Artículo 2.</w:t>
      </w:r>
      <w:r w:rsidRPr="00DA359F">
        <w:rPr>
          <w:rStyle w:val="TextoNormalCaracter"/>
        </w:rPr>
        <w:t>-</w:t>
      </w:r>
      <w:r>
        <w:t xml:space="preserve"> Sentencias </w:t>
      </w:r>
      <w:hyperlink w:anchor="SENTENCIA_2023_124" w:history="1">
        <w:r w:rsidRPr="00DA359F">
          <w:rPr>
            <w:rStyle w:val="TextoNormalCaracter"/>
          </w:rPr>
          <w:t>124/2023</w:t>
        </w:r>
      </w:hyperlink>
      <w:r>
        <w:t xml:space="preserve">, f. 7; </w:t>
      </w:r>
      <w:hyperlink w:anchor="SENTENCIA_2023_149" w:history="1">
        <w:r w:rsidRPr="00DA359F">
          <w:rPr>
            <w:rStyle w:val="TextoNormalCaracter"/>
          </w:rPr>
          <w:t>149/2023</w:t>
        </w:r>
      </w:hyperlink>
      <w:r>
        <w:t xml:space="preserve">, VP; </w:t>
      </w:r>
      <w:hyperlink w:anchor="SENTENCIA_2023_170" w:history="1">
        <w:r w:rsidRPr="00DA359F">
          <w:rPr>
            <w:rStyle w:val="TextoNormalCaracter"/>
          </w:rPr>
          <w:t>170/2023</w:t>
        </w:r>
      </w:hyperlink>
      <w:r>
        <w:t xml:space="preserve">, VP; </w:t>
      </w:r>
      <w:hyperlink w:anchor="SENTENCIA_2023_171" w:history="1">
        <w:r w:rsidRPr="00DA359F">
          <w:rPr>
            <w:rStyle w:val="TextoNormalCaracter"/>
          </w:rPr>
          <w:t>171/2023</w:t>
        </w:r>
      </w:hyperlink>
      <w:r>
        <w:t xml:space="preserve">, VP; </w:t>
      </w:r>
      <w:hyperlink w:anchor="SENTENCIA_2023_189" w:history="1">
        <w:r w:rsidRPr="00DA359F">
          <w:rPr>
            <w:rStyle w:val="TextoNormalCaracter"/>
          </w:rPr>
          <w:t>189/2023</w:t>
        </w:r>
      </w:hyperlink>
      <w:r>
        <w:t xml:space="preserve">, VP; </w:t>
      </w:r>
      <w:hyperlink w:anchor="SENTENCIA_2023_190" w:history="1">
        <w:r w:rsidRPr="00DA359F">
          <w:rPr>
            <w:rStyle w:val="TextoNormalCaracter"/>
          </w:rPr>
          <w:t>190/2023</w:t>
        </w:r>
      </w:hyperlink>
      <w:r>
        <w:t>, VP.</w:t>
      </w:r>
    </w:p>
    <w:p w14:paraId="7A6D1FD6" w14:textId="4F0022A0" w:rsidR="00DA359F" w:rsidRDefault="00DA359F" w:rsidP="00DA359F">
      <w:pPr>
        <w:pStyle w:val="SangriaFrancesaArticulo"/>
      </w:pPr>
      <w:r w:rsidRPr="00DA359F">
        <w:rPr>
          <w:rStyle w:val="TextoNormalNegritaCaracter"/>
        </w:rPr>
        <w:t>Artículo 3.</w:t>
      </w:r>
      <w:r w:rsidRPr="00DA359F">
        <w:rPr>
          <w:rStyle w:val="TextoNormalCaracter"/>
        </w:rPr>
        <w:t>-</w:t>
      </w:r>
      <w:r>
        <w:t xml:space="preserve"> Sentencia </w:t>
      </w:r>
      <w:hyperlink w:anchor="SENTENCIA_2023_85" w:history="1">
        <w:r w:rsidRPr="00DA359F">
          <w:rPr>
            <w:rStyle w:val="TextoNormalCaracter"/>
          </w:rPr>
          <w:t>85/2023</w:t>
        </w:r>
      </w:hyperlink>
      <w:r>
        <w:t>, ff. 1 a 4, VP.</w:t>
      </w:r>
    </w:p>
    <w:p w14:paraId="5FD0A419" w14:textId="005DA4DE" w:rsidR="00DA359F" w:rsidRDefault="00DA359F" w:rsidP="00DA359F">
      <w:pPr>
        <w:pStyle w:val="SangriaFrancesaArticulo"/>
      </w:pPr>
      <w:r w:rsidRPr="00DA359F">
        <w:rPr>
          <w:rStyle w:val="TextoNormalNegritaCaracter"/>
        </w:rPr>
        <w:t>Artículo 3.1.</w:t>
      </w:r>
      <w:r w:rsidRPr="00DA359F">
        <w:rPr>
          <w:rStyle w:val="TextoNormalCaracter"/>
        </w:rPr>
        <w:t>-</w:t>
      </w:r>
      <w:r>
        <w:t xml:space="preserve"> Sentencia </w:t>
      </w:r>
      <w:hyperlink w:anchor="SENTENCIA_2023_85" w:history="1">
        <w:r w:rsidRPr="00DA359F">
          <w:rPr>
            <w:rStyle w:val="TextoNormalCaracter"/>
          </w:rPr>
          <w:t>85/2023</w:t>
        </w:r>
      </w:hyperlink>
      <w:r>
        <w:t>, ff. 1, 4, 5, VP.</w:t>
      </w:r>
    </w:p>
    <w:p w14:paraId="4B3B0FFC" w14:textId="22743103" w:rsidR="00DA359F" w:rsidRDefault="00DA359F" w:rsidP="00DA359F">
      <w:pPr>
        <w:pStyle w:val="SangriaFrancesaArticulo"/>
      </w:pPr>
      <w:r w:rsidRPr="00DA359F">
        <w:rPr>
          <w:rStyle w:val="TextoNormalNegritaCaracter"/>
        </w:rPr>
        <w:t>Artículo 3.2.</w:t>
      </w:r>
      <w:r w:rsidRPr="00DA359F">
        <w:rPr>
          <w:rStyle w:val="TextoNormalCaracter"/>
        </w:rPr>
        <w:t>-</w:t>
      </w:r>
      <w:r>
        <w:t xml:space="preserve"> Sentencia </w:t>
      </w:r>
      <w:hyperlink w:anchor="SENTENCIA_2023_85" w:history="1">
        <w:r w:rsidRPr="00DA359F">
          <w:rPr>
            <w:rStyle w:val="TextoNormalCaracter"/>
          </w:rPr>
          <w:t>85/2023</w:t>
        </w:r>
      </w:hyperlink>
      <w:r>
        <w:t>, f. 3.</w:t>
      </w:r>
    </w:p>
    <w:p w14:paraId="4A6D9D07" w14:textId="56A97C33" w:rsidR="00DA359F" w:rsidRDefault="00DA359F" w:rsidP="00DA359F">
      <w:pPr>
        <w:pStyle w:val="SangriaFrancesaArticulo"/>
      </w:pPr>
      <w:r w:rsidRPr="00DA359F">
        <w:rPr>
          <w:rStyle w:val="TextoNormalNegritaCaracter"/>
        </w:rPr>
        <w:t>Artículo 3.3.</w:t>
      </w:r>
      <w:r w:rsidRPr="00DA359F">
        <w:rPr>
          <w:rStyle w:val="TextoNormalCaracter"/>
        </w:rPr>
        <w:t>-</w:t>
      </w:r>
      <w:r>
        <w:t xml:space="preserve"> Sentencia </w:t>
      </w:r>
      <w:hyperlink w:anchor="SENTENCIA_2023_85" w:history="1">
        <w:r w:rsidRPr="00DA359F">
          <w:rPr>
            <w:rStyle w:val="TextoNormalCaracter"/>
          </w:rPr>
          <w:t>85/2023</w:t>
        </w:r>
      </w:hyperlink>
      <w:r>
        <w:t>, f. 3.</w:t>
      </w:r>
    </w:p>
    <w:p w14:paraId="763EE921" w14:textId="130E0831" w:rsidR="00DA359F" w:rsidRDefault="00DA359F" w:rsidP="00DA359F">
      <w:pPr>
        <w:pStyle w:val="SangriaFrancesaArticulo"/>
      </w:pPr>
      <w:r w:rsidRPr="00DA359F">
        <w:rPr>
          <w:rStyle w:val="TextoNormalNegritaCaracter"/>
        </w:rPr>
        <w:t>Artículo 4.</w:t>
      </w:r>
      <w:r w:rsidRPr="00DA359F">
        <w:rPr>
          <w:rStyle w:val="TextoNormalCaracter"/>
        </w:rPr>
        <w:t>-</w:t>
      </w:r>
      <w:r>
        <w:t xml:space="preserve"> Sentencia </w:t>
      </w:r>
      <w:hyperlink w:anchor="SENTENCIA_2023_78" w:history="1">
        <w:r w:rsidRPr="00DA359F">
          <w:rPr>
            <w:rStyle w:val="TextoNormalCaracter"/>
          </w:rPr>
          <w:t>78/2023</w:t>
        </w:r>
      </w:hyperlink>
      <w:r>
        <w:t>, f. 2.</w:t>
      </w:r>
    </w:p>
    <w:p w14:paraId="2CD1B9A1" w14:textId="07DF4836" w:rsidR="00DA359F" w:rsidRDefault="00DA359F" w:rsidP="00DA359F">
      <w:pPr>
        <w:pStyle w:val="SangriaFrancesaArticulo"/>
      </w:pPr>
      <w:r w:rsidRPr="00DA359F">
        <w:rPr>
          <w:rStyle w:val="TextoNormalNegritaCaracter"/>
        </w:rPr>
        <w:t>Artículo 7.</w:t>
      </w:r>
      <w:r w:rsidRPr="00DA359F">
        <w:rPr>
          <w:rStyle w:val="TextoNormalCaracter"/>
        </w:rPr>
        <w:t>-</w:t>
      </w:r>
      <w:r>
        <w:t xml:space="preserve"> Sentencia </w:t>
      </w:r>
      <w:hyperlink w:anchor="SENTENCIA_2023_144" w:history="1">
        <w:r w:rsidRPr="00DA359F">
          <w:rPr>
            <w:rStyle w:val="TextoNormalCaracter"/>
          </w:rPr>
          <w:t>144/2023</w:t>
        </w:r>
      </w:hyperlink>
      <w:r>
        <w:t>, f. 5, VP.</w:t>
      </w:r>
    </w:p>
    <w:p w14:paraId="09316536" w14:textId="6FABDA7F" w:rsidR="00DA359F" w:rsidRDefault="00DA359F" w:rsidP="00DA359F">
      <w:pPr>
        <w:pStyle w:val="SangriaFrancesaArticulo"/>
      </w:pPr>
      <w:r w:rsidRPr="00DA359F">
        <w:rPr>
          <w:rStyle w:val="TextoNormalNegritaCaracter"/>
        </w:rPr>
        <w:t>Artículo 9.1.</w:t>
      </w:r>
      <w:r w:rsidRPr="00DA359F">
        <w:rPr>
          <w:rStyle w:val="TextoNormalCaracter"/>
        </w:rPr>
        <w:t>-</w:t>
      </w:r>
      <w:r>
        <w:t xml:space="preserve"> Sentencias </w:t>
      </w:r>
      <w:hyperlink w:anchor="SENTENCIA_2023_89" w:history="1">
        <w:r w:rsidRPr="00DA359F">
          <w:rPr>
            <w:rStyle w:val="TextoNormalCaracter"/>
          </w:rPr>
          <w:t>89/2023</w:t>
        </w:r>
      </w:hyperlink>
      <w:r>
        <w:t xml:space="preserve">, VP II; </w:t>
      </w:r>
      <w:hyperlink w:anchor="SENTENCIA_2023_101" w:history="1">
        <w:r w:rsidRPr="00DA359F">
          <w:rPr>
            <w:rStyle w:val="TextoNormalCaracter"/>
          </w:rPr>
          <w:t>101/2023</w:t>
        </w:r>
      </w:hyperlink>
      <w:r>
        <w:t xml:space="preserve">, f. 1; </w:t>
      </w:r>
      <w:hyperlink w:anchor="SENTENCIA_2023_128" w:history="1">
        <w:r w:rsidRPr="00DA359F">
          <w:rPr>
            <w:rStyle w:val="TextoNormalCaracter"/>
          </w:rPr>
          <w:t>128/2023</w:t>
        </w:r>
      </w:hyperlink>
      <w:r>
        <w:t xml:space="preserve">, VP; </w:t>
      </w:r>
      <w:hyperlink w:anchor="SENTENCIA_2023_149" w:history="1">
        <w:r w:rsidRPr="00DA359F">
          <w:rPr>
            <w:rStyle w:val="TextoNormalCaracter"/>
          </w:rPr>
          <w:t>149/2023</w:t>
        </w:r>
      </w:hyperlink>
      <w:r>
        <w:t>, VP.</w:t>
      </w:r>
    </w:p>
    <w:p w14:paraId="172C6360" w14:textId="02CB45F7" w:rsidR="00DA359F" w:rsidRDefault="00DA359F" w:rsidP="00DA359F">
      <w:pPr>
        <w:pStyle w:val="SangriaFrancesaArticulo"/>
      </w:pPr>
      <w:r w:rsidRPr="00DA359F">
        <w:rPr>
          <w:rStyle w:val="TextoNormalNegritaCaracter"/>
        </w:rPr>
        <w:t>Artículo 9.2.</w:t>
      </w:r>
      <w:r w:rsidRPr="00DA359F">
        <w:rPr>
          <w:rStyle w:val="TextoNormalCaracter"/>
        </w:rPr>
        <w:t>-</w:t>
      </w:r>
      <w:r>
        <w:t xml:space="preserve"> Sentencias </w:t>
      </w:r>
      <w:hyperlink w:anchor="SENTENCIA_2023_144" w:history="1">
        <w:r w:rsidRPr="00DA359F">
          <w:rPr>
            <w:rStyle w:val="TextoNormalCaracter"/>
          </w:rPr>
          <w:t>144/2023</w:t>
        </w:r>
      </w:hyperlink>
      <w:r>
        <w:t xml:space="preserve">, f. 5, VP; </w:t>
      </w:r>
      <w:hyperlink w:anchor="SENTENCIA_2023_149" w:history="1">
        <w:r w:rsidRPr="00DA359F">
          <w:rPr>
            <w:rStyle w:val="TextoNormalCaracter"/>
          </w:rPr>
          <w:t>149/2023</w:t>
        </w:r>
      </w:hyperlink>
      <w:r>
        <w:t>, VP.</w:t>
      </w:r>
    </w:p>
    <w:p w14:paraId="454F1B91" w14:textId="6BCA2421" w:rsidR="00DA359F" w:rsidRDefault="00DA359F" w:rsidP="00DA359F">
      <w:pPr>
        <w:pStyle w:val="SangriaFrancesaArticulo"/>
      </w:pPr>
      <w:r w:rsidRPr="00DA359F">
        <w:rPr>
          <w:rStyle w:val="TextoNormalNegritaCaracter"/>
        </w:rPr>
        <w:t>Artículo 9.3.</w:t>
      </w:r>
      <w:r w:rsidRPr="00DA359F">
        <w:rPr>
          <w:rStyle w:val="TextoNormalCaracter"/>
        </w:rPr>
        <w:t>-</w:t>
      </w:r>
      <w:r>
        <w:t xml:space="preserve"> Sentencias </w:t>
      </w:r>
      <w:hyperlink w:anchor="SENTENCIA_2023_85" w:history="1">
        <w:r w:rsidRPr="00DA359F">
          <w:rPr>
            <w:rStyle w:val="TextoNormalCaracter"/>
          </w:rPr>
          <w:t>85/2023</w:t>
        </w:r>
      </w:hyperlink>
      <w:r>
        <w:t xml:space="preserve">, ff. 1, 2; </w:t>
      </w:r>
      <w:hyperlink w:anchor="SENTENCIA_2023_86" w:history="1">
        <w:r w:rsidRPr="00DA359F">
          <w:rPr>
            <w:rStyle w:val="TextoNormalCaracter"/>
          </w:rPr>
          <w:t>86/2023</w:t>
        </w:r>
      </w:hyperlink>
      <w:r>
        <w:t xml:space="preserve">, f. 3; </w:t>
      </w:r>
      <w:hyperlink w:anchor="SENTENCIA_2023_87" w:history="1">
        <w:r w:rsidRPr="00DA359F">
          <w:rPr>
            <w:rStyle w:val="TextoNormalCaracter"/>
          </w:rPr>
          <w:t>87/2023</w:t>
        </w:r>
      </w:hyperlink>
      <w:r>
        <w:t xml:space="preserve">, f. 1; </w:t>
      </w:r>
      <w:hyperlink w:anchor="SENTENCIA_2023_89" w:history="1">
        <w:r w:rsidRPr="00DA359F">
          <w:rPr>
            <w:rStyle w:val="TextoNormalCaracter"/>
          </w:rPr>
          <w:t>89/2023</w:t>
        </w:r>
      </w:hyperlink>
      <w:r>
        <w:t xml:space="preserve">, f. 2; </w:t>
      </w:r>
      <w:hyperlink w:anchor="SENTENCIA_2023_90" w:history="1">
        <w:r w:rsidRPr="00DA359F">
          <w:rPr>
            <w:rStyle w:val="TextoNormalCaracter"/>
          </w:rPr>
          <w:t>90/2023</w:t>
        </w:r>
      </w:hyperlink>
      <w:r>
        <w:t xml:space="preserve">, ff. 1, 3, 5; </w:t>
      </w:r>
      <w:hyperlink w:anchor="SENTENCIA_2023_94" w:history="1">
        <w:r w:rsidRPr="00DA359F">
          <w:rPr>
            <w:rStyle w:val="TextoNormalCaracter"/>
          </w:rPr>
          <w:t>94/2023</w:t>
        </w:r>
      </w:hyperlink>
      <w:r>
        <w:t xml:space="preserve">, f. 3; </w:t>
      </w:r>
      <w:hyperlink w:anchor="SENTENCIA_2023_101" w:history="1">
        <w:r w:rsidRPr="00DA359F">
          <w:rPr>
            <w:rStyle w:val="TextoNormalCaracter"/>
          </w:rPr>
          <w:t>101/2023</w:t>
        </w:r>
      </w:hyperlink>
      <w:r>
        <w:t xml:space="preserve">, f. 1; </w:t>
      </w:r>
      <w:hyperlink w:anchor="SENTENCIA_2023_128" w:history="1">
        <w:r w:rsidRPr="00DA359F">
          <w:rPr>
            <w:rStyle w:val="TextoNormalCaracter"/>
          </w:rPr>
          <w:t>128/2023</w:t>
        </w:r>
      </w:hyperlink>
      <w:r>
        <w:t xml:space="preserve">, f. 4; </w:t>
      </w:r>
      <w:hyperlink w:anchor="SENTENCIA_2023_134" w:history="1">
        <w:r w:rsidRPr="00DA359F">
          <w:rPr>
            <w:rStyle w:val="TextoNormalCaracter"/>
          </w:rPr>
          <w:t>134/2023</w:t>
        </w:r>
      </w:hyperlink>
      <w:r>
        <w:t xml:space="preserve">, f. 4; </w:t>
      </w:r>
      <w:hyperlink w:anchor="SENTENCIA_2023_146" w:history="1">
        <w:r w:rsidRPr="00DA359F">
          <w:rPr>
            <w:rStyle w:val="TextoNormalCaracter"/>
          </w:rPr>
          <w:t>146/2023</w:t>
        </w:r>
      </w:hyperlink>
      <w:r>
        <w:t xml:space="preserve">, f. 1; </w:t>
      </w:r>
      <w:hyperlink w:anchor="SENTENCIA_2023_149" w:history="1">
        <w:r w:rsidRPr="00DA359F">
          <w:rPr>
            <w:rStyle w:val="TextoNormalCaracter"/>
          </w:rPr>
          <w:t>149/2023</w:t>
        </w:r>
      </w:hyperlink>
      <w:r>
        <w:t xml:space="preserve">, ff. 1, 5, VP; </w:t>
      </w:r>
      <w:hyperlink w:anchor="SENTENCIA_2023_150" w:history="1">
        <w:r w:rsidRPr="00DA359F">
          <w:rPr>
            <w:rStyle w:val="TextoNormalCaracter"/>
          </w:rPr>
          <w:t>150/2023</w:t>
        </w:r>
      </w:hyperlink>
      <w:r>
        <w:t xml:space="preserve">, f. 1; </w:t>
      </w:r>
      <w:hyperlink w:anchor="SENTENCIA_2023_190" w:history="1">
        <w:r w:rsidRPr="00DA359F">
          <w:rPr>
            <w:rStyle w:val="TextoNormalCaracter"/>
          </w:rPr>
          <w:t>190/2023</w:t>
        </w:r>
      </w:hyperlink>
      <w:r>
        <w:t>, ff. 1, 4, VP.</w:t>
      </w:r>
    </w:p>
    <w:p w14:paraId="5F6397EB" w14:textId="2B29AA05" w:rsidR="00DA359F" w:rsidRDefault="00DA359F" w:rsidP="00DA359F">
      <w:pPr>
        <w:pStyle w:val="SangriaIzquierdaArticulo"/>
      </w:pPr>
      <w:r>
        <w:t xml:space="preserve">Autos </w:t>
      </w:r>
      <w:hyperlink w:anchor="AUTO_2023_445" w:history="1">
        <w:r w:rsidRPr="00DA359F">
          <w:rPr>
            <w:rStyle w:val="TextoNormalCaracter"/>
          </w:rPr>
          <w:t>445/2023</w:t>
        </w:r>
      </w:hyperlink>
      <w:r>
        <w:t xml:space="preserve">, f. 1; </w:t>
      </w:r>
      <w:hyperlink w:anchor="AUTO_2023_448" w:history="1">
        <w:r w:rsidRPr="00DA359F">
          <w:rPr>
            <w:rStyle w:val="TextoNormalCaracter"/>
          </w:rPr>
          <w:t>448/2023</w:t>
        </w:r>
      </w:hyperlink>
      <w:r>
        <w:t xml:space="preserve">, f. 3; </w:t>
      </w:r>
      <w:hyperlink w:anchor="AUTO_2023_526" w:history="1">
        <w:r w:rsidRPr="00DA359F">
          <w:rPr>
            <w:rStyle w:val="TextoNormalCaracter"/>
          </w:rPr>
          <w:t>526/2023</w:t>
        </w:r>
      </w:hyperlink>
      <w:r>
        <w:t xml:space="preserve">, f. 1; </w:t>
      </w:r>
      <w:hyperlink w:anchor="AUTO_2023_532" w:history="1">
        <w:r w:rsidRPr="00DA359F">
          <w:rPr>
            <w:rStyle w:val="TextoNormalCaracter"/>
          </w:rPr>
          <w:t>532/2023</w:t>
        </w:r>
      </w:hyperlink>
      <w:r>
        <w:t xml:space="preserve">, ff. 1, 4, 6 a 8; </w:t>
      </w:r>
      <w:hyperlink w:anchor="AUTO_2023_535" w:history="1">
        <w:r w:rsidRPr="00DA359F">
          <w:rPr>
            <w:rStyle w:val="TextoNormalCaracter"/>
          </w:rPr>
          <w:t>535/2023</w:t>
        </w:r>
      </w:hyperlink>
      <w:r>
        <w:t xml:space="preserve">, ff. 1, 4, 6 a 8; </w:t>
      </w:r>
      <w:hyperlink w:anchor="AUTO_2023_603" w:history="1">
        <w:r w:rsidRPr="00DA359F">
          <w:rPr>
            <w:rStyle w:val="TextoNormalCaracter"/>
          </w:rPr>
          <w:t>603/2023</w:t>
        </w:r>
      </w:hyperlink>
      <w:r>
        <w:t xml:space="preserve">, f. 3; </w:t>
      </w:r>
      <w:hyperlink w:anchor="AUTO_2023_669" w:history="1">
        <w:r w:rsidRPr="00DA359F">
          <w:rPr>
            <w:rStyle w:val="TextoNormalCaracter"/>
          </w:rPr>
          <w:t>669/2023</w:t>
        </w:r>
      </w:hyperlink>
      <w:r>
        <w:t>, f. 1.</w:t>
      </w:r>
    </w:p>
    <w:p w14:paraId="6C63709C" w14:textId="18DD04ED" w:rsidR="00DA359F" w:rsidRDefault="00DA359F" w:rsidP="00DA359F">
      <w:pPr>
        <w:pStyle w:val="SangriaFrancesaArticulo"/>
      </w:pPr>
      <w:r w:rsidRPr="00DA359F">
        <w:rPr>
          <w:rStyle w:val="TextoNormalNegritaCaracter"/>
        </w:rPr>
        <w:t>Artículo 9.3</w:t>
      </w:r>
      <w:r>
        <w:t xml:space="preserve"> (interdicción de la arbitrariedad de los poderes públicos)</w:t>
      </w:r>
      <w:r w:rsidRPr="00DA359F">
        <w:rPr>
          <w:rStyle w:val="TextoNormalNegritaCaracter"/>
        </w:rPr>
        <w:t>.</w:t>
      </w:r>
      <w:r w:rsidRPr="00DA359F">
        <w:rPr>
          <w:rStyle w:val="TextoNormalCaracter"/>
        </w:rPr>
        <w:t>-</w:t>
      </w:r>
      <w:r>
        <w:t xml:space="preserve"> Sentencia </w:t>
      </w:r>
      <w:hyperlink w:anchor="SENTENCIA_2023_128" w:history="1">
        <w:r w:rsidRPr="00DA359F">
          <w:rPr>
            <w:rStyle w:val="TextoNormalCaracter"/>
          </w:rPr>
          <w:t>128/2023</w:t>
        </w:r>
      </w:hyperlink>
      <w:r>
        <w:t>, f. 4.</w:t>
      </w:r>
    </w:p>
    <w:p w14:paraId="186B678A" w14:textId="7B08331C" w:rsidR="00DA359F" w:rsidRDefault="00DA359F" w:rsidP="00DA359F">
      <w:pPr>
        <w:pStyle w:val="SangriaFrancesaArticulo"/>
      </w:pPr>
      <w:r w:rsidRPr="00DA359F">
        <w:rPr>
          <w:rStyle w:val="TextoNormalNegritaCaracter"/>
        </w:rPr>
        <w:t>Artículo 9.3</w:t>
      </w:r>
      <w:r>
        <w:t xml:space="preserve"> (seguridad jurídica)</w:t>
      </w:r>
      <w:r w:rsidRPr="00DA359F">
        <w:rPr>
          <w:rStyle w:val="TextoNormalNegritaCaracter"/>
        </w:rPr>
        <w:t>.</w:t>
      </w:r>
      <w:r w:rsidRPr="00DA359F">
        <w:rPr>
          <w:rStyle w:val="TextoNormalCaracter"/>
        </w:rPr>
        <w:t>-</w:t>
      </w:r>
      <w:r>
        <w:t xml:space="preserve"> Sentencias </w:t>
      </w:r>
      <w:hyperlink w:anchor="SENTENCIA_2023_85" w:history="1">
        <w:r w:rsidRPr="00DA359F">
          <w:rPr>
            <w:rStyle w:val="TextoNormalCaracter"/>
          </w:rPr>
          <w:t>85/2023</w:t>
        </w:r>
      </w:hyperlink>
      <w:r>
        <w:t xml:space="preserve">, f. 2; </w:t>
      </w:r>
      <w:hyperlink w:anchor="SENTENCIA_2023_166" w:history="1">
        <w:r w:rsidRPr="00DA359F">
          <w:rPr>
            <w:rStyle w:val="TextoNormalCaracter"/>
          </w:rPr>
          <w:t>166/2023</w:t>
        </w:r>
      </w:hyperlink>
      <w:r>
        <w:t xml:space="preserve">, ff. 1, 8; </w:t>
      </w:r>
      <w:hyperlink w:anchor="SENTENCIA_2023_168" w:history="1">
        <w:r w:rsidRPr="00DA359F">
          <w:rPr>
            <w:rStyle w:val="TextoNormalCaracter"/>
          </w:rPr>
          <w:t>168/2023</w:t>
        </w:r>
      </w:hyperlink>
      <w:r>
        <w:t xml:space="preserve">, ff. 1, 3, 5, 7, 8; </w:t>
      </w:r>
      <w:hyperlink w:anchor="SENTENCIA_2023_170" w:history="1">
        <w:r w:rsidRPr="00DA359F">
          <w:rPr>
            <w:rStyle w:val="TextoNormalCaracter"/>
          </w:rPr>
          <w:t>170/2023</w:t>
        </w:r>
      </w:hyperlink>
      <w:r>
        <w:t xml:space="preserve">, ff. 1, 5, VP; </w:t>
      </w:r>
      <w:hyperlink w:anchor="SENTENCIA_2023_171" w:history="1">
        <w:r w:rsidRPr="00DA359F">
          <w:rPr>
            <w:rStyle w:val="TextoNormalCaracter"/>
          </w:rPr>
          <w:t>171/2023</w:t>
        </w:r>
      </w:hyperlink>
      <w:r>
        <w:t xml:space="preserve">, ff. 1, 4, VP; </w:t>
      </w:r>
      <w:hyperlink w:anchor="SENTENCIA_2023_189" w:history="1">
        <w:r w:rsidRPr="00DA359F">
          <w:rPr>
            <w:rStyle w:val="TextoNormalCaracter"/>
          </w:rPr>
          <w:t>189/2023</w:t>
        </w:r>
      </w:hyperlink>
      <w:r>
        <w:t>, ff. 1, 5, VP.</w:t>
      </w:r>
    </w:p>
    <w:p w14:paraId="0B62CCAC" w14:textId="614AEC53" w:rsidR="00DA359F" w:rsidRDefault="00DA359F" w:rsidP="00DA359F">
      <w:pPr>
        <w:pStyle w:val="SangriaFrancesaArticulo"/>
      </w:pPr>
      <w:r w:rsidRPr="00DA359F">
        <w:rPr>
          <w:rStyle w:val="TextoNormalNegritaCaracter"/>
        </w:rPr>
        <w:t>Artículo 10.</w:t>
      </w:r>
      <w:r w:rsidRPr="00DA359F">
        <w:rPr>
          <w:rStyle w:val="TextoNormalCaracter"/>
        </w:rPr>
        <w:t>-</w:t>
      </w:r>
      <w:r>
        <w:t xml:space="preserve"> Sentencias </w:t>
      </w:r>
      <w:hyperlink w:anchor="SENTENCIA_2023_78" w:history="1">
        <w:r w:rsidRPr="00DA359F">
          <w:rPr>
            <w:rStyle w:val="TextoNormalCaracter"/>
          </w:rPr>
          <w:t>78/2023</w:t>
        </w:r>
      </w:hyperlink>
      <w:r>
        <w:t xml:space="preserve">, VP II; </w:t>
      </w:r>
      <w:hyperlink w:anchor="SENTENCIA_2023_94" w:history="1">
        <w:r w:rsidRPr="00DA359F">
          <w:rPr>
            <w:rStyle w:val="TextoNormalCaracter"/>
          </w:rPr>
          <w:t>94/2023</w:t>
        </w:r>
      </w:hyperlink>
      <w:r>
        <w:t xml:space="preserve">, f. 3; </w:t>
      </w:r>
      <w:hyperlink w:anchor="SENTENCIA_2023_163" w:history="1">
        <w:r w:rsidRPr="00DA359F">
          <w:rPr>
            <w:rStyle w:val="TextoNormalCaracter"/>
          </w:rPr>
          <w:t>163/2023</w:t>
        </w:r>
      </w:hyperlink>
      <w:r>
        <w:t xml:space="preserve">, f. único; </w:t>
      </w:r>
      <w:hyperlink w:anchor="SENTENCIA_2023_179" w:history="1">
        <w:r w:rsidRPr="00DA359F">
          <w:rPr>
            <w:rStyle w:val="TextoNormalCaracter"/>
          </w:rPr>
          <w:t>179/2023</w:t>
        </w:r>
      </w:hyperlink>
      <w:r>
        <w:t>, f. 2.</w:t>
      </w:r>
    </w:p>
    <w:p w14:paraId="3295BB13" w14:textId="16D3252D" w:rsidR="00DA359F" w:rsidRDefault="00DA359F" w:rsidP="00DA359F">
      <w:pPr>
        <w:pStyle w:val="SangriaFrancesaArticulo"/>
      </w:pPr>
      <w:r w:rsidRPr="00DA359F">
        <w:rPr>
          <w:rStyle w:val="TextoNormalNegritaCaracter"/>
        </w:rPr>
        <w:t>Artículo 10.1.</w:t>
      </w:r>
      <w:r w:rsidRPr="00DA359F">
        <w:rPr>
          <w:rStyle w:val="TextoNormalCaracter"/>
        </w:rPr>
        <w:t>-</w:t>
      </w:r>
      <w:r>
        <w:t xml:space="preserve"> Sentencias </w:t>
      </w:r>
      <w:hyperlink w:anchor="SENTENCIA_2023_78" w:history="1">
        <w:r w:rsidRPr="00DA359F">
          <w:rPr>
            <w:rStyle w:val="TextoNormalCaracter"/>
          </w:rPr>
          <w:t>78/2023</w:t>
        </w:r>
      </w:hyperlink>
      <w:r>
        <w:t xml:space="preserve">, ff. 5, 7, VP II; </w:t>
      </w:r>
      <w:hyperlink w:anchor="SENTENCIA_2023_79" w:history="1">
        <w:r w:rsidRPr="00DA359F">
          <w:rPr>
            <w:rStyle w:val="TextoNormalCaracter"/>
          </w:rPr>
          <w:t>79/2023</w:t>
        </w:r>
      </w:hyperlink>
      <w:r>
        <w:t xml:space="preserve">, ff. 2, 4; </w:t>
      </w:r>
      <w:hyperlink w:anchor="SENTENCIA_2023_84" w:history="1">
        <w:r w:rsidRPr="00DA359F">
          <w:rPr>
            <w:rStyle w:val="TextoNormalCaracter"/>
          </w:rPr>
          <w:t>84/2023</w:t>
        </w:r>
      </w:hyperlink>
      <w:r>
        <w:t xml:space="preserve">, f. 3; </w:t>
      </w:r>
      <w:hyperlink w:anchor="SENTENCIA_2023_92" w:history="1">
        <w:r w:rsidRPr="00DA359F">
          <w:rPr>
            <w:rStyle w:val="TextoNormalCaracter"/>
          </w:rPr>
          <w:t>92/2023</w:t>
        </w:r>
      </w:hyperlink>
      <w:r>
        <w:t xml:space="preserve">, ff. 6, 7; </w:t>
      </w:r>
      <w:hyperlink w:anchor="SENTENCIA_2023_94" w:history="1">
        <w:r w:rsidRPr="00DA359F">
          <w:rPr>
            <w:rStyle w:val="TextoNormalCaracter"/>
          </w:rPr>
          <w:t>94/2023</w:t>
        </w:r>
      </w:hyperlink>
      <w:r>
        <w:t xml:space="preserve">, ff. 3, 5, 6, VP II, VP III; </w:t>
      </w:r>
      <w:hyperlink w:anchor="SENTENCIA_2023_101" w:history="1">
        <w:r w:rsidRPr="00DA359F">
          <w:rPr>
            <w:rStyle w:val="TextoNormalCaracter"/>
          </w:rPr>
          <w:t>101/2023</w:t>
        </w:r>
      </w:hyperlink>
      <w:r>
        <w:t xml:space="preserve">, f. 1; </w:t>
      </w:r>
      <w:hyperlink w:anchor="SENTENCIA_2023_134" w:history="1">
        <w:r w:rsidRPr="00DA359F">
          <w:rPr>
            <w:rStyle w:val="TextoNormalCaracter"/>
          </w:rPr>
          <w:t>134/2023</w:t>
        </w:r>
      </w:hyperlink>
      <w:r>
        <w:t xml:space="preserve">, f. 4; </w:t>
      </w:r>
      <w:hyperlink w:anchor="SENTENCIA_2023_148" w:history="1">
        <w:r w:rsidRPr="00DA359F">
          <w:rPr>
            <w:rStyle w:val="TextoNormalCaracter"/>
          </w:rPr>
          <w:t>148/2023</w:t>
        </w:r>
      </w:hyperlink>
      <w:r>
        <w:t xml:space="preserve">, f. 4; </w:t>
      </w:r>
      <w:hyperlink w:anchor="SENTENCIA_2023_164" w:history="1">
        <w:r w:rsidRPr="00DA359F">
          <w:rPr>
            <w:rStyle w:val="TextoNormalCaracter"/>
          </w:rPr>
          <w:t>164/2023</w:t>
        </w:r>
      </w:hyperlink>
      <w:r>
        <w:t>, f. 2.</w:t>
      </w:r>
    </w:p>
    <w:p w14:paraId="00B62160" w14:textId="4DCC792A" w:rsidR="00DA359F" w:rsidRDefault="00DA359F" w:rsidP="00DA359F">
      <w:pPr>
        <w:pStyle w:val="SangriaIzquierdaArticulo"/>
      </w:pPr>
      <w:r>
        <w:t xml:space="preserve">Auto </w:t>
      </w:r>
      <w:hyperlink w:anchor="AUTO_2023_445" w:history="1">
        <w:r w:rsidRPr="00DA359F">
          <w:rPr>
            <w:rStyle w:val="TextoNormalCaracter"/>
          </w:rPr>
          <w:t>445/2023</w:t>
        </w:r>
      </w:hyperlink>
      <w:r>
        <w:t>, f. 3.</w:t>
      </w:r>
    </w:p>
    <w:p w14:paraId="55D99BF3" w14:textId="240AEC09" w:rsidR="00DA359F" w:rsidRDefault="00DA359F" w:rsidP="00DA359F">
      <w:pPr>
        <w:pStyle w:val="SangriaFrancesaArticulo"/>
      </w:pPr>
      <w:r w:rsidRPr="00DA359F">
        <w:rPr>
          <w:rStyle w:val="TextoNormalNegritaCaracter"/>
        </w:rPr>
        <w:t>Artículo 10.2.</w:t>
      </w:r>
      <w:r w:rsidRPr="00DA359F">
        <w:rPr>
          <w:rStyle w:val="TextoNormalCaracter"/>
        </w:rPr>
        <w:t>-</w:t>
      </w:r>
      <w:r>
        <w:t xml:space="preserve"> Sentencias </w:t>
      </w:r>
      <w:hyperlink w:anchor="SENTENCIA_2023_78" w:history="1">
        <w:r w:rsidRPr="00DA359F">
          <w:rPr>
            <w:rStyle w:val="TextoNormalCaracter"/>
          </w:rPr>
          <w:t>78/2023</w:t>
        </w:r>
      </w:hyperlink>
      <w:r>
        <w:t xml:space="preserve">, f. 4, VP II; </w:t>
      </w:r>
      <w:hyperlink w:anchor="SENTENCIA_2023_87" w:history="1">
        <w:r w:rsidRPr="00DA359F">
          <w:rPr>
            <w:rStyle w:val="TextoNormalCaracter"/>
          </w:rPr>
          <w:t>87/2023</w:t>
        </w:r>
      </w:hyperlink>
      <w:r>
        <w:t xml:space="preserve">, f. 2; </w:t>
      </w:r>
      <w:hyperlink w:anchor="SENTENCIA_2023_94" w:history="1">
        <w:r w:rsidRPr="00DA359F">
          <w:rPr>
            <w:rStyle w:val="TextoNormalCaracter"/>
          </w:rPr>
          <w:t>94/2023</w:t>
        </w:r>
      </w:hyperlink>
      <w:r>
        <w:t xml:space="preserve">, ff. 3, 5; </w:t>
      </w:r>
      <w:hyperlink w:anchor="SENTENCIA_2023_128" w:history="1">
        <w:r w:rsidRPr="00DA359F">
          <w:rPr>
            <w:rStyle w:val="TextoNormalCaracter"/>
          </w:rPr>
          <w:t>128/2023</w:t>
        </w:r>
      </w:hyperlink>
      <w:r>
        <w:t xml:space="preserve">, VP; </w:t>
      </w:r>
      <w:hyperlink w:anchor="SENTENCIA_2023_131" w:history="1">
        <w:r w:rsidRPr="00DA359F">
          <w:rPr>
            <w:rStyle w:val="TextoNormalCaracter"/>
          </w:rPr>
          <w:t>131/2023</w:t>
        </w:r>
      </w:hyperlink>
      <w:r>
        <w:t xml:space="preserve">, f. 3, VP; </w:t>
      </w:r>
      <w:hyperlink w:anchor="SENTENCIA_2023_151" w:history="1">
        <w:r w:rsidRPr="00DA359F">
          <w:rPr>
            <w:rStyle w:val="TextoNormalCaracter"/>
          </w:rPr>
          <w:t>151/2023</w:t>
        </w:r>
      </w:hyperlink>
      <w:r>
        <w:t xml:space="preserve">, f. 1; </w:t>
      </w:r>
      <w:hyperlink w:anchor="SENTENCIA_2023_172" w:history="1">
        <w:r w:rsidRPr="00DA359F">
          <w:rPr>
            <w:rStyle w:val="TextoNormalCaracter"/>
          </w:rPr>
          <w:t>172/2023</w:t>
        </w:r>
      </w:hyperlink>
      <w:r>
        <w:t>, ff. 1, 2.</w:t>
      </w:r>
    </w:p>
    <w:p w14:paraId="4DCAC0BC" w14:textId="0FA43471" w:rsidR="00DA359F" w:rsidRDefault="00DA359F" w:rsidP="00DA359F">
      <w:pPr>
        <w:pStyle w:val="SangriaFrancesaArticulo"/>
      </w:pPr>
      <w:r w:rsidRPr="00DA359F">
        <w:rPr>
          <w:rStyle w:val="TextoNormalNegritaCaracter"/>
        </w:rPr>
        <w:t>Artículo 13.3.</w:t>
      </w:r>
      <w:r w:rsidRPr="00DA359F">
        <w:rPr>
          <w:rStyle w:val="TextoNormalCaracter"/>
        </w:rPr>
        <w:t>-</w:t>
      </w:r>
      <w:r>
        <w:t xml:space="preserve"> Sentencia </w:t>
      </w:r>
      <w:hyperlink w:anchor="SENTENCIA_2023_136" w:history="1">
        <w:r w:rsidRPr="00DA359F">
          <w:rPr>
            <w:rStyle w:val="TextoNormalCaracter"/>
          </w:rPr>
          <w:t>136/2023</w:t>
        </w:r>
      </w:hyperlink>
      <w:r>
        <w:t>, f. 4.</w:t>
      </w:r>
    </w:p>
    <w:p w14:paraId="5B2278CF" w14:textId="297E48E7" w:rsidR="00DA359F" w:rsidRDefault="00DA359F" w:rsidP="00DA359F">
      <w:pPr>
        <w:pStyle w:val="SangriaFrancesaArticulo"/>
      </w:pPr>
      <w:r w:rsidRPr="00DA359F">
        <w:rPr>
          <w:rStyle w:val="TextoNormalNegritaCaracter"/>
        </w:rPr>
        <w:t>Artículo 14.</w:t>
      </w:r>
      <w:r w:rsidRPr="00DA359F">
        <w:rPr>
          <w:rStyle w:val="TextoNormalCaracter"/>
        </w:rPr>
        <w:t>-</w:t>
      </w:r>
      <w:r>
        <w:t xml:space="preserve"> Sentencias </w:t>
      </w:r>
      <w:hyperlink w:anchor="SENTENCIA_2023_78" w:history="1">
        <w:r w:rsidRPr="00DA359F">
          <w:rPr>
            <w:rStyle w:val="TextoNormalCaracter"/>
          </w:rPr>
          <w:t>78/2023</w:t>
        </w:r>
      </w:hyperlink>
      <w:r>
        <w:t xml:space="preserve">, ff. 1, 4, 5, 7; </w:t>
      </w:r>
      <w:hyperlink w:anchor="SENTENCIA_2023_79" w:history="1">
        <w:r w:rsidRPr="00DA359F">
          <w:rPr>
            <w:rStyle w:val="TextoNormalCaracter"/>
          </w:rPr>
          <w:t>79/2023</w:t>
        </w:r>
      </w:hyperlink>
      <w:r>
        <w:t xml:space="preserve">, f. 2; </w:t>
      </w:r>
      <w:hyperlink w:anchor="SENTENCIA_2023_82" w:history="1">
        <w:r w:rsidRPr="00DA359F">
          <w:rPr>
            <w:rStyle w:val="TextoNormalCaracter"/>
          </w:rPr>
          <w:t>82/2023</w:t>
        </w:r>
      </w:hyperlink>
      <w:r>
        <w:t xml:space="preserve">, f. 2; </w:t>
      </w:r>
      <w:hyperlink w:anchor="SENTENCIA_2023_85" w:history="1">
        <w:r w:rsidRPr="00DA359F">
          <w:rPr>
            <w:rStyle w:val="TextoNormalCaracter"/>
          </w:rPr>
          <w:t>85/2023</w:t>
        </w:r>
      </w:hyperlink>
      <w:r>
        <w:t xml:space="preserve">, ff. 1 a 3; </w:t>
      </w:r>
      <w:hyperlink w:anchor="SENTENCIA_2023_89" w:history="1">
        <w:r w:rsidRPr="00DA359F">
          <w:rPr>
            <w:rStyle w:val="TextoNormalCaracter"/>
          </w:rPr>
          <w:t>89/2023</w:t>
        </w:r>
      </w:hyperlink>
      <w:r>
        <w:t xml:space="preserve">, ff. 1, 2; </w:t>
      </w:r>
      <w:hyperlink w:anchor="SENTENCIA_2023_90" w:history="1">
        <w:r w:rsidRPr="00DA359F">
          <w:rPr>
            <w:rStyle w:val="TextoNormalCaracter"/>
          </w:rPr>
          <w:t>90/2023</w:t>
        </w:r>
      </w:hyperlink>
      <w:r>
        <w:t xml:space="preserve">, ff. 1, 3, 6; </w:t>
      </w:r>
      <w:hyperlink w:anchor="SENTENCIA_2023_91" w:history="1">
        <w:r w:rsidRPr="00DA359F">
          <w:rPr>
            <w:rStyle w:val="TextoNormalCaracter"/>
          </w:rPr>
          <w:t>91/2023</w:t>
        </w:r>
      </w:hyperlink>
      <w:r>
        <w:t xml:space="preserve">, f. 4; </w:t>
      </w:r>
      <w:hyperlink w:anchor="SENTENCIA_2023_94" w:history="1">
        <w:r w:rsidRPr="00DA359F">
          <w:rPr>
            <w:rStyle w:val="TextoNormalCaracter"/>
          </w:rPr>
          <w:t>94/2023</w:t>
        </w:r>
      </w:hyperlink>
      <w:r>
        <w:t xml:space="preserve">, ff. 5, 6, VP III; </w:t>
      </w:r>
      <w:hyperlink w:anchor="SENTENCIA_2023_96" w:history="1">
        <w:r w:rsidRPr="00DA359F">
          <w:rPr>
            <w:rStyle w:val="TextoNormalCaracter"/>
          </w:rPr>
          <w:t>96/2023</w:t>
        </w:r>
      </w:hyperlink>
      <w:r>
        <w:t xml:space="preserve">, f. 1; </w:t>
      </w:r>
      <w:hyperlink w:anchor="SENTENCIA_2023_97" w:history="1">
        <w:r w:rsidRPr="00DA359F">
          <w:rPr>
            <w:rStyle w:val="TextoNormalCaracter"/>
          </w:rPr>
          <w:t>97/2023</w:t>
        </w:r>
      </w:hyperlink>
      <w:r>
        <w:t xml:space="preserve">, ff. 1, 3; </w:t>
      </w:r>
      <w:hyperlink w:anchor="SENTENCIA_2023_98" w:history="1">
        <w:r w:rsidRPr="00DA359F">
          <w:rPr>
            <w:rStyle w:val="TextoNormalCaracter"/>
          </w:rPr>
          <w:t>98/2023</w:t>
        </w:r>
      </w:hyperlink>
      <w:r>
        <w:t xml:space="preserve">, ff. 1, 2; </w:t>
      </w:r>
      <w:hyperlink w:anchor="SENTENCIA_2023_99" w:history="1">
        <w:r w:rsidRPr="00DA359F">
          <w:rPr>
            <w:rStyle w:val="TextoNormalCaracter"/>
          </w:rPr>
          <w:t>99/2023</w:t>
        </w:r>
      </w:hyperlink>
      <w:r>
        <w:t xml:space="preserve">, ff. 1, 2; </w:t>
      </w:r>
      <w:hyperlink w:anchor="SENTENCIA_2023_100" w:history="1">
        <w:r w:rsidRPr="00DA359F">
          <w:rPr>
            <w:rStyle w:val="TextoNormalCaracter"/>
          </w:rPr>
          <w:t>100/2023</w:t>
        </w:r>
      </w:hyperlink>
      <w:r>
        <w:t xml:space="preserve">, ff. 1, 2; </w:t>
      </w:r>
      <w:hyperlink w:anchor="SENTENCIA_2023_102" w:history="1">
        <w:r w:rsidRPr="00DA359F">
          <w:rPr>
            <w:rStyle w:val="TextoNormalCaracter"/>
          </w:rPr>
          <w:t>102/2023</w:t>
        </w:r>
      </w:hyperlink>
      <w:r>
        <w:t xml:space="preserve">, ff. 1, 3; </w:t>
      </w:r>
      <w:hyperlink w:anchor="SENTENCIA_2023_103" w:history="1">
        <w:r w:rsidRPr="00DA359F">
          <w:rPr>
            <w:rStyle w:val="TextoNormalCaracter"/>
          </w:rPr>
          <w:t>103/2023</w:t>
        </w:r>
      </w:hyperlink>
      <w:r>
        <w:t xml:space="preserve">, ff. 1, 2; </w:t>
      </w:r>
      <w:hyperlink w:anchor="SENTENCIA_2023_104" w:history="1">
        <w:r w:rsidRPr="00DA359F">
          <w:rPr>
            <w:rStyle w:val="TextoNormalCaracter"/>
          </w:rPr>
          <w:t>104/2023</w:t>
        </w:r>
      </w:hyperlink>
      <w:r>
        <w:t xml:space="preserve">, ff. 1, 2; </w:t>
      </w:r>
      <w:hyperlink w:anchor="SENTENCIA_2023_105" w:history="1">
        <w:r w:rsidRPr="00DA359F">
          <w:rPr>
            <w:rStyle w:val="TextoNormalCaracter"/>
          </w:rPr>
          <w:t>105/2023</w:t>
        </w:r>
      </w:hyperlink>
      <w:r>
        <w:t xml:space="preserve">, ff. 1, 2; </w:t>
      </w:r>
      <w:hyperlink w:anchor="SENTENCIA_2023_106" w:history="1">
        <w:r w:rsidRPr="00DA359F">
          <w:rPr>
            <w:rStyle w:val="TextoNormalCaracter"/>
          </w:rPr>
          <w:t>106/2023</w:t>
        </w:r>
      </w:hyperlink>
      <w:r>
        <w:t xml:space="preserve">, ff. 1 a 3; </w:t>
      </w:r>
      <w:hyperlink w:anchor="SENTENCIA_2023_107" w:history="1">
        <w:r w:rsidRPr="00DA359F">
          <w:rPr>
            <w:rStyle w:val="TextoNormalCaracter"/>
          </w:rPr>
          <w:t>107/2023</w:t>
        </w:r>
      </w:hyperlink>
      <w:r>
        <w:t xml:space="preserve">, ff. 1 a 3; </w:t>
      </w:r>
      <w:hyperlink w:anchor="SENTENCIA_2023_108" w:history="1">
        <w:r w:rsidRPr="00DA359F">
          <w:rPr>
            <w:rStyle w:val="TextoNormalCaracter"/>
          </w:rPr>
          <w:t>108/2023</w:t>
        </w:r>
      </w:hyperlink>
      <w:r>
        <w:t xml:space="preserve">, ff. 1, 2; </w:t>
      </w:r>
      <w:hyperlink w:anchor="SENTENCIA_2023_109" w:history="1">
        <w:r w:rsidRPr="00DA359F">
          <w:rPr>
            <w:rStyle w:val="TextoNormalCaracter"/>
          </w:rPr>
          <w:t>109/2023</w:t>
        </w:r>
      </w:hyperlink>
      <w:r>
        <w:t xml:space="preserve">, ff. 1, 2; </w:t>
      </w:r>
      <w:hyperlink w:anchor="SENTENCIA_2023_110" w:history="1">
        <w:r w:rsidRPr="00DA359F">
          <w:rPr>
            <w:rStyle w:val="TextoNormalCaracter"/>
          </w:rPr>
          <w:t>110/2023</w:t>
        </w:r>
      </w:hyperlink>
      <w:r>
        <w:t xml:space="preserve">, ff. 1, 2; </w:t>
      </w:r>
      <w:hyperlink w:anchor="SENTENCIA_2023_111" w:history="1">
        <w:r w:rsidRPr="00DA359F">
          <w:rPr>
            <w:rStyle w:val="TextoNormalCaracter"/>
          </w:rPr>
          <w:t>111/2023</w:t>
        </w:r>
      </w:hyperlink>
      <w:r>
        <w:t xml:space="preserve">, ff. 1, 2; </w:t>
      </w:r>
      <w:hyperlink w:anchor="SENTENCIA_2023_112" w:history="1">
        <w:r w:rsidRPr="00DA359F">
          <w:rPr>
            <w:rStyle w:val="TextoNormalCaracter"/>
          </w:rPr>
          <w:t>112/2023</w:t>
        </w:r>
      </w:hyperlink>
      <w:r>
        <w:t xml:space="preserve">, ff. 1, 2; </w:t>
      </w:r>
      <w:hyperlink w:anchor="SENTENCIA_2023_113" w:history="1">
        <w:r w:rsidRPr="00DA359F">
          <w:rPr>
            <w:rStyle w:val="TextoNormalCaracter"/>
          </w:rPr>
          <w:t>113/2023</w:t>
        </w:r>
      </w:hyperlink>
      <w:r>
        <w:t xml:space="preserve">, ff. 1, 2; </w:t>
      </w:r>
      <w:hyperlink w:anchor="SENTENCIA_2023_114" w:history="1">
        <w:r w:rsidRPr="00DA359F">
          <w:rPr>
            <w:rStyle w:val="TextoNormalCaracter"/>
          </w:rPr>
          <w:t>114/2023</w:t>
        </w:r>
      </w:hyperlink>
      <w:r>
        <w:t xml:space="preserve">, ff. 1, 2; </w:t>
      </w:r>
      <w:hyperlink w:anchor="SENTENCIA_2023_115" w:history="1">
        <w:r w:rsidRPr="00DA359F">
          <w:rPr>
            <w:rStyle w:val="TextoNormalCaracter"/>
          </w:rPr>
          <w:t>115/2023</w:t>
        </w:r>
      </w:hyperlink>
      <w:r>
        <w:t xml:space="preserve">, ff. 1, 3; </w:t>
      </w:r>
      <w:hyperlink w:anchor="SENTENCIA_2023_117" w:history="1">
        <w:r w:rsidRPr="00DA359F">
          <w:rPr>
            <w:rStyle w:val="TextoNormalCaracter"/>
          </w:rPr>
          <w:t>117/2023</w:t>
        </w:r>
      </w:hyperlink>
      <w:r>
        <w:t xml:space="preserve">, ff. 1, 2; </w:t>
      </w:r>
      <w:hyperlink w:anchor="SENTENCIA_2023_118" w:history="1">
        <w:r w:rsidRPr="00DA359F">
          <w:rPr>
            <w:rStyle w:val="TextoNormalCaracter"/>
          </w:rPr>
          <w:t>118/2023</w:t>
        </w:r>
      </w:hyperlink>
      <w:r>
        <w:t xml:space="preserve">, ff. 1, 3; </w:t>
      </w:r>
      <w:hyperlink w:anchor="SENTENCIA_2023_119" w:history="1">
        <w:r w:rsidRPr="00DA359F">
          <w:rPr>
            <w:rStyle w:val="TextoNormalCaracter"/>
          </w:rPr>
          <w:t>119/2023</w:t>
        </w:r>
      </w:hyperlink>
      <w:r>
        <w:t xml:space="preserve">, ff. 1, 2; </w:t>
      </w:r>
      <w:hyperlink w:anchor="SENTENCIA_2023_120" w:history="1">
        <w:r w:rsidRPr="00DA359F">
          <w:rPr>
            <w:rStyle w:val="TextoNormalCaracter"/>
          </w:rPr>
          <w:t>120/2023</w:t>
        </w:r>
      </w:hyperlink>
      <w:r>
        <w:t xml:space="preserve">, ff. 1, 3; </w:t>
      </w:r>
      <w:hyperlink w:anchor="SENTENCIA_2023_121" w:history="1">
        <w:r w:rsidRPr="00DA359F">
          <w:rPr>
            <w:rStyle w:val="TextoNormalCaracter"/>
          </w:rPr>
          <w:t>121/2023</w:t>
        </w:r>
      </w:hyperlink>
      <w:r>
        <w:t xml:space="preserve">, ff. 1, 2; </w:t>
      </w:r>
      <w:hyperlink w:anchor="SENTENCIA_2023_133" w:history="1">
        <w:r w:rsidRPr="00DA359F">
          <w:rPr>
            <w:rStyle w:val="TextoNormalCaracter"/>
          </w:rPr>
          <w:t>133/2023</w:t>
        </w:r>
      </w:hyperlink>
      <w:r>
        <w:t xml:space="preserve">, f. 2; </w:t>
      </w:r>
      <w:hyperlink w:anchor="SENTENCIA_2023_140" w:history="1">
        <w:r w:rsidRPr="00DA359F">
          <w:rPr>
            <w:rStyle w:val="TextoNormalCaracter"/>
          </w:rPr>
          <w:t>140/2023</w:t>
        </w:r>
      </w:hyperlink>
      <w:r>
        <w:t xml:space="preserve">, ff. 1, 2; </w:t>
      </w:r>
      <w:hyperlink w:anchor="SENTENCIA_2023_149" w:history="1">
        <w:r w:rsidRPr="00DA359F">
          <w:rPr>
            <w:rStyle w:val="TextoNormalCaracter"/>
          </w:rPr>
          <w:t>149/2023</w:t>
        </w:r>
      </w:hyperlink>
      <w:r>
        <w:t xml:space="preserve">, VP; </w:t>
      </w:r>
      <w:hyperlink w:anchor="SENTENCIA_2023_154" w:history="1">
        <w:r w:rsidRPr="00DA359F">
          <w:rPr>
            <w:rStyle w:val="TextoNormalCaracter"/>
          </w:rPr>
          <w:t>154/2023</w:t>
        </w:r>
      </w:hyperlink>
      <w:r>
        <w:t xml:space="preserve">, f. 2; </w:t>
      </w:r>
      <w:hyperlink w:anchor="SENTENCIA_2023_158" w:history="1">
        <w:r w:rsidRPr="00DA359F">
          <w:rPr>
            <w:rStyle w:val="TextoNormalCaracter"/>
          </w:rPr>
          <w:t>158/2023</w:t>
        </w:r>
      </w:hyperlink>
      <w:r>
        <w:t xml:space="preserve">, f. 2; </w:t>
      </w:r>
      <w:hyperlink w:anchor="SENTENCIA_2023_159" w:history="1">
        <w:r w:rsidRPr="00DA359F">
          <w:rPr>
            <w:rStyle w:val="TextoNormalCaracter"/>
          </w:rPr>
          <w:t>159/2023</w:t>
        </w:r>
      </w:hyperlink>
      <w:r>
        <w:t xml:space="preserve">, f. 2; </w:t>
      </w:r>
      <w:hyperlink w:anchor="SENTENCIA_2023_162" w:history="1">
        <w:r w:rsidRPr="00DA359F">
          <w:rPr>
            <w:rStyle w:val="TextoNormalCaracter"/>
          </w:rPr>
          <w:t>162/2023</w:t>
        </w:r>
      </w:hyperlink>
      <w:r>
        <w:t xml:space="preserve">, f. 2; </w:t>
      </w:r>
      <w:hyperlink w:anchor="SENTENCIA_2023_163" w:history="1">
        <w:r w:rsidRPr="00DA359F">
          <w:rPr>
            <w:rStyle w:val="TextoNormalCaracter"/>
          </w:rPr>
          <w:t>163/2023</w:t>
        </w:r>
      </w:hyperlink>
      <w:r>
        <w:t xml:space="preserve">, f. único; </w:t>
      </w:r>
      <w:hyperlink w:anchor="SENTENCIA_2023_174" w:history="1">
        <w:r w:rsidRPr="00DA359F">
          <w:rPr>
            <w:rStyle w:val="TextoNormalCaracter"/>
          </w:rPr>
          <w:t>174/2023</w:t>
        </w:r>
      </w:hyperlink>
      <w:r>
        <w:t xml:space="preserve">, ff. 1 a 3; </w:t>
      </w:r>
      <w:hyperlink w:anchor="SENTENCIA_2023_175" w:history="1">
        <w:r w:rsidRPr="00DA359F">
          <w:rPr>
            <w:rStyle w:val="TextoNormalCaracter"/>
          </w:rPr>
          <w:t>175/2023</w:t>
        </w:r>
      </w:hyperlink>
      <w:r>
        <w:t xml:space="preserve">, f. 1; </w:t>
      </w:r>
      <w:hyperlink w:anchor="SENTENCIA_2023_176" w:history="1">
        <w:r w:rsidRPr="00DA359F">
          <w:rPr>
            <w:rStyle w:val="TextoNormalCaracter"/>
          </w:rPr>
          <w:t>176/2023</w:t>
        </w:r>
      </w:hyperlink>
      <w:r>
        <w:t xml:space="preserve">, f. único; </w:t>
      </w:r>
      <w:hyperlink w:anchor="SENTENCIA_2023_177" w:history="1">
        <w:r w:rsidRPr="00DA359F">
          <w:rPr>
            <w:rStyle w:val="TextoNormalCaracter"/>
          </w:rPr>
          <w:t>177/2023</w:t>
        </w:r>
      </w:hyperlink>
      <w:r>
        <w:t xml:space="preserve">, ff. 1, 2; </w:t>
      </w:r>
      <w:hyperlink w:anchor="SENTENCIA_2023_178" w:history="1">
        <w:r w:rsidRPr="00DA359F">
          <w:rPr>
            <w:rStyle w:val="TextoNormalCaracter"/>
          </w:rPr>
          <w:t>178/2023</w:t>
        </w:r>
      </w:hyperlink>
      <w:r>
        <w:t xml:space="preserve">, f. único; </w:t>
      </w:r>
      <w:hyperlink w:anchor="SENTENCIA_2023_179" w:history="1">
        <w:r w:rsidRPr="00DA359F">
          <w:rPr>
            <w:rStyle w:val="TextoNormalCaracter"/>
          </w:rPr>
          <w:t>179/2023</w:t>
        </w:r>
      </w:hyperlink>
      <w:r>
        <w:t xml:space="preserve">, f. 2; </w:t>
      </w:r>
      <w:hyperlink w:anchor="SENTENCIA_2023_180" w:history="1">
        <w:r w:rsidRPr="00DA359F">
          <w:rPr>
            <w:rStyle w:val="TextoNormalCaracter"/>
          </w:rPr>
          <w:t>180/2023</w:t>
        </w:r>
      </w:hyperlink>
      <w:r>
        <w:t xml:space="preserve">, f. 2; </w:t>
      </w:r>
      <w:hyperlink w:anchor="SENTENCIA_2023_184" w:history="1">
        <w:r w:rsidRPr="00DA359F">
          <w:rPr>
            <w:rStyle w:val="TextoNormalCaracter"/>
          </w:rPr>
          <w:t>184/2023</w:t>
        </w:r>
      </w:hyperlink>
      <w:r>
        <w:t xml:space="preserve">, f. 3; </w:t>
      </w:r>
      <w:hyperlink w:anchor="SENTENCIA_2023_186" w:history="1">
        <w:r w:rsidRPr="00DA359F">
          <w:rPr>
            <w:rStyle w:val="TextoNormalCaracter"/>
          </w:rPr>
          <w:t>186/2023</w:t>
        </w:r>
      </w:hyperlink>
      <w:r>
        <w:t xml:space="preserve">, f. 2; </w:t>
      </w:r>
      <w:hyperlink w:anchor="SENTENCIA_2023_187" w:history="1">
        <w:r w:rsidRPr="00DA359F">
          <w:rPr>
            <w:rStyle w:val="TextoNormalCaracter"/>
          </w:rPr>
          <w:t>187/2023</w:t>
        </w:r>
      </w:hyperlink>
      <w:r>
        <w:t xml:space="preserve">, f. 2; </w:t>
      </w:r>
      <w:hyperlink w:anchor="SENTENCIA_2023_190" w:history="1">
        <w:r w:rsidRPr="00DA359F">
          <w:rPr>
            <w:rStyle w:val="TextoNormalCaracter"/>
          </w:rPr>
          <w:t>190/2023</w:t>
        </w:r>
      </w:hyperlink>
      <w:r>
        <w:t>, ff. 1, 4.</w:t>
      </w:r>
    </w:p>
    <w:p w14:paraId="5D73AA0E" w14:textId="7EFE7FD3" w:rsidR="00DA359F" w:rsidRDefault="00DA359F" w:rsidP="00DA359F">
      <w:pPr>
        <w:pStyle w:val="SangriaIzquierdaArticulo"/>
      </w:pPr>
      <w:r>
        <w:t xml:space="preserve">Autos </w:t>
      </w:r>
      <w:hyperlink w:anchor="AUTO_2023_378" w:history="1">
        <w:r w:rsidRPr="00DA359F">
          <w:rPr>
            <w:rStyle w:val="TextoNormalCaracter"/>
          </w:rPr>
          <w:t>378/2023</w:t>
        </w:r>
      </w:hyperlink>
      <w:r>
        <w:t xml:space="preserve">, f. 2; </w:t>
      </w:r>
      <w:hyperlink w:anchor="AUTO_2023_427" w:history="1">
        <w:r w:rsidRPr="00DA359F">
          <w:rPr>
            <w:rStyle w:val="TextoNormalCaracter"/>
          </w:rPr>
          <w:t>427/2023</w:t>
        </w:r>
      </w:hyperlink>
      <w:r>
        <w:t xml:space="preserve">, ff. 1, 2, VP; </w:t>
      </w:r>
      <w:hyperlink w:anchor="AUTO_2023_446" w:history="1">
        <w:r w:rsidRPr="00DA359F">
          <w:rPr>
            <w:rStyle w:val="TextoNormalCaracter"/>
          </w:rPr>
          <w:t>446/2023</w:t>
        </w:r>
      </w:hyperlink>
      <w:r>
        <w:t xml:space="preserve">, ff. 1, 2; </w:t>
      </w:r>
      <w:hyperlink w:anchor="AUTO_2023_448" w:history="1">
        <w:r w:rsidRPr="00DA359F">
          <w:rPr>
            <w:rStyle w:val="TextoNormalCaracter"/>
          </w:rPr>
          <w:t>448/2023</w:t>
        </w:r>
      </w:hyperlink>
      <w:r>
        <w:t>, f. 3.</w:t>
      </w:r>
    </w:p>
    <w:p w14:paraId="7174C13D" w14:textId="07779F72" w:rsidR="00DA359F" w:rsidRDefault="00DA359F" w:rsidP="00DA359F">
      <w:pPr>
        <w:pStyle w:val="SangriaFrancesaArticulo"/>
      </w:pPr>
      <w:r w:rsidRPr="00DA359F">
        <w:rPr>
          <w:rStyle w:val="TextoNormalNegritaCaracter"/>
        </w:rPr>
        <w:t>Artículos 14 a 29.</w:t>
      </w:r>
      <w:r w:rsidRPr="00DA359F">
        <w:rPr>
          <w:rStyle w:val="TextoNormalCaracter"/>
        </w:rPr>
        <w:t>-</w:t>
      </w:r>
      <w:r>
        <w:t xml:space="preserve"> Sentencia </w:t>
      </w:r>
      <w:hyperlink w:anchor="SENTENCIA_2023_94" w:history="1">
        <w:r w:rsidRPr="00DA359F">
          <w:rPr>
            <w:rStyle w:val="TextoNormalCaracter"/>
          </w:rPr>
          <w:t>94/2023</w:t>
        </w:r>
      </w:hyperlink>
      <w:r>
        <w:t>, VP II.</w:t>
      </w:r>
    </w:p>
    <w:p w14:paraId="05DDA609" w14:textId="1D4A2D74" w:rsidR="00DA359F" w:rsidRDefault="00DA359F" w:rsidP="00DA359F">
      <w:pPr>
        <w:pStyle w:val="SangriaFrancesaArticulo"/>
      </w:pPr>
      <w:r w:rsidRPr="00DA359F">
        <w:rPr>
          <w:rStyle w:val="TextoNormalNegritaCaracter"/>
        </w:rPr>
        <w:t>Artículo 15.</w:t>
      </w:r>
      <w:r w:rsidRPr="00DA359F">
        <w:rPr>
          <w:rStyle w:val="TextoNormalCaracter"/>
        </w:rPr>
        <w:t>-</w:t>
      </w:r>
      <w:r>
        <w:t xml:space="preserve"> Sentencias </w:t>
      </w:r>
      <w:hyperlink w:anchor="SENTENCIA_2023_78" w:history="1">
        <w:r w:rsidRPr="00DA359F">
          <w:rPr>
            <w:rStyle w:val="TextoNormalCaracter"/>
          </w:rPr>
          <w:t>78/2023</w:t>
        </w:r>
      </w:hyperlink>
      <w:r>
        <w:t xml:space="preserve">, ff. 1, 4, 5, 7, VP I, II; </w:t>
      </w:r>
      <w:hyperlink w:anchor="SENTENCIA_2023_84" w:history="1">
        <w:r w:rsidRPr="00DA359F">
          <w:rPr>
            <w:rStyle w:val="TextoNormalCaracter"/>
          </w:rPr>
          <w:t>84/2023</w:t>
        </w:r>
      </w:hyperlink>
      <w:r>
        <w:t xml:space="preserve">, VP; </w:t>
      </w:r>
      <w:hyperlink w:anchor="SENTENCIA_2023_88" w:history="1">
        <w:r w:rsidRPr="00DA359F">
          <w:rPr>
            <w:rStyle w:val="TextoNormalCaracter"/>
          </w:rPr>
          <w:t>88/2023</w:t>
        </w:r>
      </w:hyperlink>
      <w:r>
        <w:t xml:space="preserve">, ff. 2, 4; </w:t>
      </w:r>
      <w:hyperlink w:anchor="SENTENCIA_2023_94" w:history="1">
        <w:r w:rsidRPr="00DA359F">
          <w:rPr>
            <w:rStyle w:val="TextoNormalCaracter"/>
          </w:rPr>
          <w:t>94/2023</w:t>
        </w:r>
      </w:hyperlink>
      <w:r>
        <w:t xml:space="preserve">, ff. 3, 5, 6, VP III; </w:t>
      </w:r>
      <w:hyperlink w:anchor="SENTENCIA_2023_148" w:history="1">
        <w:r w:rsidRPr="00DA359F">
          <w:rPr>
            <w:rStyle w:val="TextoNormalCaracter"/>
          </w:rPr>
          <w:t>148/2023</w:t>
        </w:r>
      </w:hyperlink>
      <w:r>
        <w:t xml:space="preserve">, ff. 2, 4, 5; </w:t>
      </w:r>
      <w:hyperlink w:anchor="SENTENCIA_2023_154" w:history="1">
        <w:r w:rsidRPr="00DA359F">
          <w:rPr>
            <w:rStyle w:val="TextoNormalCaracter"/>
          </w:rPr>
          <w:t>154/2023</w:t>
        </w:r>
      </w:hyperlink>
      <w:r>
        <w:t xml:space="preserve">, ff. 2, 3; </w:t>
      </w:r>
      <w:hyperlink w:anchor="SENTENCIA_2023_155" w:history="1">
        <w:r w:rsidRPr="00DA359F">
          <w:rPr>
            <w:rStyle w:val="TextoNormalCaracter"/>
          </w:rPr>
          <w:t>155/2023</w:t>
        </w:r>
      </w:hyperlink>
      <w:r>
        <w:t xml:space="preserve">, ff. 2, 4; </w:t>
      </w:r>
      <w:hyperlink w:anchor="SENTENCIA_2023_156" w:history="1">
        <w:r w:rsidRPr="00DA359F">
          <w:rPr>
            <w:rStyle w:val="TextoNormalCaracter"/>
          </w:rPr>
          <w:t>156/2023</w:t>
        </w:r>
      </w:hyperlink>
      <w:r>
        <w:t xml:space="preserve">, f. 3; </w:t>
      </w:r>
      <w:hyperlink w:anchor="SENTENCIA_2023_157" w:history="1">
        <w:r w:rsidRPr="00DA359F">
          <w:rPr>
            <w:rStyle w:val="TextoNormalCaracter"/>
          </w:rPr>
          <w:t>157/2023</w:t>
        </w:r>
      </w:hyperlink>
      <w:r>
        <w:t xml:space="preserve">, f. 3; </w:t>
      </w:r>
      <w:hyperlink w:anchor="SENTENCIA_2023_158" w:history="1">
        <w:r w:rsidRPr="00DA359F">
          <w:rPr>
            <w:rStyle w:val="TextoNormalCaracter"/>
          </w:rPr>
          <w:t>158/2023</w:t>
        </w:r>
      </w:hyperlink>
      <w:r>
        <w:t xml:space="preserve">, ff. 2, 3; </w:t>
      </w:r>
      <w:hyperlink w:anchor="SENTENCIA_2023_159" w:history="1">
        <w:r w:rsidRPr="00DA359F">
          <w:rPr>
            <w:rStyle w:val="TextoNormalCaracter"/>
          </w:rPr>
          <w:t>159/2023</w:t>
        </w:r>
      </w:hyperlink>
      <w:r>
        <w:t xml:space="preserve">, f. 3; </w:t>
      </w:r>
      <w:hyperlink w:anchor="SENTENCIA_2023_160" w:history="1">
        <w:r w:rsidRPr="00DA359F">
          <w:rPr>
            <w:rStyle w:val="TextoNormalCaracter"/>
          </w:rPr>
          <w:t>160/2023</w:t>
        </w:r>
      </w:hyperlink>
      <w:r>
        <w:t xml:space="preserve">, ff. 2, 3; </w:t>
      </w:r>
      <w:hyperlink w:anchor="SENTENCIA_2023_162" w:history="1">
        <w:r w:rsidRPr="00DA359F">
          <w:rPr>
            <w:rStyle w:val="TextoNormalCaracter"/>
          </w:rPr>
          <w:t>162/2023</w:t>
        </w:r>
      </w:hyperlink>
      <w:r>
        <w:t xml:space="preserve">, ff. 2, 3; </w:t>
      </w:r>
      <w:hyperlink w:anchor="SENTENCIA_2023_163" w:history="1">
        <w:r w:rsidRPr="00DA359F">
          <w:rPr>
            <w:rStyle w:val="TextoNormalCaracter"/>
          </w:rPr>
          <w:t>163/2023</w:t>
        </w:r>
      </w:hyperlink>
      <w:r>
        <w:t xml:space="preserve">, f. único; </w:t>
      </w:r>
      <w:hyperlink w:anchor="SENTENCIA_2023_164" w:history="1">
        <w:r w:rsidRPr="00DA359F">
          <w:rPr>
            <w:rStyle w:val="TextoNormalCaracter"/>
          </w:rPr>
          <w:t>164/2023</w:t>
        </w:r>
      </w:hyperlink>
      <w:r>
        <w:t xml:space="preserve">, f. 3, VP I, VP II; </w:t>
      </w:r>
      <w:hyperlink w:anchor="SENTENCIA_2023_180" w:history="1">
        <w:r w:rsidRPr="00DA359F">
          <w:rPr>
            <w:rStyle w:val="TextoNormalCaracter"/>
          </w:rPr>
          <w:t>180/2023</w:t>
        </w:r>
      </w:hyperlink>
      <w:r>
        <w:t xml:space="preserve">, ff. 2, 3; </w:t>
      </w:r>
      <w:hyperlink w:anchor="SENTENCIA_2023_181" w:history="1">
        <w:r w:rsidRPr="00DA359F">
          <w:rPr>
            <w:rStyle w:val="TextoNormalCaracter"/>
          </w:rPr>
          <w:t>181/2023</w:t>
        </w:r>
      </w:hyperlink>
      <w:r>
        <w:t xml:space="preserve">, f. 2; </w:t>
      </w:r>
      <w:hyperlink w:anchor="SENTENCIA_2023_182" w:history="1">
        <w:r w:rsidRPr="00DA359F">
          <w:rPr>
            <w:rStyle w:val="TextoNormalCaracter"/>
          </w:rPr>
          <w:t>182/2023</w:t>
        </w:r>
      </w:hyperlink>
      <w:r>
        <w:t xml:space="preserve">, f. 3; </w:t>
      </w:r>
      <w:hyperlink w:anchor="SENTENCIA_2023_183" w:history="1">
        <w:r w:rsidRPr="00DA359F">
          <w:rPr>
            <w:rStyle w:val="TextoNormalCaracter"/>
          </w:rPr>
          <w:t>183/2023</w:t>
        </w:r>
      </w:hyperlink>
      <w:r>
        <w:t xml:space="preserve">, ff. 2, 3; </w:t>
      </w:r>
      <w:hyperlink w:anchor="SENTENCIA_2023_185" w:history="1">
        <w:r w:rsidRPr="00DA359F">
          <w:rPr>
            <w:rStyle w:val="TextoNormalCaracter"/>
          </w:rPr>
          <w:t>185/2023</w:t>
        </w:r>
      </w:hyperlink>
      <w:r>
        <w:t xml:space="preserve">, ff. 2, 3; </w:t>
      </w:r>
      <w:hyperlink w:anchor="SENTENCIA_2023_186" w:history="1">
        <w:r w:rsidRPr="00DA359F">
          <w:rPr>
            <w:rStyle w:val="TextoNormalCaracter"/>
          </w:rPr>
          <w:t>186/2023</w:t>
        </w:r>
      </w:hyperlink>
      <w:r>
        <w:t xml:space="preserve">, ff. 2, 3; </w:t>
      </w:r>
      <w:hyperlink w:anchor="SENTENCIA_2023_187" w:history="1">
        <w:r w:rsidRPr="00DA359F">
          <w:rPr>
            <w:rStyle w:val="TextoNormalCaracter"/>
          </w:rPr>
          <w:t>187/2023</w:t>
        </w:r>
      </w:hyperlink>
      <w:r>
        <w:t>, ff. 2, 3.</w:t>
      </w:r>
    </w:p>
    <w:p w14:paraId="64F582E5" w14:textId="1ED220EA" w:rsidR="00DA359F" w:rsidRDefault="00DA359F" w:rsidP="00DA359F">
      <w:pPr>
        <w:pStyle w:val="SangriaIzquierdaArticulo"/>
      </w:pPr>
      <w:r>
        <w:t xml:space="preserve">Autos </w:t>
      </w:r>
      <w:hyperlink w:anchor="AUTO_2023_338" w:history="1">
        <w:r w:rsidRPr="00DA359F">
          <w:rPr>
            <w:rStyle w:val="TextoNormalCaracter"/>
          </w:rPr>
          <w:t>338/2023</w:t>
        </w:r>
      </w:hyperlink>
      <w:r>
        <w:t xml:space="preserve">, VP; </w:t>
      </w:r>
      <w:hyperlink w:anchor="AUTO_2023_431" w:history="1">
        <w:r w:rsidRPr="00DA359F">
          <w:rPr>
            <w:rStyle w:val="TextoNormalCaracter"/>
          </w:rPr>
          <w:t>431/2023</w:t>
        </w:r>
      </w:hyperlink>
      <w:r>
        <w:t xml:space="preserve">, f. 3; </w:t>
      </w:r>
      <w:hyperlink w:anchor="AUTO_2023_445" w:history="1">
        <w:r w:rsidRPr="00DA359F">
          <w:rPr>
            <w:rStyle w:val="TextoNormalCaracter"/>
          </w:rPr>
          <w:t>445/2023</w:t>
        </w:r>
      </w:hyperlink>
      <w:r>
        <w:t>, f. 3.</w:t>
      </w:r>
    </w:p>
    <w:p w14:paraId="012FEEF7" w14:textId="63C89B5B" w:rsidR="00DA359F" w:rsidRDefault="00DA359F" w:rsidP="00DA359F">
      <w:pPr>
        <w:pStyle w:val="SangriaFrancesaArticulo"/>
      </w:pPr>
      <w:r w:rsidRPr="00DA359F">
        <w:rPr>
          <w:rStyle w:val="TextoNormalNegritaCaracter"/>
        </w:rPr>
        <w:t>Artículo 16.</w:t>
      </w:r>
      <w:r w:rsidRPr="00DA359F">
        <w:rPr>
          <w:rStyle w:val="TextoNormalCaracter"/>
        </w:rPr>
        <w:t>-</w:t>
      </w:r>
      <w:r>
        <w:t xml:space="preserve"> Sentencias </w:t>
      </w:r>
      <w:hyperlink w:anchor="SENTENCIA_2023_79" w:history="1">
        <w:r w:rsidRPr="00DA359F">
          <w:rPr>
            <w:rStyle w:val="TextoNormalCaracter"/>
          </w:rPr>
          <w:t>79/2023</w:t>
        </w:r>
      </w:hyperlink>
      <w:r>
        <w:t xml:space="preserve">, f. 2; </w:t>
      </w:r>
      <w:hyperlink w:anchor="SENTENCIA_2023_94" w:history="1">
        <w:r w:rsidRPr="00DA359F">
          <w:rPr>
            <w:rStyle w:val="TextoNormalCaracter"/>
          </w:rPr>
          <w:t>94/2023</w:t>
        </w:r>
      </w:hyperlink>
      <w:r>
        <w:t xml:space="preserve">, f. 4; </w:t>
      </w:r>
      <w:hyperlink w:anchor="SENTENCIA_2023_154" w:history="1">
        <w:r w:rsidRPr="00DA359F">
          <w:rPr>
            <w:rStyle w:val="TextoNormalCaracter"/>
          </w:rPr>
          <w:t>154/2023</w:t>
        </w:r>
      </w:hyperlink>
      <w:r>
        <w:t>, f. 2.</w:t>
      </w:r>
    </w:p>
    <w:p w14:paraId="3780A4C6" w14:textId="7B509EF9" w:rsidR="00DA359F" w:rsidRDefault="00DA359F" w:rsidP="00DA359F">
      <w:pPr>
        <w:pStyle w:val="SangriaFrancesaArticulo"/>
      </w:pPr>
      <w:r w:rsidRPr="00DA359F">
        <w:rPr>
          <w:rStyle w:val="TextoNormalNegritaCaracter"/>
        </w:rPr>
        <w:t>Artículo 16.1.</w:t>
      </w:r>
      <w:r w:rsidRPr="00DA359F">
        <w:rPr>
          <w:rStyle w:val="TextoNormalCaracter"/>
        </w:rPr>
        <w:t>-</w:t>
      </w:r>
      <w:r>
        <w:t xml:space="preserve"> Sentencias </w:t>
      </w:r>
      <w:hyperlink w:anchor="SENTENCIA_2023_79" w:history="1">
        <w:r w:rsidRPr="00DA359F">
          <w:rPr>
            <w:rStyle w:val="TextoNormalCaracter"/>
          </w:rPr>
          <w:t>79/2023</w:t>
        </w:r>
      </w:hyperlink>
      <w:r>
        <w:t xml:space="preserve">, ff. 1 a 5; </w:t>
      </w:r>
      <w:hyperlink w:anchor="SENTENCIA_2023_94" w:history="1">
        <w:r w:rsidRPr="00DA359F">
          <w:rPr>
            <w:rStyle w:val="TextoNormalCaracter"/>
          </w:rPr>
          <w:t>94/2023</w:t>
        </w:r>
      </w:hyperlink>
      <w:r>
        <w:t>, f. 4, VP II, VP III.</w:t>
      </w:r>
    </w:p>
    <w:p w14:paraId="61FCFA78" w14:textId="3B5290BB" w:rsidR="00DA359F" w:rsidRDefault="00DA359F" w:rsidP="00DA359F">
      <w:pPr>
        <w:pStyle w:val="SangriaFrancesaArticulo"/>
      </w:pPr>
      <w:r w:rsidRPr="00DA359F">
        <w:rPr>
          <w:rStyle w:val="TextoNormalNegritaCaracter"/>
        </w:rPr>
        <w:t>Artículo 17.</w:t>
      </w:r>
      <w:r w:rsidRPr="00DA359F">
        <w:rPr>
          <w:rStyle w:val="TextoNormalCaracter"/>
        </w:rPr>
        <w:t>-</w:t>
      </w:r>
      <w:r>
        <w:t xml:space="preserve"> Sentencias </w:t>
      </w:r>
      <w:hyperlink w:anchor="SENTENCIA_2023_123" w:history="1">
        <w:r w:rsidRPr="00DA359F">
          <w:rPr>
            <w:rStyle w:val="TextoNormalCaracter"/>
          </w:rPr>
          <w:t>123/2023</w:t>
        </w:r>
      </w:hyperlink>
      <w:r>
        <w:t xml:space="preserve">, f. 1; </w:t>
      </w:r>
      <w:hyperlink w:anchor="SENTENCIA_2023_136" w:history="1">
        <w:r w:rsidRPr="00DA359F">
          <w:rPr>
            <w:rStyle w:val="TextoNormalCaracter"/>
          </w:rPr>
          <w:t>136/2023</w:t>
        </w:r>
      </w:hyperlink>
      <w:r>
        <w:t xml:space="preserve">, ff. 5, 6; </w:t>
      </w:r>
      <w:hyperlink w:anchor="SENTENCIA_2023_184" w:history="1">
        <w:r w:rsidRPr="00DA359F">
          <w:rPr>
            <w:rStyle w:val="TextoNormalCaracter"/>
          </w:rPr>
          <w:t>184/2023</w:t>
        </w:r>
      </w:hyperlink>
      <w:r>
        <w:t>, ff. 2, 4, 5.</w:t>
      </w:r>
    </w:p>
    <w:p w14:paraId="0115FFBF" w14:textId="4A41A1D2" w:rsidR="00DA359F" w:rsidRDefault="00DA359F" w:rsidP="00DA359F">
      <w:pPr>
        <w:pStyle w:val="SangriaIzquierdaArticulo"/>
      </w:pPr>
      <w:r>
        <w:t xml:space="preserve">Auto </w:t>
      </w:r>
      <w:hyperlink w:anchor="AUTO_2023_378" w:history="1">
        <w:r w:rsidRPr="00DA359F">
          <w:rPr>
            <w:rStyle w:val="TextoNormalCaracter"/>
          </w:rPr>
          <w:t>378/2023</w:t>
        </w:r>
      </w:hyperlink>
      <w:r>
        <w:t>, f. 1.</w:t>
      </w:r>
    </w:p>
    <w:p w14:paraId="2830DC2B" w14:textId="57ACDABA" w:rsidR="00DA359F" w:rsidRDefault="00DA359F" w:rsidP="00DA359F">
      <w:pPr>
        <w:pStyle w:val="SangriaFrancesaArticulo"/>
      </w:pPr>
      <w:r w:rsidRPr="00DA359F">
        <w:rPr>
          <w:rStyle w:val="TextoNormalNegritaCaracter"/>
        </w:rPr>
        <w:t>Artículo 17.1.</w:t>
      </w:r>
      <w:r w:rsidRPr="00DA359F">
        <w:rPr>
          <w:rStyle w:val="TextoNormalCaracter"/>
        </w:rPr>
        <w:t>-</w:t>
      </w:r>
      <w:r>
        <w:t xml:space="preserve"> Sentencias </w:t>
      </w:r>
      <w:hyperlink w:anchor="SENTENCIA_2023_123" w:history="1">
        <w:r w:rsidRPr="00DA359F">
          <w:rPr>
            <w:rStyle w:val="TextoNormalCaracter"/>
          </w:rPr>
          <w:t>123/2023</w:t>
        </w:r>
      </w:hyperlink>
      <w:r>
        <w:t xml:space="preserve">, f. 1; </w:t>
      </w:r>
      <w:hyperlink w:anchor="SENTENCIA_2023_136" w:history="1">
        <w:r w:rsidRPr="00DA359F">
          <w:rPr>
            <w:rStyle w:val="TextoNormalCaracter"/>
          </w:rPr>
          <w:t>136/2023</w:t>
        </w:r>
      </w:hyperlink>
      <w:r>
        <w:t xml:space="preserve">, ff. 1, 3 a 7; </w:t>
      </w:r>
      <w:hyperlink w:anchor="SENTENCIA_2023_152" w:history="1">
        <w:r w:rsidRPr="00DA359F">
          <w:rPr>
            <w:rStyle w:val="TextoNormalCaracter"/>
          </w:rPr>
          <w:t>152/2023</w:t>
        </w:r>
      </w:hyperlink>
      <w:r>
        <w:t xml:space="preserve">, ff. 1 a 3; </w:t>
      </w:r>
      <w:hyperlink w:anchor="SENTENCIA_2023_184" w:history="1">
        <w:r w:rsidRPr="00DA359F">
          <w:rPr>
            <w:rStyle w:val="TextoNormalCaracter"/>
          </w:rPr>
          <w:t>184/2023</w:t>
        </w:r>
      </w:hyperlink>
      <w:r>
        <w:t>, f. 1.</w:t>
      </w:r>
    </w:p>
    <w:p w14:paraId="305A9DD0" w14:textId="1C3FC2B2" w:rsidR="00DA359F" w:rsidRDefault="00DA359F" w:rsidP="00DA359F">
      <w:pPr>
        <w:pStyle w:val="SangriaFrancesaArticulo"/>
      </w:pPr>
      <w:r w:rsidRPr="00DA359F">
        <w:rPr>
          <w:rStyle w:val="TextoNormalNegritaCaracter"/>
        </w:rPr>
        <w:t>Artículo 17.4.</w:t>
      </w:r>
      <w:r w:rsidRPr="00DA359F">
        <w:rPr>
          <w:rStyle w:val="TextoNormalCaracter"/>
        </w:rPr>
        <w:t>-</w:t>
      </w:r>
      <w:r>
        <w:t xml:space="preserve"> Sentencia </w:t>
      </w:r>
      <w:hyperlink w:anchor="SENTENCIA_2023_136" w:history="1">
        <w:r w:rsidRPr="00DA359F">
          <w:rPr>
            <w:rStyle w:val="TextoNormalCaracter"/>
          </w:rPr>
          <w:t>136/2023</w:t>
        </w:r>
      </w:hyperlink>
      <w:r>
        <w:t>, ff. 5 a 7.</w:t>
      </w:r>
    </w:p>
    <w:p w14:paraId="7DD1556A" w14:textId="3F118B4C" w:rsidR="00DA359F" w:rsidRDefault="00DA359F" w:rsidP="00DA359F">
      <w:pPr>
        <w:pStyle w:val="SangriaFrancesaArticulo"/>
      </w:pPr>
      <w:r w:rsidRPr="00DA359F">
        <w:rPr>
          <w:rStyle w:val="TextoNormalNegritaCaracter"/>
        </w:rPr>
        <w:t>Artículo 18.</w:t>
      </w:r>
      <w:r w:rsidRPr="00DA359F">
        <w:rPr>
          <w:rStyle w:val="TextoNormalCaracter"/>
        </w:rPr>
        <w:t>-</w:t>
      </w:r>
      <w:r>
        <w:t xml:space="preserve"> Sentencias </w:t>
      </w:r>
      <w:hyperlink w:anchor="SENTENCIA_2023_78" w:history="1">
        <w:r w:rsidRPr="00DA359F">
          <w:rPr>
            <w:rStyle w:val="TextoNormalCaracter"/>
          </w:rPr>
          <w:t>78/2023</w:t>
        </w:r>
      </w:hyperlink>
      <w:r>
        <w:t xml:space="preserve">, VP II; </w:t>
      </w:r>
      <w:hyperlink w:anchor="SENTENCIA_2023_163" w:history="1">
        <w:r w:rsidRPr="00DA359F">
          <w:rPr>
            <w:rStyle w:val="TextoNormalCaracter"/>
          </w:rPr>
          <w:t>163/2023</w:t>
        </w:r>
      </w:hyperlink>
      <w:r>
        <w:t>, f. único.</w:t>
      </w:r>
    </w:p>
    <w:p w14:paraId="72A89541" w14:textId="1DCCAD94" w:rsidR="00DA359F" w:rsidRDefault="00DA359F" w:rsidP="00DA359F">
      <w:pPr>
        <w:pStyle w:val="SangriaFrancesaArticulo"/>
      </w:pPr>
      <w:r w:rsidRPr="00DA359F">
        <w:rPr>
          <w:rStyle w:val="TextoNormalNegritaCaracter"/>
        </w:rPr>
        <w:t>Artículo 18.1.</w:t>
      </w:r>
      <w:r w:rsidRPr="00DA359F">
        <w:rPr>
          <w:rStyle w:val="TextoNormalCaracter"/>
        </w:rPr>
        <w:t>-</w:t>
      </w:r>
      <w:r>
        <w:t xml:space="preserve"> Sentencias </w:t>
      </w:r>
      <w:hyperlink w:anchor="SENTENCIA_2023_78" w:history="1">
        <w:r w:rsidRPr="00DA359F">
          <w:rPr>
            <w:rStyle w:val="TextoNormalCaracter"/>
          </w:rPr>
          <w:t>78/2023</w:t>
        </w:r>
      </w:hyperlink>
      <w:r>
        <w:t xml:space="preserve">, ff. 1, 2, 4, 5, VP II; </w:t>
      </w:r>
      <w:hyperlink w:anchor="SENTENCIA_2023_79" w:history="1">
        <w:r w:rsidRPr="00DA359F">
          <w:rPr>
            <w:rStyle w:val="TextoNormalCaracter"/>
          </w:rPr>
          <w:t>79/2023</w:t>
        </w:r>
      </w:hyperlink>
      <w:r>
        <w:t xml:space="preserve">, f. 2; </w:t>
      </w:r>
      <w:hyperlink w:anchor="SENTENCIA_2023_83" w:history="1">
        <w:r w:rsidRPr="00DA359F">
          <w:rPr>
            <w:rStyle w:val="TextoNormalCaracter"/>
          </w:rPr>
          <w:t>83/2023</w:t>
        </w:r>
      </w:hyperlink>
      <w:r>
        <w:t xml:space="preserve">, f. 4, VP II; </w:t>
      </w:r>
      <w:hyperlink w:anchor="SENTENCIA_2023_92" w:history="1">
        <w:r w:rsidRPr="00DA359F">
          <w:rPr>
            <w:rStyle w:val="TextoNormalCaracter"/>
          </w:rPr>
          <w:t>92/2023</w:t>
        </w:r>
      </w:hyperlink>
      <w:r>
        <w:t xml:space="preserve">, ff. 1 a 3, 5 a 9, VP; </w:t>
      </w:r>
      <w:hyperlink w:anchor="SENTENCIA_2023_154" w:history="1">
        <w:r w:rsidRPr="00DA359F">
          <w:rPr>
            <w:rStyle w:val="TextoNormalCaracter"/>
          </w:rPr>
          <w:t>154/2023</w:t>
        </w:r>
      </w:hyperlink>
      <w:r>
        <w:t xml:space="preserve">, f. 2; </w:t>
      </w:r>
      <w:hyperlink w:anchor="SENTENCIA_2023_163" w:history="1">
        <w:r w:rsidRPr="00DA359F">
          <w:rPr>
            <w:rStyle w:val="TextoNormalCaracter"/>
          </w:rPr>
          <w:t>163/2023</w:t>
        </w:r>
      </w:hyperlink>
      <w:r>
        <w:t xml:space="preserve">, f. único; </w:t>
      </w:r>
      <w:hyperlink w:anchor="SENTENCIA_2023_181" w:history="1">
        <w:r w:rsidRPr="00DA359F">
          <w:rPr>
            <w:rStyle w:val="TextoNormalCaracter"/>
          </w:rPr>
          <w:t>181/2023</w:t>
        </w:r>
      </w:hyperlink>
      <w:r>
        <w:t>, f. 2.</w:t>
      </w:r>
    </w:p>
    <w:p w14:paraId="66EDA4BF" w14:textId="4BD03B88" w:rsidR="00DA359F" w:rsidRDefault="00DA359F" w:rsidP="00DA359F">
      <w:pPr>
        <w:pStyle w:val="SangriaFrancesaArticulo"/>
      </w:pPr>
      <w:r w:rsidRPr="00DA359F">
        <w:rPr>
          <w:rStyle w:val="TextoNormalNegritaCaracter"/>
        </w:rPr>
        <w:t>Artículo 18.2.</w:t>
      </w:r>
      <w:r w:rsidRPr="00DA359F">
        <w:rPr>
          <w:rStyle w:val="TextoNormalCaracter"/>
        </w:rPr>
        <w:t>-</w:t>
      </w:r>
      <w:r>
        <w:t xml:space="preserve"> Sentencia </w:t>
      </w:r>
      <w:hyperlink w:anchor="SENTENCIA_2023_92" w:history="1">
        <w:r w:rsidRPr="00DA359F">
          <w:rPr>
            <w:rStyle w:val="TextoNormalCaracter"/>
          </w:rPr>
          <w:t>92/2023</w:t>
        </w:r>
      </w:hyperlink>
      <w:r>
        <w:t>, f. 6, VP.</w:t>
      </w:r>
    </w:p>
    <w:p w14:paraId="4594F0EF" w14:textId="1E044D47" w:rsidR="00DA359F" w:rsidRDefault="00DA359F" w:rsidP="00DA359F">
      <w:pPr>
        <w:pStyle w:val="SangriaFrancesaArticulo"/>
      </w:pPr>
      <w:r w:rsidRPr="00DA359F">
        <w:rPr>
          <w:rStyle w:val="TextoNormalNegritaCaracter"/>
        </w:rPr>
        <w:t>Artículo 19.</w:t>
      </w:r>
      <w:r w:rsidRPr="00DA359F">
        <w:rPr>
          <w:rStyle w:val="TextoNormalCaracter"/>
        </w:rPr>
        <w:t>-</w:t>
      </w:r>
      <w:r>
        <w:t xml:space="preserve"> Sentencia </w:t>
      </w:r>
      <w:hyperlink w:anchor="SENTENCIA_2023_90" w:history="1">
        <w:r w:rsidRPr="00DA359F">
          <w:rPr>
            <w:rStyle w:val="TextoNormalCaracter"/>
          </w:rPr>
          <w:t>90/2023</w:t>
        </w:r>
      </w:hyperlink>
      <w:r>
        <w:t>, ff. 1 a 3.</w:t>
      </w:r>
    </w:p>
    <w:p w14:paraId="1A0913CA" w14:textId="6F7A312D" w:rsidR="00DA359F" w:rsidRDefault="00DA359F" w:rsidP="00DA359F">
      <w:pPr>
        <w:pStyle w:val="SangriaIzquierdaArticulo"/>
      </w:pPr>
      <w:r>
        <w:t xml:space="preserve">Auto </w:t>
      </w:r>
      <w:hyperlink w:anchor="AUTO_2023_378" w:history="1">
        <w:r w:rsidRPr="00DA359F">
          <w:rPr>
            <w:rStyle w:val="TextoNormalCaracter"/>
          </w:rPr>
          <w:t>378/2023</w:t>
        </w:r>
      </w:hyperlink>
      <w:r>
        <w:t>, f. 1.</w:t>
      </w:r>
    </w:p>
    <w:p w14:paraId="7985E220" w14:textId="71E2438A" w:rsidR="00DA359F" w:rsidRDefault="00DA359F" w:rsidP="00DA359F">
      <w:pPr>
        <w:pStyle w:val="SangriaFrancesaArticulo"/>
      </w:pPr>
      <w:r w:rsidRPr="00DA359F">
        <w:rPr>
          <w:rStyle w:val="TextoNormalNegritaCaracter"/>
        </w:rPr>
        <w:t>Artículo 20.</w:t>
      </w:r>
      <w:r w:rsidRPr="00DA359F">
        <w:rPr>
          <w:rStyle w:val="TextoNormalCaracter"/>
        </w:rPr>
        <w:t>-</w:t>
      </w:r>
      <w:r>
        <w:t xml:space="preserve"> Sentencias </w:t>
      </w:r>
      <w:hyperlink w:anchor="SENTENCIA_2023_89" w:history="1">
        <w:r w:rsidRPr="00DA359F">
          <w:rPr>
            <w:rStyle w:val="TextoNormalCaracter"/>
          </w:rPr>
          <w:t>89/2023</w:t>
        </w:r>
      </w:hyperlink>
      <w:r>
        <w:t xml:space="preserve">, ff. 3, 4, VP I, VP II; </w:t>
      </w:r>
      <w:hyperlink w:anchor="SENTENCIA_2023_97" w:history="1">
        <w:r w:rsidRPr="00DA359F">
          <w:rPr>
            <w:rStyle w:val="TextoNormalCaracter"/>
          </w:rPr>
          <w:t>97/2023</w:t>
        </w:r>
      </w:hyperlink>
      <w:r>
        <w:t xml:space="preserve">, f. 2; </w:t>
      </w:r>
      <w:hyperlink w:anchor="SENTENCIA_2023_102" w:history="1">
        <w:r w:rsidRPr="00DA359F">
          <w:rPr>
            <w:rStyle w:val="TextoNormalCaracter"/>
          </w:rPr>
          <w:t>102/2023</w:t>
        </w:r>
      </w:hyperlink>
      <w:r>
        <w:t xml:space="preserve">, f. 2; </w:t>
      </w:r>
      <w:hyperlink w:anchor="SENTENCIA_2023_104" w:history="1">
        <w:r w:rsidRPr="00DA359F">
          <w:rPr>
            <w:rStyle w:val="TextoNormalCaracter"/>
          </w:rPr>
          <w:t>104/2023</w:t>
        </w:r>
      </w:hyperlink>
      <w:r>
        <w:t xml:space="preserve">, f. 2; </w:t>
      </w:r>
      <w:hyperlink w:anchor="SENTENCIA_2023_106" w:history="1">
        <w:r w:rsidRPr="00DA359F">
          <w:rPr>
            <w:rStyle w:val="TextoNormalCaracter"/>
          </w:rPr>
          <w:t>106/2023</w:t>
        </w:r>
      </w:hyperlink>
      <w:r>
        <w:t xml:space="preserve">, f. 2; </w:t>
      </w:r>
      <w:hyperlink w:anchor="SENTENCIA_2023_107" w:history="1">
        <w:r w:rsidRPr="00DA359F">
          <w:rPr>
            <w:rStyle w:val="TextoNormalCaracter"/>
          </w:rPr>
          <w:t>107/2023</w:t>
        </w:r>
      </w:hyperlink>
      <w:r>
        <w:t>, f. 2.</w:t>
      </w:r>
    </w:p>
    <w:p w14:paraId="03452598" w14:textId="4C394195" w:rsidR="00DA359F" w:rsidRDefault="00DA359F" w:rsidP="00DA359F">
      <w:pPr>
        <w:pStyle w:val="SangriaFrancesaArticulo"/>
      </w:pPr>
      <w:r w:rsidRPr="00DA359F">
        <w:rPr>
          <w:rStyle w:val="TextoNormalNegritaCaracter"/>
        </w:rPr>
        <w:t>Artículo 20.1.</w:t>
      </w:r>
      <w:r w:rsidRPr="00DA359F">
        <w:rPr>
          <w:rStyle w:val="TextoNormalCaracter"/>
        </w:rPr>
        <w:t>-</w:t>
      </w:r>
      <w:r>
        <w:t xml:space="preserve"> Sentencia </w:t>
      </w:r>
      <w:hyperlink w:anchor="SENTENCIA_2023_89" w:history="1">
        <w:r w:rsidRPr="00DA359F">
          <w:rPr>
            <w:rStyle w:val="TextoNormalCaracter"/>
          </w:rPr>
          <w:t>89/2023</w:t>
        </w:r>
      </w:hyperlink>
      <w:r>
        <w:t>, VP I, VP II, VP III.</w:t>
      </w:r>
    </w:p>
    <w:p w14:paraId="7308653A" w14:textId="58BC7391" w:rsidR="00DA359F" w:rsidRDefault="00DA359F" w:rsidP="00DA359F">
      <w:pPr>
        <w:pStyle w:val="SangriaFrancesaArticulo"/>
      </w:pPr>
      <w:r w:rsidRPr="00DA359F">
        <w:rPr>
          <w:rStyle w:val="TextoNormalNegritaCaracter"/>
        </w:rPr>
        <w:t>Artículo 20.1 a).</w:t>
      </w:r>
      <w:r w:rsidRPr="00DA359F">
        <w:rPr>
          <w:rStyle w:val="TextoNormalCaracter"/>
        </w:rPr>
        <w:t>-</w:t>
      </w:r>
      <w:r>
        <w:t xml:space="preserve"> Sentencias </w:t>
      </w:r>
      <w:hyperlink w:anchor="SENTENCIA_2023_79" w:history="1">
        <w:r w:rsidRPr="00DA359F">
          <w:rPr>
            <w:rStyle w:val="TextoNormalCaracter"/>
          </w:rPr>
          <w:t>79/2023</w:t>
        </w:r>
      </w:hyperlink>
      <w:r>
        <w:t xml:space="preserve">, ff. 2 a 5; </w:t>
      </w:r>
      <w:hyperlink w:anchor="SENTENCIA_2023_82" w:history="1">
        <w:r w:rsidRPr="00DA359F">
          <w:rPr>
            <w:rStyle w:val="TextoNormalCaracter"/>
          </w:rPr>
          <w:t>82/2023</w:t>
        </w:r>
      </w:hyperlink>
      <w:r>
        <w:t xml:space="preserve">, f. 1; </w:t>
      </w:r>
      <w:hyperlink w:anchor="SENTENCIA_2023_83" w:history="1">
        <w:r w:rsidRPr="00DA359F">
          <w:rPr>
            <w:rStyle w:val="TextoNormalCaracter"/>
          </w:rPr>
          <w:t>83/2023</w:t>
        </w:r>
      </w:hyperlink>
      <w:r>
        <w:t xml:space="preserve">, ff. 1, 3, 4, 6, VP I; </w:t>
      </w:r>
      <w:hyperlink w:anchor="SENTENCIA_2023_89" w:history="1">
        <w:r w:rsidRPr="00DA359F">
          <w:rPr>
            <w:rStyle w:val="TextoNormalCaracter"/>
          </w:rPr>
          <w:t>89/2023</w:t>
        </w:r>
      </w:hyperlink>
      <w:r>
        <w:t xml:space="preserve">, ff. 1 a 4, VP I, VP II, VP III; </w:t>
      </w:r>
      <w:hyperlink w:anchor="SENTENCIA_2023_97" w:history="1">
        <w:r w:rsidRPr="00DA359F">
          <w:rPr>
            <w:rStyle w:val="TextoNormalCaracter"/>
          </w:rPr>
          <w:t>97/2023</w:t>
        </w:r>
      </w:hyperlink>
      <w:r>
        <w:t xml:space="preserve">, ff. 1, 3; </w:t>
      </w:r>
      <w:hyperlink w:anchor="SENTENCIA_2023_98" w:history="1">
        <w:r w:rsidRPr="00DA359F">
          <w:rPr>
            <w:rStyle w:val="TextoNormalCaracter"/>
          </w:rPr>
          <w:t>98/2023</w:t>
        </w:r>
      </w:hyperlink>
      <w:r>
        <w:t xml:space="preserve">, ff. 1, 2; </w:t>
      </w:r>
      <w:hyperlink w:anchor="SENTENCIA_2023_99" w:history="1">
        <w:r w:rsidRPr="00DA359F">
          <w:rPr>
            <w:rStyle w:val="TextoNormalCaracter"/>
          </w:rPr>
          <w:t>99/2023</w:t>
        </w:r>
      </w:hyperlink>
      <w:r>
        <w:t xml:space="preserve">, ff. 1, 2; </w:t>
      </w:r>
      <w:hyperlink w:anchor="SENTENCIA_2023_100" w:history="1">
        <w:r w:rsidRPr="00DA359F">
          <w:rPr>
            <w:rStyle w:val="TextoNormalCaracter"/>
          </w:rPr>
          <w:t>100/2023</w:t>
        </w:r>
      </w:hyperlink>
      <w:r>
        <w:t xml:space="preserve">, ff. 1, 2; </w:t>
      </w:r>
      <w:hyperlink w:anchor="SENTENCIA_2023_102" w:history="1">
        <w:r w:rsidRPr="00DA359F">
          <w:rPr>
            <w:rStyle w:val="TextoNormalCaracter"/>
          </w:rPr>
          <w:t>102/2023</w:t>
        </w:r>
      </w:hyperlink>
      <w:r>
        <w:t xml:space="preserve">, ff. 1, 3; </w:t>
      </w:r>
      <w:hyperlink w:anchor="SENTENCIA_2023_103" w:history="1">
        <w:r w:rsidRPr="00DA359F">
          <w:rPr>
            <w:rStyle w:val="TextoNormalCaracter"/>
          </w:rPr>
          <w:t>103/2023</w:t>
        </w:r>
      </w:hyperlink>
      <w:r>
        <w:t xml:space="preserve">, ff. 1, 2; </w:t>
      </w:r>
      <w:hyperlink w:anchor="SENTENCIA_2023_104" w:history="1">
        <w:r w:rsidRPr="00DA359F">
          <w:rPr>
            <w:rStyle w:val="TextoNormalCaracter"/>
          </w:rPr>
          <w:t>104/2023</w:t>
        </w:r>
      </w:hyperlink>
      <w:r>
        <w:t xml:space="preserve">, ff. 1, 2; </w:t>
      </w:r>
      <w:hyperlink w:anchor="SENTENCIA_2023_105" w:history="1">
        <w:r w:rsidRPr="00DA359F">
          <w:rPr>
            <w:rStyle w:val="TextoNormalCaracter"/>
          </w:rPr>
          <w:t>105/2023</w:t>
        </w:r>
      </w:hyperlink>
      <w:r>
        <w:t xml:space="preserve">, ff. 1, 2; </w:t>
      </w:r>
      <w:hyperlink w:anchor="SENTENCIA_2023_106" w:history="1">
        <w:r w:rsidRPr="00DA359F">
          <w:rPr>
            <w:rStyle w:val="TextoNormalCaracter"/>
          </w:rPr>
          <w:t>106/2023</w:t>
        </w:r>
      </w:hyperlink>
      <w:r>
        <w:t xml:space="preserve">, ff. 1, 3; </w:t>
      </w:r>
      <w:hyperlink w:anchor="SENTENCIA_2023_107" w:history="1">
        <w:r w:rsidRPr="00DA359F">
          <w:rPr>
            <w:rStyle w:val="TextoNormalCaracter"/>
          </w:rPr>
          <w:t>107/2023</w:t>
        </w:r>
      </w:hyperlink>
      <w:r>
        <w:t xml:space="preserve">, ff. 1, 3; </w:t>
      </w:r>
      <w:hyperlink w:anchor="SENTENCIA_2023_108" w:history="1">
        <w:r w:rsidRPr="00DA359F">
          <w:rPr>
            <w:rStyle w:val="TextoNormalCaracter"/>
          </w:rPr>
          <w:t>108/2023</w:t>
        </w:r>
      </w:hyperlink>
      <w:r>
        <w:t xml:space="preserve">, ff. 1, 2; </w:t>
      </w:r>
      <w:hyperlink w:anchor="SENTENCIA_2023_109" w:history="1">
        <w:r w:rsidRPr="00DA359F">
          <w:rPr>
            <w:rStyle w:val="TextoNormalCaracter"/>
          </w:rPr>
          <w:t>109/2023</w:t>
        </w:r>
      </w:hyperlink>
      <w:r>
        <w:t xml:space="preserve">, ff. 1, 2; </w:t>
      </w:r>
      <w:hyperlink w:anchor="SENTENCIA_2023_110" w:history="1">
        <w:r w:rsidRPr="00DA359F">
          <w:rPr>
            <w:rStyle w:val="TextoNormalCaracter"/>
          </w:rPr>
          <w:t>110/2023</w:t>
        </w:r>
      </w:hyperlink>
      <w:r>
        <w:t xml:space="preserve">, ff. 1, 2; </w:t>
      </w:r>
      <w:hyperlink w:anchor="SENTENCIA_2023_111" w:history="1">
        <w:r w:rsidRPr="00DA359F">
          <w:rPr>
            <w:rStyle w:val="TextoNormalCaracter"/>
          </w:rPr>
          <w:t>111/2023</w:t>
        </w:r>
      </w:hyperlink>
      <w:r>
        <w:t xml:space="preserve">, ff. 1, 2; </w:t>
      </w:r>
      <w:hyperlink w:anchor="SENTENCIA_2023_112" w:history="1">
        <w:r w:rsidRPr="00DA359F">
          <w:rPr>
            <w:rStyle w:val="TextoNormalCaracter"/>
          </w:rPr>
          <w:t>112/2023</w:t>
        </w:r>
      </w:hyperlink>
      <w:r>
        <w:t xml:space="preserve">, ff. 1, 2; </w:t>
      </w:r>
      <w:hyperlink w:anchor="SENTENCIA_2023_113" w:history="1">
        <w:r w:rsidRPr="00DA359F">
          <w:rPr>
            <w:rStyle w:val="TextoNormalCaracter"/>
          </w:rPr>
          <w:t>113/2023</w:t>
        </w:r>
      </w:hyperlink>
      <w:r>
        <w:t xml:space="preserve">, ff. 1, 2; </w:t>
      </w:r>
      <w:hyperlink w:anchor="SENTENCIA_2023_114" w:history="1">
        <w:r w:rsidRPr="00DA359F">
          <w:rPr>
            <w:rStyle w:val="TextoNormalCaracter"/>
          </w:rPr>
          <w:t>114/2023</w:t>
        </w:r>
      </w:hyperlink>
      <w:r>
        <w:t xml:space="preserve">, ff. 1, 2; </w:t>
      </w:r>
      <w:hyperlink w:anchor="SENTENCIA_2023_115" w:history="1">
        <w:r w:rsidRPr="00DA359F">
          <w:rPr>
            <w:rStyle w:val="TextoNormalCaracter"/>
          </w:rPr>
          <w:t>115/2023</w:t>
        </w:r>
      </w:hyperlink>
      <w:r>
        <w:t xml:space="preserve">, ff. 1, 3; </w:t>
      </w:r>
      <w:hyperlink w:anchor="SENTENCIA_2023_117" w:history="1">
        <w:r w:rsidRPr="00DA359F">
          <w:rPr>
            <w:rStyle w:val="TextoNormalCaracter"/>
          </w:rPr>
          <w:t>117/2023</w:t>
        </w:r>
      </w:hyperlink>
      <w:r>
        <w:t xml:space="preserve">, ff. 1, 2; </w:t>
      </w:r>
      <w:hyperlink w:anchor="SENTENCIA_2023_118" w:history="1">
        <w:r w:rsidRPr="00DA359F">
          <w:rPr>
            <w:rStyle w:val="TextoNormalCaracter"/>
          </w:rPr>
          <w:t>118/2023</w:t>
        </w:r>
      </w:hyperlink>
      <w:r>
        <w:t xml:space="preserve">, ff. 1, 3; </w:t>
      </w:r>
      <w:hyperlink w:anchor="SENTENCIA_2023_119" w:history="1">
        <w:r w:rsidRPr="00DA359F">
          <w:rPr>
            <w:rStyle w:val="TextoNormalCaracter"/>
          </w:rPr>
          <w:t>119/2023</w:t>
        </w:r>
      </w:hyperlink>
      <w:r>
        <w:t xml:space="preserve">, ff. 1, 2; </w:t>
      </w:r>
      <w:hyperlink w:anchor="SENTENCIA_2023_120" w:history="1">
        <w:r w:rsidRPr="00DA359F">
          <w:rPr>
            <w:rStyle w:val="TextoNormalCaracter"/>
          </w:rPr>
          <w:t>120/2023</w:t>
        </w:r>
      </w:hyperlink>
      <w:r>
        <w:t xml:space="preserve">, ff. 1, 3; </w:t>
      </w:r>
      <w:hyperlink w:anchor="SENTENCIA_2023_121" w:history="1">
        <w:r w:rsidRPr="00DA359F">
          <w:rPr>
            <w:rStyle w:val="TextoNormalCaracter"/>
          </w:rPr>
          <w:t>121/2023</w:t>
        </w:r>
      </w:hyperlink>
      <w:r>
        <w:t>, ff. 1, 2.</w:t>
      </w:r>
    </w:p>
    <w:p w14:paraId="6BE7C9A8" w14:textId="6C62533A" w:rsidR="00DA359F" w:rsidRDefault="00DA359F" w:rsidP="00DA359F">
      <w:pPr>
        <w:pStyle w:val="SangriaFrancesaArticulo"/>
      </w:pPr>
      <w:r w:rsidRPr="00DA359F">
        <w:rPr>
          <w:rStyle w:val="TextoNormalNegritaCaracter"/>
        </w:rPr>
        <w:t>Artículo 20.1 b).</w:t>
      </w:r>
      <w:r w:rsidRPr="00DA359F">
        <w:rPr>
          <w:rStyle w:val="TextoNormalCaracter"/>
        </w:rPr>
        <w:t>-</w:t>
      </w:r>
      <w:r>
        <w:t xml:space="preserve"> Sentencia </w:t>
      </w:r>
      <w:hyperlink w:anchor="SENTENCIA_2023_119" w:history="1">
        <w:r w:rsidRPr="00DA359F">
          <w:rPr>
            <w:rStyle w:val="TextoNormalCaracter"/>
          </w:rPr>
          <w:t>119/2023</w:t>
        </w:r>
      </w:hyperlink>
      <w:r>
        <w:t>, ff. 1, 2.</w:t>
      </w:r>
    </w:p>
    <w:p w14:paraId="49339EBD" w14:textId="46EE7A8F" w:rsidR="00DA359F" w:rsidRDefault="00DA359F" w:rsidP="00DA359F">
      <w:pPr>
        <w:pStyle w:val="SangriaFrancesaArticulo"/>
      </w:pPr>
      <w:r w:rsidRPr="00DA359F">
        <w:rPr>
          <w:rStyle w:val="TextoNormalNegritaCaracter"/>
        </w:rPr>
        <w:t>Artículo 20.1 c).</w:t>
      </w:r>
      <w:r w:rsidRPr="00DA359F">
        <w:rPr>
          <w:rStyle w:val="TextoNormalCaracter"/>
        </w:rPr>
        <w:t>-</w:t>
      </w:r>
      <w:r>
        <w:t xml:space="preserve"> Sentencias </w:t>
      </w:r>
      <w:hyperlink w:anchor="SENTENCIA_2023_79" w:history="1">
        <w:r w:rsidRPr="00DA359F">
          <w:rPr>
            <w:rStyle w:val="TextoNormalCaracter"/>
          </w:rPr>
          <w:t>79/2023</w:t>
        </w:r>
      </w:hyperlink>
      <w:r>
        <w:t xml:space="preserve">, f. 4; </w:t>
      </w:r>
      <w:hyperlink w:anchor="SENTENCIA_2023_89" w:history="1">
        <w:r w:rsidRPr="00DA359F">
          <w:rPr>
            <w:rStyle w:val="TextoNormalCaracter"/>
          </w:rPr>
          <w:t>89/2023</w:t>
        </w:r>
      </w:hyperlink>
      <w:r>
        <w:t>, VP II.</w:t>
      </w:r>
    </w:p>
    <w:p w14:paraId="6D334F4E" w14:textId="057F2F87" w:rsidR="00DA359F" w:rsidRDefault="00DA359F" w:rsidP="00DA359F">
      <w:pPr>
        <w:pStyle w:val="SangriaFrancesaArticulo"/>
      </w:pPr>
      <w:r w:rsidRPr="00DA359F">
        <w:rPr>
          <w:rStyle w:val="TextoNormalNegritaCaracter"/>
        </w:rPr>
        <w:t>Artículo 20.1 d).</w:t>
      </w:r>
      <w:r w:rsidRPr="00DA359F">
        <w:rPr>
          <w:rStyle w:val="TextoNormalCaracter"/>
        </w:rPr>
        <w:t>-</w:t>
      </w:r>
      <w:r>
        <w:t xml:space="preserve"> Sentencias </w:t>
      </w:r>
      <w:hyperlink w:anchor="SENTENCIA_2023_83" w:history="1">
        <w:r w:rsidRPr="00DA359F">
          <w:rPr>
            <w:rStyle w:val="TextoNormalCaracter"/>
          </w:rPr>
          <w:t>83/2023</w:t>
        </w:r>
      </w:hyperlink>
      <w:r>
        <w:t xml:space="preserve">, f. 4, VP I; </w:t>
      </w:r>
      <w:hyperlink w:anchor="SENTENCIA_2023_89" w:history="1">
        <w:r w:rsidRPr="00DA359F">
          <w:rPr>
            <w:rStyle w:val="TextoNormalCaracter"/>
          </w:rPr>
          <w:t>89/2023</w:t>
        </w:r>
      </w:hyperlink>
      <w:r>
        <w:t xml:space="preserve">, ff. 1 a 4, VP I, VP II, VP III; </w:t>
      </w:r>
      <w:hyperlink w:anchor="SENTENCIA_2023_97" w:history="1">
        <w:r w:rsidRPr="00DA359F">
          <w:rPr>
            <w:rStyle w:val="TextoNormalCaracter"/>
          </w:rPr>
          <w:t>97/2023</w:t>
        </w:r>
      </w:hyperlink>
      <w:r>
        <w:t xml:space="preserve">, ff. 1, 3; </w:t>
      </w:r>
      <w:hyperlink w:anchor="SENTENCIA_2023_98" w:history="1">
        <w:r w:rsidRPr="00DA359F">
          <w:rPr>
            <w:rStyle w:val="TextoNormalCaracter"/>
          </w:rPr>
          <w:t>98/2023</w:t>
        </w:r>
      </w:hyperlink>
      <w:r>
        <w:t xml:space="preserve">, ff. 1, 2; </w:t>
      </w:r>
      <w:hyperlink w:anchor="SENTENCIA_2023_99" w:history="1">
        <w:r w:rsidRPr="00DA359F">
          <w:rPr>
            <w:rStyle w:val="TextoNormalCaracter"/>
          </w:rPr>
          <w:t>99/2023</w:t>
        </w:r>
      </w:hyperlink>
      <w:r>
        <w:t xml:space="preserve">, ff. 1, 2; </w:t>
      </w:r>
      <w:hyperlink w:anchor="SENTENCIA_2023_100" w:history="1">
        <w:r w:rsidRPr="00DA359F">
          <w:rPr>
            <w:rStyle w:val="TextoNormalCaracter"/>
          </w:rPr>
          <w:t>100/2023</w:t>
        </w:r>
      </w:hyperlink>
      <w:r>
        <w:t xml:space="preserve">, ff. 1, 2; </w:t>
      </w:r>
      <w:hyperlink w:anchor="SENTENCIA_2023_102" w:history="1">
        <w:r w:rsidRPr="00DA359F">
          <w:rPr>
            <w:rStyle w:val="TextoNormalCaracter"/>
          </w:rPr>
          <w:t>102/2023</w:t>
        </w:r>
      </w:hyperlink>
      <w:r>
        <w:t xml:space="preserve">, ff. 1, 3; </w:t>
      </w:r>
      <w:hyperlink w:anchor="SENTENCIA_2023_103" w:history="1">
        <w:r w:rsidRPr="00DA359F">
          <w:rPr>
            <w:rStyle w:val="TextoNormalCaracter"/>
          </w:rPr>
          <w:t>103/2023</w:t>
        </w:r>
      </w:hyperlink>
      <w:r>
        <w:t xml:space="preserve">, ff. 1, 2; </w:t>
      </w:r>
      <w:hyperlink w:anchor="SENTENCIA_2023_104" w:history="1">
        <w:r w:rsidRPr="00DA359F">
          <w:rPr>
            <w:rStyle w:val="TextoNormalCaracter"/>
          </w:rPr>
          <w:t>104/2023</w:t>
        </w:r>
      </w:hyperlink>
      <w:r>
        <w:t xml:space="preserve">, ff. 1, 2; </w:t>
      </w:r>
      <w:hyperlink w:anchor="SENTENCIA_2023_105" w:history="1">
        <w:r w:rsidRPr="00DA359F">
          <w:rPr>
            <w:rStyle w:val="TextoNormalCaracter"/>
          </w:rPr>
          <w:t>105/2023</w:t>
        </w:r>
      </w:hyperlink>
      <w:r>
        <w:t xml:space="preserve">, ff. 1, 2; </w:t>
      </w:r>
      <w:hyperlink w:anchor="SENTENCIA_2023_106" w:history="1">
        <w:r w:rsidRPr="00DA359F">
          <w:rPr>
            <w:rStyle w:val="TextoNormalCaracter"/>
          </w:rPr>
          <w:t>106/2023</w:t>
        </w:r>
      </w:hyperlink>
      <w:r>
        <w:t xml:space="preserve">, ff. 1, 3; </w:t>
      </w:r>
      <w:hyperlink w:anchor="SENTENCIA_2023_107" w:history="1">
        <w:r w:rsidRPr="00DA359F">
          <w:rPr>
            <w:rStyle w:val="TextoNormalCaracter"/>
          </w:rPr>
          <w:t>107/2023</w:t>
        </w:r>
      </w:hyperlink>
      <w:r>
        <w:t xml:space="preserve">, ff. 1, 3; </w:t>
      </w:r>
      <w:hyperlink w:anchor="SENTENCIA_2023_108" w:history="1">
        <w:r w:rsidRPr="00DA359F">
          <w:rPr>
            <w:rStyle w:val="TextoNormalCaracter"/>
          </w:rPr>
          <w:t>108/2023</w:t>
        </w:r>
      </w:hyperlink>
      <w:r>
        <w:t xml:space="preserve">, ff. 1, 2; </w:t>
      </w:r>
      <w:hyperlink w:anchor="SENTENCIA_2023_109" w:history="1">
        <w:r w:rsidRPr="00DA359F">
          <w:rPr>
            <w:rStyle w:val="TextoNormalCaracter"/>
          </w:rPr>
          <w:t>109/2023</w:t>
        </w:r>
      </w:hyperlink>
      <w:r>
        <w:t xml:space="preserve">, ff. 1, 2; </w:t>
      </w:r>
      <w:hyperlink w:anchor="SENTENCIA_2023_110" w:history="1">
        <w:r w:rsidRPr="00DA359F">
          <w:rPr>
            <w:rStyle w:val="TextoNormalCaracter"/>
          </w:rPr>
          <w:t>110/2023</w:t>
        </w:r>
      </w:hyperlink>
      <w:r>
        <w:t xml:space="preserve">, ff. 1, 2; </w:t>
      </w:r>
      <w:hyperlink w:anchor="SENTENCIA_2023_111" w:history="1">
        <w:r w:rsidRPr="00DA359F">
          <w:rPr>
            <w:rStyle w:val="TextoNormalCaracter"/>
          </w:rPr>
          <w:t>111/2023</w:t>
        </w:r>
      </w:hyperlink>
      <w:r>
        <w:t xml:space="preserve">, ff. 1, 2; </w:t>
      </w:r>
      <w:hyperlink w:anchor="SENTENCIA_2023_112" w:history="1">
        <w:r w:rsidRPr="00DA359F">
          <w:rPr>
            <w:rStyle w:val="TextoNormalCaracter"/>
          </w:rPr>
          <w:t>112/2023</w:t>
        </w:r>
      </w:hyperlink>
      <w:r>
        <w:t xml:space="preserve">, ff. 1, 2; </w:t>
      </w:r>
      <w:hyperlink w:anchor="SENTENCIA_2023_113" w:history="1">
        <w:r w:rsidRPr="00DA359F">
          <w:rPr>
            <w:rStyle w:val="TextoNormalCaracter"/>
          </w:rPr>
          <w:t>113/2023</w:t>
        </w:r>
      </w:hyperlink>
      <w:r>
        <w:t xml:space="preserve">, ff. 1, 2; </w:t>
      </w:r>
      <w:hyperlink w:anchor="SENTENCIA_2023_114" w:history="1">
        <w:r w:rsidRPr="00DA359F">
          <w:rPr>
            <w:rStyle w:val="TextoNormalCaracter"/>
          </w:rPr>
          <w:t>114/2023</w:t>
        </w:r>
      </w:hyperlink>
      <w:r>
        <w:t xml:space="preserve">, ff. 1, 2; </w:t>
      </w:r>
      <w:hyperlink w:anchor="SENTENCIA_2023_115" w:history="1">
        <w:r w:rsidRPr="00DA359F">
          <w:rPr>
            <w:rStyle w:val="TextoNormalCaracter"/>
          </w:rPr>
          <w:t>115/2023</w:t>
        </w:r>
      </w:hyperlink>
      <w:r>
        <w:t xml:space="preserve">, ff. 1, 3; </w:t>
      </w:r>
      <w:hyperlink w:anchor="SENTENCIA_2023_117" w:history="1">
        <w:r w:rsidRPr="00DA359F">
          <w:rPr>
            <w:rStyle w:val="TextoNormalCaracter"/>
          </w:rPr>
          <w:t>117/2023</w:t>
        </w:r>
      </w:hyperlink>
      <w:r>
        <w:t xml:space="preserve">, ff. 1, 2; </w:t>
      </w:r>
      <w:hyperlink w:anchor="SENTENCIA_2023_118" w:history="1">
        <w:r w:rsidRPr="00DA359F">
          <w:rPr>
            <w:rStyle w:val="TextoNormalCaracter"/>
          </w:rPr>
          <w:t>118/2023</w:t>
        </w:r>
      </w:hyperlink>
      <w:r>
        <w:t xml:space="preserve">, ff. 1, 3; </w:t>
      </w:r>
      <w:hyperlink w:anchor="SENTENCIA_2023_120" w:history="1">
        <w:r w:rsidRPr="00DA359F">
          <w:rPr>
            <w:rStyle w:val="TextoNormalCaracter"/>
          </w:rPr>
          <w:t>120/2023</w:t>
        </w:r>
      </w:hyperlink>
      <w:r>
        <w:t xml:space="preserve">, ff. 1, 3; </w:t>
      </w:r>
      <w:hyperlink w:anchor="SENTENCIA_2023_121" w:history="1">
        <w:r w:rsidRPr="00DA359F">
          <w:rPr>
            <w:rStyle w:val="TextoNormalCaracter"/>
          </w:rPr>
          <w:t>121/2023</w:t>
        </w:r>
      </w:hyperlink>
      <w:r>
        <w:t xml:space="preserve">, ff. 1, 2; </w:t>
      </w:r>
      <w:hyperlink w:anchor="SENTENCIA_2023_169" w:history="1">
        <w:r w:rsidRPr="00DA359F">
          <w:rPr>
            <w:rStyle w:val="TextoNormalCaracter"/>
          </w:rPr>
          <w:t>169/2023</w:t>
        </w:r>
      </w:hyperlink>
      <w:r>
        <w:t>, f. 1.</w:t>
      </w:r>
    </w:p>
    <w:p w14:paraId="75C79B03" w14:textId="5074991F" w:rsidR="00DA359F" w:rsidRDefault="00DA359F" w:rsidP="00DA359F">
      <w:pPr>
        <w:pStyle w:val="SangriaFrancesaArticulo"/>
      </w:pPr>
      <w:r w:rsidRPr="00DA359F">
        <w:rPr>
          <w:rStyle w:val="TextoNormalNegritaCaracter"/>
        </w:rPr>
        <w:t>Artículo 20.4.</w:t>
      </w:r>
      <w:r w:rsidRPr="00DA359F">
        <w:rPr>
          <w:rStyle w:val="TextoNormalCaracter"/>
        </w:rPr>
        <w:t>-</w:t>
      </w:r>
      <w:r>
        <w:t xml:space="preserve"> Sentencia </w:t>
      </w:r>
      <w:hyperlink w:anchor="SENTENCIA_2023_83" w:history="1">
        <w:r w:rsidRPr="00DA359F">
          <w:rPr>
            <w:rStyle w:val="TextoNormalCaracter"/>
          </w:rPr>
          <w:t>83/2023</w:t>
        </w:r>
      </w:hyperlink>
      <w:r>
        <w:t>, f. 4.</w:t>
      </w:r>
    </w:p>
    <w:p w14:paraId="2C0DC047" w14:textId="41CC027E" w:rsidR="00DA359F" w:rsidRDefault="00DA359F" w:rsidP="00DA359F">
      <w:pPr>
        <w:pStyle w:val="SangriaFrancesaArticulo"/>
      </w:pPr>
      <w:r w:rsidRPr="00DA359F">
        <w:rPr>
          <w:rStyle w:val="TextoNormalNegritaCaracter"/>
        </w:rPr>
        <w:t>Artículo 21.</w:t>
      </w:r>
      <w:r w:rsidRPr="00DA359F">
        <w:rPr>
          <w:rStyle w:val="TextoNormalCaracter"/>
        </w:rPr>
        <w:t>-</w:t>
      </w:r>
      <w:r>
        <w:t xml:space="preserve"> Sentencias </w:t>
      </w:r>
      <w:hyperlink w:anchor="SENTENCIA_2023_79" w:history="1">
        <w:r w:rsidRPr="00DA359F">
          <w:rPr>
            <w:rStyle w:val="TextoNormalCaracter"/>
          </w:rPr>
          <w:t>79/2023</w:t>
        </w:r>
      </w:hyperlink>
      <w:r>
        <w:t xml:space="preserve">, ff. 2 a 5; </w:t>
      </w:r>
      <w:hyperlink w:anchor="SENTENCIA_2023_84" w:history="1">
        <w:r w:rsidRPr="00DA359F">
          <w:rPr>
            <w:rStyle w:val="TextoNormalCaracter"/>
          </w:rPr>
          <w:t>84/2023</w:t>
        </w:r>
      </w:hyperlink>
      <w:r>
        <w:t xml:space="preserve">, ff. 1 a 4, VP; </w:t>
      </w:r>
      <w:hyperlink w:anchor="SENTENCIA_2023_88" w:history="1">
        <w:r w:rsidRPr="00DA359F">
          <w:rPr>
            <w:rStyle w:val="TextoNormalCaracter"/>
          </w:rPr>
          <w:t>88/2023</w:t>
        </w:r>
      </w:hyperlink>
      <w:r>
        <w:t xml:space="preserve">, ff. 1 a 5; </w:t>
      </w:r>
      <w:hyperlink w:anchor="SENTENCIA_2023_164" w:history="1">
        <w:r w:rsidRPr="00DA359F">
          <w:rPr>
            <w:rStyle w:val="TextoNormalCaracter"/>
          </w:rPr>
          <w:t>164/2023</w:t>
        </w:r>
      </w:hyperlink>
      <w:r>
        <w:t xml:space="preserve">, ff. 1 a 3, VP I; </w:t>
      </w:r>
      <w:hyperlink w:anchor="SENTENCIA_2023_173" w:history="1">
        <w:r w:rsidRPr="00DA359F">
          <w:rPr>
            <w:rStyle w:val="TextoNormalCaracter"/>
          </w:rPr>
          <w:t>173/2023</w:t>
        </w:r>
      </w:hyperlink>
      <w:r>
        <w:t xml:space="preserve">, f. único, VP I, VP II; </w:t>
      </w:r>
      <w:hyperlink w:anchor="SENTENCIA_2023_174" w:history="1">
        <w:r w:rsidRPr="00DA359F">
          <w:rPr>
            <w:rStyle w:val="TextoNormalCaracter"/>
          </w:rPr>
          <w:t>174/2023</w:t>
        </w:r>
      </w:hyperlink>
      <w:r>
        <w:t xml:space="preserve">, ff. 1, 3; </w:t>
      </w:r>
      <w:hyperlink w:anchor="SENTENCIA_2023_175" w:history="1">
        <w:r w:rsidRPr="00DA359F">
          <w:rPr>
            <w:rStyle w:val="TextoNormalCaracter"/>
          </w:rPr>
          <w:t>175/2023</w:t>
        </w:r>
      </w:hyperlink>
      <w:r>
        <w:t xml:space="preserve">, ff. 1, 2, VP I, VP II; </w:t>
      </w:r>
      <w:hyperlink w:anchor="SENTENCIA_2023_176" w:history="1">
        <w:r w:rsidRPr="00DA359F">
          <w:rPr>
            <w:rStyle w:val="TextoNormalCaracter"/>
          </w:rPr>
          <w:t>176/2023</w:t>
        </w:r>
      </w:hyperlink>
      <w:r>
        <w:t xml:space="preserve">, f. único, VP I, VP II; </w:t>
      </w:r>
      <w:hyperlink w:anchor="SENTENCIA_2023_177" w:history="1">
        <w:r w:rsidRPr="00DA359F">
          <w:rPr>
            <w:rStyle w:val="TextoNormalCaracter"/>
          </w:rPr>
          <w:t>177/2023</w:t>
        </w:r>
      </w:hyperlink>
      <w:r>
        <w:t xml:space="preserve">, ff. 1, 3; </w:t>
      </w:r>
      <w:hyperlink w:anchor="SENTENCIA_2023_178" w:history="1">
        <w:r w:rsidRPr="00DA359F">
          <w:rPr>
            <w:rStyle w:val="TextoNormalCaracter"/>
          </w:rPr>
          <w:t>178/2023</w:t>
        </w:r>
      </w:hyperlink>
      <w:r>
        <w:t xml:space="preserve">, f. único, VP I, VP II; </w:t>
      </w:r>
      <w:hyperlink w:anchor="SENTENCIA_2023_188" w:history="1">
        <w:r w:rsidRPr="00DA359F">
          <w:rPr>
            <w:rStyle w:val="TextoNormalCaracter"/>
          </w:rPr>
          <w:t>188/2023</w:t>
        </w:r>
      </w:hyperlink>
      <w:r>
        <w:t>, f. único, VP I, VP II.</w:t>
      </w:r>
    </w:p>
    <w:p w14:paraId="19FF1DF0" w14:textId="25E3D462" w:rsidR="00DA359F" w:rsidRDefault="00DA359F" w:rsidP="00DA359F">
      <w:pPr>
        <w:pStyle w:val="SangriaFrancesaArticulo"/>
      </w:pPr>
      <w:r w:rsidRPr="00DA359F">
        <w:rPr>
          <w:rStyle w:val="TextoNormalNegritaCaracter"/>
        </w:rPr>
        <w:t>Artículo 21.1.</w:t>
      </w:r>
      <w:r w:rsidRPr="00DA359F">
        <w:rPr>
          <w:rStyle w:val="TextoNormalCaracter"/>
        </w:rPr>
        <w:t>-</w:t>
      </w:r>
      <w:r>
        <w:t xml:space="preserve"> Sentencia </w:t>
      </w:r>
      <w:hyperlink w:anchor="SENTENCIA_2023_79" w:history="1">
        <w:r w:rsidRPr="00DA359F">
          <w:rPr>
            <w:rStyle w:val="TextoNormalCaracter"/>
          </w:rPr>
          <w:t>79/2023</w:t>
        </w:r>
      </w:hyperlink>
      <w:r>
        <w:t>, f. 2.</w:t>
      </w:r>
    </w:p>
    <w:p w14:paraId="1E639FEA" w14:textId="39BEEF3B" w:rsidR="00DA359F" w:rsidRDefault="00DA359F" w:rsidP="00DA359F">
      <w:pPr>
        <w:pStyle w:val="SangriaFrancesaArticulo"/>
      </w:pPr>
      <w:r w:rsidRPr="00DA359F">
        <w:rPr>
          <w:rStyle w:val="TextoNormalNegritaCaracter"/>
        </w:rPr>
        <w:t>Artículo 21.2.</w:t>
      </w:r>
      <w:r w:rsidRPr="00DA359F">
        <w:rPr>
          <w:rStyle w:val="TextoNormalCaracter"/>
        </w:rPr>
        <w:t>-</w:t>
      </w:r>
      <w:r>
        <w:t xml:space="preserve"> Sentencias </w:t>
      </w:r>
      <w:hyperlink w:anchor="SENTENCIA_2023_84" w:history="1">
        <w:r w:rsidRPr="00DA359F">
          <w:rPr>
            <w:rStyle w:val="TextoNormalCaracter"/>
          </w:rPr>
          <w:t>84/2023</w:t>
        </w:r>
      </w:hyperlink>
      <w:r>
        <w:t xml:space="preserve">, f. 3, VP; </w:t>
      </w:r>
      <w:hyperlink w:anchor="SENTENCIA_2023_88" w:history="1">
        <w:r w:rsidRPr="00DA359F">
          <w:rPr>
            <w:rStyle w:val="TextoNormalCaracter"/>
          </w:rPr>
          <w:t>88/2023</w:t>
        </w:r>
      </w:hyperlink>
      <w:r>
        <w:t xml:space="preserve">, ff. 2, 4; </w:t>
      </w:r>
      <w:hyperlink w:anchor="SENTENCIA_2023_164" w:history="1">
        <w:r w:rsidRPr="00DA359F">
          <w:rPr>
            <w:rStyle w:val="TextoNormalCaracter"/>
          </w:rPr>
          <w:t>164/2023</w:t>
        </w:r>
      </w:hyperlink>
      <w:r>
        <w:t xml:space="preserve">, ff. 2, 3, VP I, VP II; </w:t>
      </w:r>
      <w:hyperlink w:anchor="SENTENCIA_2023_174" w:history="1">
        <w:r w:rsidRPr="00DA359F">
          <w:rPr>
            <w:rStyle w:val="TextoNormalCaracter"/>
          </w:rPr>
          <w:t>174/2023</w:t>
        </w:r>
      </w:hyperlink>
      <w:r>
        <w:t>, f. 2.</w:t>
      </w:r>
    </w:p>
    <w:p w14:paraId="357703A9" w14:textId="263EBEB7" w:rsidR="00DA359F" w:rsidRDefault="00DA359F" w:rsidP="00DA359F">
      <w:pPr>
        <w:pStyle w:val="SangriaFrancesaArticulo"/>
      </w:pPr>
      <w:r w:rsidRPr="00DA359F">
        <w:rPr>
          <w:rStyle w:val="TextoNormalNegritaCaracter"/>
        </w:rPr>
        <w:t>Artículo 22.</w:t>
      </w:r>
      <w:r w:rsidRPr="00DA359F">
        <w:rPr>
          <w:rStyle w:val="TextoNormalCaracter"/>
        </w:rPr>
        <w:t>-</w:t>
      </w:r>
      <w:r>
        <w:t xml:space="preserve"> Sentencias </w:t>
      </w:r>
      <w:hyperlink w:anchor="SENTENCIA_2023_94" w:history="1">
        <w:r w:rsidRPr="00DA359F">
          <w:rPr>
            <w:rStyle w:val="TextoNormalCaracter"/>
          </w:rPr>
          <w:t>94/2023</w:t>
        </w:r>
      </w:hyperlink>
      <w:r>
        <w:t xml:space="preserve">, VP III; </w:t>
      </w:r>
      <w:hyperlink w:anchor="SENTENCIA_2023_129" w:history="1">
        <w:r w:rsidRPr="00DA359F">
          <w:rPr>
            <w:rStyle w:val="TextoNormalCaracter"/>
          </w:rPr>
          <w:t>129/2023</w:t>
        </w:r>
      </w:hyperlink>
      <w:r>
        <w:t>, ff. 1 a 4.</w:t>
      </w:r>
    </w:p>
    <w:p w14:paraId="679D4CA4" w14:textId="48738105" w:rsidR="00DA359F" w:rsidRDefault="00DA359F" w:rsidP="00DA359F">
      <w:pPr>
        <w:pStyle w:val="SangriaFrancesaArticulo"/>
      </w:pPr>
      <w:r w:rsidRPr="00DA359F">
        <w:rPr>
          <w:rStyle w:val="TextoNormalNegritaCaracter"/>
        </w:rPr>
        <w:t>Artículo 23.</w:t>
      </w:r>
      <w:r w:rsidRPr="00DA359F">
        <w:rPr>
          <w:rStyle w:val="TextoNormalCaracter"/>
        </w:rPr>
        <w:t>-</w:t>
      </w:r>
      <w:r>
        <w:t xml:space="preserve"> Sentencias </w:t>
      </w:r>
      <w:hyperlink w:anchor="SENTENCIA_2023_85" w:history="1">
        <w:r w:rsidRPr="00DA359F">
          <w:rPr>
            <w:rStyle w:val="TextoNormalCaracter"/>
          </w:rPr>
          <w:t>85/2023</w:t>
        </w:r>
      </w:hyperlink>
      <w:r>
        <w:t xml:space="preserve">, ff. 1, 2; </w:t>
      </w:r>
      <w:hyperlink w:anchor="SENTENCIA_2023_93" w:history="1">
        <w:r w:rsidRPr="00DA359F">
          <w:rPr>
            <w:rStyle w:val="TextoNormalCaracter"/>
          </w:rPr>
          <w:t>93/2023</w:t>
        </w:r>
      </w:hyperlink>
      <w:r>
        <w:t xml:space="preserve">, ff. 3, 4; </w:t>
      </w:r>
      <w:hyperlink w:anchor="SENTENCIA_2023_94" w:history="1">
        <w:r w:rsidRPr="00DA359F">
          <w:rPr>
            <w:rStyle w:val="TextoNormalCaracter"/>
          </w:rPr>
          <w:t>94/2023</w:t>
        </w:r>
      </w:hyperlink>
      <w:r>
        <w:t xml:space="preserve">, f. 2; </w:t>
      </w:r>
      <w:hyperlink w:anchor="SENTENCIA_2023_95" w:history="1">
        <w:r w:rsidRPr="00DA359F">
          <w:rPr>
            <w:rStyle w:val="TextoNormalCaracter"/>
          </w:rPr>
          <w:t>95/2023</w:t>
        </w:r>
      </w:hyperlink>
      <w:r>
        <w:t xml:space="preserve">, ff. 4 a 7, VP; </w:t>
      </w:r>
      <w:hyperlink w:anchor="SENTENCIA_2023_125" w:history="1">
        <w:r w:rsidRPr="00DA359F">
          <w:rPr>
            <w:rStyle w:val="TextoNormalCaracter"/>
          </w:rPr>
          <w:t>125/2023</w:t>
        </w:r>
      </w:hyperlink>
      <w:r>
        <w:t xml:space="preserve">, ff. 1, 2; </w:t>
      </w:r>
      <w:hyperlink w:anchor="SENTENCIA_2023_128" w:history="1">
        <w:r w:rsidRPr="00DA359F">
          <w:rPr>
            <w:rStyle w:val="TextoNormalCaracter"/>
          </w:rPr>
          <w:t>128/2023</w:t>
        </w:r>
      </w:hyperlink>
      <w:r>
        <w:t xml:space="preserve">, ff. 1, 3, 6; </w:t>
      </w:r>
      <w:hyperlink w:anchor="SENTENCIA_2023_132" w:history="1">
        <w:r w:rsidRPr="00DA359F">
          <w:rPr>
            <w:rStyle w:val="TextoNormalCaracter"/>
          </w:rPr>
          <w:t>132/2023</w:t>
        </w:r>
      </w:hyperlink>
      <w:r>
        <w:t xml:space="preserve">, ff. 1, 3; </w:t>
      </w:r>
      <w:hyperlink w:anchor="SENTENCIA_2023_133" w:history="1">
        <w:r w:rsidRPr="00DA359F">
          <w:rPr>
            <w:rStyle w:val="TextoNormalCaracter"/>
          </w:rPr>
          <w:t>133/2023</w:t>
        </w:r>
      </w:hyperlink>
      <w:r>
        <w:t xml:space="preserve">, f. 2; </w:t>
      </w:r>
      <w:hyperlink w:anchor="SENTENCIA_2023_135" w:history="1">
        <w:r w:rsidRPr="00DA359F">
          <w:rPr>
            <w:rStyle w:val="TextoNormalCaracter"/>
          </w:rPr>
          <w:t>135/2023</w:t>
        </w:r>
      </w:hyperlink>
      <w:r>
        <w:t xml:space="preserve">, f. 1; </w:t>
      </w:r>
      <w:hyperlink w:anchor="SENTENCIA_2023_140" w:history="1">
        <w:r w:rsidRPr="00DA359F">
          <w:rPr>
            <w:rStyle w:val="TextoNormalCaracter"/>
          </w:rPr>
          <w:t>140/2023</w:t>
        </w:r>
      </w:hyperlink>
      <w:r>
        <w:t xml:space="preserve">, f. 2; </w:t>
      </w:r>
      <w:hyperlink w:anchor="SENTENCIA_2023_165" w:history="1">
        <w:r w:rsidRPr="00DA359F">
          <w:rPr>
            <w:rStyle w:val="TextoNormalCaracter"/>
          </w:rPr>
          <w:t>165/2023</w:t>
        </w:r>
      </w:hyperlink>
      <w:r>
        <w:t xml:space="preserve">, f. 3; </w:t>
      </w:r>
      <w:hyperlink w:anchor="SENTENCIA_2023_167" w:history="1">
        <w:r w:rsidRPr="00DA359F">
          <w:rPr>
            <w:rStyle w:val="TextoNormalCaracter"/>
          </w:rPr>
          <w:t>167/2023</w:t>
        </w:r>
      </w:hyperlink>
      <w:r>
        <w:t xml:space="preserve">, f. 10; </w:t>
      </w:r>
      <w:hyperlink w:anchor="SENTENCIA_2023_189" w:history="1">
        <w:r w:rsidRPr="00DA359F">
          <w:rPr>
            <w:rStyle w:val="TextoNormalCaracter"/>
          </w:rPr>
          <w:t>189/2023</w:t>
        </w:r>
      </w:hyperlink>
      <w:r>
        <w:t>, f. 1.</w:t>
      </w:r>
    </w:p>
    <w:p w14:paraId="7440B7D4" w14:textId="69A5D538" w:rsidR="00DA359F" w:rsidRDefault="00DA359F" w:rsidP="00DA359F">
      <w:pPr>
        <w:pStyle w:val="SangriaIzquierdaArticulo"/>
      </w:pPr>
      <w:r>
        <w:t xml:space="preserve">Autos </w:t>
      </w:r>
      <w:hyperlink w:anchor="AUTO_2023_425" w:history="1">
        <w:r w:rsidRPr="00DA359F">
          <w:rPr>
            <w:rStyle w:val="TextoNormalCaracter"/>
          </w:rPr>
          <w:t>425/2023</w:t>
        </w:r>
      </w:hyperlink>
      <w:r>
        <w:t xml:space="preserve">, VP; </w:t>
      </w:r>
      <w:hyperlink w:anchor="AUTO_2023_427" w:history="1">
        <w:r w:rsidRPr="00DA359F">
          <w:rPr>
            <w:rStyle w:val="TextoNormalCaracter"/>
          </w:rPr>
          <w:t>427/2023</w:t>
        </w:r>
      </w:hyperlink>
      <w:r>
        <w:t>, VP.</w:t>
      </w:r>
    </w:p>
    <w:p w14:paraId="3D3209E8" w14:textId="2CB3C723" w:rsidR="00DA359F" w:rsidRDefault="00DA359F" w:rsidP="00DA359F">
      <w:pPr>
        <w:pStyle w:val="SangriaFrancesaArticulo"/>
      </w:pPr>
      <w:r w:rsidRPr="00DA359F">
        <w:rPr>
          <w:rStyle w:val="TextoNormalNegritaCaracter"/>
        </w:rPr>
        <w:t>Artículo 23.1.</w:t>
      </w:r>
      <w:r w:rsidRPr="00DA359F">
        <w:rPr>
          <w:rStyle w:val="TextoNormalCaracter"/>
        </w:rPr>
        <w:t>-</w:t>
      </w:r>
      <w:r>
        <w:t xml:space="preserve"> Sentencias </w:t>
      </w:r>
      <w:hyperlink w:anchor="SENTENCIA_2023_85" w:history="1">
        <w:r w:rsidRPr="00DA359F">
          <w:rPr>
            <w:rStyle w:val="TextoNormalCaracter"/>
          </w:rPr>
          <w:t>85/2023</w:t>
        </w:r>
      </w:hyperlink>
      <w:r>
        <w:t xml:space="preserve">, f. 2; </w:t>
      </w:r>
      <w:hyperlink w:anchor="SENTENCIA_2023_93" w:history="1">
        <w:r w:rsidRPr="00DA359F">
          <w:rPr>
            <w:rStyle w:val="TextoNormalCaracter"/>
          </w:rPr>
          <w:t>93/2023</w:t>
        </w:r>
      </w:hyperlink>
      <w:r>
        <w:t xml:space="preserve">, ff. 3, 4; </w:t>
      </w:r>
      <w:hyperlink w:anchor="SENTENCIA_2023_94" w:history="1">
        <w:r w:rsidRPr="00DA359F">
          <w:rPr>
            <w:rStyle w:val="TextoNormalCaracter"/>
          </w:rPr>
          <w:t>94/2023</w:t>
        </w:r>
      </w:hyperlink>
      <w:r>
        <w:t xml:space="preserve">, f. 2; </w:t>
      </w:r>
      <w:hyperlink w:anchor="SENTENCIA_2023_95" w:history="1">
        <w:r w:rsidRPr="00DA359F">
          <w:rPr>
            <w:rStyle w:val="TextoNormalCaracter"/>
          </w:rPr>
          <w:t>95/2023</w:t>
        </w:r>
      </w:hyperlink>
      <w:r>
        <w:t xml:space="preserve">, ff. 2, 4; </w:t>
      </w:r>
      <w:hyperlink w:anchor="SENTENCIA_2023_116" w:history="1">
        <w:r w:rsidRPr="00DA359F">
          <w:rPr>
            <w:rStyle w:val="TextoNormalCaracter"/>
          </w:rPr>
          <w:t>116/2023</w:t>
        </w:r>
      </w:hyperlink>
      <w:r>
        <w:t xml:space="preserve">, f. 3; </w:t>
      </w:r>
      <w:hyperlink w:anchor="SENTENCIA_2023_125" w:history="1">
        <w:r w:rsidRPr="00DA359F">
          <w:rPr>
            <w:rStyle w:val="TextoNormalCaracter"/>
          </w:rPr>
          <w:t>125/2023</w:t>
        </w:r>
      </w:hyperlink>
      <w:r>
        <w:t xml:space="preserve">, VP I; </w:t>
      </w:r>
      <w:hyperlink w:anchor="SENTENCIA_2023_128" w:history="1">
        <w:r w:rsidRPr="00DA359F">
          <w:rPr>
            <w:rStyle w:val="TextoNormalCaracter"/>
          </w:rPr>
          <w:t>128/2023</w:t>
        </w:r>
      </w:hyperlink>
      <w:r>
        <w:t xml:space="preserve">, f. 1; </w:t>
      </w:r>
      <w:hyperlink w:anchor="SENTENCIA_2023_132" w:history="1">
        <w:r w:rsidRPr="00DA359F">
          <w:rPr>
            <w:rStyle w:val="TextoNormalCaracter"/>
          </w:rPr>
          <w:t>132/2023</w:t>
        </w:r>
      </w:hyperlink>
      <w:r>
        <w:t xml:space="preserve">, ff. 1, 2, VP; </w:t>
      </w:r>
      <w:hyperlink w:anchor="SENTENCIA_2023_133" w:history="1">
        <w:r w:rsidRPr="00DA359F">
          <w:rPr>
            <w:rStyle w:val="TextoNormalCaracter"/>
          </w:rPr>
          <w:t>133/2023</w:t>
        </w:r>
      </w:hyperlink>
      <w:r>
        <w:t xml:space="preserve">, VP; </w:t>
      </w:r>
      <w:hyperlink w:anchor="SENTENCIA_2023_135" w:history="1">
        <w:r w:rsidRPr="00DA359F">
          <w:rPr>
            <w:rStyle w:val="TextoNormalCaracter"/>
          </w:rPr>
          <w:t>135/2023</w:t>
        </w:r>
      </w:hyperlink>
      <w:r>
        <w:t xml:space="preserve">, VP; </w:t>
      </w:r>
      <w:hyperlink w:anchor="SENTENCIA_2023_139" w:history="1">
        <w:r w:rsidRPr="00DA359F">
          <w:rPr>
            <w:rStyle w:val="TextoNormalCaracter"/>
          </w:rPr>
          <w:t>139/2023</w:t>
        </w:r>
      </w:hyperlink>
      <w:r>
        <w:t xml:space="preserve">, VP; </w:t>
      </w:r>
      <w:hyperlink w:anchor="SENTENCIA_2023_140" w:history="1">
        <w:r w:rsidRPr="00DA359F">
          <w:rPr>
            <w:rStyle w:val="TextoNormalCaracter"/>
          </w:rPr>
          <w:t>140/2023</w:t>
        </w:r>
      </w:hyperlink>
      <w:r>
        <w:t xml:space="preserve">, VP I; </w:t>
      </w:r>
      <w:hyperlink w:anchor="SENTENCIA_2023_141" w:history="1">
        <w:r w:rsidRPr="00DA359F">
          <w:rPr>
            <w:rStyle w:val="TextoNormalCaracter"/>
          </w:rPr>
          <w:t>141/2023</w:t>
        </w:r>
      </w:hyperlink>
      <w:r>
        <w:t xml:space="preserve">, f. 3, VP; </w:t>
      </w:r>
      <w:hyperlink w:anchor="SENTENCIA_2023_142" w:history="1">
        <w:r w:rsidRPr="00DA359F">
          <w:rPr>
            <w:rStyle w:val="TextoNormalCaracter"/>
          </w:rPr>
          <w:t>142/2023</w:t>
        </w:r>
      </w:hyperlink>
      <w:r>
        <w:t xml:space="preserve">, VP; </w:t>
      </w:r>
      <w:hyperlink w:anchor="SENTENCIA_2023_144" w:history="1">
        <w:r w:rsidRPr="00DA359F">
          <w:rPr>
            <w:rStyle w:val="TextoNormalCaracter"/>
          </w:rPr>
          <w:t>144/2023</w:t>
        </w:r>
      </w:hyperlink>
      <w:r>
        <w:t xml:space="preserve">, VP; </w:t>
      </w:r>
      <w:hyperlink w:anchor="SENTENCIA_2023_167" w:history="1">
        <w:r w:rsidRPr="00DA359F">
          <w:rPr>
            <w:rStyle w:val="TextoNormalCaracter"/>
          </w:rPr>
          <w:t>167/2023</w:t>
        </w:r>
      </w:hyperlink>
      <w:r>
        <w:t>, ff. 2, 4, 8, 11.</w:t>
      </w:r>
    </w:p>
    <w:p w14:paraId="5DEFB324" w14:textId="35951597" w:rsidR="00DA359F" w:rsidRDefault="00DA359F" w:rsidP="00DA359F">
      <w:pPr>
        <w:pStyle w:val="SangriaIzquierdaArticulo"/>
      </w:pPr>
      <w:r>
        <w:t xml:space="preserve">Autos </w:t>
      </w:r>
      <w:hyperlink w:anchor="AUTO_2023_378" w:history="1">
        <w:r w:rsidRPr="00DA359F">
          <w:rPr>
            <w:rStyle w:val="TextoNormalCaracter"/>
          </w:rPr>
          <w:t>378/2023</w:t>
        </w:r>
      </w:hyperlink>
      <w:r>
        <w:t xml:space="preserve">, f. 1; </w:t>
      </w:r>
      <w:hyperlink w:anchor="AUTO_2023_425" w:history="1">
        <w:r w:rsidRPr="00DA359F">
          <w:rPr>
            <w:rStyle w:val="TextoNormalCaracter"/>
          </w:rPr>
          <w:t>425/2023</w:t>
        </w:r>
      </w:hyperlink>
      <w:r>
        <w:t xml:space="preserve">, f. 3; </w:t>
      </w:r>
      <w:hyperlink w:anchor="AUTO_2023_432" w:history="1">
        <w:r w:rsidRPr="00DA359F">
          <w:rPr>
            <w:rStyle w:val="TextoNormalCaracter"/>
          </w:rPr>
          <w:t>432/2023</w:t>
        </w:r>
      </w:hyperlink>
      <w:r>
        <w:t>, f. 3.</w:t>
      </w:r>
    </w:p>
    <w:p w14:paraId="45480D15" w14:textId="74F58E17" w:rsidR="00DA359F" w:rsidRDefault="00DA359F" w:rsidP="00DA359F">
      <w:pPr>
        <w:pStyle w:val="SangriaFrancesaArticulo"/>
      </w:pPr>
      <w:r w:rsidRPr="00DA359F">
        <w:rPr>
          <w:rStyle w:val="TextoNormalNegritaCaracter"/>
        </w:rPr>
        <w:t>Artículo 23.1 y 2.</w:t>
      </w:r>
      <w:r w:rsidRPr="00DA359F">
        <w:rPr>
          <w:rStyle w:val="TextoNormalCaracter"/>
        </w:rPr>
        <w:t>-</w:t>
      </w:r>
      <w:r>
        <w:t xml:space="preserve"> Sentencias </w:t>
      </w:r>
      <w:hyperlink w:anchor="SENTENCIA_2023_140" w:history="1">
        <w:r w:rsidRPr="00DA359F">
          <w:rPr>
            <w:rStyle w:val="TextoNormalCaracter"/>
          </w:rPr>
          <w:t>140/2023</w:t>
        </w:r>
      </w:hyperlink>
      <w:r>
        <w:t xml:space="preserve">, f. 1; </w:t>
      </w:r>
      <w:hyperlink w:anchor="SENTENCIA_2023_142" w:history="1">
        <w:r w:rsidRPr="00DA359F">
          <w:rPr>
            <w:rStyle w:val="TextoNormalCaracter"/>
          </w:rPr>
          <w:t>142/2023</w:t>
        </w:r>
      </w:hyperlink>
      <w:r>
        <w:t>, f. 1.</w:t>
      </w:r>
    </w:p>
    <w:p w14:paraId="24481081" w14:textId="60F35E76" w:rsidR="00DA359F" w:rsidRDefault="00DA359F" w:rsidP="00DA359F">
      <w:pPr>
        <w:pStyle w:val="SangriaFrancesaArticulo"/>
      </w:pPr>
      <w:r w:rsidRPr="00DA359F">
        <w:rPr>
          <w:rStyle w:val="TextoNormalNegritaCaracter"/>
        </w:rPr>
        <w:t>Artículo 23.2.</w:t>
      </w:r>
      <w:r w:rsidRPr="00DA359F">
        <w:rPr>
          <w:rStyle w:val="TextoNormalCaracter"/>
        </w:rPr>
        <w:t>-</w:t>
      </w:r>
      <w:r>
        <w:t xml:space="preserve"> Sentencias </w:t>
      </w:r>
      <w:hyperlink w:anchor="SENTENCIA_2023_82" w:history="1">
        <w:r w:rsidRPr="00DA359F">
          <w:rPr>
            <w:rStyle w:val="TextoNormalCaracter"/>
          </w:rPr>
          <w:t>82/2023</w:t>
        </w:r>
      </w:hyperlink>
      <w:r>
        <w:t xml:space="preserve">, f. 1; </w:t>
      </w:r>
      <w:hyperlink w:anchor="SENTENCIA_2023_93" w:history="1">
        <w:r w:rsidRPr="00DA359F">
          <w:rPr>
            <w:rStyle w:val="TextoNormalCaracter"/>
          </w:rPr>
          <w:t>93/2023</w:t>
        </w:r>
      </w:hyperlink>
      <w:r>
        <w:t xml:space="preserve">, ff. 1, 3, 4; </w:t>
      </w:r>
      <w:hyperlink w:anchor="SENTENCIA_2023_94" w:history="1">
        <w:r w:rsidRPr="00DA359F">
          <w:rPr>
            <w:rStyle w:val="TextoNormalCaracter"/>
          </w:rPr>
          <w:t>94/2023</w:t>
        </w:r>
      </w:hyperlink>
      <w:r>
        <w:t xml:space="preserve">, f. 2; </w:t>
      </w:r>
      <w:hyperlink w:anchor="SENTENCIA_2023_95" w:history="1">
        <w:r w:rsidRPr="00DA359F">
          <w:rPr>
            <w:rStyle w:val="TextoNormalCaracter"/>
          </w:rPr>
          <w:t>95/2023</w:t>
        </w:r>
      </w:hyperlink>
      <w:r>
        <w:t xml:space="preserve">, ff. 2, 4, 6, VP; </w:t>
      </w:r>
      <w:hyperlink w:anchor="SENTENCIA_2023_116" w:history="1">
        <w:r w:rsidRPr="00DA359F">
          <w:rPr>
            <w:rStyle w:val="TextoNormalCaracter"/>
          </w:rPr>
          <w:t>116/2023</w:t>
        </w:r>
      </w:hyperlink>
      <w:r>
        <w:t xml:space="preserve">, ff. 1 a 4; </w:t>
      </w:r>
      <w:hyperlink w:anchor="SENTENCIA_2023_125" w:history="1">
        <w:r w:rsidRPr="00DA359F">
          <w:rPr>
            <w:rStyle w:val="TextoNormalCaracter"/>
          </w:rPr>
          <w:t>125/2023</w:t>
        </w:r>
      </w:hyperlink>
      <w:r>
        <w:t xml:space="preserve">, f. 1, VP I; </w:t>
      </w:r>
      <w:hyperlink w:anchor="SENTENCIA_2023_128" w:history="1">
        <w:r w:rsidRPr="00DA359F">
          <w:rPr>
            <w:rStyle w:val="TextoNormalCaracter"/>
          </w:rPr>
          <w:t>128/2023</w:t>
        </w:r>
      </w:hyperlink>
      <w:r>
        <w:t xml:space="preserve">, ff. 3, 4; </w:t>
      </w:r>
      <w:hyperlink w:anchor="SENTENCIA_2023_132" w:history="1">
        <w:r w:rsidRPr="00DA359F">
          <w:rPr>
            <w:rStyle w:val="TextoNormalCaracter"/>
          </w:rPr>
          <w:t>132/2023</w:t>
        </w:r>
      </w:hyperlink>
      <w:r>
        <w:t xml:space="preserve">, ff. 1, 2, VP; </w:t>
      </w:r>
      <w:hyperlink w:anchor="SENTENCIA_2023_133" w:history="1">
        <w:r w:rsidRPr="00DA359F">
          <w:rPr>
            <w:rStyle w:val="TextoNormalCaracter"/>
          </w:rPr>
          <w:t>133/2023</w:t>
        </w:r>
      </w:hyperlink>
      <w:r>
        <w:t xml:space="preserve">, ff. 1, 3, VP; </w:t>
      </w:r>
      <w:hyperlink w:anchor="SENTENCIA_2023_135" w:history="1">
        <w:r w:rsidRPr="00DA359F">
          <w:rPr>
            <w:rStyle w:val="TextoNormalCaracter"/>
          </w:rPr>
          <w:t>135/2023</w:t>
        </w:r>
      </w:hyperlink>
      <w:r>
        <w:t xml:space="preserve">, f. 2, VP; </w:t>
      </w:r>
      <w:hyperlink w:anchor="SENTENCIA_2023_139" w:history="1">
        <w:r w:rsidRPr="00DA359F">
          <w:rPr>
            <w:rStyle w:val="TextoNormalCaracter"/>
          </w:rPr>
          <w:t>139/2023</w:t>
        </w:r>
      </w:hyperlink>
      <w:r>
        <w:t xml:space="preserve">, ff. 1, 3, VP; </w:t>
      </w:r>
      <w:hyperlink w:anchor="SENTENCIA_2023_140" w:history="1">
        <w:r w:rsidRPr="00DA359F">
          <w:rPr>
            <w:rStyle w:val="TextoNormalCaracter"/>
          </w:rPr>
          <w:t>140/2023</w:t>
        </w:r>
      </w:hyperlink>
      <w:r>
        <w:t xml:space="preserve">, f. 3, VP I; </w:t>
      </w:r>
      <w:hyperlink w:anchor="SENTENCIA_2023_141" w:history="1">
        <w:r w:rsidRPr="00DA359F">
          <w:rPr>
            <w:rStyle w:val="TextoNormalCaracter"/>
          </w:rPr>
          <w:t>141/2023</w:t>
        </w:r>
      </w:hyperlink>
      <w:r>
        <w:t xml:space="preserve">, ff. 1, 3, VP; </w:t>
      </w:r>
      <w:hyperlink w:anchor="SENTENCIA_2023_142" w:history="1">
        <w:r w:rsidRPr="00DA359F">
          <w:rPr>
            <w:rStyle w:val="TextoNormalCaracter"/>
          </w:rPr>
          <w:t>142/2023</w:t>
        </w:r>
      </w:hyperlink>
      <w:r>
        <w:t xml:space="preserve">, f. 3, VP; </w:t>
      </w:r>
      <w:hyperlink w:anchor="SENTENCIA_2023_145" w:history="1">
        <w:r w:rsidRPr="00DA359F">
          <w:rPr>
            <w:rStyle w:val="TextoNormalCaracter"/>
          </w:rPr>
          <w:t>145/2023</w:t>
        </w:r>
      </w:hyperlink>
      <w:r>
        <w:t xml:space="preserve">, ff. 1, 4, 8; </w:t>
      </w:r>
      <w:hyperlink w:anchor="SENTENCIA_2023_149" w:history="1">
        <w:r w:rsidRPr="00DA359F">
          <w:rPr>
            <w:rStyle w:val="TextoNormalCaracter"/>
          </w:rPr>
          <w:t>149/2023</w:t>
        </w:r>
      </w:hyperlink>
      <w:r>
        <w:t xml:space="preserve">, ff. 1, 2, VP; </w:t>
      </w:r>
      <w:hyperlink w:anchor="SENTENCIA_2023_165" w:history="1">
        <w:r w:rsidRPr="00DA359F">
          <w:rPr>
            <w:rStyle w:val="TextoNormalCaracter"/>
          </w:rPr>
          <w:t>165/2023</w:t>
        </w:r>
      </w:hyperlink>
      <w:r>
        <w:t xml:space="preserve">, ff. 3, 4, VP I; </w:t>
      </w:r>
      <w:hyperlink w:anchor="SENTENCIA_2023_167" w:history="1">
        <w:r w:rsidRPr="00DA359F">
          <w:rPr>
            <w:rStyle w:val="TextoNormalCaracter"/>
          </w:rPr>
          <w:t>167/2023</w:t>
        </w:r>
      </w:hyperlink>
      <w:r>
        <w:t xml:space="preserve">, ff. 2, 4, 8, 11; </w:t>
      </w:r>
      <w:hyperlink w:anchor="SENTENCIA_2023_170" w:history="1">
        <w:r w:rsidRPr="00DA359F">
          <w:rPr>
            <w:rStyle w:val="TextoNormalCaracter"/>
          </w:rPr>
          <w:t>170/2023</w:t>
        </w:r>
      </w:hyperlink>
      <w:r>
        <w:t xml:space="preserve">, ff. 1, 3, VP; </w:t>
      </w:r>
      <w:hyperlink w:anchor="SENTENCIA_2023_171" w:history="1">
        <w:r w:rsidRPr="00DA359F">
          <w:rPr>
            <w:rStyle w:val="TextoNormalCaracter"/>
          </w:rPr>
          <w:t>171/2023</w:t>
        </w:r>
      </w:hyperlink>
      <w:r>
        <w:t xml:space="preserve">, ff. 1, 3, VP; </w:t>
      </w:r>
      <w:hyperlink w:anchor="SENTENCIA_2023_189" w:history="1">
        <w:r w:rsidRPr="00DA359F">
          <w:rPr>
            <w:rStyle w:val="TextoNormalCaracter"/>
          </w:rPr>
          <w:t>189/2023</w:t>
        </w:r>
      </w:hyperlink>
      <w:r>
        <w:t xml:space="preserve">, f. 3, VP; </w:t>
      </w:r>
      <w:hyperlink w:anchor="SENTENCIA_2023_190" w:history="1">
        <w:r w:rsidRPr="00DA359F">
          <w:rPr>
            <w:rStyle w:val="TextoNormalCaracter"/>
          </w:rPr>
          <w:t>190/2023</w:t>
        </w:r>
      </w:hyperlink>
      <w:r>
        <w:t>, ff. 1, 3, VP.</w:t>
      </w:r>
    </w:p>
    <w:p w14:paraId="33E724FD" w14:textId="09A2DBF3" w:rsidR="00DA359F" w:rsidRDefault="00DA359F" w:rsidP="00DA359F">
      <w:pPr>
        <w:pStyle w:val="SangriaIzquierdaArticulo"/>
      </w:pPr>
      <w:r>
        <w:t xml:space="preserve">Autos </w:t>
      </w:r>
      <w:hyperlink w:anchor="AUTO_2023_425" w:history="1">
        <w:r w:rsidRPr="00DA359F">
          <w:rPr>
            <w:rStyle w:val="TextoNormalCaracter"/>
          </w:rPr>
          <w:t>425/2023</w:t>
        </w:r>
      </w:hyperlink>
      <w:r>
        <w:t xml:space="preserve">, f. 3; </w:t>
      </w:r>
      <w:hyperlink w:anchor="AUTO_2023_427" w:history="1">
        <w:r w:rsidRPr="00DA359F">
          <w:rPr>
            <w:rStyle w:val="TextoNormalCaracter"/>
          </w:rPr>
          <w:t>427/2023</w:t>
        </w:r>
      </w:hyperlink>
      <w:r>
        <w:t xml:space="preserve">, VP; </w:t>
      </w:r>
      <w:hyperlink w:anchor="AUTO_2023_432" w:history="1">
        <w:r w:rsidRPr="00DA359F">
          <w:rPr>
            <w:rStyle w:val="TextoNormalCaracter"/>
          </w:rPr>
          <w:t>432/2023</w:t>
        </w:r>
      </w:hyperlink>
      <w:r>
        <w:t>, f. 3.</w:t>
      </w:r>
    </w:p>
    <w:p w14:paraId="28657BD1" w14:textId="1DB08A1B" w:rsidR="00DA359F" w:rsidRDefault="00DA359F" w:rsidP="00DA359F">
      <w:pPr>
        <w:pStyle w:val="SangriaFrancesaArticulo"/>
      </w:pPr>
      <w:r w:rsidRPr="00DA359F">
        <w:rPr>
          <w:rStyle w:val="TextoNormalNegritaCaracter"/>
        </w:rPr>
        <w:t>Artículo 24.</w:t>
      </w:r>
      <w:r w:rsidRPr="00DA359F">
        <w:rPr>
          <w:rStyle w:val="TextoNormalCaracter"/>
        </w:rPr>
        <w:t>-</w:t>
      </w:r>
      <w:r>
        <w:t xml:space="preserve"> Sentencias </w:t>
      </w:r>
      <w:hyperlink w:anchor="SENTENCIA_2023_78" w:history="1">
        <w:r w:rsidRPr="00DA359F">
          <w:rPr>
            <w:rStyle w:val="TextoNormalCaracter"/>
          </w:rPr>
          <w:t>78/2023</w:t>
        </w:r>
      </w:hyperlink>
      <w:r>
        <w:t xml:space="preserve">, ff. 1, 7, VP II; </w:t>
      </w:r>
      <w:hyperlink w:anchor="SENTENCIA_2023_79" w:history="1">
        <w:r w:rsidRPr="00DA359F">
          <w:rPr>
            <w:rStyle w:val="TextoNormalCaracter"/>
          </w:rPr>
          <w:t>79/2023</w:t>
        </w:r>
      </w:hyperlink>
      <w:r>
        <w:t xml:space="preserve">, f. 1; </w:t>
      </w:r>
      <w:hyperlink w:anchor="SENTENCIA_2023_83" w:history="1">
        <w:r w:rsidRPr="00DA359F">
          <w:rPr>
            <w:rStyle w:val="TextoNormalCaracter"/>
          </w:rPr>
          <w:t>83/2023</w:t>
        </w:r>
      </w:hyperlink>
      <w:r>
        <w:t xml:space="preserve">, f. 7; </w:t>
      </w:r>
      <w:hyperlink w:anchor="SENTENCIA_2023_86" w:history="1">
        <w:r w:rsidRPr="00DA359F">
          <w:rPr>
            <w:rStyle w:val="TextoNormalCaracter"/>
          </w:rPr>
          <w:t>86/2023</w:t>
        </w:r>
      </w:hyperlink>
      <w:r>
        <w:t xml:space="preserve">, ff. 2, 3; </w:t>
      </w:r>
      <w:hyperlink w:anchor="SENTENCIA_2023_95" w:history="1">
        <w:r w:rsidRPr="00DA359F">
          <w:rPr>
            <w:rStyle w:val="TextoNormalCaracter"/>
          </w:rPr>
          <w:t>95/2023</w:t>
        </w:r>
      </w:hyperlink>
      <w:r>
        <w:t xml:space="preserve">, VP; </w:t>
      </w:r>
      <w:hyperlink w:anchor="SENTENCIA_2023_128" w:history="1">
        <w:r w:rsidRPr="00DA359F">
          <w:rPr>
            <w:rStyle w:val="TextoNormalCaracter"/>
          </w:rPr>
          <w:t>128/2023</w:t>
        </w:r>
      </w:hyperlink>
      <w:r>
        <w:t xml:space="preserve">, VP; </w:t>
      </w:r>
      <w:hyperlink w:anchor="SENTENCIA_2023_129" w:history="1">
        <w:r w:rsidRPr="00DA359F">
          <w:rPr>
            <w:rStyle w:val="TextoNormalCaracter"/>
          </w:rPr>
          <w:t>129/2023</w:t>
        </w:r>
      </w:hyperlink>
      <w:r>
        <w:t xml:space="preserve">, ff. 2, 4; </w:t>
      </w:r>
      <w:hyperlink w:anchor="SENTENCIA_2023_130" w:history="1">
        <w:r w:rsidRPr="00DA359F">
          <w:rPr>
            <w:rStyle w:val="TextoNormalCaracter"/>
          </w:rPr>
          <w:t>130/2023</w:t>
        </w:r>
      </w:hyperlink>
      <w:r>
        <w:t xml:space="preserve">, f. único; </w:t>
      </w:r>
      <w:hyperlink w:anchor="SENTENCIA_2023_137" w:history="1">
        <w:r w:rsidRPr="00DA359F">
          <w:rPr>
            <w:rStyle w:val="TextoNormalCaracter"/>
          </w:rPr>
          <w:t>137/2023</w:t>
        </w:r>
      </w:hyperlink>
      <w:r>
        <w:t xml:space="preserve">, f. 2; </w:t>
      </w:r>
      <w:hyperlink w:anchor="SENTENCIA_2023_150" w:history="1">
        <w:r w:rsidRPr="00DA359F">
          <w:rPr>
            <w:rStyle w:val="TextoNormalCaracter"/>
          </w:rPr>
          <w:t>150/2023</w:t>
        </w:r>
      </w:hyperlink>
      <w:r>
        <w:t xml:space="preserve">, f. 3; </w:t>
      </w:r>
      <w:hyperlink w:anchor="SENTENCIA_2023_155" w:history="1">
        <w:r w:rsidRPr="00DA359F">
          <w:rPr>
            <w:rStyle w:val="TextoNormalCaracter"/>
          </w:rPr>
          <w:t>155/2023</w:t>
        </w:r>
      </w:hyperlink>
      <w:r>
        <w:t xml:space="preserve">, f. 2; </w:t>
      </w:r>
      <w:hyperlink w:anchor="SENTENCIA_2023_172" w:history="1">
        <w:r w:rsidRPr="00DA359F">
          <w:rPr>
            <w:rStyle w:val="TextoNormalCaracter"/>
          </w:rPr>
          <w:t>172/2023</w:t>
        </w:r>
      </w:hyperlink>
      <w:r>
        <w:t xml:space="preserve">, ff. 1 a 4; </w:t>
      </w:r>
      <w:hyperlink w:anchor="SENTENCIA_2023_184" w:history="1">
        <w:r w:rsidRPr="00DA359F">
          <w:rPr>
            <w:rStyle w:val="TextoNormalCaracter"/>
          </w:rPr>
          <w:t>184/2023</w:t>
        </w:r>
      </w:hyperlink>
      <w:r>
        <w:t>, f. 4.</w:t>
      </w:r>
    </w:p>
    <w:p w14:paraId="3CA57BED" w14:textId="10FAA78F" w:rsidR="00DA359F" w:rsidRDefault="00DA359F" w:rsidP="00DA359F">
      <w:pPr>
        <w:pStyle w:val="SangriaIzquierdaArticulo"/>
      </w:pPr>
      <w:r>
        <w:t xml:space="preserve">Auto </w:t>
      </w:r>
      <w:hyperlink w:anchor="AUTO_2023_427" w:history="1">
        <w:r w:rsidRPr="00DA359F">
          <w:rPr>
            <w:rStyle w:val="TextoNormalCaracter"/>
          </w:rPr>
          <w:t>427/2023</w:t>
        </w:r>
      </w:hyperlink>
      <w:r>
        <w:t>, ff. 1, 2.</w:t>
      </w:r>
    </w:p>
    <w:p w14:paraId="58C29E36" w14:textId="29A2C5AA" w:rsidR="00DA359F" w:rsidRDefault="00DA359F" w:rsidP="00DA359F">
      <w:pPr>
        <w:pStyle w:val="SangriaFrancesaArticulo"/>
      </w:pPr>
      <w:r w:rsidRPr="00DA359F">
        <w:rPr>
          <w:rStyle w:val="TextoNormalNegritaCaracter"/>
        </w:rPr>
        <w:t>Artículo 24.1.</w:t>
      </w:r>
      <w:r w:rsidRPr="00DA359F">
        <w:rPr>
          <w:rStyle w:val="TextoNormalCaracter"/>
        </w:rPr>
        <w:t>-</w:t>
      </w:r>
      <w:r>
        <w:t xml:space="preserve"> Sentencias </w:t>
      </w:r>
      <w:hyperlink w:anchor="SENTENCIA_2023_78" w:history="1">
        <w:r w:rsidRPr="00DA359F">
          <w:rPr>
            <w:rStyle w:val="TextoNormalCaracter"/>
          </w:rPr>
          <w:t>78/2023</w:t>
        </w:r>
      </w:hyperlink>
      <w:r>
        <w:t xml:space="preserve">, ff. 1, 4; </w:t>
      </w:r>
      <w:hyperlink w:anchor="SENTENCIA_2023_79" w:history="1">
        <w:r w:rsidRPr="00DA359F">
          <w:rPr>
            <w:rStyle w:val="TextoNormalCaracter"/>
          </w:rPr>
          <w:t>79/2023</w:t>
        </w:r>
      </w:hyperlink>
      <w:r>
        <w:t xml:space="preserve">, ff. 2, 3; </w:t>
      </w:r>
      <w:hyperlink w:anchor="SENTENCIA_2023_80" w:history="1">
        <w:r w:rsidRPr="00DA359F">
          <w:rPr>
            <w:rStyle w:val="TextoNormalCaracter"/>
          </w:rPr>
          <w:t>80/2023</w:t>
        </w:r>
      </w:hyperlink>
      <w:r>
        <w:t xml:space="preserve">, ff. 1 a 3; </w:t>
      </w:r>
      <w:hyperlink w:anchor="SENTENCIA_2023_81" w:history="1">
        <w:r w:rsidRPr="00DA359F">
          <w:rPr>
            <w:rStyle w:val="TextoNormalCaracter"/>
          </w:rPr>
          <w:t>81/2023</w:t>
        </w:r>
      </w:hyperlink>
      <w:r>
        <w:t xml:space="preserve">, ff. 1, 2, 4; </w:t>
      </w:r>
      <w:hyperlink w:anchor="SENTENCIA_2023_82" w:history="1">
        <w:r w:rsidRPr="00DA359F">
          <w:rPr>
            <w:rStyle w:val="TextoNormalCaracter"/>
          </w:rPr>
          <w:t>82/2023</w:t>
        </w:r>
      </w:hyperlink>
      <w:r>
        <w:t xml:space="preserve">, f. 3; </w:t>
      </w:r>
      <w:hyperlink w:anchor="SENTENCIA_2023_83" w:history="1">
        <w:r w:rsidRPr="00DA359F">
          <w:rPr>
            <w:rStyle w:val="TextoNormalCaracter"/>
          </w:rPr>
          <w:t>83/2023</w:t>
        </w:r>
      </w:hyperlink>
      <w:r>
        <w:t xml:space="preserve">, ff. 1, 2, 7; </w:t>
      </w:r>
      <w:hyperlink w:anchor="SENTENCIA_2023_84" w:history="1">
        <w:r w:rsidRPr="00DA359F">
          <w:rPr>
            <w:rStyle w:val="TextoNormalCaracter"/>
          </w:rPr>
          <w:t>84/2023</w:t>
        </w:r>
      </w:hyperlink>
      <w:r>
        <w:t xml:space="preserve">, f. 1; </w:t>
      </w:r>
      <w:hyperlink w:anchor="SENTENCIA_2023_86" w:history="1">
        <w:r w:rsidRPr="00DA359F">
          <w:rPr>
            <w:rStyle w:val="TextoNormalCaracter"/>
          </w:rPr>
          <w:t>86/2023</w:t>
        </w:r>
      </w:hyperlink>
      <w:r>
        <w:t xml:space="preserve">, ff. 1 a 3; </w:t>
      </w:r>
      <w:hyperlink w:anchor="SENTENCIA_2023_87" w:history="1">
        <w:r w:rsidRPr="00DA359F">
          <w:rPr>
            <w:rStyle w:val="TextoNormalCaracter"/>
          </w:rPr>
          <w:t>87/2023</w:t>
        </w:r>
      </w:hyperlink>
      <w:r>
        <w:t xml:space="preserve">, ff. 1 a 3; </w:t>
      </w:r>
      <w:hyperlink w:anchor="SENTENCIA_2023_90" w:history="1">
        <w:r w:rsidRPr="00DA359F">
          <w:rPr>
            <w:rStyle w:val="TextoNormalCaracter"/>
          </w:rPr>
          <w:t>90/2023</w:t>
        </w:r>
      </w:hyperlink>
      <w:r>
        <w:t xml:space="preserve">, ff. 1, 3 a 6; </w:t>
      </w:r>
      <w:hyperlink w:anchor="SENTENCIA_2023_91" w:history="1">
        <w:r w:rsidRPr="00DA359F">
          <w:rPr>
            <w:rStyle w:val="TextoNormalCaracter"/>
          </w:rPr>
          <w:t>91/2023</w:t>
        </w:r>
      </w:hyperlink>
      <w:r>
        <w:t xml:space="preserve">, f. 1; </w:t>
      </w:r>
      <w:hyperlink w:anchor="SENTENCIA_2023_92" w:history="1">
        <w:r w:rsidRPr="00DA359F">
          <w:rPr>
            <w:rStyle w:val="TextoNormalCaracter"/>
          </w:rPr>
          <w:t>92/2023</w:t>
        </w:r>
      </w:hyperlink>
      <w:r>
        <w:t xml:space="preserve">, ff. 1, 3; </w:t>
      </w:r>
      <w:hyperlink w:anchor="SENTENCIA_2023_96" w:history="1">
        <w:r w:rsidRPr="00DA359F">
          <w:rPr>
            <w:rStyle w:val="TextoNormalCaracter"/>
          </w:rPr>
          <w:t>96/2023</w:t>
        </w:r>
      </w:hyperlink>
      <w:r>
        <w:t xml:space="preserve">, ff. 1 a 3; </w:t>
      </w:r>
      <w:hyperlink w:anchor="SENTENCIA_2023_101" w:history="1">
        <w:r w:rsidRPr="00DA359F">
          <w:rPr>
            <w:rStyle w:val="TextoNormalCaracter"/>
          </w:rPr>
          <w:t>101/2023</w:t>
        </w:r>
      </w:hyperlink>
      <w:r>
        <w:t xml:space="preserve">, f. 1; </w:t>
      </w:r>
      <w:hyperlink w:anchor="SENTENCIA_2023_122" w:history="1">
        <w:r w:rsidRPr="00DA359F">
          <w:rPr>
            <w:rStyle w:val="TextoNormalCaracter"/>
          </w:rPr>
          <w:t>122/2023</w:t>
        </w:r>
      </w:hyperlink>
      <w:r>
        <w:t xml:space="preserve">, f. único; </w:t>
      </w:r>
      <w:hyperlink w:anchor="SENTENCIA_2023_123" w:history="1">
        <w:r w:rsidRPr="00DA359F">
          <w:rPr>
            <w:rStyle w:val="TextoNormalCaracter"/>
          </w:rPr>
          <w:t>123/2023</w:t>
        </w:r>
      </w:hyperlink>
      <w:r>
        <w:t xml:space="preserve">, f. 1; </w:t>
      </w:r>
      <w:hyperlink w:anchor="SENTENCIA_2023_128" w:history="1">
        <w:r w:rsidRPr="00DA359F">
          <w:rPr>
            <w:rStyle w:val="TextoNormalCaracter"/>
          </w:rPr>
          <w:t>128/2023</w:t>
        </w:r>
      </w:hyperlink>
      <w:r>
        <w:t xml:space="preserve">, VP; </w:t>
      </w:r>
      <w:hyperlink w:anchor="SENTENCIA_2023_130" w:history="1">
        <w:r w:rsidRPr="00DA359F">
          <w:rPr>
            <w:rStyle w:val="TextoNormalCaracter"/>
          </w:rPr>
          <w:t>130/2023</w:t>
        </w:r>
      </w:hyperlink>
      <w:r>
        <w:t xml:space="preserve">, f. único; </w:t>
      </w:r>
      <w:hyperlink w:anchor="SENTENCIA_2023_131" w:history="1">
        <w:r w:rsidRPr="00DA359F">
          <w:rPr>
            <w:rStyle w:val="TextoNormalCaracter"/>
          </w:rPr>
          <w:t>131/2023</w:t>
        </w:r>
      </w:hyperlink>
      <w:r>
        <w:t xml:space="preserve">, ff. 1, 2, 4, VP; </w:t>
      </w:r>
      <w:hyperlink w:anchor="SENTENCIA_2023_134" w:history="1">
        <w:r w:rsidRPr="00DA359F">
          <w:rPr>
            <w:rStyle w:val="TextoNormalCaracter"/>
          </w:rPr>
          <w:t>134/2023</w:t>
        </w:r>
      </w:hyperlink>
      <w:r>
        <w:t xml:space="preserve">, ff. 1, 4; </w:t>
      </w:r>
      <w:hyperlink w:anchor="SENTENCIA_2023_136" w:history="1">
        <w:r w:rsidRPr="00DA359F">
          <w:rPr>
            <w:rStyle w:val="TextoNormalCaracter"/>
          </w:rPr>
          <w:t>136/2023</w:t>
        </w:r>
      </w:hyperlink>
      <w:r>
        <w:t xml:space="preserve">, f. 1; </w:t>
      </w:r>
      <w:hyperlink w:anchor="SENTENCIA_2023_137" w:history="1">
        <w:r w:rsidRPr="00DA359F">
          <w:rPr>
            <w:rStyle w:val="TextoNormalCaracter"/>
          </w:rPr>
          <w:t>137/2023</w:t>
        </w:r>
      </w:hyperlink>
      <w:r>
        <w:t xml:space="preserve">, f. 1; </w:t>
      </w:r>
      <w:hyperlink w:anchor="SENTENCIA_2023_138" w:history="1">
        <w:r w:rsidRPr="00DA359F">
          <w:rPr>
            <w:rStyle w:val="TextoNormalCaracter"/>
          </w:rPr>
          <w:t>138/2023</w:t>
        </w:r>
      </w:hyperlink>
      <w:r>
        <w:t xml:space="preserve">, f. único; </w:t>
      </w:r>
      <w:hyperlink w:anchor="SENTENCIA_2023_148" w:history="1">
        <w:r w:rsidRPr="00DA359F">
          <w:rPr>
            <w:rStyle w:val="TextoNormalCaracter"/>
          </w:rPr>
          <w:t>148/2023</w:t>
        </w:r>
      </w:hyperlink>
      <w:r>
        <w:t xml:space="preserve">, ff. 2, 3; </w:t>
      </w:r>
      <w:hyperlink w:anchor="SENTENCIA_2023_151" w:history="1">
        <w:r w:rsidRPr="00DA359F">
          <w:rPr>
            <w:rStyle w:val="TextoNormalCaracter"/>
          </w:rPr>
          <w:t>151/2023</w:t>
        </w:r>
      </w:hyperlink>
      <w:r>
        <w:t xml:space="preserve">, f. 1; </w:t>
      </w:r>
      <w:hyperlink w:anchor="SENTENCIA_2023_152" w:history="1">
        <w:r w:rsidRPr="00DA359F">
          <w:rPr>
            <w:rStyle w:val="TextoNormalCaracter"/>
          </w:rPr>
          <w:t>152/2023</w:t>
        </w:r>
      </w:hyperlink>
      <w:r>
        <w:t xml:space="preserve">, f. 1; </w:t>
      </w:r>
      <w:hyperlink w:anchor="SENTENCIA_2023_153" w:history="1">
        <w:r w:rsidRPr="00DA359F">
          <w:rPr>
            <w:rStyle w:val="TextoNormalCaracter"/>
          </w:rPr>
          <w:t>153/2023</w:t>
        </w:r>
      </w:hyperlink>
      <w:r>
        <w:t xml:space="preserve">, ff. 1, 3, 4; </w:t>
      </w:r>
      <w:hyperlink w:anchor="SENTENCIA_2023_154" w:history="1">
        <w:r w:rsidRPr="00DA359F">
          <w:rPr>
            <w:rStyle w:val="TextoNormalCaracter"/>
          </w:rPr>
          <w:t>154/2023</w:t>
        </w:r>
      </w:hyperlink>
      <w:r>
        <w:t xml:space="preserve">, f. 2; </w:t>
      </w:r>
      <w:hyperlink w:anchor="SENTENCIA_2023_155" w:history="1">
        <w:r w:rsidRPr="00DA359F">
          <w:rPr>
            <w:rStyle w:val="TextoNormalCaracter"/>
          </w:rPr>
          <w:t>155/2023</w:t>
        </w:r>
      </w:hyperlink>
      <w:r>
        <w:t xml:space="preserve">, ff. 2, 3; </w:t>
      </w:r>
      <w:hyperlink w:anchor="SENTENCIA_2023_156" w:history="1">
        <w:r w:rsidRPr="00DA359F">
          <w:rPr>
            <w:rStyle w:val="TextoNormalCaracter"/>
          </w:rPr>
          <w:t>156/2023</w:t>
        </w:r>
      </w:hyperlink>
      <w:r>
        <w:t xml:space="preserve">, f. 2; </w:t>
      </w:r>
      <w:hyperlink w:anchor="SENTENCIA_2023_157" w:history="1">
        <w:r w:rsidRPr="00DA359F">
          <w:rPr>
            <w:rStyle w:val="TextoNormalCaracter"/>
          </w:rPr>
          <w:t>157/2023</w:t>
        </w:r>
      </w:hyperlink>
      <w:r>
        <w:t xml:space="preserve">, f. 2; </w:t>
      </w:r>
      <w:hyperlink w:anchor="SENTENCIA_2023_158" w:history="1">
        <w:r w:rsidRPr="00DA359F">
          <w:rPr>
            <w:rStyle w:val="TextoNormalCaracter"/>
          </w:rPr>
          <w:t>158/2023</w:t>
        </w:r>
      </w:hyperlink>
      <w:r>
        <w:t xml:space="preserve">, f. 2; </w:t>
      </w:r>
      <w:hyperlink w:anchor="SENTENCIA_2023_159" w:history="1">
        <w:r w:rsidRPr="00DA359F">
          <w:rPr>
            <w:rStyle w:val="TextoNormalCaracter"/>
          </w:rPr>
          <w:t>159/2023</w:t>
        </w:r>
      </w:hyperlink>
      <w:r>
        <w:t xml:space="preserve">, f. 2; </w:t>
      </w:r>
      <w:hyperlink w:anchor="SENTENCIA_2023_160" w:history="1">
        <w:r w:rsidRPr="00DA359F">
          <w:rPr>
            <w:rStyle w:val="TextoNormalCaracter"/>
          </w:rPr>
          <w:t>160/2023</w:t>
        </w:r>
      </w:hyperlink>
      <w:r>
        <w:t xml:space="preserve">, f. 2; </w:t>
      </w:r>
      <w:hyperlink w:anchor="SENTENCIA_2023_162" w:history="1">
        <w:r w:rsidRPr="00DA359F">
          <w:rPr>
            <w:rStyle w:val="TextoNormalCaracter"/>
          </w:rPr>
          <w:t>162/2023</w:t>
        </w:r>
      </w:hyperlink>
      <w:r>
        <w:t xml:space="preserve">, f. 2; </w:t>
      </w:r>
      <w:hyperlink w:anchor="SENTENCIA_2023_163" w:history="1">
        <w:r w:rsidRPr="00DA359F">
          <w:rPr>
            <w:rStyle w:val="TextoNormalCaracter"/>
          </w:rPr>
          <w:t>163/2023</w:t>
        </w:r>
      </w:hyperlink>
      <w:r>
        <w:t xml:space="preserve">, f. único; </w:t>
      </w:r>
      <w:hyperlink w:anchor="SENTENCIA_2023_166" w:history="1">
        <w:r w:rsidRPr="00DA359F">
          <w:rPr>
            <w:rStyle w:val="TextoNormalCaracter"/>
          </w:rPr>
          <w:t>166/2023</w:t>
        </w:r>
      </w:hyperlink>
      <w:r>
        <w:t xml:space="preserve">, ff. 1, 7; </w:t>
      </w:r>
      <w:hyperlink w:anchor="SENTENCIA_2023_172" w:history="1">
        <w:r w:rsidRPr="00DA359F">
          <w:rPr>
            <w:rStyle w:val="TextoNormalCaracter"/>
          </w:rPr>
          <w:t>172/2023</w:t>
        </w:r>
      </w:hyperlink>
      <w:r>
        <w:t xml:space="preserve">, ff. 1 a 4; </w:t>
      </w:r>
      <w:hyperlink w:anchor="SENTENCIA_2023_173" w:history="1">
        <w:r w:rsidRPr="00DA359F">
          <w:rPr>
            <w:rStyle w:val="TextoNormalCaracter"/>
          </w:rPr>
          <w:t>173/2023</w:t>
        </w:r>
      </w:hyperlink>
      <w:r>
        <w:t xml:space="preserve">, f. único; </w:t>
      </w:r>
      <w:hyperlink w:anchor="SENTENCIA_2023_180" w:history="1">
        <w:r w:rsidRPr="00DA359F">
          <w:rPr>
            <w:rStyle w:val="TextoNormalCaracter"/>
          </w:rPr>
          <w:t>180/2023</w:t>
        </w:r>
      </w:hyperlink>
      <w:r>
        <w:t xml:space="preserve">, f. 2; </w:t>
      </w:r>
      <w:hyperlink w:anchor="SENTENCIA_2023_181" w:history="1">
        <w:r w:rsidRPr="00DA359F">
          <w:rPr>
            <w:rStyle w:val="TextoNormalCaracter"/>
          </w:rPr>
          <w:t>181/2023</w:t>
        </w:r>
      </w:hyperlink>
      <w:r>
        <w:t xml:space="preserve">, ff. 2, 3; </w:t>
      </w:r>
      <w:hyperlink w:anchor="SENTENCIA_2023_183" w:history="1">
        <w:r w:rsidRPr="00DA359F">
          <w:rPr>
            <w:rStyle w:val="TextoNormalCaracter"/>
          </w:rPr>
          <w:t>183/2023</w:t>
        </w:r>
      </w:hyperlink>
      <w:r>
        <w:t xml:space="preserve">, f. 2; </w:t>
      </w:r>
      <w:hyperlink w:anchor="SENTENCIA_2023_184" w:history="1">
        <w:r w:rsidRPr="00DA359F">
          <w:rPr>
            <w:rStyle w:val="TextoNormalCaracter"/>
          </w:rPr>
          <w:t>184/2023</w:t>
        </w:r>
      </w:hyperlink>
      <w:r>
        <w:t xml:space="preserve">, ff. 1, 2, 4, 5; </w:t>
      </w:r>
      <w:hyperlink w:anchor="SENTENCIA_2023_185" w:history="1">
        <w:r w:rsidRPr="00DA359F">
          <w:rPr>
            <w:rStyle w:val="TextoNormalCaracter"/>
          </w:rPr>
          <w:t>185/2023</w:t>
        </w:r>
      </w:hyperlink>
      <w:r>
        <w:t xml:space="preserve">, f. 2; </w:t>
      </w:r>
      <w:hyperlink w:anchor="SENTENCIA_2023_186" w:history="1">
        <w:r w:rsidRPr="00DA359F">
          <w:rPr>
            <w:rStyle w:val="TextoNormalCaracter"/>
          </w:rPr>
          <w:t>186/2023</w:t>
        </w:r>
      </w:hyperlink>
      <w:r>
        <w:t xml:space="preserve">, ff. 2, 3; </w:t>
      </w:r>
      <w:hyperlink w:anchor="SENTENCIA_2023_187" w:history="1">
        <w:r w:rsidRPr="00DA359F">
          <w:rPr>
            <w:rStyle w:val="TextoNormalCaracter"/>
          </w:rPr>
          <w:t>187/2023</w:t>
        </w:r>
      </w:hyperlink>
      <w:r>
        <w:t>, f. 2.</w:t>
      </w:r>
    </w:p>
    <w:p w14:paraId="522828C8" w14:textId="7C0BA683" w:rsidR="00DA359F" w:rsidRDefault="00DA359F" w:rsidP="00DA359F">
      <w:pPr>
        <w:pStyle w:val="SangriaIzquierdaArticulo"/>
      </w:pPr>
      <w:r>
        <w:t xml:space="preserve">Autos </w:t>
      </w:r>
      <w:hyperlink w:anchor="AUTO_2023_338" w:history="1">
        <w:r w:rsidRPr="00DA359F">
          <w:rPr>
            <w:rStyle w:val="TextoNormalCaracter"/>
          </w:rPr>
          <w:t>338/2023</w:t>
        </w:r>
      </w:hyperlink>
      <w:r>
        <w:t xml:space="preserve">, VP; </w:t>
      </w:r>
      <w:hyperlink w:anchor="AUTO_2023_375" w:history="1">
        <w:r w:rsidRPr="00DA359F">
          <w:rPr>
            <w:rStyle w:val="TextoNormalCaracter"/>
          </w:rPr>
          <w:t>375/2023</w:t>
        </w:r>
      </w:hyperlink>
      <w:r>
        <w:t xml:space="preserve">, f. 2; </w:t>
      </w:r>
      <w:hyperlink w:anchor="AUTO_2023_427" w:history="1">
        <w:r w:rsidRPr="00DA359F">
          <w:rPr>
            <w:rStyle w:val="TextoNormalCaracter"/>
          </w:rPr>
          <w:t>427/2023</w:t>
        </w:r>
      </w:hyperlink>
      <w:r>
        <w:t xml:space="preserve">, f. 2, VP; </w:t>
      </w:r>
      <w:hyperlink w:anchor="AUTO_2023_448" w:history="1">
        <w:r w:rsidRPr="00DA359F">
          <w:rPr>
            <w:rStyle w:val="TextoNormalCaracter"/>
          </w:rPr>
          <w:t>448/2023</w:t>
        </w:r>
      </w:hyperlink>
      <w:r>
        <w:t xml:space="preserve">, f. 5; </w:t>
      </w:r>
      <w:hyperlink w:anchor="AUTO_2023_669" w:history="1">
        <w:r w:rsidRPr="00DA359F">
          <w:rPr>
            <w:rStyle w:val="TextoNormalCaracter"/>
          </w:rPr>
          <w:t>669/2023</w:t>
        </w:r>
      </w:hyperlink>
      <w:r>
        <w:t>, f. 1.</w:t>
      </w:r>
    </w:p>
    <w:p w14:paraId="5BD6A8D0" w14:textId="2571019D" w:rsidR="00DA359F" w:rsidRDefault="00DA359F" w:rsidP="00DA359F">
      <w:pPr>
        <w:pStyle w:val="SangriaFrancesaArticulo"/>
      </w:pPr>
      <w:r w:rsidRPr="00DA359F">
        <w:rPr>
          <w:rStyle w:val="TextoNormalNegritaCaracter"/>
        </w:rPr>
        <w:t>Artículo 24.2.</w:t>
      </w:r>
      <w:r w:rsidRPr="00DA359F">
        <w:rPr>
          <w:rStyle w:val="TextoNormalCaracter"/>
        </w:rPr>
        <w:t>-</w:t>
      </w:r>
      <w:r>
        <w:t xml:space="preserve"> Sentencias </w:t>
      </w:r>
      <w:hyperlink w:anchor="SENTENCIA_2023_78" w:history="1">
        <w:r w:rsidRPr="00DA359F">
          <w:rPr>
            <w:rStyle w:val="TextoNormalCaracter"/>
          </w:rPr>
          <w:t>78/2023</w:t>
        </w:r>
      </w:hyperlink>
      <w:r>
        <w:t xml:space="preserve">, ff. 1, 4; </w:t>
      </w:r>
      <w:hyperlink w:anchor="SENTENCIA_2023_82" w:history="1">
        <w:r w:rsidRPr="00DA359F">
          <w:rPr>
            <w:rStyle w:val="TextoNormalCaracter"/>
          </w:rPr>
          <w:t>82/2023</w:t>
        </w:r>
      </w:hyperlink>
      <w:r>
        <w:t xml:space="preserve">, ff. 1, 2; </w:t>
      </w:r>
      <w:hyperlink w:anchor="SENTENCIA_2023_87" w:history="1">
        <w:r w:rsidRPr="00DA359F">
          <w:rPr>
            <w:rStyle w:val="TextoNormalCaracter"/>
          </w:rPr>
          <w:t>87/2023</w:t>
        </w:r>
      </w:hyperlink>
      <w:r>
        <w:t xml:space="preserve">, f. 1; </w:t>
      </w:r>
      <w:hyperlink w:anchor="SENTENCIA_2023_92" w:history="1">
        <w:r w:rsidRPr="00DA359F">
          <w:rPr>
            <w:rStyle w:val="TextoNormalCaracter"/>
          </w:rPr>
          <w:t>92/2023</w:t>
        </w:r>
      </w:hyperlink>
      <w:r>
        <w:t xml:space="preserve">, ff. 1, 3 a 5, 9, VP; </w:t>
      </w:r>
      <w:hyperlink w:anchor="SENTENCIA_2023_96" w:history="1">
        <w:r w:rsidRPr="00DA359F">
          <w:rPr>
            <w:rStyle w:val="TextoNormalCaracter"/>
          </w:rPr>
          <w:t>96/2023</w:t>
        </w:r>
      </w:hyperlink>
      <w:r>
        <w:t xml:space="preserve">, f. 1; </w:t>
      </w:r>
      <w:hyperlink w:anchor="SENTENCIA_2023_130" w:history="1">
        <w:r w:rsidRPr="00DA359F">
          <w:rPr>
            <w:rStyle w:val="TextoNormalCaracter"/>
          </w:rPr>
          <w:t>130/2023</w:t>
        </w:r>
      </w:hyperlink>
      <w:r>
        <w:t xml:space="preserve">, f. único; </w:t>
      </w:r>
      <w:hyperlink w:anchor="SENTENCIA_2023_131" w:history="1">
        <w:r w:rsidRPr="00DA359F">
          <w:rPr>
            <w:rStyle w:val="TextoNormalCaracter"/>
          </w:rPr>
          <w:t>131/2023</w:t>
        </w:r>
      </w:hyperlink>
      <w:r>
        <w:t xml:space="preserve">, ff. 1, 2, 4, VP; </w:t>
      </w:r>
      <w:hyperlink w:anchor="SENTENCIA_2023_136" w:history="1">
        <w:r w:rsidRPr="00DA359F">
          <w:rPr>
            <w:rStyle w:val="TextoNormalCaracter"/>
          </w:rPr>
          <w:t>136/2023</w:t>
        </w:r>
      </w:hyperlink>
      <w:r>
        <w:t xml:space="preserve">, f. 1; </w:t>
      </w:r>
      <w:hyperlink w:anchor="SENTENCIA_2023_148" w:history="1">
        <w:r w:rsidRPr="00DA359F">
          <w:rPr>
            <w:rStyle w:val="TextoNormalCaracter"/>
          </w:rPr>
          <w:t>148/2023</w:t>
        </w:r>
      </w:hyperlink>
      <w:r>
        <w:t xml:space="preserve">, ff. 2, 3; </w:t>
      </w:r>
      <w:hyperlink w:anchor="SENTENCIA_2023_150" w:history="1">
        <w:r w:rsidRPr="00DA359F">
          <w:rPr>
            <w:rStyle w:val="TextoNormalCaracter"/>
          </w:rPr>
          <w:t>150/2023</w:t>
        </w:r>
      </w:hyperlink>
      <w:r>
        <w:t xml:space="preserve">, ff. 2, 3; </w:t>
      </w:r>
      <w:hyperlink w:anchor="SENTENCIA_2023_152" w:history="1">
        <w:r w:rsidRPr="00DA359F">
          <w:rPr>
            <w:rStyle w:val="TextoNormalCaracter"/>
          </w:rPr>
          <w:t>152/2023</w:t>
        </w:r>
      </w:hyperlink>
      <w:r>
        <w:t xml:space="preserve">, ff. 2, 3; </w:t>
      </w:r>
      <w:hyperlink w:anchor="SENTENCIA_2023_154" w:history="1">
        <w:r w:rsidRPr="00DA359F">
          <w:rPr>
            <w:rStyle w:val="TextoNormalCaracter"/>
          </w:rPr>
          <w:t>154/2023</w:t>
        </w:r>
      </w:hyperlink>
      <w:r>
        <w:t xml:space="preserve">, f. 2; </w:t>
      </w:r>
      <w:hyperlink w:anchor="SENTENCIA_2023_156" w:history="1">
        <w:r w:rsidRPr="00DA359F">
          <w:rPr>
            <w:rStyle w:val="TextoNormalCaracter"/>
          </w:rPr>
          <w:t>156/2023</w:t>
        </w:r>
      </w:hyperlink>
      <w:r>
        <w:t xml:space="preserve">, f. 2; </w:t>
      </w:r>
      <w:hyperlink w:anchor="SENTENCIA_2023_158" w:history="1">
        <w:r w:rsidRPr="00DA359F">
          <w:rPr>
            <w:rStyle w:val="TextoNormalCaracter"/>
          </w:rPr>
          <w:t>158/2023</w:t>
        </w:r>
      </w:hyperlink>
      <w:r>
        <w:t xml:space="preserve">, f. 2; </w:t>
      </w:r>
      <w:hyperlink w:anchor="SENTENCIA_2023_160" w:history="1">
        <w:r w:rsidRPr="00DA359F">
          <w:rPr>
            <w:rStyle w:val="TextoNormalCaracter"/>
          </w:rPr>
          <w:t>160/2023</w:t>
        </w:r>
      </w:hyperlink>
      <w:r>
        <w:t xml:space="preserve">, f. 2; </w:t>
      </w:r>
      <w:hyperlink w:anchor="SENTENCIA_2023_162" w:history="1">
        <w:r w:rsidRPr="00DA359F">
          <w:rPr>
            <w:rStyle w:val="TextoNormalCaracter"/>
          </w:rPr>
          <w:t>162/2023</w:t>
        </w:r>
      </w:hyperlink>
      <w:r>
        <w:t xml:space="preserve">, f. 2; </w:t>
      </w:r>
      <w:hyperlink w:anchor="SENTENCIA_2023_181" w:history="1">
        <w:r w:rsidRPr="00DA359F">
          <w:rPr>
            <w:rStyle w:val="TextoNormalCaracter"/>
          </w:rPr>
          <w:t>181/2023</w:t>
        </w:r>
      </w:hyperlink>
      <w:r>
        <w:t xml:space="preserve">, ff. 2, 3; </w:t>
      </w:r>
      <w:hyperlink w:anchor="SENTENCIA_2023_183" w:history="1">
        <w:r w:rsidRPr="00DA359F">
          <w:rPr>
            <w:rStyle w:val="TextoNormalCaracter"/>
          </w:rPr>
          <w:t>183/2023</w:t>
        </w:r>
      </w:hyperlink>
      <w:r>
        <w:t xml:space="preserve">, f. 2; </w:t>
      </w:r>
      <w:hyperlink w:anchor="SENTENCIA_2023_186" w:history="1">
        <w:r w:rsidRPr="00DA359F">
          <w:rPr>
            <w:rStyle w:val="TextoNormalCaracter"/>
          </w:rPr>
          <w:t>186/2023</w:t>
        </w:r>
      </w:hyperlink>
      <w:r>
        <w:t>, f. 2.</w:t>
      </w:r>
    </w:p>
    <w:p w14:paraId="43A4F89B" w14:textId="45A934F1" w:rsidR="00DA359F" w:rsidRDefault="00DA359F" w:rsidP="00DA359F">
      <w:pPr>
        <w:pStyle w:val="SangriaIzquierdaArticulo"/>
      </w:pPr>
      <w:r>
        <w:t xml:space="preserve">Autos </w:t>
      </w:r>
      <w:hyperlink w:anchor="AUTO_2023_375" w:history="1">
        <w:r w:rsidRPr="00DA359F">
          <w:rPr>
            <w:rStyle w:val="TextoNormalCaracter"/>
          </w:rPr>
          <w:t>375/2023</w:t>
        </w:r>
      </w:hyperlink>
      <w:r>
        <w:t xml:space="preserve">, f. 2; </w:t>
      </w:r>
      <w:hyperlink w:anchor="AUTO_2023_427" w:history="1">
        <w:r w:rsidRPr="00DA359F">
          <w:rPr>
            <w:rStyle w:val="TextoNormalCaracter"/>
          </w:rPr>
          <w:t>427/2023</w:t>
        </w:r>
      </w:hyperlink>
      <w:r>
        <w:t>, f. 2, VP.</w:t>
      </w:r>
    </w:p>
    <w:p w14:paraId="12A23A79" w14:textId="07EEDEC4" w:rsidR="00DA359F" w:rsidRDefault="00DA359F" w:rsidP="00DA359F">
      <w:pPr>
        <w:pStyle w:val="SangriaFrancesaArticulo"/>
      </w:pPr>
      <w:r w:rsidRPr="00DA359F">
        <w:rPr>
          <w:rStyle w:val="TextoNormalNegritaCaracter"/>
        </w:rPr>
        <w:t>Artículo 24.2</w:t>
      </w:r>
      <w:r>
        <w:t xml:space="preserve"> (derecho a un juez imparcial)</w:t>
      </w:r>
      <w:r w:rsidRPr="00DA359F">
        <w:rPr>
          <w:rStyle w:val="TextoNormalNegritaCaracter"/>
        </w:rPr>
        <w:t>.</w:t>
      </w:r>
      <w:r w:rsidRPr="00DA359F">
        <w:rPr>
          <w:rStyle w:val="TextoNormalCaracter"/>
        </w:rPr>
        <w:t>-</w:t>
      </w:r>
      <w:r>
        <w:t xml:space="preserve"> Sentencia </w:t>
      </w:r>
      <w:hyperlink w:anchor="SENTENCIA_2023_101" w:history="1">
        <w:r w:rsidRPr="00DA359F">
          <w:rPr>
            <w:rStyle w:val="TextoNormalCaracter"/>
          </w:rPr>
          <w:t>101/2023</w:t>
        </w:r>
      </w:hyperlink>
      <w:r>
        <w:t>, f. 3.</w:t>
      </w:r>
    </w:p>
    <w:p w14:paraId="1C388F68" w14:textId="58809BCE" w:rsidR="00DA359F" w:rsidRDefault="00DA359F" w:rsidP="00DA359F">
      <w:pPr>
        <w:pStyle w:val="SangriaFrancesaArticulo"/>
      </w:pPr>
      <w:r w:rsidRPr="00DA359F">
        <w:rPr>
          <w:rStyle w:val="TextoNormalNegritaCaracter"/>
        </w:rPr>
        <w:t>Artículo 24.2</w:t>
      </w:r>
      <w:r>
        <w:t xml:space="preserve"> (derecho a un proceso con todas las garantías)</w:t>
      </w:r>
      <w:r w:rsidRPr="00DA359F">
        <w:rPr>
          <w:rStyle w:val="TextoNormalNegritaCaracter"/>
        </w:rPr>
        <w:t>.</w:t>
      </w:r>
      <w:r w:rsidRPr="00DA359F">
        <w:rPr>
          <w:rStyle w:val="TextoNormalCaracter"/>
        </w:rPr>
        <w:t>-</w:t>
      </w:r>
      <w:r>
        <w:t xml:space="preserve"> Sentencia </w:t>
      </w:r>
      <w:hyperlink w:anchor="SENTENCIA_2023_101" w:history="1">
        <w:r w:rsidRPr="00DA359F">
          <w:rPr>
            <w:rStyle w:val="TextoNormalCaracter"/>
          </w:rPr>
          <w:t>101/2023</w:t>
        </w:r>
      </w:hyperlink>
      <w:r>
        <w:t>, ff. 1, 3.</w:t>
      </w:r>
    </w:p>
    <w:p w14:paraId="743F6589" w14:textId="6D5E18D8" w:rsidR="00DA359F" w:rsidRDefault="00DA359F" w:rsidP="00DA359F">
      <w:pPr>
        <w:pStyle w:val="SangriaFrancesaArticulo"/>
      </w:pPr>
      <w:r w:rsidRPr="00DA359F">
        <w:rPr>
          <w:rStyle w:val="TextoNormalNegritaCaracter"/>
        </w:rPr>
        <w:t>Artículo 25.</w:t>
      </w:r>
      <w:r w:rsidRPr="00DA359F">
        <w:rPr>
          <w:rStyle w:val="TextoNormalCaracter"/>
        </w:rPr>
        <w:t>-</w:t>
      </w:r>
      <w:r>
        <w:t xml:space="preserve"> Sentencia </w:t>
      </w:r>
      <w:hyperlink w:anchor="SENTENCIA_2023_130" w:history="1">
        <w:r w:rsidRPr="00DA359F">
          <w:rPr>
            <w:rStyle w:val="TextoNormalCaracter"/>
          </w:rPr>
          <w:t>130/2023</w:t>
        </w:r>
      </w:hyperlink>
      <w:r>
        <w:t>, f. único.</w:t>
      </w:r>
    </w:p>
    <w:p w14:paraId="3496DE67" w14:textId="04F3F2C5" w:rsidR="00DA359F" w:rsidRDefault="00DA359F" w:rsidP="00DA359F">
      <w:pPr>
        <w:pStyle w:val="SangriaIzquierdaArticulo"/>
      </w:pPr>
      <w:r>
        <w:t xml:space="preserve">Autos </w:t>
      </w:r>
      <w:hyperlink w:anchor="AUTO_2023_427" w:history="1">
        <w:r w:rsidRPr="00DA359F">
          <w:rPr>
            <w:rStyle w:val="TextoNormalCaracter"/>
          </w:rPr>
          <w:t>427/2023</w:t>
        </w:r>
      </w:hyperlink>
      <w:r>
        <w:t xml:space="preserve">, ff. 1, 2; </w:t>
      </w:r>
      <w:hyperlink w:anchor="AUTO_2023_526" w:history="1">
        <w:r w:rsidRPr="00DA359F">
          <w:rPr>
            <w:rStyle w:val="TextoNormalCaracter"/>
          </w:rPr>
          <w:t>526/2023</w:t>
        </w:r>
      </w:hyperlink>
      <w:r>
        <w:t>, f. 1.</w:t>
      </w:r>
    </w:p>
    <w:p w14:paraId="5980B367" w14:textId="72B5B173" w:rsidR="00DA359F" w:rsidRDefault="00DA359F" w:rsidP="00DA359F">
      <w:pPr>
        <w:pStyle w:val="SangriaFrancesaArticulo"/>
      </w:pPr>
      <w:r w:rsidRPr="00DA359F">
        <w:rPr>
          <w:rStyle w:val="TextoNormalNegritaCaracter"/>
        </w:rPr>
        <w:t>Artículo 25.1.</w:t>
      </w:r>
      <w:r w:rsidRPr="00DA359F">
        <w:rPr>
          <w:rStyle w:val="TextoNormalCaracter"/>
        </w:rPr>
        <w:t>-</w:t>
      </w:r>
      <w:r>
        <w:t xml:space="preserve"> Sentencias </w:t>
      </w:r>
      <w:hyperlink w:anchor="SENTENCIA_2023_80" w:history="1">
        <w:r w:rsidRPr="00DA359F">
          <w:rPr>
            <w:rStyle w:val="TextoNormalCaracter"/>
          </w:rPr>
          <w:t>80/2023</w:t>
        </w:r>
      </w:hyperlink>
      <w:r>
        <w:t xml:space="preserve">, ff. 2, 3; </w:t>
      </w:r>
      <w:hyperlink w:anchor="SENTENCIA_2023_82" w:history="1">
        <w:r w:rsidRPr="00DA359F">
          <w:rPr>
            <w:rStyle w:val="TextoNormalCaracter"/>
          </w:rPr>
          <w:t>82/2023</w:t>
        </w:r>
      </w:hyperlink>
      <w:r>
        <w:t xml:space="preserve">, f. 2; </w:t>
      </w:r>
      <w:hyperlink w:anchor="SENTENCIA_2023_86" w:history="1">
        <w:r w:rsidRPr="00DA359F">
          <w:rPr>
            <w:rStyle w:val="TextoNormalCaracter"/>
          </w:rPr>
          <w:t>86/2023</w:t>
        </w:r>
      </w:hyperlink>
      <w:r>
        <w:t xml:space="preserve">, f. 3; </w:t>
      </w:r>
      <w:hyperlink w:anchor="SENTENCIA_2023_87" w:history="1">
        <w:r w:rsidRPr="00DA359F">
          <w:rPr>
            <w:rStyle w:val="TextoNormalCaracter"/>
          </w:rPr>
          <w:t>87/2023</w:t>
        </w:r>
      </w:hyperlink>
      <w:r>
        <w:t xml:space="preserve">, ff. 1 a 3; </w:t>
      </w:r>
      <w:hyperlink w:anchor="SENTENCIA_2023_92" w:history="1">
        <w:r w:rsidRPr="00DA359F">
          <w:rPr>
            <w:rStyle w:val="TextoNormalCaracter"/>
          </w:rPr>
          <w:t>92/2023</w:t>
        </w:r>
      </w:hyperlink>
      <w:r>
        <w:t xml:space="preserve">, ff. 1, 6; </w:t>
      </w:r>
      <w:hyperlink w:anchor="SENTENCIA_2023_130" w:history="1">
        <w:r w:rsidRPr="00DA359F">
          <w:rPr>
            <w:rStyle w:val="TextoNormalCaracter"/>
          </w:rPr>
          <w:t>130/2023</w:t>
        </w:r>
      </w:hyperlink>
      <w:r>
        <w:t xml:space="preserve">, f. único; </w:t>
      </w:r>
      <w:hyperlink w:anchor="SENTENCIA_2023_136" w:history="1">
        <w:r w:rsidRPr="00DA359F">
          <w:rPr>
            <w:rStyle w:val="TextoNormalCaracter"/>
          </w:rPr>
          <w:t>136/2023</w:t>
        </w:r>
      </w:hyperlink>
      <w:r>
        <w:t xml:space="preserve">, f. 1; </w:t>
      </w:r>
      <w:hyperlink w:anchor="SENTENCIA_2023_150" w:history="1">
        <w:r w:rsidRPr="00DA359F">
          <w:rPr>
            <w:rStyle w:val="TextoNormalCaracter"/>
          </w:rPr>
          <w:t>150/2023</w:t>
        </w:r>
      </w:hyperlink>
      <w:r>
        <w:t xml:space="preserve">, f. 1; </w:t>
      </w:r>
      <w:hyperlink w:anchor="SENTENCIA_2023_179" w:history="1">
        <w:r w:rsidRPr="00DA359F">
          <w:rPr>
            <w:rStyle w:val="TextoNormalCaracter"/>
          </w:rPr>
          <w:t>179/2023</w:t>
        </w:r>
      </w:hyperlink>
      <w:r>
        <w:t>, ff. 1 a 3.</w:t>
      </w:r>
    </w:p>
    <w:p w14:paraId="1F138754" w14:textId="291ADACD" w:rsidR="00DA359F" w:rsidRDefault="00DA359F" w:rsidP="00DA359F">
      <w:pPr>
        <w:pStyle w:val="SangriaIzquierdaArticulo"/>
      </w:pPr>
      <w:r>
        <w:t xml:space="preserve">Autos </w:t>
      </w:r>
      <w:hyperlink w:anchor="AUTO_2023_427" w:history="1">
        <w:r w:rsidRPr="00DA359F">
          <w:rPr>
            <w:rStyle w:val="TextoNormalCaracter"/>
          </w:rPr>
          <w:t>427/2023</w:t>
        </w:r>
      </w:hyperlink>
      <w:r>
        <w:t xml:space="preserve">, f. 2; </w:t>
      </w:r>
      <w:hyperlink w:anchor="AUTO_2023_526" w:history="1">
        <w:r w:rsidRPr="00DA359F">
          <w:rPr>
            <w:rStyle w:val="TextoNormalCaracter"/>
          </w:rPr>
          <w:t>526/2023</w:t>
        </w:r>
      </w:hyperlink>
      <w:r>
        <w:t xml:space="preserve">, f. 1; </w:t>
      </w:r>
      <w:hyperlink w:anchor="AUTO_2023_603" w:history="1">
        <w:r w:rsidRPr="00DA359F">
          <w:rPr>
            <w:rStyle w:val="TextoNormalCaracter"/>
          </w:rPr>
          <w:t>603/2023</w:t>
        </w:r>
      </w:hyperlink>
      <w:r>
        <w:t>, ff. 1, 3, 4.</w:t>
      </w:r>
    </w:p>
    <w:p w14:paraId="193BDE0D" w14:textId="7EC34A6F" w:rsidR="00DA359F" w:rsidRDefault="00DA359F" w:rsidP="00DA359F">
      <w:pPr>
        <w:pStyle w:val="SangriaFrancesaArticulo"/>
      </w:pPr>
      <w:r w:rsidRPr="00DA359F">
        <w:rPr>
          <w:rStyle w:val="TextoNormalNegritaCaracter"/>
        </w:rPr>
        <w:t>Artículo 25.2.</w:t>
      </w:r>
      <w:r w:rsidRPr="00DA359F">
        <w:rPr>
          <w:rStyle w:val="TextoNormalCaracter"/>
        </w:rPr>
        <w:t>-</w:t>
      </w:r>
      <w:r>
        <w:t xml:space="preserve"> Sentencia </w:t>
      </w:r>
      <w:hyperlink w:anchor="SENTENCIA_2023_123" w:history="1">
        <w:r w:rsidRPr="00DA359F">
          <w:rPr>
            <w:rStyle w:val="TextoNormalCaracter"/>
          </w:rPr>
          <w:t>123/2023</w:t>
        </w:r>
      </w:hyperlink>
      <w:r>
        <w:t>, f. 1.</w:t>
      </w:r>
    </w:p>
    <w:p w14:paraId="5D3A1A23" w14:textId="2D144F98" w:rsidR="00DA359F" w:rsidRDefault="00DA359F" w:rsidP="00DA359F">
      <w:pPr>
        <w:pStyle w:val="SangriaFrancesaArticulo"/>
      </w:pPr>
      <w:r w:rsidRPr="00DA359F">
        <w:rPr>
          <w:rStyle w:val="TextoNormalNegritaCaracter"/>
        </w:rPr>
        <w:t>Artículo 27.1.</w:t>
      </w:r>
      <w:r w:rsidRPr="00DA359F">
        <w:rPr>
          <w:rStyle w:val="TextoNormalCaracter"/>
        </w:rPr>
        <w:t>-</w:t>
      </w:r>
      <w:r>
        <w:t xml:space="preserve"> Sentencia </w:t>
      </w:r>
      <w:hyperlink w:anchor="SENTENCIA_2023_79" w:history="1">
        <w:r w:rsidRPr="00DA359F">
          <w:rPr>
            <w:rStyle w:val="TextoNormalCaracter"/>
          </w:rPr>
          <w:t>79/2023</w:t>
        </w:r>
      </w:hyperlink>
      <w:r>
        <w:t>, f. 4.</w:t>
      </w:r>
    </w:p>
    <w:p w14:paraId="1D7C31D0" w14:textId="0E1C5849" w:rsidR="00DA359F" w:rsidRDefault="00DA359F" w:rsidP="00DA359F">
      <w:pPr>
        <w:pStyle w:val="SangriaFrancesaArticulo"/>
      </w:pPr>
      <w:r w:rsidRPr="00DA359F">
        <w:rPr>
          <w:rStyle w:val="TextoNormalNegritaCaracter"/>
        </w:rPr>
        <w:t>Artículo 28.</w:t>
      </w:r>
      <w:r w:rsidRPr="00DA359F">
        <w:rPr>
          <w:rStyle w:val="TextoNormalCaracter"/>
        </w:rPr>
        <w:t>-</w:t>
      </w:r>
      <w:r>
        <w:t xml:space="preserve"> Sentencia </w:t>
      </w:r>
      <w:hyperlink w:anchor="SENTENCIA_2023_88" w:history="1">
        <w:r w:rsidRPr="00DA359F">
          <w:rPr>
            <w:rStyle w:val="TextoNormalCaracter"/>
          </w:rPr>
          <w:t>88/2023</w:t>
        </w:r>
      </w:hyperlink>
      <w:r>
        <w:t>, ff. 1, 3.</w:t>
      </w:r>
    </w:p>
    <w:p w14:paraId="34954C4D" w14:textId="243B89B6" w:rsidR="00DA359F" w:rsidRDefault="00DA359F" w:rsidP="00DA359F">
      <w:pPr>
        <w:pStyle w:val="SangriaFrancesaArticulo"/>
      </w:pPr>
      <w:r w:rsidRPr="00DA359F">
        <w:rPr>
          <w:rStyle w:val="TextoNormalNegritaCaracter"/>
        </w:rPr>
        <w:t>Artículo 28.1.</w:t>
      </w:r>
      <w:r w:rsidRPr="00DA359F">
        <w:rPr>
          <w:rStyle w:val="TextoNormalCaracter"/>
        </w:rPr>
        <w:t>-</w:t>
      </w:r>
      <w:r>
        <w:t xml:space="preserve"> Sentencias </w:t>
      </w:r>
      <w:hyperlink w:anchor="SENTENCIA_2023_79" w:history="1">
        <w:r w:rsidRPr="00DA359F">
          <w:rPr>
            <w:rStyle w:val="TextoNormalCaracter"/>
          </w:rPr>
          <w:t>79/2023</w:t>
        </w:r>
      </w:hyperlink>
      <w:r>
        <w:t xml:space="preserve">, f. 2; </w:t>
      </w:r>
      <w:hyperlink w:anchor="SENTENCIA_2023_144" w:history="1">
        <w:r w:rsidRPr="00DA359F">
          <w:rPr>
            <w:rStyle w:val="TextoNormalCaracter"/>
          </w:rPr>
          <w:t>144/2023</w:t>
        </w:r>
      </w:hyperlink>
      <w:r>
        <w:t>, f. 5.</w:t>
      </w:r>
    </w:p>
    <w:p w14:paraId="563D56B5" w14:textId="67D587F2" w:rsidR="00DA359F" w:rsidRDefault="00DA359F" w:rsidP="00DA359F">
      <w:pPr>
        <w:pStyle w:val="SangriaFrancesaArticulo"/>
      </w:pPr>
      <w:r w:rsidRPr="00DA359F">
        <w:rPr>
          <w:rStyle w:val="TextoNormalNegritaCaracter"/>
        </w:rPr>
        <w:t>Artículo 31.</w:t>
      </w:r>
      <w:r w:rsidRPr="00DA359F">
        <w:rPr>
          <w:rStyle w:val="TextoNormalCaracter"/>
        </w:rPr>
        <w:t>-</w:t>
      </w:r>
      <w:r>
        <w:t xml:space="preserve"> Sentencia </w:t>
      </w:r>
      <w:hyperlink w:anchor="SENTENCIA_2023_126" w:history="1">
        <w:r w:rsidRPr="00DA359F">
          <w:rPr>
            <w:rStyle w:val="TextoNormalCaracter"/>
          </w:rPr>
          <w:t>126/2023</w:t>
        </w:r>
      </w:hyperlink>
      <w:r>
        <w:t>, f. 2.</w:t>
      </w:r>
    </w:p>
    <w:p w14:paraId="2CE9E2E9" w14:textId="3E858A54" w:rsidR="00DA359F" w:rsidRDefault="00DA359F" w:rsidP="00DA359F">
      <w:pPr>
        <w:pStyle w:val="SangriaFrancesaArticulo"/>
      </w:pPr>
      <w:r w:rsidRPr="00DA359F">
        <w:rPr>
          <w:rStyle w:val="TextoNormalNegritaCaracter"/>
        </w:rPr>
        <w:t>Artículo 31.1.</w:t>
      </w:r>
      <w:r w:rsidRPr="00DA359F">
        <w:rPr>
          <w:rStyle w:val="TextoNormalCaracter"/>
        </w:rPr>
        <w:t>-</w:t>
      </w:r>
      <w:r>
        <w:t xml:space="preserve"> Sentencias </w:t>
      </w:r>
      <w:hyperlink w:anchor="SENTENCIA_2023_149" w:history="1">
        <w:r w:rsidRPr="00DA359F">
          <w:rPr>
            <w:rStyle w:val="TextoNormalCaracter"/>
          </w:rPr>
          <w:t>149/2023</w:t>
        </w:r>
      </w:hyperlink>
      <w:r>
        <w:t xml:space="preserve">, ff. 1, 4, 5, VP; </w:t>
      </w:r>
      <w:hyperlink w:anchor="SENTENCIA_2023_189" w:history="1">
        <w:r w:rsidRPr="00DA359F">
          <w:rPr>
            <w:rStyle w:val="TextoNormalCaracter"/>
          </w:rPr>
          <w:t>189/2023</w:t>
        </w:r>
      </w:hyperlink>
      <w:r>
        <w:t xml:space="preserve">, ff. 1, 4; </w:t>
      </w:r>
      <w:hyperlink w:anchor="SENTENCIA_2023_190" w:history="1">
        <w:r w:rsidRPr="00DA359F">
          <w:rPr>
            <w:rStyle w:val="TextoNormalCaracter"/>
          </w:rPr>
          <w:t>190/2023</w:t>
        </w:r>
      </w:hyperlink>
      <w:r>
        <w:t>, ff. 1, 4.</w:t>
      </w:r>
    </w:p>
    <w:p w14:paraId="7A6C6CF1" w14:textId="60112CB6" w:rsidR="00DA359F" w:rsidRDefault="00DA359F" w:rsidP="00DA359F">
      <w:pPr>
        <w:pStyle w:val="SangriaIzquierdaArticulo"/>
      </w:pPr>
      <w:r>
        <w:t xml:space="preserve">Autos </w:t>
      </w:r>
      <w:hyperlink w:anchor="AUTO_2023_376" w:history="1">
        <w:r w:rsidRPr="00DA359F">
          <w:rPr>
            <w:rStyle w:val="TextoNormalCaracter"/>
          </w:rPr>
          <w:t>376/2023</w:t>
        </w:r>
      </w:hyperlink>
      <w:r>
        <w:t xml:space="preserve">, f. 1; </w:t>
      </w:r>
      <w:hyperlink w:anchor="AUTO_2023_486" w:history="1">
        <w:r w:rsidRPr="00DA359F">
          <w:rPr>
            <w:rStyle w:val="TextoNormalCaracter"/>
          </w:rPr>
          <w:t>486/2023</w:t>
        </w:r>
      </w:hyperlink>
      <w:r>
        <w:t xml:space="preserve">, ff. 1, 2; </w:t>
      </w:r>
      <w:hyperlink w:anchor="AUTO_2023_667" w:history="1">
        <w:r w:rsidRPr="00DA359F">
          <w:rPr>
            <w:rStyle w:val="TextoNormalCaracter"/>
          </w:rPr>
          <w:t>667/2023</w:t>
        </w:r>
      </w:hyperlink>
      <w:r>
        <w:t>, f. 1.</w:t>
      </w:r>
    </w:p>
    <w:p w14:paraId="7B97E8E9" w14:textId="73F60798" w:rsidR="00DA359F" w:rsidRDefault="00DA359F" w:rsidP="00DA359F">
      <w:pPr>
        <w:pStyle w:val="SangriaFrancesaArticulo"/>
      </w:pPr>
      <w:r w:rsidRPr="00DA359F">
        <w:rPr>
          <w:rStyle w:val="TextoNormalNegritaCaracter"/>
        </w:rPr>
        <w:t>Artículo 33.</w:t>
      </w:r>
      <w:r w:rsidRPr="00DA359F">
        <w:rPr>
          <w:rStyle w:val="TextoNormalCaracter"/>
        </w:rPr>
        <w:t>-</w:t>
      </w:r>
      <w:r>
        <w:t xml:space="preserve"> Sentencia </w:t>
      </w:r>
      <w:hyperlink w:anchor="SENTENCIA_2023_168" w:history="1">
        <w:r w:rsidRPr="00DA359F">
          <w:rPr>
            <w:rStyle w:val="TextoNormalCaracter"/>
          </w:rPr>
          <w:t>168/2023</w:t>
        </w:r>
      </w:hyperlink>
      <w:r>
        <w:t>, ff. 1, 3 a 5, 8.</w:t>
      </w:r>
    </w:p>
    <w:p w14:paraId="1F140638" w14:textId="163EF154" w:rsidR="00DA359F" w:rsidRDefault="00DA359F" w:rsidP="00DA359F">
      <w:pPr>
        <w:pStyle w:val="SangriaFrancesaArticulo"/>
      </w:pPr>
      <w:r w:rsidRPr="00DA359F">
        <w:rPr>
          <w:rStyle w:val="TextoNormalNegritaCaracter"/>
        </w:rPr>
        <w:t>Artículo 33.3.</w:t>
      </w:r>
      <w:r w:rsidRPr="00DA359F">
        <w:rPr>
          <w:rStyle w:val="TextoNormalCaracter"/>
        </w:rPr>
        <w:t>-</w:t>
      </w:r>
      <w:r>
        <w:t xml:space="preserve"> Sentencia </w:t>
      </w:r>
      <w:hyperlink w:anchor="SENTENCIA_2023_168" w:history="1">
        <w:r w:rsidRPr="00DA359F">
          <w:rPr>
            <w:rStyle w:val="TextoNormalCaracter"/>
          </w:rPr>
          <w:t>168/2023</w:t>
        </w:r>
      </w:hyperlink>
      <w:r>
        <w:t>, f. 4.</w:t>
      </w:r>
    </w:p>
    <w:p w14:paraId="608D418C" w14:textId="11262D38" w:rsidR="00DA359F" w:rsidRDefault="00DA359F" w:rsidP="00DA359F">
      <w:pPr>
        <w:pStyle w:val="SangriaIzquierdaArticulo"/>
      </w:pPr>
      <w:r>
        <w:t xml:space="preserve">Auto </w:t>
      </w:r>
      <w:hyperlink w:anchor="AUTO_2023_669" w:history="1">
        <w:r w:rsidRPr="00DA359F">
          <w:rPr>
            <w:rStyle w:val="TextoNormalCaracter"/>
          </w:rPr>
          <w:t>669/2023</w:t>
        </w:r>
      </w:hyperlink>
      <w:r>
        <w:t>, f. 1.</w:t>
      </w:r>
    </w:p>
    <w:p w14:paraId="5FAC5416" w14:textId="79FFB141" w:rsidR="00DA359F" w:rsidRDefault="00DA359F" w:rsidP="00DA359F">
      <w:pPr>
        <w:pStyle w:val="SangriaFrancesaArticulo"/>
      </w:pPr>
      <w:r w:rsidRPr="00DA359F">
        <w:rPr>
          <w:rStyle w:val="TextoNormalNegritaCaracter"/>
        </w:rPr>
        <w:t>Artículo 35.</w:t>
      </w:r>
      <w:r w:rsidRPr="00DA359F">
        <w:rPr>
          <w:rStyle w:val="TextoNormalCaracter"/>
        </w:rPr>
        <w:t>-</w:t>
      </w:r>
      <w:r>
        <w:t xml:space="preserve"> Sentencia </w:t>
      </w:r>
      <w:hyperlink w:anchor="SENTENCIA_2023_94" w:history="1">
        <w:r w:rsidRPr="00DA359F">
          <w:rPr>
            <w:rStyle w:val="TextoNormalCaracter"/>
          </w:rPr>
          <w:t>94/2023</w:t>
        </w:r>
      </w:hyperlink>
      <w:r>
        <w:t>, f. 4.</w:t>
      </w:r>
    </w:p>
    <w:p w14:paraId="483F5E50" w14:textId="06BC9A3F" w:rsidR="00DA359F" w:rsidRDefault="00DA359F" w:rsidP="00DA359F">
      <w:pPr>
        <w:pStyle w:val="SangriaFrancesaArticulo"/>
      </w:pPr>
      <w:r w:rsidRPr="00DA359F">
        <w:rPr>
          <w:rStyle w:val="TextoNormalNegritaCaracter"/>
        </w:rPr>
        <w:t>Artículo 35.1.</w:t>
      </w:r>
      <w:r w:rsidRPr="00DA359F">
        <w:rPr>
          <w:rStyle w:val="TextoNormalCaracter"/>
        </w:rPr>
        <w:t>-</w:t>
      </w:r>
      <w:r>
        <w:t xml:space="preserve"> Sentencias </w:t>
      </w:r>
      <w:hyperlink w:anchor="SENTENCIA_2023_94" w:history="1">
        <w:r w:rsidRPr="00DA359F">
          <w:rPr>
            <w:rStyle w:val="TextoNormalCaracter"/>
          </w:rPr>
          <w:t>94/2023</w:t>
        </w:r>
      </w:hyperlink>
      <w:r>
        <w:t xml:space="preserve">, f. 4; </w:t>
      </w:r>
      <w:hyperlink w:anchor="SENTENCIA_2023_144" w:history="1">
        <w:r w:rsidRPr="00DA359F">
          <w:rPr>
            <w:rStyle w:val="TextoNormalCaracter"/>
          </w:rPr>
          <w:t>144/2023</w:t>
        </w:r>
      </w:hyperlink>
      <w:r>
        <w:t>, VP.</w:t>
      </w:r>
    </w:p>
    <w:p w14:paraId="3FB5CDB9" w14:textId="2FD8228C" w:rsidR="00DA359F" w:rsidRDefault="00DA359F" w:rsidP="00DA359F">
      <w:pPr>
        <w:pStyle w:val="SangriaFrancesaArticulo"/>
      </w:pPr>
      <w:r w:rsidRPr="00DA359F">
        <w:rPr>
          <w:rStyle w:val="TextoNormalNegritaCaracter"/>
        </w:rPr>
        <w:t>Artículo 36.</w:t>
      </w:r>
      <w:r w:rsidRPr="00DA359F">
        <w:rPr>
          <w:rStyle w:val="TextoNormalCaracter"/>
        </w:rPr>
        <w:t>-</w:t>
      </w:r>
      <w:r>
        <w:t xml:space="preserve"> Sentencia </w:t>
      </w:r>
      <w:hyperlink w:anchor="SENTENCIA_2023_94" w:history="1">
        <w:r w:rsidRPr="00DA359F">
          <w:rPr>
            <w:rStyle w:val="TextoNormalCaracter"/>
          </w:rPr>
          <w:t>94/2023</w:t>
        </w:r>
      </w:hyperlink>
      <w:r>
        <w:t>, f. 4.</w:t>
      </w:r>
    </w:p>
    <w:p w14:paraId="5234AF4F" w14:textId="1A50163B" w:rsidR="00DA359F" w:rsidRDefault="00DA359F" w:rsidP="00DA359F">
      <w:pPr>
        <w:pStyle w:val="SangriaFrancesaArticulo"/>
      </w:pPr>
      <w:r w:rsidRPr="00DA359F">
        <w:rPr>
          <w:rStyle w:val="TextoNormalNegritaCaracter"/>
        </w:rPr>
        <w:t>Artículo 37.1.</w:t>
      </w:r>
      <w:r w:rsidRPr="00DA359F">
        <w:rPr>
          <w:rStyle w:val="TextoNormalCaracter"/>
        </w:rPr>
        <w:t>-</w:t>
      </w:r>
      <w:r>
        <w:t xml:space="preserve"> Sentencia </w:t>
      </w:r>
      <w:hyperlink w:anchor="SENTENCIA_2023_144" w:history="1">
        <w:r w:rsidRPr="00DA359F">
          <w:rPr>
            <w:rStyle w:val="TextoNormalCaracter"/>
          </w:rPr>
          <w:t>144/2023</w:t>
        </w:r>
      </w:hyperlink>
      <w:r>
        <w:t>, f. 5.</w:t>
      </w:r>
    </w:p>
    <w:p w14:paraId="46402A8C" w14:textId="529E0787" w:rsidR="00DA359F" w:rsidRDefault="00DA359F" w:rsidP="00DA359F">
      <w:pPr>
        <w:pStyle w:val="SangriaFrancesaArticulo"/>
      </w:pPr>
      <w:r w:rsidRPr="00DA359F">
        <w:rPr>
          <w:rStyle w:val="TextoNormalNegritaCaracter"/>
        </w:rPr>
        <w:t>Artículo 38.</w:t>
      </w:r>
      <w:r w:rsidRPr="00DA359F">
        <w:rPr>
          <w:rStyle w:val="TextoNormalCaracter"/>
        </w:rPr>
        <w:t>-</w:t>
      </w:r>
      <w:r>
        <w:t xml:space="preserve"> Sentencias </w:t>
      </w:r>
      <w:hyperlink w:anchor="SENTENCIA_2023_79" w:history="1">
        <w:r w:rsidRPr="00DA359F">
          <w:rPr>
            <w:rStyle w:val="TextoNormalCaracter"/>
          </w:rPr>
          <w:t>79/2023</w:t>
        </w:r>
      </w:hyperlink>
      <w:r>
        <w:t xml:space="preserve">, f. 3; </w:t>
      </w:r>
      <w:hyperlink w:anchor="SENTENCIA_2023_83" w:history="1">
        <w:r w:rsidRPr="00DA359F">
          <w:rPr>
            <w:rStyle w:val="TextoNormalCaracter"/>
          </w:rPr>
          <w:t>83/2023</w:t>
        </w:r>
      </w:hyperlink>
      <w:r>
        <w:t xml:space="preserve">, VP I; </w:t>
      </w:r>
      <w:hyperlink w:anchor="SENTENCIA_2023_89" w:history="1">
        <w:r w:rsidRPr="00DA359F">
          <w:rPr>
            <w:rStyle w:val="TextoNormalCaracter"/>
          </w:rPr>
          <w:t>89/2023</w:t>
        </w:r>
      </w:hyperlink>
      <w:r>
        <w:t xml:space="preserve">, f. 3, VP II; </w:t>
      </w:r>
      <w:hyperlink w:anchor="SENTENCIA_2023_94" w:history="1">
        <w:r w:rsidRPr="00DA359F">
          <w:rPr>
            <w:rStyle w:val="TextoNormalCaracter"/>
          </w:rPr>
          <w:t>94/2023</w:t>
        </w:r>
      </w:hyperlink>
      <w:r>
        <w:t xml:space="preserve">, f. 4; </w:t>
      </w:r>
      <w:hyperlink w:anchor="SENTENCIA_2023_169" w:history="1">
        <w:r w:rsidRPr="00DA359F">
          <w:rPr>
            <w:rStyle w:val="TextoNormalCaracter"/>
          </w:rPr>
          <w:t>169/2023</w:t>
        </w:r>
      </w:hyperlink>
      <w:r>
        <w:t>, ff. 1, 3.</w:t>
      </w:r>
    </w:p>
    <w:p w14:paraId="5390D874" w14:textId="4525A808" w:rsidR="00DA359F" w:rsidRDefault="00DA359F" w:rsidP="00DA359F">
      <w:pPr>
        <w:pStyle w:val="SangriaFrancesaArticulo"/>
      </w:pPr>
      <w:r w:rsidRPr="00DA359F">
        <w:rPr>
          <w:rStyle w:val="TextoNormalNegritaCaracter"/>
        </w:rPr>
        <w:t>Artículo 39.</w:t>
      </w:r>
      <w:r w:rsidRPr="00DA359F">
        <w:rPr>
          <w:rStyle w:val="TextoNormalCaracter"/>
        </w:rPr>
        <w:t>-</w:t>
      </w:r>
      <w:r>
        <w:t xml:space="preserve"> Sentencias </w:t>
      </w:r>
      <w:hyperlink w:anchor="SENTENCIA_2023_131" w:history="1">
        <w:r w:rsidRPr="00DA359F">
          <w:rPr>
            <w:rStyle w:val="TextoNormalCaracter"/>
          </w:rPr>
          <w:t>131/2023</w:t>
        </w:r>
      </w:hyperlink>
      <w:r>
        <w:t xml:space="preserve">, f. 3, VP; </w:t>
      </w:r>
      <w:hyperlink w:anchor="SENTENCIA_2023_148" w:history="1">
        <w:r w:rsidRPr="00DA359F">
          <w:rPr>
            <w:rStyle w:val="TextoNormalCaracter"/>
          </w:rPr>
          <w:t>148/2023</w:t>
        </w:r>
      </w:hyperlink>
      <w:r>
        <w:t>, f. 4.</w:t>
      </w:r>
    </w:p>
    <w:p w14:paraId="460580B7" w14:textId="0357BCF8" w:rsidR="00DA359F" w:rsidRDefault="00DA359F" w:rsidP="00DA359F">
      <w:pPr>
        <w:pStyle w:val="SangriaIzquierdaArticulo"/>
      </w:pPr>
      <w:r>
        <w:t xml:space="preserve">Autos </w:t>
      </w:r>
      <w:hyperlink w:anchor="AUTO_2023_446" w:history="1">
        <w:r w:rsidRPr="00DA359F">
          <w:rPr>
            <w:rStyle w:val="TextoNormalCaracter"/>
          </w:rPr>
          <w:t>446/2023</w:t>
        </w:r>
      </w:hyperlink>
      <w:r>
        <w:t xml:space="preserve">, ff. 1, 2; </w:t>
      </w:r>
      <w:hyperlink w:anchor="AUTO_2023_448" w:history="1">
        <w:r w:rsidRPr="00DA359F">
          <w:rPr>
            <w:rStyle w:val="TextoNormalCaracter"/>
          </w:rPr>
          <w:t>448/2023</w:t>
        </w:r>
      </w:hyperlink>
      <w:r>
        <w:t>, f. 5.</w:t>
      </w:r>
    </w:p>
    <w:p w14:paraId="54FC32FD" w14:textId="0B30463B" w:rsidR="00DA359F" w:rsidRDefault="00DA359F" w:rsidP="00DA359F">
      <w:pPr>
        <w:pStyle w:val="SangriaFrancesaArticulo"/>
      </w:pPr>
      <w:r w:rsidRPr="00DA359F">
        <w:rPr>
          <w:rStyle w:val="TextoNormalNegritaCaracter"/>
        </w:rPr>
        <w:t>Artículo 39.4.</w:t>
      </w:r>
      <w:r w:rsidRPr="00DA359F">
        <w:rPr>
          <w:rStyle w:val="TextoNormalCaracter"/>
        </w:rPr>
        <w:t>-</w:t>
      </w:r>
      <w:r>
        <w:t xml:space="preserve"> Sentencia </w:t>
      </w:r>
      <w:hyperlink w:anchor="SENTENCIA_2023_131" w:history="1">
        <w:r w:rsidRPr="00DA359F">
          <w:rPr>
            <w:rStyle w:val="TextoNormalCaracter"/>
          </w:rPr>
          <w:t>131/2023</w:t>
        </w:r>
      </w:hyperlink>
      <w:r>
        <w:t>, f. 4.</w:t>
      </w:r>
    </w:p>
    <w:p w14:paraId="407D456C" w14:textId="594E1733" w:rsidR="00DA359F" w:rsidRDefault="00DA359F" w:rsidP="00DA359F">
      <w:pPr>
        <w:pStyle w:val="SangriaFrancesaArticulo"/>
      </w:pPr>
      <w:r w:rsidRPr="00DA359F">
        <w:rPr>
          <w:rStyle w:val="TextoNormalNegritaCaracter"/>
        </w:rPr>
        <w:t>Artículo 41.</w:t>
      </w:r>
      <w:r w:rsidRPr="00DA359F">
        <w:rPr>
          <w:rStyle w:val="TextoNormalCaracter"/>
        </w:rPr>
        <w:t>-</w:t>
      </w:r>
      <w:r>
        <w:t xml:space="preserve"> Auto </w:t>
      </w:r>
      <w:hyperlink w:anchor="AUTO_2023_446" w:history="1">
        <w:r w:rsidRPr="00DA359F">
          <w:rPr>
            <w:rStyle w:val="TextoNormalCaracter"/>
          </w:rPr>
          <w:t>446/2023</w:t>
        </w:r>
      </w:hyperlink>
      <w:r>
        <w:t>, ff. 1, 2.</w:t>
      </w:r>
    </w:p>
    <w:p w14:paraId="0F3398CD" w14:textId="121A7113" w:rsidR="00DA359F" w:rsidRDefault="00DA359F" w:rsidP="00DA359F">
      <w:pPr>
        <w:pStyle w:val="SangriaFrancesaArticulo"/>
      </w:pPr>
      <w:r w:rsidRPr="00DA359F">
        <w:rPr>
          <w:rStyle w:val="TextoNormalNegritaCaracter"/>
        </w:rPr>
        <w:t>Artículo 43.</w:t>
      </w:r>
      <w:r w:rsidRPr="00DA359F">
        <w:rPr>
          <w:rStyle w:val="TextoNormalCaracter"/>
        </w:rPr>
        <w:t>-</w:t>
      </w:r>
      <w:r>
        <w:t xml:space="preserve"> Sentencias </w:t>
      </w:r>
      <w:hyperlink w:anchor="SENTENCIA_2023_84" w:history="1">
        <w:r w:rsidRPr="00DA359F">
          <w:rPr>
            <w:rStyle w:val="TextoNormalCaracter"/>
          </w:rPr>
          <w:t>84/2023</w:t>
        </w:r>
      </w:hyperlink>
      <w:r>
        <w:t xml:space="preserve">, ff. 3, 4, VP; </w:t>
      </w:r>
      <w:hyperlink w:anchor="SENTENCIA_2023_88" w:history="1">
        <w:r w:rsidRPr="00DA359F">
          <w:rPr>
            <w:rStyle w:val="TextoNormalCaracter"/>
          </w:rPr>
          <w:t>88/2023</w:t>
        </w:r>
      </w:hyperlink>
      <w:r>
        <w:t xml:space="preserve">, ff. 2, 4; </w:t>
      </w:r>
      <w:hyperlink w:anchor="SENTENCIA_2023_164" w:history="1">
        <w:r w:rsidRPr="00DA359F">
          <w:rPr>
            <w:rStyle w:val="TextoNormalCaracter"/>
          </w:rPr>
          <w:t>164/2023</w:t>
        </w:r>
      </w:hyperlink>
      <w:r>
        <w:t>, f. 3, VP I, VP II.</w:t>
      </w:r>
    </w:p>
    <w:p w14:paraId="61257323" w14:textId="23E6064B" w:rsidR="00DA359F" w:rsidRDefault="00DA359F" w:rsidP="00DA359F">
      <w:pPr>
        <w:pStyle w:val="SangriaFrancesaArticulo"/>
      </w:pPr>
      <w:r w:rsidRPr="00DA359F">
        <w:rPr>
          <w:rStyle w:val="TextoNormalNegritaCaracter"/>
        </w:rPr>
        <w:t>Artículo 43.2.</w:t>
      </w:r>
      <w:r w:rsidRPr="00DA359F">
        <w:rPr>
          <w:rStyle w:val="TextoNormalCaracter"/>
        </w:rPr>
        <w:t>-</w:t>
      </w:r>
      <w:r>
        <w:t xml:space="preserve"> Sentencia </w:t>
      </w:r>
      <w:hyperlink w:anchor="SENTENCIA_2023_94" w:history="1">
        <w:r w:rsidRPr="00DA359F">
          <w:rPr>
            <w:rStyle w:val="TextoNormalCaracter"/>
          </w:rPr>
          <w:t>94/2023</w:t>
        </w:r>
      </w:hyperlink>
      <w:r>
        <w:t>, VP III.</w:t>
      </w:r>
    </w:p>
    <w:p w14:paraId="4099ECA4" w14:textId="0ED27CE6" w:rsidR="00DA359F" w:rsidRDefault="00DA359F" w:rsidP="00DA359F">
      <w:pPr>
        <w:pStyle w:val="SangriaFrancesaArticulo"/>
      </w:pPr>
      <w:r w:rsidRPr="00DA359F">
        <w:rPr>
          <w:rStyle w:val="TextoNormalNegritaCaracter"/>
        </w:rPr>
        <w:t>Artículo 47.</w:t>
      </w:r>
      <w:r w:rsidRPr="00DA359F">
        <w:rPr>
          <w:rStyle w:val="TextoNormalCaracter"/>
        </w:rPr>
        <w:t>-</w:t>
      </w:r>
      <w:r>
        <w:t xml:space="preserve"> Sentencia </w:t>
      </w:r>
      <w:hyperlink w:anchor="SENTENCIA_2023_172" w:history="1">
        <w:r w:rsidRPr="00DA359F">
          <w:rPr>
            <w:rStyle w:val="TextoNormalCaracter"/>
          </w:rPr>
          <w:t>172/2023</w:t>
        </w:r>
      </w:hyperlink>
      <w:r>
        <w:t>, ff. 1, 2.</w:t>
      </w:r>
    </w:p>
    <w:p w14:paraId="6E14DFC9" w14:textId="405A755D" w:rsidR="00DA359F" w:rsidRDefault="00DA359F" w:rsidP="00DA359F">
      <w:pPr>
        <w:pStyle w:val="SangriaFrancesaArticulo"/>
      </w:pPr>
      <w:r w:rsidRPr="00DA359F">
        <w:rPr>
          <w:rStyle w:val="TextoNormalNegritaCaracter"/>
        </w:rPr>
        <w:t>Artículo 49.</w:t>
      </w:r>
      <w:r w:rsidRPr="00DA359F">
        <w:rPr>
          <w:rStyle w:val="TextoNormalCaracter"/>
        </w:rPr>
        <w:t>-</w:t>
      </w:r>
      <w:r>
        <w:t xml:space="preserve"> Sentencia </w:t>
      </w:r>
      <w:hyperlink w:anchor="SENTENCIA_2023_94" w:history="1">
        <w:r w:rsidRPr="00DA359F">
          <w:rPr>
            <w:rStyle w:val="TextoNormalCaracter"/>
          </w:rPr>
          <w:t>94/2023</w:t>
        </w:r>
      </w:hyperlink>
      <w:r>
        <w:t>, f. 5.</w:t>
      </w:r>
    </w:p>
    <w:p w14:paraId="186D0A97" w14:textId="06430F90" w:rsidR="00DA359F" w:rsidRDefault="00DA359F" w:rsidP="00DA359F">
      <w:pPr>
        <w:pStyle w:val="SangriaFrancesaArticulo"/>
      </w:pPr>
      <w:r w:rsidRPr="00DA359F">
        <w:rPr>
          <w:rStyle w:val="TextoNormalNegritaCaracter"/>
        </w:rPr>
        <w:t>Artículo 51.1.</w:t>
      </w:r>
      <w:r w:rsidRPr="00DA359F">
        <w:rPr>
          <w:rStyle w:val="TextoNormalCaracter"/>
        </w:rPr>
        <w:t>-</w:t>
      </w:r>
      <w:r>
        <w:t xml:space="preserve"> Sentencias </w:t>
      </w:r>
      <w:hyperlink w:anchor="SENTENCIA_2023_91" w:history="1">
        <w:r w:rsidRPr="00DA359F">
          <w:rPr>
            <w:rStyle w:val="TextoNormalCaracter"/>
          </w:rPr>
          <w:t>91/2023</w:t>
        </w:r>
      </w:hyperlink>
      <w:r>
        <w:t xml:space="preserve">, f. 4; </w:t>
      </w:r>
      <w:hyperlink w:anchor="SENTENCIA_2023_172" w:history="1">
        <w:r w:rsidRPr="00DA359F">
          <w:rPr>
            <w:rStyle w:val="TextoNormalCaracter"/>
          </w:rPr>
          <w:t>172/2023</w:t>
        </w:r>
      </w:hyperlink>
      <w:r>
        <w:t>, ff. 1, 2.</w:t>
      </w:r>
    </w:p>
    <w:p w14:paraId="17C04764" w14:textId="61BC74F6" w:rsidR="00DA359F" w:rsidRDefault="00DA359F" w:rsidP="00DA359F">
      <w:pPr>
        <w:pStyle w:val="SangriaFrancesaArticulo"/>
      </w:pPr>
      <w:r w:rsidRPr="00DA359F">
        <w:rPr>
          <w:rStyle w:val="TextoNormalNegritaCaracter"/>
        </w:rPr>
        <w:t>Artículo 53.</w:t>
      </w:r>
      <w:r w:rsidRPr="00DA359F">
        <w:rPr>
          <w:rStyle w:val="TextoNormalCaracter"/>
        </w:rPr>
        <w:t>-</w:t>
      </w:r>
      <w:r>
        <w:t xml:space="preserve"> Sentencia </w:t>
      </w:r>
      <w:hyperlink w:anchor="SENTENCIA_2023_166" w:history="1">
        <w:r w:rsidRPr="00DA359F">
          <w:rPr>
            <w:rStyle w:val="TextoNormalCaracter"/>
          </w:rPr>
          <w:t>166/2023</w:t>
        </w:r>
      </w:hyperlink>
      <w:r>
        <w:t>, f. 7.</w:t>
      </w:r>
    </w:p>
    <w:p w14:paraId="03EB7D8F" w14:textId="61CA8851" w:rsidR="00DA359F" w:rsidRDefault="00DA359F" w:rsidP="00DA359F">
      <w:pPr>
        <w:pStyle w:val="SangriaFrancesaArticulo"/>
      </w:pPr>
      <w:r w:rsidRPr="00DA359F">
        <w:rPr>
          <w:rStyle w:val="TextoNormalNegritaCaracter"/>
        </w:rPr>
        <w:t>Artículo 53.1.</w:t>
      </w:r>
      <w:r w:rsidRPr="00DA359F">
        <w:rPr>
          <w:rStyle w:val="TextoNormalCaracter"/>
        </w:rPr>
        <w:t>-</w:t>
      </w:r>
      <w:r>
        <w:t xml:space="preserve"> Sentencias </w:t>
      </w:r>
      <w:hyperlink w:anchor="SENTENCIA_2023_89" w:history="1">
        <w:r w:rsidRPr="00DA359F">
          <w:rPr>
            <w:rStyle w:val="TextoNormalCaracter"/>
          </w:rPr>
          <w:t>89/2023</w:t>
        </w:r>
      </w:hyperlink>
      <w:r>
        <w:t xml:space="preserve">, VP II; </w:t>
      </w:r>
      <w:hyperlink w:anchor="SENTENCIA_2023_92" w:history="1">
        <w:r w:rsidRPr="00DA359F">
          <w:rPr>
            <w:rStyle w:val="TextoNormalCaracter"/>
          </w:rPr>
          <w:t>92/2023</w:t>
        </w:r>
      </w:hyperlink>
      <w:r>
        <w:t xml:space="preserve">, f. 7; </w:t>
      </w:r>
      <w:hyperlink w:anchor="SENTENCIA_2023_95" w:history="1">
        <w:r w:rsidRPr="00DA359F">
          <w:rPr>
            <w:rStyle w:val="TextoNormalCaracter"/>
          </w:rPr>
          <w:t>95/2023</w:t>
        </w:r>
      </w:hyperlink>
      <w:r>
        <w:t xml:space="preserve">, f. 6; </w:t>
      </w:r>
      <w:hyperlink w:anchor="SENTENCIA_2023_168" w:history="1">
        <w:r w:rsidRPr="00DA359F">
          <w:rPr>
            <w:rStyle w:val="TextoNormalCaracter"/>
          </w:rPr>
          <w:t>168/2023</w:t>
        </w:r>
      </w:hyperlink>
      <w:r>
        <w:t xml:space="preserve">, f. 4; </w:t>
      </w:r>
      <w:hyperlink w:anchor="SENTENCIA_2023_169" w:history="1">
        <w:r w:rsidRPr="00DA359F">
          <w:rPr>
            <w:rStyle w:val="TextoNormalCaracter"/>
          </w:rPr>
          <w:t>169/2023</w:t>
        </w:r>
      </w:hyperlink>
      <w:r>
        <w:t>, ff. 1, 3.</w:t>
      </w:r>
    </w:p>
    <w:p w14:paraId="083F4AC3" w14:textId="3EBDE219" w:rsidR="00DA359F" w:rsidRDefault="00DA359F" w:rsidP="00DA359F">
      <w:pPr>
        <w:pStyle w:val="SangriaFrancesaArticulo"/>
      </w:pPr>
      <w:r w:rsidRPr="00DA359F">
        <w:rPr>
          <w:rStyle w:val="TextoNormalNegritaCaracter"/>
        </w:rPr>
        <w:t>Artículo 53.2.</w:t>
      </w:r>
      <w:r w:rsidRPr="00DA359F">
        <w:rPr>
          <w:rStyle w:val="TextoNormalCaracter"/>
        </w:rPr>
        <w:t>-</w:t>
      </w:r>
      <w:r>
        <w:t xml:space="preserve"> Sentencias </w:t>
      </w:r>
      <w:hyperlink w:anchor="SENTENCIA_2023_78" w:history="1">
        <w:r w:rsidRPr="00DA359F">
          <w:rPr>
            <w:rStyle w:val="TextoNormalCaracter"/>
          </w:rPr>
          <w:t>78/2023</w:t>
        </w:r>
      </w:hyperlink>
      <w:r>
        <w:t xml:space="preserve">, f. 4; </w:t>
      </w:r>
      <w:hyperlink w:anchor="SENTENCIA_2023_82" w:history="1">
        <w:r w:rsidRPr="00DA359F">
          <w:rPr>
            <w:rStyle w:val="TextoNormalCaracter"/>
          </w:rPr>
          <w:t>82/2023</w:t>
        </w:r>
      </w:hyperlink>
      <w:r>
        <w:t xml:space="preserve">, f. 3; </w:t>
      </w:r>
      <w:hyperlink w:anchor="SENTENCIA_2023_83" w:history="1">
        <w:r w:rsidRPr="00DA359F">
          <w:rPr>
            <w:rStyle w:val="TextoNormalCaracter"/>
          </w:rPr>
          <w:t>83/2023</w:t>
        </w:r>
      </w:hyperlink>
      <w:r>
        <w:t xml:space="preserve">, VP I; </w:t>
      </w:r>
      <w:hyperlink w:anchor="SENTENCIA_2023_87" w:history="1">
        <w:r w:rsidRPr="00DA359F">
          <w:rPr>
            <w:rStyle w:val="TextoNormalCaracter"/>
          </w:rPr>
          <w:t>87/2023</w:t>
        </w:r>
      </w:hyperlink>
      <w:r>
        <w:t xml:space="preserve">, f. 1; </w:t>
      </w:r>
      <w:hyperlink w:anchor="SENTENCIA_2023_89" w:history="1">
        <w:r w:rsidRPr="00DA359F">
          <w:rPr>
            <w:rStyle w:val="TextoNormalCaracter"/>
          </w:rPr>
          <w:t>89/2023</w:t>
        </w:r>
      </w:hyperlink>
      <w:r>
        <w:t xml:space="preserve">, ff. 2, 3; </w:t>
      </w:r>
      <w:hyperlink w:anchor="SENTENCIA_2023_92" w:history="1">
        <w:r w:rsidRPr="00DA359F">
          <w:rPr>
            <w:rStyle w:val="TextoNormalCaracter"/>
          </w:rPr>
          <w:t>92/2023</w:t>
        </w:r>
      </w:hyperlink>
      <w:r>
        <w:t xml:space="preserve">, f. 3; </w:t>
      </w:r>
      <w:hyperlink w:anchor="SENTENCIA_2023_94" w:history="1">
        <w:r w:rsidRPr="00DA359F">
          <w:rPr>
            <w:rStyle w:val="TextoNormalCaracter"/>
          </w:rPr>
          <w:t>94/2023</w:t>
        </w:r>
      </w:hyperlink>
      <w:r>
        <w:t xml:space="preserve">, f. 6, VP II, VP III; </w:t>
      </w:r>
      <w:hyperlink w:anchor="SENTENCIA_2023_101" w:history="1">
        <w:r w:rsidRPr="00DA359F">
          <w:rPr>
            <w:rStyle w:val="TextoNormalCaracter"/>
          </w:rPr>
          <w:t>101/2023</w:t>
        </w:r>
      </w:hyperlink>
      <w:r>
        <w:t xml:space="preserve">, f. 3; </w:t>
      </w:r>
      <w:hyperlink w:anchor="SENTENCIA_2023_123" w:history="1">
        <w:r w:rsidRPr="00DA359F">
          <w:rPr>
            <w:rStyle w:val="TextoNormalCaracter"/>
          </w:rPr>
          <w:t>123/2023</w:t>
        </w:r>
      </w:hyperlink>
      <w:r>
        <w:t xml:space="preserve">, f. 2; </w:t>
      </w:r>
      <w:hyperlink w:anchor="SENTENCIA_2023_151" w:history="1">
        <w:r w:rsidRPr="00DA359F">
          <w:rPr>
            <w:rStyle w:val="TextoNormalCaracter"/>
          </w:rPr>
          <w:t>151/2023</w:t>
        </w:r>
      </w:hyperlink>
      <w:r>
        <w:t>, f. 2.</w:t>
      </w:r>
    </w:p>
    <w:p w14:paraId="1C2BF6AD" w14:textId="48082464" w:rsidR="00DA359F" w:rsidRDefault="00DA359F" w:rsidP="00DA359F">
      <w:pPr>
        <w:pStyle w:val="SangriaIzquierdaArticulo"/>
      </w:pPr>
      <w:r>
        <w:t xml:space="preserve">Autos </w:t>
      </w:r>
      <w:hyperlink w:anchor="AUTO_2023_338" w:history="1">
        <w:r w:rsidRPr="00DA359F">
          <w:rPr>
            <w:rStyle w:val="TextoNormalCaracter"/>
          </w:rPr>
          <w:t>338/2023</w:t>
        </w:r>
      </w:hyperlink>
      <w:r>
        <w:t xml:space="preserve">, VP; </w:t>
      </w:r>
      <w:hyperlink w:anchor="AUTO_2023_427" w:history="1">
        <w:r w:rsidRPr="00DA359F">
          <w:rPr>
            <w:rStyle w:val="TextoNormalCaracter"/>
          </w:rPr>
          <w:t>427/2023</w:t>
        </w:r>
      </w:hyperlink>
      <w:r>
        <w:t>, VP.</w:t>
      </w:r>
    </w:p>
    <w:p w14:paraId="6747E9A5" w14:textId="38760458" w:rsidR="00DA359F" w:rsidRDefault="00DA359F" w:rsidP="00DA359F">
      <w:pPr>
        <w:pStyle w:val="SangriaFrancesaArticulo"/>
      </w:pPr>
      <w:r w:rsidRPr="00DA359F">
        <w:rPr>
          <w:rStyle w:val="TextoNormalNegritaCaracter"/>
        </w:rPr>
        <w:t>Artículo 55.1.</w:t>
      </w:r>
      <w:r w:rsidRPr="00DA359F">
        <w:rPr>
          <w:rStyle w:val="TextoNormalCaracter"/>
        </w:rPr>
        <w:t>-</w:t>
      </w:r>
      <w:r>
        <w:t xml:space="preserve"> Sentencia </w:t>
      </w:r>
      <w:hyperlink w:anchor="SENTENCIA_2023_84" w:history="1">
        <w:r w:rsidRPr="00DA359F">
          <w:rPr>
            <w:rStyle w:val="TextoNormalCaracter"/>
          </w:rPr>
          <w:t>84/2023</w:t>
        </w:r>
      </w:hyperlink>
      <w:r>
        <w:t>, ff. 1, 2.</w:t>
      </w:r>
    </w:p>
    <w:p w14:paraId="749C5EE8" w14:textId="2342486B" w:rsidR="00DA359F" w:rsidRDefault="00DA359F" w:rsidP="00DA359F">
      <w:pPr>
        <w:pStyle w:val="SangriaFrancesaArticulo"/>
      </w:pPr>
      <w:r w:rsidRPr="00DA359F">
        <w:rPr>
          <w:rStyle w:val="TextoNormalNegritaCaracter"/>
        </w:rPr>
        <w:t>Artículo 66.</w:t>
      </w:r>
      <w:r w:rsidRPr="00DA359F">
        <w:rPr>
          <w:rStyle w:val="TextoNormalCaracter"/>
        </w:rPr>
        <w:t>-</w:t>
      </w:r>
      <w:r>
        <w:t xml:space="preserve"> Sentencias </w:t>
      </w:r>
      <w:hyperlink w:anchor="SENTENCIA_2023_78" w:history="1">
        <w:r w:rsidRPr="00DA359F">
          <w:rPr>
            <w:rStyle w:val="TextoNormalCaracter"/>
          </w:rPr>
          <w:t>78/2023</w:t>
        </w:r>
      </w:hyperlink>
      <w:r>
        <w:t xml:space="preserve">, VP II; </w:t>
      </w:r>
      <w:hyperlink w:anchor="SENTENCIA_2023_167" w:history="1">
        <w:r w:rsidRPr="00DA359F">
          <w:rPr>
            <w:rStyle w:val="TextoNormalCaracter"/>
          </w:rPr>
          <w:t>167/2023</w:t>
        </w:r>
      </w:hyperlink>
      <w:r>
        <w:t>, f. 5.</w:t>
      </w:r>
    </w:p>
    <w:p w14:paraId="04875DDC" w14:textId="04E1E0A3" w:rsidR="00DA359F" w:rsidRDefault="00DA359F" w:rsidP="00DA359F">
      <w:pPr>
        <w:pStyle w:val="SangriaFrancesaArticulo"/>
      </w:pPr>
      <w:r w:rsidRPr="00DA359F">
        <w:rPr>
          <w:rStyle w:val="TextoNormalNegritaCaracter"/>
        </w:rPr>
        <w:t>Artículo 66.1.</w:t>
      </w:r>
      <w:r w:rsidRPr="00DA359F">
        <w:rPr>
          <w:rStyle w:val="TextoNormalCaracter"/>
        </w:rPr>
        <w:t>-</w:t>
      </w:r>
      <w:r>
        <w:t xml:space="preserve"> Sentencias </w:t>
      </w:r>
      <w:hyperlink w:anchor="SENTENCIA_2023_128" w:history="1">
        <w:r w:rsidRPr="00DA359F">
          <w:rPr>
            <w:rStyle w:val="TextoNormalCaracter"/>
          </w:rPr>
          <w:t>128/2023</w:t>
        </w:r>
      </w:hyperlink>
      <w:r>
        <w:t xml:space="preserve">, VP; </w:t>
      </w:r>
      <w:hyperlink w:anchor="SENTENCIA_2023_144" w:history="1">
        <w:r w:rsidRPr="00DA359F">
          <w:rPr>
            <w:rStyle w:val="TextoNormalCaracter"/>
          </w:rPr>
          <w:t>144/2023</w:t>
        </w:r>
      </w:hyperlink>
      <w:r>
        <w:t xml:space="preserve">, VP; </w:t>
      </w:r>
      <w:hyperlink w:anchor="SENTENCIA_2023_165" w:history="1">
        <w:r w:rsidRPr="00DA359F">
          <w:rPr>
            <w:rStyle w:val="TextoNormalCaracter"/>
          </w:rPr>
          <w:t>165/2023</w:t>
        </w:r>
      </w:hyperlink>
      <w:r>
        <w:t>, VP I.</w:t>
      </w:r>
    </w:p>
    <w:p w14:paraId="468C030F" w14:textId="34229583" w:rsidR="00DA359F" w:rsidRDefault="00DA359F" w:rsidP="00DA359F">
      <w:pPr>
        <w:pStyle w:val="SangriaFrancesaArticulo"/>
      </w:pPr>
      <w:r w:rsidRPr="00DA359F">
        <w:rPr>
          <w:rStyle w:val="TextoNormalNegritaCaracter"/>
        </w:rPr>
        <w:t>Artículo 66.2.</w:t>
      </w:r>
      <w:r w:rsidRPr="00DA359F">
        <w:rPr>
          <w:rStyle w:val="TextoNormalCaracter"/>
        </w:rPr>
        <w:t>-</w:t>
      </w:r>
      <w:r>
        <w:t xml:space="preserve"> Sentencias </w:t>
      </w:r>
      <w:hyperlink w:anchor="SENTENCIA_2023_94" w:history="1">
        <w:r w:rsidRPr="00DA359F">
          <w:rPr>
            <w:rStyle w:val="TextoNormalCaracter"/>
          </w:rPr>
          <w:t>94/2023</w:t>
        </w:r>
      </w:hyperlink>
      <w:r>
        <w:t xml:space="preserve">, f. 2; </w:t>
      </w:r>
      <w:hyperlink w:anchor="SENTENCIA_2023_144" w:history="1">
        <w:r w:rsidRPr="00DA359F">
          <w:rPr>
            <w:rStyle w:val="TextoNormalCaracter"/>
          </w:rPr>
          <w:t>144/2023</w:t>
        </w:r>
      </w:hyperlink>
      <w:r>
        <w:t xml:space="preserve">, VP; </w:t>
      </w:r>
      <w:hyperlink w:anchor="SENTENCIA_2023_165" w:history="1">
        <w:r w:rsidRPr="00DA359F">
          <w:rPr>
            <w:rStyle w:val="TextoNormalCaracter"/>
          </w:rPr>
          <w:t>165/2023</w:t>
        </w:r>
      </w:hyperlink>
      <w:r>
        <w:t xml:space="preserve">, VP I; </w:t>
      </w:r>
      <w:hyperlink w:anchor="SENTENCIA_2023_167" w:history="1">
        <w:r w:rsidRPr="00DA359F">
          <w:rPr>
            <w:rStyle w:val="TextoNormalCaracter"/>
          </w:rPr>
          <w:t>167/2023</w:t>
        </w:r>
      </w:hyperlink>
      <w:r>
        <w:t xml:space="preserve">, ff. 5, 10; </w:t>
      </w:r>
      <w:hyperlink w:anchor="SENTENCIA_2023_170" w:history="1">
        <w:r w:rsidRPr="00DA359F">
          <w:rPr>
            <w:rStyle w:val="TextoNormalCaracter"/>
          </w:rPr>
          <w:t>170/2023</w:t>
        </w:r>
      </w:hyperlink>
      <w:r>
        <w:t xml:space="preserve">, VP; </w:t>
      </w:r>
      <w:hyperlink w:anchor="SENTENCIA_2023_171" w:history="1">
        <w:r w:rsidRPr="00DA359F">
          <w:rPr>
            <w:rStyle w:val="TextoNormalCaracter"/>
          </w:rPr>
          <w:t>171/2023</w:t>
        </w:r>
      </w:hyperlink>
      <w:r>
        <w:t xml:space="preserve">, f. 3; </w:t>
      </w:r>
      <w:hyperlink w:anchor="SENTENCIA_2023_189" w:history="1">
        <w:r w:rsidRPr="00DA359F">
          <w:rPr>
            <w:rStyle w:val="TextoNormalCaracter"/>
          </w:rPr>
          <w:t>189/2023</w:t>
        </w:r>
      </w:hyperlink>
      <w:r>
        <w:t xml:space="preserve">, ff. 1, 3, VP; </w:t>
      </w:r>
      <w:hyperlink w:anchor="SENTENCIA_2023_190" w:history="1">
        <w:r w:rsidRPr="00DA359F">
          <w:rPr>
            <w:rStyle w:val="TextoNormalCaracter"/>
          </w:rPr>
          <w:t>190/2023</w:t>
        </w:r>
      </w:hyperlink>
      <w:r>
        <w:t>, VP.</w:t>
      </w:r>
    </w:p>
    <w:p w14:paraId="43556779" w14:textId="5941BBA5" w:rsidR="00DA359F" w:rsidRDefault="00DA359F" w:rsidP="00DA359F">
      <w:pPr>
        <w:pStyle w:val="SangriaFrancesaArticulo"/>
      </w:pPr>
      <w:r w:rsidRPr="00DA359F">
        <w:rPr>
          <w:rStyle w:val="TextoNormalNegritaCaracter"/>
        </w:rPr>
        <w:t>Artículo 69.5.</w:t>
      </w:r>
      <w:r w:rsidRPr="00DA359F">
        <w:rPr>
          <w:rStyle w:val="TextoNormalCaracter"/>
        </w:rPr>
        <w:t>-</w:t>
      </w:r>
      <w:r>
        <w:t xml:space="preserve"> Sentencia </w:t>
      </w:r>
      <w:hyperlink w:anchor="SENTENCIA_2023_116" w:history="1">
        <w:r w:rsidRPr="00DA359F">
          <w:rPr>
            <w:rStyle w:val="TextoNormalCaracter"/>
          </w:rPr>
          <w:t>116/2023</w:t>
        </w:r>
      </w:hyperlink>
      <w:r>
        <w:t>, ff. 3, 4.</w:t>
      </w:r>
    </w:p>
    <w:p w14:paraId="4C40D4D8" w14:textId="043C3D5B" w:rsidR="00DA359F" w:rsidRDefault="00DA359F" w:rsidP="00DA359F">
      <w:pPr>
        <w:pStyle w:val="SangriaFrancesaArticulo"/>
      </w:pPr>
      <w:r w:rsidRPr="00DA359F">
        <w:rPr>
          <w:rStyle w:val="TextoNormalNegritaCaracter"/>
        </w:rPr>
        <w:t>Artículo 71.</w:t>
      </w:r>
      <w:r w:rsidRPr="00DA359F">
        <w:rPr>
          <w:rStyle w:val="TextoNormalCaracter"/>
        </w:rPr>
        <w:t>-</w:t>
      </w:r>
      <w:r>
        <w:t xml:space="preserve"> Auto </w:t>
      </w:r>
      <w:hyperlink w:anchor="AUTO_2023_378" w:history="1">
        <w:r w:rsidRPr="00DA359F">
          <w:rPr>
            <w:rStyle w:val="TextoNormalCaracter"/>
          </w:rPr>
          <w:t>378/2023</w:t>
        </w:r>
      </w:hyperlink>
      <w:r>
        <w:t>, f. 2.</w:t>
      </w:r>
    </w:p>
    <w:p w14:paraId="0CA02275" w14:textId="493DA2F7" w:rsidR="00DA359F" w:rsidRDefault="00DA359F" w:rsidP="00DA359F">
      <w:pPr>
        <w:pStyle w:val="SangriaFrancesaArticulo"/>
      </w:pPr>
      <w:r w:rsidRPr="00DA359F">
        <w:rPr>
          <w:rStyle w:val="TextoNormalNegritaCaracter"/>
        </w:rPr>
        <w:t>Artículo 72.1.</w:t>
      </w:r>
      <w:r w:rsidRPr="00DA359F">
        <w:rPr>
          <w:rStyle w:val="TextoNormalCaracter"/>
        </w:rPr>
        <w:t>-</w:t>
      </w:r>
      <w:r>
        <w:t xml:space="preserve"> Sentencias </w:t>
      </w:r>
      <w:hyperlink w:anchor="SENTENCIA_2023_93" w:history="1">
        <w:r w:rsidRPr="00DA359F">
          <w:rPr>
            <w:rStyle w:val="TextoNormalCaracter"/>
          </w:rPr>
          <w:t>93/2023</w:t>
        </w:r>
      </w:hyperlink>
      <w:r>
        <w:t xml:space="preserve">, ff. 3, 4; </w:t>
      </w:r>
      <w:hyperlink w:anchor="SENTENCIA_2023_116" w:history="1">
        <w:r w:rsidRPr="00DA359F">
          <w:rPr>
            <w:rStyle w:val="TextoNormalCaracter"/>
          </w:rPr>
          <w:t>116/2023</w:t>
        </w:r>
      </w:hyperlink>
      <w:r>
        <w:t xml:space="preserve">, ff. 3, 4; </w:t>
      </w:r>
      <w:hyperlink w:anchor="SENTENCIA_2023_165" w:history="1">
        <w:r w:rsidRPr="00DA359F">
          <w:rPr>
            <w:rStyle w:val="TextoNormalCaracter"/>
          </w:rPr>
          <w:t>165/2023</w:t>
        </w:r>
      </w:hyperlink>
      <w:r>
        <w:t>, f. 3.</w:t>
      </w:r>
    </w:p>
    <w:p w14:paraId="0C6B5884" w14:textId="5AE84EB0" w:rsidR="00DA359F" w:rsidRDefault="00DA359F" w:rsidP="00DA359F">
      <w:pPr>
        <w:pStyle w:val="SangriaFrancesaArticulo"/>
      </w:pPr>
      <w:r w:rsidRPr="00DA359F">
        <w:rPr>
          <w:rStyle w:val="TextoNormalNegritaCaracter"/>
        </w:rPr>
        <w:t>Artículo 72.3.</w:t>
      </w:r>
      <w:r w:rsidRPr="00DA359F">
        <w:rPr>
          <w:rStyle w:val="TextoNormalCaracter"/>
        </w:rPr>
        <w:t>-</w:t>
      </w:r>
      <w:r>
        <w:t xml:space="preserve"> Sentencia </w:t>
      </w:r>
      <w:hyperlink w:anchor="SENTENCIA_2023_82" w:history="1">
        <w:r w:rsidRPr="00DA359F">
          <w:rPr>
            <w:rStyle w:val="TextoNormalCaracter"/>
          </w:rPr>
          <w:t>82/2023</w:t>
        </w:r>
      </w:hyperlink>
      <w:r>
        <w:t>, f. 3.</w:t>
      </w:r>
    </w:p>
    <w:p w14:paraId="337F96C8" w14:textId="49ADFB6E" w:rsidR="00DA359F" w:rsidRDefault="00DA359F" w:rsidP="00DA359F">
      <w:pPr>
        <w:pStyle w:val="SangriaFrancesaArticulo"/>
      </w:pPr>
      <w:r w:rsidRPr="00DA359F">
        <w:rPr>
          <w:rStyle w:val="TextoNormalNegritaCaracter"/>
        </w:rPr>
        <w:t>Artículo 75.1.</w:t>
      </w:r>
      <w:r w:rsidRPr="00DA359F">
        <w:rPr>
          <w:rStyle w:val="TextoNormalCaracter"/>
        </w:rPr>
        <w:t>-</w:t>
      </w:r>
      <w:r>
        <w:t xml:space="preserve"> Sentencia </w:t>
      </w:r>
      <w:hyperlink w:anchor="SENTENCIA_2023_167" w:history="1">
        <w:r w:rsidRPr="00DA359F">
          <w:rPr>
            <w:rStyle w:val="TextoNormalCaracter"/>
          </w:rPr>
          <w:t>167/2023</w:t>
        </w:r>
      </w:hyperlink>
      <w:r>
        <w:t>, f. 10.</w:t>
      </w:r>
    </w:p>
    <w:p w14:paraId="79FB201E" w14:textId="04412222" w:rsidR="00DA359F" w:rsidRDefault="00DA359F" w:rsidP="00DA359F">
      <w:pPr>
        <w:pStyle w:val="SangriaFrancesaArticulo"/>
      </w:pPr>
      <w:r w:rsidRPr="00DA359F">
        <w:rPr>
          <w:rStyle w:val="TextoNormalNegritaCaracter"/>
        </w:rPr>
        <w:t>Artículo 75.2.</w:t>
      </w:r>
      <w:r w:rsidRPr="00DA359F">
        <w:rPr>
          <w:rStyle w:val="TextoNormalCaracter"/>
        </w:rPr>
        <w:t>-</w:t>
      </w:r>
      <w:r>
        <w:t xml:space="preserve"> Sentencia </w:t>
      </w:r>
      <w:hyperlink w:anchor="SENTENCIA_2023_167" w:history="1">
        <w:r w:rsidRPr="00DA359F">
          <w:rPr>
            <w:rStyle w:val="TextoNormalCaracter"/>
          </w:rPr>
          <w:t>167/2023</w:t>
        </w:r>
      </w:hyperlink>
      <w:r>
        <w:t>, f. 10.</w:t>
      </w:r>
    </w:p>
    <w:p w14:paraId="24DB7860" w14:textId="7F6B92BA" w:rsidR="00DA359F" w:rsidRDefault="00DA359F" w:rsidP="00DA359F">
      <w:pPr>
        <w:pStyle w:val="SangriaFrancesaArticulo"/>
      </w:pPr>
      <w:r w:rsidRPr="00DA359F">
        <w:rPr>
          <w:rStyle w:val="TextoNormalNegritaCaracter"/>
        </w:rPr>
        <w:t>Artículo 78.</w:t>
      </w:r>
      <w:r w:rsidRPr="00DA359F">
        <w:rPr>
          <w:rStyle w:val="TextoNormalCaracter"/>
        </w:rPr>
        <w:t>-</w:t>
      </w:r>
      <w:r>
        <w:t xml:space="preserve"> Sentencia </w:t>
      </w:r>
      <w:hyperlink w:anchor="SENTENCIA_2023_128" w:history="1">
        <w:r w:rsidRPr="00DA359F">
          <w:rPr>
            <w:rStyle w:val="TextoNormalCaracter"/>
          </w:rPr>
          <w:t>128/2023</w:t>
        </w:r>
      </w:hyperlink>
      <w:r>
        <w:t>, f. 4, VP.</w:t>
      </w:r>
    </w:p>
    <w:p w14:paraId="02001F07" w14:textId="7549497B" w:rsidR="00DA359F" w:rsidRDefault="00DA359F" w:rsidP="00DA359F">
      <w:pPr>
        <w:pStyle w:val="SangriaFrancesaArticulo"/>
      </w:pPr>
      <w:r w:rsidRPr="00DA359F">
        <w:rPr>
          <w:rStyle w:val="TextoNormalNegritaCaracter"/>
        </w:rPr>
        <w:t>Artículo 81.1.</w:t>
      </w:r>
      <w:r w:rsidRPr="00DA359F">
        <w:rPr>
          <w:rStyle w:val="TextoNormalCaracter"/>
        </w:rPr>
        <w:t>-</w:t>
      </w:r>
      <w:r>
        <w:t xml:space="preserve"> Sentencias </w:t>
      </w:r>
      <w:hyperlink w:anchor="SENTENCIA_2023_92" w:history="1">
        <w:r w:rsidRPr="00DA359F">
          <w:rPr>
            <w:rStyle w:val="TextoNormalCaracter"/>
          </w:rPr>
          <w:t>92/2023</w:t>
        </w:r>
      </w:hyperlink>
      <w:r>
        <w:t xml:space="preserve">, f. 7; </w:t>
      </w:r>
      <w:hyperlink w:anchor="SENTENCIA_2023_95" w:history="1">
        <w:r w:rsidRPr="00DA359F">
          <w:rPr>
            <w:rStyle w:val="TextoNormalCaracter"/>
          </w:rPr>
          <w:t>95/2023</w:t>
        </w:r>
      </w:hyperlink>
      <w:r>
        <w:t xml:space="preserve">, f. 6; </w:t>
      </w:r>
      <w:hyperlink w:anchor="SENTENCIA_2023_146" w:history="1">
        <w:r w:rsidRPr="00DA359F">
          <w:rPr>
            <w:rStyle w:val="TextoNormalCaracter"/>
          </w:rPr>
          <w:t>146/2023</w:t>
        </w:r>
      </w:hyperlink>
      <w:r>
        <w:t>, f. 1.</w:t>
      </w:r>
    </w:p>
    <w:p w14:paraId="75C82EE3" w14:textId="1598F709" w:rsidR="00DA359F" w:rsidRDefault="00DA359F" w:rsidP="00DA359F">
      <w:pPr>
        <w:pStyle w:val="SangriaIzquierdaArticulo"/>
      </w:pPr>
      <w:r>
        <w:t xml:space="preserve">Auto </w:t>
      </w:r>
      <w:hyperlink w:anchor="AUTO_2023_445" w:history="1">
        <w:r w:rsidRPr="00DA359F">
          <w:rPr>
            <w:rStyle w:val="TextoNormalCaracter"/>
          </w:rPr>
          <w:t>445/2023</w:t>
        </w:r>
      </w:hyperlink>
      <w:r>
        <w:t>, f. 1.</w:t>
      </w:r>
    </w:p>
    <w:p w14:paraId="5B2D917B" w14:textId="3D53332C" w:rsidR="00DA359F" w:rsidRDefault="00DA359F" w:rsidP="00DA359F">
      <w:pPr>
        <w:pStyle w:val="SangriaFrancesaArticulo"/>
      </w:pPr>
      <w:r w:rsidRPr="00DA359F">
        <w:rPr>
          <w:rStyle w:val="TextoNormalNegritaCaracter"/>
        </w:rPr>
        <w:t>Artículo 82.</w:t>
      </w:r>
      <w:r w:rsidRPr="00DA359F">
        <w:rPr>
          <w:rStyle w:val="TextoNormalCaracter"/>
        </w:rPr>
        <w:t>-</w:t>
      </w:r>
      <w:r>
        <w:t xml:space="preserve"> Sentencia </w:t>
      </w:r>
      <w:hyperlink w:anchor="SENTENCIA_2023_144" w:history="1">
        <w:r w:rsidRPr="00DA359F">
          <w:rPr>
            <w:rStyle w:val="TextoNormalCaracter"/>
          </w:rPr>
          <w:t>144/2023</w:t>
        </w:r>
      </w:hyperlink>
      <w:r>
        <w:t>, VP.</w:t>
      </w:r>
    </w:p>
    <w:p w14:paraId="202FAFAB" w14:textId="70B3ADDD" w:rsidR="00DA359F" w:rsidRDefault="00DA359F" w:rsidP="00DA359F">
      <w:pPr>
        <w:pStyle w:val="SangriaFrancesaArticulo"/>
      </w:pPr>
      <w:r w:rsidRPr="00DA359F">
        <w:rPr>
          <w:rStyle w:val="TextoNormalNegritaCaracter"/>
        </w:rPr>
        <w:t>Artículo 82.5.</w:t>
      </w:r>
      <w:r w:rsidRPr="00DA359F">
        <w:rPr>
          <w:rStyle w:val="TextoNormalCaracter"/>
        </w:rPr>
        <w:t>-</w:t>
      </w:r>
      <w:r>
        <w:t xml:space="preserve"> Autos </w:t>
      </w:r>
      <w:hyperlink w:anchor="AUTO_2023_532" w:history="1">
        <w:r w:rsidRPr="00DA359F">
          <w:rPr>
            <w:rStyle w:val="TextoNormalCaracter"/>
          </w:rPr>
          <w:t>532/2023</w:t>
        </w:r>
      </w:hyperlink>
      <w:r>
        <w:t xml:space="preserve">, f. 1; </w:t>
      </w:r>
      <w:hyperlink w:anchor="AUTO_2023_535" w:history="1">
        <w:r w:rsidRPr="00DA359F">
          <w:rPr>
            <w:rStyle w:val="TextoNormalCaracter"/>
          </w:rPr>
          <w:t>535/2023</w:t>
        </w:r>
      </w:hyperlink>
      <w:r>
        <w:t>, f. 1.</w:t>
      </w:r>
    </w:p>
    <w:p w14:paraId="2C4F8D94" w14:textId="622E0F43" w:rsidR="00DA359F" w:rsidRDefault="00DA359F" w:rsidP="00DA359F">
      <w:pPr>
        <w:pStyle w:val="SangriaFrancesaArticulo"/>
      </w:pPr>
      <w:r w:rsidRPr="00DA359F">
        <w:rPr>
          <w:rStyle w:val="TextoNormalNegritaCaracter"/>
        </w:rPr>
        <w:t>Artículo 86.</w:t>
      </w:r>
      <w:r w:rsidRPr="00DA359F">
        <w:rPr>
          <w:rStyle w:val="TextoNormalCaracter"/>
        </w:rPr>
        <w:t>-</w:t>
      </w:r>
      <w:r>
        <w:t xml:space="preserve"> Sentencias </w:t>
      </w:r>
      <w:hyperlink w:anchor="SENTENCIA_2023_144" w:history="1">
        <w:r w:rsidRPr="00DA359F">
          <w:rPr>
            <w:rStyle w:val="TextoNormalCaracter"/>
          </w:rPr>
          <w:t>144/2023</w:t>
        </w:r>
      </w:hyperlink>
      <w:r>
        <w:t xml:space="preserve">, f. 2, VP; </w:t>
      </w:r>
      <w:hyperlink w:anchor="SENTENCIA_2023_145" w:history="1">
        <w:r w:rsidRPr="00DA359F">
          <w:rPr>
            <w:rStyle w:val="TextoNormalCaracter"/>
          </w:rPr>
          <w:t>145/2023</w:t>
        </w:r>
      </w:hyperlink>
      <w:r>
        <w:t>, f. 4.</w:t>
      </w:r>
    </w:p>
    <w:p w14:paraId="3ED61AA7" w14:textId="18467458" w:rsidR="00DA359F" w:rsidRDefault="00DA359F" w:rsidP="00DA359F">
      <w:pPr>
        <w:pStyle w:val="SangriaFrancesaArticulo"/>
      </w:pPr>
      <w:r w:rsidRPr="00DA359F">
        <w:rPr>
          <w:rStyle w:val="TextoNormalNegritaCaracter"/>
        </w:rPr>
        <w:t>Artículo 86.1.</w:t>
      </w:r>
      <w:r w:rsidRPr="00DA359F">
        <w:rPr>
          <w:rStyle w:val="TextoNormalCaracter"/>
        </w:rPr>
        <w:t>-</w:t>
      </w:r>
      <w:r>
        <w:t xml:space="preserve"> Sentencias </w:t>
      </w:r>
      <w:hyperlink w:anchor="SENTENCIA_2023_126" w:history="1">
        <w:r w:rsidRPr="00DA359F">
          <w:rPr>
            <w:rStyle w:val="TextoNormalCaracter"/>
          </w:rPr>
          <w:t>126/2023</w:t>
        </w:r>
      </w:hyperlink>
      <w:r>
        <w:t xml:space="preserve">, ff. 1, 3, 4; </w:t>
      </w:r>
      <w:hyperlink w:anchor="SENTENCIA_2023_144" w:history="1">
        <w:r w:rsidRPr="00DA359F">
          <w:rPr>
            <w:rStyle w:val="TextoNormalCaracter"/>
          </w:rPr>
          <w:t>144/2023</w:t>
        </w:r>
      </w:hyperlink>
      <w:r>
        <w:t xml:space="preserve">, ff. 1 a 5, VP; </w:t>
      </w:r>
      <w:hyperlink w:anchor="SENTENCIA_2023_145" w:history="1">
        <w:r w:rsidRPr="00DA359F">
          <w:rPr>
            <w:rStyle w:val="TextoNormalCaracter"/>
          </w:rPr>
          <w:t>145/2023</w:t>
        </w:r>
      </w:hyperlink>
      <w:r>
        <w:t xml:space="preserve">, ff. 1, 4, 5, 8, 9; </w:t>
      </w:r>
      <w:hyperlink w:anchor="SENTENCIA_2023_147" w:history="1">
        <w:r w:rsidRPr="00DA359F">
          <w:rPr>
            <w:rStyle w:val="TextoNormalCaracter"/>
          </w:rPr>
          <w:t>147/2023</w:t>
        </w:r>
      </w:hyperlink>
      <w:r>
        <w:t xml:space="preserve">, f. 1; </w:t>
      </w:r>
      <w:hyperlink w:anchor="SENTENCIA_2023_166" w:history="1">
        <w:r w:rsidRPr="00DA359F">
          <w:rPr>
            <w:rStyle w:val="TextoNormalCaracter"/>
          </w:rPr>
          <w:t>166/2023</w:t>
        </w:r>
      </w:hyperlink>
      <w:r>
        <w:t>, ff. 1 a 5, 7, 8.</w:t>
      </w:r>
    </w:p>
    <w:p w14:paraId="41A8B28B" w14:textId="1F594EBB" w:rsidR="00DA359F" w:rsidRDefault="00DA359F" w:rsidP="00DA359F">
      <w:pPr>
        <w:pStyle w:val="SangriaFrancesaArticulo"/>
      </w:pPr>
      <w:r w:rsidRPr="00DA359F">
        <w:rPr>
          <w:rStyle w:val="TextoNormalNegritaCaracter"/>
        </w:rPr>
        <w:t>Artículo 86.2.</w:t>
      </w:r>
      <w:r w:rsidRPr="00DA359F">
        <w:rPr>
          <w:rStyle w:val="TextoNormalCaracter"/>
        </w:rPr>
        <w:t>-</w:t>
      </w:r>
      <w:r>
        <w:t xml:space="preserve"> Sentencia </w:t>
      </w:r>
      <w:hyperlink w:anchor="SENTENCIA_2023_144" w:history="1">
        <w:r w:rsidRPr="00DA359F">
          <w:rPr>
            <w:rStyle w:val="TextoNormalCaracter"/>
          </w:rPr>
          <w:t>144/2023</w:t>
        </w:r>
      </w:hyperlink>
      <w:r>
        <w:t>, f. 5, VP.</w:t>
      </w:r>
    </w:p>
    <w:p w14:paraId="079D455B" w14:textId="1AAE6AEA" w:rsidR="00DA359F" w:rsidRDefault="00DA359F" w:rsidP="00DA359F">
      <w:pPr>
        <w:pStyle w:val="SangriaFrancesaArticulo"/>
      </w:pPr>
      <w:r w:rsidRPr="00DA359F">
        <w:rPr>
          <w:rStyle w:val="TextoNormalNegritaCaracter"/>
        </w:rPr>
        <w:t>Artículo 86.3.</w:t>
      </w:r>
      <w:r w:rsidRPr="00DA359F">
        <w:rPr>
          <w:rStyle w:val="TextoNormalCaracter"/>
        </w:rPr>
        <w:t>-</w:t>
      </w:r>
      <w:r>
        <w:t xml:space="preserve"> Sentencias </w:t>
      </w:r>
      <w:hyperlink w:anchor="SENTENCIA_2023_144" w:history="1">
        <w:r w:rsidRPr="00DA359F">
          <w:rPr>
            <w:rStyle w:val="TextoNormalCaracter"/>
          </w:rPr>
          <w:t>144/2023</w:t>
        </w:r>
      </w:hyperlink>
      <w:r>
        <w:t xml:space="preserve">, f. 2; </w:t>
      </w:r>
      <w:hyperlink w:anchor="SENTENCIA_2023_145" w:history="1">
        <w:r w:rsidRPr="00DA359F">
          <w:rPr>
            <w:rStyle w:val="TextoNormalCaracter"/>
          </w:rPr>
          <w:t>145/2023</w:t>
        </w:r>
      </w:hyperlink>
      <w:r>
        <w:t>, f. 1.</w:t>
      </w:r>
    </w:p>
    <w:p w14:paraId="023D9878" w14:textId="5D2CBD23" w:rsidR="00DA359F" w:rsidRDefault="00DA359F" w:rsidP="00DA359F">
      <w:pPr>
        <w:pStyle w:val="SangriaFrancesaArticulo"/>
      </w:pPr>
      <w:r w:rsidRPr="00DA359F">
        <w:rPr>
          <w:rStyle w:val="TextoNormalNegritaCaracter"/>
        </w:rPr>
        <w:t>Artículo 87.</w:t>
      </w:r>
      <w:r w:rsidRPr="00DA359F">
        <w:rPr>
          <w:rStyle w:val="TextoNormalCaracter"/>
        </w:rPr>
        <w:t>-</w:t>
      </w:r>
      <w:r>
        <w:t xml:space="preserve"> Sentencias </w:t>
      </w:r>
      <w:hyperlink w:anchor="SENTENCIA_2023_171" w:history="1">
        <w:r w:rsidRPr="00DA359F">
          <w:rPr>
            <w:rStyle w:val="TextoNormalCaracter"/>
          </w:rPr>
          <w:t>171/2023</w:t>
        </w:r>
      </w:hyperlink>
      <w:r>
        <w:t xml:space="preserve">, f. 3; </w:t>
      </w:r>
      <w:hyperlink w:anchor="SENTENCIA_2023_189" w:history="1">
        <w:r w:rsidRPr="00DA359F">
          <w:rPr>
            <w:rStyle w:val="TextoNormalCaracter"/>
          </w:rPr>
          <w:t>189/2023</w:t>
        </w:r>
      </w:hyperlink>
      <w:r>
        <w:t>, ff. 1, 3.</w:t>
      </w:r>
    </w:p>
    <w:p w14:paraId="55053DFE" w14:textId="5B8B0521" w:rsidR="00DA359F" w:rsidRDefault="00DA359F" w:rsidP="00DA359F">
      <w:pPr>
        <w:pStyle w:val="SangriaFrancesaArticulo"/>
      </w:pPr>
      <w:r w:rsidRPr="00DA359F">
        <w:rPr>
          <w:rStyle w:val="TextoNormalNegritaCaracter"/>
        </w:rPr>
        <w:t>Artículo 87.1.</w:t>
      </w:r>
      <w:r w:rsidRPr="00DA359F">
        <w:rPr>
          <w:rStyle w:val="TextoNormalCaracter"/>
        </w:rPr>
        <w:t>-</w:t>
      </w:r>
      <w:r>
        <w:t xml:space="preserve"> Sentencias </w:t>
      </w:r>
      <w:hyperlink w:anchor="SENTENCIA_2023_149" w:history="1">
        <w:r w:rsidRPr="00DA359F">
          <w:rPr>
            <w:rStyle w:val="TextoNormalCaracter"/>
          </w:rPr>
          <w:t>149/2023</w:t>
        </w:r>
      </w:hyperlink>
      <w:r>
        <w:t xml:space="preserve">, VP; </w:t>
      </w:r>
      <w:hyperlink w:anchor="SENTENCIA_2023_170" w:history="1">
        <w:r w:rsidRPr="00DA359F">
          <w:rPr>
            <w:rStyle w:val="TextoNormalCaracter"/>
          </w:rPr>
          <w:t>170/2023</w:t>
        </w:r>
      </w:hyperlink>
      <w:r>
        <w:t xml:space="preserve">, VP; </w:t>
      </w:r>
      <w:hyperlink w:anchor="SENTENCIA_2023_171" w:history="1">
        <w:r w:rsidRPr="00DA359F">
          <w:rPr>
            <w:rStyle w:val="TextoNormalCaracter"/>
          </w:rPr>
          <w:t>171/2023</w:t>
        </w:r>
      </w:hyperlink>
      <w:r>
        <w:t xml:space="preserve">, VP; </w:t>
      </w:r>
      <w:hyperlink w:anchor="SENTENCIA_2023_189" w:history="1">
        <w:r w:rsidRPr="00DA359F">
          <w:rPr>
            <w:rStyle w:val="TextoNormalCaracter"/>
          </w:rPr>
          <w:t>189/2023</w:t>
        </w:r>
      </w:hyperlink>
      <w:r>
        <w:t xml:space="preserve">, VP; </w:t>
      </w:r>
      <w:hyperlink w:anchor="SENTENCIA_2023_190" w:history="1">
        <w:r w:rsidRPr="00DA359F">
          <w:rPr>
            <w:rStyle w:val="TextoNormalCaracter"/>
          </w:rPr>
          <w:t>190/2023</w:t>
        </w:r>
      </w:hyperlink>
      <w:r>
        <w:t>, VP.</w:t>
      </w:r>
    </w:p>
    <w:p w14:paraId="4C7D5850" w14:textId="0D82AFF2" w:rsidR="00DA359F" w:rsidRDefault="00DA359F" w:rsidP="00DA359F">
      <w:pPr>
        <w:pStyle w:val="SangriaFrancesaArticulo"/>
      </w:pPr>
      <w:r w:rsidRPr="00DA359F">
        <w:rPr>
          <w:rStyle w:val="TextoNormalNegritaCaracter"/>
        </w:rPr>
        <w:t>Artículo 87.2.</w:t>
      </w:r>
      <w:r w:rsidRPr="00DA359F">
        <w:rPr>
          <w:rStyle w:val="TextoNormalCaracter"/>
        </w:rPr>
        <w:t>-</w:t>
      </w:r>
      <w:r>
        <w:t xml:space="preserve"> Sentencia </w:t>
      </w:r>
      <w:hyperlink w:anchor="SENTENCIA_2023_149" w:history="1">
        <w:r w:rsidRPr="00DA359F">
          <w:rPr>
            <w:rStyle w:val="TextoNormalCaracter"/>
          </w:rPr>
          <w:t>149/2023</w:t>
        </w:r>
      </w:hyperlink>
      <w:r>
        <w:t>, VP.</w:t>
      </w:r>
    </w:p>
    <w:p w14:paraId="2310B673" w14:textId="76C8A5B3" w:rsidR="00DA359F" w:rsidRDefault="00DA359F" w:rsidP="00DA359F">
      <w:pPr>
        <w:pStyle w:val="SangriaFrancesaArticulo"/>
      </w:pPr>
      <w:r w:rsidRPr="00DA359F">
        <w:rPr>
          <w:rStyle w:val="TextoNormalNegritaCaracter"/>
        </w:rPr>
        <w:t>Artículo 87.3.</w:t>
      </w:r>
      <w:r w:rsidRPr="00DA359F">
        <w:rPr>
          <w:rStyle w:val="TextoNormalCaracter"/>
        </w:rPr>
        <w:t>-</w:t>
      </w:r>
      <w:r>
        <w:t xml:space="preserve"> Sentencia </w:t>
      </w:r>
      <w:hyperlink w:anchor="SENTENCIA_2023_149" w:history="1">
        <w:r w:rsidRPr="00DA359F">
          <w:rPr>
            <w:rStyle w:val="TextoNormalCaracter"/>
          </w:rPr>
          <w:t>149/2023</w:t>
        </w:r>
      </w:hyperlink>
      <w:r>
        <w:t>, VP.</w:t>
      </w:r>
    </w:p>
    <w:p w14:paraId="502F0737" w14:textId="5C10D42B" w:rsidR="00DA359F" w:rsidRDefault="00DA359F" w:rsidP="00DA359F">
      <w:pPr>
        <w:pStyle w:val="SangriaFrancesaArticulo"/>
      </w:pPr>
      <w:r w:rsidRPr="00DA359F">
        <w:rPr>
          <w:rStyle w:val="TextoNormalNegritaCaracter"/>
        </w:rPr>
        <w:t>Artículo 88.</w:t>
      </w:r>
      <w:r w:rsidRPr="00DA359F">
        <w:rPr>
          <w:rStyle w:val="TextoNormalCaracter"/>
        </w:rPr>
        <w:t>-</w:t>
      </w:r>
      <w:r>
        <w:t xml:space="preserve"> Sentencias </w:t>
      </w:r>
      <w:hyperlink w:anchor="SENTENCIA_2023_128" w:history="1">
        <w:r w:rsidRPr="00DA359F">
          <w:rPr>
            <w:rStyle w:val="TextoNormalCaracter"/>
          </w:rPr>
          <w:t>128/2023</w:t>
        </w:r>
      </w:hyperlink>
      <w:r>
        <w:t xml:space="preserve">, f. 3; </w:t>
      </w:r>
      <w:hyperlink w:anchor="SENTENCIA_2023_144" w:history="1">
        <w:r w:rsidRPr="00DA359F">
          <w:rPr>
            <w:rStyle w:val="TextoNormalCaracter"/>
          </w:rPr>
          <w:t>144/2023</w:t>
        </w:r>
      </w:hyperlink>
      <w:r>
        <w:t xml:space="preserve">, VP; </w:t>
      </w:r>
      <w:hyperlink w:anchor="SENTENCIA_2023_149" w:history="1">
        <w:r w:rsidRPr="00DA359F">
          <w:rPr>
            <w:rStyle w:val="TextoNormalCaracter"/>
          </w:rPr>
          <w:t>149/2023</w:t>
        </w:r>
      </w:hyperlink>
      <w:r>
        <w:t>, VP.</w:t>
      </w:r>
    </w:p>
    <w:p w14:paraId="7C1E2714" w14:textId="0E745461" w:rsidR="00DA359F" w:rsidRDefault="00DA359F" w:rsidP="00DA359F">
      <w:pPr>
        <w:pStyle w:val="SangriaFrancesaArticulo"/>
      </w:pPr>
      <w:r w:rsidRPr="00DA359F">
        <w:rPr>
          <w:rStyle w:val="TextoNormalNegritaCaracter"/>
        </w:rPr>
        <w:t>Artículo 89.1.</w:t>
      </w:r>
      <w:r w:rsidRPr="00DA359F">
        <w:rPr>
          <w:rStyle w:val="TextoNormalCaracter"/>
        </w:rPr>
        <w:t>-</w:t>
      </w:r>
      <w:r>
        <w:t xml:space="preserve"> Sentencias </w:t>
      </w:r>
      <w:hyperlink w:anchor="SENTENCIA_2023_128" w:history="1">
        <w:r w:rsidRPr="00DA359F">
          <w:rPr>
            <w:rStyle w:val="TextoNormalCaracter"/>
          </w:rPr>
          <w:t>128/2023</w:t>
        </w:r>
      </w:hyperlink>
      <w:r>
        <w:t xml:space="preserve">, f. 3; </w:t>
      </w:r>
      <w:hyperlink w:anchor="SENTENCIA_2023_149" w:history="1">
        <w:r w:rsidRPr="00DA359F">
          <w:rPr>
            <w:rStyle w:val="TextoNormalCaracter"/>
          </w:rPr>
          <w:t>149/2023</w:t>
        </w:r>
      </w:hyperlink>
      <w:r>
        <w:t>, VP.</w:t>
      </w:r>
    </w:p>
    <w:p w14:paraId="2958BC06" w14:textId="23E5ECAD" w:rsidR="00DA359F" w:rsidRDefault="00DA359F" w:rsidP="00DA359F">
      <w:pPr>
        <w:pStyle w:val="SangriaFrancesaArticulo"/>
      </w:pPr>
      <w:r w:rsidRPr="00DA359F">
        <w:rPr>
          <w:rStyle w:val="TextoNormalNegritaCaracter"/>
        </w:rPr>
        <w:t>Artículo 89.2.</w:t>
      </w:r>
      <w:r w:rsidRPr="00DA359F">
        <w:rPr>
          <w:rStyle w:val="TextoNormalCaracter"/>
        </w:rPr>
        <w:t>-</w:t>
      </w:r>
      <w:r>
        <w:t xml:space="preserve"> Sentencia </w:t>
      </w:r>
      <w:hyperlink w:anchor="SENTENCIA_2023_128" w:history="1">
        <w:r w:rsidRPr="00DA359F">
          <w:rPr>
            <w:rStyle w:val="TextoNormalCaracter"/>
          </w:rPr>
          <w:t>128/2023</w:t>
        </w:r>
      </w:hyperlink>
      <w:r>
        <w:t>, f. 1.</w:t>
      </w:r>
    </w:p>
    <w:p w14:paraId="4184A563" w14:textId="11F7A316" w:rsidR="00DA359F" w:rsidRDefault="00DA359F" w:rsidP="00DA359F">
      <w:pPr>
        <w:pStyle w:val="SangriaFrancesaArticulo"/>
      </w:pPr>
      <w:r w:rsidRPr="00DA359F">
        <w:rPr>
          <w:rStyle w:val="TextoNormalNegritaCaracter"/>
        </w:rPr>
        <w:t>Artículo 90.</w:t>
      </w:r>
      <w:r w:rsidRPr="00DA359F">
        <w:rPr>
          <w:rStyle w:val="TextoNormalCaracter"/>
        </w:rPr>
        <w:t>-</w:t>
      </w:r>
      <w:r>
        <w:t xml:space="preserve"> Sentencia </w:t>
      </w:r>
      <w:hyperlink w:anchor="SENTENCIA_2023_167" w:history="1">
        <w:r w:rsidRPr="00DA359F">
          <w:rPr>
            <w:rStyle w:val="TextoNormalCaracter"/>
          </w:rPr>
          <w:t>167/2023</w:t>
        </w:r>
      </w:hyperlink>
      <w:r>
        <w:t>, ff. 5, 10.</w:t>
      </w:r>
    </w:p>
    <w:p w14:paraId="3C717B01" w14:textId="43E0CC18" w:rsidR="00DA359F" w:rsidRDefault="00DA359F" w:rsidP="00DA359F">
      <w:pPr>
        <w:pStyle w:val="SangriaFrancesaArticulo"/>
      </w:pPr>
      <w:r w:rsidRPr="00DA359F">
        <w:rPr>
          <w:rStyle w:val="TextoNormalNegritaCaracter"/>
        </w:rPr>
        <w:t>Artículo 90.1.</w:t>
      </w:r>
      <w:r w:rsidRPr="00DA359F">
        <w:rPr>
          <w:rStyle w:val="TextoNormalCaracter"/>
        </w:rPr>
        <w:t>-</w:t>
      </w:r>
      <w:r>
        <w:t xml:space="preserve"> Sentencia </w:t>
      </w:r>
      <w:hyperlink w:anchor="SENTENCIA_2023_167" w:history="1">
        <w:r w:rsidRPr="00DA359F">
          <w:rPr>
            <w:rStyle w:val="TextoNormalCaracter"/>
          </w:rPr>
          <w:t>167/2023</w:t>
        </w:r>
      </w:hyperlink>
      <w:r>
        <w:t>, f. 10.</w:t>
      </w:r>
    </w:p>
    <w:p w14:paraId="47E0D584" w14:textId="7F1E942F" w:rsidR="00DA359F" w:rsidRDefault="00DA359F" w:rsidP="00DA359F">
      <w:pPr>
        <w:pStyle w:val="SangriaFrancesaArticulo"/>
      </w:pPr>
      <w:r w:rsidRPr="00DA359F">
        <w:rPr>
          <w:rStyle w:val="TextoNormalNegritaCaracter"/>
        </w:rPr>
        <w:t>Artículo 90.2.</w:t>
      </w:r>
      <w:r w:rsidRPr="00DA359F">
        <w:rPr>
          <w:rStyle w:val="TextoNormalCaracter"/>
        </w:rPr>
        <w:t>-</w:t>
      </w:r>
      <w:r>
        <w:t xml:space="preserve"> Sentencia </w:t>
      </w:r>
      <w:hyperlink w:anchor="SENTENCIA_2023_167" w:history="1">
        <w:r w:rsidRPr="00DA359F">
          <w:rPr>
            <w:rStyle w:val="TextoNormalCaracter"/>
          </w:rPr>
          <w:t>167/2023</w:t>
        </w:r>
      </w:hyperlink>
      <w:r>
        <w:t>, ff. 1, 2, 4 a 6, 10.</w:t>
      </w:r>
    </w:p>
    <w:p w14:paraId="4AAA4BE8" w14:textId="4A4CDBC4" w:rsidR="00DA359F" w:rsidRDefault="00DA359F" w:rsidP="00DA359F">
      <w:pPr>
        <w:pStyle w:val="SangriaFrancesaArticulo"/>
      </w:pPr>
      <w:r w:rsidRPr="00DA359F">
        <w:rPr>
          <w:rStyle w:val="TextoNormalNegritaCaracter"/>
        </w:rPr>
        <w:t>Artículo 93.</w:t>
      </w:r>
      <w:r w:rsidRPr="00DA359F">
        <w:rPr>
          <w:rStyle w:val="TextoNormalCaracter"/>
        </w:rPr>
        <w:t>-</w:t>
      </w:r>
      <w:r>
        <w:t xml:space="preserve"> Sentencia </w:t>
      </w:r>
      <w:hyperlink w:anchor="SENTENCIA_2023_94" w:history="1">
        <w:r w:rsidRPr="00DA359F">
          <w:rPr>
            <w:rStyle w:val="TextoNormalCaracter"/>
          </w:rPr>
          <w:t>94/2023</w:t>
        </w:r>
      </w:hyperlink>
      <w:r>
        <w:t>, f. 2.</w:t>
      </w:r>
    </w:p>
    <w:p w14:paraId="4ED9467C" w14:textId="6763B97E" w:rsidR="00DA359F" w:rsidRDefault="00DA359F" w:rsidP="00DA359F">
      <w:pPr>
        <w:pStyle w:val="SangriaFrancesaArticulo"/>
      </w:pPr>
      <w:r w:rsidRPr="00DA359F">
        <w:rPr>
          <w:rStyle w:val="TextoNormalNegritaCaracter"/>
        </w:rPr>
        <w:t>Artículo 96.</w:t>
      </w:r>
      <w:r w:rsidRPr="00DA359F">
        <w:rPr>
          <w:rStyle w:val="TextoNormalCaracter"/>
        </w:rPr>
        <w:t>-</w:t>
      </w:r>
      <w:r>
        <w:t xml:space="preserve"> Sentencia </w:t>
      </w:r>
      <w:hyperlink w:anchor="SENTENCIA_2023_151" w:history="1">
        <w:r w:rsidRPr="00DA359F">
          <w:rPr>
            <w:rStyle w:val="TextoNormalCaracter"/>
          </w:rPr>
          <w:t>151/2023</w:t>
        </w:r>
      </w:hyperlink>
      <w:r>
        <w:t>, f. 1.</w:t>
      </w:r>
    </w:p>
    <w:p w14:paraId="35261389" w14:textId="5B862F11" w:rsidR="00DA359F" w:rsidRDefault="00DA359F" w:rsidP="00DA359F">
      <w:pPr>
        <w:pStyle w:val="SangriaFrancesaArticulo"/>
      </w:pPr>
      <w:r w:rsidRPr="00DA359F">
        <w:rPr>
          <w:rStyle w:val="TextoNormalNegritaCaracter"/>
        </w:rPr>
        <w:t>Artículo 96.1.</w:t>
      </w:r>
      <w:r w:rsidRPr="00DA359F">
        <w:rPr>
          <w:rStyle w:val="TextoNormalCaracter"/>
        </w:rPr>
        <w:t>-</w:t>
      </w:r>
      <w:r>
        <w:t xml:space="preserve"> Sentencias </w:t>
      </w:r>
      <w:hyperlink w:anchor="SENTENCIA_2023_94" w:history="1">
        <w:r w:rsidRPr="00DA359F">
          <w:rPr>
            <w:rStyle w:val="TextoNormalCaracter"/>
          </w:rPr>
          <w:t>94/2023</w:t>
        </w:r>
      </w:hyperlink>
      <w:r>
        <w:t xml:space="preserve">, f. 5; </w:t>
      </w:r>
      <w:hyperlink w:anchor="SENTENCIA_2023_134" w:history="1">
        <w:r w:rsidRPr="00DA359F">
          <w:rPr>
            <w:rStyle w:val="TextoNormalCaracter"/>
          </w:rPr>
          <w:t>134/2023</w:t>
        </w:r>
      </w:hyperlink>
      <w:r>
        <w:t xml:space="preserve">, f. 4; </w:t>
      </w:r>
      <w:hyperlink w:anchor="SENTENCIA_2023_172" w:history="1">
        <w:r w:rsidRPr="00DA359F">
          <w:rPr>
            <w:rStyle w:val="TextoNormalCaracter"/>
          </w:rPr>
          <w:t>172/2023</w:t>
        </w:r>
      </w:hyperlink>
      <w:r>
        <w:t>, ff. 1, 2.</w:t>
      </w:r>
    </w:p>
    <w:p w14:paraId="28AD4E99" w14:textId="26D3D321" w:rsidR="00DA359F" w:rsidRDefault="00DA359F" w:rsidP="00DA359F">
      <w:pPr>
        <w:pStyle w:val="SangriaFrancesaArticulo"/>
      </w:pPr>
      <w:r w:rsidRPr="00DA359F">
        <w:rPr>
          <w:rStyle w:val="TextoNormalNegritaCaracter"/>
        </w:rPr>
        <w:t>Artículo 97.</w:t>
      </w:r>
      <w:r w:rsidRPr="00DA359F">
        <w:rPr>
          <w:rStyle w:val="TextoNormalCaracter"/>
        </w:rPr>
        <w:t>-</w:t>
      </w:r>
      <w:r>
        <w:t xml:space="preserve"> Sentencias </w:t>
      </w:r>
      <w:hyperlink w:anchor="SENTENCIA_2023_132" w:history="1">
        <w:r w:rsidRPr="00DA359F">
          <w:rPr>
            <w:rStyle w:val="TextoNormalCaracter"/>
          </w:rPr>
          <w:t>132/2023</w:t>
        </w:r>
      </w:hyperlink>
      <w:r>
        <w:t xml:space="preserve">, f. 3; </w:t>
      </w:r>
      <w:hyperlink w:anchor="SENTENCIA_2023_144" w:history="1">
        <w:r w:rsidRPr="00DA359F">
          <w:rPr>
            <w:rStyle w:val="TextoNormalCaracter"/>
          </w:rPr>
          <w:t>144/2023</w:t>
        </w:r>
      </w:hyperlink>
      <w:r>
        <w:t xml:space="preserve">, VP; </w:t>
      </w:r>
      <w:hyperlink w:anchor="SENTENCIA_2023_145" w:history="1">
        <w:r w:rsidRPr="00DA359F">
          <w:rPr>
            <w:rStyle w:val="TextoNormalCaracter"/>
          </w:rPr>
          <w:t>145/2023</w:t>
        </w:r>
      </w:hyperlink>
      <w:r>
        <w:t xml:space="preserve">, f. 6; </w:t>
      </w:r>
      <w:hyperlink w:anchor="SENTENCIA_2023_167" w:history="1">
        <w:r w:rsidRPr="00DA359F">
          <w:rPr>
            <w:rStyle w:val="TextoNormalCaracter"/>
          </w:rPr>
          <w:t>167/2023</w:t>
        </w:r>
      </w:hyperlink>
      <w:r>
        <w:t>, f. 8.</w:t>
      </w:r>
    </w:p>
    <w:p w14:paraId="63FBB93E" w14:textId="1DCF1E09" w:rsidR="00DA359F" w:rsidRDefault="00DA359F" w:rsidP="00DA359F">
      <w:pPr>
        <w:pStyle w:val="SangriaFrancesaArticulo"/>
      </w:pPr>
      <w:r w:rsidRPr="00DA359F">
        <w:rPr>
          <w:rStyle w:val="TextoNormalNegritaCaracter"/>
        </w:rPr>
        <w:t>Artículo 101.2.</w:t>
      </w:r>
      <w:r w:rsidRPr="00DA359F">
        <w:rPr>
          <w:rStyle w:val="TextoNormalCaracter"/>
        </w:rPr>
        <w:t>-</w:t>
      </w:r>
      <w:r>
        <w:t xml:space="preserve"> Sentencia </w:t>
      </w:r>
      <w:hyperlink w:anchor="SENTENCIA_2023_128" w:history="1">
        <w:r w:rsidRPr="00DA359F">
          <w:rPr>
            <w:rStyle w:val="TextoNormalCaracter"/>
          </w:rPr>
          <w:t>128/2023</w:t>
        </w:r>
      </w:hyperlink>
      <w:r>
        <w:t>, f. 4, VP.</w:t>
      </w:r>
    </w:p>
    <w:p w14:paraId="2B17B71A" w14:textId="7EFBC870" w:rsidR="00DA359F" w:rsidRDefault="00DA359F" w:rsidP="00DA359F">
      <w:pPr>
        <w:pStyle w:val="SangriaFrancesaArticulo"/>
      </w:pPr>
      <w:r w:rsidRPr="00DA359F">
        <w:rPr>
          <w:rStyle w:val="TextoNormalNegritaCaracter"/>
        </w:rPr>
        <w:t>Artículo 103.</w:t>
      </w:r>
      <w:r w:rsidRPr="00DA359F">
        <w:rPr>
          <w:rStyle w:val="TextoNormalCaracter"/>
        </w:rPr>
        <w:t>-</w:t>
      </w:r>
      <w:r>
        <w:t xml:space="preserve"> Sentencia </w:t>
      </w:r>
      <w:hyperlink w:anchor="SENTENCIA_2023_84" w:history="1">
        <w:r w:rsidRPr="00DA359F">
          <w:rPr>
            <w:rStyle w:val="TextoNormalCaracter"/>
          </w:rPr>
          <w:t>84/2023</w:t>
        </w:r>
      </w:hyperlink>
      <w:r>
        <w:t>, VP.</w:t>
      </w:r>
    </w:p>
    <w:p w14:paraId="6573BFE3" w14:textId="22F8D19D" w:rsidR="00DA359F" w:rsidRDefault="00DA359F" w:rsidP="00DA359F">
      <w:pPr>
        <w:pStyle w:val="SangriaFrancesaArticulo"/>
      </w:pPr>
      <w:r w:rsidRPr="00DA359F">
        <w:rPr>
          <w:rStyle w:val="TextoNormalNegritaCaracter"/>
        </w:rPr>
        <w:t>Artículo 103.1.</w:t>
      </w:r>
      <w:r w:rsidRPr="00DA359F">
        <w:rPr>
          <w:rStyle w:val="TextoNormalCaracter"/>
        </w:rPr>
        <w:t>-</w:t>
      </w:r>
      <w:r>
        <w:t xml:space="preserve"> Sentencias </w:t>
      </w:r>
      <w:hyperlink w:anchor="SENTENCIA_2023_124" w:history="1">
        <w:r w:rsidRPr="00DA359F">
          <w:rPr>
            <w:rStyle w:val="TextoNormalCaracter"/>
          </w:rPr>
          <w:t>124/2023</w:t>
        </w:r>
      </w:hyperlink>
      <w:r>
        <w:t xml:space="preserve">, f. 5; </w:t>
      </w:r>
      <w:hyperlink w:anchor="SENTENCIA_2023_127" w:history="1">
        <w:r w:rsidRPr="00DA359F">
          <w:rPr>
            <w:rStyle w:val="TextoNormalCaracter"/>
          </w:rPr>
          <w:t>127/2023</w:t>
        </w:r>
      </w:hyperlink>
      <w:r>
        <w:t>, VP.</w:t>
      </w:r>
    </w:p>
    <w:p w14:paraId="1A639463" w14:textId="044CF455" w:rsidR="00DA359F" w:rsidRDefault="00DA359F" w:rsidP="00DA359F">
      <w:pPr>
        <w:pStyle w:val="SangriaFrancesaArticulo"/>
      </w:pPr>
      <w:r w:rsidRPr="00DA359F">
        <w:rPr>
          <w:rStyle w:val="TextoNormalNegritaCaracter"/>
        </w:rPr>
        <w:t>Artículo 103.3.</w:t>
      </w:r>
      <w:r w:rsidRPr="00DA359F">
        <w:rPr>
          <w:rStyle w:val="TextoNormalCaracter"/>
        </w:rPr>
        <w:t>-</w:t>
      </w:r>
      <w:r>
        <w:t xml:space="preserve"> Sentencia </w:t>
      </w:r>
      <w:hyperlink w:anchor="SENTENCIA_2023_128" w:history="1">
        <w:r w:rsidRPr="00DA359F">
          <w:rPr>
            <w:rStyle w:val="TextoNormalCaracter"/>
          </w:rPr>
          <w:t>128/2023</w:t>
        </w:r>
      </w:hyperlink>
      <w:r>
        <w:t>, f. 4.</w:t>
      </w:r>
    </w:p>
    <w:p w14:paraId="7FD7DACA" w14:textId="76C351A4" w:rsidR="00DA359F" w:rsidRDefault="00DA359F" w:rsidP="00DA359F">
      <w:pPr>
        <w:pStyle w:val="SangriaIzquierdaArticulo"/>
      </w:pPr>
      <w:r>
        <w:t xml:space="preserve">Autos </w:t>
      </w:r>
      <w:hyperlink w:anchor="AUTO_2023_427" w:history="1">
        <w:r w:rsidRPr="00DA359F">
          <w:rPr>
            <w:rStyle w:val="TextoNormalCaracter"/>
          </w:rPr>
          <w:t>427/2023</w:t>
        </w:r>
      </w:hyperlink>
      <w:r>
        <w:t xml:space="preserve">, VP; </w:t>
      </w:r>
      <w:hyperlink w:anchor="AUTO_2023_604" w:history="1">
        <w:r w:rsidRPr="00DA359F">
          <w:rPr>
            <w:rStyle w:val="TextoNormalCaracter"/>
          </w:rPr>
          <w:t>604/2023</w:t>
        </w:r>
      </w:hyperlink>
      <w:r>
        <w:t>, f. 1.</w:t>
      </w:r>
    </w:p>
    <w:p w14:paraId="5E779037" w14:textId="0EFBC32D" w:rsidR="00DA359F" w:rsidRDefault="00DA359F" w:rsidP="00DA359F">
      <w:pPr>
        <w:pStyle w:val="SangriaFrancesaArticulo"/>
      </w:pPr>
      <w:r w:rsidRPr="00DA359F">
        <w:rPr>
          <w:rStyle w:val="TextoNormalNegritaCaracter"/>
        </w:rPr>
        <w:t>Artículo 104.1.</w:t>
      </w:r>
      <w:r w:rsidRPr="00DA359F">
        <w:rPr>
          <w:rStyle w:val="TextoNormalCaracter"/>
        </w:rPr>
        <w:t>-</w:t>
      </w:r>
      <w:r>
        <w:t xml:space="preserve"> Sentencia </w:t>
      </w:r>
      <w:hyperlink w:anchor="SENTENCIA_2023_92" w:history="1">
        <w:r w:rsidRPr="00DA359F">
          <w:rPr>
            <w:rStyle w:val="TextoNormalCaracter"/>
          </w:rPr>
          <w:t>92/2023</w:t>
        </w:r>
      </w:hyperlink>
      <w:r>
        <w:t>, f. 7.</w:t>
      </w:r>
    </w:p>
    <w:p w14:paraId="5D1F8286" w14:textId="3231B0F8" w:rsidR="00DA359F" w:rsidRDefault="00DA359F" w:rsidP="00DA359F">
      <w:pPr>
        <w:pStyle w:val="SangriaFrancesaArticulo"/>
      </w:pPr>
      <w:r w:rsidRPr="00DA359F">
        <w:rPr>
          <w:rStyle w:val="TextoNormalNegritaCaracter"/>
        </w:rPr>
        <w:t>Artículo 106.1.</w:t>
      </w:r>
      <w:r w:rsidRPr="00DA359F">
        <w:rPr>
          <w:rStyle w:val="TextoNormalCaracter"/>
        </w:rPr>
        <w:t>-</w:t>
      </w:r>
      <w:r>
        <w:t xml:space="preserve"> Sentencia </w:t>
      </w:r>
      <w:hyperlink w:anchor="SENTENCIA_2023_128" w:history="1">
        <w:r w:rsidRPr="00DA359F">
          <w:rPr>
            <w:rStyle w:val="TextoNormalCaracter"/>
          </w:rPr>
          <w:t>128/2023</w:t>
        </w:r>
      </w:hyperlink>
      <w:r>
        <w:t>, VP.</w:t>
      </w:r>
    </w:p>
    <w:p w14:paraId="17C0CB7E" w14:textId="556D4291" w:rsidR="00DA359F" w:rsidRDefault="00DA359F" w:rsidP="00DA359F">
      <w:pPr>
        <w:pStyle w:val="SangriaFrancesaArticulo"/>
      </w:pPr>
      <w:r w:rsidRPr="00DA359F">
        <w:rPr>
          <w:rStyle w:val="TextoNormalNegritaCaracter"/>
        </w:rPr>
        <w:t>Artículo 116.</w:t>
      </w:r>
      <w:r w:rsidRPr="00DA359F">
        <w:rPr>
          <w:rStyle w:val="TextoNormalCaracter"/>
        </w:rPr>
        <w:t>-</w:t>
      </w:r>
      <w:r>
        <w:t xml:space="preserve"> Sentencias </w:t>
      </w:r>
      <w:hyperlink w:anchor="SENTENCIA_2023_84" w:history="1">
        <w:r w:rsidRPr="00DA359F">
          <w:rPr>
            <w:rStyle w:val="TextoNormalCaracter"/>
          </w:rPr>
          <w:t>84/2023</w:t>
        </w:r>
      </w:hyperlink>
      <w:r>
        <w:t xml:space="preserve">, f. 3; </w:t>
      </w:r>
      <w:hyperlink w:anchor="SENTENCIA_2023_88" w:history="1">
        <w:r w:rsidRPr="00DA359F">
          <w:rPr>
            <w:rStyle w:val="TextoNormalCaracter"/>
          </w:rPr>
          <w:t>88/2023</w:t>
        </w:r>
      </w:hyperlink>
      <w:r>
        <w:t xml:space="preserve">, f. 4; </w:t>
      </w:r>
      <w:hyperlink w:anchor="SENTENCIA_2023_164" w:history="1">
        <w:r w:rsidRPr="00DA359F">
          <w:rPr>
            <w:rStyle w:val="TextoNormalCaracter"/>
          </w:rPr>
          <w:t>164/2023</w:t>
        </w:r>
      </w:hyperlink>
      <w:r>
        <w:t>, f. 2.</w:t>
      </w:r>
    </w:p>
    <w:p w14:paraId="774EACCB" w14:textId="4C941088" w:rsidR="00DA359F" w:rsidRDefault="00DA359F" w:rsidP="00DA359F">
      <w:pPr>
        <w:pStyle w:val="SangriaFrancesaArticulo"/>
      </w:pPr>
      <w:r w:rsidRPr="00DA359F">
        <w:rPr>
          <w:rStyle w:val="TextoNormalNegritaCaracter"/>
        </w:rPr>
        <w:t>Artículo 117.</w:t>
      </w:r>
      <w:r w:rsidRPr="00DA359F">
        <w:rPr>
          <w:rStyle w:val="TextoNormalCaracter"/>
        </w:rPr>
        <w:t>-</w:t>
      </w:r>
      <w:r>
        <w:t xml:space="preserve"> Auto </w:t>
      </w:r>
      <w:hyperlink w:anchor="AUTO_2023_669" w:history="1">
        <w:r w:rsidRPr="00DA359F">
          <w:rPr>
            <w:rStyle w:val="TextoNormalCaracter"/>
          </w:rPr>
          <w:t>669/2023</w:t>
        </w:r>
      </w:hyperlink>
      <w:r>
        <w:t>, f. 1.</w:t>
      </w:r>
    </w:p>
    <w:p w14:paraId="45ED73FF" w14:textId="1ED287A6" w:rsidR="00DA359F" w:rsidRDefault="00DA359F" w:rsidP="00DA359F">
      <w:pPr>
        <w:pStyle w:val="SangriaFrancesaArticulo"/>
      </w:pPr>
      <w:r w:rsidRPr="00DA359F">
        <w:rPr>
          <w:rStyle w:val="TextoNormalNegritaCaracter"/>
        </w:rPr>
        <w:t>Artículo 117.1.</w:t>
      </w:r>
      <w:r w:rsidRPr="00DA359F">
        <w:rPr>
          <w:rStyle w:val="TextoNormalCaracter"/>
        </w:rPr>
        <w:t>-</w:t>
      </w:r>
      <w:r>
        <w:t xml:space="preserve"> Sentencia </w:t>
      </w:r>
      <w:hyperlink w:anchor="SENTENCIA_2023_128" w:history="1">
        <w:r w:rsidRPr="00DA359F">
          <w:rPr>
            <w:rStyle w:val="TextoNormalCaracter"/>
          </w:rPr>
          <w:t>128/2023</w:t>
        </w:r>
      </w:hyperlink>
      <w:r>
        <w:t>, f. 4, VP.</w:t>
      </w:r>
    </w:p>
    <w:p w14:paraId="11E67AE0" w14:textId="7B695C93" w:rsidR="00DA359F" w:rsidRDefault="00DA359F" w:rsidP="00DA359F">
      <w:pPr>
        <w:pStyle w:val="SangriaFrancesaArticulo"/>
      </w:pPr>
      <w:r w:rsidRPr="00DA359F">
        <w:rPr>
          <w:rStyle w:val="TextoNormalNegritaCaracter"/>
        </w:rPr>
        <w:t>Artículo 117.2.</w:t>
      </w:r>
      <w:r w:rsidRPr="00DA359F">
        <w:rPr>
          <w:rStyle w:val="TextoNormalCaracter"/>
        </w:rPr>
        <w:t>-</w:t>
      </w:r>
      <w:r>
        <w:t xml:space="preserve"> Sentencia </w:t>
      </w:r>
      <w:hyperlink w:anchor="SENTENCIA_2023_128" w:history="1">
        <w:r w:rsidRPr="00DA359F">
          <w:rPr>
            <w:rStyle w:val="TextoNormalCaracter"/>
          </w:rPr>
          <w:t>128/2023</w:t>
        </w:r>
      </w:hyperlink>
      <w:r>
        <w:t>, f. 4.</w:t>
      </w:r>
    </w:p>
    <w:p w14:paraId="3324F8EA" w14:textId="046B5A61" w:rsidR="00DA359F" w:rsidRDefault="00DA359F" w:rsidP="00DA359F">
      <w:pPr>
        <w:pStyle w:val="SangriaFrancesaArticulo"/>
      </w:pPr>
      <w:r w:rsidRPr="00DA359F">
        <w:rPr>
          <w:rStyle w:val="TextoNormalNegritaCaracter"/>
        </w:rPr>
        <w:t>Artículo 117.3.</w:t>
      </w:r>
      <w:r w:rsidRPr="00DA359F">
        <w:rPr>
          <w:rStyle w:val="TextoNormalCaracter"/>
        </w:rPr>
        <w:t>-</w:t>
      </w:r>
      <w:r>
        <w:t xml:space="preserve"> Sentencias </w:t>
      </w:r>
      <w:hyperlink w:anchor="SENTENCIA_2023_123" w:history="1">
        <w:r w:rsidRPr="00DA359F">
          <w:rPr>
            <w:rStyle w:val="TextoNormalCaracter"/>
          </w:rPr>
          <w:t>123/2023</w:t>
        </w:r>
      </w:hyperlink>
      <w:r>
        <w:t xml:space="preserve">, f. 1; </w:t>
      </w:r>
      <w:hyperlink w:anchor="SENTENCIA_2023_172" w:history="1">
        <w:r w:rsidRPr="00DA359F">
          <w:rPr>
            <w:rStyle w:val="TextoNormalCaracter"/>
          </w:rPr>
          <w:t>172/2023</w:t>
        </w:r>
      </w:hyperlink>
      <w:r>
        <w:t>, f. 3.</w:t>
      </w:r>
    </w:p>
    <w:p w14:paraId="1DEF81A8" w14:textId="72134A0D" w:rsidR="00DA359F" w:rsidRDefault="00DA359F" w:rsidP="00DA359F">
      <w:pPr>
        <w:pStyle w:val="SangriaIzquierdaArticulo"/>
      </w:pPr>
      <w:r>
        <w:t xml:space="preserve">Autos </w:t>
      </w:r>
      <w:hyperlink w:anchor="AUTO_2023_334" w:history="1">
        <w:r w:rsidRPr="00DA359F">
          <w:rPr>
            <w:rStyle w:val="TextoNormalCaracter"/>
          </w:rPr>
          <w:t>334/2023</w:t>
        </w:r>
      </w:hyperlink>
      <w:r>
        <w:t xml:space="preserve">, f. 2; </w:t>
      </w:r>
      <w:hyperlink w:anchor="AUTO_2023_338" w:history="1">
        <w:r w:rsidRPr="00DA359F">
          <w:rPr>
            <w:rStyle w:val="TextoNormalCaracter"/>
          </w:rPr>
          <w:t>338/2023</w:t>
        </w:r>
      </w:hyperlink>
      <w:r>
        <w:t xml:space="preserve">, VP; </w:t>
      </w:r>
      <w:hyperlink w:anchor="AUTO_2023_376" w:history="1">
        <w:r w:rsidRPr="00DA359F">
          <w:rPr>
            <w:rStyle w:val="TextoNormalCaracter"/>
          </w:rPr>
          <w:t>376/2023</w:t>
        </w:r>
      </w:hyperlink>
      <w:r>
        <w:t xml:space="preserve">, f. 3; </w:t>
      </w:r>
      <w:hyperlink w:anchor="AUTO_2023_428" w:history="1">
        <w:r w:rsidRPr="00DA359F">
          <w:rPr>
            <w:rStyle w:val="TextoNormalCaracter"/>
          </w:rPr>
          <w:t>428/2023</w:t>
        </w:r>
      </w:hyperlink>
      <w:r>
        <w:t xml:space="preserve">, f. 2; </w:t>
      </w:r>
      <w:hyperlink w:anchor="AUTO_2023_436" w:history="1">
        <w:r w:rsidRPr="00DA359F">
          <w:rPr>
            <w:rStyle w:val="TextoNormalCaracter"/>
          </w:rPr>
          <w:t>436/2023</w:t>
        </w:r>
      </w:hyperlink>
      <w:r>
        <w:t xml:space="preserve">, f. 2; </w:t>
      </w:r>
      <w:hyperlink w:anchor="AUTO_2023_458" w:history="1">
        <w:r w:rsidRPr="00DA359F">
          <w:rPr>
            <w:rStyle w:val="TextoNormalCaracter"/>
          </w:rPr>
          <w:t>458/2023</w:t>
        </w:r>
      </w:hyperlink>
      <w:r>
        <w:t xml:space="preserve">, f. 2; </w:t>
      </w:r>
      <w:hyperlink w:anchor="AUTO_2023_477" w:history="1">
        <w:r w:rsidRPr="00DA359F">
          <w:rPr>
            <w:rStyle w:val="TextoNormalCaracter"/>
          </w:rPr>
          <w:t>477/2023</w:t>
        </w:r>
      </w:hyperlink>
      <w:r>
        <w:t xml:space="preserve">, f. 2; </w:t>
      </w:r>
      <w:hyperlink w:anchor="AUTO_2023_532" w:history="1">
        <w:r w:rsidRPr="00DA359F">
          <w:rPr>
            <w:rStyle w:val="TextoNormalCaracter"/>
          </w:rPr>
          <w:t>532/2023</w:t>
        </w:r>
      </w:hyperlink>
      <w:r>
        <w:t xml:space="preserve">, f. 3; </w:t>
      </w:r>
      <w:hyperlink w:anchor="AUTO_2023_535" w:history="1">
        <w:r w:rsidRPr="00DA359F">
          <w:rPr>
            <w:rStyle w:val="TextoNormalCaracter"/>
          </w:rPr>
          <w:t>535/2023</w:t>
        </w:r>
      </w:hyperlink>
      <w:r>
        <w:t xml:space="preserve">, f. 3; </w:t>
      </w:r>
      <w:hyperlink w:anchor="AUTO_2023_601" w:history="1">
        <w:r w:rsidRPr="00DA359F">
          <w:rPr>
            <w:rStyle w:val="TextoNormalCaracter"/>
          </w:rPr>
          <w:t>601/2023</w:t>
        </w:r>
      </w:hyperlink>
      <w:r>
        <w:t xml:space="preserve">, f. 2; </w:t>
      </w:r>
      <w:hyperlink w:anchor="AUTO_2023_661" w:history="1">
        <w:r w:rsidRPr="00DA359F">
          <w:rPr>
            <w:rStyle w:val="TextoNormalCaracter"/>
          </w:rPr>
          <w:t>661/2023</w:t>
        </w:r>
      </w:hyperlink>
      <w:r>
        <w:t xml:space="preserve">, f. 3; </w:t>
      </w:r>
      <w:hyperlink w:anchor="AUTO_2023_663" w:history="1">
        <w:r w:rsidRPr="00DA359F">
          <w:rPr>
            <w:rStyle w:val="TextoNormalCaracter"/>
          </w:rPr>
          <w:t>663/2023</w:t>
        </w:r>
      </w:hyperlink>
      <w:r>
        <w:t xml:space="preserve">, f. 1; </w:t>
      </w:r>
      <w:hyperlink w:anchor="AUTO_2023_667" w:history="1">
        <w:r w:rsidRPr="00DA359F">
          <w:rPr>
            <w:rStyle w:val="TextoNormalCaracter"/>
          </w:rPr>
          <w:t>667/2023</w:t>
        </w:r>
      </w:hyperlink>
      <w:r>
        <w:t xml:space="preserve">, f. 3; </w:t>
      </w:r>
      <w:hyperlink w:anchor="AUTO_2023_669" w:history="1">
        <w:r w:rsidRPr="00DA359F">
          <w:rPr>
            <w:rStyle w:val="TextoNormalCaracter"/>
          </w:rPr>
          <w:t>669/2023</w:t>
        </w:r>
      </w:hyperlink>
      <w:r>
        <w:t>, f. 1.</w:t>
      </w:r>
    </w:p>
    <w:p w14:paraId="14B5897A" w14:textId="0D97D0E4" w:rsidR="00DA359F" w:rsidRDefault="00DA359F" w:rsidP="00DA359F">
      <w:pPr>
        <w:pStyle w:val="SangriaFrancesaArticulo"/>
      </w:pPr>
      <w:r w:rsidRPr="00DA359F">
        <w:rPr>
          <w:rStyle w:val="TextoNormalNegritaCaracter"/>
        </w:rPr>
        <w:t>Artículo 117.4.</w:t>
      </w:r>
      <w:r w:rsidRPr="00DA359F">
        <w:rPr>
          <w:rStyle w:val="TextoNormalCaracter"/>
        </w:rPr>
        <w:t>-</w:t>
      </w:r>
      <w:r>
        <w:t xml:space="preserve"> Sentencia </w:t>
      </w:r>
      <w:hyperlink w:anchor="SENTENCIA_2023_128" w:history="1">
        <w:r w:rsidRPr="00DA359F">
          <w:rPr>
            <w:rStyle w:val="TextoNormalCaracter"/>
          </w:rPr>
          <w:t>128/2023</w:t>
        </w:r>
      </w:hyperlink>
      <w:r>
        <w:t>, f. 4.</w:t>
      </w:r>
    </w:p>
    <w:p w14:paraId="5D57B79F" w14:textId="6BC6421B" w:rsidR="00DA359F" w:rsidRDefault="00DA359F" w:rsidP="00DA359F">
      <w:pPr>
        <w:pStyle w:val="SangriaFrancesaArticulo"/>
      </w:pPr>
      <w:r w:rsidRPr="00DA359F">
        <w:rPr>
          <w:rStyle w:val="TextoNormalNegritaCaracter"/>
        </w:rPr>
        <w:t>Artículo 118.</w:t>
      </w:r>
      <w:r w:rsidRPr="00DA359F">
        <w:rPr>
          <w:rStyle w:val="TextoNormalCaracter"/>
        </w:rPr>
        <w:t>-</w:t>
      </w:r>
      <w:r>
        <w:t xml:space="preserve"> Auto </w:t>
      </w:r>
      <w:hyperlink w:anchor="AUTO_2023_669" w:history="1">
        <w:r w:rsidRPr="00DA359F">
          <w:rPr>
            <w:rStyle w:val="TextoNormalCaracter"/>
          </w:rPr>
          <w:t>669/2023</w:t>
        </w:r>
      </w:hyperlink>
      <w:r>
        <w:t>, f. 1.</w:t>
      </w:r>
    </w:p>
    <w:p w14:paraId="101BAD21" w14:textId="4209BD3C" w:rsidR="00DA359F" w:rsidRDefault="00DA359F" w:rsidP="00DA359F">
      <w:pPr>
        <w:pStyle w:val="SangriaFrancesaArticulo"/>
      </w:pPr>
      <w:r w:rsidRPr="00DA359F">
        <w:rPr>
          <w:rStyle w:val="TextoNormalNegritaCaracter"/>
        </w:rPr>
        <w:t>Artículo 120.3.</w:t>
      </w:r>
      <w:r w:rsidRPr="00DA359F">
        <w:rPr>
          <w:rStyle w:val="TextoNormalCaracter"/>
        </w:rPr>
        <w:t>-</w:t>
      </w:r>
      <w:r>
        <w:t xml:space="preserve"> Sentencias </w:t>
      </w:r>
      <w:hyperlink w:anchor="SENTENCIA_2023_131" w:history="1">
        <w:r w:rsidRPr="00DA359F">
          <w:rPr>
            <w:rStyle w:val="TextoNormalCaracter"/>
          </w:rPr>
          <w:t>131/2023</w:t>
        </w:r>
      </w:hyperlink>
      <w:r>
        <w:t xml:space="preserve">, f. 2; </w:t>
      </w:r>
      <w:hyperlink w:anchor="SENTENCIA_2023_172" w:history="1">
        <w:r w:rsidRPr="00DA359F">
          <w:rPr>
            <w:rStyle w:val="TextoNormalCaracter"/>
          </w:rPr>
          <w:t>172/2023</w:t>
        </w:r>
      </w:hyperlink>
      <w:r>
        <w:t>, f. 3.</w:t>
      </w:r>
    </w:p>
    <w:p w14:paraId="18C973F7" w14:textId="2ECE9327" w:rsidR="00DA359F" w:rsidRDefault="00DA359F" w:rsidP="00DA359F">
      <w:pPr>
        <w:pStyle w:val="SangriaFrancesaArticulo"/>
      </w:pPr>
      <w:r w:rsidRPr="00DA359F">
        <w:rPr>
          <w:rStyle w:val="TextoNormalNegritaCaracter"/>
        </w:rPr>
        <w:t>Artículo 122.</w:t>
      </w:r>
      <w:r w:rsidRPr="00DA359F">
        <w:rPr>
          <w:rStyle w:val="TextoNormalCaracter"/>
        </w:rPr>
        <w:t>-</w:t>
      </w:r>
      <w:r>
        <w:t xml:space="preserve"> Sentencia </w:t>
      </w:r>
      <w:hyperlink w:anchor="SENTENCIA_2023_128" w:history="1">
        <w:r w:rsidRPr="00DA359F">
          <w:rPr>
            <w:rStyle w:val="TextoNormalCaracter"/>
          </w:rPr>
          <w:t>128/2023</w:t>
        </w:r>
      </w:hyperlink>
      <w:r>
        <w:t>, ff. 1, 4, 5, VP.</w:t>
      </w:r>
    </w:p>
    <w:p w14:paraId="29EFE4E6" w14:textId="611E47A9" w:rsidR="00DA359F" w:rsidRDefault="00DA359F" w:rsidP="00DA359F">
      <w:pPr>
        <w:pStyle w:val="SangriaFrancesaArticulo"/>
      </w:pPr>
      <w:r w:rsidRPr="00DA359F">
        <w:rPr>
          <w:rStyle w:val="TextoNormalNegritaCaracter"/>
        </w:rPr>
        <w:t>Artículo 122.1.</w:t>
      </w:r>
      <w:r w:rsidRPr="00DA359F">
        <w:rPr>
          <w:rStyle w:val="TextoNormalCaracter"/>
        </w:rPr>
        <w:t>-</w:t>
      </w:r>
      <w:r>
        <w:t xml:space="preserve"> Sentencia </w:t>
      </w:r>
      <w:hyperlink w:anchor="SENTENCIA_2023_128" w:history="1">
        <w:r w:rsidRPr="00DA359F">
          <w:rPr>
            <w:rStyle w:val="TextoNormalCaracter"/>
          </w:rPr>
          <w:t>128/2023</w:t>
        </w:r>
      </w:hyperlink>
      <w:r>
        <w:t>, f. 4.</w:t>
      </w:r>
    </w:p>
    <w:p w14:paraId="6B03D87A" w14:textId="7F37A0E9" w:rsidR="00DA359F" w:rsidRDefault="00DA359F" w:rsidP="00DA359F">
      <w:pPr>
        <w:pStyle w:val="SangriaFrancesaArticulo"/>
      </w:pPr>
      <w:r w:rsidRPr="00DA359F">
        <w:rPr>
          <w:rStyle w:val="TextoNormalNegritaCaracter"/>
        </w:rPr>
        <w:t>Artículo 122.2.</w:t>
      </w:r>
      <w:r w:rsidRPr="00DA359F">
        <w:rPr>
          <w:rStyle w:val="TextoNormalCaracter"/>
        </w:rPr>
        <w:t>-</w:t>
      </w:r>
      <w:r>
        <w:t xml:space="preserve"> Sentencia </w:t>
      </w:r>
      <w:hyperlink w:anchor="SENTENCIA_2023_128" w:history="1">
        <w:r w:rsidRPr="00DA359F">
          <w:rPr>
            <w:rStyle w:val="TextoNormalCaracter"/>
          </w:rPr>
          <w:t>128/2023</w:t>
        </w:r>
      </w:hyperlink>
      <w:r>
        <w:t>, ff. 2, 4, 6, VP.</w:t>
      </w:r>
    </w:p>
    <w:p w14:paraId="5B98B166" w14:textId="196783A1" w:rsidR="00DA359F" w:rsidRDefault="00DA359F" w:rsidP="00DA359F">
      <w:pPr>
        <w:pStyle w:val="SangriaFrancesaArticulo"/>
      </w:pPr>
      <w:r w:rsidRPr="00DA359F">
        <w:rPr>
          <w:rStyle w:val="TextoNormalNegritaCaracter"/>
        </w:rPr>
        <w:t>Artículo 122.3.</w:t>
      </w:r>
      <w:r w:rsidRPr="00DA359F">
        <w:rPr>
          <w:rStyle w:val="TextoNormalCaracter"/>
        </w:rPr>
        <w:t>-</w:t>
      </w:r>
      <w:r>
        <w:t xml:space="preserve"> Sentencia </w:t>
      </w:r>
      <w:hyperlink w:anchor="SENTENCIA_2023_128" w:history="1">
        <w:r w:rsidRPr="00DA359F">
          <w:rPr>
            <w:rStyle w:val="TextoNormalCaracter"/>
          </w:rPr>
          <w:t>128/2023</w:t>
        </w:r>
      </w:hyperlink>
      <w:r>
        <w:t>, ff. 2, 4 a 6, VP.</w:t>
      </w:r>
    </w:p>
    <w:p w14:paraId="67306535" w14:textId="5334AB87" w:rsidR="00DA359F" w:rsidRDefault="00DA359F" w:rsidP="00DA359F">
      <w:pPr>
        <w:pStyle w:val="SangriaFrancesaArticulo"/>
      </w:pPr>
      <w:r w:rsidRPr="00DA359F">
        <w:rPr>
          <w:rStyle w:val="TextoNormalNegritaCaracter"/>
        </w:rPr>
        <w:t>Artículo 123.</w:t>
      </w:r>
      <w:r w:rsidRPr="00DA359F">
        <w:rPr>
          <w:rStyle w:val="TextoNormalCaracter"/>
        </w:rPr>
        <w:t>-</w:t>
      </w:r>
      <w:r>
        <w:t xml:space="preserve"> Sentencias </w:t>
      </w:r>
      <w:hyperlink w:anchor="SENTENCIA_2023_123" w:history="1">
        <w:r w:rsidRPr="00DA359F">
          <w:rPr>
            <w:rStyle w:val="TextoNormalCaracter"/>
          </w:rPr>
          <w:t>123/2023</w:t>
        </w:r>
      </w:hyperlink>
      <w:r>
        <w:t xml:space="preserve">, f. 2; </w:t>
      </w:r>
      <w:hyperlink w:anchor="SENTENCIA_2023_128" w:history="1">
        <w:r w:rsidRPr="00DA359F">
          <w:rPr>
            <w:rStyle w:val="TextoNormalCaracter"/>
          </w:rPr>
          <w:t>128/2023</w:t>
        </w:r>
      </w:hyperlink>
      <w:r>
        <w:t>, VP.</w:t>
      </w:r>
    </w:p>
    <w:p w14:paraId="1A20C7C6" w14:textId="3C515939" w:rsidR="00DA359F" w:rsidRDefault="00DA359F" w:rsidP="00DA359F">
      <w:pPr>
        <w:pStyle w:val="SangriaFrancesaArticulo"/>
      </w:pPr>
      <w:r w:rsidRPr="00DA359F">
        <w:rPr>
          <w:rStyle w:val="TextoNormalNegritaCaracter"/>
        </w:rPr>
        <w:t>Artículo 123.2.</w:t>
      </w:r>
      <w:r w:rsidRPr="00DA359F">
        <w:rPr>
          <w:rStyle w:val="TextoNormalCaracter"/>
        </w:rPr>
        <w:t>-</w:t>
      </w:r>
      <w:r>
        <w:t xml:space="preserve"> Sentencia </w:t>
      </w:r>
      <w:hyperlink w:anchor="SENTENCIA_2023_128" w:history="1">
        <w:r w:rsidRPr="00DA359F">
          <w:rPr>
            <w:rStyle w:val="TextoNormalCaracter"/>
          </w:rPr>
          <w:t>128/2023</w:t>
        </w:r>
      </w:hyperlink>
      <w:r>
        <w:t>, ff. 1, 2, 5, 6, VP.</w:t>
      </w:r>
    </w:p>
    <w:p w14:paraId="472D4ECD" w14:textId="78846A33" w:rsidR="00DA359F" w:rsidRDefault="00DA359F" w:rsidP="00DA359F">
      <w:pPr>
        <w:pStyle w:val="SangriaFrancesaArticulo"/>
      </w:pPr>
      <w:r w:rsidRPr="00DA359F">
        <w:rPr>
          <w:rStyle w:val="TextoNormalNegritaCaracter"/>
        </w:rPr>
        <w:t>Artículo 124.4.</w:t>
      </w:r>
      <w:r w:rsidRPr="00DA359F">
        <w:rPr>
          <w:rStyle w:val="TextoNormalCaracter"/>
        </w:rPr>
        <w:t>-</w:t>
      </w:r>
      <w:r>
        <w:t xml:space="preserve"> Sentencia </w:t>
      </w:r>
      <w:hyperlink w:anchor="SENTENCIA_2023_128" w:history="1">
        <w:r w:rsidRPr="00DA359F">
          <w:rPr>
            <w:rStyle w:val="TextoNormalCaracter"/>
          </w:rPr>
          <w:t>128/2023</w:t>
        </w:r>
      </w:hyperlink>
      <w:r>
        <w:t>, ff. 1, 2.</w:t>
      </w:r>
    </w:p>
    <w:p w14:paraId="28C15EA9" w14:textId="3940A25E" w:rsidR="00DA359F" w:rsidRDefault="00DA359F" w:rsidP="00DA359F">
      <w:pPr>
        <w:pStyle w:val="SangriaFrancesaArticulo"/>
      </w:pPr>
      <w:r w:rsidRPr="00DA359F">
        <w:rPr>
          <w:rStyle w:val="TextoNormalNegritaCaracter"/>
        </w:rPr>
        <w:t>Artículo 126.</w:t>
      </w:r>
      <w:r w:rsidRPr="00DA359F">
        <w:rPr>
          <w:rStyle w:val="TextoNormalCaracter"/>
        </w:rPr>
        <w:t>-</w:t>
      </w:r>
      <w:r>
        <w:t xml:space="preserve"> Sentencia </w:t>
      </w:r>
      <w:hyperlink w:anchor="SENTENCIA_2023_92" w:history="1">
        <w:r w:rsidRPr="00DA359F">
          <w:rPr>
            <w:rStyle w:val="TextoNormalCaracter"/>
          </w:rPr>
          <w:t>92/2023</w:t>
        </w:r>
      </w:hyperlink>
      <w:r>
        <w:t>, ff. 6, 8, VP.</w:t>
      </w:r>
    </w:p>
    <w:p w14:paraId="015B5D24" w14:textId="5A1DE164" w:rsidR="00DA359F" w:rsidRDefault="00DA359F" w:rsidP="00DA359F">
      <w:pPr>
        <w:pStyle w:val="SangriaFrancesaArticulo"/>
      </w:pPr>
      <w:r w:rsidRPr="00DA359F">
        <w:rPr>
          <w:rStyle w:val="TextoNormalNegritaCaracter"/>
        </w:rPr>
        <w:t>Artículo 127.2.</w:t>
      </w:r>
      <w:r w:rsidRPr="00DA359F">
        <w:rPr>
          <w:rStyle w:val="TextoNormalCaracter"/>
        </w:rPr>
        <w:t>-</w:t>
      </w:r>
      <w:r>
        <w:t xml:space="preserve"> Sentencia </w:t>
      </w:r>
      <w:hyperlink w:anchor="SENTENCIA_2023_128" w:history="1">
        <w:r w:rsidRPr="00DA359F">
          <w:rPr>
            <w:rStyle w:val="TextoNormalCaracter"/>
          </w:rPr>
          <w:t>128/2023</w:t>
        </w:r>
      </w:hyperlink>
      <w:r>
        <w:t>, f. 4.</w:t>
      </w:r>
    </w:p>
    <w:p w14:paraId="4E895A55" w14:textId="17266FF0" w:rsidR="00DA359F" w:rsidRDefault="00DA359F" w:rsidP="00DA359F">
      <w:pPr>
        <w:pStyle w:val="SangriaFrancesaArticulo"/>
      </w:pPr>
      <w:r w:rsidRPr="00DA359F">
        <w:rPr>
          <w:rStyle w:val="TextoNormalNegritaCaracter"/>
        </w:rPr>
        <w:t>Artículo 128.</w:t>
      </w:r>
      <w:r w:rsidRPr="00DA359F">
        <w:rPr>
          <w:rStyle w:val="TextoNormalCaracter"/>
        </w:rPr>
        <w:t>-</w:t>
      </w:r>
      <w:r>
        <w:t xml:space="preserve"> Sentencia </w:t>
      </w:r>
      <w:hyperlink w:anchor="SENTENCIA_2023_127" w:history="1">
        <w:r w:rsidRPr="00DA359F">
          <w:rPr>
            <w:rStyle w:val="TextoNormalCaracter"/>
          </w:rPr>
          <w:t>127/2023</w:t>
        </w:r>
      </w:hyperlink>
      <w:r>
        <w:t>, f. 2.</w:t>
      </w:r>
    </w:p>
    <w:p w14:paraId="67F9A94D" w14:textId="53B7E6A5" w:rsidR="00DA359F" w:rsidRDefault="00DA359F" w:rsidP="00DA359F">
      <w:pPr>
        <w:pStyle w:val="SangriaFrancesaArticulo"/>
      </w:pPr>
      <w:r w:rsidRPr="00DA359F">
        <w:rPr>
          <w:rStyle w:val="TextoNormalNegritaCaracter"/>
        </w:rPr>
        <w:t>Artículo 128.1.</w:t>
      </w:r>
      <w:r w:rsidRPr="00DA359F">
        <w:rPr>
          <w:rStyle w:val="TextoNormalCaracter"/>
        </w:rPr>
        <w:t>-</w:t>
      </w:r>
      <w:r>
        <w:t xml:space="preserve"> Sentencia </w:t>
      </w:r>
      <w:hyperlink w:anchor="SENTENCIA_2023_127" w:history="1">
        <w:r w:rsidRPr="00DA359F">
          <w:rPr>
            <w:rStyle w:val="TextoNormalCaracter"/>
          </w:rPr>
          <w:t>127/2023</w:t>
        </w:r>
      </w:hyperlink>
      <w:r>
        <w:t>, f. 2, VP.</w:t>
      </w:r>
    </w:p>
    <w:p w14:paraId="01A373F5" w14:textId="273F3481" w:rsidR="00DA359F" w:rsidRDefault="00DA359F" w:rsidP="00DA359F">
      <w:pPr>
        <w:pStyle w:val="SangriaFrancesaArticulo"/>
      </w:pPr>
      <w:r w:rsidRPr="00DA359F">
        <w:rPr>
          <w:rStyle w:val="TextoNormalNegritaCaracter"/>
        </w:rPr>
        <w:t>Artículo 131.1.</w:t>
      </w:r>
      <w:r w:rsidRPr="00DA359F">
        <w:rPr>
          <w:rStyle w:val="TextoNormalCaracter"/>
        </w:rPr>
        <w:t>-</w:t>
      </w:r>
      <w:r>
        <w:t xml:space="preserve"> Sentencia </w:t>
      </w:r>
      <w:hyperlink w:anchor="SENTENCIA_2023_149" w:history="1">
        <w:r w:rsidRPr="00DA359F">
          <w:rPr>
            <w:rStyle w:val="TextoNormalCaracter"/>
          </w:rPr>
          <w:t>149/2023</w:t>
        </w:r>
      </w:hyperlink>
      <w:r>
        <w:t>, f. 3.</w:t>
      </w:r>
    </w:p>
    <w:p w14:paraId="65962268" w14:textId="3C64E9F6" w:rsidR="00DA359F" w:rsidRDefault="00DA359F" w:rsidP="00DA359F">
      <w:pPr>
        <w:pStyle w:val="SangriaFrancesaArticulo"/>
      </w:pPr>
      <w:r w:rsidRPr="00DA359F">
        <w:rPr>
          <w:rStyle w:val="TextoNormalNegritaCaracter"/>
        </w:rPr>
        <w:t>Artículo 132.2.</w:t>
      </w:r>
      <w:r w:rsidRPr="00DA359F">
        <w:rPr>
          <w:rStyle w:val="TextoNormalCaracter"/>
        </w:rPr>
        <w:t>-</w:t>
      </w:r>
      <w:r>
        <w:t xml:space="preserve"> Sentencia </w:t>
      </w:r>
      <w:hyperlink w:anchor="SENTENCIA_2023_127" w:history="1">
        <w:r w:rsidRPr="00DA359F">
          <w:rPr>
            <w:rStyle w:val="TextoNormalCaracter"/>
          </w:rPr>
          <w:t>127/2023</w:t>
        </w:r>
      </w:hyperlink>
      <w:r>
        <w:t>, f. 2.</w:t>
      </w:r>
    </w:p>
    <w:p w14:paraId="169B6EFB" w14:textId="7065D591" w:rsidR="00DA359F" w:rsidRDefault="00DA359F" w:rsidP="00DA359F">
      <w:pPr>
        <w:pStyle w:val="SangriaFrancesaArticulo"/>
      </w:pPr>
      <w:r w:rsidRPr="00DA359F">
        <w:rPr>
          <w:rStyle w:val="TextoNormalNegritaCaracter"/>
        </w:rPr>
        <w:t>Artículo 133.1.</w:t>
      </w:r>
      <w:r w:rsidRPr="00DA359F">
        <w:rPr>
          <w:rStyle w:val="TextoNormalCaracter"/>
        </w:rPr>
        <w:t>-</w:t>
      </w:r>
      <w:r>
        <w:t xml:space="preserve"> Sentencias </w:t>
      </w:r>
      <w:hyperlink w:anchor="SENTENCIA_2023_149" w:history="1">
        <w:r w:rsidRPr="00DA359F">
          <w:rPr>
            <w:rStyle w:val="TextoNormalCaracter"/>
          </w:rPr>
          <w:t>149/2023</w:t>
        </w:r>
      </w:hyperlink>
      <w:r>
        <w:t xml:space="preserve">, VP; </w:t>
      </w:r>
      <w:hyperlink w:anchor="SENTENCIA_2023_170" w:history="1">
        <w:r w:rsidRPr="00DA359F">
          <w:rPr>
            <w:rStyle w:val="TextoNormalCaracter"/>
          </w:rPr>
          <w:t>170/2023</w:t>
        </w:r>
      </w:hyperlink>
      <w:r>
        <w:t xml:space="preserve">, f. 2; </w:t>
      </w:r>
      <w:hyperlink w:anchor="SENTENCIA_2023_171" w:history="1">
        <w:r w:rsidRPr="00DA359F">
          <w:rPr>
            <w:rStyle w:val="TextoNormalCaracter"/>
          </w:rPr>
          <w:t>171/2023</w:t>
        </w:r>
      </w:hyperlink>
      <w:r>
        <w:t xml:space="preserve">, f. 2; </w:t>
      </w:r>
      <w:hyperlink w:anchor="SENTENCIA_2023_189" w:history="1">
        <w:r w:rsidRPr="00DA359F">
          <w:rPr>
            <w:rStyle w:val="TextoNormalCaracter"/>
          </w:rPr>
          <w:t>189/2023</w:t>
        </w:r>
      </w:hyperlink>
      <w:r>
        <w:t xml:space="preserve">, f. 2; </w:t>
      </w:r>
      <w:hyperlink w:anchor="SENTENCIA_2023_190" w:history="1">
        <w:r w:rsidRPr="00DA359F">
          <w:rPr>
            <w:rStyle w:val="TextoNormalCaracter"/>
          </w:rPr>
          <w:t>190/2023</w:t>
        </w:r>
      </w:hyperlink>
      <w:r>
        <w:t>, f. 2.</w:t>
      </w:r>
    </w:p>
    <w:p w14:paraId="23485A7C" w14:textId="236A38A2" w:rsidR="00DA359F" w:rsidRDefault="00DA359F" w:rsidP="00DA359F">
      <w:pPr>
        <w:pStyle w:val="SangriaFrancesaArticulo"/>
      </w:pPr>
      <w:r w:rsidRPr="00DA359F">
        <w:rPr>
          <w:rStyle w:val="TextoNormalNegritaCaracter"/>
        </w:rPr>
        <w:t>Artículo 133.2.</w:t>
      </w:r>
      <w:r w:rsidRPr="00DA359F">
        <w:rPr>
          <w:rStyle w:val="TextoNormalCaracter"/>
        </w:rPr>
        <w:t>-</w:t>
      </w:r>
      <w:r>
        <w:t xml:space="preserve"> Sentencia </w:t>
      </w:r>
      <w:hyperlink w:anchor="SENTENCIA_2023_149" w:history="1">
        <w:r w:rsidRPr="00DA359F">
          <w:rPr>
            <w:rStyle w:val="TextoNormalCaracter"/>
          </w:rPr>
          <w:t>149/2023</w:t>
        </w:r>
      </w:hyperlink>
      <w:r>
        <w:t>, f. 3.</w:t>
      </w:r>
    </w:p>
    <w:p w14:paraId="2B6876A3" w14:textId="24CBDC48" w:rsidR="00DA359F" w:rsidRDefault="00DA359F" w:rsidP="00DA359F">
      <w:pPr>
        <w:pStyle w:val="SangriaFrancesaArticulo"/>
      </w:pPr>
      <w:r w:rsidRPr="00DA359F">
        <w:rPr>
          <w:rStyle w:val="TextoNormalNegritaCaracter"/>
        </w:rPr>
        <w:t>Artículo 134.</w:t>
      </w:r>
      <w:r w:rsidRPr="00DA359F">
        <w:rPr>
          <w:rStyle w:val="TextoNormalCaracter"/>
        </w:rPr>
        <w:t>-</w:t>
      </w:r>
      <w:r>
        <w:t xml:space="preserve"> Sentencia </w:t>
      </w:r>
      <w:hyperlink w:anchor="SENTENCIA_2023_132" w:history="1">
        <w:r w:rsidRPr="00DA359F">
          <w:rPr>
            <w:rStyle w:val="TextoNormalCaracter"/>
          </w:rPr>
          <w:t>132/2023</w:t>
        </w:r>
      </w:hyperlink>
      <w:r>
        <w:t>, f. 3.</w:t>
      </w:r>
    </w:p>
    <w:p w14:paraId="673371C1" w14:textId="52160BB7" w:rsidR="00DA359F" w:rsidRDefault="00DA359F" w:rsidP="00DA359F">
      <w:pPr>
        <w:pStyle w:val="SangriaFrancesaArticulo"/>
      </w:pPr>
      <w:r w:rsidRPr="00DA359F">
        <w:rPr>
          <w:rStyle w:val="TextoNormalNegritaCaracter"/>
        </w:rPr>
        <w:t>Artículo 134.1.</w:t>
      </w:r>
      <w:r w:rsidRPr="00DA359F">
        <w:rPr>
          <w:rStyle w:val="TextoNormalCaracter"/>
        </w:rPr>
        <w:t>-</w:t>
      </w:r>
      <w:r>
        <w:t xml:space="preserve"> Sentencia </w:t>
      </w:r>
      <w:hyperlink w:anchor="SENTENCIA_2023_167" w:history="1">
        <w:r w:rsidRPr="00DA359F">
          <w:rPr>
            <w:rStyle w:val="TextoNormalCaracter"/>
          </w:rPr>
          <w:t>167/2023</w:t>
        </w:r>
      </w:hyperlink>
      <w:r>
        <w:t>, f. 10.</w:t>
      </w:r>
    </w:p>
    <w:p w14:paraId="0D1CA08C" w14:textId="661C9699" w:rsidR="00DA359F" w:rsidRDefault="00DA359F" w:rsidP="00DA359F">
      <w:pPr>
        <w:pStyle w:val="SangriaFrancesaArticulo"/>
      </w:pPr>
      <w:r w:rsidRPr="00DA359F">
        <w:rPr>
          <w:rStyle w:val="TextoNormalNegritaCaracter"/>
        </w:rPr>
        <w:t>Artículo 134.4.</w:t>
      </w:r>
      <w:r w:rsidRPr="00DA359F">
        <w:rPr>
          <w:rStyle w:val="TextoNormalCaracter"/>
        </w:rPr>
        <w:t>-</w:t>
      </w:r>
      <w:r>
        <w:t xml:space="preserve"> Sentencias </w:t>
      </w:r>
      <w:hyperlink w:anchor="SENTENCIA_2023_132" w:history="1">
        <w:r w:rsidRPr="00DA359F">
          <w:rPr>
            <w:rStyle w:val="TextoNormalCaracter"/>
          </w:rPr>
          <w:t>132/2023</w:t>
        </w:r>
      </w:hyperlink>
      <w:r>
        <w:t xml:space="preserve">, f. 3; </w:t>
      </w:r>
      <w:hyperlink w:anchor="SENTENCIA_2023_167" w:history="1">
        <w:r w:rsidRPr="00DA359F">
          <w:rPr>
            <w:rStyle w:val="TextoNormalCaracter"/>
          </w:rPr>
          <w:t>167/2023</w:t>
        </w:r>
      </w:hyperlink>
      <w:r>
        <w:t>, f. 10.</w:t>
      </w:r>
    </w:p>
    <w:p w14:paraId="6ADEDE0C" w14:textId="0B71EA22" w:rsidR="00DA359F" w:rsidRDefault="00DA359F" w:rsidP="00DA359F">
      <w:pPr>
        <w:pStyle w:val="SangriaFrancesaArticulo"/>
      </w:pPr>
      <w:r w:rsidRPr="00DA359F">
        <w:rPr>
          <w:rStyle w:val="TextoNormalNegritaCaracter"/>
        </w:rPr>
        <w:t>Artículo 134.6.</w:t>
      </w:r>
      <w:r w:rsidRPr="00DA359F">
        <w:rPr>
          <w:rStyle w:val="TextoNormalCaracter"/>
        </w:rPr>
        <w:t>-</w:t>
      </w:r>
      <w:r>
        <w:t xml:space="preserve"> Sentencias </w:t>
      </w:r>
      <w:hyperlink w:anchor="SENTENCIA_2023_132" w:history="1">
        <w:r w:rsidRPr="00DA359F">
          <w:rPr>
            <w:rStyle w:val="TextoNormalCaracter"/>
          </w:rPr>
          <w:t>132/2023</w:t>
        </w:r>
      </w:hyperlink>
      <w:r>
        <w:t xml:space="preserve">, ff. 1, 3, 4, VP; </w:t>
      </w:r>
      <w:hyperlink w:anchor="SENTENCIA_2023_167" w:history="1">
        <w:r w:rsidRPr="00DA359F">
          <w:rPr>
            <w:rStyle w:val="TextoNormalCaracter"/>
          </w:rPr>
          <w:t>167/2023</w:t>
        </w:r>
      </w:hyperlink>
      <w:r>
        <w:t>, ff. 2, 7, 8, 10.</w:t>
      </w:r>
    </w:p>
    <w:p w14:paraId="60F00C80" w14:textId="5E644C1C" w:rsidR="00DA359F" w:rsidRDefault="00DA359F" w:rsidP="00DA359F">
      <w:pPr>
        <w:pStyle w:val="SangriaFrancesaArticulo"/>
      </w:pPr>
      <w:r w:rsidRPr="00DA359F">
        <w:rPr>
          <w:rStyle w:val="TextoNormalNegritaCaracter"/>
        </w:rPr>
        <w:t>Artículo 134.7.</w:t>
      </w:r>
      <w:r w:rsidRPr="00DA359F">
        <w:rPr>
          <w:rStyle w:val="TextoNormalCaracter"/>
        </w:rPr>
        <w:t>-</w:t>
      </w:r>
      <w:r>
        <w:t xml:space="preserve"> Sentencia </w:t>
      </w:r>
      <w:hyperlink w:anchor="SENTENCIA_2023_149" w:history="1">
        <w:r w:rsidRPr="00DA359F">
          <w:rPr>
            <w:rStyle w:val="TextoNormalCaracter"/>
          </w:rPr>
          <w:t>149/2023</w:t>
        </w:r>
      </w:hyperlink>
      <w:r>
        <w:t>, VP.</w:t>
      </w:r>
    </w:p>
    <w:p w14:paraId="5E3AD613" w14:textId="03F42C1E" w:rsidR="00DA359F" w:rsidRDefault="00DA359F" w:rsidP="00DA359F">
      <w:pPr>
        <w:pStyle w:val="SangriaFrancesaArticulo"/>
      </w:pPr>
      <w:r w:rsidRPr="00DA359F">
        <w:rPr>
          <w:rStyle w:val="TextoNormalNegritaCaracter"/>
        </w:rPr>
        <w:t>Artículo 137.</w:t>
      </w:r>
      <w:r w:rsidRPr="00DA359F">
        <w:rPr>
          <w:rStyle w:val="TextoNormalCaracter"/>
        </w:rPr>
        <w:t>-</w:t>
      </w:r>
      <w:r>
        <w:t xml:space="preserve"> Sentencias </w:t>
      </w:r>
      <w:hyperlink w:anchor="SENTENCIA_2023_124" w:history="1">
        <w:r w:rsidRPr="00DA359F">
          <w:rPr>
            <w:rStyle w:val="TextoNormalCaracter"/>
          </w:rPr>
          <w:t>124/2023</w:t>
        </w:r>
      </w:hyperlink>
      <w:r>
        <w:t xml:space="preserve">, ff. 1, 4 a 8, VP I, VP II; </w:t>
      </w:r>
      <w:hyperlink w:anchor="SENTENCIA_2023_143" w:history="1">
        <w:r w:rsidRPr="00DA359F">
          <w:rPr>
            <w:rStyle w:val="TextoNormalCaracter"/>
          </w:rPr>
          <w:t>143/2023</w:t>
        </w:r>
      </w:hyperlink>
      <w:r>
        <w:t xml:space="preserve">, f. 1; </w:t>
      </w:r>
      <w:hyperlink w:anchor="SENTENCIA_2023_149" w:history="1">
        <w:r w:rsidRPr="00DA359F">
          <w:rPr>
            <w:rStyle w:val="TextoNormalCaracter"/>
          </w:rPr>
          <w:t>149/2023</w:t>
        </w:r>
      </w:hyperlink>
      <w:r>
        <w:t xml:space="preserve">, f. 1, VP; </w:t>
      </w:r>
      <w:hyperlink w:anchor="SENTENCIA_2023_170" w:history="1">
        <w:r w:rsidRPr="00DA359F">
          <w:rPr>
            <w:rStyle w:val="TextoNormalCaracter"/>
          </w:rPr>
          <w:t>170/2023</w:t>
        </w:r>
      </w:hyperlink>
      <w:r>
        <w:t xml:space="preserve">, VP; </w:t>
      </w:r>
      <w:hyperlink w:anchor="SENTENCIA_2023_171" w:history="1">
        <w:r w:rsidRPr="00DA359F">
          <w:rPr>
            <w:rStyle w:val="TextoNormalCaracter"/>
          </w:rPr>
          <w:t>171/2023</w:t>
        </w:r>
      </w:hyperlink>
      <w:r>
        <w:t xml:space="preserve">, VP; </w:t>
      </w:r>
      <w:hyperlink w:anchor="SENTENCIA_2023_189" w:history="1">
        <w:r w:rsidRPr="00DA359F">
          <w:rPr>
            <w:rStyle w:val="TextoNormalCaracter"/>
          </w:rPr>
          <w:t>189/2023</w:t>
        </w:r>
      </w:hyperlink>
      <w:r>
        <w:t xml:space="preserve">, VP; </w:t>
      </w:r>
      <w:hyperlink w:anchor="SENTENCIA_2023_190" w:history="1">
        <w:r w:rsidRPr="00DA359F">
          <w:rPr>
            <w:rStyle w:val="TextoNormalCaracter"/>
          </w:rPr>
          <w:t>190/2023</w:t>
        </w:r>
      </w:hyperlink>
      <w:r>
        <w:t>, VP.</w:t>
      </w:r>
    </w:p>
    <w:p w14:paraId="23B6D0DC" w14:textId="67C47C43" w:rsidR="00DA359F" w:rsidRDefault="00DA359F" w:rsidP="00DA359F">
      <w:pPr>
        <w:pStyle w:val="SangriaFrancesaArticulo"/>
      </w:pPr>
      <w:r w:rsidRPr="00DA359F">
        <w:rPr>
          <w:rStyle w:val="TextoNormalNegritaCaracter"/>
        </w:rPr>
        <w:t>Artículo 137.1.</w:t>
      </w:r>
      <w:r w:rsidRPr="00DA359F">
        <w:rPr>
          <w:rStyle w:val="TextoNormalCaracter"/>
        </w:rPr>
        <w:t>-</w:t>
      </w:r>
      <w:r>
        <w:t xml:space="preserve"> Sentencia </w:t>
      </w:r>
      <w:hyperlink w:anchor="SENTENCIA_2023_149" w:history="1">
        <w:r w:rsidRPr="00DA359F">
          <w:rPr>
            <w:rStyle w:val="TextoNormalCaracter"/>
          </w:rPr>
          <w:t>149/2023</w:t>
        </w:r>
      </w:hyperlink>
      <w:r>
        <w:t>, VP.</w:t>
      </w:r>
    </w:p>
    <w:p w14:paraId="1349E05F" w14:textId="156D28D5" w:rsidR="00DA359F" w:rsidRDefault="00DA359F" w:rsidP="00DA359F">
      <w:pPr>
        <w:pStyle w:val="SangriaFrancesaArticulo"/>
      </w:pPr>
      <w:r w:rsidRPr="00DA359F">
        <w:rPr>
          <w:rStyle w:val="TextoNormalNegritaCaracter"/>
        </w:rPr>
        <w:t>Artículo 139.</w:t>
      </w:r>
      <w:r w:rsidRPr="00DA359F">
        <w:rPr>
          <w:rStyle w:val="TextoNormalCaracter"/>
        </w:rPr>
        <w:t>-</w:t>
      </w:r>
      <w:r>
        <w:t xml:space="preserve"> Sentencia </w:t>
      </w:r>
      <w:hyperlink w:anchor="SENTENCIA_2023_149" w:history="1">
        <w:r w:rsidRPr="00DA359F">
          <w:rPr>
            <w:rStyle w:val="TextoNormalCaracter"/>
          </w:rPr>
          <w:t>149/2023</w:t>
        </w:r>
      </w:hyperlink>
      <w:r>
        <w:t>, VP.</w:t>
      </w:r>
    </w:p>
    <w:p w14:paraId="0313CF7C" w14:textId="3C91F591" w:rsidR="00DA359F" w:rsidRDefault="00DA359F" w:rsidP="00DA359F">
      <w:pPr>
        <w:pStyle w:val="SangriaFrancesaArticulo"/>
      </w:pPr>
      <w:r w:rsidRPr="00DA359F">
        <w:rPr>
          <w:rStyle w:val="TextoNormalNegritaCaracter"/>
        </w:rPr>
        <w:t>Artículo 139.2.</w:t>
      </w:r>
      <w:r w:rsidRPr="00DA359F">
        <w:rPr>
          <w:rStyle w:val="TextoNormalCaracter"/>
        </w:rPr>
        <w:t>-</w:t>
      </w:r>
      <w:r>
        <w:t xml:space="preserve"> Sentencia </w:t>
      </w:r>
      <w:hyperlink w:anchor="SENTENCIA_2023_149" w:history="1">
        <w:r w:rsidRPr="00DA359F">
          <w:rPr>
            <w:rStyle w:val="TextoNormalCaracter"/>
          </w:rPr>
          <w:t>149/2023</w:t>
        </w:r>
      </w:hyperlink>
      <w:r>
        <w:t>, VP.</w:t>
      </w:r>
    </w:p>
    <w:p w14:paraId="28EF04C9" w14:textId="7D0A812B" w:rsidR="00DA359F" w:rsidRDefault="00DA359F" w:rsidP="00DA359F">
      <w:pPr>
        <w:pStyle w:val="SangriaFrancesaArticulo"/>
      </w:pPr>
      <w:r w:rsidRPr="00DA359F">
        <w:rPr>
          <w:rStyle w:val="TextoNormalNegritaCaracter"/>
        </w:rPr>
        <w:t>Artículo 140.</w:t>
      </w:r>
      <w:r w:rsidRPr="00DA359F">
        <w:rPr>
          <w:rStyle w:val="TextoNormalCaracter"/>
        </w:rPr>
        <w:t>-</w:t>
      </w:r>
      <w:r>
        <w:t xml:space="preserve"> Sentencia </w:t>
      </w:r>
      <w:hyperlink w:anchor="SENTENCIA_2023_124" w:history="1">
        <w:r w:rsidRPr="00DA359F">
          <w:rPr>
            <w:rStyle w:val="TextoNormalCaracter"/>
          </w:rPr>
          <w:t>124/2023</w:t>
        </w:r>
      </w:hyperlink>
      <w:r>
        <w:t>, ff. 4 a 7.</w:t>
      </w:r>
    </w:p>
    <w:p w14:paraId="0E9B9637" w14:textId="261C1DF9" w:rsidR="00DA359F" w:rsidRDefault="00DA359F" w:rsidP="00DA359F">
      <w:pPr>
        <w:pStyle w:val="SangriaFrancesaArticulo"/>
      </w:pPr>
      <w:r w:rsidRPr="00DA359F">
        <w:rPr>
          <w:rStyle w:val="TextoNormalNegritaCaracter"/>
        </w:rPr>
        <w:t>Artículo 141.</w:t>
      </w:r>
      <w:r w:rsidRPr="00DA359F">
        <w:rPr>
          <w:rStyle w:val="TextoNormalCaracter"/>
        </w:rPr>
        <w:t>-</w:t>
      </w:r>
      <w:r>
        <w:t xml:space="preserve"> Sentencias </w:t>
      </w:r>
      <w:hyperlink w:anchor="SENTENCIA_2023_124" w:history="1">
        <w:r w:rsidRPr="00DA359F">
          <w:rPr>
            <w:rStyle w:val="TextoNormalCaracter"/>
          </w:rPr>
          <w:t>124/2023</w:t>
        </w:r>
      </w:hyperlink>
      <w:r>
        <w:t xml:space="preserve">, ff. 1, 4 a 8, VP I; </w:t>
      </w:r>
      <w:hyperlink w:anchor="SENTENCIA_2023_143" w:history="1">
        <w:r w:rsidRPr="00DA359F">
          <w:rPr>
            <w:rStyle w:val="TextoNormalCaracter"/>
          </w:rPr>
          <w:t>143/2023</w:t>
        </w:r>
      </w:hyperlink>
      <w:r>
        <w:t>, f. 1.</w:t>
      </w:r>
    </w:p>
    <w:p w14:paraId="12B17E06" w14:textId="55E98CE7" w:rsidR="00DA359F" w:rsidRDefault="00DA359F" w:rsidP="00DA359F">
      <w:pPr>
        <w:pStyle w:val="SangriaFrancesaArticulo"/>
      </w:pPr>
      <w:r w:rsidRPr="00DA359F">
        <w:rPr>
          <w:rStyle w:val="TextoNormalNegritaCaracter"/>
        </w:rPr>
        <w:t>Artículo 141.1.</w:t>
      </w:r>
      <w:r w:rsidRPr="00DA359F">
        <w:rPr>
          <w:rStyle w:val="TextoNormalCaracter"/>
        </w:rPr>
        <w:t>-</w:t>
      </w:r>
      <w:r>
        <w:t xml:space="preserve"> Sentencia </w:t>
      </w:r>
      <w:hyperlink w:anchor="SENTENCIA_2023_124" w:history="1">
        <w:r w:rsidRPr="00DA359F">
          <w:rPr>
            <w:rStyle w:val="TextoNormalCaracter"/>
          </w:rPr>
          <w:t>124/2023</w:t>
        </w:r>
      </w:hyperlink>
      <w:r>
        <w:t>, ff. 3, 5, 7, 8.</w:t>
      </w:r>
    </w:p>
    <w:p w14:paraId="6729CE0E" w14:textId="0ED0B99B" w:rsidR="00DA359F" w:rsidRDefault="00DA359F" w:rsidP="00DA359F">
      <w:pPr>
        <w:pStyle w:val="SangriaFrancesaArticulo"/>
      </w:pPr>
      <w:r w:rsidRPr="00DA359F">
        <w:rPr>
          <w:rStyle w:val="TextoNormalNegritaCaracter"/>
        </w:rPr>
        <w:t>Artículo 141.2.</w:t>
      </w:r>
      <w:r w:rsidRPr="00DA359F">
        <w:rPr>
          <w:rStyle w:val="TextoNormalCaracter"/>
        </w:rPr>
        <w:t>-</w:t>
      </w:r>
      <w:r>
        <w:t xml:space="preserve"> Sentencia </w:t>
      </w:r>
      <w:hyperlink w:anchor="SENTENCIA_2023_124" w:history="1">
        <w:r w:rsidRPr="00DA359F">
          <w:rPr>
            <w:rStyle w:val="TextoNormalCaracter"/>
          </w:rPr>
          <w:t>124/2023</w:t>
        </w:r>
      </w:hyperlink>
      <w:r>
        <w:t>, f. 8.</w:t>
      </w:r>
    </w:p>
    <w:p w14:paraId="70CA2FA4" w14:textId="645A0366" w:rsidR="00DA359F" w:rsidRDefault="00DA359F" w:rsidP="00DA359F">
      <w:pPr>
        <w:pStyle w:val="SangriaFrancesaArticulo"/>
      </w:pPr>
      <w:r w:rsidRPr="00DA359F">
        <w:rPr>
          <w:rStyle w:val="TextoNormalNegritaCaracter"/>
        </w:rPr>
        <w:t>Artículo 142.</w:t>
      </w:r>
      <w:r w:rsidRPr="00DA359F">
        <w:rPr>
          <w:rStyle w:val="TextoNormalCaracter"/>
        </w:rPr>
        <w:t>-</w:t>
      </w:r>
      <w:r>
        <w:t xml:space="preserve"> Sentencias </w:t>
      </w:r>
      <w:hyperlink w:anchor="SENTENCIA_2023_124" w:history="1">
        <w:r w:rsidRPr="00DA359F">
          <w:rPr>
            <w:rStyle w:val="TextoNormalCaracter"/>
          </w:rPr>
          <w:t>124/2023</w:t>
        </w:r>
      </w:hyperlink>
      <w:r>
        <w:t xml:space="preserve">, ff. 4 a 8, VP I; </w:t>
      </w:r>
      <w:hyperlink w:anchor="SENTENCIA_2023_143" w:history="1">
        <w:r w:rsidRPr="00DA359F">
          <w:rPr>
            <w:rStyle w:val="TextoNormalCaracter"/>
          </w:rPr>
          <w:t>143/2023</w:t>
        </w:r>
      </w:hyperlink>
      <w:r>
        <w:t>, f. 1.</w:t>
      </w:r>
    </w:p>
    <w:p w14:paraId="487DEAEF" w14:textId="14F71C9C" w:rsidR="00DA359F" w:rsidRDefault="00DA359F" w:rsidP="00DA359F">
      <w:pPr>
        <w:pStyle w:val="SangriaFrancesaArticulo"/>
      </w:pPr>
      <w:r w:rsidRPr="00DA359F">
        <w:rPr>
          <w:rStyle w:val="TextoNormalNegritaCaracter"/>
        </w:rPr>
        <w:t>Artículo 143.1.</w:t>
      </w:r>
      <w:r w:rsidRPr="00DA359F">
        <w:rPr>
          <w:rStyle w:val="TextoNormalCaracter"/>
        </w:rPr>
        <w:t>-</w:t>
      </w:r>
      <w:r>
        <w:t xml:space="preserve"> Sentencia </w:t>
      </w:r>
      <w:hyperlink w:anchor="SENTENCIA_2023_149" w:history="1">
        <w:r w:rsidRPr="00DA359F">
          <w:rPr>
            <w:rStyle w:val="TextoNormalCaracter"/>
          </w:rPr>
          <w:t>149/2023</w:t>
        </w:r>
      </w:hyperlink>
      <w:r>
        <w:t>, VP.</w:t>
      </w:r>
    </w:p>
    <w:p w14:paraId="4A1AB135" w14:textId="679CCE13" w:rsidR="00DA359F" w:rsidRDefault="00DA359F" w:rsidP="00DA359F">
      <w:pPr>
        <w:pStyle w:val="SangriaFrancesaArticulo"/>
      </w:pPr>
      <w:r w:rsidRPr="00DA359F">
        <w:rPr>
          <w:rStyle w:val="TextoNormalNegritaCaracter"/>
        </w:rPr>
        <w:t>Artículo 148.1.7.</w:t>
      </w:r>
      <w:r w:rsidRPr="00DA359F">
        <w:rPr>
          <w:rStyle w:val="TextoNormalCaracter"/>
        </w:rPr>
        <w:t>-</w:t>
      </w:r>
      <w:r>
        <w:t xml:space="preserve"> Sentencia </w:t>
      </w:r>
      <w:hyperlink w:anchor="SENTENCIA_2023_126" w:history="1">
        <w:r w:rsidRPr="00DA359F">
          <w:rPr>
            <w:rStyle w:val="TextoNormalCaracter"/>
          </w:rPr>
          <w:t>126/2023</w:t>
        </w:r>
      </w:hyperlink>
      <w:r>
        <w:t>, ff. 1, 5.</w:t>
      </w:r>
    </w:p>
    <w:p w14:paraId="02C6E1EA" w14:textId="4285A106" w:rsidR="00DA359F" w:rsidRDefault="00DA359F" w:rsidP="00DA359F">
      <w:pPr>
        <w:pStyle w:val="SangriaFrancesaArticulo"/>
      </w:pPr>
      <w:r w:rsidRPr="00DA359F">
        <w:rPr>
          <w:rStyle w:val="TextoNormalNegritaCaracter"/>
        </w:rPr>
        <w:t>Artículo 149.</w:t>
      </w:r>
      <w:r w:rsidRPr="00DA359F">
        <w:rPr>
          <w:rStyle w:val="TextoNormalCaracter"/>
        </w:rPr>
        <w:t>-</w:t>
      </w:r>
      <w:r>
        <w:t xml:space="preserve"> Sentencia </w:t>
      </w:r>
      <w:hyperlink w:anchor="SENTENCIA_2023_90" w:history="1">
        <w:r w:rsidRPr="00DA359F">
          <w:rPr>
            <w:rStyle w:val="TextoNormalCaracter"/>
          </w:rPr>
          <w:t>90/2023</w:t>
        </w:r>
      </w:hyperlink>
      <w:r>
        <w:t>, f. 6.</w:t>
      </w:r>
    </w:p>
    <w:p w14:paraId="4766B533" w14:textId="2BDF0F23" w:rsidR="00DA359F" w:rsidRDefault="00DA359F" w:rsidP="00DA359F">
      <w:pPr>
        <w:pStyle w:val="SangriaFrancesaArticulo"/>
      </w:pPr>
      <w:r w:rsidRPr="00DA359F">
        <w:rPr>
          <w:rStyle w:val="TextoNormalNegritaCaracter"/>
        </w:rPr>
        <w:t>Artículo 149.1.</w:t>
      </w:r>
      <w:r w:rsidRPr="00DA359F">
        <w:rPr>
          <w:rStyle w:val="TextoNormalCaracter"/>
        </w:rPr>
        <w:t>-</w:t>
      </w:r>
      <w:r>
        <w:t xml:space="preserve"> Sentencia </w:t>
      </w:r>
      <w:hyperlink w:anchor="SENTENCIA_2023_124" w:history="1">
        <w:r w:rsidRPr="00DA359F">
          <w:rPr>
            <w:rStyle w:val="TextoNormalCaracter"/>
          </w:rPr>
          <w:t>124/2023</w:t>
        </w:r>
      </w:hyperlink>
      <w:r>
        <w:t>, f. 5.</w:t>
      </w:r>
    </w:p>
    <w:p w14:paraId="417ACC40" w14:textId="634CC85D" w:rsidR="00DA359F" w:rsidRDefault="00DA359F" w:rsidP="00DA359F">
      <w:pPr>
        <w:pStyle w:val="SangriaFrancesaArticulo"/>
      </w:pPr>
      <w:r w:rsidRPr="00DA359F">
        <w:rPr>
          <w:rStyle w:val="TextoNormalNegritaCaracter"/>
        </w:rPr>
        <w:t>Artículo 149.1.1.</w:t>
      </w:r>
      <w:r w:rsidRPr="00DA359F">
        <w:rPr>
          <w:rStyle w:val="TextoNormalCaracter"/>
        </w:rPr>
        <w:t>-</w:t>
      </w:r>
      <w:r>
        <w:t xml:space="preserve"> Sentencia </w:t>
      </w:r>
      <w:hyperlink w:anchor="SENTENCIA_2023_149" w:history="1">
        <w:r w:rsidRPr="00DA359F">
          <w:rPr>
            <w:rStyle w:val="TextoNormalCaracter"/>
          </w:rPr>
          <w:t>149/2023</w:t>
        </w:r>
      </w:hyperlink>
      <w:r>
        <w:t>, VP.</w:t>
      </w:r>
    </w:p>
    <w:p w14:paraId="1F55D50E" w14:textId="291FF2FD" w:rsidR="00DA359F" w:rsidRDefault="00DA359F" w:rsidP="00DA359F">
      <w:pPr>
        <w:pStyle w:val="SangriaFrancesaArticulo"/>
      </w:pPr>
      <w:r w:rsidRPr="00DA359F">
        <w:rPr>
          <w:rStyle w:val="TextoNormalNegritaCaracter"/>
        </w:rPr>
        <w:t>Artículo 149.1.4.</w:t>
      </w:r>
      <w:r w:rsidRPr="00DA359F">
        <w:rPr>
          <w:rStyle w:val="TextoNormalCaracter"/>
        </w:rPr>
        <w:t>-</w:t>
      </w:r>
      <w:r>
        <w:t xml:space="preserve"> Sentencia </w:t>
      </w:r>
      <w:hyperlink w:anchor="SENTENCIA_2023_124" w:history="1">
        <w:r w:rsidRPr="00DA359F">
          <w:rPr>
            <w:rStyle w:val="TextoNormalCaracter"/>
          </w:rPr>
          <w:t>124/2023</w:t>
        </w:r>
      </w:hyperlink>
      <w:r>
        <w:t>, f. 5.</w:t>
      </w:r>
    </w:p>
    <w:p w14:paraId="014677EA" w14:textId="4F50BA11" w:rsidR="00DA359F" w:rsidRDefault="00DA359F" w:rsidP="00DA359F">
      <w:pPr>
        <w:pStyle w:val="SangriaFrancesaArticulo"/>
      </w:pPr>
      <w:r w:rsidRPr="00DA359F">
        <w:rPr>
          <w:rStyle w:val="TextoNormalNegritaCaracter"/>
        </w:rPr>
        <w:t>Artículo 149.1.5.</w:t>
      </w:r>
      <w:r w:rsidRPr="00DA359F">
        <w:rPr>
          <w:rStyle w:val="TextoNormalCaracter"/>
        </w:rPr>
        <w:t>-</w:t>
      </w:r>
      <w:r>
        <w:t xml:space="preserve"> Sentencia </w:t>
      </w:r>
      <w:hyperlink w:anchor="SENTENCIA_2023_128" w:history="1">
        <w:r w:rsidRPr="00DA359F">
          <w:rPr>
            <w:rStyle w:val="TextoNormalCaracter"/>
          </w:rPr>
          <w:t>128/2023</w:t>
        </w:r>
      </w:hyperlink>
      <w:r>
        <w:t>, VP.</w:t>
      </w:r>
    </w:p>
    <w:p w14:paraId="0058E04F" w14:textId="7D9814BC" w:rsidR="00DA359F" w:rsidRDefault="00DA359F" w:rsidP="00DA359F">
      <w:pPr>
        <w:pStyle w:val="SangriaFrancesaArticulo"/>
      </w:pPr>
      <w:r w:rsidRPr="00DA359F">
        <w:rPr>
          <w:rStyle w:val="TextoNormalNegritaCaracter"/>
        </w:rPr>
        <w:t>Artículo 149.1.6.</w:t>
      </w:r>
      <w:r w:rsidRPr="00DA359F">
        <w:rPr>
          <w:rStyle w:val="TextoNormalCaracter"/>
        </w:rPr>
        <w:t>-</w:t>
      </w:r>
      <w:r>
        <w:t xml:space="preserve"> Sentencias </w:t>
      </w:r>
      <w:hyperlink w:anchor="SENTENCIA_2023_146" w:history="1">
        <w:r w:rsidRPr="00DA359F">
          <w:rPr>
            <w:rStyle w:val="TextoNormalCaracter"/>
          </w:rPr>
          <w:t>146/2023</w:t>
        </w:r>
      </w:hyperlink>
      <w:r>
        <w:t xml:space="preserve">, ff. 1, 3, 4; </w:t>
      </w:r>
      <w:hyperlink w:anchor="SENTENCIA_2023_166" w:history="1">
        <w:r w:rsidRPr="00DA359F">
          <w:rPr>
            <w:rStyle w:val="TextoNormalCaracter"/>
          </w:rPr>
          <w:t>166/2023</w:t>
        </w:r>
      </w:hyperlink>
      <w:r>
        <w:t>, f. 2.</w:t>
      </w:r>
    </w:p>
    <w:p w14:paraId="49C05364" w14:textId="4AB4909F" w:rsidR="00DA359F" w:rsidRDefault="00DA359F" w:rsidP="00DA359F">
      <w:pPr>
        <w:pStyle w:val="SangriaIzquierdaArticulo"/>
      </w:pPr>
      <w:r>
        <w:t xml:space="preserve">Auto </w:t>
      </w:r>
      <w:hyperlink w:anchor="AUTO_2023_445" w:history="1">
        <w:r w:rsidRPr="00DA359F">
          <w:rPr>
            <w:rStyle w:val="TextoNormalCaracter"/>
          </w:rPr>
          <w:t>445/2023</w:t>
        </w:r>
      </w:hyperlink>
      <w:r>
        <w:t>, f. 1.</w:t>
      </w:r>
    </w:p>
    <w:p w14:paraId="780CEF6C" w14:textId="517B3969" w:rsidR="00DA359F" w:rsidRDefault="00DA359F" w:rsidP="00DA359F">
      <w:pPr>
        <w:pStyle w:val="SangriaFrancesaArticulo"/>
      </w:pPr>
      <w:r w:rsidRPr="00DA359F">
        <w:rPr>
          <w:rStyle w:val="TextoNormalNegritaCaracter"/>
        </w:rPr>
        <w:t>Artículo 149.1.7.</w:t>
      </w:r>
      <w:r w:rsidRPr="00DA359F">
        <w:rPr>
          <w:rStyle w:val="TextoNormalCaracter"/>
        </w:rPr>
        <w:t>-</w:t>
      </w:r>
      <w:r>
        <w:t xml:space="preserve"> Sentencias </w:t>
      </w:r>
      <w:hyperlink w:anchor="SENTENCIA_2023_144" w:history="1">
        <w:r w:rsidRPr="00DA359F">
          <w:rPr>
            <w:rStyle w:val="TextoNormalCaracter"/>
          </w:rPr>
          <w:t>144/2023</w:t>
        </w:r>
      </w:hyperlink>
      <w:r>
        <w:t xml:space="preserve">, f. 1; </w:t>
      </w:r>
      <w:hyperlink w:anchor="SENTENCIA_2023_145" w:history="1">
        <w:r w:rsidRPr="00DA359F">
          <w:rPr>
            <w:rStyle w:val="TextoNormalCaracter"/>
          </w:rPr>
          <w:t>145/2023</w:t>
        </w:r>
      </w:hyperlink>
      <w:r>
        <w:t xml:space="preserve">, f. 4; </w:t>
      </w:r>
      <w:hyperlink w:anchor="SENTENCIA_2023_147" w:history="1">
        <w:r w:rsidRPr="00DA359F">
          <w:rPr>
            <w:rStyle w:val="TextoNormalCaracter"/>
          </w:rPr>
          <w:t>147/2023</w:t>
        </w:r>
      </w:hyperlink>
      <w:r>
        <w:t>, f. 1.</w:t>
      </w:r>
    </w:p>
    <w:p w14:paraId="5EE6E1F8" w14:textId="2A379AF5" w:rsidR="00DA359F" w:rsidRDefault="00DA359F" w:rsidP="00DA359F">
      <w:pPr>
        <w:pStyle w:val="SangriaFrancesaArticulo"/>
      </w:pPr>
      <w:r w:rsidRPr="00DA359F">
        <w:rPr>
          <w:rStyle w:val="TextoNormalNegritaCaracter"/>
        </w:rPr>
        <w:t>Artículo 149.1.8.</w:t>
      </w:r>
      <w:r w:rsidRPr="00DA359F">
        <w:rPr>
          <w:rStyle w:val="TextoNormalCaracter"/>
        </w:rPr>
        <w:t>-</w:t>
      </w:r>
      <w:r>
        <w:t xml:space="preserve"> Sentencias </w:t>
      </w:r>
      <w:hyperlink w:anchor="SENTENCIA_2023_146" w:history="1">
        <w:r w:rsidRPr="00DA359F">
          <w:rPr>
            <w:rStyle w:val="TextoNormalCaracter"/>
          </w:rPr>
          <w:t>146/2023</w:t>
        </w:r>
      </w:hyperlink>
      <w:r>
        <w:t xml:space="preserve">, f. 1; </w:t>
      </w:r>
      <w:hyperlink w:anchor="SENTENCIA_2023_168" w:history="1">
        <w:r w:rsidRPr="00DA359F">
          <w:rPr>
            <w:rStyle w:val="TextoNormalCaracter"/>
          </w:rPr>
          <w:t>168/2023</w:t>
        </w:r>
      </w:hyperlink>
      <w:r>
        <w:t>, f. 4.</w:t>
      </w:r>
    </w:p>
    <w:p w14:paraId="53F7FC0C" w14:textId="438D5CCD" w:rsidR="00DA359F" w:rsidRDefault="00DA359F" w:rsidP="00DA359F">
      <w:pPr>
        <w:pStyle w:val="SangriaIzquierdaArticulo"/>
      </w:pPr>
      <w:r>
        <w:t xml:space="preserve">Auto </w:t>
      </w:r>
      <w:hyperlink w:anchor="AUTO_2023_445" w:history="1">
        <w:r w:rsidRPr="00DA359F">
          <w:rPr>
            <w:rStyle w:val="TextoNormalCaracter"/>
          </w:rPr>
          <w:t>445/2023</w:t>
        </w:r>
      </w:hyperlink>
      <w:r>
        <w:t>, f. 1.</w:t>
      </w:r>
    </w:p>
    <w:p w14:paraId="2B0EC1CD" w14:textId="572AF85F" w:rsidR="00DA359F" w:rsidRDefault="00DA359F" w:rsidP="00DA359F">
      <w:pPr>
        <w:pStyle w:val="SangriaFrancesaArticulo"/>
      </w:pPr>
      <w:r w:rsidRPr="00DA359F">
        <w:rPr>
          <w:rStyle w:val="TextoNormalNegritaCaracter"/>
        </w:rPr>
        <w:t>Artículo 149.1.9.</w:t>
      </w:r>
      <w:r w:rsidRPr="00DA359F">
        <w:rPr>
          <w:rStyle w:val="TextoNormalCaracter"/>
        </w:rPr>
        <w:t>-</w:t>
      </w:r>
      <w:r>
        <w:t xml:space="preserve"> Sentencia </w:t>
      </w:r>
      <w:hyperlink w:anchor="SENTENCIA_2023_124" w:history="1">
        <w:r w:rsidRPr="00DA359F">
          <w:rPr>
            <w:rStyle w:val="TextoNormalCaracter"/>
          </w:rPr>
          <w:t>124/2023</w:t>
        </w:r>
      </w:hyperlink>
      <w:r>
        <w:t>, f. 5.</w:t>
      </w:r>
    </w:p>
    <w:p w14:paraId="6A19FEC9" w14:textId="5682970F" w:rsidR="00DA359F" w:rsidRDefault="00DA359F" w:rsidP="00DA359F">
      <w:pPr>
        <w:pStyle w:val="SangriaFrancesaArticulo"/>
      </w:pPr>
      <w:r w:rsidRPr="00DA359F">
        <w:rPr>
          <w:rStyle w:val="TextoNormalNegritaCaracter"/>
        </w:rPr>
        <w:t>Artículo 149.1.11.</w:t>
      </w:r>
      <w:r w:rsidRPr="00DA359F">
        <w:rPr>
          <w:rStyle w:val="TextoNormalCaracter"/>
        </w:rPr>
        <w:t>-</w:t>
      </w:r>
      <w:r>
        <w:t xml:space="preserve"> Sentencia </w:t>
      </w:r>
      <w:hyperlink w:anchor="SENTENCIA_2023_149" w:history="1">
        <w:r w:rsidRPr="00DA359F">
          <w:rPr>
            <w:rStyle w:val="TextoNormalCaracter"/>
          </w:rPr>
          <w:t>149/2023</w:t>
        </w:r>
      </w:hyperlink>
      <w:r>
        <w:t>, VP.</w:t>
      </w:r>
    </w:p>
    <w:p w14:paraId="57B09DC3" w14:textId="03F57888" w:rsidR="00DA359F" w:rsidRDefault="00DA359F" w:rsidP="00DA359F">
      <w:pPr>
        <w:pStyle w:val="SangriaFrancesaArticulo"/>
      </w:pPr>
      <w:r w:rsidRPr="00DA359F">
        <w:rPr>
          <w:rStyle w:val="TextoNormalNegritaCaracter"/>
        </w:rPr>
        <w:t>Artículo 149.1.13.</w:t>
      </w:r>
      <w:r w:rsidRPr="00DA359F">
        <w:rPr>
          <w:rStyle w:val="TextoNormalCaracter"/>
        </w:rPr>
        <w:t>-</w:t>
      </w:r>
      <w:r>
        <w:t xml:space="preserve"> Sentencias </w:t>
      </w:r>
      <w:hyperlink w:anchor="SENTENCIA_2023_127" w:history="1">
        <w:r w:rsidRPr="00DA359F">
          <w:rPr>
            <w:rStyle w:val="TextoNormalCaracter"/>
          </w:rPr>
          <w:t>127/2023</w:t>
        </w:r>
      </w:hyperlink>
      <w:r>
        <w:t xml:space="preserve">, f. 5, VP; </w:t>
      </w:r>
      <w:hyperlink w:anchor="SENTENCIA_2023_145" w:history="1">
        <w:r w:rsidRPr="00DA359F">
          <w:rPr>
            <w:rStyle w:val="TextoNormalCaracter"/>
          </w:rPr>
          <w:t>145/2023</w:t>
        </w:r>
      </w:hyperlink>
      <w:r>
        <w:t xml:space="preserve">, f. 4; </w:t>
      </w:r>
      <w:hyperlink w:anchor="SENTENCIA_2023_149" w:history="1">
        <w:r w:rsidRPr="00DA359F">
          <w:rPr>
            <w:rStyle w:val="TextoNormalCaracter"/>
          </w:rPr>
          <w:t>149/2023</w:t>
        </w:r>
      </w:hyperlink>
      <w:r>
        <w:t>, VP.</w:t>
      </w:r>
    </w:p>
    <w:p w14:paraId="6F4E4ACC" w14:textId="4661A4FB" w:rsidR="00DA359F" w:rsidRDefault="00DA359F" w:rsidP="00DA359F">
      <w:pPr>
        <w:pStyle w:val="SangriaIzquierdaArticulo"/>
      </w:pPr>
      <w:r>
        <w:t xml:space="preserve">Auto </w:t>
      </w:r>
      <w:hyperlink w:anchor="AUTO_2023_427" w:history="1">
        <w:r w:rsidRPr="00DA359F">
          <w:rPr>
            <w:rStyle w:val="TextoNormalCaracter"/>
          </w:rPr>
          <w:t>427/2023</w:t>
        </w:r>
      </w:hyperlink>
      <w:r>
        <w:t>, VP.</w:t>
      </w:r>
    </w:p>
    <w:p w14:paraId="58A17968" w14:textId="79186F43" w:rsidR="00DA359F" w:rsidRDefault="00DA359F" w:rsidP="00DA359F">
      <w:pPr>
        <w:pStyle w:val="SangriaFrancesaArticulo"/>
      </w:pPr>
      <w:r w:rsidRPr="00DA359F">
        <w:rPr>
          <w:rStyle w:val="TextoNormalNegritaCaracter"/>
        </w:rPr>
        <w:t>Artículo 149.1.14.</w:t>
      </w:r>
      <w:r w:rsidRPr="00DA359F">
        <w:rPr>
          <w:rStyle w:val="TextoNormalCaracter"/>
        </w:rPr>
        <w:t>-</w:t>
      </w:r>
      <w:r>
        <w:t xml:space="preserve"> Sentencias </w:t>
      </w:r>
      <w:hyperlink w:anchor="SENTENCIA_2023_124" w:history="1">
        <w:r w:rsidRPr="00DA359F">
          <w:rPr>
            <w:rStyle w:val="TextoNormalCaracter"/>
          </w:rPr>
          <w:t>124/2023</w:t>
        </w:r>
      </w:hyperlink>
      <w:r>
        <w:t xml:space="preserve">, f. 7; </w:t>
      </w:r>
      <w:hyperlink w:anchor="SENTENCIA_2023_149" w:history="1">
        <w:r w:rsidRPr="00DA359F">
          <w:rPr>
            <w:rStyle w:val="TextoNormalCaracter"/>
          </w:rPr>
          <w:t>149/2023</w:t>
        </w:r>
      </w:hyperlink>
      <w:r>
        <w:t xml:space="preserve">, ff. 1, 3, VP; </w:t>
      </w:r>
      <w:hyperlink w:anchor="SENTENCIA_2023_170" w:history="1">
        <w:r w:rsidRPr="00DA359F">
          <w:rPr>
            <w:rStyle w:val="TextoNormalCaracter"/>
          </w:rPr>
          <w:t>170/2023</w:t>
        </w:r>
      </w:hyperlink>
      <w:r>
        <w:t xml:space="preserve">, f. 2; </w:t>
      </w:r>
      <w:hyperlink w:anchor="SENTENCIA_2023_171" w:history="1">
        <w:r w:rsidRPr="00DA359F">
          <w:rPr>
            <w:rStyle w:val="TextoNormalCaracter"/>
          </w:rPr>
          <w:t>171/2023</w:t>
        </w:r>
      </w:hyperlink>
      <w:r>
        <w:t xml:space="preserve">, f. 2; </w:t>
      </w:r>
      <w:hyperlink w:anchor="SENTENCIA_2023_189" w:history="1">
        <w:r w:rsidRPr="00DA359F">
          <w:rPr>
            <w:rStyle w:val="TextoNormalCaracter"/>
          </w:rPr>
          <w:t>189/2023</w:t>
        </w:r>
      </w:hyperlink>
      <w:r>
        <w:t xml:space="preserve">, f. 2; </w:t>
      </w:r>
      <w:hyperlink w:anchor="SENTENCIA_2023_190" w:history="1">
        <w:r w:rsidRPr="00DA359F">
          <w:rPr>
            <w:rStyle w:val="TextoNormalCaracter"/>
          </w:rPr>
          <w:t>190/2023</w:t>
        </w:r>
      </w:hyperlink>
      <w:r>
        <w:t>, f. 2.</w:t>
      </w:r>
    </w:p>
    <w:p w14:paraId="62DED3D4" w14:textId="472DE79B" w:rsidR="00DA359F" w:rsidRDefault="00DA359F" w:rsidP="00DA359F">
      <w:pPr>
        <w:pStyle w:val="SangriaFrancesaArticulo"/>
      </w:pPr>
      <w:r w:rsidRPr="00DA359F">
        <w:rPr>
          <w:rStyle w:val="TextoNormalNegritaCaracter"/>
        </w:rPr>
        <w:t>Artículo 149.1.16.</w:t>
      </w:r>
      <w:r w:rsidRPr="00DA359F">
        <w:rPr>
          <w:rStyle w:val="TextoNormalCaracter"/>
        </w:rPr>
        <w:t>-</w:t>
      </w:r>
      <w:r>
        <w:t xml:space="preserve"> Sentencia </w:t>
      </w:r>
      <w:hyperlink w:anchor="SENTENCIA_2023_94" w:history="1">
        <w:r w:rsidRPr="00DA359F">
          <w:rPr>
            <w:rStyle w:val="TextoNormalCaracter"/>
          </w:rPr>
          <w:t>94/2023</w:t>
        </w:r>
      </w:hyperlink>
      <w:r>
        <w:t>, f. 4.</w:t>
      </w:r>
    </w:p>
    <w:p w14:paraId="0A43918F" w14:textId="65BAAF01" w:rsidR="00DA359F" w:rsidRDefault="00DA359F" w:rsidP="00DA359F">
      <w:pPr>
        <w:pStyle w:val="SangriaFrancesaArticulo"/>
      </w:pPr>
      <w:r w:rsidRPr="00DA359F">
        <w:rPr>
          <w:rStyle w:val="TextoNormalNegritaCaracter"/>
        </w:rPr>
        <w:t>Artículo 149.1.18.</w:t>
      </w:r>
      <w:r w:rsidRPr="00DA359F">
        <w:rPr>
          <w:rStyle w:val="TextoNormalCaracter"/>
        </w:rPr>
        <w:t>-</w:t>
      </w:r>
      <w:r>
        <w:t xml:space="preserve"> Sentencias </w:t>
      </w:r>
      <w:hyperlink w:anchor="SENTENCIA_2023_124" w:history="1">
        <w:r w:rsidRPr="00DA359F">
          <w:rPr>
            <w:rStyle w:val="TextoNormalCaracter"/>
          </w:rPr>
          <w:t>124/2023</w:t>
        </w:r>
      </w:hyperlink>
      <w:r>
        <w:t xml:space="preserve">, ff. 4, 5; </w:t>
      </w:r>
      <w:hyperlink w:anchor="SENTENCIA_2023_126" w:history="1">
        <w:r w:rsidRPr="00DA359F">
          <w:rPr>
            <w:rStyle w:val="TextoNormalCaracter"/>
          </w:rPr>
          <w:t>126/2023</w:t>
        </w:r>
      </w:hyperlink>
      <w:r>
        <w:t xml:space="preserve">, ff. 1, 5; </w:t>
      </w:r>
      <w:hyperlink w:anchor="SENTENCIA_2023_145" w:history="1">
        <w:r w:rsidRPr="00DA359F">
          <w:rPr>
            <w:rStyle w:val="TextoNormalCaracter"/>
          </w:rPr>
          <w:t>145/2023</w:t>
        </w:r>
      </w:hyperlink>
      <w:r>
        <w:t xml:space="preserve">, f. 4; </w:t>
      </w:r>
      <w:hyperlink w:anchor="SENTENCIA_2023_168" w:history="1">
        <w:r w:rsidRPr="00DA359F">
          <w:rPr>
            <w:rStyle w:val="TextoNormalCaracter"/>
          </w:rPr>
          <w:t>168/2023</w:t>
        </w:r>
      </w:hyperlink>
      <w:r>
        <w:t>, f. 4.</w:t>
      </w:r>
    </w:p>
    <w:p w14:paraId="6E90A6A3" w14:textId="1E3714EE" w:rsidR="00DA359F" w:rsidRDefault="00DA359F" w:rsidP="00DA359F">
      <w:pPr>
        <w:pStyle w:val="SangriaIzquierdaArticulo"/>
      </w:pPr>
      <w:r>
        <w:t xml:space="preserve">Auto </w:t>
      </w:r>
      <w:hyperlink w:anchor="AUTO_2023_604" w:history="1">
        <w:r w:rsidRPr="00DA359F">
          <w:rPr>
            <w:rStyle w:val="TextoNormalCaracter"/>
          </w:rPr>
          <w:t>604/2023</w:t>
        </w:r>
      </w:hyperlink>
      <w:r>
        <w:t>, f. 1.</w:t>
      </w:r>
    </w:p>
    <w:p w14:paraId="7DBF994E" w14:textId="4DE1D38A" w:rsidR="00DA359F" w:rsidRDefault="00DA359F" w:rsidP="00DA359F">
      <w:pPr>
        <w:pStyle w:val="SangriaFrancesaArticulo"/>
      </w:pPr>
      <w:r w:rsidRPr="00DA359F">
        <w:rPr>
          <w:rStyle w:val="TextoNormalNegritaCaracter"/>
        </w:rPr>
        <w:t>Artículo 149.1.20.</w:t>
      </w:r>
      <w:r w:rsidRPr="00DA359F">
        <w:rPr>
          <w:rStyle w:val="TextoNormalCaracter"/>
        </w:rPr>
        <w:t>-</w:t>
      </w:r>
      <w:r>
        <w:t xml:space="preserve"> Sentencia </w:t>
      </w:r>
      <w:hyperlink w:anchor="SENTENCIA_2023_124" w:history="1">
        <w:r w:rsidRPr="00DA359F">
          <w:rPr>
            <w:rStyle w:val="TextoNormalCaracter"/>
          </w:rPr>
          <w:t>124/2023</w:t>
        </w:r>
      </w:hyperlink>
      <w:r>
        <w:t>, f. 5.</w:t>
      </w:r>
    </w:p>
    <w:p w14:paraId="6CD66B79" w14:textId="6A99E5F4" w:rsidR="00DA359F" w:rsidRDefault="00DA359F" w:rsidP="00DA359F">
      <w:pPr>
        <w:pStyle w:val="SangriaFrancesaArticulo"/>
      </w:pPr>
      <w:r w:rsidRPr="00DA359F">
        <w:rPr>
          <w:rStyle w:val="TextoNormalNegritaCaracter"/>
        </w:rPr>
        <w:t>Artículo 149.1.21.</w:t>
      </w:r>
      <w:r w:rsidRPr="00DA359F">
        <w:rPr>
          <w:rStyle w:val="TextoNormalCaracter"/>
        </w:rPr>
        <w:t>-</w:t>
      </w:r>
      <w:r>
        <w:t xml:space="preserve"> Sentencia </w:t>
      </w:r>
      <w:hyperlink w:anchor="SENTENCIA_2023_89" w:history="1">
        <w:r w:rsidRPr="00DA359F">
          <w:rPr>
            <w:rStyle w:val="TextoNormalCaracter"/>
          </w:rPr>
          <w:t>89/2023</w:t>
        </w:r>
      </w:hyperlink>
      <w:r>
        <w:t>, f. 4.</w:t>
      </w:r>
    </w:p>
    <w:p w14:paraId="2EC8DD1E" w14:textId="1D70B511" w:rsidR="00DA359F" w:rsidRDefault="00DA359F" w:rsidP="00DA359F">
      <w:pPr>
        <w:pStyle w:val="SangriaFrancesaArticulo"/>
      </w:pPr>
      <w:r w:rsidRPr="00DA359F">
        <w:rPr>
          <w:rStyle w:val="TextoNormalNegritaCaracter"/>
        </w:rPr>
        <w:t>Artículo 149.1.22.</w:t>
      </w:r>
      <w:r w:rsidRPr="00DA359F">
        <w:rPr>
          <w:rStyle w:val="TextoNormalCaracter"/>
        </w:rPr>
        <w:t>-</w:t>
      </w:r>
      <w:r>
        <w:t xml:space="preserve"> Sentencia </w:t>
      </w:r>
      <w:hyperlink w:anchor="SENTENCIA_2023_126" w:history="1">
        <w:r w:rsidRPr="00DA359F">
          <w:rPr>
            <w:rStyle w:val="TextoNormalCaracter"/>
          </w:rPr>
          <w:t>126/2023</w:t>
        </w:r>
      </w:hyperlink>
      <w:r>
        <w:t>, ff. 1, 5.</w:t>
      </w:r>
    </w:p>
    <w:p w14:paraId="6417AB8B" w14:textId="75025598" w:rsidR="00DA359F" w:rsidRDefault="00DA359F" w:rsidP="00DA359F">
      <w:pPr>
        <w:pStyle w:val="SangriaFrancesaArticulo"/>
      </w:pPr>
      <w:r w:rsidRPr="00DA359F">
        <w:rPr>
          <w:rStyle w:val="TextoNormalNegritaCaracter"/>
        </w:rPr>
        <w:t>Artículo 149.1.23.</w:t>
      </w:r>
      <w:r w:rsidRPr="00DA359F">
        <w:rPr>
          <w:rStyle w:val="TextoNormalCaracter"/>
        </w:rPr>
        <w:t>-</w:t>
      </w:r>
      <w:r>
        <w:t xml:space="preserve"> Sentencia </w:t>
      </w:r>
      <w:hyperlink w:anchor="SENTENCIA_2023_145" w:history="1">
        <w:r w:rsidRPr="00DA359F">
          <w:rPr>
            <w:rStyle w:val="TextoNormalCaracter"/>
          </w:rPr>
          <w:t>145/2023</w:t>
        </w:r>
      </w:hyperlink>
      <w:r>
        <w:t>, f. 4.</w:t>
      </w:r>
    </w:p>
    <w:p w14:paraId="4127A75C" w14:textId="39E7FDAD" w:rsidR="00DA359F" w:rsidRDefault="00DA359F" w:rsidP="00DA359F">
      <w:pPr>
        <w:pStyle w:val="SangriaFrancesaArticulo"/>
      </w:pPr>
      <w:r w:rsidRPr="00DA359F">
        <w:rPr>
          <w:rStyle w:val="TextoNormalNegritaCaracter"/>
        </w:rPr>
        <w:t>Artículo 149.1.25.</w:t>
      </w:r>
      <w:r w:rsidRPr="00DA359F">
        <w:rPr>
          <w:rStyle w:val="TextoNormalCaracter"/>
        </w:rPr>
        <w:t>-</w:t>
      </w:r>
      <w:r>
        <w:t xml:space="preserve"> Sentencias </w:t>
      </w:r>
      <w:hyperlink w:anchor="SENTENCIA_2023_127" w:history="1">
        <w:r w:rsidRPr="00DA359F">
          <w:rPr>
            <w:rStyle w:val="TextoNormalCaracter"/>
          </w:rPr>
          <w:t>127/2023</w:t>
        </w:r>
      </w:hyperlink>
      <w:r>
        <w:t xml:space="preserve">, ff. 1 a 4, VP; </w:t>
      </w:r>
      <w:hyperlink w:anchor="SENTENCIA_2023_149" w:history="1">
        <w:r w:rsidRPr="00DA359F">
          <w:rPr>
            <w:rStyle w:val="TextoNormalCaracter"/>
          </w:rPr>
          <w:t>149/2023</w:t>
        </w:r>
      </w:hyperlink>
      <w:r>
        <w:t>, VP.</w:t>
      </w:r>
    </w:p>
    <w:p w14:paraId="12DD9433" w14:textId="4D04123E" w:rsidR="00DA359F" w:rsidRDefault="00DA359F" w:rsidP="00DA359F">
      <w:pPr>
        <w:pStyle w:val="SangriaFrancesaArticulo"/>
      </w:pPr>
      <w:r w:rsidRPr="00DA359F">
        <w:rPr>
          <w:rStyle w:val="TextoNormalNegritaCaracter"/>
        </w:rPr>
        <w:t>Artículo 149.3.</w:t>
      </w:r>
      <w:r w:rsidRPr="00DA359F">
        <w:rPr>
          <w:rStyle w:val="TextoNormalCaracter"/>
        </w:rPr>
        <w:t>-</w:t>
      </w:r>
      <w:r>
        <w:t xml:space="preserve"> Sentencia </w:t>
      </w:r>
      <w:hyperlink w:anchor="SENTENCIA_2023_149" w:history="1">
        <w:r w:rsidRPr="00DA359F">
          <w:rPr>
            <w:rStyle w:val="TextoNormalCaracter"/>
          </w:rPr>
          <w:t>149/2023</w:t>
        </w:r>
      </w:hyperlink>
      <w:r>
        <w:t>, VP.</w:t>
      </w:r>
    </w:p>
    <w:p w14:paraId="61F6FDA0" w14:textId="1461BF45" w:rsidR="00DA359F" w:rsidRDefault="00DA359F" w:rsidP="00DA359F">
      <w:pPr>
        <w:pStyle w:val="SangriaFrancesaArticulo"/>
      </w:pPr>
      <w:r w:rsidRPr="00DA359F">
        <w:rPr>
          <w:rStyle w:val="TextoNormalNegritaCaracter"/>
        </w:rPr>
        <w:t>Artículo 150.</w:t>
      </w:r>
      <w:r w:rsidRPr="00DA359F">
        <w:rPr>
          <w:rStyle w:val="TextoNormalCaracter"/>
        </w:rPr>
        <w:t>-</w:t>
      </w:r>
      <w:r>
        <w:t xml:space="preserve"> Sentencia </w:t>
      </w:r>
      <w:hyperlink w:anchor="SENTENCIA_2023_171" w:history="1">
        <w:r w:rsidRPr="00DA359F">
          <w:rPr>
            <w:rStyle w:val="TextoNormalCaracter"/>
          </w:rPr>
          <w:t>171/2023</w:t>
        </w:r>
      </w:hyperlink>
      <w:r>
        <w:t>, f. 2.</w:t>
      </w:r>
    </w:p>
    <w:p w14:paraId="29895BBE" w14:textId="6B6B8260" w:rsidR="00DA359F" w:rsidRDefault="00DA359F" w:rsidP="00DA359F">
      <w:pPr>
        <w:pStyle w:val="SangriaFrancesaArticulo"/>
      </w:pPr>
      <w:r w:rsidRPr="00DA359F">
        <w:rPr>
          <w:rStyle w:val="TextoNormalNegritaCaracter"/>
        </w:rPr>
        <w:t>Artículo 150.1.</w:t>
      </w:r>
      <w:r w:rsidRPr="00DA359F">
        <w:rPr>
          <w:rStyle w:val="TextoNormalCaracter"/>
        </w:rPr>
        <w:t>-</w:t>
      </w:r>
      <w:r>
        <w:t xml:space="preserve"> Sentencias </w:t>
      </w:r>
      <w:hyperlink w:anchor="SENTENCIA_2023_145" w:history="1">
        <w:r w:rsidRPr="00DA359F">
          <w:rPr>
            <w:rStyle w:val="TextoNormalCaracter"/>
          </w:rPr>
          <w:t>145/2023</w:t>
        </w:r>
      </w:hyperlink>
      <w:r>
        <w:t xml:space="preserve">, f. 4; </w:t>
      </w:r>
      <w:hyperlink w:anchor="SENTENCIA_2023_149" w:history="1">
        <w:r w:rsidRPr="00DA359F">
          <w:rPr>
            <w:rStyle w:val="TextoNormalCaracter"/>
          </w:rPr>
          <w:t>149/2023</w:t>
        </w:r>
      </w:hyperlink>
      <w:r>
        <w:t>, VP.</w:t>
      </w:r>
    </w:p>
    <w:p w14:paraId="620B8AE8" w14:textId="4850069F" w:rsidR="00DA359F" w:rsidRDefault="00DA359F" w:rsidP="00DA359F">
      <w:pPr>
        <w:pStyle w:val="SangriaFrancesaArticulo"/>
      </w:pPr>
      <w:r w:rsidRPr="00DA359F">
        <w:rPr>
          <w:rStyle w:val="TextoNormalNegritaCaracter"/>
        </w:rPr>
        <w:t>Artículo 150.2.</w:t>
      </w:r>
      <w:r w:rsidRPr="00DA359F">
        <w:rPr>
          <w:rStyle w:val="TextoNormalCaracter"/>
        </w:rPr>
        <w:t>-</w:t>
      </w:r>
      <w:r>
        <w:t xml:space="preserve"> Sentencia </w:t>
      </w:r>
      <w:hyperlink w:anchor="SENTENCIA_2023_145" w:history="1">
        <w:r w:rsidRPr="00DA359F">
          <w:rPr>
            <w:rStyle w:val="TextoNormalCaracter"/>
          </w:rPr>
          <w:t>145/2023</w:t>
        </w:r>
      </w:hyperlink>
      <w:r>
        <w:t>, f. 4.</w:t>
      </w:r>
    </w:p>
    <w:p w14:paraId="3F547C81" w14:textId="2D6378B7" w:rsidR="00DA359F" w:rsidRDefault="00DA359F" w:rsidP="00DA359F">
      <w:pPr>
        <w:pStyle w:val="SangriaFrancesaArticulo"/>
      </w:pPr>
      <w:r w:rsidRPr="00DA359F">
        <w:rPr>
          <w:rStyle w:val="TextoNormalNegritaCaracter"/>
        </w:rPr>
        <w:t>Artículo 150.3.</w:t>
      </w:r>
      <w:r w:rsidRPr="00DA359F">
        <w:rPr>
          <w:rStyle w:val="TextoNormalCaracter"/>
        </w:rPr>
        <w:t>-</w:t>
      </w:r>
      <w:r>
        <w:t xml:space="preserve"> Sentencias </w:t>
      </w:r>
      <w:hyperlink w:anchor="SENTENCIA_2023_145" w:history="1">
        <w:r w:rsidRPr="00DA359F">
          <w:rPr>
            <w:rStyle w:val="TextoNormalCaracter"/>
          </w:rPr>
          <w:t>145/2023</w:t>
        </w:r>
      </w:hyperlink>
      <w:r>
        <w:t xml:space="preserve">, f. 4; </w:t>
      </w:r>
      <w:hyperlink w:anchor="SENTENCIA_2023_149" w:history="1">
        <w:r w:rsidRPr="00DA359F">
          <w:rPr>
            <w:rStyle w:val="TextoNormalCaracter"/>
          </w:rPr>
          <w:t>149/2023</w:t>
        </w:r>
      </w:hyperlink>
      <w:r>
        <w:t>, VP.</w:t>
      </w:r>
    </w:p>
    <w:p w14:paraId="0C85390C" w14:textId="5321CF92" w:rsidR="00DA359F" w:rsidRDefault="00DA359F" w:rsidP="00DA359F">
      <w:pPr>
        <w:pStyle w:val="SangriaFrancesaArticulo"/>
      </w:pPr>
      <w:r w:rsidRPr="00DA359F">
        <w:rPr>
          <w:rStyle w:val="TextoNormalNegritaCaracter"/>
        </w:rPr>
        <w:t>Artículo 152.1.</w:t>
      </w:r>
      <w:r w:rsidRPr="00DA359F">
        <w:rPr>
          <w:rStyle w:val="TextoNormalCaracter"/>
        </w:rPr>
        <w:t>-</w:t>
      </w:r>
      <w:r>
        <w:t xml:space="preserve"> Sentencia </w:t>
      </w:r>
      <w:hyperlink w:anchor="SENTENCIA_2023_189" w:history="1">
        <w:r w:rsidRPr="00DA359F">
          <w:rPr>
            <w:rStyle w:val="TextoNormalCaracter"/>
          </w:rPr>
          <w:t>189/2023</w:t>
        </w:r>
      </w:hyperlink>
      <w:r>
        <w:t>, ff. 1, 2.</w:t>
      </w:r>
    </w:p>
    <w:p w14:paraId="5A476F80" w14:textId="0151385E" w:rsidR="00DA359F" w:rsidRDefault="00DA359F" w:rsidP="00DA359F">
      <w:pPr>
        <w:pStyle w:val="SangriaFrancesaArticulo"/>
      </w:pPr>
      <w:r w:rsidRPr="00DA359F">
        <w:rPr>
          <w:rStyle w:val="TextoNormalNegritaCaracter"/>
        </w:rPr>
        <w:t>Artículo 156.</w:t>
      </w:r>
      <w:r w:rsidRPr="00DA359F">
        <w:rPr>
          <w:rStyle w:val="TextoNormalCaracter"/>
        </w:rPr>
        <w:t>-</w:t>
      </w:r>
      <w:r>
        <w:t xml:space="preserve"> Sentencias </w:t>
      </w:r>
      <w:hyperlink w:anchor="SENTENCIA_2023_149" w:history="1">
        <w:r w:rsidRPr="00DA359F">
          <w:rPr>
            <w:rStyle w:val="TextoNormalCaracter"/>
          </w:rPr>
          <w:t>149/2023</w:t>
        </w:r>
      </w:hyperlink>
      <w:r>
        <w:t xml:space="preserve">, VP; </w:t>
      </w:r>
      <w:hyperlink w:anchor="SENTENCIA_2023_190" w:history="1">
        <w:r w:rsidRPr="00DA359F">
          <w:rPr>
            <w:rStyle w:val="TextoNormalCaracter"/>
          </w:rPr>
          <w:t>190/2023</w:t>
        </w:r>
      </w:hyperlink>
      <w:r>
        <w:t>, f. 1.</w:t>
      </w:r>
    </w:p>
    <w:p w14:paraId="393096F9" w14:textId="675C7735" w:rsidR="00DA359F" w:rsidRDefault="00DA359F" w:rsidP="00DA359F">
      <w:pPr>
        <w:pStyle w:val="SangriaFrancesaArticulo"/>
      </w:pPr>
      <w:r w:rsidRPr="00DA359F">
        <w:rPr>
          <w:rStyle w:val="TextoNormalNegritaCaracter"/>
        </w:rPr>
        <w:t>Artículo 156.1.</w:t>
      </w:r>
      <w:r w:rsidRPr="00DA359F">
        <w:rPr>
          <w:rStyle w:val="TextoNormalCaracter"/>
        </w:rPr>
        <w:t>-</w:t>
      </w:r>
      <w:r>
        <w:t xml:space="preserve"> Sentencias </w:t>
      </w:r>
      <w:hyperlink w:anchor="SENTENCIA_2023_149" w:history="1">
        <w:r w:rsidRPr="00DA359F">
          <w:rPr>
            <w:rStyle w:val="TextoNormalCaracter"/>
          </w:rPr>
          <w:t>149/2023</w:t>
        </w:r>
      </w:hyperlink>
      <w:r>
        <w:t xml:space="preserve">, ff. 1, 3, VP; </w:t>
      </w:r>
      <w:hyperlink w:anchor="SENTENCIA_2023_170" w:history="1">
        <w:r w:rsidRPr="00DA359F">
          <w:rPr>
            <w:rStyle w:val="TextoNormalCaracter"/>
          </w:rPr>
          <w:t>170/2023</w:t>
        </w:r>
      </w:hyperlink>
      <w:r>
        <w:t xml:space="preserve">, ff. 1, 2, VP; </w:t>
      </w:r>
      <w:hyperlink w:anchor="SENTENCIA_2023_171" w:history="1">
        <w:r w:rsidRPr="00DA359F">
          <w:rPr>
            <w:rStyle w:val="TextoNormalCaracter"/>
          </w:rPr>
          <w:t>171/2023</w:t>
        </w:r>
      </w:hyperlink>
      <w:r>
        <w:t xml:space="preserve">, ff. 1, 2, VP; </w:t>
      </w:r>
      <w:hyperlink w:anchor="SENTENCIA_2023_189" w:history="1">
        <w:r w:rsidRPr="00DA359F">
          <w:rPr>
            <w:rStyle w:val="TextoNormalCaracter"/>
          </w:rPr>
          <w:t>189/2023</w:t>
        </w:r>
      </w:hyperlink>
      <w:r>
        <w:t xml:space="preserve">, ff. 1, 2, VP; </w:t>
      </w:r>
      <w:hyperlink w:anchor="SENTENCIA_2023_190" w:history="1">
        <w:r w:rsidRPr="00DA359F">
          <w:rPr>
            <w:rStyle w:val="TextoNormalCaracter"/>
          </w:rPr>
          <w:t>190/2023</w:t>
        </w:r>
      </w:hyperlink>
      <w:r>
        <w:t>, f. 2, VP.</w:t>
      </w:r>
    </w:p>
    <w:p w14:paraId="4567443F" w14:textId="630D073E" w:rsidR="00DA359F" w:rsidRDefault="00DA359F" w:rsidP="00DA359F">
      <w:pPr>
        <w:pStyle w:val="SangriaFrancesaArticulo"/>
      </w:pPr>
      <w:r w:rsidRPr="00DA359F">
        <w:rPr>
          <w:rStyle w:val="TextoNormalNegritaCaracter"/>
        </w:rPr>
        <w:t>Artículo 157.</w:t>
      </w:r>
      <w:r w:rsidRPr="00DA359F">
        <w:rPr>
          <w:rStyle w:val="TextoNormalCaracter"/>
        </w:rPr>
        <w:t>-</w:t>
      </w:r>
      <w:r>
        <w:t xml:space="preserve"> Sentencias </w:t>
      </w:r>
      <w:hyperlink w:anchor="SENTENCIA_2023_149" w:history="1">
        <w:r w:rsidRPr="00DA359F">
          <w:rPr>
            <w:rStyle w:val="TextoNormalCaracter"/>
          </w:rPr>
          <w:t>149/2023</w:t>
        </w:r>
      </w:hyperlink>
      <w:r>
        <w:t xml:space="preserve">, VP; </w:t>
      </w:r>
      <w:hyperlink w:anchor="SENTENCIA_2023_190" w:history="1">
        <w:r w:rsidRPr="00DA359F">
          <w:rPr>
            <w:rStyle w:val="TextoNormalCaracter"/>
          </w:rPr>
          <w:t>190/2023</w:t>
        </w:r>
      </w:hyperlink>
      <w:r>
        <w:t>, f. 1.</w:t>
      </w:r>
    </w:p>
    <w:p w14:paraId="14569961" w14:textId="32F3EA7C" w:rsidR="00DA359F" w:rsidRDefault="00DA359F" w:rsidP="00DA359F">
      <w:pPr>
        <w:pStyle w:val="SangriaFrancesaArticulo"/>
      </w:pPr>
      <w:r w:rsidRPr="00DA359F">
        <w:rPr>
          <w:rStyle w:val="TextoNormalNegritaCaracter"/>
        </w:rPr>
        <w:t>Artículo 157.1.</w:t>
      </w:r>
      <w:r w:rsidRPr="00DA359F">
        <w:rPr>
          <w:rStyle w:val="TextoNormalCaracter"/>
        </w:rPr>
        <w:t>-</w:t>
      </w:r>
      <w:r>
        <w:t xml:space="preserve"> Sentencia </w:t>
      </w:r>
      <w:hyperlink w:anchor="SENTENCIA_2023_149" w:history="1">
        <w:r w:rsidRPr="00DA359F">
          <w:rPr>
            <w:rStyle w:val="TextoNormalCaracter"/>
          </w:rPr>
          <w:t>149/2023</w:t>
        </w:r>
      </w:hyperlink>
      <w:r>
        <w:t>, VP.</w:t>
      </w:r>
    </w:p>
    <w:p w14:paraId="21399AB1" w14:textId="660E3DCC" w:rsidR="00DA359F" w:rsidRDefault="00DA359F" w:rsidP="00DA359F">
      <w:pPr>
        <w:pStyle w:val="SangriaFrancesaArticulo"/>
      </w:pPr>
      <w:r w:rsidRPr="00DA359F">
        <w:rPr>
          <w:rStyle w:val="TextoNormalNegritaCaracter"/>
        </w:rPr>
        <w:t>Artículo 157.1 a).</w:t>
      </w:r>
      <w:r w:rsidRPr="00DA359F">
        <w:rPr>
          <w:rStyle w:val="TextoNormalCaracter"/>
        </w:rPr>
        <w:t>-</w:t>
      </w:r>
      <w:r>
        <w:t xml:space="preserve"> Sentencias </w:t>
      </w:r>
      <w:hyperlink w:anchor="SENTENCIA_2023_149" w:history="1">
        <w:r w:rsidRPr="00DA359F">
          <w:rPr>
            <w:rStyle w:val="TextoNormalCaracter"/>
          </w:rPr>
          <w:t>149/2023</w:t>
        </w:r>
      </w:hyperlink>
      <w:r>
        <w:t xml:space="preserve">, VP; </w:t>
      </w:r>
      <w:hyperlink w:anchor="SENTENCIA_2023_189" w:history="1">
        <w:r w:rsidRPr="00DA359F">
          <w:rPr>
            <w:rStyle w:val="TextoNormalCaracter"/>
          </w:rPr>
          <w:t>189/2023</w:t>
        </w:r>
      </w:hyperlink>
      <w:r>
        <w:t>, ff. 1, 2.</w:t>
      </w:r>
    </w:p>
    <w:p w14:paraId="73D47523" w14:textId="7D684656" w:rsidR="00DA359F" w:rsidRDefault="00DA359F" w:rsidP="00DA359F">
      <w:pPr>
        <w:pStyle w:val="SangriaFrancesaArticulo"/>
      </w:pPr>
      <w:r w:rsidRPr="00DA359F">
        <w:rPr>
          <w:rStyle w:val="TextoNormalNegritaCaracter"/>
        </w:rPr>
        <w:t>Artículo 157.2.</w:t>
      </w:r>
      <w:r w:rsidRPr="00DA359F">
        <w:rPr>
          <w:rStyle w:val="TextoNormalCaracter"/>
        </w:rPr>
        <w:t>-</w:t>
      </w:r>
      <w:r>
        <w:t xml:space="preserve"> Sentencia </w:t>
      </w:r>
      <w:hyperlink w:anchor="SENTENCIA_2023_149" w:history="1">
        <w:r w:rsidRPr="00DA359F">
          <w:rPr>
            <w:rStyle w:val="TextoNormalCaracter"/>
          </w:rPr>
          <w:t>149/2023</w:t>
        </w:r>
      </w:hyperlink>
      <w:r>
        <w:t>, VP.</w:t>
      </w:r>
    </w:p>
    <w:p w14:paraId="12D5EB5A" w14:textId="669944CE" w:rsidR="00DA359F" w:rsidRDefault="00DA359F" w:rsidP="00DA359F">
      <w:pPr>
        <w:pStyle w:val="SangriaFrancesaArticulo"/>
      </w:pPr>
      <w:r w:rsidRPr="00DA359F">
        <w:rPr>
          <w:rStyle w:val="TextoNormalNegritaCaracter"/>
        </w:rPr>
        <w:t>Artículo 157.3.</w:t>
      </w:r>
      <w:r w:rsidRPr="00DA359F">
        <w:rPr>
          <w:rStyle w:val="TextoNormalCaracter"/>
        </w:rPr>
        <w:t>-</w:t>
      </w:r>
      <w:r>
        <w:t xml:space="preserve"> Sentencias </w:t>
      </w:r>
      <w:hyperlink w:anchor="SENTENCIA_2023_149" w:history="1">
        <w:r w:rsidRPr="00DA359F">
          <w:rPr>
            <w:rStyle w:val="TextoNormalCaracter"/>
          </w:rPr>
          <w:t>149/2023</w:t>
        </w:r>
      </w:hyperlink>
      <w:r>
        <w:t xml:space="preserve">, ff. 1, 3, VP; </w:t>
      </w:r>
      <w:hyperlink w:anchor="SENTENCIA_2023_170" w:history="1">
        <w:r w:rsidRPr="00DA359F">
          <w:rPr>
            <w:rStyle w:val="TextoNormalCaracter"/>
          </w:rPr>
          <w:t>170/2023</w:t>
        </w:r>
      </w:hyperlink>
      <w:r>
        <w:t xml:space="preserve">, ff. 1, 2, VP; </w:t>
      </w:r>
      <w:hyperlink w:anchor="SENTENCIA_2023_171" w:history="1">
        <w:r w:rsidRPr="00DA359F">
          <w:rPr>
            <w:rStyle w:val="TextoNormalCaracter"/>
          </w:rPr>
          <w:t>171/2023</w:t>
        </w:r>
      </w:hyperlink>
      <w:r>
        <w:t xml:space="preserve">, ff. 1, 2, VP; </w:t>
      </w:r>
      <w:hyperlink w:anchor="SENTENCIA_2023_189" w:history="1">
        <w:r w:rsidRPr="00DA359F">
          <w:rPr>
            <w:rStyle w:val="TextoNormalCaracter"/>
          </w:rPr>
          <w:t>189/2023</w:t>
        </w:r>
      </w:hyperlink>
      <w:r>
        <w:t xml:space="preserve">, ff. 1, 2, VP; </w:t>
      </w:r>
      <w:hyperlink w:anchor="SENTENCIA_2023_190" w:history="1">
        <w:r w:rsidRPr="00DA359F">
          <w:rPr>
            <w:rStyle w:val="TextoNormalCaracter"/>
          </w:rPr>
          <w:t>190/2023</w:t>
        </w:r>
      </w:hyperlink>
      <w:r>
        <w:t>, f. 2, VP.</w:t>
      </w:r>
    </w:p>
    <w:p w14:paraId="6A5383E1" w14:textId="4BB0E079" w:rsidR="00DA359F" w:rsidRDefault="00DA359F" w:rsidP="00DA359F">
      <w:pPr>
        <w:pStyle w:val="SangriaFrancesaArticulo"/>
      </w:pPr>
      <w:r w:rsidRPr="00DA359F">
        <w:rPr>
          <w:rStyle w:val="TextoNormalNegritaCaracter"/>
        </w:rPr>
        <w:t>Artículo 159.</w:t>
      </w:r>
      <w:r w:rsidRPr="00DA359F">
        <w:rPr>
          <w:rStyle w:val="TextoNormalCaracter"/>
        </w:rPr>
        <w:t>-</w:t>
      </w:r>
      <w:r>
        <w:t xml:space="preserve"> Auto </w:t>
      </w:r>
      <w:hyperlink w:anchor="AUTO_2023_489" w:history="1">
        <w:r w:rsidRPr="00DA359F">
          <w:rPr>
            <w:rStyle w:val="TextoNormalCaracter"/>
          </w:rPr>
          <w:t>489/2023</w:t>
        </w:r>
      </w:hyperlink>
      <w:r>
        <w:t>, f. 2.</w:t>
      </w:r>
    </w:p>
    <w:p w14:paraId="7AABDB4D" w14:textId="44EE1BBC" w:rsidR="00DA359F" w:rsidRDefault="00DA359F" w:rsidP="00DA359F">
      <w:pPr>
        <w:pStyle w:val="SangriaFrancesaArticulo"/>
      </w:pPr>
      <w:r w:rsidRPr="00DA359F">
        <w:rPr>
          <w:rStyle w:val="TextoNormalNegritaCaracter"/>
        </w:rPr>
        <w:t>Artículo 159.1.</w:t>
      </w:r>
      <w:r w:rsidRPr="00DA359F">
        <w:rPr>
          <w:rStyle w:val="TextoNormalCaracter"/>
        </w:rPr>
        <w:t>-</w:t>
      </w:r>
      <w:r>
        <w:t xml:space="preserve"> Sentencia </w:t>
      </w:r>
      <w:hyperlink w:anchor="SENTENCIA_2023_128" w:history="1">
        <w:r w:rsidRPr="00DA359F">
          <w:rPr>
            <w:rStyle w:val="TextoNormalCaracter"/>
          </w:rPr>
          <w:t>128/2023</w:t>
        </w:r>
      </w:hyperlink>
      <w:r>
        <w:t>, ff. 1, 2, VP.</w:t>
      </w:r>
    </w:p>
    <w:p w14:paraId="1B3F6CE1" w14:textId="5F9C4F4B" w:rsidR="00DA359F" w:rsidRDefault="00DA359F" w:rsidP="00DA359F">
      <w:pPr>
        <w:pStyle w:val="SangriaFrancesaArticulo"/>
      </w:pPr>
      <w:r w:rsidRPr="00DA359F">
        <w:rPr>
          <w:rStyle w:val="TextoNormalNegritaCaracter"/>
        </w:rPr>
        <w:t>Artículo 159.2.</w:t>
      </w:r>
      <w:r w:rsidRPr="00DA359F">
        <w:rPr>
          <w:rStyle w:val="TextoNormalCaracter"/>
        </w:rPr>
        <w:t>-</w:t>
      </w:r>
      <w:r>
        <w:t xml:space="preserve"> Autos </w:t>
      </w:r>
      <w:hyperlink w:anchor="AUTO_2023_484" w:history="1">
        <w:r w:rsidRPr="00DA359F">
          <w:rPr>
            <w:rStyle w:val="TextoNormalCaracter"/>
          </w:rPr>
          <w:t>484/2023</w:t>
        </w:r>
      </w:hyperlink>
      <w:r>
        <w:t xml:space="preserve">, f. 3; </w:t>
      </w:r>
      <w:hyperlink w:anchor="AUTO_2023_489" w:history="1">
        <w:r w:rsidRPr="00DA359F">
          <w:rPr>
            <w:rStyle w:val="TextoNormalCaracter"/>
          </w:rPr>
          <w:t>489/2023</w:t>
        </w:r>
      </w:hyperlink>
      <w:r>
        <w:t>, f. 5.</w:t>
      </w:r>
    </w:p>
    <w:p w14:paraId="17788D30" w14:textId="3C33CA97" w:rsidR="00DA359F" w:rsidRDefault="00DA359F" w:rsidP="00DA359F">
      <w:pPr>
        <w:pStyle w:val="SangriaFrancesaArticulo"/>
      </w:pPr>
      <w:r w:rsidRPr="00DA359F">
        <w:rPr>
          <w:rStyle w:val="TextoNormalNegritaCaracter"/>
        </w:rPr>
        <w:t>Artículo 161.1.</w:t>
      </w:r>
      <w:r w:rsidRPr="00DA359F">
        <w:rPr>
          <w:rStyle w:val="TextoNormalCaracter"/>
        </w:rPr>
        <w:t>-</w:t>
      </w:r>
      <w:r>
        <w:t xml:space="preserve"> Sentencia </w:t>
      </w:r>
      <w:hyperlink w:anchor="SENTENCIA_2023_128" w:history="1">
        <w:r w:rsidRPr="00DA359F">
          <w:rPr>
            <w:rStyle w:val="TextoNormalCaracter"/>
          </w:rPr>
          <w:t>128/2023</w:t>
        </w:r>
      </w:hyperlink>
      <w:r>
        <w:t>, f. 5.</w:t>
      </w:r>
    </w:p>
    <w:p w14:paraId="4C6943A1" w14:textId="4E1871EE" w:rsidR="00DA359F" w:rsidRDefault="00DA359F" w:rsidP="00DA359F">
      <w:pPr>
        <w:pStyle w:val="SangriaFrancesaArticulo"/>
      </w:pPr>
      <w:r w:rsidRPr="00DA359F">
        <w:rPr>
          <w:rStyle w:val="TextoNormalNegritaCaracter"/>
        </w:rPr>
        <w:t>Artículo 161.1 a).</w:t>
      </w:r>
      <w:r w:rsidRPr="00DA359F">
        <w:rPr>
          <w:rStyle w:val="TextoNormalCaracter"/>
        </w:rPr>
        <w:t>-</w:t>
      </w:r>
      <w:r>
        <w:t xml:space="preserve"> Sentencia </w:t>
      </w:r>
      <w:hyperlink w:anchor="SENTENCIA_2023_144" w:history="1">
        <w:r w:rsidRPr="00DA359F">
          <w:rPr>
            <w:rStyle w:val="TextoNormalCaracter"/>
          </w:rPr>
          <w:t>144/2023</w:t>
        </w:r>
      </w:hyperlink>
      <w:r>
        <w:t>, VP.</w:t>
      </w:r>
    </w:p>
    <w:p w14:paraId="6769B54F" w14:textId="0A7961E3" w:rsidR="00DA359F" w:rsidRDefault="00DA359F" w:rsidP="00DA359F">
      <w:pPr>
        <w:pStyle w:val="SangriaFrancesaArticulo"/>
      </w:pPr>
      <w:r w:rsidRPr="00DA359F">
        <w:rPr>
          <w:rStyle w:val="TextoNormalNegritaCaracter"/>
        </w:rPr>
        <w:t>Artículo 161.1 b).</w:t>
      </w:r>
      <w:r w:rsidRPr="00DA359F">
        <w:rPr>
          <w:rStyle w:val="TextoNormalCaracter"/>
        </w:rPr>
        <w:t>-</w:t>
      </w:r>
      <w:r>
        <w:t xml:space="preserve"> Sentencias </w:t>
      </w:r>
      <w:hyperlink w:anchor="SENTENCIA_2023_82" w:history="1">
        <w:r w:rsidRPr="00DA359F">
          <w:rPr>
            <w:rStyle w:val="TextoNormalCaracter"/>
          </w:rPr>
          <w:t>82/2023</w:t>
        </w:r>
      </w:hyperlink>
      <w:r>
        <w:t xml:space="preserve">, f. 3; </w:t>
      </w:r>
      <w:hyperlink w:anchor="SENTENCIA_2023_123" w:history="1">
        <w:r w:rsidRPr="00DA359F">
          <w:rPr>
            <w:rStyle w:val="TextoNormalCaracter"/>
          </w:rPr>
          <w:t>123/2023</w:t>
        </w:r>
      </w:hyperlink>
      <w:r>
        <w:t>, f. 2.</w:t>
      </w:r>
    </w:p>
    <w:p w14:paraId="11BF488D" w14:textId="2D217601" w:rsidR="00DA359F" w:rsidRDefault="00DA359F" w:rsidP="00DA359F">
      <w:pPr>
        <w:pStyle w:val="SangriaIzquierdaArticulo"/>
      </w:pPr>
      <w:r>
        <w:t xml:space="preserve">Autos </w:t>
      </w:r>
      <w:hyperlink w:anchor="AUTO_2023_338" w:history="1">
        <w:r w:rsidRPr="00DA359F">
          <w:rPr>
            <w:rStyle w:val="TextoNormalCaracter"/>
          </w:rPr>
          <w:t>338/2023</w:t>
        </w:r>
      </w:hyperlink>
      <w:r>
        <w:t xml:space="preserve">, VP; </w:t>
      </w:r>
      <w:hyperlink w:anchor="AUTO_2023_448" w:history="1">
        <w:r w:rsidRPr="00DA359F">
          <w:rPr>
            <w:rStyle w:val="TextoNormalCaracter"/>
          </w:rPr>
          <w:t>448/2023</w:t>
        </w:r>
      </w:hyperlink>
      <w:r>
        <w:t>, f. 3.</w:t>
      </w:r>
    </w:p>
    <w:p w14:paraId="007477BE" w14:textId="02E57555" w:rsidR="00DA359F" w:rsidRDefault="00DA359F" w:rsidP="00DA359F">
      <w:pPr>
        <w:pStyle w:val="SangriaFrancesaArticulo"/>
      </w:pPr>
      <w:r w:rsidRPr="00DA359F">
        <w:rPr>
          <w:rStyle w:val="TextoNormalNegritaCaracter"/>
        </w:rPr>
        <w:t>Artículo 161.1 d).</w:t>
      </w:r>
      <w:r w:rsidRPr="00DA359F">
        <w:rPr>
          <w:rStyle w:val="TextoNormalCaracter"/>
        </w:rPr>
        <w:t>-</w:t>
      </w:r>
      <w:r>
        <w:t xml:space="preserve"> Sentencia </w:t>
      </w:r>
      <w:hyperlink w:anchor="SENTENCIA_2023_128" w:history="1">
        <w:r w:rsidRPr="00DA359F">
          <w:rPr>
            <w:rStyle w:val="TextoNormalCaracter"/>
          </w:rPr>
          <w:t>128/2023</w:t>
        </w:r>
      </w:hyperlink>
      <w:r>
        <w:t>, ff. 1, 2, 5, 6, VP.</w:t>
      </w:r>
    </w:p>
    <w:p w14:paraId="275FD620" w14:textId="69EED0ED" w:rsidR="00DA359F" w:rsidRDefault="00DA359F" w:rsidP="00DA359F">
      <w:pPr>
        <w:pStyle w:val="SangriaFrancesaArticulo"/>
      </w:pPr>
      <w:r w:rsidRPr="00DA359F">
        <w:rPr>
          <w:rStyle w:val="TextoNormalNegritaCaracter"/>
        </w:rPr>
        <w:t>Artículo 161.2.</w:t>
      </w:r>
      <w:r w:rsidRPr="00DA359F">
        <w:rPr>
          <w:rStyle w:val="TextoNormalCaracter"/>
        </w:rPr>
        <w:t>-</w:t>
      </w:r>
      <w:r>
        <w:t xml:space="preserve"> Sentencia </w:t>
      </w:r>
      <w:hyperlink w:anchor="SENTENCIA_2023_127" w:history="1">
        <w:r w:rsidRPr="00DA359F">
          <w:rPr>
            <w:rStyle w:val="TextoNormalCaracter"/>
          </w:rPr>
          <w:t>127/2023</w:t>
        </w:r>
      </w:hyperlink>
      <w:r>
        <w:t>, f. 6.</w:t>
      </w:r>
    </w:p>
    <w:p w14:paraId="6824CF97" w14:textId="3C14B2F7" w:rsidR="00DA359F" w:rsidRDefault="00DA359F" w:rsidP="00DA359F">
      <w:pPr>
        <w:pStyle w:val="SangriaIzquierdaArticulo"/>
      </w:pPr>
      <w:r>
        <w:t xml:space="preserve">Autos </w:t>
      </w:r>
      <w:hyperlink w:anchor="AUTO_2023_436" w:history="1">
        <w:r w:rsidRPr="00DA359F">
          <w:rPr>
            <w:rStyle w:val="TextoNormalCaracter"/>
          </w:rPr>
          <w:t>436/2023</w:t>
        </w:r>
      </w:hyperlink>
      <w:r>
        <w:t xml:space="preserve">, f. 3; </w:t>
      </w:r>
      <w:hyperlink w:anchor="AUTO_2023_445" w:history="1">
        <w:r w:rsidRPr="00DA359F">
          <w:rPr>
            <w:rStyle w:val="TextoNormalCaracter"/>
          </w:rPr>
          <w:t>445/2023</w:t>
        </w:r>
      </w:hyperlink>
      <w:r>
        <w:t>, ff. 1 a 3.</w:t>
      </w:r>
    </w:p>
    <w:p w14:paraId="524E5C79" w14:textId="3C5F17C2" w:rsidR="00DA359F" w:rsidRDefault="00DA359F" w:rsidP="00DA359F">
      <w:pPr>
        <w:pStyle w:val="SangriaFrancesaArticulo"/>
      </w:pPr>
      <w:r w:rsidRPr="00DA359F">
        <w:rPr>
          <w:rStyle w:val="TextoNormalNegritaCaracter"/>
        </w:rPr>
        <w:t>Artículo 162.1.</w:t>
      </w:r>
      <w:r w:rsidRPr="00DA359F">
        <w:rPr>
          <w:rStyle w:val="TextoNormalCaracter"/>
        </w:rPr>
        <w:t>-</w:t>
      </w:r>
      <w:r>
        <w:t xml:space="preserve"> Autos </w:t>
      </w:r>
      <w:hyperlink w:anchor="AUTO_2023_532" w:history="1">
        <w:r w:rsidRPr="00DA359F">
          <w:rPr>
            <w:rStyle w:val="TextoNormalCaracter"/>
          </w:rPr>
          <w:t>532/2023</w:t>
        </w:r>
      </w:hyperlink>
      <w:r>
        <w:t xml:space="preserve">, f. 3; </w:t>
      </w:r>
      <w:hyperlink w:anchor="AUTO_2023_535" w:history="1">
        <w:r w:rsidRPr="00DA359F">
          <w:rPr>
            <w:rStyle w:val="TextoNormalCaracter"/>
          </w:rPr>
          <w:t>535/2023</w:t>
        </w:r>
      </w:hyperlink>
      <w:r>
        <w:t>, f. 3.</w:t>
      </w:r>
    </w:p>
    <w:p w14:paraId="201B3938" w14:textId="0021AA40" w:rsidR="00DA359F" w:rsidRDefault="00DA359F" w:rsidP="00DA359F">
      <w:pPr>
        <w:pStyle w:val="SangriaFrancesaArticulo"/>
      </w:pPr>
      <w:r w:rsidRPr="00DA359F">
        <w:rPr>
          <w:rStyle w:val="TextoNormalNegritaCaracter"/>
        </w:rPr>
        <w:t>Artículo 162.1 a).</w:t>
      </w:r>
      <w:r w:rsidRPr="00DA359F">
        <w:rPr>
          <w:rStyle w:val="TextoNormalCaracter"/>
        </w:rPr>
        <w:t>-</w:t>
      </w:r>
      <w:r>
        <w:t xml:space="preserve"> Autos </w:t>
      </w:r>
      <w:hyperlink w:anchor="AUTO_2023_376" w:history="1">
        <w:r w:rsidRPr="00DA359F">
          <w:rPr>
            <w:rStyle w:val="TextoNormalCaracter"/>
          </w:rPr>
          <w:t>376/2023</w:t>
        </w:r>
      </w:hyperlink>
      <w:r>
        <w:t xml:space="preserve">, f. 3; </w:t>
      </w:r>
      <w:hyperlink w:anchor="AUTO_2023_486" w:history="1">
        <w:r w:rsidRPr="00DA359F">
          <w:rPr>
            <w:rStyle w:val="TextoNormalCaracter"/>
          </w:rPr>
          <w:t>486/2023</w:t>
        </w:r>
      </w:hyperlink>
      <w:r>
        <w:t xml:space="preserve">, f. 2; </w:t>
      </w:r>
      <w:hyperlink w:anchor="AUTO_2023_667" w:history="1">
        <w:r w:rsidRPr="00DA359F">
          <w:rPr>
            <w:rStyle w:val="TextoNormalCaracter"/>
          </w:rPr>
          <w:t>667/2023</w:t>
        </w:r>
      </w:hyperlink>
      <w:r>
        <w:t>, f. 3.</w:t>
      </w:r>
    </w:p>
    <w:p w14:paraId="5615D7AC" w14:textId="5C963A9E" w:rsidR="00DA359F" w:rsidRDefault="00DA359F" w:rsidP="00DA359F">
      <w:pPr>
        <w:pStyle w:val="SangriaFrancesaArticulo"/>
      </w:pPr>
      <w:r w:rsidRPr="00DA359F">
        <w:rPr>
          <w:rStyle w:val="TextoNormalNegritaCaracter"/>
        </w:rPr>
        <w:t>Artículo 162.2.</w:t>
      </w:r>
      <w:r w:rsidRPr="00DA359F">
        <w:rPr>
          <w:rStyle w:val="TextoNormalCaracter"/>
        </w:rPr>
        <w:t>-</w:t>
      </w:r>
      <w:r>
        <w:t xml:space="preserve"> Sentencia </w:t>
      </w:r>
      <w:hyperlink w:anchor="SENTENCIA_2023_127" w:history="1">
        <w:r w:rsidRPr="00DA359F">
          <w:rPr>
            <w:rStyle w:val="TextoNormalCaracter"/>
          </w:rPr>
          <w:t>127/2023</w:t>
        </w:r>
      </w:hyperlink>
      <w:r>
        <w:t>, f. 6.</w:t>
      </w:r>
    </w:p>
    <w:p w14:paraId="7C354162" w14:textId="3F1BA5E0" w:rsidR="00DA359F" w:rsidRDefault="00DA359F" w:rsidP="00DA359F">
      <w:pPr>
        <w:pStyle w:val="SangriaFrancesaArticulo"/>
      </w:pPr>
      <w:r w:rsidRPr="00DA359F">
        <w:rPr>
          <w:rStyle w:val="TextoNormalNegritaCaracter"/>
        </w:rPr>
        <w:t>Artículo 163.</w:t>
      </w:r>
      <w:r w:rsidRPr="00DA359F">
        <w:rPr>
          <w:rStyle w:val="TextoNormalCaracter"/>
        </w:rPr>
        <w:t>-</w:t>
      </w:r>
      <w:r>
        <w:t xml:space="preserve"> Sentencias </w:t>
      </w:r>
      <w:hyperlink w:anchor="SENTENCIA_2023_144" w:history="1">
        <w:r w:rsidRPr="00DA359F">
          <w:rPr>
            <w:rStyle w:val="TextoNormalCaracter"/>
          </w:rPr>
          <w:t>144/2023</w:t>
        </w:r>
      </w:hyperlink>
      <w:r>
        <w:t xml:space="preserve">, VP; </w:t>
      </w:r>
      <w:hyperlink w:anchor="SENTENCIA_2023_169" w:history="1">
        <w:r w:rsidRPr="00DA359F">
          <w:rPr>
            <w:rStyle w:val="TextoNormalCaracter"/>
          </w:rPr>
          <w:t>169/2023</w:t>
        </w:r>
      </w:hyperlink>
      <w:r>
        <w:t>, f. 2.</w:t>
      </w:r>
    </w:p>
    <w:p w14:paraId="3505C71C" w14:textId="5FE16049" w:rsidR="00DA359F" w:rsidRDefault="00DA359F" w:rsidP="00DA359F">
      <w:pPr>
        <w:pStyle w:val="SangriaIzquierdaArticulo"/>
      </w:pPr>
      <w:r>
        <w:t xml:space="preserve">Autos </w:t>
      </w:r>
      <w:hyperlink w:anchor="AUTO_2023_376" w:history="1">
        <w:r w:rsidRPr="00DA359F">
          <w:rPr>
            <w:rStyle w:val="TextoNormalCaracter"/>
          </w:rPr>
          <w:t>376/2023</w:t>
        </w:r>
      </w:hyperlink>
      <w:r>
        <w:t xml:space="preserve">, f. 2; </w:t>
      </w:r>
      <w:hyperlink w:anchor="AUTO_2023_446" w:history="1">
        <w:r w:rsidRPr="00DA359F">
          <w:rPr>
            <w:rStyle w:val="TextoNormalCaracter"/>
          </w:rPr>
          <w:t>446/2023</w:t>
        </w:r>
      </w:hyperlink>
      <w:r>
        <w:t xml:space="preserve">, f. 4; </w:t>
      </w:r>
      <w:hyperlink w:anchor="AUTO_2023_486" w:history="1">
        <w:r w:rsidRPr="00DA359F">
          <w:rPr>
            <w:rStyle w:val="TextoNormalCaracter"/>
          </w:rPr>
          <w:t>486/2023</w:t>
        </w:r>
      </w:hyperlink>
      <w:r>
        <w:t xml:space="preserve">, ff. 1, 2; </w:t>
      </w:r>
      <w:hyperlink w:anchor="AUTO_2023_526" w:history="1">
        <w:r w:rsidRPr="00DA359F">
          <w:rPr>
            <w:rStyle w:val="TextoNormalCaracter"/>
          </w:rPr>
          <w:t>526/2023</w:t>
        </w:r>
      </w:hyperlink>
      <w:r>
        <w:t xml:space="preserve">, f. 2; </w:t>
      </w:r>
      <w:hyperlink w:anchor="AUTO_2023_532" w:history="1">
        <w:r w:rsidRPr="00DA359F">
          <w:rPr>
            <w:rStyle w:val="TextoNormalCaracter"/>
          </w:rPr>
          <w:t>532/2023</w:t>
        </w:r>
      </w:hyperlink>
      <w:r>
        <w:t xml:space="preserve">, ff. 2, 3; </w:t>
      </w:r>
      <w:hyperlink w:anchor="AUTO_2023_535" w:history="1">
        <w:r w:rsidRPr="00DA359F">
          <w:rPr>
            <w:rStyle w:val="TextoNormalCaracter"/>
          </w:rPr>
          <w:t>535/2023</w:t>
        </w:r>
      </w:hyperlink>
      <w:r>
        <w:t xml:space="preserve">, ff. 2, 3; </w:t>
      </w:r>
      <w:hyperlink w:anchor="AUTO_2023_604" w:history="1">
        <w:r w:rsidRPr="00DA359F">
          <w:rPr>
            <w:rStyle w:val="TextoNormalCaracter"/>
          </w:rPr>
          <w:t>604/2023</w:t>
        </w:r>
      </w:hyperlink>
      <w:r>
        <w:t xml:space="preserve">, f. 2; </w:t>
      </w:r>
      <w:hyperlink w:anchor="AUTO_2023_667" w:history="1">
        <w:r w:rsidRPr="00DA359F">
          <w:rPr>
            <w:rStyle w:val="TextoNormalCaracter"/>
          </w:rPr>
          <w:t>667/2023</w:t>
        </w:r>
      </w:hyperlink>
      <w:r>
        <w:t>, ff. 2, 3.</w:t>
      </w:r>
    </w:p>
    <w:p w14:paraId="7DEC75F5" w14:textId="6A331EEE" w:rsidR="00DA359F" w:rsidRDefault="00DA359F" w:rsidP="00DA359F">
      <w:pPr>
        <w:pStyle w:val="SangriaFrancesaArticulo"/>
      </w:pPr>
      <w:r w:rsidRPr="00DA359F">
        <w:rPr>
          <w:rStyle w:val="TextoNormalNegritaCaracter"/>
        </w:rPr>
        <w:t>Artículo 165.</w:t>
      </w:r>
      <w:r w:rsidRPr="00DA359F">
        <w:rPr>
          <w:rStyle w:val="TextoNormalCaracter"/>
        </w:rPr>
        <w:t>-</w:t>
      </w:r>
      <w:r>
        <w:t xml:space="preserve"> Sentencias </w:t>
      </w:r>
      <w:hyperlink w:anchor="SENTENCIA_2023_82" w:history="1">
        <w:r w:rsidRPr="00DA359F">
          <w:rPr>
            <w:rStyle w:val="TextoNormalCaracter"/>
          </w:rPr>
          <w:t>82/2023</w:t>
        </w:r>
      </w:hyperlink>
      <w:r>
        <w:t xml:space="preserve">, f. 3; </w:t>
      </w:r>
      <w:hyperlink w:anchor="SENTENCIA_2023_128" w:history="1">
        <w:r w:rsidRPr="00DA359F">
          <w:rPr>
            <w:rStyle w:val="TextoNormalCaracter"/>
          </w:rPr>
          <w:t>128/2023</w:t>
        </w:r>
      </w:hyperlink>
      <w:r>
        <w:t>, VP.</w:t>
      </w:r>
    </w:p>
    <w:p w14:paraId="604C3CDB" w14:textId="2F8ABC0B" w:rsidR="00DA359F" w:rsidRDefault="00DA359F" w:rsidP="00DA359F">
      <w:pPr>
        <w:pStyle w:val="SangriaFrancesaArticulo"/>
      </w:pPr>
      <w:r w:rsidRPr="00DA359F">
        <w:rPr>
          <w:rStyle w:val="TextoNormalNegritaCaracter"/>
        </w:rPr>
        <w:t>Artículo 168.</w:t>
      </w:r>
      <w:r w:rsidRPr="00DA359F">
        <w:rPr>
          <w:rStyle w:val="TextoNormalCaracter"/>
        </w:rPr>
        <w:t>-</w:t>
      </w:r>
      <w:r>
        <w:t xml:space="preserve"> Sentencia </w:t>
      </w:r>
      <w:hyperlink w:anchor="SENTENCIA_2023_94" w:history="1">
        <w:r w:rsidRPr="00DA359F">
          <w:rPr>
            <w:rStyle w:val="TextoNormalCaracter"/>
          </w:rPr>
          <w:t>94/2023</w:t>
        </w:r>
      </w:hyperlink>
      <w:r>
        <w:t>, ff. 2, 6.</w:t>
      </w:r>
    </w:p>
    <w:p w14:paraId="68D989E0" w14:textId="03609EB9" w:rsidR="00DA359F" w:rsidRDefault="00DA359F" w:rsidP="00DA359F">
      <w:pPr>
        <w:pStyle w:val="SangriaFrancesaArticulo"/>
      </w:pPr>
      <w:r w:rsidRPr="00DA359F">
        <w:rPr>
          <w:rStyle w:val="TextoNormalNegritaCaracter"/>
        </w:rPr>
        <w:t>Artículo 169.</w:t>
      </w:r>
      <w:r w:rsidRPr="00DA359F">
        <w:rPr>
          <w:rStyle w:val="TextoNormalCaracter"/>
        </w:rPr>
        <w:t>-</w:t>
      </w:r>
      <w:r>
        <w:t xml:space="preserve"> Sentencia </w:t>
      </w:r>
      <w:hyperlink w:anchor="SENTENCIA_2023_94" w:history="1">
        <w:r w:rsidRPr="00DA359F">
          <w:rPr>
            <w:rStyle w:val="TextoNormalCaracter"/>
          </w:rPr>
          <w:t>94/2023</w:t>
        </w:r>
      </w:hyperlink>
      <w:r>
        <w:t>, ff. 2, 6.</w:t>
      </w:r>
    </w:p>
    <w:p w14:paraId="1A4F8A90" w14:textId="788386DB" w:rsidR="00DA359F" w:rsidRDefault="00DA359F" w:rsidP="00DA359F">
      <w:pPr>
        <w:pStyle w:val="TextoNormal"/>
      </w:pPr>
    </w:p>
    <w:p w14:paraId="57FB62C0" w14:textId="77777777" w:rsidR="00DA359F" w:rsidRDefault="00DA359F" w:rsidP="00DA359F">
      <w:pPr>
        <w:pStyle w:val="SangriaFrancesaArticulo"/>
      </w:pPr>
      <w:bookmarkStart w:id="481" w:name="INDICE22843"/>
    </w:p>
    <w:bookmarkEnd w:id="481"/>
    <w:p w14:paraId="28225087" w14:textId="77777777" w:rsidR="00DA359F" w:rsidRDefault="00DA359F" w:rsidP="00DA359F">
      <w:pPr>
        <w:pStyle w:val="TextoIndiceNivel2"/>
        <w:suppressAutoHyphens/>
      </w:pPr>
      <w:r>
        <w:t>B) Tribunal Constitucional</w:t>
      </w:r>
    </w:p>
    <w:p w14:paraId="14CEE2B8" w14:textId="5FDC7932" w:rsidR="00DA359F" w:rsidRDefault="00DA359F" w:rsidP="00DA359F">
      <w:pPr>
        <w:pStyle w:val="TextoIndiceNivel2"/>
      </w:pPr>
    </w:p>
    <w:p w14:paraId="29953507" w14:textId="77777777" w:rsidR="00DA359F" w:rsidRDefault="00DA359F" w:rsidP="00DA359F">
      <w:pPr>
        <w:pStyle w:val="TextoNormalNegritaCursivandice"/>
        <w:keepNext/>
      </w:pPr>
      <w:r>
        <w:t>Ley Orgánica 2/1979, de 3 de octubre. Tribunal Constitucional</w:t>
      </w:r>
    </w:p>
    <w:p w14:paraId="0021E564" w14:textId="1D5E0845" w:rsidR="00DA359F" w:rsidRDefault="00DA359F" w:rsidP="00DA359F">
      <w:pPr>
        <w:pStyle w:val="SangriaFrancesaArticulo"/>
        <w:keepNext/>
      </w:pPr>
      <w:r w:rsidRPr="00DA359F">
        <w:rPr>
          <w:rStyle w:val="TextoNormalNegritaCaracter"/>
        </w:rPr>
        <w:t>En general.</w:t>
      </w:r>
      <w:r w:rsidRPr="00DA359F">
        <w:rPr>
          <w:rStyle w:val="TextoNormalCaracter"/>
        </w:rPr>
        <w:t>-</w:t>
      </w:r>
      <w:r>
        <w:t xml:space="preserve"> Sentencias </w:t>
      </w:r>
      <w:hyperlink w:anchor="SENTENCIA_2023_82" w:history="1">
        <w:r w:rsidRPr="00DA359F">
          <w:rPr>
            <w:rStyle w:val="TextoNormalCaracter"/>
          </w:rPr>
          <w:t>82/2023</w:t>
        </w:r>
      </w:hyperlink>
      <w:r>
        <w:t xml:space="preserve">, f. 3; </w:t>
      </w:r>
      <w:hyperlink w:anchor="SENTENCIA_2023_128" w:history="1">
        <w:r w:rsidRPr="00DA359F">
          <w:rPr>
            <w:rStyle w:val="TextoNormalCaracter"/>
          </w:rPr>
          <w:t>128/2023</w:t>
        </w:r>
      </w:hyperlink>
      <w:r>
        <w:t>, f. 2, VP.</w:t>
      </w:r>
    </w:p>
    <w:p w14:paraId="12430B74" w14:textId="0A71CAE8" w:rsidR="00DA359F" w:rsidRDefault="00DA359F" w:rsidP="00DA359F">
      <w:pPr>
        <w:pStyle w:val="SangriaIzquierdaArticulo"/>
      </w:pPr>
      <w:r>
        <w:t xml:space="preserve">Auto </w:t>
      </w:r>
      <w:hyperlink w:anchor="AUTO_2023_668" w:history="1">
        <w:r w:rsidRPr="00DA359F">
          <w:rPr>
            <w:rStyle w:val="TextoNormalCaracter"/>
          </w:rPr>
          <w:t>668/2023</w:t>
        </w:r>
      </w:hyperlink>
      <w:r>
        <w:t>, f. único.</w:t>
      </w:r>
    </w:p>
    <w:p w14:paraId="11B25086" w14:textId="49350ECF" w:rsidR="00DA359F" w:rsidRDefault="00DA359F" w:rsidP="00DA359F">
      <w:pPr>
        <w:pStyle w:val="SangriaFrancesaArticulo"/>
      </w:pPr>
      <w:r w:rsidRPr="00DA359F">
        <w:rPr>
          <w:rStyle w:val="TextoNormalNegritaCaracter"/>
        </w:rPr>
        <w:t>Artículo 2.1 a).</w:t>
      </w:r>
      <w:r w:rsidRPr="00DA359F">
        <w:rPr>
          <w:rStyle w:val="TextoNormalCaracter"/>
        </w:rPr>
        <w:t>-</w:t>
      </w:r>
      <w:r>
        <w:t xml:space="preserve"> Sentencia </w:t>
      </w:r>
      <w:hyperlink w:anchor="SENTENCIA_2023_144" w:history="1">
        <w:r w:rsidRPr="00DA359F">
          <w:rPr>
            <w:rStyle w:val="TextoNormalCaracter"/>
          </w:rPr>
          <w:t>144/2023</w:t>
        </w:r>
      </w:hyperlink>
      <w:r>
        <w:t>, VP.</w:t>
      </w:r>
    </w:p>
    <w:p w14:paraId="71BBDF08" w14:textId="7A39F880" w:rsidR="00DA359F" w:rsidRDefault="00DA359F" w:rsidP="00DA359F">
      <w:pPr>
        <w:pStyle w:val="SangriaFrancesaArticulo"/>
      </w:pPr>
      <w:r w:rsidRPr="00DA359F">
        <w:rPr>
          <w:rStyle w:val="TextoNormalNegritaCaracter"/>
        </w:rPr>
        <w:t>Artículo 8.1.</w:t>
      </w:r>
      <w:r w:rsidRPr="00DA359F">
        <w:rPr>
          <w:rStyle w:val="TextoNormalCaracter"/>
        </w:rPr>
        <w:t>-</w:t>
      </w:r>
      <w:r>
        <w:t xml:space="preserve"> Auto </w:t>
      </w:r>
      <w:hyperlink w:anchor="AUTO_2023_353" w:history="1">
        <w:r w:rsidRPr="00DA359F">
          <w:rPr>
            <w:rStyle w:val="TextoNormalCaracter"/>
          </w:rPr>
          <w:t>353/2023</w:t>
        </w:r>
      </w:hyperlink>
      <w:r>
        <w:t>, f. 2.</w:t>
      </w:r>
    </w:p>
    <w:p w14:paraId="2BE58CDD" w14:textId="7A95794F" w:rsidR="00DA359F" w:rsidRDefault="00DA359F" w:rsidP="00DA359F">
      <w:pPr>
        <w:pStyle w:val="SangriaFrancesaArticulo"/>
      </w:pPr>
      <w:r w:rsidRPr="00DA359F">
        <w:rPr>
          <w:rStyle w:val="TextoNormalNegritaCaracter"/>
        </w:rPr>
        <w:t>Artículo 10.1 k).</w:t>
      </w:r>
      <w:r w:rsidRPr="00DA359F">
        <w:rPr>
          <w:rStyle w:val="TextoNormalCaracter"/>
        </w:rPr>
        <w:t>-</w:t>
      </w:r>
      <w:r>
        <w:t xml:space="preserve"> Autos </w:t>
      </w:r>
      <w:hyperlink w:anchor="AUTO_2023_521" w:history="1">
        <w:r w:rsidRPr="00DA359F">
          <w:rPr>
            <w:rStyle w:val="TextoNormalCaracter"/>
          </w:rPr>
          <w:t>521/2023</w:t>
        </w:r>
      </w:hyperlink>
      <w:r>
        <w:t xml:space="preserve">, f. único; </w:t>
      </w:r>
      <w:hyperlink w:anchor="AUTO_2023_522" w:history="1">
        <w:r w:rsidRPr="00DA359F">
          <w:rPr>
            <w:rStyle w:val="TextoNormalCaracter"/>
          </w:rPr>
          <w:t>522/2023</w:t>
        </w:r>
      </w:hyperlink>
      <w:r>
        <w:t>, f. único.</w:t>
      </w:r>
    </w:p>
    <w:p w14:paraId="65E8736D" w14:textId="0EBC9A84" w:rsidR="00DA359F" w:rsidRDefault="00DA359F" w:rsidP="00DA359F">
      <w:pPr>
        <w:pStyle w:val="SangriaFrancesaArticulo"/>
      </w:pPr>
      <w:r w:rsidRPr="00DA359F">
        <w:rPr>
          <w:rStyle w:val="TextoNormalNegritaCaracter"/>
        </w:rPr>
        <w:t>Artículo 10.1 n).</w:t>
      </w:r>
      <w:r w:rsidRPr="00DA359F">
        <w:rPr>
          <w:rStyle w:val="TextoNormalCaracter"/>
        </w:rPr>
        <w:t>-</w:t>
      </w:r>
      <w:r>
        <w:t xml:space="preserve"> Auto </w:t>
      </w:r>
      <w:hyperlink w:anchor="AUTO_2023_338" w:history="1">
        <w:r w:rsidRPr="00DA359F">
          <w:rPr>
            <w:rStyle w:val="TextoNormalCaracter"/>
          </w:rPr>
          <w:t>338/2023</w:t>
        </w:r>
      </w:hyperlink>
      <w:r>
        <w:t>, f. 5.</w:t>
      </w:r>
    </w:p>
    <w:p w14:paraId="1147FB9E" w14:textId="4BDCA136" w:rsidR="00DA359F" w:rsidRDefault="00DA359F" w:rsidP="00DA359F">
      <w:pPr>
        <w:pStyle w:val="SangriaFrancesaArticulo"/>
      </w:pPr>
      <w:r w:rsidRPr="00DA359F">
        <w:rPr>
          <w:rStyle w:val="TextoNormalNegritaCaracter"/>
        </w:rPr>
        <w:t>Artículo 14.</w:t>
      </w:r>
      <w:r w:rsidRPr="00DA359F">
        <w:rPr>
          <w:rStyle w:val="TextoNormalCaracter"/>
        </w:rPr>
        <w:t>-</w:t>
      </w:r>
      <w:r>
        <w:t xml:space="preserve"> Auto </w:t>
      </w:r>
      <w:hyperlink w:anchor="AUTO_2023_490" w:history="1">
        <w:r w:rsidRPr="00DA359F">
          <w:rPr>
            <w:rStyle w:val="TextoNormalCaracter"/>
          </w:rPr>
          <w:t>490/2023</w:t>
        </w:r>
      </w:hyperlink>
      <w:r>
        <w:t>, f. 1.</w:t>
      </w:r>
    </w:p>
    <w:p w14:paraId="4E0BA8B5" w14:textId="4CB318F3" w:rsidR="00DA359F" w:rsidRDefault="00DA359F" w:rsidP="00DA359F">
      <w:pPr>
        <w:pStyle w:val="SangriaFrancesaArticulo"/>
      </w:pPr>
      <w:r w:rsidRPr="00DA359F">
        <w:rPr>
          <w:rStyle w:val="TextoNormalNegritaCaracter"/>
        </w:rPr>
        <w:t>Artículo 16.1.</w:t>
      </w:r>
      <w:r w:rsidRPr="00DA359F">
        <w:rPr>
          <w:rStyle w:val="TextoNormalCaracter"/>
        </w:rPr>
        <w:t>-</w:t>
      </w:r>
      <w:r>
        <w:t xml:space="preserve"> Sentencia </w:t>
      </w:r>
      <w:hyperlink w:anchor="SENTENCIA_2023_128" w:history="1">
        <w:r w:rsidRPr="00DA359F">
          <w:rPr>
            <w:rStyle w:val="TextoNormalCaracter"/>
          </w:rPr>
          <w:t>128/2023</w:t>
        </w:r>
      </w:hyperlink>
      <w:r>
        <w:t>, VP.</w:t>
      </w:r>
    </w:p>
    <w:p w14:paraId="54DDFBDA" w14:textId="438B8E97" w:rsidR="00DA359F" w:rsidRDefault="00DA359F" w:rsidP="00DA359F">
      <w:pPr>
        <w:pStyle w:val="SangriaFrancesaArticulo"/>
      </w:pPr>
      <w:r w:rsidRPr="00DA359F">
        <w:rPr>
          <w:rStyle w:val="TextoNormalNegritaCaracter"/>
        </w:rPr>
        <w:t>Artículo 22.</w:t>
      </w:r>
      <w:r w:rsidRPr="00DA359F">
        <w:rPr>
          <w:rStyle w:val="TextoNormalCaracter"/>
        </w:rPr>
        <w:t>-</w:t>
      </w:r>
      <w:r>
        <w:t xml:space="preserve"> Autos </w:t>
      </w:r>
      <w:hyperlink w:anchor="AUTO_2023_432" w:history="1">
        <w:r w:rsidRPr="00DA359F">
          <w:rPr>
            <w:rStyle w:val="TextoNormalCaracter"/>
          </w:rPr>
          <w:t>432/2023</w:t>
        </w:r>
      </w:hyperlink>
      <w:r>
        <w:t xml:space="preserve">, f. 2; </w:t>
      </w:r>
      <w:hyperlink w:anchor="AUTO_2023_484" w:history="1">
        <w:r w:rsidRPr="00DA359F">
          <w:rPr>
            <w:rStyle w:val="TextoNormalCaracter"/>
          </w:rPr>
          <w:t>484/2023</w:t>
        </w:r>
      </w:hyperlink>
      <w:r>
        <w:t xml:space="preserve">, f. 3; </w:t>
      </w:r>
      <w:hyperlink w:anchor="AUTO_2023_489" w:history="1">
        <w:r w:rsidRPr="00DA359F">
          <w:rPr>
            <w:rStyle w:val="TextoNormalCaracter"/>
          </w:rPr>
          <w:t>489/2023</w:t>
        </w:r>
      </w:hyperlink>
      <w:r>
        <w:t>, f. 2.</w:t>
      </w:r>
    </w:p>
    <w:p w14:paraId="2C0A107B" w14:textId="699429DF" w:rsidR="00DA359F" w:rsidRDefault="00DA359F" w:rsidP="00DA359F">
      <w:pPr>
        <w:pStyle w:val="SangriaFrancesaArticulo"/>
      </w:pPr>
      <w:r w:rsidRPr="00DA359F">
        <w:rPr>
          <w:rStyle w:val="TextoNormalNegritaCaracter"/>
        </w:rPr>
        <w:t>Artículo 27.1.</w:t>
      </w:r>
      <w:r w:rsidRPr="00DA359F">
        <w:rPr>
          <w:rStyle w:val="TextoNormalCaracter"/>
        </w:rPr>
        <w:t>-</w:t>
      </w:r>
      <w:r>
        <w:t xml:space="preserve"> Sentencia </w:t>
      </w:r>
      <w:hyperlink w:anchor="SENTENCIA_2023_166" w:history="1">
        <w:r w:rsidRPr="00DA359F">
          <w:rPr>
            <w:rStyle w:val="TextoNormalCaracter"/>
          </w:rPr>
          <w:t>166/2023</w:t>
        </w:r>
      </w:hyperlink>
      <w:r>
        <w:t>, f. 5.</w:t>
      </w:r>
    </w:p>
    <w:p w14:paraId="0A08B586" w14:textId="7CFCE6E5" w:rsidR="00DA359F" w:rsidRDefault="00DA359F" w:rsidP="00DA359F">
      <w:pPr>
        <w:pStyle w:val="SangriaFrancesaArticulo"/>
      </w:pPr>
      <w:r w:rsidRPr="00DA359F">
        <w:rPr>
          <w:rStyle w:val="TextoNormalNegritaCaracter"/>
        </w:rPr>
        <w:t>Artículo 27.2 a).</w:t>
      </w:r>
      <w:r w:rsidRPr="00DA359F">
        <w:rPr>
          <w:rStyle w:val="TextoNormalCaracter"/>
        </w:rPr>
        <w:t>-</w:t>
      </w:r>
      <w:r>
        <w:t xml:space="preserve"> Sentencia </w:t>
      </w:r>
      <w:hyperlink w:anchor="SENTENCIA_2023_144" w:history="1">
        <w:r w:rsidRPr="00DA359F">
          <w:rPr>
            <w:rStyle w:val="TextoNormalCaracter"/>
          </w:rPr>
          <w:t>144/2023</w:t>
        </w:r>
      </w:hyperlink>
      <w:r>
        <w:t>, VP.</w:t>
      </w:r>
    </w:p>
    <w:p w14:paraId="08457C32" w14:textId="3E5E2A38" w:rsidR="00DA359F" w:rsidRDefault="00DA359F" w:rsidP="00DA359F">
      <w:pPr>
        <w:pStyle w:val="SangriaFrancesaArticulo"/>
      </w:pPr>
      <w:r w:rsidRPr="00DA359F">
        <w:rPr>
          <w:rStyle w:val="TextoNormalNegritaCaracter"/>
        </w:rPr>
        <w:t>Artículo 28.1.</w:t>
      </w:r>
      <w:r w:rsidRPr="00DA359F">
        <w:rPr>
          <w:rStyle w:val="TextoNormalCaracter"/>
        </w:rPr>
        <w:t>-</w:t>
      </w:r>
      <w:r>
        <w:t xml:space="preserve"> Sentencia </w:t>
      </w:r>
      <w:hyperlink w:anchor="SENTENCIA_2023_145" w:history="1">
        <w:r w:rsidRPr="00DA359F">
          <w:rPr>
            <w:rStyle w:val="TextoNormalCaracter"/>
          </w:rPr>
          <w:t>145/2023</w:t>
        </w:r>
      </w:hyperlink>
      <w:r>
        <w:t>, f. 4.</w:t>
      </w:r>
    </w:p>
    <w:p w14:paraId="1BE1AF99" w14:textId="6772F576" w:rsidR="00DA359F" w:rsidRDefault="00DA359F" w:rsidP="00DA359F">
      <w:pPr>
        <w:pStyle w:val="SangriaFrancesaArticulo"/>
      </w:pPr>
      <w:r w:rsidRPr="00DA359F">
        <w:rPr>
          <w:rStyle w:val="TextoNormalNegritaCaracter"/>
        </w:rPr>
        <w:t>Artículo 32.1.</w:t>
      </w:r>
      <w:r w:rsidRPr="00DA359F">
        <w:rPr>
          <w:rStyle w:val="TextoNormalCaracter"/>
        </w:rPr>
        <w:t>-</w:t>
      </w:r>
      <w:r>
        <w:t xml:space="preserve"> Autos </w:t>
      </w:r>
      <w:hyperlink w:anchor="AUTO_2023_376" w:history="1">
        <w:r w:rsidRPr="00DA359F">
          <w:rPr>
            <w:rStyle w:val="TextoNormalCaracter"/>
          </w:rPr>
          <w:t>376/2023</w:t>
        </w:r>
      </w:hyperlink>
      <w:r>
        <w:t xml:space="preserve">, f. 3; </w:t>
      </w:r>
      <w:hyperlink w:anchor="AUTO_2023_486" w:history="1">
        <w:r w:rsidRPr="00DA359F">
          <w:rPr>
            <w:rStyle w:val="TextoNormalCaracter"/>
          </w:rPr>
          <w:t>486/2023</w:t>
        </w:r>
      </w:hyperlink>
      <w:r>
        <w:t xml:space="preserve">, f. 2; </w:t>
      </w:r>
      <w:hyperlink w:anchor="AUTO_2023_532" w:history="1">
        <w:r w:rsidRPr="00DA359F">
          <w:rPr>
            <w:rStyle w:val="TextoNormalCaracter"/>
          </w:rPr>
          <w:t>532/2023</w:t>
        </w:r>
      </w:hyperlink>
      <w:r>
        <w:t xml:space="preserve">, f. 3; </w:t>
      </w:r>
      <w:hyperlink w:anchor="AUTO_2023_535" w:history="1">
        <w:r w:rsidRPr="00DA359F">
          <w:rPr>
            <w:rStyle w:val="TextoNormalCaracter"/>
          </w:rPr>
          <w:t>535/2023</w:t>
        </w:r>
      </w:hyperlink>
      <w:r>
        <w:t xml:space="preserve">, f. 3; </w:t>
      </w:r>
      <w:hyperlink w:anchor="AUTO_2023_667" w:history="1">
        <w:r w:rsidRPr="00DA359F">
          <w:rPr>
            <w:rStyle w:val="TextoNormalCaracter"/>
          </w:rPr>
          <w:t>667/2023</w:t>
        </w:r>
      </w:hyperlink>
      <w:r>
        <w:t>, f. 3.</w:t>
      </w:r>
    </w:p>
    <w:p w14:paraId="1814D9D6" w14:textId="5819AA30" w:rsidR="00DA359F" w:rsidRDefault="00DA359F" w:rsidP="00DA359F">
      <w:pPr>
        <w:pStyle w:val="SangriaFrancesaArticulo"/>
      </w:pPr>
      <w:r w:rsidRPr="00DA359F">
        <w:rPr>
          <w:rStyle w:val="TextoNormalNegritaCaracter"/>
        </w:rPr>
        <w:t>Artículo 33.</w:t>
      </w:r>
      <w:r w:rsidRPr="00DA359F">
        <w:rPr>
          <w:rStyle w:val="TextoNormalCaracter"/>
        </w:rPr>
        <w:t>-</w:t>
      </w:r>
      <w:r>
        <w:t xml:space="preserve"> Sentencia </w:t>
      </w:r>
      <w:hyperlink w:anchor="SENTENCIA_2023_126" w:history="1">
        <w:r w:rsidRPr="00DA359F">
          <w:rPr>
            <w:rStyle w:val="TextoNormalCaracter"/>
          </w:rPr>
          <w:t>126/2023</w:t>
        </w:r>
      </w:hyperlink>
      <w:r>
        <w:t>, f. 2.</w:t>
      </w:r>
    </w:p>
    <w:p w14:paraId="079FFAAC" w14:textId="636BC9AE" w:rsidR="00DA359F" w:rsidRDefault="00DA359F" w:rsidP="00DA359F">
      <w:pPr>
        <w:pStyle w:val="SangriaFrancesaArticulo"/>
      </w:pPr>
      <w:r w:rsidRPr="00DA359F">
        <w:rPr>
          <w:rStyle w:val="TextoNormalNegritaCaracter"/>
        </w:rPr>
        <w:t>Artículo 33.2.</w:t>
      </w:r>
      <w:r w:rsidRPr="00DA359F">
        <w:rPr>
          <w:rStyle w:val="TextoNormalCaracter"/>
        </w:rPr>
        <w:t>-</w:t>
      </w:r>
      <w:r>
        <w:t xml:space="preserve"> Sentencia </w:t>
      </w:r>
      <w:hyperlink w:anchor="SENTENCIA_2023_126" w:history="1">
        <w:r w:rsidRPr="00DA359F">
          <w:rPr>
            <w:rStyle w:val="TextoNormalCaracter"/>
          </w:rPr>
          <w:t>126/2023</w:t>
        </w:r>
      </w:hyperlink>
      <w:r>
        <w:t>, f. 2.</w:t>
      </w:r>
    </w:p>
    <w:p w14:paraId="448C7A47" w14:textId="486A345B" w:rsidR="00DA359F" w:rsidRDefault="00DA359F" w:rsidP="00DA359F">
      <w:pPr>
        <w:pStyle w:val="SangriaFrancesaArticulo"/>
      </w:pPr>
      <w:r w:rsidRPr="00DA359F">
        <w:rPr>
          <w:rStyle w:val="TextoNormalNegritaCaracter"/>
        </w:rPr>
        <w:t>Artículo 35.</w:t>
      </w:r>
      <w:r w:rsidRPr="00DA359F">
        <w:rPr>
          <w:rStyle w:val="TextoNormalCaracter"/>
        </w:rPr>
        <w:t>-</w:t>
      </w:r>
      <w:r>
        <w:t xml:space="preserve"> Sentencia </w:t>
      </w:r>
      <w:hyperlink w:anchor="SENTENCIA_2023_144" w:history="1">
        <w:r w:rsidRPr="00DA359F">
          <w:rPr>
            <w:rStyle w:val="TextoNormalCaracter"/>
          </w:rPr>
          <w:t>144/2023</w:t>
        </w:r>
      </w:hyperlink>
      <w:r>
        <w:t>, VP.</w:t>
      </w:r>
    </w:p>
    <w:p w14:paraId="69C644CF" w14:textId="411B66E4" w:rsidR="00DA359F" w:rsidRDefault="00DA359F" w:rsidP="00DA359F">
      <w:pPr>
        <w:pStyle w:val="SangriaIzquierdaArticulo"/>
      </w:pPr>
      <w:r>
        <w:t xml:space="preserve">Autos </w:t>
      </w:r>
      <w:hyperlink w:anchor="AUTO_2023_376" w:history="1">
        <w:r w:rsidRPr="00DA359F">
          <w:rPr>
            <w:rStyle w:val="TextoNormalCaracter"/>
          </w:rPr>
          <w:t>376/2023</w:t>
        </w:r>
      </w:hyperlink>
      <w:r>
        <w:t xml:space="preserve">, f. 1; </w:t>
      </w:r>
      <w:hyperlink w:anchor="AUTO_2023_446" w:history="1">
        <w:r w:rsidRPr="00DA359F">
          <w:rPr>
            <w:rStyle w:val="TextoNormalCaracter"/>
          </w:rPr>
          <w:t>446/2023</w:t>
        </w:r>
      </w:hyperlink>
      <w:r>
        <w:t xml:space="preserve">, f. 4; </w:t>
      </w:r>
      <w:hyperlink w:anchor="AUTO_2023_486" w:history="1">
        <w:r w:rsidRPr="00DA359F">
          <w:rPr>
            <w:rStyle w:val="TextoNormalCaracter"/>
          </w:rPr>
          <w:t>486/2023</w:t>
        </w:r>
      </w:hyperlink>
      <w:r>
        <w:t xml:space="preserve">, f. 2; </w:t>
      </w:r>
      <w:hyperlink w:anchor="AUTO_2023_526" w:history="1">
        <w:r w:rsidRPr="00DA359F">
          <w:rPr>
            <w:rStyle w:val="TextoNormalCaracter"/>
          </w:rPr>
          <w:t>526/2023</w:t>
        </w:r>
      </w:hyperlink>
      <w:r>
        <w:t xml:space="preserve">, f. 1; </w:t>
      </w:r>
      <w:hyperlink w:anchor="AUTO_2023_532" w:history="1">
        <w:r w:rsidRPr="00DA359F">
          <w:rPr>
            <w:rStyle w:val="TextoNormalCaracter"/>
          </w:rPr>
          <w:t>532/2023</w:t>
        </w:r>
      </w:hyperlink>
      <w:r>
        <w:t xml:space="preserve">, ff. 1, 3; </w:t>
      </w:r>
      <w:hyperlink w:anchor="AUTO_2023_535" w:history="1">
        <w:r w:rsidRPr="00DA359F">
          <w:rPr>
            <w:rStyle w:val="TextoNormalCaracter"/>
          </w:rPr>
          <w:t>535/2023</w:t>
        </w:r>
      </w:hyperlink>
      <w:r>
        <w:t xml:space="preserve">, ff. 1, 3; </w:t>
      </w:r>
      <w:hyperlink w:anchor="AUTO_2023_667" w:history="1">
        <w:r w:rsidRPr="00DA359F">
          <w:rPr>
            <w:rStyle w:val="TextoNormalCaracter"/>
          </w:rPr>
          <w:t>667/2023</w:t>
        </w:r>
      </w:hyperlink>
      <w:r>
        <w:t xml:space="preserve">, ff. 1, 3; </w:t>
      </w:r>
      <w:hyperlink w:anchor="AUTO_2023_669" w:history="1">
        <w:r w:rsidRPr="00DA359F">
          <w:rPr>
            <w:rStyle w:val="TextoNormalCaracter"/>
          </w:rPr>
          <w:t>669/2023</w:t>
        </w:r>
      </w:hyperlink>
      <w:r>
        <w:t>, f. 1.</w:t>
      </w:r>
    </w:p>
    <w:p w14:paraId="28E4C5F5" w14:textId="59D54524" w:rsidR="00DA359F" w:rsidRDefault="00DA359F" w:rsidP="00DA359F">
      <w:pPr>
        <w:pStyle w:val="SangriaFrancesaArticulo"/>
      </w:pPr>
      <w:r w:rsidRPr="00DA359F">
        <w:rPr>
          <w:rStyle w:val="TextoNormalNegritaCaracter"/>
        </w:rPr>
        <w:t>Artículo 35.1.</w:t>
      </w:r>
      <w:r w:rsidRPr="00DA359F">
        <w:rPr>
          <w:rStyle w:val="TextoNormalCaracter"/>
        </w:rPr>
        <w:t>-</w:t>
      </w:r>
      <w:r>
        <w:t xml:space="preserve"> Autos </w:t>
      </w:r>
      <w:hyperlink w:anchor="AUTO_2023_486" w:history="1">
        <w:r w:rsidRPr="00DA359F">
          <w:rPr>
            <w:rStyle w:val="TextoNormalCaracter"/>
          </w:rPr>
          <w:t>486/2023</w:t>
        </w:r>
      </w:hyperlink>
      <w:r>
        <w:t xml:space="preserve">, f. 1; </w:t>
      </w:r>
      <w:hyperlink w:anchor="AUTO_2023_532" w:history="1">
        <w:r w:rsidRPr="00DA359F">
          <w:rPr>
            <w:rStyle w:val="TextoNormalCaracter"/>
          </w:rPr>
          <w:t>532/2023</w:t>
        </w:r>
      </w:hyperlink>
      <w:r>
        <w:t xml:space="preserve">, ff. 3, 4; </w:t>
      </w:r>
      <w:hyperlink w:anchor="AUTO_2023_535" w:history="1">
        <w:r w:rsidRPr="00DA359F">
          <w:rPr>
            <w:rStyle w:val="TextoNormalCaracter"/>
          </w:rPr>
          <w:t>535/2023</w:t>
        </w:r>
      </w:hyperlink>
      <w:r>
        <w:t xml:space="preserve">, ff. 3, 4; </w:t>
      </w:r>
      <w:hyperlink w:anchor="AUTO_2023_604" w:history="1">
        <w:r w:rsidRPr="00DA359F">
          <w:rPr>
            <w:rStyle w:val="TextoNormalCaracter"/>
          </w:rPr>
          <w:t>604/2023</w:t>
        </w:r>
      </w:hyperlink>
      <w:r>
        <w:t>, f. 2.</w:t>
      </w:r>
    </w:p>
    <w:p w14:paraId="2A53E0D0" w14:textId="0B82BDAC" w:rsidR="00DA359F" w:rsidRDefault="00DA359F" w:rsidP="00DA359F">
      <w:pPr>
        <w:pStyle w:val="SangriaFrancesaArticulo"/>
      </w:pPr>
      <w:r w:rsidRPr="00DA359F">
        <w:rPr>
          <w:rStyle w:val="TextoNormalNegritaCaracter"/>
        </w:rPr>
        <w:t>Artículo 35.2.</w:t>
      </w:r>
      <w:r w:rsidRPr="00DA359F">
        <w:rPr>
          <w:rStyle w:val="TextoNormalCaracter"/>
        </w:rPr>
        <w:t>-</w:t>
      </w:r>
      <w:r>
        <w:t xml:space="preserve"> Sentencias </w:t>
      </w:r>
      <w:hyperlink w:anchor="SENTENCIA_2023_85" w:history="1">
        <w:r w:rsidRPr="00DA359F">
          <w:rPr>
            <w:rStyle w:val="TextoNormalCaracter"/>
          </w:rPr>
          <w:t>85/2023</w:t>
        </w:r>
      </w:hyperlink>
      <w:r>
        <w:t xml:space="preserve">, f. 2; </w:t>
      </w:r>
      <w:hyperlink w:anchor="SENTENCIA_2023_169" w:history="1">
        <w:r w:rsidRPr="00DA359F">
          <w:rPr>
            <w:rStyle w:val="TextoNormalCaracter"/>
          </w:rPr>
          <w:t>169/2023</w:t>
        </w:r>
      </w:hyperlink>
      <w:r>
        <w:t>, f. 2.</w:t>
      </w:r>
    </w:p>
    <w:p w14:paraId="504F8E38" w14:textId="62E5ACC8" w:rsidR="00DA359F" w:rsidRDefault="00DA359F" w:rsidP="00DA359F">
      <w:pPr>
        <w:pStyle w:val="SangriaIzquierdaArticulo"/>
      </w:pPr>
      <w:r>
        <w:t xml:space="preserve">Autos </w:t>
      </w:r>
      <w:hyperlink w:anchor="AUTO_2023_376" w:history="1">
        <w:r w:rsidRPr="00DA359F">
          <w:rPr>
            <w:rStyle w:val="TextoNormalCaracter"/>
          </w:rPr>
          <w:t>376/2023</w:t>
        </w:r>
      </w:hyperlink>
      <w:r>
        <w:t xml:space="preserve">, f. 4; </w:t>
      </w:r>
      <w:hyperlink w:anchor="AUTO_2023_446" w:history="1">
        <w:r w:rsidRPr="00DA359F">
          <w:rPr>
            <w:rStyle w:val="TextoNormalCaracter"/>
          </w:rPr>
          <w:t>446/2023</w:t>
        </w:r>
      </w:hyperlink>
      <w:r>
        <w:t xml:space="preserve">, ff. 2 a 4; </w:t>
      </w:r>
      <w:hyperlink w:anchor="AUTO_2023_526" w:history="1">
        <w:r w:rsidRPr="00DA359F">
          <w:rPr>
            <w:rStyle w:val="TextoNormalCaracter"/>
          </w:rPr>
          <w:t>526/2023</w:t>
        </w:r>
      </w:hyperlink>
      <w:r>
        <w:t xml:space="preserve">, f. 3; </w:t>
      </w:r>
      <w:hyperlink w:anchor="AUTO_2023_532" w:history="1">
        <w:r w:rsidRPr="00DA359F">
          <w:rPr>
            <w:rStyle w:val="TextoNormalCaracter"/>
          </w:rPr>
          <w:t>532/2023</w:t>
        </w:r>
      </w:hyperlink>
      <w:r>
        <w:t xml:space="preserve">, ff. 2, 3; </w:t>
      </w:r>
      <w:hyperlink w:anchor="AUTO_2023_535" w:history="1">
        <w:r w:rsidRPr="00DA359F">
          <w:rPr>
            <w:rStyle w:val="TextoNormalCaracter"/>
          </w:rPr>
          <w:t>535/2023</w:t>
        </w:r>
      </w:hyperlink>
      <w:r>
        <w:t xml:space="preserve">, ff. 2, 3; </w:t>
      </w:r>
      <w:hyperlink w:anchor="AUTO_2023_604" w:history="1">
        <w:r w:rsidRPr="00DA359F">
          <w:rPr>
            <w:rStyle w:val="TextoNormalCaracter"/>
          </w:rPr>
          <w:t>604/2023</w:t>
        </w:r>
      </w:hyperlink>
      <w:r>
        <w:t xml:space="preserve">, ff. 2, 3; </w:t>
      </w:r>
      <w:hyperlink w:anchor="AUTO_2023_667" w:history="1">
        <w:r w:rsidRPr="00DA359F">
          <w:rPr>
            <w:rStyle w:val="TextoNormalCaracter"/>
          </w:rPr>
          <w:t>667/2023</w:t>
        </w:r>
      </w:hyperlink>
      <w:r>
        <w:t>, f. 4.</w:t>
      </w:r>
    </w:p>
    <w:p w14:paraId="34081873" w14:textId="61F2A610" w:rsidR="00DA359F" w:rsidRDefault="00DA359F" w:rsidP="00DA359F">
      <w:pPr>
        <w:pStyle w:val="SangriaFrancesaArticulo"/>
      </w:pPr>
      <w:r w:rsidRPr="00DA359F">
        <w:rPr>
          <w:rStyle w:val="TextoNormalNegritaCaracter"/>
        </w:rPr>
        <w:t>Artículo 35.3.</w:t>
      </w:r>
      <w:r w:rsidRPr="00DA359F">
        <w:rPr>
          <w:rStyle w:val="TextoNormalCaracter"/>
        </w:rPr>
        <w:t>-</w:t>
      </w:r>
      <w:r>
        <w:t xml:space="preserve"> Auto </w:t>
      </w:r>
      <w:hyperlink w:anchor="AUTO_2023_669" w:history="1">
        <w:r w:rsidRPr="00DA359F">
          <w:rPr>
            <w:rStyle w:val="TextoNormalCaracter"/>
          </w:rPr>
          <w:t>669/2023</w:t>
        </w:r>
      </w:hyperlink>
      <w:r>
        <w:t>, f. 3.</w:t>
      </w:r>
    </w:p>
    <w:p w14:paraId="053430A4" w14:textId="3E65F418" w:rsidR="00DA359F" w:rsidRDefault="00DA359F" w:rsidP="00DA359F">
      <w:pPr>
        <w:pStyle w:val="SangriaFrancesaArticulo"/>
      </w:pPr>
      <w:r w:rsidRPr="00DA359F">
        <w:rPr>
          <w:rStyle w:val="TextoNormalNegritaCaracter"/>
        </w:rPr>
        <w:t>Artículos 35 a 37.</w:t>
      </w:r>
      <w:r w:rsidRPr="00DA359F">
        <w:rPr>
          <w:rStyle w:val="TextoNormalCaracter"/>
        </w:rPr>
        <w:t>-</w:t>
      </w:r>
      <w:r>
        <w:t xml:space="preserve"> Autos </w:t>
      </w:r>
      <w:hyperlink w:anchor="AUTO_2023_376" w:history="1">
        <w:r w:rsidRPr="00DA359F">
          <w:rPr>
            <w:rStyle w:val="TextoNormalCaracter"/>
          </w:rPr>
          <w:t>376/2023</w:t>
        </w:r>
      </w:hyperlink>
      <w:r>
        <w:t xml:space="preserve">, f. 2; </w:t>
      </w:r>
      <w:hyperlink w:anchor="AUTO_2023_526" w:history="1">
        <w:r w:rsidRPr="00DA359F">
          <w:rPr>
            <w:rStyle w:val="TextoNormalCaracter"/>
          </w:rPr>
          <w:t>526/2023</w:t>
        </w:r>
      </w:hyperlink>
      <w:r>
        <w:t xml:space="preserve">, f. 2; </w:t>
      </w:r>
      <w:hyperlink w:anchor="AUTO_2023_532" w:history="1">
        <w:r w:rsidRPr="00DA359F">
          <w:rPr>
            <w:rStyle w:val="TextoNormalCaracter"/>
          </w:rPr>
          <w:t>532/2023</w:t>
        </w:r>
      </w:hyperlink>
      <w:r>
        <w:t xml:space="preserve">, f. 2; </w:t>
      </w:r>
      <w:hyperlink w:anchor="AUTO_2023_535" w:history="1">
        <w:r w:rsidRPr="00DA359F">
          <w:rPr>
            <w:rStyle w:val="TextoNormalCaracter"/>
          </w:rPr>
          <w:t>535/2023</w:t>
        </w:r>
      </w:hyperlink>
      <w:r>
        <w:t xml:space="preserve">, f. 2; </w:t>
      </w:r>
      <w:hyperlink w:anchor="AUTO_2023_604" w:history="1">
        <w:r w:rsidRPr="00DA359F">
          <w:rPr>
            <w:rStyle w:val="TextoNormalCaracter"/>
          </w:rPr>
          <w:t>604/2023</w:t>
        </w:r>
      </w:hyperlink>
      <w:r>
        <w:t xml:space="preserve">, f. 2; </w:t>
      </w:r>
      <w:hyperlink w:anchor="AUTO_2023_667" w:history="1">
        <w:r w:rsidRPr="00DA359F">
          <w:rPr>
            <w:rStyle w:val="TextoNormalCaracter"/>
          </w:rPr>
          <w:t>667/2023</w:t>
        </w:r>
      </w:hyperlink>
      <w:r>
        <w:t>, f. 2.</w:t>
      </w:r>
    </w:p>
    <w:p w14:paraId="7D07A85F" w14:textId="728AEDD0" w:rsidR="00DA359F" w:rsidRDefault="00DA359F" w:rsidP="00DA359F">
      <w:pPr>
        <w:pStyle w:val="SangriaFrancesaArticulo"/>
      </w:pPr>
      <w:r w:rsidRPr="00DA359F">
        <w:rPr>
          <w:rStyle w:val="TextoNormalNegritaCaracter"/>
        </w:rPr>
        <w:t>Artículo 36.</w:t>
      </w:r>
      <w:r w:rsidRPr="00DA359F">
        <w:rPr>
          <w:rStyle w:val="TextoNormalCaracter"/>
        </w:rPr>
        <w:t>-</w:t>
      </w:r>
      <w:r>
        <w:t xml:space="preserve"> Auto </w:t>
      </w:r>
      <w:hyperlink w:anchor="AUTO_2023_526" w:history="1">
        <w:r w:rsidRPr="00DA359F">
          <w:rPr>
            <w:rStyle w:val="TextoNormalCaracter"/>
          </w:rPr>
          <w:t>526/2023</w:t>
        </w:r>
      </w:hyperlink>
      <w:r>
        <w:t>, f. 3.</w:t>
      </w:r>
    </w:p>
    <w:p w14:paraId="751C1690" w14:textId="70CAD90E" w:rsidR="00DA359F" w:rsidRDefault="00DA359F" w:rsidP="00DA359F">
      <w:pPr>
        <w:pStyle w:val="SangriaFrancesaArticulo"/>
      </w:pPr>
      <w:r w:rsidRPr="00DA359F">
        <w:rPr>
          <w:rStyle w:val="TextoNormalNegritaCaracter"/>
        </w:rPr>
        <w:t>Artículo 37.</w:t>
      </w:r>
      <w:r w:rsidRPr="00DA359F">
        <w:rPr>
          <w:rStyle w:val="TextoNormalCaracter"/>
        </w:rPr>
        <w:t>-</w:t>
      </w:r>
      <w:r>
        <w:t xml:space="preserve"> Auto </w:t>
      </w:r>
      <w:hyperlink w:anchor="AUTO_2023_526" w:history="1">
        <w:r w:rsidRPr="00DA359F">
          <w:rPr>
            <w:rStyle w:val="TextoNormalCaracter"/>
          </w:rPr>
          <w:t>526/2023</w:t>
        </w:r>
      </w:hyperlink>
      <w:r>
        <w:t>, f. 3.</w:t>
      </w:r>
    </w:p>
    <w:p w14:paraId="423DC270" w14:textId="6DCBAB60" w:rsidR="00DA359F" w:rsidRDefault="00DA359F" w:rsidP="00DA359F">
      <w:pPr>
        <w:pStyle w:val="SangriaFrancesaArticulo"/>
      </w:pPr>
      <w:r w:rsidRPr="00DA359F">
        <w:rPr>
          <w:rStyle w:val="TextoNormalNegritaCaracter"/>
        </w:rPr>
        <w:t>Artículo 37.1.</w:t>
      </w:r>
      <w:r w:rsidRPr="00DA359F">
        <w:rPr>
          <w:rStyle w:val="TextoNormalCaracter"/>
        </w:rPr>
        <w:t>-</w:t>
      </w:r>
      <w:r>
        <w:t xml:space="preserve"> Autos </w:t>
      </w:r>
      <w:hyperlink w:anchor="AUTO_2023_376" w:history="1">
        <w:r w:rsidRPr="00DA359F">
          <w:rPr>
            <w:rStyle w:val="TextoNormalCaracter"/>
          </w:rPr>
          <w:t>376/2023</w:t>
        </w:r>
      </w:hyperlink>
      <w:r>
        <w:t xml:space="preserve">, ff. 1, 2; </w:t>
      </w:r>
      <w:hyperlink w:anchor="AUTO_2023_446" w:history="1">
        <w:r w:rsidRPr="00DA359F">
          <w:rPr>
            <w:rStyle w:val="TextoNormalCaracter"/>
          </w:rPr>
          <w:t>446/2023</w:t>
        </w:r>
      </w:hyperlink>
      <w:r>
        <w:t xml:space="preserve">, ff. 2, 4; </w:t>
      </w:r>
      <w:hyperlink w:anchor="AUTO_2023_486" w:history="1">
        <w:r w:rsidRPr="00DA359F">
          <w:rPr>
            <w:rStyle w:val="TextoNormalCaracter"/>
          </w:rPr>
          <w:t>486/2023</w:t>
        </w:r>
      </w:hyperlink>
      <w:r>
        <w:t xml:space="preserve">, ff. 1, 2; </w:t>
      </w:r>
      <w:hyperlink w:anchor="AUTO_2023_526" w:history="1">
        <w:r w:rsidRPr="00DA359F">
          <w:rPr>
            <w:rStyle w:val="TextoNormalCaracter"/>
          </w:rPr>
          <w:t>526/2023</w:t>
        </w:r>
      </w:hyperlink>
      <w:r>
        <w:t xml:space="preserve">, ff. 1, 2; </w:t>
      </w:r>
      <w:hyperlink w:anchor="AUTO_2023_532" w:history="1">
        <w:r w:rsidRPr="00DA359F">
          <w:rPr>
            <w:rStyle w:val="TextoNormalCaracter"/>
          </w:rPr>
          <w:t>532/2023</w:t>
        </w:r>
      </w:hyperlink>
      <w:r>
        <w:t xml:space="preserve">, ff. 1, 2; </w:t>
      </w:r>
      <w:hyperlink w:anchor="AUTO_2023_535" w:history="1">
        <w:r w:rsidRPr="00DA359F">
          <w:rPr>
            <w:rStyle w:val="TextoNormalCaracter"/>
          </w:rPr>
          <w:t>535/2023</w:t>
        </w:r>
      </w:hyperlink>
      <w:r>
        <w:t xml:space="preserve">, ff. 1, 2; </w:t>
      </w:r>
      <w:hyperlink w:anchor="AUTO_2023_603" w:history="1">
        <w:r w:rsidRPr="00DA359F">
          <w:rPr>
            <w:rStyle w:val="TextoNormalCaracter"/>
          </w:rPr>
          <w:t>603/2023</w:t>
        </w:r>
      </w:hyperlink>
      <w:r>
        <w:t xml:space="preserve">, ff. 1, 2; </w:t>
      </w:r>
      <w:hyperlink w:anchor="AUTO_2023_604" w:history="1">
        <w:r w:rsidRPr="00DA359F">
          <w:rPr>
            <w:rStyle w:val="TextoNormalCaracter"/>
          </w:rPr>
          <w:t>604/2023</w:t>
        </w:r>
      </w:hyperlink>
      <w:r>
        <w:t xml:space="preserve">, f. 2; </w:t>
      </w:r>
      <w:hyperlink w:anchor="AUTO_2023_667" w:history="1">
        <w:r w:rsidRPr="00DA359F">
          <w:rPr>
            <w:rStyle w:val="TextoNormalCaracter"/>
          </w:rPr>
          <w:t>667/2023</w:t>
        </w:r>
      </w:hyperlink>
      <w:r>
        <w:t xml:space="preserve">, ff. 1, 2; </w:t>
      </w:r>
      <w:hyperlink w:anchor="AUTO_2023_669" w:history="1">
        <w:r w:rsidRPr="00DA359F">
          <w:rPr>
            <w:rStyle w:val="TextoNormalCaracter"/>
          </w:rPr>
          <w:t>669/2023</w:t>
        </w:r>
      </w:hyperlink>
      <w:r>
        <w:t>, ff. 1, 3.</w:t>
      </w:r>
    </w:p>
    <w:p w14:paraId="1B32F3B0" w14:textId="747A4139" w:rsidR="00DA359F" w:rsidRDefault="00DA359F" w:rsidP="00DA359F">
      <w:pPr>
        <w:pStyle w:val="SangriaFrancesaArticulo"/>
      </w:pPr>
      <w:r w:rsidRPr="00DA359F">
        <w:rPr>
          <w:rStyle w:val="TextoNormalNegritaCaracter"/>
        </w:rPr>
        <w:t>Artículo 39.</w:t>
      </w:r>
      <w:r w:rsidRPr="00DA359F">
        <w:rPr>
          <w:rStyle w:val="TextoNormalCaracter"/>
        </w:rPr>
        <w:t>-</w:t>
      </w:r>
      <w:r>
        <w:t xml:space="preserve"> Sentencia </w:t>
      </w:r>
      <w:hyperlink w:anchor="SENTENCIA_2023_168" w:history="1">
        <w:r w:rsidRPr="00DA359F">
          <w:rPr>
            <w:rStyle w:val="TextoNormalCaracter"/>
          </w:rPr>
          <w:t>168/2023</w:t>
        </w:r>
      </w:hyperlink>
      <w:r>
        <w:t>, f. 2.</w:t>
      </w:r>
    </w:p>
    <w:p w14:paraId="23435AE6" w14:textId="5C03DC71" w:rsidR="00DA359F" w:rsidRDefault="00DA359F" w:rsidP="00DA359F">
      <w:pPr>
        <w:pStyle w:val="SangriaFrancesaArticulo"/>
      </w:pPr>
      <w:r w:rsidRPr="00DA359F">
        <w:rPr>
          <w:rStyle w:val="TextoNormalNegritaCaracter"/>
        </w:rPr>
        <w:t>Artículo 39.2.</w:t>
      </w:r>
      <w:r w:rsidRPr="00DA359F">
        <w:rPr>
          <w:rStyle w:val="TextoNormalCaracter"/>
        </w:rPr>
        <w:t>-</w:t>
      </w:r>
      <w:r>
        <w:t xml:space="preserve"> Sentencia </w:t>
      </w:r>
      <w:hyperlink w:anchor="SENTENCIA_2023_127" w:history="1">
        <w:r w:rsidRPr="00DA359F">
          <w:rPr>
            <w:rStyle w:val="TextoNormalCaracter"/>
          </w:rPr>
          <w:t>127/2023</w:t>
        </w:r>
      </w:hyperlink>
      <w:r>
        <w:t>, f. 5, VP.</w:t>
      </w:r>
    </w:p>
    <w:p w14:paraId="3AB36DD3" w14:textId="66439D1F" w:rsidR="00DA359F" w:rsidRDefault="00DA359F" w:rsidP="00DA359F">
      <w:pPr>
        <w:pStyle w:val="SangriaFrancesaArticulo"/>
      </w:pPr>
      <w:r w:rsidRPr="00DA359F">
        <w:rPr>
          <w:rStyle w:val="TextoNormalNegritaCaracter"/>
        </w:rPr>
        <w:t>Artículo 41.</w:t>
      </w:r>
      <w:r w:rsidRPr="00DA359F">
        <w:rPr>
          <w:rStyle w:val="TextoNormalCaracter"/>
        </w:rPr>
        <w:t>-</w:t>
      </w:r>
      <w:r>
        <w:t xml:space="preserve"> Sentencia </w:t>
      </w:r>
      <w:hyperlink w:anchor="SENTENCIA_2023_123" w:history="1">
        <w:r w:rsidRPr="00DA359F">
          <w:rPr>
            <w:rStyle w:val="TextoNormalCaracter"/>
          </w:rPr>
          <w:t>123/2023</w:t>
        </w:r>
      </w:hyperlink>
      <w:r>
        <w:t>, f. 2.</w:t>
      </w:r>
    </w:p>
    <w:p w14:paraId="16DD3EBF" w14:textId="15C6F45E" w:rsidR="00DA359F" w:rsidRDefault="00DA359F" w:rsidP="00DA359F">
      <w:pPr>
        <w:pStyle w:val="SangriaIzquierdaArticulo"/>
      </w:pPr>
      <w:r>
        <w:t xml:space="preserve">Autos </w:t>
      </w:r>
      <w:hyperlink w:anchor="AUTO_2023_338" w:history="1">
        <w:r w:rsidRPr="00DA359F">
          <w:rPr>
            <w:rStyle w:val="TextoNormalCaracter"/>
          </w:rPr>
          <w:t>338/2023</w:t>
        </w:r>
      </w:hyperlink>
      <w:r>
        <w:t xml:space="preserve">, VP; </w:t>
      </w:r>
      <w:hyperlink w:anchor="AUTO_2023_425" w:history="1">
        <w:r w:rsidRPr="00DA359F">
          <w:rPr>
            <w:rStyle w:val="TextoNormalCaracter"/>
          </w:rPr>
          <w:t>425/2023</w:t>
        </w:r>
      </w:hyperlink>
      <w:r>
        <w:t>, VP.</w:t>
      </w:r>
    </w:p>
    <w:p w14:paraId="1E19547C" w14:textId="11017E71" w:rsidR="00DA359F" w:rsidRDefault="00DA359F" w:rsidP="00DA359F">
      <w:pPr>
        <w:pStyle w:val="SangriaFrancesaArticulo"/>
      </w:pPr>
      <w:r w:rsidRPr="00DA359F">
        <w:rPr>
          <w:rStyle w:val="TextoNormalNegritaCaracter"/>
        </w:rPr>
        <w:t>Artículo 41 a 46.</w:t>
      </w:r>
      <w:r w:rsidRPr="00DA359F">
        <w:rPr>
          <w:rStyle w:val="TextoNormalCaracter"/>
        </w:rPr>
        <w:t>-</w:t>
      </w:r>
      <w:r>
        <w:t xml:space="preserve"> Auto </w:t>
      </w:r>
      <w:hyperlink w:anchor="AUTO_2023_427" w:history="1">
        <w:r w:rsidRPr="00DA359F">
          <w:rPr>
            <w:rStyle w:val="TextoNormalCaracter"/>
          </w:rPr>
          <w:t>427/2023</w:t>
        </w:r>
      </w:hyperlink>
      <w:r>
        <w:t>, VP.</w:t>
      </w:r>
    </w:p>
    <w:p w14:paraId="067240D7" w14:textId="0B0E4A91" w:rsidR="00DA359F" w:rsidRDefault="00DA359F" w:rsidP="00DA359F">
      <w:pPr>
        <w:pStyle w:val="SangriaFrancesaArticulo"/>
      </w:pPr>
      <w:r w:rsidRPr="00DA359F">
        <w:rPr>
          <w:rStyle w:val="TextoNormalNegritaCaracter"/>
        </w:rPr>
        <w:t>Artículo 41.1.</w:t>
      </w:r>
      <w:r w:rsidRPr="00DA359F">
        <w:rPr>
          <w:rStyle w:val="TextoNormalCaracter"/>
        </w:rPr>
        <w:t>-</w:t>
      </w:r>
      <w:r>
        <w:t xml:space="preserve"> Sentencias </w:t>
      </w:r>
      <w:hyperlink w:anchor="SENTENCIA_2023_78" w:history="1">
        <w:r w:rsidRPr="00DA359F">
          <w:rPr>
            <w:rStyle w:val="TextoNormalCaracter"/>
          </w:rPr>
          <w:t>78/2023</w:t>
        </w:r>
      </w:hyperlink>
      <w:r>
        <w:t xml:space="preserve">, f. 4; </w:t>
      </w:r>
      <w:hyperlink w:anchor="SENTENCIA_2023_89" w:history="1">
        <w:r w:rsidRPr="00DA359F">
          <w:rPr>
            <w:rStyle w:val="TextoNormalCaracter"/>
          </w:rPr>
          <w:t>89/2023</w:t>
        </w:r>
      </w:hyperlink>
      <w:r>
        <w:t>, f. 3.</w:t>
      </w:r>
    </w:p>
    <w:p w14:paraId="1A962F50" w14:textId="67E15E94" w:rsidR="00DA359F" w:rsidRDefault="00DA359F" w:rsidP="00DA359F">
      <w:pPr>
        <w:pStyle w:val="SangriaFrancesaArticulo"/>
      </w:pPr>
      <w:r w:rsidRPr="00DA359F">
        <w:rPr>
          <w:rStyle w:val="TextoNormalNegritaCaracter"/>
        </w:rPr>
        <w:t>Artículo 41.2.</w:t>
      </w:r>
      <w:r w:rsidRPr="00DA359F">
        <w:rPr>
          <w:rStyle w:val="TextoNormalCaracter"/>
        </w:rPr>
        <w:t>-</w:t>
      </w:r>
      <w:r>
        <w:t xml:space="preserve"> Sentencia </w:t>
      </w:r>
      <w:hyperlink w:anchor="SENTENCIA_2023_129" w:history="1">
        <w:r w:rsidRPr="00DA359F">
          <w:rPr>
            <w:rStyle w:val="TextoNormalCaracter"/>
          </w:rPr>
          <w:t>129/2023</w:t>
        </w:r>
      </w:hyperlink>
      <w:r>
        <w:t>, f. 2.</w:t>
      </w:r>
    </w:p>
    <w:p w14:paraId="00E9EDE3" w14:textId="63CD71AF" w:rsidR="00DA359F" w:rsidRDefault="00DA359F" w:rsidP="00DA359F">
      <w:pPr>
        <w:pStyle w:val="SangriaFrancesaArticulo"/>
      </w:pPr>
      <w:r w:rsidRPr="00DA359F">
        <w:rPr>
          <w:rStyle w:val="TextoNormalNegritaCaracter"/>
        </w:rPr>
        <w:t>Artículos 41 a 46.</w:t>
      </w:r>
      <w:r w:rsidRPr="00DA359F">
        <w:rPr>
          <w:rStyle w:val="TextoNormalCaracter"/>
        </w:rPr>
        <w:t>-</w:t>
      </w:r>
      <w:r>
        <w:t xml:space="preserve"> Auto </w:t>
      </w:r>
      <w:hyperlink w:anchor="AUTO_2023_448" w:history="1">
        <w:r w:rsidRPr="00DA359F">
          <w:rPr>
            <w:rStyle w:val="TextoNormalCaracter"/>
          </w:rPr>
          <w:t>448/2023</w:t>
        </w:r>
      </w:hyperlink>
      <w:r>
        <w:t>, f. 3.</w:t>
      </w:r>
    </w:p>
    <w:p w14:paraId="0CB493CB" w14:textId="1D427681" w:rsidR="00DA359F" w:rsidRDefault="00DA359F" w:rsidP="00DA359F">
      <w:pPr>
        <w:pStyle w:val="SangriaFrancesaArticulo"/>
      </w:pPr>
      <w:r w:rsidRPr="00DA359F">
        <w:rPr>
          <w:rStyle w:val="TextoNormalNegritaCaracter"/>
        </w:rPr>
        <w:t>Artículo 42.</w:t>
      </w:r>
      <w:r w:rsidRPr="00DA359F">
        <w:rPr>
          <w:rStyle w:val="TextoNormalCaracter"/>
        </w:rPr>
        <w:t>-</w:t>
      </w:r>
      <w:r>
        <w:t xml:space="preserve"> Sentencias </w:t>
      </w:r>
      <w:hyperlink w:anchor="SENTENCIA_2023_82" w:history="1">
        <w:r w:rsidRPr="00DA359F">
          <w:rPr>
            <w:rStyle w:val="TextoNormalCaracter"/>
          </w:rPr>
          <w:t>82/2023</w:t>
        </w:r>
      </w:hyperlink>
      <w:r>
        <w:t xml:space="preserve">, ff. 2 a 4; </w:t>
      </w:r>
      <w:hyperlink w:anchor="SENTENCIA_2023_93" w:history="1">
        <w:r w:rsidRPr="00DA359F">
          <w:rPr>
            <w:rStyle w:val="TextoNormalCaracter"/>
          </w:rPr>
          <w:t>93/2023</w:t>
        </w:r>
      </w:hyperlink>
      <w:r>
        <w:t xml:space="preserve">, ff. 1, 4; </w:t>
      </w:r>
      <w:hyperlink w:anchor="SENTENCIA_2023_125" w:history="1">
        <w:r w:rsidRPr="00DA359F">
          <w:rPr>
            <w:rStyle w:val="TextoNormalCaracter"/>
          </w:rPr>
          <w:t>125/2023</w:t>
        </w:r>
      </w:hyperlink>
      <w:r>
        <w:t xml:space="preserve">, f. 1; </w:t>
      </w:r>
      <w:hyperlink w:anchor="SENTENCIA_2023_165" w:history="1">
        <w:r w:rsidRPr="00DA359F">
          <w:rPr>
            <w:rStyle w:val="TextoNormalCaracter"/>
          </w:rPr>
          <w:t>165/2023</w:t>
        </w:r>
      </w:hyperlink>
      <w:r>
        <w:t xml:space="preserve">, f. 1, VP I; </w:t>
      </w:r>
      <w:hyperlink w:anchor="SENTENCIA_2023_167" w:history="1">
        <w:r w:rsidRPr="00DA359F">
          <w:rPr>
            <w:rStyle w:val="TextoNormalCaracter"/>
          </w:rPr>
          <w:t>167/2023</w:t>
        </w:r>
      </w:hyperlink>
      <w:r>
        <w:t>, ff. 3, 8.</w:t>
      </w:r>
    </w:p>
    <w:p w14:paraId="7DDA0EE4" w14:textId="1EF478C9" w:rsidR="00DA359F" w:rsidRDefault="00DA359F" w:rsidP="00DA359F">
      <w:pPr>
        <w:pStyle w:val="SangriaFrancesaArticulo"/>
      </w:pPr>
      <w:r w:rsidRPr="00DA359F">
        <w:rPr>
          <w:rStyle w:val="TextoNormalNegritaCaracter"/>
        </w:rPr>
        <w:t>Artículo 43.</w:t>
      </w:r>
      <w:r w:rsidRPr="00DA359F">
        <w:rPr>
          <w:rStyle w:val="TextoNormalCaracter"/>
        </w:rPr>
        <w:t>-</w:t>
      </w:r>
      <w:r>
        <w:t xml:space="preserve"> Sentencias </w:t>
      </w:r>
      <w:hyperlink w:anchor="SENTENCIA_2023_78" w:history="1">
        <w:r w:rsidRPr="00DA359F">
          <w:rPr>
            <w:rStyle w:val="TextoNormalCaracter"/>
          </w:rPr>
          <w:t>78/2023</w:t>
        </w:r>
      </w:hyperlink>
      <w:r>
        <w:t xml:space="preserve">, f. 4; </w:t>
      </w:r>
      <w:hyperlink w:anchor="SENTENCIA_2023_82" w:history="1">
        <w:r w:rsidRPr="00DA359F">
          <w:rPr>
            <w:rStyle w:val="TextoNormalCaracter"/>
          </w:rPr>
          <w:t>82/2023</w:t>
        </w:r>
      </w:hyperlink>
      <w:r>
        <w:t xml:space="preserve">, f. 3, 4; </w:t>
      </w:r>
      <w:hyperlink w:anchor="SENTENCIA_2023_86" w:history="1">
        <w:r w:rsidRPr="00DA359F">
          <w:rPr>
            <w:rStyle w:val="TextoNormalCaracter"/>
          </w:rPr>
          <w:t>86/2023</w:t>
        </w:r>
      </w:hyperlink>
      <w:r>
        <w:t xml:space="preserve">, f. 2; </w:t>
      </w:r>
      <w:hyperlink w:anchor="SENTENCIA_2023_87" w:history="1">
        <w:r w:rsidRPr="00DA359F">
          <w:rPr>
            <w:rStyle w:val="TextoNormalCaracter"/>
          </w:rPr>
          <w:t>87/2023</w:t>
        </w:r>
      </w:hyperlink>
      <w:r>
        <w:t xml:space="preserve">, f. 2; </w:t>
      </w:r>
      <w:hyperlink w:anchor="SENTENCIA_2023_88" w:history="1">
        <w:r w:rsidRPr="00DA359F">
          <w:rPr>
            <w:rStyle w:val="TextoNormalCaracter"/>
          </w:rPr>
          <w:t>88/2023</w:t>
        </w:r>
      </w:hyperlink>
      <w:r>
        <w:t xml:space="preserve">, f. 2; </w:t>
      </w:r>
      <w:hyperlink w:anchor="SENTENCIA_2023_102" w:history="1">
        <w:r w:rsidRPr="00DA359F">
          <w:rPr>
            <w:rStyle w:val="TextoNormalCaracter"/>
          </w:rPr>
          <w:t>102/2023</w:t>
        </w:r>
      </w:hyperlink>
      <w:r>
        <w:t xml:space="preserve">, f. 2; </w:t>
      </w:r>
      <w:hyperlink w:anchor="SENTENCIA_2023_106" w:history="1">
        <w:r w:rsidRPr="00DA359F">
          <w:rPr>
            <w:rStyle w:val="TextoNormalCaracter"/>
          </w:rPr>
          <w:t>106/2023</w:t>
        </w:r>
      </w:hyperlink>
      <w:r>
        <w:t xml:space="preserve">, f. 2; </w:t>
      </w:r>
      <w:hyperlink w:anchor="SENTENCIA_2023_115" w:history="1">
        <w:r w:rsidRPr="00DA359F">
          <w:rPr>
            <w:rStyle w:val="TextoNormalCaracter"/>
          </w:rPr>
          <w:t>115/2023</w:t>
        </w:r>
      </w:hyperlink>
      <w:r>
        <w:t xml:space="preserve">, f. 2; </w:t>
      </w:r>
      <w:hyperlink w:anchor="SENTENCIA_2023_130" w:history="1">
        <w:r w:rsidRPr="00DA359F">
          <w:rPr>
            <w:rStyle w:val="TextoNormalCaracter"/>
          </w:rPr>
          <w:t>130/2023</w:t>
        </w:r>
      </w:hyperlink>
      <w:r>
        <w:t xml:space="preserve">, f. único; </w:t>
      </w:r>
      <w:hyperlink w:anchor="SENTENCIA_2023_150" w:history="1">
        <w:r w:rsidRPr="00DA359F">
          <w:rPr>
            <w:rStyle w:val="TextoNormalCaracter"/>
          </w:rPr>
          <w:t>150/2023</w:t>
        </w:r>
      </w:hyperlink>
      <w:r>
        <w:t xml:space="preserve">, f. 2; </w:t>
      </w:r>
      <w:hyperlink w:anchor="SENTENCIA_2023_174" w:history="1">
        <w:r w:rsidRPr="00DA359F">
          <w:rPr>
            <w:rStyle w:val="TextoNormalCaracter"/>
          </w:rPr>
          <w:t>174/2023</w:t>
        </w:r>
      </w:hyperlink>
      <w:r>
        <w:t xml:space="preserve">, f. 2; </w:t>
      </w:r>
      <w:hyperlink w:anchor="SENTENCIA_2023_179" w:history="1">
        <w:r w:rsidRPr="00DA359F">
          <w:rPr>
            <w:rStyle w:val="TextoNormalCaracter"/>
          </w:rPr>
          <w:t>179/2023</w:t>
        </w:r>
      </w:hyperlink>
      <w:r>
        <w:t>, f. 1.</w:t>
      </w:r>
    </w:p>
    <w:p w14:paraId="5E5D0749" w14:textId="74E5556B" w:rsidR="00DA359F" w:rsidRDefault="00DA359F" w:rsidP="00DA359F">
      <w:pPr>
        <w:pStyle w:val="SangriaFrancesaArticulo"/>
      </w:pPr>
      <w:r w:rsidRPr="00DA359F">
        <w:rPr>
          <w:rStyle w:val="TextoNormalNegritaCaracter"/>
        </w:rPr>
        <w:t>Artículo 43.1.</w:t>
      </w:r>
      <w:r w:rsidRPr="00DA359F">
        <w:rPr>
          <w:rStyle w:val="TextoNormalCaracter"/>
        </w:rPr>
        <w:t>-</w:t>
      </w:r>
      <w:r>
        <w:t xml:space="preserve"> Sentencias </w:t>
      </w:r>
      <w:hyperlink w:anchor="SENTENCIA_2023_82" w:history="1">
        <w:r w:rsidRPr="00DA359F">
          <w:rPr>
            <w:rStyle w:val="TextoNormalCaracter"/>
          </w:rPr>
          <w:t>82/2023</w:t>
        </w:r>
      </w:hyperlink>
      <w:r>
        <w:t xml:space="preserve">, f. 4; </w:t>
      </w:r>
      <w:hyperlink w:anchor="SENTENCIA_2023_123" w:history="1">
        <w:r w:rsidRPr="00DA359F">
          <w:rPr>
            <w:rStyle w:val="TextoNormalCaracter"/>
          </w:rPr>
          <w:t>123/2023</w:t>
        </w:r>
      </w:hyperlink>
      <w:r>
        <w:t xml:space="preserve">, f. 2; </w:t>
      </w:r>
      <w:hyperlink w:anchor="SENTENCIA_2023_130" w:history="1">
        <w:r w:rsidRPr="00DA359F">
          <w:rPr>
            <w:rStyle w:val="TextoNormalCaracter"/>
          </w:rPr>
          <w:t>130/2023</w:t>
        </w:r>
      </w:hyperlink>
      <w:r>
        <w:t>, f. único.</w:t>
      </w:r>
    </w:p>
    <w:p w14:paraId="0141B21F" w14:textId="32904FD9" w:rsidR="00DA359F" w:rsidRDefault="00DA359F" w:rsidP="00DA359F">
      <w:pPr>
        <w:pStyle w:val="SangriaFrancesaArticulo"/>
      </w:pPr>
      <w:r w:rsidRPr="00DA359F">
        <w:rPr>
          <w:rStyle w:val="TextoNormalNegritaCaracter"/>
        </w:rPr>
        <w:t>Artículo 43.2.</w:t>
      </w:r>
      <w:r w:rsidRPr="00DA359F">
        <w:rPr>
          <w:rStyle w:val="TextoNormalCaracter"/>
        </w:rPr>
        <w:t>-</w:t>
      </w:r>
      <w:r>
        <w:t xml:space="preserve"> Sentencia </w:t>
      </w:r>
      <w:hyperlink w:anchor="SENTENCIA_2023_87" w:history="1">
        <w:r w:rsidRPr="00DA359F">
          <w:rPr>
            <w:rStyle w:val="TextoNormalCaracter"/>
          </w:rPr>
          <w:t>87/2023</w:t>
        </w:r>
      </w:hyperlink>
      <w:r>
        <w:t>, f. 2.</w:t>
      </w:r>
    </w:p>
    <w:p w14:paraId="0A84DB98" w14:textId="336537D6" w:rsidR="00DA359F" w:rsidRDefault="00DA359F" w:rsidP="00DA359F">
      <w:pPr>
        <w:pStyle w:val="SangriaFrancesaArticulo"/>
      </w:pPr>
      <w:r w:rsidRPr="00DA359F">
        <w:rPr>
          <w:rStyle w:val="TextoNormalNegritaCaracter"/>
        </w:rPr>
        <w:t>Artículo 44.</w:t>
      </w:r>
      <w:r w:rsidRPr="00DA359F">
        <w:rPr>
          <w:rStyle w:val="TextoNormalCaracter"/>
        </w:rPr>
        <w:t>-</w:t>
      </w:r>
      <w:r>
        <w:t xml:space="preserve"> Sentencias </w:t>
      </w:r>
      <w:hyperlink w:anchor="SENTENCIA_2023_79" w:history="1">
        <w:r w:rsidRPr="00DA359F">
          <w:rPr>
            <w:rStyle w:val="TextoNormalCaracter"/>
          </w:rPr>
          <w:t>79/2023</w:t>
        </w:r>
      </w:hyperlink>
      <w:r>
        <w:t xml:space="preserve">, f. 2; </w:t>
      </w:r>
      <w:hyperlink w:anchor="SENTENCIA_2023_82" w:history="1">
        <w:r w:rsidRPr="00DA359F">
          <w:rPr>
            <w:rStyle w:val="TextoNormalCaracter"/>
          </w:rPr>
          <w:t>82/2023</w:t>
        </w:r>
      </w:hyperlink>
      <w:r>
        <w:t xml:space="preserve">, f. 2; </w:t>
      </w:r>
      <w:hyperlink w:anchor="SENTENCIA_2023_86" w:history="1">
        <w:r w:rsidRPr="00DA359F">
          <w:rPr>
            <w:rStyle w:val="TextoNormalCaracter"/>
          </w:rPr>
          <w:t>86/2023</w:t>
        </w:r>
      </w:hyperlink>
      <w:r>
        <w:t xml:space="preserve">, f. 2; </w:t>
      </w:r>
      <w:hyperlink w:anchor="SENTENCIA_2023_130" w:history="1">
        <w:r w:rsidRPr="00DA359F">
          <w:rPr>
            <w:rStyle w:val="TextoNormalCaracter"/>
          </w:rPr>
          <w:t>130/2023</w:t>
        </w:r>
      </w:hyperlink>
      <w:r>
        <w:t>, f. único.</w:t>
      </w:r>
    </w:p>
    <w:p w14:paraId="0D91AA36" w14:textId="228AD288" w:rsidR="00DA359F" w:rsidRDefault="00DA359F" w:rsidP="00DA359F">
      <w:pPr>
        <w:pStyle w:val="SangriaFrancesaArticulo"/>
      </w:pPr>
      <w:r w:rsidRPr="00DA359F">
        <w:rPr>
          <w:rStyle w:val="TextoNormalNegritaCaracter"/>
        </w:rPr>
        <w:t>Artículo 44.1.</w:t>
      </w:r>
      <w:r w:rsidRPr="00DA359F">
        <w:rPr>
          <w:rStyle w:val="TextoNormalCaracter"/>
        </w:rPr>
        <w:t>-</w:t>
      </w:r>
      <w:r>
        <w:t xml:space="preserve"> Sentencias </w:t>
      </w:r>
      <w:hyperlink w:anchor="SENTENCIA_2023_78" w:history="1">
        <w:r w:rsidRPr="00DA359F">
          <w:rPr>
            <w:rStyle w:val="TextoNormalCaracter"/>
          </w:rPr>
          <w:t>78/2023</w:t>
        </w:r>
      </w:hyperlink>
      <w:r>
        <w:t xml:space="preserve">, f. 4; </w:t>
      </w:r>
      <w:hyperlink w:anchor="SENTENCIA_2023_84" w:history="1">
        <w:r w:rsidRPr="00DA359F">
          <w:rPr>
            <w:rStyle w:val="TextoNormalCaracter"/>
          </w:rPr>
          <w:t>84/2023</w:t>
        </w:r>
      </w:hyperlink>
      <w:r>
        <w:t xml:space="preserve">, f. 1; </w:t>
      </w:r>
      <w:hyperlink w:anchor="SENTENCIA_2023_92" w:history="1">
        <w:r w:rsidRPr="00DA359F">
          <w:rPr>
            <w:rStyle w:val="TextoNormalCaracter"/>
          </w:rPr>
          <w:t>92/2023</w:t>
        </w:r>
      </w:hyperlink>
      <w:r>
        <w:t xml:space="preserve">, f. 3; </w:t>
      </w:r>
      <w:hyperlink w:anchor="SENTENCIA_2023_129" w:history="1">
        <w:r w:rsidRPr="00DA359F">
          <w:rPr>
            <w:rStyle w:val="TextoNormalCaracter"/>
          </w:rPr>
          <w:t>129/2023</w:t>
        </w:r>
      </w:hyperlink>
      <w:r>
        <w:t xml:space="preserve">, f. 2; </w:t>
      </w:r>
      <w:hyperlink w:anchor="SENTENCIA_2023_130" w:history="1">
        <w:r w:rsidRPr="00DA359F">
          <w:rPr>
            <w:rStyle w:val="TextoNormalCaracter"/>
          </w:rPr>
          <w:t>130/2023</w:t>
        </w:r>
      </w:hyperlink>
      <w:r>
        <w:t>, f. único.</w:t>
      </w:r>
    </w:p>
    <w:p w14:paraId="747837DB" w14:textId="5E3636EF" w:rsidR="00DA359F" w:rsidRDefault="00DA359F" w:rsidP="00DA359F">
      <w:pPr>
        <w:pStyle w:val="SangriaIzquierdaArticulo"/>
      </w:pPr>
      <w:r>
        <w:t xml:space="preserve">Auto </w:t>
      </w:r>
      <w:hyperlink w:anchor="AUTO_2023_425" w:history="1">
        <w:r w:rsidRPr="00DA359F">
          <w:rPr>
            <w:rStyle w:val="TextoNormalCaracter"/>
          </w:rPr>
          <w:t>425/2023</w:t>
        </w:r>
      </w:hyperlink>
      <w:r>
        <w:t>, VP.</w:t>
      </w:r>
    </w:p>
    <w:p w14:paraId="42C62ADE" w14:textId="1C53E587" w:rsidR="00DA359F" w:rsidRDefault="00DA359F" w:rsidP="00DA359F">
      <w:pPr>
        <w:pStyle w:val="SangriaFrancesaArticulo"/>
      </w:pPr>
      <w:r w:rsidRPr="00DA359F">
        <w:rPr>
          <w:rStyle w:val="TextoNormalNegritaCaracter"/>
        </w:rPr>
        <w:t>Artículo 44.1 a).</w:t>
      </w:r>
      <w:r w:rsidRPr="00DA359F">
        <w:rPr>
          <w:rStyle w:val="TextoNormalCaracter"/>
        </w:rPr>
        <w:t>-</w:t>
      </w:r>
      <w:r>
        <w:t xml:space="preserve"> Sentencias </w:t>
      </w:r>
      <w:hyperlink w:anchor="SENTENCIA_2023_80" w:history="1">
        <w:r w:rsidRPr="00DA359F">
          <w:rPr>
            <w:rStyle w:val="TextoNormalCaracter"/>
          </w:rPr>
          <w:t>80/2023</w:t>
        </w:r>
      </w:hyperlink>
      <w:r>
        <w:t xml:space="preserve">, f. 2; </w:t>
      </w:r>
      <w:hyperlink w:anchor="SENTENCIA_2023_87" w:history="1">
        <w:r w:rsidRPr="00DA359F">
          <w:rPr>
            <w:rStyle w:val="TextoNormalCaracter"/>
          </w:rPr>
          <w:t>87/2023</w:t>
        </w:r>
      </w:hyperlink>
      <w:r>
        <w:t xml:space="preserve">, f. 2; </w:t>
      </w:r>
      <w:hyperlink w:anchor="SENTENCIA_2023_89" w:history="1">
        <w:r w:rsidRPr="00DA359F">
          <w:rPr>
            <w:rStyle w:val="TextoNormalCaracter"/>
          </w:rPr>
          <w:t>89/2023</w:t>
        </w:r>
      </w:hyperlink>
      <w:r>
        <w:t xml:space="preserve">, f. 2; </w:t>
      </w:r>
      <w:hyperlink w:anchor="SENTENCIA_2023_92" w:history="1">
        <w:r w:rsidRPr="00DA359F">
          <w:rPr>
            <w:rStyle w:val="TextoNormalCaracter"/>
          </w:rPr>
          <w:t>92/2023</w:t>
        </w:r>
      </w:hyperlink>
      <w:r>
        <w:t xml:space="preserve">, f. 3; </w:t>
      </w:r>
      <w:hyperlink w:anchor="SENTENCIA_2023_101" w:history="1">
        <w:r w:rsidRPr="00DA359F">
          <w:rPr>
            <w:rStyle w:val="TextoNormalCaracter"/>
          </w:rPr>
          <w:t>101/2023</w:t>
        </w:r>
      </w:hyperlink>
      <w:r>
        <w:t xml:space="preserve">, f. 3; </w:t>
      </w:r>
      <w:hyperlink w:anchor="SENTENCIA_2023_102" w:history="1">
        <w:r w:rsidRPr="00DA359F">
          <w:rPr>
            <w:rStyle w:val="TextoNormalCaracter"/>
          </w:rPr>
          <w:t>102/2023</w:t>
        </w:r>
      </w:hyperlink>
      <w:r>
        <w:t xml:space="preserve">, f. 2; </w:t>
      </w:r>
      <w:hyperlink w:anchor="SENTENCIA_2023_106" w:history="1">
        <w:r w:rsidRPr="00DA359F">
          <w:rPr>
            <w:rStyle w:val="TextoNormalCaracter"/>
          </w:rPr>
          <w:t>106/2023</w:t>
        </w:r>
      </w:hyperlink>
      <w:r>
        <w:t xml:space="preserve">, f. 2; </w:t>
      </w:r>
      <w:hyperlink w:anchor="SENTENCIA_2023_115" w:history="1">
        <w:r w:rsidRPr="00DA359F">
          <w:rPr>
            <w:rStyle w:val="TextoNormalCaracter"/>
          </w:rPr>
          <w:t>115/2023</w:t>
        </w:r>
      </w:hyperlink>
      <w:r>
        <w:t xml:space="preserve">, f. 2; </w:t>
      </w:r>
      <w:hyperlink w:anchor="SENTENCIA_2023_123" w:history="1">
        <w:r w:rsidRPr="00DA359F">
          <w:rPr>
            <w:rStyle w:val="TextoNormalCaracter"/>
          </w:rPr>
          <w:t>123/2023</w:t>
        </w:r>
      </w:hyperlink>
      <w:r>
        <w:t xml:space="preserve">, f. 2; </w:t>
      </w:r>
      <w:hyperlink w:anchor="SENTENCIA_2023_129" w:history="1">
        <w:r w:rsidRPr="00DA359F">
          <w:rPr>
            <w:rStyle w:val="TextoNormalCaracter"/>
          </w:rPr>
          <w:t>129/2023</w:t>
        </w:r>
      </w:hyperlink>
      <w:r>
        <w:t xml:space="preserve">, f. 2; </w:t>
      </w:r>
      <w:hyperlink w:anchor="SENTENCIA_2023_148" w:history="1">
        <w:r w:rsidRPr="00DA359F">
          <w:rPr>
            <w:rStyle w:val="TextoNormalCaracter"/>
          </w:rPr>
          <w:t>148/2023</w:t>
        </w:r>
      </w:hyperlink>
      <w:r>
        <w:t xml:space="preserve">, f. 2; </w:t>
      </w:r>
      <w:hyperlink w:anchor="SENTENCIA_2023_151" w:history="1">
        <w:r w:rsidRPr="00DA359F">
          <w:rPr>
            <w:rStyle w:val="TextoNormalCaracter"/>
          </w:rPr>
          <w:t>151/2023</w:t>
        </w:r>
      </w:hyperlink>
      <w:r>
        <w:t xml:space="preserve">, f. 2; </w:t>
      </w:r>
      <w:hyperlink w:anchor="SENTENCIA_2023_153" w:history="1">
        <w:r w:rsidRPr="00DA359F">
          <w:rPr>
            <w:rStyle w:val="TextoNormalCaracter"/>
          </w:rPr>
          <w:t>153/2023</w:t>
        </w:r>
      </w:hyperlink>
      <w:r>
        <w:t xml:space="preserve">, f. 4; </w:t>
      </w:r>
      <w:hyperlink w:anchor="SENTENCIA_2023_161" w:history="1">
        <w:r w:rsidRPr="00DA359F">
          <w:rPr>
            <w:rStyle w:val="TextoNormalCaracter"/>
          </w:rPr>
          <w:t>161/2023</w:t>
        </w:r>
      </w:hyperlink>
      <w:r>
        <w:t>, f. 2.</w:t>
      </w:r>
    </w:p>
    <w:p w14:paraId="4FBAEF5F" w14:textId="5D73E017" w:rsidR="00DA359F" w:rsidRDefault="00DA359F" w:rsidP="00DA359F">
      <w:pPr>
        <w:pStyle w:val="SangriaIzquierdaArticulo"/>
      </w:pPr>
      <w:r>
        <w:t xml:space="preserve">Autos </w:t>
      </w:r>
      <w:hyperlink w:anchor="AUTO_2023_375" w:history="1">
        <w:r w:rsidRPr="00DA359F">
          <w:rPr>
            <w:rStyle w:val="TextoNormalCaracter"/>
          </w:rPr>
          <w:t>375/2023</w:t>
        </w:r>
      </w:hyperlink>
      <w:r>
        <w:t xml:space="preserve">, f. 2; </w:t>
      </w:r>
      <w:hyperlink w:anchor="AUTO_2023_427" w:history="1">
        <w:r w:rsidRPr="00DA359F">
          <w:rPr>
            <w:rStyle w:val="TextoNormalCaracter"/>
          </w:rPr>
          <w:t>427/2023</w:t>
        </w:r>
      </w:hyperlink>
      <w:r>
        <w:t xml:space="preserve">, f. 2; </w:t>
      </w:r>
      <w:hyperlink w:anchor="AUTO_2023_447" w:history="1">
        <w:r w:rsidRPr="00DA359F">
          <w:rPr>
            <w:rStyle w:val="TextoNormalCaracter"/>
          </w:rPr>
          <w:t>447/2023</w:t>
        </w:r>
      </w:hyperlink>
      <w:r>
        <w:t xml:space="preserve">, f. 1; </w:t>
      </w:r>
      <w:hyperlink w:anchor="AUTO_2023_448" w:history="1">
        <w:r w:rsidRPr="00DA359F">
          <w:rPr>
            <w:rStyle w:val="TextoNormalCaracter"/>
          </w:rPr>
          <w:t>448/2023</w:t>
        </w:r>
      </w:hyperlink>
      <w:r>
        <w:t>, f. 2.</w:t>
      </w:r>
    </w:p>
    <w:p w14:paraId="25F31F08" w14:textId="1E179252" w:rsidR="00DA359F" w:rsidRDefault="00DA359F" w:rsidP="00DA359F">
      <w:pPr>
        <w:pStyle w:val="SangriaFrancesaArticulo"/>
      </w:pPr>
      <w:r w:rsidRPr="00DA359F">
        <w:rPr>
          <w:rStyle w:val="TextoNormalNegritaCaracter"/>
        </w:rPr>
        <w:t xml:space="preserve">Artículo 44.1 b) </w:t>
      </w:r>
      <w:r w:rsidRPr="00DA359F">
        <w:rPr>
          <w:rStyle w:val="TextoNormalNegritaCursivaCaracter"/>
        </w:rPr>
        <w:t>in fine</w:t>
      </w:r>
      <w:r w:rsidRPr="00DA359F">
        <w:rPr>
          <w:rStyle w:val="TextoNormalNegritaCaracter"/>
        </w:rPr>
        <w:t>.</w:t>
      </w:r>
      <w:r w:rsidRPr="00DA359F">
        <w:rPr>
          <w:rStyle w:val="TextoNormalCaracter"/>
        </w:rPr>
        <w:t>-</w:t>
      </w:r>
      <w:r>
        <w:t xml:space="preserve"> Sentencia </w:t>
      </w:r>
      <w:hyperlink w:anchor="SENTENCIA_2023_123" w:history="1">
        <w:r w:rsidRPr="00DA359F">
          <w:rPr>
            <w:rStyle w:val="TextoNormalCaracter"/>
          </w:rPr>
          <w:t>123/2023</w:t>
        </w:r>
      </w:hyperlink>
      <w:r>
        <w:t>, f. 1.</w:t>
      </w:r>
    </w:p>
    <w:p w14:paraId="4A19213D" w14:textId="493380E7" w:rsidR="00DA359F" w:rsidRDefault="00DA359F" w:rsidP="00DA359F">
      <w:pPr>
        <w:pStyle w:val="SangriaFrancesaArticulo"/>
      </w:pPr>
      <w:r w:rsidRPr="00DA359F">
        <w:rPr>
          <w:rStyle w:val="TextoNormalNegritaCaracter"/>
        </w:rPr>
        <w:t>Artículo 44.1 c).</w:t>
      </w:r>
      <w:r w:rsidRPr="00DA359F">
        <w:rPr>
          <w:rStyle w:val="TextoNormalCaracter"/>
        </w:rPr>
        <w:t>-</w:t>
      </w:r>
      <w:r>
        <w:t xml:space="preserve"> Sentencias </w:t>
      </w:r>
      <w:hyperlink w:anchor="SENTENCIA_2023_79" w:history="1">
        <w:r w:rsidRPr="00DA359F">
          <w:rPr>
            <w:rStyle w:val="TextoNormalCaracter"/>
          </w:rPr>
          <w:t>79/2023</w:t>
        </w:r>
      </w:hyperlink>
      <w:r>
        <w:t xml:space="preserve">, f. 2; </w:t>
      </w:r>
      <w:hyperlink w:anchor="SENTENCIA_2023_88" w:history="1">
        <w:r w:rsidRPr="00DA359F">
          <w:rPr>
            <w:rStyle w:val="TextoNormalCaracter"/>
          </w:rPr>
          <w:t>88/2023</w:t>
        </w:r>
      </w:hyperlink>
      <w:r>
        <w:t xml:space="preserve">, f. 3; </w:t>
      </w:r>
      <w:hyperlink w:anchor="SENTENCIA_2023_90" w:history="1">
        <w:r w:rsidRPr="00DA359F">
          <w:rPr>
            <w:rStyle w:val="TextoNormalCaracter"/>
          </w:rPr>
          <w:t>90/2023</w:t>
        </w:r>
      </w:hyperlink>
      <w:r>
        <w:t xml:space="preserve">, ff. 1 a 3; </w:t>
      </w:r>
      <w:hyperlink w:anchor="SENTENCIA_2023_148" w:history="1">
        <w:r w:rsidRPr="00DA359F">
          <w:rPr>
            <w:rStyle w:val="TextoNormalCaracter"/>
          </w:rPr>
          <w:t>148/2023</w:t>
        </w:r>
      </w:hyperlink>
      <w:r>
        <w:t xml:space="preserve">, f. 2; </w:t>
      </w:r>
      <w:hyperlink w:anchor="SENTENCIA_2023_159" w:history="1">
        <w:r w:rsidRPr="00DA359F">
          <w:rPr>
            <w:rStyle w:val="TextoNormalCaracter"/>
          </w:rPr>
          <w:t>159/2023</w:t>
        </w:r>
      </w:hyperlink>
      <w:r>
        <w:t xml:space="preserve">, f. 2; </w:t>
      </w:r>
      <w:hyperlink w:anchor="SENTENCIA_2023_161" w:history="1">
        <w:r w:rsidRPr="00DA359F">
          <w:rPr>
            <w:rStyle w:val="TextoNormalCaracter"/>
          </w:rPr>
          <w:t>161/2023</w:t>
        </w:r>
      </w:hyperlink>
      <w:r>
        <w:t xml:space="preserve">, f. 1; </w:t>
      </w:r>
      <w:hyperlink w:anchor="SENTENCIA_2023_180" w:history="1">
        <w:r w:rsidRPr="00DA359F">
          <w:rPr>
            <w:rStyle w:val="TextoNormalCaracter"/>
          </w:rPr>
          <w:t>180/2023</w:t>
        </w:r>
      </w:hyperlink>
      <w:r>
        <w:t xml:space="preserve">, f. 2; </w:t>
      </w:r>
      <w:hyperlink w:anchor="SENTENCIA_2023_181" w:history="1">
        <w:r w:rsidRPr="00DA359F">
          <w:rPr>
            <w:rStyle w:val="TextoNormalCaracter"/>
          </w:rPr>
          <w:t>181/2023</w:t>
        </w:r>
      </w:hyperlink>
      <w:r>
        <w:t xml:space="preserve">, f. 2; </w:t>
      </w:r>
      <w:hyperlink w:anchor="SENTENCIA_2023_183" w:history="1">
        <w:r w:rsidRPr="00DA359F">
          <w:rPr>
            <w:rStyle w:val="TextoNormalCaracter"/>
          </w:rPr>
          <w:t>183/2023</w:t>
        </w:r>
      </w:hyperlink>
      <w:r>
        <w:t>, f. 2.</w:t>
      </w:r>
    </w:p>
    <w:p w14:paraId="65BB4535" w14:textId="50A18FB1" w:rsidR="00DA359F" w:rsidRDefault="00DA359F" w:rsidP="00DA359F">
      <w:pPr>
        <w:pStyle w:val="SangriaFrancesaArticulo"/>
      </w:pPr>
      <w:r w:rsidRPr="00DA359F">
        <w:rPr>
          <w:rStyle w:val="TextoNormalNegritaCaracter"/>
        </w:rPr>
        <w:t xml:space="preserve">Artículo 44.1 </w:t>
      </w:r>
      <w:r w:rsidRPr="00DA359F">
        <w:rPr>
          <w:rStyle w:val="TextoNormalNegritaCursivaCaracter"/>
        </w:rPr>
        <w:t>in fine</w:t>
      </w:r>
      <w:r w:rsidRPr="00DA359F">
        <w:rPr>
          <w:rStyle w:val="TextoNormalNegritaCaracter"/>
        </w:rPr>
        <w:t>.</w:t>
      </w:r>
      <w:r w:rsidRPr="00DA359F">
        <w:rPr>
          <w:rStyle w:val="TextoNormalCaracter"/>
        </w:rPr>
        <w:t>-</w:t>
      </w:r>
      <w:r>
        <w:t xml:space="preserve"> Sentencia </w:t>
      </w:r>
      <w:hyperlink w:anchor="SENTENCIA_2023_80" w:history="1">
        <w:r w:rsidRPr="00DA359F">
          <w:rPr>
            <w:rStyle w:val="TextoNormalCaracter"/>
          </w:rPr>
          <w:t>80/2023</w:t>
        </w:r>
      </w:hyperlink>
      <w:r>
        <w:t>, f. 3.</w:t>
      </w:r>
    </w:p>
    <w:p w14:paraId="67E56CC7" w14:textId="3B5A273C" w:rsidR="00DA359F" w:rsidRDefault="00DA359F" w:rsidP="00DA359F">
      <w:pPr>
        <w:pStyle w:val="SangriaFrancesaArticulo"/>
      </w:pPr>
      <w:r w:rsidRPr="00DA359F">
        <w:rPr>
          <w:rStyle w:val="TextoNormalNegritaCaracter"/>
        </w:rPr>
        <w:t>Artículo 44.2.</w:t>
      </w:r>
      <w:r w:rsidRPr="00DA359F">
        <w:rPr>
          <w:rStyle w:val="TextoNormalCaracter"/>
        </w:rPr>
        <w:t>-</w:t>
      </w:r>
      <w:r>
        <w:t xml:space="preserve"> Sentencias </w:t>
      </w:r>
      <w:hyperlink w:anchor="SENTENCIA_2023_80" w:history="1">
        <w:r w:rsidRPr="00DA359F">
          <w:rPr>
            <w:rStyle w:val="TextoNormalCaracter"/>
          </w:rPr>
          <w:t>80/2023</w:t>
        </w:r>
      </w:hyperlink>
      <w:r>
        <w:t xml:space="preserve">, f. 2; </w:t>
      </w:r>
      <w:hyperlink w:anchor="SENTENCIA_2023_86" w:history="1">
        <w:r w:rsidRPr="00DA359F">
          <w:rPr>
            <w:rStyle w:val="TextoNormalCaracter"/>
          </w:rPr>
          <w:t>86/2023</w:t>
        </w:r>
      </w:hyperlink>
      <w:r>
        <w:t xml:space="preserve">, f. 2; </w:t>
      </w:r>
      <w:hyperlink w:anchor="SENTENCIA_2023_130" w:history="1">
        <w:r w:rsidRPr="00DA359F">
          <w:rPr>
            <w:rStyle w:val="TextoNormalCaracter"/>
          </w:rPr>
          <w:t>130/2023</w:t>
        </w:r>
      </w:hyperlink>
      <w:r>
        <w:t xml:space="preserve">, f. único; </w:t>
      </w:r>
      <w:hyperlink w:anchor="SENTENCIA_2023_151" w:history="1">
        <w:r w:rsidRPr="00DA359F">
          <w:rPr>
            <w:rStyle w:val="TextoNormalCaracter"/>
          </w:rPr>
          <w:t>151/2023</w:t>
        </w:r>
      </w:hyperlink>
      <w:r>
        <w:t>, f. 2.</w:t>
      </w:r>
    </w:p>
    <w:p w14:paraId="6354196D" w14:textId="0AC6B39A" w:rsidR="00DA359F" w:rsidRDefault="00DA359F" w:rsidP="00DA359F">
      <w:pPr>
        <w:pStyle w:val="SangriaIzquierdaArticulo"/>
      </w:pPr>
      <w:r>
        <w:t xml:space="preserve">Auto </w:t>
      </w:r>
      <w:hyperlink w:anchor="AUTO_2023_375" w:history="1">
        <w:r w:rsidRPr="00DA359F">
          <w:rPr>
            <w:rStyle w:val="TextoNormalCaracter"/>
          </w:rPr>
          <w:t>375/2023</w:t>
        </w:r>
      </w:hyperlink>
      <w:r>
        <w:t>, f. 1.</w:t>
      </w:r>
    </w:p>
    <w:p w14:paraId="65267C2C" w14:textId="5F285809" w:rsidR="00DA359F" w:rsidRDefault="00DA359F" w:rsidP="00DA359F">
      <w:pPr>
        <w:pStyle w:val="SangriaFrancesaArticulo"/>
      </w:pPr>
      <w:r w:rsidRPr="00DA359F">
        <w:rPr>
          <w:rStyle w:val="TextoNormalNegritaCaracter"/>
        </w:rPr>
        <w:t>Artículo 46.</w:t>
      </w:r>
      <w:r w:rsidRPr="00DA359F">
        <w:rPr>
          <w:rStyle w:val="TextoNormalCaracter"/>
        </w:rPr>
        <w:t>-</w:t>
      </w:r>
      <w:r>
        <w:t xml:space="preserve"> Auto </w:t>
      </w:r>
      <w:hyperlink w:anchor="AUTO_2023_490" w:history="1">
        <w:r w:rsidRPr="00DA359F">
          <w:rPr>
            <w:rStyle w:val="TextoNormalCaracter"/>
          </w:rPr>
          <w:t>490/2023</w:t>
        </w:r>
      </w:hyperlink>
      <w:r>
        <w:t>, f. 1.</w:t>
      </w:r>
    </w:p>
    <w:p w14:paraId="6D111C7E" w14:textId="1F13566D" w:rsidR="00DA359F" w:rsidRDefault="00DA359F" w:rsidP="00DA359F">
      <w:pPr>
        <w:pStyle w:val="SangriaFrancesaArticulo"/>
      </w:pPr>
      <w:r w:rsidRPr="00DA359F">
        <w:rPr>
          <w:rStyle w:val="TextoNormalNegritaCaracter"/>
        </w:rPr>
        <w:t>Artículo 46.1 b).</w:t>
      </w:r>
      <w:r w:rsidRPr="00DA359F">
        <w:rPr>
          <w:rStyle w:val="TextoNormalCaracter"/>
        </w:rPr>
        <w:t>-</w:t>
      </w:r>
      <w:r>
        <w:t xml:space="preserve"> Sentencias </w:t>
      </w:r>
      <w:hyperlink w:anchor="SENTENCIA_2023_91" w:history="1">
        <w:r w:rsidRPr="00DA359F">
          <w:rPr>
            <w:rStyle w:val="TextoNormalCaracter"/>
          </w:rPr>
          <w:t>91/2023</w:t>
        </w:r>
      </w:hyperlink>
      <w:r>
        <w:t xml:space="preserve">, f. 2; </w:t>
      </w:r>
      <w:hyperlink w:anchor="SENTENCIA_2023_154" w:history="1">
        <w:r w:rsidRPr="00DA359F">
          <w:rPr>
            <w:rStyle w:val="TextoNormalCaracter"/>
          </w:rPr>
          <w:t>154/2023</w:t>
        </w:r>
      </w:hyperlink>
      <w:r>
        <w:t xml:space="preserve">, f. 2; </w:t>
      </w:r>
      <w:hyperlink w:anchor="SENTENCIA_2023_162" w:history="1">
        <w:r w:rsidRPr="00DA359F">
          <w:rPr>
            <w:rStyle w:val="TextoNormalCaracter"/>
          </w:rPr>
          <w:t>162/2023</w:t>
        </w:r>
      </w:hyperlink>
      <w:r>
        <w:t xml:space="preserve">, f. 3; </w:t>
      </w:r>
      <w:hyperlink w:anchor="SENTENCIA_2023_163" w:history="1">
        <w:r w:rsidRPr="00DA359F">
          <w:rPr>
            <w:rStyle w:val="TextoNormalCaracter"/>
          </w:rPr>
          <w:t>163/2023</w:t>
        </w:r>
      </w:hyperlink>
      <w:r>
        <w:t xml:space="preserve">, f. único; </w:t>
      </w:r>
      <w:hyperlink w:anchor="SENTENCIA_2023_187" w:history="1">
        <w:r w:rsidRPr="00DA359F">
          <w:rPr>
            <w:rStyle w:val="TextoNormalCaracter"/>
          </w:rPr>
          <w:t>187/2023</w:t>
        </w:r>
      </w:hyperlink>
      <w:r>
        <w:t>, f. 2.</w:t>
      </w:r>
    </w:p>
    <w:p w14:paraId="09C791C2" w14:textId="65B8501C" w:rsidR="00DA359F" w:rsidRDefault="00DA359F" w:rsidP="00DA359F">
      <w:pPr>
        <w:pStyle w:val="SangriaFrancesaArticulo"/>
      </w:pPr>
      <w:r w:rsidRPr="00DA359F">
        <w:rPr>
          <w:rStyle w:val="TextoNormalNegritaCaracter"/>
        </w:rPr>
        <w:t>Artículo 49.</w:t>
      </w:r>
      <w:r w:rsidRPr="00DA359F">
        <w:rPr>
          <w:rStyle w:val="TextoNormalCaracter"/>
        </w:rPr>
        <w:t>-</w:t>
      </w:r>
      <w:r>
        <w:t xml:space="preserve"> Sentencia </w:t>
      </w:r>
      <w:hyperlink w:anchor="SENTENCIA_2023_79" w:history="1">
        <w:r w:rsidRPr="00DA359F">
          <w:rPr>
            <w:rStyle w:val="TextoNormalCaracter"/>
          </w:rPr>
          <w:t>79/2023</w:t>
        </w:r>
      </w:hyperlink>
      <w:r>
        <w:t>, f. 2.</w:t>
      </w:r>
    </w:p>
    <w:p w14:paraId="54FA4501" w14:textId="54F49AB1" w:rsidR="00DA359F" w:rsidRDefault="00DA359F" w:rsidP="00DA359F">
      <w:pPr>
        <w:pStyle w:val="SangriaIzquierdaArticulo"/>
      </w:pPr>
      <w:r>
        <w:t xml:space="preserve">Auto </w:t>
      </w:r>
      <w:hyperlink w:anchor="AUTO_2023_427" w:history="1">
        <w:r w:rsidRPr="00DA359F">
          <w:rPr>
            <w:rStyle w:val="TextoNormalCaracter"/>
          </w:rPr>
          <w:t>427/2023</w:t>
        </w:r>
      </w:hyperlink>
      <w:r>
        <w:t>, VP.</w:t>
      </w:r>
    </w:p>
    <w:p w14:paraId="09865C77" w14:textId="51DD9555" w:rsidR="00DA359F" w:rsidRDefault="00DA359F" w:rsidP="00DA359F">
      <w:pPr>
        <w:pStyle w:val="SangriaFrancesaArticulo"/>
      </w:pPr>
      <w:r w:rsidRPr="00DA359F">
        <w:rPr>
          <w:rStyle w:val="TextoNormalNegritaCaracter"/>
        </w:rPr>
        <w:t>Artículo 49.1.</w:t>
      </w:r>
      <w:r w:rsidRPr="00DA359F">
        <w:rPr>
          <w:rStyle w:val="TextoNormalCaracter"/>
        </w:rPr>
        <w:t>-</w:t>
      </w:r>
      <w:r>
        <w:t xml:space="preserve"> Sentencia </w:t>
      </w:r>
      <w:hyperlink w:anchor="SENTENCIA_2023_87" w:history="1">
        <w:r w:rsidRPr="00DA359F">
          <w:rPr>
            <w:rStyle w:val="TextoNormalCaracter"/>
          </w:rPr>
          <w:t>87/2023</w:t>
        </w:r>
      </w:hyperlink>
      <w:r>
        <w:t>, f. 2.</w:t>
      </w:r>
    </w:p>
    <w:p w14:paraId="54443929" w14:textId="71C9726F" w:rsidR="00DA359F" w:rsidRDefault="00DA359F" w:rsidP="00DA359F">
      <w:pPr>
        <w:pStyle w:val="SangriaIzquierdaArticulo"/>
      </w:pPr>
      <w:r>
        <w:t xml:space="preserve">Autos </w:t>
      </w:r>
      <w:hyperlink w:anchor="AUTO_2023_447" w:history="1">
        <w:r w:rsidRPr="00DA359F">
          <w:rPr>
            <w:rStyle w:val="TextoNormalCaracter"/>
          </w:rPr>
          <w:t>447/2023</w:t>
        </w:r>
      </w:hyperlink>
      <w:r>
        <w:t xml:space="preserve">, f. 2; </w:t>
      </w:r>
      <w:hyperlink w:anchor="AUTO_2023_448" w:history="1">
        <w:r w:rsidRPr="00DA359F">
          <w:rPr>
            <w:rStyle w:val="TextoNormalCaracter"/>
          </w:rPr>
          <w:t>448/2023</w:t>
        </w:r>
      </w:hyperlink>
      <w:r>
        <w:t>, ff. 3 a 5.</w:t>
      </w:r>
    </w:p>
    <w:p w14:paraId="2F7FD3E7" w14:textId="30EE2389" w:rsidR="00DA359F" w:rsidRDefault="00DA359F" w:rsidP="00DA359F">
      <w:pPr>
        <w:pStyle w:val="SangriaFrancesaArticulo"/>
      </w:pPr>
      <w:r w:rsidRPr="00DA359F">
        <w:rPr>
          <w:rStyle w:val="TextoNormalNegritaCaracter"/>
        </w:rPr>
        <w:t xml:space="preserve">Artículo 49.1 </w:t>
      </w:r>
      <w:r w:rsidRPr="00DA359F">
        <w:rPr>
          <w:rStyle w:val="TextoNormalNegritaCursivaCaracter"/>
        </w:rPr>
        <w:t>in fine</w:t>
      </w:r>
      <w:r w:rsidRPr="00DA359F">
        <w:rPr>
          <w:rStyle w:val="TextoNormalNegritaCaracter"/>
        </w:rPr>
        <w:t>.</w:t>
      </w:r>
      <w:r w:rsidRPr="00DA359F">
        <w:rPr>
          <w:rStyle w:val="TextoNormalCaracter"/>
        </w:rPr>
        <w:t>-</w:t>
      </w:r>
      <w:r>
        <w:t xml:space="preserve"> Auto </w:t>
      </w:r>
      <w:hyperlink w:anchor="AUTO_2023_448" w:history="1">
        <w:r w:rsidRPr="00DA359F">
          <w:rPr>
            <w:rStyle w:val="TextoNormalCaracter"/>
          </w:rPr>
          <w:t>448/2023</w:t>
        </w:r>
      </w:hyperlink>
      <w:r>
        <w:t>, f. 4.</w:t>
      </w:r>
    </w:p>
    <w:p w14:paraId="539CD6A1" w14:textId="4477ABD5" w:rsidR="00DA359F" w:rsidRDefault="00DA359F" w:rsidP="00DA359F">
      <w:pPr>
        <w:pStyle w:val="SangriaFrancesaArticulo"/>
      </w:pPr>
      <w:r w:rsidRPr="00DA359F">
        <w:rPr>
          <w:rStyle w:val="TextoNormalNegritaCaracter"/>
        </w:rPr>
        <w:t>Artículo 50.1.</w:t>
      </w:r>
      <w:r w:rsidRPr="00DA359F">
        <w:rPr>
          <w:rStyle w:val="TextoNormalCaracter"/>
        </w:rPr>
        <w:t>-</w:t>
      </w:r>
      <w:r>
        <w:t xml:space="preserve"> Sentencias </w:t>
      </w:r>
      <w:hyperlink w:anchor="SENTENCIA_2023_83" w:history="1">
        <w:r w:rsidRPr="00DA359F">
          <w:rPr>
            <w:rStyle w:val="TextoNormalCaracter"/>
          </w:rPr>
          <w:t>83/2023</w:t>
        </w:r>
      </w:hyperlink>
      <w:r>
        <w:t xml:space="preserve">, f. 5; </w:t>
      </w:r>
      <w:hyperlink w:anchor="SENTENCIA_2023_92" w:history="1">
        <w:r w:rsidRPr="00DA359F">
          <w:rPr>
            <w:rStyle w:val="TextoNormalCaracter"/>
          </w:rPr>
          <w:t>92/2023</w:t>
        </w:r>
      </w:hyperlink>
      <w:r>
        <w:t xml:space="preserve">, f. 1; </w:t>
      </w:r>
      <w:hyperlink w:anchor="SENTENCIA_2023_93" w:history="1">
        <w:r w:rsidRPr="00DA359F">
          <w:rPr>
            <w:rStyle w:val="TextoNormalCaracter"/>
          </w:rPr>
          <w:t>93/2023</w:t>
        </w:r>
      </w:hyperlink>
      <w:r>
        <w:t xml:space="preserve">, f. 2; </w:t>
      </w:r>
      <w:hyperlink w:anchor="SENTENCIA_2023_102" w:history="1">
        <w:r w:rsidRPr="00DA359F">
          <w:rPr>
            <w:rStyle w:val="TextoNormalCaracter"/>
          </w:rPr>
          <w:t>102/2023</w:t>
        </w:r>
      </w:hyperlink>
      <w:r>
        <w:t xml:space="preserve">, f. 2; </w:t>
      </w:r>
      <w:hyperlink w:anchor="SENTENCIA_2023_106" w:history="1">
        <w:r w:rsidRPr="00DA359F">
          <w:rPr>
            <w:rStyle w:val="TextoNormalCaracter"/>
          </w:rPr>
          <w:t>106/2023</w:t>
        </w:r>
      </w:hyperlink>
      <w:r>
        <w:t xml:space="preserve">, f. 2; </w:t>
      </w:r>
      <w:hyperlink w:anchor="SENTENCIA_2023_116" w:history="1">
        <w:r w:rsidRPr="00DA359F">
          <w:rPr>
            <w:rStyle w:val="TextoNormalCaracter"/>
          </w:rPr>
          <w:t>116/2023</w:t>
        </w:r>
      </w:hyperlink>
      <w:r>
        <w:t xml:space="preserve">, f. 2; </w:t>
      </w:r>
      <w:hyperlink w:anchor="SENTENCIA_2023_118" w:history="1">
        <w:r w:rsidRPr="00DA359F">
          <w:rPr>
            <w:rStyle w:val="TextoNormalCaracter"/>
          </w:rPr>
          <w:t>118/2023</w:t>
        </w:r>
      </w:hyperlink>
      <w:r>
        <w:t xml:space="preserve">, f. 2; </w:t>
      </w:r>
      <w:hyperlink w:anchor="SENTENCIA_2023_120" w:history="1">
        <w:r w:rsidRPr="00DA359F">
          <w:rPr>
            <w:rStyle w:val="TextoNormalCaracter"/>
          </w:rPr>
          <w:t>120/2023</w:t>
        </w:r>
      </w:hyperlink>
      <w:r>
        <w:t xml:space="preserve">, f. 2; </w:t>
      </w:r>
      <w:hyperlink w:anchor="SENTENCIA_2023_130" w:history="1">
        <w:r w:rsidRPr="00DA359F">
          <w:rPr>
            <w:rStyle w:val="TextoNormalCaracter"/>
          </w:rPr>
          <w:t>130/2023</w:t>
        </w:r>
      </w:hyperlink>
      <w:r>
        <w:t xml:space="preserve">, f. único; </w:t>
      </w:r>
      <w:hyperlink w:anchor="SENTENCIA_2023_131" w:history="1">
        <w:r w:rsidRPr="00DA359F">
          <w:rPr>
            <w:rStyle w:val="TextoNormalCaracter"/>
          </w:rPr>
          <w:t>131/2023</w:t>
        </w:r>
      </w:hyperlink>
      <w:r>
        <w:t xml:space="preserve">, VP; </w:t>
      </w:r>
      <w:hyperlink w:anchor="SENTENCIA_2023_136" w:history="1">
        <w:r w:rsidRPr="00DA359F">
          <w:rPr>
            <w:rStyle w:val="TextoNormalCaracter"/>
          </w:rPr>
          <w:t>136/2023</w:t>
        </w:r>
      </w:hyperlink>
      <w:r>
        <w:t xml:space="preserve">, f. 2; </w:t>
      </w:r>
      <w:hyperlink w:anchor="SENTENCIA_2023_172" w:history="1">
        <w:r w:rsidRPr="00DA359F">
          <w:rPr>
            <w:rStyle w:val="TextoNormalCaracter"/>
          </w:rPr>
          <w:t>172/2023</w:t>
        </w:r>
      </w:hyperlink>
      <w:r>
        <w:t>, f. 2.</w:t>
      </w:r>
    </w:p>
    <w:p w14:paraId="54FA4697" w14:textId="79D1E56B" w:rsidR="00DA359F" w:rsidRDefault="00DA359F" w:rsidP="00DA359F">
      <w:pPr>
        <w:pStyle w:val="SangriaIzquierdaArticulo"/>
      </w:pPr>
      <w:r>
        <w:t xml:space="preserve">Autos </w:t>
      </w:r>
      <w:hyperlink w:anchor="AUTO_2023_338" w:history="1">
        <w:r w:rsidRPr="00DA359F">
          <w:rPr>
            <w:rStyle w:val="TextoNormalCaracter"/>
          </w:rPr>
          <w:t>338/2023</w:t>
        </w:r>
      </w:hyperlink>
      <w:r>
        <w:t xml:space="preserve">, f. 4; </w:t>
      </w:r>
      <w:hyperlink w:anchor="AUTO_2023_425" w:history="1">
        <w:r w:rsidRPr="00DA359F">
          <w:rPr>
            <w:rStyle w:val="TextoNormalCaracter"/>
          </w:rPr>
          <w:t>425/2023</w:t>
        </w:r>
      </w:hyperlink>
      <w:r>
        <w:t xml:space="preserve">, f. 3; </w:t>
      </w:r>
      <w:hyperlink w:anchor="AUTO_2023_448" w:history="1">
        <w:r w:rsidRPr="00DA359F">
          <w:rPr>
            <w:rStyle w:val="TextoNormalCaracter"/>
          </w:rPr>
          <w:t>448/2023</w:t>
        </w:r>
      </w:hyperlink>
      <w:r>
        <w:t xml:space="preserve">, f. 3; </w:t>
      </w:r>
      <w:hyperlink w:anchor="AUTO_2023_665" w:history="1">
        <w:r w:rsidRPr="00DA359F">
          <w:rPr>
            <w:rStyle w:val="TextoNormalCaracter"/>
          </w:rPr>
          <w:t>665/2023</w:t>
        </w:r>
      </w:hyperlink>
      <w:r>
        <w:t>, f. 2.</w:t>
      </w:r>
    </w:p>
    <w:p w14:paraId="726168C8" w14:textId="27180664" w:rsidR="00DA359F" w:rsidRDefault="00DA359F" w:rsidP="00DA359F">
      <w:pPr>
        <w:pStyle w:val="SangriaFrancesaArticulo"/>
      </w:pPr>
      <w:r w:rsidRPr="00DA359F">
        <w:rPr>
          <w:rStyle w:val="TextoNormalNegritaCaracter"/>
        </w:rPr>
        <w:t>Artículo 50.1 a).</w:t>
      </w:r>
      <w:r w:rsidRPr="00DA359F">
        <w:rPr>
          <w:rStyle w:val="TextoNormalCaracter"/>
        </w:rPr>
        <w:t>-</w:t>
      </w:r>
      <w:r>
        <w:t xml:space="preserve"> Sentencias </w:t>
      </w:r>
      <w:hyperlink w:anchor="SENTENCIA_2023_84" w:history="1">
        <w:r w:rsidRPr="00DA359F">
          <w:rPr>
            <w:rStyle w:val="TextoNormalCaracter"/>
          </w:rPr>
          <w:t>84/2023</w:t>
        </w:r>
      </w:hyperlink>
      <w:r>
        <w:t xml:space="preserve">, f. 1; </w:t>
      </w:r>
      <w:hyperlink w:anchor="SENTENCIA_2023_92" w:history="1">
        <w:r w:rsidRPr="00DA359F">
          <w:rPr>
            <w:rStyle w:val="TextoNormalCaracter"/>
          </w:rPr>
          <w:t>92/2023</w:t>
        </w:r>
      </w:hyperlink>
      <w:r>
        <w:t xml:space="preserve">, f. 3; </w:t>
      </w:r>
      <w:hyperlink w:anchor="SENTENCIA_2023_123" w:history="1">
        <w:r w:rsidRPr="00DA359F">
          <w:rPr>
            <w:rStyle w:val="TextoNormalCaracter"/>
          </w:rPr>
          <w:t>123/2023</w:t>
        </w:r>
      </w:hyperlink>
      <w:r>
        <w:t xml:space="preserve">, f. 2; </w:t>
      </w:r>
      <w:hyperlink w:anchor="SENTENCIA_2023_159" w:history="1">
        <w:r w:rsidRPr="00DA359F">
          <w:rPr>
            <w:rStyle w:val="TextoNormalCaracter"/>
          </w:rPr>
          <w:t>159/2023</w:t>
        </w:r>
      </w:hyperlink>
      <w:r>
        <w:t xml:space="preserve">, f. 2; </w:t>
      </w:r>
      <w:hyperlink w:anchor="SENTENCIA_2023_161" w:history="1">
        <w:r w:rsidRPr="00DA359F">
          <w:rPr>
            <w:rStyle w:val="TextoNormalCaracter"/>
          </w:rPr>
          <w:t>161/2023</w:t>
        </w:r>
      </w:hyperlink>
      <w:r>
        <w:t xml:space="preserve">, f. 2; </w:t>
      </w:r>
      <w:hyperlink w:anchor="SENTENCIA_2023_180" w:history="1">
        <w:r w:rsidRPr="00DA359F">
          <w:rPr>
            <w:rStyle w:val="TextoNormalCaracter"/>
          </w:rPr>
          <w:t>180/2023</w:t>
        </w:r>
      </w:hyperlink>
      <w:r>
        <w:t>, f. 2.</w:t>
      </w:r>
    </w:p>
    <w:p w14:paraId="6677977B" w14:textId="25A288E3" w:rsidR="00DA359F" w:rsidRDefault="00DA359F" w:rsidP="00DA359F">
      <w:pPr>
        <w:pStyle w:val="SangriaIzquierdaArticulo"/>
      </w:pPr>
      <w:r>
        <w:t xml:space="preserve">Autos </w:t>
      </w:r>
      <w:hyperlink w:anchor="AUTO_2023_375" w:history="1">
        <w:r w:rsidRPr="00DA359F">
          <w:rPr>
            <w:rStyle w:val="TextoNormalCaracter"/>
          </w:rPr>
          <w:t>375/2023</w:t>
        </w:r>
      </w:hyperlink>
      <w:r>
        <w:t xml:space="preserve">, f. 2; </w:t>
      </w:r>
      <w:hyperlink w:anchor="AUTO_2023_427" w:history="1">
        <w:r w:rsidRPr="00DA359F">
          <w:rPr>
            <w:rStyle w:val="TextoNormalCaracter"/>
          </w:rPr>
          <w:t>427/2023</w:t>
        </w:r>
      </w:hyperlink>
      <w:r>
        <w:t xml:space="preserve">, f. 2; </w:t>
      </w:r>
      <w:hyperlink w:anchor="AUTO_2023_447" w:history="1">
        <w:r w:rsidRPr="00DA359F">
          <w:rPr>
            <w:rStyle w:val="TextoNormalCaracter"/>
          </w:rPr>
          <w:t>447/2023</w:t>
        </w:r>
      </w:hyperlink>
      <w:r>
        <w:t xml:space="preserve">, ff. 1, 2; </w:t>
      </w:r>
      <w:hyperlink w:anchor="AUTO_2023_448" w:history="1">
        <w:r w:rsidRPr="00DA359F">
          <w:rPr>
            <w:rStyle w:val="TextoNormalCaracter"/>
          </w:rPr>
          <w:t>448/2023</w:t>
        </w:r>
      </w:hyperlink>
      <w:r>
        <w:t>, f. 3.</w:t>
      </w:r>
    </w:p>
    <w:p w14:paraId="12788565" w14:textId="4ACE5CEE" w:rsidR="00DA359F" w:rsidRDefault="00DA359F" w:rsidP="00DA359F">
      <w:pPr>
        <w:pStyle w:val="SangriaFrancesaArticulo"/>
      </w:pPr>
      <w:r w:rsidRPr="00DA359F">
        <w:rPr>
          <w:rStyle w:val="TextoNormalNegritaCaracter"/>
        </w:rPr>
        <w:t>Artículo 50.1 b).</w:t>
      </w:r>
      <w:r w:rsidRPr="00DA359F">
        <w:rPr>
          <w:rStyle w:val="TextoNormalCaracter"/>
        </w:rPr>
        <w:t>-</w:t>
      </w:r>
      <w:r>
        <w:t xml:space="preserve"> Sentencias </w:t>
      </w:r>
      <w:hyperlink w:anchor="SENTENCIA_2023_79" w:history="1">
        <w:r w:rsidRPr="00DA359F">
          <w:rPr>
            <w:rStyle w:val="TextoNormalCaracter"/>
          </w:rPr>
          <w:t>79/2023</w:t>
        </w:r>
      </w:hyperlink>
      <w:r>
        <w:t xml:space="preserve">, f. 2; </w:t>
      </w:r>
      <w:hyperlink w:anchor="SENTENCIA_2023_87" w:history="1">
        <w:r w:rsidRPr="00DA359F">
          <w:rPr>
            <w:rStyle w:val="TextoNormalCaracter"/>
          </w:rPr>
          <w:t>87/2023</w:t>
        </w:r>
      </w:hyperlink>
      <w:r>
        <w:t xml:space="preserve">, f. 2; </w:t>
      </w:r>
      <w:hyperlink w:anchor="SENTENCIA_2023_134" w:history="1">
        <w:r w:rsidRPr="00DA359F">
          <w:rPr>
            <w:rStyle w:val="TextoNormalCaracter"/>
          </w:rPr>
          <w:t>134/2023</w:t>
        </w:r>
      </w:hyperlink>
      <w:r>
        <w:t xml:space="preserve">, f. 2; </w:t>
      </w:r>
      <w:hyperlink w:anchor="SENTENCIA_2023_167" w:history="1">
        <w:r w:rsidRPr="00DA359F">
          <w:rPr>
            <w:rStyle w:val="TextoNormalCaracter"/>
          </w:rPr>
          <w:t>167/2023</w:t>
        </w:r>
      </w:hyperlink>
      <w:r>
        <w:t xml:space="preserve">, f. 3; </w:t>
      </w:r>
      <w:hyperlink w:anchor="SENTENCIA_2023_172" w:history="1">
        <w:r w:rsidRPr="00DA359F">
          <w:rPr>
            <w:rStyle w:val="TextoNormalCaracter"/>
          </w:rPr>
          <w:t>172/2023</w:t>
        </w:r>
      </w:hyperlink>
      <w:r>
        <w:t>, f. 2.</w:t>
      </w:r>
    </w:p>
    <w:p w14:paraId="35086273" w14:textId="2A624D93" w:rsidR="00DA359F" w:rsidRDefault="00DA359F" w:rsidP="00DA359F">
      <w:pPr>
        <w:pStyle w:val="SangriaIzquierdaArticulo"/>
      </w:pPr>
      <w:r>
        <w:t xml:space="preserve">Autos </w:t>
      </w:r>
      <w:hyperlink w:anchor="AUTO_2023_338" w:history="1">
        <w:r w:rsidRPr="00DA359F">
          <w:rPr>
            <w:rStyle w:val="TextoNormalCaracter"/>
          </w:rPr>
          <w:t>338/2023</w:t>
        </w:r>
      </w:hyperlink>
      <w:r>
        <w:t xml:space="preserve">, VP; </w:t>
      </w:r>
      <w:hyperlink w:anchor="AUTO_2023_375" w:history="1">
        <w:r w:rsidRPr="00DA359F">
          <w:rPr>
            <w:rStyle w:val="TextoNormalCaracter"/>
          </w:rPr>
          <w:t>375/2023</w:t>
        </w:r>
      </w:hyperlink>
      <w:r>
        <w:t xml:space="preserve">, f. 2; </w:t>
      </w:r>
      <w:hyperlink w:anchor="AUTO_2023_447" w:history="1">
        <w:r w:rsidRPr="00DA359F">
          <w:rPr>
            <w:rStyle w:val="TextoNormalCaracter"/>
          </w:rPr>
          <w:t>447/2023</w:t>
        </w:r>
      </w:hyperlink>
      <w:r>
        <w:t xml:space="preserve">, f. 2; </w:t>
      </w:r>
      <w:hyperlink w:anchor="AUTO_2023_448" w:history="1">
        <w:r w:rsidRPr="00DA359F">
          <w:rPr>
            <w:rStyle w:val="TextoNormalCaracter"/>
          </w:rPr>
          <w:t>448/2023</w:t>
        </w:r>
      </w:hyperlink>
      <w:r>
        <w:t>, ff. 3, 4.</w:t>
      </w:r>
    </w:p>
    <w:p w14:paraId="6F93D819" w14:textId="72721AD7" w:rsidR="00DA359F" w:rsidRDefault="00DA359F" w:rsidP="00DA359F">
      <w:pPr>
        <w:pStyle w:val="SangriaFrancesaArticulo"/>
      </w:pPr>
      <w:r w:rsidRPr="00DA359F">
        <w:rPr>
          <w:rStyle w:val="TextoNormalNegritaCaracter"/>
        </w:rPr>
        <w:t>Artículo 50.1 b)</w:t>
      </w:r>
      <w:r>
        <w:t xml:space="preserve"> (redactado por la Ley Orgánica 6/2007, de 24 de mayo)</w:t>
      </w:r>
      <w:r w:rsidRPr="00DA359F">
        <w:rPr>
          <w:rStyle w:val="TextoNormalNegritaCaracter"/>
        </w:rPr>
        <w:t>.</w:t>
      </w:r>
      <w:r w:rsidRPr="00DA359F">
        <w:rPr>
          <w:rStyle w:val="TextoNormalCaracter"/>
        </w:rPr>
        <w:t>-</w:t>
      </w:r>
      <w:r>
        <w:t xml:space="preserve"> Autos </w:t>
      </w:r>
      <w:hyperlink w:anchor="AUTO_2023_427" w:history="1">
        <w:r w:rsidRPr="00DA359F">
          <w:rPr>
            <w:rStyle w:val="TextoNormalCaracter"/>
          </w:rPr>
          <w:t>427/2023</w:t>
        </w:r>
      </w:hyperlink>
      <w:r>
        <w:t xml:space="preserve">, VP; </w:t>
      </w:r>
      <w:hyperlink w:anchor="AUTO_2023_448" w:history="1">
        <w:r w:rsidRPr="00DA359F">
          <w:rPr>
            <w:rStyle w:val="TextoNormalCaracter"/>
          </w:rPr>
          <w:t>448/2023</w:t>
        </w:r>
      </w:hyperlink>
      <w:r>
        <w:t>, f. 3.</w:t>
      </w:r>
    </w:p>
    <w:p w14:paraId="444AC429" w14:textId="7BF8DB3B" w:rsidR="00DA359F" w:rsidRDefault="00DA359F" w:rsidP="00DA359F">
      <w:pPr>
        <w:pStyle w:val="SangriaFrancesaArticulo"/>
      </w:pPr>
      <w:r w:rsidRPr="00DA359F">
        <w:rPr>
          <w:rStyle w:val="TextoNormalNegritaCaracter"/>
        </w:rPr>
        <w:t>Artículo 50.1 c).</w:t>
      </w:r>
      <w:r w:rsidRPr="00DA359F">
        <w:rPr>
          <w:rStyle w:val="TextoNormalCaracter"/>
        </w:rPr>
        <w:t>-</w:t>
      </w:r>
      <w:r>
        <w:t xml:space="preserve"> Sentencia </w:t>
      </w:r>
      <w:hyperlink w:anchor="SENTENCIA_2023_167" w:history="1">
        <w:r w:rsidRPr="00DA359F">
          <w:rPr>
            <w:rStyle w:val="TextoNormalCaracter"/>
          </w:rPr>
          <w:t>167/2023</w:t>
        </w:r>
      </w:hyperlink>
      <w:r>
        <w:t>, f. 3.</w:t>
      </w:r>
    </w:p>
    <w:p w14:paraId="33F3AD73" w14:textId="0E21A838" w:rsidR="00DA359F" w:rsidRDefault="00DA359F" w:rsidP="00DA359F">
      <w:pPr>
        <w:pStyle w:val="SangriaIzquierdaArticulo"/>
      </w:pPr>
      <w:r>
        <w:t xml:space="preserve">Auto </w:t>
      </w:r>
      <w:hyperlink w:anchor="AUTO_2023_427" w:history="1">
        <w:r w:rsidRPr="00DA359F">
          <w:rPr>
            <w:rStyle w:val="TextoNormalCaracter"/>
          </w:rPr>
          <w:t>427/2023</w:t>
        </w:r>
      </w:hyperlink>
      <w:r>
        <w:t>, VP.</w:t>
      </w:r>
    </w:p>
    <w:p w14:paraId="565258EE" w14:textId="00F17D67" w:rsidR="00DA359F" w:rsidRDefault="00DA359F" w:rsidP="00DA359F">
      <w:pPr>
        <w:pStyle w:val="SangriaFrancesaArticulo"/>
      </w:pPr>
      <w:r w:rsidRPr="00DA359F">
        <w:rPr>
          <w:rStyle w:val="TextoNormalNegritaCaracter"/>
        </w:rPr>
        <w:t>Artículo 50.2 b).</w:t>
      </w:r>
      <w:r w:rsidRPr="00DA359F">
        <w:rPr>
          <w:rStyle w:val="TextoNormalCaracter"/>
        </w:rPr>
        <w:t>-</w:t>
      </w:r>
      <w:r>
        <w:t xml:space="preserve"> Auto </w:t>
      </w:r>
      <w:hyperlink w:anchor="AUTO_2023_490" w:history="1">
        <w:r w:rsidRPr="00DA359F">
          <w:rPr>
            <w:rStyle w:val="TextoNormalCaracter"/>
          </w:rPr>
          <w:t>490/2023</w:t>
        </w:r>
      </w:hyperlink>
      <w:r>
        <w:t>, f. 2.</w:t>
      </w:r>
    </w:p>
    <w:p w14:paraId="293BB783" w14:textId="7AF529C4" w:rsidR="00DA359F" w:rsidRDefault="00DA359F" w:rsidP="00DA359F">
      <w:pPr>
        <w:pStyle w:val="SangriaFrancesaArticulo"/>
      </w:pPr>
      <w:r w:rsidRPr="00DA359F">
        <w:rPr>
          <w:rStyle w:val="TextoNormalNegritaCaracter"/>
        </w:rPr>
        <w:t>Artículo 50.3.</w:t>
      </w:r>
      <w:r w:rsidRPr="00DA359F">
        <w:rPr>
          <w:rStyle w:val="TextoNormalCaracter"/>
        </w:rPr>
        <w:t>-</w:t>
      </w:r>
      <w:r>
        <w:t xml:space="preserve"> Auto </w:t>
      </w:r>
      <w:hyperlink w:anchor="AUTO_2023_490" w:history="1">
        <w:r w:rsidRPr="00DA359F">
          <w:rPr>
            <w:rStyle w:val="TextoNormalCaracter"/>
          </w:rPr>
          <w:t>490/2023</w:t>
        </w:r>
      </w:hyperlink>
      <w:r>
        <w:t>, f. 1.</w:t>
      </w:r>
    </w:p>
    <w:p w14:paraId="724ADA44" w14:textId="0D9B26CC" w:rsidR="00DA359F" w:rsidRDefault="00DA359F" w:rsidP="00DA359F">
      <w:pPr>
        <w:pStyle w:val="SangriaFrancesaArticulo"/>
      </w:pPr>
      <w:r w:rsidRPr="00DA359F">
        <w:rPr>
          <w:rStyle w:val="TextoNormalNegritaCaracter"/>
        </w:rPr>
        <w:t>Artículo 52.</w:t>
      </w:r>
      <w:r w:rsidRPr="00DA359F">
        <w:rPr>
          <w:rStyle w:val="TextoNormalCaracter"/>
        </w:rPr>
        <w:t>-</w:t>
      </w:r>
      <w:r>
        <w:t xml:space="preserve"> Sentencias </w:t>
      </w:r>
      <w:hyperlink w:anchor="SENTENCIA_2023_79" w:history="1">
        <w:r w:rsidRPr="00DA359F">
          <w:rPr>
            <w:rStyle w:val="TextoNormalCaracter"/>
          </w:rPr>
          <w:t>79/2023</w:t>
        </w:r>
      </w:hyperlink>
      <w:r>
        <w:t xml:space="preserve">, f. 1; </w:t>
      </w:r>
      <w:hyperlink w:anchor="SENTENCIA_2023_84" w:history="1">
        <w:r w:rsidRPr="00DA359F">
          <w:rPr>
            <w:rStyle w:val="TextoNormalCaracter"/>
          </w:rPr>
          <w:t>84/2023</w:t>
        </w:r>
      </w:hyperlink>
      <w:r>
        <w:t xml:space="preserve">, f. 1; </w:t>
      </w:r>
      <w:hyperlink w:anchor="SENTENCIA_2023_142" w:history="1">
        <w:r w:rsidRPr="00DA359F">
          <w:rPr>
            <w:rStyle w:val="TextoNormalCaracter"/>
          </w:rPr>
          <w:t>142/2023</w:t>
        </w:r>
      </w:hyperlink>
      <w:r>
        <w:t xml:space="preserve">, f. 2; </w:t>
      </w:r>
      <w:hyperlink w:anchor="SENTENCIA_2023_162" w:history="1">
        <w:r w:rsidRPr="00DA359F">
          <w:rPr>
            <w:rStyle w:val="TextoNormalCaracter"/>
          </w:rPr>
          <w:t>162/2023</w:t>
        </w:r>
      </w:hyperlink>
      <w:r>
        <w:t>, f. 3.</w:t>
      </w:r>
    </w:p>
    <w:p w14:paraId="0911B88F" w14:textId="31E60226" w:rsidR="00DA359F" w:rsidRDefault="00DA359F" w:rsidP="00DA359F">
      <w:pPr>
        <w:pStyle w:val="SangriaFrancesaArticulo"/>
      </w:pPr>
      <w:r w:rsidRPr="00DA359F">
        <w:rPr>
          <w:rStyle w:val="TextoNormalNegritaCaracter"/>
        </w:rPr>
        <w:t>Artículo 52.1.</w:t>
      </w:r>
      <w:r w:rsidRPr="00DA359F">
        <w:rPr>
          <w:rStyle w:val="TextoNormalCaracter"/>
        </w:rPr>
        <w:t>-</w:t>
      </w:r>
      <w:r>
        <w:t xml:space="preserve"> Sentencias </w:t>
      </w:r>
      <w:hyperlink w:anchor="SENTENCIA_2023_82" w:history="1">
        <w:r w:rsidRPr="00DA359F">
          <w:rPr>
            <w:rStyle w:val="TextoNormalCaracter"/>
          </w:rPr>
          <w:t>82/2023</w:t>
        </w:r>
      </w:hyperlink>
      <w:r>
        <w:t xml:space="preserve">, ff. 2, 3; </w:t>
      </w:r>
      <w:hyperlink w:anchor="SENTENCIA_2023_163" w:history="1">
        <w:r w:rsidRPr="00DA359F">
          <w:rPr>
            <w:rStyle w:val="TextoNormalCaracter"/>
          </w:rPr>
          <w:t>163/2023</w:t>
        </w:r>
      </w:hyperlink>
      <w:r>
        <w:t xml:space="preserve">, f. único; </w:t>
      </w:r>
      <w:hyperlink w:anchor="SENTENCIA_2023_187" w:history="1">
        <w:r w:rsidRPr="00DA359F">
          <w:rPr>
            <w:rStyle w:val="TextoNormalCaracter"/>
          </w:rPr>
          <w:t>187/2023</w:t>
        </w:r>
      </w:hyperlink>
      <w:r>
        <w:t>, f. 2.</w:t>
      </w:r>
    </w:p>
    <w:p w14:paraId="45FFA1C7" w14:textId="1D26F9EB" w:rsidR="00DA359F" w:rsidRDefault="00DA359F" w:rsidP="00DA359F">
      <w:pPr>
        <w:pStyle w:val="SangriaFrancesaArticulo"/>
      </w:pPr>
      <w:r w:rsidRPr="00DA359F">
        <w:rPr>
          <w:rStyle w:val="TextoNormalNegritaCaracter"/>
        </w:rPr>
        <w:t>Artículo 52.2.</w:t>
      </w:r>
      <w:r w:rsidRPr="00DA359F">
        <w:rPr>
          <w:rStyle w:val="TextoNormalCaracter"/>
        </w:rPr>
        <w:t>-</w:t>
      </w:r>
      <w:r>
        <w:t xml:space="preserve"> Autos </w:t>
      </w:r>
      <w:hyperlink w:anchor="AUTO_2023_334" w:history="1">
        <w:r w:rsidRPr="00DA359F">
          <w:rPr>
            <w:rStyle w:val="TextoNormalCaracter"/>
          </w:rPr>
          <w:t>334/2023</w:t>
        </w:r>
      </w:hyperlink>
      <w:r>
        <w:t xml:space="preserve">, f. 2; </w:t>
      </w:r>
      <w:hyperlink w:anchor="AUTO_2023_429" w:history="1">
        <w:r w:rsidRPr="00DA359F">
          <w:rPr>
            <w:rStyle w:val="TextoNormalCaracter"/>
          </w:rPr>
          <w:t>429/2023</w:t>
        </w:r>
      </w:hyperlink>
      <w:r>
        <w:t xml:space="preserve">, f. 2; </w:t>
      </w:r>
      <w:hyperlink w:anchor="AUTO_2023_431" w:history="1">
        <w:r w:rsidRPr="00DA359F">
          <w:rPr>
            <w:rStyle w:val="TextoNormalCaracter"/>
          </w:rPr>
          <w:t>431/2023</w:t>
        </w:r>
      </w:hyperlink>
      <w:r>
        <w:t xml:space="preserve">, f. 2; </w:t>
      </w:r>
      <w:hyperlink w:anchor="AUTO_2023_436" w:history="1">
        <w:r w:rsidRPr="00DA359F">
          <w:rPr>
            <w:rStyle w:val="TextoNormalCaracter"/>
          </w:rPr>
          <w:t>436/2023</w:t>
        </w:r>
      </w:hyperlink>
      <w:r>
        <w:t xml:space="preserve">, f. 2; </w:t>
      </w:r>
      <w:hyperlink w:anchor="AUTO_2023_458" w:history="1">
        <w:r w:rsidRPr="00DA359F">
          <w:rPr>
            <w:rStyle w:val="TextoNormalCaracter"/>
          </w:rPr>
          <w:t>458/2023</w:t>
        </w:r>
      </w:hyperlink>
      <w:r>
        <w:t xml:space="preserve">, f. 2; </w:t>
      </w:r>
      <w:hyperlink w:anchor="AUTO_2023_600" w:history="1">
        <w:r w:rsidRPr="00DA359F">
          <w:rPr>
            <w:rStyle w:val="TextoNormalCaracter"/>
          </w:rPr>
          <w:t>600/2023</w:t>
        </w:r>
      </w:hyperlink>
      <w:r>
        <w:t xml:space="preserve">, f. 2; </w:t>
      </w:r>
      <w:hyperlink w:anchor="AUTO_2023_601" w:history="1">
        <w:r w:rsidRPr="00DA359F">
          <w:rPr>
            <w:rStyle w:val="TextoNormalCaracter"/>
          </w:rPr>
          <w:t>601/2023</w:t>
        </w:r>
      </w:hyperlink>
      <w:r>
        <w:t>, f. 2.</w:t>
      </w:r>
    </w:p>
    <w:p w14:paraId="5DF7F587" w14:textId="7DCD6D1E" w:rsidR="00DA359F" w:rsidRDefault="00DA359F" w:rsidP="00DA359F">
      <w:pPr>
        <w:pStyle w:val="SangriaFrancesaArticulo"/>
      </w:pPr>
      <w:r w:rsidRPr="00DA359F">
        <w:rPr>
          <w:rStyle w:val="TextoNormalNegritaCaracter"/>
        </w:rPr>
        <w:t>Artículo 52.2</w:t>
      </w:r>
      <w:r>
        <w:t xml:space="preserve"> (redactado por la Ley Orgánica 6/2007, de 24 de mayo)</w:t>
      </w:r>
      <w:r w:rsidRPr="00DA359F">
        <w:rPr>
          <w:rStyle w:val="TextoNormalNegritaCaracter"/>
        </w:rPr>
        <w:t>.</w:t>
      </w:r>
      <w:r w:rsidRPr="00DA359F">
        <w:rPr>
          <w:rStyle w:val="TextoNormalCaracter"/>
        </w:rPr>
        <w:t>-</w:t>
      </w:r>
      <w:r>
        <w:t xml:space="preserve"> Auto </w:t>
      </w:r>
      <w:hyperlink w:anchor="AUTO_2023_428" w:history="1">
        <w:r w:rsidRPr="00DA359F">
          <w:rPr>
            <w:rStyle w:val="TextoNormalCaracter"/>
          </w:rPr>
          <w:t>428/2023</w:t>
        </w:r>
      </w:hyperlink>
      <w:r>
        <w:t>, f. 1.</w:t>
      </w:r>
    </w:p>
    <w:p w14:paraId="387CA36B" w14:textId="35057B2E" w:rsidR="00DA359F" w:rsidRDefault="00DA359F" w:rsidP="00DA359F">
      <w:pPr>
        <w:pStyle w:val="SangriaFrancesaArticulo"/>
      </w:pPr>
      <w:r w:rsidRPr="00DA359F">
        <w:rPr>
          <w:rStyle w:val="TextoNormalNegritaCaracter"/>
        </w:rPr>
        <w:t>Artículo 53.</w:t>
      </w:r>
      <w:r w:rsidRPr="00DA359F">
        <w:rPr>
          <w:rStyle w:val="TextoNormalCaracter"/>
        </w:rPr>
        <w:t>-</w:t>
      </w:r>
      <w:r>
        <w:t xml:space="preserve"> Sentencias </w:t>
      </w:r>
      <w:hyperlink w:anchor="SENTENCIA_2023_101" w:history="1">
        <w:r w:rsidRPr="00DA359F">
          <w:rPr>
            <w:rStyle w:val="TextoNormalCaracter"/>
          </w:rPr>
          <w:t>101/2023</w:t>
        </w:r>
      </w:hyperlink>
      <w:r>
        <w:t xml:space="preserve">, f. 2; </w:t>
      </w:r>
      <w:hyperlink w:anchor="SENTENCIA_2023_151" w:history="1">
        <w:r w:rsidRPr="00DA359F">
          <w:rPr>
            <w:rStyle w:val="TextoNormalCaracter"/>
          </w:rPr>
          <w:t>151/2023</w:t>
        </w:r>
      </w:hyperlink>
      <w:r>
        <w:t xml:space="preserve">, f. 2; </w:t>
      </w:r>
      <w:hyperlink w:anchor="SENTENCIA_2023_172" w:history="1">
        <w:r w:rsidRPr="00DA359F">
          <w:rPr>
            <w:rStyle w:val="TextoNormalCaracter"/>
          </w:rPr>
          <w:t>172/2023</w:t>
        </w:r>
      </w:hyperlink>
      <w:r>
        <w:t>, f. 2.</w:t>
      </w:r>
    </w:p>
    <w:p w14:paraId="043F7310" w14:textId="11307577" w:rsidR="00DA359F" w:rsidRDefault="00DA359F" w:rsidP="00DA359F">
      <w:pPr>
        <w:pStyle w:val="SangriaFrancesaArticulo"/>
      </w:pPr>
      <w:r w:rsidRPr="00DA359F">
        <w:rPr>
          <w:rStyle w:val="TextoNormalNegritaCaracter"/>
        </w:rPr>
        <w:t>Artículo 53 a).</w:t>
      </w:r>
      <w:r w:rsidRPr="00DA359F">
        <w:rPr>
          <w:rStyle w:val="TextoNormalCaracter"/>
        </w:rPr>
        <w:t>-</w:t>
      </w:r>
      <w:r>
        <w:t xml:space="preserve"> Sentencias </w:t>
      </w:r>
      <w:hyperlink w:anchor="SENTENCIA_2023_80" w:history="1">
        <w:r w:rsidRPr="00DA359F">
          <w:rPr>
            <w:rStyle w:val="TextoNormalCaracter"/>
          </w:rPr>
          <w:t>80/2023</w:t>
        </w:r>
      </w:hyperlink>
      <w:r>
        <w:t xml:space="preserve">, f. 3; </w:t>
      </w:r>
      <w:hyperlink w:anchor="SENTENCIA_2023_86" w:history="1">
        <w:r w:rsidRPr="00DA359F">
          <w:rPr>
            <w:rStyle w:val="TextoNormalCaracter"/>
          </w:rPr>
          <w:t>86/2023</w:t>
        </w:r>
      </w:hyperlink>
      <w:r>
        <w:t xml:space="preserve">, f. 3; </w:t>
      </w:r>
      <w:hyperlink w:anchor="SENTENCIA_2023_87" w:history="1">
        <w:r w:rsidRPr="00DA359F">
          <w:rPr>
            <w:rStyle w:val="TextoNormalCaracter"/>
          </w:rPr>
          <w:t>87/2023</w:t>
        </w:r>
      </w:hyperlink>
      <w:r>
        <w:t xml:space="preserve">, ff. 1, 3; </w:t>
      </w:r>
      <w:hyperlink w:anchor="SENTENCIA_2023_130" w:history="1">
        <w:r w:rsidRPr="00DA359F">
          <w:rPr>
            <w:rStyle w:val="TextoNormalCaracter"/>
          </w:rPr>
          <w:t>130/2023</w:t>
        </w:r>
      </w:hyperlink>
      <w:r>
        <w:t xml:space="preserve">, f. único; </w:t>
      </w:r>
      <w:hyperlink w:anchor="SENTENCIA_2023_152" w:history="1">
        <w:r w:rsidRPr="00DA359F">
          <w:rPr>
            <w:rStyle w:val="TextoNormalCaracter"/>
          </w:rPr>
          <w:t>152/2023</w:t>
        </w:r>
      </w:hyperlink>
      <w:r>
        <w:t xml:space="preserve">, f. 3; </w:t>
      </w:r>
      <w:hyperlink w:anchor="SENTENCIA_2023_153" w:history="1">
        <w:r w:rsidRPr="00DA359F">
          <w:rPr>
            <w:rStyle w:val="TextoNormalCaracter"/>
          </w:rPr>
          <w:t>153/2023</w:t>
        </w:r>
      </w:hyperlink>
      <w:r>
        <w:t>, f. 4.</w:t>
      </w:r>
    </w:p>
    <w:p w14:paraId="2CE0D5CC" w14:textId="1DE87A4B" w:rsidR="00DA359F" w:rsidRDefault="00DA359F" w:rsidP="00DA359F">
      <w:pPr>
        <w:pStyle w:val="SangriaFrancesaArticulo"/>
      </w:pPr>
      <w:r w:rsidRPr="00DA359F">
        <w:rPr>
          <w:rStyle w:val="TextoNormalNegritaCaracter"/>
        </w:rPr>
        <w:t>Artículo 54.</w:t>
      </w:r>
      <w:r w:rsidRPr="00DA359F">
        <w:rPr>
          <w:rStyle w:val="TextoNormalCaracter"/>
        </w:rPr>
        <w:t>-</w:t>
      </w:r>
      <w:r>
        <w:t xml:space="preserve"> Sentencia </w:t>
      </w:r>
      <w:hyperlink w:anchor="SENTENCIA_2023_153" w:history="1">
        <w:r w:rsidRPr="00DA359F">
          <w:rPr>
            <w:rStyle w:val="TextoNormalCaracter"/>
          </w:rPr>
          <w:t>153/2023</w:t>
        </w:r>
      </w:hyperlink>
      <w:r>
        <w:t>, f. 4.</w:t>
      </w:r>
    </w:p>
    <w:p w14:paraId="0EDCD434" w14:textId="5F124263" w:rsidR="00DA359F" w:rsidRDefault="00DA359F" w:rsidP="00DA359F">
      <w:pPr>
        <w:pStyle w:val="SangriaFrancesaArticulo"/>
      </w:pPr>
      <w:r w:rsidRPr="00DA359F">
        <w:rPr>
          <w:rStyle w:val="TextoNormalNegritaCaracter"/>
        </w:rPr>
        <w:t>Artículo 55.</w:t>
      </w:r>
      <w:r w:rsidRPr="00DA359F">
        <w:rPr>
          <w:rStyle w:val="TextoNormalCaracter"/>
        </w:rPr>
        <w:t>-</w:t>
      </w:r>
      <w:r>
        <w:t xml:space="preserve"> Sentencias </w:t>
      </w:r>
      <w:hyperlink w:anchor="SENTENCIA_2023_79" w:history="1">
        <w:r w:rsidRPr="00DA359F">
          <w:rPr>
            <w:rStyle w:val="TextoNormalCaracter"/>
          </w:rPr>
          <w:t>79/2023</w:t>
        </w:r>
      </w:hyperlink>
      <w:r>
        <w:t xml:space="preserve">, f. 5; </w:t>
      </w:r>
      <w:hyperlink w:anchor="SENTENCIA_2023_150" w:history="1">
        <w:r w:rsidRPr="00DA359F">
          <w:rPr>
            <w:rStyle w:val="TextoNormalCaracter"/>
          </w:rPr>
          <w:t>150/2023</w:t>
        </w:r>
      </w:hyperlink>
      <w:r>
        <w:t>, f. 3.</w:t>
      </w:r>
    </w:p>
    <w:p w14:paraId="65206610" w14:textId="7E7B830F" w:rsidR="00DA359F" w:rsidRDefault="00DA359F" w:rsidP="00DA359F">
      <w:pPr>
        <w:pStyle w:val="SangriaFrancesaArticulo"/>
      </w:pPr>
      <w:r w:rsidRPr="00DA359F">
        <w:rPr>
          <w:rStyle w:val="TextoNormalNegritaCaracter"/>
        </w:rPr>
        <w:t>Artículo 55.1.</w:t>
      </w:r>
      <w:r w:rsidRPr="00DA359F">
        <w:rPr>
          <w:rStyle w:val="TextoNormalCaracter"/>
        </w:rPr>
        <w:t>-</w:t>
      </w:r>
      <w:r>
        <w:t xml:space="preserve"> Sentencias </w:t>
      </w:r>
      <w:hyperlink w:anchor="SENTENCIA_2023_86" w:history="1">
        <w:r w:rsidRPr="00DA359F">
          <w:rPr>
            <w:rStyle w:val="TextoNormalCaracter"/>
          </w:rPr>
          <w:t>86/2023</w:t>
        </w:r>
      </w:hyperlink>
      <w:r>
        <w:t xml:space="preserve">, f. 3; </w:t>
      </w:r>
      <w:hyperlink w:anchor="SENTENCIA_2023_130" w:history="1">
        <w:r w:rsidRPr="00DA359F">
          <w:rPr>
            <w:rStyle w:val="TextoNormalCaracter"/>
          </w:rPr>
          <w:t>130/2023</w:t>
        </w:r>
      </w:hyperlink>
      <w:r>
        <w:t xml:space="preserve">, f. único; </w:t>
      </w:r>
      <w:hyperlink w:anchor="SENTENCIA_2023_152" w:history="1">
        <w:r w:rsidRPr="00DA359F">
          <w:rPr>
            <w:rStyle w:val="TextoNormalCaracter"/>
          </w:rPr>
          <w:t>152/2023</w:t>
        </w:r>
      </w:hyperlink>
      <w:r>
        <w:t>, f. 3.</w:t>
      </w:r>
    </w:p>
    <w:p w14:paraId="393700D9" w14:textId="3463A64C" w:rsidR="00DA359F" w:rsidRDefault="00DA359F" w:rsidP="00DA359F">
      <w:pPr>
        <w:pStyle w:val="SangriaFrancesaArticulo"/>
      </w:pPr>
      <w:r w:rsidRPr="00DA359F">
        <w:rPr>
          <w:rStyle w:val="TextoNormalNegritaCaracter"/>
        </w:rPr>
        <w:t>Artículo 56.</w:t>
      </w:r>
      <w:r w:rsidRPr="00DA359F">
        <w:rPr>
          <w:rStyle w:val="TextoNormalCaracter"/>
        </w:rPr>
        <w:t>-</w:t>
      </w:r>
      <w:r>
        <w:t xml:space="preserve"> Sentencia </w:t>
      </w:r>
      <w:hyperlink w:anchor="SENTENCIA_2023_148" w:history="1">
        <w:r w:rsidRPr="00DA359F">
          <w:rPr>
            <w:rStyle w:val="TextoNormalCaracter"/>
          </w:rPr>
          <w:t>148/2023</w:t>
        </w:r>
      </w:hyperlink>
      <w:r>
        <w:t>, f. 2.</w:t>
      </w:r>
    </w:p>
    <w:p w14:paraId="6BF42BEC" w14:textId="6189B14B" w:rsidR="00DA359F" w:rsidRDefault="00DA359F" w:rsidP="00DA359F">
      <w:pPr>
        <w:pStyle w:val="SangriaIzquierdaArticulo"/>
      </w:pPr>
      <w:r>
        <w:t xml:space="preserve">Autos </w:t>
      </w:r>
      <w:hyperlink w:anchor="AUTO_2023_334" w:history="1">
        <w:r w:rsidRPr="00DA359F">
          <w:rPr>
            <w:rStyle w:val="TextoNormalCaracter"/>
          </w:rPr>
          <w:t>334/2023</w:t>
        </w:r>
      </w:hyperlink>
      <w:r>
        <w:t xml:space="preserve">, ff. 2 a 4; </w:t>
      </w:r>
      <w:hyperlink w:anchor="AUTO_2023_370" w:history="1">
        <w:r w:rsidRPr="00DA359F">
          <w:rPr>
            <w:rStyle w:val="TextoNormalCaracter"/>
          </w:rPr>
          <w:t>370/2023</w:t>
        </w:r>
      </w:hyperlink>
      <w:r>
        <w:t xml:space="preserve">, f. 2; </w:t>
      </w:r>
      <w:hyperlink w:anchor="AUTO_2023_429" w:history="1">
        <w:r w:rsidRPr="00DA359F">
          <w:rPr>
            <w:rStyle w:val="TextoNormalCaracter"/>
          </w:rPr>
          <w:t>429/2023</w:t>
        </w:r>
      </w:hyperlink>
      <w:r>
        <w:t xml:space="preserve">, f. 2; </w:t>
      </w:r>
      <w:hyperlink w:anchor="AUTO_2023_431" w:history="1">
        <w:r w:rsidRPr="00DA359F">
          <w:rPr>
            <w:rStyle w:val="TextoNormalCaracter"/>
          </w:rPr>
          <w:t>431/2023</w:t>
        </w:r>
      </w:hyperlink>
      <w:r>
        <w:t xml:space="preserve">, f. 2; </w:t>
      </w:r>
      <w:hyperlink w:anchor="AUTO_2023_436" w:history="1">
        <w:r w:rsidRPr="00DA359F">
          <w:rPr>
            <w:rStyle w:val="TextoNormalCaracter"/>
          </w:rPr>
          <w:t>436/2023</w:t>
        </w:r>
      </w:hyperlink>
      <w:r>
        <w:t xml:space="preserve">, ff. 2, 3; </w:t>
      </w:r>
      <w:hyperlink w:anchor="AUTO_2023_440" w:history="1">
        <w:r w:rsidRPr="00DA359F">
          <w:rPr>
            <w:rStyle w:val="TextoNormalCaracter"/>
          </w:rPr>
          <w:t>440/2023</w:t>
        </w:r>
      </w:hyperlink>
      <w:r>
        <w:t xml:space="preserve">, f. 3; </w:t>
      </w:r>
      <w:hyperlink w:anchor="AUTO_2023_441" w:history="1">
        <w:r w:rsidRPr="00DA359F">
          <w:rPr>
            <w:rStyle w:val="TextoNormalCaracter"/>
          </w:rPr>
          <w:t>441/2023</w:t>
        </w:r>
      </w:hyperlink>
      <w:r>
        <w:t xml:space="preserve">, f. 3; </w:t>
      </w:r>
      <w:hyperlink w:anchor="AUTO_2023_442" w:history="1">
        <w:r w:rsidRPr="00DA359F">
          <w:rPr>
            <w:rStyle w:val="TextoNormalCaracter"/>
          </w:rPr>
          <w:t>442/2023</w:t>
        </w:r>
      </w:hyperlink>
      <w:r>
        <w:t xml:space="preserve">, f. 3; </w:t>
      </w:r>
      <w:hyperlink w:anchor="AUTO_2023_458" w:history="1">
        <w:r w:rsidRPr="00DA359F">
          <w:rPr>
            <w:rStyle w:val="TextoNormalCaracter"/>
          </w:rPr>
          <w:t>458/2023</w:t>
        </w:r>
      </w:hyperlink>
      <w:r>
        <w:t xml:space="preserve">, f. 3; </w:t>
      </w:r>
      <w:hyperlink w:anchor="AUTO_2023_473" w:history="1">
        <w:r w:rsidRPr="00DA359F">
          <w:rPr>
            <w:rStyle w:val="TextoNormalCaracter"/>
          </w:rPr>
          <w:t>473/2023</w:t>
        </w:r>
      </w:hyperlink>
      <w:r>
        <w:t xml:space="preserve">, f. 3; </w:t>
      </w:r>
      <w:hyperlink w:anchor="AUTO_2023_477" w:history="1">
        <w:r w:rsidRPr="00DA359F">
          <w:rPr>
            <w:rStyle w:val="TextoNormalCaracter"/>
          </w:rPr>
          <w:t>477/2023</w:t>
        </w:r>
      </w:hyperlink>
      <w:r>
        <w:t xml:space="preserve">, f. 2; </w:t>
      </w:r>
      <w:hyperlink w:anchor="AUTO_2023_599" w:history="1">
        <w:r w:rsidRPr="00DA359F">
          <w:rPr>
            <w:rStyle w:val="TextoNormalCaracter"/>
          </w:rPr>
          <w:t>599/2023</w:t>
        </w:r>
      </w:hyperlink>
      <w:r>
        <w:t xml:space="preserve">, f. 2; </w:t>
      </w:r>
      <w:hyperlink w:anchor="AUTO_2023_661" w:history="1">
        <w:r w:rsidRPr="00DA359F">
          <w:rPr>
            <w:rStyle w:val="TextoNormalCaracter"/>
          </w:rPr>
          <w:t>661/2023</w:t>
        </w:r>
      </w:hyperlink>
      <w:r>
        <w:t xml:space="preserve">, f. 4; </w:t>
      </w:r>
      <w:hyperlink w:anchor="AUTO_2023_663" w:history="1">
        <w:r w:rsidRPr="00DA359F">
          <w:rPr>
            <w:rStyle w:val="TextoNormalCaracter"/>
          </w:rPr>
          <w:t>663/2023</w:t>
        </w:r>
      </w:hyperlink>
      <w:r>
        <w:t>, f. 1.</w:t>
      </w:r>
    </w:p>
    <w:p w14:paraId="08B2B19E" w14:textId="2A79EC26" w:rsidR="00DA359F" w:rsidRDefault="00DA359F" w:rsidP="00DA359F">
      <w:pPr>
        <w:pStyle w:val="SangriaFrancesaArticulo"/>
      </w:pPr>
      <w:r w:rsidRPr="00DA359F">
        <w:rPr>
          <w:rStyle w:val="TextoNormalNegritaCaracter"/>
        </w:rPr>
        <w:t>Artículo 56.1.</w:t>
      </w:r>
      <w:r w:rsidRPr="00DA359F">
        <w:rPr>
          <w:rStyle w:val="TextoNormalCaracter"/>
        </w:rPr>
        <w:t>-</w:t>
      </w:r>
      <w:r>
        <w:t xml:space="preserve"> Autos </w:t>
      </w:r>
      <w:hyperlink w:anchor="AUTO_2023_436" w:history="1">
        <w:r w:rsidRPr="00DA359F">
          <w:rPr>
            <w:rStyle w:val="TextoNormalCaracter"/>
          </w:rPr>
          <w:t>436/2023</w:t>
        </w:r>
      </w:hyperlink>
      <w:r>
        <w:t xml:space="preserve">, f. 2; </w:t>
      </w:r>
      <w:hyperlink w:anchor="AUTO_2023_438" w:history="1">
        <w:r w:rsidRPr="00DA359F">
          <w:rPr>
            <w:rStyle w:val="TextoNormalCaracter"/>
          </w:rPr>
          <w:t>438/2023</w:t>
        </w:r>
      </w:hyperlink>
      <w:r>
        <w:t xml:space="preserve">, f. 2; </w:t>
      </w:r>
      <w:hyperlink w:anchor="AUTO_2023_439" w:history="1">
        <w:r w:rsidRPr="00DA359F">
          <w:rPr>
            <w:rStyle w:val="TextoNormalCaracter"/>
          </w:rPr>
          <w:t>439/2023</w:t>
        </w:r>
      </w:hyperlink>
      <w:r>
        <w:t xml:space="preserve">, f. 2; </w:t>
      </w:r>
      <w:hyperlink w:anchor="AUTO_2023_440" w:history="1">
        <w:r w:rsidRPr="00DA359F">
          <w:rPr>
            <w:rStyle w:val="TextoNormalCaracter"/>
          </w:rPr>
          <w:t>440/2023</w:t>
        </w:r>
      </w:hyperlink>
      <w:r>
        <w:t xml:space="preserve">, f. 2; </w:t>
      </w:r>
      <w:hyperlink w:anchor="AUTO_2023_441" w:history="1">
        <w:r w:rsidRPr="00DA359F">
          <w:rPr>
            <w:rStyle w:val="TextoNormalCaracter"/>
          </w:rPr>
          <w:t>441/2023</w:t>
        </w:r>
      </w:hyperlink>
      <w:r>
        <w:t xml:space="preserve">, f. 2; </w:t>
      </w:r>
      <w:hyperlink w:anchor="AUTO_2023_442" w:history="1">
        <w:r w:rsidRPr="00DA359F">
          <w:rPr>
            <w:rStyle w:val="TextoNormalCaracter"/>
          </w:rPr>
          <w:t>442/2023</w:t>
        </w:r>
      </w:hyperlink>
      <w:r>
        <w:t xml:space="preserve">, f. 2; </w:t>
      </w:r>
      <w:hyperlink w:anchor="AUTO_2023_443" w:history="1">
        <w:r w:rsidRPr="00DA359F">
          <w:rPr>
            <w:rStyle w:val="TextoNormalCaracter"/>
          </w:rPr>
          <w:t>443/2023</w:t>
        </w:r>
      </w:hyperlink>
      <w:r>
        <w:t xml:space="preserve">, f. 2; </w:t>
      </w:r>
      <w:hyperlink w:anchor="AUTO_2023_444" w:history="1">
        <w:r w:rsidRPr="00DA359F">
          <w:rPr>
            <w:rStyle w:val="TextoNormalCaracter"/>
          </w:rPr>
          <w:t>444/2023</w:t>
        </w:r>
      </w:hyperlink>
      <w:r>
        <w:t xml:space="preserve">, f. 2; </w:t>
      </w:r>
      <w:hyperlink w:anchor="AUTO_2023_458" w:history="1">
        <w:r w:rsidRPr="00DA359F">
          <w:rPr>
            <w:rStyle w:val="TextoNormalCaracter"/>
          </w:rPr>
          <w:t>458/2023</w:t>
        </w:r>
      </w:hyperlink>
      <w:r>
        <w:t xml:space="preserve">, f. 2; </w:t>
      </w:r>
      <w:hyperlink w:anchor="AUTO_2023_477" w:history="1">
        <w:r w:rsidRPr="00DA359F">
          <w:rPr>
            <w:rStyle w:val="TextoNormalCaracter"/>
          </w:rPr>
          <w:t>477/2023</w:t>
        </w:r>
      </w:hyperlink>
      <w:r>
        <w:t xml:space="preserve">, f. 2; </w:t>
      </w:r>
      <w:hyperlink w:anchor="AUTO_2023_661" w:history="1">
        <w:r w:rsidRPr="00DA359F">
          <w:rPr>
            <w:rStyle w:val="TextoNormalCaracter"/>
          </w:rPr>
          <w:t>661/2023</w:t>
        </w:r>
      </w:hyperlink>
      <w:r>
        <w:t>, f. 3.</w:t>
      </w:r>
    </w:p>
    <w:p w14:paraId="37F167B9" w14:textId="5F69F883" w:rsidR="00DA359F" w:rsidRDefault="00DA359F" w:rsidP="00DA359F">
      <w:pPr>
        <w:pStyle w:val="SangriaFrancesaArticulo"/>
      </w:pPr>
      <w:r w:rsidRPr="00DA359F">
        <w:rPr>
          <w:rStyle w:val="TextoNormalNegritaCaracter"/>
        </w:rPr>
        <w:t>Artículo 56.1</w:t>
      </w:r>
      <w:r>
        <w:t xml:space="preserve"> (redactado por la Ley Orgánica 6/2007, de 24 de mayo)</w:t>
      </w:r>
      <w:r w:rsidRPr="00DA359F">
        <w:rPr>
          <w:rStyle w:val="TextoNormalNegritaCaracter"/>
        </w:rPr>
        <w:t>.</w:t>
      </w:r>
      <w:r w:rsidRPr="00DA359F">
        <w:rPr>
          <w:rStyle w:val="TextoNormalCaracter"/>
        </w:rPr>
        <w:t>-</w:t>
      </w:r>
      <w:r>
        <w:t xml:space="preserve"> Auto </w:t>
      </w:r>
      <w:hyperlink w:anchor="AUTO_2023_428" w:history="1">
        <w:r w:rsidRPr="00DA359F">
          <w:rPr>
            <w:rStyle w:val="TextoNormalCaracter"/>
          </w:rPr>
          <w:t>428/2023</w:t>
        </w:r>
      </w:hyperlink>
      <w:r>
        <w:t>, f. 1.</w:t>
      </w:r>
    </w:p>
    <w:p w14:paraId="3ECF804D" w14:textId="59FA1B04" w:rsidR="00DA359F" w:rsidRDefault="00DA359F" w:rsidP="00DA359F">
      <w:pPr>
        <w:pStyle w:val="SangriaFrancesaArticulo"/>
      </w:pPr>
      <w:r w:rsidRPr="00DA359F">
        <w:rPr>
          <w:rStyle w:val="TextoNormalNegritaCaracter"/>
        </w:rPr>
        <w:t>Artículo 56.2.</w:t>
      </w:r>
      <w:r w:rsidRPr="00DA359F">
        <w:rPr>
          <w:rStyle w:val="TextoNormalCaracter"/>
        </w:rPr>
        <w:t>-</w:t>
      </w:r>
      <w:r>
        <w:t xml:space="preserve"> Autos </w:t>
      </w:r>
      <w:hyperlink w:anchor="AUTO_2023_370" w:history="1">
        <w:r w:rsidRPr="00DA359F">
          <w:rPr>
            <w:rStyle w:val="TextoNormalCaracter"/>
          </w:rPr>
          <w:t>370/2023</w:t>
        </w:r>
      </w:hyperlink>
      <w:r>
        <w:t xml:space="preserve">, f. 2; </w:t>
      </w:r>
      <w:hyperlink w:anchor="AUTO_2023_378" w:history="1">
        <w:r w:rsidRPr="00DA359F">
          <w:rPr>
            <w:rStyle w:val="TextoNormalCaracter"/>
          </w:rPr>
          <w:t>378/2023</w:t>
        </w:r>
      </w:hyperlink>
      <w:r>
        <w:t xml:space="preserve">, VP; </w:t>
      </w:r>
      <w:hyperlink w:anchor="AUTO_2023_429" w:history="1">
        <w:r w:rsidRPr="00DA359F">
          <w:rPr>
            <w:rStyle w:val="TextoNormalCaracter"/>
          </w:rPr>
          <w:t>429/2023</w:t>
        </w:r>
      </w:hyperlink>
      <w:r>
        <w:t xml:space="preserve">, f. 2; </w:t>
      </w:r>
      <w:hyperlink w:anchor="AUTO_2023_431" w:history="1">
        <w:r w:rsidRPr="00DA359F">
          <w:rPr>
            <w:rStyle w:val="TextoNormalCaracter"/>
          </w:rPr>
          <w:t>431/2023</w:t>
        </w:r>
      </w:hyperlink>
      <w:r>
        <w:t xml:space="preserve">, ff. 2, 3; </w:t>
      </w:r>
      <w:hyperlink w:anchor="AUTO_2023_436" w:history="1">
        <w:r w:rsidRPr="00DA359F">
          <w:rPr>
            <w:rStyle w:val="TextoNormalCaracter"/>
          </w:rPr>
          <w:t>436/2023</w:t>
        </w:r>
      </w:hyperlink>
      <w:r>
        <w:t xml:space="preserve">, f. 2; </w:t>
      </w:r>
      <w:hyperlink w:anchor="AUTO_2023_438" w:history="1">
        <w:r w:rsidRPr="00DA359F">
          <w:rPr>
            <w:rStyle w:val="TextoNormalCaracter"/>
          </w:rPr>
          <w:t>438/2023</w:t>
        </w:r>
      </w:hyperlink>
      <w:r>
        <w:t xml:space="preserve">, ff. 2, 3; </w:t>
      </w:r>
      <w:hyperlink w:anchor="AUTO_2023_439" w:history="1">
        <w:r w:rsidRPr="00DA359F">
          <w:rPr>
            <w:rStyle w:val="TextoNormalCaracter"/>
          </w:rPr>
          <w:t>439/2023</w:t>
        </w:r>
      </w:hyperlink>
      <w:r>
        <w:t xml:space="preserve">, ff. 2, 3; </w:t>
      </w:r>
      <w:hyperlink w:anchor="AUTO_2023_440" w:history="1">
        <w:r w:rsidRPr="00DA359F">
          <w:rPr>
            <w:rStyle w:val="TextoNormalCaracter"/>
          </w:rPr>
          <w:t>440/2023</w:t>
        </w:r>
      </w:hyperlink>
      <w:r>
        <w:t xml:space="preserve">, f. 2; </w:t>
      </w:r>
      <w:hyperlink w:anchor="AUTO_2023_441" w:history="1">
        <w:r w:rsidRPr="00DA359F">
          <w:rPr>
            <w:rStyle w:val="TextoNormalCaracter"/>
          </w:rPr>
          <w:t>441/2023</w:t>
        </w:r>
      </w:hyperlink>
      <w:r>
        <w:t xml:space="preserve">, f. 2; </w:t>
      </w:r>
      <w:hyperlink w:anchor="AUTO_2023_442" w:history="1">
        <w:r w:rsidRPr="00DA359F">
          <w:rPr>
            <w:rStyle w:val="TextoNormalCaracter"/>
          </w:rPr>
          <w:t>442/2023</w:t>
        </w:r>
      </w:hyperlink>
      <w:r>
        <w:t xml:space="preserve">, f. 2; </w:t>
      </w:r>
      <w:hyperlink w:anchor="AUTO_2023_443" w:history="1">
        <w:r w:rsidRPr="00DA359F">
          <w:rPr>
            <w:rStyle w:val="TextoNormalCaracter"/>
          </w:rPr>
          <w:t>443/2023</w:t>
        </w:r>
      </w:hyperlink>
      <w:r>
        <w:t xml:space="preserve">, ff. 1 a 3; </w:t>
      </w:r>
      <w:hyperlink w:anchor="AUTO_2023_444" w:history="1">
        <w:r w:rsidRPr="00DA359F">
          <w:rPr>
            <w:rStyle w:val="TextoNormalCaracter"/>
          </w:rPr>
          <w:t>444/2023</w:t>
        </w:r>
      </w:hyperlink>
      <w:r>
        <w:t xml:space="preserve">, f. 2; </w:t>
      </w:r>
      <w:hyperlink w:anchor="AUTO_2023_458" w:history="1">
        <w:r w:rsidRPr="00DA359F">
          <w:rPr>
            <w:rStyle w:val="TextoNormalCaracter"/>
          </w:rPr>
          <w:t>458/2023</w:t>
        </w:r>
      </w:hyperlink>
      <w:r>
        <w:t xml:space="preserve">, f. 2; </w:t>
      </w:r>
      <w:hyperlink w:anchor="AUTO_2023_473" w:history="1">
        <w:r w:rsidRPr="00DA359F">
          <w:rPr>
            <w:rStyle w:val="TextoNormalCaracter"/>
          </w:rPr>
          <w:t>473/2023</w:t>
        </w:r>
      </w:hyperlink>
      <w:r>
        <w:t xml:space="preserve">, f. 3; </w:t>
      </w:r>
      <w:hyperlink w:anchor="AUTO_2023_477" w:history="1">
        <w:r w:rsidRPr="00DA359F">
          <w:rPr>
            <w:rStyle w:val="TextoNormalCaracter"/>
          </w:rPr>
          <w:t>477/2023</w:t>
        </w:r>
      </w:hyperlink>
      <w:r>
        <w:t xml:space="preserve">, f. 2; </w:t>
      </w:r>
      <w:hyperlink w:anchor="AUTO_2023_601" w:history="1">
        <w:r w:rsidRPr="00DA359F">
          <w:rPr>
            <w:rStyle w:val="TextoNormalCaracter"/>
          </w:rPr>
          <w:t>601/2023</w:t>
        </w:r>
      </w:hyperlink>
      <w:r>
        <w:t>, f. 2.</w:t>
      </w:r>
    </w:p>
    <w:p w14:paraId="4217D513" w14:textId="502F1405" w:rsidR="00DA359F" w:rsidRDefault="00DA359F" w:rsidP="00DA359F">
      <w:pPr>
        <w:pStyle w:val="SangriaFrancesaArticulo"/>
      </w:pPr>
      <w:r w:rsidRPr="00DA359F">
        <w:rPr>
          <w:rStyle w:val="TextoNormalNegritaCaracter"/>
        </w:rPr>
        <w:t>Artículo 56.2</w:t>
      </w:r>
      <w:r>
        <w:t xml:space="preserve"> (redactado por la Ley Orgánica 6/2007, de 24 de mayo)</w:t>
      </w:r>
      <w:r w:rsidRPr="00DA359F">
        <w:rPr>
          <w:rStyle w:val="TextoNormalNegritaCaracter"/>
        </w:rPr>
        <w:t>.</w:t>
      </w:r>
      <w:r w:rsidRPr="00DA359F">
        <w:rPr>
          <w:rStyle w:val="TextoNormalCaracter"/>
        </w:rPr>
        <w:t>-</w:t>
      </w:r>
      <w:r>
        <w:t xml:space="preserve"> Autos </w:t>
      </w:r>
      <w:hyperlink w:anchor="AUTO_2023_428" w:history="1">
        <w:r w:rsidRPr="00DA359F">
          <w:rPr>
            <w:rStyle w:val="TextoNormalCaracter"/>
          </w:rPr>
          <w:t>428/2023</w:t>
        </w:r>
      </w:hyperlink>
      <w:r>
        <w:t xml:space="preserve">, ff. 1, 2; </w:t>
      </w:r>
      <w:hyperlink w:anchor="AUTO_2023_600" w:history="1">
        <w:r w:rsidRPr="00DA359F">
          <w:rPr>
            <w:rStyle w:val="TextoNormalCaracter"/>
          </w:rPr>
          <w:t>600/2023</w:t>
        </w:r>
      </w:hyperlink>
      <w:r>
        <w:t>, f. 2.</w:t>
      </w:r>
    </w:p>
    <w:p w14:paraId="66580F1B" w14:textId="55913876" w:rsidR="00DA359F" w:rsidRDefault="00DA359F" w:rsidP="00DA359F">
      <w:pPr>
        <w:pStyle w:val="SangriaFrancesaArticulo"/>
      </w:pPr>
      <w:r w:rsidRPr="00DA359F">
        <w:rPr>
          <w:rStyle w:val="TextoNormalNegritaCaracter"/>
        </w:rPr>
        <w:t>Artículo 56.3.</w:t>
      </w:r>
      <w:r w:rsidRPr="00DA359F">
        <w:rPr>
          <w:rStyle w:val="TextoNormalCaracter"/>
        </w:rPr>
        <w:t>-</w:t>
      </w:r>
      <w:r>
        <w:t xml:space="preserve"> Auto </w:t>
      </w:r>
      <w:hyperlink w:anchor="AUTO_2023_458" w:history="1">
        <w:r w:rsidRPr="00DA359F">
          <w:rPr>
            <w:rStyle w:val="TextoNormalCaracter"/>
          </w:rPr>
          <w:t>458/2023</w:t>
        </w:r>
      </w:hyperlink>
      <w:r>
        <w:t>, f. 3.</w:t>
      </w:r>
    </w:p>
    <w:p w14:paraId="63FF91BC" w14:textId="6FFF730F" w:rsidR="00DA359F" w:rsidRDefault="00DA359F" w:rsidP="00DA359F">
      <w:pPr>
        <w:pStyle w:val="SangriaFrancesaArticulo"/>
      </w:pPr>
      <w:r w:rsidRPr="00DA359F">
        <w:rPr>
          <w:rStyle w:val="TextoNormalNegritaCaracter"/>
        </w:rPr>
        <w:t>Artículo 56.3</w:t>
      </w:r>
      <w:r>
        <w:t xml:space="preserve"> (redactado por la Ley Orgánica 6/2007, de 24 de mayo)</w:t>
      </w:r>
      <w:r w:rsidRPr="00DA359F">
        <w:rPr>
          <w:rStyle w:val="TextoNormalNegritaCaracter"/>
        </w:rPr>
        <w:t>.</w:t>
      </w:r>
      <w:r w:rsidRPr="00DA359F">
        <w:rPr>
          <w:rStyle w:val="TextoNormalCaracter"/>
        </w:rPr>
        <w:t>-</w:t>
      </w:r>
      <w:r>
        <w:t xml:space="preserve"> Auto </w:t>
      </w:r>
      <w:hyperlink w:anchor="AUTO_2023_428" w:history="1">
        <w:r w:rsidRPr="00DA359F">
          <w:rPr>
            <w:rStyle w:val="TextoNormalCaracter"/>
          </w:rPr>
          <w:t>428/2023</w:t>
        </w:r>
      </w:hyperlink>
      <w:r>
        <w:t>, ff. 1, 2.</w:t>
      </w:r>
    </w:p>
    <w:p w14:paraId="303E8939" w14:textId="4D452973" w:rsidR="00DA359F" w:rsidRDefault="00DA359F" w:rsidP="00DA359F">
      <w:pPr>
        <w:pStyle w:val="SangriaFrancesaArticulo"/>
      </w:pPr>
      <w:r w:rsidRPr="00DA359F">
        <w:rPr>
          <w:rStyle w:val="TextoNormalNegritaCaracter"/>
        </w:rPr>
        <w:t>Artículo 56.6.</w:t>
      </w:r>
      <w:r w:rsidRPr="00DA359F">
        <w:rPr>
          <w:rStyle w:val="TextoNormalCaracter"/>
        </w:rPr>
        <w:t>-</w:t>
      </w:r>
      <w:r>
        <w:t xml:space="preserve"> Auto </w:t>
      </w:r>
      <w:hyperlink w:anchor="AUTO_2023_482" w:history="1">
        <w:r w:rsidRPr="00DA359F">
          <w:rPr>
            <w:rStyle w:val="TextoNormalCaracter"/>
          </w:rPr>
          <w:t>482/2023</w:t>
        </w:r>
      </w:hyperlink>
      <w:r>
        <w:t>, f. 1.</w:t>
      </w:r>
    </w:p>
    <w:p w14:paraId="5A2B33D1" w14:textId="207CE237" w:rsidR="00DA359F" w:rsidRDefault="00DA359F" w:rsidP="00DA359F">
      <w:pPr>
        <w:pStyle w:val="SangriaFrancesaArticulo"/>
      </w:pPr>
      <w:r w:rsidRPr="00DA359F">
        <w:rPr>
          <w:rStyle w:val="TextoNormalNegritaCaracter"/>
        </w:rPr>
        <w:t>Artículo 57.</w:t>
      </w:r>
      <w:r w:rsidRPr="00DA359F">
        <w:rPr>
          <w:rStyle w:val="TextoNormalCaracter"/>
        </w:rPr>
        <w:t>-</w:t>
      </w:r>
      <w:r>
        <w:t xml:space="preserve"> Sentencia </w:t>
      </w:r>
      <w:hyperlink w:anchor="SENTENCIA_2023_148" w:history="1">
        <w:r w:rsidRPr="00DA359F">
          <w:rPr>
            <w:rStyle w:val="TextoNormalCaracter"/>
          </w:rPr>
          <w:t>148/2023</w:t>
        </w:r>
      </w:hyperlink>
      <w:r>
        <w:t>, f. 2.</w:t>
      </w:r>
    </w:p>
    <w:p w14:paraId="33E03B73" w14:textId="14612AC0" w:rsidR="00DA359F" w:rsidRDefault="00DA359F" w:rsidP="00DA359F">
      <w:pPr>
        <w:pStyle w:val="SangriaIzquierdaArticulo"/>
      </w:pPr>
      <w:r>
        <w:t xml:space="preserve">Autos </w:t>
      </w:r>
      <w:hyperlink w:anchor="AUTO_2023_428" w:history="1">
        <w:r w:rsidRPr="00DA359F">
          <w:rPr>
            <w:rStyle w:val="TextoNormalCaracter"/>
          </w:rPr>
          <w:t>428/2023</w:t>
        </w:r>
      </w:hyperlink>
      <w:r>
        <w:t xml:space="preserve">, f. 2; </w:t>
      </w:r>
      <w:hyperlink w:anchor="AUTO_2023_439" w:history="1">
        <w:r w:rsidRPr="00DA359F">
          <w:rPr>
            <w:rStyle w:val="TextoNormalCaracter"/>
          </w:rPr>
          <w:t>439/2023</w:t>
        </w:r>
      </w:hyperlink>
      <w:r>
        <w:t xml:space="preserve">, f. 3; </w:t>
      </w:r>
      <w:hyperlink w:anchor="AUTO_2023_601" w:history="1">
        <w:r w:rsidRPr="00DA359F">
          <w:rPr>
            <w:rStyle w:val="TextoNormalCaracter"/>
          </w:rPr>
          <w:t>601/2023</w:t>
        </w:r>
      </w:hyperlink>
      <w:r>
        <w:t>, f. 3.</w:t>
      </w:r>
    </w:p>
    <w:p w14:paraId="1AA22E64" w14:textId="3B239183" w:rsidR="00DA359F" w:rsidRDefault="00DA359F" w:rsidP="00DA359F">
      <w:pPr>
        <w:pStyle w:val="SangriaFrancesaArticulo"/>
      </w:pPr>
      <w:r w:rsidRPr="00DA359F">
        <w:rPr>
          <w:rStyle w:val="TextoNormalNegritaCaracter"/>
        </w:rPr>
        <w:t>Artículo 59.</w:t>
      </w:r>
      <w:r w:rsidRPr="00DA359F">
        <w:rPr>
          <w:rStyle w:val="TextoNormalCaracter"/>
        </w:rPr>
        <w:t>-</w:t>
      </w:r>
      <w:r>
        <w:t xml:space="preserve"> Sentencia </w:t>
      </w:r>
      <w:hyperlink w:anchor="SENTENCIA_2023_128" w:history="1">
        <w:r w:rsidRPr="00DA359F">
          <w:rPr>
            <w:rStyle w:val="TextoNormalCaracter"/>
          </w:rPr>
          <w:t>128/2023</w:t>
        </w:r>
      </w:hyperlink>
      <w:r>
        <w:t>, VP.</w:t>
      </w:r>
    </w:p>
    <w:p w14:paraId="5BC8D561" w14:textId="626EB300" w:rsidR="00DA359F" w:rsidRDefault="00DA359F" w:rsidP="00DA359F">
      <w:pPr>
        <w:pStyle w:val="SangriaFrancesaArticulo"/>
      </w:pPr>
      <w:r w:rsidRPr="00DA359F">
        <w:rPr>
          <w:rStyle w:val="TextoNormalNegritaCaracter"/>
        </w:rPr>
        <w:t>Artículo 59.1 c).</w:t>
      </w:r>
      <w:r w:rsidRPr="00DA359F">
        <w:rPr>
          <w:rStyle w:val="TextoNormalCaracter"/>
        </w:rPr>
        <w:t>-</w:t>
      </w:r>
      <w:r>
        <w:t xml:space="preserve"> Sentencia </w:t>
      </w:r>
      <w:hyperlink w:anchor="SENTENCIA_2023_128" w:history="1">
        <w:r w:rsidRPr="00DA359F">
          <w:rPr>
            <w:rStyle w:val="TextoNormalCaracter"/>
          </w:rPr>
          <w:t>128/2023</w:t>
        </w:r>
      </w:hyperlink>
      <w:r>
        <w:t>, f. 5, VP.</w:t>
      </w:r>
    </w:p>
    <w:p w14:paraId="2260DC02" w14:textId="29AE1A57" w:rsidR="00DA359F" w:rsidRDefault="00DA359F" w:rsidP="00DA359F">
      <w:pPr>
        <w:pStyle w:val="SangriaFrancesaArticulo"/>
      </w:pPr>
      <w:r w:rsidRPr="00DA359F">
        <w:rPr>
          <w:rStyle w:val="TextoNormalNegritaCaracter"/>
        </w:rPr>
        <w:t>Artículos 73 a 75 quinquies.</w:t>
      </w:r>
      <w:r w:rsidRPr="00DA359F">
        <w:rPr>
          <w:rStyle w:val="TextoNormalCaracter"/>
        </w:rPr>
        <w:t>-</w:t>
      </w:r>
      <w:r>
        <w:t xml:space="preserve"> Sentencia </w:t>
      </w:r>
      <w:hyperlink w:anchor="SENTENCIA_2023_128" w:history="1">
        <w:r w:rsidRPr="00DA359F">
          <w:rPr>
            <w:rStyle w:val="TextoNormalCaracter"/>
          </w:rPr>
          <w:t>128/2023</w:t>
        </w:r>
      </w:hyperlink>
      <w:r>
        <w:t>, f. 5.</w:t>
      </w:r>
    </w:p>
    <w:p w14:paraId="1A8AB605" w14:textId="4D721AB1" w:rsidR="00DA359F" w:rsidRDefault="00DA359F" w:rsidP="00DA359F">
      <w:pPr>
        <w:pStyle w:val="SangriaFrancesaArticulo"/>
      </w:pPr>
      <w:r w:rsidRPr="00DA359F">
        <w:rPr>
          <w:rStyle w:val="TextoNormalNegritaCaracter"/>
        </w:rPr>
        <w:t>Artículo 75 quinquies, apartado 1.</w:t>
      </w:r>
      <w:r w:rsidRPr="00DA359F">
        <w:rPr>
          <w:rStyle w:val="TextoNormalCaracter"/>
        </w:rPr>
        <w:t>-</w:t>
      </w:r>
      <w:r>
        <w:t xml:space="preserve"> Auto </w:t>
      </w:r>
      <w:hyperlink w:anchor="AUTO_2023_354" w:history="1">
        <w:r w:rsidRPr="00DA359F">
          <w:rPr>
            <w:rStyle w:val="TextoNormalCaracter"/>
          </w:rPr>
          <w:t>354/2023</w:t>
        </w:r>
      </w:hyperlink>
      <w:r>
        <w:t>, ff. 1, 2.</w:t>
      </w:r>
    </w:p>
    <w:p w14:paraId="5C21EC9B" w14:textId="337D5AFF" w:rsidR="00DA359F" w:rsidRDefault="00DA359F" w:rsidP="00DA359F">
      <w:pPr>
        <w:pStyle w:val="SangriaFrancesaArticulo"/>
      </w:pPr>
      <w:r w:rsidRPr="00DA359F">
        <w:rPr>
          <w:rStyle w:val="TextoNormalNegritaCaracter"/>
        </w:rPr>
        <w:t>Artículo 75 ter 1.</w:t>
      </w:r>
      <w:r w:rsidRPr="00DA359F">
        <w:rPr>
          <w:rStyle w:val="TextoNormalCaracter"/>
        </w:rPr>
        <w:t>-</w:t>
      </w:r>
      <w:r>
        <w:t xml:space="preserve"> Autos </w:t>
      </w:r>
      <w:hyperlink w:anchor="AUTO_2023_354" w:history="1">
        <w:r w:rsidRPr="00DA359F">
          <w:rPr>
            <w:rStyle w:val="TextoNormalCaracter"/>
          </w:rPr>
          <w:t>354/2023</w:t>
        </w:r>
      </w:hyperlink>
      <w:r>
        <w:t xml:space="preserve">, ff. 2, 4; </w:t>
      </w:r>
      <w:hyperlink w:anchor="AUTO_2023_485" w:history="1">
        <w:r w:rsidRPr="00DA359F">
          <w:rPr>
            <w:rStyle w:val="TextoNormalCaracter"/>
          </w:rPr>
          <w:t>485/2023</w:t>
        </w:r>
      </w:hyperlink>
      <w:r>
        <w:t>, f. 1.</w:t>
      </w:r>
    </w:p>
    <w:p w14:paraId="60D64A6A" w14:textId="2E6EB414" w:rsidR="00DA359F" w:rsidRDefault="00DA359F" w:rsidP="00DA359F">
      <w:pPr>
        <w:pStyle w:val="SangriaFrancesaArticulo"/>
      </w:pPr>
      <w:r w:rsidRPr="00DA359F">
        <w:rPr>
          <w:rStyle w:val="TextoNormalNegritaCaracter"/>
        </w:rPr>
        <w:t>Artículo 75 ter 1 a).</w:t>
      </w:r>
      <w:r w:rsidRPr="00DA359F">
        <w:rPr>
          <w:rStyle w:val="TextoNormalCaracter"/>
        </w:rPr>
        <w:t>-</w:t>
      </w:r>
      <w:r>
        <w:t xml:space="preserve"> Autos </w:t>
      </w:r>
      <w:hyperlink w:anchor="AUTO_2023_354" w:history="1">
        <w:r w:rsidRPr="00DA359F">
          <w:rPr>
            <w:rStyle w:val="TextoNormalCaracter"/>
          </w:rPr>
          <w:t>354/2023</w:t>
        </w:r>
      </w:hyperlink>
      <w:r>
        <w:t xml:space="preserve">, ff. 2 a 4; </w:t>
      </w:r>
      <w:hyperlink w:anchor="AUTO_2023_485" w:history="1">
        <w:r w:rsidRPr="00DA359F">
          <w:rPr>
            <w:rStyle w:val="TextoNormalCaracter"/>
          </w:rPr>
          <w:t>485/2023</w:t>
        </w:r>
      </w:hyperlink>
      <w:r>
        <w:t>, ff. 1, 3.</w:t>
      </w:r>
    </w:p>
    <w:p w14:paraId="78454E0C" w14:textId="0F690360" w:rsidR="00DA359F" w:rsidRDefault="00DA359F" w:rsidP="00DA359F">
      <w:pPr>
        <w:pStyle w:val="SangriaFrancesaArticulo"/>
      </w:pPr>
      <w:r w:rsidRPr="00DA359F">
        <w:rPr>
          <w:rStyle w:val="TextoNormalNegritaCaracter"/>
        </w:rPr>
        <w:t>Artículo 75 ter 1 b).</w:t>
      </w:r>
      <w:r w:rsidRPr="00DA359F">
        <w:rPr>
          <w:rStyle w:val="TextoNormalCaracter"/>
        </w:rPr>
        <w:t>-</w:t>
      </w:r>
      <w:r>
        <w:t xml:space="preserve"> Autos </w:t>
      </w:r>
      <w:hyperlink w:anchor="AUTO_2023_354" w:history="1">
        <w:r w:rsidRPr="00DA359F">
          <w:rPr>
            <w:rStyle w:val="TextoNormalCaracter"/>
          </w:rPr>
          <w:t>354/2023</w:t>
        </w:r>
      </w:hyperlink>
      <w:r>
        <w:t xml:space="preserve">, ff. 2, 5; </w:t>
      </w:r>
      <w:hyperlink w:anchor="AUTO_2023_485" w:history="1">
        <w:r w:rsidRPr="00DA359F">
          <w:rPr>
            <w:rStyle w:val="TextoNormalCaracter"/>
          </w:rPr>
          <w:t>485/2023</w:t>
        </w:r>
      </w:hyperlink>
      <w:r>
        <w:t>, ff. 1, 3.</w:t>
      </w:r>
    </w:p>
    <w:p w14:paraId="1A66A232" w14:textId="0A91DCD7" w:rsidR="00DA359F" w:rsidRDefault="00DA359F" w:rsidP="00DA359F">
      <w:pPr>
        <w:pStyle w:val="SangriaFrancesaArticulo"/>
      </w:pPr>
      <w:r w:rsidRPr="00DA359F">
        <w:rPr>
          <w:rStyle w:val="TextoNormalNegritaCaracter"/>
        </w:rPr>
        <w:t>Artículo 75 ter 1 c).</w:t>
      </w:r>
      <w:r w:rsidRPr="00DA359F">
        <w:rPr>
          <w:rStyle w:val="TextoNormalCaracter"/>
        </w:rPr>
        <w:t>-</w:t>
      </w:r>
      <w:r>
        <w:t xml:space="preserve"> Autos </w:t>
      </w:r>
      <w:hyperlink w:anchor="AUTO_2023_354" w:history="1">
        <w:r w:rsidRPr="00DA359F">
          <w:rPr>
            <w:rStyle w:val="TextoNormalCaracter"/>
          </w:rPr>
          <w:t>354/2023</w:t>
        </w:r>
      </w:hyperlink>
      <w:r>
        <w:t xml:space="preserve">, f. 5; </w:t>
      </w:r>
      <w:hyperlink w:anchor="AUTO_2023_485" w:history="1">
        <w:r w:rsidRPr="00DA359F">
          <w:rPr>
            <w:rStyle w:val="TextoNormalCaracter"/>
          </w:rPr>
          <w:t>485/2023</w:t>
        </w:r>
      </w:hyperlink>
      <w:r>
        <w:t>, ff. 1, 3.</w:t>
      </w:r>
    </w:p>
    <w:p w14:paraId="5AD60EF2" w14:textId="508DF5CE" w:rsidR="00DA359F" w:rsidRDefault="00DA359F" w:rsidP="00DA359F">
      <w:pPr>
        <w:pStyle w:val="SangriaFrancesaArticulo"/>
      </w:pPr>
      <w:r w:rsidRPr="00DA359F">
        <w:rPr>
          <w:rStyle w:val="TextoNormalNegritaCaracter"/>
        </w:rPr>
        <w:t>Artículo 80.</w:t>
      </w:r>
      <w:r w:rsidRPr="00DA359F">
        <w:rPr>
          <w:rStyle w:val="TextoNormalCaracter"/>
        </w:rPr>
        <w:t>-</w:t>
      </w:r>
      <w:r>
        <w:t xml:space="preserve"> Autos </w:t>
      </w:r>
      <w:hyperlink w:anchor="AUTO_2023_332" w:history="1">
        <w:r w:rsidRPr="00DA359F">
          <w:rPr>
            <w:rStyle w:val="TextoNormalCaracter"/>
          </w:rPr>
          <w:t>332/2023</w:t>
        </w:r>
      </w:hyperlink>
      <w:r>
        <w:t xml:space="preserve">, f. único; </w:t>
      </w:r>
      <w:hyperlink w:anchor="AUTO_2023_333" w:history="1">
        <w:r w:rsidRPr="00DA359F">
          <w:rPr>
            <w:rStyle w:val="TextoNormalCaracter"/>
          </w:rPr>
          <w:t>333/2023</w:t>
        </w:r>
      </w:hyperlink>
      <w:r>
        <w:t xml:space="preserve">, f. único; </w:t>
      </w:r>
      <w:hyperlink w:anchor="AUTO_2023_335" w:history="1">
        <w:r w:rsidRPr="00DA359F">
          <w:rPr>
            <w:rStyle w:val="TextoNormalCaracter"/>
          </w:rPr>
          <w:t>335/2023</w:t>
        </w:r>
      </w:hyperlink>
      <w:r>
        <w:t xml:space="preserve">, f. único; </w:t>
      </w:r>
      <w:hyperlink w:anchor="AUTO_2023_336" w:history="1">
        <w:r w:rsidRPr="00DA359F">
          <w:rPr>
            <w:rStyle w:val="TextoNormalCaracter"/>
          </w:rPr>
          <w:t>336/2023</w:t>
        </w:r>
      </w:hyperlink>
      <w:r>
        <w:t xml:space="preserve">, f. único; </w:t>
      </w:r>
      <w:hyperlink w:anchor="AUTO_2023_337" w:history="1">
        <w:r w:rsidRPr="00DA359F">
          <w:rPr>
            <w:rStyle w:val="TextoNormalCaracter"/>
          </w:rPr>
          <w:t>337/2023</w:t>
        </w:r>
      </w:hyperlink>
      <w:r>
        <w:t xml:space="preserve">, f. único; </w:t>
      </w:r>
      <w:hyperlink w:anchor="AUTO_2023_339" w:history="1">
        <w:r w:rsidRPr="00DA359F">
          <w:rPr>
            <w:rStyle w:val="TextoNormalCaracter"/>
          </w:rPr>
          <w:t>339/2023</w:t>
        </w:r>
      </w:hyperlink>
      <w:r>
        <w:t xml:space="preserve">, f. único; </w:t>
      </w:r>
      <w:hyperlink w:anchor="AUTO_2023_340" w:history="1">
        <w:r w:rsidRPr="00DA359F">
          <w:rPr>
            <w:rStyle w:val="TextoNormalCaracter"/>
          </w:rPr>
          <w:t>340/2023</w:t>
        </w:r>
      </w:hyperlink>
      <w:r>
        <w:t xml:space="preserve">, f. único; </w:t>
      </w:r>
      <w:hyperlink w:anchor="AUTO_2023_341" w:history="1">
        <w:r w:rsidRPr="00DA359F">
          <w:rPr>
            <w:rStyle w:val="TextoNormalCaracter"/>
          </w:rPr>
          <w:t>341/2023</w:t>
        </w:r>
      </w:hyperlink>
      <w:r>
        <w:t xml:space="preserve">, f. único; </w:t>
      </w:r>
      <w:hyperlink w:anchor="AUTO_2023_342" w:history="1">
        <w:r w:rsidRPr="00DA359F">
          <w:rPr>
            <w:rStyle w:val="TextoNormalCaracter"/>
          </w:rPr>
          <w:t>342/2023</w:t>
        </w:r>
      </w:hyperlink>
      <w:r>
        <w:t xml:space="preserve">, f. único; </w:t>
      </w:r>
      <w:hyperlink w:anchor="AUTO_2023_343" w:history="1">
        <w:r w:rsidRPr="00DA359F">
          <w:rPr>
            <w:rStyle w:val="TextoNormalCaracter"/>
          </w:rPr>
          <w:t>343/2023</w:t>
        </w:r>
      </w:hyperlink>
      <w:r>
        <w:t xml:space="preserve">, f. único; </w:t>
      </w:r>
      <w:hyperlink w:anchor="AUTO_2023_344" w:history="1">
        <w:r w:rsidRPr="00DA359F">
          <w:rPr>
            <w:rStyle w:val="TextoNormalCaracter"/>
          </w:rPr>
          <w:t>344/2023</w:t>
        </w:r>
      </w:hyperlink>
      <w:r>
        <w:t xml:space="preserve">, f. único; </w:t>
      </w:r>
      <w:hyperlink w:anchor="AUTO_2023_345" w:history="1">
        <w:r w:rsidRPr="00DA359F">
          <w:rPr>
            <w:rStyle w:val="TextoNormalCaracter"/>
          </w:rPr>
          <w:t>345/2023</w:t>
        </w:r>
      </w:hyperlink>
      <w:r>
        <w:t xml:space="preserve">, f. único; </w:t>
      </w:r>
      <w:hyperlink w:anchor="AUTO_2023_346" w:history="1">
        <w:r w:rsidRPr="00DA359F">
          <w:rPr>
            <w:rStyle w:val="TextoNormalCaracter"/>
          </w:rPr>
          <w:t>346/2023</w:t>
        </w:r>
      </w:hyperlink>
      <w:r>
        <w:t xml:space="preserve">, f. único; </w:t>
      </w:r>
      <w:hyperlink w:anchor="AUTO_2023_347" w:history="1">
        <w:r w:rsidRPr="00DA359F">
          <w:rPr>
            <w:rStyle w:val="TextoNormalCaracter"/>
          </w:rPr>
          <w:t>347/2023</w:t>
        </w:r>
      </w:hyperlink>
      <w:r>
        <w:t xml:space="preserve">, f. único; </w:t>
      </w:r>
      <w:hyperlink w:anchor="AUTO_2023_348" w:history="1">
        <w:r w:rsidRPr="00DA359F">
          <w:rPr>
            <w:rStyle w:val="TextoNormalCaracter"/>
          </w:rPr>
          <w:t>348/2023</w:t>
        </w:r>
      </w:hyperlink>
      <w:r>
        <w:t xml:space="preserve">, f. único; </w:t>
      </w:r>
      <w:hyperlink w:anchor="AUTO_2023_349" w:history="1">
        <w:r w:rsidRPr="00DA359F">
          <w:rPr>
            <w:rStyle w:val="TextoNormalCaracter"/>
          </w:rPr>
          <w:t>349/2023</w:t>
        </w:r>
      </w:hyperlink>
      <w:r>
        <w:t xml:space="preserve">, f. único; </w:t>
      </w:r>
      <w:hyperlink w:anchor="AUTO_2023_350" w:history="1">
        <w:r w:rsidRPr="00DA359F">
          <w:rPr>
            <w:rStyle w:val="TextoNormalCaracter"/>
          </w:rPr>
          <w:t>350/2023</w:t>
        </w:r>
      </w:hyperlink>
      <w:r>
        <w:t xml:space="preserve">, f. único; </w:t>
      </w:r>
      <w:hyperlink w:anchor="AUTO_2023_351" w:history="1">
        <w:r w:rsidRPr="00DA359F">
          <w:rPr>
            <w:rStyle w:val="TextoNormalCaracter"/>
          </w:rPr>
          <w:t>351/2023</w:t>
        </w:r>
      </w:hyperlink>
      <w:r>
        <w:t xml:space="preserve">, f. único; </w:t>
      </w:r>
      <w:hyperlink w:anchor="AUTO_2023_352" w:history="1">
        <w:r w:rsidRPr="00DA359F">
          <w:rPr>
            <w:rStyle w:val="TextoNormalCaracter"/>
          </w:rPr>
          <w:t>352/2023</w:t>
        </w:r>
      </w:hyperlink>
      <w:r>
        <w:t xml:space="preserve">, f. único; </w:t>
      </w:r>
      <w:hyperlink w:anchor="AUTO_2023_353" w:history="1">
        <w:r w:rsidRPr="00DA359F">
          <w:rPr>
            <w:rStyle w:val="TextoNormalCaracter"/>
          </w:rPr>
          <w:t>353/2023</w:t>
        </w:r>
      </w:hyperlink>
      <w:r>
        <w:t xml:space="preserve">, f. 3; </w:t>
      </w:r>
      <w:hyperlink w:anchor="AUTO_2023_355" w:history="1">
        <w:r w:rsidRPr="00DA359F">
          <w:rPr>
            <w:rStyle w:val="TextoNormalCaracter"/>
          </w:rPr>
          <w:t>355/2023</w:t>
        </w:r>
      </w:hyperlink>
      <w:r>
        <w:t xml:space="preserve">, f. único; </w:t>
      </w:r>
      <w:hyperlink w:anchor="AUTO_2023_356" w:history="1">
        <w:r w:rsidRPr="00DA359F">
          <w:rPr>
            <w:rStyle w:val="TextoNormalCaracter"/>
          </w:rPr>
          <w:t>356/2023</w:t>
        </w:r>
      </w:hyperlink>
      <w:r>
        <w:t xml:space="preserve">, f. único; </w:t>
      </w:r>
      <w:hyperlink w:anchor="AUTO_2023_357" w:history="1">
        <w:r w:rsidRPr="00DA359F">
          <w:rPr>
            <w:rStyle w:val="TextoNormalCaracter"/>
          </w:rPr>
          <w:t>357/2023</w:t>
        </w:r>
      </w:hyperlink>
      <w:r>
        <w:t xml:space="preserve">, f. único; </w:t>
      </w:r>
      <w:hyperlink w:anchor="AUTO_2023_358" w:history="1">
        <w:r w:rsidRPr="00DA359F">
          <w:rPr>
            <w:rStyle w:val="TextoNormalCaracter"/>
          </w:rPr>
          <w:t>358/2023</w:t>
        </w:r>
      </w:hyperlink>
      <w:r>
        <w:t xml:space="preserve">, f. único; </w:t>
      </w:r>
      <w:hyperlink w:anchor="AUTO_2023_359" w:history="1">
        <w:r w:rsidRPr="00DA359F">
          <w:rPr>
            <w:rStyle w:val="TextoNormalCaracter"/>
          </w:rPr>
          <w:t>359/2023</w:t>
        </w:r>
      </w:hyperlink>
      <w:r>
        <w:t xml:space="preserve">, f. único; </w:t>
      </w:r>
      <w:hyperlink w:anchor="AUTO_2023_360" w:history="1">
        <w:r w:rsidRPr="00DA359F">
          <w:rPr>
            <w:rStyle w:val="TextoNormalCaracter"/>
          </w:rPr>
          <w:t>360/2023</w:t>
        </w:r>
      </w:hyperlink>
      <w:r>
        <w:t xml:space="preserve">, f. único; </w:t>
      </w:r>
      <w:hyperlink w:anchor="AUTO_2023_361" w:history="1">
        <w:r w:rsidRPr="00DA359F">
          <w:rPr>
            <w:rStyle w:val="TextoNormalCaracter"/>
          </w:rPr>
          <w:t>361/2023</w:t>
        </w:r>
      </w:hyperlink>
      <w:r>
        <w:t xml:space="preserve">, f. único; </w:t>
      </w:r>
      <w:hyperlink w:anchor="AUTO_2023_362" w:history="1">
        <w:r w:rsidRPr="00DA359F">
          <w:rPr>
            <w:rStyle w:val="TextoNormalCaracter"/>
          </w:rPr>
          <w:t>362/2023</w:t>
        </w:r>
      </w:hyperlink>
      <w:r>
        <w:t xml:space="preserve">, f. único; </w:t>
      </w:r>
      <w:hyperlink w:anchor="AUTO_2023_363" w:history="1">
        <w:r w:rsidRPr="00DA359F">
          <w:rPr>
            <w:rStyle w:val="TextoNormalCaracter"/>
          </w:rPr>
          <w:t>363/2023</w:t>
        </w:r>
      </w:hyperlink>
      <w:r>
        <w:t xml:space="preserve">, f. único; </w:t>
      </w:r>
      <w:hyperlink w:anchor="AUTO_2023_364" w:history="1">
        <w:r w:rsidRPr="00DA359F">
          <w:rPr>
            <w:rStyle w:val="TextoNormalCaracter"/>
          </w:rPr>
          <w:t>364/2023</w:t>
        </w:r>
      </w:hyperlink>
      <w:r>
        <w:t xml:space="preserve">, f. único; </w:t>
      </w:r>
      <w:hyperlink w:anchor="AUTO_2023_365" w:history="1">
        <w:r w:rsidRPr="00DA359F">
          <w:rPr>
            <w:rStyle w:val="TextoNormalCaracter"/>
          </w:rPr>
          <w:t>365/2023</w:t>
        </w:r>
      </w:hyperlink>
      <w:r>
        <w:t xml:space="preserve">, f. único; </w:t>
      </w:r>
      <w:hyperlink w:anchor="AUTO_2023_366" w:history="1">
        <w:r w:rsidRPr="00DA359F">
          <w:rPr>
            <w:rStyle w:val="TextoNormalCaracter"/>
          </w:rPr>
          <w:t>366/2023</w:t>
        </w:r>
      </w:hyperlink>
      <w:r>
        <w:t xml:space="preserve">, f. único; </w:t>
      </w:r>
      <w:hyperlink w:anchor="AUTO_2023_367" w:history="1">
        <w:r w:rsidRPr="00DA359F">
          <w:rPr>
            <w:rStyle w:val="TextoNormalCaracter"/>
          </w:rPr>
          <w:t>367/2023</w:t>
        </w:r>
      </w:hyperlink>
      <w:r>
        <w:t xml:space="preserve">, f. único; </w:t>
      </w:r>
      <w:hyperlink w:anchor="AUTO_2023_368" w:history="1">
        <w:r w:rsidRPr="00DA359F">
          <w:rPr>
            <w:rStyle w:val="TextoNormalCaracter"/>
          </w:rPr>
          <w:t>368/2023</w:t>
        </w:r>
      </w:hyperlink>
      <w:r>
        <w:t xml:space="preserve">, f. único; </w:t>
      </w:r>
      <w:hyperlink w:anchor="AUTO_2023_369" w:history="1">
        <w:r w:rsidRPr="00DA359F">
          <w:rPr>
            <w:rStyle w:val="TextoNormalCaracter"/>
          </w:rPr>
          <w:t>369/2023</w:t>
        </w:r>
      </w:hyperlink>
      <w:r>
        <w:t xml:space="preserve">, f. único; </w:t>
      </w:r>
      <w:hyperlink w:anchor="AUTO_2023_371" w:history="1">
        <w:r w:rsidRPr="00DA359F">
          <w:rPr>
            <w:rStyle w:val="TextoNormalCaracter"/>
          </w:rPr>
          <w:t>371/2023</w:t>
        </w:r>
      </w:hyperlink>
      <w:r>
        <w:t xml:space="preserve">, f. único; </w:t>
      </w:r>
      <w:hyperlink w:anchor="AUTO_2023_372" w:history="1">
        <w:r w:rsidRPr="00DA359F">
          <w:rPr>
            <w:rStyle w:val="TextoNormalCaracter"/>
          </w:rPr>
          <w:t>372/2023</w:t>
        </w:r>
      </w:hyperlink>
      <w:r>
        <w:t xml:space="preserve">, f. único; </w:t>
      </w:r>
      <w:hyperlink w:anchor="AUTO_2023_373" w:history="1">
        <w:r w:rsidRPr="00DA359F">
          <w:rPr>
            <w:rStyle w:val="TextoNormalCaracter"/>
          </w:rPr>
          <w:t>373/2023</w:t>
        </w:r>
      </w:hyperlink>
      <w:r>
        <w:t xml:space="preserve">, f. único; </w:t>
      </w:r>
      <w:hyperlink w:anchor="AUTO_2023_374" w:history="1">
        <w:r w:rsidRPr="00DA359F">
          <w:rPr>
            <w:rStyle w:val="TextoNormalCaracter"/>
          </w:rPr>
          <w:t>374/2023</w:t>
        </w:r>
      </w:hyperlink>
      <w:r>
        <w:t xml:space="preserve">, f. único; </w:t>
      </w:r>
      <w:hyperlink w:anchor="AUTO_2023_377" w:history="1">
        <w:r w:rsidRPr="00DA359F">
          <w:rPr>
            <w:rStyle w:val="TextoNormalCaracter"/>
          </w:rPr>
          <w:t>377/2023</w:t>
        </w:r>
      </w:hyperlink>
      <w:r>
        <w:t xml:space="preserve">, f. único; </w:t>
      </w:r>
      <w:hyperlink w:anchor="AUTO_2023_379" w:history="1">
        <w:r w:rsidRPr="00DA359F">
          <w:rPr>
            <w:rStyle w:val="TextoNormalCaracter"/>
          </w:rPr>
          <w:t>379/2023</w:t>
        </w:r>
      </w:hyperlink>
      <w:r>
        <w:t xml:space="preserve">, f. único; </w:t>
      </w:r>
      <w:hyperlink w:anchor="AUTO_2023_380" w:history="1">
        <w:r w:rsidRPr="00DA359F">
          <w:rPr>
            <w:rStyle w:val="TextoNormalCaracter"/>
          </w:rPr>
          <w:t>380/2023</w:t>
        </w:r>
      </w:hyperlink>
      <w:r>
        <w:t xml:space="preserve">, f. único; </w:t>
      </w:r>
      <w:hyperlink w:anchor="AUTO_2023_381" w:history="1">
        <w:r w:rsidRPr="00DA359F">
          <w:rPr>
            <w:rStyle w:val="TextoNormalCaracter"/>
          </w:rPr>
          <w:t>381/2023</w:t>
        </w:r>
      </w:hyperlink>
      <w:r>
        <w:t xml:space="preserve">, f. único; </w:t>
      </w:r>
      <w:hyperlink w:anchor="AUTO_2023_382" w:history="1">
        <w:r w:rsidRPr="00DA359F">
          <w:rPr>
            <w:rStyle w:val="TextoNormalCaracter"/>
          </w:rPr>
          <w:t>382/2023</w:t>
        </w:r>
      </w:hyperlink>
      <w:r>
        <w:t xml:space="preserve">, f. único; </w:t>
      </w:r>
      <w:hyperlink w:anchor="AUTO_2023_383" w:history="1">
        <w:r w:rsidRPr="00DA359F">
          <w:rPr>
            <w:rStyle w:val="TextoNormalCaracter"/>
          </w:rPr>
          <w:t>383/2023</w:t>
        </w:r>
      </w:hyperlink>
      <w:r>
        <w:t xml:space="preserve">, f. único; </w:t>
      </w:r>
      <w:hyperlink w:anchor="AUTO_2023_384" w:history="1">
        <w:r w:rsidRPr="00DA359F">
          <w:rPr>
            <w:rStyle w:val="TextoNormalCaracter"/>
          </w:rPr>
          <w:t>384/2023</w:t>
        </w:r>
      </w:hyperlink>
      <w:r>
        <w:t xml:space="preserve">, f. único; </w:t>
      </w:r>
      <w:hyperlink w:anchor="AUTO_2023_385" w:history="1">
        <w:r w:rsidRPr="00DA359F">
          <w:rPr>
            <w:rStyle w:val="TextoNormalCaracter"/>
          </w:rPr>
          <w:t>385/2023</w:t>
        </w:r>
      </w:hyperlink>
      <w:r>
        <w:t xml:space="preserve">, f. único; </w:t>
      </w:r>
      <w:hyperlink w:anchor="AUTO_2023_386" w:history="1">
        <w:r w:rsidRPr="00DA359F">
          <w:rPr>
            <w:rStyle w:val="TextoNormalCaracter"/>
          </w:rPr>
          <w:t>386/2023</w:t>
        </w:r>
      </w:hyperlink>
      <w:r>
        <w:t xml:space="preserve">, f. único; </w:t>
      </w:r>
      <w:hyperlink w:anchor="AUTO_2023_387" w:history="1">
        <w:r w:rsidRPr="00DA359F">
          <w:rPr>
            <w:rStyle w:val="TextoNormalCaracter"/>
          </w:rPr>
          <w:t>387/2023</w:t>
        </w:r>
      </w:hyperlink>
      <w:r>
        <w:t xml:space="preserve">, f. único; </w:t>
      </w:r>
      <w:hyperlink w:anchor="AUTO_2023_388" w:history="1">
        <w:r w:rsidRPr="00DA359F">
          <w:rPr>
            <w:rStyle w:val="TextoNormalCaracter"/>
          </w:rPr>
          <w:t>388/2023</w:t>
        </w:r>
      </w:hyperlink>
      <w:r>
        <w:t xml:space="preserve">, f. único; </w:t>
      </w:r>
      <w:hyperlink w:anchor="AUTO_2023_389" w:history="1">
        <w:r w:rsidRPr="00DA359F">
          <w:rPr>
            <w:rStyle w:val="TextoNormalCaracter"/>
          </w:rPr>
          <w:t>389/2023</w:t>
        </w:r>
      </w:hyperlink>
      <w:r>
        <w:t xml:space="preserve">, f. único; </w:t>
      </w:r>
      <w:hyperlink w:anchor="AUTO_2023_390" w:history="1">
        <w:r w:rsidRPr="00DA359F">
          <w:rPr>
            <w:rStyle w:val="TextoNormalCaracter"/>
          </w:rPr>
          <w:t>390/2023</w:t>
        </w:r>
      </w:hyperlink>
      <w:r>
        <w:t xml:space="preserve">, f. único; </w:t>
      </w:r>
      <w:hyperlink w:anchor="AUTO_2023_391" w:history="1">
        <w:r w:rsidRPr="00DA359F">
          <w:rPr>
            <w:rStyle w:val="TextoNormalCaracter"/>
          </w:rPr>
          <w:t>391/2023</w:t>
        </w:r>
      </w:hyperlink>
      <w:r>
        <w:t xml:space="preserve">, f. único; </w:t>
      </w:r>
      <w:hyperlink w:anchor="AUTO_2023_392" w:history="1">
        <w:r w:rsidRPr="00DA359F">
          <w:rPr>
            <w:rStyle w:val="TextoNormalCaracter"/>
          </w:rPr>
          <w:t>392/2023</w:t>
        </w:r>
      </w:hyperlink>
      <w:r>
        <w:t xml:space="preserve">, f. único; </w:t>
      </w:r>
      <w:hyperlink w:anchor="AUTO_2023_393" w:history="1">
        <w:r w:rsidRPr="00DA359F">
          <w:rPr>
            <w:rStyle w:val="TextoNormalCaracter"/>
          </w:rPr>
          <w:t>393/2023</w:t>
        </w:r>
      </w:hyperlink>
      <w:r>
        <w:t xml:space="preserve">, f. único; </w:t>
      </w:r>
      <w:hyperlink w:anchor="AUTO_2023_394" w:history="1">
        <w:r w:rsidRPr="00DA359F">
          <w:rPr>
            <w:rStyle w:val="TextoNormalCaracter"/>
          </w:rPr>
          <w:t>394/2023</w:t>
        </w:r>
      </w:hyperlink>
      <w:r>
        <w:t xml:space="preserve">, f. único; </w:t>
      </w:r>
      <w:hyperlink w:anchor="AUTO_2023_395" w:history="1">
        <w:r w:rsidRPr="00DA359F">
          <w:rPr>
            <w:rStyle w:val="TextoNormalCaracter"/>
          </w:rPr>
          <w:t>395/2023</w:t>
        </w:r>
      </w:hyperlink>
      <w:r>
        <w:t xml:space="preserve">, f. único; </w:t>
      </w:r>
      <w:hyperlink w:anchor="AUTO_2023_396" w:history="1">
        <w:r w:rsidRPr="00DA359F">
          <w:rPr>
            <w:rStyle w:val="TextoNormalCaracter"/>
          </w:rPr>
          <w:t>396/2023</w:t>
        </w:r>
      </w:hyperlink>
      <w:r>
        <w:t xml:space="preserve">, f. único; </w:t>
      </w:r>
      <w:hyperlink w:anchor="AUTO_2023_397" w:history="1">
        <w:r w:rsidRPr="00DA359F">
          <w:rPr>
            <w:rStyle w:val="TextoNormalCaracter"/>
          </w:rPr>
          <w:t>397/2023</w:t>
        </w:r>
      </w:hyperlink>
      <w:r>
        <w:t xml:space="preserve">, f. único; </w:t>
      </w:r>
      <w:hyperlink w:anchor="AUTO_2023_398" w:history="1">
        <w:r w:rsidRPr="00DA359F">
          <w:rPr>
            <w:rStyle w:val="TextoNormalCaracter"/>
          </w:rPr>
          <w:t>398/2023</w:t>
        </w:r>
      </w:hyperlink>
      <w:r>
        <w:t xml:space="preserve">, f. único; </w:t>
      </w:r>
      <w:hyperlink w:anchor="AUTO_2023_399" w:history="1">
        <w:r w:rsidRPr="00DA359F">
          <w:rPr>
            <w:rStyle w:val="TextoNormalCaracter"/>
          </w:rPr>
          <w:t>399/2023</w:t>
        </w:r>
      </w:hyperlink>
      <w:r>
        <w:t xml:space="preserve">, f. único; </w:t>
      </w:r>
      <w:hyperlink w:anchor="AUTO_2023_400" w:history="1">
        <w:r w:rsidRPr="00DA359F">
          <w:rPr>
            <w:rStyle w:val="TextoNormalCaracter"/>
          </w:rPr>
          <w:t>400/2023</w:t>
        </w:r>
      </w:hyperlink>
      <w:r>
        <w:t xml:space="preserve">, f. único; </w:t>
      </w:r>
      <w:hyperlink w:anchor="AUTO_2023_401" w:history="1">
        <w:r w:rsidRPr="00DA359F">
          <w:rPr>
            <w:rStyle w:val="TextoNormalCaracter"/>
          </w:rPr>
          <w:t>401/2023</w:t>
        </w:r>
      </w:hyperlink>
      <w:r>
        <w:t xml:space="preserve">, f. único; </w:t>
      </w:r>
      <w:hyperlink w:anchor="AUTO_2023_402" w:history="1">
        <w:r w:rsidRPr="00DA359F">
          <w:rPr>
            <w:rStyle w:val="TextoNormalCaracter"/>
          </w:rPr>
          <w:t>402/2023</w:t>
        </w:r>
      </w:hyperlink>
      <w:r>
        <w:t xml:space="preserve">, f. único; </w:t>
      </w:r>
      <w:hyperlink w:anchor="AUTO_2023_403" w:history="1">
        <w:r w:rsidRPr="00DA359F">
          <w:rPr>
            <w:rStyle w:val="TextoNormalCaracter"/>
          </w:rPr>
          <w:t>403/2023</w:t>
        </w:r>
      </w:hyperlink>
      <w:r>
        <w:t xml:space="preserve">, f. único; </w:t>
      </w:r>
      <w:hyperlink w:anchor="AUTO_2023_404" w:history="1">
        <w:r w:rsidRPr="00DA359F">
          <w:rPr>
            <w:rStyle w:val="TextoNormalCaracter"/>
          </w:rPr>
          <w:t>404/2023</w:t>
        </w:r>
      </w:hyperlink>
      <w:r>
        <w:t xml:space="preserve">, f. único; </w:t>
      </w:r>
      <w:hyperlink w:anchor="AUTO_2023_405" w:history="1">
        <w:r w:rsidRPr="00DA359F">
          <w:rPr>
            <w:rStyle w:val="TextoNormalCaracter"/>
          </w:rPr>
          <w:t>405/2023</w:t>
        </w:r>
      </w:hyperlink>
      <w:r>
        <w:t xml:space="preserve">, f. único; </w:t>
      </w:r>
      <w:hyperlink w:anchor="AUTO_2023_406" w:history="1">
        <w:r w:rsidRPr="00DA359F">
          <w:rPr>
            <w:rStyle w:val="TextoNormalCaracter"/>
          </w:rPr>
          <w:t>406/2023</w:t>
        </w:r>
      </w:hyperlink>
      <w:r>
        <w:t xml:space="preserve">, f. único; </w:t>
      </w:r>
      <w:hyperlink w:anchor="AUTO_2023_407" w:history="1">
        <w:r w:rsidRPr="00DA359F">
          <w:rPr>
            <w:rStyle w:val="TextoNormalCaracter"/>
          </w:rPr>
          <w:t>407/2023</w:t>
        </w:r>
      </w:hyperlink>
      <w:r>
        <w:t xml:space="preserve">, f. único; </w:t>
      </w:r>
      <w:hyperlink w:anchor="AUTO_2023_408" w:history="1">
        <w:r w:rsidRPr="00DA359F">
          <w:rPr>
            <w:rStyle w:val="TextoNormalCaracter"/>
          </w:rPr>
          <w:t>408/2023</w:t>
        </w:r>
      </w:hyperlink>
      <w:r>
        <w:t xml:space="preserve">, f. único; </w:t>
      </w:r>
      <w:hyperlink w:anchor="AUTO_2023_409" w:history="1">
        <w:r w:rsidRPr="00DA359F">
          <w:rPr>
            <w:rStyle w:val="TextoNormalCaracter"/>
          </w:rPr>
          <w:t>409/2023</w:t>
        </w:r>
      </w:hyperlink>
      <w:r>
        <w:t xml:space="preserve">, f. único; </w:t>
      </w:r>
      <w:hyperlink w:anchor="AUTO_2023_410" w:history="1">
        <w:r w:rsidRPr="00DA359F">
          <w:rPr>
            <w:rStyle w:val="TextoNormalCaracter"/>
          </w:rPr>
          <w:t>410/2023</w:t>
        </w:r>
      </w:hyperlink>
      <w:r>
        <w:t xml:space="preserve">, f. único; </w:t>
      </w:r>
      <w:hyperlink w:anchor="AUTO_2023_411" w:history="1">
        <w:r w:rsidRPr="00DA359F">
          <w:rPr>
            <w:rStyle w:val="TextoNormalCaracter"/>
          </w:rPr>
          <w:t>411/2023</w:t>
        </w:r>
      </w:hyperlink>
      <w:r>
        <w:t xml:space="preserve">, f. único; </w:t>
      </w:r>
      <w:hyperlink w:anchor="AUTO_2023_412" w:history="1">
        <w:r w:rsidRPr="00DA359F">
          <w:rPr>
            <w:rStyle w:val="TextoNormalCaracter"/>
          </w:rPr>
          <w:t>412/2023</w:t>
        </w:r>
      </w:hyperlink>
      <w:r>
        <w:t xml:space="preserve">, f. único; </w:t>
      </w:r>
      <w:hyperlink w:anchor="AUTO_2023_413" w:history="1">
        <w:r w:rsidRPr="00DA359F">
          <w:rPr>
            <w:rStyle w:val="TextoNormalCaracter"/>
          </w:rPr>
          <w:t>413/2023</w:t>
        </w:r>
      </w:hyperlink>
      <w:r>
        <w:t xml:space="preserve">, f. único; </w:t>
      </w:r>
      <w:hyperlink w:anchor="AUTO_2023_414" w:history="1">
        <w:r w:rsidRPr="00DA359F">
          <w:rPr>
            <w:rStyle w:val="TextoNormalCaracter"/>
          </w:rPr>
          <w:t>414/2023</w:t>
        </w:r>
      </w:hyperlink>
      <w:r>
        <w:t xml:space="preserve">, f. único; </w:t>
      </w:r>
      <w:hyperlink w:anchor="AUTO_2023_415" w:history="1">
        <w:r w:rsidRPr="00DA359F">
          <w:rPr>
            <w:rStyle w:val="TextoNormalCaracter"/>
          </w:rPr>
          <w:t>415/2023</w:t>
        </w:r>
      </w:hyperlink>
      <w:r>
        <w:t xml:space="preserve">, f. único; </w:t>
      </w:r>
      <w:hyperlink w:anchor="AUTO_2023_416" w:history="1">
        <w:r w:rsidRPr="00DA359F">
          <w:rPr>
            <w:rStyle w:val="TextoNormalCaracter"/>
          </w:rPr>
          <w:t>416/2023</w:t>
        </w:r>
      </w:hyperlink>
      <w:r>
        <w:t xml:space="preserve">, f. único; </w:t>
      </w:r>
      <w:hyperlink w:anchor="AUTO_2023_417" w:history="1">
        <w:r w:rsidRPr="00DA359F">
          <w:rPr>
            <w:rStyle w:val="TextoNormalCaracter"/>
          </w:rPr>
          <w:t>417/2023</w:t>
        </w:r>
      </w:hyperlink>
      <w:r>
        <w:t xml:space="preserve">, f. único; </w:t>
      </w:r>
      <w:hyperlink w:anchor="AUTO_2023_418" w:history="1">
        <w:r w:rsidRPr="00DA359F">
          <w:rPr>
            <w:rStyle w:val="TextoNormalCaracter"/>
          </w:rPr>
          <w:t>418/2023</w:t>
        </w:r>
      </w:hyperlink>
      <w:r>
        <w:t xml:space="preserve">, f. único; </w:t>
      </w:r>
      <w:hyperlink w:anchor="AUTO_2023_419" w:history="1">
        <w:r w:rsidRPr="00DA359F">
          <w:rPr>
            <w:rStyle w:val="TextoNormalCaracter"/>
          </w:rPr>
          <w:t>419/2023</w:t>
        </w:r>
      </w:hyperlink>
      <w:r>
        <w:t xml:space="preserve">, f. único; </w:t>
      </w:r>
      <w:hyperlink w:anchor="AUTO_2023_420" w:history="1">
        <w:r w:rsidRPr="00DA359F">
          <w:rPr>
            <w:rStyle w:val="TextoNormalCaracter"/>
          </w:rPr>
          <w:t>420/2023</w:t>
        </w:r>
      </w:hyperlink>
      <w:r>
        <w:t xml:space="preserve">, f. único; </w:t>
      </w:r>
      <w:hyperlink w:anchor="AUTO_2023_421" w:history="1">
        <w:r w:rsidRPr="00DA359F">
          <w:rPr>
            <w:rStyle w:val="TextoNormalCaracter"/>
          </w:rPr>
          <w:t>421/2023</w:t>
        </w:r>
      </w:hyperlink>
      <w:r>
        <w:t xml:space="preserve">, f. único; </w:t>
      </w:r>
      <w:hyperlink w:anchor="AUTO_2023_422" w:history="1">
        <w:r w:rsidRPr="00DA359F">
          <w:rPr>
            <w:rStyle w:val="TextoNormalCaracter"/>
          </w:rPr>
          <w:t>422/2023</w:t>
        </w:r>
      </w:hyperlink>
      <w:r>
        <w:t xml:space="preserve">, f. único; </w:t>
      </w:r>
      <w:hyperlink w:anchor="AUTO_2023_423" w:history="1">
        <w:r w:rsidRPr="00DA359F">
          <w:rPr>
            <w:rStyle w:val="TextoNormalCaracter"/>
          </w:rPr>
          <w:t>423/2023</w:t>
        </w:r>
      </w:hyperlink>
      <w:r>
        <w:t xml:space="preserve">, f. único; </w:t>
      </w:r>
      <w:hyperlink w:anchor="AUTO_2023_424" w:history="1">
        <w:r w:rsidRPr="00DA359F">
          <w:rPr>
            <w:rStyle w:val="TextoNormalCaracter"/>
          </w:rPr>
          <w:t>424/2023</w:t>
        </w:r>
      </w:hyperlink>
      <w:r>
        <w:t xml:space="preserve">, f. único; </w:t>
      </w:r>
      <w:hyperlink w:anchor="AUTO_2023_426" w:history="1">
        <w:r w:rsidRPr="00DA359F">
          <w:rPr>
            <w:rStyle w:val="TextoNormalCaracter"/>
          </w:rPr>
          <w:t>426/2023</w:t>
        </w:r>
      </w:hyperlink>
      <w:r>
        <w:t xml:space="preserve">, f. único; </w:t>
      </w:r>
      <w:hyperlink w:anchor="AUTO_2023_430" w:history="1">
        <w:r w:rsidRPr="00DA359F">
          <w:rPr>
            <w:rStyle w:val="TextoNormalCaracter"/>
          </w:rPr>
          <w:t>430/2023</w:t>
        </w:r>
      </w:hyperlink>
      <w:r>
        <w:t xml:space="preserve">, f. único; </w:t>
      </w:r>
      <w:hyperlink w:anchor="AUTO_2023_432" w:history="1">
        <w:r w:rsidRPr="00DA359F">
          <w:rPr>
            <w:rStyle w:val="TextoNormalCaracter"/>
          </w:rPr>
          <w:t>432/2023</w:t>
        </w:r>
      </w:hyperlink>
      <w:r>
        <w:t xml:space="preserve">, f. 2; </w:t>
      </w:r>
      <w:hyperlink w:anchor="AUTO_2023_433" w:history="1">
        <w:r w:rsidRPr="00DA359F">
          <w:rPr>
            <w:rStyle w:val="TextoNormalCaracter"/>
          </w:rPr>
          <w:t>433/2023</w:t>
        </w:r>
      </w:hyperlink>
      <w:r>
        <w:t xml:space="preserve">, f. único; </w:t>
      </w:r>
      <w:hyperlink w:anchor="AUTO_2023_434" w:history="1">
        <w:r w:rsidRPr="00DA359F">
          <w:rPr>
            <w:rStyle w:val="TextoNormalCaracter"/>
          </w:rPr>
          <w:t>434/2023</w:t>
        </w:r>
      </w:hyperlink>
      <w:r>
        <w:t xml:space="preserve">, f. único; </w:t>
      </w:r>
      <w:hyperlink w:anchor="AUTO_2023_435" w:history="1">
        <w:r w:rsidRPr="00DA359F">
          <w:rPr>
            <w:rStyle w:val="TextoNormalCaracter"/>
          </w:rPr>
          <w:t>435/2023</w:t>
        </w:r>
      </w:hyperlink>
      <w:r>
        <w:t xml:space="preserve">, f. único; </w:t>
      </w:r>
      <w:hyperlink w:anchor="AUTO_2023_437" w:history="1">
        <w:r w:rsidRPr="00DA359F">
          <w:rPr>
            <w:rStyle w:val="TextoNormalCaracter"/>
          </w:rPr>
          <w:t>437/2023</w:t>
        </w:r>
      </w:hyperlink>
      <w:r>
        <w:t xml:space="preserve">, f. único; </w:t>
      </w:r>
      <w:hyperlink w:anchor="AUTO_2023_449" w:history="1">
        <w:r w:rsidRPr="00DA359F">
          <w:rPr>
            <w:rStyle w:val="TextoNormalCaracter"/>
          </w:rPr>
          <w:t>449/2023</w:t>
        </w:r>
      </w:hyperlink>
      <w:r>
        <w:t xml:space="preserve">, f. único; </w:t>
      </w:r>
      <w:hyperlink w:anchor="AUTO_2023_450" w:history="1">
        <w:r w:rsidRPr="00DA359F">
          <w:rPr>
            <w:rStyle w:val="TextoNormalCaracter"/>
          </w:rPr>
          <w:t>450/2023</w:t>
        </w:r>
      </w:hyperlink>
      <w:r>
        <w:t xml:space="preserve">, f. único; </w:t>
      </w:r>
      <w:hyperlink w:anchor="AUTO_2023_451" w:history="1">
        <w:r w:rsidRPr="00DA359F">
          <w:rPr>
            <w:rStyle w:val="TextoNormalCaracter"/>
          </w:rPr>
          <w:t>451/2023</w:t>
        </w:r>
      </w:hyperlink>
      <w:r>
        <w:t xml:space="preserve">, f. único; </w:t>
      </w:r>
      <w:hyperlink w:anchor="AUTO_2023_452" w:history="1">
        <w:r w:rsidRPr="00DA359F">
          <w:rPr>
            <w:rStyle w:val="TextoNormalCaracter"/>
          </w:rPr>
          <w:t>452/2023</w:t>
        </w:r>
      </w:hyperlink>
      <w:r>
        <w:t xml:space="preserve">, f. único; </w:t>
      </w:r>
      <w:hyperlink w:anchor="AUTO_2023_453" w:history="1">
        <w:r w:rsidRPr="00DA359F">
          <w:rPr>
            <w:rStyle w:val="TextoNormalCaracter"/>
          </w:rPr>
          <w:t>453/2023</w:t>
        </w:r>
      </w:hyperlink>
      <w:r>
        <w:t xml:space="preserve">, f. único; </w:t>
      </w:r>
      <w:hyperlink w:anchor="AUTO_2023_454" w:history="1">
        <w:r w:rsidRPr="00DA359F">
          <w:rPr>
            <w:rStyle w:val="TextoNormalCaracter"/>
          </w:rPr>
          <w:t>454/2023</w:t>
        </w:r>
      </w:hyperlink>
      <w:r>
        <w:t xml:space="preserve">, f. único; </w:t>
      </w:r>
      <w:hyperlink w:anchor="AUTO_2023_455" w:history="1">
        <w:r w:rsidRPr="00DA359F">
          <w:rPr>
            <w:rStyle w:val="TextoNormalCaracter"/>
          </w:rPr>
          <w:t>455/2023</w:t>
        </w:r>
      </w:hyperlink>
      <w:r>
        <w:t xml:space="preserve">, f. único; </w:t>
      </w:r>
      <w:hyperlink w:anchor="AUTO_2023_456" w:history="1">
        <w:r w:rsidRPr="00DA359F">
          <w:rPr>
            <w:rStyle w:val="TextoNormalCaracter"/>
          </w:rPr>
          <w:t>456/2023</w:t>
        </w:r>
      </w:hyperlink>
      <w:r>
        <w:t xml:space="preserve">, f. único; </w:t>
      </w:r>
      <w:hyperlink w:anchor="AUTO_2023_457" w:history="1">
        <w:r w:rsidRPr="00DA359F">
          <w:rPr>
            <w:rStyle w:val="TextoNormalCaracter"/>
          </w:rPr>
          <w:t>457/2023</w:t>
        </w:r>
      </w:hyperlink>
      <w:r>
        <w:t xml:space="preserve">, f. único; </w:t>
      </w:r>
      <w:hyperlink w:anchor="AUTO_2023_459" w:history="1">
        <w:r w:rsidRPr="00DA359F">
          <w:rPr>
            <w:rStyle w:val="TextoNormalCaracter"/>
          </w:rPr>
          <w:t>459/2023</w:t>
        </w:r>
      </w:hyperlink>
      <w:r>
        <w:t xml:space="preserve">, f. único; </w:t>
      </w:r>
      <w:hyperlink w:anchor="AUTO_2023_460" w:history="1">
        <w:r w:rsidRPr="00DA359F">
          <w:rPr>
            <w:rStyle w:val="TextoNormalCaracter"/>
          </w:rPr>
          <w:t>460/2023</w:t>
        </w:r>
      </w:hyperlink>
      <w:r>
        <w:t xml:space="preserve">, f. único; </w:t>
      </w:r>
      <w:hyperlink w:anchor="AUTO_2023_461" w:history="1">
        <w:r w:rsidRPr="00DA359F">
          <w:rPr>
            <w:rStyle w:val="TextoNormalCaracter"/>
          </w:rPr>
          <w:t>461/2023</w:t>
        </w:r>
      </w:hyperlink>
      <w:r>
        <w:t xml:space="preserve">, f. único; </w:t>
      </w:r>
      <w:hyperlink w:anchor="AUTO_2023_462" w:history="1">
        <w:r w:rsidRPr="00DA359F">
          <w:rPr>
            <w:rStyle w:val="TextoNormalCaracter"/>
          </w:rPr>
          <w:t>462/2023</w:t>
        </w:r>
      </w:hyperlink>
      <w:r>
        <w:t xml:space="preserve">, f. único; </w:t>
      </w:r>
      <w:hyperlink w:anchor="AUTO_2023_463" w:history="1">
        <w:r w:rsidRPr="00DA359F">
          <w:rPr>
            <w:rStyle w:val="TextoNormalCaracter"/>
          </w:rPr>
          <w:t>463/2023</w:t>
        </w:r>
      </w:hyperlink>
      <w:r>
        <w:t xml:space="preserve">, f. único; </w:t>
      </w:r>
      <w:hyperlink w:anchor="AUTO_2023_464" w:history="1">
        <w:r w:rsidRPr="00DA359F">
          <w:rPr>
            <w:rStyle w:val="TextoNormalCaracter"/>
          </w:rPr>
          <w:t>464/2023</w:t>
        </w:r>
      </w:hyperlink>
      <w:r>
        <w:t xml:space="preserve">, f. único; </w:t>
      </w:r>
      <w:hyperlink w:anchor="AUTO_2023_465" w:history="1">
        <w:r w:rsidRPr="00DA359F">
          <w:rPr>
            <w:rStyle w:val="TextoNormalCaracter"/>
          </w:rPr>
          <w:t>465/2023</w:t>
        </w:r>
      </w:hyperlink>
      <w:r>
        <w:t xml:space="preserve">, f. único; </w:t>
      </w:r>
      <w:hyperlink w:anchor="AUTO_2023_466" w:history="1">
        <w:r w:rsidRPr="00DA359F">
          <w:rPr>
            <w:rStyle w:val="TextoNormalCaracter"/>
          </w:rPr>
          <w:t>466/2023</w:t>
        </w:r>
      </w:hyperlink>
      <w:r>
        <w:t xml:space="preserve">, f. único; </w:t>
      </w:r>
      <w:hyperlink w:anchor="AUTO_2023_467" w:history="1">
        <w:r w:rsidRPr="00DA359F">
          <w:rPr>
            <w:rStyle w:val="TextoNormalCaracter"/>
          </w:rPr>
          <w:t>467/2023</w:t>
        </w:r>
      </w:hyperlink>
      <w:r>
        <w:t xml:space="preserve">, f. único; </w:t>
      </w:r>
      <w:hyperlink w:anchor="AUTO_2023_468" w:history="1">
        <w:r w:rsidRPr="00DA359F">
          <w:rPr>
            <w:rStyle w:val="TextoNormalCaracter"/>
          </w:rPr>
          <w:t>468/2023</w:t>
        </w:r>
      </w:hyperlink>
      <w:r>
        <w:t xml:space="preserve">, f. único; </w:t>
      </w:r>
      <w:hyperlink w:anchor="AUTO_2023_469" w:history="1">
        <w:r w:rsidRPr="00DA359F">
          <w:rPr>
            <w:rStyle w:val="TextoNormalCaracter"/>
          </w:rPr>
          <w:t>469/2023</w:t>
        </w:r>
      </w:hyperlink>
      <w:r>
        <w:t xml:space="preserve">, f. único; </w:t>
      </w:r>
      <w:hyperlink w:anchor="AUTO_2023_470" w:history="1">
        <w:r w:rsidRPr="00DA359F">
          <w:rPr>
            <w:rStyle w:val="TextoNormalCaracter"/>
          </w:rPr>
          <w:t>470/2023</w:t>
        </w:r>
      </w:hyperlink>
      <w:r>
        <w:t xml:space="preserve">, f. único; </w:t>
      </w:r>
      <w:hyperlink w:anchor="AUTO_2023_471" w:history="1">
        <w:r w:rsidRPr="00DA359F">
          <w:rPr>
            <w:rStyle w:val="TextoNormalCaracter"/>
          </w:rPr>
          <w:t>471/2023</w:t>
        </w:r>
      </w:hyperlink>
      <w:r>
        <w:t xml:space="preserve">; </w:t>
      </w:r>
      <w:hyperlink w:anchor="AUTO_2023_474" w:history="1">
        <w:r w:rsidRPr="00DA359F">
          <w:rPr>
            <w:rStyle w:val="TextoNormalCaracter"/>
          </w:rPr>
          <w:t>474/2023</w:t>
        </w:r>
      </w:hyperlink>
      <w:r>
        <w:t xml:space="preserve">, f. único; </w:t>
      </w:r>
      <w:hyperlink w:anchor="AUTO_2023_475" w:history="1">
        <w:r w:rsidRPr="00DA359F">
          <w:rPr>
            <w:rStyle w:val="TextoNormalCaracter"/>
          </w:rPr>
          <w:t>475/2023</w:t>
        </w:r>
      </w:hyperlink>
      <w:r>
        <w:t xml:space="preserve">, f. único; </w:t>
      </w:r>
      <w:hyperlink w:anchor="AUTO_2023_476" w:history="1">
        <w:r w:rsidRPr="00DA359F">
          <w:rPr>
            <w:rStyle w:val="TextoNormalCaracter"/>
          </w:rPr>
          <w:t>476/2023</w:t>
        </w:r>
      </w:hyperlink>
      <w:r>
        <w:t xml:space="preserve">; </w:t>
      </w:r>
      <w:hyperlink w:anchor="AUTO_2023_478" w:history="1">
        <w:r w:rsidRPr="00DA359F">
          <w:rPr>
            <w:rStyle w:val="TextoNormalCaracter"/>
          </w:rPr>
          <w:t>478/2023</w:t>
        </w:r>
      </w:hyperlink>
      <w:r>
        <w:t xml:space="preserve">, f. único; </w:t>
      </w:r>
      <w:hyperlink w:anchor="AUTO_2023_479" w:history="1">
        <w:r w:rsidRPr="00DA359F">
          <w:rPr>
            <w:rStyle w:val="TextoNormalCaracter"/>
          </w:rPr>
          <w:t>479/2023</w:t>
        </w:r>
      </w:hyperlink>
      <w:r>
        <w:t xml:space="preserve">, f. único; </w:t>
      </w:r>
      <w:hyperlink w:anchor="AUTO_2023_480" w:history="1">
        <w:r w:rsidRPr="00DA359F">
          <w:rPr>
            <w:rStyle w:val="TextoNormalCaracter"/>
          </w:rPr>
          <w:t>480/2023</w:t>
        </w:r>
      </w:hyperlink>
      <w:r>
        <w:t xml:space="preserve">, f. único; </w:t>
      </w:r>
      <w:hyperlink w:anchor="AUTO_2023_481" w:history="1">
        <w:r w:rsidRPr="00DA359F">
          <w:rPr>
            <w:rStyle w:val="TextoNormalCaracter"/>
          </w:rPr>
          <w:t>481/2023</w:t>
        </w:r>
      </w:hyperlink>
      <w:r>
        <w:t xml:space="preserve">, f. único; </w:t>
      </w:r>
      <w:hyperlink w:anchor="AUTO_2023_484" w:history="1">
        <w:r w:rsidRPr="00DA359F">
          <w:rPr>
            <w:rStyle w:val="TextoNormalCaracter"/>
          </w:rPr>
          <w:t>484/2023</w:t>
        </w:r>
      </w:hyperlink>
      <w:r>
        <w:t xml:space="preserve">, f. 3; </w:t>
      </w:r>
      <w:hyperlink w:anchor="AUTO_2023_489" w:history="1">
        <w:r w:rsidRPr="00DA359F">
          <w:rPr>
            <w:rStyle w:val="TextoNormalCaracter"/>
          </w:rPr>
          <w:t>489/2023</w:t>
        </w:r>
      </w:hyperlink>
      <w:r>
        <w:t xml:space="preserve">, f. 1; </w:t>
      </w:r>
      <w:hyperlink w:anchor="AUTO_2023_490" w:history="1">
        <w:r w:rsidRPr="00DA359F">
          <w:rPr>
            <w:rStyle w:val="TextoNormalCaracter"/>
          </w:rPr>
          <w:t>490/2023</w:t>
        </w:r>
      </w:hyperlink>
      <w:r>
        <w:t xml:space="preserve">, f. 1; </w:t>
      </w:r>
      <w:hyperlink w:anchor="AUTO_2023_491" w:history="1">
        <w:r w:rsidRPr="00DA359F">
          <w:rPr>
            <w:rStyle w:val="TextoNormalCaracter"/>
          </w:rPr>
          <w:t>491/2023</w:t>
        </w:r>
      </w:hyperlink>
      <w:r>
        <w:t xml:space="preserve">, f. único; </w:t>
      </w:r>
      <w:hyperlink w:anchor="AUTO_2023_492" w:history="1">
        <w:r w:rsidRPr="00DA359F">
          <w:rPr>
            <w:rStyle w:val="TextoNormalCaracter"/>
          </w:rPr>
          <w:t>492/2023</w:t>
        </w:r>
      </w:hyperlink>
      <w:r>
        <w:t xml:space="preserve">, f. único; </w:t>
      </w:r>
      <w:hyperlink w:anchor="AUTO_2023_493" w:history="1">
        <w:r w:rsidRPr="00DA359F">
          <w:rPr>
            <w:rStyle w:val="TextoNormalCaracter"/>
          </w:rPr>
          <w:t>493/2023</w:t>
        </w:r>
      </w:hyperlink>
      <w:r>
        <w:t xml:space="preserve">, f. único; </w:t>
      </w:r>
      <w:hyperlink w:anchor="AUTO_2023_494" w:history="1">
        <w:r w:rsidRPr="00DA359F">
          <w:rPr>
            <w:rStyle w:val="TextoNormalCaracter"/>
          </w:rPr>
          <w:t>494/2023</w:t>
        </w:r>
      </w:hyperlink>
      <w:r>
        <w:t xml:space="preserve">, f. único; </w:t>
      </w:r>
      <w:hyperlink w:anchor="AUTO_2023_495" w:history="1">
        <w:r w:rsidRPr="00DA359F">
          <w:rPr>
            <w:rStyle w:val="TextoNormalCaracter"/>
          </w:rPr>
          <w:t>495/2023</w:t>
        </w:r>
      </w:hyperlink>
      <w:r>
        <w:t xml:space="preserve">, f. único; </w:t>
      </w:r>
      <w:hyperlink w:anchor="AUTO_2023_496" w:history="1">
        <w:r w:rsidRPr="00DA359F">
          <w:rPr>
            <w:rStyle w:val="TextoNormalCaracter"/>
          </w:rPr>
          <w:t>496/2023</w:t>
        </w:r>
      </w:hyperlink>
      <w:r>
        <w:t xml:space="preserve">, f. único; </w:t>
      </w:r>
      <w:hyperlink w:anchor="AUTO_2023_497" w:history="1">
        <w:r w:rsidRPr="00DA359F">
          <w:rPr>
            <w:rStyle w:val="TextoNormalCaracter"/>
          </w:rPr>
          <w:t>497/2023</w:t>
        </w:r>
      </w:hyperlink>
      <w:r>
        <w:t xml:space="preserve">, f. único; </w:t>
      </w:r>
      <w:hyperlink w:anchor="AUTO_2023_498" w:history="1">
        <w:r w:rsidRPr="00DA359F">
          <w:rPr>
            <w:rStyle w:val="TextoNormalCaracter"/>
          </w:rPr>
          <w:t>498/2023</w:t>
        </w:r>
      </w:hyperlink>
      <w:r>
        <w:t xml:space="preserve">, f. único; </w:t>
      </w:r>
      <w:hyperlink w:anchor="AUTO_2023_499" w:history="1">
        <w:r w:rsidRPr="00DA359F">
          <w:rPr>
            <w:rStyle w:val="TextoNormalCaracter"/>
          </w:rPr>
          <w:t>499/2023</w:t>
        </w:r>
      </w:hyperlink>
      <w:r>
        <w:t xml:space="preserve">, f. único; </w:t>
      </w:r>
      <w:hyperlink w:anchor="AUTO_2023_500" w:history="1">
        <w:r w:rsidRPr="00DA359F">
          <w:rPr>
            <w:rStyle w:val="TextoNormalCaracter"/>
          </w:rPr>
          <w:t>500/2023</w:t>
        </w:r>
      </w:hyperlink>
      <w:r>
        <w:t xml:space="preserve">, f. único; </w:t>
      </w:r>
      <w:hyperlink w:anchor="AUTO_2023_501" w:history="1">
        <w:r w:rsidRPr="00DA359F">
          <w:rPr>
            <w:rStyle w:val="TextoNormalCaracter"/>
          </w:rPr>
          <w:t>501/2023</w:t>
        </w:r>
      </w:hyperlink>
      <w:r>
        <w:t xml:space="preserve">, f. único; </w:t>
      </w:r>
      <w:hyperlink w:anchor="AUTO_2023_502" w:history="1">
        <w:r w:rsidRPr="00DA359F">
          <w:rPr>
            <w:rStyle w:val="TextoNormalCaracter"/>
          </w:rPr>
          <w:t>502/2023</w:t>
        </w:r>
      </w:hyperlink>
      <w:r>
        <w:t xml:space="preserve">, f. único; </w:t>
      </w:r>
      <w:hyperlink w:anchor="AUTO_2023_503" w:history="1">
        <w:r w:rsidRPr="00DA359F">
          <w:rPr>
            <w:rStyle w:val="TextoNormalCaracter"/>
          </w:rPr>
          <w:t>503/2023</w:t>
        </w:r>
      </w:hyperlink>
      <w:r>
        <w:t xml:space="preserve">, f. único; </w:t>
      </w:r>
      <w:hyperlink w:anchor="AUTO_2023_504" w:history="1">
        <w:r w:rsidRPr="00DA359F">
          <w:rPr>
            <w:rStyle w:val="TextoNormalCaracter"/>
          </w:rPr>
          <w:t>504/2023</w:t>
        </w:r>
      </w:hyperlink>
      <w:r>
        <w:t xml:space="preserve">, f. único; </w:t>
      </w:r>
      <w:hyperlink w:anchor="AUTO_2023_505" w:history="1">
        <w:r w:rsidRPr="00DA359F">
          <w:rPr>
            <w:rStyle w:val="TextoNormalCaracter"/>
          </w:rPr>
          <w:t>505/2023</w:t>
        </w:r>
      </w:hyperlink>
      <w:r>
        <w:t xml:space="preserve">, f. único; </w:t>
      </w:r>
      <w:hyperlink w:anchor="AUTO_2023_506" w:history="1">
        <w:r w:rsidRPr="00DA359F">
          <w:rPr>
            <w:rStyle w:val="TextoNormalCaracter"/>
          </w:rPr>
          <w:t>506/2023</w:t>
        </w:r>
      </w:hyperlink>
      <w:r>
        <w:t xml:space="preserve">, f. único; </w:t>
      </w:r>
      <w:hyperlink w:anchor="AUTO_2023_507" w:history="1">
        <w:r w:rsidRPr="00DA359F">
          <w:rPr>
            <w:rStyle w:val="TextoNormalCaracter"/>
          </w:rPr>
          <w:t>507/2023</w:t>
        </w:r>
      </w:hyperlink>
      <w:r>
        <w:t xml:space="preserve">, f. único; </w:t>
      </w:r>
      <w:hyperlink w:anchor="AUTO_2023_508" w:history="1">
        <w:r w:rsidRPr="00DA359F">
          <w:rPr>
            <w:rStyle w:val="TextoNormalCaracter"/>
          </w:rPr>
          <w:t>508/2023</w:t>
        </w:r>
      </w:hyperlink>
      <w:r>
        <w:t xml:space="preserve">, f. único; </w:t>
      </w:r>
      <w:hyperlink w:anchor="AUTO_2023_509" w:history="1">
        <w:r w:rsidRPr="00DA359F">
          <w:rPr>
            <w:rStyle w:val="TextoNormalCaracter"/>
          </w:rPr>
          <w:t>509/2023</w:t>
        </w:r>
      </w:hyperlink>
      <w:r>
        <w:t xml:space="preserve">, f. único; </w:t>
      </w:r>
      <w:hyperlink w:anchor="AUTO_2023_510" w:history="1">
        <w:r w:rsidRPr="00DA359F">
          <w:rPr>
            <w:rStyle w:val="TextoNormalCaracter"/>
          </w:rPr>
          <w:t>510/2023</w:t>
        </w:r>
      </w:hyperlink>
      <w:r>
        <w:t xml:space="preserve">, f. único; </w:t>
      </w:r>
      <w:hyperlink w:anchor="AUTO_2023_511" w:history="1">
        <w:r w:rsidRPr="00DA359F">
          <w:rPr>
            <w:rStyle w:val="TextoNormalCaracter"/>
          </w:rPr>
          <w:t>511/2023</w:t>
        </w:r>
      </w:hyperlink>
      <w:r>
        <w:t xml:space="preserve">, f. único; </w:t>
      </w:r>
      <w:hyperlink w:anchor="AUTO_2023_512" w:history="1">
        <w:r w:rsidRPr="00DA359F">
          <w:rPr>
            <w:rStyle w:val="TextoNormalCaracter"/>
          </w:rPr>
          <w:t>512/2023</w:t>
        </w:r>
      </w:hyperlink>
      <w:r>
        <w:t xml:space="preserve">, f. único; </w:t>
      </w:r>
      <w:hyperlink w:anchor="AUTO_2023_513" w:history="1">
        <w:r w:rsidRPr="00DA359F">
          <w:rPr>
            <w:rStyle w:val="TextoNormalCaracter"/>
          </w:rPr>
          <w:t>513/2023</w:t>
        </w:r>
      </w:hyperlink>
      <w:r>
        <w:t xml:space="preserve">, f. único; </w:t>
      </w:r>
      <w:hyperlink w:anchor="AUTO_2023_514" w:history="1">
        <w:r w:rsidRPr="00DA359F">
          <w:rPr>
            <w:rStyle w:val="TextoNormalCaracter"/>
          </w:rPr>
          <w:t>514/2023</w:t>
        </w:r>
      </w:hyperlink>
      <w:r>
        <w:t xml:space="preserve">, f. único; </w:t>
      </w:r>
      <w:hyperlink w:anchor="AUTO_2023_515" w:history="1">
        <w:r w:rsidRPr="00DA359F">
          <w:rPr>
            <w:rStyle w:val="TextoNormalCaracter"/>
          </w:rPr>
          <w:t>515/2023</w:t>
        </w:r>
      </w:hyperlink>
      <w:r>
        <w:t xml:space="preserve">, f. único; </w:t>
      </w:r>
      <w:hyperlink w:anchor="AUTO_2023_516" w:history="1">
        <w:r w:rsidRPr="00DA359F">
          <w:rPr>
            <w:rStyle w:val="TextoNormalCaracter"/>
          </w:rPr>
          <w:t>516/2023</w:t>
        </w:r>
      </w:hyperlink>
      <w:r>
        <w:t xml:space="preserve">, f. único; </w:t>
      </w:r>
      <w:hyperlink w:anchor="AUTO_2023_517" w:history="1">
        <w:r w:rsidRPr="00DA359F">
          <w:rPr>
            <w:rStyle w:val="TextoNormalCaracter"/>
          </w:rPr>
          <w:t>517/2023</w:t>
        </w:r>
      </w:hyperlink>
      <w:r>
        <w:t xml:space="preserve">, f. único; </w:t>
      </w:r>
      <w:hyperlink w:anchor="AUTO_2023_518" w:history="1">
        <w:r w:rsidRPr="00DA359F">
          <w:rPr>
            <w:rStyle w:val="TextoNormalCaracter"/>
          </w:rPr>
          <w:t>518/2023</w:t>
        </w:r>
      </w:hyperlink>
      <w:r>
        <w:t xml:space="preserve">, f. único; </w:t>
      </w:r>
      <w:hyperlink w:anchor="AUTO_2023_519" w:history="1">
        <w:r w:rsidRPr="00DA359F">
          <w:rPr>
            <w:rStyle w:val="TextoNormalCaracter"/>
          </w:rPr>
          <w:t>519/2023</w:t>
        </w:r>
      </w:hyperlink>
      <w:r>
        <w:t xml:space="preserve">, f. único; </w:t>
      </w:r>
      <w:hyperlink w:anchor="AUTO_2023_520" w:history="1">
        <w:r w:rsidRPr="00DA359F">
          <w:rPr>
            <w:rStyle w:val="TextoNormalCaracter"/>
          </w:rPr>
          <w:t>520/2023</w:t>
        </w:r>
      </w:hyperlink>
      <w:r>
        <w:t xml:space="preserve">, f. único; </w:t>
      </w:r>
      <w:hyperlink w:anchor="AUTO_2023_523" w:history="1">
        <w:r w:rsidRPr="00DA359F">
          <w:rPr>
            <w:rStyle w:val="TextoNormalCaracter"/>
          </w:rPr>
          <w:t>523/2023</w:t>
        </w:r>
      </w:hyperlink>
      <w:r>
        <w:t xml:space="preserve">, f. único; </w:t>
      </w:r>
      <w:hyperlink w:anchor="AUTO_2023_524" w:history="1">
        <w:r w:rsidRPr="00DA359F">
          <w:rPr>
            <w:rStyle w:val="TextoNormalCaracter"/>
          </w:rPr>
          <w:t>524/2023</w:t>
        </w:r>
      </w:hyperlink>
      <w:r>
        <w:t xml:space="preserve">, f. único; </w:t>
      </w:r>
      <w:hyperlink w:anchor="AUTO_2023_525" w:history="1">
        <w:r w:rsidRPr="00DA359F">
          <w:rPr>
            <w:rStyle w:val="TextoNormalCaracter"/>
          </w:rPr>
          <w:t>525/2023</w:t>
        </w:r>
      </w:hyperlink>
      <w:r>
        <w:t xml:space="preserve">, f. único; </w:t>
      </w:r>
      <w:hyperlink w:anchor="AUTO_2023_527" w:history="1">
        <w:r w:rsidRPr="00DA359F">
          <w:rPr>
            <w:rStyle w:val="TextoNormalCaracter"/>
          </w:rPr>
          <w:t>527/2023</w:t>
        </w:r>
      </w:hyperlink>
      <w:r>
        <w:t xml:space="preserve">, f. único; </w:t>
      </w:r>
      <w:hyperlink w:anchor="AUTO_2023_528" w:history="1">
        <w:r w:rsidRPr="00DA359F">
          <w:rPr>
            <w:rStyle w:val="TextoNormalCaracter"/>
          </w:rPr>
          <w:t>528/2023</w:t>
        </w:r>
      </w:hyperlink>
      <w:r>
        <w:t xml:space="preserve">, f. único; </w:t>
      </w:r>
      <w:hyperlink w:anchor="AUTO_2023_529" w:history="1">
        <w:r w:rsidRPr="00DA359F">
          <w:rPr>
            <w:rStyle w:val="TextoNormalCaracter"/>
          </w:rPr>
          <w:t>529/2023</w:t>
        </w:r>
      </w:hyperlink>
      <w:r>
        <w:t xml:space="preserve">, f. único; </w:t>
      </w:r>
      <w:hyperlink w:anchor="AUTO_2023_530" w:history="1">
        <w:r w:rsidRPr="00DA359F">
          <w:rPr>
            <w:rStyle w:val="TextoNormalCaracter"/>
          </w:rPr>
          <w:t>530/2023</w:t>
        </w:r>
      </w:hyperlink>
      <w:r>
        <w:t xml:space="preserve">, f. único; </w:t>
      </w:r>
      <w:hyperlink w:anchor="AUTO_2023_531" w:history="1">
        <w:r w:rsidRPr="00DA359F">
          <w:rPr>
            <w:rStyle w:val="TextoNormalCaracter"/>
          </w:rPr>
          <w:t>531/2023</w:t>
        </w:r>
      </w:hyperlink>
      <w:r>
        <w:t xml:space="preserve">, f. único; </w:t>
      </w:r>
      <w:hyperlink w:anchor="AUTO_2023_533" w:history="1">
        <w:r w:rsidRPr="00DA359F">
          <w:rPr>
            <w:rStyle w:val="TextoNormalCaracter"/>
          </w:rPr>
          <w:t>533/2023</w:t>
        </w:r>
      </w:hyperlink>
      <w:r>
        <w:t xml:space="preserve">, f. único; </w:t>
      </w:r>
      <w:hyperlink w:anchor="AUTO_2023_534" w:history="1">
        <w:r w:rsidRPr="00DA359F">
          <w:rPr>
            <w:rStyle w:val="TextoNormalCaracter"/>
          </w:rPr>
          <w:t>534/2023</w:t>
        </w:r>
      </w:hyperlink>
      <w:r>
        <w:t xml:space="preserve">, f. único; </w:t>
      </w:r>
      <w:hyperlink w:anchor="AUTO_2023_536" w:history="1">
        <w:r w:rsidRPr="00DA359F">
          <w:rPr>
            <w:rStyle w:val="TextoNormalCaracter"/>
          </w:rPr>
          <w:t>536/2023</w:t>
        </w:r>
      </w:hyperlink>
      <w:r>
        <w:t xml:space="preserve">, f. único; </w:t>
      </w:r>
      <w:hyperlink w:anchor="AUTO_2023_537" w:history="1">
        <w:r w:rsidRPr="00DA359F">
          <w:rPr>
            <w:rStyle w:val="TextoNormalCaracter"/>
          </w:rPr>
          <w:t>537/2023</w:t>
        </w:r>
      </w:hyperlink>
      <w:r>
        <w:t xml:space="preserve">, f. único; </w:t>
      </w:r>
      <w:hyperlink w:anchor="AUTO_2023_538" w:history="1">
        <w:r w:rsidRPr="00DA359F">
          <w:rPr>
            <w:rStyle w:val="TextoNormalCaracter"/>
          </w:rPr>
          <w:t>538/2023</w:t>
        </w:r>
      </w:hyperlink>
      <w:r>
        <w:t xml:space="preserve">, f. único; </w:t>
      </w:r>
      <w:hyperlink w:anchor="AUTO_2023_539" w:history="1">
        <w:r w:rsidRPr="00DA359F">
          <w:rPr>
            <w:rStyle w:val="TextoNormalCaracter"/>
          </w:rPr>
          <w:t>539/2023</w:t>
        </w:r>
      </w:hyperlink>
      <w:r>
        <w:t xml:space="preserve">, f. único; </w:t>
      </w:r>
      <w:hyperlink w:anchor="AUTO_2023_540" w:history="1">
        <w:r w:rsidRPr="00DA359F">
          <w:rPr>
            <w:rStyle w:val="TextoNormalCaracter"/>
          </w:rPr>
          <w:t>540/2023</w:t>
        </w:r>
      </w:hyperlink>
      <w:r>
        <w:t xml:space="preserve">, f. único; </w:t>
      </w:r>
      <w:hyperlink w:anchor="AUTO_2023_541" w:history="1">
        <w:r w:rsidRPr="00DA359F">
          <w:rPr>
            <w:rStyle w:val="TextoNormalCaracter"/>
          </w:rPr>
          <w:t>541/2023</w:t>
        </w:r>
      </w:hyperlink>
      <w:r>
        <w:t xml:space="preserve">, f. único; </w:t>
      </w:r>
      <w:hyperlink w:anchor="AUTO_2023_542" w:history="1">
        <w:r w:rsidRPr="00DA359F">
          <w:rPr>
            <w:rStyle w:val="TextoNormalCaracter"/>
          </w:rPr>
          <w:t>542/2023</w:t>
        </w:r>
      </w:hyperlink>
      <w:r>
        <w:t xml:space="preserve">, f. único; </w:t>
      </w:r>
      <w:hyperlink w:anchor="AUTO_2023_543" w:history="1">
        <w:r w:rsidRPr="00DA359F">
          <w:rPr>
            <w:rStyle w:val="TextoNormalCaracter"/>
          </w:rPr>
          <w:t>543/2023</w:t>
        </w:r>
      </w:hyperlink>
      <w:r>
        <w:t xml:space="preserve">, f. único; </w:t>
      </w:r>
      <w:hyperlink w:anchor="AUTO_2023_544" w:history="1">
        <w:r w:rsidRPr="00DA359F">
          <w:rPr>
            <w:rStyle w:val="TextoNormalCaracter"/>
          </w:rPr>
          <w:t>544/2023</w:t>
        </w:r>
      </w:hyperlink>
      <w:r>
        <w:t xml:space="preserve">, f. único; </w:t>
      </w:r>
      <w:hyperlink w:anchor="AUTO_2023_545" w:history="1">
        <w:r w:rsidRPr="00DA359F">
          <w:rPr>
            <w:rStyle w:val="TextoNormalCaracter"/>
          </w:rPr>
          <w:t>545/2023</w:t>
        </w:r>
      </w:hyperlink>
      <w:r>
        <w:t xml:space="preserve">, f. único; </w:t>
      </w:r>
      <w:hyperlink w:anchor="AUTO_2023_546" w:history="1">
        <w:r w:rsidRPr="00DA359F">
          <w:rPr>
            <w:rStyle w:val="TextoNormalCaracter"/>
          </w:rPr>
          <w:t>546/2023</w:t>
        </w:r>
      </w:hyperlink>
      <w:r>
        <w:t xml:space="preserve">, f. único; </w:t>
      </w:r>
      <w:hyperlink w:anchor="AUTO_2023_547" w:history="1">
        <w:r w:rsidRPr="00DA359F">
          <w:rPr>
            <w:rStyle w:val="TextoNormalCaracter"/>
          </w:rPr>
          <w:t>547/2023</w:t>
        </w:r>
      </w:hyperlink>
      <w:r>
        <w:t xml:space="preserve">, f. único; </w:t>
      </w:r>
      <w:hyperlink w:anchor="AUTO_2023_548" w:history="1">
        <w:r w:rsidRPr="00DA359F">
          <w:rPr>
            <w:rStyle w:val="TextoNormalCaracter"/>
          </w:rPr>
          <w:t>548/2023</w:t>
        </w:r>
      </w:hyperlink>
      <w:r>
        <w:t xml:space="preserve">, f. único; </w:t>
      </w:r>
      <w:hyperlink w:anchor="AUTO_2023_549" w:history="1">
        <w:r w:rsidRPr="00DA359F">
          <w:rPr>
            <w:rStyle w:val="TextoNormalCaracter"/>
          </w:rPr>
          <w:t>549/2023</w:t>
        </w:r>
      </w:hyperlink>
      <w:r>
        <w:t xml:space="preserve">, f. único; </w:t>
      </w:r>
      <w:hyperlink w:anchor="AUTO_2023_550" w:history="1">
        <w:r w:rsidRPr="00DA359F">
          <w:rPr>
            <w:rStyle w:val="TextoNormalCaracter"/>
          </w:rPr>
          <w:t>550/2023</w:t>
        </w:r>
      </w:hyperlink>
      <w:r>
        <w:t xml:space="preserve">, f. único; </w:t>
      </w:r>
      <w:hyperlink w:anchor="AUTO_2023_551" w:history="1">
        <w:r w:rsidRPr="00DA359F">
          <w:rPr>
            <w:rStyle w:val="TextoNormalCaracter"/>
          </w:rPr>
          <w:t>551/2023</w:t>
        </w:r>
      </w:hyperlink>
      <w:r>
        <w:t xml:space="preserve">, f. único; </w:t>
      </w:r>
      <w:hyperlink w:anchor="AUTO_2023_552" w:history="1">
        <w:r w:rsidRPr="00DA359F">
          <w:rPr>
            <w:rStyle w:val="TextoNormalCaracter"/>
          </w:rPr>
          <w:t>552/2023</w:t>
        </w:r>
      </w:hyperlink>
      <w:r>
        <w:t xml:space="preserve">, f. único; </w:t>
      </w:r>
      <w:hyperlink w:anchor="AUTO_2023_553" w:history="1">
        <w:r w:rsidRPr="00DA359F">
          <w:rPr>
            <w:rStyle w:val="TextoNormalCaracter"/>
          </w:rPr>
          <w:t>553/2023</w:t>
        </w:r>
      </w:hyperlink>
      <w:r>
        <w:t xml:space="preserve">, f. único; </w:t>
      </w:r>
      <w:hyperlink w:anchor="AUTO_2023_554" w:history="1">
        <w:r w:rsidRPr="00DA359F">
          <w:rPr>
            <w:rStyle w:val="TextoNormalCaracter"/>
          </w:rPr>
          <w:t>554/2023</w:t>
        </w:r>
      </w:hyperlink>
      <w:r>
        <w:t xml:space="preserve">, f. único; </w:t>
      </w:r>
      <w:hyperlink w:anchor="AUTO_2023_555" w:history="1">
        <w:r w:rsidRPr="00DA359F">
          <w:rPr>
            <w:rStyle w:val="TextoNormalCaracter"/>
          </w:rPr>
          <w:t>555/2023</w:t>
        </w:r>
      </w:hyperlink>
      <w:r>
        <w:t xml:space="preserve">, f. único; </w:t>
      </w:r>
      <w:hyperlink w:anchor="AUTO_2023_556" w:history="1">
        <w:r w:rsidRPr="00DA359F">
          <w:rPr>
            <w:rStyle w:val="TextoNormalCaracter"/>
          </w:rPr>
          <w:t>556/2023</w:t>
        </w:r>
      </w:hyperlink>
      <w:r>
        <w:t xml:space="preserve">, f. único; </w:t>
      </w:r>
      <w:hyperlink w:anchor="AUTO_2023_557" w:history="1">
        <w:r w:rsidRPr="00DA359F">
          <w:rPr>
            <w:rStyle w:val="TextoNormalCaracter"/>
          </w:rPr>
          <w:t>557/2023</w:t>
        </w:r>
      </w:hyperlink>
      <w:r>
        <w:t xml:space="preserve">, f. único; </w:t>
      </w:r>
      <w:hyperlink w:anchor="AUTO_2023_558" w:history="1">
        <w:r w:rsidRPr="00DA359F">
          <w:rPr>
            <w:rStyle w:val="TextoNormalCaracter"/>
          </w:rPr>
          <w:t>558/2023</w:t>
        </w:r>
      </w:hyperlink>
      <w:r>
        <w:t xml:space="preserve">, f. único; </w:t>
      </w:r>
      <w:hyperlink w:anchor="AUTO_2023_559" w:history="1">
        <w:r w:rsidRPr="00DA359F">
          <w:rPr>
            <w:rStyle w:val="TextoNormalCaracter"/>
          </w:rPr>
          <w:t>559/2023</w:t>
        </w:r>
      </w:hyperlink>
      <w:r>
        <w:t xml:space="preserve">, f. único; </w:t>
      </w:r>
      <w:hyperlink w:anchor="AUTO_2023_560" w:history="1">
        <w:r w:rsidRPr="00DA359F">
          <w:rPr>
            <w:rStyle w:val="TextoNormalCaracter"/>
          </w:rPr>
          <w:t>560/2023</w:t>
        </w:r>
      </w:hyperlink>
      <w:r>
        <w:t xml:space="preserve">, f. único; </w:t>
      </w:r>
      <w:hyperlink w:anchor="AUTO_2023_561" w:history="1">
        <w:r w:rsidRPr="00DA359F">
          <w:rPr>
            <w:rStyle w:val="TextoNormalCaracter"/>
          </w:rPr>
          <w:t>561/2023</w:t>
        </w:r>
      </w:hyperlink>
      <w:r>
        <w:t xml:space="preserve">, f. único; </w:t>
      </w:r>
      <w:hyperlink w:anchor="AUTO_2023_562" w:history="1">
        <w:r w:rsidRPr="00DA359F">
          <w:rPr>
            <w:rStyle w:val="TextoNormalCaracter"/>
          </w:rPr>
          <w:t>562/2023</w:t>
        </w:r>
      </w:hyperlink>
      <w:r>
        <w:t xml:space="preserve">, f. único; </w:t>
      </w:r>
      <w:hyperlink w:anchor="AUTO_2023_563" w:history="1">
        <w:r w:rsidRPr="00DA359F">
          <w:rPr>
            <w:rStyle w:val="TextoNormalCaracter"/>
          </w:rPr>
          <w:t>563/2023</w:t>
        </w:r>
      </w:hyperlink>
      <w:r>
        <w:t xml:space="preserve">, f. único; </w:t>
      </w:r>
      <w:hyperlink w:anchor="AUTO_2023_564" w:history="1">
        <w:r w:rsidRPr="00DA359F">
          <w:rPr>
            <w:rStyle w:val="TextoNormalCaracter"/>
          </w:rPr>
          <w:t>564/2023</w:t>
        </w:r>
      </w:hyperlink>
      <w:r>
        <w:t xml:space="preserve">, f. único; </w:t>
      </w:r>
      <w:hyperlink w:anchor="AUTO_2023_565" w:history="1">
        <w:r w:rsidRPr="00DA359F">
          <w:rPr>
            <w:rStyle w:val="TextoNormalCaracter"/>
          </w:rPr>
          <w:t>565/2023</w:t>
        </w:r>
      </w:hyperlink>
      <w:r>
        <w:t xml:space="preserve">, f. único; </w:t>
      </w:r>
      <w:hyperlink w:anchor="AUTO_2023_566" w:history="1">
        <w:r w:rsidRPr="00DA359F">
          <w:rPr>
            <w:rStyle w:val="TextoNormalCaracter"/>
          </w:rPr>
          <w:t>566/2023</w:t>
        </w:r>
      </w:hyperlink>
      <w:r>
        <w:t xml:space="preserve">, f. único; </w:t>
      </w:r>
      <w:hyperlink w:anchor="AUTO_2023_567" w:history="1">
        <w:r w:rsidRPr="00DA359F">
          <w:rPr>
            <w:rStyle w:val="TextoNormalCaracter"/>
          </w:rPr>
          <w:t>567/2023</w:t>
        </w:r>
      </w:hyperlink>
      <w:r>
        <w:t xml:space="preserve">, f. único; </w:t>
      </w:r>
      <w:hyperlink w:anchor="AUTO_2023_568" w:history="1">
        <w:r w:rsidRPr="00DA359F">
          <w:rPr>
            <w:rStyle w:val="TextoNormalCaracter"/>
          </w:rPr>
          <w:t>568/2023</w:t>
        </w:r>
      </w:hyperlink>
      <w:r>
        <w:t xml:space="preserve">, f. único; </w:t>
      </w:r>
      <w:hyperlink w:anchor="AUTO_2023_569" w:history="1">
        <w:r w:rsidRPr="00DA359F">
          <w:rPr>
            <w:rStyle w:val="TextoNormalCaracter"/>
          </w:rPr>
          <w:t>569/2023</w:t>
        </w:r>
      </w:hyperlink>
      <w:r>
        <w:t xml:space="preserve">, f. único; </w:t>
      </w:r>
      <w:hyperlink w:anchor="AUTO_2023_570" w:history="1">
        <w:r w:rsidRPr="00DA359F">
          <w:rPr>
            <w:rStyle w:val="TextoNormalCaracter"/>
          </w:rPr>
          <w:t>570/2023</w:t>
        </w:r>
      </w:hyperlink>
      <w:r>
        <w:t xml:space="preserve">, f. único; </w:t>
      </w:r>
      <w:hyperlink w:anchor="AUTO_2023_571" w:history="1">
        <w:r w:rsidRPr="00DA359F">
          <w:rPr>
            <w:rStyle w:val="TextoNormalCaracter"/>
          </w:rPr>
          <w:t>571/2023</w:t>
        </w:r>
      </w:hyperlink>
      <w:r>
        <w:t xml:space="preserve">, f. único; </w:t>
      </w:r>
      <w:hyperlink w:anchor="AUTO_2023_572" w:history="1">
        <w:r w:rsidRPr="00DA359F">
          <w:rPr>
            <w:rStyle w:val="TextoNormalCaracter"/>
          </w:rPr>
          <w:t>572/2023</w:t>
        </w:r>
      </w:hyperlink>
      <w:r>
        <w:t xml:space="preserve">, f. único; </w:t>
      </w:r>
      <w:hyperlink w:anchor="AUTO_2023_573" w:history="1">
        <w:r w:rsidRPr="00DA359F">
          <w:rPr>
            <w:rStyle w:val="TextoNormalCaracter"/>
          </w:rPr>
          <w:t>573/2023</w:t>
        </w:r>
      </w:hyperlink>
      <w:r>
        <w:t xml:space="preserve">, f. único; </w:t>
      </w:r>
      <w:hyperlink w:anchor="AUTO_2023_574" w:history="1">
        <w:r w:rsidRPr="00DA359F">
          <w:rPr>
            <w:rStyle w:val="TextoNormalCaracter"/>
          </w:rPr>
          <w:t>574/2023</w:t>
        </w:r>
      </w:hyperlink>
      <w:r>
        <w:t xml:space="preserve">, f. único; </w:t>
      </w:r>
      <w:hyperlink w:anchor="AUTO_2023_575" w:history="1">
        <w:r w:rsidRPr="00DA359F">
          <w:rPr>
            <w:rStyle w:val="TextoNormalCaracter"/>
          </w:rPr>
          <w:t>575/2023</w:t>
        </w:r>
      </w:hyperlink>
      <w:r>
        <w:t xml:space="preserve">, f. único; </w:t>
      </w:r>
      <w:hyperlink w:anchor="AUTO_2023_576" w:history="1">
        <w:r w:rsidRPr="00DA359F">
          <w:rPr>
            <w:rStyle w:val="TextoNormalCaracter"/>
          </w:rPr>
          <w:t>576/2023</w:t>
        </w:r>
      </w:hyperlink>
      <w:r>
        <w:t xml:space="preserve">, f. único; </w:t>
      </w:r>
      <w:hyperlink w:anchor="AUTO_2023_577" w:history="1">
        <w:r w:rsidRPr="00DA359F">
          <w:rPr>
            <w:rStyle w:val="TextoNormalCaracter"/>
          </w:rPr>
          <w:t>577/2023</w:t>
        </w:r>
      </w:hyperlink>
      <w:r>
        <w:t xml:space="preserve">, f. único; </w:t>
      </w:r>
      <w:hyperlink w:anchor="AUTO_2023_578" w:history="1">
        <w:r w:rsidRPr="00DA359F">
          <w:rPr>
            <w:rStyle w:val="TextoNormalCaracter"/>
          </w:rPr>
          <w:t>578/2023</w:t>
        </w:r>
      </w:hyperlink>
      <w:r>
        <w:t xml:space="preserve">, f. único; </w:t>
      </w:r>
      <w:hyperlink w:anchor="AUTO_2023_579" w:history="1">
        <w:r w:rsidRPr="00DA359F">
          <w:rPr>
            <w:rStyle w:val="TextoNormalCaracter"/>
          </w:rPr>
          <w:t>579/2023</w:t>
        </w:r>
      </w:hyperlink>
      <w:r>
        <w:t xml:space="preserve">, f. único; </w:t>
      </w:r>
      <w:hyperlink w:anchor="AUTO_2023_580" w:history="1">
        <w:r w:rsidRPr="00DA359F">
          <w:rPr>
            <w:rStyle w:val="TextoNormalCaracter"/>
          </w:rPr>
          <w:t>580/2023</w:t>
        </w:r>
      </w:hyperlink>
      <w:r>
        <w:t xml:space="preserve">, f. único; </w:t>
      </w:r>
      <w:hyperlink w:anchor="AUTO_2023_581" w:history="1">
        <w:r w:rsidRPr="00DA359F">
          <w:rPr>
            <w:rStyle w:val="TextoNormalCaracter"/>
          </w:rPr>
          <w:t>581/2023</w:t>
        </w:r>
      </w:hyperlink>
      <w:r>
        <w:t xml:space="preserve">, f. único; </w:t>
      </w:r>
      <w:hyperlink w:anchor="AUTO_2023_582" w:history="1">
        <w:r w:rsidRPr="00DA359F">
          <w:rPr>
            <w:rStyle w:val="TextoNormalCaracter"/>
          </w:rPr>
          <w:t>582/2023</w:t>
        </w:r>
      </w:hyperlink>
      <w:r>
        <w:t xml:space="preserve">, f. único; </w:t>
      </w:r>
      <w:hyperlink w:anchor="AUTO_2023_583" w:history="1">
        <w:r w:rsidRPr="00DA359F">
          <w:rPr>
            <w:rStyle w:val="TextoNormalCaracter"/>
          </w:rPr>
          <w:t>583/2023</w:t>
        </w:r>
      </w:hyperlink>
      <w:r>
        <w:t xml:space="preserve">, f. único; </w:t>
      </w:r>
      <w:hyperlink w:anchor="AUTO_2023_584" w:history="1">
        <w:r w:rsidRPr="00DA359F">
          <w:rPr>
            <w:rStyle w:val="TextoNormalCaracter"/>
          </w:rPr>
          <w:t>584/2023</w:t>
        </w:r>
      </w:hyperlink>
      <w:r>
        <w:t xml:space="preserve">, f. único; </w:t>
      </w:r>
      <w:hyperlink w:anchor="AUTO_2023_585" w:history="1">
        <w:r w:rsidRPr="00DA359F">
          <w:rPr>
            <w:rStyle w:val="TextoNormalCaracter"/>
          </w:rPr>
          <w:t>585/2023</w:t>
        </w:r>
      </w:hyperlink>
      <w:r>
        <w:t xml:space="preserve">, f. único; </w:t>
      </w:r>
      <w:hyperlink w:anchor="AUTO_2023_586" w:history="1">
        <w:r w:rsidRPr="00DA359F">
          <w:rPr>
            <w:rStyle w:val="TextoNormalCaracter"/>
          </w:rPr>
          <w:t>586/2023</w:t>
        </w:r>
      </w:hyperlink>
      <w:r>
        <w:t xml:space="preserve">, f. único; </w:t>
      </w:r>
      <w:hyperlink w:anchor="AUTO_2023_587" w:history="1">
        <w:r w:rsidRPr="00DA359F">
          <w:rPr>
            <w:rStyle w:val="TextoNormalCaracter"/>
          </w:rPr>
          <w:t>587/2023</w:t>
        </w:r>
      </w:hyperlink>
      <w:r>
        <w:t xml:space="preserve">, f. único; </w:t>
      </w:r>
      <w:hyperlink w:anchor="AUTO_2023_588" w:history="1">
        <w:r w:rsidRPr="00DA359F">
          <w:rPr>
            <w:rStyle w:val="TextoNormalCaracter"/>
          </w:rPr>
          <w:t>588/2023</w:t>
        </w:r>
      </w:hyperlink>
      <w:r>
        <w:t xml:space="preserve">, f. único; </w:t>
      </w:r>
      <w:hyperlink w:anchor="AUTO_2023_589" w:history="1">
        <w:r w:rsidRPr="00DA359F">
          <w:rPr>
            <w:rStyle w:val="TextoNormalCaracter"/>
          </w:rPr>
          <w:t>589/2023</w:t>
        </w:r>
      </w:hyperlink>
      <w:r>
        <w:t xml:space="preserve">, f. único; </w:t>
      </w:r>
      <w:hyperlink w:anchor="AUTO_2023_590" w:history="1">
        <w:r w:rsidRPr="00DA359F">
          <w:rPr>
            <w:rStyle w:val="TextoNormalCaracter"/>
          </w:rPr>
          <w:t>590/2023</w:t>
        </w:r>
      </w:hyperlink>
      <w:r>
        <w:t xml:space="preserve">, f. único; </w:t>
      </w:r>
      <w:hyperlink w:anchor="AUTO_2023_591" w:history="1">
        <w:r w:rsidRPr="00DA359F">
          <w:rPr>
            <w:rStyle w:val="TextoNormalCaracter"/>
          </w:rPr>
          <w:t>591/2023</w:t>
        </w:r>
      </w:hyperlink>
      <w:r>
        <w:t xml:space="preserve">, f. único; </w:t>
      </w:r>
      <w:hyperlink w:anchor="AUTO_2023_592" w:history="1">
        <w:r w:rsidRPr="00DA359F">
          <w:rPr>
            <w:rStyle w:val="TextoNormalCaracter"/>
          </w:rPr>
          <w:t>592/2023</w:t>
        </w:r>
      </w:hyperlink>
      <w:r>
        <w:t xml:space="preserve">, f. único; </w:t>
      </w:r>
      <w:hyperlink w:anchor="AUTO_2023_593" w:history="1">
        <w:r w:rsidRPr="00DA359F">
          <w:rPr>
            <w:rStyle w:val="TextoNormalCaracter"/>
          </w:rPr>
          <w:t>593/2023</w:t>
        </w:r>
      </w:hyperlink>
      <w:r>
        <w:t xml:space="preserve">, f. único; </w:t>
      </w:r>
      <w:hyperlink w:anchor="AUTO_2023_594" w:history="1">
        <w:r w:rsidRPr="00DA359F">
          <w:rPr>
            <w:rStyle w:val="TextoNormalCaracter"/>
          </w:rPr>
          <w:t>594/2023</w:t>
        </w:r>
      </w:hyperlink>
      <w:r>
        <w:t xml:space="preserve">, f. único; </w:t>
      </w:r>
      <w:hyperlink w:anchor="AUTO_2023_595" w:history="1">
        <w:r w:rsidRPr="00DA359F">
          <w:rPr>
            <w:rStyle w:val="TextoNormalCaracter"/>
          </w:rPr>
          <w:t>595/2023</w:t>
        </w:r>
      </w:hyperlink>
      <w:r>
        <w:t xml:space="preserve">, f. único; </w:t>
      </w:r>
      <w:hyperlink w:anchor="AUTO_2023_596" w:history="1">
        <w:r w:rsidRPr="00DA359F">
          <w:rPr>
            <w:rStyle w:val="TextoNormalCaracter"/>
          </w:rPr>
          <w:t>596/2023</w:t>
        </w:r>
      </w:hyperlink>
      <w:r>
        <w:t xml:space="preserve">, f. único; </w:t>
      </w:r>
      <w:hyperlink w:anchor="AUTO_2023_597" w:history="1">
        <w:r w:rsidRPr="00DA359F">
          <w:rPr>
            <w:rStyle w:val="TextoNormalCaracter"/>
          </w:rPr>
          <w:t>597/2023</w:t>
        </w:r>
      </w:hyperlink>
      <w:r>
        <w:t xml:space="preserve">, f. único; </w:t>
      </w:r>
      <w:hyperlink w:anchor="AUTO_2023_602" w:history="1">
        <w:r w:rsidRPr="00DA359F">
          <w:rPr>
            <w:rStyle w:val="TextoNormalCaracter"/>
          </w:rPr>
          <w:t>602/2023</w:t>
        </w:r>
      </w:hyperlink>
      <w:r>
        <w:t xml:space="preserve">, f. único; </w:t>
      </w:r>
      <w:hyperlink w:anchor="AUTO_2023_605" w:history="1">
        <w:r w:rsidRPr="00DA359F">
          <w:rPr>
            <w:rStyle w:val="TextoNormalCaracter"/>
          </w:rPr>
          <w:t>605/2023</w:t>
        </w:r>
      </w:hyperlink>
      <w:r>
        <w:t xml:space="preserve">, f. único; </w:t>
      </w:r>
      <w:hyperlink w:anchor="AUTO_2023_606" w:history="1">
        <w:r w:rsidRPr="00DA359F">
          <w:rPr>
            <w:rStyle w:val="TextoNormalCaracter"/>
          </w:rPr>
          <w:t>606/2023</w:t>
        </w:r>
      </w:hyperlink>
      <w:r>
        <w:t xml:space="preserve">, f. único; </w:t>
      </w:r>
      <w:hyperlink w:anchor="AUTO_2023_607" w:history="1">
        <w:r w:rsidRPr="00DA359F">
          <w:rPr>
            <w:rStyle w:val="TextoNormalCaracter"/>
          </w:rPr>
          <w:t>607/2023</w:t>
        </w:r>
      </w:hyperlink>
      <w:r>
        <w:t xml:space="preserve">, f. único; </w:t>
      </w:r>
      <w:hyperlink w:anchor="AUTO_2023_608" w:history="1">
        <w:r w:rsidRPr="00DA359F">
          <w:rPr>
            <w:rStyle w:val="TextoNormalCaracter"/>
          </w:rPr>
          <w:t>608/2023</w:t>
        </w:r>
      </w:hyperlink>
      <w:r>
        <w:t xml:space="preserve">, f. único; </w:t>
      </w:r>
      <w:hyperlink w:anchor="AUTO_2023_609" w:history="1">
        <w:r w:rsidRPr="00DA359F">
          <w:rPr>
            <w:rStyle w:val="TextoNormalCaracter"/>
          </w:rPr>
          <w:t>609/2023</w:t>
        </w:r>
      </w:hyperlink>
      <w:r>
        <w:t xml:space="preserve">, f. único; </w:t>
      </w:r>
      <w:hyperlink w:anchor="AUTO_2023_610" w:history="1">
        <w:r w:rsidRPr="00DA359F">
          <w:rPr>
            <w:rStyle w:val="TextoNormalCaracter"/>
          </w:rPr>
          <w:t>610/2023</w:t>
        </w:r>
      </w:hyperlink>
      <w:r>
        <w:t xml:space="preserve">, f. único; </w:t>
      </w:r>
      <w:hyperlink w:anchor="AUTO_2023_611" w:history="1">
        <w:r w:rsidRPr="00DA359F">
          <w:rPr>
            <w:rStyle w:val="TextoNormalCaracter"/>
          </w:rPr>
          <w:t>611/2023</w:t>
        </w:r>
      </w:hyperlink>
      <w:r>
        <w:t xml:space="preserve">, f. único; </w:t>
      </w:r>
      <w:hyperlink w:anchor="AUTO_2023_612" w:history="1">
        <w:r w:rsidRPr="00DA359F">
          <w:rPr>
            <w:rStyle w:val="TextoNormalCaracter"/>
          </w:rPr>
          <w:t>612/2023</w:t>
        </w:r>
      </w:hyperlink>
      <w:r>
        <w:t xml:space="preserve">, f. único; </w:t>
      </w:r>
      <w:hyperlink w:anchor="AUTO_2023_613" w:history="1">
        <w:r w:rsidRPr="00DA359F">
          <w:rPr>
            <w:rStyle w:val="TextoNormalCaracter"/>
          </w:rPr>
          <w:t>613/2023</w:t>
        </w:r>
      </w:hyperlink>
      <w:r>
        <w:t xml:space="preserve">, f. único; </w:t>
      </w:r>
      <w:hyperlink w:anchor="AUTO_2023_614" w:history="1">
        <w:r w:rsidRPr="00DA359F">
          <w:rPr>
            <w:rStyle w:val="TextoNormalCaracter"/>
          </w:rPr>
          <w:t>614/2023</w:t>
        </w:r>
      </w:hyperlink>
      <w:r>
        <w:t xml:space="preserve">, f. único; </w:t>
      </w:r>
      <w:hyperlink w:anchor="AUTO_2023_615" w:history="1">
        <w:r w:rsidRPr="00DA359F">
          <w:rPr>
            <w:rStyle w:val="TextoNormalCaracter"/>
          </w:rPr>
          <w:t>615/2023</w:t>
        </w:r>
      </w:hyperlink>
      <w:r>
        <w:t xml:space="preserve">, f. único; </w:t>
      </w:r>
      <w:hyperlink w:anchor="AUTO_2023_616" w:history="1">
        <w:r w:rsidRPr="00DA359F">
          <w:rPr>
            <w:rStyle w:val="TextoNormalCaracter"/>
          </w:rPr>
          <w:t>616/2023</w:t>
        </w:r>
      </w:hyperlink>
      <w:r>
        <w:t xml:space="preserve">, f. único; </w:t>
      </w:r>
      <w:hyperlink w:anchor="AUTO_2023_617" w:history="1">
        <w:r w:rsidRPr="00DA359F">
          <w:rPr>
            <w:rStyle w:val="TextoNormalCaracter"/>
          </w:rPr>
          <w:t>617/2023</w:t>
        </w:r>
      </w:hyperlink>
      <w:r>
        <w:t xml:space="preserve">, f. único; </w:t>
      </w:r>
      <w:hyperlink w:anchor="AUTO_2023_618" w:history="1">
        <w:r w:rsidRPr="00DA359F">
          <w:rPr>
            <w:rStyle w:val="TextoNormalCaracter"/>
          </w:rPr>
          <w:t>618/2023</w:t>
        </w:r>
      </w:hyperlink>
      <w:r>
        <w:t xml:space="preserve">, f. único; </w:t>
      </w:r>
      <w:hyperlink w:anchor="AUTO_2023_619" w:history="1">
        <w:r w:rsidRPr="00DA359F">
          <w:rPr>
            <w:rStyle w:val="TextoNormalCaracter"/>
          </w:rPr>
          <w:t>619/2023</w:t>
        </w:r>
      </w:hyperlink>
      <w:r>
        <w:t xml:space="preserve">, f. único; </w:t>
      </w:r>
      <w:hyperlink w:anchor="AUTO_2023_620" w:history="1">
        <w:r w:rsidRPr="00DA359F">
          <w:rPr>
            <w:rStyle w:val="TextoNormalCaracter"/>
          </w:rPr>
          <w:t>620/2023</w:t>
        </w:r>
      </w:hyperlink>
      <w:r>
        <w:t xml:space="preserve">, f. único; </w:t>
      </w:r>
      <w:hyperlink w:anchor="AUTO_2023_621" w:history="1">
        <w:r w:rsidRPr="00DA359F">
          <w:rPr>
            <w:rStyle w:val="TextoNormalCaracter"/>
          </w:rPr>
          <w:t>621/2023</w:t>
        </w:r>
      </w:hyperlink>
      <w:r>
        <w:t xml:space="preserve">, f. único; </w:t>
      </w:r>
      <w:hyperlink w:anchor="AUTO_2023_622" w:history="1">
        <w:r w:rsidRPr="00DA359F">
          <w:rPr>
            <w:rStyle w:val="TextoNormalCaracter"/>
          </w:rPr>
          <w:t>622/2023</w:t>
        </w:r>
      </w:hyperlink>
      <w:r>
        <w:t xml:space="preserve">, f. único; </w:t>
      </w:r>
      <w:hyperlink w:anchor="AUTO_2023_623" w:history="1">
        <w:r w:rsidRPr="00DA359F">
          <w:rPr>
            <w:rStyle w:val="TextoNormalCaracter"/>
          </w:rPr>
          <w:t>623/2023</w:t>
        </w:r>
      </w:hyperlink>
      <w:r>
        <w:t xml:space="preserve">; </w:t>
      </w:r>
      <w:hyperlink w:anchor="AUTO_2023_624" w:history="1">
        <w:r w:rsidRPr="00DA359F">
          <w:rPr>
            <w:rStyle w:val="TextoNormalCaracter"/>
          </w:rPr>
          <w:t>624/2023</w:t>
        </w:r>
      </w:hyperlink>
      <w:r>
        <w:t xml:space="preserve">, f. único; </w:t>
      </w:r>
      <w:hyperlink w:anchor="AUTO_2023_625" w:history="1">
        <w:r w:rsidRPr="00DA359F">
          <w:rPr>
            <w:rStyle w:val="TextoNormalCaracter"/>
          </w:rPr>
          <w:t>625/2023</w:t>
        </w:r>
      </w:hyperlink>
      <w:r>
        <w:t xml:space="preserve">, f. único; </w:t>
      </w:r>
      <w:hyperlink w:anchor="AUTO_2023_626" w:history="1">
        <w:r w:rsidRPr="00DA359F">
          <w:rPr>
            <w:rStyle w:val="TextoNormalCaracter"/>
          </w:rPr>
          <w:t>626/2023</w:t>
        </w:r>
      </w:hyperlink>
      <w:r>
        <w:t xml:space="preserve">, f. único; </w:t>
      </w:r>
      <w:hyperlink w:anchor="AUTO_2023_627" w:history="1">
        <w:r w:rsidRPr="00DA359F">
          <w:rPr>
            <w:rStyle w:val="TextoNormalCaracter"/>
          </w:rPr>
          <w:t>627/2023</w:t>
        </w:r>
      </w:hyperlink>
      <w:r>
        <w:t xml:space="preserve">, f. único; </w:t>
      </w:r>
      <w:hyperlink w:anchor="AUTO_2023_628" w:history="1">
        <w:r w:rsidRPr="00DA359F">
          <w:rPr>
            <w:rStyle w:val="TextoNormalCaracter"/>
          </w:rPr>
          <w:t>628/2023</w:t>
        </w:r>
      </w:hyperlink>
      <w:r>
        <w:t xml:space="preserve">, f. único; </w:t>
      </w:r>
      <w:hyperlink w:anchor="AUTO_2023_629" w:history="1">
        <w:r w:rsidRPr="00DA359F">
          <w:rPr>
            <w:rStyle w:val="TextoNormalCaracter"/>
          </w:rPr>
          <w:t>629/2023</w:t>
        </w:r>
      </w:hyperlink>
      <w:r>
        <w:t xml:space="preserve">, f. único; </w:t>
      </w:r>
      <w:hyperlink w:anchor="AUTO_2023_630" w:history="1">
        <w:r w:rsidRPr="00DA359F">
          <w:rPr>
            <w:rStyle w:val="TextoNormalCaracter"/>
          </w:rPr>
          <w:t>630/2023</w:t>
        </w:r>
      </w:hyperlink>
      <w:r>
        <w:t xml:space="preserve">, f. único; </w:t>
      </w:r>
      <w:hyperlink w:anchor="AUTO_2023_631" w:history="1">
        <w:r w:rsidRPr="00DA359F">
          <w:rPr>
            <w:rStyle w:val="TextoNormalCaracter"/>
          </w:rPr>
          <w:t>631/2023</w:t>
        </w:r>
      </w:hyperlink>
      <w:r>
        <w:t xml:space="preserve">, f. único; </w:t>
      </w:r>
      <w:hyperlink w:anchor="AUTO_2023_632" w:history="1">
        <w:r w:rsidRPr="00DA359F">
          <w:rPr>
            <w:rStyle w:val="TextoNormalCaracter"/>
          </w:rPr>
          <w:t>632/2023</w:t>
        </w:r>
      </w:hyperlink>
      <w:r>
        <w:t xml:space="preserve">, f. único; </w:t>
      </w:r>
      <w:hyperlink w:anchor="AUTO_2023_633" w:history="1">
        <w:r w:rsidRPr="00DA359F">
          <w:rPr>
            <w:rStyle w:val="TextoNormalCaracter"/>
          </w:rPr>
          <w:t>633/2023</w:t>
        </w:r>
      </w:hyperlink>
      <w:r>
        <w:t xml:space="preserve">, f. único; </w:t>
      </w:r>
      <w:hyperlink w:anchor="AUTO_2023_634" w:history="1">
        <w:r w:rsidRPr="00DA359F">
          <w:rPr>
            <w:rStyle w:val="TextoNormalCaracter"/>
          </w:rPr>
          <w:t>634/2023</w:t>
        </w:r>
      </w:hyperlink>
      <w:r>
        <w:t xml:space="preserve">, f. único; </w:t>
      </w:r>
      <w:hyperlink w:anchor="AUTO_2023_635" w:history="1">
        <w:r w:rsidRPr="00DA359F">
          <w:rPr>
            <w:rStyle w:val="TextoNormalCaracter"/>
          </w:rPr>
          <w:t>635/2023</w:t>
        </w:r>
      </w:hyperlink>
      <w:r>
        <w:t xml:space="preserve">, f. único; </w:t>
      </w:r>
      <w:hyperlink w:anchor="AUTO_2023_636" w:history="1">
        <w:r w:rsidRPr="00DA359F">
          <w:rPr>
            <w:rStyle w:val="TextoNormalCaracter"/>
          </w:rPr>
          <w:t>636/2023</w:t>
        </w:r>
      </w:hyperlink>
      <w:r>
        <w:t xml:space="preserve">, f. único; </w:t>
      </w:r>
      <w:hyperlink w:anchor="AUTO_2023_637" w:history="1">
        <w:r w:rsidRPr="00DA359F">
          <w:rPr>
            <w:rStyle w:val="TextoNormalCaracter"/>
          </w:rPr>
          <w:t>637/2023</w:t>
        </w:r>
      </w:hyperlink>
      <w:r>
        <w:t xml:space="preserve">, f. único; </w:t>
      </w:r>
      <w:hyperlink w:anchor="AUTO_2023_638" w:history="1">
        <w:r w:rsidRPr="00DA359F">
          <w:rPr>
            <w:rStyle w:val="TextoNormalCaracter"/>
          </w:rPr>
          <w:t>638/2023</w:t>
        </w:r>
      </w:hyperlink>
      <w:r>
        <w:t xml:space="preserve">, f. único; </w:t>
      </w:r>
      <w:hyperlink w:anchor="AUTO_2023_639" w:history="1">
        <w:r w:rsidRPr="00DA359F">
          <w:rPr>
            <w:rStyle w:val="TextoNormalCaracter"/>
          </w:rPr>
          <w:t>639/2023</w:t>
        </w:r>
      </w:hyperlink>
      <w:r>
        <w:t xml:space="preserve">, f. único; </w:t>
      </w:r>
      <w:hyperlink w:anchor="AUTO_2023_640" w:history="1">
        <w:r w:rsidRPr="00DA359F">
          <w:rPr>
            <w:rStyle w:val="TextoNormalCaracter"/>
          </w:rPr>
          <w:t>640/2023</w:t>
        </w:r>
      </w:hyperlink>
      <w:r>
        <w:t xml:space="preserve">, f. único; </w:t>
      </w:r>
      <w:hyperlink w:anchor="AUTO_2023_641" w:history="1">
        <w:r w:rsidRPr="00DA359F">
          <w:rPr>
            <w:rStyle w:val="TextoNormalCaracter"/>
          </w:rPr>
          <w:t>641/2023</w:t>
        </w:r>
      </w:hyperlink>
      <w:r>
        <w:t xml:space="preserve">, f. único; </w:t>
      </w:r>
      <w:hyperlink w:anchor="AUTO_2023_642" w:history="1">
        <w:r w:rsidRPr="00DA359F">
          <w:rPr>
            <w:rStyle w:val="TextoNormalCaracter"/>
          </w:rPr>
          <w:t>642/2023</w:t>
        </w:r>
      </w:hyperlink>
      <w:r>
        <w:t xml:space="preserve">, f. único; </w:t>
      </w:r>
      <w:hyperlink w:anchor="AUTO_2023_643" w:history="1">
        <w:r w:rsidRPr="00DA359F">
          <w:rPr>
            <w:rStyle w:val="TextoNormalCaracter"/>
          </w:rPr>
          <w:t>643/2023</w:t>
        </w:r>
      </w:hyperlink>
      <w:r>
        <w:t xml:space="preserve">, f. único; </w:t>
      </w:r>
      <w:hyperlink w:anchor="AUTO_2023_644" w:history="1">
        <w:r w:rsidRPr="00DA359F">
          <w:rPr>
            <w:rStyle w:val="TextoNormalCaracter"/>
          </w:rPr>
          <w:t>644/2023</w:t>
        </w:r>
      </w:hyperlink>
      <w:r>
        <w:t xml:space="preserve">, f. único; </w:t>
      </w:r>
      <w:hyperlink w:anchor="AUTO_2023_645" w:history="1">
        <w:r w:rsidRPr="00DA359F">
          <w:rPr>
            <w:rStyle w:val="TextoNormalCaracter"/>
          </w:rPr>
          <w:t>645/2023</w:t>
        </w:r>
      </w:hyperlink>
      <w:r>
        <w:t xml:space="preserve">, f. único; </w:t>
      </w:r>
      <w:hyperlink w:anchor="AUTO_2023_646" w:history="1">
        <w:r w:rsidRPr="00DA359F">
          <w:rPr>
            <w:rStyle w:val="TextoNormalCaracter"/>
          </w:rPr>
          <w:t>646/2023</w:t>
        </w:r>
      </w:hyperlink>
      <w:r>
        <w:t xml:space="preserve">, f. único; </w:t>
      </w:r>
      <w:hyperlink w:anchor="AUTO_2023_647" w:history="1">
        <w:r w:rsidRPr="00DA359F">
          <w:rPr>
            <w:rStyle w:val="TextoNormalCaracter"/>
          </w:rPr>
          <w:t>647/2023</w:t>
        </w:r>
      </w:hyperlink>
      <w:r>
        <w:t xml:space="preserve">, f. único; </w:t>
      </w:r>
      <w:hyperlink w:anchor="AUTO_2023_648" w:history="1">
        <w:r w:rsidRPr="00DA359F">
          <w:rPr>
            <w:rStyle w:val="TextoNormalCaracter"/>
          </w:rPr>
          <w:t>648/2023</w:t>
        </w:r>
      </w:hyperlink>
      <w:r>
        <w:t xml:space="preserve">, f. único; </w:t>
      </w:r>
      <w:hyperlink w:anchor="AUTO_2023_649" w:history="1">
        <w:r w:rsidRPr="00DA359F">
          <w:rPr>
            <w:rStyle w:val="TextoNormalCaracter"/>
          </w:rPr>
          <w:t>649/2023</w:t>
        </w:r>
      </w:hyperlink>
      <w:r>
        <w:t xml:space="preserve">, f. único; </w:t>
      </w:r>
      <w:hyperlink w:anchor="AUTO_2023_650" w:history="1">
        <w:r w:rsidRPr="00DA359F">
          <w:rPr>
            <w:rStyle w:val="TextoNormalCaracter"/>
          </w:rPr>
          <w:t>650/2023</w:t>
        </w:r>
      </w:hyperlink>
      <w:r>
        <w:t xml:space="preserve">, f. único; </w:t>
      </w:r>
      <w:hyperlink w:anchor="AUTO_2023_651" w:history="1">
        <w:r w:rsidRPr="00DA359F">
          <w:rPr>
            <w:rStyle w:val="TextoNormalCaracter"/>
          </w:rPr>
          <w:t>651/2023</w:t>
        </w:r>
      </w:hyperlink>
      <w:r>
        <w:t xml:space="preserve">, f. único; </w:t>
      </w:r>
      <w:hyperlink w:anchor="AUTO_2023_652" w:history="1">
        <w:r w:rsidRPr="00DA359F">
          <w:rPr>
            <w:rStyle w:val="TextoNormalCaracter"/>
          </w:rPr>
          <w:t>652/2023</w:t>
        </w:r>
      </w:hyperlink>
      <w:r>
        <w:t xml:space="preserve">, f. único; </w:t>
      </w:r>
      <w:hyperlink w:anchor="AUTO_2023_653" w:history="1">
        <w:r w:rsidRPr="00DA359F">
          <w:rPr>
            <w:rStyle w:val="TextoNormalCaracter"/>
          </w:rPr>
          <w:t>653/2023</w:t>
        </w:r>
      </w:hyperlink>
      <w:r>
        <w:t xml:space="preserve">, f. único; </w:t>
      </w:r>
      <w:hyperlink w:anchor="AUTO_2023_654" w:history="1">
        <w:r w:rsidRPr="00DA359F">
          <w:rPr>
            <w:rStyle w:val="TextoNormalCaracter"/>
          </w:rPr>
          <w:t>654/2023</w:t>
        </w:r>
      </w:hyperlink>
      <w:r>
        <w:t xml:space="preserve">, f. único; </w:t>
      </w:r>
      <w:hyperlink w:anchor="AUTO_2023_655" w:history="1">
        <w:r w:rsidRPr="00DA359F">
          <w:rPr>
            <w:rStyle w:val="TextoNormalCaracter"/>
          </w:rPr>
          <w:t>655/2023</w:t>
        </w:r>
      </w:hyperlink>
      <w:r>
        <w:t xml:space="preserve">, f. único; </w:t>
      </w:r>
      <w:hyperlink w:anchor="AUTO_2023_656" w:history="1">
        <w:r w:rsidRPr="00DA359F">
          <w:rPr>
            <w:rStyle w:val="TextoNormalCaracter"/>
          </w:rPr>
          <w:t>656/2023</w:t>
        </w:r>
      </w:hyperlink>
      <w:r>
        <w:t xml:space="preserve">, f. único; </w:t>
      </w:r>
      <w:hyperlink w:anchor="AUTO_2023_657" w:history="1">
        <w:r w:rsidRPr="00DA359F">
          <w:rPr>
            <w:rStyle w:val="TextoNormalCaracter"/>
          </w:rPr>
          <w:t>657/2023</w:t>
        </w:r>
      </w:hyperlink>
      <w:r>
        <w:t xml:space="preserve">, f. único; </w:t>
      </w:r>
      <w:hyperlink w:anchor="AUTO_2023_658" w:history="1">
        <w:r w:rsidRPr="00DA359F">
          <w:rPr>
            <w:rStyle w:val="TextoNormalCaracter"/>
          </w:rPr>
          <w:t>658/2023</w:t>
        </w:r>
      </w:hyperlink>
      <w:r>
        <w:t xml:space="preserve">, f. único; </w:t>
      </w:r>
      <w:hyperlink w:anchor="AUTO_2023_659" w:history="1">
        <w:r w:rsidRPr="00DA359F">
          <w:rPr>
            <w:rStyle w:val="TextoNormalCaracter"/>
          </w:rPr>
          <w:t>659/2023</w:t>
        </w:r>
      </w:hyperlink>
      <w:r>
        <w:t xml:space="preserve">, f. único; </w:t>
      </w:r>
      <w:hyperlink w:anchor="AUTO_2023_660" w:history="1">
        <w:r w:rsidRPr="00DA359F">
          <w:rPr>
            <w:rStyle w:val="TextoNormalCaracter"/>
          </w:rPr>
          <w:t>660/2023</w:t>
        </w:r>
      </w:hyperlink>
      <w:r>
        <w:t xml:space="preserve">, f. único; </w:t>
      </w:r>
      <w:hyperlink w:anchor="AUTO_2023_662" w:history="1">
        <w:r w:rsidRPr="00DA359F">
          <w:rPr>
            <w:rStyle w:val="TextoNormalCaracter"/>
          </w:rPr>
          <w:t>662/2023</w:t>
        </w:r>
      </w:hyperlink>
      <w:r>
        <w:t xml:space="preserve">, f. único; </w:t>
      </w:r>
      <w:hyperlink w:anchor="AUTO_2023_664" w:history="1">
        <w:r w:rsidRPr="00DA359F">
          <w:rPr>
            <w:rStyle w:val="TextoNormalCaracter"/>
          </w:rPr>
          <w:t>664/2023</w:t>
        </w:r>
      </w:hyperlink>
      <w:r>
        <w:t xml:space="preserve">, f. único; </w:t>
      </w:r>
      <w:hyperlink w:anchor="AUTO_2023_665" w:history="1">
        <w:r w:rsidRPr="00DA359F">
          <w:rPr>
            <w:rStyle w:val="TextoNormalCaracter"/>
          </w:rPr>
          <w:t>665/2023</w:t>
        </w:r>
      </w:hyperlink>
      <w:r>
        <w:t xml:space="preserve">, f. 2; </w:t>
      </w:r>
      <w:hyperlink w:anchor="AUTO_2023_668" w:history="1">
        <w:r w:rsidRPr="00DA359F">
          <w:rPr>
            <w:rStyle w:val="TextoNormalCaracter"/>
          </w:rPr>
          <w:t>668/2023</w:t>
        </w:r>
      </w:hyperlink>
      <w:r>
        <w:t xml:space="preserve">, f. único; </w:t>
      </w:r>
      <w:hyperlink w:anchor="AUTO_2023_670" w:history="1">
        <w:r w:rsidRPr="00DA359F">
          <w:rPr>
            <w:rStyle w:val="TextoNormalCaracter"/>
          </w:rPr>
          <w:t>670/2023</w:t>
        </w:r>
      </w:hyperlink>
      <w:r>
        <w:t xml:space="preserve">, f. único; </w:t>
      </w:r>
      <w:hyperlink w:anchor="AUTO_2023_671" w:history="1">
        <w:r w:rsidRPr="00DA359F">
          <w:rPr>
            <w:rStyle w:val="TextoNormalCaracter"/>
          </w:rPr>
          <w:t>671/2023</w:t>
        </w:r>
      </w:hyperlink>
      <w:r>
        <w:t xml:space="preserve">, f. único; </w:t>
      </w:r>
      <w:hyperlink w:anchor="AUTO_2023_672" w:history="1">
        <w:r w:rsidRPr="00DA359F">
          <w:rPr>
            <w:rStyle w:val="TextoNormalCaracter"/>
          </w:rPr>
          <w:t>672/2023</w:t>
        </w:r>
      </w:hyperlink>
      <w:r>
        <w:t xml:space="preserve">, f. único; </w:t>
      </w:r>
      <w:hyperlink w:anchor="AUTO_2023_673" w:history="1">
        <w:r w:rsidRPr="00DA359F">
          <w:rPr>
            <w:rStyle w:val="TextoNormalCaracter"/>
          </w:rPr>
          <w:t>673/2023</w:t>
        </w:r>
      </w:hyperlink>
      <w:r>
        <w:t xml:space="preserve">, f. único; </w:t>
      </w:r>
      <w:hyperlink w:anchor="AUTO_2023_674" w:history="1">
        <w:r w:rsidRPr="00DA359F">
          <w:rPr>
            <w:rStyle w:val="TextoNormalCaracter"/>
          </w:rPr>
          <w:t>674/2023</w:t>
        </w:r>
      </w:hyperlink>
      <w:r>
        <w:t xml:space="preserve">, f. único; </w:t>
      </w:r>
      <w:hyperlink w:anchor="AUTO_2023_675" w:history="1">
        <w:r w:rsidRPr="00DA359F">
          <w:rPr>
            <w:rStyle w:val="TextoNormalCaracter"/>
          </w:rPr>
          <w:t>675/2023</w:t>
        </w:r>
      </w:hyperlink>
      <w:r>
        <w:t xml:space="preserve">, f. único; </w:t>
      </w:r>
      <w:hyperlink w:anchor="AUTO_2023_676" w:history="1">
        <w:r w:rsidRPr="00DA359F">
          <w:rPr>
            <w:rStyle w:val="TextoNormalCaracter"/>
          </w:rPr>
          <w:t>676/2023</w:t>
        </w:r>
      </w:hyperlink>
      <w:r>
        <w:t xml:space="preserve">, f. único; </w:t>
      </w:r>
      <w:hyperlink w:anchor="AUTO_2023_677" w:history="1">
        <w:r w:rsidRPr="00DA359F">
          <w:rPr>
            <w:rStyle w:val="TextoNormalCaracter"/>
          </w:rPr>
          <w:t>677/2023</w:t>
        </w:r>
      </w:hyperlink>
      <w:r>
        <w:t xml:space="preserve">, f. único; </w:t>
      </w:r>
      <w:hyperlink w:anchor="AUTO_2023_678" w:history="1">
        <w:r w:rsidRPr="00DA359F">
          <w:rPr>
            <w:rStyle w:val="TextoNormalCaracter"/>
          </w:rPr>
          <w:t>678/2023</w:t>
        </w:r>
      </w:hyperlink>
      <w:r>
        <w:t xml:space="preserve">, f. único; </w:t>
      </w:r>
      <w:hyperlink w:anchor="AUTO_2023_679" w:history="1">
        <w:r w:rsidRPr="00DA359F">
          <w:rPr>
            <w:rStyle w:val="TextoNormalCaracter"/>
          </w:rPr>
          <w:t>679/2023</w:t>
        </w:r>
      </w:hyperlink>
      <w:r>
        <w:t xml:space="preserve">, f. único; </w:t>
      </w:r>
      <w:hyperlink w:anchor="AUTO_2023_680" w:history="1">
        <w:r w:rsidRPr="00DA359F">
          <w:rPr>
            <w:rStyle w:val="TextoNormalCaracter"/>
          </w:rPr>
          <w:t>680/2023</w:t>
        </w:r>
      </w:hyperlink>
      <w:r>
        <w:t xml:space="preserve">, f. único; </w:t>
      </w:r>
      <w:hyperlink w:anchor="AUTO_2023_681" w:history="1">
        <w:r w:rsidRPr="00DA359F">
          <w:rPr>
            <w:rStyle w:val="TextoNormalCaracter"/>
          </w:rPr>
          <w:t>681/2023</w:t>
        </w:r>
      </w:hyperlink>
      <w:r>
        <w:t xml:space="preserve">, f. único; </w:t>
      </w:r>
      <w:hyperlink w:anchor="AUTO_2023_682" w:history="1">
        <w:r w:rsidRPr="00DA359F">
          <w:rPr>
            <w:rStyle w:val="TextoNormalCaracter"/>
          </w:rPr>
          <w:t>682/2023</w:t>
        </w:r>
      </w:hyperlink>
      <w:r>
        <w:t xml:space="preserve">, f. único; </w:t>
      </w:r>
      <w:hyperlink w:anchor="AUTO_2023_683" w:history="1">
        <w:r w:rsidRPr="00DA359F">
          <w:rPr>
            <w:rStyle w:val="TextoNormalCaracter"/>
          </w:rPr>
          <w:t>683/2023</w:t>
        </w:r>
      </w:hyperlink>
      <w:r>
        <w:t xml:space="preserve">, f. único; </w:t>
      </w:r>
      <w:hyperlink w:anchor="AUTO_2023_684" w:history="1">
        <w:r w:rsidRPr="00DA359F">
          <w:rPr>
            <w:rStyle w:val="TextoNormalCaracter"/>
          </w:rPr>
          <w:t>684/2023</w:t>
        </w:r>
      </w:hyperlink>
      <w:r>
        <w:t xml:space="preserve">, f. único; </w:t>
      </w:r>
      <w:hyperlink w:anchor="AUTO_2023_685" w:history="1">
        <w:r w:rsidRPr="00DA359F">
          <w:rPr>
            <w:rStyle w:val="TextoNormalCaracter"/>
          </w:rPr>
          <w:t>685/2023</w:t>
        </w:r>
      </w:hyperlink>
      <w:r>
        <w:t xml:space="preserve">, f. único; </w:t>
      </w:r>
      <w:hyperlink w:anchor="AUTO_2023_686" w:history="1">
        <w:r w:rsidRPr="00DA359F">
          <w:rPr>
            <w:rStyle w:val="TextoNormalCaracter"/>
          </w:rPr>
          <w:t>686/2023</w:t>
        </w:r>
      </w:hyperlink>
      <w:r>
        <w:t xml:space="preserve">, f. único; </w:t>
      </w:r>
      <w:hyperlink w:anchor="AUTO_2023_687" w:history="1">
        <w:r w:rsidRPr="00DA359F">
          <w:rPr>
            <w:rStyle w:val="TextoNormalCaracter"/>
          </w:rPr>
          <w:t>687/2023</w:t>
        </w:r>
      </w:hyperlink>
      <w:r>
        <w:t xml:space="preserve">, f. único; </w:t>
      </w:r>
      <w:hyperlink w:anchor="AUTO_2023_688" w:history="1">
        <w:r w:rsidRPr="00DA359F">
          <w:rPr>
            <w:rStyle w:val="TextoNormalCaracter"/>
          </w:rPr>
          <w:t>688/2023</w:t>
        </w:r>
      </w:hyperlink>
      <w:r>
        <w:t xml:space="preserve">, f. único; </w:t>
      </w:r>
      <w:hyperlink w:anchor="AUTO_2023_689" w:history="1">
        <w:r w:rsidRPr="00DA359F">
          <w:rPr>
            <w:rStyle w:val="TextoNormalCaracter"/>
          </w:rPr>
          <w:t>689/2023</w:t>
        </w:r>
      </w:hyperlink>
      <w:r>
        <w:t>, f. único.</w:t>
      </w:r>
    </w:p>
    <w:p w14:paraId="28451908" w14:textId="5931FECD" w:rsidR="00DA359F" w:rsidRDefault="00DA359F" w:rsidP="00DA359F">
      <w:pPr>
        <w:pStyle w:val="SangriaFrancesaArticulo"/>
      </w:pPr>
      <w:r w:rsidRPr="00DA359F">
        <w:rPr>
          <w:rStyle w:val="TextoNormalNegritaCaracter"/>
        </w:rPr>
        <w:t>Artículo 83.</w:t>
      </w:r>
      <w:r w:rsidRPr="00DA359F">
        <w:rPr>
          <w:rStyle w:val="TextoNormalCaracter"/>
        </w:rPr>
        <w:t>-</w:t>
      </w:r>
      <w:r>
        <w:t xml:space="preserve"> Sentencia </w:t>
      </w:r>
      <w:hyperlink w:anchor="SENTENCIA_2023_124" w:history="1">
        <w:r w:rsidRPr="00DA359F">
          <w:rPr>
            <w:rStyle w:val="TextoNormalCaracter"/>
          </w:rPr>
          <w:t>124/2023</w:t>
        </w:r>
      </w:hyperlink>
      <w:r>
        <w:t>, f. 2.</w:t>
      </w:r>
    </w:p>
    <w:p w14:paraId="3ACF985F" w14:textId="31837491" w:rsidR="00DA359F" w:rsidRDefault="00DA359F" w:rsidP="00DA359F">
      <w:pPr>
        <w:pStyle w:val="SangriaFrancesaArticulo"/>
      </w:pPr>
      <w:r w:rsidRPr="00DA359F">
        <w:rPr>
          <w:rStyle w:val="TextoNormalNegritaCaracter"/>
        </w:rPr>
        <w:t>Artículo 86.</w:t>
      </w:r>
      <w:r w:rsidRPr="00DA359F">
        <w:rPr>
          <w:rStyle w:val="TextoNormalCaracter"/>
        </w:rPr>
        <w:t>-</w:t>
      </w:r>
      <w:r>
        <w:t xml:space="preserve"> Auto </w:t>
      </w:r>
      <w:hyperlink w:anchor="AUTO_2023_602" w:history="1">
        <w:r w:rsidRPr="00DA359F">
          <w:rPr>
            <w:rStyle w:val="TextoNormalCaracter"/>
          </w:rPr>
          <w:t>602/2023</w:t>
        </w:r>
      </w:hyperlink>
      <w:r>
        <w:t>, f. único.</w:t>
      </w:r>
    </w:p>
    <w:p w14:paraId="3188E460" w14:textId="75B321FF" w:rsidR="00DA359F" w:rsidRDefault="00DA359F" w:rsidP="00DA359F">
      <w:pPr>
        <w:pStyle w:val="SangriaFrancesaArticulo"/>
      </w:pPr>
      <w:r w:rsidRPr="00DA359F">
        <w:rPr>
          <w:rStyle w:val="TextoNormalNegritaCaracter"/>
        </w:rPr>
        <w:t>Artículo 86.1.</w:t>
      </w:r>
      <w:r w:rsidRPr="00DA359F">
        <w:rPr>
          <w:rStyle w:val="TextoNormalCaracter"/>
        </w:rPr>
        <w:t>-</w:t>
      </w:r>
      <w:r>
        <w:t xml:space="preserve"> Sentencia </w:t>
      </w:r>
      <w:hyperlink w:anchor="SENTENCIA_2023_128" w:history="1">
        <w:r w:rsidRPr="00DA359F">
          <w:rPr>
            <w:rStyle w:val="TextoNormalCaracter"/>
          </w:rPr>
          <w:t>128/2023</w:t>
        </w:r>
      </w:hyperlink>
      <w:r>
        <w:t>, f. 2.</w:t>
      </w:r>
    </w:p>
    <w:p w14:paraId="39B52DF2" w14:textId="282F57A2" w:rsidR="00DA359F" w:rsidRDefault="00DA359F" w:rsidP="00DA359F">
      <w:pPr>
        <w:pStyle w:val="SangriaIzquierdaArticulo"/>
      </w:pPr>
      <w:r>
        <w:t xml:space="preserve">Auto </w:t>
      </w:r>
      <w:hyperlink w:anchor="AUTO_2023_427" w:history="1">
        <w:r w:rsidRPr="00DA359F">
          <w:rPr>
            <w:rStyle w:val="TextoNormalCaracter"/>
          </w:rPr>
          <w:t>427/2023</w:t>
        </w:r>
      </w:hyperlink>
      <w:r>
        <w:t>, f. 2.</w:t>
      </w:r>
    </w:p>
    <w:p w14:paraId="5E8F9F8F" w14:textId="36370CC7" w:rsidR="00DA359F" w:rsidRDefault="00DA359F" w:rsidP="00DA359F">
      <w:pPr>
        <w:pStyle w:val="SangriaFrancesaArticulo"/>
      </w:pPr>
      <w:r w:rsidRPr="00DA359F">
        <w:rPr>
          <w:rStyle w:val="TextoNormalNegritaCaracter"/>
        </w:rPr>
        <w:t>Artículo 86.3.</w:t>
      </w:r>
      <w:r w:rsidRPr="00DA359F">
        <w:rPr>
          <w:rStyle w:val="TextoNormalCaracter"/>
        </w:rPr>
        <w:t>-</w:t>
      </w:r>
      <w:r>
        <w:t xml:space="preserve"> Sentencias </w:t>
      </w:r>
      <w:hyperlink w:anchor="SENTENCIA_2023_78" w:history="1">
        <w:r w:rsidRPr="00DA359F">
          <w:rPr>
            <w:rStyle w:val="TextoNormalCaracter"/>
          </w:rPr>
          <w:t>78/2023</w:t>
        </w:r>
      </w:hyperlink>
      <w:r>
        <w:t xml:space="preserve">, f. 2; </w:t>
      </w:r>
      <w:hyperlink w:anchor="SENTENCIA_2023_83" w:history="1">
        <w:r w:rsidRPr="00DA359F">
          <w:rPr>
            <w:rStyle w:val="TextoNormalCaracter"/>
          </w:rPr>
          <w:t>83/2023</w:t>
        </w:r>
      </w:hyperlink>
      <w:r>
        <w:t xml:space="preserve">, f. 1; </w:t>
      </w:r>
      <w:hyperlink w:anchor="SENTENCIA_2023_131" w:history="1">
        <w:r w:rsidRPr="00DA359F">
          <w:rPr>
            <w:rStyle w:val="TextoNormalCaracter"/>
          </w:rPr>
          <w:t>131/2023</w:t>
        </w:r>
      </w:hyperlink>
      <w:r>
        <w:t xml:space="preserve">, f. 1; </w:t>
      </w:r>
      <w:hyperlink w:anchor="SENTENCIA_2023_148" w:history="1">
        <w:r w:rsidRPr="00DA359F">
          <w:rPr>
            <w:rStyle w:val="TextoNormalCaracter"/>
          </w:rPr>
          <w:t>148/2023</w:t>
        </w:r>
      </w:hyperlink>
      <w:r>
        <w:t xml:space="preserve">, f. 1; </w:t>
      </w:r>
      <w:hyperlink w:anchor="SENTENCIA_2023_154" w:history="1">
        <w:r w:rsidRPr="00DA359F">
          <w:rPr>
            <w:rStyle w:val="TextoNormalCaracter"/>
          </w:rPr>
          <w:t>154/2023</w:t>
        </w:r>
      </w:hyperlink>
      <w:r>
        <w:t xml:space="preserve">, f. 1; </w:t>
      </w:r>
      <w:hyperlink w:anchor="SENTENCIA_2023_155" w:history="1">
        <w:r w:rsidRPr="00DA359F">
          <w:rPr>
            <w:rStyle w:val="TextoNormalCaracter"/>
          </w:rPr>
          <w:t>155/2023</w:t>
        </w:r>
      </w:hyperlink>
      <w:r>
        <w:t xml:space="preserve">, f. 1; </w:t>
      </w:r>
      <w:hyperlink w:anchor="SENTENCIA_2023_156" w:history="1">
        <w:r w:rsidRPr="00DA359F">
          <w:rPr>
            <w:rStyle w:val="TextoNormalCaracter"/>
          </w:rPr>
          <w:t>156/2023</w:t>
        </w:r>
      </w:hyperlink>
      <w:r>
        <w:t xml:space="preserve">, f. 1; </w:t>
      </w:r>
      <w:hyperlink w:anchor="SENTENCIA_2023_157" w:history="1">
        <w:r w:rsidRPr="00DA359F">
          <w:rPr>
            <w:rStyle w:val="TextoNormalCaracter"/>
          </w:rPr>
          <w:t>157/2023</w:t>
        </w:r>
      </w:hyperlink>
      <w:r>
        <w:t xml:space="preserve">, f. 1; </w:t>
      </w:r>
      <w:hyperlink w:anchor="SENTENCIA_2023_158" w:history="1">
        <w:r w:rsidRPr="00DA359F">
          <w:rPr>
            <w:rStyle w:val="TextoNormalCaracter"/>
          </w:rPr>
          <w:t>158/2023</w:t>
        </w:r>
      </w:hyperlink>
      <w:r>
        <w:t xml:space="preserve">, f. 1; </w:t>
      </w:r>
      <w:hyperlink w:anchor="SENTENCIA_2023_159" w:history="1">
        <w:r w:rsidRPr="00DA359F">
          <w:rPr>
            <w:rStyle w:val="TextoNormalCaracter"/>
          </w:rPr>
          <w:t>159/2023</w:t>
        </w:r>
      </w:hyperlink>
      <w:r>
        <w:t xml:space="preserve">, f. 1; </w:t>
      </w:r>
      <w:hyperlink w:anchor="SENTENCIA_2023_160" w:history="1">
        <w:r w:rsidRPr="00DA359F">
          <w:rPr>
            <w:rStyle w:val="TextoNormalCaracter"/>
          </w:rPr>
          <w:t>160/2023</w:t>
        </w:r>
      </w:hyperlink>
      <w:r>
        <w:t xml:space="preserve">, f. 1; </w:t>
      </w:r>
      <w:hyperlink w:anchor="SENTENCIA_2023_161" w:history="1">
        <w:r w:rsidRPr="00DA359F">
          <w:rPr>
            <w:rStyle w:val="TextoNormalCaracter"/>
          </w:rPr>
          <w:t>161/2023</w:t>
        </w:r>
      </w:hyperlink>
      <w:r>
        <w:t xml:space="preserve">, f. 1; </w:t>
      </w:r>
      <w:hyperlink w:anchor="SENTENCIA_2023_162" w:history="1">
        <w:r w:rsidRPr="00DA359F">
          <w:rPr>
            <w:rStyle w:val="TextoNormalCaracter"/>
          </w:rPr>
          <w:t>162/2023</w:t>
        </w:r>
      </w:hyperlink>
      <w:r>
        <w:t xml:space="preserve">, f. 1; </w:t>
      </w:r>
      <w:hyperlink w:anchor="SENTENCIA_2023_163" w:history="1">
        <w:r w:rsidRPr="00DA359F">
          <w:rPr>
            <w:rStyle w:val="TextoNormalCaracter"/>
          </w:rPr>
          <w:t>163/2023</w:t>
        </w:r>
      </w:hyperlink>
      <w:r>
        <w:t xml:space="preserve">, f. único; </w:t>
      </w:r>
      <w:hyperlink w:anchor="SENTENCIA_2023_180" w:history="1">
        <w:r w:rsidRPr="00DA359F">
          <w:rPr>
            <w:rStyle w:val="TextoNormalCaracter"/>
          </w:rPr>
          <w:t>180/2023</w:t>
        </w:r>
      </w:hyperlink>
      <w:r>
        <w:t xml:space="preserve">, f. 1; </w:t>
      </w:r>
      <w:hyperlink w:anchor="SENTENCIA_2023_181" w:history="1">
        <w:r w:rsidRPr="00DA359F">
          <w:rPr>
            <w:rStyle w:val="TextoNormalCaracter"/>
          </w:rPr>
          <w:t>181/2023</w:t>
        </w:r>
      </w:hyperlink>
      <w:r>
        <w:t xml:space="preserve">, f. 1; </w:t>
      </w:r>
      <w:hyperlink w:anchor="SENTENCIA_2023_182" w:history="1">
        <w:r w:rsidRPr="00DA359F">
          <w:rPr>
            <w:rStyle w:val="TextoNormalCaracter"/>
          </w:rPr>
          <w:t>182/2023</w:t>
        </w:r>
      </w:hyperlink>
      <w:r>
        <w:t xml:space="preserve">, f. 1; </w:t>
      </w:r>
      <w:hyperlink w:anchor="SENTENCIA_2023_183" w:history="1">
        <w:r w:rsidRPr="00DA359F">
          <w:rPr>
            <w:rStyle w:val="TextoNormalCaracter"/>
          </w:rPr>
          <w:t>183/2023</w:t>
        </w:r>
      </w:hyperlink>
      <w:r>
        <w:t xml:space="preserve">, f. 1; </w:t>
      </w:r>
      <w:hyperlink w:anchor="SENTENCIA_2023_185" w:history="1">
        <w:r w:rsidRPr="00DA359F">
          <w:rPr>
            <w:rStyle w:val="TextoNormalCaracter"/>
          </w:rPr>
          <w:t>185/2023</w:t>
        </w:r>
      </w:hyperlink>
      <w:r>
        <w:t xml:space="preserve">, f. 1; </w:t>
      </w:r>
      <w:hyperlink w:anchor="SENTENCIA_2023_186" w:history="1">
        <w:r w:rsidRPr="00DA359F">
          <w:rPr>
            <w:rStyle w:val="TextoNormalCaracter"/>
          </w:rPr>
          <w:t>186/2023</w:t>
        </w:r>
      </w:hyperlink>
      <w:r>
        <w:t xml:space="preserve">, f. 1; </w:t>
      </w:r>
      <w:hyperlink w:anchor="SENTENCIA_2023_187" w:history="1">
        <w:r w:rsidRPr="00DA359F">
          <w:rPr>
            <w:rStyle w:val="TextoNormalCaracter"/>
          </w:rPr>
          <w:t>187/2023</w:t>
        </w:r>
      </w:hyperlink>
      <w:r>
        <w:t>, f. 1.</w:t>
      </w:r>
    </w:p>
    <w:p w14:paraId="39BD7F1B" w14:textId="07500C00" w:rsidR="00DA359F" w:rsidRDefault="00DA359F" w:rsidP="00DA359F">
      <w:pPr>
        <w:pStyle w:val="SangriaIzquierdaArticulo"/>
      </w:pPr>
      <w:r>
        <w:t xml:space="preserve">Autos </w:t>
      </w:r>
      <w:hyperlink w:anchor="AUTO_2023_429" w:history="1">
        <w:r w:rsidRPr="00DA359F">
          <w:rPr>
            <w:rStyle w:val="TextoNormalCaracter"/>
          </w:rPr>
          <w:t>429/2023</w:t>
        </w:r>
      </w:hyperlink>
      <w:r>
        <w:t xml:space="preserve">, f. 1; </w:t>
      </w:r>
      <w:hyperlink w:anchor="AUTO_2023_436" w:history="1">
        <w:r w:rsidRPr="00DA359F">
          <w:rPr>
            <w:rStyle w:val="TextoNormalCaracter"/>
          </w:rPr>
          <w:t>436/2023</w:t>
        </w:r>
      </w:hyperlink>
      <w:r>
        <w:t xml:space="preserve">, f. 1; </w:t>
      </w:r>
      <w:hyperlink w:anchor="AUTO_2023_472" w:history="1">
        <w:r w:rsidRPr="00DA359F">
          <w:rPr>
            <w:rStyle w:val="TextoNormalCaracter"/>
          </w:rPr>
          <w:t>472/2023</w:t>
        </w:r>
      </w:hyperlink>
      <w:r>
        <w:t xml:space="preserve">, f. 1; </w:t>
      </w:r>
      <w:hyperlink w:anchor="AUTO_2023_473" w:history="1">
        <w:r w:rsidRPr="00DA359F">
          <w:rPr>
            <w:rStyle w:val="TextoNormalCaracter"/>
          </w:rPr>
          <w:t>473/2023</w:t>
        </w:r>
      </w:hyperlink>
      <w:r>
        <w:t xml:space="preserve">, f. 2; </w:t>
      </w:r>
      <w:hyperlink w:anchor="AUTO_2023_477" w:history="1">
        <w:r w:rsidRPr="00DA359F">
          <w:rPr>
            <w:rStyle w:val="TextoNormalCaracter"/>
          </w:rPr>
          <w:t>477/2023</w:t>
        </w:r>
      </w:hyperlink>
      <w:r>
        <w:t xml:space="preserve">, f. 1; </w:t>
      </w:r>
      <w:hyperlink w:anchor="AUTO_2023_484" w:history="1">
        <w:r w:rsidRPr="00DA359F">
          <w:rPr>
            <w:rStyle w:val="TextoNormalCaracter"/>
          </w:rPr>
          <w:t>484/2023</w:t>
        </w:r>
      </w:hyperlink>
      <w:r>
        <w:t xml:space="preserve">, f. 1; </w:t>
      </w:r>
      <w:hyperlink w:anchor="AUTO_2023_661" w:history="1">
        <w:r w:rsidRPr="00DA359F">
          <w:rPr>
            <w:rStyle w:val="TextoNormalCaracter"/>
          </w:rPr>
          <w:t>661/2023</w:t>
        </w:r>
      </w:hyperlink>
      <w:r>
        <w:t>, f. 2.</w:t>
      </w:r>
    </w:p>
    <w:p w14:paraId="2A83AD2A" w14:textId="3AA515D7" w:rsidR="00DA359F" w:rsidRDefault="00DA359F" w:rsidP="00DA359F">
      <w:pPr>
        <w:pStyle w:val="SangriaFrancesaArticulo"/>
      </w:pPr>
      <w:r w:rsidRPr="00DA359F">
        <w:rPr>
          <w:rStyle w:val="TextoNormalNegritaCaracter"/>
        </w:rPr>
        <w:t>Artículo 90.2.</w:t>
      </w:r>
      <w:r w:rsidRPr="00DA359F">
        <w:rPr>
          <w:rStyle w:val="TextoNormalCaracter"/>
        </w:rPr>
        <w:t>-</w:t>
      </w:r>
      <w:r>
        <w:t xml:space="preserve"> Sentencias </w:t>
      </w:r>
      <w:hyperlink w:anchor="SENTENCIA_2023_78" w:history="1">
        <w:r w:rsidRPr="00DA359F">
          <w:rPr>
            <w:rStyle w:val="TextoNormalCaracter"/>
          </w:rPr>
          <w:t>78/2023</w:t>
        </w:r>
      </w:hyperlink>
      <w:r>
        <w:t xml:space="preserve">, VP II; </w:t>
      </w:r>
      <w:hyperlink w:anchor="SENTENCIA_2023_83" w:history="1">
        <w:r w:rsidRPr="00DA359F">
          <w:rPr>
            <w:rStyle w:val="TextoNormalCaracter"/>
          </w:rPr>
          <w:t>83/2023</w:t>
        </w:r>
      </w:hyperlink>
      <w:r>
        <w:t xml:space="preserve">, VP I; </w:t>
      </w:r>
      <w:hyperlink w:anchor="SENTENCIA_2023_84" w:history="1">
        <w:r w:rsidRPr="00DA359F">
          <w:rPr>
            <w:rStyle w:val="TextoNormalCaracter"/>
          </w:rPr>
          <w:t>84/2023</w:t>
        </w:r>
      </w:hyperlink>
      <w:r>
        <w:t xml:space="preserve">, VP; </w:t>
      </w:r>
      <w:hyperlink w:anchor="SENTENCIA_2023_85" w:history="1">
        <w:r w:rsidRPr="00DA359F">
          <w:rPr>
            <w:rStyle w:val="TextoNormalCaracter"/>
          </w:rPr>
          <w:t>85/2023</w:t>
        </w:r>
      </w:hyperlink>
      <w:r>
        <w:t xml:space="preserve">, VP; </w:t>
      </w:r>
      <w:hyperlink w:anchor="SENTENCIA_2023_88" w:history="1">
        <w:r w:rsidRPr="00DA359F">
          <w:rPr>
            <w:rStyle w:val="TextoNormalCaracter"/>
          </w:rPr>
          <w:t>88/2023</w:t>
        </w:r>
      </w:hyperlink>
      <w:r>
        <w:t xml:space="preserve">, VP; </w:t>
      </w:r>
      <w:hyperlink w:anchor="SENTENCIA_2023_89" w:history="1">
        <w:r w:rsidRPr="00DA359F">
          <w:rPr>
            <w:rStyle w:val="TextoNormalCaracter"/>
          </w:rPr>
          <w:t>89/2023</w:t>
        </w:r>
      </w:hyperlink>
      <w:r>
        <w:t xml:space="preserve">, VP I, VP III; </w:t>
      </w:r>
      <w:hyperlink w:anchor="SENTENCIA_2023_92" w:history="1">
        <w:r w:rsidRPr="00DA359F">
          <w:rPr>
            <w:rStyle w:val="TextoNormalCaracter"/>
          </w:rPr>
          <w:t>92/2023</w:t>
        </w:r>
      </w:hyperlink>
      <w:r>
        <w:t xml:space="preserve">, VP; </w:t>
      </w:r>
      <w:hyperlink w:anchor="SENTENCIA_2023_94" w:history="1">
        <w:r w:rsidRPr="00DA359F">
          <w:rPr>
            <w:rStyle w:val="TextoNormalCaracter"/>
          </w:rPr>
          <w:t>94/2023</w:t>
        </w:r>
      </w:hyperlink>
      <w:r>
        <w:t xml:space="preserve">, VP I, VP II; </w:t>
      </w:r>
      <w:hyperlink w:anchor="SENTENCIA_2023_95" w:history="1">
        <w:r w:rsidRPr="00DA359F">
          <w:rPr>
            <w:rStyle w:val="TextoNormalCaracter"/>
          </w:rPr>
          <w:t>95/2023</w:t>
        </w:r>
      </w:hyperlink>
      <w:r>
        <w:t xml:space="preserve">, VP; </w:t>
      </w:r>
      <w:hyperlink w:anchor="SENTENCIA_2023_97" w:history="1">
        <w:r w:rsidRPr="00DA359F">
          <w:rPr>
            <w:rStyle w:val="TextoNormalCaracter"/>
          </w:rPr>
          <w:t>97/2023</w:t>
        </w:r>
      </w:hyperlink>
      <w:r>
        <w:t xml:space="preserve">, VP; </w:t>
      </w:r>
      <w:hyperlink w:anchor="SENTENCIA_2023_98" w:history="1">
        <w:r w:rsidRPr="00DA359F">
          <w:rPr>
            <w:rStyle w:val="TextoNormalCaracter"/>
          </w:rPr>
          <w:t>98/2023</w:t>
        </w:r>
      </w:hyperlink>
      <w:r>
        <w:t xml:space="preserve">, VP; </w:t>
      </w:r>
      <w:hyperlink w:anchor="SENTENCIA_2023_99" w:history="1">
        <w:r w:rsidRPr="00DA359F">
          <w:rPr>
            <w:rStyle w:val="TextoNormalCaracter"/>
          </w:rPr>
          <w:t>99/2023</w:t>
        </w:r>
      </w:hyperlink>
      <w:r>
        <w:t xml:space="preserve">, VP; </w:t>
      </w:r>
      <w:hyperlink w:anchor="SENTENCIA_2023_100" w:history="1">
        <w:r w:rsidRPr="00DA359F">
          <w:rPr>
            <w:rStyle w:val="TextoNormalCaracter"/>
          </w:rPr>
          <w:t>100/2023</w:t>
        </w:r>
      </w:hyperlink>
      <w:r>
        <w:t xml:space="preserve">, VP; </w:t>
      </w:r>
      <w:hyperlink w:anchor="SENTENCIA_2023_102" w:history="1">
        <w:r w:rsidRPr="00DA359F">
          <w:rPr>
            <w:rStyle w:val="TextoNormalCaracter"/>
          </w:rPr>
          <w:t>102/2023</w:t>
        </w:r>
      </w:hyperlink>
      <w:r>
        <w:t xml:space="preserve">, VP; </w:t>
      </w:r>
      <w:hyperlink w:anchor="SENTENCIA_2023_103" w:history="1">
        <w:r w:rsidRPr="00DA359F">
          <w:rPr>
            <w:rStyle w:val="TextoNormalCaracter"/>
          </w:rPr>
          <w:t>103/2023</w:t>
        </w:r>
      </w:hyperlink>
      <w:r>
        <w:t xml:space="preserve">, VP; </w:t>
      </w:r>
      <w:hyperlink w:anchor="SENTENCIA_2023_104" w:history="1">
        <w:r w:rsidRPr="00DA359F">
          <w:rPr>
            <w:rStyle w:val="TextoNormalCaracter"/>
          </w:rPr>
          <w:t>104/2023</w:t>
        </w:r>
      </w:hyperlink>
      <w:r>
        <w:t xml:space="preserve">, VP; </w:t>
      </w:r>
      <w:hyperlink w:anchor="SENTENCIA_2023_105" w:history="1">
        <w:r w:rsidRPr="00DA359F">
          <w:rPr>
            <w:rStyle w:val="TextoNormalCaracter"/>
          </w:rPr>
          <w:t>105/2023</w:t>
        </w:r>
      </w:hyperlink>
      <w:r>
        <w:t xml:space="preserve">, VP; </w:t>
      </w:r>
      <w:hyperlink w:anchor="SENTENCIA_2023_106" w:history="1">
        <w:r w:rsidRPr="00DA359F">
          <w:rPr>
            <w:rStyle w:val="TextoNormalCaracter"/>
          </w:rPr>
          <w:t>106/2023</w:t>
        </w:r>
      </w:hyperlink>
      <w:r>
        <w:t xml:space="preserve">, VP; </w:t>
      </w:r>
      <w:hyperlink w:anchor="SENTENCIA_2023_107" w:history="1">
        <w:r w:rsidRPr="00DA359F">
          <w:rPr>
            <w:rStyle w:val="TextoNormalCaracter"/>
          </w:rPr>
          <w:t>107/2023</w:t>
        </w:r>
      </w:hyperlink>
      <w:r>
        <w:t xml:space="preserve">, VP; </w:t>
      </w:r>
      <w:hyperlink w:anchor="SENTENCIA_2023_108" w:history="1">
        <w:r w:rsidRPr="00DA359F">
          <w:rPr>
            <w:rStyle w:val="TextoNormalCaracter"/>
          </w:rPr>
          <w:t>108/2023</w:t>
        </w:r>
      </w:hyperlink>
      <w:r>
        <w:t xml:space="preserve">, VP; </w:t>
      </w:r>
      <w:hyperlink w:anchor="SENTENCIA_2023_109" w:history="1">
        <w:r w:rsidRPr="00DA359F">
          <w:rPr>
            <w:rStyle w:val="TextoNormalCaracter"/>
          </w:rPr>
          <w:t>109/2023</w:t>
        </w:r>
      </w:hyperlink>
      <w:r>
        <w:t xml:space="preserve">, VP; </w:t>
      </w:r>
      <w:hyperlink w:anchor="SENTENCIA_2023_110" w:history="1">
        <w:r w:rsidRPr="00DA359F">
          <w:rPr>
            <w:rStyle w:val="TextoNormalCaracter"/>
          </w:rPr>
          <w:t>110/2023</w:t>
        </w:r>
      </w:hyperlink>
      <w:r>
        <w:t xml:space="preserve">, VP; </w:t>
      </w:r>
      <w:hyperlink w:anchor="SENTENCIA_2023_111" w:history="1">
        <w:r w:rsidRPr="00DA359F">
          <w:rPr>
            <w:rStyle w:val="TextoNormalCaracter"/>
          </w:rPr>
          <w:t>111/2023</w:t>
        </w:r>
      </w:hyperlink>
      <w:r>
        <w:t xml:space="preserve">, VP; </w:t>
      </w:r>
      <w:hyperlink w:anchor="SENTENCIA_2023_112" w:history="1">
        <w:r w:rsidRPr="00DA359F">
          <w:rPr>
            <w:rStyle w:val="TextoNormalCaracter"/>
          </w:rPr>
          <w:t>112/2023</w:t>
        </w:r>
      </w:hyperlink>
      <w:r>
        <w:t xml:space="preserve">, VP; </w:t>
      </w:r>
      <w:hyperlink w:anchor="SENTENCIA_2023_114" w:history="1">
        <w:r w:rsidRPr="00DA359F">
          <w:rPr>
            <w:rStyle w:val="TextoNormalCaracter"/>
          </w:rPr>
          <w:t>114/2023</w:t>
        </w:r>
      </w:hyperlink>
      <w:r>
        <w:t xml:space="preserve">, VP; </w:t>
      </w:r>
      <w:hyperlink w:anchor="SENTENCIA_2023_115" w:history="1">
        <w:r w:rsidRPr="00DA359F">
          <w:rPr>
            <w:rStyle w:val="TextoNormalCaracter"/>
          </w:rPr>
          <w:t>115/2023</w:t>
        </w:r>
      </w:hyperlink>
      <w:r>
        <w:t xml:space="preserve">, VP; </w:t>
      </w:r>
      <w:hyperlink w:anchor="SENTENCIA_2023_117" w:history="1">
        <w:r w:rsidRPr="00DA359F">
          <w:rPr>
            <w:rStyle w:val="TextoNormalCaracter"/>
          </w:rPr>
          <w:t>117/2023</w:t>
        </w:r>
      </w:hyperlink>
      <w:r>
        <w:t xml:space="preserve">, VP; </w:t>
      </w:r>
      <w:hyperlink w:anchor="SENTENCIA_2023_118" w:history="1">
        <w:r w:rsidRPr="00DA359F">
          <w:rPr>
            <w:rStyle w:val="TextoNormalCaracter"/>
          </w:rPr>
          <w:t>118/2023</w:t>
        </w:r>
      </w:hyperlink>
      <w:r>
        <w:t xml:space="preserve">, VP; </w:t>
      </w:r>
      <w:hyperlink w:anchor="SENTENCIA_2023_119" w:history="1">
        <w:r w:rsidRPr="00DA359F">
          <w:rPr>
            <w:rStyle w:val="TextoNormalCaracter"/>
          </w:rPr>
          <w:t>119/2023</w:t>
        </w:r>
      </w:hyperlink>
      <w:r>
        <w:t xml:space="preserve">, VP; </w:t>
      </w:r>
      <w:hyperlink w:anchor="SENTENCIA_2023_120" w:history="1">
        <w:r w:rsidRPr="00DA359F">
          <w:rPr>
            <w:rStyle w:val="TextoNormalCaracter"/>
          </w:rPr>
          <w:t>120/2023</w:t>
        </w:r>
      </w:hyperlink>
      <w:r>
        <w:t xml:space="preserve">, VP; </w:t>
      </w:r>
      <w:hyperlink w:anchor="SENTENCIA_2023_121" w:history="1">
        <w:r w:rsidRPr="00DA359F">
          <w:rPr>
            <w:rStyle w:val="TextoNormalCaracter"/>
          </w:rPr>
          <w:t>121/2023</w:t>
        </w:r>
      </w:hyperlink>
      <w:r>
        <w:t xml:space="preserve">, VP; </w:t>
      </w:r>
      <w:hyperlink w:anchor="SENTENCIA_2023_124" w:history="1">
        <w:r w:rsidRPr="00DA359F">
          <w:rPr>
            <w:rStyle w:val="TextoNormalCaracter"/>
          </w:rPr>
          <w:t>124/2023</w:t>
        </w:r>
      </w:hyperlink>
      <w:r>
        <w:t xml:space="preserve">, VP I, VP II; </w:t>
      </w:r>
      <w:hyperlink w:anchor="SENTENCIA_2023_125" w:history="1">
        <w:r w:rsidRPr="00DA359F">
          <w:rPr>
            <w:rStyle w:val="TextoNormalCaracter"/>
          </w:rPr>
          <w:t>125/2023</w:t>
        </w:r>
      </w:hyperlink>
      <w:r>
        <w:t xml:space="preserve">, VP I, VP II; </w:t>
      </w:r>
      <w:hyperlink w:anchor="SENTENCIA_2023_127" w:history="1">
        <w:r w:rsidRPr="00DA359F">
          <w:rPr>
            <w:rStyle w:val="TextoNormalCaracter"/>
          </w:rPr>
          <w:t>127/2023</w:t>
        </w:r>
      </w:hyperlink>
      <w:r>
        <w:t xml:space="preserve">, VP; </w:t>
      </w:r>
      <w:hyperlink w:anchor="SENTENCIA_2023_128" w:history="1">
        <w:r w:rsidRPr="00DA359F">
          <w:rPr>
            <w:rStyle w:val="TextoNormalCaracter"/>
          </w:rPr>
          <w:t>128/2023</w:t>
        </w:r>
      </w:hyperlink>
      <w:r>
        <w:t xml:space="preserve">, VP; </w:t>
      </w:r>
      <w:hyperlink w:anchor="SENTENCIA_2023_131" w:history="1">
        <w:r w:rsidRPr="00DA359F">
          <w:rPr>
            <w:rStyle w:val="TextoNormalCaracter"/>
          </w:rPr>
          <w:t>131/2023</w:t>
        </w:r>
      </w:hyperlink>
      <w:r>
        <w:t xml:space="preserve">, VP; </w:t>
      </w:r>
      <w:hyperlink w:anchor="SENTENCIA_2023_132" w:history="1">
        <w:r w:rsidRPr="00DA359F">
          <w:rPr>
            <w:rStyle w:val="TextoNormalCaracter"/>
          </w:rPr>
          <w:t>132/2023</w:t>
        </w:r>
      </w:hyperlink>
      <w:r>
        <w:t xml:space="preserve">, VP; </w:t>
      </w:r>
      <w:hyperlink w:anchor="SENTENCIA_2023_133" w:history="1">
        <w:r w:rsidRPr="00DA359F">
          <w:rPr>
            <w:rStyle w:val="TextoNormalCaracter"/>
          </w:rPr>
          <w:t>133/2023</w:t>
        </w:r>
      </w:hyperlink>
      <w:r>
        <w:t xml:space="preserve">, VP; </w:t>
      </w:r>
      <w:hyperlink w:anchor="SENTENCIA_2023_135" w:history="1">
        <w:r w:rsidRPr="00DA359F">
          <w:rPr>
            <w:rStyle w:val="TextoNormalCaracter"/>
          </w:rPr>
          <w:t>135/2023</w:t>
        </w:r>
      </w:hyperlink>
      <w:r>
        <w:t xml:space="preserve">, VP; </w:t>
      </w:r>
      <w:hyperlink w:anchor="SENTENCIA_2023_139" w:history="1">
        <w:r w:rsidRPr="00DA359F">
          <w:rPr>
            <w:rStyle w:val="TextoNormalCaracter"/>
          </w:rPr>
          <w:t>139/2023</w:t>
        </w:r>
      </w:hyperlink>
      <w:r>
        <w:t xml:space="preserve">, VP; </w:t>
      </w:r>
      <w:hyperlink w:anchor="SENTENCIA_2023_140" w:history="1">
        <w:r w:rsidRPr="00DA359F">
          <w:rPr>
            <w:rStyle w:val="TextoNormalCaracter"/>
          </w:rPr>
          <w:t>140/2023</w:t>
        </w:r>
      </w:hyperlink>
      <w:r>
        <w:t xml:space="preserve">, VP I; </w:t>
      </w:r>
      <w:hyperlink w:anchor="SENTENCIA_2023_141" w:history="1">
        <w:r w:rsidRPr="00DA359F">
          <w:rPr>
            <w:rStyle w:val="TextoNormalCaracter"/>
          </w:rPr>
          <w:t>141/2023</w:t>
        </w:r>
      </w:hyperlink>
      <w:r>
        <w:t xml:space="preserve">, VP; </w:t>
      </w:r>
      <w:hyperlink w:anchor="SENTENCIA_2023_142" w:history="1">
        <w:r w:rsidRPr="00DA359F">
          <w:rPr>
            <w:rStyle w:val="TextoNormalCaracter"/>
          </w:rPr>
          <w:t>142/2023</w:t>
        </w:r>
      </w:hyperlink>
      <w:r>
        <w:t xml:space="preserve">, VP; </w:t>
      </w:r>
      <w:hyperlink w:anchor="SENTENCIA_2023_143" w:history="1">
        <w:r w:rsidRPr="00DA359F">
          <w:rPr>
            <w:rStyle w:val="TextoNormalCaracter"/>
          </w:rPr>
          <w:t>143/2023</w:t>
        </w:r>
      </w:hyperlink>
      <w:r>
        <w:t xml:space="preserve">, VP II; </w:t>
      </w:r>
      <w:hyperlink w:anchor="SENTENCIA_2023_144" w:history="1">
        <w:r w:rsidRPr="00DA359F">
          <w:rPr>
            <w:rStyle w:val="TextoNormalCaracter"/>
          </w:rPr>
          <w:t>144/2023</w:t>
        </w:r>
      </w:hyperlink>
      <w:r>
        <w:t xml:space="preserve">, VP; </w:t>
      </w:r>
      <w:hyperlink w:anchor="SENTENCIA_2023_149" w:history="1">
        <w:r w:rsidRPr="00DA359F">
          <w:rPr>
            <w:rStyle w:val="TextoNormalCaracter"/>
          </w:rPr>
          <w:t>149/2023</w:t>
        </w:r>
      </w:hyperlink>
      <w:r>
        <w:t xml:space="preserve">, VP; </w:t>
      </w:r>
      <w:hyperlink w:anchor="SENTENCIA_2023_164" w:history="1">
        <w:r w:rsidRPr="00DA359F">
          <w:rPr>
            <w:rStyle w:val="TextoNormalCaracter"/>
          </w:rPr>
          <w:t>164/2023</w:t>
        </w:r>
      </w:hyperlink>
      <w:r>
        <w:t xml:space="preserve">, VP I, VP II; </w:t>
      </w:r>
      <w:hyperlink w:anchor="SENTENCIA_2023_165" w:history="1">
        <w:r w:rsidRPr="00DA359F">
          <w:rPr>
            <w:rStyle w:val="TextoNormalCaracter"/>
          </w:rPr>
          <w:t>165/2023</w:t>
        </w:r>
      </w:hyperlink>
      <w:r>
        <w:t xml:space="preserve">, VP I; </w:t>
      </w:r>
      <w:hyperlink w:anchor="SENTENCIA_2023_170" w:history="1">
        <w:r w:rsidRPr="00DA359F">
          <w:rPr>
            <w:rStyle w:val="TextoNormalCaracter"/>
          </w:rPr>
          <w:t>170/2023</w:t>
        </w:r>
      </w:hyperlink>
      <w:r>
        <w:t xml:space="preserve">, VP; </w:t>
      </w:r>
      <w:hyperlink w:anchor="SENTENCIA_2023_171" w:history="1">
        <w:r w:rsidRPr="00DA359F">
          <w:rPr>
            <w:rStyle w:val="TextoNormalCaracter"/>
          </w:rPr>
          <w:t>171/2023</w:t>
        </w:r>
      </w:hyperlink>
      <w:r>
        <w:t xml:space="preserve">, VP; </w:t>
      </w:r>
      <w:hyperlink w:anchor="SENTENCIA_2023_173" w:history="1">
        <w:r w:rsidRPr="00DA359F">
          <w:rPr>
            <w:rStyle w:val="TextoNormalCaracter"/>
          </w:rPr>
          <w:t>173/2023</w:t>
        </w:r>
      </w:hyperlink>
      <w:r>
        <w:t xml:space="preserve">, VP I; </w:t>
      </w:r>
      <w:hyperlink w:anchor="SENTENCIA_2023_175" w:history="1">
        <w:r w:rsidRPr="00DA359F">
          <w:rPr>
            <w:rStyle w:val="TextoNormalCaracter"/>
          </w:rPr>
          <w:t>175/2023</w:t>
        </w:r>
      </w:hyperlink>
      <w:r>
        <w:t xml:space="preserve">, VP I; </w:t>
      </w:r>
      <w:hyperlink w:anchor="SENTENCIA_2023_176" w:history="1">
        <w:r w:rsidRPr="00DA359F">
          <w:rPr>
            <w:rStyle w:val="TextoNormalCaracter"/>
          </w:rPr>
          <w:t>176/2023</w:t>
        </w:r>
      </w:hyperlink>
      <w:r>
        <w:t xml:space="preserve">, VP I; </w:t>
      </w:r>
      <w:hyperlink w:anchor="SENTENCIA_2023_178" w:history="1">
        <w:r w:rsidRPr="00DA359F">
          <w:rPr>
            <w:rStyle w:val="TextoNormalCaracter"/>
          </w:rPr>
          <w:t>178/2023</w:t>
        </w:r>
      </w:hyperlink>
      <w:r>
        <w:t xml:space="preserve">, VP I; </w:t>
      </w:r>
      <w:hyperlink w:anchor="SENTENCIA_2023_188" w:history="1">
        <w:r w:rsidRPr="00DA359F">
          <w:rPr>
            <w:rStyle w:val="TextoNormalCaracter"/>
          </w:rPr>
          <w:t>188/2023</w:t>
        </w:r>
      </w:hyperlink>
      <w:r>
        <w:t xml:space="preserve">, VP I; </w:t>
      </w:r>
      <w:hyperlink w:anchor="SENTENCIA_2023_189" w:history="1">
        <w:r w:rsidRPr="00DA359F">
          <w:rPr>
            <w:rStyle w:val="TextoNormalCaracter"/>
          </w:rPr>
          <w:t>189/2023</w:t>
        </w:r>
      </w:hyperlink>
      <w:r>
        <w:t xml:space="preserve">, VP; </w:t>
      </w:r>
      <w:hyperlink w:anchor="SENTENCIA_2023_190" w:history="1">
        <w:r w:rsidRPr="00DA359F">
          <w:rPr>
            <w:rStyle w:val="TextoNormalCaracter"/>
          </w:rPr>
          <w:t>190/2023</w:t>
        </w:r>
      </w:hyperlink>
      <w:r>
        <w:t>, VP.</w:t>
      </w:r>
    </w:p>
    <w:p w14:paraId="413D0CB9" w14:textId="5421C498" w:rsidR="00DA359F" w:rsidRDefault="00DA359F" w:rsidP="00DA359F">
      <w:pPr>
        <w:pStyle w:val="SangriaIzquierdaArticulo"/>
      </w:pPr>
      <w:r>
        <w:t xml:space="preserve">Autos </w:t>
      </w:r>
      <w:hyperlink w:anchor="AUTO_2023_338" w:history="1">
        <w:r w:rsidRPr="00DA359F">
          <w:rPr>
            <w:rStyle w:val="TextoNormalCaracter"/>
          </w:rPr>
          <w:t>338/2023</w:t>
        </w:r>
      </w:hyperlink>
      <w:r>
        <w:t xml:space="preserve">, VP; </w:t>
      </w:r>
      <w:hyperlink w:anchor="AUTO_2023_378" w:history="1">
        <w:r w:rsidRPr="00DA359F">
          <w:rPr>
            <w:rStyle w:val="TextoNormalCaracter"/>
          </w:rPr>
          <w:t>378/2023</w:t>
        </w:r>
      </w:hyperlink>
      <w:r>
        <w:t xml:space="preserve">, VP; </w:t>
      </w:r>
      <w:hyperlink w:anchor="AUTO_2023_425" w:history="1">
        <w:r w:rsidRPr="00DA359F">
          <w:rPr>
            <w:rStyle w:val="TextoNormalCaracter"/>
          </w:rPr>
          <w:t>425/2023</w:t>
        </w:r>
      </w:hyperlink>
      <w:r>
        <w:t>, VP.</w:t>
      </w:r>
    </w:p>
    <w:p w14:paraId="419D0A42" w14:textId="62041B8B" w:rsidR="00DA359F" w:rsidRDefault="00DA359F" w:rsidP="00DA359F">
      <w:pPr>
        <w:pStyle w:val="SangriaFrancesaArticulo"/>
      </w:pPr>
      <w:r w:rsidRPr="00DA359F">
        <w:rPr>
          <w:rStyle w:val="TextoNormalNegritaCaracter"/>
        </w:rPr>
        <w:t>Artículo 93.</w:t>
      </w:r>
      <w:r w:rsidRPr="00DA359F">
        <w:rPr>
          <w:rStyle w:val="TextoNormalCaracter"/>
        </w:rPr>
        <w:t>-</w:t>
      </w:r>
      <w:r>
        <w:t xml:space="preserve"> Auto </w:t>
      </w:r>
      <w:hyperlink w:anchor="AUTO_2023_668" w:history="1">
        <w:r w:rsidRPr="00DA359F">
          <w:rPr>
            <w:rStyle w:val="TextoNormalCaracter"/>
          </w:rPr>
          <w:t>668/2023</w:t>
        </w:r>
      </w:hyperlink>
      <w:r>
        <w:t>, f. único.</w:t>
      </w:r>
    </w:p>
    <w:p w14:paraId="5DEC5495" w14:textId="1B43ED11" w:rsidR="00DA359F" w:rsidRDefault="00DA359F" w:rsidP="00DA359F">
      <w:pPr>
        <w:pStyle w:val="SangriaFrancesaArticulo"/>
      </w:pPr>
      <w:r w:rsidRPr="00DA359F">
        <w:rPr>
          <w:rStyle w:val="TextoNormalNegritaCaracter"/>
        </w:rPr>
        <w:t>Artículo 93.1.</w:t>
      </w:r>
      <w:r w:rsidRPr="00DA359F">
        <w:rPr>
          <w:rStyle w:val="TextoNormalCaracter"/>
        </w:rPr>
        <w:t>-</w:t>
      </w:r>
      <w:r>
        <w:t xml:space="preserve"> Autos </w:t>
      </w:r>
      <w:hyperlink w:anchor="AUTO_2023_331" w:history="1">
        <w:r w:rsidRPr="00DA359F">
          <w:rPr>
            <w:rStyle w:val="TextoNormalCaracter"/>
          </w:rPr>
          <w:t>331/2023</w:t>
        </w:r>
      </w:hyperlink>
      <w:r>
        <w:t xml:space="preserve">, f. único; </w:t>
      </w:r>
      <w:hyperlink w:anchor="AUTO_2023_598" w:history="1">
        <w:r w:rsidRPr="00DA359F">
          <w:rPr>
            <w:rStyle w:val="TextoNormalCaracter"/>
          </w:rPr>
          <w:t>598/2023</w:t>
        </w:r>
      </w:hyperlink>
      <w:r>
        <w:t>, ff. 1, 2.</w:t>
      </w:r>
    </w:p>
    <w:p w14:paraId="2756DB82" w14:textId="73F6C8CB" w:rsidR="00DA359F" w:rsidRDefault="00DA359F" w:rsidP="00DA359F">
      <w:pPr>
        <w:pStyle w:val="SangriaFrancesaArticulo"/>
      </w:pPr>
      <w:r w:rsidRPr="00DA359F">
        <w:rPr>
          <w:rStyle w:val="TextoNormalNegritaCaracter"/>
        </w:rPr>
        <w:t>Artículo 95.2.</w:t>
      </w:r>
      <w:r w:rsidRPr="00DA359F">
        <w:rPr>
          <w:rStyle w:val="TextoNormalCaracter"/>
        </w:rPr>
        <w:t>-</w:t>
      </w:r>
      <w:r>
        <w:t xml:space="preserve"> Auto </w:t>
      </w:r>
      <w:hyperlink w:anchor="AUTO_2023_598" w:history="1">
        <w:r w:rsidRPr="00DA359F">
          <w:rPr>
            <w:rStyle w:val="TextoNormalCaracter"/>
          </w:rPr>
          <w:t>598/2023</w:t>
        </w:r>
      </w:hyperlink>
      <w:r>
        <w:t>, f. 1.</w:t>
      </w:r>
    </w:p>
    <w:p w14:paraId="41A64F34" w14:textId="55C7A376" w:rsidR="00DA359F" w:rsidRDefault="00DA359F" w:rsidP="00DA359F">
      <w:pPr>
        <w:pStyle w:val="SangriaFrancesaArticulo"/>
      </w:pPr>
      <w:r w:rsidRPr="00DA359F">
        <w:rPr>
          <w:rStyle w:val="TextoNormalNegritaCaracter"/>
        </w:rPr>
        <w:t>Disposición adicional tercera.</w:t>
      </w:r>
      <w:r w:rsidRPr="00DA359F">
        <w:rPr>
          <w:rStyle w:val="TextoNormalCaracter"/>
        </w:rPr>
        <w:t>-</w:t>
      </w:r>
      <w:r>
        <w:t xml:space="preserve"> Auto </w:t>
      </w:r>
      <w:hyperlink w:anchor="AUTO_2023_485" w:history="1">
        <w:r w:rsidRPr="00DA359F">
          <w:rPr>
            <w:rStyle w:val="TextoNormalCaracter"/>
          </w:rPr>
          <w:t>485/2023</w:t>
        </w:r>
      </w:hyperlink>
      <w:r>
        <w:t>, ff. 1, 3.</w:t>
      </w:r>
    </w:p>
    <w:p w14:paraId="24CCAA44" w14:textId="4DD6B2CE" w:rsidR="00DA359F" w:rsidRDefault="00DA359F" w:rsidP="00DA359F">
      <w:pPr>
        <w:pStyle w:val="SangriaFrancesaArticulo"/>
      </w:pPr>
      <w:r w:rsidRPr="00DA359F">
        <w:rPr>
          <w:rStyle w:val="TextoNormalNegritaCaracter"/>
        </w:rPr>
        <w:t>Disposición adicional tercera, apartado 1.</w:t>
      </w:r>
      <w:r w:rsidRPr="00DA359F">
        <w:rPr>
          <w:rStyle w:val="TextoNormalCaracter"/>
        </w:rPr>
        <w:t>-</w:t>
      </w:r>
      <w:r>
        <w:t xml:space="preserve"> Autos </w:t>
      </w:r>
      <w:hyperlink w:anchor="AUTO_2023_354" w:history="1">
        <w:r w:rsidRPr="00DA359F">
          <w:rPr>
            <w:rStyle w:val="TextoNormalCaracter"/>
          </w:rPr>
          <w:t>354/2023</w:t>
        </w:r>
      </w:hyperlink>
      <w:r>
        <w:t xml:space="preserve">, f. 2; </w:t>
      </w:r>
      <w:hyperlink w:anchor="AUTO_2023_485" w:history="1">
        <w:r w:rsidRPr="00DA359F">
          <w:rPr>
            <w:rStyle w:val="TextoNormalCaracter"/>
          </w:rPr>
          <w:t>485/2023</w:t>
        </w:r>
      </w:hyperlink>
      <w:r>
        <w:t>, f. 1.</w:t>
      </w:r>
    </w:p>
    <w:p w14:paraId="31AB639E" w14:textId="5B1970FF" w:rsidR="00DA359F" w:rsidRDefault="00DA359F" w:rsidP="00DA359F">
      <w:pPr>
        <w:pStyle w:val="SangriaFrancesaArticulo"/>
      </w:pPr>
      <w:r w:rsidRPr="00DA359F">
        <w:rPr>
          <w:rStyle w:val="TextoNormalNegritaCaracter"/>
        </w:rPr>
        <w:t>Disposición adicional tercera, apartado 2.</w:t>
      </w:r>
      <w:r w:rsidRPr="00DA359F">
        <w:rPr>
          <w:rStyle w:val="TextoNormalCaracter"/>
        </w:rPr>
        <w:t>-</w:t>
      </w:r>
      <w:r>
        <w:t xml:space="preserve"> Autos </w:t>
      </w:r>
      <w:hyperlink w:anchor="AUTO_2023_354" w:history="1">
        <w:r w:rsidRPr="00DA359F">
          <w:rPr>
            <w:rStyle w:val="TextoNormalCaracter"/>
          </w:rPr>
          <w:t>354/2023</w:t>
        </w:r>
      </w:hyperlink>
      <w:r>
        <w:t xml:space="preserve">, f. 5; </w:t>
      </w:r>
      <w:hyperlink w:anchor="AUTO_2023_485" w:history="1">
        <w:r w:rsidRPr="00DA359F">
          <w:rPr>
            <w:rStyle w:val="TextoNormalCaracter"/>
          </w:rPr>
          <w:t>485/2023</w:t>
        </w:r>
      </w:hyperlink>
      <w:r>
        <w:t>, f. 3.</w:t>
      </w:r>
    </w:p>
    <w:p w14:paraId="5C1B9087" w14:textId="3F5D1641" w:rsidR="00DA359F" w:rsidRDefault="00DA359F" w:rsidP="00DA359F">
      <w:pPr>
        <w:pStyle w:val="SangriaFrancesaArticulo"/>
      </w:pPr>
      <w:r w:rsidRPr="00DA359F">
        <w:rPr>
          <w:rStyle w:val="TextoNormalNegritaCaracter"/>
        </w:rPr>
        <w:t>Disposición adicional tercera</w:t>
      </w:r>
      <w:r>
        <w:t xml:space="preserve"> (redactada por la Ley Orgánica 7/1999, de 21 de abril)</w:t>
      </w:r>
      <w:r w:rsidRPr="00DA359F">
        <w:rPr>
          <w:rStyle w:val="TextoNormalNegritaCaracter"/>
        </w:rPr>
        <w:t>.</w:t>
      </w:r>
      <w:r w:rsidRPr="00DA359F">
        <w:rPr>
          <w:rStyle w:val="TextoNormalCaracter"/>
        </w:rPr>
        <w:t>-</w:t>
      </w:r>
      <w:r>
        <w:t xml:space="preserve"> Auto </w:t>
      </w:r>
      <w:hyperlink w:anchor="AUTO_2023_485" w:history="1">
        <w:r w:rsidRPr="00DA359F">
          <w:rPr>
            <w:rStyle w:val="TextoNormalCaracter"/>
          </w:rPr>
          <w:t>485/2023</w:t>
        </w:r>
      </w:hyperlink>
      <w:r>
        <w:t>, f. 3.</w:t>
      </w:r>
    </w:p>
    <w:p w14:paraId="7575428D" w14:textId="48E33141" w:rsidR="00DA359F" w:rsidRDefault="00DA359F" w:rsidP="00DA359F">
      <w:pPr>
        <w:pStyle w:val="SangriaFrancesaArticulo"/>
      </w:pPr>
      <w:r w:rsidRPr="00DA359F">
        <w:rPr>
          <w:rStyle w:val="TextoNormalNegritaCaracter"/>
        </w:rPr>
        <w:t>Disposición adicional cuarta</w:t>
      </w:r>
      <w:r>
        <w:t xml:space="preserve"> (redactada por la Ley Orgánica 7/1999, de 21 de abril)</w:t>
      </w:r>
      <w:r w:rsidRPr="00DA359F">
        <w:rPr>
          <w:rStyle w:val="TextoNormalNegritaCaracter"/>
        </w:rPr>
        <w:t>.</w:t>
      </w:r>
      <w:r w:rsidRPr="00DA359F">
        <w:rPr>
          <w:rStyle w:val="TextoNormalCaracter"/>
        </w:rPr>
        <w:t>-</w:t>
      </w:r>
      <w:r>
        <w:t xml:space="preserve"> Auto </w:t>
      </w:r>
      <w:hyperlink w:anchor="AUTO_2023_485" w:history="1">
        <w:r w:rsidRPr="00DA359F">
          <w:rPr>
            <w:rStyle w:val="TextoNormalCaracter"/>
          </w:rPr>
          <w:t>485/2023</w:t>
        </w:r>
      </w:hyperlink>
      <w:r>
        <w:t>, f. 3.</w:t>
      </w:r>
    </w:p>
    <w:p w14:paraId="46F93989" w14:textId="73EEDE63" w:rsidR="00DA359F" w:rsidRDefault="00DA359F" w:rsidP="00DA359F">
      <w:pPr>
        <w:pStyle w:val="SangriaFrancesaArticulo"/>
      </w:pPr>
      <w:r w:rsidRPr="00DA359F">
        <w:rPr>
          <w:rStyle w:val="TextoNormalNegritaCaracter"/>
        </w:rPr>
        <w:t>Disposición adicional quinta, apartado 1.</w:t>
      </w:r>
      <w:r w:rsidRPr="00DA359F">
        <w:rPr>
          <w:rStyle w:val="TextoNormalCaracter"/>
        </w:rPr>
        <w:t>-</w:t>
      </w:r>
      <w:r>
        <w:t xml:space="preserve"> Auto </w:t>
      </w:r>
      <w:hyperlink w:anchor="AUTO_2023_486" w:history="1">
        <w:r w:rsidRPr="00DA359F">
          <w:rPr>
            <w:rStyle w:val="TextoNormalCaracter"/>
          </w:rPr>
          <w:t>486/2023</w:t>
        </w:r>
      </w:hyperlink>
      <w:r>
        <w:t>, f. 1.</w:t>
      </w:r>
    </w:p>
    <w:p w14:paraId="62BD4F90" w14:textId="4EC547F9" w:rsidR="00DA359F" w:rsidRDefault="00DA359F" w:rsidP="00DA359F">
      <w:pPr>
        <w:pStyle w:val="SangriaFrancesaArticulo"/>
      </w:pPr>
      <w:r w:rsidRPr="00DA359F">
        <w:rPr>
          <w:rStyle w:val="TextoNormalNegritaCaracter"/>
        </w:rPr>
        <w:t>Disposición adicional quinta, apartado 2.</w:t>
      </w:r>
      <w:r w:rsidRPr="00DA359F">
        <w:rPr>
          <w:rStyle w:val="TextoNormalCaracter"/>
        </w:rPr>
        <w:t>-</w:t>
      </w:r>
      <w:r>
        <w:t xml:space="preserve"> Auto </w:t>
      </w:r>
      <w:hyperlink w:anchor="AUTO_2023_486" w:history="1">
        <w:r w:rsidRPr="00DA359F">
          <w:rPr>
            <w:rStyle w:val="TextoNormalCaracter"/>
          </w:rPr>
          <w:t>486/2023</w:t>
        </w:r>
      </w:hyperlink>
      <w:r>
        <w:t>, f. 2.</w:t>
      </w:r>
    </w:p>
    <w:p w14:paraId="59CA2F14" w14:textId="3C1EE14A" w:rsidR="00DA359F" w:rsidRDefault="00DA359F" w:rsidP="00DA359F">
      <w:pPr>
        <w:pStyle w:val="SangriaFrancesaArticulo"/>
      </w:pPr>
      <w:r w:rsidRPr="00DA359F">
        <w:rPr>
          <w:rStyle w:val="TextoNormalNegritaCaracter"/>
        </w:rPr>
        <w:t>Disposición adicional quinta</w:t>
      </w:r>
      <w:r>
        <w:t xml:space="preserve"> (redactada por la Ley Orgánica 1/2010, de 19 de febrero)</w:t>
      </w:r>
      <w:r w:rsidRPr="00DA359F">
        <w:rPr>
          <w:rStyle w:val="TextoNormalNegritaCaracter"/>
        </w:rPr>
        <w:t>.</w:t>
      </w:r>
      <w:r w:rsidRPr="00DA359F">
        <w:rPr>
          <w:rStyle w:val="TextoNormalCaracter"/>
        </w:rPr>
        <w:t>-</w:t>
      </w:r>
      <w:r>
        <w:t xml:space="preserve"> Auto </w:t>
      </w:r>
      <w:hyperlink w:anchor="AUTO_2023_486" w:history="1">
        <w:r w:rsidRPr="00DA359F">
          <w:rPr>
            <w:rStyle w:val="TextoNormalCaracter"/>
          </w:rPr>
          <w:t>486/2023</w:t>
        </w:r>
      </w:hyperlink>
      <w:r>
        <w:t>, f. 1.</w:t>
      </w:r>
    </w:p>
    <w:p w14:paraId="63F48C44" w14:textId="37B5F023" w:rsidR="00DA359F" w:rsidRDefault="00DA359F" w:rsidP="00DA359F">
      <w:pPr>
        <w:pStyle w:val="SangriaFrancesaArticulo"/>
      </w:pPr>
    </w:p>
    <w:p w14:paraId="37C5D165" w14:textId="77777777" w:rsidR="00DA359F" w:rsidRDefault="00DA359F" w:rsidP="00DA359F">
      <w:pPr>
        <w:pStyle w:val="TextoNormalNegritaCursivandice"/>
        <w:keepNext/>
      </w:pPr>
      <w:r>
        <w:t>Ley Orgánica 7/1999, de 21 de abril, de modificación de la Ley Orgánica 2/1979, de 3 de octubre, del Tribunal Constitucional</w:t>
      </w:r>
    </w:p>
    <w:p w14:paraId="7099F038" w14:textId="4D397CDC" w:rsidR="00DA359F" w:rsidRDefault="00DA359F" w:rsidP="00DA359F">
      <w:pPr>
        <w:pStyle w:val="SangriaFrancesaArticulo"/>
      </w:pPr>
      <w:r w:rsidRPr="00DA359F">
        <w:rPr>
          <w:rStyle w:val="TextoNormalNegritaCaracter"/>
        </w:rPr>
        <w:t>En general.</w:t>
      </w:r>
      <w:r w:rsidRPr="00DA359F">
        <w:rPr>
          <w:rStyle w:val="TextoNormalCaracter"/>
        </w:rPr>
        <w:t>-</w:t>
      </w:r>
      <w:r>
        <w:t xml:space="preserve"> Auto </w:t>
      </w:r>
      <w:hyperlink w:anchor="AUTO_2023_485" w:history="1">
        <w:r w:rsidRPr="00DA359F">
          <w:rPr>
            <w:rStyle w:val="TextoNormalCaracter"/>
          </w:rPr>
          <w:t>485/2023</w:t>
        </w:r>
      </w:hyperlink>
      <w:r>
        <w:t>, f. 3.</w:t>
      </w:r>
    </w:p>
    <w:p w14:paraId="6FC6E9FE" w14:textId="2E46C9FF" w:rsidR="00DA359F" w:rsidRDefault="00DA359F" w:rsidP="00DA359F">
      <w:pPr>
        <w:pStyle w:val="SangriaFrancesaArticulo"/>
      </w:pPr>
      <w:r w:rsidRPr="00DA359F">
        <w:rPr>
          <w:rStyle w:val="TextoNormalNegritaCaracter"/>
        </w:rPr>
        <w:t>Artículo 6.</w:t>
      </w:r>
      <w:r w:rsidRPr="00DA359F">
        <w:rPr>
          <w:rStyle w:val="TextoNormalCaracter"/>
        </w:rPr>
        <w:t>-</w:t>
      </w:r>
      <w:r>
        <w:t xml:space="preserve"> Auto </w:t>
      </w:r>
      <w:hyperlink w:anchor="AUTO_2023_485" w:history="1">
        <w:r w:rsidRPr="00DA359F">
          <w:rPr>
            <w:rStyle w:val="TextoNormalCaracter"/>
          </w:rPr>
          <w:t>485/2023</w:t>
        </w:r>
      </w:hyperlink>
      <w:r>
        <w:t>, f. 3.</w:t>
      </w:r>
    </w:p>
    <w:p w14:paraId="5CD426E9" w14:textId="51E59661" w:rsidR="00DA359F" w:rsidRDefault="00DA359F" w:rsidP="00DA359F">
      <w:pPr>
        <w:pStyle w:val="SangriaFrancesaArticulo"/>
      </w:pPr>
    </w:p>
    <w:p w14:paraId="19719040" w14:textId="77777777" w:rsidR="00DA359F" w:rsidRDefault="00DA359F" w:rsidP="00DA359F">
      <w:pPr>
        <w:pStyle w:val="TextoNormalNegritaCursivandice"/>
        <w:keepNext/>
      </w:pPr>
      <w:r>
        <w:t>Ley Orgánica 6/2007, de 24 de mayo, por la que se modifica la Ley Orgánica 2/1979, de 3 de octubre, del Tribunal Constitucional</w:t>
      </w:r>
    </w:p>
    <w:p w14:paraId="20D69BFE" w14:textId="26C45F02" w:rsidR="00DA359F" w:rsidRDefault="00DA359F" w:rsidP="00DA359F">
      <w:pPr>
        <w:pStyle w:val="SangriaFrancesaArticulo"/>
        <w:keepNext/>
      </w:pPr>
      <w:r w:rsidRPr="00DA359F">
        <w:rPr>
          <w:rStyle w:val="TextoNormalNegritaCaracter"/>
        </w:rPr>
        <w:t>En general.</w:t>
      </w:r>
      <w:r w:rsidRPr="00DA359F">
        <w:rPr>
          <w:rStyle w:val="TextoNormalCaracter"/>
        </w:rPr>
        <w:t>-</w:t>
      </w:r>
      <w:r>
        <w:t xml:space="preserve"> Sentencias </w:t>
      </w:r>
      <w:hyperlink w:anchor="SENTENCIA_2023_134" w:history="1">
        <w:r w:rsidRPr="00DA359F">
          <w:rPr>
            <w:rStyle w:val="TextoNormalCaracter"/>
          </w:rPr>
          <w:t>134/2023</w:t>
        </w:r>
      </w:hyperlink>
      <w:r>
        <w:t xml:space="preserve">, f. 3; </w:t>
      </w:r>
      <w:hyperlink w:anchor="SENTENCIA_2023_153" w:history="1">
        <w:r w:rsidRPr="00DA359F">
          <w:rPr>
            <w:rStyle w:val="TextoNormalCaracter"/>
          </w:rPr>
          <w:t>153/2023</w:t>
        </w:r>
      </w:hyperlink>
      <w:r>
        <w:t>, f. 3.</w:t>
      </w:r>
    </w:p>
    <w:p w14:paraId="36A3ABAC" w14:textId="64683CDD" w:rsidR="00DA359F" w:rsidRDefault="00DA359F" w:rsidP="00DA359F">
      <w:pPr>
        <w:pStyle w:val="SangriaIzquierdaArticulo"/>
      </w:pPr>
      <w:r>
        <w:t xml:space="preserve">Autos </w:t>
      </w:r>
      <w:hyperlink w:anchor="AUTO_2023_427" w:history="1">
        <w:r w:rsidRPr="00DA359F">
          <w:rPr>
            <w:rStyle w:val="TextoNormalCaracter"/>
          </w:rPr>
          <w:t>427/2023</w:t>
        </w:r>
      </w:hyperlink>
      <w:r>
        <w:t xml:space="preserve">, VP; </w:t>
      </w:r>
      <w:hyperlink w:anchor="AUTO_2023_489" w:history="1">
        <w:r w:rsidRPr="00DA359F">
          <w:rPr>
            <w:rStyle w:val="TextoNormalCaracter"/>
          </w:rPr>
          <w:t>489/2023</w:t>
        </w:r>
      </w:hyperlink>
      <w:r>
        <w:t xml:space="preserve">, f. 2; </w:t>
      </w:r>
      <w:hyperlink w:anchor="AUTO_2023_490" w:history="1">
        <w:r w:rsidRPr="00DA359F">
          <w:rPr>
            <w:rStyle w:val="TextoNormalCaracter"/>
          </w:rPr>
          <w:t>490/2023</w:t>
        </w:r>
      </w:hyperlink>
      <w:r>
        <w:t>, f. 2.</w:t>
      </w:r>
    </w:p>
    <w:p w14:paraId="2AC874EA" w14:textId="6739FCC9" w:rsidR="00DA359F" w:rsidRDefault="00DA359F" w:rsidP="00DA359F">
      <w:pPr>
        <w:pStyle w:val="SangriaIzquierdaArticulo"/>
      </w:pPr>
    </w:p>
    <w:p w14:paraId="068234AC" w14:textId="77777777" w:rsidR="00DA359F" w:rsidRDefault="00DA359F" w:rsidP="00DA359F">
      <w:pPr>
        <w:pStyle w:val="TextoNormalNegritaCursivandice"/>
        <w:keepNext/>
      </w:pPr>
      <w:r>
        <w:t>Acuerdo de 23 de julio de 2015, del Pleno del Tribunal Constitucional, por el que se regula la exclusión de los datos de identidad personal en la publicación de las resoluciones jurisdiccionales</w:t>
      </w:r>
    </w:p>
    <w:p w14:paraId="1553A0B0" w14:textId="68AC76A0" w:rsidR="00DA359F" w:rsidRDefault="00DA359F" w:rsidP="00DA359F">
      <w:pPr>
        <w:pStyle w:val="SangriaFrancesaArticulo"/>
        <w:keepNext/>
      </w:pPr>
      <w:r w:rsidRPr="00DA359F">
        <w:rPr>
          <w:rStyle w:val="TextoNormalNegritaCaracter"/>
        </w:rPr>
        <w:t>En general.</w:t>
      </w:r>
      <w:r w:rsidRPr="00DA359F">
        <w:rPr>
          <w:rStyle w:val="TextoNormalCaracter"/>
        </w:rPr>
        <w:t>-</w:t>
      </w:r>
      <w:r>
        <w:t xml:space="preserve"> Sentencias </w:t>
      </w:r>
      <w:hyperlink w:anchor="SENTENCIA_2023_78" w:history="1">
        <w:r w:rsidRPr="00DA359F">
          <w:rPr>
            <w:rStyle w:val="TextoNormalCaracter"/>
          </w:rPr>
          <w:t>78/2023</w:t>
        </w:r>
      </w:hyperlink>
      <w:r>
        <w:t xml:space="preserve">, f. 2; </w:t>
      </w:r>
      <w:hyperlink w:anchor="SENTENCIA_2023_131" w:history="1">
        <w:r w:rsidRPr="00DA359F">
          <w:rPr>
            <w:rStyle w:val="TextoNormalCaracter"/>
          </w:rPr>
          <w:t>131/2023</w:t>
        </w:r>
      </w:hyperlink>
      <w:r>
        <w:t xml:space="preserve">, f. 1; </w:t>
      </w:r>
      <w:hyperlink w:anchor="SENTENCIA_2023_148" w:history="1">
        <w:r w:rsidRPr="00DA359F">
          <w:rPr>
            <w:rStyle w:val="TextoNormalCaracter"/>
          </w:rPr>
          <w:t>148/2023</w:t>
        </w:r>
      </w:hyperlink>
      <w:r>
        <w:t xml:space="preserve">, f. 1; </w:t>
      </w:r>
      <w:hyperlink w:anchor="SENTENCIA_2023_154" w:history="1">
        <w:r w:rsidRPr="00DA359F">
          <w:rPr>
            <w:rStyle w:val="TextoNormalCaracter"/>
          </w:rPr>
          <w:t>154/2023</w:t>
        </w:r>
      </w:hyperlink>
      <w:r>
        <w:t xml:space="preserve">, f. 1; </w:t>
      </w:r>
      <w:hyperlink w:anchor="SENTENCIA_2023_155" w:history="1">
        <w:r w:rsidRPr="00DA359F">
          <w:rPr>
            <w:rStyle w:val="TextoNormalCaracter"/>
          </w:rPr>
          <w:t>155/2023</w:t>
        </w:r>
      </w:hyperlink>
      <w:r>
        <w:t xml:space="preserve">, f. 1; </w:t>
      </w:r>
      <w:hyperlink w:anchor="SENTENCIA_2023_156" w:history="1">
        <w:r w:rsidRPr="00DA359F">
          <w:rPr>
            <w:rStyle w:val="TextoNormalCaracter"/>
          </w:rPr>
          <w:t>156/2023</w:t>
        </w:r>
      </w:hyperlink>
      <w:r>
        <w:t xml:space="preserve">, f. 1; </w:t>
      </w:r>
      <w:hyperlink w:anchor="SENTENCIA_2023_157" w:history="1">
        <w:r w:rsidRPr="00DA359F">
          <w:rPr>
            <w:rStyle w:val="TextoNormalCaracter"/>
          </w:rPr>
          <w:t>157/2023</w:t>
        </w:r>
      </w:hyperlink>
      <w:r>
        <w:t xml:space="preserve">, f. 1; </w:t>
      </w:r>
      <w:hyperlink w:anchor="SENTENCIA_2023_158" w:history="1">
        <w:r w:rsidRPr="00DA359F">
          <w:rPr>
            <w:rStyle w:val="TextoNormalCaracter"/>
          </w:rPr>
          <w:t>158/2023</w:t>
        </w:r>
      </w:hyperlink>
      <w:r>
        <w:t xml:space="preserve">, f. 1; </w:t>
      </w:r>
      <w:hyperlink w:anchor="SENTENCIA_2023_159" w:history="1">
        <w:r w:rsidRPr="00DA359F">
          <w:rPr>
            <w:rStyle w:val="TextoNormalCaracter"/>
          </w:rPr>
          <w:t>159/2023</w:t>
        </w:r>
      </w:hyperlink>
      <w:r>
        <w:t xml:space="preserve">, f. 1; </w:t>
      </w:r>
      <w:hyperlink w:anchor="SENTENCIA_2023_160" w:history="1">
        <w:r w:rsidRPr="00DA359F">
          <w:rPr>
            <w:rStyle w:val="TextoNormalCaracter"/>
          </w:rPr>
          <w:t>160/2023</w:t>
        </w:r>
      </w:hyperlink>
      <w:r>
        <w:t xml:space="preserve">, f. 1; </w:t>
      </w:r>
      <w:hyperlink w:anchor="SENTENCIA_2023_161" w:history="1">
        <w:r w:rsidRPr="00DA359F">
          <w:rPr>
            <w:rStyle w:val="TextoNormalCaracter"/>
          </w:rPr>
          <w:t>161/2023</w:t>
        </w:r>
      </w:hyperlink>
      <w:r>
        <w:t xml:space="preserve">, f. 1; </w:t>
      </w:r>
      <w:hyperlink w:anchor="SENTENCIA_2023_162" w:history="1">
        <w:r w:rsidRPr="00DA359F">
          <w:rPr>
            <w:rStyle w:val="TextoNormalCaracter"/>
          </w:rPr>
          <w:t>162/2023</w:t>
        </w:r>
      </w:hyperlink>
      <w:r>
        <w:t xml:space="preserve">, f. 1; </w:t>
      </w:r>
      <w:hyperlink w:anchor="SENTENCIA_2023_181" w:history="1">
        <w:r w:rsidRPr="00DA359F">
          <w:rPr>
            <w:rStyle w:val="TextoNormalCaracter"/>
          </w:rPr>
          <w:t>181/2023</w:t>
        </w:r>
      </w:hyperlink>
      <w:r>
        <w:t xml:space="preserve">, f. 1; </w:t>
      </w:r>
      <w:hyperlink w:anchor="SENTENCIA_2023_182" w:history="1">
        <w:r w:rsidRPr="00DA359F">
          <w:rPr>
            <w:rStyle w:val="TextoNormalCaracter"/>
          </w:rPr>
          <w:t>182/2023</w:t>
        </w:r>
      </w:hyperlink>
      <w:r>
        <w:t xml:space="preserve">, f. 1; </w:t>
      </w:r>
      <w:hyperlink w:anchor="SENTENCIA_2023_183" w:history="1">
        <w:r w:rsidRPr="00DA359F">
          <w:rPr>
            <w:rStyle w:val="TextoNormalCaracter"/>
          </w:rPr>
          <w:t>183/2023</w:t>
        </w:r>
      </w:hyperlink>
      <w:r>
        <w:t xml:space="preserve">, f. 1; </w:t>
      </w:r>
      <w:hyperlink w:anchor="SENTENCIA_2023_185" w:history="1">
        <w:r w:rsidRPr="00DA359F">
          <w:rPr>
            <w:rStyle w:val="TextoNormalCaracter"/>
          </w:rPr>
          <w:t>185/2023</w:t>
        </w:r>
      </w:hyperlink>
      <w:r>
        <w:t xml:space="preserve">, f. 1; </w:t>
      </w:r>
      <w:hyperlink w:anchor="SENTENCIA_2023_186" w:history="1">
        <w:r w:rsidRPr="00DA359F">
          <w:rPr>
            <w:rStyle w:val="TextoNormalCaracter"/>
          </w:rPr>
          <w:t>186/2023</w:t>
        </w:r>
      </w:hyperlink>
      <w:r>
        <w:t xml:space="preserve">, f. 1; </w:t>
      </w:r>
      <w:hyperlink w:anchor="SENTENCIA_2023_187" w:history="1">
        <w:r w:rsidRPr="00DA359F">
          <w:rPr>
            <w:rStyle w:val="TextoNormalCaracter"/>
          </w:rPr>
          <w:t>187/2023</w:t>
        </w:r>
      </w:hyperlink>
      <w:r>
        <w:t>, f. 1.</w:t>
      </w:r>
    </w:p>
    <w:p w14:paraId="2D02A716" w14:textId="67D0769E" w:rsidR="00DA359F" w:rsidRDefault="00DA359F" w:rsidP="00DA359F">
      <w:pPr>
        <w:pStyle w:val="SangriaIzquierdaArticulo"/>
      </w:pPr>
      <w:r>
        <w:t xml:space="preserve">Autos </w:t>
      </w:r>
      <w:hyperlink w:anchor="AUTO_2023_429" w:history="1">
        <w:r w:rsidRPr="00DA359F">
          <w:rPr>
            <w:rStyle w:val="TextoNormalCaracter"/>
          </w:rPr>
          <w:t>429/2023</w:t>
        </w:r>
      </w:hyperlink>
      <w:r>
        <w:t xml:space="preserve">, f. 1; </w:t>
      </w:r>
      <w:hyperlink w:anchor="AUTO_2023_472" w:history="1">
        <w:r w:rsidRPr="00DA359F">
          <w:rPr>
            <w:rStyle w:val="TextoNormalCaracter"/>
          </w:rPr>
          <w:t>472/2023</w:t>
        </w:r>
      </w:hyperlink>
      <w:r>
        <w:t xml:space="preserve">, f. 1; </w:t>
      </w:r>
      <w:hyperlink w:anchor="AUTO_2023_473" w:history="1">
        <w:r w:rsidRPr="00DA359F">
          <w:rPr>
            <w:rStyle w:val="TextoNormalCaracter"/>
          </w:rPr>
          <w:t>473/2023</w:t>
        </w:r>
      </w:hyperlink>
      <w:r>
        <w:t xml:space="preserve">, f. 2; </w:t>
      </w:r>
      <w:hyperlink w:anchor="AUTO_2023_477" w:history="1">
        <w:r w:rsidRPr="00DA359F">
          <w:rPr>
            <w:rStyle w:val="TextoNormalCaracter"/>
          </w:rPr>
          <w:t>477/2023</w:t>
        </w:r>
      </w:hyperlink>
      <w:r>
        <w:t xml:space="preserve">, f. 1; </w:t>
      </w:r>
      <w:hyperlink w:anchor="AUTO_2023_484" w:history="1">
        <w:r w:rsidRPr="00DA359F">
          <w:rPr>
            <w:rStyle w:val="TextoNormalCaracter"/>
          </w:rPr>
          <w:t>484/2023</w:t>
        </w:r>
      </w:hyperlink>
      <w:r>
        <w:t xml:space="preserve">, f. 1; </w:t>
      </w:r>
      <w:hyperlink w:anchor="AUTO_2023_661" w:history="1">
        <w:r w:rsidRPr="00DA359F">
          <w:rPr>
            <w:rStyle w:val="TextoNormalCaracter"/>
          </w:rPr>
          <w:t>661/2023</w:t>
        </w:r>
      </w:hyperlink>
      <w:r>
        <w:t>, f. 2.</w:t>
      </w:r>
    </w:p>
    <w:p w14:paraId="05A71C31" w14:textId="0E757D62" w:rsidR="00DA359F" w:rsidRDefault="00DA359F" w:rsidP="00DA359F">
      <w:pPr>
        <w:pStyle w:val="SangriaFrancesaArticulo"/>
      </w:pPr>
      <w:r w:rsidRPr="00DA359F">
        <w:rPr>
          <w:rStyle w:val="TextoNormalNegritaCaracter"/>
        </w:rPr>
        <w:t>Artículo 1.</w:t>
      </w:r>
      <w:r w:rsidRPr="00DA359F">
        <w:rPr>
          <w:rStyle w:val="TextoNormalCaracter"/>
        </w:rPr>
        <w:t>-</w:t>
      </w:r>
      <w:r>
        <w:t xml:space="preserve"> Sentencias </w:t>
      </w:r>
      <w:hyperlink w:anchor="SENTENCIA_2023_83" w:history="1">
        <w:r w:rsidRPr="00DA359F">
          <w:rPr>
            <w:rStyle w:val="TextoNormalCaracter"/>
          </w:rPr>
          <w:t>83/2023</w:t>
        </w:r>
      </w:hyperlink>
      <w:r>
        <w:t xml:space="preserve">, f. 1; </w:t>
      </w:r>
      <w:hyperlink w:anchor="SENTENCIA_2023_163" w:history="1">
        <w:r w:rsidRPr="00DA359F">
          <w:rPr>
            <w:rStyle w:val="TextoNormalCaracter"/>
          </w:rPr>
          <w:t>163/2023</w:t>
        </w:r>
      </w:hyperlink>
      <w:r>
        <w:t>, f. único.</w:t>
      </w:r>
    </w:p>
    <w:p w14:paraId="57FBBDA6" w14:textId="6FA77101" w:rsidR="00DA359F" w:rsidRDefault="00DA359F" w:rsidP="00DA359F">
      <w:pPr>
        <w:pStyle w:val="SangriaFrancesaArticulo"/>
      </w:pPr>
    </w:p>
    <w:p w14:paraId="2A95A276" w14:textId="77777777" w:rsidR="00DA359F" w:rsidRDefault="00DA359F" w:rsidP="00DA359F">
      <w:pPr>
        <w:pStyle w:val="TextoNormalNegritaCursivandice"/>
        <w:keepNext/>
      </w:pPr>
      <w:r>
        <w:t>Acuerdo de 19 de noviembre de 2021, del Pleno del Tribunal Constitucional, por el que se dispone la composición de las Salas y Secciones del Tribunal Constitucional</w:t>
      </w:r>
    </w:p>
    <w:p w14:paraId="6987D8CD" w14:textId="2EBA8D09" w:rsidR="00DA359F" w:rsidRDefault="00DA359F" w:rsidP="00DA359F">
      <w:pPr>
        <w:pStyle w:val="SangriaFrancesaArticulo"/>
      </w:pPr>
      <w:r w:rsidRPr="00DA359F">
        <w:rPr>
          <w:rStyle w:val="TextoNormalNegritaCaracter"/>
        </w:rPr>
        <w:t>Artículo 2.1.</w:t>
      </w:r>
      <w:r w:rsidRPr="00DA359F">
        <w:rPr>
          <w:rStyle w:val="TextoNormalCaracter"/>
        </w:rPr>
        <w:t>-</w:t>
      </w:r>
      <w:r>
        <w:t xml:space="preserve"> Auto </w:t>
      </w:r>
      <w:hyperlink w:anchor="AUTO_2023_353" w:history="1">
        <w:r w:rsidRPr="00DA359F">
          <w:rPr>
            <w:rStyle w:val="TextoNormalCaracter"/>
          </w:rPr>
          <w:t>353/2023</w:t>
        </w:r>
      </w:hyperlink>
      <w:r>
        <w:t>, f. 3.</w:t>
      </w:r>
    </w:p>
    <w:p w14:paraId="3F61697E" w14:textId="2E3F2DC4" w:rsidR="00DA359F" w:rsidRDefault="00DA359F" w:rsidP="00DA359F">
      <w:pPr>
        <w:pStyle w:val="SangriaFrancesaArticulo"/>
      </w:pPr>
      <w:r w:rsidRPr="00DA359F">
        <w:rPr>
          <w:rStyle w:val="TextoNormalNegritaCaracter"/>
        </w:rPr>
        <w:t>Artículo 2.2.</w:t>
      </w:r>
      <w:r w:rsidRPr="00DA359F">
        <w:rPr>
          <w:rStyle w:val="TextoNormalCaracter"/>
        </w:rPr>
        <w:t>-</w:t>
      </w:r>
      <w:r>
        <w:t xml:space="preserve"> Auto </w:t>
      </w:r>
      <w:hyperlink w:anchor="AUTO_2023_353" w:history="1">
        <w:r w:rsidRPr="00DA359F">
          <w:rPr>
            <w:rStyle w:val="TextoNormalCaracter"/>
          </w:rPr>
          <w:t>353/2023</w:t>
        </w:r>
      </w:hyperlink>
      <w:r>
        <w:t>, f. 3.</w:t>
      </w:r>
    </w:p>
    <w:p w14:paraId="24E507CF" w14:textId="01694AA6" w:rsidR="00DA359F" w:rsidRDefault="00DA359F" w:rsidP="00DA359F">
      <w:pPr>
        <w:pStyle w:val="SangriaFrancesaArticulo"/>
      </w:pPr>
    </w:p>
    <w:p w14:paraId="5ADCD519" w14:textId="77777777" w:rsidR="00DA359F" w:rsidRDefault="00DA359F" w:rsidP="00DA359F">
      <w:pPr>
        <w:pStyle w:val="TextoNormalNegritaCursivandice"/>
        <w:keepNext/>
      </w:pPr>
      <w:r>
        <w:t>Acuerdo de 17 de enero de 2023, del Pleno del Tribunal Constitucional, por el que se dispone la composición de las Salas y Secciones del Tribunal Constitucional</w:t>
      </w:r>
    </w:p>
    <w:p w14:paraId="2516AFAF" w14:textId="4BD217E4" w:rsidR="00DA359F" w:rsidRDefault="00DA359F" w:rsidP="00DA359F">
      <w:pPr>
        <w:pStyle w:val="SangriaFrancesaArticulo"/>
      </w:pPr>
      <w:r w:rsidRPr="00DA359F">
        <w:rPr>
          <w:rStyle w:val="TextoNormalNegritaCaracter"/>
        </w:rPr>
        <w:t>En general.</w:t>
      </w:r>
      <w:r w:rsidRPr="00DA359F">
        <w:rPr>
          <w:rStyle w:val="TextoNormalCaracter"/>
        </w:rPr>
        <w:t>-</w:t>
      </w:r>
      <w:r>
        <w:t xml:space="preserve"> Autos </w:t>
      </w:r>
      <w:hyperlink w:anchor="AUTO_2023_353" w:history="1">
        <w:r w:rsidRPr="00DA359F">
          <w:rPr>
            <w:rStyle w:val="TextoNormalCaracter"/>
          </w:rPr>
          <w:t>353/2023</w:t>
        </w:r>
      </w:hyperlink>
      <w:r>
        <w:t xml:space="preserve">, ff. 1, 3; </w:t>
      </w:r>
      <w:hyperlink w:anchor="AUTO_2023_665" w:history="1">
        <w:r w:rsidRPr="00DA359F">
          <w:rPr>
            <w:rStyle w:val="TextoNormalCaracter"/>
          </w:rPr>
          <w:t>665/2023</w:t>
        </w:r>
      </w:hyperlink>
      <w:r>
        <w:t>, f. 2.</w:t>
      </w:r>
    </w:p>
    <w:p w14:paraId="14DCA6A0" w14:textId="03A658AD" w:rsidR="00DA359F" w:rsidRDefault="00DA359F" w:rsidP="00DA359F">
      <w:pPr>
        <w:pStyle w:val="SangriaFrancesaArticulo"/>
      </w:pPr>
      <w:r w:rsidRPr="00DA359F">
        <w:rPr>
          <w:rStyle w:val="TextoNormalNegritaCaracter"/>
        </w:rPr>
        <w:t>Artículo 3.1.</w:t>
      </w:r>
      <w:r w:rsidRPr="00DA359F">
        <w:rPr>
          <w:rStyle w:val="TextoNormalCaracter"/>
        </w:rPr>
        <w:t>-</w:t>
      </w:r>
      <w:r>
        <w:t xml:space="preserve"> Auto </w:t>
      </w:r>
      <w:hyperlink w:anchor="AUTO_2023_353" w:history="1">
        <w:r w:rsidRPr="00DA359F">
          <w:rPr>
            <w:rStyle w:val="TextoNormalCaracter"/>
          </w:rPr>
          <w:t>353/2023</w:t>
        </w:r>
      </w:hyperlink>
      <w:r>
        <w:t>, ff. 1, 3.</w:t>
      </w:r>
    </w:p>
    <w:p w14:paraId="03321E34" w14:textId="4AEFE452" w:rsidR="00DA359F" w:rsidRDefault="00DA359F" w:rsidP="00DA359F">
      <w:pPr>
        <w:pStyle w:val="SangriaFrancesaArticulo"/>
      </w:pPr>
      <w:r w:rsidRPr="00DA359F">
        <w:rPr>
          <w:rStyle w:val="TextoNormalNegritaCaracter"/>
        </w:rPr>
        <w:t>Artículo 3.2.</w:t>
      </w:r>
      <w:r w:rsidRPr="00DA359F">
        <w:rPr>
          <w:rStyle w:val="TextoNormalCaracter"/>
        </w:rPr>
        <w:t>-</w:t>
      </w:r>
      <w:r>
        <w:t xml:space="preserve"> Auto </w:t>
      </w:r>
      <w:hyperlink w:anchor="AUTO_2023_353" w:history="1">
        <w:r w:rsidRPr="00DA359F">
          <w:rPr>
            <w:rStyle w:val="TextoNormalCaracter"/>
          </w:rPr>
          <w:t>353/2023</w:t>
        </w:r>
      </w:hyperlink>
      <w:r>
        <w:t>, f. 3.</w:t>
      </w:r>
    </w:p>
    <w:p w14:paraId="06BCAD9D" w14:textId="0F5D23C6" w:rsidR="00DA359F" w:rsidRDefault="00DA359F" w:rsidP="00DA359F">
      <w:pPr>
        <w:pStyle w:val="SangriaFrancesaArticulo"/>
      </w:pPr>
    </w:p>
    <w:p w14:paraId="201AEB3F" w14:textId="77777777" w:rsidR="00DA359F" w:rsidRDefault="00DA359F" w:rsidP="00DA359F">
      <w:pPr>
        <w:pStyle w:val="TextoNormalNegritaCursivandice"/>
        <w:keepNext/>
      </w:pPr>
      <w:r>
        <w:t>Acuerdo de 6 de julio de 2023, del Pleno del Tribunal Constitucional, por el que se establece el régimen de días inhábiles en los procesos constitucionales</w:t>
      </w:r>
    </w:p>
    <w:p w14:paraId="26ECE3D1" w14:textId="57AE854B" w:rsidR="00DA359F" w:rsidRDefault="00DA359F" w:rsidP="00DA359F">
      <w:pPr>
        <w:pStyle w:val="SangriaFrancesaArticulo"/>
      </w:pPr>
      <w:r w:rsidRPr="00DA359F">
        <w:rPr>
          <w:rStyle w:val="TextoNormalNegritaCaracter"/>
        </w:rPr>
        <w:t>Artículo 1.</w:t>
      </w:r>
      <w:r w:rsidRPr="00DA359F">
        <w:rPr>
          <w:rStyle w:val="TextoNormalCaracter"/>
        </w:rPr>
        <w:t>-</w:t>
      </w:r>
      <w:r>
        <w:t xml:space="preserve"> Auto </w:t>
      </w:r>
      <w:hyperlink w:anchor="AUTO_2023_490" w:history="1">
        <w:r w:rsidRPr="00DA359F">
          <w:rPr>
            <w:rStyle w:val="TextoNormalCaracter"/>
          </w:rPr>
          <w:t>490/2023</w:t>
        </w:r>
      </w:hyperlink>
      <w:r>
        <w:t>, f. 1.</w:t>
      </w:r>
    </w:p>
    <w:p w14:paraId="6AAAA969" w14:textId="75F3D986" w:rsidR="00DA359F" w:rsidRDefault="00DA359F" w:rsidP="00DA359F">
      <w:pPr>
        <w:pStyle w:val="TextoNormal"/>
      </w:pPr>
    </w:p>
    <w:p w14:paraId="75125BE4" w14:textId="77777777" w:rsidR="00DA359F" w:rsidRDefault="00DA359F" w:rsidP="00DA359F">
      <w:pPr>
        <w:pStyle w:val="SangriaFrancesaArticulo"/>
      </w:pPr>
      <w:bookmarkStart w:id="482" w:name="INDICE22844"/>
    </w:p>
    <w:bookmarkEnd w:id="482"/>
    <w:p w14:paraId="7D487A01" w14:textId="77777777" w:rsidR="00DA359F" w:rsidRDefault="00DA359F" w:rsidP="00DA359F">
      <w:pPr>
        <w:pStyle w:val="TextoIndiceNivel2"/>
        <w:suppressAutoHyphens/>
      </w:pPr>
      <w:r>
        <w:t>C) Cortes Generales</w:t>
      </w:r>
    </w:p>
    <w:p w14:paraId="402F34FA" w14:textId="6E102AD7" w:rsidR="00DA359F" w:rsidRDefault="00DA359F" w:rsidP="00DA359F">
      <w:pPr>
        <w:pStyle w:val="TextoIndiceNivel2"/>
      </w:pPr>
    </w:p>
    <w:p w14:paraId="01308230" w14:textId="77777777" w:rsidR="00DA359F" w:rsidRDefault="00DA359F" w:rsidP="00DA359F">
      <w:pPr>
        <w:pStyle w:val="TextoNormalNegritaCursivandice"/>
        <w:keepNext/>
      </w:pPr>
      <w:r>
        <w:t>Reglamento del Congreso de los Diputados, de 10 de febrero de 1982</w:t>
      </w:r>
    </w:p>
    <w:p w14:paraId="5DD2973C" w14:textId="09C4A201"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Sentencias </w:t>
      </w:r>
      <w:hyperlink w:anchor="SENTENCIA_2023_165" w:history="1">
        <w:r w:rsidRPr="00DA359F">
          <w:rPr>
            <w:rStyle w:val="TextoNormalCaracter"/>
          </w:rPr>
          <w:t>165/2023</w:t>
        </w:r>
      </w:hyperlink>
      <w:r>
        <w:t xml:space="preserve">, f. 1, VP I; </w:t>
      </w:r>
      <w:hyperlink w:anchor="SENTENCIA_2023_189" w:history="1">
        <w:r w:rsidRPr="00DA359F">
          <w:rPr>
            <w:rStyle w:val="TextoNormalCaracter"/>
          </w:rPr>
          <w:t>189/2023</w:t>
        </w:r>
      </w:hyperlink>
      <w:r>
        <w:t>, f. 1.</w:t>
      </w:r>
    </w:p>
    <w:p w14:paraId="2FBC1C0E" w14:textId="145AD4EE" w:rsidR="00DA359F" w:rsidRDefault="00DA359F" w:rsidP="00DA359F">
      <w:pPr>
        <w:pStyle w:val="SangriaFrancesaArticulo"/>
      </w:pPr>
      <w:r w:rsidRPr="00DA359F">
        <w:rPr>
          <w:rStyle w:val="TextoNormalNegritaCaracter"/>
        </w:rPr>
        <w:t>Artículo 7.</w:t>
      </w:r>
      <w:r w:rsidRPr="00DA359F">
        <w:rPr>
          <w:rStyle w:val="TextoNormalCaracter"/>
        </w:rPr>
        <w:t>-</w:t>
      </w:r>
      <w:r>
        <w:t xml:space="preserve"> Sentencia </w:t>
      </w:r>
      <w:hyperlink w:anchor="SENTENCIA_2023_165" w:history="1">
        <w:r w:rsidRPr="00DA359F">
          <w:rPr>
            <w:rStyle w:val="TextoNormalCaracter"/>
          </w:rPr>
          <w:t>165/2023</w:t>
        </w:r>
      </w:hyperlink>
      <w:r>
        <w:t>, ff. 1, 3, 4, VP I.</w:t>
      </w:r>
    </w:p>
    <w:p w14:paraId="4E2D99F8" w14:textId="4262A198" w:rsidR="00DA359F" w:rsidRDefault="00DA359F" w:rsidP="00DA359F">
      <w:pPr>
        <w:pStyle w:val="SangriaFrancesaArticulo"/>
      </w:pPr>
      <w:r w:rsidRPr="00DA359F">
        <w:rPr>
          <w:rStyle w:val="TextoNormalNegritaCaracter"/>
        </w:rPr>
        <w:t>Artículo 7.1.</w:t>
      </w:r>
      <w:r w:rsidRPr="00DA359F">
        <w:rPr>
          <w:rStyle w:val="TextoNormalCaracter"/>
        </w:rPr>
        <w:t>-</w:t>
      </w:r>
      <w:r>
        <w:t xml:space="preserve"> Sentencia </w:t>
      </w:r>
      <w:hyperlink w:anchor="SENTENCIA_2023_165" w:history="1">
        <w:r w:rsidRPr="00DA359F">
          <w:rPr>
            <w:rStyle w:val="TextoNormalCaracter"/>
          </w:rPr>
          <w:t>165/2023</w:t>
        </w:r>
      </w:hyperlink>
      <w:r>
        <w:t>, f. 1.</w:t>
      </w:r>
    </w:p>
    <w:p w14:paraId="7A30270D" w14:textId="1B99BD75" w:rsidR="00DA359F" w:rsidRDefault="00DA359F" w:rsidP="00DA359F">
      <w:pPr>
        <w:pStyle w:val="SangriaFrancesaArticulo"/>
      </w:pPr>
      <w:r w:rsidRPr="00DA359F">
        <w:rPr>
          <w:rStyle w:val="TextoNormalNegritaCaracter"/>
        </w:rPr>
        <w:t>Artículo 7.2.</w:t>
      </w:r>
      <w:r w:rsidRPr="00DA359F">
        <w:rPr>
          <w:rStyle w:val="TextoNormalCaracter"/>
        </w:rPr>
        <w:t>-</w:t>
      </w:r>
      <w:r>
        <w:t xml:space="preserve"> Sentencia </w:t>
      </w:r>
      <w:hyperlink w:anchor="SENTENCIA_2023_165" w:history="1">
        <w:r w:rsidRPr="00DA359F">
          <w:rPr>
            <w:rStyle w:val="TextoNormalCaracter"/>
          </w:rPr>
          <w:t>165/2023</w:t>
        </w:r>
      </w:hyperlink>
      <w:r>
        <w:t>, f. 1, VP I.</w:t>
      </w:r>
    </w:p>
    <w:p w14:paraId="7F976FB5" w14:textId="2EB2850F" w:rsidR="00DA359F" w:rsidRDefault="00DA359F" w:rsidP="00DA359F">
      <w:pPr>
        <w:pStyle w:val="SangriaFrancesaArticulo"/>
      </w:pPr>
      <w:r w:rsidRPr="00DA359F">
        <w:rPr>
          <w:rStyle w:val="TextoNormalNegritaCaracter"/>
        </w:rPr>
        <w:t>Artículo 31.2.</w:t>
      </w:r>
      <w:r w:rsidRPr="00DA359F">
        <w:rPr>
          <w:rStyle w:val="TextoNormalCaracter"/>
        </w:rPr>
        <w:t>-</w:t>
      </w:r>
      <w:r>
        <w:t xml:space="preserve"> Sentencia </w:t>
      </w:r>
      <w:hyperlink w:anchor="SENTENCIA_2023_165" w:history="1">
        <w:r w:rsidRPr="00DA359F">
          <w:rPr>
            <w:rStyle w:val="TextoNormalCaracter"/>
          </w:rPr>
          <w:t>165/2023</w:t>
        </w:r>
      </w:hyperlink>
      <w:r>
        <w:t>, f. 4.</w:t>
      </w:r>
    </w:p>
    <w:p w14:paraId="726E0EBF" w14:textId="07201E30" w:rsidR="00DA359F" w:rsidRDefault="00DA359F" w:rsidP="00DA359F">
      <w:pPr>
        <w:pStyle w:val="SangriaFrancesaArticulo"/>
      </w:pPr>
      <w:r w:rsidRPr="00DA359F">
        <w:rPr>
          <w:rStyle w:val="TextoNormalNegritaCaracter"/>
        </w:rPr>
        <w:t>Artículo 32.</w:t>
      </w:r>
      <w:r w:rsidRPr="00DA359F">
        <w:rPr>
          <w:rStyle w:val="TextoNormalCaracter"/>
        </w:rPr>
        <w:t>-</w:t>
      </w:r>
      <w:r>
        <w:t xml:space="preserve"> Sentencia </w:t>
      </w:r>
      <w:hyperlink w:anchor="SENTENCIA_2023_165" w:history="1">
        <w:r w:rsidRPr="00DA359F">
          <w:rPr>
            <w:rStyle w:val="TextoNormalCaracter"/>
          </w:rPr>
          <w:t>165/2023</w:t>
        </w:r>
      </w:hyperlink>
      <w:r>
        <w:t>, VP I.</w:t>
      </w:r>
    </w:p>
    <w:p w14:paraId="72D998D7" w14:textId="20D603EB" w:rsidR="00DA359F" w:rsidRDefault="00DA359F" w:rsidP="00DA359F">
      <w:pPr>
        <w:pStyle w:val="SangriaFrancesaArticulo"/>
      </w:pPr>
      <w:r w:rsidRPr="00DA359F">
        <w:rPr>
          <w:rStyle w:val="TextoNormalNegritaCaracter"/>
        </w:rPr>
        <w:t>Artículo 44.</w:t>
      </w:r>
      <w:r w:rsidRPr="00DA359F">
        <w:rPr>
          <w:rStyle w:val="TextoNormalCaracter"/>
        </w:rPr>
        <w:t>-</w:t>
      </w:r>
      <w:r>
        <w:t xml:space="preserve"> Sentencia </w:t>
      </w:r>
      <w:hyperlink w:anchor="SENTENCIA_2023_94" w:history="1">
        <w:r w:rsidRPr="00DA359F">
          <w:rPr>
            <w:rStyle w:val="TextoNormalCaracter"/>
          </w:rPr>
          <w:t>94/2023</w:t>
        </w:r>
      </w:hyperlink>
      <w:r>
        <w:t>, f. 2.</w:t>
      </w:r>
    </w:p>
    <w:p w14:paraId="0B0477CF" w14:textId="4DB1D6E2" w:rsidR="00DA359F" w:rsidRDefault="00DA359F" w:rsidP="00DA359F">
      <w:pPr>
        <w:pStyle w:val="SangriaFrancesaArticulo"/>
      </w:pPr>
      <w:r w:rsidRPr="00DA359F">
        <w:rPr>
          <w:rStyle w:val="TextoNormalNegritaCaracter"/>
        </w:rPr>
        <w:t>Artículo 69.</w:t>
      </w:r>
      <w:r w:rsidRPr="00DA359F">
        <w:rPr>
          <w:rStyle w:val="TextoNormalCaracter"/>
        </w:rPr>
        <w:t>-</w:t>
      </w:r>
      <w:r>
        <w:t xml:space="preserve"> Sentencia </w:t>
      </w:r>
      <w:hyperlink w:anchor="SENTENCIA_2023_128" w:history="1">
        <w:r w:rsidRPr="00DA359F">
          <w:rPr>
            <w:rStyle w:val="TextoNormalCaracter"/>
          </w:rPr>
          <w:t>128/2023</w:t>
        </w:r>
      </w:hyperlink>
      <w:r>
        <w:t>, ff. 1, 3.</w:t>
      </w:r>
    </w:p>
    <w:p w14:paraId="2E18C393" w14:textId="7FE6A4C3" w:rsidR="00DA359F" w:rsidRDefault="00DA359F" w:rsidP="00DA359F">
      <w:pPr>
        <w:pStyle w:val="SangriaFrancesaArticulo"/>
      </w:pPr>
      <w:r w:rsidRPr="00DA359F">
        <w:rPr>
          <w:rStyle w:val="TextoNormalNegritaCaracter"/>
        </w:rPr>
        <w:t>Artículo 93.</w:t>
      </w:r>
      <w:r w:rsidRPr="00DA359F">
        <w:rPr>
          <w:rStyle w:val="TextoNormalCaracter"/>
        </w:rPr>
        <w:t>-</w:t>
      </w:r>
      <w:r>
        <w:t xml:space="preserve"> Sentencia </w:t>
      </w:r>
      <w:hyperlink w:anchor="SENTENCIA_2023_94" w:history="1">
        <w:r w:rsidRPr="00DA359F">
          <w:rPr>
            <w:rStyle w:val="TextoNormalCaracter"/>
          </w:rPr>
          <w:t>94/2023</w:t>
        </w:r>
      </w:hyperlink>
      <w:r>
        <w:t>, f. 2.</w:t>
      </w:r>
    </w:p>
    <w:p w14:paraId="2A703B45" w14:textId="72ACACDD" w:rsidR="00DA359F" w:rsidRDefault="00DA359F" w:rsidP="00DA359F">
      <w:pPr>
        <w:pStyle w:val="SangriaFrancesaArticulo"/>
      </w:pPr>
      <w:r w:rsidRPr="00DA359F">
        <w:rPr>
          <w:rStyle w:val="TextoNormalNegritaCaracter"/>
        </w:rPr>
        <w:t>Artículo 110.</w:t>
      </w:r>
      <w:r w:rsidRPr="00DA359F">
        <w:rPr>
          <w:rStyle w:val="TextoNormalCaracter"/>
        </w:rPr>
        <w:t>-</w:t>
      </w:r>
      <w:r>
        <w:t xml:space="preserve"> Sentencia </w:t>
      </w:r>
      <w:hyperlink w:anchor="SENTENCIA_2023_149" w:history="1">
        <w:r w:rsidRPr="00DA359F">
          <w:rPr>
            <w:rStyle w:val="TextoNormalCaracter"/>
          </w:rPr>
          <w:t>149/2023</w:t>
        </w:r>
      </w:hyperlink>
      <w:r>
        <w:t>, f. 2.</w:t>
      </w:r>
    </w:p>
    <w:p w14:paraId="150AD524" w14:textId="6958CA1C" w:rsidR="00DA359F" w:rsidRDefault="00DA359F" w:rsidP="00DA359F">
      <w:pPr>
        <w:pStyle w:val="SangriaFrancesaArticulo"/>
      </w:pPr>
      <w:r w:rsidRPr="00DA359F">
        <w:rPr>
          <w:rStyle w:val="TextoNormalNegritaCaracter"/>
        </w:rPr>
        <w:t>Artículo 110.1.</w:t>
      </w:r>
      <w:r w:rsidRPr="00DA359F">
        <w:rPr>
          <w:rStyle w:val="TextoNormalCaracter"/>
        </w:rPr>
        <w:t>-</w:t>
      </w:r>
      <w:r>
        <w:t xml:space="preserve"> Sentencia </w:t>
      </w:r>
      <w:hyperlink w:anchor="SENTENCIA_2023_149" w:history="1">
        <w:r w:rsidRPr="00DA359F">
          <w:rPr>
            <w:rStyle w:val="TextoNormalCaracter"/>
          </w:rPr>
          <w:t>149/2023</w:t>
        </w:r>
      </w:hyperlink>
      <w:r>
        <w:t>, f. 2, VP.</w:t>
      </w:r>
    </w:p>
    <w:p w14:paraId="0488AE6B" w14:textId="0CCF6D85" w:rsidR="00DA359F" w:rsidRDefault="00DA359F" w:rsidP="00DA359F">
      <w:pPr>
        <w:pStyle w:val="SangriaFrancesaArticulo"/>
      </w:pPr>
      <w:r w:rsidRPr="00DA359F">
        <w:rPr>
          <w:rStyle w:val="TextoNormalNegritaCaracter"/>
        </w:rPr>
        <w:t>Artículo 124.</w:t>
      </w:r>
      <w:r w:rsidRPr="00DA359F">
        <w:rPr>
          <w:rStyle w:val="TextoNormalCaracter"/>
        </w:rPr>
        <w:t>-</w:t>
      </w:r>
      <w:r>
        <w:t xml:space="preserve"> Sentencia </w:t>
      </w:r>
      <w:hyperlink w:anchor="SENTENCIA_2023_128" w:history="1">
        <w:r w:rsidRPr="00DA359F">
          <w:rPr>
            <w:rStyle w:val="TextoNormalCaracter"/>
          </w:rPr>
          <w:t>128/2023</w:t>
        </w:r>
      </w:hyperlink>
      <w:r>
        <w:t>, ff. 1, 3.</w:t>
      </w:r>
    </w:p>
    <w:p w14:paraId="508091E5" w14:textId="6B8F20F3" w:rsidR="00DA359F" w:rsidRDefault="00DA359F" w:rsidP="00DA359F">
      <w:pPr>
        <w:pStyle w:val="SangriaFrancesaArticulo"/>
      </w:pPr>
      <w:r w:rsidRPr="00DA359F">
        <w:rPr>
          <w:rStyle w:val="TextoNormalNegritaCaracter"/>
        </w:rPr>
        <w:t>Artículos 124 y ss..</w:t>
      </w:r>
      <w:r w:rsidRPr="00DA359F">
        <w:rPr>
          <w:rStyle w:val="TextoNormalCaracter"/>
        </w:rPr>
        <w:t>-</w:t>
      </w:r>
      <w:r>
        <w:t xml:space="preserve"> Sentencia </w:t>
      </w:r>
      <w:hyperlink w:anchor="SENTENCIA_2023_94" w:history="1">
        <w:r w:rsidRPr="00DA359F">
          <w:rPr>
            <w:rStyle w:val="TextoNormalCaracter"/>
          </w:rPr>
          <w:t>94/2023</w:t>
        </w:r>
      </w:hyperlink>
      <w:r>
        <w:t>, f. 2.</w:t>
      </w:r>
    </w:p>
    <w:p w14:paraId="6B88A752" w14:textId="08967989" w:rsidR="00DA359F" w:rsidRDefault="00DA359F" w:rsidP="00DA359F">
      <w:pPr>
        <w:pStyle w:val="SangriaFrancesaArticulo"/>
      </w:pPr>
      <w:r w:rsidRPr="00DA359F">
        <w:rPr>
          <w:rStyle w:val="TextoNormalNegritaCaracter"/>
        </w:rPr>
        <w:t>Artículo 126.</w:t>
      </w:r>
      <w:r w:rsidRPr="00DA359F">
        <w:rPr>
          <w:rStyle w:val="TextoNormalCaracter"/>
        </w:rPr>
        <w:t>-</w:t>
      </w:r>
      <w:r>
        <w:t xml:space="preserve"> Sentencia </w:t>
      </w:r>
      <w:hyperlink w:anchor="SENTENCIA_2023_132" w:history="1">
        <w:r w:rsidRPr="00DA359F">
          <w:rPr>
            <w:rStyle w:val="TextoNormalCaracter"/>
          </w:rPr>
          <w:t>132/2023</w:t>
        </w:r>
      </w:hyperlink>
      <w:r>
        <w:t>, VP.</w:t>
      </w:r>
    </w:p>
    <w:p w14:paraId="0C87A8E4" w14:textId="2B226C20" w:rsidR="00DA359F" w:rsidRDefault="00DA359F" w:rsidP="00DA359F">
      <w:pPr>
        <w:pStyle w:val="SangriaFrancesaArticulo"/>
      </w:pPr>
      <w:r w:rsidRPr="00DA359F">
        <w:rPr>
          <w:rStyle w:val="TextoNormalNegritaCaracter"/>
        </w:rPr>
        <w:t>Artículo 126.2.</w:t>
      </w:r>
      <w:r w:rsidRPr="00DA359F">
        <w:rPr>
          <w:rStyle w:val="TextoNormalCaracter"/>
        </w:rPr>
        <w:t>-</w:t>
      </w:r>
      <w:r>
        <w:t xml:space="preserve"> Sentencia </w:t>
      </w:r>
      <w:hyperlink w:anchor="SENTENCIA_2023_132" w:history="1">
        <w:r w:rsidRPr="00DA359F">
          <w:rPr>
            <w:rStyle w:val="TextoNormalCaracter"/>
          </w:rPr>
          <w:t>132/2023</w:t>
        </w:r>
      </w:hyperlink>
      <w:r>
        <w:t>, VP.</w:t>
      </w:r>
    </w:p>
    <w:p w14:paraId="258B33F1" w14:textId="715D00B7" w:rsidR="00DA359F" w:rsidRDefault="00DA359F" w:rsidP="00DA359F">
      <w:pPr>
        <w:pStyle w:val="SangriaFrancesaArticulo"/>
      </w:pPr>
      <w:r w:rsidRPr="00DA359F">
        <w:rPr>
          <w:rStyle w:val="TextoNormalNegritaCaracter"/>
        </w:rPr>
        <w:t>Artículo 126.3.</w:t>
      </w:r>
      <w:r w:rsidRPr="00DA359F">
        <w:rPr>
          <w:rStyle w:val="TextoNormalCaracter"/>
        </w:rPr>
        <w:t>-</w:t>
      </w:r>
      <w:r>
        <w:t xml:space="preserve"> Sentencia </w:t>
      </w:r>
      <w:hyperlink w:anchor="SENTENCIA_2023_132" w:history="1">
        <w:r w:rsidRPr="00DA359F">
          <w:rPr>
            <w:rStyle w:val="TextoNormalCaracter"/>
          </w:rPr>
          <w:t>132/2023</w:t>
        </w:r>
      </w:hyperlink>
      <w:r>
        <w:t>, f. 3.</w:t>
      </w:r>
    </w:p>
    <w:p w14:paraId="65F73B62" w14:textId="58ADFB36" w:rsidR="00DA359F" w:rsidRDefault="00DA359F" w:rsidP="00DA359F">
      <w:pPr>
        <w:pStyle w:val="SangriaFrancesaArticulo"/>
      </w:pPr>
    </w:p>
    <w:p w14:paraId="6BD6DAF8" w14:textId="77777777" w:rsidR="00DA359F" w:rsidRDefault="00DA359F" w:rsidP="00DA359F">
      <w:pPr>
        <w:pStyle w:val="TextoNormalNegritaCursivandice"/>
        <w:keepNext/>
      </w:pPr>
      <w:r>
        <w:t>Reglamento del Senado, de 26 de mayo de 1982</w:t>
      </w:r>
    </w:p>
    <w:p w14:paraId="4D63AA88" w14:textId="4B4BF9C4" w:rsidR="00DA359F" w:rsidRDefault="00DA359F" w:rsidP="00DA359F">
      <w:pPr>
        <w:pStyle w:val="SangriaFrancesaArticulo"/>
      </w:pPr>
      <w:r w:rsidRPr="00DA359F">
        <w:rPr>
          <w:rStyle w:val="TextoNormalNegritaCaracter"/>
        </w:rPr>
        <w:t>Título IV, capítulo I.</w:t>
      </w:r>
      <w:r w:rsidRPr="00DA359F">
        <w:rPr>
          <w:rStyle w:val="TextoNormalCaracter"/>
        </w:rPr>
        <w:t>-</w:t>
      </w:r>
      <w:r>
        <w:t xml:space="preserve"> Sentencia </w:t>
      </w:r>
      <w:hyperlink w:anchor="SENTENCIA_2023_167" w:history="1">
        <w:r w:rsidRPr="00DA359F">
          <w:rPr>
            <w:rStyle w:val="TextoNormalCaracter"/>
          </w:rPr>
          <w:t>167/2023</w:t>
        </w:r>
      </w:hyperlink>
      <w:r>
        <w:t>, f. 5.</w:t>
      </w:r>
    </w:p>
    <w:p w14:paraId="0CAC0128" w14:textId="115C4CFE" w:rsidR="00DA359F" w:rsidRDefault="00DA359F" w:rsidP="00DA359F">
      <w:pPr>
        <w:pStyle w:val="SangriaFrancesaArticulo"/>
      </w:pPr>
      <w:r w:rsidRPr="00DA359F">
        <w:rPr>
          <w:rStyle w:val="TextoNormalNegritaCaracter"/>
        </w:rPr>
        <w:t>Artículo 11.3.</w:t>
      </w:r>
      <w:r w:rsidRPr="00DA359F">
        <w:rPr>
          <w:rStyle w:val="TextoNormalCaracter"/>
        </w:rPr>
        <w:t>-</w:t>
      </w:r>
      <w:r>
        <w:t xml:space="preserve"> Sentencia </w:t>
      </w:r>
      <w:hyperlink w:anchor="SENTENCIA_2023_140" w:history="1">
        <w:r w:rsidRPr="00DA359F">
          <w:rPr>
            <w:rStyle w:val="TextoNormalCaracter"/>
          </w:rPr>
          <w:t>140/2023</w:t>
        </w:r>
      </w:hyperlink>
      <w:r>
        <w:t>, f. 1.</w:t>
      </w:r>
    </w:p>
    <w:p w14:paraId="1BD2E01B" w14:textId="2A979C3E" w:rsidR="00DA359F" w:rsidRDefault="00DA359F" w:rsidP="00DA359F">
      <w:pPr>
        <w:pStyle w:val="SangriaFrancesaArticulo"/>
      </w:pPr>
      <w:r w:rsidRPr="00DA359F">
        <w:rPr>
          <w:rStyle w:val="TextoNormalNegritaCaracter"/>
        </w:rPr>
        <w:t>Artículo 36.1 c).</w:t>
      </w:r>
      <w:r w:rsidRPr="00DA359F">
        <w:rPr>
          <w:rStyle w:val="TextoNormalCaracter"/>
        </w:rPr>
        <w:t>-</w:t>
      </w:r>
      <w:r>
        <w:t xml:space="preserve"> Sentencia </w:t>
      </w:r>
      <w:hyperlink w:anchor="SENTENCIA_2023_167" w:history="1">
        <w:r w:rsidRPr="00DA359F">
          <w:rPr>
            <w:rStyle w:val="TextoNormalCaracter"/>
          </w:rPr>
          <w:t>167/2023</w:t>
        </w:r>
      </w:hyperlink>
      <w:r>
        <w:t>, ff. 6, 7, 9.</w:t>
      </w:r>
    </w:p>
    <w:p w14:paraId="07C31AB1" w14:textId="13B8F834" w:rsidR="00DA359F" w:rsidRDefault="00DA359F" w:rsidP="00DA359F">
      <w:pPr>
        <w:pStyle w:val="SangriaFrancesaArticulo"/>
      </w:pPr>
      <w:r w:rsidRPr="00DA359F">
        <w:rPr>
          <w:rStyle w:val="TextoNormalNegritaCaracter"/>
        </w:rPr>
        <w:t>Artículo 36.2.</w:t>
      </w:r>
      <w:r w:rsidRPr="00DA359F">
        <w:rPr>
          <w:rStyle w:val="TextoNormalCaracter"/>
        </w:rPr>
        <w:t>-</w:t>
      </w:r>
      <w:r>
        <w:t xml:space="preserve"> Sentencia </w:t>
      </w:r>
      <w:hyperlink w:anchor="SENTENCIA_2023_167" w:history="1">
        <w:r w:rsidRPr="00DA359F">
          <w:rPr>
            <w:rStyle w:val="TextoNormalCaracter"/>
          </w:rPr>
          <w:t>167/2023</w:t>
        </w:r>
      </w:hyperlink>
      <w:r>
        <w:t>, f. 6.</w:t>
      </w:r>
    </w:p>
    <w:p w14:paraId="1274FCB1" w14:textId="66B6F4EA" w:rsidR="00DA359F" w:rsidRDefault="00DA359F" w:rsidP="00DA359F">
      <w:pPr>
        <w:pStyle w:val="SangriaFrancesaArticulo"/>
      </w:pPr>
      <w:r w:rsidRPr="00DA359F">
        <w:rPr>
          <w:rStyle w:val="TextoNormalNegritaCaracter"/>
        </w:rPr>
        <w:t>Artículo 37.9.</w:t>
      </w:r>
      <w:r w:rsidRPr="00DA359F">
        <w:rPr>
          <w:rStyle w:val="TextoNormalCaracter"/>
        </w:rPr>
        <w:t>-</w:t>
      </w:r>
      <w:r>
        <w:t xml:space="preserve"> Sentencia </w:t>
      </w:r>
      <w:hyperlink w:anchor="SENTENCIA_2023_167" w:history="1">
        <w:r w:rsidRPr="00DA359F">
          <w:rPr>
            <w:rStyle w:val="TextoNormalCaracter"/>
          </w:rPr>
          <w:t>167/2023</w:t>
        </w:r>
      </w:hyperlink>
      <w:r>
        <w:t>, f. 10.</w:t>
      </w:r>
    </w:p>
    <w:p w14:paraId="5D87E2F1" w14:textId="4675F90C" w:rsidR="00DA359F" w:rsidRDefault="00DA359F" w:rsidP="00DA359F">
      <w:pPr>
        <w:pStyle w:val="SangriaFrancesaArticulo"/>
      </w:pPr>
      <w:r w:rsidRPr="00DA359F">
        <w:rPr>
          <w:rStyle w:val="TextoNormalNegritaCaracter"/>
        </w:rPr>
        <w:t>Artículo 106.1.</w:t>
      </w:r>
      <w:r w:rsidRPr="00DA359F">
        <w:rPr>
          <w:rStyle w:val="TextoNormalCaracter"/>
        </w:rPr>
        <w:t>-</w:t>
      </w:r>
      <w:r>
        <w:t xml:space="preserve"> Sentencia </w:t>
      </w:r>
      <w:hyperlink w:anchor="SENTENCIA_2023_167" w:history="1">
        <w:r w:rsidRPr="00DA359F">
          <w:rPr>
            <w:rStyle w:val="TextoNormalCaracter"/>
          </w:rPr>
          <w:t>167/2023</w:t>
        </w:r>
      </w:hyperlink>
      <w:r>
        <w:t>, ff. 1, 2, 4, 5, 10.</w:t>
      </w:r>
    </w:p>
    <w:p w14:paraId="6D064D0D" w14:textId="56799839" w:rsidR="00DA359F" w:rsidRDefault="00DA359F" w:rsidP="00DA359F">
      <w:pPr>
        <w:pStyle w:val="SangriaFrancesaArticulo"/>
      </w:pPr>
      <w:r w:rsidRPr="00DA359F">
        <w:rPr>
          <w:rStyle w:val="TextoNormalNegritaCaracter"/>
        </w:rPr>
        <w:t>Artículo 107.</w:t>
      </w:r>
      <w:r w:rsidRPr="00DA359F">
        <w:rPr>
          <w:rStyle w:val="TextoNormalCaracter"/>
        </w:rPr>
        <w:t>-</w:t>
      </w:r>
      <w:r>
        <w:t xml:space="preserve"> Sentencia </w:t>
      </w:r>
      <w:hyperlink w:anchor="SENTENCIA_2023_167" w:history="1">
        <w:r w:rsidRPr="00DA359F">
          <w:rPr>
            <w:rStyle w:val="TextoNormalCaracter"/>
          </w:rPr>
          <w:t>167/2023</w:t>
        </w:r>
      </w:hyperlink>
      <w:r>
        <w:t>, ff. 5, 6.</w:t>
      </w:r>
    </w:p>
    <w:p w14:paraId="116FF278" w14:textId="01A419B7" w:rsidR="00DA359F" w:rsidRDefault="00DA359F" w:rsidP="00DA359F">
      <w:pPr>
        <w:pStyle w:val="SangriaFrancesaArticulo"/>
      </w:pPr>
      <w:r w:rsidRPr="00DA359F">
        <w:rPr>
          <w:rStyle w:val="TextoNormalNegritaCaracter"/>
        </w:rPr>
        <w:t>Artículo 107.1.</w:t>
      </w:r>
      <w:r w:rsidRPr="00DA359F">
        <w:rPr>
          <w:rStyle w:val="TextoNormalCaracter"/>
        </w:rPr>
        <w:t>-</w:t>
      </w:r>
      <w:r>
        <w:t xml:space="preserve"> Sentencia </w:t>
      </w:r>
      <w:hyperlink w:anchor="SENTENCIA_2023_149" w:history="1">
        <w:r w:rsidRPr="00DA359F">
          <w:rPr>
            <w:rStyle w:val="TextoNormalCaracter"/>
          </w:rPr>
          <w:t>149/2023</w:t>
        </w:r>
      </w:hyperlink>
      <w:r>
        <w:t>, f. 2.</w:t>
      </w:r>
    </w:p>
    <w:p w14:paraId="3030AAF8" w14:textId="3420A9CD" w:rsidR="00DA359F" w:rsidRDefault="00DA359F" w:rsidP="00DA359F">
      <w:pPr>
        <w:pStyle w:val="SangriaFrancesaArticulo"/>
      </w:pPr>
      <w:r w:rsidRPr="00DA359F">
        <w:rPr>
          <w:rStyle w:val="TextoNormalNegritaCaracter"/>
        </w:rPr>
        <w:t>Artículo 115.</w:t>
      </w:r>
      <w:r w:rsidRPr="00DA359F">
        <w:rPr>
          <w:rStyle w:val="TextoNormalCaracter"/>
        </w:rPr>
        <w:t>-</w:t>
      </w:r>
      <w:r>
        <w:t xml:space="preserve"> Sentencia </w:t>
      </w:r>
      <w:hyperlink w:anchor="SENTENCIA_2023_167" w:history="1">
        <w:r w:rsidRPr="00DA359F">
          <w:rPr>
            <w:rStyle w:val="TextoNormalCaracter"/>
          </w:rPr>
          <w:t>167/2023</w:t>
        </w:r>
      </w:hyperlink>
      <w:r>
        <w:t>, f. 5.</w:t>
      </w:r>
    </w:p>
    <w:p w14:paraId="756AF700" w14:textId="7136A137" w:rsidR="00DA359F" w:rsidRDefault="00DA359F" w:rsidP="00DA359F">
      <w:pPr>
        <w:pStyle w:val="SangriaFrancesaArticulo"/>
      </w:pPr>
      <w:r w:rsidRPr="00DA359F">
        <w:rPr>
          <w:rStyle w:val="TextoNormalNegritaCaracter"/>
        </w:rPr>
        <w:t>Artículo 117.</w:t>
      </w:r>
      <w:r w:rsidRPr="00DA359F">
        <w:rPr>
          <w:rStyle w:val="TextoNormalCaracter"/>
        </w:rPr>
        <w:t>-</w:t>
      </w:r>
      <w:r>
        <w:t xml:space="preserve"> Sentencia </w:t>
      </w:r>
      <w:hyperlink w:anchor="SENTENCIA_2023_167" w:history="1">
        <w:r w:rsidRPr="00DA359F">
          <w:rPr>
            <w:rStyle w:val="TextoNormalCaracter"/>
          </w:rPr>
          <w:t>167/2023</w:t>
        </w:r>
      </w:hyperlink>
      <w:r>
        <w:t>, f. 5.</w:t>
      </w:r>
    </w:p>
    <w:p w14:paraId="7D32F6D8" w14:textId="5ECA2115" w:rsidR="00DA359F" w:rsidRDefault="00DA359F" w:rsidP="00DA359F">
      <w:pPr>
        <w:pStyle w:val="SangriaFrancesaArticulo"/>
      </w:pPr>
      <w:r w:rsidRPr="00DA359F">
        <w:rPr>
          <w:rStyle w:val="TextoNormalNegritaCaracter"/>
        </w:rPr>
        <w:t>Artículo 125.</w:t>
      </w:r>
      <w:r w:rsidRPr="00DA359F">
        <w:rPr>
          <w:rStyle w:val="TextoNormalCaracter"/>
        </w:rPr>
        <w:t>-</w:t>
      </w:r>
      <w:r>
        <w:t xml:space="preserve"> Sentencia </w:t>
      </w:r>
      <w:hyperlink w:anchor="SENTENCIA_2023_167" w:history="1">
        <w:r w:rsidRPr="00DA359F">
          <w:rPr>
            <w:rStyle w:val="TextoNormalCaracter"/>
          </w:rPr>
          <w:t>167/2023</w:t>
        </w:r>
      </w:hyperlink>
      <w:r>
        <w:t>, ff. 2, 5, 8 a 10.</w:t>
      </w:r>
    </w:p>
    <w:p w14:paraId="6D97C50E" w14:textId="75353C0B" w:rsidR="00DA359F" w:rsidRDefault="00DA359F" w:rsidP="00DA359F">
      <w:pPr>
        <w:pStyle w:val="SangriaFrancesaArticulo"/>
      </w:pPr>
      <w:r w:rsidRPr="00DA359F">
        <w:rPr>
          <w:rStyle w:val="TextoNormalNegritaCaracter"/>
        </w:rPr>
        <w:t>Artículo 125.1.</w:t>
      </w:r>
      <w:r w:rsidRPr="00DA359F">
        <w:rPr>
          <w:rStyle w:val="TextoNormalCaracter"/>
        </w:rPr>
        <w:t>-</w:t>
      </w:r>
      <w:r>
        <w:t xml:space="preserve"> Sentencia </w:t>
      </w:r>
      <w:hyperlink w:anchor="SENTENCIA_2023_167" w:history="1">
        <w:r w:rsidRPr="00DA359F">
          <w:rPr>
            <w:rStyle w:val="TextoNormalCaracter"/>
          </w:rPr>
          <w:t>167/2023</w:t>
        </w:r>
      </w:hyperlink>
      <w:r>
        <w:t>, ff. 5, 6.</w:t>
      </w:r>
    </w:p>
    <w:p w14:paraId="10384D94" w14:textId="70EF9BB2" w:rsidR="00DA359F" w:rsidRDefault="00DA359F" w:rsidP="00DA359F">
      <w:pPr>
        <w:pStyle w:val="SangriaFrancesaArticulo"/>
      </w:pPr>
      <w:r w:rsidRPr="00DA359F">
        <w:rPr>
          <w:rStyle w:val="TextoNormalNegritaCaracter"/>
        </w:rPr>
        <w:t>Artículo 125.1 a).</w:t>
      </w:r>
      <w:r w:rsidRPr="00DA359F">
        <w:rPr>
          <w:rStyle w:val="TextoNormalCaracter"/>
        </w:rPr>
        <w:t>-</w:t>
      </w:r>
      <w:r>
        <w:t xml:space="preserve"> Sentencia </w:t>
      </w:r>
      <w:hyperlink w:anchor="SENTENCIA_2023_167" w:history="1">
        <w:r w:rsidRPr="00DA359F">
          <w:rPr>
            <w:rStyle w:val="TextoNormalCaracter"/>
          </w:rPr>
          <w:t>167/2023</w:t>
        </w:r>
      </w:hyperlink>
      <w:r>
        <w:t>, f. 5.</w:t>
      </w:r>
    </w:p>
    <w:p w14:paraId="3A85026A" w14:textId="4734607C" w:rsidR="00DA359F" w:rsidRDefault="00DA359F" w:rsidP="00DA359F">
      <w:pPr>
        <w:pStyle w:val="SangriaFrancesaArticulo"/>
      </w:pPr>
      <w:r w:rsidRPr="00DA359F">
        <w:rPr>
          <w:rStyle w:val="TextoNormalNegritaCaracter"/>
        </w:rPr>
        <w:t>Artículo 125.1 b).</w:t>
      </w:r>
      <w:r w:rsidRPr="00DA359F">
        <w:rPr>
          <w:rStyle w:val="TextoNormalCaracter"/>
        </w:rPr>
        <w:t>-</w:t>
      </w:r>
      <w:r>
        <w:t xml:space="preserve"> Sentencia </w:t>
      </w:r>
      <w:hyperlink w:anchor="SENTENCIA_2023_167" w:history="1">
        <w:r w:rsidRPr="00DA359F">
          <w:rPr>
            <w:rStyle w:val="TextoNormalCaracter"/>
          </w:rPr>
          <w:t>167/2023</w:t>
        </w:r>
      </w:hyperlink>
      <w:r>
        <w:t>, f. 5.</w:t>
      </w:r>
    </w:p>
    <w:p w14:paraId="4ECEC82C" w14:textId="4AEAEFFA" w:rsidR="00DA359F" w:rsidRDefault="00DA359F" w:rsidP="00DA359F">
      <w:pPr>
        <w:pStyle w:val="SangriaFrancesaArticulo"/>
      </w:pPr>
      <w:r w:rsidRPr="00DA359F">
        <w:rPr>
          <w:rStyle w:val="TextoNormalNegritaCaracter"/>
        </w:rPr>
        <w:t>Artículo 125.2.</w:t>
      </w:r>
      <w:r w:rsidRPr="00DA359F">
        <w:rPr>
          <w:rStyle w:val="TextoNormalCaracter"/>
        </w:rPr>
        <w:t>-</w:t>
      </w:r>
      <w:r>
        <w:t xml:space="preserve"> Sentencia </w:t>
      </w:r>
      <w:hyperlink w:anchor="SENTENCIA_2023_167" w:history="1">
        <w:r w:rsidRPr="00DA359F">
          <w:rPr>
            <w:rStyle w:val="TextoNormalCaracter"/>
          </w:rPr>
          <w:t>167/2023</w:t>
        </w:r>
      </w:hyperlink>
      <w:r>
        <w:t>, ff. 5, 6.</w:t>
      </w:r>
    </w:p>
    <w:p w14:paraId="12AFF513" w14:textId="0274797F" w:rsidR="00DA359F" w:rsidRDefault="00DA359F" w:rsidP="00DA359F">
      <w:pPr>
        <w:pStyle w:val="SangriaFrancesaArticulo"/>
      </w:pPr>
      <w:r w:rsidRPr="00DA359F">
        <w:rPr>
          <w:rStyle w:val="TextoNormalNegritaCaracter"/>
        </w:rPr>
        <w:t>Artículo 125.3.</w:t>
      </w:r>
      <w:r w:rsidRPr="00DA359F">
        <w:rPr>
          <w:rStyle w:val="TextoNormalCaracter"/>
        </w:rPr>
        <w:t>-</w:t>
      </w:r>
      <w:r>
        <w:t xml:space="preserve"> Sentencia </w:t>
      </w:r>
      <w:hyperlink w:anchor="SENTENCIA_2023_167" w:history="1">
        <w:r w:rsidRPr="00DA359F">
          <w:rPr>
            <w:rStyle w:val="TextoNormalCaracter"/>
          </w:rPr>
          <w:t>167/2023</w:t>
        </w:r>
      </w:hyperlink>
      <w:r>
        <w:t>, ff. 2, 5.</w:t>
      </w:r>
    </w:p>
    <w:p w14:paraId="63FBAA85" w14:textId="27C0B797" w:rsidR="00DA359F" w:rsidRDefault="00DA359F" w:rsidP="00DA359F">
      <w:pPr>
        <w:pStyle w:val="SangriaFrancesaArticulo"/>
      </w:pPr>
      <w:r w:rsidRPr="00DA359F">
        <w:rPr>
          <w:rStyle w:val="TextoNormalNegritaCaracter"/>
        </w:rPr>
        <w:t>Artículo 130 a 136.</w:t>
      </w:r>
      <w:r w:rsidRPr="00DA359F">
        <w:rPr>
          <w:rStyle w:val="TextoNormalCaracter"/>
        </w:rPr>
        <w:t>-</w:t>
      </w:r>
      <w:r>
        <w:t xml:space="preserve"> Sentencia </w:t>
      </w:r>
      <w:hyperlink w:anchor="SENTENCIA_2023_167" w:history="1">
        <w:r w:rsidRPr="00DA359F">
          <w:rPr>
            <w:rStyle w:val="TextoNormalCaracter"/>
          </w:rPr>
          <w:t>167/2023</w:t>
        </w:r>
      </w:hyperlink>
      <w:r>
        <w:t>, f. 10.</w:t>
      </w:r>
    </w:p>
    <w:p w14:paraId="7856E912" w14:textId="584FF5CC" w:rsidR="00DA359F" w:rsidRDefault="00DA359F" w:rsidP="00DA359F">
      <w:pPr>
        <w:pStyle w:val="SangriaFrancesaArticulo"/>
      </w:pPr>
      <w:r w:rsidRPr="00DA359F">
        <w:rPr>
          <w:rStyle w:val="TextoNormalNegritaCaracter"/>
        </w:rPr>
        <w:t>Artículo 151.</w:t>
      </w:r>
      <w:r w:rsidRPr="00DA359F">
        <w:rPr>
          <w:rStyle w:val="TextoNormalCaracter"/>
        </w:rPr>
        <w:t>-</w:t>
      </w:r>
      <w:r>
        <w:t xml:space="preserve"> Sentencia </w:t>
      </w:r>
      <w:hyperlink w:anchor="SENTENCIA_2023_167" w:history="1">
        <w:r w:rsidRPr="00DA359F">
          <w:rPr>
            <w:rStyle w:val="TextoNormalCaracter"/>
          </w:rPr>
          <w:t>167/2023</w:t>
        </w:r>
      </w:hyperlink>
      <w:r>
        <w:t>, ff. 7, 8, 10.</w:t>
      </w:r>
    </w:p>
    <w:p w14:paraId="00632AB1" w14:textId="3CB7983E" w:rsidR="00DA359F" w:rsidRDefault="00DA359F" w:rsidP="00DA359F">
      <w:pPr>
        <w:pStyle w:val="SangriaFrancesaArticulo"/>
      </w:pPr>
      <w:r w:rsidRPr="00DA359F">
        <w:rPr>
          <w:rStyle w:val="TextoNormalNegritaCaracter"/>
        </w:rPr>
        <w:t>Artículo 151.1.</w:t>
      </w:r>
      <w:r w:rsidRPr="00DA359F">
        <w:rPr>
          <w:rStyle w:val="TextoNormalCaracter"/>
        </w:rPr>
        <w:t>-</w:t>
      </w:r>
      <w:r>
        <w:t xml:space="preserve"> Sentencia </w:t>
      </w:r>
      <w:hyperlink w:anchor="SENTENCIA_2023_167" w:history="1">
        <w:r w:rsidRPr="00DA359F">
          <w:rPr>
            <w:rStyle w:val="TextoNormalCaracter"/>
          </w:rPr>
          <w:t>167/2023</w:t>
        </w:r>
      </w:hyperlink>
      <w:r>
        <w:t>, ff. 2, 7.</w:t>
      </w:r>
    </w:p>
    <w:p w14:paraId="6019C820" w14:textId="174CBBE5" w:rsidR="00DA359F" w:rsidRDefault="00DA359F" w:rsidP="00DA359F">
      <w:pPr>
        <w:pStyle w:val="SangriaFrancesaArticulo"/>
      </w:pPr>
      <w:r w:rsidRPr="00DA359F">
        <w:rPr>
          <w:rStyle w:val="TextoNormalNegritaCaracter"/>
        </w:rPr>
        <w:t>Artículo 151.2.</w:t>
      </w:r>
      <w:r w:rsidRPr="00DA359F">
        <w:rPr>
          <w:rStyle w:val="TextoNormalCaracter"/>
        </w:rPr>
        <w:t>-</w:t>
      </w:r>
      <w:r>
        <w:t xml:space="preserve"> Sentencia </w:t>
      </w:r>
      <w:hyperlink w:anchor="SENTENCIA_2023_167" w:history="1">
        <w:r w:rsidRPr="00DA359F">
          <w:rPr>
            <w:rStyle w:val="TextoNormalCaracter"/>
          </w:rPr>
          <w:t>167/2023</w:t>
        </w:r>
      </w:hyperlink>
      <w:r>
        <w:t>, f. 7.</w:t>
      </w:r>
    </w:p>
    <w:p w14:paraId="7AB548DA" w14:textId="5E08538B" w:rsidR="00DA359F" w:rsidRDefault="00DA359F" w:rsidP="00DA359F">
      <w:pPr>
        <w:pStyle w:val="SangriaFrancesaArticulo"/>
      </w:pPr>
      <w:r w:rsidRPr="00DA359F">
        <w:rPr>
          <w:rStyle w:val="TextoNormalNegritaCaracter"/>
        </w:rPr>
        <w:t>Artículo 151.3.</w:t>
      </w:r>
      <w:r w:rsidRPr="00DA359F">
        <w:rPr>
          <w:rStyle w:val="TextoNormalCaracter"/>
        </w:rPr>
        <w:t>-</w:t>
      </w:r>
      <w:r>
        <w:t xml:space="preserve"> Sentencia </w:t>
      </w:r>
      <w:hyperlink w:anchor="SENTENCIA_2023_167" w:history="1">
        <w:r w:rsidRPr="00DA359F">
          <w:rPr>
            <w:rStyle w:val="TextoNormalCaracter"/>
          </w:rPr>
          <w:t>167/2023</w:t>
        </w:r>
      </w:hyperlink>
      <w:r>
        <w:t>, f. 7.</w:t>
      </w:r>
    </w:p>
    <w:p w14:paraId="23255DB1" w14:textId="273439B7" w:rsidR="00DA359F" w:rsidRDefault="00DA359F" w:rsidP="00DA359F">
      <w:pPr>
        <w:pStyle w:val="SangriaFrancesaArticulo"/>
      </w:pPr>
      <w:r w:rsidRPr="00DA359F">
        <w:rPr>
          <w:rStyle w:val="TextoNormalNegritaCaracter"/>
        </w:rPr>
        <w:t>Artículo 151.4.</w:t>
      </w:r>
      <w:r w:rsidRPr="00DA359F">
        <w:rPr>
          <w:rStyle w:val="TextoNormalCaracter"/>
        </w:rPr>
        <w:t>-</w:t>
      </w:r>
      <w:r>
        <w:t xml:space="preserve"> Sentencia </w:t>
      </w:r>
      <w:hyperlink w:anchor="SENTENCIA_2023_167" w:history="1">
        <w:r w:rsidRPr="00DA359F">
          <w:rPr>
            <w:rStyle w:val="TextoNormalCaracter"/>
          </w:rPr>
          <w:t>167/2023</w:t>
        </w:r>
      </w:hyperlink>
      <w:r>
        <w:t>, f. 7.</w:t>
      </w:r>
    </w:p>
    <w:p w14:paraId="21ED92A6" w14:textId="3ED6A53C" w:rsidR="00DA359F" w:rsidRDefault="00DA359F" w:rsidP="00DA359F">
      <w:pPr>
        <w:pStyle w:val="SangriaFrancesaArticulo"/>
      </w:pPr>
      <w:r w:rsidRPr="00DA359F">
        <w:rPr>
          <w:rStyle w:val="TextoNormalNegritaCaracter"/>
        </w:rPr>
        <w:t>Artículo 151.5.</w:t>
      </w:r>
      <w:r w:rsidRPr="00DA359F">
        <w:rPr>
          <w:rStyle w:val="TextoNormalCaracter"/>
        </w:rPr>
        <w:t>-</w:t>
      </w:r>
      <w:r>
        <w:t xml:space="preserve"> Sentencia </w:t>
      </w:r>
      <w:hyperlink w:anchor="SENTENCIA_2023_167" w:history="1">
        <w:r w:rsidRPr="00DA359F">
          <w:rPr>
            <w:rStyle w:val="TextoNormalCaracter"/>
          </w:rPr>
          <w:t>167/2023</w:t>
        </w:r>
      </w:hyperlink>
      <w:r>
        <w:t>, ff. 1 a 4, 7 a 10.</w:t>
      </w:r>
    </w:p>
    <w:p w14:paraId="549F3B7C" w14:textId="46BE102A" w:rsidR="00DA359F" w:rsidRDefault="00DA359F" w:rsidP="00DA359F">
      <w:pPr>
        <w:pStyle w:val="SangriaFrancesaArticulo"/>
      </w:pPr>
      <w:r w:rsidRPr="00DA359F">
        <w:rPr>
          <w:rStyle w:val="TextoNormalNegritaCaracter"/>
        </w:rPr>
        <w:t>Artículo 152.2.</w:t>
      </w:r>
      <w:r w:rsidRPr="00DA359F">
        <w:rPr>
          <w:rStyle w:val="TextoNormalCaracter"/>
        </w:rPr>
        <w:t>-</w:t>
      </w:r>
      <w:r>
        <w:t xml:space="preserve"> Sentencia </w:t>
      </w:r>
      <w:hyperlink w:anchor="SENTENCIA_2023_167" w:history="1">
        <w:r w:rsidRPr="00DA359F">
          <w:rPr>
            <w:rStyle w:val="TextoNormalCaracter"/>
          </w:rPr>
          <w:t>167/2023</w:t>
        </w:r>
      </w:hyperlink>
      <w:r>
        <w:t>, f. 2.</w:t>
      </w:r>
    </w:p>
    <w:p w14:paraId="1518E220" w14:textId="38B94457" w:rsidR="00DA359F" w:rsidRDefault="00DA359F" w:rsidP="00DA359F">
      <w:pPr>
        <w:pStyle w:val="SangriaFrancesaArticulo"/>
      </w:pPr>
      <w:r w:rsidRPr="00DA359F">
        <w:rPr>
          <w:rStyle w:val="TextoNormalNegritaCaracter"/>
        </w:rPr>
        <w:t>Artículo 155.</w:t>
      </w:r>
      <w:r w:rsidRPr="00DA359F">
        <w:rPr>
          <w:rStyle w:val="TextoNormalCaracter"/>
        </w:rPr>
        <w:t>-</w:t>
      </w:r>
      <w:r>
        <w:t xml:space="preserve"> Sentencia </w:t>
      </w:r>
      <w:hyperlink w:anchor="SENTENCIA_2023_167" w:history="1">
        <w:r w:rsidRPr="00DA359F">
          <w:rPr>
            <w:rStyle w:val="TextoNormalCaracter"/>
          </w:rPr>
          <w:t>167/2023</w:t>
        </w:r>
      </w:hyperlink>
      <w:r>
        <w:t>, f. 11.</w:t>
      </w:r>
    </w:p>
    <w:p w14:paraId="140F42F5" w14:textId="28886F0C" w:rsidR="00DA359F" w:rsidRDefault="00DA359F" w:rsidP="00DA359F">
      <w:pPr>
        <w:pStyle w:val="SangriaFrancesaArticulo"/>
      </w:pPr>
    </w:p>
    <w:p w14:paraId="2329283C" w14:textId="77777777" w:rsidR="00DA359F" w:rsidRDefault="00DA359F" w:rsidP="00DA359F">
      <w:pPr>
        <w:pStyle w:val="TextoNormalNegritaCursivandice"/>
        <w:keepNext/>
      </w:pPr>
      <w:r>
        <w:t>Acuerdo de la mesa del Senado de 18 de junio de 2019 por el que se desestima la reconsideración y la revisión frente al acuerdo de 29 de mayo de 2019 en relación con el requisito de promesa o juramento de acatamiento de la Constitución</w:t>
      </w:r>
    </w:p>
    <w:p w14:paraId="6486C559" w14:textId="5E26DC7B"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140" w:history="1">
        <w:r w:rsidRPr="00DA359F">
          <w:rPr>
            <w:rStyle w:val="TextoNormalCaracter"/>
          </w:rPr>
          <w:t>140/2023</w:t>
        </w:r>
      </w:hyperlink>
      <w:r>
        <w:t>, f. 1.</w:t>
      </w:r>
    </w:p>
    <w:p w14:paraId="4D94A8A9" w14:textId="7CD723D6" w:rsidR="00DA359F" w:rsidRDefault="00DA359F" w:rsidP="00DA359F">
      <w:pPr>
        <w:pStyle w:val="SangriaFrancesaArticulo"/>
      </w:pPr>
    </w:p>
    <w:p w14:paraId="16BCEC16" w14:textId="77777777" w:rsidR="00DA359F" w:rsidRDefault="00DA359F" w:rsidP="00DA359F">
      <w:pPr>
        <w:pStyle w:val="TextoNormalNegritaCursivandice"/>
        <w:keepNext/>
      </w:pPr>
      <w:r>
        <w:t>Acuerdo de la presidenta del Congreso de los Diputados de 21 de mayo de 2019 en relación con el requisito de promesa o juramento de acatamiento de la Constitución. Acuerdos de la mesa del Congreso de los Diputados de 23 de mayo de 2019 y de 20 de junio de 2019, por los que se desestima la revisión y la reconsideración, respectivamente, frente al anterior acuerdo</w:t>
      </w:r>
    </w:p>
    <w:p w14:paraId="4011E425" w14:textId="5D91605E"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139" w:history="1">
        <w:r w:rsidRPr="00DA359F">
          <w:rPr>
            <w:rStyle w:val="TextoNormalCaracter"/>
          </w:rPr>
          <w:t>139/2023</w:t>
        </w:r>
      </w:hyperlink>
      <w:r>
        <w:t>, f. 1.</w:t>
      </w:r>
    </w:p>
    <w:p w14:paraId="58A3EEDF" w14:textId="41FDC8EC" w:rsidR="00DA359F" w:rsidRDefault="00DA359F" w:rsidP="00DA359F">
      <w:pPr>
        <w:pStyle w:val="SangriaFrancesaArticulo"/>
      </w:pPr>
    </w:p>
    <w:p w14:paraId="58FA89B2" w14:textId="77777777" w:rsidR="00DA359F" w:rsidRDefault="00DA359F" w:rsidP="00DA359F">
      <w:pPr>
        <w:pStyle w:val="TextoNormalNegritaCursivandice"/>
        <w:keepNext/>
      </w:pPr>
      <w:r>
        <w:t>Acuerdo de la presidenta del Senado de 3 de diciembre de 2019, en relación con el requisito de promesa o juramento de acatamiento de la Constitución. Acuerdo de la mesa del Senado de 12 de diciembre de 2019, por el que se desestima la revisión frente al acuerdo anterior</w:t>
      </w:r>
    </w:p>
    <w:p w14:paraId="22A5C32D" w14:textId="1D677EFD"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141" w:history="1">
        <w:r w:rsidRPr="00DA359F">
          <w:rPr>
            <w:rStyle w:val="TextoNormalCaracter"/>
          </w:rPr>
          <w:t>141/2023</w:t>
        </w:r>
      </w:hyperlink>
      <w:r>
        <w:t>.</w:t>
      </w:r>
    </w:p>
    <w:p w14:paraId="72245AEA" w14:textId="26DA601B" w:rsidR="00DA359F" w:rsidRDefault="00DA359F" w:rsidP="00DA359F">
      <w:pPr>
        <w:pStyle w:val="SangriaFrancesaArticulo"/>
      </w:pPr>
    </w:p>
    <w:p w14:paraId="6869ADA1" w14:textId="77777777" w:rsidR="00DA359F" w:rsidRDefault="00DA359F" w:rsidP="00DA359F">
      <w:pPr>
        <w:pStyle w:val="TextoNormalNegritaCursivandice"/>
        <w:keepNext/>
      </w:pPr>
      <w:r>
        <w:t>Acuerdo de la presidenta del Congreso de los Diputados de 3 de diciembre de 2019 en relación con el requisito de promesa o juramento de acatamiento de la Constitución. Acuerdo de la mesa del Congreso de los Diputados de 13 de diciembre de 2019 por el que se denegó su competencia para el control de la decisión adoptada por la presidenta. Acuerdo de la misma mesa de 23 de enero de 2020 por el que se desestima la solicitud de reconsideración frente al acuerdo anterior</w:t>
      </w:r>
    </w:p>
    <w:p w14:paraId="3642879B" w14:textId="669FFFF2"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Sentencias </w:t>
      </w:r>
      <w:hyperlink w:anchor="SENTENCIA_2023_125" w:history="1">
        <w:r w:rsidRPr="00DA359F">
          <w:rPr>
            <w:rStyle w:val="TextoNormalCaracter"/>
          </w:rPr>
          <w:t>125/2023</w:t>
        </w:r>
      </w:hyperlink>
      <w:r>
        <w:t xml:space="preserve">, f. 1; </w:t>
      </w:r>
      <w:hyperlink w:anchor="SENTENCIA_2023_142" w:history="1">
        <w:r w:rsidRPr="00DA359F">
          <w:rPr>
            <w:rStyle w:val="TextoNormalCaracter"/>
          </w:rPr>
          <w:t>142/2023</w:t>
        </w:r>
      </w:hyperlink>
      <w:r>
        <w:t>.</w:t>
      </w:r>
    </w:p>
    <w:p w14:paraId="313E0A10" w14:textId="37A4544B" w:rsidR="00DA359F" w:rsidRDefault="00DA359F" w:rsidP="00DA359F">
      <w:pPr>
        <w:pStyle w:val="SangriaFrancesaArticulo"/>
      </w:pPr>
    </w:p>
    <w:p w14:paraId="7840A34A" w14:textId="77777777" w:rsidR="00DA359F" w:rsidRDefault="00DA359F" w:rsidP="00DA359F">
      <w:pPr>
        <w:pStyle w:val="TextoNormalNegritaCursivandice"/>
        <w:keepNext/>
      </w:pPr>
      <w:r>
        <w:t>Acuerdo de la mesa del Congreso de los Diputados de 20 de abril de 2021, sobre creación de la Autoridad Independiente de Recuperación Económica y la mejora de la gobernanza de los fondos europeos de recuperación. Acuerdo de la misma mesa de 18 de mayo de 2021 que desestima la solicitud de reconsideración frente al acuerdo anterior</w:t>
      </w:r>
    </w:p>
    <w:p w14:paraId="7AC97E5E" w14:textId="0365DE17"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132" w:history="1">
        <w:r w:rsidRPr="00DA359F">
          <w:rPr>
            <w:rStyle w:val="TextoNormalCaracter"/>
          </w:rPr>
          <w:t>132/2023</w:t>
        </w:r>
      </w:hyperlink>
      <w:r>
        <w:t>, f. 1.</w:t>
      </w:r>
    </w:p>
    <w:p w14:paraId="546CC9AC" w14:textId="43CBC175" w:rsidR="00DA359F" w:rsidRDefault="00DA359F" w:rsidP="00DA359F">
      <w:pPr>
        <w:pStyle w:val="SangriaFrancesaArticulo"/>
      </w:pPr>
    </w:p>
    <w:p w14:paraId="663F557C" w14:textId="77777777" w:rsidR="00DA359F" w:rsidRDefault="00DA359F" w:rsidP="00DA359F">
      <w:pPr>
        <w:pStyle w:val="TextoNormalNegritaCursivandice"/>
        <w:keepNext/>
      </w:pPr>
      <w:r>
        <w:t>Resoluciones de 25 y 30 de junio de 2021 de la presidenta del Senado, en el ejercicio de varios actos reglamentarios y desestimación de la solicitud de reconsideración del primero</w:t>
      </w:r>
    </w:p>
    <w:p w14:paraId="3CF32C25" w14:textId="4A7BC9FE"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167" w:history="1">
        <w:r w:rsidRPr="00DA359F">
          <w:rPr>
            <w:rStyle w:val="TextoNormalCaracter"/>
          </w:rPr>
          <w:t>167/2023</w:t>
        </w:r>
      </w:hyperlink>
      <w:r>
        <w:t>, f. 1.</w:t>
      </w:r>
    </w:p>
    <w:p w14:paraId="5741C809" w14:textId="41282A7F" w:rsidR="00DA359F" w:rsidRDefault="00DA359F" w:rsidP="00DA359F">
      <w:pPr>
        <w:pStyle w:val="SangriaFrancesaArticulo"/>
      </w:pPr>
    </w:p>
    <w:p w14:paraId="5279858A" w14:textId="77777777" w:rsidR="00DA359F" w:rsidRDefault="00DA359F" w:rsidP="00DA359F">
      <w:pPr>
        <w:pStyle w:val="TextoNormalNegritaCursivandice"/>
        <w:keepNext/>
      </w:pPr>
      <w:r>
        <w:t>Acuerdo de la presidenta del Senado de 25 de mayo de 2021, en relación con el requisito de promesa o juramento de acatamiento de la Constitución. Acuerdos de la mesa del Senado de 1 y 7 de junio de 2021 que desestiman las solicitudes de revisión y la posterior solicitud de reconsideración frente al acuerdo anterior. Acuerdos de la mesa del Senado de 7 de junio y 21 de julio de 2021 por los que se desestima la solicitud de revisión y posterior reconsideración de actas notariales de acatamiento</w:t>
      </w:r>
    </w:p>
    <w:p w14:paraId="4242A0BF" w14:textId="6ED236CE"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133" w:history="1">
        <w:r w:rsidRPr="00DA359F">
          <w:rPr>
            <w:rStyle w:val="TextoNormalCaracter"/>
          </w:rPr>
          <w:t>133/2023</w:t>
        </w:r>
      </w:hyperlink>
      <w:r>
        <w:t>.</w:t>
      </w:r>
    </w:p>
    <w:p w14:paraId="53B8D28C" w14:textId="310FB294" w:rsidR="00DA359F" w:rsidRDefault="00DA359F" w:rsidP="00DA359F">
      <w:pPr>
        <w:pStyle w:val="SangriaFrancesaArticulo"/>
      </w:pPr>
    </w:p>
    <w:p w14:paraId="38B0E6B6" w14:textId="77777777" w:rsidR="00DA359F" w:rsidRDefault="00DA359F" w:rsidP="00DA359F">
      <w:pPr>
        <w:pStyle w:val="TextoNormalNegritaCursivandice"/>
        <w:keepNext/>
      </w:pPr>
      <w:r>
        <w:t>Acuerdo de la presidenta del Congreso de los Diputados de 13 de septiembre de 2021, en materia de solicitud de información sobre indultos</w:t>
      </w:r>
    </w:p>
    <w:p w14:paraId="2A474122" w14:textId="1015C49F"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165" w:history="1">
        <w:r w:rsidRPr="00DA359F">
          <w:rPr>
            <w:rStyle w:val="TextoNormalCaracter"/>
          </w:rPr>
          <w:t>165/2023</w:t>
        </w:r>
      </w:hyperlink>
      <w:r>
        <w:t>, f. 1.</w:t>
      </w:r>
    </w:p>
    <w:p w14:paraId="04BB4003" w14:textId="09E17B63" w:rsidR="00DA359F" w:rsidRDefault="00DA359F" w:rsidP="00DA359F">
      <w:pPr>
        <w:pStyle w:val="SangriaFrancesaArticulo"/>
      </w:pPr>
    </w:p>
    <w:p w14:paraId="10A90821" w14:textId="77777777" w:rsidR="00DA359F" w:rsidRDefault="00DA359F" w:rsidP="00DA359F">
      <w:pPr>
        <w:pStyle w:val="TextoNormalNegritaCursivandice"/>
        <w:keepNext/>
      </w:pPr>
      <w:r>
        <w:t>Acuerdos de la mesa del Senado de 8 y 15 de marzo de 2022 por los que se desestima la revisión y la reconsideración del acuerdo del presidente del Senado de 15 de febrero de 2022 en relación con el requisito de promesa o juramento de acatamiento de la Constitución</w:t>
      </w:r>
    </w:p>
    <w:p w14:paraId="0FEDB70E" w14:textId="455D0EB2"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135" w:history="1">
        <w:r w:rsidRPr="00DA359F">
          <w:rPr>
            <w:rStyle w:val="TextoNormalCaracter"/>
          </w:rPr>
          <w:t>135/2023</w:t>
        </w:r>
      </w:hyperlink>
      <w:r>
        <w:t>, f. 1.</w:t>
      </w:r>
    </w:p>
    <w:p w14:paraId="4D2FC5DD" w14:textId="69FC5249" w:rsidR="00DA359F" w:rsidRDefault="00DA359F" w:rsidP="00DA359F">
      <w:pPr>
        <w:pStyle w:val="TextoNormal"/>
      </w:pPr>
    </w:p>
    <w:p w14:paraId="7089A0C2" w14:textId="77777777" w:rsidR="00DA359F" w:rsidRDefault="00DA359F" w:rsidP="00DA359F">
      <w:pPr>
        <w:pStyle w:val="SangriaFrancesaArticulo"/>
      </w:pPr>
      <w:bookmarkStart w:id="483" w:name="INDICE22845"/>
    </w:p>
    <w:bookmarkEnd w:id="483"/>
    <w:p w14:paraId="15E480B6" w14:textId="77777777" w:rsidR="00DA359F" w:rsidRDefault="00DA359F" w:rsidP="00DA359F">
      <w:pPr>
        <w:pStyle w:val="TextoIndiceNivel2"/>
        <w:suppressAutoHyphens/>
      </w:pPr>
      <w:r>
        <w:t>D) Leyes Orgánicas</w:t>
      </w:r>
    </w:p>
    <w:p w14:paraId="3C107E81" w14:textId="5FD1FD05" w:rsidR="00DA359F" w:rsidRDefault="00DA359F" w:rsidP="00DA359F">
      <w:pPr>
        <w:pStyle w:val="TextoIndiceNivel2"/>
      </w:pPr>
    </w:p>
    <w:p w14:paraId="70607DF1" w14:textId="77777777" w:rsidR="00DA359F" w:rsidRDefault="00DA359F" w:rsidP="00DA359F">
      <w:pPr>
        <w:pStyle w:val="TextoNormalNegritaCursivandice"/>
        <w:keepNext/>
      </w:pPr>
      <w:r>
        <w:t>Ley Orgánica 1/1980, de 10 de enero, del Consejo General del Poder Judicial</w:t>
      </w:r>
    </w:p>
    <w:p w14:paraId="6F5B87DF" w14:textId="03B4FAAC" w:rsidR="00DA359F" w:rsidRDefault="00DA359F" w:rsidP="00DA359F">
      <w:pPr>
        <w:pStyle w:val="SangriaFrancesaArticulo"/>
      </w:pPr>
      <w:r w:rsidRPr="00DA359F">
        <w:rPr>
          <w:rStyle w:val="TextoNormalNegritaCaracter"/>
        </w:rPr>
        <w:t>Disposición transitoria primera.</w:t>
      </w:r>
      <w:r w:rsidRPr="00DA359F">
        <w:rPr>
          <w:rStyle w:val="TextoNormalCaracter"/>
        </w:rPr>
        <w:t>-</w:t>
      </w:r>
      <w:r>
        <w:t xml:space="preserve"> Sentencia </w:t>
      </w:r>
      <w:hyperlink w:anchor="SENTENCIA_2023_128" w:history="1">
        <w:r w:rsidRPr="00DA359F">
          <w:rPr>
            <w:rStyle w:val="TextoNormalCaracter"/>
          </w:rPr>
          <w:t>128/2023</w:t>
        </w:r>
      </w:hyperlink>
      <w:r>
        <w:t>, VP.</w:t>
      </w:r>
    </w:p>
    <w:p w14:paraId="532EF44F" w14:textId="7C75F350" w:rsidR="00DA359F" w:rsidRDefault="00DA359F" w:rsidP="00DA359F">
      <w:pPr>
        <w:pStyle w:val="SangriaFrancesaArticulo"/>
      </w:pPr>
      <w:r w:rsidRPr="00DA359F">
        <w:rPr>
          <w:rStyle w:val="TextoNormalNegritaCaracter"/>
        </w:rPr>
        <w:t>Disposición transitoria segunda.</w:t>
      </w:r>
      <w:r w:rsidRPr="00DA359F">
        <w:rPr>
          <w:rStyle w:val="TextoNormalCaracter"/>
        </w:rPr>
        <w:t>-</w:t>
      </w:r>
      <w:r>
        <w:t xml:space="preserve"> Sentencia </w:t>
      </w:r>
      <w:hyperlink w:anchor="SENTENCIA_2023_128" w:history="1">
        <w:r w:rsidRPr="00DA359F">
          <w:rPr>
            <w:rStyle w:val="TextoNormalCaracter"/>
          </w:rPr>
          <w:t>128/2023</w:t>
        </w:r>
      </w:hyperlink>
      <w:r>
        <w:t>, VP.</w:t>
      </w:r>
    </w:p>
    <w:p w14:paraId="71344694" w14:textId="05048C82" w:rsidR="00DA359F" w:rsidRDefault="00DA359F" w:rsidP="00DA359F">
      <w:pPr>
        <w:pStyle w:val="SangriaFrancesaArticulo"/>
      </w:pPr>
      <w:r w:rsidRPr="00DA359F">
        <w:rPr>
          <w:rStyle w:val="TextoNormalNegritaCaracter"/>
        </w:rPr>
        <w:t>Disposición transitoria sexta.</w:t>
      </w:r>
      <w:r w:rsidRPr="00DA359F">
        <w:rPr>
          <w:rStyle w:val="TextoNormalCaracter"/>
        </w:rPr>
        <w:t>-</w:t>
      </w:r>
      <w:r>
        <w:t xml:space="preserve"> Sentencia </w:t>
      </w:r>
      <w:hyperlink w:anchor="SENTENCIA_2023_128" w:history="1">
        <w:r w:rsidRPr="00DA359F">
          <w:rPr>
            <w:rStyle w:val="TextoNormalCaracter"/>
          </w:rPr>
          <w:t>128/2023</w:t>
        </w:r>
      </w:hyperlink>
      <w:r>
        <w:t>, VP.</w:t>
      </w:r>
    </w:p>
    <w:p w14:paraId="43626EF3" w14:textId="324737CB" w:rsidR="00DA359F" w:rsidRDefault="00DA359F" w:rsidP="00DA359F">
      <w:pPr>
        <w:pStyle w:val="SangriaFrancesaArticulo"/>
      </w:pPr>
    </w:p>
    <w:p w14:paraId="00300E71" w14:textId="77777777" w:rsidR="00DA359F" w:rsidRDefault="00DA359F" w:rsidP="00DA359F">
      <w:pPr>
        <w:pStyle w:val="TextoNormalNegritaCursivandice"/>
        <w:keepNext/>
      </w:pPr>
      <w:r>
        <w:t>Ley Orgánica 3/1980, de 22 de abril. Consejo de Estado</w:t>
      </w:r>
    </w:p>
    <w:p w14:paraId="1B4C25A4" w14:textId="513CC8EC" w:rsidR="00DA359F" w:rsidRDefault="00DA359F" w:rsidP="00DA359F">
      <w:pPr>
        <w:pStyle w:val="SangriaFrancesaArticulo"/>
      </w:pPr>
      <w:r w:rsidRPr="00DA359F">
        <w:rPr>
          <w:rStyle w:val="TextoNormalNegritaCaracter"/>
        </w:rPr>
        <w:t>Artículo 21.</w:t>
      </w:r>
      <w:r w:rsidRPr="00DA359F">
        <w:rPr>
          <w:rStyle w:val="TextoNormalCaracter"/>
        </w:rPr>
        <w:t>-</w:t>
      </w:r>
      <w:r>
        <w:t xml:space="preserve"> Sentencia </w:t>
      </w:r>
      <w:hyperlink w:anchor="SENTENCIA_2023_94" w:history="1">
        <w:r w:rsidRPr="00DA359F">
          <w:rPr>
            <w:rStyle w:val="TextoNormalCaracter"/>
          </w:rPr>
          <w:t>94/2023</w:t>
        </w:r>
      </w:hyperlink>
      <w:r>
        <w:t>, f. 2.</w:t>
      </w:r>
    </w:p>
    <w:p w14:paraId="48AC3DA3" w14:textId="6FB63491" w:rsidR="00DA359F" w:rsidRDefault="00DA359F" w:rsidP="00DA359F">
      <w:pPr>
        <w:pStyle w:val="SangriaFrancesaArticulo"/>
      </w:pPr>
      <w:r w:rsidRPr="00DA359F">
        <w:rPr>
          <w:rStyle w:val="TextoNormalNegritaCaracter"/>
        </w:rPr>
        <w:t>Artículo 22.</w:t>
      </w:r>
      <w:r w:rsidRPr="00DA359F">
        <w:rPr>
          <w:rStyle w:val="TextoNormalCaracter"/>
        </w:rPr>
        <w:t>-</w:t>
      </w:r>
      <w:r>
        <w:t xml:space="preserve"> Sentencia </w:t>
      </w:r>
      <w:hyperlink w:anchor="SENTENCIA_2023_94" w:history="1">
        <w:r w:rsidRPr="00DA359F">
          <w:rPr>
            <w:rStyle w:val="TextoNormalCaracter"/>
          </w:rPr>
          <w:t>94/2023</w:t>
        </w:r>
      </w:hyperlink>
      <w:r>
        <w:t>, f. 2.</w:t>
      </w:r>
    </w:p>
    <w:p w14:paraId="04DE5452" w14:textId="60556FBB" w:rsidR="00DA359F" w:rsidRDefault="00DA359F" w:rsidP="00DA359F">
      <w:pPr>
        <w:pStyle w:val="SangriaFrancesaArticulo"/>
      </w:pPr>
    </w:p>
    <w:p w14:paraId="4C6827A1" w14:textId="77777777" w:rsidR="00DA359F" w:rsidRDefault="00DA359F" w:rsidP="00DA359F">
      <w:pPr>
        <w:pStyle w:val="TextoNormalNegritaCursivandice"/>
        <w:keepNext/>
      </w:pPr>
      <w:r>
        <w:t>Ley Orgánica 7/1980, de 5 de julio, de libertad religiosa</w:t>
      </w:r>
    </w:p>
    <w:p w14:paraId="55F29F82" w14:textId="27D0D0FB" w:rsidR="00DA359F" w:rsidRDefault="00DA359F" w:rsidP="00DA359F">
      <w:pPr>
        <w:pStyle w:val="SangriaFrancesaArticulo"/>
      </w:pPr>
      <w:r w:rsidRPr="00DA359F">
        <w:rPr>
          <w:rStyle w:val="TextoNormalNegritaCaracter"/>
        </w:rPr>
        <w:t>Artículo 6.1.</w:t>
      </w:r>
      <w:r w:rsidRPr="00DA359F">
        <w:rPr>
          <w:rStyle w:val="TextoNormalCaracter"/>
        </w:rPr>
        <w:t>-</w:t>
      </w:r>
      <w:r>
        <w:t xml:space="preserve"> Sentencia </w:t>
      </w:r>
      <w:hyperlink w:anchor="SENTENCIA_2023_94" w:history="1">
        <w:r w:rsidRPr="00DA359F">
          <w:rPr>
            <w:rStyle w:val="TextoNormalCaracter"/>
          </w:rPr>
          <w:t>94/2023</w:t>
        </w:r>
      </w:hyperlink>
      <w:r>
        <w:t>, VP III.</w:t>
      </w:r>
    </w:p>
    <w:p w14:paraId="66739B9B" w14:textId="6C9CC9B2" w:rsidR="00DA359F" w:rsidRDefault="00DA359F" w:rsidP="00DA359F">
      <w:pPr>
        <w:pStyle w:val="SangriaFrancesaArticulo"/>
      </w:pPr>
    </w:p>
    <w:p w14:paraId="60634482" w14:textId="77777777" w:rsidR="00DA359F" w:rsidRDefault="00DA359F" w:rsidP="00DA359F">
      <w:pPr>
        <w:pStyle w:val="TextoNormalNegritaCursivandice"/>
        <w:keepNext/>
      </w:pPr>
      <w:r>
        <w:t>Ley Orgánica 8/1980, de 22 de septiembre, de financiación de las comunidades autónomas</w:t>
      </w:r>
    </w:p>
    <w:p w14:paraId="5E277DDF" w14:textId="26C90781"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Sentencias </w:t>
      </w:r>
      <w:hyperlink w:anchor="SENTENCIA_2023_149" w:history="1">
        <w:r w:rsidRPr="00DA359F">
          <w:rPr>
            <w:rStyle w:val="TextoNormalCaracter"/>
          </w:rPr>
          <w:t>149/2023</w:t>
        </w:r>
      </w:hyperlink>
      <w:r>
        <w:t xml:space="preserve">, f. 3, VP; </w:t>
      </w:r>
      <w:hyperlink w:anchor="SENTENCIA_2023_170" w:history="1">
        <w:r w:rsidRPr="00DA359F">
          <w:rPr>
            <w:rStyle w:val="TextoNormalCaracter"/>
          </w:rPr>
          <w:t>170/2023</w:t>
        </w:r>
      </w:hyperlink>
      <w:r>
        <w:t xml:space="preserve">, f. 2; </w:t>
      </w:r>
      <w:hyperlink w:anchor="SENTENCIA_2023_171" w:history="1">
        <w:r w:rsidRPr="00DA359F">
          <w:rPr>
            <w:rStyle w:val="TextoNormalCaracter"/>
          </w:rPr>
          <w:t>171/2023</w:t>
        </w:r>
      </w:hyperlink>
      <w:r>
        <w:t xml:space="preserve">, ff. 1, 2; </w:t>
      </w:r>
      <w:hyperlink w:anchor="SENTENCIA_2023_189" w:history="1">
        <w:r w:rsidRPr="00DA359F">
          <w:rPr>
            <w:rStyle w:val="TextoNormalCaracter"/>
          </w:rPr>
          <w:t>189/2023</w:t>
        </w:r>
      </w:hyperlink>
      <w:r>
        <w:t xml:space="preserve">, ff. 1, 2; </w:t>
      </w:r>
      <w:hyperlink w:anchor="SENTENCIA_2023_190" w:history="1">
        <w:r w:rsidRPr="00DA359F">
          <w:rPr>
            <w:rStyle w:val="TextoNormalCaracter"/>
          </w:rPr>
          <w:t>190/2023</w:t>
        </w:r>
      </w:hyperlink>
      <w:r>
        <w:t>, f. 2.</w:t>
      </w:r>
    </w:p>
    <w:p w14:paraId="5EF8CDD4" w14:textId="00B4A26A" w:rsidR="00DA359F" w:rsidRDefault="00DA359F" w:rsidP="00DA359F">
      <w:pPr>
        <w:pStyle w:val="SangriaFrancesaArticulo"/>
      </w:pPr>
      <w:r w:rsidRPr="00DA359F">
        <w:rPr>
          <w:rStyle w:val="TextoNormalNegritaCaracter"/>
        </w:rPr>
        <w:t>Artículo 1.1.</w:t>
      </w:r>
      <w:r w:rsidRPr="00DA359F">
        <w:rPr>
          <w:rStyle w:val="TextoNormalCaracter"/>
        </w:rPr>
        <w:t>-</w:t>
      </w:r>
      <w:r>
        <w:t xml:space="preserve"> Sentencia </w:t>
      </w:r>
      <w:hyperlink w:anchor="SENTENCIA_2023_149" w:history="1">
        <w:r w:rsidRPr="00DA359F">
          <w:rPr>
            <w:rStyle w:val="TextoNormalCaracter"/>
          </w:rPr>
          <w:t>149/2023</w:t>
        </w:r>
      </w:hyperlink>
      <w:r>
        <w:t>, VP.</w:t>
      </w:r>
    </w:p>
    <w:p w14:paraId="1AB7CF16" w14:textId="316CDF4F" w:rsidR="00DA359F" w:rsidRDefault="00DA359F" w:rsidP="00DA359F">
      <w:pPr>
        <w:pStyle w:val="SangriaFrancesaArticulo"/>
      </w:pPr>
      <w:r w:rsidRPr="00DA359F">
        <w:rPr>
          <w:rStyle w:val="TextoNormalNegritaCaracter"/>
        </w:rPr>
        <w:t>Artículo 1.2.</w:t>
      </w:r>
      <w:r w:rsidRPr="00DA359F">
        <w:rPr>
          <w:rStyle w:val="TextoNormalCaracter"/>
        </w:rPr>
        <w:t>-</w:t>
      </w:r>
      <w:r>
        <w:t xml:space="preserve"> Sentencia </w:t>
      </w:r>
      <w:hyperlink w:anchor="SENTENCIA_2023_149" w:history="1">
        <w:r w:rsidRPr="00DA359F">
          <w:rPr>
            <w:rStyle w:val="TextoNormalCaracter"/>
          </w:rPr>
          <w:t>149/2023</w:t>
        </w:r>
      </w:hyperlink>
      <w:r>
        <w:t>, VP.</w:t>
      </w:r>
    </w:p>
    <w:p w14:paraId="6B840942" w14:textId="7D61926E" w:rsidR="00DA359F" w:rsidRDefault="00DA359F" w:rsidP="00DA359F">
      <w:pPr>
        <w:pStyle w:val="SangriaFrancesaArticulo"/>
      </w:pPr>
      <w:r w:rsidRPr="00DA359F">
        <w:rPr>
          <w:rStyle w:val="TextoNormalNegritaCaracter"/>
        </w:rPr>
        <w:t>Artículo 2.1 d).</w:t>
      </w:r>
      <w:r w:rsidRPr="00DA359F">
        <w:rPr>
          <w:rStyle w:val="TextoNormalCaracter"/>
        </w:rPr>
        <w:t>-</w:t>
      </w:r>
      <w:r>
        <w:t xml:space="preserve"> Sentencia </w:t>
      </w:r>
      <w:hyperlink w:anchor="SENTENCIA_2023_149" w:history="1">
        <w:r w:rsidRPr="00DA359F">
          <w:rPr>
            <w:rStyle w:val="TextoNormalCaracter"/>
          </w:rPr>
          <w:t>149/2023</w:t>
        </w:r>
      </w:hyperlink>
      <w:r>
        <w:t>, VP.</w:t>
      </w:r>
    </w:p>
    <w:p w14:paraId="19EDB64E" w14:textId="1C1B13C2" w:rsidR="00DA359F" w:rsidRDefault="00DA359F" w:rsidP="00DA359F">
      <w:pPr>
        <w:pStyle w:val="SangriaFrancesaArticulo"/>
      </w:pPr>
      <w:r w:rsidRPr="00DA359F">
        <w:rPr>
          <w:rStyle w:val="TextoNormalNegritaCaracter"/>
        </w:rPr>
        <w:t>Artículo 2.1 g).</w:t>
      </w:r>
      <w:r w:rsidRPr="00DA359F">
        <w:rPr>
          <w:rStyle w:val="TextoNormalCaracter"/>
        </w:rPr>
        <w:t>-</w:t>
      </w:r>
      <w:r>
        <w:t xml:space="preserve"> Sentencias </w:t>
      </w:r>
      <w:hyperlink w:anchor="SENTENCIA_2023_149" w:history="1">
        <w:r w:rsidRPr="00DA359F">
          <w:rPr>
            <w:rStyle w:val="TextoNormalCaracter"/>
          </w:rPr>
          <w:t>149/2023</w:t>
        </w:r>
      </w:hyperlink>
      <w:r>
        <w:t xml:space="preserve">, f. 3, VP; </w:t>
      </w:r>
      <w:hyperlink w:anchor="SENTENCIA_2023_170" w:history="1">
        <w:r w:rsidRPr="00DA359F">
          <w:rPr>
            <w:rStyle w:val="TextoNormalCaracter"/>
          </w:rPr>
          <w:t>170/2023</w:t>
        </w:r>
      </w:hyperlink>
      <w:r>
        <w:t xml:space="preserve">, ff. 1, 4; </w:t>
      </w:r>
      <w:hyperlink w:anchor="SENTENCIA_2023_171" w:history="1">
        <w:r w:rsidRPr="00DA359F">
          <w:rPr>
            <w:rStyle w:val="TextoNormalCaracter"/>
          </w:rPr>
          <w:t>171/2023</w:t>
        </w:r>
      </w:hyperlink>
      <w:r>
        <w:t>, f. 2.</w:t>
      </w:r>
    </w:p>
    <w:p w14:paraId="2DE4E26E" w14:textId="5BE9E8BE" w:rsidR="00DA359F" w:rsidRDefault="00DA359F" w:rsidP="00DA359F">
      <w:pPr>
        <w:pStyle w:val="SangriaFrancesaArticulo"/>
      </w:pPr>
      <w:r w:rsidRPr="00DA359F">
        <w:rPr>
          <w:rStyle w:val="TextoNormalNegritaCaracter"/>
        </w:rPr>
        <w:t>Artículo 3.</w:t>
      </w:r>
      <w:r w:rsidRPr="00DA359F">
        <w:rPr>
          <w:rStyle w:val="TextoNormalCaracter"/>
        </w:rPr>
        <w:t>-</w:t>
      </w:r>
      <w:r>
        <w:t xml:space="preserve"> Sentencia </w:t>
      </w:r>
      <w:hyperlink w:anchor="SENTENCIA_2023_149" w:history="1">
        <w:r w:rsidRPr="00DA359F">
          <w:rPr>
            <w:rStyle w:val="TextoNormalCaracter"/>
          </w:rPr>
          <w:t>149/2023</w:t>
        </w:r>
      </w:hyperlink>
      <w:r>
        <w:t>, VP.</w:t>
      </w:r>
    </w:p>
    <w:p w14:paraId="2606650D" w14:textId="0B4049FE" w:rsidR="00DA359F" w:rsidRDefault="00DA359F" w:rsidP="00DA359F">
      <w:pPr>
        <w:pStyle w:val="SangriaFrancesaArticulo"/>
      </w:pPr>
      <w:r w:rsidRPr="00DA359F">
        <w:rPr>
          <w:rStyle w:val="TextoNormalNegritaCaracter"/>
        </w:rPr>
        <w:t>Artículo 3.1.</w:t>
      </w:r>
      <w:r w:rsidRPr="00DA359F">
        <w:rPr>
          <w:rStyle w:val="TextoNormalCaracter"/>
        </w:rPr>
        <w:t>-</w:t>
      </w:r>
      <w:r>
        <w:t xml:space="preserve"> Sentencia </w:t>
      </w:r>
      <w:hyperlink w:anchor="SENTENCIA_2023_149" w:history="1">
        <w:r w:rsidRPr="00DA359F">
          <w:rPr>
            <w:rStyle w:val="TextoNormalCaracter"/>
          </w:rPr>
          <w:t>149/2023</w:t>
        </w:r>
      </w:hyperlink>
      <w:r>
        <w:t>, VP.</w:t>
      </w:r>
    </w:p>
    <w:p w14:paraId="587A847E" w14:textId="0A67FC61" w:rsidR="00DA359F" w:rsidRDefault="00DA359F" w:rsidP="00DA359F">
      <w:pPr>
        <w:pStyle w:val="SangriaFrancesaArticulo"/>
      </w:pPr>
      <w:r w:rsidRPr="00DA359F">
        <w:rPr>
          <w:rStyle w:val="TextoNormalNegritaCaracter"/>
        </w:rPr>
        <w:t>Artículo 3.2.</w:t>
      </w:r>
      <w:r w:rsidRPr="00DA359F">
        <w:rPr>
          <w:rStyle w:val="TextoNormalCaracter"/>
        </w:rPr>
        <w:t>-</w:t>
      </w:r>
      <w:r>
        <w:t xml:space="preserve"> Sentencia </w:t>
      </w:r>
      <w:hyperlink w:anchor="SENTENCIA_2023_149" w:history="1">
        <w:r w:rsidRPr="00DA359F">
          <w:rPr>
            <w:rStyle w:val="TextoNormalCaracter"/>
          </w:rPr>
          <w:t>149/2023</w:t>
        </w:r>
      </w:hyperlink>
      <w:r>
        <w:t>, VP.</w:t>
      </w:r>
    </w:p>
    <w:p w14:paraId="0FD22DE4" w14:textId="19521B7F" w:rsidR="00DA359F" w:rsidRDefault="00DA359F" w:rsidP="00DA359F">
      <w:pPr>
        <w:pStyle w:val="SangriaFrancesaArticulo"/>
      </w:pPr>
      <w:r w:rsidRPr="00DA359F">
        <w:rPr>
          <w:rStyle w:val="TextoNormalNegritaCaracter"/>
        </w:rPr>
        <w:t>Artículo 4.1 c).</w:t>
      </w:r>
      <w:r w:rsidRPr="00DA359F">
        <w:rPr>
          <w:rStyle w:val="TextoNormalCaracter"/>
        </w:rPr>
        <w:t>-</w:t>
      </w:r>
      <w:r>
        <w:t xml:space="preserve"> Sentencia </w:t>
      </w:r>
      <w:hyperlink w:anchor="SENTENCIA_2023_149" w:history="1">
        <w:r w:rsidRPr="00DA359F">
          <w:rPr>
            <w:rStyle w:val="TextoNormalCaracter"/>
          </w:rPr>
          <w:t>149/2023</w:t>
        </w:r>
      </w:hyperlink>
      <w:r>
        <w:t>, VP.</w:t>
      </w:r>
    </w:p>
    <w:p w14:paraId="6275CA66" w14:textId="2DCE73BE" w:rsidR="00DA359F" w:rsidRDefault="00DA359F" w:rsidP="00DA359F">
      <w:pPr>
        <w:pStyle w:val="SangriaFrancesaArticulo"/>
      </w:pPr>
      <w:r w:rsidRPr="00DA359F">
        <w:rPr>
          <w:rStyle w:val="TextoNormalNegritaCaracter"/>
        </w:rPr>
        <w:t>Artículo 6.</w:t>
      </w:r>
      <w:r w:rsidRPr="00DA359F">
        <w:rPr>
          <w:rStyle w:val="TextoNormalCaracter"/>
        </w:rPr>
        <w:t>-</w:t>
      </w:r>
      <w:r>
        <w:t xml:space="preserve"> Sentencia </w:t>
      </w:r>
      <w:hyperlink w:anchor="SENTENCIA_2023_149" w:history="1">
        <w:r w:rsidRPr="00DA359F">
          <w:rPr>
            <w:rStyle w:val="TextoNormalCaracter"/>
          </w:rPr>
          <w:t>149/2023</w:t>
        </w:r>
      </w:hyperlink>
      <w:r>
        <w:t>, f. 3, VP.</w:t>
      </w:r>
    </w:p>
    <w:p w14:paraId="0520EB5F" w14:textId="38ECE1BF" w:rsidR="00DA359F" w:rsidRDefault="00DA359F" w:rsidP="00DA359F">
      <w:pPr>
        <w:pStyle w:val="SangriaFrancesaArticulo"/>
      </w:pPr>
      <w:r w:rsidRPr="00DA359F">
        <w:rPr>
          <w:rStyle w:val="TextoNormalNegritaCaracter"/>
        </w:rPr>
        <w:t>Artículo 6.2.</w:t>
      </w:r>
      <w:r w:rsidRPr="00DA359F">
        <w:rPr>
          <w:rStyle w:val="TextoNormalCaracter"/>
        </w:rPr>
        <w:t>-</w:t>
      </w:r>
      <w:r>
        <w:t xml:space="preserve"> Sentencia </w:t>
      </w:r>
      <w:hyperlink w:anchor="SENTENCIA_2023_149" w:history="1">
        <w:r w:rsidRPr="00DA359F">
          <w:rPr>
            <w:rStyle w:val="TextoNormalCaracter"/>
          </w:rPr>
          <w:t>149/2023</w:t>
        </w:r>
      </w:hyperlink>
      <w:r>
        <w:t>, f. 3, VP.</w:t>
      </w:r>
    </w:p>
    <w:p w14:paraId="733D0DB7" w14:textId="6744B9C1" w:rsidR="00DA359F" w:rsidRDefault="00DA359F" w:rsidP="00DA359F">
      <w:pPr>
        <w:pStyle w:val="SangriaFrancesaArticulo"/>
      </w:pPr>
      <w:r w:rsidRPr="00DA359F">
        <w:rPr>
          <w:rStyle w:val="TextoNormalNegritaCaracter"/>
        </w:rPr>
        <w:t>Artículo 10.</w:t>
      </w:r>
      <w:r w:rsidRPr="00DA359F">
        <w:rPr>
          <w:rStyle w:val="TextoNormalCaracter"/>
        </w:rPr>
        <w:t>-</w:t>
      </w:r>
      <w:r>
        <w:t xml:space="preserve"> Sentencia </w:t>
      </w:r>
      <w:hyperlink w:anchor="SENTENCIA_2023_149" w:history="1">
        <w:r w:rsidRPr="00DA359F">
          <w:rPr>
            <w:rStyle w:val="TextoNormalCaracter"/>
          </w:rPr>
          <w:t>149/2023</w:t>
        </w:r>
      </w:hyperlink>
      <w:r>
        <w:t>, f. 3.</w:t>
      </w:r>
    </w:p>
    <w:p w14:paraId="4DAF0340" w14:textId="0A3B9ABB" w:rsidR="00DA359F" w:rsidRDefault="00DA359F" w:rsidP="00DA359F">
      <w:pPr>
        <w:pStyle w:val="SangriaFrancesaArticulo"/>
      </w:pPr>
      <w:r w:rsidRPr="00DA359F">
        <w:rPr>
          <w:rStyle w:val="TextoNormalNegritaCaracter"/>
        </w:rPr>
        <w:t>Artículo 10.1.</w:t>
      </w:r>
      <w:r w:rsidRPr="00DA359F">
        <w:rPr>
          <w:rStyle w:val="TextoNormalCaracter"/>
        </w:rPr>
        <w:t>-</w:t>
      </w:r>
      <w:r>
        <w:t xml:space="preserve"> Sentencia </w:t>
      </w:r>
      <w:hyperlink w:anchor="SENTENCIA_2023_149" w:history="1">
        <w:r w:rsidRPr="00DA359F">
          <w:rPr>
            <w:rStyle w:val="TextoNormalCaracter"/>
          </w:rPr>
          <w:t>149/2023</w:t>
        </w:r>
      </w:hyperlink>
      <w:r>
        <w:t>, VP.</w:t>
      </w:r>
    </w:p>
    <w:p w14:paraId="124EF501" w14:textId="03A81FB1" w:rsidR="00DA359F" w:rsidRDefault="00DA359F" w:rsidP="00DA359F">
      <w:pPr>
        <w:pStyle w:val="SangriaFrancesaArticulo"/>
      </w:pPr>
      <w:r w:rsidRPr="00DA359F">
        <w:rPr>
          <w:rStyle w:val="TextoNormalNegritaCaracter"/>
        </w:rPr>
        <w:t>Artículo 10.2.</w:t>
      </w:r>
      <w:r w:rsidRPr="00DA359F">
        <w:rPr>
          <w:rStyle w:val="TextoNormalCaracter"/>
        </w:rPr>
        <w:t>-</w:t>
      </w:r>
      <w:r>
        <w:t xml:space="preserve"> Sentencia </w:t>
      </w:r>
      <w:hyperlink w:anchor="SENTENCIA_2023_149" w:history="1">
        <w:r w:rsidRPr="00DA359F">
          <w:rPr>
            <w:rStyle w:val="TextoNormalCaracter"/>
          </w:rPr>
          <w:t>149/2023</w:t>
        </w:r>
      </w:hyperlink>
      <w:r>
        <w:t>, VP.</w:t>
      </w:r>
    </w:p>
    <w:p w14:paraId="40033FDB" w14:textId="5552B80B" w:rsidR="00DA359F" w:rsidRDefault="00DA359F" w:rsidP="00DA359F">
      <w:pPr>
        <w:pStyle w:val="SangriaFrancesaArticulo"/>
      </w:pPr>
      <w:r w:rsidRPr="00DA359F">
        <w:rPr>
          <w:rStyle w:val="TextoNormalNegritaCaracter"/>
        </w:rPr>
        <w:t>Artículo 10.3.</w:t>
      </w:r>
      <w:r w:rsidRPr="00DA359F">
        <w:rPr>
          <w:rStyle w:val="TextoNormalCaracter"/>
        </w:rPr>
        <w:t>-</w:t>
      </w:r>
      <w:r>
        <w:t xml:space="preserve"> Sentencia </w:t>
      </w:r>
      <w:hyperlink w:anchor="SENTENCIA_2023_149" w:history="1">
        <w:r w:rsidRPr="00DA359F">
          <w:rPr>
            <w:rStyle w:val="TextoNormalCaracter"/>
          </w:rPr>
          <w:t>149/2023</w:t>
        </w:r>
      </w:hyperlink>
      <w:r>
        <w:t>, VP.</w:t>
      </w:r>
    </w:p>
    <w:p w14:paraId="4E3F262C" w14:textId="75B527E5" w:rsidR="00DA359F" w:rsidRDefault="00DA359F" w:rsidP="00DA359F">
      <w:pPr>
        <w:pStyle w:val="SangriaFrancesaArticulo"/>
      </w:pPr>
      <w:r w:rsidRPr="00DA359F">
        <w:rPr>
          <w:rStyle w:val="TextoNormalNegritaCaracter"/>
        </w:rPr>
        <w:t>Artículo 11.</w:t>
      </w:r>
      <w:r w:rsidRPr="00DA359F">
        <w:rPr>
          <w:rStyle w:val="TextoNormalCaracter"/>
        </w:rPr>
        <w:t>-</w:t>
      </w:r>
      <w:r>
        <w:t xml:space="preserve"> Sentencia </w:t>
      </w:r>
      <w:hyperlink w:anchor="SENTENCIA_2023_149" w:history="1">
        <w:r w:rsidRPr="00DA359F">
          <w:rPr>
            <w:rStyle w:val="TextoNormalCaracter"/>
          </w:rPr>
          <w:t>149/2023</w:t>
        </w:r>
      </w:hyperlink>
      <w:r>
        <w:t>, f. 3, VP.</w:t>
      </w:r>
    </w:p>
    <w:p w14:paraId="14032297" w14:textId="4ECC5555" w:rsidR="00DA359F" w:rsidRDefault="00DA359F" w:rsidP="00DA359F">
      <w:pPr>
        <w:pStyle w:val="SangriaFrancesaArticulo"/>
      </w:pPr>
      <w:r w:rsidRPr="00DA359F">
        <w:rPr>
          <w:rStyle w:val="TextoNormalNegritaCaracter"/>
        </w:rPr>
        <w:t>Artículo 11 b).</w:t>
      </w:r>
      <w:r w:rsidRPr="00DA359F">
        <w:rPr>
          <w:rStyle w:val="TextoNormalCaracter"/>
        </w:rPr>
        <w:t>-</w:t>
      </w:r>
      <w:r>
        <w:t xml:space="preserve"> Sentencia </w:t>
      </w:r>
      <w:hyperlink w:anchor="SENTENCIA_2023_149" w:history="1">
        <w:r w:rsidRPr="00DA359F">
          <w:rPr>
            <w:rStyle w:val="TextoNormalCaracter"/>
          </w:rPr>
          <w:t>149/2023</w:t>
        </w:r>
      </w:hyperlink>
      <w:r>
        <w:t>, f. 3, VP.</w:t>
      </w:r>
    </w:p>
    <w:p w14:paraId="40D39F3A" w14:textId="0F87F601" w:rsidR="00DA359F" w:rsidRDefault="00DA359F" w:rsidP="00DA359F">
      <w:pPr>
        <w:pStyle w:val="SangriaFrancesaArticulo"/>
      </w:pPr>
      <w:r w:rsidRPr="00DA359F">
        <w:rPr>
          <w:rStyle w:val="TextoNormalNegritaCaracter"/>
        </w:rPr>
        <w:t>Artículo 19.2.</w:t>
      </w:r>
      <w:r w:rsidRPr="00DA359F">
        <w:rPr>
          <w:rStyle w:val="TextoNormalCaracter"/>
        </w:rPr>
        <w:t>-</w:t>
      </w:r>
      <w:r>
        <w:t xml:space="preserve"> Sentencia </w:t>
      </w:r>
      <w:hyperlink w:anchor="SENTENCIA_2023_149" w:history="1">
        <w:r w:rsidRPr="00DA359F">
          <w:rPr>
            <w:rStyle w:val="TextoNormalCaracter"/>
          </w:rPr>
          <w:t>149/2023</w:t>
        </w:r>
      </w:hyperlink>
      <w:r>
        <w:t>, f. 3, VP.</w:t>
      </w:r>
    </w:p>
    <w:p w14:paraId="7235B669" w14:textId="2E22DF98" w:rsidR="00DA359F" w:rsidRDefault="00DA359F" w:rsidP="00DA359F">
      <w:pPr>
        <w:pStyle w:val="SangriaFrancesaArticulo"/>
      </w:pPr>
      <w:r w:rsidRPr="00DA359F">
        <w:rPr>
          <w:rStyle w:val="TextoNormalNegritaCaracter"/>
        </w:rPr>
        <w:t>Artículo 19.2 b).</w:t>
      </w:r>
      <w:r w:rsidRPr="00DA359F">
        <w:rPr>
          <w:rStyle w:val="TextoNormalCaracter"/>
        </w:rPr>
        <w:t>-</w:t>
      </w:r>
      <w:r>
        <w:t xml:space="preserve"> Sentencias </w:t>
      </w:r>
      <w:hyperlink w:anchor="SENTENCIA_2023_149" w:history="1">
        <w:r w:rsidRPr="00DA359F">
          <w:rPr>
            <w:rStyle w:val="TextoNormalCaracter"/>
          </w:rPr>
          <w:t>149/2023</w:t>
        </w:r>
      </w:hyperlink>
      <w:r>
        <w:t xml:space="preserve">, f. 3; </w:t>
      </w:r>
      <w:hyperlink w:anchor="SENTENCIA_2023_170" w:history="1">
        <w:r w:rsidRPr="00DA359F">
          <w:rPr>
            <w:rStyle w:val="TextoNormalCaracter"/>
          </w:rPr>
          <w:t>170/2023</w:t>
        </w:r>
      </w:hyperlink>
      <w:r>
        <w:t xml:space="preserve">, VP; </w:t>
      </w:r>
      <w:hyperlink w:anchor="SENTENCIA_2023_171" w:history="1">
        <w:r w:rsidRPr="00DA359F">
          <w:rPr>
            <w:rStyle w:val="TextoNormalCaracter"/>
          </w:rPr>
          <w:t>171/2023</w:t>
        </w:r>
      </w:hyperlink>
      <w:r>
        <w:t xml:space="preserve">, VP; </w:t>
      </w:r>
      <w:hyperlink w:anchor="SENTENCIA_2023_189" w:history="1">
        <w:r w:rsidRPr="00DA359F">
          <w:rPr>
            <w:rStyle w:val="TextoNormalCaracter"/>
          </w:rPr>
          <w:t>189/2023</w:t>
        </w:r>
      </w:hyperlink>
      <w:r>
        <w:t xml:space="preserve">, VP; </w:t>
      </w:r>
      <w:hyperlink w:anchor="SENTENCIA_2023_190" w:history="1">
        <w:r w:rsidRPr="00DA359F">
          <w:rPr>
            <w:rStyle w:val="TextoNormalCaracter"/>
          </w:rPr>
          <w:t>190/2023</w:t>
        </w:r>
      </w:hyperlink>
      <w:r>
        <w:t>, VP.</w:t>
      </w:r>
    </w:p>
    <w:p w14:paraId="55DAC291" w14:textId="0C605AEE" w:rsidR="00DA359F" w:rsidRDefault="00DA359F" w:rsidP="00DA359F">
      <w:pPr>
        <w:pStyle w:val="SangriaFrancesaArticulo"/>
      </w:pPr>
      <w:r w:rsidRPr="00DA359F">
        <w:rPr>
          <w:rStyle w:val="TextoNormalNegritaCaracter"/>
        </w:rPr>
        <w:t>Artículo 20.2.</w:t>
      </w:r>
      <w:r w:rsidRPr="00DA359F">
        <w:rPr>
          <w:rStyle w:val="TextoNormalCaracter"/>
        </w:rPr>
        <w:t>-</w:t>
      </w:r>
      <w:r>
        <w:t xml:space="preserve"> Sentencia </w:t>
      </w:r>
      <w:hyperlink w:anchor="SENTENCIA_2023_149" w:history="1">
        <w:r w:rsidRPr="00DA359F">
          <w:rPr>
            <w:rStyle w:val="TextoNormalCaracter"/>
          </w:rPr>
          <w:t>149/2023</w:t>
        </w:r>
      </w:hyperlink>
      <w:r>
        <w:t>, f. 3.</w:t>
      </w:r>
    </w:p>
    <w:p w14:paraId="1B6605A2" w14:textId="67D56ED6" w:rsidR="00DA359F" w:rsidRDefault="00DA359F" w:rsidP="00DA359F">
      <w:pPr>
        <w:pStyle w:val="SangriaFrancesaArticulo"/>
      </w:pPr>
      <w:r w:rsidRPr="00DA359F">
        <w:rPr>
          <w:rStyle w:val="TextoNormalNegritaCaracter"/>
        </w:rPr>
        <w:t>Artículo 20.3.</w:t>
      </w:r>
      <w:r w:rsidRPr="00DA359F">
        <w:rPr>
          <w:rStyle w:val="TextoNormalCaracter"/>
        </w:rPr>
        <w:t>-</w:t>
      </w:r>
      <w:r>
        <w:t xml:space="preserve"> Sentencia </w:t>
      </w:r>
      <w:hyperlink w:anchor="SENTENCIA_2023_149" w:history="1">
        <w:r w:rsidRPr="00DA359F">
          <w:rPr>
            <w:rStyle w:val="TextoNormalCaracter"/>
          </w:rPr>
          <w:t>149/2023</w:t>
        </w:r>
      </w:hyperlink>
      <w:r>
        <w:t>, f. 3.</w:t>
      </w:r>
    </w:p>
    <w:p w14:paraId="171E0239" w14:textId="66439463" w:rsidR="00DA359F" w:rsidRDefault="00DA359F" w:rsidP="00DA359F">
      <w:pPr>
        <w:pStyle w:val="SangriaFrancesaArticulo"/>
      </w:pPr>
      <w:r w:rsidRPr="00DA359F">
        <w:rPr>
          <w:rStyle w:val="TextoNormalNegritaCaracter"/>
        </w:rPr>
        <w:t>Artículo 20.5.</w:t>
      </w:r>
      <w:r w:rsidRPr="00DA359F">
        <w:rPr>
          <w:rStyle w:val="TextoNormalCaracter"/>
        </w:rPr>
        <w:t>-</w:t>
      </w:r>
      <w:r>
        <w:t xml:space="preserve"> Sentencia </w:t>
      </w:r>
      <w:hyperlink w:anchor="SENTENCIA_2023_149" w:history="1">
        <w:r w:rsidRPr="00DA359F">
          <w:rPr>
            <w:rStyle w:val="TextoNormalCaracter"/>
          </w:rPr>
          <w:t>149/2023</w:t>
        </w:r>
      </w:hyperlink>
      <w:r>
        <w:t>, f. 3.</w:t>
      </w:r>
    </w:p>
    <w:p w14:paraId="6466A0DF" w14:textId="65943B1E" w:rsidR="00DA359F" w:rsidRDefault="00DA359F" w:rsidP="00DA359F">
      <w:pPr>
        <w:pStyle w:val="SangriaFrancesaArticulo"/>
      </w:pPr>
      <w:r w:rsidRPr="00DA359F">
        <w:rPr>
          <w:rStyle w:val="TextoNormalNegritaCaracter"/>
        </w:rPr>
        <w:t>Artículo 23.</w:t>
      </w:r>
      <w:r w:rsidRPr="00DA359F">
        <w:rPr>
          <w:rStyle w:val="TextoNormalCaracter"/>
        </w:rPr>
        <w:t>-</w:t>
      </w:r>
      <w:r>
        <w:t xml:space="preserve"> Sentencia </w:t>
      </w:r>
      <w:hyperlink w:anchor="SENTENCIA_2023_149" w:history="1">
        <w:r w:rsidRPr="00DA359F">
          <w:rPr>
            <w:rStyle w:val="TextoNormalCaracter"/>
          </w:rPr>
          <w:t>149/2023</w:t>
        </w:r>
      </w:hyperlink>
      <w:r>
        <w:t>, f. 3.</w:t>
      </w:r>
    </w:p>
    <w:p w14:paraId="7F107261" w14:textId="078FBF37" w:rsidR="00DA359F" w:rsidRDefault="00DA359F" w:rsidP="00DA359F">
      <w:pPr>
        <w:pStyle w:val="SangriaFrancesaArticulo"/>
      </w:pPr>
      <w:r w:rsidRPr="00DA359F">
        <w:rPr>
          <w:rStyle w:val="TextoNormalNegritaCaracter"/>
        </w:rPr>
        <w:t>Artículo 24.</w:t>
      </w:r>
      <w:r w:rsidRPr="00DA359F">
        <w:rPr>
          <w:rStyle w:val="TextoNormalCaracter"/>
        </w:rPr>
        <w:t>-</w:t>
      </w:r>
      <w:r>
        <w:t xml:space="preserve"> Sentencia </w:t>
      </w:r>
      <w:hyperlink w:anchor="SENTENCIA_2023_149" w:history="1">
        <w:r w:rsidRPr="00DA359F">
          <w:rPr>
            <w:rStyle w:val="TextoNormalCaracter"/>
          </w:rPr>
          <w:t>149/2023</w:t>
        </w:r>
      </w:hyperlink>
      <w:r>
        <w:t>, f. 3.</w:t>
      </w:r>
    </w:p>
    <w:p w14:paraId="3D1225D2" w14:textId="7C41B02C" w:rsidR="00DA359F" w:rsidRDefault="00DA359F" w:rsidP="00DA359F">
      <w:pPr>
        <w:pStyle w:val="SangriaFrancesaArticulo"/>
      </w:pPr>
    </w:p>
    <w:p w14:paraId="73996E53" w14:textId="77777777" w:rsidR="00DA359F" w:rsidRDefault="00DA359F" w:rsidP="00DA359F">
      <w:pPr>
        <w:pStyle w:val="TextoNormalNegritaCursivandice"/>
        <w:keepNext/>
      </w:pPr>
      <w:r>
        <w:t>Ley Orgánica 4/1981, de 1 de junio, de los estados de alarma, excepción y sitio</w:t>
      </w:r>
    </w:p>
    <w:p w14:paraId="4256F75C" w14:textId="6146F7B3" w:rsidR="00DA359F" w:rsidRDefault="00DA359F" w:rsidP="00DA359F">
      <w:pPr>
        <w:pStyle w:val="SangriaFrancesaArticulo"/>
      </w:pPr>
      <w:r w:rsidRPr="00DA359F">
        <w:rPr>
          <w:rStyle w:val="TextoNormalNegritaCaracter"/>
        </w:rPr>
        <w:t>Artículo 11.</w:t>
      </w:r>
      <w:r w:rsidRPr="00DA359F">
        <w:rPr>
          <w:rStyle w:val="TextoNormalCaracter"/>
        </w:rPr>
        <w:t>-</w:t>
      </w:r>
      <w:r>
        <w:t xml:space="preserve"> Sentencia </w:t>
      </w:r>
      <w:hyperlink w:anchor="SENTENCIA_2023_84" w:history="1">
        <w:r w:rsidRPr="00DA359F">
          <w:rPr>
            <w:rStyle w:val="TextoNormalCaracter"/>
          </w:rPr>
          <w:t>84/2023</w:t>
        </w:r>
      </w:hyperlink>
      <w:r>
        <w:t>, f. 1.</w:t>
      </w:r>
    </w:p>
    <w:p w14:paraId="6BD79F1A" w14:textId="487BCD3D" w:rsidR="00DA359F" w:rsidRDefault="00DA359F" w:rsidP="00DA359F">
      <w:pPr>
        <w:pStyle w:val="SangriaFrancesaArticulo"/>
      </w:pPr>
      <w:r w:rsidRPr="00DA359F">
        <w:rPr>
          <w:rStyle w:val="TextoNormalNegritaCaracter"/>
        </w:rPr>
        <w:t>Artículo 11 a).</w:t>
      </w:r>
      <w:r w:rsidRPr="00DA359F">
        <w:rPr>
          <w:rStyle w:val="TextoNormalCaracter"/>
        </w:rPr>
        <w:t>-</w:t>
      </w:r>
      <w:r>
        <w:t xml:space="preserve"> Sentencia </w:t>
      </w:r>
      <w:hyperlink w:anchor="SENTENCIA_2023_84" w:history="1">
        <w:r w:rsidRPr="00DA359F">
          <w:rPr>
            <w:rStyle w:val="TextoNormalCaracter"/>
          </w:rPr>
          <w:t>84/2023</w:t>
        </w:r>
      </w:hyperlink>
      <w:r>
        <w:t>, f. 1.</w:t>
      </w:r>
    </w:p>
    <w:p w14:paraId="6D883AE8" w14:textId="1E48D9C8" w:rsidR="00DA359F" w:rsidRDefault="00DA359F" w:rsidP="00DA359F">
      <w:pPr>
        <w:pStyle w:val="SangriaFrancesaArticulo"/>
      </w:pPr>
    </w:p>
    <w:p w14:paraId="353B8154" w14:textId="77777777" w:rsidR="00DA359F" w:rsidRDefault="00DA359F" w:rsidP="00DA359F">
      <w:pPr>
        <w:pStyle w:val="TextoNormalNegritaCursivandice"/>
        <w:keepNext/>
      </w:pPr>
      <w:r>
        <w:t>Ley Orgánica 9/1983, de 15 de julio, reguladora del derecho de reunión</w:t>
      </w:r>
    </w:p>
    <w:p w14:paraId="5030E37B" w14:textId="3FC3F9EE"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Sentencias </w:t>
      </w:r>
      <w:hyperlink w:anchor="SENTENCIA_2023_84" w:history="1">
        <w:r w:rsidRPr="00DA359F">
          <w:rPr>
            <w:rStyle w:val="TextoNormalCaracter"/>
          </w:rPr>
          <w:t>84/2023</w:t>
        </w:r>
      </w:hyperlink>
      <w:r>
        <w:t xml:space="preserve">, VP; </w:t>
      </w:r>
      <w:hyperlink w:anchor="SENTENCIA_2023_88" w:history="1">
        <w:r w:rsidRPr="00DA359F">
          <w:rPr>
            <w:rStyle w:val="TextoNormalCaracter"/>
          </w:rPr>
          <w:t>88/2023</w:t>
        </w:r>
      </w:hyperlink>
      <w:r>
        <w:t xml:space="preserve">, f. 2; </w:t>
      </w:r>
      <w:hyperlink w:anchor="SENTENCIA_2023_164" w:history="1">
        <w:r w:rsidRPr="00DA359F">
          <w:rPr>
            <w:rStyle w:val="TextoNormalCaracter"/>
          </w:rPr>
          <w:t>164/2023</w:t>
        </w:r>
      </w:hyperlink>
      <w:r>
        <w:t>, f. 1.</w:t>
      </w:r>
    </w:p>
    <w:p w14:paraId="77575B27" w14:textId="46F531A5" w:rsidR="00DA359F" w:rsidRDefault="00DA359F" w:rsidP="00DA359F">
      <w:pPr>
        <w:pStyle w:val="SangriaFrancesaArticulo"/>
      </w:pPr>
      <w:r w:rsidRPr="00DA359F">
        <w:rPr>
          <w:rStyle w:val="TextoNormalNegritaCaracter"/>
        </w:rPr>
        <w:t>Artículo 8 y ss..</w:t>
      </w:r>
      <w:r w:rsidRPr="00DA359F">
        <w:rPr>
          <w:rStyle w:val="TextoNormalCaracter"/>
        </w:rPr>
        <w:t>-</w:t>
      </w:r>
      <w:r>
        <w:t xml:space="preserve"> Sentencia </w:t>
      </w:r>
      <w:hyperlink w:anchor="SENTENCIA_2023_88" w:history="1">
        <w:r w:rsidRPr="00DA359F">
          <w:rPr>
            <w:rStyle w:val="TextoNormalCaracter"/>
          </w:rPr>
          <w:t>88/2023</w:t>
        </w:r>
      </w:hyperlink>
      <w:r>
        <w:t>, f. 2.</w:t>
      </w:r>
    </w:p>
    <w:p w14:paraId="1D8507FD" w14:textId="24B72954" w:rsidR="00DA359F" w:rsidRDefault="00DA359F" w:rsidP="00DA359F">
      <w:pPr>
        <w:pStyle w:val="SangriaFrancesaArticulo"/>
      </w:pPr>
      <w:r w:rsidRPr="00DA359F">
        <w:rPr>
          <w:rStyle w:val="TextoNormalNegritaCaracter"/>
        </w:rPr>
        <w:t>Artículos 8 y ss..</w:t>
      </w:r>
      <w:r w:rsidRPr="00DA359F">
        <w:rPr>
          <w:rStyle w:val="TextoNormalCaracter"/>
        </w:rPr>
        <w:t>-</w:t>
      </w:r>
      <w:r>
        <w:t xml:space="preserve"> Sentencia </w:t>
      </w:r>
      <w:hyperlink w:anchor="SENTENCIA_2023_174" w:history="1">
        <w:r w:rsidRPr="00DA359F">
          <w:rPr>
            <w:rStyle w:val="TextoNormalCaracter"/>
          </w:rPr>
          <w:t>174/2023</w:t>
        </w:r>
      </w:hyperlink>
      <w:r>
        <w:t>, f. 2.</w:t>
      </w:r>
    </w:p>
    <w:p w14:paraId="2BA95B7C" w14:textId="60AF4EF8" w:rsidR="00DA359F" w:rsidRDefault="00DA359F" w:rsidP="00DA359F">
      <w:pPr>
        <w:pStyle w:val="SangriaFrancesaArticulo"/>
      </w:pPr>
      <w:r w:rsidRPr="00DA359F">
        <w:rPr>
          <w:rStyle w:val="TextoNormalNegritaCaracter"/>
        </w:rPr>
        <w:t>Artículo 10.</w:t>
      </w:r>
      <w:r w:rsidRPr="00DA359F">
        <w:rPr>
          <w:rStyle w:val="TextoNormalCaracter"/>
        </w:rPr>
        <w:t>-</w:t>
      </w:r>
      <w:r>
        <w:t xml:space="preserve"> Sentencias </w:t>
      </w:r>
      <w:hyperlink w:anchor="SENTENCIA_2023_84" w:history="1">
        <w:r w:rsidRPr="00DA359F">
          <w:rPr>
            <w:rStyle w:val="TextoNormalCaracter"/>
          </w:rPr>
          <w:t>84/2023</w:t>
        </w:r>
      </w:hyperlink>
      <w:r>
        <w:t xml:space="preserve">, f. 4, VP; </w:t>
      </w:r>
      <w:hyperlink w:anchor="SENTENCIA_2023_88" w:history="1">
        <w:r w:rsidRPr="00DA359F">
          <w:rPr>
            <w:rStyle w:val="TextoNormalCaracter"/>
          </w:rPr>
          <w:t>88/2023</w:t>
        </w:r>
      </w:hyperlink>
      <w:r>
        <w:t xml:space="preserve">, ff. 1, 3; </w:t>
      </w:r>
      <w:hyperlink w:anchor="SENTENCIA_2023_164" w:history="1">
        <w:r w:rsidRPr="00DA359F">
          <w:rPr>
            <w:rStyle w:val="TextoNormalCaracter"/>
          </w:rPr>
          <w:t>164/2023</w:t>
        </w:r>
      </w:hyperlink>
      <w:r>
        <w:t>, VP II.</w:t>
      </w:r>
    </w:p>
    <w:p w14:paraId="5B3AD631" w14:textId="7B37EDC3" w:rsidR="00DA359F" w:rsidRDefault="00DA359F" w:rsidP="00DA359F">
      <w:pPr>
        <w:pStyle w:val="SangriaFrancesaArticulo"/>
      </w:pPr>
    </w:p>
    <w:p w14:paraId="38F63C69" w14:textId="77777777" w:rsidR="00DA359F" w:rsidRDefault="00DA359F" w:rsidP="00DA359F">
      <w:pPr>
        <w:pStyle w:val="TextoNormalNegritaCursivandice"/>
        <w:keepNext/>
      </w:pPr>
      <w:r>
        <w:t>Ley Orgánica 5/1985, de 19 de junio, del régimen electoral general</w:t>
      </w:r>
    </w:p>
    <w:p w14:paraId="6115A2C7" w14:textId="6BA0F006" w:rsidR="00DA359F" w:rsidRDefault="00DA359F" w:rsidP="00DA359F">
      <w:pPr>
        <w:pStyle w:val="SangriaFrancesaArticulo"/>
        <w:keepNext/>
      </w:pPr>
      <w:r w:rsidRPr="00DA359F">
        <w:rPr>
          <w:rStyle w:val="TextoNormalNegritaCaracter"/>
        </w:rPr>
        <w:t>En general.</w:t>
      </w:r>
      <w:r w:rsidRPr="00DA359F">
        <w:rPr>
          <w:rStyle w:val="TextoNormalCaracter"/>
        </w:rPr>
        <w:t>-</w:t>
      </w:r>
      <w:r>
        <w:t xml:space="preserve"> Sentencia </w:t>
      </w:r>
      <w:hyperlink w:anchor="SENTENCIA_2023_95" w:history="1">
        <w:r w:rsidRPr="00DA359F">
          <w:rPr>
            <w:rStyle w:val="TextoNormalCaracter"/>
          </w:rPr>
          <w:t>95/2023</w:t>
        </w:r>
      </w:hyperlink>
      <w:r>
        <w:t>, ff. 4 a 6, VP.</w:t>
      </w:r>
    </w:p>
    <w:p w14:paraId="40560388" w14:textId="2AF8BFE5" w:rsidR="00DA359F" w:rsidRDefault="00DA359F" w:rsidP="00DA359F">
      <w:pPr>
        <w:pStyle w:val="SangriaIzquierdaArticulo"/>
      </w:pPr>
      <w:r>
        <w:t xml:space="preserve">Auto </w:t>
      </w:r>
      <w:hyperlink w:anchor="AUTO_2023_425" w:history="1">
        <w:r w:rsidRPr="00DA359F">
          <w:rPr>
            <w:rStyle w:val="TextoNormalCaracter"/>
          </w:rPr>
          <w:t>425/2023</w:t>
        </w:r>
      </w:hyperlink>
      <w:r>
        <w:t>, VP.</w:t>
      </w:r>
    </w:p>
    <w:p w14:paraId="423BACAB" w14:textId="2232919A" w:rsidR="00DA359F" w:rsidRDefault="00DA359F" w:rsidP="00DA359F">
      <w:pPr>
        <w:pStyle w:val="SangriaFrancesaArticulo"/>
      </w:pPr>
      <w:r w:rsidRPr="00DA359F">
        <w:rPr>
          <w:rStyle w:val="TextoNormalNegritaCaracter"/>
        </w:rPr>
        <w:t>Artículo 6.2 b).</w:t>
      </w:r>
      <w:r w:rsidRPr="00DA359F">
        <w:rPr>
          <w:rStyle w:val="TextoNormalCaracter"/>
        </w:rPr>
        <w:t>-</w:t>
      </w:r>
      <w:r>
        <w:t xml:space="preserve"> Sentencia </w:t>
      </w:r>
      <w:hyperlink w:anchor="SENTENCIA_2023_82" w:history="1">
        <w:r w:rsidRPr="00DA359F">
          <w:rPr>
            <w:rStyle w:val="TextoNormalCaracter"/>
          </w:rPr>
          <w:t>82/2023</w:t>
        </w:r>
      </w:hyperlink>
      <w:r>
        <w:t>, ff. 1, 3.</w:t>
      </w:r>
    </w:p>
    <w:p w14:paraId="760D7D5B" w14:textId="2113455F" w:rsidR="00DA359F" w:rsidRDefault="00DA359F" w:rsidP="00DA359F">
      <w:pPr>
        <w:pStyle w:val="SangriaFrancesaArticulo"/>
      </w:pPr>
      <w:r w:rsidRPr="00DA359F">
        <w:rPr>
          <w:rStyle w:val="TextoNormalNegritaCaracter"/>
        </w:rPr>
        <w:t>Artículo 6.4.</w:t>
      </w:r>
      <w:r w:rsidRPr="00DA359F">
        <w:rPr>
          <w:rStyle w:val="TextoNormalCaracter"/>
        </w:rPr>
        <w:t>-</w:t>
      </w:r>
      <w:r>
        <w:t xml:space="preserve"> Sentencia </w:t>
      </w:r>
      <w:hyperlink w:anchor="SENTENCIA_2023_82" w:history="1">
        <w:r w:rsidRPr="00DA359F">
          <w:rPr>
            <w:rStyle w:val="TextoNormalCaracter"/>
          </w:rPr>
          <w:t>82/2023</w:t>
        </w:r>
      </w:hyperlink>
      <w:r>
        <w:t>, f. 1.</w:t>
      </w:r>
    </w:p>
    <w:p w14:paraId="768C8F82" w14:textId="04988E16" w:rsidR="00DA359F" w:rsidRDefault="00DA359F" w:rsidP="00DA359F">
      <w:pPr>
        <w:pStyle w:val="SangriaFrancesaArticulo"/>
      </w:pPr>
      <w:r w:rsidRPr="00DA359F">
        <w:rPr>
          <w:rStyle w:val="TextoNormalNegritaCaracter"/>
        </w:rPr>
        <w:t>Artículo 105.</w:t>
      </w:r>
      <w:r w:rsidRPr="00DA359F">
        <w:rPr>
          <w:rStyle w:val="TextoNormalCaracter"/>
        </w:rPr>
        <w:t>-</w:t>
      </w:r>
      <w:r>
        <w:t xml:space="preserve"> Auto </w:t>
      </w:r>
      <w:hyperlink w:anchor="AUTO_2023_425" w:history="1">
        <w:r w:rsidRPr="00DA359F">
          <w:rPr>
            <w:rStyle w:val="TextoNormalCaracter"/>
          </w:rPr>
          <w:t>425/2023</w:t>
        </w:r>
      </w:hyperlink>
      <w:r>
        <w:t>, f. 3.</w:t>
      </w:r>
    </w:p>
    <w:p w14:paraId="726A3664" w14:textId="0AA6CD43" w:rsidR="00DA359F" w:rsidRDefault="00DA359F" w:rsidP="00DA359F">
      <w:pPr>
        <w:pStyle w:val="SangriaFrancesaArticulo"/>
      </w:pPr>
      <w:r w:rsidRPr="00DA359F">
        <w:rPr>
          <w:rStyle w:val="TextoNormalNegritaCaracter"/>
        </w:rPr>
        <w:t>Artículo 108.</w:t>
      </w:r>
      <w:r w:rsidRPr="00DA359F">
        <w:rPr>
          <w:rStyle w:val="TextoNormalCaracter"/>
        </w:rPr>
        <w:t>-</w:t>
      </w:r>
      <w:r>
        <w:t xml:space="preserve"> Auto </w:t>
      </w:r>
      <w:hyperlink w:anchor="AUTO_2023_425" w:history="1">
        <w:r w:rsidRPr="00DA359F">
          <w:rPr>
            <w:rStyle w:val="TextoNormalCaracter"/>
          </w:rPr>
          <w:t>425/2023</w:t>
        </w:r>
      </w:hyperlink>
      <w:r>
        <w:t>, f. 3.</w:t>
      </w:r>
    </w:p>
    <w:p w14:paraId="3ACB44A7" w14:textId="37C206C4" w:rsidR="00DA359F" w:rsidRDefault="00DA359F" w:rsidP="00DA359F">
      <w:pPr>
        <w:pStyle w:val="SangriaFrancesaArticulo"/>
      </w:pPr>
      <w:r w:rsidRPr="00DA359F">
        <w:rPr>
          <w:rStyle w:val="TextoNormalNegritaCaracter"/>
        </w:rPr>
        <w:t>Artículo 163.</w:t>
      </w:r>
      <w:r w:rsidRPr="00DA359F">
        <w:rPr>
          <w:rStyle w:val="TextoNormalCaracter"/>
        </w:rPr>
        <w:t>-</w:t>
      </w:r>
      <w:r>
        <w:t xml:space="preserve"> Sentencia </w:t>
      </w:r>
      <w:hyperlink w:anchor="SENTENCIA_2023_116" w:history="1">
        <w:r w:rsidRPr="00DA359F">
          <w:rPr>
            <w:rStyle w:val="TextoNormalCaracter"/>
          </w:rPr>
          <w:t>116/2023</w:t>
        </w:r>
      </w:hyperlink>
      <w:r>
        <w:t>, f. 3.</w:t>
      </w:r>
    </w:p>
    <w:p w14:paraId="46DB4C76" w14:textId="66112527" w:rsidR="00DA359F" w:rsidRDefault="00DA359F" w:rsidP="00DA359F">
      <w:pPr>
        <w:pStyle w:val="SangriaFrancesaArticulo"/>
      </w:pPr>
    </w:p>
    <w:p w14:paraId="6AC4B4A4" w14:textId="77777777" w:rsidR="00DA359F" w:rsidRDefault="00DA359F" w:rsidP="00DA359F">
      <w:pPr>
        <w:pStyle w:val="TextoNormalNegritaCursivandice"/>
        <w:keepNext/>
      </w:pPr>
      <w:r>
        <w:t>Ley Orgánica 6/1985, de 1 de julio. Poder judicial</w:t>
      </w:r>
    </w:p>
    <w:p w14:paraId="661B5D62" w14:textId="059A1C8A" w:rsidR="00DA359F" w:rsidRDefault="00DA359F" w:rsidP="00DA359F">
      <w:pPr>
        <w:pStyle w:val="SangriaFrancesaArticulo"/>
        <w:keepNext/>
      </w:pPr>
      <w:r w:rsidRPr="00DA359F">
        <w:rPr>
          <w:rStyle w:val="TextoNormalNegritaCaracter"/>
        </w:rPr>
        <w:t>En general.</w:t>
      </w:r>
      <w:r w:rsidRPr="00DA359F">
        <w:rPr>
          <w:rStyle w:val="TextoNormalCaracter"/>
        </w:rPr>
        <w:t>-</w:t>
      </w:r>
      <w:r>
        <w:t xml:space="preserve"> Sentencia </w:t>
      </w:r>
      <w:hyperlink w:anchor="SENTENCIA_2023_128" w:history="1">
        <w:r w:rsidRPr="00DA359F">
          <w:rPr>
            <w:rStyle w:val="TextoNormalCaracter"/>
          </w:rPr>
          <w:t>128/2023</w:t>
        </w:r>
      </w:hyperlink>
      <w:r>
        <w:t>, ff. 1 a 6, VP.</w:t>
      </w:r>
    </w:p>
    <w:p w14:paraId="2A042D83" w14:textId="51509CB2" w:rsidR="00DA359F" w:rsidRDefault="00DA359F" w:rsidP="00DA359F">
      <w:pPr>
        <w:pStyle w:val="SangriaIzquierdaArticulo"/>
      </w:pPr>
      <w:r>
        <w:t xml:space="preserve">Autos </w:t>
      </w:r>
      <w:hyperlink w:anchor="AUTO_2023_353" w:history="1">
        <w:r w:rsidRPr="00DA359F">
          <w:rPr>
            <w:rStyle w:val="TextoNormalCaracter"/>
          </w:rPr>
          <w:t>353/2023</w:t>
        </w:r>
      </w:hyperlink>
      <w:r>
        <w:t xml:space="preserve">, f. 2; </w:t>
      </w:r>
      <w:hyperlink w:anchor="AUTO_2023_489" w:history="1">
        <w:r w:rsidRPr="00DA359F">
          <w:rPr>
            <w:rStyle w:val="TextoNormalCaracter"/>
          </w:rPr>
          <w:t>489/2023</w:t>
        </w:r>
      </w:hyperlink>
      <w:r>
        <w:t>, f. 2.</w:t>
      </w:r>
    </w:p>
    <w:p w14:paraId="7E4630B5" w14:textId="4E643F06" w:rsidR="00DA359F" w:rsidRDefault="00DA359F" w:rsidP="00DA359F">
      <w:pPr>
        <w:pStyle w:val="SangriaFrancesaArticulo"/>
      </w:pPr>
      <w:r w:rsidRPr="00DA359F">
        <w:rPr>
          <w:rStyle w:val="TextoNormalNegritaCaracter"/>
        </w:rPr>
        <w:t>Artículo 5.1.</w:t>
      </w:r>
      <w:r w:rsidRPr="00DA359F">
        <w:rPr>
          <w:rStyle w:val="TextoNormalCaracter"/>
        </w:rPr>
        <w:t>-</w:t>
      </w:r>
      <w:r>
        <w:t xml:space="preserve"> Sentencia </w:t>
      </w:r>
      <w:hyperlink w:anchor="SENTENCIA_2023_123" w:history="1">
        <w:r w:rsidRPr="00DA359F">
          <w:rPr>
            <w:rStyle w:val="TextoNormalCaracter"/>
          </w:rPr>
          <w:t>123/2023</w:t>
        </w:r>
      </w:hyperlink>
      <w:r>
        <w:t>, f. 2.</w:t>
      </w:r>
    </w:p>
    <w:p w14:paraId="2018103B" w14:textId="5BE4507A" w:rsidR="00DA359F" w:rsidRDefault="00DA359F" w:rsidP="00DA359F">
      <w:pPr>
        <w:pStyle w:val="SangriaFrancesaArticulo"/>
      </w:pPr>
      <w:r w:rsidRPr="00DA359F">
        <w:rPr>
          <w:rStyle w:val="TextoNormalNegritaCaracter"/>
        </w:rPr>
        <w:t>Artículo 11.2.</w:t>
      </w:r>
      <w:r w:rsidRPr="00DA359F">
        <w:rPr>
          <w:rStyle w:val="TextoNormalCaracter"/>
        </w:rPr>
        <w:t>-</w:t>
      </w:r>
      <w:r>
        <w:t xml:space="preserve"> Autos </w:t>
      </w:r>
      <w:hyperlink w:anchor="AUTO_2023_488" w:history="1">
        <w:r w:rsidRPr="00DA359F">
          <w:rPr>
            <w:rStyle w:val="TextoNormalCaracter"/>
          </w:rPr>
          <w:t>488/2023</w:t>
        </w:r>
      </w:hyperlink>
      <w:r>
        <w:t xml:space="preserve">, f. 1; </w:t>
      </w:r>
      <w:hyperlink w:anchor="AUTO_2023_490" w:history="1">
        <w:r w:rsidRPr="00DA359F">
          <w:rPr>
            <w:rStyle w:val="TextoNormalCaracter"/>
          </w:rPr>
          <w:t>490/2023</w:t>
        </w:r>
      </w:hyperlink>
      <w:r>
        <w:t>, f. 1.</w:t>
      </w:r>
    </w:p>
    <w:p w14:paraId="76E16B23" w14:textId="7B4C7E21" w:rsidR="00DA359F" w:rsidRDefault="00DA359F" w:rsidP="00DA359F">
      <w:pPr>
        <w:pStyle w:val="SangriaFrancesaArticulo"/>
      </w:pPr>
      <w:r w:rsidRPr="00DA359F">
        <w:rPr>
          <w:rStyle w:val="TextoNormalNegritaCaracter"/>
        </w:rPr>
        <w:t>Artículo 18.2.</w:t>
      </w:r>
      <w:r w:rsidRPr="00DA359F">
        <w:rPr>
          <w:rStyle w:val="TextoNormalCaracter"/>
        </w:rPr>
        <w:t>-</w:t>
      </w:r>
      <w:r>
        <w:t xml:space="preserve"> Auto </w:t>
      </w:r>
      <w:hyperlink w:anchor="AUTO_2023_669" w:history="1">
        <w:r w:rsidRPr="00DA359F">
          <w:rPr>
            <w:rStyle w:val="TextoNormalCaracter"/>
          </w:rPr>
          <w:t>669/2023</w:t>
        </w:r>
      </w:hyperlink>
      <w:r>
        <w:t>, f. 2.</w:t>
      </w:r>
    </w:p>
    <w:p w14:paraId="679A939D" w14:textId="0DF68CBF" w:rsidR="00DA359F" w:rsidRDefault="00DA359F" w:rsidP="00DA359F">
      <w:pPr>
        <w:pStyle w:val="SangriaFrancesaArticulo"/>
      </w:pPr>
      <w:r w:rsidRPr="00DA359F">
        <w:rPr>
          <w:rStyle w:val="TextoNormalNegritaCaracter"/>
        </w:rPr>
        <w:t>Artículo 61.</w:t>
      </w:r>
      <w:r w:rsidRPr="00DA359F">
        <w:rPr>
          <w:rStyle w:val="TextoNormalCaracter"/>
        </w:rPr>
        <w:t>-</w:t>
      </w:r>
      <w:r>
        <w:t xml:space="preserve"> Auto </w:t>
      </w:r>
      <w:hyperlink w:anchor="AUTO_2023_488" w:history="1">
        <w:r w:rsidRPr="00DA359F">
          <w:rPr>
            <w:rStyle w:val="TextoNormalCaracter"/>
          </w:rPr>
          <w:t>488/2023</w:t>
        </w:r>
      </w:hyperlink>
      <w:r>
        <w:t>, f. 2.</w:t>
      </w:r>
    </w:p>
    <w:p w14:paraId="157CF818" w14:textId="061F6FAE" w:rsidR="00DA359F" w:rsidRDefault="00DA359F" w:rsidP="00DA359F">
      <w:pPr>
        <w:pStyle w:val="SangriaFrancesaArticulo"/>
      </w:pPr>
      <w:r w:rsidRPr="00DA359F">
        <w:rPr>
          <w:rStyle w:val="TextoNormalNegritaCaracter"/>
        </w:rPr>
        <w:t>Artículo 74.1 c).</w:t>
      </w:r>
      <w:r w:rsidRPr="00DA359F">
        <w:rPr>
          <w:rStyle w:val="TextoNormalCaracter"/>
        </w:rPr>
        <w:t>-</w:t>
      </w:r>
      <w:r>
        <w:t xml:space="preserve"> Sentencia </w:t>
      </w:r>
      <w:hyperlink w:anchor="SENTENCIA_2023_82" w:history="1">
        <w:r w:rsidRPr="00DA359F">
          <w:rPr>
            <w:rStyle w:val="TextoNormalCaracter"/>
          </w:rPr>
          <w:t>82/2023</w:t>
        </w:r>
      </w:hyperlink>
      <w:r>
        <w:t>, f. 3.</w:t>
      </w:r>
    </w:p>
    <w:p w14:paraId="3B47D3DB" w14:textId="251B3069" w:rsidR="00DA359F" w:rsidRDefault="00DA359F" w:rsidP="00DA359F">
      <w:pPr>
        <w:pStyle w:val="SangriaFrancesaArticulo"/>
      </w:pPr>
      <w:r w:rsidRPr="00DA359F">
        <w:rPr>
          <w:rStyle w:val="TextoNormalNegritaCaracter"/>
        </w:rPr>
        <w:t>Artículo 115.2.</w:t>
      </w:r>
      <w:r w:rsidRPr="00DA359F">
        <w:rPr>
          <w:rStyle w:val="TextoNormalCaracter"/>
        </w:rPr>
        <w:t>-</w:t>
      </w:r>
      <w:r>
        <w:t xml:space="preserve"> Sentencia </w:t>
      </w:r>
      <w:hyperlink w:anchor="SENTENCIA_2023_128" w:history="1">
        <w:r w:rsidRPr="00DA359F">
          <w:rPr>
            <w:rStyle w:val="TextoNormalCaracter"/>
          </w:rPr>
          <w:t>128/2023</w:t>
        </w:r>
      </w:hyperlink>
      <w:r>
        <w:t>, f. 4.</w:t>
      </w:r>
    </w:p>
    <w:p w14:paraId="417C4816" w14:textId="6D55074F" w:rsidR="00DA359F" w:rsidRDefault="00DA359F" w:rsidP="00DA359F">
      <w:pPr>
        <w:pStyle w:val="SangriaFrancesaArticulo"/>
      </w:pPr>
      <w:r w:rsidRPr="00DA359F">
        <w:rPr>
          <w:rStyle w:val="TextoNormalNegritaCaracter"/>
        </w:rPr>
        <w:t>Artículo 119.2.</w:t>
      </w:r>
      <w:r w:rsidRPr="00DA359F">
        <w:rPr>
          <w:rStyle w:val="TextoNormalCaracter"/>
        </w:rPr>
        <w:t>-</w:t>
      </w:r>
      <w:r>
        <w:t xml:space="preserve"> Sentencia </w:t>
      </w:r>
      <w:hyperlink w:anchor="SENTENCIA_2023_128" w:history="1">
        <w:r w:rsidRPr="00DA359F">
          <w:rPr>
            <w:rStyle w:val="TextoNormalCaracter"/>
          </w:rPr>
          <w:t>128/2023</w:t>
        </w:r>
      </w:hyperlink>
      <w:r>
        <w:t>, f. 4.</w:t>
      </w:r>
    </w:p>
    <w:p w14:paraId="5BB70AC0" w14:textId="37A9FA71" w:rsidR="00DA359F" w:rsidRDefault="00DA359F" w:rsidP="00DA359F">
      <w:pPr>
        <w:pStyle w:val="SangriaFrancesaArticulo"/>
      </w:pPr>
      <w:r w:rsidRPr="00DA359F">
        <w:rPr>
          <w:rStyle w:val="TextoNormalNegritaCaracter"/>
        </w:rPr>
        <w:t>Artículo 183.</w:t>
      </w:r>
      <w:r w:rsidRPr="00DA359F">
        <w:rPr>
          <w:rStyle w:val="TextoNormalCaracter"/>
        </w:rPr>
        <w:t>-</w:t>
      </w:r>
      <w:r>
        <w:t xml:space="preserve"> Auto </w:t>
      </w:r>
      <w:hyperlink w:anchor="AUTO_2023_490" w:history="1">
        <w:r w:rsidRPr="00DA359F">
          <w:rPr>
            <w:rStyle w:val="TextoNormalCaracter"/>
          </w:rPr>
          <w:t>490/2023</w:t>
        </w:r>
      </w:hyperlink>
      <w:r>
        <w:t>, f. 1.</w:t>
      </w:r>
    </w:p>
    <w:p w14:paraId="277BAC99" w14:textId="7BB73A15" w:rsidR="00DA359F" w:rsidRDefault="00DA359F" w:rsidP="00DA359F">
      <w:pPr>
        <w:pStyle w:val="SangriaFrancesaArticulo"/>
      </w:pPr>
      <w:r w:rsidRPr="00DA359F">
        <w:rPr>
          <w:rStyle w:val="TextoNormalNegritaCaracter"/>
        </w:rPr>
        <w:t>Artículo 219.</w:t>
      </w:r>
      <w:r w:rsidRPr="00DA359F">
        <w:rPr>
          <w:rStyle w:val="TextoNormalCaracter"/>
        </w:rPr>
        <w:t>-</w:t>
      </w:r>
      <w:r>
        <w:t xml:space="preserve"> Autos </w:t>
      </w:r>
      <w:hyperlink w:anchor="AUTO_2023_432" w:history="1">
        <w:r w:rsidRPr="00DA359F">
          <w:rPr>
            <w:rStyle w:val="TextoNormalCaracter"/>
          </w:rPr>
          <w:t>432/2023</w:t>
        </w:r>
      </w:hyperlink>
      <w:r>
        <w:t xml:space="preserve">, f. 2; </w:t>
      </w:r>
      <w:hyperlink w:anchor="AUTO_2023_483" w:history="1">
        <w:r w:rsidRPr="00DA359F">
          <w:rPr>
            <w:rStyle w:val="TextoNormalCaracter"/>
          </w:rPr>
          <w:t>483/2023</w:t>
        </w:r>
      </w:hyperlink>
      <w:r>
        <w:t xml:space="preserve">, f. 3; </w:t>
      </w:r>
      <w:hyperlink w:anchor="AUTO_2023_484" w:history="1">
        <w:r w:rsidRPr="00DA359F">
          <w:rPr>
            <w:rStyle w:val="TextoNormalCaracter"/>
          </w:rPr>
          <w:t>484/2023</w:t>
        </w:r>
      </w:hyperlink>
      <w:r>
        <w:t xml:space="preserve">, f. 3; </w:t>
      </w:r>
      <w:hyperlink w:anchor="AUTO_2023_489" w:history="1">
        <w:r w:rsidRPr="00DA359F">
          <w:rPr>
            <w:rStyle w:val="TextoNormalCaracter"/>
          </w:rPr>
          <w:t>489/2023</w:t>
        </w:r>
      </w:hyperlink>
      <w:r>
        <w:t xml:space="preserve">, f. 2; </w:t>
      </w:r>
      <w:hyperlink w:anchor="AUTO_2023_490" w:history="1">
        <w:r w:rsidRPr="00DA359F">
          <w:rPr>
            <w:rStyle w:val="TextoNormalCaracter"/>
          </w:rPr>
          <w:t>490/2023</w:t>
        </w:r>
      </w:hyperlink>
      <w:r>
        <w:t xml:space="preserve">, f. 2; </w:t>
      </w:r>
      <w:hyperlink w:anchor="AUTO_2023_521" w:history="1">
        <w:r w:rsidRPr="00DA359F">
          <w:rPr>
            <w:rStyle w:val="TextoNormalCaracter"/>
          </w:rPr>
          <w:t>521/2023</w:t>
        </w:r>
      </w:hyperlink>
      <w:r>
        <w:t xml:space="preserve">, f. único; </w:t>
      </w:r>
      <w:hyperlink w:anchor="AUTO_2023_522" w:history="1">
        <w:r w:rsidRPr="00DA359F">
          <w:rPr>
            <w:rStyle w:val="TextoNormalCaracter"/>
          </w:rPr>
          <w:t>522/2023</w:t>
        </w:r>
      </w:hyperlink>
      <w:r>
        <w:t>, f. único.</w:t>
      </w:r>
    </w:p>
    <w:p w14:paraId="03B4A49F" w14:textId="30B3A7FF" w:rsidR="00DA359F" w:rsidRDefault="00DA359F" w:rsidP="00DA359F">
      <w:pPr>
        <w:pStyle w:val="SangriaFrancesaArticulo"/>
      </w:pPr>
      <w:r w:rsidRPr="00DA359F">
        <w:rPr>
          <w:rStyle w:val="TextoNormalNegritaCaracter"/>
        </w:rPr>
        <w:t>Artículo 219 apartados 1 a 9.</w:t>
      </w:r>
      <w:r w:rsidRPr="00DA359F">
        <w:rPr>
          <w:rStyle w:val="TextoNormalCaracter"/>
        </w:rPr>
        <w:t>-</w:t>
      </w:r>
      <w:r>
        <w:t xml:space="preserve"> Auto </w:t>
      </w:r>
      <w:hyperlink w:anchor="AUTO_2023_664" w:history="1">
        <w:r w:rsidRPr="00DA359F">
          <w:rPr>
            <w:rStyle w:val="TextoNormalCaracter"/>
          </w:rPr>
          <w:t>664/2023</w:t>
        </w:r>
      </w:hyperlink>
      <w:r>
        <w:t>, f. único.</w:t>
      </w:r>
    </w:p>
    <w:p w14:paraId="743405E7" w14:textId="107A86CA" w:rsidR="00DA359F" w:rsidRDefault="00DA359F" w:rsidP="00DA359F">
      <w:pPr>
        <w:pStyle w:val="SangriaFrancesaArticulo"/>
      </w:pPr>
      <w:r w:rsidRPr="00DA359F">
        <w:rPr>
          <w:rStyle w:val="TextoNormalNegritaCaracter"/>
        </w:rPr>
        <w:t>Artículo 219 apartados 1 a 9, 12 a 15.</w:t>
      </w:r>
      <w:r w:rsidRPr="00DA359F">
        <w:rPr>
          <w:rStyle w:val="TextoNormalCaracter"/>
        </w:rPr>
        <w:t>-</w:t>
      </w:r>
      <w:r>
        <w:t xml:space="preserve"> Auto </w:t>
      </w:r>
      <w:hyperlink w:anchor="AUTO_2023_374" w:history="1">
        <w:r w:rsidRPr="00DA359F">
          <w:rPr>
            <w:rStyle w:val="TextoNormalCaracter"/>
          </w:rPr>
          <w:t>374/2023</w:t>
        </w:r>
      </w:hyperlink>
      <w:r>
        <w:t>, f. único.</w:t>
      </w:r>
    </w:p>
    <w:p w14:paraId="1099B96C" w14:textId="383815EC" w:rsidR="00DA359F" w:rsidRDefault="00DA359F" w:rsidP="00DA359F">
      <w:pPr>
        <w:pStyle w:val="SangriaFrancesaArticulo"/>
      </w:pPr>
      <w:r w:rsidRPr="00DA359F">
        <w:rPr>
          <w:rStyle w:val="TextoNormalNegritaCaracter"/>
        </w:rPr>
        <w:t>Artículo 219.1.</w:t>
      </w:r>
      <w:r w:rsidRPr="00DA359F">
        <w:rPr>
          <w:rStyle w:val="TextoNormalCaracter"/>
        </w:rPr>
        <w:t>-</w:t>
      </w:r>
      <w:r>
        <w:t xml:space="preserve"> Autos </w:t>
      </w:r>
      <w:hyperlink w:anchor="AUTO_2023_374" w:history="1">
        <w:r w:rsidRPr="00DA359F">
          <w:rPr>
            <w:rStyle w:val="TextoNormalCaracter"/>
          </w:rPr>
          <w:t>374/2023</w:t>
        </w:r>
      </w:hyperlink>
      <w:r>
        <w:t xml:space="preserve">, f. único; </w:t>
      </w:r>
      <w:hyperlink w:anchor="AUTO_2023_483" w:history="1">
        <w:r w:rsidRPr="00DA359F">
          <w:rPr>
            <w:rStyle w:val="TextoNormalCaracter"/>
          </w:rPr>
          <w:t>483/2023</w:t>
        </w:r>
      </w:hyperlink>
      <w:r>
        <w:t xml:space="preserve">, f. 1; </w:t>
      </w:r>
      <w:hyperlink w:anchor="AUTO_2023_664" w:history="1">
        <w:r w:rsidRPr="00DA359F">
          <w:rPr>
            <w:rStyle w:val="TextoNormalCaracter"/>
          </w:rPr>
          <w:t>664/2023</w:t>
        </w:r>
      </w:hyperlink>
      <w:r>
        <w:t>, f. único.</w:t>
      </w:r>
    </w:p>
    <w:p w14:paraId="5886EEE0" w14:textId="7C3A345A" w:rsidR="00DA359F" w:rsidRDefault="00DA359F" w:rsidP="00DA359F">
      <w:pPr>
        <w:pStyle w:val="SangriaFrancesaArticulo"/>
      </w:pPr>
      <w:r w:rsidRPr="00DA359F">
        <w:rPr>
          <w:rStyle w:val="TextoNormalNegritaCaracter"/>
        </w:rPr>
        <w:t>Artículo 219.4.</w:t>
      </w:r>
      <w:r w:rsidRPr="00DA359F">
        <w:rPr>
          <w:rStyle w:val="TextoNormalCaracter"/>
        </w:rPr>
        <w:t>-</w:t>
      </w:r>
      <w:r>
        <w:t xml:space="preserve"> Auto </w:t>
      </w:r>
      <w:hyperlink w:anchor="AUTO_2023_483" w:history="1">
        <w:r w:rsidRPr="00DA359F">
          <w:rPr>
            <w:rStyle w:val="TextoNormalCaracter"/>
          </w:rPr>
          <w:t>483/2023</w:t>
        </w:r>
      </w:hyperlink>
      <w:r>
        <w:t>, f. 1.</w:t>
      </w:r>
    </w:p>
    <w:p w14:paraId="36B8DD8F" w14:textId="0DFA5B1A" w:rsidR="00DA359F" w:rsidRDefault="00DA359F" w:rsidP="00DA359F">
      <w:pPr>
        <w:pStyle w:val="SangriaFrancesaArticulo"/>
      </w:pPr>
      <w:r w:rsidRPr="00DA359F">
        <w:rPr>
          <w:rStyle w:val="TextoNormalNegritaCaracter"/>
        </w:rPr>
        <w:t>Artículo 219.7.</w:t>
      </w:r>
      <w:r w:rsidRPr="00DA359F">
        <w:rPr>
          <w:rStyle w:val="TextoNormalCaracter"/>
        </w:rPr>
        <w:t>-</w:t>
      </w:r>
      <w:r>
        <w:t xml:space="preserve"> Auto </w:t>
      </w:r>
      <w:hyperlink w:anchor="AUTO_2023_483" w:history="1">
        <w:r w:rsidRPr="00DA359F">
          <w:rPr>
            <w:rStyle w:val="TextoNormalCaracter"/>
          </w:rPr>
          <w:t>483/2023</w:t>
        </w:r>
      </w:hyperlink>
      <w:r>
        <w:t>, ff. 1, 3.</w:t>
      </w:r>
    </w:p>
    <w:p w14:paraId="5E73922D" w14:textId="36A83A88" w:rsidR="00DA359F" w:rsidRDefault="00DA359F" w:rsidP="00DA359F">
      <w:pPr>
        <w:pStyle w:val="SangriaFrancesaArticulo"/>
      </w:pPr>
      <w:r w:rsidRPr="00DA359F">
        <w:rPr>
          <w:rStyle w:val="TextoNormalNegritaCaracter"/>
        </w:rPr>
        <w:t>Artículo 219.9.</w:t>
      </w:r>
      <w:r w:rsidRPr="00DA359F">
        <w:rPr>
          <w:rStyle w:val="TextoNormalCaracter"/>
        </w:rPr>
        <w:t>-</w:t>
      </w:r>
      <w:r>
        <w:t xml:space="preserve"> Autos </w:t>
      </w:r>
      <w:hyperlink w:anchor="AUTO_2023_483" w:history="1">
        <w:r w:rsidRPr="00DA359F">
          <w:rPr>
            <w:rStyle w:val="TextoNormalCaracter"/>
          </w:rPr>
          <w:t>483/2023</w:t>
        </w:r>
      </w:hyperlink>
      <w:r>
        <w:t xml:space="preserve">, ff. 1, 3; </w:t>
      </w:r>
      <w:hyperlink w:anchor="AUTO_2023_536" w:history="1">
        <w:r w:rsidRPr="00DA359F">
          <w:rPr>
            <w:rStyle w:val="TextoNormalCaracter"/>
          </w:rPr>
          <w:t>536/2023</w:t>
        </w:r>
      </w:hyperlink>
      <w:r>
        <w:t>, f. único.</w:t>
      </w:r>
    </w:p>
    <w:p w14:paraId="2B44D675" w14:textId="125D7AB8" w:rsidR="00DA359F" w:rsidRDefault="00DA359F" w:rsidP="00DA359F">
      <w:pPr>
        <w:pStyle w:val="SangriaFrancesaArticulo"/>
      </w:pPr>
      <w:r w:rsidRPr="00DA359F">
        <w:rPr>
          <w:rStyle w:val="TextoNormalNegritaCaracter"/>
        </w:rPr>
        <w:t>Artículo 219.10.</w:t>
      </w:r>
      <w:r w:rsidRPr="00DA359F">
        <w:rPr>
          <w:rStyle w:val="TextoNormalCaracter"/>
        </w:rPr>
        <w:t>-</w:t>
      </w:r>
      <w:r>
        <w:t xml:space="preserve"> Autos </w:t>
      </w:r>
      <w:hyperlink w:anchor="AUTO_2023_432" w:history="1">
        <w:r w:rsidRPr="00DA359F">
          <w:rPr>
            <w:rStyle w:val="TextoNormalCaracter"/>
          </w:rPr>
          <w:t>432/2023</w:t>
        </w:r>
      </w:hyperlink>
      <w:r>
        <w:t xml:space="preserve">, f. 1; </w:t>
      </w:r>
      <w:hyperlink w:anchor="AUTO_2023_434" w:history="1">
        <w:r w:rsidRPr="00DA359F">
          <w:rPr>
            <w:rStyle w:val="TextoNormalCaracter"/>
          </w:rPr>
          <w:t>434/2023</w:t>
        </w:r>
      </w:hyperlink>
      <w:r>
        <w:t xml:space="preserve">, f. único; </w:t>
      </w:r>
      <w:hyperlink w:anchor="AUTO_2023_483" w:history="1">
        <w:r w:rsidRPr="00DA359F">
          <w:rPr>
            <w:rStyle w:val="TextoNormalCaracter"/>
          </w:rPr>
          <w:t>483/2023</w:t>
        </w:r>
      </w:hyperlink>
      <w:r>
        <w:t xml:space="preserve">, ff. 1, 3; </w:t>
      </w:r>
      <w:hyperlink w:anchor="AUTO_2023_484" w:history="1">
        <w:r w:rsidRPr="00DA359F">
          <w:rPr>
            <w:rStyle w:val="TextoNormalCaracter"/>
          </w:rPr>
          <w:t>484/2023</w:t>
        </w:r>
      </w:hyperlink>
      <w:r>
        <w:t xml:space="preserve">, f. 3; </w:t>
      </w:r>
      <w:hyperlink w:anchor="AUTO_2023_489" w:history="1">
        <w:r w:rsidRPr="00DA359F">
          <w:rPr>
            <w:rStyle w:val="TextoNormalCaracter"/>
          </w:rPr>
          <w:t>489/2023</w:t>
        </w:r>
      </w:hyperlink>
      <w:r>
        <w:t xml:space="preserve">, ff. 1, 3; </w:t>
      </w:r>
      <w:hyperlink w:anchor="AUTO_2023_490" w:history="1">
        <w:r w:rsidRPr="00DA359F">
          <w:rPr>
            <w:rStyle w:val="TextoNormalCaracter"/>
          </w:rPr>
          <w:t>490/2023</w:t>
        </w:r>
      </w:hyperlink>
      <w:r>
        <w:t xml:space="preserve">, ff. 1, 2; </w:t>
      </w:r>
      <w:hyperlink w:anchor="AUTO_2023_521" w:history="1">
        <w:r w:rsidRPr="00DA359F">
          <w:rPr>
            <w:rStyle w:val="TextoNormalCaracter"/>
          </w:rPr>
          <w:t>521/2023</w:t>
        </w:r>
      </w:hyperlink>
      <w:r>
        <w:t xml:space="preserve">, f. único; </w:t>
      </w:r>
      <w:hyperlink w:anchor="AUTO_2023_522" w:history="1">
        <w:r w:rsidRPr="00DA359F">
          <w:rPr>
            <w:rStyle w:val="TextoNormalCaracter"/>
          </w:rPr>
          <w:t>522/2023</w:t>
        </w:r>
      </w:hyperlink>
      <w:r>
        <w:t>, f. único.</w:t>
      </w:r>
    </w:p>
    <w:p w14:paraId="774D0426" w14:textId="39391C9D" w:rsidR="00DA359F" w:rsidRDefault="00DA359F" w:rsidP="00DA359F">
      <w:pPr>
        <w:pStyle w:val="SangriaFrancesaArticulo"/>
      </w:pPr>
      <w:r w:rsidRPr="00DA359F">
        <w:rPr>
          <w:rStyle w:val="TextoNormalNegritaCaracter"/>
        </w:rPr>
        <w:t>Artículo 219.11.</w:t>
      </w:r>
      <w:r w:rsidRPr="00DA359F">
        <w:rPr>
          <w:rStyle w:val="TextoNormalCaracter"/>
        </w:rPr>
        <w:t>-</w:t>
      </w:r>
      <w:r>
        <w:t xml:space="preserve"> Autos </w:t>
      </w:r>
      <w:hyperlink w:anchor="AUTO_2023_332" w:history="1">
        <w:r w:rsidRPr="00DA359F">
          <w:rPr>
            <w:rStyle w:val="TextoNormalCaracter"/>
          </w:rPr>
          <w:t>332/2023</w:t>
        </w:r>
      </w:hyperlink>
      <w:r>
        <w:t xml:space="preserve">, f. único; </w:t>
      </w:r>
      <w:hyperlink w:anchor="AUTO_2023_333" w:history="1">
        <w:r w:rsidRPr="00DA359F">
          <w:rPr>
            <w:rStyle w:val="TextoNormalCaracter"/>
          </w:rPr>
          <w:t>333/2023</w:t>
        </w:r>
      </w:hyperlink>
      <w:r>
        <w:t xml:space="preserve">, f. único; </w:t>
      </w:r>
      <w:hyperlink w:anchor="AUTO_2023_335" w:history="1">
        <w:r w:rsidRPr="00DA359F">
          <w:rPr>
            <w:rStyle w:val="TextoNormalCaracter"/>
          </w:rPr>
          <w:t>335/2023</w:t>
        </w:r>
      </w:hyperlink>
      <w:r>
        <w:t xml:space="preserve">, f. único; </w:t>
      </w:r>
      <w:hyperlink w:anchor="AUTO_2023_336" w:history="1">
        <w:r w:rsidRPr="00DA359F">
          <w:rPr>
            <w:rStyle w:val="TextoNormalCaracter"/>
          </w:rPr>
          <w:t>336/2023</w:t>
        </w:r>
      </w:hyperlink>
      <w:r>
        <w:t xml:space="preserve">, f. único; </w:t>
      </w:r>
      <w:hyperlink w:anchor="AUTO_2023_337" w:history="1">
        <w:r w:rsidRPr="00DA359F">
          <w:rPr>
            <w:rStyle w:val="TextoNormalCaracter"/>
          </w:rPr>
          <w:t>337/2023</w:t>
        </w:r>
      </w:hyperlink>
      <w:r>
        <w:t xml:space="preserve">, f. único; </w:t>
      </w:r>
      <w:hyperlink w:anchor="AUTO_2023_339" w:history="1">
        <w:r w:rsidRPr="00DA359F">
          <w:rPr>
            <w:rStyle w:val="TextoNormalCaracter"/>
          </w:rPr>
          <w:t>339/2023</w:t>
        </w:r>
      </w:hyperlink>
      <w:r>
        <w:t xml:space="preserve">, f. único; </w:t>
      </w:r>
      <w:hyperlink w:anchor="AUTO_2023_340" w:history="1">
        <w:r w:rsidRPr="00DA359F">
          <w:rPr>
            <w:rStyle w:val="TextoNormalCaracter"/>
          </w:rPr>
          <w:t>340/2023</w:t>
        </w:r>
      </w:hyperlink>
      <w:r>
        <w:t xml:space="preserve">, f. único; </w:t>
      </w:r>
      <w:hyperlink w:anchor="AUTO_2023_341" w:history="1">
        <w:r w:rsidRPr="00DA359F">
          <w:rPr>
            <w:rStyle w:val="TextoNormalCaracter"/>
          </w:rPr>
          <w:t>341/2023</w:t>
        </w:r>
      </w:hyperlink>
      <w:r>
        <w:t xml:space="preserve">, f. único; </w:t>
      </w:r>
      <w:hyperlink w:anchor="AUTO_2023_342" w:history="1">
        <w:r w:rsidRPr="00DA359F">
          <w:rPr>
            <w:rStyle w:val="TextoNormalCaracter"/>
          </w:rPr>
          <w:t>342/2023</w:t>
        </w:r>
      </w:hyperlink>
      <w:r>
        <w:t xml:space="preserve">, f. único; </w:t>
      </w:r>
      <w:hyperlink w:anchor="AUTO_2023_343" w:history="1">
        <w:r w:rsidRPr="00DA359F">
          <w:rPr>
            <w:rStyle w:val="TextoNormalCaracter"/>
          </w:rPr>
          <w:t>343/2023</w:t>
        </w:r>
      </w:hyperlink>
      <w:r>
        <w:t xml:space="preserve">, f. único; </w:t>
      </w:r>
      <w:hyperlink w:anchor="AUTO_2023_344" w:history="1">
        <w:r w:rsidRPr="00DA359F">
          <w:rPr>
            <w:rStyle w:val="TextoNormalCaracter"/>
          </w:rPr>
          <w:t>344/2023</w:t>
        </w:r>
      </w:hyperlink>
      <w:r>
        <w:t xml:space="preserve">, f. único; </w:t>
      </w:r>
      <w:hyperlink w:anchor="AUTO_2023_345" w:history="1">
        <w:r w:rsidRPr="00DA359F">
          <w:rPr>
            <w:rStyle w:val="TextoNormalCaracter"/>
          </w:rPr>
          <w:t>345/2023</w:t>
        </w:r>
      </w:hyperlink>
      <w:r>
        <w:t xml:space="preserve">, f. único; </w:t>
      </w:r>
      <w:hyperlink w:anchor="AUTO_2023_346" w:history="1">
        <w:r w:rsidRPr="00DA359F">
          <w:rPr>
            <w:rStyle w:val="TextoNormalCaracter"/>
          </w:rPr>
          <w:t>346/2023</w:t>
        </w:r>
      </w:hyperlink>
      <w:r>
        <w:t xml:space="preserve">, f. único; </w:t>
      </w:r>
      <w:hyperlink w:anchor="AUTO_2023_347" w:history="1">
        <w:r w:rsidRPr="00DA359F">
          <w:rPr>
            <w:rStyle w:val="TextoNormalCaracter"/>
          </w:rPr>
          <w:t>347/2023</w:t>
        </w:r>
      </w:hyperlink>
      <w:r>
        <w:t xml:space="preserve">, f. único; </w:t>
      </w:r>
      <w:hyperlink w:anchor="AUTO_2023_348" w:history="1">
        <w:r w:rsidRPr="00DA359F">
          <w:rPr>
            <w:rStyle w:val="TextoNormalCaracter"/>
          </w:rPr>
          <w:t>348/2023</w:t>
        </w:r>
      </w:hyperlink>
      <w:r>
        <w:t xml:space="preserve">, f. único; </w:t>
      </w:r>
      <w:hyperlink w:anchor="AUTO_2023_349" w:history="1">
        <w:r w:rsidRPr="00DA359F">
          <w:rPr>
            <w:rStyle w:val="TextoNormalCaracter"/>
          </w:rPr>
          <w:t>349/2023</w:t>
        </w:r>
      </w:hyperlink>
      <w:r>
        <w:t xml:space="preserve">, f. único; </w:t>
      </w:r>
      <w:hyperlink w:anchor="AUTO_2023_350" w:history="1">
        <w:r w:rsidRPr="00DA359F">
          <w:rPr>
            <w:rStyle w:val="TextoNormalCaracter"/>
          </w:rPr>
          <w:t>350/2023</w:t>
        </w:r>
      </w:hyperlink>
      <w:r>
        <w:t xml:space="preserve">, f. único; </w:t>
      </w:r>
      <w:hyperlink w:anchor="AUTO_2023_351" w:history="1">
        <w:r w:rsidRPr="00DA359F">
          <w:rPr>
            <w:rStyle w:val="TextoNormalCaracter"/>
          </w:rPr>
          <w:t>351/2023</w:t>
        </w:r>
      </w:hyperlink>
      <w:r>
        <w:t xml:space="preserve">, f. único; </w:t>
      </w:r>
      <w:hyperlink w:anchor="AUTO_2023_352" w:history="1">
        <w:r w:rsidRPr="00DA359F">
          <w:rPr>
            <w:rStyle w:val="TextoNormalCaracter"/>
          </w:rPr>
          <w:t>352/2023</w:t>
        </w:r>
      </w:hyperlink>
      <w:r>
        <w:t xml:space="preserve">, f. único; </w:t>
      </w:r>
      <w:hyperlink w:anchor="AUTO_2023_356" w:history="1">
        <w:r w:rsidRPr="00DA359F">
          <w:rPr>
            <w:rStyle w:val="TextoNormalCaracter"/>
          </w:rPr>
          <w:t>356/2023</w:t>
        </w:r>
      </w:hyperlink>
      <w:r>
        <w:t xml:space="preserve">, f. único; </w:t>
      </w:r>
      <w:hyperlink w:anchor="AUTO_2023_357" w:history="1">
        <w:r w:rsidRPr="00DA359F">
          <w:rPr>
            <w:rStyle w:val="TextoNormalCaracter"/>
          </w:rPr>
          <w:t>357/2023</w:t>
        </w:r>
      </w:hyperlink>
      <w:r>
        <w:t xml:space="preserve">, f. único; </w:t>
      </w:r>
      <w:hyperlink w:anchor="AUTO_2023_358" w:history="1">
        <w:r w:rsidRPr="00DA359F">
          <w:rPr>
            <w:rStyle w:val="TextoNormalCaracter"/>
          </w:rPr>
          <w:t>358/2023</w:t>
        </w:r>
      </w:hyperlink>
      <w:r>
        <w:t xml:space="preserve">, f. único; </w:t>
      </w:r>
      <w:hyperlink w:anchor="AUTO_2023_359" w:history="1">
        <w:r w:rsidRPr="00DA359F">
          <w:rPr>
            <w:rStyle w:val="TextoNormalCaracter"/>
          </w:rPr>
          <w:t>359/2023</w:t>
        </w:r>
      </w:hyperlink>
      <w:r>
        <w:t xml:space="preserve">, f. único; </w:t>
      </w:r>
      <w:hyperlink w:anchor="AUTO_2023_360" w:history="1">
        <w:r w:rsidRPr="00DA359F">
          <w:rPr>
            <w:rStyle w:val="TextoNormalCaracter"/>
          </w:rPr>
          <w:t>360/2023</w:t>
        </w:r>
      </w:hyperlink>
      <w:r>
        <w:t xml:space="preserve">, f. único; </w:t>
      </w:r>
      <w:hyperlink w:anchor="AUTO_2023_361" w:history="1">
        <w:r w:rsidRPr="00DA359F">
          <w:rPr>
            <w:rStyle w:val="TextoNormalCaracter"/>
          </w:rPr>
          <w:t>361/2023</w:t>
        </w:r>
      </w:hyperlink>
      <w:r>
        <w:t xml:space="preserve">, f. único; </w:t>
      </w:r>
      <w:hyperlink w:anchor="AUTO_2023_362" w:history="1">
        <w:r w:rsidRPr="00DA359F">
          <w:rPr>
            <w:rStyle w:val="TextoNormalCaracter"/>
          </w:rPr>
          <w:t>362/2023</w:t>
        </w:r>
      </w:hyperlink>
      <w:r>
        <w:t xml:space="preserve">, f. único; </w:t>
      </w:r>
      <w:hyperlink w:anchor="AUTO_2023_363" w:history="1">
        <w:r w:rsidRPr="00DA359F">
          <w:rPr>
            <w:rStyle w:val="TextoNormalCaracter"/>
          </w:rPr>
          <w:t>363/2023</w:t>
        </w:r>
      </w:hyperlink>
      <w:r>
        <w:t xml:space="preserve">, f. único; </w:t>
      </w:r>
      <w:hyperlink w:anchor="AUTO_2023_364" w:history="1">
        <w:r w:rsidRPr="00DA359F">
          <w:rPr>
            <w:rStyle w:val="TextoNormalCaracter"/>
          </w:rPr>
          <w:t>364/2023</w:t>
        </w:r>
      </w:hyperlink>
      <w:r>
        <w:t xml:space="preserve">, f. único; </w:t>
      </w:r>
      <w:hyperlink w:anchor="AUTO_2023_365" w:history="1">
        <w:r w:rsidRPr="00DA359F">
          <w:rPr>
            <w:rStyle w:val="TextoNormalCaracter"/>
          </w:rPr>
          <w:t>365/2023</w:t>
        </w:r>
      </w:hyperlink>
      <w:r>
        <w:t xml:space="preserve">, f. único; </w:t>
      </w:r>
      <w:hyperlink w:anchor="AUTO_2023_366" w:history="1">
        <w:r w:rsidRPr="00DA359F">
          <w:rPr>
            <w:rStyle w:val="TextoNormalCaracter"/>
          </w:rPr>
          <w:t>366/2023</w:t>
        </w:r>
      </w:hyperlink>
      <w:r>
        <w:t xml:space="preserve">, f. único; </w:t>
      </w:r>
      <w:hyperlink w:anchor="AUTO_2023_367" w:history="1">
        <w:r w:rsidRPr="00DA359F">
          <w:rPr>
            <w:rStyle w:val="TextoNormalCaracter"/>
          </w:rPr>
          <w:t>367/2023</w:t>
        </w:r>
      </w:hyperlink>
      <w:r>
        <w:t xml:space="preserve">, f. único; </w:t>
      </w:r>
      <w:hyperlink w:anchor="AUTO_2023_368" w:history="1">
        <w:r w:rsidRPr="00DA359F">
          <w:rPr>
            <w:rStyle w:val="TextoNormalCaracter"/>
          </w:rPr>
          <w:t>368/2023</w:t>
        </w:r>
      </w:hyperlink>
      <w:r>
        <w:t xml:space="preserve">, f. único; </w:t>
      </w:r>
      <w:hyperlink w:anchor="AUTO_2023_369" w:history="1">
        <w:r w:rsidRPr="00DA359F">
          <w:rPr>
            <w:rStyle w:val="TextoNormalCaracter"/>
          </w:rPr>
          <w:t>369/2023</w:t>
        </w:r>
      </w:hyperlink>
      <w:r>
        <w:t xml:space="preserve">, f. único; </w:t>
      </w:r>
      <w:hyperlink w:anchor="AUTO_2023_371" w:history="1">
        <w:r w:rsidRPr="00DA359F">
          <w:rPr>
            <w:rStyle w:val="TextoNormalCaracter"/>
          </w:rPr>
          <w:t>371/2023</w:t>
        </w:r>
      </w:hyperlink>
      <w:r>
        <w:t xml:space="preserve">, f. único; </w:t>
      </w:r>
      <w:hyperlink w:anchor="AUTO_2023_372" w:history="1">
        <w:r w:rsidRPr="00DA359F">
          <w:rPr>
            <w:rStyle w:val="TextoNormalCaracter"/>
          </w:rPr>
          <w:t>372/2023</w:t>
        </w:r>
      </w:hyperlink>
      <w:r>
        <w:t xml:space="preserve">, f. único; </w:t>
      </w:r>
      <w:hyperlink w:anchor="AUTO_2023_373" w:history="1">
        <w:r w:rsidRPr="00DA359F">
          <w:rPr>
            <w:rStyle w:val="TextoNormalCaracter"/>
          </w:rPr>
          <w:t>373/2023</w:t>
        </w:r>
      </w:hyperlink>
      <w:r>
        <w:t xml:space="preserve">, f. único; </w:t>
      </w:r>
      <w:hyperlink w:anchor="AUTO_2023_379" w:history="1">
        <w:r w:rsidRPr="00DA359F">
          <w:rPr>
            <w:rStyle w:val="TextoNormalCaracter"/>
          </w:rPr>
          <w:t>379/2023</w:t>
        </w:r>
      </w:hyperlink>
      <w:r>
        <w:t xml:space="preserve">, f. único; </w:t>
      </w:r>
      <w:hyperlink w:anchor="AUTO_2023_380" w:history="1">
        <w:r w:rsidRPr="00DA359F">
          <w:rPr>
            <w:rStyle w:val="TextoNormalCaracter"/>
          </w:rPr>
          <w:t>380/2023</w:t>
        </w:r>
      </w:hyperlink>
      <w:r>
        <w:t xml:space="preserve">, f. único; </w:t>
      </w:r>
      <w:hyperlink w:anchor="AUTO_2023_381" w:history="1">
        <w:r w:rsidRPr="00DA359F">
          <w:rPr>
            <w:rStyle w:val="TextoNormalCaracter"/>
          </w:rPr>
          <w:t>381/2023</w:t>
        </w:r>
      </w:hyperlink>
      <w:r>
        <w:t xml:space="preserve">, f. único; </w:t>
      </w:r>
      <w:hyperlink w:anchor="AUTO_2023_382" w:history="1">
        <w:r w:rsidRPr="00DA359F">
          <w:rPr>
            <w:rStyle w:val="TextoNormalCaracter"/>
          </w:rPr>
          <w:t>382/2023</w:t>
        </w:r>
      </w:hyperlink>
      <w:r>
        <w:t xml:space="preserve">, f. único; </w:t>
      </w:r>
      <w:hyperlink w:anchor="AUTO_2023_383" w:history="1">
        <w:r w:rsidRPr="00DA359F">
          <w:rPr>
            <w:rStyle w:val="TextoNormalCaracter"/>
          </w:rPr>
          <w:t>383/2023</w:t>
        </w:r>
      </w:hyperlink>
      <w:r>
        <w:t xml:space="preserve">, f. único; </w:t>
      </w:r>
      <w:hyperlink w:anchor="AUTO_2023_384" w:history="1">
        <w:r w:rsidRPr="00DA359F">
          <w:rPr>
            <w:rStyle w:val="TextoNormalCaracter"/>
          </w:rPr>
          <w:t>384/2023</w:t>
        </w:r>
      </w:hyperlink>
      <w:r>
        <w:t xml:space="preserve">, f. único; </w:t>
      </w:r>
      <w:hyperlink w:anchor="AUTO_2023_385" w:history="1">
        <w:r w:rsidRPr="00DA359F">
          <w:rPr>
            <w:rStyle w:val="TextoNormalCaracter"/>
          </w:rPr>
          <w:t>385/2023</w:t>
        </w:r>
      </w:hyperlink>
      <w:r>
        <w:t xml:space="preserve">, f. único; </w:t>
      </w:r>
      <w:hyperlink w:anchor="AUTO_2023_386" w:history="1">
        <w:r w:rsidRPr="00DA359F">
          <w:rPr>
            <w:rStyle w:val="TextoNormalCaracter"/>
          </w:rPr>
          <w:t>386/2023</w:t>
        </w:r>
      </w:hyperlink>
      <w:r>
        <w:t xml:space="preserve">, f. único; </w:t>
      </w:r>
      <w:hyperlink w:anchor="AUTO_2023_387" w:history="1">
        <w:r w:rsidRPr="00DA359F">
          <w:rPr>
            <w:rStyle w:val="TextoNormalCaracter"/>
          </w:rPr>
          <w:t>387/2023</w:t>
        </w:r>
      </w:hyperlink>
      <w:r>
        <w:t xml:space="preserve">, f. único; </w:t>
      </w:r>
      <w:hyperlink w:anchor="AUTO_2023_388" w:history="1">
        <w:r w:rsidRPr="00DA359F">
          <w:rPr>
            <w:rStyle w:val="TextoNormalCaracter"/>
          </w:rPr>
          <w:t>388/2023</w:t>
        </w:r>
      </w:hyperlink>
      <w:r>
        <w:t xml:space="preserve">, f. único; </w:t>
      </w:r>
      <w:hyperlink w:anchor="AUTO_2023_389" w:history="1">
        <w:r w:rsidRPr="00DA359F">
          <w:rPr>
            <w:rStyle w:val="TextoNormalCaracter"/>
          </w:rPr>
          <w:t>389/2023</w:t>
        </w:r>
      </w:hyperlink>
      <w:r>
        <w:t xml:space="preserve">, f. único; </w:t>
      </w:r>
      <w:hyperlink w:anchor="AUTO_2023_390" w:history="1">
        <w:r w:rsidRPr="00DA359F">
          <w:rPr>
            <w:rStyle w:val="TextoNormalCaracter"/>
          </w:rPr>
          <w:t>390/2023</w:t>
        </w:r>
      </w:hyperlink>
      <w:r>
        <w:t xml:space="preserve">, f. único; </w:t>
      </w:r>
      <w:hyperlink w:anchor="AUTO_2023_391" w:history="1">
        <w:r w:rsidRPr="00DA359F">
          <w:rPr>
            <w:rStyle w:val="TextoNormalCaracter"/>
          </w:rPr>
          <w:t>391/2023</w:t>
        </w:r>
      </w:hyperlink>
      <w:r>
        <w:t xml:space="preserve">, f. único; </w:t>
      </w:r>
      <w:hyperlink w:anchor="AUTO_2023_392" w:history="1">
        <w:r w:rsidRPr="00DA359F">
          <w:rPr>
            <w:rStyle w:val="TextoNormalCaracter"/>
          </w:rPr>
          <w:t>392/2023</w:t>
        </w:r>
      </w:hyperlink>
      <w:r>
        <w:t xml:space="preserve">, f. único; </w:t>
      </w:r>
      <w:hyperlink w:anchor="AUTO_2023_393" w:history="1">
        <w:r w:rsidRPr="00DA359F">
          <w:rPr>
            <w:rStyle w:val="TextoNormalCaracter"/>
          </w:rPr>
          <w:t>393/2023</w:t>
        </w:r>
      </w:hyperlink>
      <w:r>
        <w:t xml:space="preserve">, f. único; </w:t>
      </w:r>
      <w:hyperlink w:anchor="AUTO_2023_394" w:history="1">
        <w:r w:rsidRPr="00DA359F">
          <w:rPr>
            <w:rStyle w:val="TextoNormalCaracter"/>
          </w:rPr>
          <w:t>394/2023</w:t>
        </w:r>
      </w:hyperlink>
      <w:r>
        <w:t xml:space="preserve">, f. único; </w:t>
      </w:r>
      <w:hyperlink w:anchor="AUTO_2023_395" w:history="1">
        <w:r w:rsidRPr="00DA359F">
          <w:rPr>
            <w:rStyle w:val="TextoNormalCaracter"/>
          </w:rPr>
          <w:t>395/2023</w:t>
        </w:r>
      </w:hyperlink>
      <w:r>
        <w:t xml:space="preserve">, f. único; </w:t>
      </w:r>
      <w:hyperlink w:anchor="AUTO_2023_396" w:history="1">
        <w:r w:rsidRPr="00DA359F">
          <w:rPr>
            <w:rStyle w:val="TextoNormalCaracter"/>
          </w:rPr>
          <w:t>396/2023</w:t>
        </w:r>
      </w:hyperlink>
      <w:r>
        <w:t xml:space="preserve">, f. único; </w:t>
      </w:r>
      <w:hyperlink w:anchor="AUTO_2023_397" w:history="1">
        <w:r w:rsidRPr="00DA359F">
          <w:rPr>
            <w:rStyle w:val="TextoNormalCaracter"/>
          </w:rPr>
          <w:t>397/2023</w:t>
        </w:r>
      </w:hyperlink>
      <w:r>
        <w:t xml:space="preserve">, f. único; </w:t>
      </w:r>
      <w:hyperlink w:anchor="AUTO_2023_398" w:history="1">
        <w:r w:rsidRPr="00DA359F">
          <w:rPr>
            <w:rStyle w:val="TextoNormalCaracter"/>
          </w:rPr>
          <w:t>398/2023</w:t>
        </w:r>
      </w:hyperlink>
      <w:r>
        <w:t xml:space="preserve">, f. único; </w:t>
      </w:r>
      <w:hyperlink w:anchor="AUTO_2023_399" w:history="1">
        <w:r w:rsidRPr="00DA359F">
          <w:rPr>
            <w:rStyle w:val="TextoNormalCaracter"/>
          </w:rPr>
          <w:t>399/2023</w:t>
        </w:r>
      </w:hyperlink>
      <w:r>
        <w:t xml:space="preserve">, f. único; </w:t>
      </w:r>
      <w:hyperlink w:anchor="AUTO_2023_400" w:history="1">
        <w:r w:rsidRPr="00DA359F">
          <w:rPr>
            <w:rStyle w:val="TextoNormalCaracter"/>
          </w:rPr>
          <w:t>400/2023</w:t>
        </w:r>
      </w:hyperlink>
      <w:r>
        <w:t xml:space="preserve">, f. único; </w:t>
      </w:r>
      <w:hyperlink w:anchor="AUTO_2023_401" w:history="1">
        <w:r w:rsidRPr="00DA359F">
          <w:rPr>
            <w:rStyle w:val="TextoNormalCaracter"/>
          </w:rPr>
          <w:t>401/2023</w:t>
        </w:r>
      </w:hyperlink>
      <w:r>
        <w:t xml:space="preserve">, f. único; </w:t>
      </w:r>
      <w:hyperlink w:anchor="AUTO_2023_402" w:history="1">
        <w:r w:rsidRPr="00DA359F">
          <w:rPr>
            <w:rStyle w:val="TextoNormalCaracter"/>
          </w:rPr>
          <w:t>402/2023</w:t>
        </w:r>
      </w:hyperlink>
      <w:r>
        <w:t xml:space="preserve">, f. único; </w:t>
      </w:r>
      <w:hyperlink w:anchor="AUTO_2023_403" w:history="1">
        <w:r w:rsidRPr="00DA359F">
          <w:rPr>
            <w:rStyle w:val="TextoNormalCaracter"/>
          </w:rPr>
          <w:t>403/2023</w:t>
        </w:r>
      </w:hyperlink>
      <w:r>
        <w:t xml:space="preserve">, f. único; </w:t>
      </w:r>
      <w:hyperlink w:anchor="AUTO_2023_404" w:history="1">
        <w:r w:rsidRPr="00DA359F">
          <w:rPr>
            <w:rStyle w:val="TextoNormalCaracter"/>
          </w:rPr>
          <w:t>404/2023</w:t>
        </w:r>
      </w:hyperlink>
      <w:r>
        <w:t xml:space="preserve">, f. único; </w:t>
      </w:r>
      <w:hyperlink w:anchor="AUTO_2023_405" w:history="1">
        <w:r w:rsidRPr="00DA359F">
          <w:rPr>
            <w:rStyle w:val="TextoNormalCaracter"/>
          </w:rPr>
          <w:t>405/2023</w:t>
        </w:r>
      </w:hyperlink>
      <w:r>
        <w:t xml:space="preserve">, f. único; </w:t>
      </w:r>
      <w:hyperlink w:anchor="AUTO_2023_406" w:history="1">
        <w:r w:rsidRPr="00DA359F">
          <w:rPr>
            <w:rStyle w:val="TextoNormalCaracter"/>
          </w:rPr>
          <w:t>406/2023</w:t>
        </w:r>
      </w:hyperlink>
      <w:r>
        <w:t xml:space="preserve">, f. único; </w:t>
      </w:r>
      <w:hyperlink w:anchor="AUTO_2023_407" w:history="1">
        <w:r w:rsidRPr="00DA359F">
          <w:rPr>
            <w:rStyle w:val="TextoNormalCaracter"/>
          </w:rPr>
          <w:t>407/2023</w:t>
        </w:r>
      </w:hyperlink>
      <w:r>
        <w:t xml:space="preserve">, f. único; </w:t>
      </w:r>
      <w:hyperlink w:anchor="AUTO_2023_408" w:history="1">
        <w:r w:rsidRPr="00DA359F">
          <w:rPr>
            <w:rStyle w:val="TextoNormalCaracter"/>
          </w:rPr>
          <w:t>408/2023</w:t>
        </w:r>
      </w:hyperlink>
      <w:r>
        <w:t xml:space="preserve">, f. único; </w:t>
      </w:r>
      <w:hyperlink w:anchor="AUTO_2023_409" w:history="1">
        <w:r w:rsidRPr="00DA359F">
          <w:rPr>
            <w:rStyle w:val="TextoNormalCaracter"/>
          </w:rPr>
          <w:t>409/2023</w:t>
        </w:r>
      </w:hyperlink>
      <w:r>
        <w:t xml:space="preserve">, f. único; </w:t>
      </w:r>
      <w:hyperlink w:anchor="AUTO_2023_410" w:history="1">
        <w:r w:rsidRPr="00DA359F">
          <w:rPr>
            <w:rStyle w:val="TextoNormalCaracter"/>
          </w:rPr>
          <w:t>410/2023</w:t>
        </w:r>
      </w:hyperlink>
      <w:r>
        <w:t xml:space="preserve">, f. único; </w:t>
      </w:r>
      <w:hyperlink w:anchor="AUTO_2023_411" w:history="1">
        <w:r w:rsidRPr="00DA359F">
          <w:rPr>
            <w:rStyle w:val="TextoNormalCaracter"/>
          </w:rPr>
          <w:t>411/2023</w:t>
        </w:r>
      </w:hyperlink>
      <w:r>
        <w:t xml:space="preserve">, f. único; </w:t>
      </w:r>
      <w:hyperlink w:anchor="AUTO_2023_412" w:history="1">
        <w:r w:rsidRPr="00DA359F">
          <w:rPr>
            <w:rStyle w:val="TextoNormalCaracter"/>
          </w:rPr>
          <w:t>412/2023</w:t>
        </w:r>
      </w:hyperlink>
      <w:r>
        <w:t xml:space="preserve">, f. único; </w:t>
      </w:r>
      <w:hyperlink w:anchor="AUTO_2023_413" w:history="1">
        <w:r w:rsidRPr="00DA359F">
          <w:rPr>
            <w:rStyle w:val="TextoNormalCaracter"/>
          </w:rPr>
          <w:t>413/2023</w:t>
        </w:r>
      </w:hyperlink>
      <w:r>
        <w:t xml:space="preserve">, f. único; </w:t>
      </w:r>
      <w:hyperlink w:anchor="AUTO_2023_414" w:history="1">
        <w:r w:rsidRPr="00DA359F">
          <w:rPr>
            <w:rStyle w:val="TextoNormalCaracter"/>
          </w:rPr>
          <w:t>414/2023</w:t>
        </w:r>
      </w:hyperlink>
      <w:r>
        <w:t xml:space="preserve">, f. único; </w:t>
      </w:r>
      <w:hyperlink w:anchor="AUTO_2023_415" w:history="1">
        <w:r w:rsidRPr="00DA359F">
          <w:rPr>
            <w:rStyle w:val="TextoNormalCaracter"/>
          </w:rPr>
          <w:t>415/2023</w:t>
        </w:r>
      </w:hyperlink>
      <w:r>
        <w:t xml:space="preserve">, f. único; </w:t>
      </w:r>
      <w:hyperlink w:anchor="AUTO_2023_416" w:history="1">
        <w:r w:rsidRPr="00DA359F">
          <w:rPr>
            <w:rStyle w:val="TextoNormalCaracter"/>
          </w:rPr>
          <w:t>416/2023</w:t>
        </w:r>
      </w:hyperlink>
      <w:r>
        <w:t xml:space="preserve">, f. único; </w:t>
      </w:r>
      <w:hyperlink w:anchor="AUTO_2023_417" w:history="1">
        <w:r w:rsidRPr="00DA359F">
          <w:rPr>
            <w:rStyle w:val="TextoNormalCaracter"/>
          </w:rPr>
          <w:t>417/2023</w:t>
        </w:r>
      </w:hyperlink>
      <w:r>
        <w:t xml:space="preserve">, f. único; </w:t>
      </w:r>
      <w:hyperlink w:anchor="AUTO_2023_418" w:history="1">
        <w:r w:rsidRPr="00DA359F">
          <w:rPr>
            <w:rStyle w:val="TextoNormalCaracter"/>
          </w:rPr>
          <w:t>418/2023</w:t>
        </w:r>
      </w:hyperlink>
      <w:r>
        <w:t xml:space="preserve">, f. único; </w:t>
      </w:r>
      <w:hyperlink w:anchor="AUTO_2023_419" w:history="1">
        <w:r w:rsidRPr="00DA359F">
          <w:rPr>
            <w:rStyle w:val="TextoNormalCaracter"/>
          </w:rPr>
          <w:t>419/2023</w:t>
        </w:r>
      </w:hyperlink>
      <w:r>
        <w:t xml:space="preserve">, f. único; </w:t>
      </w:r>
      <w:hyperlink w:anchor="AUTO_2023_420" w:history="1">
        <w:r w:rsidRPr="00DA359F">
          <w:rPr>
            <w:rStyle w:val="TextoNormalCaracter"/>
          </w:rPr>
          <w:t>420/2023</w:t>
        </w:r>
      </w:hyperlink>
      <w:r>
        <w:t xml:space="preserve">, f. único; </w:t>
      </w:r>
      <w:hyperlink w:anchor="AUTO_2023_421" w:history="1">
        <w:r w:rsidRPr="00DA359F">
          <w:rPr>
            <w:rStyle w:val="TextoNormalCaracter"/>
          </w:rPr>
          <w:t>421/2023</w:t>
        </w:r>
      </w:hyperlink>
      <w:r>
        <w:t xml:space="preserve">, f. único; </w:t>
      </w:r>
      <w:hyperlink w:anchor="AUTO_2023_422" w:history="1">
        <w:r w:rsidRPr="00DA359F">
          <w:rPr>
            <w:rStyle w:val="TextoNormalCaracter"/>
          </w:rPr>
          <w:t>422/2023</w:t>
        </w:r>
      </w:hyperlink>
      <w:r>
        <w:t xml:space="preserve">, f. único; </w:t>
      </w:r>
      <w:hyperlink w:anchor="AUTO_2023_423" w:history="1">
        <w:r w:rsidRPr="00DA359F">
          <w:rPr>
            <w:rStyle w:val="TextoNormalCaracter"/>
          </w:rPr>
          <w:t>423/2023</w:t>
        </w:r>
      </w:hyperlink>
      <w:r>
        <w:t xml:space="preserve">, f. único; </w:t>
      </w:r>
      <w:hyperlink w:anchor="AUTO_2023_424" w:history="1">
        <w:r w:rsidRPr="00DA359F">
          <w:rPr>
            <w:rStyle w:val="TextoNormalCaracter"/>
          </w:rPr>
          <w:t>424/2023</w:t>
        </w:r>
      </w:hyperlink>
      <w:r>
        <w:t xml:space="preserve">, f. único; </w:t>
      </w:r>
      <w:hyperlink w:anchor="AUTO_2023_426" w:history="1">
        <w:r w:rsidRPr="00DA359F">
          <w:rPr>
            <w:rStyle w:val="TextoNormalCaracter"/>
          </w:rPr>
          <w:t>426/2023</w:t>
        </w:r>
      </w:hyperlink>
      <w:r>
        <w:t xml:space="preserve">, f. único; </w:t>
      </w:r>
      <w:hyperlink w:anchor="AUTO_2023_435" w:history="1">
        <w:r w:rsidRPr="00DA359F">
          <w:rPr>
            <w:rStyle w:val="TextoNormalCaracter"/>
          </w:rPr>
          <w:t>435/2023</w:t>
        </w:r>
      </w:hyperlink>
      <w:r>
        <w:t xml:space="preserve">, f. único; </w:t>
      </w:r>
      <w:hyperlink w:anchor="AUTO_2023_450" w:history="1">
        <w:r w:rsidRPr="00DA359F">
          <w:rPr>
            <w:rStyle w:val="TextoNormalCaracter"/>
          </w:rPr>
          <w:t>450/2023</w:t>
        </w:r>
      </w:hyperlink>
      <w:r>
        <w:t xml:space="preserve">, f. único; </w:t>
      </w:r>
      <w:hyperlink w:anchor="AUTO_2023_451" w:history="1">
        <w:r w:rsidRPr="00DA359F">
          <w:rPr>
            <w:rStyle w:val="TextoNormalCaracter"/>
          </w:rPr>
          <w:t>451/2023</w:t>
        </w:r>
      </w:hyperlink>
      <w:r>
        <w:t xml:space="preserve">, f. único; </w:t>
      </w:r>
      <w:hyperlink w:anchor="AUTO_2023_452" w:history="1">
        <w:r w:rsidRPr="00DA359F">
          <w:rPr>
            <w:rStyle w:val="TextoNormalCaracter"/>
          </w:rPr>
          <w:t>452/2023</w:t>
        </w:r>
      </w:hyperlink>
      <w:r>
        <w:t xml:space="preserve">, f. único; </w:t>
      </w:r>
      <w:hyperlink w:anchor="AUTO_2023_453" w:history="1">
        <w:r w:rsidRPr="00DA359F">
          <w:rPr>
            <w:rStyle w:val="TextoNormalCaracter"/>
          </w:rPr>
          <w:t>453/2023</w:t>
        </w:r>
      </w:hyperlink>
      <w:r>
        <w:t xml:space="preserve">, f. único; </w:t>
      </w:r>
      <w:hyperlink w:anchor="AUTO_2023_454" w:history="1">
        <w:r w:rsidRPr="00DA359F">
          <w:rPr>
            <w:rStyle w:val="TextoNormalCaracter"/>
          </w:rPr>
          <w:t>454/2023</w:t>
        </w:r>
      </w:hyperlink>
      <w:r>
        <w:t xml:space="preserve">, f. único; </w:t>
      </w:r>
      <w:hyperlink w:anchor="AUTO_2023_455" w:history="1">
        <w:r w:rsidRPr="00DA359F">
          <w:rPr>
            <w:rStyle w:val="TextoNormalCaracter"/>
          </w:rPr>
          <w:t>455/2023</w:t>
        </w:r>
      </w:hyperlink>
      <w:r>
        <w:t xml:space="preserve">, f. único; </w:t>
      </w:r>
      <w:hyperlink w:anchor="AUTO_2023_456" w:history="1">
        <w:r w:rsidRPr="00DA359F">
          <w:rPr>
            <w:rStyle w:val="TextoNormalCaracter"/>
          </w:rPr>
          <w:t>456/2023</w:t>
        </w:r>
      </w:hyperlink>
      <w:r>
        <w:t xml:space="preserve">, f. único; </w:t>
      </w:r>
      <w:hyperlink w:anchor="AUTO_2023_457" w:history="1">
        <w:r w:rsidRPr="00DA359F">
          <w:rPr>
            <w:rStyle w:val="TextoNormalCaracter"/>
          </w:rPr>
          <w:t>457/2023</w:t>
        </w:r>
      </w:hyperlink>
      <w:r>
        <w:t xml:space="preserve">, f. único; </w:t>
      </w:r>
      <w:hyperlink w:anchor="AUTO_2023_459" w:history="1">
        <w:r w:rsidRPr="00DA359F">
          <w:rPr>
            <w:rStyle w:val="TextoNormalCaracter"/>
          </w:rPr>
          <w:t>459/2023</w:t>
        </w:r>
      </w:hyperlink>
      <w:r>
        <w:t xml:space="preserve">, f. único; </w:t>
      </w:r>
      <w:hyperlink w:anchor="AUTO_2023_460" w:history="1">
        <w:r w:rsidRPr="00DA359F">
          <w:rPr>
            <w:rStyle w:val="TextoNormalCaracter"/>
          </w:rPr>
          <w:t>460/2023</w:t>
        </w:r>
      </w:hyperlink>
      <w:r>
        <w:t xml:space="preserve">, f. único; </w:t>
      </w:r>
      <w:hyperlink w:anchor="AUTO_2023_461" w:history="1">
        <w:r w:rsidRPr="00DA359F">
          <w:rPr>
            <w:rStyle w:val="TextoNormalCaracter"/>
          </w:rPr>
          <w:t>461/2023</w:t>
        </w:r>
      </w:hyperlink>
      <w:r>
        <w:t xml:space="preserve">, f. único; </w:t>
      </w:r>
      <w:hyperlink w:anchor="AUTO_2023_462" w:history="1">
        <w:r w:rsidRPr="00DA359F">
          <w:rPr>
            <w:rStyle w:val="TextoNormalCaracter"/>
          </w:rPr>
          <w:t>462/2023</w:t>
        </w:r>
      </w:hyperlink>
      <w:r>
        <w:t xml:space="preserve">, f. único; </w:t>
      </w:r>
      <w:hyperlink w:anchor="AUTO_2023_463" w:history="1">
        <w:r w:rsidRPr="00DA359F">
          <w:rPr>
            <w:rStyle w:val="TextoNormalCaracter"/>
          </w:rPr>
          <w:t>463/2023</w:t>
        </w:r>
      </w:hyperlink>
      <w:r>
        <w:t xml:space="preserve">, f. único; </w:t>
      </w:r>
      <w:hyperlink w:anchor="AUTO_2023_464" w:history="1">
        <w:r w:rsidRPr="00DA359F">
          <w:rPr>
            <w:rStyle w:val="TextoNormalCaracter"/>
          </w:rPr>
          <w:t>464/2023</w:t>
        </w:r>
      </w:hyperlink>
      <w:r>
        <w:t xml:space="preserve">, f. único; </w:t>
      </w:r>
      <w:hyperlink w:anchor="AUTO_2023_465" w:history="1">
        <w:r w:rsidRPr="00DA359F">
          <w:rPr>
            <w:rStyle w:val="TextoNormalCaracter"/>
          </w:rPr>
          <w:t>465/2023</w:t>
        </w:r>
      </w:hyperlink>
      <w:r>
        <w:t xml:space="preserve">, f. único; </w:t>
      </w:r>
      <w:hyperlink w:anchor="AUTO_2023_466" w:history="1">
        <w:r w:rsidRPr="00DA359F">
          <w:rPr>
            <w:rStyle w:val="TextoNormalCaracter"/>
          </w:rPr>
          <w:t>466/2023</w:t>
        </w:r>
      </w:hyperlink>
      <w:r>
        <w:t xml:space="preserve">, f. único; </w:t>
      </w:r>
      <w:hyperlink w:anchor="AUTO_2023_467" w:history="1">
        <w:r w:rsidRPr="00DA359F">
          <w:rPr>
            <w:rStyle w:val="TextoNormalCaracter"/>
          </w:rPr>
          <w:t>467/2023</w:t>
        </w:r>
      </w:hyperlink>
      <w:r>
        <w:t xml:space="preserve">, f. único; </w:t>
      </w:r>
      <w:hyperlink w:anchor="AUTO_2023_468" w:history="1">
        <w:r w:rsidRPr="00DA359F">
          <w:rPr>
            <w:rStyle w:val="TextoNormalCaracter"/>
          </w:rPr>
          <w:t>468/2023</w:t>
        </w:r>
      </w:hyperlink>
      <w:r>
        <w:t xml:space="preserve">, f. único; </w:t>
      </w:r>
      <w:hyperlink w:anchor="AUTO_2023_469" w:history="1">
        <w:r w:rsidRPr="00DA359F">
          <w:rPr>
            <w:rStyle w:val="TextoNormalCaracter"/>
          </w:rPr>
          <w:t>469/2023</w:t>
        </w:r>
      </w:hyperlink>
      <w:r>
        <w:t xml:space="preserve">, f. único; </w:t>
      </w:r>
      <w:hyperlink w:anchor="AUTO_2023_470" w:history="1">
        <w:r w:rsidRPr="00DA359F">
          <w:rPr>
            <w:rStyle w:val="TextoNormalCaracter"/>
          </w:rPr>
          <w:t>470/2023</w:t>
        </w:r>
      </w:hyperlink>
      <w:r>
        <w:t xml:space="preserve">, f. único; </w:t>
      </w:r>
      <w:hyperlink w:anchor="AUTO_2023_471" w:history="1">
        <w:r w:rsidRPr="00DA359F">
          <w:rPr>
            <w:rStyle w:val="TextoNormalCaracter"/>
          </w:rPr>
          <w:t>471/2023</w:t>
        </w:r>
      </w:hyperlink>
      <w:r>
        <w:t xml:space="preserve">, f. único; </w:t>
      </w:r>
      <w:hyperlink w:anchor="AUTO_2023_474" w:history="1">
        <w:r w:rsidRPr="00DA359F">
          <w:rPr>
            <w:rStyle w:val="TextoNormalCaracter"/>
          </w:rPr>
          <w:t>474/2023</w:t>
        </w:r>
      </w:hyperlink>
      <w:r>
        <w:t xml:space="preserve">, f. único; </w:t>
      </w:r>
      <w:hyperlink w:anchor="AUTO_2023_475" w:history="1">
        <w:r w:rsidRPr="00DA359F">
          <w:rPr>
            <w:rStyle w:val="TextoNormalCaracter"/>
          </w:rPr>
          <w:t>475/2023</w:t>
        </w:r>
      </w:hyperlink>
      <w:r>
        <w:t xml:space="preserve">, f. único; </w:t>
      </w:r>
      <w:hyperlink w:anchor="AUTO_2023_476" w:history="1">
        <w:r w:rsidRPr="00DA359F">
          <w:rPr>
            <w:rStyle w:val="TextoNormalCaracter"/>
          </w:rPr>
          <w:t>476/2023</w:t>
        </w:r>
      </w:hyperlink>
      <w:r>
        <w:t xml:space="preserve">; </w:t>
      </w:r>
      <w:hyperlink w:anchor="AUTO_2023_479" w:history="1">
        <w:r w:rsidRPr="00DA359F">
          <w:rPr>
            <w:rStyle w:val="TextoNormalCaracter"/>
          </w:rPr>
          <w:t>479/2023</w:t>
        </w:r>
      </w:hyperlink>
      <w:r>
        <w:t xml:space="preserve">, f. único; </w:t>
      </w:r>
      <w:hyperlink w:anchor="AUTO_2023_480" w:history="1">
        <w:r w:rsidRPr="00DA359F">
          <w:rPr>
            <w:rStyle w:val="TextoNormalCaracter"/>
          </w:rPr>
          <w:t>480/2023</w:t>
        </w:r>
      </w:hyperlink>
      <w:r>
        <w:t xml:space="preserve">, f. único; </w:t>
      </w:r>
      <w:hyperlink w:anchor="AUTO_2023_481" w:history="1">
        <w:r w:rsidRPr="00DA359F">
          <w:rPr>
            <w:rStyle w:val="TextoNormalCaracter"/>
          </w:rPr>
          <w:t>481/2023</w:t>
        </w:r>
      </w:hyperlink>
      <w:r>
        <w:t xml:space="preserve">, f. único; </w:t>
      </w:r>
      <w:hyperlink w:anchor="AUTO_2023_483" w:history="1">
        <w:r w:rsidRPr="00DA359F">
          <w:rPr>
            <w:rStyle w:val="TextoNormalCaracter"/>
          </w:rPr>
          <w:t>483/2023</w:t>
        </w:r>
      </w:hyperlink>
      <w:r>
        <w:t xml:space="preserve">, ff. 1, 3; </w:t>
      </w:r>
      <w:hyperlink w:anchor="AUTO_2023_488" w:history="1">
        <w:r w:rsidRPr="00DA359F">
          <w:rPr>
            <w:rStyle w:val="TextoNormalCaracter"/>
          </w:rPr>
          <w:t>488/2023</w:t>
        </w:r>
      </w:hyperlink>
      <w:r>
        <w:t xml:space="preserve">, f. 2; </w:t>
      </w:r>
      <w:hyperlink w:anchor="AUTO_2023_490" w:history="1">
        <w:r w:rsidRPr="00DA359F">
          <w:rPr>
            <w:rStyle w:val="TextoNormalCaracter"/>
          </w:rPr>
          <w:t>490/2023</w:t>
        </w:r>
      </w:hyperlink>
      <w:r>
        <w:t xml:space="preserve">, ff. 1, 2; </w:t>
      </w:r>
      <w:hyperlink w:anchor="AUTO_2023_491" w:history="1">
        <w:r w:rsidRPr="00DA359F">
          <w:rPr>
            <w:rStyle w:val="TextoNormalCaracter"/>
          </w:rPr>
          <w:t>491/2023</w:t>
        </w:r>
      </w:hyperlink>
      <w:r>
        <w:t xml:space="preserve">, f. único; </w:t>
      </w:r>
      <w:hyperlink w:anchor="AUTO_2023_492" w:history="1">
        <w:r w:rsidRPr="00DA359F">
          <w:rPr>
            <w:rStyle w:val="TextoNormalCaracter"/>
          </w:rPr>
          <w:t>492/2023</w:t>
        </w:r>
      </w:hyperlink>
      <w:r>
        <w:t xml:space="preserve">, f. único; </w:t>
      </w:r>
      <w:hyperlink w:anchor="AUTO_2023_493" w:history="1">
        <w:r w:rsidRPr="00DA359F">
          <w:rPr>
            <w:rStyle w:val="TextoNormalCaracter"/>
          </w:rPr>
          <w:t>493/2023</w:t>
        </w:r>
      </w:hyperlink>
      <w:r>
        <w:t xml:space="preserve">, f. único; </w:t>
      </w:r>
      <w:hyperlink w:anchor="AUTO_2023_494" w:history="1">
        <w:r w:rsidRPr="00DA359F">
          <w:rPr>
            <w:rStyle w:val="TextoNormalCaracter"/>
          </w:rPr>
          <w:t>494/2023</w:t>
        </w:r>
      </w:hyperlink>
      <w:r>
        <w:t xml:space="preserve">, f. único; </w:t>
      </w:r>
      <w:hyperlink w:anchor="AUTO_2023_495" w:history="1">
        <w:r w:rsidRPr="00DA359F">
          <w:rPr>
            <w:rStyle w:val="TextoNormalCaracter"/>
          </w:rPr>
          <w:t>495/2023</w:t>
        </w:r>
      </w:hyperlink>
      <w:r>
        <w:t xml:space="preserve">, f. único; </w:t>
      </w:r>
      <w:hyperlink w:anchor="AUTO_2023_496" w:history="1">
        <w:r w:rsidRPr="00DA359F">
          <w:rPr>
            <w:rStyle w:val="TextoNormalCaracter"/>
          </w:rPr>
          <w:t>496/2023</w:t>
        </w:r>
      </w:hyperlink>
      <w:r>
        <w:t xml:space="preserve">, f. único; </w:t>
      </w:r>
      <w:hyperlink w:anchor="AUTO_2023_497" w:history="1">
        <w:r w:rsidRPr="00DA359F">
          <w:rPr>
            <w:rStyle w:val="TextoNormalCaracter"/>
          </w:rPr>
          <w:t>497/2023</w:t>
        </w:r>
      </w:hyperlink>
      <w:r>
        <w:t xml:space="preserve">, f. único; </w:t>
      </w:r>
      <w:hyperlink w:anchor="AUTO_2023_498" w:history="1">
        <w:r w:rsidRPr="00DA359F">
          <w:rPr>
            <w:rStyle w:val="TextoNormalCaracter"/>
          </w:rPr>
          <w:t>498/2023</w:t>
        </w:r>
      </w:hyperlink>
      <w:r>
        <w:t xml:space="preserve">, f. único; </w:t>
      </w:r>
      <w:hyperlink w:anchor="AUTO_2023_499" w:history="1">
        <w:r w:rsidRPr="00DA359F">
          <w:rPr>
            <w:rStyle w:val="TextoNormalCaracter"/>
          </w:rPr>
          <w:t>499/2023</w:t>
        </w:r>
      </w:hyperlink>
      <w:r>
        <w:t xml:space="preserve">, f. único; </w:t>
      </w:r>
      <w:hyperlink w:anchor="AUTO_2023_500" w:history="1">
        <w:r w:rsidRPr="00DA359F">
          <w:rPr>
            <w:rStyle w:val="TextoNormalCaracter"/>
          </w:rPr>
          <w:t>500/2023</w:t>
        </w:r>
      </w:hyperlink>
      <w:r>
        <w:t xml:space="preserve">, f. único; </w:t>
      </w:r>
      <w:hyperlink w:anchor="AUTO_2023_501" w:history="1">
        <w:r w:rsidRPr="00DA359F">
          <w:rPr>
            <w:rStyle w:val="TextoNormalCaracter"/>
          </w:rPr>
          <w:t>501/2023</w:t>
        </w:r>
      </w:hyperlink>
      <w:r>
        <w:t xml:space="preserve">, f. único; </w:t>
      </w:r>
      <w:hyperlink w:anchor="AUTO_2023_502" w:history="1">
        <w:r w:rsidRPr="00DA359F">
          <w:rPr>
            <w:rStyle w:val="TextoNormalCaracter"/>
          </w:rPr>
          <w:t>502/2023</w:t>
        </w:r>
      </w:hyperlink>
      <w:r>
        <w:t xml:space="preserve">, f. único; </w:t>
      </w:r>
      <w:hyperlink w:anchor="AUTO_2023_503" w:history="1">
        <w:r w:rsidRPr="00DA359F">
          <w:rPr>
            <w:rStyle w:val="TextoNormalCaracter"/>
          </w:rPr>
          <w:t>503/2023</w:t>
        </w:r>
      </w:hyperlink>
      <w:r>
        <w:t xml:space="preserve">, f. único; </w:t>
      </w:r>
      <w:hyperlink w:anchor="AUTO_2023_505" w:history="1">
        <w:r w:rsidRPr="00DA359F">
          <w:rPr>
            <w:rStyle w:val="TextoNormalCaracter"/>
          </w:rPr>
          <w:t>505/2023</w:t>
        </w:r>
      </w:hyperlink>
      <w:r>
        <w:t xml:space="preserve">, f. único; </w:t>
      </w:r>
      <w:hyperlink w:anchor="AUTO_2023_506" w:history="1">
        <w:r w:rsidRPr="00DA359F">
          <w:rPr>
            <w:rStyle w:val="TextoNormalCaracter"/>
          </w:rPr>
          <w:t>506/2023</w:t>
        </w:r>
      </w:hyperlink>
      <w:r>
        <w:t xml:space="preserve">, f. único; </w:t>
      </w:r>
      <w:hyperlink w:anchor="AUTO_2023_507" w:history="1">
        <w:r w:rsidRPr="00DA359F">
          <w:rPr>
            <w:rStyle w:val="TextoNormalCaracter"/>
          </w:rPr>
          <w:t>507/2023</w:t>
        </w:r>
      </w:hyperlink>
      <w:r>
        <w:t xml:space="preserve">, f. único; </w:t>
      </w:r>
      <w:hyperlink w:anchor="AUTO_2023_508" w:history="1">
        <w:r w:rsidRPr="00DA359F">
          <w:rPr>
            <w:rStyle w:val="TextoNormalCaracter"/>
          </w:rPr>
          <w:t>508/2023</w:t>
        </w:r>
      </w:hyperlink>
      <w:r>
        <w:t xml:space="preserve">, f. único; </w:t>
      </w:r>
      <w:hyperlink w:anchor="AUTO_2023_509" w:history="1">
        <w:r w:rsidRPr="00DA359F">
          <w:rPr>
            <w:rStyle w:val="TextoNormalCaracter"/>
          </w:rPr>
          <w:t>509/2023</w:t>
        </w:r>
      </w:hyperlink>
      <w:r>
        <w:t xml:space="preserve">, f. único; </w:t>
      </w:r>
      <w:hyperlink w:anchor="AUTO_2023_510" w:history="1">
        <w:r w:rsidRPr="00DA359F">
          <w:rPr>
            <w:rStyle w:val="TextoNormalCaracter"/>
          </w:rPr>
          <w:t>510/2023</w:t>
        </w:r>
      </w:hyperlink>
      <w:r>
        <w:t xml:space="preserve">, f. único; </w:t>
      </w:r>
      <w:hyperlink w:anchor="AUTO_2023_511" w:history="1">
        <w:r w:rsidRPr="00DA359F">
          <w:rPr>
            <w:rStyle w:val="TextoNormalCaracter"/>
          </w:rPr>
          <w:t>511/2023</w:t>
        </w:r>
      </w:hyperlink>
      <w:r>
        <w:t xml:space="preserve">, f. único; </w:t>
      </w:r>
      <w:hyperlink w:anchor="AUTO_2023_512" w:history="1">
        <w:r w:rsidRPr="00DA359F">
          <w:rPr>
            <w:rStyle w:val="TextoNormalCaracter"/>
          </w:rPr>
          <w:t>512/2023</w:t>
        </w:r>
      </w:hyperlink>
      <w:r>
        <w:t xml:space="preserve">, f. único; </w:t>
      </w:r>
      <w:hyperlink w:anchor="AUTO_2023_513" w:history="1">
        <w:r w:rsidRPr="00DA359F">
          <w:rPr>
            <w:rStyle w:val="TextoNormalCaracter"/>
          </w:rPr>
          <w:t>513/2023</w:t>
        </w:r>
      </w:hyperlink>
      <w:r>
        <w:t xml:space="preserve">, f. único; </w:t>
      </w:r>
      <w:hyperlink w:anchor="AUTO_2023_514" w:history="1">
        <w:r w:rsidRPr="00DA359F">
          <w:rPr>
            <w:rStyle w:val="TextoNormalCaracter"/>
          </w:rPr>
          <w:t>514/2023</w:t>
        </w:r>
      </w:hyperlink>
      <w:r>
        <w:t xml:space="preserve">, f. único; </w:t>
      </w:r>
      <w:hyperlink w:anchor="AUTO_2023_515" w:history="1">
        <w:r w:rsidRPr="00DA359F">
          <w:rPr>
            <w:rStyle w:val="TextoNormalCaracter"/>
          </w:rPr>
          <w:t>515/2023</w:t>
        </w:r>
      </w:hyperlink>
      <w:r>
        <w:t xml:space="preserve">, f. único; </w:t>
      </w:r>
      <w:hyperlink w:anchor="AUTO_2023_516" w:history="1">
        <w:r w:rsidRPr="00DA359F">
          <w:rPr>
            <w:rStyle w:val="TextoNormalCaracter"/>
          </w:rPr>
          <w:t>516/2023</w:t>
        </w:r>
      </w:hyperlink>
      <w:r>
        <w:t xml:space="preserve">, f. único; </w:t>
      </w:r>
      <w:hyperlink w:anchor="AUTO_2023_517" w:history="1">
        <w:r w:rsidRPr="00DA359F">
          <w:rPr>
            <w:rStyle w:val="TextoNormalCaracter"/>
          </w:rPr>
          <w:t>517/2023</w:t>
        </w:r>
      </w:hyperlink>
      <w:r>
        <w:t xml:space="preserve">, f. único; </w:t>
      </w:r>
      <w:hyperlink w:anchor="AUTO_2023_518" w:history="1">
        <w:r w:rsidRPr="00DA359F">
          <w:rPr>
            <w:rStyle w:val="TextoNormalCaracter"/>
          </w:rPr>
          <w:t>518/2023</w:t>
        </w:r>
      </w:hyperlink>
      <w:r>
        <w:t xml:space="preserve">, f. único; </w:t>
      </w:r>
      <w:hyperlink w:anchor="AUTO_2023_519" w:history="1">
        <w:r w:rsidRPr="00DA359F">
          <w:rPr>
            <w:rStyle w:val="TextoNormalCaracter"/>
          </w:rPr>
          <w:t>519/2023</w:t>
        </w:r>
      </w:hyperlink>
      <w:r>
        <w:t xml:space="preserve">, f. único; </w:t>
      </w:r>
      <w:hyperlink w:anchor="AUTO_2023_520" w:history="1">
        <w:r w:rsidRPr="00DA359F">
          <w:rPr>
            <w:rStyle w:val="TextoNormalCaracter"/>
          </w:rPr>
          <w:t>520/2023</w:t>
        </w:r>
      </w:hyperlink>
      <w:r>
        <w:t xml:space="preserve">, f. único; </w:t>
      </w:r>
      <w:hyperlink w:anchor="AUTO_2023_523" w:history="1">
        <w:r w:rsidRPr="00DA359F">
          <w:rPr>
            <w:rStyle w:val="TextoNormalCaracter"/>
          </w:rPr>
          <w:t>523/2023</w:t>
        </w:r>
      </w:hyperlink>
      <w:r>
        <w:t xml:space="preserve">, f. único; </w:t>
      </w:r>
      <w:hyperlink w:anchor="AUTO_2023_524" w:history="1">
        <w:r w:rsidRPr="00DA359F">
          <w:rPr>
            <w:rStyle w:val="TextoNormalCaracter"/>
          </w:rPr>
          <w:t>524/2023</w:t>
        </w:r>
      </w:hyperlink>
      <w:r>
        <w:t xml:space="preserve">, f. único; </w:t>
      </w:r>
      <w:hyperlink w:anchor="AUTO_2023_525" w:history="1">
        <w:r w:rsidRPr="00DA359F">
          <w:rPr>
            <w:rStyle w:val="TextoNormalCaracter"/>
          </w:rPr>
          <w:t>525/2023</w:t>
        </w:r>
      </w:hyperlink>
      <w:r>
        <w:t xml:space="preserve">, f. único; </w:t>
      </w:r>
      <w:hyperlink w:anchor="AUTO_2023_527" w:history="1">
        <w:r w:rsidRPr="00DA359F">
          <w:rPr>
            <w:rStyle w:val="TextoNormalCaracter"/>
          </w:rPr>
          <w:t>527/2023</w:t>
        </w:r>
      </w:hyperlink>
      <w:r>
        <w:t xml:space="preserve">, f. único; </w:t>
      </w:r>
      <w:hyperlink w:anchor="AUTO_2023_528" w:history="1">
        <w:r w:rsidRPr="00DA359F">
          <w:rPr>
            <w:rStyle w:val="TextoNormalCaracter"/>
          </w:rPr>
          <w:t>528/2023</w:t>
        </w:r>
      </w:hyperlink>
      <w:r>
        <w:t xml:space="preserve">, f. único; </w:t>
      </w:r>
      <w:hyperlink w:anchor="AUTO_2023_530" w:history="1">
        <w:r w:rsidRPr="00DA359F">
          <w:rPr>
            <w:rStyle w:val="TextoNormalCaracter"/>
          </w:rPr>
          <w:t>530/2023</w:t>
        </w:r>
      </w:hyperlink>
      <w:r>
        <w:t xml:space="preserve">, f. único; </w:t>
      </w:r>
      <w:hyperlink w:anchor="AUTO_2023_531" w:history="1">
        <w:r w:rsidRPr="00DA359F">
          <w:rPr>
            <w:rStyle w:val="TextoNormalCaracter"/>
          </w:rPr>
          <w:t>531/2023</w:t>
        </w:r>
      </w:hyperlink>
      <w:r>
        <w:t xml:space="preserve">, f. único; </w:t>
      </w:r>
      <w:hyperlink w:anchor="AUTO_2023_533" w:history="1">
        <w:r w:rsidRPr="00DA359F">
          <w:rPr>
            <w:rStyle w:val="TextoNormalCaracter"/>
          </w:rPr>
          <w:t>533/2023</w:t>
        </w:r>
      </w:hyperlink>
      <w:r>
        <w:t xml:space="preserve">, f. único; </w:t>
      </w:r>
      <w:hyperlink w:anchor="AUTO_2023_534" w:history="1">
        <w:r w:rsidRPr="00DA359F">
          <w:rPr>
            <w:rStyle w:val="TextoNormalCaracter"/>
          </w:rPr>
          <w:t>534/2023</w:t>
        </w:r>
      </w:hyperlink>
      <w:r>
        <w:t xml:space="preserve">, f. único; </w:t>
      </w:r>
      <w:hyperlink w:anchor="AUTO_2023_537" w:history="1">
        <w:r w:rsidRPr="00DA359F">
          <w:rPr>
            <w:rStyle w:val="TextoNormalCaracter"/>
          </w:rPr>
          <w:t>537/2023</w:t>
        </w:r>
      </w:hyperlink>
      <w:r>
        <w:t xml:space="preserve">, f. único; </w:t>
      </w:r>
      <w:hyperlink w:anchor="AUTO_2023_538" w:history="1">
        <w:r w:rsidRPr="00DA359F">
          <w:rPr>
            <w:rStyle w:val="TextoNormalCaracter"/>
          </w:rPr>
          <w:t>538/2023</w:t>
        </w:r>
      </w:hyperlink>
      <w:r>
        <w:t xml:space="preserve">, f. único; </w:t>
      </w:r>
      <w:hyperlink w:anchor="AUTO_2023_539" w:history="1">
        <w:r w:rsidRPr="00DA359F">
          <w:rPr>
            <w:rStyle w:val="TextoNormalCaracter"/>
          </w:rPr>
          <w:t>539/2023</w:t>
        </w:r>
      </w:hyperlink>
      <w:r>
        <w:t xml:space="preserve">, f. único; </w:t>
      </w:r>
      <w:hyperlink w:anchor="AUTO_2023_540" w:history="1">
        <w:r w:rsidRPr="00DA359F">
          <w:rPr>
            <w:rStyle w:val="TextoNormalCaracter"/>
          </w:rPr>
          <w:t>540/2023</w:t>
        </w:r>
      </w:hyperlink>
      <w:r>
        <w:t xml:space="preserve">, f. único; </w:t>
      </w:r>
      <w:hyperlink w:anchor="AUTO_2023_541" w:history="1">
        <w:r w:rsidRPr="00DA359F">
          <w:rPr>
            <w:rStyle w:val="TextoNormalCaracter"/>
          </w:rPr>
          <w:t>541/2023</w:t>
        </w:r>
      </w:hyperlink>
      <w:r>
        <w:t xml:space="preserve">, f. único; </w:t>
      </w:r>
      <w:hyperlink w:anchor="AUTO_2023_542" w:history="1">
        <w:r w:rsidRPr="00DA359F">
          <w:rPr>
            <w:rStyle w:val="TextoNormalCaracter"/>
          </w:rPr>
          <w:t>542/2023</w:t>
        </w:r>
      </w:hyperlink>
      <w:r>
        <w:t xml:space="preserve">, f. único; </w:t>
      </w:r>
      <w:hyperlink w:anchor="AUTO_2023_543" w:history="1">
        <w:r w:rsidRPr="00DA359F">
          <w:rPr>
            <w:rStyle w:val="TextoNormalCaracter"/>
          </w:rPr>
          <w:t>543/2023</w:t>
        </w:r>
      </w:hyperlink>
      <w:r>
        <w:t xml:space="preserve">, f. único; </w:t>
      </w:r>
      <w:hyperlink w:anchor="AUTO_2023_544" w:history="1">
        <w:r w:rsidRPr="00DA359F">
          <w:rPr>
            <w:rStyle w:val="TextoNormalCaracter"/>
          </w:rPr>
          <w:t>544/2023</w:t>
        </w:r>
      </w:hyperlink>
      <w:r>
        <w:t xml:space="preserve">, f. único; </w:t>
      </w:r>
      <w:hyperlink w:anchor="AUTO_2023_545" w:history="1">
        <w:r w:rsidRPr="00DA359F">
          <w:rPr>
            <w:rStyle w:val="TextoNormalCaracter"/>
          </w:rPr>
          <w:t>545/2023</w:t>
        </w:r>
      </w:hyperlink>
      <w:r>
        <w:t xml:space="preserve">, f. único; </w:t>
      </w:r>
      <w:hyperlink w:anchor="AUTO_2023_546" w:history="1">
        <w:r w:rsidRPr="00DA359F">
          <w:rPr>
            <w:rStyle w:val="TextoNormalCaracter"/>
          </w:rPr>
          <w:t>546/2023</w:t>
        </w:r>
      </w:hyperlink>
      <w:r>
        <w:t xml:space="preserve">, f. único; </w:t>
      </w:r>
      <w:hyperlink w:anchor="AUTO_2023_547" w:history="1">
        <w:r w:rsidRPr="00DA359F">
          <w:rPr>
            <w:rStyle w:val="TextoNormalCaracter"/>
          </w:rPr>
          <w:t>547/2023</w:t>
        </w:r>
      </w:hyperlink>
      <w:r>
        <w:t xml:space="preserve">, f. único; </w:t>
      </w:r>
      <w:hyperlink w:anchor="AUTO_2023_548" w:history="1">
        <w:r w:rsidRPr="00DA359F">
          <w:rPr>
            <w:rStyle w:val="TextoNormalCaracter"/>
          </w:rPr>
          <w:t>548/2023</w:t>
        </w:r>
      </w:hyperlink>
      <w:r>
        <w:t xml:space="preserve">, f. único; </w:t>
      </w:r>
      <w:hyperlink w:anchor="AUTO_2023_549" w:history="1">
        <w:r w:rsidRPr="00DA359F">
          <w:rPr>
            <w:rStyle w:val="TextoNormalCaracter"/>
          </w:rPr>
          <w:t>549/2023</w:t>
        </w:r>
      </w:hyperlink>
      <w:r>
        <w:t xml:space="preserve">, f. único; </w:t>
      </w:r>
      <w:hyperlink w:anchor="AUTO_2023_550" w:history="1">
        <w:r w:rsidRPr="00DA359F">
          <w:rPr>
            <w:rStyle w:val="TextoNormalCaracter"/>
          </w:rPr>
          <w:t>550/2023</w:t>
        </w:r>
      </w:hyperlink>
      <w:r>
        <w:t xml:space="preserve">, f. único; </w:t>
      </w:r>
      <w:hyperlink w:anchor="AUTO_2023_551" w:history="1">
        <w:r w:rsidRPr="00DA359F">
          <w:rPr>
            <w:rStyle w:val="TextoNormalCaracter"/>
          </w:rPr>
          <w:t>551/2023</w:t>
        </w:r>
      </w:hyperlink>
      <w:r>
        <w:t xml:space="preserve">, f. único; </w:t>
      </w:r>
      <w:hyperlink w:anchor="AUTO_2023_552" w:history="1">
        <w:r w:rsidRPr="00DA359F">
          <w:rPr>
            <w:rStyle w:val="TextoNormalCaracter"/>
          </w:rPr>
          <w:t>552/2023</w:t>
        </w:r>
      </w:hyperlink>
      <w:r>
        <w:t xml:space="preserve">, f. único; </w:t>
      </w:r>
      <w:hyperlink w:anchor="AUTO_2023_553" w:history="1">
        <w:r w:rsidRPr="00DA359F">
          <w:rPr>
            <w:rStyle w:val="TextoNormalCaracter"/>
          </w:rPr>
          <w:t>553/2023</w:t>
        </w:r>
      </w:hyperlink>
      <w:r>
        <w:t xml:space="preserve">, f. único; </w:t>
      </w:r>
      <w:hyperlink w:anchor="AUTO_2023_554" w:history="1">
        <w:r w:rsidRPr="00DA359F">
          <w:rPr>
            <w:rStyle w:val="TextoNormalCaracter"/>
          </w:rPr>
          <w:t>554/2023</w:t>
        </w:r>
      </w:hyperlink>
      <w:r>
        <w:t xml:space="preserve">, f. único; </w:t>
      </w:r>
      <w:hyperlink w:anchor="AUTO_2023_555" w:history="1">
        <w:r w:rsidRPr="00DA359F">
          <w:rPr>
            <w:rStyle w:val="TextoNormalCaracter"/>
          </w:rPr>
          <w:t>555/2023</w:t>
        </w:r>
      </w:hyperlink>
      <w:r>
        <w:t xml:space="preserve">, f. único; </w:t>
      </w:r>
      <w:hyperlink w:anchor="AUTO_2023_556" w:history="1">
        <w:r w:rsidRPr="00DA359F">
          <w:rPr>
            <w:rStyle w:val="TextoNormalCaracter"/>
          </w:rPr>
          <w:t>556/2023</w:t>
        </w:r>
      </w:hyperlink>
      <w:r>
        <w:t xml:space="preserve">, f. único; </w:t>
      </w:r>
      <w:hyperlink w:anchor="AUTO_2023_557" w:history="1">
        <w:r w:rsidRPr="00DA359F">
          <w:rPr>
            <w:rStyle w:val="TextoNormalCaracter"/>
          </w:rPr>
          <w:t>557/2023</w:t>
        </w:r>
      </w:hyperlink>
      <w:r>
        <w:t xml:space="preserve">, f. único; </w:t>
      </w:r>
      <w:hyperlink w:anchor="AUTO_2023_558" w:history="1">
        <w:r w:rsidRPr="00DA359F">
          <w:rPr>
            <w:rStyle w:val="TextoNormalCaracter"/>
          </w:rPr>
          <w:t>558/2023</w:t>
        </w:r>
      </w:hyperlink>
      <w:r>
        <w:t xml:space="preserve">, f. único; </w:t>
      </w:r>
      <w:hyperlink w:anchor="AUTO_2023_559" w:history="1">
        <w:r w:rsidRPr="00DA359F">
          <w:rPr>
            <w:rStyle w:val="TextoNormalCaracter"/>
          </w:rPr>
          <w:t>559/2023</w:t>
        </w:r>
      </w:hyperlink>
      <w:r>
        <w:t xml:space="preserve">, f. único; </w:t>
      </w:r>
      <w:hyperlink w:anchor="AUTO_2023_560" w:history="1">
        <w:r w:rsidRPr="00DA359F">
          <w:rPr>
            <w:rStyle w:val="TextoNormalCaracter"/>
          </w:rPr>
          <w:t>560/2023</w:t>
        </w:r>
      </w:hyperlink>
      <w:r>
        <w:t xml:space="preserve">, f. único; </w:t>
      </w:r>
      <w:hyperlink w:anchor="AUTO_2023_561" w:history="1">
        <w:r w:rsidRPr="00DA359F">
          <w:rPr>
            <w:rStyle w:val="TextoNormalCaracter"/>
          </w:rPr>
          <w:t>561/2023</w:t>
        </w:r>
      </w:hyperlink>
      <w:r>
        <w:t xml:space="preserve">, f. único; </w:t>
      </w:r>
      <w:hyperlink w:anchor="AUTO_2023_562" w:history="1">
        <w:r w:rsidRPr="00DA359F">
          <w:rPr>
            <w:rStyle w:val="TextoNormalCaracter"/>
          </w:rPr>
          <w:t>562/2023</w:t>
        </w:r>
      </w:hyperlink>
      <w:r>
        <w:t xml:space="preserve">, f. único; </w:t>
      </w:r>
      <w:hyperlink w:anchor="AUTO_2023_563" w:history="1">
        <w:r w:rsidRPr="00DA359F">
          <w:rPr>
            <w:rStyle w:val="TextoNormalCaracter"/>
          </w:rPr>
          <w:t>563/2023</w:t>
        </w:r>
      </w:hyperlink>
      <w:r>
        <w:t xml:space="preserve">, f. único; </w:t>
      </w:r>
      <w:hyperlink w:anchor="AUTO_2023_564" w:history="1">
        <w:r w:rsidRPr="00DA359F">
          <w:rPr>
            <w:rStyle w:val="TextoNormalCaracter"/>
          </w:rPr>
          <w:t>564/2023</w:t>
        </w:r>
      </w:hyperlink>
      <w:r>
        <w:t xml:space="preserve">, f. único; </w:t>
      </w:r>
      <w:hyperlink w:anchor="AUTO_2023_565" w:history="1">
        <w:r w:rsidRPr="00DA359F">
          <w:rPr>
            <w:rStyle w:val="TextoNormalCaracter"/>
          </w:rPr>
          <w:t>565/2023</w:t>
        </w:r>
      </w:hyperlink>
      <w:r>
        <w:t xml:space="preserve">, f. único; </w:t>
      </w:r>
      <w:hyperlink w:anchor="AUTO_2023_566" w:history="1">
        <w:r w:rsidRPr="00DA359F">
          <w:rPr>
            <w:rStyle w:val="TextoNormalCaracter"/>
          </w:rPr>
          <w:t>566/2023</w:t>
        </w:r>
      </w:hyperlink>
      <w:r>
        <w:t xml:space="preserve">, f. único; </w:t>
      </w:r>
      <w:hyperlink w:anchor="AUTO_2023_567" w:history="1">
        <w:r w:rsidRPr="00DA359F">
          <w:rPr>
            <w:rStyle w:val="TextoNormalCaracter"/>
          </w:rPr>
          <w:t>567/2023</w:t>
        </w:r>
      </w:hyperlink>
      <w:r>
        <w:t xml:space="preserve">, f. único; </w:t>
      </w:r>
      <w:hyperlink w:anchor="AUTO_2023_568" w:history="1">
        <w:r w:rsidRPr="00DA359F">
          <w:rPr>
            <w:rStyle w:val="TextoNormalCaracter"/>
          </w:rPr>
          <w:t>568/2023</w:t>
        </w:r>
      </w:hyperlink>
      <w:r>
        <w:t xml:space="preserve">, f. único; </w:t>
      </w:r>
      <w:hyperlink w:anchor="AUTO_2023_569" w:history="1">
        <w:r w:rsidRPr="00DA359F">
          <w:rPr>
            <w:rStyle w:val="TextoNormalCaracter"/>
          </w:rPr>
          <w:t>569/2023</w:t>
        </w:r>
      </w:hyperlink>
      <w:r>
        <w:t xml:space="preserve">, f. único; </w:t>
      </w:r>
      <w:hyperlink w:anchor="AUTO_2023_570" w:history="1">
        <w:r w:rsidRPr="00DA359F">
          <w:rPr>
            <w:rStyle w:val="TextoNormalCaracter"/>
          </w:rPr>
          <w:t>570/2023</w:t>
        </w:r>
      </w:hyperlink>
      <w:r>
        <w:t xml:space="preserve">, f. único; </w:t>
      </w:r>
      <w:hyperlink w:anchor="AUTO_2023_571" w:history="1">
        <w:r w:rsidRPr="00DA359F">
          <w:rPr>
            <w:rStyle w:val="TextoNormalCaracter"/>
          </w:rPr>
          <w:t>571/2023</w:t>
        </w:r>
      </w:hyperlink>
      <w:r>
        <w:t xml:space="preserve">, f. único; </w:t>
      </w:r>
      <w:hyperlink w:anchor="AUTO_2023_572" w:history="1">
        <w:r w:rsidRPr="00DA359F">
          <w:rPr>
            <w:rStyle w:val="TextoNormalCaracter"/>
          </w:rPr>
          <w:t>572/2023</w:t>
        </w:r>
      </w:hyperlink>
      <w:r>
        <w:t xml:space="preserve">, f. único; </w:t>
      </w:r>
      <w:hyperlink w:anchor="AUTO_2023_573" w:history="1">
        <w:r w:rsidRPr="00DA359F">
          <w:rPr>
            <w:rStyle w:val="TextoNormalCaracter"/>
          </w:rPr>
          <w:t>573/2023</w:t>
        </w:r>
      </w:hyperlink>
      <w:r>
        <w:t xml:space="preserve">, f. único; </w:t>
      </w:r>
      <w:hyperlink w:anchor="AUTO_2023_574" w:history="1">
        <w:r w:rsidRPr="00DA359F">
          <w:rPr>
            <w:rStyle w:val="TextoNormalCaracter"/>
          </w:rPr>
          <w:t>574/2023</w:t>
        </w:r>
      </w:hyperlink>
      <w:r>
        <w:t xml:space="preserve">, f. único; </w:t>
      </w:r>
      <w:hyperlink w:anchor="AUTO_2023_575" w:history="1">
        <w:r w:rsidRPr="00DA359F">
          <w:rPr>
            <w:rStyle w:val="TextoNormalCaracter"/>
          </w:rPr>
          <w:t>575/2023</w:t>
        </w:r>
      </w:hyperlink>
      <w:r>
        <w:t xml:space="preserve">, f. único; </w:t>
      </w:r>
      <w:hyperlink w:anchor="AUTO_2023_576" w:history="1">
        <w:r w:rsidRPr="00DA359F">
          <w:rPr>
            <w:rStyle w:val="TextoNormalCaracter"/>
          </w:rPr>
          <w:t>576/2023</w:t>
        </w:r>
      </w:hyperlink>
      <w:r>
        <w:t xml:space="preserve">, f. único; </w:t>
      </w:r>
      <w:hyperlink w:anchor="AUTO_2023_577" w:history="1">
        <w:r w:rsidRPr="00DA359F">
          <w:rPr>
            <w:rStyle w:val="TextoNormalCaracter"/>
          </w:rPr>
          <w:t>577/2023</w:t>
        </w:r>
      </w:hyperlink>
      <w:r>
        <w:t xml:space="preserve">, f. único; </w:t>
      </w:r>
      <w:hyperlink w:anchor="AUTO_2023_578" w:history="1">
        <w:r w:rsidRPr="00DA359F">
          <w:rPr>
            <w:rStyle w:val="TextoNormalCaracter"/>
          </w:rPr>
          <w:t>578/2023</w:t>
        </w:r>
      </w:hyperlink>
      <w:r>
        <w:t xml:space="preserve">, f. único; </w:t>
      </w:r>
      <w:hyperlink w:anchor="AUTO_2023_579" w:history="1">
        <w:r w:rsidRPr="00DA359F">
          <w:rPr>
            <w:rStyle w:val="TextoNormalCaracter"/>
          </w:rPr>
          <w:t>579/2023</w:t>
        </w:r>
      </w:hyperlink>
      <w:r>
        <w:t xml:space="preserve">, f. único; </w:t>
      </w:r>
      <w:hyperlink w:anchor="AUTO_2023_580" w:history="1">
        <w:r w:rsidRPr="00DA359F">
          <w:rPr>
            <w:rStyle w:val="TextoNormalCaracter"/>
          </w:rPr>
          <w:t>580/2023</w:t>
        </w:r>
      </w:hyperlink>
      <w:r>
        <w:t xml:space="preserve">, f. único; </w:t>
      </w:r>
      <w:hyperlink w:anchor="AUTO_2023_581" w:history="1">
        <w:r w:rsidRPr="00DA359F">
          <w:rPr>
            <w:rStyle w:val="TextoNormalCaracter"/>
          </w:rPr>
          <w:t>581/2023</w:t>
        </w:r>
      </w:hyperlink>
      <w:r>
        <w:t xml:space="preserve">, f. único; </w:t>
      </w:r>
      <w:hyperlink w:anchor="AUTO_2023_582" w:history="1">
        <w:r w:rsidRPr="00DA359F">
          <w:rPr>
            <w:rStyle w:val="TextoNormalCaracter"/>
          </w:rPr>
          <w:t>582/2023</w:t>
        </w:r>
      </w:hyperlink>
      <w:r>
        <w:t xml:space="preserve">, f. único; </w:t>
      </w:r>
      <w:hyperlink w:anchor="AUTO_2023_583" w:history="1">
        <w:r w:rsidRPr="00DA359F">
          <w:rPr>
            <w:rStyle w:val="TextoNormalCaracter"/>
          </w:rPr>
          <w:t>583/2023</w:t>
        </w:r>
      </w:hyperlink>
      <w:r>
        <w:t xml:space="preserve">, f. único; </w:t>
      </w:r>
      <w:hyperlink w:anchor="AUTO_2023_584" w:history="1">
        <w:r w:rsidRPr="00DA359F">
          <w:rPr>
            <w:rStyle w:val="TextoNormalCaracter"/>
          </w:rPr>
          <w:t>584/2023</w:t>
        </w:r>
      </w:hyperlink>
      <w:r>
        <w:t xml:space="preserve">, f. único; </w:t>
      </w:r>
      <w:hyperlink w:anchor="AUTO_2023_585" w:history="1">
        <w:r w:rsidRPr="00DA359F">
          <w:rPr>
            <w:rStyle w:val="TextoNormalCaracter"/>
          </w:rPr>
          <w:t>585/2023</w:t>
        </w:r>
      </w:hyperlink>
      <w:r>
        <w:t xml:space="preserve">, f. único; </w:t>
      </w:r>
      <w:hyperlink w:anchor="AUTO_2023_586" w:history="1">
        <w:r w:rsidRPr="00DA359F">
          <w:rPr>
            <w:rStyle w:val="TextoNormalCaracter"/>
          </w:rPr>
          <w:t>586/2023</w:t>
        </w:r>
      </w:hyperlink>
      <w:r>
        <w:t xml:space="preserve">, f. único; </w:t>
      </w:r>
      <w:hyperlink w:anchor="AUTO_2023_587" w:history="1">
        <w:r w:rsidRPr="00DA359F">
          <w:rPr>
            <w:rStyle w:val="TextoNormalCaracter"/>
          </w:rPr>
          <w:t>587/2023</w:t>
        </w:r>
      </w:hyperlink>
      <w:r>
        <w:t xml:space="preserve">, f. único; </w:t>
      </w:r>
      <w:hyperlink w:anchor="AUTO_2023_588" w:history="1">
        <w:r w:rsidRPr="00DA359F">
          <w:rPr>
            <w:rStyle w:val="TextoNormalCaracter"/>
          </w:rPr>
          <w:t>588/2023</w:t>
        </w:r>
      </w:hyperlink>
      <w:r>
        <w:t xml:space="preserve">, f. único; </w:t>
      </w:r>
      <w:hyperlink w:anchor="AUTO_2023_589" w:history="1">
        <w:r w:rsidRPr="00DA359F">
          <w:rPr>
            <w:rStyle w:val="TextoNormalCaracter"/>
          </w:rPr>
          <w:t>589/2023</w:t>
        </w:r>
      </w:hyperlink>
      <w:r>
        <w:t xml:space="preserve">, f. único; </w:t>
      </w:r>
      <w:hyperlink w:anchor="AUTO_2023_590" w:history="1">
        <w:r w:rsidRPr="00DA359F">
          <w:rPr>
            <w:rStyle w:val="TextoNormalCaracter"/>
          </w:rPr>
          <w:t>590/2023</w:t>
        </w:r>
      </w:hyperlink>
      <w:r>
        <w:t xml:space="preserve">, f. único; </w:t>
      </w:r>
      <w:hyperlink w:anchor="AUTO_2023_591" w:history="1">
        <w:r w:rsidRPr="00DA359F">
          <w:rPr>
            <w:rStyle w:val="TextoNormalCaracter"/>
          </w:rPr>
          <w:t>591/2023</w:t>
        </w:r>
      </w:hyperlink>
      <w:r>
        <w:t xml:space="preserve">, f. único; </w:t>
      </w:r>
      <w:hyperlink w:anchor="AUTO_2023_592" w:history="1">
        <w:r w:rsidRPr="00DA359F">
          <w:rPr>
            <w:rStyle w:val="TextoNormalCaracter"/>
          </w:rPr>
          <w:t>592/2023</w:t>
        </w:r>
      </w:hyperlink>
      <w:r>
        <w:t xml:space="preserve">, f. único; </w:t>
      </w:r>
      <w:hyperlink w:anchor="AUTO_2023_593" w:history="1">
        <w:r w:rsidRPr="00DA359F">
          <w:rPr>
            <w:rStyle w:val="TextoNormalCaracter"/>
          </w:rPr>
          <w:t>593/2023</w:t>
        </w:r>
      </w:hyperlink>
      <w:r>
        <w:t xml:space="preserve">, f. único; </w:t>
      </w:r>
      <w:hyperlink w:anchor="AUTO_2023_594" w:history="1">
        <w:r w:rsidRPr="00DA359F">
          <w:rPr>
            <w:rStyle w:val="TextoNormalCaracter"/>
          </w:rPr>
          <w:t>594/2023</w:t>
        </w:r>
      </w:hyperlink>
      <w:r>
        <w:t xml:space="preserve">, f. único; </w:t>
      </w:r>
      <w:hyperlink w:anchor="AUTO_2023_595" w:history="1">
        <w:r w:rsidRPr="00DA359F">
          <w:rPr>
            <w:rStyle w:val="TextoNormalCaracter"/>
          </w:rPr>
          <w:t>595/2023</w:t>
        </w:r>
      </w:hyperlink>
      <w:r>
        <w:t xml:space="preserve">, f. único; </w:t>
      </w:r>
      <w:hyperlink w:anchor="AUTO_2023_596" w:history="1">
        <w:r w:rsidRPr="00DA359F">
          <w:rPr>
            <w:rStyle w:val="TextoNormalCaracter"/>
          </w:rPr>
          <w:t>596/2023</w:t>
        </w:r>
      </w:hyperlink>
      <w:r>
        <w:t xml:space="preserve">, f. único; </w:t>
      </w:r>
      <w:hyperlink w:anchor="AUTO_2023_605" w:history="1">
        <w:r w:rsidRPr="00DA359F">
          <w:rPr>
            <w:rStyle w:val="TextoNormalCaracter"/>
          </w:rPr>
          <w:t>605/2023</w:t>
        </w:r>
      </w:hyperlink>
      <w:r>
        <w:t xml:space="preserve">, f. único; </w:t>
      </w:r>
      <w:hyperlink w:anchor="AUTO_2023_606" w:history="1">
        <w:r w:rsidRPr="00DA359F">
          <w:rPr>
            <w:rStyle w:val="TextoNormalCaracter"/>
          </w:rPr>
          <w:t>606/2023</w:t>
        </w:r>
      </w:hyperlink>
      <w:r>
        <w:t xml:space="preserve">, f. único; </w:t>
      </w:r>
      <w:hyperlink w:anchor="AUTO_2023_607" w:history="1">
        <w:r w:rsidRPr="00DA359F">
          <w:rPr>
            <w:rStyle w:val="TextoNormalCaracter"/>
          </w:rPr>
          <w:t>607/2023</w:t>
        </w:r>
      </w:hyperlink>
      <w:r>
        <w:t xml:space="preserve">, f. único; </w:t>
      </w:r>
      <w:hyperlink w:anchor="AUTO_2023_608" w:history="1">
        <w:r w:rsidRPr="00DA359F">
          <w:rPr>
            <w:rStyle w:val="TextoNormalCaracter"/>
          </w:rPr>
          <w:t>608/2023</w:t>
        </w:r>
      </w:hyperlink>
      <w:r>
        <w:t xml:space="preserve">, f. único; </w:t>
      </w:r>
      <w:hyperlink w:anchor="AUTO_2023_609" w:history="1">
        <w:r w:rsidRPr="00DA359F">
          <w:rPr>
            <w:rStyle w:val="TextoNormalCaracter"/>
          </w:rPr>
          <w:t>609/2023</w:t>
        </w:r>
      </w:hyperlink>
      <w:r>
        <w:t xml:space="preserve">, f. único; </w:t>
      </w:r>
      <w:hyperlink w:anchor="AUTO_2023_610" w:history="1">
        <w:r w:rsidRPr="00DA359F">
          <w:rPr>
            <w:rStyle w:val="TextoNormalCaracter"/>
          </w:rPr>
          <w:t>610/2023</w:t>
        </w:r>
      </w:hyperlink>
      <w:r>
        <w:t xml:space="preserve">, f. único; </w:t>
      </w:r>
      <w:hyperlink w:anchor="AUTO_2023_611" w:history="1">
        <w:r w:rsidRPr="00DA359F">
          <w:rPr>
            <w:rStyle w:val="TextoNormalCaracter"/>
          </w:rPr>
          <w:t>611/2023</w:t>
        </w:r>
      </w:hyperlink>
      <w:r>
        <w:t xml:space="preserve">, f. único; </w:t>
      </w:r>
      <w:hyperlink w:anchor="AUTO_2023_612" w:history="1">
        <w:r w:rsidRPr="00DA359F">
          <w:rPr>
            <w:rStyle w:val="TextoNormalCaracter"/>
          </w:rPr>
          <w:t>612/2023</w:t>
        </w:r>
      </w:hyperlink>
      <w:r>
        <w:t xml:space="preserve">, f. único; </w:t>
      </w:r>
      <w:hyperlink w:anchor="AUTO_2023_613" w:history="1">
        <w:r w:rsidRPr="00DA359F">
          <w:rPr>
            <w:rStyle w:val="TextoNormalCaracter"/>
          </w:rPr>
          <w:t>613/2023</w:t>
        </w:r>
      </w:hyperlink>
      <w:r>
        <w:t xml:space="preserve">, f. único; </w:t>
      </w:r>
      <w:hyperlink w:anchor="AUTO_2023_614" w:history="1">
        <w:r w:rsidRPr="00DA359F">
          <w:rPr>
            <w:rStyle w:val="TextoNormalCaracter"/>
          </w:rPr>
          <w:t>614/2023</w:t>
        </w:r>
      </w:hyperlink>
      <w:r>
        <w:t xml:space="preserve">, f. único; </w:t>
      </w:r>
      <w:hyperlink w:anchor="AUTO_2023_615" w:history="1">
        <w:r w:rsidRPr="00DA359F">
          <w:rPr>
            <w:rStyle w:val="TextoNormalCaracter"/>
          </w:rPr>
          <w:t>615/2023</w:t>
        </w:r>
      </w:hyperlink>
      <w:r>
        <w:t xml:space="preserve">, f. único; </w:t>
      </w:r>
      <w:hyperlink w:anchor="AUTO_2023_616" w:history="1">
        <w:r w:rsidRPr="00DA359F">
          <w:rPr>
            <w:rStyle w:val="TextoNormalCaracter"/>
          </w:rPr>
          <w:t>616/2023</w:t>
        </w:r>
      </w:hyperlink>
      <w:r>
        <w:t xml:space="preserve">, f. único; </w:t>
      </w:r>
      <w:hyperlink w:anchor="AUTO_2023_617" w:history="1">
        <w:r w:rsidRPr="00DA359F">
          <w:rPr>
            <w:rStyle w:val="TextoNormalCaracter"/>
          </w:rPr>
          <w:t>617/2023</w:t>
        </w:r>
      </w:hyperlink>
      <w:r>
        <w:t xml:space="preserve">, f. único; </w:t>
      </w:r>
      <w:hyperlink w:anchor="AUTO_2023_618" w:history="1">
        <w:r w:rsidRPr="00DA359F">
          <w:rPr>
            <w:rStyle w:val="TextoNormalCaracter"/>
          </w:rPr>
          <w:t>618/2023</w:t>
        </w:r>
      </w:hyperlink>
      <w:r>
        <w:t xml:space="preserve">, f. único; </w:t>
      </w:r>
      <w:hyperlink w:anchor="AUTO_2023_619" w:history="1">
        <w:r w:rsidRPr="00DA359F">
          <w:rPr>
            <w:rStyle w:val="TextoNormalCaracter"/>
          </w:rPr>
          <w:t>619/2023</w:t>
        </w:r>
      </w:hyperlink>
      <w:r>
        <w:t xml:space="preserve">, f. único; </w:t>
      </w:r>
      <w:hyperlink w:anchor="AUTO_2023_620" w:history="1">
        <w:r w:rsidRPr="00DA359F">
          <w:rPr>
            <w:rStyle w:val="TextoNormalCaracter"/>
          </w:rPr>
          <w:t>620/2023</w:t>
        </w:r>
      </w:hyperlink>
      <w:r>
        <w:t xml:space="preserve">, f. único; </w:t>
      </w:r>
      <w:hyperlink w:anchor="AUTO_2023_621" w:history="1">
        <w:r w:rsidRPr="00DA359F">
          <w:rPr>
            <w:rStyle w:val="TextoNormalCaracter"/>
          </w:rPr>
          <w:t>621/2023</w:t>
        </w:r>
      </w:hyperlink>
      <w:r>
        <w:t xml:space="preserve">, f. único; </w:t>
      </w:r>
      <w:hyperlink w:anchor="AUTO_2023_622" w:history="1">
        <w:r w:rsidRPr="00DA359F">
          <w:rPr>
            <w:rStyle w:val="TextoNormalCaracter"/>
          </w:rPr>
          <w:t>622/2023</w:t>
        </w:r>
      </w:hyperlink>
      <w:r>
        <w:t xml:space="preserve">, f. único; </w:t>
      </w:r>
      <w:hyperlink w:anchor="AUTO_2023_623" w:history="1">
        <w:r w:rsidRPr="00DA359F">
          <w:rPr>
            <w:rStyle w:val="TextoNormalCaracter"/>
          </w:rPr>
          <w:t>623/2023</w:t>
        </w:r>
      </w:hyperlink>
      <w:r>
        <w:t xml:space="preserve">; </w:t>
      </w:r>
      <w:hyperlink w:anchor="AUTO_2023_624" w:history="1">
        <w:r w:rsidRPr="00DA359F">
          <w:rPr>
            <w:rStyle w:val="TextoNormalCaracter"/>
          </w:rPr>
          <w:t>624/2023</w:t>
        </w:r>
      </w:hyperlink>
      <w:r>
        <w:t xml:space="preserve">, f. único; </w:t>
      </w:r>
      <w:hyperlink w:anchor="AUTO_2023_625" w:history="1">
        <w:r w:rsidRPr="00DA359F">
          <w:rPr>
            <w:rStyle w:val="TextoNormalCaracter"/>
          </w:rPr>
          <w:t>625/2023</w:t>
        </w:r>
      </w:hyperlink>
      <w:r>
        <w:t xml:space="preserve">, f. único; </w:t>
      </w:r>
      <w:hyperlink w:anchor="AUTO_2023_626" w:history="1">
        <w:r w:rsidRPr="00DA359F">
          <w:rPr>
            <w:rStyle w:val="TextoNormalCaracter"/>
          </w:rPr>
          <w:t>626/2023</w:t>
        </w:r>
      </w:hyperlink>
      <w:r>
        <w:t xml:space="preserve">, f. único; </w:t>
      </w:r>
      <w:hyperlink w:anchor="AUTO_2023_627" w:history="1">
        <w:r w:rsidRPr="00DA359F">
          <w:rPr>
            <w:rStyle w:val="TextoNormalCaracter"/>
          </w:rPr>
          <w:t>627/2023</w:t>
        </w:r>
      </w:hyperlink>
      <w:r>
        <w:t xml:space="preserve">, f. único; </w:t>
      </w:r>
      <w:hyperlink w:anchor="AUTO_2023_628" w:history="1">
        <w:r w:rsidRPr="00DA359F">
          <w:rPr>
            <w:rStyle w:val="TextoNormalCaracter"/>
          </w:rPr>
          <w:t>628/2023</w:t>
        </w:r>
      </w:hyperlink>
      <w:r>
        <w:t xml:space="preserve">, f. único; </w:t>
      </w:r>
      <w:hyperlink w:anchor="AUTO_2023_629" w:history="1">
        <w:r w:rsidRPr="00DA359F">
          <w:rPr>
            <w:rStyle w:val="TextoNormalCaracter"/>
          </w:rPr>
          <w:t>629/2023</w:t>
        </w:r>
      </w:hyperlink>
      <w:r>
        <w:t xml:space="preserve">, f. único; </w:t>
      </w:r>
      <w:hyperlink w:anchor="AUTO_2023_630" w:history="1">
        <w:r w:rsidRPr="00DA359F">
          <w:rPr>
            <w:rStyle w:val="TextoNormalCaracter"/>
          </w:rPr>
          <w:t>630/2023</w:t>
        </w:r>
      </w:hyperlink>
      <w:r>
        <w:t xml:space="preserve">, f. único; </w:t>
      </w:r>
      <w:hyperlink w:anchor="AUTO_2023_631" w:history="1">
        <w:r w:rsidRPr="00DA359F">
          <w:rPr>
            <w:rStyle w:val="TextoNormalCaracter"/>
          </w:rPr>
          <w:t>631/2023</w:t>
        </w:r>
      </w:hyperlink>
      <w:r>
        <w:t xml:space="preserve">, f. único; </w:t>
      </w:r>
      <w:hyperlink w:anchor="AUTO_2023_632" w:history="1">
        <w:r w:rsidRPr="00DA359F">
          <w:rPr>
            <w:rStyle w:val="TextoNormalCaracter"/>
          </w:rPr>
          <w:t>632/2023</w:t>
        </w:r>
      </w:hyperlink>
      <w:r>
        <w:t xml:space="preserve">, f. único; </w:t>
      </w:r>
      <w:hyperlink w:anchor="AUTO_2023_633" w:history="1">
        <w:r w:rsidRPr="00DA359F">
          <w:rPr>
            <w:rStyle w:val="TextoNormalCaracter"/>
          </w:rPr>
          <w:t>633/2023</w:t>
        </w:r>
      </w:hyperlink>
      <w:r>
        <w:t xml:space="preserve">, f. único; </w:t>
      </w:r>
      <w:hyperlink w:anchor="AUTO_2023_634" w:history="1">
        <w:r w:rsidRPr="00DA359F">
          <w:rPr>
            <w:rStyle w:val="TextoNormalCaracter"/>
          </w:rPr>
          <w:t>634/2023</w:t>
        </w:r>
      </w:hyperlink>
      <w:r>
        <w:t xml:space="preserve">, f. único; </w:t>
      </w:r>
      <w:hyperlink w:anchor="AUTO_2023_635" w:history="1">
        <w:r w:rsidRPr="00DA359F">
          <w:rPr>
            <w:rStyle w:val="TextoNormalCaracter"/>
          </w:rPr>
          <w:t>635/2023</w:t>
        </w:r>
      </w:hyperlink>
      <w:r>
        <w:t xml:space="preserve">, f. único; </w:t>
      </w:r>
      <w:hyperlink w:anchor="AUTO_2023_636" w:history="1">
        <w:r w:rsidRPr="00DA359F">
          <w:rPr>
            <w:rStyle w:val="TextoNormalCaracter"/>
          </w:rPr>
          <w:t>636/2023</w:t>
        </w:r>
      </w:hyperlink>
      <w:r>
        <w:t xml:space="preserve">, f. único; </w:t>
      </w:r>
      <w:hyperlink w:anchor="AUTO_2023_637" w:history="1">
        <w:r w:rsidRPr="00DA359F">
          <w:rPr>
            <w:rStyle w:val="TextoNormalCaracter"/>
          </w:rPr>
          <w:t>637/2023</w:t>
        </w:r>
      </w:hyperlink>
      <w:r>
        <w:t xml:space="preserve">, f. único; </w:t>
      </w:r>
      <w:hyperlink w:anchor="AUTO_2023_638" w:history="1">
        <w:r w:rsidRPr="00DA359F">
          <w:rPr>
            <w:rStyle w:val="TextoNormalCaracter"/>
          </w:rPr>
          <w:t>638/2023</w:t>
        </w:r>
      </w:hyperlink>
      <w:r>
        <w:t xml:space="preserve">, f. único; </w:t>
      </w:r>
      <w:hyperlink w:anchor="AUTO_2023_639" w:history="1">
        <w:r w:rsidRPr="00DA359F">
          <w:rPr>
            <w:rStyle w:val="TextoNormalCaracter"/>
          </w:rPr>
          <w:t>639/2023</w:t>
        </w:r>
      </w:hyperlink>
      <w:r>
        <w:t xml:space="preserve">, f. único; </w:t>
      </w:r>
      <w:hyperlink w:anchor="AUTO_2023_640" w:history="1">
        <w:r w:rsidRPr="00DA359F">
          <w:rPr>
            <w:rStyle w:val="TextoNormalCaracter"/>
          </w:rPr>
          <w:t>640/2023</w:t>
        </w:r>
      </w:hyperlink>
      <w:r>
        <w:t xml:space="preserve">, f. único; </w:t>
      </w:r>
      <w:hyperlink w:anchor="AUTO_2023_641" w:history="1">
        <w:r w:rsidRPr="00DA359F">
          <w:rPr>
            <w:rStyle w:val="TextoNormalCaracter"/>
          </w:rPr>
          <w:t>641/2023</w:t>
        </w:r>
      </w:hyperlink>
      <w:r>
        <w:t xml:space="preserve">, f. único; </w:t>
      </w:r>
      <w:hyperlink w:anchor="AUTO_2023_642" w:history="1">
        <w:r w:rsidRPr="00DA359F">
          <w:rPr>
            <w:rStyle w:val="TextoNormalCaracter"/>
          </w:rPr>
          <w:t>642/2023</w:t>
        </w:r>
      </w:hyperlink>
      <w:r>
        <w:t xml:space="preserve">, f. único; </w:t>
      </w:r>
      <w:hyperlink w:anchor="AUTO_2023_643" w:history="1">
        <w:r w:rsidRPr="00DA359F">
          <w:rPr>
            <w:rStyle w:val="TextoNormalCaracter"/>
          </w:rPr>
          <w:t>643/2023</w:t>
        </w:r>
      </w:hyperlink>
      <w:r>
        <w:t xml:space="preserve">, f. único; </w:t>
      </w:r>
      <w:hyperlink w:anchor="AUTO_2023_644" w:history="1">
        <w:r w:rsidRPr="00DA359F">
          <w:rPr>
            <w:rStyle w:val="TextoNormalCaracter"/>
          </w:rPr>
          <w:t>644/2023</w:t>
        </w:r>
      </w:hyperlink>
      <w:r>
        <w:t xml:space="preserve">, f. único; </w:t>
      </w:r>
      <w:hyperlink w:anchor="AUTO_2023_646" w:history="1">
        <w:r w:rsidRPr="00DA359F">
          <w:rPr>
            <w:rStyle w:val="TextoNormalCaracter"/>
          </w:rPr>
          <w:t>646/2023</w:t>
        </w:r>
      </w:hyperlink>
      <w:r>
        <w:t xml:space="preserve">, f. único; </w:t>
      </w:r>
      <w:hyperlink w:anchor="AUTO_2023_647" w:history="1">
        <w:r w:rsidRPr="00DA359F">
          <w:rPr>
            <w:rStyle w:val="TextoNormalCaracter"/>
          </w:rPr>
          <w:t>647/2023</w:t>
        </w:r>
      </w:hyperlink>
      <w:r>
        <w:t xml:space="preserve">, f. único; </w:t>
      </w:r>
      <w:hyperlink w:anchor="AUTO_2023_648" w:history="1">
        <w:r w:rsidRPr="00DA359F">
          <w:rPr>
            <w:rStyle w:val="TextoNormalCaracter"/>
          </w:rPr>
          <w:t>648/2023</w:t>
        </w:r>
      </w:hyperlink>
      <w:r>
        <w:t xml:space="preserve">, f. único; </w:t>
      </w:r>
      <w:hyperlink w:anchor="AUTO_2023_649" w:history="1">
        <w:r w:rsidRPr="00DA359F">
          <w:rPr>
            <w:rStyle w:val="TextoNormalCaracter"/>
          </w:rPr>
          <w:t>649/2023</w:t>
        </w:r>
      </w:hyperlink>
      <w:r>
        <w:t xml:space="preserve">, f. único; </w:t>
      </w:r>
      <w:hyperlink w:anchor="AUTO_2023_650" w:history="1">
        <w:r w:rsidRPr="00DA359F">
          <w:rPr>
            <w:rStyle w:val="TextoNormalCaracter"/>
          </w:rPr>
          <w:t>650/2023</w:t>
        </w:r>
      </w:hyperlink>
      <w:r>
        <w:t xml:space="preserve">, f. único; </w:t>
      </w:r>
      <w:hyperlink w:anchor="AUTO_2023_651" w:history="1">
        <w:r w:rsidRPr="00DA359F">
          <w:rPr>
            <w:rStyle w:val="TextoNormalCaracter"/>
          </w:rPr>
          <w:t>651/2023</w:t>
        </w:r>
      </w:hyperlink>
      <w:r>
        <w:t xml:space="preserve">, f. único; </w:t>
      </w:r>
      <w:hyperlink w:anchor="AUTO_2023_652" w:history="1">
        <w:r w:rsidRPr="00DA359F">
          <w:rPr>
            <w:rStyle w:val="TextoNormalCaracter"/>
          </w:rPr>
          <w:t>652/2023</w:t>
        </w:r>
      </w:hyperlink>
      <w:r>
        <w:t xml:space="preserve">, f. único; </w:t>
      </w:r>
      <w:hyperlink w:anchor="AUTO_2023_653" w:history="1">
        <w:r w:rsidRPr="00DA359F">
          <w:rPr>
            <w:rStyle w:val="TextoNormalCaracter"/>
          </w:rPr>
          <w:t>653/2023</w:t>
        </w:r>
      </w:hyperlink>
      <w:r>
        <w:t xml:space="preserve">, f. único; </w:t>
      </w:r>
      <w:hyperlink w:anchor="AUTO_2023_654" w:history="1">
        <w:r w:rsidRPr="00DA359F">
          <w:rPr>
            <w:rStyle w:val="TextoNormalCaracter"/>
          </w:rPr>
          <w:t>654/2023</w:t>
        </w:r>
      </w:hyperlink>
      <w:r>
        <w:t xml:space="preserve">, f. único; </w:t>
      </w:r>
      <w:hyperlink w:anchor="AUTO_2023_655" w:history="1">
        <w:r w:rsidRPr="00DA359F">
          <w:rPr>
            <w:rStyle w:val="TextoNormalCaracter"/>
          </w:rPr>
          <w:t>655/2023</w:t>
        </w:r>
      </w:hyperlink>
      <w:r>
        <w:t xml:space="preserve">, f. único; </w:t>
      </w:r>
      <w:hyperlink w:anchor="AUTO_2023_656" w:history="1">
        <w:r w:rsidRPr="00DA359F">
          <w:rPr>
            <w:rStyle w:val="TextoNormalCaracter"/>
          </w:rPr>
          <w:t>656/2023</w:t>
        </w:r>
      </w:hyperlink>
      <w:r>
        <w:t xml:space="preserve">, f. único; </w:t>
      </w:r>
      <w:hyperlink w:anchor="AUTO_2023_657" w:history="1">
        <w:r w:rsidRPr="00DA359F">
          <w:rPr>
            <w:rStyle w:val="TextoNormalCaracter"/>
          </w:rPr>
          <w:t>657/2023</w:t>
        </w:r>
      </w:hyperlink>
      <w:r>
        <w:t xml:space="preserve">, f. único; </w:t>
      </w:r>
      <w:hyperlink w:anchor="AUTO_2023_658" w:history="1">
        <w:r w:rsidRPr="00DA359F">
          <w:rPr>
            <w:rStyle w:val="TextoNormalCaracter"/>
          </w:rPr>
          <w:t>658/2023</w:t>
        </w:r>
      </w:hyperlink>
      <w:r>
        <w:t xml:space="preserve">, f. único; </w:t>
      </w:r>
      <w:hyperlink w:anchor="AUTO_2023_659" w:history="1">
        <w:r w:rsidRPr="00DA359F">
          <w:rPr>
            <w:rStyle w:val="TextoNormalCaracter"/>
          </w:rPr>
          <w:t>659/2023</w:t>
        </w:r>
      </w:hyperlink>
      <w:r>
        <w:t xml:space="preserve">, f. único; </w:t>
      </w:r>
      <w:hyperlink w:anchor="AUTO_2023_660" w:history="1">
        <w:r w:rsidRPr="00DA359F">
          <w:rPr>
            <w:rStyle w:val="TextoNormalCaracter"/>
          </w:rPr>
          <w:t>660/2023</w:t>
        </w:r>
      </w:hyperlink>
      <w:r>
        <w:t xml:space="preserve">, f. único; </w:t>
      </w:r>
      <w:hyperlink w:anchor="AUTO_2023_662" w:history="1">
        <w:r w:rsidRPr="00DA359F">
          <w:rPr>
            <w:rStyle w:val="TextoNormalCaracter"/>
          </w:rPr>
          <w:t>662/2023</w:t>
        </w:r>
      </w:hyperlink>
      <w:r>
        <w:t xml:space="preserve">, f. único; </w:t>
      </w:r>
      <w:hyperlink w:anchor="AUTO_2023_670" w:history="1">
        <w:r w:rsidRPr="00DA359F">
          <w:rPr>
            <w:rStyle w:val="TextoNormalCaracter"/>
          </w:rPr>
          <w:t>670/2023</w:t>
        </w:r>
      </w:hyperlink>
      <w:r>
        <w:t xml:space="preserve">, f. único; </w:t>
      </w:r>
      <w:hyperlink w:anchor="AUTO_2023_671" w:history="1">
        <w:r w:rsidRPr="00DA359F">
          <w:rPr>
            <w:rStyle w:val="TextoNormalCaracter"/>
          </w:rPr>
          <w:t>671/2023</w:t>
        </w:r>
      </w:hyperlink>
      <w:r>
        <w:t xml:space="preserve">, f. único; </w:t>
      </w:r>
      <w:hyperlink w:anchor="AUTO_2023_672" w:history="1">
        <w:r w:rsidRPr="00DA359F">
          <w:rPr>
            <w:rStyle w:val="TextoNormalCaracter"/>
          </w:rPr>
          <w:t>672/2023</w:t>
        </w:r>
      </w:hyperlink>
      <w:r>
        <w:t xml:space="preserve">, f. único; </w:t>
      </w:r>
      <w:hyperlink w:anchor="AUTO_2023_673" w:history="1">
        <w:r w:rsidRPr="00DA359F">
          <w:rPr>
            <w:rStyle w:val="TextoNormalCaracter"/>
          </w:rPr>
          <w:t>673/2023</w:t>
        </w:r>
      </w:hyperlink>
      <w:r>
        <w:t xml:space="preserve">, f. único; </w:t>
      </w:r>
      <w:hyperlink w:anchor="AUTO_2023_674" w:history="1">
        <w:r w:rsidRPr="00DA359F">
          <w:rPr>
            <w:rStyle w:val="TextoNormalCaracter"/>
          </w:rPr>
          <w:t>674/2023</w:t>
        </w:r>
      </w:hyperlink>
      <w:r>
        <w:t xml:space="preserve">, f. único; </w:t>
      </w:r>
      <w:hyperlink w:anchor="AUTO_2023_675" w:history="1">
        <w:r w:rsidRPr="00DA359F">
          <w:rPr>
            <w:rStyle w:val="TextoNormalCaracter"/>
          </w:rPr>
          <w:t>675/2023</w:t>
        </w:r>
      </w:hyperlink>
      <w:r>
        <w:t xml:space="preserve">, f. único; </w:t>
      </w:r>
      <w:hyperlink w:anchor="AUTO_2023_676" w:history="1">
        <w:r w:rsidRPr="00DA359F">
          <w:rPr>
            <w:rStyle w:val="TextoNormalCaracter"/>
          </w:rPr>
          <w:t>676/2023</w:t>
        </w:r>
      </w:hyperlink>
      <w:r>
        <w:t xml:space="preserve">, f. único; </w:t>
      </w:r>
      <w:hyperlink w:anchor="AUTO_2023_677" w:history="1">
        <w:r w:rsidRPr="00DA359F">
          <w:rPr>
            <w:rStyle w:val="TextoNormalCaracter"/>
          </w:rPr>
          <w:t>677/2023</w:t>
        </w:r>
      </w:hyperlink>
      <w:r>
        <w:t xml:space="preserve">, f. único; </w:t>
      </w:r>
      <w:hyperlink w:anchor="AUTO_2023_678" w:history="1">
        <w:r w:rsidRPr="00DA359F">
          <w:rPr>
            <w:rStyle w:val="TextoNormalCaracter"/>
          </w:rPr>
          <w:t>678/2023</w:t>
        </w:r>
      </w:hyperlink>
      <w:r>
        <w:t xml:space="preserve">, f. único; </w:t>
      </w:r>
      <w:hyperlink w:anchor="AUTO_2023_679" w:history="1">
        <w:r w:rsidRPr="00DA359F">
          <w:rPr>
            <w:rStyle w:val="TextoNormalCaracter"/>
          </w:rPr>
          <w:t>679/2023</w:t>
        </w:r>
      </w:hyperlink>
      <w:r>
        <w:t xml:space="preserve">, f. único; </w:t>
      </w:r>
      <w:hyperlink w:anchor="AUTO_2023_680" w:history="1">
        <w:r w:rsidRPr="00DA359F">
          <w:rPr>
            <w:rStyle w:val="TextoNormalCaracter"/>
          </w:rPr>
          <w:t>680/2023</w:t>
        </w:r>
      </w:hyperlink>
      <w:r>
        <w:t xml:space="preserve">, f. único; </w:t>
      </w:r>
      <w:hyperlink w:anchor="AUTO_2023_681" w:history="1">
        <w:r w:rsidRPr="00DA359F">
          <w:rPr>
            <w:rStyle w:val="TextoNormalCaracter"/>
          </w:rPr>
          <w:t>681/2023</w:t>
        </w:r>
      </w:hyperlink>
      <w:r>
        <w:t xml:space="preserve">, f. único; </w:t>
      </w:r>
      <w:hyperlink w:anchor="AUTO_2023_682" w:history="1">
        <w:r w:rsidRPr="00DA359F">
          <w:rPr>
            <w:rStyle w:val="TextoNormalCaracter"/>
          </w:rPr>
          <w:t>682/2023</w:t>
        </w:r>
      </w:hyperlink>
      <w:r>
        <w:t xml:space="preserve">, f. único; </w:t>
      </w:r>
      <w:hyperlink w:anchor="AUTO_2023_683" w:history="1">
        <w:r w:rsidRPr="00DA359F">
          <w:rPr>
            <w:rStyle w:val="TextoNormalCaracter"/>
          </w:rPr>
          <w:t>683/2023</w:t>
        </w:r>
      </w:hyperlink>
      <w:r>
        <w:t xml:space="preserve">, f. único; </w:t>
      </w:r>
      <w:hyperlink w:anchor="AUTO_2023_684" w:history="1">
        <w:r w:rsidRPr="00DA359F">
          <w:rPr>
            <w:rStyle w:val="TextoNormalCaracter"/>
          </w:rPr>
          <w:t>684/2023</w:t>
        </w:r>
      </w:hyperlink>
      <w:r>
        <w:t xml:space="preserve">, f. único; </w:t>
      </w:r>
      <w:hyperlink w:anchor="AUTO_2023_685" w:history="1">
        <w:r w:rsidRPr="00DA359F">
          <w:rPr>
            <w:rStyle w:val="TextoNormalCaracter"/>
          </w:rPr>
          <w:t>685/2023</w:t>
        </w:r>
      </w:hyperlink>
      <w:r>
        <w:t xml:space="preserve">, f. único; </w:t>
      </w:r>
      <w:hyperlink w:anchor="AUTO_2023_686" w:history="1">
        <w:r w:rsidRPr="00DA359F">
          <w:rPr>
            <w:rStyle w:val="TextoNormalCaracter"/>
          </w:rPr>
          <w:t>686/2023</w:t>
        </w:r>
      </w:hyperlink>
      <w:r>
        <w:t xml:space="preserve">, f. único; </w:t>
      </w:r>
      <w:hyperlink w:anchor="AUTO_2023_687" w:history="1">
        <w:r w:rsidRPr="00DA359F">
          <w:rPr>
            <w:rStyle w:val="TextoNormalCaracter"/>
          </w:rPr>
          <w:t>687/2023</w:t>
        </w:r>
      </w:hyperlink>
      <w:r>
        <w:t xml:space="preserve">, f. único; </w:t>
      </w:r>
      <w:hyperlink w:anchor="AUTO_2023_688" w:history="1">
        <w:r w:rsidRPr="00DA359F">
          <w:rPr>
            <w:rStyle w:val="TextoNormalCaracter"/>
          </w:rPr>
          <w:t>688/2023</w:t>
        </w:r>
      </w:hyperlink>
      <w:r>
        <w:t xml:space="preserve">, f. único; </w:t>
      </w:r>
      <w:hyperlink w:anchor="AUTO_2023_689" w:history="1">
        <w:r w:rsidRPr="00DA359F">
          <w:rPr>
            <w:rStyle w:val="TextoNormalCaracter"/>
          </w:rPr>
          <w:t>689/2023</w:t>
        </w:r>
      </w:hyperlink>
      <w:r>
        <w:t>, f. único.</w:t>
      </w:r>
    </w:p>
    <w:p w14:paraId="1F50F8BC" w14:textId="242EC84F" w:rsidR="00DA359F" w:rsidRDefault="00DA359F" w:rsidP="00DA359F">
      <w:pPr>
        <w:pStyle w:val="SangriaFrancesaArticulo"/>
      </w:pPr>
      <w:r w:rsidRPr="00DA359F">
        <w:rPr>
          <w:rStyle w:val="TextoNormalNegritaCaracter"/>
        </w:rPr>
        <w:t>Artículo 219.12.</w:t>
      </w:r>
      <w:r w:rsidRPr="00DA359F">
        <w:rPr>
          <w:rStyle w:val="TextoNormalCaracter"/>
        </w:rPr>
        <w:t>-</w:t>
      </w:r>
      <w:r>
        <w:t xml:space="preserve"> Autos </w:t>
      </w:r>
      <w:hyperlink w:anchor="AUTO_2023_483" w:history="1">
        <w:r w:rsidRPr="00DA359F">
          <w:rPr>
            <w:rStyle w:val="TextoNormalCaracter"/>
          </w:rPr>
          <w:t>483/2023</w:t>
        </w:r>
      </w:hyperlink>
      <w:r>
        <w:t xml:space="preserve">, ff. 1, 3; </w:t>
      </w:r>
      <w:hyperlink w:anchor="AUTO_2023_664" w:history="1">
        <w:r w:rsidRPr="00DA359F">
          <w:rPr>
            <w:rStyle w:val="TextoNormalCaracter"/>
          </w:rPr>
          <w:t>664/2023</w:t>
        </w:r>
      </w:hyperlink>
      <w:r>
        <w:t>, f. único.</w:t>
      </w:r>
    </w:p>
    <w:p w14:paraId="54E5A775" w14:textId="7F008E7A" w:rsidR="00DA359F" w:rsidRDefault="00DA359F" w:rsidP="00DA359F">
      <w:pPr>
        <w:pStyle w:val="SangriaFrancesaArticulo"/>
      </w:pPr>
      <w:r w:rsidRPr="00DA359F">
        <w:rPr>
          <w:rStyle w:val="TextoNormalNegritaCaracter"/>
        </w:rPr>
        <w:t>Artículo 219.13.</w:t>
      </w:r>
      <w:r w:rsidRPr="00DA359F">
        <w:rPr>
          <w:rStyle w:val="TextoNormalCaracter"/>
        </w:rPr>
        <w:t>-</w:t>
      </w:r>
      <w:r>
        <w:t xml:space="preserve"> Autos </w:t>
      </w:r>
      <w:hyperlink w:anchor="AUTO_2023_355" w:history="1">
        <w:r w:rsidRPr="00DA359F">
          <w:rPr>
            <w:rStyle w:val="TextoNormalCaracter"/>
          </w:rPr>
          <w:t>355/2023</w:t>
        </w:r>
      </w:hyperlink>
      <w:r>
        <w:t xml:space="preserve">, f. único; </w:t>
      </w:r>
      <w:hyperlink w:anchor="AUTO_2023_377" w:history="1">
        <w:r w:rsidRPr="00DA359F">
          <w:rPr>
            <w:rStyle w:val="TextoNormalCaracter"/>
          </w:rPr>
          <w:t>377/2023</w:t>
        </w:r>
      </w:hyperlink>
      <w:r>
        <w:t xml:space="preserve">, f. único; </w:t>
      </w:r>
      <w:hyperlink w:anchor="AUTO_2023_430" w:history="1">
        <w:r w:rsidRPr="00DA359F">
          <w:rPr>
            <w:rStyle w:val="TextoNormalCaracter"/>
          </w:rPr>
          <w:t>430/2023</w:t>
        </w:r>
      </w:hyperlink>
      <w:r>
        <w:t xml:space="preserve">, f. único; </w:t>
      </w:r>
      <w:hyperlink w:anchor="AUTO_2023_433" w:history="1">
        <w:r w:rsidRPr="00DA359F">
          <w:rPr>
            <w:rStyle w:val="TextoNormalCaracter"/>
          </w:rPr>
          <w:t>433/2023</w:t>
        </w:r>
      </w:hyperlink>
      <w:r>
        <w:t xml:space="preserve">, f. único; </w:t>
      </w:r>
      <w:hyperlink w:anchor="AUTO_2023_483" w:history="1">
        <w:r w:rsidRPr="00DA359F">
          <w:rPr>
            <w:rStyle w:val="TextoNormalCaracter"/>
          </w:rPr>
          <w:t>483/2023</w:t>
        </w:r>
      </w:hyperlink>
      <w:r>
        <w:t xml:space="preserve">, ff. 1, 3; </w:t>
      </w:r>
      <w:hyperlink w:anchor="AUTO_2023_484" w:history="1">
        <w:r w:rsidRPr="00DA359F">
          <w:rPr>
            <w:rStyle w:val="TextoNormalCaracter"/>
          </w:rPr>
          <w:t>484/2023</w:t>
        </w:r>
      </w:hyperlink>
      <w:r>
        <w:t xml:space="preserve">, f. 3; </w:t>
      </w:r>
      <w:hyperlink w:anchor="AUTO_2023_489" w:history="1">
        <w:r w:rsidRPr="00DA359F">
          <w:rPr>
            <w:rStyle w:val="TextoNormalCaracter"/>
          </w:rPr>
          <w:t>489/2023</w:t>
        </w:r>
      </w:hyperlink>
      <w:r>
        <w:t xml:space="preserve">, ff. 1, 4; </w:t>
      </w:r>
      <w:hyperlink w:anchor="AUTO_2023_504" w:history="1">
        <w:r w:rsidRPr="00DA359F">
          <w:rPr>
            <w:rStyle w:val="TextoNormalCaracter"/>
          </w:rPr>
          <w:t>504/2023</w:t>
        </w:r>
      </w:hyperlink>
      <w:r>
        <w:t xml:space="preserve">, f. único; </w:t>
      </w:r>
      <w:hyperlink w:anchor="AUTO_2023_529" w:history="1">
        <w:r w:rsidRPr="00DA359F">
          <w:rPr>
            <w:rStyle w:val="TextoNormalCaracter"/>
          </w:rPr>
          <w:t>529/2023</w:t>
        </w:r>
      </w:hyperlink>
      <w:r>
        <w:t xml:space="preserve">, f. único; </w:t>
      </w:r>
      <w:hyperlink w:anchor="AUTO_2023_645" w:history="1">
        <w:r w:rsidRPr="00DA359F">
          <w:rPr>
            <w:rStyle w:val="TextoNormalCaracter"/>
          </w:rPr>
          <w:t>645/2023</w:t>
        </w:r>
      </w:hyperlink>
      <w:r>
        <w:t xml:space="preserve">, f. único; </w:t>
      </w:r>
      <w:hyperlink w:anchor="AUTO_2023_664" w:history="1">
        <w:r w:rsidRPr="00DA359F">
          <w:rPr>
            <w:rStyle w:val="TextoNormalCaracter"/>
          </w:rPr>
          <w:t>664/2023</w:t>
        </w:r>
      </w:hyperlink>
      <w:r>
        <w:t xml:space="preserve">, f. único; </w:t>
      </w:r>
      <w:hyperlink w:anchor="AUTO_2023_665" w:history="1">
        <w:r w:rsidRPr="00DA359F">
          <w:rPr>
            <w:rStyle w:val="TextoNormalCaracter"/>
          </w:rPr>
          <w:t>665/2023</w:t>
        </w:r>
      </w:hyperlink>
      <w:r>
        <w:t>, f. 1.</w:t>
      </w:r>
    </w:p>
    <w:p w14:paraId="2DDDE1F2" w14:textId="45BE6025" w:rsidR="00DA359F" w:rsidRDefault="00DA359F" w:rsidP="00DA359F">
      <w:pPr>
        <w:pStyle w:val="SangriaFrancesaArticulo"/>
      </w:pPr>
      <w:r w:rsidRPr="00DA359F">
        <w:rPr>
          <w:rStyle w:val="TextoNormalNegritaCaracter"/>
        </w:rPr>
        <w:t>Artículo 219.14.</w:t>
      </w:r>
      <w:r w:rsidRPr="00DA359F">
        <w:rPr>
          <w:rStyle w:val="TextoNormalCaracter"/>
        </w:rPr>
        <w:t>-</w:t>
      </w:r>
      <w:r>
        <w:t xml:space="preserve"> Autos </w:t>
      </w:r>
      <w:hyperlink w:anchor="AUTO_2023_374" w:history="1">
        <w:r w:rsidRPr="00DA359F">
          <w:rPr>
            <w:rStyle w:val="TextoNormalCaracter"/>
          </w:rPr>
          <w:t>374/2023</w:t>
        </w:r>
      </w:hyperlink>
      <w:r>
        <w:t xml:space="preserve">, f. único; </w:t>
      </w:r>
      <w:hyperlink w:anchor="AUTO_2023_483" w:history="1">
        <w:r w:rsidRPr="00DA359F">
          <w:rPr>
            <w:rStyle w:val="TextoNormalCaracter"/>
          </w:rPr>
          <w:t>483/2023</w:t>
        </w:r>
      </w:hyperlink>
      <w:r>
        <w:t xml:space="preserve">, f. 1; </w:t>
      </w:r>
      <w:hyperlink w:anchor="AUTO_2023_664" w:history="1">
        <w:r w:rsidRPr="00DA359F">
          <w:rPr>
            <w:rStyle w:val="TextoNormalCaracter"/>
          </w:rPr>
          <w:t>664/2023</w:t>
        </w:r>
      </w:hyperlink>
      <w:r>
        <w:t xml:space="preserve">, f. único; </w:t>
      </w:r>
      <w:hyperlink w:anchor="AUTO_2023_665" w:history="1">
        <w:r w:rsidRPr="00DA359F">
          <w:rPr>
            <w:rStyle w:val="TextoNormalCaracter"/>
          </w:rPr>
          <w:t>665/2023</w:t>
        </w:r>
      </w:hyperlink>
      <w:r>
        <w:t>, f. 1.</w:t>
      </w:r>
    </w:p>
    <w:p w14:paraId="1CF2C2CD" w14:textId="4845E917" w:rsidR="00DA359F" w:rsidRDefault="00DA359F" w:rsidP="00DA359F">
      <w:pPr>
        <w:pStyle w:val="SangriaFrancesaArticulo"/>
      </w:pPr>
      <w:r w:rsidRPr="00DA359F">
        <w:rPr>
          <w:rStyle w:val="TextoNormalNegritaCaracter"/>
        </w:rPr>
        <w:t>Artículo 219.15.</w:t>
      </w:r>
      <w:r w:rsidRPr="00DA359F">
        <w:rPr>
          <w:rStyle w:val="TextoNormalCaracter"/>
        </w:rPr>
        <w:t>-</w:t>
      </w:r>
      <w:r>
        <w:t xml:space="preserve"> Autos </w:t>
      </w:r>
      <w:hyperlink w:anchor="AUTO_2023_374" w:history="1">
        <w:r w:rsidRPr="00DA359F">
          <w:rPr>
            <w:rStyle w:val="TextoNormalCaracter"/>
          </w:rPr>
          <w:t>374/2023</w:t>
        </w:r>
      </w:hyperlink>
      <w:r>
        <w:t xml:space="preserve">, f. único; </w:t>
      </w:r>
      <w:hyperlink w:anchor="AUTO_2023_478" w:history="1">
        <w:r w:rsidRPr="00DA359F">
          <w:rPr>
            <w:rStyle w:val="TextoNormalCaracter"/>
          </w:rPr>
          <w:t>478/2023</w:t>
        </w:r>
      </w:hyperlink>
      <w:r>
        <w:t xml:space="preserve">, f. único; </w:t>
      </w:r>
      <w:hyperlink w:anchor="AUTO_2023_483" w:history="1">
        <w:r w:rsidRPr="00DA359F">
          <w:rPr>
            <w:rStyle w:val="TextoNormalCaracter"/>
          </w:rPr>
          <w:t>483/2023</w:t>
        </w:r>
      </w:hyperlink>
      <w:r>
        <w:t xml:space="preserve">, f. 1; </w:t>
      </w:r>
      <w:hyperlink w:anchor="AUTO_2023_597" w:history="1">
        <w:r w:rsidRPr="00DA359F">
          <w:rPr>
            <w:rStyle w:val="TextoNormalCaracter"/>
          </w:rPr>
          <w:t>597/2023</w:t>
        </w:r>
      </w:hyperlink>
      <w:r>
        <w:t>, f. único.</w:t>
      </w:r>
    </w:p>
    <w:p w14:paraId="646B1023" w14:textId="544D83B3" w:rsidR="00DA359F" w:rsidRDefault="00DA359F" w:rsidP="00DA359F">
      <w:pPr>
        <w:pStyle w:val="SangriaFrancesaArticulo"/>
      </w:pPr>
      <w:r w:rsidRPr="00DA359F">
        <w:rPr>
          <w:rStyle w:val="TextoNormalNegritaCaracter"/>
        </w:rPr>
        <w:t>Artículo 219.16.</w:t>
      </w:r>
      <w:r w:rsidRPr="00DA359F">
        <w:rPr>
          <w:rStyle w:val="TextoNormalCaracter"/>
        </w:rPr>
        <w:t>-</w:t>
      </w:r>
      <w:r>
        <w:t xml:space="preserve"> Autos </w:t>
      </w:r>
      <w:hyperlink w:anchor="AUTO_2023_449" w:history="1">
        <w:r w:rsidRPr="00DA359F">
          <w:rPr>
            <w:rStyle w:val="TextoNormalCaracter"/>
          </w:rPr>
          <w:t>449/2023</w:t>
        </w:r>
      </w:hyperlink>
      <w:r>
        <w:t xml:space="preserve">, f. único; </w:t>
      </w:r>
      <w:hyperlink w:anchor="AUTO_2023_484" w:history="1">
        <w:r w:rsidRPr="00DA359F">
          <w:rPr>
            <w:rStyle w:val="TextoNormalCaracter"/>
          </w:rPr>
          <w:t>484/2023</w:t>
        </w:r>
      </w:hyperlink>
      <w:r>
        <w:t xml:space="preserve">, f. 3; </w:t>
      </w:r>
      <w:hyperlink w:anchor="AUTO_2023_489" w:history="1">
        <w:r w:rsidRPr="00DA359F">
          <w:rPr>
            <w:rStyle w:val="TextoNormalCaracter"/>
          </w:rPr>
          <w:t>489/2023</w:t>
        </w:r>
      </w:hyperlink>
      <w:r>
        <w:t xml:space="preserve">, ff. 1, 4, 5; </w:t>
      </w:r>
      <w:hyperlink w:anchor="AUTO_2023_665" w:history="1">
        <w:r w:rsidRPr="00DA359F">
          <w:rPr>
            <w:rStyle w:val="TextoNormalCaracter"/>
          </w:rPr>
          <w:t>665/2023</w:t>
        </w:r>
      </w:hyperlink>
      <w:r>
        <w:t>, f. 1.</w:t>
      </w:r>
    </w:p>
    <w:p w14:paraId="1EE6264E" w14:textId="564A7C62" w:rsidR="00DA359F" w:rsidRDefault="00DA359F" w:rsidP="00DA359F">
      <w:pPr>
        <w:pStyle w:val="SangriaFrancesaArticulo"/>
      </w:pPr>
      <w:r w:rsidRPr="00DA359F">
        <w:rPr>
          <w:rStyle w:val="TextoNormalNegritaCaracter"/>
        </w:rPr>
        <w:t>Artículo 221.4.</w:t>
      </w:r>
      <w:r w:rsidRPr="00DA359F">
        <w:rPr>
          <w:rStyle w:val="TextoNormalCaracter"/>
        </w:rPr>
        <w:t>-</w:t>
      </w:r>
      <w:r>
        <w:t xml:space="preserve"> Autos </w:t>
      </w:r>
      <w:hyperlink w:anchor="AUTO_2023_332" w:history="1">
        <w:r w:rsidRPr="00DA359F">
          <w:rPr>
            <w:rStyle w:val="TextoNormalCaracter"/>
          </w:rPr>
          <w:t>332/2023</w:t>
        </w:r>
      </w:hyperlink>
      <w:r>
        <w:t xml:space="preserve">, f. único; </w:t>
      </w:r>
      <w:hyperlink w:anchor="AUTO_2023_333" w:history="1">
        <w:r w:rsidRPr="00DA359F">
          <w:rPr>
            <w:rStyle w:val="TextoNormalCaracter"/>
          </w:rPr>
          <w:t>333/2023</w:t>
        </w:r>
      </w:hyperlink>
      <w:r>
        <w:t xml:space="preserve">, f. único; </w:t>
      </w:r>
      <w:hyperlink w:anchor="AUTO_2023_335" w:history="1">
        <w:r w:rsidRPr="00DA359F">
          <w:rPr>
            <w:rStyle w:val="TextoNormalCaracter"/>
          </w:rPr>
          <w:t>335/2023</w:t>
        </w:r>
      </w:hyperlink>
      <w:r>
        <w:t xml:space="preserve">, f. único; </w:t>
      </w:r>
      <w:hyperlink w:anchor="AUTO_2023_336" w:history="1">
        <w:r w:rsidRPr="00DA359F">
          <w:rPr>
            <w:rStyle w:val="TextoNormalCaracter"/>
          </w:rPr>
          <w:t>336/2023</w:t>
        </w:r>
      </w:hyperlink>
      <w:r>
        <w:t xml:space="preserve">, f. único; </w:t>
      </w:r>
      <w:hyperlink w:anchor="AUTO_2023_337" w:history="1">
        <w:r w:rsidRPr="00DA359F">
          <w:rPr>
            <w:rStyle w:val="TextoNormalCaracter"/>
          </w:rPr>
          <w:t>337/2023</w:t>
        </w:r>
      </w:hyperlink>
      <w:r>
        <w:t xml:space="preserve">, f. único; </w:t>
      </w:r>
      <w:hyperlink w:anchor="AUTO_2023_339" w:history="1">
        <w:r w:rsidRPr="00DA359F">
          <w:rPr>
            <w:rStyle w:val="TextoNormalCaracter"/>
          </w:rPr>
          <w:t>339/2023</w:t>
        </w:r>
      </w:hyperlink>
      <w:r>
        <w:t xml:space="preserve">, f. único; </w:t>
      </w:r>
      <w:hyperlink w:anchor="AUTO_2023_340" w:history="1">
        <w:r w:rsidRPr="00DA359F">
          <w:rPr>
            <w:rStyle w:val="TextoNormalCaracter"/>
          </w:rPr>
          <w:t>340/2023</w:t>
        </w:r>
      </w:hyperlink>
      <w:r>
        <w:t xml:space="preserve">, f. único; </w:t>
      </w:r>
      <w:hyperlink w:anchor="AUTO_2023_341" w:history="1">
        <w:r w:rsidRPr="00DA359F">
          <w:rPr>
            <w:rStyle w:val="TextoNormalCaracter"/>
          </w:rPr>
          <w:t>341/2023</w:t>
        </w:r>
      </w:hyperlink>
      <w:r>
        <w:t xml:space="preserve">, f. único; </w:t>
      </w:r>
      <w:hyperlink w:anchor="AUTO_2023_342" w:history="1">
        <w:r w:rsidRPr="00DA359F">
          <w:rPr>
            <w:rStyle w:val="TextoNormalCaracter"/>
          </w:rPr>
          <w:t>342/2023</w:t>
        </w:r>
      </w:hyperlink>
      <w:r>
        <w:t xml:space="preserve">, f. único; </w:t>
      </w:r>
      <w:hyperlink w:anchor="AUTO_2023_343" w:history="1">
        <w:r w:rsidRPr="00DA359F">
          <w:rPr>
            <w:rStyle w:val="TextoNormalCaracter"/>
          </w:rPr>
          <w:t>343/2023</w:t>
        </w:r>
      </w:hyperlink>
      <w:r>
        <w:t xml:space="preserve">, f. único; </w:t>
      </w:r>
      <w:hyperlink w:anchor="AUTO_2023_344" w:history="1">
        <w:r w:rsidRPr="00DA359F">
          <w:rPr>
            <w:rStyle w:val="TextoNormalCaracter"/>
          </w:rPr>
          <w:t>344/2023</w:t>
        </w:r>
      </w:hyperlink>
      <w:r>
        <w:t xml:space="preserve">, f. único; </w:t>
      </w:r>
      <w:hyperlink w:anchor="AUTO_2023_345" w:history="1">
        <w:r w:rsidRPr="00DA359F">
          <w:rPr>
            <w:rStyle w:val="TextoNormalCaracter"/>
          </w:rPr>
          <w:t>345/2023</w:t>
        </w:r>
      </w:hyperlink>
      <w:r>
        <w:t xml:space="preserve">, f. único; </w:t>
      </w:r>
      <w:hyperlink w:anchor="AUTO_2023_346" w:history="1">
        <w:r w:rsidRPr="00DA359F">
          <w:rPr>
            <w:rStyle w:val="TextoNormalCaracter"/>
          </w:rPr>
          <w:t>346/2023</w:t>
        </w:r>
      </w:hyperlink>
      <w:r>
        <w:t xml:space="preserve">, f. único; </w:t>
      </w:r>
      <w:hyperlink w:anchor="AUTO_2023_347" w:history="1">
        <w:r w:rsidRPr="00DA359F">
          <w:rPr>
            <w:rStyle w:val="TextoNormalCaracter"/>
          </w:rPr>
          <w:t>347/2023</w:t>
        </w:r>
      </w:hyperlink>
      <w:r>
        <w:t xml:space="preserve">, f. único; </w:t>
      </w:r>
      <w:hyperlink w:anchor="AUTO_2023_348" w:history="1">
        <w:r w:rsidRPr="00DA359F">
          <w:rPr>
            <w:rStyle w:val="TextoNormalCaracter"/>
          </w:rPr>
          <w:t>348/2023</w:t>
        </w:r>
      </w:hyperlink>
      <w:r>
        <w:t xml:space="preserve">, f. único; </w:t>
      </w:r>
      <w:hyperlink w:anchor="AUTO_2023_349" w:history="1">
        <w:r w:rsidRPr="00DA359F">
          <w:rPr>
            <w:rStyle w:val="TextoNormalCaracter"/>
          </w:rPr>
          <w:t>349/2023</w:t>
        </w:r>
      </w:hyperlink>
      <w:r>
        <w:t xml:space="preserve">, f. único; </w:t>
      </w:r>
      <w:hyperlink w:anchor="AUTO_2023_350" w:history="1">
        <w:r w:rsidRPr="00DA359F">
          <w:rPr>
            <w:rStyle w:val="TextoNormalCaracter"/>
          </w:rPr>
          <w:t>350/2023</w:t>
        </w:r>
      </w:hyperlink>
      <w:r>
        <w:t xml:space="preserve">, f. único; </w:t>
      </w:r>
      <w:hyperlink w:anchor="AUTO_2023_351" w:history="1">
        <w:r w:rsidRPr="00DA359F">
          <w:rPr>
            <w:rStyle w:val="TextoNormalCaracter"/>
          </w:rPr>
          <w:t>351/2023</w:t>
        </w:r>
      </w:hyperlink>
      <w:r>
        <w:t xml:space="preserve">, f. único; </w:t>
      </w:r>
      <w:hyperlink w:anchor="AUTO_2023_352" w:history="1">
        <w:r w:rsidRPr="00DA359F">
          <w:rPr>
            <w:rStyle w:val="TextoNormalCaracter"/>
          </w:rPr>
          <w:t>352/2023</w:t>
        </w:r>
      </w:hyperlink>
      <w:r>
        <w:t xml:space="preserve">, f. único; </w:t>
      </w:r>
      <w:hyperlink w:anchor="AUTO_2023_355" w:history="1">
        <w:r w:rsidRPr="00DA359F">
          <w:rPr>
            <w:rStyle w:val="TextoNormalCaracter"/>
          </w:rPr>
          <w:t>355/2023</w:t>
        </w:r>
      </w:hyperlink>
      <w:r>
        <w:t xml:space="preserve">, f. único; </w:t>
      </w:r>
      <w:hyperlink w:anchor="AUTO_2023_356" w:history="1">
        <w:r w:rsidRPr="00DA359F">
          <w:rPr>
            <w:rStyle w:val="TextoNormalCaracter"/>
          </w:rPr>
          <w:t>356/2023</w:t>
        </w:r>
      </w:hyperlink>
      <w:r>
        <w:t xml:space="preserve">, f. único; </w:t>
      </w:r>
      <w:hyperlink w:anchor="AUTO_2023_357" w:history="1">
        <w:r w:rsidRPr="00DA359F">
          <w:rPr>
            <w:rStyle w:val="TextoNormalCaracter"/>
          </w:rPr>
          <w:t>357/2023</w:t>
        </w:r>
      </w:hyperlink>
      <w:r>
        <w:t xml:space="preserve">, f. único; </w:t>
      </w:r>
      <w:hyperlink w:anchor="AUTO_2023_358" w:history="1">
        <w:r w:rsidRPr="00DA359F">
          <w:rPr>
            <w:rStyle w:val="TextoNormalCaracter"/>
          </w:rPr>
          <w:t>358/2023</w:t>
        </w:r>
      </w:hyperlink>
      <w:r>
        <w:t xml:space="preserve">, f. único; </w:t>
      </w:r>
      <w:hyperlink w:anchor="AUTO_2023_359" w:history="1">
        <w:r w:rsidRPr="00DA359F">
          <w:rPr>
            <w:rStyle w:val="TextoNormalCaracter"/>
          </w:rPr>
          <w:t>359/2023</w:t>
        </w:r>
      </w:hyperlink>
      <w:r>
        <w:t xml:space="preserve">, f. único; </w:t>
      </w:r>
      <w:hyperlink w:anchor="AUTO_2023_360" w:history="1">
        <w:r w:rsidRPr="00DA359F">
          <w:rPr>
            <w:rStyle w:val="TextoNormalCaracter"/>
          </w:rPr>
          <w:t>360/2023</w:t>
        </w:r>
      </w:hyperlink>
      <w:r>
        <w:t xml:space="preserve">, f. único; </w:t>
      </w:r>
      <w:hyperlink w:anchor="AUTO_2023_361" w:history="1">
        <w:r w:rsidRPr="00DA359F">
          <w:rPr>
            <w:rStyle w:val="TextoNormalCaracter"/>
          </w:rPr>
          <w:t>361/2023</w:t>
        </w:r>
      </w:hyperlink>
      <w:r>
        <w:t xml:space="preserve">, f. único; </w:t>
      </w:r>
      <w:hyperlink w:anchor="AUTO_2023_362" w:history="1">
        <w:r w:rsidRPr="00DA359F">
          <w:rPr>
            <w:rStyle w:val="TextoNormalCaracter"/>
          </w:rPr>
          <w:t>362/2023</w:t>
        </w:r>
      </w:hyperlink>
      <w:r>
        <w:t xml:space="preserve">, f. único; </w:t>
      </w:r>
      <w:hyperlink w:anchor="AUTO_2023_363" w:history="1">
        <w:r w:rsidRPr="00DA359F">
          <w:rPr>
            <w:rStyle w:val="TextoNormalCaracter"/>
          </w:rPr>
          <w:t>363/2023</w:t>
        </w:r>
      </w:hyperlink>
      <w:r>
        <w:t xml:space="preserve">, f. único; </w:t>
      </w:r>
      <w:hyperlink w:anchor="AUTO_2023_364" w:history="1">
        <w:r w:rsidRPr="00DA359F">
          <w:rPr>
            <w:rStyle w:val="TextoNormalCaracter"/>
          </w:rPr>
          <w:t>364/2023</w:t>
        </w:r>
      </w:hyperlink>
      <w:r>
        <w:t xml:space="preserve">, f. único; </w:t>
      </w:r>
      <w:hyperlink w:anchor="AUTO_2023_365" w:history="1">
        <w:r w:rsidRPr="00DA359F">
          <w:rPr>
            <w:rStyle w:val="TextoNormalCaracter"/>
          </w:rPr>
          <w:t>365/2023</w:t>
        </w:r>
      </w:hyperlink>
      <w:r>
        <w:t xml:space="preserve">, f. único; </w:t>
      </w:r>
      <w:hyperlink w:anchor="AUTO_2023_366" w:history="1">
        <w:r w:rsidRPr="00DA359F">
          <w:rPr>
            <w:rStyle w:val="TextoNormalCaracter"/>
          </w:rPr>
          <w:t>366/2023</w:t>
        </w:r>
      </w:hyperlink>
      <w:r>
        <w:t xml:space="preserve">, f. único; </w:t>
      </w:r>
      <w:hyperlink w:anchor="AUTO_2023_367" w:history="1">
        <w:r w:rsidRPr="00DA359F">
          <w:rPr>
            <w:rStyle w:val="TextoNormalCaracter"/>
          </w:rPr>
          <w:t>367/2023</w:t>
        </w:r>
      </w:hyperlink>
      <w:r>
        <w:t xml:space="preserve">, f. único; </w:t>
      </w:r>
      <w:hyperlink w:anchor="AUTO_2023_368" w:history="1">
        <w:r w:rsidRPr="00DA359F">
          <w:rPr>
            <w:rStyle w:val="TextoNormalCaracter"/>
          </w:rPr>
          <w:t>368/2023</w:t>
        </w:r>
      </w:hyperlink>
      <w:r>
        <w:t xml:space="preserve">, f. único; </w:t>
      </w:r>
      <w:hyperlink w:anchor="AUTO_2023_369" w:history="1">
        <w:r w:rsidRPr="00DA359F">
          <w:rPr>
            <w:rStyle w:val="TextoNormalCaracter"/>
          </w:rPr>
          <w:t>369/2023</w:t>
        </w:r>
      </w:hyperlink>
      <w:r>
        <w:t xml:space="preserve">, f. único; </w:t>
      </w:r>
      <w:hyperlink w:anchor="AUTO_2023_371" w:history="1">
        <w:r w:rsidRPr="00DA359F">
          <w:rPr>
            <w:rStyle w:val="TextoNormalCaracter"/>
          </w:rPr>
          <w:t>371/2023</w:t>
        </w:r>
      </w:hyperlink>
      <w:r>
        <w:t xml:space="preserve">, f. único; </w:t>
      </w:r>
      <w:hyperlink w:anchor="AUTO_2023_372" w:history="1">
        <w:r w:rsidRPr="00DA359F">
          <w:rPr>
            <w:rStyle w:val="TextoNormalCaracter"/>
          </w:rPr>
          <w:t>372/2023</w:t>
        </w:r>
      </w:hyperlink>
      <w:r>
        <w:t xml:space="preserve">, f. único; </w:t>
      </w:r>
      <w:hyperlink w:anchor="AUTO_2023_373" w:history="1">
        <w:r w:rsidRPr="00DA359F">
          <w:rPr>
            <w:rStyle w:val="TextoNormalCaracter"/>
          </w:rPr>
          <w:t>373/2023</w:t>
        </w:r>
      </w:hyperlink>
      <w:r>
        <w:t xml:space="preserve">, f. único; </w:t>
      </w:r>
      <w:hyperlink w:anchor="AUTO_2023_374" w:history="1">
        <w:r w:rsidRPr="00DA359F">
          <w:rPr>
            <w:rStyle w:val="TextoNormalCaracter"/>
          </w:rPr>
          <w:t>374/2023</w:t>
        </w:r>
      </w:hyperlink>
      <w:r>
        <w:t xml:space="preserve">, f. único; </w:t>
      </w:r>
      <w:hyperlink w:anchor="AUTO_2023_377" w:history="1">
        <w:r w:rsidRPr="00DA359F">
          <w:rPr>
            <w:rStyle w:val="TextoNormalCaracter"/>
          </w:rPr>
          <w:t>377/2023</w:t>
        </w:r>
      </w:hyperlink>
      <w:r>
        <w:t xml:space="preserve">, f. único; </w:t>
      </w:r>
      <w:hyperlink w:anchor="AUTO_2023_379" w:history="1">
        <w:r w:rsidRPr="00DA359F">
          <w:rPr>
            <w:rStyle w:val="TextoNormalCaracter"/>
          </w:rPr>
          <w:t>379/2023</w:t>
        </w:r>
      </w:hyperlink>
      <w:r>
        <w:t xml:space="preserve">, f. único; </w:t>
      </w:r>
      <w:hyperlink w:anchor="AUTO_2023_380" w:history="1">
        <w:r w:rsidRPr="00DA359F">
          <w:rPr>
            <w:rStyle w:val="TextoNormalCaracter"/>
          </w:rPr>
          <w:t>380/2023</w:t>
        </w:r>
      </w:hyperlink>
      <w:r>
        <w:t xml:space="preserve">, f. único; </w:t>
      </w:r>
      <w:hyperlink w:anchor="AUTO_2023_381" w:history="1">
        <w:r w:rsidRPr="00DA359F">
          <w:rPr>
            <w:rStyle w:val="TextoNormalCaracter"/>
          </w:rPr>
          <w:t>381/2023</w:t>
        </w:r>
      </w:hyperlink>
      <w:r>
        <w:t xml:space="preserve">, f. único; </w:t>
      </w:r>
      <w:hyperlink w:anchor="AUTO_2023_382" w:history="1">
        <w:r w:rsidRPr="00DA359F">
          <w:rPr>
            <w:rStyle w:val="TextoNormalCaracter"/>
          </w:rPr>
          <w:t>382/2023</w:t>
        </w:r>
      </w:hyperlink>
      <w:r>
        <w:t xml:space="preserve">, f. único; </w:t>
      </w:r>
      <w:hyperlink w:anchor="AUTO_2023_383" w:history="1">
        <w:r w:rsidRPr="00DA359F">
          <w:rPr>
            <w:rStyle w:val="TextoNormalCaracter"/>
          </w:rPr>
          <w:t>383/2023</w:t>
        </w:r>
      </w:hyperlink>
      <w:r>
        <w:t xml:space="preserve">, f. único; </w:t>
      </w:r>
      <w:hyperlink w:anchor="AUTO_2023_384" w:history="1">
        <w:r w:rsidRPr="00DA359F">
          <w:rPr>
            <w:rStyle w:val="TextoNormalCaracter"/>
          </w:rPr>
          <w:t>384/2023</w:t>
        </w:r>
      </w:hyperlink>
      <w:r>
        <w:t xml:space="preserve">, f. único; </w:t>
      </w:r>
      <w:hyperlink w:anchor="AUTO_2023_385" w:history="1">
        <w:r w:rsidRPr="00DA359F">
          <w:rPr>
            <w:rStyle w:val="TextoNormalCaracter"/>
          </w:rPr>
          <w:t>385/2023</w:t>
        </w:r>
      </w:hyperlink>
      <w:r>
        <w:t xml:space="preserve">, f. único; </w:t>
      </w:r>
      <w:hyperlink w:anchor="AUTO_2023_386" w:history="1">
        <w:r w:rsidRPr="00DA359F">
          <w:rPr>
            <w:rStyle w:val="TextoNormalCaracter"/>
          </w:rPr>
          <w:t>386/2023</w:t>
        </w:r>
      </w:hyperlink>
      <w:r>
        <w:t xml:space="preserve">, f. único; </w:t>
      </w:r>
      <w:hyperlink w:anchor="AUTO_2023_387" w:history="1">
        <w:r w:rsidRPr="00DA359F">
          <w:rPr>
            <w:rStyle w:val="TextoNormalCaracter"/>
          </w:rPr>
          <w:t>387/2023</w:t>
        </w:r>
      </w:hyperlink>
      <w:r>
        <w:t xml:space="preserve">, f. único; </w:t>
      </w:r>
      <w:hyperlink w:anchor="AUTO_2023_388" w:history="1">
        <w:r w:rsidRPr="00DA359F">
          <w:rPr>
            <w:rStyle w:val="TextoNormalCaracter"/>
          </w:rPr>
          <w:t>388/2023</w:t>
        </w:r>
      </w:hyperlink>
      <w:r>
        <w:t xml:space="preserve">, f. único; </w:t>
      </w:r>
      <w:hyperlink w:anchor="AUTO_2023_389" w:history="1">
        <w:r w:rsidRPr="00DA359F">
          <w:rPr>
            <w:rStyle w:val="TextoNormalCaracter"/>
          </w:rPr>
          <w:t>389/2023</w:t>
        </w:r>
      </w:hyperlink>
      <w:r>
        <w:t xml:space="preserve">, f. único; </w:t>
      </w:r>
      <w:hyperlink w:anchor="AUTO_2023_390" w:history="1">
        <w:r w:rsidRPr="00DA359F">
          <w:rPr>
            <w:rStyle w:val="TextoNormalCaracter"/>
          </w:rPr>
          <w:t>390/2023</w:t>
        </w:r>
      </w:hyperlink>
      <w:r>
        <w:t xml:space="preserve">, f. único; </w:t>
      </w:r>
      <w:hyperlink w:anchor="AUTO_2023_391" w:history="1">
        <w:r w:rsidRPr="00DA359F">
          <w:rPr>
            <w:rStyle w:val="TextoNormalCaracter"/>
          </w:rPr>
          <w:t>391/2023</w:t>
        </w:r>
      </w:hyperlink>
      <w:r>
        <w:t xml:space="preserve">, f. único; </w:t>
      </w:r>
      <w:hyperlink w:anchor="AUTO_2023_392" w:history="1">
        <w:r w:rsidRPr="00DA359F">
          <w:rPr>
            <w:rStyle w:val="TextoNormalCaracter"/>
          </w:rPr>
          <w:t>392/2023</w:t>
        </w:r>
      </w:hyperlink>
      <w:r>
        <w:t xml:space="preserve">, f. único; </w:t>
      </w:r>
      <w:hyperlink w:anchor="AUTO_2023_393" w:history="1">
        <w:r w:rsidRPr="00DA359F">
          <w:rPr>
            <w:rStyle w:val="TextoNormalCaracter"/>
          </w:rPr>
          <w:t>393/2023</w:t>
        </w:r>
      </w:hyperlink>
      <w:r>
        <w:t xml:space="preserve">, f. único; </w:t>
      </w:r>
      <w:hyperlink w:anchor="AUTO_2023_394" w:history="1">
        <w:r w:rsidRPr="00DA359F">
          <w:rPr>
            <w:rStyle w:val="TextoNormalCaracter"/>
          </w:rPr>
          <w:t>394/2023</w:t>
        </w:r>
      </w:hyperlink>
      <w:r>
        <w:t xml:space="preserve">, f. único; </w:t>
      </w:r>
      <w:hyperlink w:anchor="AUTO_2023_395" w:history="1">
        <w:r w:rsidRPr="00DA359F">
          <w:rPr>
            <w:rStyle w:val="TextoNormalCaracter"/>
          </w:rPr>
          <w:t>395/2023</w:t>
        </w:r>
      </w:hyperlink>
      <w:r>
        <w:t xml:space="preserve">, f. único; </w:t>
      </w:r>
      <w:hyperlink w:anchor="AUTO_2023_396" w:history="1">
        <w:r w:rsidRPr="00DA359F">
          <w:rPr>
            <w:rStyle w:val="TextoNormalCaracter"/>
          </w:rPr>
          <w:t>396/2023</w:t>
        </w:r>
      </w:hyperlink>
      <w:r>
        <w:t xml:space="preserve">, f. único; </w:t>
      </w:r>
      <w:hyperlink w:anchor="AUTO_2023_397" w:history="1">
        <w:r w:rsidRPr="00DA359F">
          <w:rPr>
            <w:rStyle w:val="TextoNormalCaracter"/>
          </w:rPr>
          <w:t>397/2023</w:t>
        </w:r>
      </w:hyperlink>
      <w:r>
        <w:t xml:space="preserve">, f. único; </w:t>
      </w:r>
      <w:hyperlink w:anchor="AUTO_2023_398" w:history="1">
        <w:r w:rsidRPr="00DA359F">
          <w:rPr>
            <w:rStyle w:val="TextoNormalCaracter"/>
          </w:rPr>
          <w:t>398/2023</w:t>
        </w:r>
      </w:hyperlink>
      <w:r>
        <w:t xml:space="preserve">, f. único; </w:t>
      </w:r>
      <w:hyperlink w:anchor="AUTO_2023_399" w:history="1">
        <w:r w:rsidRPr="00DA359F">
          <w:rPr>
            <w:rStyle w:val="TextoNormalCaracter"/>
          </w:rPr>
          <w:t>399/2023</w:t>
        </w:r>
      </w:hyperlink>
      <w:r>
        <w:t xml:space="preserve">, f. único; </w:t>
      </w:r>
      <w:hyperlink w:anchor="AUTO_2023_400" w:history="1">
        <w:r w:rsidRPr="00DA359F">
          <w:rPr>
            <w:rStyle w:val="TextoNormalCaracter"/>
          </w:rPr>
          <w:t>400/2023</w:t>
        </w:r>
      </w:hyperlink>
      <w:r>
        <w:t xml:space="preserve">, f. único; </w:t>
      </w:r>
      <w:hyperlink w:anchor="AUTO_2023_401" w:history="1">
        <w:r w:rsidRPr="00DA359F">
          <w:rPr>
            <w:rStyle w:val="TextoNormalCaracter"/>
          </w:rPr>
          <w:t>401/2023</w:t>
        </w:r>
      </w:hyperlink>
      <w:r>
        <w:t xml:space="preserve">, f. único; </w:t>
      </w:r>
      <w:hyperlink w:anchor="AUTO_2023_402" w:history="1">
        <w:r w:rsidRPr="00DA359F">
          <w:rPr>
            <w:rStyle w:val="TextoNormalCaracter"/>
          </w:rPr>
          <w:t>402/2023</w:t>
        </w:r>
      </w:hyperlink>
      <w:r>
        <w:t xml:space="preserve">, f. único; </w:t>
      </w:r>
      <w:hyperlink w:anchor="AUTO_2023_403" w:history="1">
        <w:r w:rsidRPr="00DA359F">
          <w:rPr>
            <w:rStyle w:val="TextoNormalCaracter"/>
          </w:rPr>
          <w:t>403/2023</w:t>
        </w:r>
      </w:hyperlink>
      <w:r>
        <w:t xml:space="preserve">, f. único; </w:t>
      </w:r>
      <w:hyperlink w:anchor="AUTO_2023_404" w:history="1">
        <w:r w:rsidRPr="00DA359F">
          <w:rPr>
            <w:rStyle w:val="TextoNormalCaracter"/>
          </w:rPr>
          <w:t>404/2023</w:t>
        </w:r>
      </w:hyperlink>
      <w:r>
        <w:t xml:space="preserve">, f. único; </w:t>
      </w:r>
      <w:hyperlink w:anchor="AUTO_2023_405" w:history="1">
        <w:r w:rsidRPr="00DA359F">
          <w:rPr>
            <w:rStyle w:val="TextoNormalCaracter"/>
          </w:rPr>
          <w:t>405/2023</w:t>
        </w:r>
      </w:hyperlink>
      <w:r>
        <w:t xml:space="preserve">, f. único; </w:t>
      </w:r>
      <w:hyperlink w:anchor="AUTO_2023_406" w:history="1">
        <w:r w:rsidRPr="00DA359F">
          <w:rPr>
            <w:rStyle w:val="TextoNormalCaracter"/>
          </w:rPr>
          <w:t>406/2023</w:t>
        </w:r>
      </w:hyperlink>
      <w:r>
        <w:t xml:space="preserve">, f. único; </w:t>
      </w:r>
      <w:hyperlink w:anchor="AUTO_2023_407" w:history="1">
        <w:r w:rsidRPr="00DA359F">
          <w:rPr>
            <w:rStyle w:val="TextoNormalCaracter"/>
          </w:rPr>
          <w:t>407/2023</w:t>
        </w:r>
      </w:hyperlink>
      <w:r>
        <w:t xml:space="preserve">, f. único; </w:t>
      </w:r>
      <w:hyperlink w:anchor="AUTO_2023_408" w:history="1">
        <w:r w:rsidRPr="00DA359F">
          <w:rPr>
            <w:rStyle w:val="TextoNormalCaracter"/>
          </w:rPr>
          <w:t>408/2023</w:t>
        </w:r>
      </w:hyperlink>
      <w:r>
        <w:t xml:space="preserve">, f. único; </w:t>
      </w:r>
      <w:hyperlink w:anchor="AUTO_2023_409" w:history="1">
        <w:r w:rsidRPr="00DA359F">
          <w:rPr>
            <w:rStyle w:val="TextoNormalCaracter"/>
          </w:rPr>
          <w:t>409/2023</w:t>
        </w:r>
      </w:hyperlink>
      <w:r>
        <w:t xml:space="preserve">, f. único; </w:t>
      </w:r>
      <w:hyperlink w:anchor="AUTO_2023_410" w:history="1">
        <w:r w:rsidRPr="00DA359F">
          <w:rPr>
            <w:rStyle w:val="TextoNormalCaracter"/>
          </w:rPr>
          <w:t>410/2023</w:t>
        </w:r>
      </w:hyperlink>
      <w:r>
        <w:t xml:space="preserve">, f. único; </w:t>
      </w:r>
      <w:hyperlink w:anchor="AUTO_2023_411" w:history="1">
        <w:r w:rsidRPr="00DA359F">
          <w:rPr>
            <w:rStyle w:val="TextoNormalCaracter"/>
          </w:rPr>
          <w:t>411/2023</w:t>
        </w:r>
      </w:hyperlink>
      <w:r>
        <w:t xml:space="preserve">, f. único; </w:t>
      </w:r>
      <w:hyperlink w:anchor="AUTO_2023_412" w:history="1">
        <w:r w:rsidRPr="00DA359F">
          <w:rPr>
            <w:rStyle w:val="TextoNormalCaracter"/>
          </w:rPr>
          <w:t>412/2023</w:t>
        </w:r>
      </w:hyperlink>
      <w:r>
        <w:t xml:space="preserve">, f. único; </w:t>
      </w:r>
      <w:hyperlink w:anchor="AUTO_2023_413" w:history="1">
        <w:r w:rsidRPr="00DA359F">
          <w:rPr>
            <w:rStyle w:val="TextoNormalCaracter"/>
          </w:rPr>
          <w:t>413/2023</w:t>
        </w:r>
      </w:hyperlink>
      <w:r>
        <w:t xml:space="preserve">, f. único; </w:t>
      </w:r>
      <w:hyperlink w:anchor="AUTO_2023_414" w:history="1">
        <w:r w:rsidRPr="00DA359F">
          <w:rPr>
            <w:rStyle w:val="TextoNormalCaracter"/>
          </w:rPr>
          <w:t>414/2023</w:t>
        </w:r>
      </w:hyperlink>
      <w:r>
        <w:t xml:space="preserve">, f. único; </w:t>
      </w:r>
      <w:hyperlink w:anchor="AUTO_2023_415" w:history="1">
        <w:r w:rsidRPr="00DA359F">
          <w:rPr>
            <w:rStyle w:val="TextoNormalCaracter"/>
          </w:rPr>
          <w:t>415/2023</w:t>
        </w:r>
      </w:hyperlink>
      <w:r>
        <w:t xml:space="preserve">, f. único; </w:t>
      </w:r>
      <w:hyperlink w:anchor="AUTO_2023_416" w:history="1">
        <w:r w:rsidRPr="00DA359F">
          <w:rPr>
            <w:rStyle w:val="TextoNormalCaracter"/>
          </w:rPr>
          <w:t>416/2023</w:t>
        </w:r>
      </w:hyperlink>
      <w:r>
        <w:t xml:space="preserve">, f. único; </w:t>
      </w:r>
      <w:hyperlink w:anchor="AUTO_2023_417" w:history="1">
        <w:r w:rsidRPr="00DA359F">
          <w:rPr>
            <w:rStyle w:val="TextoNormalCaracter"/>
          </w:rPr>
          <w:t>417/2023</w:t>
        </w:r>
      </w:hyperlink>
      <w:r>
        <w:t xml:space="preserve">, f. único; </w:t>
      </w:r>
      <w:hyperlink w:anchor="AUTO_2023_418" w:history="1">
        <w:r w:rsidRPr="00DA359F">
          <w:rPr>
            <w:rStyle w:val="TextoNormalCaracter"/>
          </w:rPr>
          <w:t>418/2023</w:t>
        </w:r>
      </w:hyperlink>
      <w:r>
        <w:t xml:space="preserve">, f. único; </w:t>
      </w:r>
      <w:hyperlink w:anchor="AUTO_2023_419" w:history="1">
        <w:r w:rsidRPr="00DA359F">
          <w:rPr>
            <w:rStyle w:val="TextoNormalCaracter"/>
          </w:rPr>
          <w:t>419/2023</w:t>
        </w:r>
      </w:hyperlink>
      <w:r>
        <w:t xml:space="preserve">, f. único; </w:t>
      </w:r>
      <w:hyperlink w:anchor="AUTO_2023_420" w:history="1">
        <w:r w:rsidRPr="00DA359F">
          <w:rPr>
            <w:rStyle w:val="TextoNormalCaracter"/>
          </w:rPr>
          <w:t>420/2023</w:t>
        </w:r>
      </w:hyperlink>
      <w:r>
        <w:t xml:space="preserve">, f. único; </w:t>
      </w:r>
      <w:hyperlink w:anchor="AUTO_2023_421" w:history="1">
        <w:r w:rsidRPr="00DA359F">
          <w:rPr>
            <w:rStyle w:val="TextoNormalCaracter"/>
          </w:rPr>
          <w:t>421/2023</w:t>
        </w:r>
      </w:hyperlink>
      <w:r>
        <w:t xml:space="preserve">, f. único; </w:t>
      </w:r>
      <w:hyperlink w:anchor="AUTO_2023_422" w:history="1">
        <w:r w:rsidRPr="00DA359F">
          <w:rPr>
            <w:rStyle w:val="TextoNormalCaracter"/>
          </w:rPr>
          <w:t>422/2023</w:t>
        </w:r>
      </w:hyperlink>
      <w:r>
        <w:t xml:space="preserve">, f. único; </w:t>
      </w:r>
      <w:hyperlink w:anchor="AUTO_2023_423" w:history="1">
        <w:r w:rsidRPr="00DA359F">
          <w:rPr>
            <w:rStyle w:val="TextoNormalCaracter"/>
          </w:rPr>
          <w:t>423/2023</w:t>
        </w:r>
      </w:hyperlink>
      <w:r>
        <w:t xml:space="preserve">, f. único; </w:t>
      </w:r>
      <w:hyperlink w:anchor="AUTO_2023_424" w:history="1">
        <w:r w:rsidRPr="00DA359F">
          <w:rPr>
            <w:rStyle w:val="TextoNormalCaracter"/>
          </w:rPr>
          <w:t>424/2023</w:t>
        </w:r>
      </w:hyperlink>
      <w:r>
        <w:t xml:space="preserve">, f. único; </w:t>
      </w:r>
      <w:hyperlink w:anchor="AUTO_2023_426" w:history="1">
        <w:r w:rsidRPr="00DA359F">
          <w:rPr>
            <w:rStyle w:val="TextoNormalCaracter"/>
          </w:rPr>
          <w:t>426/2023</w:t>
        </w:r>
      </w:hyperlink>
      <w:r>
        <w:t xml:space="preserve">, f. único; </w:t>
      </w:r>
      <w:hyperlink w:anchor="AUTO_2023_430" w:history="1">
        <w:r w:rsidRPr="00DA359F">
          <w:rPr>
            <w:rStyle w:val="TextoNormalCaracter"/>
          </w:rPr>
          <w:t>430/2023</w:t>
        </w:r>
      </w:hyperlink>
      <w:r>
        <w:t xml:space="preserve">, f. único; </w:t>
      </w:r>
      <w:hyperlink w:anchor="AUTO_2023_433" w:history="1">
        <w:r w:rsidRPr="00DA359F">
          <w:rPr>
            <w:rStyle w:val="TextoNormalCaracter"/>
          </w:rPr>
          <w:t>433/2023</w:t>
        </w:r>
      </w:hyperlink>
      <w:r>
        <w:t xml:space="preserve">, f. único; </w:t>
      </w:r>
      <w:hyperlink w:anchor="AUTO_2023_435" w:history="1">
        <w:r w:rsidRPr="00DA359F">
          <w:rPr>
            <w:rStyle w:val="TextoNormalCaracter"/>
          </w:rPr>
          <w:t>435/2023</w:t>
        </w:r>
      </w:hyperlink>
      <w:r>
        <w:t xml:space="preserve">, f. único; </w:t>
      </w:r>
      <w:hyperlink w:anchor="AUTO_2023_449" w:history="1">
        <w:r w:rsidRPr="00DA359F">
          <w:rPr>
            <w:rStyle w:val="TextoNormalCaracter"/>
          </w:rPr>
          <w:t>449/2023</w:t>
        </w:r>
      </w:hyperlink>
      <w:r>
        <w:t xml:space="preserve">, f. único; </w:t>
      </w:r>
      <w:hyperlink w:anchor="AUTO_2023_450" w:history="1">
        <w:r w:rsidRPr="00DA359F">
          <w:rPr>
            <w:rStyle w:val="TextoNormalCaracter"/>
          </w:rPr>
          <w:t>450/2023</w:t>
        </w:r>
      </w:hyperlink>
      <w:r>
        <w:t xml:space="preserve">, f. único; </w:t>
      </w:r>
      <w:hyperlink w:anchor="AUTO_2023_451" w:history="1">
        <w:r w:rsidRPr="00DA359F">
          <w:rPr>
            <w:rStyle w:val="TextoNormalCaracter"/>
          </w:rPr>
          <w:t>451/2023</w:t>
        </w:r>
      </w:hyperlink>
      <w:r>
        <w:t xml:space="preserve">, f. único; </w:t>
      </w:r>
      <w:hyperlink w:anchor="AUTO_2023_452" w:history="1">
        <w:r w:rsidRPr="00DA359F">
          <w:rPr>
            <w:rStyle w:val="TextoNormalCaracter"/>
          </w:rPr>
          <w:t>452/2023</w:t>
        </w:r>
      </w:hyperlink>
      <w:r>
        <w:t xml:space="preserve">, f. único; </w:t>
      </w:r>
      <w:hyperlink w:anchor="AUTO_2023_453" w:history="1">
        <w:r w:rsidRPr="00DA359F">
          <w:rPr>
            <w:rStyle w:val="TextoNormalCaracter"/>
          </w:rPr>
          <w:t>453/2023</w:t>
        </w:r>
      </w:hyperlink>
      <w:r>
        <w:t xml:space="preserve">, f. único; </w:t>
      </w:r>
      <w:hyperlink w:anchor="AUTO_2023_454" w:history="1">
        <w:r w:rsidRPr="00DA359F">
          <w:rPr>
            <w:rStyle w:val="TextoNormalCaracter"/>
          </w:rPr>
          <w:t>454/2023</w:t>
        </w:r>
      </w:hyperlink>
      <w:r>
        <w:t xml:space="preserve">, f. único; </w:t>
      </w:r>
      <w:hyperlink w:anchor="AUTO_2023_455" w:history="1">
        <w:r w:rsidRPr="00DA359F">
          <w:rPr>
            <w:rStyle w:val="TextoNormalCaracter"/>
          </w:rPr>
          <w:t>455/2023</w:t>
        </w:r>
      </w:hyperlink>
      <w:r>
        <w:t xml:space="preserve">, f. único; </w:t>
      </w:r>
      <w:hyperlink w:anchor="AUTO_2023_456" w:history="1">
        <w:r w:rsidRPr="00DA359F">
          <w:rPr>
            <w:rStyle w:val="TextoNormalCaracter"/>
          </w:rPr>
          <w:t>456/2023</w:t>
        </w:r>
      </w:hyperlink>
      <w:r>
        <w:t xml:space="preserve">, f. único; </w:t>
      </w:r>
      <w:hyperlink w:anchor="AUTO_2023_457" w:history="1">
        <w:r w:rsidRPr="00DA359F">
          <w:rPr>
            <w:rStyle w:val="TextoNormalCaracter"/>
          </w:rPr>
          <w:t>457/2023</w:t>
        </w:r>
      </w:hyperlink>
      <w:r>
        <w:t xml:space="preserve">, f. único; </w:t>
      </w:r>
      <w:hyperlink w:anchor="AUTO_2023_459" w:history="1">
        <w:r w:rsidRPr="00DA359F">
          <w:rPr>
            <w:rStyle w:val="TextoNormalCaracter"/>
          </w:rPr>
          <w:t>459/2023</w:t>
        </w:r>
      </w:hyperlink>
      <w:r>
        <w:t xml:space="preserve">, f. único; </w:t>
      </w:r>
      <w:hyperlink w:anchor="AUTO_2023_460" w:history="1">
        <w:r w:rsidRPr="00DA359F">
          <w:rPr>
            <w:rStyle w:val="TextoNormalCaracter"/>
          </w:rPr>
          <w:t>460/2023</w:t>
        </w:r>
      </w:hyperlink>
      <w:r>
        <w:t xml:space="preserve">, f. único; </w:t>
      </w:r>
      <w:hyperlink w:anchor="AUTO_2023_461" w:history="1">
        <w:r w:rsidRPr="00DA359F">
          <w:rPr>
            <w:rStyle w:val="TextoNormalCaracter"/>
          </w:rPr>
          <w:t>461/2023</w:t>
        </w:r>
      </w:hyperlink>
      <w:r>
        <w:t xml:space="preserve">, f. único; </w:t>
      </w:r>
      <w:hyperlink w:anchor="AUTO_2023_462" w:history="1">
        <w:r w:rsidRPr="00DA359F">
          <w:rPr>
            <w:rStyle w:val="TextoNormalCaracter"/>
          </w:rPr>
          <w:t>462/2023</w:t>
        </w:r>
      </w:hyperlink>
      <w:r>
        <w:t xml:space="preserve">, f. único; </w:t>
      </w:r>
      <w:hyperlink w:anchor="AUTO_2023_463" w:history="1">
        <w:r w:rsidRPr="00DA359F">
          <w:rPr>
            <w:rStyle w:val="TextoNormalCaracter"/>
          </w:rPr>
          <w:t>463/2023</w:t>
        </w:r>
      </w:hyperlink>
      <w:r>
        <w:t xml:space="preserve">, f. único; </w:t>
      </w:r>
      <w:hyperlink w:anchor="AUTO_2023_464" w:history="1">
        <w:r w:rsidRPr="00DA359F">
          <w:rPr>
            <w:rStyle w:val="TextoNormalCaracter"/>
          </w:rPr>
          <w:t>464/2023</w:t>
        </w:r>
      </w:hyperlink>
      <w:r>
        <w:t xml:space="preserve">, f. único; </w:t>
      </w:r>
      <w:hyperlink w:anchor="AUTO_2023_465" w:history="1">
        <w:r w:rsidRPr="00DA359F">
          <w:rPr>
            <w:rStyle w:val="TextoNormalCaracter"/>
          </w:rPr>
          <w:t>465/2023</w:t>
        </w:r>
      </w:hyperlink>
      <w:r>
        <w:t xml:space="preserve">, f. único; </w:t>
      </w:r>
      <w:hyperlink w:anchor="AUTO_2023_466" w:history="1">
        <w:r w:rsidRPr="00DA359F">
          <w:rPr>
            <w:rStyle w:val="TextoNormalCaracter"/>
          </w:rPr>
          <w:t>466/2023</w:t>
        </w:r>
      </w:hyperlink>
      <w:r>
        <w:t xml:space="preserve">, f. único; </w:t>
      </w:r>
      <w:hyperlink w:anchor="AUTO_2023_467" w:history="1">
        <w:r w:rsidRPr="00DA359F">
          <w:rPr>
            <w:rStyle w:val="TextoNormalCaracter"/>
          </w:rPr>
          <w:t>467/2023</w:t>
        </w:r>
      </w:hyperlink>
      <w:r>
        <w:t xml:space="preserve">, f. único; </w:t>
      </w:r>
      <w:hyperlink w:anchor="AUTO_2023_468" w:history="1">
        <w:r w:rsidRPr="00DA359F">
          <w:rPr>
            <w:rStyle w:val="TextoNormalCaracter"/>
          </w:rPr>
          <w:t>468/2023</w:t>
        </w:r>
      </w:hyperlink>
      <w:r>
        <w:t xml:space="preserve">, f. único; </w:t>
      </w:r>
      <w:hyperlink w:anchor="AUTO_2023_469" w:history="1">
        <w:r w:rsidRPr="00DA359F">
          <w:rPr>
            <w:rStyle w:val="TextoNormalCaracter"/>
          </w:rPr>
          <w:t>469/2023</w:t>
        </w:r>
      </w:hyperlink>
      <w:r>
        <w:t xml:space="preserve">, f. único; </w:t>
      </w:r>
      <w:hyperlink w:anchor="AUTO_2023_470" w:history="1">
        <w:r w:rsidRPr="00DA359F">
          <w:rPr>
            <w:rStyle w:val="TextoNormalCaracter"/>
          </w:rPr>
          <w:t>470/2023</w:t>
        </w:r>
      </w:hyperlink>
      <w:r>
        <w:t xml:space="preserve">, f. único; </w:t>
      </w:r>
      <w:hyperlink w:anchor="AUTO_2023_471" w:history="1">
        <w:r w:rsidRPr="00DA359F">
          <w:rPr>
            <w:rStyle w:val="TextoNormalCaracter"/>
          </w:rPr>
          <w:t>471/2023</w:t>
        </w:r>
      </w:hyperlink>
      <w:r>
        <w:t xml:space="preserve">, f. único; </w:t>
      </w:r>
      <w:hyperlink w:anchor="AUTO_2023_474" w:history="1">
        <w:r w:rsidRPr="00DA359F">
          <w:rPr>
            <w:rStyle w:val="TextoNormalCaracter"/>
          </w:rPr>
          <w:t>474/2023</w:t>
        </w:r>
      </w:hyperlink>
      <w:r>
        <w:t xml:space="preserve">, f. único; </w:t>
      </w:r>
      <w:hyperlink w:anchor="AUTO_2023_475" w:history="1">
        <w:r w:rsidRPr="00DA359F">
          <w:rPr>
            <w:rStyle w:val="TextoNormalCaracter"/>
          </w:rPr>
          <w:t>475/2023</w:t>
        </w:r>
      </w:hyperlink>
      <w:r>
        <w:t xml:space="preserve">, f. único; </w:t>
      </w:r>
      <w:hyperlink w:anchor="AUTO_2023_476" w:history="1">
        <w:r w:rsidRPr="00DA359F">
          <w:rPr>
            <w:rStyle w:val="TextoNormalCaracter"/>
          </w:rPr>
          <w:t>476/2023</w:t>
        </w:r>
      </w:hyperlink>
      <w:r>
        <w:t xml:space="preserve">; </w:t>
      </w:r>
      <w:hyperlink w:anchor="AUTO_2023_479" w:history="1">
        <w:r w:rsidRPr="00DA359F">
          <w:rPr>
            <w:rStyle w:val="TextoNormalCaracter"/>
          </w:rPr>
          <w:t>479/2023</w:t>
        </w:r>
      </w:hyperlink>
      <w:r>
        <w:t xml:space="preserve">, f. único; </w:t>
      </w:r>
      <w:hyperlink w:anchor="AUTO_2023_480" w:history="1">
        <w:r w:rsidRPr="00DA359F">
          <w:rPr>
            <w:rStyle w:val="TextoNormalCaracter"/>
          </w:rPr>
          <w:t>480/2023</w:t>
        </w:r>
      </w:hyperlink>
      <w:r>
        <w:t xml:space="preserve">, f. único; </w:t>
      </w:r>
      <w:hyperlink w:anchor="AUTO_2023_481" w:history="1">
        <w:r w:rsidRPr="00DA359F">
          <w:rPr>
            <w:rStyle w:val="TextoNormalCaracter"/>
          </w:rPr>
          <w:t>481/2023</w:t>
        </w:r>
      </w:hyperlink>
      <w:r>
        <w:t xml:space="preserve">, f. único; </w:t>
      </w:r>
      <w:hyperlink w:anchor="AUTO_2023_491" w:history="1">
        <w:r w:rsidRPr="00DA359F">
          <w:rPr>
            <w:rStyle w:val="TextoNormalCaracter"/>
          </w:rPr>
          <w:t>491/2023</w:t>
        </w:r>
      </w:hyperlink>
      <w:r>
        <w:t xml:space="preserve">, f. único; </w:t>
      </w:r>
      <w:hyperlink w:anchor="AUTO_2023_492" w:history="1">
        <w:r w:rsidRPr="00DA359F">
          <w:rPr>
            <w:rStyle w:val="TextoNormalCaracter"/>
          </w:rPr>
          <w:t>492/2023</w:t>
        </w:r>
      </w:hyperlink>
      <w:r>
        <w:t xml:space="preserve">, f. único; </w:t>
      </w:r>
      <w:hyperlink w:anchor="AUTO_2023_493" w:history="1">
        <w:r w:rsidRPr="00DA359F">
          <w:rPr>
            <w:rStyle w:val="TextoNormalCaracter"/>
          </w:rPr>
          <w:t>493/2023</w:t>
        </w:r>
      </w:hyperlink>
      <w:r>
        <w:t xml:space="preserve">, f. único; </w:t>
      </w:r>
      <w:hyperlink w:anchor="AUTO_2023_494" w:history="1">
        <w:r w:rsidRPr="00DA359F">
          <w:rPr>
            <w:rStyle w:val="TextoNormalCaracter"/>
          </w:rPr>
          <w:t>494/2023</w:t>
        </w:r>
      </w:hyperlink>
      <w:r>
        <w:t xml:space="preserve">, f. único; </w:t>
      </w:r>
      <w:hyperlink w:anchor="AUTO_2023_495" w:history="1">
        <w:r w:rsidRPr="00DA359F">
          <w:rPr>
            <w:rStyle w:val="TextoNormalCaracter"/>
          </w:rPr>
          <w:t>495/2023</w:t>
        </w:r>
      </w:hyperlink>
      <w:r>
        <w:t xml:space="preserve">, f. único; </w:t>
      </w:r>
      <w:hyperlink w:anchor="AUTO_2023_496" w:history="1">
        <w:r w:rsidRPr="00DA359F">
          <w:rPr>
            <w:rStyle w:val="TextoNormalCaracter"/>
          </w:rPr>
          <w:t>496/2023</w:t>
        </w:r>
      </w:hyperlink>
      <w:r>
        <w:t xml:space="preserve">, f. único; </w:t>
      </w:r>
      <w:hyperlink w:anchor="AUTO_2023_497" w:history="1">
        <w:r w:rsidRPr="00DA359F">
          <w:rPr>
            <w:rStyle w:val="TextoNormalCaracter"/>
          </w:rPr>
          <w:t>497/2023</w:t>
        </w:r>
      </w:hyperlink>
      <w:r>
        <w:t xml:space="preserve">, f. único; </w:t>
      </w:r>
      <w:hyperlink w:anchor="AUTO_2023_498" w:history="1">
        <w:r w:rsidRPr="00DA359F">
          <w:rPr>
            <w:rStyle w:val="TextoNormalCaracter"/>
          </w:rPr>
          <w:t>498/2023</w:t>
        </w:r>
      </w:hyperlink>
      <w:r>
        <w:t xml:space="preserve">, f. único; </w:t>
      </w:r>
      <w:hyperlink w:anchor="AUTO_2023_499" w:history="1">
        <w:r w:rsidRPr="00DA359F">
          <w:rPr>
            <w:rStyle w:val="TextoNormalCaracter"/>
          </w:rPr>
          <w:t>499/2023</w:t>
        </w:r>
      </w:hyperlink>
      <w:r>
        <w:t xml:space="preserve">, f. único; </w:t>
      </w:r>
      <w:hyperlink w:anchor="AUTO_2023_500" w:history="1">
        <w:r w:rsidRPr="00DA359F">
          <w:rPr>
            <w:rStyle w:val="TextoNormalCaracter"/>
          </w:rPr>
          <w:t>500/2023</w:t>
        </w:r>
      </w:hyperlink>
      <w:r>
        <w:t xml:space="preserve">, f. único; </w:t>
      </w:r>
      <w:hyperlink w:anchor="AUTO_2023_501" w:history="1">
        <w:r w:rsidRPr="00DA359F">
          <w:rPr>
            <w:rStyle w:val="TextoNormalCaracter"/>
          </w:rPr>
          <w:t>501/2023</w:t>
        </w:r>
      </w:hyperlink>
      <w:r>
        <w:t xml:space="preserve">, f. único; </w:t>
      </w:r>
      <w:hyperlink w:anchor="AUTO_2023_502" w:history="1">
        <w:r w:rsidRPr="00DA359F">
          <w:rPr>
            <w:rStyle w:val="TextoNormalCaracter"/>
          </w:rPr>
          <w:t>502/2023</w:t>
        </w:r>
      </w:hyperlink>
      <w:r>
        <w:t xml:space="preserve">, f. único; </w:t>
      </w:r>
      <w:hyperlink w:anchor="AUTO_2023_503" w:history="1">
        <w:r w:rsidRPr="00DA359F">
          <w:rPr>
            <w:rStyle w:val="TextoNormalCaracter"/>
          </w:rPr>
          <w:t>503/2023</w:t>
        </w:r>
      </w:hyperlink>
      <w:r>
        <w:t xml:space="preserve">, f. único; </w:t>
      </w:r>
      <w:hyperlink w:anchor="AUTO_2023_504" w:history="1">
        <w:r w:rsidRPr="00DA359F">
          <w:rPr>
            <w:rStyle w:val="TextoNormalCaracter"/>
          </w:rPr>
          <w:t>504/2023</w:t>
        </w:r>
      </w:hyperlink>
      <w:r>
        <w:t xml:space="preserve">, f. único; </w:t>
      </w:r>
      <w:hyperlink w:anchor="AUTO_2023_505" w:history="1">
        <w:r w:rsidRPr="00DA359F">
          <w:rPr>
            <w:rStyle w:val="TextoNormalCaracter"/>
          </w:rPr>
          <w:t>505/2023</w:t>
        </w:r>
      </w:hyperlink>
      <w:r>
        <w:t xml:space="preserve">, f. único; </w:t>
      </w:r>
      <w:hyperlink w:anchor="AUTO_2023_506" w:history="1">
        <w:r w:rsidRPr="00DA359F">
          <w:rPr>
            <w:rStyle w:val="TextoNormalCaracter"/>
          </w:rPr>
          <w:t>506/2023</w:t>
        </w:r>
      </w:hyperlink>
      <w:r>
        <w:t xml:space="preserve">, f. único; </w:t>
      </w:r>
      <w:hyperlink w:anchor="AUTO_2023_507" w:history="1">
        <w:r w:rsidRPr="00DA359F">
          <w:rPr>
            <w:rStyle w:val="TextoNormalCaracter"/>
          </w:rPr>
          <w:t>507/2023</w:t>
        </w:r>
      </w:hyperlink>
      <w:r>
        <w:t xml:space="preserve">, f. único; </w:t>
      </w:r>
      <w:hyperlink w:anchor="AUTO_2023_508" w:history="1">
        <w:r w:rsidRPr="00DA359F">
          <w:rPr>
            <w:rStyle w:val="TextoNormalCaracter"/>
          </w:rPr>
          <w:t>508/2023</w:t>
        </w:r>
      </w:hyperlink>
      <w:r>
        <w:t xml:space="preserve">, f. único; </w:t>
      </w:r>
      <w:hyperlink w:anchor="AUTO_2023_509" w:history="1">
        <w:r w:rsidRPr="00DA359F">
          <w:rPr>
            <w:rStyle w:val="TextoNormalCaracter"/>
          </w:rPr>
          <w:t>509/2023</w:t>
        </w:r>
      </w:hyperlink>
      <w:r>
        <w:t xml:space="preserve">, f. único; </w:t>
      </w:r>
      <w:hyperlink w:anchor="AUTO_2023_510" w:history="1">
        <w:r w:rsidRPr="00DA359F">
          <w:rPr>
            <w:rStyle w:val="TextoNormalCaracter"/>
          </w:rPr>
          <w:t>510/2023</w:t>
        </w:r>
      </w:hyperlink>
      <w:r>
        <w:t xml:space="preserve">, f. único; </w:t>
      </w:r>
      <w:hyperlink w:anchor="AUTO_2023_511" w:history="1">
        <w:r w:rsidRPr="00DA359F">
          <w:rPr>
            <w:rStyle w:val="TextoNormalCaracter"/>
          </w:rPr>
          <w:t>511/2023</w:t>
        </w:r>
      </w:hyperlink>
      <w:r>
        <w:t xml:space="preserve">, f. único; </w:t>
      </w:r>
      <w:hyperlink w:anchor="AUTO_2023_512" w:history="1">
        <w:r w:rsidRPr="00DA359F">
          <w:rPr>
            <w:rStyle w:val="TextoNormalCaracter"/>
          </w:rPr>
          <w:t>512/2023</w:t>
        </w:r>
      </w:hyperlink>
      <w:r>
        <w:t xml:space="preserve">, f. único; </w:t>
      </w:r>
      <w:hyperlink w:anchor="AUTO_2023_513" w:history="1">
        <w:r w:rsidRPr="00DA359F">
          <w:rPr>
            <w:rStyle w:val="TextoNormalCaracter"/>
          </w:rPr>
          <w:t>513/2023</w:t>
        </w:r>
      </w:hyperlink>
      <w:r>
        <w:t xml:space="preserve">, f. único; </w:t>
      </w:r>
      <w:hyperlink w:anchor="AUTO_2023_514" w:history="1">
        <w:r w:rsidRPr="00DA359F">
          <w:rPr>
            <w:rStyle w:val="TextoNormalCaracter"/>
          </w:rPr>
          <w:t>514/2023</w:t>
        </w:r>
      </w:hyperlink>
      <w:r>
        <w:t xml:space="preserve">, f. único; </w:t>
      </w:r>
      <w:hyperlink w:anchor="AUTO_2023_515" w:history="1">
        <w:r w:rsidRPr="00DA359F">
          <w:rPr>
            <w:rStyle w:val="TextoNormalCaracter"/>
          </w:rPr>
          <w:t>515/2023</w:t>
        </w:r>
      </w:hyperlink>
      <w:r>
        <w:t xml:space="preserve">, f. único; </w:t>
      </w:r>
      <w:hyperlink w:anchor="AUTO_2023_516" w:history="1">
        <w:r w:rsidRPr="00DA359F">
          <w:rPr>
            <w:rStyle w:val="TextoNormalCaracter"/>
          </w:rPr>
          <w:t>516/2023</w:t>
        </w:r>
      </w:hyperlink>
      <w:r>
        <w:t xml:space="preserve">, f. único; </w:t>
      </w:r>
      <w:hyperlink w:anchor="AUTO_2023_517" w:history="1">
        <w:r w:rsidRPr="00DA359F">
          <w:rPr>
            <w:rStyle w:val="TextoNormalCaracter"/>
          </w:rPr>
          <w:t>517/2023</w:t>
        </w:r>
      </w:hyperlink>
      <w:r>
        <w:t xml:space="preserve">, f. único; </w:t>
      </w:r>
      <w:hyperlink w:anchor="AUTO_2023_518" w:history="1">
        <w:r w:rsidRPr="00DA359F">
          <w:rPr>
            <w:rStyle w:val="TextoNormalCaracter"/>
          </w:rPr>
          <w:t>518/2023</w:t>
        </w:r>
      </w:hyperlink>
      <w:r>
        <w:t xml:space="preserve">, f. único; </w:t>
      </w:r>
      <w:hyperlink w:anchor="AUTO_2023_519" w:history="1">
        <w:r w:rsidRPr="00DA359F">
          <w:rPr>
            <w:rStyle w:val="TextoNormalCaracter"/>
          </w:rPr>
          <w:t>519/2023</w:t>
        </w:r>
      </w:hyperlink>
      <w:r>
        <w:t xml:space="preserve">, f. único; </w:t>
      </w:r>
      <w:hyperlink w:anchor="AUTO_2023_520" w:history="1">
        <w:r w:rsidRPr="00DA359F">
          <w:rPr>
            <w:rStyle w:val="TextoNormalCaracter"/>
          </w:rPr>
          <w:t>520/2023</w:t>
        </w:r>
      </w:hyperlink>
      <w:r>
        <w:t xml:space="preserve">, f. único; </w:t>
      </w:r>
      <w:hyperlink w:anchor="AUTO_2023_523" w:history="1">
        <w:r w:rsidRPr="00DA359F">
          <w:rPr>
            <w:rStyle w:val="TextoNormalCaracter"/>
          </w:rPr>
          <w:t>523/2023</w:t>
        </w:r>
      </w:hyperlink>
      <w:r>
        <w:t xml:space="preserve">, f. único; </w:t>
      </w:r>
      <w:hyperlink w:anchor="AUTO_2023_524" w:history="1">
        <w:r w:rsidRPr="00DA359F">
          <w:rPr>
            <w:rStyle w:val="TextoNormalCaracter"/>
          </w:rPr>
          <w:t>524/2023</w:t>
        </w:r>
      </w:hyperlink>
      <w:r>
        <w:t xml:space="preserve">, f. único; </w:t>
      </w:r>
      <w:hyperlink w:anchor="AUTO_2023_525" w:history="1">
        <w:r w:rsidRPr="00DA359F">
          <w:rPr>
            <w:rStyle w:val="TextoNormalCaracter"/>
          </w:rPr>
          <w:t>525/2023</w:t>
        </w:r>
      </w:hyperlink>
      <w:r>
        <w:t xml:space="preserve">, f. único; </w:t>
      </w:r>
      <w:hyperlink w:anchor="AUTO_2023_527" w:history="1">
        <w:r w:rsidRPr="00DA359F">
          <w:rPr>
            <w:rStyle w:val="TextoNormalCaracter"/>
          </w:rPr>
          <w:t>527/2023</w:t>
        </w:r>
      </w:hyperlink>
      <w:r>
        <w:t xml:space="preserve">, f. único; </w:t>
      </w:r>
      <w:hyperlink w:anchor="AUTO_2023_528" w:history="1">
        <w:r w:rsidRPr="00DA359F">
          <w:rPr>
            <w:rStyle w:val="TextoNormalCaracter"/>
          </w:rPr>
          <w:t>528/2023</w:t>
        </w:r>
      </w:hyperlink>
      <w:r>
        <w:t xml:space="preserve">, f. único; </w:t>
      </w:r>
      <w:hyperlink w:anchor="AUTO_2023_529" w:history="1">
        <w:r w:rsidRPr="00DA359F">
          <w:rPr>
            <w:rStyle w:val="TextoNormalCaracter"/>
          </w:rPr>
          <w:t>529/2023</w:t>
        </w:r>
      </w:hyperlink>
      <w:r>
        <w:t xml:space="preserve">, f. único; </w:t>
      </w:r>
      <w:hyperlink w:anchor="AUTO_2023_530" w:history="1">
        <w:r w:rsidRPr="00DA359F">
          <w:rPr>
            <w:rStyle w:val="TextoNormalCaracter"/>
          </w:rPr>
          <w:t>530/2023</w:t>
        </w:r>
      </w:hyperlink>
      <w:r>
        <w:t xml:space="preserve">, f. único; </w:t>
      </w:r>
      <w:hyperlink w:anchor="AUTO_2023_531" w:history="1">
        <w:r w:rsidRPr="00DA359F">
          <w:rPr>
            <w:rStyle w:val="TextoNormalCaracter"/>
          </w:rPr>
          <w:t>531/2023</w:t>
        </w:r>
      </w:hyperlink>
      <w:r>
        <w:t xml:space="preserve">, f. único; </w:t>
      </w:r>
      <w:hyperlink w:anchor="AUTO_2023_533" w:history="1">
        <w:r w:rsidRPr="00DA359F">
          <w:rPr>
            <w:rStyle w:val="TextoNormalCaracter"/>
          </w:rPr>
          <w:t>533/2023</w:t>
        </w:r>
      </w:hyperlink>
      <w:r>
        <w:t xml:space="preserve">, f. único; </w:t>
      </w:r>
      <w:hyperlink w:anchor="AUTO_2023_534" w:history="1">
        <w:r w:rsidRPr="00DA359F">
          <w:rPr>
            <w:rStyle w:val="TextoNormalCaracter"/>
          </w:rPr>
          <w:t>534/2023</w:t>
        </w:r>
      </w:hyperlink>
      <w:r>
        <w:t xml:space="preserve">, f. único; </w:t>
      </w:r>
      <w:hyperlink w:anchor="AUTO_2023_537" w:history="1">
        <w:r w:rsidRPr="00DA359F">
          <w:rPr>
            <w:rStyle w:val="TextoNormalCaracter"/>
          </w:rPr>
          <w:t>537/2023</w:t>
        </w:r>
      </w:hyperlink>
      <w:r>
        <w:t xml:space="preserve">, f. único; </w:t>
      </w:r>
      <w:hyperlink w:anchor="AUTO_2023_538" w:history="1">
        <w:r w:rsidRPr="00DA359F">
          <w:rPr>
            <w:rStyle w:val="TextoNormalCaracter"/>
          </w:rPr>
          <w:t>538/2023</w:t>
        </w:r>
      </w:hyperlink>
      <w:r>
        <w:t xml:space="preserve">, f. único; </w:t>
      </w:r>
      <w:hyperlink w:anchor="AUTO_2023_539" w:history="1">
        <w:r w:rsidRPr="00DA359F">
          <w:rPr>
            <w:rStyle w:val="TextoNormalCaracter"/>
          </w:rPr>
          <w:t>539/2023</w:t>
        </w:r>
      </w:hyperlink>
      <w:r>
        <w:t xml:space="preserve">, f. único; </w:t>
      </w:r>
      <w:hyperlink w:anchor="AUTO_2023_540" w:history="1">
        <w:r w:rsidRPr="00DA359F">
          <w:rPr>
            <w:rStyle w:val="TextoNormalCaracter"/>
          </w:rPr>
          <w:t>540/2023</w:t>
        </w:r>
      </w:hyperlink>
      <w:r>
        <w:t xml:space="preserve">, f. único; </w:t>
      </w:r>
      <w:hyperlink w:anchor="AUTO_2023_541" w:history="1">
        <w:r w:rsidRPr="00DA359F">
          <w:rPr>
            <w:rStyle w:val="TextoNormalCaracter"/>
          </w:rPr>
          <w:t>541/2023</w:t>
        </w:r>
      </w:hyperlink>
      <w:r>
        <w:t xml:space="preserve">, f. único; </w:t>
      </w:r>
      <w:hyperlink w:anchor="AUTO_2023_542" w:history="1">
        <w:r w:rsidRPr="00DA359F">
          <w:rPr>
            <w:rStyle w:val="TextoNormalCaracter"/>
          </w:rPr>
          <w:t>542/2023</w:t>
        </w:r>
      </w:hyperlink>
      <w:r>
        <w:t xml:space="preserve">, f. único; </w:t>
      </w:r>
      <w:hyperlink w:anchor="AUTO_2023_543" w:history="1">
        <w:r w:rsidRPr="00DA359F">
          <w:rPr>
            <w:rStyle w:val="TextoNormalCaracter"/>
          </w:rPr>
          <w:t>543/2023</w:t>
        </w:r>
      </w:hyperlink>
      <w:r>
        <w:t xml:space="preserve">, f. único; </w:t>
      </w:r>
      <w:hyperlink w:anchor="AUTO_2023_544" w:history="1">
        <w:r w:rsidRPr="00DA359F">
          <w:rPr>
            <w:rStyle w:val="TextoNormalCaracter"/>
          </w:rPr>
          <w:t>544/2023</w:t>
        </w:r>
      </w:hyperlink>
      <w:r>
        <w:t xml:space="preserve">, f. único; </w:t>
      </w:r>
      <w:hyperlink w:anchor="AUTO_2023_545" w:history="1">
        <w:r w:rsidRPr="00DA359F">
          <w:rPr>
            <w:rStyle w:val="TextoNormalCaracter"/>
          </w:rPr>
          <w:t>545/2023</w:t>
        </w:r>
      </w:hyperlink>
      <w:r>
        <w:t xml:space="preserve">, f. único; </w:t>
      </w:r>
      <w:hyperlink w:anchor="AUTO_2023_546" w:history="1">
        <w:r w:rsidRPr="00DA359F">
          <w:rPr>
            <w:rStyle w:val="TextoNormalCaracter"/>
          </w:rPr>
          <w:t>546/2023</w:t>
        </w:r>
      </w:hyperlink>
      <w:r>
        <w:t xml:space="preserve">, f. único; </w:t>
      </w:r>
      <w:hyperlink w:anchor="AUTO_2023_547" w:history="1">
        <w:r w:rsidRPr="00DA359F">
          <w:rPr>
            <w:rStyle w:val="TextoNormalCaracter"/>
          </w:rPr>
          <w:t>547/2023</w:t>
        </w:r>
      </w:hyperlink>
      <w:r>
        <w:t xml:space="preserve">, f. único; </w:t>
      </w:r>
      <w:hyperlink w:anchor="AUTO_2023_548" w:history="1">
        <w:r w:rsidRPr="00DA359F">
          <w:rPr>
            <w:rStyle w:val="TextoNormalCaracter"/>
          </w:rPr>
          <w:t>548/2023</w:t>
        </w:r>
      </w:hyperlink>
      <w:r>
        <w:t xml:space="preserve">, f. único; </w:t>
      </w:r>
      <w:hyperlink w:anchor="AUTO_2023_549" w:history="1">
        <w:r w:rsidRPr="00DA359F">
          <w:rPr>
            <w:rStyle w:val="TextoNormalCaracter"/>
          </w:rPr>
          <w:t>549/2023</w:t>
        </w:r>
      </w:hyperlink>
      <w:r>
        <w:t xml:space="preserve">, f. único; </w:t>
      </w:r>
      <w:hyperlink w:anchor="AUTO_2023_550" w:history="1">
        <w:r w:rsidRPr="00DA359F">
          <w:rPr>
            <w:rStyle w:val="TextoNormalCaracter"/>
          </w:rPr>
          <w:t>550/2023</w:t>
        </w:r>
      </w:hyperlink>
      <w:r>
        <w:t xml:space="preserve">, f. único; </w:t>
      </w:r>
      <w:hyperlink w:anchor="AUTO_2023_551" w:history="1">
        <w:r w:rsidRPr="00DA359F">
          <w:rPr>
            <w:rStyle w:val="TextoNormalCaracter"/>
          </w:rPr>
          <w:t>551/2023</w:t>
        </w:r>
      </w:hyperlink>
      <w:r>
        <w:t xml:space="preserve">, f. único; </w:t>
      </w:r>
      <w:hyperlink w:anchor="AUTO_2023_552" w:history="1">
        <w:r w:rsidRPr="00DA359F">
          <w:rPr>
            <w:rStyle w:val="TextoNormalCaracter"/>
          </w:rPr>
          <w:t>552/2023</w:t>
        </w:r>
      </w:hyperlink>
      <w:r>
        <w:t xml:space="preserve">, f. único; </w:t>
      </w:r>
      <w:hyperlink w:anchor="AUTO_2023_553" w:history="1">
        <w:r w:rsidRPr="00DA359F">
          <w:rPr>
            <w:rStyle w:val="TextoNormalCaracter"/>
          </w:rPr>
          <w:t>553/2023</w:t>
        </w:r>
      </w:hyperlink>
      <w:r>
        <w:t xml:space="preserve">, f. único; </w:t>
      </w:r>
      <w:hyperlink w:anchor="AUTO_2023_554" w:history="1">
        <w:r w:rsidRPr="00DA359F">
          <w:rPr>
            <w:rStyle w:val="TextoNormalCaracter"/>
          </w:rPr>
          <w:t>554/2023</w:t>
        </w:r>
      </w:hyperlink>
      <w:r>
        <w:t xml:space="preserve">, f. único; </w:t>
      </w:r>
      <w:hyperlink w:anchor="AUTO_2023_555" w:history="1">
        <w:r w:rsidRPr="00DA359F">
          <w:rPr>
            <w:rStyle w:val="TextoNormalCaracter"/>
          </w:rPr>
          <w:t>555/2023</w:t>
        </w:r>
      </w:hyperlink>
      <w:r>
        <w:t xml:space="preserve">, f. único; </w:t>
      </w:r>
      <w:hyperlink w:anchor="AUTO_2023_556" w:history="1">
        <w:r w:rsidRPr="00DA359F">
          <w:rPr>
            <w:rStyle w:val="TextoNormalCaracter"/>
          </w:rPr>
          <w:t>556/2023</w:t>
        </w:r>
      </w:hyperlink>
      <w:r>
        <w:t xml:space="preserve">, f. único; </w:t>
      </w:r>
      <w:hyperlink w:anchor="AUTO_2023_557" w:history="1">
        <w:r w:rsidRPr="00DA359F">
          <w:rPr>
            <w:rStyle w:val="TextoNormalCaracter"/>
          </w:rPr>
          <w:t>557/2023</w:t>
        </w:r>
      </w:hyperlink>
      <w:r>
        <w:t xml:space="preserve">, f. único; </w:t>
      </w:r>
      <w:hyperlink w:anchor="AUTO_2023_558" w:history="1">
        <w:r w:rsidRPr="00DA359F">
          <w:rPr>
            <w:rStyle w:val="TextoNormalCaracter"/>
          </w:rPr>
          <w:t>558/2023</w:t>
        </w:r>
      </w:hyperlink>
      <w:r>
        <w:t xml:space="preserve">, f. único; </w:t>
      </w:r>
      <w:hyperlink w:anchor="AUTO_2023_559" w:history="1">
        <w:r w:rsidRPr="00DA359F">
          <w:rPr>
            <w:rStyle w:val="TextoNormalCaracter"/>
          </w:rPr>
          <w:t>559/2023</w:t>
        </w:r>
      </w:hyperlink>
      <w:r>
        <w:t xml:space="preserve">, f. único; </w:t>
      </w:r>
      <w:hyperlink w:anchor="AUTO_2023_560" w:history="1">
        <w:r w:rsidRPr="00DA359F">
          <w:rPr>
            <w:rStyle w:val="TextoNormalCaracter"/>
          </w:rPr>
          <w:t>560/2023</w:t>
        </w:r>
      </w:hyperlink>
      <w:r>
        <w:t xml:space="preserve">, f. único; </w:t>
      </w:r>
      <w:hyperlink w:anchor="AUTO_2023_561" w:history="1">
        <w:r w:rsidRPr="00DA359F">
          <w:rPr>
            <w:rStyle w:val="TextoNormalCaracter"/>
          </w:rPr>
          <w:t>561/2023</w:t>
        </w:r>
      </w:hyperlink>
      <w:r>
        <w:t xml:space="preserve">, f. único; </w:t>
      </w:r>
      <w:hyperlink w:anchor="AUTO_2023_562" w:history="1">
        <w:r w:rsidRPr="00DA359F">
          <w:rPr>
            <w:rStyle w:val="TextoNormalCaracter"/>
          </w:rPr>
          <w:t>562/2023</w:t>
        </w:r>
      </w:hyperlink>
      <w:r>
        <w:t xml:space="preserve">, f. único; </w:t>
      </w:r>
      <w:hyperlink w:anchor="AUTO_2023_563" w:history="1">
        <w:r w:rsidRPr="00DA359F">
          <w:rPr>
            <w:rStyle w:val="TextoNormalCaracter"/>
          </w:rPr>
          <w:t>563/2023</w:t>
        </w:r>
      </w:hyperlink>
      <w:r>
        <w:t xml:space="preserve">, f. único; </w:t>
      </w:r>
      <w:hyperlink w:anchor="AUTO_2023_564" w:history="1">
        <w:r w:rsidRPr="00DA359F">
          <w:rPr>
            <w:rStyle w:val="TextoNormalCaracter"/>
          </w:rPr>
          <w:t>564/2023</w:t>
        </w:r>
      </w:hyperlink>
      <w:r>
        <w:t xml:space="preserve">, f. único; </w:t>
      </w:r>
      <w:hyperlink w:anchor="AUTO_2023_565" w:history="1">
        <w:r w:rsidRPr="00DA359F">
          <w:rPr>
            <w:rStyle w:val="TextoNormalCaracter"/>
          </w:rPr>
          <w:t>565/2023</w:t>
        </w:r>
      </w:hyperlink>
      <w:r>
        <w:t xml:space="preserve">, f. único; </w:t>
      </w:r>
      <w:hyperlink w:anchor="AUTO_2023_566" w:history="1">
        <w:r w:rsidRPr="00DA359F">
          <w:rPr>
            <w:rStyle w:val="TextoNormalCaracter"/>
          </w:rPr>
          <w:t>566/2023</w:t>
        </w:r>
      </w:hyperlink>
      <w:r>
        <w:t xml:space="preserve">, f. único; </w:t>
      </w:r>
      <w:hyperlink w:anchor="AUTO_2023_567" w:history="1">
        <w:r w:rsidRPr="00DA359F">
          <w:rPr>
            <w:rStyle w:val="TextoNormalCaracter"/>
          </w:rPr>
          <w:t>567/2023</w:t>
        </w:r>
      </w:hyperlink>
      <w:r>
        <w:t xml:space="preserve">, f. único; </w:t>
      </w:r>
      <w:hyperlink w:anchor="AUTO_2023_568" w:history="1">
        <w:r w:rsidRPr="00DA359F">
          <w:rPr>
            <w:rStyle w:val="TextoNormalCaracter"/>
          </w:rPr>
          <w:t>568/2023</w:t>
        </w:r>
      </w:hyperlink>
      <w:r>
        <w:t xml:space="preserve">, f. único; </w:t>
      </w:r>
      <w:hyperlink w:anchor="AUTO_2023_569" w:history="1">
        <w:r w:rsidRPr="00DA359F">
          <w:rPr>
            <w:rStyle w:val="TextoNormalCaracter"/>
          </w:rPr>
          <w:t>569/2023</w:t>
        </w:r>
      </w:hyperlink>
      <w:r>
        <w:t xml:space="preserve">, f. único; </w:t>
      </w:r>
      <w:hyperlink w:anchor="AUTO_2023_570" w:history="1">
        <w:r w:rsidRPr="00DA359F">
          <w:rPr>
            <w:rStyle w:val="TextoNormalCaracter"/>
          </w:rPr>
          <w:t>570/2023</w:t>
        </w:r>
      </w:hyperlink>
      <w:r>
        <w:t xml:space="preserve">, f. único; </w:t>
      </w:r>
      <w:hyperlink w:anchor="AUTO_2023_571" w:history="1">
        <w:r w:rsidRPr="00DA359F">
          <w:rPr>
            <w:rStyle w:val="TextoNormalCaracter"/>
          </w:rPr>
          <w:t>571/2023</w:t>
        </w:r>
      </w:hyperlink>
      <w:r>
        <w:t xml:space="preserve">, f. único; </w:t>
      </w:r>
      <w:hyperlink w:anchor="AUTO_2023_572" w:history="1">
        <w:r w:rsidRPr="00DA359F">
          <w:rPr>
            <w:rStyle w:val="TextoNormalCaracter"/>
          </w:rPr>
          <w:t>572/2023</w:t>
        </w:r>
      </w:hyperlink>
      <w:r>
        <w:t xml:space="preserve">, f. único; </w:t>
      </w:r>
      <w:hyperlink w:anchor="AUTO_2023_573" w:history="1">
        <w:r w:rsidRPr="00DA359F">
          <w:rPr>
            <w:rStyle w:val="TextoNormalCaracter"/>
          </w:rPr>
          <w:t>573/2023</w:t>
        </w:r>
      </w:hyperlink>
      <w:r>
        <w:t xml:space="preserve">, f. único; </w:t>
      </w:r>
      <w:hyperlink w:anchor="AUTO_2023_574" w:history="1">
        <w:r w:rsidRPr="00DA359F">
          <w:rPr>
            <w:rStyle w:val="TextoNormalCaracter"/>
          </w:rPr>
          <w:t>574/2023</w:t>
        </w:r>
      </w:hyperlink>
      <w:r>
        <w:t xml:space="preserve">, f. único; </w:t>
      </w:r>
      <w:hyperlink w:anchor="AUTO_2023_575" w:history="1">
        <w:r w:rsidRPr="00DA359F">
          <w:rPr>
            <w:rStyle w:val="TextoNormalCaracter"/>
          </w:rPr>
          <w:t>575/2023</w:t>
        </w:r>
      </w:hyperlink>
      <w:r>
        <w:t xml:space="preserve">, f. único; </w:t>
      </w:r>
      <w:hyperlink w:anchor="AUTO_2023_576" w:history="1">
        <w:r w:rsidRPr="00DA359F">
          <w:rPr>
            <w:rStyle w:val="TextoNormalCaracter"/>
          </w:rPr>
          <w:t>576/2023</w:t>
        </w:r>
      </w:hyperlink>
      <w:r>
        <w:t xml:space="preserve">, f. único; </w:t>
      </w:r>
      <w:hyperlink w:anchor="AUTO_2023_577" w:history="1">
        <w:r w:rsidRPr="00DA359F">
          <w:rPr>
            <w:rStyle w:val="TextoNormalCaracter"/>
          </w:rPr>
          <w:t>577/2023</w:t>
        </w:r>
      </w:hyperlink>
      <w:r>
        <w:t xml:space="preserve">, f. único; </w:t>
      </w:r>
      <w:hyperlink w:anchor="AUTO_2023_578" w:history="1">
        <w:r w:rsidRPr="00DA359F">
          <w:rPr>
            <w:rStyle w:val="TextoNormalCaracter"/>
          </w:rPr>
          <w:t>578/2023</w:t>
        </w:r>
      </w:hyperlink>
      <w:r>
        <w:t xml:space="preserve">, f. único; </w:t>
      </w:r>
      <w:hyperlink w:anchor="AUTO_2023_579" w:history="1">
        <w:r w:rsidRPr="00DA359F">
          <w:rPr>
            <w:rStyle w:val="TextoNormalCaracter"/>
          </w:rPr>
          <w:t>579/2023</w:t>
        </w:r>
      </w:hyperlink>
      <w:r>
        <w:t xml:space="preserve">, f. único; </w:t>
      </w:r>
      <w:hyperlink w:anchor="AUTO_2023_580" w:history="1">
        <w:r w:rsidRPr="00DA359F">
          <w:rPr>
            <w:rStyle w:val="TextoNormalCaracter"/>
          </w:rPr>
          <w:t>580/2023</w:t>
        </w:r>
      </w:hyperlink>
      <w:r>
        <w:t xml:space="preserve">, f. único; </w:t>
      </w:r>
      <w:hyperlink w:anchor="AUTO_2023_581" w:history="1">
        <w:r w:rsidRPr="00DA359F">
          <w:rPr>
            <w:rStyle w:val="TextoNormalCaracter"/>
          </w:rPr>
          <w:t>581/2023</w:t>
        </w:r>
      </w:hyperlink>
      <w:r>
        <w:t xml:space="preserve">, f. único; </w:t>
      </w:r>
      <w:hyperlink w:anchor="AUTO_2023_582" w:history="1">
        <w:r w:rsidRPr="00DA359F">
          <w:rPr>
            <w:rStyle w:val="TextoNormalCaracter"/>
          </w:rPr>
          <w:t>582/2023</w:t>
        </w:r>
      </w:hyperlink>
      <w:r>
        <w:t xml:space="preserve">, f. único; </w:t>
      </w:r>
      <w:hyperlink w:anchor="AUTO_2023_583" w:history="1">
        <w:r w:rsidRPr="00DA359F">
          <w:rPr>
            <w:rStyle w:val="TextoNormalCaracter"/>
          </w:rPr>
          <w:t>583/2023</w:t>
        </w:r>
      </w:hyperlink>
      <w:r>
        <w:t xml:space="preserve">, f. único; </w:t>
      </w:r>
      <w:hyperlink w:anchor="AUTO_2023_584" w:history="1">
        <w:r w:rsidRPr="00DA359F">
          <w:rPr>
            <w:rStyle w:val="TextoNormalCaracter"/>
          </w:rPr>
          <w:t>584/2023</w:t>
        </w:r>
      </w:hyperlink>
      <w:r>
        <w:t xml:space="preserve">, f. único; </w:t>
      </w:r>
      <w:hyperlink w:anchor="AUTO_2023_585" w:history="1">
        <w:r w:rsidRPr="00DA359F">
          <w:rPr>
            <w:rStyle w:val="TextoNormalCaracter"/>
          </w:rPr>
          <w:t>585/2023</w:t>
        </w:r>
      </w:hyperlink>
      <w:r>
        <w:t xml:space="preserve">, f. único; </w:t>
      </w:r>
      <w:hyperlink w:anchor="AUTO_2023_586" w:history="1">
        <w:r w:rsidRPr="00DA359F">
          <w:rPr>
            <w:rStyle w:val="TextoNormalCaracter"/>
          </w:rPr>
          <w:t>586/2023</w:t>
        </w:r>
      </w:hyperlink>
      <w:r>
        <w:t xml:space="preserve">, f. único; </w:t>
      </w:r>
      <w:hyperlink w:anchor="AUTO_2023_587" w:history="1">
        <w:r w:rsidRPr="00DA359F">
          <w:rPr>
            <w:rStyle w:val="TextoNormalCaracter"/>
          </w:rPr>
          <w:t>587/2023</w:t>
        </w:r>
      </w:hyperlink>
      <w:r>
        <w:t xml:space="preserve">, f. único; </w:t>
      </w:r>
      <w:hyperlink w:anchor="AUTO_2023_588" w:history="1">
        <w:r w:rsidRPr="00DA359F">
          <w:rPr>
            <w:rStyle w:val="TextoNormalCaracter"/>
          </w:rPr>
          <w:t>588/2023</w:t>
        </w:r>
      </w:hyperlink>
      <w:r>
        <w:t xml:space="preserve">, f. único; </w:t>
      </w:r>
      <w:hyperlink w:anchor="AUTO_2023_589" w:history="1">
        <w:r w:rsidRPr="00DA359F">
          <w:rPr>
            <w:rStyle w:val="TextoNormalCaracter"/>
          </w:rPr>
          <w:t>589/2023</w:t>
        </w:r>
      </w:hyperlink>
      <w:r>
        <w:t xml:space="preserve">, f. único; </w:t>
      </w:r>
      <w:hyperlink w:anchor="AUTO_2023_590" w:history="1">
        <w:r w:rsidRPr="00DA359F">
          <w:rPr>
            <w:rStyle w:val="TextoNormalCaracter"/>
          </w:rPr>
          <w:t>590/2023</w:t>
        </w:r>
      </w:hyperlink>
      <w:r>
        <w:t xml:space="preserve">, f. único; </w:t>
      </w:r>
      <w:hyperlink w:anchor="AUTO_2023_591" w:history="1">
        <w:r w:rsidRPr="00DA359F">
          <w:rPr>
            <w:rStyle w:val="TextoNormalCaracter"/>
          </w:rPr>
          <w:t>591/2023</w:t>
        </w:r>
      </w:hyperlink>
      <w:r>
        <w:t xml:space="preserve">, f. único; </w:t>
      </w:r>
      <w:hyperlink w:anchor="AUTO_2023_592" w:history="1">
        <w:r w:rsidRPr="00DA359F">
          <w:rPr>
            <w:rStyle w:val="TextoNormalCaracter"/>
          </w:rPr>
          <w:t>592/2023</w:t>
        </w:r>
      </w:hyperlink>
      <w:r>
        <w:t xml:space="preserve">, f. único; </w:t>
      </w:r>
      <w:hyperlink w:anchor="AUTO_2023_593" w:history="1">
        <w:r w:rsidRPr="00DA359F">
          <w:rPr>
            <w:rStyle w:val="TextoNormalCaracter"/>
          </w:rPr>
          <w:t>593/2023</w:t>
        </w:r>
      </w:hyperlink>
      <w:r>
        <w:t xml:space="preserve">, f. único; </w:t>
      </w:r>
      <w:hyperlink w:anchor="AUTO_2023_594" w:history="1">
        <w:r w:rsidRPr="00DA359F">
          <w:rPr>
            <w:rStyle w:val="TextoNormalCaracter"/>
          </w:rPr>
          <w:t>594/2023</w:t>
        </w:r>
      </w:hyperlink>
      <w:r>
        <w:t xml:space="preserve">, f. único; </w:t>
      </w:r>
      <w:hyperlink w:anchor="AUTO_2023_595" w:history="1">
        <w:r w:rsidRPr="00DA359F">
          <w:rPr>
            <w:rStyle w:val="TextoNormalCaracter"/>
          </w:rPr>
          <w:t>595/2023</w:t>
        </w:r>
      </w:hyperlink>
      <w:r>
        <w:t xml:space="preserve">, f. único; </w:t>
      </w:r>
      <w:hyperlink w:anchor="AUTO_2023_596" w:history="1">
        <w:r w:rsidRPr="00DA359F">
          <w:rPr>
            <w:rStyle w:val="TextoNormalCaracter"/>
          </w:rPr>
          <w:t>596/2023</w:t>
        </w:r>
      </w:hyperlink>
      <w:r>
        <w:t xml:space="preserve">, f. único; </w:t>
      </w:r>
      <w:hyperlink w:anchor="AUTO_2023_605" w:history="1">
        <w:r w:rsidRPr="00DA359F">
          <w:rPr>
            <w:rStyle w:val="TextoNormalCaracter"/>
          </w:rPr>
          <w:t>605/2023</w:t>
        </w:r>
      </w:hyperlink>
      <w:r>
        <w:t xml:space="preserve">, f. único; </w:t>
      </w:r>
      <w:hyperlink w:anchor="AUTO_2023_606" w:history="1">
        <w:r w:rsidRPr="00DA359F">
          <w:rPr>
            <w:rStyle w:val="TextoNormalCaracter"/>
          </w:rPr>
          <w:t>606/2023</w:t>
        </w:r>
      </w:hyperlink>
      <w:r>
        <w:t xml:space="preserve">, f. único; </w:t>
      </w:r>
      <w:hyperlink w:anchor="AUTO_2023_607" w:history="1">
        <w:r w:rsidRPr="00DA359F">
          <w:rPr>
            <w:rStyle w:val="TextoNormalCaracter"/>
          </w:rPr>
          <w:t>607/2023</w:t>
        </w:r>
      </w:hyperlink>
      <w:r>
        <w:t xml:space="preserve">, f. único; </w:t>
      </w:r>
      <w:hyperlink w:anchor="AUTO_2023_608" w:history="1">
        <w:r w:rsidRPr="00DA359F">
          <w:rPr>
            <w:rStyle w:val="TextoNormalCaracter"/>
          </w:rPr>
          <w:t>608/2023</w:t>
        </w:r>
      </w:hyperlink>
      <w:r>
        <w:t xml:space="preserve">, f. único; </w:t>
      </w:r>
      <w:hyperlink w:anchor="AUTO_2023_609" w:history="1">
        <w:r w:rsidRPr="00DA359F">
          <w:rPr>
            <w:rStyle w:val="TextoNormalCaracter"/>
          </w:rPr>
          <w:t>609/2023</w:t>
        </w:r>
      </w:hyperlink>
      <w:r>
        <w:t xml:space="preserve">, f. único; </w:t>
      </w:r>
      <w:hyperlink w:anchor="AUTO_2023_610" w:history="1">
        <w:r w:rsidRPr="00DA359F">
          <w:rPr>
            <w:rStyle w:val="TextoNormalCaracter"/>
          </w:rPr>
          <w:t>610/2023</w:t>
        </w:r>
      </w:hyperlink>
      <w:r>
        <w:t xml:space="preserve">, f. único; </w:t>
      </w:r>
      <w:hyperlink w:anchor="AUTO_2023_611" w:history="1">
        <w:r w:rsidRPr="00DA359F">
          <w:rPr>
            <w:rStyle w:val="TextoNormalCaracter"/>
          </w:rPr>
          <w:t>611/2023</w:t>
        </w:r>
      </w:hyperlink>
      <w:r>
        <w:t xml:space="preserve">, f. único; </w:t>
      </w:r>
      <w:hyperlink w:anchor="AUTO_2023_612" w:history="1">
        <w:r w:rsidRPr="00DA359F">
          <w:rPr>
            <w:rStyle w:val="TextoNormalCaracter"/>
          </w:rPr>
          <w:t>612/2023</w:t>
        </w:r>
      </w:hyperlink>
      <w:r>
        <w:t xml:space="preserve">, f. único; </w:t>
      </w:r>
      <w:hyperlink w:anchor="AUTO_2023_613" w:history="1">
        <w:r w:rsidRPr="00DA359F">
          <w:rPr>
            <w:rStyle w:val="TextoNormalCaracter"/>
          </w:rPr>
          <w:t>613/2023</w:t>
        </w:r>
      </w:hyperlink>
      <w:r>
        <w:t xml:space="preserve">, f. único; </w:t>
      </w:r>
      <w:hyperlink w:anchor="AUTO_2023_614" w:history="1">
        <w:r w:rsidRPr="00DA359F">
          <w:rPr>
            <w:rStyle w:val="TextoNormalCaracter"/>
          </w:rPr>
          <w:t>614/2023</w:t>
        </w:r>
      </w:hyperlink>
      <w:r>
        <w:t xml:space="preserve">, f. único; </w:t>
      </w:r>
      <w:hyperlink w:anchor="AUTO_2023_615" w:history="1">
        <w:r w:rsidRPr="00DA359F">
          <w:rPr>
            <w:rStyle w:val="TextoNormalCaracter"/>
          </w:rPr>
          <w:t>615/2023</w:t>
        </w:r>
      </w:hyperlink>
      <w:r>
        <w:t xml:space="preserve">, f. único; </w:t>
      </w:r>
      <w:hyperlink w:anchor="AUTO_2023_616" w:history="1">
        <w:r w:rsidRPr="00DA359F">
          <w:rPr>
            <w:rStyle w:val="TextoNormalCaracter"/>
          </w:rPr>
          <w:t>616/2023</w:t>
        </w:r>
      </w:hyperlink>
      <w:r>
        <w:t xml:space="preserve">, f. único; </w:t>
      </w:r>
      <w:hyperlink w:anchor="AUTO_2023_617" w:history="1">
        <w:r w:rsidRPr="00DA359F">
          <w:rPr>
            <w:rStyle w:val="TextoNormalCaracter"/>
          </w:rPr>
          <w:t>617/2023</w:t>
        </w:r>
      </w:hyperlink>
      <w:r>
        <w:t xml:space="preserve">, f. único; </w:t>
      </w:r>
      <w:hyperlink w:anchor="AUTO_2023_618" w:history="1">
        <w:r w:rsidRPr="00DA359F">
          <w:rPr>
            <w:rStyle w:val="TextoNormalCaracter"/>
          </w:rPr>
          <w:t>618/2023</w:t>
        </w:r>
      </w:hyperlink>
      <w:r>
        <w:t xml:space="preserve">, f. único; </w:t>
      </w:r>
      <w:hyperlink w:anchor="AUTO_2023_619" w:history="1">
        <w:r w:rsidRPr="00DA359F">
          <w:rPr>
            <w:rStyle w:val="TextoNormalCaracter"/>
          </w:rPr>
          <w:t>619/2023</w:t>
        </w:r>
      </w:hyperlink>
      <w:r>
        <w:t xml:space="preserve">, f. único; </w:t>
      </w:r>
      <w:hyperlink w:anchor="AUTO_2023_620" w:history="1">
        <w:r w:rsidRPr="00DA359F">
          <w:rPr>
            <w:rStyle w:val="TextoNormalCaracter"/>
          </w:rPr>
          <w:t>620/2023</w:t>
        </w:r>
      </w:hyperlink>
      <w:r>
        <w:t xml:space="preserve">, f. único; </w:t>
      </w:r>
      <w:hyperlink w:anchor="AUTO_2023_621" w:history="1">
        <w:r w:rsidRPr="00DA359F">
          <w:rPr>
            <w:rStyle w:val="TextoNormalCaracter"/>
          </w:rPr>
          <w:t>621/2023</w:t>
        </w:r>
      </w:hyperlink>
      <w:r>
        <w:t xml:space="preserve">, f. único; </w:t>
      </w:r>
      <w:hyperlink w:anchor="AUTO_2023_622" w:history="1">
        <w:r w:rsidRPr="00DA359F">
          <w:rPr>
            <w:rStyle w:val="TextoNormalCaracter"/>
          </w:rPr>
          <w:t>622/2023</w:t>
        </w:r>
      </w:hyperlink>
      <w:r>
        <w:t xml:space="preserve">, f. único; </w:t>
      </w:r>
      <w:hyperlink w:anchor="AUTO_2023_623" w:history="1">
        <w:r w:rsidRPr="00DA359F">
          <w:rPr>
            <w:rStyle w:val="TextoNormalCaracter"/>
          </w:rPr>
          <w:t>623/2023</w:t>
        </w:r>
      </w:hyperlink>
      <w:r>
        <w:t xml:space="preserve">; </w:t>
      </w:r>
      <w:hyperlink w:anchor="AUTO_2023_624" w:history="1">
        <w:r w:rsidRPr="00DA359F">
          <w:rPr>
            <w:rStyle w:val="TextoNormalCaracter"/>
          </w:rPr>
          <w:t>624/2023</w:t>
        </w:r>
      </w:hyperlink>
      <w:r>
        <w:t xml:space="preserve">, f. único; </w:t>
      </w:r>
      <w:hyperlink w:anchor="AUTO_2023_625" w:history="1">
        <w:r w:rsidRPr="00DA359F">
          <w:rPr>
            <w:rStyle w:val="TextoNormalCaracter"/>
          </w:rPr>
          <w:t>625/2023</w:t>
        </w:r>
      </w:hyperlink>
      <w:r>
        <w:t xml:space="preserve">, f. único; </w:t>
      </w:r>
      <w:hyperlink w:anchor="AUTO_2023_626" w:history="1">
        <w:r w:rsidRPr="00DA359F">
          <w:rPr>
            <w:rStyle w:val="TextoNormalCaracter"/>
          </w:rPr>
          <w:t>626/2023</w:t>
        </w:r>
      </w:hyperlink>
      <w:r>
        <w:t xml:space="preserve">, f. único; </w:t>
      </w:r>
      <w:hyperlink w:anchor="AUTO_2023_627" w:history="1">
        <w:r w:rsidRPr="00DA359F">
          <w:rPr>
            <w:rStyle w:val="TextoNormalCaracter"/>
          </w:rPr>
          <w:t>627/2023</w:t>
        </w:r>
      </w:hyperlink>
      <w:r>
        <w:t xml:space="preserve">, f. único; </w:t>
      </w:r>
      <w:hyperlink w:anchor="AUTO_2023_628" w:history="1">
        <w:r w:rsidRPr="00DA359F">
          <w:rPr>
            <w:rStyle w:val="TextoNormalCaracter"/>
          </w:rPr>
          <w:t>628/2023</w:t>
        </w:r>
      </w:hyperlink>
      <w:r>
        <w:t xml:space="preserve">, f. único; </w:t>
      </w:r>
      <w:hyperlink w:anchor="AUTO_2023_629" w:history="1">
        <w:r w:rsidRPr="00DA359F">
          <w:rPr>
            <w:rStyle w:val="TextoNormalCaracter"/>
          </w:rPr>
          <w:t>629/2023</w:t>
        </w:r>
      </w:hyperlink>
      <w:r>
        <w:t xml:space="preserve">, f. único; </w:t>
      </w:r>
      <w:hyperlink w:anchor="AUTO_2023_630" w:history="1">
        <w:r w:rsidRPr="00DA359F">
          <w:rPr>
            <w:rStyle w:val="TextoNormalCaracter"/>
          </w:rPr>
          <w:t>630/2023</w:t>
        </w:r>
      </w:hyperlink>
      <w:r>
        <w:t xml:space="preserve">, f. único; </w:t>
      </w:r>
      <w:hyperlink w:anchor="AUTO_2023_631" w:history="1">
        <w:r w:rsidRPr="00DA359F">
          <w:rPr>
            <w:rStyle w:val="TextoNormalCaracter"/>
          </w:rPr>
          <w:t>631/2023</w:t>
        </w:r>
      </w:hyperlink>
      <w:r>
        <w:t xml:space="preserve">, f. único; </w:t>
      </w:r>
      <w:hyperlink w:anchor="AUTO_2023_632" w:history="1">
        <w:r w:rsidRPr="00DA359F">
          <w:rPr>
            <w:rStyle w:val="TextoNormalCaracter"/>
          </w:rPr>
          <w:t>632/2023</w:t>
        </w:r>
      </w:hyperlink>
      <w:r>
        <w:t xml:space="preserve">, f. único; </w:t>
      </w:r>
      <w:hyperlink w:anchor="AUTO_2023_633" w:history="1">
        <w:r w:rsidRPr="00DA359F">
          <w:rPr>
            <w:rStyle w:val="TextoNormalCaracter"/>
          </w:rPr>
          <w:t>633/2023</w:t>
        </w:r>
      </w:hyperlink>
      <w:r>
        <w:t xml:space="preserve">, f. único; </w:t>
      </w:r>
      <w:hyperlink w:anchor="AUTO_2023_634" w:history="1">
        <w:r w:rsidRPr="00DA359F">
          <w:rPr>
            <w:rStyle w:val="TextoNormalCaracter"/>
          </w:rPr>
          <w:t>634/2023</w:t>
        </w:r>
      </w:hyperlink>
      <w:r>
        <w:t xml:space="preserve">, f. único; </w:t>
      </w:r>
      <w:hyperlink w:anchor="AUTO_2023_635" w:history="1">
        <w:r w:rsidRPr="00DA359F">
          <w:rPr>
            <w:rStyle w:val="TextoNormalCaracter"/>
          </w:rPr>
          <w:t>635/2023</w:t>
        </w:r>
      </w:hyperlink>
      <w:r>
        <w:t xml:space="preserve">, f. único; </w:t>
      </w:r>
      <w:hyperlink w:anchor="AUTO_2023_636" w:history="1">
        <w:r w:rsidRPr="00DA359F">
          <w:rPr>
            <w:rStyle w:val="TextoNormalCaracter"/>
          </w:rPr>
          <w:t>636/2023</w:t>
        </w:r>
      </w:hyperlink>
      <w:r>
        <w:t xml:space="preserve">, f. único; </w:t>
      </w:r>
      <w:hyperlink w:anchor="AUTO_2023_637" w:history="1">
        <w:r w:rsidRPr="00DA359F">
          <w:rPr>
            <w:rStyle w:val="TextoNormalCaracter"/>
          </w:rPr>
          <w:t>637/2023</w:t>
        </w:r>
      </w:hyperlink>
      <w:r>
        <w:t xml:space="preserve">, f. único; </w:t>
      </w:r>
      <w:hyperlink w:anchor="AUTO_2023_638" w:history="1">
        <w:r w:rsidRPr="00DA359F">
          <w:rPr>
            <w:rStyle w:val="TextoNormalCaracter"/>
          </w:rPr>
          <w:t>638/2023</w:t>
        </w:r>
      </w:hyperlink>
      <w:r>
        <w:t xml:space="preserve">, f. único; </w:t>
      </w:r>
      <w:hyperlink w:anchor="AUTO_2023_639" w:history="1">
        <w:r w:rsidRPr="00DA359F">
          <w:rPr>
            <w:rStyle w:val="TextoNormalCaracter"/>
          </w:rPr>
          <w:t>639/2023</w:t>
        </w:r>
      </w:hyperlink>
      <w:r>
        <w:t xml:space="preserve">, f. único; </w:t>
      </w:r>
      <w:hyperlink w:anchor="AUTO_2023_640" w:history="1">
        <w:r w:rsidRPr="00DA359F">
          <w:rPr>
            <w:rStyle w:val="TextoNormalCaracter"/>
          </w:rPr>
          <w:t>640/2023</w:t>
        </w:r>
      </w:hyperlink>
      <w:r>
        <w:t xml:space="preserve">, f. único; </w:t>
      </w:r>
      <w:hyperlink w:anchor="AUTO_2023_641" w:history="1">
        <w:r w:rsidRPr="00DA359F">
          <w:rPr>
            <w:rStyle w:val="TextoNormalCaracter"/>
          </w:rPr>
          <w:t>641/2023</w:t>
        </w:r>
      </w:hyperlink>
      <w:r>
        <w:t xml:space="preserve">, f. único; </w:t>
      </w:r>
      <w:hyperlink w:anchor="AUTO_2023_642" w:history="1">
        <w:r w:rsidRPr="00DA359F">
          <w:rPr>
            <w:rStyle w:val="TextoNormalCaracter"/>
          </w:rPr>
          <w:t>642/2023</w:t>
        </w:r>
      </w:hyperlink>
      <w:r>
        <w:t xml:space="preserve">, f. único; </w:t>
      </w:r>
      <w:hyperlink w:anchor="AUTO_2023_643" w:history="1">
        <w:r w:rsidRPr="00DA359F">
          <w:rPr>
            <w:rStyle w:val="TextoNormalCaracter"/>
          </w:rPr>
          <w:t>643/2023</w:t>
        </w:r>
      </w:hyperlink>
      <w:r>
        <w:t xml:space="preserve">, f. único; </w:t>
      </w:r>
      <w:hyperlink w:anchor="AUTO_2023_644" w:history="1">
        <w:r w:rsidRPr="00DA359F">
          <w:rPr>
            <w:rStyle w:val="TextoNormalCaracter"/>
          </w:rPr>
          <w:t>644/2023</w:t>
        </w:r>
      </w:hyperlink>
      <w:r>
        <w:t xml:space="preserve">, f. único; </w:t>
      </w:r>
      <w:hyperlink w:anchor="AUTO_2023_645" w:history="1">
        <w:r w:rsidRPr="00DA359F">
          <w:rPr>
            <w:rStyle w:val="TextoNormalCaracter"/>
          </w:rPr>
          <w:t>645/2023</w:t>
        </w:r>
      </w:hyperlink>
      <w:r>
        <w:t xml:space="preserve">, f. único; </w:t>
      </w:r>
      <w:hyperlink w:anchor="AUTO_2023_646" w:history="1">
        <w:r w:rsidRPr="00DA359F">
          <w:rPr>
            <w:rStyle w:val="TextoNormalCaracter"/>
          </w:rPr>
          <w:t>646/2023</w:t>
        </w:r>
      </w:hyperlink>
      <w:r>
        <w:t xml:space="preserve">, f. único; </w:t>
      </w:r>
      <w:hyperlink w:anchor="AUTO_2023_647" w:history="1">
        <w:r w:rsidRPr="00DA359F">
          <w:rPr>
            <w:rStyle w:val="TextoNormalCaracter"/>
          </w:rPr>
          <w:t>647/2023</w:t>
        </w:r>
      </w:hyperlink>
      <w:r>
        <w:t xml:space="preserve">, f. único; </w:t>
      </w:r>
      <w:hyperlink w:anchor="AUTO_2023_648" w:history="1">
        <w:r w:rsidRPr="00DA359F">
          <w:rPr>
            <w:rStyle w:val="TextoNormalCaracter"/>
          </w:rPr>
          <w:t>648/2023</w:t>
        </w:r>
      </w:hyperlink>
      <w:r>
        <w:t xml:space="preserve">, f. único; </w:t>
      </w:r>
      <w:hyperlink w:anchor="AUTO_2023_649" w:history="1">
        <w:r w:rsidRPr="00DA359F">
          <w:rPr>
            <w:rStyle w:val="TextoNormalCaracter"/>
          </w:rPr>
          <w:t>649/2023</w:t>
        </w:r>
      </w:hyperlink>
      <w:r>
        <w:t xml:space="preserve">, f. único; </w:t>
      </w:r>
      <w:hyperlink w:anchor="AUTO_2023_650" w:history="1">
        <w:r w:rsidRPr="00DA359F">
          <w:rPr>
            <w:rStyle w:val="TextoNormalCaracter"/>
          </w:rPr>
          <w:t>650/2023</w:t>
        </w:r>
      </w:hyperlink>
      <w:r>
        <w:t xml:space="preserve">, f. único; </w:t>
      </w:r>
      <w:hyperlink w:anchor="AUTO_2023_651" w:history="1">
        <w:r w:rsidRPr="00DA359F">
          <w:rPr>
            <w:rStyle w:val="TextoNormalCaracter"/>
          </w:rPr>
          <w:t>651/2023</w:t>
        </w:r>
      </w:hyperlink>
      <w:r>
        <w:t xml:space="preserve">, f. único; </w:t>
      </w:r>
      <w:hyperlink w:anchor="AUTO_2023_652" w:history="1">
        <w:r w:rsidRPr="00DA359F">
          <w:rPr>
            <w:rStyle w:val="TextoNormalCaracter"/>
          </w:rPr>
          <w:t>652/2023</w:t>
        </w:r>
      </w:hyperlink>
      <w:r>
        <w:t xml:space="preserve">, f. único; </w:t>
      </w:r>
      <w:hyperlink w:anchor="AUTO_2023_653" w:history="1">
        <w:r w:rsidRPr="00DA359F">
          <w:rPr>
            <w:rStyle w:val="TextoNormalCaracter"/>
          </w:rPr>
          <w:t>653/2023</w:t>
        </w:r>
      </w:hyperlink>
      <w:r>
        <w:t xml:space="preserve">, f. único; </w:t>
      </w:r>
      <w:hyperlink w:anchor="AUTO_2023_654" w:history="1">
        <w:r w:rsidRPr="00DA359F">
          <w:rPr>
            <w:rStyle w:val="TextoNormalCaracter"/>
          </w:rPr>
          <w:t>654/2023</w:t>
        </w:r>
      </w:hyperlink>
      <w:r>
        <w:t xml:space="preserve">, f. único; </w:t>
      </w:r>
      <w:hyperlink w:anchor="AUTO_2023_655" w:history="1">
        <w:r w:rsidRPr="00DA359F">
          <w:rPr>
            <w:rStyle w:val="TextoNormalCaracter"/>
          </w:rPr>
          <w:t>655/2023</w:t>
        </w:r>
      </w:hyperlink>
      <w:r>
        <w:t xml:space="preserve">, f. único; </w:t>
      </w:r>
      <w:hyperlink w:anchor="AUTO_2023_656" w:history="1">
        <w:r w:rsidRPr="00DA359F">
          <w:rPr>
            <w:rStyle w:val="TextoNormalCaracter"/>
          </w:rPr>
          <w:t>656/2023</w:t>
        </w:r>
      </w:hyperlink>
      <w:r>
        <w:t xml:space="preserve">, f. único; </w:t>
      </w:r>
      <w:hyperlink w:anchor="AUTO_2023_657" w:history="1">
        <w:r w:rsidRPr="00DA359F">
          <w:rPr>
            <w:rStyle w:val="TextoNormalCaracter"/>
          </w:rPr>
          <w:t>657/2023</w:t>
        </w:r>
      </w:hyperlink>
      <w:r>
        <w:t xml:space="preserve">, f. único; </w:t>
      </w:r>
      <w:hyperlink w:anchor="AUTO_2023_658" w:history="1">
        <w:r w:rsidRPr="00DA359F">
          <w:rPr>
            <w:rStyle w:val="TextoNormalCaracter"/>
          </w:rPr>
          <w:t>658/2023</w:t>
        </w:r>
      </w:hyperlink>
      <w:r>
        <w:t xml:space="preserve">, f. único; </w:t>
      </w:r>
      <w:hyperlink w:anchor="AUTO_2023_659" w:history="1">
        <w:r w:rsidRPr="00DA359F">
          <w:rPr>
            <w:rStyle w:val="TextoNormalCaracter"/>
          </w:rPr>
          <w:t>659/2023</w:t>
        </w:r>
      </w:hyperlink>
      <w:r>
        <w:t xml:space="preserve">, f. único; </w:t>
      </w:r>
      <w:hyperlink w:anchor="AUTO_2023_660" w:history="1">
        <w:r w:rsidRPr="00DA359F">
          <w:rPr>
            <w:rStyle w:val="TextoNormalCaracter"/>
          </w:rPr>
          <w:t>660/2023</w:t>
        </w:r>
      </w:hyperlink>
      <w:r>
        <w:t xml:space="preserve">, f. único; </w:t>
      </w:r>
      <w:hyperlink w:anchor="AUTO_2023_662" w:history="1">
        <w:r w:rsidRPr="00DA359F">
          <w:rPr>
            <w:rStyle w:val="TextoNormalCaracter"/>
          </w:rPr>
          <w:t>662/2023</w:t>
        </w:r>
      </w:hyperlink>
      <w:r>
        <w:t xml:space="preserve">, f. único; </w:t>
      </w:r>
      <w:hyperlink w:anchor="AUTO_2023_664" w:history="1">
        <w:r w:rsidRPr="00DA359F">
          <w:rPr>
            <w:rStyle w:val="TextoNormalCaracter"/>
          </w:rPr>
          <w:t>664/2023</w:t>
        </w:r>
      </w:hyperlink>
      <w:r>
        <w:t xml:space="preserve">, f. único; </w:t>
      </w:r>
      <w:hyperlink w:anchor="AUTO_2023_670" w:history="1">
        <w:r w:rsidRPr="00DA359F">
          <w:rPr>
            <w:rStyle w:val="TextoNormalCaracter"/>
          </w:rPr>
          <w:t>670/2023</w:t>
        </w:r>
      </w:hyperlink>
      <w:r>
        <w:t xml:space="preserve">, f. único; </w:t>
      </w:r>
      <w:hyperlink w:anchor="AUTO_2023_671" w:history="1">
        <w:r w:rsidRPr="00DA359F">
          <w:rPr>
            <w:rStyle w:val="TextoNormalCaracter"/>
          </w:rPr>
          <w:t>671/2023</w:t>
        </w:r>
      </w:hyperlink>
      <w:r>
        <w:t xml:space="preserve">, f. único; </w:t>
      </w:r>
      <w:hyperlink w:anchor="AUTO_2023_672" w:history="1">
        <w:r w:rsidRPr="00DA359F">
          <w:rPr>
            <w:rStyle w:val="TextoNormalCaracter"/>
          </w:rPr>
          <w:t>672/2023</w:t>
        </w:r>
      </w:hyperlink>
      <w:r>
        <w:t xml:space="preserve">, f. único; </w:t>
      </w:r>
      <w:hyperlink w:anchor="AUTO_2023_673" w:history="1">
        <w:r w:rsidRPr="00DA359F">
          <w:rPr>
            <w:rStyle w:val="TextoNormalCaracter"/>
          </w:rPr>
          <w:t>673/2023</w:t>
        </w:r>
      </w:hyperlink>
      <w:r>
        <w:t xml:space="preserve">, f. único; </w:t>
      </w:r>
      <w:hyperlink w:anchor="AUTO_2023_674" w:history="1">
        <w:r w:rsidRPr="00DA359F">
          <w:rPr>
            <w:rStyle w:val="TextoNormalCaracter"/>
          </w:rPr>
          <w:t>674/2023</w:t>
        </w:r>
      </w:hyperlink>
      <w:r>
        <w:t xml:space="preserve">, f. único; </w:t>
      </w:r>
      <w:hyperlink w:anchor="AUTO_2023_675" w:history="1">
        <w:r w:rsidRPr="00DA359F">
          <w:rPr>
            <w:rStyle w:val="TextoNormalCaracter"/>
          </w:rPr>
          <w:t>675/2023</w:t>
        </w:r>
      </w:hyperlink>
      <w:r>
        <w:t xml:space="preserve">, f. único; </w:t>
      </w:r>
      <w:hyperlink w:anchor="AUTO_2023_676" w:history="1">
        <w:r w:rsidRPr="00DA359F">
          <w:rPr>
            <w:rStyle w:val="TextoNormalCaracter"/>
          </w:rPr>
          <w:t>676/2023</w:t>
        </w:r>
      </w:hyperlink>
      <w:r>
        <w:t xml:space="preserve">, f. único; </w:t>
      </w:r>
      <w:hyperlink w:anchor="AUTO_2023_677" w:history="1">
        <w:r w:rsidRPr="00DA359F">
          <w:rPr>
            <w:rStyle w:val="TextoNormalCaracter"/>
          </w:rPr>
          <w:t>677/2023</w:t>
        </w:r>
      </w:hyperlink>
      <w:r>
        <w:t xml:space="preserve">, f. único; </w:t>
      </w:r>
      <w:hyperlink w:anchor="AUTO_2023_678" w:history="1">
        <w:r w:rsidRPr="00DA359F">
          <w:rPr>
            <w:rStyle w:val="TextoNormalCaracter"/>
          </w:rPr>
          <w:t>678/2023</w:t>
        </w:r>
      </w:hyperlink>
      <w:r>
        <w:t xml:space="preserve">, f. único; </w:t>
      </w:r>
      <w:hyperlink w:anchor="AUTO_2023_679" w:history="1">
        <w:r w:rsidRPr="00DA359F">
          <w:rPr>
            <w:rStyle w:val="TextoNormalCaracter"/>
          </w:rPr>
          <w:t>679/2023</w:t>
        </w:r>
      </w:hyperlink>
      <w:r>
        <w:t xml:space="preserve">, f. único; </w:t>
      </w:r>
      <w:hyperlink w:anchor="AUTO_2023_680" w:history="1">
        <w:r w:rsidRPr="00DA359F">
          <w:rPr>
            <w:rStyle w:val="TextoNormalCaracter"/>
          </w:rPr>
          <w:t>680/2023</w:t>
        </w:r>
      </w:hyperlink>
      <w:r>
        <w:t xml:space="preserve">, f. único; </w:t>
      </w:r>
      <w:hyperlink w:anchor="AUTO_2023_681" w:history="1">
        <w:r w:rsidRPr="00DA359F">
          <w:rPr>
            <w:rStyle w:val="TextoNormalCaracter"/>
          </w:rPr>
          <w:t>681/2023</w:t>
        </w:r>
      </w:hyperlink>
      <w:r>
        <w:t xml:space="preserve">, f. único; </w:t>
      </w:r>
      <w:hyperlink w:anchor="AUTO_2023_682" w:history="1">
        <w:r w:rsidRPr="00DA359F">
          <w:rPr>
            <w:rStyle w:val="TextoNormalCaracter"/>
          </w:rPr>
          <w:t>682/2023</w:t>
        </w:r>
      </w:hyperlink>
      <w:r>
        <w:t xml:space="preserve">, f. único; </w:t>
      </w:r>
      <w:hyperlink w:anchor="AUTO_2023_683" w:history="1">
        <w:r w:rsidRPr="00DA359F">
          <w:rPr>
            <w:rStyle w:val="TextoNormalCaracter"/>
          </w:rPr>
          <w:t>683/2023</w:t>
        </w:r>
      </w:hyperlink>
      <w:r>
        <w:t xml:space="preserve">, f. único; </w:t>
      </w:r>
      <w:hyperlink w:anchor="AUTO_2023_684" w:history="1">
        <w:r w:rsidRPr="00DA359F">
          <w:rPr>
            <w:rStyle w:val="TextoNormalCaracter"/>
          </w:rPr>
          <w:t>684/2023</w:t>
        </w:r>
      </w:hyperlink>
      <w:r>
        <w:t xml:space="preserve">, f. único; </w:t>
      </w:r>
      <w:hyperlink w:anchor="AUTO_2023_685" w:history="1">
        <w:r w:rsidRPr="00DA359F">
          <w:rPr>
            <w:rStyle w:val="TextoNormalCaracter"/>
          </w:rPr>
          <w:t>685/2023</w:t>
        </w:r>
      </w:hyperlink>
      <w:r>
        <w:t xml:space="preserve">, f. único; </w:t>
      </w:r>
      <w:hyperlink w:anchor="AUTO_2023_686" w:history="1">
        <w:r w:rsidRPr="00DA359F">
          <w:rPr>
            <w:rStyle w:val="TextoNormalCaracter"/>
          </w:rPr>
          <w:t>686/2023</w:t>
        </w:r>
      </w:hyperlink>
      <w:r>
        <w:t xml:space="preserve">, f. único; </w:t>
      </w:r>
      <w:hyperlink w:anchor="AUTO_2023_687" w:history="1">
        <w:r w:rsidRPr="00DA359F">
          <w:rPr>
            <w:rStyle w:val="TextoNormalCaracter"/>
          </w:rPr>
          <w:t>687/2023</w:t>
        </w:r>
      </w:hyperlink>
      <w:r>
        <w:t xml:space="preserve">, f. único; </w:t>
      </w:r>
      <w:hyperlink w:anchor="AUTO_2023_688" w:history="1">
        <w:r w:rsidRPr="00DA359F">
          <w:rPr>
            <w:rStyle w:val="TextoNormalCaracter"/>
          </w:rPr>
          <w:t>688/2023</w:t>
        </w:r>
      </w:hyperlink>
      <w:r>
        <w:t xml:space="preserve">, f. único; </w:t>
      </w:r>
      <w:hyperlink w:anchor="AUTO_2023_689" w:history="1">
        <w:r w:rsidRPr="00DA359F">
          <w:rPr>
            <w:rStyle w:val="TextoNormalCaracter"/>
          </w:rPr>
          <w:t>689/2023</w:t>
        </w:r>
      </w:hyperlink>
      <w:r>
        <w:t>, f. único.</w:t>
      </w:r>
    </w:p>
    <w:p w14:paraId="67F1CEB1" w14:textId="2881609C" w:rsidR="00DA359F" w:rsidRDefault="00DA359F" w:rsidP="00DA359F">
      <w:pPr>
        <w:pStyle w:val="SangriaFrancesaArticulo"/>
      </w:pPr>
      <w:r w:rsidRPr="00DA359F">
        <w:rPr>
          <w:rStyle w:val="TextoNormalNegritaCaracter"/>
        </w:rPr>
        <w:t>Artículo 223.1.</w:t>
      </w:r>
      <w:r w:rsidRPr="00DA359F">
        <w:rPr>
          <w:rStyle w:val="TextoNormalCaracter"/>
        </w:rPr>
        <w:t>-</w:t>
      </w:r>
      <w:r>
        <w:t xml:space="preserve"> Autos </w:t>
      </w:r>
      <w:hyperlink w:anchor="AUTO_2023_353" w:history="1">
        <w:r w:rsidRPr="00DA359F">
          <w:rPr>
            <w:rStyle w:val="TextoNormalCaracter"/>
          </w:rPr>
          <w:t>353/2023</w:t>
        </w:r>
      </w:hyperlink>
      <w:r>
        <w:t xml:space="preserve">, f. 3; </w:t>
      </w:r>
      <w:hyperlink w:anchor="AUTO_2023_490" w:history="1">
        <w:r w:rsidRPr="00DA359F">
          <w:rPr>
            <w:rStyle w:val="TextoNormalCaracter"/>
          </w:rPr>
          <w:t>490/2023</w:t>
        </w:r>
      </w:hyperlink>
      <w:r>
        <w:t xml:space="preserve">, f. 1; </w:t>
      </w:r>
      <w:hyperlink w:anchor="AUTO_2023_665" w:history="1">
        <w:r w:rsidRPr="00DA359F">
          <w:rPr>
            <w:rStyle w:val="TextoNormalCaracter"/>
          </w:rPr>
          <w:t>665/2023</w:t>
        </w:r>
      </w:hyperlink>
      <w:r>
        <w:t>, f. 2.</w:t>
      </w:r>
    </w:p>
    <w:p w14:paraId="3F9D82FF" w14:textId="2BF1E6AD" w:rsidR="00DA359F" w:rsidRDefault="00DA359F" w:rsidP="00DA359F">
      <w:pPr>
        <w:pStyle w:val="SangriaFrancesaArticulo"/>
      </w:pPr>
      <w:r w:rsidRPr="00DA359F">
        <w:rPr>
          <w:rStyle w:val="TextoNormalNegritaCaracter"/>
        </w:rPr>
        <w:t>Artículo 223.1.1.</w:t>
      </w:r>
      <w:r w:rsidRPr="00DA359F">
        <w:rPr>
          <w:rStyle w:val="TextoNormalCaracter"/>
        </w:rPr>
        <w:t>-</w:t>
      </w:r>
      <w:r>
        <w:t xml:space="preserve"> Auto </w:t>
      </w:r>
      <w:hyperlink w:anchor="AUTO_2023_665" w:history="1">
        <w:r w:rsidRPr="00DA359F">
          <w:rPr>
            <w:rStyle w:val="TextoNormalCaracter"/>
          </w:rPr>
          <w:t>665/2023</w:t>
        </w:r>
      </w:hyperlink>
      <w:r>
        <w:t>, f. 2.</w:t>
      </w:r>
    </w:p>
    <w:p w14:paraId="47D8E549" w14:textId="5F48EF9C" w:rsidR="00DA359F" w:rsidRDefault="00DA359F" w:rsidP="00DA359F">
      <w:pPr>
        <w:pStyle w:val="SangriaFrancesaArticulo"/>
      </w:pPr>
      <w:r w:rsidRPr="00DA359F">
        <w:rPr>
          <w:rStyle w:val="TextoNormalNegritaCaracter"/>
        </w:rPr>
        <w:t>Artículo 223.2.</w:t>
      </w:r>
      <w:r w:rsidRPr="00DA359F">
        <w:rPr>
          <w:rStyle w:val="TextoNormalCaracter"/>
        </w:rPr>
        <w:t>-</w:t>
      </w:r>
      <w:r>
        <w:t xml:space="preserve"> Auto </w:t>
      </w:r>
      <w:hyperlink w:anchor="AUTO_2023_488" w:history="1">
        <w:r w:rsidRPr="00DA359F">
          <w:rPr>
            <w:rStyle w:val="TextoNormalCaracter"/>
          </w:rPr>
          <w:t>488/2023</w:t>
        </w:r>
      </w:hyperlink>
      <w:r>
        <w:t>, ff. 1, 2.</w:t>
      </w:r>
    </w:p>
    <w:p w14:paraId="050CFED9" w14:textId="355EDBC9" w:rsidR="00DA359F" w:rsidRDefault="00DA359F" w:rsidP="00DA359F">
      <w:pPr>
        <w:pStyle w:val="SangriaFrancesaArticulo"/>
      </w:pPr>
      <w:r w:rsidRPr="00DA359F">
        <w:rPr>
          <w:rStyle w:val="TextoNormalNegritaCaracter"/>
        </w:rPr>
        <w:t>Artículo 223.3.</w:t>
      </w:r>
      <w:r w:rsidRPr="00DA359F">
        <w:rPr>
          <w:rStyle w:val="TextoNormalCaracter"/>
        </w:rPr>
        <w:t>-</w:t>
      </w:r>
      <w:r>
        <w:t xml:space="preserve"> Auto </w:t>
      </w:r>
      <w:hyperlink w:anchor="AUTO_2023_487" w:history="1">
        <w:r w:rsidRPr="00DA359F">
          <w:rPr>
            <w:rStyle w:val="TextoNormalCaracter"/>
          </w:rPr>
          <w:t>487/2023</w:t>
        </w:r>
      </w:hyperlink>
      <w:r>
        <w:t>, f. único.</w:t>
      </w:r>
    </w:p>
    <w:p w14:paraId="79B18AFC" w14:textId="3E63AC58" w:rsidR="00DA359F" w:rsidRDefault="00DA359F" w:rsidP="00DA359F">
      <w:pPr>
        <w:pStyle w:val="SangriaFrancesaArticulo"/>
      </w:pPr>
      <w:r w:rsidRPr="00DA359F">
        <w:rPr>
          <w:rStyle w:val="TextoNormalNegritaCaracter"/>
        </w:rPr>
        <w:t>Artículo 238.</w:t>
      </w:r>
      <w:r w:rsidRPr="00DA359F">
        <w:rPr>
          <w:rStyle w:val="TextoNormalCaracter"/>
        </w:rPr>
        <w:t>-</w:t>
      </w:r>
      <w:r>
        <w:t xml:space="preserve"> Sentencia </w:t>
      </w:r>
      <w:hyperlink w:anchor="SENTENCIA_2023_134" w:history="1">
        <w:r w:rsidRPr="00DA359F">
          <w:rPr>
            <w:rStyle w:val="TextoNormalCaracter"/>
          </w:rPr>
          <w:t>134/2023</w:t>
        </w:r>
      </w:hyperlink>
      <w:r>
        <w:t>, f. 4.</w:t>
      </w:r>
    </w:p>
    <w:p w14:paraId="4D00B454" w14:textId="633FA065" w:rsidR="00DA359F" w:rsidRDefault="00DA359F" w:rsidP="00DA359F">
      <w:pPr>
        <w:pStyle w:val="SangriaFrancesaArticulo"/>
      </w:pPr>
      <w:r w:rsidRPr="00DA359F">
        <w:rPr>
          <w:rStyle w:val="TextoNormalNegritaCaracter"/>
        </w:rPr>
        <w:t>Artículo 240 y siguientes.</w:t>
      </w:r>
      <w:r w:rsidRPr="00DA359F">
        <w:rPr>
          <w:rStyle w:val="TextoNormalCaracter"/>
        </w:rPr>
        <w:t>-</w:t>
      </w:r>
      <w:r>
        <w:t xml:space="preserve"> Auto </w:t>
      </w:r>
      <w:hyperlink w:anchor="AUTO_2023_668" w:history="1">
        <w:r w:rsidRPr="00DA359F">
          <w:rPr>
            <w:rStyle w:val="TextoNormalCaracter"/>
          </w:rPr>
          <w:t>668/2023</w:t>
        </w:r>
      </w:hyperlink>
      <w:r>
        <w:t>, f. único.</w:t>
      </w:r>
    </w:p>
    <w:p w14:paraId="3BC5CFEF" w14:textId="2527D5CD" w:rsidR="00DA359F" w:rsidRDefault="00DA359F" w:rsidP="00DA359F">
      <w:pPr>
        <w:pStyle w:val="SangriaFrancesaArticulo"/>
      </w:pPr>
      <w:r w:rsidRPr="00DA359F">
        <w:rPr>
          <w:rStyle w:val="TextoNormalNegritaCaracter"/>
        </w:rPr>
        <w:t>Artículo 241.</w:t>
      </w:r>
      <w:r w:rsidRPr="00DA359F">
        <w:rPr>
          <w:rStyle w:val="TextoNormalCaracter"/>
        </w:rPr>
        <w:t>-</w:t>
      </w:r>
      <w:r>
        <w:t xml:space="preserve"> Sentencias </w:t>
      </w:r>
      <w:hyperlink w:anchor="SENTENCIA_2023_83" w:history="1">
        <w:r w:rsidRPr="00DA359F">
          <w:rPr>
            <w:rStyle w:val="TextoNormalCaracter"/>
          </w:rPr>
          <w:t>83/2023</w:t>
        </w:r>
      </w:hyperlink>
      <w:r>
        <w:t xml:space="preserve">, f. 7; </w:t>
      </w:r>
      <w:hyperlink w:anchor="SENTENCIA_2023_84" w:history="1">
        <w:r w:rsidRPr="00DA359F">
          <w:rPr>
            <w:rStyle w:val="TextoNormalCaracter"/>
          </w:rPr>
          <w:t>84/2023</w:t>
        </w:r>
      </w:hyperlink>
      <w:r>
        <w:t xml:space="preserve">, f. 1; </w:t>
      </w:r>
      <w:hyperlink w:anchor="SENTENCIA_2023_87" w:history="1">
        <w:r w:rsidRPr="00DA359F">
          <w:rPr>
            <w:rStyle w:val="TextoNormalCaracter"/>
          </w:rPr>
          <w:t>87/2023</w:t>
        </w:r>
      </w:hyperlink>
      <w:r>
        <w:t xml:space="preserve">, f. 2; </w:t>
      </w:r>
      <w:hyperlink w:anchor="SENTENCIA_2023_151" w:history="1">
        <w:r w:rsidRPr="00DA359F">
          <w:rPr>
            <w:rStyle w:val="TextoNormalCaracter"/>
          </w:rPr>
          <w:t>151/2023</w:t>
        </w:r>
      </w:hyperlink>
      <w:r>
        <w:t>, f. 2.</w:t>
      </w:r>
    </w:p>
    <w:p w14:paraId="1E84E3D5" w14:textId="0CA27627" w:rsidR="00DA359F" w:rsidRDefault="00DA359F" w:rsidP="00DA359F">
      <w:pPr>
        <w:pStyle w:val="SangriaIzquierdaArticulo"/>
      </w:pPr>
      <w:r>
        <w:t xml:space="preserve">Auto </w:t>
      </w:r>
      <w:hyperlink w:anchor="AUTO_2023_375" w:history="1">
        <w:r w:rsidRPr="00DA359F">
          <w:rPr>
            <w:rStyle w:val="TextoNormalCaracter"/>
          </w:rPr>
          <w:t>375/2023</w:t>
        </w:r>
      </w:hyperlink>
      <w:r>
        <w:t>, f. 2.</w:t>
      </w:r>
    </w:p>
    <w:p w14:paraId="077372FA" w14:textId="19E1AA9B" w:rsidR="00DA359F" w:rsidRDefault="00DA359F" w:rsidP="00DA359F">
      <w:pPr>
        <w:pStyle w:val="SangriaFrancesaArticulo"/>
      </w:pPr>
      <w:r w:rsidRPr="00DA359F">
        <w:rPr>
          <w:rStyle w:val="TextoNormalNegritaCaracter"/>
        </w:rPr>
        <w:t>Artículo 241.1.</w:t>
      </w:r>
      <w:r w:rsidRPr="00DA359F">
        <w:rPr>
          <w:rStyle w:val="TextoNormalCaracter"/>
        </w:rPr>
        <w:t>-</w:t>
      </w:r>
      <w:r>
        <w:t xml:space="preserve"> Sentencias </w:t>
      </w:r>
      <w:hyperlink w:anchor="SENTENCIA_2023_80" w:history="1">
        <w:r w:rsidRPr="00DA359F">
          <w:rPr>
            <w:rStyle w:val="TextoNormalCaracter"/>
          </w:rPr>
          <w:t>80/2023</w:t>
        </w:r>
      </w:hyperlink>
      <w:r>
        <w:t xml:space="preserve">, f. 2; </w:t>
      </w:r>
      <w:hyperlink w:anchor="SENTENCIA_2023_86" w:history="1">
        <w:r w:rsidRPr="00DA359F">
          <w:rPr>
            <w:rStyle w:val="TextoNormalCaracter"/>
          </w:rPr>
          <w:t>86/2023</w:t>
        </w:r>
      </w:hyperlink>
      <w:r>
        <w:t xml:space="preserve">, f. 2; </w:t>
      </w:r>
      <w:hyperlink w:anchor="SENTENCIA_2023_92" w:history="1">
        <w:r w:rsidRPr="00DA359F">
          <w:rPr>
            <w:rStyle w:val="TextoNormalCaracter"/>
          </w:rPr>
          <w:t>92/2023</w:t>
        </w:r>
      </w:hyperlink>
      <w:r>
        <w:t xml:space="preserve">, ff. 1, 3; </w:t>
      </w:r>
      <w:hyperlink w:anchor="SENTENCIA_2023_102" w:history="1">
        <w:r w:rsidRPr="00DA359F">
          <w:rPr>
            <w:rStyle w:val="TextoNormalCaracter"/>
          </w:rPr>
          <w:t>102/2023</w:t>
        </w:r>
      </w:hyperlink>
      <w:r>
        <w:t xml:space="preserve">, f. 2; </w:t>
      </w:r>
      <w:hyperlink w:anchor="SENTENCIA_2023_106" w:history="1">
        <w:r w:rsidRPr="00DA359F">
          <w:rPr>
            <w:rStyle w:val="TextoNormalCaracter"/>
          </w:rPr>
          <w:t>106/2023</w:t>
        </w:r>
      </w:hyperlink>
      <w:r>
        <w:t xml:space="preserve">, f. 2; </w:t>
      </w:r>
      <w:hyperlink w:anchor="SENTENCIA_2023_115" w:history="1">
        <w:r w:rsidRPr="00DA359F">
          <w:rPr>
            <w:rStyle w:val="TextoNormalCaracter"/>
          </w:rPr>
          <w:t>115/2023</w:t>
        </w:r>
      </w:hyperlink>
      <w:r>
        <w:t xml:space="preserve">, f. 2; </w:t>
      </w:r>
      <w:hyperlink w:anchor="SENTENCIA_2023_130" w:history="1">
        <w:r w:rsidRPr="00DA359F">
          <w:rPr>
            <w:rStyle w:val="TextoNormalCaracter"/>
          </w:rPr>
          <w:t>130/2023</w:t>
        </w:r>
      </w:hyperlink>
      <w:r>
        <w:t xml:space="preserve">, f. único; </w:t>
      </w:r>
      <w:hyperlink w:anchor="SENTENCIA_2023_153" w:history="1">
        <w:r w:rsidRPr="00DA359F">
          <w:rPr>
            <w:rStyle w:val="TextoNormalCaracter"/>
          </w:rPr>
          <w:t>153/2023</w:t>
        </w:r>
      </w:hyperlink>
      <w:r>
        <w:t>, f. 3.</w:t>
      </w:r>
    </w:p>
    <w:p w14:paraId="0F77E68C" w14:textId="2CDB4F00" w:rsidR="00DA359F" w:rsidRDefault="00DA359F" w:rsidP="00DA359F">
      <w:pPr>
        <w:pStyle w:val="SangriaIzquierdaArticulo"/>
      </w:pPr>
      <w:r>
        <w:t xml:space="preserve">Auto </w:t>
      </w:r>
      <w:hyperlink w:anchor="AUTO_2023_447" w:history="1">
        <w:r w:rsidRPr="00DA359F">
          <w:rPr>
            <w:rStyle w:val="TextoNormalCaracter"/>
          </w:rPr>
          <w:t>447/2023</w:t>
        </w:r>
      </w:hyperlink>
      <w:r>
        <w:t>, f. 1.</w:t>
      </w:r>
    </w:p>
    <w:p w14:paraId="4AE2ABFC" w14:textId="4CA06B85" w:rsidR="00DA359F" w:rsidRDefault="00DA359F" w:rsidP="00DA359F">
      <w:pPr>
        <w:pStyle w:val="SangriaFrancesaArticulo"/>
      </w:pPr>
      <w:r w:rsidRPr="00DA359F">
        <w:rPr>
          <w:rStyle w:val="TextoNormalNegritaCaracter"/>
        </w:rPr>
        <w:t>Artículo 241.1</w:t>
      </w:r>
      <w:r>
        <w:t xml:space="preserve"> (redactado por la Ley Orgánica 6/2007, de 24 de mayo)</w:t>
      </w:r>
      <w:r w:rsidRPr="00DA359F">
        <w:rPr>
          <w:rStyle w:val="TextoNormalNegritaCaracter"/>
        </w:rPr>
        <w:t>.</w:t>
      </w:r>
      <w:r w:rsidRPr="00DA359F">
        <w:rPr>
          <w:rStyle w:val="TextoNormalCaracter"/>
        </w:rPr>
        <w:t>-</w:t>
      </w:r>
      <w:r>
        <w:t xml:space="preserve"> Auto </w:t>
      </w:r>
      <w:hyperlink w:anchor="AUTO_2023_668" w:history="1">
        <w:r w:rsidRPr="00DA359F">
          <w:rPr>
            <w:rStyle w:val="TextoNormalCaracter"/>
          </w:rPr>
          <w:t>668/2023</w:t>
        </w:r>
      </w:hyperlink>
      <w:r>
        <w:t>, f. único.</w:t>
      </w:r>
    </w:p>
    <w:p w14:paraId="1D1FB4D2" w14:textId="46D90E36" w:rsidR="00DA359F" w:rsidRDefault="00DA359F" w:rsidP="00DA359F">
      <w:pPr>
        <w:pStyle w:val="SangriaFrancesaArticulo"/>
      </w:pPr>
      <w:r w:rsidRPr="00DA359F">
        <w:rPr>
          <w:rStyle w:val="TextoNormalNegritaCaracter"/>
        </w:rPr>
        <w:t>Artículo 260.2.</w:t>
      </w:r>
      <w:r w:rsidRPr="00DA359F">
        <w:rPr>
          <w:rStyle w:val="TextoNormalCaracter"/>
        </w:rPr>
        <w:t>-</w:t>
      </w:r>
      <w:r>
        <w:t xml:space="preserve"> Sentencia </w:t>
      </w:r>
      <w:hyperlink w:anchor="SENTENCIA_2023_90" w:history="1">
        <w:r w:rsidRPr="00DA359F">
          <w:rPr>
            <w:rStyle w:val="TextoNormalCaracter"/>
          </w:rPr>
          <w:t>90/2023</w:t>
        </w:r>
      </w:hyperlink>
      <w:r>
        <w:t>, f. 4.</w:t>
      </w:r>
    </w:p>
    <w:p w14:paraId="12CA1ED3" w14:textId="280921AB" w:rsidR="00DA359F" w:rsidRDefault="00DA359F" w:rsidP="00DA359F">
      <w:pPr>
        <w:pStyle w:val="SangriaFrancesaArticulo"/>
      </w:pPr>
      <w:r w:rsidRPr="00DA359F">
        <w:rPr>
          <w:rStyle w:val="TextoNormalNegritaCaracter"/>
        </w:rPr>
        <w:t>Artículo 267.</w:t>
      </w:r>
      <w:r w:rsidRPr="00DA359F">
        <w:rPr>
          <w:rStyle w:val="TextoNormalCaracter"/>
        </w:rPr>
        <w:t>-</w:t>
      </w:r>
      <w:r>
        <w:t xml:space="preserve"> Auto </w:t>
      </w:r>
      <w:hyperlink w:anchor="AUTO_2023_338" w:history="1">
        <w:r w:rsidRPr="00DA359F">
          <w:rPr>
            <w:rStyle w:val="TextoNormalCaracter"/>
          </w:rPr>
          <w:t>338/2023</w:t>
        </w:r>
      </w:hyperlink>
      <w:r>
        <w:t>, f. 2.</w:t>
      </w:r>
    </w:p>
    <w:p w14:paraId="7FF782B7" w14:textId="2D708A79" w:rsidR="00DA359F" w:rsidRDefault="00DA359F" w:rsidP="00DA359F">
      <w:pPr>
        <w:pStyle w:val="SangriaFrancesaArticulo"/>
      </w:pPr>
      <w:r w:rsidRPr="00DA359F">
        <w:rPr>
          <w:rStyle w:val="TextoNormalNegritaCaracter"/>
        </w:rPr>
        <w:t>Artículo 456.</w:t>
      </w:r>
      <w:r w:rsidRPr="00DA359F">
        <w:rPr>
          <w:rStyle w:val="TextoNormalCaracter"/>
        </w:rPr>
        <w:t>-</w:t>
      </w:r>
      <w:r>
        <w:t xml:space="preserve"> Auto </w:t>
      </w:r>
      <w:hyperlink w:anchor="AUTO_2023_353" w:history="1">
        <w:r w:rsidRPr="00DA359F">
          <w:rPr>
            <w:rStyle w:val="TextoNormalCaracter"/>
          </w:rPr>
          <w:t>353/2023</w:t>
        </w:r>
      </w:hyperlink>
      <w:r>
        <w:t>, f. 3.</w:t>
      </w:r>
    </w:p>
    <w:p w14:paraId="495E184A" w14:textId="1B728427" w:rsidR="00DA359F" w:rsidRDefault="00DA359F" w:rsidP="00DA359F">
      <w:pPr>
        <w:pStyle w:val="SangriaFrancesaArticulo"/>
      </w:pPr>
      <w:r w:rsidRPr="00DA359F">
        <w:rPr>
          <w:rStyle w:val="TextoNormalNegritaCaracter"/>
        </w:rPr>
        <w:t>Artículo 560.1.</w:t>
      </w:r>
      <w:r w:rsidRPr="00DA359F">
        <w:rPr>
          <w:rStyle w:val="TextoNormalCaracter"/>
        </w:rPr>
        <w:t>-</w:t>
      </w:r>
      <w:r>
        <w:t xml:space="preserve"> Sentencia </w:t>
      </w:r>
      <w:hyperlink w:anchor="SENTENCIA_2023_128" w:history="1">
        <w:r w:rsidRPr="00DA359F">
          <w:rPr>
            <w:rStyle w:val="TextoNormalCaracter"/>
          </w:rPr>
          <w:t>128/2023</w:t>
        </w:r>
      </w:hyperlink>
      <w:r>
        <w:t>, VP.</w:t>
      </w:r>
    </w:p>
    <w:p w14:paraId="2FC861D8" w14:textId="58C4A8FC" w:rsidR="00DA359F" w:rsidRDefault="00DA359F" w:rsidP="00DA359F">
      <w:pPr>
        <w:pStyle w:val="SangriaFrancesaArticulo"/>
      </w:pPr>
      <w:r w:rsidRPr="00DA359F">
        <w:rPr>
          <w:rStyle w:val="TextoNormalNegritaCaracter"/>
        </w:rPr>
        <w:t>Artículo 560.1.1.</w:t>
      </w:r>
      <w:r w:rsidRPr="00DA359F">
        <w:rPr>
          <w:rStyle w:val="TextoNormalCaracter"/>
        </w:rPr>
        <w:t>-</w:t>
      </w:r>
      <w:r>
        <w:t xml:space="preserve"> Sentencia </w:t>
      </w:r>
      <w:hyperlink w:anchor="SENTENCIA_2023_128" w:history="1">
        <w:r w:rsidRPr="00DA359F">
          <w:rPr>
            <w:rStyle w:val="TextoNormalCaracter"/>
          </w:rPr>
          <w:t>128/2023</w:t>
        </w:r>
      </w:hyperlink>
      <w:r>
        <w:t>, f. 2, VP.</w:t>
      </w:r>
    </w:p>
    <w:p w14:paraId="63AAFE5E" w14:textId="74349EBF" w:rsidR="00DA359F" w:rsidRDefault="00DA359F" w:rsidP="00DA359F">
      <w:pPr>
        <w:pStyle w:val="SangriaFrancesaArticulo"/>
      </w:pPr>
      <w:r w:rsidRPr="00DA359F">
        <w:rPr>
          <w:rStyle w:val="TextoNormalNegritaCaracter"/>
        </w:rPr>
        <w:t>Artículo 560.1.2.</w:t>
      </w:r>
      <w:r w:rsidRPr="00DA359F">
        <w:rPr>
          <w:rStyle w:val="TextoNormalCaracter"/>
        </w:rPr>
        <w:t>-</w:t>
      </w:r>
      <w:r>
        <w:t xml:space="preserve"> Sentencia </w:t>
      </w:r>
      <w:hyperlink w:anchor="SENTENCIA_2023_128" w:history="1">
        <w:r w:rsidRPr="00DA359F">
          <w:rPr>
            <w:rStyle w:val="TextoNormalCaracter"/>
          </w:rPr>
          <w:t>128/2023</w:t>
        </w:r>
      </w:hyperlink>
      <w:r>
        <w:t>, VP.</w:t>
      </w:r>
    </w:p>
    <w:p w14:paraId="2966D1AA" w14:textId="5BEC6CA2" w:rsidR="00DA359F" w:rsidRDefault="00DA359F" w:rsidP="00DA359F">
      <w:pPr>
        <w:pStyle w:val="SangriaFrancesaArticulo"/>
      </w:pPr>
      <w:r w:rsidRPr="00DA359F">
        <w:rPr>
          <w:rStyle w:val="TextoNormalNegritaCaracter"/>
        </w:rPr>
        <w:t>Artículo 560.1.3.</w:t>
      </w:r>
      <w:r w:rsidRPr="00DA359F">
        <w:rPr>
          <w:rStyle w:val="TextoNormalCaracter"/>
        </w:rPr>
        <w:t>-</w:t>
      </w:r>
      <w:r>
        <w:t xml:space="preserve"> Sentencia </w:t>
      </w:r>
      <w:hyperlink w:anchor="SENTENCIA_2023_128" w:history="1">
        <w:r w:rsidRPr="00DA359F">
          <w:rPr>
            <w:rStyle w:val="TextoNormalCaracter"/>
          </w:rPr>
          <w:t>128/2023</w:t>
        </w:r>
      </w:hyperlink>
      <w:r>
        <w:t>, VP.</w:t>
      </w:r>
    </w:p>
    <w:p w14:paraId="671B5CCA" w14:textId="61085AE5" w:rsidR="00DA359F" w:rsidRDefault="00DA359F" w:rsidP="00DA359F">
      <w:pPr>
        <w:pStyle w:val="SangriaFrancesaArticulo"/>
      </w:pPr>
      <w:r w:rsidRPr="00DA359F">
        <w:rPr>
          <w:rStyle w:val="TextoNormalNegritaCaracter"/>
        </w:rPr>
        <w:t>Artículo 560.1.4.</w:t>
      </w:r>
      <w:r w:rsidRPr="00DA359F">
        <w:rPr>
          <w:rStyle w:val="TextoNormalCaracter"/>
        </w:rPr>
        <w:t>-</w:t>
      </w:r>
      <w:r>
        <w:t xml:space="preserve"> Sentencia </w:t>
      </w:r>
      <w:hyperlink w:anchor="SENTENCIA_2023_128" w:history="1">
        <w:r w:rsidRPr="00DA359F">
          <w:rPr>
            <w:rStyle w:val="TextoNormalCaracter"/>
          </w:rPr>
          <w:t>128/2023</w:t>
        </w:r>
      </w:hyperlink>
      <w:r>
        <w:t>, VP.</w:t>
      </w:r>
    </w:p>
    <w:p w14:paraId="24F69F7D" w14:textId="0FF1877B" w:rsidR="00DA359F" w:rsidRDefault="00DA359F" w:rsidP="00DA359F">
      <w:pPr>
        <w:pStyle w:val="SangriaFrancesaArticulo"/>
      </w:pPr>
      <w:r w:rsidRPr="00DA359F">
        <w:rPr>
          <w:rStyle w:val="TextoNormalNegritaCaracter"/>
        </w:rPr>
        <w:t>Artículo 560.1.5.</w:t>
      </w:r>
      <w:r w:rsidRPr="00DA359F">
        <w:rPr>
          <w:rStyle w:val="TextoNormalCaracter"/>
        </w:rPr>
        <w:t>-</w:t>
      </w:r>
      <w:r>
        <w:t xml:space="preserve"> Sentencia </w:t>
      </w:r>
      <w:hyperlink w:anchor="SENTENCIA_2023_128" w:history="1">
        <w:r w:rsidRPr="00DA359F">
          <w:rPr>
            <w:rStyle w:val="TextoNormalCaracter"/>
          </w:rPr>
          <w:t>128/2023</w:t>
        </w:r>
      </w:hyperlink>
      <w:r>
        <w:t>, f. 2.</w:t>
      </w:r>
    </w:p>
    <w:p w14:paraId="698E069E" w14:textId="1C740E4C" w:rsidR="00DA359F" w:rsidRDefault="00DA359F" w:rsidP="00DA359F">
      <w:pPr>
        <w:pStyle w:val="SangriaFrancesaArticulo"/>
      </w:pPr>
      <w:r w:rsidRPr="00DA359F">
        <w:rPr>
          <w:rStyle w:val="TextoNormalNegritaCaracter"/>
        </w:rPr>
        <w:t>Artículo 560.1.6.</w:t>
      </w:r>
      <w:r w:rsidRPr="00DA359F">
        <w:rPr>
          <w:rStyle w:val="TextoNormalCaracter"/>
        </w:rPr>
        <w:t>-</w:t>
      </w:r>
      <w:r>
        <w:t xml:space="preserve"> Sentencia </w:t>
      </w:r>
      <w:hyperlink w:anchor="SENTENCIA_2023_128" w:history="1">
        <w:r w:rsidRPr="00DA359F">
          <w:rPr>
            <w:rStyle w:val="TextoNormalCaracter"/>
          </w:rPr>
          <w:t>128/2023</w:t>
        </w:r>
      </w:hyperlink>
      <w:r>
        <w:t>, VP.</w:t>
      </w:r>
    </w:p>
    <w:p w14:paraId="50CFCB7B" w14:textId="7C516829" w:rsidR="00DA359F" w:rsidRDefault="00DA359F" w:rsidP="00DA359F">
      <w:pPr>
        <w:pStyle w:val="SangriaFrancesaArticulo"/>
      </w:pPr>
      <w:r w:rsidRPr="00DA359F">
        <w:rPr>
          <w:rStyle w:val="TextoNormalNegritaCaracter"/>
        </w:rPr>
        <w:t>Artículo 560.1.7.</w:t>
      </w:r>
      <w:r w:rsidRPr="00DA359F">
        <w:rPr>
          <w:rStyle w:val="TextoNormalCaracter"/>
        </w:rPr>
        <w:t>-</w:t>
      </w:r>
      <w:r>
        <w:t xml:space="preserve"> Sentencia </w:t>
      </w:r>
      <w:hyperlink w:anchor="SENTENCIA_2023_128" w:history="1">
        <w:r w:rsidRPr="00DA359F">
          <w:rPr>
            <w:rStyle w:val="TextoNormalCaracter"/>
          </w:rPr>
          <w:t>128/2023</w:t>
        </w:r>
      </w:hyperlink>
      <w:r>
        <w:t>, VP.</w:t>
      </w:r>
    </w:p>
    <w:p w14:paraId="227991AE" w14:textId="44634172" w:rsidR="00DA359F" w:rsidRDefault="00DA359F" w:rsidP="00DA359F">
      <w:pPr>
        <w:pStyle w:val="SangriaFrancesaArticulo"/>
      </w:pPr>
      <w:r w:rsidRPr="00DA359F">
        <w:rPr>
          <w:rStyle w:val="TextoNormalNegritaCaracter"/>
        </w:rPr>
        <w:t>Artículo 560.1.8.</w:t>
      </w:r>
      <w:r w:rsidRPr="00DA359F">
        <w:rPr>
          <w:rStyle w:val="TextoNormalCaracter"/>
        </w:rPr>
        <w:t>-</w:t>
      </w:r>
      <w:r>
        <w:t xml:space="preserve"> Sentencia </w:t>
      </w:r>
      <w:hyperlink w:anchor="SENTENCIA_2023_128" w:history="1">
        <w:r w:rsidRPr="00DA359F">
          <w:rPr>
            <w:rStyle w:val="TextoNormalCaracter"/>
          </w:rPr>
          <w:t>128/2023</w:t>
        </w:r>
      </w:hyperlink>
      <w:r>
        <w:t>, VP.</w:t>
      </w:r>
    </w:p>
    <w:p w14:paraId="372405C1" w14:textId="6808692E" w:rsidR="00DA359F" w:rsidRDefault="00DA359F" w:rsidP="00DA359F">
      <w:pPr>
        <w:pStyle w:val="SangriaFrancesaArticulo"/>
      </w:pPr>
      <w:r w:rsidRPr="00DA359F">
        <w:rPr>
          <w:rStyle w:val="TextoNormalNegritaCaracter"/>
        </w:rPr>
        <w:t>Artículo 560.1.13.</w:t>
      </w:r>
      <w:r w:rsidRPr="00DA359F">
        <w:rPr>
          <w:rStyle w:val="TextoNormalCaracter"/>
        </w:rPr>
        <w:t>-</w:t>
      </w:r>
      <w:r>
        <w:t xml:space="preserve"> Sentencia </w:t>
      </w:r>
      <w:hyperlink w:anchor="SENTENCIA_2023_128" w:history="1">
        <w:r w:rsidRPr="00DA359F">
          <w:rPr>
            <w:rStyle w:val="TextoNormalCaracter"/>
          </w:rPr>
          <w:t>128/2023</w:t>
        </w:r>
      </w:hyperlink>
      <w:r>
        <w:t>, VP.</w:t>
      </w:r>
    </w:p>
    <w:p w14:paraId="471C5A4B" w14:textId="71234EBA" w:rsidR="00DA359F" w:rsidRDefault="00DA359F" w:rsidP="00DA359F">
      <w:pPr>
        <w:pStyle w:val="SangriaFrancesaArticulo"/>
      </w:pPr>
      <w:r w:rsidRPr="00DA359F">
        <w:rPr>
          <w:rStyle w:val="TextoNormalNegritaCaracter"/>
        </w:rPr>
        <w:t>Artículo 560.1.14.</w:t>
      </w:r>
      <w:r w:rsidRPr="00DA359F">
        <w:rPr>
          <w:rStyle w:val="TextoNormalCaracter"/>
        </w:rPr>
        <w:t>-</w:t>
      </w:r>
      <w:r>
        <w:t xml:space="preserve"> Sentencia </w:t>
      </w:r>
      <w:hyperlink w:anchor="SENTENCIA_2023_128" w:history="1">
        <w:r w:rsidRPr="00DA359F">
          <w:rPr>
            <w:rStyle w:val="TextoNormalCaracter"/>
          </w:rPr>
          <w:t>128/2023</w:t>
        </w:r>
      </w:hyperlink>
      <w:r>
        <w:t>, VP.</w:t>
      </w:r>
    </w:p>
    <w:p w14:paraId="370A919A" w14:textId="1229E456" w:rsidR="00DA359F" w:rsidRDefault="00DA359F" w:rsidP="00DA359F">
      <w:pPr>
        <w:pStyle w:val="SangriaFrancesaArticulo"/>
      </w:pPr>
      <w:r w:rsidRPr="00DA359F">
        <w:rPr>
          <w:rStyle w:val="TextoNormalNegritaCaracter"/>
        </w:rPr>
        <w:t>Artículo 560.1.15.</w:t>
      </w:r>
      <w:r w:rsidRPr="00DA359F">
        <w:rPr>
          <w:rStyle w:val="TextoNormalCaracter"/>
        </w:rPr>
        <w:t>-</w:t>
      </w:r>
      <w:r>
        <w:t xml:space="preserve"> Sentencia </w:t>
      </w:r>
      <w:hyperlink w:anchor="SENTENCIA_2023_128" w:history="1">
        <w:r w:rsidRPr="00DA359F">
          <w:rPr>
            <w:rStyle w:val="TextoNormalCaracter"/>
          </w:rPr>
          <w:t>128/2023</w:t>
        </w:r>
      </w:hyperlink>
      <w:r>
        <w:t>, VP.</w:t>
      </w:r>
    </w:p>
    <w:p w14:paraId="738AF8F8" w14:textId="2ABF8A7C" w:rsidR="00DA359F" w:rsidRDefault="00DA359F" w:rsidP="00DA359F">
      <w:pPr>
        <w:pStyle w:val="SangriaFrancesaArticulo"/>
      </w:pPr>
      <w:r w:rsidRPr="00DA359F">
        <w:rPr>
          <w:rStyle w:val="TextoNormalNegritaCaracter"/>
        </w:rPr>
        <w:t>Artículo 560.1.17.</w:t>
      </w:r>
      <w:r w:rsidRPr="00DA359F">
        <w:rPr>
          <w:rStyle w:val="TextoNormalCaracter"/>
        </w:rPr>
        <w:t>-</w:t>
      </w:r>
      <w:r>
        <w:t xml:space="preserve"> Sentencia </w:t>
      </w:r>
      <w:hyperlink w:anchor="SENTENCIA_2023_128" w:history="1">
        <w:r w:rsidRPr="00DA359F">
          <w:rPr>
            <w:rStyle w:val="TextoNormalCaracter"/>
          </w:rPr>
          <w:t>128/2023</w:t>
        </w:r>
      </w:hyperlink>
      <w:r>
        <w:t>, VP.</w:t>
      </w:r>
    </w:p>
    <w:p w14:paraId="6A9F5CA4" w14:textId="14288176" w:rsidR="00DA359F" w:rsidRDefault="00DA359F" w:rsidP="00DA359F">
      <w:pPr>
        <w:pStyle w:val="SangriaFrancesaArticulo"/>
      </w:pPr>
      <w:r w:rsidRPr="00DA359F">
        <w:rPr>
          <w:rStyle w:val="TextoNormalNegritaCaracter"/>
        </w:rPr>
        <w:t>Artículo 560.1.18.</w:t>
      </w:r>
      <w:r w:rsidRPr="00DA359F">
        <w:rPr>
          <w:rStyle w:val="TextoNormalCaracter"/>
        </w:rPr>
        <w:t>-</w:t>
      </w:r>
      <w:r>
        <w:t xml:space="preserve"> Sentencia </w:t>
      </w:r>
      <w:hyperlink w:anchor="SENTENCIA_2023_128" w:history="1">
        <w:r w:rsidRPr="00DA359F">
          <w:rPr>
            <w:rStyle w:val="TextoNormalCaracter"/>
          </w:rPr>
          <w:t>128/2023</w:t>
        </w:r>
      </w:hyperlink>
      <w:r>
        <w:t>, VP.</w:t>
      </w:r>
    </w:p>
    <w:p w14:paraId="4CF8E204" w14:textId="384A3D89" w:rsidR="00DA359F" w:rsidRDefault="00DA359F" w:rsidP="00DA359F">
      <w:pPr>
        <w:pStyle w:val="SangriaFrancesaArticulo"/>
      </w:pPr>
      <w:r w:rsidRPr="00DA359F">
        <w:rPr>
          <w:rStyle w:val="TextoNormalNegritaCaracter"/>
        </w:rPr>
        <w:t>Artículo 560.1.21.</w:t>
      </w:r>
      <w:r w:rsidRPr="00DA359F">
        <w:rPr>
          <w:rStyle w:val="TextoNormalCaracter"/>
        </w:rPr>
        <w:t>-</w:t>
      </w:r>
      <w:r>
        <w:t xml:space="preserve"> Sentencia </w:t>
      </w:r>
      <w:hyperlink w:anchor="SENTENCIA_2023_128" w:history="1">
        <w:r w:rsidRPr="00DA359F">
          <w:rPr>
            <w:rStyle w:val="TextoNormalCaracter"/>
          </w:rPr>
          <w:t>128/2023</w:t>
        </w:r>
      </w:hyperlink>
      <w:r>
        <w:t>, VP.</w:t>
      </w:r>
    </w:p>
    <w:p w14:paraId="13518060" w14:textId="52882AFE" w:rsidR="00DA359F" w:rsidRDefault="00DA359F" w:rsidP="00DA359F">
      <w:pPr>
        <w:pStyle w:val="SangriaFrancesaArticulo"/>
      </w:pPr>
      <w:r w:rsidRPr="00DA359F">
        <w:rPr>
          <w:rStyle w:val="TextoNormalNegritaCaracter"/>
        </w:rPr>
        <w:t>Artículo 560.1.22.</w:t>
      </w:r>
      <w:r w:rsidRPr="00DA359F">
        <w:rPr>
          <w:rStyle w:val="TextoNormalCaracter"/>
        </w:rPr>
        <w:t>-</w:t>
      </w:r>
      <w:r>
        <w:t xml:space="preserve"> Sentencia </w:t>
      </w:r>
      <w:hyperlink w:anchor="SENTENCIA_2023_128" w:history="1">
        <w:r w:rsidRPr="00DA359F">
          <w:rPr>
            <w:rStyle w:val="TextoNormalCaracter"/>
          </w:rPr>
          <w:t>128/2023</w:t>
        </w:r>
      </w:hyperlink>
      <w:r>
        <w:t>, VP.</w:t>
      </w:r>
    </w:p>
    <w:p w14:paraId="41EF45DD" w14:textId="39A01F5A" w:rsidR="00DA359F" w:rsidRDefault="00DA359F" w:rsidP="00DA359F">
      <w:pPr>
        <w:pStyle w:val="SangriaFrancesaArticulo"/>
      </w:pPr>
      <w:r w:rsidRPr="00DA359F">
        <w:rPr>
          <w:rStyle w:val="TextoNormalNegritaCaracter"/>
        </w:rPr>
        <w:t>Artículo 560.1.24.</w:t>
      </w:r>
      <w:r w:rsidRPr="00DA359F">
        <w:rPr>
          <w:rStyle w:val="TextoNormalCaracter"/>
        </w:rPr>
        <w:t>-</w:t>
      </w:r>
      <w:r>
        <w:t xml:space="preserve"> Sentencia </w:t>
      </w:r>
      <w:hyperlink w:anchor="SENTENCIA_2023_128" w:history="1">
        <w:r w:rsidRPr="00DA359F">
          <w:rPr>
            <w:rStyle w:val="TextoNormalCaracter"/>
          </w:rPr>
          <w:t>128/2023</w:t>
        </w:r>
      </w:hyperlink>
      <w:r>
        <w:t>, VP.</w:t>
      </w:r>
    </w:p>
    <w:p w14:paraId="1A7DB56F" w14:textId="006BF54E" w:rsidR="00DA359F" w:rsidRDefault="00DA359F" w:rsidP="00DA359F">
      <w:pPr>
        <w:pStyle w:val="SangriaFrancesaArticulo"/>
      </w:pPr>
      <w:r w:rsidRPr="00DA359F">
        <w:rPr>
          <w:rStyle w:val="TextoNormalNegritaCaracter"/>
        </w:rPr>
        <w:t>Artículo 561.</w:t>
      </w:r>
      <w:r w:rsidRPr="00DA359F">
        <w:rPr>
          <w:rStyle w:val="TextoNormalCaracter"/>
        </w:rPr>
        <w:t>-</w:t>
      </w:r>
      <w:r>
        <w:t xml:space="preserve"> Sentencia </w:t>
      </w:r>
      <w:hyperlink w:anchor="SENTENCIA_2023_128" w:history="1">
        <w:r w:rsidRPr="00DA359F">
          <w:rPr>
            <w:rStyle w:val="TextoNormalCaracter"/>
          </w:rPr>
          <w:t>128/2023</w:t>
        </w:r>
      </w:hyperlink>
      <w:r>
        <w:t>, f. 1.</w:t>
      </w:r>
    </w:p>
    <w:p w14:paraId="22AE9C3F" w14:textId="0427D32D" w:rsidR="00DA359F" w:rsidRDefault="00DA359F" w:rsidP="00DA359F">
      <w:pPr>
        <w:pStyle w:val="SangriaFrancesaArticulo"/>
      </w:pPr>
      <w:r w:rsidRPr="00DA359F">
        <w:rPr>
          <w:rStyle w:val="TextoNormalNegritaCaracter"/>
        </w:rPr>
        <w:t>Artículo 561.1.</w:t>
      </w:r>
      <w:r w:rsidRPr="00DA359F">
        <w:rPr>
          <w:rStyle w:val="TextoNormalCaracter"/>
        </w:rPr>
        <w:t>-</w:t>
      </w:r>
      <w:r>
        <w:t xml:space="preserve"> Sentencia </w:t>
      </w:r>
      <w:hyperlink w:anchor="SENTENCIA_2023_128" w:history="1">
        <w:r w:rsidRPr="00DA359F">
          <w:rPr>
            <w:rStyle w:val="TextoNormalCaracter"/>
          </w:rPr>
          <w:t>128/2023</w:t>
        </w:r>
      </w:hyperlink>
      <w:r>
        <w:t>, f. 3.</w:t>
      </w:r>
    </w:p>
    <w:p w14:paraId="32B439F0" w14:textId="5AC7ACC6" w:rsidR="00DA359F" w:rsidRDefault="00DA359F" w:rsidP="00DA359F">
      <w:pPr>
        <w:pStyle w:val="SangriaFrancesaArticulo"/>
      </w:pPr>
      <w:r w:rsidRPr="00DA359F">
        <w:rPr>
          <w:rStyle w:val="TextoNormalNegritaCaracter"/>
        </w:rPr>
        <w:t>Artículo 561.1.1.</w:t>
      </w:r>
      <w:r w:rsidRPr="00DA359F">
        <w:rPr>
          <w:rStyle w:val="TextoNormalCaracter"/>
        </w:rPr>
        <w:t>-</w:t>
      </w:r>
      <w:r>
        <w:t xml:space="preserve"> Sentencia </w:t>
      </w:r>
      <w:hyperlink w:anchor="SENTENCIA_2023_128" w:history="1">
        <w:r w:rsidRPr="00DA359F">
          <w:rPr>
            <w:rStyle w:val="TextoNormalCaracter"/>
          </w:rPr>
          <w:t>128/2023</w:t>
        </w:r>
      </w:hyperlink>
      <w:r>
        <w:t>, f. 3.</w:t>
      </w:r>
    </w:p>
    <w:p w14:paraId="028D6C6F" w14:textId="32871E7E" w:rsidR="00DA359F" w:rsidRDefault="00DA359F" w:rsidP="00DA359F">
      <w:pPr>
        <w:pStyle w:val="SangriaFrancesaArticulo"/>
      </w:pPr>
      <w:r w:rsidRPr="00DA359F">
        <w:rPr>
          <w:rStyle w:val="TextoNormalNegritaCaracter"/>
        </w:rPr>
        <w:t>Artículo 561.1.9.</w:t>
      </w:r>
      <w:r w:rsidRPr="00DA359F">
        <w:rPr>
          <w:rStyle w:val="TextoNormalCaracter"/>
        </w:rPr>
        <w:t>-</w:t>
      </w:r>
      <w:r>
        <w:t xml:space="preserve"> Sentencia </w:t>
      </w:r>
      <w:hyperlink w:anchor="SENTENCIA_2023_128" w:history="1">
        <w:r w:rsidRPr="00DA359F">
          <w:rPr>
            <w:rStyle w:val="TextoNormalCaracter"/>
          </w:rPr>
          <w:t>128/2023</w:t>
        </w:r>
      </w:hyperlink>
      <w:r>
        <w:t>, f. 3.</w:t>
      </w:r>
    </w:p>
    <w:p w14:paraId="16B07D25" w14:textId="26352B34" w:rsidR="00DA359F" w:rsidRDefault="00DA359F" w:rsidP="00DA359F">
      <w:pPr>
        <w:pStyle w:val="SangriaFrancesaArticulo"/>
      </w:pPr>
      <w:r w:rsidRPr="00DA359F">
        <w:rPr>
          <w:rStyle w:val="TextoNormalNegritaCaracter"/>
        </w:rPr>
        <w:t>Artículo 568.1.</w:t>
      </w:r>
      <w:r w:rsidRPr="00DA359F">
        <w:rPr>
          <w:rStyle w:val="TextoNormalCaracter"/>
        </w:rPr>
        <w:t>-</w:t>
      </w:r>
      <w:r>
        <w:t xml:space="preserve"> Sentencia </w:t>
      </w:r>
      <w:hyperlink w:anchor="SENTENCIA_2023_128" w:history="1">
        <w:r w:rsidRPr="00DA359F">
          <w:rPr>
            <w:rStyle w:val="TextoNormalCaracter"/>
          </w:rPr>
          <w:t>128/2023</w:t>
        </w:r>
      </w:hyperlink>
      <w:r>
        <w:t>, f. 4.</w:t>
      </w:r>
    </w:p>
    <w:p w14:paraId="43B5ABD6" w14:textId="3DAA1908" w:rsidR="00DA359F" w:rsidRDefault="00DA359F" w:rsidP="00DA359F">
      <w:pPr>
        <w:pStyle w:val="SangriaFrancesaArticulo"/>
      </w:pPr>
      <w:r w:rsidRPr="00DA359F">
        <w:rPr>
          <w:rStyle w:val="TextoNormalNegritaCaracter"/>
        </w:rPr>
        <w:t>Artículo 570 bis</w:t>
      </w:r>
      <w:r>
        <w:t xml:space="preserve"> (redactado por la Ley Orgánica 4/2021, de 29 de marzo)</w:t>
      </w:r>
      <w:r w:rsidRPr="00DA359F">
        <w:rPr>
          <w:rStyle w:val="TextoNormalNegritaCaracter"/>
        </w:rPr>
        <w:t>.</w:t>
      </w:r>
      <w:r w:rsidRPr="00DA359F">
        <w:rPr>
          <w:rStyle w:val="TextoNormalCaracter"/>
        </w:rPr>
        <w:t>-</w:t>
      </w:r>
      <w:r>
        <w:t xml:space="preserve"> Sentencia </w:t>
      </w:r>
      <w:hyperlink w:anchor="SENTENCIA_2023_128" w:history="1">
        <w:r w:rsidRPr="00DA359F">
          <w:rPr>
            <w:rStyle w:val="TextoNormalCaracter"/>
          </w:rPr>
          <w:t>128/2023</w:t>
        </w:r>
      </w:hyperlink>
      <w:r>
        <w:t>, ff. 1, 2, 5, VP.</w:t>
      </w:r>
    </w:p>
    <w:p w14:paraId="75EDEFD0" w14:textId="7B3BA1A2" w:rsidR="00DA359F" w:rsidRDefault="00DA359F" w:rsidP="00DA359F">
      <w:pPr>
        <w:pStyle w:val="SangriaFrancesaArticulo"/>
      </w:pPr>
      <w:r w:rsidRPr="00DA359F">
        <w:rPr>
          <w:rStyle w:val="TextoNormalNegritaCaracter"/>
        </w:rPr>
        <w:t>Artículo 570 bis</w:t>
      </w:r>
      <w:r>
        <w:t xml:space="preserve"> (redactado por la Ley Orgánica 8/2022, de 27 de julio)</w:t>
      </w:r>
      <w:r w:rsidRPr="00DA359F">
        <w:rPr>
          <w:rStyle w:val="TextoNormalNegritaCaracter"/>
        </w:rPr>
        <w:t>.</w:t>
      </w:r>
      <w:r w:rsidRPr="00DA359F">
        <w:rPr>
          <w:rStyle w:val="TextoNormalCaracter"/>
        </w:rPr>
        <w:t>-</w:t>
      </w:r>
      <w:r>
        <w:t xml:space="preserve"> Sentencia </w:t>
      </w:r>
      <w:hyperlink w:anchor="SENTENCIA_2023_128" w:history="1">
        <w:r w:rsidRPr="00DA359F">
          <w:rPr>
            <w:rStyle w:val="TextoNormalCaracter"/>
          </w:rPr>
          <w:t>128/2023</w:t>
        </w:r>
      </w:hyperlink>
      <w:r>
        <w:t>, f. 2, VP.</w:t>
      </w:r>
    </w:p>
    <w:p w14:paraId="02C7B74A" w14:textId="783A7482" w:rsidR="00DA359F" w:rsidRDefault="00DA359F" w:rsidP="00DA359F">
      <w:pPr>
        <w:pStyle w:val="SangriaFrancesaArticulo"/>
      </w:pPr>
      <w:r w:rsidRPr="00DA359F">
        <w:rPr>
          <w:rStyle w:val="TextoNormalNegritaCaracter"/>
        </w:rPr>
        <w:t>Artículo 570 bis.1.1</w:t>
      </w:r>
      <w:r>
        <w:t xml:space="preserve"> (redactado por la Ley Orgánica 8/2022, de 27 de julio)</w:t>
      </w:r>
      <w:r w:rsidRPr="00DA359F">
        <w:rPr>
          <w:rStyle w:val="TextoNormalNegritaCaracter"/>
        </w:rPr>
        <w:t>.</w:t>
      </w:r>
      <w:r w:rsidRPr="00DA359F">
        <w:rPr>
          <w:rStyle w:val="TextoNormalCaracter"/>
        </w:rPr>
        <w:t>-</w:t>
      </w:r>
      <w:r>
        <w:t xml:space="preserve"> Sentencia </w:t>
      </w:r>
      <w:hyperlink w:anchor="SENTENCIA_2023_128" w:history="1">
        <w:r w:rsidRPr="00DA359F">
          <w:rPr>
            <w:rStyle w:val="TextoNormalCaracter"/>
          </w:rPr>
          <w:t>128/2023</w:t>
        </w:r>
      </w:hyperlink>
      <w:r>
        <w:t>, f. 2.</w:t>
      </w:r>
    </w:p>
    <w:p w14:paraId="1CD67595" w14:textId="3F56872B" w:rsidR="00DA359F" w:rsidRDefault="00DA359F" w:rsidP="00DA359F">
      <w:pPr>
        <w:pStyle w:val="SangriaIzquierdaArticulo"/>
      </w:pPr>
      <w:r>
        <w:t xml:space="preserve">Autos </w:t>
      </w:r>
      <w:hyperlink w:anchor="AUTO_2023_521" w:history="1">
        <w:r w:rsidRPr="00DA359F">
          <w:rPr>
            <w:rStyle w:val="TextoNormalCaracter"/>
          </w:rPr>
          <w:t>521/2023</w:t>
        </w:r>
      </w:hyperlink>
      <w:r>
        <w:t xml:space="preserve">, f. único; </w:t>
      </w:r>
      <w:hyperlink w:anchor="AUTO_2023_522" w:history="1">
        <w:r w:rsidRPr="00DA359F">
          <w:rPr>
            <w:rStyle w:val="TextoNormalCaracter"/>
          </w:rPr>
          <w:t>522/2023</w:t>
        </w:r>
      </w:hyperlink>
      <w:r>
        <w:t>, f. único.</w:t>
      </w:r>
    </w:p>
    <w:p w14:paraId="348B8EE4" w14:textId="6046E8A7" w:rsidR="00DA359F" w:rsidRDefault="00DA359F" w:rsidP="00DA359F">
      <w:pPr>
        <w:pStyle w:val="SangriaFrancesaArticulo"/>
      </w:pPr>
      <w:r w:rsidRPr="00DA359F">
        <w:rPr>
          <w:rStyle w:val="TextoNormalNegritaCaracter"/>
        </w:rPr>
        <w:t>Artículo 570 bis.1.2</w:t>
      </w:r>
      <w:r>
        <w:t xml:space="preserve"> (redactado por la Ley Orgánica 8/2022, de 27 de julio)</w:t>
      </w:r>
      <w:r w:rsidRPr="00DA359F">
        <w:rPr>
          <w:rStyle w:val="TextoNormalNegritaCaracter"/>
        </w:rPr>
        <w:t>.</w:t>
      </w:r>
      <w:r w:rsidRPr="00DA359F">
        <w:rPr>
          <w:rStyle w:val="TextoNormalCaracter"/>
        </w:rPr>
        <w:t>-</w:t>
      </w:r>
      <w:r>
        <w:t xml:space="preserve"> Sentencia </w:t>
      </w:r>
      <w:hyperlink w:anchor="SENTENCIA_2023_128" w:history="1">
        <w:r w:rsidRPr="00DA359F">
          <w:rPr>
            <w:rStyle w:val="TextoNormalCaracter"/>
          </w:rPr>
          <w:t>128/2023</w:t>
        </w:r>
      </w:hyperlink>
      <w:r>
        <w:t>, f. 2.</w:t>
      </w:r>
    </w:p>
    <w:p w14:paraId="51DCFEB6" w14:textId="4F35B41E" w:rsidR="00DA359F" w:rsidRDefault="00DA359F" w:rsidP="00DA359F">
      <w:pPr>
        <w:pStyle w:val="SangriaFrancesaArticulo"/>
      </w:pPr>
      <w:r w:rsidRPr="00DA359F">
        <w:rPr>
          <w:rStyle w:val="TextoNormalNegritaCaracter"/>
        </w:rPr>
        <w:t>Artículo 570.2.</w:t>
      </w:r>
      <w:r w:rsidRPr="00DA359F">
        <w:rPr>
          <w:rStyle w:val="TextoNormalCaracter"/>
        </w:rPr>
        <w:t>-</w:t>
      </w:r>
      <w:r>
        <w:t xml:space="preserve"> Sentencia </w:t>
      </w:r>
      <w:hyperlink w:anchor="SENTENCIA_2023_128" w:history="1">
        <w:r w:rsidRPr="00DA359F">
          <w:rPr>
            <w:rStyle w:val="TextoNormalCaracter"/>
          </w:rPr>
          <w:t>128/2023</w:t>
        </w:r>
      </w:hyperlink>
      <w:r>
        <w:t>, ff. 1, 5.</w:t>
      </w:r>
    </w:p>
    <w:p w14:paraId="003550D3" w14:textId="154FF16A" w:rsidR="00DA359F" w:rsidRDefault="00DA359F" w:rsidP="00DA359F">
      <w:pPr>
        <w:pStyle w:val="SangriaFrancesaArticulo"/>
      </w:pPr>
      <w:r w:rsidRPr="00DA359F">
        <w:rPr>
          <w:rStyle w:val="TextoNormalNegritaCaracter"/>
        </w:rPr>
        <w:t>Artículo 581.</w:t>
      </w:r>
      <w:r w:rsidRPr="00DA359F">
        <w:rPr>
          <w:rStyle w:val="TextoNormalCaracter"/>
        </w:rPr>
        <w:t>-</w:t>
      </w:r>
      <w:r>
        <w:t xml:space="preserve"> Sentencia </w:t>
      </w:r>
      <w:hyperlink w:anchor="SENTENCIA_2023_128" w:history="1">
        <w:r w:rsidRPr="00DA359F">
          <w:rPr>
            <w:rStyle w:val="TextoNormalCaracter"/>
          </w:rPr>
          <w:t>128/2023</w:t>
        </w:r>
      </w:hyperlink>
      <w:r>
        <w:t>, f. 4, VP.</w:t>
      </w:r>
    </w:p>
    <w:p w14:paraId="42C5E1FD" w14:textId="679E3794" w:rsidR="00DA359F" w:rsidRDefault="00DA359F" w:rsidP="00DA359F">
      <w:pPr>
        <w:pStyle w:val="SangriaFrancesaArticulo"/>
      </w:pPr>
      <w:r w:rsidRPr="00DA359F">
        <w:rPr>
          <w:rStyle w:val="TextoNormalNegritaCaracter"/>
        </w:rPr>
        <w:t>Articulo 582.1.</w:t>
      </w:r>
      <w:r w:rsidRPr="00DA359F">
        <w:rPr>
          <w:rStyle w:val="TextoNormalCaracter"/>
        </w:rPr>
        <w:t>-</w:t>
      </w:r>
      <w:r>
        <w:t xml:space="preserve"> Sentencia </w:t>
      </w:r>
      <w:hyperlink w:anchor="SENTENCIA_2023_128" w:history="1">
        <w:r w:rsidRPr="00DA359F">
          <w:rPr>
            <w:rStyle w:val="TextoNormalCaracter"/>
          </w:rPr>
          <w:t>128/2023</w:t>
        </w:r>
      </w:hyperlink>
      <w:r>
        <w:t>, f. 4, VP.</w:t>
      </w:r>
    </w:p>
    <w:p w14:paraId="1627DB02" w14:textId="10445191" w:rsidR="00DA359F" w:rsidRDefault="00DA359F" w:rsidP="00DA359F">
      <w:pPr>
        <w:pStyle w:val="SangriaFrancesaArticulo"/>
      </w:pPr>
      <w:r w:rsidRPr="00DA359F">
        <w:rPr>
          <w:rStyle w:val="TextoNormalNegritaCaracter"/>
        </w:rPr>
        <w:t>Artículo 586.2.</w:t>
      </w:r>
      <w:r w:rsidRPr="00DA359F">
        <w:rPr>
          <w:rStyle w:val="TextoNormalCaracter"/>
        </w:rPr>
        <w:t>-</w:t>
      </w:r>
      <w:r>
        <w:t xml:space="preserve"> Sentencia </w:t>
      </w:r>
      <w:hyperlink w:anchor="SENTENCIA_2023_128" w:history="1">
        <w:r w:rsidRPr="00DA359F">
          <w:rPr>
            <w:rStyle w:val="TextoNormalCaracter"/>
          </w:rPr>
          <w:t>128/2023</w:t>
        </w:r>
      </w:hyperlink>
      <w:r>
        <w:t>, f. 5.</w:t>
      </w:r>
    </w:p>
    <w:p w14:paraId="05DF5FCA" w14:textId="54022F54" w:rsidR="00DA359F" w:rsidRDefault="00DA359F" w:rsidP="00DA359F">
      <w:pPr>
        <w:pStyle w:val="SangriaFrancesaArticulo"/>
      </w:pPr>
      <w:r w:rsidRPr="00DA359F">
        <w:rPr>
          <w:rStyle w:val="TextoNormalNegritaCaracter"/>
        </w:rPr>
        <w:t>Artículo 586.3.</w:t>
      </w:r>
      <w:r w:rsidRPr="00DA359F">
        <w:rPr>
          <w:rStyle w:val="TextoNormalCaracter"/>
        </w:rPr>
        <w:t>-</w:t>
      </w:r>
      <w:r>
        <w:t xml:space="preserve"> Sentencia </w:t>
      </w:r>
      <w:hyperlink w:anchor="SENTENCIA_2023_128" w:history="1">
        <w:r w:rsidRPr="00DA359F">
          <w:rPr>
            <w:rStyle w:val="TextoNormalCaracter"/>
          </w:rPr>
          <w:t>128/2023</w:t>
        </w:r>
      </w:hyperlink>
      <w:r>
        <w:t>, f. 5.</w:t>
      </w:r>
    </w:p>
    <w:p w14:paraId="5B1909B9" w14:textId="4CECFDE4" w:rsidR="00DA359F" w:rsidRDefault="00DA359F" w:rsidP="00DA359F">
      <w:pPr>
        <w:pStyle w:val="SangriaFrancesaArticulo"/>
      </w:pPr>
      <w:r w:rsidRPr="00DA359F">
        <w:rPr>
          <w:rStyle w:val="TextoNormalNegritaCaracter"/>
        </w:rPr>
        <w:t>Artículo 587.</w:t>
      </w:r>
      <w:r w:rsidRPr="00DA359F">
        <w:rPr>
          <w:rStyle w:val="TextoNormalCaracter"/>
        </w:rPr>
        <w:t>-</w:t>
      </w:r>
      <w:r>
        <w:t xml:space="preserve"> Sentencia </w:t>
      </w:r>
      <w:hyperlink w:anchor="SENTENCIA_2023_128" w:history="1">
        <w:r w:rsidRPr="00DA359F">
          <w:rPr>
            <w:rStyle w:val="TextoNormalCaracter"/>
          </w:rPr>
          <w:t>128/2023</w:t>
        </w:r>
      </w:hyperlink>
      <w:r>
        <w:t>, f. 5.</w:t>
      </w:r>
    </w:p>
    <w:p w14:paraId="6F9863A4" w14:textId="061636C8" w:rsidR="00DA359F" w:rsidRDefault="00DA359F" w:rsidP="00DA359F">
      <w:pPr>
        <w:pStyle w:val="SangriaFrancesaArticulo"/>
      </w:pPr>
      <w:r w:rsidRPr="00DA359F">
        <w:rPr>
          <w:rStyle w:val="TextoNormalNegritaCaracter"/>
        </w:rPr>
        <w:t>Artículo 587.1.</w:t>
      </w:r>
      <w:r w:rsidRPr="00DA359F">
        <w:rPr>
          <w:rStyle w:val="TextoNormalCaracter"/>
        </w:rPr>
        <w:t>-</w:t>
      </w:r>
      <w:r>
        <w:t xml:space="preserve"> Sentencia </w:t>
      </w:r>
      <w:hyperlink w:anchor="SENTENCIA_2023_128" w:history="1">
        <w:r w:rsidRPr="00DA359F">
          <w:rPr>
            <w:rStyle w:val="TextoNormalCaracter"/>
          </w:rPr>
          <w:t>128/2023</w:t>
        </w:r>
      </w:hyperlink>
      <w:r>
        <w:t>, f. 5.</w:t>
      </w:r>
    </w:p>
    <w:p w14:paraId="7A1258F8" w14:textId="616F0A74" w:rsidR="00DA359F" w:rsidRDefault="00DA359F" w:rsidP="00DA359F">
      <w:pPr>
        <w:pStyle w:val="SangriaFrancesaArticulo"/>
      </w:pPr>
      <w:r w:rsidRPr="00DA359F">
        <w:rPr>
          <w:rStyle w:val="TextoNormalNegritaCaracter"/>
        </w:rPr>
        <w:t>Artículo 588.</w:t>
      </w:r>
      <w:r w:rsidRPr="00DA359F">
        <w:rPr>
          <w:rStyle w:val="TextoNormalCaracter"/>
        </w:rPr>
        <w:t>-</w:t>
      </w:r>
      <w:r>
        <w:t xml:space="preserve"> Sentencia </w:t>
      </w:r>
      <w:hyperlink w:anchor="SENTENCIA_2023_128" w:history="1">
        <w:r w:rsidRPr="00DA359F">
          <w:rPr>
            <w:rStyle w:val="TextoNormalCaracter"/>
          </w:rPr>
          <w:t>128/2023</w:t>
        </w:r>
      </w:hyperlink>
      <w:r>
        <w:t>, f. 5.</w:t>
      </w:r>
    </w:p>
    <w:p w14:paraId="3EA31AE5" w14:textId="6E717F94" w:rsidR="00DA359F" w:rsidRDefault="00DA359F" w:rsidP="00DA359F">
      <w:pPr>
        <w:pStyle w:val="SangriaFrancesaArticulo"/>
      </w:pPr>
      <w:r w:rsidRPr="00DA359F">
        <w:rPr>
          <w:rStyle w:val="TextoNormalNegritaCaracter"/>
        </w:rPr>
        <w:t>Artículo 598 bis</w:t>
      </w:r>
      <w:r>
        <w:t xml:space="preserve"> (redactado por la Ley Orgánica 4/2021, de 29 de marzo)</w:t>
      </w:r>
      <w:r w:rsidRPr="00DA359F">
        <w:rPr>
          <w:rStyle w:val="TextoNormalNegritaCaracter"/>
        </w:rPr>
        <w:t>.</w:t>
      </w:r>
      <w:r w:rsidRPr="00DA359F">
        <w:rPr>
          <w:rStyle w:val="TextoNormalCaracter"/>
        </w:rPr>
        <w:t>-</w:t>
      </w:r>
      <w:r>
        <w:t xml:space="preserve"> Sentencia </w:t>
      </w:r>
      <w:hyperlink w:anchor="SENTENCIA_2023_128" w:history="1">
        <w:r w:rsidRPr="00DA359F">
          <w:rPr>
            <w:rStyle w:val="TextoNormalCaracter"/>
          </w:rPr>
          <w:t>128/2023</w:t>
        </w:r>
      </w:hyperlink>
      <w:r>
        <w:t>, ff. 1, 2.</w:t>
      </w:r>
    </w:p>
    <w:p w14:paraId="37D7B968" w14:textId="04A07760" w:rsidR="00DA359F" w:rsidRDefault="00DA359F" w:rsidP="00DA359F">
      <w:pPr>
        <w:pStyle w:val="SangriaFrancesaArticulo"/>
      </w:pPr>
      <w:r w:rsidRPr="00DA359F">
        <w:rPr>
          <w:rStyle w:val="TextoNormalNegritaCaracter"/>
        </w:rPr>
        <w:t>Artículo 599</w:t>
      </w:r>
      <w:r>
        <w:t xml:space="preserve"> (redactado por la Ley Orgánica 8/2022, de 27 de julio)</w:t>
      </w:r>
      <w:r w:rsidRPr="00DA359F">
        <w:rPr>
          <w:rStyle w:val="TextoNormalNegritaCaracter"/>
        </w:rPr>
        <w:t>.</w:t>
      </w:r>
      <w:r w:rsidRPr="00DA359F">
        <w:rPr>
          <w:rStyle w:val="TextoNormalCaracter"/>
        </w:rPr>
        <w:t>-</w:t>
      </w:r>
      <w:r>
        <w:t xml:space="preserve"> Sentencia </w:t>
      </w:r>
      <w:hyperlink w:anchor="SENTENCIA_2023_128" w:history="1">
        <w:r w:rsidRPr="00DA359F">
          <w:rPr>
            <w:rStyle w:val="TextoNormalCaracter"/>
          </w:rPr>
          <w:t>128/2023</w:t>
        </w:r>
      </w:hyperlink>
      <w:r>
        <w:t>, f. 2.</w:t>
      </w:r>
    </w:p>
    <w:p w14:paraId="13139D7F" w14:textId="28267E67" w:rsidR="00DA359F" w:rsidRDefault="00DA359F" w:rsidP="00DA359F">
      <w:pPr>
        <w:pStyle w:val="SangriaFrancesaArticulo"/>
      </w:pPr>
      <w:r w:rsidRPr="00DA359F">
        <w:rPr>
          <w:rStyle w:val="TextoNormalNegritaCaracter"/>
        </w:rPr>
        <w:t>Artículo 599.1.1</w:t>
      </w:r>
      <w:r>
        <w:t xml:space="preserve"> (redactado por la Ley Orgánica 8/2022, de 27 de julio)</w:t>
      </w:r>
      <w:r w:rsidRPr="00DA359F">
        <w:rPr>
          <w:rStyle w:val="TextoNormalNegritaCaracter"/>
        </w:rPr>
        <w:t>.</w:t>
      </w:r>
      <w:r w:rsidRPr="00DA359F">
        <w:rPr>
          <w:rStyle w:val="TextoNormalCaracter"/>
        </w:rPr>
        <w:t>-</w:t>
      </w:r>
      <w:r>
        <w:t xml:space="preserve"> Sentencia </w:t>
      </w:r>
      <w:hyperlink w:anchor="SENTENCIA_2023_128" w:history="1">
        <w:r w:rsidRPr="00DA359F">
          <w:rPr>
            <w:rStyle w:val="TextoNormalCaracter"/>
          </w:rPr>
          <w:t>128/2023</w:t>
        </w:r>
      </w:hyperlink>
      <w:r>
        <w:t>, f. 2.</w:t>
      </w:r>
    </w:p>
    <w:p w14:paraId="7AC9F1B6" w14:textId="092D3F56" w:rsidR="00DA359F" w:rsidRDefault="00DA359F" w:rsidP="00DA359F">
      <w:pPr>
        <w:pStyle w:val="SangriaFrancesaArticulo"/>
      </w:pPr>
      <w:r w:rsidRPr="00DA359F">
        <w:rPr>
          <w:rStyle w:val="TextoNormalNegritaCaracter"/>
        </w:rPr>
        <w:t>Artículo 605.</w:t>
      </w:r>
      <w:r w:rsidRPr="00DA359F">
        <w:rPr>
          <w:rStyle w:val="TextoNormalCaracter"/>
        </w:rPr>
        <w:t>-</w:t>
      </w:r>
      <w:r>
        <w:t xml:space="preserve"> Sentencia </w:t>
      </w:r>
      <w:hyperlink w:anchor="SENTENCIA_2023_128" w:history="1">
        <w:r w:rsidRPr="00DA359F">
          <w:rPr>
            <w:rStyle w:val="TextoNormalCaracter"/>
          </w:rPr>
          <w:t>128/2023</w:t>
        </w:r>
      </w:hyperlink>
      <w:r>
        <w:t>, VP.</w:t>
      </w:r>
    </w:p>
    <w:p w14:paraId="15AC7F9D" w14:textId="15A8762A" w:rsidR="00DA359F" w:rsidRDefault="00DA359F" w:rsidP="00DA359F">
      <w:pPr>
        <w:pStyle w:val="SangriaFrancesaArticulo"/>
      </w:pPr>
    </w:p>
    <w:p w14:paraId="79120A22" w14:textId="77777777" w:rsidR="00DA359F" w:rsidRDefault="00DA359F" w:rsidP="00DA359F">
      <w:pPr>
        <w:pStyle w:val="TextoNormalNegritaCursivandice"/>
        <w:keepNext/>
      </w:pPr>
      <w:r>
        <w:t>Ley Orgánica 10/1995, de 23 de noviembre, del Código penal</w:t>
      </w:r>
    </w:p>
    <w:p w14:paraId="51C721A5" w14:textId="4A14E1CD" w:rsidR="00DA359F" w:rsidRDefault="00DA359F" w:rsidP="00DA359F">
      <w:pPr>
        <w:pStyle w:val="SangriaFrancesaArticulo"/>
      </w:pPr>
      <w:r w:rsidRPr="00DA359F">
        <w:rPr>
          <w:rStyle w:val="TextoNormalNegritaCaracter"/>
        </w:rPr>
        <w:t>Libro I, título III, capítulo III, sección primera.</w:t>
      </w:r>
      <w:r w:rsidRPr="00DA359F">
        <w:rPr>
          <w:rStyle w:val="TextoNormalCaracter"/>
        </w:rPr>
        <w:t>-</w:t>
      </w:r>
      <w:r>
        <w:t xml:space="preserve"> Sentencia </w:t>
      </w:r>
      <w:hyperlink w:anchor="SENTENCIA_2023_184" w:history="1">
        <w:r w:rsidRPr="00DA359F">
          <w:rPr>
            <w:rStyle w:val="TextoNormalCaracter"/>
          </w:rPr>
          <w:t>184/2023</w:t>
        </w:r>
      </w:hyperlink>
      <w:r>
        <w:t>, f. 3.</w:t>
      </w:r>
    </w:p>
    <w:p w14:paraId="4F0988F9" w14:textId="12D10B22" w:rsidR="00DA359F" w:rsidRDefault="00DA359F" w:rsidP="00DA359F">
      <w:pPr>
        <w:pStyle w:val="SangriaFrancesaArticulo"/>
      </w:pPr>
      <w:r w:rsidRPr="00DA359F">
        <w:rPr>
          <w:rStyle w:val="TextoNormalNegritaCaracter"/>
        </w:rPr>
        <w:t>Artículo 4.4.</w:t>
      </w:r>
      <w:r w:rsidRPr="00DA359F">
        <w:rPr>
          <w:rStyle w:val="TextoNormalCaracter"/>
        </w:rPr>
        <w:t>-</w:t>
      </w:r>
      <w:r>
        <w:t xml:space="preserve"> Auto </w:t>
      </w:r>
      <w:hyperlink w:anchor="AUTO_2023_439" w:history="1">
        <w:r w:rsidRPr="00DA359F">
          <w:rPr>
            <w:rStyle w:val="TextoNormalCaracter"/>
          </w:rPr>
          <w:t>439/2023</w:t>
        </w:r>
      </w:hyperlink>
      <w:r>
        <w:t>, f. 3.</w:t>
      </w:r>
    </w:p>
    <w:p w14:paraId="37EBE39F" w14:textId="3DB9B105" w:rsidR="00DA359F" w:rsidRDefault="00DA359F" w:rsidP="00DA359F">
      <w:pPr>
        <w:pStyle w:val="SangriaFrancesaArticulo"/>
      </w:pPr>
      <w:r w:rsidRPr="00DA359F">
        <w:rPr>
          <w:rStyle w:val="TextoNormalNegritaCaracter"/>
        </w:rPr>
        <w:t>Artículo 80 y ss.</w:t>
      </w:r>
      <w:r w:rsidRPr="00DA359F">
        <w:rPr>
          <w:rStyle w:val="TextoNormalCaracter"/>
        </w:rPr>
        <w:t>-</w:t>
      </w:r>
      <w:r>
        <w:t xml:space="preserve"> Sentencias </w:t>
      </w:r>
      <w:hyperlink w:anchor="SENTENCIA_2023_123" w:history="1">
        <w:r w:rsidRPr="00DA359F">
          <w:rPr>
            <w:rStyle w:val="TextoNormalCaracter"/>
          </w:rPr>
          <w:t>123/2023</w:t>
        </w:r>
      </w:hyperlink>
      <w:r>
        <w:t xml:space="preserve">, f. 1; </w:t>
      </w:r>
      <w:hyperlink w:anchor="SENTENCIA_2023_184" w:history="1">
        <w:r w:rsidRPr="00DA359F">
          <w:rPr>
            <w:rStyle w:val="TextoNormalCaracter"/>
          </w:rPr>
          <w:t>184/2023</w:t>
        </w:r>
      </w:hyperlink>
      <w:r>
        <w:t>, f. 3.</w:t>
      </w:r>
    </w:p>
    <w:p w14:paraId="5023359E" w14:textId="077AFE08" w:rsidR="00DA359F" w:rsidRDefault="00DA359F" w:rsidP="00DA359F">
      <w:pPr>
        <w:pStyle w:val="SangriaFrancesaArticulo"/>
      </w:pPr>
      <w:r w:rsidRPr="00DA359F">
        <w:rPr>
          <w:rStyle w:val="TextoNormalNegritaCaracter"/>
        </w:rPr>
        <w:t>Artículo 80.2.3</w:t>
      </w:r>
      <w:r>
        <w:t xml:space="preserve"> (redactado por la Ley Orgánica 1/2015, de 30 de marzo)</w:t>
      </w:r>
      <w:r w:rsidRPr="00DA359F">
        <w:rPr>
          <w:rStyle w:val="TextoNormalNegritaCaracter"/>
        </w:rPr>
        <w:t>.</w:t>
      </w:r>
      <w:r w:rsidRPr="00DA359F">
        <w:rPr>
          <w:rStyle w:val="TextoNormalCaracter"/>
        </w:rPr>
        <w:t>-</w:t>
      </w:r>
      <w:r>
        <w:t xml:space="preserve"> Sentencia </w:t>
      </w:r>
      <w:hyperlink w:anchor="SENTENCIA_2023_184" w:history="1">
        <w:r w:rsidRPr="00DA359F">
          <w:rPr>
            <w:rStyle w:val="TextoNormalCaracter"/>
          </w:rPr>
          <w:t>184/2023</w:t>
        </w:r>
      </w:hyperlink>
      <w:r>
        <w:t>, f. 3.</w:t>
      </w:r>
    </w:p>
    <w:p w14:paraId="702DB813" w14:textId="40A8115E" w:rsidR="00DA359F" w:rsidRDefault="00DA359F" w:rsidP="00DA359F">
      <w:pPr>
        <w:pStyle w:val="SangriaFrancesaArticulo"/>
      </w:pPr>
      <w:r w:rsidRPr="00DA359F">
        <w:rPr>
          <w:rStyle w:val="TextoNormalNegritaCaracter"/>
        </w:rPr>
        <w:t>Artículo 86.</w:t>
      </w:r>
      <w:r w:rsidRPr="00DA359F">
        <w:rPr>
          <w:rStyle w:val="TextoNormalCaracter"/>
        </w:rPr>
        <w:t>-</w:t>
      </w:r>
      <w:r>
        <w:t xml:space="preserve"> Sentencias </w:t>
      </w:r>
      <w:hyperlink w:anchor="SENTENCIA_2023_123" w:history="1">
        <w:r w:rsidRPr="00DA359F">
          <w:rPr>
            <w:rStyle w:val="TextoNormalCaracter"/>
          </w:rPr>
          <w:t>123/2023</w:t>
        </w:r>
      </w:hyperlink>
      <w:r>
        <w:t xml:space="preserve">, f. 1; </w:t>
      </w:r>
      <w:hyperlink w:anchor="SENTENCIA_2023_184" w:history="1">
        <w:r w:rsidRPr="00DA359F">
          <w:rPr>
            <w:rStyle w:val="TextoNormalCaracter"/>
          </w:rPr>
          <w:t>184/2023</w:t>
        </w:r>
      </w:hyperlink>
      <w:r>
        <w:t>, f. 3.</w:t>
      </w:r>
    </w:p>
    <w:p w14:paraId="41E437BB" w14:textId="2A853350" w:rsidR="00DA359F" w:rsidRDefault="00DA359F" w:rsidP="00DA359F">
      <w:pPr>
        <w:pStyle w:val="SangriaFrancesaArticulo"/>
      </w:pPr>
      <w:r w:rsidRPr="00DA359F">
        <w:rPr>
          <w:rStyle w:val="TextoNormalNegritaCaracter"/>
        </w:rPr>
        <w:t>Artículo 86.1 d).</w:t>
      </w:r>
      <w:r w:rsidRPr="00DA359F">
        <w:rPr>
          <w:rStyle w:val="TextoNormalCaracter"/>
        </w:rPr>
        <w:t>-</w:t>
      </w:r>
      <w:r>
        <w:t xml:space="preserve"> Sentencia </w:t>
      </w:r>
      <w:hyperlink w:anchor="SENTENCIA_2023_184" w:history="1">
        <w:r w:rsidRPr="00DA359F">
          <w:rPr>
            <w:rStyle w:val="TextoNormalCaracter"/>
          </w:rPr>
          <w:t>184/2023</w:t>
        </w:r>
      </w:hyperlink>
      <w:r>
        <w:t>, f. 3.</w:t>
      </w:r>
    </w:p>
    <w:p w14:paraId="3B75CEC1" w14:textId="0E58017A" w:rsidR="00DA359F" w:rsidRDefault="00DA359F" w:rsidP="00DA359F">
      <w:pPr>
        <w:pStyle w:val="SangriaFrancesaArticulo"/>
      </w:pPr>
      <w:r w:rsidRPr="00DA359F">
        <w:rPr>
          <w:rStyle w:val="TextoNormalNegritaCaracter"/>
        </w:rPr>
        <w:t>Artículo 87.</w:t>
      </w:r>
      <w:r w:rsidRPr="00DA359F">
        <w:rPr>
          <w:rStyle w:val="TextoNormalCaracter"/>
        </w:rPr>
        <w:t>-</w:t>
      </w:r>
      <w:r>
        <w:t xml:space="preserve"> Sentencia </w:t>
      </w:r>
      <w:hyperlink w:anchor="SENTENCIA_2023_184" w:history="1">
        <w:r w:rsidRPr="00DA359F">
          <w:rPr>
            <w:rStyle w:val="TextoNormalCaracter"/>
          </w:rPr>
          <w:t>184/2023</w:t>
        </w:r>
      </w:hyperlink>
      <w:r>
        <w:t>, f. 5.</w:t>
      </w:r>
    </w:p>
    <w:p w14:paraId="390ADC74" w14:textId="556CAC3B" w:rsidR="00DA359F" w:rsidRDefault="00DA359F" w:rsidP="00DA359F">
      <w:pPr>
        <w:pStyle w:val="SangriaFrancesaArticulo"/>
      </w:pPr>
      <w:r w:rsidRPr="00DA359F">
        <w:rPr>
          <w:rStyle w:val="TextoNormalNegritaCaracter"/>
        </w:rPr>
        <w:t>Artículo 88.</w:t>
      </w:r>
      <w:r w:rsidRPr="00DA359F">
        <w:rPr>
          <w:rStyle w:val="TextoNormalCaracter"/>
        </w:rPr>
        <w:t>-</w:t>
      </w:r>
      <w:r>
        <w:t xml:space="preserve"> Sentencia </w:t>
      </w:r>
      <w:hyperlink w:anchor="SENTENCIA_2023_123" w:history="1">
        <w:r w:rsidRPr="00DA359F">
          <w:rPr>
            <w:rStyle w:val="TextoNormalCaracter"/>
          </w:rPr>
          <w:t>123/2023</w:t>
        </w:r>
      </w:hyperlink>
      <w:r>
        <w:t>, f. 1.</w:t>
      </w:r>
    </w:p>
    <w:p w14:paraId="147563E3" w14:textId="5F9BAD29" w:rsidR="00DA359F" w:rsidRDefault="00DA359F" w:rsidP="00DA359F">
      <w:pPr>
        <w:pStyle w:val="SangriaFrancesaArticulo"/>
      </w:pPr>
      <w:r w:rsidRPr="00DA359F">
        <w:rPr>
          <w:rStyle w:val="TextoNormalNegritaCaracter"/>
        </w:rPr>
        <w:t>Artículo 130.2.</w:t>
      </w:r>
      <w:r w:rsidRPr="00DA359F">
        <w:rPr>
          <w:rStyle w:val="TextoNormalCaracter"/>
        </w:rPr>
        <w:t>-</w:t>
      </w:r>
      <w:r>
        <w:t xml:space="preserve"> Sentencia </w:t>
      </w:r>
      <w:hyperlink w:anchor="SENTENCIA_2023_179" w:history="1">
        <w:r w:rsidRPr="00DA359F">
          <w:rPr>
            <w:rStyle w:val="TextoNormalCaracter"/>
          </w:rPr>
          <w:t>179/2023</w:t>
        </w:r>
      </w:hyperlink>
      <w:r>
        <w:t>, ff. 1, 3.</w:t>
      </w:r>
    </w:p>
    <w:p w14:paraId="4D858258" w14:textId="7ACD6BC7" w:rsidR="00DA359F" w:rsidRDefault="00DA359F" w:rsidP="00DA359F">
      <w:pPr>
        <w:pStyle w:val="SangriaFrancesaArticulo"/>
      </w:pPr>
      <w:r w:rsidRPr="00DA359F">
        <w:rPr>
          <w:rStyle w:val="TextoNormalNegritaCaracter"/>
        </w:rPr>
        <w:t>Artículo 130.2 párrafo 1.</w:t>
      </w:r>
      <w:r w:rsidRPr="00DA359F">
        <w:rPr>
          <w:rStyle w:val="TextoNormalCaracter"/>
        </w:rPr>
        <w:t>-</w:t>
      </w:r>
      <w:r>
        <w:t xml:space="preserve"> Sentencia </w:t>
      </w:r>
      <w:hyperlink w:anchor="SENTENCIA_2023_179" w:history="1">
        <w:r w:rsidRPr="00DA359F">
          <w:rPr>
            <w:rStyle w:val="TextoNormalCaracter"/>
          </w:rPr>
          <w:t>179/2023</w:t>
        </w:r>
      </w:hyperlink>
      <w:r>
        <w:t>, f. 3.</w:t>
      </w:r>
    </w:p>
    <w:p w14:paraId="0DB93119" w14:textId="281A3D01" w:rsidR="00DA359F" w:rsidRDefault="00DA359F" w:rsidP="00DA359F">
      <w:pPr>
        <w:pStyle w:val="SangriaFrancesaArticulo"/>
      </w:pPr>
      <w:r w:rsidRPr="00DA359F">
        <w:rPr>
          <w:rStyle w:val="TextoNormalNegritaCaracter"/>
        </w:rPr>
        <w:t>Artículo 139.</w:t>
      </w:r>
      <w:r w:rsidRPr="00DA359F">
        <w:rPr>
          <w:rStyle w:val="TextoNormalCaracter"/>
        </w:rPr>
        <w:t>-</w:t>
      </w:r>
      <w:r>
        <w:t xml:space="preserve"> Sentencia </w:t>
      </w:r>
      <w:hyperlink w:anchor="SENTENCIA_2023_136" w:history="1">
        <w:r w:rsidRPr="00DA359F">
          <w:rPr>
            <w:rStyle w:val="TextoNormalCaracter"/>
          </w:rPr>
          <w:t>136/2023</w:t>
        </w:r>
      </w:hyperlink>
      <w:r>
        <w:t>, f. 6.</w:t>
      </w:r>
    </w:p>
    <w:p w14:paraId="39AC0DF7" w14:textId="00E87135" w:rsidR="00DA359F" w:rsidRDefault="00DA359F" w:rsidP="00DA359F">
      <w:pPr>
        <w:pStyle w:val="SangriaFrancesaArticulo"/>
      </w:pPr>
      <w:r w:rsidRPr="00DA359F">
        <w:rPr>
          <w:rStyle w:val="TextoNormalNegritaCaracter"/>
        </w:rPr>
        <w:t>Artículo 319.1.</w:t>
      </w:r>
      <w:r w:rsidRPr="00DA359F">
        <w:rPr>
          <w:rStyle w:val="TextoNormalCaracter"/>
        </w:rPr>
        <w:t>-</w:t>
      </w:r>
      <w:r>
        <w:t xml:space="preserve"> Sentencia </w:t>
      </w:r>
      <w:hyperlink w:anchor="SENTENCIA_2023_123" w:history="1">
        <w:r w:rsidRPr="00DA359F">
          <w:rPr>
            <w:rStyle w:val="TextoNormalCaracter"/>
          </w:rPr>
          <w:t>123/2023</w:t>
        </w:r>
      </w:hyperlink>
      <w:r>
        <w:t>, f. 1.</w:t>
      </w:r>
    </w:p>
    <w:p w14:paraId="322B0D5A" w14:textId="6D9FBC42" w:rsidR="00DA359F" w:rsidRDefault="00DA359F" w:rsidP="00DA359F">
      <w:pPr>
        <w:pStyle w:val="SangriaFrancesaArticulo"/>
      </w:pPr>
      <w:r w:rsidRPr="00DA359F">
        <w:rPr>
          <w:rStyle w:val="TextoNormalNegritaCaracter"/>
        </w:rPr>
        <w:t>Artículo 319.3.</w:t>
      </w:r>
      <w:r w:rsidRPr="00DA359F">
        <w:rPr>
          <w:rStyle w:val="TextoNormalCaracter"/>
        </w:rPr>
        <w:t>-</w:t>
      </w:r>
      <w:r>
        <w:t xml:space="preserve"> Sentencia </w:t>
      </w:r>
      <w:hyperlink w:anchor="SENTENCIA_2023_123" w:history="1">
        <w:r w:rsidRPr="00DA359F">
          <w:rPr>
            <w:rStyle w:val="TextoNormalCaracter"/>
          </w:rPr>
          <w:t>123/2023</w:t>
        </w:r>
      </w:hyperlink>
      <w:r>
        <w:t>, f. 1.</w:t>
      </w:r>
    </w:p>
    <w:p w14:paraId="3D94C0A3" w14:textId="7995F885" w:rsidR="00DA359F" w:rsidRDefault="00DA359F" w:rsidP="00DA359F">
      <w:pPr>
        <w:pStyle w:val="SangriaFrancesaArticulo"/>
      </w:pPr>
      <w:r w:rsidRPr="00DA359F">
        <w:rPr>
          <w:rStyle w:val="TextoNormalNegritaCaracter"/>
        </w:rPr>
        <w:t>Artículo 320.2.</w:t>
      </w:r>
      <w:r w:rsidRPr="00DA359F">
        <w:rPr>
          <w:rStyle w:val="TextoNormalCaracter"/>
        </w:rPr>
        <w:t>-</w:t>
      </w:r>
      <w:r>
        <w:t xml:space="preserve"> Sentencia </w:t>
      </w:r>
      <w:hyperlink w:anchor="SENTENCIA_2023_123" w:history="1">
        <w:r w:rsidRPr="00DA359F">
          <w:rPr>
            <w:rStyle w:val="TextoNormalCaracter"/>
          </w:rPr>
          <w:t>123/2023</w:t>
        </w:r>
      </w:hyperlink>
      <w:r>
        <w:t>, f. 1.</w:t>
      </w:r>
    </w:p>
    <w:p w14:paraId="6EEA12C7" w14:textId="3BF0B05A" w:rsidR="00DA359F" w:rsidRDefault="00DA359F" w:rsidP="00DA359F">
      <w:pPr>
        <w:pStyle w:val="SangriaFrancesaArticulo"/>
      </w:pPr>
      <w:r w:rsidRPr="00DA359F">
        <w:rPr>
          <w:rStyle w:val="TextoNormalNegritaCaracter"/>
        </w:rPr>
        <w:t>Artículo 410.1.</w:t>
      </w:r>
      <w:r w:rsidRPr="00DA359F">
        <w:rPr>
          <w:rStyle w:val="TextoNormalCaracter"/>
        </w:rPr>
        <w:t>-</w:t>
      </w:r>
      <w:r>
        <w:t xml:space="preserve"> Sentencia </w:t>
      </w:r>
      <w:hyperlink w:anchor="SENTENCIA_2023_82" w:history="1">
        <w:r w:rsidRPr="00DA359F">
          <w:rPr>
            <w:rStyle w:val="TextoNormalCaracter"/>
          </w:rPr>
          <w:t>82/2023</w:t>
        </w:r>
      </w:hyperlink>
      <w:r>
        <w:t>, f. 1.</w:t>
      </w:r>
    </w:p>
    <w:p w14:paraId="102ECEE6" w14:textId="6EC3F710" w:rsidR="00DA359F" w:rsidRDefault="00DA359F" w:rsidP="00DA359F">
      <w:pPr>
        <w:pStyle w:val="SangriaFrancesaArticulo"/>
      </w:pPr>
    </w:p>
    <w:p w14:paraId="695A0D5D" w14:textId="77777777" w:rsidR="00DA359F" w:rsidRDefault="00DA359F" w:rsidP="00DA359F">
      <w:pPr>
        <w:pStyle w:val="TextoNormalNegritaCursivandice"/>
        <w:keepNext/>
      </w:pPr>
      <w:r>
        <w:t>Ley Orgánica 1/1996, de 15 de enero, de protección jurídica del menor, de modificación parcial del Código civil y de la Ley de enjuiciamiento civil</w:t>
      </w:r>
    </w:p>
    <w:p w14:paraId="4A90DEEB" w14:textId="5D46FBA1"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131" w:history="1">
        <w:r w:rsidRPr="00DA359F">
          <w:rPr>
            <w:rStyle w:val="TextoNormalCaracter"/>
          </w:rPr>
          <w:t>131/2023</w:t>
        </w:r>
      </w:hyperlink>
      <w:r>
        <w:t>, f. 3.</w:t>
      </w:r>
    </w:p>
    <w:p w14:paraId="70D8CEC1" w14:textId="189E2933" w:rsidR="00DA359F" w:rsidRDefault="00DA359F" w:rsidP="00DA359F">
      <w:pPr>
        <w:pStyle w:val="SangriaFrancesaArticulo"/>
      </w:pPr>
      <w:r w:rsidRPr="00DA359F">
        <w:rPr>
          <w:rStyle w:val="TextoNormalNegritaCaracter"/>
        </w:rPr>
        <w:t>Exposición de motivos.</w:t>
      </w:r>
      <w:r w:rsidRPr="00DA359F">
        <w:rPr>
          <w:rStyle w:val="TextoNormalCaracter"/>
        </w:rPr>
        <w:t>-</w:t>
      </w:r>
      <w:r>
        <w:t xml:space="preserve"> Sentencia </w:t>
      </w:r>
      <w:hyperlink w:anchor="SENTENCIA_2023_131" w:history="1">
        <w:r w:rsidRPr="00DA359F">
          <w:rPr>
            <w:rStyle w:val="TextoNormalCaracter"/>
          </w:rPr>
          <w:t>131/2023</w:t>
        </w:r>
      </w:hyperlink>
      <w:r>
        <w:t>, f. 3.</w:t>
      </w:r>
    </w:p>
    <w:p w14:paraId="2FEDE3AA" w14:textId="4EC54129" w:rsidR="00DA359F" w:rsidRDefault="00DA359F" w:rsidP="00DA359F">
      <w:pPr>
        <w:pStyle w:val="SangriaFrancesaArticulo"/>
      </w:pPr>
      <w:r w:rsidRPr="00DA359F">
        <w:rPr>
          <w:rStyle w:val="TextoNormalNegritaCaracter"/>
        </w:rPr>
        <w:t>Artículo 2.</w:t>
      </w:r>
      <w:r w:rsidRPr="00DA359F">
        <w:rPr>
          <w:rStyle w:val="TextoNormalCaracter"/>
        </w:rPr>
        <w:t>-</w:t>
      </w:r>
      <w:r>
        <w:t xml:space="preserve"> Sentencias </w:t>
      </w:r>
      <w:hyperlink w:anchor="SENTENCIA_2023_131" w:history="1">
        <w:r w:rsidRPr="00DA359F">
          <w:rPr>
            <w:rStyle w:val="TextoNormalCaracter"/>
          </w:rPr>
          <w:t>131/2023</w:t>
        </w:r>
      </w:hyperlink>
      <w:r>
        <w:t xml:space="preserve">, ff. 1, 3; </w:t>
      </w:r>
      <w:hyperlink w:anchor="SENTENCIA_2023_148" w:history="1">
        <w:r w:rsidRPr="00DA359F">
          <w:rPr>
            <w:rStyle w:val="TextoNormalCaracter"/>
          </w:rPr>
          <w:t>148/2023</w:t>
        </w:r>
      </w:hyperlink>
      <w:r>
        <w:t>, ff. 4, 5.</w:t>
      </w:r>
    </w:p>
    <w:p w14:paraId="65E3E61D" w14:textId="01DAAEEF" w:rsidR="00DA359F" w:rsidRDefault="00DA359F" w:rsidP="00DA359F">
      <w:pPr>
        <w:pStyle w:val="SangriaFrancesaArticulo"/>
      </w:pPr>
      <w:r w:rsidRPr="00DA359F">
        <w:rPr>
          <w:rStyle w:val="TextoNormalNegritaCaracter"/>
        </w:rPr>
        <w:t>Artículo 2.1.</w:t>
      </w:r>
      <w:r w:rsidRPr="00DA359F">
        <w:rPr>
          <w:rStyle w:val="TextoNormalCaracter"/>
        </w:rPr>
        <w:t>-</w:t>
      </w:r>
      <w:r>
        <w:t xml:space="preserve"> Sentencia </w:t>
      </w:r>
      <w:hyperlink w:anchor="SENTENCIA_2023_148" w:history="1">
        <w:r w:rsidRPr="00DA359F">
          <w:rPr>
            <w:rStyle w:val="TextoNormalCaracter"/>
          </w:rPr>
          <w:t>148/2023</w:t>
        </w:r>
      </w:hyperlink>
      <w:r>
        <w:t>, f. 4.</w:t>
      </w:r>
    </w:p>
    <w:p w14:paraId="711A52E2" w14:textId="5EA87F31" w:rsidR="00DA359F" w:rsidRDefault="00DA359F" w:rsidP="00DA359F">
      <w:pPr>
        <w:pStyle w:val="SangriaFrancesaArticulo"/>
      </w:pPr>
      <w:r w:rsidRPr="00DA359F">
        <w:rPr>
          <w:rStyle w:val="TextoNormalNegritaCaracter"/>
        </w:rPr>
        <w:t>Artículo 2.2.</w:t>
      </w:r>
      <w:r w:rsidRPr="00DA359F">
        <w:rPr>
          <w:rStyle w:val="TextoNormalCaracter"/>
        </w:rPr>
        <w:t>-</w:t>
      </w:r>
      <w:r>
        <w:t xml:space="preserve"> Sentencia </w:t>
      </w:r>
      <w:hyperlink w:anchor="SENTENCIA_2023_148" w:history="1">
        <w:r w:rsidRPr="00DA359F">
          <w:rPr>
            <w:rStyle w:val="TextoNormalCaracter"/>
          </w:rPr>
          <w:t>148/2023</w:t>
        </w:r>
      </w:hyperlink>
      <w:r>
        <w:t>, f. 4.</w:t>
      </w:r>
    </w:p>
    <w:p w14:paraId="666910D4" w14:textId="5C038D16" w:rsidR="00DA359F" w:rsidRDefault="00DA359F" w:rsidP="00DA359F">
      <w:pPr>
        <w:pStyle w:val="SangriaFrancesaArticulo"/>
      </w:pPr>
      <w:r w:rsidRPr="00DA359F">
        <w:rPr>
          <w:rStyle w:val="TextoNormalNegritaCaracter"/>
        </w:rPr>
        <w:t>Artículo 2.2 c).</w:t>
      </w:r>
      <w:r w:rsidRPr="00DA359F">
        <w:rPr>
          <w:rStyle w:val="TextoNormalCaracter"/>
        </w:rPr>
        <w:t>-</w:t>
      </w:r>
      <w:r>
        <w:t xml:space="preserve"> Sentencia </w:t>
      </w:r>
      <w:hyperlink w:anchor="SENTENCIA_2023_131" w:history="1">
        <w:r w:rsidRPr="00DA359F">
          <w:rPr>
            <w:rStyle w:val="TextoNormalCaracter"/>
          </w:rPr>
          <w:t>131/2023</w:t>
        </w:r>
      </w:hyperlink>
      <w:r>
        <w:t>, VP.</w:t>
      </w:r>
    </w:p>
    <w:p w14:paraId="2B48F33D" w14:textId="7C948F37" w:rsidR="00DA359F" w:rsidRDefault="00DA359F" w:rsidP="00DA359F">
      <w:pPr>
        <w:pStyle w:val="SangriaFrancesaArticulo"/>
      </w:pPr>
      <w:r w:rsidRPr="00DA359F">
        <w:rPr>
          <w:rStyle w:val="TextoNormalNegritaCaracter"/>
        </w:rPr>
        <w:t>Artículo 9.</w:t>
      </w:r>
      <w:r w:rsidRPr="00DA359F">
        <w:rPr>
          <w:rStyle w:val="TextoNormalCaracter"/>
        </w:rPr>
        <w:t>-</w:t>
      </w:r>
      <w:r>
        <w:t xml:space="preserve"> Sentencia </w:t>
      </w:r>
      <w:hyperlink w:anchor="SENTENCIA_2023_148" w:history="1">
        <w:r w:rsidRPr="00DA359F">
          <w:rPr>
            <w:rStyle w:val="TextoNormalCaracter"/>
          </w:rPr>
          <w:t>148/2023</w:t>
        </w:r>
      </w:hyperlink>
      <w:r>
        <w:t>, f. 4.</w:t>
      </w:r>
    </w:p>
    <w:p w14:paraId="182EBE97" w14:textId="45152048" w:rsidR="00DA359F" w:rsidRDefault="00DA359F" w:rsidP="00DA359F">
      <w:pPr>
        <w:pStyle w:val="SangriaFrancesaArticulo"/>
      </w:pPr>
      <w:r w:rsidRPr="00DA359F">
        <w:rPr>
          <w:rStyle w:val="TextoNormalNegritaCaracter"/>
        </w:rPr>
        <w:t>Artículo 9.2.</w:t>
      </w:r>
      <w:r w:rsidRPr="00DA359F">
        <w:rPr>
          <w:rStyle w:val="TextoNormalCaracter"/>
        </w:rPr>
        <w:t>-</w:t>
      </w:r>
      <w:r>
        <w:t xml:space="preserve"> Sentencia </w:t>
      </w:r>
      <w:hyperlink w:anchor="SENTENCIA_2023_148" w:history="1">
        <w:r w:rsidRPr="00DA359F">
          <w:rPr>
            <w:rStyle w:val="TextoNormalCaracter"/>
          </w:rPr>
          <w:t>148/2023</w:t>
        </w:r>
      </w:hyperlink>
      <w:r>
        <w:t>, f. 4.</w:t>
      </w:r>
    </w:p>
    <w:p w14:paraId="4B0635D0" w14:textId="3DB1320C" w:rsidR="00DA359F" w:rsidRDefault="00DA359F" w:rsidP="00DA359F">
      <w:pPr>
        <w:pStyle w:val="SangriaFrancesaArticulo"/>
      </w:pPr>
      <w:r w:rsidRPr="00DA359F">
        <w:rPr>
          <w:rStyle w:val="TextoNormalNegritaCaracter"/>
        </w:rPr>
        <w:t>Artículo 9.3.</w:t>
      </w:r>
      <w:r w:rsidRPr="00DA359F">
        <w:rPr>
          <w:rStyle w:val="TextoNormalCaracter"/>
        </w:rPr>
        <w:t>-</w:t>
      </w:r>
      <w:r>
        <w:t xml:space="preserve"> Sentencia </w:t>
      </w:r>
      <w:hyperlink w:anchor="SENTENCIA_2023_148" w:history="1">
        <w:r w:rsidRPr="00DA359F">
          <w:rPr>
            <w:rStyle w:val="TextoNormalCaracter"/>
          </w:rPr>
          <w:t>148/2023</w:t>
        </w:r>
      </w:hyperlink>
      <w:r>
        <w:t>, f. 4.</w:t>
      </w:r>
    </w:p>
    <w:p w14:paraId="2DC0C1D3" w14:textId="56D88229" w:rsidR="00DA359F" w:rsidRDefault="00DA359F" w:rsidP="00DA359F">
      <w:pPr>
        <w:pStyle w:val="SangriaFrancesaArticulo"/>
      </w:pPr>
    </w:p>
    <w:p w14:paraId="776633A4" w14:textId="77777777" w:rsidR="00DA359F" w:rsidRDefault="00DA359F" w:rsidP="00DA359F">
      <w:pPr>
        <w:pStyle w:val="TextoNormalNegritaCursivandice"/>
        <w:keepNext/>
      </w:pPr>
      <w:r>
        <w:t>Ley Orgánica 4/1997, de 4 de agosto, por la que se regula la utilización de videocámaras por las fuerzas y cuerpos de seguridad en lugares públicos</w:t>
      </w:r>
    </w:p>
    <w:p w14:paraId="1380C2C4" w14:textId="6F95B8E6" w:rsidR="00DA359F" w:rsidRDefault="00DA359F" w:rsidP="00DA359F">
      <w:pPr>
        <w:pStyle w:val="SangriaFrancesaArticulo"/>
      </w:pPr>
      <w:r w:rsidRPr="00DA359F">
        <w:rPr>
          <w:rStyle w:val="TextoNormalNegritaCaracter"/>
        </w:rPr>
        <w:t>Artículo 3.</w:t>
      </w:r>
      <w:r w:rsidRPr="00DA359F">
        <w:rPr>
          <w:rStyle w:val="TextoNormalCaracter"/>
        </w:rPr>
        <w:t>-</w:t>
      </w:r>
      <w:r>
        <w:t xml:space="preserve"> Sentencia </w:t>
      </w:r>
      <w:hyperlink w:anchor="SENTENCIA_2023_92" w:history="1">
        <w:r w:rsidRPr="00DA359F">
          <w:rPr>
            <w:rStyle w:val="TextoNormalCaracter"/>
          </w:rPr>
          <w:t>92/2023</w:t>
        </w:r>
      </w:hyperlink>
      <w:r>
        <w:t>, f. 8.</w:t>
      </w:r>
    </w:p>
    <w:p w14:paraId="029D4F86" w14:textId="71EAD6D6" w:rsidR="00DA359F" w:rsidRDefault="00DA359F" w:rsidP="00DA359F">
      <w:pPr>
        <w:pStyle w:val="SangriaFrancesaArticulo"/>
      </w:pPr>
      <w:r w:rsidRPr="00DA359F">
        <w:rPr>
          <w:rStyle w:val="TextoNormalNegritaCaracter"/>
        </w:rPr>
        <w:t>Artículo 5.2.</w:t>
      </w:r>
      <w:r w:rsidRPr="00DA359F">
        <w:rPr>
          <w:rStyle w:val="TextoNormalCaracter"/>
        </w:rPr>
        <w:t>-</w:t>
      </w:r>
      <w:r>
        <w:t xml:space="preserve"> Sentencia </w:t>
      </w:r>
      <w:hyperlink w:anchor="SENTENCIA_2023_92" w:history="1">
        <w:r w:rsidRPr="00DA359F">
          <w:rPr>
            <w:rStyle w:val="TextoNormalCaracter"/>
          </w:rPr>
          <w:t>92/2023</w:t>
        </w:r>
      </w:hyperlink>
      <w:r>
        <w:t>, f. 8.</w:t>
      </w:r>
    </w:p>
    <w:p w14:paraId="73A5C0BC" w14:textId="38DFF3EB" w:rsidR="00DA359F" w:rsidRDefault="00DA359F" w:rsidP="00DA359F">
      <w:pPr>
        <w:pStyle w:val="SangriaFrancesaArticulo"/>
      </w:pPr>
    </w:p>
    <w:p w14:paraId="7AF77C71" w14:textId="77777777" w:rsidR="00DA359F" w:rsidRDefault="00DA359F" w:rsidP="00DA359F">
      <w:pPr>
        <w:pStyle w:val="TextoNormalNegritaCursivandice"/>
        <w:keepNext/>
      </w:pPr>
      <w:r>
        <w:t>Ley Orgánica 15/1999, de 13 de diciembre. Protección de datos de carácter personal</w:t>
      </w:r>
    </w:p>
    <w:p w14:paraId="246C49DA" w14:textId="13AE2BE6" w:rsidR="00DA359F" w:rsidRDefault="00DA359F" w:rsidP="00DA359F">
      <w:pPr>
        <w:pStyle w:val="SangriaFrancesaArticulo"/>
      </w:pPr>
      <w:r w:rsidRPr="00DA359F">
        <w:rPr>
          <w:rStyle w:val="TextoNormalNegritaCaracter"/>
        </w:rPr>
        <w:t>Artículo 22.3.</w:t>
      </w:r>
      <w:r w:rsidRPr="00DA359F">
        <w:rPr>
          <w:rStyle w:val="TextoNormalCaracter"/>
        </w:rPr>
        <w:t>-</w:t>
      </w:r>
      <w:r>
        <w:t xml:space="preserve"> Sentencia </w:t>
      </w:r>
      <w:hyperlink w:anchor="SENTENCIA_2023_92" w:history="1">
        <w:r w:rsidRPr="00DA359F">
          <w:rPr>
            <w:rStyle w:val="TextoNormalCaracter"/>
          </w:rPr>
          <w:t>92/2023</w:t>
        </w:r>
      </w:hyperlink>
      <w:r>
        <w:t>, f. 8.</w:t>
      </w:r>
    </w:p>
    <w:p w14:paraId="7909366E" w14:textId="5A1CF83E" w:rsidR="00DA359F" w:rsidRDefault="00DA359F" w:rsidP="00DA359F">
      <w:pPr>
        <w:pStyle w:val="SangriaFrancesaArticulo"/>
      </w:pPr>
    </w:p>
    <w:p w14:paraId="7B4CB522" w14:textId="77777777" w:rsidR="00DA359F" w:rsidRDefault="00DA359F" w:rsidP="00DA359F">
      <w:pPr>
        <w:pStyle w:val="TextoNormalNegritaCursivandice"/>
        <w:keepNext/>
      </w:pPr>
      <w:r>
        <w:t>Ley Orgánica 4/2000, de 11 de enero, sobre derechos y libertades de los extranjeros en España y su integración social</w:t>
      </w:r>
    </w:p>
    <w:p w14:paraId="3BBA2F84" w14:textId="621269AB" w:rsidR="00DA359F" w:rsidRDefault="00DA359F" w:rsidP="00DA359F">
      <w:pPr>
        <w:pStyle w:val="SangriaFrancesaArticulo"/>
        <w:keepNext/>
      </w:pPr>
      <w:r w:rsidRPr="00DA359F">
        <w:rPr>
          <w:rStyle w:val="TextoNormalNegritaCaracter"/>
        </w:rPr>
        <w:t>En general.</w:t>
      </w:r>
      <w:r w:rsidRPr="00DA359F">
        <w:rPr>
          <w:rStyle w:val="TextoNormalCaracter"/>
        </w:rPr>
        <w:t>-</w:t>
      </w:r>
      <w:r>
        <w:t xml:space="preserve"> Sentencia </w:t>
      </w:r>
      <w:hyperlink w:anchor="SENTENCIA_2023_87" w:history="1">
        <w:r w:rsidRPr="00DA359F">
          <w:rPr>
            <w:rStyle w:val="TextoNormalCaracter"/>
          </w:rPr>
          <w:t>87/2023</w:t>
        </w:r>
      </w:hyperlink>
      <w:r>
        <w:t>, f. 2.</w:t>
      </w:r>
    </w:p>
    <w:p w14:paraId="228ABE1D" w14:textId="6A33035E" w:rsidR="00DA359F" w:rsidRDefault="00DA359F" w:rsidP="00DA359F">
      <w:pPr>
        <w:pStyle w:val="SangriaIzquierdaArticulo"/>
      </w:pPr>
      <w:r>
        <w:t xml:space="preserve">Auto </w:t>
      </w:r>
      <w:hyperlink w:anchor="AUTO_2023_603" w:history="1">
        <w:r w:rsidRPr="00DA359F">
          <w:rPr>
            <w:rStyle w:val="TextoNormalCaracter"/>
          </w:rPr>
          <w:t>603/2023</w:t>
        </w:r>
      </w:hyperlink>
      <w:r>
        <w:t>, f. 3.</w:t>
      </w:r>
    </w:p>
    <w:p w14:paraId="0A76029F" w14:textId="16180320" w:rsidR="00DA359F" w:rsidRDefault="00DA359F" w:rsidP="00DA359F">
      <w:pPr>
        <w:pStyle w:val="SangriaFrancesaArticulo"/>
      </w:pPr>
      <w:r w:rsidRPr="00DA359F">
        <w:rPr>
          <w:rStyle w:val="TextoNormalNegritaCaracter"/>
        </w:rPr>
        <w:t>Artículo 20.2.</w:t>
      </w:r>
      <w:r w:rsidRPr="00DA359F">
        <w:rPr>
          <w:rStyle w:val="TextoNormalCaracter"/>
        </w:rPr>
        <w:t>-</w:t>
      </w:r>
      <w:r>
        <w:t xml:space="preserve"> Sentencia </w:t>
      </w:r>
      <w:hyperlink w:anchor="SENTENCIA_2023_150" w:history="1">
        <w:r w:rsidRPr="00DA359F">
          <w:rPr>
            <w:rStyle w:val="TextoNormalCaracter"/>
          </w:rPr>
          <w:t>150/2023</w:t>
        </w:r>
      </w:hyperlink>
      <w:r>
        <w:t>, f. 2.</w:t>
      </w:r>
    </w:p>
    <w:p w14:paraId="1FC8320E" w14:textId="7840E53F" w:rsidR="00DA359F" w:rsidRDefault="00DA359F" w:rsidP="00DA359F">
      <w:pPr>
        <w:pStyle w:val="SangriaIzquierdaArticulo"/>
      </w:pPr>
      <w:r>
        <w:t xml:space="preserve">Auto </w:t>
      </w:r>
      <w:hyperlink w:anchor="AUTO_2023_603" w:history="1">
        <w:r w:rsidRPr="00DA359F">
          <w:rPr>
            <w:rStyle w:val="TextoNormalCaracter"/>
          </w:rPr>
          <w:t>603/2023</w:t>
        </w:r>
      </w:hyperlink>
      <w:r>
        <w:t>, f. 3.</w:t>
      </w:r>
    </w:p>
    <w:p w14:paraId="6CF12643" w14:textId="5D3CFCF8" w:rsidR="00DA359F" w:rsidRDefault="00DA359F" w:rsidP="00DA359F">
      <w:pPr>
        <w:pStyle w:val="SangriaFrancesaArticulo"/>
      </w:pPr>
      <w:r w:rsidRPr="00DA359F">
        <w:rPr>
          <w:rStyle w:val="TextoNormalNegritaCaracter"/>
        </w:rPr>
        <w:t>Artículo 28.3 c).</w:t>
      </w:r>
      <w:r w:rsidRPr="00DA359F">
        <w:rPr>
          <w:rStyle w:val="TextoNormalCaracter"/>
        </w:rPr>
        <w:t>-</w:t>
      </w:r>
      <w:r>
        <w:t xml:space="preserve"> Sentencia </w:t>
      </w:r>
      <w:hyperlink w:anchor="SENTENCIA_2023_150" w:history="1">
        <w:r w:rsidRPr="00DA359F">
          <w:rPr>
            <w:rStyle w:val="TextoNormalCaracter"/>
          </w:rPr>
          <w:t>150/2023</w:t>
        </w:r>
      </w:hyperlink>
      <w:r>
        <w:t>, f. 3.</w:t>
      </w:r>
    </w:p>
    <w:p w14:paraId="02C0427B" w14:textId="4A291FDC" w:rsidR="00DA359F" w:rsidRDefault="00DA359F" w:rsidP="00DA359F">
      <w:pPr>
        <w:pStyle w:val="SangriaFrancesaArticulo"/>
      </w:pPr>
      <w:r w:rsidRPr="00DA359F">
        <w:rPr>
          <w:rStyle w:val="TextoNormalNegritaCaracter"/>
        </w:rPr>
        <w:t>Artículo 50.</w:t>
      </w:r>
      <w:r w:rsidRPr="00DA359F">
        <w:rPr>
          <w:rStyle w:val="TextoNormalCaracter"/>
        </w:rPr>
        <w:t>-</w:t>
      </w:r>
      <w:r>
        <w:t xml:space="preserve"> Sentencia </w:t>
      </w:r>
      <w:hyperlink w:anchor="SENTENCIA_2023_150" w:history="1">
        <w:r w:rsidRPr="00DA359F">
          <w:rPr>
            <w:rStyle w:val="TextoNormalCaracter"/>
          </w:rPr>
          <w:t>150/2023</w:t>
        </w:r>
      </w:hyperlink>
      <w:r>
        <w:t>, f. 2.</w:t>
      </w:r>
    </w:p>
    <w:p w14:paraId="2D6EF43E" w14:textId="7DAA3574" w:rsidR="00DA359F" w:rsidRDefault="00DA359F" w:rsidP="00DA359F">
      <w:pPr>
        <w:pStyle w:val="SangriaIzquierdaArticulo"/>
      </w:pPr>
      <w:r>
        <w:t xml:space="preserve">Auto </w:t>
      </w:r>
      <w:hyperlink w:anchor="AUTO_2023_603" w:history="1">
        <w:r w:rsidRPr="00DA359F">
          <w:rPr>
            <w:rStyle w:val="TextoNormalCaracter"/>
          </w:rPr>
          <w:t>603/2023</w:t>
        </w:r>
      </w:hyperlink>
      <w:r>
        <w:t>, f. 3.</w:t>
      </w:r>
    </w:p>
    <w:p w14:paraId="23668C49" w14:textId="1232E5F1" w:rsidR="00DA359F" w:rsidRDefault="00DA359F" w:rsidP="00DA359F">
      <w:pPr>
        <w:pStyle w:val="SangriaFrancesaArticulo"/>
      </w:pPr>
      <w:r w:rsidRPr="00DA359F">
        <w:rPr>
          <w:rStyle w:val="TextoNormalNegritaCaracter"/>
        </w:rPr>
        <w:t>Artículo 51.3 a).</w:t>
      </w:r>
      <w:r w:rsidRPr="00DA359F">
        <w:rPr>
          <w:rStyle w:val="TextoNormalCaracter"/>
        </w:rPr>
        <w:t>-</w:t>
      </w:r>
      <w:r>
        <w:t xml:space="preserve"> Sentencias </w:t>
      </w:r>
      <w:hyperlink w:anchor="SENTENCIA_2023_80" w:history="1">
        <w:r w:rsidRPr="00DA359F">
          <w:rPr>
            <w:rStyle w:val="TextoNormalCaracter"/>
          </w:rPr>
          <w:t>80/2023</w:t>
        </w:r>
      </w:hyperlink>
      <w:r>
        <w:t xml:space="preserve">, f. 3; </w:t>
      </w:r>
      <w:hyperlink w:anchor="SENTENCIA_2023_87" w:history="1">
        <w:r w:rsidRPr="00DA359F">
          <w:rPr>
            <w:rStyle w:val="TextoNormalCaracter"/>
          </w:rPr>
          <w:t>87/2023</w:t>
        </w:r>
      </w:hyperlink>
      <w:r>
        <w:t>, f. 3.</w:t>
      </w:r>
    </w:p>
    <w:p w14:paraId="23C116EB" w14:textId="74443721" w:rsidR="00DA359F" w:rsidRDefault="00DA359F" w:rsidP="00DA359F">
      <w:pPr>
        <w:pStyle w:val="SangriaFrancesaArticulo"/>
      </w:pPr>
      <w:r w:rsidRPr="00DA359F">
        <w:rPr>
          <w:rStyle w:val="TextoNormalNegritaCaracter"/>
        </w:rPr>
        <w:t>Artículos 52 a 54.</w:t>
      </w:r>
      <w:r w:rsidRPr="00DA359F">
        <w:rPr>
          <w:rStyle w:val="TextoNormalCaracter"/>
        </w:rPr>
        <w:t>-</w:t>
      </w:r>
      <w:r>
        <w:t xml:space="preserve"> Auto </w:t>
      </w:r>
      <w:hyperlink w:anchor="AUTO_2023_603" w:history="1">
        <w:r w:rsidRPr="00DA359F">
          <w:rPr>
            <w:rStyle w:val="TextoNormalCaracter"/>
          </w:rPr>
          <w:t>603/2023</w:t>
        </w:r>
      </w:hyperlink>
      <w:r>
        <w:t>, f. 3.</w:t>
      </w:r>
    </w:p>
    <w:p w14:paraId="430658E0" w14:textId="454D76E0" w:rsidR="00DA359F" w:rsidRDefault="00DA359F" w:rsidP="00DA359F">
      <w:pPr>
        <w:pStyle w:val="SangriaFrancesaArticulo"/>
      </w:pPr>
      <w:r w:rsidRPr="00DA359F">
        <w:rPr>
          <w:rStyle w:val="TextoNormalNegritaCaracter"/>
        </w:rPr>
        <w:t>Artículo 53.</w:t>
      </w:r>
      <w:r w:rsidRPr="00DA359F">
        <w:rPr>
          <w:rStyle w:val="TextoNormalCaracter"/>
        </w:rPr>
        <w:t>-</w:t>
      </w:r>
      <w:r>
        <w:t xml:space="preserve"> Auto </w:t>
      </w:r>
      <w:hyperlink w:anchor="AUTO_2023_603" w:history="1">
        <w:r w:rsidRPr="00DA359F">
          <w:rPr>
            <w:rStyle w:val="TextoNormalCaracter"/>
          </w:rPr>
          <w:t>603/2023</w:t>
        </w:r>
      </w:hyperlink>
      <w:r>
        <w:t>, f. 3.</w:t>
      </w:r>
    </w:p>
    <w:p w14:paraId="7601406B" w14:textId="2F3F81D5" w:rsidR="00DA359F" w:rsidRDefault="00DA359F" w:rsidP="00DA359F">
      <w:pPr>
        <w:pStyle w:val="SangriaFrancesaArticulo"/>
      </w:pPr>
      <w:r w:rsidRPr="00DA359F">
        <w:rPr>
          <w:rStyle w:val="TextoNormalNegritaCaracter"/>
        </w:rPr>
        <w:t>Artículo 53 a).</w:t>
      </w:r>
      <w:r w:rsidRPr="00DA359F">
        <w:rPr>
          <w:rStyle w:val="TextoNormalCaracter"/>
        </w:rPr>
        <w:t>-</w:t>
      </w:r>
      <w:r>
        <w:t xml:space="preserve"> Auto </w:t>
      </w:r>
      <w:hyperlink w:anchor="AUTO_2023_603" w:history="1">
        <w:r w:rsidRPr="00DA359F">
          <w:rPr>
            <w:rStyle w:val="TextoNormalCaracter"/>
          </w:rPr>
          <w:t>603/2023</w:t>
        </w:r>
      </w:hyperlink>
      <w:r>
        <w:t>, f. 3.</w:t>
      </w:r>
    </w:p>
    <w:p w14:paraId="0A75F39E" w14:textId="4A1F2928" w:rsidR="00DA359F" w:rsidRDefault="00DA359F" w:rsidP="00DA359F">
      <w:pPr>
        <w:pStyle w:val="SangriaFrancesaArticulo"/>
      </w:pPr>
      <w:r w:rsidRPr="00DA359F">
        <w:rPr>
          <w:rStyle w:val="TextoNormalNegritaCaracter"/>
        </w:rPr>
        <w:t>Artículo 53.1 a).</w:t>
      </w:r>
      <w:r w:rsidRPr="00DA359F">
        <w:rPr>
          <w:rStyle w:val="TextoNormalCaracter"/>
        </w:rPr>
        <w:t>-</w:t>
      </w:r>
      <w:r>
        <w:t xml:space="preserve"> Sentencias </w:t>
      </w:r>
      <w:hyperlink w:anchor="SENTENCIA_2023_80" w:history="1">
        <w:r w:rsidRPr="00DA359F">
          <w:rPr>
            <w:rStyle w:val="TextoNormalCaracter"/>
          </w:rPr>
          <w:t>80/2023</w:t>
        </w:r>
      </w:hyperlink>
      <w:r>
        <w:t xml:space="preserve">, f. 3; </w:t>
      </w:r>
      <w:hyperlink w:anchor="SENTENCIA_2023_86" w:history="1">
        <w:r w:rsidRPr="00DA359F">
          <w:rPr>
            <w:rStyle w:val="TextoNormalCaracter"/>
          </w:rPr>
          <w:t>86/2023</w:t>
        </w:r>
      </w:hyperlink>
      <w:r>
        <w:t xml:space="preserve">, f. 3; </w:t>
      </w:r>
      <w:hyperlink w:anchor="SENTENCIA_2023_87" w:history="1">
        <w:r w:rsidRPr="00DA359F">
          <w:rPr>
            <w:rStyle w:val="TextoNormalCaracter"/>
          </w:rPr>
          <w:t>87/2023</w:t>
        </w:r>
      </w:hyperlink>
      <w:r>
        <w:t xml:space="preserve">, f. 3; </w:t>
      </w:r>
      <w:hyperlink w:anchor="SENTENCIA_2023_130" w:history="1">
        <w:r w:rsidRPr="00DA359F">
          <w:rPr>
            <w:rStyle w:val="TextoNormalCaracter"/>
          </w:rPr>
          <w:t>130/2023</w:t>
        </w:r>
      </w:hyperlink>
      <w:r>
        <w:t>, f. único.</w:t>
      </w:r>
    </w:p>
    <w:p w14:paraId="43AC60DA" w14:textId="471E6F58" w:rsidR="00DA359F" w:rsidRDefault="00DA359F" w:rsidP="00DA359F">
      <w:pPr>
        <w:pStyle w:val="SangriaIzquierdaArticulo"/>
      </w:pPr>
      <w:r>
        <w:t xml:space="preserve">Auto </w:t>
      </w:r>
      <w:hyperlink w:anchor="AUTO_2023_603" w:history="1">
        <w:r w:rsidRPr="00DA359F">
          <w:rPr>
            <w:rStyle w:val="TextoNormalCaracter"/>
          </w:rPr>
          <w:t>603/2023</w:t>
        </w:r>
      </w:hyperlink>
      <w:r>
        <w:t>, ff. 1, 3.</w:t>
      </w:r>
    </w:p>
    <w:p w14:paraId="2D56F2D2" w14:textId="76A8BABA" w:rsidR="00DA359F" w:rsidRDefault="00DA359F" w:rsidP="00DA359F">
      <w:pPr>
        <w:pStyle w:val="SangriaFrancesaArticulo"/>
      </w:pPr>
      <w:r w:rsidRPr="00DA359F">
        <w:rPr>
          <w:rStyle w:val="TextoNormalNegritaCaracter"/>
        </w:rPr>
        <w:t>Artículo 53.1 b).</w:t>
      </w:r>
      <w:r w:rsidRPr="00DA359F">
        <w:rPr>
          <w:rStyle w:val="TextoNormalCaracter"/>
        </w:rPr>
        <w:t>-</w:t>
      </w:r>
      <w:r>
        <w:t xml:space="preserve"> Auto </w:t>
      </w:r>
      <w:hyperlink w:anchor="AUTO_2023_603" w:history="1">
        <w:r w:rsidRPr="00DA359F">
          <w:rPr>
            <w:rStyle w:val="TextoNormalCaracter"/>
          </w:rPr>
          <w:t>603/2023</w:t>
        </w:r>
      </w:hyperlink>
      <w:r>
        <w:t>, ff. 1, 3.</w:t>
      </w:r>
    </w:p>
    <w:p w14:paraId="2C3672BF" w14:textId="187B154A" w:rsidR="00DA359F" w:rsidRDefault="00DA359F" w:rsidP="00DA359F">
      <w:pPr>
        <w:pStyle w:val="SangriaFrancesaArticulo"/>
      </w:pPr>
      <w:r w:rsidRPr="00DA359F">
        <w:rPr>
          <w:rStyle w:val="TextoNormalNegritaCaracter"/>
        </w:rPr>
        <w:t>Artículo 53.1 c).</w:t>
      </w:r>
      <w:r w:rsidRPr="00DA359F">
        <w:rPr>
          <w:rStyle w:val="TextoNormalCaracter"/>
        </w:rPr>
        <w:t>-</w:t>
      </w:r>
      <w:r>
        <w:t xml:space="preserve"> Auto </w:t>
      </w:r>
      <w:hyperlink w:anchor="AUTO_2023_603" w:history="1">
        <w:r w:rsidRPr="00DA359F">
          <w:rPr>
            <w:rStyle w:val="TextoNormalCaracter"/>
          </w:rPr>
          <w:t>603/2023</w:t>
        </w:r>
      </w:hyperlink>
      <w:r>
        <w:t>, ff. 1, 3.</w:t>
      </w:r>
    </w:p>
    <w:p w14:paraId="3FA65416" w14:textId="10DA3C99" w:rsidR="00DA359F" w:rsidRDefault="00DA359F" w:rsidP="00DA359F">
      <w:pPr>
        <w:pStyle w:val="SangriaFrancesaArticulo"/>
      </w:pPr>
      <w:r w:rsidRPr="00DA359F">
        <w:rPr>
          <w:rStyle w:val="TextoNormalNegritaCaracter"/>
        </w:rPr>
        <w:t>Artículo 53.1 d).</w:t>
      </w:r>
      <w:r w:rsidRPr="00DA359F">
        <w:rPr>
          <w:rStyle w:val="TextoNormalCaracter"/>
        </w:rPr>
        <w:t>-</w:t>
      </w:r>
      <w:r>
        <w:t xml:space="preserve"> Auto </w:t>
      </w:r>
      <w:hyperlink w:anchor="AUTO_2023_603" w:history="1">
        <w:r w:rsidRPr="00DA359F">
          <w:rPr>
            <w:rStyle w:val="TextoNormalCaracter"/>
          </w:rPr>
          <w:t>603/2023</w:t>
        </w:r>
      </w:hyperlink>
      <w:r>
        <w:t>, ff. 1, 3.</w:t>
      </w:r>
    </w:p>
    <w:p w14:paraId="04A5F20A" w14:textId="6499FBEB" w:rsidR="00DA359F" w:rsidRDefault="00DA359F" w:rsidP="00DA359F">
      <w:pPr>
        <w:pStyle w:val="SangriaFrancesaArticulo"/>
      </w:pPr>
      <w:r w:rsidRPr="00DA359F">
        <w:rPr>
          <w:rStyle w:val="TextoNormalNegritaCaracter"/>
        </w:rPr>
        <w:t>Artículo 53.1 f).</w:t>
      </w:r>
      <w:r w:rsidRPr="00DA359F">
        <w:rPr>
          <w:rStyle w:val="TextoNormalCaracter"/>
        </w:rPr>
        <w:t>-</w:t>
      </w:r>
      <w:r>
        <w:t xml:space="preserve"> Auto </w:t>
      </w:r>
      <w:hyperlink w:anchor="AUTO_2023_603" w:history="1">
        <w:r w:rsidRPr="00DA359F">
          <w:rPr>
            <w:rStyle w:val="TextoNormalCaracter"/>
          </w:rPr>
          <w:t>603/2023</w:t>
        </w:r>
      </w:hyperlink>
      <w:r>
        <w:t>, ff. 1, 3.</w:t>
      </w:r>
    </w:p>
    <w:p w14:paraId="7C5661A5" w14:textId="0842C67E" w:rsidR="00DA359F" w:rsidRDefault="00DA359F" w:rsidP="00DA359F">
      <w:pPr>
        <w:pStyle w:val="SangriaFrancesaArticulo"/>
      </w:pPr>
      <w:r w:rsidRPr="00DA359F">
        <w:rPr>
          <w:rStyle w:val="TextoNormalNegritaCaracter"/>
        </w:rPr>
        <w:t>Artículo 54.</w:t>
      </w:r>
      <w:r w:rsidRPr="00DA359F">
        <w:rPr>
          <w:rStyle w:val="TextoNormalCaracter"/>
        </w:rPr>
        <w:t>-</w:t>
      </w:r>
      <w:r>
        <w:t xml:space="preserve"> Auto </w:t>
      </w:r>
      <w:hyperlink w:anchor="AUTO_2023_603" w:history="1">
        <w:r w:rsidRPr="00DA359F">
          <w:rPr>
            <w:rStyle w:val="TextoNormalCaracter"/>
          </w:rPr>
          <w:t>603/2023</w:t>
        </w:r>
      </w:hyperlink>
      <w:r>
        <w:t>, f. 3.</w:t>
      </w:r>
    </w:p>
    <w:p w14:paraId="7A3024F4" w14:textId="21B5F50D" w:rsidR="00DA359F" w:rsidRDefault="00DA359F" w:rsidP="00DA359F">
      <w:pPr>
        <w:pStyle w:val="SangriaFrancesaArticulo"/>
      </w:pPr>
      <w:r w:rsidRPr="00DA359F">
        <w:rPr>
          <w:rStyle w:val="TextoNormalNegritaCaracter"/>
        </w:rPr>
        <w:t>Artículo 55.</w:t>
      </w:r>
      <w:r w:rsidRPr="00DA359F">
        <w:rPr>
          <w:rStyle w:val="TextoNormalCaracter"/>
        </w:rPr>
        <w:t>-</w:t>
      </w:r>
      <w:r>
        <w:t xml:space="preserve"> Sentencia </w:t>
      </w:r>
      <w:hyperlink w:anchor="SENTENCIA_2023_80" w:history="1">
        <w:r w:rsidRPr="00DA359F">
          <w:rPr>
            <w:rStyle w:val="TextoNormalCaracter"/>
          </w:rPr>
          <w:t>80/2023</w:t>
        </w:r>
      </w:hyperlink>
      <w:r>
        <w:t>, f. 3.</w:t>
      </w:r>
    </w:p>
    <w:p w14:paraId="17522715" w14:textId="649B8B4A" w:rsidR="00DA359F" w:rsidRDefault="00DA359F" w:rsidP="00DA359F">
      <w:pPr>
        <w:pStyle w:val="SangriaIzquierdaArticulo"/>
      </w:pPr>
      <w:r>
        <w:t xml:space="preserve">Auto </w:t>
      </w:r>
      <w:hyperlink w:anchor="AUTO_2023_603" w:history="1">
        <w:r w:rsidRPr="00DA359F">
          <w:rPr>
            <w:rStyle w:val="TextoNormalCaracter"/>
          </w:rPr>
          <w:t>603/2023</w:t>
        </w:r>
      </w:hyperlink>
      <w:r>
        <w:t>, ff. 3, 4.</w:t>
      </w:r>
    </w:p>
    <w:p w14:paraId="32C95921" w14:textId="57EDDECC" w:rsidR="00DA359F" w:rsidRDefault="00DA359F" w:rsidP="00DA359F">
      <w:pPr>
        <w:pStyle w:val="SangriaFrancesaArticulo"/>
      </w:pPr>
      <w:r w:rsidRPr="00DA359F">
        <w:rPr>
          <w:rStyle w:val="TextoNormalNegritaCaracter"/>
        </w:rPr>
        <w:t>Artículo 55.1.</w:t>
      </w:r>
      <w:r w:rsidRPr="00DA359F">
        <w:rPr>
          <w:rStyle w:val="TextoNormalCaracter"/>
        </w:rPr>
        <w:t>-</w:t>
      </w:r>
      <w:r>
        <w:t xml:space="preserve"> Sentencia </w:t>
      </w:r>
      <w:hyperlink w:anchor="SENTENCIA_2023_87" w:history="1">
        <w:r w:rsidRPr="00DA359F">
          <w:rPr>
            <w:rStyle w:val="TextoNormalCaracter"/>
          </w:rPr>
          <w:t>87/2023</w:t>
        </w:r>
      </w:hyperlink>
      <w:r>
        <w:t>, f. 3.</w:t>
      </w:r>
    </w:p>
    <w:p w14:paraId="607174AA" w14:textId="1236A64D" w:rsidR="00DA359F" w:rsidRDefault="00DA359F" w:rsidP="00DA359F">
      <w:pPr>
        <w:pStyle w:val="SangriaFrancesaArticulo"/>
      </w:pPr>
      <w:r w:rsidRPr="00DA359F">
        <w:rPr>
          <w:rStyle w:val="TextoNormalNegritaCaracter"/>
        </w:rPr>
        <w:t>Artículo 55.1 b).</w:t>
      </w:r>
      <w:r w:rsidRPr="00DA359F">
        <w:rPr>
          <w:rStyle w:val="TextoNormalCaracter"/>
        </w:rPr>
        <w:t>-</w:t>
      </w:r>
      <w:r>
        <w:t xml:space="preserve"> Sentencias </w:t>
      </w:r>
      <w:hyperlink w:anchor="SENTENCIA_2023_80" w:history="1">
        <w:r w:rsidRPr="00DA359F">
          <w:rPr>
            <w:rStyle w:val="TextoNormalCaracter"/>
          </w:rPr>
          <w:t>80/2023</w:t>
        </w:r>
      </w:hyperlink>
      <w:r>
        <w:t xml:space="preserve">, f. 3; </w:t>
      </w:r>
      <w:hyperlink w:anchor="SENTENCIA_2023_86" w:history="1">
        <w:r w:rsidRPr="00DA359F">
          <w:rPr>
            <w:rStyle w:val="TextoNormalCaracter"/>
          </w:rPr>
          <w:t>86/2023</w:t>
        </w:r>
      </w:hyperlink>
      <w:r>
        <w:t xml:space="preserve">, f. 3; </w:t>
      </w:r>
      <w:hyperlink w:anchor="SENTENCIA_2023_87" w:history="1">
        <w:r w:rsidRPr="00DA359F">
          <w:rPr>
            <w:rStyle w:val="TextoNormalCaracter"/>
          </w:rPr>
          <w:t>87/2023</w:t>
        </w:r>
      </w:hyperlink>
      <w:r>
        <w:t xml:space="preserve">, f. 3; </w:t>
      </w:r>
      <w:hyperlink w:anchor="SENTENCIA_2023_130" w:history="1">
        <w:r w:rsidRPr="00DA359F">
          <w:rPr>
            <w:rStyle w:val="TextoNormalCaracter"/>
          </w:rPr>
          <w:t>130/2023</w:t>
        </w:r>
      </w:hyperlink>
      <w:r>
        <w:t>, f. único.</w:t>
      </w:r>
    </w:p>
    <w:p w14:paraId="4A7999D7" w14:textId="6462C752" w:rsidR="00DA359F" w:rsidRDefault="00DA359F" w:rsidP="00DA359F">
      <w:pPr>
        <w:pStyle w:val="SangriaFrancesaArticulo"/>
      </w:pPr>
      <w:r w:rsidRPr="00DA359F">
        <w:rPr>
          <w:rStyle w:val="TextoNormalNegritaCaracter"/>
        </w:rPr>
        <w:t>Artículo 55.3.</w:t>
      </w:r>
      <w:r w:rsidRPr="00DA359F">
        <w:rPr>
          <w:rStyle w:val="TextoNormalCaracter"/>
        </w:rPr>
        <w:t>-</w:t>
      </w:r>
      <w:r>
        <w:t xml:space="preserve"> Sentencias </w:t>
      </w:r>
      <w:hyperlink w:anchor="SENTENCIA_2023_86" w:history="1">
        <w:r w:rsidRPr="00DA359F">
          <w:rPr>
            <w:rStyle w:val="TextoNormalCaracter"/>
          </w:rPr>
          <w:t>86/2023</w:t>
        </w:r>
      </w:hyperlink>
      <w:r>
        <w:t xml:space="preserve">, f. 3; </w:t>
      </w:r>
      <w:hyperlink w:anchor="SENTENCIA_2023_130" w:history="1">
        <w:r w:rsidRPr="00DA359F">
          <w:rPr>
            <w:rStyle w:val="TextoNormalCaracter"/>
          </w:rPr>
          <w:t>130/2023</w:t>
        </w:r>
      </w:hyperlink>
      <w:r>
        <w:t xml:space="preserve">, f. único; </w:t>
      </w:r>
      <w:hyperlink w:anchor="SENTENCIA_2023_150" w:history="1">
        <w:r w:rsidRPr="00DA359F">
          <w:rPr>
            <w:rStyle w:val="TextoNormalCaracter"/>
          </w:rPr>
          <w:t>150/2023</w:t>
        </w:r>
      </w:hyperlink>
      <w:r>
        <w:t>, f. 2.</w:t>
      </w:r>
    </w:p>
    <w:p w14:paraId="4D10B19C" w14:textId="0452A7A8" w:rsidR="00DA359F" w:rsidRDefault="00DA359F" w:rsidP="00DA359F">
      <w:pPr>
        <w:pStyle w:val="SangriaIzquierdaArticulo"/>
      </w:pPr>
      <w:r>
        <w:t xml:space="preserve">Auto </w:t>
      </w:r>
      <w:hyperlink w:anchor="AUTO_2023_603" w:history="1">
        <w:r w:rsidRPr="00DA359F">
          <w:rPr>
            <w:rStyle w:val="TextoNormalCaracter"/>
          </w:rPr>
          <w:t>603/2023</w:t>
        </w:r>
      </w:hyperlink>
      <w:r>
        <w:t>, f. 3.</w:t>
      </w:r>
    </w:p>
    <w:p w14:paraId="20F4B38E" w14:textId="4DB9F4DB" w:rsidR="00DA359F" w:rsidRDefault="00DA359F" w:rsidP="00DA359F">
      <w:pPr>
        <w:pStyle w:val="SangriaFrancesaArticulo"/>
      </w:pPr>
      <w:r w:rsidRPr="00DA359F">
        <w:rPr>
          <w:rStyle w:val="TextoNormalNegritaCaracter"/>
        </w:rPr>
        <w:t>Artículo 57.</w:t>
      </w:r>
      <w:r w:rsidRPr="00DA359F">
        <w:rPr>
          <w:rStyle w:val="TextoNormalCaracter"/>
        </w:rPr>
        <w:t>-</w:t>
      </w:r>
      <w:r>
        <w:t xml:space="preserve"> Sentencias </w:t>
      </w:r>
      <w:hyperlink w:anchor="SENTENCIA_2023_80" w:history="1">
        <w:r w:rsidRPr="00DA359F">
          <w:rPr>
            <w:rStyle w:val="TextoNormalCaracter"/>
          </w:rPr>
          <w:t>80/2023</w:t>
        </w:r>
      </w:hyperlink>
      <w:r>
        <w:t xml:space="preserve">, f. 3; </w:t>
      </w:r>
      <w:hyperlink w:anchor="SENTENCIA_2023_130" w:history="1">
        <w:r w:rsidRPr="00DA359F">
          <w:rPr>
            <w:rStyle w:val="TextoNormalCaracter"/>
          </w:rPr>
          <w:t>130/2023</w:t>
        </w:r>
      </w:hyperlink>
      <w:r>
        <w:t xml:space="preserve">, f. único; </w:t>
      </w:r>
      <w:hyperlink w:anchor="SENTENCIA_2023_150" w:history="1">
        <w:r w:rsidRPr="00DA359F">
          <w:rPr>
            <w:rStyle w:val="TextoNormalCaracter"/>
          </w:rPr>
          <w:t>150/2023</w:t>
        </w:r>
      </w:hyperlink>
      <w:r>
        <w:t>, f. 2.</w:t>
      </w:r>
    </w:p>
    <w:p w14:paraId="472B9658" w14:textId="33B6A0B7" w:rsidR="00DA359F" w:rsidRDefault="00DA359F" w:rsidP="00DA359F">
      <w:pPr>
        <w:pStyle w:val="SangriaIzquierdaArticulo"/>
      </w:pPr>
      <w:r>
        <w:t xml:space="preserve">Auto </w:t>
      </w:r>
      <w:hyperlink w:anchor="AUTO_2023_603" w:history="1">
        <w:r w:rsidRPr="00DA359F">
          <w:rPr>
            <w:rStyle w:val="TextoNormalCaracter"/>
          </w:rPr>
          <w:t>603/2023</w:t>
        </w:r>
      </w:hyperlink>
      <w:r>
        <w:t>, f. 1.</w:t>
      </w:r>
    </w:p>
    <w:p w14:paraId="066E0CA2" w14:textId="60771B79" w:rsidR="00DA359F" w:rsidRDefault="00DA359F" w:rsidP="00DA359F">
      <w:pPr>
        <w:pStyle w:val="SangriaFrancesaArticulo"/>
      </w:pPr>
      <w:r w:rsidRPr="00DA359F">
        <w:rPr>
          <w:rStyle w:val="TextoNormalNegritaCaracter"/>
        </w:rPr>
        <w:t>Artículo 57.1.</w:t>
      </w:r>
      <w:r w:rsidRPr="00DA359F">
        <w:rPr>
          <w:rStyle w:val="TextoNormalCaracter"/>
        </w:rPr>
        <w:t>-</w:t>
      </w:r>
      <w:r>
        <w:t xml:space="preserve"> Sentencias </w:t>
      </w:r>
      <w:hyperlink w:anchor="SENTENCIA_2023_80" w:history="1">
        <w:r w:rsidRPr="00DA359F">
          <w:rPr>
            <w:rStyle w:val="TextoNormalCaracter"/>
          </w:rPr>
          <w:t>80/2023</w:t>
        </w:r>
      </w:hyperlink>
      <w:r>
        <w:t xml:space="preserve">, f. 3; </w:t>
      </w:r>
      <w:hyperlink w:anchor="SENTENCIA_2023_86" w:history="1">
        <w:r w:rsidRPr="00DA359F">
          <w:rPr>
            <w:rStyle w:val="TextoNormalCaracter"/>
          </w:rPr>
          <w:t>86/2023</w:t>
        </w:r>
      </w:hyperlink>
      <w:r>
        <w:t xml:space="preserve">, f. 3; </w:t>
      </w:r>
      <w:hyperlink w:anchor="SENTENCIA_2023_87" w:history="1">
        <w:r w:rsidRPr="00DA359F">
          <w:rPr>
            <w:rStyle w:val="TextoNormalCaracter"/>
          </w:rPr>
          <w:t>87/2023</w:t>
        </w:r>
      </w:hyperlink>
      <w:r>
        <w:t xml:space="preserve">, f. 3; </w:t>
      </w:r>
      <w:hyperlink w:anchor="SENTENCIA_2023_130" w:history="1">
        <w:r w:rsidRPr="00DA359F">
          <w:rPr>
            <w:rStyle w:val="TextoNormalCaracter"/>
          </w:rPr>
          <w:t>130/2023</w:t>
        </w:r>
      </w:hyperlink>
      <w:r>
        <w:t>, f. único.</w:t>
      </w:r>
    </w:p>
    <w:p w14:paraId="6AD67C88" w14:textId="4BBAD0AB" w:rsidR="00DA359F" w:rsidRDefault="00DA359F" w:rsidP="00DA359F">
      <w:pPr>
        <w:pStyle w:val="SangriaIzquierdaArticulo"/>
      </w:pPr>
      <w:r>
        <w:t xml:space="preserve">Auto </w:t>
      </w:r>
      <w:hyperlink w:anchor="AUTO_2023_603" w:history="1">
        <w:r w:rsidRPr="00DA359F">
          <w:rPr>
            <w:rStyle w:val="TextoNormalCaracter"/>
          </w:rPr>
          <w:t>603/2023</w:t>
        </w:r>
      </w:hyperlink>
      <w:r>
        <w:t>, ff. 1 a 5.</w:t>
      </w:r>
    </w:p>
    <w:p w14:paraId="45727A8C" w14:textId="69E8488A" w:rsidR="00DA359F" w:rsidRDefault="00DA359F" w:rsidP="00DA359F">
      <w:pPr>
        <w:pStyle w:val="SangriaFrancesaArticulo"/>
      </w:pPr>
      <w:r w:rsidRPr="00DA359F">
        <w:rPr>
          <w:rStyle w:val="TextoNormalNegritaCaracter"/>
        </w:rPr>
        <w:t>Artículo 57.1</w:t>
      </w:r>
      <w:r>
        <w:t xml:space="preserve"> (redactado por la Ley Orgánica 2/2009, de 11 de diciembre)</w:t>
      </w:r>
      <w:r w:rsidRPr="00DA359F">
        <w:rPr>
          <w:rStyle w:val="TextoNormalNegritaCaracter"/>
        </w:rPr>
        <w:t>.</w:t>
      </w:r>
      <w:r w:rsidRPr="00DA359F">
        <w:rPr>
          <w:rStyle w:val="TextoNormalCaracter"/>
        </w:rPr>
        <w:t>-</w:t>
      </w:r>
      <w:r>
        <w:t xml:space="preserve"> Auto </w:t>
      </w:r>
      <w:hyperlink w:anchor="AUTO_2023_603" w:history="1">
        <w:r w:rsidRPr="00DA359F">
          <w:rPr>
            <w:rStyle w:val="TextoNormalCaracter"/>
          </w:rPr>
          <w:t>603/2023</w:t>
        </w:r>
      </w:hyperlink>
      <w:r>
        <w:t>, f. 1.</w:t>
      </w:r>
    </w:p>
    <w:p w14:paraId="304A0970" w14:textId="4B846569" w:rsidR="00DA359F" w:rsidRDefault="00DA359F" w:rsidP="00DA359F">
      <w:pPr>
        <w:pStyle w:val="SangriaFrancesaArticulo"/>
      </w:pPr>
      <w:r w:rsidRPr="00DA359F">
        <w:rPr>
          <w:rStyle w:val="TextoNormalNegritaCaracter"/>
        </w:rPr>
        <w:t>Artículo 57.3.</w:t>
      </w:r>
      <w:r w:rsidRPr="00DA359F">
        <w:rPr>
          <w:rStyle w:val="TextoNormalCaracter"/>
        </w:rPr>
        <w:t>-</w:t>
      </w:r>
      <w:r>
        <w:t xml:space="preserve"> Sentencias </w:t>
      </w:r>
      <w:hyperlink w:anchor="SENTENCIA_2023_86" w:history="1">
        <w:r w:rsidRPr="00DA359F">
          <w:rPr>
            <w:rStyle w:val="TextoNormalCaracter"/>
          </w:rPr>
          <w:t>86/2023</w:t>
        </w:r>
      </w:hyperlink>
      <w:r>
        <w:t xml:space="preserve">, f. 3; </w:t>
      </w:r>
      <w:hyperlink w:anchor="SENTENCIA_2023_130" w:history="1">
        <w:r w:rsidRPr="00DA359F">
          <w:rPr>
            <w:rStyle w:val="TextoNormalCaracter"/>
          </w:rPr>
          <w:t>130/2023</w:t>
        </w:r>
      </w:hyperlink>
      <w:r>
        <w:t>, f. único.</w:t>
      </w:r>
    </w:p>
    <w:p w14:paraId="63FC297D" w14:textId="3519B52D" w:rsidR="00DA359F" w:rsidRDefault="00DA359F" w:rsidP="00DA359F">
      <w:pPr>
        <w:pStyle w:val="SangriaFrancesaArticulo"/>
      </w:pPr>
      <w:r w:rsidRPr="00DA359F">
        <w:rPr>
          <w:rStyle w:val="TextoNormalNegritaCaracter"/>
        </w:rPr>
        <w:t>Artículo 57.5.</w:t>
      </w:r>
      <w:r w:rsidRPr="00DA359F">
        <w:rPr>
          <w:rStyle w:val="TextoNormalCaracter"/>
        </w:rPr>
        <w:t>-</w:t>
      </w:r>
      <w:r>
        <w:t xml:space="preserve"> Auto </w:t>
      </w:r>
      <w:hyperlink w:anchor="AUTO_2023_603" w:history="1">
        <w:r w:rsidRPr="00DA359F">
          <w:rPr>
            <w:rStyle w:val="TextoNormalCaracter"/>
          </w:rPr>
          <w:t>603/2023</w:t>
        </w:r>
      </w:hyperlink>
      <w:r>
        <w:t>, f. 3.</w:t>
      </w:r>
    </w:p>
    <w:p w14:paraId="3719323D" w14:textId="7646ECA4" w:rsidR="00DA359F" w:rsidRDefault="00DA359F" w:rsidP="00DA359F">
      <w:pPr>
        <w:pStyle w:val="SangriaFrancesaArticulo"/>
      </w:pPr>
      <w:r w:rsidRPr="00DA359F">
        <w:rPr>
          <w:rStyle w:val="TextoNormalNegritaCaracter"/>
        </w:rPr>
        <w:t>Artículo 57.6.</w:t>
      </w:r>
      <w:r w:rsidRPr="00DA359F">
        <w:rPr>
          <w:rStyle w:val="TextoNormalCaracter"/>
        </w:rPr>
        <w:t>-</w:t>
      </w:r>
      <w:r>
        <w:t xml:space="preserve"> Auto </w:t>
      </w:r>
      <w:hyperlink w:anchor="AUTO_2023_603" w:history="1">
        <w:r w:rsidRPr="00DA359F">
          <w:rPr>
            <w:rStyle w:val="TextoNormalCaracter"/>
          </w:rPr>
          <w:t>603/2023</w:t>
        </w:r>
      </w:hyperlink>
      <w:r>
        <w:t>, f. 3.</w:t>
      </w:r>
    </w:p>
    <w:p w14:paraId="6D45A7F6" w14:textId="66C84B8B" w:rsidR="00DA359F" w:rsidRDefault="00DA359F" w:rsidP="00DA359F">
      <w:pPr>
        <w:pStyle w:val="SangriaFrancesaArticulo"/>
      </w:pPr>
      <w:r w:rsidRPr="00DA359F">
        <w:rPr>
          <w:rStyle w:val="TextoNormalNegritaCaracter"/>
        </w:rPr>
        <w:t>Artículo 63.</w:t>
      </w:r>
      <w:r w:rsidRPr="00DA359F">
        <w:rPr>
          <w:rStyle w:val="TextoNormalCaracter"/>
        </w:rPr>
        <w:t>-</w:t>
      </w:r>
      <w:r>
        <w:t xml:space="preserve"> Sentencia </w:t>
      </w:r>
      <w:hyperlink w:anchor="SENTENCIA_2023_130" w:history="1">
        <w:r w:rsidRPr="00DA359F">
          <w:rPr>
            <w:rStyle w:val="TextoNormalCaracter"/>
          </w:rPr>
          <w:t>130/2023</w:t>
        </w:r>
      </w:hyperlink>
      <w:r>
        <w:t>, f. único.</w:t>
      </w:r>
    </w:p>
    <w:p w14:paraId="439A84A9" w14:textId="7006ECEB" w:rsidR="00DA359F" w:rsidRDefault="00DA359F" w:rsidP="00DA359F">
      <w:pPr>
        <w:pStyle w:val="SangriaFrancesaArticulo"/>
      </w:pPr>
      <w:r w:rsidRPr="00DA359F">
        <w:rPr>
          <w:rStyle w:val="TextoNormalNegritaCaracter"/>
        </w:rPr>
        <w:t>Artículo 63.1.</w:t>
      </w:r>
      <w:r w:rsidRPr="00DA359F">
        <w:rPr>
          <w:rStyle w:val="TextoNormalCaracter"/>
        </w:rPr>
        <w:t>-</w:t>
      </w:r>
      <w:r>
        <w:t xml:space="preserve"> Sentencia </w:t>
      </w:r>
      <w:hyperlink w:anchor="SENTENCIA_2023_130" w:history="1">
        <w:r w:rsidRPr="00DA359F">
          <w:rPr>
            <w:rStyle w:val="TextoNormalCaracter"/>
          </w:rPr>
          <w:t>130/2023</w:t>
        </w:r>
      </w:hyperlink>
      <w:r>
        <w:t>, f. único.</w:t>
      </w:r>
    </w:p>
    <w:p w14:paraId="029456D3" w14:textId="0FD398D3" w:rsidR="00DA359F" w:rsidRDefault="00DA359F" w:rsidP="00DA359F">
      <w:pPr>
        <w:pStyle w:val="SangriaFrancesaArticulo"/>
      </w:pPr>
    </w:p>
    <w:p w14:paraId="7430F9B5" w14:textId="77777777" w:rsidR="00DA359F" w:rsidRDefault="00DA359F" w:rsidP="00DA359F">
      <w:pPr>
        <w:pStyle w:val="TextoNormalNegritaCursivandice"/>
        <w:keepNext/>
      </w:pPr>
      <w:r>
        <w:t>Ley Orgánica 8/2000, de 22 de diciembre. Reforma parcial de la Ley Orgánica 4/2000, de 11 de enero, sobre derechos y libertades de los extranjeros en España y su integración social</w:t>
      </w:r>
    </w:p>
    <w:p w14:paraId="3A2CCC80" w14:textId="14085997" w:rsidR="00DA359F" w:rsidRDefault="00DA359F" w:rsidP="00DA359F">
      <w:pPr>
        <w:pStyle w:val="SangriaFrancesaArticulo"/>
      </w:pPr>
      <w:r w:rsidRPr="00DA359F">
        <w:rPr>
          <w:rStyle w:val="TextoNormalNegritaCaracter"/>
        </w:rPr>
        <w:t>En general.</w:t>
      </w:r>
      <w:r w:rsidRPr="00DA359F">
        <w:rPr>
          <w:rStyle w:val="TextoNormalCaracter"/>
        </w:rPr>
        <w:t>-</w:t>
      </w:r>
      <w:r>
        <w:t xml:space="preserve"> Auto </w:t>
      </w:r>
      <w:hyperlink w:anchor="AUTO_2023_603" w:history="1">
        <w:r w:rsidRPr="00DA359F">
          <w:rPr>
            <w:rStyle w:val="TextoNormalCaracter"/>
          </w:rPr>
          <w:t>603/2023</w:t>
        </w:r>
      </w:hyperlink>
      <w:r>
        <w:t>, f. 3.</w:t>
      </w:r>
    </w:p>
    <w:p w14:paraId="16B345C9" w14:textId="48F9B8AA" w:rsidR="00DA359F" w:rsidRDefault="00DA359F" w:rsidP="00DA359F">
      <w:pPr>
        <w:pStyle w:val="SangriaFrancesaArticulo"/>
      </w:pPr>
      <w:r w:rsidRPr="00DA359F">
        <w:rPr>
          <w:rStyle w:val="TextoNormalNegritaCaracter"/>
        </w:rPr>
        <w:t>Articulo 57.1.</w:t>
      </w:r>
      <w:r w:rsidRPr="00DA359F">
        <w:rPr>
          <w:rStyle w:val="TextoNormalCaracter"/>
        </w:rPr>
        <w:t>-</w:t>
      </w:r>
      <w:r>
        <w:t xml:space="preserve"> Auto </w:t>
      </w:r>
      <w:hyperlink w:anchor="AUTO_2023_603" w:history="1">
        <w:r w:rsidRPr="00DA359F">
          <w:rPr>
            <w:rStyle w:val="TextoNormalCaracter"/>
          </w:rPr>
          <w:t>603/2023</w:t>
        </w:r>
      </w:hyperlink>
      <w:r>
        <w:t>, f. 3.</w:t>
      </w:r>
    </w:p>
    <w:p w14:paraId="0467287D" w14:textId="0488FF35" w:rsidR="00DA359F" w:rsidRDefault="00DA359F" w:rsidP="00DA359F">
      <w:pPr>
        <w:pStyle w:val="SangriaFrancesaArticulo"/>
      </w:pPr>
    </w:p>
    <w:p w14:paraId="4FCBE852" w14:textId="77777777" w:rsidR="00DA359F" w:rsidRDefault="00DA359F" w:rsidP="00DA359F">
      <w:pPr>
        <w:pStyle w:val="TextoNormalNegritaCursivandice"/>
        <w:keepNext/>
      </w:pPr>
      <w:r>
        <w:t>Ley Orgánica 7/2001, de 27 de diciembre. Modificación de la Ley Orgánica 8/1980, de 22 de septiembre. Financiación de las comunidades autónomas</w:t>
      </w:r>
    </w:p>
    <w:p w14:paraId="718FB396" w14:textId="67599580"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149" w:history="1">
        <w:r w:rsidRPr="00DA359F">
          <w:rPr>
            <w:rStyle w:val="TextoNormalCaracter"/>
          </w:rPr>
          <w:t>149/2023</w:t>
        </w:r>
      </w:hyperlink>
      <w:r>
        <w:t>, VP.</w:t>
      </w:r>
    </w:p>
    <w:p w14:paraId="766701D7" w14:textId="68BE8F63" w:rsidR="00DA359F" w:rsidRDefault="00DA359F" w:rsidP="00DA359F">
      <w:pPr>
        <w:pStyle w:val="SangriaFrancesaArticulo"/>
      </w:pPr>
    </w:p>
    <w:p w14:paraId="410F2796" w14:textId="77777777" w:rsidR="00DA359F" w:rsidRDefault="00DA359F" w:rsidP="00DA359F">
      <w:pPr>
        <w:pStyle w:val="TextoNormalNegritaCursivandice"/>
        <w:keepNext/>
      </w:pPr>
      <w:r>
        <w:t>Ley Orgánica 1/2002, de 22 de marzo, reguladora del derecho de asociación</w:t>
      </w:r>
    </w:p>
    <w:p w14:paraId="72EE06DB" w14:textId="0931A0AC"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129" w:history="1">
        <w:r w:rsidRPr="00DA359F">
          <w:rPr>
            <w:rStyle w:val="TextoNormalCaracter"/>
          </w:rPr>
          <w:t>129/2023</w:t>
        </w:r>
      </w:hyperlink>
      <w:r>
        <w:t>, ff. 3, 4.</w:t>
      </w:r>
    </w:p>
    <w:p w14:paraId="01ACE621" w14:textId="23F0C960" w:rsidR="00DA359F" w:rsidRDefault="00DA359F" w:rsidP="00DA359F">
      <w:pPr>
        <w:pStyle w:val="SangriaFrancesaArticulo"/>
      </w:pPr>
      <w:r w:rsidRPr="00DA359F">
        <w:rPr>
          <w:rStyle w:val="TextoNormalNegritaCaracter"/>
        </w:rPr>
        <w:t>Artículo 2.5.</w:t>
      </w:r>
      <w:r w:rsidRPr="00DA359F">
        <w:rPr>
          <w:rStyle w:val="TextoNormalCaracter"/>
        </w:rPr>
        <w:t>-</w:t>
      </w:r>
      <w:r>
        <w:t xml:space="preserve"> Sentencia </w:t>
      </w:r>
      <w:hyperlink w:anchor="SENTENCIA_2023_129" w:history="1">
        <w:r w:rsidRPr="00DA359F">
          <w:rPr>
            <w:rStyle w:val="TextoNormalCaracter"/>
          </w:rPr>
          <w:t>129/2023</w:t>
        </w:r>
      </w:hyperlink>
      <w:r>
        <w:t>, f. 3.</w:t>
      </w:r>
    </w:p>
    <w:p w14:paraId="6CB5E316" w14:textId="127DB791" w:rsidR="00DA359F" w:rsidRDefault="00DA359F" w:rsidP="00DA359F">
      <w:pPr>
        <w:pStyle w:val="SangriaFrancesaArticulo"/>
      </w:pPr>
      <w:r w:rsidRPr="00DA359F">
        <w:rPr>
          <w:rStyle w:val="TextoNormalNegritaCaracter"/>
        </w:rPr>
        <w:t>Artículo 21.</w:t>
      </w:r>
      <w:r w:rsidRPr="00DA359F">
        <w:rPr>
          <w:rStyle w:val="TextoNormalCaracter"/>
        </w:rPr>
        <w:t>-</w:t>
      </w:r>
      <w:r>
        <w:t xml:space="preserve"> Sentencia </w:t>
      </w:r>
      <w:hyperlink w:anchor="SENTENCIA_2023_129" w:history="1">
        <w:r w:rsidRPr="00DA359F">
          <w:rPr>
            <w:rStyle w:val="TextoNormalCaracter"/>
          </w:rPr>
          <w:t>129/2023</w:t>
        </w:r>
      </w:hyperlink>
      <w:r>
        <w:t>, f. 3.</w:t>
      </w:r>
    </w:p>
    <w:p w14:paraId="48D775E6" w14:textId="5FAFE3C7" w:rsidR="00DA359F" w:rsidRDefault="00DA359F" w:rsidP="00DA359F">
      <w:pPr>
        <w:pStyle w:val="SangriaFrancesaArticulo"/>
      </w:pPr>
      <w:r w:rsidRPr="00DA359F">
        <w:rPr>
          <w:rStyle w:val="TextoNormalNegritaCaracter"/>
        </w:rPr>
        <w:t>Artículo 21 d).</w:t>
      </w:r>
      <w:r w:rsidRPr="00DA359F">
        <w:rPr>
          <w:rStyle w:val="TextoNormalCaracter"/>
        </w:rPr>
        <w:t>-</w:t>
      </w:r>
      <w:r>
        <w:t xml:space="preserve"> Sentencia </w:t>
      </w:r>
      <w:hyperlink w:anchor="SENTENCIA_2023_129" w:history="1">
        <w:r w:rsidRPr="00DA359F">
          <w:rPr>
            <w:rStyle w:val="TextoNormalCaracter"/>
          </w:rPr>
          <w:t>129/2023</w:t>
        </w:r>
      </w:hyperlink>
      <w:r>
        <w:t>, ff. 1, 3, 4.</w:t>
      </w:r>
    </w:p>
    <w:p w14:paraId="4676D018" w14:textId="37D0B3F8" w:rsidR="00DA359F" w:rsidRDefault="00DA359F" w:rsidP="00DA359F">
      <w:pPr>
        <w:pStyle w:val="SangriaFrancesaArticulo"/>
      </w:pPr>
      <w:r w:rsidRPr="00DA359F">
        <w:rPr>
          <w:rStyle w:val="TextoNormalNegritaCaracter"/>
        </w:rPr>
        <w:t>Artículo 22.</w:t>
      </w:r>
      <w:r w:rsidRPr="00DA359F">
        <w:rPr>
          <w:rStyle w:val="TextoNormalCaracter"/>
        </w:rPr>
        <w:t>-</w:t>
      </w:r>
      <w:r>
        <w:t xml:space="preserve"> Sentencia </w:t>
      </w:r>
      <w:hyperlink w:anchor="SENTENCIA_2023_129" w:history="1">
        <w:r w:rsidRPr="00DA359F">
          <w:rPr>
            <w:rStyle w:val="TextoNormalCaracter"/>
          </w:rPr>
          <w:t>129/2023</w:t>
        </w:r>
      </w:hyperlink>
      <w:r>
        <w:t>, f. 3.</w:t>
      </w:r>
    </w:p>
    <w:p w14:paraId="75C8CDD7" w14:textId="799EB7AD" w:rsidR="00DA359F" w:rsidRDefault="00DA359F" w:rsidP="00DA359F">
      <w:pPr>
        <w:pStyle w:val="SangriaFrancesaArticulo"/>
      </w:pPr>
      <w:r w:rsidRPr="00DA359F">
        <w:rPr>
          <w:rStyle w:val="TextoNormalNegritaCaracter"/>
        </w:rPr>
        <w:t>Artículo 40.3.</w:t>
      </w:r>
      <w:r w:rsidRPr="00DA359F">
        <w:rPr>
          <w:rStyle w:val="TextoNormalCaracter"/>
        </w:rPr>
        <w:t>-</w:t>
      </w:r>
      <w:r>
        <w:t xml:space="preserve"> Sentencia </w:t>
      </w:r>
      <w:hyperlink w:anchor="SENTENCIA_2023_129" w:history="1">
        <w:r w:rsidRPr="00DA359F">
          <w:rPr>
            <w:rStyle w:val="TextoNormalCaracter"/>
          </w:rPr>
          <w:t>129/2023</w:t>
        </w:r>
      </w:hyperlink>
      <w:r>
        <w:t>, f. 1.</w:t>
      </w:r>
    </w:p>
    <w:p w14:paraId="5978AB09" w14:textId="0546521D" w:rsidR="00DA359F" w:rsidRDefault="00DA359F" w:rsidP="00DA359F">
      <w:pPr>
        <w:pStyle w:val="SangriaFrancesaArticulo"/>
      </w:pPr>
    </w:p>
    <w:p w14:paraId="177123E3" w14:textId="77777777" w:rsidR="00DA359F" w:rsidRDefault="00DA359F" w:rsidP="00DA359F">
      <w:pPr>
        <w:pStyle w:val="TextoNormalNegritaCursivandice"/>
        <w:keepNext/>
      </w:pPr>
      <w:r>
        <w:t>Ley Orgánica 19/2003, de 23 de diciembre, de modificación de la Ley Orgánica 6/1985, de 1 de julio, del Poder Judicial</w:t>
      </w:r>
    </w:p>
    <w:p w14:paraId="355ED48F" w14:textId="15C3E779" w:rsidR="00DA359F" w:rsidRDefault="00DA359F" w:rsidP="00DA359F">
      <w:pPr>
        <w:pStyle w:val="SangriaFrancesaArticulo"/>
      </w:pPr>
      <w:r w:rsidRPr="00DA359F">
        <w:rPr>
          <w:rStyle w:val="TextoNormalNegritaCaracter"/>
        </w:rPr>
        <w:t>En general.</w:t>
      </w:r>
      <w:r w:rsidRPr="00DA359F">
        <w:rPr>
          <w:rStyle w:val="TextoNormalCaracter"/>
        </w:rPr>
        <w:t>-</w:t>
      </w:r>
      <w:r>
        <w:t xml:space="preserve"> Auto </w:t>
      </w:r>
      <w:hyperlink w:anchor="AUTO_2023_489" w:history="1">
        <w:r w:rsidRPr="00DA359F">
          <w:rPr>
            <w:rStyle w:val="TextoNormalCaracter"/>
          </w:rPr>
          <w:t>489/2023</w:t>
        </w:r>
      </w:hyperlink>
      <w:r>
        <w:t>, f. 4.</w:t>
      </w:r>
    </w:p>
    <w:p w14:paraId="77383720" w14:textId="42A7AB2E" w:rsidR="00DA359F" w:rsidRDefault="00DA359F" w:rsidP="00DA359F">
      <w:pPr>
        <w:pStyle w:val="SangriaFrancesaArticulo"/>
      </w:pPr>
    </w:p>
    <w:p w14:paraId="2C061EFC" w14:textId="77777777" w:rsidR="00DA359F" w:rsidRDefault="00DA359F" w:rsidP="00DA359F">
      <w:pPr>
        <w:pStyle w:val="TextoNormalNegritaCursivandice"/>
        <w:keepNext/>
      </w:pPr>
      <w:r>
        <w:t>Ley Orgánica 8/2007, de 4 de julio, sobre financiación de los partidos políticos</w:t>
      </w:r>
    </w:p>
    <w:p w14:paraId="0756F5D3" w14:textId="4AC93817" w:rsidR="00DA359F" w:rsidRDefault="00DA359F" w:rsidP="00DA359F">
      <w:pPr>
        <w:pStyle w:val="SangriaFrancesaArticulo"/>
      </w:pPr>
      <w:r w:rsidRPr="00DA359F">
        <w:rPr>
          <w:rStyle w:val="TextoNormalNegritaCaracter"/>
        </w:rPr>
        <w:t>Artículo 17 bis.2 b)</w:t>
      </w:r>
      <w:r>
        <w:t xml:space="preserve"> (redactado por la Ley Orgánica 3/2015, de 30 de marzo)</w:t>
      </w:r>
      <w:r w:rsidRPr="00DA359F">
        <w:rPr>
          <w:rStyle w:val="TextoNormalNegritaCaracter"/>
        </w:rPr>
        <w:t>.</w:t>
      </w:r>
      <w:r w:rsidRPr="00DA359F">
        <w:rPr>
          <w:rStyle w:val="TextoNormalCaracter"/>
        </w:rPr>
        <w:t>-</w:t>
      </w:r>
      <w:r>
        <w:t xml:space="preserve"> Auto </w:t>
      </w:r>
      <w:hyperlink w:anchor="AUTO_2023_526" w:history="1">
        <w:r w:rsidRPr="00DA359F">
          <w:rPr>
            <w:rStyle w:val="TextoNormalCaracter"/>
          </w:rPr>
          <w:t>526/2023</w:t>
        </w:r>
      </w:hyperlink>
      <w:r>
        <w:t>, f. 1.</w:t>
      </w:r>
    </w:p>
    <w:p w14:paraId="74A996B0" w14:textId="2906DCF2" w:rsidR="00DA359F" w:rsidRDefault="00DA359F" w:rsidP="00DA359F">
      <w:pPr>
        <w:pStyle w:val="SangriaFrancesaArticulo"/>
      </w:pPr>
    </w:p>
    <w:p w14:paraId="47188CFA" w14:textId="77777777" w:rsidR="00DA359F" w:rsidRDefault="00DA359F" w:rsidP="00DA359F">
      <w:pPr>
        <w:pStyle w:val="TextoNormalNegritaCursivandice"/>
        <w:keepNext/>
      </w:pPr>
      <w:r>
        <w:t>Ley Orgánica 2/2009, de 11 de diciembre, de reforma de la Ley Orgánica 4/2000, de 11 de enero, sobre derechos y libertades de los extranjeros en España y su integración social</w:t>
      </w:r>
    </w:p>
    <w:p w14:paraId="493077EF" w14:textId="33E5EAF2" w:rsidR="00DA359F" w:rsidRDefault="00DA359F" w:rsidP="00DA359F">
      <w:pPr>
        <w:pStyle w:val="SangriaFrancesaArticulo"/>
      </w:pPr>
      <w:r w:rsidRPr="00DA359F">
        <w:rPr>
          <w:rStyle w:val="TextoNormalNegritaCaracter"/>
        </w:rPr>
        <w:t>En general.</w:t>
      </w:r>
      <w:r w:rsidRPr="00DA359F">
        <w:rPr>
          <w:rStyle w:val="TextoNormalCaracter"/>
        </w:rPr>
        <w:t>-</w:t>
      </w:r>
      <w:r>
        <w:t xml:space="preserve"> Auto </w:t>
      </w:r>
      <w:hyperlink w:anchor="AUTO_2023_603" w:history="1">
        <w:r w:rsidRPr="00DA359F">
          <w:rPr>
            <w:rStyle w:val="TextoNormalCaracter"/>
          </w:rPr>
          <w:t>603/2023</w:t>
        </w:r>
      </w:hyperlink>
      <w:r>
        <w:t>, f. 1.</w:t>
      </w:r>
    </w:p>
    <w:p w14:paraId="4F113228" w14:textId="08BE92FD" w:rsidR="00DA359F" w:rsidRDefault="00DA359F" w:rsidP="00DA359F">
      <w:pPr>
        <w:pStyle w:val="SangriaFrancesaArticulo"/>
      </w:pPr>
      <w:r w:rsidRPr="00DA359F">
        <w:rPr>
          <w:rStyle w:val="TextoNormalNegritaCaracter"/>
        </w:rPr>
        <w:t>Artículo 57.1.</w:t>
      </w:r>
      <w:r w:rsidRPr="00DA359F">
        <w:rPr>
          <w:rStyle w:val="TextoNormalCaracter"/>
        </w:rPr>
        <w:t>-</w:t>
      </w:r>
      <w:r>
        <w:t xml:space="preserve"> Auto </w:t>
      </w:r>
      <w:hyperlink w:anchor="AUTO_2023_603" w:history="1">
        <w:r w:rsidRPr="00DA359F">
          <w:rPr>
            <w:rStyle w:val="TextoNormalCaracter"/>
          </w:rPr>
          <w:t>603/2023</w:t>
        </w:r>
      </w:hyperlink>
      <w:r>
        <w:t>, f. 3.</w:t>
      </w:r>
    </w:p>
    <w:p w14:paraId="555788AC" w14:textId="1A23160A" w:rsidR="00DA359F" w:rsidRDefault="00DA359F" w:rsidP="00DA359F">
      <w:pPr>
        <w:pStyle w:val="SangriaFrancesaArticulo"/>
      </w:pPr>
    </w:p>
    <w:p w14:paraId="1BAB3D48" w14:textId="77777777" w:rsidR="00DA359F" w:rsidRDefault="00DA359F" w:rsidP="00DA359F">
      <w:pPr>
        <w:pStyle w:val="TextoNormalNegritaCursivandice"/>
        <w:keepNext/>
      </w:pPr>
      <w:r>
        <w:t>Ley Orgánica 1/2010, de 19 de febrero, de modificación de las leyes orgánicas del Tribunal Constitucional y del Poder Judicial</w:t>
      </w:r>
    </w:p>
    <w:p w14:paraId="57F5B151" w14:textId="7DD4A4BA" w:rsidR="00DA359F" w:rsidRDefault="00DA359F" w:rsidP="00DA359F">
      <w:pPr>
        <w:pStyle w:val="SangriaFrancesaArticulo"/>
      </w:pPr>
      <w:r w:rsidRPr="00DA359F">
        <w:rPr>
          <w:rStyle w:val="TextoNormalNegritaCaracter"/>
        </w:rPr>
        <w:t>Artículo 1.</w:t>
      </w:r>
      <w:r w:rsidRPr="00DA359F">
        <w:rPr>
          <w:rStyle w:val="TextoNormalCaracter"/>
        </w:rPr>
        <w:t>-</w:t>
      </w:r>
      <w:r>
        <w:t xml:space="preserve"> Auto </w:t>
      </w:r>
      <w:hyperlink w:anchor="AUTO_2023_486" w:history="1">
        <w:r w:rsidRPr="00DA359F">
          <w:rPr>
            <w:rStyle w:val="TextoNormalCaracter"/>
          </w:rPr>
          <w:t>486/2023</w:t>
        </w:r>
      </w:hyperlink>
      <w:r>
        <w:t>, f. 1.</w:t>
      </w:r>
    </w:p>
    <w:p w14:paraId="1C661099" w14:textId="1297787B" w:rsidR="00DA359F" w:rsidRDefault="00DA359F" w:rsidP="00DA359F">
      <w:pPr>
        <w:pStyle w:val="SangriaFrancesaArticulo"/>
      </w:pPr>
    </w:p>
    <w:p w14:paraId="5A06E307" w14:textId="77777777" w:rsidR="00DA359F" w:rsidRDefault="00DA359F" w:rsidP="00DA359F">
      <w:pPr>
        <w:pStyle w:val="TextoNormalNegritaCursivandice"/>
        <w:keepNext/>
      </w:pPr>
      <w:r>
        <w:t>Ley Orgánica 2/2010, de 3 de marzo, de salud sexual y reproductiva y de la interrupción voluntaria del embarazo</w:t>
      </w:r>
    </w:p>
    <w:p w14:paraId="2CDDE367" w14:textId="7E99BB15"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78" w:history="1">
        <w:r w:rsidRPr="00DA359F">
          <w:rPr>
            <w:rStyle w:val="TextoNormalCaracter"/>
          </w:rPr>
          <w:t>78/2023</w:t>
        </w:r>
      </w:hyperlink>
      <w:r>
        <w:t>, f. 6, VP II.</w:t>
      </w:r>
    </w:p>
    <w:p w14:paraId="6E6E0AA9" w14:textId="79558B78" w:rsidR="00DA359F" w:rsidRDefault="00DA359F" w:rsidP="00DA359F">
      <w:pPr>
        <w:pStyle w:val="SangriaFrancesaArticulo"/>
      </w:pPr>
      <w:r w:rsidRPr="00DA359F">
        <w:rPr>
          <w:rStyle w:val="TextoNormalNegritaCaracter"/>
        </w:rPr>
        <w:t>Artículo 12.</w:t>
      </w:r>
      <w:r w:rsidRPr="00DA359F">
        <w:rPr>
          <w:rStyle w:val="TextoNormalCaracter"/>
        </w:rPr>
        <w:t>-</w:t>
      </w:r>
      <w:r>
        <w:t xml:space="preserve"> Sentencia </w:t>
      </w:r>
      <w:hyperlink w:anchor="SENTENCIA_2023_78" w:history="1">
        <w:r w:rsidRPr="00DA359F">
          <w:rPr>
            <w:rStyle w:val="TextoNormalCaracter"/>
          </w:rPr>
          <w:t>78/2023</w:t>
        </w:r>
      </w:hyperlink>
      <w:r>
        <w:t>, f. 7.</w:t>
      </w:r>
    </w:p>
    <w:p w14:paraId="6BD45B40" w14:textId="09E53D73" w:rsidR="00DA359F" w:rsidRDefault="00DA359F" w:rsidP="00DA359F">
      <w:pPr>
        <w:pStyle w:val="SangriaFrancesaArticulo"/>
      </w:pPr>
      <w:r w:rsidRPr="00DA359F">
        <w:rPr>
          <w:rStyle w:val="TextoNormalNegritaCaracter"/>
        </w:rPr>
        <w:t>Artículo 15.</w:t>
      </w:r>
      <w:r w:rsidRPr="00DA359F">
        <w:rPr>
          <w:rStyle w:val="TextoNormalCaracter"/>
        </w:rPr>
        <w:t>-</w:t>
      </w:r>
      <w:r>
        <w:t xml:space="preserve"> Sentencia </w:t>
      </w:r>
      <w:hyperlink w:anchor="SENTENCIA_2023_78" w:history="1">
        <w:r w:rsidRPr="00DA359F">
          <w:rPr>
            <w:rStyle w:val="TextoNormalCaracter"/>
          </w:rPr>
          <w:t>78/2023</w:t>
        </w:r>
      </w:hyperlink>
      <w:r>
        <w:t>, f. 6.</w:t>
      </w:r>
    </w:p>
    <w:p w14:paraId="15BACEBC" w14:textId="53FB143E" w:rsidR="00DA359F" w:rsidRDefault="00DA359F" w:rsidP="00DA359F">
      <w:pPr>
        <w:pStyle w:val="SangriaFrancesaArticulo"/>
      </w:pPr>
      <w:r w:rsidRPr="00DA359F">
        <w:rPr>
          <w:rStyle w:val="TextoNormalNegritaCaracter"/>
        </w:rPr>
        <w:t>Artículo 16.</w:t>
      </w:r>
      <w:r w:rsidRPr="00DA359F">
        <w:rPr>
          <w:rStyle w:val="TextoNormalCaracter"/>
        </w:rPr>
        <w:t>-</w:t>
      </w:r>
      <w:r>
        <w:t xml:space="preserve"> Sentencia </w:t>
      </w:r>
      <w:hyperlink w:anchor="SENTENCIA_2023_78" w:history="1">
        <w:r w:rsidRPr="00DA359F">
          <w:rPr>
            <w:rStyle w:val="TextoNormalCaracter"/>
          </w:rPr>
          <w:t>78/2023</w:t>
        </w:r>
      </w:hyperlink>
      <w:r>
        <w:t>, f. 6.</w:t>
      </w:r>
    </w:p>
    <w:p w14:paraId="2C098ECE" w14:textId="4BCB2F42" w:rsidR="00DA359F" w:rsidRDefault="00DA359F" w:rsidP="00DA359F">
      <w:pPr>
        <w:pStyle w:val="SangriaFrancesaArticulo"/>
      </w:pPr>
      <w:r w:rsidRPr="00DA359F">
        <w:rPr>
          <w:rStyle w:val="TextoNormalNegritaCaracter"/>
        </w:rPr>
        <w:t>Artículo 18.</w:t>
      </w:r>
      <w:r w:rsidRPr="00DA359F">
        <w:rPr>
          <w:rStyle w:val="TextoNormalCaracter"/>
        </w:rPr>
        <w:t>-</w:t>
      </w:r>
      <w:r>
        <w:t xml:space="preserve"> Sentencia </w:t>
      </w:r>
      <w:hyperlink w:anchor="SENTENCIA_2023_78" w:history="1">
        <w:r w:rsidRPr="00DA359F">
          <w:rPr>
            <w:rStyle w:val="TextoNormalCaracter"/>
          </w:rPr>
          <w:t>78/2023</w:t>
        </w:r>
      </w:hyperlink>
      <w:r>
        <w:t>, f. 6.</w:t>
      </w:r>
    </w:p>
    <w:p w14:paraId="18284369" w14:textId="42052E55" w:rsidR="00DA359F" w:rsidRDefault="00DA359F" w:rsidP="00DA359F">
      <w:pPr>
        <w:pStyle w:val="SangriaFrancesaArticulo"/>
      </w:pPr>
      <w:r w:rsidRPr="00DA359F">
        <w:rPr>
          <w:rStyle w:val="TextoNormalNegritaCaracter"/>
        </w:rPr>
        <w:t>Artículo 19.</w:t>
      </w:r>
      <w:r w:rsidRPr="00DA359F">
        <w:rPr>
          <w:rStyle w:val="TextoNormalCaracter"/>
        </w:rPr>
        <w:t>-</w:t>
      </w:r>
      <w:r>
        <w:t xml:space="preserve"> Sentencia </w:t>
      </w:r>
      <w:hyperlink w:anchor="SENTENCIA_2023_78" w:history="1">
        <w:r w:rsidRPr="00DA359F">
          <w:rPr>
            <w:rStyle w:val="TextoNormalCaracter"/>
          </w:rPr>
          <w:t>78/2023</w:t>
        </w:r>
      </w:hyperlink>
      <w:r>
        <w:t>, f. 6.</w:t>
      </w:r>
    </w:p>
    <w:p w14:paraId="22EA6625" w14:textId="572B444B" w:rsidR="00DA359F" w:rsidRDefault="00DA359F" w:rsidP="00DA359F">
      <w:pPr>
        <w:pStyle w:val="SangriaFrancesaArticulo"/>
      </w:pPr>
      <w:r w:rsidRPr="00DA359F">
        <w:rPr>
          <w:rStyle w:val="TextoNormalNegritaCaracter"/>
        </w:rPr>
        <w:t>Artículo 19 bis</w:t>
      </w:r>
      <w:r>
        <w:t xml:space="preserve"> (redactado por la Ley Orgánica 1/2023, de 28 de febrero)</w:t>
      </w:r>
      <w:r w:rsidRPr="00DA359F">
        <w:rPr>
          <w:rStyle w:val="TextoNormalNegritaCaracter"/>
        </w:rPr>
        <w:t>.</w:t>
      </w:r>
      <w:r w:rsidRPr="00DA359F">
        <w:rPr>
          <w:rStyle w:val="TextoNormalCaracter"/>
        </w:rPr>
        <w:t>-</w:t>
      </w:r>
      <w:r>
        <w:t xml:space="preserve"> Sentencia </w:t>
      </w:r>
      <w:hyperlink w:anchor="SENTENCIA_2023_78" w:history="1">
        <w:r w:rsidRPr="00DA359F">
          <w:rPr>
            <w:rStyle w:val="TextoNormalCaracter"/>
          </w:rPr>
          <w:t>78/2023</w:t>
        </w:r>
      </w:hyperlink>
      <w:r>
        <w:t>, f. 6.</w:t>
      </w:r>
    </w:p>
    <w:p w14:paraId="503EF337" w14:textId="1FAC5C55" w:rsidR="00DA359F" w:rsidRDefault="00DA359F" w:rsidP="00DA359F">
      <w:pPr>
        <w:pStyle w:val="SangriaFrancesaArticulo"/>
      </w:pPr>
      <w:r w:rsidRPr="00DA359F">
        <w:rPr>
          <w:rStyle w:val="TextoNormalNegritaCaracter"/>
        </w:rPr>
        <w:t>Artículo 19.2.</w:t>
      </w:r>
      <w:r w:rsidRPr="00DA359F">
        <w:rPr>
          <w:rStyle w:val="TextoNormalCaracter"/>
        </w:rPr>
        <w:t>-</w:t>
      </w:r>
      <w:r>
        <w:t xml:space="preserve"> Sentencia </w:t>
      </w:r>
      <w:hyperlink w:anchor="SENTENCIA_2023_78" w:history="1">
        <w:r w:rsidRPr="00DA359F">
          <w:rPr>
            <w:rStyle w:val="TextoNormalCaracter"/>
          </w:rPr>
          <w:t>78/2023</w:t>
        </w:r>
      </w:hyperlink>
      <w:r>
        <w:t>, ff. 6, 7, VP I, VP II.</w:t>
      </w:r>
    </w:p>
    <w:p w14:paraId="045DC38F" w14:textId="3D7CD532" w:rsidR="00DA359F" w:rsidRDefault="00DA359F" w:rsidP="00DA359F">
      <w:pPr>
        <w:pStyle w:val="SangriaFrancesaArticulo"/>
      </w:pPr>
      <w:r w:rsidRPr="00DA359F">
        <w:rPr>
          <w:rStyle w:val="TextoNormalNegritaCaracter"/>
        </w:rPr>
        <w:t>Artículo 19.5</w:t>
      </w:r>
      <w:r>
        <w:t xml:space="preserve"> (redactado por la Ley Orgánica 1/2023, de 28 de febrero)</w:t>
      </w:r>
      <w:r w:rsidRPr="00DA359F">
        <w:rPr>
          <w:rStyle w:val="TextoNormalNegritaCaracter"/>
        </w:rPr>
        <w:t>.</w:t>
      </w:r>
      <w:r w:rsidRPr="00DA359F">
        <w:rPr>
          <w:rStyle w:val="TextoNormalCaracter"/>
        </w:rPr>
        <w:t>-</w:t>
      </w:r>
      <w:r>
        <w:t xml:space="preserve"> Sentencia </w:t>
      </w:r>
      <w:hyperlink w:anchor="SENTENCIA_2023_78" w:history="1">
        <w:r w:rsidRPr="00DA359F">
          <w:rPr>
            <w:rStyle w:val="TextoNormalCaracter"/>
          </w:rPr>
          <w:t>78/2023</w:t>
        </w:r>
      </w:hyperlink>
      <w:r>
        <w:t>, f. 7, VP II.</w:t>
      </w:r>
    </w:p>
    <w:p w14:paraId="7FE17691" w14:textId="078E97AF" w:rsidR="00DA359F" w:rsidRDefault="00DA359F" w:rsidP="00DA359F">
      <w:pPr>
        <w:pStyle w:val="SangriaFrancesaArticulo"/>
      </w:pPr>
    </w:p>
    <w:p w14:paraId="2F7ADDCB" w14:textId="77777777" w:rsidR="00DA359F" w:rsidRDefault="00DA359F" w:rsidP="00DA359F">
      <w:pPr>
        <w:pStyle w:val="TextoNormalNegritaCursivandice"/>
        <w:keepNext/>
      </w:pPr>
      <w:r>
        <w:t>Ley Orgánica 2/2012, de 27 de abril, de estabilidad presupuestaria y sostenibilidad financiera</w:t>
      </w:r>
    </w:p>
    <w:p w14:paraId="238AE9EA" w14:textId="7CAC543D" w:rsidR="00DA359F" w:rsidRDefault="00DA359F" w:rsidP="00DA359F">
      <w:pPr>
        <w:pStyle w:val="SangriaFrancesaArticulo"/>
      </w:pPr>
      <w:r w:rsidRPr="00DA359F">
        <w:rPr>
          <w:rStyle w:val="TextoNormalNegritaCaracter"/>
        </w:rPr>
        <w:t>Artículo 9.</w:t>
      </w:r>
      <w:r w:rsidRPr="00DA359F">
        <w:rPr>
          <w:rStyle w:val="TextoNormalCaracter"/>
        </w:rPr>
        <w:t>-</w:t>
      </w:r>
      <w:r>
        <w:t xml:space="preserve"> Sentencia </w:t>
      </w:r>
      <w:hyperlink w:anchor="SENTENCIA_2023_171" w:history="1">
        <w:r w:rsidRPr="00DA359F">
          <w:rPr>
            <w:rStyle w:val="TextoNormalCaracter"/>
          </w:rPr>
          <w:t>171/2023</w:t>
        </w:r>
      </w:hyperlink>
      <w:r>
        <w:t>, f. 2.</w:t>
      </w:r>
    </w:p>
    <w:p w14:paraId="419811C2" w14:textId="01EE06E3" w:rsidR="00DA359F" w:rsidRDefault="00DA359F" w:rsidP="00DA359F">
      <w:pPr>
        <w:pStyle w:val="SangriaFrancesaArticulo"/>
      </w:pPr>
    </w:p>
    <w:p w14:paraId="0D57D518" w14:textId="77777777" w:rsidR="00DA359F" w:rsidRDefault="00DA359F" w:rsidP="00DA359F">
      <w:pPr>
        <w:pStyle w:val="TextoNormalNegritaCursivandice"/>
        <w:keepNext/>
      </w:pPr>
      <w:r>
        <w:t>Ley Orgánica 4/2013, de 28 de junio, de reforma del Consejo General del Poder Judicial, por la que se modifica la Ley Orgánica 6/1985, de 1 de julio, del Poder Judicial</w:t>
      </w:r>
    </w:p>
    <w:p w14:paraId="4BED90EE" w14:textId="30F59F50"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128" w:history="1">
        <w:r w:rsidRPr="00DA359F">
          <w:rPr>
            <w:rStyle w:val="TextoNormalCaracter"/>
          </w:rPr>
          <w:t>128/2023</w:t>
        </w:r>
      </w:hyperlink>
      <w:r>
        <w:t>, f. 4, VP.</w:t>
      </w:r>
    </w:p>
    <w:p w14:paraId="16ECBAF2" w14:textId="12CC8A97" w:rsidR="00DA359F" w:rsidRDefault="00DA359F" w:rsidP="00DA359F">
      <w:pPr>
        <w:pStyle w:val="SangriaFrancesaArticulo"/>
      </w:pPr>
    </w:p>
    <w:p w14:paraId="501E9697" w14:textId="77777777" w:rsidR="00DA359F" w:rsidRDefault="00DA359F" w:rsidP="00DA359F">
      <w:pPr>
        <w:pStyle w:val="TextoNormalNegritaCursivandice"/>
        <w:keepNext/>
      </w:pPr>
      <w:r>
        <w:t>Ley Orgánica 7/2013, de 28 de noviembre, de reforma de la Ley Orgánica 4/1982, de 9 de junio, de Estatuto de Autonomía de la Región de Murcia</w:t>
      </w:r>
    </w:p>
    <w:p w14:paraId="06372653" w14:textId="30D9AEA4"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126" w:history="1">
        <w:r w:rsidRPr="00DA359F">
          <w:rPr>
            <w:rStyle w:val="TextoNormalCaracter"/>
          </w:rPr>
          <w:t>126/2023</w:t>
        </w:r>
      </w:hyperlink>
      <w:r>
        <w:t>, ff. 3, 4.</w:t>
      </w:r>
    </w:p>
    <w:p w14:paraId="24865834" w14:textId="50F29B28" w:rsidR="00DA359F" w:rsidRDefault="00DA359F" w:rsidP="00DA359F">
      <w:pPr>
        <w:pStyle w:val="SangriaFrancesaArticulo"/>
      </w:pPr>
    </w:p>
    <w:p w14:paraId="3D027C4C" w14:textId="77777777" w:rsidR="00DA359F" w:rsidRDefault="00DA359F" w:rsidP="00DA359F">
      <w:pPr>
        <w:pStyle w:val="TextoNormalNegritaCursivandice"/>
        <w:keepNext/>
      </w:pPr>
      <w:r>
        <w:t>Ley Orgánica 1/2015, de 30 de marzo, por la que se modifica la Ley Orgánica 10/1995, de 23 de noviembre, del Código penal</w:t>
      </w:r>
    </w:p>
    <w:p w14:paraId="117D6A7B" w14:textId="008D12E9"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Sentencias </w:t>
      </w:r>
      <w:hyperlink w:anchor="SENTENCIA_2023_123" w:history="1">
        <w:r w:rsidRPr="00DA359F">
          <w:rPr>
            <w:rStyle w:val="TextoNormalCaracter"/>
          </w:rPr>
          <w:t>123/2023</w:t>
        </w:r>
      </w:hyperlink>
      <w:r>
        <w:t xml:space="preserve">, f. 1; </w:t>
      </w:r>
      <w:hyperlink w:anchor="SENTENCIA_2023_184" w:history="1">
        <w:r w:rsidRPr="00DA359F">
          <w:rPr>
            <w:rStyle w:val="TextoNormalCaracter"/>
          </w:rPr>
          <w:t>184/2023</w:t>
        </w:r>
      </w:hyperlink>
      <w:r>
        <w:t>, f. 3.</w:t>
      </w:r>
    </w:p>
    <w:p w14:paraId="52892178" w14:textId="19391CA0" w:rsidR="00DA359F" w:rsidRDefault="00DA359F" w:rsidP="00DA359F">
      <w:pPr>
        <w:pStyle w:val="SangriaFrancesaArticulo"/>
      </w:pPr>
      <w:r w:rsidRPr="00DA359F">
        <w:rPr>
          <w:rStyle w:val="TextoNormalNegritaCaracter"/>
        </w:rPr>
        <w:t>Preámbulo, apartado IV.</w:t>
      </w:r>
      <w:r w:rsidRPr="00DA359F">
        <w:rPr>
          <w:rStyle w:val="TextoNormalCaracter"/>
        </w:rPr>
        <w:t>-</w:t>
      </w:r>
      <w:r>
        <w:t xml:space="preserve"> Sentencia </w:t>
      </w:r>
      <w:hyperlink w:anchor="SENTENCIA_2023_184" w:history="1">
        <w:r w:rsidRPr="00DA359F">
          <w:rPr>
            <w:rStyle w:val="TextoNormalCaracter"/>
          </w:rPr>
          <w:t>184/2023</w:t>
        </w:r>
      </w:hyperlink>
      <w:r>
        <w:t>, f. 3.</w:t>
      </w:r>
    </w:p>
    <w:p w14:paraId="0CD401FC" w14:textId="3C5CE34F" w:rsidR="00DA359F" w:rsidRDefault="00DA359F" w:rsidP="00DA359F">
      <w:pPr>
        <w:pStyle w:val="SangriaFrancesaArticulo"/>
      </w:pPr>
    </w:p>
    <w:p w14:paraId="7171A3AF" w14:textId="77777777" w:rsidR="00DA359F" w:rsidRDefault="00DA359F" w:rsidP="00DA359F">
      <w:pPr>
        <w:pStyle w:val="TextoNormalNegritaCursivandice"/>
        <w:keepNext/>
      </w:pPr>
      <w:r>
        <w:t>Ley Orgánica 8/2015, de 22 de julio, de modificación del sistema de protección a la infancia y a la adolescencia</w:t>
      </w:r>
    </w:p>
    <w:p w14:paraId="203EBAA2" w14:textId="0113A8AA"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131" w:history="1">
        <w:r w:rsidRPr="00DA359F">
          <w:rPr>
            <w:rStyle w:val="TextoNormalCaracter"/>
          </w:rPr>
          <w:t>131/2023</w:t>
        </w:r>
      </w:hyperlink>
      <w:r>
        <w:t>, f. 3.</w:t>
      </w:r>
    </w:p>
    <w:p w14:paraId="5553C6FB" w14:textId="52146E04" w:rsidR="00DA359F" w:rsidRDefault="00DA359F" w:rsidP="00DA359F">
      <w:pPr>
        <w:pStyle w:val="SangriaFrancesaArticulo"/>
      </w:pPr>
      <w:r w:rsidRPr="00DA359F">
        <w:rPr>
          <w:rStyle w:val="TextoNormalNegritaCaracter"/>
        </w:rPr>
        <w:t>Artículo 2.1.</w:t>
      </w:r>
      <w:r w:rsidRPr="00DA359F">
        <w:rPr>
          <w:rStyle w:val="TextoNormalCaracter"/>
        </w:rPr>
        <w:t>-</w:t>
      </w:r>
      <w:r>
        <w:t xml:space="preserve"> Sentencia </w:t>
      </w:r>
      <w:hyperlink w:anchor="SENTENCIA_2023_148" w:history="1">
        <w:r w:rsidRPr="00DA359F">
          <w:rPr>
            <w:rStyle w:val="TextoNormalCaracter"/>
          </w:rPr>
          <w:t>148/2023</w:t>
        </w:r>
      </w:hyperlink>
      <w:r>
        <w:t>, f. 4.</w:t>
      </w:r>
    </w:p>
    <w:p w14:paraId="52D4961A" w14:textId="408F5244" w:rsidR="00DA359F" w:rsidRDefault="00DA359F" w:rsidP="00DA359F">
      <w:pPr>
        <w:pStyle w:val="SangriaFrancesaArticulo"/>
      </w:pPr>
    </w:p>
    <w:p w14:paraId="4C9290F8" w14:textId="77777777" w:rsidR="00DA359F" w:rsidRDefault="00DA359F" w:rsidP="00DA359F">
      <w:pPr>
        <w:pStyle w:val="TextoNormalNegritaCursivandice"/>
        <w:keepNext/>
      </w:pPr>
      <w:r>
        <w:t>Ley Orgánica 13/2015, de 5 de octubre, de modificación de la Ley de enjuiciamiento criminal para el fortalecimiento de las garantías procesales y la regulación de las medidas de investigación tecnológica</w:t>
      </w:r>
    </w:p>
    <w:p w14:paraId="320DDCE9" w14:textId="7D93B2A3"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92" w:history="1">
        <w:r w:rsidRPr="00DA359F">
          <w:rPr>
            <w:rStyle w:val="TextoNormalCaracter"/>
          </w:rPr>
          <w:t>92/2023</w:t>
        </w:r>
      </w:hyperlink>
      <w:r>
        <w:t>, f. 2.</w:t>
      </w:r>
    </w:p>
    <w:p w14:paraId="2ABB1A4F" w14:textId="66ED20BD" w:rsidR="00DA359F" w:rsidRDefault="00DA359F" w:rsidP="00DA359F">
      <w:pPr>
        <w:pStyle w:val="SangriaFrancesaArticulo"/>
      </w:pPr>
    </w:p>
    <w:p w14:paraId="07F28293" w14:textId="77777777" w:rsidR="00DA359F" w:rsidRDefault="00DA359F" w:rsidP="00DA359F">
      <w:pPr>
        <w:pStyle w:val="TextoNormalNegritaCursivandice"/>
        <w:keepNext/>
      </w:pPr>
      <w:r>
        <w:t>Ley Orgánica 3/2018, de 5 de diciembre, de protección de datos personales y garantía de los derechos digitales</w:t>
      </w:r>
    </w:p>
    <w:p w14:paraId="0F897EC3" w14:textId="3DBD24E7" w:rsidR="00DA359F" w:rsidRDefault="00DA359F" w:rsidP="00DA359F">
      <w:pPr>
        <w:pStyle w:val="SangriaFrancesaArticulo"/>
      </w:pPr>
      <w:r w:rsidRPr="00DA359F">
        <w:rPr>
          <w:rStyle w:val="TextoNormalNegritaCaracter"/>
        </w:rPr>
        <w:t>Artículo 10.1.</w:t>
      </w:r>
      <w:r w:rsidRPr="00DA359F">
        <w:rPr>
          <w:rStyle w:val="TextoNormalCaracter"/>
        </w:rPr>
        <w:t>-</w:t>
      </w:r>
      <w:r>
        <w:t xml:space="preserve"> Sentencia </w:t>
      </w:r>
      <w:hyperlink w:anchor="SENTENCIA_2023_165" w:history="1">
        <w:r w:rsidRPr="00DA359F">
          <w:rPr>
            <w:rStyle w:val="TextoNormalCaracter"/>
          </w:rPr>
          <w:t>165/2023</w:t>
        </w:r>
      </w:hyperlink>
      <w:r>
        <w:t>, f. 1.</w:t>
      </w:r>
    </w:p>
    <w:p w14:paraId="631235AF" w14:textId="4CA275AE" w:rsidR="00DA359F" w:rsidRDefault="00DA359F" w:rsidP="00DA359F">
      <w:pPr>
        <w:pStyle w:val="SangriaFrancesaArticulo"/>
      </w:pPr>
    </w:p>
    <w:p w14:paraId="16980D50" w14:textId="77777777" w:rsidR="00DA359F" w:rsidRDefault="00DA359F" w:rsidP="00DA359F">
      <w:pPr>
        <w:pStyle w:val="TextoNormalNegritaCursivandice"/>
        <w:keepNext/>
      </w:pPr>
      <w:r>
        <w:t>Ley Orgánica 3/2021, de 24 de marzo, de regulación de la eutanasia</w:t>
      </w:r>
    </w:p>
    <w:p w14:paraId="348F98D8" w14:textId="177696B3"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Sentencias </w:t>
      </w:r>
      <w:hyperlink w:anchor="SENTENCIA_2023_94" w:history="1">
        <w:r w:rsidRPr="00DA359F">
          <w:rPr>
            <w:rStyle w:val="TextoNormalCaracter"/>
          </w:rPr>
          <w:t>94/2023</w:t>
        </w:r>
      </w:hyperlink>
      <w:r>
        <w:t xml:space="preserve">, ff. 1 a 6, VP II, VP III; </w:t>
      </w:r>
      <w:hyperlink w:anchor="SENTENCIA_2023_149" w:history="1">
        <w:r w:rsidRPr="00DA359F">
          <w:rPr>
            <w:rStyle w:val="TextoNormalCaracter"/>
          </w:rPr>
          <w:t>149/2023</w:t>
        </w:r>
      </w:hyperlink>
      <w:r>
        <w:t>, f. 2.</w:t>
      </w:r>
    </w:p>
    <w:p w14:paraId="59C3FA94" w14:textId="04B71998" w:rsidR="00DA359F" w:rsidRDefault="00DA359F" w:rsidP="00DA359F">
      <w:pPr>
        <w:pStyle w:val="SangriaFrancesaArticulo"/>
      </w:pPr>
      <w:r w:rsidRPr="00DA359F">
        <w:rPr>
          <w:rStyle w:val="TextoNormalNegritaCaracter"/>
        </w:rPr>
        <w:t>Artículo 1.</w:t>
      </w:r>
      <w:r w:rsidRPr="00DA359F">
        <w:rPr>
          <w:rStyle w:val="TextoNormalCaracter"/>
        </w:rPr>
        <w:t>-</w:t>
      </w:r>
      <w:r>
        <w:t xml:space="preserve"> Auto </w:t>
      </w:r>
      <w:hyperlink w:anchor="AUTO_2023_445" w:history="1">
        <w:r w:rsidRPr="00DA359F">
          <w:rPr>
            <w:rStyle w:val="TextoNormalCaracter"/>
          </w:rPr>
          <w:t>445/2023</w:t>
        </w:r>
      </w:hyperlink>
      <w:r>
        <w:t>, f. 3.</w:t>
      </w:r>
    </w:p>
    <w:p w14:paraId="3580B973" w14:textId="252BEEE0" w:rsidR="00DA359F" w:rsidRDefault="00DA359F" w:rsidP="00DA359F">
      <w:pPr>
        <w:pStyle w:val="SangriaFrancesaArticulo"/>
      </w:pPr>
      <w:r w:rsidRPr="00DA359F">
        <w:rPr>
          <w:rStyle w:val="TextoNormalNegritaCaracter"/>
        </w:rPr>
        <w:t>Artículo 1 párrafo 2.</w:t>
      </w:r>
      <w:r w:rsidRPr="00DA359F">
        <w:rPr>
          <w:rStyle w:val="TextoNormalCaracter"/>
        </w:rPr>
        <w:t>-</w:t>
      </w:r>
      <w:r>
        <w:t xml:space="preserve"> Sentencia </w:t>
      </w:r>
      <w:hyperlink w:anchor="SENTENCIA_2023_94" w:history="1">
        <w:r w:rsidRPr="00DA359F">
          <w:rPr>
            <w:rStyle w:val="TextoNormalCaracter"/>
          </w:rPr>
          <w:t>94/2023</w:t>
        </w:r>
      </w:hyperlink>
      <w:r>
        <w:t>, f. 4.</w:t>
      </w:r>
    </w:p>
    <w:p w14:paraId="4518B9F8" w14:textId="50953AAA" w:rsidR="00DA359F" w:rsidRDefault="00DA359F" w:rsidP="00DA359F">
      <w:pPr>
        <w:pStyle w:val="SangriaFrancesaArticulo"/>
      </w:pPr>
      <w:r w:rsidRPr="00DA359F">
        <w:rPr>
          <w:rStyle w:val="TextoNormalNegritaCaracter"/>
        </w:rPr>
        <w:t>Artículo 3 b).</w:t>
      </w:r>
      <w:r w:rsidRPr="00DA359F">
        <w:rPr>
          <w:rStyle w:val="TextoNormalCaracter"/>
        </w:rPr>
        <w:t>-</w:t>
      </w:r>
      <w:r>
        <w:t xml:space="preserve"> Sentencia </w:t>
      </w:r>
      <w:hyperlink w:anchor="SENTENCIA_2023_94" w:history="1">
        <w:r w:rsidRPr="00DA359F">
          <w:rPr>
            <w:rStyle w:val="TextoNormalCaracter"/>
          </w:rPr>
          <w:t>94/2023</w:t>
        </w:r>
      </w:hyperlink>
      <w:r>
        <w:t>, ff. 3, 5, VP III.</w:t>
      </w:r>
    </w:p>
    <w:p w14:paraId="177CE19E" w14:textId="049C6BF7" w:rsidR="00DA359F" w:rsidRDefault="00DA359F" w:rsidP="00DA359F">
      <w:pPr>
        <w:pStyle w:val="SangriaFrancesaArticulo"/>
      </w:pPr>
      <w:r w:rsidRPr="00DA359F">
        <w:rPr>
          <w:rStyle w:val="TextoNormalNegritaCaracter"/>
        </w:rPr>
        <w:t>Artículo 3 c).</w:t>
      </w:r>
      <w:r w:rsidRPr="00DA359F">
        <w:rPr>
          <w:rStyle w:val="TextoNormalCaracter"/>
        </w:rPr>
        <w:t>-</w:t>
      </w:r>
      <w:r>
        <w:t xml:space="preserve"> Sentencia </w:t>
      </w:r>
      <w:hyperlink w:anchor="SENTENCIA_2023_94" w:history="1">
        <w:r w:rsidRPr="00DA359F">
          <w:rPr>
            <w:rStyle w:val="TextoNormalCaracter"/>
          </w:rPr>
          <w:t>94/2023</w:t>
        </w:r>
      </w:hyperlink>
      <w:r>
        <w:t>, f. 3.</w:t>
      </w:r>
    </w:p>
    <w:p w14:paraId="209D38F1" w14:textId="68E8F4C9" w:rsidR="00DA359F" w:rsidRDefault="00DA359F" w:rsidP="00DA359F">
      <w:pPr>
        <w:pStyle w:val="SangriaFrancesaArticulo"/>
      </w:pPr>
      <w:r w:rsidRPr="00DA359F">
        <w:rPr>
          <w:rStyle w:val="TextoNormalNegritaCaracter"/>
        </w:rPr>
        <w:t>Artículo 3 d).</w:t>
      </w:r>
      <w:r w:rsidRPr="00DA359F">
        <w:rPr>
          <w:rStyle w:val="TextoNormalCaracter"/>
        </w:rPr>
        <w:t>-</w:t>
      </w:r>
      <w:r>
        <w:t xml:space="preserve"> Sentencia </w:t>
      </w:r>
      <w:hyperlink w:anchor="SENTENCIA_2023_94" w:history="1">
        <w:r w:rsidRPr="00DA359F">
          <w:rPr>
            <w:rStyle w:val="TextoNormalCaracter"/>
          </w:rPr>
          <w:t>94/2023</w:t>
        </w:r>
      </w:hyperlink>
      <w:r>
        <w:t>, ff. 3, 4.</w:t>
      </w:r>
    </w:p>
    <w:p w14:paraId="79C69620" w14:textId="2AEEAF68" w:rsidR="00DA359F" w:rsidRDefault="00DA359F" w:rsidP="00DA359F">
      <w:pPr>
        <w:pStyle w:val="SangriaFrancesaArticulo"/>
      </w:pPr>
      <w:r w:rsidRPr="00DA359F">
        <w:rPr>
          <w:rStyle w:val="TextoNormalNegritaCaracter"/>
        </w:rPr>
        <w:t>Artículo 3 e).</w:t>
      </w:r>
      <w:r w:rsidRPr="00DA359F">
        <w:rPr>
          <w:rStyle w:val="TextoNormalCaracter"/>
        </w:rPr>
        <w:t>-</w:t>
      </w:r>
      <w:r>
        <w:t xml:space="preserve"> Sentencia </w:t>
      </w:r>
      <w:hyperlink w:anchor="SENTENCIA_2023_94" w:history="1">
        <w:r w:rsidRPr="00DA359F">
          <w:rPr>
            <w:rStyle w:val="TextoNormalCaracter"/>
          </w:rPr>
          <w:t>94/2023</w:t>
        </w:r>
      </w:hyperlink>
      <w:r>
        <w:t>, f. 3.</w:t>
      </w:r>
    </w:p>
    <w:p w14:paraId="2FE66C69" w14:textId="6B53C700" w:rsidR="00DA359F" w:rsidRDefault="00DA359F" w:rsidP="00DA359F">
      <w:pPr>
        <w:pStyle w:val="SangriaFrancesaArticulo"/>
      </w:pPr>
      <w:r w:rsidRPr="00DA359F">
        <w:rPr>
          <w:rStyle w:val="TextoNormalNegritaCaracter"/>
        </w:rPr>
        <w:t>Artículo 3 g).</w:t>
      </w:r>
      <w:r w:rsidRPr="00DA359F">
        <w:rPr>
          <w:rStyle w:val="TextoNormalCaracter"/>
        </w:rPr>
        <w:t>-</w:t>
      </w:r>
      <w:r>
        <w:t xml:space="preserve"> Sentencia </w:t>
      </w:r>
      <w:hyperlink w:anchor="SENTENCIA_2023_94" w:history="1">
        <w:r w:rsidRPr="00DA359F">
          <w:rPr>
            <w:rStyle w:val="TextoNormalCaracter"/>
          </w:rPr>
          <w:t>94/2023</w:t>
        </w:r>
      </w:hyperlink>
      <w:r>
        <w:t>, ff. 1, 4.</w:t>
      </w:r>
    </w:p>
    <w:p w14:paraId="536387F0" w14:textId="6463BB0F" w:rsidR="00DA359F" w:rsidRDefault="00DA359F" w:rsidP="00DA359F">
      <w:pPr>
        <w:pStyle w:val="SangriaFrancesaArticulo"/>
      </w:pPr>
      <w:r w:rsidRPr="00DA359F">
        <w:rPr>
          <w:rStyle w:val="TextoNormalNegritaCaracter"/>
        </w:rPr>
        <w:t>Artículo 3 h).</w:t>
      </w:r>
      <w:r w:rsidRPr="00DA359F">
        <w:rPr>
          <w:rStyle w:val="TextoNormalCaracter"/>
        </w:rPr>
        <w:t>-</w:t>
      </w:r>
      <w:r>
        <w:t xml:space="preserve"> Sentencia </w:t>
      </w:r>
      <w:hyperlink w:anchor="SENTENCIA_2023_94" w:history="1">
        <w:r w:rsidRPr="00DA359F">
          <w:rPr>
            <w:rStyle w:val="TextoNormalCaracter"/>
          </w:rPr>
          <w:t>94/2023</w:t>
        </w:r>
      </w:hyperlink>
      <w:r>
        <w:t>, f. 3.</w:t>
      </w:r>
    </w:p>
    <w:p w14:paraId="4D1AA272" w14:textId="4BF56CA3" w:rsidR="00DA359F" w:rsidRDefault="00DA359F" w:rsidP="00DA359F">
      <w:pPr>
        <w:pStyle w:val="SangriaFrancesaArticulo"/>
      </w:pPr>
      <w:r w:rsidRPr="00DA359F">
        <w:rPr>
          <w:rStyle w:val="TextoNormalNegritaCaracter"/>
        </w:rPr>
        <w:t>Artículo 4.2.</w:t>
      </w:r>
      <w:r w:rsidRPr="00DA359F">
        <w:rPr>
          <w:rStyle w:val="TextoNormalCaracter"/>
        </w:rPr>
        <w:t>-</w:t>
      </w:r>
      <w:r>
        <w:t xml:space="preserve"> Sentencia </w:t>
      </w:r>
      <w:hyperlink w:anchor="SENTENCIA_2023_94" w:history="1">
        <w:r w:rsidRPr="00DA359F">
          <w:rPr>
            <w:rStyle w:val="TextoNormalCaracter"/>
          </w:rPr>
          <w:t>94/2023</w:t>
        </w:r>
      </w:hyperlink>
      <w:r>
        <w:t>, f. 3.</w:t>
      </w:r>
    </w:p>
    <w:p w14:paraId="1A014CB8" w14:textId="36B0BA8C" w:rsidR="00DA359F" w:rsidRDefault="00DA359F" w:rsidP="00DA359F">
      <w:pPr>
        <w:pStyle w:val="SangriaFrancesaArticulo"/>
      </w:pPr>
      <w:r w:rsidRPr="00DA359F">
        <w:rPr>
          <w:rStyle w:val="TextoNormalNegritaCaracter"/>
        </w:rPr>
        <w:t>Artículo 5.1 b).</w:t>
      </w:r>
      <w:r w:rsidRPr="00DA359F">
        <w:rPr>
          <w:rStyle w:val="TextoNormalCaracter"/>
        </w:rPr>
        <w:t>-</w:t>
      </w:r>
      <w:r>
        <w:t xml:space="preserve"> Sentencia </w:t>
      </w:r>
      <w:hyperlink w:anchor="SENTENCIA_2023_94" w:history="1">
        <w:r w:rsidRPr="00DA359F">
          <w:rPr>
            <w:rStyle w:val="TextoNormalCaracter"/>
          </w:rPr>
          <w:t>94/2023</w:t>
        </w:r>
      </w:hyperlink>
      <w:r>
        <w:t>, f. 3, VP III.</w:t>
      </w:r>
    </w:p>
    <w:p w14:paraId="1B0B96B9" w14:textId="614A954B" w:rsidR="00DA359F" w:rsidRDefault="00DA359F" w:rsidP="00DA359F">
      <w:pPr>
        <w:pStyle w:val="SangriaFrancesaArticulo"/>
      </w:pPr>
      <w:r w:rsidRPr="00DA359F">
        <w:rPr>
          <w:rStyle w:val="TextoNormalNegritaCaracter"/>
        </w:rPr>
        <w:t>Artículo 5.1 c).</w:t>
      </w:r>
      <w:r w:rsidRPr="00DA359F">
        <w:rPr>
          <w:rStyle w:val="TextoNormalCaracter"/>
        </w:rPr>
        <w:t>-</w:t>
      </w:r>
      <w:r>
        <w:t xml:space="preserve"> Sentencia </w:t>
      </w:r>
      <w:hyperlink w:anchor="SENTENCIA_2023_94" w:history="1">
        <w:r w:rsidRPr="00DA359F">
          <w:rPr>
            <w:rStyle w:val="TextoNormalCaracter"/>
          </w:rPr>
          <w:t>94/2023</w:t>
        </w:r>
      </w:hyperlink>
      <w:r>
        <w:t>, f. 3.</w:t>
      </w:r>
    </w:p>
    <w:p w14:paraId="68DECCFD" w14:textId="56164EDE" w:rsidR="00DA359F" w:rsidRDefault="00DA359F" w:rsidP="00DA359F">
      <w:pPr>
        <w:pStyle w:val="SangriaFrancesaArticulo"/>
      </w:pPr>
      <w:r w:rsidRPr="00DA359F">
        <w:rPr>
          <w:rStyle w:val="TextoNormalNegritaCaracter"/>
        </w:rPr>
        <w:t xml:space="preserve">Artículo 5.1 c) </w:t>
      </w:r>
      <w:r w:rsidRPr="00DA359F">
        <w:rPr>
          <w:rStyle w:val="TextoNormalNegritaCursivaCaracter"/>
        </w:rPr>
        <w:t>in fine</w:t>
      </w:r>
      <w:r w:rsidRPr="00DA359F">
        <w:rPr>
          <w:rStyle w:val="TextoNormalNegritaCaracter"/>
        </w:rPr>
        <w:t>.</w:t>
      </w:r>
      <w:r w:rsidRPr="00DA359F">
        <w:rPr>
          <w:rStyle w:val="TextoNormalCaracter"/>
        </w:rPr>
        <w:t>-</w:t>
      </w:r>
      <w:r>
        <w:t xml:space="preserve"> Sentencia </w:t>
      </w:r>
      <w:hyperlink w:anchor="SENTENCIA_2023_94" w:history="1">
        <w:r w:rsidRPr="00DA359F">
          <w:rPr>
            <w:rStyle w:val="TextoNormalCaracter"/>
          </w:rPr>
          <w:t>94/2023</w:t>
        </w:r>
      </w:hyperlink>
      <w:r>
        <w:t>, f. 3.</w:t>
      </w:r>
    </w:p>
    <w:p w14:paraId="05F44B51" w14:textId="7168F38D" w:rsidR="00DA359F" w:rsidRDefault="00DA359F" w:rsidP="00DA359F">
      <w:pPr>
        <w:pStyle w:val="SangriaFrancesaArticulo"/>
      </w:pPr>
      <w:r w:rsidRPr="00DA359F">
        <w:rPr>
          <w:rStyle w:val="TextoNormalNegritaCaracter"/>
        </w:rPr>
        <w:t>Artículo 5.1 c) párrafo 2.</w:t>
      </w:r>
      <w:r w:rsidRPr="00DA359F">
        <w:rPr>
          <w:rStyle w:val="TextoNormalCaracter"/>
        </w:rPr>
        <w:t>-</w:t>
      </w:r>
      <w:r>
        <w:t xml:space="preserve"> Sentencia </w:t>
      </w:r>
      <w:hyperlink w:anchor="SENTENCIA_2023_94" w:history="1">
        <w:r w:rsidRPr="00DA359F">
          <w:rPr>
            <w:rStyle w:val="TextoNormalCaracter"/>
          </w:rPr>
          <w:t>94/2023</w:t>
        </w:r>
      </w:hyperlink>
      <w:r>
        <w:t>, f. 3.</w:t>
      </w:r>
    </w:p>
    <w:p w14:paraId="2299E499" w14:textId="4B26E7AA" w:rsidR="00DA359F" w:rsidRDefault="00DA359F" w:rsidP="00DA359F">
      <w:pPr>
        <w:pStyle w:val="SangriaFrancesaArticulo"/>
      </w:pPr>
      <w:r w:rsidRPr="00DA359F">
        <w:rPr>
          <w:rStyle w:val="TextoNormalNegritaCaracter"/>
        </w:rPr>
        <w:t>Artículo 5.1 d).</w:t>
      </w:r>
      <w:r w:rsidRPr="00DA359F">
        <w:rPr>
          <w:rStyle w:val="TextoNormalCaracter"/>
        </w:rPr>
        <w:t>-</w:t>
      </w:r>
      <w:r>
        <w:t xml:space="preserve"> Sentencia </w:t>
      </w:r>
      <w:hyperlink w:anchor="SENTENCIA_2023_94" w:history="1">
        <w:r w:rsidRPr="00DA359F">
          <w:rPr>
            <w:rStyle w:val="TextoNormalCaracter"/>
          </w:rPr>
          <w:t>94/2023</w:t>
        </w:r>
      </w:hyperlink>
      <w:r>
        <w:t>, ff. 3, 5.</w:t>
      </w:r>
    </w:p>
    <w:p w14:paraId="4F5B95AD" w14:textId="4205F2DB" w:rsidR="00DA359F" w:rsidRDefault="00DA359F" w:rsidP="00DA359F">
      <w:pPr>
        <w:pStyle w:val="SangriaFrancesaArticulo"/>
      </w:pPr>
      <w:r w:rsidRPr="00DA359F">
        <w:rPr>
          <w:rStyle w:val="TextoNormalNegritaCaracter"/>
        </w:rPr>
        <w:t>Artículo 5.1 e).</w:t>
      </w:r>
      <w:r w:rsidRPr="00DA359F">
        <w:rPr>
          <w:rStyle w:val="TextoNormalCaracter"/>
        </w:rPr>
        <w:t>-</w:t>
      </w:r>
      <w:r>
        <w:t xml:space="preserve"> Sentencia </w:t>
      </w:r>
      <w:hyperlink w:anchor="SENTENCIA_2023_94" w:history="1">
        <w:r w:rsidRPr="00DA359F">
          <w:rPr>
            <w:rStyle w:val="TextoNormalCaracter"/>
          </w:rPr>
          <w:t>94/2023</w:t>
        </w:r>
      </w:hyperlink>
      <w:r>
        <w:t>, f. 3.</w:t>
      </w:r>
    </w:p>
    <w:p w14:paraId="68E632F1" w14:textId="23002C8E" w:rsidR="00DA359F" w:rsidRDefault="00DA359F" w:rsidP="00DA359F">
      <w:pPr>
        <w:pStyle w:val="SangriaFrancesaArticulo"/>
      </w:pPr>
      <w:r w:rsidRPr="00DA359F">
        <w:rPr>
          <w:rStyle w:val="TextoNormalNegritaCaracter"/>
        </w:rPr>
        <w:t>Artículo 5.2.</w:t>
      </w:r>
      <w:r w:rsidRPr="00DA359F">
        <w:rPr>
          <w:rStyle w:val="TextoNormalCaracter"/>
        </w:rPr>
        <w:t>-</w:t>
      </w:r>
      <w:r>
        <w:t xml:space="preserve"> Sentencias </w:t>
      </w:r>
      <w:hyperlink w:anchor="SENTENCIA_2023_94" w:history="1">
        <w:r w:rsidRPr="00DA359F">
          <w:rPr>
            <w:rStyle w:val="TextoNormalCaracter"/>
          </w:rPr>
          <w:t>94/2023</w:t>
        </w:r>
      </w:hyperlink>
      <w:r>
        <w:t xml:space="preserve">, ff. 3, 5, VP III; </w:t>
      </w:r>
      <w:hyperlink w:anchor="SENTENCIA_2023_146" w:history="1">
        <w:r w:rsidRPr="00DA359F">
          <w:rPr>
            <w:rStyle w:val="TextoNormalCaracter"/>
          </w:rPr>
          <w:t>146/2023</w:t>
        </w:r>
      </w:hyperlink>
      <w:r>
        <w:t>, f. 1.</w:t>
      </w:r>
    </w:p>
    <w:p w14:paraId="3E43FECE" w14:textId="13C5B2FE" w:rsidR="00DA359F" w:rsidRDefault="00DA359F" w:rsidP="00DA359F">
      <w:pPr>
        <w:pStyle w:val="SangriaIzquierdaArticulo"/>
      </w:pPr>
      <w:r>
        <w:t xml:space="preserve">Auto </w:t>
      </w:r>
      <w:hyperlink w:anchor="AUTO_2023_445" w:history="1">
        <w:r w:rsidRPr="00DA359F">
          <w:rPr>
            <w:rStyle w:val="TextoNormalCaracter"/>
          </w:rPr>
          <w:t>445/2023</w:t>
        </w:r>
      </w:hyperlink>
      <w:r>
        <w:t>, f. 1.</w:t>
      </w:r>
    </w:p>
    <w:p w14:paraId="18985D1C" w14:textId="7CA8933D" w:rsidR="00DA359F" w:rsidRDefault="00DA359F" w:rsidP="00DA359F">
      <w:pPr>
        <w:pStyle w:val="SangriaFrancesaArticulo"/>
      </w:pPr>
      <w:r w:rsidRPr="00DA359F">
        <w:rPr>
          <w:rStyle w:val="TextoNormalNegritaCaracter"/>
        </w:rPr>
        <w:t>Artículo 6.</w:t>
      </w:r>
      <w:r w:rsidRPr="00DA359F">
        <w:rPr>
          <w:rStyle w:val="TextoNormalCaracter"/>
        </w:rPr>
        <w:t>-</w:t>
      </w:r>
      <w:r>
        <w:t xml:space="preserve"> Sentencia </w:t>
      </w:r>
      <w:hyperlink w:anchor="SENTENCIA_2023_94" w:history="1">
        <w:r w:rsidRPr="00DA359F">
          <w:rPr>
            <w:rStyle w:val="TextoNormalCaracter"/>
          </w:rPr>
          <w:t>94/2023</w:t>
        </w:r>
      </w:hyperlink>
      <w:r>
        <w:t>, f. 4.</w:t>
      </w:r>
    </w:p>
    <w:p w14:paraId="5C6DE2E3" w14:textId="56E765A6" w:rsidR="00DA359F" w:rsidRDefault="00DA359F" w:rsidP="00DA359F">
      <w:pPr>
        <w:pStyle w:val="SangriaFrancesaArticulo"/>
      </w:pPr>
      <w:r w:rsidRPr="00DA359F">
        <w:rPr>
          <w:rStyle w:val="TextoNormalNegritaCaracter"/>
        </w:rPr>
        <w:t>Artículo 6.2.</w:t>
      </w:r>
      <w:r w:rsidRPr="00DA359F">
        <w:rPr>
          <w:rStyle w:val="TextoNormalCaracter"/>
        </w:rPr>
        <w:t>-</w:t>
      </w:r>
      <w:r>
        <w:t xml:space="preserve"> Sentencia </w:t>
      </w:r>
      <w:hyperlink w:anchor="SENTENCIA_2023_94" w:history="1">
        <w:r w:rsidRPr="00DA359F">
          <w:rPr>
            <w:rStyle w:val="TextoNormalCaracter"/>
          </w:rPr>
          <w:t>94/2023</w:t>
        </w:r>
      </w:hyperlink>
      <w:r>
        <w:t>, f. 3.</w:t>
      </w:r>
    </w:p>
    <w:p w14:paraId="7BFEBF6E" w14:textId="1060A8AC" w:rsidR="00DA359F" w:rsidRDefault="00DA359F" w:rsidP="00DA359F">
      <w:pPr>
        <w:pStyle w:val="SangriaFrancesaArticulo"/>
      </w:pPr>
      <w:r w:rsidRPr="00DA359F">
        <w:rPr>
          <w:rStyle w:val="TextoNormalNegritaCaracter"/>
        </w:rPr>
        <w:t>Artículo 6.3.</w:t>
      </w:r>
      <w:r w:rsidRPr="00DA359F">
        <w:rPr>
          <w:rStyle w:val="TextoNormalCaracter"/>
        </w:rPr>
        <w:t>-</w:t>
      </w:r>
      <w:r>
        <w:t xml:space="preserve"> Sentencia </w:t>
      </w:r>
      <w:hyperlink w:anchor="SENTENCIA_2023_94" w:history="1">
        <w:r w:rsidRPr="00DA359F">
          <w:rPr>
            <w:rStyle w:val="TextoNormalCaracter"/>
          </w:rPr>
          <w:t>94/2023</w:t>
        </w:r>
      </w:hyperlink>
      <w:r>
        <w:t>, f. 3.</w:t>
      </w:r>
    </w:p>
    <w:p w14:paraId="3F2E6477" w14:textId="219CC9B0" w:rsidR="00DA359F" w:rsidRDefault="00DA359F" w:rsidP="00DA359F">
      <w:pPr>
        <w:pStyle w:val="SangriaFrancesaArticulo"/>
      </w:pPr>
      <w:r w:rsidRPr="00DA359F">
        <w:rPr>
          <w:rStyle w:val="TextoNormalNegritaCaracter"/>
        </w:rPr>
        <w:t>Artículo 6.4.</w:t>
      </w:r>
      <w:r w:rsidRPr="00DA359F">
        <w:rPr>
          <w:rStyle w:val="TextoNormalCaracter"/>
        </w:rPr>
        <w:t>-</w:t>
      </w:r>
      <w:r>
        <w:t xml:space="preserve"> Sentencia </w:t>
      </w:r>
      <w:hyperlink w:anchor="SENTENCIA_2023_94" w:history="1">
        <w:r w:rsidRPr="00DA359F">
          <w:rPr>
            <w:rStyle w:val="TextoNormalCaracter"/>
          </w:rPr>
          <w:t>94/2023</w:t>
        </w:r>
      </w:hyperlink>
      <w:r>
        <w:t>, f. 3.</w:t>
      </w:r>
    </w:p>
    <w:p w14:paraId="19A34685" w14:textId="26C60E7F" w:rsidR="00DA359F" w:rsidRDefault="00DA359F" w:rsidP="00DA359F">
      <w:pPr>
        <w:pStyle w:val="SangriaFrancesaArticulo"/>
      </w:pPr>
      <w:r w:rsidRPr="00DA359F">
        <w:rPr>
          <w:rStyle w:val="TextoNormalNegritaCaracter"/>
        </w:rPr>
        <w:t>Artículo 7.2.</w:t>
      </w:r>
      <w:r w:rsidRPr="00DA359F">
        <w:rPr>
          <w:rStyle w:val="TextoNormalCaracter"/>
        </w:rPr>
        <w:t>-</w:t>
      </w:r>
      <w:r>
        <w:t xml:space="preserve"> Sentencia </w:t>
      </w:r>
      <w:hyperlink w:anchor="SENTENCIA_2023_94" w:history="1">
        <w:r w:rsidRPr="00DA359F">
          <w:rPr>
            <w:rStyle w:val="TextoNormalCaracter"/>
          </w:rPr>
          <w:t>94/2023</w:t>
        </w:r>
      </w:hyperlink>
      <w:r>
        <w:t>, f. 3.</w:t>
      </w:r>
    </w:p>
    <w:p w14:paraId="755EDE8A" w14:textId="3AA68E37" w:rsidR="00DA359F" w:rsidRDefault="00DA359F" w:rsidP="00DA359F">
      <w:pPr>
        <w:pStyle w:val="SangriaFrancesaArticulo"/>
      </w:pPr>
      <w:r w:rsidRPr="00DA359F">
        <w:rPr>
          <w:rStyle w:val="TextoNormalNegritaCaracter"/>
        </w:rPr>
        <w:t>Artículo 8.</w:t>
      </w:r>
      <w:r w:rsidRPr="00DA359F">
        <w:rPr>
          <w:rStyle w:val="TextoNormalCaracter"/>
        </w:rPr>
        <w:t>-</w:t>
      </w:r>
      <w:r>
        <w:t xml:space="preserve"> Sentencia </w:t>
      </w:r>
      <w:hyperlink w:anchor="SENTENCIA_2023_94" w:history="1">
        <w:r w:rsidRPr="00DA359F">
          <w:rPr>
            <w:rStyle w:val="TextoNormalCaracter"/>
          </w:rPr>
          <w:t>94/2023</w:t>
        </w:r>
      </w:hyperlink>
      <w:r>
        <w:t>, ff. 3, 4, VP III.</w:t>
      </w:r>
    </w:p>
    <w:p w14:paraId="1332DACE" w14:textId="3FF5195E" w:rsidR="00DA359F" w:rsidRDefault="00DA359F" w:rsidP="00DA359F">
      <w:pPr>
        <w:pStyle w:val="SangriaFrancesaArticulo"/>
      </w:pPr>
      <w:r w:rsidRPr="00DA359F">
        <w:rPr>
          <w:rStyle w:val="TextoNormalNegritaCaracter"/>
        </w:rPr>
        <w:t>Artículo 8.1.</w:t>
      </w:r>
      <w:r w:rsidRPr="00DA359F">
        <w:rPr>
          <w:rStyle w:val="TextoNormalCaracter"/>
        </w:rPr>
        <w:t>-</w:t>
      </w:r>
      <w:r>
        <w:t xml:space="preserve"> Sentencia </w:t>
      </w:r>
      <w:hyperlink w:anchor="SENTENCIA_2023_94" w:history="1">
        <w:r w:rsidRPr="00DA359F">
          <w:rPr>
            <w:rStyle w:val="TextoNormalCaracter"/>
          </w:rPr>
          <w:t>94/2023</w:t>
        </w:r>
      </w:hyperlink>
      <w:r>
        <w:t>, f. 3, VP III.</w:t>
      </w:r>
    </w:p>
    <w:p w14:paraId="13E704B1" w14:textId="48287ED1" w:rsidR="00DA359F" w:rsidRDefault="00DA359F" w:rsidP="00DA359F">
      <w:pPr>
        <w:pStyle w:val="SangriaFrancesaArticulo"/>
      </w:pPr>
      <w:r w:rsidRPr="00DA359F">
        <w:rPr>
          <w:rStyle w:val="TextoNormalNegritaCaracter"/>
        </w:rPr>
        <w:t>Artículo 8.2.</w:t>
      </w:r>
      <w:r w:rsidRPr="00DA359F">
        <w:rPr>
          <w:rStyle w:val="TextoNormalCaracter"/>
        </w:rPr>
        <w:t>-</w:t>
      </w:r>
      <w:r>
        <w:t xml:space="preserve"> Sentencia </w:t>
      </w:r>
      <w:hyperlink w:anchor="SENTENCIA_2023_94" w:history="1">
        <w:r w:rsidRPr="00DA359F">
          <w:rPr>
            <w:rStyle w:val="TextoNormalCaracter"/>
          </w:rPr>
          <w:t>94/2023</w:t>
        </w:r>
      </w:hyperlink>
      <w:r>
        <w:t>, f. 3.</w:t>
      </w:r>
    </w:p>
    <w:p w14:paraId="0FC43B5D" w14:textId="5C7264B8" w:rsidR="00DA359F" w:rsidRDefault="00DA359F" w:rsidP="00DA359F">
      <w:pPr>
        <w:pStyle w:val="SangriaFrancesaArticulo"/>
      </w:pPr>
      <w:r w:rsidRPr="00DA359F">
        <w:rPr>
          <w:rStyle w:val="TextoNormalNegritaCaracter"/>
        </w:rPr>
        <w:t>Artículo 8.3.</w:t>
      </w:r>
      <w:r w:rsidRPr="00DA359F">
        <w:rPr>
          <w:rStyle w:val="TextoNormalCaracter"/>
        </w:rPr>
        <w:t>-</w:t>
      </w:r>
      <w:r>
        <w:t xml:space="preserve"> Sentencia </w:t>
      </w:r>
      <w:hyperlink w:anchor="SENTENCIA_2023_94" w:history="1">
        <w:r w:rsidRPr="00DA359F">
          <w:rPr>
            <w:rStyle w:val="TextoNormalCaracter"/>
          </w:rPr>
          <w:t>94/2023</w:t>
        </w:r>
      </w:hyperlink>
      <w:r>
        <w:t>, f. 3.</w:t>
      </w:r>
    </w:p>
    <w:p w14:paraId="61B0418B" w14:textId="694CCAFA" w:rsidR="00DA359F" w:rsidRDefault="00DA359F" w:rsidP="00DA359F">
      <w:pPr>
        <w:pStyle w:val="SangriaFrancesaArticulo"/>
      </w:pPr>
      <w:r w:rsidRPr="00DA359F">
        <w:rPr>
          <w:rStyle w:val="TextoNormalNegritaCaracter"/>
        </w:rPr>
        <w:t>Artículo 9.</w:t>
      </w:r>
      <w:r w:rsidRPr="00DA359F">
        <w:rPr>
          <w:rStyle w:val="TextoNormalCaracter"/>
        </w:rPr>
        <w:t>-</w:t>
      </w:r>
      <w:r>
        <w:t xml:space="preserve"> Sentencia </w:t>
      </w:r>
      <w:hyperlink w:anchor="SENTENCIA_2023_94" w:history="1">
        <w:r w:rsidRPr="00DA359F">
          <w:rPr>
            <w:rStyle w:val="TextoNormalCaracter"/>
          </w:rPr>
          <w:t>94/2023</w:t>
        </w:r>
      </w:hyperlink>
      <w:r>
        <w:t>, ff. 3, 5, VP III.</w:t>
      </w:r>
    </w:p>
    <w:p w14:paraId="2A0AAFED" w14:textId="6F80B2EC" w:rsidR="00DA359F" w:rsidRDefault="00DA359F" w:rsidP="00DA359F">
      <w:pPr>
        <w:pStyle w:val="SangriaFrancesaArticulo"/>
      </w:pPr>
      <w:r w:rsidRPr="00DA359F">
        <w:rPr>
          <w:rStyle w:val="TextoNormalNegritaCaracter"/>
        </w:rPr>
        <w:t>Artículo 10.</w:t>
      </w:r>
      <w:r w:rsidRPr="00DA359F">
        <w:rPr>
          <w:rStyle w:val="TextoNormalCaracter"/>
        </w:rPr>
        <w:t>-</w:t>
      </w:r>
      <w:r>
        <w:t xml:space="preserve"> Sentencia </w:t>
      </w:r>
      <w:hyperlink w:anchor="SENTENCIA_2023_94" w:history="1">
        <w:r w:rsidRPr="00DA359F">
          <w:rPr>
            <w:rStyle w:val="TextoNormalCaracter"/>
          </w:rPr>
          <w:t>94/2023</w:t>
        </w:r>
      </w:hyperlink>
      <w:r>
        <w:t>, f. 3, VP III.</w:t>
      </w:r>
    </w:p>
    <w:p w14:paraId="18541CA6" w14:textId="574F19D2" w:rsidR="00DA359F" w:rsidRDefault="00DA359F" w:rsidP="00DA359F">
      <w:pPr>
        <w:pStyle w:val="SangriaFrancesaArticulo"/>
      </w:pPr>
      <w:r w:rsidRPr="00DA359F">
        <w:rPr>
          <w:rStyle w:val="TextoNormalNegritaCaracter"/>
        </w:rPr>
        <w:t>Artículo 10.3.</w:t>
      </w:r>
      <w:r w:rsidRPr="00DA359F">
        <w:rPr>
          <w:rStyle w:val="TextoNormalCaracter"/>
        </w:rPr>
        <w:t>-</w:t>
      </w:r>
      <w:r>
        <w:t xml:space="preserve"> Sentencia </w:t>
      </w:r>
      <w:hyperlink w:anchor="SENTENCIA_2023_94" w:history="1">
        <w:r w:rsidRPr="00DA359F">
          <w:rPr>
            <w:rStyle w:val="TextoNormalCaracter"/>
          </w:rPr>
          <w:t>94/2023</w:t>
        </w:r>
      </w:hyperlink>
      <w:r>
        <w:t>, f. 3.</w:t>
      </w:r>
    </w:p>
    <w:p w14:paraId="065C5F99" w14:textId="5B025636" w:rsidR="00DA359F" w:rsidRDefault="00DA359F" w:rsidP="00DA359F">
      <w:pPr>
        <w:pStyle w:val="SangriaFrancesaArticulo"/>
      </w:pPr>
      <w:r w:rsidRPr="00DA359F">
        <w:rPr>
          <w:rStyle w:val="TextoNormalNegritaCaracter"/>
        </w:rPr>
        <w:t>Artículo 10.5.</w:t>
      </w:r>
      <w:r w:rsidRPr="00DA359F">
        <w:rPr>
          <w:rStyle w:val="TextoNormalCaracter"/>
        </w:rPr>
        <w:t>-</w:t>
      </w:r>
      <w:r>
        <w:t xml:space="preserve"> Sentencia </w:t>
      </w:r>
      <w:hyperlink w:anchor="SENTENCIA_2023_94" w:history="1">
        <w:r w:rsidRPr="00DA359F">
          <w:rPr>
            <w:rStyle w:val="TextoNormalCaracter"/>
          </w:rPr>
          <w:t>94/2023</w:t>
        </w:r>
      </w:hyperlink>
      <w:r>
        <w:t>, ff. 3, 6, VP II, VP III.</w:t>
      </w:r>
    </w:p>
    <w:p w14:paraId="7EEE04C5" w14:textId="6ACA14C1" w:rsidR="00DA359F" w:rsidRDefault="00DA359F" w:rsidP="00DA359F">
      <w:pPr>
        <w:pStyle w:val="SangriaFrancesaArticulo"/>
      </w:pPr>
      <w:r w:rsidRPr="00DA359F">
        <w:rPr>
          <w:rStyle w:val="TextoNormalNegritaCaracter"/>
        </w:rPr>
        <w:t>Artículo 11.</w:t>
      </w:r>
      <w:r w:rsidRPr="00DA359F">
        <w:rPr>
          <w:rStyle w:val="TextoNormalCaracter"/>
        </w:rPr>
        <w:t>-</w:t>
      </w:r>
      <w:r>
        <w:t xml:space="preserve"> Sentencia </w:t>
      </w:r>
      <w:hyperlink w:anchor="SENTENCIA_2023_94" w:history="1">
        <w:r w:rsidRPr="00DA359F">
          <w:rPr>
            <w:rStyle w:val="TextoNormalCaracter"/>
          </w:rPr>
          <w:t>94/2023</w:t>
        </w:r>
      </w:hyperlink>
      <w:r>
        <w:t>, f. 4.</w:t>
      </w:r>
    </w:p>
    <w:p w14:paraId="50327280" w14:textId="2B463992" w:rsidR="00DA359F" w:rsidRDefault="00DA359F" w:rsidP="00DA359F">
      <w:pPr>
        <w:pStyle w:val="SangriaFrancesaArticulo"/>
      </w:pPr>
      <w:r w:rsidRPr="00DA359F">
        <w:rPr>
          <w:rStyle w:val="TextoNormalNegritaCaracter"/>
        </w:rPr>
        <w:t>Artículo 11.2.</w:t>
      </w:r>
      <w:r w:rsidRPr="00DA359F">
        <w:rPr>
          <w:rStyle w:val="TextoNormalCaracter"/>
        </w:rPr>
        <w:t>-</w:t>
      </w:r>
      <w:r>
        <w:t xml:space="preserve"> Sentencia </w:t>
      </w:r>
      <w:hyperlink w:anchor="SENTENCIA_2023_94" w:history="1">
        <w:r w:rsidRPr="00DA359F">
          <w:rPr>
            <w:rStyle w:val="TextoNormalCaracter"/>
          </w:rPr>
          <w:t>94/2023</w:t>
        </w:r>
      </w:hyperlink>
      <w:r>
        <w:t>, f. 3.</w:t>
      </w:r>
    </w:p>
    <w:p w14:paraId="55C273E1" w14:textId="262EB9F3" w:rsidR="00DA359F" w:rsidRDefault="00DA359F" w:rsidP="00DA359F">
      <w:pPr>
        <w:pStyle w:val="SangriaFrancesaArticulo"/>
      </w:pPr>
      <w:r w:rsidRPr="00DA359F">
        <w:rPr>
          <w:rStyle w:val="TextoNormalNegritaCaracter"/>
        </w:rPr>
        <w:t>Artículo 12.</w:t>
      </w:r>
      <w:r w:rsidRPr="00DA359F">
        <w:rPr>
          <w:rStyle w:val="TextoNormalCaracter"/>
        </w:rPr>
        <w:t>-</w:t>
      </w:r>
      <w:r>
        <w:t xml:space="preserve"> Sentencia </w:t>
      </w:r>
      <w:hyperlink w:anchor="SENTENCIA_2023_94" w:history="1">
        <w:r w:rsidRPr="00DA359F">
          <w:rPr>
            <w:rStyle w:val="TextoNormalCaracter"/>
          </w:rPr>
          <w:t>94/2023</w:t>
        </w:r>
      </w:hyperlink>
      <w:r>
        <w:t>, f. 3.</w:t>
      </w:r>
    </w:p>
    <w:p w14:paraId="3870960D" w14:textId="20C80F0A" w:rsidR="00DA359F" w:rsidRDefault="00DA359F" w:rsidP="00DA359F">
      <w:pPr>
        <w:pStyle w:val="SangriaFrancesaArticulo"/>
      </w:pPr>
      <w:r w:rsidRPr="00DA359F">
        <w:rPr>
          <w:rStyle w:val="TextoNormalNegritaCaracter"/>
        </w:rPr>
        <w:t>Artículo 13.1.</w:t>
      </w:r>
      <w:r w:rsidRPr="00DA359F">
        <w:rPr>
          <w:rStyle w:val="TextoNormalCaracter"/>
        </w:rPr>
        <w:t>-</w:t>
      </w:r>
      <w:r>
        <w:t xml:space="preserve"> Sentencia </w:t>
      </w:r>
      <w:hyperlink w:anchor="SENTENCIA_2023_94" w:history="1">
        <w:r w:rsidRPr="00DA359F">
          <w:rPr>
            <w:rStyle w:val="TextoNormalCaracter"/>
          </w:rPr>
          <w:t>94/2023</w:t>
        </w:r>
      </w:hyperlink>
      <w:r>
        <w:t>, f. 4.</w:t>
      </w:r>
    </w:p>
    <w:p w14:paraId="773FC79F" w14:textId="79BF69FC" w:rsidR="00DA359F" w:rsidRDefault="00DA359F" w:rsidP="00DA359F">
      <w:pPr>
        <w:pStyle w:val="SangriaFrancesaArticulo"/>
      </w:pPr>
      <w:r w:rsidRPr="00DA359F">
        <w:rPr>
          <w:rStyle w:val="TextoNormalNegritaCaracter"/>
        </w:rPr>
        <w:t>Artículo 13.2.</w:t>
      </w:r>
      <w:r w:rsidRPr="00DA359F">
        <w:rPr>
          <w:rStyle w:val="TextoNormalCaracter"/>
        </w:rPr>
        <w:t>-</w:t>
      </w:r>
      <w:r>
        <w:t xml:space="preserve"> Sentencia </w:t>
      </w:r>
      <w:hyperlink w:anchor="SENTENCIA_2023_94" w:history="1">
        <w:r w:rsidRPr="00DA359F">
          <w:rPr>
            <w:rStyle w:val="TextoNormalCaracter"/>
          </w:rPr>
          <w:t>94/2023</w:t>
        </w:r>
      </w:hyperlink>
      <w:r>
        <w:t>, f. 4, VP II, VP III.</w:t>
      </w:r>
    </w:p>
    <w:p w14:paraId="36A8EED8" w14:textId="096A89FF" w:rsidR="00DA359F" w:rsidRDefault="00DA359F" w:rsidP="00DA359F">
      <w:pPr>
        <w:pStyle w:val="SangriaFrancesaArticulo"/>
      </w:pPr>
      <w:r w:rsidRPr="00DA359F">
        <w:rPr>
          <w:rStyle w:val="TextoNormalNegritaCaracter"/>
        </w:rPr>
        <w:t>Artículo 14.</w:t>
      </w:r>
      <w:r w:rsidRPr="00DA359F">
        <w:rPr>
          <w:rStyle w:val="TextoNormalCaracter"/>
        </w:rPr>
        <w:t>-</w:t>
      </w:r>
      <w:r>
        <w:t xml:space="preserve"> Sentencia </w:t>
      </w:r>
      <w:hyperlink w:anchor="SENTENCIA_2023_94" w:history="1">
        <w:r w:rsidRPr="00DA359F">
          <w:rPr>
            <w:rStyle w:val="TextoNormalCaracter"/>
          </w:rPr>
          <w:t>94/2023</w:t>
        </w:r>
      </w:hyperlink>
      <w:r>
        <w:t>, f. 3, VP II, VP III.</w:t>
      </w:r>
    </w:p>
    <w:p w14:paraId="3258C722" w14:textId="62F0BCB9" w:rsidR="00DA359F" w:rsidRDefault="00DA359F" w:rsidP="00DA359F">
      <w:pPr>
        <w:pStyle w:val="SangriaFrancesaArticulo"/>
      </w:pPr>
      <w:r w:rsidRPr="00DA359F">
        <w:rPr>
          <w:rStyle w:val="TextoNormalNegritaCaracter"/>
        </w:rPr>
        <w:t>Artículo 16.</w:t>
      </w:r>
      <w:r w:rsidRPr="00DA359F">
        <w:rPr>
          <w:rStyle w:val="TextoNormalCaracter"/>
        </w:rPr>
        <w:t>-</w:t>
      </w:r>
      <w:r>
        <w:t xml:space="preserve"> Sentencia </w:t>
      </w:r>
      <w:hyperlink w:anchor="SENTENCIA_2023_94" w:history="1">
        <w:r w:rsidRPr="00DA359F">
          <w:rPr>
            <w:rStyle w:val="TextoNormalCaracter"/>
          </w:rPr>
          <w:t>94/2023</w:t>
        </w:r>
      </w:hyperlink>
      <w:r>
        <w:t>, f. 4.</w:t>
      </w:r>
    </w:p>
    <w:p w14:paraId="597C94D3" w14:textId="0F7DE676" w:rsidR="00DA359F" w:rsidRDefault="00DA359F" w:rsidP="00DA359F">
      <w:pPr>
        <w:pStyle w:val="SangriaFrancesaArticulo"/>
      </w:pPr>
      <w:r w:rsidRPr="00DA359F">
        <w:rPr>
          <w:rStyle w:val="TextoNormalNegritaCaracter"/>
        </w:rPr>
        <w:t>Artículo 16.1.</w:t>
      </w:r>
      <w:r w:rsidRPr="00DA359F">
        <w:rPr>
          <w:rStyle w:val="TextoNormalCaracter"/>
        </w:rPr>
        <w:t>-</w:t>
      </w:r>
      <w:r>
        <w:t xml:space="preserve"> Sentencia </w:t>
      </w:r>
      <w:hyperlink w:anchor="SENTENCIA_2023_94" w:history="1">
        <w:r w:rsidRPr="00DA359F">
          <w:rPr>
            <w:rStyle w:val="TextoNormalCaracter"/>
          </w:rPr>
          <w:t>94/2023</w:t>
        </w:r>
      </w:hyperlink>
      <w:r>
        <w:t>, f. 4.</w:t>
      </w:r>
    </w:p>
    <w:p w14:paraId="67BDAEE7" w14:textId="1D0AA4E1" w:rsidR="00DA359F" w:rsidRDefault="00DA359F" w:rsidP="00DA359F">
      <w:pPr>
        <w:pStyle w:val="SangriaFrancesaArticulo"/>
      </w:pPr>
      <w:r w:rsidRPr="00DA359F">
        <w:rPr>
          <w:rStyle w:val="TextoNormalNegritaCaracter"/>
        </w:rPr>
        <w:t>Artículo 16.2.</w:t>
      </w:r>
      <w:r w:rsidRPr="00DA359F">
        <w:rPr>
          <w:rStyle w:val="TextoNormalCaracter"/>
        </w:rPr>
        <w:t>-</w:t>
      </w:r>
      <w:r>
        <w:t xml:space="preserve"> Sentencia </w:t>
      </w:r>
      <w:hyperlink w:anchor="SENTENCIA_2023_94" w:history="1">
        <w:r w:rsidRPr="00DA359F">
          <w:rPr>
            <w:rStyle w:val="TextoNormalCaracter"/>
          </w:rPr>
          <w:t>94/2023</w:t>
        </w:r>
      </w:hyperlink>
      <w:r>
        <w:t>, f. 4.</w:t>
      </w:r>
    </w:p>
    <w:p w14:paraId="358069FF" w14:textId="1C4D3CA0" w:rsidR="00DA359F" w:rsidRDefault="00DA359F" w:rsidP="00DA359F">
      <w:pPr>
        <w:pStyle w:val="SangriaFrancesaArticulo"/>
      </w:pPr>
      <w:r w:rsidRPr="00DA359F">
        <w:rPr>
          <w:rStyle w:val="TextoNormalNegritaCaracter"/>
        </w:rPr>
        <w:t>Artículo 17.</w:t>
      </w:r>
      <w:r w:rsidRPr="00DA359F">
        <w:rPr>
          <w:rStyle w:val="TextoNormalCaracter"/>
        </w:rPr>
        <w:t>-</w:t>
      </w:r>
      <w:r>
        <w:t xml:space="preserve"> Sentencia </w:t>
      </w:r>
      <w:hyperlink w:anchor="SENTENCIA_2023_94" w:history="1">
        <w:r w:rsidRPr="00DA359F">
          <w:rPr>
            <w:rStyle w:val="TextoNormalCaracter"/>
          </w:rPr>
          <w:t>94/2023</w:t>
        </w:r>
      </w:hyperlink>
      <w:r>
        <w:t>, f. 3.</w:t>
      </w:r>
    </w:p>
    <w:p w14:paraId="0B89DC38" w14:textId="0D6CA977" w:rsidR="00DA359F" w:rsidRDefault="00DA359F" w:rsidP="00DA359F">
      <w:pPr>
        <w:pStyle w:val="SangriaFrancesaArticulo"/>
      </w:pPr>
      <w:r w:rsidRPr="00DA359F">
        <w:rPr>
          <w:rStyle w:val="TextoNormalNegritaCaracter"/>
        </w:rPr>
        <w:t>Artículo 17.5.</w:t>
      </w:r>
      <w:r w:rsidRPr="00DA359F">
        <w:rPr>
          <w:rStyle w:val="TextoNormalCaracter"/>
        </w:rPr>
        <w:t>-</w:t>
      </w:r>
      <w:r>
        <w:t xml:space="preserve"> Sentencia </w:t>
      </w:r>
      <w:hyperlink w:anchor="SENTENCIA_2023_94" w:history="1">
        <w:r w:rsidRPr="00DA359F">
          <w:rPr>
            <w:rStyle w:val="TextoNormalCaracter"/>
          </w:rPr>
          <w:t>94/2023</w:t>
        </w:r>
      </w:hyperlink>
      <w:r>
        <w:t>, f. 3.</w:t>
      </w:r>
    </w:p>
    <w:p w14:paraId="6D55CB6A" w14:textId="107BADE5" w:rsidR="00DA359F" w:rsidRDefault="00DA359F" w:rsidP="00DA359F">
      <w:pPr>
        <w:pStyle w:val="SangriaFrancesaArticulo"/>
      </w:pPr>
      <w:r w:rsidRPr="00DA359F">
        <w:rPr>
          <w:rStyle w:val="TextoNormalNegritaCaracter"/>
        </w:rPr>
        <w:t>Artículo 18.</w:t>
      </w:r>
      <w:r w:rsidRPr="00DA359F">
        <w:rPr>
          <w:rStyle w:val="TextoNormalCaracter"/>
        </w:rPr>
        <w:t>-</w:t>
      </w:r>
      <w:r>
        <w:t xml:space="preserve"> Sentencia </w:t>
      </w:r>
      <w:hyperlink w:anchor="SENTENCIA_2023_94" w:history="1">
        <w:r w:rsidRPr="00DA359F">
          <w:rPr>
            <w:rStyle w:val="TextoNormalCaracter"/>
          </w:rPr>
          <w:t>94/2023</w:t>
        </w:r>
      </w:hyperlink>
      <w:r>
        <w:t>, f. 3.</w:t>
      </w:r>
    </w:p>
    <w:p w14:paraId="293504E2" w14:textId="355DCA13" w:rsidR="00DA359F" w:rsidRDefault="00DA359F" w:rsidP="00DA359F">
      <w:pPr>
        <w:pStyle w:val="SangriaFrancesaArticulo"/>
      </w:pPr>
      <w:r w:rsidRPr="00DA359F">
        <w:rPr>
          <w:rStyle w:val="TextoNormalNegritaCaracter"/>
        </w:rPr>
        <w:t>Artículo 18 a).</w:t>
      </w:r>
      <w:r w:rsidRPr="00DA359F">
        <w:rPr>
          <w:rStyle w:val="TextoNormalCaracter"/>
        </w:rPr>
        <w:t>-</w:t>
      </w:r>
      <w:r>
        <w:t xml:space="preserve"> Sentencia </w:t>
      </w:r>
      <w:hyperlink w:anchor="SENTENCIA_2023_94" w:history="1">
        <w:r w:rsidRPr="00DA359F">
          <w:rPr>
            <w:rStyle w:val="TextoNormalCaracter"/>
          </w:rPr>
          <w:t>94/2023</w:t>
        </w:r>
      </w:hyperlink>
      <w:r>
        <w:t>, f. 6, VP II, VP III.</w:t>
      </w:r>
    </w:p>
    <w:p w14:paraId="13FD26B5" w14:textId="402A7406" w:rsidR="00DA359F" w:rsidRDefault="00DA359F" w:rsidP="00DA359F">
      <w:pPr>
        <w:pStyle w:val="SangriaFrancesaArticulo"/>
      </w:pPr>
      <w:r w:rsidRPr="00DA359F">
        <w:rPr>
          <w:rStyle w:val="TextoNormalNegritaCaracter"/>
        </w:rPr>
        <w:t>Disposición adicional quinta.</w:t>
      </w:r>
      <w:r w:rsidRPr="00DA359F">
        <w:rPr>
          <w:rStyle w:val="TextoNormalCaracter"/>
        </w:rPr>
        <w:t>-</w:t>
      </w:r>
      <w:r>
        <w:t xml:space="preserve"> Sentencia </w:t>
      </w:r>
      <w:hyperlink w:anchor="SENTENCIA_2023_94" w:history="1">
        <w:r w:rsidRPr="00DA359F">
          <w:rPr>
            <w:rStyle w:val="TextoNormalCaracter"/>
          </w:rPr>
          <w:t>94/2023</w:t>
        </w:r>
      </w:hyperlink>
      <w:r>
        <w:t>, f. 6, VP II, VP III.</w:t>
      </w:r>
    </w:p>
    <w:p w14:paraId="1C962B26" w14:textId="48021C1C" w:rsidR="00DA359F" w:rsidRDefault="00DA359F" w:rsidP="00DA359F">
      <w:pPr>
        <w:pStyle w:val="SangriaFrancesaArticulo"/>
      </w:pPr>
    </w:p>
    <w:p w14:paraId="63CA82D1" w14:textId="77777777" w:rsidR="00DA359F" w:rsidRDefault="00DA359F" w:rsidP="00DA359F">
      <w:pPr>
        <w:pStyle w:val="TextoNormalNegritaCursivandice"/>
        <w:keepNext/>
      </w:pPr>
      <w:r>
        <w:t>Ley Orgánica 4/2021, de 29 de marzo, por la que se modifica la Ley Orgánica 6/1985, de 1 de julio, del Poder Judicial, para el establecimiento del régimen jurídico aplicable al Consejo General del Poder Judicial en funciones</w:t>
      </w:r>
    </w:p>
    <w:p w14:paraId="30CE54BE" w14:textId="11AF3D01"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128" w:history="1">
        <w:r w:rsidRPr="00DA359F">
          <w:rPr>
            <w:rStyle w:val="TextoNormalCaracter"/>
          </w:rPr>
          <w:t>128/2023</w:t>
        </w:r>
      </w:hyperlink>
      <w:r>
        <w:t>, ff. 1 a 6, VP.</w:t>
      </w:r>
    </w:p>
    <w:p w14:paraId="0A05E7F1" w14:textId="3F6CF618" w:rsidR="00DA359F" w:rsidRDefault="00DA359F" w:rsidP="00DA359F">
      <w:pPr>
        <w:pStyle w:val="SangriaFrancesaArticulo"/>
      </w:pPr>
      <w:r w:rsidRPr="00DA359F">
        <w:rPr>
          <w:rStyle w:val="TextoNormalNegritaCaracter"/>
        </w:rPr>
        <w:t>Preámbulo.</w:t>
      </w:r>
      <w:r w:rsidRPr="00DA359F">
        <w:rPr>
          <w:rStyle w:val="TextoNormalCaracter"/>
        </w:rPr>
        <w:t>-</w:t>
      </w:r>
      <w:r>
        <w:t xml:space="preserve"> Sentencia </w:t>
      </w:r>
      <w:hyperlink w:anchor="SENTENCIA_2023_128" w:history="1">
        <w:r w:rsidRPr="00DA359F">
          <w:rPr>
            <w:rStyle w:val="TextoNormalCaracter"/>
          </w:rPr>
          <w:t>128/2023</w:t>
        </w:r>
      </w:hyperlink>
      <w:r>
        <w:t>, f. 2, VP.</w:t>
      </w:r>
    </w:p>
    <w:p w14:paraId="0CCB9B7C" w14:textId="7E6239FC" w:rsidR="00DA359F" w:rsidRDefault="00DA359F" w:rsidP="00DA359F">
      <w:pPr>
        <w:pStyle w:val="SangriaFrancesaArticulo"/>
      </w:pPr>
      <w:r w:rsidRPr="00DA359F">
        <w:rPr>
          <w:rStyle w:val="TextoNormalNegritaCaracter"/>
        </w:rPr>
        <w:t>Artículo único, apartado 1.</w:t>
      </w:r>
      <w:r w:rsidRPr="00DA359F">
        <w:rPr>
          <w:rStyle w:val="TextoNormalCaracter"/>
        </w:rPr>
        <w:t>-</w:t>
      </w:r>
      <w:r>
        <w:t xml:space="preserve"> Sentencia </w:t>
      </w:r>
      <w:hyperlink w:anchor="SENTENCIA_2023_128" w:history="1">
        <w:r w:rsidRPr="00DA359F">
          <w:rPr>
            <w:rStyle w:val="TextoNormalCaracter"/>
          </w:rPr>
          <w:t>128/2023</w:t>
        </w:r>
      </w:hyperlink>
      <w:r>
        <w:t>, VP.</w:t>
      </w:r>
    </w:p>
    <w:p w14:paraId="23A71EA2" w14:textId="3FF7EC85" w:rsidR="00DA359F" w:rsidRDefault="00DA359F" w:rsidP="00DA359F">
      <w:pPr>
        <w:pStyle w:val="SangriaFrancesaArticulo"/>
      </w:pPr>
      <w:r w:rsidRPr="00DA359F">
        <w:rPr>
          <w:rStyle w:val="TextoNormalNegritaCaracter"/>
        </w:rPr>
        <w:t>Artículo único.</w:t>
      </w:r>
      <w:r w:rsidRPr="00DA359F">
        <w:rPr>
          <w:rStyle w:val="TextoNormalCaracter"/>
        </w:rPr>
        <w:t>-</w:t>
      </w:r>
      <w:r>
        <w:t xml:space="preserve"> Sentencia </w:t>
      </w:r>
      <w:hyperlink w:anchor="SENTENCIA_2023_128" w:history="1">
        <w:r w:rsidRPr="00DA359F">
          <w:rPr>
            <w:rStyle w:val="TextoNormalCaracter"/>
          </w:rPr>
          <w:t>128/2023</w:t>
        </w:r>
      </w:hyperlink>
      <w:r>
        <w:t>, f. 1.</w:t>
      </w:r>
    </w:p>
    <w:p w14:paraId="4B4494FC" w14:textId="21145254" w:rsidR="00DA359F" w:rsidRDefault="00DA359F" w:rsidP="00DA359F">
      <w:pPr>
        <w:pStyle w:val="SangriaFrancesaArticulo"/>
      </w:pPr>
    </w:p>
    <w:p w14:paraId="43AE6A97" w14:textId="77777777" w:rsidR="00DA359F" w:rsidRDefault="00DA359F" w:rsidP="00DA359F">
      <w:pPr>
        <w:pStyle w:val="TextoNormalNegritaCursivandice"/>
        <w:keepNext/>
      </w:pPr>
      <w:r>
        <w:t>Ley Orgánica 6/2021, de 28 de abril, complementaria de la Ley 6/2021, de 28 de abril, por la que se modifica la Ley 20/2011, de 21 de julio, del registro civil, de modificación de la Ley Orgánica 6/1985, de 1 de julio, del Poder Judicial y de modificación de la Ley Orgánica 10/1995, de 23 de noviembre, del Código penal</w:t>
      </w:r>
    </w:p>
    <w:p w14:paraId="4633F306" w14:textId="5ED0045C"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128" w:history="1">
        <w:r w:rsidRPr="00DA359F">
          <w:rPr>
            <w:rStyle w:val="TextoNormalCaracter"/>
          </w:rPr>
          <w:t>128/2023</w:t>
        </w:r>
      </w:hyperlink>
      <w:r>
        <w:t>, f. 2.</w:t>
      </w:r>
    </w:p>
    <w:p w14:paraId="3B9050DC" w14:textId="2A7ADB18" w:rsidR="00DA359F" w:rsidRDefault="00DA359F" w:rsidP="00DA359F">
      <w:pPr>
        <w:pStyle w:val="SangriaFrancesaArticulo"/>
      </w:pPr>
    </w:p>
    <w:p w14:paraId="593923EF" w14:textId="77777777" w:rsidR="00DA359F" w:rsidRDefault="00DA359F" w:rsidP="00DA359F">
      <w:pPr>
        <w:pStyle w:val="TextoNormalNegritaCursivandice"/>
        <w:keepNext/>
      </w:pPr>
      <w:r>
        <w:t>Ley Orgánica 7/2021, de 26 de mayo, de protección de datos personales tratados para fines de prevención, detección, investigación y enjuiciamiento de infracciones penales y de ejecución de sanciones penales</w:t>
      </w:r>
    </w:p>
    <w:p w14:paraId="2BB11900" w14:textId="66DD293B"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128" w:history="1">
        <w:r w:rsidRPr="00DA359F">
          <w:rPr>
            <w:rStyle w:val="TextoNormalCaracter"/>
          </w:rPr>
          <w:t>128/2023</w:t>
        </w:r>
      </w:hyperlink>
      <w:r>
        <w:t>, f. 2.</w:t>
      </w:r>
    </w:p>
    <w:p w14:paraId="100579F3" w14:textId="3D24111B" w:rsidR="00DA359F" w:rsidRDefault="00DA359F" w:rsidP="00DA359F">
      <w:pPr>
        <w:pStyle w:val="SangriaFrancesaArticulo"/>
      </w:pPr>
    </w:p>
    <w:p w14:paraId="1B24980F" w14:textId="77777777" w:rsidR="00DA359F" w:rsidRDefault="00DA359F" w:rsidP="00DA359F">
      <w:pPr>
        <w:pStyle w:val="TextoNormalNegritaCursivandice"/>
        <w:keepNext/>
      </w:pPr>
      <w:r>
        <w:t>Ley Orgánica 8/2021, de 4 de junio, de protección integral a la infancia y la adolescencia frente a la violencia</w:t>
      </w:r>
    </w:p>
    <w:p w14:paraId="73224409" w14:textId="7FCBC054"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128" w:history="1">
        <w:r w:rsidRPr="00DA359F">
          <w:rPr>
            <w:rStyle w:val="TextoNormalCaracter"/>
          </w:rPr>
          <w:t>128/2023</w:t>
        </w:r>
      </w:hyperlink>
      <w:r>
        <w:t>, f. 2.</w:t>
      </w:r>
    </w:p>
    <w:p w14:paraId="6793E8B1" w14:textId="3052CA29" w:rsidR="00DA359F" w:rsidRDefault="00DA359F" w:rsidP="00DA359F">
      <w:pPr>
        <w:pStyle w:val="SangriaFrancesaArticulo"/>
      </w:pPr>
    </w:p>
    <w:p w14:paraId="1F0CA0CD" w14:textId="77777777" w:rsidR="00DA359F" w:rsidRDefault="00DA359F" w:rsidP="00DA359F">
      <w:pPr>
        <w:pStyle w:val="TextoNormalNegritaCursivandice"/>
        <w:keepNext/>
      </w:pPr>
      <w:r>
        <w:t>Ley Orgánica 9/2021, de 1 de julio, de aplicación del Reglamento (UE) 2017/1939 del Consejo, de 12 de octubre de 2017, por el que se establece una cooperación reforzada para la creación de la Fiscalía Europea</w:t>
      </w:r>
    </w:p>
    <w:p w14:paraId="08228E9D" w14:textId="53217F23"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128" w:history="1">
        <w:r w:rsidRPr="00DA359F">
          <w:rPr>
            <w:rStyle w:val="TextoNormalCaracter"/>
          </w:rPr>
          <w:t>128/2023</w:t>
        </w:r>
      </w:hyperlink>
      <w:r>
        <w:t>, f. 2.</w:t>
      </w:r>
    </w:p>
    <w:p w14:paraId="7ED73B77" w14:textId="22112E1B" w:rsidR="00DA359F" w:rsidRDefault="00DA359F" w:rsidP="00DA359F">
      <w:pPr>
        <w:pStyle w:val="SangriaFrancesaArticulo"/>
      </w:pPr>
    </w:p>
    <w:p w14:paraId="65D156C4" w14:textId="77777777" w:rsidR="00DA359F" w:rsidRDefault="00DA359F" w:rsidP="00DA359F">
      <w:pPr>
        <w:pStyle w:val="TextoNormalNegritaCursivandice"/>
        <w:keepNext/>
      </w:pPr>
      <w:r>
        <w:t>Ley Orgánica 10/2021, de 14 de diciembre, de modificación de la Ley Orgánica 6/1985, de 1 de julio, del Poder Judicial, para reconocer el carácter de tribunal consuetudinario y tradicional al Juzgado Privativo de Aguas de Orihuela (Alicante/Alacant) y Pueblos de su Marco y al Tribunal del Comuner del Rollet de Gràcia de l'Horta d'Aldaia</w:t>
      </w:r>
    </w:p>
    <w:p w14:paraId="57854342" w14:textId="7F7E36FD"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128" w:history="1">
        <w:r w:rsidRPr="00DA359F">
          <w:rPr>
            <w:rStyle w:val="TextoNormalCaracter"/>
          </w:rPr>
          <w:t>128/2023</w:t>
        </w:r>
      </w:hyperlink>
      <w:r>
        <w:t>, f. 2.</w:t>
      </w:r>
    </w:p>
    <w:p w14:paraId="69F161E9" w14:textId="6C46144A" w:rsidR="00DA359F" w:rsidRDefault="00DA359F" w:rsidP="00DA359F">
      <w:pPr>
        <w:pStyle w:val="SangriaFrancesaArticulo"/>
      </w:pPr>
    </w:p>
    <w:p w14:paraId="20227B23" w14:textId="77777777" w:rsidR="00DA359F" w:rsidRDefault="00DA359F" w:rsidP="00DA359F">
      <w:pPr>
        <w:pStyle w:val="TextoNormalNegritaCursivandice"/>
        <w:keepNext/>
      </w:pPr>
      <w:r>
        <w:t>Ley Orgánica 2/2022, de 21 de marzo, de mejora de la protección de las personas huérfanas víctimas de la violencia de género</w:t>
      </w:r>
    </w:p>
    <w:p w14:paraId="076D9D6A" w14:textId="1A9AE2D9"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128" w:history="1">
        <w:r w:rsidRPr="00DA359F">
          <w:rPr>
            <w:rStyle w:val="TextoNormalCaracter"/>
          </w:rPr>
          <w:t>128/2023</w:t>
        </w:r>
      </w:hyperlink>
      <w:r>
        <w:t>, f. 2.</w:t>
      </w:r>
    </w:p>
    <w:p w14:paraId="0F9D4405" w14:textId="1F472545" w:rsidR="00DA359F" w:rsidRDefault="00DA359F" w:rsidP="00DA359F">
      <w:pPr>
        <w:pStyle w:val="SangriaFrancesaArticulo"/>
      </w:pPr>
    </w:p>
    <w:p w14:paraId="57AC42B1" w14:textId="77777777" w:rsidR="00DA359F" w:rsidRDefault="00DA359F" w:rsidP="00DA359F">
      <w:pPr>
        <w:pStyle w:val="TextoNormalNegritaCursivandice"/>
        <w:keepNext/>
      </w:pPr>
      <w:r>
        <w:t>Ley Orgánica 5/2022, de 28 de junio, complementaria de la Ley 11/2022, de 28 de junio, general de telecomunicaciones, de modificación de la Ley Orgánica 6/1985, de 1 de julio, del Poder Judicial</w:t>
      </w:r>
    </w:p>
    <w:p w14:paraId="41DCAE90" w14:textId="33586528"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128" w:history="1">
        <w:r w:rsidRPr="00DA359F">
          <w:rPr>
            <w:rStyle w:val="TextoNormalCaracter"/>
          </w:rPr>
          <w:t>128/2023</w:t>
        </w:r>
      </w:hyperlink>
      <w:r>
        <w:t>, f. 2.</w:t>
      </w:r>
    </w:p>
    <w:p w14:paraId="144609F9" w14:textId="5DF9591E" w:rsidR="00DA359F" w:rsidRDefault="00DA359F" w:rsidP="00DA359F">
      <w:pPr>
        <w:pStyle w:val="SangriaFrancesaArticulo"/>
      </w:pPr>
    </w:p>
    <w:p w14:paraId="641FB130" w14:textId="77777777" w:rsidR="00DA359F" w:rsidRDefault="00DA359F" w:rsidP="00DA359F">
      <w:pPr>
        <w:pStyle w:val="TextoNormalNegritaCursivandice"/>
        <w:keepNext/>
      </w:pPr>
      <w:r>
        <w:t>Ley Orgánica 7/2022, de 27 de julio, de modificación de la Ley Orgánica 6/1985, de 1 de julio, del Poder Judicial, en materia de juzgados de lo mercantil</w:t>
      </w:r>
    </w:p>
    <w:p w14:paraId="76155802" w14:textId="5243CE2E"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128" w:history="1">
        <w:r w:rsidRPr="00DA359F">
          <w:rPr>
            <w:rStyle w:val="TextoNormalCaracter"/>
          </w:rPr>
          <w:t>128/2023</w:t>
        </w:r>
      </w:hyperlink>
      <w:r>
        <w:t>, f. 2.</w:t>
      </w:r>
    </w:p>
    <w:p w14:paraId="7D2BA67A" w14:textId="0E9E9DB8" w:rsidR="00DA359F" w:rsidRDefault="00DA359F" w:rsidP="00DA359F">
      <w:pPr>
        <w:pStyle w:val="SangriaFrancesaArticulo"/>
      </w:pPr>
    </w:p>
    <w:p w14:paraId="1EA5E7BF" w14:textId="77777777" w:rsidR="00DA359F" w:rsidRDefault="00DA359F" w:rsidP="00DA359F">
      <w:pPr>
        <w:pStyle w:val="TextoNormalNegritaCursivandice"/>
        <w:keepNext/>
      </w:pPr>
      <w:r>
        <w:t>Ley Orgánica 8/2022, de 27 de julio, de modificación de los artículos 570 bis y 599 de la Ley Orgánica 6/1985, de 1 de julio, del Poder Judicial</w:t>
      </w:r>
    </w:p>
    <w:p w14:paraId="433E651F" w14:textId="215C9D9A" w:rsidR="00DA359F" w:rsidRDefault="00DA359F" w:rsidP="00DA359F">
      <w:pPr>
        <w:pStyle w:val="SangriaFrancesaArticulo"/>
        <w:keepNext/>
      </w:pPr>
      <w:r w:rsidRPr="00DA359F">
        <w:rPr>
          <w:rStyle w:val="TextoNormalNegritaCaracter"/>
        </w:rPr>
        <w:t>En general.</w:t>
      </w:r>
      <w:r w:rsidRPr="00DA359F">
        <w:rPr>
          <w:rStyle w:val="TextoNormalCaracter"/>
        </w:rPr>
        <w:t>-</w:t>
      </w:r>
      <w:r>
        <w:t xml:space="preserve"> Sentencia </w:t>
      </w:r>
      <w:hyperlink w:anchor="SENTENCIA_2023_128" w:history="1">
        <w:r w:rsidRPr="00DA359F">
          <w:rPr>
            <w:rStyle w:val="TextoNormalCaracter"/>
          </w:rPr>
          <w:t>128/2023</w:t>
        </w:r>
      </w:hyperlink>
      <w:r>
        <w:t>, f. 2, VP.</w:t>
      </w:r>
    </w:p>
    <w:p w14:paraId="0C12EF3A" w14:textId="2E0E9BBD" w:rsidR="00DA359F" w:rsidRDefault="00DA359F" w:rsidP="00DA359F">
      <w:pPr>
        <w:pStyle w:val="SangriaIzquierdaArticulo"/>
      </w:pPr>
      <w:r>
        <w:t xml:space="preserve">Autos </w:t>
      </w:r>
      <w:hyperlink w:anchor="AUTO_2023_521" w:history="1">
        <w:r w:rsidRPr="00DA359F">
          <w:rPr>
            <w:rStyle w:val="TextoNormalCaracter"/>
          </w:rPr>
          <w:t>521/2023</w:t>
        </w:r>
      </w:hyperlink>
      <w:r>
        <w:t xml:space="preserve">, f. único; </w:t>
      </w:r>
      <w:hyperlink w:anchor="AUTO_2023_522" w:history="1">
        <w:r w:rsidRPr="00DA359F">
          <w:rPr>
            <w:rStyle w:val="TextoNormalCaracter"/>
          </w:rPr>
          <w:t>522/2023</w:t>
        </w:r>
      </w:hyperlink>
      <w:r>
        <w:t>, f. único.</w:t>
      </w:r>
    </w:p>
    <w:p w14:paraId="59179510" w14:textId="7F652EFB" w:rsidR="00DA359F" w:rsidRDefault="00DA359F" w:rsidP="00DA359F">
      <w:pPr>
        <w:pStyle w:val="SangriaFrancesaArticulo"/>
      </w:pPr>
      <w:r w:rsidRPr="00DA359F">
        <w:rPr>
          <w:rStyle w:val="TextoNormalNegritaCaracter"/>
        </w:rPr>
        <w:t>Artículo único.</w:t>
      </w:r>
      <w:r w:rsidRPr="00DA359F">
        <w:rPr>
          <w:rStyle w:val="TextoNormalCaracter"/>
        </w:rPr>
        <w:t>-</w:t>
      </w:r>
      <w:r>
        <w:t xml:space="preserve"> Sentencia </w:t>
      </w:r>
      <w:hyperlink w:anchor="SENTENCIA_2023_128" w:history="1">
        <w:r w:rsidRPr="00DA359F">
          <w:rPr>
            <w:rStyle w:val="TextoNormalCaracter"/>
          </w:rPr>
          <w:t>128/2023</w:t>
        </w:r>
      </w:hyperlink>
      <w:r>
        <w:t>, f. 2.</w:t>
      </w:r>
    </w:p>
    <w:p w14:paraId="5586B1D1" w14:textId="549103CB" w:rsidR="00DA359F" w:rsidRDefault="00DA359F" w:rsidP="00DA359F">
      <w:pPr>
        <w:pStyle w:val="SangriaFrancesaArticulo"/>
      </w:pPr>
      <w:r w:rsidRPr="00DA359F">
        <w:rPr>
          <w:rStyle w:val="TextoNormalNegritaCaracter"/>
        </w:rPr>
        <w:t>Artículo único, apartado 1.</w:t>
      </w:r>
      <w:r w:rsidRPr="00DA359F">
        <w:rPr>
          <w:rStyle w:val="TextoNormalCaracter"/>
        </w:rPr>
        <w:t>-</w:t>
      </w:r>
      <w:r>
        <w:t xml:space="preserve"> Sentencia </w:t>
      </w:r>
      <w:hyperlink w:anchor="SENTENCIA_2023_128" w:history="1">
        <w:r w:rsidRPr="00DA359F">
          <w:rPr>
            <w:rStyle w:val="TextoNormalCaracter"/>
          </w:rPr>
          <w:t>128/2023</w:t>
        </w:r>
      </w:hyperlink>
      <w:r>
        <w:t>, f. 2.</w:t>
      </w:r>
    </w:p>
    <w:p w14:paraId="3C92E97F" w14:textId="38CE725D" w:rsidR="00DA359F" w:rsidRDefault="00DA359F" w:rsidP="00DA359F">
      <w:pPr>
        <w:pStyle w:val="SangriaFrancesaArticulo"/>
      </w:pPr>
      <w:r w:rsidRPr="00DA359F">
        <w:rPr>
          <w:rStyle w:val="TextoNormalNegritaCaracter"/>
        </w:rPr>
        <w:t>Artículo único, apartado 2.</w:t>
      </w:r>
      <w:r w:rsidRPr="00DA359F">
        <w:rPr>
          <w:rStyle w:val="TextoNormalCaracter"/>
        </w:rPr>
        <w:t>-</w:t>
      </w:r>
      <w:r>
        <w:t xml:space="preserve"> Sentencia </w:t>
      </w:r>
      <w:hyperlink w:anchor="SENTENCIA_2023_128" w:history="1">
        <w:r w:rsidRPr="00DA359F">
          <w:rPr>
            <w:rStyle w:val="TextoNormalCaracter"/>
          </w:rPr>
          <w:t>128/2023</w:t>
        </w:r>
      </w:hyperlink>
      <w:r>
        <w:t>, f. 2.</w:t>
      </w:r>
    </w:p>
    <w:p w14:paraId="173A4308" w14:textId="312A3DD5" w:rsidR="00DA359F" w:rsidRDefault="00DA359F" w:rsidP="00DA359F">
      <w:pPr>
        <w:pStyle w:val="SangriaFrancesaArticulo"/>
      </w:pPr>
    </w:p>
    <w:p w14:paraId="3DDB06B0" w14:textId="77777777" w:rsidR="00DA359F" w:rsidRDefault="00DA359F" w:rsidP="00DA359F">
      <w:pPr>
        <w:pStyle w:val="TextoNormalNegritaCursivandice"/>
        <w:keepNext/>
      </w:pPr>
      <w:r>
        <w:t>Ley Orgánica 14/2022, de 22 de diciembre, de transposición de directivas europeas y otras disposiciones para la adaptación de la legislación penal al ordenamiento de la Unión Europea, y reforma de los delitos contra la integridad moral, desórdenes públicos y contrabando de armas de doble uso</w:t>
      </w:r>
    </w:p>
    <w:p w14:paraId="009FB7A2" w14:textId="76747526" w:rsidR="00DA359F" w:rsidRDefault="00DA359F" w:rsidP="00DA359F">
      <w:pPr>
        <w:pStyle w:val="SangriaFrancesaArticulo"/>
      </w:pPr>
      <w:r w:rsidRPr="00DA359F">
        <w:rPr>
          <w:rStyle w:val="TextoNormalNegritaCaracter"/>
        </w:rPr>
        <w:t>En general.</w:t>
      </w:r>
      <w:r w:rsidRPr="00DA359F">
        <w:rPr>
          <w:rStyle w:val="TextoNormalCaracter"/>
        </w:rPr>
        <w:t>-</w:t>
      </w:r>
      <w:r>
        <w:t xml:space="preserve"> Auto </w:t>
      </w:r>
      <w:hyperlink w:anchor="AUTO_2023_378" w:history="1">
        <w:r w:rsidRPr="00DA359F">
          <w:rPr>
            <w:rStyle w:val="TextoNormalCaracter"/>
          </w:rPr>
          <w:t>378/2023</w:t>
        </w:r>
      </w:hyperlink>
      <w:r>
        <w:t>, f. 1.</w:t>
      </w:r>
    </w:p>
    <w:p w14:paraId="0A5FCDC2" w14:textId="1865489F" w:rsidR="00DA359F" w:rsidRDefault="00DA359F" w:rsidP="00DA359F">
      <w:pPr>
        <w:pStyle w:val="SangriaFrancesaArticulo"/>
      </w:pPr>
    </w:p>
    <w:p w14:paraId="54BC3AC4" w14:textId="77777777" w:rsidR="00DA359F" w:rsidRDefault="00DA359F" w:rsidP="00DA359F">
      <w:pPr>
        <w:pStyle w:val="TextoNormalNegritaCursivandice"/>
        <w:keepNext/>
      </w:pPr>
      <w:r>
        <w:t>Ley Orgánica 1/2023, de 28 de febrero, por la que se modifica la Ley Orgánica 2/2010, de 3 de marzo, de salud sexual y reproductiva y de la interrupción voluntaria del embarazo</w:t>
      </w:r>
    </w:p>
    <w:p w14:paraId="0CE3BAA2" w14:textId="7BFD7129"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78" w:history="1">
        <w:r w:rsidRPr="00DA359F">
          <w:rPr>
            <w:rStyle w:val="TextoNormalCaracter"/>
          </w:rPr>
          <w:t>78/2023</w:t>
        </w:r>
      </w:hyperlink>
      <w:r>
        <w:t>, ff. 6, 7, VP II.</w:t>
      </w:r>
    </w:p>
    <w:p w14:paraId="0356EC96" w14:textId="38BEDAFC" w:rsidR="00DA359F" w:rsidRDefault="00DA359F" w:rsidP="00DA359F">
      <w:pPr>
        <w:pStyle w:val="TextoNormal"/>
      </w:pPr>
    </w:p>
    <w:p w14:paraId="0C752BB3" w14:textId="77777777" w:rsidR="00DA359F" w:rsidRDefault="00DA359F" w:rsidP="00DA359F">
      <w:pPr>
        <w:pStyle w:val="SangriaFrancesaArticulo"/>
      </w:pPr>
      <w:bookmarkStart w:id="484" w:name="INDICE22846"/>
    </w:p>
    <w:bookmarkEnd w:id="484"/>
    <w:p w14:paraId="3A2B8388" w14:textId="77777777" w:rsidR="00DA359F" w:rsidRDefault="00DA359F" w:rsidP="00DA359F">
      <w:pPr>
        <w:pStyle w:val="TextoIndiceNivel2"/>
        <w:suppressAutoHyphens/>
      </w:pPr>
      <w:r>
        <w:t>E) Leyes de las Cortes Generales</w:t>
      </w:r>
    </w:p>
    <w:p w14:paraId="3D8D7568" w14:textId="76DDE873" w:rsidR="00DA359F" w:rsidRDefault="00DA359F" w:rsidP="00DA359F">
      <w:pPr>
        <w:pStyle w:val="TextoIndiceNivel2"/>
      </w:pPr>
    </w:p>
    <w:p w14:paraId="1EE607A2" w14:textId="77777777" w:rsidR="00DA359F" w:rsidRDefault="00DA359F" w:rsidP="00DA359F">
      <w:pPr>
        <w:pStyle w:val="TextoNormalNegritaCursivandice"/>
        <w:keepNext/>
      </w:pPr>
      <w:r>
        <w:t>Ley 30/1979, de 27 de octubre, sobre extracción y trasplante de órganos</w:t>
      </w:r>
    </w:p>
    <w:p w14:paraId="01109B84" w14:textId="5D135633"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94" w:history="1">
        <w:r w:rsidRPr="00DA359F">
          <w:rPr>
            <w:rStyle w:val="TextoNormalCaracter"/>
          </w:rPr>
          <w:t>94/2023</w:t>
        </w:r>
      </w:hyperlink>
      <w:r>
        <w:t>, VP III.</w:t>
      </w:r>
    </w:p>
    <w:p w14:paraId="43B575D3" w14:textId="237600FC" w:rsidR="00DA359F" w:rsidRDefault="00DA359F" w:rsidP="00DA359F">
      <w:pPr>
        <w:pStyle w:val="SangriaFrancesaArticulo"/>
      </w:pPr>
    </w:p>
    <w:p w14:paraId="023347D9" w14:textId="77777777" w:rsidR="00DA359F" w:rsidRDefault="00DA359F" w:rsidP="00DA359F">
      <w:pPr>
        <w:pStyle w:val="TextoNormalNegritaCursivandice"/>
        <w:keepNext/>
      </w:pPr>
      <w:r>
        <w:t>Ley 50/1981, de 30 de diciembre, por la que se regula el Estatuto orgánico del Ministerio Fiscal</w:t>
      </w:r>
    </w:p>
    <w:p w14:paraId="05A79ECF" w14:textId="26F68AD8" w:rsidR="00DA359F" w:rsidRDefault="00DA359F" w:rsidP="00DA359F">
      <w:pPr>
        <w:pStyle w:val="SangriaFrancesaArticulo"/>
      </w:pPr>
      <w:r w:rsidRPr="00DA359F">
        <w:rPr>
          <w:rStyle w:val="TextoNormalNegritaCaracter"/>
        </w:rPr>
        <w:t>Artículo 14.4 j).</w:t>
      </w:r>
      <w:r w:rsidRPr="00DA359F">
        <w:rPr>
          <w:rStyle w:val="TextoNormalCaracter"/>
        </w:rPr>
        <w:t>-</w:t>
      </w:r>
      <w:r>
        <w:t xml:space="preserve"> Sentencia </w:t>
      </w:r>
      <w:hyperlink w:anchor="SENTENCIA_2023_94" w:history="1">
        <w:r w:rsidRPr="00DA359F">
          <w:rPr>
            <w:rStyle w:val="TextoNormalCaracter"/>
          </w:rPr>
          <w:t>94/2023</w:t>
        </w:r>
      </w:hyperlink>
      <w:r>
        <w:t>, f. 2.</w:t>
      </w:r>
    </w:p>
    <w:p w14:paraId="3F6CC069" w14:textId="4A1E40C5" w:rsidR="00DA359F" w:rsidRDefault="00DA359F" w:rsidP="00DA359F">
      <w:pPr>
        <w:pStyle w:val="SangriaFrancesaArticulo"/>
      </w:pPr>
    </w:p>
    <w:p w14:paraId="02119FC5" w14:textId="77777777" w:rsidR="00DA359F" w:rsidRDefault="00DA359F" w:rsidP="00DA359F">
      <w:pPr>
        <w:pStyle w:val="TextoNormalNegritaCursivandice"/>
        <w:keepNext/>
      </w:pPr>
      <w:r>
        <w:t>Ley 30/1984, de 2 de agosto, de medidas para la reforma de la función pública</w:t>
      </w:r>
    </w:p>
    <w:p w14:paraId="0D47DF53" w14:textId="2A9B9071" w:rsidR="00DA359F" w:rsidRDefault="00DA359F" w:rsidP="00DA359F">
      <w:pPr>
        <w:pStyle w:val="SangriaFrancesaArticulo"/>
      </w:pPr>
      <w:r w:rsidRPr="00DA359F">
        <w:rPr>
          <w:rStyle w:val="TextoNormalNegritaCaracter"/>
        </w:rPr>
        <w:t>Artículo 19.1.</w:t>
      </w:r>
      <w:r w:rsidRPr="00DA359F">
        <w:rPr>
          <w:rStyle w:val="TextoNormalCaracter"/>
        </w:rPr>
        <w:t>-</w:t>
      </w:r>
      <w:r>
        <w:t xml:space="preserve"> Auto </w:t>
      </w:r>
      <w:hyperlink w:anchor="AUTO_2023_427" w:history="1">
        <w:r w:rsidRPr="00DA359F">
          <w:rPr>
            <w:rStyle w:val="TextoNormalCaracter"/>
          </w:rPr>
          <w:t>427/2023</w:t>
        </w:r>
      </w:hyperlink>
      <w:r>
        <w:t>, f. 2.</w:t>
      </w:r>
    </w:p>
    <w:p w14:paraId="0341AA96" w14:textId="0939E661" w:rsidR="00DA359F" w:rsidRDefault="00DA359F" w:rsidP="00DA359F">
      <w:pPr>
        <w:pStyle w:val="SangriaFrancesaArticulo"/>
      </w:pPr>
    </w:p>
    <w:p w14:paraId="5592FC17" w14:textId="77777777" w:rsidR="00DA359F" w:rsidRDefault="00DA359F" w:rsidP="00DA359F">
      <w:pPr>
        <w:pStyle w:val="TextoNormalNegritaCursivandice"/>
        <w:keepNext/>
      </w:pPr>
      <w:r>
        <w:t>Ley 4/1985, de 21 de marzo, de extradición pasiva</w:t>
      </w:r>
    </w:p>
    <w:p w14:paraId="09AF5FAD" w14:textId="117F0FF4"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136" w:history="1">
        <w:r w:rsidRPr="00DA359F">
          <w:rPr>
            <w:rStyle w:val="TextoNormalCaracter"/>
          </w:rPr>
          <w:t>136/2023</w:t>
        </w:r>
      </w:hyperlink>
      <w:r>
        <w:t>, ff. 4, 5.</w:t>
      </w:r>
    </w:p>
    <w:p w14:paraId="15BB70D2" w14:textId="52E3D6AC" w:rsidR="00DA359F" w:rsidRDefault="00DA359F" w:rsidP="00DA359F">
      <w:pPr>
        <w:pStyle w:val="SangriaFrancesaArticulo"/>
      </w:pPr>
    </w:p>
    <w:p w14:paraId="050BD87A" w14:textId="77777777" w:rsidR="00DA359F" w:rsidRDefault="00DA359F" w:rsidP="00DA359F">
      <w:pPr>
        <w:pStyle w:val="TextoNormalNegritaCursivandice"/>
        <w:keepNext/>
      </w:pPr>
      <w:r>
        <w:t>Ley 7/1985, de 2 de abril, reguladora de las bases del régimen local</w:t>
      </w:r>
    </w:p>
    <w:p w14:paraId="18BC072E" w14:textId="71DAD825"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124" w:history="1">
        <w:r w:rsidRPr="00DA359F">
          <w:rPr>
            <w:rStyle w:val="TextoNormalCaracter"/>
          </w:rPr>
          <w:t>124/2023</w:t>
        </w:r>
      </w:hyperlink>
      <w:r>
        <w:t>, ff. 1, 4, 5, VP I.</w:t>
      </w:r>
    </w:p>
    <w:p w14:paraId="7021795C" w14:textId="2797C42E" w:rsidR="00DA359F" w:rsidRDefault="00DA359F" w:rsidP="00DA359F">
      <w:pPr>
        <w:pStyle w:val="SangriaFrancesaArticulo"/>
      </w:pPr>
      <w:r w:rsidRPr="00DA359F">
        <w:rPr>
          <w:rStyle w:val="TextoNormalNegritaCaracter"/>
        </w:rPr>
        <w:t>Artículo 2.1.</w:t>
      </w:r>
      <w:r w:rsidRPr="00DA359F">
        <w:rPr>
          <w:rStyle w:val="TextoNormalCaracter"/>
        </w:rPr>
        <w:t>-</w:t>
      </w:r>
      <w:r>
        <w:t xml:space="preserve"> Sentencia </w:t>
      </w:r>
      <w:hyperlink w:anchor="SENTENCIA_2023_124" w:history="1">
        <w:r w:rsidRPr="00DA359F">
          <w:rPr>
            <w:rStyle w:val="TextoNormalCaracter"/>
          </w:rPr>
          <w:t>124/2023</w:t>
        </w:r>
      </w:hyperlink>
      <w:r>
        <w:t>, ff. 5, 7.</w:t>
      </w:r>
    </w:p>
    <w:p w14:paraId="530698FF" w14:textId="1B99400F" w:rsidR="00DA359F" w:rsidRDefault="00DA359F" w:rsidP="00DA359F">
      <w:pPr>
        <w:pStyle w:val="SangriaFrancesaArticulo"/>
      </w:pPr>
      <w:r w:rsidRPr="00DA359F">
        <w:rPr>
          <w:rStyle w:val="TextoNormalNegritaCaracter"/>
        </w:rPr>
        <w:t>Artículo 7.1.</w:t>
      </w:r>
      <w:r w:rsidRPr="00DA359F">
        <w:rPr>
          <w:rStyle w:val="TextoNormalCaracter"/>
        </w:rPr>
        <w:t>-</w:t>
      </w:r>
      <w:r>
        <w:t xml:space="preserve"> Sentencia </w:t>
      </w:r>
      <w:hyperlink w:anchor="SENTENCIA_2023_124" w:history="1">
        <w:r w:rsidRPr="00DA359F">
          <w:rPr>
            <w:rStyle w:val="TextoNormalCaracter"/>
          </w:rPr>
          <w:t>124/2023</w:t>
        </w:r>
      </w:hyperlink>
      <w:r>
        <w:t>, f. 7.</w:t>
      </w:r>
    </w:p>
    <w:p w14:paraId="13F641DD" w14:textId="68C472F3" w:rsidR="00DA359F" w:rsidRDefault="00DA359F" w:rsidP="00DA359F">
      <w:pPr>
        <w:pStyle w:val="SangriaFrancesaArticulo"/>
      </w:pPr>
      <w:r w:rsidRPr="00DA359F">
        <w:rPr>
          <w:rStyle w:val="TextoNormalNegritaCaracter"/>
        </w:rPr>
        <w:t>Artículo 7.2.</w:t>
      </w:r>
      <w:r w:rsidRPr="00DA359F">
        <w:rPr>
          <w:rStyle w:val="TextoNormalCaracter"/>
        </w:rPr>
        <w:t>-</w:t>
      </w:r>
      <w:r>
        <w:t xml:space="preserve"> Sentencia </w:t>
      </w:r>
      <w:hyperlink w:anchor="SENTENCIA_2023_143" w:history="1">
        <w:r w:rsidRPr="00DA359F">
          <w:rPr>
            <w:rStyle w:val="TextoNormalCaracter"/>
          </w:rPr>
          <w:t>143/2023</w:t>
        </w:r>
      </w:hyperlink>
      <w:r>
        <w:t>, f. 1.</w:t>
      </w:r>
    </w:p>
    <w:p w14:paraId="3AF44A18" w14:textId="499F19A8" w:rsidR="00DA359F" w:rsidRDefault="00DA359F" w:rsidP="00DA359F">
      <w:pPr>
        <w:pStyle w:val="SangriaFrancesaArticulo"/>
      </w:pPr>
      <w:r w:rsidRPr="00DA359F">
        <w:rPr>
          <w:rStyle w:val="TextoNormalNegritaCaracter"/>
        </w:rPr>
        <w:t>Artículo 10.</w:t>
      </w:r>
      <w:r w:rsidRPr="00DA359F">
        <w:rPr>
          <w:rStyle w:val="TextoNormalCaracter"/>
        </w:rPr>
        <w:t>-</w:t>
      </w:r>
      <w:r>
        <w:t xml:space="preserve"> Sentencia </w:t>
      </w:r>
      <w:hyperlink w:anchor="SENTENCIA_2023_124" w:history="1">
        <w:r w:rsidRPr="00DA359F">
          <w:rPr>
            <w:rStyle w:val="TextoNormalCaracter"/>
          </w:rPr>
          <w:t>124/2023</w:t>
        </w:r>
      </w:hyperlink>
      <w:r>
        <w:t>, ff. 2, 8, VP I.</w:t>
      </w:r>
    </w:p>
    <w:p w14:paraId="4E3ED555" w14:textId="33565FF7" w:rsidR="00DA359F" w:rsidRDefault="00DA359F" w:rsidP="00DA359F">
      <w:pPr>
        <w:pStyle w:val="SangriaFrancesaArticulo"/>
      </w:pPr>
      <w:r w:rsidRPr="00DA359F">
        <w:rPr>
          <w:rStyle w:val="TextoNormalNegritaCaracter"/>
        </w:rPr>
        <w:t>Artículo 10.2.</w:t>
      </w:r>
      <w:r w:rsidRPr="00DA359F">
        <w:rPr>
          <w:rStyle w:val="TextoNormalCaracter"/>
        </w:rPr>
        <w:t>-</w:t>
      </w:r>
      <w:r>
        <w:t xml:space="preserve"> Sentencias </w:t>
      </w:r>
      <w:hyperlink w:anchor="SENTENCIA_2023_124" w:history="1">
        <w:r w:rsidRPr="00DA359F">
          <w:rPr>
            <w:rStyle w:val="TextoNormalCaracter"/>
          </w:rPr>
          <w:t>124/2023</w:t>
        </w:r>
      </w:hyperlink>
      <w:r>
        <w:t xml:space="preserve">, ff. 6, 8, VP I; </w:t>
      </w:r>
      <w:hyperlink w:anchor="SENTENCIA_2023_143" w:history="1">
        <w:r w:rsidRPr="00DA359F">
          <w:rPr>
            <w:rStyle w:val="TextoNormalCaracter"/>
          </w:rPr>
          <w:t>143/2023</w:t>
        </w:r>
      </w:hyperlink>
      <w:r>
        <w:t>, f. 1.</w:t>
      </w:r>
    </w:p>
    <w:p w14:paraId="31A29D5D" w14:textId="13362126" w:rsidR="00DA359F" w:rsidRDefault="00DA359F" w:rsidP="00DA359F">
      <w:pPr>
        <w:pStyle w:val="SangriaFrancesaArticulo"/>
      </w:pPr>
      <w:r w:rsidRPr="00DA359F">
        <w:rPr>
          <w:rStyle w:val="TextoNormalNegritaCaracter"/>
        </w:rPr>
        <w:t>Artículo 25.</w:t>
      </w:r>
      <w:r w:rsidRPr="00DA359F">
        <w:rPr>
          <w:rStyle w:val="TextoNormalCaracter"/>
        </w:rPr>
        <w:t>-</w:t>
      </w:r>
      <w:r>
        <w:t xml:space="preserve"> Sentencia </w:t>
      </w:r>
      <w:hyperlink w:anchor="SENTENCIA_2023_90" w:history="1">
        <w:r w:rsidRPr="00DA359F">
          <w:rPr>
            <w:rStyle w:val="TextoNormalCaracter"/>
          </w:rPr>
          <w:t>90/2023</w:t>
        </w:r>
      </w:hyperlink>
      <w:r>
        <w:t>, f. 6.</w:t>
      </w:r>
    </w:p>
    <w:p w14:paraId="59C5221F" w14:textId="6509C262" w:rsidR="00DA359F" w:rsidRDefault="00DA359F" w:rsidP="00DA359F">
      <w:pPr>
        <w:pStyle w:val="SangriaFrancesaArticulo"/>
      </w:pPr>
      <w:r w:rsidRPr="00DA359F">
        <w:rPr>
          <w:rStyle w:val="TextoNormalNegritaCaracter"/>
        </w:rPr>
        <w:t>Artículo 25.2.</w:t>
      </w:r>
      <w:r w:rsidRPr="00DA359F">
        <w:rPr>
          <w:rStyle w:val="TextoNormalCaracter"/>
        </w:rPr>
        <w:t>-</w:t>
      </w:r>
      <w:r>
        <w:t xml:space="preserve"> Sentencia </w:t>
      </w:r>
      <w:hyperlink w:anchor="SENTENCIA_2023_124" w:history="1">
        <w:r w:rsidRPr="00DA359F">
          <w:rPr>
            <w:rStyle w:val="TextoNormalCaracter"/>
          </w:rPr>
          <w:t>124/2023</w:t>
        </w:r>
      </w:hyperlink>
      <w:r>
        <w:t>, ff. 5, 7.</w:t>
      </w:r>
    </w:p>
    <w:p w14:paraId="013A51A9" w14:textId="4365993B" w:rsidR="00DA359F" w:rsidRDefault="00DA359F" w:rsidP="00DA359F">
      <w:pPr>
        <w:pStyle w:val="SangriaFrancesaArticulo"/>
      </w:pPr>
      <w:r w:rsidRPr="00DA359F">
        <w:rPr>
          <w:rStyle w:val="TextoNormalNegritaCaracter"/>
        </w:rPr>
        <w:t>Artículo 25.4</w:t>
      </w:r>
      <w:r>
        <w:t xml:space="preserve"> (redactado por la Ley 27/2013, de 27 de diciembre)</w:t>
      </w:r>
      <w:r w:rsidRPr="00DA359F">
        <w:rPr>
          <w:rStyle w:val="TextoNormalNegritaCaracter"/>
        </w:rPr>
        <w:t>.</w:t>
      </w:r>
      <w:r w:rsidRPr="00DA359F">
        <w:rPr>
          <w:rStyle w:val="TextoNormalCaracter"/>
        </w:rPr>
        <w:t>-</w:t>
      </w:r>
      <w:r>
        <w:t xml:space="preserve"> Sentencia </w:t>
      </w:r>
      <w:hyperlink w:anchor="SENTENCIA_2023_124" w:history="1">
        <w:r w:rsidRPr="00DA359F">
          <w:rPr>
            <w:rStyle w:val="TextoNormalCaracter"/>
          </w:rPr>
          <w:t>124/2023</w:t>
        </w:r>
      </w:hyperlink>
      <w:r>
        <w:t>, f. 7.</w:t>
      </w:r>
    </w:p>
    <w:p w14:paraId="5E524D61" w14:textId="226686DD" w:rsidR="00DA359F" w:rsidRDefault="00DA359F" w:rsidP="00DA359F">
      <w:pPr>
        <w:pStyle w:val="SangriaFrancesaArticulo"/>
      </w:pPr>
      <w:r w:rsidRPr="00DA359F">
        <w:rPr>
          <w:rStyle w:val="TextoNormalNegritaCaracter"/>
        </w:rPr>
        <w:t>Artículo 26.</w:t>
      </w:r>
      <w:r w:rsidRPr="00DA359F">
        <w:rPr>
          <w:rStyle w:val="TextoNormalCaracter"/>
        </w:rPr>
        <w:t>-</w:t>
      </w:r>
      <w:r>
        <w:t xml:space="preserve"> Sentencia </w:t>
      </w:r>
      <w:hyperlink w:anchor="SENTENCIA_2023_124" w:history="1">
        <w:r w:rsidRPr="00DA359F">
          <w:rPr>
            <w:rStyle w:val="TextoNormalCaracter"/>
          </w:rPr>
          <w:t>124/2023</w:t>
        </w:r>
      </w:hyperlink>
      <w:r>
        <w:t>, f. 5.</w:t>
      </w:r>
    </w:p>
    <w:p w14:paraId="4B359A98" w14:textId="71D99AA8" w:rsidR="00DA359F" w:rsidRDefault="00DA359F" w:rsidP="00DA359F">
      <w:pPr>
        <w:pStyle w:val="SangriaFrancesaArticulo"/>
      </w:pPr>
      <w:r w:rsidRPr="00DA359F">
        <w:rPr>
          <w:rStyle w:val="TextoNormalNegritaCaracter"/>
        </w:rPr>
        <w:t>Artículo 26.3.</w:t>
      </w:r>
      <w:r w:rsidRPr="00DA359F">
        <w:rPr>
          <w:rStyle w:val="TextoNormalCaracter"/>
        </w:rPr>
        <w:t>-</w:t>
      </w:r>
      <w:r>
        <w:t xml:space="preserve"> Sentencia </w:t>
      </w:r>
      <w:hyperlink w:anchor="SENTENCIA_2023_124" w:history="1">
        <w:r w:rsidRPr="00DA359F">
          <w:rPr>
            <w:rStyle w:val="TextoNormalCaracter"/>
          </w:rPr>
          <w:t>124/2023</w:t>
        </w:r>
      </w:hyperlink>
      <w:r>
        <w:t>, VP II.</w:t>
      </w:r>
    </w:p>
    <w:p w14:paraId="7A75DD57" w14:textId="365C7DA2" w:rsidR="00DA359F" w:rsidRDefault="00DA359F" w:rsidP="00DA359F">
      <w:pPr>
        <w:pStyle w:val="SangriaFrancesaArticulo"/>
      </w:pPr>
      <w:r w:rsidRPr="00DA359F">
        <w:rPr>
          <w:rStyle w:val="TextoNormalNegritaCaracter"/>
        </w:rPr>
        <w:t>Artículo 31.2 a).</w:t>
      </w:r>
      <w:r w:rsidRPr="00DA359F">
        <w:rPr>
          <w:rStyle w:val="TextoNormalCaracter"/>
        </w:rPr>
        <w:t>-</w:t>
      </w:r>
      <w:r>
        <w:t xml:space="preserve"> Sentencia </w:t>
      </w:r>
      <w:hyperlink w:anchor="SENTENCIA_2023_124" w:history="1">
        <w:r w:rsidRPr="00DA359F">
          <w:rPr>
            <w:rStyle w:val="TextoNormalCaracter"/>
          </w:rPr>
          <w:t>124/2023</w:t>
        </w:r>
      </w:hyperlink>
      <w:r>
        <w:t>, f. 8.</w:t>
      </w:r>
    </w:p>
    <w:p w14:paraId="6E4345DC" w14:textId="476CA39F" w:rsidR="00DA359F" w:rsidRDefault="00DA359F" w:rsidP="00DA359F">
      <w:pPr>
        <w:pStyle w:val="SangriaFrancesaArticulo"/>
      </w:pPr>
      <w:r w:rsidRPr="00DA359F">
        <w:rPr>
          <w:rStyle w:val="TextoNormalNegritaCaracter"/>
        </w:rPr>
        <w:t>Artículo 36.</w:t>
      </w:r>
      <w:r w:rsidRPr="00DA359F">
        <w:rPr>
          <w:rStyle w:val="TextoNormalCaracter"/>
        </w:rPr>
        <w:t>-</w:t>
      </w:r>
      <w:r>
        <w:t xml:space="preserve"> Sentencia </w:t>
      </w:r>
      <w:hyperlink w:anchor="SENTENCIA_2023_124" w:history="1">
        <w:r w:rsidRPr="00DA359F">
          <w:rPr>
            <w:rStyle w:val="TextoNormalCaracter"/>
          </w:rPr>
          <w:t>124/2023</w:t>
        </w:r>
      </w:hyperlink>
      <w:r>
        <w:t>, f. 5, VP II.</w:t>
      </w:r>
    </w:p>
    <w:p w14:paraId="604CC50A" w14:textId="2B2B4B00" w:rsidR="00DA359F" w:rsidRDefault="00DA359F" w:rsidP="00DA359F">
      <w:pPr>
        <w:pStyle w:val="SangriaFrancesaArticulo"/>
      </w:pPr>
      <w:r w:rsidRPr="00DA359F">
        <w:rPr>
          <w:rStyle w:val="TextoNormalNegritaCaracter"/>
        </w:rPr>
        <w:t>Artículo 36.1.</w:t>
      </w:r>
      <w:r w:rsidRPr="00DA359F">
        <w:rPr>
          <w:rStyle w:val="TextoNormalCaracter"/>
        </w:rPr>
        <w:t>-</w:t>
      </w:r>
      <w:r>
        <w:t xml:space="preserve"> Sentencias </w:t>
      </w:r>
      <w:hyperlink w:anchor="SENTENCIA_2023_124" w:history="1">
        <w:r w:rsidRPr="00DA359F">
          <w:rPr>
            <w:rStyle w:val="TextoNormalCaracter"/>
          </w:rPr>
          <w:t>124/2023</w:t>
        </w:r>
      </w:hyperlink>
      <w:r>
        <w:t xml:space="preserve">, VP I; </w:t>
      </w:r>
      <w:hyperlink w:anchor="SENTENCIA_2023_143" w:history="1">
        <w:r w:rsidRPr="00DA359F">
          <w:rPr>
            <w:rStyle w:val="TextoNormalCaracter"/>
          </w:rPr>
          <w:t>143/2023</w:t>
        </w:r>
      </w:hyperlink>
      <w:r>
        <w:t>, f. 1.</w:t>
      </w:r>
    </w:p>
    <w:p w14:paraId="0ABF0F66" w14:textId="0882730B" w:rsidR="00DA359F" w:rsidRDefault="00DA359F" w:rsidP="00DA359F">
      <w:pPr>
        <w:pStyle w:val="SangriaFrancesaArticulo"/>
      </w:pPr>
      <w:r w:rsidRPr="00DA359F">
        <w:rPr>
          <w:rStyle w:val="TextoNormalNegritaCaracter"/>
        </w:rPr>
        <w:t>Artículo 36.1 b).</w:t>
      </w:r>
      <w:r w:rsidRPr="00DA359F">
        <w:rPr>
          <w:rStyle w:val="TextoNormalCaracter"/>
        </w:rPr>
        <w:t>-</w:t>
      </w:r>
      <w:r>
        <w:t xml:space="preserve"> Sentencia </w:t>
      </w:r>
      <w:hyperlink w:anchor="SENTENCIA_2023_124" w:history="1">
        <w:r w:rsidRPr="00DA359F">
          <w:rPr>
            <w:rStyle w:val="TextoNormalCaracter"/>
          </w:rPr>
          <w:t>124/2023</w:t>
        </w:r>
      </w:hyperlink>
      <w:r>
        <w:t>, ff. 7, 8, VP II.</w:t>
      </w:r>
    </w:p>
    <w:p w14:paraId="2868BB12" w14:textId="2356C41C" w:rsidR="00DA359F" w:rsidRDefault="00DA359F" w:rsidP="00DA359F">
      <w:pPr>
        <w:pStyle w:val="SangriaFrancesaArticulo"/>
      </w:pPr>
      <w:r w:rsidRPr="00DA359F">
        <w:rPr>
          <w:rStyle w:val="TextoNormalNegritaCaracter"/>
        </w:rPr>
        <w:t>Artículo 36.2.</w:t>
      </w:r>
      <w:r w:rsidRPr="00DA359F">
        <w:rPr>
          <w:rStyle w:val="TextoNormalCaracter"/>
        </w:rPr>
        <w:t>-</w:t>
      </w:r>
      <w:r>
        <w:t xml:space="preserve"> Sentencia </w:t>
      </w:r>
      <w:hyperlink w:anchor="SENTENCIA_2023_124" w:history="1">
        <w:r w:rsidRPr="00DA359F">
          <w:rPr>
            <w:rStyle w:val="TextoNormalCaracter"/>
          </w:rPr>
          <w:t>124/2023</w:t>
        </w:r>
      </w:hyperlink>
      <w:r>
        <w:t>, VP I.</w:t>
      </w:r>
    </w:p>
    <w:p w14:paraId="6AA8444E" w14:textId="5E90E206" w:rsidR="00DA359F" w:rsidRDefault="00DA359F" w:rsidP="00DA359F">
      <w:pPr>
        <w:pStyle w:val="SangriaFrancesaArticulo"/>
      </w:pPr>
      <w:r w:rsidRPr="00DA359F">
        <w:rPr>
          <w:rStyle w:val="TextoNormalNegritaCaracter"/>
        </w:rPr>
        <w:t>Artículo 58.2.</w:t>
      </w:r>
      <w:r w:rsidRPr="00DA359F">
        <w:rPr>
          <w:rStyle w:val="TextoNormalCaracter"/>
        </w:rPr>
        <w:t>-</w:t>
      </w:r>
      <w:r>
        <w:t xml:space="preserve"> Sentencia </w:t>
      </w:r>
      <w:hyperlink w:anchor="SENTENCIA_2023_124" w:history="1">
        <w:r w:rsidRPr="00DA359F">
          <w:rPr>
            <w:rStyle w:val="TextoNormalCaracter"/>
          </w:rPr>
          <w:t>124/2023</w:t>
        </w:r>
      </w:hyperlink>
      <w:r>
        <w:t>, f. 6.</w:t>
      </w:r>
    </w:p>
    <w:p w14:paraId="00F93F66" w14:textId="6BFCBD9C" w:rsidR="00DA359F" w:rsidRDefault="00DA359F" w:rsidP="00DA359F">
      <w:pPr>
        <w:pStyle w:val="SangriaFrancesaArticulo"/>
      </w:pPr>
      <w:r w:rsidRPr="00DA359F">
        <w:rPr>
          <w:rStyle w:val="TextoNormalNegritaCaracter"/>
        </w:rPr>
        <w:t>Artículo 59.</w:t>
      </w:r>
      <w:r w:rsidRPr="00DA359F">
        <w:rPr>
          <w:rStyle w:val="TextoNormalCaracter"/>
        </w:rPr>
        <w:t>-</w:t>
      </w:r>
      <w:r>
        <w:t xml:space="preserve"> Sentencias </w:t>
      </w:r>
      <w:hyperlink w:anchor="SENTENCIA_2023_124" w:history="1">
        <w:r w:rsidRPr="00DA359F">
          <w:rPr>
            <w:rStyle w:val="TextoNormalCaracter"/>
          </w:rPr>
          <w:t>124/2023</w:t>
        </w:r>
      </w:hyperlink>
      <w:r>
        <w:t xml:space="preserve">, ff. 2, 8, VP I; </w:t>
      </w:r>
      <w:hyperlink w:anchor="SENTENCIA_2023_143" w:history="1">
        <w:r w:rsidRPr="00DA359F">
          <w:rPr>
            <w:rStyle w:val="TextoNormalCaracter"/>
          </w:rPr>
          <w:t>143/2023</w:t>
        </w:r>
      </w:hyperlink>
      <w:r>
        <w:t>, f. 1.</w:t>
      </w:r>
    </w:p>
    <w:p w14:paraId="4953A602" w14:textId="11EBDFF1" w:rsidR="00DA359F" w:rsidRDefault="00DA359F" w:rsidP="00DA359F">
      <w:pPr>
        <w:pStyle w:val="SangriaFrancesaArticulo"/>
      </w:pPr>
      <w:r w:rsidRPr="00DA359F">
        <w:rPr>
          <w:rStyle w:val="TextoNormalNegritaCaracter"/>
        </w:rPr>
        <w:t>Artículo 59.1.</w:t>
      </w:r>
      <w:r w:rsidRPr="00DA359F">
        <w:rPr>
          <w:rStyle w:val="TextoNormalCaracter"/>
        </w:rPr>
        <w:t>-</w:t>
      </w:r>
      <w:r>
        <w:t xml:space="preserve"> Sentencia </w:t>
      </w:r>
      <w:hyperlink w:anchor="SENTENCIA_2023_124" w:history="1">
        <w:r w:rsidRPr="00DA359F">
          <w:rPr>
            <w:rStyle w:val="TextoNormalCaracter"/>
          </w:rPr>
          <w:t>124/2023</w:t>
        </w:r>
      </w:hyperlink>
      <w:r>
        <w:t>, ff. 6, 8, VP I.</w:t>
      </w:r>
    </w:p>
    <w:p w14:paraId="3615E30E" w14:textId="6CDBD1A6" w:rsidR="00DA359F" w:rsidRDefault="00DA359F" w:rsidP="00DA359F">
      <w:pPr>
        <w:pStyle w:val="SangriaFrancesaArticulo"/>
      </w:pPr>
      <w:r w:rsidRPr="00DA359F">
        <w:rPr>
          <w:rStyle w:val="TextoNormalNegritaCaracter"/>
        </w:rPr>
        <w:t>Artículo 59.2.</w:t>
      </w:r>
      <w:r w:rsidRPr="00DA359F">
        <w:rPr>
          <w:rStyle w:val="TextoNormalCaracter"/>
        </w:rPr>
        <w:t>-</w:t>
      </w:r>
      <w:r>
        <w:t xml:space="preserve"> Sentencia </w:t>
      </w:r>
      <w:hyperlink w:anchor="SENTENCIA_2023_124" w:history="1">
        <w:r w:rsidRPr="00DA359F">
          <w:rPr>
            <w:rStyle w:val="TextoNormalCaracter"/>
          </w:rPr>
          <w:t>124/2023</w:t>
        </w:r>
      </w:hyperlink>
      <w:r>
        <w:t>, VP I.</w:t>
      </w:r>
    </w:p>
    <w:p w14:paraId="3191A587" w14:textId="4AC97337" w:rsidR="00DA359F" w:rsidRDefault="00DA359F" w:rsidP="00DA359F">
      <w:pPr>
        <w:pStyle w:val="SangriaFrancesaArticulo"/>
      </w:pPr>
      <w:r w:rsidRPr="00DA359F">
        <w:rPr>
          <w:rStyle w:val="TextoNormalNegritaCaracter"/>
        </w:rPr>
        <w:t>Artículo 60.</w:t>
      </w:r>
      <w:r w:rsidRPr="00DA359F">
        <w:rPr>
          <w:rStyle w:val="TextoNormalCaracter"/>
        </w:rPr>
        <w:t>-</w:t>
      </w:r>
      <w:r>
        <w:t xml:space="preserve"> Sentencia </w:t>
      </w:r>
      <w:hyperlink w:anchor="SENTENCIA_2023_124" w:history="1">
        <w:r w:rsidRPr="00DA359F">
          <w:rPr>
            <w:rStyle w:val="TextoNormalCaracter"/>
          </w:rPr>
          <w:t>124/2023</w:t>
        </w:r>
      </w:hyperlink>
      <w:r>
        <w:t>, VP I.</w:t>
      </w:r>
    </w:p>
    <w:p w14:paraId="452CA6D2" w14:textId="5D08B196" w:rsidR="00DA359F" w:rsidRDefault="00DA359F" w:rsidP="00DA359F">
      <w:pPr>
        <w:pStyle w:val="SangriaFrancesaArticulo"/>
      </w:pPr>
    </w:p>
    <w:p w14:paraId="095C57D9" w14:textId="77777777" w:rsidR="00DA359F" w:rsidRDefault="00DA359F" w:rsidP="00DA359F">
      <w:pPr>
        <w:pStyle w:val="TextoNormalNegritaCursivandice"/>
        <w:keepNext/>
      </w:pPr>
      <w:r>
        <w:t>Ley 16/1985, de 25 de junio. Patrimonio histórico español</w:t>
      </w:r>
    </w:p>
    <w:p w14:paraId="3D4FC8C5" w14:textId="3802EA94" w:rsidR="00DA359F" w:rsidRDefault="00DA359F" w:rsidP="00DA359F">
      <w:pPr>
        <w:pStyle w:val="SangriaFrancesaArticulo"/>
      </w:pPr>
      <w:r w:rsidRPr="00DA359F">
        <w:rPr>
          <w:rStyle w:val="TextoNormalNegritaCaracter"/>
        </w:rPr>
        <w:t>Artóculo 57.</w:t>
      </w:r>
      <w:r w:rsidRPr="00DA359F">
        <w:rPr>
          <w:rStyle w:val="TextoNormalCaracter"/>
        </w:rPr>
        <w:t>-</w:t>
      </w:r>
      <w:r>
        <w:t xml:space="preserve"> Sentencia </w:t>
      </w:r>
      <w:hyperlink w:anchor="SENTENCIA_2023_165" w:history="1">
        <w:r w:rsidRPr="00DA359F">
          <w:rPr>
            <w:rStyle w:val="TextoNormalCaracter"/>
          </w:rPr>
          <w:t>165/2023</w:t>
        </w:r>
      </w:hyperlink>
      <w:r>
        <w:t>, f. 1.</w:t>
      </w:r>
    </w:p>
    <w:p w14:paraId="1E0D40D5" w14:textId="7D7CF1A9" w:rsidR="00DA359F" w:rsidRDefault="00DA359F" w:rsidP="00DA359F">
      <w:pPr>
        <w:pStyle w:val="SangriaFrancesaArticulo"/>
      </w:pPr>
    </w:p>
    <w:p w14:paraId="146B1632" w14:textId="77777777" w:rsidR="00DA359F" w:rsidRDefault="00DA359F" w:rsidP="00DA359F">
      <w:pPr>
        <w:pStyle w:val="TextoNormalNegritaCursivandice"/>
        <w:keepNext/>
      </w:pPr>
      <w:r>
        <w:t>Ley 14/1986, de 25 de abril, general de sanidad</w:t>
      </w:r>
    </w:p>
    <w:p w14:paraId="22BEAFF7" w14:textId="0E3AD0D8" w:rsidR="00DA359F" w:rsidRDefault="00DA359F" w:rsidP="00DA359F">
      <w:pPr>
        <w:pStyle w:val="SangriaFrancesaArticulo"/>
      </w:pPr>
      <w:r w:rsidRPr="00DA359F">
        <w:rPr>
          <w:rStyle w:val="TextoNormalNegritaCaracter"/>
        </w:rPr>
        <w:t>Artículo 90.</w:t>
      </w:r>
      <w:r w:rsidRPr="00DA359F">
        <w:rPr>
          <w:rStyle w:val="TextoNormalCaracter"/>
        </w:rPr>
        <w:t>-</w:t>
      </w:r>
      <w:r>
        <w:t xml:space="preserve"> Sentencia </w:t>
      </w:r>
      <w:hyperlink w:anchor="SENTENCIA_2023_94" w:history="1">
        <w:r w:rsidRPr="00DA359F">
          <w:rPr>
            <w:rStyle w:val="TextoNormalCaracter"/>
          </w:rPr>
          <w:t>94/2023</w:t>
        </w:r>
      </w:hyperlink>
      <w:r>
        <w:t>, VP III.</w:t>
      </w:r>
    </w:p>
    <w:p w14:paraId="7269B45E" w14:textId="5C39715C" w:rsidR="00DA359F" w:rsidRDefault="00DA359F" w:rsidP="00DA359F">
      <w:pPr>
        <w:pStyle w:val="SangriaFrancesaArticulo"/>
      </w:pPr>
    </w:p>
    <w:p w14:paraId="4DA0F8E5" w14:textId="77777777" w:rsidR="00DA359F" w:rsidRDefault="00DA359F" w:rsidP="00DA359F">
      <w:pPr>
        <w:pStyle w:val="TextoNormalNegritaCursivandice"/>
        <w:keepNext/>
      </w:pPr>
      <w:r>
        <w:t>Ley 34/1988, de 11 de noviembre, general de publicidad</w:t>
      </w:r>
    </w:p>
    <w:p w14:paraId="42BEEBF4" w14:textId="3E200AF4"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169" w:history="1">
        <w:r w:rsidRPr="00DA359F">
          <w:rPr>
            <w:rStyle w:val="TextoNormalCaracter"/>
          </w:rPr>
          <w:t>169/2023</w:t>
        </w:r>
      </w:hyperlink>
      <w:r>
        <w:t>, f. 1.</w:t>
      </w:r>
    </w:p>
    <w:p w14:paraId="4D3B8505" w14:textId="7F6AE422" w:rsidR="00DA359F" w:rsidRDefault="00DA359F" w:rsidP="00DA359F">
      <w:pPr>
        <w:pStyle w:val="SangriaFrancesaArticulo"/>
      </w:pPr>
    </w:p>
    <w:p w14:paraId="25B8F819" w14:textId="77777777" w:rsidR="00DA359F" w:rsidRDefault="00DA359F" w:rsidP="00DA359F">
      <w:pPr>
        <w:pStyle w:val="TextoNormalNegritaCursivandice"/>
        <w:keepNext/>
      </w:pPr>
      <w:r>
        <w:t>Ley 19/1991, de 6 de junio. Normas reguladoras del impuesto sobre el patrimonio de las personas físicas</w:t>
      </w:r>
    </w:p>
    <w:p w14:paraId="6550CC27" w14:textId="04AB2123"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149" w:history="1">
        <w:r w:rsidRPr="00DA359F">
          <w:rPr>
            <w:rStyle w:val="TextoNormalCaracter"/>
          </w:rPr>
          <w:t>149/2023</w:t>
        </w:r>
      </w:hyperlink>
      <w:r>
        <w:t>, f. 3.</w:t>
      </w:r>
    </w:p>
    <w:p w14:paraId="40E80B0A" w14:textId="6EF6D9E7" w:rsidR="00DA359F" w:rsidRDefault="00DA359F" w:rsidP="00DA359F">
      <w:pPr>
        <w:pStyle w:val="SangriaFrancesaArticulo"/>
      </w:pPr>
      <w:r w:rsidRPr="00DA359F">
        <w:rPr>
          <w:rStyle w:val="TextoNormalNegritaCaracter"/>
        </w:rPr>
        <w:t>Artículo 10.</w:t>
      </w:r>
      <w:r w:rsidRPr="00DA359F">
        <w:rPr>
          <w:rStyle w:val="TextoNormalCaracter"/>
        </w:rPr>
        <w:t>-</w:t>
      </w:r>
      <w:r>
        <w:t xml:space="preserve"> Sentencia </w:t>
      </w:r>
      <w:hyperlink w:anchor="SENTENCIA_2023_149" w:history="1">
        <w:r w:rsidRPr="00DA359F">
          <w:rPr>
            <w:rStyle w:val="TextoNormalCaracter"/>
          </w:rPr>
          <w:t>149/2023</w:t>
        </w:r>
      </w:hyperlink>
      <w:r>
        <w:t>, VP.</w:t>
      </w:r>
    </w:p>
    <w:p w14:paraId="17F66DCB" w14:textId="27C97897" w:rsidR="00DA359F" w:rsidRDefault="00DA359F" w:rsidP="00DA359F">
      <w:pPr>
        <w:pStyle w:val="SangriaFrancesaArticulo"/>
      </w:pPr>
      <w:r w:rsidRPr="00DA359F">
        <w:rPr>
          <w:rStyle w:val="TextoNormalNegritaCaracter"/>
        </w:rPr>
        <w:t>Artículo 12.</w:t>
      </w:r>
      <w:r w:rsidRPr="00DA359F">
        <w:rPr>
          <w:rStyle w:val="TextoNormalCaracter"/>
        </w:rPr>
        <w:t>-</w:t>
      </w:r>
      <w:r>
        <w:t xml:space="preserve"> Sentencia </w:t>
      </w:r>
      <w:hyperlink w:anchor="SENTENCIA_2023_149" w:history="1">
        <w:r w:rsidRPr="00DA359F">
          <w:rPr>
            <w:rStyle w:val="TextoNormalCaracter"/>
          </w:rPr>
          <w:t>149/2023</w:t>
        </w:r>
      </w:hyperlink>
      <w:r>
        <w:t>, VP.</w:t>
      </w:r>
    </w:p>
    <w:p w14:paraId="39498C5B" w14:textId="44973BEE" w:rsidR="00DA359F" w:rsidRDefault="00DA359F" w:rsidP="00DA359F">
      <w:pPr>
        <w:pStyle w:val="SangriaFrancesaArticulo"/>
      </w:pPr>
      <w:r w:rsidRPr="00DA359F">
        <w:rPr>
          <w:rStyle w:val="TextoNormalNegritaCaracter"/>
        </w:rPr>
        <w:t>Artículo 18.</w:t>
      </w:r>
      <w:r w:rsidRPr="00DA359F">
        <w:rPr>
          <w:rStyle w:val="TextoNormalCaracter"/>
        </w:rPr>
        <w:t>-</w:t>
      </w:r>
      <w:r>
        <w:t xml:space="preserve"> Sentencia </w:t>
      </w:r>
      <w:hyperlink w:anchor="SENTENCIA_2023_149" w:history="1">
        <w:r w:rsidRPr="00DA359F">
          <w:rPr>
            <w:rStyle w:val="TextoNormalCaracter"/>
          </w:rPr>
          <w:t>149/2023</w:t>
        </w:r>
      </w:hyperlink>
      <w:r>
        <w:t>, VP.</w:t>
      </w:r>
    </w:p>
    <w:p w14:paraId="7E0B40C8" w14:textId="7DD0A84B" w:rsidR="00DA359F" w:rsidRDefault="00DA359F" w:rsidP="00DA359F">
      <w:pPr>
        <w:pStyle w:val="SangriaFrancesaArticulo"/>
      </w:pPr>
      <w:r w:rsidRPr="00DA359F">
        <w:rPr>
          <w:rStyle w:val="TextoNormalNegritaCaracter"/>
        </w:rPr>
        <w:t>Artículo 30.2.</w:t>
      </w:r>
      <w:r w:rsidRPr="00DA359F">
        <w:rPr>
          <w:rStyle w:val="TextoNormalCaracter"/>
        </w:rPr>
        <w:t>-</w:t>
      </w:r>
      <w:r>
        <w:t xml:space="preserve"> Sentencia </w:t>
      </w:r>
      <w:hyperlink w:anchor="SENTENCIA_2023_149" w:history="1">
        <w:r w:rsidRPr="00DA359F">
          <w:rPr>
            <w:rStyle w:val="TextoNormalCaracter"/>
          </w:rPr>
          <w:t>149/2023</w:t>
        </w:r>
      </w:hyperlink>
      <w:r>
        <w:t>, f. 1.</w:t>
      </w:r>
    </w:p>
    <w:p w14:paraId="3817E610" w14:textId="07E1D73F" w:rsidR="00DA359F" w:rsidRDefault="00DA359F" w:rsidP="00DA359F">
      <w:pPr>
        <w:pStyle w:val="SangriaFrancesaArticulo"/>
      </w:pPr>
    </w:p>
    <w:p w14:paraId="547CA38E" w14:textId="77777777" w:rsidR="00DA359F" w:rsidRDefault="00DA359F" w:rsidP="00DA359F">
      <w:pPr>
        <w:pStyle w:val="TextoNormalNegritaCursivandice"/>
        <w:keepNext/>
      </w:pPr>
      <w:r>
        <w:t>Ley 30/1992, de 26 de noviembre, de régimen jurídico de las administraciones públicas y del procedimiento administrativo común</w:t>
      </w:r>
    </w:p>
    <w:p w14:paraId="1CCD3BC3" w14:textId="18778894" w:rsidR="00DA359F" w:rsidRDefault="00DA359F" w:rsidP="00DA359F">
      <w:pPr>
        <w:pStyle w:val="SangriaFrancesaArticulo"/>
      </w:pPr>
      <w:r w:rsidRPr="00DA359F">
        <w:rPr>
          <w:rStyle w:val="TextoNormalNegritaCaracter"/>
        </w:rPr>
        <w:t>En general.</w:t>
      </w:r>
      <w:r w:rsidRPr="00DA359F">
        <w:rPr>
          <w:rStyle w:val="TextoNormalCaracter"/>
        </w:rPr>
        <w:t>-</w:t>
      </w:r>
      <w:r>
        <w:t xml:space="preserve"> Auto </w:t>
      </w:r>
      <w:hyperlink w:anchor="AUTO_2023_603" w:history="1">
        <w:r w:rsidRPr="00DA359F">
          <w:rPr>
            <w:rStyle w:val="TextoNormalCaracter"/>
          </w:rPr>
          <w:t>603/2023</w:t>
        </w:r>
      </w:hyperlink>
      <w:r>
        <w:t>, f. 3.</w:t>
      </w:r>
    </w:p>
    <w:p w14:paraId="3537D0ED" w14:textId="66E5A444" w:rsidR="00DA359F" w:rsidRDefault="00DA359F" w:rsidP="00DA359F">
      <w:pPr>
        <w:pStyle w:val="SangriaFrancesaArticulo"/>
      </w:pPr>
      <w:r w:rsidRPr="00DA359F">
        <w:rPr>
          <w:rStyle w:val="TextoNormalNegritaCaracter"/>
        </w:rPr>
        <w:t>Artículo 35 d).</w:t>
      </w:r>
      <w:r w:rsidRPr="00DA359F">
        <w:rPr>
          <w:rStyle w:val="TextoNormalCaracter"/>
        </w:rPr>
        <w:t>-</w:t>
      </w:r>
      <w:r>
        <w:t xml:space="preserve"> Sentencia </w:t>
      </w:r>
      <w:hyperlink w:anchor="SENTENCIA_2023_85" w:history="1">
        <w:r w:rsidRPr="00DA359F">
          <w:rPr>
            <w:rStyle w:val="TextoNormalCaracter"/>
          </w:rPr>
          <w:t>85/2023</w:t>
        </w:r>
      </w:hyperlink>
      <w:r>
        <w:t>, VP.</w:t>
      </w:r>
    </w:p>
    <w:p w14:paraId="00BDFC8A" w14:textId="5DEFE928" w:rsidR="00DA359F" w:rsidRDefault="00DA359F" w:rsidP="00DA359F">
      <w:pPr>
        <w:pStyle w:val="SangriaFrancesaArticulo"/>
      </w:pPr>
      <w:r w:rsidRPr="00DA359F">
        <w:rPr>
          <w:rStyle w:val="TextoNormalNegritaCaracter"/>
        </w:rPr>
        <w:t>Artículo 131.</w:t>
      </w:r>
      <w:r w:rsidRPr="00DA359F">
        <w:rPr>
          <w:rStyle w:val="TextoNormalCaracter"/>
        </w:rPr>
        <w:t>-</w:t>
      </w:r>
      <w:r>
        <w:t xml:space="preserve"> Sentencia </w:t>
      </w:r>
      <w:hyperlink w:anchor="SENTENCIA_2023_150" w:history="1">
        <w:r w:rsidRPr="00DA359F">
          <w:rPr>
            <w:rStyle w:val="TextoNormalCaracter"/>
          </w:rPr>
          <w:t>150/2023</w:t>
        </w:r>
      </w:hyperlink>
      <w:r>
        <w:t>, f. 2.</w:t>
      </w:r>
    </w:p>
    <w:p w14:paraId="5923973B" w14:textId="0BF6FD6E" w:rsidR="00DA359F" w:rsidRDefault="00DA359F" w:rsidP="00DA359F">
      <w:pPr>
        <w:pStyle w:val="SangriaIzquierdaArticulo"/>
      </w:pPr>
      <w:r>
        <w:t xml:space="preserve">Auto </w:t>
      </w:r>
      <w:hyperlink w:anchor="AUTO_2023_603" w:history="1">
        <w:r w:rsidRPr="00DA359F">
          <w:rPr>
            <w:rStyle w:val="TextoNormalCaracter"/>
          </w:rPr>
          <w:t>603/2023</w:t>
        </w:r>
      </w:hyperlink>
      <w:r>
        <w:t>, f. 3.</w:t>
      </w:r>
    </w:p>
    <w:p w14:paraId="78DE83B5" w14:textId="0B6FBFF3" w:rsidR="00DA359F" w:rsidRDefault="00DA359F" w:rsidP="00DA359F">
      <w:pPr>
        <w:pStyle w:val="SangriaIzquierdaArticulo"/>
      </w:pPr>
    </w:p>
    <w:p w14:paraId="1AD3BD71" w14:textId="77777777" w:rsidR="00DA359F" w:rsidRDefault="00DA359F" w:rsidP="00DA359F">
      <w:pPr>
        <w:pStyle w:val="TextoNormalNegritaCursivandice"/>
        <w:keepNext/>
      </w:pPr>
      <w:r>
        <w:t>Ley 14/1996, de 30 de diciembre. Cesión de tributos del Estado a las  Comunidades Autónomas y medidas fiscales complementarias</w:t>
      </w:r>
    </w:p>
    <w:p w14:paraId="40EF5F8F" w14:textId="4EFAB730"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149" w:history="1">
        <w:r w:rsidRPr="00DA359F">
          <w:rPr>
            <w:rStyle w:val="TextoNormalCaracter"/>
          </w:rPr>
          <w:t>149/2023</w:t>
        </w:r>
      </w:hyperlink>
      <w:r>
        <w:t>, VP.</w:t>
      </w:r>
    </w:p>
    <w:p w14:paraId="45485735" w14:textId="0346747C" w:rsidR="00DA359F" w:rsidRDefault="00DA359F" w:rsidP="00DA359F">
      <w:pPr>
        <w:pStyle w:val="SangriaFrancesaArticulo"/>
      </w:pPr>
    </w:p>
    <w:p w14:paraId="59E79FAE" w14:textId="77777777" w:rsidR="00DA359F" w:rsidRDefault="00DA359F" w:rsidP="00DA359F">
      <w:pPr>
        <w:pStyle w:val="TextoNormalNegritaCursivandice"/>
        <w:keepNext/>
      </w:pPr>
      <w:r>
        <w:t>Ley 50/1997, de 27 de noviembre, del Gobierno</w:t>
      </w:r>
    </w:p>
    <w:p w14:paraId="3732DB2C" w14:textId="28B3395D" w:rsidR="00DA359F" w:rsidRDefault="00DA359F" w:rsidP="00DA359F">
      <w:pPr>
        <w:pStyle w:val="SangriaFrancesaArticulo"/>
      </w:pPr>
      <w:r w:rsidRPr="00DA359F">
        <w:rPr>
          <w:rStyle w:val="TextoNormalNegritaCaracter"/>
        </w:rPr>
        <w:t>Artículos 2, 5, 18, 22 y 24.</w:t>
      </w:r>
      <w:r w:rsidRPr="00DA359F">
        <w:rPr>
          <w:rStyle w:val="TextoNormalCaracter"/>
        </w:rPr>
        <w:t>-</w:t>
      </w:r>
      <w:r>
        <w:t xml:space="preserve"> Auto </w:t>
      </w:r>
      <w:hyperlink w:anchor="AUTO_2023_433" w:history="1">
        <w:r w:rsidRPr="00DA359F">
          <w:rPr>
            <w:rStyle w:val="TextoNormalCaracter"/>
          </w:rPr>
          <w:t>433/2023</w:t>
        </w:r>
      </w:hyperlink>
      <w:r>
        <w:t>, f. único.</w:t>
      </w:r>
    </w:p>
    <w:p w14:paraId="78EA4585" w14:textId="4E79F182" w:rsidR="00DA359F" w:rsidRDefault="00DA359F" w:rsidP="00DA359F">
      <w:pPr>
        <w:pStyle w:val="SangriaFrancesaArticulo"/>
      </w:pPr>
    </w:p>
    <w:p w14:paraId="4E27252A" w14:textId="77777777" w:rsidR="00DA359F" w:rsidRDefault="00DA359F" w:rsidP="00DA359F">
      <w:pPr>
        <w:pStyle w:val="TextoNormalNegritaCursivandice"/>
        <w:keepNext/>
      </w:pPr>
      <w:r>
        <w:t>Ley 29/1998, de 13 de julio, reguladora de la jurisdicción contencioso-administrativa</w:t>
      </w:r>
    </w:p>
    <w:p w14:paraId="5D7F4B40" w14:textId="34D924DE"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166" w:history="1">
        <w:r w:rsidRPr="00DA359F">
          <w:rPr>
            <w:rStyle w:val="TextoNormalCaracter"/>
          </w:rPr>
          <w:t>166/2023</w:t>
        </w:r>
      </w:hyperlink>
      <w:r>
        <w:t>, ff. 2, 4.</w:t>
      </w:r>
    </w:p>
    <w:p w14:paraId="0388EA89" w14:textId="65EDB877" w:rsidR="00DA359F" w:rsidRDefault="00DA359F" w:rsidP="00DA359F">
      <w:pPr>
        <w:pStyle w:val="SangriaFrancesaArticulo"/>
      </w:pPr>
      <w:r w:rsidRPr="00DA359F">
        <w:rPr>
          <w:rStyle w:val="TextoNormalNegritaCaracter"/>
        </w:rPr>
        <w:t>Artículo 1.3 a).</w:t>
      </w:r>
      <w:r w:rsidRPr="00DA359F">
        <w:rPr>
          <w:rStyle w:val="TextoNormalCaracter"/>
        </w:rPr>
        <w:t>-</w:t>
      </w:r>
      <w:r>
        <w:t xml:space="preserve"> Sentencia </w:t>
      </w:r>
      <w:hyperlink w:anchor="SENTENCIA_2023_82" w:history="1">
        <w:r w:rsidRPr="00DA359F">
          <w:rPr>
            <w:rStyle w:val="TextoNormalCaracter"/>
          </w:rPr>
          <w:t>82/2023</w:t>
        </w:r>
      </w:hyperlink>
      <w:r>
        <w:t>, f. 3.</w:t>
      </w:r>
    </w:p>
    <w:p w14:paraId="11B619AF" w14:textId="6ABE0790" w:rsidR="00DA359F" w:rsidRDefault="00DA359F" w:rsidP="00DA359F">
      <w:pPr>
        <w:pStyle w:val="SangriaFrancesaArticulo"/>
      </w:pPr>
      <w:r w:rsidRPr="00DA359F">
        <w:rPr>
          <w:rStyle w:val="TextoNormalNegritaCaracter"/>
        </w:rPr>
        <w:t>Artículo 10.1 b).</w:t>
      </w:r>
      <w:r w:rsidRPr="00DA359F">
        <w:rPr>
          <w:rStyle w:val="TextoNormalCaracter"/>
        </w:rPr>
        <w:t>-</w:t>
      </w:r>
      <w:r>
        <w:t xml:space="preserve"> Sentencia </w:t>
      </w:r>
      <w:hyperlink w:anchor="SENTENCIA_2023_82" w:history="1">
        <w:r w:rsidRPr="00DA359F">
          <w:rPr>
            <w:rStyle w:val="TextoNormalCaracter"/>
          </w:rPr>
          <w:t>82/2023</w:t>
        </w:r>
      </w:hyperlink>
      <w:r>
        <w:t>, f. 3.</w:t>
      </w:r>
    </w:p>
    <w:p w14:paraId="2645E4E3" w14:textId="372956C7" w:rsidR="00DA359F" w:rsidRDefault="00DA359F" w:rsidP="00DA359F">
      <w:pPr>
        <w:pStyle w:val="SangriaFrancesaArticulo"/>
      </w:pPr>
      <w:r w:rsidRPr="00DA359F">
        <w:rPr>
          <w:rStyle w:val="TextoNormalNegritaCaracter"/>
        </w:rPr>
        <w:t>Artículo 10.8</w:t>
      </w:r>
      <w:r>
        <w:t xml:space="preserve"> (redactado por la Ley 3/2020, de 18 de septiembre)</w:t>
      </w:r>
      <w:r w:rsidRPr="00DA359F">
        <w:rPr>
          <w:rStyle w:val="TextoNormalNegritaCaracter"/>
        </w:rPr>
        <w:t>.</w:t>
      </w:r>
      <w:r w:rsidRPr="00DA359F">
        <w:rPr>
          <w:rStyle w:val="TextoNormalCaracter"/>
        </w:rPr>
        <w:t>-</w:t>
      </w:r>
      <w:r>
        <w:t xml:space="preserve"> Sentencia </w:t>
      </w:r>
      <w:hyperlink w:anchor="SENTENCIA_2023_166" w:history="1">
        <w:r w:rsidRPr="00DA359F">
          <w:rPr>
            <w:rStyle w:val="TextoNormalCaracter"/>
          </w:rPr>
          <w:t>166/2023</w:t>
        </w:r>
      </w:hyperlink>
      <w:r>
        <w:t>, ff. 2, 9.</w:t>
      </w:r>
    </w:p>
    <w:p w14:paraId="62B792ED" w14:textId="048A2CD5" w:rsidR="00DA359F" w:rsidRDefault="00DA359F" w:rsidP="00DA359F">
      <w:pPr>
        <w:pStyle w:val="SangriaFrancesaArticulo"/>
      </w:pPr>
      <w:r w:rsidRPr="00DA359F">
        <w:rPr>
          <w:rStyle w:val="TextoNormalNegritaCaracter"/>
        </w:rPr>
        <w:t>Artículo 11.1 i)</w:t>
      </w:r>
      <w:r>
        <w:t xml:space="preserve"> (redactado por la Ley 3/2020, de 18 de septiembre)</w:t>
      </w:r>
      <w:r w:rsidRPr="00DA359F">
        <w:rPr>
          <w:rStyle w:val="TextoNormalNegritaCaracter"/>
        </w:rPr>
        <w:t>.</w:t>
      </w:r>
      <w:r w:rsidRPr="00DA359F">
        <w:rPr>
          <w:rStyle w:val="TextoNormalCaracter"/>
        </w:rPr>
        <w:t>-</w:t>
      </w:r>
      <w:r>
        <w:t xml:space="preserve"> Sentencia </w:t>
      </w:r>
      <w:hyperlink w:anchor="SENTENCIA_2023_166" w:history="1">
        <w:r w:rsidRPr="00DA359F">
          <w:rPr>
            <w:rStyle w:val="TextoNormalCaracter"/>
          </w:rPr>
          <w:t>166/2023</w:t>
        </w:r>
      </w:hyperlink>
      <w:r>
        <w:t>, ff. 2, 9.</w:t>
      </w:r>
    </w:p>
    <w:p w14:paraId="5CFCCCF0" w14:textId="5F03AA51" w:rsidR="00DA359F" w:rsidRDefault="00DA359F" w:rsidP="00DA359F">
      <w:pPr>
        <w:pStyle w:val="SangriaFrancesaArticulo"/>
      </w:pPr>
      <w:r w:rsidRPr="00DA359F">
        <w:rPr>
          <w:rStyle w:val="TextoNormalNegritaCaracter"/>
        </w:rPr>
        <w:t>Artículo 86.3.</w:t>
      </w:r>
      <w:r w:rsidRPr="00DA359F">
        <w:rPr>
          <w:rStyle w:val="TextoNormalCaracter"/>
        </w:rPr>
        <w:t>-</w:t>
      </w:r>
      <w:r>
        <w:t xml:space="preserve"> Sentencia </w:t>
      </w:r>
      <w:hyperlink w:anchor="SENTENCIA_2023_89" w:history="1">
        <w:r w:rsidRPr="00DA359F">
          <w:rPr>
            <w:rStyle w:val="TextoNormalCaracter"/>
          </w:rPr>
          <w:t>89/2023</w:t>
        </w:r>
      </w:hyperlink>
      <w:r>
        <w:t>, f. 2.</w:t>
      </w:r>
    </w:p>
    <w:p w14:paraId="5DB642EF" w14:textId="5B6CF163" w:rsidR="00DA359F" w:rsidRDefault="00DA359F" w:rsidP="00DA359F">
      <w:pPr>
        <w:pStyle w:val="SangriaFrancesaArticulo"/>
      </w:pPr>
      <w:r w:rsidRPr="00DA359F">
        <w:rPr>
          <w:rStyle w:val="TextoNormalNegritaCaracter"/>
        </w:rPr>
        <w:t>Artículo 87 ter</w:t>
      </w:r>
      <w:r>
        <w:t xml:space="preserve"> (redactado por el Real Decreto-ley 8/2021, de 4 de mayo)</w:t>
      </w:r>
      <w:r w:rsidRPr="00DA359F">
        <w:rPr>
          <w:rStyle w:val="TextoNormalNegritaCaracter"/>
        </w:rPr>
        <w:t>.</w:t>
      </w:r>
      <w:r w:rsidRPr="00DA359F">
        <w:rPr>
          <w:rStyle w:val="TextoNormalCaracter"/>
        </w:rPr>
        <w:t>-</w:t>
      </w:r>
      <w:r>
        <w:t xml:space="preserve"> Sentencia </w:t>
      </w:r>
      <w:hyperlink w:anchor="SENTENCIA_2023_166" w:history="1">
        <w:r w:rsidRPr="00DA359F">
          <w:rPr>
            <w:rStyle w:val="TextoNormalCaracter"/>
          </w:rPr>
          <w:t>166/2023</w:t>
        </w:r>
      </w:hyperlink>
      <w:r>
        <w:t>, f. 2.</w:t>
      </w:r>
    </w:p>
    <w:p w14:paraId="4D15AE3E" w14:textId="3EF292E2" w:rsidR="00DA359F" w:rsidRDefault="00DA359F" w:rsidP="00DA359F">
      <w:pPr>
        <w:pStyle w:val="SangriaFrancesaArticulo"/>
      </w:pPr>
      <w:r w:rsidRPr="00DA359F">
        <w:rPr>
          <w:rStyle w:val="TextoNormalNegritaCaracter"/>
        </w:rPr>
        <w:t>Artículo 87.1 bis</w:t>
      </w:r>
      <w:r>
        <w:t xml:space="preserve"> (redactado por el Real Decreto-ley 8/2021, de 4 de mayo)</w:t>
      </w:r>
      <w:r w:rsidRPr="00DA359F">
        <w:rPr>
          <w:rStyle w:val="TextoNormalNegritaCaracter"/>
        </w:rPr>
        <w:t>.</w:t>
      </w:r>
      <w:r w:rsidRPr="00DA359F">
        <w:rPr>
          <w:rStyle w:val="TextoNormalCaracter"/>
        </w:rPr>
        <w:t>-</w:t>
      </w:r>
      <w:r>
        <w:t xml:space="preserve"> Sentencia </w:t>
      </w:r>
      <w:hyperlink w:anchor="SENTENCIA_2023_166" w:history="1">
        <w:r w:rsidRPr="00DA359F">
          <w:rPr>
            <w:rStyle w:val="TextoNormalCaracter"/>
          </w:rPr>
          <w:t>166/2023</w:t>
        </w:r>
      </w:hyperlink>
      <w:r>
        <w:t>, f. 2.</w:t>
      </w:r>
    </w:p>
    <w:p w14:paraId="04E1659B" w14:textId="57A6DF15" w:rsidR="00DA359F" w:rsidRDefault="00DA359F" w:rsidP="00DA359F">
      <w:pPr>
        <w:pStyle w:val="SangriaFrancesaArticulo"/>
      </w:pPr>
      <w:r w:rsidRPr="00DA359F">
        <w:rPr>
          <w:rStyle w:val="TextoNormalNegritaCaracter"/>
        </w:rPr>
        <w:t>Artículo 87.2</w:t>
      </w:r>
      <w:r>
        <w:t xml:space="preserve"> (redactado por el Real Decreto-ley 8/2021, de 4 de mayo)</w:t>
      </w:r>
      <w:r w:rsidRPr="00DA359F">
        <w:rPr>
          <w:rStyle w:val="TextoNormalNegritaCaracter"/>
        </w:rPr>
        <w:t>.</w:t>
      </w:r>
      <w:r w:rsidRPr="00DA359F">
        <w:rPr>
          <w:rStyle w:val="TextoNormalCaracter"/>
        </w:rPr>
        <w:t>-</w:t>
      </w:r>
      <w:r>
        <w:t xml:space="preserve"> Sentencia </w:t>
      </w:r>
      <w:hyperlink w:anchor="SENTENCIA_2023_166" w:history="1">
        <w:r w:rsidRPr="00DA359F">
          <w:rPr>
            <w:rStyle w:val="TextoNormalCaracter"/>
          </w:rPr>
          <w:t>166/2023</w:t>
        </w:r>
      </w:hyperlink>
      <w:r>
        <w:t>, f. 2.</w:t>
      </w:r>
    </w:p>
    <w:p w14:paraId="76252C75" w14:textId="3B5BBFA7" w:rsidR="00DA359F" w:rsidRDefault="00DA359F" w:rsidP="00DA359F">
      <w:pPr>
        <w:pStyle w:val="SangriaFrancesaArticulo"/>
      </w:pPr>
      <w:r w:rsidRPr="00DA359F">
        <w:rPr>
          <w:rStyle w:val="TextoNormalNegritaCaracter"/>
        </w:rPr>
        <w:t>Artículo 88.</w:t>
      </w:r>
      <w:r w:rsidRPr="00DA359F">
        <w:rPr>
          <w:rStyle w:val="TextoNormalCaracter"/>
        </w:rPr>
        <w:t>-</w:t>
      </w:r>
      <w:r>
        <w:t xml:space="preserve"> Sentencia </w:t>
      </w:r>
      <w:hyperlink w:anchor="SENTENCIA_2023_80" w:history="1">
        <w:r w:rsidRPr="00DA359F">
          <w:rPr>
            <w:rStyle w:val="TextoNormalCaracter"/>
          </w:rPr>
          <w:t>80/2023</w:t>
        </w:r>
      </w:hyperlink>
      <w:r>
        <w:t>, ff. 2, 3.</w:t>
      </w:r>
    </w:p>
    <w:p w14:paraId="2024C9B2" w14:textId="07BFC36B" w:rsidR="00DA359F" w:rsidRDefault="00DA359F" w:rsidP="00DA359F">
      <w:pPr>
        <w:pStyle w:val="SangriaFrancesaArticulo"/>
      </w:pPr>
      <w:r w:rsidRPr="00DA359F">
        <w:rPr>
          <w:rStyle w:val="TextoNormalNegritaCaracter"/>
        </w:rPr>
        <w:t>Artículo 90.5.</w:t>
      </w:r>
      <w:r w:rsidRPr="00DA359F">
        <w:rPr>
          <w:rStyle w:val="TextoNormalCaracter"/>
        </w:rPr>
        <w:t>-</w:t>
      </w:r>
      <w:r>
        <w:t xml:space="preserve"> Sentencia </w:t>
      </w:r>
      <w:hyperlink w:anchor="SENTENCIA_2023_80" w:history="1">
        <w:r w:rsidRPr="00DA359F">
          <w:rPr>
            <w:rStyle w:val="TextoNormalCaracter"/>
          </w:rPr>
          <w:t>80/2023</w:t>
        </w:r>
      </w:hyperlink>
      <w:r>
        <w:t>, f. 2.</w:t>
      </w:r>
    </w:p>
    <w:p w14:paraId="3FF57E50" w14:textId="467A3C2A" w:rsidR="00DA359F" w:rsidRDefault="00DA359F" w:rsidP="00DA359F">
      <w:pPr>
        <w:pStyle w:val="SangriaFrancesaArticulo"/>
      </w:pPr>
      <w:r w:rsidRPr="00DA359F">
        <w:rPr>
          <w:rStyle w:val="TextoNormalNegritaCaracter"/>
        </w:rPr>
        <w:t>Artículo 122.</w:t>
      </w:r>
      <w:r w:rsidRPr="00DA359F">
        <w:rPr>
          <w:rStyle w:val="TextoNormalCaracter"/>
        </w:rPr>
        <w:t>-</w:t>
      </w:r>
      <w:r>
        <w:t xml:space="preserve"> Sentencia </w:t>
      </w:r>
      <w:hyperlink w:anchor="SENTENCIA_2023_177" w:history="1">
        <w:r w:rsidRPr="00DA359F">
          <w:rPr>
            <w:rStyle w:val="TextoNormalCaracter"/>
          </w:rPr>
          <w:t>177/2023</w:t>
        </w:r>
      </w:hyperlink>
      <w:r>
        <w:t>, f. 2.</w:t>
      </w:r>
    </w:p>
    <w:p w14:paraId="05E51BFD" w14:textId="30CEBB8B" w:rsidR="00DA359F" w:rsidRDefault="00DA359F" w:rsidP="00DA359F">
      <w:pPr>
        <w:pStyle w:val="SangriaFrancesaArticulo"/>
      </w:pPr>
      <w:r w:rsidRPr="00DA359F">
        <w:rPr>
          <w:rStyle w:val="TextoNormalNegritaCaracter"/>
        </w:rPr>
        <w:t>Artículo 122 quater</w:t>
      </w:r>
      <w:r>
        <w:t xml:space="preserve"> (redactado por el Real Decreto-ley 8/2021, de 4 de mayo)</w:t>
      </w:r>
      <w:r w:rsidRPr="00DA359F">
        <w:rPr>
          <w:rStyle w:val="TextoNormalNegritaCaracter"/>
        </w:rPr>
        <w:t>.</w:t>
      </w:r>
      <w:r w:rsidRPr="00DA359F">
        <w:rPr>
          <w:rStyle w:val="TextoNormalCaracter"/>
        </w:rPr>
        <w:t>-</w:t>
      </w:r>
      <w:r>
        <w:t xml:space="preserve"> Sentencia </w:t>
      </w:r>
      <w:hyperlink w:anchor="SENTENCIA_2023_166" w:history="1">
        <w:r w:rsidRPr="00DA359F">
          <w:rPr>
            <w:rStyle w:val="TextoNormalCaracter"/>
          </w:rPr>
          <w:t>166/2023</w:t>
        </w:r>
      </w:hyperlink>
      <w:r>
        <w:t>, f. 2.</w:t>
      </w:r>
    </w:p>
    <w:p w14:paraId="6750FFFA" w14:textId="349AAA35" w:rsidR="00DA359F" w:rsidRDefault="00DA359F" w:rsidP="00DA359F">
      <w:pPr>
        <w:pStyle w:val="SangriaFrancesaArticulo"/>
      </w:pPr>
      <w:r w:rsidRPr="00DA359F">
        <w:rPr>
          <w:rStyle w:val="TextoNormalNegritaCaracter"/>
        </w:rPr>
        <w:t>Artículo 122 quater, inciso "10.8 y 11.1 i)"</w:t>
      </w:r>
      <w:r>
        <w:t xml:space="preserve"> (redactado por la Ley 3/2020, de 18 de septiembre)</w:t>
      </w:r>
      <w:r w:rsidRPr="00DA359F">
        <w:rPr>
          <w:rStyle w:val="TextoNormalNegritaCaracter"/>
        </w:rPr>
        <w:t>.</w:t>
      </w:r>
      <w:r w:rsidRPr="00DA359F">
        <w:rPr>
          <w:rStyle w:val="TextoNormalCaracter"/>
        </w:rPr>
        <w:t>-</w:t>
      </w:r>
      <w:r>
        <w:t xml:space="preserve"> Sentencia </w:t>
      </w:r>
      <w:hyperlink w:anchor="SENTENCIA_2023_166" w:history="1">
        <w:r w:rsidRPr="00DA359F">
          <w:rPr>
            <w:rStyle w:val="TextoNormalCaracter"/>
          </w:rPr>
          <w:t>166/2023</w:t>
        </w:r>
      </w:hyperlink>
      <w:r>
        <w:t>, ff. 2, 9.</w:t>
      </w:r>
    </w:p>
    <w:p w14:paraId="79E8DBD9" w14:textId="2525F46B" w:rsidR="00DA359F" w:rsidRDefault="00DA359F" w:rsidP="00DA359F">
      <w:pPr>
        <w:pStyle w:val="SangriaFrancesaArticulo"/>
      </w:pPr>
      <w:r w:rsidRPr="00DA359F">
        <w:rPr>
          <w:rStyle w:val="TextoNormalNegritaCaracter"/>
        </w:rPr>
        <w:t>Artículo 122.3.</w:t>
      </w:r>
      <w:r w:rsidRPr="00DA359F">
        <w:rPr>
          <w:rStyle w:val="TextoNormalCaracter"/>
        </w:rPr>
        <w:t>-</w:t>
      </w:r>
      <w:r>
        <w:t xml:space="preserve"> Sentencia </w:t>
      </w:r>
      <w:hyperlink w:anchor="SENTENCIA_2023_84" w:history="1">
        <w:r w:rsidRPr="00DA359F">
          <w:rPr>
            <w:rStyle w:val="TextoNormalCaracter"/>
          </w:rPr>
          <w:t>84/2023</w:t>
        </w:r>
      </w:hyperlink>
      <w:r>
        <w:t>, VP.</w:t>
      </w:r>
    </w:p>
    <w:p w14:paraId="5AA0642A" w14:textId="562F915F" w:rsidR="00DA359F" w:rsidRDefault="00DA359F" w:rsidP="00DA359F">
      <w:pPr>
        <w:pStyle w:val="SangriaFrancesaArticulo"/>
      </w:pPr>
    </w:p>
    <w:p w14:paraId="0895FDAF" w14:textId="77777777" w:rsidR="00DA359F" w:rsidRDefault="00DA359F" w:rsidP="00DA359F">
      <w:pPr>
        <w:pStyle w:val="TextoNormalNegritaCursivandice"/>
        <w:keepNext/>
      </w:pPr>
      <w:r>
        <w:t>Ley 1/2000, de 7 de enero, de enjuiciamiento civil</w:t>
      </w:r>
    </w:p>
    <w:p w14:paraId="0C92FE81" w14:textId="6D91CEB4" w:rsidR="00DA359F" w:rsidRDefault="00DA359F" w:rsidP="00DA359F">
      <w:pPr>
        <w:pStyle w:val="SangriaFrancesaArticulo"/>
        <w:keepNext/>
      </w:pPr>
      <w:r w:rsidRPr="00DA359F">
        <w:rPr>
          <w:rStyle w:val="TextoNormalNegritaCaracter"/>
        </w:rPr>
        <w:t>En general.</w:t>
      </w:r>
      <w:r w:rsidRPr="00DA359F">
        <w:rPr>
          <w:rStyle w:val="TextoNormalCaracter"/>
        </w:rPr>
        <w:t>-</w:t>
      </w:r>
      <w:r>
        <w:t xml:space="preserve"> Sentencia </w:t>
      </w:r>
      <w:hyperlink w:anchor="SENTENCIA_2023_101" w:history="1">
        <w:r w:rsidRPr="00DA359F">
          <w:rPr>
            <w:rStyle w:val="TextoNormalCaracter"/>
          </w:rPr>
          <w:t>101/2023</w:t>
        </w:r>
      </w:hyperlink>
      <w:r>
        <w:t>, f. 3.</w:t>
      </w:r>
    </w:p>
    <w:p w14:paraId="29CA6030" w14:textId="28C6A025" w:rsidR="00DA359F" w:rsidRDefault="00DA359F" w:rsidP="00DA359F">
      <w:pPr>
        <w:pStyle w:val="SangriaIzquierdaArticulo"/>
      </w:pPr>
      <w:r>
        <w:t xml:space="preserve">Auto </w:t>
      </w:r>
      <w:hyperlink w:anchor="AUTO_2023_602" w:history="1">
        <w:r w:rsidRPr="00DA359F">
          <w:rPr>
            <w:rStyle w:val="TextoNormalCaracter"/>
          </w:rPr>
          <w:t>602/2023</w:t>
        </w:r>
      </w:hyperlink>
      <w:r>
        <w:t>, f. único.</w:t>
      </w:r>
    </w:p>
    <w:p w14:paraId="4407771D" w14:textId="52FFA166" w:rsidR="00DA359F" w:rsidRDefault="00DA359F" w:rsidP="00DA359F">
      <w:pPr>
        <w:pStyle w:val="SangriaFrancesaArticulo"/>
      </w:pPr>
      <w:r w:rsidRPr="00DA359F">
        <w:rPr>
          <w:rStyle w:val="TextoNormalNegritaCaracter"/>
        </w:rPr>
        <w:t>Exposición de motivos, apartado IX.</w:t>
      </w:r>
      <w:r w:rsidRPr="00DA359F">
        <w:rPr>
          <w:rStyle w:val="TextoNormalCaracter"/>
        </w:rPr>
        <w:t>-</w:t>
      </w:r>
      <w:r>
        <w:t xml:space="preserve"> Auto </w:t>
      </w:r>
      <w:hyperlink w:anchor="AUTO_2023_353" w:history="1">
        <w:r w:rsidRPr="00DA359F">
          <w:rPr>
            <w:rStyle w:val="TextoNormalCaracter"/>
          </w:rPr>
          <w:t>353/2023</w:t>
        </w:r>
      </w:hyperlink>
      <w:r>
        <w:t>, f. 3.</w:t>
      </w:r>
    </w:p>
    <w:p w14:paraId="608576FB" w14:textId="0E3C5C42" w:rsidR="00DA359F" w:rsidRDefault="00DA359F" w:rsidP="00DA359F">
      <w:pPr>
        <w:pStyle w:val="SangriaFrancesaArticulo"/>
      </w:pPr>
      <w:r w:rsidRPr="00DA359F">
        <w:rPr>
          <w:rStyle w:val="TextoNormalNegritaCaracter"/>
        </w:rPr>
        <w:t>Artículo 4.</w:t>
      </w:r>
      <w:r w:rsidRPr="00DA359F">
        <w:rPr>
          <w:rStyle w:val="TextoNormalCaracter"/>
        </w:rPr>
        <w:t>-</w:t>
      </w:r>
      <w:r>
        <w:t xml:space="preserve"> Sentencia </w:t>
      </w:r>
      <w:hyperlink w:anchor="SENTENCIA_2023_123" w:history="1">
        <w:r w:rsidRPr="00DA359F">
          <w:rPr>
            <w:rStyle w:val="TextoNormalCaracter"/>
          </w:rPr>
          <w:t>123/2023</w:t>
        </w:r>
      </w:hyperlink>
      <w:r>
        <w:t>, f. 1.</w:t>
      </w:r>
    </w:p>
    <w:p w14:paraId="5067666A" w14:textId="2C02968D" w:rsidR="00DA359F" w:rsidRDefault="00DA359F" w:rsidP="00DA359F">
      <w:pPr>
        <w:pStyle w:val="SangriaFrancesaArticulo"/>
      </w:pPr>
      <w:r w:rsidRPr="00DA359F">
        <w:rPr>
          <w:rStyle w:val="TextoNormalNegritaCaracter"/>
        </w:rPr>
        <w:t>Artículo 19.1.</w:t>
      </w:r>
      <w:r w:rsidRPr="00DA359F">
        <w:rPr>
          <w:rStyle w:val="TextoNormalCaracter"/>
        </w:rPr>
        <w:t>-</w:t>
      </w:r>
      <w:r>
        <w:t xml:space="preserve"> Auto </w:t>
      </w:r>
      <w:hyperlink w:anchor="AUTO_2023_602" w:history="1">
        <w:r w:rsidRPr="00DA359F">
          <w:rPr>
            <w:rStyle w:val="TextoNormalCaracter"/>
          </w:rPr>
          <w:t>602/2023</w:t>
        </w:r>
      </w:hyperlink>
      <w:r>
        <w:t>, f. único.</w:t>
      </w:r>
    </w:p>
    <w:p w14:paraId="39BA0007" w14:textId="31FBF329" w:rsidR="00DA359F" w:rsidRDefault="00DA359F" w:rsidP="00DA359F">
      <w:pPr>
        <w:pStyle w:val="SangriaFrancesaArticulo"/>
      </w:pPr>
      <w:r w:rsidRPr="00DA359F">
        <w:rPr>
          <w:rStyle w:val="TextoNormalNegritaCaracter"/>
        </w:rPr>
        <w:t>Artículo 19.3.</w:t>
      </w:r>
      <w:r w:rsidRPr="00DA359F">
        <w:rPr>
          <w:rStyle w:val="TextoNormalCaracter"/>
        </w:rPr>
        <w:t>-</w:t>
      </w:r>
      <w:r>
        <w:t xml:space="preserve"> Auto </w:t>
      </w:r>
      <w:hyperlink w:anchor="AUTO_2023_602" w:history="1">
        <w:r w:rsidRPr="00DA359F">
          <w:rPr>
            <w:rStyle w:val="TextoNormalCaracter"/>
          </w:rPr>
          <w:t>602/2023</w:t>
        </w:r>
      </w:hyperlink>
      <w:r>
        <w:t>, f. único.</w:t>
      </w:r>
    </w:p>
    <w:p w14:paraId="4A302C25" w14:textId="6E40BE2B" w:rsidR="00DA359F" w:rsidRDefault="00DA359F" w:rsidP="00DA359F">
      <w:pPr>
        <w:pStyle w:val="SangriaFrancesaArticulo"/>
      </w:pPr>
      <w:r w:rsidRPr="00DA359F">
        <w:rPr>
          <w:rStyle w:val="TextoNormalNegritaCaracter"/>
        </w:rPr>
        <w:t>Artículo 20.2.</w:t>
      </w:r>
      <w:r w:rsidRPr="00DA359F">
        <w:rPr>
          <w:rStyle w:val="TextoNormalCaracter"/>
        </w:rPr>
        <w:t>-</w:t>
      </w:r>
      <w:r>
        <w:t xml:space="preserve"> Auto </w:t>
      </w:r>
      <w:hyperlink w:anchor="AUTO_2023_602" w:history="1">
        <w:r w:rsidRPr="00DA359F">
          <w:rPr>
            <w:rStyle w:val="TextoNormalCaracter"/>
          </w:rPr>
          <w:t>602/2023</w:t>
        </w:r>
      </w:hyperlink>
      <w:r>
        <w:t>, f. único.</w:t>
      </w:r>
    </w:p>
    <w:p w14:paraId="249AA45E" w14:textId="33F7706A" w:rsidR="00DA359F" w:rsidRDefault="00DA359F" w:rsidP="00DA359F">
      <w:pPr>
        <w:pStyle w:val="SangriaFrancesaArticulo"/>
      </w:pPr>
      <w:r w:rsidRPr="00DA359F">
        <w:rPr>
          <w:rStyle w:val="TextoNormalNegritaCaracter"/>
        </w:rPr>
        <w:t>Artículo 20.3.</w:t>
      </w:r>
      <w:r w:rsidRPr="00DA359F">
        <w:rPr>
          <w:rStyle w:val="TextoNormalCaracter"/>
        </w:rPr>
        <w:t>-</w:t>
      </w:r>
      <w:r>
        <w:t xml:space="preserve"> Auto </w:t>
      </w:r>
      <w:hyperlink w:anchor="AUTO_2023_602" w:history="1">
        <w:r w:rsidRPr="00DA359F">
          <w:rPr>
            <w:rStyle w:val="TextoNormalCaracter"/>
          </w:rPr>
          <w:t>602/2023</w:t>
        </w:r>
      </w:hyperlink>
      <w:r>
        <w:t>, f. único.</w:t>
      </w:r>
    </w:p>
    <w:p w14:paraId="11086F1C" w14:textId="008D3961" w:rsidR="00DA359F" w:rsidRDefault="00DA359F" w:rsidP="00DA359F">
      <w:pPr>
        <w:pStyle w:val="SangriaFrancesaArticulo"/>
      </w:pPr>
      <w:r w:rsidRPr="00DA359F">
        <w:rPr>
          <w:rStyle w:val="TextoNormalNegritaCaracter"/>
        </w:rPr>
        <w:t>Artículos 40 a 43.</w:t>
      </w:r>
      <w:r w:rsidRPr="00DA359F">
        <w:rPr>
          <w:rStyle w:val="TextoNormalCaracter"/>
        </w:rPr>
        <w:t>-</w:t>
      </w:r>
      <w:r>
        <w:t xml:space="preserve"> Sentencia </w:t>
      </w:r>
      <w:hyperlink w:anchor="SENTENCIA_2023_123" w:history="1">
        <w:r w:rsidRPr="00DA359F">
          <w:rPr>
            <w:rStyle w:val="TextoNormalCaracter"/>
          </w:rPr>
          <w:t>123/2023</w:t>
        </w:r>
      </w:hyperlink>
      <w:r>
        <w:t>, f. 2.</w:t>
      </w:r>
    </w:p>
    <w:p w14:paraId="0563D658" w14:textId="110ECFD8" w:rsidR="00DA359F" w:rsidRDefault="00DA359F" w:rsidP="00DA359F">
      <w:pPr>
        <w:pStyle w:val="SangriaFrancesaArticulo"/>
      </w:pPr>
      <w:r w:rsidRPr="00DA359F">
        <w:rPr>
          <w:rStyle w:val="TextoNormalNegritaCaracter"/>
        </w:rPr>
        <w:t>Artículo 130.2.</w:t>
      </w:r>
      <w:r w:rsidRPr="00DA359F">
        <w:rPr>
          <w:rStyle w:val="TextoNormalCaracter"/>
        </w:rPr>
        <w:t>-</w:t>
      </w:r>
      <w:r>
        <w:t xml:space="preserve"> Auto </w:t>
      </w:r>
      <w:hyperlink w:anchor="AUTO_2023_490" w:history="1">
        <w:r w:rsidRPr="00DA359F">
          <w:rPr>
            <w:rStyle w:val="TextoNormalCaracter"/>
          </w:rPr>
          <w:t>490/2023</w:t>
        </w:r>
      </w:hyperlink>
      <w:r>
        <w:t>, f. 1.</w:t>
      </w:r>
    </w:p>
    <w:p w14:paraId="49C6A6A4" w14:textId="3FF744F5" w:rsidR="00DA359F" w:rsidRDefault="00DA359F" w:rsidP="00DA359F">
      <w:pPr>
        <w:pStyle w:val="SangriaFrancesaArticulo"/>
      </w:pPr>
      <w:r w:rsidRPr="00DA359F">
        <w:rPr>
          <w:rStyle w:val="TextoNormalNegritaCaracter"/>
        </w:rPr>
        <w:t>Artículo 136.</w:t>
      </w:r>
      <w:r w:rsidRPr="00DA359F">
        <w:rPr>
          <w:rStyle w:val="TextoNormalCaracter"/>
        </w:rPr>
        <w:t>-</w:t>
      </w:r>
      <w:r>
        <w:t xml:space="preserve"> Sentencia </w:t>
      </w:r>
      <w:hyperlink w:anchor="SENTENCIA_2023_172" w:history="1">
        <w:r w:rsidRPr="00DA359F">
          <w:rPr>
            <w:rStyle w:val="TextoNormalCaracter"/>
          </w:rPr>
          <w:t>172/2023</w:t>
        </w:r>
      </w:hyperlink>
      <w:r>
        <w:t>, f. 4.</w:t>
      </w:r>
    </w:p>
    <w:p w14:paraId="4822EC14" w14:textId="1004A9FB" w:rsidR="00DA359F" w:rsidRDefault="00DA359F" w:rsidP="00DA359F">
      <w:pPr>
        <w:pStyle w:val="SangriaFrancesaArticulo"/>
      </w:pPr>
      <w:r w:rsidRPr="00DA359F">
        <w:rPr>
          <w:rStyle w:val="TextoNormalNegritaCaracter"/>
        </w:rPr>
        <w:t>Artículo 155.1.</w:t>
      </w:r>
      <w:r w:rsidRPr="00DA359F">
        <w:rPr>
          <w:rStyle w:val="TextoNormalCaracter"/>
        </w:rPr>
        <w:t>-</w:t>
      </w:r>
      <w:r>
        <w:t xml:space="preserve"> Sentencias </w:t>
      </w:r>
      <w:hyperlink w:anchor="SENTENCIA_2023_122" w:history="1">
        <w:r w:rsidRPr="00DA359F">
          <w:rPr>
            <w:rStyle w:val="TextoNormalCaracter"/>
          </w:rPr>
          <w:t>122/2023</w:t>
        </w:r>
      </w:hyperlink>
      <w:r>
        <w:t xml:space="preserve">, f. único; </w:t>
      </w:r>
      <w:hyperlink w:anchor="SENTENCIA_2023_138" w:history="1">
        <w:r w:rsidRPr="00DA359F">
          <w:rPr>
            <w:rStyle w:val="TextoNormalCaracter"/>
          </w:rPr>
          <w:t>138/2023</w:t>
        </w:r>
      </w:hyperlink>
      <w:r>
        <w:t>, f. único.</w:t>
      </w:r>
    </w:p>
    <w:p w14:paraId="1CC8FE27" w14:textId="6E203701" w:rsidR="00DA359F" w:rsidRDefault="00DA359F" w:rsidP="00DA359F">
      <w:pPr>
        <w:pStyle w:val="SangriaFrancesaArticulo"/>
      </w:pPr>
      <w:r w:rsidRPr="00DA359F">
        <w:rPr>
          <w:rStyle w:val="TextoNormalNegritaCaracter"/>
        </w:rPr>
        <w:t>Artículo 155.2.</w:t>
      </w:r>
      <w:r w:rsidRPr="00DA359F">
        <w:rPr>
          <w:rStyle w:val="TextoNormalCaracter"/>
        </w:rPr>
        <w:t>-</w:t>
      </w:r>
      <w:r>
        <w:t xml:space="preserve"> Sentencia </w:t>
      </w:r>
      <w:hyperlink w:anchor="SENTENCIA_2023_137" w:history="1">
        <w:r w:rsidRPr="00DA359F">
          <w:rPr>
            <w:rStyle w:val="TextoNormalCaracter"/>
          </w:rPr>
          <w:t>137/2023</w:t>
        </w:r>
      </w:hyperlink>
      <w:r>
        <w:t>, f. 3.</w:t>
      </w:r>
    </w:p>
    <w:p w14:paraId="56110A29" w14:textId="01CF853D" w:rsidR="00DA359F" w:rsidRDefault="00DA359F" w:rsidP="00DA359F">
      <w:pPr>
        <w:pStyle w:val="SangriaFrancesaArticulo"/>
      </w:pPr>
      <w:r w:rsidRPr="00DA359F">
        <w:rPr>
          <w:rStyle w:val="TextoNormalNegritaCaracter"/>
        </w:rPr>
        <w:t>Artículo 205.2.</w:t>
      </w:r>
      <w:r w:rsidRPr="00DA359F">
        <w:rPr>
          <w:rStyle w:val="TextoNormalCaracter"/>
        </w:rPr>
        <w:t>-</w:t>
      </w:r>
      <w:r>
        <w:t xml:space="preserve"> Sentencia </w:t>
      </w:r>
      <w:hyperlink w:anchor="SENTENCIA_2023_90" w:history="1">
        <w:r w:rsidRPr="00DA359F">
          <w:rPr>
            <w:rStyle w:val="TextoNormalCaracter"/>
          </w:rPr>
          <w:t>90/2023</w:t>
        </w:r>
      </w:hyperlink>
      <w:r>
        <w:t>, f. 4.</w:t>
      </w:r>
    </w:p>
    <w:p w14:paraId="1E65A1AA" w14:textId="11252BB6" w:rsidR="00DA359F" w:rsidRDefault="00DA359F" w:rsidP="00DA359F">
      <w:pPr>
        <w:pStyle w:val="SangriaFrancesaArticulo"/>
      </w:pPr>
      <w:r w:rsidRPr="00DA359F">
        <w:rPr>
          <w:rStyle w:val="TextoNormalNegritaCaracter"/>
        </w:rPr>
        <w:t>Artículo 206.2.1.</w:t>
      </w:r>
      <w:r w:rsidRPr="00DA359F">
        <w:rPr>
          <w:rStyle w:val="TextoNormalCaracter"/>
        </w:rPr>
        <w:t>-</w:t>
      </w:r>
      <w:r>
        <w:t xml:space="preserve"> Auto </w:t>
      </w:r>
      <w:hyperlink w:anchor="AUTO_2023_353" w:history="1">
        <w:r w:rsidRPr="00DA359F">
          <w:rPr>
            <w:rStyle w:val="TextoNormalCaracter"/>
          </w:rPr>
          <w:t>353/2023</w:t>
        </w:r>
      </w:hyperlink>
      <w:r>
        <w:t>, f. 3.</w:t>
      </w:r>
    </w:p>
    <w:p w14:paraId="50318FA8" w14:textId="4BCDD853" w:rsidR="00DA359F" w:rsidRDefault="00DA359F" w:rsidP="00DA359F">
      <w:pPr>
        <w:pStyle w:val="SangriaFrancesaArticulo"/>
      </w:pPr>
      <w:r w:rsidRPr="00DA359F">
        <w:rPr>
          <w:rStyle w:val="TextoNormalNegritaCaracter"/>
        </w:rPr>
        <w:t>Artículo 207.3.</w:t>
      </w:r>
      <w:r w:rsidRPr="00DA359F">
        <w:rPr>
          <w:rStyle w:val="TextoNormalCaracter"/>
        </w:rPr>
        <w:t>-</w:t>
      </w:r>
      <w:r>
        <w:t xml:space="preserve"> Sentencia </w:t>
      </w:r>
      <w:hyperlink w:anchor="SENTENCIA_2023_172" w:history="1">
        <w:r w:rsidRPr="00DA359F">
          <w:rPr>
            <w:rStyle w:val="TextoNormalCaracter"/>
          </w:rPr>
          <w:t>172/2023</w:t>
        </w:r>
      </w:hyperlink>
      <w:r>
        <w:t>, f. 4.</w:t>
      </w:r>
    </w:p>
    <w:p w14:paraId="1EDBF330" w14:textId="3C37C186" w:rsidR="00DA359F" w:rsidRDefault="00DA359F" w:rsidP="00DA359F">
      <w:pPr>
        <w:pStyle w:val="SangriaFrancesaArticulo"/>
      </w:pPr>
      <w:r w:rsidRPr="00DA359F">
        <w:rPr>
          <w:rStyle w:val="TextoNormalNegritaCaracter"/>
        </w:rPr>
        <w:t>Artículo 207.4.</w:t>
      </w:r>
      <w:r w:rsidRPr="00DA359F">
        <w:rPr>
          <w:rStyle w:val="TextoNormalCaracter"/>
        </w:rPr>
        <w:t>-</w:t>
      </w:r>
      <w:r>
        <w:t xml:space="preserve"> Sentencia </w:t>
      </w:r>
      <w:hyperlink w:anchor="SENTENCIA_2023_172" w:history="1">
        <w:r w:rsidRPr="00DA359F">
          <w:rPr>
            <w:rStyle w:val="TextoNormalCaracter"/>
          </w:rPr>
          <w:t>172/2023</w:t>
        </w:r>
      </w:hyperlink>
      <w:r>
        <w:t>, f. 4.</w:t>
      </w:r>
    </w:p>
    <w:p w14:paraId="51554F77" w14:textId="7A3886D5" w:rsidR="00DA359F" w:rsidRDefault="00DA359F" w:rsidP="00DA359F">
      <w:pPr>
        <w:pStyle w:val="SangriaFrancesaArticulo"/>
      </w:pPr>
      <w:r w:rsidRPr="00DA359F">
        <w:rPr>
          <w:rStyle w:val="TextoNormalNegritaCaracter"/>
        </w:rPr>
        <w:t>Artículo 225.3.</w:t>
      </w:r>
      <w:r w:rsidRPr="00DA359F">
        <w:rPr>
          <w:rStyle w:val="TextoNormalCaracter"/>
        </w:rPr>
        <w:t>-</w:t>
      </w:r>
      <w:r>
        <w:t xml:space="preserve"> Sentencia </w:t>
      </w:r>
      <w:hyperlink w:anchor="SENTENCIA_2023_156" w:history="1">
        <w:r w:rsidRPr="00DA359F">
          <w:rPr>
            <w:rStyle w:val="TextoNormalCaracter"/>
          </w:rPr>
          <w:t>156/2023</w:t>
        </w:r>
      </w:hyperlink>
      <w:r>
        <w:t>, f. 2.</w:t>
      </w:r>
    </w:p>
    <w:p w14:paraId="74D11091" w14:textId="7003C9B7" w:rsidR="00DA359F" w:rsidRDefault="00DA359F" w:rsidP="00DA359F">
      <w:pPr>
        <w:pStyle w:val="SangriaFrancesaArticulo"/>
      </w:pPr>
      <w:r w:rsidRPr="00DA359F">
        <w:rPr>
          <w:rStyle w:val="TextoNormalNegritaCaracter"/>
        </w:rPr>
        <w:t>Artículo 227.2.</w:t>
      </w:r>
      <w:r w:rsidRPr="00DA359F">
        <w:rPr>
          <w:rStyle w:val="TextoNormalCaracter"/>
        </w:rPr>
        <w:t>-</w:t>
      </w:r>
      <w:r>
        <w:t xml:space="preserve"> Sentencia </w:t>
      </w:r>
      <w:hyperlink w:anchor="SENTENCIA_2023_151" w:history="1">
        <w:r w:rsidRPr="00DA359F">
          <w:rPr>
            <w:rStyle w:val="TextoNormalCaracter"/>
          </w:rPr>
          <w:t>151/2023</w:t>
        </w:r>
      </w:hyperlink>
      <w:r>
        <w:t>, f. 2.</w:t>
      </w:r>
    </w:p>
    <w:p w14:paraId="4EE5F4CB" w14:textId="73178B62" w:rsidR="00DA359F" w:rsidRDefault="00DA359F" w:rsidP="00DA359F">
      <w:pPr>
        <w:pStyle w:val="SangriaFrancesaArticulo"/>
      </w:pPr>
      <w:r w:rsidRPr="00DA359F">
        <w:rPr>
          <w:rStyle w:val="TextoNormalNegritaCaracter"/>
        </w:rPr>
        <w:t>Artículo 228.</w:t>
      </w:r>
      <w:r w:rsidRPr="00DA359F">
        <w:rPr>
          <w:rStyle w:val="TextoNormalCaracter"/>
        </w:rPr>
        <w:t>-</w:t>
      </w:r>
      <w:r>
        <w:t xml:space="preserve"> Sentencia </w:t>
      </w:r>
      <w:hyperlink w:anchor="SENTENCIA_2023_151" w:history="1">
        <w:r w:rsidRPr="00DA359F">
          <w:rPr>
            <w:rStyle w:val="TextoNormalCaracter"/>
          </w:rPr>
          <w:t>151/2023</w:t>
        </w:r>
      </w:hyperlink>
      <w:r>
        <w:t>, ff. 1, 2.</w:t>
      </w:r>
    </w:p>
    <w:p w14:paraId="70596251" w14:textId="67537F63" w:rsidR="00DA359F" w:rsidRDefault="00DA359F" w:rsidP="00DA359F">
      <w:pPr>
        <w:pStyle w:val="SangriaFrancesaArticulo"/>
      </w:pPr>
      <w:r w:rsidRPr="00DA359F">
        <w:rPr>
          <w:rStyle w:val="TextoNormalNegritaCaracter"/>
        </w:rPr>
        <w:t>Artículo 228.1.</w:t>
      </w:r>
      <w:r w:rsidRPr="00DA359F">
        <w:rPr>
          <w:rStyle w:val="TextoNormalCaracter"/>
        </w:rPr>
        <w:t>-</w:t>
      </w:r>
      <w:r>
        <w:t xml:space="preserve"> Sentencia </w:t>
      </w:r>
      <w:hyperlink w:anchor="SENTENCIA_2023_151" w:history="1">
        <w:r w:rsidRPr="00DA359F">
          <w:rPr>
            <w:rStyle w:val="TextoNormalCaracter"/>
          </w:rPr>
          <w:t>151/2023</w:t>
        </w:r>
      </w:hyperlink>
      <w:r>
        <w:t>, f. 2.</w:t>
      </w:r>
    </w:p>
    <w:p w14:paraId="032EA2CF" w14:textId="488E0C01" w:rsidR="00DA359F" w:rsidRDefault="00DA359F" w:rsidP="00DA359F">
      <w:pPr>
        <w:pStyle w:val="SangriaFrancesaArticulo"/>
      </w:pPr>
      <w:r w:rsidRPr="00DA359F">
        <w:rPr>
          <w:rStyle w:val="TextoNormalNegritaCaracter"/>
        </w:rPr>
        <w:t>Artículo 228.1 párrafo 2.</w:t>
      </w:r>
      <w:r w:rsidRPr="00DA359F">
        <w:rPr>
          <w:rStyle w:val="TextoNormalCaracter"/>
        </w:rPr>
        <w:t>-</w:t>
      </w:r>
      <w:r>
        <w:t xml:space="preserve"> Sentencia </w:t>
      </w:r>
      <w:hyperlink w:anchor="SENTENCIA_2023_151" w:history="1">
        <w:r w:rsidRPr="00DA359F">
          <w:rPr>
            <w:rStyle w:val="TextoNormalCaracter"/>
          </w:rPr>
          <w:t>151/2023</w:t>
        </w:r>
      </w:hyperlink>
      <w:r>
        <w:t>, f. 2.</w:t>
      </w:r>
    </w:p>
    <w:p w14:paraId="4A8D1D43" w14:textId="555D23CA" w:rsidR="00DA359F" w:rsidRDefault="00DA359F" w:rsidP="00DA359F">
      <w:pPr>
        <w:pStyle w:val="SangriaFrancesaArticulo"/>
      </w:pPr>
      <w:r w:rsidRPr="00DA359F">
        <w:rPr>
          <w:rStyle w:val="TextoNormalNegritaCaracter"/>
        </w:rPr>
        <w:t>Artículo 273.4.</w:t>
      </w:r>
      <w:r w:rsidRPr="00DA359F">
        <w:rPr>
          <w:rStyle w:val="TextoNormalCaracter"/>
        </w:rPr>
        <w:t>-</w:t>
      </w:r>
      <w:r>
        <w:t xml:space="preserve"> Sentencias </w:t>
      </w:r>
      <w:hyperlink w:anchor="SENTENCIA_2023_122" w:history="1">
        <w:r w:rsidRPr="00DA359F">
          <w:rPr>
            <w:rStyle w:val="TextoNormalCaracter"/>
          </w:rPr>
          <w:t>122/2023</w:t>
        </w:r>
      </w:hyperlink>
      <w:r>
        <w:t xml:space="preserve">, f. único; </w:t>
      </w:r>
      <w:hyperlink w:anchor="SENTENCIA_2023_138" w:history="1">
        <w:r w:rsidRPr="00DA359F">
          <w:rPr>
            <w:rStyle w:val="TextoNormalCaracter"/>
          </w:rPr>
          <w:t>138/2023</w:t>
        </w:r>
      </w:hyperlink>
      <w:r>
        <w:t>, f. único.</w:t>
      </w:r>
    </w:p>
    <w:p w14:paraId="4E448ED7" w14:textId="0348B918" w:rsidR="00DA359F" w:rsidRDefault="00DA359F" w:rsidP="00DA359F">
      <w:pPr>
        <w:pStyle w:val="SangriaFrancesaArticulo"/>
      </w:pPr>
      <w:r w:rsidRPr="00DA359F">
        <w:rPr>
          <w:rStyle w:val="TextoNormalNegritaCaracter"/>
        </w:rPr>
        <w:t>Artículo 301.</w:t>
      </w:r>
      <w:r w:rsidRPr="00DA359F">
        <w:rPr>
          <w:rStyle w:val="TextoNormalCaracter"/>
        </w:rPr>
        <w:t>-</w:t>
      </w:r>
      <w:r>
        <w:t xml:space="preserve"> Sentencia </w:t>
      </w:r>
      <w:hyperlink w:anchor="SENTENCIA_2023_148" w:history="1">
        <w:r w:rsidRPr="00DA359F">
          <w:rPr>
            <w:rStyle w:val="TextoNormalCaracter"/>
          </w:rPr>
          <w:t>148/2023</w:t>
        </w:r>
      </w:hyperlink>
      <w:r>
        <w:t>, f. 3.</w:t>
      </w:r>
    </w:p>
    <w:p w14:paraId="60EDFA80" w14:textId="1DB606ED" w:rsidR="00DA359F" w:rsidRDefault="00DA359F" w:rsidP="00DA359F">
      <w:pPr>
        <w:pStyle w:val="SangriaFrancesaArticulo"/>
      </w:pPr>
      <w:r w:rsidRPr="00DA359F">
        <w:rPr>
          <w:rStyle w:val="TextoNormalNegritaCaracter"/>
        </w:rPr>
        <w:t>Artículo 394.</w:t>
      </w:r>
      <w:r w:rsidRPr="00DA359F">
        <w:rPr>
          <w:rStyle w:val="TextoNormalCaracter"/>
        </w:rPr>
        <w:t>-</w:t>
      </w:r>
      <w:r>
        <w:t xml:space="preserve"> Sentencia </w:t>
      </w:r>
      <w:hyperlink w:anchor="SENTENCIA_2023_91" w:history="1">
        <w:r w:rsidRPr="00DA359F">
          <w:rPr>
            <w:rStyle w:val="TextoNormalCaracter"/>
          </w:rPr>
          <w:t>91/2023</w:t>
        </w:r>
      </w:hyperlink>
      <w:r>
        <w:t>, f. 4.</w:t>
      </w:r>
    </w:p>
    <w:p w14:paraId="20AD79DF" w14:textId="585BF2B3" w:rsidR="00DA359F" w:rsidRDefault="00DA359F" w:rsidP="00DA359F">
      <w:pPr>
        <w:pStyle w:val="SangriaFrancesaArticulo"/>
      </w:pPr>
      <w:r w:rsidRPr="00DA359F">
        <w:rPr>
          <w:rStyle w:val="TextoNormalNegritaCaracter"/>
        </w:rPr>
        <w:t>Artículo 394.1.</w:t>
      </w:r>
      <w:r w:rsidRPr="00DA359F">
        <w:rPr>
          <w:rStyle w:val="TextoNormalCaracter"/>
        </w:rPr>
        <w:t>-</w:t>
      </w:r>
      <w:r>
        <w:t xml:space="preserve"> Sentencia </w:t>
      </w:r>
      <w:hyperlink w:anchor="SENTENCIA_2023_91" w:history="1">
        <w:r w:rsidRPr="00DA359F">
          <w:rPr>
            <w:rStyle w:val="TextoNormalCaracter"/>
          </w:rPr>
          <w:t>91/2023</w:t>
        </w:r>
      </w:hyperlink>
      <w:r>
        <w:t>, f. 4.</w:t>
      </w:r>
    </w:p>
    <w:p w14:paraId="7F2E0C17" w14:textId="0F00180F" w:rsidR="00DA359F" w:rsidRDefault="00DA359F" w:rsidP="00DA359F">
      <w:pPr>
        <w:pStyle w:val="SangriaFrancesaArticulo"/>
      </w:pPr>
      <w:r w:rsidRPr="00DA359F">
        <w:rPr>
          <w:rStyle w:val="TextoNormalNegritaCaracter"/>
        </w:rPr>
        <w:t>Artículo 552.1</w:t>
      </w:r>
      <w:r>
        <w:t xml:space="preserve"> (redactado por la Ley 1/2013, de 14 de mayo)</w:t>
      </w:r>
      <w:r w:rsidRPr="00DA359F">
        <w:rPr>
          <w:rStyle w:val="TextoNormalNegritaCaracter"/>
        </w:rPr>
        <w:t>.</w:t>
      </w:r>
      <w:r w:rsidRPr="00DA359F">
        <w:rPr>
          <w:rStyle w:val="TextoNormalCaracter"/>
        </w:rPr>
        <w:t>-</w:t>
      </w:r>
      <w:r>
        <w:t xml:space="preserve"> Sentencia </w:t>
      </w:r>
      <w:hyperlink w:anchor="SENTENCIA_2023_172" w:history="1">
        <w:r w:rsidRPr="00DA359F">
          <w:rPr>
            <w:rStyle w:val="TextoNormalCaracter"/>
          </w:rPr>
          <w:t>172/2023</w:t>
        </w:r>
      </w:hyperlink>
      <w:r>
        <w:t>, f. 2.</w:t>
      </w:r>
    </w:p>
    <w:p w14:paraId="37C56ADB" w14:textId="3EE3E2C1" w:rsidR="00DA359F" w:rsidRDefault="00DA359F" w:rsidP="00DA359F">
      <w:pPr>
        <w:pStyle w:val="SangriaFrancesaArticulo"/>
      </w:pPr>
      <w:r w:rsidRPr="00DA359F">
        <w:rPr>
          <w:rStyle w:val="TextoNormalNegritaCaracter"/>
        </w:rPr>
        <w:t>Artículo 695</w:t>
      </w:r>
      <w:r>
        <w:t xml:space="preserve"> (redactado por la Ley 1/2013, de 14 de mayo)</w:t>
      </w:r>
      <w:r w:rsidRPr="00DA359F">
        <w:rPr>
          <w:rStyle w:val="TextoNormalNegritaCaracter"/>
        </w:rPr>
        <w:t>.</w:t>
      </w:r>
      <w:r w:rsidRPr="00DA359F">
        <w:rPr>
          <w:rStyle w:val="TextoNormalCaracter"/>
        </w:rPr>
        <w:t>-</w:t>
      </w:r>
      <w:r>
        <w:t xml:space="preserve"> Sentencia </w:t>
      </w:r>
      <w:hyperlink w:anchor="SENTENCIA_2023_172" w:history="1">
        <w:r w:rsidRPr="00DA359F">
          <w:rPr>
            <w:rStyle w:val="TextoNormalCaracter"/>
          </w:rPr>
          <w:t>172/2023</w:t>
        </w:r>
      </w:hyperlink>
      <w:r>
        <w:t>, f. 2.</w:t>
      </w:r>
    </w:p>
    <w:p w14:paraId="3081F824" w14:textId="4F9F3CC0" w:rsidR="00DA359F" w:rsidRDefault="00DA359F" w:rsidP="00DA359F">
      <w:pPr>
        <w:pStyle w:val="SangriaFrancesaArticulo"/>
      </w:pPr>
      <w:r w:rsidRPr="00DA359F">
        <w:rPr>
          <w:rStyle w:val="TextoNormalNegritaCaracter"/>
        </w:rPr>
        <w:t>Artículo 706.</w:t>
      </w:r>
      <w:r w:rsidRPr="00DA359F">
        <w:rPr>
          <w:rStyle w:val="TextoNormalCaracter"/>
        </w:rPr>
        <w:t>-</w:t>
      </w:r>
      <w:r>
        <w:t xml:space="preserve"> Sentencia </w:t>
      </w:r>
      <w:hyperlink w:anchor="SENTENCIA_2023_123" w:history="1">
        <w:r w:rsidRPr="00DA359F">
          <w:rPr>
            <w:rStyle w:val="TextoNormalCaracter"/>
          </w:rPr>
          <w:t>123/2023</w:t>
        </w:r>
      </w:hyperlink>
      <w:r>
        <w:t>, f. 1.</w:t>
      </w:r>
    </w:p>
    <w:p w14:paraId="2362168C" w14:textId="4D0FA38C" w:rsidR="00DA359F" w:rsidRDefault="00DA359F" w:rsidP="00DA359F">
      <w:pPr>
        <w:pStyle w:val="SangriaFrancesaArticulo"/>
      </w:pPr>
      <w:r w:rsidRPr="00DA359F">
        <w:rPr>
          <w:rStyle w:val="TextoNormalNegritaCaracter"/>
        </w:rPr>
        <w:t>Artículo 728.2.</w:t>
      </w:r>
      <w:r w:rsidRPr="00DA359F">
        <w:rPr>
          <w:rStyle w:val="TextoNormalCaracter"/>
        </w:rPr>
        <w:t>-</w:t>
      </w:r>
      <w:r>
        <w:t xml:space="preserve"> Auto </w:t>
      </w:r>
      <w:hyperlink w:anchor="AUTO_2023_334" w:history="1">
        <w:r w:rsidRPr="00DA359F">
          <w:rPr>
            <w:rStyle w:val="TextoNormalCaracter"/>
          </w:rPr>
          <w:t>334/2023</w:t>
        </w:r>
      </w:hyperlink>
      <w:r>
        <w:t>, f. 4.</w:t>
      </w:r>
    </w:p>
    <w:p w14:paraId="7EACCBD5" w14:textId="4614B49F" w:rsidR="00DA359F" w:rsidRDefault="00DA359F" w:rsidP="00DA359F">
      <w:pPr>
        <w:pStyle w:val="SangriaFrancesaArticulo"/>
      </w:pPr>
    </w:p>
    <w:p w14:paraId="7803B770" w14:textId="77777777" w:rsidR="00DA359F" w:rsidRDefault="00DA359F" w:rsidP="00DA359F">
      <w:pPr>
        <w:pStyle w:val="TextoNormalNegritaCursivandice"/>
        <w:keepNext/>
      </w:pPr>
      <w:r>
        <w:t>Ley 22/2001, de 27 de diciembre. Reguladora de los fondos de compensación interterritorial</w:t>
      </w:r>
    </w:p>
    <w:p w14:paraId="11ACB7B2" w14:textId="1422A2B1"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149" w:history="1">
        <w:r w:rsidRPr="00DA359F">
          <w:rPr>
            <w:rStyle w:val="TextoNormalCaracter"/>
          </w:rPr>
          <w:t>149/2023</w:t>
        </w:r>
      </w:hyperlink>
      <w:r>
        <w:t>, VP.</w:t>
      </w:r>
    </w:p>
    <w:p w14:paraId="6CB9E43C" w14:textId="745932B8" w:rsidR="00DA359F" w:rsidRDefault="00DA359F" w:rsidP="00DA359F">
      <w:pPr>
        <w:pStyle w:val="SangriaFrancesaArticulo"/>
      </w:pPr>
      <w:r w:rsidRPr="00DA359F">
        <w:rPr>
          <w:rStyle w:val="TextoNormalNegritaCaracter"/>
        </w:rPr>
        <w:t>Artículo 47.</w:t>
      </w:r>
      <w:r w:rsidRPr="00DA359F">
        <w:rPr>
          <w:rStyle w:val="TextoNormalCaracter"/>
        </w:rPr>
        <w:t>-</w:t>
      </w:r>
      <w:r>
        <w:t xml:space="preserve"> Sentencia </w:t>
      </w:r>
      <w:hyperlink w:anchor="SENTENCIA_2023_149" w:history="1">
        <w:r w:rsidRPr="00DA359F">
          <w:rPr>
            <w:rStyle w:val="TextoNormalCaracter"/>
          </w:rPr>
          <w:t>149/2023</w:t>
        </w:r>
      </w:hyperlink>
      <w:r>
        <w:t>, VP.</w:t>
      </w:r>
    </w:p>
    <w:p w14:paraId="08A8D69C" w14:textId="503DC4F6" w:rsidR="00DA359F" w:rsidRDefault="00DA359F" w:rsidP="00DA359F">
      <w:pPr>
        <w:pStyle w:val="SangriaFrancesaArticulo"/>
      </w:pPr>
    </w:p>
    <w:p w14:paraId="3C80A686" w14:textId="77777777" w:rsidR="00DA359F" w:rsidRDefault="00DA359F" w:rsidP="00DA359F">
      <w:pPr>
        <w:pStyle w:val="TextoNormalNegritaCursivandice"/>
        <w:keepNext/>
      </w:pPr>
      <w:r>
        <w:t>Ley 24/2001, de 27 de diciembre, de medidas fiscales, administrativas y del orden social</w:t>
      </w:r>
    </w:p>
    <w:p w14:paraId="7033ECDE" w14:textId="749C968B"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149" w:history="1">
        <w:r w:rsidRPr="00DA359F">
          <w:rPr>
            <w:rStyle w:val="TextoNormalCaracter"/>
          </w:rPr>
          <w:t>149/2023</w:t>
        </w:r>
      </w:hyperlink>
      <w:r>
        <w:t>, f. 2, VP.</w:t>
      </w:r>
    </w:p>
    <w:p w14:paraId="07403675" w14:textId="58388AC1" w:rsidR="00DA359F" w:rsidRDefault="00DA359F" w:rsidP="00DA359F">
      <w:pPr>
        <w:pStyle w:val="SangriaFrancesaArticulo"/>
      </w:pPr>
      <w:r w:rsidRPr="00DA359F">
        <w:rPr>
          <w:rStyle w:val="TextoNormalNegritaCaracter"/>
        </w:rPr>
        <w:t>Capítulo II, sección segunda.</w:t>
      </w:r>
      <w:r w:rsidRPr="00DA359F">
        <w:rPr>
          <w:rStyle w:val="TextoNormalCaracter"/>
        </w:rPr>
        <w:t>-</w:t>
      </w:r>
      <w:r>
        <w:t xml:space="preserve"> Sentencia </w:t>
      </w:r>
      <w:hyperlink w:anchor="SENTENCIA_2023_149" w:history="1">
        <w:r w:rsidRPr="00DA359F">
          <w:rPr>
            <w:rStyle w:val="TextoNormalCaracter"/>
          </w:rPr>
          <w:t>149/2023</w:t>
        </w:r>
      </w:hyperlink>
      <w:r>
        <w:t>, VP.</w:t>
      </w:r>
    </w:p>
    <w:p w14:paraId="2EECF462" w14:textId="71C01F96" w:rsidR="00DA359F" w:rsidRDefault="00DA359F" w:rsidP="00DA359F">
      <w:pPr>
        <w:pStyle w:val="SangriaFrancesaArticulo"/>
      </w:pPr>
      <w:r w:rsidRPr="00DA359F">
        <w:rPr>
          <w:rStyle w:val="TextoNormalNegritaCaracter"/>
        </w:rPr>
        <w:t>Capítulo III.</w:t>
      </w:r>
      <w:r w:rsidRPr="00DA359F">
        <w:rPr>
          <w:rStyle w:val="TextoNormalCaracter"/>
        </w:rPr>
        <w:t>-</w:t>
      </w:r>
      <w:r>
        <w:t xml:space="preserve"> Sentencia </w:t>
      </w:r>
      <w:hyperlink w:anchor="SENTENCIA_2023_149" w:history="1">
        <w:r w:rsidRPr="00DA359F">
          <w:rPr>
            <w:rStyle w:val="TextoNormalCaracter"/>
          </w:rPr>
          <w:t>149/2023</w:t>
        </w:r>
      </w:hyperlink>
      <w:r>
        <w:t>, VP.</w:t>
      </w:r>
    </w:p>
    <w:p w14:paraId="24F0ACAB" w14:textId="401CE0E8" w:rsidR="00DA359F" w:rsidRDefault="00DA359F" w:rsidP="00DA359F">
      <w:pPr>
        <w:pStyle w:val="SangriaFrancesaArticulo"/>
      </w:pPr>
    </w:p>
    <w:p w14:paraId="5E27266E" w14:textId="77777777" w:rsidR="00DA359F" w:rsidRDefault="00DA359F" w:rsidP="00DA359F">
      <w:pPr>
        <w:pStyle w:val="TextoNormalNegritaCursivandice"/>
        <w:keepNext/>
      </w:pPr>
      <w:r>
        <w:t>Ley 34/2002, de 11 de julio, de servicios de la sociedad de la información y de comercio electrónico</w:t>
      </w:r>
    </w:p>
    <w:p w14:paraId="498663B6" w14:textId="0B5E2D7A"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Sentencias </w:t>
      </w:r>
      <w:hyperlink w:anchor="SENTENCIA_2023_83" w:history="1">
        <w:r w:rsidRPr="00DA359F">
          <w:rPr>
            <w:rStyle w:val="TextoNormalCaracter"/>
          </w:rPr>
          <w:t>83/2023</w:t>
        </w:r>
      </w:hyperlink>
      <w:r>
        <w:t xml:space="preserve">, VP II; </w:t>
      </w:r>
      <w:hyperlink w:anchor="SENTENCIA_2023_169" w:history="1">
        <w:r w:rsidRPr="00DA359F">
          <w:rPr>
            <w:rStyle w:val="TextoNormalCaracter"/>
          </w:rPr>
          <w:t>169/2023</w:t>
        </w:r>
      </w:hyperlink>
      <w:r>
        <w:t>, f. 1.</w:t>
      </w:r>
    </w:p>
    <w:p w14:paraId="74C9F2A0" w14:textId="2FC68662" w:rsidR="00DA359F" w:rsidRDefault="00DA359F" w:rsidP="00DA359F">
      <w:pPr>
        <w:pStyle w:val="SangriaFrancesaArticulo"/>
      </w:pPr>
      <w:r w:rsidRPr="00DA359F">
        <w:rPr>
          <w:rStyle w:val="TextoNormalNegritaCaracter"/>
        </w:rPr>
        <w:t>Artículo 16.</w:t>
      </w:r>
      <w:r w:rsidRPr="00DA359F">
        <w:rPr>
          <w:rStyle w:val="TextoNormalCaracter"/>
        </w:rPr>
        <w:t>-</w:t>
      </w:r>
      <w:r>
        <w:t xml:space="preserve"> Sentencia </w:t>
      </w:r>
      <w:hyperlink w:anchor="SENTENCIA_2023_83" w:history="1">
        <w:r w:rsidRPr="00DA359F">
          <w:rPr>
            <w:rStyle w:val="TextoNormalCaracter"/>
          </w:rPr>
          <w:t>83/2023</w:t>
        </w:r>
      </w:hyperlink>
      <w:r>
        <w:t>, ff. 1 a 3, 7, VP I.</w:t>
      </w:r>
    </w:p>
    <w:p w14:paraId="7F244741" w14:textId="2CC4CD54" w:rsidR="00DA359F" w:rsidRDefault="00DA359F" w:rsidP="00DA359F">
      <w:pPr>
        <w:pStyle w:val="SangriaFrancesaArticulo"/>
      </w:pPr>
      <w:r w:rsidRPr="00DA359F">
        <w:rPr>
          <w:rStyle w:val="TextoNormalNegritaCaracter"/>
        </w:rPr>
        <w:t>Artículo 16.1.</w:t>
      </w:r>
      <w:r w:rsidRPr="00DA359F">
        <w:rPr>
          <w:rStyle w:val="TextoNormalCaracter"/>
        </w:rPr>
        <w:t>-</w:t>
      </w:r>
      <w:r>
        <w:t xml:space="preserve"> Sentencia </w:t>
      </w:r>
      <w:hyperlink w:anchor="SENTENCIA_2023_83" w:history="1">
        <w:r w:rsidRPr="00DA359F">
          <w:rPr>
            <w:rStyle w:val="TextoNormalCaracter"/>
          </w:rPr>
          <w:t>83/2023</w:t>
        </w:r>
      </w:hyperlink>
      <w:r>
        <w:t>, VP II.</w:t>
      </w:r>
    </w:p>
    <w:p w14:paraId="348F672C" w14:textId="52D4D035" w:rsidR="00DA359F" w:rsidRDefault="00DA359F" w:rsidP="00DA359F">
      <w:pPr>
        <w:pStyle w:val="SangriaFrancesaArticulo"/>
      </w:pPr>
      <w:r w:rsidRPr="00DA359F">
        <w:rPr>
          <w:rStyle w:val="TextoNormalNegritaCaracter"/>
        </w:rPr>
        <w:t>Artículo 16.1 b).</w:t>
      </w:r>
      <w:r w:rsidRPr="00DA359F">
        <w:rPr>
          <w:rStyle w:val="TextoNormalCaracter"/>
        </w:rPr>
        <w:t>-</w:t>
      </w:r>
      <w:r>
        <w:t xml:space="preserve"> Sentencia </w:t>
      </w:r>
      <w:hyperlink w:anchor="SENTENCIA_2023_83" w:history="1">
        <w:r w:rsidRPr="00DA359F">
          <w:rPr>
            <w:rStyle w:val="TextoNormalCaracter"/>
          </w:rPr>
          <w:t>83/2023</w:t>
        </w:r>
      </w:hyperlink>
      <w:r>
        <w:t>, VP II.</w:t>
      </w:r>
    </w:p>
    <w:p w14:paraId="3AEDE106" w14:textId="0BC5DC7B" w:rsidR="00DA359F" w:rsidRDefault="00DA359F" w:rsidP="00DA359F">
      <w:pPr>
        <w:pStyle w:val="SangriaFrancesaArticulo"/>
      </w:pPr>
      <w:r w:rsidRPr="00DA359F">
        <w:rPr>
          <w:rStyle w:val="TextoNormalNegritaCaracter"/>
        </w:rPr>
        <w:t>Artículo 16.2.</w:t>
      </w:r>
      <w:r w:rsidRPr="00DA359F">
        <w:rPr>
          <w:rStyle w:val="TextoNormalCaracter"/>
        </w:rPr>
        <w:t>-</w:t>
      </w:r>
      <w:r>
        <w:t xml:space="preserve"> Sentencia </w:t>
      </w:r>
      <w:hyperlink w:anchor="SENTENCIA_2023_83" w:history="1">
        <w:r w:rsidRPr="00DA359F">
          <w:rPr>
            <w:rStyle w:val="TextoNormalCaracter"/>
          </w:rPr>
          <w:t>83/2023</w:t>
        </w:r>
      </w:hyperlink>
      <w:r>
        <w:t>, f. 3.</w:t>
      </w:r>
    </w:p>
    <w:p w14:paraId="6746395E" w14:textId="3AD34EB0" w:rsidR="00DA359F" w:rsidRDefault="00DA359F" w:rsidP="00DA359F">
      <w:pPr>
        <w:pStyle w:val="SangriaFrancesaArticulo"/>
      </w:pPr>
      <w:r w:rsidRPr="00DA359F">
        <w:rPr>
          <w:rStyle w:val="TextoNormalNegritaCaracter"/>
        </w:rPr>
        <w:t>artículo 17.</w:t>
      </w:r>
      <w:r w:rsidRPr="00DA359F">
        <w:rPr>
          <w:rStyle w:val="TextoNormalCaracter"/>
        </w:rPr>
        <w:t>-</w:t>
      </w:r>
      <w:r>
        <w:t xml:space="preserve"> Sentencia </w:t>
      </w:r>
      <w:hyperlink w:anchor="SENTENCIA_2023_83" w:history="1">
        <w:r w:rsidRPr="00DA359F">
          <w:rPr>
            <w:rStyle w:val="TextoNormalCaracter"/>
          </w:rPr>
          <w:t>83/2023</w:t>
        </w:r>
      </w:hyperlink>
      <w:r>
        <w:t>, f. 3.</w:t>
      </w:r>
    </w:p>
    <w:p w14:paraId="0942976F" w14:textId="5AB83140" w:rsidR="00DA359F" w:rsidRDefault="00DA359F" w:rsidP="00DA359F">
      <w:pPr>
        <w:pStyle w:val="SangriaFrancesaArticulo"/>
      </w:pPr>
    </w:p>
    <w:p w14:paraId="1C9BB182" w14:textId="77777777" w:rsidR="00DA359F" w:rsidRDefault="00DA359F" w:rsidP="00DA359F">
      <w:pPr>
        <w:pStyle w:val="TextoNormalNegritaCursivandice"/>
        <w:keepNext/>
      </w:pPr>
      <w:r>
        <w:t>Ley 41/2002, de 14 de noviembre, básica reguladora de la autonomía del paciente y de derechos y obligaciones en materia de información y documentación clínica</w:t>
      </w:r>
    </w:p>
    <w:p w14:paraId="7B8F2CFD" w14:textId="3CCC9765"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Sentencias </w:t>
      </w:r>
      <w:hyperlink w:anchor="SENTENCIA_2023_94" w:history="1">
        <w:r w:rsidRPr="00DA359F">
          <w:rPr>
            <w:rStyle w:val="TextoNormalCaracter"/>
          </w:rPr>
          <w:t>94/2023</w:t>
        </w:r>
      </w:hyperlink>
      <w:r>
        <w:t xml:space="preserve">, VP III; </w:t>
      </w:r>
      <w:hyperlink w:anchor="SENTENCIA_2023_148" w:history="1">
        <w:r w:rsidRPr="00DA359F">
          <w:rPr>
            <w:rStyle w:val="TextoNormalCaracter"/>
          </w:rPr>
          <w:t>148/2023</w:t>
        </w:r>
      </w:hyperlink>
      <w:r>
        <w:t>, ff. 4, 5.</w:t>
      </w:r>
    </w:p>
    <w:p w14:paraId="0A6A6921" w14:textId="73FF38C3" w:rsidR="00DA359F" w:rsidRDefault="00DA359F" w:rsidP="00DA359F">
      <w:pPr>
        <w:pStyle w:val="SangriaFrancesaArticulo"/>
      </w:pPr>
      <w:r w:rsidRPr="00DA359F">
        <w:rPr>
          <w:rStyle w:val="TextoNormalNegritaCaracter"/>
        </w:rPr>
        <w:t>Artículo 4.</w:t>
      </w:r>
      <w:r w:rsidRPr="00DA359F">
        <w:rPr>
          <w:rStyle w:val="TextoNormalCaracter"/>
        </w:rPr>
        <w:t>-</w:t>
      </w:r>
      <w:r>
        <w:t xml:space="preserve"> Sentencia </w:t>
      </w:r>
      <w:hyperlink w:anchor="SENTENCIA_2023_148" w:history="1">
        <w:r w:rsidRPr="00DA359F">
          <w:rPr>
            <w:rStyle w:val="TextoNormalCaracter"/>
          </w:rPr>
          <w:t>148/2023</w:t>
        </w:r>
      </w:hyperlink>
      <w:r>
        <w:t>, f. 5.</w:t>
      </w:r>
    </w:p>
    <w:p w14:paraId="36A8CE63" w14:textId="6C78DF1C" w:rsidR="00DA359F" w:rsidRDefault="00DA359F" w:rsidP="00DA359F">
      <w:pPr>
        <w:pStyle w:val="SangriaFrancesaArticulo"/>
      </w:pPr>
      <w:r w:rsidRPr="00DA359F">
        <w:rPr>
          <w:rStyle w:val="TextoNormalNegritaCaracter"/>
        </w:rPr>
        <w:t>Artículo 4.2.</w:t>
      </w:r>
      <w:r w:rsidRPr="00DA359F">
        <w:rPr>
          <w:rStyle w:val="TextoNormalCaracter"/>
        </w:rPr>
        <w:t>-</w:t>
      </w:r>
      <w:r>
        <w:t xml:space="preserve"> Sentencia </w:t>
      </w:r>
      <w:hyperlink w:anchor="SENTENCIA_2023_148" w:history="1">
        <w:r w:rsidRPr="00DA359F">
          <w:rPr>
            <w:rStyle w:val="TextoNormalCaracter"/>
          </w:rPr>
          <w:t>148/2023</w:t>
        </w:r>
      </w:hyperlink>
      <w:r>
        <w:t>, f. 5.</w:t>
      </w:r>
    </w:p>
    <w:p w14:paraId="68949CF2" w14:textId="44423D98" w:rsidR="00DA359F" w:rsidRDefault="00DA359F" w:rsidP="00DA359F">
      <w:pPr>
        <w:pStyle w:val="SangriaFrancesaArticulo"/>
      </w:pPr>
      <w:r w:rsidRPr="00DA359F">
        <w:rPr>
          <w:rStyle w:val="TextoNormalNegritaCaracter"/>
        </w:rPr>
        <w:t>Artículo 9.</w:t>
      </w:r>
      <w:r w:rsidRPr="00DA359F">
        <w:rPr>
          <w:rStyle w:val="TextoNormalCaracter"/>
        </w:rPr>
        <w:t>-</w:t>
      </w:r>
      <w:r>
        <w:t xml:space="preserve"> Sentencia </w:t>
      </w:r>
      <w:hyperlink w:anchor="SENTENCIA_2023_146" w:history="1">
        <w:r w:rsidRPr="00DA359F">
          <w:rPr>
            <w:rStyle w:val="TextoNormalCaracter"/>
          </w:rPr>
          <w:t>146/2023</w:t>
        </w:r>
      </w:hyperlink>
      <w:r>
        <w:t>, f. 1.</w:t>
      </w:r>
    </w:p>
    <w:p w14:paraId="37610656" w14:textId="7F052C2E" w:rsidR="00DA359F" w:rsidRDefault="00DA359F" w:rsidP="00DA359F">
      <w:pPr>
        <w:pStyle w:val="SangriaIzquierdaArticulo"/>
      </w:pPr>
      <w:r>
        <w:t xml:space="preserve">Auto </w:t>
      </w:r>
      <w:hyperlink w:anchor="AUTO_2023_445" w:history="1">
        <w:r w:rsidRPr="00DA359F">
          <w:rPr>
            <w:rStyle w:val="TextoNormalCaracter"/>
          </w:rPr>
          <w:t>445/2023</w:t>
        </w:r>
      </w:hyperlink>
      <w:r>
        <w:t>, f. 1.</w:t>
      </w:r>
    </w:p>
    <w:p w14:paraId="6C4D0C4F" w14:textId="33457942" w:rsidR="00DA359F" w:rsidRDefault="00DA359F" w:rsidP="00DA359F">
      <w:pPr>
        <w:pStyle w:val="SangriaFrancesaArticulo"/>
      </w:pPr>
      <w:r w:rsidRPr="00DA359F">
        <w:rPr>
          <w:rStyle w:val="TextoNormalNegritaCaracter"/>
        </w:rPr>
        <w:t>Artículo 9.3.</w:t>
      </w:r>
      <w:r w:rsidRPr="00DA359F">
        <w:rPr>
          <w:rStyle w:val="TextoNormalCaracter"/>
        </w:rPr>
        <w:t>-</w:t>
      </w:r>
      <w:r>
        <w:t xml:space="preserve"> Sentencia </w:t>
      </w:r>
      <w:hyperlink w:anchor="SENTENCIA_2023_94" w:history="1">
        <w:r w:rsidRPr="00DA359F">
          <w:rPr>
            <w:rStyle w:val="TextoNormalCaracter"/>
          </w:rPr>
          <w:t>94/2023</w:t>
        </w:r>
      </w:hyperlink>
      <w:r>
        <w:t>, VP III.</w:t>
      </w:r>
    </w:p>
    <w:p w14:paraId="05AF7642" w14:textId="09D1A2BB" w:rsidR="00DA359F" w:rsidRDefault="00DA359F" w:rsidP="00DA359F">
      <w:pPr>
        <w:pStyle w:val="SangriaFrancesaArticulo"/>
      </w:pPr>
      <w:r w:rsidRPr="00DA359F">
        <w:rPr>
          <w:rStyle w:val="TextoNormalNegritaCaracter"/>
        </w:rPr>
        <w:t>Artículo 9.3 a 5.</w:t>
      </w:r>
      <w:r w:rsidRPr="00DA359F">
        <w:rPr>
          <w:rStyle w:val="TextoNormalCaracter"/>
        </w:rPr>
        <w:t>-</w:t>
      </w:r>
      <w:r>
        <w:t xml:space="preserve"> Sentencia </w:t>
      </w:r>
      <w:hyperlink w:anchor="SENTENCIA_2023_94" w:history="1">
        <w:r w:rsidRPr="00DA359F">
          <w:rPr>
            <w:rStyle w:val="TextoNormalCaracter"/>
          </w:rPr>
          <w:t>94/2023</w:t>
        </w:r>
      </w:hyperlink>
      <w:r>
        <w:t>, VP III.</w:t>
      </w:r>
    </w:p>
    <w:p w14:paraId="40759831" w14:textId="5CD696F2" w:rsidR="00DA359F" w:rsidRDefault="00DA359F" w:rsidP="00DA359F">
      <w:pPr>
        <w:pStyle w:val="SangriaFrancesaArticulo"/>
      </w:pPr>
      <w:r w:rsidRPr="00DA359F">
        <w:rPr>
          <w:rStyle w:val="TextoNormalNegritaCaracter"/>
        </w:rPr>
        <w:t>Artículo 9.3 c).</w:t>
      </w:r>
      <w:r w:rsidRPr="00DA359F">
        <w:rPr>
          <w:rStyle w:val="TextoNormalCaracter"/>
        </w:rPr>
        <w:t>-</w:t>
      </w:r>
      <w:r>
        <w:t xml:space="preserve"> Sentencias </w:t>
      </w:r>
      <w:hyperlink w:anchor="SENTENCIA_2023_148" w:history="1">
        <w:r w:rsidRPr="00DA359F">
          <w:rPr>
            <w:rStyle w:val="TextoNormalCaracter"/>
          </w:rPr>
          <w:t>148/2023</w:t>
        </w:r>
      </w:hyperlink>
      <w:r>
        <w:t xml:space="preserve">, ff. 4, 5; </w:t>
      </w:r>
      <w:hyperlink w:anchor="SENTENCIA_2023_154" w:history="1">
        <w:r w:rsidRPr="00DA359F">
          <w:rPr>
            <w:rStyle w:val="TextoNormalCaracter"/>
          </w:rPr>
          <w:t>154/2023</w:t>
        </w:r>
      </w:hyperlink>
      <w:r>
        <w:t xml:space="preserve">, f. 3; </w:t>
      </w:r>
      <w:hyperlink w:anchor="SENTENCIA_2023_155" w:history="1">
        <w:r w:rsidRPr="00DA359F">
          <w:rPr>
            <w:rStyle w:val="TextoNormalCaracter"/>
          </w:rPr>
          <w:t>155/2023</w:t>
        </w:r>
      </w:hyperlink>
      <w:r>
        <w:t xml:space="preserve">, f. 4; </w:t>
      </w:r>
      <w:hyperlink w:anchor="SENTENCIA_2023_156" w:history="1">
        <w:r w:rsidRPr="00DA359F">
          <w:rPr>
            <w:rStyle w:val="TextoNormalCaracter"/>
          </w:rPr>
          <w:t>156/2023</w:t>
        </w:r>
      </w:hyperlink>
      <w:r>
        <w:t xml:space="preserve">, f. 3; </w:t>
      </w:r>
      <w:hyperlink w:anchor="SENTENCIA_2023_157" w:history="1">
        <w:r w:rsidRPr="00DA359F">
          <w:rPr>
            <w:rStyle w:val="TextoNormalCaracter"/>
          </w:rPr>
          <w:t>157/2023</w:t>
        </w:r>
      </w:hyperlink>
      <w:r>
        <w:t xml:space="preserve">, f. 3; </w:t>
      </w:r>
      <w:hyperlink w:anchor="SENTENCIA_2023_158" w:history="1">
        <w:r w:rsidRPr="00DA359F">
          <w:rPr>
            <w:rStyle w:val="TextoNormalCaracter"/>
          </w:rPr>
          <w:t>158/2023</w:t>
        </w:r>
      </w:hyperlink>
      <w:r>
        <w:t xml:space="preserve">, f. 3; </w:t>
      </w:r>
      <w:hyperlink w:anchor="SENTENCIA_2023_159" w:history="1">
        <w:r w:rsidRPr="00DA359F">
          <w:rPr>
            <w:rStyle w:val="TextoNormalCaracter"/>
          </w:rPr>
          <w:t>159/2023</w:t>
        </w:r>
      </w:hyperlink>
      <w:r>
        <w:t xml:space="preserve">, f. 3; </w:t>
      </w:r>
      <w:hyperlink w:anchor="SENTENCIA_2023_160" w:history="1">
        <w:r w:rsidRPr="00DA359F">
          <w:rPr>
            <w:rStyle w:val="TextoNormalCaracter"/>
          </w:rPr>
          <w:t>160/2023</w:t>
        </w:r>
      </w:hyperlink>
      <w:r>
        <w:t xml:space="preserve">, f. 3; </w:t>
      </w:r>
      <w:hyperlink w:anchor="SENTENCIA_2023_162" w:history="1">
        <w:r w:rsidRPr="00DA359F">
          <w:rPr>
            <w:rStyle w:val="TextoNormalCaracter"/>
          </w:rPr>
          <w:t>162/2023</w:t>
        </w:r>
      </w:hyperlink>
      <w:r>
        <w:t xml:space="preserve">, f. 3; </w:t>
      </w:r>
      <w:hyperlink w:anchor="SENTENCIA_2023_180" w:history="1">
        <w:r w:rsidRPr="00DA359F">
          <w:rPr>
            <w:rStyle w:val="TextoNormalCaracter"/>
          </w:rPr>
          <w:t>180/2023</w:t>
        </w:r>
      </w:hyperlink>
      <w:r>
        <w:t xml:space="preserve">, f. 3; </w:t>
      </w:r>
      <w:hyperlink w:anchor="SENTENCIA_2023_182" w:history="1">
        <w:r w:rsidRPr="00DA359F">
          <w:rPr>
            <w:rStyle w:val="TextoNormalCaracter"/>
          </w:rPr>
          <w:t>182/2023</w:t>
        </w:r>
      </w:hyperlink>
      <w:r>
        <w:t xml:space="preserve">, f. 3; </w:t>
      </w:r>
      <w:hyperlink w:anchor="SENTENCIA_2023_183" w:history="1">
        <w:r w:rsidRPr="00DA359F">
          <w:rPr>
            <w:rStyle w:val="TextoNormalCaracter"/>
          </w:rPr>
          <w:t>183/2023</w:t>
        </w:r>
      </w:hyperlink>
      <w:r>
        <w:t xml:space="preserve">, f. 3; </w:t>
      </w:r>
      <w:hyperlink w:anchor="SENTENCIA_2023_185" w:history="1">
        <w:r w:rsidRPr="00DA359F">
          <w:rPr>
            <w:rStyle w:val="TextoNormalCaracter"/>
          </w:rPr>
          <w:t>185/2023</w:t>
        </w:r>
      </w:hyperlink>
      <w:r>
        <w:t xml:space="preserve">, f. 3; </w:t>
      </w:r>
      <w:hyperlink w:anchor="SENTENCIA_2023_187" w:history="1">
        <w:r w:rsidRPr="00DA359F">
          <w:rPr>
            <w:rStyle w:val="TextoNormalCaracter"/>
          </w:rPr>
          <w:t>187/2023</w:t>
        </w:r>
      </w:hyperlink>
      <w:r>
        <w:t>, f. 3.</w:t>
      </w:r>
    </w:p>
    <w:p w14:paraId="6B1C4234" w14:textId="20B25B07" w:rsidR="00DA359F" w:rsidRDefault="00DA359F" w:rsidP="00DA359F">
      <w:pPr>
        <w:pStyle w:val="SangriaFrancesaArticulo"/>
      </w:pPr>
      <w:r w:rsidRPr="00DA359F">
        <w:rPr>
          <w:rStyle w:val="TextoNormalNegritaCaracter"/>
        </w:rPr>
        <w:t>Artículo 9.6.</w:t>
      </w:r>
      <w:r w:rsidRPr="00DA359F">
        <w:rPr>
          <w:rStyle w:val="TextoNormalCaracter"/>
        </w:rPr>
        <w:t>-</w:t>
      </w:r>
      <w:r>
        <w:t xml:space="preserve"> Sentencias </w:t>
      </w:r>
      <w:hyperlink w:anchor="SENTENCIA_2023_148" w:history="1">
        <w:r w:rsidRPr="00DA359F">
          <w:rPr>
            <w:rStyle w:val="TextoNormalCaracter"/>
          </w:rPr>
          <w:t>148/2023</w:t>
        </w:r>
      </w:hyperlink>
      <w:r>
        <w:t xml:space="preserve">, ff. 4, 5; </w:t>
      </w:r>
      <w:hyperlink w:anchor="SENTENCIA_2023_163" w:history="1">
        <w:r w:rsidRPr="00DA359F">
          <w:rPr>
            <w:rStyle w:val="TextoNormalCaracter"/>
          </w:rPr>
          <w:t>163/2023</w:t>
        </w:r>
      </w:hyperlink>
      <w:r>
        <w:t>, f. único.</w:t>
      </w:r>
    </w:p>
    <w:p w14:paraId="1000C007" w14:textId="682F41FC" w:rsidR="00DA359F" w:rsidRDefault="00DA359F" w:rsidP="00DA359F">
      <w:pPr>
        <w:pStyle w:val="SangriaFrancesaArticulo"/>
      </w:pPr>
      <w:r w:rsidRPr="00DA359F">
        <w:rPr>
          <w:rStyle w:val="TextoNormalNegritaCaracter"/>
        </w:rPr>
        <w:t>Artículo 9.7.</w:t>
      </w:r>
      <w:r w:rsidRPr="00DA359F">
        <w:rPr>
          <w:rStyle w:val="TextoNormalCaracter"/>
        </w:rPr>
        <w:t>-</w:t>
      </w:r>
      <w:r>
        <w:t xml:space="preserve"> Sentencia </w:t>
      </w:r>
      <w:hyperlink w:anchor="SENTENCIA_2023_148" w:history="1">
        <w:r w:rsidRPr="00DA359F">
          <w:rPr>
            <w:rStyle w:val="TextoNormalCaracter"/>
          </w:rPr>
          <w:t>148/2023</w:t>
        </w:r>
      </w:hyperlink>
      <w:r>
        <w:t>, ff. 4, 5.</w:t>
      </w:r>
    </w:p>
    <w:p w14:paraId="399F0F26" w14:textId="261508D6" w:rsidR="00DA359F" w:rsidRDefault="00DA359F" w:rsidP="00DA359F">
      <w:pPr>
        <w:pStyle w:val="SangriaFrancesaArticulo"/>
      </w:pPr>
    </w:p>
    <w:p w14:paraId="5CD99C95" w14:textId="77777777" w:rsidR="00DA359F" w:rsidRDefault="00DA359F" w:rsidP="00DA359F">
      <w:pPr>
        <w:pStyle w:val="TextoNormalNegritaCursivandice"/>
        <w:keepNext/>
      </w:pPr>
      <w:r>
        <w:t>Ley 3/2003, de 14 de marzo, sobre la orden europea de detención y entrega</w:t>
      </w:r>
    </w:p>
    <w:p w14:paraId="50266E1B" w14:textId="6476D568"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136" w:history="1">
        <w:r w:rsidRPr="00DA359F">
          <w:rPr>
            <w:rStyle w:val="TextoNormalCaracter"/>
          </w:rPr>
          <w:t>136/2023</w:t>
        </w:r>
      </w:hyperlink>
      <w:r>
        <w:t>, f. 4.</w:t>
      </w:r>
    </w:p>
    <w:p w14:paraId="2560B1BB" w14:textId="098F0E5B" w:rsidR="00DA359F" w:rsidRDefault="00DA359F" w:rsidP="00DA359F">
      <w:pPr>
        <w:pStyle w:val="SangriaFrancesaArticulo"/>
      </w:pPr>
    </w:p>
    <w:p w14:paraId="6ABED242" w14:textId="77777777" w:rsidR="00DA359F" w:rsidRDefault="00DA359F" w:rsidP="00DA359F">
      <w:pPr>
        <w:pStyle w:val="TextoNormalNegritaCursivandice"/>
        <w:keepNext/>
      </w:pPr>
      <w:r>
        <w:t>Ley 22/2003, de 9 de julio. Concursal</w:t>
      </w:r>
    </w:p>
    <w:p w14:paraId="7B603886" w14:textId="6AB09614" w:rsidR="00DA359F" w:rsidRDefault="00DA359F" w:rsidP="00DA359F">
      <w:pPr>
        <w:pStyle w:val="SangriaFrancesaArticulo"/>
      </w:pPr>
      <w:r w:rsidRPr="00DA359F">
        <w:rPr>
          <w:rStyle w:val="TextoNormalNegritaCaracter"/>
        </w:rPr>
        <w:t>En general.</w:t>
      </w:r>
      <w:r w:rsidRPr="00DA359F">
        <w:rPr>
          <w:rStyle w:val="TextoNormalCaracter"/>
        </w:rPr>
        <w:t>-</w:t>
      </w:r>
      <w:r>
        <w:t xml:space="preserve"> Autos </w:t>
      </w:r>
      <w:hyperlink w:anchor="AUTO_2023_532" w:history="1">
        <w:r w:rsidRPr="00DA359F">
          <w:rPr>
            <w:rStyle w:val="TextoNormalCaracter"/>
          </w:rPr>
          <w:t>532/2023</w:t>
        </w:r>
      </w:hyperlink>
      <w:r>
        <w:t xml:space="preserve">, f. 6; </w:t>
      </w:r>
      <w:hyperlink w:anchor="AUTO_2023_535" w:history="1">
        <w:r w:rsidRPr="00DA359F">
          <w:rPr>
            <w:rStyle w:val="TextoNormalCaracter"/>
          </w:rPr>
          <w:t>535/2023</w:t>
        </w:r>
      </w:hyperlink>
      <w:r>
        <w:t>, f. 6.</w:t>
      </w:r>
    </w:p>
    <w:p w14:paraId="272F3B0A" w14:textId="560FF61F" w:rsidR="00DA359F" w:rsidRDefault="00DA359F" w:rsidP="00DA359F">
      <w:pPr>
        <w:pStyle w:val="SangriaFrancesaArticulo"/>
      </w:pPr>
      <w:r w:rsidRPr="00DA359F">
        <w:rPr>
          <w:rStyle w:val="TextoNormalNegritaCaracter"/>
        </w:rPr>
        <w:t>Artículo 178 bis</w:t>
      </w:r>
      <w:r>
        <w:t xml:space="preserve"> (redactado por Real Decreto-ley 1/2015, de 27 de febrero)</w:t>
      </w:r>
      <w:r w:rsidRPr="00DA359F">
        <w:rPr>
          <w:rStyle w:val="TextoNormalNegritaCaracter"/>
        </w:rPr>
        <w:t>.</w:t>
      </w:r>
      <w:r w:rsidRPr="00DA359F">
        <w:rPr>
          <w:rStyle w:val="TextoNormalCaracter"/>
        </w:rPr>
        <w:t>-</w:t>
      </w:r>
      <w:r>
        <w:t xml:space="preserve"> Autos </w:t>
      </w:r>
      <w:hyperlink w:anchor="AUTO_2023_532" w:history="1">
        <w:r w:rsidRPr="00DA359F">
          <w:rPr>
            <w:rStyle w:val="TextoNormalCaracter"/>
          </w:rPr>
          <w:t>532/2023</w:t>
        </w:r>
      </w:hyperlink>
      <w:r>
        <w:t xml:space="preserve">, ff. 6, 9; </w:t>
      </w:r>
      <w:hyperlink w:anchor="AUTO_2023_535" w:history="1">
        <w:r w:rsidRPr="00DA359F">
          <w:rPr>
            <w:rStyle w:val="TextoNormalCaracter"/>
          </w:rPr>
          <w:t>535/2023</w:t>
        </w:r>
      </w:hyperlink>
      <w:r>
        <w:t>, ff. 6, 9.</w:t>
      </w:r>
    </w:p>
    <w:p w14:paraId="53519B9E" w14:textId="30E4794F" w:rsidR="00DA359F" w:rsidRDefault="00DA359F" w:rsidP="00DA359F">
      <w:pPr>
        <w:pStyle w:val="SangriaFrancesaArticulo"/>
      </w:pPr>
      <w:r w:rsidRPr="00DA359F">
        <w:rPr>
          <w:rStyle w:val="TextoNormalNegritaCaracter"/>
        </w:rPr>
        <w:t>Artículo 178 bis.3.4</w:t>
      </w:r>
      <w:r>
        <w:t xml:space="preserve"> (redactado por Real Decreto-ley 1/2015, de 27 de febrero)</w:t>
      </w:r>
      <w:r w:rsidRPr="00DA359F">
        <w:rPr>
          <w:rStyle w:val="TextoNormalNegritaCaracter"/>
        </w:rPr>
        <w:t>.</w:t>
      </w:r>
      <w:r w:rsidRPr="00DA359F">
        <w:rPr>
          <w:rStyle w:val="TextoNormalCaracter"/>
        </w:rPr>
        <w:t>-</w:t>
      </w:r>
      <w:r>
        <w:t xml:space="preserve"> Autos </w:t>
      </w:r>
      <w:hyperlink w:anchor="AUTO_2023_532" w:history="1">
        <w:r w:rsidRPr="00DA359F">
          <w:rPr>
            <w:rStyle w:val="TextoNormalCaracter"/>
          </w:rPr>
          <w:t>532/2023</w:t>
        </w:r>
      </w:hyperlink>
      <w:r>
        <w:t xml:space="preserve">, f. 6; </w:t>
      </w:r>
      <w:hyperlink w:anchor="AUTO_2023_535" w:history="1">
        <w:r w:rsidRPr="00DA359F">
          <w:rPr>
            <w:rStyle w:val="TextoNormalCaracter"/>
          </w:rPr>
          <w:t>535/2023</w:t>
        </w:r>
      </w:hyperlink>
      <w:r>
        <w:t>, f. 6.</w:t>
      </w:r>
    </w:p>
    <w:p w14:paraId="4C381376" w14:textId="5E97E520" w:rsidR="00DA359F" w:rsidRDefault="00DA359F" w:rsidP="00DA359F">
      <w:pPr>
        <w:pStyle w:val="SangriaFrancesaArticulo"/>
      </w:pPr>
      <w:r w:rsidRPr="00DA359F">
        <w:rPr>
          <w:rStyle w:val="TextoNormalNegritaCaracter"/>
        </w:rPr>
        <w:t>Artículo 178 bis.5</w:t>
      </w:r>
      <w:r>
        <w:t xml:space="preserve"> (redactado por Real Decreto-ley 1/2015, de 27 de febrero)</w:t>
      </w:r>
      <w:r w:rsidRPr="00DA359F">
        <w:rPr>
          <w:rStyle w:val="TextoNormalNegritaCaracter"/>
        </w:rPr>
        <w:t>.</w:t>
      </w:r>
      <w:r w:rsidRPr="00DA359F">
        <w:rPr>
          <w:rStyle w:val="TextoNormalCaracter"/>
        </w:rPr>
        <w:t>-</w:t>
      </w:r>
      <w:r>
        <w:t xml:space="preserve"> Autos </w:t>
      </w:r>
      <w:hyperlink w:anchor="AUTO_2023_532" w:history="1">
        <w:r w:rsidRPr="00DA359F">
          <w:rPr>
            <w:rStyle w:val="TextoNormalCaracter"/>
          </w:rPr>
          <w:t>532/2023</w:t>
        </w:r>
      </w:hyperlink>
      <w:r>
        <w:t xml:space="preserve">, f. 6; </w:t>
      </w:r>
      <w:hyperlink w:anchor="AUTO_2023_535" w:history="1">
        <w:r w:rsidRPr="00DA359F">
          <w:rPr>
            <w:rStyle w:val="TextoNormalCaracter"/>
          </w:rPr>
          <w:t>535/2023</w:t>
        </w:r>
      </w:hyperlink>
      <w:r>
        <w:t>, f. 6.</w:t>
      </w:r>
    </w:p>
    <w:p w14:paraId="36806596" w14:textId="4C0C180D" w:rsidR="00DA359F" w:rsidRDefault="00DA359F" w:rsidP="00DA359F">
      <w:pPr>
        <w:pStyle w:val="SangriaFrancesaArticulo"/>
      </w:pPr>
      <w:r w:rsidRPr="00DA359F">
        <w:rPr>
          <w:rStyle w:val="TextoNormalNegritaCaracter"/>
        </w:rPr>
        <w:t>Artículo 178 bis.6</w:t>
      </w:r>
      <w:r>
        <w:t xml:space="preserve"> (redactado por Real Decreto-ley 1/2015, de 27 de febrero)</w:t>
      </w:r>
      <w:r w:rsidRPr="00DA359F">
        <w:rPr>
          <w:rStyle w:val="TextoNormalNegritaCaracter"/>
        </w:rPr>
        <w:t>.</w:t>
      </w:r>
      <w:r w:rsidRPr="00DA359F">
        <w:rPr>
          <w:rStyle w:val="TextoNormalCaracter"/>
        </w:rPr>
        <w:t>-</w:t>
      </w:r>
      <w:r>
        <w:t xml:space="preserve"> Autos </w:t>
      </w:r>
      <w:hyperlink w:anchor="AUTO_2023_532" w:history="1">
        <w:r w:rsidRPr="00DA359F">
          <w:rPr>
            <w:rStyle w:val="TextoNormalCaracter"/>
          </w:rPr>
          <w:t>532/2023</w:t>
        </w:r>
      </w:hyperlink>
      <w:r>
        <w:t xml:space="preserve">, f. 6; </w:t>
      </w:r>
      <w:hyperlink w:anchor="AUTO_2023_535" w:history="1">
        <w:r w:rsidRPr="00DA359F">
          <w:rPr>
            <w:rStyle w:val="TextoNormalCaracter"/>
          </w:rPr>
          <w:t>535/2023</w:t>
        </w:r>
      </w:hyperlink>
      <w:r>
        <w:t>, f. 6.</w:t>
      </w:r>
    </w:p>
    <w:p w14:paraId="55368F6F" w14:textId="29297529" w:rsidR="00DA359F" w:rsidRDefault="00DA359F" w:rsidP="00DA359F">
      <w:pPr>
        <w:pStyle w:val="SangriaFrancesaArticulo"/>
      </w:pPr>
    </w:p>
    <w:p w14:paraId="2F33FCAD" w14:textId="77777777" w:rsidR="00DA359F" w:rsidRDefault="00DA359F" w:rsidP="00DA359F">
      <w:pPr>
        <w:pStyle w:val="TextoNormalNegritaCursivandice"/>
        <w:keepNext/>
      </w:pPr>
      <w:r>
        <w:t>Ley 55/2003, de 16 de diciembre, del estatuto marco del personal estatutario de los servicios de salud</w:t>
      </w:r>
    </w:p>
    <w:p w14:paraId="54FD94F2" w14:textId="25BF0BB2" w:rsidR="00DA359F" w:rsidRDefault="00DA359F" w:rsidP="00DA359F">
      <w:pPr>
        <w:pStyle w:val="SangriaFrancesaArticulo"/>
      </w:pPr>
      <w:r w:rsidRPr="00DA359F">
        <w:rPr>
          <w:rStyle w:val="TextoNormalNegritaCaracter"/>
        </w:rPr>
        <w:t>Artículo 20.</w:t>
      </w:r>
      <w:r w:rsidRPr="00DA359F">
        <w:rPr>
          <w:rStyle w:val="TextoNormalCaracter"/>
        </w:rPr>
        <w:t>-</w:t>
      </w:r>
      <w:r>
        <w:t xml:space="preserve"> Auto </w:t>
      </w:r>
      <w:hyperlink w:anchor="AUTO_2023_427" w:history="1">
        <w:r w:rsidRPr="00DA359F">
          <w:rPr>
            <w:rStyle w:val="TextoNormalCaracter"/>
          </w:rPr>
          <w:t>427/2023</w:t>
        </w:r>
      </w:hyperlink>
      <w:r>
        <w:t>, f. 2.</w:t>
      </w:r>
    </w:p>
    <w:p w14:paraId="2C7E52A2" w14:textId="0534C887" w:rsidR="00DA359F" w:rsidRDefault="00DA359F" w:rsidP="00DA359F">
      <w:pPr>
        <w:pStyle w:val="SangriaFrancesaArticulo"/>
      </w:pPr>
    </w:p>
    <w:p w14:paraId="6FD5A4C0" w14:textId="77777777" w:rsidR="00DA359F" w:rsidRDefault="00DA359F" w:rsidP="00DA359F">
      <w:pPr>
        <w:pStyle w:val="TextoNormalNegritaCursivandice"/>
        <w:keepNext/>
      </w:pPr>
      <w:r>
        <w:t>Ley 58/2003, de 17 de diciembre, general tributaria</w:t>
      </w:r>
    </w:p>
    <w:p w14:paraId="21E18F6B" w14:textId="11938BDD" w:rsidR="00DA359F" w:rsidRDefault="00DA359F" w:rsidP="00DA359F">
      <w:pPr>
        <w:pStyle w:val="SangriaFrancesaArticulo"/>
      </w:pPr>
      <w:r w:rsidRPr="00DA359F">
        <w:rPr>
          <w:rStyle w:val="TextoNormalNegritaCaracter"/>
        </w:rPr>
        <w:t>Artículo 10.2.</w:t>
      </w:r>
      <w:r w:rsidRPr="00DA359F">
        <w:rPr>
          <w:rStyle w:val="TextoNormalCaracter"/>
        </w:rPr>
        <w:t>-</w:t>
      </w:r>
      <w:r>
        <w:t xml:space="preserve"> Sentencia </w:t>
      </w:r>
      <w:hyperlink w:anchor="SENTENCIA_2023_149" w:history="1">
        <w:r w:rsidRPr="00DA359F">
          <w:rPr>
            <w:rStyle w:val="TextoNormalCaracter"/>
          </w:rPr>
          <w:t>149/2023</w:t>
        </w:r>
      </w:hyperlink>
      <w:r>
        <w:t>, f. 5.</w:t>
      </w:r>
    </w:p>
    <w:p w14:paraId="567ED809" w14:textId="3E4BD3A7" w:rsidR="00DA359F" w:rsidRDefault="00DA359F" w:rsidP="00DA359F">
      <w:pPr>
        <w:pStyle w:val="SangriaFrancesaArticulo"/>
      </w:pPr>
      <w:r w:rsidRPr="00DA359F">
        <w:rPr>
          <w:rStyle w:val="TextoNormalNegritaCaracter"/>
        </w:rPr>
        <w:t>Artículo 21.</w:t>
      </w:r>
      <w:r w:rsidRPr="00DA359F">
        <w:rPr>
          <w:rStyle w:val="TextoNormalCaracter"/>
        </w:rPr>
        <w:t>-</w:t>
      </w:r>
      <w:r>
        <w:t xml:space="preserve"> Sentencia </w:t>
      </w:r>
      <w:hyperlink w:anchor="SENTENCIA_2023_149" w:history="1">
        <w:r w:rsidRPr="00DA359F">
          <w:rPr>
            <w:rStyle w:val="TextoNormalCaracter"/>
          </w:rPr>
          <w:t>149/2023</w:t>
        </w:r>
      </w:hyperlink>
      <w:r>
        <w:t>, f. 5.</w:t>
      </w:r>
    </w:p>
    <w:p w14:paraId="2F51C67C" w14:textId="443F00AF" w:rsidR="00DA359F" w:rsidRDefault="00DA359F" w:rsidP="00DA359F">
      <w:pPr>
        <w:pStyle w:val="SangriaFrancesaArticulo"/>
      </w:pPr>
      <w:r w:rsidRPr="00DA359F">
        <w:rPr>
          <w:rStyle w:val="TextoNormalNegritaCaracter"/>
        </w:rPr>
        <w:t>Artículo 21.1, párrafo 1.</w:t>
      </w:r>
      <w:r w:rsidRPr="00DA359F">
        <w:rPr>
          <w:rStyle w:val="TextoNormalCaracter"/>
        </w:rPr>
        <w:t>-</w:t>
      </w:r>
      <w:r>
        <w:t xml:space="preserve"> Sentencia </w:t>
      </w:r>
      <w:hyperlink w:anchor="SENTENCIA_2023_149" w:history="1">
        <w:r w:rsidRPr="00DA359F">
          <w:rPr>
            <w:rStyle w:val="TextoNormalCaracter"/>
          </w:rPr>
          <w:t>149/2023</w:t>
        </w:r>
      </w:hyperlink>
      <w:r>
        <w:t>, VP.</w:t>
      </w:r>
    </w:p>
    <w:p w14:paraId="63D84366" w14:textId="0FE749E0" w:rsidR="00DA359F" w:rsidRDefault="00DA359F" w:rsidP="00DA359F">
      <w:pPr>
        <w:pStyle w:val="SangriaFrancesaArticulo"/>
      </w:pPr>
      <w:r w:rsidRPr="00DA359F">
        <w:rPr>
          <w:rStyle w:val="TextoNormalNegritaCaracter"/>
        </w:rPr>
        <w:t>Artículo 21.1, párrafo 2.</w:t>
      </w:r>
      <w:r w:rsidRPr="00DA359F">
        <w:rPr>
          <w:rStyle w:val="TextoNormalCaracter"/>
        </w:rPr>
        <w:t>-</w:t>
      </w:r>
      <w:r>
        <w:t xml:space="preserve"> Sentencia </w:t>
      </w:r>
      <w:hyperlink w:anchor="SENTENCIA_2023_149" w:history="1">
        <w:r w:rsidRPr="00DA359F">
          <w:rPr>
            <w:rStyle w:val="TextoNormalCaracter"/>
          </w:rPr>
          <w:t>149/2023</w:t>
        </w:r>
      </w:hyperlink>
      <w:r>
        <w:t>, VP.</w:t>
      </w:r>
    </w:p>
    <w:p w14:paraId="79478914" w14:textId="471A7B12" w:rsidR="00DA359F" w:rsidRDefault="00DA359F" w:rsidP="00DA359F">
      <w:pPr>
        <w:pStyle w:val="SangriaFrancesaArticulo"/>
      </w:pPr>
      <w:r w:rsidRPr="00DA359F">
        <w:rPr>
          <w:rStyle w:val="TextoNormalNegritaCaracter"/>
        </w:rPr>
        <w:t>Artículo 40.5.</w:t>
      </w:r>
      <w:r w:rsidRPr="00DA359F">
        <w:rPr>
          <w:rStyle w:val="TextoNormalCaracter"/>
        </w:rPr>
        <w:t>-</w:t>
      </w:r>
      <w:r>
        <w:t xml:space="preserve"> Sentencia </w:t>
      </w:r>
      <w:hyperlink w:anchor="SENTENCIA_2023_179" w:history="1">
        <w:r w:rsidRPr="00DA359F">
          <w:rPr>
            <w:rStyle w:val="TextoNormalCaracter"/>
          </w:rPr>
          <w:t>179/2023</w:t>
        </w:r>
      </w:hyperlink>
      <w:r>
        <w:t>, f. 3.</w:t>
      </w:r>
    </w:p>
    <w:p w14:paraId="10E73B76" w14:textId="11E0D491" w:rsidR="00DA359F" w:rsidRDefault="00DA359F" w:rsidP="00DA359F">
      <w:pPr>
        <w:pStyle w:val="SangriaFrancesaArticulo"/>
      </w:pPr>
    </w:p>
    <w:p w14:paraId="7D35FAD5" w14:textId="77777777" w:rsidR="00DA359F" w:rsidRDefault="00DA359F" w:rsidP="00DA359F">
      <w:pPr>
        <w:pStyle w:val="TextoNormalNegritaCursivandice"/>
        <w:keepNext/>
      </w:pPr>
      <w:r>
        <w:t>Ley 35/2006, de 28 de noviembre, del impuesto sobre la renta de las personas físicas y modificación parcial de las leyes de los impuestos sobre sociedades, sobre la renta de no residentes y sobre el patrimonio</w:t>
      </w:r>
    </w:p>
    <w:p w14:paraId="363E20FF" w14:textId="1A6FF339" w:rsidR="00DA359F" w:rsidRDefault="00DA359F" w:rsidP="00DA359F">
      <w:pPr>
        <w:pStyle w:val="SangriaFrancesaArticulo"/>
      </w:pPr>
      <w:r w:rsidRPr="00DA359F">
        <w:rPr>
          <w:rStyle w:val="TextoNormalNegritaCaracter"/>
        </w:rPr>
        <w:t>Artículo 2.</w:t>
      </w:r>
      <w:r w:rsidRPr="00DA359F">
        <w:rPr>
          <w:rStyle w:val="TextoNormalCaracter"/>
        </w:rPr>
        <w:t>-</w:t>
      </w:r>
      <w:r>
        <w:t xml:space="preserve"> Sentencia </w:t>
      </w:r>
      <w:hyperlink w:anchor="SENTENCIA_2023_149" w:history="1">
        <w:r w:rsidRPr="00DA359F">
          <w:rPr>
            <w:rStyle w:val="TextoNormalCaracter"/>
          </w:rPr>
          <w:t>149/2023</w:t>
        </w:r>
      </w:hyperlink>
      <w:r>
        <w:t>, VP.</w:t>
      </w:r>
    </w:p>
    <w:p w14:paraId="6CF4353D" w14:textId="31B3EB71" w:rsidR="00DA359F" w:rsidRDefault="00DA359F" w:rsidP="00DA359F">
      <w:pPr>
        <w:pStyle w:val="SangriaFrancesaArticulo"/>
      </w:pPr>
      <w:r w:rsidRPr="00DA359F">
        <w:rPr>
          <w:rStyle w:val="TextoNormalNegritaCaracter"/>
        </w:rPr>
        <w:t>Artículo 12.1.</w:t>
      </w:r>
      <w:r w:rsidRPr="00DA359F">
        <w:rPr>
          <w:rStyle w:val="TextoNormalCaracter"/>
        </w:rPr>
        <w:t>-</w:t>
      </w:r>
      <w:r>
        <w:t xml:space="preserve"> Sentencia </w:t>
      </w:r>
      <w:hyperlink w:anchor="SENTENCIA_2023_149" w:history="1">
        <w:r w:rsidRPr="00DA359F">
          <w:rPr>
            <w:rStyle w:val="TextoNormalCaracter"/>
          </w:rPr>
          <w:t>149/2023</w:t>
        </w:r>
      </w:hyperlink>
      <w:r>
        <w:t>, VP.</w:t>
      </w:r>
    </w:p>
    <w:p w14:paraId="36D74ABE" w14:textId="4D80E42D" w:rsidR="00DA359F" w:rsidRDefault="00DA359F" w:rsidP="00DA359F">
      <w:pPr>
        <w:pStyle w:val="SangriaFrancesaArticulo"/>
      </w:pPr>
      <w:r w:rsidRPr="00DA359F">
        <w:rPr>
          <w:rStyle w:val="TextoNormalNegritaCaracter"/>
        </w:rPr>
        <w:t>Artículo 12.2.</w:t>
      </w:r>
      <w:r w:rsidRPr="00DA359F">
        <w:rPr>
          <w:rStyle w:val="TextoNormalCaracter"/>
        </w:rPr>
        <w:t>-</w:t>
      </w:r>
      <w:r>
        <w:t xml:space="preserve"> Sentencia </w:t>
      </w:r>
      <w:hyperlink w:anchor="SENTENCIA_2023_149" w:history="1">
        <w:r w:rsidRPr="00DA359F">
          <w:rPr>
            <w:rStyle w:val="TextoNormalCaracter"/>
          </w:rPr>
          <w:t>149/2023</w:t>
        </w:r>
      </w:hyperlink>
      <w:r>
        <w:t>, VP.</w:t>
      </w:r>
    </w:p>
    <w:p w14:paraId="0FFD4CCE" w14:textId="03783D60" w:rsidR="00DA359F" w:rsidRDefault="00DA359F" w:rsidP="00DA359F">
      <w:pPr>
        <w:pStyle w:val="SangriaFrancesaArticulo"/>
      </w:pPr>
    </w:p>
    <w:p w14:paraId="6926BC98" w14:textId="77777777" w:rsidR="00DA359F" w:rsidRDefault="00DA359F" w:rsidP="00DA359F">
      <w:pPr>
        <w:pStyle w:val="TextoNormalNegritaCursivandice"/>
        <w:keepNext/>
      </w:pPr>
      <w:r>
        <w:t>Ley 15/2007, de 3 de julio, de defensa de la competencia</w:t>
      </w:r>
    </w:p>
    <w:p w14:paraId="184973C6" w14:textId="589630F0" w:rsidR="00DA359F" w:rsidRDefault="00DA359F" w:rsidP="00DA359F">
      <w:pPr>
        <w:pStyle w:val="SangriaFrancesaArticulo"/>
      </w:pPr>
      <w:r w:rsidRPr="00DA359F">
        <w:rPr>
          <w:rStyle w:val="TextoNormalNegritaCaracter"/>
        </w:rPr>
        <w:t>Artículo 61.1.</w:t>
      </w:r>
      <w:r w:rsidRPr="00DA359F">
        <w:rPr>
          <w:rStyle w:val="TextoNormalCaracter"/>
        </w:rPr>
        <w:t>-</w:t>
      </w:r>
      <w:r>
        <w:t xml:space="preserve"> Sentencia </w:t>
      </w:r>
      <w:hyperlink w:anchor="SENTENCIA_2023_179" w:history="1">
        <w:r w:rsidRPr="00DA359F">
          <w:rPr>
            <w:rStyle w:val="TextoNormalCaracter"/>
          </w:rPr>
          <w:t>179/2023</w:t>
        </w:r>
      </w:hyperlink>
      <w:r>
        <w:t>, f. 3.</w:t>
      </w:r>
    </w:p>
    <w:p w14:paraId="317A57D1" w14:textId="3D87A81F" w:rsidR="00DA359F" w:rsidRDefault="00DA359F" w:rsidP="00DA359F">
      <w:pPr>
        <w:pStyle w:val="SangriaFrancesaArticulo"/>
      </w:pPr>
    </w:p>
    <w:p w14:paraId="3065CEFC" w14:textId="77777777" w:rsidR="00DA359F" w:rsidRDefault="00DA359F" w:rsidP="00DA359F">
      <w:pPr>
        <w:pStyle w:val="TextoNormalNegritaCursivandice"/>
        <w:keepNext/>
      </w:pPr>
      <w:r>
        <w:t>Ley 17/2009, de 23 de noviembre, sobre el libre acceso a las actividades de servicios y su ejercicio</w:t>
      </w:r>
    </w:p>
    <w:p w14:paraId="5BDC0AC8" w14:textId="7AD209D3"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127" w:history="1">
        <w:r w:rsidRPr="00DA359F">
          <w:rPr>
            <w:rStyle w:val="TextoNormalCaracter"/>
          </w:rPr>
          <w:t>127/2023</w:t>
        </w:r>
      </w:hyperlink>
      <w:r>
        <w:t>, VP.</w:t>
      </w:r>
    </w:p>
    <w:p w14:paraId="48702DCA" w14:textId="3336E42E" w:rsidR="00DA359F" w:rsidRDefault="00DA359F" w:rsidP="00DA359F">
      <w:pPr>
        <w:pStyle w:val="SangriaFrancesaArticulo"/>
      </w:pPr>
      <w:r w:rsidRPr="00DA359F">
        <w:rPr>
          <w:rStyle w:val="TextoNormalNegritaCaracter"/>
        </w:rPr>
        <w:t>Artículo 3.11.</w:t>
      </w:r>
      <w:r w:rsidRPr="00DA359F">
        <w:rPr>
          <w:rStyle w:val="TextoNormalCaracter"/>
        </w:rPr>
        <w:t>-</w:t>
      </w:r>
      <w:r>
        <w:t xml:space="preserve"> Sentencia </w:t>
      </w:r>
      <w:hyperlink w:anchor="SENTENCIA_2023_127" w:history="1">
        <w:r w:rsidRPr="00DA359F">
          <w:rPr>
            <w:rStyle w:val="TextoNormalCaracter"/>
          </w:rPr>
          <w:t>127/2023</w:t>
        </w:r>
      </w:hyperlink>
      <w:r>
        <w:t>, f. 5, VP.</w:t>
      </w:r>
    </w:p>
    <w:p w14:paraId="51A9EB9E" w14:textId="7EC0E077" w:rsidR="00DA359F" w:rsidRDefault="00DA359F" w:rsidP="00DA359F">
      <w:pPr>
        <w:pStyle w:val="SangriaFrancesaArticulo"/>
      </w:pPr>
    </w:p>
    <w:p w14:paraId="285039A2" w14:textId="77777777" w:rsidR="00DA359F" w:rsidRDefault="00DA359F" w:rsidP="00DA359F">
      <w:pPr>
        <w:pStyle w:val="TextoNormalNegritaCursivandice"/>
        <w:keepNext/>
      </w:pPr>
      <w:r>
        <w:t>Ley 22/2009, de 18 de diciembre, por la que se regula el sistema de financiación de las comunidades autónomas de régimen común y ciudades con estatuto de autonomía y se modifican determinadas normas tributarias</w:t>
      </w:r>
    </w:p>
    <w:p w14:paraId="02F739C2" w14:textId="666625CC"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Sentencias </w:t>
      </w:r>
      <w:hyperlink w:anchor="SENTENCIA_2023_149" w:history="1">
        <w:r w:rsidRPr="00DA359F">
          <w:rPr>
            <w:rStyle w:val="TextoNormalCaracter"/>
          </w:rPr>
          <w:t>149/2023</w:t>
        </w:r>
      </w:hyperlink>
      <w:r>
        <w:t xml:space="preserve">, f. 3, VP; </w:t>
      </w:r>
      <w:hyperlink w:anchor="SENTENCIA_2023_170" w:history="1">
        <w:r w:rsidRPr="00DA359F">
          <w:rPr>
            <w:rStyle w:val="TextoNormalCaracter"/>
          </w:rPr>
          <w:t>170/2023</w:t>
        </w:r>
      </w:hyperlink>
      <w:r>
        <w:t xml:space="preserve">, f. 2, VP; </w:t>
      </w:r>
      <w:hyperlink w:anchor="SENTENCIA_2023_171" w:history="1">
        <w:r w:rsidRPr="00DA359F">
          <w:rPr>
            <w:rStyle w:val="TextoNormalCaracter"/>
          </w:rPr>
          <w:t>171/2023</w:t>
        </w:r>
      </w:hyperlink>
      <w:r>
        <w:t xml:space="preserve">, f. 2, VP; </w:t>
      </w:r>
      <w:hyperlink w:anchor="SENTENCIA_2023_189" w:history="1">
        <w:r w:rsidRPr="00DA359F">
          <w:rPr>
            <w:rStyle w:val="TextoNormalCaracter"/>
          </w:rPr>
          <w:t>189/2023</w:t>
        </w:r>
      </w:hyperlink>
      <w:r>
        <w:t xml:space="preserve">, f. 2, VP; </w:t>
      </w:r>
      <w:hyperlink w:anchor="SENTENCIA_2023_190" w:history="1">
        <w:r w:rsidRPr="00DA359F">
          <w:rPr>
            <w:rStyle w:val="TextoNormalCaracter"/>
          </w:rPr>
          <w:t>190/2023</w:t>
        </w:r>
      </w:hyperlink>
      <w:r>
        <w:t>, f. 2, VP.</w:t>
      </w:r>
    </w:p>
    <w:p w14:paraId="7B2CD429" w14:textId="71900114" w:rsidR="00DA359F" w:rsidRDefault="00DA359F" w:rsidP="00DA359F">
      <w:pPr>
        <w:pStyle w:val="SangriaFrancesaArticulo"/>
      </w:pPr>
      <w:r w:rsidRPr="00DA359F">
        <w:rPr>
          <w:rStyle w:val="TextoNormalNegritaCaracter"/>
        </w:rPr>
        <w:t>Artículo 3 d).</w:t>
      </w:r>
      <w:r w:rsidRPr="00DA359F">
        <w:rPr>
          <w:rStyle w:val="TextoNormalCaracter"/>
        </w:rPr>
        <w:t>-</w:t>
      </w:r>
      <w:r>
        <w:t xml:space="preserve"> Sentencia </w:t>
      </w:r>
      <w:hyperlink w:anchor="SENTENCIA_2023_149" w:history="1">
        <w:r w:rsidRPr="00DA359F">
          <w:rPr>
            <w:rStyle w:val="TextoNormalCaracter"/>
          </w:rPr>
          <w:t>149/2023</w:t>
        </w:r>
      </w:hyperlink>
      <w:r>
        <w:t>, VP.</w:t>
      </w:r>
    </w:p>
    <w:p w14:paraId="2BBECF9B" w14:textId="0DFC8833" w:rsidR="00DA359F" w:rsidRDefault="00DA359F" w:rsidP="00DA359F">
      <w:pPr>
        <w:pStyle w:val="SangriaFrancesaArticulo"/>
      </w:pPr>
      <w:r w:rsidRPr="00DA359F">
        <w:rPr>
          <w:rStyle w:val="TextoNormalNegritaCaracter"/>
        </w:rPr>
        <w:t>Artículo 5.2 e).</w:t>
      </w:r>
      <w:r w:rsidRPr="00DA359F">
        <w:rPr>
          <w:rStyle w:val="TextoNormalCaracter"/>
        </w:rPr>
        <w:t>-</w:t>
      </w:r>
      <w:r>
        <w:t xml:space="preserve"> Sentencia </w:t>
      </w:r>
      <w:hyperlink w:anchor="SENTENCIA_2023_149" w:history="1">
        <w:r w:rsidRPr="00DA359F">
          <w:rPr>
            <w:rStyle w:val="TextoNormalCaracter"/>
          </w:rPr>
          <w:t>149/2023</w:t>
        </w:r>
      </w:hyperlink>
      <w:r>
        <w:t>, VP.</w:t>
      </w:r>
    </w:p>
    <w:p w14:paraId="7F455576" w14:textId="763BFF4B" w:rsidR="00DA359F" w:rsidRDefault="00DA359F" w:rsidP="00DA359F">
      <w:pPr>
        <w:pStyle w:val="SangriaFrancesaArticulo"/>
      </w:pPr>
      <w:r w:rsidRPr="00DA359F">
        <w:rPr>
          <w:rStyle w:val="TextoNormalNegritaCaracter"/>
        </w:rPr>
        <w:t>Artículo 25.1 b).</w:t>
      </w:r>
      <w:r w:rsidRPr="00DA359F">
        <w:rPr>
          <w:rStyle w:val="TextoNormalCaracter"/>
        </w:rPr>
        <w:t>-</w:t>
      </w:r>
      <w:r>
        <w:t xml:space="preserve"> Sentencia </w:t>
      </w:r>
      <w:hyperlink w:anchor="SENTENCIA_2023_149" w:history="1">
        <w:r w:rsidRPr="00DA359F">
          <w:rPr>
            <w:rStyle w:val="TextoNormalCaracter"/>
          </w:rPr>
          <w:t>149/2023</w:t>
        </w:r>
      </w:hyperlink>
      <w:r>
        <w:t>, VP.</w:t>
      </w:r>
    </w:p>
    <w:p w14:paraId="37831F21" w14:textId="1A85EEEF" w:rsidR="00DA359F" w:rsidRDefault="00DA359F" w:rsidP="00DA359F">
      <w:pPr>
        <w:pStyle w:val="SangriaFrancesaArticulo"/>
      </w:pPr>
      <w:r w:rsidRPr="00DA359F">
        <w:rPr>
          <w:rStyle w:val="TextoNormalNegritaCaracter"/>
        </w:rPr>
        <w:t>Artículo 26.1 A) a).</w:t>
      </w:r>
      <w:r w:rsidRPr="00DA359F">
        <w:rPr>
          <w:rStyle w:val="TextoNormalCaracter"/>
        </w:rPr>
        <w:t>-</w:t>
      </w:r>
      <w:r>
        <w:t xml:space="preserve"> Sentencia </w:t>
      </w:r>
      <w:hyperlink w:anchor="SENTENCIA_2023_149" w:history="1">
        <w:r w:rsidRPr="00DA359F">
          <w:rPr>
            <w:rStyle w:val="TextoNormalCaracter"/>
          </w:rPr>
          <w:t>149/2023</w:t>
        </w:r>
      </w:hyperlink>
      <w:r>
        <w:t>, f. 3, VP.</w:t>
      </w:r>
    </w:p>
    <w:p w14:paraId="6F1D9AB3" w14:textId="68574F36" w:rsidR="00DA359F" w:rsidRDefault="00DA359F" w:rsidP="00DA359F">
      <w:pPr>
        <w:pStyle w:val="SangriaFrancesaArticulo"/>
      </w:pPr>
      <w:r w:rsidRPr="00DA359F">
        <w:rPr>
          <w:rStyle w:val="TextoNormalNegritaCaracter"/>
        </w:rPr>
        <w:t>Artículo 31.1.</w:t>
      </w:r>
      <w:r w:rsidRPr="00DA359F">
        <w:rPr>
          <w:rStyle w:val="TextoNormalCaracter"/>
        </w:rPr>
        <w:t>-</w:t>
      </w:r>
      <w:r>
        <w:t xml:space="preserve"> Sentencia </w:t>
      </w:r>
      <w:hyperlink w:anchor="SENTENCIA_2023_149" w:history="1">
        <w:r w:rsidRPr="00DA359F">
          <w:rPr>
            <w:rStyle w:val="TextoNormalCaracter"/>
          </w:rPr>
          <w:t>149/2023</w:t>
        </w:r>
      </w:hyperlink>
      <w:r>
        <w:t>, VP.</w:t>
      </w:r>
    </w:p>
    <w:p w14:paraId="128D0C23" w14:textId="199EEF1B" w:rsidR="00DA359F" w:rsidRDefault="00DA359F" w:rsidP="00DA359F">
      <w:pPr>
        <w:pStyle w:val="SangriaFrancesaArticulo"/>
      </w:pPr>
      <w:r w:rsidRPr="00DA359F">
        <w:rPr>
          <w:rStyle w:val="TextoNormalNegritaCaracter"/>
        </w:rPr>
        <w:t>Artículo 47.1.</w:t>
      </w:r>
      <w:r w:rsidRPr="00DA359F">
        <w:rPr>
          <w:rStyle w:val="TextoNormalCaracter"/>
        </w:rPr>
        <w:t>-</w:t>
      </w:r>
      <w:r>
        <w:t xml:space="preserve"> Sentencia </w:t>
      </w:r>
      <w:hyperlink w:anchor="SENTENCIA_2023_149" w:history="1">
        <w:r w:rsidRPr="00DA359F">
          <w:rPr>
            <w:rStyle w:val="TextoNormalCaracter"/>
          </w:rPr>
          <w:t>149/2023</w:t>
        </w:r>
      </w:hyperlink>
      <w:r>
        <w:t>, f. 3, VP.</w:t>
      </w:r>
    </w:p>
    <w:p w14:paraId="7BD80E28" w14:textId="0A8A1870" w:rsidR="00DA359F" w:rsidRDefault="00DA359F" w:rsidP="00DA359F">
      <w:pPr>
        <w:pStyle w:val="SangriaFrancesaArticulo"/>
      </w:pPr>
      <w:r w:rsidRPr="00DA359F">
        <w:rPr>
          <w:rStyle w:val="TextoNormalNegritaCaracter"/>
        </w:rPr>
        <w:t>Artículo 54.1 a).</w:t>
      </w:r>
      <w:r w:rsidRPr="00DA359F">
        <w:rPr>
          <w:rStyle w:val="TextoNormalCaracter"/>
        </w:rPr>
        <w:t>-</w:t>
      </w:r>
      <w:r>
        <w:t xml:space="preserve"> Sentencia </w:t>
      </w:r>
      <w:hyperlink w:anchor="SENTENCIA_2023_149" w:history="1">
        <w:r w:rsidRPr="00DA359F">
          <w:rPr>
            <w:rStyle w:val="TextoNormalCaracter"/>
          </w:rPr>
          <w:t>149/2023</w:t>
        </w:r>
      </w:hyperlink>
      <w:r>
        <w:t>, VP.</w:t>
      </w:r>
    </w:p>
    <w:p w14:paraId="31147415" w14:textId="78B611DC" w:rsidR="00DA359F" w:rsidRDefault="00DA359F" w:rsidP="00DA359F">
      <w:pPr>
        <w:pStyle w:val="SangriaFrancesaArticulo"/>
      </w:pPr>
    </w:p>
    <w:p w14:paraId="6D9ACF83" w14:textId="77777777" w:rsidR="00DA359F" w:rsidRDefault="00DA359F" w:rsidP="00DA359F">
      <w:pPr>
        <w:pStyle w:val="TextoNormalNegritaCursivandice"/>
        <w:keepNext/>
      </w:pPr>
      <w:r>
        <w:t>Ley 23/2009, de 18 de diciembre. Modificación de la Ley 22/2001, de 27 de diciembre, reguladora de los fondos de compensación interterritorial</w:t>
      </w:r>
    </w:p>
    <w:p w14:paraId="079C0404" w14:textId="66001A85"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149" w:history="1">
        <w:r w:rsidRPr="00DA359F">
          <w:rPr>
            <w:rStyle w:val="TextoNormalCaracter"/>
          </w:rPr>
          <w:t>149/2023</w:t>
        </w:r>
      </w:hyperlink>
      <w:r>
        <w:t>, VP.</w:t>
      </w:r>
    </w:p>
    <w:p w14:paraId="188D5E99" w14:textId="0272C27E" w:rsidR="00DA359F" w:rsidRDefault="00DA359F" w:rsidP="00DA359F">
      <w:pPr>
        <w:pStyle w:val="SangriaFrancesaArticulo"/>
      </w:pPr>
    </w:p>
    <w:p w14:paraId="5038D3CB" w14:textId="77777777" w:rsidR="00DA359F" w:rsidRDefault="00DA359F" w:rsidP="00DA359F">
      <w:pPr>
        <w:pStyle w:val="TextoNormalNegritaCursivandice"/>
        <w:keepNext/>
      </w:pPr>
      <w:r>
        <w:t>Ley 7/2010, de 31 de marzo, general de la comunicación audiovisual</w:t>
      </w:r>
    </w:p>
    <w:p w14:paraId="26A6D036" w14:textId="72C67399"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Sentencias </w:t>
      </w:r>
      <w:hyperlink w:anchor="SENTENCIA_2023_89" w:history="1">
        <w:r w:rsidRPr="00DA359F">
          <w:rPr>
            <w:rStyle w:val="TextoNormalCaracter"/>
          </w:rPr>
          <w:t>89/2023</w:t>
        </w:r>
      </w:hyperlink>
      <w:r>
        <w:t xml:space="preserve">, ff. 3, 4, VP II, VP III; </w:t>
      </w:r>
      <w:hyperlink w:anchor="SENTENCIA_2023_97" w:history="1">
        <w:r w:rsidRPr="00DA359F">
          <w:rPr>
            <w:rStyle w:val="TextoNormalCaracter"/>
          </w:rPr>
          <w:t>97/2023</w:t>
        </w:r>
      </w:hyperlink>
      <w:r>
        <w:t xml:space="preserve">, f. 2; </w:t>
      </w:r>
      <w:hyperlink w:anchor="SENTENCIA_2023_102" w:history="1">
        <w:r w:rsidRPr="00DA359F">
          <w:rPr>
            <w:rStyle w:val="TextoNormalCaracter"/>
          </w:rPr>
          <w:t>102/2023</w:t>
        </w:r>
      </w:hyperlink>
      <w:r>
        <w:t xml:space="preserve">, f.2; </w:t>
      </w:r>
      <w:hyperlink w:anchor="SENTENCIA_2023_106" w:history="1">
        <w:r w:rsidRPr="00DA359F">
          <w:rPr>
            <w:rStyle w:val="TextoNormalCaracter"/>
          </w:rPr>
          <w:t>106/2023</w:t>
        </w:r>
      </w:hyperlink>
      <w:r>
        <w:t xml:space="preserve">, f. 2; </w:t>
      </w:r>
      <w:hyperlink w:anchor="SENTENCIA_2023_107" w:history="1">
        <w:r w:rsidRPr="00DA359F">
          <w:rPr>
            <w:rStyle w:val="TextoNormalCaracter"/>
          </w:rPr>
          <w:t>107/2023</w:t>
        </w:r>
      </w:hyperlink>
      <w:r>
        <w:t xml:space="preserve">, f. 2; </w:t>
      </w:r>
      <w:hyperlink w:anchor="SENTENCIA_2023_169" w:history="1">
        <w:r w:rsidRPr="00DA359F">
          <w:rPr>
            <w:rStyle w:val="TextoNormalCaracter"/>
          </w:rPr>
          <w:t>169/2023</w:t>
        </w:r>
      </w:hyperlink>
      <w:r>
        <w:t>, f. 1.</w:t>
      </w:r>
    </w:p>
    <w:p w14:paraId="3420A53C" w14:textId="40D695F5" w:rsidR="00DA359F" w:rsidRDefault="00DA359F" w:rsidP="00DA359F">
      <w:pPr>
        <w:pStyle w:val="SangriaFrancesaArticulo"/>
      </w:pPr>
      <w:r w:rsidRPr="00DA359F">
        <w:rPr>
          <w:rStyle w:val="TextoNormalNegritaCaracter"/>
        </w:rPr>
        <w:t>Artículo 22.</w:t>
      </w:r>
      <w:r w:rsidRPr="00DA359F">
        <w:rPr>
          <w:rStyle w:val="TextoNormalCaracter"/>
        </w:rPr>
        <w:t>-</w:t>
      </w:r>
      <w:r>
        <w:t xml:space="preserve"> Sentencia </w:t>
      </w:r>
      <w:hyperlink w:anchor="SENTENCIA_2023_89" w:history="1">
        <w:r w:rsidRPr="00DA359F">
          <w:rPr>
            <w:rStyle w:val="TextoNormalCaracter"/>
          </w:rPr>
          <w:t>89/2023</w:t>
        </w:r>
      </w:hyperlink>
      <w:r>
        <w:t>, VP I.</w:t>
      </w:r>
    </w:p>
    <w:p w14:paraId="42A5E8ED" w14:textId="247ED73F" w:rsidR="00DA359F" w:rsidRDefault="00DA359F" w:rsidP="00DA359F">
      <w:pPr>
        <w:pStyle w:val="SangriaFrancesaArticulo"/>
      </w:pPr>
      <w:r w:rsidRPr="00DA359F">
        <w:rPr>
          <w:rStyle w:val="TextoNormalNegritaCaracter"/>
        </w:rPr>
        <w:t>Artículo 22.1.</w:t>
      </w:r>
      <w:r w:rsidRPr="00DA359F">
        <w:rPr>
          <w:rStyle w:val="TextoNormalCaracter"/>
        </w:rPr>
        <w:t>-</w:t>
      </w:r>
      <w:r>
        <w:t xml:space="preserve"> Sentencia </w:t>
      </w:r>
      <w:hyperlink w:anchor="SENTENCIA_2023_89" w:history="1">
        <w:r w:rsidRPr="00DA359F">
          <w:rPr>
            <w:rStyle w:val="TextoNormalCaracter"/>
          </w:rPr>
          <w:t>89/2023</w:t>
        </w:r>
      </w:hyperlink>
      <w:r>
        <w:t>, f. 3.</w:t>
      </w:r>
    </w:p>
    <w:p w14:paraId="25D2A630" w14:textId="5C7B07B4" w:rsidR="00DA359F" w:rsidRDefault="00DA359F" w:rsidP="00DA359F">
      <w:pPr>
        <w:pStyle w:val="SangriaFrancesaArticulo"/>
      </w:pPr>
      <w:r w:rsidRPr="00DA359F">
        <w:rPr>
          <w:rStyle w:val="TextoNormalNegritaCaracter"/>
        </w:rPr>
        <w:t>Artículo 22.2.</w:t>
      </w:r>
      <w:r w:rsidRPr="00DA359F">
        <w:rPr>
          <w:rStyle w:val="TextoNormalCaracter"/>
        </w:rPr>
        <w:t>-</w:t>
      </w:r>
      <w:r>
        <w:t xml:space="preserve"> Sentencia </w:t>
      </w:r>
      <w:hyperlink w:anchor="SENTENCIA_2023_89" w:history="1">
        <w:r w:rsidRPr="00DA359F">
          <w:rPr>
            <w:rStyle w:val="TextoNormalCaracter"/>
          </w:rPr>
          <w:t>89/2023</w:t>
        </w:r>
      </w:hyperlink>
      <w:r>
        <w:t>, f. 3.</w:t>
      </w:r>
    </w:p>
    <w:p w14:paraId="1B781F83" w14:textId="4080E3F1" w:rsidR="00DA359F" w:rsidRDefault="00DA359F" w:rsidP="00DA359F">
      <w:pPr>
        <w:pStyle w:val="SangriaFrancesaArticulo"/>
      </w:pPr>
      <w:r w:rsidRPr="00DA359F">
        <w:rPr>
          <w:rStyle w:val="TextoNormalNegritaCaracter"/>
        </w:rPr>
        <w:t>Artículo 22.3.</w:t>
      </w:r>
      <w:r w:rsidRPr="00DA359F">
        <w:rPr>
          <w:rStyle w:val="TextoNormalCaracter"/>
        </w:rPr>
        <w:t>-</w:t>
      </w:r>
      <w:r>
        <w:t xml:space="preserve"> Sentencia </w:t>
      </w:r>
      <w:hyperlink w:anchor="SENTENCIA_2023_89" w:history="1">
        <w:r w:rsidRPr="00DA359F">
          <w:rPr>
            <w:rStyle w:val="TextoNormalCaracter"/>
          </w:rPr>
          <w:t>89/2023</w:t>
        </w:r>
      </w:hyperlink>
      <w:r>
        <w:t>, f. 3.</w:t>
      </w:r>
    </w:p>
    <w:p w14:paraId="0D910AD6" w14:textId="28645564" w:rsidR="00DA359F" w:rsidRDefault="00DA359F" w:rsidP="00DA359F">
      <w:pPr>
        <w:pStyle w:val="SangriaFrancesaArticulo"/>
      </w:pPr>
      <w:r w:rsidRPr="00DA359F">
        <w:rPr>
          <w:rStyle w:val="TextoNormalNegritaCaracter"/>
        </w:rPr>
        <w:t>Artículo 23.</w:t>
      </w:r>
      <w:r w:rsidRPr="00DA359F">
        <w:rPr>
          <w:rStyle w:val="TextoNormalCaracter"/>
        </w:rPr>
        <w:t>-</w:t>
      </w:r>
      <w:r>
        <w:t xml:space="preserve"> Sentencia </w:t>
      </w:r>
      <w:hyperlink w:anchor="SENTENCIA_2023_89" w:history="1">
        <w:r w:rsidRPr="00DA359F">
          <w:rPr>
            <w:rStyle w:val="TextoNormalCaracter"/>
          </w:rPr>
          <w:t>89/2023</w:t>
        </w:r>
      </w:hyperlink>
      <w:r>
        <w:t>, f. 3.</w:t>
      </w:r>
    </w:p>
    <w:p w14:paraId="38F9E910" w14:textId="50E38403" w:rsidR="00DA359F" w:rsidRDefault="00DA359F" w:rsidP="00DA359F">
      <w:pPr>
        <w:pStyle w:val="SangriaFrancesaArticulo"/>
      </w:pPr>
      <w:r w:rsidRPr="00DA359F">
        <w:rPr>
          <w:rStyle w:val="TextoNormalNegritaCaracter"/>
        </w:rPr>
        <w:t>Artículo 24 a 30.</w:t>
      </w:r>
      <w:r w:rsidRPr="00DA359F">
        <w:rPr>
          <w:rStyle w:val="TextoNormalCaracter"/>
        </w:rPr>
        <w:t>-</w:t>
      </w:r>
      <w:r>
        <w:t xml:space="preserve"> Sentencia </w:t>
      </w:r>
      <w:hyperlink w:anchor="SENTENCIA_2023_89" w:history="1">
        <w:r w:rsidRPr="00DA359F">
          <w:rPr>
            <w:rStyle w:val="TextoNormalCaracter"/>
          </w:rPr>
          <w:t>89/2023</w:t>
        </w:r>
      </w:hyperlink>
      <w:r>
        <w:t>, f. 3.</w:t>
      </w:r>
    </w:p>
    <w:p w14:paraId="7C796900" w14:textId="4710F625" w:rsidR="00DA359F" w:rsidRDefault="00DA359F" w:rsidP="00DA359F">
      <w:pPr>
        <w:pStyle w:val="SangriaFrancesaArticulo"/>
      </w:pPr>
      <w:r w:rsidRPr="00DA359F">
        <w:rPr>
          <w:rStyle w:val="TextoNormalNegritaCaracter"/>
        </w:rPr>
        <w:t>Artículo 24.2.</w:t>
      </w:r>
      <w:r w:rsidRPr="00DA359F">
        <w:rPr>
          <w:rStyle w:val="TextoNormalCaracter"/>
        </w:rPr>
        <w:t>-</w:t>
      </w:r>
      <w:r>
        <w:t xml:space="preserve"> Sentencia </w:t>
      </w:r>
      <w:hyperlink w:anchor="SENTENCIA_2023_89" w:history="1">
        <w:r w:rsidRPr="00DA359F">
          <w:rPr>
            <w:rStyle w:val="TextoNormalCaracter"/>
          </w:rPr>
          <w:t>89/2023</w:t>
        </w:r>
      </w:hyperlink>
      <w:r>
        <w:t>, f. 3.</w:t>
      </w:r>
    </w:p>
    <w:p w14:paraId="5C6356CE" w14:textId="7431B55F" w:rsidR="00DA359F" w:rsidRDefault="00DA359F" w:rsidP="00DA359F">
      <w:pPr>
        <w:pStyle w:val="SangriaFrancesaArticulo"/>
      </w:pPr>
      <w:r w:rsidRPr="00DA359F">
        <w:rPr>
          <w:rStyle w:val="TextoNormalNegritaCaracter"/>
        </w:rPr>
        <w:t>Artículo 27.</w:t>
      </w:r>
      <w:r w:rsidRPr="00DA359F">
        <w:rPr>
          <w:rStyle w:val="TextoNormalCaracter"/>
        </w:rPr>
        <w:t>-</w:t>
      </w:r>
      <w:r>
        <w:t xml:space="preserve"> Sentencia </w:t>
      </w:r>
      <w:hyperlink w:anchor="SENTENCIA_2023_89" w:history="1">
        <w:r w:rsidRPr="00DA359F">
          <w:rPr>
            <w:rStyle w:val="TextoNormalCaracter"/>
          </w:rPr>
          <w:t>89/2023</w:t>
        </w:r>
      </w:hyperlink>
      <w:r>
        <w:t>, ff. 1, 3, 4, VP I, VP II.</w:t>
      </w:r>
    </w:p>
    <w:p w14:paraId="68EFFE8F" w14:textId="7B231F94" w:rsidR="00DA359F" w:rsidRDefault="00DA359F" w:rsidP="00DA359F">
      <w:pPr>
        <w:pStyle w:val="SangriaFrancesaArticulo"/>
      </w:pPr>
      <w:r w:rsidRPr="00DA359F">
        <w:rPr>
          <w:rStyle w:val="TextoNormalNegritaCaracter"/>
        </w:rPr>
        <w:t>Artículo 27.2.</w:t>
      </w:r>
      <w:r w:rsidRPr="00DA359F">
        <w:rPr>
          <w:rStyle w:val="TextoNormalCaracter"/>
        </w:rPr>
        <w:t>-</w:t>
      </w:r>
      <w:r>
        <w:t xml:space="preserve"> Sentencia </w:t>
      </w:r>
      <w:hyperlink w:anchor="SENTENCIA_2023_89" w:history="1">
        <w:r w:rsidRPr="00DA359F">
          <w:rPr>
            <w:rStyle w:val="TextoNormalCaracter"/>
          </w:rPr>
          <w:t>89/2023</w:t>
        </w:r>
      </w:hyperlink>
      <w:r>
        <w:t>, ff. 3, 4, VP I, VP II, VP III.</w:t>
      </w:r>
    </w:p>
    <w:p w14:paraId="2D321091" w14:textId="75B3E79B" w:rsidR="00DA359F" w:rsidRDefault="00DA359F" w:rsidP="00DA359F">
      <w:pPr>
        <w:pStyle w:val="SangriaFrancesaArticulo"/>
      </w:pPr>
      <w:r w:rsidRPr="00DA359F">
        <w:rPr>
          <w:rStyle w:val="TextoNormalNegritaCaracter"/>
        </w:rPr>
        <w:t>Artículo 27.4.</w:t>
      </w:r>
      <w:r w:rsidRPr="00DA359F">
        <w:rPr>
          <w:rStyle w:val="TextoNormalCaracter"/>
        </w:rPr>
        <w:t>-</w:t>
      </w:r>
      <w:r>
        <w:t xml:space="preserve"> Sentencias </w:t>
      </w:r>
      <w:hyperlink w:anchor="SENTENCIA_2023_89" w:history="1">
        <w:r w:rsidRPr="00DA359F">
          <w:rPr>
            <w:rStyle w:val="TextoNormalCaracter"/>
          </w:rPr>
          <w:t>89/2023</w:t>
        </w:r>
      </w:hyperlink>
      <w:r>
        <w:t xml:space="preserve">, ff. 1 a 4, VP I, VP II; </w:t>
      </w:r>
      <w:hyperlink w:anchor="SENTENCIA_2023_104" w:history="1">
        <w:r w:rsidRPr="00DA359F">
          <w:rPr>
            <w:rStyle w:val="TextoNormalCaracter"/>
          </w:rPr>
          <w:t>104/2023</w:t>
        </w:r>
      </w:hyperlink>
      <w:r>
        <w:t>, f. 2.</w:t>
      </w:r>
    </w:p>
    <w:p w14:paraId="63215E04" w14:textId="688BB5C6" w:rsidR="00DA359F" w:rsidRDefault="00DA359F" w:rsidP="00DA359F">
      <w:pPr>
        <w:pStyle w:val="SangriaFrancesaArticulo"/>
      </w:pPr>
      <w:r w:rsidRPr="00DA359F">
        <w:rPr>
          <w:rStyle w:val="TextoNormalNegritaCaracter"/>
        </w:rPr>
        <w:t>Artículo 27.5.</w:t>
      </w:r>
      <w:r w:rsidRPr="00DA359F">
        <w:rPr>
          <w:rStyle w:val="TextoNormalCaracter"/>
        </w:rPr>
        <w:t>-</w:t>
      </w:r>
      <w:r>
        <w:t xml:space="preserve"> Sentencia </w:t>
      </w:r>
      <w:hyperlink w:anchor="SENTENCIA_2023_89" w:history="1">
        <w:r w:rsidRPr="00DA359F">
          <w:rPr>
            <w:rStyle w:val="TextoNormalCaracter"/>
          </w:rPr>
          <w:t>89/2023</w:t>
        </w:r>
      </w:hyperlink>
      <w:r>
        <w:t>, ff. 3, 4.</w:t>
      </w:r>
    </w:p>
    <w:p w14:paraId="1E8669FC" w14:textId="49497D4B" w:rsidR="00DA359F" w:rsidRDefault="00DA359F" w:rsidP="00DA359F">
      <w:pPr>
        <w:pStyle w:val="SangriaFrancesaArticulo"/>
      </w:pPr>
      <w:r w:rsidRPr="00DA359F">
        <w:rPr>
          <w:rStyle w:val="TextoNormalNegritaCaracter"/>
        </w:rPr>
        <w:t>Artículo 28.1.</w:t>
      </w:r>
      <w:r w:rsidRPr="00DA359F">
        <w:rPr>
          <w:rStyle w:val="TextoNormalCaracter"/>
        </w:rPr>
        <w:t>-</w:t>
      </w:r>
      <w:r>
        <w:t xml:space="preserve"> Sentencia </w:t>
      </w:r>
      <w:hyperlink w:anchor="SENTENCIA_2023_89" w:history="1">
        <w:r w:rsidRPr="00DA359F">
          <w:rPr>
            <w:rStyle w:val="TextoNormalCaracter"/>
          </w:rPr>
          <w:t>89/2023</w:t>
        </w:r>
      </w:hyperlink>
      <w:r>
        <w:t>, f. 3.</w:t>
      </w:r>
    </w:p>
    <w:p w14:paraId="633EBD19" w14:textId="71184041" w:rsidR="00DA359F" w:rsidRDefault="00DA359F" w:rsidP="00DA359F">
      <w:pPr>
        <w:pStyle w:val="SangriaFrancesaArticulo"/>
      </w:pPr>
      <w:r w:rsidRPr="00DA359F">
        <w:rPr>
          <w:rStyle w:val="TextoNormalNegritaCaracter"/>
        </w:rPr>
        <w:t>Artículo 28.3 b).</w:t>
      </w:r>
      <w:r w:rsidRPr="00DA359F">
        <w:rPr>
          <w:rStyle w:val="TextoNormalCaracter"/>
        </w:rPr>
        <w:t>-</w:t>
      </w:r>
      <w:r>
        <w:t xml:space="preserve"> Sentencia </w:t>
      </w:r>
      <w:hyperlink w:anchor="SENTENCIA_2023_89" w:history="1">
        <w:r w:rsidRPr="00DA359F">
          <w:rPr>
            <w:rStyle w:val="TextoNormalCaracter"/>
          </w:rPr>
          <w:t>89/2023</w:t>
        </w:r>
      </w:hyperlink>
      <w:r>
        <w:t>, ff. 3, 4.</w:t>
      </w:r>
    </w:p>
    <w:p w14:paraId="7884E940" w14:textId="603D830D" w:rsidR="00DA359F" w:rsidRDefault="00DA359F" w:rsidP="00DA359F">
      <w:pPr>
        <w:pStyle w:val="SangriaFrancesaArticulo"/>
      </w:pPr>
      <w:r w:rsidRPr="00DA359F">
        <w:rPr>
          <w:rStyle w:val="TextoNormalNegritaCaracter"/>
        </w:rPr>
        <w:t>Disposición transitoria segunda.</w:t>
      </w:r>
      <w:r w:rsidRPr="00DA359F">
        <w:rPr>
          <w:rStyle w:val="TextoNormalCaracter"/>
        </w:rPr>
        <w:t>-</w:t>
      </w:r>
      <w:r>
        <w:t xml:space="preserve"> Sentencia </w:t>
      </w:r>
      <w:hyperlink w:anchor="SENTENCIA_2023_89" w:history="1">
        <w:r w:rsidRPr="00DA359F">
          <w:rPr>
            <w:rStyle w:val="TextoNormalCaracter"/>
          </w:rPr>
          <w:t>89/2023</w:t>
        </w:r>
      </w:hyperlink>
      <w:r>
        <w:t>, ff. 3, 4.</w:t>
      </w:r>
    </w:p>
    <w:p w14:paraId="440980A5" w14:textId="3B9905EB" w:rsidR="00DA359F" w:rsidRDefault="00DA359F" w:rsidP="00DA359F">
      <w:pPr>
        <w:pStyle w:val="SangriaFrancesaArticulo"/>
      </w:pPr>
    </w:p>
    <w:p w14:paraId="59059499" w14:textId="77777777" w:rsidR="00DA359F" w:rsidRDefault="00DA359F" w:rsidP="00DA359F">
      <w:pPr>
        <w:pStyle w:val="TextoNormalNegritaCursivandice"/>
        <w:keepNext/>
      </w:pPr>
      <w:r>
        <w:t>Ley 10/2010, de 28 de abril, de prevención del blanqueo de capitales y de la financiación del terrorismo</w:t>
      </w:r>
    </w:p>
    <w:p w14:paraId="2A337392" w14:textId="50537A79" w:rsidR="00DA359F" w:rsidRDefault="00DA359F" w:rsidP="00DA359F">
      <w:pPr>
        <w:pStyle w:val="SangriaFrancesaArticulo"/>
      </w:pPr>
      <w:r w:rsidRPr="00DA359F">
        <w:rPr>
          <w:rStyle w:val="TextoNormalNegritaCaracter"/>
        </w:rPr>
        <w:t>Artículo 2.1 a).</w:t>
      </w:r>
      <w:r w:rsidRPr="00DA359F">
        <w:rPr>
          <w:rStyle w:val="TextoNormalCaracter"/>
        </w:rPr>
        <w:t>-</w:t>
      </w:r>
      <w:r>
        <w:t xml:space="preserve"> Sentencia </w:t>
      </w:r>
      <w:hyperlink w:anchor="SENTENCIA_2023_179" w:history="1">
        <w:r w:rsidRPr="00DA359F">
          <w:rPr>
            <w:rStyle w:val="TextoNormalCaracter"/>
          </w:rPr>
          <w:t>179/2023</w:t>
        </w:r>
      </w:hyperlink>
      <w:r>
        <w:t>, f. 3.</w:t>
      </w:r>
    </w:p>
    <w:p w14:paraId="60EFE4AD" w14:textId="6C5E4438" w:rsidR="00DA359F" w:rsidRDefault="00DA359F" w:rsidP="00DA359F">
      <w:pPr>
        <w:pStyle w:val="SangriaFrancesaArticulo"/>
      </w:pPr>
      <w:r w:rsidRPr="00DA359F">
        <w:rPr>
          <w:rStyle w:val="TextoNormalNegritaCaracter"/>
        </w:rPr>
        <w:t>Artículo 13.</w:t>
      </w:r>
      <w:r w:rsidRPr="00DA359F">
        <w:rPr>
          <w:rStyle w:val="TextoNormalCaracter"/>
        </w:rPr>
        <w:t>-</w:t>
      </w:r>
      <w:r>
        <w:t xml:space="preserve"> Sentencia </w:t>
      </w:r>
      <w:hyperlink w:anchor="SENTENCIA_2023_179" w:history="1">
        <w:r w:rsidRPr="00DA359F">
          <w:rPr>
            <w:rStyle w:val="TextoNormalCaracter"/>
          </w:rPr>
          <w:t>179/2023</w:t>
        </w:r>
      </w:hyperlink>
      <w:r>
        <w:t>, f. 3.</w:t>
      </w:r>
    </w:p>
    <w:p w14:paraId="62A9889C" w14:textId="624CB337" w:rsidR="00DA359F" w:rsidRDefault="00DA359F" w:rsidP="00DA359F">
      <w:pPr>
        <w:pStyle w:val="SangriaFrancesaArticulo"/>
      </w:pPr>
      <w:r w:rsidRPr="00DA359F">
        <w:rPr>
          <w:rStyle w:val="TextoNormalNegritaCaracter"/>
        </w:rPr>
        <w:t>Artículo 43.</w:t>
      </w:r>
      <w:r w:rsidRPr="00DA359F">
        <w:rPr>
          <w:rStyle w:val="TextoNormalCaracter"/>
        </w:rPr>
        <w:t>-</w:t>
      </w:r>
      <w:r>
        <w:t xml:space="preserve"> Sentencia </w:t>
      </w:r>
      <w:hyperlink w:anchor="SENTENCIA_2023_179" w:history="1">
        <w:r w:rsidRPr="00DA359F">
          <w:rPr>
            <w:rStyle w:val="TextoNormalCaracter"/>
          </w:rPr>
          <w:t>179/2023</w:t>
        </w:r>
      </w:hyperlink>
      <w:r>
        <w:t>, f. 3.</w:t>
      </w:r>
    </w:p>
    <w:p w14:paraId="502C5597" w14:textId="4007F601" w:rsidR="00DA359F" w:rsidRDefault="00DA359F" w:rsidP="00DA359F">
      <w:pPr>
        <w:pStyle w:val="SangriaFrancesaArticulo"/>
      </w:pPr>
      <w:r w:rsidRPr="00DA359F">
        <w:rPr>
          <w:rStyle w:val="TextoNormalNegritaCaracter"/>
        </w:rPr>
        <w:t>Artículo 51.1 a).</w:t>
      </w:r>
      <w:r w:rsidRPr="00DA359F">
        <w:rPr>
          <w:rStyle w:val="TextoNormalCaracter"/>
        </w:rPr>
        <w:t>-</w:t>
      </w:r>
      <w:r>
        <w:t xml:space="preserve"> Sentencia </w:t>
      </w:r>
      <w:hyperlink w:anchor="SENTENCIA_2023_179" w:history="1">
        <w:r w:rsidRPr="00DA359F">
          <w:rPr>
            <w:rStyle w:val="TextoNormalCaracter"/>
          </w:rPr>
          <w:t>179/2023</w:t>
        </w:r>
      </w:hyperlink>
      <w:r>
        <w:t>, f. 1.</w:t>
      </w:r>
    </w:p>
    <w:p w14:paraId="63BC6C12" w14:textId="32DA9DA6" w:rsidR="00DA359F" w:rsidRDefault="00DA359F" w:rsidP="00DA359F">
      <w:pPr>
        <w:pStyle w:val="SangriaFrancesaArticulo"/>
      </w:pPr>
      <w:r w:rsidRPr="00DA359F">
        <w:rPr>
          <w:rStyle w:val="TextoNormalNegritaCaracter"/>
        </w:rPr>
        <w:t>Artículo 55.1.</w:t>
      </w:r>
      <w:r w:rsidRPr="00DA359F">
        <w:rPr>
          <w:rStyle w:val="TextoNormalCaracter"/>
        </w:rPr>
        <w:t>-</w:t>
      </w:r>
      <w:r>
        <w:t xml:space="preserve"> Sentencia </w:t>
      </w:r>
      <w:hyperlink w:anchor="SENTENCIA_2023_179" w:history="1">
        <w:r w:rsidRPr="00DA359F">
          <w:rPr>
            <w:rStyle w:val="TextoNormalCaracter"/>
          </w:rPr>
          <w:t>179/2023</w:t>
        </w:r>
      </w:hyperlink>
      <w:r>
        <w:t>, f. 3.</w:t>
      </w:r>
    </w:p>
    <w:p w14:paraId="3E8DD620" w14:textId="70A02DC9" w:rsidR="00DA359F" w:rsidRDefault="00DA359F" w:rsidP="00DA359F">
      <w:pPr>
        <w:pStyle w:val="SangriaFrancesaArticulo"/>
      </w:pPr>
      <w:r w:rsidRPr="00DA359F">
        <w:rPr>
          <w:rStyle w:val="TextoNormalNegritaCaracter"/>
        </w:rPr>
        <w:t>Artículo 59.1 b).</w:t>
      </w:r>
      <w:r w:rsidRPr="00DA359F">
        <w:rPr>
          <w:rStyle w:val="TextoNormalCaracter"/>
        </w:rPr>
        <w:t>-</w:t>
      </w:r>
      <w:r>
        <w:t xml:space="preserve"> Sentencia </w:t>
      </w:r>
      <w:hyperlink w:anchor="SENTENCIA_2023_179" w:history="1">
        <w:r w:rsidRPr="00DA359F">
          <w:rPr>
            <w:rStyle w:val="TextoNormalCaracter"/>
          </w:rPr>
          <w:t>179/2023</w:t>
        </w:r>
      </w:hyperlink>
      <w:r>
        <w:t>, f. 3.</w:t>
      </w:r>
    </w:p>
    <w:p w14:paraId="065346BD" w14:textId="43CD85AB" w:rsidR="00DA359F" w:rsidRDefault="00DA359F" w:rsidP="00DA359F">
      <w:pPr>
        <w:pStyle w:val="SangriaFrancesaArticulo"/>
      </w:pPr>
    </w:p>
    <w:p w14:paraId="21BAEA38" w14:textId="77777777" w:rsidR="00DA359F" w:rsidRDefault="00DA359F" w:rsidP="00DA359F">
      <w:pPr>
        <w:pStyle w:val="TextoNormalNegritaCursivandice"/>
        <w:keepNext/>
      </w:pPr>
      <w:r>
        <w:t>Ley 17/2010, de 16 de julio, del régimen de cesión de tributos del Estado a la Comunidad Autónoma de Galicia y de fijación del alcance y condiciones de dicha cesión</w:t>
      </w:r>
    </w:p>
    <w:p w14:paraId="0295B6E6" w14:textId="648EFE70"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Sentencias </w:t>
      </w:r>
      <w:hyperlink w:anchor="SENTENCIA_2023_170" w:history="1">
        <w:r w:rsidRPr="00DA359F">
          <w:rPr>
            <w:rStyle w:val="TextoNormalCaracter"/>
          </w:rPr>
          <w:t>170/2023</w:t>
        </w:r>
      </w:hyperlink>
      <w:r>
        <w:t xml:space="preserve">, f. 2; </w:t>
      </w:r>
      <w:hyperlink w:anchor="SENTENCIA_2023_171" w:history="1">
        <w:r w:rsidRPr="00DA359F">
          <w:rPr>
            <w:rStyle w:val="TextoNormalCaracter"/>
          </w:rPr>
          <w:t>171/2023</w:t>
        </w:r>
      </w:hyperlink>
      <w:r>
        <w:t>, f. 2.</w:t>
      </w:r>
    </w:p>
    <w:p w14:paraId="26FC59D9" w14:textId="3A0F9361" w:rsidR="00DA359F" w:rsidRDefault="00DA359F" w:rsidP="00DA359F">
      <w:pPr>
        <w:pStyle w:val="SangriaFrancesaArticulo"/>
      </w:pPr>
    </w:p>
    <w:p w14:paraId="4FD6555B" w14:textId="77777777" w:rsidR="00DA359F" w:rsidRDefault="00DA359F" w:rsidP="00DA359F">
      <w:pPr>
        <w:pStyle w:val="TextoNormalNegritaCursivandice"/>
        <w:keepNext/>
      </w:pPr>
      <w:r>
        <w:t>Ley 29/2010, de 16 de julio, del régimen de cesión de tributos del Estado a la Comunidad de Madrid y de fijación del alcance y condiciones de dicha cesión</w:t>
      </w:r>
    </w:p>
    <w:p w14:paraId="7478C23B" w14:textId="2BA7A84C"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Sentencias </w:t>
      </w:r>
      <w:hyperlink w:anchor="SENTENCIA_2023_149" w:history="1">
        <w:r w:rsidRPr="00DA359F">
          <w:rPr>
            <w:rStyle w:val="TextoNormalCaracter"/>
          </w:rPr>
          <w:t>149/2023</w:t>
        </w:r>
      </w:hyperlink>
      <w:r>
        <w:t xml:space="preserve">, f. 3, VP; </w:t>
      </w:r>
      <w:hyperlink w:anchor="SENTENCIA_2023_189" w:history="1">
        <w:r w:rsidRPr="00DA359F">
          <w:rPr>
            <w:rStyle w:val="TextoNormalCaracter"/>
          </w:rPr>
          <w:t>189/2023</w:t>
        </w:r>
      </w:hyperlink>
      <w:r>
        <w:t>, f. 2.</w:t>
      </w:r>
    </w:p>
    <w:p w14:paraId="53D17E50" w14:textId="742EB58F" w:rsidR="00DA359F" w:rsidRDefault="00DA359F" w:rsidP="00DA359F">
      <w:pPr>
        <w:pStyle w:val="SangriaFrancesaArticulo"/>
      </w:pPr>
      <w:r w:rsidRPr="00DA359F">
        <w:rPr>
          <w:rStyle w:val="TextoNormalNegritaCaracter"/>
        </w:rPr>
        <w:t>Artículo 1.</w:t>
      </w:r>
      <w:r w:rsidRPr="00DA359F">
        <w:rPr>
          <w:rStyle w:val="TextoNormalCaracter"/>
        </w:rPr>
        <w:t>-</w:t>
      </w:r>
      <w:r>
        <w:t xml:space="preserve"> Sentencia </w:t>
      </w:r>
      <w:hyperlink w:anchor="SENTENCIA_2023_149" w:history="1">
        <w:r w:rsidRPr="00DA359F">
          <w:rPr>
            <w:rStyle w:val="TextoNormalCaracter"/>
          </w:rPr>
          <w:t>149/2023</w:t>
        </w:r>
      </w:hyperlink>
      <w:r>
        <w:t>, VP.</w:t>
      </w:r>
    </w:p>
    <w:p w14:paraId="0C5E2C9A" w14:textId="275C8039" w:rsidR="00DA359F" w:rsidRDefault="00DA359F" w:rsidP="00DA359F">
      <w:pPr>
        <w:pStyle w:val="SangriaFrancesaArticulo"/>
      </w:pPr>
      <w:r w:rsidRPr="00DA359F">
        <w:rPr>
          <w:rStyle w:val="TextoNormalNegritaCaracter"/>
        </w:rPr>
        <w:t>Artículo 2.1.</w:t>
      </w:r>
      <w:r w:rsidRPr="00DA359F">
        <w:rPr>
          <w:rStyle w:val="TextoNormalCaracter"/>
        </w:rPr>
        <w:t>-</w:t>
      </w:r>
      <w:r>
        <w:t xml:space="preserve"> Sentencia </w:t>
      </w:r>
      <w:hyperlink w:anchor="SENTENCIA_2023_149" w:history="1">
        <w:r w:rsidRPr="00DA359F">
          <w:rPr>
            <w:rStyle w:val="TextoNormalCaracter"/>
          </w:rPr>
          <w:t>149/2023</w:t>
        </w:r>
      </w:hyperlink>
      <w:r>
        <w:t>, VP.</w:t>
      </w:r>
    </w:p>
    <w:p w14:paraId="2E4C7858" w14:textId="6255677D" w:rsidR="00DA359F" w:rsidRDefault="00DA359F" w:rsidP="00DA359F">
      <w:pPr>
        <w:pStyle w:val="SangriaFrancesaArticulo"/>
      </w:pPr>
      <w:r w:rsidRPr="00DA359F">
        <w:rPr>
          <w:rStyle w:val="TextoNormalNegritaCaracter"/>
        </w:rPr>
        <w:t>Artículo 2.2.</w:t>
      </w:r>
      <w:r w:rsidRPr="00DA359F">
        <w:rPr>
          <w:rStyle w:val="TextoNormalCaracter"/>
        </w:rPr>
        <w:t>-</w:t>
      </w:r>
      <w:r>
        <w:t xml:space="preserve"> Sentencia </w:t>
      </w:r>
      <w:hyperlink w:anchor="SENTENCIA_2023_149" w:history="1">
        <w:r w:rsidRPr="00DA359F">
          <w:rPr>
            <w:rStyle w:val="TextoNormalCaracter"/>
          </w:rPr>
          <w:t>149/2023</w:t>
        </w:r>
      </w:hyperlink>
      <w:r>
        <w:t>, VP.</w:t>
      </w:r>
    </w:p>
    <w:p w14:paraId="4DA98585" w14:textId="7B740E10" w:rsidR="00DA359F" w:rsidRDefault="00DA359F" w:rsidP="00DA359F">
      <w:pPr>
        <w:pStyle w:val="SangriaFrancesaArticulo"/>
      </w:pPr>
    </w:p>
    <w:p w14:paraId="6235597F" w14:textId="77777777" w:rsidR="00DA359F" w:rsidRDefault="00DA359F" w:rsidP="00DA359F">
      <w:pPr>
        <w:pStyle w:val="TextoNormalNegritaCursivandice"/>
        <w:keepNext/>
      </w:pPr>
      <w:r>
        <w:t>Ley 13/2011, de 27 de mayo, de regulación del juego</w:t>
      </w:r>
    </w:p>
    <w:p w14:paraId="6E8D14C9" w14:textId="3B2A4893"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169" w:history="1">
        <w:r w:rsidRPr="00DA359F">
          <w:rPr>
            <w:rStyle w:val="TextoNormalCaracter"/>
          </w:rPr>
          <w:t>169/2023</w:t>
        </w:r>
      </w:hyperlink>
      <w:r>
        <w:t>, ff. 1, 3.</w:t>
      </w:r>
    </w:p>
    <w:p w14:paraId="79BEC183" w14:textId="2A4A9B66" w:rsidR="00DA359F" w:rsidRDefault="00DA359F" w:rsidP="00DA359F">
      <w:pPr>
        <w:pStyle w:val="SangriaFrancesaArticulo"/>
      </w:pPr>
      <w:r w:rsidRPr="00DA359F">
        <w:rPr>
          <w:rStyle w:val="TextoNormalNegritaCaracter"/>
        </w:rPr>
        <w:t>Artículo 1.</w:t>
      </w:r>
      <w:r w:rsidRPr="00DA359F">
        <w:rPr>
          <w:rStyle w:val="TextoNormalCaracter"/>
        </w:rPr>
        <w:t>-</w:t>
      </w:r>
      <w:r>
        <w:t xml:space="preserve"> Sentencia </w:t>
      </w:r>
      <w:hyperlink w:anchor="SENTENCIA_2023_169" w:history="1">
        <w:r w:rsidRPr="00DA359F">
          <w:rPr>
            <w:rStyle w:val="TextoNormalCaracter"/>
          </w:rPr>
          <w:t>169/2023</w:t>
        </w:r>
      </w:hyperlink>
      <w:r>
        <w:t>, f. 1.</w:t>
      </w:r>
    </w:p>
    <w:p w14:paraId="0F07CA67" w14:textId="33A8EDCD" w:rsidR="00DA359F" w:rsidRDefault="00DA359F" w:rsidP="00DA359F">
      <w:pPr>
        <w:pStyle w:val="SangriaFrancesaArticulo"/>
      </w:pPr>
      <w:r w:rsidRPr="00DA359F">
        <w:rPr>
          <w:rStyle w:val="TextoNormalNegritaCaracter"/>
        </w:rPr>
        <w:t>Artículo 5.3.</w:t>
      </w:r>
      <w:r w:rsidRPr="00DA359F">
        <w:rPr>
          <w:rStyle w:val="TextoNormalCaracter"/>
        </w:rPr>
        <w:t>-</w:t>
      </w:r>
      <w:r>
        <w:t xml:space="preserve"> Sentencia </w:t>
      </w:r>
      <w:hyperlink w:anchor="SENTENCIA_2023_169" w:history="1">
        <w:r w:rsidRPr="00DA359F">
          <w:rPr>
            <w:rStyle w:val="TextoNormalCaracter"/>
          </w:rPr>
          <w:t>169/2023</w:t>
        </w:r>
      </w:hyperlink>
      <w:r>
        <w:t>, f. 1.</w:t>
      </w:r>
    </w:p>
    <w:p w14:paraId="244A861E" w14:textId="17FB0D1B" w:rsidR="00DA359F" w:rsidRDefault="00DA359F" w:rsidP="00DA359F">
      <w:pPr>
        <w:pStyle w:val="SangriaFrancesaArticulo"/>
      </w:pPr>
      <w:r w:rsidRPr="00DA359F">
        <w:rPr>
          <w:rStyle w:val="TextoNormalNegritaCaracter"/>
        </w:rPr>
        <w:t>Artículo 7.</w:t>
      </w:r>
      <w:r w:rsidRPr="00DA359F">
        <w:rPr>
          <w:rStyle w:val="TextoNormalCaracter"/>
        </w:rPr>
        <w:t>-</w:t>
      </w:r>
      <w:r>
        <w:t xml:space="preserve"> Sentencia </w:t>
      </w:r>
      <w:hyperlink w:anchor="SENTENCIA_2023_169" w:history="1">
        <w:r w:rsidRPr="00DA359F">
          <w:rPr>
            <w:rStyle w:val="TextoNormalCaracter"/>
          </w:rPr>
          <w:t>169/2023</w:t>
        </w:r>
      </w:hyperlink>
      <w:r>
        <w:t>, f. 1.</w:t>
      </w:r>
    </w:p>
    <w:p w14:paraId="1965F2E4" w14:textId="56A01F87" w:rsidR="00DA359F" w:rsidRDefault="00DA359F" w:rsidP="00DA359F">
      <w:pPr>
        <w:pStyle w:val="SangriaFrancesaArticulo"/>
      </w:pPr>
      <w:r w:rsidRPr="00DA359F">
        <w:rPr>
          <w:rStyle w:val="TextoNormalNegritaCaracter"/>
        </w:rPr>
        <w:t>Artículo 7 bis.</w:t>
      </w:r>
      <w:r w:rsidRPr="00DA359F">
        <w:rPr>
          <w:rStyle w:val="TextoNormalCaracter"/>
        </w:rPr>
        <w:t>-</w:t>
      </w:r>
      <w:r>
        <w:t xml:space="preserve"> Sentencia </w:t>
      </w:r>
      <w:hyperlink w:anchor="SENTENCIA_2023_169" w:history="1">
        <w:r w:rsidRPr="00DA359F">
          <w:rPr>
            <w:rStyle w:val="TextoNormalCaracter"/>
          </w:rPr>
          <w:t>169/2023</w:t>
        </w:r>
      </w:hyperlink>
      <w:r>
        <w:t>, ff. 1, 3.</w:t>
      </w:r>
    </w:p>
    <w:p w14:paraId="19EDDB5E" w14:textId="77175FFA" w:rsidR="00DA359F" w:rsidRDefault="00DA359F" w:rsidP="00DA359F">
      <w:pPr>
        <w:pStyle w:val="SangriaFrancesaArticulo"/>
      </w:pPr>
      <w:r w:rsidRPr="00DA359F">
        <w:rPr>
          <w:rStyle w:val="TextoNormalNegritaCaracter"/>
        </w:rPr>
        <w:t>Artículo 7 bis, apartado 1.</w:t>
      </w:r>
      <w:r w:rsidRPr="00DA359F">
        <w:rPr>
          <w:rStyle w:val="TextoNormalCaracter"/>
        </w:rPr>
        <w:t>-</w:t>
      </w:r>
      <w:r>
        <w:t xml:space="preserve"> Sentencia </w:t>
      </w:r>
      <w:hyperlink w:anchor="SENTENCIA_2023_169" w:history="1">
        <w:r w:rsidRPr="00DA359F">
          <w:rPr>
            <w:rStyle w:val="TextoNormalCaracter"/>
          </w:rPr>
          <w:t>169/2023</w:t>
        </w:r>
      </w:hyperlink>
      <w:r>
        <w:t>, f. 3.</w:t>
      </w:r>
    </w:p>
    <w:p w14:paraId="2A08B116" w14:textId="602CED5C" w:rsidR="00DA359F" w:rsidRDefault="00DA359F" w:rsidP="00DA359F">
      <w:pPr>
        <w:pStyle w:val="SangriaFrancesaArticulo"/>
      </w:pPr>
      <w:r w:rsidRPr="00DA359F">
        <w:rPr>
          <w:rStyle w:val="TextoNormalNegritaCaracter"/>
        </w:rPr>
        <w:t>Artículo 7 bis, apartado 2.</w:t>
      </w:r>
      <w:r w:rsidRPr="00DA359F">
        <w:rPr>
          <w:rStyle w:val="TextoNormalCaracter"/>
        </w:rPr>
        <w:t>-</w:t>
      </w:r>
      <w:r>
        <w:t xml:space="preserve"> Sentencia </w:t>
      </w:r>
      <w:hyperlink w:anchor="SENTENCIA_2023_169" w:history="1">
        <w:r w:rsidRPr="00DA359F">
          <w:rPr>
            <w:rStyle w:val="TextoNormalCaracter"/>
          </w:rPr>
          <w:t>169/2023</w:t>
        </w:r>
      </w:hyperlink>
      <w:r>
        <w:t>, f. 3.</w:t>
      </w:r>
    </w:p>
    <w:p w14:paraId="76793E7E" w14:textId="2463945C" w:rsidR="00DA359F" w:rsidRDefault="00DA359F" w:rsidP="00DA359F">
      <w:pPr>
        <w:pStyle w:val="SangriaFrancesaArticulo"/>
      </w:pPr>
      <w:r w:rsidRPr="00DA359F">
        <w:rPr>
          <w:rStyle w:val="TextoNormalNegritaCaracter"/>
        </w:rPr>
        <w:t>Artículo 7.1.</w:t>
      </w:r>
      <w:r w:rsidRPr="00DA359F">
        <w:rPr>
          <w:rStyle w:val="TextoNormalCaracter"/>
        </w:rPr>
        <w:t>-</w:t>
      </w:r>
      <w:r>
        <w:t xml:space="preserve"> Sentencia </w:t>
      </w:r>
      <w:hyperlink w:anchor="SENTENCIA_2023_169" w:history="1">
        <w:r w:rsidRPr="00DA359F">
          <w:rPr>
            <w:rStyle w:val="TextoNormalCaracter"/>
          </w:rPr>
          <w:t>169/2023</w:t>
        </w:r>
      </w:hyperlink>
      <w:r>
        <w:t>, f. 1.</w:t>
      </w:r>
    </w:p>
    <w:p w14:paraId="41DD5232" w14:textId="2688CC8B" w:rsidR="00DA359F" w:rsidRDefault="00DA359F" w:rsidP="00DA359F">
      <w:pPr>
        <w:pStyle w:val="SangriaFrancesaArticulo"/>
      </w:pPr>
      <w:r w:rsidRPr="00DA359F">
        <w:rPr>
          <w:rStyle w:val="TextoNormalNegritaCaracter"/>
        </w:rPr>
        <w:t>Artículo 7.2.</w:t>
      </w:r>
      <w:r w:rsidRPr="00DA359F">
        <w:rPr>
          <w:rStyle w:val="TextoNormalCaracter"/>
        </w:rPr>
        <w:t>-</w:t>
      </w:r>
      <w:r>
        <w:t xml:space="preserve"> Sentencia </w:t>
      </w:r>
      <w:hyperlink w:anchor="SENTENCIA_2023_169" w:history="1">
        <w:r w:rsidRPr="00DA359F">
          <w:rPr>
            <w:rStyle w:val="TextoNormalCaracter"/>
          </w:rPr>
          <w:t>169/2023</w:t>
        </w:r>
      </w:hyperlink>
      <w:r>
        <w:t>, ff. 1, 2.</w:t>
      </w:r>
    </w:p>
    <w:p w14:paraId="376BC54A" w14:textId="3E0CF05C" w:rsidR="00DA359F" w:rsidRDefault="00DA359F" w:rsidP="00DA359F">
      <w:pPr>
        <w:pStyle w:val="SangriaFrancesaArticulo"/>
      </w:pPr>
      <w:r w:rsidRPr="00DA359F">
        <w:rPr>
          <w:rStyle w:val="TextoNormalNegritaCaracter"/>
        </w:rPr>
        <w:t>Artículo 7.2, primer párrafo.</w:t>
      </w:r>
      <w:r w:rsidRPr="00DA359F">
        <w:rPr>
          <w:rStyle w:val="TextoNormalCaracter"/>
        </w:rPr>
        <w:t>-</w:t>
      </w:r>
      <w:r>
        <w:t xml:space="preserve"> Sentencia </w:t>
      </w:r>
      <w:hyperlink w:anchor="SENTENCIA_2023_169" w:history="1">
        <w:r w:rsidRPr="00DA359F">
          <w:rPr>
            <w:rStyle w:val="TextoNormalCaracter"/>
          </w:rPr>
          <w:t>169/2023</w:t>
        </w:r>
      </w:hyperlink>
      <w:r>
        <w:t>, ff. 1, 3.</w:t>
      </w:r>
    </w:p>
    <w:p w14:paraId="7C7401D4" w14:textId="5C220499" w:rsidR="00DA359F" w:rsidRDefault="00DA359F" w:rsidP="00DA359F">
      <w:pPr>
        <w:pStyle w:val="SangriaFrancesaArticulo"/>
      </w:pPr>
      <w:r w:rsidRPr="00DA359F">
        <w:rPr>
          <w:rStyle w:val="TextoNormalNegritaCaracter"/>
        </w:rPr>
        <w:t>Artículo 7.3.</w:t>
      </w:r>
      <w:r w:rsidRPr="00DA359F">
        <w:rPr>
          <w:rStyle w:val="TextoNormalCaracter"/>
        </w:rPr>
        <w:t>-</w:t>
      </w:r>
      <w:r>
        <w:t xml:space="preserve"> Sentencia </w:t>
      </w:r>
      <w:hyperlink w:anchor="SENTENCIA_2023_169" w:history="1">
        <w:r w:rsidRPr="00DA359F">
          <w:rPr>
            <w:rStyle w:val="TextoNormalCaracter"/>
          </w:rPr>
          <w:t>169/2023</w:t>
        </w:r>
      </w:hyperlink>
      <w:r>
        <w:t>, f. 1.</w:t>
      </w:r>
    </w:p>
    <w:p w14:paraId="036A8A64" w14:textId="7F9E0286" w:rsidR="00DA359F" w:rsidRDefault="00DA359F" w:rsidP="00DA359F">
      <w:pPr>
        <w:pStyle w:val="SangriaFrancesaArticulo"/>
      </w:pPr>
      <w:r w:rsidRPr="00DA359F">
        <w:rPr>
          <w:rStyle w:val="TextoNormalNegritaCaracter"/>
        </w:rPr>
        <w:t>Artículo 7.4.</w:t>
      </w:r>
      <w:r w:rsidRPr="00DA359F">
        <w:rPr>
          <w:rStyle w:val="TextoNormalCaracter"/>
        </w:rPr>
        <w:t>-</w:t>
      </w:r>
      <w:r>
        <w:t xml:space="preserve"> Sentencia </w:t>
      </w:r>
      <w:hyperlink w:anchor="SENTENCIA_2023_169" w:history="1">
        <w:r w:rsidRPr="00DA359F">
          <w:rPr>
            <w:rStyle w:val="TextoNormalCaracter"/>
          </w:rPr>
          <w:t>169/2023</w:t>
        </w:r>
      </w:hyperlink>
      <w:r>
        <w:t>, f. 1.</w:t>
      </w:r>
    </w:p>
    <w:p w14:paraId="369FEC49" w14:textId="3038859C" w:rsidR="00DA359F" w:rsidRDefault="00DA359F" w:rsidP="00DA359F">
      <w:pPr>
        <w:pStyle w:val="SangriaFrancesaArticulo"/>
      </w:pPr>
    </w:p>
    <w:p w14:paraId="796EE53C" w14:textId="77777777" w:rsidR="00DA359F" w:rsidRDefault="00DA359F" w:rsidP="00DA359F">
      <w:pPr>
        <w:pStyle w:val="TextoNormalNegritaCursivandice"/>
        <w:keepNext/>
      </w:pPr>
      <w:r>
        <w:t>Ley 36/2011, de 10 de octubre, reguladora de la jurisdicción social</w:t>
      </w:r>
    </w:p>
    <w:p w14:paraId="432A6695" w14:textId="0D70C845" w:rsidR="00DA359F" w:rsidRDefault="00DA359F" w:rsidP="00DA359F">
      <w:pPr>
        <w:pStyle w:val="SangriaFrancesaArticulo"/>
      </w:pPr>
      <w:r w:rsidRPr="00DA359F">
        <w:rPr>
          <w:rStyle w:val="TextoNormalNegritaCaracter"/>
        </w:rPr>
        <w:t>Artículo 4.</w:t>
      </w:r>
      <w:r w:rsidRPr="00DA359F">
        <w:rPr>
          <w:rStyle w:val="TextoNormalCaracter"/>
        </w:rPr>
        <w:t>-</w:t>
      </w:r>
      <w:r>
        <w:t xml:space="preserve"> Sentencia </w:t>
      </w:r>
      <w:hyperlink w:anchor="SENTENCIA_2023_123" w:history="1">
        <w:r w:rsidRPr="00DA359F">
          <w:rPr>
            <w:rStyle w:val="TextoNormalCaracter"/>
          </w:rPr>
          <w:t>123/2023</w:t>
        </w:r>
      </w:hyperlink>
      <w:r>
        <w:t>, f. 2.</w:t>
      </w:r>
    </w:p>
    <w:p w14:paraId="46FDCEE3" w14:textId="11F6C684" w:rsidR="00DA359F" w:rsidRDefault="00DA359F" w:rsidP="00DA359F">
      <w:pPr>
        <w:pStyle w:val="SangriaFrancesaArticulo"/>
      </w:pPr>
    </w:p>
    <w:p w14:paraId="79AA6176" w14:textId="77777777" w:rsidR="00DA359F" w:rsidRDefault="00DA359F" w:rsidP="00DA359F">
      <w:pPr>
        <w:pStyle w:val="TextoNormalNegritaCursivandice"/>
        <w:keepNext/>
      </w:pPr>
      <w:r>
        <w:t>Ley 16/2012, de 27 de diciembre. Diversas medidas tributarias dirigidas a la consolidación de las finanzas públicas y al impulso de la actividad económica</w:t>
      </w:r>
    </w:p>
    <w:p w14:paraId="79CD78E3" w14:textId="57A4338B"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149" w:history="1">
        <w:r w:rsidRPr="00DA359F">
          <w:rPr>
            <w:rStyle w:val="TextoNormalCaracter"/>
          </w:rPr>
          <w:t>149/2023</w:t>
        </w:r>
      </w:hyperlink>
      <w:r>
        <w:t>, f. 2, VP.</w:t>
      </w:r>
    </w:p>
    <w:p w14:paraId="4FBCEBD4" w14:textId="5ADC5E1F" w:rsidR="00DA359F" w:rsidRDefault="00DA359F" w:rsidP="00DA359F">
      <w:pPr>
        <w:pStyle w:val="SangriaFrancesaArticulo"/>
      </w:pPr>
      <w:r w:rsidRPr="00DA359F">
        <w:rPr>
          <w:rStyle w:val="TextoNormalNegritaCaracter"/>
        </w:rPr>
        <w:t>Artículo 19.3.</w:t>
      </w:r>
      <w:r w:rsidRPr="00DA359F">
        <w:rPr>
          <w:rStyle w:val="TextoNormalCaracter"/>
        </w:rPr>
        <w:t>-</w:t>
      </w:r>
      <w:r>
        <w:t xml:space="preserve"> Sentencia </w:t>
      </w:r>
      <w:hyperlink w:anchor="SENTENCIA_2023_149" w:history="1">
        <w:r w:rsidRPr="00DA359F">
          <w:rPr>
            <w:rStyle w:val="TextoNormalCaracter"/>
          </w:rPr>
          <w:t>149/2023</w:t>
        </w:r>
      </w:hyperlink>
      <w:r>
        <w:t>, VP.</w:t>
      </w:r>
    </w:p>
    <w:p w14:paraId="0A50FB6F" w14:textId="11AF291F" w:rsidR="00DA359F" w:rsidRDefault="00DA359F" w:rsidP="00DA359F">
      <w:pPr>
        <w:pStyle w:val="SangriaFrancesaArticulo"/>
      </w:pPr>
      <w:r w:rsidRPr="00DA359F">
        <w:rPr>
          <w:rStyle w:val="TextoNormalNegritaCaracter"/>
        </w:rPr>
        <w:t>Artículo 19.4.</w:t>
      </w:r>
      <w:r w:rsidRPr="00DA359F">
        <w:rPr>
          <w:rStyle w:val="TextoNormalCaracter"/>
        </w:rPr>
        <w:t>-</w:t>
      </w:r>
      <w:r>
        <w:t xml:space="preserve"> Sentencia </w:t>
      </w:r>
      <w:hyperlink w:anchor="SENTENCIA_2023_149" w:history="1">
        <w:r w:rsidRPr="00DA359F">
          <w:rPr>
            <w:rStyle w:val="TextoNormalCaracter"/>
          </w:rPr>
          <w:t>149/2023</w:t>
        </w:r>
      </w:hyperlink>
      <w:r>
        <w:t>, VP.</w:t>
      </w:r>
    </w:p>
    <w:p w14:paraId="35D0EFAD" w14:textId="2B878DA0" w:rsidR="00DA359F" w:rsidRDefault="00DA359F" w:rsidP="00DA359F">
      <w:pPr>
        <w:pStyle w:val="SangriaFrancesaArticulo"/>
      </w:pPr>
    </w:p>
    <w:p w14:paraId="101C9C99" w14:textId="77777777" w:rsidR="00DA359F" w:rsidRDefault="00DA359F" w:rsidP="00DA359F">
      <w:pPr>
        <w:pStyle w:val="TextoNormalNegritaCursivandice"/>
        <w:keepNext/>
      </w:pPr>
      <w:r>
        <w:t>Ley 1/2013, de 14 de mayo, de medidas para reforzar la protección a los deudores hipotecarios, reestructuración de deuda y alquiler social</w:t>
      </w:r>
    </w:p>
    <w:p w14:paraId="0207F008" w14:textId="03F26551"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172" w:history="1">
        <w:r w:rsidRPr="00DA359F">
          <w:rPr>
            <w:rStyle w:val="TextoNormalCaracter"/>
          </w:rPr>
          <w:t>172/2023</w:t>
        </w:r>
      </w:hyperlink>
      <w:r>
        <w:t>, f. 2.</w:t>
      </w:r>
    </w:p>
    <w:p w14:paraId="6A440D39" w14:textId="4FBC3346" w:rsidR="00DA359F" w:rsidRDefault="00DA359F" w:rsidP="00DA359F">
      <w:pPr>
        <w:pStyle w:val="SangriaFrancesaArticulo"/>
      </w:pPr>
    </w:p>
    <w:p w14:paraId="07D2DE63" w14:textId="77777777" w:rsidR="00DA359F" w:rsidRDefault="00DA359F" w:rsidP="00DA359F">
      <w:pPr>
        <w:pStyle w:val="TextoNormalNegritaCursivandice"/>
        <w:keepNext/>
      </w:pPr>
      <w:r>
        <w:t>Ley 14/2013, de 27 de septiembre,  de apoyo a los emprendedores y su internacionalización</w:t>
      </w:r>
    </w:p>
    <w:p w14:paraId="230CCB93" w14:textId="6DD7A587" w:rsidR="00DA359F" w:rsidRDefault="00DA359F" w:rsidP="00DA359F">
      <w:pPr>
        <w:pStyle w:val="SangriaFrancesaArticulo"/>
      </w:pPr>
      <w:r w:rsidRPr="00DA359F">
        <w:rPr>
          <w:rStyle w:val="TextoNormalNegritaCaracter"/>
        </w:rPr>
        <w:t>En general.</w:t>
      </w:r>
      <w:r w:rsidRPr="00DA359F">
        <w:rPr>
          <w:rStyle w:val="TextoNormalCaracter"/>
        </w:rPr>
        <w:t>-</w:t>
      </w:r>
      <w:r>
        <w:t xml:space="preserve"> Autos </w:t>
      </w:r>
      <w:hyperlink w:anchor="AUTO_2023_532" w:history="1">
        <w:r w:rsidRPr="00DA359F">
          <w:rPr>
            <w:rStyle w:val="TextoNormalCaracter"/>
          </w:rPr>
          <w:t>532/2023</w:t>
        </w:r>
      </w:hyperlink>
      <w:r>
        <w:t xml:space="preserve">, f. 6; </w:t>
      </w:r>
      <w:hyperlink w:anchor="AUTO_2023_535" w:history="1">
        <w:r w:rsidRPr="00DA359F">
          <w:rPr>
            <w:rStyle w:val="TextoNormalCaracter"/>
          </w:rPr>
          <w:t>535/2023</w:t>
        </w:r>
      </w:hyperlink>
      <w:r>
        <w:t>, f. 6.</w:t>
      </w:r>
    </w:p>
    <w:p w14:paraId="006642A8" w14:textId="6E17D329" w:rsidR="00DA359F" w:rsidRDefault="00DA359F" w:rsidP="00DA359F">
      <w:pPr>
        <w:pStyle w:val="SangriaFrancesaArticulo"/>
      </w:pPr>
    </w:p>
    <w:p w14:paraId="0E0BE693" w14:textId="77777777" w:rsidR="00DA359F" w:rsidRDefault="00DA359F" w:rsidP="00DA359F">
      <w:pPr>
        <w:pStyle w:val="TextoNormalNegritaCursivandice"/>
        <w:keepNext/>
      </w:pPr>
      <w:r>
        <w:t>Ley 19/2013, de 9 de diciembre, de transparencia, acceso a la información pública y buen gobierno</w:t>
      </w:r>
    </w:p>
    <w:p w14:paraId="58683BA5" w14:textId="24F453AC" w:rsidR="00DA359F" w:rsidRDefault="00DA359F" w:rsidP="00DA359F">
      <w:pPr>
        <w:pStyle w:val="SangriaFrancesaArticulo"/>
      </w:pPr>
      <w:r w:rsidRPr="00DA359F">
        <w:rPr>
          <w:rStyle w:val="TextoNormalNegritaCaracter"/>
        </w:rPr>
        <w:t>Artículo 8.</w:t>
      </w:r>
      <w:r w:rsidRPr="00DA359F">
        <w:rPr>
          <w:rStyle w:val="TextoNormalCaracter"/>
        </w:rPr>
        <w:t>-</w:t>
      </w:r>
      <w:r>
        <w:t xml:space="preserve"> Sentencia </w:t>
      </w:r>
      <w:hyperlink w:anchor="SENTENCIA_2023_165" w:history="1">
        <w:r w:rsidRPr="00DA359F">
          <w:rPr>
            <w:rStyle w:val="TextoNormalCaracter"/>
          </w:rPr>
          <w:t>165/2023</w:t>
        </w:r>
      </w:hyperlink>
      <w:r>
        <w:t>, f. 4.</w:t>
      </w:r>
    </w:p>
    <w:p w14:paraId="273263F7" w14:textId="647D96A4" w:rsidR="00DA359F" w:rsidRDefault="00DA359F" w:rsidP="00DA359F">
      <w:pPr>
        <w:pStyle w:val="SangriaFrancesaArticulo"/>
      </w:pPr>
      <w:r w:rsidRPr="00DA359F">
        <w:rPr>
          <w:rStyle w:val="TextoNormalNegritaCaracter"/>
        </w:rPr>
        <w:t>Artículo 9.</w:t>
      </w:r>
      <w:r w:rsidRPr="00DA359F">
        <w:rPr>
          <w:rStyle w:val="TextoNormalCaracter"/>
        </w:rPr>
        <w:t>-</w:t>
      </w:r>
      <w:r>
        <w:t xml:space="preserve"> Sentencia </w:t>
      </w:r>
      <w:hyperlink w:anchor="SENTENCIA_2023_165" w:history="1">
        <w:r w:rsidRPr="00DA359F">
          <w:rPr>
            <w:rStyle w:val="TextoNormalCaracter"/>
          </w:rPr>
          <w:t>165/2023</w:t>
        </w:r>
      </w:hyperlink>
      <w:r>
        <w:t>, f. 4.</w:t>
      </w:r>
    </w:p>
    <w:p w14:paraId="1279BB50" w14:textId="1B2862AA" w:rsidR="00DA359F" w:rsidRDefault="00DA359F" w:rsidP="00DA359F">
      <w:pPr>
        <w:pStyle w:val="SangriaFrancesaArticulo"/>
      </w:pPr>
      <w:r w:rsidRPr="00DA359F">
        <w:rPr>
          <w:rStyle w:val="TextoNormalNegritaCaracter"/>
        </w:rPr>
        <w:t>Artículo 15.1, párrafo segundo.</w:t>
      </w:r>
      <w:r w:rsidRPr="00DA359F">
        <w:rPr>
          <w:rStyle w:val="TextoNormalCaracter"/>
        </w:rPr>
        <w:t>-</w:t>
      </w:r>
      <w:r>
        <w:t xml:space="preserve"> Sentencia </w:t>
      </w:r>
      <w:hyperlink w:anchor="SENTENCIA_2023_165" w:history="1">
        <w:r w:rsidRPr="00DA359F">
          <w:rPr>
            <w:rStyle w:val="TextoNormalCaracter"/>
          </w:rPr>
          <w:t>165/2023</w:t>
        </w:r>
      </w:hyperlink>
      <w:r>
        <w:t>, f. 1.</w:t>
      </w:r>
    </w:p>
    <w:p w14:paraId="4E2C551E" w14:textId="444DFEC9" w:rsidR="00DA359F" w:rsidRDefault="00DA359F" w:rsidP="00DA359F">
      <w:pPr>
        <w:pStyle w:val="SangriaFrancesaArticulo"/>
      </w:pPr>
      <w:r w:rsidRPr="00DA359F">
        <w:rPr>
          <w:rStyle w:val="TextoNormalNegritaCaracter"/>
        </w:rPr>
        <w:t>Artículo 15.4.</w:t>
      </w:r>
      <w:r w:rsidRPr="00DA359F">
        <w:rPr>
          <w:rStyle w:val="TextoNormalCaracter"/>
        </w:rPr>
        <w:t>-</w:t>
      </w:r>
      <w:r>
        <w:t xml:space="preserve"> Sentencia </w:t>
      </w:r>
      <w:hyperlink w:anchor="SENTENCIA_2023_165" w:history="1">
        <w:r w:rsidRPr="00DA359F">
          <w:rPr>
            <w:rStyle w:val="TextoNormalCaracter"/>
          </w:rPr>
          <w:t>165/2023</w:t>
        </w:r>
      </w:hyperlink>
      <w:r>
        <w:t>, VP I.</w:t>
      </w:r>
    </w:p>
    <w:p w14:paraId="63FEB6FA" w14:textId="3DBE721B" w:rsidR="00DA359F" w:rsidRDefault="00DA359F" w:rsidP="00DA359F">
      <w:pPr>
        <w:pStyle w:val="SangriaFrancesaArticulo"/>
      </w:pPr>
    </w:p>
    <w:p w14:paraId="796B4B74" w14:textId="77777777" w:rsidR="00DA359F" w:rsidRDefault="00DA359F" w:rsidP="00DA359F">
      <w:pPr>
        <w:pStyle w:val="TextoNormalNegritaCursivandice"/>
        <w:keepNext/>
      </w:pPr>
      <w:r>
        <w:t>Ley 20/2013, de 9 de diciembre, de garantía de la unidad de mercado</w:t>
      </w:r>
    </w:p>
    <w:p w14:paraId="195E3816" w14:textId="4C8C8487"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127" w:history="1">
        <w:r w:rsidRPr="00DA359F">
          <w:rPr>
            <w:rStyle w:val="TextoNormalCaracter"/>
          </w:rPr>
          <w:t>127/2023</w:t>
        </w:r>
      </w:hyperlink>
      <w:r>
        <w:t>, VP.</w:t>
      </w:r>
    </w:p>
    <w:p w14:paraId="036D3E90" w14:textId="5BB97ACD" w:rsidR="00DA359F" w:rsidRDefault="00DA359F" w:rsidP="00DA359F">
      <w:pPr>
        <w:pStyle w:val="SangriaFrancesaArticulo"/>
      </w:pPr>
      <w:r w:rsidRPr="00DA359F">
        <w:rPr>
          <w:rStyle w:val="TextoNormalNegritaCaracter"/>
        </w:rPr>
        <w:t>Artículo 5.</w:t>
      </w:r>
      <w:r w:rsidRPr="00DA359F">
        <w:rPr>
          <w:rStyle w:val="TextoNormalCaracter"/>
        </w:rPr>
        <w:t>-</w:t>
      </w:r>
      <w:r>
        <w:t xml:space="preserve"> Sentencia </w:t>
      </w:r>
      <w:hyperlink w:anchor="SENTENCIA_2023_127" w:history="1">
        <w:r w:rsidRPr="00DA359F">
          <w:rPr>
            <w:rStyle w:val="TextoNormalCaracter"/>
          </w:rPr>
          <w:t>127/2023</w:t>
        </w:r>
      </w:hyperlink>
      <w:r>
        <w:t>, f. 5, VP.</w:t>
      </w:r>
    </w:p>
    <w:p w14:paraId="0960D1A6" w14:textId="463FF5F2" w:rsidR="00DA359F" w:rsidRDefault="00DA359F" w:rsidP="00DA359F">
      <w:pPr>
        <w:pStyle w:val="SangriaFrancesaArticulo"/>
      </w:pPr>
      <w:r w:rsidRPr="00DA359F">
        <w:rPr>
          <w:rStyle w:val="TextoNormalNegritaCaracter"/>
        </w:rPr>
        <w:t>Artículo 5.1.</w:t>
      </w:r>
      <w:r w:rsidRPr="00DA359F">
        <w:rPr>
          <w:rStyle w:val="TextoNormalCaracter"/>
        </w:rPr>
        <w:t>-</w:t>
      </w:r>
      <w:r>
        <w:t xml:space="preserve"> Sentencia </w:t>
      </w:r>
      <w:hyperlink w:anchor="SENTENCIA_2023_127" w:history="1">
        <w:r w:rsidRPr="00DA359F">
          <w:rPr>
            <w:rStyle w:val="TextoNormalCaracter"/>
          </w:rPr>
          <w:t>127/2023</w:t>
        </w:r>
      </w:hyperlink>
      <w:r>
        <w:t>, f. 5.</w:t>
      </w:r>
    </w:p>
    <w:p w14:paraId="504E6189" w14:textId="5A70C0AE" w:rsidR="00DA359F" w:rsidRDefault="00DA359F" w:rsidP="00DA359F">
      <w:pPr>
        <w:pStyle w:val="SangriaFrancesaArticulo"/>
      </w:pPr>
      <w:r w:rsidRPr="00DA359F">
        <w:rPr>
          <w:rStyle w:val="TextoNormalNegritaCaracter"/>
        </w:rPr>
        <w:t>Artículo 5.2.</w:t>
      </w:r>
      <w:r w:rsidRPr="00DA359F">
        <w:rPr>
          <w:rStyle w:val="TextoNormalCaracter"/>
        </w:rPr>
        <w:t>-</w:t>
      </w:r>
      <w:r>
        <w:t xml:space="preserve"> Sentencia </w:t>
      </w:r>
      <w:hyperlink w:anchor="SENTENCIA_2023_127" w:history="1">
        <w:r w:rsidRPr="00DA359F">
          <w:rPr>
            <w:rStyle w:val="TextoNormalCaracter"/>
          </w:rPr>
          <w:t>127/2023</w:t>
        </w:r>
      </w:hyperlink>
      <w:r>
        <w:t>, f. 5.</w:t>
      </w:r>
    </w:p>
    <w:p w14:paraId="73674CC3" w14:textId="5CF8CFF2" w:rsidR="00DA359F" w:rsidRDefault="00DA359F" w:rsidP="00DA359F">
      <w:pPr>
        <w:pStyle w:val="SangriaFrancesaArticulo"/>
      </w:pPr>
    </w:p>
    <w:p w14:paraId="4523E0C3" w14:textId="77777777" w:rsidR="00DA359F" w:rsidRDefault="00DA359F" w:rsidP="00DA359F">
      <w:pPr>
        <w:pStyle w:val="TextoNormalNegritaCursivandice"/>
        <w:keepNext/>
      </w:pPr>
      <w:r>
        <w:t>Ley 27/2013, de 27 de diciembre, de racionalización y sostenibilidad de la administración local</w:t>
      </w:r>
    </w:p>
    <w:p w14:paraId="5CE41C0A" w14:textId="53DE7045"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124" w:history="1">
        <w:r w:rsidRPr="00DA359F">
          <w:rPr>
            <w:rStyle w:val="TextoNormalCaracter"/>
          </w:rPr>
          <w:t>124/2023</w:t>
        </w:r>
      </w:hyperlink>
      <w:r>
        <w:t>, f. 7.</w:t>
      </w:r>
    </w:p>
    <w:p w14:paraId="1DD16CF2" w14:textId="064D41DB" w:rsidR="00DA359F" w:rsidRDefault="00DA359F" w:rsidP="00DA359F">
      <w:pPr>
        <w:pStyle w:val="SangriaFrancesaArticulo"/>
      </w:pPr>
    </w:p>
    <w:p w14:paraId="331F3A2C" w14:textId="77777777" w:rsidR="00DA359F" w:rsidRDefault="00DA359F" w:rsidP="00DA359F">
      <w:pPr>
        <w:pStyle w:val="TextoNormalNegritaCursivandice"/>
        <w:keepNext/>
      </w:pPr>
      <w:r>
        <w:t>Ley 9/2014, de 9 de mayo, general de telecomunicaciones</w:t>
      </w:r>
    </w:p>
    <w:p w14:paraId="0F82D27C" w14:textId="4590EE9B" w:rsidR="00DA359F" w:rsidRDefault="00DA359F" w:rsidP="00DA359F">
      <w:pPr>
        <w:pStyle w:val="SangriaFrancesaArticulo"/>
      </w:pPr>
      <w:r w:rsidRPr="00DA359F">
        <w:rPr>
          <w:rStyle w:val="TextoNormalNegritaCaracter"/>
        </w:rPr>
        <w:t>Artículo 60.</w:t>
      </w:r>
      <w:r w:rsidRPr="00DA359F">
        <w:rPr>
          <w:rStyle w:val="TextoNormalCaracter"/>
        </w:rPr>
        <w:t>-</w:t>
      </w:r>
      <w:r>
        <w:t xml:space="preserve"> Sentencia </w:t>
      </w:r>
      <w:hyperlink w:anchor="SENTENCIA_2023_89" w:history="1">
        <w:r w:rsidRPr="00DA359F">
          <w:rPr>
            <w:rStyle w:val="TextoNormalCaracter"/>
          </w:rPr>
          <w:t>89/2023</w:t>
        </w:r>
      </w:hyperlink>
      <w:r>
        <w:t>, f. 3.</w:t>
      </w:r>
    </w:p>
    <w:p w14:paraId="3ED45D89" w14:textId="64A15BBF" w:rsidR="00DA359F" w:rsidRDefault="00DA359F" w:rsidP="00DA359F">
      <w:pPr>
        <w:pStyle w:val="SangriaFrancesaArticulo"/>
      </w:pPr>
      <w:r w:rsidRPr="00DA359F">
        <w:rPr>
          <w:rStyle w:val="TextoNormalNegritaCaracter"/>
        </w:rPr>
        <w:t>Artículo 60.1.</w:t>
      </w:r>
      <w:r w:rsidRPr="00DA359F">
        <w:rPr>
          <w:rStyle w:val="TextoNormalCaracter"/>
        </w:rPr>
        <w:t>-</w:t>
      </w:r>
      <w:r>
        <w:t xml:space="preserve"> Sentencia </w:t>
      </w:r>
      <w:hyperlink w:anchor="SENTENCIA_2023_89" w:history="1">
        <w:r w:rsidRPr="00DA359F">
          <w:rPr>
            <w:rStyle w:val="TextoNormalCaracter"/>
          </w:rPr>
          <w:t>89/2023</w:t>
        </w:r>
      </w:hyperlink>
      <w:r>
        <w:t>, f. 4.</w:t>
      </w:r>
    </w:p>
    <w:p w14:paraId="313891EA" w14:textId="5BCFD353" w:rsidR="00DA359F" w:rsidRDefault="00DA359F" w:rsidP="00DA359F">
      <w:pPr>
        <w:pStyle w:val="SangriaFrancesaArticulo"/>
      </w:pPr>
      <w:r w:rsidRPr="00DA359F">
        <w:rPr>
          <w:rStyle w:val="TextoNormalNegritaCaracter"/>
        </w:rPr>
        <w:t>Artículo 85.</w:t>
      </w:r>
      <w:r w:rsidRPr="00DA359F">
        <w:rPr>
          <w:rStyle w:val="TextoNormalCaracter"/>
        </w:rPr>
        <w:t>-</w:t>
      </w:r>
      <w:r>
        <w:t xml:space="preserve"> Sentencia </w:t>
      </w:r>
      <w:hyperlink w:anchor="SENTENCIA_2023_89" w:history="1">
        <w:r w:rsidRPr="00DA359F">
          <w:rPr>
            <w:rStyle w:val="TextoNormalCaracter"/>
          </w:rPr>
          <w:t>89/2023</w:t>
        </w:r>
      </w:hyperlink>
      <w:r>
        <w:t>, f. 3.</w:t>
      </w:r>
    </w:p>
    <w:p w14:paraId="29B6C256" w14:textId="634A374E" w:rsidR="00DA359F" w:rsidRDefault="00DA359F" w:rsidP="00DA359F">
      <w:pPr>
        <w:pStyle w:val="SangriaFrancesaArticulo"/>
      </w:pPr>
    </w:p>
    <w:p w14:paraId="35E6E2E8" w14:textId="77777777" w:rsidR="00DA359F" w:rsidRDefault="00DA359F" w:rsidP="00DA359F">
      <w:pPr>
        <w:pStyle w:val="TextoNormalNegritaCursivandice"/>
        <w:keepNext/>
      </w:pPr>
      <w:r>
        <w:t>Ley 10/2014, de 26 de junio. Ordenación, supervisión y solvencia de entidades de crédito</w:t>
      </w:r>
    </w:p>
    <w:p w14:paraId="2621574E" w14:textId="2275DC6F" w:rsidR="00DA359F" w:rsidRDefault="00DA359F" w:rsidP="00DA359F">
      <w:pPr>
        <w:pStyle w:val="SangriaFrancesaArticulo"/>
      </w:pPr>
      <w:r w:rsidRPr="00DA359F">
        <w:rPr>
          <w:rStyle w:val="TextoNormalNegritaCaracter"/>
        </w:rPr>
        <w:t>Artículo 89.2.</w:t>
      </w:r>
      <w:r w:rsidRPr="00DA359F">
        <w:rPr>
          <w:rStyle w:val="TextoNormalCaracter"/>
        </w:rPr>
        <w:t>-</w:t>
      </w:r>
      <w:r>
        <w:t xml:space="preserve"> Sentencia </w:t>
      </w:r>
      <w:hyperlink w:anchor="SENTENCIA_2023_179" w:history="1">
        <w:r w:rsidRPr="00DA359F">
          <w:rPr>
            <w:rStyle w:val="TextoNormalCaracter"/>
          </w:rPr>
          <w:t>179/2023</w:t>
        </w:r>
      </w:hyperlink>
      <w:r>
        <w:t>, f. 3.</w:t>
      </w:r>
    </w:p>
    <w:p w14:paraId="6F07F08E" w14:textId="1EA474CB" w:rsidR="00DA359F" w:rsidRDefault="00DA359F" w:rsidP="00DA359F">
      <w:pPr>
        <w:pStyle w:val="SangriaFrancesaArticulo"/>
      </w:pPr>
    </w:p>
    <w:p w14:paraId="211E08DB" w14:textId="77777777" w:rsidR="00DA359F" w:rsidRDefault="00DA359F" w:rsidP="00DA359F">
      <w:pPr>
        <w:pStyle w:val="TextoNormalNegritaCursivandice"/>
        <w:keepNext/>
      </w:pPr>
      <w:r>
        <w:t>Ley 23/2014, de 20 de noviembre, de reconocimiento mutuo de resoluciones penales en la Unión Europea</w:t>
      </w:r>
    </w:p>
    <w:p w14:paraId="0DB32A88" w14:textId="6D847FE7"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136" w:history="1">
        <w:r w:rsidRPr="00DA359F">
          <w:rPr>
            <w:rStyle w:val="TextoNormalCaracter"/>
          </w:rPr>
          <w:t>136/2023</w:t>
        </w:r>
      </w:hyperlink>
      <w:r>
        <w:t>, ff. 4, 6.</w:t>
      </w:r>
    </w:p>
    <w:p w14:paraId="70D96C04" w14:textId="05EE67D4" w:rsidR="00DA359F" w:rsidRDefault="00DA359F" w:rsidP="00DA359F">
      <w:pPr>
        <w:pStyle w:val="SangriaFrancesaArticulo"/>
      </w:pPr>
      <w:r w:rsidRPr="00DA359F">
        <w:rPr>
          <w:rStyle w:val="TextoNormalNegritaCaracter"/>
        </w:rPr>
        <w:t>Artículo 45.</w:t>
      </w:r>
      <w:r w:rsidRPr="00DA359F">
        <w:rPr>
          <w:rStyle w:val="TextoNormalCaracter"/>
        </w:rPr>
        <w:t>-</w:t>
      </w:r>
      <w:r>
        <w:t xml:space="preserve"> Sentencia </w:t>
      </w:r>
      <w:hyperlink w:anchor="SENTENCIA_2023_136" w:history="1">
        <w:r w:rsidRPr="00DA359F">
          <w:rPr>
            <w:rStyle w:val="TextoNormalCaracter"/>
          </w:rPr>
          <w:t>136/2023</w:t>
        </w:r>
      </w:hyperlink>
      <w:r>
        <w:t>, f. 5.</w:t>
      </w:r>
    </w:p>
    <w:p w14:paraId="749A3D6D" w14:textId="3E12E345" w:rsidR="00DA359F" w:rsidRDefault="00DA359F" w:rsidP="00DA359F">
      <w:pPr>
        <w:pStyle w:val="SangriaFrancesaArticulo"/>
      </w:pPr>
      <w:r w:rsidRPr="00DA359F">
        <w:rPr>
          <w:rStyle w:val="TextoNormalNegritaCaracter"/>
        </w:rPr>
        <w:t>Artículo 45.1.</w:t>
      </w:r>
      <w:r w:rsidRPr="00DA359F">
        <w:rPr>
          <w:rStyle w:val="TextoNormalCaracter"/>
        </w:rPr>
        <w:t>-</w:t>
      </w:r>
      <w:r>
        <w:t xml:space="preserve"> Sentencia </w:t>
      </w:r>
      <w:hyperlink w:anchor="SENTENCIA_2023_136" w:history="1">
        <w:r w:rsidRPr="00DA359F">
          <w:rPr>
            <w:rStyle w:val="TextoNormalCaracter"/>
          </w:rPr>
          <w:t>136/2023</w:t>
        </w:r>
      </w:hyperlink>
      <w:r>
        <w:t>, ff. 4 a 6.</w:t>
      </w:r>
    </w:p>
    <w:p w14:paraId="1590BE9F" w14:textId="6CEDA9DC" w:rsidR="00DA359F" w:rsidRDefault="00DA359F" w:rsidP="00DA359F">
      <w:pPr>
        <w:pStyle w:val="SangriaFrancesaArticulo"/>
      </w:pPr>
    </w:p>
    <w:p w14:paraId="6DEDC2F6" w14:textId="77777777" w:rsidR="00DA359F" w:rsidRDefault="00DA359F" w:rsidP="00DA359F">
      <w:pPr>
        <w:pStyle w:val="TextoNormalNegritaCursivandice"/>
        <w:keepNext/>
      </w:pPr>
      <w:r>
        <w:t>Ley 27/2014, de 27 de noviembre, del impuesto sobre sociedades</w:t>
      </w:r>
    </w:p>
    <w:p w14:paraId="0A0A4121" w14:textId="2409508A" w:rsidR="00DA359F" w:rsidRDefault="00DA359F" w:rsidP="00DA359F">
      <w:pPr>
        <w:pStyle w:val="SangriaFrancesaArticulo"/>
      </w:pPr>
      <w:r w:rsidRPr="00DA359F">
        <w:rPr>
          <w:rStyle w:val="TextoNormalNegritaCaracter"/>
        </w:rPr>
        <w:t>Disposición adicional segunda.</w:t>
      </w:r>
      <w:r w:rsidRPr="00DA359F">
        <w:rPr>
          <w:rStyle w:val="TextoNormalCaracter"/>
        </w:rPr>
        <w:t>-</w:t>
      </w:r>
      <w:r>
        <w:t xml:space="preserve"> Autos </w:t>
      </w:r>
      <w:hyperlink w:anchor="AUTO_2023_376" w:history="1">
        <w:r w:rsidRPr="00DA359F">
          <w:rPr>
            <w:rStyle w:val="TextoNormalCaracter"/>
          </w:rPr>
          <w:t>376/2023</w:t>
        </w:r>
      </w:hyperlink>
      <w:r>
        <w:t xml:space="preserve">, f. 1; </w:t>
      </w:r>
      <w:hyperlink w:anchor="AUTO_2023_667" w:history="1">
        <w:r w:rsidRPr="00DA359F">
          <w:rPr>
            <w:rStyle w:val="TextoNormalCaracter"/>
          </w:rPr>
          <w:t>667/2023</w:t>
        </w:r>
      </w:hyperlink>
      <w:r>
        <w:t>, f. 1.</w:t>
      </w:r>
    </w:p>
    <w:p w14:paraId="78B8F093" w14:textId="69F2288B" w:rsidR="00DA359F" w:rsidRDefault="00DA359F" w:rsidP="00DA359F">
      <w:pPr>
        <w:pStyle w:val="SangriaFrancesaArticulo"/>
      </w:pPr>
    </w:p>
    <w:p w14:paraId="0589C8FB" w14:textId="77777777" w:rsidR="00DA359F" w:rsidRDefault="00DA359F" w:rsidP="00DA359F">
      <w:pPr>
        <w:pStyle w:val="TextoNormalNegritaCursivandice"/>
        <w:keepNext/>
      </w:pPr>
      <w:r>
        <w:t>Ley 9/2015, de 25 de mayo. Medidas urgentes en materia concursal</w:t>
      </w:r>
    </w:p>
    <w:p w14:paraId="20F74F91" w14:textId="5E0EF854" w:rsidR="00DA359F" w:rsidRDefault="00DA359F" w:rsidP="00DA359F">
      <w:pPr>
        <w:pStyle w:val="SangriaFrancesaArticulo"/>
      </w:pPr>
      <w:r w:rsidRPr="00DA359F">
        <w:rPr>
          <w:rStyle w:val="TextoNormalNegritaCaracter"/>
        </w:rPr>
        <w:t>En general.</w:t>
      </w:r>
      <w:r w:rsidRPr="00DA359F">
        <w:rPr>
          <w:rStyle w:val="TextoNormalCaracter"/>
        </w:rPr>
        <w:t>-</w:t>
      </w:r>
      <w:r>
        <w:t xml:space="preserve"> Autos </w:t>
      </w:r>
      <w:hyperlink w:anchor="AUTO_2023_532" w:history="1">
        <w:r w:rsidRPr="00DA359F">
          <w:rPr>
            <w:rStyle w:val="TextoNormalCaracter"/>
          </w:rPr>
          <w:t>532/2023</w:t>
        </w:r>
      </w:hyperlink>
      <w:r>
        <w:t xml:space="preserve">, f. 6; </w:t>
      </w:r>
      <w:hyperlink w:anchor="AUTO_2023_535" w:history="1">
        <w:r w:rsidRPr="00DA359F">
          <w:rPr>
            <w:rStyle w:val="TextoNormalCaracter"/>
          </w:rPr>
          <w:t>535/2023</w:t>
        </w:r>
      </w:hyperlink>
      <w:r>
        <w:t>, f. 6.</w:t>
      </w:r>
    </w:p>
    <w:p w14:paraId="40D51E07" w14:textId="4AEDD453" w:rsidR="00DA359F" w:rsidRDefault="00DA359F" w:rsidP="00DA359F">
      <w:pPr>
        <w:pStyle w:val="SangriaFrancesaArticulo"/>
      </w:pPr>
    </w:p>
    <w:p w14:paraId="62FCA349" w14:textId="77777777" w:rsidR="00DA359F" w:rsidRDefault="00DA359F" w:rsidP="00DA359F">
      <w:pPr>
        <w:pStyle w:val="TextoNormalNegritaCursivandice"/>
        <w:keepNext/>
      </w:pPr>
      <w:r>
        <w:t>Ley 15/2015, de 2 de julio, de la jurisdicción voluntaria</w:t>
      </w:r>
    </w:p>
    <w:p w14:paraId="61FA79EB" w14:textId="45C3343F" w:rsidR="00DA359F" w:rsidRDefault="00DA359F" w:rsidP="00DA359F">
      <w:pPr>
        <w:pStyle w:val="SangriaFrancesaArticulo"/>
      </w:pPr>
      <w:r w:rsidRPr="00DA359F">
        <w:rPr>
          <w:rStyle w:val="TextoNormalNegritaCaracter"/>
        </w:rPr>
        <w:t>Artículo 17.3.</w:t>
      </w:r>
      <w:r w:rsidRPr="00DA359F">
        <w:rPr>
          <w:rStyle w:val="TextoNormalCaracter"/>
        </w:rPr>
        <w:t>-</w:t>
      </w:r>
      <w:r>
        <w:t xml:space="preserve"> Sentencia </w:t>
      </w:r>
      <w:hyperlink w:anchor="SENTENCIA_2023_148" w:history="1">
        <w:r w:rsidRPr="00DA359F">
          <w:rPr>
            <w:rStyle w:val="TextoNormalCaracter"/>
          </w:rPr>
          <w:t>148/2023</w:t>
        </w:r>
      </w:hyperlink>
      <w:r>
        <w:t>, f. 3.</w:t>
      </w:r>
    </w:p>
    <w:p w14:paraId="78616277" w14:textId="3289906F" w:rsidR="00DA359F" w:rsidRDefault="00DA359F" w:rsidP="00DA359F">
      <w:pPr>
        <w:pStyle w:val="SangriaFrancesaArticulo"/>
      </w:pPr>
      <w:r w:rsidRPr="00DA359F">
        <w:rPr>
          <w:rStyle w:val="TextoNormalNegritaCaracter"/>
        </w:rPr>
        <w:t>Artículo 18.2.4 párrafo 2.</w:t>
      </w:r>
      <w:r w:rsidRPr="00DA359F">
        <w:rPr>
          <w:rStyle w:val="TextoNormalCaracter"/>
        </w:rPr>
        <w:t>-</w:t>
      </w:r>
      <w:r>
        <w:t xml:space="preserve"> Sentencia </w:t>
      </w:r>
      <w:hyperlink w:anchor="SENTENCIA_2023_181" w:history="1">
        <w:r w:rsidRPr="00DA359F">
          <w:rPr>
            <w:rStyle w:val="TextoNormalCaracter"/>
          </w:rPr>
          <w:t>181/2023</w:t>
        </w:r>
      </w:hyperlink>
      <w:r>
        <w:t>, f. 3.</w:t>
      </w:r>
    </w:p>
    <w:p w14:paraId="142B2DB2" w14:textId="07FFAF48" w:rsidR="00DA359F" w:rsidRDefault="00DA359F" w:rsidP="00DA359F">
      <w:pPr>
        <w:pStyle w:val="SangriaFrancesaArticulo"/>
      </w:pPr>
      <w:r w:rsidRPr="00DA359F">
        <w:rPr>
          <w:rStyle w:val="TextoNormalNegritaCaracter"/>
        </w:rPr>
        <w:t>Artículo 78.1.</w:t>
      </w:r>
      <w:r w:rsidRPr="00DA359F">
        <w:rPr>
          <w:rStyle w:val="TextoNormalCaracter"/>
        </w:rPr>
        <w:t>-</w:t>
      </w:r>
      <w:r>
        <w:t xml:space="preserve"> Sentencia </w:t>
      </w:r>
      <w:hyperlink w:anchor="SENTENCIA_2023_94" w:history="1">
        <w:r w:rsidRPr="00DA359F">
          <w:rPr>
            <w:rStyle w:val="TextoNormalCaracter"/>
          </w:rPr>
          <w:t>94/2023</w:t>
        </w:r>
      </w:hyperlink>
      <w:r>
        <w:t>, VP III.</w:t>
      </w:r>
    </w:p>
    <w:p w14:paraId="76180C5D" w14:textId="538FC087" w:rsidR="00DA359F" w:rsidRDefault="00DA359F" w:rsidP="00DA359F">
      <w:pPr>
        <w:pStyle w:val="SangriaFrancesaArticulo"/>
      </w:pPr>
      <w:r w:rsidRPr="00DA359F">
        <w:rPr>
          <w:rStyle w:val="TextoNormalNegritaCaracter"/>
        </w:rPr>
        <w:t>Artículo 78.2.</w:t>
      </w:r>
      <w:r w:rsidRPr="00DA359F">
        <w:rPr>
          <w:rStyle w:val="TextoNormalCaracter"/>
        </w:rPr>
        <w:t>-</w:t>
      </w:r>
      <w:r>
        <w:t xml:space="preserve"> Sentencia </w:t>
      </w:r>
      <w:hyperlink w:anchor="SENTENCIA_2023_94" w:history="1">
        <w:r w:rsidRPr="00DA359F">
          <w:rPr>
            <w:rStyle w:val="TextoNormalCaracter"/>
          </w:rPr>
          <w:t>94/2023</w:t>
        </w:r>
      </w:hyperlink>
      <w:r>
        <w:t>, VP III.</w:t>
      </w:r>
    </w:p>
    <w:p w14:paraId="524F1FC6" w14:textId="045BFD13" w:rsidR="00DA359F" w:rsidRDefault="00DA359F" w:rsidP="00DA359F">
      <w:pPr>
        <w:pStyle w:val="SangriaFrancesaArticulo"/>
      </w:pPr>
      <w:r w:rsidRPr="00DA359F">
        <w:rPr>
          <w:rStyle w:val="TextoNormalNegritaCaracter"/>
        </w:rPr>
        <w:t>Artículo 79.1.</w:t>
      </w:r>
      <w:r w:rsidRPr="00DA359F">
        <w:rPr>
          <w:rStyle w:val="TextoNormalCaracter"/>
        </w:rPr>
        <w:t>-</w:t>
      </w:r>
      <w:r>
        <w:t xml:space="preserve"> Sentencia </w:t>
      </w:r>
      <w:hyperlink w:anchor="SENTENCIA_2023_94" w:history="1">
        <w:r w:rsidRPr="00DA359F">
          <w:rPr>
            <w:rStyle w:val="TextoNormalCaracter"/>
          </w:rPr>
          <w:t>94/2023</w:t>
        </w:r>
      </w:hyperlink>
      <w:r>
        <w:t>, VP III.</w:t>
      </w:r>
    </w:p>
    <w:p w14:paraId="1D5D8180" w14:textId="3CB42CC4" w:rsidR="00DA359F" w:rsidRDefault="00DA359F" w:rsidP="00DA359F">
      <w:pPr>
        <w:pStyle w:val="SangriaFrancesaArticulo"/>
      </w:pPr>
      <w:r w:rsidRPr="00DA359F">
        <w:rPr>
          <w:rStyle w:val="TextoNormalNegritaCaracter"/>
        </w:rPr>
        <w:t>Artículo 79.2.</w:t>
      </w:r>
      <w:r w:rsidRPr="00DA359F">
        <w:rPr>
          <w:rStyle w:val="TextoNormalCaracter"/>
        </w:rPr>
        <w:t>-</w:t>
      </w:r>
      <w:r>
        <w:t xml:space="preserve"> Sentencia </w:t>
      </w:r>
      <w:hyperlink w:anchor="SENTENCIA_2023_94" w:history="1">
        <w:r w:rsidRPr="00DA359F">
          <w:rPr>
            <w:rStyle w:val="TextoNormalCaracter"/>
          </w:rPr>
          <w:t>94/2023</w:t>
        </w:r>
      </w:hyperlink>
      <w:r>
        <w:t>, VP III.</w:t>
      </w:r>
    </w:p>
    <w:p w14:paraId="5D0FA413" w14:textId="2B5845B1" w:rsidR="00DA359F" w:rsidRDefault="00DA359F" w:rsidP="00DA359F">
      <w:pPr>
        <w:pStyle w:val="SangriaFrancesaArticulo"/>
      </w:pPr>
      <w:r w:rsidRPr="00DA359F">
        <w:rPr>
          <w:rStyle w:val="TextoNormalNegritaCaracter"/>
        </w:rPr>
        <w:t>Artículo 79.3.</w:t>
      </w:r>
      <w:r w:rsidRPr="00DA359F">
        <w:rPr>
          <w:rStyle w:val="TextoNormalCaracter"/>
        </w:rPr>
        <w:t>-</w:t>
      </w:r>
      <w:r>
        <w:t xml:space="preserve"> Sentencia </w:t>
      </w:r>
      <w:hyperlink w:anchor="SENTENCIA_2023_94" w:history="1">
        <w:r w:rsidRPr="00DA359F">
          <w:rPr>
            <w:rStyle w:val="TextoNormalCaracter"/>
          </w:rPr>
          <w:t>94/2023</w:t>
        </w:r>
      </w:hyperlink>
      <w:r>
        <w:t>, VP III.</w:t>
      </w:r>
    </w:p>
    <w:p w14:paraId="333F4313" w14:textId="3AE045C3" w:rsidR="00DA359F" w:rsidRDefault="00DA359F" w:rsidP="00DA359F">
      <w:pPr>
        <w:pStyle w:val="SangriaFrancesaArticulo"/>
      </w:pPr>
      <w:r w:rsidRPr="00DA359F">
        <w:rPr>
          <w:rStyle w:val="TextoNormalNegritaCaracter"/>
        </w:rPr>
        <w:t>Artículo 80.1.</w:t>
      </w:r>
      <w:r w:rsidRPr="00DA359F">
        <w:rPr>
          <w:rStyle w:val="TextoNormalCaracter"/>
        </w:rPr>
        <w:t>-</w:t>
      </w:r>
      <w:r>
        <w:t xml:space="preserve"> Sentencia </w:t>
      </w:r>
      <w:hyperlink w:anchor="SENTENCIA_2023_94" w:history="1">
        <w:r w:rsidRPr="00DA359F">
          <w:rPr>
            <w:rStyle w:val="TextoNormalCaracter"/>
          </w:rPr>
          <w:t>94/2023</w:t>
        </w:r>
      </w:hyperlink>
      <w:r>
        <w:t>, VP III.</w:t>
      </w:r>
    </w:p>
    <w:p w14:paraId="44D98F88" w14:textId="6DAA1844" w:rsidR="00DA359F" w:rsidRDefault="00DA359F" w:rsidP="00DA359F">
      <w:pPr>
        <w:pStyle w:val="SangriaFrancesaArticulo"/>
      </w:pPr>
      <w:r w:rsidRPr="00DA359F">
        <w:rPr>
          <w:rStyle w:val="TextoNormalNegritaCaracter"/>
        </w:rPr>
        <w:t>Artículo 80.2.</w:t>
      </w:r>
      <w:r w:rsidRPr="00DA359F">
        <w:rPr>
          <w:rStyle w:val="TextoNormalCaracter"/>
        </w:rPr>
        <w:t>-</w:t>
      </w:r>
      <w:r>
        <w:t xml:space="preserve"> Sentencia </w:t>
      </w:r>
      <w:hyperlink w:anchor="SENTENCIA_2023_94" w:history="1">
        <w:r w:rsidRPr="00DA359F">
          <w:rPr>
            <w:rStyle w:val="TextoNormalCaracter"/>
          </w:rPr>
          <w:t>94/2023</w:t>
        </w:r>
      </w:hyperlink>
      <w:r>
        <w:t>, VP III.</w:t>
      </w:r>
    </w:p>
    <w:p w14:paraId="55AC71E8" w14:textId="572A1FF8" w:rsidR="00DA359F" w:rsidRDefault="00DA359F" w:rsidP="00DA359F">
      <w:pPr>
        <w:pStyle w:val="SangriaFrancesaArticulo"/>
      </w:pPr>
      <w:r w:rsidRPr="00DA359F">
        <w:rPr>
          <w:rStyle w:val="TextoNormalNegritaCaracter"/>
        </w:rPr>
        <w:t>Artículo 80.3.</w:t>
      </w:r>
      <w:r w:rsidRPr="00DA359F">
        <w:rPr>
          <w:rStyle w:val="TextoNormalCaracter"/>
        </w:rPr>
        <w:t>-</w:t>
      </w:r>
      <w:r>
        <w:t xml:space="preserve"> Sentencia </w:t>
      </w:r>
      <w:hyperlink w:anchor="SENTENCIA_2023_94" w:history="1">
        <w:r w:rsidRPr="00DA359F">
          <w:rPr>
            <w:rStyle w:val="TextoNormalCaracter"/>
          </w:rPr>
          <w:t>94/2023</w:t>
        </w:r>
      </w:hyperlink>
      <w:r>
        <w:t>, VP III.</w:t>
      </w:r>
    </w:p>
    <w:p w14:paraId="32F2D3D1" w14:textId="52CA5A53" w:rsidR="00DA359F" w:rsidRDefault="00DA359F" w:rsidP="00DA359F">
      <w:pPr>
        <w:pStyle w:val="SangriaFrancesaArticulo"/>
      </w:pPr>
      <w:r w:rsidRPr="00DA359F">
        <w:rPr>
          <w:rStyle w:val="TextoNormalNegritaCaracter"/>
        </w:rPr>
        <w:t>Artículo 85.</w:t>
      </w:r>
      <w:r w:rsidRPr="00DA359F">
        <w:rPr>
          <w:rStyle w:val="TextoNormalCaracter"/>
        </w:rPr>
        <w:t>-</w:t>
      </w:r>
      <w:r>
        <w:t xml:space="preserve"> Sentencias </w:t>
      </w:r>
      <w:hyperlink w:anchor="SENTENCIA_2023_148" w:history="1">
        <w:r w:rsidRPr="00DA359F">
          <w:rPr>
            <w:rStyle w:val="TextoNormalCaracter"/>
          </w:rPr>
          <w:t>148/2023</w:t>
        </w:r>
      </w:hyperlink>
      <w:r>
        <w:t xml:space="preserve">, ff. 2, 4; </w:t>
      </w:r>
      <w:hyperlink w:anchor="SENTENCIA_2023_183" w:history="1">
        <w:r w:rsidRPr="00DA359F">
          <w:rPr>
            <w:rStyle w:val="TextoNormalCaracter"/>
          </w:rPr>
          <w:t>183/2023</w:t>
        </w:r>
      </w:hyperlink>
      <w:r>
        <w:t>, f. 2.</w:t>
      </w:r>
    </w:p>
    <w:p w14:paraId="1EBF0C48" w14:textId="46594D6D" w:rsidR="00DA359F" w:rsidRDefault="00DA359F" w:rsidP="00DA359F">
      <w:pPr>
        <w:pStyle w:val="SangriaFrancesaArticulo"/>
      </w:pPr>
      <w:r w:rsidRPr="00DA359F">
        <w:rPr>
          <w:rStyle w:val="TextoNormalNegritaCaracter"/>
        </w:rPr>
        <w:t>Artículo 85.1.</w:t>
      </w:r>
      <w:r w:rsidRPr="00DA359F">
        <w:rPr>
          <w:rStyle w:val="TextoNormalCaracter"/>
        </w:rPr>
        <w:t>-</w:t>
      </w:r>
      <w:r>
        <w:t xml:space="preserve"> Sentencia </w:t>
      </w:r>
      <w:hyperlink w:anchor="SENTENCIA_2023_148" w:history="1">
        <w:r w:rsidRPr="00DA359F">
          <w:rPr>
            <w:rStyle w:val="TextoNormalCaracter"/>
          </w:rPr>
          <w:t>148/2023</w:t>
        </w:r>
      </w:hyperlink>
      <w:r>
        <w:t>, ff. 2, 3.</w:t>
      </w:r>
    </w:p>
    <w:p w14:paraId="2BB93FA2" w14:textId="530B6FE7" w:rsidR="00DA359F" w:rsidRDefault="00DA359F" w:rsidP="00DA359F">
      <w:pPr>
        <w:pStyle w:val="SangriaFrancesaArticulo"/>
      </w:pPr>
      <w:r w:rsidRPr="00DA359F">
        <w:rPr>
          <w:rStyle w:val="TextoNormalNegritaCaracter"/>
        </w:rPr>
        <w:t>Artículo 86.</w:t>
      </w:r>
      <w:r w:rsidRPr="00DA359F">
        <w:rPr>
          <w:rStyle w:val="TextoNormalCaracter"/>
        </w:rPr>
        <w:t>-</w:t>
      </w:r>
      <w:r>
        <w:t xml:space="preserve"> Sentencia </w:t>
      </w:r>
      <w:hyperlink w:anchor="SENTENCIA_2023_148" w:history="1">
        <w:r w:rsidRPr="00DA359F">
          <w:rPr>
            <w:rStyle w:val="TextoNormalCaracter"/>
          </w:rPr>
          <w:t>148/2023</w:t>
        </w:r>
      </w:hyperlink>
      <w:r>
        <w:t>, f. 4.</w:t>
      </w:r>
    </w:p>
    <w:p w14:paraId="68FB2796" w14:textId="062A9C42" w:rsidR="00DA359F" w:rsidRDefault="00DA359F" w:rsidP="00DA359F">
      <w:pPr>
        <w:pStyle w:val="SangriaFrancesaArticulo"/>
      </w:pPr>
    </w:p>
    <w:p w14:paraId="2F250D02" w14:textId="77777777" w:rsidR="00DA359F" w:rsidRDefault="00DA359F" w:rsidP="00DA359F">
      <w:pPr>
        <w:pStyle w:val="TextoNormalNegritaCursivandice"/>
        <w:keepNext/>
      </w:pPr>
      <w:r>
        <w:t>Ley 25/2015, de 28 de julio. Mecanismo de segunda oportunidad, reducción de la carga financiera y otras medidas de orden social</w:t>
      </w:r>
    </w:p>
    <w:p w14:paraId="2456988D" w14:textId="64DA7D7C" w:rsidR="00DA359F" w:rsidRDefault="00DA359F" w:rsidP="00DA359F">
      <w:pPr>
        <w:pStyle w:val="SangriaFrancesaArticulo"/>
      </w:pPr>
      <w:r w:rsidRPr="00DA359F">
        <w:rPr>
          <w:rStyle w:val="TextoNormalNegritaCaracter"/>
        </w:rPr>
        <w:t>En general.</w:t>
      </w:r>
      <w:r w:rsidRPr="00DA359F">
        <w:rPr>
          <w:rStyle w:val="TextoNormalCaracter"/>
        </w:rPr>
        <w:t>-</w:t>
      </w:r>
      <w:r>
        <w:t xml:space="preserve"> Autos </w:t>
      </w:r>
      <w:hyperlink w:anchor="AUTO_2023_532" w:history="1">
        <w:r w:rsidRPr="00DA359F">
          <w:rPr>
            <w:rStyle w:val="TextoNormalCaracter"/>
          </w:rPr>
          <w:t>532/2023</w:t>
        </w:r>
      </w:hyperlink>
      <w:r>
        <w:t xml:space="preserve">, f. 6; </w:t>
      </w:r>
      <w:hyperlink w:anchor="AUTO_2023_535" w:history="1">
        <w:r w:rsidRPr="00DA359F">
          <w:rPr>
            <w:rStyle w:val="TextoNormalCaracter"/>
          </w:rPr>
          <w:t>535/2023</w:t>
        </w:r>
      </w:hyperlink>
      <w:r>
        <w:t>, f. 6.</w:t>
      </w:r>
    </w:p>
    <w:p w14:paraId="71F8E978" w14:textId="752194CE" w:rsidR="00DA359F" w:rsidRDefault="00DA359F" w:rsidP="00DA359F">
      <w:pPr>
        <w:pStyle w:val="SangriaFrancesaArticulo"/>
      </w:pPr>
    </w:p>
    <w:p w14:paraId="20BA39DA" w14:textId="77777777" w:rsidR="00DA359F" w:rsidRDefault="00DA359F" w:rsidP="00DA359F">
      <w:pPr>
        <w:pStyle w:val="TextoNormalNegritaCursivandice"/>
        <w:keepNext/>
      </w:pPr>
      <w:r>
        <w:t>Ley 39/2015, de 1 de octubre, del procedimiento administrativo común de las administraciones públicas</w:t>
      </w:r>
    </w:p>
    <w:p w14:paraId="10539C1A" w14:textId="241C691A"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126" w:history="1">
        <w:r w:rsidRPr="00DA359F">
          <w:rPr>
            <w:rStyle w:val="TextoNormalCaracter"/>
          </w:rPr>
          <w:t>126/2023</w:t>
        </w:r>
      </w:hyperlink>
      <w:r>
        <w:t>, f. 5.</w:t>
      </w:r>
    </w:p>
    <w:p w14:paraId="7E1A4922" w14:textId="1A22E190" w:rsidR="00DA359F" w:rsidRDefault="00DA359F" w:rsidP="00DA359F">
      <w:pPr>
        <w:pStyle w:val="SangriaFrancesaArticulo"/>
      </w:pPr>
      <w:r w:rsidRPr="00DA359F">
        <w:rPr>
          <w:rStyle w:val="TextoNormalNegritaCaracter"/>
        </w:rPr>
        <w:t>Artículo 129.</w:t>
      </w:r>
      <w:r w:rsidRPr="00DA359F">
        <w:rPr>
          <w:rStyle w:val="TextoNormalCaracter"/>
        </w:rPr>
        <w:t>-</w:t>
      </w:r>
      <w:r>
        <w:t xml:space="preserve"> Sentencia </w:t>
      </w:r>
      <w:hyperlink w:anchor="SENTENCIA_2023_145" w:history="1">
        <w:r w:rsidRPr="00DA359F">
          <w:rPr>
            <w:rStyle w:val="TextoNormalCaracter"/>
          </w:rPr>
          <w:t>145/2023</w:t>
        </w:r>
      </w:hyperlink>
      <w:r>
        <w:t>, f. 4.</w:t>
      </w:r>
    </w:p>
    <w:p w14:paraId="12EE0926" w14:textId="50E1B645" w:rsidR="00DA359F" w:rsidRDefault="00DA359F" w:rsidP="00DA359F">
      <w:pPr>
        <w:pStyle w:val="SangriaFrancesaArticulo"/>
      </w:pPr>
    </w:p>
    <w:p w14:paraId="24785E84" w14:textId="77777777" w:rsidR="00DA359F" w:rsidRDefault="00DA359F" w:rsidP="00DA359F">
      <w:pPr>
        <w:pStyle w:val="TextoNormalNegritaCursivandice"/>
        <w:keepNext/>
      </w:pPr>
      <w:r>
        <w:t>Ley 40/2015, de 1 de octubre, de régimen jurídico del sector público</w:t>
      </w:r>
    </w:p>
    <w:p w14:paraId="0BC2F0F8" w14:textId="2EC840A4" w:rsidR="00DA359F" w:rsidRDefault="00DA359F" w:rsidP="00DA359F">
      <w:pPr>
        <w:pStyle w:val="SangriaFrancesaArticulo"/>
      </w:pPr>
      <w:r w:rsidRPr="00DA359F">
        <w:rPr>
          <w:rStyle w:val="TextoNormalNegritaCaracter"/>
        </w:rPr>
        <w:t>Artículo 29.</w:t>
      </w:r>
      <w:r w:rsidRPr="00DA359F">
        <w:rPr>
          <w:rStyle w:val="TextoNormalCaracter"/>
        </w:rPr>
        <w:t>-</w:t>
      </w:r>
      <w:r>
        <w:t xml:space="preserve"> Auto </w:t>
      </w:r>
      <w:hyperlink w:anchor="AUTO_2023_603" w:history="1">
        <w:r w:rsidRPr="00DA359F">
          <w:rPr>
            <w:rStyle w:val="TextoNormalCaracter"/>
          </w:rPr>
          <w:t>603/2023</w:t>
        </w:r>
      </w:hyperlink>
      <w:r>
        <w:t>, f. 3.</w:t>
      </w:r>
    </w:p>
    <w:p w14:paraId="555E5BE3" w14:textId="5FF7DCA0" w:rsidR="00DA359F" w:rsidRDefault="00DA359F" w:rsidP="00DA359F">
      <w:pPr>
        <w:pStyle w:val="SangriaFrancesaArticulo"/>
      </w:pPr>
      <w:r w:rsidRPr="00DA359F">
        <w:rPr>
          <w:rStyle w:val="TextoNormalNegritaCaracter"/>
        </w:rPr>
        <w:t>Artículo 141.1 c).</w:t>
      </w:r>
      <w:r w:rsidRPr="00DA359F">
        <w:rPr>
          <w:rStyle w:val="TextoNormalCaracter"/>
        </w:rPr>
        <w:t>-</w:t>
      </w:r>
      <w:r>
        <w:t xml:space="preserve"> Sentencia </w:t>
      </w:r>
      <w:hyperlink w:anchor="SENTENCIA_2023_126" w:history="1">
        <w:r w:rsidRPr="00DA359F">
          <w:rPr>
            <w:rStyle w:val="TextoNormalCaracter"/>
          </w:rPr>
          <w:t>126/2023</w:t>
        </w:r>
      </w:hyperlink>
      <w:r>
        <w:t>, f. 5.</w:t>
      </w:r>
    </w:p>
    <w:p w14:paraId="551C190C" w14:textId="31F9C098" w:rsidR="00DA359F" w:rsidRDefault="00DA359F" w:rsidP="00DA359F">
      <w:pPr>
        <w:pStyle w:val="SangriaFrancesaArticulo"/>
      </w:pPr>
    </w:p>
    <w:p w14:paraId="4866FB92" w14:textId="77777777" w:rsidR="00DA359F" w:rsidRDefault="00DA359F" w:rsidP="00DA359F">
      <w:pPr>
        <w:pStyle w:val="TextoNormalNegritaCursivandice"/>
        <w:keepNext/>
      </w:pPr>
      <w:r>
        <w:t>Ley 41/2015, de 5 de octubre, de modificación de la Ley de enjuiciamiento criminal para la agilización de la justicia penal y el fortalecimiento de las garantías procesales</w:t>
      </w:r>
    </w:p>
    <w:p w14:paraId="37DA90EC" w14:textId="3FA91779"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153" w:history="1">
        <w:r w:rsidRPr="00DA359F">
          <w:rPr>
            <w:rStyle w:val="TextoNormalCaracter"/>
          </w:rPr>
          <w:t>153/2023</w:t>
        </w:r>
      </w:hyperlink>
      <w:r>
        <w:t>, ff. 1, 2, 4.</w:t>
      </w:r>
    </w:p>
    <w:p w14:paraId="42759B37" w14:textId="34D0585C" w:rsidR="00DA359F" w:rsidRDefault="00DA359F" w:rsidP="00DA359F">
      <w:pPr>
        <w:pStyle w:val="SangriaFrancesaArticulo"/>
      </w:pPr>
    </w:p>
    <w:p w14:paraId="242F7418" w14:textId="77777777" w:rsidR="00DA359F" w:rsidRDefault="00DA359F" w:rsidP="00DA359F">
      <w:pPr>
        <w:pStyle w:val="TextoNormalNegritaCursivandice"/>
        <w:keepNext/>
      </w:pPr>
      <w:r>
        <w:t>Ley 48/2015, de 29 de octubre. Presupuestos Generales del Estado para el año 2016</w:t>
      </w:r>
    </w:p>
    <w:p w14:paraId="527D9288" w14:textId="387CA70B" w:rsidR="00DA359F" w:rsidRDefault="00DA359F" w:rsidP="00DA359F">
      <w:pPr>
        <w:pStyle w:val="SangriaFrancesaArticulo"/>
      </w:pPr>
      <w:r w:rsidRPr="00DA359F">
        <w:rPr>
          <w:rStyle w:val="TextoNormalNegritaCaracter"/>
        </w:rPr>
        <w:t>En general.</w:t>
      </w:r>
      <w:r w:rsidRPr="00DA359F">
        <w:rPr>
          <w:rStyle w:val="TextoNormalCaracter"/>
        </w:rPr>
        <w:t>-</w:t>
      </w:r>
      <w:r>
        <w:t xml:space="preserve"> Auto </w:t>
      </w:r>
      <w:hyperlink w:anchor="AUTO_2023_669" w:history="1">
        <w:r w:rsidRPr="00DA359F">
          <w:rPr>
            <w:rStyle w:val="TextoNormalCaracter"/>
          </w:rPr>
          <w:t>669/2023</w:t>
        </w:r>
      </w:hyperlink>
      <w:r>
        <w:t>, f. 2.</w:t>
      </w:r>
    </w:p>
    <w:p w14:paraId="02CF7DC4" w14:textId="4F595BBE" w:rsidR="00DA359F" w:rsidRDefault="00DA359F" w:rsidP="00DA359F">
      <w:pPr>
        <w:pStyle w:val="SangriaFrancesaArticulo"/>
      </w:pPr>
      <w:r w:rsidRPr="00DA359F">
        <w:rPr>
          <w:rStyle w:val="TextoNormalNegritaCaracter"/>
        </w:rPr>
        <w:t>Disposición adicional sexagésima novena.</w:t>
      </w:r>
      <w:r w:rsidRPr="00DA359F">
        <w:rPr>
          <w:rStyle w:val="TextoNormalCaracter"/>
        </w:rPr>
        <w:t>-</w:t>
      </w:r>
      <w:r>
        <w:t xml:space="preserve"> Auto </w:t>
      </w:r>
      <w:hyperlink w:anchor="AUTO_2023_669" w:history="1">
        <w:r w:rsidRPr="00DA359F">
          <w:rPr>
            <w:rStyle w:val="TextoNormalCaracter"/>
          </w:rPr>
          <w:t>669/2023</w:t>
        </w:r>
      </w:hyperlink>
      <w:r>
        <w:t>, ff. 1, 2.</w:t>
      </w:r>
    </w:p>
    <w:p w14:paraId="1201D392" w14:textId="6B1E41CE" w:rsidR="00DA359F" w:rsidRDefault="00DA359F" w:rsidP="00DA359F">
      <w:pPr>
        <w:pStyle w:val="SangriaFrancesaArticulo"/>
      </w:pPr>
    </w:p>
    <w:p w14:paraId="6C13BD43" w14:textId="77777777" w:rsidR="00DA359F" w:rsidRDefault="00DA359F" w:rsidP="00DA359F">
      <w:pPr>
        <w:pStyle w:val="TextoNormalNegritaCursivandice"/>
        <w:keepNext/>
      </w:pPr>
      <w:r>
        <w:t>Ley 3/2017, de 27 de junio. Presupuestos Generales del Estado para el año 2017</w:t>
      </w:r>
    </w:p>
    <w:p w14:paraId="67259EF4" w14:textId="7E5D7AA8"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145" w:history="1">
        <w:r w:rsidRPr="00DA359F">
          <w:rPr>
            <w:rStyle w:val="TextoNormalCaracter"/>
          </w:rPr>
          <w:t>145/2023</w:t>
        </w:r>
      </w:hyperlink>
      <w:r>
        <w:t>, f. 2.</w:t>
      </w:r>
    </w:p>
    <w:p w14:paraId="4B1F3A0B" w14:textId="08029BF4" w:rsidR="00DA359F" w:rsidRDefault="00DA359F" w:rsidP="00DA359F">
      <w:pPr>
        <w:pStyle w:val="SangriaFrancesaArticulo"/>
      </w:pPr>
    </w:p>
    <w:p w14:paraId="4E823DD2" w14:textId="77777777" w:rsidR="00DA359F" w:rsidRDefault="00DA359F" w:rsidP="00DA359F">
      <w:pPr>
        <w:pStyle w:val="TextoNormalNegritaCursivandice"/>
        <w:keepNext/>
      </w:pPr>
      <w:r>
        <w:t>Ley 2/2020, de 27 de julio, por la que se modifica el artículo 324 de la Ley de enjuiciamiento criminal</w:t>
      </w:r>
    </w:p>
    <w:p w14:paraId="08EAAD34" w14:textId="63C39CA9"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101" w:history="1">
        <w:r w:rsidRPr="00DA359F">
          <w:rPr>
            <w:rStyle w:val="TextoNormalCaracter"/>
          </w:rPr>
          <w:t>101/2023</w:t>
        </w:r>
      </w:hyperlink>
      <w:r>
        <w:t>, ff. 1, 3.</w:t>
      </w:r>
    </w:p>
    <w:p w14:paraId="5F6872B7" w14:textId="4505C1DA" w:rsidR="00DA359F" w:rsidRDefault="00DA359F" w:rsidP="00DA359F">
      <w:pPr>
        <w:pStyle w:val="SangriaFrancesaArticulo"/>
      </w:pPr>
    </w:p>
    <w:p w14:paraId="4BFE4694" w14:textId="77777777" w:rsidR="00DA359F" w:rsidRDefault="00DA359F" w:rsidP="00DA359F">
      <w:pPr>
        <w:pStyle w:val="TextoNormalNegritaCursivandice"/>
        <w:keepNext/>
      </w:pPr>
      <w:r>
        <w:t>Ley 3/2020, de 18 de septiembre, de medidas procesales y organizativas para hacer frente al COVID-19 en el ámbito de la administración de justicia</w:t>
      </w:r>
    </w:p>
    <w:p w14:paraId="6F3BB8FD" w14:textId="1AF7308D"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166" w:history="1">
        <w:r w:rsidRPr="00DA359F">
          <w:rPr>
            <w:rStyle w:val="TextoNormalCaracter"/>
          </w:rPr>
          <w:t>166/2023</w:t>
        </w:r>
      </w:hyperlink>
      <w:r>
        <w:t>, f. 9.</w:t>
      </w:r>
    </w:p>
    <w:p w14:paraId="10DC4C38" w14:textId="1166161F" w:rsidR="00DA359F" w:rsidRDefault="00DA359F" w:rsidP="00DA359F">
      <w:pPr>
        <w:pStyle w:val="SangriaFrancesaArticulo"/>
      </w:pPr>
      <w:r w:rsidRPr="00DA359F">
        <w:rPr>
          <w:rStyle w:val="TextoNormalNegritaCaracter"/>
        </w:rPr>
        <w:t>Disposición final segunda.</w:t>
      </w:r>
      <w:r w:rsidRPr="00DA359F">
        <w:rPr>
          <w:rStyle w:val="TextoNormalCaracter"/>
        </w:rPr>
        <w:t>-</w:t>
      </w:r>
      <w:r>
        <w:t xml:space="preserve"> Sentencia </w:t>
      </w:r>
      <w:hyperlink w:anchor="SENTENCIA_2023_166" w:history="1">
        <w:r w:rsidRPr="00DA359F">
          <w:rPr>
            <w:rStyle w:val="TextoNormalCaracter"/>
          </w:rPr>
          <w:t>166/2023</w:t>
        </w:r>
      </w:hyperlink>
      <w:r>
        <w:t>, f. 2.</w:t>
      </w:r>
    </w:p>
    <w:p w14:paraId="7A3A03FD" w14:textId="1EB7EBC3" w:rsidR="00DA359F" w:rsidRDefault="00DA359F" w:rsidP="00DA359F">
      <w:pPr>
        <w:pStyle w:val="SangriaFrancesaArticulo"/>
      </w:pPr>
    </w:p>
    <w:p w14:paraId="2C07CE7B" w14:textId="77777777" w:rsidR="00DA359F" w:rsidRDefault="00DA359F" w:rsidP="00DA359F">
      <w:pPr>
        <w:pStyle w:val="TextoNormalNegritaCursivandice"/>
        <w:keepNext/>
      </w:pPr>
      <w:r>
        <w:t>Ley 11/2020, de 30 de diciembre, de presupuestos generales del Estado para el año 2021</w:t>
      </w:r>
    </w:p>
    <w:p w14:paraId="3EA155F8" w14:textId="53405F49" w:rsidR="00DA359F" w:rsidRDefault="00DA359F" w:rsidP="00DA359F">
      <w:pPr>
        <w:pStyle w:val="SangriaFrancesaArticulo"/>
      </w:pPr>
      <w:r w:rsidRPr="00DA359F">
        <w:rPr>
          <w:rStyle w:val="TextoNormalNegritaCaracter"/>
        </w:rPr>
        <w:t>Artículo 66.</w:t>
      </w:r>
      <w:r w:rsidRPr="00DA359F">
        <w:rPr>
          <w:rStyle w:val="TextoNormalCaracter"/>
        </w:rPr>
        <w:t>-</w:t>
      </w:r>
      <w:r>
        <w:t xml:space="preserve"> Sentencia </w:t>
      </w:r>
      <w:hyperlink w:anchor="SENTENCIA_2023_149" w:history="1">
        <w:r w:rsidRPr="00DA359F">
          <w:rPr>
            <w:rStyle w:val="TextoNormalCaracter"/>
          </w:rPr>
          <w:t>149/2023</w:t>
        </w:r>
      </w:hyperlink>
      <w:r>
        <w:t>, f. 4.</w:t>
      </w:r>
    </w:p>
    <w:p w14:paraId="1DF2540F" w14:textId="748F75A6" w:rsidR="00DA359F" w:rsidRDefault="00DA359F" w:rsidP="00DA359F">
      <w:pPr>
        <w:pStyle w:val="SangriaFrancesaArticulo"/>
      </w:pPr>
    </w:p>
    <w:p w14:paraId="5C1BD6ED" w14:textId="77777777" w:rsidR="00DA359F" w:rsidRDefault="00DA359F" w:rsidP="00DA359F">
      <w:pPr>
        <w:pStyle w:val="TextoNormalNegritaCursivandice"/>
        <w:keepNext/>
      </w:pPr>
      <w:r>
        <w:t>Ley 8/2021, de 2 de junio, por la que se reforma la legislación civil y procesal para el apoyo a las personas con discapacidad en el ejercicio de su capacidad jurídica</w:t>
      </w:r>
    </w:p>
    <w:p w14:paraId="0DF02882" w14:textId="4B0BF3D4" w:rsidR="00DA359F" w:rsidRDefault="00DA359F" w:rsidP="00DA359F">
      <w:pPr>
        <w:pStyle w:val="SangriaFrancesaArticulo"/>
      </w:pPr>
      <w:r w:rsidRPr="00DA359F">
        <w:rPr>
          <w:rStyle w:val="TextoNormalNegritaCaracter"/>
        </w:rPr>
        <w:t>Disposición transitoria quinta.</w:t>
      </w:r>
      <w:r w:rsidRPr="00DA359F">
        <w:rPr>
          <w:rStyle w:val="TextoNormalCaracter"/>
        </w:rPr>
        <w:t>-</w:t>
      </w:r>
      <w:r>
        <w:t xml:space="preserve"> Sentencia </w:t>
      </w:r>
      <w:hyperlink w:anchor="SENTENCIA_2023_163" w:history="1">
        <w:r w:rsidRPr="00DA359F">
          <w:rPr>
            <w:rStyle w:val="TextoNormalCaracter"/>
          </w:rPr>
          <w:t>163/2023</w:t>
        </w:r>
      </w:hyperlink>
      <w:r>
        <w:t>, f. único.</w:t>
      </w:r>
    </w:p>
    <w:p w14:paraId="327AD716" w14:textId="2D9A27A8" w:rsidR="00DA359F" w:rsidRDefault="00DA359F" w:rsidP="00DA359F">
      <w:pPr>
        <w:pStyle w:val="SangriaFrancesaArticulo"/>
      </w:pPr>
    </w:p>
    <w:p w14:paraId="29BC5D0A" w14:textId="77777777" w:rsidR="00DA359F" w:rsidRDefault="00DA359F" w:rsidP="00DA359F">
      <w:pPr>
        <w:pStyle w:val="TextoNormalNegritaCursivandice"/>
        <w:keepNext/>
      </w:pPr>
      <w:r>
        <w:t>Ley 12/2021, de 28 de septiembre, por la que se modifica el texto refundido de la Ley del Estatuto de los Trabajadores, aprobado por el Real Decreto Legislativo 2/2015, de 23 de octubre, para garantizar los derechos laborales de las personas dedicadas al reparto en el ámbito de plataformas digitales</w:t>
      </w:r>
    </w:p>
    <w:p w14:paraId="56CD6E4E" w14:textId="31CFABFF"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144" w:history="1">
        <w:r w:rsidRPr="00DA359F">
          <w:rPr>
            <w:rStyle w:val="TextoNormalCaracter"/>
          </w:rPr>
          <w:t>144/2023</w:t>
        </w:r>
      </w:hyperlink>
      <w:r>
        <w:t>, f. 2.</w:t>
      </w:r>
    </w:p>
    <w:p w14:paraId="473C2319" w14:textId="691B4907" w:rsidR="00DA359F" w:rsidRDefault="00DA359F" w:rsidP="00DA359F">
      <w:pPr>
        <w:pStyle w:val="SangriaFrancesaArticulo"/>
      </w:pPr>
    </w:p>
    <w:p w14:paraId="67ADED98" w14:textId="77777777" w:rsidR="00DA359F" w:rsidRDefault="00DA359F" w:rsidP="00DA359F">
      <w:pPr>
        <w:pStyle w:val="TextoNormalNegritaCursivandice"/>
        <w:keepNext/>
      </w:pPr>
      <w:r>
        <w:t>Ley 20/2021, de 28 de diciembre, de medidas urgentes para la reducción de la temporalidad en el empleo público</w:t>
      </w:r>
    </w:p>
    <w:p w14:paraId="39F2A21E" w14:textId="3E81A5A5" w:rsidR="00DA359F" w:rsidRDefault="00DA359F" w:rsidP="00DA359F">
      <w:pPr>
        <w:pStyle w:val="SangriaFrancesaArticulo"/>
        <w:keepNext/>
      </w:pPr>
      <w:r w:rsidRPr="00DA359F">
        <w:rPr>
          <w:rStyle w:val="TextoNormalNegritaCaracter"/>
        </w:rPr>
        <w:t>En general.</w:t>
      </w:r>
      <w:r w:rsidRPr="00DA359F">
        <w:rPr>
          <w:rStyle w:val="TextoNormalCaracter"/>
        </w:rPr>
        <w:t>-</w:t>
      </w:r>
      <w:r>
        <w:t xml:space="preserve"> Sentencia </w:t>
      </w:r>
      <w:hyperlink w:anchor="SENTENCIA_2023_145" w:history="1">
        <w:r w:rsidRPr="00DA359F">
          <w:rPr>
            <w:rStyle w:val="TextoNormalCaracter"/>
          </w:rPr>
          <w:t>145/2023</w:t>
        </w:r>
      </w:hyperlink>
      <w:r>
        <w:t>, ff. 1, 2.</w:t>
      </w:r>
    </w:p>
    <w:p w14:paraId="43C0AC98" w14:textId="44807E02" w:rsidR="00DA359F" w:rsidRDefault="00DA359F" w:rsidP="00DA359F">
      <w:pPr>
        <w:pStyle w:val="SangriaIzquierdaArticulo"/>
      </w:pPr>
      <w:r>
        <w:t xml:space="preserve">Auto </w:t>
      </w:r>
      <w:hyperlink w:anchor="AUTO_2023_427" w:history="1">
        <w:r w:rsidRPr="00DA359F">
          <w:rPr>
            <w:rStyle w:val="TextoNormalCaracter"/>
          </w:rPr>
          <w:t>427/2023</w:t>
        </w:r>
      </w:hyperlink>
      <w:r>
        <w:t>, VP.</w:t>
      </w:r>
    </w:p>
    <w:p w14:paraId="3866D4A5" w14:textId="1FFC6675" w:rsidR="00DA359F" w:rsidRDefault="00DA359F" w:rsidP="00DA359F">
      <w:pPr>
        <w:pStyle w:val="SangriaFrancesaArticulo"/>
      </w:pPr>
      <w:r w:rsidRPr="00DA359F">
        <w:rPr>
          <w:rStyle w:val="TextoNormalNegritaCaracter"/>
        </w:rPr>
        <w:t>Artículo 2.1.</w:t>
      </w:r>
      <w:r w:rsidRPr="00DA359F">
        <w:rPr>
          <w:rStyle w:val="TextoNormalCaracter"/>
        </w:rPr>
        <w:t>-</w:t>
      </w:r>
      <w:r>
        <w:t xml:space="preserve"> Sentencia </w:t>
      </w:r>
      <w:hyperlink w:anchor="SENTENCIA_2023_145" w:history="1">
        <w:r w:rsidRPr="00DA359F">
          <w:rPr>
            <w:rStyle w:val="TextoNormalCaracter"/>
          </w:rPr>
          <w:t>145/2023</w:t>
        </w:r>
      </w:hyperlink>
      <w:r>
        <w:t>, f. 2.</w:t>
      </w:r>
    </w:p>
    <w:p w14:paraId="16F803FA" w14:textId="56072DB7" w:rsidR="00DA359F" w:rsidRDefault="00DA359F" w:rsidP="00DA359F">
      <w:pPr>
        <w:pStyle w:val="SangriaFrancesaArticulo"/>
      </w:pPr>
      <w:r w:rsidRPr="00DA359F">
        <w:rPr>
          <w:rStyle w:val="TextoNormalNegritaCaracter"/>
        </w:rPr>
        <w:t>Disposición final tercera.</w:t>
      </w:r>
      <w:r w:rsidRPr="00DA359F">
        <w:rPr>
          <w:rStyle w:val="TextoNormalCaracter"/>
        </w:rPr>
        <w:t>-</w:t>
      </w:r>
      <w:r>
        <w:t xml:space="preserve"> Sentencia </w:t>
      </w:r>
      <w:hyperlink w:anchor="SENTENCIA_2023_145" w:history="1">
        <w:r w:rsidRPr="00DA359F">
          <w:rPr>
            <w:rStyle w:val="TextoNormalCaracter"/>
          </w:rPr>
          <w:t>145/2023</w:t>
        </w:r>
      </w:hyperlink>
      <w:r>
        <w:t>, f. 2.</w:t>
      </w:r>
    </w:p>
    <w:p w14:paraId="04C261CF" w14:textId="302F05A3" w:rsidR="00DA359F" w:rsidRDefault="00DA359F" w:rsidP="00DA359F">
      <w:pPr>
        <w:pStyle w:val="SangriaFrancesaArticulo"/>
      </w:pPr>
    </w:p>
    <w:p w14:paraId="0C8EBEFD" w14:textId="77777777" w:rsidR="00DA359F" w:rsidRDefault="00DA359F" w:rsidP="00DA359F">
      <w:pPr>
        <w:pStyle w:val="TextoNormalNegritaCursivandice"/>
        <w:keepNext/>
      </w:pPr>
      <w:r>
        <w:t>Ley 13/2022, de 7 de julio, general de comunicación audiovisual</w:t>
      </w:r>
    </w:p>
    <w:p w14:paraId="4F8B4567" w14:textId="32973124"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Sentencias </w:t>
      </w:r>
      <w:hyperlink w:anchor="SENTENCIA_2023_89" w:history="1">
        <w:r w:rsidRPr="00DA359F">
          <w:rPr>
            <w:rStyle w:val="TextoNormalCaracter"/>
          </w:rPr>
          <w:t>89/2023</w:t>
        </w:r>
      </w:hyperlink>
      <w:r>
        <w:t xml:space="preserve">, f. 3; </w:t>
      </w:r>
      <w:hyperlink w:anchor="SENTENCIA_2023_97" w:history="1">
        <w:r w:rsidRPr="00DA359F">
          <w:rPr>
            <w:rStyle w:val="TextoNormalCaracter"/>
          </w:rPr>
          <w:t>97/2023</w:t>
        </w:r>
      </w:hyperlink>
      <w:r>
        <w:t xml:space="preserve">, f. 2; </w:t>
      </w:r>
      <w:hyperlink w:anchor="SENTENCIA_2023_102" w:history="1">
        <w:r w:rsidRPr="00DA359F">
          <w:rPr>
            <w:rStyle w:val="TextoNormalCaracter"/>
          </w:rPr>
          <w:t>102/2023</w:t>
        </w:r>
      </w:hyperlink>
      <w:r>
        <w:t xml:space="preserve">, f. 2; </w:t>
      </w:r>
      <w:hyperlink w:anchor="SENTENCIA_2023_106" w:history="1">
        <w:r w:rsidRPr="00DA359F">
          <w:rPr>
            <w:rStyle w:val="TextoNormalCaracter"/>
          </w:rPr>
          <w:t>106/2023</w:t>
        </w:r>
      </w:hyperlink>
      <w:r>
        <w:t xml:space="preserve">, f. 2; </w:t>
      </w:r>
      <w:hyperlink w:anchor="SENTENCIA_2023_107" w:history="1">
        <w:r w:rsidRPr="00DA359F">
          <w:rPr>
            <w:rStyle w:val="TextoNormalCaracter"/>
          </w:rPr>
          <w:t>107/2023</w:t>
        </w:r>
      </w:hyperlink>
      <w:r>
        <w:t xml:space="preserve">, f. 2; </w:t>
      </w:r>
      <w:hyperlink w:anchor="SENTENCIA_2023_169" w:history="1">
        <w:r w:rsidRPr="00DA359F">
          <w:rPr>
            <w:rStyle w:val="TextoNormalCaracter"/>
          </w:rPr>
          <w:t>169/2023</w:t>
        </w:r>
      </w:hyperlink>
      <w:r>
        <w:t>, f. 1.</w:t>
      </w:r>
    </w:p>
    <w:p w14:paraId="533BB941" w14:textId="485C7DBF" w:rsidR="00DA359F" w:rsidRDefault="00DA359F" w:rsidP="00DA359F">
      <w:pPr>
        <w:pStyle w:val="SangriaFrancesaArticulo"/>
      </w:pPr>
      <w:r w:rsidRPr="00DA359F">
        <w:rPr>
          <w:rStyle w:val="TextoNormalNegritaCaracter"/>
        </w:rPr>
        <w:t>Artículo 26.1.</w:t>
      </w:r>
      <w:r w:rsidRPr="00DA359F">
        <w:rPr>
          <w:rStyle w:val="TextoNormalCaracter"/>
        </w:rPr>
        <w:t>-</w:t>
      </w:r>
      <w:r>
        <w:t xml:space="preserve"> Sentencia </w:t>
      </w:r>
      <w:hyperlink w:anchor="SENTENCIA_2023_89" w:history="1">
        <w:r w:rsidRPr="00DA359F">
          <w:rPr>
            <w:rStyle w:val="TextoNormalCaracter"/>
          </w:rPr>
          <w:t>89/2023</w:t>
        </w:r>
      </w:hyperlink>
      <w:r>
        <w:t>, f. 3.</w:t>
      </w:r>
    </w:p>
    <w:p w14:paraId="2FB19CCC" w14:textId="29BBADD5" w:rsidR="00DA359F" w:rsidRDefault="00DA359F" w:rsidP="00DA359F">
      <w:pPr>
        <w:pStyle w:val="SangriaFrancesaArticulo"/>
      </w:pPr>
      <w:r w:rsidRPr="00DA359F">
        <w:rPr>
          <w:rStyle w:val="TextoNormalNegritaCaracter"/>
        </w:rPr>
        <w:t>Artículo 26.5.</w:t>
      </w:r>
      <w:r w:rsidRPr="00DA359F">
        <w:rPr>
          <w:rStyle w:val="TextoNormalCaracter"/>
        </w:rPr>
        <w:t>-</w:t>
      </w:r>
      <w:r>
        <w:t xml:space="preserve"> Sentencia </w:t>
      </w:r>
      <w:hyperlink w:anchor="SENTENCIA_2023_89" w:history="1">
        <w:r w:rsidRPr="00DA359F">
          <w:rPr>
            <w:rStyle w:val="TextoNormalCaracter"/>
          </w:rPr>
          <w:t>89/2023</w:t>
        </w:r>
      </w:hyperlink>
      <w:r>
        <w:t>, f. 3, VP II.</w:t>
      </w:r>
    </w:p>
    <w:p w14:paraId="60C5D6A3" w14:textId="745E21A4" w:rsidR="00DA359F" w:rsidRDefault="00DA359F" w:rsidP="00DA359F">
      <w:pPr>
        <w:pStyle w:val="SangriaFrancesaArticulo"/>
      </w:pPr>
      <w:r w:rsidRPr="00DA359F">
        <w:rPr>
          <w:rStyle w:val="TextoNormalNegritaCaracter"/>
        </w:rPr>
        <w:t>Artículo 76.1.</w:t>
      </w:r>
      <w:r w:rsidRPr="00DA359F">
        <w:rPr>
          <w:rStyle w:val="TextoNormalCaracter"/>
        </w:rPr>
        <w:t>-</w:t>
      </w:r>
      <w:r>
        <w:t xml:space="preserve"> Sentencia </w:t>
      </w:r>
      <w:hyperlink w:anchor="SENTENCIA_2023_89" w:history="1">
        <w:r w:rsidRPr="00DA359F">
          <w:rPr>
            <w:rStyle w:val="TextoNormalCaracter"/>
          </w:rPr>
          <w:t>89/2023</w:t>
        </w:r>
      </w:hyperlink>
      <w:r>
        <w:t>, VP I.</w:t>
      </w:r>
    </w:p>
    <w:p w14:paraId="2A1FD993" w14:textId="7882A22C" w:rsidR="00DA359F" w:rsidRDefault="00DA359F" w:rsidP="00DA359F">
      <w:pPr>
        <w:pStyle w:val="SangriaFrancesaArticulo"/>
      </w:pPr>
      <w:r w:rsidRPr="00DA359F">
        <w:rPr>
          <w:rStyle w:val="TextoNormalNegritaCaracter"/>
        </w:rPr>
        <w:t>Artículo 76.4.</w:t>
      </w:r>
      <w:r w:rsidRPr="00DA359F">
        <w:rPr>
          <w:rStyle w:val="TextoNormalCaracter"/>
        </w:rPr>
        <w:t>-</w:t>
      </w:r>
      <w:r>
        <w:t xml:space="preserve"> Sentencia </w:t>
      </w:r>
      <w:hyperlink w:anchor="SENTENCIA_2023_89" w:history="1">
        <w:r w:rsidRPr="00DA359F">
          <w:rPr>
            <w:rStyle w:val="TextoNormalCaracter"/>
          </w:rPr>
          <w:t>89/2023</w:t>
        </w:r>
      </w:hyperlink>
      <w:r>
        <w:t>, VP III.</w:t>
      </w:r>
    </w:p>
    <w:p w14:paraId="5F10C682" w14:textId="7AFC91ED" w:rsidR="00DA359F" w:rsidRDefault="00DA359F" w:rsidP="00DA359F">
      <w:pPr>
        <w:pStyle w:val="SangriaFrancesaArticulo"/>
      </w:pPr>
      <w:r w:rsidRPr="00DA359F">
        <w:rPr>
          <w:rStyle w:val="TextoNormalNegritaCaracter"/>
        </w:rPr>
        <w:t>Artículo 85.1.</w:t>
      </w:r>
      <w:r w:rsidRPr="00DA359F">
        <w:rPr>
          <w:rStyle w:val="TextoNormalCaracter"/>
        </w:rPr>
        <w:t>-</w:t>
      </w:r>
      <w:r>
        <w:t xml:space="preserve"> Sentencia </w:t>
      </w:r>
      <w:hyperlink w:anchor="SENTENCIA_2023_89" w:history="1">
        <w:r w:rsidRPr="00DA359F">
          <w:rPr>
            <w:rStyle w:val="TextoNormalCaracter"/>
          </w:rPr>
          <w:t>89/2023</w:t>
        </w:r>
      </w:hyperlink>
      <w:r>
        <w:t>, ff. 3, 4.</w:t>
      </w:r>
    </w:p>
    <w:p w14:paraId="5366BDC6" w14:textId="3AD74FB8" w:rsidR="00DA359F" w:rsidRDefault="00DA359F" w:rsidP="00DA359F">
      <w:pPr>
        <w:pStyle w:val="SangriaFrancesaArticulo"/>
      </w:pPr>
      <w:r w:rsidRPr="00DA359F">
        <w:rPr>
          <w:rStyle w:val="TextoNormalNegritaCaracter"/>
        </w:rPr>
        <w:t>Disposición derogatoria única, apartado 1 b).</w:t>
      </w:r>
      <w:r w:rsidRPr="00DA359F">
        <w:rPr>
          <w:rStyle w:val="TextoNormalCaracter"/>
        </w:rPr>
        <w:t>-</w:t>
      </w:r>
      <w:r>
        <w:t xml:space="preserve"> Sentencia </w:t>
      </w:r>
      <w:hyperlink w:anchor="SENTENCIA_2023_89" w:history="1">
        <w:r w:rsidRPr="00DA359F">
          <w:rPr>
            <w:rStyle w:val="TextoNormalCaracter"/>
          </w:rPr>
          <w:t>89/2023</w:t>
        </w:r>
      </w:hyperlink>
      <w:r>
        <w:t>, f. 3.</w:t>
      </w:r>
    </w:p>
    <w:p w14:paraId="66C1FC19" w14:textId="3AF13ABA" w:rsidR="00DA359F" w:rsidRDefault="00DA359F" w:rsidP="00DA359F">
      <w:pPr>
        <w:pStyle w:val="SangriaFrancesaArticulo"/>
      </w:pPr>
    </w:p>
    <w:p w14:paraId="3A0D4DFD" w14:textId="77777777" w:rsidR="00DA359F" w:rsidRDefault="00DA359F" w:rsidP="00DA359F">
      <w:pPr>
        <w:pStyle w:val="TextoNormalNegritaCursivandice"/>
        <w:keepNext/>
      </w:pPr>
      <w:r>
        <w:t>Ley 16/2022, de 5 de septiembre, de reforma del texto refundido de la Ley concursal, aprobado por el Real Decreto Legislativo 1/2020, de 5 de mayo, para la transposición de la Directiva (UE) 2019/1023 del Parlamento Europeo y del Consejo, de 20 de junio de 2019, sobre marcos de reestructuración preventiva, exoneración de deudas e inhabilitaciones, y sobre medidas para aumentar la eficiencia de los procedimientos de reestructuración, insolvencia y exoneración de deudas, y por la que se modifica la Directiva (UE) 2017/1132 del Parlamento Europeo y del Consejo, sobre determinados aspectos del Derecho de sociedades (Directiva sobre reestructuración e insolvencia)</w:t>
      </w:r>
    </w:p>
    <w:p w14:paraId="5832A4E1" w14:textId="3FF41893" w:rsidR="00DA359F" w:rsidRDefault="00DA359F" w:rsidP="00DA359F">
      <w:pPr>
        <w:pStyle w:val="SangriaFrancesaArticulo"/>
      </w:pPr>
      <w:r w:rsidRPr="00DA359F">
        <w:rPr>
          <w:rStyle w:val="TextoNormalNegritaCaracter"/>
        </w:rPr>
        <w:t>En general.</w:t>
      </w:r>
      <w:r w:rsidRPr="00DA359F">
        <w:rPr>
          <w:rStyle w:val="TextoNormalCaracter"/>
        </w:rPr>
        <w:t>-</w:t>
      </w:r>
      <w:r>
        <w:t xml:space="preserve"> Autos </w:t>
      </w:r>
      <w:hyperlink w:anchor="AUTO_2023_532" w:history="1">
        <w:r w:rsidRPr="00DA359F">
          <w:rPr>
            <w:rStyle w:val="TextoNormalCaracter"/>
          </w:rPr>
          <w:t>532/2023</w:t>
        </w:r>
      </w:hyperlink>
      <w:r>
        <w:t xml:space="preserve">, ff. 1, 4, 5, 8; </w:t>
      </w:r>
      <w:hyperlink w:anchor="AUTO_2023_535" w:history="1">
        <w:r w:rsidRPr="00DA359F">
          <w:rPr>
            <w:rStyle w:val="TextoNormalCaracter"/>
          </w:rPr>
          <w:t>535/2023</w:t>
        </w:r>
      </w:hyperlink>
      <w:r>
        <w:t>, ff. 1, 4, 5, 8.</w:t>
      </w:r>
    </w:p>
    <w:p w14:paraId="0DF8B95B" w14:textId="17F836BB" w:rsidR="00DA359F" w:rsidRDefault="00DA359F" w:rsidP="00DA359F">
      <w:pPr>
        <w:pStyle w:val="SangriaFrancesaArticulo"/>
      </w:pPr>
      <w:r w:rsidRPr="00DA359F">
        <w:rPr>
          <w:rStyle w:val="TextoNormalNegritaCaracter"/>
        </w:rPr>
        <w:t>Artículo único, apartado 130.</w:t>
      </w:r>
      <w:r w:rsidRPr="00DA359F">
        <w:rPr>
          <w:rStyle w:val="TextoNormalCaracter"/>
        </w:rPr>
        <w:t>-</w:t>
      </w:r>
      <w:r>
        <w:t xml:space="preserve"> Autos </w:t>
      </w:r>
      <w:hyperlink w:anchor="AUTO_2023_532" w:history="1">
        <w:r w:rsidRPr="00DA359F">
          <w:rPr>
            <w:rStyle w:val="TextoNormalCaracter"/>
          </w:rPr>
          <w:t>532/2023</w:t>
        </w:r>
      </w:hyperlink>
      <w:r>
        <w:t xml:space="preserve">, ff. 1, 6; </w:t>
      </w:r>
      <w:hyperlink w:anchor="AUTO_2023_535" w:history="1">
        <w:r w:rsidRPr="00DA359F">
          <w:rPr>
            <w:rStyle w:val="TextoNormalCaracter"/>
          </w:rPr>
          <w:t>535/2023</w:t>
        </w:r>
      </w:hyperlink>
      <w:r>
        <w:t>, ff. 1, 6.</w:t>
      </w:r>
    </w:p>
    <w:p w14:paraId="4BF43BE0" w14:textId="03EA4467" w:rsidR="00DA359F" w:rsidRDefault="00DA359F" w:rsidP="00DA359F">
      <w:pPr>
        <w:pStyle w:val="SangriaFrancesaArticulo"/>
      </w:pPr>
      <w:r w:rsidRPr="00DA359F">
        <w:rPr>
          <w:rStyle w:val="TextoNormalNegritaCaracter"/>
        </w:rPr>
        <w:t>Disposición transitoria primera.</w:t>
      </w:r>
      <w:r w:rsidRPr="00DA359F">
        <w:rPr>
          <w:rStyle w:val="TextoNormalCaracter"/>
        </w:rPr>
        <w:t>-</w:t>
      </w:r>
      <w:r>
        <w:t xml:space="preserve"> Autos </w:t>
      </w:r>
      <w:hyperlink w:anchor="AUTO_2023_532" w:history="1">
        <w:r w:rsidRPr="00DA359F">
          <w:rPr>
            <w:rStyle w:val="TextoNormalCaracter"/>
          </w:rPr>
          <w:t>532/2023</w:t>
        </w:r>
      </w:hyperlink>
      <w:r>
        <w:t xml:space="preserve">, f. 1; </w:t>
      </w:r>
      <w:hyperlink w:anchor="AUTO_2023_535" w:history="1">
        <w:r w:rsidRPr="00DA359F">
          <w:rPr>
            <w:rStyle w:val="TextoNormalCaracter"/>
          </w:rPr>
          <w:t>535/2023</w:t>
        </w:r>
      </w:hyperlink>
      <w:r>
        <w:t>, f. 1.</w:t>
      </w:r>
    </w:p>
    <w:p w14:paraId="26E6AB2E" w14:textId="533BB461" w:rsidR="00DA359F" w:rsidRDefault="00DA359F" w:rsidP="00DA359F">
      <w:pPr>
        <w:pStyle w:val="SangriaFrancesaArticulo"/>
      </w:pPr>
      <w:r w:rsidRPr="00DA359F">
        <w:rPr>
          <w:rStyle w:val="TextoNormalNegritaCaracter"/>
        </w:rPr>
        <w:t>Disposición transitoria primera, apartado 3.6.</w:t>
      </w:r>
      <w:r w:rsidRPr="00DA359F">
        <w:rPr>
          <w:rStyle w:val="TextoNormalCaracter"/>
        </w:rPr>
        <w:t>-</w:t>
      </w:r>
      <w:r>
        <w:t xml:space="preserve"> Autos </w:t>
      </w:r>
      <w:hyperlink w:anchor="AUTO_2023_532" w:history="1">
        <w:r w:rsidRPr="00DA359F">
          <w:rPr>
            <w:rStyle w:val="TextoNormalCaracter"/>
          </w:rPr>
          <w:t>532/2023</w:t>
        </w:r>
      </w:hyperlink>
      <w:r>
        <w:t xml:space="preserve">, ff. 1, 4, 5; </w:t>
      </w:r>
      <w:hyperlink w:anchor="AUTO_2023_535" w:history="1">
        <w:r w:rsidRPr="00DA359F">
          <w:rPr>
            <w:rStyle w:val="TextoNormalCaracter"/>
          </w:rPr>
          <w:t>535/2023</w:t>
        </w:r>
      </w:hyperlink>
      <w:r>
        <w:t>, ff. 1, 4, 5.</w:t>
      </w:r>
    </w:p>
    <w:p w14:paraId="66A4E932" w14:textId="5F9309AA" w:rsidR="00DA359F" w:rsidRDefault="00DA359F" w:rsidP="00DA359F">
      <w:pPr>
        <w:pStyle w:val="SangriaFrancesaArticulo"/>
      </w:pPr>
    </w:p>
    <w:p w14:paraId="6F781ADC" w14:textId="77777777" w:rsidR="00DA359F" w:rsidRDefault="00DA359F" w:rsidP="00DA359F">
      <w:pPr>
        <w:pStyle w:val="TextoNormalNegritaCursivandice"/>
        <w:keepNext/>
      </w:pPr>
      <w:r>
        <w:t>Ley 23/2022, de 2 de noviembre, por la que se modifica la Ley 13/2011, de 27 de mayo, de regulación del juego</w:t>
      </w:r>
    </w:p>
    <w:p w14:paraId="432A509D" w14:textId="56581AF4"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169" w:history="1">
        <w:r w:rsidRPr="00DA359F">
          <w:rPr>
            <w:rStyle w:val="TextoNormalCaracter"/>
          </w:rPr>
          <w:t>169/2023</w:t>
        </w:r>
      </w:hyperlink>
      <w:r>
        <w:t>, f. 3.</w:t>
      </w:r>
    </w:p>
    <w:p w14:paraId="2EE188F4" w14:textId="6920EA84" w:rsidR="00DA359F" w:rsidRDefault="00DA359F" w:rsidP="00DA359F">
      <w:pPr>
        <w:pStyle w:val="SangriaFrancesaArticulo"/>
      </w:pPr>
      <w:r w:rsidRPr="00DA359F">
        <w:rPr>
          <w:rStyle w:val="TextoNormalNegritaCaracter"/>
        </w:rPr>
        <w:t>Artículo único, apartado 1.</w:t>
      </w:r>
      <w:r w:rsidRPr="00DA359F">
        <w:rPr>
          <w:rStyle w:val="TextoNormalCaracter"/>
        </w:rPr>
        <w:t>-</w:t>
      </w:r>
      <w:r>
        <w:t xml:space="preserve"> Sentencia </w:t>
      </w:r>
      <w:hyperlink w:anchor="SENTENCIA_2023_169" w:history="1">
        <w:r w:rsidRPr="00DA359F">
          <w:rPr>
            <w:rStyle w:val="TextoNormalCaracter"/>
          </w:rPr>
          <w:t>169/2023</w:t>
        </w:r>
      </w:hyperlink>
      <w:r>
        <w:t>, f. 3.</w:t>
      </w:r>
    </w:p>
    <w:p w14:paraId="11382950" w14:textId="329590D2" w:rsidR="00DA359F" w:rsidRDefault="00DA359F" w:rsidP="00DA359F">
      <w:pPr>
        <w:pStyle w:val="SangriaFrancesaArticulo"/>
      </w:pPr>
    </w:p>
    <w:p w14:paraId="5D7527E0" w14:textId="77777777" w:rsidR="00DA359F" w:rsidRDefault="00DA359F" w:rsidP="00DA359F">
      <w:pPr>
        <w:pStyle w:val="TextoNormalNegritaCursivandice"/>
        <w:keepNext/>
      </w:pPr>
      <w:r>
        <w:t>Ley 38/2022, de 27 de diciembre, para el establecimiento de gravámenes temporales energético y de entidades de crédito y establecimientos financieros de crédito y por la que se crea el impuesto temporal de solidaridad de las grandes fortunas, y se modifican determinadas normas tributarias</w:t>
      </w:r>
    </w:p>
    <w:p w14:paraId="5005E7E9" w14:textId="129A8B19"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Sentencias </w:t>
      </w:r>
      <w:hyperlink w:anchor="SENTENCIA_2023_149" w:history="1">
        <w:r w:rsidRPr="00DA359F">
          <w:rPr>
            <w:rStyle w:val="TextoNormalCaracter"/>
          </w:rPr>
          <w:t>149/2023</w:t>
        </w:r>
      </w:hyperlink>
      <w:r>
        <w:t xml:space="preserve">, VP; </w:t>
      </w:r>
      <w:hyperlink w:anchor="SENTENCIA_2023_171" w:history="1">
        <w:r w:rsidRPr="00DA359F">
          <w:rPr>
            <w:rStyle w:val="TextoNormalCaracter"/>
          </w:rPr>
          <w:t>171/2023</w:t>
        </w:r>
      </w:hyperlink>
      <w:r>
        <w:t xml:space="preserve">, f. 3, VP; </w:t>
      </w:r>
      <w:hyperlink w:anchor="SENTENCIA_2023_189" w:history="1">
        <w:r w:rsidRPr="00DA359F">
          <w:rPr>
            <w:rStyle w:val="TextoNormalCaracter"/>
          </w:rPr>
          <w:t>189/2023</w:t>
        </w:r>
      </w:hyperlink>
      <w:r>
        <w:t xml:space="preserve">, VP; </w:t>
      </w:r>
      <w:hyperlink w:anchor="SENTENCIA_2023_190" w:history="1">
        <w:r w:rsidRPr="00DA359F">
          <w:rPr>
            <w:rStyle w:val="TextoNormalCaracter"/>
          </w:rPr>
          <w:t>190/2023</w:t>
        </w:r>
      </w:hyperlink>
      <w:r>
        <w:t>, VP.</w:t>
      </w:r>
    </w:p>
    <w:p w14:paraId="7499C145" w14:textId="56E406C8" w:rsidR="00DA359F" w:rsidRDefault="00DA359F" w:rsidP="00DA359F">
      <w:pPr>
        <w:pStyle w:val="SangriaFrancesaArticulo"/>
      </w:pPr>
      <w:r w:rsidRPr="00DA359F">
        <w:rPr>
          <w:rStyle w:val="TextoNormalNegritaCaracter"/>
        </w:rPr>
        <w:t>Exposición de motivos, apartado II.</w:t>
      </w:r>
      <w:r w:rsidRPr="00DA359F">
        <w:rPr>
          <w:rStyle w:val="TextoNormalCaracter"/>
        </w:rPr>
        <w:t>-</w:t>
      </w:r>
      <w:r>
        <w:t xml:space="preserve"> Sentencia </w:t>
      </w:r>
      <w:hyperlink w:anchor="SENTENCIA_2023_149" w:history="1">
        <w:r w:rsidRPr="00DA359F">
          <w:rPr>
            <w:rStyle w:val="TextoNormalCaracter"/>
          </w:rPr>
          <w:t>149/2023</w:t>
        </w:r>
      </w:hyperlink>
      <w:r>
        <w:t>, VP.</w:t>
      </w:r>
    </w:p>
    <w:p w14:paraId="0E035B60" w14:textId="33F85FE1" w:rsidR="00DA359F" w:rsidRDefault="00DA359F" w:rsidP="00DA359F">
      <w:pPr>
        <w:pStyle w:val="SangriaFrancesaArticulo"/>
      </w:pPr>
      <w:r w:rsidRPr="00DA359F">
        <w:rPr>
          <w:rStyle w:val="TextoNormalNegritaCaracter"/>
        </w:rPr>
        <w:t>Exposición de motivos, apartado V.</w:t>
      </w:r>
      <w:r w:rsidRPr="00DA359F">
        <w:rPr>
          <w:rStyle w:val="TextoNormalCaracter"/>
        </w:rPr>
        <w:t>-</w:t>
      </w:r>
      <w:r>
        <w:t xml:space="preserve"> Sentencia </w:t>
      </w:r>
      <w:hyperlink w:anchor="SENTENCIA_2023_149" w:history="1">
        <w:r w:rsidRPr="00DA359F">
          <w:rPr>
            <w:rStyle w:val="TextoNormalCaracter"/>
          </w:rPr>
          <w:t>149/2023</w:t>
        </w:r>
      </w:hyperlink>
      <w:r>
        <w:t>, VP.</w:t>
      </w:r>
    </w:p>
    <w:p w14:paraId="2429E638" w14:textId="1EC189CD" w:rsidR="00DA359F" w:rsidRDefault="00DA359F" w:rsidP="00DA359F">
      <w:pPr>
        <w:pStyle w:val="SangriaFrancesaArticulo"/>
      </w:pPr>
      <w:r w:rsidRPr="00DA359F">
        <w:rPr>
          <w:rStyle w:val="TextoNormalNegritaCaracter"/>
        </w:rPr>
        <w:t>Preámbulo.</w:t>
      </w:r>
      <w:r w:rsidRPr="00DA359F">
        <w:rPr>
          <w:rStyle w:val="TextoNormalCaracter"/>
        </w:rPr>
        <w:t>-</w:t>
      </w:r>
      <w:r>
        <w:t xml:space="preserve"> Sentencias </w:t>
      </w:r>
      <w:hyperlink w:anchor="SENTENCIA_2023_149" w:history="1">
        <w:r w:rsidRPr="00DA359F">
          <w:rPr>
            <w:rStyle w:val="TextoNormalCaracter"/>
          </w:rPr>
          <w:t>149/2023</w:t>
        </w:r>
      </w:hyperlink>
      <w:r>
        <w:t xml:space="preserve">, VP; </w:t>
      </w:r>
      <w:hyperlink w:anchor="SENTENCIA_2023_189" w:history="1">
        <w:r w:rsidRPr="00DA359F">
          <w:rPr>
            <w:rStyle w:val="TextoNormalCaracter"/>
          </w:rPr>
          <w:t>189/2023</w:t>
        </w:r>
      </w:hyperlink>
      <w:r>
        <w:t>, f. 4.</w:t>
      </w:r>
    </w:p>
    <w:p w14:paraId="36494D99" w14:textId="1862ECAF" w:rsidR="00DA359F" w:rsidRDefault="00DA359F" w:rsidP="00DA359F">
      <w:pPr>
        <w:pStyle w:val="SangriaFrancesaArticulo"/>
      </w:pPr>
      <w:r w:rsidRPr="00DA359F">
        <w:rPr>
          <w:rStyle w:val="TextoNormalNegritaCaracter"/>
        </w:rPr>
        <w:t>Preámbulo, apartado I.</w:t>
      </w:r>
      <w:r w:rsidRPr="00DA359F">
        <w:rPr>
          <w:rStyle w:val="TextoNormalCaracter"/>
        </w:rPr>
        <w:t>-</w:t>
      </w:r>
      <w:r>
        <w:t xml:space="preserve"> Sentencia </w:t>
      </w:r>
      <w:hyperlink w:anchor="SENTENCIA_2023_149" w:history="1">
        <w:r w:rsidRPr="00DA359F">
          <w:rPr>
            <w:rStyle w:val="TextoNormalCaracter"/>
          </w:rPr>
          <w:t>149/2023</w:t>
        </w:r>
      </w:hyperlink>
      <w:r>
        <w:t>, VP.</w:t>
      </w:r>
    </w:p>
    <w:p w14:paraId="43BECD3A" w14:textId="3BF1B340" w:rsidR="00DA359F" w:rsidRDefault="00DA359F" w:rsidP="00DA359F">
      <w:pPr>
        <w:pStyle w:val="SangriaFrancesaArticulo"/>
      </w:pPr>
      <w:r w:rsidRPr="00DA359F">
        <w:rPr>
          <w:rStyle w:val="TextoNormalNegritaCaracter"/>
        </w:rPr>
        <w:t>Preámbulo, apartado II.</w:t>
      </w:r>
      <w:r w:rsidRPr="00DA359F">
        <w:rPr>
          <w:rStyle w:val="TextoNormalCaracter"/>
        </w:rPr>
        <w:t>-</w:t>
      </w:r>
      <w:r>
        <w:t xml:space="preserve"> Sentencia </w:t>
      </w:r>
      <w:hyperlink w:anchor="SENTENCIA_2023_149" w:history="1">
        <w:r w:rsidRPr="00DA359F">
          <w:rPr>
            <w:rStyle w:val="TextoNormalCaracter"/>
          </w:rPr>
          <w:t>149/2023</w:t>
        </w:r>
      </w:hyperlink>
      <w:r>
        <w:t>, VP.</w:t>
      </w:r>
    </w:p>
    <w:p w14:paraId="1E3BAB45" w14:textId="166925C4" w:rsidR="00DA359F" w:rsidRDefault="00DA359F" w:rsidP="00DA359F">
      <w:pPr>
        <w:pStyle w:val="SangriaFrancesaArticulo"/>
      </w:pPr>
      <w:r w:rsidRPr="00DA359F">
        <w:rPr>
          <w:rStyle w:val="TextoNormalNegritaCaracter"/>
        </w:rPr>
        <w:t>Preámbulo, apartado V.</w:t>
      </w:r>
      <w:r w:rsidRPr="00DA359F">
        <w:rPr>
          <w:rStyle w:val="TextoNormalCaracter"/>
        </w:rPr>
        <w:t>-</w:t>
      </w:r>
      <w:r>
        <w:t xml:space="preserve"> Sentencia </w:t>
      </w:r>
      <w:hyperlink w:anchor="SENTENCIA_2023_149" w:history="1">
        <w:r w:rsidRPr="00DA359F">
          <w:rPr>
            <w:rStyle w:val="TextoNormalCaracter"/>
          </w:rPr>
          <w:t>149/2023</w:t>
        </w:r>
      </w:hyperlink>
      <w:r>
        <w:t>, f. 1, VP.</w:t>
      </w:r>
    </w:p>
    <w:p w14:paraId="213F572A" w14:textId="169FF9C1" w:rsidR="00DA359F" w:rsidRDefault="00DA359F" w:rsidP="00DA359F">
      <w:pPr>
        <w:pStyle w:val="SangriaFrancesaArticulo"/>
      </w:pPr>
      <w:r w:rsidRPr="00DA359F">
        <w:rPr>
          <w:rStyle w:val="TextoNormalNegritaCaracter"/>
        </w:rPr>
        <w:t>Artículo 1.</w:t>
      </w:r>
      <w:r w:rsidRPr="00DA359F">
        <w:rPr>
          <w:rStyle w:val="TextoNormalCaracter"/>
        </w:rPr>
        <w:t>-</w:t>
      </w:r>
      <w:r>
        <w:t xml:space="preserve"> Sentencia </w:t>
      </w:r>
      <w:hyperlink w:anchor="SENTENCIA_2023_149" w:history="1">
        <w:r w:rsidRPr="00DA359F">
          <w:rPr>
            <w:rStyle w:val="TextoNormalCaracter"/>
          </w:rPr>
          <w:t>149/2023</w:t>
        </w:r>
      </w:hyperlink>
      <w:r>
        <w:t>, f. 2, VP.</w:t>
      </w:r>
    </w:p>
    <w:p w14:paraId="6B0E00B4" w14:textId="72ED8C67" w:rsidR="00DA359F" w:rsidRDefault="00DA359F" w:rsidP="00DA359F">
      <w:pPr>
        <w:pStyle w:val="SangriaFrancesaArticulo"/>
      </w:pPr>
      <w:r w:rsidRPr="00DA359F">
        <w:rPr>
          <w:rStyle w:val="TextoNormalNegritaCaracter"/>
        </w:rPr>
        <w:t>Artículo 2.</w:t>
      </w:r>
      <w:r w:rsidRPr="00DA359F">
        <w:rPr>
          <w:rStyle w:val="TextoNormalCaracter"/>
        </w:rPr>
        <w:t>-</w:t>
      </w:r>
      <w:r>
        <w:t xml:space="preserve"> Sentencia </w:t>
      </w:r>
      <w:hyperlink w:anchor="SENTENCIA_2023_149" w:history="1">
        <w:r w:rsidRPr="00DA359F">
          <w:rPr>
            <w:rStyle w:val="TextoNormalCaracter"/>
          </w:rPr>
          <w:t>149/2023</w:t>
        </w:r>
      </w:hyperlink>
      <w:r>
        <w:t>, f. 2. VP.</w:t>
      </w:r>
    </w:p>
    <w:p w14:paraId="7A5016F9" w14:textId="3754A3E2" w:rsidR="00DA359F" w:rsidRDefault="00DA359F" w:rsidP="00DA359F">
      <w:pPr>
        <w:pStyle w:val="SangriaFrancesaArticulo"/>
      </w:pPr>
      <w:r w:rsidRPr="00DA359F">
        <w:rPr>
          <w:rStyle w:val="TextoNormalNegritaCaracter"/>
        </w:rPr>
        <w:t>Artículo 3.</w:t>
      </w:r>
      <w:r w:rsidRPr="00DA359F">
        <w:rPr>
          <w:rStyle w:val="TextoNormalCaracter"/>
        </w:rPr>
        <w:t>-</w:t>
      </w:r>
      <w:r>
        <w:t xml:space="preserve"> Sentencias </w:t>
      </w:r>
      <w:hyperlink w:anchor="SENTENCIA_2023_149" w:history="1">
        <w:r w:rsidRPr="00DA359F">
          <w:rPr>
            <w:rStyle w:val="TextoNormalCaracter"/>
          </w:rPr>
          <w:t>149/2023</w:t>
        </w:r>
      </w:hyperlink>
      <w:r>
        <w:t xml:space="preserve">, ff. 1, 2, 4, 5, VP; </w:t>
      </w:r>
      <w:hyperlink w:anchor="SENTENCIA_2023_170" w:history="1">
        <w:r w:rsidRPr="00DA359F">
          <w:rPr>
            <w:rStyle w:val="TextoNormalCaracter"/>
          </w:rPr>
          <w:t>170/2023</w:t>
        </w:r>
      </w:hyperlink>
      <w:r>
        <w:t xml:space="preserve">, f. 1, VP; </w:t>
      </w:r>
      <w:hyperlink w:anchor="SENTENCIA_2023_171" w:history="1">
        <w:r w:rsidRPr="00DA359F">
          <w:rPr>
            <w:rStyle w:val="TextoNormalCaracter"/>
          </w:rPr>
          <w:t>171/2023</w:t>
        </w:r>
      </w:hyperlink>
      <w:r>
        <w:t xml:space="preserve">, f. 1, VP; </w:t>
      </w:r>
      <w:hyperlink w:anchor="SENTENCIA_2023_189" w:history="1">
        <w:r w:rsidRPr="00DA359F">
          <w:rPr>
            <w:rStyle w:val="TextoNormalCaracter"/>
          </w:rPr>
          <w:t>189/2023</w:t>
        </w:r>
      </w:hyperlink>
      <w:r>
        <w:t xml:space="preserve">, f. 1, VP; </w:t>
      </w:r>
      <w:hyperlink w:anchor="SENTENCIA_2023_190" w:history="1">
        <w:r w:rsidRPr="00DA359F">
          <w:rPr>
            <w:rStyle w:val="TextoNormalCaracter"/>
          </w:rPr>
          <w:t>190/2023</w:t>
        </w:r>
      </w:hyperlink>
      <w:r>
        <w:t>, f. 1, VP.</w:t>
      </w:r>
    </w:p>
    <w:p w14:paraId="04CF4905" w14:textId="15B8906F" w:rsidR="00DA359F" w:rsidRDefault="00DA359F" w:rsidP="00DA359F">
      <w:pPr>
        <w:pStyle w:val="SangriaFrancesaArticulo"/>
      </w:pPr>
      <w:r w:rsidRPr="00DA359F">
        <w:rPr>
          <w:rStyle w:val="TextoNormalNegritaCaracter"/>
        </w:rPr>
        <w:t>Artículo 3.1.</w:t>
      </w:r>
      <w:r w:rsidRPr="00DA359F">
        <w:rPr>
          <w:rStyle w:val="TextoNormalCaracter"/>
        </w:rPr>
        <w:t>-</w:t>
      </w:r>
      <w:r>
        <w:t xml:space="preserve"> Sentencia </w:t>
      </w:r>
      <w:hyperlink w:anchor="SENTENCIA_2023_149" w:history="1">
        <w:r w:rsidRPr="00DA359F">
          <w:rPr>
            <w:rStyle w:val="TextoNormalCaracter"/>
          </w:rPr>
          <w:t>149/2023</w:t>
        </w:r>
      </w:hyperlink>
      <w:r>
        <w:t>, f. 1, VP.</w:t>
      </w:r>
    </w:p>
    <w:p w14:paraId="1EE960A0" w14:textId="29A281E7" w:rsidR="00DA359F" w:rsidRDefault="00DA359F" w:rsidP="00DA359F">
      <w:pPr>
        <w:pStyle w:val="SangriaFrancesaArticulo"/>
      </w:pPr>
      <w:r w:rsidRPr="00DA359F">
        <w:rPr>
          <w:rStyle w:val="TextoNormalNegritaCaracter"/>
        </w:rPr>
        <w:t>Artículo 3.1, párrafo 1.</w:t>
      </w:r>
      <w:r w:rsidRPr="00DA359F">
        <w:rPr>
          <w:rStyle w:val="TextoNormalCaracter"/>
        </w:rPr>
        <w:t>-</w:t>
      </w:r>
      <w:r>
        <w:t xml:space="preserve"> Sentencia </w:t>
      </w:r>
      <w:hyperlink w:anchor="SENTENCIA_2023_149" w:history="1">
        <w:r w:rsidRPr="00DA359F">
          <w:rPr>
            <w:rStyle w:val="TextoNormalCaracter"/>
          </w:rPr>
          <w:t>149/2023</w:t>
        </w:r>
      </w:hyperlink>
      <w:r>
        <w:t>, VP.</w:t>
      </w:r>
    </w:p>
    <w:p w14:paraId="0218B786" w14:textId="4B1ECBA1" w:rsidR="00DA359F" w:rsidRDefault="00DA359F" w:rsidP="00DA359F">
      <w:pPr>
        <w:pStyle w:val="SangriaFrancesaArticulo"/>
      </w:pPr>
      <w:r w:rsidRPr="00DA359F">
        <w:rPr>
          <w:rStyle w:val="TextoNormalNegritaCaracter"/>
        </w:rPr>
        <w:t>Artículo 3.2.</w:t>
      </w:r>
      <w:r w:rsidRPr="00DA359F">
        <w:rPr>
          <w:rStyle w:val="TextoNormalCaracter"/>
        </w:rPr>
        <w:t>-</w:t>
      </w:r>
      <w:r>
        <w:t xml:space="preserve"> Sentencia </w:t>
      </w:r>
      <w:hyperlink w:anchor="SENTENCIA_2023_149" w:history="1">
        <w:r w:rsidRPr="00DA359F">
          <w:rPr>
            <w:rStyle w:val="TextoNormalCaracter"/>
          </w:rPr>
          <w:t>149/2023</w:t>
        </w:r>
      </w:hyperlink>
      <w:r>
        <w:t>, f. 1.</w:t>
      </w:r>
    </w:p>
    <w:p w14:paraId="6CC6F600" w14:textId="3FBDB9A4" w:rsidR="00DA359F" w:rsidRDefault="00DA359F" w:rsidP="00DA359F">
      <w:pPr>
        <w:pStyle w:val="SangriaFrancesaArticulo"/>
      </w:pPr>
      <w:r w:rsidRPr="00DA359F">
        <w:rPr>
          <w:rStyle w:val="TextoNormalNegritaCaracter"/>
        </w:rPr>
        <w:t>Artículo 3.2, párrafo 2.</w:t>
      </w:r>
      <w:r w:rsidRPr="00DA359F">
        <w:rPr>
          <w:rStyle w:val="TextoNormalCaracter"/>
        </w:rPr>
        <w:t>-</w:t>
      </w:r>
      <w:r>
        <w:t xml:space="preserve"> Sentencia </w:t>
      </w:r>
      <w:hyperlink w:anchor="SENTENCIA_2023_149" w:history="1">
        <w:r w:rsidRPr="00DA359F">
          <w:rPr>
            <w:rStyle w:val="TextoNormalCaracter"/>
          </w:rPr>
          <w:t>149/2023</w:t>
        </w:r>
      </w:hyperlink>
      <w:r>
        <w:t>, VP.</w:t>
      </w:r>
    </w:p>
    <w:p w14:paraId="0443E415" w14:textId="72D278B7" w:rsidR="00DA359F" w:rsidRDefault="00DA359F" w:rsidP="00DA359F">
      <w:pPr>
        <w:pStyle w:val="SangriaFrancesaArticulo"/>
      </w:pPr>
      <w:r w:rsidRPr="00DA359F">
        <w:rPr>
          <w:rStyle w:val="TextoNormalNegritaCaracter"/>
        </w:rPr>
        <w:t>Artículo 3.3.</w:t>
      </w:r>
      <w:r w:rsidRPr="00DA359F">
        <w:rPr>
          <w:rStyle w:val="TextoNormalCaracter"/>
        </w:rPr>
        <w:t>-</w:t>
      </w:r>
      <w:r>
        <w:t xml:space="preserve"> Sentencia </w:t>
      </w:r>
      <w:hyperlink w:anchor="SENTENCIA_2023_149" w:history="1">
        <w:r w:rsidRPr="00DA359F">
          <w:rPr>
            <w:rStyle w:val="TextoNormalCaracter"/>
          </w:rPr>
          <w:t>149/2023</w:t>
        </w:r>
      </w:hyperlink>
      <w:r>
        <w:t>, f. 1, VP.</w:t>
      </w:r>
    </w:p>
    <w:p w14:paraId="60BEDC62" w14:textId="32666CC5" w:rsidR="00DA359F" w:rsidRDefault="00DA359F" w:rsidP="00DA359F">
      <w:pPr>
        <w:pStyle w:val="SangriaFrancesaArticulo"/>
      </w:pPr>
      <w:r w:rsidRPr="00DA359F">
        <w:rPr>
          <w:rStyle w:val="TextoNormalNegritaCaracter"/>
        </w:rPr>
        <w:t>Artículo 3.3, párrafo 1.</w:t>
      </w:r>
      <w:r w:rsidRPr="00DA359F">
        <w:rPr>
          <w:rStyle w:val="TextoNormalCaracter"/>
        </w:rPr>
        <w:t>-</w:t>
      </w:r>
      <w:r>
        <w:t xml:space="preserve"> Sentencia </w:t>
      </w:r>
      <w:hyperlink w:anchor="SENTENCIA_2023_149" w:history="1">
        <w:r w:rsidRPr="00DA359F">
          <w:rPr>
            <w:rStyle w:val="TextoNormalCaracter"/>
          </w:rPr>
          <w:t>149/2023</w:t>
        </w:r>
      </w:hyperlink>
      <w:r>
        <w:t>, VP.</w:t>
      </w:r>
    </w:p>
    <w:p w14:paraId="7C079F56" w14:textId="549564FD" w:rsidR="00DA359F" w:rsidRDefault="00DA359F" w:rsidP="00DA359F">
      <w:pPr>
        <w:pStyle w:val="SangriaFrancesaArticulo"/>
      </w:pPr>
      <w:r w:rsidRPr="00DA359F">
        <w:rPr>
          <w:rStyle w:val="TextoNormalNegritaCaracter"/>
        </w:rPr>
        <w:t>Artículo 3.5.</w:t>
      </w:r>
      <w:r w:rsidRPr="00DA359F">
        <w:rPr>
          <w:rStyle w:val="TextoNormalCaracter"/>
        </w:rPr>
        <w:t>-</w:t>
      </w:r>
      <w:r>
        <w:t xml:space="preserve"> Sentencia </w:t>
      </w:r>
      <w:hyperlink w:anchor="SENTENCIA_2023_149" w:history="1">
        <w:r w:rsidRPr="00DA359F">
          <w:rPr>
            <w:rStyle w:val="TextoNormalCaracter"/>
          </w:rPr>
          <w:t>149/2023</w:t>
        </w:r>
      </w:hyperlink>
      <w:r>
        <w:t>, VP.</w:t>
      </w:r>
    </w:p>
    <w:p w14:paraId="1FE26A97" w14:textId="2BA6417E" w:rsidR="00DA359F" w:rsidRDefault="00DA359F" w:rsidP="00DA359F">
      <w:pPr>
        <w:pStyle w:val="SangriaFrancesaArticulo"/>
      </w:pPr>
      <w:r w:rsidRPr="00DA359F">
        <w:rPr>
          <w:rStyle w:val="TextoNormalNegritaCaracter"/>
        </w:rPr>
        <w:t>Artículo 3.8.</w:t>
      </w:r>
      <w:r w:rsidRPr="00DA359F">
        <w:rPr>
          <w:rStyle w:val="TextoNormalCaracter"/>
        </w:rPr>
        <w:t>-</w:t>
      </w:r>
      <w:r>
        <w:t xml:space="preserve"> Sentencia </w:t>
      </w:r>
      <w:hyperlink w:anchor="SENTENCIA_2023_149" w:history="1">
        <w:r w:rsidRPr="00DA359F">
          <w:rPr>
            <w:rStyle w:val="TextoNormalCaracter"/>
          </w:rPr>
          <w:t>149/2023</w:t>
        </w:r>
      </w:hyperlink>
      <w:r>
        <w:t>, VP.</w:t>
      </w:r>
    </w:p>
    <w:p w14:paraId="1134C3DE" w14:textId="6A5ECA03" w:rsidR="00DA359F" w:rsidRDefault="00DA359F" w:rsidP="00DA359F">
      <w:pPr>
        <w:pStyle w:val="SangriaFrancesaArticulo"/>
      </w:pPr>
      <w:r w:rsidRPr="00DA359F">
        <w:rPr>
          <w:rStyle w:val="TextoNormalNegritaCaracter"/>
        </w:rPr>
        <w:t>Artículo 3.9.</w:t>
      </w:r>
      <w:r w:rsidRPr="00DA359F">
        <w:rPr>
          <w:rStyle w:val="TextoNormalCaracter"/>
        </w:rPr>
        <w:t>-</w:t>
      </w:r>
      <w:r>
        <w:t xml:space="preserve"> Sentencia </w:t>
      </w:r>
      <w:hyperlink w:anchor="SENTENCIA_2023_149" w:history="1">
        <w:r w:rsidRPr="00DA359F">
          <w:rPr>
            <w:rStyle w:val="TextoNormalCaracter"/>
          </w:rPr>
          <w:t>149/2023</w:t>
        </w:r>
      </w:hyperlink>
      <w:r>
        <w:t>, VP.</w:t>
      </w:r>
    </w:p>
    <w:p w14:paraId="7686D4A4" w14:textId="4F99802E" w:rsidR="00DA359F" w:rsidRDefault="00DA359F" w:rsidP="00DA359F">
      <w:pPr>
        <w:pStyle w:val="SangriaFrancesaArticulo"/>
      </w:pPr>
      <w:r w:rsidRPr="00DA359F">
        <w:rPr>
          <w:rStyle w:val="TextoNormalNegritaCaracter"/>
        </w:rPr>
        <w:t>Artículo 3.10.</w:t>
      </w:r>
      <w:r w:rsidRPr="00DA359F">
        <w:rPr>
          <w:rStyle w:val="TextoNormalCaracter"/>
        </w:rPr>
        <w:t>-</w:t>
      </w:r>
      <w:r>
        <w:t xml:space="preserve"> Sentencia </w:t>
      </w:r>
      <w:hyperlink w:anchor="SENTENCIA_2023_149" w:history="1">
        <w:r w:rsidRPr="00DA359F">
          <w:rPr>
            <w:rStyle w:val="TextoNormalCaracter"/>
          </w:rPr>
          <w:t>149/2023</w:t>
        </w:r>
      </w:hyperlink>
      <w:r>
        <w:t>, f. 1, VP.</w:t>
      </w:r>
    </w:p>
    <w:p w14:paraId="56F29E03" w14:textId="0E065402" w:rsidR="00DA359F" w:rsidRDefault="00DA359F" w:rsidP="00DA359F">
      <w:pPr>
        <w:pStyle w:val="SangriaFrancesaArticulo"/>
      </w:pPr>
      <w:r w:rsidRPr="00DA359F">
        <w:rPr>
          <w:rStyle w:val="TextoNormalNegritaCaracter"/>
        </w:rPr>
        <w:t>Artículo 3.11.</w:t>
      </w:r>
      <w:r w:rsidRPr="00DA359F">
        <w:rPr>
          <w:rStyle w:val="TextoNormalCaracter"/>
        </w:rPr>
        <w:t>-</w:t>
      </w:r>
      <w:r>
        <w:t xml:space="preserve"> Sentencia </w:t>
      </w:r>
      <w:hyperlink w:anchor="SENTENCIA_2023_149" w:history="1">
        <w:r w:rsidRPr="00DA359F">
          <w:rPr>
            <w:rStyle w:val="TextoNormalCaracter"/>
          </w:rPr>
          <w:t>149/2023</w:t>
        </w:r>
      </w:hyperlink>
      <w:r>
        <w:t>, f. 1, VP.</w:t>
      </w:r>
    </w:p>
    <w:p w14:paraId="007A2EFB" w14:textId="29CCDBE5" w:rsidR="00DA359F" w:rsidRDefault="00DA359F" w:rsidP="00DA359F">
      <w:pPr>
        <w:pStyle w:val="SangriaFrancesaArticulo"/>
      </w:pPr>
      <w:r w:rsidRPr="00DA359F">
        <w:rPr>
          <w:rStyle w:val="TextoNormalNegritaCaracter"/>
        </w:rPr>
        <w:t>Artículo 3.15.</w:t>
      </w:r>
      <w:r w:rsidRPr="00DA359F">
        <w:rPr>
          <w:rStyle w:val="TextoNormalCaracter"/>
        </w:rPr>
        <w:t>-</w:t>
      </w:r>
      <w:r>
        <w:t xml:space="preserve"> Sentencia </w:t>
      </w:r>
      <w:hyperlink w:anchor="SENTENCIA_2023_149" w:history="1">
        <w:r w:rsidRPr="00DA359F">
          <w:rPr>
            <w:rStyle w:val="TextoNormalCaracter"/>
          </w:rPr>
          <w:t>149/2023</w:t>
        </w:r>
      </w:hyperlink>
      <w:r>
        <w:t>, f. 1, VP.</w:t>
      </w:r>
    </w:p>
    <w:p w14:paraId="31DBC98E" w14:textId="39FB89E2" w:rsidR="00DA359F" w:rsidRDefault="00DA359F" w:rsidP="00DA359F">
      <w:pPr>
        <w:pStyle w:val="SangriaFrancesaArticulo"/>
      </w:pPr>
      <w:r w:rsidRPr="00DA359F">
        <w:rPr>
          <w:rStyle w:val="TextoNormalNegritaCaracter"/>
        </w:rPr>
        <w:t>Artículo 3.17.</w:t>
      </w:r>
      <w:r w:rsidRPr="00DA359F">
        <w:rPr>
          <w:rStyle w:val="TextoNormalCaracter"/>
        </w:rPr>
        <w:t>-</w:t>
      </w:r>
      <w:r>
        <w:t xml:space="preserve"> Sentencia </w:t>
      </w:r>
      <w:hyperlink w:anchor="SENTENCIA_2023_149" w:history="1">
        <w:r w:rsidRPr="00DA359F">
          <w:rPr>
            <w:rStyle w:val="TextoNormalCaracter"/>
          </w:rPr>
          <w:t>149/2023</w:t>
        </w:r>
      </w:hyperlink>
      <w:r>
        <w:t>, f. 1.</w:t>
      </w:r>
    </w:p>
    <w:p w14:paraId="2A053F25" w14:textId="7E5E166F" w:rsidR="00DA359F" w:rsidRDefault="00DA359F" w:rsidP="00DA359F">
      <w:pPr>
        <w:pStyle w:val="SangriaFrancesaArticulo"/>
      </w:pPr>
      <w:r w:rsidRPr="00DA359F">
        <w:rPr>
          <w:rStyle w:val="TextoNormalNegritaCaracter"/>
        </w:rPr>
        <w:t>Artículo 3.18.</w:t>
      </w:r>
      <w:r w:rsidRPr="00DA359F">
        <w:rPr>
          <w:rStyle w:val="TextoNormalCaracter"/>
        </w:rPr>
        <w:t>-</w:t>
      </w:r>
      <w:r>
        <w:t xml:space="preserve"> Sentencia </w:t>
      </w:r>
      <w:hyperlink w:anchor="SENTENCIA_2023_149" w:history="1">
        <w:r w:rsidRPr="00DA359F">
          <w:rPr>
            <w:rStyle w:val="TextoNormalCaracter"/>
          </w:rPr>
          <w:t>149/2023</w:t>
        </w:r>
      </w:hyperlink>
      <w:r>
        <w:t>, VP.</w:t>
      </w:r>
    </w:p>
    <w:p w14:paraId="32F6D3DF" w14:textId="6BC4BEBA" w:rsidR="00DA359F" w:rsidRDefault="00DA359F" w:rsidP="00DA359F">
      <w:pPr>
        <w:pStyle w:val="SangriaFrancesaArticulo"/>
      </w:pPr>
      <w:r w:rsidRPr="00DA359F">
        <w:rPr>
          <w:rStyle w:val="TextoNormalNegritaCaracter"/>
        </w:rPr>
        <w:t>Artículo 3.25.</w:t>
      </w:r>
      <w:r w:rsidRPr="00DA359F">
        <w:rPr>
          <w:rStyle w:val="TextoNormalCaracter"/>
        </w:rPr>
        <w:t>-</w:t>
      </w:r>
      <w:r>
        <w:t xml:space="preserve"> Sentencia </w:t>
      </w:r>
      <w:hyperlink w:anchor="SENTENCIA_2023_149" w:history="1">
        <w:r w:rsidRPr="00DA359F">
          <w:rPr>
            <w:rStyle w:val="TextoNormalCaracter"/>
          </w:rPr>
          <w:t>149/2023</w:t>
        </w:r>
      </w:hyperlink>
      <w:r>
        <w:t>, f. 1.</w:t>
      </w:r>
    </w:p>
    <w:p w14:paraId="5E1C8B4C" w14:textId="709E2FA8" w:rsidR="00DA359F" w:rsidRDefault="00DA359F" w:rsidP="00DA359F">
      <w:pPr>
        <w:pStyle w:val="SangriaFrancesaArticulo"/>
      </w:pPr>
      <w:r w:rsidRPr="00DA359F">
        <w:rPr>
          <w:rStyle w:val="TextoNormalNegritaCaracter"/>
        </w:rPr>
        <w:t>Artículo 3.28.</w:t>
      </w:r>
      <w:r w:rsidRPr="00DA359F">
        <w:rPr>
          <w:rStyle w:val="TextoNormalCaracter"/>
        </w:rPr>
        <w:t>-</w:t>
      </w:r>
      <w:r>
        <w:t xml:space="preserve"> Sentencia </w:t>
      </w:r>
      <w:hyperlink w:anchor="SENTENCIA_2023_149" w:history="1">
        <w:r w:rsidRPr="00DA359F">
          <w:rPr>
            <w:rStyle w:val="TextoNormalCaracter"/>
          </w:rPr>
          <w:t>149/2023</w:t>
        </w:r>
      </w:hyperlink>
      <w:r>
        <w:t>, VP.</w:t>
      </w:r>
    </w:p>
    <w:p w14:paraId="409B82A8" w14:textId="338BB605" w:rsidR="00DA359F" w:rsidRDefault="00DA359F" w:rsidP="00DA359F">
      <w:pPr>
        <w:pStyle w:val="SangriaFrancesaArticulo"/>
      </w:pPr>
      <w:r w:rsidRPr="00DA359F">
        <w:rPr>
          <w:rStyle w:val="TextoNormalNegritaCaracter"/>
        </w:rPr>
        <w:t>Disposición final séptima.</w:t>
      </w:r>
      <w:r w:rsidRPr="00DA359F">
        <w:rPr>
          <w:rStyle w:val="TextoNormalCaracter"/>
        </w:rPr>
        <w:t>-</w:t>
      </w:r>
      <w:r>
        <w:t xml:space="preserve"> Sentencia </w:t>
      </w:r>
      <w:hyperlink w:anchor="SENTENCIA_2023_149" w:history="1">
        <w:r w:rsidRPr="00DA359F">
          <w:rPr>
            <w:rStyle w:val="TextoNormalCaracter"/>
          </w:rPr>
          <w:t>149/2023</w:t>
        </w:r>
      </w:hyperlink>
      <w:r>
        <w:t>, f. 1.</w:t>
      </w:r>
    </w:p>
    <w:p w14:paraId="68A7AE32" w14:textId="03D2949A" w:rsidR="00DA359F" w:rsidRDefault="00DA359F" w:rsidP="00DA359F">
      <w:pPr>
        <w:pStyle w:val="TextoNormal"/>
      </w:pPr>
    </w:p>
    <w:p w14:paraId="5B07C346" w14:textId="77777777" w:rsidR="00DA359F" w:rsidRDefault="00DA359F" w:rsidP="00DA359F">
      <w:pPr>
        <w:pStyle w:val="SangriaFrancesaArticulo"/>
      </w:pPr>
      <w:bookmarkStart w:id="485" w:name="INDICE22847"/>
    </w:p>
    <w:bookmarkEnd w:id="485"/>
    <w:p w14:paraId="605E19E0" w14:textId="77777777" w:rsidR="00DA359F" w:rsidRDefault="00DA359F" w:rsidP="00DA359F">
      <w:pPr>
        <w:pStyle w:val="TextoIndiceNivel2"/>
        <w:suppressAutoHyphens/>
      </w:pPr>
      <w:r>
        <w:t>F) Reales Decretos Legislativos</w:t>
      </w:r>
    </w:p>
    <w:p w14:paraId="2AF00476" w14:textId="54E7EC39" w:rsidR="00DA359F" w:rsidRDefault="00DA359F" w:rsidP="00DA359F">
      <w:pPr>
        <w:pStyle w:val="TextoIndiceNivel2"/>
      </w:pPr>
    </w:p>
    <w:p w14:paraId="3E00E7EA" w14:textId="77777777" w:rsidR="00DA359F" w:rsidRDefault="00DA359F" w:rsidP="00DA359F">
      <w:pPr>
        <w:pStyle w:val="TextoNormalNegritaCursivandice"/>
        <w:keepNext/>
      </w:pPr>
      <w:r>
        <w:t>Real Decreto Legislativo 1/1994, de 20 de junio. Texto refundido de la Ley general de la Seguridad Social</w:t>
      </w:r>
    </w:p>
    <w:p w14:paraId="13361C87" w14:textId="6990005D" w:rsidR="00DA359F" w:rsidRDefault="00DA359F" w:rsidP="00DA359F">
      <w:pPr>
        <w:pStyle w:val="SangriaFrancesaArticulo"/>
      </w:pPr>
      <w:r w:rsidRPr="00DA359F">
        <w:rPr>
          <w:rStyle w:val="TextoNormalNegritaCaracter"/>
        </w:rPr>
        <w:t>Artículo 177</w:t>
      </w:r>
      <w:r>
        <w:t xml:space="preserve"> (redactado por el Real Decreto Legislativo 8/2015, de 30 de octubre)</w:t>
      </w:r>
      <w:r w:rsidRPr="00DA359F">
        <w:rPr>
          <w:rStyle w:val="TextoNormalNegritaCaracter"/>
        </w:rPr>
        <w:t>.</w:t>
      </w:r>
      <w:r w:rsidRPr="00DA359F">
        <w:rPr>
          <w:rStyle w:val="TextoNormalCaracter"/>
        </w:rPr>
        <w:t>-</w:t>
      </w:r>
      <w:r>
        <w:t xml:space="preserve"> Auto </w:t>
      </w:r>
      <w:hyperlink w:anchor="AUTO_2023_446" w:history="1">
        <w:r w:rsidRPr="00DA359F">
          <w:rPr>
            <w:rStyle w:val="TextoNormalCaracter"/>
          </w:rPr>
          <w:t>446/2023</w:t>
        </w:r>
      </w:hyperlink>
      <w:r>
        <w:t>, ff. 1, 3, 4.</w:t>
      </w:r>
    </w:p>
    <w:p w14:paraId="47AC18DF" w14:textId="3042F177" w:rsidR="00DA359F" w:rsidRDefault="00DA359F" w:rsidP="00DA359F">
      <w:pPr>
        <w:pStyle w:val="SangriaFrancesaArticulo"/>
      </w:pPr>
    </w:p>
    <w:p w14:paraId="5503E0EB" w14:textId="77777777" w:rsidR="00DA359F" w:rsidRDefault="00DA359F" w:rsidP="00DA359F">
      <w:pPr>
        <w:pStyle w:val="TextoNormalNegritaCursivandice"/>
        <w:keepNext/>
      </w:pPr>
      <w:r>
        <w:t>Real Decreto Legislativo 1/2001, de 20 de julio, por el que se aprueba el texto refundido de la Ley de aguas</w:t>
      </w:r>
    </w:p>
    <w:p w14:paraId="1D7CB932" w14:textId="309FF74B"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126" w:history="1">
        <w:r w:rsidRPr="00DA359F">
          <w:rPr>
            <w:rStyle w:val="TextoNormalCaracter"/>
          </w:rPr>
          <w:t>126/2023</w:t>
        </w:r>
      </w:hyperlink>
      <w:r>
        <w:t>, f. 5.</w:t>
      </w:r>
    </w:p>
    <w:p w14:paraId="5F433912" w14:textId="342D3944" w:rsidR="00DA359F" w:rsidRDefault="00DA359F" w:rsidP="00DA359F">
      <w:pPr>
        <w:pStyle w:val="SangriaFrancesaArticulo"/>
      </w:pPr>
      <w:r w:rsidRPr="00DA359F">
        <w:rPr>
          <w:rStyle w:val="TextoNormalNegritaCaracter"/>
        </w:rPr>
        <w:t>Artículo 17 c).</w:t>
      </w:r>
      <w:r w:rsidRPr="00DA359F">
        <w:rPr>
          <w:rStyle w:val="TextoNormalCaracter"/>
        </w:rPr>
        <w:t>-</w:t>
      </w:r>
      <w:r>
        <w:t xml:space="preserve"> Sentencia </w:t>
      </w:r>
      <w:hyperlink w:anchor="SENTENCIA_2023_126" w:history="1">
        <w:r w:rsidRPr="00DA359F">
          <w:rPr>
            <w:rStyle w:val="TextoNormalCaracter"/>
          </w:rPr>
          <w:t>126/2023</w:t>
        </w:r>
      </w:hyperlink>
      <w:r>
        <w:t>, f. 5.</w:t>
      </w:r>
    </w:p>
    <w:p w14:paraId="38FCA64B" w14:textId="59A30398" w:rsidR="00DA359F" w:rsidRDefault="00DA359F" w:rsidP="00DA359F">
      <w:pPr>
        <w:pStyle w:val="SangriaFrancesaArticulo"/>
      </w:pPr>
      <w:r w:rsidRPr="00DA359F">
        <w:rPr>
          <w:rStyle w:val="TextoNormalNegritaCaracter"/>
        </w:rPr>
        <w:t>Artículo 17 d).</w:t>
      </w:r>
      <w:r w:rsidRPr="00DA359F">
        <w:rPr>
          <w:rStyle w:val="TextoNormalCaracter"/>
        </w:rPr>
        <w:t>-</w:t>
      </w:r>
      <w:r>
        <w:t xml:space="preserve"> Sentencia </w:t>
      </w:r>
      <w:hyperlink w:anchor="SENTENCIA_2023_126" w:history="1">
        <w:r w:rsidRPr="00DA359F">
          <w:rPr>
            <w:rStyle w:val="TextoNormalCaracter"/>
          </w:rPr>
          <w:t>126/2023</w:t>
        </w:r>
      </w:hyperlink>
      <w:r>
        <w:t>, f. 5.</w:t>
      </w:r>
    </w:p>
    <w:p w14:paraId="0898D745" w14:textId="4EFD25C2" w:rsidR="00DA359F" w:rsidRDefault="00DA359F" w:rsidP="00DA359F">
      <w:pPr>
        <w:pStyle w:val="SangriaFrancesaArticulo"/>
      </w:pPr>
      <w:r w:rsidRPr="00DA359F">
        <w:rPr>
          <w:rStyle w:val="TextoNormalNegritaCaracter"/>
        </w:rPr>
        <w:t>Artículo 23.1.</w:t>
      </w:r>
      <w:r w:rsidRPr="00DA359F">
        <w:rPr>
          <w:rStyle w:val="TextoNormalCaracter"/>
        </w:rPr>
        <w:t>-</w:t>
      </w:r>
      <w:r>
        <w:t xml:space="preserve"> Sentencia </w:t>
      </w:r>
      <w:hyperlink w:anchor="SENTENCIA_2023_126" w:history="1">
        <w:r w:rsidRPr="00DA359F">
          <w:rPr>
            <w:rStyle w:val="TextoNormalCaracter"/>
          </w:rPr>
          <w:t>126/2023</w:t>
        </w:r>
      </w:hyperlink>
      <w:r>
        <w:t>, f. 5.</w:t>
      </w:r>
    </w:p>
    <w:p w14:paraId="2F282E7F" w14:textId="537A7B38" w:rsidR="00DA359F" w:rsidRDefault="00DA359F" w:rsidP="00DA359F">
      <w:pPr>
        <w:pStyle w:val="SangriaFrancesaArticulo"/>
      </w:pPr>
      <w:r w:rsidRPr="00DA359F">
        <w:rPr>
          <w:rStyle w:val="TextoNormalNegritaCaracter"/>
        </w:rPr>
        <w:t>Artículo 24 a).</w:t>
      </w:r>
      <w:r w:rsidRPr="00DA359F">
        <w:rPr>
          <w:rStyle w:val="TextoNormalCaracter"/>
        </w:rPr>
        <w:t>-</w:t>
      </w:r>
      <w:r>
        <w:t xml:space="preserve"> Sentencia </w:t>
      </w:r>
      <w:hyperlink w:anchor="SENTENCIA_2023_126" w:history="1">
        <w:r w:rsidRPr="00DA359F">
          <w:rPr>
            <w:rStyle w:val="TextoNormalCaracter"/>
          </w:rPr>
          <w:t>126/2023</w:t>
        </w:r>
      </w:hyperlink>
      <w:r>
        <w:t>, f. 5.</w:t>
      </w:r>
    </w:p>
    <w:p w14:paraId="2EB43457" w14:textId="3545F663" w:rsidR="00DA359F" w:rsidRDefault="00DA359F" w:rsidP="00DA359F">
      <w:pPr>
        <w:pStyle w:val="SangriaFrancesaArticulo"/>
      </w:pPr>
      <w:r w:rsidRPr="00DA359F">
        <w:rPr>
          <w:rStyle w:val="TextoNormalNegritaCaracter"/>
        </w:rPr>
        <w:t>Artículo 128.1.</w:t>
      </w:r>
      <w:r w:rsidRPr="00DA359F">
        <w:rPr>
          <w:rStyle w:val="TextoNormalCaracter"/>
        </w:rPr>
        <w:t>-</w:t>
      </w:r>
      <w:r>
        <w:t xml:space="preserve"> Sentencia </w:t>
      </w:r>
      <w:hyperlink w:anchor="SENTENCIA_2023_126" w:history="1">
        <w:r w:rsidRPr="00DA359F">
          <w:rPr>
            <w:rStyle w:val="TextoNormalCaracter"/>
          </w:rPr>
          <w:t>126/2023</w:t>
        </w:r>
      </w:hyperlink>
      <w:r>
        <w:t>, f. 5.</w:t>
      </w:r>
    </w:p>
    <w:p w14:paraId="34DF5DEA" w14:textId="4F4EA0EB" w:rsidR="00DA359F" w:rsidRDefault="00DA359F" w:rsidP="00DA359F">
      <w:pPr>
        <w:pStyle w:val="SangriaFrancesaArticulo"/>
      </w:pPr>
      <w:r w:rsidRPr="00DA359F">
        <w:rPr>
          <w:rStyle w:val="TextoNormalNegritaCaracter"/>
        </w:rPr>
        <w:t>Artículo 128.2.</w:t>
      </w:r>
      <w:r w:rsidRPr="00DA359F">
        <w:rPr>
          <w:rStyle w:val="TextoNormalCaracter"/>
        </w:rPr>
        <w:t>-</w:t>
      </w:r>
      <w:r>
        <w:t xml:space="preserve"> Sentencia </w:t>
      </w:r>
      <w:hyperlink w:anchor="SENTENCIA_2023_126" w:history="1">
        <w:r w:rsidRPr="00DA359F">
          <w:rPr>
            <w:rStyle w:val="TextoNormalCaracter"/>
          </w:rPr>
          <w:t>126/2023</w:t>
        </w:r>
      </w:hyperlink>
      <w:r>
        <w:t>, f. 5.</w:t>
      </w:r>
    </w:p>
    <w:p w14:paraId="110EB40F" w14:textId="7C1E6396" w:rsidR="00DA359F" w:rsidRDefault="00DA359F" w:rsidP="00DA359F">
      <w:pPr>
        <w:pStyle w:val="SangriaFrancesaArticulo"/>
      </w:pPr>
    </w:p>
    <w:p w14:paraId="4B1F39C5" w14:textId="77777777" w:rsidR="00DA359F" w:rsidRDefault="00DA359F" w:rsidP="00DA359F">
      <w:pPr>
        <w:pStyle w:val="TextoNormalNegritaCursivandice"/>
        <w:keepNext/>
      </w:pPr>
      <w:r>
        <w:t>Real Decreto Legislativo 2/2004, de 5 de marzo, por el que se aprueba el texto refundido de la Ley reguladora de las haciendas locales</w:t>
      </w:r>
    </w:p>
    <w:p w14:paraId="19E62A98" w14:textId="1531C94F"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124" w:history="1">
        <w:r w:rsidRPr="00DA359F">
          <w:rPr>
            <w:rStyle w:val="TextoNormalCaracter"/>
          </w:rPr>
          <w:t>124/2023</w:t>
        </w:r>
      </w:hyperlink>
      <w:r>
        <w:t>, f. 1.</w:t>
      </w:r>
    </w:p>
    <w:p w14:paraId="4141AAC3" w14:textId="3C9FC63E" w:rsidR="00DA359F" w:rsidRDefault="00DA359F" w:rsidP="00DA359F">
      <w:pPr>
        <w:pStyle w:val="SangriaFrancesaArticulo"/>
      </w:pPr>
      <w:r w:rsidRPr="00DA359F">
        <w:rPr>
          <w:rStyle w:val="TextoNormalNegritaCaracter"/>
        </w:rPr>
        <w:t>Artículo 60.</w:t>
      </w:r>
      <w:r w:rsidRPr="00DA359F">
        <w:rPr>
          <w:rStyle w:val="TextoNormalCaracter"/>
        </w:rPr>
        <w:t>-</w:t>
      </w:r>
      <w:r>
        <w:t xml:space="preserve"> Sentencia </w:t>
      </w:r>
      <w:hyperlink w:anchor="SENTENCIA_2023_149" w:history="1">
        <w:r w:rsidRPr="00DA359F">
          <w:rPr>
            <w:rStyle w:val="TextoNormalCaracter"/>
          </w:rPr>
          <w:t>149/2023</w:t>
        </w:r>
      </w:hyperlink>
      <w:r>
        <w:t>, VP.</w:t>
      </w:r>
    </w:p>
    <w:p w14:paraId="4747843B" w14:textId="655CA80D" w:rsidR="00DA359F" w:rsidRDefault="00DA359F" w:rsidP="00DA359F">
      <w:pPr>
        <w:pStyle w:val="SangriaFrancesaArticulo"/>
      </w:pPr>
      <w:r w:rsidRPr="00DA359F">
        <w:rPr>
          <w:rStyle w:val="TextoNormalNegritaCaracter"/>
        </w:rPr>
        <w:t>Artículo 75.1.</w:t>
      </w:r>
      <w:r w:rsidRPr="00DA359F">
        <w:rPr>
          <w:rStyle w:val="TextoNormalCaracter"/>
        </w:rPr>
        <w:t>-</w:t>
      </w:r>
      <w:r>
        <w:t xml:space="preserve"> Sentencia </w:t>
      </w:r>
      <w:hyperlink w:anchor="SENTENCIA_2023_149" w:history="1">
        <w:r w:rsidRPr="00DA359F">
          <w:rPr>
            <w:rStyle w:val="TextoNormalCaracter"/>
          </w:rPr>
          <w:t>149/2023</w:t>
        </w:r>
      </w:hyperlink>
      <w:r>
        <w:t>, VP.</w:t>
      </w:r>
    </w:p>
    <w:p w14:paraId="790914BC" w14:textId="5275CFAE" w:rsidR="00DA359F" w:rsidRDefault="00DA359F" w:rsidP="00DA359F">
      <w:pPr>
        <w:pStyle w:val="SangriaFrancesaArticulo"/>
      </w:pPr>
      <w:r w:rsidRPr="00DA359F">
        <w:rPr>
          <w:rStyle w:val="TextoNormalNegritaCaracter"/>
        </w:rPr>
        <w:t>Artículo 75.2.</w:t>
      </w:r>
      <w:r w:rsidRPr="00DA359F">
        <w:rPr>
          <w:rStyle w:val="TextoNormalCaracter"/>
        </w:rPr>
        <w:t>-</w:t>
      </w:r>
      <w:r>
        <w:t xml:space="preserve"> Sentencia </w:t>
      </w:r>
      <w:hyperlink w:anchor="SENTENCIA_2023_149" w:history="1">
        <w:r w:rsidRPr="00DA359F">
          <w:rPr>
            <w:rStyle w:val="TextoNormalCaracter"/>
          </w:rPr>
          <w:t>149/2023</w:t>
        </w:r>
      </w:hyperlink>
      <w:r>
        <w:t>, VP.</w:t>
      </w:r>
    </w:p>
    <w:p w14:paraId="410CDA82" w14:textId="5671F913" w:rsidR="00DA359F" w:rsidRDefault="00DA359F" w:rsidP="00DA359F">
      <w:pPr>
        <w:pStyle w:val="SangriaFrancesaArticulo"/>
      </w:pPr>
      <w:r w:rsidRPr="00DA359F">
        <w:rPr>
          <w:rStyle w:val="TextoNormalNegritaCaracter"/>
        </w:rPr>
        <w:t>Artículo 92.1.</w:t>
      </w:r>
      <w:r w:rsidRPr="00DA359F">
        <w:rPr>
          <w:rStyle w:val="TextoNormalCaracter"/>
        </w:rPr>
        <w:t>-</w:t>
      </w:r>
      <w:r>
        <w:t xml:space="preserve"> Sentencia </w:t>
      </w:r>
      <w:hyperlink w:anchor="SENTENCIA_2023_149" w:history="1">
        <w:r w:rsidRPr="00DA359F">
          <w:rPr>
            <w:rStyle w:val="TextoNormalCaracter"/>
          </w:rPr>
          <w:t>149/2023</w:t>
        </w:r>
      </w:hyperlink>
      <w:r>
        <w:t>, VP.</w:t>
      </w:r>
    </w:p>
    <w:p w14:paraId="3227B094" w14:textId="5E6F383D" w:rsidR="00DA359F" w:rsidRDefault="00DA359F" w:rsidP="00DA359F">
      <w:pPr>
        <w:pStyle w:val="SangriaFrancesaArticulo"/>
      </w:pPr>
      <w:r w:rsidRPr="00DA359F">
        <w:rPr>
          <w:rStyle w:val="TextoNormalNegritaCaracter"/>
        </w:rPr>
        <w:t>Artículo 96.1.</w:t>
      </w:r>
      <w:r w:rsidRPr="00DA359F">
        <w:rPr>
          <w:rStyle w:val="TextoNormalCaracter"/>
        </w:rPr>
        <w:t>-</w:t>
      </w:r>
      <w:r>
        <w:t xml:space="preserve"> Sentencia </w:t>
      </w:r>
      <w:hyperlink w:anchor="SENTENCIA_2023_149" w:history="1">
        <w:r w:rsidRPr="00DA359F">
          <w:rPr>
            <w:rStyle w:val="TextoNormalCaracter"/>
          </w:rPr>
          <w:t>149/2023</w:t>
        </w:r>
      </w:hyperlink>
      <w:r>
        <w:t>, VP.</w:t>
      </w:r>
    </w:p>
    <w:p w14:paraId="78C9C3E2" w14:textId="08022F97" w:rsidR="00DA359F" w:rsidRDefault="00DA359F" w:rsidP="00DA359F">
      <w:pPr>
        <w:pStyle w:val="SangriaFrancesaArticulo"/>
      </w:pPr>
      <w:r w:rsidRPr="00DA359F">
        <w:rPr>
          <w:rStyle w:val="TextoNormalNegritaCaracter"/>
        </w:rPr>
        <w:t>Artículo 96.2.</w:t>
      </w:r>
      <w:r w:rsidRPr="00DA359F">
        <w:rPr>
          <w:rStyle w:val="TextoNormalCaracter"/>
        </w:rPr>
        <w:t>-</w:t>
      </w:r>
      <w:r>
        <w:t xml:space="preserve"> Sentencia </w:t>
      </w:r>
      <w:hyperlink w:anchor="SENTENCIA_2023_149" w:history="1">
        <w:r w:rsidRPr="00DA359F">
          <w:rPr>
            <w:rStyle w:val="TextoNormalCaracter"/>
          </w:rPr>
          <w:t>149/2023</w:t>
        </w:r>
      </w:hyperlink>
      <w:r>
        <w:t>, VP.</w:t>
      </w:r>
    </w:p>
    <w:p w14:paraId="71F95B4D" w14:textId="606CFD10" w:rsidR="00DA359F" w:rsidRDefault="00DA359F" w:rsidP="00DA359F">
      <w:pPr>
        <w:pStyle w:val="SangriaFrancesaArticulo"/>
      </w:pPr>
      <w:r w:rsidRPr="00DA359F">
        <w:rPr>
          <w:rStyle w:val="TextoNormalNegritaCaracter"/>
        </w:rPr>
        <w:t>Artículo 104.5</w:t>
      </w:r>
      <w:r>
        <w:t xml:space="preserve"> (redactado por el Real Decreto-ley 26/2021, de 8 de noviembre)</w:t>
      </w:r>
      <w:r w:rsidRPr="00DA359F">
        <w:rPr>
          <w:rStyle w:val="TextoNormalNegritaCaracter"/>
        </w:rPr>
        <w:t>.</w:t>
      </w:r>
      <w:r w:rsidRPr="00DA359F">
        <w:rPr>
          <w:rStyle w:val="TextoNormalCaracter"/>
        </w:rPr>
        <w:t>-</w:t>
      </w:r>
      <w:r>
        <w:t xml:space="preserve"> Autos </w:t>
      </w:r>
      <w:hyperlink w:anchor="AUTO_2023_376" w:history="1">
        <w:r w:rsidRPr="00DA359F">
          <w:rPr>
            <w:rStyle w:val="TextoNormalCaracter"/>
          </w:rPr>
          <w:t>376/2023</w:t>
        </w:r>
      </w:hyperlink>
      <w:r>
        <w:t xml:space="preserve">, ff.. 1, 4; </w:t>
      </w:r>
      <w:hyperlink w:anchor="AUTO_2023_667" w:history="1">
        <w:r w:rsidRPr="00DA359F">
          <w:rPr>
            <w:rStyle w:val="TextoNormalCaracter"/>
          </w:rPr>
          <w:t>667/2023</w:t>
        </w:r>
      </w:hyperlink>
      <w:r>
        <w:t>, f. 2.</w:t>
      </w:r>
    </w:p>
    <w:p w14:paraId="22ACB39A" w14:textId="5590A97D" w:rsidR="00DA359F" w:rsidRDefault="00DA359F" w:rsidP="00DA359F">
      <w:pPr>
        <w:pStyle w:val="SangriaFrancesaArticulo"/>
      </w:pPr>
      <w:r w:rsidRPr="00DA359F">
        <w:rPr>
          <w:rStyle w:val="TextoNormalNegritaCaracter"/>
        </w:rPr>
        <w:t>Artículo 104.5 párrafo 4.</w:t>
      </w:r>
      <w:r w:rsidRPr="00DA359F">
        <w:rPr>
          <w:rStyle w:val="TextoNormalCaracter"/>
        </w:rPr>
        <w:t>-</w:t>
      </w:r>
      <w:r>
        <w:t xml:space="preserve"> Auto </w:t>
      </w:r>
      <w:hyperlink w:anchor="AUTO_2023_376" w:history="1">
        <w:r w:rsidRPr="00DA359F">
          <w:rPr>
            <w:rStyle w:val="TextoNormalCaracter"/>
          </w:rPr>
          <w:t>376/2023</w:t>
        </w:r>
      </w:hyperlink>
      <w:r>
        <w:t>, f. 4.</w:t>
      </w:r>
    </w:p>
    <w:p w14:paraId="269CECAD" w14:textId="41AC3F20" w:rsidR="00DA359F" w:rsidRDefault="00DA359F" w:rsidP="00DA359F">
      <w:pPr>
        <w:pStyle w:val="SangriaFrancesaArticulo"/>
      </w:pPr>
      <w:r w:rsidRPr="00DA359F">
        <w:rPr>
          <w:rStyle w:val="TextoNormalNegritaCaracter"/>
        </w:rPr>
        <w:t>Artículo 106.</w:t>
      </w:r>
      <w:r w:rsidRPr="00DA359F">
        <w:rPr>
          <w:rStyle w:val="TextoNormalCaracter"/>
        </w:rPr>
        <w:t>-</w:t>
      </w:r>
      <w:r>
        <w:t xml:space="preserve"> Autos </w:t>
      </w:r>
      <w:hyperlink w:anchor="AUTO_2023_376" w:history="1">
        <w:r w:rsidRPr="00DA359F">
          <w:rPr>
            <w:rStyle w:val="TextoNormalCaracter"/>
          </w:rPr>
          <w:t>376/2023</w:t>
        </w:r>
      </w:hyperlink>
      <w:r>
        <w:t xml:space="preserve">, f. 1; </w:t>
      </w:r>
      <w:hyperlink w:anchor="AUTO_2023_667" w:history="1">
        <w:r w:rsidRPr="00DA359F">
          <w:rPr>
            <w:rStyle w:val="TextoNormalCaracter"/>
          </w:rPr>
          <w:t>667/2023</w:t>
        </w:r>
      </w:hyperlink>
      <w:r>
        <w:t>, f. 1.</w:t>
      </w:r>
    </w:p>
    <w:p w14:paraId="4E813CB0" w14:textId="1C4653E2" w:rsidR="00DA359F" w:rsidRDefault="00DA359F" w:rsidP="00DA359F">
      <w:pPr>
        <w:pStyle w:val="SangriaFrancesaArticulo"/>
      </w:pPr>
      <w:r w:rsidRPr="00DA359F">
        <w:rPr>
          <w:rStyle w:val="TextoNormalNegritaCaracter"/>
        </w:rPr>
        <w:t>Artículo 107.1 párrafo 2.</w:t>
      </w:r>
      <w:r w:rsidRPr="00DA359F">
        <w:rPr>
          <w:rStyle w:val="TextoNormalCaracter"/>
        </w:rPr>
        <w:t>-</w:t>
      </w:r>
      <w:r>
        <w:t xml:space="preserve"> Auto </w:t>
      </w:r>
      <w:hyperlink w:anchor="AUTO_2023_486" w:history="1">
        <w:r w:rsidRPr="00DA359F">
          <w:rPr>
            <w:rStyle w:val="TextoNormalCaracter"/>
          </w:rPr>
          <w:t>486/2023</w:t>
        </w:r>
      </w:hyperlink>
      <w:r>
        <w:t>, f. 1.</w:t>
      </w:r>
    </w:p>
    <w:p w14:paraId="5EFF8D46" w14:textId="565CE0D0" w:rsidR="00DA359F" w:rsidRDefault="00DA359F" w:rsidP="00DA359F">
      <w:pPr>
        <w:pStyle w:val="SangriaFrancesaArticulo"/>
      </w:pPr>
      <w:r w:rsidRPr="00DA359F">
        <w:rPr>
          <w:rStyle w:val="TextoNormalNegritaCaracter"/>
        </w:rPr>
        <w:t>Artículo 107.2 a).</w:t>
      </w:r>
      <w:r w:rsidRPr="00DA359F">
        <w:rPr>
          <w:rStyle w:val="TextoNormalCaracter"/>
        </w:rPr>
        <w:t>-</w:t>
      </w:r>
      <w:r>
        <w:t xml:space="preserve"> Auto </w:t>
      </w:r>
      <w:hyperlink w:anchor="AUTO_2023_486" w:history="1">
        <w:r w:rsidRPr="00DA359F">
          <w:rPr>
            <w:rStyle w:val="TextoNormalCaracter"/>
          </w:rPr>
          <w:t>486/2023</w:t>
        </w:r>
      </w:hyperlink>
      <w:r>
        <w:t>, f. 1.</w:t>
      </w:r>
    </w:p>
    <w:p w14:paraId="69EE75F2" w14:textId="4E42D40C" w:rsidR="00DA359F" w:rsidRDefault="00DA359F" w:rsidP="00DA359F">
      <w:pPr>
        <w:pStyle w:val="SangriaFrancesaArticulo"/>
      </w:pPr>
      <w:r w:rsidRPr="00DA359F">
        <w:rPr>
          <w:rStyle w:val="TextoNormalNegritaCaracter"/>
        </w:rPr>
        <w:t>Artículo 107.4.</w:t>
      </w:r>
      <w:r w:rsidRPr="00DA359F">
        <w:rPr>
          <w:rStyle w:val="TextoNormalCaracter"/>
        </w:rPr>
        <w:t>-</w:t>
      </w:r>
      <w:r>
        <w:t xml:space="preserve"> Auto </w:t>
      </w:r>
      <w:hyperlink w:anchor="AUTO_2023_486" w:history="1">
        <w:r w:rsidRPr="00DA359F">
          <w:rPr>
            <w:rStyle w:val="TextoNormalCaracter"/>
          </w:rPr>
          <w:t>486/2023</w:t>
        </w:r>
      </w:hyperlink>
      <w:r>
        <w:t>, ff. 1, 2.</w:t>
      </w:r>
    </w:p>
    <w:p w14:paraId="12380000" w14:textId="6F0F8FDD" w:rsidR="00DA359F" w:rsidRDefault="00DA359F" w:rsidP="00DA359F">
      <w:pPr>
        <w:pStyle w:val="SangriaFrancesaArticulo"/>
      </w:pPr>
      <w:r w:rsidRPr="00DA359F">
        <w:rPr>
          <w:rStyle w:val="TextoNormalNegritaCaracter"/>
        </w:rPr>
        <w:t>Artículo 118.</w:t>
      </w:r>
      <w:r w:rsidRPr="00DA359F">
        <w:rPr>
          <w:rStyle w:val="TextoNormalCaracter"/>
        </w:rPr>
        <w:t>-</w:t>
      </w:r>
      <w:r>
        <w:t xml:space="preserve"> Sentencia </w:t>
      </w:r>
      <w:hyperlink w:anchor="SENTENCIA_2023_124" w:history="1">
        <w:r w:rsidRPr="00DA359F">
          <w:rPr>
            <w:rStyle w:val="TextoNormalCaracter"/>
          </w:rPr>
          <w:t>124/2023</w:t>
        </w:r>
      </w:hyperlink>
      <w:r>
        <w:t>, f. 8.</w:t>
      </w:r>
    </w:p>
    <w:p w14:paraId="00B80067" w14:textId="5474D7DD" w:rsidR="00DA359F" w:rsidRDefault="00DA359F" w:rsidP="00DA359F">
      <w:pPr>
        <w:pStyle w:val="SangriaFrancesaArticulo"/>
      </w:pPr>
      <w:r w:rsidRPr="00DA359F">
        <w:rPr>
          <w:rStyle w:val="TextoNormalNegritaCaracter"/>
        </w:rPr>
        <w:t>Artículo 124.</w:t>
      </w:r>
      <w:r w:rsidRPr="00DA359F">
        <w:rPr>
          <w:rStyle w:val="TextoNormalCaracter"/>
        </w:rPr>
        <w:t>-</w:t>
      </w:r>
      <w:r>
        <w:t xml:space="preserve"> Sentencia </w:t>
      </w:r>
      <w:hyperlink w:anchor="SENTENCIA_2023_124" w:history="1">
        <w:r w:rsidRPr="00DA359F">
          <w:rPr>
            <w:rStyle w:val="TextoNormalCaracter"/>
          </w:rPr>
          <w:t>124/2023</w:t>
        </w:r>
      </w:hyperlink>
      <w:r>
        <w:t>, f. 8.</w:t>
      </w:r>
    </w:p>
    <w:p w14:paraId="349D4B65" w14:textId="11623C82" w:rsidR="00DA359F" w:rsidRDefault="00DA359F" w:rsidP="00DA359F">
      <w:pPr>
        <w:pStyle w:val="SangriaFrancesaArticulo"/>
      </w:pPr>
    </w:p>
    <w:p w14:paraId="199C86DF" w14:textId="77777777" w:rsidR="00DA359F" w:rsidRDefault="00DA359F" w:rsidP="00DA359F">
      <w:pPr>
        <w:pStyle w:val="TextoNormalNegritaCursivandice"/>
        <w:keepNext/>
      </w:pPr>
      <w:r>
        <w:t>Real Decreto Legislativo 2/2015, de 23 de octubre, por el que se aprueba el texto refundido de la Ley del estatuto de los trabajadores</w:t>
      </w:r>
    </w:p>
    <w:p w14:paraId="7C2FF0C0" w14:textId="59512EED"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144" w:history="1">
        <w:r w:rsidRPr="00DA359F">
          <w:rPr>
            <w:rStyle w:val="TextoNormalCaracter"/>
          </w:rPr>
          <w:t>144/2023</w:t>
        </w:r>
      </w:hyperlink>
      <w:r>
        <w:t>, f. 4.</w:t>
      </w:r>
    </w:p>
    <w:p w14:paraId="2FB3BFB2" w14:textId="191DCD22" w:rsidR="00DA359F" w:rsidRDefault="00DA359F" w:rsidP="00DA359F">
      <w:pPr>
        <w:pStyle w:val="SangriaFrancesaArticulo"/>
      </w:pPr>
      <w:r w:rsidRPr="00DA359F">
        <w:rPr>
          <w:rStyle w:val="TextoNormalNegritaCaracter"/>
        </w:rPr>
        <w:t>Artículo 1.3.</w:t>
      </w:r>
      <w:r w:rsidRPr="00DA359F">
        <w:rPr>
          <w:rStyle w:val="TextoNormalCaracter"/>
        </w:rPr>
        <w:t>-</w:t>
      </w:r>
      <w:r>
        <w:t xml:space="preserve"> Sentencias </w:t>
      </w:r>
      <w:hyperlink w:anchor="SENTENCIA_2023_144" w:history="1">
        <w:r w:rsidRPr="00DA359F">
          <w:rPr>
            <w:rStyle w:val="TextoNormalCaracter"/>
          </w:rPr>
          <w:t>144/2023</w:t>
        </w:r>
      </w:hyperlink>
      <w:r>
        <w:t xml:space="preserve">, f. 1; </w:t>
      </w:r>
      <w:hyperlink w:anchor="SENTENCIA_2023_147" w:history="1">
        <w:r w:rsidRPr="00DA359F">
          <w:rPr>
            <w:rStyle w:val="TextoNormalCaracter"/>
          </w:rPr>
          <w:t>147/2023</w:t>
        </w:r>
      </w:hyperlink>
      <w:r>
        <w:t>, f. 1.</w:t>
      </w:r>
    </w:p>
    <w:p w14:paraId="3B98CA6A" w14:textId="3CA87DE3" w:rsidR="00DA359F" w:rsidRDefault="00DA359F" w:rsidP="00DA359F">
      <w:pPr>
        <w:pStyle w:val="SangriaFrancesaArticulo"/>
      </w:pPr>
      <w:r w:rsidRPr="00DA359F">
        <w:rPr>
          <w:rStyle w:val="TextoNormalNegritaCaracter"/>
        </w:rPr>
        <w:t>Artículo 8.1.</w:t>
      </w:r>
      <w:r w:rsidRPr="00DA359F">
        <w:rPr>
          <w:rStyle w:val="TextoNormalCaracter"/>
        </w:rPr>
        <w:t>-</w:t>
      </w:r>
      <w:r>
        <w:t xml:space="preserve"> Sentencia </w:t>
      </w:r>
      <w:hyperlink w:anchor="SENTENCIA_2023_147" w:history="1">
        <w:r w:rsidRPr="00DA359F">
          <w:rPr>
            <w:rStyle w:val="TextoNormalCaracter"/>
          </w:rPr>
          <w:t>147/2023</w:t>
        </w:r>
      </w:hyperlink>
      <w:r>
        <w:t>, f. 1.</w:t>
      </w:r>
    </w:p>
    <w:p w14:paraId="00CBEBA6" w14:textId="39893B10" w:rsidR="00DA359F" w:rsidRDefault="00DA359F" w:rsidP="00DA359F">
      <w:pPr>
        <w:pStyle w:val="SangriaFrancesaArticulo"/>
      </w:pPr>
      <w:r w:rsidRPr="00DA359F">
        <w:rPr>
          <w:rStyle w:val="TextoNormalNegritaCaracter"/>
        </w:rPr>
        <w:t>Artículo 48.4.</w:t>
      </w:r>
      <w:r w:rsidRPr="00DA359F">
        <w:rPr>
          <w:rStyle w:val="TextoNormalCaracter"/>
        </w:rPr>
        <w:t>-</w:t>
      </w:r>
      <w:r>
        <w:t xml:space="preserve"> Auto </w:t>
      </w:r>
      <w:hyperlink w:anchor="AUTO_2023_446" w:history="1">
        <w:r w:rsidRPr="00DA359F">
          <w:rPr>
            <w:rStyle w:val="TextoNormalCaracter"/>
          </w:rPr>
          <w:t>446/2023</w:t>
        </w:r>
      </w:hyperlink>
      <w:r>
        <w:t>, ff. 1, 3.</w:t>
      </w:r>
    </w:p>
    <w:p w14:paraId="76BF0A39" w14:textId="3E9AFB73" w:rsidR="00DA359F" w:rsidRDefault="00DA359F" w:rsidP="00DA359F">
      <w:pPr>
        <w:pStyle w:val="SangriaFrancesaArticulo"/>
      </w:pPr>
      <w:r w:rsidRPr="00DA359F">
        <w:rPr>
          <w:rStyle w:val="TextoNormalNegritaCaracter"/>
        </w:rPr>
        <w:t>Artículo 64.4 d)</w:t>
      </w:r>
      <w:r>
        <w:t xml:space="preserve"> (redactado po el Real Decreto-ley 9/2021, de 11 de mayo)</w:t>
      </w:r>
      <w:r w:rsidRPr="00DA359F">
        <w:rPr>
          <w:rStyle w:val="TextoNormalNegritaCaracter"/>
        </w:rPr>
        <w:t>.</w:t>
      </w:r>
      <w:r w:rsidRPr="00DA359F">
        <w:rPr>
          <w:rStyle w:val="TextoNormalCaracter"/>
        </w:rPr>
        <w:t>-</w:t>
      </w:r>
      <w:r>
        <w:t xml:space="preserve"> Sentencias </w:t>
      </w:r>
      <w:hyperlink w:anchor="SENTENCIA_2023_144" w:history="1">
        <w:r w:rsidRPr="00DA359F">
          <w:rPr>
            <w:rStyle w:val="TextoNormalCaracter"/>
          </w:rPr>
          <w:t>144/2023</w:t>
        </w:r>
      </w:hyperlink>
      <w:r>
        <w:t xml:space="preserve">, f. 1; </w:t>
      </w:r>
      <w:hyperlink w:anchor="SENTENCIA_2023_147" w:history="1">
        <w:r w:rsidRPr="00DA359F">
          <w:rPr>
            <w:rStyle w:val="TextoNormalCaracter"/>
          </w:rPr>
          <w:t>147/2023</w:t>
        </w:r>
      </w:hyperlink>
      <w:r>
        <w:t>, f. 1.</w:t>
      </w:r>
    </w:p>
    <w:p w14:paraId="0E7F7CFE" w14:textId="45AA04F4" w:rsidR="00DA359F" w:rsidRDefault="00DA359F" w:rsidP="00DA359F">
      <w:pPr>
        <w:pStyle w:val="SangriaFrancesaArticulo"/>
      </w:pPr>
      <w:r w:rsidRPr="00DA359F">
        <w:rPr>
          <w:rStyle w:val="TextoNormalNegritaCaracter"/>
        </w:rPr>
        <w:t>Disposición adicional vigesimotercera</w:t>
      </w:r>
      <w:r>
        <w:t xml:space="preserve"> (redactada por el Real Decreto-ley 9/2021, de 11 de mayo)</w:t>
      </w:r>
      <w:r w:rsidRPr="00DA359F">
        <w:rPr>
          <w:rStyle w:val="TextoNormalNegritaCaracter"/>
        </w:rPr>
        <w:t>.</w:t>
      </w:r>
      <w:r w:rsidRPr="00DA359F">
        <w:rPr>
          <w:rStyle w:val="TextoNormalCaracter"/>
        </w:rPr>
        <w:t>-</w:t>
      </w:r>
      <w:r>
        <w:t xml:space="preserve"> Sentencias </w:t>
      </w:r>
      <w:hyperlink w:anchor="SENTENCIA_2023_144" w:history="1">
        <w:r w:rsidRPr="00DA359F">
          <w:rPr>
            <w:rStyle w:val="TextoNormalCaracter"/>
          </w:rPr>
          <w:t>144/2023</w:t>
        </w:r>
      </w:hyperlink>
      <w:r>
        <w:t xml:space="preserve">, f. 1; </w:t>
      </w:r>
      <w:hyperlink w:anchor="SENTENCIA_2023_147" w:history="1">
        <w:r w:rsidRPr="00DA359F">
          <w:rPr>
            <w:rStyle w:val="TextoNormalCaracter"/>
          </w:rPr>
          <w:t>147/2023</w:t>
        </w:r>
      </w:hyperlink>
      <w:r>
        <w:t>, f. 1.</w:t>
      </w:r>
    </w:p>
    <w:p w14:paraId="516364B4" w14:textId="16EFA867" w:rsidR="00DA359F" w:rsidRDefault="00DA359F" w:rsidP="00DA359F">
      <w:pPr>
        <w:pStyle w:val="SangriaFrancesaArticulo"/>
      </w:pPr>
      <w:r w:rsidRPr="00DA359F">
        <w:rPr>
          <w:rStyle w:val="TextoNormalNegritaCaracter"/>
        </w:rPr>
        <w:t>Disposición final primera.</w:t>
      </w:r>
      <w:r w:rsidRPr="00DA359F">
        <w:rPr>
          <w:rStyle w:val="TextoNormalCaracter"/>
        </w:rPr>
        <w:t>-</w:t>
      </w:r>
      <w:r>
        <w:t xml:space="preserve"> Sentencia </w:t>
      </w:r>
      <w:hyperlink w:anchor="SENTENCIA_2023_144" w:history="1">
        <w:r w:rsidRPr="00DA359F">
          <w:rPr>
            <w:rStyle w:val="TextoNormalCaracter"/>
          </w:rPr>
          <w:t>144/2023</w:t>
        </w:r>
      </w:hyperlink>
      <w:r>
        <w:t>, f. 1.</w:t>
      </w:r>
    </w:p>
    <w:p w14:paraId="04D86B04" w14:textId="7D8E2661" w:rsidR="00DA359F" w:rsidRDefault="00DA359F" w:rsidP="00DA359F">
      <w:pPr>
        <w:pStyle w:val="SangriaFrancesaArticulo"/>
      </w:pPr>
    </w:p>
    <w:p w14:paraId="44FD1EE5" w14:textId="77777777" w:rsidR="00DA359F" w:rsidRDefault="00DA359F" w:rsidP="00DA359F">
      <w:pPr>
        <w:pStyle w:val="TextoNormalNegritaCursivandice"/>
        <w:keepNext/>
      </w:pPr>
      <w:r>
        <w:t>Real Decreto Legislativo 5/2015, de 30 de octubre, por el que se aprueba el texto refundido de la Ley del estatuto básico del empleado público</w:t>
      </w:r>
    </w:p>
    <w:p w14:paraId="54EA9730" w14:textId="2C0783AD"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145" w:history="1">
        <w:r w:rsidRPr="00DA359F">
          <w:rPr>
            <w:rStyle w:val="TextoNormalCaracter"/>
          </w:rPr>
          <w:t>145/2023</w:t>
        </w:r>
      </w:hyperlink>
      <w:r>
        <w:t>, ff. 2, 4.</w:t>
      </w:r>
    </w:p>
    <w:p w14:paraId="2B598BE4" w14:textId="5B34207D" w:rsidR="00DA359F" w:rsidRDefault="00DA359F" w:rsidP="00DA359F">
      <w:pPr>
        <w:pStyle w:val="SangriaFrancesaArticulo"/>
      </w:pPr>
      <w:r w:rsidRPr="00DA359F">
        <w:rPr>
          <w:rStyle w:val="TextoNormalNegritaCaracter"/>
        </w:rPr>
        <w:t>Artículo 10.</w:t>
      </w:r>
      <w:r w:rsidRPr="00DA359F">
        <w:rPr>
          <w:rStyle w:val="TextoNormalCaracter"/>
        </w:rPr>
        <w:t>-</w:t>
      </w:r>
      <w:r>
        <w:t xml:space="preserve"> Sentencia </w:t>
      </w:r>
      <w:hyperlink w:anchor="SENTENCIA_2023_145" w:history="1">
        <w:r w:rsidRPr="00DA359F">
          <w:rPr>
            <w:rStyle w:val="TextoNormalCaracter"/>
          </w:rPr>
          <w:t>145/2023</w:t>
        </w:r>
      </w:hyperlink>
      <w:r>
        <w:t>, f. 2.</w:t>
      </w:r>
    </w:p>
    <w:p w14:paraId="73544CE3" w14:textId="10F984AB" w:rsidR="00DA359F" w:rsidRDefault="00DA359F" w:rsidP="00DA359F">
      <w:pPr>
        <w:pStyle w:val="SangriaFrancesaArticulo"/>
      </w:pPr>
      <w:r w:rsidRPr="00DA359F">
        <w:rPr>
          <w:rStyle w:val="TextoNormalNegritaCaracter"/>
        </w:rPr>
        <w:t>Artículo 10.1.</w:t>
      </w:r>
      <w:r w:rsidRPr="00DA359F">
        <w:rPr>
          <w:rStyle w:val="TextoNormalCaracter"/>
        </w:rPr>
        <w:t>-</w:t>
      </w:r>
      <w:r>
        <w:t xml:space="preserve"> Sentencia </w:t>
      </w:r>
      <w:hyperlink w:anchor="SENTENCIA_2023_145" w:history="1">
        <w:r w:rsidRPr="00DA359F">
          <w:rPr>
            <w:rStyle w:val="TextoNormalCaracter"/>
          </w:rPr>
          <w:t>145/2023</w:t>
        </w:r>
      </w:hyperlink>
      <w:r>
        <w:t>, f. 2.</w:t>
      </w:r>
    </w:p>
    <w:p w14:paraId="72BB56EE" w14:textId="62976B4F" w:rsidR="00DA359F" w:rsidRDefault="00DA359F" w:rsidP="00DA359F">
      <w:pPr>
        <w:pStyle w:val="SangriaFrancesaArticulo"/>
      </w:pPr>
      <w:r w:rsidRPr="00DA359F">
        <w:rPr>
          <w:rStyle w:val="TextoNormalNegritaCaracter"/>
        </w:rPr>
        <w:t>Artículo 10.1 a).</w:t>
      </w:r>
      <w:r w:rsidRPr="00DA359F">
        <w:rPr>
          <w:rStyle w:val="TextoNormalCaracter"/>
        </w:rPr>
        <w:t>-</w:t>
      </w:r>
      <w:r>
        <w:t xml:space="preserve"> Sentencia </w:t>
      </w:r>
      <w:hyperlink w:anchor="SENTENCIA_2023_145" w:history="1">
        <w:r w:rsidRPr="00DA359F">
          <w:rPr>
            <w:rStyle w:val="TextoNormalCaracter"/>
          </w:rPr>
          <w:t>145/2023</w:t>
        </w:r>
      </w:hyperlink>
      <w:r>
        <w:t>, f. 5.</w:t>
      </w:r>
    </w:p>
    <w:p w14:paraId="1A6AABF4" w14:textId="111517FA" w:rsidR="00DA359F" w:rsidRDefault="00DA359F" w:rsidP="00DA359F">
      <w:pPr>
        <w:pStyle w:val="SangriaFrancesaArticulo"/>
      </w:pPr>
      <w:r w:rsidRPr="00DA359F">
        <w:rPr>
          <w:rStyle w:val="TextoNormalNegritaCaracter"/>
        </w:rPr>
        <w:t>Artículo 10.1 c).</w:t>
      </w:r>
      <w:r w:rsidRPr="00DA359F">
        <w:rPr>
          <w:rStyle w:val="TextoNormalCaracter"/>
        </w:rPr>
        <w:t>-</w:t>
      </w:r>
      <w:r>
        <w:t xml:space="preserve"> Sentencia </w:t>
      </w:r>
      <w:hyperlink w:anchor="SENTENCIA_2023_145" w:history="1">
        <w:r w:rsidRPr="00DA359F">
          <w:rPr>
            <w:rStyle w:val="TextoNormalCaracter"/>
          </w:rPr>
          <w:t>145/2023</w:t>
        </w:r>
      </w:hyperlink>
      <w:r>
        <w:t>, f. 5.</w:t>
      </w:r>
    </w:p>
    <w:p w14:paraId="64877F0B" w14:textId="114D14C4" w:rsidR="00DA359F" w:rsidRDefault="00DA359F" w:rsidP="00DA359F">
      <w:pPr>
        <w:pStyle w:val="SangriaFrancesaArticulo"/>
      </w:pPr>
      <w:r w:rsidRPr="00DA359F">
        <w:rPr>
          <w:rStyle w:val="TextoNormalNegritaCaracter"/>
        </w:rPr>
        <w:t>Artículo 10.2.</w:t>
      </w:r>
      <w:r w:rsidRPr="00DA359F">
        <w:rPr>
          <w:rStyle w:val="TextoNormalCaracter"/>
        </w:rPr>
        <w:t>-</w:t>
      </w:r>
      <w:r>
        <w:t xml:space="preserve"> Sentencia </w:t>
      </w:r>
      <w:hyperlink w:anchor="SENTENCIA_2023_145" w:history="1">
        <w:r w:rsidRPr="00DA359F">
          <w:rPr>
            <w:rStyle w:val="TextoNormalCaracter"/>
          </w:rPr>
          <w:t>145/2023</w:t>
        </w:r>
      </w:hyperlink>
      <w:r>
        <w:t>, f. 2.</w:t>
      </w:r>
    </w:p>
    <w:p w14:paraId="5905C31E" w14:textId="2B93996A" w:rsidR="00DA359F" w:rsidRDefault="00DA359F" w:rsidP="00DA359F">
      <w:pPr>
        <w:pStyle w:val="SangriaFrancesaArticulo"/>
      </w:pPr>
      <w:r w:rsidRPr="00DA359F">
        <w:rPr>
          <w:rStyle w:val="TextoNormalNegritaCaracter"/>
        </w:rPr>
        <w:t>Artículo 10.3.</w:t>
      </w:r>
      <w:r w:rsidRPr="00DA359F">
        <w:rPr>
          <w:rStyle w:val="TextoNormalCaracter"/>
        </w:rPr>
        <w:t>-</w:t>
      </w:r>
      <w:r>
        <w:t xml:space="preserve"> Sentencia </w:t>
      </w:r>
      <w:hyperlink w:anchor="SENTENCIA_2023_145" w:history="1">
        <w:r w:rsidRPr="00DA359F">
          <w:rPr>
            <w:rStyle w:val="TextoNormalCaracter"/>
          </w:rPr>
          <w:t>145/2023</w:t>
        </w:r>
      </w:hyperlink>
      <w:r>
        <w:t>, f. 2.</w:t>
      </w:r>
    </w:p>
    <w:p w14:paraId="45F26A7C" w14:textId="105B85AD" w:rsidR="00DA359F" w:rsidRDefault="00DA359F" w:rsidP="00DA359F">
      <w:pPr>
        <w:pStyle w:val="SangriaFrancesaArticulo"/>
      </w:pPr>
      <w:r w:rsidRPr="00DA359F">
        <w:rPr>
          <w:rStyle w:val="TextoNormalNegritaCaracter"/>
        </w:rPr>
        <w:t>Artículo 10.4.</w:t>
      </w:r>
      <w:r w:rsidRPr="00DA359F">
        <w:rPr>
          <w:rStyle w:val="TextoNormalCaracter"/>
        </w:rPr>
        <w:t>-</w:t>
      </w:r>
      <w:r>
        <w:t xml:space="preserve"> Sentencia </w:t>
      </w:r>
      <w:hyperlink w:anchor="SENTENCIA_2023_145" w:history="1">
        <w:r w:rsidRPr="00DA359F">
          <w:rPr>
            <w:rStyle w:val="TextoNormalCaracter"/>
          </w:rPr>
          <w:t>145/2023</w:t>
        </w:r>
      </w:hyperlink>
      <w:r>
        <w:t>, ff. 2, 5.</w:t>
      </w:r>
    </w:p>
    <w:p w14:paraId="61E8015F" w14:textId="358A81BF" w:rsidR="00DA359F" w:rsidRDefault="00DA359F" w:rsidP="00DA359F">
      <w:pPr>
        <w:pStyle w:val="SangriaFrancesaArticulo"/>
      </w:pPr>
      <w:r w:rsidRPr="00DA359F">
        <w:rPr>
          <w:rStyle w:val="TextoNormalNegritaCaracter"/>
        </w:rPr>
        <w:t>Artículo 10.5.</w:t>
      </w:r>
      <w:r w:rsidRPr="00DA359F">
        <w:rPr>
          <w:rStyle w:val="TextoNormalCaracter"/>
        </w:rPr>
        <w:t>-</w:t>
      </w:r>
      <w:r>
        <w:t xml:space="preserve"> Sentencia </w:t>
      </w:r>
      <w:hyperlink w:anchor="SENTENCIA_2023_145" w:history="1">
        <w:r w:rsidRPr="00DA359F">
          <w:rPr>
            <w:rStyle w:val="TextoNormalCaracter"/>
          </w:rPr>
          <w:t>145/2023</w:t>
        </w:r>
      </w:hyperlink>
      <w:r>
        <w:t>, f. 2.</w:t>
      </w:r>
    </w:p>
    <w:p w14:paraId="724D42CE" w14:textId="1A7BFA34" w:rsidR="00DA359F" w:rsidRDefault="00DA359F" w:rsidP="00DA359F">
      <w:pPr>
        <w:pStyle w:val="SangriaFrancesaArticulo"/>
      </w:pPr>
      <w:r w:rsidRPr="00DA359F">
        <w:rPr>
          <w:rStyle w:val="TextoNormalNegritaCaracter"/>
        </w:rPr>
        <w:t>Artículo 10.6.</w:t>
      </w:r>
      <w:r w:rsidRPr="00DA359F">
        <w:rPr>
          <w:rStyle w:val="TextoNormalCaracter"/>
        </w:rPr>
        <w:t>-</w:t>
      </w:r>
      <w:r>
        <w:t xml:space="preserve"> Sentencia </w:t>
      </w:r>
      <w:hyperlink w:anchor="SENTENCIA_2023_145" w:history="1">
        <w:r w:rsidRPr="00DA359F">
          <w:rPr>
            <w:rStyle w:val="TextoNormalCaracter"/>
          </w:rPr>
          <w:t>145/2023</w:t>
        </w:r>
      </w:hyperlink>
      <w:r>
        <w:t>, f. 2.</w:t>
      </w:r>
    </w:p>
    <w:p w14:paraId="5EC0A046" w14:textId="3A6F983B" w:rsidR="00DA359F" w:rsidRDefault="00DA359F" w:rsidP="00DA359F">
      <w:pPr>
        <w:pStyle w:val="SangriaFrancesaArticulo"/>
      </w:pPr>
      <w:r w:rsidRPr="00DA359F">
        <w:rPr>
          <w:rStyle w:val="TextoNormalNegritaCaracter"/>
        </w:rPr>
        <w:t>Artículo 11.3.</w:t>
      </w:r>
      <w:r w:rsidRPr="00DA359F">
        <w:rPr>
          <w:rStyle w:val="TextoNormalCaracter"/>
        </w:rPr>
        <w:t>-</w:t>
      </w:r>
      <w:r>
        <w:t xml:space="preserve"> Sentencia </w:t>
      </w:r>
      <w:hyperlink w:anchor="SENTENCIA_2023_145" w:history="1">
        <w:r w:rsidRPr="00DA359F">
          <w:rPr>
            <w:rStyle w:val="TextoNormalCaracter"/>
          </w:rPr>
          <w:t>145/2023</w:t>
        </w:r>
      </w:hyperlink>
      <w:r>
        <w:t>, f. 2.</w:t>
      </w:r>
    </w:p>
    <w:p w14:paraId="6A6FFB96" w14:textId="124B7544" w:rsidR="00DA359F" w:rsidRDefault="00DA359F" w:rsidP="00DA359F">
      <w:pPr>
        <w:pStyle w:val="SangriaFrancesaArticulo"/>
      </w:pPr>
      <w:r w:rsidRPr="00DA359F">
        <w:rPr>
          <w:rStyle w:val="TextoNormalNegritaCaracter"/>
        </w:rPr>
        <w:t>Artículo 16.3 c).</w:t>
      </w:r>
      <w:r w:rsidRPr="00DA359F">
        <w:rPr>
          <w:rStyle w:val="TextoNormalCaracter"/>
        </w:rPr>
        <w:t>-</w:t>
      </w:r>
      <w:r>
        <w:t xml:space="preserve"> Auto </w:t>
      </w:r>
      <w:hyperlink w:anchor="AUTO_2023_604" w:history="1">
        <w:r w:rsidRPr="00DA359F">
          <w:rPr>
            <w:rStyle w:val="TextoNormalCaracter"/>
          </w:rPr>
          <w:t>604/2023</w:t>
        </w:r>
      </w:hyperlink>
      <w:r>
        <w:t>, f. 1.</w:t>
      </w:r>
    </w:p>
    <w:p w14:paraId="7F15166B" w14:textId="4A45C636" w:rsidR="00DA359F" w:rsidRDefault="00DA359F" w:rsidP="00DA359F">
      <w:pPr>
        <w:pStyle w:val="SangriaFrancesaArticulo"/>
      </w:pPr>
      <w:r w:rsidRPr="00DA359F">
        <w:rPr>
          <w:rStyle w:val="TextoNormalNegritaCaracter"/>
        </w:rPr>
        <w:t>Artículo 17.</w:t>
      </w:r>
      <w:r w:rsidRPr="00DA359F">
        <w:rPr>
          <w:rStyle w:val="TextoNormalCaracter"/>
        </w:rPr>
        <w:t>-</w:t>
      </w:r>
      <w:r>
        <w:t xml:space="preserve"> Auto </w:t>
      </w:r>
      <w:hyperlink w:anchor="AUTO_2023_427" w:history="1">
        <w:r w:rsidRPr="00DA359F">
          <w:rPr>
            <w:rStyle w:val="TextoNormalCaracter"/>
          </w:rPr>
          <w:t>427/2023</w:t>
        </w:r>
      </w:hyperlink>
      <w:r>
        <w:t>, f. 2.</w:t>
      </w:r>
    </w:p>
    <w:p w14:paraId="7B524E14" w14:textId="09E1623F" w:rsidR="00DA359F" w:rsidRDefault="00DA359F" w:rsidP="00DA359F">
      <w:pPr>
        <w:pStyle w:val="SangriaFrancesaArticulo"/>
      </w:pPr>
      <w:r w:rsidRPr="00DA359F">
        <w:rPr>
          <w:rStyle w:val="TextoNormalNegritaCaracter"/>
        </w:rPr>
        <w:t>Artículo 17.2.</w:t>
      </w:r>
      <w:r w:rsidRPr="00DA359F">
        <w:rPr>
          <w:rStyle w:val="TextoNormalCaracter"/>
        </w:rPr>
        <w:t>-</w:t>
      </w:r>
      <w:r>
        <w:t xml:space="preserve"> Auto </w:t>
      </w:r>
      <w:hyperlink w:anchor="AUTO_2023_427" w:history="1">
        <w:r w:rsidRPr="00DA359F">
          <w:rPr>
            <w:rStyle w:val="TextoNormalCaracter"/>
          </w:rPr>
          <w:t>427/2023</w:t>
        </w:r>
      </w:hyperlink>
      <w:r>
        <w:t>, f. 2.</w:t>
      </w:r>
    </w:p>
    <w:p w14:paraId="1078D429" w14:textId="01B59B28" w:rsidR="00DA359F" w:rsidRDefault="00DA359F" w:rsidP="00DA359F">
      <w:pPr>
        <w:pStyle w:val="SangriaFrancesaArticulo"/>
      </w:pPr>
      <w:r w:rsidRPr="00DA359F">
        <w:rPr>
          <w:rStyle w:val="TextoNormalNegritaCaracter"/>
        </w:rPr>
        <w:t>Artículo 18.</w:t>
      </w:r>
      <w:r w:rsidRPr="00DA359F">
        <w:rPr>
          <w:rStyle w:val="TextoNormalCaracter"/>
        </w:rPr>
        <w:t>-</w:t>
      </w:r>
      <w:r>
        <w:t xml:space="preserve"> Auto </w:t>
      </w:r>
      <w:hyperlink w:anchor="AUTO_2023_427" w:history="1">
        <w:r w:rsidRPr="00DA359F">
          <w:rPr>
            <w:rStyle w:val="TextoNormalCaracter"/>
          </w:rPr>
          <w:t>427/2023</w:t>
        </w:r>
      </w:hyperlink>
      <w:r>
        <w:t>, f. 2.</w:t>
      </w:r>
    </w:p>
    <w:p w14:paraId="61CAAD5C" w14:textId="43E08AC1" w:rsidR="00DA359F" w:rsidRDefault="00DA359F" w:rsidP="00DA359F">
      <w:pPr>
        <w:pStyle w:val="SangriaFrancesaArticulo"/>
      </w:pPr>
      <w:r w:rsidRPr="00DA359F">
        <w:rPr>
          <w:rStyle w:val="TextoNormalNegritaCaracter"/>
        </w:rPr>
        <w:t>Artículo 18.1.</w:t>
      </w:r>
      <w:r w:rsidRPr="00DA359F">
        <w:rPr>
          <w:rStyle w:val="TextoNormalCaracter"/>
        </w:rPr>
        <w:t>-</w:t>
      </w:r>
      <w:r>
        <w:t xml:space="preserve"> Auto </w:t>
      </w:r>
      <w:hyperlink w:anchor="AUTO_2023_604" w:history="1">
        <w:r w:rsidRPr="00DA359F">
          <w:rPr>
            <w:rStyle w:val="TextoNormalCaracter"/>
          </w:rPr>
          <w:t>604/2023</w:t>
        </w:r>
      </w:hyperlink>
      <w:r>
        <w:t>, f. 1.</w:t>
      </w:r>
    </w:p>
    <w:p w14:paraId="29344CA8" w14:textId="41C97908" w:rsidR="00DA359F" w:rsidRDefault="00DA359F" w:rsidP="00DA359F">
      <w:pPr>
        <w:pStyle w:val="SangriaFrancesaArticulo"/>
      </w:pPr>
      <w:r w:rsidRPr="00DA359F">
        <w:rPr>
          <w:rStyle w:val="TextoNormalNegritaCaracter"/>
        </w:rPr>
        <w:t>Artículo 18.2.</w:t>
      </w:r>
      <w:r w:rsidRPr="00DA359F">
        <w:rPr>
          <w:rStyle w:val="TextoNormalCaracter"/>
        </w:rPr>
        <w:t>-</w:t>
      </w:r>
      <w:r>
        <w:t xml:space="preserve"> Auto </w:t>
      </w:r>
      <w:hyperlink w:anchor="AUTO_2023_604" w:history="1">
        <w:r w:rsidRPr="00DA359F">
          <w:rPr>
            <w:rStyle w:val="TextoNormalCaracter"/>
          </w:rPr>
          <w:t>604/2023</w:t>
        </w:r>
      </w:hyperlink>
      <w:r>
        <w:t>, f. 1.</w:t>
      </w:r>
    </w:p>
    <w:p w14:paraId="0087C94B" w14:textId="51078E69" w:rsidR="00DA359F" w:rsidRDefault="00DA359F" w:rsidP="00DA359F">
      <w:pPr>
        <w:pStyle w:val="SangriaFrancesaArticulo"/>
      </w:pPr>
      <w:r w:rsidRPr="00DA359F">
        <w:rPr>
          <w:rStyle w:val="TextoNormalNegritaCaracter"/>
        </w:rPr>
        <w:t>Artículo 37.1 c).</w:t>
      </w:r>
      <w:r w:rsidRPr="00DA359F">
        <w:rPr>
          <w:rStyle w:val="TextoNormalCaracter"/>
        </w:rPr>
        <w:t>-</w:t>
      </w:r>
      <w:r>
        <w:t xml:space="preserve"> Sentencia </w:t>
      </w:r>
      <w:hyperlink w:anchor="SENTENCIA_2023_145" w:history="1">
        <w:r w:rsidRPr="00DA359F">
          <w:rPr>
            <w:rStyle w:val="TextoNormalCaracter"/>
          </w:rPr>
          <w:t>145/2023</w:t>
        </w:r>
      </w:hyperlink>
      <w:r>
        <w:t>, f. 2.</w:t>
      </w:r>
    </w:p>
    <w:p w14:paraId="1B8E7851" w14:textId="587C0B4D" w:rsidR="00DA359F" w:rsidRDefault="00DA359F" w:rsidP="00DA359F">
      <w:pPr>
        <w:pStyle w:val="SangriaFrancesaArticulo"/>
      </w:pPr>
      <w:r w:rsidRPr="00DA359F">
        <w:rPr>
          <w:rStyle w:val="TextoNormalNegritaCaracter"/>
        </w:rPr>
        <w:t>Artículo 48.</w:t>
      </w:r>
      <w:r w:rsidRPr="00DA359F">
        <w:rPr>
          <w:rStyle w:val="TextoNormalCaracter"/>
        </w:rPr>
        <w:t>-</w:t>
      </w:r>
      <w:r>
        <w:t xml:space="preserve"> Auto </w:t>
      </w:r>
      <w:hyperlink w:anchor="AUTO_2023_446" w:history="1">
        <w:r w:rsidRPr="00DA359F">
          <w:rPr>
            <w:rStyle w:val="TextoNormalCaracter"/>
          </w:rPr>
          <w:t>446/2023</w:t>
        </w:r>
      </w:hyperlink>
      <w:r>
        <w:t>, f. 3.</w:t>
      </w:r>
    </w:p>
    <w:p w14:paraId="70404068" w14:textId="13F7D6FE" w:rsidR="00DA359F" w:rsidRDefault="00DA359F" w:rsidP="00DA359F">
      <w:pPr>
        <w:pStyle w:val="SangriaFrancesaArticulo"/>
      </w:pPr>
      <w:r w:rsidRPr="00DA359F">
        <w:rPr>
          <w:rStyle w:val="TextoNormalNegritaCaracter"/>
        </w:rPr>
        <w:t>Artículo 49 a).</w:t>
      </w:r>
      <w:r w:rsidRPr="00DA359F">
        <w:rPr>
          <w:rStyle w:val="TextoNormalCaracter"/>
        </w:rPr>
        <w:t>-</w:t>
      </w:r>
      <w:r>
        <w:t xml:space="preserve"> Auto </w:t>
      </w:r>
      <w:hyperlink w:anchor="AUTO_2023_446" w:history="1">
        <w:r w:rsidRPr="00DA359F">
          <w:rPr>
            <w:rStyle w:val="TextoNormalCaracter"/>
          </w:rPr>
          <w:t>446/2023</w:t>
        </w:r>
      </w:hyperlink>
      <w:r>
        <w:t>, ff. 1, 3.</w:t>
      </w:r>
    </w:p>
    <w:p w14:paraId="33BB549C" w14:textId="52810D2F" w:rsidR="00DA359F" w:rsidRDefault="00DA359F" w:rsidP="00DA359F">
      <w:pPr>
        <w:pStyle w:val="SangriaFrancesaArticulo"/>
      </w:pPr>
      <w:r w:rsidRPr="00DA359F">
        <w:rPr>
          <w:rStyle w:val="TextoNormalNegritaCaracter"/>
        </w:rPr>
        <w:t>Artículo 49 c).</w:t>
      </w:r>
      <w:r w:rsidRPr="00DA359F">
        <w:rPr>
          <w:rStyle w:val="TextoNormalCaracter"/>
        </w:rPr>
        <w:t>-</w:t>
      </w:r>
      <w:r>
        <w:t xml:space="preserve"> Auto </w:t>
      </w:r>
      <w:hyperlink w:anchor="AUTO_2023_446" w:history="1">
        <w:r w:rsidRPr="00DA359F">
          <w:rPr>
            <w:rStyle w:val="TextoNormalCaracter"/>
          </w:rPr>
          <w:t>446/2023</w:t>
        </w:r>
      </w:hyperlink>
      <w:r>
        <w:t>, ff. 1, 3.</w:t>
      </w:r>
    </w:p>
    <w:p w14:paraId="38A9F836" w14:textId="26911191" w:rsidR="00DA359F" w:rsidRDefault="00DA359F" w:rsidP="00DA359F">
      <w:pPr>
        <w:pStyle w:val="SangriaFrancesaArticulo"/>
      </w:pPr>
      <w:r w:rsidRPr="00DA359F">
        <w:rPr>
          <w:rStyle w:val="TextoNormalNegritaCaracter"/>
        </w:rPr>
        <w:t>Artículo 55.2.</w:t>
      </w:r>
      <w:r w:rsidRPr="00DA359F">
        <w:rPr>
          <w:rStyle w:val="TextoNormalCaracter"/>
        </w:rPr>
        <w:t>-</w:t>
      </w:r>
      <w:r>
        <w:t xml:space="preserve"> Auto </w:t>
      </w:r>
      <w:hyperlink w:anchor="AUTO_2023_604" w:history="1">
        <w:r w:rsidRPr="00DA359F">
          <w:rPr>
            <w:rStyle w:val="TextoNormalCaracter"/>
          </w:rPr>
          <w:t>604/2023</w:t>
        </w:r>
      </w:hyperlink>
      <w:r>
        <w:t>, f. 1.</w:t>
      </w:r>
    </w:p>
    <w:p w14:paraId="47BD6993" w14:textId="3B8DB520" w:rsidR="00DA359F" w:rsidRDefault="00DA359F" w:rsidP="00DA359F">
      <w:pPr>
        <w:pStyle w:val="SangriaFrancesaArticulo"/>
      </w:pPr>
      <w:r w:rsidRPr="00DA359F">
        <w:rPr>
          <w:rStyle w:val="TextoNormalNegritaCaracter"/>
        </w:rPr>
        <w:t>Artículo 61.6.</w:t>
      </w:r>
      <w:r w:rsidRPr="00DA359F">
        <w:rPr>
          <w:rStyle w:val="TextoNormalCaracter"/>
        </w:rPr>
        <w:t>-</w:t>
      </w:r>
      <w:r>
        <w:t xml:space="preserve"> Sentencia </w:t>
      </w:r>
      <w:hyperlink w:anchor="SENTENCIA_2023_145" w:history="1">
        <w:r w:rsidRPr="00DA359F">
          <w:rPr>
            <w:rStyle w:val="TextoNormalCaracter"/>
          </w:rPr>
          <w:t>145/2023</w:t>
        </w:r>
      </w:hyperlink>
      <w:r>
        <w:t>, f. 4.</w:t>
      </w:r>
    </w:p>
    <w:p w14:paraId="4A9952C8" w14:textId="3E67F206" w:rsidR="00DA359F" w:rsidRDefault="00DA359F" w:rsidP="00DA359F">
      <w:pPr>
        <w:pStyle w:val="SangriaFrancesaArticulo"/>
      </w:pPr>
      <w:r w:rsidRPr="00DA359F">
        <w:rPr>
          <w:rStyle w:val="TextoNormalNegritaCaracter"/>
        </w:rPr>
        <w:t>Artículo 62.1.</w:t>
      </w:r>
      <w:r w:rsidRPr="00DA359F">
        <w:rPr>
          <w:rStyle w:val="TextoNormalCaracter"/>
        </w:rPr>
        <w:t>-</w:t>
      </w:r>
      <w:r>
        <w:t xml:space="preserve"> Auto </w:t>
      </w:r>
      <w:hyperlink w:anchor="AUTO_2023_427" w:history="1">
        <w:r w:rsidRPr="00DA359F">
          <w:rPr>
            <w:rStyle w:val="TextoNormalCaracter"/>
          </w:rPr>
          <w:t>427/2023</w:t>
        </w:r>
      </w:hyperlink>
      <w:r>
        <w:t>, f. 2.</w:t>
      </w:r>
    </w:p>
    <w:p w14:paraId="1EEECDFA" w14:textId="21B6D12F" w:rsidR="00DA359F" w:rsidRDefault="00DA359F" w:rsidP="00DA359F">
      <w:pPr>
        <w:pStyle w:val="SangriaFrancesaArticulo"/>
      </w:pPr>
      <w:r w:rsidRPr="00DA359F">
        <w:rPr>
          <w:rStyle w:val="TextoNormalNegritaCaracter"/>
        </w:rPr>
        <w:t>Disposición adicional primera.</w:t>
      </w:r>
      <w:r w:rsidRPr="00DA359F">
        <w:rPr>
          <w:rStyle w:val="TextoNormalCaracter"/>
        </w:rPr>
        <w:t>-</w:t>
      </w:r>
      <w:r>
        <w:t xml:space="preserve"> Sentencia </w:t>
      </w:r>
      <w:hyperlink w:anchor="SENTENCIA_2023_145" w:history="1">
        <w:r w:rsidRPr="00DA359F">
          <w:rPr>
            <w:rStyle w:val="TextoNormalCaracter"/>
          </w:rPr>
          <w:t>145/2023</w:t>
        </w:r>
      </w:hyperlink>
      <w:r>
        <w:t>, f. 2.</w:t>
      </w:r>
    </w:p>
    <w:p w14:paraId="262B2C24" w14:textId="4D0891C5" w:rsidR="00DA359F" w:rsidRDefault="00DA359F" w:rsidP="00DA359F">
      <w:pPr>
        <w:pStyle w:val="SangriaFrancesaArticulo"/>
      </w:pPr>
      <w:r w:rsidRPr="00DA359F">
        <w:rPr>
          <w:rStyle w:val="TextoNormalNegritaCaracter"/>
        </w:rPr>
        <w:t>Disposición adicional segunda.</w:t>
      </w:r>
      <w:r w:rsidRPr="00DA359F">
        <w:rPr>
          <w:rStyle w:val="TextoNormalCaracter"/>
        </w:rPr>
        <w:t>-</w:t>
      </w:r>
      <w:r>
        <w:t xml:space="preserve"> Sentencia </w:t>
      </w:r>
      <w:hyperlink w:anchor="SENTENCIA_2023_145" w:history="1">
        <w:r w:rsidRPr="00DA359F">
          <w:rPr>
            <w:rStyle w:val="TextoNormalCaracter"/>
          </w:rPr>
          <w:t>145/2023</w:t>
        </w:r>
      </w:hyperlink>
      <w:r>
        <w:t>, f. 2.</w:t>
      </w:r>
    </w:p>
    <w:p w14:paraId="0CC5ABD4" w14:textId="1C2D63B8" w:rsidR="00DA359F" w:rsidRDefault="00DA359F" w:rsidP="00DA359F">
      <w:pPr>
        <w:pStyle w:val="SangriaFrancesaArticulo"/>
      </w:pPr>
      <w:r w:rsidRPr="00DA359F">
        <w:rPr>
          <w:rStyle w:val="TextoNormalNegritaCaracter"/>
        </w:rPr>
        <w:t>Disposición adicional tercera.</w:t>
      </w:r>
      <w:r w:rsidRPr="00DA359F">
        <w:rPr>
          <w:rStyle w:val="TextoNormalCaracter"/>
        </w:rPr>
        <w:t>-</w:t>
      </w:r>
      <w:r>
        <w:t xml:space="preserve"> Sentencia </w:t>
      </w:r>
      <w:hyperlink w:anchor="SENTENCIA_2023_145" w:history="1">
        <w:r w:rsidRPr="00DA359F">
          <w:rPr>
            <w:rStyle w:val="TextoNormalCaracter"/>
          </w:rPr>
          <w:t>145/2023</w:t>
        </w:r>
      </w:hyperlink>
      <w:r>
        <w:t>, f. 2.</w:t>
      </w:r>
    </w:p>
    <w:p w14:paraId="0AAB694E" w14:textId="30621726" w:rsidR="00DA359F" w:rsidRDefault="00DA359F" w:rsidP="00DA359F">
      <w:pPr>
        <w:pStyle w:val="SangriaFrancesaArticulo"/>
      </w:pPr>
      <w:r w:rsidRPr="00DA359F">
        <w:rPr>
          <w:rStyle w:val="TextoNormalNegritaCaracter"/>
        </w:rPr>
        <w:t>Disposición adicional cuarta.</w:t>
      </w:r>
      <w:r w:rsidRPr="00DA359F">
        <w:rPr>
          <w:rStyle w:val="TextoNormalCaracter"/>
        </w:rPr>
        <w:t>-</w:t>
      </w:r>
      <w:r>
        <w:t xml:space="preserve"> Sentencia </w:t>
      </w:r>
      <w:hyperlink w:anchor="SENTENCIA_2023_145" w:history="1">
        <w:r w:rsidRPr="00DA359F">
          <w:rPr>
            <w:rStyle w:val="TextoNormalCaracter"/>
          </w:rPr>
          <w:t>145/2023</w:t>
        </w:r>
      </w:hyperlink>
      <w:r>
        <w:t>, f. 2.</w:t>
      </w:r>
    </w:p>
    <w:p w14:paraId="48EDE8E1" w14:textId="2A0ADBE7" w:rsidR="00DA359F" w:rsidRDefault="00DA359F" w:rsidP="00DA359F">
      <w:pPr>
        <w:pStyle w:val="SangriaFrancesaArticulo"/>
      </w:pPr>
      <w:r w:rsidRPr="00DA359F">
        <w:rPr>
          <w:rStyle w:val="TextoNormalNegritaCaracter"/>
        </w:rPr>
        <w:t>Disposición adicional quinta.</w:t>
      </w:r>
      <w:r w:rsidRPr="00DA359F">
        <w:rPr>
          <w:rStyle w:val="TextoNormalCaracter"/>
        </w:rPr>
        <w:t>-</w:t>
      </w:r>
      <w:r>
        <w:t xml:space="preserve"> Sentencia </w:t>
      </w:r>
      <w:hyperlink w:anchor="SENTENCIA_2023_145" w:history="1">
        <w:r w:rsidRPr="00DA359F">
          <w:rPr>
            <w:rStyle w:val="TextoNormalCaracter"/>
          </w:rPr>
          <w:t>145/2023</w:t>
        </w:r>
      </w:hyperlink>
      <w:r>
        <w:t>, f. 2.</w:t>
      </w:r>
    </w:p>
    <w:p w14:paraId="68CE376A" w14:textId="772E22D3" w:rsidR="00DA359F" w:rsidRDefault="00DA359F" w:rsidP="00DA359F">
      <w:pPr>
        <w:pStyle w:val="SangriaFrancesaArticulo"/>
      </w:pPr>
      <w:r w:rsidRPr="00DA359F">
        <w:rPr>
          <w:rStyle w:val="TextoNormalNegritaCaracter"/>
        </w:rPr>
        <w:t>Disposición adicional decimoséptima.</w:t>
      </w:r>
      <w:r w:rsidRPr="00DA359F">
        <w:rPr>
          <w:rStyle w:val="TextoNormalCaracter"/>
        </w:rPr>
        <w:t>-</w:t>
      </w:r>
      <w:r>
        <w:t xml:space="preserve"> Sentencia </w:t>
      </w:r>
      <w:hyperlink w:anchor="SENTENCIA_2023_145" w:history="1">
        <w:r w:rsidRPr="00DA359F">
          <w:rPr>
            <w:rStyle w:val="TextoNormalCaracter"/>
          </w:rPr>
          <w:t>145/2023</w:t>
        </w:r>
      </w:hyperlink>
      <w:r>
        <w:t>, f. 2.</w:t>
      </w:r>
    </w:p>
    <w:p w14:paraId="702D8A54" w14:textId="1E20BBB8" w:rsidR="00DA359F" w:rsidRDefault="00DA359F" w:rsidP="00DA359F">
      <w:pPr>
        <w:pStyle w:val="SangriaFrancesaArticulo"/>
      </w:pPr>
    </w:p>
    <w:p w14:paraId="4868FDA8" w14:textId="77777777" w:rsidR="00DA359F" w:rsidRDefault="00DA359F" w:rsidP="00DA359F">
      <w:pPr>
        <w:pStyle w:val="TextoNormalNegritaCursivandice"/>
        <w:keepNext/>
      </w:pPr>
      <w:r>
        <w:t>Real Decreto Legislativo 6/2015, de 30 de octubre, por el que se aprueba el texto refundido de la Ley sobre tráfico, circulación de vehículos a motor y seguridad vial</w:t>
      </w:r>
    </w:p>
    <w:p w14:paraId="5EB10DE7" w14:textId="5B51F110" w:rsidR="00DA359F" w:rsidRDefault="00DA359F" w:rsidP="00DA359F">
      <w:pPr>
        <w:pStyle w:val="SangriaFrancesaArticulo"/>
      </w:pPr>
      <w:r w:rsidRPr="00DA359F">
        <w:rPr>
          <w:rStyle w:val="TextoNormalNegritaCaracter"/>
        </w:rPr>
        <w:t>Artículo 7.</w:t>
      </w:r>
      <w:r w:rsidRPr="00DA359F">
        <w:rPr>
          <w:rStyle w:val="TextoNormalCaracter"/>
        </w:rPr>
        <w:t>-</w:t>
      </w:r>
      <w:r>
        <w:t xml:space="preserve"> Sentencia </w:t>
      </w:r>
      <w:hyperlink w:anchor="SENTENCIA_2023_90" w:history="1">
        <w:r w:rsidRPr="00DA359F">
          <w:rPr>
            <w:rStyle w:val="TextoNormalCaracter"/>
          </w:rPr>
          <w:t>90/2023</w:t>
        </w:r>
      </w:hyperlink>
      <w:r>
        <w:t>, f. 6.</w:t>
      </w:r>
    </w:p>
    <w:p w14:paraId="53FBBC14" w14:textId="000D2E13" w:rsidR="00DA359F" w:rsidRDefault="00DA359F" w:rsidP="00DA359F">
      <w:pPr>
        <w:pStyle w:val="SangriaFrancesaArticulo"/>
      </w:pPr>
      <w:r w:rsidRPr="00DA359F">
        <w:rPr>
          <w:rStyle w:val="TextoNormalNegritaCaracter"/>
        </w:rPr>
        <w:t>Artículo 7 b).</w:t>
      </w:r>
      <w:r w:rsidRPr="00DA359F">
        <w:rPr>
          <w:rStyle w:val="TextoNormalCaracter"/>
        </w:rPr>
        <w:t>-</w:t>
      </w:r>
      <w:r>
        <w:t xml:space="preserve"> Sentencia </w:t>
      </w:r>
      <w:hyperlink w:anchor="SENTENCIA_2023_90" w:history="1">
        <w:r w:rsidRPr="00DA359F">
          <w:rPr>
            <w:rStyle w:val="TextoNormalCaracter"/>
          </w:rPr>
          <w:t>90/2023</w:t>
        </w:r>
      </w:hyperlink>
      <w:r>
        <w:t>, f. 6.</w:t>
      </w:r>
    </w:p>
    <w:p w14:paraId="0EE2E2F3" w14:textId="550C01FC" w:rsidR="00DA359F" w:rsidRDefault="00DA359F" w:rsidP="00DA359F">
      <w:pPr>
        <w:pStyle w:val="SangriaFrancesaArticulo"/>
      </w:pPr>
      <w:r w:rsidRPr="00DA359F">
        <w:rPr>
          <w:rStyle w:val="TextoNormalNegritaCaracter"/>
        </w:rPr>
        <w:t>Artículo 55.</w:t>
      </w:r>
      <w:r w:rsidRPr="00DA359F">
        <w:rPr>
          <w:rStyle w:val="TextoNormalCaracter"/>
        </w:rPr>
        <w:t>-</w:t>
      </w:r>
      <w:r>
        <w:t xml:space="preserve"> Sentencia </w:t>
      </w:r>
      <w:hyperlink w:anchor="SENTENCIA_2023_90" w:history="1">
        <w:r w:rsidRPr="00DA359F">
          <w:rPr>
            <w:rStyle w:val="TextoNormalCaracter"/>
          </w:rPr>
          <w:t>90/2023</w:t>
        </w:r>
      </w:hyperlink>
      <w:r>
        <w:t>, f. 6.</w:t>
      </w:r>
    </w:p>
    <w:p w14:paraId="560372F8" w14:textId="5D5E8A0C" w:rsidR="00DA359F" w:rsidRDefault="00DA359F" w:rsidP="00DA359F">
      <w:pPr>
        <w:pStyle w:val="SangriaFrancesaArticulo"/>
      </w:pPr>
    </w:p>
    <w:p w14:paraId="2283FE9F" w14:textId="77777777" w:rsidR="00DA359F" w:rsidRDefault="00DA359F" w:rsidP="00DA359F">
      <w:pPr>
        <w:pStyle w:val="TextoNormalNegritaCursivandice"/>
        <w:keepNext/>
      </w:pPr>
      <w:r>
        <w:t>Real Decreto Legislativo 1/2020, de 5 de mayo. Texto refundido de la Ley concursal</w:t>
      </w:r>
    </w:p>
    <w:p w14:paraId="35CA3469" w14:textId="3706A363" w:rsidR="00DA359F" w:rsidRDefault="00DA359F" w:rsidP="00DA359F">
      <w:pPr>
        <w:pStyle w:val="SangriaFrancesaArticulo"/>
      </w:pPr>
      <w:r w:rsidRPr="00DA359F">
        <w:rPr>
          <w:rStyle w:val="TextoNormalNegritaCaracter"/>
        </w:rPr>
        <w:t>En general.</w:t>
      </w:r>
      <w:r w:rsidRPr="00DA359F">
        <w:rPr>
          <w:rStyle w:val="TextoNormalCaracter"/>
        </w:rPr>
        <w:t>-</w:t>
      </w:r>
      <w:r>
        <w:t xml:space="preserve"> Auto </w:t>
      </w:r>
      <w:hyperlink w:anchor="AUTO_2023_433" w:history="1">
        <w:r w:rsidRPr="00DA359F">
          <w:rPr>
            <w:rStyle w:val="TextoNormalCaracter"/>
          </w:rPr>
          <w:t>433/2023</w:t>
        </w:r>
      </w:hyperlink>
      <w:r>
        <w:t>, f. único.</w:t>
      </w:r>
    </w:p>
    <w:p w14:paraId="1337271A" w14:textId="19726345" w:rsidR="00DA359F" w:rsidRDefault="00DA359F" w:rsidP="00DA359F">
      <w:pPr>
        <w:pStyle w:val="SangriaFrancesaArticulo"/>
      </w:pPr>
      <w:r w:rsidRPr="00DA359F">
        <w:rPr>
          <w:rStyle w:val="TextoNormalNegritaCaracter"/>
        </w:rPr>
        <w:t>Artículo 486.</w:t>
      </w:r>
      <w:r w:rsidRPr="00DA359F">
        <w:rPr>
          <w:rStyle w:val="TextoNormalCaracter"/>
        </w:rPr>
        <w:t>-</w:t>
      </w:r>
      <w:r>
        <w:t xml:space="preserve"> Autos </w:t>
      </w:r>
      <w:hyperlink w:anchor="AUTO_2023_532" w:history="1">
        <w:r w:rsidRPr="00DA359F">
          <w:rPr>
            <w:rStyle w:val="TextoNormalCaracter"/>
          </w:rPr>
          <w:t>532/2023</w:t>
        </w:r>
      </w:hyperlink>
      <w:r>
        <w:t xml:space="preserve">, f. 8; </w:t>
      </w:r>
      <w:hyperlink w:anchor="AUTO_2023_535" w:history="1">
        <w:r w:rsidRPr="00DA359F">
          <w:rPr>
            <w:rStyle w:val="TextoNormalCaracter"/>
          </w:rPr>
          <w:t>535/2023</w:t>
        </w:r>
      </w:hyperlink>
      <w:r>
        <w:t>, f. 8.</w:t>
      </w:r>
    </w:p>
    <w:p w14:paraId="479422B0" w14:textId="0B9BE9A9" w:rsidR="00DA359F" w:rsidRDefault="00DA359F" w:rsidP="00DA359F">
      <w:pPr>
        <w:pStyle w:val="SangriaFrancesaArticulo"/>
      </w:pPr>
      <w:r w:rsidRPr="00DA359F">
        <w:rPr>
          <w:rStyle w:val="TextoNormalNegritaCaracter"/>
        </w:rPr>
        <w:t>Artículo 489.1.5</w:t>
      </w:r>
      <w:r>
        <w:t xml:space="preserve"> (redactado por la Ley 16/2022, de 5 de septiembre)</w:t>
      </w:r>
      <w:r w:rsidRPr="00DA359F">
        <w:rPr>
          <w:rStyle w:val="TextoNormalNegritaCaracter"/>
        </w:rPr>
        <w:t>.</w:t>
      </w:r>
      <w:r w:rsidRPr="00DA359F">
        <w:rPr>
          <w:rStyle w:val="TextoNormalCaracter"/>
        </w:rPr>
        <w:t>-</w:t>
      </w:r>
      <w:r>
        <w:t xml:space="preserve"> Autos </w:t>
      </w:r>
      <w:hyperlink w:anchor="AUTO_2023_532" w:history="1">
        <w:r w:rsidRPr="00DA359F">
          <w:rPr>
            <w:rStyle w:val="TextoNormalCaracter"/>
          </w:rPr>
          <w:t>532/2023</w:t>
        </w:r>
      </w:hyperlink>
      <w:r>
        <w:t xml:space="preserve">, ff. 1, 4 a 6; </w:t>
      </w:r>
      <w:hyperlink w:anchor="AUTO_2023_535" w:history="1">
        <w:r w:rsidRPr="00DA359F">
          <w:rPr>
            <w:rStyle w:val="TextoNormalCaracter"/>
          </w:rPr>
          <w:t>535/2023</w:t>
        </w:r>
      </w:hyperlink>
      <w:r>
        <w:t>, ff. 1, 4 a 6.</w:t>
      </w:r>
    </w:p>
    <w:p w14:paraId="4599F31F" w14:textId="11AE1845" w:rsidR="00DA359F" w:rsidRDefault="00DA359F" w:rsidP="00DA359F">
      <w:pPr>
        <w:pStyle w:val="SangriaFrancesaArticulo"/>
      </w:pPr>
      <w:r w:rsidRPr="00DA359F">
        <w:rPr>
          <w:rStyle w:val="TextoNormalNegritaCaracter"/>
        </w:rPr>
        <w:t>Artículo 490.</w:t>
      </w:r>
      <w:r w:rsidRPr="00DA359F">
        <w:rPr>
          <w:rStyle w:val="TextoNormalCaracter"/>
        </w:rPr>
        <w:t>-</w:t>
      </w:r>
      <w:r>
        <w:t xml:space="preserve"> Autos </w:t>
      </w:r>
      <w:hyperlink w:anchor="AUTO_2023_532" w:history="1">
        <w:r w:rsidRPr="00DA359F">
          <w:rPr>
            <w:rStyle w:val="TextoNormalCaracter"/>
          </w:rPr>
          <w:t>532/2023</w:t>
        </w:r>
      </w:hyperlink>
      <w:r>
        <w:t xml:space="preserve">, f. 6; </w:t>
      </w:r>
      <w:hyperlink w:anchor="AUTO_2023_535" w:history="1">
        <w:r w:rsidRPr="00DA359F">
          <w:rPr>
            <w:rStyle w:val="TextoNormalCaracter"/>
          </w:rPr>
          <w:t>535/2023</w:t>
        </w:r>
      </w:hyperlink>
      <w:r>
        <w:t>, f. 6.</w:t>
      </w:r>
    </w:p>
    <w:p w14:paraId="3E101B73" w14:textId="488E0DB2" w:rsidR="00DA359F" w:rsidRDefault="00DA359F" w:rsidP="00DA359F">
      <w:pPr>
        <w:pStyle w:val="SangriaFrancesaArticulo"/>
      </w:pPr>
      <w:r w:rsidRPr="00DA359F">
        <w:rPr>
          <w:rStyle w:val="TextoNormalNegritaCaracter"/>
        </w:rPr>
        <w:t>Artículo 491.</w:t>
      </w:r>
      <w:r w:rsidRPr="00DA359F">
        <w:rPr>
          <w:rStyle w:val="TextoNormalCaracter"/>
        </w:rPr>
        <w:t>-</w:t>
      </w:r>
      <w:r>
        <w:t xml:space="preserve"> Autos </w:t>
      </w:r>
      <w:hyperlink w:anchor="AUTO_2023_532" w:history="1">
        <w:r w:rsidRPr="00DA359F">
          <w:rPr>
            <w:rStyle w:val="TextoNormalCaracter"/>
          </w:rPr>
          <w:t>532/2023</w:t>
        </w:r>
      </w:hyperlink>
      <w:r>
        <w:t xml:space="preserve">, ff. 1, 4, 6; </w:t>
      </w:r>
      <w:hyperlink w:anchor="AUTO_2023_535" w:history="1">
        <w:r w:rsidRPr="00DA359F">
          <w:rPr>
            <w:rStyle w:val="TextoNormalCaracter"/>
          </w:rPr>
          <w:t>535/2023</w:t>
        </w:r>
      </w:hyperlink>
      <w:r>
        <w:t>, ff. 1, 4, 6.</w:t>
      </w:r>
    </w:p>
    <w:p w14:paraId="39CB6252" w14:textId="68075D85" w:rsidR="00DA359F" w:rsidRDefault="00DA359F" w:rsidP="00DA359F">
      <w:pPr>
        <w:pStyle w:val="SangriaFrancesaArticulo"/>
      </w:pPr>
      <w:r w:rsidRPr="00DA359F">
        <w:rPr>
          <w:rStyle w:val="TextoNormalNegritaCaracter"/>
        </w:rPr>
        <w:t>Artículo 495.</w:t>
      </w:r>
      <w:r w:rsidRPr="00DA359F">
        <w:rPr>
          <w:rStyle w:val="TextoNormalCaracter"/>
        </w:rPr>
        <w:t>-</w:t>
      </w:r>
      <w:r>
        <w:t xml:space="preserve"> Autos </w:t>
      </w:r>
      <w:hyperlink w:anchor="AUTO_2023_532" w:history="1">
        <w:r w:rsidRPr="00DA359F">
          <w:rPr>
            <w:rStyle w:val="TextoNormalCaracter"/>
          </w:rPr>
          <w:t>532/2023</w:t>
        </w:r>
      </w:hyperlink>
      <w:r>
        <w:t xml:space="preserve">, f. 8; </w:t>
      </w:r>
      <w:hyperlink w:anchor="AUTO_2023_535" w:history="1">
        <w:r w:rsidRPr="00DA359F">
          <w:rPr>
            <w:rStyle w:val="TextoNormalCaracter"/>
          </w:rPr>
          <w:t>535/2023</w:t>
        </w:r>
      </w:hyperlink>
      <w:r>
        <w:t>, f. 8.</w:t>
      </w:r>
    </w:p>
    <w:p w14:paraId="1D286BF7" w14:textId="6E40422E" w:rsidR="00DA359F" w:rsidRDefault="00DA359F" w:rsidP="00DA359F">
      <w:pPr>
        <w:pStyle w:val="SangriaFrancesaArticulo"/>
      </w:pPr>
      <w:r w:rsidRPr="00DA359F">
        <w:rPr>
          <w:rStyle w:val="TextoNormalNegritaCaracter"/>
        </w:rPr>
        <w:t>Artículo 497.</w:t>
      </w:r>
      <w:r w:rsidRPr="00DA359F">
        <w:rPr>
          <w:rStyle w:val="TextoNormalCaracter"/>
        </w:rPr>
        <w:t>-</w:t>
      </w:r>
      <w:r>
        <w:t xml:space="preserve"> Autos </w:t>
      </w:r>
      <w:hyperlink w:anchor="AUTO_2023_532" w:history="1">
        <w:r w:rsidRPr="00DA359F">
          <w:rPr>
            <w:rStyle w:val="TextoNormalCaracter"/>
          </w:rPr>
          <w:t>532/2023</w:t>
        </w:r>
      </w:hyperlink>
      <w:r>
        <w:t xml:space="preserve">, ff. 1, 4, 6; </w:t>
      </w:r>
      <w:hyperlink w:anchor="AUTO_2023_535" w:history="1">
        <w:r w:rsidRPr="00DA359F">
          <w:rPr>
            <w:rStyle w:val="TextoNormalCaracter"/>
          </w:rPr>
          <w:t>535/2023</w:t>
        </w:r>
      </w:hyperlink>
      <w:r>
        <w:t>, ff. 1, 4, 6.</w:t>
      </w:r>
    </w:p>
    <w:p w14:paraId="5197CCBE" w14:textId="7F2AA209" w:rsidR="00DA359F" w:rsidRDefault="00DA359F" w:rsidP="00DA359F">
      <w:pPr>
        <w:pStyle w:val="SangriaFrancesaArticulo"/>
      </w:pPr>
      <w:r w:rsidRPr="00DA359F">
        <w:rPr>
          <w:rStyle w:val="TextoNormalNegritaCaracter"/>
        </w:rPr>
        <w:t>Artículo 498.2.</w:t>
      </w:r>
      <w:r w:rsidRPr="00DA359F">
        <w:rPr>
          <w:rStyle w:val="TextoNormalCaracter"/>
        </w:rPr>
        <w:t>-</w:t>
      </w:r>
      <w:r>
        <w:t xml:space="preserve"> Autos </w:t>
      </w:r>
      <w:hyperlink w:anchor="AUTO_2023_532" w:history="1">
        <w:r w:rsidRPr="00DA359F">
          <w:rPr>
            <w:rStyle w:val="TextoNormalCaracter"/>
          </w:rPr>
          <w:t>532/2023</w:t>
        </w:r>
      </w:hyperlink>
      <w:r>
        <w:t xml:space="preserve">, f. 8; </w:t>
      </w:r>
      <w:hyperlink w:anchor="AUTO_2023_535" w:history="1">
        <w:r w:rsidRPr="00DA359F">
          <w:rPr>
            <w:rStyle w:val="TextoNormalCaracter"/>
          </w:rPr>
          <w:t>535/2023</w:t>
        </w:r>
      </w:hyperlink>
      <w:r>
        <w:t>, f. 8.</w:t>
      </w:r>
    </w:p>
    <w:p w14:paraId="0348D5AE" w14:textId="751B737B" w:rsidR="00DA359F" w:rsidRDefault="00DA359F" w:rsidP="00DA359F">
      <w:pPr>
        <w:pStyle w:val="SangriaFrancesaArticulo"/>
      </w:pPr>
      <w:r w:rsidRPr="00DA359F">
        <w:rPr>
          <w:rStyle w:val="TextoNormalNegritaCaracter"/>
        </w:rPr>
        <w:t>Artículo 499.1.</w:t>
      </w:r>
      <w:r w:rsidRPr="00DA359F">
        <w:rPr>
          <w:rStyle w:val="TextoNormalCaracter"/>
        </w:rPr>
        <w:t>-</w:t>
      </w:r>
      <w:r>
        <w:t xml:space="preserve"> Autos </w:t>
      </w:r>
      <w:hyperlink w:anchor="AUTO_2023_532" w:history="1">
        <w:r w:rsidRPr="00DA359F">
          <w:rPr>
            <w:rStyle w:val="TextoNormalCaracter"/>
          </w:rPr>
          <w:t>532/2023</w:t>
        </w:r>
      </w:hyperlink>
      <w:r>
        <w:t xml:space="preserve">, f. 6; </w:t>
      </w:r>
      <w:hyperlink w:anchor="AUTO_2023_535" w:history="1">
        <w:r w:rsidRPr="00DA359F">
          <w:rPr>
            <w:rStyle w:val="TextoNormalCaracter"/>
          </w:rPr>
          <w:t>535/2023</w:t>
        </w:r>
      </w:hyperlink>
      <w:r>
        <w:t>, f. 6.</w:t>
      </w:r>
    </w:p>
    <w:p w14:paraId="3D73DF2D" w14:textId="21458695" w:rsidR="00DA359F" w:rsidRDefault="00DA359F" w:rsidP="00DA359F">
      <w:pPr>
        <w:pStyle w:val="TextoNormal"/>
      </w:pPr>
    </w:p>
    <w:p w14:paraId="23763662" w14:textId="77777777" w:rsidR="00DA359F" w:rsidRDefault="00DA359F" w:rsidP="00DA359F">
      <w:pPr>
        <w:pStyle w:val="SangriaFrancesaArticulo"/>
      </w:pPr>
      <w:bookmarkStart w:id="486" w:name="INDICE22848"/>
    </w:p>
    <w:bookmarkEnd w:id="486"/>
    <w:p w14:paraId="6121C0AB" w14:textId="77777777" w:rsidR="00DA359F" w:rsidRDefault="00DA359F" w:rsidP="00DA359F">
      <w:pPr>
        <w:pStyle w:val="TextoIndiceNivel2"/>
        <w:suppressAutoHyphens/>
      </w:pPr>
      <w:r>
        <w:t>G) Reales Decretos-leyes</w:t>
      </w:r>
    </w:p>
    <w:p w14:paraId="145A0F3E" w14:textId="5E078262" w:rsidR="00DA359F" w:rsidRDefault="00DA359F" w:rsidP="00DA359F">
      <w:pPr>
        <w:pStyle w:val="TextoIndiceNivel2"/>
      </w:pPr>
    </w:p>
    <w:p w14:paraId="62A02890" w14:textId="77777777" w:rsidR="00DA359F" w:rsidRDefault="00DA359F" w:rsidP="00DA359F">
      <w:pPr>
        <w:pStyle w:val="TextoNormalNegritaCursivandice"/>
        <w:keepNext/>
      </w:pPr>
      <w:r>
        <w:t>Real Decreto-ley 1/2015, de 27 de febrero. Mecanismo de segunda oportunidad, reducción de carga financiera y otras medidas de orden social</w:t>
      </w:r>
    </w:p>
    <w:p w14:paraId="67ACD9F4" w14:textId="4D4EEBCB" w:rsidR="00DA359F" w:rsidRDefault="00DA359F" w:rsidP="00DA359F">
      <w:pPr>
        <w:pStyle w:val="SangriaFrancesaArticulo"/>
      </w:pPr>
      <w:r w:rsidRPr="00DA359F">
        <w:rPr>
          <w:rStyle w:val="TextoNormalNegritaCaracter"/>
        </w:rPr>
        <w:t>En general.</w:t>
      </w:r>
      <w:r w:rsidRPr="00DA359F">
        <w:rPr>
          <w:rStyle w:val="TextoNormalCaracter"/>
        </w:rPr>
        <w:t>-</w:t>
      </w:r>
      <w:r>
        <w:t xml:space="preserve"> Autos </w:t>
      </w:r>
      <w:hyperlink w:anchor="AUTO_2023_532" w:history="1">
        <w:r w:rsidRPr="00DA359F">
          <w:rPr>
            <w:rStyle w:val="TextoNormalCaracter"/>
          </w:rPr>
          <w:t>532/2023</w:t>
        </w:r>
      </w:hyperlink>
      <w:r>
        <w:t xml:space="preserve">, f. 6; </w:t>
      </w:r>
      <w:hyperlink w:anchor="AUTO_2023_535" w:history="1">
        <w:r w:rsidRPr="00DA359F">
          <w:rPr>
            <w:rStyle w:val="TextoNormalCaracter"/>
          </w:rPr>
          <w:t>535/2023</w:t>
        </w:r>
      </w:hyperlink>
      <w:r>
        <w:t>, f. 6.</w:t>
      </w:r>
    </w:p>
    <w:p w14:paraId="1D09CFF9" w14:textId="1C7C4D44" w:rsidR="00DA359F" w:rsidRDefault="00DA359F" w:rsidP="00DA359F">
      <w:pPr>
        <w:pStyle w:val="SangriaFrancesaArticulo"/>
      </w:pPr>
    </w:p>
    <w:p w14:paraId="265BD82E" w14:textId="77777777" w:rsidR="00DA359F" w:rsidRDefault="00DA359F" w:rsidP="00DA359F">
      <w:pPr>
        <w:pStyle w:val="TextoNormalNegritaCursivandice"/>
        <w:keepNext/>
      </w:pPr>
      <w:r>
        <w:t>Real Decreto-ley 3/2016, de 2 de diciembre, por el que se adoptan medidas en el ámbito tributario dirigidas a la consolidación de las finanzas públicas y otras medidas urgentes en materia social</w:t>
      </w:r>
    </w:p>
    <w:p w14:paraId="54162EB7" w14:textId="159A5977" w:rsidR="00DA359F" w:rsidRDefault="00DA359F" w:rsidP="00DA359F">
      <w:pPr>
        <w:pStyle w:val="SangriaFrancesaArticulo"/>
      </w:pPr>
      <w:r w:rsidRPr="00DA359F">
        <w:rPr>
          <w:rStyle w:val="TextoNormalNegritaCaracter"/>
        </w:rPr>
        <w:t>En general.</w:t>
      </w:r>
      <w:r w:rsidRPr="00DA359F">
        <w:rPr>
          <w:rStyle w:val="TextoNormalCaracter"/>
        </w:rPr>
        <w:t>-</w:t>
      </w:r>
      <w:r>
        <w:t xml:space="preserve"> Autos </w:t>
      </w:r>
      <w:hyperlink w:anchor="AUTO_2023_355" w:history="1">
        <w:r w:rsidRPr="00DA359F">
          <w:rPr>
            <w:rStyle w:val="TextoNormalCaracter"/>
          </w:rPr>
          <w:t>355/2023</w:t>
        </w:r>
      </w:hyperlink>
      <w:r>
        <w:t xml:space="preserve">, f. único; </w:t>
      </w:r>
      <w:hyperlink w:anchor="AUTO_2023_377" w:history="1">
        <w:r w:rsidRPr="00DA359F">
          <w:rPr>
            <w:rStyle w:val="TextoNormalCaracter"/>
          </w:rPr>
          <w:t>377/2023</w:t>
        </w:r>
      </w:hyperlink>
      <w:r>
        <w:t>, f. único.</w:t>
      </w:r>
    </w:p>
    <w:p w14:paraId="71FFE8F2" w14:textId="01988AEC" w:rsidR="00DA359F" w:rsidRDefault="00DA359F" w:rsidP="00DA359F">
      <w:pPr>
        <w:pStyle w:val="SangriaFrancesaArticulo"/>
      </w:pPr>
    </w:p>
    <w:p w14:paraId="01AE162F" w14:textId="77777777" w:rsidR="00DA359F" w:rsidRDefault="00DA359F" w:rsidP="00DA359F">
      <w:pPr>
        <w:pStyle w:val="TextoNormalNegritaCursivandice"/>
        <w:keepNext/>
      </w:pPr>
      <w:r>
        <w:t>Real Decreto-ley 1/2017, de 20 de enero, de medidas urgentes de protección de consumidores en materia de cláusulas suelo</w:t>
      </w:r>
    </w:p>
    <w:p w14:paraId="1F90AB06" w14:textId="3D6B7CAF" w:rsidR="00DA359F" w:rsidRDefault="00DA359F" w:rsidP="00DA359F">
      <w:pPr>
        <w:pStyle w:val="SangriaFrancesaArticulo"/>
      </w:pPr>
      <w:r w:rsidRPr="00DA359F">
        <w:rPr>
          <w:rStyle w:val="TextoNormalNegritaCaracter"/>
        </w:rPr>
        <w:t>Artículo 4.2.</w:t>
      </w:r>
      <w:r w:rsidRPr="00DA359F">
        <w:rPr>
          <w:rStyle w:val="TextoNormalCaracter"/>
        </w:rPr>
        <w:t>-</w:t>
      </w:r>
      <w:r>
        <w:t xml:space="preserve"> Sentencias </w:t>
      </w:r>
      <w:hyperlink w:anchor="SENTENCIA_2023_91" w:history="1">
        <w:r w:rsidRPr="00DA359F">
          <w:rPr>
            <w:rStyle w:val="TextoNormalCaracter"/>
          </w:rPr>
          <w:t>91/2023</w:t>
        </w:r>
      </w:hyperlink>
      <w:r>
        <w:t xml:space="preserve">, f. 4; </w:t>
      </w:r>
      <w:hyperlink w:anchor="SENTENCIA_2023_96" w:history="1">
        <w:r w:rsidRPr="00DA359F">
          <w:rPr>
            <w:rStyle w:val="TextoNormalCaracter"/>
          </w:rPr>
          <w:t>96/2023</w:t>
        </w:r>
      </w:hyperlink>
      <w:r>
        <w:t>, f. 2.</w:t>
      </w:r>
    </w:p>
    <w:p w14:paraId="1FAED313" w14:textId="10E440A5" w:rsidR="00DA359F" w:rsidRDefault="00DA359F" w:rsidP="00DA359F">
      <w:pPr>
        <w:pStyle w:val="SangriaFrancesaArticulo"/>
      </w:pPr>
    </w:p>
    <w:p w14:paraId="31F3CE94" w14:textId="77777777" w:rsidR="00DA359F" w:rsidRDefault="00DA359F" w:rsidP="00DA359F">
      <w:pPr>
        <w:pStyle w:val="TextoNormalNegritaCursivandice"/>
        <w:keepNext/>
      </w:pPr>
      <w:r>
        <w:t>Real Decreto-ley 8/2021, de 4 de mayo, por el que se adoptan medidas urgentes en el orden sanitario, social y jurisdiccional, a aplicar tras la finalización de la vigencia del estado de alarma declarado por el Real Decreto 926/2020, de 25 de octubre, por el que se declara el estado de alarma para contener la propagación de infecciones causadas por el SARS-CoV-2</w:t>
      </w:r>
    </w:p>
    <w:p w14:paraId="0CB281D8" w14:textId="1E1B14FE"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166" w:history="1">
        <w:r w:rsidRPr="00DA359F">
          <w:rPr>
            <w:rStyle w:val="TextoNormalCaracter"/>
          </w:rPr>
          <w:t>166/2023</w:t>
        </w:r>
      </w:hyperlink>
      <w:r>
        <w:t>, ff. 4, 5, 7, 8.</w:t>
      </w:r>
    </w:p>
    <w:p w14:paraId="15FF1D8B" w14:textId="4619B6AF" w:rsidR="00DA359F" w:rsidRDefault="00DA359F" w:rsidP="00DA359F">
      <w:pPr>
        <w:pStyle w:val="SangriaFrancesaArticulo"/>
      </w:pPr>
      <w:r w:rsidRPr="00DA359F">
        <w:rPr>
          <w:rStyle w:val="TextoNormalNegritaCaracter"/>
        </w:rPr>
        <w:t>Exposición de motivos.</w:t>
      </w:r>
      <w:r w:rsidRPr="00DA359F">
        <w:rPr>
          <w:rStyle w:val="TextoNormalCaracter"/>
        </w:rPr>
        <w:t>-</w:t>
      </w:r>
      <w:r>
        <w:t xml:space="preserve"> Sentencia </w:t>
      </w:r>
      <w:hyperlink w:anchor="SENTENCIA_2023_166" w:history="1">
        <w:r w:rsidRPr="00DA359F">
          <w:rPr>
            <w:rStyle w:val="TextoNormalCaracter"/>
          </w:rPr>
          <w:t>166/2023</w:t>
        </w:r>
      </w:hyperlink>
      <w:r>
        <w:t>, f. 4.</w:t>
      </w:r>
    </w:p>
    <w:p w14:paraId="44A61C8D" w14:textId="4CEEC556" w:rsidR="00DA359F" w:rsidRDefault="00DA359F" w:rsidP="00DA359F">
      <w:pPr>
        <w:pStyle w:val="SangriaFrancesaArticulo"/>
      </w:pPr>
      <w:r w:rsidRPr="00DA359F">
        <w:rPr>
          <w:rStyle w:val="TextoNormalNegritaCaracter"/>
        </w:rPr>
        <w:t>Artículo 15.</w:t>
      </w:r>
      <w:r w:rsidRPr="00DA359F">
        <w:rPr>
          <w:rStyle w:val="TextoNormalCaracter"/>
        </w:rPr>
        <w:t>-</w:t>
      </w:r>
      <w:r>
        <w:t xml:space="preserve"> Sentencia </w:t>
      </w:r>
      <w:hyperlink w:anchor="SENTENCIA_2023_166" w:history="1">
        <w:r w:rsidRPr="00DA359F">
          <w:rPr>
            <w:rStyle w:val="TextoNormalCaracter"/>
          </w:rPr>
          <w:t>166/2023</w:t>
        </w:r>
      </w:hyperlink>
      <w:r>
        <w:t>, ff. 1 a 3, 7, 9.</w:t>
      </w:r>
    </w:p>
    <w:p w14:paraId="6DA79C09" w14:textId="5BD1D3FE" w:rsidR="00DA359F" w:rsidRDefault="00DA359F" w:rsidP="00DA359F">
      <w:pPr>
        <w:pStyle w:val="SangriaFrancesaArticulo"/>
      </w:pPr>
      <w:r w:rsidRPr="00DA359F">
        <w:rPr>
          <w:rStyle w:val="TextoNormalNegritaCaracter"/>
        </w:rPr>
        <w:t>Disposición final primera, apartado 6.</w:t>
      </w:r>
      <w:r w:rsidRPr="00DA359F">
        <w:rPr>
          <w:rStyle w:val="TextoNormalCaracter"/>
        </w:rPr>
        <w:t>-</w:t>
      </w:r>
      <w:r>
        <w:t xml:space="preserve"> Sentencia </w:t>
      </w:r>
      <w:hyperlink w:anchor="SENTENCIA_2023_166" w:history="1">
        <w:r w:rsidRPr="00DA359F">
          <w:rPr>
            <w:rStyle w:val="TextoNormalCaracter"/>
          </w:rPr>
          <w:t>166/2023</w:t>
        </w:r>
      </w:hyperlink>
      <w:r>
        <w:t>, ff. 1 a 3.</w:t>
      </w:r>
    </w:p>
    <w:p w14:paraId="6E9DD618" w14:textId="382B3BF3" w:rsidR="00DA359F" w:rsidRDefault="00DA359F" w:rsidP="00DA359F">
      <w:pPr>
        <w:pStyle w:val="SangriaFrancesaArticulo"/>
      </w:pPr>
    </w:p>
    <w:p w14:paraId="648922D0" w14:textId="77777777" w:rsidR="00DA359F" w:rsidRDefault="00DA359F" w:rsidP="00DA359F">
      <w:pPr>
        <w:pStyle w:val="TextoNormalNegritaCursivandice"/>
        <w:keepNext/>
      </w:pPr>
      <w:r>
        <w:t>Real Decreto-ley 9/2021, de 11 de mayo, por el que se modifica el texto refundido de la Ley del Estatuto de los trabajadores, aprobado por el Real Decreto Legislativo 2/2015, de 23 de octubre, para garantizar los derechos laborales de las personas dedicadas al reparto en el ámbito de plataformas digitales</w:t>
      </w:r>
    </w:p>
    <w:p w14:paraId="7EB346B1" w14:textId="412F8999"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Sentencias </w:t>
      </w:r>
      <w:hyperlink w:anchor="SENTENCIA_2023_144" w:history="1">
        <w:r w:rsidRPr="00DA359F">
          <w:rPr>
            <w:rStyle w:val="TextoNormalCaracter"/>
          </w:rPr>
          <w:t>144/2023</w:t>
        </w:r>
      </w:hyperlink>
      <w:r>
        <w:t xml:space="preserve">, ff. 1, 5, VP; </w:t>
      </w:r>
      <w:hyperlink w:anchor="SENTENCIA_2023_147" w:history="1">
        <w:r w:rsidRPr="00DA359F">
          <w:rPr>
            <w:rStyle w:val="TextoNormalCaracter"/>
          </w:rPr>
          <w:t>147/2023</w:t>
        </w:r>
      </w:hyperlink>
      <w:r>
        <w:t>, ff. 1, 2.</w:t>
      </w:r>
    </w:p>
    <w:p w14:paraId="7B00463E" w14:textId="0BFC6C04" w:rsidR="00DA359F" w:rsidRDefault="00DA359F" w:rsidP="00DA359F">
      <w:pPr>
        <w:pStyle w:val="SangriaFrancesaArticulo"/>
      </w:pPr>
      <w:r w:rsidRPr="00DA359F">
        <w:rPr>
          <w:rStyle w:val="TextoNormalNegritaCaracter"/>
        </w:rPr>
        <w:t>Preámbulo.</w:t>
      </w:r>
      <w:r w:rsidRPr="00DA359F">
        <w:rPr>
          <w:rStyle w:val="TextoNormalCaracter"/>
        </w:rPr>
        <w:t>-</w:t>
      </w:r>
      <w:r>
        <w:t xml:space="preserve"> Sentencia </w:t>
      </w:r>
      <w:hyperlink w:anchor="SENTENCIA_2023_144" w:history="1">
        <w:r w:rsidRPr="00DA359F">
          <w:rPr>
            <w:rStyle w:val="TextoNormalCaracter"/>
          </w:rPr>
          <w:t>144/2023</w:t>
        </w:r>
      </w:hyperlink>
      <w:r>
        <w:t>, f. 4.</w:t>
      </w:r>
    </w:p>
    <w:p w14:paraId="53DE5AF0" w14:textId="5BF74B41" w:rsidR="00DA359F" w:rsidRDefault="00DA359F" w:rsidP="00DA359F">
      <w:pPr>
        <w:pStyle w:val="SangriaFrancesaArticulo"/>
      </w:pPr>
      <w:r w:rsidRPr="00DA359F">
        <w:rPr>
          <w:rStyle w:val="TextoNormalNegritaCaracter"/>
        </w:rPr>
        <w:t>Preámbulo, apartado I.</w:t>
      </w:r>
      <w:r w:rsidRPr="00DA359F">
        <w:rPr>
          <w:rStyle w:val="TextoNormalCaracter"/>
        </w:rPr>
        <w:t>-</w:t>
      </w:r>
      <w:r>
        <w:t xml:space="preserve"> Sentencia </w:t>
      </w:r>
      <w:hyperlink w:anchor="SENTENCIA_2023_144" w:history="1">
        <w:r w:rsidRPr="00DA359F">
          <w:rPr>
            <w:rStyle w:val="TextoNormalCaracter"/>
          </w:rPr>
          <w:t>144/2023</w:t>
        </w:r>
      </w:hyperlink>
      <w:r>
        <w:t>, f. 4.</w:t>
      </w:r>
    </w:p>
    <w:p w14:paraId="22105195" w14:textId="60BAA429" w:rsidR="00DA359F" w:rsidRDefault="00DA359F" w:rsidP="00DA359F">
      <w:pPr>
        <w:pStyle w:val="SangriaFrancesaArticulo"/>
      </w:pPr>
      <w:r w:rsidRPr="00DA359F">
        <w:rPr>
          <w:rStyle w:val="TextoNormalNegritaCaracter"/>
        </w:rPr>
        <w:t>Preámbulo, apartado I, último párrafo.</w:t>
      </w:r>
      <w:r w:rsidRPr="00DA359F">
        <w:rPr>
          <w:rStyle w:val="TextoNormalCaracter"/>
        </w:rPr>
        <w:t>-</w:t>
      </w:r>
      <w:r>
        <w:t xml:space="preserve"> Sentencia </w:t>
      </w:r>
      <w:hyperlink w:anchor="SENTENCIA_2023_144" w:history="1">
        <w:r w:rsidRPr="00DA359F">
          <w:rPr>
            <w:rStyle w:val="TextoNormalCaracter"/>
          </w:rPr>
          <w:t>144/2023</w:t>
        </w:r>
      </w:hyperlink>
      <w:r>
        <w:t>, VP.</w:t>
      </w:r>
    </w:p>
    <w:p w14:paraId="5064DD37" w14:textId="04AF3859" w:rsidR="00DA359F" w:rsidRDefault="00DA359F" w:rsidP="00DA359F">
      <w:pPr>
        <w:pStyle w:val="SangriaFrancesaArticulo"/>
      </w:pPr>
      <w:r w:rsidRPr="00DA359F">
        <w:rPr>
          <w:rStyle w:val="TextoNormalNegritaCaracter"/>
        </w:rPr>
        <w:t>Preámbulo, apartado II.</w:t>
      </w:r>
      <w:r w:rsidRPr="00DA359F">
        <w:rPr>
          <w:rStyle w:val="TextoNormalCaracter"/>
        </w:rPr>
        <w:t>-</w:t>
      </w:r>
      <w:r>
        <w:t xml:space="preserve"> Sentencia </w:t>
      </w:r>
      <w:hyperlink w:anchor="SENTENCIA_2023_144" w:history="1">
        <w:r w:rsidRPr="00DA359F">
          <w:rPr>
            <w:rStyle w:val="TextoNormalCaracter"/>
          </w:rPr>
          <w:t>144/2023</w:t>
        </w:r>
      </w:hyperlink>
      <w:r>
        <w:t>, f. 4.</w:t>
      </w:r>
    </w:p>
    <w:p w14:paraId="0C1D0FBA" w14:textId="007BA263" w:rsidR="00DA359F" w:rsidRDefault="00DA359F" w:rsidP="00DA359F">
      <w:pPr>
        <w:pStyle w:val="SangriaFrancesaArticulo"/>
      </w:pPr>
      <w:r w:rsidRPr="00DA359F">
        <w:rPr>
          <w:rStyle w:val="TextoNormalNegritaCaracter"/>
        </w:rPr>
        <w:t>Preámbulo, apartado III.</w:t>
      </w:r>
      <w:r w:rsidRPr="00DA359F">
        <w:rPr>
          <w:rStyle w:val="TextoNormalCaracter"/>
        </w:rPr>
        <w:t>-</w:t>
      </w:r>
      <w:r>
        <w:t xml:space="preserve"> Sentencia </w:t>
      </w:r>
      <w:hyperlink w:anchor="SENTENCIA_2023_144" w:history="1">
        <w:r w:rsidRPr="00DA359F">
          <w:rPr>
            <w:rStyle w:val="TextoNormalCaracter"/>
          </w:rPr>
          <w:t>144/2023</w:t>
        </w:r>
      </w:hyperlink>
      <w:r>
        <w:t>, f. 4.</w:t>
      </w:r>
    </w:p>
    <w:p w14:paraId="422F0EF7" w14:textId="0DFD5DC5" w:rsidR="00DA359F" w:rsidRDefault="00DA359F" w:rsidP="00DA359F">
      <w:pPr>
        <w:pStyle w:val="SangriaFrancesaArticulo"/>
      </w:pPr>
      <w:r w:rsidRPr="00DA359F">
        <w:rPr>
          <w:rStyle w:val="TextoNormalNegritaCaracter"/>
        </w:rPr>
        <w:t>Artículo único, apartado 1.</w:t>
      </w:r>
      <w:r w:rsidRPr="00DA359F">
        <w:rPr>
          <w:rStyle w:val="TextoNormalCaracter"/>
        </w:rPr>
        <w:t>-</w:t>
      </w:r>
      <w:r>
        <w:t xml:space="preserve"> Sentencias </w:t>
      </w:r>
      <w:hyperlink w:anchor="SENTENCIA_2023_144" w:history="1">
        <w:r w:rsidRPr="00DA359F">
          <w:rPr>
            <w:rStyle w:val="TextoNormalCaracter"/>
          </w:rPr>
          <w:t>144/2023</w:t>
        </w:r>
      </w:hyperlink>
      <w:r>
        <w:t xml:space="preserve">, f. 1; </w:t>
      </w:r>
      <w:hyperlink w:anchor="SENTENCIA_2023_147" w:history="1">
        <w:r w:rsidRPr="00DA359F">
          <w:rPr>
            <w:rStyle w:val="TextoNormalCaracter"/>
          </w:rPr>
          <w:t>147/2023</w:t>
        </w:r>
      </w:hyperlink>
      <w:r>
        <w:t>, ff. 1, 2.</w:t>
      </w:r>
    </w:p>
    <w:p w14:paraId="2AEC4B25" w14:textId="0AF385B4" w:rsidR="00DA359F" w:rsidRDefault="00DA359F" w:rsidP="00DA359F">
      <w:pPr>
        <w:pStyle w:val="SangriaFrancesaArticulo"/>
      </w:pPr>
      <w:r w:rsidRPr="00DA359F">
        <w:rPr>
          <w:rStyle w:val="TextoNormalNegritaCaracter"/>
        </w:rPr>
        <w:t>Artículo único, apartadado 2.</w:t>
      </w:r>
      <w:r w:rsidRPr="00DA359F">
        <w:rPr>
          <w:rStyle w:val="TextoNormalCaracter"/>
        </w:rPr>
        <w:t>-</w:t>
      </w:r>
      <w:r>
        <w:t xml:space="preserve"> Sentencias </w:t>
      </w:r>
      <w:hyperlink w:anchor="SENTENCIA_2023_144" w:history="1">
        <w:r w:rsidRPr="00DA359F">
          <w:rPr>
            <w:rStyle w:val="TextoNormalCaracter"/>
          </w:rPr>
          <w:t>144/2023</w:t>
        </w:r>
      </w:hyperlink>
      <w:r>
        <w:t xml:space="preserve">, f. 1; </w:t>
      </w:r>
      <w:hyperlink w:anchor="SENTENCIA_2023_147" w:history="1">
        <w:r w:rsidRPr="00DA359F">
          <w:rPr>
            <w:rStyle w:val="TextoNormalCaracter"/>
          </w:rPr>
          <w:t>147/2023</w:t>
        </w:r>
      </w:hyperlink>
      <w:r>
        <w:t>, f. 1.</w:t>
      </w:r>
    </w:p>
    <w:p w14:paraId="5A5F899F" w14:textId="26DAA7E3" w:rsidR="00DA359F" w:rsidRDefault="00DA359F" w:rsidP="00DA359F">
      <w:pPr>
        <w:pStyle w:val="SangriaFrancesaArticulo"/>
      </w:pPr>
      <w:r w:rsidRPr="00DA359F">
        <w:rPr>
          <w:rStyle w:val="TextoNormalNegritaCaracter"/>
        </w:rPr>
        <w:t>Ártículo único.</w:t>
      </w:r>
      <w:r w:rsidRPr="00DA359F">
        <w:rPr>
          <w:rStyle w:val="TextoNormalCaracter"/>
        </w:rPr>
        <w:t>-</w:t>
      </w:r>
      <w:r>
        <w:t xml:space="preserve"> Sentencia </w:t>
      </w:r>
      <w:hyperlink w:anchor="SENTENCIA_2023_147" w:history="1">
        <w:r w:rsidRPr="00DA359F">
          <w:rPr>
            <w:rStyle w:val="TextoNormalCaracter"/>
          </w:rPr>
          <w:t>147/2023</w:t>
        </w:r>
      </w:hyperlink>
      <w:r>
        <w:t>, f. 1.</w:t>
      </w:r>
    </w:p>
    <w:p w14:paraId="7ADFCFAB" w14:textId="772ED2F2" w:rsidR="00DA359F" w:rsidRDefault="00DA359F" w:rsidP="00DA359F">
      <w:pPr>
        <w:pStyle w:val="SangriaFrancesaArticulo"/>
      </w:pPr>
    </w:p>
    <w:p w14:paraId="77F47579" w14:textId="77777777" w:rsidR="00DA359F" w:rsidRDefault="00DA359F" w:rsidP="00DA359F">
      <w:pPr>
        <w:pStyle w:val="TextoNormalNegritaCursivandice"/>
        <w:keepNext/>
      </w:pPr>
      <w:r>
        <w:t>Real Decreto-ley 14/2021, de 6 de julio, de medidas urgentes para la reducción de la temporalidad en el empleo público</w:t>
      </w:r>
    </w:p>
    <w:p w14:paraId="061434FB" w14:textId="6B2CA9A4"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145" w:history="1">
        <w:r w:rsidRPr="00DA359F">
          <w:rPr>
            <w:rStyle w:val="TextoNormalCaracter"/>
          </w:rPr>
          <w:t>145/2023</w:t>
        </w:r>
      </w:hyperlink>
      <w:r>
        <w:t>, ff. 1 a 4.</w:t>
      </w:r>
    </w:p>
    <w:p w14:paraId="12080EEC" w14:textId="18D6D911" w:rsidR="00DA359F" w:rsidRDefault="00DA359F" w:rsidP="00DA359F">
      <w:pPr>
        <w:pStyle w:val="SangriaFrancesaArticulo"/>
      </w:pPr>
      <w:r w:rsidRPr="00DA359F">
        <w:rPr>
          <w:rStyle w:val="TextoNormalNegritaCaracter"/>
        </w:rPr>
        <w:t>Exposición de motivos.</w:t>
      </w:r>
      <w:r w:rsidRPr="00DA359F">
        <w:rPr>
          <w:rStyle w:val="TextoNormalCaracter"/>
        </w:rPr>
        <w:t>-</w:t>
      </w:r>
      <w:r>
        <w:t xml:space="preserve"> Sentencia </w:t>
      </w:r>
      <w:hyperlink w:anchor="SENTENCIA_2023_145" w:history="1">
        <w:r w:rsidRPr="00DA359F">
          <w:rPr>
            <w:rStyle w:val="TextoNormalCaracter"/>
          </w:rPr>
          <w:t>145/2023</w:t>
        </w:r>
      </w:hyperlink>
      <w:r>
        <w:t>, f. 4.</w:t>
      </w:r>
    </w:p>
    <w:p w14:paraId="62B60AA4" w14:textId="2F20CE3F" w:rsidR="00DA359F" w:rsidRDefault="00DA359F" w:rsidP="00DA359F">
      <w:pPr>
        <w:pStyle w:val="SangriaFrancesaArticulo"/>
      </w:pPr>
      <w:r w:rsidRPr="00DA359F">
        <w:rPr>
          <w:rStyle w:val="TextoNormalNegritaCaracter"/>
        </w:rPr>
        <w:t>Exposición de motivos, apartado 4.</w:t>
      </w:r>
      <w:r w:rsidRPr="00DA359F">
        <w:rPr>
          <w:rStyle w:val="TextoNormalCaracter"/>
        </w:rPr>
        <w:t>-</w:t>
      </w:r>
      <w:r>
        <w:t xml:space="preserve"> Sentencia </w:t>
      </w:r>
      <w:hyperlink w:anchor="SENTENCIA_2023_145" w:history="1">
        <w:r w:rsidRPr="00DA359F">
          <w:rPr>
            <w:rStyle w:val="TextoNormalCaracter"/>
          </w:rPr>
          <w:t>145/2023</w:t>
        </w:r>
      </w:hyperlink>
      <w:r>
        <w:t>, f. 4.</w:t>
      </w:r>
    </w:p>
    <w:p w14:paraId="02158783" w14:textId="15B2A4B3" w:rsidR="00DA359F" w:rsidRDefault="00DA359F" w:rsidP="00DA359F">
      <w:pPr>
        <w:pStyle w:val="SangriaFrancesaArticulo"/>
      </w:pPr>
      <w:r w:rsidRPr="00DA359F">
        <w:rPr>
          <w:rStyle w:val="TextoNormalNegritaCaracter"/>
        </w:rPr>
        <w:t>Artículo 1.</w:t>
      </w:r>
      <w:r w:rsidRPr="00DA359F">
        <w:rPr>
          <w:rStyle w:val="TextoNormalCaracter"/>
        </w:rPr>
        <w:t>-</w:t>
      </w:r>
      <w:r>
        <w:t xml:space="preserve"> Sentencia </w:t>
      </w:r>
      <w:hyperlink w:anchor="SENTENCIA_2023_145" w:history="1">
        <w:r w:rsidRPr="00DA359F">
          <w:rPr>
            <w:rStyle w:val="TextoNormalCaracter"/>
          </w:rPr>
          <w:t>145/2023</w:t>
        </w:r>
      </w:hyperlink>
      <w:r>
        <w:t>, ff. 1, 2.</w:t>
      </w:r>
    </w:p>
    <w:p w14:paraId="09DE8FA0" w14:textId="7731C185" w:rsidR="00DA359F" w:rsidRDefault="00DA359F" w:rsidP="00DA359F">
      <w:pPr>
        <w:pStyle w:val="SangriaFrancesaArticulo"/>
      </w:pPr>
      <w:r w:rsidRPr="00DA359F">
        <w:rPr>
          <w:rStyle w:val="TextoNormalNegritaCaracter"/>
        </w:rPr>
        <w:t>Artículo 2.</w:t>
      </w:r>
      <w:r w:rsidRPr="00DA359F">
        <w:rPr>
          <w:rStyle w:val="TextoNormalCaracter"/>
        </w:rPr>
        <w:t>-</w:t>
      </w:r>
      <w:r>
        <w:t xml:space="preserve"> Sentencia </w:t>
      </w:r>
      <w:hyperlink w:anchor="SENTENCIA_2023_145" w:history="1">
        <w:r w:rsidRPr="00DA359F">
          <w:rPr>
            <w:rStyle w:val="TextoNormalCaracter"/>
          </w:rPr>
          <w:t>145/2023</w:t>
        </w:r>
      </w:hyperlink>
      <w:r>
        <w:t>, ff. 1, 2, 9.</w:t>
      </w:r>
    </w:p>
    <w:p w14:paraId="11BB1E59" w14:textId="4C3186D5" w:rsidR="00DA359F" w:rsidRDefault="00DA359F" w:rsidP="00DA359F">
      <w:pPr>
        <w:pStyle w:val="SangriaFrancesaArticulo"/>
      </w:pPr>
      <w:r w:rsidRPr="00DA359F">
        <w:rPr>
          <w:rStyle w:val="TextoNormalNegritaCaracter"/>
        </w:rPr>
        <w:t>Artículo 2.1.</w:t>
      </w:r>
      <w:r w:rsidRPr="00DA359F">
        <w:rPr>
          <w:rStyle w:val="TextoNormalCaracter"/>
        </w:rPr>
        <w:t>-</w:t>
      </w:r>
      <w:r>
        <w:t xml:space="preserve"> Sentencia </w:t>
      </w:r>
      <w:hyperlink w:anchor="SENTENCIA_2023_145" w:history="1">
        <w:r w:rsidRPr="00DA359F">
          <w:rPr>
            <w:rStyle w:val="TextoNormalCaracter"/>
          </w:rPr>
          <w:t>145/2023</w:t>
        </w:r>
      </w:hyperlink>
      <w:r>
        <w:t>, f. 2.</w:t>
      </w:r>
    </w:p>
    <w:p w14:paraId="422E90CD" w14:textId="193CB118" w:rsidR="00DA359F" w:rsidRDefault="00DA359F" w:rsidP="00DA359F">
      <w:pPr>
        <w:pStyle w:val="SangriaFrancesaArticulo"/>
      </w:pPr>
      <w:r w:rsidRPr="00DA359F">
        <w:rPr>
          <w:rStyle w:val="TextoNormalNegritaCaracter"/>
        </w:rPr>
        <w:t>Artículo 2.2.</w:t>
      </w:r>
      <w:r w:rsidRPr="00DA359F">
        <w:rPr>
          <w:rStyle w:val="TextoNormalCaracter"/>
        </w:rPr>
        <w:t>-</w:t>
      </w:r>
      <w:r>
        <w:t xml:space="preserve"> Sentencia </w:t>
      </w:r>
      <w:hyperlink w:anchor="SENTENCIA_2023_145" w:history="1">
        <w:r w:rsidRPr="00DA359F">
          <w:rPr>
            <w:rStyle w:val="TextoNormalCaracter"/>
          </w:rPr>
          <w:t>145/2023</w:t>
        </w:r>
      </w:hyperlink>
      <w:r>
        <w:t>, f. 2.</w:t>
      </w:r>
    </w:p>
    <w:p w14:paraId="7E750558" w14:textId="6A5B0DD5" w:rsidR="00DA359F" w:rsidRDefault="00DA359F" w:rsidP="00DA359F">
      <w:pPr>
        <w:pStyle w:val="SangriaFrancesaArticulo"/>
      </w:pPr>
    </w:p>
    <w:p w14:paraId="6B8C6527" w14:textId="77777777" w:rsidR="00DA359F" w:rsidRDefault="00DA359F" w:rsidP="00DA359F">
      <w:pPr>
        <w:pStyle w:val="TextoNormalNegritaCursivandice"/>
        <w:keepNext/>
      </w:pPr>
      <w:r>
        <w:t>Real Decreto-ley 26/2021, de 8 de noviembre, por el que se adapta el texto refundido de la Ley reguladora de las haciendas locales, aprobado por el Real Decreto Legislativo 2/2004, de 5 de marzo, a la reciente jurisprudencia del Tribunal Constitucional respecto del impuesto sobre el incremento de valor de los terrenos de naturaleza urbana</w:t>
      </w:r>
    </w:p>
    <w:p w14:paraId="1F62E6C6" w14:textId="03950D7F" w:rsidR="00DA359F" w:rsidRDefault="00DA359F" w:rsidP="00DA359F">
      <w:pPr>
        <w:pStyle w:val="SangriaFrancesaArticulo"/>
      </w:pPr>
      <w:r w:rsidRPr="00DA359F">
        <w:rPr>
          <w:rStyle w:val="TextoNormalNegritaCaracter"/>
        </w:rPr>
        <w:t>En general.</w:t>
      </w:r>
      <w:r w:rsidRPr="00DA359F">
        <w:rPr>
          <w:rStyle w:val="TextoNormalCaracter"/>
        </w:rPr>
        <w:t>-</w:t>
      </w:r>
      <w:r>
        <w:t xml:space="preserve"> Auto </w:t>
      </w:r>
      <w:hyperlink w:anchor="AUTO_2023_376" w:history="1">
        <w:r w:rsidRPr="00DA359F">
          <w:rPr>
            <w:rStyle w:val="TextoNormalCaracter"/>
          </w:rPr>
          <w:t>376/2023</w:t>
        </w:r>
      </w:hyperlink>
      <w:r>
        <w:t>, f. 1.</w:t>
      </w:r>
    </w:p>
    <w:p w14:paraId="3E64D4BB" w14:textId="4AA89314" w:rsidR="00DA359F" w:rsidRDefault="00DA359F" w:rsidP="00DA359F">
      <w:pPr>
        <w:pStyle w:val="SangriaFrancesaArticulo"/>
      </w:pPr>
      <w:r w:rsidRPr="00DA359F">
        <w:rPr>
          <w:rStyle w:val="TextoNormalNegritaCaracter"/>
        </w:rPr>
        <w:t>Artículo único.</w:t>
      </w:r>
      <w:r w:rsidRPr="00DA359F">
        <w:rPr>
          <w:rStyle w:val="TextoNormalCaracter"/>
        </w:rPr>
        <w:t>-</w:t>
      </w:r>
      <w:r>
        <w:t xml:space="preserve"> Auto </w:t>
      </w:r>
      <w:hyperlink w:anchor="AUTO_2023_667" w:history="1">
        <w:r w:rsidRPr="00DA359F">
          <w:rPr>
            <w:rStyle w:val="TextoNormalCaracter"/>
          </w:rPr>
          <w:t>667/2023</w:t>
        </w:r>
      </w:hyperlink>
      <w:r>
        <w:t>, ff. 1, 2.</w:t>
      </w:r>
    </w:p>
    <w:p w14:paraId="3610DF1C" w14:textId="404BFE3A" w:rsidR="00DA359F" w:rsidRDefault="00DA359F" w:rsidP="00DA359F">
      <w:pPr>
        <w:pStyle w:val="TextoNormal"/>
      </w:pPr>
    </w:p>
    <w:p w14:paraId="097822A8" w14:textId="77777777" w:rsidR="00DA359F" w:rsidRDefault="00DA359F" w:rsidP="00DA359F">
      <w:pPr>
        <w:pStyle w:val="SangriaFrancesaArticulo"/>
      </w:pPr>
      <w:bookmarkStart w:id="487" w:name="INDICE22849"/>
    </w:p>
    <w:bookmarkEnd w:id="487"/>
    <w:p w14:paraId="6755BFB2" w14:textId="77777777" w:rsidR="00DA359F" w:rsidRDefault="00DA359F" w:rsidP="00DA359F">
      <w:pPr>
        <w:pStyle w:val="TextoIndiceNivel2"/>
        <w:suppressAutoHyphens/>
      </w:pPr>
      <w:r>
        <w:t>H) Reales Decretos y otras disposiciones generales del Estado</w:t>
      </w:r>
    </w:p>
    <w:p w14:paraId="4ABDADBE" w14:textId="69BF34B4" w:rsidR="00DA359F" w:rsidRDefault="00DA359F" w:rsidP="00DA359F">
      <w:pPr>
        <w:pStyle w:val="TextoIndiceNivel2"/>
      </w:pPr>
    </w:p>
    <w:p w14:paraId="71E1AE88" w14:textId="77777777" w:rsidR="00DA359F" w:rsidRDefault="00DA359F" w:rsidP="00DA359F">
      <w:pPr>
        <w:pStyle w:val="TextoNormalNegritaCursivandice"/>
        <w:keepNext/>
      </w:pPr>
      <w:r>
        <w:t>Real Decreto 426/1980, de 22 de febrero. Desarrollo de la Ley 30/1979 sobre extracción y trasplante de órganos</w:t>
      </w:r>
    </w:p>
    <w:p w14:paraId="59A12E10" w14:textId="275DBCB9"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94" w:history="1">
        <w:r w:rsidRPr="00DA359F">
          <w:rPr>
            <w:rStyle w:val="TextoNormalCaracter"/>
          </w:rPr>
          <w:t>94/2023</w:t>
        </w:r>
      </w:hyperlink>
      <w:r>
        <w:t>, VP III.</w:t>
      </w:r>
    </w:p>
    <w:p w14:paraId="455A8185" w14:textId="3C27B03F" w:rsidR="00DA359F" w:rsidRDefault="00DA359F" w:rsidP="00DA359F">
      <w:pPr>
        <w:pStyle w:val="SangriaFrancesaArticulo"/>
      </w:pPr>
    </w:p>
    <w:p w14:paraId="4246C68C" w14:textId="77777777" w:rsidR="00DA359F" w:rsidRDefault="00DA359F" w:rsidP="00DA359F">
      <w:pPr>
        <w:pStyle w:val="TextoNormalNegritaCursivandice"/>
        <w:keepNext/>
      </w:pPr>
      <w:r>
        <w:t>Acuerdo 1/1982, de 18 de febrero. Método para el cálculo del coste de los servicios transferidos a las comunidades autónomas, a que se refiere el artículo 3.2 c) de la Ley Orgánica 8/1980, de 22 de septiembre, de financiación de las comunidades autónomas</w:t>
      </w:r>
    </w:p>
    <w:p w14:paraId="75830407" w14:textId="499945AA"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149" w:history="1">
        <w:r w:rsidRPr="00DA359F">
          <w:rPr>
            <w:rStyle w:val="TextoNormalCaracter"/>
          </w:rPr>
          <w:t>149/2023</w:t>
        </w:r>
      </w:hyperlink>
      <w:r>
        <w:t>, VP.</w:t>
      </w:r>
    </w:p>
    <w:p w14:paraId="7D281B89" w14:textId="06B554CE" w:rsidR="00DA359F" w:rsidRDefault="00DA359F" w:rsidP="00DA359F">
      <w:pPr>
        <w:pStyle w:val="SangriaFrancesaArticulo"/>
      </w:pPr>
    </w:p>
    <w:p w14:paraId="7B6F0CB3" w14:textId="77777777" w:rsidR="00DA359F" w:rsidRDefault="00DA359F" w:rsidP="00DA359F">
      <w:pPr>
        <w:pStyle w:val="TextoNormalNegritaCursivandice"/>
        <w:keepNext/>
      </w:pPr>
      <w:r>
        <w:t>Real Decreto 1136/1984, de 29 de febrero, sobre valoración definitiva y ampliación de funciones y medios adscritos a los servicios traspasados y adaptación de los transferidos en fase preautonómica a la Comunidad Autónoma de Extremadura en materia de industria, energía y minas</w:t>
      </w:r>
    </w:p>
    <w:p w14:paraId="745384AF" w14:textId="5DC12F23"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127" w:history="1">
        <w:r w:rsidRPr="00DA359F">
          <w:rPr>
            <w:rStyle w:val="TextoNormalCaracter"/>
          </w:rPr>
          <w:t>127/2023</w:t>
        </w:r>
      </w:hyperlink>
      <w:r>
        <w:t>, f. 3.</w:t>
      </w:r>
    </w:p>
    <w:p w14:paraId="3D6CEADA" w14:textId="167A7E7F" w:rsidR="00DA359F" w:rsidRDefault="00DA359F" w:rsidP="00DA359F">
      <w:pPr>
        <w:pStyle w:val="SangriaFrancesaArticulo"/>
      </w:pPr>
    </w:p>
    <w:p w14:paraId="60C420FF" w14:textId="77777777" w:rsidR="00DA359F" w:rsidRDefault="00DA359F" w:rsidP="00DA359F">
      <w:pPr>
        <w:pStyle w:val="TextoNormalNegritaCursivandice"/>
        <w:keepNext/>
      </w:pPr>
      <w:r>
        <w:t>Real Decreto 2568/1986, de 28 de noviembre, por el que se aprueba el Reglamento de organización, funcionamiento y régimen jurídico de las entidades locales</w:t>
      </w:r>
    </w:p>
    <w:p w14:paraId="60162415" w14:textId="6565D361"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85" w:history="1">
        <w:r w:rsidRPr="00DA359F">
          <w:rPr>
            <w:rStyle w:val="TextoNormalCaracter"/>
          </w:rPr>
          <w:t>85/2023</w:t>
        </w:r>
      </w:hyperlink>
      <w:r>
        <w:t>, f. 1, VP.</w:t>
      </w:r>
    </w:p>
    <w:p w14:paraId="1EDB9FD6" w14:textId="36060F8D" w:rsidR="00DA359F" w:rsidRDefault="00DA359F" w:rsidP="00DA359F">
      <w:pPr>
        <w:pStyle w:val="SangriaFrancesaArticulo"/>
      </w:pPr>
      <w:r w:rsidRPr="00DA359F">
        <w:rPr>
          <w:rStyle w:val="TextoNormalNegritaCaracter"/>
        </w:rPr>
        <w:t>Artículo 86.</w:t>
      </w:r>
      <w:r w:rsidRPr="00DA359F">
        <w:rPr>
          <w:rStyle w:val="TextoNormalCaracter"/>
        </w:rPr>
        <w:t>-</w:t>
      </w:r>
      <w:r>
        <w:t xml:space="preserve"> Sentencia </w:t>
      </w:r>
      <w:hyperlink w:anchor="SENTENCIA_2023_85" w:history="1">
        <w:r w:rsidRPr="00DA359F">
          <w:rPr>
            <w:rStyle w:val="TextoNormalCaracter"/>
          </w:rPr>
          <w:t>85/2023</w:t>
        </w:r>
      </w:hyperlink>
      <w:r>
        <w:t>, VP.</w:t>
      </w:r>
    </w:p>
    <w:p w14:paraId="5C5E900D" w14:textId="023380AD" w:rsidR="00DA359F" w:rsidRDefault="00DA359F" w:rsidP="00DA359F">
      <w:pPr>
        <w:pStyle w:val="SangriaFrancesaArticulo"/>
      </w:pPr>
      <w:r w:rsidRPr="00DA359F">
        <w:rPr>
          <w:rStyle w:val="TextoNormalNegritaCaracter"/>
        </w:rPr>
        <w:t>Artículo 110.</w:t>
      </w:r>
      <w:r w:rsidRPr="00DA359F">
        <w:rPr>
          <w:rStyle w:val="TextoNormalCaracter"/>
        </w:rPr>
        <w:t>-</w:t>
      </w:r>
      <w:r>
        <w:t xml:space="preserve"> Sentencia </w:t>
      </w:r>
      <w:hyperlink w:anchor="SENTENCIA_2023_85" w:history="1">
        <w:r w:rsidRPr="00DA359F">
          <w:rPr>
            <w:rStyle w:val="TextoNormalCaracter"/>
          </w:rPr>
          <w:t>85/2023</w:t>
        </w:r>
      </w:hyperlink>
      <w:r>
        <w:t>, VP.</w:t>
      </w:r>
    </w:p>
    <w:p w14:paraId="149E2316" w14:textId="11B4B3B3" w:rsidR="00DA359F" w:rsidRDefault="00DA359F" w:rsidP="00DA359F">
      <w:pPr>
        <w:pStyle w:val="SangriaFrancesaArticulo"/>
      </w:pPr>
    </w:p>
    <w:p w14:paraId="2ABB742B" w14:textId="77777777" w:rsidR="00DA359F" w:rsidRDefault="00DA359F" w:rsidP="00DA359F">
      <w:pPr>
        <w:pStyle w:val="TextoNormalNegritaCursivandice"/>
        <w:keepNext/>
      </w:pPr>
      <w:r>
        <w:t>Acuerdo 1/1992, del Consejo de Política Fiscal y Financiera de las Comunidades Autónomas, de 20 de enero. Sistema de financiación autonómica en el período 1992-1996</w:t>
      </w:r>
    </w:p>
    <w:p w14:paraId="5B86C03D" w14:textId="65730880"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149" w:history="1">
        <w:r w:rsidRPr="00DA359F">
          <w:rPr>
            <w:rStyle w:val="TextoNormalCaracter"/>
          </w:rPr>
          <w:t>149/2023</w:t>
        </w:r>
      </w:hyperlink>
      <w:r>
        <w:t>, VP.</w:t>
      </w:r>
    </w:p>
    <w:p w14:paraId="472F8BED" w14:textId="0617D659" w:rsidR="00DA359F" w:rsidRDefault="00DA359F" w:rsidP="00DA359F">
      <w:pPr>
        <w:pStyle w:val="SangriaFrancesaArticulo"/>
      </w:pPr>
    </w:p>
    <w:p w14:paraId="4A791EB8" w14:textId="77777777" w:rsidR="00DA359F" w:rsidRDefault="00DA359F" w:rsidP="00DA359F">
      <w:pPr>
        <w:pStyle w:val="TextoNormalNegritaCursivandice"/>
        <w:keepNext/>
      </w:pPr>
      <w:r>
        <w:t>Real Decreto 1398/1993, de 4 de agosto. Reglamento del procedimiento para el ejercicio de la potestad sancionadora</w:t>
      </w:r>
    </w:p>
    <w:p w14:paraId="27F83B29" w14:textId="536FB423" w:rsidR="00DA359F" w:rsidRDefault="00DA359F" w:rsidP="00DA359F">
      <w:pPr>
        <w:pStyle w:val="SangriaFrancesaArticulo"/>
      </w:pPr>
      <w:r w:rsidRPr="00DA359F">
        <w:rPr>
          <w:rStyle w:val="TextoNormalNegritaCaracter"/>
        </w:rPr>
        <w:t>Artículo 18.</w:t>
      </w:r>
      <w:r w:rsidRPr="00DA359F">
        <w:rPr>
          <w:rStyle w:val="TextoNormalCaracter"/>
        </w:rPr>
        <w:t>-</w:t>
      </w:r>
      <w:r>
        <w:t xml:space="preserve"> Sentencia </w:t>
      </w:r>
      <w:hyperlink w:anchor="SENTENCIA_2023_150" w:history="1">
        <w:r w:rsidRPr="00DA359F">
          <w:rPr>
            <w:rStyle w:val="TextoNormalCaracter"/>
          </w:rPr>
          <w:t>150/2023</w:t>
        </w:r>
      </w:hyperlink>
      <w:r>
        <w:t>, f. 2.</w:t>
      </w:r>
    </w:p>
    <w:p w14:paraId="3FAC8EC8" w14:textId="59EE59CF" w:rsidR="00DA359F" w:rsidRDefault="00DA359F" w:rsidP="00DA359F">
      <w:pPr>
        <w:pStyle w:val="SangriaFrancesaArticulo"/>
      </w:pPr>
    </w:p>
    <w:p w14:paraId="4D08F1CF" w14:textId="77777777" w:rsidR="00DA359F" w:rsidRDefault="00DA359F" w:rsidP="00DA359F">
      <w:pPr>
        <w:pStyle w:val="TextoNormalNegritaCursivandice"/>
        <w:keepNext/>
      </w:pPr>
      <w:r>
        <w:t>Acuerdo 1/1993, del Consejo de Política Fiscal y Financiera de las Comunidades Autónomas, de 7 de octubre. Desarrollo del sistema de financiación de las Comunidades Autónomas del quinquenio 1992-1996</w:t>
      </w:r>
    </w:p>
    <w:p w14:paraId="7301BD6F" w14:textId="0AD26558"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149" w:history="1">
        <w:r w:rsidRPr="00DA359F">
          <w:rPr>
            <w:rStyle w:val="TextoNormalCaracter"/>
          </w:rPr>
          <w:t>149/2023</w:t>
        </w:r>
      </w:hyperlink>
      <w:r>
        <w:t>, VP.</w:t>
      </w:r>
    </w:p>
    <w:p w14:paraId="6340FF56" w14:textId="4F906F11" w:rsidR="00DA359F" w:rsidRDefault="00DA359F" w:rsidP="00DA359F">
      <w:pPr>
        <w:pStyle w:val="SangriaFrancesaArticulo"/>
      </w:pPr>
    </w:p>
    <w:p w14:paraId="1499D0FE" w14:textId="77777777" w:rsidR="00DA359F" w:rsidRDefault="00DA359F" w:rsidP="00DA359F">
      <w:pPr>
        <w:pStyle w:val="TextoNormalNegritaCursivandice"/>
        <w:keepNext/>
      </w:pPr>
      <w:r>
        <w:t>Acuerdo 1/1996, del Consejo de Política Fiscal y Financiera de las Comunidades Autónomas, de 23 de septiembre. Sistema de financiación de las Comunidades Autónomas para el quinquenio 1997-2001</w:t>
      </w:r>
    </w:p>
    <w:p w14:paraId="703513EA" w14:textId="5FFCE733"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149" w:history="1">
        <w:r w:rsidRPr="00DA359F">
          <w:rPr>
            <w:rStyle w:val="TextoNormalCaracter"/>
          </w:rPr>
          <w:t>149/2023</w:t>
        </w:r>
      </w:hyperlink>
      <w:r>
        <w:t>, VP.</w:t>
      </w:r>
    </w:p>
    <w:p w14:paraId="721170B6" w14:textId="221DE709" w:rsidR="00DA359F" w:rsidRDefault="00DA359F" w:rsidP="00DA359F">
      <w:pPr>
        <w:pStyle w:val="SangriaFrancesaArticulo"/>
      </w:pPr>
    </w:p>
    <w:p w14:paraId="6EC302FB" w14:textId="77777777" w:rsidR="00DA359F" w:rsidRDefault="00DA359F" w:rsidP="00DA359F">
      <w:pPr>
        <w:pStyle w:val="TextoNormalNegritaCursivandice"/>
        <w:keepNext/>
      </w:pPr>
      <w:r>
        <w:t>Real Decreto 1287/1999, de 23 de julio. Aprueba el plan técnico nacional de la difusión sonora digital terrenal</w:t>
      </w:r>
    </w:p>
    <w:p w14:paraId="44CEB25A" w14:textId="7394EDD7"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89" w:history="1">
        <w:r w:rsidRPr="00DA359F">
          <w:rPr>
            <w:rStyle w:val="TextoNormalCaracter"/>
          </w:rPr>
          <w:t>89/2023</w:t>
        </w:r>
      </w:hyperlink>
      <w:r>
        <w:t>, f. 4.</w:t>
      </w:r>
    </w:p>
    <w:p w14:paraId="69D6EB94" w14:textId="75186B06" w:rsidR="00DA359F" w:rsidRDefault="00DA359F" w:rsidP="00DA359F">
      <w:pPr>
        <w:pStyle w:val="SangriaFrancesaArticulo"/>
      </w:pPr>
    </w:p>
    <w:p w14:paraId="5A303A52" w14:textId="77777777" w:rsidR="00DA359F" w:rsidRDefault="00DA359F" w:rsidP="00DA359F">
      <w:pPr>
        <w:pStyle w:val="TextoNormalNegritaCursivandice"/>
        <w:keepNext/>
      </w:pPr>
      <w:r>
        <w:t>Acuerdo 2/2001 del Consejo de Política Fiscal y Financiera de las Comunidades Autónomas, de 27 de julio. Sistema de financiación de las comunidades autónomas de régimen común</w:t>
      </w:r>
    </w:p>
    <w:p w14:paraId="7FC44468" w14:textId="290B28F5"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149" w:history="1">
        <w:r w:rsidRPr="00DA359F">
          <w:rPr>
            <w:rStyle w:val="TextoNormalCaracter"/>
          </w:rPr>
          <w:t>149/2023</w:t>
        </w:r>
      </w:hyperlink>
      <w:r>
        <w:t>, VP.</w:t>
      </w:r>
    </w:p>
    <w:p w14:paraId="5F6A502F" w14:textId="0C9308C6" w:rsidR="00DA359F" w:rsidRDefault="00DA359F" w:rsidP="00DA359F">
      <w:pPr>
        <w:pStyle w:val="SangriaFrancesaArticulo"/>
      </w:pPr>
    </w:p>
    <w:p w14:paraId="16904EBA" w14:textId="77777777" w:rsidR="00DA359F" w:rsidRDefault="00DA359F" w:rsidP="00DA359F">
      <w:pPr>
        <w:pStyle w:val="TextoNormalNegritaCursivandice"/>
        <w:keepNext/>
      </w:pPr>
      <w:r>
        <w:t>Orden del Ministerio de Ciencia y Tecnología, de 15 de octubre de 2001. Aprueba la planificación de bloques de frecuencias destinados a la radio digital de ámbito local, en régimen de gestión indirecta, correspondiente al plan técnico nacional de la radiodifusión sonora digital terrenal</w:t>
      </w:r>
    </w:p>
    <w:p w14:paraId="10A497E6" w14:textId="2B385721" w:rsidR="00DA359F" w:rsidRDefault="00DA359F" w:rsidP="00DA359F">
      <w:pPr>
        <w:pStyle w:val="SangriaFrancesaArticulo"/>
      </w:pPr>
      <w:r w:rsidRPr="00DA359F">
        <w:rPr>
          <w:rStyle w:val="TextoNormalNegritaCaracter"/>
        </w:rPr>
        <w:t>Anexo.</w:t>
      </w:r>
      <w:r w:rsidRPr="00DA359F">
        <w:rPr>
          <w:rStyle w:val="TextoNormalCaracter"/>
        </w:rPr>
        <w:t>-</w:t>
      </w:r>
      <w:r>
        <w:t xml:space="preserve"> Sentencia </w:t>
      </w:r>
      <w:hyperlink w:anchor="SENTENCIA_2023_89" w:history="1">
        <w:r w:rsidRPr="00DA359F">
          <w:rPr>
            <w:rStyle w:val="TextoNormalCaracter"/>
          </w:rPr>
          <w:t>89/2023</w:t>
        </w:r>
      </w:hyperlink>
      <w:r>
        <w:t>, f. 4.</w:t>
      </w:r>
    </w:p>
    <w:p w14:paraId="74FF3ACF" w14:textId="7E80074A" w:rsidR="00DA359F" w:rsidRDefault="00DA359F" w:rsidP="00DA359F">
      <w:pPr>
        <w:pStyle w:val="SangriaFrancesaArticulo"/>
      </w:pPr>
    </w:p>
    <w:p w14:paraId="43FBA15F" w14:textId="77777777" w:rsidR="00DA359F" w:rsidRDefault="00DA359F" w:rsidP="00DA359F">
      <w:pPr>
        <w:pStyle w:val="TextoNormalNegritaCursivandice"/>
        <w:keepNext/>
      </w:pPr>
      <w:r>
        <w:t>Real Decreto 1428/2003, de 21 de noviembre, por el que se aprueba el Reglamento general de circulación para la aplicación y desarrollo del texto articulado de la Ley sobre tráfico, circulación de vehículos a motor y seguridad vial, aprobado por el Real Decreto Legislativo 339/1990, de 2 de marzo</w:t>
      </w:r>
    </w:p>
    <w:p w14:paraId="0B6F1416" w14:textId="0212CA2B"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90" w:history="1">
        <w:r w:rsidRPr="00DA359F">
          <w:rPr>
            <w:rStyle w:val="TextoNormalCaracter"/>
          </w:rPr>
          <w:t>90/2023</w:t>
        </w:r>
      </w:hyperlink>
      <w:r>
        <w:t>, f. 6.</w:t>
      </w:r>
    </w:p>
    <w:p w14:paraId="32A14178" w14:textId="25AABCB3" w:rsidR="00DA359F" w:rsidRDefault="00DA359F" w:rsidP="00DA359F">
      <w:pPr>
        <w:pStyle w:val="SangriaFrancesaArticulo"/>
      </w:pPr>
      <w:r w:rsidRPr="00DA359F">
        <w:rPr>
          <w:rStyle w:val="TextoNormalNegritaCaracter"/>
        </w:rPr>
        <w:t>Artículo 166.</w:t>
      </w:r>
      <w:r w:rsidRPr="00DA359F">
        <w:rPr>
          <w:rStyle w:val="TextoNormalCaracter"/>
        </w:rPr>
        <w:t>-</w:t>
      </w:r>
      <w:r>
        <w:t xml:space="preserve"> Sentencia </w:t>
      </w:r>
      <w:hyperlink w:anchor="SENTENCIA_2023_90" w:history="1">
        <w:r w:rsidRPr="00DA359F">
          <w:rPr>
            <w:rStyle w:val="TextoNormalCaracter"/>
          </w:rPr>
          <w:t>90/2023</w:t>
        </w:r>
      </w:hyperlink>
      <w:r>
        <w:t>, f. 6.</w:t>
      </w:r>
    </w:p>
    <w:p w14:paraId="4C1B42FA" w14:textId="28ECEFEB" w:rsidR="00DA359F" w:rsidRDefault="00DA359F" w:rsidP="00DA359F">
      <w:pPr>
        <w:pStyle w:val="SangriaFrancesaArticulo"/>
      </w:pPr>
      <w:r w:rsidRPr="00DA359F">
        <w:rPr>
          <w:rStyle w:val="TextoNormalNegritaCaracter"/>
        </w:rPr>
        <w:t>Artículo 177.</w:t>
      </w:r>
      <w:r w:rsidRPr="00DA359F">
        <w:rPr>
          <w:rStyle w:val="TextoNormalCaracter"/>
        </w:rPr>
        <w:t>-</w:t>
      </w:r>
      <w:r>
        <w:t xml:space="preserve"> Sentencia </w:t>
      </w:r>
      <w:hyperlink w:anchor="SENTENCIA_2023_90" w:history="1">
        <w:r w:rsidRPr="00DA359F">
          <w:rPr>
            <w:rStyle w:val="TextoNormalCaracter"/>
          </w:rPr>
          <w:t>90/2023</w:t>
        </w:r>
      </w:hyperlink>
      <w:r>
        <w:t>, f. 6.</w:t>
      </w:r>
    </w:p>
    <w:p w14:paraId="3B44C482" w14:textId="583388FD" w:rsidR="00DA359F" w:rsidRDefault="00DA359F" w:rsidP="00DA359F">
      <w:pPr>
        <w:pStyle w:val="SangriaFrancesaArticulo"/>
      </w:pPr>
    </w:p>
    <w:p w14:paraId="5C3456A8" w14:textId="77777777" w:rsidR="00DA359F" w:rsidRDefault="00DA359F" w:rsidP="00DA359F">
      <w:pPr>
        <w:pStyle w:val="TextoNormalNegritaCursivandice"/>
        <w:keepNext/>
      </w:pPr>
      <w:r>
        <w:t>Acuerdo 6/2009 del Consejo de Política Fiscal y Financiera, de 15 de julio. Reforma el sistema de financiación de las Comunidades Autónomas de régimen común y ciudades con estatuto de autonomía</w:t>
      </w:r>
    </w:p>
    <w:p w14:paraId="48203B04" w14:textId="225FA9C1"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149" w:history="1">
        <w:r w:rsidRPr="00DA359F">
          <w:rPr>
            <w:rStyle w:val="TextoNormalCaracter"/>
          </w:rPr>
          <w:t>149/2023</w:t>
        </w:r>
      </w:hyperlink>
      <w:r>
        <w:t>, VP.</w:t>
      </w:r>
    </w:p>
    <w:p w14:paraId="52F5E876" w14:textId="3EE3E6F6" w:rsidR="00DA359F" w:rsidRDefault="00DA359F" w:rsidP="00DA359F">
      <w:pPr>
        <w:pStyle w:val="SangriaFrancesaArticulo"/>
      </w:pPr>
    </w:p>
    <w:p w14:paraId="6A5DCF07" w14:textId="77777777" w:rsidR="00DA359F" w:rsidRDefault="00DA359F" w:rsidP="00DA359F">
      <w:pPr>
        <w:pStyle w:val="TextoNormalNegritaCursivandice"/>
        <w:keepNext/>
      </w:pPr>
      <w:r>
        <w:t>Real Decreto 557/2011, de 20 de abril, por el que se aprueba el Reglamento de la Ley Orgánica 4/2000, sobre derechos y libertades de los extranjeros en España y su integración social, tras su reforma por Ley Orgánica 2/2009</w:t>
      </w:r>
    </w:p>
    <w:p w14:paraId="1F04213F" w14:textId="7454324B" w:rsidR="00DA359F" w:rsidRDefault="00DA359F" w:rsidP="00DA359F">
      <w:pPr>
        <w:pStyle w:val="SangriaFrancesaArticulo"/>
      </w:pPr>
      <w:r w:rsidRPr="00DA359F">
        <w:rPr>
          <w:rStyle w:val="TextoNormalNegritaCaracter"/>
        </w:rPr>
        <w:t>Artículo 222.</w:t>
      </w:r>
      <w:r w:rsidRPr="00DA359F">
        <w:rPr>
          <w:rStyle w:val="TextoNormalCaracter"/>
        </w:rPr>
        <w:t>-</w:t>
      </w:r>
      <w:r>
        <w:t xml:space="preserve"> Sentencia </w:t>
      </w:r>
      <w:hyperlink w:anchor="SENTENCIA_2023_150" w:history="1">
        <w:r w:rsidRPr="00DA359F">
          <w:rPr>
            <w:rStyle w:val="TextoNormalCaracter"/>
          </w:rPr>
          <w:t>150/2023</w:t>
        </w:r>
      </w:hyperlink>
      <w:r>
        <w:t>, f. 1.</w:t>
      </w:r>
    </w:p>
    <w:p w14:paraId="37EB9D93" w14:textId="6508D5EF" w:rsidR="00DA359F" w:rsidRDefault="00DA359F" w:rsidP="00DA359F">
      <w:pPr>
        <w:pStyle w:val="SangriaFrancesaArticulo"/>
      </w:pPr>
    </w:p>
    <w:p w14:paraId="63EB6C4B" w14:textId="77777777" w:rsidR="00DA359F" w:rsidRDefault="00DA359F" w:rsidP="00DA359F">
      <w:pPr>
        <w:pStyle w:val="TextoNormalNegritaCursivandice"/>
        <w:keepNext/>
      </w:pPr>
      <w:r>
        <w:t>Real Decreto 123/2017, de 24 de febrero, por el que se aprueba el Reglamento sobre el uso del dominio público radioeléctrico</w:t>
      </w:r>
    </w:p>
    <w:p w14:paraId="2C5D2B8C" w14:textId="440D0A94" w:rsidR="00DA359F" w:rsidRDefault="00DA359F" w:rsidP="00DA359F">
      <w:pPr>
        <w:pStyle w:val="SangriaFrancesaArticulo"/>
      </w:pPr>
      <w:r w:rsidRPr="00DA359F">
        <w:rPr>
          <w:rStyle w:val="TextoNormalNegritaCaracter"/>
        </w:rPr>
        <w:t>Artículo 3.</w:t>
      </w:r>
      <w:r w:rsidRPr="00DA359F">
        <w:rPr>
          <w:rStyle w:val="TextoNormalCaracter"/>
        </w:rPr>
        <w:t>-</w:t>
      </w:r>
      <w:r>
        <w:t xml:space="preserve"> Sentencia </w:t>
      </w:r>
      <w:hyperlink w:anchor="SENTENCIA_2023_89" w:history="1">
        <w:r w:rsidRPr="00DA359F">
          <w:rPr>
            <w:rStyle w:val="TextoNormalCaracter"/>
          </w:rPr>
          <w:t>89/2023</w:t>
        </w:r>
      </w:hyperlink>
      <w:r>
        <w:t>, f. 3.</w:t>
      </w:r>
    </w:p>
    <w:p w14:paraId="6422DD1E" w14:textId="28EDE231" w:rsidR="00DA359F" w:rsidRDefault="00DA359F" w:rsidP="00DA359F">
      <w:pPr>
        <w:pStyle w:val="SangriaFrancesaArticulo"/>
      </w:pPr>
      <w:r w:rsidRPr="00DA359F">
        <w:rPr>
          <w:rStyle w:val="TextoNormalNegritaCaracter"/>
        </w:rPr>
        <w:t>Artículo 4.1.</w:t>
      </w:r>
      <w:r w:rsidRPr="00DA359F">
        <w:rPr>
          <w:rStyle w:val="TextoNormalCaracter"/>
        </w:rPr>
        <w:t>-</w:t>
      </w:r>
      <w:r>
        <w:t xml:space="preserve"> Sentencia </w:t>
      </w:r>
      <w:hyperlink w:anchor="SENTENCIA_2023_89" w:history="1">
        <w:r w:rsidRPr="00DA359F">
          <w:rPr>
            <w:rStyle w:val="TextoNormalCaracter"/>
          </w:rPr>
          <w:t>89/2023</w:t>
        </w:r>
      </w:hyperlink>
      <w:r>
        <w:t>, f. 3.</w:t>
      </w:r>
    </w:p>
    <w:p w14:paraId="0A6AF558" w14:textId="10F01279" w:rsidR="00DA359F" w:rsidRDefault="00DA359F" w:rsidP="00DA359F">
      <w:pPr>
        <w:pStyle w:val="SangriaFrancesaArticulo"/>
      </w:pPr>
      <w:r w:rsidRPr="00DA359F">
        <w:rPr>
          <w:rStyle w:val="TextoNormalNegritaCaracter"/>
        </w:rPr>
        <w:t>Artículo 5.1.</w:t>
      </w:r>
      <w:r w:rsidRPr="00DA359F">
        <w:rPr>
          <w:rStyle w:val="TextoNormalCaracter"/>
        </w:rPr>
        <w:t>-</w:t>
      </w:r>
      <w:r>
        <w:t xml:space="preserve"> Sentencia </w:t>
      </w:r>
      <w:hyperlink w:anchor="SENTENCIA_2023_89" w:history="1">
        <w:r w:rsidRPr="00DA359F">
          <w:rPr>
            <w:rStyle w:val="TextoNormalCaracter"/>
          </w:rPr>
          <w:t>89/2023</w:t>
        </w:r>
      </w:hyperlink>
      <w:r>
        <w:t>, f. 3.</w:t>
      </w:r>
    </w:p>
    <w:p w14:paraId="4824C161" w14:textId="41524CB2" w:rsidR="00DA359F" w:rsidRDefault="00DA359F" w:rsidP="00DA359F">
      <w:pPr>
        <w:pStyle w:val="SangriaFrancesaArticulo"/>
      </w:pPr>
      <w:r w:rsidRPr="00DA359F">
        <w:rPr>
          <w:rStyle w:val="TextoNormalNegritaCaracter"/>
        </w:rPr>
        <w:t>Artículo 39.2.</w:t>
      </w:r>
      <w:r w:rsidRPr="00DA359F">
        <w:rPr>
          <w:rStyle w:val="TextoNormalCaracter"/>
        </w:rPr>
        <w:t>-</w:t>
      </w:r>
      <w:r>
        <w:t xml:space="preserve"> Sentencia </w:t>
      </w:r>
      <w:hyperlink w:anchor="SENTENCIA_2023_89" w:history="1">
        <w:r w:rsidRPr="00DA359F">
          <w:rPr>
            <w:rStyle w:val="TextoNormalCaracter"/>
          </w:rPr>
          <w:t>89/2023</w:t>
        </w:r>
      </w:hyperlink>
      <w:r>
        <w:t>, f. 3.</w:t>
      </w:r>
    </w:p>
    <w:p w14:paraId="73AC0539" w14:textId="2CB43044" w:rsidR="00DA359F" w:rsidRDefault="00DA359F" w:rsidP="00DA359F">
      <w:pPr>
        <w:pStyle w:val="SangriaFrancesaArticulo"/>
      </w:pPr>
      <w:r w:rsidRPr="00DA359F">
        <w:rPr>
          <w:rStyle w:val="TextoNormalNegritaCaracter"/>
        </w:rPr>
        <w:t>Artículo 39.7.</w:t>
      </w:r>
      <w:r w:rsidRPr="00DA359F">
        <w:rPr>
          <w:rStyle w:val="TextoNormalCaracter"/>
        </w:rPr>
        <w:t>-</w:t>
      </w:r>
      <w:r>
        <w:t xml:space="preserve"> Sentencia </w:t>
      </w:r>
      <w:hyperlink w:anchor="SENTENCIA_2023_89" w:history="1">
        <w:r w:rsidRPr="00DA359F">
          <w:rPr>
            <w:rStyle w:val="TextoNormalCaracter"/>
          </w:rPr>
          <w:t>89/2023</w:t>
        </w:r>
      </w:hyperlink>
      <w:r>
        <w:t>, f. 3.</w:t>
      </w:r>
    </w:p>
    <w:p w14:paraId="182788DF" w14:textId="3FBA9327" w:rsidR="00DA359F" w:rsidRDefault="00DA359F" w:rsidP="00DA359F">
      <w:pPr>
        <w:pStyle w:val="SangriaFrancesaArticulo"/>
      </w:pPr>
    </w:p>
    <w:p w14:paraId="5E543EB6" w14:textId="77777777" w:rsidR="00DA359F" w:rsidRDefault="00DA359F" w:rsidP="00DA359F">
      <w:pPr>
        <w:pStyle w:val="TextoNormalNegritaCursivandice"/>
        <w:keepNext/>
      </w:pPr>
      <w:r>
        <w:t>Resolución de 28 de abril de 2017, de la delegada del Gobierno en Madrid, en materia de expulsión del territorio nacional</w:t>
      </w:r>
    </w:p>
    <w:p w14:paraId="33EA886E" w14:textId="1A7740DF"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130" w:history="1">
        <w:r w:rsidRPr="00DA359F">
          <w:rPr>
            <w:rStyle w:val="TextoNormalCaracter"/>
          </w:rPr>
          <w:t>130/2023</w:t>
        </w:r>
      </w:hyperlink>
      <w:r>
        <w:t>.</w:t>
      </w:r>
    </w:p>
    <w:p w14:paraId="75378C69" w14:textId="6F1280F7" w:rsidR="00DA359F" w:rsidRDefault="00DA359F" w:rsidP="00DA359F">
      <w:pPr>
        <w:pStyle w:val="SangriaFrancesaArticulo"/>
      </w:pPr>
    </w:p>
    <w:p w14:paraId="7DDC8668" w14:textId="77777777" w:rsidR="00DA359F" w:rsidRDefault="00DA359F" w:rsidP="00DA359F">
      <w:pPr>
        <w:pStyle w:val="TextoNormalNegritaCursivandice"/>
        <w:keepNext/>
      </w:pPr>
      <w:r>
        <w:t>Real Decreto 129/2019, de 4 de marzo, de disolución del Congreso de los Diputados y del Senado y de convocatoria de elecciones</w:t>
      </w:r>
    </w:p>
    <w:p w14:paraId="4D57B90B" w14:textId="5C224FA1"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82" w:history="1">
        <w:r w:rsidRPr="00DA359F">
          <w:rPr>
            <w:rStyle w:val="TextoNormalCaracter"/>
          </w:rPr>
          <w:t>82/2023</w:t>
        </w:r>
      </w:hyperlink>
      <w:r>
        <w:t>, f. 1.</w:t>
      </w:r>
    </w:p>
    <w:p w14:paraId="4F86581E" w14:textId="6FEF608B" w:rsidR="00DA359F" w:rsidRDefault="00DA359F" w:rsidP="00DA359F">
      <w:pPr>
        <w:pStyle w:val="SangriaFrancesaArticulo"/>
      </w:pPr>
    </w:p>
    <w:p w14:paraId="4004B5C1" w14:textId="77777777" w:rsidR="00DA359F" w:rsidRDefault="00DA359F" w:rsidP="00DA359F">
      <w:pPr>
        <w:pStyle w:val="TextoNormalNegritaCursivandice"/>
        <w:keepNext/>
      </w:pPr>
      <w:r>
        <w:t>Circular de la Fiscalía General del Estado 4/2019, de 6 de marzo, sobre utilización de dispositivos técnicos de captación de la imagen, de seguimiento y de localización</w:t>
      </w:r>
    </w:p>
    <w:p w14:paraId="5CDEBE7F" w14:textId="398BE628"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92" w:history="1">
        <w:r w:rsidRPr="00DA359F">
          <w:rPr>
            <w:rStyle w:val="TextoNormalCaracter"/>
          </w:rPr>
          <w:t>92/2023</w:t>
        </w:r>
      </w:hyperlink>
      <w:r>
        <w:t>, f. 8.</w:t>
      </w:r>
    </w:p>
    <w:p w14:paraId="740BFA87" w14:textId="0A96F918" w:rsidR="00DA359F" w:rsidRDefault="00DA359F" w:rsidP="00DA359F">
      <w:pPr>
        <w:pStyle w:val="SangriaFrancesaArticulo"/>
      </w:pPr>
    </w:p>
    <w:p w14:paraId="58A87F30" w14:textId="77777777" w:rsidR="00DA359F" w:rsidRDefault="00DA359F" w:rsidP="00DA359F">
      <w:pPr>
        <w:pStyle w:val="TextoNormalNegritaCursivandice"/>
        <w:keepNext/>
      </w:pPr>
      <w:r>
        <w:t>Real Decreto 391/2019, de 21 de junio. Aprueba el plan técnico nacional de la televisión digital terrestre y se regulan determinados aspectos para la liberación del segundo dividendo digital</w:t>
      </w:r>
    </w:p>
    <w:p w14:paraId="31B56BA9" w14:textId="5944FB55"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89" w:history="1">
        <w:r w:rsidRPr="00DA359F">
          <w:rPr>
            <w:rStyle w:val="TextoNormalCaracter"/>
          </w:rPr>
          <w:t>89/2023</w:t>
        </w:r>
      </w:hyperlink>
      <w:r>
        <w:t>, f. 4.</w:t>
      </w:r>
    </w:p>
    <w:p w14:paraId="2D6989F8" w14:textId="44DEC842" w:rsidR="00DA359F" w:rsidRDefault="00DA359F" w:rsidP="00DA359F">
      <w:pPr>
        <w:pStyle w:val="SangriaFrancesaArticulo"/>
      </w:pPr>
    </w:p>
    <w:p w14:paraId="4ED1E8D5" w14:textId="77777777" w:rsidR="00DA359F" w:rsidRDefault="00DA359F" w:rsidP="00DA359F">
      <w:pPr>
        <w:pStyle w:val="TextoNormalNegritaCursivandice"/>
        <w:keepNext/>
      </w:pPr>
      <w:r>
        <w:t>Real Decreto 463/2020, de 14 de marzo, por el que se declara el estado de alarma para la gestión de la situación de crisis sanitaria ocasionada por el COVID-19</w:t>
      </w:r>
    </w:p>
    <w:p w14:paraId="75AFCEC7" w14:textId="223D9890"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Sentencias </w:t>
      </w:r>
      <w:hyperlink w:anchor="SENTENCIA_2023_84" w:history="1">
        <w:r w:rsidRPr="00DA359F">
          <w:rPr>
            <w:rStyle w:val="TextoNormalCaracter"/>
          </w:rPr>
          <w:t>84/2023</w:t>
        </w:r>
      </w:hyperlink>
      <w:r>
        <w:t xml:space="preserve">, ff. 1, 2, 4, VP; </w:t>
      </w:r>
      <w:hyperlink w:anchor="SENTENCIA_2023_88" w:history="1">
        <w:r w:rsidRPr="00DA359F">
          <w:rPr>
            <w:rStyle w:val="TextoNormalCaracter"/>
          </w:rPr>
          <w:t>88/2023</w:t>
        </w:r>
      </w:hyperlink>
      <w:r>
        <w:t>, ff. 2, 5.</w:t>
      </w:r>
    </w:p>
    <w:p w14:paraId="06F2C1B4" w14:textId="2D1A26F1" w:rsidR="00DA359F" w:rsidRDefault="00DA359F" w:rsidP="00DA359F">
      <w:pPr>
        <w:pStyle w:val="SangriaFrancesaArticulo"/>
      </w:pPr>
      <w:r w:rsidRPr="00DA359F">
        <w:rPr>
          <w:rStyle w:val="TextoNormalNegritaCaracter"/>
        </w:rPr>
        <w:t>Artículo 7.</w:t>
      </w:r>
      <w:r w:rsidRPr="00DA359F">
        <w:rPr>
          <w:rStyle w:val="TextoNormalCaracter"/>
        </w:rPr>
        <w:t>-</w:t>
      </w:r>
      <w:r>
        <w:t xml:space="preserve"> Sentencia </w:t>
      </w:r>
      <w:hyperlink w:anchor="SENTENCIA_2023_84" w:history="1">
        <w:r w:rsidRPr="00DA359F">
          <w:rPr>
            <w:rStyle w:val="TextoNormalCaracter"/>
          </w:rPr>
          <w:t>84/2023</w:t>
        </w:r>
      </w:hyperlink>
      <w:r>
        <w:t>, f. 2.</w:t>
      </w:r>
    </w:p>
    <w:p w14:paraId="53CB16E1" w14:textId="313986BD" w:rsidR="00DA359F" w:rsidRDefault="00DA359F" w:rsidP="00DA359F">
      <w:pPr>
        <w:pStyle w:val="SangriaFrancesaArticulo"/>
      </w:pPr>
    </w:p>
    <w:p w14:paraId="6176749D" w14:textId="77777777" w:rsidR="00DA359F" w:rsidRDefault="00DA359F" w:rsidP="00DA359F">
      <w:pPr>
        <w:pStyle w:val="TextoNormalNegritaCursivandice"/>
        <w:keepNext/>
      </w:pPr>
      <w:r>
        <w:t>Real Decreto 476/2020, de 27 de marzo, por el que se prorroga el estado de alarma declarado por el Real Decreto 463/2020, de 14 de marzo, por el que se declara el estado de alarma para la gestión de la situación de crisis sanitaria ocasionada por el COVID-19</w:t>
      </w:r>
    </w:p>
    <w:p w14:paraId="16F9CE65" w14:textId="76E0A67A"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Sentencias </w:t>
      </w:r>
      <w:hyperlink w:anchor="SENTENCIA_2023_84" w:history="1">
        <w:r w:rsidRPr="00DA359F">
          <w:rPr>
            <w:rStyle w:val="TextoNormalCaracter"/>
          </w:rPr>
          <w:t>84/2023</w:t>
        </w:r>
      </w:hyperlink>
      <w:r>
        <w:t xml:space="preserve">, f. 4; </w:t>
      </w:r>
      <w:hyperlink w:anchor="SENTENCIA_2023_88" w:history="1">
        <w:r w:rsidRPr="00DA359F">
          <w:rPr>
            <w:rStyle w:val="TextoNormalCaracter"/>
          </w:rPr>
          <w:t>88/2023</w:t>
        </w:r>
      </w:hyperlink>
      <w:r>
        <w:t>, f. 5.</w:t>
      </w:r>
    </w:p>
    <w:p w14:paraId="67694795" w14:textId="4CEC0E9F" w:rsidR="00DA359F" w:rsidRDefault="00DA359F" w:rsidP="00DA359F">
      <w:pPr>
        <w:pStyle w:val="SangriaFrancesaArticulo"/>
      </w:pPr>
    </w:p>
    <w:p w14:paraId="7111E341" w14:textId="77777777" w:rsidR="00DA359F" w:rsidRDefault="00DA359F" w:rsidP="00DA359F">
      <w:pPr>
        <w:pStyle w:val="TextoNormalNegritaCursivandice"/>
        <w:keepNext/>
      </w:pPr>
      <w:r>
        <w:t>Real Decreto 487/2020, de 10 de abril, por el que se prorroga el estado de alarma declarado por el Real Decreto 463/2020, de 14 de marzo, por el que se declara el estado de alarma para la gestión de la situación de crisis sanitaria ocasionada por el COVID-19</w:t>
      </w:r>
    </w:p>
    <w:p w14:paraId="31BDD19F" w14:textId="0C05FD69"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Sentencias </w:t>
      </w:r>
      <w:hyperlink w:anchor="SENTENCIA_2023_84" w:history="1">
        <w:r w:rsidRPr="00DA359F">
          <w:rPr>
            <w:rStyle w:val="TextoNormalCaracter"/>
          </w:rPr>
          <w:t>84/2023</w:t>
        </w:r>
      </w:hyperlink>
      <w:r>
        <w:t xml:space="preserve">, f. 4; </w:t>
      </w:r>
      <w:hyperlink w:anchor="SENTENCIA_2023_88" w:history="1">
        <w:r w:rsidRPr="00DA359F">
          <w:rPr>
            <w:rStyle w:val="TextoNormalCaracter"/>
          </w:rPr>
          <w:t>88/2023</w:t>
        </w:r>
      </w:hyperlink>
      <w:r>
        <w:t>, f. 5.</w:t>
      </w:r>
    </w:p>
    <w:p w14:paraId="27B24F32" w14:textId="7E94E90F" w:rsidR="00DA359F" w:rsidRDefault="00DA359F" w:rsidP="00DA359F">
      <w:pPr>
        <w:pStyle w:val="SangriaFrancesaArticulo"/>
      </w:pPr>
    </w:p>
    <w:p w14:paraId="105546C1" w14:textId="77777777" w:rsidR="00DA359F" w:rsidRDefault="00DA359F" w:rsidP="00DA359F">
      <w:pPr>
        <w:pStyle w:val="TextoNormalNegritaCursivandice"/>
        <w:keepNext/>
      </w:pPr>
      <w:r>
        <w:t>Real Decreto 492/2020, de 24 de abril, por el que se prorroga el estado de alarma declarado por el Real Decreto 463/2020, de 14 de marzo, por el que se declara el estado de alarma para la gestión de la situación de crisis sanitaria ocasionada por el COVID-19</w:t>
      </w:r>
    </w:p>
    <w:p w14:paraId="52FF3E0E" w14:textId="4651E39D"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Sentencias </w:t>
      </w:r>
      <w:hyperlink w:anchor="SENTENCIA_2023_84" w:history="1">
        <w:r w:rsidRPr="00DA359F">
          <w:rPr>
            <w:rStyle w:val="TextoNormalCaracter"/>
          </w:rPr>
          <w:t>84/2023</w:t>
        </w:r>
      </w:hyperlink>
      <w:r>
        <w:t xml:space="preserve">, f. 4; </w:t>
      </w:r>
      <w:hyperlink w:anchor="SENTENCIA_2023_88" w:history="1">
        <w:r w:rsidRPr="00DA359F">
          <w:rPr>
            <w:rStyle w:val="TextoNormalCaracter"/>
          </w:rPr>
          <w:t>88/2023</w:t>
        </w:r>
      </w:hyperlink>
      <w:r>
        <w:t>, f. 5.</w:t>
      </w:r>
    </w:p>
    <w:p w14:paraId="29BD3D2C" w14:textId="5BE09D4B" w:rsidR="00DA359F" w:rsidRDefault="00DA359F" w:rsidP="00DA359F">
      <w:pPr>
        <w:pStyle w:val="SangriaFrancesaArticulo"/>
      </w:pPr>
    </w:p>
    <w:p w14:paraId="32CCAC27" w14:textId="77777777" w:rsidR="00DA359F" w:rsidRDefault="00DA359F" w:rsidP="00DA359F">
      <w:pPr>
        <w:pStyle w:val="TextoNormalNegritaCursivandice"/>
        <w:keepNext/>
      </w:pPr>
      <w:r>
        <w:t>Orden del Ministerio de Sanidad SND/422/2020, de 19 de mayo, por la que se regulan las condiciones para el uso obligatorio de mascarilla durante la situación de crisis sanitaria ocasionada por el COVID-19.</w:t>
      </w:r>
    </w:p>
    <w:p w14:paraId="631D9619" w14:textId="23BD8370"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Sentencias </w:t>
      </w:r>
      <w:hyperlink w:anchor="SENTENCIA_2023_84" w:history="1">
        <w:r w:rsidRPr="00DA359F">
          <w:rPr>
            <w:rStyle w:val="TextoNormalCaracter"/>
          </w:rPr>
          <w:t>84/2023</w:t>
        </w:r>
      </w:hyperlink>
      <w:r>
        <w:t xml:space="preserve">, f. 4; </w:t>
      </w:r>
      <w:hyperlink w:anchor="SENTENCIA_2023_88" w:history="1">
        <w:r w:rsidRPr="00DA359F">
          <w:rPr>
            <w:rStyle w:val="TextoNormalCaracter"/>
          </w:rPr>
          <w:t>88/2023</w:t>
        </w:r>
      </w:hyperlink>
      <w:r>
        <w:t>, f. 5.</w:t>
      </w:r>
    </w:p>
    <w:p w14:paraId="0932118F" w14:textId="60D84009" w:rsidR="00DA359F" w:rsidRDefault="00DA359F" w:rsidP="00DA359F">
      <w:pPr>
        <w:pStyle w:val="SangriaFrancesaArticulo"/>
      </w:pPr>
    </w:p>
    <w:p w14:paraId="6CF1ECE3" w14:textId="77777777" w:rsidR="00DA359F" w:rsidRDefault="00DA359F" w:rsidP="00DA359F">
      <w:pPr>
        <w:pStyle w:val="TextoNormalNegritaCursivandice"/>
        <w:keepNext/>
      </w:pPr>
      <w:r>
        <w:t>Acuerdos del Consejo de Ministros de 24 de mayo de 2019 y de 29 de septiembre de 2020, sobre imposición de sanción en materia de blanqueo de capitales</w:t>
      </w:r>
    </w:p>
    <w:p w14:paraId="668834AA" w14:textId="3CAE24DB" w:rsidR="00DA359F" w:rsidRDefault="00DA359F" w:rsidP="00DA359F">
      <w:pPr>
        <w:pStyle w:val="SangriaFrancesaArticulo"/>
      </w:pPr>
      <w:r w:rsidRPr="00DA359F">
        <w:rPr>
          <w:rStyle w:val="TextoNormalNegritaCaracter"/>
        </w:rPr>
        <w:t>Ac</w:t>
      </w:r>
      <w:r w:rsidR="007309D3">
        <w:rPr>
          <w:rStyle w:val="TextoNormalNegritaCaracter"/>
        </w:rPr>
        <w:fldChar w:fldCharType="begin"/>
      </w:r>
      <w:r w:rsidR="007309D3">
        <w:rPr>
          <w:rStyle w:val="TextoNormalNegritaCaracter"/>
        </w:rPr>
        <w:instrText xml:space="preserve"> PAGEREF SUMARIOSINDICES \h </w:instrText>
      </w:r>
      <w:r w:rsidR="007309D3">
        <w:rPr>
          <w:rStyle w:val="TextoNormalNegritaCaracter"/>
        </w:rPr>
      </w:r>
      <w:r w:rsidR="007309D3">
        <w:rPr>
          <w:rStyle w:val="TextoNormalNegritaCaracter"/>
        </w:rPr>
        <w:fldChar w:fldCharType="separate"/>
      </w:r>
      <w:r w:rsidR="00C73693">
        <w:rPr>
          <w:rStyle w:val="TextoNormalNegritaCaracter"/>
          <w:noProof/>
        </w:rPr>
        <w:t>2</w:t>
      </w:r>
      <w:r w:rsidR="007309D3">
        <w:rPr>
          <w:rStyle w:val="TextoNormalNegritaCaracter"/>
        </w:rPr>
        <w:fldChar w:fldCharType="end"/>
      </w:r>
      <w:r w:rsidRPr="00DA359F">
        <w:rPr>
          <w:rStyle w:val="TextoNormalNegritaCaracter"/>
        </w:rPr>
        <w:t>uerdo.</w:t>
      </w:r>
      <w:r w:rsidRPr="00DA359F">
        <w:rPr>
          <w:rStyle w:val="TextoNormalCaracter"/>
        </w:rPr>
        <w:t>-</w:t>
      </w:r>
      <w:r>
        <w:t xml:space="preserve"> Sentencia </w:t>
      </w:r>
      <w:hyperlink w:anchor="SENTENCIA_2023_179" w:history="1">
        <w:r w:rsidRPr="00DA359F">
          <w:rPr>
            <w:rStyle w:val="TextoNormalCaracter"/>
          </w:rPr>
          <w:t>179/2023</w:t>
        </w:r>
      </w:hyperlink>
      <w:r>
        <w:t>.</w:t>
      </w:r>
    </w:p>
    <w:p w14:paraId="06A2A88A" w14:textId="53188FB1" w:rsidR="00DA359F" w:rsidRDefault="00DA359F" w:rsidP="00DA359F">
      <w:pPr>
        <w:pStyle w:val="SangriaFrancesaArticulo"/>
      </w:pPr>
      <w:r w:rsidRPr="00DA359F">
        <w:rPr>
          <w:rStyle w:val="TextoNormalNegritaCaracter"/>
        </w:rPr>
        <w:t>Acuerdos gubernativos.</w:t>
      </w:r>
      <w:r w:rsidRPr="00DA359F">
        <w:rPr>
          <w:rStyle w:val="TextoNormalCaracter"/>
        </w:rPr>
        <w:t>-</w:t>
      </w:r>
      <w:r>
        <w:t xml:space="preserve"> Sentencia </w:t>
      </w:r>
      <w:hyperlink w:anchor="SENTENCIA_2023_179" w:history="1">
        <w:r w:rsidRPr="00DA359F">
          <w:rPr>
            <w:rStyle w:val="TextoNormalCaracter"/>
          </w:rPr>
          <w:t>179/2023</w:t>
        </w:r>
      </w:hyperlink>
      <w:r>
        <w:t>.</w:t>
      </w:r>
    </w:p>
    <w:p w14:paraId="6CF7F801" w14:textId="7FF21F2B" w:rsidR="00DA359F" w:rsidRDefault="00DA359F" w:rsidP="00DA359F">
      <w:pPr>
        <w:pStyle w:val="SangriaFrancesaArticulo"/>
      </w:pPr>
    </w:p>
    <w:p w14:paraId="7D421D59" w14:textId="77777777" w:rsidR="00DA359F" w:rsidRDefault="00DA359F" w:rsidP="00DA359F">
      <w:pPr>
        <w:pStyle w:val="TextoNormalNegritaCursivandice"/>
        <w:keepNext/>
      </w:pPr>
      <w:r>
        <w:t>Real Decreto 926/2020, de 25 de octubre, por el que se declara el estado de alarma para contener la propagación de infecciones causadas por el SARS-CoV-2</w:t>
      </w:r>
    </w:p>
    <w:p w14:paraId="7A5096F3" w14:textId="76B37611"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Sentencias </w:t>
      </w:r>
      <w:hyperlink w:anchor="SENTENCIA_2023_164" w:history="1">
        <w:r w:rsidRPr="00DA359F">
          <w:rPr>
            <w:rStyle w:val="TextoNormalCaracter"/>
          </w:rPr>
          <w:t>164/2023</w:t>
        </w:r>
      </w:hyperlink>
      <w:r>
        <w:t xml:space="preserve">, f. 3; </w:t>
      </w:r>
      <w:hyperlink w:anchor="SENTENCIA_2023_166" w:history="1">
        <w:r w:rsidRPr="00DA359F">
          <w:rPr>
            <w:rStyle w:val="TextoNormalCaracter"/>
          </w:rPr>
          <w:t>166/2023</w:t>
        </w:r>
      </w:hyperlink>
      <w:r>
        <w:t>, ff. 4, 5.</w:t>
      </w:r>
    </w:p>
    <w:p w14:paraId="51C3D8CA" w14:textId="681A9FDF" w:rsidR="00DA359F" w:rsidRDefault="00DA359F" w:rsidP="00DA359F">
      <w:pPr>
        <w:pStyle w:val="SangriaFrancesaArticulo"/>
      </w:pPr>
      <w:r w:rsidRPr="00DA359F">
        <w:rPr>
          <w:rStyle w:val="TextoNormalNegritaCaracter"/>
        </w:rPr>
        <w:t>Artículo 7.</w:t>
      </w:r>
      <w:r w:rsidRPr="00DA359F">
        <w:rPr>
          <w:rStyle w:val="TextoNormalCaracter"/>
        </w:rPr>
        <w:t>-</w:t>
      </w:r>
      <w:r>
        <w:t xml:space="preserve"> Sentencia </w:t>
      </w:r>
      <w:hyperlink w:anchor="SENTENCIA_2023_164" w:history="1">
        <w:r w:rsidRPr="00DA359F">
          <w:rPr>
            <w:rStyle w:val="TextoNormalCaracter"/>
          </w:rPr>
          <w:t>164/2023</w:t>
        </w:r>
      </w:hyperlink>
      <w:r>
        <w:t>, f. 1.</w:t>
      </w:r>
    </w:p>
    <w:p w14:paraId="79697EBD" w14:textId="5F300F32" w:rsidR="00DA359F" w:rsidRDefault="00DA359F" w:rsidP="00DA359F">
      <w:pPr>
        <w:pStyle w:val="SangriaFrancesaArticulo"/>
      </w:pPr>
    </w:p>
    <w:p w14:paraId="65AE0AF5" w14:textId="77777777" w:rsidR="00DA359F" w:rsidRDefault="00DA359F" w:rsidP="00DA359F">
      <w:pPr>
        <w:pStyle w:val="TextoNormalNegritaCursivandice"/>
        <w:keepNext/>
      </w:pPr>
      <w:r>
        <w:t>Real Decreto 956/2020, de 3 de noviembre, por el que se prorroga el estado de alarma declarado por el Real Decreto 926/2020, de 25 de octubre, por el que se declara el estado de alarma para contener la propagación de infecciones causadas por el SARS-CoV-2</w:t>
      </w:r>
    </w:p>
    <w:p w14:paraId="22FC9566" w14:textId="7614CBF4"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166" w:history="1">
        <w:r w:rsidRPr="00DA359F">
          <w:rPr>
            <w:rStyle w:val="TextoNormalCaracter"/>
          </w:rPr>
          <w:t>166/2023</w:t>
        </w:r>
      </w:hyperlink>
      <w:r>
        <w:t>, f. 4.</w:t>
      </w:r>
    </w:p>
    <w:p w14:paraId="1B506474" w14:textId="0E3503E4" w:rsidR="00DA359F" w:rsidRDefault="00DA359F" w:rsidP="00DA359F">
      <w:pPr>
        <w:pStyle w:val="SangriaFrancesaArticulo"/>
      </w:pPr>
      <w:r w:rsidRPr="00DA359F">
        <w:rPr>
          <w:rStyle w:val="TextoNormalNegritaCaracter"/>
        </w:rPr>
        <w:t>Artículo 2.</w:t>
      </w:r>
      <w:r w:rsidRPr="00DA359F">
        <w:rPr>
          <w:rStyle w:val="TextoNormalCaracter"/>
        </w:rPr>
        <w:t>-</w:t>
      </w:r>
      <w:r>
        <w:t xml:space="preserve"> Sentencia </w:t>
      </w:r>
      <w:hyperlink w:anchor="SENTENCIA_2023_166" w:history="1">
        <w:r w:rsidRPr="00DA359F">
          <w:rPr>
            <w:rStyle w:val="TextoNormalCaracter"/>
          </w:rPr>
          <w:t>166/2023</w:t>
        </w:r>
      </w:hyperlink>
      <w:r>
        <w:t>, f. 5.</w:t>
      </w:r>
    </w:p>
    <w:p w14:paraId="5A14C1FE" w14:textId="6963235C" w:rsidR="00DA359F" w:rsidRDefault="00DA359F" w:rsidP="00DA359F">
      <w:pPr>
        <w:pStyle w:val="SangriaFrancesaArticulo"/>
      </w:pPr>
    </w:p>
    <w:p w14:paraId="3E7C3FFD" w14:textId="77777777" w:rsidR="00DA359F" w:rsidRDefault="00DA359F" w:rsidP="00DA359F">
      <w:pPr>
        <w:pStyle w:val="TextoNormalNegritaCursivandice"/>
        <w:keepNext/>
      </w:pPr>
      <w:r>
        <w:t>Real Decreto 958/2020, de 3 de noviembre, de comunicaciones comerciales de las actividades de juego</w:t>
      </w:r>
    </w:p>
    <w:p w14:paraId="004C50D7" w14:textId="668B5918"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169" w:history="1">
        <w:r w:rsidRPr="00DA359F">
          <w:rPr>
            <w:rStyle w:val="TextoNormalCaracter"/>
          </w:rPr>
          <w:t>169/2023</w:t>
        </w:r>
      </w:hyperlink>
      <w:r>
        <w:t>, ff. 1 a 3.</w:t>
      </w:r>
    </w:p>
    <w:p w14:paraId="7DED9494" w14:textId="6C4E5849" w:rsidR="00DA359F" w:rsidRDefault="00DA359F" w:rsidP="00DA359F">
      <w:pPr>
        <w:pStyle w:val="SangriaFrancesaArticulo"/>
      </w:pPr>
      <w:r w:rsidRPr="00DA359F">
        <w:rPr>
          <w:rStyle w:val="TextoNormalNegritaCaracter"/>
        </w:rPr>
        <w:t>Artículo 1.</w:t>
      </w:r>
      <w:r w:rsidRPr="00DA359F">
        <w:rPr>
          <w:rStyle w:val="TextoNormalCaracter"/>
        </w:rPr>
        <w:t>-</w:t>
      </w:r>
      <w:r>
        <w:t xml:space="preserve"> Sentencia </w:t>
      </w:r>
      <w:hyperlink w:anchor="SENTENCIA_2023_169" w:history="1">
        <w:r w:rsidRPr="00DA359F">
          <w:rPr>
            <w:rStyle w:val="TextoNormalCaracter"/>
          </w:rPr>
          <w:t>169/2023</w:t>
        </w:r>
      </w:hyperlink>
      <w:r>
        <w:t>, ff. 1, 3.</w:t>
      </w:r>
    </w:p>
    <w:p w14:paraId="237EE0EA" w14:textId="08CF11AD" w:rsidR="00DA359F" w:rsidRDefault="00DA359F" w:rsidP="00DA359F">
      <w:pPr>
        <w:pStyle w:val="SangriaFrancesaArticulo"/>
      </w:pPr>
      <w:r w:rsidRPr="00DA359F">
        <w:rPr>
          <w:rStyle w:val="TextoNormalNegritaCaracter"/>
        </w:rPr>
        <w:t>Artículo 9.</w:t>
      </w:r>
      <w:r w:rsidRPr="00DA359F">
        <w:rPr>
          <w:rStyle w:val="TextoNormalCaracter"/>
        </w:rPr>
        <w:t>-</w:t>
      </w:r>
      <w:r>
        <w:t xml:space="preserve"> Sentencia </w:t>
      </w:r>
      <w:hyperlink w:anchor="SENTENCIA_2023_169" w:history="1">
        <w:r w:rsidRPr="00DA359F">
          <w:rPr>
            <w:rStyle w:val="TextoNormalCaracter"/>
          </w:rPr>
          <w:t>169/2023</w:t>
        </w:r>
      </w:hyperlink>
      <w:r>
        <w:t>, f. 3.</w:t>
      </w:r>
    </w:p>
    <w:p w14:paraId="34F11578" w14:textId="2540AE10" w:rsidR="00DA359F" w:rsidRDefault="00DA359F" w:rsidP="00DA359F">
      <w:pPr>
        <w:pStyle w:val="SangriaFrancesaArticulo"/>
      </w:pPr>
      <w:r w:rsidRPr="00DA359F">
        <w:rPr>
          <w:rStyle w:val="TextoNormalNegritaCaracter"/>
        </w:rPr>
        <w:t>Artículos 12 a 27.</w:t>
      </w:r>
      <w:r w:rsidRPr="00DA359F">
        <w:rPr>
          <w:rStyle w:val="TextoNormalCaracter"/>
        </w:rPr>
        <w:t>-</w:t>
      </w:r>
      <w:r>
        <w:t xml:space="preserve"> Sentencia </w:t>
      </w:r>
      <w:hyperlink w:anchor="SENTENCIA_2023_169" w:history="1">
        <w:r w:rsidRPr="00DA359F">
          <w:rPr>
            <w:rStyle w:val="TextoNormalCaracter"/>
          </w:rPr>
          <w:t>169/2023</w:t>
        </w:r>
      </w:hyperlink>
      <w:r>
        <w:t>, f. 1.</w:t>
      </w:r>
    </w:p>
    <w:p w14:paraId="2FA07CB1" w14:textId="3ADC6A91" w:rsidR="00DA359F" w:rsidRDefault="00DA359F" w:rsidP="00DA359F">
      <w:pPr>
        <w:pStyle w:val="SangriaFrancesaArticulo"/>
      </w:pPr>
    </w:p>
    <w:p w14:paraId="15F2C776" w14:textId="77777777" w:rsidR="00DA359F" w:rsidRDefault="00DA359F" w:rsidP="00DA359F">
      <w:pPr>
        <w:pStyle w:val="TextoNormalNegritaCursivandice"/>
        <w:keepNext/>
      </w:pPr>
      <w:r>
        <w:t>Resolución de 3 de marzo de 2021 del Delegado del Gobierno en la Comunidad de Madrid en el expediente 325-2021 por la que se acordó la prohibición de la concentración convocada para el 8 de marzo de 2021</w:t>
      </w:r>
    </w:p>
    <w:p w14:paraId="7BB92194" w14:textId="2DF13935"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Sentencias </w:t>
      </w:r>
      <w:hyperlink w:anchor="SENTENCIA_2023_164" w:history="1">
        <w:r w:rsidRPr="00DA359F">
          <w:rPr>
            <w:rStyle w:val="TextoNormalCaracter"/>
          </w:rPr>
          <w:t>164/2023</w:t>
        </w:r>
      </w:hyperlink>
      <w:r>
        <w:t xml:space="preserve">; </w:t>
      </w:r>
      <w:hyperlink w:anchor="SENTENCIA_2023_188" w:history="1">
        <w:r w:rsidRPr="00DA359F">
          <w:rPr>
            <w:rStyle w:val="TextoNormalCaracter"/>
          </w:rPr>
          <w:t>188/2023</w:t>
        </w:r>
      </w:hyperlink>
      <w:r>
        <w:t>.</w:t>
      </w:r>
    </w:p>
    <w:p w14:paraId="6A49EE5A" w14:textId="3149EA95" w:rsidR="00DA359F" w:rsidRDefault="00DA359F" w:rsidP="00DA359F">
      <w:pPr>
        <w:pStyle w:val="SangriaFrancesaArticulo"/>
      </w:pPr>
    </w:p>
    <w:p w14:paraId="5F0BE5EF" w14:textId="77777777" w:rsidR="00DA359F" w:rsidRDefault="00DA359F" w:rsidP="00DA359F">
      <w:pPr>
        <w:pStyle w:val="TextoNormalNegritaCursivandice"/>
        <w:keepNext/>
      </w:pPr>
      <w:r>
        <w:t>Resolución de 3 de marzo de 2021 del Delegado del Gobierno en la Comunidad de Madrid en el expediente 346-2021 por la que se acordó la prohibición de la concentración convocada para el 8 de marzo de 2021</w:t>
      </w:r>
    </w:p>
    <w:p w14:paraId="49376163" w14:textId="7F231AA8"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176" w:history="1">
        <w:r w:rsidRPr="00DA359F">
          <w:rPr>
            <w:rStyle w:val="TextoNormalCaracter"/>
          </w:rPr>
          <w:t>176/2023</w:t>
        </w:r>
      </w:hyperlink>
      <w:r>
        <w:t>.</w:t>
      </w:r>
    </w:p>
    <w:p w14:paraId="7ADEFEC0" w14:textId="57E00BF4" w:rsidR="00DA359F" w:rsidRDefault="00DA359F" w:rsidP="00DA359F">
      <w:pPr>
        <w:pStyle w:val="SangriaFrancesaArticulo"/>
      </w:pPr>
    </w:p>
    <w:p w14:paraId="2A7D0720" w14:textId="77777777" w:rsidR="00DA359F" w:rsidRDefault="00DA359F" w:rsidP="00DA359F">
      <w:pPr>
        <w:pStyle w:val="TextoNormalNegritaCursivandice"/>
        <w:keepNext/>
      </w:pPr>
      <w:r>
        <w:t>Resolución de 3 de marzo de 2021 del Delegado del Gobierno en la Comunidad de Madrid por la que se acordó la prohibición de la concentración convocada para el 8 de marzo de 2021</w:t>
      </w:r>
    </w:p>
    <w:p w14:paraId="5285D4E4" w14:textId="73D4FA72"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175" w:history="1">
        <w:r w:rsidRPr="00DA359F">
          <w:rPr>
            <w:rStyle w:val="TextoNormalCaracter"/>
          </w:rPr>
          <w:t>175/2023</w:t>
        </w:r>
      </w:hyperlink>
      <w:r>
        <w:t>.</w:t>
      </w:r>
    </w:p>
    <w:p w14:paraId="6DDD4AA1" w14:textId="5D85010A" w:rsidR="00DA359F" w:rsidRDefault="00DA359F" w:rsidP="00DA359F">
      <w:pPr>
        <w:pStyle w:val="SangriaFrancesaArticulo"/>
      </w:pPr>
    </w:p>
    <w:p w14:paraId="5655139C" w14:textId="77777777" w:rsidR="00DA359F" w:rsidRDefault="00DA359F" w:rsidP="00DA359F">
      <w:pPr>
        <w:pStyle w:val="TextoNormalNegritaCursivandice"/>
        <w:keepNext/>
      </w:pPr>
      <w:r>
        <w:t>Resolución de 3 de marzo de 2021 del Delegado del Gobierno en la Comunidad de Madrid que acordó la prohibición de la concentración convocada para el 8 de marzo de 2021</w:t>
      </w:r>
    </w:p>
    <w:p w14:paraId="6A1AC757" w14:textId="251DDD4D"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174" w:history="1">
        <w:r w:rsidRPr="00DA359F">
          <w:rPr>
            <w:rStyle w:val="TextoNormalCaracter"/>
          </w:rPr>
          <w:t>174/2023</w:t>
        </w:r>
      </w:hyperlink>
      <w:r>
        <w:t>.</w:t>
      </w:r>
    </w:p>
    <w:p w14:paraId="1E47FE4A" w14:textId="4AF31288" w:rsidR="00DA359F" w:rsidRDefault="00DA359F" w:rsidP="00DA359F">
      <w:pPr>
        <w:pStyle w:val="SangriaFrancesaArticulo"/>
      </w:pPr>
    </w:p>
    <w:p w14:paraId="60FD2C38" w14:textId="77777777" w:rsidR="00DA359F" w:rsidRDefault="00DA359F" w:rsidP="00DA359F">
      <w:pPr>
        <w:pStyle w:val="TextoNormalNegritaCursivandice"/>
        <w:keepNext/>
      </w:pPr>
      <w:r>
        <w:t>Resolución de 3 de marzo de 2021 del Delegado del Gobierno en la Comunidad de Madrid, pronunciada en el expediente núm. 317-2021, acordando la prohibición de la concentración convocada para el 7 de marzo de 2021</w:t>
      </w:r>
    </w:p>
    <w:p w14:paraId="3572C95C" w14:textId="3795F78A"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178" w:history="1">
        <w:r w:rsidRPr="00DA359F">
          <w:rPr>
            <w:rStyle w:val="TextoNormalCaracter"/>
          </w:rPr>
          <w:t>178/2023</w:t>
        </w:r>
      </w:hyperlink>
      <w:r>
        <w:t>.</w:t>
      </w:r>
    </w:p>
    <w:p w14:paraId="00174E29" w14:textId="191E2B60" w:rsidR="00DA359F" w:rsidRDefault="00DA359F" w:rsidP="00DA359F">
      <w:pPr>
        <w:pStyle w:val="SangriaFrancesaArticulo"/>
      </w:pPr>
    </w:p>
    <w:p w14:paraId="6281463F" w14:textId="77777777" w:rsidR="00DA359F" w:rsidRDefault="00DA359F" w:rsidP="00DA359F">
      <w:pPr>
        <w:pStyle w:val="TextoNormalNegritaCursivandice"/>
        <w:keepNext/>
      </w:pPr>
      <w:r>
        <w:t>Resolución de 3 de marzo de 2021 del Delegado del Gobierno en la Comunidad de Madrid, que acordó la prohibición de la concentración convocada para el 7 de marzo de 2021</w:t>
      </w:r>
    </w:p>
    <w:p w14:paraId="5ADF3F9A" w14:textId="31337F43"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177" w:history="1">
        <w:r w:rsidRPr="00DA359F">
          <w:rPr>
            <w:rStyle w:val="TextoNormalCaracter"/>
          </w:rPr>
          <w:t>177/2023</w:t>
        </w:r>
      </w:hyperlink>
      <w:r>
        <w:t>.</w:t>
      </w:r>
    </w:p>
    <w:p w14:paraId="468AA54A" w14:textId="4FF3E684" w:rsidR="00DA359F" w:rsidRDefault="00DA359F" w:rsidP="00DA359F">
      <w:pPr>
        <w:pStyle w:val="SangriaFrancesaArticulo"/>
      </w:pPr>
    </w:p>
    <w:p w14:paraId="6E44C2E9" w14:textId="77777777" w:rsidR="00DA359F" w:rsidRDefault="00DA359F" w:rsidP="00DA359F">
      <w:pPr>
        <w:pStyle w:val="TextoNormalNegritaCursivandice"/>
        <w:keepNext/>
      </w:pPr>
      <w:r>
        <w:t>Real Decreto 345/2021, de 18 de mayo, por el que se nombra fiscal jefe de la Fiscalía ante el Tribunal Constitucional a don Pedro José Crespo Barquero</w:t>
      </w:r>
    </w:p>
    <w:p w14:paraId="249C3AB5" w14:textId="7EC64950" w:rsidR="00DA359F" w:rsidRDefault="00DA359F" w:rsidP="00DA359F">
      <w:pPr>
        <w:pStyle w:val="SangriaFrancesaArticulo"/>
      </w:pPr>
      <w:r w:rsidRPr="00DA359F">
        <w:rPr>
          <w:rStyle w:val="TextoNormalNegritaCaracter"/>
        </w:rPr>
        <w:t>En general.</w:t>
      </w:r>
      <w:r w:rsidRPr="00DA359F">
        <w:rPr>
          <w:rStyle w:val="TextoNormalCaracter"/>
        </w:rPr>
        <w:t>-</w:t>
      </w:r>
      <w:r>
        <w:t xml:space="preserve"> Auto </w:t>
      </w:r>
      <w:hyperlink w:anchor="AUTO_2023_483" w:history="1">
        <w:r w:rsidRPr="00DA359F">
          <w:rPr>
            <w:rStyle w:val="TextoNormalCaracter"/>
          </w:rPr>
          <w:t>483/2023</w:t>
        </w:r>
      </w:hyperlink>
      <w:r>
        <w:t>, f. 3.</w:t>
      </w:r>
    </w:p>
    <w:p w14:paraId="29601A6E" w14:textId="66E2C493" w:rsidR="00DA359F" w:rsidRDefault="00DA359F" w:rsidP="00DA359F">
      <w:pPr>
        <w:pStyle w:val="SangriaFrancesaArticulo"/>
      </w:pPr>
    </w:p>
    <w:p w14:paraId="73186FB2" w14:textId="77777777" w:rsidR="00DA359F" w:rsidRDefault="00DA359F" w:rsidP="00DA359F">
      <w:pPr>
        <w:pStyle w:val="TextoNormalNegritaCursivandice"/>
        <w:keepNext/>
      </w:pPr>
      <w:r>
        <w:t>Acuerdo 411/2021, de 22 de diciembre, de la Junta Electoral Central sobre causa de inelegibilidad sobrevenida de diputado electo como consecuencia de la imposición de pena de inhabilitación especial para el ejercicio de cargos públicos</w:t>
      </w:r>
    </w:p>
    <w:p w14:paraId="31341B3E" w14:textId="2D936005"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82" w:history="1">
        <w:r w:rsidRPr="00DA359F">
          <w:rPr>
            <w:rStyle w:val="TextoNormalCaracter"/>
          </w:rPr>
          <w:t>82/2023</w:t>
        </w:r>
      </w:hyperlink>
      <w:r>
        <w:t>, ff. 1, 2.</w:t>
      </w:r>
    </w:p>
    <w:p w14:paraId="12115E20" w14:textId="3F54BF1A" w:rsidR="00DA359F" w:rsidRDefault="00DA359F" w:rsidP="00DA359F">
      <w:pPr>
        <w:pStyle w:val="SangriaFrancesaArticulo"/>
      </w:pPr>
    </w:p>
    <w:p w14:paraId="15C3240B" w14:textId="77777777" w:rsidR="00DA359F" w:rsidRDefault="00DA359F" w:rsidP="00DA359F">
      <w:pPr>
        <w:pStyle w:val="TextoNormalNegritaCursivandice"/>
        <w:keepNext/>
      </w:pPr>
      <w:r>
        <w:t>Acuerdo 2/2022, de 20 de enero, de la Junta Electoral Central sobre retirada de la credencial de diputado electo por causa de inelegibilidad sobrevenida, declarar su vacante y expedir la credencial al siguiente candidato de la lista</w:t>
      </w:r>
    </w:p>
    <w:p w14:paraId="0A854351" w14:textId="4E4D267B"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82" w:history="1">
        <w:r w:rsidRPr="00DA359F">
          <w:rPr>
            <w:rStyle w:val="TextoNormalCaracter"/>
          </w:rPr>
          <w:t>82/2023</w:t>
        </w:r>
      </w:hyperlink>
      <w:r>
        <w:t>, ff.1, 2, 4.</w:t>
      </w:r>
    </w:p>
    <w:p w14:paraId="1422CEF6" w14:textId="166A63D9" w:rsidR="00DA359F" w:rsidRDefault="00DA359F" w:rsidP="00DA359F">
      <w:pPr>
        <w:pStyle w:val="SangriaFrancesaArticulo"/>
      </w:pPr>
    </w:p>
    <w:p w14:paraId="790883A4" w14:textId="77777777" w:rsidR="00DA359F" w:rsidRDefault="00DA359F" w:rsidP="00DA359F">
      <w:pPr>
        <w:pStyle w:val="TextoNormalNegritaCursivandice"/>
        <w:keepNext/>
      </w:pPr>
      <w:r>
        <w:t>Acuerdo 27/2022, de 27 de enero, de la Junta Electoral Central sobre denegación de suspensión cautelar de la ejecución del acuerdo 2/2022, de 20 de enero</w:t>
      </w:r>
    </w:p>
    <w:p w14:paraId="4FBCF0E4" w14:textId="049A17C0"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82" w:history="1">
        <w:r w:rsidRPr="00DA359F">
          <w:rPr>
            <w:rStyle w:val="TextoNormalCaracter"/>
          </w:rPr>
          <w:t>82/2023</w:t>
        </w:r>
      </w:hyperlink>
      <w:r>
        <w:t>, ff. 1, 2, 4.</w:t>
      </w:r>
    </w:p>
    <w:p w14:paraId="1A39BEB2" w14:textId="34558430" w:rsidR="00DA359F" w:rsidRDefault="00DA359F" w:rsidP="00DA359F">
      <w:pPr>
        <w:pStyle w:val="SangriaFrancesaArticulo"/>
      </w:pPr>
    </w:p>
    <w:p w14:paraId="0CE50693" w14:textId="77777777" w:rsidR="00DA359F" w:rsidRDefault="00DA359F" w:rsidP="00DA359F">
      <w:pPr>
        <w:pStyle w:val="TextoNormalNegritaCursivandice"/>
        <w:keepNext/>
      </w:pPr>
      <w:r>
        <w:t>Acuerdo 34/2022, de 3 de febrero, de la Junta Electoral Central sobre resolución por la Sala de lo Contencioso-Administrativo del Tribunal Supremo acerca de la suspensión del acuerdo de la Junta Electoral Central de 20 de enero 2022 a iniciativa del diputado electo y del Parlamento de Cataluña, así como requerir a la presidenta del Parlamento de Cataluña para que ejecute el citado acuerdo</w:t>
      </w:r>
    </w:p>
    <w:p w14:paraId="2B31DA8A" w14:textId="7C8C965F"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82" w:history="1">
        <w:r w:rsidRPr="00DA359F">
          <w:rPr>
            <w:rStyle w:val="TextoNormalCaracter"/>
          </w:rPr>
          <w:t>82/2023</w:t>
        </w:r>
      </w:hyperlink>
      <w:r>
        <w:t>, ff. 1 a 4.</w:t>
      </w:r>
    </w:p>
    <w:p w14:paraId="4E3D4AAF" w14:textId="206704DA" w:rsidR="00DA359F" w:rsidRDefault="00DA359F" w:rsidP="00DA359F">
      <w:pPr>
        <w:pStyle w:val="TextoNormal"/>
      </w:pPr>
    </w:p>
    <w:p w14:paraId="7C2386AC" w14:textId="77777777" w:rsidR="00DA359F" w:rsidRDefault="00DA359F" w:rsidP="00DA359F">
      <w:pPr>
        <w:pStyle w:val="SangriaFrancesaArticulo"/>
      </w:pPr>
      <w:bookmarkStart w:id="488" w:name="INDICE22850"/>
    </w:p>
    <w:bookmarkEnd w:id="488"/>
    <w:p w14:paraId="0B829B0C" w14:textId="77777777" w:rsidR="00DA359F" w:rsidRDefault="00DA359F" w:rsidP="00DA359F">
      <w:pPr>
        <w:pStyle w:val="TextoIndiceNivel2"/>
        <w:suppressAutoHyphens/>
      </w:pPr>
      <w:r>
        <w:t>I) Legislación preconstitucional</w:t>
      </w:r>
    </w:p>
    <w:p w14:paraId="7FDC5FFF" w14:textId="445BA981" w:rsidR="00DA359F" w:rsidRDefault="00DA359F" w:rsidP="00DA359F">
      <w:pPr>
        <w:pStyle w:val="TextoIndiceNivel2"/>
      </w:pPr>
    </w:p>
    <w:p w14:paraId="2E0B43F6" w14:textId="77777777" w:rsidR="00DA359F" w:rsidRDefault="00DA359F" w:rsidP="00DA359F">
      <w:pPr>
        <w:pStyle w:val="TextoNormalNegritaCursivandice"/>
        <w:keepNext/>
      </w:pPr>
      <w:r>
        <w:t>Ley provisional de 15 de septiembre de 1870, sobre organización del Poder judicial</w:t>
      </w:r>
    </w:p>
    <w:p w14:paraId="67EDD9BA" w14:textId="3EFFDE66" w:rsidR="00DA359F" w:rsidRDefault="00DA359F" w:rsidP="00DA359F">
      <w:pPr>
        <w:pStyle w:val="SangriaFrancesaArticulo"/>
      </w:pPr>
      <w:r w:rsidRPr="00DA359F">
        <w:rPr>
          <w:rStyle w:val="TextoNormalNegritaCaracter"/>
        </w:rPr>
        <w:t>Artículo 210.</w:t>
      </w:r>
      <w:r w:rsidRPr="00DA359F">
        <w:rPr>
          <w:rStyle w:val="TextoNormalCaracter"/>
        </w:rPr>
        <w:t>-</w:t>
      </w:r>
      <w:r>
        <w:t xml:space="preserve"> Sentencia </w:t>
      </w:r>
      <w:hyperlink w:anchor="SENTENCIA_2023_128" w:history="1">
        <w:r w:rsidRPr="00DA359F">
          <w:rPr>
            <w:rStyle w:val="TextoNormalCaracter"/>
          </w:rPr>
          <w:t>128/2023</w:t>
        </w:r>
      </w:hyperlink>
      <w:r>
        <w:t>, VP.</w:t>
      </w:r>
    </w:p>
    <w:p w14:paraId="2E5A2B19" w14:textId="2091BDEA" w:rsidR="00DA359F" w:rsidRDefault="00DA359F" w:rsidP="00DA359F">
      <w:pPr>
        <w:pStyle w:val="SangriaFrancesaArticulo"/>
      </w:pPr>
      <w:r w:rsidRPr="00DA359F">
        <w:rPr>
          <w:rStyle w:val="TextoNormalNegritaCaracter"/>
        </w:rPr>
        <w:t>Artículo 228.</w:t>
      </w:r>
      <w:r w:rsidRPr="00DA359F">
        <w:rPr>
          <w:rStyle w:val="TextoNormalCaracter"/>
        </w:rPr>
        <w:t>-</w:t>
      </w:r>
      <w:r>
        <w:t xml:space="preserve"> Sentencia </w:t>
      </w:r>
      <w:hyperlink w:anchor="SENTENCIA_2023_128" w:history="1">
        <w:r w:rsidRPr="00DA359F">
          <w:rPr>
            <w:rStyle w:val="TextoNormalCaracter"/>
          </w:rPr>
          <w:t>128/2023</w:t>
        </w:r>
      </w:hyperlink>
      <w:r>
        <w:t>, VP.</w:t>
      </w:r>
    </w:p>
    <w:p w14:paraId="70BEE928" w14:textId="1DB8C373" w:rsidR="00DA359F" w:rsidRDefault="00DA359F" w:rsidP="00DA359F">
      <w:pPr>
        <w:pStyle w:val="SangriaFrancesaArticulo"/>
      </w:pPr>
      <w:r w:rsidRPr="00DA359F">
        <w:rPr>
          <w:rStyle w:val="TextoNormalNegritaCaracter"/>
        </w:rPr>
        <w:t>Artículo 231.</w:t>
      </w:r>
      <w:r w:rsidRPr="00DA359F">
        <w:rPr>
          <w:rStyle w:val="TextoNormalCaracter"/>
        </w:rPr>
        <w:t>-</w:t>
      </w:r>
      <w:r>
        <w:t xml:space="preserve"> Sentencia </w:t>
      </w:r>
      <w:hyperlink w:anchor="SENTENCIA_2023_128" w:history="1">
        <w:r w:rsidRPr="00DA359F">
          <w:rPr>
            <w:rStyle w:val="TextoNormalCaracter"/>
          </w:rPr>
          <w:t>128/2023</w:t>
        </w:r>
      </w:hyperlink>
      <w:r>
        <w:t>, VP.</w:t>
      </w:r>
    </w:p>
    <w:p w14:paraId="7A01E21C" w14:textId="428033FB" w:rsidR="00DA359F" w:rsidRDefault="00DA359F" w:rsidP="00DA359F">
      <w:pPr>
        <w:pStyle w:val="SangriaFrancesaArticulo"/>
      </w:pPr>
      <w:r w:rsidRPr="00DA359F">
        <w:rPr>
          <w:rStyle w:val="TextoNormalNegritaCaracter"/>
        </w:rPr>
        <w:t>Artículo 235.</w:t>
      </w:r>
      <w:r w:rsidRPr="00DA359F">
        <w:rPr>
          <w:rStyle w:val="TextoNormalCaracter"/>
        </w:rPr>
        <w:t>-</w:t>
      </w:r>
      <w:r>
        <w:t xml:space="preserve"> Sentencia </w:t>
      </w:r>
      <w:hyperlink w:anchor="SENTENCIA_2023_128" w:history="1">
        <w:r w:rsidRPr="00DA359F">
          <w:rPr>
            <w:rStyle w:val="TextoNormalCaracter"/>
          </w:rPr>
          <w:t>128/2023</w:t>
        </w:r>
      </w:hyperlink>
      <w:r>
        <w:t>, VP.</w:t>
      </w:r>
    </w:p>
    <w:p w14:paraId="5C94C146" w14:textId="6D0295F5" w:rsidR="00DA359F" w:rsidRDefault="00DA359F" w:rsidP="00DA359F">
      <w:pPr>
        <w:pStyle w:val="SangriaFrancesaArticulo"/>
      </w:pPr>
      <w:r w:rsidRPr="00DA359F">
        <w:rPr>
          <w:rStyle w:val="TextoNormalNegritaCaracter"/>
        </w:rPr>
        <w:t>Artículo 600.2.</w:t>
      </w:r>
      <w:r w:rsidRPr="00DA359F">
        <w:rPr>
          <w:rStyle w:val="TextoNormalCaracter"/>
        </w:rPr>
        <w:t>-</w:t>
      </w:r>
      <w:r>
        <w:t xml:space="preserve"> Sentencia </w:t>
      </w:r>
      <w:hyperlink w:anchor="SENTENCIA_2023_128" w:history="1">
        <w:r w:rsidRPr="00DA359F">
          <w:rPr>
            <w:rStyle w:val="TextoNormalCaracter"/>
          </w:rPr>
          <w:t>128/2023</w:t>
        </w:r>
      </w:hyperlink>
      <w:r>
        <w:t>, VP.</w:t>
      </w:r>
    </w:p>
    <w:p w14:paraId="6190128B" w14:textId="6F243F13" w:rsidR="00DA359F" w:rsidRDefault="00DA359F" w:rsidP="00DA359F">
      <w:pPr>
        <w:pStyle w:val="SangriaFrancesaArticulo"/>
      </w:pPr>
    </w:p>
    <w:p w14:paraId="2AB86DF6" w14:textId="77777777" w:rsidR="00DA359F" w:rsidRDefault="00DA359F" w:rsidP="00DA359F">
      <w:pPr>
        <w:pStyle w:val="TextoNormalNegritaCursivandice"/>
        <w:keepNext/>
      </w:pPr>
      <w:r>
        <w:t>Real Decreto de 3 de febrero de 1881. Ley de enjuiciamiento civil</w:t>
      </w:r>
    </w:p>
    <w:p w14:paraId="559AEB6D" w14:textId="5D213B4A" w:rsidR="00DA359F" w:rsidRDefault="00DA359F" w:rsidP="00DA359F">
      <w:pPr>
        <w:pStyle w:val="SangriaFrancesaArticulo"/>
      </w:pPr>
      <w:r w:rsidRPr="00DA359F">
        <w:rPr>
          <w:rStyle w:val="TextoNormalNegritaCaracter"/>
        </w:rPr>
        <w:t>Artículo 394.</w:t>
      </w:r>
      <w:r w:rsidRPr="00DA359F">
        <w:rPr>
          <w:rStyle w:val="TextoNormalCaracter"/>
        </w:rPr>
        <w:t>-</w:t>
      </w:r>
      <w:r>
        <w:t xml:space="preserve"> Sentencia </w:t>
      </w:r>
      <w:hyperlink w:anchor="SENTENCIA_2023_96" w:history="1">
        <w:r w:rsidRPr="00DA359F">
          <w:rPr>
            <w:rStyle w:val="TextoNormalCaracter"/>
          </w:rPr>
          <w:t>96/2023</w:t>
        </w:r>
      </w:hyperlink>
      <w:r>
        <w:t>, f. 2.</w:t>
      </w:r>
    </w:p>
    <w:p w14:paraId="61BE0920" w14:textId="62CEC187" w:rsidR="00DA359F" w:rsidRDefault="00DA359F" w:rsidP="00DA359F">
      <w:pPr>
        <w:pStyle w:val="SangriaFrancesaArticulo"/>
      </w:pPr>
      <w:r w:rsidRPr="00DA359F">
        <w:rPr>
          <w:rStyle w:val="TextoNormalNegritaCaracter"/>
        </w:rPr>
        <w:t>Artículo 394.1.</w:t>
      </w:r>
      <w:r w:rsidRPr="00DA359F">
        <w:rPr>
          <w:rStyle w:val="TextoNormalCaracter"/>
        </w:rPr>
        <w:t>-</w:t>
      </w:r>
      <w:r>
        <w:t xml:space="preserve"> Sentencia </w:t>
      </w:r>
      <w:hyperlink w:anchor="SENTENCIA_2023_96" w:history="1">
        <w:r w:rsidRPr="00DA359F">
          <w:rPr>
            <w:rStyle w:val="TextoNormalCaracter"/>
          </w:rPr>
          <w:t>96/2023</w:t>
        </w:r>
      </w:hyperlink>
      <w:r>
        <w:t>, f. 2.</w:t>
      </w:r>
    </w:p>
    <w:p w14:paraId="0F02E4B4" w14:textId="6D975CE5" w:rsidR="00DA359F" w:rsidRDefault="00DA359F" w:rsidP="00DA359F">
      <w:pPr>
        <w:pStyle w:val="SangriaFrancesaArticulo"/>
      </w:pPr>
      <w:r w:rsidRPr="00DA359F">
        <w:rPr>
          <w:rStyle w:val="TextoNormalNegritaCaracter"/>
        </w:rPr>
        <w:t>Artículo 561.2.</w:t>
      </w:r>
      <w:r w:rsidRPr="00DA359F">
        <w:rPr>
          <w:rStyle w:val="TextoNormalCaracter"/>
        </w:rPr>
        <w:t>-</w:t>
      </w:r>
      <w:r>
        <w:t xml:space="preserve"> Sentencia </w:t>
      </w:r>
      <w:hyperlink w:anchor="SENTENCIA_2023_96" w:history="1">
        <w:r w:rsidRPr="00DA359F">
          <w:rPr>
            <w:rStyle w:val="TextoNormalCaracter"/>
          </w:rPr>
          <w:t>96/2023</w:t>
        </w:r>
      </w:hyperlink>
      <w:r>
        <w:t>, f. 3.</w:t>
      </w:r>
    </w:p>
    <w:p w14:paraId="1B6729F3" w14:textId="5FC12059" w:rsidR="00DA359F" w:rsidRDefault="00DA359F" w:rsidP="00DA359F">
      <w:pPr>
        <w:pStyle w:val="SangriaFrancesaArticulo"/>
      </w:pPr>
    </w:p>
    <w:p w14:paraId="4EBE5A44" w14:textId="77777777" w:rsidR="00DA359F" w:rsidRDefault="00DA359F" w:rsidP="00DA359F">
      <w:pPr>
        <w:pStyle w:val="TextoNormalNegritaCursivandice"/>
        <w:keepNext/>
      </w:pPr>
      <w:r>
        <w:t>Real Decreto de 14 de septiembre de 1882. Ley de enjuiciamiento criminal</w:t>
      </w:r>
    </w:p>
    <w:p w14:paraId="68DF45D1" w14:textId="622ECA08"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Sentencias </w:t>
      </w:r>
      <w:hyperlink w:anchor="SENTENCIA_2023_92" w:history="1">
        <w:r w:rsidRPr="00DA359F">
          <w:rPr>
            <w:rStyle w:val="TextoNormalCaracter"/>
          </w:rPr>
          <w:t>92/2023</w:t>
        </w:r>
      </w:hyperlink>
      <w:r>
        <w:t xml:space="preserve">, f. 4; </w:t>
      </w:r>
      <w:hyperlink w:anchor="SENTENCIA_2023_131" w:history="1">
        <w:r w:rsidRPr="00DA359F">
          <w:rPr>
            <w:rStyle w:val="TextoNormalCaracter"/>
          </w:rPr>
          <w:t>131/2023</w:t>
        </w:r>
      </w:hyperlink>
      <w:r>
        <w:t xml:space="preserve">, f. 4; </w:t>
      </w:r>
      <w:hyperlink w:anchor="SENTENCIA_2023_136" w:history="1">
        <w:r w:rsidRPr="00DA359F">
          <w:rPr>
            <w:rStyle w:val="TextoNormalCaracter"/>
          </w:rPr>
          <w:t>136/2023</w:t>
        </w:r>
      </w:hyperlink>
      <w:r>
        <w:t>, f. 6.</w:t>
      </w:r>
    </w:p>
    <w:p w14:paraId="022AFC2C" w14:textId="39C04463" w:rsidR="00DA359F" w:rsidRDefault="00DA359F" w:rsidP="00DA359F">
      <w:pPr>
        <w:pStyle w:val="SangriaFrancesaArticulo"/>
      </w:pPr>
      <w:r w:rsidRPr="00DA359F">
        <w:rPr>
          <w:rStyle w:val="TextoNormalNegritaCaracter"/>
        </w:rPr>
        <w:t>Artículos 3 a 7.</w:t>
      </w:r>
      <w:r w:rsidRPr="00DA359F">
        <w:rPr>
          <w:rStyle w:val="TextoNormalCaracter"/>
        </w:rPr>
        <w:t>-</w:t>
      </w:r>
      <w:r>
        <w:t xml:space="preserve"> Sentencia </w:t>
      </w:r>
      <w:hyperlink w:anchor="SENTENCIA_2023_123" w:history="1">
        <w:r w:rsidRPr="00DA359F">
          <w:rPr>
            <w:rStyle w:val="TextoNormalCaracter"/>
          </w:rPr>
          <w:t>123/2023</w:t>
        </w:r>
      </w:hyperlink>
      <w:r>
        <w:t>, f. 2.</w:t>
      </w:r>
    </w:p>
    <w:p w14:paraId="13711810" w14:textId="0ECB65CF" w:rsidR="00DA359F" w:rsidRDefault="00DA359F" w:rsidP="00DA359F">
      <w:pPr>
        <w:pStyle w:val="SangriaFrancesaArticulo"/>
      </w:pPr>
      <w:r w:rsidRPr="00DA359F">
        <w:rPr>
          <w:rStyle w:val="TextoNormalNegritaCaracter"/>
        </w:rPr>
        <w:t>Artículo 118.1 b).</w:t>
      </w:r>
      <w:r w:rsidRPr="00DA359F">
        <w:rPr>
          <w:rStyle w:val="TextoNormalCaracter"/>
        </w:rPr>
        <w:t>-</w:t>
      </w:r>
      <w:r>
        <w:t xml:space="preserve"> Sentencia </w:t>
      </w:r>
      <w:hyperlink w:anchor="SENTENCIA_2023_152" w:history="1">
        <w:r w:rsidRPr="00DA359F">
          <w:rPr>
            <w:rStyle w:val="TextoNormalCaracter"/>
          </w:rPr>
          <w:t>152/2023</w:t>
        </w:r>
      </w:hyperlink>
      <w:r>
        <w:t>, f. 2.</w:t>
      </w:r>
    </w:p>
    <w:p w14:paraId="790C6D7D" w14:textId="12AD0EF0" w:rsidR="00DA359F" w:rsidRDefault="00DA359F" w:rsidP="00DA359F">
      <w:pPr>
        <w:pStyle w:val="SangriaFrancesaArticulo"/>
      </w:pPr>
      <w:r w:rsidRPr="00DA359F">
        <w:rPr>
          <w:rStyle w:val="TextoNormalNegritaCaracter"/>
        </w:rPr>
        <w:t xml:space="preserve">Artículo 302 </w:t>
      </w:r>
      <w:r w:rsidRPr="00DA359F">
        <w:rPr>
          <w:rStyle w:val="TextoNormalNegritaCursivaCaracter"/>
        </w:rPr>
        <w:t>in fine</w:t>
      </w:r>
      <w:r w:rsidRPr="00DA359F">
        <w:rPr>
          <w:rStyle w:val="TextoNormalNegritaCaracter"/>
        </w:rPr>
        <w:t>.</w:t>
      </w:r>
      <w:r w:rsidRPr="00DA359F">
        <w:rPr>
          <w:rStyle w:val="TextoNormalCaracter"/>
        </w:rPr>
        <w:t>-</w:t>
      </w:r>
      <w:r>
        <w:t xml:space="preserve"> Sentencia </w:t>
      </w:r>
      <w:hyperlink w:anchor="SENTENCIA_2023_152" w:history="1">
        <w:r w:rsidRPr="00DA359F">
          <w:rPr>
            <w:rStyle w:val="TextoNormalCaracter"/>
          </w:rPr>
          <w:t>152/2023</w:t>
        </w:r>
      </w:hyperlink>
      <w:r>
        <w:t>, f. 2.</w:t>
      </w:r>
    </w:p>
    <w:p w14:paraId="1A2D35D6" w14:textId="2A49493D" w:rsidR="00DA359F" w:rsidRDefault="00DA359F" w:rsidP="00DA359F">
      <w:pPr>
        <w:pStyle w:val="SangriaFrancesaArticulo"/>
      </w:pPr>
      <w:r w:rsidRPr="00DA359F">
        <w:rPr>
          <w:rStyle w:val="TextoNormalNegritaCaracter"/>
        </w:rPr>
        <w:t>Artículo 324</w:t>
      </w:r>
      <w:r>
        <w:t xml:space="preserve"> (redactado por la Ley 2/2020, de 27 de julio)</w:t>
      </w:r>
      <w:r w:rsidRPr="00DA359F">
        <w:rPr>
          <w:rStyle w:val="TextoNormalNegritaCaracter"/>
        </w:rPr>
        <w:t>.</w:t>
      </w:r>
      <w:r w:rsidRPr="00DA359F">
        <w:rPr>
          <w:rStyle w:val="TextoNormalCaracter"/>
        </w:rPr>
        <w:t>-</w:t>
      </w:r>
      <w:r>
        <w:t xml:space="preserve"> Sentencia </w:t>
      </w:r>
      <w:hyperlink w:anchor="SENTENCIA_2023_101" w:history="1">
        <w:r w:rsidRPr="00DA359F">
          <w:rPr>
            <w:rStyle w:val="TextoNormalCaracter"/>
          </w:rPr>
          <w:t>101/2023</w:t>
        </w:r>
      </w:hyperlink>
      <w:r>
        <w:t>, ff. 1, 3.</w:t>
      </w:r>
    </w:p>
    <w:p w14:paraId="2E1D1E20" w14:textId="47C7492C" w:rsidR="00DA359F" w:rsidRDefault="00DA359F" w:rsidP="00DA359F">
      <w:pPr>
        <w:pStyle w:val="SangriaFrancesaArticulo"/>
      </w:pPr>
      <w:r w:rsidRPr="00DA359F">
        <w:rPr>
          <w:rStyle w:val="TextoNormalNegritaCaracter"/>
        </w:rPr>
        <w:t>Artículo 483.</w:t>
      </w:r>
      <w:r w:rsidRPr="00DA359F">
        <w:rPr>
          <w:rStyle w:val="TextoNormalCaracter"/>
        </w:rPr>
        <w:t>-</w:t>
      </w:r>
      <w:r>
        <w:t xml:space="preserve"> Sentencia </w:t>
      </w:r>
      <w:hyperlink w:anchor="SENTENCIA_2023_131" w:history="1">
        <w:r w:rsidRPr="00DA359F">
          <w:rPr>
            <w:rStyle w:val="TextoNormalCaracter"/>
          </w:rPr>
          <w:t>131/2023</w:t>
        </w:r>
      </w:hyperlink>
      <w:r>
        <w:t>, VP.</w:t>
      </w:r>
    </w:p>
    <w:p w14:paraId="391C25C7" w14:textId="2E959C79" w:rsidR="00DA359F" w:rsidRDefault="00DA359F" w:rsidP="00DA359F">
      <w:pPr>
        <w:pStyle w:val="SangriaFrancesaArticulo"/>
      </w:pPr>
      <w:r w:rsidRPr="00DA359F">
        <w:rPr>
          <w:rStyle w:val="TextoNormalNegritaCaracter"/>
        </w:rPr>
        <w:t>Artículo 504.2.</w:t>
      </w:r>
      <w:r w:rsidRPr="00DA359F">
        <w:rPr>
          <w:rStyle w:val="TextoNormalCaracter"/>
        </w:rPr>
        <w:t>-</w:t>
      </w:r>
      <w:r>
        <w:t xml:space="preserve"> Sentencia </w:t>
      </w:r>
      <w:hyperlink w:anchor="SENTENCIA_2023_136" w:history="1">
        <w:r w:rsidRPr="00DA359F">
          <w:rPr>
            <w:rStyle w:val="TextoNormalCaracter"/>
          </w:rPr>
          <w:t>136/2023</w:t>
        </w:r>
      </w:hyperlink>
      <w:r>
        <w:t>, ff. 5, 6.</w:t>
      </w:r>
    </w:p>
    <w:p w14:paraId="248C47C4" w14:textId="5C5F7E26" w:rsidR="00DA359F" w:rsidRDefault="00DA359F" w:rsidP="00DA359F">
      <w:pPr>
        <w:pStyle w:val="SangriaFrancesaArticulo"/>
      </w:pPr>
      <w:r w:rsidRPr="00DA359F">
        <w:rPr>
          <w:rStyle w:val="TextoNormalNegritaCaracter"/>
        </w:rPr>
        <w:t>Artículo 504.4.</w:t>
      </w:r>
      <w:r w:rsidRPr="00DA359F">
        <w:rPr>
          <w:rStyle w:val="TextoNormalCaracter"/>
        </w:rPr>
        <w:t>-</w:t>
      </w:r>
      <w:r>
        <w:t xml:space="preserve"> Sentencia </w:t>
      </w:r>
      <w:hyperlink w:anchor="SENTENCIA_2023_136" w:history="1">
        <w:r w:rsidRPr="00DA359F">
          <w:rPr>
            <w:rStyle w:val="TextoNormalCaracter"/>
          </w:rPr>
          <w:t>136/2023</w:t>
        </w:r>
      </w:hyperlink>
      <w:r>
        <w:t>, f. 5.</w:t>
      </w:r>
    </w:p>
    <w:p w14:paraId="27E4B095" w14:textId="61EA8756" w:rsidR="00DA359F" w:rsidRDefault="00DA359F" w:rsidP="00DA359F">
      <w:pPr>
        <w:pStyle w:val="SangriaFrancesaArticulo"/>
      </w:pPr>
      <w:r w:rsidRPr="00DA359F">
        <w:rPr>
          <w:rStyle w:val="TextoNormalNegritaCaracter"/>
        </w:rPr>
        <w:t>Artículo 504.5.</w:t>
      </w:r>
      <w:r w:rsidRPr="00DA359F">
        <w:rPr>
          <w:rStyle w:val="TextoNormalCaracter"/>
        </w:rPr>
        <w:t>-</w:t>
      </w:r>
      <w:r>
        <w:t xml:space="preserve"> Sentencia </w:t>
      </w:r>
      <w:hyperlink w:anchor="SENTENCIA_2023_136" w:history="1">
        <w:r w:rsidRPr="00DA359F">
          <w:rPr>
            <w:rStyle w:val="TextoNormalCaracter"/>
          </w:rPr>
          <w:t>136/2023</w:t>
        </w:r>
      </w:hyperlink>
      <w:r>
        <w:t>, ff. 4, 5.</w:t>
      </w:r>
    </w:p>
    <w:p w14:paraId="7E1A6288" w14:textId="0CBF10DC" w:rsidR="00DA359F" w:rsidRDefault="00DA359F" w:rsidP="00DA359F">
      <w:pPr>
        <w:pStyle w:val="SangriaFrancesaArticulo"/>
      </w:pPr>
      <w:r w:rsidRPr="00DA359F">
        <w:rPr>
          <w:rStyle w:val="TextoNormalNegritaCaracter"/>
        </w:rPr>
        <w:t>Artículo 504.6.</w:t>
      </w:r>
      <w:r w:rsidRPr="00DA359F">
        <w:rPr>
          <w:rStyle w:val="TextoNormalCaracter"/>
        </w:rPr>
        <w:t>-</w:t>
      </w:r>
      <w:r>
        <w:t xml:space="preserve"> Sentencia </w:t>
      </w:r>
      <w:hyperlink w:anchor="SENTENCIA_2023_136" w:history="1">
        <w:r w:rsidRPr="00DA359F">
          <w:rPr>
            <w:rStyle w:val="TextoNormalCaracter"/>
          </w:rPr>
          <w:t>136/2023</w:t>
        </w:r>
      </w:hyperlink>
      <w:r>
        <w:t>, f. 5.</w:t>
      </w:r>
    </w:p>
    <w:p w14:paraId="7C1A4607" w14:textId="52DC66AC" w:rsidR="00DA359F" w:rsidRDefault="00DA359F" w:rsidP="00DA359F">
      <w:pPr>
        <w:pStyle w:val="SangriaFrancesaArticulo"/>
      </w:pPr>
      <w:r w:rsidRPr="00DA359F">
        <w:rPr>
          <w:rStyle w:val="TextoNormalNegritaCaracter"/>
        </w:rPr>
        <w:t>Artículo 505.</w:t>
      </w:r>
      <w:r w:rsidRPr="00DA359F">
        <w:rPr>
          <w:rStyle w:val="TextoNormalCaracter"/>
        </w:rPr>
        <w:t>-</w:t>
      </w:r>
      <w:r>
        <w:t xml:space="preserve"> Sentencia </w:t>
      </w:r>
      <w:hyperlink w:anchor="SENTENCIA_2023_152" w:history="1">
        <w:r w:rsidRPr="00DA359F">
          <w:rPr>
            <w:rStyle w:val="TextoNormalCaracter"/>
          </w:rPr>
          <w:t>152/2023</w:t>
        </w:r>
      </w:hyperlink>
      <w:r>
        <w:t>, f. 1.</w:t>
      </w:r>
    </w:p>
    <w:p w14:paraId="36E6B371" w14:textId="4B8BB87B" w:rsidR="00DA359F" w:rsidRDefault="00DA359F" w:rsidP="00DA359F">
      <w:pPr>
        <w:pStyle w:val="SangriaFrancesaArticulo"/>
      </w:pPr>
      <w:r w:rsidRPr="00DA359F">
        <w:rPr>
          <w:rStyle w:val="TextoNormalNegritaCaracter"/>
        </w:rPr>
        <w:t>Artículo 505.3 párrafo 2.</w:t>
      </w:r>
      <w:r w:rsidRPr="00DA359F">
        <w:rPr>
          <w:rStyle w:val="TextoNormalCaracter"/>
        </w:rPr>
        <w:t>-</w:t>
      </w:r>
      <w:r>
        <w:t xml:space="preserve"> Sentencia </w:t>
      </w:r>
      <w:hyperlink w:anchor="SENTENCIA_2023_152" w:history="1">
        <w:r w:rsidRPr="00DA359F">
          <w:rPr>
            <w:rStyle w:val="TextoNormalCaracter"/>
          </w:rPr>
          <w:t>152/2023</w:t>
        </w:r>
      </w:hyperlink>
      <w:r>
        <w:t>, ff. 2, 3.</w:t>
      </w:r>
    </w:p>
    <w:p w14:paraId="2B9CCBDC" w14:textId="0C4A5FE5" w:rsidR="00DA359F" w:rsidRDefault="00DA359F" w:rsidP="00DA359F">
      <w:pPr>
        <w:pStyle w:val="SangriaFrancesaArticulo"/>
      </w:pPr>
      <w:r w:rsidRPr="00DA359F">
        <w:rPr>
          <w:rStyle w:val="TextoNormalNegritaCaracter"/>
        </w:rPr>
        <w:t>Artículo 520.2 d).</w:t>
      </w:r>
      <w:r w:rsidRPr="00DA359F">
        <w:rPr>
          <w:rStyle w:val="TextoNormalCaracter"/>
        </w:rPr>
        <w:t>-</w:t>
      </w:r>
      <w:r>
        <w:t xml:space="preserve"> Sentencia </w:t>
      </w:r>
      <w:hyperlink w:anchor="SENTENCIA_2023_152" w:history="1">
        <w:r w:rsidRPr="00DA359F">
          <w:rPr>
            <w:rStyle w:val="TextoNormalCaracter"/>
          </w:rPr>
          <w:t>152/2023</w:t>
        </w:r>
      </w:hyperlink>
      <w:r>
        <w:t>, f. 2.</w:t>
      </w:r>
    </w:p>
    <w:p w14:paraId="01D025AB" w14:textId="23A77626" w:rsidR="00DA359F" w:rsidRDefault="00DA359F" w:rsidP="00DA359F">
      <w:pPr>
        <w:pStyle w:val="SangriaFrancesaArticulo"/>
      </w:pPr>
      <w:r w:rsidRPr="00DA359F">
        <w:rPr>
          <w:rStyle w:val="TextoNormalNegritaCaracter"/>
        </w:rPr>
        <w:t>Artículo 527.1 d).</w:t>
      </w:r>
      <w:r w:rsidRPr="00DA359F">
        <w:rPr>
          <w:rStyle w:val="TextoNormalCaracter"/>
        </w:rPr>
        <w:t>-</w:t>
      </w:r>
      <w:r>
        <w:t xml:space="preserve"> Sentencia </w:t>
      </w:r>
      <w:hyperlink w:anchor="SENTENCIA_2023_152" w:history="1">
        <w:r w:rsidRPr="00DA359F">
          <w:rPr>
            <w:rStyle w:val="TextoNormalCaracter"/>
          </w:rPr>
          <w:t>152/2023</w:t>
        </w:r>
      </w:hyperlink>
      <w:r>
        <w:t>, f. 2.</w:t>
      </w:r>
    </w:p>
    <w:p w14:paraId="240FBFEF" w14:textId="67E4CE57" w:rsidR="00DA359F" w:rsidRDefault="00DA359F" w:rsidP="00DA359F">
      <w:pPr>
        <w:pStyle w:val="SangriaFrancesaArticulo"/>
      </w:pPr>
      <w:r w:rsidRPr="00DA359F">
        <w:rPr>
          <w:rStyle w:val="TextoNormalNegritaCaracter"/>
        </w:rPr>
        <w:t>Artículo 588 quinquies a).</w:t>
      </w:r>
      <w:r w:rsidRPr="00DA359F">
        <w:rPr>
          <w:rStyle w:val="TextoNormalCaracter"/>
        </w:rPr>
        <w:t>-</w:t>
      </w:r>
      <w:r>
        <w:t xml:space="preserve"> Sentencia </w:t>
      </w:r>
      <w:hyperlink w:anchor="SENTENCIA_2023_92" w:history="1">
        <w:r w:rsidRPr="00DA359F">
          <w:rPr>
            <w:rStyle w:val="TextoNormalCaracter"/>
          </w:rPr>
          <w:t>92/2023</w:t>
        </w:r>
      </w:hyperlink>
      <w:r>
        <w:t>, f. 8.</w:t>
      </w:r>
    </w:p>
    <w:p w14:paraId="34D9DC57" w14:textId="0BEF8D6E" w:rsidR="00DA359F" w:rsidRDefault="00DA359F" w:rsidP="00DA359F">
      <w:pPr>
        <w:pStyle w:val="SangriaFrancesaArticulo"/>
      </w:pPr>
      <w:r w:rsidRPr="00DA359F">
        <w:rPr>
          <w:rStyle w:val="TextoNormalNegritaCaracter"/>
        </w:rPr>
        <w:t>Artículo 588 quinquies a)</w:t>
      </w:r>
      <w:r>
        <w:t xml:space="preserve"> (redactado por la Ley Orgánica 13/2015, de 5 de octubre)</w:t>
      </w:r>
      <w:r w:rsidRPr="00DA359F">
        <w:rPr>
          <w:rStyle w:val="TextoNormalNegritaCaracter"/>
        </w:rPr>
        <w:t>.</w:t>
      </w:r>
      <w:r w:rsidRPr="00DA359F">
        <w:rPr>
          <w:rStyle w:val="TextoNormalCaracter"/>
        </w:rPr>
        <w:t>-</w:t>
      </w:r>
      <w:r>
        <w:t xml:space="preserve"> Sentencia </w:t>
      </w:r>
      <w:hyperlink w:anchor="SENTENCIA_2023_92" w:history="1">
        <w:r w:rsidRPr="00DA359F">
          <w:rPr>
            <w:rStyle w:val="TextoNormalCaracter"/>
          </w:rPr>
          <w:t>92/2023</w:t>
        </w:r>
      </w:hyperlink>
      <w:r>
        <w:t>, f. 8.</w:t>
      </w:r>
    </w:p>
    <w:p w14:paraId="31B7295D" w14:textId="5F59742D" w:rsidR="00DA359F" w:rsidRDefault="00DA359F" w:rsidP="00DA359F">
      <w:pPr>
        <w:pStyle w:val="SangriaFrancesaArticulo"/>
      </w:pPr>
      <w:r w:rsidRPr="00DA359F">
        <w:rPr>
          <w:rStyle w:val="TextoNormalNegritaCaracter"/>
        </w:rPr>
        <w:t>Artículo 588 quinquies a) apartado primero.</w:t>
      </w:r>
      <w:r w:rsidRPr="00DA359F">
        <w:rPr>
          <w:rStyle w:val="TextoNormalCaracter"/>
        </w:rPr>
        <w:t>-</w:t>
      </w:r>
      <w:r>
        <w:t xml:space="preserve"> Sentencia </w:t>
      </w:r>
      <w:hyperlink w:anchor="SENTENCIA_2023_92" w:history="1">
        <w:r w:rsidRPr="00DA359F">
          <w:rPr>
            <w:rStyle w:val="TextoNormalCaracter"/>
          </w:rPr>
          <w:t>92/2023</w:t>
        </w:r>
      </w:hyperlink>
      <w:r>
        <w:t>, f. 8.</w:t>
      </w:r>
    </w:p>
    <w:p w14:paraId="758F5450" w14:textId="49540A7E" w:rsidR="00DA359F" w:rsidRDefault="00DA359F" w:rsidP="00DA359F">
      <w:pPr>
        <w:pStyle w:val="SangriaFrancesaArticulo"/>
      </w:pPr>
      <w:r w:rsidRPr="00DA359F">
        <w:rPr>
          <w:rStyle w:val="TextoNormalNegritaCaracter"/>
        </w:rPr>
        <w:t>Artículo 637.</w:t>
      </w:r>
      <w:r w:rsidRPr="00DA359F">
        <w:rPr>
          <w:rStyle w:val="TextoNormalCaracter"/>
        </w:rPr>
        <w:t>-</w:t>
      </w:r>
      <w:r>
        <w:t xml:space="preserve"> Sentencia </w:t>
      </w:r>
      <w:hyperlink w:anchor="SENTENCIA_2023_131" w:history="1">
        <w:r w:rsidRPr="00DA359F">
          <w:rPr>
            <w:rStyle w:val="TextoNormalCaracter"/>
          </w:rPr>
          <w:t>131/2023</w:t>
        </w:r>
      </w:hyperlink>
      <w:r>
        <w:t>, ff. 2, 4.</w:t>
      </w:r>
    </w:p>
    <w:p w14:paraId="22D9684C" w14:textId="42AAD75B" w:rsidR="00DA359F" w:rsidRDefault="00DA359F" w:rsidP="00DA359F">
      <w:pPr>
        <w:pStyle w:val="SangriaIzquierdaArticulo"/>
      </w:pPr>
      <w:r>
        <w:t xml:space="preserve">Auto </w:t>
      </w:r>
      <w:hyperlink w:anchor="AUTO_2023_338" w:history="1">
        <w:r w:rsidRPr="00DA359F">
          <w:rPr>
            <w:rStyle w:val="TextoNormalCaracter"/>
          </w:rPr>
          <w:t>338/2023</w:t>
        </w:r>
      </w:hyperlink>
      <w:r>
        <w:t>, f. 4.</w:t>
      </w:r>
    </w:p>
    <w:p w14:paraId="7E7D664C" w14:textId="570BDABC" w:rsidR="00DA359F" w:rsidRDefault="00DA359F" w:rsidP="00DA359F">
      <w:pPr>
        <w:pStyle w:val="SangriaFrancesaArticulo"/>
      </w:pPr>
      <w:r w:rsidRPr="00DA359F">
        <w:rPr>
          <w:rStyle w:val="TextoNormalNegritaCaracter"/>
        </w:rPr>
        <w:t>Artículo 641.</w:t>
      </w:r>
      <w:r w:rsidRPr="00DA359F">
        <w:rPr>
          <w:rStyle w:val="TextoNormalCaracter"/>
        </w:rPr>
        <w:t>-</w:t>
      </w:r>
      <w:r>
        <w:t xml:space="preserve"> Sentencia </w:t>
      </w:r>
      <w:hyperlink w:anchor="SENTENCIA_2023_131" w:history="1">
        <w:r w:rsidRPr="00DA359F">
          <w:rPr>
            <w:rStyle w:val="TextoNormalCaracter"/>
          </w:rPr>
          <w:t>131/2023</w:t>
        </w:r>
      </w:hyperlink>
      <w:r>
        <w:t>, ff. 2, 4.</w:t>
      </w:r>
    </w:p>
    <w:p w14:paraId="6F0267B6" w14:textId="7A7A8BDF" w:rsidR="00DA359F" w:rsidRDefault="00DA359F" w:rsidP="00DA359F">
      <w:pPr>
        <w:pStyle w:val="SangriaIzquierdaArticulo"/>
      </w:pPr>
      <w:r>
        <w:t xml:space="preserve">Auto </w:t>
      </w:r>
      <w:hyperlink w:anchor="AUTO_2023_338" w:history="1">
        <w:r w:rsidRPr="00DA359F">
          <w:rPr>
            <w:rStyle w:val="TextoNormalCaracter"/>
          </w:rPr>
          <w:t>338/2023</w:t>
        </w:r>
      </w:hyperlink>
      <w:r>
        <w:t>, f. 4.</w:t>
      </w:r>
    </w:p>
    <w:p w14:paraId="7BEF1588" w14:textId="5F31948A" w:rsidR="00DA359F" w:rsidRDefault="00DA359F" w:rsidP="00DA359F">
      <w:pPr>
        <w:pStyle w:val="SangriaFrancesaArticulo"/>
      </w:pPr>
      <w:r w:rsidRPr="00DA359F">
        <w:rPr>
          <w:rStyle w:val="TextoNormalNegritaCaracter"/>
        </w:rPr>
        <w:t>503.1.3 a).</w:t>
      </w:r>
      <w:r w:rsidRPr="00DA359F">
        <w:rPr>
          <w:rStyle w:val="TextoNormalCaracter"/>
        </w:rPr>
        <w:t>-</w:t>
      </w:r>
      <w:r>
        <w:t xml:space="preserve"> Sentencia </w:t>
      </w:r>
      <w:hyperlink w:anchor="SENTENCIA_2023_136" w:history="1">
        <w:r w:rsidRPr="00DA359F">
          <w:rPr>
            <w:rStyle w:val="TextoNormalCaracter"/>
          </w:rPr>
          <w:t>136/2023</w:t>
        </w:r>
      </w:hyperlink>
      <w:r>
        <w:t>, f. 6.</w:t>
      </w:r>
    </w:p>
    <w:p w14:paraId="57551D6F" w14:textId="2DDBD068" w:rsidR="00DA359F" w:rsidRDefault="00DA359F" w:rsidP="00DA359F">
      <w:pPr>
        <w:pStyle w:val="SangriaFrancesaArticulo"/>
      </w:pPr>
      <w:r w:rsidRPr="00DA359F">
        <w:rPr>
          <w:rStyle w:val="TextoNormalNegritaCaracter"/>
        </w:rPr>
        <w:t>Artículo 683.</w:t>
      </w:r>
      <w:r w:rsidRPr="00DA359F">
        <w:rPr>
          <w:rStyle w:val="TextoNormalCaracter"/>
        </w:rPr>
        <w:t>-</w:t>
      </w:r>
      <w:r>
        <w:t xml:space="preserve"> Sentencia </w:t>
      </w:r>
      <w:hyperlink w:anchor="SENTENCIA_2023_92" w:history="1">
        <w:r w:rsidRPr="00DA359F">
          <w:rPr>
            <w:rStyle w:val="TextoNormalCaracter"/>
          </w:rPr>
          <w:t>92/2023</w:t>
        </w:r>
      </w:hyperlink>
      <w:r>
        <w:t>, f. 4.</w:t>
      </w:r>
    </w:p>
    <w:p w14:paraId="668B5AEB" w14:textId="44A198C1" w:rsidR="00DA359F" w:rsidRDefault="00DA359F" w:rsidP="00DA359F">
      <w:pPr>
        <w:pStyle w:val="SangriaFrancesaArticulo"/>
      </w:pPr>
      <w:r w:rsidRPr="00DA359F">
        <w:rPr>
          <w:rStyle w:val="TextoNormalNegritaCaracter"/>
        </w:rPr>
        <w:t>Artículo 779.1.1.</w:t>
      </w:r>
      <w:r w:rsidRPr="00DA359F">
        <w:rPr>
          <w:rStyle w:val="TextoNormalCaracter"/>
        </w:rPr>
        <w:t>-</w:t>
      </w:r>
      <w:r>
        <w:t xml:space="preserve"> Sentencia </w:t>
      </w:r>
      <w:hyperlink w:anchor="SENTENCIA_2023_131" w:history="1">
        <w:r w:rsidRPr="00DA359F">
          <w:rPr>
            <w:rStyle w:val="TextoNormalCaracter"/>
          </w:rPr>
          <w:t>131/2023</w:t>
        </w:r>
      </w:hyperlink>
      <w:r>
        <w:t>, ff. 2, 4.</w:t>
      </w:r>
    </w:p>
    <w:p w14:paraId="2616412F" w14:textId="773F842B" w:rsidR="00DA359F" w:rsidRDefault="00DA359F" w:rsidP="00DA359F">
      <w:pPr>
        <w:pStyle w:val="SangriaFrancesaArticulo"/>
      </w:pPr>
      <w:r w:rsidRPr="00DA359F">
        <w:rPr>
          <w:rStyle w:val="TextoNormalNegritaCaracter"/>
        </w:rPr>
        <w:t>Artículo 824 y ss..</w:t>
      </w:r>
      <w:r w:rsidRPr="00DA359F">
        <w:rPr>
          <w:rStyle w:val="TextoNormalCaracter"/>
        </w:rPr>
        <w:t>-</w:t>
      </w:r>
      <w:r>
        <w:t xml:space="preserve"> Sentencia </w:t>
      </w:r>
      <w:hyperlink w:anchor="SENTENCIA_2023_136" w:history="1">
        <w:r w:rsidRPr="00DA359F">
          <w:rPr>
            <w:rStyle w:val="TextoNormalCaracter"/>
          </w:rPr>
          <w:t>136/2023</w:t>
        </w:r>
      </w:hyperlink>
      <w:r>
        <w:t>, ff. 4, 5.</w:t>
      </w:r>
    </w:p>
    <w:p w14:paraId="086E7A8B" w14:textId="7ACBD0DD" w:rsidR="00DA359F" w:rsidRDefault="00DA359F" w:rsidP="00DA359F">
      <w:pPr>
        <w:pStyle w:val="SangriaFrancesaArticulo"/>
      </w:pPr>
      <w:r w:rsidRPr="00DA359F">
        <w:rPr>
          <w:rStyle w:val="TextoNormalNegritaCaracter"/>
        </w:rPr>
        <w:t>Artículo 847.1 b).</w:t>
      </w:r>
      <w:r w:rsidRPr="00DA359F">
        <w:rPr>
          <w:rStyle w:val="TextoNormalCaracter"/>
        </w:rPr>
        <w:t>-</w:t>
      </w:r>
      <w:r>
        <w:t xml:space="preserve"> Sentencia </w:t>
      </w:r>
      <w:hyperlink w:anchor="SENTENCIA_2023_153" w:history="1">
        <w:r w:rsidRPr="00DA359F">
          <w:rPr>
            <w:rStyle w:val="TextoNormalCaracter"/>
          </w:rPr>
          <w:t>153/2023</w:t>
        </w:r>
      </w:hyperlink>
      <w:r>
        <w:t>, f. 4.</w:t>
      </w:r>
    </w:p>
    <w:p w14:paraId="30C4D833" w14:textId="57A01FEE" w:rsidR="00DA359F" w:rsidRDefault="00DA359F" w:rsidP="00DA359F">
      <w:pPr>
        <w:pStyle w:val="SangriaFrancesaArticulo"/>
      </w:pPr>
      <w:r w:rsidRPr="00DA359F">
        <w:rPr>
          <w:rStyle w:val="TextoNormalNegritaCaracter"/>
        </w:rPr>
        <w:t>Artículo 849.</w:t>
      </w:r>
      <w:r w:rsidRPr="00DA359F">
        <w:rPr>
          <w:rStyle w:val="TextoNormalCaracter"/>
        </w:rPr>
        <w:t>-</w:t>
      </w:r>
      <w:r>
        <w:t xml:space="preserve"> Sentencia </w:t>
      </w:r>
      <w:hyperlink w:anchor="SENTENCIA_2023_153" w:history="1">
        <w:r w:rsidRPr="00DA359F">
          <w:rPr>
            <w:rStyle w:val="TextoNormalCaracter"/>
          </w:rPr>
          <w:t>153/2023</w:t>
        </w:r>
      </w:hyperlink>
      <w:r>
        <w:t>, f. 4.</w:t>
      </w:r>
    </w:p>
    <w:p w14:paraId="4CB3C763" w14:textId="11B932AF" w:rsidR="00DA359F" w:rsidRDefault="00DA359F" w:rsidP="00DA359F">
      <w:pPr>
        <w:pStyle w:val="SangriaFrancesaArticulo"/>
      </w:pPr>
      <w:r w:rsidRPr="00DA359F">
        <w:rPr>
          <w:rStyle w:val="TextoNormalNegritaCaracter"/>
        </w:rPr>
        <w:t>Artículo 849.1.</w:t>
      </w:r>
      <w:r w:rsidRPr="00DA359F">
        <w:rPr>
          <w:rStyle w:val="TextoNormalCaracter"/>
        </w:rPr>
        <w:t>-</w:t>
      </w:r>
      <w:r>
        <w:t xml:space="preserve"> Sentencia </w:t>
      </w:r>
      <w:hyperlink w:anchor="SENTENCIA_2023_153" w:history="1">
        <w:r w:rsidRPr="00DA359F">
          <w:rPr>
            <w:rStyle w:val="TextoNormalCaracter"/>
          </w:rPr>
          <w:t>153/2023</w:t>
        </w:r>
      </w:hyperlink>
      <w:r>
        <w:t>, f. 4.</w:t>
      </w:r>
    </w:p>
    <w:p w14:paraId="5B15F40D" w14:textId="22A9A6CD" w:rsidR="00DA359F" w:rsidRDefault="00DA359F" w:rsidP="00DA359F">
      <w:pPr>
        <w:pStyle w:val="SangriaFrancesaArticulo"/>
      </w:pPr>
      <w:r w:rsidRPr="00DA359F">
        <w:rPr>
          <w:rStyle w:val="TextoNormalNegritaCaracter"/>
        </w:rPr>
        <w:t>Artículo 849.2.</w:t>
      </w:r>
      <w:r w:rsidRPr="00DA359F">
        <w:rPr>
          <w:rStyle w:val="TextoNormalCaracter"/>
        </w:rPr>
        <w:t>-</w:t>
      </w:r>
      <w:r>
        <w:t xml:space="preserve"> Sentencia </w:t>
      </w:r>
      <w:hyperlink w:anchor="SENTENCIA_2023_153" w:history="1">
        <w:r w:rsidRPr="00DA359F">
          <w:rPr>
            <w:rStyle w:val="TextoNormalCaracter"/>
          </w:rPr>
          <w:t>153/2023</w:t>
        </w:r>
      </w:hyperlink>
      <w:r>
        <w:t>, f. 4.</w:t>
      </w:r>
    </w:p>
    <w:p w14:paraId="30AD2117" w14:textId="005244B3" w:rsidR="00DA359F" w:rsidRDefault="00DA359F" w:rsidP="00DA359F">
      <w:pPr>
        <w:pStyle w:val="SangriaFrancesaArticulo"/>
      </w:pPr>
      <w:r w:rsidRPr="00DA359F">
        <w:rPr>
          <w:rStyle w:val="TextoNormalNegritaCaracter"/>
        </w:rPr>
        <w:t>Artículo 850.</w:t>
      </w:r>
      <w:r w:rsidRPr="00DA359F">
        <w:rPr>
          <w:rStyle w:val="TextoNormalCaracter"/>
        </w:rPr>
        <w:t>-</w:t>
      </w:r>
      <w:r>
        <w:t xml:space="preserve"> Sentencia </w:t>
      </w:r>
      <w:hyperlink w:anchor="SENTENCIA_2023_153" w:history="1">
        <w:r w:rsidRPr="00DA359F">
          <w:rPr>
            <w:rStyle w:val="TextoNormalCaracter"/>
          </w:rPr>
          <w:t>153/2023</w:t>
        </w:r>
      </w:hyperlink>
      <w:r>
        <w:t>, f. 4.</w:t>
      </w:r>
    </w:p>
    <w:p w14:paraId="776B25FF" w14:textId="46EF9CEB" w:rsidR="00DA359F" w:rsidRDefault="00DA359F" w:rsidP="00DA359F">
      <w:pPr>
        <w:pStyle w:val="SangriaFrancesaArticulo"/>
      </w:pPr>
      <w:r w:rsidRPr="00DA359F">
        <w:rPr>
          <w:rStyle w:val="TextoNormalNegritaCaracter"/>
        </w:rPr>
        <w:t>Artículo 851.</w:t>
      </w:r>
      <w:r w:rsidRPr="00DA359F">
        <w:rPr>
          <w:rStyle w:val="TextoNormalCaracter"/>
        </w:rPr>
        <w:t>-</w:t>
      </w:r>
      <w:r>
        <w:t xml:space="preserve"> Sentencia </w:t>
      </w:r>
      <w:hyperlink w:anchor="SENTENCIA_2023_153" w:history="1">
        <w:r w:rsidRPr="00DA359F">
          <w:rPr>
            <w:rStyle w:val="TextoNormalCaracter"/>
          </w:rPr>
          <w:t>153/2023</w:t>
        </w:r>
      </w:hyperlink>
      <w:r>
        <w:t>, f. 4.</w:t>
      </w:r>
    </w:p>
    <w:p w14:paraId="6FEA3D81" w14:textId="5B4D4CA8" w:rsidR="00DA359F" w:rsidRDefault="00DA359F" w:rsidP="00DA359F">
      <w:pPr>
        <w:pStyle w:val="SangriaFrancesaArticulo"/>
      </w:pPr>
      <w:r w:rsidRPr="00DA359F">
        <w:rPr>
          <w:rStyle w:val="TextoNormalNegritaCaracter"/>
        </w:rPr>
        <w:t>Artículo 852.</w:t>
      </w:r>
      <w:r w:rsidRPr="00DA359F">
        <w:rPr>
          <w:rStyle w:val="TextoNormalCaracter"/>
        </w:rPr>
        <w:t>-</w:t>
      </w:r>
      <w:r>
        <w:t xml:space="preserve"> Sentencia </w:t>
      </w:r>
      <w:hyperlink w:anchor="SENTENCIA_2023_153" w:history="1">
        <w:r w:rsidRPr="00DA359F">
          <w:rPr>
            <w:rStyle w:val="TextoNormalCaracter"/>
          </w:rPr>
          <w:t>153/2023</w:t>
        </w:r>
      </w:hyperlink>
      <w:r>
        <w:t>, f. 4.</w:t>
      </w:r>
    </w:p>
    <w:p w14:paraId="1CFE1518" w14:textId="5A5D28D8" w:rsidR="00DA359F" w:rsidRDefault="00DA359F" w:rsidP="00DA359F">
      <w:pPr>
        <w:pStyle w:val="SangriaFrancesaArticulo"/>
      </w:pPr>
      <w:r w:rsidRPr="00DA359F">
        <w:rPr>
          <w:rStyle w:val="TextoNormalNegritaCaracter"/>
        </w:rPr>
        <w:t>Artículo 884.</w:t>
      </w:r>
      <w:r w:rsidRPr="00DA359F">
        <w:rPr>
          <w:rStyle w:val="TextoNormalCaracter"/>
        </w:rPr>
        <w:t>-</w:t>
      </w:r>
      <w:r>
        <w:t xml:space="preserve"> Sentencia </w:t>
      </w:r>
      <w:hyperlink w:anchor="SENTENCIA_2023_153" w:history="1">
        <w:r w:rsidRPr="00DA359F">
          <w:rPr>
            <w:rStyle w:val="TextoNormalCaracter"/>
          </w:rPr>
          <w:t>153/2023</w:t>
        </w:r>
      </w:hyperlink>
      <w:r>
        <w:t>, f. 4.</w:t>
      </w:r>
    </w:p>
    <w:p w14:paraId="09B714BE" w14:textId="0B111146" w:rsidR="00DA359F" w:rsidRDefault="00DA359F" w:rsidP="00DA359F">
      <w:pPr>
        <w:pStyle w:val="SangriaFrancesaArticulo"/>
      </w:pPr>
      <w:r w:rsidRPr="00DA359F">
        <w:rPr>
          <w:rStyle w:val="TextoNormalNegritaCaracter"/>
        </w:rPr>
        <w:t>Artículo 889 párrafo 2.</w:t>
      </w:r>
      <w:r w:rsidRPr="00DA359F">
        <w:rPr>
          <w:rStyle w:val="TextoNormalCaracter"/>
        </w:rPr>
        <w:t>-</w:t>
      </w:r>
      <w:r>
        <w:t xml:space="preserve"> Sentencia </w:t>
      </w:r>
      <w:hyperlink w:anchor="SENTENCIA_2023_153" w:history="1">
        <w:r w:rsidRPr="00DA359F">
          <w:rPr>
            <w:rStyle w:val="TextoNormalCaracter"/>
          </w:rPr>
          <w:t>153/2023</w:t>
        </w:r>
      </w:hyperlink>
      <w:r>
        <w:t>, f. 4.</w:t>
      </w:r>
    </w:p>
    <w:p w14:paraId="7CE41538" w14:textId="2A05AE9C" w:rsidR="00DA359F" w:rsidRDefault="00DA359F" w:rsidP="00DA359F">
      <w:pPr>
        <w:pStyle w:val="SangriaFrancesaArticulo"/>
      </w:pPr>
      <w:r w:rsidRPr="00DA359F">
        <w:rPr>
          <w:rStyle w:val="TextoNormalNegritaCaracter"/>
        </w:rPr>
        <w:t>Artículo 892.</w:t>
      </w:r>
      <w:r w:rsidRPr="00DA359F">
        <w:rPr>
          <w:rStyle w:val="TextoNormalCaracter"/>
        </w:rPr>
        <w:t>-</w:t>
      </w:r>
      <w:r>
        <w:t xml:space="preserve"> Sentencias </w:t>
      </w:r>
      <w:hyperlink w:anchor="SENTENCIA_2023_92" w:history="1">
        <w:r w:rsidRPr="00DA359F">
          <w:rPr>
            <w:rStyle w:val="TextoNormalCaracter"/>
          </w:rPr>
          <w:t>92/2023</w:t>
        </w:r>
      </w:hyperlink>
      <w:r>
        <w:t xml:space="preserve">, f. 3; </w:t>
      </w:r>
      <w:hyperlink w:anchor="SENTENCIA_2023_153" w:history="1">
        <w:r w:rsidRPr="00DA359F">
          <w:rPr>
            <w:rStyle w:val="TextoNormalCaracter"/>
          </w:rPr>
          <w:t>153/2023</w:t>
        </w:r>
      </w:hyperlink>
      <w:r>
        <w:t>, f. 4.</w:t>
      </w:r>
    </w:p>
    <w:p w14:paraId="6B722817" w14:textId="4C736CE4" w:rsidR="00DA359F" w:rsidRDefault="00DA359F" w:rsidP="00DA359F">
      <w:pPr>
        <w:pStyle w:val="SangriaFrancesaArticulo"/>
      </w:pPr>
      <w:r w:rsidRPr="00DA359F">
        <w:rPr>
          <w:rStyle w:val="TextoNormalNegritaCaracter"/>
        </w:rPr>
        <w:t>Artículo 984.</w:t>
      </w:r>
      <w:r w:rsidRPr="00DA359F">
        <w:rPr>
          <w:rStyle w:val="TextoNormalCaracter"/>
        </w:rPr>
        <w:t>-</w:t>
      </w:r>
      <w:r>
        <w:t xml:space="preserve"> Sentencia </w:t>
      </w:r>
      <w:hyperlink w:anchor="SENTENCIA_2023_123" w:history="1">
        <w:r w:rsidRPr="00DA359F">
          <w:rPr>
            <w:rStyle w:val="TextoNormalCaracter"/>
          </w:rPr>
          <w:t>123/2023</w:t>
        </w:r>
      </w:hyperlink>
      <w:r>
        <w:t>, f. 1.</w:t>
      </w:r>
    </w:p>
    <w:p w14:paraId="442CED22" w14:textId="7E9D2A8E" w:rsidR="00DA359F" w:rsidRDefault="00DA359F" w:rsidP="00DA359F">
      <w:pPr>
        <w:pStyle w:val="SangriaFrancesaArticulo"/>
      </w:pPr>
      <w:r w:rsidRPr="00DA359F">
        <w:rPr>
          <w:rStyle w:val="TextoNormalNegritaCaracter"/>
        </w:rPr>
        <w:t>Artículo 984 párrafo tercero.</w:t>
      </w:r>
      <w:r w:rsidRPr="00DA359F">
        <w:rPr>
          <w:rStyle w:val="TextoNormalCaracter"/>
        </w:rPr>
        <w:t>-</w:t>
      </w:r>
      <w:r>
        <w:t xml:space="preserve"> Sentencia </w:t>
      </w:r>
      <w:hyperlink w:anchor="SENTENCIA_2023_123" w:history="1">
        <w:r w:rsidRPr="00DA359F">
          <w:rPr>
            <w:rStyle w:val="TextoNormalCaracter"/>
          </w:rPr>
          <w:t>123/2023</w:t>
        </w:r>
      </w:hyperlink>
      <w:r>
        <w:t>, f. 1.</w:t>
      </w:r>
    </w:p>
    <w:p w14:paraId="12FBD2BE" w14:textId="0CB50FDA" w:rsidR="00DA359F" w:rsidRDefault="00DA359F" w:rsidP="00DA359F">
      <w:pPr>
        <w:pStyle w:val="SangriaFrancesaArticulo"/>
      </w:pPr>
      <w:r w:rsidRPr="00DA359F">
        <w:rPr>
          <w:rStyle w:val="TextoNormalNegritaCaracter"/>
        </w:rPr>
        <w:t>Artículo 989.2.</w:t>
      </w:r>
      <w:r w:rsidRPr="00DA359F">
        <w:rPr>
          <w:rStyle w:val="TextoNormalCaracter"/>
        </w:rPr>
        <w:t>-</w:t>
      </w:r>
      <w:r>
        <w:t xml:space="preserve"> Sentencia </w:t>
      </w:r>
      <w:hyperlink w:anchor="SENTENCIA_2023_123" w:history="1">
        <w:r w:rsidRPr="00DA359F">
          <w:rPr>
            <w:rStyle w:val="TextoNormalCaracter"/>
          </w:rPr>
          <w:t>123/2023</w:t>
        </w:r>
      </w:hyperlink>
      <w:r>
        <w:t>, f. 1.</w:t>
      </w:r>
    </w:p>
    <w:p w14:paraId="56B0239C" w14:textId="3E530BE3" w:rsidR="00DA359F" w:rsidRDefault="00DA359F" w:rsidP="00DA359F">
      <w:pPr>
        <w:pStyle w:val="SangriaFrancesaArticulo"/>
      </w:pPr>
    </w:p>
    <w:p w14:paraId="66006400" w14:textId="77777777" w:rsidR="00DA359F" w:rsidRDefault="00DA359F" w:rsidP="00DA359F">
      <w:pPr>
        <w:pStyle w:val="TextoNormalNegritaCursivandice"/>
        <w:keepNext/>
      </w:pPr>
      <w:r>
        <w:t>Real Decreto de 24 de julio de 1889. Código civil</w:t>
      </w:r>
    </w:p>
    <w:p w14:paraId="56EF2D2B" w14:textId="47D30436"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148" w:history="1">
        <w:r w:rsidRPr="00DA359F">
          <w:rPr>
            <w:rStyle w:val="TextoNormalCaracter"/>
          </w:rPr>
          <w:t>148/2023</w:t>
        </w:r>
      </w:hyperlink>
      <w:r>
        <w:t>, f. 4.</w:t>
      </w:r>
    </w:p>
    <w:p w14:paraId="07618AAB" w14:textId="017B9A82" w:rsidR="00DA359F" w:rsidRDefault="00DA359F" w:rsidP="00DA359F">
      <w:pPr>
        <w:pStyle w:val="SangriaFrancesaArticulo"/>
      </w:pPr>
      <w:r w:rsidRPr="00DA359F">
        <w:rPr>
          <w:rStyle w:val="TextoNormalNegritaCaracter"/>
        </w:rPr>
        <w:t>Artículo 2.</w:t>
      </w:r>
      <w:r w:rsidRPr="00DA359F">
        <w:rPr>
          <w:rStyle w:val="TextoNormalCaracter"/>
        </w:rPr>
        <w:t>-</w:t>
      </w:r>
      <w:r>
        <w:t xml:space="preserve"> Sentencia </w:t>
      </w:r>
      <w:hyperlink w:anchor="SENTENCIA_2023_149" w:history="1">
        <w:r w:rsidRPr="00DA359F">
          <w:rPr>
            <w:rStyle w:val="TextoNormalCaracter"/>
          </w:rPr>
          <w:t>149/2023</w:t>
        </w:r>
      </w:hyperlink>
      <w:r>
        <w:t>, VP.</w:t>
      </w:r>
    </w:p>
    <w:p w14:paraId="2CFCC304" w14:textId="123CABE1" w:rsidR="00DA359F" w:rsidRDefault="00DA359F" w:rsidP="00DA359F">
      <w:pPr>
        <w:pStyle w:val="SangriaFrancesaArticulo"/>
      </w:pPr>
      <w:r w:rsidRPr="00DA359F">
        <w:rPr>
          <w:rStyle w:val="TextoNormalNegritaCaracter"/>
        </w:rPr>
        <w:t>Artículo 3.1.</w:t>
      </w:r>
      <w:r w:rsidRPr="00DA359F">
        <w:rPr>
          <w:rStyle w:val="TextoNormalCaracter"/>
        </w:rPr>
        <w:t>-</w:t>
      </w:r>
      <w:r>
        <w:t xml:space="preserve"> Sentencia </w:t>
      </w:r>
      <w:hyperlink w:anchor="SENTENCIA_2023_89" w:history="1">
        <w:r w:rsidRPr="00DA359F">
          <w:rPr>
            <w:rStyle w:val="TextoNormalCaracter"/>
          </w:rPr>
          <w:t>89/2023</w:t>
        </w:r>
      </w:hyperlink>
      <w:r>
        <w:t>, VP I.</w:t>
      </w:r>
    </w:p>
    <w:p w14:paraId="7A9F1A81" w14:textId="29B7F916" w:rsidR="00DA359F" w:rsidRDefault="00DA359F" w:rsidP="00DA359F">
      <w:pPr>
        <w:pStyle w:val="SangriaFrancesaArticulo"/>
      </w:pPr>
      <w:r w:rsidRPr="00DA359F">
        <w:rPr>
          <w:rStyle w:val="TextoNormalNegritaCaracter"/>
        </w:rPr>
        <w:t>Artículo 154.</w:t>
      </w:r>
      <w:r w:rsidRPr="00DA359F">
        <w:rPr>
          <w:rStyle w:val="TextoNormalCaracter"/>
        </w:rPr>
        <w:t>-</w:t>
      </w:r>
      <w:r>
        <w:t xml:space="preserve"> Sentencia </w:t>
      </w:r>
      <w:hyperlink w:anchor="SENTENCIA_2023_148" w:history="1">
        <w:r w:rsidRPr="00DA359F">
          <w:rPr>
            <w:rStyle w:val="TextoNormalCaracter"/>
          </w:rPr>
          <w:t>148/2023</w:t>
        </w:r>
      </w:hyperlink>
      <w:r>
        <w:t>, f. 4.</w:t>
      </w:r>
    </w:p>
    <w:p w14:paraId="594EB318" w14:textId="7AEDD4F6" w:rsidR="00DA359F" w:rsidRDefault="00DA359F" w:rsidP="00DA359F">
      <w:pPr>
        <w:pStyle w:val="SangriaFrancesaArticulo"/>
      </w:pPr>
      <w:r w:rsidRPr="00DA359F">
        <w:rPr>
          <w:rStyle w:val="TextoNormalNegritaCaracter"/>
        </w:rPr>
        <w:t>Artículo 156.</w:t>
      </w:r>
      <w:r w:rsidRPr="00DA359F">
        <w:rPr>
          <w:rStyle w:val="TextoNormalCaracter"/>
        </w:rPr>
        <w:t>-</w:t>
      </w:r>
      <w:r>
        <w:t xml:space="preserve"> Sentencia </w:t>
      </w:r>
      <w:hyperlink w:anchor="SENTENCIA_2023_148" w:history="1">
        <w:r w:rsidRPr="00DA359F">
          <w:rPr>
            <w:rStyle w:val="TextoNormalCaracter"/>
          </w:rPr>
          <w:t>148/2023</w:t>
        </w:r>
      </w:hyperlink>
      <w:r>
        <w:t>, f. 4.</w:t>
      </w:r>
    </w:p>
    <w:p w14:paraId="6B76CC93" w14:textId="2D7430B6" w:rsidR="00DA359F" w:rsidRDefault="00DA359F" w:rsidP="00DA359F">
      <w:pPr>
        <w:pStyle w:val="SangriaFrancesaArticulo"/>
      </w:pPr>
      <w:r w:rsidRPr="00DA359F">
        <w:rPr>
          <w:rStyle w:val="TextoNormalNegritaCaracter"/>
        </w:rPr>
        <w:t>Artículo 162.1.</w:t>
      </w:r>
      <w:r w:rsidRPr="00DA359F">
        <w:rPr>
          <w:rStyle w:val="TextoNormalCaracter"/>
        </w:rPr>
        <w:t>-</w:t>
      </w:r>
      <w:r>
        <w:t xml:space="preserve"> Sentencia </w:t>
      </w:r>
      <w:hyperlink w:anchor="SENTENCIA_2023_148" w:history="1">
        <w:r w:rsidRPr="00DA359F">
          <w:rPr>
            <w:rStyle w:val="TextoNormalCaracter"/>
          </w:rPr>
          <w:t>148/2023</w:t>
        </w:r>
      </w:hyperlink>
      <w:r>
        <w:t>, f. 4.</w:t>
      </w:r>
    </w:p>
    <w:p w14:paraId="30427024" w14:textId="69751A02" w:rsidR="00DA359F" w:rsidRDefault="00DA359F" w:rsidP="00DA359F">
      <w:pPr>
        <w:pStyle w:val="SangriaFrancesaArticulo"/>
      </w:pPr>
      <w:r w:rsidRPr="00DA359F">
        <w:rPr>
          <w:rStyle w:val="TextoNormalNegritaCaracter"/>
        </w:rPr>
        <w:t>Artículo 339.</w:t>
      </w:r>
      <w:r w:rsidRPr="00DA359F">
        <w:rPr>
          <w:rStyle w:val="TextoNormalCaracter"/>
        </w:rPr>
        <w:t>-</w:t>
      </w:r>
      <w:r>
        <w:t xml:space="preserve"> Sentencia </w:t>
      </w:r>
      <w:hyperlink w:anchor="SENTENCIA_2023_127" w:history="1">
        <w:r w:rsidRPr="00DA359F">
          <w:rPr>
            <w:rStyle w:val="TextoNormalCaracter"/>
          </w:rPr>
          <w:t>127/2023</w:t>
        </w:r>
      </w:hyperlink>
      <w:r>
        <w:t>, f. 2.</w:t>
      </w:r>
    </w:p>
    <w:p w14:paraId="34DA7DBF" w14:textId="3D16D6FD" w:rsidR="00DA359F" w:rsidRDefault="00DA359F" w:rsidP="00DA359F">
      <w:pPr>
        <w:pStyle w:val="SangriaFrancesaArticulo"/>
      </w:pPr>
    </w:p>
    <w:p w14:paraId="67175D65" w14:textId="77777777" w:rsidR="00DA359F" w:rsidRDefault="00DA359F" w:rsidP="00DA359F">
      <w:pPr>
        <w:pStyle w:val="TextoNormalNegritaCursivandice"/>
        <w:keepNext/>
      </w:pPr>
      <w:r>
        <w:t>Decreto de 8 de febrero de 1946 por el que se aprueba la nueva redacción oficial de la Ley hipotecaria</w:t>
      </w:r>
    </w:p>
    <w:p w14:paraId="243321D7" w14:textId="265DABBA" w:rsidR="00DA359F" w:rsidRDefault="00DA359F" w:rsidP="00DA359F">
      <w:pPr>
        <w:pStyle w:val="SangriaFrancesaArticulo"/>
      </w:pPr>
      <w:r w:rsidRPr="00DA359F">
        <w:rPr>
          <w:rStyle w:val="TextoNormalNegritaCaracter"/>
        </w:rPr>
        <w:t>Artículo 42.1.</w:t>
      </w:r>
      <w:r w:rsidRPr="00DA359F">
        <w:rPr>
          <w:rStyle w:val="TextoNormalCaracter"/>
        </w:rPr>
        <w:t>-</w:t>
      </w:r>
      <w:r>
        <w:t xml:space="preserve"> Autos </w:t>
      </w:r>
      <w:hyperlink w:anchor="AUTO_2023_370" w:history="1">
        <w:r w:rsidRPr="00DA359F">
          <w:rPr>
            <w:rStyle w:val="TextoNormalCaracter"/>
          </w:rPr>
          <w:t>370/2023</w:t>
        </w:r>
      </w:hyperlink>
      <w:r>
        <w:t xml:space="preserve">, f. 2; </w:t>
      </w:r>
      <w:hyperlink w:anchor="AUTO_2023_428" w:history="1">
        <w:r w:rsidRPr="00DA359F">
          <w:rPr>
            <w:rStyle w:val="TextoNormalCaracter"/>
          </w:rPr>
          <w:t>428/2023</w:t>
        </w:r>
      </w:hyperlink>
      <w:r>
        <w:t>, f. 3.</w:t>
      </w:r>
    </w:p>
    <w:p w14:paraId="321068EC" w14:textId="3A95E9B2" w:rsidR="00DA359F" w:rsidRDefault="00DA359F" w:rsidP="00DA359F">
      <w:pPr>
        <w:pStyle w:val="SangriaFrancesaArticulo"/>
      </w:pPr>
    </w:p>
    <w:p w14:paraId="36E0AE8B" w14:textId="77777777" w:rsidR="00DA359F" w:rsidRDefault="00DA359F" w:rsidP="00DA359F">
      <w:pPr>
        <w:pStyle w:val="TextoNormalNegritaCursivandice"/>
        <w:keepNext/>
      </w:pPr>
      <w:r>
        <w:t>Ley de 16 de diciembre de 1954 sobre expropiación forzosa</w:t>
      </w:r>
    </w:p>
    <w:p w14:paraId="0082FB3D" w14:textId="436C3765" w:rsidR="00DA359F" w:rsidRDefault="00DA359F" w:rsidP="00DA359F">
      <w:pPr>
        <w:pStyle w:val="SangriaFrancesaArticulo"/>
      </w:pPr>
      <w:r w:rsidRPr="00DA359F">
        <w:rPr>
          <w:rStyle w:val="TextoNormalNegritaCaracter"/>
        </w:rPr>
        <w:t>En general.</w:t>
      </w:r>
      <w:r w:rsidRPr="00DA359F">
        <w:rPr>
          <w:rStyle w:val="TextoNormalCaracter"/>
        </w:rPr>
        <w:t>-</w:t>
      </w:r>
      <w:r>
        <w:t xml:space="preserve"> Auto </w:t>
      </w:r>
      <w:hyperlink w:anchor="AUTO_2023_669" w:history="1">
        <w:r w:rsidRPr="00DA359F">
          <w:rPr>
            <w:rStyle w:val="TextoNormalCaracter"/>
          </w:rPr>
          <w:t>669/2023</w:t>
        </w:r>
      </w:hyperlink>
      <w:r>
        <w:t>, ff. 1, 2.</w:t>
      </w:r>
    </w:p>
    <w:p w14:paraId="4078785C" w14:textId="68AE4466" w:rsidR="00DA359F" w:rsidRDefault="00DA359F" w:rsidP="00DA359F">
      <w:pPr>
        <w:pStyle w:val="SangriaFrancesaArticulo"/>
      </w:pPr>
    </w:p>
    <w:p w14:paraId="26269B7C" w14:textId="77777777" w:rsidR="00DA359F" w:rsidRDefault="00DA359F" w:rsidP="00DA359F">
      <w:pPr>
        <w:pStyle w:val="TextoNormalNegritaCursivandice"/>
        <w:keepNext/>
      </w:pPr>
      <w:r>
        <w:t>Ley de 27 de diciembre de 1956 reguladora de la jurisdicción contencioso-administrativa</w:t>
      </w:r>
    </w:p>
    <w:p w14:paraId="33F4FD96" w14:textId="426E0AE1" w:rsidR="00DA359F" w:rsidRDefault="00DA359F" w:rsidP="00DA359F">
      <w:pPr>
        <w:pStyle w:val="SangriaFrancesaArticulo"/>
      </w:pPr>
      <w:r w:rsidRPr="00DA359F">
        <w:rPr>
          <w:rStyle w:val="TextoNormalNegritaCaracter"/>
        </w:rPr>
        <w:t>Artículo 4.</w:t>
      </w:r>
      <w:r w:rsidRPr="00DA359F">
        <w:rPr>
          <w:rStyle w:val="TextoNormalCaracter"/>
        </w:rPr>
        <w:t>-</w:t>
      </w:r>
      <w:r>
        <w:t xml:space="preserve"> Sentencia </w:t>
      </w:r>
      <w:hyperlink w:anchor="SENTENCIA_2023_123" w:history="1">
        <w:r w:rsidRPr="00DA359F">
          <w:rPr>
            <w:rStyle w:val="TextoNormalCaracter"/>
          </w:rPr>
          <w:t>123/2023</w:t>
        </w:r>
      </w:hyperlink>
      <w:r>
        <w:t>, f. 2.</w:t>
      </w:r>
    </w:p>
    <w:p w14:paraId="349C1977" w14:textId="6389AE6A" w:rsidR="00DA359F" w:rsidRDefault="00DA359F" w:rsidP="00DA359F">
      <w:pPr>
        <w:pStyle w:val="SangriaFrancesaArticulo"/>
      </w:pPr>
    </w:p>
    <w:p w14:paraId="1C3D5EFE" w14:textId="77777777" w:rsidR="00DA359F" w:rsidRDefault="00DA359F" w:rsidP="00DA359F">
      <w:pPr>
        <w:pStyle w:val="TextoNormalNegritaCursivandice"/>
        <w:keepNext/>
      </w:pPr>
      <w:r>
        <w:t>Ley 22/1973, de 21 de julio, de minas</w:t>
      </w:r>
    </w:p>
    <w:p w14:paraId="414B6996" w14:textId="70A22C14"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127" w:history="1">
        <w:r w:rsidRPr="00DA359F">
          <w:rPr>
            <w:rStyle w:val="TextoNormalCaracter"/>
          </w:rPr>
          <w:t>127/2023</w:t>
        </w:r>
      </w:hyperlink>
      <w:r>
        <w:t>, f. 3.</w:t>
      </w:r>
    </w:p>
    <w:p w14:paraId="38A00789" w14:textId="74273471" w:rsidR="00DA359F" w:rsidRDefault="00DA359F" w:rsidP="00DA359F">
      <w:pPr>
        <w:pStyle w:val="SangriaFrancesaArticulo"/>
      </w:pPr>
      <w:r w:rsidRPr="00DA359F">
        <w:rPr>
          <w:rStyle w:val="TextoNormalNegritaCaracter"/>
        </w:rPr>
        <w:t>Artículo 2.1.</w:t>
      </w:r>
      <w:r w:rsidRPr="00DA359F">
        <w:rPr>
          <w:rStyle w:val="TextoNormalCaracter"/>
        </w:rPr>
        <w:t>-</w:t>
      </w:r>
      <w:r>
        <w:t xml:space="preserve"> Sentencia </w:t>
      </w:r>
      <w:hyperlink w:anchor="SENTENCIA_2023_127" w:history="1">
        <w:r w:rsidRPr="00DA359F">
          <w:rPr>
            <w:rStyle w:val="TextoNormalCaracter"/>
          </w:rPr>
          <w:t>127/2023</w:t>
        </w:r>
      </w:hyperlink>
      <w:r>
        <w:t>, f. 2.</w:t>
      </w:r>
    </w:p>
    <w:p w14:paraId="6BF86A43" w14:textId="30C9B914" w:rsidR="00DA359F" w:rsidRDefault="00DA359F" w:rsidP="00DA359F">
      <w:pPr>
        <w:pStyle w:val="SangriaFrancesaArticulo"/>
      </w:pPr>
      <w:r w:rsidRPr="00DA359F">
        <w:rPr>
          <w:rStyle w:val="TextoNormalNegritaCaracter"/>
        </w:rPr>
        <w:t>Artículo 73.</w:t>
      </w:r>
      <w:r w:rsidRPr="00DA359F">
        <w:rPr>
          <w:rStyle w:val="TextoNormalCaracter"/>
        </w:rPr>
        <w:t>-</w:t>
      </w:r>
      <w:r>
        <w:t xml:space="preserve"> Sentencia </w:t>
      </w:r>
      <w:hyperlink w:anchor="SENTENCIA_2023_127" w:history="1">
        <w:r w:rsidRPr="00DA359F">
          <w:rPr>
            <w:rStyle w:val="TextoNormalCaracter"/>
          </w:rPr>
          <w:t>127/2023</w:t>
        </w:r>
      </w:hyperlink>
      <w:r>
        <w:t>, VP.</w:t>
      </w:r>
    </w:p>
    <w:p w14:paraId="73B59126" w14:textId="6188794A" w:rsidR="00DA359F" w:rsidRDefault="00DA359F" w:rsidP="00DA359F">
      <w:pPr>
        <w:pStyle w:val="SangriaFrancesaArticulo"/>
      </w:pPr>
      <w:r w:rsidRPr="00DA359F">
        <w:rPr>
          <w:rStyle w:val="TextoNormalNegritaCaracter"/>
        </w:rPr>
        <w:t>Artículo 73.1.</w:t>
      </w:r>
      <w:r w:rsidRPr="00DA359F">
        <w:rPr>
          <w:rStyle w:val="TextoNormalCaracter"/>
        </w:rPr>
        <w:t>-</w:t>
      </w:r>
      <w:r>
        <w:t xml:space="preserve"> Sentencia </w:t>
      </w:r>
      <w:hyperlink w:anchor="SENTENCIA_2023_127" w:history="1">
        <w:r w:rsidRPr="00DA359F">
          <w:rPr>
            <w:rStyle w:val="TextoNormalCaracter"/>
          </w:rPr>
          <w:t>127/2023</w:t>
        </w:r>
      </w:hyperlink>
      <w:r>
        <w:t>, ff. 3, 4, VP.</w:t>
      </w:r>
    </w:p>
    <w:p w14:paraId="09D837D3" w14:textId="46E253CC" w:rsidR="00DA359F" w:rsidRDefault="00DA359F" w:rsidP="00DA359F">
      <w:pPr>
        <w:pStyle w:val="SangriaFrancesaArticulo"/>
      </w:pPr>
    </w:p>
    <w:p w14:paraId="0C3C3C0E" w14:textId="77777777" w:rsidR="00DA359F" w:rsidRDefault="00DA359F" w:rsidP="00DA359F">
      <w:pPr>
        <w:pStyle w:val="TextoNormalNegritaCursivandice"/>
        <w:keepNext/>
      </w:pPr>
      <w:r>
        <w:t>Ley 50/1977, de 14 de noviembre. Medidas urgentes de reforma fiscal</w:t>
      </w:r>
    </w:p>
    <w:p w14:paraId="4DF51B77" w14:textId="296083B3"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149" w:history="1">
        <w:r w:rsidRPr="00DA359F">
          <w:rPr>
            <w:rStyle w:val="TextoNormalCaracter"/>
          </w:rPr>
          <w:t>149/2023</w:t>
        </w:r>
      </w:hyperlink>
      <w:r>
        <w:t>, f. 3.</w:t>
      </w:r>
    </w:p>
    <w:p w14:paraId="77E62F0D" w14:textId="54A80C85" w:rsidR="00DA359F" w:rsidRDefault="00DA359F" w:rsidP="00DA359F">
      <w:pPr>
        <w:pStyle w:val="SangriaFrancesaArticulo"/>
      </w:pPr>
    </w:p>
    <w:p w14:paraId="2564423A" w14:textId="77777777" w:rsidR="00DA359F" w:rsidRDefault="00DA359F" w:rsidP="00DA359F">
      <w:pPr>
        <w:pStyle w:val="TextoNormalNegritaCursivandice"/>
        <w:keepNext/>
      </w:pPr>
      <w:r>
        <w:t>Real Decreto 2857/1978, de 25 de agosto, por el que se aprueba el reglamento general para el régimen de la minería</w:t>
      </w:r>
    </w:p>
    <w:p w14:paraId="779B9818" w14:textId="014C3A84" w:rsidR="00DA359F" w:rsidRDefault="00DA359F" w:rsidP="00DA359F">
      <w:pPr>
        <w:pStyle w:val="SangriaFrancesaArticulo"/>
      </w:pPr>
      <w:r w:rsidRPr="00DA359F">
        <w:rPr>
          <w:rStyle w:val="TextoNormalNegritaCaracter"/>
        </w:rPr>
        <w:t>Artículo 57.2.</w:t>
      </w:r>
      <w:r w:rsidRPr="00DA359F">
        <w:rPr>
          <w:rStyle w:val="TextoNormalCaracter"/>
        </w:rPr>
        <w:t>-</w:t>
      </w:r>
      <w:r>
        <w:t xml:space="preserve"> Sentencia </w:t>
      </w:r>
      <w:hyperlink w:anchor="SENTENCIA_2023_127" w:history="1">
        <w:r w:rsidRPr="00DA359F">
          <w:rPr>
            <w:rStyle w:val="TextoNormalCaracter"/>
          </w:rPr>
          <w:t>127/2023</w:t>
        </w:r>
      </w:hyperlink>
      <w:r>
        <w:t>, f. 1.</w:t>
      </w:r>
    </w:p>
    <w:p w14:paraId="42B732E7" w14:textId="0928A701" w:rsidR="00DA359F" w:rsidRDefault="00DA359F" w:rsidP="00DA359F">
      <w:pPr>
        <w:pStyle w:val="TextoNormal"/>
      </w:pPr>
    </w:p>
    <w:p w14:paraId="5C080D6A" w14:textId="77777777" w:rsidR="00DA359F" w:rsidRDefault="00DA359F" w:rsidP="00DA359F">
      <w:pPr>
        <w:pStyle w:val="SangriaFrancesaArticulo"/>
      </w:pPr>
      <w:bookmarkStart w:id="489" w:name="INDICE22851"/>
    </w:p>
    <w:bookmarkEnd w:id="489"/>
    <w:p w14:paraId="2CA06E32" w14:textId="77777777" w:rsidR="00DA359F" w:rsidRDefault="00DA359F" w:rsidP="00DA359F">
      <w:pPr>
        <w:pStyle w:val="TextoIndiceNivel2"/>
        <w:suppressAutoHyphens/>
      </w:pPr>
      <w:r>
        <w:t>J) Comunidades y Ciudades Autónomas</w:t>
      </w:r>
    </w:p>
    <w:p w14:paraId="77E9919E" w14:textId="56844D90" w:rsidR="00DA359F" w:rsidRDefault="00DA359F" w:rsidP="00DA359F">
      <w:pPr>
        <w:pStyle w:val="TextoNormal"/>
      </w:pPr>
    </w:p>
    <w:p w14:paraId="3BA0D1DF" w14:textId="77777777" w:rsidR="00DA359F" w:rsidRDefault="00DA359F" w:rsidP="00DA359F">
      <w:pPr>
        <w:pStyle w:val="TextoNormalNegritaCentrado"/>
        <w:suppressAutoHyphens/>
      </w:pPr>
      <w:r w:rsidRPr="00DA359F">
        <w:rPr>
          <w:rStyle w:val="TextoNormalNegritaCentradoSombreado"/>
        </w:rPr>
        <w:t>J.1) Andalucía</w:t>
      </w:r>
    </w:p>
    <w:p w14:paraId="28384B3A" w14:textId="12AAC052" w:rsidR="00DA359F" w:rsidRDefault="00DA359F" w:rsidP="00DA359F">
      <w:pPr>
        <w:pStyle w:val="TextoNormal"/>
      </w:pPr>
    </w:p>
    <w:p w14:paraId="53EB2E5C" w14:textId="77777777" w:rsidR="00DA359F" w:rsidRDefault="00DA359F" w:rsidP="00DA359F">
      <w:pPr>
        <w:pStyle w:val="TextoNormalNegritaCentradoSubrayado"/>
        <w:suppressAutoHyphens/>
      </w:pPr>
      <w:r>
        <w:t>J.1.d) Disposiciones parlamentarias autonómicas</w:t>
      </w:r>
    </w:p>
    <w:p w14:paraId="43FC89B0" w14:textId="4A3AFC3B" w:rsidR="00DA359F" w:rsidRDefault="00DA359F" w:rsidP="00DA359F">
      <w:pPr>
        <w:pStyle w:val="TextoNormalNegritaCentradoSubrayado"/>
      </w:pPr>
    </w:p>
    <w:p w14:paraId="24A0F06E" w14:textId="77777777" w:rsidR="00DA359F" w:rsidRDefault="00DA359F" w:rsidP="00DA359F">
      <w:pPr>
        <w:pStyle w:val="TextoNormalNegritaCursivandice"/>
        <w:keepNext/>
      </w:pPr>
      <w:r>
        <w:t>Comunidad Autónoma de Andalucía. Reglamento del Parlamento de Andalucía, de 28 de septiembre de 2005</w:t>
      </w:r>
    </w:p>
    <w:p w14:paraId="5F6BF3A0" w14:textId="7CEE583A" w:rsidR="00DA359F" w:rsidRDefault="00DA359F" w:rsidP="00DA359F">
      <w:pPr>
        <w:pStyle w:val="SangriaFrancesaArticulo"/>
      </w:pPr>
      <w:r w:rsidRPr="00DA359F">
        <w:rPr>
          <w:rStyle w:val="TextoNormalNegritaCaracter"/>
        </w:rPr>
        <w:t>Artículo 23.</w:t>
      </w:r>
      <w:r w:rsidRPr="00DA359F">
        <w:rPr>
          <w:rStyle w:val="TextoNormalCaracter"/>
        </w:rPr>
        <w:t>-</w:t>
      </w:r>
      <w:r>
        <w:t xml:space="preserve"> Sentencia </w:t>
      </w:r>
      <w:hyperlink w:anchor="SENTENCIA_2023_93" w:history="1">
        <w:r w:rsidRPr="00DA359F">
          <w:rPr>
            <w:rStyle w:val="TextoNormalCaracter"/>
          </w:rPr>
          <w:t>93/2023</w:t>
        </w:r>
      </w:hyperlink>
      <w:r>
        <w:t>, f. 4.</w:t>
      </w:r>
    </w:p>
    <w:p w14:paraId="63C24595" w14:textId="551DAE22" w:rsidR="00DA359F" w:rsidRDefault="00DA359F" w:rsidP="00DA359F">
      <w:pPr>
        <w:pStyle w:val="SangriaFrancesaArticulo"/>
      </w:pPr>
      <w:r w:rsidRPr="00DA359F">
        <w:rPr>
          <w:rStyle w:val="TextoNormalNegritaCaracter"/>
        </w:rPr>
        <w:t>Artículo 24.1.</w:t>
      </w:r>
      <w:r w:rsidRPr="00DA359F">
        <w:rPr>
          <w:rStyle w:val="TextoNormalCaracter"/>
        </w:rPr>
        <w:t>-</w:t>
      </w:r>
      <w:r>
        <w:t xml:space="preserve"> Sentencia </w:t>
      </w:r>
      <w:hyperlink w:anchor="SENTENCIA_2023_93" w:history="1">
        <w:r w:rsidRPr="00DA359F">
          <w:rPr>
            <w:rStyle w:val="TextoNormalCaracter"/>
          </w:rPr>
          <w:t>93/2023</w:t>
        </w:r>
      </w:hyperlink>
      <w:r>
        <w:t>, ff. 1, 4.</w:t>
      </w:r>
    </w:p>
    <w:p w14:paraId="68D99AE5" w14:textId="3ADFBBA9" w:rsidR="00DA359F" w:rsidRDefault="00DA359F" w:rsidP="00DA359F">
      <w:pPr>
        <w:pStyle w:val="SangriaFrancesaArticulo"/>
      </w:pPr>
      <w:r w:rsidRPr="00DA359F">
        <w:rPr>
          <w:rStyle w:val="TextoNormalNegritaCaracter"/>
        </w:rPr>
        <w:t>Artículo 24.2.</w:t>
      </w:r>
      <w:r w:rsidRPr="00DA359F">
        <w:rPr>
          <w:rStyle w:val="TextoNormalCaracter"/>
        </w:rPr>
        <w:t>-</w:t>
      </w:r>
      <w:r>
        <w:t xml:space="preserve"> Sentencia </w:t>
      </w:r>
      <w:hyperlink w:anchor="SENTENCIA_2023_93" w:history="1">
        <w:r w:rsidRPr="00DA359F">
          <w:rPr>
            <w:rStyle w:val="TextoNormalCaracter"/>
          </w:rPr>
          <w:t>93/2023</w:t>
        </w:r>
      </w:hyperlink>
      <w:r>
        <w:t>, f. 4.</w:t>
      </w:r>
    </w:p>
    <w:p w14:paraId="320A9FDF" w14:textId="02829879" w:rsidR="00DA359F" w:rsidRDefault="00DA359F" w:rsidP="00DA359F">
      <w:pPr>
        <w:pStyle w:val="SangriaFrancesaArticulo"/>
      </w:pPr>
      <w:r w:rsidRPr="00DA359F">
        <w:rPr>
          <w:rStyle w:val="TextoNormalNegritaCaracter"/>
        </w:rPr>
        <w:t>Artículo 24.2 c.</w:t>
      </w:r>
      <w:r w:rsidRPr="00DA359F">
        <w:rPr>
          <w:rStyle w:val="TextoNormalCaracter"/>
        </w:rPr>
        <w:t>-</w:t>
      </w:r>
      <w:r>
        <w:t xml:space="preserve"> Sentencia </w:t>
      </w:r>
      <w:hyperlink w:anchor="SENTENCIA_2023_93" w:history="1">
        <w:r w:rsidRPr="00DA359F">
          <w:rPr>
            <w:rStyle w:val="TextoNormalCaracter"/>
          </w:rPr>
          <w:t>93/2023</w:t>
        </w:r>
      </w:hyperlink>
      <w:r>
        <w:t>, f. 4.</w:t>
      </w:r>
    </w:p>
    <w:p w14:paraId="0EBF96F2" w14:textId="670E7E28" w:rsidR="00DA359F" w:rsidRDefault="00DA359F" w:rsidP="00DA359F">
      <w:pPr>
        <w:pStyle w:val="SangriaFrancesaArticulo"/>
      </w:pPr>
    </w:p>
    <w:p w14:paraId="7843ABD7" w14:textId="77777777" w:rsidR="00DA359F" w:rsidRDefault="00DA359F" w:rsidP="00DA359F">
      <w:pPr>
        <w:pStyle w:val="TextoNormalNegritaCursivandice"/>
        <w:keepNext/>
      </w:pPr>
      <w:r>
        <w:t>Comunidad Autónoma de Andalucía. Acuerdo de la mesa del Parlamento de Andalucía de 18 de noviembre de 2020, de adquisición de la condición de diputados no adscritos. Acuerdo del mismo órgano, de 25 de noviembre de 2020, que desestima los recursos de reconsideración</w:t>
      </w:r>
    </w:p>
    <w:p w14:paraId="598BB44A" w14:textId="23580A91"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93" w:history="1">
        <w:r w:rsidRPr="00DA359F">
          <w:rPr>
            <w:rStyle w:val="TextoNormalCaracter"/>
          </w:rPr>
          <w:t>93/2023</w:t>
        </w:r>
      </w:hyperlink>
      <w:r>
        <w:t>.</w:t>
      </w:r>
    </w:p>
    <w:p w14:paraId="27FFA5D4" w14:textId="158990FB" w:rsidR="00DA359F" w:rsidRDefault="00DA359F" w:rsidP="00DA359F">
      <w:pPr>
        <w:pStyle w:val="TextoNormal"/>
      </w:pPr>
    </w:p>
    <w:p w14:paraId="661C778A" w14:textId="77777777" w:rsidR="00DA359F" w:rsidRDefault="00DA359F" w:rsidP="00DA359F">
      <w:pPr>
        <w:pStyle w:val="TextoNormalNegritaCentrado"/>
        <w:suppressAutoHyphens/>
      </w:pPr>
      <w:r w:rsidRPr="00DA359F">
        <w:rPr>
          <w:rStyle w:val="TextoNormalNegritaCentradoSombreado"/>
        </w:rPr>
        <w:t>J.2) Aragón</w:t>
      </w:r>
    </w:p>
    <w:p w14:paraId="4595909F" w14:textId="15D9F86F" w:rsidR="00DA359F" w:rsidRDefault="00DA359F" w:rsidP="00DA359F">
      <w:pPr>
        <w:pStyle w:val="TextoNormal"/>
      </w:pPr>
    </w:p>
    <w:p w14:paraId="176D9F71" w14:textId="77777777" w:rsidR="00DA359F" w:rsidRDefault="00DA359F" w:rsidP="00DA359F">
      <w:pPr>
        <w:pStyle w:val="TextoNormalNegritaCentradoSubrayado"/>
        <w:suppressAutoHyphens/>
      </w:pPr>
      <w:r>
        <w:t>J.2.b) Leyes y disposiciones con fuerza de Ley</w:t>
      </w:r>
    </w:p>
    <w:p w14:paraId="2387ABFA" w14:textId="26DD6B64" w:rsidR="00DA359F" w:rsidRDefault="00DA359F" w:rsidP="00DA359F">
      <w:pPr>
        <w:pStyle w:val="TextoNormalNegritaCentradoSubrayado"/>
      </w:pPr>
    </w:p>
    <w:p w14:paraId="0E91FCA8" w14:textId="77777777" w:rsidR="00DA359F" w:rsidRDefault="00DA359F" w:rsidP="00DA359F">
      <w:pPr>
        <w:pStyle w:val="TextoNormalNegritaCursivandice"/>
        <w:keepNext/>
      </w:pPr>
      <w:r>
        <w:t>Comunidad Autónoma de Aragón. Decreto Legislativo 1/2011, de 22 de marzo, del Gobierno de Aragón, por el que se aprueba, con el título de «Código del Derecho Foral de Aragón», el texto refundido de las Leyes civiles aragonesas</w:t>
      </w:r>
    </w:p>
    <w:p w14:paraId="01F796B2" w14:textId="477BAA4E" w:rsidR="00DA359F" w:rsidRDefault="00DA359F" w:rsidP="00DA359F">
      <w:pPr>
        <w:pStyle w:val="SangriaFrancesaArticulo"/>
      </w:pPr>
      <w:r w:rsidRPr="00DA359F">
        <w:rPr>
          <w:rStyle w:val="TextoNormalNegritaCaracter"/>
        </w:rPr>
        <w:t>Artículo 12.1.</w:t>
      </w:r>
      <w:r w:rsidRPr="00DA359F">
        <w:rPr>
          <w:rStyle w:val="TextoNormalCaracter"/>
        </w:rPr>
        <w:t>-</w:t>
      </w:r>
      <w:r>
        <w:t xml:space="preserve"> Sentencia </w:t>
      </w:r>
      <w:hyperlink w:anchor="SENTENCIA_2023_148" w:history="1">
        <w:r w:rsidRPr="00DA359F">
          <w:rPr>
            <w:rStyle w:val="TextoNormalCaracter"/>
          </w:rPr>
          <w:t>148/2023</w:t>
        </w:r>
      </w:hyperlink>
      <w:r>
        <w:t>, f. 4.</w:t>
      </w:r>
    </w:p>
    <w:p w14:paraId="196CFAFD" w14:textId="6A48EB77" w:rsidR="00DA359F" w:rsidRDefault="00DA359F" w:rsidP="00DA359F">
      <w:pPr>
        <w:pStyle w:val="SangriaFrancesaArticulo"/>
      </w:pPr>
      <w:r w:rsidRPr="00DA359F">
        <w:rPr>
          <w:rStyle w:val="TextoNormalNegritaCaracter"/>
        </w:rPr>
        <w:t>Artículo 63.1.</w:t>
      </w:r>
      <w:r w:rsidRPr="00DA359F">
        <w:rPr>
          <w:rStyle w:val="TextoNormalCaracter"/>
        </w:rPr>
        <w:t>-</w:t>
      </w:r>
      <w:r>
        <w:t xml:space="preserve"> Sentencia </w:t>
      </w:r>
      <w:hyperlink w:anchor="SENTENCIA_2023_148" w:history="1">
        <w:r w:rsidRPr="00DA359F">
          <w:rPr>
            <w:rStyle w:val="TextoNormalCaracter"/>
          </w:rPr>
          <w:t>148/2023</w:t>
        </w:r>
      </w:hyperlink>
      <w:r>
        <w:t>, f. 4.</w:t>
      </w:r>
    </w:p>
    <w:p w14:paraId="421E7937" w14:textId="11260852" w:rsidR="00DA359F" w:rsidRDefault="00DA359F" w:rsidP="00DA359F">
      <w:pPr>
        <w:pStyle w:val="SangriaFrancesaArticulo"/>
      </w:pPr>
      <w:r w:rsidRPr="00DA359F">
        <w:rPr>
          <w:rStyle w:val="TextoNormalNegritaCaracter"/>
        </w:rPr>
        <w:t>Artículo 74.1.</w:t>
      </w:r>
      <w:r w:rsidRPr="00DA359F">
        <w:rPr>
          <w:rStyle w:val="TextoNormalCaracter"/>
        </w:rPr>
        <w:t>-</w:t>
      </w:r>
      <w:r>
        <w:t xml:space="preserve"> Sentencia </w:t>
      </w:r>
      <w:hyperlink w:anchor="SENTENCIA_2023_148" w:history="1">
        <w:r w:rsidRPr="00DA359F">
          <w:rPr>
            <w:rStyle w:val="TextoNormalCaracter"/>
          </w:rPr>
          <w:t>148/2023</w:t>
        </w:r>
      </w:hyperlink>
      <w:r>
        <w:t>, ff. 4, 5.</w:t>
      </w:r>
    </w:p>
    <w:p w14:paraId="21B4FCC1" w14:textId="375139AD" w:rsidR="00DA359F" w:rsidRDefault="00DA359F" w:rsidP="00DA359F">
      <w:pPr>
        <w:pStyle w:val="TextoNormal"/>
      </w:pPr>
    </w:p>
    <w:p w14:paraId="707B0EAD" w14:textId="77777777" w:rsidR="00DA359F" w:rsidRDefault="00DA359F" w:rsidP="00DA359F">
      <w:pPr>
        <w:pStyle w:val="TextoNormalNegritaCentrado"/>
        <w:suppressAutoHyphens/>
      </w:pPr>
      <w:r w:rsidRPr="00DA359F">
        <w:rPr>
          <w:rStyle w:val="TextoNormalNegritaCentradoSombreado"/>
        </w:rPr>
        <w:t>J.3) Asturias</w:t>
      </w:r>
    </w:p>
    <w:p w14:paraId="5BAD58B1" w14:textId="24306AB9" w:rsidR="00DA359F" w:rsidRDefault="00DA359F" w:rsidP="00DA359F">
      <w:pPr>
        <w:pStyle w:val="TextoNormal"/>
      </w:pPr>
    </w:p>
    <w:p w14:paraId="50EAEC32" w14:textId="77777777" w:rsidR="00DA359F" w:rsidRDefault="00DA359F" w:rsidP="00DA359F">
      <w:pPr>
        <w:pStyle w:val="TextoNormalNegritaCentradoSubrayado"/>
        <w:suppressAutoHyphens/>
      </w:pPr>
      <w:r>
        <w:t>J.3.d) Disposiciones parlamentarias autonómicas</w:t>
      </w:r>
    </w:p>
    <w:p w14:paraId="7CA73904" w14:textId="36435A45" w:rsidR="00DA359F" w:rsidRDefault="00DA359F" w:rsidP="00DA359F">
      <w:pPr>
        <w:pStyle w:val="TextoNormalNegritaCentradoSubrayado"/>
      </w:pPr>
    </w:p>
    <w:p w14:paraId="4BB4C434" w14:textId="77777777" w:rsidR="00DA359F" w:rsidRDefault="00DA359F" w:rsidP="00DA359F">
      <w:pPr>
        <w:pStyle w:val="TextoNormalNegritaCursivandice"/>
        <w:keepNext/>
      </w:pPr>
      <w:r>
        <w:t>Comunidad Autónoma de Asturias. Reglamento de la Junta General del Principado de Asturias, de 24 de abril de 1985</w:t>
      </w:r>
    </w:p>
    <w:p w14:paraId="218F6F70" w14:textId="2C0E100C" w:rsidR="00DA359F" w:rsidRDefault="00DA359F" w:rsidP="00DA359F">
      <w:pPr>
        <w:pStyle w:val="SangriaFrancesaArticulo"/>
      </w:pPr>
      <w:r w:rsidRPr="00DA359F">
        <w:rPr>
          <w:rStyle w:val="TextoNormalNegritaCaracter"/>
        </w:rPr>
        <w:t>Artículo 77.</w:t>
      </w:r>
      <w:r w:rsidRPr="00DA359F">
        <w:rPr>
          <w:rStyle w:val="TextoNormalCaracter"/>
        </w:rPr>
        <w:t>-</w:t>
      </w:r>
      <w:r>
        <w:t xml:space="preserve"> Sentencia </w:t>
      </w:r>
      <w:hyperlink w:anchor="SENTENCIA_2023_167" w:history="1">
        <w:r w:rsidRPr="00DA359F">
          <w:rPr>
            <w:rStyle w:val="TextoNormalCaracter"/>
          </w:rPr>
          <w:t>167/2023</w:t>
        </w:r>
      </w:hyperlink>
      <w:r>
        <w:t>, f. 10.</w:t>
      </w:r>
    </w:p>
    <w:p w14:paraId="256E3AEA" w14:textId="10D6F55B" w:rsidR="00DA359F" w:rsidRDefault="00DA359F" w:rsidP="00DA359F">
      <w:pPr>
        <w:pStyle w:val="TextoNormal"/>
      </w:pPr>
    </w:p>
    <w:p w14:paraId="54C86D6E" w14:textId="77777777" w:rsidR="00DA359F" w:rsidRDefault="00DA359F" w:rsidP="00DA359F">
      <w:pPr>
        <w:pStyle w:val="TextoNormalNegritaCentrado"/>
        <w:suppressAutoHyphens/>
      </w:pPr>
      <w:r w:rsidRPr="00DA359F">
        <w:rPr>
          <w:rStyle w:val="TextoNormalNegritaCentradoSombreado"/>
        </w:rPr>
        <w:t>J.4) Baleares</w:t>
      </w:r>
    </w:p>
    <w:p w14:paraId="7AC2AD23" w14:textId="19791286" w:rsidR="00DA359F" w:rsidRDefault="00DA359F" w:rsidP="00DA359F">
      <w:pPr>
        <w:pStyle w:val="TextoNormal"/>
      </w:pPr>
    </w:p>
    <w:p w14:paraId="466CC686" w14:textId="77777777" w:rsidR="00DA359F" w:rsidRDefault="00DA359F" w:rsidP="00DA359F">
      <w:pPr>
        <w:pStyle w:val="TextoNormalNegritaCentradoSubrayado"/>
        <w:suppressAutoHyphens/>
      </w:pPr>
      <w:r>
        <w:t>J.4.a) Estatuto de Autonomía</w:t>
      </w:r>
    </w:p>
    <w:p w14:paraId="769FB3AA" w14:textId="67BC85FA" w:rsidR="00DA359F" w:rsidRDefault="00DA359F" w:rsidP="00DA359F">
      <w:pPr>
        <w:pStyle w:val="TextoNormalNegritaCentradoSubrayado"/>
      </w:pPr>
    </w:p>
    <w:p w14:paraId="04766DE5" w14:textId="77777777" w:rsidR="00DA359F" w:rsidRDefault="00DA359F" w:rsidP="00DA359F">
      <w:pPr>
        <w:pStyle w:val="TextoNormalNegritaCursivandice"/>
        <w:keepNext/>
      </w:pPr>
      <w:r>
        <w:t>Ley Orgánica 1/2007, de 28 de febrero, de reforma del Estatuto de Autonomía de las Illes Balears</w:t>
      </w:r>
    </w:p>
    <w:p w14:paraId="0BEDC1EB" w14:textId="52C5C7C1" w:rsidR="00DA359F" w:rsidRDefault="00DA359F" w:rsidP="00DA359F">
      <w:pPr>
        <w:pStyle w:val="SangriaFrancesaArticulo"/>
      </w:pPr>
      <w:r w:rsidRPr="00DA359F">
        <w:rPr>
          <w:rStyle w:val="TextoNormalNegritaCaracter"/>
        </w:rPr>
        <w:t>Artículo 30.24.</w:t>
      </w:r>
      <w:r w:rsidRPr="00DA359F">
        <w:rPr>
          <w:rStyle w:val="TextoNormalCaracter"/>
        </w:rPr>
        <w:t>-</w:t>
      </w:r>
      <w:r>
        <w:t xml:space="preserve"> Auto </w:t>
      </w:r>
      <w:hyperlink w:anchor="AUTO_2023_485" w:history="1">
        <w:r w:rsidRPr="00DA359F">
          <w:rPr>
            <w:rStyle w:val="TextoNormalCaracter"/>
          </w:rPr>
          <w:t>485/2023</w:t>
        </w:r>
      </w:hyperlink>
      <w:r>
        <w:t>, f. 3.</w:t>
      </w:r>
    </w:p>
    <w:p w14:paraId="44D11269" w14:textId="2A883C9B" w:rsidR="00DA359F" w:rsidRDefault="00DA359F" w:rsidP="00DA359F">
      <w:pPr>
        <w:pStyle w:val="SangriaFrancesaArticulo"/>
      </w:pPr>
      <w:r w:rsidRPr="00DA359F">
        <w:rPr>
          <w:rStyle w:val="TextoNormalNegritaCaracter"/>
        </w:rPr>
        <w:t>Artículo 30.25.</w:t>
      </w:r>
      <w:r w:rsidRPr="00DA359F">
        <w:rPr>
          <w:rStyle w:val="TextoNormalCaracter"/>
        </w:rPr>
        <w:t>-</w:t>
      </w:r>
      <w:r>
        <w:t xml:space="preserve"> Auto </w:t>
      </w:r>
      <w:hyperlink w:anchor="AUTO_2023_485" w:history="1">
        <w:r w:rsidRPr="00DA359F">
          <w:rPr>
            <w:rStyle w:val="TextoNormalCaracter"/>
          </w:rPr>
          <w:t>485/2023</w:t>
        </w:r>
      </w:hyperlink>
      <w:r>
        <w:t>, f. 3.</w:t>
      </w:r>
    </w:p>
    <w:p w14:paraId="2D5DE087" w14:textId="3DECA5A1" w:rsidR="00DA359F" w:rsidRDefault="00DA359F" w:rsidP="00DA359F">
      <w:pPr>
        <w:pStyle w:val="SangriaFrancesaArticulo"/>
      </w:pPr>
      <w:r w:rsidRPr="00DA359F">
        <w:rPr>
          <w:rStyle w:val="TextoNormalNegritaCaracter"/>
        </w:rPr>
        <w:t>Artículo 39.</w:t>
      </w:r>
      <w:r w:rsidRPr="00DA359F">
        <w:rPr>
          <w:rStyle w:val="TextoNormalCaracter"/>
        </w:rPr>
        <w:t>-</w:t>
      </w:r>
      <w:r>
        <w:t xml:space="preserve"> Auto </w:t>
      </w:r>
      <w:hyperlink w:anchor="AUTO_2023_485" w:history="1">
        <w:r w:rsidRPr="00DA359F">
          <w:rPr>
            <w:rStyle w:val="TextoNormalCaracter"/>
          </w:rPr>
          <w:t>485/2023</w:t>
        </w:r>
      </w:hyperlink>
      <w:r>
        <w:t>, f. 3.</w:t>
      </w:r>
    </w:p>
    <w:p w14:paraId="1775D715" w14:textId="09E7A005" w:rsidR="00DA359F" w:rsidRDefault="00DA359F" w:rsidP="00DA359F">
      <w:pPr>
        <w:pStyle w:val="SangriaFrancesaArticulo"/>
      </w:pPr>
      <w:r w:rsidRPr="00DA359F">
        <w:rPr>
          <w:rStyle w:val="TextoNormalNegritaCaracter"/>
        </w:rPr>
        <w:t>Artículo 63.2.</w:t>
      </w:r>
      <w:r w:rsidRPr="00DA359F">
        <w:rPr>
          <w:rStyle w:val="TextoNormalCaracter"/>
        </w:rPr>
        <w:t>-</w:t>
      </w:r>
      <w:r>
        <w:t xml:space="preserve"> Auto </w:t>
      </w:r>
      <w:hyperlink w:anchor="AUTO_2023_354" w:history="1">
        <w:r w:rsidRPr="00DA359F">
          <w:rPr>
            <w:rStyle w:val="TextoNormalCaracter"/>
          </w:rPr>
          <w:t>354/2023</w:t>
        </w:r>
      </w:hyperlink>
      <w:r>
        <w:t>, f. 4.</w:t>
      </w:r>
    </w:p>
    <w:p w14:paraId="3CF3147D" w14:textId="5CE343B5" w:rsidR="00DA359F" w:rsidRDefault="00DA359F" w:rsidP="00DA359F">
      <w:pPr>
        <w:pStyle w:val="SangriaFrancesaArticulo"/>
      </w:pPr>
      <w:r w:rsidRPr="00DA359F">
        <w:rPr>
          <w:rStyle w:val="TextoNormalNegritaCaracter"/>
        </w:rPr>
        <w:t>Artículo 70.</w:t>
      </w:r>
      <w:r w:rsidRPr="00DA359F">
        <w:rPr>
          <w:rStyle w:val="TextoNormalCaracter"/>
        </w:rPr>
        <w:t>-</w:t>
      </w:r>
      <w:r>
        <w:t xml:space="preserve"> Auto </w:t>
      </w:r>
      <w:hyperlink w:anchor="AUTO_2023_485" w:history="1">
        <w:r w:rsidRPr="00DA359F">
          <w:rPr>
            <w:rStyle w:val="TextoNormalCaracter"/>
          </w:rPr>
          <w:t>485/2023</w:t>
        </w:r>
      </w:hyperlink>
      <w:r>
        <w:t>, f. 3.</w:t>
      </w:r>
    </w:p>
    <w:p w14:paraId="40FA694C" w14:textId="672B22D8" w:rsidR="00DA359F" w:rsidRDefault="00DA359F" w:rsidP="00DA359F">
      <w:pPr>
        <w:pStyle w:val="SangriaFrancesaArticulo"/>
      </w:pPr>
      <w:r w:rsidRPr="00DA359F">
        <w:rPr>
          <w:rStyle w:val="TextoNormalNegritaCaracter"/>
        </w:rPr>
        <w:t>Artículo 84.1.</w:t>
      </w:r>
      <w:r w:rsidRPr="00DA359F">
        <w:rPr>
          <w:rStyle w:val="TextoNormalCaracter"/>
        </w:rPr>
        <w:t>-</w:t>
      </w:r>
      <w:r>
        <w:t xml:space="preserve"> Auto </w:t>
      </w:r>
      <w:hyperlink w:anchor="AUTO_2023_485" w:history="1">
        <w:r w:rsidRPr="00DA359F">
          <w:rPr>
            <w:rStyle w:val="TextoNormalCaracter"/>
          </w:rPr>
          <w:t>485/2023</w:t>
        </w:r>
      </w:hyperlink>
      <w:r>
        <w:t>, f. 3.</w:t>
      </w:r>
    </w:p>
    <w:p w14:paraId="1B3AEC41" w14:textId="3E864B10" w:rsidR="00DA359F" w:rsidRDefault="00DA359F" w:rsidP="00DA359F">
      <w:pPr>
        <w:pStyle w:val="TextoNormal"/>
      </w:pPr>
    </w:p>
    <w:p w14:paraId="093B967B" w14:textId="77777777" w:rsidR="00DA359F" w:rsidRDefault="00DA359F" w:rsidP="00DA359F">
      <w:pPr>
        <w:pStyle w:val="TextoNormalNegritaCentradoSubrayado"/>
        <w:suppressAutoHyphens/>
      </w:pPr>
      <w:r>
        <w:t>J.4.b) Leyes y disposiciones con fuerza de Ley</w:t>
      </w:r>
    </w:p>
    <w:p w14:paraId="074CDBC2" w14:textId="2A974B97" w:rsidR="00DA359F" w:rsidRDefault="00DA359F" w:rsidP="00DA359F">
      <w:pPr>
        <w:pStyle w:val="TextoNormalNegritaCentradoSubrayado"/>
      </w:pPr>
    </w:p>
    <w:p w14:paraId="72EA0208" w14:textId="77777777" w:rsidR="00DA359F" w:rsidRDefault="00DA359F" w:rsidP="00DA359F">
      <w:pPr>
        <w:pStyle w:val="TextoNormalNegritaCursivandice"/>
        <w:keepNext/>
      </w:pPr>
      <w:r>
        <w:t>Comunidad Autónoma de las Illes Balears. Ley 3/2003, de 26 de marzo, de régimen jurídico de la administración de la Comunidad Autónoma de las Illes Balears</w:t>
      </w:r>
    </w:p>
    <w:p w14:paraId="3B5DD5BD" w14:textId="5DE255FB" w:rsidR="00DA359F" w:rsidRDefault="00DA359F" w:rsidP="00DA359F">
      <w:pPr>
        <w:pStyle w:val="SangriaFrancesaArticulo"/>
      </w:pPr>
      <w:r w:rsidRPr="00DA359F">
        <w:rPr>
          <w:rStyle w:val="TextoNormalNegritaCaracter"/>
        </w:rPr>
        <w:t>Artículo 43.</w:t>
      </w:r>
      <w:r w:rsidRPr="00DA359F">
        <w:rPr>
          <w:rStyle w:val="TextoNormalCaracter"/>
        </w:rPr>
        <w:t>-</w:t>
      </w:r>
      <w:r>
        <w:t xml:space="preserve"> Sentencia </w:t>
      </w:r>
      <w:hyperlink w:anchor="SENTENCIA_2023_85" w:history="1">
        <w:r w:rsidRPr="00DA359F">
          <w:rPr>
            <w:rStyle w:val="TextoNormalCaracter"/>
          </w:rPr>
          <w:t>85/2023</w:t>
        </w:r>
      </w:hyperlink>
      <w:r>
        <w:t>, VP.</w:t>
      </w:r>
    </w:p>
    <w:p w14:paraId="1570DC75" w14:textId="6A733B6C" w:rsidR="00DA359F" w:rsidRDefault="00DA359F" w:rsidP="00DA359F">
      <w:pPr>
        <w:pStyle w:val="SangriaFrancesaArticulo"/>
      </w:pPr>
      <w:r w:rsidRPr="00DA359F">
        <w:rPr>
          <w:rStyle w:val="TextoNormalNegritaCaracter"/>
        </w:rPr>
        <w:t>Artículo 44.</w:t>
      </w:r>
      <w:r w:rsidRPr="00DA359F">
        <w:rPr>
          <w:rStyle w:val="TextoNormalCaracter"/>
        </w:rPr>
        <w:t>-</w:t>
      </w:r>
      <w:r>
        <w:t xml:space="preserve"> Sentencia </w:t>
      </w:r>
      <w:hyperlink w:anchor="SENTENCIA_2023_85" w:history="1">
        <w:r w:rsidRPr="00DA359F">
          <w:rPr>
            <w:rStyle w:val="TextoNormalCaracter"/>
          </w:rPr>
          <w:t>85/2023</w:t>
        </w:r>
      </w:hyperlink>
      <w:r>
        <w:t>, VP.</w:t>
      </w:r>
    </w:p>
    <w:p w14:paraId="35E16013" w14:textId="222F8E3F" w:rsidR="00DA359F" w:rsidRDefault="00DA359F" w:rsidP="00DA359F">
      <w:pPr>
        <w:pStyle w:val="SangriaFrancesaArticulo"/>
      </w:pPr>
    </w:p>
    <w:p w14:paraId="70A06D09" w14:textId="77777777" w:rsidR="00DA359F" w:rsidRDefault="00DA359F" w:rsidP="00DA359F">
      <w:pPr>
        <w:pStyle w:val="TextoNormalNegritaCursivandice"/>
        <w:keepNext/>
      </w:pPr>
      <w:r>
        <w:t>Comunidad Autónoma de las Illes Balears. Ley 15/2006, de 17 de octubre, de archivos y patrimonio documental de las Illes Balears</w:t>
      </w:r>
    </w:p>
    <w:p w14:paraId="00D6FA01" w14:textId="3E10EB3C" w:rsidR="00DA359F" w:rsidRDefault="00DA359F" w:rsidP="00DA359F">
      <w:pPr>
        <w:pStyle w:val="SangriaFrancesaArticulo"/>
      </w:pPr>
      <w:r w:rsidRPr="00DA359F">
        <w:rPr>
          <w:rStyle w:val="TextoNormalNegritaCaracter"/>
        </w:rPr>
        <w:t>Disposición adicional cuarta.</w:t>
      </w:r>
      <w:r w:rsidRPr="00DA359F">
        <w:rPr>
          <w:rStyle w:val="TextoNormalCaracter"/>
        </w:rPr>
        <w:t>-</w:t>
      </w:r>
      <w:r>
        <w:t xml:space="preserve"> Auto </w:t>
      </w:r>
      <w:hyperlink w:anchor="AUTO_2023_485" w:history="1">
        <w:r w:rsidRPr="00DA359F">
          <w:rPr>
            <w:rStyle w:val="TextoNormalCaracter"/>
          </w:rPr>
          <w:t>485/2023</w:t>
        </w:r>
      </w:hyperlink>
      <w:r>
        <w:t>, f. 3.</w:t>
      </w:r>
    </w:p>
    <w:p w14:paraId="3F537C3A" w14:textId="00D1848E" w:rsidR="00DA359F" w:rsidRDefault="00DA359F" w:rsidP="00DA359F">
      <w:pPr>
        <w:pStyle w:val="SangriaFrancesaArticulo"/>
      </w:pPr>
    </w:p>
    <w:p w14:paraId="37EC5DF0" w14:textId="77777777" w:rsidR="00DA359F" w:rsidRDefault="00DA359F" w:rsidP="00DA359F">
      <w:pPr>
        <w:pStyle w:val="TextoNormalNegritaCursivandice"/>
        <w:keepNext/>
      </w:pPr>
      <w:r>
        <w:t>Comunidad Autónoma de las Illes Balears. Ley 16/2019, de 8 de abril, del estatuto especial de capitalidad de la ciudad de Eivissa</w:t>
      </w:r>
    </w:p>
    <w:p w14:paraId="2AA21808" w14:textId="53E672F6" w:rsidR="00DA359F" w:rsidRDefault="00DA359F" w:rsidP="00DA359F">
      <w:pPr>
        <w:pStyle w:val="SangriaFrancesaArticulo"/>
      </w:pPr>
      <w:r w:rsidRPr="00DA359F">
        <w:rPr>
          <w:rStyle w:val="TextoNormalNegritaCaracter"/>
        </w:rPr>
        <w:t>En general.</w:t>
      </w:r>
      <w:r w:rsidRPr="00DA359F">
        <w:rPr>
          <w:rStyle w:val="TextoNormalCaracter"/>
        </w:rPr>
        <w:t>-</w:t>
      </w:r>
      <w:r>
        <w:t xml:space="preserve"> Auto </w:t>
      </w:r>
      <w:hyperlink w:anchor="AUTO_2023_485" w:history="1">
        <w:r w:rsidRPr="00DA359F">
          <w:rPr>
            <w:rStyle w:val="TextoNormalCaracter"/>
          </w:rPr>
          <w:t>485/2023</w:t>
        </w:r>
      </w:hyperlink>
      <w:r>
        <w:t>, f. 2.</w:t>
      </w:r>
    </w:p>
    <w:p w14:paraId="050587A0" w14:textId="4030C92A" w:rsidR="00DA359F" w:rsidRDefault="00DA359F" w:rsidP="00DA359F">
      <w:pPr>
        <w:pStyle w:val="SangriaFrancesaArticulo"/>
      </w:pPr>
    </w:p>
    <w:p w14:paraId="47B973A6" w14:textId="77777777" w:rsidR="00DA359F" w:rsidRDefault="00DA359F" w:rsidP="00DA359F">
      <w:pPr>
        <w:pStyle w:val="TextoNormalNegritaCursivandice"/>
        <w:keepNext/>
      </w:pPr>
      <w:r>
        <w:t>Comunidad Autónoma de las Illes Balears. Ley 4/2022, de 28 de junio, de consejos insulares</w:t>
      </w:r>
    </w:p>
    <w:p w14:paraId="0D62510D" w14:textId="03714BCA" w:rsidR="00DA359F" w:rsidRDefault="00DA359F" w:rsidP="00DA359F">
      <w:pPr>
        <w:pStyle w:val="SangriaFrancesaArticulo"/>
      </w:pPr>
      <w:r w:rsidRPr="00DA359F">
        <w:rPr>
          <w:rStyle w:val="TextoNormalNegritaCaracter"/>
        </w:rPr>
        <w:t>Título IX.</w:t>
      </w:r>
      <w:r w:rsidRPr="00DA359F">
        <w:rPr>
          <w:rStyle w:val="TextoNormalCaracter"/>
        </w:rPr>
        <w:t>-</w:t>
      </w:r>
      <w:r>
        <w:t xml:space="preserve"> Auto </w:t>
      </w:r>
      <w:hyperlink w:anchor="AUTO_2023_354" w:history="1">
        <w:r w:rsidRPr="00DA359F">
          <w:rPr>
            <w:rStyle w:val="TextoNormalCaracter"/>
          </w:rPr>
          <w:t>354/2023</w:t>
        </w:r>
      </w:hyperlink>
      <w:r>
        <w:t>, f. 4.</w:t>
      </w:r>
    </w:p>
    <w:p w14:paraId="0FE5C180" w14:textId="21A767F4" w:rsidR="00DA359F" w:rsidRDefault="00DA359F" w:rsidP="00DA359F">
      <w:pPr>
        <w:pStyle w:val="SangriaFrancesaArticulo"/>
      </w:pPr>
      <w:r w:rsidRPr="00DA359F">
        <w:rPr>
          <w:rStyle w:val="TextoNormalNegritaCaracter"/>
        </w:rPr>
        <w:t>Artículo 1.3.</w:t>
      </w:r>
      <w:r w:rsidRPr="00DA359F">
        <w:rPr>
          <w:rStyle w:val="TextoNormalCaracter"/>
        </w:rPr>
        <w:t>-</w:t>
      </w:r>
      <w:r>
        <w:t xml:space="preserve"> Auto </w:t>
      </w:r>
      <w:hyperlink w:anchor="AUTO_2023_354" w:history="1">
        <w:r w:rsidRPr="00DA359F">
          <w:rPr>
            <w:rStyle w:val="TextoNormalCaracter"/>
          </w:rPr>
          <w:t>354/2023</w:t>
        </w:r>
      </w:hyperlink>
      <w:r>
        <w:t>, f. 4.</w:t>
      </w:r>
    </w:p>
    <w:p w14:paraId="28BBBB49" w14:textId="450C9CBC" w:rsidR="00DA359F" w:rsidRDefault="00DA359F" w:rsidP="00DA359F">
      <w:pPr>
        <w:pStyle w:val="SangriaFrancesaArticulo"/>
      </w:pPr>
    </w:p>
    <w:p w14:paraId="43DD5535" w14:textId="77777777" w:rsidR="00DA359F" w:rsidRDefault="00DA359F" w:rsidP="00DA359F">
      <w:pPr>
        <w:pStyle w:val="TextoNormalNegritaCursivandice"/>
        <w:keepNext/>
      </w:pPr>
      <w:r>
        <w:t>Comunidad Autónoma de las Illes Balears. Ley 6/2022, de 5 de agosto, de archivos y gestión documental de las Illes Balears</w:t>
      </w:r>
    </w:p>
    <w:p w14:paraId="12461DC0" w14:textId="5958B306" w:rsidR="00DA359F" w:rsidRDefault="00DA359F" w:rsidP="00DA359F">
      <w:pPr>
        <w:pStyle w:val="SangriaFrancesaArticulo"/>
      </w:pPr>
      <w:r w:rsidRPr="00DA359F">
        <w:rPr>
          <w:rStyle w:val="TextoNormalNegritaCaracter"/>
        </w:rPr>
        <w:t>En general.</w:t>
      </w:r>
      <w:r w:rsidRPr="00DA359F">
        <w:rPr>
          <w:rStyle w:val="TextoNormalCaracter"/>
        </w:rPr>
        <w:t>-</w:t>
      </w:r>
      <w:r>
        <w:t xml:space="preserve"> Auto </w:t>
      </w:r>
      <w:hyperlink w:anchor="AUTO_2023_485" w:history="1">
        <w:r w:rsidRPr="00DA359F">
          <w:rPr>
            <w:rStyle w:val="TextoNormalCaracter"/>
          </w:rPr>
          <w:t>485/2023</w:t>
        </w:r>
      </w:hyperlink>
      <w:r>
        <w:t>, f. 3.</w:t>
      </w:r>
    </w:p>
    <w:p w14:paraId="0FA78D3A" w14:textId="42605F93" w:rsidR="00DA359F" w:rsidRDefault="00DA359F" w:rsidP="00DA359F">
      <w:pPr>
        <w:pStyle w:val="SangriaFrancesaArticulo"/>
      </w:pPr>
      <w:r w:rsidRPr="00DA359F">
        <w:rPr>
          <w:rStyle w:val="TextoNormalNegritaCaracter"/>
        </w:rPr>
        <w:t>Exposición de motivos, apartado I.</w:t>
      </w:r>
      <w:r w:rsidRPr="00DA359F">
        <w:rPr>
          <w:rStyle w:val="TextoNormalCaracter"/>
        </w:rPr>
        <w:t>-</w:t>
      </w:r>
      <w:r>
        <w:t xml:space="preserve"> Auto </w:t>
      </w:r>
      <w:hyperlink w:anchor="AUTO_2023_485" w:history="1">
        <w:r w:rsidRPr="00DA359F">
          <w:rPr>
            <w:rStyle w:val="TextoNormalCaracter"/>
          </w:rPr>
          <w:t>485/2023</w:t>
        </w:r>
      </w:hyperlink>
      <w:r>
        <w:t>, f. 3.</w:t>
      </w:r>
    </w:p>
    <w:p w14:paraId="54D376A2" w14:textId="7C960B9A" w:rsidR="00DA359F" w:rsidRDefault="00DA359F" w:rsidP="00DA359F">
      <w:pPr>
        <w:pStyle w:val="SangriaFrancesaArticulo"/>
      </w:pPr>
      <w:r w:rsidRPr="00DA359F">
        <w:rPr>
          <w:rStyle w:val="TextoNormalNegritaCaracter"/>
        </w:rPr>
        <w:t>Artículo 3.1.</w:t>
      </w:r>
      <w:r w:rsidRPr="00DA359F">
        <w:rPr>
          <w:rStyle w:val="TextoNormalCaracter"/>
        </w:rPr>
        <w:t>-</w:t>
      </w:r>
      <w:r>
        <w:t xml:space="preserve"> Autos </w:t>
      </w:r>
      <w:hyperlink w:anchor="AUTO_2023_354" w:history="1">
        <w:r w:rsidRPr="00DA359F">
          <w:rPr>
            <w:rStyle w:val="TextoNormalCaracter"/>
          </w:rPr>
          <w:t>354/2023</w:t>
        </w:r>
      </w:hyperlink>
      <w:r>
        <w:t xml:space="preserve">, f. 4; </w:t>
      </w:r>
      <w:hyperlink w:anchor="AUTO_2023_485" w:history="1">
        <w:r w:rsidRPr="00DA359F">
          <w:rPr>
            <w:rStyle w:val="TextoNormalCaracter"/>
          </w:rPr>
          <w:t>485/2023</w:t>
        </w:r>
      </w:hyperlink>
      <w:r>
        <w:t>, f. 3.</w:t>
      </w:r>
    </w:p>
    <w:p w14:paraId="7272BEF7" w14:textId="17F22EF8" w:rsidR="00DA359F" w:rsidRDefault="00DA359F" w:rsidP="00DA359F">
      <w:pPr>
        <w:pStyle w:val="SangriaFrancesaArticulo"/>
      </w:pPr>
      <w:r w:rsidRPr="00DA359F">
        <w:rPr>
          <w:rStyle w:val="TextoNormalNegritaCaracter"/>
        </w:rPr>
        <w:t>Artículo 5.1.</w:t>
      </w:r>
      <w:r w:rsidRPr="00DA359F">
        <w:rPr>
          <w:rStyle w:val="TextoNormalCaracter"/>
        </w:rPr>
        <w:t>-</w:t>
      </w:r>
      <w:r>
        <w:t xml:space="preserve"> Autos </w:t>
      </w:r>
      <w:hyperlink w:anchor="AUTO_2023_354" w:history="1">
        <w:r w:rsidRPr="00DA359F">
          <w:rPr>
            <w:rStyle w:val="TextoNormalCaracter"/>
          </w:rPr>
          <w:t>354/2023</w:t>
        </w:r>
      </w:hyperlink>
      <w:r>
        <w:t xml:space="preserve">, f. 4; </w:t>
      </w:r>
      <w:hyperlink w:anchor="AUTO_2023_485" w:history="1">
        <w:r w:rsidRPr="00DA359F">
          <w:rPr>
            <w:rStyle w:val="TextoNormalCaracter"/>
          </w:rPr>
          <w:t>485/2023</w:t>
        </w:r>
      </w:hyperlink>
      <w:r>
        <w:t>, f. 3.</w:t>
      </w:r>
    </w:p>
    <w:p w14:paraId="184DBE78" w14:textId="2BFA2A7B" w:rsidR="00DA359F" w:rsidRDefault="00DA359F" w:rsidP="00DA359F">
      <w:pPr>
        <w:pStyle w:val="SangriaFrancesaArticulo"/>
      </w:pPr>
      <w:r w:rsidRPr="00DA359F">
        <w:rPr>
          <w:rStyle w:val="TextoNormalNegritaCaracter"/>
        </w:rPr>
        <w:t>Artículo 5.2.</w:t>
      </w:r>
      <w:r w:rsidRPr="00DA359F">
        <w:rPr>
          <w:rStyle w:val="TextoNormalCaracter"/>
        </w:rPr>
        <w:t>-</w:t>
      </w:r>
      <w:r>
        <w:t xml:space="preserve"> Auto </w:t>
      </w:r>
      <w:hyperlink w:anchor="AUTO_2023_354" w:history="1">
        <w:r w:rsidRPr="00DA359F">
          <w:rPr>
            <w:rStyle w:val="TextoNormalCaracter"/>
          </w:rPr>
          <w:t>354/2023</w:t>
        </w:r>
      </w:hyperlink>
      <w:r>
        <w:t>, f. 4.</w:t>
      </w:r>
    </w:p>
    <w:p w14:paraId="388E525B" w14:textId="5DB6462E" w:rsidR="00DA359F" w:rsidRDefault="00DA359F" w:rsidP="00DA359F">
      <w:pPr>
        <w:pStyle w:val="SangriaFrancesaArticulo"/>
      </w:pPr>
      <w:r w:rsidRPr="00DA359F">
        <w:rPr>
          <w:rStyle w:val="TextoNormalNegritaCaracter"/>
        </w:rPr>
        <w:t>Artículo 10.1.</w:t>
      </w:r>
      <w:r w:rsidRPr="00DA359F">
        <w:rPr>
          <w:rStyle w:val="TextoNormalCaracter"/>
        </w:rPr>
        <w:t>-</w:t>
      </w:r>
      <w:r>
        <w:t xml:space="preserve"> Autos </w:t>
      </w:r>
      <w:hyperlink w:anchor="AUTO_2023_354" w:history="1">
        <w:r w:rsidRPr="00DA359F">
          <w:rPr>
            <w:rStyle w:val="TextoNormalCaracter"/>
          </w:rPr>
          <w:t>354/2023</w:t>
        </w:r>
      </w:hyperlink>
      <w:r>
        <w:t xml:space="preserve">, f. 4; </w:t>
      </w:r>
      <w:hyperlink w:anchor="AUTO_2023_485" w:history="1">
        <w:r w:rsidRPr="00DA359F">
          <w:rPr>
            <w:rStyle w:val="TextoNormalCaracter"/>
          </w:rPr>
          <w:t>485/2023</w:t>
        </w:r>
      </w:hyperlink>
      <w:r>
        <w:t>, f. 3.</w:t>
      </w:r>
    </w:p>
    <w:p w14:paraId="343204CA" w14:textId="598E76C1" w:rsidR="00DA359F" w:rsidRDefault="00DA359F" w:rsidP="00DA359F">
      <w:pPr>
        <w:pStyle w:val="SangriaFrancesaArticulo"/>
      </w:pPr>
      <w:r w:rsidRPr="00DA359F">
        <w:rPr>
          <w:rStyle w:val="TextoNormalNegritaCaracter"/>
        </w:rPr>
        <w:t>Artículo 10.2.</w:t>
      </w:r>
      <w:r w:rsidRPr="00DA359F">
        <w:rPr>
          <w:rStyle w:val="TextoNormalCaracter"/>
        </w:rPr>
        <w:t>-</w:t>
      </w:r>
      <w:r>
        <w:t xml:space="preserve"> Autos </w:t>
      </w:r>
      <w:hyperlink w:anchor="AUTO_2023_354" w:history="1">
        <w:r w:rsidRPr="00DA359F">
          <w:rPr>
            <w:rStyle w:val="TextoNormalCaracter"/>
          </w:rPr>
          <w:t>354/2023</w:t>
        </w:r>
      </w:hyperlink>
      <w:r>
        <w:t xml:space="preserve">, f. 4; </w:t>
      </w:r>
      <w:hyperlink w:anchor="AUTO_2023_485" w:history="1">
        <w:r w:rsidRPr="00DA359F">
          <w:rPr>
            <w:rStyle w:val="TextoNormalCaracter"/>
          </w:rPr>
          <w:t>485/2023</w:t>
        </w:r>
      </w:hyperlink>
      <w:r>
        <w:t>, f. 3.</w:t>
      </w:r>
    </w:p>
    <w:p w14:paraId="12C40C20" w14:textId="427E6F1D" w:rsidR="00DA359F" w:rsidRDefault="00DA359F" w:rsidP="00DA359F">
      <w:pPr>
        <w:pStyle w:val="SangriaFrancesaArticulo"/>
      </w:pPr>
      <w:r w:rsidRPr="00DA359F">
        <w:rPr>
          <w:rStyle w:val="TextoNormalNegritaCaracter"/>
        </w:rPr>
        <w:t>Artículo 20.</w:t>
      </w:r>
      <w:r w:rsidRPr="00DA359F">
        <w:rPr>
          <w:rStyle w:val="TextoNormalCaracter"/>
        </w:rPr>
        <w:t>-</w:t>
      </w:r>
      <w:r>
        <w:t xml:space="preserve"> Auto </w:t>
      </w:r>
      <w:hyperlink w:anchor="AUTO_2023_485" w:history="1">
        <w:r w:rsidRPr="00DA359F">
          <w:rPr>
            <w:rStyle w:val="TextoNormalCaracter"/>
          </w:rPr>
          <w:t>485/2023</w:t>
        </w:r>
      </w:hyperlink>
      <w:r>
        <w:t>, f. 3.</w:t>
      </w:r>
    </w:p>
    <w:p w14:paraId="46E165D4" w14:textId="4F0AA1F6" w:rsidR="00DA359F" w:rsidRDefault="00DA359F" w:rsidP="00DA359F">
      <w:pPr>
        <w:pStyle w:val="SangriaFrancesaArticulo"/>
      </w:pPr>
      <w:r w:rsidRPr="00DA359F">
        <w:rPr>
          <w:rStyle w:val="TextoNormalNegritaCaracter"/>
        </w:rPr>
        <w:t>Artículo 20.1.</w:t>
      </w:r>
      <w:r w:rsidRPr="00DA359F">
        <w:rPr>
          <w:rStyle w:val="TextoNormalCaracter"/>
        </w:rPr>
        <w:t>-</w:t>
      </w:r>
      <w:r>
        <w:t xml:space="preserve"> Auto </w:t>
      </w:r>
      <w:hyperlink w:anchor="AUTO_2023_354" w:history="1">
        <w:r w:rsidRPr="00DA359F">
          <w:rPr>
            <w:rStyle w:val="TextoNormalCaracter"/>
          </w:rPr>
          <w:t>354/2023</w:t>
        </w:r>
      </w:hyperlink>
      <w:r>
        <w:t>, f. 4.</w:t>
      </w:r>
    </w:p>
    <w:p w14:paraId="3B422981" w14:textId="00F15022" w:rsidR="00DA359F" w:rsidRDefault="00DA359F" w:rsidP="00DA359F">
      <w:pPr>
        <w:pStyle w:val="SangriaFrancesaArticulo"/>
      </w:pPr>
      <w:r w:rsidRPr="00DA359F">
        <w:rPr>
          <w:rStyle w:val="TextoNormalNegritaCaracter"/>
        </w:rPr>
        <w:t>Artículo 24.</w:t>
      </w:r>
      <w:r w:rsidRPr="00DA359F">
        <w:rPr>
          <w:rStyle w:val="TextoNormalCaracter"/>
        </w:rPr>
        <w:t>-</w:t>
      </w:r>
      <w:r>
        <w:t xml:space="preserve"> Auto </w:t>
      </w:r>
      <w:hyperlink w:anchor="AUTO_2023_485" w:history="1">
        <w:r w:rsidRPr="00DA359F">
          <w:rPr>
            <w:rStyle w:val="TextoNormalCaracter"/>
          </w:rPr>
          <w:t>485/2023</w:t>
        </w:r>
      </w:hyperlink>
      <w:r>
        <w:t>, f. 3.</w:t>
      </w:r>
    </w:p>
    <w:p w14:paraId="203B6BAD" w14:textId="0A75CDD2" w:rsidR="00DA359F" w:rsidRDefault="00DA359F" w:rsidP="00DA359F">
      <w:pPr>
        <w:pStyle w:val="SangriaFrancesaArticulo"/>
      </w:pPr>
      <w:r w:rsidRPr="00DA359F">
        <w:rPr>
          <w:rStyle w:val="TextoNormalNegritaCaracter"/>
        </w:rPr>
        <w:t>Artículo 24 g) y h).</w:t>
      </w:r>
      <w:r w:rsidRPr="00DA359F">
        <w:rPr>
          <w:rStyle w:val="TextoNormalCaracter"/>
        </w:rPr>
        <w:t>-</w:t>
      </w:r>
      <w:r>
        <w:t xml:space="preserve"> Auto </w:t>
      </w:r>
      <w:hyperlink w:anchor="AUTO_2023_354" w:history="1">
        <w:r w:rsidRPr="00DA359F">
          <w:rPr>
            <w:rStyle w:val="TextoNormalCaracter"/>
          </w:rPr>
          <w:t>354/2023</w:t>
        </w:r>
      </w:hyperlink>
      <w:r>
        <w:t>, f. 4.</w:t>
      </w:r>
    </w:p>
    <w:p w14:paraId="235CAAE5" w14:textId="4C93630E" w:rsidR="00DA359F" w:rsidRDefault="00DA359F" w:rsidP="00DA359F">
      <w:pPr>
        <w:pStyle w:val="SangriaFrancesaArticulo"/>
      </w:pPr>
      <w:r w:rsidRPr="00DA359F">
        <w:rPr>
          <w:rStyle w:val="TextoNormalNegritaCaracter"/>
        </w:rPr>
        <w:t>Artículo 35.</w:t>
      </w:r>
      <w:r w:rsidRPr="00DA359F">
        <w:rPr>
          <w:rStyle w:val="TextoNormalCaracter"/>
        </w:rPr>
        <w:t>-</w:t>
      </w:r>
      <w:r>
        <w:t xml:space="preserve"> Autos </w:t>
      </w:r>
      <w:hyperlink w:anchor="AUTO_2023_354" w:history="1">
        <w:r w:rsidRPr="00DA359F">
          <w:rPr>
            <w:rStyle w:val="TextoNormalCaracter"/>
          </w:rPr>
          <w:t>354/2023</w:t>
        </w:r>
      </w:hyperlink>
      <w:r>
        <w:t xml:space="preserve">, ff. 2, 4; </w:t>
      </w:r>
      <w:hyperlink w:anchor="AUTO_2023_485" w:history="1">
        <w:r w:rsidRPr="00DA359F">
          <w:rPr>
            <w:rStyle w:val="TextoNormalCaracter"/>
          </w:rPr>
          <w:t>485/2023</w:t>
        </w:r>
      </w:hyperlink>
      <w:r>
        <w:t>, f. 3.</w:t>
      </w:r>
    </w:p>
    <w:p w14:paraId="4685F88C" w14:textId="4171428C" w:rsidR="00DA359F" w:rsidRDefault="00DA359F" w:rsidP="00DA359F">
      <w:pPr>
        <w:pStyle w:val="SangriaFrancesaArticulo"/>
      </w:pPr>
      <w:r w:rsidRPr="00DA359F">
        <w:rPr>
          <w:rStyle w:val="TextoNormalNegritaCaracter"/>
        </w:rPr>
        <w:t>Artículo 35.1.</w:t>
      </w:r>
      <w:r w:rsidRPr="00DA359F">
        <w:rPr>
          <w:rStyle w:val="TextoNormalCaracter"/>
        </w:rPr>
        <w:t>-</w:t>
      </w:r>
      <w:r>
        <w:t xml:space="preserve"> Autos </w:t>
      </w:r>
      <w:hyperlink w:anchor="AUTO_2023_354" w:history="1">
        <w:r w:rsidRPr="00DA359F">
          <w:rPr>
            <w:rStyle w:val="TextoNormalCaracter"/>
          </w:rPr>
          <w:t>354/2023</w:t>
        </w:r>
      </w:hyperlink>
      <w:r>
        <w:t xml:space="preserve">, f. 4; </w:t>
      </w:r>
      <w:hyperlink w:anchor="AUTO_2023_485" w:history="1">
        <w:r w:rsidRPr="00DA359F">
          <w:rPr>
            <w:rStyle w:val="TextoNormalCaracter"/>
          </w:rPr>
          <w:t>485/2023</w:t>
        </w:r>
      </w:hyperlink>
      <w:r>
        <w:t>, f. 3.</w:t>
      </w:r>
    </w:p>
    <w:p w14:paraId="6D5CB7D7" w14:textId="595F00C0" w:rsidR="00DA359F" w:rsidRDefault="00DA359F" w:rsidP="00DA359F">
      <w:pPr>
        <w:pStyle w:val="SangriaFrancesaArticulo"/>
      </w:pPr>
      <w:r w:rsidRPr="00DA359F">
        <w:rPr>
          <w:rStyle w:val="TextoNormalNegritaCaracter"/>
        </w:rPr>
        <w:t xml:space="preserve">Artículo 35.1 primer inciso </w:t>
      </w:r>
      <w:r w:rsidRPr="00DA359F">
        <w:rPr>
          <w:rStyle w:val="TextoNormalNegritaCursivaCaracter"/>
        </w:rPr>
        <w:t>in fine</w:t>
      </w:r>
      <w:r w:rsidRPr="00DA359F">
        <w:rPr>
          <w:rStyle w:val="TextoNormalNegritaCaracter"/>
        </w:rPr>
        <w:t>.</w:t>
      </w:r>
      <w:r w:rsidRPr="00DA359F">
        <w:rPr>
          <w:rStyle w:val="TextoNormalCaracter"/>
        </w:rPr>
        <w:t>-</w:t>
      </w:r>
      <w:r>
        <w:t xml:space="preserve"> Autos </w:t>
      </w:r>
      <w:hyperlink w:anchor="AUTO_2023_354" w:history="1">
        <w:r w:rsidRPr="00DA359F">
          <w:rPr>
            <w:rStyle w:val="TextoNormalCaracter"/>
          </w:rPr>
          <w:t>354/2023</w:t>
        </w:r>
      </w:hyperlink>
      <w:r>
        <w:t xml:space="preserve">, f. 1; </w:t>
      </w:r>
      <w:hyperlink w:anchor="AUTO_2023_485" w:history="1">
        <w:r w:rsidRPr="00DA359F">
          <w:rPr>
            <w:rStyle w:val="TextoNormalCaracter"/>
          </w:rPr>
          <w:t>485/2023</w:t>
        </w:r>
      </w:hyperlink>
      <w:r>
        <w:t>, ff. 1 a 3.</w:t>
      </w:r>
    </w:p>
    <w:p w14:paraId="1BBA37BF" w14:textId="32F71C94" w:rsidR="00DA359F" w:rsidRDefault="00DA359F" w:rsidP="00DA359F">
      <w:pPr>
        <w:pStyle w:val="SangriaFrancesaArticulo"/>
      </w:pPr>
      <w:r w:rsidRPr="00DA359F">
        <w:rPr>
          <w:rStyle w:val="TextoNormalNegritaCaracter"/>
        </w:rPr>
        <w:t>Artículo 35.1 segundo inciso a).</w:t>
      </w:r>
      <w:r w:rsidRPr="00DA359F">
        <w:rPr>
          <w:rStyle w:val="TextoNormalCaracter"/>
        </w:rPr>
        <w:t>-</w:t>
      </w:r>
      <w:r>
        <w:t xml:space="preserve"> Autos </w:t>
      </w:r>
      <w:hyperlink w:anchor="AUTO_2023_354" w:history="1">
        <w:r w:rsidRPr="00DA359F">
          <w:rPr>
            <w:rStyle w:val="TextoNormalCaracter"/>
          </w:rPr>
          <w:t>354/2023</w:t>
        </w:r>
      </w:hyperlink>
      <w:r>
        <w:t xml:space="preserve">, f. 1; </w:t>
      </w:r>
      <w:hyperlink w:anchor="AUTO_2023_485" w:history="1">
        <w:r w:rsidRPr="00DA359F">
          <w:rPr>
            <w:rStyle w:val="TextoNormalCaracter"/>
          </w:rPr>
          <w:t>485/2023</w:t>
        </w:r>
      </w:hyperlink>
      <w:r>
        <w:t>, ff. 1, 2.</w:t>
      </w:r>
    </w:p>
    <w:p w14:paraId="25C803EB" w14:textId="2C499629" w:rsidR="00DA359F" w:rsidRDefault="00DA359F" w:rsidP="00DA359F">
      <w:pPr>
        <w:pStyle w:val="SangriaFrancesaArticulo"/>
      </w:pPr>
      <w:r w:rsidRPr="00DA359F">
        <w:rPr>
          <w:rStyle w:val="TextoNormalNegritaCaracter"/>
        </w:rPr>
        <w:t>Artículo 35.2.</w:t>
      </w:r>
      <w:r w:rsidRPr="00DA359F">
        <w:rPr>
          <w:rStyle w:val="TextoNormalCaracter"/>
        </w:rPr>
        <w:t>-</w:t>
      </w:r>
      <w:r>
        <w:t xml:space="preserve"> Autos </w:t>
      </w:r>
      <w:hyperlink w:anchor="AUTO_2023_354" w:history="1">
        <w:r w:rsidRPr="00DA359F">
          <w:rPr>
            <w:rStyle w:val="TextoNormalCaracter"/>
          </w:rPr>
          <w:t>354/2023</w:t>
        </w:r>
      </w:hyperlink>
      <w:r>
        <w:t xml:space="preserve">, ff. 1, 4; </w:t>
      </w:r>
      <w:hyperlink w:anchor="AUTO_2023_485" w:history="1">
        <w:r w:rsidRPr="00DA359F">
          <w:rPr>
            <w:rStyle w:val="TextoNormalCaracter"/>
          </w:rPr>
          <w:t>485/2023</w:t>
        </w:r>
      </w:hyperlink>
      <w:r>
        <w:t>, ff. 1 a 3.</w:t>
      </w:r>
    </w:p>
    <w:p w14:paraId="3EE6CF54" w14:textId="0160E7B0" w:rsidR="00DA359F" w:rsidRDefault="00DA359F" w:rsidP="00DA359F">
      <w:pPr>
        <w:pStyle w:val="SangriaFrancesaArticulo"/>
      </w:pPr>
      <w:r w:rsidRPr="00DA359F">
        <w:rPr>
          <w:rStyle w:val="TextoNormalNegritaCaracter"/>
        </w:rPr>
        <w:t>Artículo 36.</w:t>
      </w:r>
      <w:r w:rsidRPr="00DA359F">
        <w:rPr>
          <w:rStyle w:val="TextoNormalCaracter"/>
        </w:rPr>
        <w:t>-</w:t>
      </w:r>
      <w:r>
        <w:t xml:space="preserve"> Auto </w:t>
      </w:r>
      <w:hyperlink w:anchor="AUTO_2023_354" w:history="1">
        <w:r w:rsidRPr="00DA359F">
          <w:rPr>
            <w:rStyle w:val="TextoNormalCaracter"/>
          </w:rPr>
          <w:t>354/2023</w:t>
        </w:r>
      </w:hyperlink>
      <w:r>
        <w:t>, ff. 1, 4.</w:t>
      </w:r>
    </w:p>
    <w:p w14:paraId="5EC28F62" w14:textId="3D4F949B" w:rsidR="00DA359F" w:rsidRDefault="00DA359F" w:rsidP="00DA359F">
      <w:pPr>
        <w:pStyle w:val="SangriaFrancesaArticulo"/>
      </w:pPr>
      <w:r w:rsidRPr="00DA359F">
        <w:rPr>
          <w:rStyle w:val="TextoNormalNegritaCaracter"/>
        </w:rPr>
        <w:t>Artículo 37.</w:t>
      </w:r>
      <w:r w:rsidRPr="00DA359F">
        <w:rPr>
          <w:rStyle w:val="TextoNormalCaracter"/>
        </w:rPr>
        <w:t>-</w:t>
      </w:r>
      <w:r>
        <w:t xml:space="preserve"> Auto </w:t>
      </w:r>
      <w:hyperlink w:anchor="AUTO_2023_354" w:history="1">
        <w:r w:rsidRPr="00DA359F">
          <w:rPr>
            <w:rStyle w:val="TextoNormalCaracter"/>
          </w:rPr>
          <w:t>354/2023</w:t>
        </w:r>
      </w:hyperlink>
      <w:r>
        <w:t>, ff. 1, 4.</w:t>
      </w:r>
    </w:p>
    <w:p w14:paraId="06ECAD36" w14:textId="7D222297" w:rsidR="00DA359F" w:rsidRDefault="00DA359F" w:rsidP="00DA359F">
      <w:pPr>
        <w:pStyle w:val="SangriaFrancesaArticulo"/>
      </w:pPr>
      <w:r w:rsidRPr="00DA359F">
        <w:rPr>
          <w:rStyle w:val="TextoNormalNegritaCaracter"/>
        </w:rPr>
        <w:t>Artículo 39.</w:t>
      </w:r>
      <w:r w:rsidRPr="00DA359F">
        <w:rPr>
          <w:rStyle w:val="TextoNormalCaracter"/>
        </w:rPr>
        <w:t>-</w:t>
      </w:r>
      <w:r>
        <w:t xml:space="preserve"> Auto </w:t>
      </w:r>
      <w:hyperlink w:anchor="AUTO_2023_354" w:history="1">
        <w:r w:rsidRPr="00DA359F">
          <w:rPr>
            <w:rStyle w:val="TextoNormalCaracter"/>
          </w:rPr>
          <w:t>354/2023</w:t>
        </w:r>
      </w:hyperlink>
      <w:r>
        <w:t>, f. 2.</w:t>
      </w:r>
    </w:p>
    <w:p w14:paraId="2A302458" w14:textId="6282A3C5" w:rsidR="00DA359F" w:rsidRDefault="00DA359F" w:rsidP="00DA359F">
      <w:pPr>
        <w:pStyle w:val="SangriaFrancesaArticulo"/>
      </w:pPr>
      <w:r w:rsidRPr="00DA359F">
        <w:rPr>
          <w:rStyle w:val="TextoNormalNegritaCaracter"/>
        </w:rPr>
        <w:t>Artículo 39.6.</w:t>
      </w:r>
      <w:r w:rsidRPr="00DA359F">
        <w:rPr>
          <w:rStyle w:val="TextoNormalCaracter"/>
        </w:rPr>
        <w:t>-</w:t>
      </w:r>
      <w:r>
        <w:t xml:space="preserve"> Autos </w:t>
      </w:r>
      <w:hyperlink w:anchor="AUTO_2023_354" w:history="1">
        <w:r w:rsidRPr="00DA359F">
          <w:rPr>
            <w:rStyle w:val="TextoNormalCaracter"/>
          </w:rPr>
          <w:t>354/2023</w:t>
        </w:r>
      </w:hyperlink>
      <w:r>
        <w:t xml:space="preserve">, ff. 1, 4; </w:t>
      </w:r>
      <w:hyperlink w:anchor="AUTO_2023_485" w:history="1">
        <w:r w:rsidRPr="00DA359F">
          <w:rPr>
            <w:rStyle w:val="TextoNormalCaracter"/>
          </w:rPr>
          <w:t>485/2023</w:t>
        </w:r>
      </w:hyperlink>
      <w:r>
        <w:t>, ff. 1 a 3.</w:t>
      </w:r>
    </w:p>
    <w:p w14:paraId="100154E4" w14:textId="1E227005" w:rsidR="00DA359F" w:rsidRDefault="00DA359F" w:rsidP="00DA359F">
      <w:pPr>
        <w:pStyle w:val="TextoNormal"/>
      </w:pPr>
    </w:p>
    <w:p w14:paraId="19EE524C" w14:textId="77777777" w:rsidR="00DA359F" w:rsidRDefault="00DA359F" w:rsidP="00DA359F">
      <w:pPr>
        <w:pStyle w:val="TextoNormalNegritaCentrado"/>
        <w:suppressAutoHyphens/>
      </w:pPr>
      <w:r w:rsidRPr="00DA359F">
        <w:rPr>
          <w:rStyle w:val="TextoNormalNegritaCentradoSombreado"/>
        </w:rPr>
        <w:t>J.5) Canarias</w:t>
      </w:r>
    </w:p>
    <w:p w14:paraId="28FB9778" w14:textId="56EE959B" w:rsidR="00DA359F" w:rsidRDefault="00DA359F" w:rsidP="00DA359F">
      <w:pPr>
        <w:pStyle w:val="TextoNormal"/>
      </w:pPr>
    </w:p>
    <w:p w14:paraId="2A8B151E" w14:textId="77777777" w:rsidR="00DA359F" w:rsidRDefault="00DA359F" w:rsidP="00DA359F">
      <w:pPr>
        <w:pStyle w:val="TextoNormalNegritaCentradoSubrayado"/>
        <w:suppressAutoHyphens/>
      </w:pPr>
      <w:r>
        <w:t>J.5.c) Decretos y otras disposiciones reglamentarias</w:t>
      </w:r>
    </w:p>
    <w:p w14:paraId="7D573F42" w14:textId="1722BBCB" w:rsidR="00DA359F" w:rsidRDefault="00DA359F" w:rsidP="00DA359F">
      <w:pPr>
        <w:pStyle w:val="TextoNormalNegritaCentradoSubrayado"/>
      </w:pPr>
    </w:p>
    <w:p w14:paraId="77E3D3BF" w14:textId="77777777" w:rsidR="00DA359F" w:rsidRDefault="00DA359F" w:rsidP="00DA359F">
      <w:pPr>
        <w:pStyle w:val="TextoNormalNegritaCursivandice"/>
        <w:keepNext/>
      </w:pPr>
      <w:r>
        <w:t>Comunidad Autónoma de Canarias. Denegación presunta y posterior resolución 46/2018, de 10 de julio, de la Viceconsejería de Comunicación y Relaciones con los Medios de la Presidencia del Gobierno de Canarias, por la que se ordena el archivo de la solicitud de convocatoria en materia de adjudicación de licencias de comunicación audiovisual</w:t>
      </w:r>
    </w:p>
    <w:p w14:paraId="3F16955A" w14:textId="2F5B882E"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108" w:history="1">
        <w:r w:rsidRPr="00DA359F">
          <w:rPr>
            <w:rStyle w:val="TextoNormalCaracter"/>
          </w:rPr>
          <w:t>108/2023</w:t>
        </w:r>
      </w:hyperlink>
      <w:r>
        <w:t>.</w:t>
      </w:r>
    </w:p>
    <w:p w14:paraId="663F3AB9" w14:textId="22BCC677" w:rsidR="00DA359F" w:rsidRDefault="00DA359F" w:rsidP="00DA359F">
      <w:pPr>
        <w:pStyle w:val="SangriaFrancesaArticulo"/>
      </w:pPr>
    </w:p>
    <w:p w14:paraId="5295B6E7" w14:textId="77777777" w:rsidR="00DA359F" w:rsidRDefault="00DA359F" w:rsidP="00DA359F">
      <w:pPr>
        <w:pStyle w:val="TextoNormalNegritaCursivandice"/>
        <w:keepNext/>
      </w:pPr>
      <w:r>
        <w:t>Comunidad Autónoma de Canarias. Denegación presunta y posterior resolución 47/2018, de 10 de julio, de la Viceconsejería de Comunicación y Relaciones con los Medios de la Presidencia del Gobierno de Canarias, por la que se ordena el archivo de la solicitud de convocatoria en materia de adjudicación de licencias de comunicación audiovisual</w:t>
      </w:r>
    </w:p>
    <w:p w14:paraId="208A7043" w14:textId="103F356C"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105" w:history="1">
        <w:r w:rsidRPr="00DA359F">
          <w:rPr>
            <w:rStyle w:val="TextoNormalCaracter"/>
          </w:rPr>
          <w:t>105/2023</w:t>
        </w:r>
      </w:hyperlink>
      <w:r>
        <w:t>.</w:t>
      </w:r>
    </w:p>
    <w:p w14:paraId="2EA5F48A" w14:textId="2FA32335" w:rsidR="00DA359F" w:rsidRDefault="00DA359F" w:rsidP="00DA359F">
      <w:pPr>
        <w:pStyle w:val="SangriaFrancesaArticulo"/>
      </w:pPr>
    </w:p>
    <w:p w14:paraId="4013729D" w14:textId="77777777" w:rsidR="00DA359F" w:rsidRDefault="00DA359F" w:rsidP="00DA359F">
      <w:pPr>
        <w:pStyle w:val="TextoNormalNegritaCursivandice"/>
        <w:keepNext/>
      </w:pPr>
      <w:r>
        <w:t>Comunidad Autónoma de Canarias. Denegación presunta y posterior resolución 48/2018, de 10 de julio, de la Viceconsejería de Comunicación y Relaciones con los Medios de la Presidencia del Gobierno de Canarias, por la que se ordena el archivo de la solicitud de convocatoria en materia de adjudicación de licencias de comunicación audiovisual</w:t>
      </w:r>
    </w:p>
    <w:p w14:paraId="07274B07" w14:textId="179A0CCB"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100" w:history="1">
        <w:r w:rsidRPr="00DA359F">
          <w:rPr>
            <w:rStyle w:val="TextoNormalCaracter"/>
          </w:rPr>
          <w:t>100/2023</w:t>
        </w:r>
      </w:hyperlink>
      <w:r>
        <w:t>.</w:t>
      </w:r>
    </w:p>
    <w:p w14:paraId="1308C819" w14:textId="52F11E61" w:rsidR="00DA359F" w:rsidRDefault="00DA359F" w:rsidP="00DA359F">
      <w:pPr>
        <w:pStyle w:val="SangriaFrancesaArticulo"/>
      </w:pPr>
    </w:p>
    <w:p w14:paraId="647726F7" w14:textId="77777777" w:rsidR="00DA359F" w:rsidRDefault="00DA359F" w:rsidP="00DA359F">
      <w:pPr>
        <w:pStyle w:val="TextoNormalNegritaCursivandice"/>
        <w:keepNext/>
      </w:pPr>
      <w:r>
        <w:t>Comunidad Autónoma de Canarias. Resolución 50/2018, de 10 de julio, de la Viceconsejería de Comunicación y Relaciones con los Medios de la Presidencia del Gobierno de Canarias, por la que se ordena el archivo de la solicitud de convocatoria en materia de adjudicación de licencias de comunicación audiovisual</w:t>
      </w:r>
    </w:p>
    <w:p w14:paraId="48FF507E" w14:textId="24542B92"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104" w:history="1">
        <w:r w:rsidRPr="00DA359F">
          <w:rPr>
            <w:rStyle w:val="TextoNormalCaracter"/>
          </w:rPr>
          <w:t>104/2023</w:t>
        </w:r>
      </w:hyperlink>
      <w:r>
        <w:t>.</w:t>
      </w:r>
    </w:p>
    <w:p w14:paraId="1AB377A5" w14:textId="7201C569" w:rsidR="00DA359F" w:rsidRDefault="00DA359F" w:rsidP="00DA359F">
      <w:pPr>
        <w:pStyle w:val="SangriaFrancesaArticulo"/>
      </w:pPr>
    </w:p>
    <w:p w14:paraId="1B4A7D3D" w14:textId="77777777" w:rsidR="00DA359F" w:rsidRDefault="00DA359F" w:rsidP="00DA359F">
      <w:pPr>
        <w:pStyle w:val="TextoNormalNegritaCursivandice"/>
        <w:keepNext/>
      </w:pPr>
      <w:r>
        <w:t>Comunidad Autónoma de Canarias. Resolución 110/2018, de 20 de diciembre, de la Viceconsejería de Comunicación y Relaciones con los Medios de la Presidencia del Gobierno de Canarias, por la que se ordena el archivo de la solicitud de convocatoria en materia de adjudicación de licencias de comunicación audiovisual</w:t>
      </w:r>
    </w:p>
    <w:p w14:paraId="34683DC6" w14:textId="7176D258"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110" w:history="1">
        <w:r w:rsidRPr="00DA359F">
          <w:rPr>
            <w:rStyle w:val="TextoNormalCaracter"/>
          </w:rPr>
          <w:t>110/2023</w:t>
        </w:r>
      </w:hyperlink>
      <w:r>
        <w:t>.</w:t>
      </w:r>
    </w:p>
    <w:p w14:paraId="6394A767" w14:textId="58E716F3" w:rsidR="00DA359F" w:rsidRDefault="00DA359F" w:rsidP="00DA359F">
      <w:pPr>
        <w:pStyle w:val="SangriaFrancesaArticulo"/>
      </w:pPr>
    </w:p>
    <w:p w14:paraId="45CDAE38" w14:textId="77777777" w:rsidR="00DA359F" w:rsidRDefault="00DA359F" w:rsidP="00DA359F">
      <w:pPr>
        <w:pStyle w:val="TextoNormalNegritaCursivandice"/>
        <w:keepNext/>
      </w:pPr>
      <w:r>
        <w:t>Comunidad Autónoma de Canarias. Resolución 112/2018, de 20 de diciembre, de la Viceconsejería de Comunicación y Relaciones con los Medios de la Presidencia del Gobierno de Canarias, por la que se ordena el archivo de la solicitud de convocatoria en materia de adjudicación de licencias de comunicación audiovisual</w:t>
      </w:r>
    </w:p>
    <w:p w14:paraId="222ADBA7" w14:textId="150AC07A"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109" w:history="1">
        <w:r w:rsidRPr="00DA359F">
          <w:rPr>
            <w:rStyle w:val="TextoNormalCaracter"/>
          </w:rPr>
          <w:t>109/2023</w:t>
        </w:r>
      </w:hyperlink>
      <w:r>
        <w:t>.</w:t>
      </w:r>
    </w:p>
    <w:p w14:paraId="14041477" w14:textId="7B91C476" w:rsidR="00DA359F" w:rsidRDefault="00DA359F" w:rsidP="00DA359F">
      <w:pPr>
        <w:pStyle w:val="SangriaFrancesaArticulo"/>
      </w:pPr>
    </w:p>
    <w:p w14:paraId="4D4387FF" w14:textId="77777777" w:rsidR="00DA359F" w:rsidRDefault="00DA359F" w:rsidP="00DA359F">
      <w:pPr>
        <w:pStyle w:val="TextoNormalNegritaCursivandice"/>
        <w:keepNext/>
      </w:pPr>
      <w:r>
        <w:t>Comunidad Autónoma de Canarias. Resolución núm. 113/2018, de 20 de diciembre, de la Viceconsejería de Comunicación y Relaciones con los Medios de la Presidencia del Gobierno de Canarias, por la que se ordena el archivo de la solicitud de convocatoria en materia de adjudicación de licencias de comunicación audiovisual</w:t>
      </w:r>
    </w:p>
    <w:p w14:paraId="0F5162C6" w14:textId="1C195CFA"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114" w:history="1">
        <w:r w:rsidRPr="00DA359F">
          <w:rPr>
            <w:rStyle w:val="TextoNormalCaracter"/>
          </w:rPr>
          <w:t>114/2023</w:t>
        </w:r>
      </w:hyperlink>
      <w:r>
        <w:t>.</w:t>
      </w:r>
    </w:p>
    <w:p w14:paraId="4F7F6033" w14:textId="649A523A" w:rsidR="00DA359F" w:rsidRDefault="00DA359F" w:rsidP="00DA359F">
      <w:pPr>
        <w:pStyle w:val="SangriaFrancesaArticulo"/>
      </w:pPr>
    </w:p>
    <w:p w14:paraId="4FCD3534" w14:textId="77777777" w:rsidR="00DA359F" w:rsidRDefault="00DA359F" w:rsidP="00DA359F">
      <w:pPr>
        <w:pStyle w:val="TextoNormalNegritaCursivandice"/>
        <w:keepNext/>
      </w:pPr>
      <w:r>
        <w:t>Comunidad Autónoma de Canarias. Resolución 114/2018, de 20 de diciembre, de la Viceconsejería de Comunicación y Relaciones con los Medios de la Presidencia del Gobierno de Canarias, que acuerda el archivo de la solicitud de convocatoria en materia de adjudicación de licencias de comunicación audiovisual</w:t>
      </w:r>
    </w:p>
    <w:p w14:paraId="71A108FD" w14:textId="1359024F"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103" w:history="1">
        <w:r w:rsidRPr="00DA359F">
          <w:rPr>
            <w:rStyle w:val="TextoNormalCaracter"/>
          </w:rPr>
          <w:t>103/2023</w:t>
        </w:r>
      </w:hyperlink>
      <w:r>
        <w:t>.</w:t>
      </w:r>
    </w:p>
    <w:p w14:paraId="369EB8D4" w14:textId="0225725D" w:rsidR="00DA359F" w:rsidRDefault="00DA359F" w:rsidP="00DA359F">
      <w:pPr>
        <w:pStyle w:val="TextoNormal"/>
      </w:pPr>
    </w:p>
    <w:p w14:paraId="5D99421A" w14:textId="77777777" w:rsidR="00DA359F" w:rsidRDefault="00DA359F" w:rsidP="00DA359F">
      <w:pPr>
        <w:pStyle w:val="TextoNormalNegritaCentrado"/>
        <w:suppressAutoHyphens/>
      </w:pPr>
      <w:r w:rsidRPr="00DA359F">
        <w:rPr>
          <w:rStyle w:val="TextoNormalNegritaCentradoSombreado"/>
        </w:rPr>
        <w:t>J.6) Cantabria</w:t>
      </w:r>
    </w:p>
    <w:p w14:paraId="7BB5E937" w14:textId="0CC0DADF" w:rsidR="00DA359F" w:rsidRDefault="00DA359F" w:rsidP="00DA359F">
      <w:pPr>
        <w:pStyle w:val="TextoNormal"/>
      </w:pPr>
    </w:p>
    <w:p w14:paraId="7E9256CB" w14:textId="77777777" w:rsidR="00DA359F" w:rsidRDefault="00DA359F" w:rsidP="00DA359F">
      <w:pPr>
        <w:pStyle w:val="TextoNormalNegritaCentradoSubrayado"/>
        <w:suppressAutoHyphens/>
      </w:pPr>
      <w:r>
        <w:t>J.6.c) Decretos y otras disposiciones reglamentarias</w:t>
      </w:r>
    </w:p>
    <w:p w14:paraId="475FC8E7" w14:textId="40AB16B1" w:rsidR="00DA359F" w:rsidRDefault="00DA359F" w:rsidP="00DA359F">
      <w:pPr>
        <w:pStyle w:val="TextoNormalNegritaCentradoSubrayado"/>
      </w:pPr>
    </w:p>
    <w:p w14:paraId="35CE3AFA" w14:textId="77777777" w:rsidR="00DA359F" w:rsidRDefault="00DA359F" w:rsidP="00DA359F">
      <w:pPr>
        <w:pStyle w:val="TextoNormalNegritaCursivandice"/>
        <w:keepNext/>
      </w:pPr>
      <w:r>
        <w:t>Comunidad Autónoma de Cantabria. Acuerdo de 22 de noviembre de 2018 del Consejo de Gobierno de la Comunidad Autónoma de Cantabria por el que se desestima el recurso de alzada interpuesto contra la desestimación presunta en materia de adjudicación de licencias de comunicación audiovisual</w:t>
      </w:r>
    </w:p>
    <w:p w14:paraId="1B707EB1" w14:textId="17F9E4AC"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111" w:history="1">
        <w:r w:rsidRPr="00DA359F">
          <w:rPr>
            <w:rStyle w:val="TextoNormalCaracter"/>
          </w:rPr>
          <w:t>111/2023</w:t>
        </w:r>
      </w:hyperlink>
      <w:r>
        <w:t>.</w:t>
      </w:r>
    </w:p>
    <w:p w14:paraId="3ACE3646" w14:textId="1404E922" w:rsidR="00DA359F" w:rsidRDefault="00DA359F" w:rsidP="00DA359F">
      <w:pPr>
        <w:pStyle w:val="TextoNormal"/>
      </w:pPr>
    </w:p>
    <w:p w14:paraId="677292B3" w14:textId="77777777" w:rsidR="00DA359F" w:rsidRDefault="00DA359F" w:rsidP="00DA359F">
      <w:pPr>
        <w:pStyle w:val="TextoNormalNegritaCentradoSubrayado"/>
        <w:suppressAutoHyphens/>
      </w:pPr>
      <w:r>
        <w:t>J.6.d) Disposiciones parlamentarias autonómicas</w:t>
      </w:r>
    </w:p>
    <w:p w14:paraId="0060502D" w14:textId="09F06C2C" w:rsidR="00DA359F" w:rsidRDefault="00DA359F" w:rsidP="00DA359F">
      <w:pPr>
        <w:pStyle w:val="TextoNormalNegritaCentradoSubrayado"/>
      </w:pPr>
    </w:p>
    <w:p w14:paraId="5BB1CED9" w14:textId="77777777" w:rsidR="00DA359F" w:rsidRDefault="00DA359F" w:rsidP="00DA359F">
      <w:pPr>
        <w:pStyle w:val="TextoNormalNegritaCursivandice"/>
        <w:keepNext/>
      </w:pPr>
      <w:r>
        <w:t>Comunidad Autónoma de Cantabria. Reglamento de la Asamblea Regional de Cantabria, de 2 de abril de 1984</w:t>
      </w:r>
    </w:p>
    <w:p w14:paraId="48930EB4" w14:textId="223CB717" w:rsidR="00DA359F" w:rsidRDefault="00DA359F" w:rsidP="00DA359F">
      <w:pPr>
        <w:pStyle w:val="SangriaFrancesaArticulo"/>
      </w:pPr>
      <w:r w:rsidRPr="00DA359F">
        <w:rPr>
          <w:rStyle w:val="TextoNormalNegritaCaracter"/>
        </w:rPr>
        <w:t>Artículo 56.</w:t>
      </w:r>
      <w:r w:rsidRPr="00DA359F">
        <w:rPr>
          <w:rStyle w:val="TextoNormalCaracter"/>
        </w:rPr>
        <w:t>-</w:t>
      </w:r>
      <w:r>
        <w:t xml:space="preserve"> Sentencia </w:t>
      </w:r>
      <w:hyperlink w:anchor="SENTENCIA_2023_167" w:history="1">
        <w:r w:rsidRPr="00DA359F">
          <w:rPr>
            <w:rStyle w:val="TextoNormalCaracter"/>
          </w:rPr>
          <w:t>167/2023</w:t>
        </w:r>
      </w:hyperlink>
      <w:r>
        <w:t>, f. 10.</w:t>
      </w:r>
    </w:p>
    <w:p w14:paraId="2C0A1EE0" w14:textId="1B4F3438" w:rsidR="00DA359F" w:rsidRDefault="00DA359F" w:rsidP="00DA359F">
      <w:pPr>
        <w:pStyle w:val="TextoNormal"/>
      </w:pPr>
    </w:p>
    <w:p w14:paraId="19F948BB" w14:textId="77777777" w:rsidR="00DA359F" w:rsidRDefault="00DA359F" w:rsidP="00DA359F">
      <w:pPr>
        <w:pStyle w:val="TextoNormalNegritaCentrado"/>
        <w:suppressAutoHyphens/>
      </w:pPr>
      <w:r w:rsidRPr="00DA359F">
        <w:rPr>
          <w:rStyle w:val="TextoNormalNegritaCentradoSombreado"/>
        </w:rPr>
        <w:t>J.7) Castilla-La Mancha</w:t>
      </w:r>
    </w:p>
    <w:p w14:paraId="7720201C" w14:textId="267CBA06" w:rsidR="00DA359F" w:rsidRDefault="00DA359F" w:rsidP="00DA359F">
      <w:pPr>
        <w:pStyle w:val="TextoNormal"/>
      </w:pPr>
    </w:p>
    <w:p w14:paraId="425C0795" w14:textId="77777777" w:rsidR="00DA359F" w:rsidRDefault="00DA359F" w:rsidP="00DA359F">
      <w:pPr>
        <w:pStyle w:val="TextoNormalNegritaCentradoSubrayado"/>
        <w:suppressAutoHyphens/>
      </w:pPr>
      <w:r>
        <w:t>J.7.c) Decretos y otras disposiciones reglamentarias</w:t>
      </w:r>
    </w:p>
    <w:p w14:paraId="2A17F607" w14:textId="7446273B" w:rsidR="00DA359F" w:rsidRDefault="00DA359F" w:rsidP="00DA359F">
      <w:pPr>
        <w:pStyle w:val="TextoNormalNegritaCentradoSubrayado"/>
      </w:pPr>
    </w:p>
    <w:p w14:paraId="753E16CC" w14:textId="77777777" w:rsidR="00DA359F" w:rsidRDefault="00DA359F" w:rsidP="00DA359F">
      <w:pPr>
        <w:pStyle w:val="TextoNormalNegritaCursivandice"/>
        <w:keepNext/>
      </w:pPr>
      <w:r>
        <w:t>Comunidad Autónoma de Castilla-La Mancha. Resolución de 27 de julio de 2018 del director general de Telecomunicaciones y Nuevas Tecnologías, por la que se deniega la solicitud de convocatoria en materia de adjudicación de licencias de comunicación audiovisual</w:t>
      </w:r>
    </w:p>
    <w:p w14:paraId="549A8A7B" w14:textId="351FA1D9"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117" w:history="1">
        <w:r w:rsidRPr="00DA359F">
          <w:rPr>
            <w:rStyle w:val="TextoNormalCaracter"/>
          </w:rPr>
          <w:t>117/2023</w:t>
        </w:r>
      </w:hyperlink>
      <w:r>
        <w:t>.</w:t>
      </w:r>
    </w:p>
    <w:p w14:paraId="3EE3E6D4" w14:textId="481B2656" w:rsidR="00DA359F" w:rsidRDefault="00DA359F" w:rsidP="00DA359F">
      <w:pPr>
        <w:pStyle w:val="TextoNormal"/>
      </w:pPr>
    </w:p>
    <w:p w14:paraId="064AAEDE" w14:textId="77777777" w:rsidR="00DA359F" w:rsidRDefault="00DA359F" w:rsidP="00DA359F">
      <w:pPr>
        <w:pStyle w:val="TextoNormalNegritaCentrado"/>
        <w:suppressAutoHyphens/>
      </w:pPr>
      <w:r w:rsidRPr="00DA359F">
        <w:rPr>
          <w:rStyle w:val="TextoNormalNegritaCentradoSombreado"/>
        </w:rPr>
        <w:t>J.8) Cataluña</w:t>
      </w:r>
    </w:p>
    <w:p w14:paraId="2D9526C6" w14:textId="4DFD3798" w:rsidR="00DA359F" w:rsidRDefault="00DA359F" w:rsidP="00DA359F">
      <w:pPr>
        <w:pStyle w:val="TextoNormal"/>
      </w:pPr>
    </w:p>
    <w:p w14:paraId="1D0BDC7B" w14:textId="77777777" w:rsidR="00DA359F" w:rsidRDefault="00DA359F" w:rsidP="00DA359F">
      <w:pPr>
        <w:pStyle w:val="TextoNormalNegritaCentradoSubrayado"/>
        <w:suppressAutoHyphens/>
      </w:pPr>
      <w:r>
        <w:t>J.8.a) Estatuto de Autonomía</w:t>
      </w:r>
    </w:p>
    <w:p w14:paraId="391AE990" w14:textId="587F0C68" w:rsidR="00DA359F" w:rsidRDefault="00DA359F" w:rsidP="00DA359F">
      <w:pPr>
        <w:pStyle w:val="TextoNormalNegritaCentradoSubrayado"/>
      </w:pPr>
    </w:p>
    <w:p w14:paraId="48DB9DEE" w14:textId="77777777" w:rsidR="00DA359F" w:rsidRDefault="00DA359F" w:rsidP="00DA359F">
      <w:pPr>
        <w:pStyle w:val="TextoNormalNegritaCursivandice"/>
        <w:keepNext/>
      </w:pPr>
      <w:r>
        <w:t>Ley Orgánica 4/1979, de 18 de diciembre, de Estatuto de Autonomía de Cataluña</w:t>
      </w:r>
    </w:p>
    <w:p w14:paraId="126A5048" w14:textId="77601DF9" w:rsidR="00DA359F" w:rsidRDefault="00DA359F" w:rsidP="00DA359F">
      <w:pPr>
        <w:pStyle w:val="SangriaFrancesaArticulo"/>
      </w:pPr>
      <w:r w:rsidRPr="00DA359F">
        <w:rPr>
          <w:rStyle w:val="TextoNormalNegritaCaracter"/>
        </w:rPr>
        <w:t>Artículo 76.1.</w:t>
      </w:r>
      <w:r w:rsidRPr="00DA359F">
        <w:rPr>
          <w:rStyle w:val="TextoNormalCaracter"/>
        </w:rPr>
        <w:t>-</w:t>
      </w:r>
      <w:r>
        <w:t xml:space="preserve"> Auto </w:t>
      </w:r>
      <w:hyperlink w:anchor="AUTO_2023_449" w:history="1">
        <w:r w:rsidRPr="00DA359F">
          <w:rPr>
            <w:rStyle w:val="TextoNormalCaracter"/>
          </w:rPr>
          <w:t>449/2023</w:t>
        </w:r>
      </w:hyperlink>
      <w:r>
        <w:t>, f. único.</w:t>
      </w:r>
    </w:p>
    <w:p w14:paraId="7735DDD5" w14:textId="14E176A0" w:rsidR="00DA359F" w:rsidRDefault="00DA359F" w:rsidP="00DA359F">
      <w:pPr>
        <w:pStyle w:val="SangriaFrancesaArticulo"/>
      </w:pPr>
      <w:r w:rsidRPr="00DA359F">
        <w:rPr>
          <w:rStyle w:val="TextoNormalNegritaCaracter"/>
        </w:rPr>
        <w:t>Disposición transitoria sexta.</w:t>
      </w:r>
      <w:r w:rsidRPr="00DA359F">
        <w:rPr>
          <w:rStyle w:val="TextoNormalCaracter"/>
        </w:rPr>
        <w:t>-</w:t>
      </w:r>
      <w:r>
        <w:t xml:space="preserve"> Sentencia </w:t>
      </w:r>
      <w:hyperlink w:anchor="SENTENCIA_2023_124" w:history="1">
        <w:r w:rsidRPr="00DA359F">
          <w:rPr>
            <w:rStyle w:val="TextoNormalCaracter"/>
          </w:rPr>
          <w:t>124/2023</w:t>
        </w:r>
      </w:hyperlink>
      <w:r>
        <w:t>, VP I.</w:t>
      </w:r>
    </w:p>
    <w:p w14:paraId="47B9D3BB" w14:textId="3EFC7C35" w:rsidR="00DA359F" w:rsidRDefault="00DA359F" w:rsidP="00DA359F">
      <w:pPr>
        <w:pStyle w:val="SangriaFrancesaArticulo"/>
      </w:pPr>
    </w:p>
    <w:p w14:paraId="73740FA5" w14:textId="77777777" w:rsidR="00DA359F" w:rsidRDefault="00DA359F" w:rsidP="00DA359F">
      <w:pPr>
        <w:pStyle w:val="TextoNormalNegritaCursivandice"/>
        <w:keepNext/>
      </w:pPr>
      <w:r>
        <w:t>Ley Orgánica 6/2006, de 19 de julio, de reforma del Estatuto de Autonomía de Cataluña</w:t>
      </w:r>
    </w:p>
    <w:p w14:paraId="266DB671" w14:textId="224F91B4"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85" w:history="1">
        <w:r w:rsidRPr="00DA359F">
          <w:rPr>
            <w:rStyle w:val="TextoNormalCaracter"/>
          </w:rPr>
          <w:t>85/2023</w:t>
        </w:r>
      </w:hyperlink>
      <w:r>
        <w:t>, VP.</w:t>
      </w:r>
    </w:p>
    <w:p w14:paraId="19A0C7B4" w14:textId="51BAC495" w:rsidR="00DA359F" w:rsidRDefault="00DA359F" w:rsidP="00DA359F">
      <w:pPr>
        <w:pStyle w:val="SangriaFrancesaArticulo"/>
      </w:pPr>
      <w:r w:rsidRPr="00DA359F">
        <w:rPr>
          <w:rStyle w:val="TextoNormalNegritaCaracter"/>
        </w:rPr>
        <w:t>Artículo 33.1.</w:t>
      </w:r>
      <w:r w:rsidRPr="00DA359F">
        <w:rPr>
          <w:rStyle w:val="TextoNormalCaracter"/>
        </w:rPr>
        <w:t>-</w:t>
      </w:r>
      <w:r>
        <w:t xml:space="preserve"> Sentencia </w:t>
      </w:r>
      <w:hyperlink w:anchor="SENTENCIA_2023_85" w:history="1">
        <w:r w:rsidRPr="00DA359F">
          <w:rPr>
            <w:rStyle w:val="TextoNormalCaracter"/>
          </w:rPr>
          <w:t>85/2023</w:t>
        </w:r>
      </w:hyperlink>
      <w:r>
        <w:t>, VP.</w:t>
      </w:r>
    </w:p>
    <w:p w14:paraId="2C47C466" w14:textId="639B1A36" w:rsidR="00DA359F" w:rsidRDefault="00DA359F" w:rsidP="00DA359F">
      <w:pPr>
        <w:pStyle w:val="SangriaFrancesaArticulo"/>
      </w:pPr>
      <w:r w:rsidRPr="00DA359F">
        <w:rPr>
          <w:rStyle w:val="TextoNormalNegritaCaracter"/>
        </w:rPr>
        <w:t>Artículo 50.5.</w:t>
      </w:r>
      <w:r w:rsidRPr="00DA359F">
        <w:rPr>
          <w:rStyle w:val="TextoNormalCaracter"/>
        </w:rPr>
        <w:t>-</w:t>
      </w:r>
      <w:r>
        <w:t xml:space="preserve"> Sentencia </w:t>
      </w:r>
      <w:hyperlink w:anchor="SENTENCIA_2023_85" w:history="1">
        <w:r w:rsidRPr="00DA359F">
          <w:rPr>
            <w:rStyle w:val="TextoNormalCaracter"/>
          </w:rPr>
          <w:t>85/2023</w:t>
        </w:r>
      </w:hyperlink>
      <w:r>
        <w:t>, VP.</w:t>
      </w:r>
    </w:p>
    <w:p w14:paraId="01E619C1" w14:textId="104BA8DB" w:rsidR="00DA359F" w:rsidRDefault="00DA359F" w:rsidP="00DA359F">
      <w:pPr>
        <w:pStyle w:val="SangriaFrancesaArticulo"/>
      </w:pPr>
      <w:r w:rsidRPr="00DA359F">
        <w:rPr>
          <w:rStyle w:val="TextoNormalNegritaCaracter"/>
        </w:rPr>
        <w:t>Artículo 61 a).</w:t>
      </w:r>
      <w:r w:rsidRPr="00DA359F">
        <w:rPr>
          <w:rStyle w:val="TextoNormalCaracter"/>
        </w:rPr>
        <w:t>-</w:t>
      </w:r>
      <w:r>
        <w:t xml:space="preserve"> Sentencia </w:t>
      </w:r>
      <w:hyperlink w:anchor="SENTENCIA_2023_116" w:history="1">
        <w:r w:rsidRPr="00DA359F">
          <w:rPr>
            <w:rStyle w:val="TextoNormalCaracter"/>
          </w:rPr>
          <w:t>116/2023</w:t>
        </w:r>
      </w:hyperlink>
      <w:r>
        <w:t>, f. 4.</w:t>
      </w:r>
    </w:p>
    <w:p w14:paraId="2ABE4E13" w14:textId="61C5F21C" w:rsidR="00DA359F" w:rsidRDefault="00DA359F" w:rsidP="00DA359F">
      <w:pPr>
        <w:pStyle w:val="TextoNormal"/>
      </w:pPr>
    </w:p>
    <w:p w14:paraId="2389108D" w14:textId="77777777" w:rsidR="00DA359F" w:rsidRDefault="00DA359F" w:rsidP="00DA359F">
      <w:pPr>
        <w:pStyle w:val="TextoNormalNegritaCentradoSubrayado"/>
        <w:suppressAutoHyphens/>
      </w:pPr>
      <w:r>
        <w:t>J.8.b) Leyes y disposiciones con fuerza de Ley</w:t>
      </w:r>
    </w:p>
    <w:p w14:paraId="5E567E53" w14:textId="3739128A" w:rsidR="00DA359F" w:rsidRDefault="00DA359F" w:rsidP="00DA359F">
      <w:pPr>
        <w:pStyle w:val="TextoNormalNegritaCentradoSubrayado"/>
      </w:pPr>
    </w:p>
    <w:p w14:paraId="5C10A871" w14:textId="77777777" w:rsidR="00DA359F" w:rsidRDefault="00DA359F" w:rsidP="00DA359F">
      <w:pPr>
        <w:pStyle w:val="TextoNormalNegritaCursivandice"/>
        <w:keepNext/>
      </w:pPr>
      <w:r>
        <w:t>Comunidad Autónoma de Cataluña. Ley 23/1987, de 23 de diciembre, por la que se establecen los criterios de financiación del plan único de obras y servicios de Cataluña a las bases para la selección, distribución y financiación de las obras y servicios a incluir en el mismo</w:t>
      </w:r>
    </w:p>
    <w:p w14:paraId="1B723D0D" w14:textId="61DCBC59"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124" w:history="1">
        <w:r w:rsidRPr="00DA359F">
          <w:rPr>
            <w:rStyle w:val="TextoNormalCaracter"/>
          </w:rPr>
          <w:t>124/2023</w:t>
        </w:r>
      </w:hyperlink>
      <w:r>
        <w:t>, VP II.</w:t>
      </w:r>
    </w:p>
    <w:p w14:paraId="4F679A01" w14:textId="548C0A41" w:rsidR="00DA359F" w:rsidRDefault="00DA359F" w:rsidP="00DA359F">
      <w:pPr>
        <w:pStyle w:val="SangriaFrancesaArticulo"/>
      </w:pPr>
    </w:p>
    <w:p w14:paraId="2D65ABA5" w14:textId="77777777" w:rsidR="00DA359F" w:rsidRDefault="00DA359F" w:rsidP="00DA359F">
      <w:pPr>
        <w:pStyle w:val="TextoNormalNegritaCursivandice"/>
        <w:keepNext/>
      </w:pPr>
      <w:r>
        <w:t>Comunidad Autónoma de Cataluña. Ley 1/1998, de 7 de enero, de política lingüística</w:t>
      </w:r>
    </w:p>
    <w:p w14:paraId="17C5A867" w14:textId="3C7F0CD2" w:rsidR="00DA359F" w:rsidRDefault="00DA359F" w:rsidP="00DA359F">
      <w:pPr>
        <w:pStyle w:val="SangriaFrancesaArticulo"/>
      </w:pPr>
      <w:r w:rsidRPr="00DA359F">
        <w:rPr>
          <w:rStyle w:val="TextoNormalNegritaCaracter"/>
        </w:rPr>
        <w:t>Artículo 9.1.</w:t>
      </w:r>
      <w:r w:rsidRPr="00DA359F">
        <w:rPr>
          <w:rStyle w:val="TextoNormalCaracter"/>
        </w:rPr>
        <w:t>-</w:t>
      </w:r>
      <w:r>
        <w:t xml:space="preserve"> Sentencia </w:t>
      </w:r>
      <w:hyperlink w:anchor="SENTENCIA_2023_85" w:history="1">
        <w:r w:rsidRPr="00DA359F">
          <w:rPr>
            <w:rStyle w:val="TextoNormalCaracter"/>
          </w:rPr>
          <w:t>85/2023</w:t>
        </w:r>
      </w:hyperlink>
      <w:r>
        <w:t>, VP.</w:t>
      </w:r>
    </w:p>
    <w:p w14:paraId="368CC23F" w14:textId="24318946" w:rsidR="00DA359F" w:rsidRDefault="00DA359F" w:rsidP="00DA359F">
      <w:pPr>
        <w:pStyle w:val="SangriaFrancesaArticulo"/>
      </w:pPr>
      <w:r w:rsidRPr="00DA359F">
        <w:rPr>
          <w:rStyle w:val="TextoNormalNegritaCaracter"/>
        </w:rPr>
        <w:t>Artículo 10.</w:t>
      </w:r>
      <w:r w:rsidRPr="00DA359F">
        <w:rPr>
          <w:rStyle w:val="TextoNormalCaracter"/>
        </w:rPr>
        <w:t>-</w:t>
      </w:r>
      <w:r>
        <w:t xml:space="preserve"> Sentencia </w:t>
      </w:r>
      <w:hyperlink w:anchor="SENTENCIA_2023_85" w:history="1">
        <w:r w:rsidRPr="00DA359F">
          <w:rPr>
            <w:rStyle w:val="TextoNormalCaracter"/>
          </w:rPr>
          <w:t>85/2023</w:t>
        </w:r>
      </w:hyperlink>
      <w:r>
        <w:t>, VP.</w:t>
      </w:r>
    </w:p>
    <w:p w14:paraId="4BC09302" w14:textId="35D48F5D" w:rsidR="00DA359F" w:rsidRDefault="00DA359F" w:rsidP="00DA359F">
      <w:pPr>
        <w:pStyle w:val="SangriaFrancesaArticulo"/>
      </w:pPr>
    </w:p>
    <w:p w14:paraId="4F4AB93D" w14:textId="77777777" w:rsidR="00DA359F" w:rsidRDefault="00DA359F" w:rsidP="00DA359F">
      <w:pPr>
        <w:pStyle w:val="TextoNormalNegritaCursivandice"/>
        <w:keepNext/>
      </w:pPr>
      <w:r>
        <w:t>Comunidad Autónoma de Cataluña. Ley 2/2009, de 12 de febrero, del consejo de garantías estatutarias</w:t>
      </w:r>
    </w:p>
    <w:p w14:paraId="30B4B381" w14:textId="05180796" w:rsidR="00DA359F" w:rsidRDefault="00DA359F" w:rsidP="00DA359F">
      <w:pPr>
        <w:pStyle w:val="SangriaFrancesaArticulo"/>
      </w:pPr>
      <w:r w:rsidRPr="00DA359F">
        <w:rPr>
          <w:rStyle w:val="TextoNormalNegritaCaracter"/>
        </w:rPr>
        <w:t>Artículo 23.</w:t>
      </w:r>
      <w:r w:rsidRPr="00DA359F">
        <w:rPr>
          <w:rStyle w:val="TextoNormalCaracter"/>
        </w:rPr>
        <w:t>-</w:t>
      </w:r>
      <w:r>
        <w:t xml:space="preserve"> Auto </w:t>
      </w:r>
      <w:hyperlink w:anchor="AUTO_2023_449" w:history="1">
        <w:r w:rsidRPr="00DA359F">
          <w:rPr>
            <w:rStyle w:val="TextoNormalCaracter"/>
          </w:rPr>
          <w:t>449/2023</w:t>
        </w:r>
      </w:hyperlink>
      <w:r>
        <w:t>, f. único.</w:t>
      </w:r>
    </w:p>
    <w:p w14:paraId="2A9F25EC" w14:textId="367E9206" w:rsidR="00DA359F" w:rsidRDefault="00DA359F" w:rsidP="00DA359F">
      <w:pPr>
        <w:pStyle w:val="SangriaFrancesaArticulo"/>
      </w:pPr>
    </w:p>
    <w:p w14:paraId="5C617515" w14:textId="77777777" w:rsidR="00DA359F" w:rsidRDefault="00DA359F" w:rsidP="00DA359F">
      <w:pPr>
        <w:pStyle w:val="TextoNormalNegritaCursivandice"/>
        <w:keepNext/>
      </w:pPr>
      <w:r>
        <w:t>Comunidad Autónoma de Cataluña. Ley 6/2010, de 26 de marzo, del procedimiento de designación de los senadores que representan a la Generalidad en el Senado</w:t>
      </w:r>
    </w:p>
    <w:p w14:paraId="66C9E684" w14:textId="734B2951"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116" w:history="1">
        <w:r w:rsidRPr="00DA359F">
          <w:rPr>
            <w:rStyle w:val="TextoNormalCaracter"/>
          </w:rPr>
          <w:t>116/2023</w:t>
        </w:r>
      </w:hyperlink>
      <w:r>
        <w:t>, f. 4.</w:t>
      </w:r>
    </w:p>
    <w:p w14:paraId="438BB76B" w14:textId="69F0F398" w:rsidR="00DA359F" w:rsidRDefault="00DA359F" w:rsidP="00DA359F">
      <w:pPr>
        <w:pStyle w:val="SangriaFrancesaArticulo"/>
      </w:pPr>
      <w:r w:rsidRPr="00DA359F">
        <w:rPr>
          <w:rStyle w:val="TextoNormalNegritaCaracter"/>
        </w:rPr>
        <w:t>Artículo 3.</w:t>
      </w:r>
      <w:r w:rsidRPr="00DA359F">
        <w:rPr>
          <w:rStyle w:val="TextoNormalCaracter"/>
        </w:rPr>
        <w:t>-</w:t>
      </w:r>
      <w:r>
        <w:t xml:space="preserve"> Sentencia </w:t>
      </w:r>
      <w:hyperlink w:anchor="SENTENCIA_2023_116" w:history="1">
        <w:r w:rsidRPr="00DA359F">
          <w:rPr>
            <w:rStyle w:val="TextoNormalCaracter"/>
          </w:rPr>
          <w:t>116/2023</w:t>
        </w:r>
      </w:hyperlink>
      <w:r>
        <w:t>, f. 4.</w:t>
      </w:r>
    </w:p>
    <w:p w14:paraId="48AF9B03" w14:textId="13DA94D0" w:rsidR="00DA359F" w:rsidRDefault="00DA359F" w:rsidP="00DA359F">
      <w:pPr>
        <w:pStyle w:val="SangriaFrancesaArticulo"/>
      </w:pPr>
    </w:p>
    <w:p w14:paraId="29BE82E0" w14:textId="77777777" w:rsidR="00DA359F" w:rsidRDefault="00DA359F" w:rsidP="00DA359F">
      <w:pPr>
        <w:pStyle w:val="TextoNormalNegritaCursivandice"/>
        <w:keepNext/>
      </w:pPr>
      <w:r>
        <w:t>Comunidad Autónoma de Cataluña. Ley 35/2010, de 1 de octubre, del occitano, aranés en Arán</w:t>
      </w:r>
    </w:p>
    <w:p w14:paraId="2D7DB012" w14:textId="651955E4"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85" w:history="1">
        <w:r w:rsidRPr="00DA359F">
          <w:rPr>
            <w:rStyle w:val="TextoNormalCaracter"/>
          </w:rPr>
          <w:t>85/2023</w:t>
        </w:r>
      </w:hyperlink>
      <w:r>
        <w:t>, VP.</w:t>
      </w:r>
    </w:p>
    <w:p w14:paraId="47BE5389" w14:textId="6B977C05" w:rsidR="00DA359F" w:rsidRDefault="00DA359F" w:rsidP="00DA359F">
      <w:pPr>
        <w:pStyle w:val="TextoNormal"/>
      </w:pPr>
    </w:p>
    <w:p w14:paraId="20367B61" w14:textId="77777777" w:rsidR="00DA359F" w:rsidRDefault="00DA359F" w:rsidP="00DA359F">
      <w:pPr>
        <w:pStyle w:val="TextoNormalNegritaCentradoSubrayado"/>
        <w:suppressAutoHyphens/>
      </w:pPr>
      <w:r>
        <w:t>J.8.d) Disposiciones parlamentarias autonómicas</w:t>
      </w:r>
    </w:p>
    <w:p w14:paraId="24EE2380" w14:textId="5ED4AE7B" w:rsidR="00DA359F" w:rsidRDefault="00DA359F" w:rsidP="00DA359F">
      <w:pPr>
        <w:pStyle w:val="TextoNormalNegritaCentradoSubrayado"/>
      </w:pPr>
    </w:p>
    <w:p w14:paraId="6A28BCD8" w14:textId="77777777" w:rsidR="00DA359F" w:rsidRDefault="00DA359F" w:rsidP="00DA359F">
      <w:pPr>
        <w:pStyle w:val="TextoNormalNegritaCursivandice"/>
        <w:keepNext/>
      </w:pPr>
      <w:r>
        <w:t>Comunidad Autónoma de Cataluña. Acuerdo del Pleno del Parlamento de Cataluña de 15 de octubre de 1987, por el que se aprueba el Reglamento del Parlamento de Cataluña</w:t>
      </w:r>
    </w:p>
    <w:p w14:paraId="4839C78A" w14:textId="292E9721" w:rsidR="00DA359F" w:rsidRDefault="00DA359F" w:rsidP="00DA359F">
      <w:pPr>
        <w:pStyle w:val="SangriaFrancesaArticulo"/>
      </w:pPr>
      <w:r w:rsidRPr="00DA359F">
        <w:rPr>
          <w:rStyle w:val="TextoNormalNegritaCaracter"/>
        </w:rPr>
        <w:t>Artículo 72.1.</w:t>
      </w:r>
      <w:r w:rsidRPr="00DA359F">
        <w:rPr>
          <w:rStyle w:val="TextoNormalCaracter"/>
        </w:rPr>
        <w:t>-</w:t>
      </w:r>
      <w:r>
        <w:t xml:space="preserve"> Sentencia </w:t>
      </w:r>
      <w:hyperlink w:anchor="SENTENCIA_2023_167" w:history="1">
        <w:r w:rsidRPr="00DA359F">
          <w:rPr>
            <w:rStyle w:val="TextoNormalCaracter"/>
          </w:rPr>
          <w:t>167/2023</w:t>
        </w:r>
      </w:hyperlink>
      <w:r>
        <w:t>, f. 10.</w:t>
      </w:r>
    </w:p>
    <w:p w14:paraId="6269B330" w14:textId="0C0C2024" w:rsidR="00DA359F" w:rsidRDefault="00DA359F" w:rsidP="00DA359F">
      <w:pPr>
        <w:pStyle w:val="SangriaFrancesaArticulo"/>
      </w:pPr>
    </w:p>
    <w:p w14:paraId="3D450C8F" w14:textId="77777777" w:rsidR="00DA359F" w:rsidRDefault="00DA359F" w:rsidP="00DA359F">
      <w:pPr>
        <w:pStyle w:val="TextoNormalNegritaCursivandice"/>
        <w:keepNext/>
      </w:pPr>
      <w:r>
        <w:t>Comunidad Autónoma de Cataluña. Texto consolidado de los Estatutos del régimen y el gobierno interiores del Parlamento de Cataluña, aprobado por la mesa del Parlamento de Cataluña en la sesión de 3 de mayo de 2016</w:t>
      </w:r>
    </w:p>
    <w:p w14:paraId="40DF1946" w14:textId="2C8FAC33" w:rsidR="00DA359F" w:rsidRDefault="00DA359F" w:rsidP="00DA359F">
      <w:pPr>
        <w:pStyle w:val="SangriaFrancesaArticulo"/>
      </w:pPr>
      <w:r w:rsidRPr="00DA359F">
        <w:rPr>
          <w:rStyle w:val="TextoNormalNegritaCaracter"/>
        </w:rPr>
        <w:t>Artículo 2.1.</w:t>
      </w:r>
      <w:r w:rsidRPr="00DA359F">
        <w:rPr>
          <w:rStyle w:val="TextoNormalCaracter"/>
        </w:rPr>
        <w:t>-</w:t>
      </w:r>
      <w:r>
        <w:t xml:space="preserve"> Sentencia </w:t>
      </w:r>
      <w:hyperlink w:anchor="SENTENCIA_2023_82" w:history="1">
        <w:r w:rsidRPr="00DA359F">
          <w:rPr>
            <w:rStyle w:val="TextoNormalCaracter"/>
          </w:rPr>
          <w:t>82/2023</w:t>
        </w:r>
      </w:hyperlink>
      <w:r>
        <w:t>, f. 3.</w:t>
      </w:r>
    </w:p>
    <w:p w14:paraId="4C328275" w14:textId="7BEE0743" w:rsidR="00DA359F" w:rsidRDefault="00DA359F" w:rsidP="00DA359F">
      <w:pPr>
        <w:pStyle w:val="SangriaFrancesaArticulo"/>
      </w:pPr>
      <w:r w:rsidRPr="00DA359F">
        <w:rPr>
          <w:rStyle w:val="TextoNormalNegritaCaracter"/>
        </w:rPr>
        <w:t>Artículo 143.</w:t>
      </w:r>
      <w:r w:rsidRPr="00DA359F">
        <w:rPr>
          <w:rStyle w:val="TextoNormalCaracter"/>
        </w:rPr>
        <w:t>-</w:t>
      </w:r>
      <w:r>
        <w:t xml:space="preserve"> Sentencia </w:t>
      </w:r>
      <w:hyperlink w:anchor="SENTENCIA_2023_82" w:history="1">
        <w:r w:rsidRPr="00DA359F">
          <w:rPr>
            <w:rStyle w:val="TextoNormalCaracter"/>
          </w:rPr>
          <w:t>82/2023</w:t>
        </w:r>
      </w:hyperlink>
      <w:r>
        <w:t>, f. 3.</w:t>
      </w:r>
    </w:p>
    <w:p w14:paraId="5D90D4FA" w14:textId="360C5031" w:rsidR="00DA359F" w:rsidRDefault="00DA359F" w:rsidP="00DA359F">
      <w:pPr>
        <w:pStyle w:val="SangriaFrancesaArticulo"/>
      </w:pPr>
      <w:r w:rsidRPr="00DA359F">
        <w:rPr>
          <w:rStyle w:val="TextoNormalNegritaCaracter"/>
        </w:rPr>
        <w:t>Artículo 144.2.</w:t>
      </w:r>
      <w:r w:rsidRPr="00DA359F">
        <w:rPr>
          <w:rStyle w:val="TextoNormalCaracter"/>
        </w:rPr>
        <w:t>-</w:t>
      </w:r>
      <w:r>
        <w:t xml:space="preserve"> Sentencia </w:t>
      </w:r>
      <w:hyperlink w:anchor="SENTENCIA_2023_82" w:history="1">
        <w:r w:rsidRPr="00DA359F">
          <w:rPr>
            <w:rStyle w:val="TextoNormalCaracter"/>
          </w:rPr>
          <w:t>82/2023</w:t>
        </w:r>
      </w:hyperlink>
      <w:r>
        <w:t>, f. 3.</w:t>
      </w:r>
    </w:p>
    <w:p w14:paraId="40656B11" w14:textId="06E32BF3" w:rsidR="00DA359F" w:rsidRDefault="00DA359F" w:rsidP="00DA359F">
      <w:pPr>
        <w:pStyle w:val="SangriaFrancesaArticulo"/>
      </w:pPr>
      <w:r w:rsidRPr="00DA359F">
        <w:rPr>
          <w:rStyle w:val="TextoNormalNegritaCaracter"/>
        </w:rPr>
        <w:t>Artículo 151.3.</w:t>
      </w:r>
      <w:r w:rsidRPr="00DA359F">
        <w:rPr>
          <w:rStyle w:val="TextoNormalCaracter"/>
        </w:rPr>
        <w:t>-</w:t>
      </w:r>
      <w:r>
        <w:t xml:space="preserve"> Sentencia </w:t>
      </w:r>
      <w:hyperlink w:anchor="SENTENCIA_2023_82" w:history="1">
        <w:r w:rsidRPr="00DA359F">
          <w:rPr>
            <w:rStyle w:val="TextoNormalCaracter"/>
          </w:rPr>
          <w:t>82/2023</w:t>
        </w:r>
      </w:hyperlink>
      <w:r>
        <w:t>, f. 3.</w:t>
      </w:r>
    </w:p>
    <w:p w14:paraId="261D5208" w14:textId="4DE0B3FA" w:rsidR="00DA359F" w:rsidRDefault="00DA359F" w:rsidP="00DA359F">
      <w:pPr>
        <w:pStyle w:val="SangriaFrancesaArticulo"/>
      </w:pPr>
    </w:p>
    <w:p w14:paraId="22EFDECE" w14:textId="77777777" w:rsidR="00DA359F" w:rsidRDefault="00DA359F" w:rsidP="00DA359F">
      <w:pPr>
        <w:pStyle w:val="TextoNormalNegritaCursivandice"/>
        <w:keepNext/>
      </w:pPr>
      <w:r>
        <w:t>Comunidad Autónoma de Cataluña. Reglamento del Parlamento de Cataluña, texto refundido aprobado por acuerdo de la mesa del Parlamento de Cataluña de 20 de febrero de 2018</w:t>
      </w:r>
    </w:p>
    <w:p w14:paraId="43C978D0" w14:textId="57557E95"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Sentencias </w:t>
      </w:r>
      <w:hyperlink w:anchor="SENTENCIA_2023_82" w:history="1">
        <w:r w:rsidRPr="00DA359F">
          <w:rPr>
            <w:rStyle w:val="TextoNormalCaracter"/>
          </w:rPr>
          <w:t>82/2023</w:t>
        </w:r>
      </w:hyperlink>
      <w:r>
        <w:t xml:space="preserve">, f. 3; </w:t>
      </w:r>
      <w:hyperlink w:anchor="SENTENCIA_2023_165" w:history="1">
        <w:r w:rsidRPr="00DA359F">
          <w:rPr>
            <w:rStyle w:val="TextoNormalCaracter"/>
          </w:rPr>
          <w:t>165/2023</w:t>
        </w:r>
      </w:hyperlink>
      <w:r>
        <w:t>, f. 4.</w:t>
      </w:r>
    </w:p>
    <w:p w14:paraId="1950DB0F" w14:textId="3AD19846" w:rsidR="00DA359F" w:rsidRDefault="00DA359F" w:rsidP="00DA359F">
      <w:pPr>
        <w:pStyle w:val="SangriaFrancesaArticulo"/>
      </w:pPr>
      <w:r w:rsidRPr="00DA359F">
        <w:rPr>
          <w:rStyle w:val="TextoNormalNegritaCaracter"/>
        </w:rPr>
        <w:t>Artículo 7.</w:t>
      </w:r>
      <w:r w:rsidRPr="00DA359F">
        <w:rPr>
          <w:rStyle w:val="TextoNormalCaracter"/>
        </w:rPr>
        <w:t>-</w:t>
      </w:r>
      <w:r>
        <w:t xml:space="preserve"> Sentencia </w:t>
      </w:r>
      <w:hyperlink w:anchor="SENTENCIA_2023_165" w:history="1">
        <w:r w:rsidRPr="00DA359F">
          <w:rPr>
            <w:rStyle w:val="TextoNormalCaracter"/>
          </w:rPr>
          <w:t>165/2023</w:t>
        </w:r>
      </w:hyperlink>
      <w:r>
        <w:t>, f. 4.</w:t>
      </w:r>
    </w:p>
    <w:p w14:paraId="7EA4E636" w14:textId="26E98C24" w:rsidR="00DA359F" w:rsidRDefault="00DA359F" w:rsidP="00DA359F">
      <w:pPr>
        <w:pStyle w:val="SangriaFrancesaArticulo"/>
      </w:pPr>
      <w:r w:rsidRPr="00DA359F">
        <w:rPr>
          <w:rStyle w:val="TextoNormalNegritaCaracter"/>
        </w:rPr>
        <w:t>Artículo 8.</w:t>
      </w:r>
      <w:r w:rsidRPr="00DA359F">
        <w:rPr>
          <w:rStyle w:val="TextoNormalCaracter"/>
        </w:rPr>
        <w:t>-</w:t>
      </w:r>
      <w:r>
        <w:t xml:space="preserve"> Sentencia </w:t>
      </w:r>
      <w:hyperlink w:anchor="SENTENCIA_2023_165" w:history="1">
        <w:r w:rsidRPr="00DA359F">
          <w:rPr>
            <w:rStyle w:val="TextoNormalCaracter"/>
          </w:rPr>
          <w:t>165/2023</w:t>
        </w:r>
      </w:hyperlink>
      <w:r>
        <w:t>, f. 4.</w:t>
      </w:r>
    </w:p>
    <w:p w14:paraId="104BB821" w14:textId="7E4F71D0" w:rsidR="00DA359F" w:rsidRDefault="00DA359F" w:rsidP="00DA359F">
      <w:pPr>
        <w:pStyle w:val="SangriaFrancesaArticulo"/>
      </w:pPr>
      <w:r w:rsidRPr="00DA359F">
        <w:rPr>
          <w:rStyle w:val="TextoNormalNegritaCaracter"/>
        </w:rPr>
        <w:t>Artículo 18.</w:t>
      </w:r>
      <w:r w:rsidRPr="00DA359F">
        <w:rPr>
          <w:rStyle w:val="TextoNormalCaracter"/>
        </w:rPr>
        <w:t>-</w:t>
      </w:r>
      <w:r>
        <w:t xml:space="preserve"> Sentencia </w:t>
      </w:r>
      <w:hyperlink w:anchor="SENTENCIA_2023_82" w:history="1">
        <w:r w:rsidRPr="00DA359F">
          <w:rPr>
            <w:rStyle w:val="TextoNormalCaracter"/>
          </w:rPr>
          <w:t>82/2023</w:t>
        </w:r>
      </w:hyperlink>
      <w:r>
        <w:t>, f. 1.</w:t>
      </w:r>
    </w:p>
    <w:p w14:paraId="7DA15979" w14:textId="736178F6" w:rsidR="00DA359F" w:rsidRDefault="00DA359F" w:rsidP="00DA359F">
      <w:pPr>
        <w:pStyle w:val="SangriaFrancesaArticulo"/>
      </w:pPr>
      <w:r w:rsidRPr="00DA359F">
        <w:rPr>
          <w:rStyle w:val="TextoNormalNegritaCaracter"/>
        </w:rPr>
        <w:t>Artículo 23.</w:t>
      </w:r>
      <w:r w:rsidRPr="00DA359F">
        <w:rPr>
          <w:rStyle w:val="TextoNormalCaracter"/>
        </w:rPr>
        <w:t>-</w:t>
      </w:r>
      <w:r>
        <w:t xml:space="preserve"> Sentencia </w:t>
      </w:r>
      <w:hyperlink w:anchor="SENTENCIA_2023_82" w:history="1">
        <w:r w:rsidRPr="00DA359F">
          <w:rPr>
            <w:rStyle w:val="TextoNormalCaracter"/>
          </w:rPr>
          <w:t>82/2023</w:t>
        </w:r>
      </w:hyperlink>
      <w:r>
        <w:t>, f. 1.</w:t>
      </w:r>
    </w:p>
    <w:p w14:paraId="2ABF2A2D" w14:textId="75F406C6" w:rsidR="00DA359F" w:rsidRDefault="00DA359F" w:rsidP="00DA359F">
      <w:pPr>
        <w:pStyle w:val="SangriaFrancesaArticulo"/>
      </w:pPr>
      <w:r w:rsidRPr="00DA359F">
        <w:rPr>
          <w:rStyle w:val="TextoNormalNegritaCaracter"/>
        </w:rPr>
        <w:t>Artículo 24.</w:t>
      </w:r>
      <w:r w:rsidRPr="00DA359F">
        <w:rPr>
          <w:rStyle w:val="TextoNormalCaracter"/>
        </w:rPr>
        <w:t>-</w:t>
      </w:r>
      <w:r>
        <w:t xml:space="preserve"> Sentencia </w:t>
      </w:r>
      <w:hyperlink w:anchor="SENTENCIA_2023_82" w:history="1">
        <w:r w:rsidRPr="00DA359F">
          <w:rPr>
            <w:rStyle w:val="TextoNormalCaracter"/>
          </w:rPr>
          <w:t>82/2023</w:t>
        </w:r>
      </w:hyperlink>
      <w:r>
        <w:t>, f. 1.</w:t>
      </w:r>
    </w:p>
    <w:p w14:paraId="371D6E6C" w14:textId="4A35DCA9" w:rsidR="00DA359F" w:rsidRDefault="00DA359F" w:rsidP="00DA359F">
      <w:pPr>
        <w:pStyle w:val="SangriaFrancesaArticulo"/>
      </w:pPr>
      <w:r w:rsidRPr="00DA359F">
        <w:rPr>
          <w:rStyle w:val="TextoNormalNegritaCaracter"/>
        </w:rPr>
        <w:t>Artículo 25.1 a).</w:t>
      </w:r>
      <w:r w:rsidRPr="00DA359F">
        <w:rPr>
          <w:rStyle w:val="TextoNormalCaracter"/>
        </w:rPr>
        <w:t>-</w:t>
      </w:r>
      <w:r>
        <w:t xml:space="preserve"> Sentencia </w:t>
      </w:r>
      <w:hyperlink w:anchor="SENTENCIA_2023_82" w:history="1">
        <w:r w:rsidRPr="00DA359F">
          <w:rPr>
            <w:rStyle w:val="TextoNormalCaracter"/>
          </w:rPr>
          <w:t>82/2023</w:t>
        </w:r>
      </w:hyperlink>
      <w:r>
        <w:t>, f. 1.</w:t>
      </w:r>
    </w:p>
    <w:p w14:paraId="074711AA" w14:textId="332C7DEF" w:rsidR="00DA359F" w:rsidRDefault="00DA359F" w:rsidP="00DA359F">
      <w:pPr>
        <w:pStyle w:val="SangriaFrancesaArticulo"/>
      </w:pPr>
      <w:r w:rsidRPr="00DA359F">
        <w:rPr>
          <w:rStyle w:val="TextoNormalNegritaCaracter"/>
        </w:rPr>
        <w:t>Artículo 25.1 b).</w:t>
      </w:r>
      <w:r w:rsidRPr="00DA359F">
        <w:rPr>
          <w:rStyle w:val="TextoNormalCaracter"/>
        </w:rPr>
        <w:t>-</w:t>
      </w:r>
      <w:r>
        <w:t xml:space="preserve"> Sentencia </w:t>
      </w:r>
      <w:hyperlink w:anchor="SENTENCIA_2023_82" w:history="1">
        <w:r w:rsidRPr="00DA359F">
          <w:rPr>
            <w:rStyle w:val="TextoNormalCaracter"/>
          </w:rPr>
          <w:t>82/2023</w:t>
        </w:r>
      </w:hyperlink>
      <w:r>
        <w:t>, f. 1.</w:t>
      </w:r>
    </w:p>
    <w:p w14:paraId="23EED402" w14:textId="0F3B96C8" w:rsidR="00DA359F" w:rsidRDefault="00DA359F" w:rsidP="00DA359F">
      <w:pPr>
        <w:pStyle w:val="SangriaFrancesaArticulo"/>
      </w:pPr>
      <w:r w:rsidRPr="00DA359F">
        <w:rPr>
          <w:rStyle w:val="TextoNormalNegritaCaracter"/>
        </w:rPr>
        <w:t>Artículo 37.3 c).</w:t>
      </w:r>
      <w:r w:rsidRPr="00DA359F">
        <w:rPr>
          <w:rStyle w:val="TextoNormalCaracter"/>
        </w:rPr>
        <w:t>-</w:t>
      </w:r>
      <w:r>
        <w:t xml:space="preserve"> Sentencia </w:t>
      </w:r>
      <w:hyperlink w:anchor="SENTENCIA_2023_82" w:history="1">
        <w:r w:rsidRPr="00DA359F">
          <w:rPr>
            <w:rStyle w:val="TextoNormalCaracter"/>
          </w:rPr>
          <w:t>82/2023</w:t>
        </w:r>
      </w:hyperlink>
      <w:r>
        <w:t>, f. 3.</w:t>
      </w:r>
    </w:p>
    <w:p w14:paraId="0B15F1F4" w14:textId="74984D09" w:rsidR="00DA359F" w:rsidRDefault="00DA359F" w:rsidP="00DA359F">
      <w:pPr>
        <w:pStyle w:val="SangriaFrancesaArticulo"/>
      </w:pPr>
      <w:r w:rsidRPr="00DA359F">
        <w:rPr>
          <w:rStyle w:val="TextoNormalNegritaCaracter"/>
        </w:rPr>
        <w:t>Artículo 37.3 f).</w:t>
      </w:r>
      <w:r w:rsidRPr="00DA359F">
        <w:rPr>
          <w:rStyle w:val="TextoNormalCaracter"/>
        </w:rPr>
        <w:t>-</w:t>
      </w:r>
      <w:r>
        <w:t xml:space="preserve"> Sentencia </w:t>
      </w:r>
      <w:hyperlink w:anchor="SENTENCIA_2023_82" w:history="1">
        <w:r w:rsidRPr="00DA359F">
          <w:rPr>
            <w:rStyle w:val="TextoNormalCaracter"/>
          </w:rPr>
          <w:t>82/2023</w:t>
        </w:r>
      </w:hyperlink>
      <w:r>
        <w:t>, f. 3.</w:t>
      </w:r>
    </w:p>
    <w:p w14:paraId="795944DE" w14:textId="18911080" w:rsidR="00DA359F" w:rsidRDefault="00DA359F" w:rsidP="00DA359F">
      <w:pPr>
        <w:pStyle w:val="SangriaFrancesaArticulo"/>
      </w:pPr>
      <w:r w:rsidRPr="00DA359F">
        <w:rPr>
          <w:rStyle w:val="TextoNormalNegritaCaracter"/>
        </w:rPr>
        <w:t>Artículo 37.3 h).</w:t>
      </w:r>
      <w:r w:rsidRPr="00DA359F">
        <w:rPr>
          <w:rStyle w:val="TextoNormalCaracter"/>
        </w:rPr>
        <w:t>-</w:t>
      </w:r>
      <w:r>
        <w:t xml:space="preserve"> Sentencia </w:t>
      </w:r>
      <w:hyperlink w:anchor="SENTENCIA_2023_82" w:history="1">
        <w:r w:rsidRPr="00DA359F">
          <w:rPr>
            <w:rStyle w:val="TextoNormalCaracter"/>
          </w:rPr>
          <w:t>82/2023</w:t>
        </w:r>
      </w:hyperlink>
      <w:r>
        <w:t>, f. 3.</w:t>
      </w:r>
    </w:p>
    <w:p w14:paraId="4DF49692" w14:textId="23A51B60" w:rsidR="00DA359F" w:rsidRDefault="00DA359F" w:rsidP="00DA359F">
      <w:pPr>
        <w:pStyle w:val="SangriaFrancesaArticulo"/>
      </w:pPr>
      <w:r w:rsidRPr="00DA359F">
        <w:rPr>
          <w:rStyle w:val="TextoNormalNegritaCaracter"/>
        </w:rPr>
        <w:t>Ártículo 37.3 i).</w:t>
      </w:r>
      <w:r w:rsidRPr="00DA359F">
        <w:rPr>
          <w:rStyle w:val="TextoNormalCaracter"/>
        </w:rPr>
        <w:t>-</w:t>
      </w:r>
      <w:r>
        <w:t xml:space="preserve"> Sentencia </w:t>
      </w:r>
      <w:hyperlink w:anchor="SENTENCIA_2023_82" w:history="1">
        <w:r w:rsidRPr="00DA359F">
          <w:rPr>
            <w:rStyle w:val="TextoNormalCaracter"/>
          </w:rPr>
          <w:t>82/2023</w:t>
        </w:r>
      </w:hyperlink>
      <w:r>
        <w:t>, f. 3.</w:t>
      </w:r>
    </w:p>
    <w:p w14:paraId="16221DE7" w14:textId="3FA4D84F" w:rsidR="00DA359F" w:rsidRDefault="00DA359F" w:rsidP="00DA359F">
      <w:pPr>
        <w:pStyle w:val="SangriaFrancesaArticulo"/>
      </w:pPr>
      <w:r w:rsidRPr="00DA359F">
        <w:rPr>
          <w:rStyle w:val="TextoNormalNegritaCaracter"/>
        </w:rPr>
        <w:t>Artículo 64.</w:t>
      </w:r>
      <w:r w:rsidRPr="00DA359F">
        <w:rPr>
          <w:rStyle w:val="TextoNormalCaracter"/>
        </w:rPr>
        <w:t>-</w:t>
      </w:r>
      <w:r>
        <w:t xml:space="preserve"> Sentencia </w:t>
      </w:r>
      <w:hyperlink w:anchor="SENTENCIA_2023_82" w:history="1">
        <w:r w:rsidRPr="00DA359F">
          <w:rPr>
            <w:rStyle w:val="TextoNormalCaracter"/>
          </w:rPr>
          <w:t>82/2023</w:t>
        </w:r>
      </w:hyperlink>
      <w:r>
        <w:t>, f. 1.</w:t>
      </w:r>
    </w:p>
    <w:p w14:paraId="30A84BB2" w14:textId="633E0525" w:rsidR="00DA359F" w:rsidRDefault="00DA359F" w:rsidP="00DA359F">
      <w:pPr>
        <w:pStyle w:val="SangriaFrancesaArticulo"/>
      </w:pPr>
      <w:r w:rsidRPr="00DA359F">
        <w:rPr>
          <w:rStyle w:val="TextoNormalNegritaCaracter"/>
        </w:rPr>
        <w:t>Artículo 64.2.</w:t>
      </w:r>
      <w:r w:rsidRPr="00DA359F">
        <w:rPr>
          <w:rStyle w:val="TextoNormalCaracter"/>
        </w:rPr>
        <w:t>-</w:t>
      </w:r>
      <w:r>
        <w:t xml:space="preserve"> Sentencia </w:t>
      </w:r>
      <w:hyperlink w:anchor="SENTENCIA_2023_82" w:history="1">
        <w:r w:rsidRPr="00DA359F">
          <w:rPr>
            <w:rStyle w:val="TextoNormalCaracter"/>
          </w:rPr>
          <w:t>82/2023</w:t>
        </w:r>
      </w:hyperlink>
      <w:r>
        <w:t>, f.1.</w:t>
      </w:r>
    </w:p>
    <w:p w14:paraId="081C1F58" w14:textId="692D61A4" w:rsidR="00DA359F" w:rsidRDefault="00DA359F" w:rsidP="00DA359F">
      <w:pPr>
        <w:pStyle w:val="SangriaFrancesaArticulo"/>
      </w:pPr>
      <w:r w:rsidRPr="00DA359F">
        <w:rPr>
          <w:rStyle w:val="TextoNormalNegritaCaracter"/>
        </w:rPr>
        <w:t>Artículo 64.3.</w:t>
      </w:r>
      <w:r w:rsidRPr="00DA359F">
        <w:rPr>
          <w:rStyle w:val="TextoNormalCaracter"/>
        </w:rPr>
        <w:t>-</w:t>
      </w:r>
      <w:r>
        <w:t xml:space="preserve"> Sentencia </w:t>
      </w:r>
      <w:hyperlink w:anchor="SENTENCIA_2023_82" w:history="1">
        <w:r w:rsidRPr="00DA359F">
          <w:rPr>
            <w:rStyle w:val="TextoNormalCaracter"/>
          </w:rPr>
          <w:t>82/2023</w:t>
        </w:r>
      </w:hyperlink>
      <w:r>
        <w:t>, f. 1.</w:t>
      </w:r>
    </w:p>
    <w:p w14:paraId="05383668" w14:textId="10A9707D" w:rsidR="00DA359F" w:rsidRDefault="00DA359F" w:rsidP="00DA359F">
      <w:pPr>
        <w:pStyle w:val="SangriaFrancesaArticulo"/>
      </w:pPr>
      <w:r w:rsidRPr="00DA359F">
        <w:rPr>
          <w:rStyle w:val="TextoNormalNegritaCaracter"/>
        </w:rPr>
        <w:t>Artículo 174.2.</w:t>
      </w:r>
      <w:r w:rsidRPr="00DA359F">
        <w:rPr>
          <w:rStyle w:val="TextoNormalCaracter"/>
        </w:rPr>
        <w:t>-</w:t>
      </w:r>
      <w:r>
        <w:t xml:space="preserve"> Sentencia </w:t>
      </w:r>
      <w:hyperlink w:anchor="SENTENCIA_2023_116" w:history="1">
        <w:r w:rsidRPr="00DA359F">
          <w:rPr>
            <w:rStyle w:val="TextoNormalCaracter"/>
          </w:rPr>
          <w:t>116/2023</w:t>
        </w:r>
      </w:hyperlink>
      <w:r>
        <w:t>, f. 4.</w:t>
      </w:r>
    </w:p>
    <w:p w14:paraId="010089A2" w14:textId="40268D51" w:rsidR="00DA359F" w:rsidRDefault="00DA359F" w:rsidP="00DA359F">
      <w:pPr>
        <w:pStyle w:val="SangriaFrancesaArticulo"/>
      </w:pPr>
      <w:r w:rsidRPr="00DA359F">
        <w:rPr>
          <w:rStyle w:val="TextoNormalNegritaCaracter"/>
        </w:rPr>
        <w:t>Artículos 246 a 250.</w:t>
      </w:r>
      <w:r w:rsidRPr="00DA359F">
        <w:rPr>
          <w:rStyle w:val="TextoNormalCaracter"/>
        </w:rPr>
        <w:t>-</w:t>
      </w:r>
      <w:r>
        <w:t xml:space="preserve"> Sentencia </w:t>
      </w:r>
      <w:hyperlink w:anchor="SENTENCIA_2023_82" w:history="1">
        <w:r w:rsidRPr="00DA359F">
          <w:rPr>
            <w:rStyle w:val="TextoNormalCaracter"/>
          </w:rPr>
          <w:t>82/2023</w:t>
        </w:r>
      </w:hyperlink>
      <w:r>
        <w:t>, f. 3.</w:t>
      </w:r>
    </w:p>
    <w:p w14:paraId="6F29EC8C" w14:textId="098352DB" w:rsidR="00DA359F" w:rsidRDefault="00DA359F" w:rsidP="00DA359F">
      <w:pPr>
        <w:pStyle w:val="SangriaFrancesaArticulo"/>
      </w:pPr>
      <w:r w:rsidRPr="00DA359F">
        <w:rPr>
          <w:rStyle w:val="TextoNormalNegritaCaracter"/>
        </w:rPr>
        <w:t>Artículo 249.1.</w:t>
      </w:r>
      <w:r w:rsidRPr="00DA359F">
        <w:rPr>
          <w:rStyle w:val="TextoNormalCaracter"/>
        </w:rPr>
        <w:t>-</w:t>
      </w:r>
      <w:r>
        <w:t xml:space="preserve"> Sentencia </w:t>
      </w:r>
      <w:hyperlink w:anchor="SENTENCIA_2023_82" w:history="1">
        <w:r w:rsidRPr="00DA359F">
          <w:rPr>
            <w:rStyle w:val="TextoNormalCaracter"/>
          </w:rPr>
          <w:t>82/2023</w:t>
        </w:r>
      </w:hyperlink>
      <w:r>
        <w:t>, f. 3.</w:t>
      </w:r>
    </w:p>
    <w:p w14:paraId="5D4AE712" w14:textId="61D6C2DF" w:rsidR="00DA359F" w:rsidRDefault="00DA359F" w:rsidP="00DA359F">
      <w:pPr>
        <w:pStyle w:val="SangriaFrancesaArticulo"/>
      </w:pPr>
      <w:r w:rsidRPr="00DA359F">
        <w:rPr>
          <w:rStyle w:val="TextoNormalNegritaCaracter"/>
        </w:rPr>
        <w:t>Artículo 249.2.</w:t>
      </w:r>
      <w:r w:rsidRPr="00DA359F">
        <w:rPr>
          <w:rStyle w:val="TextoNormalCaracter"/>
        </w:rPr>
        <w:t>-</w:t>
      </w:r>
      <w:r>
        <w:t xml:space="preserve"> Sentencia </w:t>
      </w:r>
      <w:hyperlink w:anchor="SENTENCIA_2023_82" w:history="1">
        <w:r w:rsidRPr="00DA359F">
          <w:rPr>
            <w:rStyle w:val="TextoNormalCaracter"/>
          </w:rPr>
          <w:t>82/2023</w:t>
        </w:r>
      </w:hyperlink>
      <w:r>
        <w:t>, f. 3.</w:t>
      </w:r>
    </w:p>
    <w:p w14:paraId="77D33C45" w14:textId="71A1A307" w:rsidR="00DA359F" w:rsidRDefault="00DA359F" w:rsidP="00DA359F">
      <w:pPr>
        <w:pStyle w:val="SangriaFrancesaArticulo"/>
      </w:pPr>
      <w:r w:rsidRPr="00DA359F">
        <w:rPr>
          <w:rStyle w:val="TextoNormalNegritaCaracter"/>
        </w:rPr>
        <w:t>Artículo 2019.</w:t>
      </w:r>
      <w:r w:rsidRPr="00DA359F">
        <w:rPr>
          <w:rStyle w:val="TextoNormalCaracter"/>
        </w:rPr>
        <w:t>-</w:t>
      </w:r>
      <w:r>
        <w:t xml:space="preserve"> Sentencia </w:t>
      </w:r>
      <w:hyperlink w:anchor="SENTENCIA_2023_165" w:history="1">
        <w:r w:rsidRPr="00DA359F">
          <w:rPr>
            <w:rStyle w:val="TextoNormalCaracter"/>
          </w:rPr>
          <w:t>165/2023</w:t>
        </w:r>
      </w:hyperlink>
      <w:r>
        <w:t>, f. 4.</w:t>
      </w:r>
    </w:p>
    <w:p w14:paraId="78EEE034" w14:textId="7F1C32BB" w:rsidR="00DA359F" w:rsidRDefault="00DA359F" w:rsidP="00DA359F">
      <w:pPr>
        <w:pStyle w:val="SangriaFrancesaArticulo"/>
      </w:pPr>
    </w:p>
    <w:p w14:paraId="2A8B379C" w14:textId="77777777" w:rsidR="00DA359F" w:rsidRDefault="00DA359F" w:rsidP="00DA359F">
      <w:pPr>
        <w:pStyle w:val="TextoNormalNegritaCursivandice"/>
        <w:keepNext/>
      </w:pPr>
      <w:r>
        <w:t>Comunidad Autónoma de Cataluña. Acuerdo del Pleno del Parlamento de Cataluña de 17 de diciembre de 2021, sobre situación de compatibilidad o incompatibilidad de un diputado</w:t>
      </w:r>
    </w:p>
    <w:p w14:paraId="061F0D52" w14:textId="02A53FB2"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82" w:history="1">
        <w:r w:rsidRPr="00DA359F">
          <w:rPr>
            <w:rStyle w:val="TextoNormalCaracter"/>
          </w:rPr>
          <w:t>82/2023</w:t>
        </w:r>
      </w:hyperlink>
      <w:r>
        <w:t>, f. 3.</w:t>
      </w:r>
    </w:p>
    <w:p w14:paraId="0ED1BFA5" w14:textId="1FB1E15A" w:rsidR="00DA359F" w:rsidRDefault="00DA359F" w:rsidP="00DA359F">
      <w:pPr>
        <w:pStyle w:val="SangriaFrancesaArticulo"/>
      </w:pPr>
    </w:p>
    <w:p w14:paraId="6B842CFD" w14:textId="77777777" w:rsidR="00DA359F" w:rsidRDefault="00DA359F" w:rsidP="00DA359F">
      <w:pPr>
        <w:pStyle w:val="TextoNormalNegritaCursivandice"/>
        <w:keepNext/>
      </w:pPr>
      <w:r>
        <w:t>Comunidad Autónoma de Cataluña. Resolución 217/XIV del Parlamento de Cataluña, de 25 de enero de 2022, por el que se decide la interposición de recurso contencioso administrativo contra el acuerdo 2/2022 de la Junta Electoral, de 20 de enero</w:t>
      </w:r>
    </w:p>
    <w:p w14:paraId="3E38DA9F" w14:textId="663888D9"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82" w:history="1">
        <w:r w:rsidRPr="00DA359F">
          <w:rPr>
            <w:rStyle w:val="TextoNormalCaracter"/>
          </w:rPr>
          <w:t>82/2023</w:t>
        </w:r>
      </w:hyperlink>
      <w:r>
        <w:t>, ff. 1, 2.</w:t>
      </w:r>
    </w:p>
    <w:p w14:paraId="5D978367" w14:textId="1898EFEB" w:rsidR="00DA359F" w:rsidRDefault="00DA359F" w:rsidP="00DA359F">
      <w:pPr>
        <w:pStyle w:val="SangriaFrancesaArticulo"/>
      </w:pPr>
    </w:p>
    <w:p w14:paraId="5E4B6EE6" w14:textId="77777777" w:rsidR="00DA359F" w:rsidRDefault="00DA359F" w:rsidP="00DA359F">
      <w:pPr>
        <w:pStyle w:val="TextoNormalNegritaCursivandice"/>
        <w:keepNext/>
      </w:pPr>
      <w:r>
        <w:t>Comunidad Autónoma de Cataluña. Resolución del Parlamento de Cataluña, de 3 de febrero de 2022, sobre la situación de compatibilidad y sobre la condición de diputado de miembro del Parlamento</w:t>
      </w:r>
    </w:p>
    <w:p w14:paraId="52711183" w14:textId="1913A208"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82" w:history="1">
        <w:r w:rsidRPr="00DA359F">
          <w:rPr>
            <w:rStyle w:val="TextoNormalCaracter"/>
          </w:rPr>
          <w:t>82/2023</w:t>
        </w:r>
      </w:hyperlink>
      <w:r>
        <w:t>, ff. 1 a 3.</w:t>
      </w:r>
    </w:p>
    <w:p w14:paraId="4E234F75" w14:textId="3BAC0CBA" w:rsidR="00DA359F" w:rsidRDefault="00DA359F" w:rsidP="00DA359F">
      <w:pPr>
        <w:pStyle w:val="TextoNormal"/>
      </w:pPr>
    </w:p>
    <w:p w14:paraId="2448C183" w14:textId="77777777" w:rsidR="00DA359F" w:rsidRDefault="00DA359F" w:rsidP="00DA359F">
      <w:pPr>
        <w:pStyle w:val="TextoNormalNegritaCentrado"/>
        <w:suppressAutoHyphens/>
      </w:pPr>
      <w:r w:rsidRPr="00DA359F">
        <w:rPr>
          <w:rStyle w:val="TextoNormalNegritaCentradoSombreado"/>
        </w:rPr>
        <w:t>J.9) Extremadura</w:t>
      </w:r>
    </w:p>
    <w:p w14:paraId="48BA2C56" w14:textId="2943ACCB" w:rsidR="00DA359F" w:rsidRDefault="00DA359F" w:rsidP="00DA359F">
      <w:pPr>
        <w:pStyle w:val="TextoNormal"/>
      </w:pPr>
    </w:p>
    <w:p w14:paraId="625A5980" w14:textId="77777777" w:rsidR="00DA359F" w:rsidRDefault="00DA359F" w:rsidP="00DA359F">
      <w:pPr>
        <w:pStyle w:val="TextoNormalNegritaCentradoSubrayado"/>
        <w:suppressAutoHyphens/>
      </w:pPr>
      <w:r>
        <w:t>J.9.a) Estatuto de Autonomía</w:t>
      </w:r>
    </w:p>
    <w:p w14:paraId="0CBCDCDE" w14:textId="4471F1E9" w:rsidR="00DA359F" w:rsidRDefault="00DA359F" w:rsidP="00DA359F">
      <w:pPr>
        <w:pStyle w:val="TextoNormalNegritaCentradoSubrayado"/>
      </w:pPr>
    </w:p>
    <w:p w14:paraId="3FF20DE2" w14:textId="77777777" w:rsidR="00DA359F" w:rsidRDefault="00DA359F" w:rsidP="00DA359F">
      <w:pPr>
        <w:pStyle w:val="TextoNormalNegritaCursivandice"/>
        <w:keepNext/>
      </w:pPr>
      <w:r>
        <w:t>Ley Orgánica 1/2011, de 28 de enero, de reforma del Estatuto de Autonomía de la Comunidad Autónoma de Extremadura</w:t>
      </w:r>
    </w:p>
    <w:p w14:paraId="571D9E5A" w14:textId="164CA649" w:rsidR="00DA359F" w:rsidRDefault="00DA359F" w:rsidP="00DA359F">
      <w:pPr>
        <w:pStyle w:val="SangriaFrancesaArticulo"/>
      </w:pPr>
      <w:r w:rsidRPr="00DA359F">
        <w:rPr>
          <w:rStyle w:val="TextoNormalNegritaCaracter"/>
        </w:rPr>
        <w:t>Artículo 9.1.1.</w:t>
      </w:r>
      <w:r w:rsidRPr="00DA359F">
        <w:rPr>
          <w:rStyle w:val="TextoNormalCaracter"/>
        </w:rPr>
        <w:t>-</w:t>
      </w:r>
      <w:r>
        <w:t xml:space="preserve"> Sentencia </w:t>
      </w:r>
      <w:hyperlink w:anchor="SENTENCIA_2023_127" w:history="1">
        <w:r w:rsidRPr="00DA359F">
          <w:rPr>
            <w:rStyle w:val="TextoNormalCaracter"/>
          </w:rPr>
          <w:t>127/2023</w:t>
        </w:r>
      </w:hyperlink>
      <w:r>
        <w:t>, f. 2.</w:t>
      </w:r>
    </w:p>
    <w:p w14:paraId="6534D7B8" w14:textId="12053510" w:rsidR="00DA359F" w:rsidRDefault="00DA359F" w:rsidP="00DA359F">
      <w:pPr>
        <w:pStyle w:val="SangriaFrancesaArticulo"/>
      </w:pPr>
      <w:r w:rsidRPr="00DA359F">
        <w:rPr>
          <w:rStyle w:val="TextoNormalNegritaCaracter"/>
        </w:rPr>
        <w:t>Artículo 9.1.7.</w:t>
      </w:r>
      <w:r w:rsidRPr="00DA359F">
        <w:rPr>
          <w:rStyle w:val="TextoNormalCaracter"/>
        </w:rPr>
        <w:t>-</w:t>
      </w:r>
      <w:r>
        <w:t xml:space="preserve"> Sentencia </w:t>
      </w:r>
      <w:hyperlink w:anchor="SENTENCIA_2023_127" w:history="1">
        <w:r w:rsidRPr="00DA359F">
          <w:rPr>
            <w:rStyle w:val="TextoNormalCaracter"/>
          </w:rPr>
          <w:t>127/2023</w:t>
        </w:r>
      </w:hyperlink>
      <w:r>
        <w:t>, f. 2.</w:t>
      </w:r>
    </w:p>
    <w:p w14:paraId="3BAE2C77" w14:textId="75DF664E" w:rsidR="00DA359F" w:rsidRDefault="00DA359F" w:rsidP="00DA359F">
      <w:pPr>
        <w:pStyle w:val="SangriaFrancesaArticulo"/>
      </w:pPr>
      <w:r w:rsidRPr="00DA359F">
        <w:rPr>
          <w:rStyle w:val="TextoNormalNegritaCaracter"/>
        </w:rPr>
        <w:t>Artículo 9.1.15.</w:t>
      </w:r>
      <w:r w:rsidRPr="00DA359F">
        <w:rPr>
          <w:rStyle w:val="TextoNormalCaracter"/>
        </w:rPr>
        <w:t>-</w:t>
      </w:r>
      <w:r>
        <w:t xml:space="preserve"> Sentencia </w:t>
      </w:r>
      <w:hyperlink w:anchor="SENTENCIA_2023_127" w:history="1">
        <w:r w:rsidRPr="00DA359F">
          <w:rPr>
            <w:rStyle w:val="TextoNormalCaracter"/>
          </w:rPr>
          <w:t>127/2023</w:t>
        </w:r>
      </w:hyperlink>
      <w:r>
        <w:t>, f. 2.</w:t>
      </w:r>
    </w:p>
    <w:p w14:paraId="0E2B88E1" w14:textId="73D3CC39" w:rsidR="00DA359F" w:rsidRDefault="00DA359F" w:rsidP="00DA359F">
      <w:pPr>
        <w:pStyle w:val="SangriaFrancesaArticulo"/>
      </w:pPr>
      <w:r w:rsidRPr="00DA359F">
        <w:rPr>
          <w:rStyle w:val="TextoNormalNegritaCaracter"/>
        </w:rPr>
        <w:t>Artículo 9.1.16.</w:t>
      </w:r>
      <w:r w:rsidRPr="00DA359F">
        <w:rPr>
          <w:rStyle w:val="TextoNormalCaracter"/>
        </w:rPr>
        <w:t>-</w:t>
      </w:r>
      <w:r>
        <w:t xml:space="preserve"> Sentencia </w:t>
      </w:r>
      <w:hyperlink w:anchor="SENTENCIA_2023_127" w:history="1">
        <w:r w:rsidRPr="00DA359F">
          <w:rPr>
            <w:rStyle w:val="TextoNormalCaracter"/>
          </w:rPr>
          <w:t>127/2023</w:t>
        </w:r>
      </w:hyperlink>
      <w:r>
        <w:t>, f. 2.</w:t>
      </w:r>
    </w:p>
    <w:p w14:paraId="387B819F" w14:textId="16A842F7" w:rsidR="00DA359F" w:rsidRDefault="00DA359F" w:rsidP="00DA359F">
      <w:pPr>
        <w:pStyle w:val="SangriaFrancesaArticulo"/>
      </w:pPr>
      <w:r w:rsidRPr="00DA359F">
        <w:rPr>
          <w:rStyle w:val="TextoNormalNegritaCaracter"/>
        </w:rPr>
        <w:t>Artículo 9.1.31.</w:t>
      </w:r>
      <w:r w:rsidRPr="00DA359F">
        <w:rPr>
          <w:rStyle w:val="TextoNormalCaracter"/>
        </w:rPr>
        <w:t>-</w:t>
      </w:r>
      <w:r>
        <w:t xml:space="preserve"> Sentencia </w:t>
      </w:r>
      <w:hyperlink w:anchor="SENTENCIA_2023_127" w:history="1">
        <w:r w:rsidRPr="00DA359F">
          <w:rPr>
            <w:rStyle w:val="TextoNormalCaracter"/>
          </w:rPr>
          <w:t>127/2023</w:t>
        </w:r>
      </w:hyperlink>
      <w:r>
        <w:t>, f. 2.</w:t>
      </w:r>
    </w:p>
    <w:p w14:paraId="08B42772" w14:textId="4100A1F6" w:rsidR="00DA359F" w:rsidRDefault="00DA359F" w:rsidP="00DA359F">
      <w:pPr>
        <w:pStyle w:val="SangriaFrancesaArticulo"/>
      </w:pPr>
      <w:r w:rsidRPr="00DA359F">
        <w:rPr>
          <w:rStyle w:val="TextoNormalNegritaCaracter"/>
        </w:rPr>
        <w:t>Artículo 9.1.32.</w:t>
      </w:r>
      <w:r w:rsidRPr="00DA359F">
        <w:rPr>
          <w:rStyle w:val="TextoNormalCaracter"/>
        </w:rPr>
        <w:t>-</w:t>
      </w:r>
      <w:r>
        <w:t xml:space="preserve"> Sentencia </w:t>
      </w:r>
      <w:hyperlink w:anchor="SENTENCIA_2023_127" w:history="1">
        <w:r w:rsidRPr="00DA359F">
          <w:rPr>
            <w:rStyle w:val="TextoNormalCaracter"/>
          </w:rPr>
          <w:t>127/2023</w:t>
        </w:r>
      </w:hyperlink>
      <w:r>
        <w:t>, f. 2.</w:t>
      </w:r>
    </w:p>
    <w:p w14:paraId="621F2BFD" w14:textId="30866B0C" w:rsidR="00DA359F" w:rsidRDefault="00DA359F" w:rsidP="00DA359F">
      <w:pPr>
        <w:pStyle w:val="SangriaFrancesaArticulo"/>
      </w:pPr>
      <w:r w:rsidRPr="00DA359F">
        <w:rPr>
          <w:rStyle w:val="TextoNormalNegritaCaracter"/>
        </w:rPr>
        <w:t>Artículo 9.1.34.</w:t>
      </w:r>
      <w:r w:rsidRPr="00DA359F">
        <w:rPr>
          <w:rStyle w:val="TextoNormalCaracter"/>
        </w:rPr>
        <w:t>-</w:t>
      </w:r>
      <w:r>
        <w:t xml:space="preserve"> Sentencia </w:t>
      </w:r>
      <w:hyperlink w:anchor="SENTENCIA_2023_127" w:history="1">
        <w:r w:rsidRPr="00DA359F">
          <w:rPr>
            <w:rStyle w:val="TextoNormalCaracter"/>
          </w:rPr>
          <w:t>127/2023</w:t>
        </w:r>
      </w:hyperlink>
      <w:r>
        <w:t>, f. 2.</w:t>
      </w:r>
    </w:p>
    <w:p w14:paraId="1008C2A6" w14:textId="6F30C9B8" w:rsidR="00DA359F" w:rsidRDefault="00DA359F" w:rsidP="00DA359F">
      <w:pPr>
        <w:pStyle w:val="SangriaFrancesaArticulo"/>
      </w:pPr>
      <w:r w:rsidRPr="00DA359F">
        <w:rPr>
          <w:rStyle w:val="TextoNormalNegritaCaracter"/>
        </w:rPr>
        <w:t>Artículo 9.1.37.</w:t>
      </w:r>
      <w:r w:rsidRPr="00DA359F">
        <w:rPr>
          <w:rStyle w:val="TextoNormalCaracter"/>
        </w:rPr>
        <w:t>-</w:t>
      </w:r>
      <w:r>
        <w:t xml:space="preserve"> Sentencia </w:t>
      </w:r>
      <w:hyperlink w:anchor="SENTENCIA_2023_127" w:history="1">
        <w:r w:rsidRPr="00DA359F">
          <w:rPr>
            <w:rStyle w:val="TextoNormalCaracter"/>
          </w:rPr>
          <w:t>127/2023</w:t>
        </w:r>
      </w:hyperlink>
      <w:r>
        <w:t>, f. 2.</w:t>
      </w:r>
    </w:p>
    <w:p w14:paraId="0D1D54FC" w14:textId="73DA1B37" w:rsidR="00DA359F" w:rsidRDefault="00DA359F" w:rsidP="00DA359F">
      <w:pPr>
        <w:pStyle w:val="SangriaFrancesaArticulo"/>
      </w:pPr>
      <w:r w:rsidRPr="00DA359F">
        <w:rPr>
          <w:rStyle w:val="TextoNormalNegritaCaracter"/>
        </w:rPr>
        <w:t>Artículo 9.1.38.</w:t>
      </w:r>
      <w:r w:rsidRPr="00DA359F">
        <w:rPr>
          <w:rStyle w:val="TextoNormalCaracter"/>
        </w:rPr>
        <w:t>-</w:t>
      </w:r>
      <w:r>
        <w:t xml:space="preserve"> Sentencia </w:t>
      </w:r>
      <w:hyperlink w:anchor="SENTENCIA_2023_127" w:history="1">
        <w:r w:rsidRPr="00DA359F">
          <w:rPr>
            <w:rStyle w:val="TextoNormalCaracter"/>
          </w:rPr>
          <w:t>127/2023</w:t>
        </w:r>
      </w:hyperlink>
      <w:r>
        <w:t>, f. 2.</w:t>
      </w:r>
    </w:p>
    <w:p w14:paraId="7625C643" w14:textId="2603B1EE" w:rsidR="00DA359F" w:rsidRDefault="00DA359F" w:rsidP="00DA359F">
      <w:pPr>
        <w:pStyle w:val="SangriaFrancesaArticulo"/>
      </w:pPr>
      <w:r w:rsidRPr="00DA359F">
        <w:rPr>
          <w:rStyle w:val="TextoNormalNegritaCaracter"/>
        </w:rPr>
        <w:t>Artículo 9.1.39.</w:t>
      </w:r>
      <w:r w:rsidRPr="00DA359F">
        <w:rPr>
          <w:rStyle w:val="TextoNormalCaracter"/>
        </w:rPr>
        <w:t>-</w:t>
      </w:r>
      <w:r>
        <w:t xml:space="preserve"> Sentencia </w:t>
      </w:r>
      <w:hyperlink w:anchor="SENTENCIA_2023_127" w:history="1">
        <w:r w:rsidRPr="00DA359F">
          <w:rPr>
            <w:rStyle w:val="TextoNormalCaracter"/>
          </w:rPr>
          <w:t>127/2023</w:t>
        </w:r>
      </w:hyperlink>
      <w:r>
        <w:t>, f. 2.</w:t>
      </w:r>
    </w:p>
    <w:p w14:paraId="5D93AF86" w14:textId="20C05808" w:rsidR="00DA359F" w:rsidRDefault="00DA359F" w:rsidP="00DA359F">
      <w:pPr>
        <w:pStyle w:val="SangriaFrancesaArticulo"/>
      </w:pPr>
      <w:r w:rsidRPr="00DA359F">
        <w:rPr>
          <w:rStyle w:val="TextoNormalNegritaCaracter"/>
        </w:rPr>
        <w:t>Artículo 10.1.7.</w:t>
      </w:r>
      <w:r w:rsidRPr="00DA359F">
        <w:rPr>
          <w:rStyle w:val="TextoNormalCaracter"/>
        </w:rPr>
        <w:t>-</w:t>
      </w:r>
      <w:r>
        <w:t xml:space="preserve"> Sentencia </w:t>
      </w:r>
      <w:hyperlink w:anchor="SENTENCIA_2023_127" w:history="1">
        <w:r w:rsidRPr="00DA359F">
          <w:rPr>
            <w:rStyle w:val="TextoNormalCaracter"/>
          </w:rPr>
          <w:t>127/2023</w:t>
        </w:r>
      </w:hyperlink>
      <w:r>
        <w:t>, ff. 2, 3.</w:t>
      </w:r>
    </w:p>
    <w:p w14:paraId="421BB21D" w14:textId="5E8EF94D" w:rsidR="00DA359F" w:rsidRDefault="00DA359F" w:rsidP="00DA359F">
      <w:pPr>
        <w:pStyle w:val="SangriaFrancesaArticulo"/>
      </w:pPr>
      <w:r w:rsidRPr="00DA359F">
        <w:rPr>
          <w:rStyle w:val="TextoNormalNegritaCaracter"/>
        </w:rPr>
        <w:t>Artículo 10.2.</w:t>
      </w:r>
      <w:r w:rsidRPr="00DA359F">
        <w:rPr>
          <w:rStyle w:val="TextoNormalCaracter"/>
        </w:rPr>
        <w:t>-</w:t>
      </w:r>
      <w:r>
        <w:t xml:space="preserve"> Sentencia </w:t>
      </w:r>
      <w:hyperlink w:anchor="SENTENCIA_2023_127" w:history="1">
        <w:r w:rsidRPr="00DA359F">
          <w:rPr>
            <w:rStyle w:val="TextoNormalCaracter"/>
          </w:rPr>
          <w:t>127/2023</w:t>
        </w:r>
      </w:hyperlink>
      <w:r>
        <w:t>, f. 2.</w:t>
      </w:r>
    </w:p>
    <w:p w14:paraId="010B4B1D" w14:textId="6EC97539" w:rsidR="00DA359F" w:rsidRDefault="00DA359F" w:rsidP="00DA359F">
      <w:pPr>
        <w:pStyle w:val="SangriaFrancesaArticulo"/>
      </w:pPr>
      <w:r w:rsidRPr="00DA359F">
        <w:rPr>
          <w:rStyle w:val="TextoNormalNegritaCaracter"/>
        </w:rPr>
        <w:t>Artículo 11.7.</w:t>
      </w:r>
      <w:r w:rsidRPr="00DA359F">
        <w:rPr>
          <w:rStyle w:val="TextoNormalCaracter"/>
        </w:rPr>
        <w:t>-</w:t>
      </w:r>
      <w:r>
        <w:t xml:space="preserve"> Sentencia </w:t>
      </w:r>
      <w:hyperlink w:anchor="SENTENCIA_2023_127" w:history="1">
        <w:r w:rsidRPr="00DA359F">
          <w:rPr>
            <w:rStyle w:val="TextoNormalCaracter"/>
          </w:rPr>
          <w:t>127/2023</w:t>
        </w:r>
      </w:hyperlink>
      <w:r>
        <w:t>, f. 2.</w:t>
      </w:r>
    </w:p>
    <w:p w14:paraId="1B4E3352" w14:textId="39DA249D" w:rsidR="00DA359F" w:rsidRDefault="00DA359F" w:rsidP="00DA359F">
      <w:pPr>
        <w:pStyle w:val="SangriaFrancesaArticulo"/>
      </w:pPr>
      <w:r w:rsidRPr="00DA359F">
        <w:rPr>
          <w:rStyle w:val="TextoNormalNegritaCaracter"/>
        </w:rPr>
        <w:t>Artículo 13.2.</w:t>
      </w:r>
      <w:r w:rsidRPr="00DA359F">
        <w:rPr>
          <w:rStyle w:val="TextoNormalCaracter"/>
        </w:rPr>
        <w:t>-</w:t>
      </w:r>
      <w:r>
        <w:t xml:space="preserve"> Sentencia </w:t>
      </w:r>
      <w:hyperlink w:anchor="SENTENCIA_2023_127" w:history="1">
        <w:r w:rsidRPr="00DA359F">
          <w:rPr>
            <w:rStyle w:val="TextoNormalCaracter"/>
          </w:rPr>
          <w:t>127/2023</w:t>
        </w:r>
      </w:hyperlink>
      <w:r>
        <w:t>, f. 2.</w:t>
      </w:r>
    </w:p>
    <w:p w14:paraId="5409B317" w14:textId="778675A9" w:rsidR="00DA359F" w:rsidRDefault="00DA359F" w:rsidP="00DA359F">
      <w:pPr>
        <w:pStyle w:val="SangriaFrancesaArticulo"/>
      </w:pPr>
      <w:r w:rsidRPr="00DA359F">
        <w:rPr>
          <w:rStyle w:val="TextoNormalNegritaCaracter"/>
        </w:rPr>
        <w:t>Artículo 13.3.</w:t>
      </w:r>
      <w:r w:rsidRPr="00DA359F">
        <w:rPr>
          <w:rStyle w:val="TextoNormalCaracter"/>
        </w:rPr>
        <w:t>-</w:t>
      </w:r>
      <w:r>
        <w:t xml:space="preserve"> Sentencia </w:t>
      </w:r>
      <w:hyperlink w:anchor="SENTENCIA_2023_127" w:history="1">
        <w:r w:rsidRPr="00DA359F">
          <w:rPr>
            <w:rStyle w:val="TextoNormalCaracter"/>
          </w:rPr>
          <w:t>127/2023</w:t>
        </w:r>
      </w:hyperlink>
      <w:r>
        <w:t>, f. 2.</w:t>
      </w:r>
    </w:p>
    <w:p w14:paraId="7353C5DA" w14:textId="4BD1739F" w:rsidR="00DA359F" w:rsidRDefault="00DA359F" w:rsidP="00DA359F">
      <w:pPr>
        <w:pStyle w:val="SangriaFrancesaArticulo"/>
      </w:pPr>
      <w:r w:rsidRPr="00DA359F">
        <w:rPr>
          <w:rStyle w:val="TextoNormalNegritaCaracter"/>
        </w:rPr>
        <w:t>Artículo 73.1.</w:t>
      </w:r>
      <w:r w:rsidRPr="00DA359F">
        <w:rPr>
          <w:rStyle w:val="TextoNormalCaracter"/>
        </w:rPr>
        <w:t>-</w:t>
      </w:r>
      <w:r>
        <w:t xml:space="preserve"> Sentencia </w:t>
      </w:r>
      <w:hyperlink w:anchor="SENTENCIA_2023_127" w:history="1">
        <w:r w:rsidRPr="00DA359F">
          <w:rPr>
            <w:rStyle w:val="TextoNormalCaracter"/>
          </w:rPr>
          <w:t>127/2023</w:t>
        </w:r>
      </w:hyperlink>
      <w:r>
        <w:t>, f. 2.</w:t>
      </w:r>
    </w:p>
    <w:p w14:paraId="0C529194" w14:textId="56A782DA" w:rsidR="00DA359F" w:rsidRDefault="00DA359F" w:rsidP="00DA359F">
      <w:pPr>
        <w:pStyle w:val="TextoNormal"/>
      </w:pPr>
    </w:p>
    <w:p w14:paraId="25244854" w14:textId="77777777" w:rsidR="00DA359F" w:rsidRDefault="00DA359F" w:rsidP="00DA359F">
      <w:pPr>
        <w:pStyle w:val="TextoNormalNegritaCentradoSubrayado"/>
        <w:suppressAutoHyphens/>
      </w:pPr>
      <w:r>
        <w:t>J.9.b) Leyes y disposiciones con fuerza de Ley</w:t>
      </w:r>
    </w:p>
    <w:p w14:paraId="79B98C23" w14:textId="5E4200C4" w:rsidR="00DA359F" w:rsidRDefault="00DA359F" w:rsidP="00DA359F">
      <w:pPr>
        <w:pStyle w:val="TextoNormalNegritaCentradoSubrayado"/>
      </w:pPr>
    </w:p>
    <w:p w14:paraId="3941FA1C" w14:textId="77777777" w:rsidR="00DA359F" w:rsidRDefault="00DA359F" w:rsidP="00DA359F">
      <w:pPr>
        <w:pStyle w:val="TextoNormalNegritaCursivandice"/>
        <w:keepNext/>
      </w:pPr>
      <w:r>
        <w:t>Comunidad Autónoma de Extremadura. Decreto-ley 5/2022, de 31 de agosto, por el que se establecen medidas urgentes necesarias en la regulación del aprovechamiento de recursos minerales de litio en Extremadura</w:t>
      </w:r>
    </w:p>
    <w:p w14:paraId="44C792E5" w14:textId="783CE114" w:rsidR="00DA359F" w:rsidRDefault="00DA359F" w:rsidP="00DA359F">
      <w:pPr>
        <w:pStyle w:val="SangriaFrancesaArticulo"/>
      </w:pPr>
      <w:r w:rsidRPr="00DA359F">
        <w:rPr>
          <w:rStyle w:val="TextoNormalNegritaCaracter"/>
        </w:rPr>
        <w:t>Exposición de motivos.</w:t>
      </w:r>
      <w:r w:rsidRPr="00DA359F">
        <w:rPr>
          <w:rStyle w:val="TextoNormalCaracter"/>
        </w:rPr>
        <w:t>-</w:t>
      </w:r>
      <w:r>
        <w:t xml:space="preserve"> Sentencia </w:t>
      </w:r>
      <w:hyperlink w:anchor="SENTENCIA_2023_127" w:history="1">
        <w:r w:rsidRPr="00DA359F">
          <w:rPr>
            <w:rStyle w:val="TextoNormalCaracter"/>
          </w:rPr>
          <w:t>127/2023</w:t>
        </w:r>
      </w:hyperlink>
      <w:r>
        <w:t>, ff. 3, 5.</w:t>
      </w:r>
    </w:p>
    <w:p w14:paraId="0DA1D971" w14:textId="2A3731F3" w:rsidR="00DA359F" w:rsidRDefault="00DA359F" w:rsidP="00DA359F">
      <w:pPr>
        <w:pStyle w:val="SangriaFrancesaArticulo"/>
      </w:pPr>
      <w:r w:rsidRPr="00DA359F">
        <w:rPr>
          <w:rStyle w:val="TextoNormalNegritaCaracter"/>
        </w:rPr>
        <w:t>Artículo 2.</w:t>
      </w:r>
      <w:r w:rsidRPr="00DA359F">
        <w:rPr>
          <w:rStyle w:val="TextoNormalCaracter"/>
        </w:rPr>
        <w:t>-</w:t>
      </w:r>
      <w:r>
        <w:t xml:space="preserve"> Sentencia </w:t>
      </w:r>
      <w:hyperlink w:anchor="SENTENCIA_2023_127" w:history="1">
        <w:r w:rsidRPr="00DA359F">
          <w:rPr>
            <w:rStyle w:val="TextoNormalCaracter"/>
          </w:rPr>
          <w:t>127/2023</w:t>
        </w:r>
      </w:hyperlink>
      <w:r>
        <w:t>, ff. 1, 3 a 5.</w:t>
      </w:r>
    </w:p>
    <w:p w14:paraId="6BA28E0D" w14:textId="4D5A991D" w:rsidR="00DA359F" w:rsidRDefault="00DA359F" w:rsidP="00DA359F">
      <w:pPr>
        <w:pStyle w:val="SangriaFrancesaArticulo"/>
      </w:pPr>
      <w:r w:rsidRPr="00DA359F">
        <w:rPr>
          <w:rStyle w:val="TextoNormalNegritaCaracter"/>
        </w:rPr>
        <w:t>Artículo 2.1.</w:t>
      </w:r>
      <w:r w:rsidRPr="00DA359F">
        <w:rPr>
          <w:rStyle w:val="TextoNormalCaracter"/>
        </w:rPr>
        <w:t>-</w:t>
      </w:r>
      <w:r>
        <w:t xml:space="preserve"> Sentencia </w:t>
      </w:r>
      <w:hyperlink w:anchor="SENTENCIA_2023_127" w:history="1">
        <w:r w:rsidRPr="00DA359F">
          <w:rPr>
            <w:rStyle w:val="TextoNormalCaracter"/>
          </w:rPr>
          <w:t>127/2023</w:t>
        </w:r>
      </w:hyperlink>
      <w:r>
        <w:t>, f. 4.</w:t>
      </w:r>
    </w:p>
    <w:p w14:paraId="7AC61FA4" w14:textId="40F314A9" w:rsidR="00DA359F" w:rsidRDefault="00DA359F" w:rsidP="00DA359F">
      <w:pPr>
        <w:pStyle w:val="SangriaFrancesaArticulo"/>
      </w:pPr>
      <w:r w:rsidRPr="00DA359F">
        <w:rPr>
          <w:rStyle w:val="TextoNormalNegritaCaracter"/>
        </w:rPr>
        <w:t>Artículo 2.1 primer inciso.</w:t>
      </w:r>
      <w:r w:rsidRPr="00DA359F">
        <w:rPr>
          <w:rStyle w:val="TextoNormalCaracter"/>
        </w:rPr>
        <w:t>-</w:t>
      </w:r>
      <w:r>
        <w:t xml:space="preserve"> Sentencia </w:t>
      </w:r>
      <w:hyperlink w:anchor="SENTENCIA_2023_127" w:history="1">
        <w:r w:rsidRPr="00DA359F">
          <w:rPr>
            <w:rStyle w:val="TextoNormalCaracter"/>
          </w:rPr>
          <w:t>127/2023</w:t>
        </w:r>
      </w:hyperlink>
      <w:r>
        <w:t>, f. 1.</w:t>
      </w:r>
    </w:p>
    <w:p w14:paraId="6F09EEEF" w14:textId="3C80F3AD" w:rsidR="00DA359F" w:rsidRDefault="00DA359F" w:rsidP="00DA359F">
      <w:pPr>
        <w:pStyle w:val="SangriaFrancesaArticulo"/>
      </w:pPr>
      <w:r w:rsidRPr="00DA359F">
        <w:rPr>
          <w:rStyle w:val="TextoNormalNegritaCaracter"/>
        </w:rPr>
        <w:t>Artículo 3.</w:t>
      </w:r>
      <w:r w:rsidRPr="00DA359F">
        <w:rPr>
          <w:rStyle w:val="TextoNormalCaracter"/>
        </w:rPr>
        <w:t>-</w:t>
      </w:r>
      <w:r>
        <w:t xml:space="preserve"> Sentencia </w:t>
      </w:r>
      <w:hyperlink w:anchor="SENTENCIA_2023_127" w:history="1">
        <w:r w:rsidRPr="00DA359F">
          <w:rPr>
            <w:rStyle w:val="TextoNormalCaracter"/>
          </w:rPr>
          <w:t>127/2023</w:t>
        </w:r>
      </w:hyperlink>
      <w:r>
        <w:t>, ff. 1, 4.</w:t>
      </w:r>
    </w:p>
    <w:p w14:paraId="3ABC0554" w14:textId="4D04FF63" w:rsidR="00DA359F" w:rsidRDefault="00DA359F" w:rsidP="00DA359F">
      <w:pPr>
        <w:pStyle w:val="SangriaFrancesaArticulo"/>
      </w:pPr>
      <w:r w:rsidRPr="00DA359F">
        <w:rPr>
          <w:rStyle w:val="TextoNormalNegritaCaracter"/>
        </w:rPr>
        <w:t>Artículo 4.</w:t>
      </w:r>
      <w:r w:rsidRPr="00DA359F">
        <w:rPr>
          <w:rStyle w:val="TextoNormalCaracter"/>
        </w:rPr>
        <w:t>-</w:t>
      </w:r>
      <w:r>
        <w:t xml:space="preserve"> Sentencia </w:t>
      </w:r>
      <w:hyperlink w:anchor="SENTENCIA_2023_127" w:history="1">
        <w:r w:rsidRPr="00DA359F">
          <w:rPr>
            <w:rStyle w:val="TextoNormalCaracter"/>
          </w:rPr>
          <w:t>127/2023</w:t>
        </w:r>
      </w:hyperlink>
      <w:r>
        <w:t>, ff. 1, 4.</w:t>
      </w:r>
    </w:p>
    <w:p w14:paraId="381ED2F0" w14:textId="118F1F9A" w:rsidR="00DA359F" w:rsidRDefault="00DA359F" w:rsidP="00DA359F">
      <w:pPr>
        <w:pStyle w:val="TextoNormal"/>
      </w:pPr>
    </w:p>
    <w:p w14:paraId="2520F2D6" w14:textId="77777777" w:rsidR="00DA359F" w:rsidRDefault="00DA359F" w:rsidP="00DA359F">
      <w:pPr>
        <w:pStyle w:val="TextoNormalNegritaCentradoSubrayado"/>
        <w:suppressAutoHyphens/>
      </w:pPr>
      <w:r>
        <w:t>J.9.d) Disposiciones parlamentarias autonómicas</w:t>
      </w:r>
    </w:p>
    <w:p w14:paraId="45C2315E" w14:textId="45ECB678" w:rsidR="00DA359F" w:rsidRDefault="00DA359F" w:rsidP="00DA359F">
      <w:pPr>
        <w:pStyle w:val="TextoNormalNegritaCentradoSubrayado"/>
      </w:pPr>
    </w:p>
    <w:p w14:paraId="29264D0E" w14:textId="77777777" w:rsidR="00DA359F" w:rsidRDefault="00DA359F" w:rsidP="00DA359F">
      <w:pPr>
        <w:pStyle w:val="TextoNormalNegritaCursivandice"/>
        <w:keepNext/>
      </w:pPr>
      <w:r>
        <w:t>Comunidad Autónoma de Extremadura. Reglamento de la Asamblea de Extremadura, aprobado por el Pleno el día 19 de marzo de 2015</w:t>
      </w:r>
    </w:p>
    <w:p w14:paraId="5296653D" w14:textId="6C855BD8" w:rsidR="00DA359F" w:rsidRDefault="00DA359F" w:rsidP="00DA359F">
      <w:pPr>
        <w:pStyle w:val="SangriaFrancesaArticulo"/>
      </w:pPr>
      <w:r w:rsidRPr="00DA359F">
        <w:rPr>
          <w:rStyle w:val="TextoNormalNegritaCaracter"/>
        </w:rPr>
        <w:t>Artículo 68.</w:t>
      </w:r>
      <w:r w:rsidRPr="00DA359F">
        <w:rPr>
          <w:rStyle w:val="TextoNormalCaracter"/>
        </w:rPr>
        <w:t>-</w:t>
      </w:r>
      <w:r>
        <w:t xml:space="preserve"> Sentencia </w:t>
      </w:r>
      <w:hyperlink w:anchor="SENTENCIA_2023_167" w:history="1">
        <w:r w:rsidRPr="00DA359F">
          <w:rPr>
            <w:rStyle w:val="TextoNormalCaracter"/>
          </w:rPr>
          <w:t>167/2023</w:t>
        </w:r>
      </w:hyperlink>
      <w:r>
        <w:t>, f. 10.</w:t>
      </w:r>
    </w:p>
    <w:p w14:paraId="2D3F99C2" w14:textId="7BFA7639" w:rsidR="00DA359F" w:rsidRDefault="00DA359F" w:rsidP="00DA359F">
      <w:pPr>
        <w:pStyle w:val="TextoNormal"/>
      </w:pPr>
    </w:p>
    <w:p w14:paraId="3A032D72" w14:textId="77777777" w:rsidR="00DA359F" w:rsidRDefault="00DA359F" w:rsidP="00DA359F">
      <w:pPr>
        <w:pStyle w:val="TextoNormalNegritaCentrado"/>
        <w:suppressAutoHyphens/>
      </w:pPr>
      <w:r w:rsidRPr="00DA359F">
        <w:rPr>
          <w:rStyle w:val="TextoNormalNegritaCentradoSombreado"/>
        </w:rPr>
        <w:t>J.10) La Rioja</w:t>
      </w:r>
    </w:p>
    <w:p w14:paraId="545602BA" w14:textId="02B377AF" w:rsidR="00DA359F" w:rsidRDefault="00DA359F" w:rsidP="00DA359F">
      <w:pPr>
        <w:pStyle w:val="TextoNormal"/>
      </w:pPr>
    </w:p>
    <w:p w14:paraId="222B92A9" w14:textId="77777777" w:rsidR="00DA359F" w:rsidRDefault="00DA359F" w:rsidP="00DA359F">
      <w:pPr>
        <w:pStyle w:val="TextoNormalNegritaCentradoSubrayado"/>
        <w:suppressAutoHyphens/>
      </w:pPr>
      <w:r>
        <w:t>J.10.c) Decretos y otras disposiciones reglamentarias</w:t>
      </w:r>
    </w:p>
    <w:p w14:paraId="1DD2CB51" w14:textId="3ACE94B4" w:rsidR="00DA359F" w:rsidRDefault="00DA359F" w:rsidP="00DA359F">
      <w:pPr>
        <w:pStyle w:val="TextoNormalNegritaCentradoSubrayado"/>
      </w:pPr>
    </w:p>
    <w:p w14:paraId="2EA9F396" w14:textId="77777777" w:rsidR="00DA359F" w:rsidRDefault="00DA359F" w:rsidP="00DA359F">
      <w:pPr>
        <w:pStyle w:val="TextoNormalNegritaCursivandice"/>
        <w:keepNext/>
      </w:pPr>
      <w:r>
        <w:t>Comunidad Autónoma de La Rioja. Decreto del Gobierno de La Rioja 64/2012, de 9 de noviembre, por el que se regulan los servicios de comunicación audiovisual y el registro de prestadores en el ámbito de la Comunidad Autónoma de La Rioja</w:t>
      </w:r>
    </w:p>
    <w:p w14:paraId="61DD1DA9" w14:textId="0FC0E5CE" w:rsidR="00DA359F" w:rsidRDefault="00DA359F" w:rsidP="00DA359F">
      <w:pPr>
        <w:pStyle w:val="SangriaFrancesaArticulo"/>
      </w:pPr>
      <w:r w:rsidRPr="00DA359F">
        <w:rPr>
          <w:rStyle w:val="TextoNormalNegritaCaracter"/>
        </w:rPr>
        <w:t>Artículo 4.1.</w:t>
      </w:r>
      <w:r w:rsidRPr="00DA359F">
        <w:rPr>
          <w:rStyle w:val="TextoNormalCaracter"/>
        </w:rPr>
        <w:t>-</w:t>
      </w:r>
      <w:r>
        <w:t xml:space="preserve"> Sentencia </w:t>
      </w:r>
      <w:hyperlink w:anchor="SENTENCIA_2023_89" w:history="1">
        <w:r w:rsidRPr="00DA359F">
          <w:rPr>
            <w:rStyle w:val="TextoNormalCaracter"/>
          </w:rPr>
          <w:t>89/2023</w:t>
        </w:r>
      </w:hyperlink>
      <w:r>
        <w:t>, f. 3.</w:t>
      </w:r>
    </w:p>
    <w:p w14:paraId="1D6EE6DD" w14:textId="429B7B7C" w:rsidR="00DA359F" w:rsidRDefault="00DA359F" w:rsidP="00DA359F">
      <w:pPr>
        <w:pStyle w:val="SangriaFrancesaArticulo"/>
      </w:pPr>
    </w:p>
    <w:p w14:paraId="6F8661D8" w14:textId="77777777" w:rsidR="00DA359F" w:rsidRDefault="00DA359F" w:rsidP="00DA359F">
      <w:pPr>
        <w:pStyle w:val="TextoNormalNegritaCursivandice"/>
        <w:keepNext/>
      </w:pPr>
      <w:r>
        <w:t>Comunidad Autónoma de La Rioja. Resolución de 24 de julio de 2018 de la Consejería de Administración Pública y Hacienda de La Rioja por la que se desestima el recurso de alzada interpuesto contra la desestimación presunta de la solicitud de 5 de julio de 2018 en materia de adjudicación de licencias de comunicación audiovisual</w:t>
      </w:r>
    </w:p>
    <w:p w14:paraId="4B64F955" w14:textId="6E625B90"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99" w:history="1">
        <w:r w:rsidRPr="00DA359F">
          <w:rPr>
            <w:rStyle w:val="TextoNormalCaracter"/>
          </w:rPr>
          <w:t>99/2023</w:t>
        </w:r>
      </w:hyperlink>
      <w:r>
        <w:t>.</w:t>
      </w:r>
    </w:p>
    <w:p w14:paraId="58596DD3" w14:textId="79D7159C" w:rsidR="00DA359F" w:rsidRDefault="00DA359F" w:rsidP="00DA359F">
      <w:pPr>
        <w:pStyle w:val="SangriaFrancesaArticulo"/>
      </w:pPr>
    </w:p>
    <w:p w14:paraId="2DDF2F6F" w14:textId="77777777" w:rsidR="00DA359F" w:rsidRDefault="00DA359F" w:rsidP="00DA359F">
      <w:pPr>
        <w:pStyle w:val="TextoNormalNegritaCursivandice"/>
        <w:keepNext/>
      </w:pPr>
      <w:r>
        <w:t>Comunidad Autónoma de La Rioja. Resolución de 24 de julio de 2018 de la Consejería de Administración Pública y Hacienda de La Rioja por la que se desestima el recurso de alzada interpuesto contra la desestimación presunta en materia de adjudicación de licencias de comunicación audiovisual</w:t>
      </w:r>
    </w:p>
    <w:p w14:paraId="27E855BA" w14:textId="376B3328"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89" w:history="1">
        <w:r w:rsidRPr="00DA359F">
          <w:rPr>
            <w:rStyle w:val="TextoNormalCaracter"/>
          </w:rPr>
          <w:t>89/2023</w:t>
        </w:r>
      </w:hyperlink>
      <w:r>
        <w:t>.</w:t>
      </w:r>
    </w:p>
    <w:p w14:paraId="2C7CB9D5" w14:textId="47F1F246" w:rsidR="00DA359F" w:rsidRDefault="00DA359F" w:rsidP="00DA359F">
      <w:pPr>
        <w:pStyle w:val="SangriaFrancesaArticulo"/>
      </w:pPr>
    </w:p>
    <w:p w14:paraId="0B7DD4D9" w14:textId="77777777" w:rsidR="00DA359F" w:rsidRDefault="00DA359F" w:rsidP="00DA359F">
      <w:pPr>
        <w:pStyle w:val="TextoNormalNegritaCursivandice"/>
        <w:keepNext/>
      </w:pPr>
      <w:r>
        <w:t>Comunidad Autónoma de La Rioja. Resolución de 18 de octubre de 2018 dictada por la Consejería de Administración Pública y Hacienda de La Rioja en recurso de alzada contra la resolución de 3 de octubre de 2018 en materia de adjudicación de licencias de comunicación audiovisual</w:t>
      </w:r>
    </w:p>
    <w:p w14:paraId="4E11E979" w14:textId="67965AC5"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98" w:history="1">
        <w:r w:rsidRPr="00DA359F">
          <w:rPr>
            <w:rStyle w:val="TextoNormalCaracter"/>
          </w:rPr>
          <w:t>98/2023</w:t>
        </w:r>
      </w:hyperlink>
      <w:r>
        <w:t>.</w:t>
      </w:r>
    </w:p>
    <w:p w14:paraId="45F4ED97" w14:textId="604B914C" w:rsidR="00DA359F" w:rsidRDefault="00DA359F" w:rsidP="00DA359F">
      <w:pPr>
        <w:pStyle w:val="TextoNormal"/>
      </w:pPr>
    </w:p>
    <w:p w14:paraId="17E2B7CF" w14:textId="77777777" w:rsidR="00DA359F" w:rsidRDefault="00DA359F" w:rsidP="00DA359F">
      <w:pPr>
        <w:pStyle w:val="TextoNormalNegritaCentradoSubrayado"/>
        <w:suppressAutoHyphens/>
      </w:pPr>
      <w:r>
        <w:t>J.10.d) Disposiciones parlamentarias autonómicas</w:t>
      </w:r>
    </w:p>
    <w:p w14:paraId="3C9AE957" w14:textId="1DF695EF" w:rsidR="00DA359F" w:rsidRDefault="00DA359F" w:rsidP="00DA359F">
      <w:pPr>
        <w:pStyle w:val="TextoNormalNegritaCentradoSubrayado"/>
      </w:pPr>
    </w:p>
    <w:p w14:paraId="254A22EB" w14:textId="77777777" w:rsidR="00DA359F" w:rsidRDefault="00DA359F" w:rsidP="00DA359F">
      <w:pPr>
        <w:pStyle w:val="TextoNormalNegritaCursivandice"/>
        <w:keepNext/>
      </w:pPr>
      <w:r>
        <w:t>Comunidad Autónoma de La Rioja. Reglamento del Parlamento de La Rioja, de 10 de abril de 2001</w:t>
      </w:r>
    </w:p>
    <w:p w14:paraId="4EC40F03" w14:textId="0B3F4188" w:rsidR="00DA359F" w:rsidRDefault="00DA359F" w:rsidP="00DA359F">
      <w:pPr>
        <w:pStyle w:val="SangriaFrancesaArticulo"/>
      </w:pPr>
      <w:r w:rsidRPr="00DA359F">
        <w:rPr>
          <w:rStyle w:val="TextoNormalNegritaCaracter"/>
        </w:rPr>
        <w:t>Artículo 50.</w:t>
      </w:r>
      <w:r w:rsidRPr="00DA359F">
        <w:rPr>
          <w:rStyle w:val="TextoNormalCaracter"/>
        </w:rPr>
        <w:t>-</w:t>
      </w:r>
      <w:r>
        <w:t xml:space="preserve"> Sentencia </w:t>
      </w:r>
      <w:hyperlink w:anchor="SENTENCIA_2023_167" w:history="1">
        <w:r w:rsidRPr="00DA359F">
          <w:rPr>
            <w:rStyle w:val="TextoNormalCaracter"/>
          </w:rPr>
          <w:t>167/2023</w:t>
        </w:r>
      </w:hyperlink>
      <w:r>
        <w:t>, f. 10.</w:t>
      </w:r>
    </w:p>
    <w:p w14:paraId="7B7469E9" w14:textId="3C100CB3" w:rsidR="00DA359F" w:rsidRDefault="00DA359F" w:rsidP="00DA359F">
      <w:pPr>
        <w:pStyle w:val="TextoNormal"/>
      </w:pPr>
    </w:p>
    <w:p w14:paraId="3FB4A9B5" w14:textId="77777777" w:rsidR="00DA359F" w:rsidRDefault="00DA359F" w:rsidP="00DA359F">
      <w:pPr>
        <w:pStyle w:val="TextoNormalNegritaCentrado"/>
        <w:suppressAutoHyphens/>
      </w:pPr>
      <w:r w:rsidRPr="00DA359F">
        <w:rPr>
          <w:rStyle w:val="TextoNormalNegritaCentradoSombreado"/>
        </w:rPr>
        <w:t>J.11) Madrid</w:t>
      </w:r>
    </w:p>
    <w:p w14:paraId="1F40BA7E" w14:textId="113F2D2C" w:rsidR="00DA359F" w:rsidRDefault="00DA359F" w:rsidP="00DA359F">
      <w:pPr>
        <w:pStyle w:val="TextoNormal"/>
      </w:pPr>
    </w:p>
    <w:p w14:paraId="4B118295" w14:textId="77777777" w:rsidR="00DA359F" w:rsidRDefault="00DA359F" w:rsidP="00DA359F">
      <w:pPr>
        <w:pStyle w:val="TextoNormalNegritaCentradoSubrayado"/>
        <w:suppressAutoHyphens/>
      </w:pPr>
      <w:r>
        <w:t>J.11.a) Estatuto de Autonomía</w:t>
      </w:r>
    </w:p>
    <w:p w14:paraId="7AB4F0DC" w14:textId="0A8929B4" w:rsidR="00DA359F" w:rsidRDefault="00DA359F" w:rsidP="00DA359F">
      <w:pPr>
        <w:pStyle w:val="TextoNormalNegritaCentradoSubrayado"/>
      </w:pPr>
    </w:p>
    <w:p w14:paraId="6627D79E" w14:textId="77777777" w:rsidR="00DA359F" w:rsidRDefault="00DA359F" w:rsidP="00DA359F">
      <w:pPr>
        <w:pStyle w:val="TextoNormalNegritaCursivandice"/>
        <w:keepNext/>
      </w:pPr>
      <w:r>
        <w:t>Ley Orgánica 3/1983, de 25 de febrero, de Estatuto de Autonomía de la Comunidad de Madrid</w:t>
      </w:r>
    </w:p>
    <w:p w14:paraId="304298A3" w14:textId="0443A848"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189" w:history="1">
        <w:r w:rsidRPr="00DA359F">
          <w:rPr>
            <w:rStyle w:val="TextoNormalCaracter"/>
          </w:rPr>
          <w:t>189/2023</w:t>
        </w:r>
      </w:hyperlink>
      <w:r>
        <w:t>, f. 1.</w:t>
      </w:r>
    </w:p>
    <w:p w14:paraId="48D4F31E" w14:textId="4B5FD3E8" w:rsidR="00DA359F" w:rsidRDefault="00DA359F" w:rsidP="00DA359F">
      <w:pPr>
        <w:pStyle w:val="SangriaFrancesaArticulo"/>
      </w:pPr>
      <w:r w:rsidRPr="00DA359F">
        <w:rPr>
          <w:rStyle w:val="TextoNormalNegritaCaracter"/>
        </w:rPr>
        <w:t>Artículo 51.</w:t>
      </w:r>
      <w:r w:rsidRPr="00DA359F">
        <w:rPr>
          <w:rStyle w:val="TextoNormalCaracter"/>
        </w:rPr>
        <w:t>-</w:t>
      </w:r>
      <w:r>
        <w:t xml:space="preserve"> Sentencia </w:t>
      </w:r>
      <w:hyperlink w:anchor="SENTENCIA_2023_149" w:history="1">
        <w:r w:rsidRPr="00DA359F">
          <w:rPr>
            <w:rStyle w:val="TextoNormalCaracter"/>
          </w:rPr>
          <w:t>149/2023</w:t>
        </w:r>
      </w:hyperlink>
      <w:r>
        <w:t>, VP.</w:t>
      </w:r>
    </w:p>
    <w:p w14:paraId="131281D6" w14:textId="5B3C8E8B" w:rsidR="00DA359F" w:rsidRDefault="00DA359F" w:rsidP="00DA359F">
      <w:pPr>
        <w:pStyle w:val="SangriaFrancesaArticulo"/>
      </w:pPr>
      <w:r w:rsidRPr="00DA359F">
        <w:rPr>
          <w:rStyle w:val="TextoNormalNegritaCaracter"/>
        </w:rPr>
        <w:t>Artículo 53.5.</w:t>
      </w:r>
      <w:r w:rsidRPr="00DA359F">
        <w:rPr>
          <w:rStyle w:val="TextoNormalCaracter"/>
        </w:rPr>
        <w:t>-</w:t>
      </w:r>
      <w:r>
        <w:t xml:space="preserve"> Sentencia </w:t>
      </w:r>
      <w:hyperlink w:anchor="SENTENCIA_2023_149" w:history="1">
        <w:r w:rsidRPr="00DA359F">
          <w:rPr>
            <w:rStyle w:val="TextoNormalCaracter"/>
          </w:rPr>
          <w:t>149/2023</w:t>
        </w:r>
      </w:hyperlink>
      <w:r>
        <w:t>, VP.</w:t>
      </w:r>
    </w:p>
    <w:p w14:paraId="0A61B1E4" w14:textId="7D16B7F3" w:rsidR="00DA359F" w:rsidRDefault="00DA359F" w:rsidP="00DA359F">
      <w:pPr>
        <w:pStyle w:val="SangriaFrancesaArticulo"/>
      </w:pPr>
      <w:r w:rsidRPr="00DA359F">
        <w:rPr>
          <w:rStyle w:val="TextoNormalNegritaCaracter"/>
        </w:rPr>
        <w:t>Artículo 56.2.</w:t>
      </w:r>
      <w:r w:rsidRPr="00DA359F">
        <w:rPr>
          <w:rStyle w:val="TextoNormalCaracter"/>
        </w:rPr>
        <w:t>-</w:t>
      </w:r>
      <w:r>
        <w:t xml:space="preserve"> Sentencia </w:t>
      </w:r>
      <w:hyperlink w:anchor="SENTENCIA_2023_149" w:history="1">
        <w:r w:rsidRPr="00DA359F">
          <w:rPr>
            <w:rStyle w:val="TextoNormalCaracter"/>
          </w:rPr>
          <w:t>149/2023</w:t>
        </w:r>
      </w:hyperlink>
      <w:r>
        <w:t>, VP.</w:t>
      </w:r>
    </w:p>
    <w:p w14:paraId="3F170BCA" w14:textId="78FAC946" w:rsidR="00DA359F" w:rsidRDefault="00DA359F" w:rsidP="00DA359F">
      <w:pPr>
        <w:pStyle w:val="SangriaFrancesaArticulo"/>
      </w:pPr>
      <w:r w:rsidRPr="00DA359F">
        <w:rPr>
          <w:rStyle w:val="TextoNormalNegritaCaracter"/>
        </w:rPr>
        <w:t>Disposición adicional primera, apartado 3.</w:t>
      </w:r>
      <w:r w:rsidRPr="00DA359F">
        <w:rPr>
          <w:rStyle w:val="TextoNormalCaracter"/>
        </w:rPr>
        <w:t>-</w:t>
      </w:r>
      <w:r>
        <w:t xml:space="preserve"> Sentencia </w:t>
      </w:r>
      <w:hyperlink w:anchor="SENTENCIA_2023_149" w:history="1">
        <w:r w:rsidRPr="00DA359F">
          <w:rPr>
            <w:rStyle w:val="TextoNormalCaracter"/>
          </w:rPr>
          <w:t>149/2023</w:t>
        </w:r>
      </w:hyperlink>
      <w:r>
        <w:t>, VP.</w:t>
      </w:r>
    </w:p>
    <w:p w14:paraId="6D2EED05" w14:textId="3DA2EE0C" w:rsidR="00DA359F" w:rsidRDefault="00DA359F" w:rsidP="00DA359F">
      <w:pPr>
        <w:pStyle w:val="SangriaFrancesaArticulo"/>
      </w:pPr>
      <w:r w:rsidRPr="00DA359F">
        <w:rPr>
          <w:rStyle w:val="TextoNormalNegritaCaracter"/>
        </w:rPr>
        <w:t>Disposición transitoria segunda.</w:t>
      </w:r>
      <w:r w:rsidRPr="00DA359F">
        <w:rPr>
          <w:rStyle w:val="TextoNormalCaracter"/>
        </w:rPr>
        <w:t>-</w:t>
      </w:r>
      <w:r>
        <w:t xml:space="preserve"> Sentencia </w:t>
      </w:r>
      <w:hyperlink w:anchor="SENTENCIA_2023_149" w:history="1">
        <w:r w:rsidRPr="00DA359F">
          <w:rPr>
            <w:rStyle w:val="TextoNormalCaracter"/>
          </w:rPr>
          <w:t>149/2023</w:t>
        </w:r>
      </w:hyperlink>
      <w:r>
        <w:t>, VP.</w:t>
      </w:r>
    </w:p>
    <w:p w14:paraId="59A2C91C" w14:textId="04AF57D4" w:rsidR="00DA359F" w:rsidRDefault="00DA359F" w:rsidP="00DA359F">
      <w:pPr>
        <w:pStyle w:val="SangriaFrancesaArticulo"/>
      </w:pPr>
      <w:r w:rsidRPr="00DA359F">
        <w:rPr>
          <w:rStyle w:val="TextoNormalNegritaCaracter"/>
        </w:rPr>
        <w:t>Disposición transitoria segunda, apartado 3.</w:t>
      </w:r>
      <w:r w:rsidRPr="00DA359F">
        <w:rPr>
          <w:rStyle w:val="TextoNormalCaracter"/>
        </w:rPr>
        <w:t>-</w:t>
      </w:r>
      <w:r>
        <w:t xml:space="preserve"> Sentencia </w:t>
      </w:r>
      <w:hyperlink w:anchor="SENTENCIA_2023_149" w:history="1">
        <w:r w:rsidRPr="00DA359F">
          <w:rPr>
            <w:rStyle w:val="TextoNormalCaracter"/>
          </w:rPr>
          <w:t>149/2023</w:t>
        </w:r>
      </w:hyperlink>
      <w:r>
        <w:t>, VP.</w:t>
      </w:r>
    </w:p>
    <w:p w14:paraId="5D265CC4" w14:textId="23C1B754" w:rsidR="00DA359F" w:rsidRDefault="00DA359F" w:rsidP="00DA359F">
      <w:pPr>
        <w:pStyle w:val="TextoNormal"/>
      </w:pPr>
    </w:p>
    <w:p w14:paraId="315FC92E" w14:textId="77777777" w:rsidR="00DA359F" w:rsidRDefault="00DA359F" w:rsidP="00DA359F">
      <w:pPr>
        <w:pStyle w:val="TextoNormalNegritaCentradoSubrayado"/>
        <w:suppressAutoHyphens/>
      </w:pPr>
      <w:r>
        <w:t>J.11.b) Leyes y disposiciones con fuerza de Ley</w:t>
      </w:r>
    </w:p>
    <w:p w14:paraId="062904EB" w14:textId="6EAE5780" w:rsidR="00DA359F" w:rsidRDefault="00DA359F" w:rsidP="00DA359F">
      <w:pPr>
        <w:pStyle w:val="TextoNormalNegritaCentradoSubrayado"/>
      </w:pPr>
    </w:p>
    <w:p w14:paraId="2F02B9BE" w14:textId="77777777" w:rsidR="00DA359F" w:rsidRDefault="00DA359F" w:rsidP="00DA359F">
      <w:pPr>
        <w:pStyle w:val="TextoNormalNegritaCursivandice"/>
        <w:keepNext/>
      </w:pPr>
      <w:r>
        <w:t>Comunidad de Madrid. Ley 22/2006, de 4 de julio, de capitalidad y de régimen especial de Madrid</w:t>
      </w:r>
    </w:p>
    <w:p w14:paraId="65DB729F" w14:textId="38A91431" w:rsidR="00DA359F" w:rsidRDefault="00DA359F" w:rsidP="00DA359F">
      <w:pPr>
        <w:pStyle w:val="SangriaFrancesaArticulo"/>
      </w:pPr>
      <w:r w:rsidRPr="00DA359F">
        <w:rPr>
          <w:rStyle w:val="TextoNormalNegritaCaracter"/>
        </w:rPr>
        <w:t>Artículo 40.</w:t>
      </w:r>
      <w:r w:rsidRPr="00DA359F">
        <w:rPr>
          <w:rStyle w:val="TextoNormalCaracter"/>
        </w:rPr>
        <w:t>-</w:t>
      </w:r>
      <w:r>
        <w:t xml:space="preserve"> Sentencia </w:t>
      </w:r>
      <w:hyperlink w:anchor="SENTENCIA_2023_90" w:history="1">
        <w:r w:rsidRPr="00DA359F">
          <w:rPr>
            <w:rStyle w:val="TextoNormalCaracter"/>
          </w:rPr>
          <w:t>90/2023</w:t>
        </w:r>
      </w:hyperlink>
      <w:r>
        <w:t>, f. 6.</w:t>
      </w:r>
    </w:p>
    <w:p w14:paraId="0E82360C" w14:textId="34601A3D" w:rsidR="00DA359F" w:rsidRDefault="00DA359F" w:rsidP="00DA359F">
      <w:pPr>
        <w:pStyle w:val="SangriaFrancesaArticulo"/>
      </w:pPr>
    </w:p>
    <w:p w14:paraId="6F5D4835" w14:textId="77777777" w:rsidR="00DA359F" w:rsidRDefault="00DA359F" w:rsidP="00DA359F">
      <w:pPr>
        <w:pStyle w:val="TextoNormalNegritaCursivandice"/>
        <w:keepNext/>
      </w:pPr>
      <w:r>
        <w:t>Comunidad de Madrid. Decreto Legislativo 1/2010, de 21 de octubre, por el que se aprueba el texto refundido de las disposiciones legales de la Comunidad de Madrid en materia de tributos cedidos por el Estado</w:t>
      </w:r>
    </w:p>
    <w:p w14:paraId="75F73F40" w14:textId="22D24D42" w:rsidR="00DA359F" w:rsidRDefault="00DA359F" w:rsidP="00DA359F">
      <w:pPr>
        <w:pStyle w:val="SangriaFrancesaArticulo"/>
      </w:pPr>
      <w:r w:rsidRPr="00DA359F">
        <w:rPr>
          <w:rStyle w:val="TextoNormalNegritaCaracter"/>
        </w:rPr>
        <w:t>Artículo 19.</w:t>
      </w:r>
      <w:r w:rsidRPr="00DA359F">
        <w:rPr>
          <w:rStyle w:val="TextoNormalCaracter"/>
        </w:rPr>
        <w:t>-</w:t>
      </w:r>
      <w:r>
        <w:t xml:space="preserve"> Sentencia </w:t>
      </w:r>
      <w:hyperlink w:anchor="SENTENCIA_2023_149" w:history="1">
        <w:r w:rsidRPr="00DA359F">
          <w:rPr>
            <w:rStyle w:val="TextoNormalCaracter"/>
          </w:rPr>
          <w:t>149/2023</w:t>
        </w:r>
      </w:hyperlink>
      <w:r>
        <w:t>, f. 3.</w:t>
      </w:r>
    </w:p>
    <w:p w14:paraId="5D3A9378" w14:textId="0FFEAB35" w:rsidR="00DA359F" w:rsidRDefault="00DA359F" w:rsidP="00DA359F">
      <w:pPr>
        <w:pStyle w:val="SangriaFrancesaArticulo"/>
      </w:pPr>
      <w:r w:rsidRPr="00DA359F">
        <w:rPr>
          <w:rStyle w:val="TextoNormalNegritaCaracter"/>
        </w:rPr>
        <w:t>Artículo 20.</w:t>
      </w:r>
      <w:r w:rsidRPr="00DA359F">
        <w:rPr>
          <w:rStyle w:val="TextoNormalCaracter"/>
        </w:rPr>
        <w:t>-</w:t>
      </w:r>
      <w:r>
        <w:t xml:space="preserve"> Sentencia </w:t>
      </w:r>
      <w:hyperlink w:anchor="SENTENCIA_2023_149" w:history="1">
        <w:r w:rsidRPr="00DA359F">
          <w:rPr>
            <w:rStyle w:val="TextoNormalCaracter"/>
          </w:rPr>
          <w:t>149/2023</w:t>
        </w:r>
      </w:hyperlink>
      <w:r>
        <w:t>, f. 3, VP.</w:t>
      </w:r>
    </w:p>
    <w:p w14:paraId="5CAE418A" w14:textId="2415390E" w:rsidR="00DA359F" w:rsidRDefault="00DA359F" w:rsidP="00DA359F">
      <w:pPr>
        <w:pStyle w:val="SangriaFrancesaArticulo"/>
      </w:pPr>
    </w:p>
    <w:p w14:paraId="51CB879E" w14:textId="77777777" w:rsidR="00DA359F" w:rsidRDefault="00DA359F" w:rsidP="00DA359F">
      <w:pPr>
        <w:pStyle w:val="TextoNormalNegritaCursivandice"/>
        <w:keepNext/>
      </w:pPr>
      <w:r>
        <w:t>Comunidad de Madrid. Ley 1/2018, de 22 de febrero, de coordinación de policías locales de la Comunidad de Madrid</w:t>
      </w:r>
    </w:p>
    <w:p w14:paraId="19A13B96" w14:textId="37BE7B15" w:rsidR="00DA359F" w:rsidRDefault="00DA359F" w:rsidP="00DA359F">
      <w:pPr>
        <w:pStyle w:val="SangriaFrancesaArticulo"/>
      </w:pPr>
      <w:r w:rsidRPr="00DA359F">
        <w:rPr>
          <w:rStyle w:val="TextoNormalNegritaCaracter"/>
        </w:rPr>
        <w:t>Disposición transitoria primera, apartado 1.</w:t>
      </w:r>
      <w:r w:rsidRPr="00DA359F">
        <w:rPr>
          <w:rStyle w:val="TextoNormalCaracter"/>
        </w:rPr>
        <w:t>-</w:t>
      </w:r>
      <w:r>
        <w:t xml:space="preserve"> Auto </w:t>
      </w:r>
      <w:hyperlink w:anchor="AUTO_2023_604" w:history="1">
        <w:r w:rsidRPr="00DA359F">
          <w:rPr>
            <w:rStyle w:val="TextoNormalCaracter"/>
          </w:rPr>
          <w:t>604/2023</w:t>
        </w:r>
      </w:hyperlink>
      <w:r>
        <w:t>, f. 1.</w:t>
      </w:r>
    </w:p>
    <w:p w14:paraId="19752D78" w14:textId="3F5E243E" w:rsidR="00DA359F" w:rsidRDefault="00DA359F" w:rsidP="00DA359F">
      <w:pPr>
        <w:pStyle w:val="SangriaFrancesaArticulo"/>
      </w:pPr>
    </w:p>
    <w:p w14:paraId="05ED9B21" w14:textId="77777777" w:rsidR="00DA359F" w:rsidRDefault="00DA359F" w:rsidP="00DA359F">
      <w:pPr>
        <w:pStyle w:val="TextoNormalNegritaCursivandice"/>
        <w:keepNext/>
      </w:pPr>
      <w:r>
        <w:t>Comunidad de Madrid. Ley 1/2023, de 15 de febrero, de creación de la Agencia Madrileña para el Apoyo a las Personas Adultas con Discapacidad</w:t>
      </w:r>
    </w:p>
    <w:p w14:paraId="28610E26" w14:textId="0E02B0CA" w:rsidR="00DA359F" w:rsidRDefault="00DA359F" w:rsidP="00DA359F">
      <w:pPr>
        <w:pStyle w:val="SangriaFrancesaArticulo"/>
      </w:pPr>
      <w:r w:rsidRPr="00DA359F">
        <w:rPr>
          <w:rStyle w:val="TextoNormalNegritaCaracter"/>
        </w:rPr>
        <w:t>En general.</w:t>
      </w:r>
      <w:r w:rsidRPr="00DA359F">
        <w:rPr>
          <w:rStyle w:val="TextoNormalCaracter"/>
        </w:rPr>
        <w:t>-</w:t>
      </w:r>
      <w:r>
        <w:t xml:space="preserve"> Auto </w:t>
      </w:r>
      <w:hyperlink w:anchor="AUTO_2023_445" w:history="1">
        <w:r w:rsidRPr="00DA359F">
          <w:rPr>
            <w:rStyle w:val="TextoNormalCaracter"/>
          </w:rPr>
          <w:t>445/2023</w:t>
        </w:r>
      </w:hyperlink>
      <w:r>
        <w:t>, f. 3.</w:t>
      </w:r>
    </w:p>
    <w:p w14:paraId="444B6580" w14:textId="1618EB3F" w:rsidR="00DA359F" w:rsidRDefault="00DA359F" w:rsidP="00DA359F">
      <w:pPr>
        <w:pStyle w:val="SangriaFrancesaArticulo"/>
      </w:pPr>
      <w:r w:rsidRPr="00DA359F">
        <w:rPr>
          <w:rStyle w:val="TextoNormalNegritaCaracter"/>
        </w:rPr>
        <w:t>disposición adicional segunda.</w:t>
      </w:r>
      <w:r w:rsidRPr="00DA359F">
        <w:rPr>
          <w:rStyle w:val="TextoNormalCaracter"/>
        </w:rPr>
        <w:t>-</w:t>
      </w:r>
      <w:r>
        <w:t xml:space="preserve"> Sentencia </w:t>
      </w:r>
      <w:hyperlink w:anchor="SENTENCIA_2023_146" w:history="1">
        <w:r w:rsidRPr="00DA359F">
          <w:rPr>
            <w:rStyle w:val="TextoNormalCaracter"/>
          </w:rPr>
          <w:t>146/2023</w:t>
        </w:r>
      </w:hyperlink>
      <w:r>
        <w:t>, ff. 1, 4.</w:t>
      </w:r>
    </w:p>
    <w:p w14:paraId="073B18EF" w14:textId="7E0789F2" w:rsidR="00DA359F" w:rsidRDefault="00DA359F" w:rsidP="00DA359F">
      <w:pPr>
        <w:pStyle w:val="SangriaIzquierdaArticulo"/>
      </w:pPr>
      <w:r>
        <w:t xml:space="preserve">Auto </w:t>
      </w:r>
      <w:hyperlink w:anchor="AUTO_2023_445" w:history="1">
        <w:r w:rsidRPr="00DA359F">
          <w:rPr>
            <w:rStyle w:val="TextoNormalCaracter"/>
          </w:rPr>
          <w:t>445/2023</w:t>
        </w:r>
      </w:hyperlink>
      <w:r>
        <w:t>, f. 1.</w:t>
      </w:r>
    </w:p>
    <w:p w14:paraId="5372D715" w14:textId="77B21E23" w:rsidR="00DA359F" w:rsidRDefault="00DA359F" w:rsidP="00DA359F">
      <w:pPr>
        <w:pStyle w:val="TextoNormal"/>
      </w:pPr>
    </w:p>
    <w:p w14:paraId="730723D2" w14:textId="77777777" w:rsidR="00DA359F" w:rsidRDefault="00DA359F" w:rsidP="00DA359F">
      <w:pPr>
        <w:pStyle w:val="TextoNormalNegritaCentradoSubrayado"/>
        <w:suppressAutoHyphens/>
      </w:pPr>
      <w:r>
        <w:t>J.11.c) Decretos y otras disposiciones reglamentarias</w:t>
      </w:r>
    </w:p>
    <w:p w14:paraId="3DE95351" w14:textId="3B2E1C79" w:rsidR="00DA359F" w:rsidRDefault="00DA359F" w:rsidP="00DA359F">
      <w:pPr>
        <w:pStyle w:val="TextoNormalNegritaCentradoSubrayado"/>
      </w:pPr>
    </w:p>
    <w:p w14:paraId="5599925C" w14:textId="77777777" w:rsidR="00DA359F" w:rsidRDefault="00DA359F" w:rsidP="00DA359F">
      <w:pPr>
        <w:pStyle w:val="TextoNormalNegritaCursivandice"/>
        <w:keepNext/>
      </w:pPr>
      <w:r>
        <w:t>Comunidad de Madrid. Orden 1405/2020, de 22 de octubre, de la Consejería de Sanidad, por la que se adoptan medidas específicas temporales y excepcionales por razón de salud pública para la contención del COVID-19 en determinados núcleos de población, como consecuencia de la evolución epidemiológica</w:t>
      </w:r>
    </w:p>
    <w:p w14:paraId="7392D746" w14:textId="0B2690A2"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164" w:history="1">
        <w:r w:rsidRPr="00DA359F">
          <w:rPr>
            <w:rStyle w:val="TextoNormalCaracter"/>
          </w:rPr>
          <w:t>164/2023</w:t>
        </w:r>
      </w:hyperlink>
      <w:r>
        <w:t>, f. 3.</w:t>
      </w:r>
    </w:p>
    <w:p w14:paraId="6FF14B5E" w14:textId="16E53E47" w:rsidR="00DA359F" w:rsidRDefault="00DA359F" w:rsidP="00DA359F">
      <w:pPr>
        <w:pStyle w:val="SangriaFrancesaArticulo"/>
      </w:pPr>
    </w:p>
    <w:p w14:paraId="653DB748" w14:textId="77777777" w:rsidR="00DA359F" w:rsidRDefault="00DA359F" w:rsidP="00DA359F">
      <w:pPr>
        <w:pStyle w:val="TextoNormalNegritaCursivandice"/>
        <w:keepNext/>
      </w:pPr>
      <w:r>
        <w:t>Acuerdo de la Junta Electoral Provincial de Madrid, de 1 de agosto de 2023. Resolutorio de reclamaciones contra el acto de escrutinio general del Congreso de los Diputados en las elecciones generales del 23 de julio de 2023</w:t>
      </w:r>
    </w:p>
    <w:p w14:paraId="24071B8F" w14:textId="12D2FF06"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95" w:history="1">
        <w:r w:rsidRPr="00DA359F">
          <w:rPr>
            <w:rStyle w:val="TextoNormalCaracter"/>
          </w:rPr>
          <w:t>95/2023</w:t>
        </w:r>
      </w:hyperlink>
      <w:r>
        <w:t>, f. 1.</w:t>
      </w:r>
    </w:p>
    <w:p w14:paraId="0C42E609" w14:textId="7D7F9F16" w:rsidR="00DA359F" w:rsidRDefault="00DA359F" w:rsidP="00DA359F">
      <w:pPr>
        <w:pStyle w:val="TextoNormal"/>
      </w:pPr>
    </w:p>
    <w:p w14:paraId="4CBDDC64" w14:textId="77777777" w:rsidR="00DA359F" w:rsidRDefault="00DA359F" w:rsidP="00DA359F">
      <w:pPr>
        <w:pStyle w:val="TextoNormalNegritaCentradoSubrayado"/>
        <w:suppressAutoHyphens/>
      </w:pPr>
      <w:r>
        <w:t>J.11.d) Disposiciones parlamentarias autonómicas</w:t>
      </w:r>
    </w:p>
    <w:p w14:paraId="5B34E608" w14:textId="1769B127" w:rsidR="00DA359F" w:rsidRDefault="00DA359F" w:rsidP="00DA359F">
      <w:pPr>
        <w:pStyle w:val="TextoNormalNegritaCentradoSubrayado"/>
      </w:pPr>
    </w:p>
    <w:p w14:paraId="7E29C814" w14:textId="77777777" w:rsidR="00DA359F" w:rsidRDefault="00DA359F" w:rsidP="00DA359F">
      <w:pPr>
        <w:pStyle w:val="TextoNormalNegritaCursivandice"/>
        <w:keepNext/>
      </w:pPr>
      <w:r>
        <w:t>Comunidad de Madrid. Reglamento de la Asamblea de Madrid aprobado por el Pleno el 7 de febrero de 2019</w:t>
      </w:r>
    </w:p>
    <w:p w14:paraId="24B1FBC1" w14:textId="1B8F6F3C" w:rsidR="00DA359F" w:rsidRDefault="00DA359F" w:rsidP="00DA359F">
      <w:pPr>
        <w:pStyle w:val="SangriaFrancesaArticulo"/>
      </w:pPr>
      <w:r w:rsidRPr="00DA359F">
        <w:rPr>
          <w:rStyle w:val="TextoNormalNegritaCaracter"/>
        </w:rPr>
        <w:t>Artículo 77.</w:t>
      </w:r>
      <w:r w:rsidRPr="00DA359F">
        <w:rPr>
          <w:rStyle w:val="TextoNormalCaracter"/>
        </w:rPr>
        <w:t>-</w:t>
      </w:r>
      <w:r>
        <w:t xml:space="preserve"> Sentencia </w:t>
      </w:r>
      <w:hyperlink w:anchor="SENTENCIA_2023_167" w:history="1">
        <w:r w:rsidRPr="00DA359F">
          <w:rPr>
            <w:rStyle w:val="TextoNormalCaracter"/>
          </w:rPr>
          <w:t>167/2023</w:t>
        </w:r>
      </w:hyperlink>
      <w:r>
        <w:t>, f. 10.</w:t>
      </w:r>
    </w:p>
    <w:p w14:paraId="6EBD1E3C" w14:textId="683DC4C1" w:rsidR="00DA359F" w:rsidRDefault="00DA359F" w:rsidP="00DA359F">
      <w:pPr>
        <w:pStyle w:val="TextoNormal"/>
      </w:pPr>
    </w:p>
    <w:p w14:paraId="36C7BA71" w14:textId="77777777" w:rsidR="00DA359F" w:rsidRDefault="00DA359F" w:rsidP="00DA359F">
      <w:pPr>
        <w:pStyle w:val="TextoNormalNegritaCentrado"/>
        <w:suppressAutoHyphens/>
      </w:pPr>
      <w:r w:rsidRPr="00DA359F">
        <w:rPr>
          <w:rStyle w:val="TextoNormalNegritaCentradoSombreado"/>
        </w:rPr>
        <w:t>J.12) Murcia</w:t>
      </w:r>
    </w:p>
    <w:p w14:paraId="41484844" w14:textId="0D093F22" w:rsidR="00DA359F" w:rsidRDefault="00DA359F" w:rsidP="00DA359F">
      <w:pPr>
        <w:pStyle w:val="TextoNormal"/>
      </w:pPr>
    </w:p>
    <w:p w14:paraId="0D1972A2" w14:textId="77777777" w:rsidR="00DA359F" w:rsidRDefault="00DA359F" w:rsidP="00DA359F">
      <w:pPr>
        <w:pStyle w:val="TextoNormalNegritaCentradoSubrayado"/>
        <w:suppressAutoHyphens/>
      </w:pPr>
      <w:r>
        <w:t>J.12.a) Estatuto de Autonomía</w:t>
      </w:r>
    </w:p>
    <w:p w14:paraId="5893BBF8" w14:textId="369F01EB" w:rsidR="00DA359F" w:rsidRDefault="00DA359F" w:rsidP="00DA359F">
      <w:pPr>
        <w:pStyle w:val="TextoNormalNegritaCentradoSubrayado"/>
      </w:pPr>
    </w:p>
    <w:p w14:paraId="44B0F4A2" w14:textId="77777777" w:rsidR="00DA359F" w:rsidRDefault="00DA359F" w:rsidP="00DA359F">
      <w:pPr>
        <w:pStyle w:val="TextoNormalNegritaCursivandice"/>
        <w:keepNext/>
      </w:pPr>
      <w:r>
        <w:t>Ley Orgánica 4/1982, de 9 de junio, de Estatuto de Autonomía de la Región de Murcia</w:t>
      </w:r>
    </w:p>
    <w:p w14:paraId="72944458" w14:textId="63E2E8D3" w:rsidR="00DA359F" w:rsidRDefault="00DA359F" w:rsidP="00DA359F">
      <w:pPr>
        <w:pStyle w:val="SangriaFrancesaArticulo"/>
      </w:pPr>
      <w:r w:rsidRPr="00DA359F">
        <w:rPr>
          <w:rStyle w:val="TextoNormalNegritaCaracter"/>
        </w:rPr>
        <w:t>Artículo 30.3</w:t>
      </w:r>
      <w:r>
        <w:t xml:space="preserve"> (redactado por la Ley Orgánica 7/2013, de 28 de noviembre)</w:t>
      </w:r>
      <w:r w:rsidRPr="00DA359F">
        <w:rPr>
          <w:rStyle w:val="TextoNormalNegritaCaracter"/>
        </w:rPr>
        <w:t>.</w:t>
      </w:r>
      <w:r w:rsidRPr="00DA359F">
        <w:rPr>
          <w:rStyle w:val="TextoNormalCaracter"/>
        </w:rPr>
        <w:t>-</w:t>
      </w:r>
      <w:r>
        <w:t xml:space="preserve"> Sentencia </w:t>
      </w:r>
      <w:hyperlink w:anchor="SENTENCIA_2023_126" w:history="1">
        <w:r w:rsidRPr="00DA359F">
          <w:rPr>
            <w:rStyle w:val="TextoNormalCaracter"/>
          </w:rPr>
          <w:t>126/2023</w:t>
        </w:r>
      </w:hyperlink>
      <w:r>
        <w:t>, ff. 3, 4.</w:t>
      </w:r>
    </w:p>
    <w:p w14:paraId="18359A76" w14:textId="5B735517" w:rsidR="00DA359F" w:rsidRDefault="00DA359F" w:rsidP="00DA359F">
      <w:pPr>
        <w:pStyle w:val="TextoNormal"/>
      </w:pPr>
    </w:p>
    <w:p w14:paraId="08070880" w14:textId="77777777" w:rsidR="00DA359F" w:rsidRDefault="00DA359F" w:rsidP="00DA359F">
      <w:pPr>
        <w:pStyle w:val="TextoNormalNegritaCentradoSubrayado"/>
        <w:suppressAutoHyphens/>
      </w:pPr>
      <w:r>
        <w:t>J.12.b) Leyes y disposiciones con fuerza de Ley</w:t>
      </w:r>
    </w:p>
    <w:p w14:paraId="41EA2EE9" w14:textId="50167157" w:rsidR="00DA359F" w:rsidRDefault="00DA359F" w:rsidP="00DA359F">
      <w:pPr>
        <w:pStyle w:val="TextoNormalNegritaCentradoSubrayado"/>
      </w:pPr>
    </w:p>
    <w:p w14:paraId="301C14F6" w14:textId="77777777" w:rsidR="00DA359F" w:rsidRDefault="00DA359F" w:rsidP="00DA359F">
      <w:pPr>
        <w:pStyle w:val="TextoNormalNegritaCursivandice"/>
        <w:keepNext/>
      </w:pPr>
      <w:r>
        <w:t>Comunidad Autónoma de la Región de Murcia. Decreto-ley 1/2017, de 4 de abril, de medidas urgentes para garantizar la sostenibilidad ambiental en el entorno del mar Menor</w:t>
      </w:r>
    </w:p>
    <w:p w14:paraId="26CABA91" w14:textId="14DD7750"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126" w:history="1">
        <w:r w:rsidRPr="00DA359F">
          <w:rPr>
            <w:rStyle w:val="TextoNormalCaracter"/>
          </w:rPr>
          <w:t>126/2023</w:t>
        </w:r>
      </w:hyperlink>
      <w:r>
        <w:t>, f. 4.</w:t>
      </w:r>
    </w:p>
    <w:p w14:paraId="47665139" w14:textId="3B46D0F2" w:rsidR="00DA359F" w:rsidRDefault="00DA359F" w:rsidP="00DA359F">
      <w:pPr>
        <w:pStyle w:val="SangriaFrancesaArticulo"/>
      </w:pPr>
    </w:p>
    <w:p w14:paraId="6AD9C1A3" w14:textId="77777777" w:rsidR="00DA359F" w:rsidRDefault="00DA359F" w:rsidP="00DA359F">
      <w:pPr>
        <w:pStyle w:val="TextoNormalNegritaCursivandice"/>
        <w:keepNext/>
      </w:pPr>
      <w:r>
        <w:t>Comunidad Autónoma de la Región de Murcia. Ley 1/2018, de 7 de febrero, de medidas urgentes para garantizar la sostenibilidad ambiental en el entorno del mar Menor</w:t>
      </w:r>
    </w:p>
    <w:p w14:paraId="22EAB8D8" w14:textId="26748F0C"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126" w:history="1">
        <w:r w:rsidRPr="00DA359F">
          <w:rPr>
            <w:rStyle w:val="TextoNormalCaracter"/>
          </w:rPr>
          <w:t>126/2023</w:t>
        </w:r>
      </w:hyperlink>
      <w:r>
        <w:t>, f. 4.</w:t>
      </w:r>
    </w:p>
    <w:p w14:paraId="2BFA4C66" w14:textId="3C51A319" w:rsidR="00DA359F" w:rsidRDefault="00DA359F" w:rsidP="00DA359F">
      <w:pPr>
        <w:pStyle w:val="SangriaFrancesaArticulo"/>
      </w:pPr>
    </w:p>
    <w:p w14:paraId="1117408A" w14:textId="77777777" w:rsidR="00DA359F" w:rsidRDefault="00DA359F" w:rsidP="00DA359F">
      <w:pPr>
        <w:pStyle w:val="TextoNormalNegritaCursivandice"/>
        <w:keepNext/>
      </w:pPr>
      <w:r>
        <w:t>Comunidad Autónoma de Murcia. Ley 6/2019, de 4 de abril, de coordinación de las policías locales de la Comunidad Autónoma de la Región de Murcia</w:t>
      </w:r>
    </w:p>
    <w:p w14:paraId="1F9335D8" w14:textId="2024854B" w:rsidR="00DA359F" w:rsidRDefault="00DA359F" w:rsidP="00DA359F">
      <w:pPr>
        <w:pStyle w:val="SangriaFrancesaArticulo"/>
      </w:pPr>
      <w:r w:rsidRPr="00DA359F">
        <w:rPr>
          <w:rStyle w:val="TextoNormalNegritaCaracter"/>
        </w:rPr>
        <w:t>Disposición transitoria quinta.</w:t>
      </w:r>
      <w:r w:rsidRPr="00DA359F">
        <w:rPr>
          <w:rStyle w:val="TextoNormalCaracter"/>
        </w:rPr>
        <w:t>-</w:t>
      </w:r>
      <w:r>
        <w:t xml:space="preserve"> Auto </w:t>
      </w:r>
      <w:hyperlink w:anchor="AUTO_2023_604" w:history="1">
        <w:r w:rsidRPr="00DA359F">
          <w:rPr>
            <w:rStyle w:val="TextoNormalCaracter"/>
          </w:rPr>
          <w:t>604/2023</w:t>
        </w:r>
      </w:hyperlink>
      <w:r>
        <w:t>, f. 1.</w:t>
      </w:r>
    </w:p>
    <w:p w14:paraId="3E85225B" w14:textId="1483CE6F" w:rsidR="00DA359F" w:rsidRDefault="00DA359F" w:rsidP="00DA359F">
      <w:pPr>
        <w:pStyle w:val="SangriaFrancesaArticulo"/>
      </w:pPr>
    </w:p>
    <w:p w14:paraId="37B5D9ED" w14:textId="77777777" w:rsidR="00DA359F" w:rsidRDefault="00DA359F" w:rsidP="00DA359F">
      <w:pPr>
        <w:pStyle w:val="TextoNormalNegritaCursivandice"/>
        <w:keepNext/>
      </w:pPr>
      <w:r>
        <w:t>Comunidad Autónoma de la Región de Murcia. Decreto-ley 2/2019, de 26 de diciembre, de protección integral del mar Menor</w:t>
      </w:r>
    </w:p>
    <w:p w14:paraId="791C9842" w14:textId="039258C5"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126" w:history="1">
        <w:r w:rsidRPr="00DA359F">
          <w:rPr>
            <w:rStyle w:val="TextoNormalCaracter"/>
          </w:rPr>
          <w:t>126/2023</w:t>
        </w:r>
      </w:hyperlink>
      <w:r>
        <w:t>, f. 4.</w:t>
      </w:r>
    </w:p>
    <w:p w14:paraId="0F703428" w14:textId="5E8D9867" w:rsidR="00DA359F" w:rsidRDefault="00DA359F" w:rsidP="00DA359F">
      <w:pPr>
        <w:pStyle w:val="SangriaFrancesaArticulo"/>
      </w:pPr>
    </w:p>
    <w:p w14:paraId="7E8ACCF5" w14:textId="77777777" w:rsidR="00DA359F" w:rsidRDefault="00DA359F" w:rsidP="00DA359F">
      <w:pPr>
        <w:pStyle w:val="TextoNormalNegritaCursivandice"/>
        <w:keepNext/>
      </w:pPr>
      <w:r>
        <w:t>Comunidad Autónoma de la Región de Murcia. Ley 3/2020, de 27 de julio, de recuperación y protección del mar Menor</w:t>
      </w:r>
    </w:p>
    <w:p w14:paraId="103011FD" w14:textId="1ECBC2F3"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126" w:history="1">
        <w:r w:rsidRPr="00DA359F">
          <w:rPr>
            <w:rStyle w:val="TextoNormalCaracter"/>
          </w:rPr>
          <w:t>126/2023</w:t>
        </w:r>
      </w:hyperlink>
      <w:r>
        <w:t>, ff. 1, 4, 5.</w:t>
      </w:r>
    </w:p>
    <w:p w14:paraId="5FB47580" w14:textId="5FA60326" w:rsidR="00DA359F" w:rsidRDefault="00DA359F" w:rsidP="00DA359F">
      <w:pPr>
        <w:pStyle w:val="SangriaFrancesaArticulo"/>
      </w:pPr>
      <w:r w:rsidRPr="00DA359F">
        <w:rPr>
          <w:rStyle w:val="TextoNormalNegritaCaracter"/>
        </w:rPr>
        <w:t>Artículo 28.2.</w:t>
      </w:r>
      <w:r w:rsidRPr="00DA359F">
        <w:rPr>
          <w:rStyle w:val="TextoNormalCaracter"/>
        </w:rPr>
        <w:t>-</w:t>
      </w:r>
      <w:r>
        <w:t xml:space="preserve"> Sentencia </w:t>
      </w:r>
      <w:hyperlink w:anchor="SENTENCIA_2023_126" w:history="1">
        <w:r w:rsidRPr="00DA359F">
          <w:rPr>
            <w:rStyle w:val="TextoNormalCaracter"/>
          </w:rPr>
          <w:t>126/2023</w:t>
        </w:r>
      </w:hyperlink>
      <w:r>
        <w:t>, f. 1.</w:t>
      </w:r>
    </w:p>
    <w:p w14:paraId="789B0901" w14:textId="0CFF53D6" w:rsidR="00DA359F" w:rsidRDefault="00DA359F" w:rsidP="00DA359F">
      <w:pPr>
        <w:pStyle w:val="SangriaFrancesaArticulo"/>
      </w:pPr>
      <w:r w:rsidRPr="00DA359F">
        <w:rPr>
          <w:rStyle w:val="TextoNormalNegritaCaracter"/>
        </w:rPr>
        <w:t>Artículo 31.3.</w:t>
      </w:r>
      <w:r w:rsidRPr="00DA359F">
        <w:rPr>
          <w:rStyle w:val="TextoNormalCaracter"/>
        </w:rPr>
        <w:t>-</w:t>
      </w:r>
      <w:r>
        <w:t xml:space="preserve"> Sentencia </w:t>
      </w:r>
      <w:hyperlink w:anchor="SENTENCIA_2023_126" w:history="1">
        <w:r w:rsidRPr="00DA359F">
          <w:rPr>
            <w:rStyle w:val="TextoNormalCaracter"/>
          </w:rPr>
          <w:t>126/2023</w:t>
        </w:r>
      </w:hyperlink>
      <w:r>
        <w:t>, f. 2.</w:t>
      </w:r>
    </w:p>
    <w:p w14:paraId="1A5A0619" w14:textId="0C7BAA65" w:rsidR="00DA359F" w:rsidRDefault="00DA359F" w:rsidP="00DA359F">
      <w:pPr>
        <w:pStyle w:val="SangriaFrancesaArticulo"/>
      </w:pPr>
      <w:r w:rsidRPr="00DA359F">
        <w:rPr>
          <w:rStyle w:val="TextoNormalNegritaCaracter"/>
        </w:rPr>
        <w:t>Artículo 33.1</w:t>
      </w:r>
      <w:r>
        <w:t xml:space="preserve"> (redactado por el Decreto-ley 5/2021, de 27 de agosto)</w:t>
      </w:r>
      <w:r w:rsidRPr="00DA359F">
        <w:rPr>
          <w:rStyle w:val="TextoNormalNegritaCaracter"/>
        </w:rPr>
        <w:t>.</w:t>
      </w:r>
      <w:r w:rsidRPr="00DA359F">
        <w:rPr>
          <w:rStyle w:val="TextoNormalCaracter"/>
        </w:rPr>
        <w:t>-</w:t>
      </w:r>
      <w:r>
        <w:t xml:space="preserve"> Sentencia </w:t>
      </w:r>
      <w:hyperlink w:anchor="SENTENCIA_2023_126" w:history="1">
        <w:r w:rsidRPr="00DA359F">
          <w:rPr>
            <w:rStyle w:val="TextoNormalCaracter"/>
          </w:rPr>
          <w:t>126/2023</w:t>
        </w:r>
      </w:hyperlink>
      <w:r>
        <w:t>, ff. 1, 4.</w:t>
      </w:r>
    </w:p>
    <w:p w14:paraId="6F8FCC05" w14:textId="13DFAE19" w:rsidR="00DA359F" w:rsidRDefault="00DA359F" w:rsidP="00DA359F">
      <w:pPr>
        <w:pStyle w:val="SangriaFrancesaArticulo"/>
      </w:pPr>
      <w:r w:rsidRPr="00DA359F">
        <w:rPr>
          <w:rStyle w:val="TextoNormalNegritaCaracter"/>
        </w:rPr>
        <w:t>Artículo 33.1</w:t>
      </w:r>
      <w:r>
        <w:t xml:space="preserve"> (redactado por el Decreto-ley 5/2021, de 27 de agosto) inciso "de aquellos regadíos que hayan sido cesados o prohibidos por resolución firme en vía administrativa por el Organismo de Cuenca, por no estar amparados por un derecho de aprovechamiento de aguas"</w:t>
      </w:r>
      <w:r w:rsidRPr="00DA359F">
        <w:rPr>
          <w:rStyle w:val="TextoNormalNegritaCaracter"/>
        </w:rPr>
        <w:t>.</w:t>
      </w:r>
      <w:r w:rsidRPr="00DA359F">
        <w:rPr>
          <w:rStyle w:val="TextoNormalCaracter"/>
        </w:rPr>
        <w:t>-</w:t>
      </w:r>
      <w:r>
        <w:t xml:space="preserve"> Sentencia </w:t>
      </w:r>
      <w:hyperlink w:anchor="SENTENCIA_2023_126" w:history="1">
        <w:r w:rsidRPr="00DA359F">
          <w:rPr>
            <w:rStyle w:val="TextoNormalCaracter"/>
          </w:rPr>
          <w:t>126/2023</w:t>
        </w:r>
      </w:hyperlink>
      <w:r>
        <w:t>, f. 1.</w:t>
      </w:r>
    </w:p>
    <w:p w14:paraId="078C91FE" w14:textId="7C410215" w:rsidR="00DA359F" w:rsidRDefault="00DA359F" w:rsidP="00DA359F">
      <w:pPr>
        <w:pStyle w:val="SangriaFrancesaArticulo"/>
      </w:pPr>
      <w:r w:rsidRPr="00DA359F">
        <w:rPr>
          <w:rStyle w:val="TextoNormalNegritaCaracter"/>
        </w:rPr>
        <w:t>Artículo 33.4</w:t>
      </w:r>
      <w:r>
        <w:t xml:space="preserve"> (redactado por el Decreto-ley 5/2021, de 27 de agosto)</w:t>
      </w:r>
      <w:r w:rsidRPr="00DA359F">
        <w:rPr>
          <w:rStyle w:val="TextoNormalNegritaCaracter"/>
        </w:rPr>
        <w:t>.</w:t>
      </w:r>
      <w:r w:rsidRPr="00DA359F">
        <w:rPr>
          <w:rStyle w:val="TextoNormalCaracter"/>
        </w:rPr>
        <w:t>-</w:t>
      </w:r>
      <w:r>
        <w:t xml:space="preserve"> Sentencia </w:t>
      </w:r>
      <w:hyperlink w:anchor="SENTENCIA_2023_126" w:history="1">
        <w:r w:rsidRPr="00DA359F">
          <w:rPr>
            <w:rStyle w:val="TextoNormalCaracter"/>
          </w:rPr>
          <w:t>126/2023</w:t>
        </w:r>
      </w:hyperlink>
      <w:r>
        <w:t>, ff. 1, 4.</w:t>
      </w:r>
    </w:p>
    <w:p w14:paraId="5650DDDC" w14:textId="5F5A1021" w:rsidR="00DA359F" w:rsidRDefault="00DA359F" w:rsidP="00DA359F">
      <w:pPr>
        <w:pStyle w:val="SangriaFrancesaArticulo"/>
      </w:pPr>
      <w:r w:rsidRPr="00DA359F">
        <w:rPr>
          <w:rStyle w:val="TextoNormalNegritaCaracter"/>
        </w:rPr>
        <w:t>Artículo 34.1</w:t>
      </w:r>
      <w:r>
        <w:t xml:space="preserve"> (redactado por el Decreto-ley 5/2021, de 27 de agosto)</w:t>
      </w:r>
      <w:r w:rsidRPr="00DA359F">
        <w:rPr>
          <w:rStyle w:val="TextoNormalNegritaCaracter"/>
        </w:rPr>
        <w:t>.</w:t>
      </w:r>
      <w:r w:rsidRPr="00DA359F">
        <w:rPr>
          <w:rStyle w:val="TextoNormalCaracter"/>
        </w:rPr>
        <w:t>-</w:t>
      </w:r>
      <w:r>
        <w:t xml:space="preserve"> Sentencia </w:t>
      </w:r>
      <w:hyperlink w:anchor="SENTENCIA_2023_126" w:history="1">
        <w:r w:rsidRPr="00DA359F">
          <w:rPr>
            <w:rStyle w:val="TextoNormalCaracter"/>
          </w:rPr>
          <w:t>126/2023</w:t>
        </w:r>
      </w:hyperlink>
      <w:r>
        <w:t>, ff. 1, 4.</w:t>
      </w:r>
    </w:p>
    <w:p w14:paraId="73B2CBC8" w14:textId="1EC660D7" w:rsidR="00DA359F" w:rsidRDefault="00DA359F" w:rsidP="00DA359F">
      <w:pPr>
        <w:pStyle w:val="SangriaFrancesaArticulo"/>
      </w:pPr>
      <w:r w:rsidRPr="00DA359F">
        <w:rPr>
          <w:rStyle w:val="TextoNormalNegritaCaracter"/>
        </w:rPr>
        <w:t>Artículo 34.1</w:t>
      </w:r>
      <w:r>
        <w:t xml:space="preserve"> (redactado por el Decreto-ley 5/2021, de 27 de agosto) inciso "debe contar con informe o certificado que reciba del Organismo de Cuenca sobre los regadíos que hayan sido cesados o prohibidos por resolución firme en vía administrativa"</w:t>
      </w:r>
      <w:r w:rsidRPr="00DA359F">
        <w:rPr>
          <w:rStyle w:val="TextoNormalNegritaCaracter"/>
        </w:rPr>
        <w:t>.</w:t>
      </w:r>
      <w:r w:rsidRPr="00DA359F">
        <w:rPr>
          <w:rStyle w:val="TextoNormalCaracter"/>
        </w:rPr>
        <w:t>-</w:t>
      </w:r>
      <w:r>
        <w:t xml:space="preserve"> Sentencia </w:t>
      </w:r>
      <w:hyperlink w:anchor="SENTENCIA_2023_126" w:history="1">
        <w:r w:rsidRPr="00DA359F">
          <w:rPr>
            <w:rStyle w:val="TextoNormalCaracter"/>
          </w:rPr>
          <w:t>126/2023</w:t>
        </w:r>
      </w:hyperlink>
      <w:r>
        <w:t>, f. 1.</w:t>
      </w:r>
    </w:p>
    <w:p w14:paraId="48446004" w14:textId="58456896" w:rsidR="00DA359F" w:rsidRDefault="00DA359F" w:rsidP="00DA359F">
      <w:pPr>
        <w:pStyle w:val="SangriaFrancesaArticulo"/>
      </w:pPr>
      <w:r w:rsidRPr="00DA359F">
        <w:rPr>
          <w:rStyle w:val="TextoNormalNegritaCaracter"/>
        </w:rPr>
        <w:t>Artículo 34.2</w:t>
      </w:r>
      <w:r>
        <w:t xml:space="preserve"> (redactado por el Decreto-ley 5/2021, de 27 de agosto)</w:t>
      </w:r>
      <w:r w:rsidRPr="00DA359F">
        <w:rPr>
          <w:rStyle w:val="TextoNormalNegritaCaracter"/>
        </w:rPr>
        <w:t>.</w:t>
      </w:r>
      <w:r w:rsidRPr="00DA359F">
        <w:rPr>
          <w:rStyle w:val="TextoNormalCaracter"/>
        </w:rPr>
        <w:t>-</w:t>
      </w:r>
      <w:r>
        <w:t xml:space="preserve"> Sentencia </w:t>
      </w:r>
      <w:hyperlink w:anchor="SENTENCIA_2023_126" w:history="1">
        <w:r w:rsidRPr="00DA359F">
          <w:rPr>
            <w:rStyle w:val="TextoNormalCaracter"/>
          </w:rPr>
          <w:t>126/2023</w:t>
        </w:r>
      </w:hyperlink>
      <w:r>
        <w:t>, ff. 1, 4.</w:t>
      </w:r>
    </w:p>
    <w:p w14:paraId="4A5F4F07" w14:textId="43D36A41" w:rsidR="00DA359F" w:rsidRDefault="00DA359F" w:rsidP="00DA359F">
      <w:pPr>
        <w:pStyle w:val="SangriaFrancesaArticulo"/>
      </w:pPr>
      <w:r w:rsidRPr="00DA359F">
        <w:rPr>
          <w:rStyle w:val="TextoNormalNegritaCaracter"/>
        </w:rPr>
        <w:t>Artículo 34.2</w:t>
      </w:r>
      <w:r>
        <w:t xml:space="preserve"> (redactado por el Decreto-ley 5/2021, de 27 de agosto) inciso "recibida comunicación del Organismo de Cuenca con indicación de las explotaciones que carecen de derecho de agua, en los términos del apartado anterior"</w:t>
      </w:r>
      <w:r w:rsidRPr="00DA359F">
        <w:rPr>
          <w:rStyle w:val="TextoNormalNegritaCaracter"/>
        </w:rPr>
        <w:t>.</w:t>
      </w:r>
      <w:r w:rsidRPr="00DA359F">
        <w:rPr>
          <w:rStyle w:val="TextoNormalCaracter"/>
        </w:rPr>
        <w:t>-</w:t>
      </w:r>
      <w:r>
        <w:t xml:space="preserve"> Sentencia </w:t>
      </w:r>
      <w:hyperlink w:anchor="SENTENCIA_2023_126" w:history="1">
        <w:r w:rsidRPr="00DA359F">
          <w:rPr>
            <w:rStyle w:val="TextoNormalCaracter"/>
          </w:rPr>
          <w:t>126/2023</w:t>
        </w:r>
      </w:hyperlink>
      <w:r>
        <w:t>, f. 1.</w:t>
      </w:r>
    </w:p>
    <w:p w14:paraId="5CA1B889" w14:textId="56BA7675" w:rsidR="00DA359F" w:rsidRDefault="00DA359F" w:rsidP="00DA359F">
      <w:pPr>
        <w:pStyle w:val="SangriaFrancesaArticulo"/>
      </w:pPr>
    </w:p>
    <w:p w14:paraId="6B80E3E5" w14:textId="77777777" w:rsidR="00DA359F" w:rsidRDefault="00DA359F" w:rsidP="00DA359F">
      <w:pPr>
        <w:pStyle w:val="TextoNormalNegritaCursivandice"/>
        <w:keepNext/>
      </w:pPr>
      <w:r>
        <w:t>Comunidad Autónoma de la Región de Murcia. Decreto-ley 5/2021, de 27 de agosto, de modificación de la Ley 3/2020, de 27 de julio, de recuperación y protección del mar Menor</w:t>
      </w:r>
    </w:p>
    <w:p w14:paraId="5A66D3D0" w14:textId="62CC9F2A"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126" w:history="1">
        <w:r w:rsidRPr="00DA359F">
          <w:rPr>
            <w:rStyle w:val="TextoNormalCaracter"/>
          </w:rPr>
          <w:t>126/2023</w:t>
        </w:r>
      </w:hyperlink>
      <w:r>
        <w:t>, ff. 2 a 5.</w:t>
      </w:r>
    </w:p>
    <w:p w14:paraId="382E2FCB" w14:textId="12CAFE25" w:rsidR="00DA359F" w:rsidRDefault="00DA359F" w:rsidP="00DA359F">
      <w:pPr>
        <w:pStyle w:val="SangriaFrancesaArticulo"/>
      </w:pPr>
      <w:r w:rsidRPr="00DA359F">
        <w:rPr>
          <w:rStyle w:val="TextoNormalNegritaCaracter"/>
        </w:rPr>
        <w:t>Exposición de motivos.</w:t>
      </w:r>
      <w:r w:rsidRPr="00DA359F">
        <w:rPr>
          <w:rStyle w:val="TextoNormalCaracter"/>
        </w:rPr>
        <w:t>-</w:t>
      </w:r>
      <w:r>
        <w:t xml:space="preserve"> Sentencia </w:t>
      </w:r>
      <w:hyperlink w:anchor="SENTENCIA_2023_126" w:history="1">
        <w:r w:rsidRPr="00DA359F">
          <w:rPr>
            <w:rStyle w:val="TextoNormalCaracter"/>
          </w:rPr>
          <w:t>126/2023</w:t>
        </w:r>
      </w:hyperlink>
      <w:r>
        <w:t>, f. 4.</w:t>
      </w:r>
    </w:p>
    <w:p w14:paraId="330F4AFE" w14:textId="54624450" w:rsidR="00DA359F" w:rsidRDefault="00DA359F" w:rsidP="00DA359F">
      <w:pPr>
        <w:pStyle w:val="SangriaFrancesaArticulo"/>
      </w:pPr>
      <w:r w:rsidRPr="00DA359F">
        <w:rPr>
          <w:rStyle w:val="TextoNormalNegritaCaracter"/>
        </w:rPr>
        <w:t>Artículo único, apartado 1.</w:t>
      </w:r>
      <w:r w:rsidRPr="00DA359F">
        <w:rPr>
          <w:rStyle w:val="TextoNormalCaracter"/>
        </w:rPr>
        <w:t>-</w:t>
      </w:r>
      <w:r>
        <w:t xml:space="preserve"> Sentencia </w:t>
      </w:r>
      <w:hyperlink w:anchor="SENTENCIA_2023_126" w:history="1">
        <w:r w:rsidRPr="00DA359F">
          <w:rPr>
            <w:rStyle w:val="TextoNormalCaracter"/>
          </w:rPr>
          <w:t>126/2023</w:t>
        </w:r>
      </w:hyperlink>
      <w:r>
        <w:t>, ff. 1, 2.</w:t>
      </w:r>
    </w:p>
    <w:p w14:paraId="10470008" w14:textId="476EA751" w:rsidR="00DA359F" w:rsidRDefault="00DA359F" w:rsidP="00DA359F">
      <w:pPr>
        <w:pStyle w:val="SangriaFrancesaArticulo"/>
      </w:pPr>
      <w:r w:rsidRPr="00DA359F">
        <w:rPr>
          <w:rStyle w:val="TextoNormalNegritaCaracter"/>
        </w:rPr>
        <w:t>Artículo único, apartado 2.</w:t>
      </w:r>
      <w:r w:rsidRPr="00DA359F">
        <w:rPr>
          <w:rStyle w:val="TextoNormalCaracter"/>
        </w:rPr>
        <w:t>-</w:t>
      </w:r>
      <w:r>
        <w:t xml:space="preserve"> Sentencia </w:t>
      </w:r>
      <w:hyperlink w:anchor="SENTENCIA_2023_126" w:history="1">
        <w:r w:rsidRPr="00DA359F">
          <w:rPr>
            <w:rStyle w:val="TextoNormalCaracter"/>
          </w:rPr>
          <w:t>126/2023</w:t>
        </w:r>
      </w:hyperlink>
      <w:r>
        <w:t>, ff. 1, 2.</w:t>
      </w:r>
    </w:p>
    <w:p w14:paraId="4D1FA93E" w14:textId="1923CC39" w:rsidR="00DA359F" w:rsidRDefault="00DA359F" w:rsidP="00DA359F">
      <w:pPr>
        <w:pStyle w:val="SangriaFrancesaArticulo"/>
      </w:pPr>
      <w:r w:rsidRPr="00DA359F">
        <w:rPr>
          <w:rStyle w:val="TextoNormalNegritaCaracter"/>
        </w:rPr>
        <w:t>Disposición final única.</w:t>
      </w:r>
      <w:r w:rsidRPr="00DA359F">
        <w:rPr>
          <w:rStyle w:val="TextoNormalCaracter"/>
        </w:rPr>
        <w:t>-</w:t>
      </w:r>
      <w:r>
        <w:t xml:space="preserve"> Sentencia </w:t>
      </w:r>
      <w:hyperlink w:anchor="SENTENCIA_2023_126" w:history="1">
        <w:r w:rsidRPr="00DA359F">
          <w:rPr>
            <w:rStyle w:val="TextoNormalCaracter"/>
          </w:rPr>
          <w:t>126/2023</w:t>
        </w:r>
      </w:hyperlink>
      <w:r>
        <w:t>, f. 4.</w:t>
      </w:r>
    </w:p>
    <w:p w14:paraId="084131C0" w14:textId="481E4A92" w:rsidR="00DA359F" w:rsidRDefault="00DA359F" w:rsidP="00DA359F">
      <w:pPr>
        <w:pStyle w:val="TextoNormal"/>
      </w:pPr>
    </w:p>
    <w:p w14:paraId="0E310419" w14:textId="77777777" w:rsidR="00DA359F" w:rsidRDefault="00DA359F" w:rsidP="00DA359F">
      <w:pPr>
        <w:pStyle w:val="TextoNormalNegritaCentradoSubrayado"/>
        <w:suppressAutoHyphens/>
      </w:pPr>
      <w:r>
        <w:t>J.12.d) Disposiciones parlamentarias autonómicas</w:t>
      </w:r>
    </w:p>
    <w:p w14:paraId="18211A57" w14:textId="48FC32AD" w:rsidR="00DA359F" w:rsidRDefault="00DA359F" w:rsidP="00DA359F">
      <w:pPr>
        <w:pStyle w:val="TextoNormalNegritaCentradoSubrayado"/>
      </w:pPr>
    </w:p>
    <w:p w14:paraId="2397F171" w14:textId="77777777" w:rsidR="00DA359F" w:rsidRDefault="00DA359F" w:rsidP="00DA359F">
      <w:pPr>
        <w:pStyle w:val="TextoNormalNegritaCursivandice"/>
        <w:keepNext/>
      </w:pPr>
      <w:r>
        <w:t>Región de Murcia. Reglamento de la Asamblea Regional de Murcia, de 13 de junio de 2002</w:t>
      </w:r>
    </w:p>
    <w:p w14:paraId="04A01F9E" w14:textId="0EBA7EDF" w:rsidR="00DA359F" w:rsidRDefault="00DA359F" w:rsidP="00DA359F">
      <w:pPr>
        <w:pStyle w:val="SangriaFrancesaArticulo"/>
      </w:pPr>
      <w:r w:rsidRPr="00DA359F">
        <w:rPr>
          <w:rStyle w:val="TextoNormalNegritaCaracter"/>
        </w:rPr>
        <w:t>Artículo 62.</w:t>
      </w:r>
      <w:r w:rsidRPr="00DA359F">
        <w:rPr>
          <w:rStyle w:val="TextoNormalCaracter"/>
        </w:rPr>
        <w:t>-</w:t>
      </w:r>
      <w:r>
        <w:t xml:space="preserve"> Sentencia </w:t>
      </w:r>
      <w:hyperlink w:anchor="SENTENCIA_2023_167" w:history="1">
        <w:r w:rsidRPr="00DA359F">
          <w:rPr>
            <w:rStyle w:val="TextoNormalCaracter"/>
          </w:rPr>
          <w:t>167/2023</w:t>
        </w:r>
      </w:hyperlink>
      <w:r>
        <w:t>, f. 10.</w:t>
      </w:r>
    </w:p>
    <w:p w14:paraId="491320C0" w14:textId="7DDC39BE" w:rsidR="00DA359F" w:rsidRDefault="00DA359F" w:rsidP="00DA359F">
      <w:pPr>
        <w:pStyle w:val="TextoNormal"/>
      </w:pPr>
    </w:p>
    <w:p w14:paraId="1A11005C" w14:textId="77777777" w:rsidR="00DA359F" w:rsidRDefault="00DA359F" w:rsidP="00DA359F">
      <w:pPr>
        <w:pStyle w:val="TextoNormalNegritaCentrado"/>
        <w:suppressAutoHyphens/>
      </w:pPr>
      <w:r w:rsidRPr="00DA359F">
        <w:rPr>
          <w:rStyle w:val="TextoNormalNegritaCentradoSombreado"/>
        </w:rPr>
        <w:t>J.13) Navarra</w:t>
      </w:r>
    </w:p>
    <w:p w14:paraId="74A10EAA" w14:textId="61BC90EF" w:rsidR="00DA359F" w:rsidRDefault="00DA359F" w:rsidP="00DA359F">
      <w:pPr>
        <w:pStyle w:val="TextoNormal"/>
      </w:pPr>
    </w:p>
    <w:p w14:paraId="3FA0AE96" w14:textId="77777777" w:rsidR="00DA359F" w:rsidRDefault="00DA359F" w:rsidP="00DA359F">
      <w:pPr>
        <w:pStyle w:val="TextoNormalNegritaCentradoSubrayado"/>
        <w:suppressAutoHyphens/>
      </w:pPr>
      <w:r>
        <w:t>J.13.b) Leyes y disposiciones con fuerza de Ley</w:t>
      </w:r>
    </w:p>
    <w:p w14:paraId="4F0B4988" w14:textId="7F10B946" w:rsidR="00DA359F" w:rsidRDefault="00DA359F" w:rsidP="00DA359F">
      <w:pPr>
        <w:pStyle w:val="TextoNormalNegritaCentradoSubrayado"/>
      </w:pPr>
    </w:p>
    <w:p w14:paraId="2BD7D4A2" w14:textId="77777777" w:rsidR="00DA359F" w:rsidRDefault="00DA359F" w:rsidP="00DA359F">
      <w:pPr>
        <w:pStyle w:val="TextoNormalNegritaCursivandice"/>
        <w:keepNext/>
      </w:pPr>
      <w:r>
        <w:t>Comunidad Foral de Navarra. Ley Foral 2/1995, de 10 de marzo, de haciendas locales de Navarra</w:t>
      </w:r>
    </w:p>
    <w:p w14:paraId="3C535B6D" w14:textId="42B18D5D" w:rsidR="00DA359F" w:rsidRDefault="00DA359F" w:rsidP="00DA359F">
      <w:pPr>
        <w:pStyle w:val="SangriaFrancesaArticulo"/>
      </w:pPr>
      <w:r w:rsidRPr="00DA359F">
        <w:rPr>
          <w:rStyle w:val="TextoNormalNegritaCaracter"/>
        </w:rPr>
        <w:t>En general.</w:t>
      </w:r>
      <w:r w:rsidRPr="00DA359F">
        <w:rPr>
          <w:rStyle w:val="TextoNormalCaracter"/>
        </w:rPr>
        <w:t>-</w:t>
      </w:r>
      <w:r>
        <w:t xml:space="preserve"> Auto </w:t>
      </w:r>
      <w:hyperlink w:anchor="AUTO_2023_486" w:history="1">
        <w:r w:rsidRPr="00DA359F">
          <w:rPr>
            <w:rStyle w:val="TextoNormalCaracter"/>
          </w:rPr>
          <w:t>486/2023</w:t>
        </w:r>
      </w:hyperlink>
      <w:r>
        <w:t>, f. 2.</w:t>
      </w:r>
    </w:p>
    <w:p w14:paraId="689D0025" w14:textId="6A1B81E7" w:rsidR="00DA359F" w:rsidRDefault="00DA359F" w:rsidP="00DA359F">
      <w:pPr>
        <w:pStyle w:val="TextoNormal"/>
      </w:pPr>
    </w:p>
    <w:p w14:paraId="50C89FC2" w14:textId="77777777" w:rsidR="00DA359F" w:rsidRDefault="00DA359F" w:rsidP="00DA359F">
      <w:pPr>
        <w:pStyle w:val="TextoNormalNegritaCentrado"/>
        <w:suppressAutoHyphens/>
      </w:pPr>
      <w:r w:rsidRPr="00DA359F">
        <w:rPr>
          <w:rStyle w:val="TextoNormalNegritaCentradoSombreado"/>
        </w:rPr>
        <w:t>J.14) País Vasco</w:t>
      </w:r>
    </w:p>
    <w:p w14:paraId="3DF21C36" w14:textId="0C310CE7" w:rsidR="00DA359F" w:rsidRDefault="00DA359F" w:rsidP="00DA359F">
      <w:pPr>
        <w:pStyle w:val="TextoNormal"/>
      </w:pPr>
    </w:p>
    <w:p w14:paraId="2D094AF2" w14:textId="77777777" w:rsidR="00DA359F" w:rsidRDefault="00DA359F" w:rsidP="00DA359F">
      <w:pPr>
        <w:pStyle w:val="TextoNormalNegritaCentradoSubrayado"/>
        <w:suppressAutoHyphens/>
      </w:pPr>
      <w:r>
        <w:t>J.14.a) Estatuto de Autonomía</w:t>
      </w:r>
    </w:p>
    <w:p w14:paraId="72B463FF" w14:textId="0D6D169D" w:rsidR="00DA359F" w:rsidRDefault="00DA359F" w:rsidP="00DA359F">
      <w:pPr>
        <w:pStyle w:val="TextoNormalNegritaCentradoSubrayado"/>
      </w:pPr>
    </w:p>
    <w:p w14:paraId="15A3A30A" w14:textId="77777777" w:rsidR="00DA359F" w:rsidRDefault="00DA359F" w:rsidP="00DA359F">
      <w:pPr>
        <w:pStyle w:val="TextoNormalNegritaCursivandice"/>
        <w:keepNext/>
      </w:pPr>
      <w:r>
        <w:t>Ley Orgánica 3/1979, de 18 de diciembre, de Estatuto de Autonomía para el País Vasco</w:t>
      </w:r>
    </w:p>
    <w:p w14:paraId="742F5913" w14:textId="098630AA" w:rsidR="00DA359F" w:rsidRDefault="00DA359F" w:rsidP="00DA359F">
      <w:pPr>
        <w:pStyle w:val="SangriaFrancesaArticulo"/>
      </w:pPr>
      <w:r w:rsidRPr="00DA359F">
        <w:rPr>
          <w:rStyle w:val="TextoNormalNegritaCaracter"/>
        </w:rPr>
        <w:t>Artículo 6.</w:t>
      </w:r>
      <w:r w:rsidRPr="00DA359F">
        <w:rPr>
          <w:rStyle w:val="TextoNormalCaracter"/>
        </w:rPr>
        <w:t>-</w:t>
      </w:r>
      <w:r>
        <w:t xml:space="preserve"> Sentencia </w:t>
      </w:r>
      <w:hyperlink w:anchor="SENTENCIA_2023_85" w:history="1">
        <w:r w:rsidRPr="00DA359F">
          <w:rPr>
            <w:rStyle w:val="TextoNormalCaracter"/>
          </w:rPr>
          <w:t>85/2023</w:t>
        </w:r>
      </w:hyperlink>
      <w:r>
        <w:t>, f. 4.</w:t>
      </w:r>
    </w:p>
    <w:p w14:paraId="5E2D1AEF" w14:textId="4DF869B4" w:rsidR="00DA359F" w:rsidRDefault="00DA359F" w:rsidP="00DA359F">
      <w:pPr>
        <w:pStyle w:val="SangriaFrancesaArticulo"/>
      </w:pPr>
      <w:r w:rsidRPr="00DA359F">
        <w:rPr>
          <w:rStyle w:val="TextoNormalNegritaCaracter"/>
        </w:rPr>
        <w:t>Artículo 6.1.</w:t>
      </w:r>
      <w:r w:rsidRPr="00DA359F">
        <w:rPr>
          <w:rStyle w:val="TextoNormalCaracter"/>
        </w:rPr>
        <w:t>-</w:t>
      </w:r>
      <w:r>
        <w:t xml:space="preserve"> Sentencia </w:t>
      </w:r>
      <w:hyperlink w:anchor="SENTENCIA_2023_85" w:history="1">
        <w:r w:rsidRPr="00DA359F">
          <w:rPr>
            <w:rStyle w:val="TextoNormalCaracter"/>
          </w:rPr>
          <w:t>85/2023</w:t>
        </w:r>
      </w:hyperlink>
      <w:r>
        <w:t>, f. 3.</w:t>
      </w:r>
    </w:p>
    <w:p w14:paraId="225A4D32" w14:textId="7E92C993" w:rsidR="00DA359F" w:rsidRDefault="00DA359F" w:rsidP="00DA359F">
      <w:pPr>
        <w:pStyle w:val="SangriaFrancesaArticulo"/>
      </w:pPr>
      <w:r w:rsidRPr="00DA359F">
        <w:rPr>
          <w:rStyle w:val="TextoNormalNegritaCaracter"/>
        </w:rPr>
        <w:t>Artículo 6.2.</w:t>
      </w:r>
      <w:r w:rsidRPr="00DA359F">
        <w:rPr>
          <w:rStyle w:val="TextoNormalCaracter"/>
        </w:rPr>
        <w:t>-</w:t>
      </w:r>
      <w:r>
        <w:t xml:space="preserve"> Sentencia </w:t>
      </w:r>
      <w:hyperlink w:anchor="SENTENCIA_2023_85" w:history="1">
        <w:r w:rsidRPr="00DA359F">
          <w:rPr>
            <w:rStyle w:val="TextoNormalCaracter"/>
          </w:rPr>
          <w:t>85/2023</w:t>
        </w:r>
      </w:hyperlink>
      <w:r>
        <w:t>, f. 3.</w:t>
      </w:r>
    </w:p>
    <w:p w14:paraId="583AAC6A" w14:textId="5DF530B4" w:rsidR="00DA359F" w:rsidRDefault="00DA359F" w:rsidP="00DA359F">
      <w:pPr>
        <w:pStyle w:val="TextoNormal"/>
      </w:pPr>
    </w:p>
    <w:p w14:paraId="2B4E37D6" w14:textId="77777777" w:rsidR="00DA359F" w:rsidRDefault="00DA359F" w:rsidP="00DA359F">
      <w:pPr>
        <w:pStyle w:val="TextoNormalNegritaCentradoSubrayado"/>
        <w:suppressAutoHyphens/>
      </w:pPr>
      <w:r>
        <w:t>J.14.b) Leyes y disposiciones con fuerza de Ley</w:t>
      </w:r>
    </w:p>
    <w:p w14:paraId="004419A6" w14:textId="4F98930D" w:rsidR="00DA359F" w:rsidRDefault="00DA359F" w:rsidP="00DA359F">
      <w:pPr>
        <w:pStyle w:val="TextoNormalNegritaCentradoSubrayado"/>
      </w:pPr>
    </w:p>
    <w:p w14:paraId="351A684C" w14:textId="77777777" w:rsidR="00DA359F" w:rsidRDefault="00DA359F" w:rsidP="00DA359F">
      <w:pPr>
        <w:pStyle w:val="TextoNormalNegritaCursivandice"/>
        <w:keepNext/>
      </w:pPr>
      <w:r>
        <w:t>Comunidad Autónoma del País Vasco. Ley 10/1982, de 24 de noviembre, básica de normalización del uso del Euskera</w:t>
      </w:r>
    </w:p>
    <w:p w14:paraId="34F4CD98" w14:textId="49216EA3"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85" w:history="1">
        <w:r w:rsidRPr="00DA359F">
          <w:rPr>
            <w:rStyle w:val="TextoNormalCaracter"/>
          </w:rPr>
          <w:t>85/2023</w:t>
        </w:r>
      </w:hyperlink>
      <w:r>
        <w:t>, ff. 1, 4, 5, VP.</w:t>
      </w:r>
    </w:p>
    <w:p w14:paraId="02F3A298" w14:textId="469BBE8B" w:rsidR="00DA359F" w:rsidRDefault="00DA359F" w:rsidP="00DA359F">
      <w:pPr>
        <w:pStyle w:val="SangriaFrancesaArticulo"/>
      </w:pPr>
      <w:r w:rsidRPr="00DA359F">
        <w:rPr>
          <w:rStyle w:val="TextoNormalNegritaCaracter"/>
        </w:rPr>
        <w:t>Artículo 8.</w:t>
      </w:r>
      <w:r w:rsidRPr="00DA359F">
        <w:rPr>
          <w:rStyle w:val="TextoNormalCaracter"/>
        </w:rPr>
        <w:t>-</w:t>
      </w:r>
      <w:r>
        <w:t xml:space="preserve"> Sentencia </w:t>
      </w:r>
      <w:hyperlink w:anchor="SENTENCIA_2023_85" w:history="1">
        <w:r w:rsidRPr="00DA359F">
          <w:rPr>
            <w:rStyle w:val="TextoNormalCaracter"/>
          </w:rPr>
          <w:t>85/2023</w:t>
        </w:r>
      </w:hyperlink>
      <w:r>
        <w:t>, f. 4.</w:t>
      </w:r>
    </w:p>
    <w:p w14:paraId="01E8C186" w14:textId="5DF16F4B" w:rsidR="00DA359F" w:rsidRDefault="00DA359F" w:rsidP="00DA359F">
      <w:pPr>
        <w:pStyle w:val="SangriaFrancesaArticulo"/>
      </w:pPr>
      <w:r w:rsidRPr="00DA359F">
        <w:rPr>
          <w:rStyle w:val="TextoNormalNegritaCaracter"/>
        </w:rPr>
        <w:t>Artículo 8.1.</w:t>
      </w:r>
      <w:r w:rsidRPr="00DA359F">
        <w:rPr>
          <w:rStyle w:val="TextoNormalCaracter"/>
        </w:rPr>
        <w:t>-</w:t>
      </w:r>
      <w:r>
        <w:t xml:space="preserve"> Sentencia </w:t>
      </w:r>
      <w:hyperlink w:anchor="SENTENCIA_2023_85" w:history="1">
        <w:r w:rsidRPr="00DA359F">
          <w:rPr>
            <w:rStyle w:val="TextoNormalCaracter"/>
          </w:rPr>
          <w:t>85/2023</w:t>
        </w:r>
      </w:hyperlink>
      <w:r>
        <w:t>, f. 4.</w:t>
      </w:r>
    </w:p>
    <w:p w14:paraId="2581245A" w14:textId="665C6703" w:rsidR="00DA359F" w:rsidRDefault="00DA359F" w:rsidP="00DA359F">
      <w:pPr>
        <w:pStyle w:val="SangriaFrancesaArticulo"/>
      </w:pPr>
    </w:p>
    <w:p w14:paraId="3544A50C" w14:textId="77777777" w:rsidR="00DA359F" w:rsidRDefault="00DA359F" w:rsidP="00DA359F">
      <w:pPr>
        <w:pStyle w:val="TextoNormalNegritaCursivandice"/>
        <w:keepNext/>
      </w:pPr>
      <w:r>
        <w:t>Comunidad Autónoma del País Vasco. Ley 2/2016, de 7 de abril, de instituciones locales de Euskadi</w:t>
      </w:r>
    </w:p>
    <w:p w14:paraId="44C8264E" w14:textId="27C5BF35" w:rsidR="00DA359F" w:rsidRDefault="00DA359F" w:rsidP="00DA359F">
      <w:pPr>
        <w:pStyle w:val="SangriaFrancesaArticulo"/>
      </w:pPr>
      <w:r w:rsidRPr="00DA359F">
        <w:rPr>
          <w:rStyle w:val="TextoNormalNegritaCaracter"/>
        </w:rPr>
        <w:t>Artículo 6.</w:t>
      </w:r>
      <w:r w:rsidRPr="00DA359F">
        <w:rPr>
          <w:rStyle w:val="TextoNormalCaracter"/>
        </w:rPr>
        <w:t>-</w:t>
      </w:r>
      <w:r>
        <w:t xml:space="preserve"> Sentencia </w:t>
      </w:r>
      <w:hyperlink w:anchor="SENTENCIA_2023_85" w:history="1">
        <w:r w:rsidRPr="00DA359F">
          <w:rPr>
            <w:rStyle w:val="TextoNormalCaracter"/>
          </w:rPr>
          <w:t>85/2023</w:t>
        </w:r>
      </w:hyperlink>
      <w:r>
        <w:t>, f. 1, VP.</w:t>
      </w:r>
    </w:p>
    <w:p w14:paraId="03AFEAE7" w14:textId="6B9C83AD" w:rsidR="00DA359F" w:rsidRDefault="00DA359F" w:rsidP="00DA359F">
      <w:pPr>
        <w:pStyle w:val="SangriaFrancesaArticulo"/>
      </w:pPr>
      <w:r w:rsidRPr="00DA359F">
        <w:rPr>
          <w:rStyle w:val="TextoNormalNegritaCaracter"/>
        </w:rPr>
        <w:t>Artículo 6.1.</w:t>
      </w:r>
      <w:r w:rsidRPr="00DA359F">
        <w:rPr>
          <w:rStyle w:val="TextoNormalCaracter"/>
        </w:rPr>
        <w:t>-</w:t>
      </w:r>
      <w:r>
        <w:t xml:space="preserve"> Sentencia </w:t>
      </w:r>
      <w:hyperlink w:anchor="SENTENCIA_2023_85" w:history="1">
        <w:r w:rsidRPr="00DA359F">
          <w:rPr>
            <w:rStyle w:val="TextoNormalCaracter"/>
          </w:rPr>
          <w:t>85/2023</w:t>
        </w:r>
      </w:hyperlink>
      <w:r>
        <w:t>, f. 4.</w:t>
      </w:r>
    </w:p>
    <w:p w14:paraId="641D61FB" w14:textId="7D891EA2" w:rsidR="00DA359F" w:rsidRDefault="00DA359F" w:rsidP="00DA359F">
      <w:pPr>
        <w:pStyle w:val="SangriaFrancesaArticulo"/>
      </w:pPr>
      <w:r w:rsidRPr="00DA359F">
        <w:rPr>
          <w:rStyle w:val="TextoNormalNegritaCaracter"/>
        </w:rPr>
        <w:t>Artículo 6.2.</w:t>
      </w:r>
      <w:r w:rsidRPr="00DA359F">
        <w:rPr>
          <w:rStyle w:val="TextoNormalCaracter"/>
        </w:rPr>
        <w:t>-</w:t>
      </w:r>
      <w:r>
        <w:t xml:space="preserve"> Sentencia </w:t>
      </w:r>
      <w:hyperlink w:anchor="SENTENCIA_2023_85" w:history="1">
        <w:r w:rsidRPr="00DA359F">
          <w:rPr>
            <w:rStyle w:val="TextoNormalCaracter"/>
          </w:rPr>
          <w:t>85/2023</w:t>
        </w:r>
      </w:hyperlink>
      <w:r>
        <w:t>, ff. 1 a 5, VP.</w:t>
      </w:r>
    </w:p>
    <w:p w14:paraId="26CC310D" w14:textId="492EEC67" w:rsidR="00DA359F" w:rsidRDefault="00DA359F" w:rsidP="00DA359F">
      <w:pPr>
        <w:pStyle w:val="SangriaFrancesaArticulo"/>
      </w:pPr>
      <w:r w:rsidRPr="00DA359F">
        <w:rPr>
          <w:rStyle w:val="TextoNormalNegritaCaracter"/>
        </w:rPr>
        <w:t>Artículo 6.2, inciso "que pueda alegar válidamente el desconocimiento del euskera".</w:t>
      </w:r>
      <w:r w:rsidRPr="00DA359F">
        <w:rPr>
          <w:rStyle w:val="TextoNormalCaracter"/>
        </w:rPr>
        <w:t>-</w:t>
      </w:r>
      <w:r>
        <w:t xml:space="preserve"> Sentencia </w:t>
      </w:r>
      <w:hyperlink w:anchor="SENTENCIA_2023_85" w:history="1">
        <w:r w:rsidRPr="00DA359F">
          <w:rPr>
            <w:rStyle w:val="TextoNormalCaracter"/>
          </w:rPr>
          <w:t>85/2023</w:t>
        </w:r>
      </w:hyperlink>
      <w:r>
        <w:t>, f. 5, VP.</w:t>
      </w:r>
    </w:p>
    <w:p w14:paraId="253437AE" w14:textId="3B8599D0" w:rsidR="00DA359F" w:rsidRDefault="00DA359F" w:rsidP="00DA359F">
      <w:pPr>
        <w:pStyle w:val="SangriaFrancesaArticulo"/>
      </w:pPr>
      <w:r w:rsidRPr="00DA359F">
        <w:rPr>
          <w:rStyle w:val="TextoNormalNegritaCaracter"/>
        </w:rPr>
        <w:t>Artículo 6.2, inciso "siempre que no se lesionen los derechos de ningún miembro de la entidad local que pueda alegar válidamente el desconocimiento del euskera".</w:t>
      </w:r>
      <w:r w:rsidRPr="00DA359F">
        <w:rPr>
          <w:rStyle w:val="TextoNormalCaracter"/>
        </w:rPr>
        <w:t>-</w:t>
      </w:r>
      <w:r>
        <w:t xml:space="preserve"> Sentencia </w:t>
      </w:r>
      <w:hyperlink w:anchor="SENTENCIA_2023_85" w:history="1">
        <w:r w:rsidRPr="00DA359F">
          <w:rPr>
            <w:rStyle w:val="TextoNormalCaracter"/>
          </w:rPr>
          <w:t>85/2023</w:t>
        </w:r>
      </w:hyperlink>
      <w:r>
        <w:t>, ff. 1, 2, VP.</w:t>
      </w:r>
    </w:p>
    <w:p w14:paraId="539A39EB" w14:textId="5EACC5FC" w:rsidR="00DA359F" w:rsidRDefault="00DA359F" w:rsidP="00DA359F">
      <w:pPr>
        <w:pStyle w:val="TextoNormal"/>
      </w:pPr>
    </w:p>
    <w:p w14:paraId="7C4F248C" w14:textId="77777777" w:rsidR="00DA359F" w:rsidRDefault="00DA359F" w:rsidP="00DA359F">
      <w:pPr>
        <w:pStyle w:val="TextoNormalNegritaCentradoSubrayado"/>
        <w:suppressAutoHyphens/>
      </w:pPr>
      <w:r>
        <w:t>J.14.c) Decretos y otras disposiciones reglamentarias</w:t>
      </w:r>
    </w:p>
    <w:p w14:paraId="7D3B399E" w14:textId="641E5FD4" w:rsidR="00DA359F" w:rsidRDefault="00DA359F" w:rsidP="00DA359F">
      <w:pPr>
        <w:pStyle w:val="TextoNormalNegritaCentradoSubrayado"/>
      </w:pPr>
    </w:p>
    <w:p w14:paraId="0BE86E8A" w14:textId="77777777" w:rsidR="00DA359F" w:rsidRDefault="00DA359F" w:rsidP="00DA359F">
      <w:pPr>
        <w:pStyle w:val="TextoNormalNegritaCursivandice"/>
        <w:keepNext/>
      </w:pPr>
      <w:r>
        <w:t>Comunidad Autónoma del País Vasco. Orden de 5 de julio de 2018 de la Consejería de Cultura y Política Lingüística del Gobierno Vasco por la que se desestima el recurso de alzada interpuesto contra la desestimación presunta en materia de adjudicación de licencias de comunicación audiovisual</w:t>
      </w:r>
    </w:p>
    <w:p w14:paraId="53A8F3C0" w14:textId="1016625C"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115" w:history="1">
        <w:r w:rsidRPr="00DA359F">
          <w:rPr>
            <w:rStyle w:val="TextoNormalCaracter"/>
          </w:rPr>
          <w:t>115/2023</w:t>
        </w:r>
      </w:hyperlink>
      <w:r>
        <w:t>.</w:t>
      </w:r>
    </w:p>
    <w:p w14:paraId="6F7B8C0C" w14:textId="71B8A543" w:rsidR="00DA359F" w:rsidRDefault="00DA359F" w:rsidP="00DA359F">
      <w:pPr>
        <w:pStyle w:val="SangriaFrancesaArticulo"/>
      </w:pPr>
    </w:p>
    <w:p w14:paraId="64C7C79D" w14:textId="77777777" w:rsidR="00DA359F" w:rsidRDefault="00DA359F" w:rsidP="00DA359F">
      <w:pPr>
        <w:pStyle w:val="TextoNormalNegritaCursivandice"/>
        <w:keepNext/>
      </w:pPr>
      <w:r>
        <w:t>Comunidad Autónoma del País Vasco. Orden de 5 de julio de 2018, de la Consejería de Cultura y Política Lingüística del Gobierno Vasco por la que se desestima el recurso de alzada interpuesto contra la resolución de 26 de abril de 2018 del Gabinete y Medios de Comunicación Social en materia de adjudicación de licencias de comunicación audiovisual</w:t>
      </w:r>
    </w:p>
    <w:p w14:paraId="07559490" w14:textId="427A294C"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106" w:history="1">
        <w:r w:rsidRPr="00DA359F">
          <w:rPr>
            <w:rStyle w:val="TextoNormalCaracter"/>
          </w:rPr>
          <w:t>106/2023</w:t>
        </w:r>
      </w:hyperlink>
      <w:r>
        <w:t>.</w:t>
      </w:r>
    </w:p>
    <w:p w14:paraId="762C1961" w14:textId="14D6966D" w:rsidR="00DA359F" w:rsidRDefault="00DA359F" w:rsidP="00DA359F">
      <w:pPr>
        <w:pStyle w:val="SangriaFrancesaArticulo"/>
      </w:pPr>
    </w:p>
    <w:p w14:paraId="7CE9BDAF" w14:textId="77777777" w:rsidR="00DA359F" w:rsidRDefault="00DA359F" w:rsidP="00DA359F">
      <w:pPr>
        <w:pStyle w:val="TextoNormalNegritaCursivandice"/>
        <w:keepNext/>
      </w:pPr>
      <w:r>
        <w:t>Comunidad Autónoma del País Vasco. Decreto 179/2019, de 19 de noviembre, sobre normalización del uso institucional y administrativo de las lenguas oficiales en las instituciones locales de Euskadi</w:t>
      </w:r>
    </w:p>
    <w:p w14:paraId="233564AC" w14:textId="611F2FB1" w:rsidR="00DA359F" w:rsidRDefault="00DA359F" w:rsidP="00DA359F">
      <w:pPr>
        <w:pStyle w:val="SangriaFrancesaArticulo"/>
      </w:pPr>
      <w:r w:rsidRPr="00DA359F">
        <w:rPr>
          <w:rStyle w:val="TextoNormalNegritaCaracter"/>
        </w:rPr>
        <w:t>Artículo 18.</w:t>
      </w:r>
      <w:r w:rsidRPr="00DA359F">
        <w:rPr>
          <w:rStyle w:val="TextoNormalCaracter"/>
        </w:rPr>
        <w:t>-</w:t>
      </w:r>
      <w:r>
        <w:t xml:space="preserve"> Sentencia </w:t>
      </w:r>
      <w:hyperlink w:anchor="SENTENCIA_2023_85" w:history="1">
        <w:r w:rsidRPr="00DA359F">
          <w:rPr>
            <w:rStyle w:val="TextoNormalCaracter"/>
          </w:rPr>
          <w:t>85/2023</w:t>
        </w:r>
      </w:hyperlink>
      <w:r>
        <w:t>, ff. 1, 2, 4.</w:t>
      </w:r>
    </w:p>
    <w:p w14:paraId="6869644C" w14:textId="4A74EE24" w:rsidR="00DA359F" w:rsidRDefault="00DA359F" w:rsidP="00DA359F">
      <w:pPr>
        <w:pStyle w:val="SangriaFrancesaArticulo"/>
      </w:pPr>
      <w:r w:rsidRPr="00DA359F">
        <w:rPr>
          <w:rStyle w:val="TextoNormalNegritaCaracter"/>
        </w:rPr>
        <w:t>Artículo 21.</w:t>
      </w:r>
      <w:r w:rsidRPr="00DA359F">
        <w:rPr>
          <w:rStyle w:val="TextoNormalCaracter"/>
        </w:rPr>
        <w:t>-</w:t>
      </w:r>
      <w:r>
        <w:t xml:space="preserve"> Sentencia </w:t>
      </w:r>
      <w:hyperlink w:anchor="SENTENCIA_2023_85" w:history="1">
        <w:r w:rsidRPr="00DA359F">
          <w:rPr>
            <w:rStyle w:val="TextoNormalCaracter"/>
          </w:rPr>
          <w:t>85/2023</w:t>
        </w:r>
      </w:hyperlink>
      <w:r>
        <w:t>, ff. 1, 2.</w:t>
      </w:r>
    </w:p>
    <w:p w14:paraId="2CD9CF32" w14:textId="3AEE70C7" w:rsidR="00DA359F" w:rsidRDefault="00DA359F" w:rsidP="00DA359F">
      <w:pPr>
        <w:pStyle w:val="TextoNormal"/>
      </w:pPr>
    </w:p>
    <w:p w14:paraId="0369C4A4" w14:textId="77777777" w:rsidR="00DA359F" w:rsidRDefault="00DA359F" w:rsidP="00DA359F">
      <w:pPr>
        <w:pStyle w:val="TextoNormalNegritaCentradoSubrayado"/>
        <w:suppressAutoHyphens/>
      </w:pPr>
      <w:r>
        <w:t>J.14.d) Disposiciones parlamentarias autonómicas</w:t>
      </w:r>
    </w:p>
    <w:p w14:paraId="7CAE7A82" w14:textId="4C9ECEA1" w:rsidR="00DA359F" w:rsidRDefault="00DA359F" w:rsidP="00DA359F">
      <w:pPr>
        <w:pStyle w:val="TextoNormalNegritaCentradoSubrayado"/>
      </w:pPr>
    </w:p>
    <w:p w14:paraId="67CBCCB9" w14:textId="77777777" w:rsidR="00DA359F" w:rsidRDefault="00DA359F" w:rsidP="00DA359F">
      <w:pPr>
        <w:pStyle w:val="TextoNormalNegritaCursivandice"/>
        <w:keepNext/>
      </w:pPr>
      <w:r>
        <w:t>Comunidad Autónoma del País Vasco. Orden de 21 de enero de 2019 de la Consejería de Cultura y Política Lingüística del Gobierno Vasco por la que se desestima el recurso de alzada interpuesto contra la resolución de 14 de noviembre de 2018 del Gabinete y Medios de Comunicación Social en materia de adjudicación de licencias de comunicación audiovisual</w:t>
      </w:r>
    </w:p>
    <w:p w14:paraId="107CCD6B" w14:textId="394CF004"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102" w:history="1">
        <w:r w:rsidRPr="00DA359F">
          <w:rPr>
            <w:rStyle w:val="TextoNormalCaracter"/>
          </w:rPr>
          <w:t>102/2023</w:t>
        </w:r>
      </w:hyperlink>
      <w:r>
        <w:t>.</w:t>
      </w:r>
    </w:p>
    <w:p w14:paraId="2C0899D0" w14:textId="6101789B" w:rsidR="00DA359F" w:rsidRDefault="00DA359F" w:rsidP="00DA359F">
      <w:pPr>
        <w:pStyle w:val="TextoNormal"/>
      </w:pPr>
    </w:p>
    <w:p w14:paraId="31760A67" w14:textId="77777777" w:rsidR="00DA359F" w:rsidRDefault="00DA359F" w:rsidP="00DA359F">
      <w:pPr>
        <w:pStyle w:val="TextoNormalNegritaCentrado"/>
        <w:suppressAutoHyphens/>
      </w:pPr>
      <w:r w:rsidRPr="00DA359F">
        <w:rPr>
          <w:rStyle w:val="TextoNormalNegritaCentradoSombreado"/>
        </w:rPr>
        <w:t>J.15) Valencia</w:t>
      </w:r>
    </w:p>
    <w:p w14:paraId="795311CB" w14:textId="02DE9E92" w:rsidR="00DA359F" w:rsidRDefault="00DA359F" w:rsidP="00DA359F">
      <w:pPr>
        <w:pStyle w:val="TextoNormal"/>
      </w:pPr>
    </w:p>
    <w:p w14:paraId="1289262A" w14:textId="77777777" w:rsidR="00DA359F" w:rsidRDefault="00DA359F" w:rsidP="00DA359F">
      <w:pPr>
        <w:pStyle w:val="TextoNormalNegritaCentradoSubrayado"/>
        <w:suppressAutoHyphens/>
      </w:pPr>
      <w:r>
        <w:t>J.15.a) Estatuto de Autonomía</w:t>
      </w:r>
    </w:p>
    <w:p w14:paraId="27944720" w14:textId="7E79679E" w:rsidR="00DA359F" w:rsidRDefault="00DA359F" w:rsidP="00DA359F">
      <w:pPr>
        <w:pStyle w:val="TextoNormalNegritaCentradoSubrayado"/>
      </w:pPr>
    </w:p>
    <w:p w14:paraId="5327D522" w14:textId="77777777" w:rsidR="00DA359F" w:rsidRDefault="00DA359F" w:rsidP="00DA359F">
      <w:pPr>
        <w:pStyle w:val="TextoNormalNegritaCursivandice"/>
        <w:keepNext/>
      </w:pPr>
      <w:r>
        <w:t>Ley Orgánica 5/1982, de 1 de julio, de Estatuto de Autonomía de la Comunidad Valenciana</w:t>
      </w:r>
    </w:p>
    <w:p w14:paraId="7D0B3E43" w14:textId="5F344905"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124" w:history="1">
        <w:r w:rsidRPr="00DA359F">
          <w:rPr>
            <w:rStyle w:val="TextoNormalCaracter"/>
          </w:rPr>
          <w:t>124/2023</w:t>
        </w:r>
      </w:hyperlink>
      <w:r>
        <w:t>, f. 7.</w:t>
      </w:r>
    </w:p>
    <w:p w14:paraId="25C51FC2" w14:textId="0034A7F4" w:rsidR="00DA359F" w:rsidRDefault="00DA359F" w:rsidP="00DA359F">
      <w:pPr>
        <w:pStyle w:val="SangriaFrancesaArticulo"/>
      </w:pPr>
      <w:r w:rsidRPr="00DA359F">
        <w:rPr>
          <w:rStyle w:val="TextoNormalNegritaCaracter"/>
        </w:rPr>
        <w:t>Artículo 49.1.8.</w:t>
      </w:r>
      <w:r w:rsidRPr="00DA359F">
        <w:rPr>
          <w:rStyle w:val="TextoNormalCaracter"/>
        </w:rPr>
        <w:t>-</w:t>
      </w:r>
      <w:r>
        <w:t xml:space="preserve"> Sentencia </w:t>
      </w:r>
      <w:hyperlink w:anchor="SENTENCIA_2023_124" w:history="1">
        <w:r w:rsidRPr="00DA359F">
          <w:rPr>
            <w:rStyle w:val="TextoNormalCaracter"/>
          </w:rPr>
          <w:t>124/2023</w:t>
        </w:r>
      </w:hyperlink>
      <w:r>
        <w:t>, ff. 4, 8.</w:t>
      </w:r>
    </w:p>
    <w:p w14:paraId="78E9F3E2" w14:textId="050A06B7" w:rsidR="00DA359F" w:rsidRDefault="00DA359F" w:rsidP="00DA359F">
      <w:pPr>
        <w:pStyle w:val="SangriaFrancesaArticulo"/>
      </w:pPr>
      <w:r w:rsidRPr="00DA359F">
        <w:rPr>
          <w:rStyle w:val="TextoNormalNegritaCaracter"/>
        </w:rPr>
        <w:t>Artículo 63.2.</w:t>
      </w:r>
      <w:r w:rsidRPr="00DA359F">
        <w:rPr>
          <w:rStyle w:val="TextoNormalCaracter"/>
        </w:rPr>
        <w:t>-</w:t>
      </w:r>
      <w:r>
        <w:t xml:space="preserve"> Sentencia </w:t>
      </w:r>
      <w:hyperlink w:anchor="SENTENCIA_2023_124" w:history="1">
        <w:r w:rsidRPr="00DA359F">
          <w:rPr>
            <w:rStyle w:val="TextoNormalCaracter"/>
          </w:rPr>
          <w:t>124/2023</w:t>
        </w:r>
      </w:hyperlink>
      <w:r>
        <w:t>, f. 8.</w:t>
      </w:r>
    </w:p>
    <w:p w14:paraId="43C9A62E" w14:textId="7C805A90" w:rsidR="00DA359F" w:rsidRDefault="00DA359F" w:rsidP="00DA359F">
      <w:pPr>
        <w:pStyle w:val="SangriaFrancesaArticulo"/>
      </w:pPr>
      <w:r w:rsidRPr="00DA359F">
        <w:rPr>
          <w:rStyle w:val="TextoNormalNegritaCaracter"/>
        </w:rPr>
        <w:t>Artículo 63.3.</w:t>
      </w:r>
      <w:r w:rsidRPr="00DA359F">
        <w:rPr>
          <w:rStyle w:val="TextoNormalCaracter"/>
        </w:rPr>
        <w:t>-</w:t>
      </w:r>
      <w:r>
        <w:t xml:space="preserve"> Sentencia </w:t>
      </w:r>
      <w:hyperlink w:anchor="SENTENCIA_2023_124" w:history="1">
        <w:r w:rsidRPr="00DA359F">
          <w:rPr>
            <w:rStyle w:val="TextoNormalCaracter"/>
          </w:rPr>
          <w:t>124/2023</w:t>
        </w:r>
      </w:hyperlink>
      <w:r>
        <w:t>, f. 8.</w:t>
      </w:r>
    </w:p>
    <w:p w14:paraId="5E58E83C" w14:textId="1659B790" w:rsidR="00DA359F" w:rsidRDefault="00DA359F" w:rsidP="00DA359F">
      <w:pPr>
        <w:pStyle w:val="SangriaFrancesaArticulo"/>
      </w:pPr>
      <w:r w:rsidRPr="00DA359F">
        <w:rPr>
          <w:rStyle w:val="TextoNormalNegritaCaracter"/>
        </w:rPr>
        <w:t xml:space="preserve">Artículo 64.2 </w:t>
      </w:r>
      <w:r w:rsidRPr="00DA359F">
        <w:rPr>
          <w:rStyle w:val="TextoNormalNegritaCursivaCaracter"/>
        </w:rPr>
        <w:t>in fine</w:t>
      </w:r>
      <w:r w:rsidRPr="00DA359F">
        <w:rPr>
          <w:rStyle w:val="TextoNormalNegritaCaracter"/>
        </w:rPr>
        <w:t>.</w:t>
      </w:r>
      <w:r w:rsidRPr="00DA359F">
        <w:rPr>
          <w:rStyle w:val="TextoNormalCaracter"/>
        </w:rPr>
        <w:t>-</w:t>
      </w:r>
      <w:r>
        <w:t xml:space="preserve"> Sentencia </w:t>
      </w:r>
      <w:hyperlink w:anchor="SENTENCIA_2023_124" w:history="1">
        <w:r w:rsidRPr="00DA359F">
          <w:rPr>
            <w:rStyle w:val="TextoNormalCaracter"/>
          </w:rPr>
          <w:t>124/2023</w:t>
        </w:r>
      </w:hyperlink>
      <w:r>
        <w:t>, f. 7.</w:t>
      </w:r>
    </w:p>
    <w:p w14:paraId="322454AE" w14:textId="34BBAB87" w:rsidR="00DA359F" w:rsidRDefault="00DA359F" w:rsidP="00DA359F">
      <w:pPr>
        <w:pStyle w:val="SangriaFrancesaArticulo"/>
      </w:pPr>
      <w:r w:rsidRPr="00DA359F">
        <w:rPr>
          <w:rStyle w:val="TextoNormalNegritaCaracter"/>
        </w:rPr>
        <w:t>Artículo 64.3.</w:t>
      </w:r>
      <w:r w:rsidRPr="00DA359F">
        <w:rPr>
          <w:rStyle w:val="TextoNormalCaracter"/>
        </w:rPr>
        <w:t>-</w:t>
      </w:r>
      <w:r>
        <w:t xml:space="preserve"> Sentencia </w:t>
      </w:r>
      <w:hyperlink w:anchor="SENTENCIA_2023_124" w:history="1">
        <w:r w:rsidRPr="00DA359F">
          <w:rPr>
            <w:rStyle w:val="TextoNormalCaracter"/>
          </w:rPr>
          <w:t>124/2023</w:t>
        </w:r>
      </w:hyperlink>
      <w:r>
        <w:t>, ff. 1, 2, 8.</w:t>
      </w:r>
    </w:p>
    <w:p w14:paraId="66E21B85" w14:textId="69C5C3D5" w:rsidR="00DA359F" w:rsidRDefault="00DA359F" w:rsidP="00DA359F">
      <w:pPr>
        <w:pStyle w:val="SangriaFrancesaArticulo"/>
      </w:pPr>
      <w:r w:rsidRPr="00DA359F">
        <w:rPr>
          <w:rStyle w:val="TextoNormalNegritaCaracter"/>
        </w:rPr>
        <w:t>Artículo 66.</w:t>
      </w:r>
      <w:r w:rsidRPr="00DA359F">
        <w:rPr>
          <w:rStyle w:val="TextoNormalCaracter"/>
        </w:rPr>
        <w:t>-</w:t>
      </w:r>
      <w:r>
        <w:t xml:space="preserve"> Sentencia </w:t>
      </w:r>
      <w:hyperlink w:anchor="SENTENCIA_2023_124" w:history="1">
        <w:r w:rsidRPr="00DA359F">
          <w:rPr>
            <w:rStyle w:val="TextoNormalCaracter"/>
          </w:rPr>
          <w:t>124/2023</w:t>
        </w:r>
      </w:hyperlink>
      <w:r>
        <w:t>, f. 8.</w:t>
      </w:r>
    </w:p>
    <w:p w14:paraId="279265E0" w14:textId="06259E59" w:rsidR="00DA359F" w:rsidRDefault="00DA359F" w:rsidP="00DA359F">
      <w:pPr>
        <w:pStyle w:val="SangriaFrancesaArticulo"/>
      </w:pPr>
      <w:r w:rsidRPr="00DA359F">
        <w:rPr>
          <w:rStyle w:val="TextoNormalNegritaCaracter"/>
        </w:rPr>
        <w:t>Artículo 66.3.</w:t>
      </w:r>
      <w:r w:rsidRPr="00DA359F">
        <w:rPr>
          <w:rStyle w:val="TextoNormalCaracter"/>
        </w:rPr>
        <w:t>-</w:t>
      </w:r>
      <w:r>
        <w:t xml:space="preserve"> Sentencia </w:t>
      </w:r>
      <w:hyperlink w:anchor="SENTENCIA_2023_124" w:history="1">
        <w:r w:rsidRPr="00DA359F">
          <w:rPr>
            <w:rStyle w:val="TextoNormalCaracter"/>
          </w:rPr>
          <w:t>124/2023</w:t>
        </w:r>
      </w:hyperlink>
      <w:r>
        <w:t>, ff. 1 a 3, 6, 8.</w:t>
      </w:r>
    </w:p>
    <w:p w14:paraId="5B938134" w14:textId="2714A0DF" w:rsidR="00DA359F" w:rsidRDefault="00DA359F" w:rsidP="00DA359F">
      <w:pPr>
        <w:pStyle w:val="SangriaFrancesaArticulo"/>
      </w:pPr>
      <w:r w:rsidRPr="00DA359F">
        <w:rPr>
          <w:rStyle w:val="TextoNormalNegritaCaracter"/>
        </w:rPr>
        <w:t>Artículo 66.4.</w:t>
      </w:r>
      <w:r w:rsidRPr="00DA359F">
        <w:rPr>
          <w:rStyle w:val="TextoNormalCaracter"/>
        </w:rPr>
        <w:t>-</w:t>
      </w:r>
      <w:r>
        <w:t xml:space="preserve"> Sentencia </w:t>
      </w:r>
      <w:hyperlink w:anchor="SENTENCIA_2023_124" w:history="1">
        <w:r w:rsidRPr="00DA359F">
          <w:rPr>
            <w:rStyle w:val="TextoNormalCaracter"/>
          </w:rPr>
          <w:t>124/2023</w:t>
        </w:r>
      </w:hyperlink>
      <w:r>
        <w:t>, f. 8.</w:t>
      </w:r>
    </w:p>
    <w:p w14:paraId="4DDB1637" w14:textId="68F008EE" w:rsidR="00DA359F" w:rsidRDefault="00DA359F" w:rsidP="00DA359F">
      <w:pPr>
        <w:pStyle w:val="TextoNormal"/>
      </w:pPr>
    </w:p>
    <w:p w14:paraId="1FF40321" w14:textId="77777777" w:rsidR="00DA359F" w:rsidRDefault="00DA359F" w:rsidP="00DA359F">
      <w:pPr>
        <w:pStyle w:val="TextoNormalNegritaCentradoSubrayado"/>
        <w:suppressAutoHyphens/>
      </w:pPr>
      <w:r>
        <w:t>J.15.b) Leyes y disposiciones con fuerza de Ley</w:t>
      </w:r>
    </w:p>
    <w:p w14:paraId="3019F530" w14:textId="6EDFEF80" w:rsidR="00DA359F" w:rsidRDefault="00DA359F" w:rsidP="00DA359F">
      <w:pPr>
        <w:pStyle w:val="TextoNormalNegritaCentradoSubrayado"/>
      </w:pPr>
    </w:p>
    <w:p w14:paraId="187CDBFB" w14:textId="77777777" w:rsidR="00DA359F" w:rsidRDefault="00DA359F" w:rsidP="00DA359F">
      <w:pPr>
        <w:pStyle w:val="TextoNormalNegritaCursivandice"/>
        <w:keepNext/>
      </w:pPr>
      <w:r>
        <w:t>Comunitat Valenciana. Ley 2/1983, de 4 de octubre, por la que se declaran de interés general para la Comunidad Valenciana determinadas funciones propias de las diputaciones provinciales</w:t>
      </w:r>
    </w:p>
    <w:p w14:paraId="0ADC6795" w14:textId="3E08EC32"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124" w:history="1">
        <w:r w:rsidRPr="00DA359F">
          <w:rPr>
            <w:rStyle w:val="TextoNormalCaracter"/>
          </w:rPr>
          <w:t>124/2023</w:t>
        </w:r>
      </w:hyperlink>
      <w:r>
        <w:t>, f. 8, VP I, VP II.</w:t>
      </w:r>
    </w:p>
    <w:p w14:paraId="1B0B0A50" w14:textId="372E1A44" w:rsidR="00DA359F" w:rsidRDefault="00DA359F" w:rsidP="00DA359F">
      <w:pPr>
        <w:pStyle w:val="SangriaFrancesaArticulo"/>
      </w:pPr>
      <w:r w:rsidRPr="00DA359F">
        <w:rPr>
          <w:rStyle w:val="TextoNormalNegritaCaracter"/>
        </w:rPr>
        <w:t>Artículo 2.1 g).</w:t>
      </w:r>
      <w:r w:rsidRPr="00DA359F">
        <w:rPr>
          <w:rStyle w:val="TextoNormalCaracter"/>
        </w:rPr>
        <w:t>-</w:t>
      </w:r>
      <w:r>
        <w:t xml:space="preserve"> Sentencia </w:t>
      </w:r>
      <w:hyperlink w:anchor="SENTENCIA_2023_124" w:history="1">
        <w:r w:rsidRPr="00DA359F">
          <w:rPr>
            <w:rStyle w:val="TextoNormalCaracter"/>
          </w:rPr>
          <w:t>124/2023</w:t>
        </w:r>
      </w:hyperlink>
      <w:r>
        <w:t>, f. 8.</w:t>
      </w:r>
    </w:p>
    <w:p w14:paraId="6D6AC9E8" w14:textId="50DF5811" w:rsidR="00DA359F" w:rsidRDefault="00DA359F" w:rsidP="00DA359F">
      <w:pPr>
        <w:pStyle w:val="SangriaFrancesaArticulo"/>
      </w:pPr>
      <w:r w:rsidRPr="00DA359F">
        <w:rPr>
          <w:rStyle w:val="TextoNormalNegritaCaracter"/>
        </w:rPr>
        <w:t>Artículo 2.2 b).</w:t>
      </w:r>
      <w:r w:rsidRPr="00DA359F">
        <w:rPr>
          <w:rStyle w:val="TextoNormalCaracter"/>
        </w:rPr>
        <w:t>-</w:t>
      </w:r>
      <w:r>
        <w:t xml:space="preserve"> Sentencia </w:t>
      </w:r>
      <w:hyperlink w:anchor="SENTENCIA_2023_124" w:history="1">
        <w:r w:rsidRPr="00DA359F">
          <w:rPr>
            <w:rStyle w:val="TextoNormalCaracter"/>
          </w:rPr>
          <w:t>124/2023</w:t>
        </w:r>
      </w:hyperlink>
      <w:r>
        <w:t>, f. 8.</w:t>
      </w:r>
    </w:p>
    <w:p w14:paraId="21B1030A" w14:textId="1ECE5A4C" w:rsidR="00DA359F" w:rsidRDefault="00DA359F" w:rsidP="00DA359F">
      <w:pPr>
        <w:pStyle w:val="SangriaFrancesaArticulo"/>
      </w:pPr>
    </w:p>
    <w:p w14:paraId="6315913C" w14:textId="77777777" w:rsidR="00DA359F" w:rsidRDefault="00DA359F" w:rsidP="00DA359F">
      <w:pPr>
        <w:pStyle w:val="TextoNormalNegritaCursivandice"/>
        <w:keepNext/>
      </w:pPr>
      <w:r>
        <w:t>Comunitat Valenciana. Ley 8/2010, de 23 de junio, de régimen local de la Comunitat Valenciana</w:t>
      </w:r>
    </w:p>
    <w:p w14:paraId="70C0417E" w14:textId="3518E32F"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124" w:history="1">
        <w:r w:rsidRPr="00DA359F">
          <w:rPr>
            <w:rStyle w:val="TextoNormalCaracter"/>
          </w:rPr>
          <w:t>124/2023</w:t>
        </w:r>
      </w:hyperlink>
      <w:r>
        <w:t>, f. 4, VP I.</w:t>
      </w:r>
    </w:p>
    <w:p w14:paraId="5813C137" w14:textId="24CB2F00" w:rsidR="00DA359F" w:rsidRDefault="00DA359F" w:rsidP="00DA359F">
      <w:pPr>
        <w:pStyle w:val="SangriaFrancesaArticulo"/>
      </w:pPr>
      <w:r w:rsidRPr="00DA359F">
        <w:rPr>
          <w:rStyle w:val="TextoNormalNegritaCaracter"/>
        </w:rPr>
        <w:t>Título XI, capítulo II.</w:t>
      </w:r>
      <w:r w:rsidRPr="00DA359F">
        <w:rPr>
          <w:rStyle w:val="TextoNormalCaracter"/>
        </w:rPr>
        <w:t>-</w:t>
      </w:r>
      <w:r>
        <w:t xml:space="preserve"> Sentencia </w:t>
      </w:r>
      <w:hyperlink w:anchor="SENTENCIA_2023_124" w:history="1">
        <w:r w:rsidRPr="00DA359F">
          <w:rPr>
            <w:rStyle w:val="TextoNormalCaracter"/>
          </w:rPr>
          <w:t>124/2023</w:t>
        </w:r>
      </w:hyperlink>
      <w:r>
        <w:t>, f. 3.</w:t>
      </w:r>
    </w:p>
    <w:p w14:paraId="510DBF6E" w14:textId="248F4B4D" w:rsidR="00DA359F" w:rsidRDefault="00DA359F" w:rsidP="00DA359F">
      <w:pPr>
        <w:pStyle w:val="SangriaFrancesaArticulo"/>
      </w:pPr>
      <w:r w:rsidRPr="00DA359F">
        <w:rPr>
          <w:rStyle w:val="TextoNormalNegritaCaracter"/>
        </w:rPr>
        <w:t>Artículo 201.</w:t>
      </w:r>
      <w:r w:rsidRPr="00DA359F">
        <w:rPr>
          <w:rStyle w:val="TextoNormalCaracter"/>
        </w:rPr>
        <w:t>-</w:t>
      </w:r>
      <w:r>
        <w:t xml:space="preserve"> Sentencia </w:t>
      </w:r>
      <w:hyperlink w:anchor="SENTENCIA_2023_124" w:history="1">
        <w:r w:rsidRPr="00DA359F">
          <w:rPr>
            <w:rStyle w:val="TextoNormalCaracter"/>
          </w:rPr>
          <w:t>124/2023</w:t>
        </w:r>
      </w:hyperlink>
      <w:r>
        <w:t>, ff. 3, 8.</w:t>
      </w:r>
    </w:p>
    <w:p w14:paraId="47B9E5CB" w14:textId="41B17CCE" w:rsidR="00DA359F" w:rsidRDefault="00DA359F" w:rsidP="00DA359F">
      <w:pPr>
        <w:pStyle w:val="SangriaFrancesaArticulo"/>
      </w:pPr>
    </w:p>
    <w:p w14:paraId="75FB672B" w14:textId="77777777" w:rsidR="00DA359F" w:rsidRDefault="00DA359F" w:rsidP="00DA359F">
      <w:pPr>
        <w:pStyle w:val="TextoNormalNegritaCursivandice"/>
        <w:keepNext/>
      </w:pPr>
      <w:r>
        <w:t>Comunitat Valenciana. Ley 5/2014, de 25 de julio, de ordenación del territorio, urbanismo y paisaje, de la Comunitat Valenciana</w:t>
      </w:r>
    </w:p>
    <w:p w14:paraId="24C1BA1B" w14:textId="6BAD8A03" w:rsidR="00DA359F" w:rsidRDefault="00DA359F" w:rsidP="00DA359F">
      <w:pPr>
        <w:pStyle w:val="SangriaFrancesaArticulo"/>
      </w:pPr>
      <w:r w:rsidRPr="00DA359F">
        <w:rPr>
          <w:rStyle w:val="TextoNormalNegritaCaracter"/>
        </w:rPr>
        <w:t>Artículo 104.</w:t>
      </w:r>
      <w:r w:rsidRPr="00DA359F">
        <w:rPr>
          <w:rStyle w:val="TextoNormalCaracter"/>
        </w:rPr>
        <w:t>-</w:t>
      </w:r>
      <w:r>
        <w:t xml:space="preserve"> Sentencia </w:t>
      </w:r>
      <w:hyperlink w:anchor="SENTENCIA_2023_168" w:history="1">
        <w:r w:rsidRPr="00DA359F">
          <w:rPr>
            <w:rStyle w:val="TextoNormalCaracter"/>
          </w:rPr>
          <w:t>168/2023</w:t>
        </w:r>
      </w:hyperlink>
      <w:r>
        <w:t>, ff. 1, 3, 4, 7.</w:t>
      </w:r>
    </w:p>
    <w:p w14:paraId="4AB787CA" w14:textId="015323BC" w:rsidR="00DA359F" w:rsidRDefault="00DA359F" w:rsidP="00DA359F">
      <w:pPr>
        <w:pStyle w:val="SangriaFrancesaArticulo"/>
      </w:pPr>
      <w:r w:rsidRPr="00DA359F">
        <w:rPr>
          <w:rStyle w:val="TextoNormalNegritaCaracter"/>
        </w:rPr>
        <w:t>Artículo 104.1.</w:t>
      </w:r>
      <w:r w:rsidRPr="00DA359F">
        <w:rPr>
          <w:rStyle w:val="TextoNormalCaracter"/>
        </w:rPr>
        <w:t>-</w:t>
      </w:r>
      <w:r>
        <w:t xml:space="preserve"> Sentencia </w:t>
      </w:r>
      <w:hyperlink w:anchor="SENTENCIA_2023_168" w:history="1">
        <w:r w:rsidRPr="00DA359F">
          <w:rPr>
            <w:rStyle w:val="TextoNormalCaracter"/>
          </w:rPr>
          <w:t>168/2023</w:t>
        </w:r>
      </w:hyperlink>
      <w:r>
        <w:t>, f. 1.</w:t>
      </w:r>
    </w:p>
    <w:p w14:paraId="62BCB88E" w14:textId="09BAB414" w:rsidR="00DA359F" w:rsidRDefault="00DA359F" w:rsidP="00DA359F">
      <w:pPr>
        <w:pStyle w:val="SangriaFrancesaArticulo"/>
      </w:pPr>
      <w:r w:rsidRPr="00DA359F">
        <w:rPr>
          <w:rStyle w:val="TextoNormalNegritaCaracter"/>
        </w:rPr>
        <w:t>Artículo 104.2.</w:t>
      </w:r>
      <w:r w:rsidRPr="00DA359F">
        <w:rPr>
          <w:rStyle w:val="TextoNormalCaracter"/>
        </w:rPr>
        <w:t>-</w:t>
      </w:r>
      <w:r>
        <w:t xml:space="preserve"> Sentencia </w:t>
      </w:r>
      <w:hyperlink w:anchor="SENTENCIA_2023_168" w:history="1">
        <w:r w:rsidRPr="00DA359F">
          <w:rPr>
            <w:rStyle w:val="TextoNormalCaracter"/>
          </w:rPr>
          <w:t>168/2023</w:t>
        </w:r>
      </w:hyperlink>
      <w:r>
        <w:t>, f. 1.</w:t>
      </w:r>
    </w:p>
    <w:p w14:paraId="6F0AA62D" w14:textId="0389A5F2" w:rsidR="00DA359F" w:rsidRDefault="00DA359F" w:rsidP="00DA359F">
      <w:pPr>
        <w:pStyle w:val="SangriaFrancesaArticulo"/>
      </w:pPr>
      <w:r w:rsidRPr="00DA359F">
        <w:rPr>
          <w:rStyle w:val="TextoNormalNegritaCaracter"/>
        </w:rPr>
        <w:t>Disposición transitoria undécima</w:t>
      </w:r>
      <w:r>
        <w:t xml:space="preserve"> (redactada por el Decreto Legislativo 1/2021, de 18 de junio)</w:t>
      </w:r>
      <w:r w:rsidRPr="00DA359F">
        <w:rPr>
          <w:rStyle w:val="TextoNormalNegritaCaracter"/>
        </w:rPr>
        <w:t>.</w:t>
      </w:r>
      <w:r w:rsidRPr="00DA359F">
        <w:rPr>
          <w:rStyle w:val="TextoNormalCaracter"/>
        </w:rPr>
        <w:t>-</w:t>
      </w:r>
      <w:r>
        <w:t xml:space="preserve"> Sentencia </w:t>
      </w:r>
      <w:hyperlink w:anchor="SENTENCIA_2023_168" w:history="1">
        <w:r w:rsidRPr="00DA359F">
          <w:rPr>
            <w:rStyle w:val="TextoNormalCaracter"/>
          </w:rPr>
          <w:t>168/2023</w:t>
        </w:r>
      </w:hyperlink>
      <w:r>
        <w:t>, ff. 1, 7, 8.</w:t>
      </w:r>
    </w:p>
    <w:p w14:paraId="47173019" w14:textId="1D32EF32" w:rsidR="00DA359F" w:rsidRDefault="00DA359F" w:rsidP="00DA359F">
      <w:pPr>
        <w:pStyle w:val="SangriaFrancesaArticulo"/>
      </w:pPr>
      <w:r w:rsidRPr="00DA359F">
        <w:rPr>
          <w:rStyle w:val="TextoNormalNegritaCaracter"/>
        </w:rPr>
        <w:t>Disposición transitoria undécima</w:t>
      </w:r>
      <w:r>
        <w:t xml:space="preserve"> (redactada por la Ley 13/2016, de 29 de diciembre)</w:t>
      </w:r>
      <w:r w:rsidRPr="00DA359F">
        <w:rPr>
          <w:rStyle w:val="TextoNormalNegritaCaracter"/>
        </w:rPr>
        <w:t>.</w:t>
      </w:r>
      <w:r w:rsidRPr="00DA359F">
        <w:rPr>
          <w:rStyle w:val="TextoNormalCaracter"/>
        </w:rPr>
        <w:t>-</w:t>
      </w:r>
      <w:r>
        <w:t xml:space="preserve"> Sentencia </w:t>
      </w:r>
      <w:hyperlink w:anchor="SENTENCIA_2023_168" w:history="1">
        <w:r w:rsidRPr="00DA359F">
          <w:rPr>
            <w:rStyle w:val="TextoNormalCaracter"/>
          </w:rPr>
          <w:t>168/2023</w:t>
        </w:r>
      </w:hyperlink>
      <w:r>
        <w:t>, ff. 1 a 3, 7, 8.</w:t>
      </w:r>
    </w:p>
    <w:p w14:paraId="1A37FD55" w14:textId="3FAB6AAB" w:rsidR="00DA359F" w:rsidRDefault="00DA359F" w:rsidP="00DA359F">
      <w:pPr>
        <w:pStyle w:val="SangriaFrancesaArticulo"/>
      </w:pPr>
      <w:r w:rsidRPr="00DA359F">
        <w:rPr>
          <w:rStyle w:val="TextoNormalNegritaCaracter"/>
        </w:rPr>
        <w:t>Disposición transitoria undécima</w:t>
      </w:r>
      <w:r>
        <w:t xml:space="preserve"> (redactada por la Ley 27/2018, de 27 de diciembre)</w:t>
      </w:r>
      <w:r w:rsidRPr="00DA359F">
        <w:rPr>
          <w:rStyle w:val="TextoNormalNegritaCaracter"/>
        </w:rPr>
        <w:t>.</w:t>
      </w:r>
      <w:r w:rsidRPr="00DA359F">
        <w:rPr>
          <w:rStyle w:val="TextoNormalCaracter"/>
        </w:rPr>
        <w:t>-</w:t>
      </w:r>
      <w:r>
        <w:t xml:space="preserve"> Sentencia </w:t>
      </w:r>
      <w:hyperlink w:anchor="SENTENCIA_2023_168" w:history="1">
        <w:r w:rsidRPr="00DA359F">
          <w:rPr>
            <w:rStyle w:val="TextoNormalCaracter"/>
          </w:rPr>
          <w:t>168/2023</w:t>
        </w:r>
      </w:hyperlink>
      <w:r>
        <w:t>, ff. 1 a 3, 7, 8.</w:t>
      </w:r>
    </w:p>
    <w:p w14:paraId="12616537" w14:textId="50313126" w:rsidR="00DA359F" w:rsidRDefault="00DA359F" w:rsidP="00DA359F">
      <w:pPr>
        <w:pStyle w:val="SangriaFrancesaArticulo"/>
      </w:pPr>
      <w:r w:rsidRPr="00DA359F">
        <w:rPr>
          <w:rStyle w:val="TextoNormalNegritaCaracter"/>
        </w:rPr>
        <w:t>Disposición transitoria undécima</w:t>
      </w:r>
      <w:r>
        <w:t xml:space="preserve"> (redactada por la Ley 3/2020, de 30 de diciembre)</w:t>
      </w:r>
      <w:r w:rsidRPr="00DA359F">
        <w:rPr>
          <w:rStyle w:val="TextoNormalNegritaCaracter"/>
        </w:rPr>
        <w:t>.</w:t>
      </w:r>
      <w:r w:rsidRPr="00DA359F">
        <w:rPr>
          <w:rStyle w:val="TextoNormalCaracter"/>
        </w:rPr>
        <w:t>-</w:t>
      </w:r>
      <w:r>
        <w:t xml:space="preserve"> Sentencia </w:t>
      </w:r>
      <w:hyperlink w:anchor="SENTENCIA_2023_168" w:history="1">
        <w:r w:rsidRPr="00DA359F">
          <w:rPr>
            <w:rStyle w:val="TextoNormalCaracter"/>
          </w:rPr>
          <w:t>168/2023</w:t>
        </w:r>
      </w:hyperlink>
      <w:r>
        <w:t>, ff. 1 a 3, 7, 8.</w:t>
      </w:r>
    </w:p>
    <w:p w14:paraId="78BF951B" w14:textId="598AFD07" w:rsidR="00DA359F" w:rsidRDefault="00DA359F" w:rsidP="00DA359F">
      <w:pPr>
        <w:pStyle w:val="SangriaFrancesaArticulo"/>
      </w:pPr>
      <w:r w:rsidRPr="00DA359F">
        <w:rPr>
          <w:rStyle w:val="TextoNormalNegritaCaracter"/>
        </w:rPr>
        <w:t>Disposición transitoria undécima</w:t>
      </w:r>
      <w:r>
        <w:t xml:space="preserve"> (redactada por la Ley 9/2019, de 23 de diciembre)</w:t>
      </w:r>
      <w:r w:rsidRPr="00DA359F">
        <w:rPr>
          <w:rStyle w:val="TextoNormalNegritaCaracter"/>
        </w:rPr>
        <w:t>.</w:t>
      </w:r>
      <w:r w:rsidRPr="00DA359F">
        <w:rPr>
          <w:rStyle w:val="TextoNormalCaracter"/>
        </w:rPr>
        <w:t>-</w:t>
      </w:r>
      <w:r>
        <w:t xml:space="preserve"> Sentencia </w:t>
      </w:r>
      <w:hyperlink w:anchor="SENTENCIA_2023_168" w:history="1">
        <w:r w:rsidRPr="00DA359F">
          <w:rPr>
            <w:rStyle w:val="TextoNormalCaracter"/>
          </w:rPr>
          <w:t>168/2023</w:t>
        </w:r>
      </w:hyperlink>
      <w:r>
        <w:t>, ff. 1 a 3, 7, 8.</w:t>
      </w:r>
    </w:p>
    <w:p w14:paraId="08A99F9C" w14:textId="6E5CCA08" w:rsidR="00DA359F" w:rsidRDefault="00DA359F" w:rsidP="00DA359F">
      <w:pPr>
        <w:pStyle w:val="SangriaFrancesaArticulo"/>
      </w:pPr>
    </w:p>
    <w:p w14:paraId="3930B873" w14:textId="77777777" w:rsidR="00DA359F" w:rsidRDefault="00DA359F" w:rsidP="00DA359F">
      <w:pPr>
        <w:pStyle w:val="TextoNormalNegritaCursivandice"/>
        <w:keepNext/>
      </w:pPr>
      <w:r>
        <w:t>Comunitat Valenciana. Ley 13/2016, de 29 de diciembre, de medidas fiscales, de gestión administrativa y financiera, y de organización de la Generalitat</w:t>
      </w:r>
    </w:p>
    <w:p w14:paraId="5E4DC854" w14:textId="6A579C27"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168" w:history="1">
        <w:r w:rsidRPr="00DA359F">
          <w:rPr>
            <w:rStyle w:val="TextoNormalCaracter"/>
          </w:rPr>
          <w:t>168/2023</w:t>
        </w:r>
      </w:hyperlink>
      <w:r>
        <w:t>, ff. 1, 2.</w:t>
      </w:r>
    </w:p>
    <w:p w14:paraId="00F52B6A" w14:textId="09553278" w:rsidR="00DA359F" w:rsidRDefault="00DA359F" w:rsidP="00DA359F">
      <w:pPr>
        <w:pStyle w:val="SangriaFrancesaArticulo"/>
      </w:pPr>
      <w:r w:rsidRPr="00DA359F">
        <w:rPr>
          <w:rStyle w:val="TextoNormalNegritaCaracter"/>
        </w:rPr>
        <w:t>Artículo 99.</w:t>
      </w:r>
      <w:r w:rsidRPr="00DA359F">
        <w:rPr>
          <w:rStyle w:val="TextoNormalCaracter"/>
        </w:rPr>
        <w:t>-</w:t>
      </w:r>
      <w:r>
        <w:t xml:space="preserve"> Sentencia </w:t>
      </w:r>
      <w:hyperlink w:anchor="SENTENCIA_2023_168" w:history="1">
        <w:r w:rsidRPr="00DA359F">
          <w:rPr>
            <w:rStyle w:val="TextoNormalCaracter"/>
          </w:rPr>
          <w:t>168/2023</w:t>
        </w:r>
      </w:hyperlink>
      <w:r>
        <w:t>, f. 1.</w:t>
      </w:r>
    </w:p>
    <w:p w14:paraId="4A8969C2" w14:textId="14AB0BEC" w:rsidR="00DA359F" w:rsidRDefault="00DA359F" w:rsidP="00DA359F">
      <w:pPr>
        <w:pStyle w:val="SangriaFrancesaArticulo"/>
      </w:pPr>
    </w:p>
    <w:p w14:paraId="0C31D95F" w14:textId="77777777" w:rsidR="00DA359F" w:rsidRDefault="00DA359F" w:rsidP="00DA359F">
      <w:pPr>
        <w:pStyle w:val="TextoNormalNegritaCursivandice"/>
        <w:keepNext/>
      </w:pPr>
      <w:r>
        <w:t>Comunitat Valenciana. Ley 27/2018, de 27 de diciembre, de medidas fiscales, de gestión administrativa y financiera y de organización de la Generalitat</w:t>
      </w:r>
    </w:p>
    <w:p w14:paraId="410D3580" w14:textId="7B72E033"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168" w:history="1">
        <w:r w:rsidRPr="00DA359F">
          <w:rPr>
            <w:rStyle w:val="TextoNormalCaracter"/>
          </w:rPr>
          <w:t>168/2023</w:t>
        </w:r>
      </w:hyperlink>
      <w:r>
        <w:t>, f. 1.</w:t>
      </w:r>
    </w:p>
    <w:p w14:paraId="079B07A9" w14:textId="013E3133" w:rsidR="00DA359F" w:rsidRDefault="00DA359F" w:rsidP="00DA359F">
      <w:pPr>
        <w:pStyle w:val="SangriaFrancesaArticulo"/>
      </w:pPr>
      <w:r w:rsidRPr="00DA359F">
        <w:rPr>
          <w:rStyle w:val="TextoNormalNegritaCaracter"/>
        </w:rPr>
        <w:t>Artículo 84.</w:t>
      </w:r>
      <w:r w:rsidRPr="00DA359F">
        <w:rPr>
          <w:rStyle w:val="TextoNormalCaracter"/>
        </w:rPr>
        <w:t>-</w:t>
      </w:r>
      <w:r>
        <w:t xml:space="preserve"> Sentencia </w:t>
      </w:r>
      <w:hyperlink w:anchor="SENTENCIA_2023_168" w:history="1">
        <w:r w:rsidRPr="00DA359F">
          <w:rPr>
            <w:rStyle w:val="TextoNormalCaracter"/>
          </w:rPr>
          <w:t>168/2023</w:t>
        </w:r>
      </w:hyperlink>
      <w:r>
        <w:t>, ff. 1, 2.</w:t>
      </w:r>
    </w:p>
    <w:p w14:paraId="5B1453D3" w14:textId="35E0AEB4" w:rsidR="00DA359F" w:rsidRDefault="00DA359F" w:rsidP="00DA359F">
      <w:pPr>
        <w:pStyle w:val="SangriaFrancesaArticulo"/>
      </w:pPr>
    </w:p>
    <w:p w14:paraId="67C4B14F" w14:textId="77777777" w:rsidR="00DA359F" w:rsidRDefault="00DA359F" w:rsidP="00DA359F">
      <w:pPr>
        <w:pStyle w:val="TextoNormalNegritaCursivandice"/>
        <w:keepNext/>
      </w:pPr>
      <w:r>
        <w:t>Comunitat Valenciana. Ley 3/2019, de 18 de febrero, de servicios sociales inclusivos de la Comunitat Valenciana</w:t>
      </w:r>
    </w:p>
    <w:p w14:paraId="016ACC18" w14:textId="3CA8790F"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124" w:history="1">
        <w:r w:rsidRPr="00DA359F">
          <w:rPr>
            <w:rStyle w:val="TextoNormalCaracter"/>
          </w:rPr>
          <w:t>124/2023</w:t>
        </w:r>
      </w:hyperlink>
      <w:r>
        <w:t>, VP I, VP II.</w:t>
      </w:r>
    </w:p>
    <w:p w14:paraId="6099B7A9" w14:textId="0427AED5" w:rsidR="00DA359F" w:rsidRDefault="00DA359F" w:rsidP="00DA359F">
      <w:pPr>
        <w:pStyle w:val="SangriaFrancesaArticulo"/>
      </w:pPr>
    </w:p>
    <w:p w14:paraId="33BEF49E" w14:textId="77777777" w:rsidR="00DA359F" w:rsidRDefault="00DA359F" w:rsidP="00DA359F">
      <w:pPr>
        <w:pStyle w:val="TextoNormalNegritaCursivandice"/>
        <w:keepNext/>
      </w:pPr>
      <w:r>
        <w:t>Comunitat Valenciana. Ley 9/2019, de 23 de diciembre, de medidas fiscales, de gestión administrativa y financiera y de organización de la Generalita</w:t>
      </w:r>
    </w:p>
    <w:p w14:paraId="51D043E7" w14:textId="4F873F84"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168" w:history="1">
        <w:r w:rsidRPr="00DA359F">
          <w:rPr>
            <w:rStyle w:val="TextoNormalCaracter"/>
          </w:rPr>
          <w:t>168/2023</w:t>
        </w:r>
      </w:hyperlink>
      <w:r>
        <w:t>, f. 1.</w:t>
      </w:r>
    </w:p>
    <w:p w14:paraId="34B6AEDE" w14:textId="1761403F" w:rsidR="00DA359F" w:rsidRDefault="00DA359F" w:rsidP="00DA359F">
      <w:pPr>
        <w:pStyle w:val="SangriaFrancesaArticulo"/>
      </w:pPr>
      <w:r w:rsidRPr="00DA359F">
        <w:rPr>
          <w:rStyle w:val="TextoNormalNegritaCaracter"/>
        </w:rPr>
        <w:t>Artículo 96.</w:t>
      </w:r>
      <w:r w:rsidRPr="00DA359F">
        <w:rPr>
          <w:rStyle w:val="TextoNormalCaracter"/>
        </w:rPr>
        <w:t>-</w:t>
      </w:r>
      <w:r>
        <w:t xml:space="preserve"> Sentencia </w:t>
      </w:r>
      <w:hyperlink w:anchor="SENTENCIA_2023_168" w:history="1">
        <w:r w:rsidRPr="00DA359F">
          <w:rPr>
            <w:rStyle w:val="TextoNormalCaracter"/>
          </w:rPr>
          <w:t>168/2023</w:t>
        </w:r>
      </w:hyperlink>
      <w:r>
        <w:t>, f. 1.</w:t>
      </w:r>
    </w:p>
    <w:p w14:paraId="1C7670B3" w14:textId="06CE559A" w:rsidR="00DA359F" w:rsidRDefault="00DA359F" w:rsidP="00DA359F">
      <w:pPr>
        <w:pStyle w:val="SangriaFrancesaArticulo"/>
      </w:pPr>
    </w:p>
    <w:p w14:paraId="3E760CFD" w14:textId="77777777" w:rsidR="00DA359F" w:rsidRDefault="00DA359F" w:rsidP="00DA359F">
      <w:pPr>
        <w:pStyle w:val="TextoNormalNegritaCursivandice"/>
        <w:keepNext/>
      </w:pPr>
      <w:r>
        <w:t>Comunitat Valenciana. Ley 3/2020, de 30 de diciembre, de medidas fiscales, de gestión administrativa y financiera y de organización de la Generalitat 2021</w:t>
      </w:r>
    </w:p>
    <w:p w14:paraId="1051DD99" w14:textId="024EBC82"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168" w:history="1">
        <w:r w:rsidRPr="00DA359F">
          <w:rPr>
            <w:rStyle w:val="TextoNormalCaracter"/>
          </w:rPr>
          <w:t>168/2023</w:t>
        </w:r>
      </w:hyperlink>
      <w:r>
        <w:t>, f. 1.</w:t>
      </w:r>
    </w:p>
    <w:p w14:paraId="78B42066" w14:textId="6D8C8F96" w:rsidR="00DA359F" w:rsidRDefault="00DA359F" w:rsidP="00DA359F">
      <w:pPr>
        <w:pStyle w:val="SangriaFrancesaArticulo"/>
      </w:pPr>
      <w:r w:rsidRPr="00DA359F">
        <w:rPr>
          <w:rStyle w:val="TextoNormalNegritaCaracter"/>
        </w:rPr>
        <w:t>Artículo 97.</w:t>
      </w:r>
      <w:r w:rsidRPr="00DA359F">
        <w:rPr>
          <w:rStyle w:val="TextoNormalCaracter"/>
        </w:rPr>
        <w:t>-</w:t>
      </w:r>
      <w:r>
        <w:t xml:space="preserve"> Sentencia </w:t>
      </w:r>
      <w:hyperlink w:anchor="SENTENCIA_2023_168" w:history="1">
        <w:r w:rsidRPr="00DA359F">
          <w:rPr>
            <w:rStyle w:val="TextoNormalCaracter"/>
          </w:rPr>
          <w:t>168/2023</w:t>
        </w:r>
      </w:hyperlink>
      <w:r>
        <w:t>, ff. 1, 2.</w:t>
      </w:r>
    </w:p>
    <w:p w14:paraId="728EEE73" w14:textId="705E9CD9" w:rsidR="00DA359F" w:rsidRDefault="00DA359F" w:rsidP="00DA359F">
      <w:pPr>
        <w:pStyle w:val="SangriaFrancesaArticulo"/>
      </w:pPr>
    </w:p>
    <w:p w14:paraId="2963DAB5" w14:textId="77777777" w:rsidR="00DA359F" w:rsidRDefault="00DA359F" w:rsidP="00DA359F">
      <w:pPr>
        <w:pStyle w:val="TextoNormalNegritaCursivandice"/>
        <w:keepNext/>
      </w:pPr>
      <w:r>
        <w:t>Comunitat Valenciana. Decreto Legislativo 1/2021, de 18 de junio, del Consell, de aprobación del texto refundido de la Ley de ordenación del territorio, urbanismo y paisaje</w:t>
      </w:r>
    </w:p>
    <w:p w14:paraId="4E2CD026" w14:textId="3E8A54E6"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168" w:history="1">
        <w:r w:rsidRPr="00DA359F">
          <w:rPr>
            <w:rStyle w:val="TextoNormalCaracter"/>
          </w:rPr>
          <w:t>168/2023</w:t>
        </w:r>
      </w:hyperlink>
      <w:r>
        <w:t>, f. 1.</w:t>
      </w:r>
    </w:p>
    <w:p w14:paraId="1DF47A56" w14:textId="00E75548" w:rsidR="00DA359F" w:rsidRDefault="00DA359F" w:rsidP="00DA359F">
      <w:pPr>
        <w:pStyle w:val="SangriaFrancesaArticulo"/>
      </w:pPr>
      <w:r w:rsidRPr="00DA359F">
        <w:rPr>
          <w:rStyle w:val="TextoNormalNegritaCaracter"/>
        </w:rPr>
        <w:t>Artículo 110.</w:t>
      </w:r>
      <w:r w:rsidRPr="00DA359F">
        <w:rPr>
          <w:rStyle w:val="TextoNormalCaracter"/>
        </w:rPr>
        <w:t>-</w:t>
      </w:r>
      <w:r>
        <w:t xml:space="preserve"> Sentencia </w:t>
      </w:r>
      <w:hyperlink w:anchor="SENTENCIA_2023_168" w:history="1">
        <w:r w:rsidRPr="00DA359F">
          <w:rPr>
            <w:rStyle w:val="TextoNormalCaracter"/>
          </w:rPr>
          <w:t>168/2023</w:t>
        </w:r>
      </w:hyperlink>
      <w:r>
        <w:t>, f. 1.</w:t>
      </w:r>
    </w:p>
    <w:p w14:paraId="2951A795" w14:textId="662AFB51" w:rsidR="00DA359F" w:rsidRDefault="00DA359F" w:rsidP="00DA359F">
      <w:pPr>
        <w:pStyle w:val="SangriaFrancesaArticulo"/>
      </w:pPr>
      <w:r w:rsidRPr="00DA359F">
        <w:rPr>
          <w:rStyle w:val="TextoNormalNegritaCaracter"/>
        </w:rPr>
        <w:t>Artículo 110.8.</w:t>
      </w:r>
      <w:r w:rsidRPr="00DA359F">
        <w:rPr>
          <w:rStyle w:val="TextoNormalCaracter"/>
        </w:rPr>
        <w:t>-</w:t>
      </w:r>
      <w:r>
        <w:t xml:space="preserve"> Sentencia </w:t>
      </w:r>
      <w:hyperlink w:anchor="SENTENCIA_2023_168" w:history="1">
        <w:r w:rsidRPr="00DA359F">
          <w:rPr>
            <w:rStyle w:val="TextoNormalCaracter"/>
          </w:rPr>
          <w:t>168/2023</w:t>
        </w:r>
      </w:hyperlink>
      <w:r>
        <w:t>, f. 7.</w:t>
      </w:r>
    </w:p>
    <w:p w14:paraId="14D39BC5" w14:textId="20CC185E" w:rsidR="00DA359F" w:rsidRDefault="00DA359F" w:rsidP="00DA359F">
      <w:pPr>
        <w:pStyle w:val="SangriaFrancesaArticulo"/>
      </w:pPr>
      <w:r w:rsidRPr="00DA359F">
        <w:rPr>
          <w:rStyle w:val="TextoNormalNegritaCaracter"/>
        </w:rPr>
        <w:t>Disposición transitoria vigésima.</w:t>
      </w:r>
      <w:r w:rsidRPr="00DA359F">
        <w:rPr>
          <w:rStyle w:val="TextoNormalCaracter"/>
        </w:rPr>
        <w:t>-</w:t>
      </w:r>
      <w:r>
        <w:t xml:space="preserve"> Sentencia </w:t>
      </w:r>
      <w:hyperlink w:anchor="SENTENCIA_2023_168" w:history="1">
        <w:r w:rsidRPr="00DA359F">
          <w:rPr>
            <w:rStyle w:val="TextoNormalCaracter"/>
          </w:rPr>
          <w:t>168/2023</w:t>
        </w:r>
      </w:hyperlink>
      <w:r>
        <w:t>, ff. 1, 2, 7, 8.</w:t>
      </w:r>
    </w:p>
    <w:p w14:paraId="60EF3C90" w14:textId="54F34CBC" w:rsidR="00DA359F" w:rsidRDefault="00DA359F" w:rsidP="00DA359F">
      <w:pPr>
        <w:pStyle w:val="SangriaFrancesaArticulo"/>
      </w:pPr>
    </w:p>
    <w:p w14:paraId="4E845E69" w14:textId="77777777" w:rsidR="00DA359F" w:rsidRDefault="00DA359F" w:rsidP="00DA359F">
      <w:pPr>
        <w:pStyle w:val="TextoNormalNegritaCursivandice"/>
        <w:keepNext/>
      </w:pPr>
      <w:r>
        <w:t>Comunitat Valenciana. Ley 5/2021, de 5 de noviembre, reguladora del fondo de cooperación municipal de los municipios y entidades locales menores de la Comunitat Valenciana</w:t>
      </w:r>
    </w:p>
    <w:p w14:paraId="511E7013" w14:textId="3C5AD6D4"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Sentencias </w:t>
      </w:r>
      <w:hyperlink w:anchor="SENTENCIA_2023_124" w:history="1">
        <w:r w:rsidRPr="00DA359F">
          <w:rPr>
            <w:rStyle w:val="TextoNormalCaracter"/>
          </w:rPr>
          <w:t>124/2023</w:t>
        </w:r>
      </w:hyperlink>
      <w:r>
        <w:t xml:space="preserve">, ff. 1, 3, 8, VP II; </w:t>
      </w:r>
      <w:hyperlink w:anchor="SENTENCIA_2023_143" w:history="1">
        <w:r w:rsidRPr="00DA359F">
          <w:rPr>
            <w:rStyle w:val="TextoNormalCaracter"/>
          </w:rPr>
          <w:t>143/2023</w:t>
        </w:r>
      </w:hyperlink>
      <w:r>
        <w:t>, f. 2, VP II.</w:t>
      </w:r>
    </w:p>
    <w:p w14:paraId="75A66B2D" w14:textId="123F2440" w:rsidR="00DA359F" w:rsidRDefault="00DA359F" w:rsidP="00DA359F">
      <w:pPr>
        <w:pStyle w:val="SangriaFrancesaArticulo"/>
      </w:pPr>
      <w:r w:rsidRPr="00DA359F">
        <w:rPr>
          <w:rStyle w:val="TextoNormalNegritaCaracter"/>
        </w:rPr>
        <w:t>Capítulo preliminar.</w:t>
      </w:r>
      <w:r w:rsidRPr="00DA359F">
        <w:rPr>
          <w:rStyle w:val="TextoNormalCaracter"/>
        </w:rPr>
        <w:t>-</w:t>
      </w:r>
      <w:r>
        <w:t xml:space="preserve"> Sentencia </w:t>
      </w:r>
      <w:hyperlink w:anchor="SENTENCIA_2023_124" w:history="1">
        <w:r w:rsidRPr="00DA359F">
          <w:rPr>
            <w:rStyle w:val="TextoNormalCaracter"/>
          </w:rPr>
          <w:t>124/2023</w:t>
        </w:r>
      </w:hyperlink>
      <w:r>
        <w:t>, f. 3.</w:t>
      </w:r>
    </w:p>
    <w:p w14:paraId="78BE7E5B" w14:textId="4FC956C6" w:rsidR="00DA359F" w:rsidRDefault="00DA359F" w:rsidP="00DA359F">
      <w:pPr>
        <w:pStyle w:val="SangriaFrancesaArticulo"/>
      </w:pPr>
      <w:r w:rsidRPr="00DA359F">
        <w:rPr>
          <w:rStyle w:val="TextoNormalNegritaCaracter"/>
        </w:rPr>
        <w:t>Capítulo I.</w:t>
      </w:r>
      <w:r w:rsidRPr="00DA359F">
        <w:rPr>
          <w:rStyle w:val="TextoNormalCaracter"/>
        </w:rPr>
        <w:t>-</w:t>
      </w:r>
      <w:r>
        <w:t xml:space="preserve"> Sentencia </w:t>
      </w:r>
      <w:hyperlink w:anchor="SENTENCIA_2023_124" w:history="1">
        <w:r w:rsidRPr="00DA359F">
          <w:rPr>
            <w:rStyle w:val="TextoNormalCaracter"/>
          </w:rPr>
          <w:t>124/2023</w:t>
        </w:r>
      </w:hyperlink>
      <w:r>
        <w:t>, f. 3.</w:t>
      </w:r>
    </w:p>
    <w:p w14:paraId="284E88D8" w14:textId="1FE5A85F" w:rsidR="00DA359F" w:rsidRDefault="00DA359F" w:rsidP="00DA359F">
      <w:pPr>
        <w:pStyle w:val="SangriaFrancesaArticulo"/>
      </w:pPr>
      <w:r w:rsidRPr="00DA359F">
        <w:rPr>
          <w:rStyle w:val="TextoNormalNegritaCaracter"/>
        </w:rPr>
        <w:t>Capítulo II.</w:t>
      </w:r>
      <w:r w:rsidRPr="00DA359F">
        <w:rPr>
          <w:rStyle w:val="TextoNormalCaracter"/>
        </w:rPr>
        <w:t>-</w:t>
      </w:r>
      <w:r>
        <w:t xml:space="preserve"> Sentencia </w:t>
      </w:r>
      <w:hyperlink w:anchor="SENTENCIA_2023_124" w:history="1">
        <w:r w:rsidRPr="00DA359F">
          <w:rPr>
            <w:rStyle w:val="TextoNormalCaracter"/>
          </w:rPr>
          <w:t>124/2023</w:t>
        </w:r>
      </w:hyperlink>
      <w:r>
        <w:t>, f. 3.</w:t>
      </w:r>
    </w:p>
    <w:p w14:paraId="3A492DD9" w14:textId="24D3662D" w:rsidR="00DA359F" w:rsidRDefault="00DA359F" w:rsidP="00DA359F">
      <w:pPr>
        <w:pStyle w:val="SangriaFrancesaArticulo"/>
      </w:pPr>
      <w:r w:rsidRPr="00DA359F">
        <w:rPr>
          <w:rStyle w:val="TextoNormalNegritaCaracter"/>
        </w:rPr>
        <w:t>Preámbulo.</w:t>
      </w:r>
      <w:r w:rsidRPr="00DA359F">
        <w:rPr>
          <w:rStyle w:val="TextoNormalCaracter"/>
        </w:rPr>
        <w:t>-</w:t>
      </w:r>
      <w:r>
        <w:t xml:space="preserve"> Sentencia </w:t>
      </w:r>
      <w:hyperlink w:anchor="SENTENCIA_2023_124" w:history="1">
        <w:r w:rsidRPr="00DA359F">
          <w:rPr>
            <w:rStyle w:val="TextoNormalCaracter"/>
          </w:rPr>
          <w:t>124/2023</w:t>
        </w:r>
      </w:hyperlink>
      <w:r>
        <w:t>, ff. 3, 8.</w:t>
      </w:r>
    </w:p>
    <w:p w14:paraId="5D36FDC8" w14:textId="2AA1AD0A" w:rsidR="00DA359F" w:rsidRDefault="00DA359F" w:rsidP="00DA359F">
      <w:pPr>
        <w:pStyle w:val="SangriaFrancesaArticulo"/>
      </w:pPr>
      <w:r w:rsidRPr="00DA359F">
        <w:rPr>
          <w:rStyle w:val="TextoNormalNegritaCaracter"/>
        </w:rPr>
        <w:t>Artículo 2.1.</w:t>
      </w:r>
      <w:r w:rsidRPr="00DA359F">
        <w:rPr>
          <w:rStyle w:val="TextoNormalCaracter"/>
        </w:rPr>
        <w:t>-</w:t>
      </w:r>
      <w:r>
        <w:t xml:space="preserve"> Sentencia </w:t>
      </w:r>
      <w:hyperlink w:anchor="SENTENCIA_2023_124" w:history="1">
        <w:r w:rsidRPr="00DA359F">
          <w:rPr>
            <w:rStyle w:val="TextoNormalCaracter"/>
          </w:rPr>
          <w:t>124/2023</w:t>
        </w:r>
      </w:hyperlink>
      <w:r>
        <w:t>, f. 8, VP I.</w:t>
      </w:r>
    </w:p>
    <w:p w14:paraId="318C840F" w14:textId="730AD988" w:rsidR="00DA359F" w:rsidRDefault="00DA359F" w:rsidP="00DA359F">
      <w:pPr>
        <w:pStyle w:val="SangriaFrancesaArticulo"/>
      </w:pPr>
      <w:r w:rsidRPr="00DA359F">
        <w:rPr>
          <w:rStyle w:val="TextoNormalNegritaCaracter"/>
        </w:rPr>
        <w:t>Artículo 2.2.</w:t>
      </w:r>
      <w:r w:rsidRPr="00DA359F">
        <w:rPr>
          <w:rStyle w:val="TextoNormalCaracter"/>
        </w:rPr>
        <w:t>-</w:t>
      </w:r>
      <w:r>
        <w:t xml:space="preserve"> Sentencias </w:t>
      </w:r>
      <w:hyperlink w:anchor="SENTENCIA_2023_124" w:history="1">
        <w:r w:rsidRPr="00DA359F">
          <w:rPr>
            <w:rStyle w:val="TextoNormalCaracter"/>
          </w:rPr>
          <w:t>124/2023</w:t>
        </w:r>
      </w:hyperlink>
      <w:r>
        <w:t xml:space="preserve">, ff. 1, 8, VP I, VP II; </w:t>
      </w:r>
      <w:hyperlink w:anchor="SENTENCIA_2023_143" w:history="1">
        <w:r w:rsidRPr="00DA359F">
          <w:rPr>
            <w:rStyle w:val="TextoNormalCaracter"/>
          </w:rPr>
          <w:t>143/2023</w:t>
        </w:r>
      </w:hyperlink>
      <w:r>
        <w:t>, ff. 1, 2.</w:t>
      </w:r>
    </w:p>
    <w:p w14:paraId="3B471061" w14:textId="69BF756B" w:rsidR="00DA359F" w:rsidRDefault="00DA359F" w:rsidP="00DA359F">
      <w:pPr>
        <w:pStyle w:val="SangriaFrancesaArticulo"/>
      </w:pPr>
      <w:r w:rsidRPr="00DA359F">
        <w:rPr>
          <w:rStyle w:val="TextoNormalNegritaCaracter"/>
        </w:rPr>
        <w:t>Artículo 2.2 inciso final.</w:t>
      </w:r>
      <w:r w:rsidRPr="00DA359F">
        <w:rPr>
          <w:rStyle w:val="TextoNormalCaracter"/>
        </w:rPr>
        <w:t>-</w:t>
      </w:r>
      <w:r>
        <w:t xml:space="preserve"> Sentencia </w:t>
      </w:r>
      <w:hyperlink w:anchor="SENTENCIA_2023_124" w:history="1">
        <w:r w:rsidRPr="00DA359F">
          <w:rPr>
            <w:rStyle w:val="TextoNormalCaracter"/>
          </w:rPr>
          <w:t>124/2023</w:t>
        </w:r>
      </w:hyperlink>
      <w:r>
        <w:t>, VP II.</w:t>
      </w:r>
    </w:p>
    <w:p w14:paraId="26A29B35" w14:textId="1B32132A" w:rsidR="00DA359F" w:rsidRDefault="00DA359F" w:rsidP="00DA359F">
      <w:pPr>
        <w:pStyle w:val="SangriaFrancesaArticulo"/>
      </w:pPr>
      <w:r w:rsidRPr="00DA359F">
        <w:rPr>
          <w:rStyle w:val="TextoNormalNegritaCaracter"/>
        </w:rPr>
        <w:t>Artículo 2.3.</w:t>
      </w:r>
      <w:r w:rsidRPr="00DA359F">
        <w:rPr>
          <w:rStyle w:val="TextoNormalCaracter"/>
        </w:rPr>
        <w:t>-</w:t>
      </w:r>
      <w:r>
        <w:t xml:space="preserve"> Sentencia </w:t>
      </w:r>
      <w:hyperlink w:anchor="SENTENCIA_2023_124" w:history="1">
        <w:r w:rsidRPr="00DA359F">
          <w:rPr>
            <w:rStyle w:val="TextoNormalCaracter"/>
          </w:rPr>
          <w:t>124/2023</w:t>
        </w:r>
      </w:hyperlink>
      <w:r>
        <w:t>, f. 8.</w:t>
      </w:r>
    </w:p>
    <w:p w14:paraId="639161D2" w14:textId="00D5B668" w:rsidR="00DA359F" w:rsidRDefault="00DA359F" w:rsidP="00DA359F">
      <w:pPr>
        <w:pStyle w:val="SangriaFrancesaArticulo"/>
      </w:pPr>
      <w:r w:rsidRPr="00DA359F">
        <w:rPr>
          <w:rStyle w:val="TextoNormalNegritaCaracter"/>
        </w:rPr>
        <w:t>Artículo 3.</w:t>
      </w:r>
      <w:r w:rsidRPr="00DA359F">
        <w:rPr>
          <w:rStyle w:val="TextoNormalCaracter"/>
        </w:rPr>
        <w:t>-</w:t>
      </w:r>
      <w:r>
        <w:t xml:space="preserve"> Sentencia </w:t>
      </w:r>
      <w:hyperlink w:anchor="SENTENCIA_2023_124" w:history="1">
        <w:r w:rsidRPr="00DA359F">
          <w:rPr>
            <w:rStyle w:val="TextoNormalCaracter"/>
          </w:rPr>
          <w:t>124/2023</w:t>
        </w:r>
      </w:hyperlink>
      <w:r>
        <w:t>, VP I, VP II.</w:t>
      </w:r>
    </w:p>
    <w:p w14:paraId="0989C670" w14:textId="59CAF273" w:rsidR="00DA359F" w:rsidRDefault="00DA359F" w:rsidP="00DA359F">
      <w:pPr>
        <w:pStyle w:val="SangriaFrancesaArticulo"/>
      </w:pPr>
      <w:r w:rsidRPr="00DA359F">
        <w:rPr>
          <w:rStyle w:val="TextoNormalNegritaCaracter"/>
        </w:rPr>
        <w:t>Artículo 5.1.</w:t>
      </w:r>
      <w:r w:rsidRPr="00DA359F">
        <w:rPr>
          <w:rStyle w:val="TextoNormalCaracter"/>
        </w:rPr>
        <w:t>-</w:t>
      </w:r>
      <w:r>
        <w:t xml:space="preserve"> Sentencias </w:t>
      </w:r>
      <w:hyperlink w:anchor="SENTENCIA_2023_124" w:history="1">
        <w:r w:rsidRPr="00DA359F">
          <w:rPr>
            <w:rStyle w:val="TextoNormalCaracter"/>
          </w:rPr>
          <w:t>124/2023</w:t>
        </w:r>
      </w:hyperlink>
      <w:r>
        <w:t xml:space="preserve">, VP I, VP II; </w:t>
      </w:r>
      <w:hyperlink w:anchor="SENTENCIA_2023_143" w:history="1">
        <w:r w:rsidRPr="00DA359F">
          <w:rPr>
            <w:rStyle w:val="TextoNormalCaracter"/>
          </w:rPr>
          <w:t>143/2023</w:t>
        </w:r>
      </w:hyperlink>
      <w:r>
        <w:t>, ff. 1, 2.</w:t>
      </w:r>
    </w:p>
    <w:p w14:paraId="7D3043AD" w14:textId="6545E290" w:rsidR="00DA359F" w:rsidRDefault="00DA359F" w:rsidP="00DA359F">
      <w:pPr>
        <w:pStyle w:val="SangriaFrancesaArticulo"/>
      </w:pPr>
      <w:r w:rsidRPr="00DA359F">
        <w:rPr>
          <w:rStyle w:val="TextoNormalNegritaCaracter"/>
        </w:rPr>
        <w:t>Artículo 5.1 inciso "y las diputaciones provinciales".</w:t>
      </w:r>
      <w:r w:rsidRPr="00DA359F">
        <w:rPr>
          <w:rStyle w:val="TextoNormalCaracter"/>
        </w:rPr>
        <w:t>-</w:t>
      </w:r>
      <w:r>
        <w:t xml:space="preserve"> Sentencias </w:t>
      </w:r>
      <w:hyperlink w:anchor="SENTENCIA_2023_124" w:history="1">
        <w:r w:rsidRPr="00DA359F">
          <w:rPr>
            <w:rStyle w:val="TextoNormalCaracter"/>
          </w:rPr>
          <w:t>124/2023</w:t>
        </w:r>
      </w:hyperlink>
      <w:r>
        <w:t xml:space="preserve">, ff. 1, 8; </w:t>
      </w:r>
      <w:hyperlink w:anchor="SENTENCIA_2023_143" w:history="1">
        <w:r w:rsidRPr="00DA359F">
          <w:rPr>
            <w:rStyle w:val="TextoNormalCaracter"/>
          </w:rPr>
          <w:t>143/2023</w:t>
        </w:r>
      </w:hyperlink>
      <w:r>
        <w:t>, f. 2.</w:t>
      </w:r>
    </w:p>
    <w:p w14:paraId="4025C01B" w14:textId="5D711039" w:rsidR="00DA359F" w:rsidRDefault="00DA359F" w:rsidP="00DA359F">
      <w:pPr>
        <w:pStyle w:val="SangriaFrancesaArticulo"/>
      </w:pPr>
      <w:r w:rsidRPr="00DA359F">
        <w:rPr>
          <w:rStyle w:val="TextoNormalNegritaCaracter"/>
        </w:rPr>
        <w:t>Artículo 5.2.</w:t>
      </w:r>
      <w:r w:rsidRPr="00DA359F">
        <w:rPr>
          <w:rStyle w:val="TextoNormalCaracter"/>
        </w:rPr>
        <w:t>-</w:t>
      </w:r>
      <w:r>
        <w:t xml:space="preserve"> Sentencias </w:t>
      </w:r>
      <w:hyperlink w:anchor="SENTENCIA_2023_124" w:history="1">
        <w:r w:rsidRPr="00DA359F">
          <w:rPr>
            <w:rStyle w:val="TextoNormalCaracter"/>
          </w:rPr>
          <w:t>124/2023</w:t>
        </w:r>
      </w:hyperlink>
      <w:r>
        <w:t xml:space="preserve">, f. 8, VP II; </w:t>
      </w:r>
      <w:hyperlink w:anchor="SENTENCIA_2023_143" w:history="1">
        <w:r w:rsidRPr="00DA359F">
          <w:rPr>
            <w:rStyle w:val="TextoNormalCaracter"/>
          </w:rPr>
          <w:t>143/2023</w:t>
        </w:r>
      </w:hyperlink>
      <w:r>
        <w:t>, ff. 1, 2.</w:t>
      </w:r>
    </w:p>
    <w:p w14:paraId="0AFD7694" w14:textId="55C43FAA" w:rsidR="00DA359F" w:rsidRDefault="00DA359F" w:rsidP="00DA359F">
      <w:pPr>
        <w:pStyle w:val="SangriaFrancesaArticulo"/>
      </w:pPr>
      <w:r w:rsidRPr="00DA359F">
        <w:rPr>
          <w:rStyle w:val="TextoNormalNegritaCaracter"/>
        </w:rPr>
        <w:t>Artículo 5.2 inciso "en el que participarán las diputaciones provinciales".</w:t>
      </w:r>
      <w:r w:rsidRPr="00DA359F">
        <w:rPr>
          <w:rStyle w:val="TextoNormalCaracter"/>
        </w:rPr>
        <w:t>-</w:t>
      </w:r>
      <w:r>
        <w:t xml:space="preserve"> Sentencias </w:t>
      </w:r>
      <w:hyperlink w:anchor="SENTENCIA_2023_124" w:history="1">
        <w:r w:rsidRPr="00DA359F">
          <w:rPr>
            <w:rStyle w:val="TextoNormalCaracter"/>
          </w:rPr>
          <w:t>124/2023</w:t>
        </w:r>
      </w:hyperlink>
      <w:r>
        <w:t xml:space="preserve">, ff. 1, 8; </w:t>
      </w:r>
      <w:hyperlink w:anchor="SENTENCIA_2023_143" w:history="1">
        <w:r w:rsidRPr="00DA359F">
          <w:rPr>
            <w:rStyle w:val="TextoNormalCaracter"/>
          </w:rPr>
          <w:t>143/2023</w:t>
        </w:r>
      </w:hyperlink>
      <w:r>
        <w:t>, f. 2.</w:t>
      </w:r>
    </w:p>
    <w:p w14:paraId="5609E665" w14:textId="3DF3BDDC" w:rsidR="00DA359F" w:rsidRDefault="00DA359F" w:rsidP="00DA359F">
      <w:pPr>
        <w:pStyle w:val="SangriaFrancesaArticulo"/>
      </w:pPr>
      <w:r w:rsidRPr="00DA359F">
        <w:rPr>
          <w:rStyle w:val="TextoNormalNegritaCaracter"/>
        </w:rPr>
        <w:t>Artículo 5.2 inciso "y cada diputación provincial".</w:t>
      </w:r>
      <w:r w:rsidRPr="00DA359F">
        <w:rPr>
          <w:rStyle w:val="TextoNormalCaracter"/>
        </w:rPr>
        <w:t>-</w:t>
      </w:r>
      <w:r>
        <w:t xml:space="preserve"> Sentencias </w:t>
      </w:r>
      <w:hyperlink w:anchor="SENTENCIA_2023_124" w:history="1">
        <w:r w:rsidRPr="00DA359F">
          <w:rPr>
            <w:rStyle w:val="TextoNormalCaracter"/>
          </w:rPr>
          <w:t>124/2023</w:t>
        </w:r>
      </w:hyperlink>
      <w:r>
        <w:t xml:space="preserve">, ff. 1, 8; </w:t>
      </w:r>
      <w:hyperlink w:anchor="SENTENCIA_2023_143" w:history="1">
        <w:r w:rsidRPr="00DA359F">
          <w:rPr>
            <w:rStyle w:val="TextoNormalCaracter"/>
          </w:rPr>
          <w:t>143/2023</w:t>
        </w:r>
      </w:hyperlink>
      <w:r>
        <w:t>, f. 2.</w:t>
      </w:r>
    </w:p>
    <w:p w14:paraId="1F882BA9" w14:textId="2AE46551" w:rsidR="00DA359F" w:rsidRDefault="00DA359F" w:rsidP="00DA359F">
      <w:pPr>
        <w:pStyle w:val="SangriaFrancesaArticulo"/>
      </w:pPr>
      <w:r w:rsidRPr="00DA359F">
        <w:rPr>
          <w:rStyle w:val="TextoNormalNegritaCaracter"/>
        </w:rPr>
        <w:t>Artículo 5.5.</w:t>
      </w:r>
      <w:r w:rsidRPr="00DA359F">
        <w:rPr>
          <w:rStyle w:val="TextoNormalCaracter"/>
        </w:rPr>
        <w:t>-</w:t>
      </w:r>
      <w:r>
        <w:t xml:space="preserve"> Sentencias </w:t>
      </w:r>
      <w:hyperlink w:anchor="SENTENCIA_2023_124" w:history="1">
        <w:r w:rsidRPr="00DA359F">
          <w:rPr>
            <w:rStyle w:val="TextoNormalCaracter"/>
          </w:rPr>
          <w:t>124/2023</w:t>
        </w:r>
      </w:hyperlink>
      <w:r>
        <w:t xml:space="preserve">, ff. 1, 8, VP II; </w:t>
      </w:r>
      <w:hyperlink w:anchor="SENTENCIA_2023_143" w:history="1">
        <w:r w:rsidRPr="00DA359F">
          <w:rPr>
            <w:rStyle w:val="TextoNormalCaracter"/>
          </w:rPr>
          <w:t>143/2023</w:t>
        </w:r>
      </w:hyperlink>
      <w:r>
        <w:t>, ff. 1, 2.</w:t>
      </w:r>
    </w:p>
    <w:p w14:paraId="1F0EAF77" w14:textId="084D7D28" w:rsidR="00DA359F" w:rsidRDefault="00DA359F" w:rsidP="00DA359F">
      <w:pPr>
        <w:pStyle w:val="SangriaFrancesaArticulo"/>
      </w:pPr>
      <w:r w:rsidRPr="00DA359F">
        <w:rPr>
          <w:rStyle w:val="TextoNormalNegritaCaracter"/>
        </w:rPr>
        <w:t>Artículo 5.6.</w:t>
      </w:r>
      <w:r w:rsidRPr="00DA359F">
        <w:rPr>
          <w:rStyle w:val="TextoNormalCaracter"/>
        </w:rPr>
        <w:t>-</w:t>
      </w:r>
      <w:r>
        <w:t xml:space="preserve"> Sentencias </w:t>
      </w:r>
      <w:hyperlink w:anchor="SENTENCIA_2023_124" w:history="1">
        <w:r w:rsidRPr="00DA359F">
          <w:rPr>
            <w:rStyle w:val="TextoNormalCaracter"/>
          </w:rPr>
          <w:t>124/2023</w:t>
        </w:r>
      </w:hyperlink>
      <w:r>
        <w:t xml:space="preserve">, ff. 1, 8, VP II; </w:t>
      </w:r>
      <w:hyperlink w:anchor="SENTENCIA_2023_143" w:history="1">
        <w:r w:rsidRPr="00DA359F">
          <w:rPr>
            <w:rStyle w:val="TextoNormalCaracter"/>
          </w:rPr>
          <w:t>143/2023</w:t>
        </w:r>
      </w:hyperlink>
      <w:r>
        <w:t>, ff. 1, 2.</w:t>
      </w:r>
    </w:p>
    <w:p w14:paraId="63DDF24A" w14:textId="6BEE62E7" w:rsidR="00DA359F" w:rsidRDefault="00DA359F" w:rsidP="00DA359F">
      <w:pPr>
        <w:pStyle w:val="SangriaFrancesaArticulo"/>
      </w:pPr>
      <w:r w:rsidRPr="00DA359F">
        <w:rPr>
          <w:rStyle w:val="TextoNormalNegritaCaracter"/>
        </w:rPr>
        <w:t>Artículo 5.6 inciso ", en aplicación del artículo 66 del Estatuto de autonomía de la Comunitat Valenciana,".</w:t>
      </w:r>
      <w:r w:rsidRPr="00DA359F">
        <w:rPr>
          <w:rStyle w:val="TextoNormalCaracter"/>
        </w:rPr>
        <w:t>-</w:t>
      </w:r>
      <w:r>
        <w:t xml:space="preserve"> Sentencia </w:t>
      </w:r>
      <w:hyperlink w:anchor="SENTENCIA_2023_124" w:history="1">
        <w:r w:rsidRPr="00DA359F">
          <w:rPr>
            <w:rStyle w:val="TextoNormalCaracter"/>
          </w:rPr>
          <w:t>124/2023</w:t>
        </w:r>
      </w:hyperlink>
      <w:r>
        <w:t>, f. 8.</w:t>
      </w:r>
    </w:p>
    <w:p w14:paraId="55D16ABE" w14:textId="7F4D6934" w:rsidR="00DA359F" w:rsidRDefault="00DA359F" w:rsidP="00DA359F">
      <w:pPr>
        <w:pStyle w:val="SangriaFrancesaArticulo"/>
      </w:pPr>
      <w:r w:rsidRPr="00DA359F">
        <w:rPr>
          <w:rStyle w:val="TextoNormalNegritaCaracter"/>
        </w:rPr>
        <w:t>Artículos 5.</w:t>
      </w:r>
      <w:r w:rsidRPr="00DA359F">
        <w:rPr>
          <w:rStyle w:val="TextoNormalCaracter"/>
        </w:rPr>
        <w:t>-</w:t>
      </w:r>
      <w:r>
        <w:t xml:space="preserve"> Sentencia </w:t>
      </w:r>
      <w:hyperlink w:anchor="SENTENCIA_2023_124" w:history="1">
        <w:r w:rsidRPr="00DA359F">
          <w:rPr>
            <w:rStyle w:val="TextoNormalCaracter"/>
          </w:rPr>
          <w:t>124/2023</w:t>
        </w:r>
      </w:hyperlink>
      <w:r>
        <w:t>, VP I, VP II.</w:t>
      </w:r>
    </w:p>
    <w:p w14:paraId="1A171C87" w14:textId="759ADFA5" w:rsidR="00DA359F" w:rsidRDefault="00DA359F" w:rsidP="00DA359F">
      <w:pPr>
        <w:pStyle w:val="SangriaFrancesaArticulo"/>
      </w:pPr>
      <w:r w:rsidRPr="00DA359F">
        <w:rPr>
          <w:rStyle w:val="TextoNormalNegritaCaracter"/>
        </w:rPr>
        <w:t>Artículo 7.</w:t>
      </w:r>
      <w:r w:rsidRPr="00DA359F">
        <w:rPr>
          <w:rStyle w:val="TextoNormalCaracter"/>
        </w:rPr>
        <w:t>-</w:t>
      </w:r>
      <w:r>
        <w:t xml:space="preserve"> Sentencias </w:t>
      </w:r>
      <w:hyperlink w:anchor="SENTENCIA_2023_124" w:history="1">
        <w:r w:rsidRPr="00DA359F">
          <w:rPr>
            <w:rStyle w:val="TextoNormalCaracter"/>
          </w:rPr>
          <w:t>124/2023</w:t>
        </w:r>
      </w:hyperlink>
      <w:r>
        <w:t xml:space="preserve">, ff. 1, 2, 8, VP II; </w:t>
      </w:r>
      <w:hyperlink w:anchor="SENTENCIA_2023_143" w:history="1">
        <w:r w:rsidRPr="00DA359F">
          <w:rPr>
            <w:rStyle w:val="TextoNormalCaracter"/>
          </w:rPr>
          <w:t>143/2023</w:t>
        </w:r>
      </w:hyperlink>
      <w:r>
        <w:t>, f. 2.</w:t>
      </w:r>
    </w:p>
    <w:p w14:paraId="12D38E97" w14:textId="1CB76698" w:rsidR="00DA359F" w:rsidRDefault="00DA359F" w:rsidP="00DA359F">
      <w:pPr>
        <w:pStyle w:val="SangriaFrancesaArticulo"/>
      </w:pPr>
      <w:r w:rsidRPr="00DA359F">
        <w:rPr>
          <w:rStyle w:val="TextoNormalNegritaCaracter"/>
        </w:rPr>
        <w:t>Artículo 7 a).</w:t>
      </w:r>
      <w:r w:rsidRPr="00DA359F">
        <w:rPr>
          <w:rStyle w:val="TextoNormalCaracter"/>
        </w:rPr>
        <w:t>-</w:t>
      </w:r>
      <w:r>
        <w:t xml:space="preserve"> Sentencia </w:t>
      </w:r>
      <w:hyperlink w:anchor="SENTENCIA_2023_143" w:history="1">
        <w:r w:rsidRPr="00DA359F">
          <w:rPr>
            <w:rStyle w:val="TextoNormalCaracter"/>
          </w:rPr>
          <w:t>143/2023</w:t>
        </w:r>
      </w:hyperlink>
      <w:r>
        <w:t>, f. 1.</w:t>
      </w:r>
    </w:p>
    <w:p w14:paraId="1DD29FA2" w14:textId="21B60A27" w:rsidR="00DA359F" w:rsidRDefault="00DA359F" w:rsidP="00DA359F">
      <w:pPr>
        <w:pStyle w:val="SangriaFrancesaArticulo"/>
      </w:pPr>
      <w:r w:rsidRPr="00DA359F">
        <w:rPr>
          <w:rStyle w:val="TextoNormalNegritaCaracter"/>
        </w:rPr>
        <w:t>Artículo 7 b).</w:t>
      </w:r>
      <w:r w:rsidRPr="00DA359F">
        <w:rPr>
          <w:rStyle w:val="TextoNormalCaracter"/>
        </w:rPr>
        <w:t>-</w:t>
      </w:r>
      <w:r>
        <w:t xml:space="preserve"> Sentencia </w:t>
      </w:r>
      <w:hyperlink w:anchor="SENTENCIA_2023_124" w:history="1">
        <w:r w:rsidRPr="00DA359F">
          <w:rPr>
            <w:rStyle w:val="TextoNormalCaracter"/>
          </w:rPr>
          <w:t>124/2023</w:t>
        </w:r>
      </w:hyperlink>
      <w:r>
        <w:t>, f. 8.</w:t>
      </w:r>
    </w:p>
    <w:p w14:paraId="097B2C58" w14:textId="5183C525" w:rsidR="00DA359F" w:rsidRDefault="00DA359F" w:rsidP="00DA359F">
      <w:pPr>
        <w:pStyle w:val="SangriaFrancesaArticulo"/>
      </w:pPr>
      <w:r w:rsidRPr="00DA359F">
        <w:rPr>
          <w:rStyle w:val="TextoNormalNegritaCaracter"/>
        </w:rPr>
        <w:t>Artículo 7 c).</w:t>
      </w:r>
      <w:r w:rsidRPr="00DA359F">
        <w:rPr>
          <w:rStyle w:val="TextoNormalCaracter"/>
        </w:rPr>
        <w:t>-</w:t>
      </w:r>
      <w:r>
        <w:t xml:space="preserve"> Sentencia </w:t>
      </w:r>
      <w:hyperlink w:anchor="SENTENCIA_2023_124" w:history="1">
        <w:r w:rsidRPr="00DA359F">
          <w:rPr>
            <w:rStyle w:val="TextoNormalCaracter"/>
          </w:rPr>
          <w:t>124/2023</w:t>
        </w:r>
      </w:hyperlink>
      <w:r>
        <w:t>, f. 8.</w:t>
      </w:r>
    </w:p>
    <w:p w14:paraId="41147203" w14:textId="0D64C4DC" w:rsidR="00DA359F" w:rsidRDefault="00DA359F" w:rsidP="00DA359F">
      <w:pPr>
        <w:pStyle w:val="SangriaFrancesaArticulo"/>
      </w:pPr>
      <w:r w:rsidRPr="00DA359F">
        <w:rPr>
          <w:rStyle w:val="TextoNormalNegritaCaracter"/>
        </w:rPr>
        <w:t>Artículo 8.</w:t>
      </w:r>
      <w:r w:rsidRPr="00DA359F">
        <w:rPr>
          <w:rStyle w:val="TextoNormalCaracter"/>
        </w:rPr>
        <w:t>-</w:t>
      </w:r>
      <w:r>
        <w:t xml:space="preserve"> Sentencias </w:t>
      </w:r>
      <w:hyperlink w:anchor="SENTENCIA_2023_124" w:history="1">
        <w:r w:rsidRPr="00DA359F">
          <w:rPr>
            <w:rStyle w:val="TextoNormalCaracter"/>
          </w:rPr>
          <w:t>124/2023</w:t>
        </w:r>
      </w:hyperlink>
      <w:r>
        <w:t xml:space="preserve">, ff. 1, 8, VP I, VP II; </w:t>
      </w:r>
      <w:hyperlink w:anchor="SENTENCIA_2023_143" w:history="1">
        <w:r w:rsidRPr="00DA359F">
          <w:rPr>
            <w:rStyle w:val="TextoNormalCaracter"/>
          </w:rPr>
          <w:t>143/2023</w:t>
        </w:r>
      </w:hyperlink>
      <w:r>
        <w:t>, ff. 1, 2.</w:t>
      </w:r>
    </w:p>
    <w:p w14:paraId="09BB573B" w14:textId="4B718E0E" w:rsidR="00DA359F" w:rsidRDefault="00DA359F" w:rsidP="00DA359F">
      <w:pPr>
        <w:pStyle w:val="SangriaFrancesaArticulo"/>
      </w:pPr>
      <w:r w:rsidRPr="00DA359F">
        <w:rPr>
          <w:rStyle w:val="TextoNormalNegritaCaracter"/>
        </w:rPr>
        <w:t>Artículo 8.2.</w:t>
      </w:r>
      <w:r w:rsidRPr="00DA359F">
        <w:rPr>
          <w:rStyle w:val="TextoNormalCaracter"/>
        </w:rPr>
        <w:t>-</w:t>
      </w:r>
      <w:r>
        <w:t xml:space="preserve"> Sentencia </w:t>
      </w:r>
      <w:hyperlink w:anchor="SENTENCIA_2023_124" w:history="1">
        <w:r w:rsidRPr="00DA359F">
          <w:rPr>
            <w:rStyle w:val="TextoNormalCaracter"/>
          </w:rPr>
          <w:t>124/2023</w:t>
        </w:r>
      </w:hyperlink>
      <w:r>
        <w:t>, f. 8.</w:t>
      </w:r>
    </w:p>
    <w:p w14:paraId="0B4AD9FC" w14:textId="7E3BD6DA" w:rsidR="00DA359F" w:rsidRDefault="00DA359F" w:rsidP="00DA359F">
      <w:pPr>
        <w:pStyle w:val="SangriaFrancesaArticulo"/>
      </w:pPr>
      <w:r w:rsidRPr="00DA359F">
        <w:rPr>
          <w:rStyle w:val="TextoNormalNegritaCaracter"/>
        </w:rPr>
        <w:t>Artículo 9.1.</w:t>
      </w:r>
      <w:r w:rsidRPr="00DA359F">
        <w:rPr>
          <w:rStyle w:val="TextoNormalCaracter"/>
        </w:rPr>
        <w:t>-</w:t>
      </w:r>
      <w:r>
        <w:t xml:space="preserve"> Sentencia </w:t>
      </w:r>
      <w:hyperlink w:anchor="SENTENCIA_2023_143" w:history="1">
        <w:r w:rsidRPr="00DA359F">
          <w:rPr>
            <w:rStyle w:val="TextoNormalCaracter"/>
          </w:rPr>
          <w:t>143/2023</w:t>
        </w:r>
      </w:hyperlink>
      <w:r>
        <w:t>, ff. 1 a 3.</w:t>
      </w:r>
    </w:p>
    <w:p w14:paraId="4C36CA91" w14:textId="62A47629" w:rsidR="00DA359F" w:rsidRDefault="00DA359F" w:rsidP="00DA359F">
      <w:pPr>
        <w:pStyle w:val="SangriaFrancesaArticulo"/>
      </w:pPr>
      <w:r w:rsidRPr="00DA359F">
        <w:rPr>
          <w:rStyle w:val="TextoNormalNegritaCaracter"/>
        </w:rPr>
        <w:t>Artículo 10.</w:t>
      </w:r>
      <w:r w:rsidRPr="00DA359F">
        <w:rPr>
          <w:rStyle w:val="TextoNormalCaracter"/>
        </w:rPr>
        <w:t>-</w:t>
      </w:r>
      <w:r>
        <w:t xml:space="preserve"> Sentencia </w:t>
      </w:r>
      <w:hyperlink w:anchor="SENTENCIA_2023_124" w:history="1">
        <w:r w:rsidRPr="00DA359F">
          <w:rPr>
            <w:rStyle w:val="TextoNormalCaracter"/>
          </w:rPr>
          <w:t>124/2023</w:t>
        </w:r>
      </w:hyperlink>
      <w:r>
        <w:t>, f. 8, VP II.</w:t>
      </w:r>
    </w:p>
    <w:p w14:paraId="0D45E412" w14:textId="1A3CAAC2" w:rsidR="00DA359F" w:rsidRDefault="00DA359F" w:rsidP="00DA359F">
      <w:pPr>
        <w:pStyle w:val="SangriaFrancesaArticulo"/>
      </w:pPr>
      <w:r w:rsidRPr="00DA359F">
        <w:rPr>
          <w:rStyle w:val="TextoNormalNegritaCaracter"/>
        </w:rPr>
        <w:t>Artículo 11.</w:t>
      </w:r>
      <w:r w:rsidRPr="00DA359F">
        <w:rPr>
          <w:rStyle w:val="TextoNormalCaracter"/>
        </w:rPr>
        <w:t>-</w:t>
      </w:r>
      <w:r>
        <w:t xml:space="preserve"> Sentencia </w:t>
      </w:r>
      <w:hyperlink w:anchor="SENTENCIA_2023_124" w:history="1">
        <w:r w:rsidRPr="00DA359F">
          <w:rPr>
            <w:rStyle w:val="TextoNormalCaracter"/>
          </w:rPr>
          <w:t>124/2023</w:t>
        </w:r>
      </w:hyperlink>
      <w:r>
        <w:t>, f. 8, VP II.</w:t>
      </w:r>
    </w:p>
    <w:p w14:paraId="192D68BC" w14:textId="012D30BB" w:rsidR="00DA359F" w:rsidRDefault="00DA359F" w:rsidP="00DA359F">
      <w:pPr>
        <w:pStyle w:val="SangriaFrancesaArticulo"/>
      </w:pPr>
      <w:r w:rsidRPr="00DA359F">
        <w:rPr>
          <w:rStyle w:val="TextoNormalNegritaCaracter"/>
        </w:rPr>
        <w:t>Artículo 11.1 d).</w:t>
      </w:r>
      <w:r w:rsidRPr="00DA359F">
        <w:rPr>
          <w:rStyle w:val="TextoNormalCaracter"/>
        </w:rPr>
        <w:t>-</w:t>
      </w:r>
      <w:r>
        <w:t xml:space="preserve"> Sentencia </w:t>
      </w:r>
      <w:hyperlink w:anchor="SENTENCIA_2023_143" w:history="1">
        <w:r w:rsidRPr="00DA359F">
          <w:rPr>
            <w:rStyle w:val="TextoNormalCaracter"/>
          </w:rPr>
          <w:t>143/2023</w:t>
        </w:r>
      </w:hyperlink>
      <w:r>
        <w:t>, ff. 1 a 3.</w:t>
      </w:r>
    </w:p>
    <w:p w14:paraId="1CFA400C" w14:textId="09F9413C" w:rsidR="00DA359F" w:rsidRDefault="00DA359F" w:rsidP="00DA359F">
      <w:pPr>
        <w:pStyle w:val="SangriaFrancesaArticulo"/>
      </w:pPr>
      <w:r w:rsidRPr="00DA359F">
        <w:rPr>
          <w:rStyle w:val="TextoNormalNegritaCaracter"/>
        </w:rPr>
        <w:t>Artículo 11.2 e) tercer guion.</w:t>
      </w:r>
      <w:r w:rsidRPr="00DA359F">
        <w:rPr>
          <w:rStyle w:val="TextoNormalCaracter"/>
        </w:rPr>
        <w:t>-</w:t>
      </w:r>
      <w:r>
        <w:t xml:space="preserve"> Sentencia </w:t>
      </w:r>
      <w:hyperlink w:anchor="SENTENCIA_2023_143" w:history="1">
        <w:r w:rsidRPr="00DA359F">
          <w:rPr>
            <w:rStyle w:val="TextoNormalCaracter"/>
          </w:rPr>
          <w:t>143/2023</w:t>
        </w:r>
      </w:hyperlink>
      <w:r>
        <w:t>, ff. 1 a 3.</w:t>
      </w:r>
    </w:p>
    <w:p w14:paraId="0C69FFEA" w14:textId="206DC143" w:rsidR="00DA359F" w:rsidRDefault="00DA359F" w:rsidP="00DA359F">
      <w:pPr>
        <w:pStyle w:val="SangriaFrancesaArticulo"/>
      </w:pPr>
      <w:r w:rsidRPr="00DA359F">
        <w:rPr>
          <w:rStyle w:val="TextoNormalNegritaCaracter"/>
        </w:rPr>
        <w:t>Artículo 12 a).</w:t>
      </w:r>
      <w:r w:rsidRPr="00DA359F">
        <w:rPr>
          <w:rStyle w:val="TextoNormalCaracter"/>
        </w:rPr>
        <w:t>-</w:t>
      </w:r>
      <w:r>
        <w:t xml:space="preserve"> Sentencia </w:t>
      </w:r>
      <w:hyperlink w:anchor="SENTENCIA_2023_124" w:history="1">
        <w:r w:rsidRPr="00DA359F">
          <w:rPr>
            <w:rStyle w:val="TextoNormalCaracter"/>
          </w:rPr>
          <w:t>124/2023</w:t>
        </w:r>
      </w:hyperlink>
      <w:r>
        <w:t>, VP II.</w:t>
      </w:r>
    </w:p>
    <w:p w14:paraId="10BA1F9F" w14:textId="11896389" w:rsidR="00DA359F" w:rsidRDefault="00DA359F" w:rsidP="00DA359F">
      <w:pPr>
        <w:pStyle w:val="SangriaFrancesaArticulo"/>
      </w:pPr>
      <w:r w:rsidRPr="00DA359F">
        <w:rPr>
          <w:rStyle w:val="TextoNormalNegritaCaracter"/>
        </w:rPr>
        <w:t>Disposición adicional primera.</w:t>
      </w:r>
      <w:r w:rsidRPr="00DA359F">
        <w:rPr>
          <w:rStyle w:val="TextoNormalCaracter"/>
        </w:rPr>
        <w:t>-</w:t>
      </w:r>
      <w:r>
        <w:t xml:space="preserve"> Sentencia </w:t>
      </w:r>
      <w:hyperlink w:anchor="SENTENCIA_2023_124" w:history="1">
        <w:r w:rsidRPr="00DA359F">
          <w:rPr>
            <w:rStyle w:val="TextoNormalCaracter"/>
          </w:rPr>
          <w:t>124/2023</w:t>
        </w:r>
      </w:hyperlink>
      <w:r>
        <w:t>, f. 3.</w:t>
      </w:r>
    </w:p>
    <w:p w14:paraId="3D3C692C" w14:textId="13E87EF8" w:rsidR="00DA359F" w:rsidRDefault="00DA359F" w:rsidP="00DA359F">
      <w:pPr>
        <w:pStyle w:val="SangriaFrancesaArticulo"/>
      </w:pPr>
      <w:r w:rsidRPr="00DA359F">
        <w:rPr>
          <w:rStyle w:val="TextoNormalNegritaCaracter"/>
        </w:rPr>
        <w:t>Disposición adicional segunda.</w:t>
      </w:r>
      <w:r w:rsidRPr="00DA359F">
        <w:rPr>
          <w:rStyle w:val="TextoNormalCaracter"/>
        </w:rPr>
        <w:t>-</w:t>
      </w:r>
      <w:r>
        <w:t xml:space="preserve"> Sentencia </w:t>
      </w:r>
      <w:hyperlink w:anchor="SENTENCIA_2023_124" w:history="1">
        <w:r w:rsidRPr="00DA359F">
          <w:rPr>
            <w:rStyle w:val="TextoNormalCaracter"/>
          </w:rPr>
          <w:t>124/2023</w:t>
        </w:r>
      </w:hyperlink>
      <w:r>
        <w:t>, f. 3.</w:t>
      </w:r>
    </w:p>
    <w:p w14:paraId="02ACFF27" w14:textId="4602E742" w:rsidR="00DA359F" w:rsidRDefault="00DA359F" w:rsidP="00DA359F">
      <w:pPr>
        <w:pStyle w:val="SangriaFrancesaArticulo"/>
      </w:pPr>
      <w:r w:rsidRPr="00DA359F">
        <w:rPr>
          <w:rStyle w:val="TextoNormalNegritaCaracter"/>
        </w:rPr>
        <w:t>Disposición derogatoria única.</w:t>
      </w:r>
      <w:r w:rsidRPr="00DA359F">
        <w:rPr>
          <w:rStyle w:val="TextoNormalCaracter"/>
        </w:rPr>
        <w:t>-</w:t>
      </w:r>
      <w:r>
        <w:t xml:space="preserve"> Sentencia </w:t>
      </w:r>
      <w:hyperlink w:anchor="SENTENCIA_2023_124" w:history="1">
        <w:r w:rsidRPr="00DA359F">
          <w:rPr>
            <w:rStyle w:val="TextoNormalCaracter"/>
          </w:rPr>
          <w:t>124/2023</w:t>
        </w:r>
      </w:hyperlink>
      <w:r>
        <w:t>, f. 3.</w:t>
      </w:r>
    </w:p>
    <w:p w14:paraId="69CAD594" w14:textId="137610E5" w:rsidR="00DA359F" w:rsidRDefault="00DA359F" w:rsidP="00DA359F">
      <w:pPr>
        <w:pStyle w:val="SangriaFrancesaArticulo"/>
      </w:pPr>
      <w:r w:rsidRPr="00DA359F">
        <w:rPr>
          <w:rStyle w:val="TextoNormalNegritaCaracter"/>
        </w:rPr>
        <w:t>Disposición final primera.</w:t>
      </w:r>
      <w:r w:rsidRPr="00DA359F">
        <w:rPr>
          <w:rStyle w:val="TextoNormalCaracter"/>
        </w:rPr>
        <w:t>-</w:t>
      </w:r>
      <w:r>
        <w:t xml:space="preserve"> Sentencias </w:t>
      </w:r>
      <w:hyperlink w:anchor="SENTENCIA_2023_124" w:history="1">
        <w:r w:rsidRPr="00DA359F">
          <w:rPr>
            <w:rStyle w:val="TextoNormalCaracter"/>
          </w:rPr>
          <w:t>124/2023</w:t>
        </w:r>
      </w:hyperlink>
      <w:r>
        <w:t xml:space="preserve">, f. 3; </w:t>
      </w:r>
      <w:hyperlink w:anchor="SENTENCIA_2023_143" w:history="1">
        <w:r w:rsidRPr="00DA359F">
          <w:rPr>
            <w:rStyle w:val="TextoNormalCaracter"/>
          </w:rPr>
          <w:t>143/2023</w:t>
        </w:r>
      </w:hyperlink>
      <w:r>
        <w:t>, ff. 1 a 3.</w:t>
      </w:r>
    </w:p>
    <w:p w14:paraId="78D104AB" w14:textId="4EEC2B8C" w:rsidR="00DA359F" w:rsidRDefault="00DA359F" w:rsidP="00DA359F">
      <w:pPr>
        <w:pStyle w:val="SangriaFrancesaArticulo"/>
      </w:pPr>
      <w:r w:rsidRPr="00DA359F">
        <w:rPr>
          <w:rStyle w:val="TextoNormalNegritaCaracter"/>
        </w:rPr>
        <w:t>Disposición final segunda.</w:t>
      </w:r>
      <w:r w:rsidRPr="00DA359F">
        <w:rPr>
          <w:rStyle w:val="TextoNormalCaracter"/>
        </w:rPr>
        <w:t>-</w:t>
      </w:r>
      <w:r>
        <w:t xml:space="preserve"> Sentencia </w:t>
      </w:r>
      <w:hyperlink w:anchor="SENTENCIA_2023_124" w:history="1">
        <w:r w:rsidRPr="00DA359F">
          <w:rPr>
            <w:rStyle w:val="TextoNormalCaracter"/>
          </w:rPr>
          <w:t>124/2023</w:t>
        </w:r>
      </w:hyperlink>
      <w:r>
        <w:t>, f. 3.</w:t>
      </w:r>
    </w:p>
    <w:p w14:paraId="57DF6F96" w14:textId="31C8A0E3" w:rsidR="00DA359F" w:rsidRDefault="00DA359F" w:rsidP="00DA359F">
      <w:pPr>
        <w:pStyle w:val="TextoNormal"/>
      </w:pPr>
    </w:p>
    <w:p w14:paraId="7FE12565" w14:textId="77777777" w:rsidR="00DA359F" w:rsidRDefault="00DA359F" w:rsidP="00DA359F">
      <w:pPr>
        <w:pStyle w:val="TextoNormalNegritaCentradoSubrayado"/>
        <w:suppressAutoHyphens/>
      </w:pPr>
      <w:r>
        <w:t>J.15.c) Decretos y otras disposiciones reglamentarias</w:t>
      </w:r>
    </w:p>
    <w:p w14:paraId="62B93EA1" w14:textId="77A4947B" w:rsidR="00DA359F" w:rsidRDefault="00DA359F" w:rsidP="00DA359F">
      <w:pPr>
        <w:pStyle w:val="TextoNormalNegritaCentradoSubrayado"/>
      </w:pPr>
    </w:p>
    <w:p w14:paraId="3DDA7ED5" w14:textId="77777777" w:rsidR="00DA359F" w:rsidRDefault="00DA359F" w:rsidP="00DA359F">
      <w:pPr>
        <w:pStyle w:val="TextoNormalNegritaCursivandice"/>
        <w:keepNext/>
      </w:pPr>
      <w:r>
        <w:t>Comunitat Valenciana. Decreto 51/2017, de 7 de abril, del Consell, por el que se regula el fondo de cooperación municipal incondicionado de la Comunitat Valenciana</w:t>
      </w:r>
    </w:p>
    <w:p w14:paraId="12F94912" w14:textId="78E0D60A"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124" w:history="1">
        <w:r w:rsidRPr="00DA359F">
          <w:rPr>
            <w:rStyle w:val="TextoNormalCaracter"/>
          </w:rPr>
          <w:t>124/2023</w:t>
        </w:r>
      </w:hyperlink>
      <w:r>
        <w:t>, f. 3.</w:t>
      </w:r>
    </w:p>
    <w:p w14:paraId="56AC8612" w14:textId="52F69D9C" w:rsidR="00DA359F" w:rsidRDefault="00DA359F" w:rsidP="00DA359F">
      <w:pPr>
        <w:pStyle w:val="SangriaFrancesaArticulo"/>
      </w:pPr>
      <w:r w:rsidRPr="00DA359F">
        <w:rPr>
          <w:rStyle w:val="TextoNormalNegritaCaracter"/>
        </w:rPr>
        <w:t>Capítulo II.</w:t>
      </w:r>
      <w:r w:rsidRPr="00DA359F">
        <w:rPr>
          <w:rStyle w:val="TextoNormalCaracter"/>
        </w:rPr>
        <w:t>-</w:t>
      </w:r>
      <w:r>
        <w:t xml:space="preserve"> Sentencia </w:t>
      </w:r>
      <w:hyperlink w:anchor="SENTENCIA_2023_124" w:history="1">
        <w:r w:rsidRPr="00DA359F">
          <w:rPr>
            <w:rStyle w:val="TextoNormalCaracter"/>
          </w:rPr>
          <w:t>124/2023</w:t>
        </w:r>
      </w:hyperlink>
      <w:r>
        <w:t>, f. 3.</w:t>
      </w:r>
    </w:p>
    <w:p w14:paraId="27FEDED6" w14:textId="77B7866A" w:rsidR="00DA359F" w:rsidRDefault="00DA359F" w:rsidP="00DA359F">
      <w:pPr>
        <w:pStyle w:val="SangriaFrancesaArticulo"/>
      </w:pPr>
    </w:p>
    <w:p w14:paraId="04C07201" w14:textId="77777777" w:rsidR="00DA359F" w:rsidRDefault="00DA359F" w:rsidP="00DA359F">
      <w:pPr>
        <w:pStyle w:val="TextoNormalNegritaCursivandice"/>
        <w:keepNext/>
      </w:pPr>
      <w:r>
        <w:t>Comunitat Valenciana. Acuerdo de 17 de junio de 2022, del Consell, por el que se aprueba el plan sectorial de financiación básica del fondo de cooperación municipal</w:t>
      </w:r>
    </w:p>
    <w:p w14:paraId="442E7911" w14:textId="51223CC3"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124" w:history="1">
        <w:r w:rsidRPr="00DA359F">
          <w:rPr>
            <w:rStyle w:val="TextoNormalCaracter"/>
          </w:rPr>
          <w:t>124/2023</w:t>
        </w:r>
      </w:hyperlink>
      <w:r>
        <w:t>, f. 8.</w:t>
      </w:r>
    </w:p>
    <w:p w14:paraId="36372AEC" w14:textId="7D767333" w:rsidR="00DA359F" w:rsidRDefault="00DA359F" w:rsidP="00DA359F">
      <w:pPr>
        <w:pStyle w:val="SangriaFrancesaArticulo"/>
      </w:pPr>
    </w:p>
    <w:p w14:paraId="0BAC416D" w14:textId="77777777" w:rsidR="00DA359F" w:rsidRDefault="00DA359F" w:rsidP="00DA359F">
      <w:pPr>
        <w:pStyle w:val="TextoNormalNegritaCursivandice"/>
        <w:keepNext/>
      </w:pPr>
      <w:r>
        <w:t>Comunitat Valenciana. Acuerdo de 24 de marzo de 2023, del Consell, por el que se aprueba el plan sectorial de financiación básica del fondo de cooperación municipal, para el ejercicio 2024</w:t>
      </w:r>
    </w:p>
    <w:p w14:paraId="1A98153D" w14:textId="3F77326C"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124" w:history="1">
        <w:r w:rsidRPr="00DA359F">
          <w:rPr>
            <w:rStyle w:val="TextoNormalCaracter"/>
          </w:rPr>
          <w:t>124/2023</w:t>
        </w:r>
      </w:hyperlink>
      <w:r>
        <w:t>, f. 8.</w:t>
      </w:r>
    </w:p>
    <w:p w14:paraId="1A3F0C4A" w14:textId="7FC74467" w:rsidR="00DA359F" w:rsidRDefault="00DA359F" w:rsidP="00DA359F">
      <w:pPr>
        <w:pStyle w:val="TextoNormal"/>
      </w:pPr>
    </w:p>
    <w:p w14:paraId="0F174600" w14:textId="77777777" w:rsidR="00DA359F" w:rsidRDefault="00DA359F" w:rsidP="00DA359F">
      <w:pPr>
        <w:pStyle w:val="TextoNormalNegritaCentradoSubrayado"/>
        <w:suppressAutoHyphens/>
      </w:pPr>
      <w:r>
        <w:t>J.15.d) Disposiciones parlamentarias autonómicas</w:t>
      </w:r>
    </w:p>
    <w:p w14:paraId="3F735FEE" w14:textId="483407AD" w:rsidR="00DA359F" w:rsidRDefault="00DA359F" w:rsidP="00DA359F">
      <w:pPr>
        <w:pStyle w:val="TextoNormalNegritaCentradoSubrayado"/>
      </w:pPr>
    </w:p>
    <w:p w14:paraId="4746CA35" w14:textId="77777777" w:rsidR="00DA359F" w:rsidRDefault="00DA359F" w:rsidP="00DA359F">
      <w:pPr>
        <w:pStyle w:val="TextoNormalNegritaCursivandice"/>
        <w:keepNext/>
      </w:pPr>
      <w:r>
        <w:t>Comunitat Valenciana. Reglamento de las Cortes Valencianas, texto consolidado aprobado por el Pleno el 18 de diciembre de 2006</w:t>
      </w:r>
    </w:p>
    <w:p w14:paraId="6559F8F9" w14:textId="2566587E" w:rsidR="00DA359F" w:rsidRDefault="00DA359F" w:rsidP="00DA359F">
      <w:pPr>
        <w:pStyle w:val="SangriaFrancesaArticulo"/>
      </w:pPr>
      <w:r w:rsidRPr="00DA359F">
        <w:rPr>
          <w:rStyle w:val="TextoNormalNegritaCaracter"/>
        </w:rPr>
        <w:t>Artículo 56.</w:t>
      </w:r>
      <w:r w:rsidRPr="00DA359F">
        <w:rPr>
          <w:rStyle w:val="TextoNormalCaracter"/>
        </w:rPr>
        <w:t>-</w:t>
      </w:r>
      <w:r>
        <w:t xml:space="preserve"> Sentencia </w:t>
      </w:r>
      <w:hyperlink w:anchor="SENTENCIA_2023_167" w:history="1">
        <w:r w:rsidRPr="00DA359F">
          <w:rPr>
            <w:rStyle w:val="TextoNormalCaracter"/>
          </w:rPr>
          <w:t>167/2023</w:t>
        </w:r>
      </w:hyperlink>
      <w:r>
        <w:t>, f. 10.</w:t>
      </w:r>
    </w:p>
    <w:p w14:paraId="7981EBDA" w14:textId="0841F4D3" w:rsidR="00DA359F" w:rsidRDefault="00DA359F" w:rsidP="00DA359F">
      <w:pPr>
        <w:pStyle w:val="TextoNormal"/>
      </w:pPr>
    </w:p>
    <w:p w14:paraId="3B20207E" w14:textId="77777777" w:rsidR="00DA359F" w:rsidRDefault="00DA359F" w:rsidP="00DA359F">
      <w:pPr>
        <w:pStyle w:val="SangriaFrancesaArticulo"/>
      </w:pPr>
      <w:bookmarkStart w:id="490" w:name="INDICE22869"/>
    </w:p>
    <w:bookmarkEnd w:id="490"/>
    <w:p w14:paraId="25140618" w14:textId="77777777" w:rsidR="00DA359F" w:rsidRDefault="00DA359F" w:rsidP="00DA359F">
      <w:pPr>
        <w:pStyle w:val="TextoIndiceNivel2"/>
        <w:suppressAutoHyphens/>
      </w:pPr>
      <w:r>
        <w:t>K) Territorios históricos y corporaciones locales</w:t>
      </w:r>
    </w:p>
    <w:p w14:paraId="62EFD6F0" w14:textId="26159579" w:rsidR="00DA359F" w:rsidRDefault="00DA359F" w:rsidP="00DA359F">
      <w:pPr>
        <w:pStyle w:val="TextoNormal"/>
      </w:pPr>
    </w:p>
    <w:p w14:paraId="7A9C295D" w14:textId="77777777" w:rsidR="00DA359F" w:rsidRDefault="00DA359F" w:rsidP="00DA359F">
      <w:pPr>
        <w:pStyle w:val="TextoNormalNegritaCentrado"/>
        <w:suppressAutoHyphens/>
      </w:pPr>
      <w:r w:rsidRPr="00DA359F">
        <w:rPr>
          <w:rStyle w:val="TextoNormalNegritaCentradoSombreado"/>
        </w:rPr>
        <w:t>K.16) Territorios históricos</w:t>
      </w:r>
    </w:p>
    <w:p w14:paraId="4476FC70" w14:textId="23BF3D37" w:rsidR="00DA359F" w:rsidRDefault="00DA359F" w:rsidP="00DA359F">
      <w:pPr>
        <w:pStyle w:val="TextoNormal"/>
      </w:pPr>
    </w:p>
    <w:p w14:paraId="291BE3C7" w14:textId="77777777" w:rsidR="00DA359F" w:rsidRDefault="00DA359F" w:rsidP="00DA359F">
      <w:pPr>
        <w:pStyle w:val="TextoNormalNegritaCentradoSubrayado"/>
        <w:suppressAutoHyphens/>
      </w:pPr>
      <w:r>
        <w:t>K.16.1) Gipuzkoa</w:t>
      </w:r>
    </w:p>
    <w:p w14:paraId="1ED8CF8A" w14:textId="7E9EB1E7" w:rsidR="00DA359F" w:rsidRDefault="00DA359F" w:rsidP="00DA359F">
      <w:pPr>
        <w:pStyle w:val="TextoNormalNegritaCentradoSubrayado"/>
      </w:pPr>
    </w:p>
    <w:p w14:paraId="6425E20A" w14:textId="77777777" w:rsidR="00DA359F" w:rsidRDefault="00DA359F" w:rsidP="00DA359F">
      <w:pPr>
        <w:pStyle w:val="TextoNormalNegritaCursivandice"/>
        <w:keepNext/>
      </w:pPr>
      <w:r>
        <w:t>Territorio Histórico de Gipuzkoa. Norma Foral 16/1989, de 5 de julio, del impuesto sobre el incremento de valor de los terrenos de naturaleza urbana</w:t>
      </w:r>
    </w:p>
    <w:p w14:paraId="1EE0E16D" w14:textId="7D11ED0E" w:rsidR="00DA359F" w:rsidRDefault="00DA359F" w:rsidP="00DA359F">
      <w:pPr>
        <w:pStyle w:val="SangriaFrancesaArticulo"/>
      </w:pPr>
      <w:r w:rsidRPr="00DA359F">
        <w:rPr>
          <w:rStyle w:val="TextoNormalNegritaCaracter"/>
        </w:rPr>
        <w:t>Artículo 1.</w:t>
      </w:r>
      <w:r w:rsidRPr="00DA359F">
        <w:rPr>
          <w:rStyle w:val="TextoNormalCaracter"/>
        </w:rPr>
        <w:t>-</w:t>
      </w:r>
      <w:r>
        <w:t xml:space="preserve"> Auto </w:t>
      </w:r>
      <w:hyperlink w:anchor="AUTO_2023_486" w:history="1">
        <w:r w:rsidRPr="00DA359F">
          <w:rPr>
            <w:rStyle w:val="TextoNormalCaracter"/>
          </w:rPr>
          <w:t>486/2023</w:t>
        </w:r>
      </w:hyperlink>
      <w:r>
        <w:t>, f. 2.</w:t>
      </w:r>
    </w:p>
    <w:p w14:paraId="0501265B" w14:textId="4AFB63ED" w:rsidR="00DA359F" w:rsidRDefault="00DA359F" w:rsidP="00DA359F">
      <w:pPr>
        <w:pStyle w:val="SangriaFrancesaArticulo"/>
      </w:pPr>
      <w:r w:rsidRPr="00DA359F">
        <w:rPr>
          <w:rStyle w:val="TextoNormalNegritaCaracter"/>
        </w:rPr>
        <w:t>Artículo 4.1 párrafo 2.</w:t>
      </w:r>
      <w:r w:rsidRPr="00DA359F">
        <w:rPr>
          <w:rStyle w:val="TextoNormalCaracter"/>
        </w:rPr>
        <w:t>-</w:t>
      </w:r>
      <w:r>
        <w:t xml:space="preserve"> Auto </w:t>
      </w:r>
      <w:hyperlink w:anchor="AUTO_2023_486" w:history="1">
        <w:r w:rsidRPr="00DA359F">
          <w:rPr>
            <w:rStyle w:val="TextoNormalCaracter"/>
          </w:rPr>
          <w:t>486/2023</w:t>
        </w:r>
      </w:hyperlink>
      <w:r>
        <w:t>, f. 1.</w:t>
      </w:r>
    </w:p>
    <w:p w14:paraId="62623A2F" w14:textId="5597ED64" w:rsidR="00DA359F" w:rsidRDefault="00DA359F" w:rsidP="00DA359F">
      <w:pPr>
        <w:pStyle w:val="SangriaFrancesaArticulo"/>
      </w:pPr>
      <w:r w:rsidRPr="00DA359F">
        <w:rPr>
          <w:rStyle w:val="TextoNormalNegritaCaracter"/>
        </w:rPr>
        <w:t>Artículo 4.2 a).</w:t>
      </w:r>
      <w:r w:rsidRPr="00DA359F">
        <w:rPr>
          <w:rStyle w:val="TextoNormalCaracter"/>
        </w:rPr>
        <w:t>-</w:t>
      </w:r>
      <w:r>
        <w:t xml:space="preserve"> Auto </w:t>
      </w:r>
      <w:hyperlink w:anchor="AUTO_2023_486" w:history="1">
        <w:r w:rsidRPr="00DA359F">
          <w:rPr>
            <w:rStyle w:val="TextoNormalCaracter"/>
          </w:rPr>
          <w:t>486/2023</w:t>
        </w:r>
      </w:hyperlink>
      <w:r>
        <w:t>, f. 1.</w:t>
      </w:r>
    </w:p>
    <w:p w14:paraId="0B406BFA" w14:textId="5556836C" w:rsidR="00DA359F" w:rsidRDefault="00DA359F" w:rsidP="00DA359F">
      <w:pPr>
        <w:pStyle w:val="SangriaFrancesaArticulo"/>
      </w:pPr>
      <w:r w:rsidRPr="00DA359F">
        <w:rPr>
          <w:rStyle w:val="TextoNormalNegritaCaracter"/>
        </w:rPr>
        <w:t>Artículo 4.3.</w:t>
      </w:r>
      <w:r w:rsidRPr="00DA359F">
        <w:rPr>
          <w:rStyle w:val="TextoNormalCaracter"/>
        </w:rPr>
        <w:t>-</w:t>
      </w:r>
      <w:r>
        <w:t xml:space="preserve"> Auto </w:t>
      </w:r>
      <w:hyperlink w:anchor="AUTO_2023_486" w:history="1">
        <w:r w:rsidRPr="00DA359F">
          <w:rPr>
            <w:rStyle w:val="TextoNormalCaracter"/>
          </w:rPr>
          <w:t>486/2023</w:t>
        </w:r>
      </w:hyperlink>
      <w:r>
        <w:t>, f. 1.</w:t>
      </w:r>
    </w:p>
    <w:p w14:paraId="462222B5" w14:textId="269A5F22" w:rsidR="00DA359F" w:rsidRDefault="00DA359F" w:rsidP="00DA359F">
      <w:pPr>
        <w:pStyle w:val="SangriaFrancesaArticulo"/>
      </w:pPr>
    </w:p>
    <w:p w14:paraId="2AB8FB5E" w14:textId="77777777" w:rsidR="00DA359F" w:rsidRDefault="00DA359F" w:rsidP="00DA359F">
      <w:pPr>
        <w:pStyle w:val="TextoNormalNegritaCursivandice"/>
        <w:keepNext/>
      </w:pPr>
      <w:r>
        <w:t>Territorio Histórico de Gipuzkoa. Decreto Foral-Norma 7/2021, de 16 de noviembre, de adaptación de la Norma Foral 16/1989, de 5 de julio, del impuesto sobre el incremento de valor de los terrenos de naturaleza urbana a la jurisprudencia del Tribunal Constitucional</w:t>
      </w:r>
    </w:p>
    <w:p w14:paraId="65586219" w14:textId="6051F563" w:rsidR="00DA359F" w:rsidRDefault="00DA359F" w:rsidP="00DA359F">
      <w:pPr>
        <w:pStyle w:val="SangriaFrancesaArticulo"/>
      </w:pPr>
      <w:r w:rsidRPr="00DA359F">
        <w:rPr>
          <w:rStyle w:val="TextoNormalNegritaCaracter"/>
        </w:rPr>
        <w:t>En general.</w:t>
      </w:r>
      <w:r w:rsidRPr="00DA359F">
        <w:rPr>
          <w:rStyle w:val="TextoNormalCaracter"/>
        </w:rPr>
        <w:t>-</w:t>
      </w:r>
      <w:r>
        <w:t xml:space="preserve"> Auto </w:t>
      </w:r>
      <w:hyperlink w:anchor="AUTO_2023_486" w:history="1">
        <w:r w:rsidRPr="00DA359F">
          <w:rPr>
            <w:rStyle w:val="TextoNormalCaracter"/>
          </w:rPr>
          <w:t>486/2023</w:t>
        </w:r>
      </w:hyperlink>
      <w:r>
        <w:t>, f. 1.</w:t>
      </w:r>
    </w:p>
    <w:p w14:paraId="50C5F256" w14:textId="54EEB9BD" w:rsidR="00DA359F" w:rsidRDefault="00DA359F" w:rsidP="00DA359F">
      <w:pPr>
        <w:pStyle w:val="TextoNormal"/>
      </w:pPr>
    </w:p>
    <w:p w14:paraId="6F28B9F9" w14:textId="77777777" w:rsidR="00DA359F" w:rsidRDefault="00DA359F" w:rsidP="00DA359F">
      <w:pPr>
        <w:pStyle w:val="TextoNormalNegritaCentrado"/>
        <w:suppressAutoHyphens/>
      </w:pPr>
      <w:r w:rsidRPr="00DA359F">
        <w:rPr>
          <w:rStyle w:val="TextoNormalNegritaCentradoSombreado"/>
        </w:rPr>
        <w:t>K.2) Corporaciones locales</w:t>
      </w:r>
    </w:p>
    <w:p w14:paraId="589D1796" w14:textId="1D9EC643" w:rsidR="00DA359F" w:rsidRDefault="00DA359F" w:rsidP="00DA359F">
      <w:pPr>
        <w:pStyle w:val="TextoNormalNegritaCentrado"/>
      </w:pPr>
    </w:p>
    <w:p w14:paraId="46ED5438" w14:textId="77777777" w:rsidR="00DA359F" w:rsidRDefault="00DA359F" w:rsidP="00DA359F">
      <w:pPr>
        <w:pStyle w:val="TextoNormalNegritaCursivandice"/>
        <w:keepNext/>
      </w:pPr>
      <w:r>
        <w:t>Ordenanza del Ayuntamiento de Madrid, de 30 de julio de 1998. Ordenanza de circulación para la Villa de Madrid</w:t>
      </w:r>
    </w:p>
    <w:p w14:paraId="071312B9" w14:textId="627AD7DA" w:rsidR="00DA359F" w:rsidRDefault="00DA359F" w:rsidP="00DA359F">
      <w:pPr>
        <w:pStyle w:val="SangriaFrancesaArticulo"/>
      </w:pPr>
      <w:r w:rsidRPr="00DA359F">
        <w:rPr>
          <w:rStyle w:val="TextoNormalNegritaCaracter"/>
        </w:rPr>
        <w:t>Artículo 8 párrafo 2.</w:t>
      </w:r>
      <w:r w:rsidRPr="00DA359F">
        <w:rPr>
          <w:rStyle w:val="TextoNormalCaracter"/>
        </w:rPr>
        <w:t>-</w:t>
      </w:r>
      <w:r>
        <w:t xml:space="preserve"> Sentencia </w:t>
      </w:r>
      <w:hyperlink w:anchor="SENTENCIA_2023_90" w:history="1">
        <w:r w:rsidRPr="00DA359F">
          <w:rPr>
            <w:rStyle w:val="TextoNormalCaracter"/>
          </w:rPr>
          <w:t>90/2023</w:t>
        </w:r>
      </w:hyperlink>
      <w:r>
        <w:t>, f. 6.</w:t>
      </w:r>
    </w:p>
    <w:p w14:paraId="29ED72AF" w14:textId="15555E65" w:rsidR="00DA359F" w:rsidRDefault="00DA359F" w:rsidP="00DA359F">
      <w:pPr>
        <w:pStyle w:val="SangriaFrancesaArticulo"/>
      </w:pPr>
    </w:p>
    <w:p w14:paraId="01C9795B" w14:textId="77777777" w:rsidR="00DA359F" w:rsidRDefault="00DA359F" w:rsidP="00DA359F">
      <w:pPr>
        <w:pStyle w:val="TextoNormalNegritaCursivandice"/>
        <w:keepNext/>
      </w:pPr>
      <w:r>
        <w:t>Ordenanza del Ayuntamiento de Madrid, de 26 de septiembre de 2005. Ordenanza de movilidad para la ciudad de Madrid</w:t>
      </w:r>
    </w:p>
    <w:p w14:paraId="3EE6B332" w14:textId="00901532"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90" w:history="1">
        <w:r w:rsidRPr="00DA359F">
          <w:rPr>
            <w:rStyle w:val="TextoNormalCaracter"/>
          </w:rPr>
          <w:t>90/2023</w:t>
        </w:r>
      </w:hyperlink>
      <w:r>
        <w:t>, ff. 2, 3.</w:t>
      </w:r>
    </w:p>
    <w:p w14:paraId="4B825B58" w14:textId="62F728D7" w:rsidR="00DA359F" w:rsidRDefault="00DA359F" w:rsidP="00DA359F">
      <w:pPr>
        <w:pStyle w:val="SangriaFrancesaArticulo"/>
      </w:pPr>
    </w:p>
    <w:p w14:paraId="2471C125" w14:textId="77777777" w:rsidR="00DA359F" w:rsidRDefault="00DA359F" w:rsidP="00DA359F">
      <w:pPr>
        <w:pStyle w:val="TextoNormalNegritaCursivandice"/>
        <w:keepNext/>
      </w:pPr>
      <w:r>
        <w:t>Ordenanza del Ayuntamiento de Madrid, de 30 de noviembre de 2010. Modificación de la ordenanza de movilidad para la ciudad de Madrid</w:t>
      </w:r>
    </w:p>
    <w:p w14:paraId="5B014967" w14:textId="0D2D7FAC"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90" w:history="1">
        <w:r w:rsidRPr="00DA359F">
          <w:rPr>
            <w:rStyle w:val="TextoNormalCaracter"/>
          </w:rPr>
          <w:t>90/2023</w:t>
        </w:r>
      </w:hyperlink>
      <w:r>
        <w:t>, f. 6.</w:t>
      </w:r>
    </w:p>
    <w:p w14:paraId="41EE28B6" w14:textId="689C9B5E" w:rsidR="00DA359F" w:rsidRDefault="00DA359F" w:rsidP="00DA359F">
      <w:pPr>
        <w:pStyle w:val="SangriaFrancesaArticulo"/>
      </w:pPr>
    </w:p>
    <w:p w14:paraId="72B34915" w14:textId="77777777" w:rsidR="00DA359F" w:rsidRDefault="00DA359F" w:rsidP="00DA359F">
      <w:pPr>
        <w:pStyle w:val="TextoNormalNegritaCursivandice"/>
        <w:keepNext/>
      </w:pPr>
      <w:r>
        <w:t>Acuerdo del Pleno del Ayuntamiento de Madrid, de 28 de mayo de 2014, por el que se modificó la ordenanza de movilidad para la ciudad de Madrid</w:t>
      </w:r>
    </w:p>
    <w:p w14:paraId="505F88EC" w14:textId="18E2FBA4"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90" w:history="1">
        <w:r w:rsidRPr="00DA359F">
          <w:rPr>
            <w:rStyle w:val="TextoNormalCaracter"/>
          </w:rPr>
          <w:t>90/2023</w:t>
        </w:r>
      </w:hyperlink>
      <w:r>
        <w:t>, f. 4.</w:t>
      </w:r>
    </w:p>
    <w:p w14:paraId="387C3BC4" w14:textId="110D9025" w:rsidR="00DA359F" w:rsidRDefault="00DA359F" w:rsidP="00DA359F">
      <w:pPr>
        <w:pStyle w:val="SangriaFrancesaArticulo"/>
      </w:pPr>
    </w:p>
    <w:p w14:paraId="6E5AF034" w14:textId="77777777" w:rsidR="00DA359F" w:rsidRDefault="00DA359F" w:rsidP="00DA359F">
      <w:pPr>
        <w:pStyle w:val="TextoNormalNegritaCursivandice"/>
        <w:keepNext/>
      </w:pPr>
      <w:r>
        <w:t>Ordenanza del Ayuntamiento de Madrid, de 5 de octubre de 2018. Ordenanza de movilidad sostenible de la ciudad de Madrid</w:t>
      </w:r>
    </w:p>
    <w:p w14:paraId="4E294973" w14:textId="1A856D89"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90" w:history="1">
        <w:r w:rsidRPr="00DA359F">
          <w:rPr>
            <w:rStyle w:val="TextoNormalCaracter"/>
          </w:rPr>
          <w:t>90/2023</w:t>
        </w:r>
      </w:hyperlink>
      <w:r>
        <w:t>, f. 3.</w:t>
      </w:r>
    </w:p>
    <w:p w14:paraId="5EB5CC4B" w14:textId="7F6B304F" w:rsidR="00DA359F" w:rsidRDefault="00DA359F" w:rsidP="00DA359F">
      <w:pPr>
        <w:pStyle w:val="TextoNormal"/>
      </w:pPr>
    </w:p>
    <w:p w14:paraId="0B48F085" w14:textId="77777777" w:rsidR="00DA359F" w:rsidRDefault="00DA359F" w:rsidP="00DA359F">
      <w:pPr>
        <w:pStyle w:val="SangriaFrancesaArticulo"/>
      </w:pPr>
      <w:bookmarkStart w:id="491" w:name="INDICE22870"/>
    </w:p>
    <w:bookmarkEnd w:id="491"/>
    <w:p w14:paraId="1E9D0480" w14:textId="77777777" w:rsidR="00DA359F" w:rsidRDefault="00DA359F" w:rsidP="00DA359F">
      <w:pPr>
        <w:pStyle w:val="TextoIndiceNivel2"/>
        <w:suppressAutoHyphens/>
      </w:pPr>
      <w:r>
        <w:t>L) Tratados y acuerdos internacionales</w:t>
      </w:r>
    </w:p>
    <w:p w14:paraId="0049978A" w14:textId="22472682" w:rsidR="00DA359F" w:rsidRDefault="00DA359F" w:rsidP="00DA359F">
      <w:pPr>
        <w:pStyle w:val="TextoIndiceNivel2"/>
      </w:pPr>
    </w:p>
    <w:p w14:paraId="3D1E33ED" w14:textId="77777777" w:rsidR="00DA359F" w:rsidRDefault="00DA359F" w:rsidP="00DA359F">
      <w:pPr>
        <w:pStyle w:val="TextoNormalNegritaCursivandice"/>
        <w:keepNext/>
      </w:pPr>
      <w:r>
        <w:t>Declaración universal de derechos humanos de 10 de diciembre de 1948</w:t>
      </w:r>
    </w:p>
    <w:p w14:paraId="777B50BB" w14:textId="5D039A13"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78" w:history="1">
        <w:r w:rsidRPr="00DA359F">
          <w:rPr>
            <w:rStyle w:val="TextoNormalCaracter"/>
          </w:rPr>
          <w:t>78/2023</w:t>
        </w:r>
      </w:hyperlink>
      <w:r>
        <w:t>, f. 4.</w:t>
      </w:r>
    </w:p>
    <w:p w14:paraId="1CC4B462" w14:textId="736AD5CF" w:rsidR="00DA359F" w:rsidRDefault="00DA359F" w:rsidP="00DA359F">
      <w:pPr>
        <w:pStyle w:val="SangriaFrancesaArticulo"/>
      </w:pPr>
      <w:r w:rsidRPr="00DA359F">
        <w:rPr>
          <w:rStyle w:val="TextoNormalNegritaCaracter"/>
        </w:rPr>
        <w:t>Artículo 6.</w:t>
      </w:r>
      <w:r w:rsidRPr="00DA359F">
        <w:rPr>
          <w:rStyle w:val="TextoNormalCaracter"/>
        </w:rPr>
        <w:t>-</w:t>
      </w:r>
      <w:r>
        <w:t xml:space="preserve"> Sentencia </w:t>
      </w:r>
      <w:hyperlink w:anchor="SENTENCIA_2023_179" w:history="1">
        <w:r w:rsidRPr="00DA359F">
          <w:rPr>
            <w:rStyle w:val="TextoNormalCaracter"/>
          </w:rPr>
          <w:t>179/2023</w:t>
        </w:r>
      </w:hyperlink>
      <w:r>
        <w:t>, f. 2.</w:t>
      </w:r>
    </w:p>
    <w:p w14:paraId="5D867F66" w14:textId="0BD24599" w:rsidR="00DA359F" w:rsidRDefault="00DA359F" w:rsidP="00DA359F">
      <w:pPr>
        <w:pStyle w:val="SangriaFrancesaArticulo"/>
      </w:pPr>
    </w:p>
    <w:p w14:paraId="15C602FB" w14:textId="77777777" w:rsidR="00DA359F" w:rsidRDefault="00DA359F" w:rsidP="00DA359F">
      <w:pPr>
        <w:pStyle w:val="TextoNormalNegritaCursivandice"/>
        <w:keepNext/>
      </w:pPr>
      <w:r>
        <w:t>Pacto internacional de derechos civiles y políticos. Nueva York, 19 de diciembre de 1966. Ratificado por Instrumento de 13 de abril de 1977</w:t>
      </w:r>
    </w:p>
    <w:p w14:paraId="064CDBD1" w14:textId="5B8D6D26" w:rsidR="00DA359F" w:rsidRDefault="00DA359F" w:rsidP="00DA359F">
      <w:pPr>
        <w:pStyle w:val="SangriaFrancesaArticulo"/>
      </w:pPr>
      <w:r w:rsidRPr="00DA359F">
        <w:rPr>
          <w:rStyle w:val="TextoNormalNegritaCaracter"/>
        </w:rPr>
        <w:t>Artículo 9.3.</w:t>
      </w:r>
      <w:r w:rsidRPr="00DA359F">
        <w:rPr>
          <w:rStyle w:val="TextoNormalCaracter"/>
        </w:rPr>
        <w:t>-</w:t>
      </w:r>
      <w:r>
        <w:t xml:space="preserve"> Sentencia </w:t>
      </w:r>
      <w:hyperlink w:anchor="SENTENCIA_2023_136" w:history="1">
        <w:r w:rsidRPr="00DA359F">
          <w:rPr>
            <w:rStyle w:val="TextoNormalCaracter"/>
          </w:rPr>
          <w:t>136/2023</w:t>
        </w:r>
      </w:hyperlink>
      <w:r>
        <w:t>, f. 5.</w:t>
      </w:r>
    </w:p>
    <w:p w14:paraId="3C8B160D" w14:textId="554F3DAA" w:rsidR="00DA359F" w:rsidRDefault="00DA359F" w:rsidP="00DA359F">
      <w:pPr>
        <w:pStyle w:val="SangriaFrancesaArticulo"/>
      </w:pPr>
      <w:r w:rsidRPr="00DA359F">
        <w:rPr>
          <w:rStyle w:val="TextoNormalNegritaCaracter"/>
        </w:rPr>
        <w:t>Artículo 14.</w:t>
      </w:r>
      <w:r w:rsidRPr="00DA359F">
        <w:rPr>
          <w:rStyle w:val="TextoNormalCaracter"/>
        </w:rPr>
        <w:t>-</w:t>
      </w:r>
      <w:r>
        <w:t xml:space="preserve"> Sentencia </w:t>
      </w:r>
      <w:hyperlink w:anchor="SENTENCIA_2023_134" w:history="1">
        <w:r w:rsidRPr="00DA359F">
          <w:rPr>
            <w:rStyle w:val="TextoNormalCaracter"/>
          </w:rPr>
          <w:t>134/2023</w:t>
        </w:r>
      </w:hyperlink>
      <w:r>
        <w:t>, f. 4.</w:t>
      </w:r>
    </w:p>
    <w:p w14:paraId="63B4DF37" w14:textId="16DAB04D" w:rsidR="00DA359F" w:rsidRDefault="00DA359F" w:rsidP="00DA359F">
      <w:pPr>
        <w:pStyle w:val="SangriaFrancesaArticulo"/>
      </w:pPr>
      <w:r w:rsidRPr="00DA359F">
        <w:rPr>
          <w:rStyle w:val="TextoNormalNegritaCaracter"/>
        </w:rPr>
        <w:t>Artículo 17.</w:t>
      </w:r>
      <w:r w:rsidRPr="00DA359F">
        <w:rPr>
          <w:rStyle w:val="TextoNormalCaracter"/>
        </w:rPr>
        <w:t>-</w:t>
      </w:r>
      <w:r>
        <w:t xml:space="preserve"> Sentencia </w:t>
      </w:r>
      <w:hyperlink w:anchor="SENTENCIA_2023_134" w:history="1">
        <w:r w:rsidRPr="00DA359F">
          <w:rPr>
            <w:rStyle w:val="TextoNormalCaracter"/>
          </w:rPr>
          <w:t>134/2023</w:t>
        </w:r>
      </w:hyperlink>
      <w:r>
        <w:t>, f. 4.</w:t>
      </w:r>
    </w:p>
    <w:p w14:paraId="29FD4496" w14:textId="743D034F" w:rsidR="00DA359F" w:rsidRDefault="00DA359F" w:rsidP="00DA359F">
      <w:pPr>
        <w:pStyle w:val="SangriaFrancesaArticulo"/>
      </w:pPr>
    </w:p>
    <w:p w14:paraId="0C4130B0" w14:textId="77777777" w:rsidR="00DA359F" w:rsidRDefault="00DA359F" w:rsidP="00DA359F">
      <w:pPr>
        <w:pStyle w:val="TextoNormalNegritaCursivandice"/>
        <w:keepNext/>
      </w:pPr>
      <w:r>
        <w:t>Convención de Naciones Unidas sobre la eliminación de todas las formas de discriminación contra la mujer, hecha en Nueva York el 18 de diciembre de 1979. Ratificada por Instrumento de 16 de diciembre de 1983</w:t>
      </w:r>
    </w:p>
    <w:p w14:paraId="5ACCA810" w14:textId="137B4AE4" w:rsidR="00DA359F" w:rsidRDefault="00DA359F" w:rsidP="00DA359F">
      <w:pPr>
        <w:pStyle w:val="SangriaFrancesaArticulo"/>
      </w:pPr>
      <w:r w:rsidRPr="00DA359F">
        <w:rPr>
          <w:rStyle w:val="TextoNormalNegritaCaracter"/>
        </w:rPr>
        <w:t>Artículo 1.</w:t>
      </w:r>
      <w:r w:rsidRPr="00DA359F">
        <w:rPr>
          <w:rStyle w:val="TextoNormalCaracter"/>
        </w:rPr>
        <w:t>-</w:t>
      </w:r>
      <w:r>
        <w:t xml:space="preserve"> Sentencia </w:t>
      </w:r>
      <w:hyperlink w:anchor="SENTENCIA_2023_78" w:history="1">
        <w:r w:rsidRPr="00DA359F">
          <w:rPr>
            <w:rStyle w:val="TextoNormalCaracter"/>
          </w:rPr>
          <w:t>78/2023</w:t>
        </w:r>
      </w:hyperlink>
      <w:r>
        <w:t>, ff. 1, 4.</w:t>
      </w:r>
    </w:p>
    <w:p w14:paraId="4D3CA78F" w14:textId="34446851" w:rsidR="00DA359F" w:rsidRDefault="00DA359F" w:rsidP="00DA359F">
      <w:pPr>
        <w:pStyle w:val="SangriaFrancesaArticulo"/>
      </w:pPr>
      <w:r w:rsidRPr="00DA359F">
        <w:rPr>
          <w:rStyle w:val="TextoNormalNegritaCaracter"/>
        </w:rPr>
        <w:t>Artículo 12.</w:t>
      </w:r>
      <w:r w:rsidRPr="00DA359F">
        <w:rPr>
          <w:rStyle w:val="TextoNormalCaracter"/>
        </w:rPr>
        <w:t>-</w:t>
      </w:r>
      <w:r>
        <w:t xml:space="preserve"> Sentencia </w:t>
      </w:r>
      <w:hyperlink w:anchor="SENTENCIA_2023_78" w:history="1">
        <w:r w:rsidRPr="00DA359F">
          <w:rPr>
            <w:rStyle w:val="TextoNormalCaracter"/>
          </w:rPr>
          <w:t>78/2023</w:t>
        </w:r>
      </w:hyperlink>
      <w:r>
        <w:t>, ff. 1, 4.</w:t>
      </w:r>
    </w:p>
    <w:p w14:paraId="049AA742" w14:textId="6718E34B" w:rsidR="00DA359F" w:rsidRDefault="00DA359F" w:rsidP="00DA359F">
      <w:pPr>
        <w:pStyle w:val="SangriaFrancesaArticulo"/>
      </w:pPr>
      <w:r w:rsidRPr="00DA359F">
        <w:rPr>
          <w:rStyle w:val="TextoNormalNegritaCaracter"/>
        </w:rPr>
        <w:t>Artículo 16 e).</w:t>
      </w:r>
      <w:r w:rsidRPr="00DA359F">
        <w:rPr>
          <w:rStyle w:val="TextoNormalCaracter"/>
        </w:rPr>
        <w:t>-</w:t>
      </w:r>
      <w:r>
        <w:t xml:space="preserve"> Sentencia </w:t>
      </w:r>
      <w:hyperlink w:anchor="SENTENCIA_2023_78" w:history="1">
        <w:r w:rsidRPr="00DA359F">
          <w:rPr>
            <w:rStyle w:val="TextoNormalCaracter"/>
          </w:rPr>
          <w:t>78/2023</w:t>
        </w:r>
      </w:hyperlink>
      <w:r>
        <w:t>, ff. 1, 4.</w:t>
      </w:r>
    </w:p>
    <w:p w14:paraId="46DB458E" w14:textId="650825AF" w:rsidR="00DA359F" w:rsidRDefault="00DA359F" w:rsidP="00DA359F">
      <w:pPr>
        <w:pStyle w:val="SangriaFrancesaArticulo"/>
      </w:pPr>
    </w:p>
    <w:p w14:paraId="04F28408" w14:textId="77777777" w:rsidR="00DA359F" w:rsidRDefault="00DA359F" w:rsidP="00DA359F">
      <w:pPr>
        <w:pStyle w:val="TextoNormalNegritaCursivandice"/>
        <w:keepNext/>
      </w:pPr>
      <w:r>
        <w:t>Convención sobre los derechos del niño, adoptada por la Asamblea General de Naciones Unidas el 20 de noviembre de 1989. Ratificada por Instrumento de 30 de noviembre de 1990</w:t>
      </w:r>
    </w:p>
    <w:p w14:paraId="1485C363" w14:textId="0DCAC464" w:rsidR="00DA359F" w:rsidRDefault="00DA359F" w:rsidP="00DA359F">
      <w:pPr>
        <w:pStyle w:val="SangriaFrancesaArticulo"/>
      </w:pPr>
      <w:r w:rsidRPr="00DA359F">
        <w:rPr>
          <w:rStyle w:val="TextoNormalNegritaCaracter"/>
        </w:rPr>
        <w:t>Artículo 3.1.</w:t>
      </w:r>
      <w:r w:rsidRPr="00DA359F">
        <w:rPr>
          <w:rStyle w:val="TextoNormalCaracter"/>
        </w:rPr>
        <w:t>-</w:t>
      </w:r>
      <w:r>
        <w:t xml:space="preserve"> Sentencia </w:t>
      </w:r>
      <w:hyperlink w:anchor="SENTENCIA_2023_131" w:history="1">
        <w:r w:rsidRPr="00DA359F">
          <w:rPr>
            <w:rStyle w:val="TextoNormalCaracter"/>
          </w:rPr>
          <w:t>131/2023</w:t>
        </w:r>
      </w:hyperlink>
      <w:r>
        <w:t>, f. 3.</w:t>
      </w:r>
    </w:p>
    <w:p w14:paraId="77739EB2" w14:textId="7A33D03F" w:rsidR="00DA359F" w:rsidRDefault="00DA359F" w:rsidP="00DA359F">
      <w:pPr>
        <w:pStyle w:val="SangriaFrancesaArticulo"/>
      </w:pPr>
      <w:r w:rsidRPr="00DA359F">
        <w:rPr>
          <w:rStyle w:val="TextoNormalNegritaCaracter"/>
        </w:rPr>
        <w:t>Artículo 19.</w:t>
      </w:r>
      <w:r w:rsidRPr="00DA359F">
        <w:rPr>
          <w:rStyle w:val="TextoNormalCaracter"/>
        </w:rPr>
        <w:t>-</w:t>
      </w:r>
      <w:r>
        <w:t xml:space="preserve"> Sentencia </w:t>
      </w:r>
      <w:hyperlink w:anchor="SENTENCIA_2023_131" w:history="1">
        <w:r w:rsidRPr="00DA359F">
          <w:rPr>
            <w:rStyle w:val="TextoNormalCaracter"/>
          </w:rPr>
          <w:t>131/2023</w:t>
        </w:r>
      </w:hyperlink>
      <w:r>
        <w:t>, VP.</w:t>
      </w:r>
    </w:p>
    <w:p w14:paraId="56A87EA4" w14:textId="190F3511" w:rsidR="00DA359F" w:rsidRDefault="00DA359F" w:rsidP="00DA359F">
      <w:pPr>
        <w:pStyle w:val="SangriaFrancesaArticulo"/>
      </w:pPr>
    </w:p>
    <w:p w14:paraId="07A03341" w14:textId="77777777" w:rsidR="00DA359F" w:rsidRDefault="00DA359F" w:rsidP="00DA359F">
      <w:pPr>
        <w:pStyle w:val="TextoNormalNegritaCursivandice"/>
        <w:keepNext/>
      </w:pPr>
      <w:r>
        <w:t>Constitución de la Unión Internacional de Telecomunicaciones, de 22 de diciembre de 1992</w:t>
      </w:r>
    </w:p>
    <w:p w14:paraId="1FEC0252" w14:textId="3D260CAA" w:rsidR="00DA359F" w:rsidRDefault="00DA359F" w:rsidP="00DA359F">
      <w:pPr>
        <w:pStyle w:val="SangriaFrancesaArticulo"/>
      </w:pPr>
      <w:r w:rsidRPr="00DA359F">
        <w:rPr>
          <w:rStyle w:val="TextoNormalNegritaCaracter"/>
        </w:rPr>
        <w:t>Artículo 12.1.</w:t>
      </w:r>
      <w:r w:rsidRPr="00DA359F">
        <w:rPr>
          <w:rStyle w:val="TextoNormalCaracter"/>
        </w:rPr>
        <w:t>-</w:t>
      </w:r>
      <w:r>
        <w:t xml:space="preserve"> Sentencia </w:t>
      </w:r>
      <w:hyperlink w:anchor="SENTENCIA_2023_89" w:history="1">
        <w:r w:rsidRPr="00DA359F">
          <w:rPr>
            <w:rStyle w:val="TextoNormalCaracter"/>
          </w:rPr>
          <w:t>89/2023</w:t>
        </w:r>
      </w:hyperlink>
      <w:r>
        <w:t>, ff. 3, 4.</w:t>
      </w:r>
    </w:p>
    <w:p w14:paraId="15E2623D" w14:textId="28DF772F" w:rsidR="00DA359F" w:rsidRDefault="00DA359F" w:rsidP="00DA359F">
      <w:pPr>
        <w:pStyle w:val="TextoNormal"/>
      </w:pPr>
    </w:p>
    <w:p w14:paraId="35A7778F" w14:textId="77777777" w:rsidR="00DA359F" w:rsidRDefault="00DA359F" w:rsidP="00DA359F">
      <w:pPr>
        <w:pStyle w:val="SangriaFrancesaArticulo"/>
      </w:pPr>
      <w:bookmarkStart w:id="492" w:name="INDICE22871"/>
    </w:p>
    <w:bookmarkEnd w:id="492"/>
    <w:p w14:paraId="33525D04" w14:textId="77777777" w:rsidR="00DA359F" w:rsidRDefault="00DA359F" w:rsidP="00DA359F">
      <w:pPr>
        <w:pStyle w:val="TextoIndiceNivel2"/>
        <w:suppressAutoHyphens/>
      </w:pPr>
      <w:r>
        <w:t>M) Unión Europea</w:t>
      </w:r>
    </w:p>
    <w:p w14:paraId="599C7AB0" w14:textId="631B8F39" w:rsidR="00DA359F" w:rsidRDefault="00DA359F" w:rsidP="00DA359F">
      <w:pPr>
        <w:pStyle w:val="TextoIndiceNivel2"/>
      </w:pPr>
    </w:p>
    <w:p w14:paraId="2F852A7E" w14:textId="77777777" w:rsidR="00DA359F" w:rsidRDefault="00DA359F" w:rsidP="00DA359F">
      <w:pPr>
        <w:pStyle w:val="TextoNormalNegritaCursivandice"/>
        <w:keepNext/>
      </w:pPr>
      <w:r>
        <w:t>Tratado de la Unión Europea —TUE—, hecho en Maastricht el 7 de febrero de 1992</w:t>
      </w:r>
    </w:p>
    <w:p w14:paraId="607B92B5" w14:textId="4DF6FB47" w:rsidR="00DA359F" w:rsidRDefault="00DA359F" w:rsidP="00DA359F">
      <w:pPr>
        <w:pStyle w:val="SangriaFrancesaArticulo"/>
      </w:pPr>
      <w:r w:rsidRPr="00DA359F">
        <w:rPr>
          <w:rStyle w:val="TextoNormalNegritaCaracter"/>
        </w:rPr>
        <w:t>Artículo 2.</w:t>
      </w:r>
      <w:r w:rsidRPr="00DA359F">
        <w:rPr>
          <w:rStyle w:val="TextoNormalCaracter"/>
        </w:rPr>
        <w:t>-</w:t>
      </w:r>
      <w:r>
        <w:t xml:space="preserve"> Sentencia </w:t>
      </w:r>
      <w:hyperlink w:anchor="SENTENCIA_2023_128" w:history="1">
        <w:r w:rsidRPr="00DA359F">
          <w:rPr>
            <w:rStyle w:val="TextoNormalCaracter"/>
          </w:rPr>
          <w:t>128/2023</w:t>
        </w:r>
      </w:hyperlink>
      <w:r>
        <w:t>, VP.</w:t>
      </w:r>
    </w:p>
    <w:p w14:paraId="216907FC" w14:textId="0582E8FF" w:rsidR="00DA359F" w:rsidRDefault="00DA359F" w:rsidP="00DA359F">
      <w:pPr>
        <w:pStyle w:val="SangriaFrancesaArticulo"/>
      </w:pPr>
      <w:r w:rsidRPr="00DA359F">
        <w:rPr>
          <w:rStyle w:val="TextoNormalNegritaCaracter"/>
        </w:rPr>
        <w:t>Artículo 3.2.</w:t>
      </w:r>
      <w:r w:rsidRPr="00DA359F">
        <w:rPr>
          <w:rStyle w:val="TextoNormalCaracter"/>
        </w:rPr>
        <w:t>-</w:t>
      </w:r>
      <w:r>
        <w:t xml:space="preserve"> Sentencia </w:t>
      </w:r>
      <w:hyperlink w:anchor="SENTENCIA_2023_136" w:history="1">
        <w:r w:rsidRPr="00DA359F">
          <w:rPr>
            <w:rStyle w:val="TextoNormalCaracter"/>
          </w:rPr>
          <w:t>136/2023</w:t>
        </w:r>
      </w:hyperlink>
      <w:r>
        <w:t>, f. 4.</w:t>
      </w:r>
    </w:p>
    <w:p w14:paraId="4858F81F" w14:textId="702F1513" w:rsidR="00DA359F" w:rsidRDefault="00DA359F" w:rsidP="00DA359F">
      <w:pPr>
        <w:pStyle w:val="SangriaFrancesaArticulo"/>
      </w:pPr>
      <w:r w:rsidRPr="00DA359F">
        <w:rPr>
          <w:rStyle w:val="TextoNormalNegritaCaracter"/>
        </w:rPr>
        <w:t>Artículo 19.1, párrafo 2.</w:t>
      </w:r>
      <w:r w:rsidRPr="00DA359F">
        <w:rPr>
          <w:rStyle w:val="TextoNormalCaracter"/>
        </w:rPr>
        <w:t>-</w:t>
      </w:r>
      <w:r>
        <w:t xml:space="preserve"> Sentencia </w:t>
      </w:r>
      <w:hyperlink w:anchor="SENTENCIA_2023_128" w:history="1">
        <w:r w:rsidRPr="00DA359F">
          <w:rPr>
            <w:rStyle w:val="TextoNormalCaracter"/>
          </w:rPr>
          <w:t>128/2023</w:t>
        </w:r>
      </w:hyperlink>
      <w:r>
        <w:t>, VP.</w:t>
      </w:r>
    </w:p>
    <w:p w14:paraId="1DCC43A8" w14:textId="404C40A6" w:rsidR="00DA359F" w:rsidRDefault="00DA359F" w:rsidP="00DA359F">
      <w:pPr>
        <w:pStyle w:val="SangriaFrancesaArticulo"/>
      </w:pPr>
    </w:p>
    <w:p w14:paraId="43F1E3C3" w14:textId="77777777" w:rsidR="00DA359F" w:rsidRDefault="00DA359F" w:rsidP="00DA359F">
      <w:pPr>
        <w:pStyle w:val="TextoNormalNegritaCursivandice"/>
        <w:keepNext/>
      </w:pPr>
      <w:r>
        <w:t>Directiva 93/13/CEE del Consejo, de 5 de abril de 1993, sobre cláusulas abusivas en los contratos celebrados con consumidores</w:t>
      </w:r>
    </w:p>
    <w:p w14:paraId="5D1A72AC" w14:textId="55165733"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Sentencias </w:t>
      </w:r>
      <w:hyperlink w:anchor="SENTENCIA_2023_91" w:history="1">
        <w:r w:rsidRPr="00DA359F">
          <w:rPr>
            <w:rStyle w:val="TextoNormalCaracter"/>
          </w:rPr>
          <w:t>91/2023</w:t>
        </w:r>
      </w:hyperlink>
      <w:r>
        <w:t xml:space="preserve">, ff. 1, 2, 4; </w:t>
      </w:r>
      <w:hyperlink w:anchor="SENTENCIA_2023_96" w:history="1">
        <w:r w:rsidRPr="00DA359F">
          <w:rPr>
            <w:rStyle w:val="TextoNormalCaracter"/>
          </w:rPr>
          <w:t>96/2023</w:t>
        </w:r>
      </w:hyperlink>
      <w:r>
        <w:t xml:space="preserve">, ff. 1, 2; </w:t>
      </w:r>
      <w:hyperlink w:anchor="SENTENCIA_2023_151" w:history="1">
        <w:r w:rsidRPr="00DA359F">
          <w:rPr>
            <w:rStyle w:val="TextoNormalCaracter"/>
          </w:rPr>
          <w:t>151/2023</w:t>
        </w:r>
      </w:hyperlink>
      <w:r>
        <w:t xml:space="preserve">, f. 1; </w:t>
      </w:r>
      <w:hyperlink w:anchor="SENTENCIA_2023_172" w:history="1">
        <w:r w:rsidRPr="00DA359F">
          <w:rPr>
            <w:rStyle w:val="TextoNormalCaracter"/>
          </w:rPr>
          <w:t>172/2023</w:t>
        </w:r>
      </w:hyperlink>
      <w:r>
        <w:t>, ff. 1, 3, 4.</w:t>
      </w:r>
    </w:p>
    <w:p w14:paraId="7F62CE15" w14:textId="691B48B0" w:rsidR="00DA359F" w:rsidRDefault="00DA359F" w:rsidP="00DA359F">
      <w:pPr>
        <w:pStyle w:val="SangriaFrancesaArticulo"/>
      </w:pPr>
      <w:r w:rsidRPr="00DA359F">
        <w:rPr>
          <w:rStyle w:val="TextoNormalNegritaCaracter"/>
        </w:rPr>
        <w:t>Artículo 6.</w:t>
      </w:r>
      <w:r w:rsidRPr="00DA359F">
        <w:rPr>
          <w:rStyle w:val="TextoNormalCaracter"/>
        </w:rPr>
        <w:t>-</w:t>
      </w:r>
      <w:r>
        <w:t xml:space="preserve"> Sentencia </w:t>
      </w:r>
      <w:hyperlink w:anchor="SENTENCIA_2023_96" w:history="1">
        <w:r w:rsidRPr="00DA359F">
          <w:rPr>
            <w:rStyle w:val="TextoNormalCaracter"/>
          </w:rPr>
          <w:t>96/2023</w:t>
        </w:r>
      </w:hyperlink>
      <w:r>
        <w:t>, f. 2.</w:t>
      </w:r>
    </w:p>
    <w:p w14:paraId="288B31A7" w14:textId="7C6E300D" w:rsidR="00DA359F" w:rsidRDefault="00DA359F" w:rsidP="00DA359F">
      <w:pPr>
        <w:pStyle w:val="SangriaFrancesaArticulo"/>
      </w:pPr>
      <w:r w:rsidRPr="00DA359F">
        <w:rPr>
          <w:rStyle w:val="TextoNormalNegritaCaracter"/>
        </w:rPr>
        <w:t>Artículo 6.1.</w:t>
      </w:r>
      <w:r w:rsidRPr="00DA359F">
        <w:rPr>
          <w:rStyle w:val="TextoNormalCaracter"/>
        </w:rPr>
        <w:t>-</w:t>
      </w:r>
      <w:r>
        <w:t xml:space="preserve"> Sentencias </w:t>
      </w:r>
      <w:hyperlink w:anchor="SENTENCIA_2023_91" w:history="1">
        <w:r w:rsidRPr="00DA359F">
          <w:rPr>
            <w:rStyle w:val="TextoNormalCaracter"/>
          </w:rPr>
          <w:t>91/2023</w:t>
        </w:r>
      </w:hyperlink>
      <w:r>
        <w:t xml:space="preserve">, f. 4; </w:t>
      </w:r>
      <w:hyperlink w:anchor="SENTENCIA_2023_96" w:history="1">
        <w:r w:rsidRPr="00DA359F">
          <w:rPr>
            <w:rStyle w:val="TextoNormalCaracter"/>
          </w:rPr>
          <w:t>96/2023</w:t>
        </w:r>
      </w:hyperlink>
      <w:r>
        <w:t xml:space="preserve">, ff. 2, 3; </w:t>
      </w:r>
      <w:hyperlink w:anchor="SENTENCIA_2023_172" w:history="1">
        <w:r w:rsidRPr="00DA359F">
          <w:rPr>
            <w:rStyle w:val="TextoNormalCaracter"/>
          </w:rPr>
          <w:t>172/2023</w:t>
        </w:r>
      </w:hyperlink>
      <w:r>
        <w:t>, f. 4.</w:t>
      </w:r>
    </w:p>
    <w:p w14:paraId="743C853C" w14:textId="7D68DE2F" w:rsidR="00DA359F" w:rsidRDefault="00DA359F" w:rsidP="00DA359F">
      <w:pPr>
        <w:pStyle w:val="SangriaFrancesaArticulo"/>
      </w:pPr>
      <w:r w:rsidRPr="00DA359F">
        <w:rPr>
          <w:rStyle w:val="TextoNormalNegritaCaracter"/>
        </w:rPr>
        <w:t>Artículo 7.</w:t>
      </w:r>
      <w:r w:rsidRPr="00DA359F">
        <w:rPr>
          <w:rStyle w:val="TextoNormalCaracter"/>
        </w:rPr>
        <w:t>-</w:t>
      </w:r>
      <w:r>
        <w:t xml:space="preserve"> Sentencia </w:t>
      </w:r>
      <w:hyperlink w:anchor="SENTENCIA_2023_96" w:history="1">
        <w:r w:rsidRPr="00DA359F">
          <w:rPr>
            <w:rStyle w:val="TextoNormalCaracter"/>
          </w:rPr>
          <w:t>96/2023</w:t>
        </w:r>
      </w:hyperlink>
      <w:r>
        <w:t>, f. 2.</w:t>
      </w:r>
    </w:p>
    <w:p w14:paraId="681FFEBF" w14:textId="437A85A2" w:rsidR="00DA359F" w:rsidRDefault="00DA359F" w:rsidP="00DA359F">
      <w:pPr>
        <w:pStyle w:val="SangriaFrancesaArticulo"/>
      </w:pPr>
      <w:r w:rsidRPr="00DA359F">
        <w:rPr>
          <w:rStyle w:val="TextoNormalNegritaCaracter"/>
        </w:rPr>
        <w:t>Artículo 7.1.</w:t>
      </w:r>
      <w:r w:rsidRPr="00DA359F">
        <w:rPr>
          <w:rStyle w:val="TextoNormalCaracter"/>
        </w:rPr>
        <w:t>-</w:t>
      </w:r>
      <w:r>
        <w:t xml:space="preserve"> Sentencias </w:t>
      </w:r>
      <w:hyperlink w:anchor="SENTENCIA_2023_91" w:history="1">
        <w:r w:rsidRPr="00DA359F">
          <w:rPr>
            <w:rStyle w:val="TextoNormalCaracter"/>
          </w:rPr>
          <w:t>91/2023</w:t>
        </w:r>
      </w:hyperlink>
      <w:r>
        <w:t xml:space="preserve">, f. 4; </w:t>
      </w:r>
      <w:hyperlink w:anchor="SENTENCIA_2023_96" w:history="1">
        <w:r w:rsidRPr="00DA359F">
          <w:rPr>
            <w:rStyle w:val="TextoNormalCaracter"/>
          </w:rPr>
          <w:t>96/2023</w:t>
        </w:r>
      </w:hyperlink>
      <w:r>
        <w:t xml:space="preserve">, ff. 2, 3; </w:t>
      </w:r>
      <w:hyperlink w:anchor="SENTENCIA_2023_172" w:history="1">
        <w:r w:rsidRPr="00DA359F">
          <w:rPr>
            <w:rStyle w:val="TextoNormalCaracter"/>
          </w:rPr>
          <w:t>172/2023</w:t>
        </w:r>
      </w:hyperlink>
      <w:r>
        <w:t>, f. 4.</w:t>
      </w:r>
    </w:p>
    <w:p w14:paraId="0646AB03" w14:textId="30E9812D" w:rsidR="00DA359F" w:rsidRDefault="00DA359F" w:rsidP="00DA359F">
      <w:pPr>
        <w:pStyle w:val="SangriaFrancesaArticulo"/>
      </w:pPr>
      <w:r w:rsidRPr="00DA359F">
        <w:rPr>
          <w:rStyle w:val="TextoNormalNegritaCaracter"/>
        </w:rPr>
        <w:t>Artículo 7.2.</w:t>
      </w:r>
      <w:r w:rsidRPr="00DA359F">
        <w:rPr>
          <w:rStyle w:val="TextoNormalCaracter"/>
        </w:rPr>
        <w:t>-</w:t>
      </w:r>
      <w:r>
        <w:t xml:space="preserve"> Sentencia </w:t>
      </w:r>
      <w:hyperlink w:anchor="SENTENCIA_2023_96" w:history="1">
        <w:r w:rsidRPr="00DA359F">
          <w:rPr>
            <w:rStyle w:val="TextoNormalCaracter"/>
          </w:rPr>
          <w:t>96/2023</w:t>
        </w:r>
      </w:hyperlink>
      <w:r>
        <w:t>, f. 1.</w:t>
      </w:r>
    </w:p>
    <w:p w14:paraId="22F2DA0E" w14:textId="59A411AB" w:rsidR="00DA359F" w:rsidRDefault="00DA359F" w:rsidP="00DA359F">
      <w:pPr>
        <w:pStyle w:val="SangriaFrancesaArticulo"/>
      </w:pPr>
    </w:p>
    <w:p w14:paraId="31A6D32C" w14:textId="77777777" w:rsidR="00DA359F" w:rsidRDefault="00DA359F" w:rsidP="00DA359F">
      <w:pPr>
        <w:pStyle w:val="TextoNormalNegritaCursivandice"/>
        <w:keepNext/>
      </w:pPr>
      <w:r>
        <w:t>Directiva 1999/70/CE del Consejo, de 28 de junio de 1999. Acuerdo marco de la CES, la UNICEF y el CEEP sobre el trabajo de duración determinada</w:t>
      </w:r>
    </w:p>
    <w:p w14:paraId="2F386660" w14:textId="18464A0C" w:rsidR="00DA359F" w:rsidRDefault="00DA359F" w:rsidP="00DA359F">
      <w:pPr>
        <w:pStyle w:val="SangriaFrancesaArticulo"/>
      </w:pPr>
      <w:r w:rsidRPr="00DA359F">
        <w:rPr>
          <w:rStyle w:val="TextoNormalNegritaCaracter"/>
        </w:rPr>
        <w:t>Cláusula 4.1.</w:t>
      </w:r>
      <w:r w:rsidRPr="00DA359F">
        <w:rPr>
          <w:rStyle w:val="TextoNormalCaracter"/>
        </w:rPr>
        <w:t>-</w:t>
      </w:r>
      <w:r>
        <w:t xml:space="preserve"> Auto </w:t>
      </w:r>
      <w:hyperlink w:anchor="AUTO_2023_427" w:history="1">
        <w:r w:rsidRPr="00DA359F">
          <w:rPr>
            <w:rStyle w:val="TextoNormalCaracter"/>
          </w:rPr>
          <w:t>427/2023</w:t>
        </w:r>
      </w:hyperlink>
      <w:r>
        <w:t>, VP.</w:t>
      </w:r>
    </w:p>
    <w:p w14:paraId="342B3FCE" w14:textId="28CC50C5" w:rsidR="00DA359F" w:rsidRDefault="00DA359F" w:rsidP="00DA359F">
      <w:pPr>
        <w:pStyle w:val="SangriaFrancesaArticulo"/>
      </w:pPr>
      <w:r w:rsidRPr="00DA359F">
        <w:rPr>
          <w:rStyle w:val="TextoNormalNegritaCaracter"/>
        </w:rPr>
        <w:t>Claúsula 5.1.</w:t>
      </w:r>
      <w:r w:rsidRPr="00DA359F">
        <w:rPr>
          <w:rStyle w:val="TextoNormalCaracter"/>
        </w:rPr>
        <w:t>-</w:t>
      </w:r>
      <w:r>
        <w:t xml:space="preserve"> Auto </w:t>
      </w:r>
      <w:hyperlink w:anchor="AUTO_2023_427" w:history="1">
        <w:r w:rsidRPr="00DA359F">
          <w:rPr>
            <w:rStyle w:val="TextoNormalCaracter"/>
          </w:rPr>
          <w:t>427/2023</w:t>
        </w:r>
      </w:hyperlink>
      <w:r>
        <w:t>, f. 2.</w:t>
      </w:r>
    </w:p>
    <w:p w14:paraId="4799FDAA" w14:textId="35721BD5"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145" w:history="1">
        <w:r w:rsidRPr="00DA359F">
          <w:rPr>
            <w:rStyle w:val="TextoNormalCaracter"/>
          </w:rPr>
          <w:t>145/2023</w:t>
        </w:r>
      </w:hyperlink>
      <w:r>
        <w:t>, ff. 1, 4, 5.</w:t>
      </w:r>
    </w:p>
    <w:p w14:paraId="1D3F9389" w14:textId="2395DFFD" w:rsidR="00DA359F" w:rsidRDefault="00DA359F" w:rsidP="00DA359F">
      <w:pPr>
        <w:pStyle w:val="SangriaIzquierdaArticulo"/>
      </w:pPr>
      <w:r>
        <w:t xml:space="preserve">Auto </w:t>
      </w:r>
      <w:hyperlink w:anchor="AUTO_2023_427" w:history="1">
        <w:r w:rsidRPr="00DA359F">
          <w:rPr>
            <w:rStyle w:val="TextoNormalCaracter"/>
          </w:rPr>
          <w:t>427/2023</w:t>
        </w:r>
      </w:hyperlink>
      <w:r>
        <w:t>, f. 1, VP.</w:t>
      </w:r>
    </w:p>
    <w:p w14:paraId="7865024A" w14:textId="5615CBFD" w:rsidR="00DA359F" w:rsidRDefault="00DA359F" w:rsidP="00DA359F">
      <w:pPr>
        <w:pStyle w:val="SangriaIzquierdaArticulo"/>
      </w:pPr>
    </w:p>
    <w:p w14:paraId="2942ED25" w14:textId="77777777" w:rsidR="00DA359F" w:rsidRDefault="00DA359F" w:rsidP="00DA359F">
      <w:pPr>
        <w:pStyle w:val="TextoNormalNegritaCursivandice"/>
        <w:keepNext/>
      </w:pPr>
      <w:r>
        <w:t>Recomendación (UE) 1999/519, de la Comisión, de 12 de julio de 1999, relativa a la exposición del público en general a campos electromagnéticos (0 Hz a 300 GHz)</w:t>
      </w:r>
    </w:p>
    <w:p w14:paraId="5E101C47" w14:textId="6B7FFD6C"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89" w:history="1">
        <w:r w:rsidRPr="00DA359F">
          <w:rPr>
            <w:rStyle w:val="TextoNormalCaracter"/>
          </w:rPr>
          <w:t>89/2023</w:t>
        </w:r>
      </w:hyperlink>
      <w:r>
        <w:t>, VP I.</w:t>
      </w:r>
    </w:p>
    <w:p w14:paraId="4B245A87" w14:textId="4CB1DA4A" w:rsidR="00DA359F" w:rsidRDefault="00DA359F" w:rsidP="00DA359F">
      <w:pPr>
        <w:pStyle w:val="SangriaFrancesaArticulo"/>
      </w:pPr>
    </w:p>
    <w:p w14:paraId="28A9094D" w14:textId="77777777" w:rsidR="00DA359F" w:rsidRDefault="00DA359F" w:rsidP="00DA359F">
      <w:pPr>
        <w:pStyle w:val="TextoNormalNegritaCursivandice"/>
        <w:keepNext/>
      </w:pPr>
      <w:r>
        <w:t>Directiva 2000/31/CE del Parlamento Europeo y del Consejo, de 8 de junio de 2000, relativa a determinados aspectos jurídicos de los servicios de la sociedad de la información, en particular el comercio electrónico en el mercado interior (Directiva sobre el comercio electrónico)</w:t>
      </w:r>
    </w:p>
    <w:p w14:paraId="7DBEC428" w14:textId="1E359D74"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83" w:history="1">
        <w:r w:rsidRPr="00DA359F">
          <w:rPr>
            <w:rStyle w:val="TextoNormalCaracter"/>
          </w:rPr>
          <w:t>83/2023</w:t>
        </w:r>
      </w:hyperlink>
      <w:r>
        <w:t>, VP II.</w:t>
      </w:r>
    </w:p>
    <w:p w14:paraId="2F2EE856" w14:textId="56A2D563" w:rsidR="00DA359F" w:rsidRDefault="00DA359F" w:rsidP="00DA359F">
      <w:pPr>
        <w:pStyle w:val="SangriaFrancesaArticulo"/>
      </w:pPr>
      <w:r w:rsidRPr="00DA359F">
        <w:rPr>
          <w:rStyle w:val="TextoNormalNegritaCaracter"/>
        </w:rPr>
        <w:t>Artículo 42.</w:t>
      </w:r>
      <w:r w:rsidRPr="00DA359F">
        <w:rPr>
          <w:rStyle w:val="TextoNormalCaracter"/>
        </w:rPr>
        <w:t>-</w:t>
      </w:r>
      <w:r>
        <w:t xml:space="preserve"> Sentencia </w:t>
      </w:r>
      <w:hyperlink w:anchor="SENTENCIA_2023_83" w:history="1">
        <w:r w:rsidRPr="00DA359F">
          <w:rPr>
            <w:rStyle w:val="TextoNormalCaracter"/>
          </w:rPr>
          <w:t>83/2023</w:t>
        </w:r>
      </w:hyperlink>
      <w:r>
        <w:t>, VP II.</w:t>
      </w:r>
    </w:p>
    <w:p w14:paraId="3EC61C08" w14:textId="569BD400" w:rsidR="00DA359F" w:rsidRDefault="00DA359F" w:rsidP="00DA359F">
      <w:pPr>
        <w:pStyle w:val="SangriaFrancesaArticulo"/>
      </w:pPr>
      <w:r w:rsidRPr="00DA359F">
        <w:rPr>
          <w:rStyle w:val="TextoNormalNegritaCaracter"/>
        </w:rPr>
        <w:t>Artículo 43.</w:t>
      </w:r>
      <w:r w:rsidRPr="00DA359F">
        <w:rPr>
          <w:rStyle w:val="TextoNormalCaracter"/>
        </w:rPr>
        <w:t>-</w:t>
      </w:r>
      <w:r>
        <w:t xml:space="preserve"> Sentencia </w:t>
      </w:r>
      <w:hyperlink w:anchor="SENTENCIA_2023_83" w:history="1">
        <w:r w:rsidRPr="00DA359F">
          <w:rPr>
            <w:rStyle w:val="TextoNormalCaracter"/>
          </w:rPr>
          <w:t>83/2023</w:t>
        </w:r>
      </w:hyperlink>
      <w:r>
        <w:t>, VP II.</w:t>
      </w:r>
    </w:p>
    <w:p w14:paraId="3AC40430" w14:textId="0CE16AAD" w:rsidR="00DA359F" w:rsidRDefault="00DA359F" w:rsidP="00DA359F">
      <w:pPr>
        <w:pStyle w:val="SangriaFrancesaArticulo"/>
      </w:pPr>
    </w:p>
    <w:p w14:paraId="4931C768" w14:textId="77777777" w:rsidR="00DA359F" w:rsidRDefault="00DA359F" w:rsidP="00DA359F">
      <w:pPr>
        <w:pStyle w:val="TextoNormalNegritaCursivandice"/>
        <w:keepNext/>
      </w:pPr>
      <w:r>
        <w:t>Carta de los derechos fundamentales de la Unión Europea, firmada en Niza el 7 de diciembre de 2000</w:t>
      </w:r>
    </w:p>
    <w:p w14:paraId="63550469" w14:textId="0215E47F" w:rsidR="00DA359F" w:rsidRDefault="00DA359F" w:rsidP="00DA359F">
      <w:pPr>
        <w:pStyle w:val="SangriaFrancesaArticulo"/>
      </w:pPr>
      <w:r w:rsidRPr="00DA359F">
        <w:rPr>
          <w:rStyle w:val="TextoNormalNegritaCaracter"/>
        </w:rPr>
        <w:t>Artículo 6.</w:t>
      </w:r>
      <w:r w:rsidRPr="00DA359F">
        <w:rPr>
          <w:rStyle w:val="TextoNormalCaracter"/>
        </w:rPr>
        <w:t>-</w:t>
      </w:r>
      <w:r>
        <w:t xml:space="preserve"> Auto </w:t>
      </w:r>
      <w:hyperlink w:anchor="AUTO_2023_378" w:history="1">
        <w:r w:rsidRPr="00DA359F">
          <w:rPr>
            <w:rStyle w:val="TextoNormalCaracter"/>
          </w:rPr>
          <w:t>378/2023</w:t>
        </w:r>
      </w:hyperlink>
      <w:r>
        <w:t>, f. 1.</w:t>
      </w:r>
    </w:p>
    <w:p w14:paraId="7C9AE6BC" w14:textId="5018FAC6" w:rsidR="00DA359F" w:rsidRDefault="00DA359F" w:rsidP="00DA359F">
      <w:pPr>
        <w:pStyle w:val="SangriaFrancesaArticulo"/>
      </w:pPr>
      <w:r w:rsidRPr="00DA359F">
        <w:rPr>
          <w:rStyle w:val="TextoNormalNegritaCaracter"/>
        </w:rPr>
        <w:t>Artículo 39.2.</w:t>
      </w:r>
      <w:r w:rsidRPr="00DA359F">
        <w:rPr>
          <w:rStyle w:val="TextoNormalCaracter"/>
        </w:rPr>
        <w:t>-</w:t>
      </w:r>
      <w:r>
        <w:t xml:space="preserve"> Auto </w:t>
      </w:r>
      <w:hyperlink w:anchor="AUTO_2023_378" w:history="1">
        <w:r w:rsidRPr="00DA359F">
          <w:rPr>
            <w:rStyle w:val="TextoNormalCaracter"/>
          </w:rPr>
          <w:t>378/2023</w:t>
        </w:r>
      </w:hyperlink>
      <w:r>
        <w:t>, f. 1.</w:t>
      </w:r>
    </w:p>
    <w:p w14:paraId="63A0E36C" w14:textId="59FFA3BE" w:rsidR="00DA359F" w:rsidRDefault="00DA359F" w:rsidP="00DA359F">
      <w:pPr>
        <w:pStyle w:val="SangriaFrancesaArticulo"/>
      </w:pPr>
      <w:r w:rsidRPr="00DA359F">
        <w:rPr>
          <w:rStyle w:val="TextoNormalNegritaCaracter"/>
        </w:rPr>
        <w:t>Artículo 45.</w:t>
      </w:r>
      <w:r w:rsidRPr="00DA359F">
        <w:rPr>
          <w:rStyle w:val="TextoNormalCaracter"/>
        </w:rPr>
        <w:t>-</w:t>
      </w:r>
      <w:r>
        <w:t xml:space="preserve"> Auto </w:t>
      </w:r>
      <w:hyperlink w:anchor="AUTO_2023_378" w:history="1">
        <w:r w:rsidRPr="00DA359F">
          <w:rPr>
            <w:rStyle w:val="TextoNormalCaracter"/>
          </w:rPr>
          <w:t>378/2023</w:t>
        </w:r>
      </w:hyperlink>
      <w:r>
        <w:t>, f. 1.</w:t>
      </w:r>
    </w:p>
    <w:p w14:paraId="4D6CE870" w14:textId="6E61DA90" w:rsidR="00DA359F" w:rsidRDefault="00DA359F" w:rsidP="00DA359F">
      <w:pPr>
        <w:pStyle w:val="SangriaFrancesaArticulo"/>
      </w:pPr>
      <w:r w:rsidRPr="00DA359F">
        <w:rPr>
          <w:rStyle w:val="TextoNormalNegritaCaracter"/>
        </w:rPr>
        <w:t>Artículo 47.</w:t>
      </w:r>
      <w:r w:rsidRPr="00DA359F">
        <w:rPr>
          <w:rStyle w:val="TextoNormalCaracter"/>
        </w:rPr>
        <w:t>-</w:t>
      </w:r>
      <w:r>
        <w:t xml:space="preserve"> Sentencia </w:t>
      </w:r>
      <w:hyperlink w:anchor="SENTENCIA_2023_134" w:history="1">
        <w:r w:rsidRPr="00DA359F">
          <w:rPr>
            <w:rStyle w:val="TextoNormalCaracter"/>
          </w:rPr>
          <w:t>134/2023</w:t>
        </w:r>
      </w:hyperlink>
      <w:r>
        <w:t>, f. 4.</w:t>
      </w:r>
    </w:p>
    <w:p w14:paraId="482313F6" w14:textId="213555AA" w:rsidR="00DA359F" w:rsidRDefault="00DA359F" w:rsidP="00DA359F">
      <w:pPr>
        <w:pStyle w:val="SangriaIzquierdaArticulo"/>
      </w:pPr>
      <w:r>
        <w:t xml:space="preserve">Auto </w:t>
      </w:r>
      <w:hyperlink w:anchor="AUTO_2023_378" w:history="1">
        <w:r w:rsidRPr="00DA359F">
          <w:rPr>
            <w:rStyle w:val="TextoNormalCaracter"/>
          </w:rPr>
          <w:t>378/2023</w:t>
        </w:r>
      </w:hyperlink>
      <w:r>
        <w:t>, f. 1.</w:t>
      </w:r>
    </w:p>
    <w:p w14:paraId="67F44822" w14:textId="794D25D6" w:rsidR="00DA359F" w:rsidRDefault="00DA359F" w:rsidP="00DA359F">
      <w:pPr>
        <w:pStyle w:val="SangriaFrancesaArticulo"/>
      </w:pPr>
      <w:r w:rsidRPr="00DA359F">
        <w:rPr>
          <w:rStyle w:val="TextoNormalNegritaCaracter"/>
        </w:rPr>
        <w:t>Artículo 47.1.</w:t>
      </w:r>
      <w:r w:rsidRPr="00DA359F">
        <w:rPr>
          <w:rStyle w:val="TextoNormalCaracter"/>
        </w:rPr>
        <w:t>-</w:t>
      </w:r>
      <w:r>
        <w:t xml:space="preserve"> Sentencia </w:t>
      </w:r>
      <w:hyperlink w:anchor="SENTENCIA_2023_128" w:history="1">
        <w:r w:rsidRPr="00DA359F">
          <w:rPr>
            <w:rStyle w:val="TextoNormalCaracter"/>
          </w:rPr>
          <w:t>128/2023</w:t>
        </w:r>
      </w:hyperlink>
      <w:r>
        <w:t>, VP.</w:t>
      </w:r>
    </w:p>
    <w:p w14:paraId="6D1FD328" w14:textId="4D12994A" w:rsidR="00DA359F" w:rsidRDefault="00DA359F" w:rsidP="00DA359F">
      <w:pPr>
        <w:pStyle w:val="SangriaFrancesaArticulo"/>
      </w:pPr>
      <w:r w:rsidRPr="00DA359F">
        <w:rPr>
          <w:rStyle w:val="TextoNormalNegritaCaracter"/>
        </w:rPr>
        <w:t>Artículo 49.</w:t>
      </w:r>
      <w:r w:rsidRPr="00DA359F">
        <w:rPr>
          <w:rStyle w:val="TextoNormalCaracter"/>
        </w:rPr>
        <w:t>-</w:t>
      </w:r>
      <w:r>
        <w:t xml:space="preserve"> Sentencia </w:t>
      </w:r>
      <w:hyperlink w:anchor="SENTENCIA_2023_150" w:history="1">
        <w:r w:rsidRPr="00DA359F">
          <w:rPr>
            <w:rStyle w:val="TextoNormalCaracter"/>
          </w:rPr>
          <w:t>150/2023</w:t>
        </w:r>
      </w:hyperlink>
      <w:r>
        <w:t>, f. 1.</w:t>
      </w:r>
    </w:p>
    <w:p w14:paraId="11AB36DF" w14:textId="5E7C4664" w:rsidR="00DA359F" w:rsidRDefault="00DA359F" w:rsidP="00DA359F">
      <w:pPr>
        <w:pStyle w:val="SangriaFrancesaArticulo"/>
      </w:pPr>
      <w:r w:rsidRPr="00DA359F">
        <w:rPr>
          <w:rStyle w:val="TextoNormalNegritaCaracter"/>
        </w:rPr>
        <w:t>Artículo 52.1.</w:t>
      </w:r>
      <w:r w:rsidRPr="00DA359F">
        <w:rPr>
          <w:rStyle w:val="TextoNormalCaracter"/>
        </w:rPr>
        <w:t>-</w:t>
      </w:r>
      <w:r>
        <w:t xml:space="preserve"> Sentencia </w:t>
      </w:r>
      <w:hyperlink w:anchor="SENTENCIA_2023_89" w:history="1">
        <w:r w:rsidRPr="00DA359F">
          <w:rPr>
            <w:rStyle w:val="TextoNormalCaracter"/>
          </w:rPr>
          <w:t>89/2023</w:t>
        </w:r>
      </w:hyperlink>
      <w:r>
        <w:t>, VP I.</w:t>
      </w:r>
    </w:p>
    <w:p w14:paraId="64A28C0B" w14:textId="4AE36BCB" w:rsidR="00DA359F" w:rsidRDefault="00DA359F" w:rsidP="00DA359F">
      <w:pPr>
        <w:pStyle w:val="SangriaFrancesaArticulo"/>
      </w:pPr>
    </w:p>
    <w:p w14:paraId="1C2EBEAF" w14:textId="77777777" w:rsidR="00DA359F" w:rsidRDefault="00DA359F" w:rsidP="00DA359F">
      <w:pPr>
        <w:pStyle w:val="TextoNormalNegritaCursivandice"/>
        <w:keepNext/>
      </w:pPr>
      <w:r>
        <w:t>Decisión marco 2002/584/JAI del Consejo, de 13 de junio de 2002, relativa a la orden de detención europea y procedimientos de entrega entre Estados miembros</w:t>
      </w:r>
    </w:p>
    <w:p w14:paraId="4B8F323F" w14:textId="210161D7"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136" w:history="1">
        <w:r w:rsidRPr="00DA359F">
          <w:rPr>
            <w:rStyle w:val="TextoNormalCaracter"/>
          </w:rPr>
          <w:t>136/2023</w:t>
        </w:r>
      </w:hyperlink>
      <w:r>
        <w:t>, f. 4.</w:t>
      </w:r>
    </w:p>
    <w:p w14:paraId="6AD128F1" w14:textId="012CA33F" w:rsidR="00DA359F" w:rsidRDefault="00DA359F" w:rsidP="00DA359F">
      <w:pPr>
        <w:pStyle w:val="SangriaFrancesaArticulo"/>
      </w:pPr>
      <w:r w:rsidRPr="00DA359F">
        <w:rPr>
          <w:rStyle w:val="TextoNormalNegritaCaracter"/>
        </w:rPr>
        <w:t>Considerando 5.</w:t>
      </w:r>
      <w:r w:rsidRPr="00DA359F">
        <w:rPr>
          <w:rStyle w:val="TextoNormalCaracter"/>
        </w:rPr>
        <w:t>-</w:t>
      </w:r>
      <w:r>
        <w:t xml:space="preserve"> Sentencia </w:t>
      </w:r>
      <w:hyperlink w:anchor="SENTENCIA_2023_136" w:history="1">
        <w:r w:rsidRPr="00DA359F">
          <w:rPr>
            <w:rStyle w:val="TextoNormalCaracter"/>
          </w:rPr>
          <w:t>136/2023</w:t>
        </w:r>
      </w:hyperlink>
      <w:r>
        <w:t>, f. 4.</w:t>
      </w:r>
    </w:p>
    <w:p w14:paraId="5BBD40E0" w14:textId="14D67DDE" w:rsidR="00DA359F" w:rsidRDefault="00DA359F" w:rsidP="00DA359F">
      <w:pPr>
        <w:pStyle w:val="SangriaFrancesaArticulo"/>
      </w:pPr>
      <w:r w:rsidRPr="00DA359F">
        <w:rPr>
          <w:rStyle w:val="TextoNormalNegritaCaracter"/>
        </w:rPr>
        <w:t>Artículo 26.</w:t>
      </w:r>
      <w:r w:rsidRPr="00DA359F">
        <w:rPr>
          <w:rStyle w:val="TextoNormalCaracter"/>
        </w:rPr>
        <w:t>-</w:t>
      </w:r>
      <w:r>
        <w:t xml:space="preserve"> Sentencia </w:t>
      </w:r>
      <w:hyperlink w:anchor="SENTENCIA_2023_136" w:history="1">
        <w:r w:rsidRPr="00DA359F">
          <w:rPr>
            <w:rStyle w:val="TextoNormalCaracter"/>
          </w:rPr>
          <w:t>136/2023</w:t>
        </w:r>
      </w:hyperlink>
      <w:r>
        <w:t>, f. 4.</w:t>
      </w:r>
    </w:p>
    <w:p w14:paraId="3B1CD6B9" w14:textId="5C664DA3" w:rsidR="00DA359F" w:rsidRDefault="00DA359F" w:rsidP="00DA359F">
      <w:pPr>
        <w:pStyle w:val="SangriaFrancesaArticulo"/>
      </w:pPr>
    </w:p>
    <w:p w14:paraId="010ED449" w14:textId="77777777" w:rsidR="00DA359F" w:rsidRDefault="00DA359F" w:rsidP="00DA359F">
      <w:pPr>
        <w:pStyle w:val="TextoNormalNegritaCursivandice"/>
        <w:keepNext/>
      </w:pPr>
      <w:r>
        <w:t>Reglamento (CE) 1393/2007 del Parlamento Europeo y del Consejo, de 13 de noviembre de 2007, relativo a la notificación y al traslado en los Estados miembros de documentos judiciales y extrajudiciales en materia civil o mercantil (notificación y traslado de documentos) y por el que se deroga el Reglamento (CE) 1348/2000 del Consejo</w:t>
      </w:r>
    </w:p>
    <w:p w14:paraId="0FDD8CC9" w14:textId="42FDBC66"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137" w:history="1">
        <w:r w:rsidRPr="00DA359F">
          <w:rPr>
            <w:rStyle w:val="TextoNormalCaracter"/>
          </w:rPr>
          <w:t>137/2023</w:t>
        </w:r>
      </w:hyperlink>
      <w:r>
        <w:t>, f. 3.</w:t>
      </w:r>
    </w:p>
    <w:p w14:paraId="65C24EBA" w14:textId="6A5311C4" w:rsidR="00DA359F" w:rsidRDefault="00DA359F" w:rsidP="00DA359F">
      <w:pPr>
        <w:pStyle w:val="SangriaFrancesaArticulo"/>
      </w:pPr>
    </w:p>
    <w:p w14:paraId="744EBFD9" w14:textId="77777777" w:rsidR="00DA359F" w:rsidRDefault="00DA359F" w:rsidP="00DA359F">
      <w:pPr>
        <w:pStyle w:val="TextoNormalNegritaCursivandice"/>
        <w:keepNext/>
      </w:pPr>
      <w:r>
        <w:t>Tratado de funcionamiento de la Unión Europea —TFUE— hecho en Lisboa, de 13 de diciembre de 2007</w:t>
      </w:r>
    </w:p>
    <w:p w14:paraId="736B16CE" w14:textId="01E07FC9" w:rsidR="00DA359F" w:rsidRDefault="00DA359F" w:rsidP="00DA359F">
      <w:pPr>
        <w:pStyle w:val="SangriaFrancesaArticulo"/>
      </w:pPr>
      <w:r w:rsidRPr="00DA359F">
        <w:rPr>
          <w:rStyle w:val="TextoNormalNegritaCaracter"/>
        </w:rPr>
        <w:t>Artículo 52.1.</w:t>
      </w:r>
      <w:r w:rsidRPr="00DA359F">
        <w:rPr>
          <w:rStyle w:val="TextoNormalCaracter"/>
        </w:rPr>
        <w:t>-</w:t>
      </w:r>
      <w:r>
        <w:t xml:space="preserve"> Sentencia </w:t>
      </w:r>
      <w:hyperlink w:anchor="SENTENCIA_2023_89" w:history="1">
        <w:r w:rsidRPr="00DA359F">
          <w:rPr>
            <w:rStyle w:val="TextoNormalCaracter"/>
          </w:rPr>
          <w:t>89/2023</w:t>
        </w:r>
      </w:hyperlink>
      <w:r>
        <w:t>, VP I.</w:t>
      </w:r>
    </w:p>
    <w:p w14:paraId="14744865" w14:textId="47FC62FE" w:rsidR="00DA359F" w:rsidRDefault="00DA359F" w:rsidP="00DA359F">
      <w:pPr>
        <w:pStyle w:val="SangriaFrancesaArticulo"/>
      </w:pPr>
      <w:r w:rsidRPr="00DA359F">
        <w:rPr>
          <w:rStyle w:val="TextoNormalNegritaCaracter"/>
        </w:rPr>
        <w:t>Artículo 267.</w:t>
      </w:r>
      <w:r w:rsidRPr="00DA359F">
        <w:rPr>
          <w:rStyle w:val="TextoNormalCaracter"/>
        </w:rPr>
        <w:t>-</w:t>
      </w:r>
      <w:r>
        <w:t xml:space="preserve"> Sentencia </w:t>
      </w:r>
      <w:hyperlink w:anchor="SENTENCIA_2023_96" w:history="1">
        <w:r w:rsidRPr="00DA359F">
          <w:rPr>
            <w:rStyle w:val="TextoNormalCaracter"/>
          </w:rPr>
          <w:t>96/2023</w:t>
        </w:r>
      </w:hyperlink>
      <w:r>
        <w:t>, f. 1.</w:t>
      </w:r>
    </w:p>
    <w:p w14:paraId="566FC45E" w14:textId="09807837" w:rsidR="00DA359F" w:rsidRDefault="00DA359F" w:rsidP="00DA359F">
      <w:pPr>
        <w:pStyle w:val="SangriaIzquierdaArticulo"/>
      </w:pPr>
      <w:r>
        <w:t xml:space="preserve">Auto </w:t>
      </w:r>
      <w:hyperlink w:anchor="AUTO_2023_427" w:history="1">
        <w:r w:rsidRPr="00DA359F">
          <w:rPr>
            <w:rStyle w:val="TextoNormalCaracter"/>
          </w:rPr>
          <w:t>427/2023</w:t>
        </w:r>
      </w:hyperlink>
      <w:r>
        <w:t>, f. 2.</w:t>
      </w:r>
    </w:p>
    <w:p w14:paraId="0541C205" w14:textId="46BCDCCF" w:rsidR="00DA359F" w:rsidRDefault="00DA359F" w:rsidP="00DA359F">
      <w:pPr>
        <w:pStyle w:val="SangriaIzquierdaArticulo"/>
      </w:pPr>
    </w:p>
    <w:p w14:paraId="34013A5A" w14:textId="77777777" w:rsidR="00DA359F" w:rsidRDefault="00DA359F" w:rsidP="00DA359F">
      <w:pPr>
        <w:pStyle w:val="TextoNormalNegritaCursivandice"/>
        <w:keepNext/>
      </w:pPr>
      <w:r>
        <w:t>Directiva 2008/115/CE del Parlamento Europeo y del Consejo, de 16 de diciembre de 2008, relativa a normas y procedimientos comunes en los Estados miembros para el retorno de los nacionales de terceros países en situación irregular</w:t>
      </w:r>
    </w:p>
    <w:p w14:paraId="6137A74E" w14:textId="12AFC55F" w:rsidR="00DA359F" w:rsidRDefault="00DA359F" w:rsidP="00DA359F">
      <w:pPr>
        <w:pStyle w:val="SangriaFrancesaArticulo"/>
        <w:keepNext/>
      </w:pPr>
      <w:r w:rsidRPr="00DA359F">
        <w:rPr>
          <w:rStyle w:val="TextoNormalNegritaCaracter"/>
        </w:rPr>
        <w:t>En general.</w:t>
      </w:r>
      <w:r w:rsidRPr="00DA359F">
        <w:rPr>
          <w:rStyle w:val="TextoNormalCaracter"/>
        </w:rPr>
        <w:t>-</w:t>
      </w:r>
      <w:r>
        <w:t xml:space="preserve"> Sentencias </w:t>
      </w:r>
      <w:hyperlink w:anchor="SENTENCIA_2023_80" w:history="1">
        <w:r w:rsidRPr="00DA359F">
          <w:rPr>
            <w:rStyle w:val="TextoNormalCaracter"/>
          </w:rPr>
          <w:t>80/2023</w:t>
        </w:r>
      </w:hyperlink>
      <w:r>
        <w:t xml:space="preserve">, ff. 1, 3; </w:t>
      </w:r>
      <w:hyperlink w:anchor="SENTENCIA_2023_87" w:history="1">
        <w:r w:rsidRPr="00DA359F">
          <w:rPr>
            <w:rStyle w:val="TextoNormalCaracter"/>
          </w:rPr>
          <w:t>87/2023</w:t>
        </w:r>
      </w:hyperlink>
      <w:r>
        <w:t xml:space="preserve">, ff. 2, 3; </w:t>
      </w:r>
      <w:hyperlink w:anchor="SENTENCIA_2023_130" w:history="1">
        <w:r w:rsidRPr="00DA359F">
          <w:rPr>
            <w:rStyle w:val="TextoNormalCaracter"/>
          </w:rPr>
          <w:t>130/2023</w:t>
        </w:r>
      </w:hyperlink>
      <w:r>
        <w:t xml:space="preserve">, f. único; </w:t>
      </w:r>
      <w:hyperlink w:anchor="SENTENCIA_2023_150" w:history="1">
        <w:r w:rsidRPr="00DA359F">
          <w:rPr>
            <w:rStyle w:val="TextoNormalCaracter"/>
          </w:rPr>
          <w:t>150/2023</w:t>
        </w:r>
      </w:hyperlink>
      <w:r>
        <w:t>, f. 1.</w:t>
      </w:r>
    </w:p>
    <w:p w14:paraId="73CF9CED" w14:textId="3CF70251" w:rsidR="00DA359F" w:rsidRDefault="00DA359F" w:rsidP="00DA359F">
      <w:pPr>
        <w:pStyle w:val="SangriaIzquierdaArticulo"/>
      </w:pPr>
      <w:r>
        <w:t xml:space="preserve">Auto </w:t>
      </w:r>
      <w:hyperlink w:anchor="AUTO_2023_603" w:history="1">
        <w:r w:rsidRPr="00DA359F">
          <w:rPr>
            <w:rStyle w:val="TextoNormalCaracter"/>
          </w:rPr>
          <w:t>603/2023</w:t>
        </w:r>
      </w:hyperlink>
      <w:r>
        <w:t>, f. 3.</w:t>
      </w:r>
    </w:p>
    <w:p w14:paraId="25A2B6AD" w14:textId="210C4810" w:rsidR="00DA359F" w:rsidRDefault="00DA359F" w:rsidP="00DA359F">
      <w:pPr>
        <w:pStyle w:val="SangriaFrancesaArticulo"/>
      </w:pPr>
      <w:r w:rsidRPr="00DA359F">
        <w:rPr>
          <w:rStyle w:val="TextoNormalNegritaCaracter"/>
        </w:rPr>
        <w:t>Artículo 6.1.</w:t>
      </w:r>
      <w:r w:rsidRPr="00DA359F">
        <w:rPr>
          <w:rStyle w:val="TextoNormalCaracter"/>
        </w:rPr>
        <w:t>-</w:t>
      </w:r>
      <w:r>
        <w:t xml:space="preserve"> Sentencias </w:t>
      </w:r>
      <w:hyperlink w:anchor="SENTENCIA_2023_80" w:history="1">
        <w:r w:rsidRPr="00DA359F">
          <w:rPr>
            <w:rStyle w:val="TextoNormalCaracter"/>
          </w:rPr>
          <w:t>80/2023</w:t>
        </w:r>
      </w:hyperlink>
      <w:r>
        <w:t xml:space="preserve">, f. 3; </w:t>
      </w:r>
      <w:hyperlink w:anchor="SENTENCIA_2023_86" w:history="1">
        <w:r w:rsidRPr="00DA359F">
          <w:rPr>
            <w:rStyle w:val="TextoNormalCaracter"/>
          </w:rPr>
          <w:t>86/2023</w:t>
        </w:r>
      </w:hyperlink>
      <w:r>
        <w:t xml:space="preserve">, f. 3; </w:t>
      </w:r>
      <w:hyperlink w:anchor="SENTENCIA_2023_87" w:history="1">
        <w:r w:rsidRPr="00DA359F">
          <w:rPr>
            <w:rStyle w:val="TextoNormalCaracter"/>
          </w:rPr>
          <w:t>87/2023</w:t>
        </w:r>
      </w:hyperlink>
      <w:r>
        <w:t xml:space="preserve">, f. 3; </w:t>
      </w:r>
      <w:hyperlink w:anchor="SENTENCIA_2023_130" w:history="1">
        <w:r w:rsidRPr="00DA359F">
          <w:rPr>
            <w:rStyle w:val="TextoNormalCaracter"/>
          </w:rPr>
          <w:t>130/2023</w:t>
        </w:r>
      </w:hyperlink>
      <w:r>
        <w:t>, f. único.</w:t>
      </w:r>
    </w:p>
    <w:p w14:paraId="60A22331" w14:textId="472D0842" w:rsidR="00DA359F" w:rsidRDefault="00DA359F" w:rsidP="00DA359F">
      <w:pPr>
        <w:pStyle w:val="SangriaFrancesaArticulo"/>
      </w:pPr>
    </w:p>
    <w:p w14:paraId="244FA474" w14:textId="77777777" w:rsidR="00DA359F" w:rsidRDefault="00DA359F" w:rsidP="00DA359F">
      <w:pPr>
        <w:pStyle w:val="TextoNormalNegritaCursivandice"/>
        <w:keepNext/>
      </w:pPr>
      <w:r>
        <w:t>Protocolo núm. 7 sobre los privilegios y las inmunidades de la Unión Europea; anexo al Tratado de la Unión Europea, al Tratado de funcionamiento de la Unión Europea y al Tratado constitutivo de la Comunidad Europea de la Energía Atómica. DOUE de 26 de octubre de 2012</w:t>
      </w:r>
    </w:p>
    <w:p w14:paraId="75E325DC" w14:textId="09488B0D" w:rsidR="00DA359F" w:rsidRDefault="00DA359F" w:rsidP="00DA359F">
      <w:pPr>
        <w:pStyle w:val="SangriaFrancesaArticulo"/>
      </w:pPr>
      <w:r w:rsidRPr="00DA359F">
        <w:rPr>
          <w:rStyle w:val="TextoNormalNegritaCaracter"/>
        </w:rPr>
        <w:t>Artículo 9, párrafo 1, a).</w:t>
      </w:r>
      <w:r w:rsidRPr="00DA359F">
        <w:rPr>
          <w:rStyle w:val="TextoNormalCaracter"/>
        </w:rPr>
        <w:t>-</w:t>
      </w:r>
      <w:r>
        <w:t xml:space="preserve"> Auto </w:t>
      </w:r>
      <w:hyperlink w:anchor="AUTO_2023_378" w:history="1">
        <w:r w:rsidRPr="00DA359F">
          <w:rPr>
            <w:rStyle w:val="TextoNormalCaracter"/>
          </w:rPr>
          <w:t>378/2023</w:t>
        </w:r>
      </w:hyperlink>
      <w:r>
        <w:t>, f. 2.</w:t>
      </w:r>
    </w:p>
    <w:p w14:paraId="1921C92C" w14:textId="402F6930" w:rsidR="00DA359F" w:rsidRDefault="00DA359F" w:rsidP="00DA359F">
      <w:pPr>
        <w:pStyle w:val="SangriaFrancesaArticulo"/>
      </w:pPr>
    </w:p>
    <w:p w14:paraId="358D1E82" w14:textId="77777777" w:rsidR="00DA359F" w:rsidRDefault="00DA359F" w:rsidP="00DA359F">
      <w:pPr>
        <w:pStyle w:val="TextoNormalNegritaCursivandice"/>
        <w:keepNext/>
      </w:pPr>
      <w:r>
        <w:t>Comunicación (2014)158 final, de la Comisión al Parlamento Europeo y al Consejo, de 11 de marzo de 2014, sobre un nuevo marco de la UE para reforzar el Estado de Derecho</w:t>
      </w:r>
    </w:p>
    <w:p w14:paraId="72CE9CA9" w14:textId="7757A9B4"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128" w:history="1">
        <w:r w:rsidRPr="00DA359F">
          <w:rPr>
            <w:rStyle w:val="TextoNormalCaracter"/>
          </w:rPr>
          <w:t>128/2023</w:t>
        </w:r>
      </w:hyperlink>
      <w:r>
        <w:t>, VP.</w:t>
      </w:r>
    </w:p>
    <w:p w14:paraId="5F141035" w14:textId="1FBEB912" w:rsidR="00DA359F" w:rsidRDefault="00DA359F" w:rsidP="00DA359F">
      <w:pPr>
        <w:pStyle w:val="SangriaFrancesaArticulo"/>
      </w:pPr>
    </w:p>
    <w:p w14:paraId="248B2C04" w14:textId="77777777" w:rsidR="00DA359F" w:rsidRDefault="00DA359F" w:rsidP="00DA359F">
      <w:pPr>
        <w:pStyle w:val="TextoNormalNegritaCursivandice"/>
        <w:keepNext/>
      </w:pPr>
      <w:r>
        <w:t>Reglamento (UE) 806/2014 del Parlamento Europeo y del Consejo, de 15 de julio de 2014, por el que se establecen normas uniformes y un procedimiento uniforme para la resolución de entidades de crédito y de determinadas empresas de servicios de inversión en el marco de un mecanismo único de resolución y un fondo único de Resolución y se modifica el Reglamento (UE) 1093/2010</w:t>
      </w:r>
    </w:p>
    <w:p w14:paraId="7A5B150A" w14:textId="0808B1D9"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179" w:history="1">
        <w:r w:rsidRPr="00DA359F">
          <w:rPr>
            <w:rStyle w:val="TextoNormalCaracter"/>
          </w:rPr>
          <w:t>179/2023</w:t>
        </w:r>
      </w:hyperlink>
      <w:r>
        <w:t>, f. 3.</w:t>
      </w:r>
    </w:p>
    <w:p w14:paraId="2EA6D1C5" w14:textId="50CA4237" w:rsidR="00DA359F" w:rsidRDefault="00DA359F" w:rsidP="00DA359F">
      <w:pPr>
        <w:pStyle w:val="SangriaFrancesaArticulo"/>
      </w:pPr>
    </w:p>
    <w:p w14:paraId="0E7EA3C3" w14:textId="77777777" w:rsidR="00DA359F" w:rsidRDefault="00DA359F" w:rsidP="00DA359F">
      <w:pPr>
        <w:pStyle w:val="TextoNormalNegritaCursivandice"/>
        <w:keepNext/>
      </w:pPr>
      <w:r>
        <w:t>Comunicación de la Comisión al Parlamento Europeo, al Consejo, al Comité Económico y Social Europeo y al Comité de las Regiones - Una agenda europea para la economía colaborativa de 2 de junio de 2016 (COM/2016/356 final)</w:t>
      </w:r>
    </w:p>
    <w:p w14:paraId="03CD9E58" w14:textId="5335495A"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144" w:history="1">
        <w:r w:rsidRPr="00DA359F">
          <w:rPr>
            <w:rStyle w:val="TextoNormalCaracter"/>
          </w:rPr>
          <w:t>144/2023</w:t>
        </w:r>
      </w:hyperlink>
      <w:r>
        <w:t>, VP.</w:t>
      </w:r>
    </w:p>
    <w:p w14:paraId="30937B6A" w14:textId="24F2705E" w:rsidR="00DA359F" w:rsidRDefault="00DA359F" w:rsidP="00DA359F">
      <w:pPr>
        <w:pStyle w:val="SangriaFrancesaArticulo"/>
      </w:pPr>
    </w:p>
    <w:p w14:paraId="3DFFBE8A" w14:textId="77777777" w:rsidR="00DA359F" w:rsidRDefault="00DA359F" w:rsidP="00DA359F">
      <w:pPr>
        <w:pStyle w:val="TextoNormalNegritaCursivandice"/>
        <w:keepNext/>
      </w:pPr>
      <w:r>
        <w:t>Resolución del Parlamento Europeo, de 15 de junio de 2017, sobre una Agenda Europea para la economía colaborativa[2017/2003(INI)]</w:t>
      </w:r>
    </w:p>
    <w:p w14:paraId="7CF137AC" w14:textId="7C97F25C" w:rsidR="00DA359F" w:rsidRDefault="00DA359F" w:rsidP="00DA359F">
      <w:pPr>
        <w:pStyle w:val="SangriaFrancesaArticulo"/>
      </w:pPr>
      <w:r w:rsidRPr="00DA359F">
        <w:rPr>
          <w:rStyle w:val="TextoNormalNegritaCaracter"/>
        </w:rPr>
        <w:t>Apartados 38 y 39.</w:t>
      </w:r>
      <w:r w:rsidRPr="00DA359F">
        <w:rPr>
          <w:rStyle w:val="TextoNormalCaracter"/>
        </w:rPr>
        <w:t>-</w:t>
      </w:r>
      <w:r>
        <w:t xml:space="preserve"> Sentencia </w:t>
      </w:r>
      <w:hyperlink w:anchor="SENTENCIA_2023_144" w:history="1">
        <w:r w:rsidRPr="00DA359F">
          <w:rPr>
            <w:rStyle w:val="TextoNormalCaracter"/>
          </w:rPr>
          <w:t>144/2023</w:t>
        </w:r>
      </w:hyperlink>
      <w:r>
        <w:t>, VP.</w:t>
      </w:r>
    </w:p>
    <w:p w14:paraId="3128A7DC" w14:textId="7FBC7C15" w:rsidR="00DA359F" w:rsidRDefault="00DA359F" w:rsidP="00DA359F">
      <w:pPr>
        <w:pStyle w:val="SangriaFrancesaArticulo"/>
      </w:pPr>
    </w:p>
    <w:p w14:paraId="13F7DCDF" w14:textId="77777777" w:rsidR="00DA359F" w:rsidRDefault="00DA359F" w:rsidP="00DA359F">
      <w:pPr>
        <w:pStyle w:val="TextoNormalNegritaCursivandice"/>
        <w:keepNext/>
      </w:pPr>
      <w:r>
        <w:t>Recomendación (UE) 2017/1520, de la Comisión, de 26 de julio de 2017, por lo que respecta al Estado de Derecho en Polonia complementaria a las Recomendaciones (UE) 2016/1374 y (UE) 2017/146</w:t>
      </w:r>
    </w:p>
    <w:p w14:paraId="47644D89" w14:textId="503010C9" w:rsidR="00DA359F" w:rsidRDefault="00DA359F" w:rsidP="00DA359F">
      <w:pPr>
        <w:pStyle w:val="SangriaFrancesaArticulo"/>
      </w:pPr>
      <w:r w:rsidRPr="00DA359F">
        <w:rPr>
          <w:rStyle w:val="TextoNormalNegritaCaracter"/>
        </w:rPr>
        <w:t>Apartado 25.</w:t>
      </w:r>
      <w:r w:rsidRPr="00DA359F">
        <w:rPr>
          <w:rStyle w:val="TextoNormalCaracter"/>
        </w:rPr>
        <w:t>-</w:t>
      </w:r>
      <w:r>
        <w:t xml:space="preserve"> Sentencia </w:t>
      </w:r>
      <w:hyperlink w:anchor="SENTENCIA_2023_128" w:history="1">
        <w:r w:rsidRPr="00DA359F">
          <w:rPr>
            <w:rStyle w:val="TextoNormalCaracter"/>
          </w:rPr>
          <w:t>128/2023</w:t>
        </w:r>
      </w:hyperlink>
      <w:r>
        <w:t>, VP.</w:t>
      </w:r>
    </w:p>
    <w:p w14:paraId="792CE448" w14:textId="0F410EC4" w:rsidR="00DA359F" w:rsidRDefault="00DA359F" w:rsidP="00DA359F">
      <w:pPr>
        <w:pStyle w:val="SangriaFrancesaArticulo"/>
      </w:pPr>
      <w:r w:rsidRPr="00DA359F">
        <w:rPr>
          <w:rStyle w:val="TextoNormalNegritaCaracter"/>
        </w:rPr>
        <w:t>Apartado 43.</w:t>
      </w:r>
      <w:r w:rsidRPr="00DA359F">
        <w:rPr>
          <w:rStyle w:val="TextoNormalCaracter"/>
        </w:rPr>
        <w:t>-</w:t>
      </w:r>
      <w:r>
        <w:t xml:space="preserve"> Sentencia </w:t>
      </w:r>
      <w:hyperlink w:anchor="SENTENCIA_2023_128" w:history="1">
        <w:r w:rsidRPr="00DA359F">
          <w:rPr>
            <w:rStyle w:val="TextoNormalCaracter"/>
          </w:rPr>
          <w:t>128/2023</w:t>
        </w:r>
      </w:hyperlink>
      <w:r>
        <w:t>, VP.</w:t>
      </w:r>
    </w:p>
    <w:p w14:paraId="7AFCB304" w14:textId="24D4698A"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128" w:history="1">
        <w:r w:rsidRPr="00DA359F">
          <w:rPr>
            <w:rStyle w:val="TextoNormalCaracter"/>
          </w:rPr>
          <w:t>128/2023</w:t>
        </w:r>
      </w:hyperlink>
      <w:r>
        <w:t>, VP.</w:t>
      </w:r>
    </w:p>
    <w:p w14:paraId="506B426B" w14:textId="6D5732BF" w:rsidR="00DA359F" w:rsidRDefault="00DA359F" w:rsidP="00DA359F">
      <w:pPr>
        <w:pStyle w:val="SangriaFrancesaArticulo"/>
      </w:pPr>
      <w:r w:rsidRPr="00DA359F">
        <w:rPr>
          <w:rStyle w:val="TextoNormalNegritaCaracter"/>
        </w:rPr>
        <w:t>Apartado 54.</w:t>
      </w:r>
      <w:r w:rsidRPr="00DA359F">
        <w:rPr>
          <w:rStyle w:val="TextoNormalCaracter"/>
        </w:rPr>
        <w:t>-</w:t>
      </w:r>
      <w:r>
        <w:t xml:space="preserve"> Sentencia </w:t>
      </w:r>
      <w:hyperlink w:anchor="SENTENCIA_2023_128" w:history="1">
        <w:r w:rsidRPr="00DA359F">
          <w:rPr>
            <w:rStyle w:val="TextoNormalCaracter"/>
          </w:rPr>
          <w:t>128/2023</w:t>
        </w:r>
      </w:hyperlink>
      <w:r>
        <w:t>, VP.</w:t>
      </w:r>
    </w:p>
    <w:p w14:paraId="02B5C9A5" w14:textId="1305611D" w:rsidR="00DA359F" w:rsidRDefault="00DA359F" w:rsidP="00DA359F">
      <w:pPr>
        <w:pStyle w:val="SangriaFrancesaArticulo"/>
      </w:pPr>
    </w:p>
    <w:p w14:paraId="50B61FC2" w14:textId="77777777" w:rsidR="00DA359F" w:rsidRDefault="00DA359F" w:rsidP="00DA359F">
      <w:pPr>
        <w:pStyle w:val="TextoNormalNegritaCursivandice"/>
        <w:keepNext/>
      </w:pPr>
      <w:r>
        <w:t>Recomendación (UE) 2018/103, de la Comisión, de 20 de diciembre de 2017, por lo que respecta al Estado de Derecho en Polonia complementaria a las Recomendaciones (UE) 2016/1374, (UE) 2017/146 y (UE) 2017/1520</w:t>
      </w:r>
    </w:p>
    <w:p w14:paraId="7B3643E7" w14:textId="5F0D0323" w:rsidR="00DA359F" w:rsidRDefault="00DA359F" w:rsidP="00DA359F">
      <w:pPr>
        <w:pStyle w:val="SangriaFrancesaArticulo"/>
      </w:pPr>
      <w:r w:rsidRPr="00DA359F">
        <w:rPr>
          <w:rStyle w:val="TextoNormalNegritaCaracter"/>
        </w:rPr>
        <w:t>Apartado 28.</w:t>
      </w:r>
      <w:r w:rsidRPr="00DA359F">
        <w:rPr>
          <w:rStyle w:val="TextoNormalCaracter"/>
        </w:rPr>
        <w:t>-</w:t>
      </w:r>
      <w:r>
        <w:t xml:space="preserve"> Sentencia </w:t>
      </w:r>
      <w:hyperlink w:anchor="SENTENCIA_2023_128" w:history="1">
        <w:r w:rsidRPr="00DA359F">
          <w:rPr>
            <w:rStyle w:val="TextoNormalCaracter"/>
          </w:rPr>
          <w:t>128/2023</w:t>
        </w:r>
      </w:hyperlink>
      <w:r>
        <w:t>, VP.</w:t>
      </w:r>
    </w:p>
    <w:p w14:paraId="257A09FC" w14:textId="01597B2B" w:rsidR="00DA359F" w:rsidRDefault="00DA359F" w:rsidP="00DA359F">
      <w:pPr>
        <w:pStyle w:val="SangriaFrancesaArticulo"/>
      </w:pPr>
      <w:r w:rsidRPr="00DA359F">
        <w:rPr>
          <w:rStyle w:val="TextoNormalNegritaCaracter"/>
        </w:rPr>
        <w:t>Apartado 34.</w:t>
      </w:r>
      <w:r w:rsidRPr="00DA359F">
        <w:rPr>
          <w:rStyle w:val="TextoNormalCaracter"/>
        </w:rPr>
        <w:t>-</w:t>
      </w:r>
      <w:r>
        <w:t xml:space="preserve"> Sentencia </w:t>
      </w:r>
      <w:hyperlink w:anchor="SENTENCIA_2023_128" w:history="1">
        <w:r w:rsidRPr="00DA359F">
          <w:rPr>
            <w:rStyle w:val="TextoNormalCaracter"/>
          </w:rPr>
          <w:t>128/2023</w:t>
        </w:r>
      </w:hyperlink>
      <w:r>
        <w:t>, VP.</w:t>
      </w:r>
    </w:p>
    <w:p w14:paraId="50873105" w14:textId="67BF0313"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128" w:history="1">
        <w:r w:rsidRPr="00DA359F">
          <w:rPr>
            <w:rStyle w:val="TextoNormalCaracter"/>
          </w:rPr>
          <w:t>128/2023</w:t>
        </w:r>
      </w:hyperlink>
      <w:r>
        <w:t>, VP.</w:t>
      </w:r>
    </w:p>
    <w:p w14:paraId="2A9F6B42" w14:textId="40E29BFE" w:rsidR="00DA359F" w:rsidRDefault="00DA359F" w:rsidP="00DA359F">
      <w:pPr>
        <w:pStyle w:val="SangriaFrancesaArticulo"/>
      </w:pPr>
    </w:p>
    <w:p w14:paraId="3A166422" w14:textId="77777777" w:rsidR="00DA359F" w:rsidRDefault="00DA359F" w:rsidP="00DA359F">
      <w:pPr>
        <w:pStyle w:val="TextoNormalNegritaCursivandice"/>
        <w:keepNext/>
      </w:pPr>
      <w:r>
        <w:t>Directiva (UE) 2018/1972 del Parlamento Europeo y del Consejo, de 11 de diciembre de 2018, por la que se establece el código europeo de las comunicaciones electrónicas</w:t>
      </w:r>
    </w:p>
    <w:p w14:paraId="71091DB5" w14:textId="00E6C487"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89" w:history="1">
        <w:r w:rsidRPr="00DA359F">
          <w:rPr>
            <w:rStyle w:val="TextoNormalCaracter"/>
          </w:rPr>
          <w:t>89/2023</w:t>
        </w:r>
      </w:hyperlink>
      <w:r>
        <w:t>, VP I.</w:t>
      </w:r>
    </w:p>
    <w:p w14:paraId="3EED2091" w14:textId="653B9C09" w:rsidR="00DA359F" w:rsidRDefault="00DA359F" w:rsidP="00DA359F">
      <w:pPr>
        <w:pStyle w:val="SangriaFrancesaArticulo"/>
      </w:pPr>
      <w:r w:rsidRPr="00DA359F">
        <w:rPr>
          <w:rStyle w:val="TextoNormalNegritaCaracter"/>
        </w:rPr>
        <w:t>Artículo 4.</w:t>
      </w:r>
      <w:r w:rsidRPr="00DA359F">
        <w:rPr>
          <w:rStyle w:val="TextoNormalCaracter"/>
        </w:rPr>
        <w:t>-</w:t>
      </w:r>
      <w:r>
        <w:t xml:space="preserve"> Sentencia </w:t>
      </w:r>
      <w:hyperlink w:anchor="SENTENCIA_2023_89" w:history="1">
        <w:r w:rsidRPr="00DA359F">
          <w:rPr>
            <w:rStyle w:val="TextoNormalCaracter"/>
          </w:rPr>
          <w:t>89/2023</w:t>
        </w:r>
      </w:hyperlink>
      <w:r>
        <w:t>, f. 3.</w:t>
      </w:r>
    </w:p>
    <w:p w14:paraId="51540355" w14:textId="39631FB8" w:rsidR="00DA359F" w:rsidRDefault="00DA359F" w:rsidP="00DA359F">
      <w:pPr>
        <w:pStyle w:val="SangriaFrancesaArticulo"/>
      </w:pPr>
      <w:r w:rsidRPr="00DA359F">
        <w:rPr>
          <w:rStyle w:val="TextoNormalNegritaCaracter"/>
        </w:rPr>
        <w:t>Artículo 45.1.</w:t>
      </w:r>
      <w:r w:rsidRPr="00DA359F">
        <w:rPr>
          <w:rStyle w:val="TextoNormalCaracter"/>
        </w:rPr>
        <w:t>-</w:t>
      </w:r>
      <w:r>
        <w:t xml:space="preserve"> Sentencia </w:t>
      </w:r>
      <w:hyperlink w:anchor="SENTENCIA_2023_89" w:history="1">
        <w:r w:rsidRPr="00DA359F">
          <w:rPr>
            <w:rStyle w:val="TextoNormalCaracter"/>
          </w:rPr>
          <w:t>89/2023</w:t>
        </w:r>
      </w:hyperlink>
      <w:r>
        <w:t>, VP I.</w:t>
      </w:r>
    </w:p>
    <w:p w14:paraId="32DB27B2" w14:textId="07AAABF2" w:rsidR="00DA359F" w:rsidRDefault="00DA359F" w:rsidP="00DA359F">
      <w:pPr>
        <w:pStyle w:val="SangriaFrancesaArticulo"/>
      </w:pPr>
      <w:r w:rsidRPr="00DA359F">
        <w:rPr>
          <w:rStyle w:val="TextoNormalNegritaCaracter"/>
        </w:rPr>
        <w:t>Artículo 45.3.</w:t>
      </w:r>
      <w:r w:rsidRPr="00DA359F">
        <w:rPr>
          <w:rStyle w:val="TextoNormalCaracter"/>
        </w:rPr>
        <w:t>-</w:t>
      </w:r>
      <w:r>
        <w:t xml:space="preserve"> Sentencia </w:t>
      </w:r>
      <w:hyperlink w:anchor="SENTENCIA_2023_89" w:history="1">
        <w:r w:rsidRPr="00DA359F">
          <w:rPr>
            <w:rStyle w:val="TextoNormalCaracter"/>
          </w:rPr>
          <w:t>89/2023</w:t>
        </w:r>
      </w:hyperlink>
      <w:r>
        <w:t>, VP I.</w:t>
      </w:r>
    </w:p>
    <w:p w14:paraId="119D0B9D" w14:textId="2802532F" w:rsidR="00DA359F" w:rsidRDefault="00DA359F" w:rsidP="00DA359F">
      <w:pPr>
        <w:pStyle w:val="SangriaFrancesaArticulo"/>
      </w:pPr>
      <w:r w:rsidRPr="00DA359F">
        <w:rPr>
          <w:rStyle w:val="TextoNormalNegritaCaracter"/>
        </w:rPr>
        <w:t>Artículo 45.4.</w:t>
      </w:r>
      <w:r w:rsidRPr="00DA359F">
        <w:rPr>
          <w:rStyle w:val="TextoNormalCaracter"/>
        </w:rPr>
        <w:t>-</w:t>
      </w:r>
      <w:r>
        <w:t xml:space="preserve"> Sentencia </w:t>
      </w:r>
      <w:hyperlink w:anchor="SENTENCIA_2023_89" w:history="1">
        <w:r w:rsidRPr="00DA359F">
          <w:rPr>
            <w:rStyle w:val="TextoNormalCaracter"/>
          </w:rPr>
          <w:t>89/2023</w:t>
        </w:r>
      </w:hyperlink>
      <w:r>
        <w:t>, VP I.</w:t>
      </w:r>
    </w:p>
    <w:p w14:paraId="514B65DF" w14:textId="48C38F0C" w:rsidR="00DA359F" w:rsidRDefault="00DA359F" w:rsidP="00DA359F">
      <w:pPr>
        <w:pStyle w:val="SangriaFrancesaArticulo"/>
      </w:pPr>
      <w:r w:rsidRPr="00DA359F">
        <w:rPr>
          <w:rStyle w:val="TextoNormalNegritaCaracter"/>
        </w:rPr>
        <w:t>Artículo 46.</w:t>
      </w:r>
      <w:r w:rsidRPr="00DA359F">
        <w:rPr>
          <w:rStyle w:val="TextoNormalCaracter"/>
        </w:rPr>
        <w:t>-</w:t>
      </w:r>
      <w:r>
        <w:t xml:space="preserve"> Sentencia </w:t>
      </w:r>
      <w:hyperlink w:anchor="SENTENCIA_2023_89" w:history="1">
        <w:r w:rsidRPr="00DA359F">
          <w:rPr>
            <w:rStyle w:val="TextoNormalCaracter"/>
          </w:rPr>
          <w:t>89/2023</w:t>
        </w:r>
      </w:hyperlink>
      <w:r>
        <w:t>, ff. 3, 4.</w:t>
      </w:r>
    </w:p>
    <w:p w14:paraId="111DF87A" w14:textId="7678BB81" w:rsidR="00DA359F" w:rsidRDefault="00DA359F" w:rsidP="00DA359F">
      <w:pPr>
        <w:pStyle w:val="SangriaFrancesaArticulo"/>
      </w:pPr>
      <w:r w:rsidRPr="00DA359F">
        <w:rPr>
          <w:rStyle w:val="TextoNormalNegritaCaracter"/>
        </w:rPr>
        <w:t>Artículo 55.</w:t>
      </w:r>
      <w:r w:rsidRPr="00DA359F">
        <w:rPr>
          <w:rStyle w:val="TextoNormalCaracter"/>
        </w:rPr>
        <w:t>-</w:t>
      </w:r>
      <w:r>
        <w:t xml:space="preserve"> Sentencia </w:t>
      </w:r>
      <w:hyperlink w:anchor="SENTENCIA_2023_89" w:history="1">
        <w:r w:rsidRPr="00DA359F">
          <w:rPr>
            <w:rStyle w:val="TextoNormalCaracter"/>
          </w:rPr>
          <w:t>89/2023</w:t>
        </w:r>
      </w:hyperlink>
      <w:r>
        <w:t>, VP I.</w:t>
      </w:r>
    </w:p>
    <w:p w14:paraId="1A41C1CA" w14:textId="14CDAFC3" w:rsidR="00DA359F" w:rsidRDefault="00DA359F" w:rsidP="00DA359F">
      <w:pPr>
        <w:pStyle w:val="SangriaFrancesaArticulo"/>
      </w:pPr>
      <w:r w:rsidRPr="00DA359F">
        <w:rPr>
          <w:rStyle w:val="TextoNormalNegritaCaracter"/>
        </w:rPr>
        <w:t>Artículo 122.</w:t>
      </w:r>
      <w:r w:rsidRPr="00DA359F">
        <w:rPr>
          <w:rStyle w:val="TextoNormalCaracter"/>
        </w:rPr>
        <w:t>-</w:t>
      </w:r>
      <w:r>
        <w:t xml:space="preserve"> Sentencia </w:t>
      </w:r>
      <w:hyperlink w:anchor="SENTENCIA_2023_89" w:history="1">
        <w:r w:rsidRPr="00DA359F">
          <w:rPr>
            <w:rStyle w:val="TextoNormalCaracter"/>
          </w:rPr>
          <w:t>89/2023</w:t>
        </w:r>
      </w:hyperlink>
      <w:r>
        <w:t>, f. 3.</w:t>
      </w:r>
    </w:p>
    <w:p w14:paraId="6C7FE65B" w14:textId="01B5105F" w:rsidR="00DA359F" w:rsidRDefault="00DA359F" w:rsidP="00DA359F">
      <w:pPr>
        <w:pStyle w:val="SangriaFrancesaArticulo"/>
      </w:pPr>
    </w:p>
    <w:p w14:paraId="522CD899" w14:textId="77777777" w:rsidR="00DA359F" w:rsidRDefault="00DA359F" w:rsidP="00DA359F">
      <w:pPr>
        <w:pStyle w:val="TextoNormalNegritaCursivandice"/>
        <w:keepNext/>
      </w:pPr>
      <w:r>
        <w:t>Comunicación de la Comisión al Parlamento Europeo, al Consejo, al Comité Económico y Social Europeo y al Comité de las Regiones, de 3 de septiembre de 2020, COM(2020) 474 final, resiliencia de las materias primas fundamentales: trazando el camino hacia un mayor grado de seguridad y sostenibilidad</w:t>
      </w:r>
    </w:p>
    <w:p w14:paraId="435ACE39" w14:textId="1BE63FEC"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127" w:history="1">
        <w:r w:rsidRPr="00DA359F">
          <w:rPr>
            <w:rStyle w:val="TextoNormalCaracter"/>
          </w:rPr>
          <w:t>127/2023</w:t>
        </w:r>
      </w:hyperlink>
      <w:r>
        <w:t>, f. 3.</w:t>
      </w:r>
    </w:p>
    <w:p w14:paraId="1167ABFC" w14:textId="513D9A71" w:rsidR="00DA359F" w:rsidRDefault="00DA359F" w:rsidP="00DA359F">
      <w:pPr>
        <w:pStyle w:val="SangriaFrancesaArticulo"/>
      </w:pPr>
    </w:p>
    <w:p w14:paraId="2AB2E9EA" w14:textId="77777777" w:rsidR="00DA359F" w:rsidRDefault="00DA359F" w:rsidP="00DA359F">
      <w:pPr>
        <w:pStyle w:val="TextoNormalNegritaCursivandice"/>
        <w:keepNext/>
      </w:pPr>
      <w:r>
        <w:t>Reglamento (UE)2021/241 del Parlamento Europeo y del Consejo, de 12 de febrero de 2021, por el que se establece el mecanismo de recuperación y resiliencia</w:t>
      </w:r>
    </w:p>
    <w:p w14:paraId="71EE3A7C" w14:textId="78009411" w:rsidR="00DA359F" w:rsidRDefault="00DA359F" w:rsidP="00DA359F">
      <w:pPr>
        <w:pStyle w:val="SangriaFrancesaArticulo"/>
      </w:pPr>
      <w:r w:rsidRPr="00DA359F">
        <w:rPr>
          <w:rStyle w:val="TextoNormalNegritaCaracter"/>
        </w:rPr>
        <w:t>Artículo 17.3.</w:t>
      </w:r>
      <w:r w:rsidRPr="00DA359F">
        <w:rPr>
          <w:rStyle w:val="TextoNormalCaracter"/>
        </w:rPr>
        <w:t>-</w:t>
      </w:r>
      <w:r>
        <w:t xml:space="preserve"> Sentencia </w:t>
      </w:r>
      <w:hyperlink w:anchor="SENTENCIA_2023_145" w:history="1">
        <w:r w:rsidRPr="00DA359F">
          <w:rPr>
            <w:rStyle w:val="TextoNormalCaracter"/>
          </w:rPr>
          <w:t>145/2023</w:t>
        </w:r>
      </w:hyperlink>
      <w:r>
        <w:t>, f. 4.</w:t>
      </w:r>
    </w:p>
    <w:p w14:paraId="0993433E" w14:textId="71876302" w:rsidR="00DA359F" w:rsidRDefault="00DA359F" w:rsidP="00DA359F">
      <w:pPr>
        <w:pStyle w:val="SangriaFrancesaArticulo"/>
      </w:pPr>
    </w:p>
    <w:p w14:paraId="64B11BCC" w14:textId="77777777" w:rsidR="00DA359F" w:rsidRDefault="00DA359F" w:rsidP="00DA359F">
      <w:pPr>
        <w:pStyle w:val="TextoNormalNegritaCursivandice"/>
        <w:keepNext/>
      </w:pPr>
      <w:r>
        <w:t>Decisión P9_TA(2021)0059 del Parlamento Europeo, de 9 de marzo de 2021, sobre suplicatorio de suspensión de inmunidad</w:t>
      </w:r>
    </w:p>
    <w:p w14:paraId="6EDEF904" w14:textId="71E0F5F6" w:rsidR="00DA359F" w:rsidRDefault="00DA359F" w:rsidP="00DA359F">
      <w:pPr>
        <w:pStyle w:val="SangriaFrancesaArticulo"/>
      </w:pPr>
      <w:r w:rsidRPr="00DA359F">
        <w:rPr>
          <w:rStyle w:val="TextoNormalNegritaCaracter"/>
        </w:rPr>
        <w:t>En general.</w:t>
      </w:r>
      <w:r w:rsidRPr="00DA359F">
        <w:rPr>
          <w:rStyle w:val="TextoNormalCaracter"/>
        </w:rPr>
        <w:t>-</w:t>
      </w:r>
      <w:r>
        <w:t xml:space="preserve"> Auto </w:t>
      </w:r>
      <w:hyperlink w:anchor="AUTO_2023_378" w:history="1">
        <w:r w:rsidRPr="00DA359F">
          <w:rPr>
            <w:rStyle w:val="TextoNormalCaracter"/>
          </w:rPr>
          <w:t>378/2023</w:t>
        </w:r>
      </w:hyperlink>
      <w:r>
        <w:t>, f. 2.</w:t>
      </w:r>
    </w:p>
    <w:p w14:paraId="4461832E" w14:textId="628659EC" w:rsidR="00DA359F" w:rsidRDefault="00DA359F" w:rsidP="00DA359F">
      <w:pPr>
        <w:pStyle w:val="SangriaFrancesaArticulo"/>
      </w:pPr>
      <w:r w:rsidRPr="00DA359F">
        <w:rPr>
          <w:rStyle w:val="TextoNormalNegritaCaracter"/>
        </w:rPr>
        <w:t>K a N.</w:t>
      </w:r>
      <w:r w:rsidRPr="00DA359F">
        <w:rPr>
          <w:rStyle w:val="TextoNormalCaracter"/>
        </w:rPr>
        <w:t>-</w:t>
      </w:r>
      <w:r>
        <w:t xml:space="preserve"> Auto </w:t>
      </w:r>
      <w:hyperlink w:anchor="AUTO_2023_378" w:history="1">
        <w:r w:rsidRPr="00DA359F">
          <w:rPr>
            <w:rStyle w:val="TextoNormalCaracter"/>
          </w:rPr>
          <w:t>378/2023</w:t>
        </w:r>
      </w:hyperlink>
      <w:r>
        <w:t>, f. 2.</w:t>
      </w:r>
    </w:p>
    <w:p w14:paraId="29D4D824" w14:textId="65749413" w:rsidR="00DA359F" w:rsidRDefault="00DA359F" w:rsidP="00DA359F">
      <w:pPr>
        <w:pStyle w:val="SangriaFrancesaArticulo"/>
      </w:pPr>
    </w:p>
    <w:p w14:paraId="53D1E984" w14:textId="77777777" w:rsidR="00DA359F" w:rsidRDefault="00DA359F" w:rsidP="00DA359F">
      <w:pPr>
        <w:pStyle w:val="TextoNormalNegritaCursivandice"/>
        <w:keepNext/>
      </w:pPr>
      <w:r>
        <w:t>Decisión P9_TA(2021)0060 del Parlamento Europeo, de 9 de marzo de 2021, sobre suplicatorio de suspensión de inmunidad</w:t>
      </w:r>
    </w:p>
    <w:p w14:paraId="762C8854" w14:textId="2A5B07D5" w:rsidR="00DA359F" w:rsidRDefault="00DA359F" w:rsidP="00DA359F">
      <w:pPr>
        <w:pStyle w:val="SangriaFrancesaArticulo"/>
      </w:pPr>
      <w:r w:rsidRPr="00DA359F">
        <w:rPr>
          <w:rStyle w:val="TextoNormalNegritaCaracter"/>
        </w:rPr>
        <w:t>K a N.</w:t>
      </w:r>
      <w:r w:rsidRPr="00DA359F">
        <w:rPr>
          <w:rStyle w:val="TextoNormalCaracter"/>
        </w:rPr>
        <w:t>-</w:t>
      </w:r>
      <w:r>
        <w:t xml:space="preserve"> Auto </w:t>
      </w:r>
      <w:hyperlink w:anchor="AUTO_2023_378" w:history="1">
        <w:r w:rsidRPr="00DA359F">
          <w:rPr>
            <w:rStyle w:val="TextoNormalCaracter"/>
          </w:rPr>
          <w:t>378/2023</w:t>
        </w:r>
      </w:hyperlink>
      <w:r>
        <w:t>, f. 2.</w:t>
      </w:r>
    </w:p>
    <w:p w14:paraId="16BE7FDE" w14:textId="2E37D793" w:rsidR="00DA359F" w:rsidRDefault="00DA359F" w:rsidP="00DA359F">
      <w:pPr>
        <w:pStyle w:val="SangriaFrancesaArticulo"/>
      </w:pPr>
      <w:r w:rsidRPr="00DA359F">
        <w:rPr>
          <w:rStyle w:val="TextoNormalNegritaCaracter"/>
        </w:rPr>
        <w:t>En general.</w:t>
      </w:r>
      <w:r w:rsidRPr="00DA359F">
        <w:rPr>
          <w:rStyle w:val="TextoNormalCaracter"/>
        </w:rPr>
        <w:t>-</w:t>
      </w:r>
      <w:r>
        <w:t xml:space="preserve"> Auto </w:t>
      </w:r>
      <w:hyperlink w:anchor="AUTO_2023_378" w:history="1">
        <w:r w:rsidRPr="00DA359F">
          <w:rPr>
            <w:rStyle w:val="TextoNormalCaracter"/>
          </w:rPr>
          <w:t>378/2023</w:t>
        </w:r>
      </w:hyperlink>
      <w:r>
        <w:t>, f. 2.</w:t>
      </w:r>
    </w:p>
    <w:p w14:paraId="4EA7811A" w14:textId="0B1098B1" w:rsidR="00DA359F" w:rsidRDefault="00DA359F" w:rsidP="00DA359F">
      <w:pPr>
        <w:pStyle w:val="SangriaFrancesaArticulo"/>
      </w:pPr>
    </w:p>
    <w:p w14:paraId="53248EA5" w14:textId="77777777" w:rsidR="00DA359F" w:rsidRDefault="00DA359F" w:rsidP="00DA359F">
      <w:pPr>
        <w:pStyle w:val="TextoNormalNegritaCursivandice"/>
        <w:keepNext/>
      </w:pPr>
      <w:r>
        <w:t>Decisión P9_TA(2021)0061 del Parlamento Europeo, de 9 de marzo de 2021, sobre suplicatorio de suspensión de inmunidad</w:t>
      </w:r>
    </w:p>
    <w:p w14:paraId="12EF71C8" w14:textId="3D7A74C3" w:rsidR="00DA359F" w:rsidRDefault="00DA359F" w:rsidP="00DA359F">
      <w:pPr>
        <w:pStyle w:val="SangriaFrancesaArticulo"/>
      </w:pPr>
      <w:r w:rsidRPr="00DA359F">
        <w:rPr>
          <w:rStyle w:val="TextoNormalNegritaCaracter"/>
        </w:rPr>
        <w:t>En general.</w:t>
      </w:r>
      <w:r w:rsidRPr="00DA359F">
        <w:rPr>
          <w:rStyle w:val="TextoNormalCaracter"/>
        </w:rPr>
        <w:t>-</w:t>
      </w:r>
      <w:r>
        <w:t xml:space="preserve"> Auto </w:t>
      </w:r>
      <w:hyperlink w:anchor="AUTO_2023_378" w:history="1">
        <w:r w:rsidRPr="00DA359F">
          <w:rPr>
            <w:rStyle w:val="TextoNormalCaracter"/>
          </w:rPr>
          <w:t>378/2023</w:t>
        </w:r>
      </w:hyperlink>
      <w:r>
        <w:t>, f. 2.</w:t>
      </w:r>
    </w:p>
    <w:p w14:paraId="49162E70" w14:textId="68FB2BCD" w:rsidR="00DA359F" w:rsidRDefault="00DA359F" w:rsidP="00DA359F">
      <w:pPr>
        <w:pStyle w:val="SangriaFrancesaArticulo"/>
      </w:pPr>
      <w:r w:rsidRPr="00DA359F">
        <w:rPr>
          <w:rStyle w:val="TextoNormalNegritaCaracter"/>
        </w:rPr>
        <w:t>K a N.</w:t>
      </w:r>
      <w:r w:rsidRPr="00DA359F">
        <w:rPr>
          <w:rStyle w:val="TextoNormalCaracter"/>
        </w:rPr>
        <w:t>-</w:t>
      </w:r>
      <w:r>
        <w:t xml:space="preserve"> Auto </w:t>
      </w:r>
      <w:hyperlink w:anchor="AUTO_2023_378" w:history="1">
        <w:r w:rsidRPr="00DA359F">
          <w:rPr>
            <w:rStyle w:val="TextoNormalCaracter"/>
          </w:rPr>
          <w:t>378/2023</w:t>
        </w:r>
      </w:hyperlink>
      <w:r>
        <w:t>, f. 2.</w:t>
      </w:r>
    </w:p>
    <w:p w14:paraId="6E4F60A0" w14:textId="763ACEA3" w:rsidR="00DA359F" w:rsidRDefault="00DA359F" w:rsidP="00DA359F">
      <w:pPr>
        <w:pStyle w:val="SangriaFrancesaArticulo"/>
      </w:pPr>
    </w:p>
    <w:p w14:paraId="75484732" w14:textId="77777777" w:rsidR="00DA359F" w:rsidRDefault="00DA359F" w:rsidP="00DA359F">
      <w:pPr>
        <w:pStyle w:val="TextoNormalNegritaCursivandice"/>
        <w:keepNext/>
      </w:pPr>
      <w:r>
        <w:t>Reglamento (UE) 2022/2065 del Parlamento Europeo y del Consejo, de 19 de octubre de 2022, relativo a un mercado único de servicios digitales y por el que se modifica la Directiva 2000/31/CE (Reglamento de Servicios Digitales)</w:t>
      </w:r>
    </w:p>
    <w:p w14:paraId="688A5769" w14:textId="1DC9082A"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83" w:history="1">
        <w:r w:rsidRPr="00DA359F">
          <w:rPr>
            <w:rStyle w:val="TextoNormalCaracter"/>
          </w:rPr>
          <w:t>83/2023</w:t>
        </w:r>
      </w:hyperlink>
      <w:r>
        <w:t>, VP II.</w:t>
      </w:r>
    </w:p>
    <w:p w14:paraId="6499ED47" w14:textId="0030BB34" w:rsidR="00DA359F" w:rsidRDefault="00DA359F" w:rsidP="00DA359F">
      <w:pPr>
        <w:pStyle w:val="SangriaFrancesaArticulo"/>
      </w:pPr>
    </w:p>
    <w:p w14:paraId="28547A9E" w14:textId="77777777" w:rsidR="00DA359F" w:rsidRDefault="00DA359F" w:rsidP="00DA359F">
      <w:pPr>
        <w:pStyle w:val="TextoNormalNegritaCursivandice"/>
        <w:keepNext/>
      </w:pPr>
      <w:r>
        <w:t>Comunicación de la Comisión al Parlamento Europeo, al Consejo, al Comité Económico y Social Europeo y al Comité de las Regiones - Fortalecer el diálogo social en la Unión Europea: aprovechar todo su potencial para gestionar transiciones justas de 25 de enero de 2023 (COM/2023/40 final)</w:t>
      </w:r>
    </w:p>
    <w:p w14:paraId="028EF3C5" w14:textId="124DD030"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144" w:history="1">
        <w:r w:rsidRPr="00DA359F">
          <w:rPr>
            <w:rStyle w:val="TextoNormalCaracter"/>
          </w:rPr>
          <w:t>144/2023</w:t>
        </w:r>
      </w:hyperlink>
      <w:r>
        <w:t>, f. 5.</w:t>
      </w:r>
    </w:p>
    <w:p w14:paraId="71E4A9AA" w14:textId="6C4DDFC8" w:rsidR="00DA359F" w:rsidRDefault="00DA359F" w:rsidP="00DA359F">
      <w:pPr>
        <w:pStyle w:val="TextoNormal"/>
      </w:pPr>
    </w:p>
    <w:p w14:paraId="66600CE3" w14:textId="77777777" w:rsidR="00DA359F" w:rsidRDefault="00DA359F" w:rsidP="00DA359F">
      <w:pPr>
        <w:pStyle w:val="SangriaFrancesaArticulo"/>
      </w:pPr>
      <w:bookmarkStart w:id="493" w:name="INDICE27994"/>
    </w:p>
    <w:bookmarkEnd w:id="493"/>
    <w:p w14:paraId="0CBB4E09" w14:textId="77777777" w:rsidR="00DA359F" w:rsidRDefault="00DA359F" w:rsidP="00DA359F">
      <w:pPr>
        <w:pStyle w:val="TextoIndiceNivel2"/>
        <w:suppressAutoHyphens/>
      </w:pPr>
      <w:r>
        <w:t>N) Consejo de Europa</w:t>
      </w:r>
    </w:p>
    <w:p w14:paraId="0B5B7E22" w14:textId="50028BD5" w:rsidR="00DA359F" w:rsidRDefault="00DA359F" w:rsidP="00DA359F">
      <w:pPr>
        <w:pStyle w:val="TextoIndiceNivel2"/>
      </w:pPr>
    </w:p>
    <w:p w14:paraId="21B5DE1E" w14:textId="77777777" w:rsidR="00DA359F" w:rsidRDefault="00DA359F" w:rsidP="00DA359F">
      <w:pPr>
        <w:pStyle w:val="TextoNormalNegritaCursivandice"/>
        <w:keepNext/>
      </w:pPr>
      <w:r>
        <w:t>Convenio europeo para la protección de los derechos humanos y de las libertades fundamentales, hecho en Roma el 4 de noviembre de 1950. Ratificado por Instrumento de 26 de septiembre de 1979</w:t>
      </w:r>
    </w:p>
    <w:p w14:paraId="0AC278CC" w14:textId="3AFD4BBF"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Sentencias </w:t>
      </w:r>
      <w:hyperlink w:anchor="SENTENCIA_2023_78" w:history="1">
        <w:r w:rsidRPr="00DA359F">
          <w:rPr>
            <w:rStyle w:val="TextoNormalCaracter"/>
          </w:rPr>
          <w:t>78/2023</w:t>
        </w:r>
      </w:hyperlink>
      <w:r>
        <w:t xml:space="preserve">, f. 4, VP II; </w:t>
      </w:r>
      <w:hyperlink w:anchor="SENTENCIA_2023_84" w:history="1">
        <w:r w:rsidRPr="00DA359F">
          <w:rPr>
            <w:rStyle w:val="TextoNormalCaracter"/>
          </w:rPr>
          <w:t>84/2023</w:t>
        </w:r>
      </w:hyperlink>
      <w:r>
        <w:t xml:space="preserve">, VP; </w:t>
      </w:r>
      <w:hyperlink w:anchor="SENTENCIA_2023_94" w:history="1">
        <w:r w:rsidRPr="00DA359F">
          <w:rPr>
            <w:rStyle w:val="TextoNormalCaracter"/>
          </w:rPr>
          <w:t>94/2023</w:t>
        </w:r>
      </w:hyperlink>
      <w:r>
        <w:t xml:space="preserve">, f. 3, VP III; </w:t>
      </w:r>
      <w:hyperlink w:anchor="SENTENCIA_2023_168" w:history="1">
        <w:r w:rsidRPr="00DA359F">
          <w:rPr>
            <w:rStyle w:val="TextoNormalCaracter"/>
          </w:rPr>
          <w:t>168/2023</w:t>
        </w:r>
      </w:hyperlink>
      <w:r>
        <w:t>, f. 4.</w:t>
      </w:r>
    </w:p>
    <w:p w14:paraId="24DD5A27" w14:textId="6068A880" w:rsidR="00DA359F" w:rsidRDefault="00DA359F" w:rsidP="00DA359F">
      <w:pPr>
        <w:pStyle w:val="SangriaFrancesaArticulo"/>
      </w:pPr>
      <w:r w:rsidRPr="00DA359F">
        <w:rPr>
          <w:rStyle w:val="TextoNormalNegritaCaracter"/>
        </w:rPr>
        <w:t>Artículo 2.</w:t>
      </w:r>
      <w:r w:rsidRPr="00DA359F">
        <w:rPr>
          <w:rStyle w:val="TextoNormalCaracter"/>
        </w:rPr>
        <w:t>-</w:t>
      </w:r>
      <w:r>
        <w:t xml:space="preserve"> Sentencias </w:t>
      </w:r>
      <w:hyperlink w:anchor="SENTENCIA_2023_78" w:history="1">
        <w:r w:rsidRPr="00DA359F">
          <w:rPr>
            <w:rStyle w:val="TextoNormalCaracter"/>
          </w:rPr>
          <w:t>78/2023</w:t>
        </w:r>
      </w:hyperlink>
      <w:r>
        <w:t xml:space="preserve">, VP II; </w:t>
      </w:r>
      <w:hyperlink w:anchor="SENTENCIA_2023_94" w:history="1">
        <w:r w:rsidRPr="00DA359F">
          <w:rPr>
            <w:rStyle w:val="TextoNormalCaracter"/>
          </w:rPr>
          <w:t>94/2023</w:t>
        </w:r>
      </w:hyperlink>
      <w:r>
        <w:t>, f. 3.</w:t>
      </w:r>
    </w:p>
    <w:p w14:paraId="2F51B461" w14:textId="62760782" w:rsidR="00DA359F" w:rsidRDefault="00DA359F" w:rsidP="00DA359F">
      <w:pPr>
        <w:pStyle w:val="SangriaIzquierdaArticulo"/>
      </w:pPr>
      <w:r>
        <w:t xml:space="preserve">Auto </w:t>
      </w:r>
      <w:hyperlink w:anchor="AUTO_2023_338" w:history="1">
        <w:r w:rsidRPr="00DA359F">
          <w:rPr>
            <w:rStyle w:val="TextoNormalCaracter"/>
          </w:rPr>
          <w:t>338/2023</w:t>
        </w:r>
      </w:hyperlink>
      <w:r>
        <w:t>, f. 4, VP.</w:t>
      </w:r>
    </w:p>
    <w:p w14:paraId="778A4555" w14:textId="7926C4CA" w:rsidR="00DA359F" w:rsidRDefault="00DA359F" w:rsidP="00DA359F">
      <w:pPr>
        <w:pStyle w:val="SangriaFrancesaArticulo"/>
      </w:pPr>
      <w:r w:rsidRPr="00DA359F">
        <w:rPr>
          <w:rStyle w:val="TextoNormalNegritaCaracter"/>
        </w:rPr>
        <w:t>Artículo 3.</w:t>
      </w:r>
      <w:r w:rsidRPr="00DA359F">
        <w:rPr>
          <w:rStyle w:val="TextoNormalCaracter"/>
        </w:rPr>
        <w:t>-</w:t>
      </w:r>
      <w:r>
        <w:t xml:space="preserve"> Sentencias </w:t>
      </w:r>
      <w:hyperlink w:anchor="SENTENCIA_2023_78" w:history="1">
        <w:r w:rsidRPr="00DA359F">
          <w:rPr>
            <w:rStyle w:val="TextoNormalCaracter"/>
          </w:rPr>
          <w:t>78/2023</w:t>
        </w:r>
      </w:hyperlink>
      <w:r>
        <w:t xml:space="preserve">, ff. 1, 4, VP II; </w:t>
      </w:r>
      <w:hyperlink w:anchor="SENTENCIA_2023_131" w:history="1">
        <w:r w:rsidRPr="00DA359F">
          <w:rPr>
            <w:rStyle w:val="TextoNormalCaracter"/>
          </w:rPr>
          <w:t>131/2023</w:t>
        </w:r>
      </w:hyperlink>
      <w:r>
        <w:t>, f. 2, VP.</w:t>
      </w:r>
    </w:p>
    <w:p w14:paraId="27F7D8FF" w14:textId="32CFB9F2" w:rsidR="00DA359F" w:rsidRDefault="00DA359F" w:rsidP="00DA359F">
      <w:pPr>
        <w:pStyle w:val="SangriaIzquierdaArticulo"/>
      </w:pPr>
      <w:r>
        <w:t xml:space="preserve">Auto </w:t>
      </w:r>
      <w:hyperlink w:anchor="AUTO_2023_338" w:history="1">
        <w:r w:rsidRPr="00DA359F">
          <w:rPr>
            <w:rStyle w:val="TextoNormalCaracter"/>
          </w:rPr>
          <w:t>338/2023</w:t>
        </w:r>
      </w:hyperlink>
      <w:r>
        <w:t>, VP.</w:t>
      </w:r>
    </w:p>
    <w:p w14:paraId="68CF186D" w14:textId="7BFC2461" w:rsidR="00DA359F" w:rsidRDefault="00DA359F" w:rsidP="00DA359F">
      <w:pPr>
        <w:pStyle w:val="SangriaFrancesaArticulo"/>
      </w:pPr>
      <w:r w:rsidRPr="00DA359F">
        <w:rPr>
          <w:rStyle w:val="TextoNormalNegritaCaracter"/>
        </w:rPr>
        <w:t>Artículo 5.3.</w:t>
      </w:r>
      <w:r w:rsidRPr="00DA359F">
        <w:rPr>
          <w:rStyle w:val="TextoNormalCaracter"/>
        </w:rPr>
        <w:t>-</w:t>
      </w:r>
      <w:r>
        <w:t xml:space="preserve"> Sentencia </w:t>
      </w:r>
      <w:hyperlink w:anchor="SENTENCIA_2023_136" w:history="1">
        <w:r w:rsidRPr="00DA359F">
          <w:rPr>
            <w:rStyle w:val="TextoNormalCaracter"/>
          </w:rPr>
          <w:t>136/2023</w:t>
        </w:r>
      </w:hyperlink>
      <w:r>
        <w:t>, f. 5.</w:t>
      </w:r>
    </w:p>
    <w:p w14:paraId="61EA0DAC" w14:textId="651D4017" w:rsidR="00DA359F" w:rsidRDefault="00DA359F" w:rsidP="00DA359F">
      <w:pPr>
        <w:pStyle w:val="SangriaFrancesaArticulo"/>
      </w:pPr>
      <w:r w:rsidRPr="00DA359F">
        <w:rPr>
          <w:rStyle w:val="TextoNormalNegritaCaracter"/>
        </w:rPr>
        <w:t>Artículo 6.</w:t>
      </w:r>
      <w:r w:rsidRPr="00DA359F">
        <w:rPr>
          <w:rStyle w:val="TextoNormalCaracter"/>
        </w:rPr>
        <w:t>-</w:t>
      </w:r>
      <w:r>
        <w:t xml:space="preserve"> Sentencia </w:t>
      </w:r>
      <w:hyperlink w:anchor="SENTENCIA_2023_134" w:history="1">
        <w:r w:rsidRPr="00DA359F">
          <w:rPr>
            <w:rStyle w:val="TextoNormalCaracter"/>
          </w:rPr>
          <w:t>134/2023</w:t>
        </w:r>
      </w:hyperlink>
      <w:r>
        <w:t>, f. 4.</w:t>
      </w:r>
    </w:p>
    <w:p w14:paraId="01E05733" w14:textId="29D3E647" w:rsidR="00DA359F" w:rsidRDefault="00DA359F" w:rsidP="00DA359F">
      <w:pPr>
        <w:pStyle w:val="SangriaIzquierdaArticulo"/>
      </w:pPr>
      <w:r>
        <w:t xml:space="preserve">Auto </w:t>
      </w:r>
      <w:hyperlink w:anchor="AUTO_2023_378" w:history="1">
        <w:r w:rsidRPr="00DA359F">
          <w:rPr>
            <w:rStyle w:val="TextoNormalCaracter"/>
          </w:rPr>
          <w:t>378/2023</w:t>
        </w:r>
      </w:hyperlink>
      <w:r>
        <w:t>, f. 1.</w:t>
      </w:r>
    </w:p>
    <w:p w14:paraId="095B6F05" w14:textId="784CDD7C" w:rsidR="00DA359F" w:rsidRDefault="00DA359F" w:rsidP="00DA359F">
      <w:pPr>
        <w:pStyle w:val="SangriaFrancesaArticulo"/>
      </w:pPr>
      <w:r w:rsidRPr="00DA359F">
        <w:rPr>
          <w:rStyle w:val="TextoNormalNegritaCaracter"/>
        </w:rPr>
        <w:t>Artículo 6.1.</w:t>
      </w:r>
      <w:r w:rsidRPr="00DA359F">
        <w:rPr>
          <w:rStyle w:val="TextoNormalCaracter"/>
        </w:rPr>
        <w:t>-</w:t>
      </w:r>
      <w:r>
        <w:t xml:space="preserve"> Sentencias </w:t>
      </w:r>
      <w:hyperlink w:anchor="SENTENCIA_2023_78" w:history="1">
        <w:r w:rsidRPr="00DA359F">
          <w:rPr>
            <w:rStyle w:val="TextoNormalCaracter"/>
          </w:rPr>
          <w:t>78/2023</w:t>
        </w:r>
      </w:hyperlink>
      <w:r>
        <w:t xml:space="preserve">, ff. 1, 4; </w:t>
      </w:r>
      <w:hyperlink w:anchor="SENTENCIA_2023_92" w:history="1">
        <w:r w:rsidRPr="00DA359F">
          <w:rPr>
            <w:rStyle w:val="TextoNormalCaracter"/>
          </w:rPr>
          <w:t>92/2023</w:t>
        </w:r>
      </w:hyperlink>
      <w:r>
        <w:t xml:space="preserve">, f. 4; </w:t>
      </w:r>
      <w:hyperlink w:anchor="SENTENCIA_2023_128" w:history="1">
        <w:r w:rsidRPr="00DA359F">
          <w:rPr>
            <w:rStyle w:val="TextoNormalCaracter"/>
          </w:rPr>
          <w:t>128/2023</w:t>
        </w:r>
      </w:hyperlink>
      <w:r>
        <w:t>, VP.</w:t>
      </w:r>
    </w:p>
    <w:p w14:paraId="67AF29E4" w14:textId="7EC77162" w:rsidR="00DA359F" w:rsidRDefault="00DA359F" w:rsidP="00DA359F">
      <w:pPr>
        <w:pStyle w:val="SangriaFrancesaArticulo"/>
      </w:pPr>
      <w:r w:rsidRPr="00DA359F">
        <w:rPr>
          <w:rStyle w:val="TextoNormalNegritaCaracter"/>
        </w:rPr>
        <w:t>Artículo 8.</w:t>
      </w:r>
      <w:r w:rsidRPr="00DA359F">
        <w:rPr>
          <w:rStyle w:val="TextoNormalCaracter"/>
        </w:rPr>
        <w:t>-</w:t>
      </w:r>
      <w:r>
        <w:t xml:space="preserve"> Sentencias </w:t>
      </w:r>
      <w:hyperlink w:anchor="SENTENCIA_2023_78" w:history="1">
        <w:r w:rsidRPr="00DA359F">
          <w:rPr>
            <w:rStyle w:val="TextoNormalCaracter"/>
          </w:rPr>
          <w:t>78/2023</w:t>
        </w:r>
      </w:hyperlink>
      <w:r>
        <w:t xml:space="preserve">, ff. 1, 4, 7, VP II; </w:t>
      </w:r>
      <w:hyperlink w:anchor="SENTENCIA_2023_83" w:history="1">
        <w:r w:rsidRPr="00DA359F">
          <w:rPr>
            <w:rStyle w:val="TextoNormalCaracter"/>
          </w:rPr>
          <w:t>83/2023</w:t>
        </w:r>
      </w:hyperlink>
      <w:r>
        <w:t xml:space="preserve">, VP I; </w:t>
      </w:r>
      <w:hyperlink w:anchor="SENTENCIA_2023_131" w:history="1">
        <w:r w:rsidRPr="00DA359F">
          <w:rPr>
            <w:rStyle w:val="TextoNormalCaracter"/>
          </w:rPr>
          <w:t>131/2023</w:t>
        </w:r>
      </w:hyperlink>
      <w:r>
        <w:t xml:space="preserve">, f. 2; </w:t>
      </w:r>
      <w:hyperlink w:anchor="SENTENCIA_2023_134" w:history="1">
        <w:r w:rsidRPr="00DA359F">
          <w:rPr>
            <w:rStyle w:val="TextoNormalCaracter"/>
          </w:rPr>
          <w:t>134/2023</w:t>
        </w:r>
      </w:hyperlink>
      <w:r>
        <w:t>, f. 4.</w:t>
      </w:r>
    </w:p>
    <w:p w14:paraId="661BA6B1" w14:textId="27DA89C7" w:rsidR="00DA359F" w:rsidRDefault="00DA359F" w:rsidP="00DA359F">
      <w:pPr>
        <w:pStyle w:val="SangriaFrancesaArticulo"/>
      </w:pPr>
      <w:r w:rsidRPr="00DA359F">
        <w:rPr>
          <w:rStyle w:val="TextoNormalNegritaCaracter"/>
        </w:rPr>
        <w:t>Artículo 8.1.</w:t>
      </w:r>
      <w:r w:rsidRPr="00DA359F">
        <w:rPr>
          <w:rStyle w:val="TextoNormalCaracter"/>
        </w:rPr>
        <w:t>-</w:t>
      </w:r>
      <w:r>
        <w:t xml:space="preserve"> Sentencias </w:t>
      </w:r>
      <w:hyperlink w:anchor="SENTENCIA_2023_78" w:history="1">
        <w:r w:rsidRPr="00DA359F">
          <w:rPr>
            <w:rStyle w:val="TextoNormalCaracter"/>
          </w:rPr>
          <w:t>78/2023</w:t>
        </w:r>
      </w:hyperlink>
      <w:r>
        <w:t xml:space="preserve">, VP II; </w:t>
      </w:r>
      <w:hyperlink w:anchor="SENTENCIA_2023_92" w:history="1">
        <w:r w:rsidRPr="00DA359F">
          <w:rPr>
            <w:rStyle w:val="TextoNormalCaracter"/>
          </w:rPr>
          <w:t>92/2023</w:t>
        </w:r>
      </w:hyperlink>
      <w:r>
        <w:t>, f. 6, VP.</w:t>
      </w:r>
    </w:p>
    <w:p w14:paraId="7730CC99" w14:textId="3B35A544" w:rsidR="00DA359F" w:rsidRDefault="00DA359F" w:rsidP="00DA359F">
      <w:pPr>
        <w:pStyle w:val="SangriaFrancesaArticulo"/>
      </w:pPr>
      <w:r w:rsidRPr="00DA359F">
        <w:rPr>
          <w:rStyle w:val="TextoNormalNegritaCaracter"/>
        </w:rPr>
        <w:t>Artículo 10.</w:t>
      </w:r>
      <w:r w:rsidRPr="00DA359F">
        <w:rPr>
          <w:rStyle w:val="TextoNormalCaracter"/>
        </w:rPr>
        <w:t>-</w:t>
      </w:r>
      <w:r>
        <w:t xml:space="preserve"> Sentencias </w:t>
      </w:r>
      <w:hyperlink w:anchor="SENTENCIA_2023_83" w:history="1">
        <w:r w:rsidRPr="00DA359F">
          <w:rPr>
            <w:rStyle w:val="TextoNormalCaracter"/>
          </w:rPr>
          <w:t>83/2023</w:t>
        </w:r>
      </w:hyperlink>
      <w:r>
        <w:t xml:space="preserve">, f. 4, VP I; </w:t>
      </w:r>
      <w:hyperlink w:anchor="SENTENCIA_2023_89" w:history="1">
        <w:r w:rsidRPr="00DA359F">
          <w:rPr>
            <w:rStyle w:val="TextoNormalCaracter"/>
          </w:rPr>
          <w:t>89/2023</w:t>
        </w:r>
      </w:hyperlink>
      <w:r>
        <w:t>, f. 3.</w:t>
      </w:r>
    </w:p>
    <w:p w14:paraId="141794CD" w14:textId="4F293899" w:rsidR="00DA359F" w:rsidRDefault="00DA359F" w:rsidP="00DA359F">
      <w:pPr>
        <w:pStyle w:val="SangriaFrancesaArticulo"/>
      </w:pPr>
      <w:r w:rsidRPr="00DA359F">
        <w:rPr>
          <w:rStyle w:val="TextoNormalNegritaCaracter"/>
        </w:rPr>
        <w:t>Artículo 10.1.</w:t>
      </w:r>
      <w:r w:rsidRPr="00DA359F">
        <w:rPr>
          <w:rStyle w:val="TextoNormalCaracter"/>
        </w:rPr>
        <w:t>-</w:t>
      </w:r>
      <w:r>
        <w:t xml:space="preserve"> Sentencia </w:t>
      </w:r>
      <w:hyperlink w:anchor="SENTENCIA_2023_89" w:history="1">
        <w:r w:rsidRPr="00DA359F">
          <w:rPr>
            <w:rStyle w:val="TextoNormalCaracter"/>
          </w:rPr>
          <w:t>89/2023</w:t>
        </w:r>
      </w:hyperlink>
      <w:r>
        <w:t>, f. 3.</w:t>
      </w:r>
    </w:p>
    <w:p w14:paraId="3BC7C49E" w14:textId="4A26FF93" w:rsidR="00DA359F" w:rsidRDefault="00DA359F" w:rsidP="00DA359F">
      <w:pPr>
        <w:pStyle w:val="SangriaFrancesaArticulo"/>
      </w:pPr>
      <w:r w:rsidRPr="00DA359F">
        <w:rPr>
          <w:rStyle w:val="TextoNormalNegritaCaracter"/>
        </w:rPr>
        <w:t>Artículo 10.2.</w:t>
      </w:r>
      <w:r w:rsidRPr="00DA359F">
        <w:rPr>
          <w:rStyle w:val="TextoNormalCaracter"/>
        </w:rPr>
        <w:t>-</w:t>
      </w:r>
      <w:r>
        <w:t xml:space="preserve"> Sentencia </w:t>
      </w:r>
      <w:hyperlink w:anchor="SENTENCIA_2023_89" w:history="1">
        <w:r w:rsidRPr="00DA359F">
          <w:rPr>
            <w:rStyle w:val="TextoNormalCaracter"/>
          </w:rPr>
          <w:t>89/2023</w:t>
        </w:r>
      </w:hyperlink>
      <w:r>
        <w:t>, f. 3.</w:t>
      </w:r>
    </w:p>
    <w:p w14:paraId="20D55EC4" w14:textId="2C22797D" w:rsidR="00DA359F" w:rsidRDefault="00DA359F" w:rsidP="00DA359F">
      <w:pPr>
        <w:pStyle w:val="SangriaFrancesaArticulo"/>
      </w:pPr>
      <w:r w:rsidRPr="00DA359F">
        <w:rPr>
          <w:rStyle w:val="TextoNormalNegritaCaracter"/>
        </w:rPr>
        <w:t>Artículo 11.</w:t>
      </w:r>
      <w:r w:rsidRPr="00DA359F">
        <w:rPr>
          <w:rStyle w:val="TextoNormalCaracter"/>
        </w:rPr>
        <w:t>-</w:t>
      </w:r>
      <w:r>
        <w:t xml:space="preserve"> Sentencias </w:t>
      </w:r>
      <w:hyperlink w:anchor="SENTENCIA_2023_84" w:history="1">
        <w:r w:rsidRPr="00DA359F">
          <w:rPr>
            <w:rStyle w:val="TextoNormalCaracter"/>
          </w:rPr>
          <w:t>84/2023</w:t>
        </w:r>
      </w:hyperlink>
      <w:r>
        <w:t xml:space="preserve">, f. 4; </w:t>
      </w:r>
      <w:hyperlink w:anchor="SENTENCIA_2023_164" w:history="1">
        <w:r w:rsidRPr="00DA359F">
          <w:rPr>
            <w:rStyle w:val="TextoNormalCaracter"/>
          </w:rPr>
          <w:t>164/2023</w:t>
        </w:r>
      </w:hyperlink>
      <w:r>
        <w:t>, f. 3.</w:t>
      </w:r>
    </w:p>
    <w:p w14:paraId="2B9A2107" w14:textId="08349D35" w:rsidR="00DA359F" w:rsidRDefault="00DA359F" w:rsidP="00DA359F">
      <w:pPr>
        <w:pStyle w:val="SangriaFrancesaArticulo"/>
      </w:pPr>
      <w:r w:rsidRPr="00DA359F">
        <w:rPr>
          <w:rStyle w:val="TextoNormalNegritaCaracter"/>
        </w:rPr>
        <w:t>Artículo 11.2.</w:t>
      </w:r>
      <w:r w:rsidRPr="00DA359F">
        <w:rPr>
          <w:rStyle w:val="TextoNormalCaracter"/>
        </w:rPr>
        <w:t>-</w:t>
      </w:r>
      <w:r>
        <w:t xml:space="preserve"> Sentencias </w:t>
      </w:r>
      <w:hyperlink w:anchor="SENTENCIA_2023_84" w:history="1">
        <w:r w:rsidRPr="00DA359F">
          <w:rPr>
            <w:rStyle w:val="TextoNormalCaracter"/>
          </w:rPr>
          <w:t>84/2023</w:t>
        </w:r>
      </w:hyperlink>
      <w:r>
        <w:t xml:space="preserve">, f. 3; </w:t>
      </w:r>
      <w:hyperlink w:anchor="SENTENCIA_2023_164" w:history="1">
        <w:r w:rsidRPr="00DA359F">
          <w:rPr>
            <w:rStyle w:val="TextoNormalCaracter"/>
          </w:rPr>
          <w:t>164/2023</w:t>
        </w:r>
      </w:hyperlink>
      <w:r>
        <w:t>, f. 2.</w:t>
      </w:r>
    </w:p>
    <w:p w14:paraId="66009578" w14:textId="634396DF" w:rsidR="00DA359F" w:rsidRDefault="00DA359F" w:rsidP="00DA359F">
      <w:pPr>
        <w:pStyle w:val="SangriaFrancesaArticulo"/>
      </w:pPr>
      <w:r w:rsidRPr="00DA359F">
        <w:rPr>
          <w:rStyle w:val="TextoNormalNegritaCaracter"/>
        </w:rPr>
        <w:t>Artículo 13.</w:t>
      </w:r>
      <w:r w:rsidRPr="00DA359F">
        <w:rPr>
          <w:rStyle w:val="TextoNormalCaracter"/>
        </w:rPr>
        <w:t>-</w:t>
      </w:r>
      <w:r>
        <w:t xml:space="preserve"> Auto </w:t>
      </w:r>
      <w:hyperlink w:anchor="AUTO_2023_378" w:history="1">
        <w:r w:rsidRPr="00DA359F">
          <w:rPr>
            <w:rStyle w:val="TextoNormalCaracter"/>
          </w:rPr>
          <w:t>378/2023</w:t>
        </w:r>
      </w:hyperlink>
      <w:r>
        <w:t>, f. 1.</w:t>
      </w:r>
    </w:p>
    <w:p w14:paraId="70B9B3C3" w14:textId="1F324151" w:rsidR="00DA359F" w:rsidRDefault="00DA359F" w:rsidP="00DA359F">
      <w:pPr>
        <w:pStyle w:val="SangriaFrancesaArticulo"/>
      </w:pPr>
    </w:p>
    <w:p w14:paraId="160635C4" w14:textId="77777777" w:rsidR="00DA359F" w:rsidRDefault="00DA359F" w:rsidP="00DA359F">
      <w:pPr>
        <w:pStyle w:val="TextoNormalNegritaCursivandice"/>
        <w:keepNext/>
      </w:pPr>
      <w:r>
        <w:t>Protocolo adicional (conocido como núm. 1) al Convenio europeo para la protección de los derechos humanos y de las libertades fundamentales, de 20 de marzo de 1952. Ratificado por Instrumento de 2 de noviembre de 1990</w:t>
      </w:r>
    </w:p>
    <w:p w14:paraId="0535B75E" w14:textId="79567BC7" w:rsidR="00DA359F" w:rsidRDefault="00DA359F" w:rsidP="00DA359F">
      <w:pPr>
        <w:pStyle w:val="SangriaFrancesaArticulo"/>
      </w:pPr>
      <w:r w:rsidRPr="00DA359F">
        <w:rPr>
          <w:rStyle w:val="TextoNormalNegritaCaracter"/>
        </w:rPr>
        <w:t>Artículo 1.</w:t>
      </w:r>
      <w:r w:rsidRPr="00DA359F">
        <w:rPr>
          <w:rStyle w:val="TextoNormalCaracter"/>
        </w:rPr>
        <w:t>-</w:t>
      </w:r>
      <w:r>
        <w:t xml:space="preserve"> Sentencia </w:t>
      </w:r>
      <w:hyperlink w:anchor="SENTENCIA_2023_168" w:history="1">
        <w:r w:rsidRPr="00DA359F">
          <w:rPr>
            <w:rStyle w:val="TextoNormalCaracter"/>
          </w:rPr>
          <w:t>168/2023</w:t>
        </w:r>
      </w:hyperlink>
      <w:r>
        <w:t>, f. 4.</w:t>
      </w:r>
    </w:p>
    <w:p w14:paraId="25667181" w14:textId="661D182F" w:rsidR="00DA359F" w:rsidRDefault="00DA359F" w:rsidP="00DA359F">
      <w:pPr>
        <w:pStyle w:val="SangriaFrancesaArticulo"/>
      </w:pPr>
    </w:p>
    <w:p w14:paraId="5ABBCD2A" w14:textId="77777777" w:rsidR="00DA359F" w:rsidRDefault="00DA359F" w:rsidP="00DA359F">
      <w:pPr>
        <w:pStyle w:val="TextoNormalNegritaCursivandice"/>
        <w:keepNext/>
      </w:pPr>
      <w:r>
        <w:t>Carta europea de autonomía local, hecha en Estrasburgo, de 15 de octubre de 1985. Ratificada por Instrumento de 20 de enero de 1988</w:t>
      </w:r>
    </w:p>
    <w:p w14:paraId="5D6D0216" w14:textId="2198A100" w:rsidR="00DA359F" w:rsidRDefault="00DA359F" w:rsidP="00DA359F">
      <w:pPr>
        <w:pStyle w:val="SangriaFrancesaArticulo"/>
      </w:pPr>
      <w:r w:rsidRPr="00DA359F">
        <w:rPr>
          <w:rStyle w:val="TextoNormalNegritaCaracter"/>
        </w:rPr>
        <w:t>Artículo 9.</w:t>
      </w:r>
      <w:r w:rsidRPr="00DA359F">
        <w:rPr>
          <w:rStyle w:val="TextoNormalCaracter"/>
        </w:rPr>
        <w:t>-</w:t>
      </w:r>
      <w:r>
        <w:t xml:space="preserve"> Sentencia </w:t>
      </w:r>
      <w:hyperlink w:anchor="SENTENCIA_2023_124" w:history="1">
        <w:r w:rsidRPr="00DA359F">
          <w:rPr>
            <w:rStyle w:val="TextoNormalCaracter"/>
          </w:rPr>
          <w:t>124/2023</w:t>
        </w:r>
      </w:hyperlink>
      <w:r>
        <w:t>, f. 7.</w:t>
      </w:r>
    </w:p>
    <w:p w14:paraId="20A6075E" w14:textId="1C755C92" w:rsidR="00DA359F" w:rsidRDefault="00DA359F" w:rsidP="00DA359F">
      <w:pPr>
        <w:pStyle w:val="SangriaFrancesaArticulo"/>
      </w:pPr>
    </w:p>
    <w:p w14:paraId="537B0E5A" w14:textId="77777777" w:rsidR="00DA359F" w:rsidRDefault="00DA359F" w:rsidP="00DA359F">
      <w:pPr>
        <w:pStyle w:val="TextoNormalNegritaCursivandice"/>
        <w:keepNext/>
      </w:pPr>
      <w:r>
        <w:t>Carta europea de las lenguas regionales o minoritarias, hecha en Estrasburgo el 5 de noviembre de 1992. Ratificada por Instrumento de 2 de febrero de 2001</w:t>
      </w:r>
    </w:p>
    <w:p w14:paraId="439893C5" w14:textId="16610298"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85" w:history="1">
        <w:r w:rsidRPr="00DA359F">
          <w:rPr>
            <w:rStyle w:val="TextoNormalCaracter"/>
          </w:rPr>
          <w:t>85/2023</w:t>
        </w:r>
      </w:hyperlink>
      <w:r>
        <w:t>, f. 4.</w:t>
      </w:r>
    </w:p>
    <w:p w14:paraId="2D031B65" w14:textId="465FED0F" w:rsidR="00DA359F" w:rsidRDefault="00DA359F" w:rsidP="00DA359F">
      <w:pPr>
        <w:pStyle w:val="SangriaFrancesaArticulo"/>
      </w:pPr>
      <w:r w:rsidRPr="00DA359F">
        <w:rPr>
          <w:rStyle w:val="TextoNormalNegritaCaracter"/>
        </w:rPr>
        <w:t>Artículo 7.2.</w:t>
      </w:r>
      <w:r w:rsidRPr="00DA359F">
        <w:rPr>
          <w:rStyle w:val="TextoNormalCaracter"/>
        </w:rPr>
        <w:t>-</w:t>
      </w:r>
      <w:r>
        <w:t xml:space="preserve"> Sentencia </w:t>
      </w:r>
      <w:hyperlink w:anchor="SENTENCIA_2023_85" w:history="1">
        <w:r w:rsidRPr="00DA359F">
          <w:rPr>
            <w:rStyle w:val="TextoNormalCaracter"/>
          </w:rPr>
          <w:t>85/2023</w:t>
        </w:r>
      </w:hyperlink>
      <w:r>
        <w:t>, f. 4.</w:t>
      </w:r>
    </w:p>
    <w:p w14:paraId="6CE79E83" w14:textId="0CB8EA59" w:rsidR="00DA359F" w:rsidRDefault="00DA359F" w:rsidP="00DA359F">
      <w:pPr>
        <w:pStyle w:val="SangriaFrancesaArticulo"/>
      </w:pPr>
    </w:p>
    <w:p w14:paraId="648EAA29" w14:textId="77777777" w:rsidR="00DA359F" w:rsidRDefault="00DA359F" w:rsidP="00DA359F">
      <w:pPr>
        <w:pStyle w:val="TextoNormalNegritaCursivandice"/>
        <w:keepNext/>
      </w:pPr>
      <w:r>
        <w:t>Protocolo núm. 12 al Convenio europeo para la protección de los derechos humanos y de las libertades fundamentales, de 4 de noviembre de 2000. Ratificado por Instrumento de 6 de marzo de 2008</w:t>
      </w:r>
    </w:p>
    <w:p w14:paraId="1002AC45" w14:textId="29C08A8A" w:rsidR="00DA359F" w:rsidRDefault="00DA359F" w:rsidP="00DA359F">
      <w:pPr>
        <w:pStyle w:val="SangriaFrancesaArticulo"/>
      </w:pPr>
      <w:r w:rsidRPr="00DA359F">
        <w:rPr>
          <w:rStyle w:val="TextoNormalNegritaCaracter"/>
        </w:rPr>
        <w:t>Artículo 1.</w:t>
      </w:r>
      <w:r w:rsidRPr="00DA359F">
        <w:rPr>
          <w:rStyle w:val="TextoNormalCaracter"/>
        </w:rPr>
        <w:t>-</w:t>
      </w:r>
      <w:r>
        <w:t xml:space="preserve"> Sentencia </w:t>
      </w:r>
      <w:hyperlink w:anchor="SENTENCIA_2023_78" w:history="1">
        <w:r w:rsidRPr="00DA359F">
          <w:rPr>
            <w:rStyle w:val="TextoNormalCaracter"/>
          </w:rPr>
          <w:t>78/2023</w:t>
        </w:r>
      </w:hyperlink>
      <w:r>
        <w:t>, ff. 1, 4.</w:t>
      </w:r>
    </w:p>
    <w:p w14:paraId="2E8A86DE" w14:textId="67BC9976" w:rsidR="00DA359F" w:rsidRDefault="00DA359F" w:rsidP="00DA359F">
      <w:pPr>
        <w:pStyle w:val="SangriaFrancesaArticulo"/>
      </w:pPr>
      <w:r w:rsidRPr="00DA359F">
        <w:rPr>
          <w:rStyle w:val="TextoNormalNegritaCaracter"/>
        </w:rPr>
        <w:t>Artículo 14.</w:t>
      </w:r>
      <w:r w:rsidRPr="00DA359F">
        <w:rPr>
          <w:rStyle w:val="TextoNormalCaracter"/>
        </w:rPr>
        <w:t>-</w:t>
      </w:r>
      <w:r>
        <w:t xml:space="preserve"> Sentencia </w:t>
      </w:r>
      <w:hyperlink w:anchor="SENTENCIA_2023_78" w:history="1">
        <w:r w:rsidRPr="00DA359F">
          <w:rPr>
            <w:rStyle w:val="TextoNormalCaracter"/>
          </w:rPr>
          <w:t>78/2023</w:t>
        </w:r>
      </w:hyperlink>
      <w:r>
        <w:t>, ff. 1, 4.</w:t>
      </w:r>
    </w:p>
    <w:p w14:paraId="53A99071" w14:textId="2B170E40" w:rsidR="00DA359F" w:rsidRDefault="00DA359F" w:rsidP="00DA359F">
      <w:pPr>
        <w:pStyle w:val="SangriaFrancesaArticulo"/>
      </w:pPr>
    </w:p>
    <w:p w14:paraId="7F5D58CA" w14:textId="77777777" w:rsidR="00DA359F" w:rsidRDefault="00DA359F" w:rsidP="00DA359F">
      <w:pPr>
        <w:pStyle w:val="TextoNormalNegritaCursivandice"/>
        <w:keepNext/>
      </w:pPr>
      <w:r>
        <w:t>Convenio del Consejo de Europa para la protección de los niños contra la explotación y el abuso sexual, hecho en Lanzarote el 25 de octubre de 2007. Ratificado por Instrumento de 22 de julio de 2010</w:t>
      </w:r>
    </w:p>
    <w:p w14:paraId="4632352E" w14:textId="2FE69EAC"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131" w:history="1">
        <w:r w:rsidRPr="00DA359F">
          <w:rPr>
            <w:rStyle w:val="TextoNormalCaracter"/>
          </w:rPr>
          <w:t>131/2023</w:t>
        </w:r>
      </w:hyperlink>
      <w:r>
        <w:t>, f. 2.</w:t>
      </w:r>
    </w:p>
    <w:p w14:paraId="7565B816" w14:textId="02F07872" w:rsidR="00DA359F" w:rsidRDefault="00DA359F" w:rsidP="00DA359F">
      <w:pPr>
        <w:pStyle w:val="SangriaFrancesaArticulo"/>
      </w:pPr>
      <w:r w:rsidRPr="00DA359F">
        <w:rPr>
          <w:rStyle w:val="TextoNormalNegritaCaracter"/>
        </w:rPr>
        <w:t>Artículo 30.1.</w:t>
      </w:r>
      <w:r w:rsidRPr="00DA359F">
        <w:rPr>
          <w:rStyle w:val="TextoNormalCaracter"/>
        </w:rPr>
        <w:t>-</w:t>
      </w:r>
      <w:r>
        <w:t xml:space="preserve"> Sentencia </w:t>
      </w:r>
      <w:hyperlink w:anchor="SENTENCIA_2023_131" w:history="1">
        <w:r w:rsidRPr="00DA359F">
          <w:rPr>
            <w:rStyle w:val="TextoNormalCaracter"/>
          </w:rPr>
          <w:t>131/2023</w:t>
        </w:r>
      </w:hyperlink>
      <w:r>
        <w:t>, VP.</w:t>
      </w:r>
    </w:p>
    <w:p w14:paraId="208A1175" w14:textId="40268806" w:rsidR="00DA359F" w:rsidRDefault="00DA359F" w:rsidP="00DA359F">
      <w:pPr>
        <w:pStyle w:val="SangriaFrancesaArticulo"/>
      </w:pPr>
      <w:r w:rsidRPr="00DA359F">
        <w:rPr>
          <w:rStyle w:val="TextoNormalNegritaCaracter"/>
        </w:rPr>
        <w:t>Artículo 30.5.</w:t>
      </w:r>
      <w:r w:rsidRPr="00DA359F">
        <w:rPr>
          <w:rStyle w:val="TextoNormalCaracter"/>
        </w:rPr>
        <w:t>-</w:t>
      </w:r>
      <w:r>
        <w:t xml:space="preserve"> Sentencia </w:t>
      </w:r>
      <w:hyperlink w:anchor="SENTENCIA_2023_131" w:history="1">
        <w:r w:rsidRPr="00DA359F">
          <w:rPr>
            <w:rStyle w:val="TextoNormalCaracter"/>
          </w:rPr>
          <w:t>131/2023</w:t>
        </w:r>
      </w:hyperlink>
      <w:r>
        <w:t>, VP.</w:t>
      </w:r>
    </w:p>
    <w:p w14:paraId="3FB520E6" w14:textId="22BBFA9D" w:rsidR="00DA359F" w:rsidRDefault="00DA359F" w:rsidP="00DA359F">
      <w:pPr>
        <w:pStyle w:val="SangriaFrancesaArticulo"/>
      </w:pPr>
    </w:p>
    <w:p w14:paraId="47AE0290" w14:textId="77777777" w:rsidR="00DA359F" w:rsidRDefault="00DA359F" w:rsidP="00DA359F">
      <w:pPr>
        <w:pStyle w:val="TextoNormalNegritaCursivandice"/>
        <w:keepNext/>
      </w:pPr>
      <w:r>
        <w:t>Informe 10(2007), del Consejo Consultivo de Jueces Europeos, de 23 de noviembre de 2007, sobre el Consejo de la Justicia al servicio de la sociedad</w:t>
      </w:r>
    </w:p>
    <w:p w14:paraId="3BD695BA" w14:textId="3627C802" w:rsidR="00DA359F" w:rsidRDefault="00DA359F" w:rsidP="00DA359F">
      <w:pPr>
        <w:pStyle w:val="SangriaFrancesaArticulo"/>
      </w:pPr>
      <w:r w:rsidRPr="00DA359F">
        <w:rPr>
          <w:rStyle w:val="TextoNormalNegritaCaracter"/>
        </w:rPr>
        <w:t>Apartado 87.</w:t>
      </w:r>
      <w:r w:rsidRPr="00DA359F">
        <w:rPr>
          <w:rStyle w:val="TextoNormalCaracter"/>
        </w:rPr>
        <w:t>-</w:t>
      </w:r>
      <w:r>
        <w:t xml:space="preserve"> Sentencia </w:t>
      </w:r>
      <w:hyperlink w:anchor="SENTENCIA_2023_128" w:history="1">
        <w:r w:rsidRPr="00DA359F">
          <w:rPr>
            <w:rStyle w:val="TextoNormalCaracter"/>
          </w:rPr>
          <w:t>128/2023</w:t>
        </w:r>
      </w:hyperlink>
      <w:r>
        <w:t>, VP.</w:t>
      </w:r>
    </w:p>
    <w:p w14:paraId="4CE952DD" w14:textId="0351E425"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128" w:history="1">
        <w:r w:rsidRPr="00DA359F">
          <w:rPr>
            <w:rStyle w:val="TextoNormalCaracter"/>
          </w:rPr>
          <w:t>128/2023</w:t>
        </w:r>
      </w:hyperlink>
      <w:r>
        <w:t>, VP.</w:t>
      </w:r>
    </w:p>
    <w:p w14:paraId="7C241CDB" w14:textId="1073FE24" w:rsidR="00DA359F" w:rsidRDefault="00DA359F" w:rsidP="00DA359F">
      <w:pPr>
        <w:pStyle w:val="SangriaFrancesaArticulo"/>
      </w:pPr>
    </w:p>
    <w:p w14:paraId="2C93793A" w14:textId="77777777" w:rsidR="00DA359F" w:rsidRDefault="00DA359F" w:rsidP="00DA359F">
      <w:pPr>
        <w:pStyle w:val="TextoNormalNegritaCursivandice"/>
        <w:keepNext/>
      </w:pPr>
      <w:r>
        <w:t>Recomendación CM/Rec(2010)12, del Comité de Ministros del Consejo de Europa, de 17 de noviembre de 2010, sobre los jueces: independencia, eficiencia y responsabilidad</w:t>
      </w:r>
    </w:p>
    <w:p w14:paraId="5FC8C9A3" w14:textId="5D28110E"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128" w:history="1">
        <w:r w:rsidRPr="00DA359F">
          <w:rPr>
            <w:rStyle w:val="TextoNormalCaracter"/>
          </w:rPr>
          <w:t>128/2023</w:t>
        </w:r>
      </w:hyperlink>
      <w:r>
        <w:t>, VP.</w:t>
      </w:r>
    </w:p>
    <w:p w14:paraId="4BF9DB2D" w14:textId="4B5A3C51" w:rsidR="00DA359F" w:rsidRDefault="00DA359F" w:rsidP="00DA359F">
      <w:pPr>
        <w:pStyle w:val="SangriaFrancesaArticulo"/>
      </w:pPr>
    </w:p>
    <w:p w14:paraId="683CFD04" w14:textId="77777777" w:rsidR="00DA359F" w:rsidRDefault="00DA359F" w:rsidP="00DA359F">
      <w:pPr>
        <w:pStyle w:val="TextoNormalNegritaCursivandice"/>
        <w:keepNext/>
      </w:pPr>
      <w:r>
        <w:t>Recomendación (2011)7, del Comité de Ministros del Consejo de Europa, de 21 de septiembre de 2011. Nuevo concepto de medios de comunicación</w:t>
      </w:r>
    </w:p>
    <w:p w14:paraId="3CD050F0" w14:textId="1E30D1D2"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83" w:history="1">
        <w:r w:rsidRPr="00DA359F">
          <w:rPr>
            <w:rStyle w:val="TextoNormalCaracter"/>
          </w:rPr>
          <w:t>83/2023</w:t>
        </w:r>
      </w:hyperlink>
      <w:r>
        <w:t>, VP I.</w:t>
      </w:r>
    </w:p>
    <w:p w14:paraId="1341F22F" w14:textId="63F4AE51" w:rsidR="00DA359F" w:rsidRDefault="00DA359F" w:rsidP="00DA359F">
      <w:pPr>
        <w:pStyle w:val="SangriaFrancesaArticulo"/>
      </w:pPr>
    </w:p>
    <w:p w14:paraId="0D57D23A" w14:textId="77777777" w:rsidR="00DA359F" w:rsidRDefault="00DA359F" w:rsidP="00DA359F">
      <w:pPr>
        <w:pStyle w:val="TextoNormalNegritaCursivandice"/>
        <w:keepNext/>
      </w:pPr>
      <w:r>
        <w:t>Informe 24(2021), del Consejo Consultivo de Jueces Europeos, de 5 de noviembre de 2021, sobre la evolución de los consejos de justicia y su papel en los sistemas judiciales independientes e imparciales</w:t>
      </w:r>
    </w:p>
    <w:p w14:paraId="2FAD765D" w14:textId="4F396761" w:rsidR="00DA359F" w:rsidRDefault="00DA359F" w:rsidP="00DA359F">
      <w:pPr>
        <w:pStyle w:val="SangriaFrancesaArticulo"/>
      </w:pPr>
      <w:r w:rsidRPr="00DA359F">
        <w:rPr>
          <w:rStyle w:val="TextoNormalNegritaCaracter"/>
        </w:rPr>
        <w:t>Apartado 20.</w:t>
      </w:r>
      <w:r w:rsidRPr="00DA359F">
        <w:rPr>
          <w:rStyle w:val="TextoNormalCaracter"/>
        </w:rPr>
        <w:t>-</w:t>
      </w:r>
      <w:r>
        <w:t xml:space="preserve"> Sentencia </w:t>
      </w:r>
      <w:hyperlink w:anchor="SENTENCIA_2023_128" w:history="1">
        <w:r w:rsidRPr="00DA359F">
          <w:rPr>
            <w:rStyle w:val="TextoNormalCaracter"/>
          </w:rPr>
          <w:t>128/2023</w:t>
        </w:r>
      </w:hyperlink>
      <w:r>
        <w:t>, VP.</w:t>
      </w:r>
    </w:p>
    <w:p w14:paraId="1F85E276" w14:textId="6E4D89D4" w:rsidR="00DA359F" w:rsidRDefault="00DA359F" w:rsidP="00DA359F">
      <w:pPr>
        <w:pStyle w:val="TextoNormal"/>
      </w:pPr>
    </w:p>
    <w:p w14:paraId="726A2B97" w14:textId="77777777" w:rsidR="00DA359F" w:rsidRDefault="00DA359F" w:rsidP="00DA359F">
      <w:pPr>
        <w:pStyle w:val="SangriaFrancesaArticulo"/>
      </w:pPr>
      <w:bookmarkStart w:id="494" w:name="INDICE22872"/>
    </w:p>
    <w:bookmarkEnd w:id="494"/>
    <w:p w14:paraId="517D1763" w14:textId="77777777" w:rsidR="00DA359F" w:rsidRDefault="00DA359F" w:rsidP="00DA359F">
      <w:pPr>
        <w:pStyle w:val="TextoIndiceNivel2"/>
        <w:suppressAutoHyphens/>
      </w:pPr>
      <w:r>
        <w:t>Ñ) Legislación extranjera</w:t>
      </w:r>
    </w:p>
    <w:p w14:paraId="21444EA7" w14:textId="548A1CBB" w:rsidR="00DA359F" w:rsidRDefault="00DA359F" w:rsidP="00DA359F">
      <w:pPr>
        <w:pStyle w:val="TextoIndiceNivel2"/>
      </w:pPr>
    </w:p>
    <w:p w14:paraId="26086686" w14:textId="77777777" w:rsidR="00DA359F" w:rsidRDefault="00DA359F" w:rsidP="00DA359F">
      <w:pPr>
        <w:pStyle w:val="TextoNormalNegritaCursivandice"/>
        <w:keepNext/>
      </w:pPr>
      <w:r>
        <w:t>Ley Fundamental de la República Federal de Alemania, de 23 de mayo de 1949</w:t>
      </w:r>
    </w:p>
    <w:p w14:paraId="3EC0F501" w14:textId="594F47FE" w:rsidR="00DA359F" w:rsidRDefault="00DA359F" w:rsidP="00DA359F">
      <w:pPr>
        <w:pStyle w:val="SangriaFrancesaArticulo"/>
      </w:pPr>
      <w:r w:rsidRPr="00DA359F">
        <w:rPr>
          <w:rStyle w:val="TextoNormalNegritaCaracter"/>
        </w:rPr>
        <w:t>Artículo 19.3.</w:t>
      </w:r>
      <w:r w:rsidRPr="00DA359F">
        <w:rPr>
          <w:rStyle w:val="TextoNormalCaracter"/>
        </w:rPr>
        <w:t>-</w:t>
      </w:r>
      <w:r>
        <w:t xml:space="preserve"> Sentencia </w:t>
      </w:r>
      <w:hyperlink w:anchor="SENTENCIA_2023_83" w:history="1">
        <w:r w:rsidRPr="00DA359F">
          <w:rPr>
            <w:rStyle w:val="TextoNormalCaracter"/>
          </w:rPr>
          <w:t>83/2023</w:t>
        </w:r>
      </w:hyperlink>
      <w:r>
        <w:t>, VP I.</w:t>
      </w:r>
    </w:p>
    <w:p w14:paraId="01B35E9E" w14:textId="5941720B" w:rsidR="00DA359F" w:rsidRDefault="00DA359F" w:rsidP="00DA359F">
      <w:pPr>
        <w:pStyle w:val="SangriaFrancesaArticulo"/>
      </w:pPr>
    </w:p>
    <w:p w14:paraId="47EE8F9D" w14:textId="77777777" w:rsidR="00DA359F" w:rsidRDefault="00DA359F" w:rsidP="00DA359F">
      <w:pPr>
        <w:pStyle w:val="TextoNormalNegritaCursivandice"/>
        <w:keepNext/>
      </w:pPr>
      <w:r>
        <w:t>Constitución de la República francesa, de 4 de octubre de 1958</w:t>
      </w:r>
    </w:p>
    <w:p w14:paraId="339156DE" w14:textId="329E6B33" w:rsidR="00DA359F" w:rsidRDefault="00DA359F" w:rsidP="00DA359F">
      <w:pPr>
        <w:pStyle w:val="SangriaFrancesaArticulo"/>
      </w:pPr>
      <w:r w:rsidRPr="00DA359F">
        <w:rPr>
          <w:rStyle w:val="TextoNormalNegritaCaracter"/>
        </w:rPr>
        <w:t>Artículo 45.1</w:t>
      </w:r>
      <w:r>
        <w:t xml:space="preserve"> (redactado por la Ley Constitucional de 23 de julio de 2008)</w:t>
      </w:r>
      <w:r w:rsidRPr="00DA359F">
        <w:rPr>
          <w:rStyle w:val="TextoNormalNegritaCaracter"/>
        </w:rPr>
        <w:t>.</w:t>
      </w:r>
      <w:r w:rsidRPr="00DA359F">
        <w:rPr>
          <w:rStyle w:val="TextoNormalCaracter"/>
        </w:rPr>
        <w:t>-</w:t>
      </w:r>
      <w:r>
        <w:t xml:space="preserve"> Sentencia </w:t>
      </w:r>
      <w:hyperlink w:anchor="SENTENCIA_2023_149" w:history="1">
        <w:r w:rsidRPr="00DA359F">
          <w:rPr>
            <w:rStyle w:val="TextoNormalCaracter"/>
          </w:rPr>
          <w:t>149/2023</w:t>
        </w:r>
      </w:hyperlink>
      <w:r>
        <w:t>, VP.</w:t>
      </w:r>
    </w:p>
    <w:p w14:paraId="28138F39" w14:textId="116A3C20" w:rsidR="00DA359F" w:rsidRDefault="00DA359F" w:rsidP="00DA359F">
      <w:pPr>
        <w:pStyle w:val="SangriaFrancesaArticulo"/>
      </w:pPr>
    </w:p>
    <w:p w14:paraId="49841D1D" w14:textId="77777777" w:rsidR="00DA359F" w:rsidRDefault="00DA359F" w:rsidP="00DA359F">
      <w:pPr>
        <w:pStyle w:val="TextoNormalNegritaCursivandice"/>
        <w:keepNext/>
      </w:pPr>
      <w:r>
        <w:t>Ley Constitucional de la República francesa de 23 de julio de 2008</w:t>
      </w:r>
    </w:p>
    <w:p w14:paraId="03850AD2" w14:textId="5042BE04"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149" w:history="1">
        <w:r w:rsidRPr="00DA359F">
          <w:rPr>
            <w:rStyle w:val="TextoNormalCaracter"/>
          </w:rPr>
          <w:t>149/2023</w:t>
        </w:r>
      </w:hyperlink>
      <w:r>
        <w:t>, VP.</w:t>
      </w:r>
    </w:p>
    <w:p w14:paraId="7ABCE3C9" w14:textId="3B7B91A7" w:rsidR="00DA359F" w:rsidRDefault="00DA359F">
      <w:pPr>
        <w:spacing w:after="160" w:line="278" w:lineRule="auto"/>
        <w:rPr>
          <w:rFonts w:ascii="Times New Roman" w:eastAsia="Times New Roman" w:hAnsi="Times New Roman" w:cs="Times New Roman"/>
          <w:sz w:val="24"/>
          <w:szCs w:val="24"/>
          <w:lang w:eastAsia="es-ES"/>
        </w:rPr>
      </w:pPr>
      <w:r>
        <w:br w:type="page"/>
      </w:r>
    </w:p>
    <w:p w14:paraId="0E8F826C" w14:textId="77777777" w:rsidR="00DA359F" w:rsidRDefault="00DA359F" w:rsidP="00DA359F">
      <w:pPr>
        <w:pStyle w:val="SangriaFrancesaArticulo"/>
      </w:pPr>
    </w:p>
    <w:p w14:paraId="1D4C6A21" w14:textId="77777777" w:rsidR="00DA359F" w:rsidRDefault="00DA359F" w:rsidP="00DA359F">
      <w:pPr>
        <w:pStyle w:val="TextoNormal"/>
      </w:pPr>
    </w:p>
    <w:p w14:paraId="11B9A139" w14:textId="77777777" w:rsidR="00DA359F" w:rsidRDefault="00DA359F" w:rsidP="00DA359F">
      <w:pPr>
        <w:pStyle w:val="TextoNormal"/>
      </w:pPr>
    </w:p>
    <w:p w14:paraId="2F5C6315" w14:textId="77777777" w:rsidR="00DA359F" w:rsidRDefault="00DA359F" w:rsidP="00DA359F">
      <w:pPr>
        <w:pStyle w:val="TextoNormal"/>
      </w:pPr>
    </w:p>
    <w:p w14:paraId="6257463F" w14:textId="77777777" w:rsidR="00DA359F" w:rsidRDefault="00DA359F" w:rsidP="00DA359F">
      <w:pPr>
        <w:pStyle w:val="Ttulondice"/>
        <w:suppressAutoHyphens/>
      </w:pPr>
      <w:r>
        <w:t>6. ÍNDICE DE RESOLUCIONES DE OTROS TRIBUNALES CITADAS</w:t>
      </w:r>
    </w:p>
    <w:p w14:paraId="1035991B" w14:textId="733F66CA" w:rsidR="00DA359F" w:rsidRDefault="00DA359F" w:rsidP="00DA359F">
      <w:pPr>
        <w:pStyle w:val="TextoNormal"/>
        <w:suppressAutoHyphens/>
      </w:pPr>
    </w:p>
    <w:p w14:paraId="23122AFB" w14:textId="77777777" w:rsidR="00DA359F" w:rsidRDefault="00DA359F" w:rsidP="00DA359F">
      <w:pPr>
        <w:pStyle w:val="TextoNormal"/>
        <w:suppressAutoHyphens/>
      </w:pPr>
    </w:p>
    <w:p w14:paraId="417776AE" w14:textId="77777777" w:rsidR="00DA359F" w:rsidRDefault="00DA359F" w:rsidP="00DA359F">
      <w:pPr>
        <w:pStyle w:val="TextoNormal"/>
        <w:suppressAutoHyphens/>
      </w:pPr>
    </w:p>
    <w:p w14:paraId="632AB94E" w14:textId="77777777" w:rsidR="00DA359F" w:rsidRDefault="00DA359F" w:rsidP="00DA359F">
      <w:pPr>
        <w:pStyle w:val="TextoNormal"/>
        <w:suppressAutoHyphens/>
      </w:pPr>
    </w:p>
    <w:p w14:paraId="091ACAAC" w14:textId="77777777" w:rsidR="00DA359F" w:rsidRDefault="00DA359F" w:rsidP="00DA359F">
      <w:pPr>
        <w:pStyle w:val="TextoNormal"/>
        <w:suppressAutoHyphens/>
      </w:pPr>
    </w:p>
    <w:p w14:paraId="54099E7C" w14:textId="77777777" w:rsidR="00DA359F" w:rsidRDefault="00DA359F" w:rsidP="00DA359F">
      <w:pPr>
        <w:pStyle w:val="TextoNormal"/>
        <w:suppressAutoHyphens/>
      </w:pPr>
    </w:p>
    <w:p w14:paraId="15D928E2" w14:textId="77777777" w:rsidR="00DA359F" w:rsidRDefault="00DA359F" w:rsidP="00DA359F">
      <w:pPr>
        <w:pStyle w:val="TextoNormal"/>
        <w:suppressAutoHyphens/>
      </w:pPr>
    </w:p>
    <w:p w14:paraId="37F504EB" w14:textId="77777777" w:rsidR="00DA359F" w:rsidRDefault="00DA359F" w:rsidP="00DA359F">
      <w:pPr>
        <w:pStyle w:val="TextoNormal"/>
        <w:suppressAutoHyphens/>
      </w:pPr>
    </w:p>
    <w:p w14:paraId="6DF4F3D2" w14:textId="77777777" w:rsidR="00DA359F" w:rsidRDefault="00DA359F" w:rsidP="00DA359F">
      <w:pPr>
        <w:pStyle w:val="TextoNormal"/>
        <w:suppressAutoHyphens/>
      </w:pPr>
    </w:p>
    <w:p w14:paraId="0B9DAFDF" w14:textId="77777777" w:rsidR="00DA359F" w:rsidRDefault="00DA359F" w:rsidP="00DA359F">
      <w:pPr>
        <w:pStyle w:val="TextoNormal"/>
      </w:pPr>
    </w:p>
    <w:p w14:paraId="6EA06B35" w14:textId="77777777" w:rsidR="00DA359F" w:rsidRDefault="00DA359F" w:rsidP="00DA359F">
      <w:pPr>
        <w:pStyle w:val="TextoNormal"/>
      </w:pPr>
      <w:bookmarkStart w:id="495" w:name="INDICE22805"/>
      <w:bookmarkEnd w:id="495"/>
    </w:p>
    <w:p w14:paraId="0CEE1FF9" w14:textId="77777777" w:rsidR="00DA359F" w:rsidRDefault="00DA359F" w:rsidP="00DA359F">
      <w:pPr>
        <w:pStyle w:val="TextoIndiceNivel2"/>
        <w:suppressAutoHyphens/>
      </w:pPr>
      <w:r>
        <w:t>A) Tribunal Europeo de Derechos Humanos</w:t>
      </w:r>
    </w:p>
    <w:p w14:paraId="2B59625C" w14:textId="1F1F402F" w:rsidR="00DA359F" w:rsidRDefault="00DA359F" w:rsidP="00DA359F">
      <w:pPr>
        <w:pStyle w:val="TextoIndiceNivel2"/>
      </w:pPr>
    </w:p>
    <w:p w14:paraId="33D80CAF" w14:textId="77777777" w:rsidR="00DA359F" w:rsidRDefault="00DA359F" w:rsidP="00DA359F">
      <w:pPr>
        <w:pStyle w:val="TextoNormalNegritaCursivandice"/>
        <w:keepNext/>
      </w:pPr>
      <w:r>
        <w:t>Sentencia del Tribunal Europeo de Derechos Humanos de 23 de septiembre de 1982 (Sporrong y Lönnroth c. Suecia)</w:t>
      </w:r>
    </w:p>
    <w:p w14:paraId="433731CB" w14:textId="7455D2BC" w:rsidR="00DA359F" w:rsidRDefault="00DA359F" w:rsidP="00DA359F">
      <w:pPr>
        <w:pStyle w:val="SangriaFrancesaArticulo"/>
      </w:pPr>
      <w:r w:rsidRPr="00DA359F">
        <w:rPr>
          <w:rStyle w:val="TextoNormalNegritaCaracter"/>
        </w:rPr>
        <w:t>§ 60.</w:t>
      </w:r>
      <w:r w:rsidRPr="00DA359F">
        <w:rPr>
          <w:rStyle w:val="TextoNormalCaracter"/>
        </w:rPr>
        <w:t>-</w:t>
      </w:r>
      <w:r>
        <w:t xml:space="preserve"> Sentencia </w:t>
      </w:r>
      <w:hyperlink w:anchor="SENTENCIA_2023_168" w:history="1">
        <w:r w:rsidRPr="00DA359F">
          <w:rPr>
            <w:rStyle w:val="TextoNormalCaracter"/>
          </w:rPr>
          <w:t>168/2023</w:t>
        </w:r>
      </w:hyperlink>
      <w:r>
        <w:t>, f. 5.</w:t>
      </w:r>
    </w:p>
    <w:p w14:paraId="0735E61D" w14:textId="2D3F5BBC" w:rsidR="00DA359F" w:rsidRDefault="00DA359F" w:rsidP="00DA359F">
      <w:pPr>
        <w:pStyle w:val="SangriaFrancesaArticulo"/>
      </w:pPr>
      <w:r w:rsidRPr="00DA359F">
        <w:rPr>
          <w:rStyle w:val="TextoNormalNegritaCaracter"/>
        </w:rPr>
        <w:t>§ 65.</w:t>
      </w:r>
      <w:r w:rsidRPr="00DA359F">
        <w:rPr>
          <w:rStyle w:val="TextoNormalCaracter"/>
        </w:rPr>
        <w:t>-</w:t>
      </w:r>
      <w:r>
        <w:t xml:space="preserve"> Sentencia </w:t>
      </w:r>
      <w:hyperlink w:anchor="SENTENCIA_2023_168" w:history="1">
        <w:r w:rsidRPr="00DA359F">
          <w:rPr>
            <w:rStyle w:val="TextoNormalCaracter"/>
          </w:rPr>
          <w:t>168/2023</w:t>
        </w:r>
      </w:hyperlink>
      <w:r>
        <w:t>, f. 4.</w:t>
      </w:r>
    </w:p>
    <w:p w14:paraId="721B7E50" w14:textId="60C6C27D" w:rsidR="00DA359F" w:rsidRDefault="00DA359F" w:rsidP="00DA359F">
      <w:pPr>
        <w:pStyle w:val="SangriaFrancesaArticulo"/>
      </w:pPr>
      <w:r w:rsidRPr="00DA359F">
        <w:rPr>
          <w:rStyle w:val="TextoNormalNegritaCaracter"/>
        </w:rPr>
        <w:t>§ 69.</w:t>
      </w:r>
      <w:r w:rsidRPr="00DA359F">
        <w:rPr>
          <w:rStyle w:val="TextoNormalCaracter"/>
        </w:rPr>
        <w:t>-</w:t>
      </w:r>
      <w:r>
        <w:t xml:space="preserve"> Sentencia </w:t>
      </w:r>
      <w:hyperlink w:anchor="SENTENCIA_2023_168" w:history="1">
        <w:r w:rsidRPr="00DA359F">
          <w:rPr>
            <w:rStyle w:val="TextoNormalCaracter"/>
          </w:rPr>
          <w:t>168/2023</w:t>
        </w:r>
      </w:hyperlink>
      <w:r>
        <w:t>, f. 5.</w:t>
      </w:r>
    </w:p>
    <w:p w14:paraId="3F32AF43" w14:textId="167A6FB0" w:rsidR="00DA359F" w:rsidRDefault="00DA359F" w:rsidP="00DA359F">
      <w:pPr>
        <w:pStyle w:val="SangriaFrancesaArticulo"/>
      </w:pPr>
    </w:p>
    <w:p w14:paraId="4BAF585F" w14:textId="77777777" w:rsidR="00DA359F" w:rsidRDefault="00DA359F" w:rsidP="00DA359F">
      <w:pPr>
        <w:pStyle w:val="TextoNormalNegritaCursivandice"/>
        <w:keepNext/>
      </w:pPr>
      <w:r>
        <w:t>Sentencia del Tribunal Europeo de Derechos Humanos de 21 de febrero de 1986 (James y otros c. Reino Unido)</w:t>
      </w:r>
    </w:p>
    <w:p w14:paraId="4755A047" w14:textId="00CA189B" w:rsidR="00DA359F" w:rsidRDefault="00DA359F" w:rsidP="00DA359F">
      <w:pPr>
        <w:pStyle w:val="SangriaFrancesaArticulo"/>
      </w:pPr>
      <w:r w:rsidRPr="00DA359F">
        <w:rPr>
          <w:rStyle w:val="TextoNormalNegritaCaracter"/>
        </w:rPr>
        <w:t>§ 46.</w:t>
      </w:r>
      <w:r w:rsidRPr="00DA359F">
        <w:rPr>
          <w:rStyle w:val="TextoNormalCaracter"/>
        </w:rPr>
        <w:t>-</w:t>
      </w:r>
      <w:r>
        <w:t xml:space="preserve"> Sentencia </w:t>
      </w:r>
      <w:hyperlink w:anchor="SENTENCIA_2023_168" w:history="1">
        <w:r w:rsidRPr="00DA359F">
          <w:rPr>
            <w:rStyle w:val="TextoNormalCaracter"/>
          </w:rPr>
          <w:t>168/2023</w:t>
        </w:r>
      </w:hyperlink>
      <w:r>
        <w:t>, f. 4.</w:t>
      </w:r>
    </w:p>
    <w:p w14:paraId="42E8B468" w14:textId="4E7742BA" w:rsidR="00DA359F" w:rsidRDefault="00DA359F" w:rsidP="00DA359F">
      <w:pPr>
        <w:pStyle w:val="SangriaFrancesaArticulo"/>
      </w:pPr>
      <w:r w:rsidRPr="00DA359F">
        <w:rPr>
          <w:rStyle w:val="TextoNormalNegritaCaracter"/>
        </w:rPr>
        <w:t>§ 50.</w:t>
      </w:r>
      <w:r w:rsidRPr="00DA359F">
        <w:rPr>
          <w:rStyle w:val="TextoNormalCaracter"/>
        </w:rPr>
        <w:t>-</w:t>
      </w:r>
      <w:r>
        <w:t xml:space="preserve"> Sentencia </w:t>
      </w:r>
      <w:hyperlink w:anchor="SENTENCIA_2023_168" w:history="1">
        <w:r w:rsidRPr="00DA359F">
          <w:rPr>
            <w:rStyle w:val="TextoNormalCaracter"/>
          </w:rPr>
          <w:t>168/2023</w:t>
        </w:r>
      </w:hyperlink>
      <w:r>
        <w:t>, f. 4.</w:t>
      </w:r>
    </w:p>
    <w:p w14:paraId="0571F137" w14:textId="7F3F8545" w:rsidR="00DA359F" w:rsidRDefault="00DA359F" w:rsidP="00DA359F">
      <w:pPr>
        <w:pStyle w:val="SangriaFrancesaArticulo"/>
      </w:pPr>
    </w:p>
    <w:p w14:paraId="5E3B7D70" w14:textId="77777777" w:rsidR="00DA359F" w:rsidRDefault="00DA359F" w:rsidP="00DA359F">
      <w:pPr>
        <w:pStyle w:val="TextoNormalNegritaCursivandice"/>
        <w:keepNext/>
      </w:pPr>
      <w:r>
        <w:t>Decisión de inadmisión de la Comisión Europea de Derechos Humanos 11684/85, de 5 de octubre de 1988 (Jean-Jacques AMY c. Bélgica)</w:t>
      </w:r>
    </w:p>
    <w:p w14:paraId="3DB40331" w14:textId="0CA826FD"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78" w:history="1">
        <w:r w:rsidRPr="00DA359F">
          <w:rPr>
            <w:rStyle w:val="TextoNormalCaracter"/>
          </w:rPr>
          <w:t>78/2023</w:t>
        </w:r>
      </w:hyperlink>
      <w:r>
        <w:t>, VP II.</w:t>
      </w:r>
    </w:p>
    <w:p w14:paraId="09CEBF1A" w14:textId="5B85F926" w:rsidR="00DA359F" w:rsidRDefault="00DA359F" w:rsidP="00DA359F">
      <w:pPr>
        <w:pStyle w:val="SangriaFrancesaArticulo"/>
      </w:pPr>
    </w:p>
    <w:p w14:paraId="03619A44" w14:textId="77777777" w:rsidR="00DA359F" w:rsidRDefault="00DA359F" w:rsidP="00DA359F">
      <w:pPr>
        <w:pStyle w:val="TextoNormalNegritaCursivandice"/>
        <w:keepNext/>
      </w:pPr>
      <w:r>
        <w:t>Sentencia del Tribunal Europeo de Derechos Humanos de 28 de marzo de 1990 (Groppera Radio AG y otros c. Suiza)</w:t>
      </w:r>
    </w:p>
    <w:p w14:paraId="17D2B7D5" w14:textId="2F5DFDC1" w:rsidR="00DA359F" w:rsidRDefault="00DA359F" w:rsidP="00DA359F">
      <w:pPr>
        <w:pStyle w:val="SangriaFrancesaArticulo"/>
      </w:pPr>
      <w:r w:rsidRPr="00DA359F">
        <w:rPr>
          <w:rStyle w:val="TextoNormalNegritaCaracter"/>
        </w:rPr>
        <w:t>§ 60.</w:t>
      </w:r>
      <w:r w:rsidRPr="00DA359F">
        <w:rPr>
          <w:rStyle w:val="TextoNormalCaracter"/>
        </w:rPr>
        <w:t>-</w:t>
      </w:r>
      <w:r>
        <w:t xml:space="preserve"> Sentencia </w:t>
      </w:r>
      <w:hyperlink w:anchor="SENTENCIA_2023_89" w:history="1">
        <w:r w:rsidRPr="00DA359F">
          <w:rPr>
            <w:rStyle w:val="TextoNormalCaracter"/>
          </w:rPr>
          <w:t>89/2023</w:t>
        </w:r>
      </w:hyperlink>
      <w:r>
        <w:t>, f. 3.</w:t>
      </w:r>
    </w:p>
    <w:p w14:paraId="74BCAACA" w14:textId="7C64F87E" w:rsidR="00DA359F" w:rsidRDefault="00DA359F" w:rsidP="00DA359F">
      <w:pPr>
        <w:pStyle w:val="SangriaFrancesaArticulo"/>
      </w:pPr>
      <w:r w:rsidRPr="00DA359F">
        <w:rPr>
          <w:rStyle w:val="TextoNormalNegritaCaracter"/>
        </w:rPr>
        <w:t>§ 61.</w:t>
      </w:r>
      <w:r w:rsidRPr="00DA359F">
        <w:rPr>
          <w:rStyle w:val="TextoNormalCaracter"/>
        </w:rPr>
        <w:t>-</w:t>
      </w:r>
      <w:r>
        <w:t xml:space="preserve"> Sentencia </w:t>
      </w:r>
      <w:hyperlink w:anchor="SENTENCIA_2023_89" w:history="1">
        <w:r w:rsidRPr="00DA359F">
          <w:rPr>
            <w:rStyle w:val="TextoNormalCaracter"/>
          </w:rPr>
          <w:t>89/2023</w:t>
        </w:r>
      </w:hyperlink>
      <w:r>
        <w:t>, f. 3.</w:t>
      </w:r>
    </w:p>
    <w:p w14:paraId="501D3F31" w14:textId="46E9D51A" w:rsidR="00DA359F" w:rsidRDefault="00DA359F" w:rsidP="00DA359F">
      <w:pPr>
        <w:pStyle w:val="SangriaFrancesaArticulo"/>
      </w:pPr>
      <w:r w:rsidRPr="00DA359F">
        <w:rPr>
          <w:rStyle w:val="TextoNormalNegritaCaracter"/>
        </w:rPr>
        <w:t>§ 64.</w:t>
      </w:r>
      <w:r w:rsidRPr="00DA359F">
        <w:rPr>
          <w:rStyle w:val="TextoNormalCaracter"/>
        </w:rPr>
        <w:t>-</w:t>
      </w:r>
      <w:r>
        <w:t xml:space="preserve"> Sentencia </w:t>
      </w:r>
      <w:hyperlink w:anchor="SENTENCIA_2023_89" w:history="1">
        <w:r w:rsidRPr="00DA359F">
          <w:rPr>
            <w:rStyle w:val="TextoNormalCaracter"/>
          </w:rPr>
          <w:t>89/2023</w:t>
        </w:r>
      </w:hyperlink>
      <w:r>
        <w:t>, f. 3.</w:t>
      </w:r>
    </w:p>
    <w:p w14:paraId="6E32CD15" w14:textId="2DF2A128" w:rsidR="00DA359F" w:rsidRDefault="00DA359F" w:rsidP="00DA359F">
      <w:pPr>
        <w:pStyle w:val="SangriaFrancesaArticulo"/>
      </w:pPr>
    </w:p>
    <w:p w14:paraId="1BC86E6D" w14:textId="77777777" w:rsidR="00DA359F" w:rsidRDefault="00DA359F" w:rsidP="00DA359F">
      <w:pPr>
        <w:pStyle w:val="TextoNormalNegritaCursivandice"/>
        <w:keepNext/>
      </w:pPr>
      <w:r>
        <w:t>Sentencia del Tribunal Europeo de Derechos Humanos de 23 de abril de 1992 (Castells c. España)</w:t>
      </w:r>
    </w:p>
    <w:p w14:paraId="7F7D05DD" w14:textId="758F7F91" w:rsidR="00DA359F" w:rsidRDefault="00DA359F" w:rsidP="00DA359F">
      <w:pPr>
        <w:pStyle w:val="SangriaFrancesaArticulo"/>
      </w:pPr>
      <w:r w:rsidRPr="00DA359F">
        <w:rPr>
          <w:rStyle w:val="TextoNormalNegritaCaracter"/>
        </w:rPr>
        <w:t>§ 42.</w:t>
      </w:r>
      <w:r w:rsidRPr="00DA359F">
        <w:rPr>
          <w:rStyle w:val="TextoNormalCaracter"/>
        </w:rPr>
        <w:t>-</w:t>
      </w:r>
      <w:r>
        <w:t xml:space="preserve"> Sentencia </w:t>
      </w:r>
      <w:hyperlink w:anchor="SENTENCIA_2023_83" w:history="1">
        <w:r w:rsidRPr="00DA359F">
          <w:rPr>
            <w:rStyle w:val="TextoNormalCaracter"/>
          </w:rPr>
          <w:t>83/2023</w:t>
        </w:r>
      </w:hyperlink>
      <w:r>
        <w:t>, f. 4.</w:t>
      </w:r>
    </w:p>
    <w:p w14:paraId="22942A66" w14:textId="292B5C34" w:rsidR="00DA359F" w:rsidRDefault="00DA359F" w:rsidP="00DA359F">
      <w:pPr>
        <w:pStyle w:val="SangriaFrancesaArticulo"/>
      </w:pPr>
    </w:p>
    <w:p w14:paraId="4EB605DC" w14:textId="77777777" w:rsidR="00DA359F" w:rsidRDefault="00DA359F" w:rsidP="00DA359F">
      <w:pPr>
        <w:pStyle w:val="TextoNormalNegritaCursivandice"/>
        <w:keepNext/>
      </w:pPr>
      <w:r>
        <w:t>Sentencia del Tribunal Europeo de Derechos Humanos de 8 de julio de 1999 (Ceylan c. Turquía)</w:t>
      </w:r>
    </w:p>
    <w:p w14:paraId="1213CCCE" w14:textId="781510D6"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83" w:history="1">
        <w:r w:rsidRPr="00DA359F">
          <w:rPr>
            <w:rStyle w:val="TextoNormalCaracter"/>
          </w:rPr>
          <w:t>83/2023</w:t>
        </w:r>
      </w:hyperlink>
      <w:r>
        <w:t>, VP I.</w:t>
      </w:r>
    </w:p>
    <w:p w14:paraId="33D708D6" w14:textId="5B7AD394" w:rsidR="00DA359F" w:rsidRDefault="00DA359F" w:rsidP="00DA359F">
      <w:pPr>
        <w:pStyle w:val="SangriaFrancesaArticulo"/>
      </w:pPr>
    </w:p>
    <w:p w14:paraId="7F6DBCA6" w14:textId="77777777" w:rsidR="00DA359F" w:rsidRDefault="00DA359F" w:rsidP="00DA359F">
      <w:pPr>
        <w:pStyle w:val="TextoNormalNegritaCursivandice"/>
        <w:keepNext/>
      </w:pPr>
      <w:r>
        <w:t>Sentencia del Tribunal Europeo de Derechos Humanos de 5 de enero de 2000 (Beyeler c. Italia)</w:t>
      </w:r>
    </w:p>
    <w:p w14:paraId="190F480F" w14:textId="5CD23C03" w:rsidR="00DA359F" w:rsidRDefault="00DA359F" w:rsidP="00DA359F">
      <w:pPr>
        <w:pStyle w:val="SangriaFrancesaArticulo"/>
      </w:pPr>
      <w:r w:rsidRPr="00DA359F">
        <w:rPr>
          <w:rStyle w:val="TextoNormalNegritaCaracter"/>
        </w:rPr>
        <w:t>§ 107.</w:t>
      </w:r>
      <w:r w:rsidRPr="00DA359F">
        <w:rPr>
          <w:rStyle w:val="TextoNormalCaracter"/>
        </w:rPr>
        <w:t>-</w:t>
      </w:r>
      <w:r>
        <w:t xml:space="preserve"> Sentencia </w:t>
      </w:r>
      <w:hyperlink w:anchor="SENTENCIA_2023_168" w:history="1">
        <w:r w:rsidRPr="00DA359F">
          <w:rPr>
            <w:rStyle w:val="TextoNormalCaracter"/>
          </w:rPr>
          <w:t>168/2023</w:t>
        </w:r>
      </w:hyperlink>
      <w:r>
        <w:t>, f. 5.</w:t>
      </w:r>
    </w:p>
    <w:p w14:paraId="6F39D340" w14:textId="3ADD5C1D" w:rsidR="00DA359F" w:rsidRDefault="00DA359F" w:rsidP="00DA359F">
      <w:pPr>
        <w:pStyle w:val="SangriaFrancesaArticulo"/>
      </w:pPr>
      <w:r w:rsidRPr="00DA359F">
        <w:rPr>
          <w:rStyle w:val="TextoNormalNegritaCaracter"/>
        </w:rPr>
        <w:t>§ 114.</w:t>
      </w:r>
      <w:r w:rsidRPr="00DA359F">
        <w:rPr>
          <w:rStyle w:val="TextoNormalCaracter"/>
        </w:rPr>
        <w:t>-</w:t>
      </w:r>
      <w:r>
        <w:t xml:space="preserve"> Sentencia </w:t>
      </w:r>
      <w:hyperlink w:anchor="SENTENCIA_2023_168" w:history="1">
        <w:r w:rsidRPr="00DA359F">
          <w:rPr>
            <w:rStyle w:val="TextoNormalCaracter"/>
          </w:rPr>
          <w:t>168/2023</w:t>
        </w:r>
      </w:hyperlink>
      <w:r>
        <w:t>, f. 5.</w:t>
      </w:r>
    </w:p>
    <w:p w14:paraId="46EEAE80" w14:textId="4DA933EC" w:rsidR="00DA359F" w:rsidRDefault="00DA359F" w:rsidP="00DA359F">
      <w:pPr>
        <w:pStyle w:val="SangriaFrancesaArticulo"/>
      </w:pPr>
    </w:p>
    <w:p w14:paraId="45A9AB04" w14:textId="77777777" w:rsidR="00DA359F" w:rsidRDefault="00DA359F" w:rsidP="00DA359F">
      <w:pPr>
        <w:pStyle w:val="TextoNormalNegritaCursivandice"/>
        <w:keepNext/>
      </w:pPr>
      <w:r>
        <w:t>Sentencia del Tribunal Europeo de Derechos Humanos de 29 de febrero de 2000 (Fuentes Bobo c. España)</w:t>
      </w:r>
    </w:p>
    <w:p w14:paraId="1951325A" w14:textId="7A1B4568"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79" w:history="1">
        <w:r w:rsidRPr="00DA359F">
          <w:rPr>
            <w:rStyle w:val="TextoNormalCaracter"/>
          </w:rPr>
          <w:t>79/2023</w:t>
        </w:r>
      </w:hyperlink>
      <w:r>
        <w:t>, f. 3.</w:t>
      </w:r>
    </w:p>
    <w:p w14:paraId="6A07A856" w14:textId="33ED6C9B" w:rsidR="00DA359F" w:rsidRDefault="00DA359F" w:rsidP="00DA359F">
      <w:pPr>
        <w:pStyle w:val="SangriaFrancesaArticulo"/>
      </w:pPr>
      <w:r w:rsidRPr="00DA359F">
        <w:rPr>
          <w:rStyle w:val="TextoNormalNegritaCaracter"/>
        </w:rPr>
        <w:t>§ 43.</w:t>
      </w:r>
      <w:r w:rsidRPr="00DA359F">
        <w:rPr>
          <w:rStyle w:val="TextoNormalCaracter"/>
        </w:rPr>
        <w:t>-</w:t>
      </w:r>
      <w:r>
        <w:t xml:space="preserve"> Sentencia </w:t>
      </w:r>
      <w:hyperlink w:anchor="SENTENCIA_2023_83" w:history="1">
        <w:r w:rsidRPr="00DA359F">
          <w:rPr>
            <w:rStyle w:val="TextoNormalCaracter"/>
          </w:rPr>
          <w:t>83/2023</w:t>
        </w:r>
      </w:hyperlink>
      <w:r>
        <w:t>, f. 4.</w:t>
      </w:r>
    </w:p>
    <w:p w14:paraId="2F8B5D9B" w14:textId="1092C7CC" w:rsidR="00DA359F" w:rsidRDefault="00DA359F" w:rsidP="00DA359F">
      <w:pPr>
        <w:pStyle w:val="SangriaFrancesaArticulo"/>
      </w:pPr>
    </w:p>
    <w:p w14:paraId="18F47B78" w14:textId="77777777" w:rsidR="00DA359F" w:rsidRDefault="00DA359F" w:rsidP="00DA359F">
      <w:pPr>
        <w:pStyle w:val="TextoNormalNegritaCursivandice"/>
        <w:keepNext/>
      </w:pPr>
      <w:r>
        <w:t>Sentencia del Tribunal Europeo de Derechos Humanos de 28 de marzo de 2000 (Baranowski c. Polonia)</w:t>
      </w:r>
    </w:p>
    <w:p w14:paraId="6A60F643" w14:textId="7CE1CCC7" w:rsidR="00DA359F" w:rsidRDefault="00DA359F" w:rsidP="00DA359F">
      <w:pPr>
        <w:pStyle w:val="SangriaFrancesaArticulo"/>
      </w:pPr>
      <w:r w:rsidRPr="00DA359F">
        <w:rPr>
          <w:rStyle w:val="TextoNormalNegritaCaracter"/>
        </w:rPr>
        <w:t>§ 50 a 58.</w:t>
      </w:r>
      <w:r w:rsidRPr="00DA359F">
        <w:rPr>
          <w:rStyle w:val="TextoNormalCaracter"/>
        </w:rPr>
        <w:t>-</w:t>
      </w:r>
      <w:r>
        <w:t xml:space="preserve"> Sentencia </w:t>
      </w:r>
      <w:hyperlink w:anchor="SENTENCIA_2023_136" w:history="1">
        <w:r w:rsidRPr="00DA359F">
          <w:rPr>
            <w:rStyle w:val="TextoNormalCaracter"/>
          </w:rPr>
          <w:t>136/2023</w:t>
        </w:r>
      </w:hyperlink>
      <w:r>
        <w:t>, f. 5.</w:t>
      </w:r>
    </w:p>
    <w:p w14:paraId="61D848D8" w14:textId="416F6ACC" w:rsidR="00DA359F" w:rsidRDefault="00DA359F" w:rsidP="00DA359F">
      <w:pPr>
        <w:pStyle w:val="SangriaFrancesaArticulo"/>
      </w:pPr>
    </w:p>
    <w:p w14:paraId="2CC7DFFC" w14:textId="77777777" w:rsidR="00DA359F" w:rsidRDefault="00DA359F" w:rsidP="00DA359F">
      <w:pPr>
        <w:pStyle w:val="TextoNormalNegritaCursivandice"/>
        <w:keepNext/>
      </w:pPr>
      <w:r>
        <w:t>Sentencia del Tribunal Europeo de Derechos Humanos de 28 de septiembre de 2000 (Lopes Gomes da Silva c. Portugal)</w:t>
      </w:r>
    </w:p>
    <w:p w14:paraId="4E6B5048" w14:textId="2230E5B3" w:rsidR="00DA359F" w:rsidRDefault="00DA359F" w:rsidP="00DA359F">
      <w:pPr>
        <w:pStyle w:val="SangriaFrancesaArticulo"/>
      </w:pPr>
      <w:r w:rsidRPr="00DA359F">
        <w:rPr>
          <w:rStyle w:val="TextoNormalNegritaCaracter"/>
        </w:rPr>
        <w:t>§ 30.</w:t>
      </w:r>
      <w:r w:rsidRPr="00DA359F">
        <w:rPr>
          <w:rStyle w:val="TextoNormalCaracter"/>
        </w:rPr>
        <w:t>-</w:t>
      </w:r>
      <w:r>
        <w:t xml:space="preserve"> Sentencia </w:t>
      </w:r>
      <w:hyperlink w:anchor="SENTENCIA_2023_83" w:history="1">
        <w:r w:rsidRPr="00DA359F">
          <w:rPr>
            <w:rStyle w:val="TextoNormalCaracter"/>
          </w:rPr>
          <w:t>83/2023</w:t>
        </w:r>
      </w:hyperlink>
      <w:r>
        <w:t>, f. 4.</w:t>
      </w:r>
    </w:p>
    <w:p w14:paraId="52180008" w14:textId="10406901" w:rsidR="00DA359F" w:rsidRDefault="00DA359F" w:rsidP="00DA359F">
      <w:pPr>
        <w:pStyle w:val="SangriaFrancesaArticulo"/>
      </w:pPr>
      <w:r w:rsidRPr="00DA359F">
        <w:rPr>
          <w:rStyle w:val="TextoNormalNegritaCaracter"/>
        </w:rPr>
        <w:t>§ 34.</w:t>
      </w:r>
      <w:r w:rsidRPr="00DA359F">
        <w:rPr>
          <w:rStyle w:val="TextoNormalCaracter"/>
        </w:rPr>
        <w:t>-</w:t>
      </w:r>
      <w:r>
        <w:t xml:space="preserve"> Sentencia </w:t>
      </w:r>
      <w:hyperlink w:anchor="SENTENCIA_2023_83" w:history="1">
        <w:r w:rsidRPr="00DA359F">
          <w:rPr>
            <w:rStyle w:val="TextoNormalCaracter"/>
          </w:rPr>
          <w:t>83/2023</w:t>
        </w:r>
      </w:hyperlink>
      <w:r>
        <w:t>, f. 4.</w:t>
      </w:r>
    </w:p>
    <w:p w14:paraId="241972EC" w14:textId="7F5A9BCD" w:rsidR="00DA359F" w:rsidRDefault="00DA359F" w:rsidP="00DA359F">
      <w:pPr>
        <w:pStyle w:val="SangriaFrancesaArticulo"/>
      </w:pPr>
    </w:p>
    <w:p w14:paraId="6E038EFF" w14:textId="77777777" w:rsidR="00DA359F" w:rsidRDefault="00DA359F" w:rsidP="00DA359F">
      <w:pPr>
        <w:pStyle w:val="TextoNormalNegritaCursivandice"/>
        <w:keepNext/>
      </w:pPr>
      <w:r>
        <w:t>Sentencia del Tribunal Europeo de Derechos Humanos de 23 de noviembre de 2000 (ex Rey de Grecia y otros c. Grecia)</w:t>
      </w:r>
    </w:p>
    <w:p w14:paraId="5F54873F" w14:textId="49F77FC2" w:rsidR="00DA359F" w:rsidRDefault="00DA359F" w:rsidP="00DA359F">
      <w:pPr>
        <w:pStyle w:val="SangriaFrancesaArticulo"/>
      </w:pPr>
      <w:r w:rsidRPr="00DA359F">
        <w:rPr>
          <w:rStyle w:val="TextoNormalNegritaCaracter"/>
        </w:rPr>
        <w:t>§ 87.</w:t>
      </w:r>
      <w:r w:rsidRPr="00DA359F">
        <w:rPr>
          <w:rStyle w:val="TextoNormalCaracter"/>
        </w:rPr>
        <w:t>-</w:t>
      </w:r>
      <w:r>
        <w:t xml:space="preserve"> Sentencia </w:t>
      </w:r>
      <w:hyperlink w:anchor="SENTENCIA_2023_168" w:history="1">
        <w:r w:rsidRPr="00DA359F">
          <w:rPr>
            <w:rStyle w:val="TextoNormalCaracter"/>
          </w:rPr>
          <w:t>168/2023</w:t>
        </w:r>
      </w:hyperlink>
      <w:r>
        <w:t>, f. 4.</w:t>
      </w:r>
    </w:p>
    <w:p w14:paraId="099D0395" w14:textId="679F24D2" w:rsidR="00DA359F" w:rsidRDefault="00DA359F" w:rsidP="00DA359F">
      <w:pPr>
        <w:pStyle w:val="SangriaFrancesaArticulo"/>
      </w:pPr>
    </w:p>
    <w:p w14:paraId="24E37BDF" w14:textId="77777777" w:rsidR="00DA359F" w:rsidRDefault="00DA359F" w:rsidP="00DA359F">
      <w:pPr>
        <w:pStyle w:val="TextoNormalNegritaCursivandice"/>
        <w:keepNext/>
      </w:pPr>
      <w:r>
        <w:t>Sentencia del Tribunal Europeo de Derechos Humanos de 25 de septiembre de 2001 (P.G. y J.H. c. Reino Unido)</w:t>
      </w:r>
    </w:p>
    <w:p w14:paraId="0865CFA7" w14:textId="45E33C3F" w:rsidR="00DA359F" w:rsidRDefault="00DA359F" w:rsidP="00DA359F">
      <w:pPr>
        <w:pStyle w:val="SangriaFrancesaArticulo"/>
      </w:pPr>
      <w:r w:rsidRPr="00DA359F">
        <w:rPr>
          <w:rStyle w:val="TextoNormalNegritaCaracter"/>
        </w:rPr>
        <w:t>§ 57.</w:t>
      </w:r>
      <w:r w:rsidRPr="00DA359F">
        <w:rPr>
          <w:rStyle w:val="TextoNormalCaracter"/>
        </w:rPr>
        <w:t>-</w:t>
      </w:r>
      <w:r>
        <w:t xml:space="preserve"> Sentencia </w:t>
      </w:r>
      <w:hyperlink w:anchor="SENTENCIA_2023_92" w:history="1">
        <w:r w:rsidRPr="00DA359F">
          <w:rPr>
            <w:rStyle w:val="TextoNormalCaracter"/>
          </w:rPr>
          <w:t>92/2023</w:t>
        </w:r>
      </w:hyperlink>
      <w:r>
        <w:t>, f. 6, VP.</w:t>
      </w:r>
    </w:p>
    <w:p w14:paraId="05A72D92" w14:textId="798BEF3C" w:rsidR="00DA359F" w:rsidRDefault="00DA359F" w:rsidP="00DA359F">
      <w:pPr>
        <w:pStyle w:val="SangriaFrancesaArticulo"/>
      </w:pPr>
    </w:p>
    <w:p w14:paraId="67DAC011" w14:textId="77777777" w:rsidR="00DA359F" w:rsidRDefault="00DA359F" w:rsidP="00DA359F">
      <w:pPr>
        <w:pStyle w:val="TextoNormalNegritaCursivandice"/>
        <w:keepNext/>
      </w:pPr>
      <w:r>
        <w:t>Sentencia del Tribunal Europeo de Derechos Humanos de 9 de abril de 2002 (Cisse c. Francia)</w:t>
      </w:r>
    </w:p>
    <w:p w14:paraId="1A2BE36F" w14:textId="4361103D"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Sentencias </w:t>
      </w:r>
      <w:hyperlink w:anchor="SENTENCIA_2023_84" w:history="1">
        <w:r w:rsidRPr="00DA359F">
          <w:rPr>
            <w:rStyle w:val="TextoNormalCaracter"/>
          </w:rPr>
          <w:t>84/2023</w:t>
        </w:r>
      </w:hyperlink>
      <w:r>
        <w:t xml:space="preserve">, f. 4; </w:t>
      </w:r>
      <w:hyperlink w:anchor="SENTENCIA_2023_164" w:history="1">
        <w:r w:rsidRPr="00DA359F">
          <w:rPr>
            <w:rStyle w:val="TextoNormalCaracter"/>
          </w:rPr>
          <w:t>164/2023</w:t>
        </w:r>
      </w:hyperlink>
      <w:r>
        <w:t>, VP II.</w:t>
      </w:r>
    </w:p>
    <w:p w14:paraId="5C972FCB" w14:textId="069BE80E" w:rsidR="00DA359F" w:rsidRDefault="00DA359F" w:rsidP="00DA359F">
      <w:pPr>
        <w:pStyle w:val="SangriaFrancesaArticulo"/>
      </w:pPr>
      <w:r w:rsidRPr="00DA359F">
        <w:rPr>
          <w:rStyle w:val="TextoNormalNegritaCaracter"/>
        </w:rPr>
        <w:t>§ 5.</w:t>
      </w:r>
      <w:r w:rsidRPr="00DA359F">
        <w:rPr>
          <w:rStyle w:val="TextoNormalCaracter"/>
        </w:rPr>
        <w:t>-</w:t>
      </w:r>
      <w:r>
        <w:t xml:space="preserve"> Sentencias </w:t>
      </w:r>
      <w:hyperlink w:anchor="SENTENCIA_2023_84" w:history="1">
        <w:r w:rsidRPr="00DA359F">
          <w:rPr>
            <w:rStyle w:val="TextoNormalCaracter"/>
          </w:rPr>
          <w:t>84/2023</w:t>
        </w:r>
      </w:hyperlink>
      <w:r>
        <w:t xml:space="preserve">, VP; </w:t>
      </w:r>
      <w:hyperlink w:anchor="SENTENCIA_2023_88" w:history="1">
        <w:r w:rsidRPr="00DA359F">
          <w:rPr>
            <w:rStyle w:val="TextoNormalCaracter"/>
          </w:rPr>
          <w:t>88/2023</w:t>
        </w:r>
      </w:hyperlink>
      <w:r>
        <w:t>, f. 4.</w:t>
      </w:r>
    </w:p>
    <w:p w14:paraId="626B2A7D" w14:textId="1EA72BCD" w:rsidR="00DA359F" w:rsidRDefault="00DA359F" w:rsidP="00DA359F">
      <w:pPr>
        <w:pStyle w:val="SangriaFrancesaArticulo"/>
      </w:pPr>
      <w:r w:rsidRPr="00DA359F">
        <w:rPr>
          <w:rStyle w:val="TextoNormalNegritaCaracter"/>
        </w:rPr>
        <w:t>§ 51.</w:t>
      </w:r>
      <w:r w:rsidRPr="00DA359F">
        <w:rPr>
          <w:rStyle w:val="TextoNormalCaracter"/>
        </w:rPr>
        <w:t>-</w:t>
      </w:r>
      <w:r>
        <w:t xml:space="preserve"> Sentencias </w:t>
      </w:r>
      <w:hyperlink w:anchor="SENTENCIA_2023_84" w:history="1">
        <w:r w:rsidRPr="00DA359F">
          <w:rPr>
            <w:rStyle w:val="TextoNormalCaracter"/>
          </w:rPr>
          <w:t>84/2023</w:t>
        </w:r>
      </w:hyperlink>
      <w:r>
        <w:t xml:space="preserve">, f. 3; </w:t>
      </w:r>
      <w:hyperlink w:anchor="SENTENCIA_2023_164" w:history="1">
        <w:r w:rsidRPr="00DA359F">
          <w:rPr>
            <w:rStyle w:val="TextoNormalCaracter"/>
          </w:rPr>
          <w:t>164/2023</w:t>
        </w:r>
      </w:hyperlink>
      <w:r>
        <w:t>, f. 2.</w:t>
      </w:r>
    </w:p>
    <w:p w14:paraId="03287940" w14:textId="42C032D7" w:rsidR="00DA359F" w:rsidRDefault="00DA359F" w:rsidP="00DA359F">
      <w:pPr>
        <w:pStyle w:val="SangriaFrancesaArticulo"/>
      </w:pPr>
    </w:p>
    <w:p w14:paraId="7958418B" w14:textId="77777777" w:rsidR="00DA359F" w:rsidRDefault="00DA359F" w:rsidP="00DA359F">
      <w:pPr>
        <w:pStyle w:val="TextoNormalNegritaCursivandice"/>
        <w:keepNext/>
      </w:pPr>
      <w:r>
        <w:t>Sentencia del Tribunal Europeo de Derechos Humanos de 28 de mayo de 2002 (Stafford c. Reino Unido)</w:t>
      </w:r>
    </w:p>
    <w:p w14:paraId="1EB00F05" w14:textId="5C2C9F07" w:rsidR="00DA359F" w:rsidRDefault="00DA359F" w:rsidP="00DA359F">
      <w:pPr>
        <w:pStyle w:val="SangriaFrancesaArticulo"/>
      </w:pPr>
      <w:r w:rsidRPr="00DA359F">
        <w:rPr>
          <w:rStyle w:val="TextoNormalNegritaCaracter"/>
        </w:rPr>
        <w:t>§ 63.</w:t>
      </w:r>
      <w:r w:rsidRPr="00DA359F">
        <w:rPr>
          <w:rStyle w:val="TextoNormalCaracter"/>
        </w:rPr>
        <w:t>-</w:t>
      </w:r>
      <w:r>
        <w:t xml:space="preserve"> Sentencia </w:t>
      </w:r>
      <w:hyperlink w:anchor="SENTENCIA_2023_128" w:history="1">
        <w:r w:rsidRPr="00DA359F">
          <w:rPr>
            <w:rStyle w:val="TextoNormalCaracter"/>
          </w:rPr>
          <w:t>128/2023</w:t>
        </w:r>
      </w:hyperlink>
      <w:r>
        <w:t>, VP.</w:t>
      </w:r>
    </w:p>
    <w:p w14:paraId="65439F09" w14:textId="6E39138E" w:rsidR="00DA359F" w:rsidRDefault="00DA359F" w:rsidP="00DA359F">
      <w:pPr>
        <w:pStyle w:val="SangriaFrancesaArticulo"/>
      </w:pPr>
    </w:p>
    <w:p w14:paraId="751B46BE" w14:textId="77777777" w:rsidR="00DA359F" w:rsidRDefault="00DA359F" w:rsidP="00DA359F">
      <w:pPr>
        <w:pStyle w:val="TextoNormalNegritaCursivandice"/>
        <w:keepNext/>
      </w:pPr>
      <w:r>
        <w:t>Sentencia del Tribunal Europeo de Derechos Humanos de 28 de enero de 2003 (Peck c. Reino Unido)</w:t>
      </w:r>
    </w:p>
    <w:p w14:paraId="3A38A0D3" w14:textId="7B692DE6" w:rsidR="00DA359F" w:rsidRDefault="00DA359F" w:rsidP="00DA359F">
      <w:pPr>
        <w:pStyle w:val="SangriaFrancesaArticulo"/>
      </w:pPr>
      <w:r w:rsidRPr="00DA359F">
        <w:rPr>
          <w:rStyle w:val="TextoNormalNegritaCaracter"/>
        </w:rPr>
        <w:t>§ 58.</w:t>
      </w:r>
      <w:r w:rsidRPr="00DA359F">
        <w:rPr>
          <w:rStyle w:val="TextoNormalCaracter"/>
        </w:rPr>
        <w:t>-</w:t>
      </w:r>
      <w:r>
        <w:t xml:space="preserve"> Sentencia </w:t>
      </w:r>
      <w:hyperlink w:anchor="SENTENCIA_2023_92" w:history="1">
        <w:r w:rsidRPr="00DA359F">
          <w:rPr>
            <w:rStyle w:val="TextoNormalCaracter"/>
          </w:rPr>
          <w:t>92/2023</w:t>
        </w:r>
      </w:hyperlink>
      <w:r>
        <w:t>, f. 6, VP.</w:t>
      </w:r>
    </w:p>
    <w:p w14:paraId="6CB675F6" w14:textId="2ED8476B" w:rsidR="00DA359F" w:rsidRDefault="00DA359F" w:rsidP="00DA359F">
      <w:pPr>
        <w:pStyle w:val="SangriaFrancesaArticulo"/>
      </w:pPr>
    </w:p>
    <w:p w14:paraId="48D54274" w14:textId="77777777" w:rsidR="00DA359F" w:rsidRDefault="00DA359F" w:rsidP="00DA359F">
      <w:pPr>
        <w:pStyle w:val="TextoNormalNegritaCursivandice"/>
        <w:keepNext/>
      </w:pPr>
      <w:r>
        <w:t>Sentencia del Tribunal Europeo de Derechos Humanos de 6 de mayo de 2003 (Kleyn y otros c. Países Bajos)</w:t>
      </w:r>
    </w:p>
    <w:p w14:paraId="604AE3F4" w14:textId="309A9C59" w:rsidR="00DA359F" w:rsidRDefault="00DA359F" w:rsidP="00DA359F">
      <w:pPr>
        <w:pStyle w:val="SangriaFrancesaArticulo"/>
      </w:pPr>
      <w:r w:rsidRPr="00DA359F">
        <w:rPr>
          <w:rStyle w:val="TextoNormalNegritaCaracter"/>
        </w:rPr>
        <w:t>§ 191.</w:t>
      </w:r>
      <w:r w:rsidRPr="00DA359F">
        <w:rPr>
          <w:rStyle w:val="TextoNormalCaracter"/>
        </w:rPr>
        <w:t>-</w:t>
      </w:r>
      <w:r>
        <w:t xml:space="preserve"> Sentencia </w:t>
      </w:r>
      <w:hyperlink w:anchor="SENTENCIA_2023_128" w:history="1">
        <w:r w:rsidRPr="00DA359F">
          <w:rPr>
            <w:rStyle w:val="TextoNormalCaracter"/>
          </w:rPr>
          <w:t>128/2023</w:t>
        </w:r>
      </w:hyperlink>
      <w:r>
        <w:t>, VP.</w:t>
      </w:r>
    </w:p>
    <w:p w14:paraId="52204416" w14:textId="3AE0E200" w:rsidR="00DA359F" w:rsidRDefault="00DA359F" w:rsidP="00DA359F">
      <w:pPr>
        <w:pStyle w:val="SangriaFrancesaArticulo"/>
      </w:pPr>
    </w:p>
    <w:p w14:paraId="1EA934B1" w14:textId="77777777" w:rsidR="00DA359F" w:rsidRDefault="00DA359F" w:rsidP="00DA359F">
      <w:pPr>
        <w:pStyle w:val="TextoNormalNegritaCursivandice"/>
        <w:keepNext/>
      </w:pPr>
      <w:r>
        <w:t>Sentencia del Tribunal Europeo de Derechos Humanos de 27 de mayo de 2003 (Skalka c. Polonia)</w:t>
      </w:r>
    </w:p>
    <w:p w14:paraId="31188A21" w14:textId="0C2BE46C" w:rsidR="00DA359F" w:rsidRDefault="00DA359F" w:rsidP="00DA359F">
      <w:pPr>
        <w:pStyle w:val="SangriaFrancesaArticulo"/>
      </w:pPr>
      <w:r w:rsidRPr="00DA359F">
        <w:rPr>
          <w:rStyle w:val="TextoNormalNegritaCaracter"/>
        </w:rPr>
        <w:t>§ 34.</w:t>
      </w:r>
      <w:r w:rsidRPr="00DA359F">
        <w:rPr>
          <w:rStyle w:val="TextoNormalCaracter"/>
        </w:rPr>
        <w:t>-</w:t>
      </w:r>
      <w:r>
        <w:t xml:space="preserve"> Sentencia </w:t>
      </w:r>
      <w:hyperlink w:anchor="SENTENCIA_2023_83" w:history="1">
        <w:r w:rsidRPr="00DA359F">
          <w:rPr>
            <w:rStyle w:val="TextoNormalCaracter"/>
          </w:rPr>
          <w:t>83/2023</w:t>
        </w:r>
      </w:hyperlink>
      <w:r>
        <w:t>, f. 4.</w:t>
      </w:r>
    </w:p>
    <w:p w14:paraId="161841B7" w14:textId="3B9DD59C" w:rsidR="00DA359F" w:rsidRDefault="00DA359F" w:rsidP="00DA359F">
      <w:pPr>
        <w:pStyle w:val="SangriaFrancesaArticulo"/>
      </w:pPr>
    </w:p>
    <w:p w14:paraId="418E1436" w14:textId="77777777" w:rsidR="00DA359F" w:rsidRDefault="00DA359F" w:rsidP="00DA359F">
      <w:pPr>
        <w:pStyle w:val="TextoNormalNegritaCursivandice"/>
        <w:keepNext/>
      </w:pPr>
      <w:r>
        <w:t>Sentencia del Tribunal Europeo de Derechos Humanos de 10 de julio de 2003 (Murphy c. Irlanda)</w:t>
      </w:r>
    </w:p>
    <w:p w14:paraId="74A396E1" w14:textId="4659E748"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83" w:history="1">
        <w:r w:rsidRPr="00DA359F">
          <w:rPr>
            <w:rStyle w:val="TextoNormalCaracter"/>
          </w:rPr>
          <w:t>83/2023</w:t>
        </w:r>
      </w:hyperlink>
      <w:r>
        <w:t>, VP I.</w:t>
      </w:r>
    </w:p>
    <w:p w14:paraId="390072B5" w14:textId="5AA873D6" w:rsidR="00DA359F" w:rsidRDefault="00DA359F" w:rsidP="00DA359F">
      <w:pPr>
        <w:pStyle w:val="SangriaFrancesaArticulo"/>
      </w:pPr>
      <w:r w:rsidRPr="00DA359F">
        <w:rPr>
          <w:rStyle w:val="TextoNormalNegritaCaracter"/>
        </w:rPr>
        <w:t>§ 67.</w:t>
      </w:r>
      <w:r w:rsidRPr="00DA359F">
        <w:rPr>
          <w:rStyle w:val="TextoNormalCaracter"/>
        </w:rPr>
        <w:t>-</w:t>
      </w:r>
      <w:r>
        <w:t xml:space="preserve"> Sentencia </w:t>
      </w:r>
      <w:hyperlink w:anchor="SENTENCIA_2023_83" w:history="1">
        <w:r w:rsidRPr="00DA359F">
          <w:rPr>
            <w:rStyle w:val="TextoNormalCaracter"/>
          </w:rPr>
          <w:t>83/2023</w:t>
        </w:r>
      </w:hyperlink>
      <w:r>
        <w:t>, VP I.</w:t>
      </w:r>
    </w:p>
    <w:p w14:paraId="682E348D" w14:textId="4FA2F0E5" w:rsidR="00DA359F" w:rsidRDefault="00DA359F" w:rsidP="00DA359F">
      <w:pPr>
        <w:pStyle w:val="SangriaFrancesaArticulo"/>
      </w:pPr>
    </w:p>
    <w:p w14:paraId="66758E7F" w14:textId="77777777" w:rsidR="00DA359F" w:rsidRDefault="00DA359F" w:rsidP="00DA359F">
      <w:pPr>
        <w:pStyle w:val="TextoNormalNegritaCursivandice"/>
        <w:keepNext/>
      </w:pPr>
      <w:r>
        <w:t>Sentencia del Tribunal Europeo de Derechos Humanos de 22 de junio de 2004 (Broniowski c. Polonia)</w:t>
      </w:r>
    </w:p>
    <w:p w14:paraId="4EC3A7A6" w14:textId="395A55D5" w:rsidR="00DA359F" w:rsidRDefault="00DA359F" w:rsidP="00DA359F">
      <w:pPr>
        <w:pStyle w:val="SangriaFrancesaArticulo"/>
      </w:pPr>
      <w:r w:rsidRPr="00DA359F">
        <w:rPr>
          <w:rStyle w:val="TextoNormalNegritaCaracter"/>
        </w:rPr>
        <w:t>§ 149.</w:t>
      </w:r>
      <w:r w:rsidRPr="00DA359F">
        <w:rPr>
          <w:rStyle w:val="TextoNormalCaracter"/>
        </w:rPr>
        <w:t>-</w:t>
      </w:r>
      <w:r>
        <w:t xml:space="preserve"> Sentencia </w:t>
      </w:r>
      <w:hyperlink w:anchor="SENTENCIA_2023_168" w:history="1">
        <w:r w:rsidRPr="00DA359F">
          <w:rPr>
            <w:rStyle w:val="TextoNormalCaracter"/>
          </w:rPr>
          <w:t>168/2023</w:t>
        </w:r>
      </w:hyperlink>
      <w:r>
        <w:t>, f. 4.</w:t>
      </w:r>
    </w:p>
    <w:p w14:paraId="64DB839A" w14:textId="5454A826" w:rsidR="00DA359F" w:rsidRDefault="00DA359F" w:rsidP="00DA359F">
      <w:pPr>
        <w:pStyle w:val="SangriaFrancesaArticulo"/>
      </w:pPr>
    </w:p>
    <w:p w14:paraId="15C80E1A" w14:textId="77777777" w:rsidR="00DA359F" w:rsidRDefault="00DA359F" w:rsidP="00DA359F">
      <w:pPr>
        <w:pStyle w:val="TextoNormalNegritaCursivandice"/>
        <w:keepNext/>
      </w:pPr>
      <w:r>
        <w:t>Sentencia del Tribunal Europeo de Derechos Humanos de 8 de julio de 2004 (VO c. Francia)</w:t>
      </w:r>
    </w:p>
    <w:p w14:paraId="3F1621D3" w14:textId="091E3A82"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78" w:history="1">
        <w:r w:rsidRPr="00DA359F">
          <w:rPr>
            <w:rStyle w:val="TextoNormalCaracter"/>
          </w:rPr>
          <w:t>78/2023</w:t>
        </w:r>
      </w:hyperlink>
      <w:r>
        <w:t>, VP II.</w:t>
      </w:r>
    </w:p>
    <w:p w14:paraId="287D7F63" w14:textId="718CBC06" w:rsidR="00DA359F" w:rsidRDefault="00DA359F" w:rsidP="00DA359F">
      <w:pPr>
        <w:pStyle w:val="SangriaFrancesaArticulo"/>
      </w:pPr>
    </w:p>
    <w:p w14:paraId="684125BE" w14:textId="77777777" w:rsidR="00DA359F" w:rsidRDefault="00DA359F" w:rsidP="00DA359F">
      <w:pPr>
        <w:pStyle w:val="TextoNormalNegritaCursivandice"/>
        <w:keepNext/>
      </w:pPr>
      <w:r>
        <w:t>Sentencia del Tribunal Europeo de Derechos Humanos de 2 de noviembre de 2004 (Martínez Sala y otros c. España)</w:t>
      </w:r>
    </w:p>
    <w:p w14:paraId="5B5D8F4E" w14:textId="5D224A56" w:rsidR="00DA359F" w:rsidRDefault="00DA359F" w:rsidP="00DA359F">
      <w:pPr>
        <w:pStyle w:val="SangriaFrancesaArticulo"/>
      </w:pPr>
      <w:r w:rsidRPr="00DA359F">
        <w:rPr>
          <w:rStyle w:val="TextoNormalNegritaCaracter"/>
        </w:rPr>
        <w:t>En general.</w:t>
      </w:r>
      <w:r w:rsidRPr="00DA359F">
        <w:rPr>
          <w:rStyle w:val="TextoNormalCaracter"/>
        </w:rPr>
        <w:t>-</w:t>
      </w:r>
      <w:r>
        <w:t xml:space="preserve"> Auto </w:t>
      </w:r>
      <w:hyperlink w:anchor="AUTO_2023_338" w:history="1">
        <w:r w:rsidRPr="00DA359F">
          <w:rPr>
            <w:rStyle w:val="TextoNormalCaracter"/>
          </w:rPr>
          <w:t>338/2023</w:t>
        </w:r>
      </w:hyperlink>
      <w:r>
        <w:t>, VP.</w:t>
      </w:r>
    </w:p>
    <w:p w14:paraId="2DD5F8CA" w14:textId="04B6295D" w:rsidR="00DA359F" w:rsidRDefault="00DA359F" w:rsidP="00DA359F">
      <w:pPr>
        <w:pStyle w:val="SangriaFrancesaArticulo"/>
      </w:pPr>
    </w:p>
    <w:p w14:paraId="6932BD6F" w14:textId="77777777" w:rsidR="00DA359F" w:rsidRDefault="00DA359F" w:rsidP="00DA359F">
      <w:pPr>
        <w:pStyle w:val="TextoNormalNegritaCursivandice"/>
        <w:keepNext/>
      </w:pPr>
      <w:r>
        <w:t>Sentencia del Tribunal Europeo de Derechos Humanos de 22 de junio de 2006 (Díaz Ochoa c. España)</w:t>
      </w:r>
    </w:p>
    <w:p w14:paraId="1299A43A" w14:textId="464F5C79" w:rsidR="00DA359F" w:rsidRDefault="00DA359F" w:rsidP="00DA359F">
      <w:pPr>
        <w:pStyle w:val="SangriaFrancesaArticulo"/>
      </w:pPr>
      <w:r w:rsidRPr="00DA359F">
        <w:rPr>
          <w:rStyle w:val="TextoNormalNegritaCaracter"/>
        </w:rPr>
        <w:t>§ 49.</w:t>
      </w:r>
      <w:r w:rsidRPr="00DA359F">
        <w:rPr>
          <w:rStyle w:val="TextoNormalCaracter"/>
        </w:rPr>
        <w:t>-</w:t>
      </w:r>
      <w:r>
        <w:t xml:space="preserve"> Sentencia </w:t>
      </w:r>
      <w:hyperlink w:anchor="SENTENCIA_2023_81" w:history="1">
        <w:r w:rsidRPr="00DA359F">
          <w:rPr>
            <w:rStyle w:val="TextoNormalCaracter"/>
          </w:rPr>
          <w:t>81/2023</w:t>
        </w:r>
      </w:hyperlink>
      <w:r>
        <w:t>, f. 2.</w:t>
      </w:r>
    </w:p>
    <w:p w14:paraId="6762647D" w14:textId="44B5EEDE" w:rsidR="00DA359F" w:rsidRDefault="00DA359F" w:rsidP="00DA359F">
      <w:pPr>
        <w:pStyle w:val="SangriaFrancesaArticulo"/>
      </w:pPr>
    </w:p>
    <w:p w14:paraId="18E2C4C1" w14:textId="77777777" w:rsidR="00DA359F" w:rsidRDefault="00DA359F" w:rsidP="00DA359F">
      <w:pPr>
        <w:pStyle w:val="TextoNormalNegritaCursivandice"/>
        <w:keepNext/>
      </w:pPr>
      <w:r>
        <w:t>Sentencia del Tribunal Europeo de Derechos Humanos de 5 de diciembre de 2006 (Oya Ataman c. Turquia)</w:t>
      </w:r>
    </w:p>
    <w:p w14:paraId="6F2F13E8" w14:textId="2B362864" w:rsidR="00DA359F" w:rsidRDefault="00DA359F" w:rsidP="00DA359F">
      <w:pPr>
        <w:pStyle w:val="SangriaFrancesaArticulo"/>
      </w:pPr>
      <w:r w:rsidRPr="00DA359F">
        <w:rPr>
          <w:rStyle w:val="TextoNormalNegritaCaracter"/>
        </w:rPr>
        <w:t>§ 39.</w:t>
      </w:r>
      <w:r w:rsidRPr="00DA359F">
        <w:rPr>
          <w:rStyle w:val="TextoNormalCaracter"/>
        </w:rPr>
        <w:t>-</w:t>
      </w:r>
      <w:r>
        <w:t xml:space="preserve"> Sentencia </w:t>
      </w:r>
      <w:hyperlink w:anchor="SENTENCIA_2023_164" w:history="1">
        <w:r w:rsidRPr="00DA359F">
          <w:rPr>
            <w:rStyle w:val="TextoNormalCaracter"/>
          </w:rPr>
          <w:t>164/2023</w:t>
        </w:r>
      </w:hyperlink>
      <w:r>
        <w:t>, VP II.</w:t>
      </w:r>
    </w:p>
    <w:p w14:paraId="56A204C7" w14:textId="209E2CF2" w:rsidR="00DA359F" w:rsidRDefault="00DA359F" w:rsidP="00DA359F">
      <w:pPr>
        <w:pStyle w:val="SangriaFrancesaArticulo"/>
      </w:pPr>
    </w:p>
    <w:p w14:paraId="734D5730" w14:textId="77777777" w:rsidR="00DA359F" w:rsidRDefault="00DA359F" w:rsidP="00DA359F">
      <w:pPr>
        <w:pStyle w:val="TextoNormalNegritaCursivandice"/>
        <w:keepNext/>
      </w:pPr>
      <w:r>
        <w:t>Sentencia del Tribunal Europeo de Derechos Humanos de 5 de marzo de 2009 (Barraco c. Francia)</w:t>
      </w:r>
    </w:p>
    <w:p w14:paraId="0EEF536B" w14:textId="4B4DA139" w:rsidR="00DA359F" w:rsidRDefault="00DA359F" w:rsidP="00DA359F">
      <w:pPr>
        <w:pStyle w:val="SangriaFrancesaArticulo"/>
      </w:pPr>
      <w:r w:rsidRPr="00DA359F">
        <w:rPr>
          <w:rStyle w:val="TextoNormalNegritaCaracter"/>
        </w:rPr>
        <w:t>§ 43.</w:t>
      </w:r>
      <w:r w:rsidRPr="00DA359F">
        <w:rPr>
          <w:rStyle w:val="TextoNormalCaracter"/>
        </w:rPr>
        <w:t>-</w:t>
      </w:r>
      <w:r>
        <w:t xml:space="preserve"> Sentencia </w:t>
      </w:r>
      <w:hyperlink w:anchor="SENTENCIA_2023_164" w:history="1">
        <w:r w:rsidRPr="00DA359F">
          <w:rPr>
            <w:rStyle w:val="TextoNormalCaracter"/>
          </w:rPr>
          <w:t>164/2023</w:t>
        </w:r>
      </w:hyperlink>
      <w:r>
        <w:t>, VP II.</w:t>
      </w:r>
    </w:p>
    <w:p w14:paraId="7BDD9413" w14:textId="7E86A831" w:rsidR="00DA359F" w:rsidRDefault="00DA359F" w:rsidP="00DA359F">
      <w:pPr>
        <w:pStyle w:val="SangriaFrancesaArticulo"/>
      </w:pPr>
    </w:p>
    <w:p w14:paraId="59175EF2" w14:textId="77777777" w:rsidR="00DA359F" w:rsidRDefault="00DA359F" w:rsidP="00DA359F">
      <w:pPr>
        <w:pStyle w:val="TextoNormalNegritaCursivandice"/>
        <w:keepNext/>
      </w:pPr>
      <w:r>
        <w:t>Sentencia del Tribunal Europeo de Derechos Humanos de 15 de octubre de 2009 (Micallef c. Malta)</w:t>
      </w:r>
    </w:p>
    <w:p w14:paraId="24D863FA" w14:textId="3C3BAA76"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92" w:history="1">
        <w:r w:rsidRPr="00DA359F">
          <w:rPr>
            <w:rStyle w:val="TextoNormalCaracter"/>
          </w:rPr>
          <w:t>92/2023</w:t>
        </w:r>
      </w:hyperlink>
      <w:r>
        <w:t>, f. 4.</w:t>
      </w:r>
    </w:p>
    <w:p w14:paraId="205DE320" w14:textId="4CDF1293" w:rsidR="00DA359F" w:rsidRDefault="00DA359F" w:rsidP="00DA359F">
      <w:pPr>
        <w:pStyle w:val="SangriaFrancesaArticulo"/>
      </w:pPr>
    </w:p>
    <w:p w14:paraId="117C2DEB" w14:textId="77777777" w:rsidR="00DA359F" w:rsidRDefault="00DA359F" w:rsidP="00DA359F">
      <w:pPr>
        <w:pStyle w:val="TextoNormalNegritaCursivandice"/>
        <w:keepNext/>
      </w:pPr>
      <w:r>
        <w:t>Sentencia del Tribunal Europeo de Derechos Humanos de 25 de febrero de 2010 (Renaud c. Francia)</w:t>
      </w:r>
    </w:p>
    <w:p w14:paraId="0FC14917" w14:textId="688A9A5D" w:rsidR="00DA359F" w:rsidRDefault="00DA359F" w:rsidP="00DA359F">
      <w:pPr>
        <w:pStyle w:val="SangriaFrancesaArticulo"/>
      </w:pPr>
      <w:r w:rsidRPr="00DA359F">
        <w:rPr>
          <w:rStyle w:val="TextoNormalNegritaCaracter"/>
        </w:rPr>
        <w:t>§ 38.</w:t>
      </w:r>
      <w:r w:rsidRPr="00DA359F">
        <w:rPr>
          <w:rStyle w:val="TextoNormalCaracter"/>
        </w:rPr>
        <w:t>-</w:t>
      </w:r>
      <w:r>
        <w:t xml:space="preserve"> Sentencia </w:t>
      </w:r>
      <w:hyperlink w:anchor="SENTENCIA_2023_83" w:history="1">
        <w:r w:rsidRPr="00DA359F">
          <w:rPr>
            <w:rStyle w:val="TextoNormalCaracter"/>
          </w:rPr>
          <w:t>83/2023</w:t>
        </w:r>
      </w:hyperlink>
      <w:r>
        <w:t>, VP I.</w:t>
      </w:r>
    </w:p>
    <w:p w14:paraId="140C61DE" w14:textId="3A13416A" w:rsidR="00DA359F" w:rsidRDefault="00DA359F" w:rsidP="00DA359F">
      <w:pPr>
        <w:pStyle w:val="SangriaFrancesaArticulo"/>
      </w:pPr>
    </w:p>
    <w:p w14:paraId="2CCDE6CE" w14:textId="77777777" w:rsidR="00DA359F" w:rsidRDefault="00DA359F" w:rsidP="00DA359F">
      <w:pPr>
        <w:pStyle w:val="TextoNormalNegritaCursivandice"/>
        <w:keepNext/>
      </w:pPr>
      <w:r>
        <w:t>Sentencia del Tribunal Europeo de Derechos Humanos de 16 de diciembre de 2010 (A, B y C c. Irlanda)</w:t>
      </w:r>
    </w:p>
    <w:p w14:paraId="300ECF44" w14:textId="79164E8B"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78" w:history="1">
        <w:r w:rsidRPr="00DA359F">
          <w:rPr>
            <w:rStyle w:val="TextoNormalCaracter"/>
          </w:rPr>
          <w:t>78/2023</w:t>
        </w:r>
      </w:hyperlink>
      <w:r>
        <w:t>, VP II.</w:t>
      </w:r>
    </w:p>
    <w:p w14:paraId="4265A5CB" w14:textId="5096462B" w:rsidR="00DA359F" w:rsidRDefault="00DA359F" w:rsidP="00DA359F">
      <w:pPr>
        <w:pStyle w:val="SangriaFrancesaArticulo"/>
      </w:pPr>
    </w:p>
    <w:p w14:paraId="69371707" w14:textId="77777777" w:rsidR="00DA359F" w:rsidRDefault="00DA359F" w:rsidP="00DA359F">
      <w:pPr>
        <w:pStyle w:val="TextoNormalNegritaCursivandice"/>
        <w:keepNext/>
      </w:pPr>
      <w:r>
        <w:t>Sentencia del Tribunal Europeo de Derechos Humanos de 20 de enero de 2011 (Haas c. Suiza)</w:t>
      </w:r>
    </w:p>
    <w:p w14:paraId="0BC30B7F" w14:textId="7BD0A892"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94" w:history="1">
        <w:r w:rsidRPr="00DA359F">
          <w:rPr>
            <w:rStyle w:val="TextoNormalCaracter"/>
          </w:rPr>
          <w:t>94/2023</w:t>
        </w:r>
      </w:hyperlink>
      <w:r>
        <w:t>, VP III.</w:t>
      </w:r>
    </w:p>
    <w:p w14:paraId="73EF1716" w14:textId="365591B1" w:rsidR="00DA359F" w:rsidRDefault="00DA359F" w:rsidP="00DA359F">
      <w:pPr>
        <w:pStyle w:val="SangriaFrancesaArticulo"/>
      </w:pPr>
    </w:p>
    <w:p w14:paraId="344A45CE" w14:textId="77777777" w:rsidR="00DA359F" w:rsidRDefault="00DA359F" w:rsidP="00DA359F">
      <w:pPr>
        <w:pStyle w:val="TextoNormalNegritaCursivandice"/>
        <w:keepNext/>
      </w:pPr>
      <w:r>
        <w:t>Sentencia del Tribunal Europeo de Derechos Humanos de 29 de marzo de 2011 (Potomska y Potomski c. Polonia)</w:t>
      </w:r>
    </w:p>
    <w:p w14:paraId="7D79DB42" w14:textId="0D3B3357" w:rsidR="00DA359F" w:rsidRDefault="00DA359F" w:rsidP="00DA359F">
      <w:pPr>
        <w:pStyle w:val="SangriaFrancesaArticulo"/>
      </w:pPr>
      <w:r w:rsidRPr="00DA359F">
        <w:rPr>
          <w:rStyle w:val="TextoNormalNegritaCaracter"/>
        </w:rPr>
        <w:t>§ 65.</w:t>
      </w:r>
      <w:r w:rsidRPr="00DA359F">
        <w:rPr>
          <w:rStyle w:val="TextoNormalCaracter"/>
        </w:rPr>
        <w:t>-</w:t>
      </w:r>
      <w:r>
        <w:t xml:space="preserve"> Sentencia </w:t>
      </w:r>
      <w:hyperlink w:anchor="SENTENCIA_2023_168" w:history="1">
        <w:r w:rsidRPr="00DA359F">
          <w:rPr>
            <w:rStyle w:val="TextoNormalCaracter"/>
          </w:rPr>
          <w:t>168/2023</w:t>
        </w:r>
      </w:hyperlink>
      <w:r>
        <w:t>, f. 5.</w:t>
      </w:r>
    </w:p>
    <w:p w14:paraId="551E2914" w14:textId="011AD569" w:rsidR="00DA359F" w:rsidRDefault="00DA359F" w:rsidP="00DA359F">
      <w:pPr>
        <w:pStyle w:val="SangriaFrancesaArticulo"/>
      </w:pPr>
    </w:p>
    <w:p w14:paraId="18141D79" w14:textId="77777777" w:rsidR="00DA359F" w:rsidRDefault="00DA359F" w:rsidP="00DA359F">
      <w:pPr>
        <w:pStyle w:val="TextoNormalNegritaCursivandice"/>
        <w:keepNext/>
      </w:pPr>
      <w:r>
        <w:t>Sentencia del Tribunal Europeo de Derechos Humanos de 5 de mayo de 2011 (Consejo Editorial de Pravoye Delo y Shtekel c. Ucrania)</w:t>
      </w:r>
    </w:p>
    <w:p w14:paraId="7149F347" w14:textId="5CE40EB0" w:rsidR="00DA359F" w:rsidRDefault="00DA359F" w:rsidP="00DA359F">
      <w:pPr>
        <w:pStyle w:val="SangriaFrancesaArticulo"/>
      </w:pPr>
      <w:r w:rsidRPr="00DA359F">
        <w:rPr>
          <w:rStyle w:val="TextoNormalNegritaCaracter"/>
        </w:rPr>
        <w:t>§ 63.</w:t>
      </w:r>
      <w:r w:rsidRPr="00DA359F">
        <w:rPr>
          <w:rStyle w:val="TextoNormalCaracter"/>
        </w:rPr>
        <w:t>-</w:t>
      </w:r>
      <w:r>
        <w:t xml:space="preserve"> Sentencia </w:t>
      </w:r>
      <w:hyperlink w:anchor="SENTENCIA_2023_83" w:history="1">
        <w:r w:rsidRPr="00DA359F">
          <w:rPr>
            <w:rStyle w:val="TextoNormalCaracter"/>
          </w:rPr>
          <w:t>83/2023</w:t>
        </w:r>
      </w:hyperlink>
      <w:r>
        <w:t>, f. 5.</w:t>
      </w:r>
    </w:p>
    <w:p w14:paraId="70672B5D" w14:textId="40F77B82" w:rsidR="00DA359F" w:rsidRDefault="00DA359F" w:rsidP="00DA359F">
      <w:pPr>
        <w:pStyle w:val="SangriaFrancesaArticulo"/>
      </w:pPr>
    </w:p>
    <w:p w14:paraId="4799CA7F" w14:textId="77777777" w:rsidR="00DA359F" w:rsidRDefault="00DA359F" w:rsidP="00DA359F">
      <w:pPr>
        <w:pStyle w:val="TextoNormalNegritaCursivandice"/>
        <w:keepNext/>
      </w:pPr>
      <w:r>
        <w:t>Sentencia del Tribunal Europeo de Derechos Humanos de 24 de mayo de 2011 (Todorova c. Bulgaria)</w:t>
      </w:r>
    </w:p>
    <w:p w14:paraId="3F354E31" w14:textId="0B3B8721" w:rsidR="00DA359F" w:rsidRDefault="00DA359F" w:rsidP="00DA359F">
      <w:pPr>
        <w:pStyle w:val="SangriaFrancesaArticulo"/>
      </w:pPr>
      <w:r w:rsidRPr="00DA359F">
        <w:rPr>
          <w:rStyle w:val="TextoNormalNegritaCaracter"/>
        </w:rPr>
        <w:t>En general.</w:t>
      </w:r>
      <w:r w:rsidRPr="00DA359F">
        <w:rPr>
          <w:rStyle w:val="TextoNormalCaracter"/>
        </w:rPr>
        <w:t>-</w:t>
      </w:r>
      <w:r>
        <w:t xml:space="preserve"> Auto </w:t>
      </w:r>
      <w:hyperlink w:anchor="AUTO_2023_338" w:history="1">
        <w:r w:rsidRPr="00DA359F">
          <w:rPr>
            <w:rStyle w:val="TextoNormalCaracter"/>
          </w:rPr>
          <w:t>338/2023</w:t>
        </w:r>
      </w:hyperlink>
      <w:r>
        <w:t>, f. 4.</w:t>
      </w:r>
    </w:p>
    <w:p w14:paraId="281D2A5B" w14:textId="01EEBF80" w:rsidR="00DA359F" w:rsidRDefault="00DA359F" w:rsidP="00DA359F">
      <w:pPr>
        <w:pStyle w:val="SangriaFrancesaArticulo"/>
      </w:pPr>
    </w:p>
    <w:p w14:paraId="530CB679" w14:textId="77777777" w:rsidR="00DA359F" w:rsidRDefault="00DA359F" w:rsidP="00DA359F">
      <w:pPr>
        <w:pStyle w:val="TextoNormalNegritaCursivandice"/>
        <w:keepNext/>
      </w:pPr>
      <w:r>
        <w:t>Sentencia del Tribunal Europeo de Derechos Humanos de 21 de junio de 2011 (Fruni c. Eslovaquia)</w:t>
      </w:r>
    </w:p>
    <w:p w14:paraId="44F7506F" w14:textId="0AE169D2" w:rsidR="00DA359F" w:rsidRDefault="00DA359F" w:rsidP="00DA359F">
      <w:pPr>
        <w:pStyle w:val="SangriaFrancesaArticulo"/>
      </w:pPr>
      <w:r w:rsidRPr="00DA359F">
        <w:rPr>
          <w:rStyle w:val="TextoNormalNegritaCaracter"/>
        </w:rPr>
        <w:t>§ 141.</w:t>
      </w:r>
      <w:r w:rsidRPr="00DA359F">
        <w:rPr>
          <w:rStyle w:val="TextoNormalCaracter"/>
        </w:rPr>
        <w:t>-</w:t>
      </w:r>
      <w:r>
        <w:t xml:space="preserve"> Sentencia </w:t>
      </w:r>
      <w:hyperlink w:anchor="SENTENCIA_2023_128" w:history="1">
        <w:r w:rsidRPr="00DA359F">
          <w:rPr>
            <w:rStyle w:val="TextoNormalCaracter"/>
          </w:rPr>
          <w:t>128/2023</w:t>
        </w:r>
      </w:hyperlink>
      <w:r>
        <w:t>, VP.</w:t>
      </w:r>
    </w:p>
    <w:p w14:paraId="722DF00D" w14:textId="675F100A" w:rsidR="00DA359F" w:rsidRDefault="00DA359F" w:rsidP="00DA359F">
      <w:pPr>
        <w:pStyle w:val="SangriaFrancesaArticulo"/>
      </w:pPr>
    </w:p>
    <w:p w14:paraId="79C424B8" w14:textId="77777777" w:rsidR="00DA359F" w:rsidRDefault="00DA359F" w:rsidP="00DA359F">
      <w:pPr>
        <w:pStyle w:val="TextoNormalNegritaCursivandice"/>
        <w:keepNext/>
      </w:pPr>
      <w:r>
        <w:t>Sentencia del Tribunal Europeo de Derechos Humanos de 21 de junio de 2011 (Ziya Çevik c. Turquía)</w:t>
      </w:r>
    </w:p>
    <w:p w14:paraId="3AB70B66" w14:textId="1794C1FE" w:rsidR="00DA359F" w:rsidRDefault="00DA359F" w:rsidP="00DA359F">
      <w:pPr>
        <w:pStyle w:val="SangriaFrancesaArticulo"/>
      </w:pPr>
      <w:r w:rsidRPr="00DA359F">
        <w:rPr>
          <w:rStyle w:val="TextoNormalNegritaCaracter"/>
        </w:rPr>
        <w:t>§ 35.</w:t>
      </w:r>
      <w:r w:rsidRPr="00DA359F">
        <w:rPr>
          <w:rStyle w:val="TextoNormalCaracter"/>
        </w:rPr>
        <w:t>-</w:t>
      </w:r>
      <w:r>
        <w:t xml:space="preserve"> Sentencia </w:t>
      </w:r>
      <w:hyperlink w:anchor="SENTENCIA_2023_168" w:history="1">
        <w:r w:rsidRPr="00DA359F">
          <w:rPr>
            <w:rStyle w:val="TextoNormalCaracter"/>
          </w:rPr>
          <w:t>168/2023</w:t>
        </w:r>
      </w:hyperlink>
      <w:r>
        <w:t>, f. 4.</w:t>
      </w:r>
    </w:p>
    <w:p w14:paraId="67992437" w14:textId="714B3331" w:rsidR="00DA359F" w:rsidRDefault="00DA359F" w:rsidP="00DA359F">
      <w:pPr>
        <w:pStyle w:val="SangriaFrancesaArticulo"/>
      </w:pPr>
      <w:r w:rsidRPr="00DA359F">
        <w:rPr>
          <w:rStyle w:val="TextoNormalNegritaCaracter"/>
        </w:rPr>
        <w:t>§ 36.</w:t>
      </w:r>
      <w:r w:rsidRPr="00DA359F">
        <w:rPr>
          <w:rStyle w:val="TextoNormalCaracter"/>
        </w:rPr>
        <w:t>-</w:t>
      </w:r>
      <w:r>
        <w:t xml:space="preserve"> Sentencia </w:t>
      </w:r>
      <w:hyperlink w:anchor="SENTENCIA_2023_168" w:history="1">
        <w:r w:rsidRPr="00DA359F">
          <w:rPr>
            <w:rStyle w:val="TextoNormalCaracter"/>
          </w:rPr>
          <w:t>168/2023</w:t>
        </w:r>
      </w:hyperlink>
      <w:r>
        <w:t>, f. 4.</w:t>
      </w:r>
    </w:p>
    <w:p w14:paraId="5B19F451" w14:textId="0DBEB101" w:rsidR="00DA359F" w:rsidRDefault="00DA359F" w:rsidP="00DA359F">
      <w:pPr>
        <w:pStyle w:val="SangriaFrancesaArticulo"/>
      </w:pPr>
    </w:p>
    <w:p w14:paraId="078EF3E6" w14:textId="77777777" w:rsidR="00DA359F" w:rsidRDefault="00DA359F" w:rsidP="00DA359F">
      <w:pPr>
        <w:pStyle w:val="TextoNormalNegritaCursivandice"/>
        <w:keepNext/>
      </w:pPr>
      <w:r>
        <w:t>Sentencia del Tribunal Europeo de Derechos Humanos de 12 de septiembre de 2011 (Palomo Sánchez y otros c. España)</w:t>
      </w:r>
    </w:p>
    <w:p w14:paraId="1C1C9D77" w14:textId="339CDA83"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79" w:history="1">
        <w:r w:rsidRPr="00DA359F">
          <w:rPr>
            <w:rStyle w:val="TextoNormalCaracter"/>
          </w:rPr>
          <w:t>79/2023</w:t>
        </w:r>
      </w:hyperlink>
      <w:r>
        <w:t>, f. 3.</w:t>
      </w:r>
    </w:p>
    <w:p w14:paraId="41A3A9AA" w14:textId="3EB0B500" w:rsidR="00DA359F" w:rsidRDefault="00DA359F" w:rsidP="00DA359F">
      <w:pPr>
        <w:pStyle w:val="SangriaFrancesaArticulo"/>
      </w:pPr>
    </w:p>
    <w:p w14:paraId="15C1F7D9" w14:textId="77777777" w:rsidR="00DA359F" w:rsidRDefault="00DA359F" w:rsidP="00DA359F">
      <w:pPr>
        <w:pStyle w:val="TextoNormalNegritaCursivandice"/>
        <w:keepNext/>
      </w:pPr>
      <w:r>
        <w:t>Sentencia del Tribunal Europeo de Derechos Humanos de 7 de febrero de 2012 (Axel Springer AG c. Alemania)</w:t>
      </w:r>
    </w:p>
    <w:p w14:paraId="1A694D4F" w14:textId="6A807649"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83" w:history="1">
        <w:r w:rsidRPr="00DA359F">
          <w:rPr>
            <w:rStyle w:val="TextoNormalCaracter"/>
          </w:rPr>
          <w:t>83/2023</w:t>
        </w:r>
      </w:hyperlink>
      <w:r>
        <w:t>, VP I.</w:t>
      </w:r>
    </w:p>
    <w:p w14:paraId="44C3751E" w14:textId="1970E0B5" w:rsidR="00DA359F" w:rsidRDefault="00DA359F" w:rsidP="00DA359F">
      <w:pPr>
        <w:pStyle w:val="SangriaFrancesaArticulo"/>
      </w:pPr>
    </w:p>
    <w:p w14:paraId="0A752861" w14:textId="77777777" w:rsidR="00DA359F" w:rsidRDefault="00DA359F" w:rsidP="00DA359F">
      <w:pPr>
        <w:pStyle w:val="TextoNormalNegritaCursivandice"/>
        <w:keepNext/>
      </w:pPr>
      <w:r>
        <w:t>Sentencia del Tribunal Europeo de Derechos Humanos de 23 de febrero de 2012 (Creanga c. Rumanía)</w:t>
      </w:r>
    </w:p>
    <w:p w14:paraId="1BC2567A" w14:textId="430CCB4A" w:rsidR="00DA359F" w:rsidRDefault="00DA359F" w:rsidP="00DA359F">
      <w:pPr>
        <w:pStyle w:val="SangriaFrancesaArticulo"/>
      </w:pPr>
      <w:r w:rsidRPr="00DA359F">
        <w:rPr>
          <w:rStyle w:val="TextoNormalNegritaCaracter"/>
        </w:rPr>
        <w:t>§ 120.</w:t>
      </w:r>
      <w:r w:rsidRPr="00DA359F">
        <w:rPr>
          <w:rStyle w:val="TextoNormalCaracter"/>
        </w:rPr>
        <w:t>-</w:t>
      </w:r>
      <w:r>
        <w:t xml:space="preserve"> Sentencia </w:t>
      </w:r>
      <w:hyperlink w:anchor="SENTENCIA_2023_136" w:history="1">
        <w:r w:rsidRPr="00DA359F">
          <w:rPr>
            <w:rStyle w:val="TextoNormalCaracter"/>
          </w:rPr>
          <w:t>136/2023</w:t>
        </w:r>
      </w:hyperlink>
      <w:r>
        <w:t>, f. 5.</w:t>
      </w:r>
    </w:p>
    <w:p w14:paraId="09712990" w14:textId="55543D59" w:rsidR="00DA359F" w:rsidRDefault="00DA359F" w:rsidP="00DA359F">
      <w:pPr>
        <w:pStyle w:val="SangriaFrancesaArticulo"/>
      </w:pPr>
    </w:p>
    <w:p w14:paraId="23147F82" w14:textId="77777777" w:rsidR="00DA359F" w:rsidRDefault="00DA359F" w:rsidP="00DA359F">
      <w:pPr>
        <w:pStyle w:val="TextoNormalNegritaCursivandice"/>
        <w:keepNext/>
      </w:pPr>
      <w:r>
        <w:t>Sentencia del Tribunal Europeo de Derechos Humanos (Gran Sala) de 13 de julio de 2012 (Mouvement Raëlien Suisse c. Suiza)</w:t>
      </w:r>
    </w:p>
    <w:p w14:paraId="0CD1B02D" w14:textId="2B316BD6"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83" w:history="1">
        <w:r w:rsidRPr="00DA359F">
          <w:rPr>
            <w:rStyle w:val="TextoNormalCaracter"/>
          </w:rPr>
          <w:t>83/2023</w:t>
        </w:r>
      </w:hyperlink>
      <w:r>
        <w:t>, VP I.</w:t>
      </w:r>
    </w:p>
    <w:p w14:paraId="4F255461" w14:textId="3F1CE38A" w:rsidR="00DA359F" w:rsidRDefault="00DA359F" w:rsidP="00DA359F">
      <w:pPr>
        <w:pStyle w:val="SangriaFrancesaArticulo"/>
      </w:pPr>
      <w:r w:rsidRPr="00DA359F">
        <w:rPr>
          <w:rStyle w:val="TextoNormalNegritaCaracter"/>
        </w:rPr>
        <w:t>§ 75.</w:t>
      </w:r>
      <w:r w:rsidRPr="00DA359F">
        <w:rPr>
          <w:rStyle w:val="TextoNormalCaracter"/>
        </w:rPr>
        <w:t>-</w:t>
      </w:r>
      <w:r>
        <w:t xml:space="preserve"> Sentencia </w:t>
      </w:r>
      <w:hyperlink w:anchor="SENTENCIA_2023_83" w:history="1">
        <w:r w:rsidRPr="00DA359F">
          <w:rPr>
            <w:rStyle w:val="TextoNormalCaracter"/>
          </w:rPr>
          <w:t>83/2023</w:t>
        </w:r>
      </w:hyperlink>
      <w:r>
        <w:t>, VP I.</w:t>
      </w:r>
    </w:p>
    <w:p w14:paraId="5C5CB341" w14:textId="6B55A199" w:rsidR="00DA359F" w:rsidRDefault="00DA359F" w:rsidP="00DA359F">
      <w:pPr>
        <w:pStyle w:val="SangriaFrancesaArticulo"/>
      </w:pPr>
    </w:p>
    <w:p w14:paraId="6C6ADAE8" w14:textId="77777777" w:rsidR="00DA359F" w:rsidRDefault="00DA359F" w:rsidP="00DA359F">
      <w:pPr>
        <w:pStyle w:val="TextoNormalNegritaCursivandice"/>
        <w:keepNext/>
      </w:pPr>
      <w:r>
        <w:t>Sentencia del Tribunal Europeo de Derechos Humanos de 30 de octubre de 2012 (P. y S. c. Polonia)</w:t>
      </w:r>
    </w:p>
    <w:p w14:paraId="003DD746" w14:textId="0EC83A6C"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78" w:history="1">
        <w:r w:rsidRPr="00DA359F">
          <w:rPr>
            <w:rStyle w:val="TextoNormalCaracter"/>
          </w:rPr>
          <w:t>78/2023</w:t>
        </w:r>
      </w:hyperlink>
      <w:r>
        <w:t>, VP II.</w:t>
      </w:r>
    </w:p>
    <w:p w14:paraId="66D95554" w14:textId="054E823E" w:rsidR="00DA359F" w:rsidRDefault="00DA359F" w:rsidP="00DA359F">
      <w:pPr>
        <w:pStyle w:val="SangriaFrancesaArticulo"/>
      </w:pPr>
      <w:r w:rsidRPr="00DA359F">
        <w:rPr>
          <w:rStyle w:val="TextoNormalNegritaCaracter"/>
        </w:rPr>
        <w:t>§ 105 a 108.</w:t>
      </w:r>
      <w:r w:rsidRPr="00DA359F">
        <w:rPr>
          <w:rStyle w:val="TextoNormalCaracter"/>
        </w:rPr>
        <w:t>-</w:t>
      </w:r>
      <w:r>
        <w:t xml:space="preserve"> Sentencia </w:t>
      </w:r>
      <w:hyperlink w:anchor="SENTENCIA_2023_78" w:history="1">
        <w:r w:rsidRPr="00DA359F">
          <w:rPr>
            <w:rStyle w:val="TextoNormalCaracter"/>
          </w:rPr>
          <w:t>78/2023</w:t>
        </w:r>
      </w:hyperlink>
      <w:r>
        <w:t>, f. 7.</w:t>
      </w:r>
    </w:p>
    <w:p w14:paraId="75E2D1A0" w14:textId="1990E622" w:rsidR="00DA359F" w:rsidRDefault="00DA359F" w:rsidP="00DA359F">
      <w:pPr>
        <w:pStyle w:val="SangriaFrancesaArticulo"/>
      </w:pPr>
    </w:p>
    <w:p w14:paraId="6CF8F3C0" w14:textId="77777777" w:rsidR="00DA359F" w:rsidRDefault="00DA359F" w:rsidP="00DA359F">
      <w:pPr>
        <w:pStyle w:val="TextoNormalNegritaCursivandice"/>
        <w:keepNext/>
      </w:pPr>
      <w:r>
        <w:t>Sentencia del Tribunal Europeo de Derechos Humanos de 12 de noviembre de 2013 (Söderman c. Suecia)</w:t>
      </w:r>
    </w:p>
    <w:p w14:paraId="17E7DF5D" w14:textId="31DE122F" w:rsidR="00DA359F" w:rsidRDefault="00DA359F" w:rsidP="00DA359F">
      <w:pPr>
        <w:pStyle w:val="SangriaFrancesaArticulo"/>
      </w:pPr>
      <w:r w:rsidRPr="00DA359F">
        <w:rPr>
          <w:rStyle w:val="TextoNormalNegritaCaracter"/>
        </w:rPr>
        <w:t>§ 83.</w:t>
      </w:r>
      <w:r w:rsidRPr="00DA359F">
        <w:rPr>
          <w:rStyle w:val="TextoNormalCaracter"/>
        </w:rPr>
        <w:t>-</w:t>
      </w:r>
      <w:r>
        <w:t xml:space="preserve"> Sentencia </w:t>
      </w:r>
      <w:hyperlink w:anchor="SENTENCIA_2023_131" w:history="1">
        <w:r w:rsidRPr="00DA359F">
          <w:rPr>
            <w:rStyle w:val="TextoNormalCaracter"/>
          </w:rPr>
          <w:t>131/2023</w:t>
        </w:r>
      </w:hyperlink>
      <w:r>
        <w:t>, f. 2.</w:t>
      </w:r>
    </w:p>
    <w:p w14:paraId="541802C9" w14:textId="382FAC0A" w:rsidR="00DA359F" w:rsidRDefault="00DA359F" w:rsidP="00DA359F">
      <w:pPr>
        <w:pStyle w:val="SangriaFrancesaArticulo"/>
      </w:pPr>
    </w:p>
    <w:p w14:paraId="39E0CCEC" w14:textId="77777777" w:rsidR="00DA359F" w:rsidRDefault="00DA359F" w:rsidP="00DA359F">
      <w:pPr>
        <w:pStyle w:val="TextoNormalNegritaCursivandice"/>
        <w:keepNext/>
      </w:pPr>
      <w:r>
        <w:t>Sentencia del Tribunal Europeo de Derechos Humanos de 16 de enero de 2014 (Tierbefreier E.V. c. Alemania)</w:t>
      </w:r>
    </w:p>
    <w:p w14:paraId="058E2DF2" w14:textId="7D1ABBD0"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83" w:history="1">
        <w:r w:rsidRPr="00DA359F">
          <w:rPr>
            <w:rStyle w:val="TextoNormalCaracter"/>
          </w:rPr>
          <w:t>83/2023</w:t>
        </w:r>
      </w:hyperlink>
      <w:r>
        <w:t>, f. 5, VP I.</w:t>
      </w:r>
    </w:p>
    <w:p w14:paraId="3DD37842" w14:textId="74B958BD" w:rsidR="00DA359F" w:rsidRDefault="00DA359F" w:rsidP="00DA359F">
      <w:pPr>
        <w:pStyle w:val="SangriaFrancesaArticulo"/>
      </w:pPr>
    </w:p>
    <w:p w14:paraId="7B7BE415" w14:textId="77777777" w:rsidR="00DA359F" w:rsidRDefault="00DA359F" w:rsidP="00DA359F">
      <w:pPr>
        <w:pStyle w:val="TextoNormalNegritaCursivandice"/>
        <w:keepNext/>
      </w:pPr>
      <w:r>
        <w:t>Sentencia del Tribunal Europeo de Derechos Humanos de 10 de julio de 2014 (Axel Springer AG c. Alemania —núm. 2—)</w:t>
      </w:r>
    </w:p>
    <w:p w14:paraId="7AD11550" w14:textId="39B17551"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83" w:history="1">
        <w:r w:rsidRPr="00DA359F">
          <w:rPr>
            <w:rStyle w:val="TextoNormalCaracter"/>
          </w:rPr>
          <w:t>83/2023</w:t>
        </w:r>
      </w:hyperlink>
      <w:r>
        <w:t>, VP I.</w:t>
      </w:r>
    </w:p>
    <w:p w14:paraId="5DD74A0D" w14:textId="2740C4F8" w:rsidR="00DA359F" w:rsidRDefault="00DA359F" w:rsidP="00DA359F">
      <w:pPr>
        <w:pStyle w:val="SangriaFrancesaArticulo"/>
      </w:pPr>
    </w:p>
    <w:p w14:paraId="18F32D21" w14:textId="77777777" w:rsidR="00DA359F" w:rsidRDefault="00DA359F" w:rsidP="00DA359F">
      <w:pPr>
        <w:pStyle w:val="TextoNormalNegritaCursivandice"/>
        <w:keepNext/>
      </w:pPr>
      <w:r>
        <w:t>Sentencia del Tribunal Europeo de Derechos Humanos de 20 de enero de 2015 (Arribas Antón c. España)</w:t>
      </w:r>
    </w:p>
    <w:p w14:paraId="1252154B" w14:textId="704E164B"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153" w:history="1">
        <w:r w:rsidRPr="00DA359F">
          <w:rPr>
            <w:rStyle w:val="TextoNormalCaracter"/>
          </w:rPr>
          <w:t>153/2023</w:t>
        </w:r>
      </w:hyperlink>
      <w:r>
        <w:t>, f. 2.</w:t>
      </w:r>
    </w:p>
    <w:p w14:paraId="50135FDE" w14:textId="2988D88C" w:rsidR="00DA359F" w:rsidRDefault="00DA359F" w:rsidP="00DA359F">
      <w:pPr>
        <w:pStyle w:val="SangriaFrancesaArticulo"/>
      </w:pPr>
      <w:r w:rsidRPr="00DA359F">
        <w:rPr>
          <w:rStyle w:val="TextoNormalNegritaCaracter"/>
        </w:rPr>
        <w:t>§ 46.</w:t>
      </w:r>
      <w:r w:rsidRPr="00DA359F">
        <w:rPr>
          <w:rStyle w:val="TextoNormalCaracter"/>
        </w:rPr>
        <w:t>-</w:t>
      </w:r>
      <w:r>
        <w:t xml:space="preserve"> Sentencias </w:t>
      </w:r>
      <w:hyperlink w:anchor="SENTENCIA_2023_92" w:history="1">
        <w:r w:rsidRPr="00DA359F">
          <w:rPr>
            <w:rStyle w:val="TextoNormalCaracter"/>
          </w:rPr>
          <w:t>92/2023</w:t>
        </w:r>
      </w:hyperlink>
      <w:r>
        <w:t xml:space="preserve">, f. 1; </w:t>
      </w:r>
      <w:hyperlink w:anchor="SENTENCIA_2023_136" w:history="1">
        <w:r w:rsidRPr="00DA359F">
          <w:rPr>
            <w:rStyle w:val="TextoNormalCaracter"/>
          </w:rPr>
          <w:t>136/2023</w:t>
        </w:r>
      </w:hyperlink>
      <w:r>
        <w:t xml:space="preserve">, f. 2; </w:t>
      </w:r>
      <w:hyperlink w:anchor="SENTENCIA_2023_165" w:history="1">
        <w:r w:rsidRPr="00DA359F">
          <w:rPr>
            <w:rStyle w:val="TextoNormalCaracter"/>
          </w:rPr>
          <w:t>165/2023</w:t>
        </w:r>
      </w:hyperlink>
      <w:r>
        <w:t>, f. 2.</w:t>
      </w:r>
    </w:p>
    <w:p w14:paraId="45460D77" w14:textId="2B7F5CAF" w:rsidR="00DA359F" w:rsidRDefault="00DA359F" w:rsidP="00DA359F">
      <w:pPr>
        <w:pStyle w:val="SangriaFrancesaArticulo"/>
      </w:pPr>
    </w:p>
    <w:p w14:paraId="275261B1" w14:textId="77777777" w:rsidR="00DA359F" w:rsidRDefault="00DA359F" w:rsidP="00DA359F">
      <w:pPr>
        <w:pStyle w:val="TextoNormalNegritaCursivandice"/>
        <w:keepNext/>
      </w:pPr>
      <w:r>
        <w:t>Sentencia del Tribunal Europeo de Derechos Humanos de 16 de junio de 2015 (Delfi AS c. Estonia)</w:t>
      </w:r>
    </w:p>
    <w:p w14:paraId="0BDC77CC" w14:textId="05DFC386"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83" w:history="1">
        <w:r w:rsidRPr="00DA359F">
          <w:rPr>
            <w:rStyle w:val="TextoNormalCaracter"/>
          </w:rPr>
          <w:t>83/2023</w:t>
        </w:r>
      </w:hyperlink>
      <w:r>
        <w:t>, VP I.</w:t>
      </w:r>
    </w:p>
    <w:p w14:paraId="39D02AD0" w14:textId="28F46C5A" w:rsidR="00DA359F" w:rsidRDefault="00DA359F" w:rsidP="00DA359F">
      <w:pPr>
        <w:pStyle w:val="SangriaFrancesaArticulo"/>
      </w:pPr>
      <w:r w:rsidRPr="00DA359F">
        <w:rPr>
          <w:rStyle w:val="TextoNormalNegritaCaracter"/>
        </w:rPr>
        <w:t>§ 42.</w:t>
      </w:r>
      <w:r w:rsidRPr="00DA359F">
        <w:rPr>
          <w:rStyle w:val="TextoNormalCaracter"/>
        </w:rPr>
        <w:t>-</w:t>
      </w:r>
      <w:r>
        <w:t xml:space="preserve"> Sentencia </w:t>
      </w:r>
      <w:hyperlink w:anchor="SENTENCIA_2023_83" w:history="1">
        <w:r w:rsidRPr="00DA359F">
          <w:rPr>
            <w:rStyle w:val="TextoNormalCaracter"/>
          </w:rPr>
          <w:t>83/2023</w:t>
        </w:r>
      </w:hyperlink>
      <w:r>
        <w:t>, VP I.</w:t>
      </w:r>
    </w:p>
    <w:p w14:paraId="60EC5F6D" w14:textId="098FC145" w:rsidR="00DA359F" w:rsidRDefault="00DA359F" w:rsidP="00DA359F">
      <w:pPr>
        <w:pStyle w:val="SangriaFrancesaArticulo"/>
      </w:pPr>
      <w:r w:rsidRPr="00DA359F">
        <w:rPr>
          <w:rStyle w:val="TextoNormalNegritaCaracter"/>
        </w:rPr>
        <w:t>§ 43.</w:t>
      </w:r>
      <w:r w:rsidRPr="00DA359F">
        <w:rPr>
          <w:rStyle w:val="TextoNormalCaracter"/>
        </w:rPr>
        <w:t>-</w:t>
      </w:r>
      <w:r>
        <w:t xml:space="preserve"> Sentencia </w:t>
      </w:r>
      <w:hyperlink w:anchor="SENTENCIA_2023_83" w:history="1">
        <w:r w:rsidRPr="00DA359F">
          <w:rPr>
            <w:rStyle w:val="TextoNormalCaracter"/>
          </w:rPr>
          <w:t>83/2023</w:t>
        </w:r>
      </w:hyperlink>
      <w:r>
        <w:t>, VP I.</w:t>
      </w:r>
    </w:p>
    <w:p w14:paraId="4F9E48E9" w14:textId="128A5269" w:rsidR="00DA359F" w:rsidRDefault="00DA359F" w:rsidP="00DA359F">
      <w:pPr>
        <w:pStyle w:val="SangriaFrancesaArticulo"/>
      </w:pPr>
      <w:r w:rsidRPr="00DA359F">
        <w:rPr>
          <w:rStyle w:val="TextoNormalNegritaCaracter"/>
        </w:rPr>
        <w:t>§ 133.</w:t>
      </w:r>
      <w:r w:rsidRPr="00DA359F">
        <w:rPr>
          <w:rStyle w:val="TextoNormalCaracter"/>
        </w:rPr>
        <w:t>-</w:t>
      </w:r>
      <w:r>
        <w:t xml:space="preserve"> Sentencia </w:t>
      </w:r>
      <w:hyperlink w:anchor="SENTENCIA_2023_83" w:history="1">
        <w:r w:rsidRPr="00DA359F">
          <w:rPr>
            <w:rStyle w:val="TextoNormalCaracter"/>
          </w:rPr>
          <w:t>83/2023</w:t>
        </w:r>
      </w:hyperlink>
      <w:r>
        <w:t>, f. 5, VP I.</w:t>
      </w:r>
    </w:p>
    <w:p w14:paraId="7F71DB83" w14:textId="4DFF20E8" w:rsidR="00DA359F" w:rsidRDefault="00DA359F" w:rsidP="00DA359F">
      <w:pPr>
        <w:pStyle w:val="SangriaFrancesaArticulo"/>
      </w:pPr>
    </w:p>
    <w:p w14:paraId="1D4DA4A2" w14:textId="77777777" w:rsidR="00DA359F" w:rsidRDefault="00DA359F" w:rsidP="00DA359F">
      <w:pPr>
        <w:pStyle w:val="TextoNormalNegritaCursivandice"/>
        <w:keepNext/>
      </w:pPr>
      <w:r>
        <w:t>Sentencia del Tribunal Europeo de Derechos Humanos de 9 de julio de 2015 (A.K. c. Liechtenstein)</w:t>
      </w:r>
    </w:p>
    <w:p w14:paraId="3F306C2A" w14:textId="437DCACB" w:rsidR="00DA359F" w:rsidRDefault="00DA359F" w:rsidP="00DA359F">
      <w:pPr>
        <w:pStyle w:val="SangriaFrancesaArticulo"/>
      </w:pPr>
      <w:r w:rsidRPr="00DA359F">
        <w:rPr>
          <w:rStyle w:val="TextoNormalNegritaCaracter"/>
        </w:rPr>
        <w:t>§ 82.</w:t>
      </w:r>
      <w:r w:rsidRPr="00DA359F">
        <w:rPr>
          <w:rStyle w:val="TextoNormalCaracter"/>
        </w:rPr>
        <w:t>-</w:t>
      </w:r>
      <w:r>
        <w:t xml:space="preserve"> Auto </w:t>
      </w:r>
      <w:hyperlink w:anchor="AUTO_2023_490" w:history="1">
        <w:r w:rsidRPr="00DA359F">
          <w:rPr>
            <w:rStyle w:val="TextoNormalCaracter"/>
          </w:rPr>
          <w:t>490/2023</w:t>
        </w:r>
      </w:hyperlink>
      <w:r>
        <w:t>, f. 1.</w:t>
      </w:r>
    </w:p>
    <w:p w14:paraId="252C7880" w14:textId="36178404" w:rsidR="00DA359F" w:rsidRDefault="00DA359F" w:rsidP="00DA359F">
      <w:pPr>
        <w:pStyle w:val="SangriaFrancesaArticulo"/>
      </w:pPr>
    </w:p>
    <w:p w14:paraId="0A630B21" w14:textId="77777777" w:rsidR="00DA359F" w:rsidRDefault="00DA359F" w:rsidP="00DA359F">
      <w:pPr>
        <w:pStyle w:val="TextoNormalNegritaCursivandice"/>
        <w:keepNext/>
      </w:pPr>
      <w:r>
        <w:t>Sentencia del Tribunal Europeo de Derechos Humanos de 15 de diciembre de 2016 (Khlaifia y otros c. Italia)</w:t>
      </w:r>
    </w:p>
    <w:p w14:paraId="4F883204" w14:textId="5DDA85AC" w:rsidR="00DA359F" w:rsidRDefault="00DA359F" w:rsidP="00DA359F">
      <w:pPr>
        <w:pStyle w:val="SangriaFrancesaArticulo"/>
      </w:pPr>
      <w:r w:rsidRPr="00DA359F">
        <w:rPr>
          <w:rStyle w:val="TextoNormalNegritaCaracter"/>
        </w:rPr>
        <w:t>§ 92.</w:t>
      </w:r>
      <w:r w:rsidRPr="00DA359F">
        <w:rPr>
          <w:rStyle w:val="TextoNormalCaracter"/>
        </w:rPr>
        <w:t>-</w:t>
      </w:r>
      <w:r>
        <w:t xml:space="preserve"> Sentencia </w:t>
      </w:r>
      <w:hyperlink w:anchor="SENTENCIA_2023_136" w:history="1">
        <w:r w:rsidRPr="00DA359F">
          <w:rPr>
            <w:rStyle w:val="TextoNormalCaracter"/>
          </w:rPr>
          <w:t>136/2023</w:t>
        </w:r>
      </w:hyperlink>
      <w:r>
        <w:t>, f. 5.</w:t>
      </w:r>
    </w:p>
    <w:p w14:paraId="0A781FF3" w14:textId="3D6E6792" w:rsidR="00DA359F" w:rsidRDefault="00DA359F" w:rsidP="00DA359F">
      <w:pPr>
        <w:pStyle w:val="SangriaFrancesaArticulo"/>
      </w:pPr>
    </w:p>
    <w:p w14:paraId="6D40BC45" w14:textId="77777777" w:rsidR="00DA359F" w:rsidRDefault="00DA359F" w:rsidP="00DA359F">
      <w:pPr>
        <w:pStyle w:val="TextoNormalNegritaCursivandice"/>
        <w:keepNext/>
      </w:pPr>
      <w:r>
        <w:t>Decisión del Tribunal Europeo de Derechos Humanos de 19 de septiembre de 2017 (Tamiz c. Reino Unido)</w:t>
      </w:r>
    </w:p>
    <w:p w14:paraId="63D85E2B" w14:textId="74EAD47F"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83" w:history="1">
        <w:r w:rsidRPr="00DA359F">
          <w:rPr>
            <w:rStyle w:val="TextoNormalCaracter"/>
          </w:rPr>
          <w:t>83/2023</w:t>
        </w:r>
      </w:hyperlink>
      <w:r>
        <w:t>, VP I.</w:t>
      </w:r>
    </w:p>
    <w:p w14:paraId="5F62F267" w14:textId="567A1B7D" w:rsidR="00DA359F" w:rsidRDefault="00DA359F" w:rsidP="00DA359F">
      <w:pPr>
        <w:pStyle w:val="SangriaFrancesaArticulo"/>
      </w:pPr>
      <w:r w:rsidRPr="00DA359F">
        <w:rPr>
          <w:rStyle w:val="TextoNormalNegritaCaracter"/>
        </w:rPr>
        <w:t>§ 75.</w:t>
      </w:r>
      <w:r w:rsidRPr="00DA359F">
        <w:rPr>
          <w:rStyle w:val="TextoNormalCaracter"/>
        </w:rPr>
        <w:t>-</w:t>
      </w:r>
      <w:r>
        <w:t xml:space="preserve"> Sentencia </w:t>
      </w:r>
      <w:hyperlink w:anchor="SENTENCIA_2023_83" w:history="1">
        <w:r w:rsidRPr="00DA359F">
          <w:rPr>
            <w:rStyle w:val="TextoNormalCaracter"/>
          </w:rPr>
          <w:t>83/2023</w:t>
        </w:r>
      </w:hyperlink>
      <w:r>
        <w:t>, VP I.</w:t>
      </w:r>
    </w:p>
    <w:p w14:paraId="77397DCE" w14:textId="40BCCBFD" w:rsidR="00DA359F" w:rsidRDefault="00DA359F" w:rsidP="00DA359F">
      <w:pPr>
        <w:pStyle w:val="SangriaFrancesaArticulo"/>
      </w:pPr>
      <w:r w:rsidRPr="00DA359F">
        <w:rPr>
          <w:rStyle w:val="TextoNormalNegritaCaracter"/>
        </w:rPr>
        <w:t>§ 85.</w:t>
      </w:r>
      <w:r w:rsidRPr="00DA359F">
        <w:rPr>
          <w:rStyle w:val="TextoNormalCaracter"/>
        </w:rPr>
        <w:t>-</w:t>
      </w:r>
      <w:r>
        <w:t xml:space="preserve"> Sentencia </w:t>
      </w:r>
      <w:hyperlink w:anchor="SENTENCIA_2023_83" w:history="1">
        <w:r w:rsidRPr="00DA359F">
          <w:rPr>
            <w:rStyle w:val="TextoNormalCaracter"/>
          </w:rPr>
          <w:t>83/2023</w:t>
        </w:r>
      </w:hyperlink>
      <w:r>
        <w:t>, VP I.</w:t>
      </w:r>
    </w:p>
    <w:p w14:paraId="56509EDC" w14:textId="6DEB4EC3" w:rsidR="00DA359F" w:rsidRDefault="00DA359F" w:rsidP="00DA359F">
      <w:pPr>
        <w:pStyle w:val="SangriaFrancesaArticulo"/>
      </w:pPr>
    </w:p>
    <w:p w14:paraId="77559BD1" w14:textId="77777777" w:rsidR="00DA359F" w:rsidRDefault="00DA359F" w:rsidP="00DA359F">
      <w:pPr>
        <w:pStyle w:val="TextoNormalNegritaCursivandice"/>
        <w:keepNext/>
      </w:pPr>
      <w:r>
        <w:t>Sentencia del Tribunal Europeo de Derechos Humanos de 18 de octubre de 2018 (Thiam c. Francia)</w:t>
      </w:r>
    </w:p>
    <w:p w14:paraId="0F825592" w14:textId="227B9D72" w:rsidR="00DA359F" w:rsidRDefault="00DA359F" w:rsidP="00DA359F">
      <w:pPr>
        <w:pStyle w:val="SangriaFrancesaArticulo"/>
      </w:pPr>
      <w:r w:rsidRPr="00DA359F">
        <w:rPr>
          <w:rStyle w:val="TextoNormalNegritaCaracter"/>
        </w:rPr>
        <w:t>§ 81.</w:t>
      </w:r>
      <w:r w:rsidRPr="00DA359F">
        <w:rPr>
          <w:rStyle w:val="TextoNormalCaracter"/>
        </w:rPr>
        <w:t>-</w:t>
      </w:r>
      <w:r>
        <w:t xml:space="preserve"> Sentencia </w:t>
      </w:r>
      <w:hyperlink w:anchor="SENTENCIA_2023_128" w:history="1">
        <w:r w:rsidRPr="00DA359F">
          <w:rPr>
            <w:rStyle w:val="TextoNormalCaracter"/>
          </w:rPr>
          <w:t>128/2023</w:t>
        </w:r>
      </w:hyperlink>
      <w:r>
        <w:t>, VP.</w:t>
      </w:r>
    </w:p>
    <w:p w14:paraId="20D11F45" w14:textId="78D34BF5" w:rsidR="00DA359F" w:rsidRDefault="00DA359F" w:rsidP="00DA359F">
      <w:pPr>
        <w:pStyle w:val="SangriaFrancesaArticulo"/>
      </w:pPr>
      <w:r w:rsidRPr="00DA359F">
        <w:rPr>
          <w:rStyle w:val="TextoNormalNegritaCaracter"/>
        </w:rPr>
        <w:t>§ 82.</w:t>
      </w:r>
      <w:r w:rsidRPr="00DA359F">
        <w:rPr>
          <w:rStyle w:val="TextoNormalCaracter"/>
        </w:rPr>
        <w:t>-</w:t>
      </w:r>
      <w:r>
        <w:t xml:space="preserve"> Sentencia </w:t>
      </w:r>
      <w:hyperlink w:anchor="SENTENCIA_2023_128" w:history="1">
        <w:r w:rsidRPr="00DA359F">
          <w:rPr>
            <w:rStyle w:val="TextoNormalCaracter"/>
          </w:rPr>
          <w:t>128/2023</w:t>
        </w:r>
      </w:hyperlink>
      <w:r>
        <w:t>, VP.</w:t>
      </w:r>
    </w:p>
    <w:p w14:paraId="5DC3FA2A" w14:textId="426110DF" w:rsidR="00DA359F" w:rsidRDefault="00DA359F" w:rsidP="00DA359F">
      <w:pPr>
        <w:pStyle w:val="SangriaFrancesaArticulo"/>
      </w:pPr>
    </w:p>
    <w:p w14:paraId="0D880E1A" w14:textId="77777777" w:rsidR="00DA359F" w:rsidRDefault="00DA359F" w:rsidP="00DA359F">
      <w:pPr>
        <w:pStyle w:val="TextoNormalNegritaCursivandice"/>
        <w:keepNext/>
      </w:pPr>
      <w:r>
        <w:t>Sentencia del Tribunal Europeo de Derechos Humanos de 6 de noviembre de 2018 (Otegi Mondragón y otros c. España)</w:t>
      </w:r>
    </w:p>
    <w:p w14:paraId="09845E90" w14:textId="7F3384E3"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92" w:history="1">
        <w:r w:rsidRPr="00DA359F">
          <w:rPr>
            <w:rStyle w:val="TextoNormalCaracter"/>
          </w:rPr>
          <w:t>92/2023</w:t>
        </w:r>
      </w:hyperlink>
      <w:r>
        <w:t>, f. 4.</w:t>
      </w:r>
    </w:p>
    <w:p w14:paraId="6D2C6BAB" w14:textId="5C2B7069" w:rsidR="00DA359F" w:rsidRDefault="00DA359F" w:rsidP="00DA359F">
      <w:pPr>
        <w:pStyle w:val="SangriaFrancesaArticulo"/>
      </w:pPr>
    </w:p>
    <w:p w14:paraId="0B8E2F4F" w14:textId="77777777" w:rsidR="00DA359F" w:rsidRDefault="00DA359F" w:rsidP="00DA359F">
      <w:pPr>
        <w:pStyle w:val="TextoNormalNegritaCursivandice"/>
        <w:keepNext/>
      </w:pPr>
      <w:r>
        <w:t>Sentencia del Tribunal Europeo de Derechos Humanos de 6 de noviembre de 2018 (Ramos Nunes de Carvalho e Sá c. Portugal)</w:t>
      </w:r>
    </w:p>
    <w:p w14:paraId="4B596955" w14:textId="285E78F7" w:rsidR="00DA359F" w:rsidRDefault="00DA359F" w:rsidP="00DA359F">
      <w:pPr>
        <w:pStyle w:val="SangriaFrancesaArticulo"/>
      </w:pPr>
      <w:r w:rsidRPr="00DA359F">
        <w:rPr>
          <w:rStyle w:val="TextoNormalNegritaCaracter"/>
        </w:rPr>
        <w:t>§ 149.</w:t>
      </w:r>
      <w:r w:rsidRPr="00DA359F">
        <w:rPr>
          <w:rStyle w:val="TextoNormalCaracter"/>
        </w:rPr>
        <w:t>-</w:t>
      </w:r>
      <w:r>
        <w:t xml:space="preserve"> Sentencia </w:t>
      </w:r>
      <w:hyperlink w:anchor="SENTENCIA_2023_128" w:history="1">
        <w:r w:rsidRPr="00DA359F">
          <w:rPr>
            <w:rStyle w:val="TextoNormalCaracter"/>
          </w:rPr>
          <w:t>128/2023</w:t>
        </w:r>
      </w:hyperlink>
      <w:r>
        <w:t>, VP.</w:t>
      </w:r>
    </w:p>
    <w:p w14:paraId="34063690" w14:textId="6D680A20" w:rsidR="00DA359F" w:rsidRDefault="00DA359F" w:rsidP="00DA359F">
      <w:pPr>
        <w:pStyle w:val="SangriaFrancesaArticulo"/>
      </w:pPr>
    </w:p>
    <w:p w14:paraId="0FDBEEFD" w14:textId="77777777" w:rsidR="00DA359F" w:rsidRDefault="00DA359F" w:rsidP="00DA359F">
      <w:pPr>
        <w:pStyle w:val="TextoNormalNegritaCursivandice"/>
        <w:keepNext/>
      </w:pPr>
      <w:r>
        <w:t>Sentencia del Tribunal Europeo de Derechos Humanos de 12 de enero de 2012 (Igor Shevchenko c. Ucrania)</w:t>
      </w:r>
    </w:p>
    <w:p w14:paraId="3DC211A9" w14:textId="2DBC57A1" w:rsidR="00DA359F" w:rsidRDefault="00DA359F" w:rsidP="00DA359F">
      <w:pPr>
        <w:pStyle w:val="SangriaFrancesaArticulo"/>
      </w:pPr>
      <w:r w:rsidRPr="00DA359F">
        <w:rPr>
          <w:rStyle w:val="TextoNormalNegritaCaracter"/>
        </w:rPr>
        <w:t>En general.</w:t>
      </w:r>
      <w:r w:rsidRPr="00DA359F">
        <w:rPr>
          <w:rStyle w:val="TextoNormalCaracter"/>
        </w:rPr>
        <w:t>-</w:t>
      </w:r>
      <w:r>
        <w:t xml:space="preserve"> Auto </w:t>
      </w:r>
      <w:hyperlink w:anchor="AUTO_2023_338" w:history="1">
        <w:r w:rsidRPr="00DA359F">
          <w:rPr>
            <w:rStyle w:val="TextoNormalCaracter"/>
          </w:rPr>
          <w:t>338/2023</w:t>
        </w:r>
      </w:hyperlink>
      <w:r>
        <w:t>, f. 4.</w:t>
      </w:r>
    </w:p>
    <w:p w14:paraId="624224E1" w14:textId="1E8DB76A" w:rsidR="00DA359F" w:rsidRDefault="00DA359F" w:rsidP="00DA359F">
      <w:pPr>
        <w:pStyle w:val="SangriaFrancesaArticulo"/>
      </w:pPr>
    </w:p>
    <w:p w14:paraId="7A5A048E" w14:textId="77777777" w:rsidR="00DA359F" w:rsidRDefault="00DA359F" w:rsidP="00DA359F">
      <w:pPr>
        <w:pStyle w:val="TextoNormalNegritaCursivandice"/>
        <w:keepNext/>
      </w:pPr>
      <w:r>
        <w:t>Sentencia del Tribunal Europeo de Derechos Humanos de 19 de enero de 2021 (Klopstra c. España)</w:t>
      </w:r>
    </w:p>
    <w:p w14:paraId="3451DE0B" w14:textId="7B333808" w:rsidR="00DA359F" w:rsidRDefault="00DA359F" w:rsidP="00DA359F">
      <w:pPr>
        <w:pStyle w:val="SangriaFrancesaArticulo"/>
      </w:pPr>
      <w:r w:rsidRPr="00DA359F">
        <w:rPr>
          <w:rStyle w:val="TextoNormalNegritaCaracter"/>
        </w:rPr>
        <w:t>§ 49.</w:t>
      </w:r>
      <w:r w:rsidRPr="00DA359F">
        <w:rPr>
          <w:rStyle w:val="TextoNormalCaracter"/>
        </w:rPr>
        <w:t>-</w:t>
      </w:r>
      <w:r>
        <w:t xml:space="preserve"> Sentencia </w:t>
      </w:r>
      <w:hyperlink w:anchor="SENTENCIA_2023_81" w:history="1">
        <w:r w:rsidRPr="00DA359F">
          <w:rPr>
            <w:rStyle w:val="TextoNormalCaracter"/>
          </w:rPr>
          <w:t>81/2023</w:t>
        </w:r>
      </w:hyperlink>
      <w:r>
        <w:t>, f. 2.</w:t>
      </w:r>
    </w:p>
    <w:p w14:paraId="106DB340" w14:textId="5B826462" w:rsidR="00DA359F" w:rsidRDefault="00DA359F" w:rsidP="00DA359F">
      <w:pPr>
        <w:pStyle w:val="SangriaFrancesaArticulo"/>
      </w:pPr>
    </w:p>
    <w:p w14:paraId="5D32D8E6" w14:textId="77777777" w:rsidR="00DA359F" w:rsidRDefault="00DA359F" w:rsidP="00DA359F">
      <w:pPr>
        <w:pStyle w:val="TextoNormalNegritaCursivandice"/>
        <w:keepNext/>
      </w:pPr>
      <w:r>
        <w:t>Sentencia del Tribunal Europeo de Derechos Humanos de 2 de febrero de 2021 (X y otros c. Bulgaria)</w:t>
      </w:r>
    </w:p>
    <w:p w14:paraId="517DFAA5" w14:textId="33DE3784"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131" w:history="1">
        <w:r w:rsidRPr="00DA359F">
          <w:rPr>
            <w:rStyle w:val="TextoNormalCaracter"/>
          </w:rPr>
          <w:t>131/2023</w:t>
        </w:r>
      </w:hyperlink>
      <w:r>
        <w:t>, VP.</w:t>
      </w:r>
    </w:p>
    <w:p w14:paraId="6B223513" w14:textId="29B05E84" w:rsidR="00DA359F" w:rsidRDefault="00DA359F" w:rsidP="00DA359F">
      <w:pPr>
        <w:pStyle w:val="SangriaFrancesaArticulo"/>
      </w:pPr>
      <w:r w:rsidRPr="00DA359F">
        <w:rPr>
          <w:rStyle w:val="TextoNormalNegritaCaracter"/>
        </w:rPr>
        <w:t>§ 192.</w:t>
      </w:r>
      <w:r w:rsidRPr="00DA359F">
        <w:rPr>
          <w:rStyle w:val="TextoNormalCaracter"/>
        </w:rPr>
        <w:t>-</w:t>
      </w:r>
      <w:r>
        <w:t xml:space="preserve"> Sentencia </w:t>
      </w:r>
      <w:hyperlink w:anchor="SENTENCIA_2023_131" w:history="1">
        <w:r w:rsidRPr="00DA359F">
          <w:rPr>
            <w:rStyle w:val="TextoNormalCaracter"/>
          </w:rPr>
          <w:t>131/2023</w:t>
        </w:r>
      </w:hyperlink>
      <w:r>
        <w:t>, f. 2, VP.</w:t>
      </w:r>
    </w:p>
    <w:p w14:paraId="1C7086E8" w14:textId="23F43857" w:rsidR="00DA359F" w:rsidRDefault="00DA359F" w:rsidP="00DA359F">
      <w:pPr>
        <w:pStyle w:val="SangriaFrancesaArticulo"/>
      </w:pPr>
    </w:p>
    <w:p w14:paraId="7CF49D00" w14:textId="77777777" w:rsidR="00DA359F" w:rsidRDefault="00DA359F" w:rsidP="00DA359F">
      <w:pPr>
        <w:pStyle w:val="TextoNormalNegritaCursivandice"/>
        <w:keepNext/>
      </w:pPr>
      <w:r>
        <w:t>Sentencia del Tribunal Europeo de Derechos Humanos de 3 de febrero de 2022 (Advance Pharma sp. z o.o c. Polonia)</w:t>
      </w:r>
    </w:p>
    <w:p w14:paraId="7383D170" w14:textId="6D18F01C" w:rsidR="00DA359F" w:rsidRDefault="00DA359F" w:rsidP="00DA359F">
      <w:pPr>
        <w:pStyle w:val="SangriaFrancesaArticulo"/>
      </w:pPr>
      <w:r w:rsidRPr="00DA359F">
        <w:rPr>
          <w:rStyle w:val="TextoNormalNegritaCaracter"/>
        </w:rPr>
        <w:t>§ 349.</w:t>
      </w:r>
      <w:r w:rsidRPr="00DA359F">
        <w:rPr>
          <w:rStyle w:val="TextoNormalCaracter"/>
        </w:rPr>
        <w:t>-</w:t>
      </w:r>
      <w:r>
        <w:t xml:space="preserve"> Sentencia </w:t>
      </w:r>
      <w:hyperlink w:anchor="SENTENCIA_2023_128" w:history="1">
        <w:r w:rsidRPr="00DA359F">
          <w:rPr>
            <w:rStyle w:val="TextoNormalCaracter"/>
          </w:rPr>
          <w:t>128/2023</w:t>
        </w:r>
      </w:hyperlink>
      <w:r>
        <w:t>, VP.</w:t>
      </w:r>
    </w:p>
    <w:p w14:paraId="31E2F75E" w14:textId="6B388CF0" w:rsidR="00DA359F" w:rsidRDefault="00DA359F" w:rsidP="00DA359F">
      <w:pPr>
        <w:pStyle w:val="SangriaFrancesaArticulo"/>
      </w:pPr>
    </w:p>
    <w:p w14:paraId="08CC2751" w14:textId="77777777" w:rsidR="00DA359F" w:rsidRDefault="00DA359F" w:rsidP="00DA359F">
      <w:pPr>
        <w:pStyle w:val="TextoNormalNegritaCursivandice"/>
        <w:keepNext/>
      </w:pPr>
      <w:r>
        <w:t>Sentencia del Tribunal Europeo de Derechos Humanos de 15 de marzo de 2022 (Communauté genevoise d’action syndicale (CGAS) c. Suiza)</w:t>
      </w:r>
    </w:p>
    <w:p w14:paraId="5C472B57" w14:textId="6FBE9899" w:rsidR="00DA359F" w:rsidRDefault="00DA359F" w:rsidP="00DA359F">
      <w:pPr>
        <w:pStyle w:val="SangriaFrancesaArticulo"/>
      </w:pPr>
      <w:r w:rsidRPr="00DA359F">
        <w:rPr>
          <w:rStyle w:val="TextoNormalNegritaCaracter"/>
        </w:rPr>
        <w:t>§ 80.</w:t>
      </w:r>
      <w:r w:rsidRPr="00DA359F">
        <w:rPr>
          <w:rStyle w:val="TextoNormalCaracter"/>
        </w:rPr>
        <w:t>-</w:t>
      </w:r>
      <w:r>
        <w:t xml:space="preserve"> Sentencias </w:t>
      </w:r>
      <w:hyperlink w:anchor="SENTENCIA_2023_84" w:history="1">
        <w:r w:rsidRPr="00DA359F">
          <w:rPr>
            <w:rStyle w:val="TextoNormalCaracter"/>
          </w:rPr>
          <w:t>84/2023</w:t>
        </w:r>
      </w:hyperlink>
      <w:r>
        <w:t xml:space="preserve">, VP; </w:t>
      </w:r>
      <w:hyperlink w:anchor="SENTENCIA_2023_88" w:history="1">
        <w:r w:rsidRPr="00DA359F">
          <w:rPr>
            <w:rStyle w:val="TextoNormalCaracter"/>
          </w:rPr>
          <w:t>88/2023</w:t>
        </w:r>
      </w:hyperlink>
      <w:r>
        <w:t>, f. 4.</w:t>
      </w:r>
    </w:p>
    <w:p w14:paraId="5F9E2F1A" w14:textId="5281E551" w:rsidR="00DA359F" w:rsidRDefault="00DA359F" w:rsidP="00DA359F">
      <w:pPr>
        <w:pStyle w:val="SangriaFrancesaArticulo"/>
      </w:pPr>
    </w:p>
    <w:p w14:paraId="03E3C232" w14:textId="77777777" w:rsidR="00DA359F" w:rsidRDefault="00DA359F" w:rsidP="00DA359F">
      <w:pPr>
        <w:pStyle w:val="TextoNormalNegritaCursivandice"/>
        <w:keepNext/>
      </w:pPr>
      <w:r>
        <w:t>Sentencia del Tribunal Europeo de Derechos Humanos de 15 de marzo de 2022 (Grzeda c. Polonia)</w:t>
      </w:r>
    </w:p>
    <w:p w14:paraId="06220A02" w14:textId="7AB58BD0" w:rsidR="00DA359F" w:rsidRDefault="00DA359F" w:rsidP="00DA359F">
      <w:pPr>
        <w:pStyle w:val="SangriaFrancesaArticulo"/>
      </w:pPr>
      <w:r w:rsidRPr="00DA359F">
        <w:rPr>
          <w:rStyle w:val="TextoNormalNegritaCaracter"/>
        </w:rPr>
        <w:t>§ 300 a 303.</w:t>
      </w:r>
      <w:r w:rsidRPr="00DA359F">
        <w:rPr>
          <w:rStyle w:val="TextoNormalCaracter"/>
        </w:rPr>
        <w:t>-</w:t>
      </w:r>
      <w:r>
        <w:t xml:space="preserve"> Sentencia </w:t>
      </w:r>
      <w:hyperlink w:anchor="SENTENCIA_2023_128" w:history="1">
        <w:r w:rsidRPr="00DA359F">
          <w:rPr>
            <w:rStyle w:val="TextoNormalCaracter"/>
          </w:rPr>
          <w:t>128/2023</w:t>
        </w:r>
      </w:hyperlink>
      <w:r>
        <w:t>, VP.</w:t>
      </w:r>
    </w:p>
    <w:p w14:paraId="697B4714" w14:textId="44850E7C" w:rsidR="00DA359F" w:rsidRDefault="00DA359F" w:rsidP="00DA359F">
      <w:pPr>
        <w:pStyle w:val="SangriaFrancesaArticulo"/>
      </w:pPr>
      <w:r w:rsidRPr="00DA359F">
        <w:rPr>
          <w:rStyle w:val="TextoNormalNegritaCaracter"/>
        </w:rPr>
        <w:t>§ 304.</w:t>
      </w:r>
      <w:r w:rsidRPr="00DA359F">
        <w:rPr>
          <w:rStyle w:val="TextoNormalCaracter"/>
        </w:rPr>
        <w:t>-</w:t>
      </w:r>
      <w:r>
        <w:t xml:space="preserve"> Sentencia </w:t>
      </w:r>
      <w:hyperlink w:anchor="SENTENCIA_2023_128" w:history="1">
        <w:r w:rsidRPr="00DA359F">
          <w:rPr>
            <w:rStyle w:val="TextoNormalCaracter"/>
          </w:rPr>
          <w:t>128/2023</w:t>
        </w:r>
      </w:hyperlink>
      <w:r>
        <w:t>, VP.</w:t>
      </w:r>
    </w:p>
    <w:p w14:paraId="5E5F375A" w14:textId="7563E599" w:rsidR="00DA359F" w:rsidRDefault="00DA359F" w:rsidP="00DA359F">
      <w:pPr>
        <w:pStyle w:val="SangriaFrancesaArticulo"/>
      </w:pPr>
      <w:r w:rsidRPr="00DA359F">
        <w:rPr>
          <w:rStyle w:val="TextoNormalNegritaCaracter"/>
        </w:rPr>
        <w:t>§ 345.</w:t>
      </w:r>
      <w:r w:rsidRPr="00DA359F">
        <w:rPr>
          <w:rStyle w:val="TextoNormalCaracter"/>
        </w:rPr>
        <w:t>-</w:t>
      </w:r>
      <w:r>
        <w:t xml:space="preserve"> Sentencia </w:t>
      </w:r>
      <w:hyperlink w:anchor="SENTENCIA_2023_128" w:history="1">
        <w:r w:rsidRPr="00DA359F">
          <w:rPr>
            <w:rStyle w:val="TextoNormalCaracter"/>
          </w:rPr>
          <w:t>128/2023</w:t>
        </w:r>
      </w:hyperlink>
      <w:r>
        <w:t>, VP.</w:t>
      </w:r>
    </w:p>
    <w:p w14:paraId="08AF33C3" w14:textId="4934F538" w:rsidR="00DA359F" w:rsidRDefault="00DA359F" w:rsidP="00DA359F">
      <w:pPr>
        <w:pStyle w:val="SangriaFrancesaArticulo"/>
      </w:pPr>
      <w:r w:rsidRPr="00DA359F">
        <w:rPr>
          <w:rStyle w:val="TextoNormalNegritaCaracter"/>
        </w:rPr>
        <w:t>§ 346.</w:t>
      </w:r>
      <w:r w:rsidRPr="00DA359F">
        <w:rPr>
          <w:rStyle w:val="TextoNormalCaracter"/>
        </w:rPr>
        <w:t>-</w:t>
      </w:r>
      <w:r>
        <w:t xml:space="preserve"> Sentencia </w:t>
      </w:r>
      <w:hyperlink w:anchor="SENTENCIA_2023_128" w:history="1">
        <w:r w:rsidRPr="00DA359F">
          <w:rPr>
            <w:rStyle w:val="TextoNormalCaracter"/>
          </w:rPr>
          <w:t>128/2023</w:t>
        </w:r>
      </w:hyperlink>
      <w:r>
        <w:t>, VP.</w:t>
      </w:r>
    </w:p>
    <w:p w14:paraId="13EB6B13" w14:textId="4977817B" w:rsidR="00DA359F" w:rsidRDefault="00DA359F" w:rsidP="00DA359F">
      <w:pPr>
        <w:pStyle w:val="SangriaFrancesaArticulo"/>
      </w:pPr>
    </w:p>
    <w:p w14:paraId="1374C3E1" w14:textId="77777777" w:rsidR="00DA359F" w:rsidRDefault="00DA359F" w:rsidP="00DA359F">
      <w:pPr>
        <w:pStyle w:val="TextoNormalNegritaCursivandice"/>
        <w:keepNext/>
      </w:pPr>
      <w:r>
        <w:t>Sentencia del Tribunal Europeo de Derechos Humanos de 14 de junio de 2022 (Cruz García c. España)</w:t>
      </w:r>
    </w:p>
    <w:p w14:paraId="49917929" w14:textId="50352A23" w:rsidR="00DA359F" w:rsidRDefault="00DA359F" w:rsidP="00DA359F">
      <w:pPr>
        <w:pStyle w:val="SangriaFrancesaArticulo"/>
      </w:pPr>
      <w:r w:rsidRPr="00DA359F">
        <w:rPr>
          <w:rStyle w:val="TextoNormalNegritaCaracter"/>
        </w:rPr>
        <w:t>§ 19.</w:t>
      </w:r>
      <w:r w:rsidRPr="00DA359F">
        <w:rPr>
          <w:rStyle w:val="TextoNormalCaracter"/>
        </w:rPr>
        <w:t>-</w:t>
      </w:r>
      <w:r>
        <w:t xml:space="preserve"> Sentencia </w:t>
      </w:r>
      <w:hyperlink w:anchor="SENTENCIA_2023_81" w:history="1">
        <w:r w:rsidRPr="00DA359F">
          <w:rPr>
            <w:rStyle w:val="TextoNormalCaracter"/>
          </w:rPr>
          <w:t>81/2023</w:t>
        </w:r>
      </w:hyperlink>
      <w:r>
        <w:t>, f. 2.</w:t>
      </w:r>
    </w:p>
    <w:p w14:paraId="23FD3204" w14:textId="71495B3F" w:rsidR="00DA359F" w:rsidRDefault="00DA359F" w:rsidP="00DA359F">
      <w:pPr>
        <w:pStyle w:val="SangriaFrancesaArticulo"/>
      </w:pPr>
      <w:r w:rsidRPr="00DA359F">
        <w:rPr>
          <w:rStyle w:val="TextoNormalNegritaCaracter"/>
        </w:rPr>
        <w:t>§ 22.</w:t>
      </w:r>
      <w:r w:rsidRPr="00DA359F">
        <w:rPr>
          <w:rStyle w:val="TextoNormalCaracter"/>
        </w:rPr>
        <w:t>-</w:t>
      </w:r>
      <w:r>
        <w:t xml:space="preserve"> Sentencia </w:t>
      </w:r>
      <w:hyperlink w:anchor="SENTENCIA_2023_81" w:history="1">
        <w:r w:rsidRPr="00DA359F">
          <w:rPr>
            <w:rStyle w:val="TextoNormalCaracter"/>
          </w:rPr>
          <w:t>81/2023</w:t>
        </w:r>
      </w:hyperlink>
      <w:r>
        <w:t>, f. 2.</w:t>
      </w:r>
    </w:p>
    <w:p w14:paraId="0ACF279A" w14:textId="4B4B52ED" w:rsidR="00DA359F" w:rsidRDefault="00DA359F" w:rsidP="00DA359F">
      <w:pPr>
        <w:pStyle w:val="SangriaFrancesaArticulo"/>
      </w:pPr>
      <w:r w:rsidRPr="00DA359F">
        <w:rPr>
          <w:rStyle w:val="TextoNormalNegritaCaracter"/>
        </w:rPr>
        <w:t>§ 23.</w:t>
      </w:r>
      <w:r w:rsidRPr="00DA359F">
        <w:rPr>
          <w:rStyle w:val="TextoNormalCaracter"/>
        </w:rPr>
        <w:t>-</w:t>
      </w:r>
      <w:r>
        <w:t xml:space="preserve"> Sentencia </w:t>
      </w:r>
      <w:hyperlink w:anchor="SENTENCIA_2023_81" w:history="1">
        <w:r w:rsidRPr="00DA359F">
          <w:rPr>
            <w:rStyle w:val="TextoNormalCaracter"/>
          </w:rPr>
          <w:t>81/2023</w:t>
        </w:r>
      </w:hyperlink>
      <w:r>
        <w:t>, f. 2.</w:t>
      </w:r>
    </w:p>
    <w:p w14:paraId="43C266C3" w14:textId="13ED1F1C" w:rsidR="00DA359F" w:rsidRDefault="00DA359F" w:rsidP="00DA359F">
      <w:pPr>
        <w:pStyle w:val="SangriaFrancesaArticulo"/>
      </w:pPr>
    </w:p>
    <w:p w14:paraId="7631DC93" w14:textId="77777777" w:rsidR="00DA359F" w:rsidRDefault="00DA359F" w:rsidP="00DA359F">
      <w:pPr>
        <w:pStyle w:val="TextoNormalNegritaCursivandice"/>
        <w:keepNext/>
      </w:pPr>
      <w:r>
        <w:t>Sentencia del Tribunal Europeo de Derechos Humanos (Gran Sala) de 15 de mayo de 2023 (Sánchez c. Francia)</w:t>
      </w:r>
    </w:p>
    <w:p w14:paraId="005A8B3A" w14:textId="73CE1885"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83" w:history="1">
        <w:r w:rsidRPr="00DA359F">
          <w:rPr>
            <w:rStyle w:val="TextoNormalCaracter"/>
          </w:rPr>
          <w:t>83/2023</w:t>
        </w:r>
      </w:hyperlink>
      <w:r>
        <w:t>, f. 5, VP I.</w:t>
      </w:r>
    </w:p>
    <w:p w14:paraId="6B200B8D" w14:textId="47681E2D" w:rsidR="00DA359F" w:rsidRDefault="00DA359F" w:rsidP="00DA359F">
      <w:pPr>
        <w:pStyle w:val="SangriaFrancesaArticulo"/>
      </w:pPr>
    </w:p>
    <w:p w14:paraId="6D26C4D8" w14:textId="77777777" w:rsidR="00DA359F" w:rsidRDefault="00DA359F" w:rsidP="00DA359F">
      <w:pPr>
        <w:pStyle w:val="TextoNormalNegritaCursivandice"/>
        <w:keepNext/>
      </w:pPr>
      <w:r>
        <w:t>Sentencia del Tribunal Europeo de Derechos Humanos de 20 de junio de 2023 (Oktay Alkan c. Turquía)</w:t>
      </w:r>
    </w:p>
    <w:p w14:paraId="17B3573B" w14:textId="65005A67" w:rsidR="00DA359F" w:rsidRDefault="00DA359F" w:rsidP="00DA359F">
      <w:pPr>
        <w:pStyle w:val="SangriaFrancesaArticulo"/>
      </w:pPr>
      <w:r w:rsidRPr="00DA359F">
        <w:rPr>
          <w:rStyle w:val="TextoNormalNegritaCaracter"/>
        </w:rPr>
        <w:t>§ 49.</w:t>
      </w:r>
      <w:r w:rsidRPr="00DA359F">
        <w:rPr>
          <w:rStyle w:val="TextoNormalCaracter"/>
        </w:rPr>
        <w:t>-</w:t>
      </w:r>
      <w:r>
        <w:t xml:space="preserve"> Sentencia </w:t>
      </w:r>
      <w:hyperlink w:anchor="SENTENCIA_2023_128" w:history="1">
        <w:r w:rsidRPr="00DA359F">
          <w:rPr>
            <w:rStyle w:val="TextoNormalCaracter"/>
          </w:rPr>
          <w:t>128/2023</w:t>
        </w:r>
      </w:hyperlink>
      <w:r>
        <w:t>, VP.</w:t>
      </w:r>
    </w:p>
    <w:p w14:paraId="42A5DA3B" w14:textId="6FB1EBE3" w:rsidR="00DA359F" w:rsidRDefault="00DA359F" w:rsidP="00DA359F">
      <w:pPr>
        <w:pStyle w:val="SangriaFrancesaArticulo"/>
      </w:pPr>
    </w:p>
    <w:p w14:paraId="22C42B21" w14:textId="77777777" w:rsidR="00DA359F" w:rsidRDefault="00DA359F" w:rsidP="00DA359F">
      <w:pPr>
        <w:pStyle w:val="TextoNormalNegritaCursivandice"/>
        <w:keepNext/>
      </w:pPr>
      <w:r>
        <w:t>Sentencia del Tribunal Europeo de Derechos Humanos de 22 de junio de 2023 (Lorenzo Bragado y otros c. España)</w:t>
      </w:r>
    </w:p>
    <w:p w14:paraId="38CA1886" w14:textId="0B6B0277" w:rsidR="00DA359F" w:rsidRDefault="00DA359F" w:rsidP="00DA359F">
      <w:pPr>
        <w:pStyle w:val="SangriaFrancesaArticulo"/>
      </w:pPr>
      <w:r w:rsidRPr="00DA359F">
        <w:rPr>
          <w:rStyle w:val="TextoNormalNegritaCaracter"/>
        </w:rPr>
        <w:t>§ 105.</w:t>
      </w:r>
      <w:r w:rsidRPr="00DA359F">
        <w:rPr>
          <w:rStyle w:val="TextoNormalCaracter"/>
        </w:rPr>
        <w:t>-</w:t>
      </w:r>
      <w:r>
        <w:t xml:space="preserve"> Sentencia </w:t>
      </w:r>
      <w:hyperlink w:anchor="SENTENCIA_2023_128" w:history="1">
        <w:r w:rsidRPr="00DA359F">
          <w:rPr>
            <w:rStyle w:val="TextoNormalCaracter"/>
          </w:rPr>
          <w:t>128/2023</w:t>
        </w:r>
      </w:hyperlink>
      <w:r>
        <w:t>, VP.</w:t>
      </w:r>
    </w:p>
    <w:p w14:paraId="44995197" w14:textId="48DBF16F" w:rsidR="00DA359F" w:rsidRDefault="00DA359F" w:rsidP="00DA359F">
      <w:pPr>
        <w:pStyle w:val="TextoNormal"/>
      </w:pPr>
    </w:p>
    <w:p w14:paraId="7307CA42" w14:textId="77777777" w:rsidR="00DA359F" w:rsidRDefault="00DA359F" w:rsidP="00DA359F">
      <w:pPr>
        <w:pStyle w:val="SangriaFrancesaArticulo"/>
      </w:pPr>
      <w:bookmarkStart w:id="496" w:name="INDICE22924"/>
    </w:p>
    <w:bookmarkEnd w:id="496"/>
    <w:p w14:paraId="31EC444D" w14:textId="77777777" w:rsidR="00DA359F" w:rsidRDefault="00DA359F" w:rsidP="00DA359F">
      <w:pPr>
        <w:pStyle w:val="TextoIndiceNivel2"/>
        <w:suppressAutoHyphens/>
      </w:pPr>
      <w:r>
        <w:t>B) Tribunales de Justicia de las Comunidades Europeas y de la Unión Europea</w:t>
      </w:r>
    </w:p>
    <w:p w14:paraId="4643D083" w14:textId="32A2FDB8" w:rsidR="00DA359F" w:rsidRDefault="00DA359F" w:rsidP="00DA359F">
      <w:pPr>
        <w:pStyle w:val="TextoIndiceNivel2"/>
      </w:pPr>
    </w:p>
    <w:p w14:paraId="7EA272A6" w14:textId="77777777" w:rsidR="00DA359F" w:rsidRDefault="00DA359F" w:rsidP="00DA359F">
      <w:pPr>
        <w:pStyle w:val="TextoNormalNegritaCursivandice"/>
        <w:keepNext/>
      </w:pPr>
      <w:r>
        <w:t>Sentencia del Tribunal de Justicia de las Comunidades Europeas de 9 de marzo de 1978 (Amministrazione delle Finanze dello Stato c Simmenthal SpA., asunto C-106/77)</w:t>
      </w:r>
    </w:p>
    <w:p w14:paraId="081565DD" w14:textId="2174A591"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134" w:history="1">
        <w:r w:rsidRPr="00DA359F">
          <w:rPr>
            <w:rStyle w:val="TextoNormalCaracter"/>
          </w:rPr>
          <w:t>134/2023</w:t>
        </w:r>
      </w:hyperlink>
      <w:r>
        <w:t>, f. 4.</w:t>
      </w:r>
    </w:p>
    <w:p w14:paraId="7F2BE250" w14:textId="519624FA" w:rsidR="00DA359F" w:rsidRDefault="00DA359F" w:rsidP="00DA359F">
      <w:pPr>
        <w:pStyle w:val="SangriaFrancesaArticulo"/>
      </w:pPr>
    </w:p>
    <w:p w14:paraId="7AD3F5A1" w14:textId="77777777" w:rsidR="00DA359F" w:rsidRDefault="00DA359F" w:rsidP="00DA359F">
      <w:pPr>
        <w:pStyle w:val="TextoNormalNegritaCursivandice"/>
        <w:keepNext/>
      </w:pPr>
      <w:r>
        <w:t>Sentencia del Tribunal de Justicia de las Comunidades Europeas de 6 de octubre de 1982 (Srl Cilfit y Lanificio di Gavardo SpA c. Ministero della Sanità, asunto C-283/81)</w:t>
      </w:r>
    </w:p>
    <w:p w14:paraId="6F28D1DA" w14:textId="4EE316A4" w:rsidR="00DA359F" w:rsidRDefault="00DA359F" w:rsidP="00DA359F">
      <w:pPr>
        <w:pStyle w:val="SangriaFrancesaArticulo"/>
      </w:pPr>
      <w:r w:rsidRPr="00DA359F">
        <w:rPr>
          <w:rStyle w:val="TextoNormalNegritaCaracter"/>
        </w:rPr>
        <w:t>§ 14 a 21.</w:t>
      </w:r>
      <w:r w:rsidRPr="00DA359F">
        <w:rPr>
          <w:rStyle w:val="TextoNormalCaracter"/>
        </w:rPr>
        <w:t>-</w:t>
      </w:r>
      <w:r>
        <w:t xml:space="preserve"> Auto </w:t>
      </w:r>
      <w:hyperlink w:anchor="AUTO_2023_427" w:history="1">
        <w:r w:rsidRPr="00DA359F">
          <w:rPr>
            <w:rStyle w:val="TextoNormalCaracter"/>
          </w:rPr>
          <w:t>427/2023</w:t>
        </w:r>
      </w:hyperlink>
      <w:r>
        <w:t>, f. 2.</w:t>
      </w:r>
    </w:p>
    <w:p w14:paraId="2FB0AC12" w14:textId="27C5ED2E" w:rsidR="00DA359F" w:rsidRDefault="00DA359F" w:rsidP="00DA359F">
      <w:pPr>
        <w:pStyle w:val="SangriaFrancesaArticulo"/>
      </w:pPr>
    </w:p>
    <w:p w14:paraId="5D797BEB" w14:textId="77777777" w:rsidR="00DA359F" w:rsidRDefault="00DA359F" w:rsidP="00DA359F">
      <w:pPr>
        <w:pStyle w:val="TextoNormalNegritaCursivandice"/>
        <w:keepNext/>
      </w:pPr>
      <w:r>
        <w:t>Sentencia del Tribunal de Justicia de las Comunidades Europeas de 22 de enero de 2002 (Canal satélite digital, S.L. c. España, asunto C-390/99)</w:t>
      </w:r>
    </w:p>
    <w:p w14:paraId="747200F7" w14:textId="09851CDD" w:rsidR="00DA359F" w:rsidRDefault="00DA359F" w:rsidP="00DA359F">
      <w:pPr>
        <w:pStyle w:val="SangriaFrancesaArticulo"/>
      </w:pPr>
      <w:r w:rsidRPr="00DA359F">
        <w:rPr>
          <w:rStyle w:val="TextoNormalNegritaCaracter"/>
        </w:rPr>
        <w:t>§ 34.</w:t>
      </w:r>
      <w:r w:rsidRPr="00DA359F">
        <w:rPr>
          <w:rStyle w:val="TextoNormalCaracter"/>
        </w:rPr>
        <w:t>-</w:t>
      </w:r>
      <w:r>
        <w:t xml:space="preserve"> Sentencia </w:t>
      </w:r>
      <w:hyperlink w:anchor="SENTENCIA_2023_89" w:history="1">
        <w:r w:rsidRPr="00DA359F">
          <w:rPr>
            <w:rStyle w:val="TextoNormalCaracter"/>
          </w:rPr>
          <w:t>89/2023</w:t>
        </w:r>
      </w:hyperlink>
      <w:r>
        <w:t>, f. 3.</w:t>
      </w:r>
    </w:p>
    <w:p w14:paraId="1784C1E8" w14:textId="284FEA83" w:rsidR="00DA359F" w:rsidRDefault="00DA359F" w:rsidP="00DA359F">
      <w:pPr>
        <w:pStyle w:val="SangriaFrancesaArticulo"/>
      </w:pPr>
      <w:r w:rsidRPr="00DA359F">
        <w:rPr>
          <w:rStyle w:val="TextoNormalNegritaCaracter"/>
        </w:rPr>
        <w:t>§ 35.</w:t>
      </w:r>
      <w:r w:rsidRPr="00DA359F">
        <w:rPr>
          <w:rStyle w:val="TextoNormalCaracter"/>
        </w:rPr>
        <w:t>-</w:t>
      </w:r>
      <w:r>
        <w:t xml:space="preserve"> Sentencia </w:t>
      </w:r>
      <w:hyperlink w:anchor="SENTENCIA_2023_89" w:history="1">
        <w:r w:rsidRPr="00DA359F">
          <w:rPr>
            <w:rStyle w:val="TextoNormalCaracter"/>
          </w:rPr>
          <w:t>89/2023</w:t>
        </w:r>
      </w:hyperlink>
      <w:r>
        <w:t>, f. 3.</w:t>
      </w:r>
    </w:p>
    <w:p w14:paraId="69C4E1DD" w14:textId="4119D81E" w:rsidR="00DA359F" w:rsidRDefault="00DA359F" w:rsidP="00DA359F">
      <w:pPr>
        <w:pStyle w:val="SangriaFrancesaArticulo"/>
      </w:pPr>
    </w:p>
    <w:p w14:paraId="4FB528F3" w14:textId="77777777" w:rsidR="00DA359F" w:rsidRDefault="00DA359F" w:rsidP="00DA359F">
      <w:pPr>
        <w:pStyle w:val="TextoNormalNegritaCursivandice"/>
        <w:keepNext/>
      </w:pPr>
      <w:r>
        <w:t>Sentencia del Tribunal de Justicia de las Comunidades Europeas de 26 de octubre de 2006 (Mostaza Claro c. Centro Móvil Milenium, S.L., asunto C-168/05)</w:t>
      </w:r>
    </w:p>
    <w:p w14:paraId="1FD78CD3" w14:textId="6FB4047E" w:rsidR="00DA359F" w:rsidRDefault="00DA359F" w:rsidP="00DA359F">
      <w:pPr>
        <w:pStyle w:val="SangriaFrancesaArticulo"/>
      </w:pPr>
      <w:r w:rsidRPr="00DA359F">
        <w:rPr>
          <w:rStyle w:val="TextoNormalNegritaCaracter"/>
        </w:rPr>
        <w:t>§ 24.</w:t>
      </w:r>
      <w:r w:rsidRPr="00DA359F">
        <w:rPr>
          <w:rStyle w:val="TextoNormalCaracter"/>
        </w:rPr>
        <w:t>-</w:t>
      </w:r>
      <w:r>
        <w:t xml:space="preserve"> Sentencia </w:t>
      </w:r>
      <w:hyperlink w:anchor="SENTENCIA_2023_91" w:history="1">
        <w:r w:rsidRPr="00DA359F">
          <w:rPr>
            <w:rStyle w:val="TextoNormalCaracter"/>
          </w:rPr>
          <w:t>91/2023</w:t>
        </w:r>
      </w:hyperlink>
      <w:r>
        <w:t>, f. 4.</w:t>
      </w:r>
    </w:p>
    <w:p w14:paraId="16A354E6" w14:textId="6EF09D83" w:rsidR="00DA359F" w:rsidRDefault="00DA359F" w:rsidP="00DA359F">
      <w:pPr>
        <w:pStyle w:val="SangriaFrancesaArticulo"/>
      </w:pPr>
    </w:p>
    <w:p w14:paraId="41216627" w14:textId="77777777" w:rsidR="00DA359F" w:rsidRDefault="00DA359F" w:rsidP="00DA359F">
      <w:pPr>
        <w:pStyle w:val="TextoNormalNegritaCursivandice"/>
        <w:keepNext/>
      </w:pPr>
      <w:r>
        <w:t>Sentencia del Tribunal de Justicia de las Comunidades Europeas de 15 de abril de 2008 (Impact c. Minister for Agriculture and Food y otros, asunto C-268/06)</w:t>
      </w:r>
    </w:p>
    <w:p w14:paraId="16E0FEED" w14:textId="4E3B0E07" w:rsidR="00DA359F" w:rsidRDefault="00DA359F" w:rsidP="00DA359F">
      <w:pPr>
        <w:pStyle w:val="SangriaFrancesaArticulo"/>
      </w:pPr>
      <w:r w:rsidRPr="00DA359F">
        <w:rPr>
          <w:rStyle w:val="TextoNormalNegritaCaracter"/>
        </w:rPr>
        <w:t>§ 79.</w:t>
      </w:r>
      <w:r w:rsidRPr="00DA359F">
        <w:rPr>
          <w:rStyle w:val="TextoNormalCaracter"/>
        </w:rPr>
        <w:t>-</w:t>
      </w:r>
      <w:r>
        <w:t xml:space="preserve"> Auto </w:t>
      </w:r>
      <w:hyperlink w:anchor="AUTO_2023_427" w:history="1">
        <w:r w:rsidRPr="00DA359F">
          <w:rPr>
            <w:rStyle w:val="TextoNormalCaracter"/>
          </w:rPr>
          <w:t>427/2023</w:t>
        </w:r>
      </w:hyperlink>
      <w:r>
        <w:t>, f. 2, VP.</w:t>
      </w:r>
    </w:p>
    <w:p w14:paraId="33CC13D0" w14:textId="204BCC15" w:rsidR="00DA359F" w:rsidRDefault="00DA359F" w:rsidP="00DA359F">
      <w:pPr>
        <w:pStyle w:val="SangriaFrancesaArticulo"/>
      </w:pPr>
    </w:p>
    <w:p w14:paraId="36077C5C" w14:textId="77777777" w:rsidR="00DA359F" w:rsidRDefault="00DA359F" w:rsidP="00DA359F">
      <w:pPr>
        <w:pStyle w:val="TextoNormalNegritaCursivandice"/>
        <w:keepNext/>
      </w:pPr>
      <w:r>
        <w:t>Sentencia del Tribunal de Justicia de las Comunidades Europeas de 23 de abril de 2009 (Kiriaki Angelidaki y otros c. Organismos Nomarchiakis Autodioikisis Rethymnis; Charikleia Giannoudi c. Dimos Geropotamou; y Georgios Karabousanos y Sofoklis Michopoulos c. Dimos Geropotamou, asuntos acumulados C-378/07 a C-380/07)</w:t>
      </w:r>
    </w:p>
    <w:p w14:paraId="69EC31F1" w14:textId="69ACF480" w:rsidR="00DA359F" w:rsidRDefault="00DA359F" w:rsidP="00DA359F">
      <w:pPr>
        <w:pStyle w:val="SangriaFrancesaArticulo"/>
      </w:pPr>
      <w:r w:rsidRPr="00DA359F">
        <w:rPr>
          <w:rStyle w:val="TextoNormalNegritaCaracter"/>
        </w:rPr>
        <w:t>§ 196.</w:t>
      </w:r>
      <w:r w:rsidRPr="00DA359F">
        <w:rPr>
          <w:rStyle w:val="TextoNormalCaracter"/>
        </w:rPr>
        <w:t>-</w:t>
      </w:r>
      <w:r>
        <w:t xml:space="preserve"> Auto </w:t>
      </w:r>
      <w:hyperlink w:anchor="AUTO_2023_427" w:history="1">
        <w:r w:rsidRPr="00DA359F">
          <w:rPr>
            <w:rStyle w:val="TextoNormalCaracter"/>
          </w:rPr>
          <w:t>427/2023</w:t>
        </w:r>
      </w:hyperlink>
      <w:r>
        <w:t>, VP.</w:t>
      </w:r>
    </w:p>
    <w:p w14:paraId="23FCF9AB" w14:textId="541FFAFA" w:rsidR="00DA359F" w:rsidRDefault="00DA359F" w:rsidP="00DA359F">
      <w:pPr>
        <w:pStyle w:val="SangriaFrancesaArticulo"/>
      </w:pPr>
    </w:p>
    <w:p w14:paraId="7BA0BCB7" w14:textId="77777777" w:rsidR="00DA359F" w:rsidRDefault="00DA359F" w:rsidP="00DA359F">
      <w:pPr>
        <w:pStyle w:val="TextoNormalNegritaCursivandice"/>
        <w:keepNext/>
      </w:pPr>
      <w:r>
        <w:t>Sentencia del Tribunal de Justicia de las Comunidades Europeas de 4 de junio de 2009 (Pannon GSM Zrt. c. Erzsébet Sustikné Gyorfi, asunto C-243/08)</w:t>
      </w:r>
    </w:p>
    <w:p w14:paraId="4BECE526" w14:textId="25027212" w:rsidR="00DA359F" w:rsidRDefault="00DA359F" w:rsidP="00DA359F">
      <w:pPr>
        <w:pStyle w:val="SangriaFrancesaArticulo"/>
      </w:pPr>
      <w:r w:rsidRPr="00DA359F">
        <w:rPr>
          <w:rStyle w:val="TextoNormalNegritaCaracter"/>
        </w:rPr>
        <w:t>§ 30.</w:t>
      </w:r>
      <w:r w:rsidRPr="00DA359F">
        <w:rPr>
          <w:rStyle w:val="TextoNormalCaracter"/>
        </w:rPr>
        <w:t>-</w:t>
      </w:r>
      <w:r>
        <w:t xml:space="preserve"> Sentencia </w:t>
      </w:r>
      <w:hyperlink w:anchor="SENTENCIA_2023_96" w:history="1">
        <w:r w:rsidRPr="00DA359F">
          <w:rPr>
            <w:rStyle w:val="TextoNormalCaracter"/>
          </w:rPr>
          <w:t>96/2023</w:t>
        </w:r>
      </w:hyperlink>
      <w:r>
        <w:t>, f. 1.</w:t>
      </w:r>
    </w:p>
    <w:p w14:paraId="23F2A2D3" w14:textId="7E3ED7E2" w:rsidR="00DA359F" w:rsidRDefault="00DA359F" w:rsidP="00DA359F">
      <w:pPr>
        <w:pStyle w:val="SangriaFrancesaArticulo"/>
      </w:pPr>
    </w:p>
    <w:p w14:paraId="02DE3592" w14:textId="77777777" w:rsidR="00DA359F" w:rsidRDefault="00DA359F" w:rsidP="00DA359F">
      <w:pPr>
        <w:pStyle w:val="TextoNormalNegritaCursivandice"/>
        <w:keepNext/>
      </w:pPr>
      <w:r>
        <w:t>Sentencia del Tribunal de Justicia de las Comunidades Europeas, de 24 de septiembre de 2009 (Erste Group Bank AG y otros, asuntos acumulados C-125/07 P, C-133/07 P, C-135/07 P y C-137/07 P)</w:t>
      </w:r>
    </w:p>
    <w:p w14:paraId="624B4297" w14:textId="0E507415"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179" w:history="1">
        <w:r w:rsidRPr="00DA359F">
          <w:rPr>
            <w:rStyle w:val="TextoNormalCaracter"/>
          </w:rPr>
          <w:t>179/2023</w:t>
        </w:r>
      </w:hyperlink>
      <w:r>
        <w:t>, f. 3.</w:t>
      </w:r>
    </w:p>
    <w:p w14:paraId="02DDC8E4" w14:textId="13B35832" w:rsidR="00DA359F" w:rsidRDefault="00DA359F" w:rsidP="00DA359F">
      <w:pPr>
        <w:pStyle w:val="SangriaFrancesaArticulo"/>
      </w:pPr>
    </w:p>
    <w:p w14:paraId="416E1E11" w14:textId="77777777" w:rsidR="00DA359F" w:rsidRDefault="00DA359F" w:rsidP="00DA359F">
      <w:pPr>
        <w:pStyle w:val="TextoNormalNegritaCursivandice"/>
        <w:keepNext/>
      </w:pPr>
      <w:r>
        <w:t>Sentencia del Tribunal de Justicia de la Unión Europea de 23 de marzo de 2010 [Google France SARL y Google Inc. c. Louis Vuitton Malletier, S.A.; Google France SARL c. Viaticum, S.A., y Luteciel SARL; y Google France SARL c. Centre national de recherche en relations humaines (CNRRH) SARL y otros. Asuntos acumulados C-236/08 a C-238/08]</w:t>
      </w:r>
    </w:p>
    <w:p w14:paraId="0418DF04" w14:textId="0F8F921B" w:rsidR="00DA359F" w:rsidRDefault="00DA359F" w:rsidP="00DA359F">
      <w:pPr>
        <w:pStyle w:val="SangriaFrancesaArticulo"/>
      </w:pPr>
      <w:r w:rsidRPr="00DA359F">
        <w:rPr>
          <w:rStyle w:val="TextoNormalNegritaCaracter"/>
        </w:rPr>
        <w:t>§ 114.</w:t>
      </w:r>
      <w:r w:rsidRPr="00DA359F">
        <w:rPr>
          <w:rStyle w:val="TextoNormalCaracter"/>
        </w:rPr>
        <w:t>-</w:t>
      </w:r>
      <w:r>
        <w:t xml:space="preserve"> Sentencia </w:t>
      </w:r>
      <w:hyperlink w:anchor="SENTENCIA_2023_83" w:history="1">
        <w:r w:rsidRPr="00DA359F">
          <w:rPr>
            <w:rStyle w:val="TextoNormalCaracter"/>
          </w:rPr>
          <w:t>83/2023</w:t>
        </w:r>
      </w:hyperlink>
      <w:r>
        <w:t>, VP II.</w:t>
      </w:r>
    </w:p>
    <w:p w14:paraId="2A7DF480" w14:textId="36EB834D" w:rsidR="00DA359F" w:rsidRDefault="00DA359F" w:rsidP="00DA359F">
      <w:pPr>
        <w:pStyle w:val="SangriaFrancesaArticulo"/>
      </w:pPr>
    </w:p>
    <w:p w14:paraId="0C6FA00E" w14:textId="77777777" w:rsidR="00DA359F" w:rsidRDefault="00DA359F" w:rsidP="00DA359F">
      <w:pPr>
        <w:pStyle w:val="TextoNormalNegritaCursivandice"/>
        <w:keepNext/>
      </w:pPr>
      <w:r>
        <w:t>Auto del Tribunal de Justicia de la Unión Europea de 1 de octubre de 2010 (Franco Affatato c. Azienda Sanitaria Provinciale di Cosenza, asunto C-3/10)</w:t>
      </w:r>
    </w:p>
    <w:p w14:paraId="376DB77C" w14:textId="5B596564" w:rsidR="00DA359F" w:rsidRDefault="00DA359F" w:rsidP="00DA359F">
      <w:pPr>
        <w:pStyle w:val="SangriaFrancesaArticulo"/>
      </w:pPr>
      <w:r w:rsidRPr="00DA359F">
        <w:rPr>
          <w:rStyle w:val="TextoNormalNegritaCaracter"/>
        </w:rPr>
        <w:t>§ 42.</w:t>
      </w:r>
      <w:r w:rsidRPr="00DA359F">
        <w:rPr>
          <w:rStyle w:val="TextoNormalCaracter"/>
        </w:rPr>
        <w:t>-</w:t>
      </w:r>
      <w:r>
        <w:t xml:space="preserve"> Auto </w:t>
      </w:r>
      <w:hyperlink w:anchor="AUTO_2023_427" w:history="1">
        <w:r w:rsidRPr="00DA359F">
          <w:rPr>
            <w:rStyle w:val="TextoNormalCaracter"/>
          </w:rPr>
          <w:t>427/2023</w:t>
        </w:r>
      </w:hyperlink>
      <w:r>
        <w:t>, f. 2.</w:t>
      </w:r>
    </w:p>
    <w:p w14:paraId="0BDE5D39" w14:textId="3B369137" w:rsidR="00DA359F" w:rsidRDefault="00DA359F" w:rsidP="00DA359F">
      <w:pPr>
        <w:pStyle w:val="SangriaFrancesaArticulo"/>
      </w:pPr>
    </w:p>
    <w:p w14:paraId="50B093DD" w14:textId="77777777" w:rsidR="00DA359F" w:rsidRDefault="00DA359F" w:rsidP="00DA359F">
      <w:pPr>
        <w:pStyle w:val="TextoNormalNegritaCursivandice"/>
        <w:keepNext/>
      </w:pPr>
      <w:r>
        <w:t>Sentencia del Tribunal de Justicia de la Unión Europea de 8 de septiembre de 2011 (Francisco Javier Rosado Santana c. Consejería de Justicia y Administración Pública de la Junta de Andalucía, asunto C-177/10)</w:t>
      </w:r>
    </w:p>
    <w:p w14:paraId="2424D803" w14:textId="0FB08148" w:rsidR="00DA359F" w:rsidRDefault="00DA359F" w:rsidP="00DA359F">
      <w:pPr>
        <w:pStyle w:val="SangriaFrancesaArticulo"/>
      </w:pPr>
      <w:r w:rsidRPr="00DA359F">
        <w:rPr>
          <w:rStyle w:val="TextoNormalNegritaCaracter"/>
        </w:rPr>
        <w:t>En general.</w:t>
      </w:r>
      <w:r w:rsidRPr="00DA359F">
        <w:rPr>
          <w:rStyle w:val="TextoNormalCaracter"/>
        </w:rPr>
        <w:t>-</w:t>
      </w:r>
      <w:r>
        <w:t xml:space="preserve"> Auto </w:t>
      </w:r>
      <w:hyperlink w:anchor="AUTO_2023_427" w:history="1">
        <w:r w:rsidRPr="00DA359F">
          <w:rPr>
            <w:rStyle w:val="TextoNormalCaracter"/>
          </w:rPr>
          <w:t>427/2023</w:t>
        </w:r>
      </w:hyperlink>
      <w:r>
        <w:t>, VP.</w:t>
      </w:r>
    </w:p>
    <w:p w14:paraId="38B9B753" w14:textId="4D17C672" w:rsidR="00DA359F" w:rsidRDefault="00DA359F" w:rsidP="00DA359F">
      <w:pPr>
        <w:pStyle w:val="SangriaFrancesaArticulo"/>
      </w:pPr>
    </w:p>
    <w:p w14:paraId="1F189022" w14:textId="77777777" w:rsidR="00DA359F" w:rsidRDefault="00DA359F" w:rsidP="00DA359F">
      <w:pPr>
        <w:pStyle w:val="TextoNormalNegritaCursivandice"/>
        <w:keepNext/>
      </w:pPr>
      <w:r>
        <w:t>Sentencia del Tribunal de Justicia de la Unión Europea de 14 de marzo de 2013 [Mohamed Aziz c. Caixa d’Estalvis de Catalunya, Tarragona i Manresa (Catalunyacaixa), asunto C-415/11]</w:t>
      </w:r>
    </w:p>
    <w:p w14:paraId="3EBB5B08" w14:textId="0F955F16"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151" w:history="1">
        <w:r w:rsidRPr="00DA359F">
          <w:rPr>
            <w:rStyle w:val="TextoNormalCaracter"/>
          </w:rPr>
          <w:t>151/2023</w:t>
        </w:r>
      </w:hyperlink>
      <w:r>
        <w:t>, f. 2.</w:t>
      </w:r>
    </w:p>
    <w:p w14:paraId="5F8D292E" w14:textId="18B3A486" w:rsidR="00DA359F" w:rsidRDefault="00DA359F" w:rsidP="00DA359F">
      <w:pPr>
        <w:pStyle w:val="SangriaFrancesaArticulo"/>
      </w:pPr>
    </w:p>
    <w:p w14:paraId="2BD75FE3" w14:textId="77777777" w:rsidR="00DA359F" w:rsidRDefault="00DA359F" w:rsidP="00DA359F">
      <w:pPr>
        <w:pStyle w:val="TextoNormalNegritaCursivandice"/>
        <w:keepNext/>
      </w:pPr>
      <w:r>
        <w:t>Auto del Tribunal de Justicia de la Unión Europea de 11 de diciembre de 2014 (León Medialdea c. Ayuntamiento de Huetor Vega, asunto C-86/14)</w:t>
      </w:r>
    </w:p>
    <w:p w14:paraId="0CAED8E7" w14:textId="05DC5270" w:rsidR="00DA359F" w:rsidRDefault="00DA359F" w:rsidP="00DA359F">
      <w:pPr>
        <w:pStyle w:val="SangriaFrancesaArticulo"/>
      </w:pPr>
      <w:r w:rsidRPr="00DA359F">
        <w:rPr>
          <w:rStyle w:val="TextoNormalNegritaCaracter"/>
        </w:rPr>
        <w:t>En general.</w:t>
      </w:r>
      <w:r w:rsidRPr="00DA359F">
        <w:rPr>
          <w:rStyle w:val="TextoNormalCaracter"/>
        </w:rPr>
        <w:t>-</w:t>
      </w:r>
      <w:r>
        <w:t xml:space="preserve"> Auto </w:t>
      </w:r>
      <w:hyperlink w:anchor="AUTO_2023_427" w:history="1">
        <w:r w:rsidRPr="00DA359F">
          <w:rPr>
            <w:rStyle w:val="TextoNormalCaracter"/>
          </w:rPr>
          <w:t>427/2023</w:t>
        </w:r>
      </w:hyperlink>
      <w:r>
        <w:t>, VP.</w:t>
      </w:r>
    </w:p>
    <w:p w14:paraId="66CF45F2" w14:textId="43C2366D" w:rsidR="00DA359F" w:rsidRDefault="00DA359F" w:rsidP="00DA359F">
      <w:pPr>
        <w:pStyle w:val="SangriaFrancesaArticulo"/>
      </w:pPr>
    </w:p>
    <w:p w14:paraId="55B27D1A" w14:textId="77777777" w:rsidR="00DA359F" w:rsidRDefault="00DA359F" w:rsidP="00DA359F">
      <w:pPr>
        <w:pStyle w:val="TextoNormalNegritaCursivandice"/>
        <w:keepNext/>
      </w:pPr>
      <w:r>
        <w:t>Sentencia del Tribunal de Justicia de la Unión Europea de 5 de marzo de 2015 (Modelo Continente Hipermercados S.A., C-343/13)</w:t>
      </w:r>
    </w:p>
    <w:p w14:paraId="043BFB38" w14:textId="4B1A0CCD"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179" w:history="1">
        <w:r w:rsidRPr="00DA359F">
          <w:rPr>
            <w:rStyle w:val="TextoNormalCaracter"/>
          </w:rPr>
          <w:t>179/2023</w:t>
        </w:r>
      </w:hyperlink>
      <w:r>
        <w:t>, f. 3.</w:t>
      </w:r>
    </w:p>
    <w:p w14:paraId="0E51E619" w14:textId="6E4C67EE" w:rsidR="00DA359F" w:rsidRDefault="00DA359F" w:rsidP="00DA359F">
      <w:pPr>
        <w:pStyle w:val="SangriaFrancesaArticulo"/>
      </w:pPr>
    </w:p>
    <w:p w14:paraId="0F5494AA" w14:textId="77777777" w:rsidR="00DA359F" w:rsidRDefault="00DA359F" w:rsidP="00DA359F">
      <w:pPr>
        <w:pStyle w:val="TextoNormalNegritaCursivandice"/>
        <w:keepNext/>
      </w:pPr>
      <w:r>
        <w:t>Sentencia del Tribunal de Justicia de la Unión Europea de 23 de abril de 2015 (Subdelegación del Gobierno en Gipuzkoa - Extranjería c. Samir Zaizoune, asunto C-38/14)</w:t>
      </w:r>
    </w:p>
    <w:p w14:paraId="6D231D2C" w14:textId="204CC57B"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Sentencias </w:t>
      </w:r>
      <w:hyperlink w:anchor="SENTENCIA_2023_80" w:history="1">
        <w:r w:rsidRPr="00DA359F">
          <w:rPr>
            <w:rStyle w:val="TextoNormalCaracter"/>
          </w:rPr>
          <w:t>80/2023</w:t>
        </w:r>
      </w:hyperlink>
      <w:r>
        <w:t xml:space="preserve">, f.f 1 a 3; </w:t>
      </w:r>
      <w:hyperlink w:anchor="SENTENCIA_2023_86" w:history="1">
        <w:r w:rsidRPr="00DA359F">
          <w:rPr>
            <w:rStyle w:val="TextoNormalCaracter"/>
          </w:rPr>
          <w:t>86/2023</w:t>
        </w:r>
      </w:hyperlink>
      <w:r>
        <w:t xml:space="preserve">, f. 1; </w:t>
      </w:r>
      <w:hyperlink w:anchor="SENTENCIA_2023_87" w:history="1">
        <w:r w:rsidRPr="00DA359F">
          <w:rPr>
            <w:rStyle w:val="TextoNormalCaracter"/>
          </w:rPr>
          <w:t>87/2023</w:t>
        </w:r>
      </w:hyperlink>
      <w:r>
        <w:t xml:space="preserve">, f. 3; </w:t>
      </w:r>
      <w:hyperlink w:anchor="SENTENCIA_2023_130" w:history="1">
        <w:r w:rsidRPr="00DA359F">
          <w:rPr>
            <w:rStyle w:val="TextoNormalCaracter"/>
          </w:rPr>
          <w:t>130/2023</w:t>
        </w:r>
      </w:hyperlink>
      <w:r>
        <w:t xml:space="preserve">, f. único; </w:t>
      </w:r>
      <w:hyperlink w:anchor="SENTENCIA_2023_150" w:history="1">
        <w:r w:rsidRPr="00DA359F">
          <w:rPr>
            <w:rStyle w:val="TextoNormalCaracter"/>
          </w:rPr>
          <w:t>150/2023</w:t>
        </w:r>
      </w:hyperlink>
      <w:r>
        <w:t>, f. 1.</w:t>
      </w:r>
    </w:p>
    <w:p w14:paraId="79C9E604" w14:textId="3521CF86" w:rsidR="00DA359F" w:rsidRDefault="00DA359F" w:rsidP="00DA359F">
      <w:pPr>
        <w:pStyle w:val="SangriaFrancesaArticulo"/>
      </w:pPr>
    </w:p>
    <w:p w14:paraId="33AB4241" w14:textId="77777777" w:rsidR="00DA359F" w:rsidRDefault="00DA359F" w:rsidP="00DA359F">
      <w:pPr>
        <w:pStyle w:val="TextoNormalNegritaCursivandice"/>
        <w:keepNext/>
      </w:pPr>
      <w:r>
        <w:t>Sentencia del Tribunal de Justicia de la Unión Europea (Sala Segunda) de 9 de septiembre de 2015 (X c. Inspecteur van Rijksbelastingdienst y T.A. van Dijk c. Staatssecretaris van Financiën, asunto C-72/14)</w:t>
      </w:r>
    </w:p>
    <w:p w14:paraId="031EE014" w14:textId="08B2BDF5" w:rsidR="00DA359F" w:rsidRDefault="00DA359F" w:rsidP="00DA359F">
      <w:pPr>
        <w:pStyle w:val="SangriaFrancesaArticulo"/>
      </w:pPr>
      <w:r w:rsidRPr="00DA359F">
        <w:rPr>
          <w:rStyle w:val="TextoNormalNegritaCaracter"/>
        </w:rPr>
        <w:t>§ 60 a 63.</w:t>
      </w:r>
      <w:r w:rsidRPr="00DA359F">
        <w:rPr>
          <w:rStyle w:val="TextoNormalCaracter"/>
        </w:rPr>
        <w:t>-</w:t>
      </w:r>
      <w:r>
        <w:t xml:space="preserve"> Auto </w:t>
      </w:r>
      <w:hyperlink w:anchor="AUTO_2023_427" w:history="1">
        <w:r w:rsidRPr="00DA359F">
          <w:rPr>
            <w:rStyle w:val="TextoNormalCaracter"/>
          </w:rPr>
          <w:t>427/2023</w:t>
        </w:r>
      </w:hyperlink>
      <w:r>
        <w:t>, f. 2.</w:t>
      </w:r>
    </w:p>
    <w:p w14:paraId="2CBCAEB1" w14:textId="29CEF1CC" w:rsidR="00DA359F" w:rsidRDefault="00DA359F" w:rsidP="00DA359F">
      <w:pPr>
        <w:pStyle w:val="SangriaFrancesaArticulo"/>
      </w:pPr>
    </w:p>
    <w:p w14:paraId="7CF6B7E4" w14:textId="77777777" w:rsidR="00DA359F" w:rsidRDefault="00DA359F" w:rsidP="00DA359F">
      <w:pPr>
        <w:pStyle w:val="TextoNormalNegritaCursivandice"/>
        <w:keepNext/>
      </w:pPr>
      <w:r>
        <w:t>Sentencia del Tribunal de Justicia de la Unión Europea de 5 de abril de 2016 (Aranyosi y Caldararu, asuntos acumulados C-404/15 y C-659/15)</w:t>
      </w:r>
    </w:p>
    <w:p w14:paraId="053B0C50" w14:textId="39FF9B95" w:rsidR="00DA359F" w:rsidRDefault="00DA359F" w:rsidP="00DA359F">
      <w:pPr>
        <w:pStyle w:val="SangriaFrancesaArticulo"/>
      </w:pPr>
      <w:r w:rsidRPr="00DA359F">
        <w:rPr>
          <w:rStyle w:val="TextoNormalNegritaCaracter"/>
        </w:rPr>
        <w:t>§ 76.</w:t>
      </w:r>
      <w:r w:rsidRPr="00DA359F">
        <w:rPr>
          <w:rStyle w:val="TextoNormalCaracter"/>
        </w:rPr>
        <w:t>-</w:t>
      </w:r>
      <w:r>
        <w:t xml:space="preserve"> Sentencia </w:t>
      </w:r>
      <w:hyperlink w:anchor="SENTENCIA_2023_136" w:history="1">
        <w:r w:rsidRPr="00DA359F">
          <w:rPr>
            <w:rStyle w:val="TextoNormalCaracter"/>
          </w:rPr>
          <w:t>136/2023</w:t>
        </w:r>
      </w:hyperlink>
      <w:r>
        <w:t>, f. 4.</w:t>
      </w:r>
    </w:p>
    <w:p w14:paraId="6FD0465C" w14:textId="0993C6B7" w:rsidR="00DA359F" w:rsidRDefault="00DA359F" w:rsidP="00DA359F">
      <w:pPr>
        <w:pStyle w:val="SangriaFrancesaArticulo"/>
      </w:pPr>
    </w:p>
    <w:p w14:paraId="4CA92727" w14:textId="77777777" w:rsidR="00DA359F" w:rsidRDefault="00DA359F" w:rsidP="00DA359F">
      <w:pPr>
        <w:pStyle w:val="TextoNormalNegritaCursivandice"/>
        <w:keepNext/>
      </w:pPr>
      <w:r>
        <w:t>Sentencia del Tribunal de Justicia de la Unión Europea de 1 de junio de 2016 (Niculaie Aurel Bob-Dogi, asunto C-241/15)</w:t>
      </w:r>
    </w:p>
    <w:p w14:paraId="447B8C26" w14:textId="160E3BE4" w:rsidR="00DA359F" w:rsidRDefault="00DA359F" w:rsidP="00DA359F">
      <w:pPr>
        <w:pStyle w:val="SangriaFrancesaArticulo"/>
      </w:pPr>
      <w:r w:rsidRPr="00DA359F">
        <w:rPr>
          <w:rStyle w:val="TextoNormalNegritaCaracter"/>
        </w:rPr>
        <w:t>§ 33.</w:t>
      </w:r>
      <w:r w:rsidRPr="00DA359F">
        <w:rPr>
          <w:rStyle w:val="TextoNormalCaracter"/>
        </w:rPr>
        <w:t>-</w:t>
      </w:r>
      <w:r>
        <w:t xml:space="preserve"> Sentencia </w:t>
      </w:r>
      <w:hyperlink w:anchor="SENTENCIA_2023_136" w:history="1">
        <w:r w:rsidRPr="00DA359F">
          <w:rPr>
            <w:rStyle w:val="TextoNormalCaracter"/>
          </w:rPr>
          <w:t>136/2023</w:t>
        </w:r>
      </w:hyperlink>
      <w:r>
        <w:t>, f. 4.</w:t>
      </w:r>
    </w:p>
    <w:p w14:paraId="6F047E6A" w14:textId="54290397" w:rsidR="00DA359F" w:rsidRDefault="00DA359F" w:rsidP="00DA359F">
      <w:pPr>
        <w:pStyle w:val="SangriaFrancesaArticulo"/>
      </w:pPr>
    </w:p>
    <w:p w14:paraId="244CF1C7" w14:textId="77777777" w:rsidR="00DA359F" w:rsidRDefault="00DA359F" w:rsidP="00DA359F">
      <w:pPr>
        <w:pStyle w:val="TextoNormalNegritaCursivandice"/>
        <w:keepNext/>
      </w:pPr>
      <w:r>
        <w:t>Sentencia del Tribunal de Justicia de la Unión Europea de 21 de diciembre de 2016 [Francisco Gutiérrez Naranjo c. Cajasur Banco SAU, Ana María Palacios Martínez c. Banco Bilbao Vizcaya Argentaria SA (BBVA), Banco Popular Español, S.A., c. Emilio Irles López y Teresa Torres Andreu, asuntos acumulados C-154/15, C-307/15 y C-308/15]</w:t>
      </w:r>
    </w:p>
    <w:p w14:paraId="0C370765" w14:textId="6C1A7368"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96" w:history="1">
        <w:r w:rsidRPr="00DA359F">
          <w:rPr>
            <w:rStyle w:val="TextoNormalCaracter"/>
          </w:rPr>
          <w:t>96/2023</w:t>
        </w:r>
      </w:hyperlink>
      <w:r>
        <w:t>, ff. 2, 3.</w:t>
      </w:r>
    </w:p>
    <w:p w14:paraId="4CA6D660" w14:textId="00CBF8DA" w:rsidR="00DA359F" w:rsidRDefault="00DA359F" w:rsidP="00DA359F">
      <w:pPr>
        <w:pStyle w:val="SangriaFrancesaArticulo"/>
      </w:pPr>
      <w:r w:rsidRPr="00DA359F">
        <w:rPr>
          <w:rStyle w:val="TextoNormalNegritaCaracter"/>
        </w:rPr>
        <w:t>§ 68.</w:t>
      </w:r>
      <w:r w:rsidRPr="00DA359F">
        <w:rPr>
          <w:rStyle w:val="TextoNormalCaracter"/>
        </w:rPr>
        <w:t>-</w:t>
      </w:r>
      <w:r>
        <w:t xml:space="preserve"> Sentencia </w:t>
      </w:r>
      <w:hyperlink w:anchor="SENTENCIA_2023_172" w:history="1">
        <w:r w:rsidRPr="00DA359F">
          <w:rPr>
            <w:rStyle w:val="TextoNormalCaracter"/>
          </w:rPr>
          <w:t>172/2023</w:t>
        </w:r>
      </w:hyperlink>
      <w:r>
        <w:t>, f. 4.</w:t>
      </w:r>
    </w:p>
    <w:p w14:paraId="6597D5BA" w14:textId="0CEF1FE2" w:rsidR="00DA359F" w:rsidRDefault="00DA359F" w:rsidP="00DA359F">
      <w:pPr>
        <w:pStyle w:val="SangriaFrancesaArticulo"/>
      </w:pPr>
    </w:p>
    <w:p w14:paraId="4D8A199D" w14:textId="77777777" w:rsidR="00DA359F" w:rsidRDefault="00DA359F" w:rsidP="00DA359F">
      <w:pPr>
        <w:pStyle w:val="TextoNormalNegritaCursivandice"/>
        <w:keepNext/>
      </w:pPr>
      <w:r>
        <w:t>Sentencia del Tribunal de Justicia de la Unión Europea de 26 de enero de 2017 (Banco Primus, S.A., c. Jesús Gutiérrez García, asunto C-421/14)</w:t>
      </w:r>
    </w:p>
    <w:p w14:paraId="37B58BCB" w14:textId="26A3E0F2" w:rsidR="00DA359F" w:rsidRDefault="00DA359F" w:rsidP="00DA359F">
      <w:pPr>
        <w:pStyle w:val="SangriaFrancesaArticulo"/>
      </w:pPr>
      <w:r w:rsidRPr="00DA359F">
        <w:rPr>
          <w:rStyle w:val="TextoNormalNegritaCaracter"/>
        </w:rPr>
        <w:t>§ 49.</w:t>
      </w:r>
      <w:r w:rsidRPr="00DA359F">
        <w:rPr>
          <w:rStyle w:val="TextoNormalCaracter"/>
        </w:rPr>
        <w:t>-</w:t>
      </w:r>
      <w:r>
        <w:t xml:space="preserve"> Sentencia </w:t>
      </w:r>
      <w:hyperlink w:anchor="SENTENCIA_2023_172" w:history="1">
        <w:r w:rsidRPr="00DA359F">
          <w:rPr>
            <w:rStyle w:val="TextoNormalCaracter"/>
          </w:rPr>
          <w:t>172/2023</w:t>
        </w:r>
      </w:hyperlink>
      <w:r>
        <w:t>, f. 4.</w:t>
      </w:r>
    </w:p>
    <w:p w14:paraId="279E5FA5" w14:textId="37399929" w:rsidR="00DA359F" w:rsidRDefault="00DA359F" w:rsidP="00DA359F">
      <w:pPr>
        <w:pStyle w:val="SangriaFrancesaArticulo"/>
      </w:pPr>
    </w:p>
    <w:p w14:paraId="15493194" w14:textId="77777777" w:rsidR="00DA359F" w:rsidRDefault="00DA359F" w:rsidP="00DA359F">
      <w:pPr>
        <w:pStyle w:val="TextoNormalNegritaCursivandice"/>
        <w:keepNext/>
      </w:pPr>
      <w:r>
        <w:t>Sentencia del Tribunal de Justicia de la Unión Europea, de 20 de diciembre de 2017 (Asociación Profesional Élite Taxi c. Uber Systems Spain, SL, asunto C-434/15)</w:t>
      </w:r>
    </w:p>
    <w:p w14:paraId="5C0DACEA" w14:textId="5EA5FB3D" w:rsidR="00DA359F" w:rsidRDefault="00DA359F" w:rsidP="00DA359F">
      <w:pPr>
        <w:pStyle w:val="SangriaFrancesaArticulo"/>
      </w:pPr>
      <w:r w:rsidRPr="00DA359F">
        <w:rPr>
          <w:rStyle w:val="TextoNormalNegritaCaracter"/>
        </w:rPr>
        <w:t>§ 39.</w:t>
      </w:r>
      <w:r w:rsidRPr="00DA359F">
        <w:rPr>
          <w:rStyle w:val="TextoNormalCaracter"/>
        </w:rPr>
        <w:t>-</w:t>
      </w:r>
      <w:r>
        <w:t xml:space="preserve"> Sentencia </w:t>
      </w:r>
      <w:hyperlink w:anchor="SENTENCIA_2023_144" w:history="1">
        <w:r w:rsidRPr="00DA359F">
          <w:rPr>
            <w:rStyle w:val="TextoNormalCaracter"/>
          </w:rPr>
          <w:t>144/2023</w:t>
        </w:r>
      </w:hyperlink>
      <w:r>
        <w:t>, VP.</w:t>
      </w:r>
    </w:p>
    <w:p w14:paraId="7E13BDE8" w14:textId="13216FBA" w:rsidR="00DA359F" w:rsidRDefault="00DA359F" w:rsidP="00DA359F">
      <w:pPr>
        <w:pStyle w:val="SangriaFrancesaArticulo"/>
      </w:pPr>
      <w:r w:rsidRPr="00DA359F">
        <w:rPr>
          <w:rStyle w:val="TextoNormalNegritaCaracter"/>
        </w:rPr>
        <w:t>§ 51 y 52.</w:t>
      </w:r>
      <w:r w:rsidRPr="00DA359F">
        <w:rPr>
          <w:rStyle w:val="TextoNormalCaracter"/>
        </w:rPr>
        <w:t>-</w:t>
      </w:r>
      <w:r>
        <w:t xml:space="preserve"> Sentencia </w:t>
      </w:r>
      <w:hyperlink w:anchor="SENTENCIA_2023_144" w:history="1">
        <w:r w:rsidRPr="00DA359F">
          <w:rPr>
            <w:rStyle w:val="TextoNormalCaracter"/>
          </w:rPr>
          <w:t>144/2023</w:t>
        </w:r>
      </w:hyperlink>
      <w:r>
        <w:t>, VP.</w:t>
      </w:r>
    </w:p>
    <w:p w14:paraId="59DFD6D0" w14:textId="7B40C007" w:rsidR="00DA359F" w:rsidRDefault="00DA359F" w:rsidP="00DA359F">
      <w:pPr>
        <w:pStyle w:val="SangriaFrancesaArticulo"/>
      </w:pPr>
    </w:p>
    <w:p w14:paraId="6EFFFA9F" w14:textId="77777777" w:rsidR="00DA359F" w:rsidRDefault="00DA359F" w:rsidP="00DA359F">
      <w:pPr>
        <w:pStyle w:val="TextoNormalNegritaCursivandice"/>
        <w:keepNext/>
      </w:pPr>
      <w:r>
        <w:t>Sentencia del Tribunal de Justicia de la Unión Europea de 27 de febrero de 2018 (Associação Sindical dos Juízes Portugueses c. Tribunal de Cuentas, asunto C-64/16)</w:t>
      </w:r>
    </w:p>
    <w:p w14:paraId="762F5278" w14:textId="18FB16DE" w:rsidR="00DA359F" w:rsidRDefault="00DA359F" w:rsidP="00DA359F">
      <w:pPr>
        <w:pStyle w:val="SangriaFrancesaArticulo"/>
      </w:pPr>
      <w:r w:rsidRPr="00DA359F">
        <w:rPr>
          <w:rStyle w:val="TextoNormalNegritaCaracter"/>
        </w:rPr>
        <w:t>§ 32.</w:t>
      </w:r>
      <w:r w:rsidRPr="00DA359F">
        <w:rPr>
          <w:rStyle w:val="TextoNormalCaracter"/>
        </w:rPr>
        <w:t>-</w:t>
      </w:r>
      <w:r>
        <w:t xml:space="preserve"> Sentencia </w:t>
      </w:r>
      <w:hyperlink w:anchor="SENTENCIA_2023_128" w:history="1">
        <w:r w:rsidRPr="00DA359F">
          <w:rPr>
            <w:rStyle w:val="TextoNormalCaracter"/>
          </w:rPr>
          <w:t>128/2023</w:t>
        </w:r>
      </w:hyperlink>
      <w:r>
        <w:t>, VP.</w:t>
      </w:r>
    </w:p>
    <w:p w14:paraId="6D9C224F" w14:textId="79ACD333" w:rsidR="00DA359F" w:rsidRDefault="00DA359F" w:rsidP="00DA359F">
      <w:pPr>
        <w:pStyle w:val="SangriaFrancesaArticulo"/>
      </w:pPr>
    </w:p>
    <w:p w14:paraId="2AA5882C" w14:textId="77777777" w:rsidR="00DA359F" w:rsidRDefault="00DA359F" w:rsidP="00DA359F">
      <w:pPr>
        <w:pStyle w:val="TextoNormalNegritaCursivandice"/>
        <w:keepNext/>
      </w:pPr>
      <w:r>
        <w:t>Sentencia del Tribunal de Justicia de la Unión Europea de 31 de mayo de 2018 (Zsolt Sziber c. ERSTE Bank Hungary Zrt, asunto C-483/16)</w:t>
      </w:r>
    </w:p>
    <w:p w14:paraId="7991B6EA" w14:textId="0F78D033" w:rsidR="00DA359F" w:rsidRDefault="00DA359F" w:rsidP="00DA359F">
      <w:pPr>
        <w:pStyle w:val="SangriaFrancesaArticulo"/>
      </w:pPr>
      <w:r w:rsidRPr="00DA359F">
        <w:rPr>
          <w:rStyle w:val="TextoNormalNegritaCaracter"/>
        </w:rPr>
        <w:t>§ 35.</w:t>
      </w:r>
      <w:r w:rsidRPr="00DA359F">
        <w:rPr>
          <w:rStyle w:val="TextoNormalCaracter"/>
        </w:rPr>
        <w:t>-</w:t>
      </w:r>
      <w:r>
        <w:t xml:space="preserve"> Sentencia </w:t>
      </w:r>
      <w:hyperlink w:anchor="SENTENCIA_2023_91" w:history="1">
        <w:r w:rsidRPr="00DA359F">
          <w:rPr>
            <w:rStyle w:val="TextoNormalCaracter"/>
          </w:rPr>
          <w:t>91/2023</w:t>
        </w:r>
      </w:hyperlink>
      <w:r>
        <w:t>, f. 4.</w:t>
      </w:r>
    </w:p>
    <w:p w14:paraId="6030963B" w14:textId="292E8ADB" w:rsidR="00DA359F" w:rsidRDefault="00DA359F" w:rsidP="00DA359F">
      <w:pPr>
        <w:pStyle w:val="SangriaFrancesaArticulo"/>
      </w:pPr>
    </w:p>
    <w:p w14:paraId="122961A7" w14:textId="77777777" w:rsidR="00DA359F" w:rsidRDefault="00DA359F" w:rsidP="00DA359F">
      <w:pPr>
        <w:pStyle w:val="TextoNormalNegritaCursivandice"/>
        <w:keepNext/>
      </w:pPr>
      <w:r>
        <w:t>Sentencia del Tribunal de Justicia de la Unión Europea de 13 de septiembre de 2018 (Profi Credit Polska S.A. w Bielsku Bialej c. Mariusz Wawrzosek, asunto C-176/17)</w:t>
      </w:r>
    </w:p>
    <w:p w14:paraId="5062CCFB" w14:textId="1A93CC7B"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Sentencias </w:t>
      </w:r>
      <w:hyperlink w:anchor="SENTENCIA_2023_91" w:history="1">
        <w:r w:rsidRPr="00DA359F">
          <w:rPr>
            <w:rStyle w:val="TextoNormalCaracter"/>
          </w:rPr>
          <w:t>91/2023</w:t>
        </w:r>
      </w:hyperlink>
      <w:r>
        <w:t xml:space="preserve">, f. 4; </w:t>
      </w:r>
      <w:hyperlink w:anchor="SENTENCIA_2023_96" w:history="1">
        <w:r w:rsidRPr="00DA359F">
          <w:rPr>
            <w:rStyle w:val="TextoNormalCaracter"/>
          </w:rPr>
          <w:t>96/2023</w:t>
        </w:r>
      </w:hyperlink>
      <w:r>
        <w:t>, f. 2.</w:t>
      </w:r>
    </w:p>
    <w:p w14:paraId="5CB878D1" w14:textId="446023AA" w:rsidR="00DA359F" w:rsidRDefault="00DA359F" w:rsidP="00DA359F">
      <w:pPr>
        <w:pStyle w:val="SangriaFrancesaArticulo"/>
      </w:pPr>
      <w:r w:rsidRPr="00DA359F">
        <w:rPr>
          <w:rStyle w:val="TextoNormalNegritaCaracter"/>
        </w:rPr>
        <w:t>§ 63.</w:t>
      </w:r>
      <w:r w:rsidRPr="00DA359F">
        <w:rPr>
          <w:rStyle w:val="TextoNormalCaracter"/>
        </w:rPr>
        <w:t>-</w:t>
      </w:r>
      <w:r>
        <w:t xml:space="preserve"> Sentencia </w:t>
      </w:r>
      <w:hyperlink w:anchor="SENTENCIA_2023_96" w:history="1">
        <w:r w:rsidRPr="00DA359F">
          <w:rPr>
            <w:rStyle w:val="TextoNormalCaracter"/>
          </w:rPr>
          <w:t>96/2023</w:t>
        </w:r>
      </w:hyperlink>
      <w:r>
        <w:t>, f. 2.</w:t>
      </w:r>
    </w:p>
    <w:p w14:paraId="0CE3859B" w14:textId="6FA84E30" w:rsidR="00DA359F" w:rsidRDefault="00DA359F" w:rsidP="00DA359F">
      <w:pPr>
        <w:pStyle w:val="SangriaFrancesaArticulo"/>
      </w:pPr>
      <w:r w:rsidRPr="00DA359F">
        <w:rPr>
          <w:rStyle w:val="TextoNormalNegritaCaracter"/>
        </w:rPr>
        <w:t>§ 68.</w:t>
      </w:r>
      <w:r w:rsidRPr="00DA359F">
        <w:rPr>
          <w:rStyle w:val="TextoNormalCaracter"/>
        </w:rPr>
        <w:t>-</w:t>
      </w:r>
      <w:r>
        <w:t xml:space="preserve"> Sentencia </w:t>
      </w:r>
      <w:hyperlink w:anchor="SENTENCIA_2023_96" w:history="1">
        <w:r w:rsidRPr="00DA359F">
          <w:rPr>
            <w:rStyle w:val="TextoNormalCaracter"/>
          </w:rPr>
          <w:t>96/2023</w:t>
        </w:r>
      </w:hyperlink>
      <w:r>
        <w:t>, f. 2.</w:t>
      </w:r>
    </w:p>
    <w:p w14:paraId="6DA62D68" w14:textId="1B28F248" w:rsidR="00DA359F" w:rsidRDefault="00DA359F" w:rsidP="00DA359F">
      <w:pPr>
        <w:pStyle w:val="SangriaFrancesaArticulo"/>
      </w:pPr>
    </w:p>
    <w:p w14:paraId="3155D5C0" w14:textId="77777777" w:rsidR="00DA359F" w:rsidRDefault="00DA359F" w:rsidP="00DA359F">
      <w:pPr>
        <w:pStyle w:val="TextoNormalNegritaCursivandice"/>
        <w:keepNext/>
      </w:pPr>
      <w:r>
        <w:t>Sentencia del Tribunal de Justicia de la Unión Europea de 20 de septiembre de 2018 (Motter, asunto C-466/17)</w:t>
      </w:r>
    </w:p>
    <w:p w14:paraId="51D49EBA" w14:textId="2C83E71B" w:rsidR="00DA359F" w:rsidRDefault="00DA359F" w:rsidP="00DA359F">
      <w:pPr>
        <w:pStyle w:val="SangriaFrancesaArticulo"/>
      </w:pPr>
      <w:r w:rsidRPr="00DA359F">
        <w:rPr>
          <w:rStyle w:val="TextoNormalNegritaCaracter"/>
        </w:rPr>
        <w:t>En general.</w:t>
      </w:r>
      <w:r w:rsidRPr="00DA359F">
        <w:rPr>
          <w:rStyle w:val="TextoNormalCaracter"/>
        </w:rPr>
        <w:t>-</w:t>
      </w:r>
      <w:r>
        <w:t xml:space="preserve"> Auto </w:t>
      </w:r>
      <w:hyperlink w:anchor="AUTO_2023_427" w:history="1">
        <w:r w:rsidRPr="00DA359F">
          <w:rPr>
            <w:rStyle w:val="TextoNormalCaracter"/>
          </w:rPr>
          <w:t>427/2023</w:t>
        </w:r>
      </w:hyperlink>
      <w:r>
        <w:t>, VP.</w:t>
      </w:r>
    </w:p>
    <w:p w14:paraId="1F329AFD" w14:textId="29A59F15" w:rsidR="00DA359F" w:rsidRDefault="00DA359F" w:rsidP="00DA359F">
      <w:pPr>
        <w:pStyle w:val="SangriaFrancesaArticulo"/>
      </w:pPr>
    </w:p>
    <w:p w14:paraId="71E088B3" w14:textId="77777777" w:rsidR="00DA359F" w:rsidRDefault="00DA359F" w:rsidP="00DA359F">
      <w:pPr>
        <w:pStyle w:val="TextoNormalNegritaCursivandice"/>
        <w:keepNext/>
      </w:pPr>
      <w:r>
        <w:t>Sentencia del Tribunal de Justicia de la Unión Europea de 21 de noviembre de 2018 (Ministerio de Defensa c. de Diego Porras, asunto C-619/17)</w:t>
      </w:r>
    </w:p>
    <w:p w14:paraId="43728FF2" w14:textId="66E30A86" w:rsidR="00DA359F" w:rsidRDefault="00DA359F" w:rsidP="00DA359F">
      <w:pPr>
        <w:pStyle w:val="SangriaFrancesaArticulo"/>
      </w:pPr>
      <w:r w:rsidRPr="00DA359F">
        <w:rPr>
          <w:rStyle w:val="TextoNormalNegritaCaracter"/>
        </w:rPr>
        <w:t>En general.</w:t>
      </w:r>
      <w:r w:rsidRPr="00DA359F">
        <w:rPr>
          <w:rStyle w:val="TextoNormalCaracter"/>
        </w:rPr>
        <w:t>-</w:t>
      </w:r>
      <w:r>
        <w:t xml:space="preserve"> Auto </w:t>
      </w:r>
      <w:hyperlink w:anchor="AUTO_2023_427" w:history="1">
        <w:r w:rsidRPr="00DA359F">
          <w:rPr>
            <w:rStyle w:val="TextoNormalCaracter"/>
          </w:rPr>
          <w:t>427/2023</w:t>
        </w:r>
      </w:hyperlink>
      <w:r>
        <w:t>, VP.</w:t>
      </w:r>
    </w:p>
    <w:p w14:paraId="2BBDB8A2" w14:textId="616BA386" w:rsidR="00DA359F" w:rsidRDefault="00DA359F" w:rsidP="00DA359F">
      <w:pPr>
        <w:pStyle w:val="SangriaFrancesaArticulo"/>
      </w:pPr>
      <w:r w:rsidRPr="00DA359F">
        <w:rPr>
          <w:rStyle w:val="TextoNormalNegritaCaracter"/>
        </w:rPr>
        <w:t>§ 51.</w:t>
      </w:r>
      <w:r w:rsidRPr="00DA359F">
        <w:rPr>
          <w:rStyle w:val="TextoNormalCaracter"/>
        </w:rPr>
        <w:t>-</w:t>
      </w:r>
      <w:r>
        <w:t xml:space="preserve"> Auto </w:t>
      </w:r>
      <w:hyperlink w:anchor="AUTO_2023_427" w:history="1">
        <w:r w:rsidRPr="00DA359F">
          <w:rPr>
            <w:rStyle w:val="TextoNormalCaracter"/>
          </w:rPr>
          <w:t>427/2023</w:t>
        </w:r>
      </w:hyperlink>
      <w:r>
        <w:t>, f. 2.</w:t>
      </w:r>
    </w:p>
    <w:p w14:paraId="2C31E664" w14:textId="1602B818" w:rsidR="00DA359F" w:rsidRDefault="00DA359F" w:rsidP="00DA359F">
      <w:pPr>
        <w:pStyle w:val="SangriaFrancesaArticulo"/>
      </w:pPr>
      <w:r w:rsidRPr="00DA359F">
        <w:rPr>
          <w:rStyle w:val="TextoNormalNegritaCaracter"/>
        </w:rPr>
        <w:t>§ 86.</w:t>
      </w:r>
      <w:r w:rsidRPr="00DA359F">
        <w:rPr>
          <w:rStyle w:val="TextoNormalCaracter"/>
        </w:rPr>
        <w:t>-</w:t>
      </w:r>
      <w:r>
        <w:t xml:space="preserve"> Auto </w:t>
      </w:r>
      <w:hyperlink w:anchor="AUTO_2023_427" w:history="1">
        <w:r w:rsidRPr="00DA359F">
          <w:rPr>
            <w:rStyle w:val="TextoNormalCaracter"/>
          </w:rPr>
          <w:t>427/2023</w:t>
        </w:r>
      </w:hyperlink>
      <w:r>
        <w:t>, f. 2.</w:t>
      </w:r>
    </w:p>
    <w:p w14:paraId="6F390377" w14:textId="7946CCF6" w:rsidR="00DA359F" w:rsidRDefault="00DA359F" w:rsidP="00DA359F">
      <w:pPr>
        <w:pStyle w:val="SangriaFrancesaArticulo"/>
      </w:pPr>
    </w:p>
    <w:p w14:paraId="5C9F86DB" w14:textId="77777777" w:rsidR="00DA359F" w:rsidRDefault="00DA359F" w:rsidP="00DA359F">
      <w:pPr>
        <w:pStyle w:val="TextoNormalNegritaCursivandice"/>
        <w:keepNext/>
      </w:pPr>
      <w:r>
        <w:t>Sentencia del Tribunal de Justicia de la Unión Europea de 24 de junio de 2019 (Comisión Europea c. Polonia, asunto C-619/18)</w:t>
      </w:r>
    </w:p>
    <w:p w14:paraId="0EBBB856" w14:textId="2D3B34A2"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128" w:history="1">
        <w:r w:rsidRPr="00DA359F">
          <w:rPr>
            <w:rStyle w:val="TextoNormalCaracter"/>
          </w:rPr>
          <w:t>128/2023</w:t>
        </w:r>
      </w:hyperlink>
      <w:r>
        <w:t>, VP.</w:t>
      </w:r>
    </w:p>
    <w:p w14:paraId="1547267D" w14:textId="69299AB5" w:rsidR="00DA359F" w:rsidRDefault="00DA359F" w:rsidP="00DA359F">
      <w:pPr>
        <w:pStyle w:val="SangriaFrancesaArticulo"/>
      </w:pPr>
      <w:r w:rsidRPr="00DA359F">
        <w:rPr>
          <w:rStyle w:val="TextoNormalNegritaCaracter"/>
        </w:rPr>
        <w:t>§ 47.</w:t>
      </w:r>
      <w:r w:rsidRPr="00DA359F">
        <w:rPr>
          <w:rStyle w:val="TextoNormalCaracter"/>
        </w:rPr>
        <w:t>-</w:t>
      </w:r>
      <w:r>
        <w:t xml:space="preserve"> Sentencia </w:t>
      </w:r>
      <w:hyperlink w:anchor="SENTENCIA_2023_128" w:history="1">
        <w:r w:rsidRPr="00DA359F">
          <w:rPr>
            <w:rStyle w:val="TextoNormalCaracter"/>
          </w:rPr>
          <w:t>128/2023</w:t>
        </w:r>
      </w:hyperlink>
      <w:r>
        <w:t>, VP.</w:t>
      </w:r>
    </w:p>
    <w:p w14:paraId="7C313EBF" w14:textId="75F6E772" w:rsidR="00DA359F" w:rsidRDefault="00DA359F" w:rsidP="00DA359F">
      <w:pPr>
        <w:pStyle w:val="SangriaFrancesaArticulo"/>
      </w:pPr>
      <w:r w:rsidRPr="00DA359F">
        <w:rPr>
          <w:rStyle w:val="TextoNormalNegritaCaracter"/>
        </w:rPr>
        <w:t>§ 55.</w:t>
      </w:r>
      <w:r w:rsidRPr="00DA359F">
        <w:rPr>
          <w:rStyle w:val="TextoNormalCaracter"/>
        </w:rPr>
        <w:t>-</w:t>
      </w:r>
      <w:r>
        <w:t xml:space="preserve"> Sentencia </w:t>
      </w:r>
      <w:hyperlink w:anchor="SENTENCIA_2023_128" w:history="1">
        <w:r w:rsidRPr="00DA359F">
          <w:rPr>
            <w:rStyle w:val="TextoNormalCaracter"/>
          </w:rPr>
          <w:t>128/2023</w:t>
        </w:r>
      </w:hyperlink>
      <w:r>
        <w:t>, VP.</w:t>
      </w:r>
    </w:p>
    <w:p w14:paraId="1BD1B4A5" w14:textId="570BD683" w:rsidR="00DA359F" w:rsidRDefault="00DA359F" w:rsidP="00DA359F">
      <w:pPr>
        <w:pStyle w:val="SangriaFrancesaArticulo"/>
      </w:pPr>
    </w:p>
    <w:p w14:paraId="7EC32CBF" w14:textId="77777777" w:rsidR="00DA359F" w:rsidRDefault="00DA359F" w:rsidP="00DA359F">
      <w:pPr>
        <w:pStyle w:val="TextoNormalNegritaCursivandice"/>
        <w:keepNext/>
      </w:pPr>
      <w:r>
        <w:t>Sentencia del Tribunal de Justicia de la Unión Europea de 19 de noviembre de 2019 (A.K. c. Krajowa Rada Sadownictwa y CP y DO c. Sad Najwyzszy, asuntos acumulados C-585/18, C-624/18 y C-625/18)</w:t>
      </w:r>
    </w:p>
    <w:p w14:paraId="25BA6B19" w14:textId="5A97A767"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128" w:history="1">
        <w:r w:rsidRPr="00DA359F">
          <w:rPr>
            <w:rStyle w:val="TextoNormalCaracter"/>
          </w:rPr>
          <w:t>128/2023</w:t>
        </w:r>
      </w:hyperlink>
      <w:r>
        <w:t>, VP.</w:t>
      </w:r>
    </w:p>
    <w:p w14:paraId="49BC58FB" w14:textId="55628956" w:rsidR="00DA359F" w:rsidRDefault="00DA359F" w:rsidP="00DA359F">
      <w:pPr>
        <w:pStyle w:val="SangriaFrancesaArticulo"/>
      </w:pPr>
      <w:r w:rsidRPr="00DA359F">
        <w:rPr>
          <w:rStyle w:val="TextoNormalNegritaCaracter"/>
        </w:rPr>
        <w:t>§ 127.</w:t>
      </w:r>
      <w:r w:rsidRPr="00DA359F">
        <w:rPr>
          <w:rStyle w:val="TextoNormalCaracter"/>
        </w:rPr>
        <w:t>-</w:t>
      </w:r>
      <w:r>
        <w:t xml:space="preserve"> Sentencia </w:t>
      </w:r>
      <w:hyperlink w:anchor="SENTENCIA_2023_128" w:history="1">
        <w:r w:rsidRPr="00DA359F">
          <w:rPr>
            <w:rStyle w:val="TextoNormalCaracter"/>
          </w:rPr>
          <w:t>128/2023</w:t>
        </w:r>
      </w:hyperlink>
      <w:r>
        <w:t>, VP.</w:t>
      </w:r>
    </w:p>
    <w:p w14:paraId="3A74B54B" w14:textId="7D0765E1" w:rsidR="00DA359F" w:rsidRDefault="00DA359F" w:rsidP="00DA359F">
      <w:pPr>
        <w:pStyle w:val="SangriaFrancesaArticulo"/>
      </w:pPr>
      <w:r w:rsidRPr="00DA359F">
        <w:rPr>
          <w:rStyle w:val="TextoNormalNegritaCaracter"/>
        </w:rPr>
        <w:t>§ 128.</w:t>
      </w:r>
      <w:r w:rsidRPr="00DA359F">
        <w:rPr>
          <w:rStyle w:val="TextoNormalCaracter"/>
        </w:rPr>
        <w:t>-</w:t>
      </w:r>
      <w:r>
        <w:t xml:space="preserve"> Sentencia </w:t>
      </w:r>
      <w:hyperlink w:anchor="SENTENCIA_2023_128" w:history="1">
        <w:r w:rsidRPr="00DA359F">
          <w:rPr>
            <w:rStyle w:val="TextoNormalCaracter"/>
          </w:rPr>
          <w:t>128/2023</w:t>
        </w:r>
      </w:hyperlink>
      <w:r>
        <w:t>, VP.</w:t>
      </w:r>
    </w:p>
    <w:p w14:paraId="7AEEB47B" w14:textId="4CFE6C42" w:rsidR="00DA359F" w:rsidRDefault="00DA359F" w:rsidP="00DA359F">
      <w:pPr>
        <w:pStyle w:val="SangriaFrancesaArticulo"/>
      </w:pPr>
      <w:r w:rsidRPr="00DA359F">
        <w:rPr>
          <w:rStyle w:val="TextoNormalNegritaCaracter"/>
        </w:rPr>
        <w:t>§ 137.</w:t>
      </w:r>
      <w:r w:rsidRPr="00DA359F">
        <w:rPr>
          <w:rStyle w:val="TextoNormalCaracter"/>
        </w:rPr>
        <w:t>-</w:t>
      </w:r>
      <w:r>
        <w:t xml:space="preserve"> Sentencia </w:t>
      </w:r>
      <w:hyperlink w:anchor="SENTENCIA_2023_128" w:history="1">
        <w:r w:rsidRPr="00DA359F">
          <w:rPr>
            <w:rStyle w:val="TextoNormalCaracter"/>
          </w:rPr>
          <w:t>128/2023</w:t>
        </w:r>
      </w:hyperlink>
      <w:r>
        <w:t>, VP.</w:t>
      </w:r>
    </w:p>
    <w:p w14:paraId="7A27B339" w14:textId="22F57638" w:rsidR="00DA359F" w:rsidRDefault="00DA359F" w:rsidP="00DA359F">
      <w:pPr>
        <w:pStyle w:val="SangriaFrancesaArticulo"/>
      </w:pPr>
      <w:r w:rsidRPr="00DA359F">
        <w:rPr>
          <w:rStyle w:val="TextoNormalNegritaCaracter"/>
        </w:rPr>
        <w:t>§ 138.</w:t>
      </w:r>
      <w:r w:rsidRPr="00DA359F">
        <w:rPr>
          <w:rStyle w:val="TextoNormalCaracter"/>
        </w:rPr>
        <w:t>-</w:t>
      </w:r>
      <w:r>
        <w:t xml:space="preserve"> Sentencia </w:t>
      </w:r>
      <w:hyperlink w:anchor="SENTENCIA_2023_128" w:history="1">
        <w:r w:rsidRPr="00DA359F">
          <w:rPr>
            <w:rStyle w:val="TextoNormalCaracter"/>
          </w:rPr>
          <w:t>128/2023</w:t>
        </w:r>
      </w:hyperlink>
      <w:r>
        <w:t>, VP.</w:t>
      </w:r>
    </w:p>
    <w:p w14:paraId="09B69F74" w14:textId="6AD7C278" w:rsidR="00DA359F" w:rsidRDefault="00DA359F" w:rsidP="00DA359F">
      <w:pPr>
        <w:pStyle w:val="SangriaFrancesaArticulo"/>
      </w:pPr>
      <w:r w:rsidRPr="00DA359F">
        <w:rPr>
          <w:rStyle w:val="TextoNormalNegritaCaracter"/>
        </w:rPr>
        <w:t>§ 142.</w:t>
      </w:r>
      <w:r w:rsidRPr="00DA359F">
        <w:rPr>
          <w:rStyle w:val="TextoNormalCaracter"/>
        </w:rPr>
        <w:t>-</w:t>
      </w:r>
      <w:r>
        <w:t xml:space="preserve"> Sentencia </w:t>
      </w:r>
      <w:hyperlink w:anchor="SENTENCIA_2023_128" w:history="1">
        <w:r w:rsidRPr="00DA359F">
          <w:rPr>
            <w:rStyle w:val="TextoNormalCaracter"/>
          </w:rPr>
          <w:t>128/2023</w:t>
        </w:r>
      </w:hyperlink>
      <w:r>
        <w:t>, VP.</w:t>
      </w:r>
    </w:p>
    <w:p w14:paraId="212583A6" w14:textId="3D94F173" w:rsidR="00DA359F" w:rsidRDefault="00DA359F" w:rsidP="00DA359F">
      <w:pPr>
        <w:pStyle w:val="SangriaFrancesaArticulo"/>
      </w:pPr>
      <w:r w:rsidRPr="00DA359F">
        <w:rPr>
          <w:rStyle w:val="TextoNormalNegritaCaracter"/>
        </w:rPr>
        <w:t>§ 144.</w:t>
      </w:r>
      <w:r w:rsidRPr="00DA359F">
        <w:rPr>
          <w:rStyle w:val="TextoNormalCaracter"/>
        </w:rPr>
        <w:t>-</w:t>
      </w:r>
      <w:r>
        <w:t xml:space="preserve"> Sentencia </w:t>
      </w:r>
      <w:hyperlink w:anchor="SENTENCIA_2023_128" w:history="1">
        <w:r w:rsidRPr="00DA359F">
          <w:rPr>
            <w:rStyle w:val="TextoNormalCaracter"/>
          </w:rPr>
          <w:t>128/2023</w:t>
        </w:r>
      </w:hyperlink>
      <w:r>
        <w:t>, VP.</w:t>
      </w:r>
    </w:p>
    <w:p w14:paraId="7927D219" w14:textId="07B40B63" w:rsidR="00DA359F" w:rsidRDefault="00DA359F" w:rsidP="00DA359F">
      <w:pPr>
        <w:pStyle w:val="SangriaFrancesaArticulo"/>
      </w:pPr>
    </w:p>
    <w:p w14:paraId="217DD533" w14:textId="77777777" w:rsidR="00DA359F" w:rsidRDefault="00DA359F" w:rsidP="00DA359F">
      <w:pPr>
        <w:pStyle w:val="TextoNormalNegritaCursivandice"/>
        <w:keepNext/>
      </w:pPr>
      <w:r>
        <w:t>Sentencia del Tribunal de Justicia de la Unión Europea de 19 de marzo de 2020 [Sánchez Ruiz y Fernández Álvarez y otras c. la Comunidad de Madrid (Servicio Madrileño de Salud), asuntos acumulados C-103/18 y C-429/18]</w:t>
      </w:r>
    </w:p>
    <w:p w14:paraId="034A05A8" w14:textId="46EB7497" w:rsidR="00DA359F" w:rsidRDefault="00DA359F" w:rsidP="00DA359F">
      <w:pPr>
        <w:pStyle w:val="SangriaFrancesaArticulo"/>
      </w:pPr>
      <w:r w:rsidRPr="00DA359F">
        <w:rPr>
          <w:rStyle w:val="TextoNormalNegritaCaracter"/>
        </w:rPr>
        <w:t>En general.</w:t>
      </w:r>
      <w:r w:rsidRPr="00DA359F">
        <w:rPr>
          <w:rStyle w:val="TextoNormalCaracter"/>
        </w:rPr>
        <w:t>-</w:t>
      </w:r>
      <w:r>
        <w:t xml:space="preserve"> Auto </w:t>
      </w:r>
      <w:hyperlink w:anchor="AUTO_2023_427" w:history="1">
        <w:r w:rsidRPr="00DA359F">
          <w:rPr>
            <w:rStyle w:val="TextoNormalCaracter"/>
          </w:rPr>
          <w:t>427/2023</w:t>
        </w:r>
      </w:hyperlink>
      <w:r>
        <w:t>, VP.</w:t>
      </w:r>
    </w:p>
    <w:p w14:paraId="6BDE4163" w14:textId="49A252F4" w:rsidR="00DA359F" w:rsidRDefault="00DA359F" w:rsidP="00DA359F">
      <w:pPr>
        <w:pStyle w:val="SangriaFrancesaArticulo"/>
      </w:pPr>
      <w:r w:rsidRPr="00DA359F">
        <w:rPr>
          <w:rStyle w:val="TextoNormalNegritaCaracter"/>
        </w:rPr>
        <w:t>§ 85 y 87.</w:t>
      </w:r>
      <w:r w:rsidRPr="00DA359F">
        <w:rPr>
          <w:rStyle w:val="TextoNormalCaracter"/>
        </w:rPr>
        <w:t>-</w:t>
      </w:r>
      <w:r>
        <w:t xml:space="preserve"> Auto </w:t>
      </w:r>
      <w:hyperlink w:anchor="AUTO_2023_427" w:history="1">
        <w:r w:rsidRPr="00DA359F">
          <w:rPr>
            <w:rStyle w:val="TextoNormalCaracter"/>
          </w:rPr>
          <w:t>427/2023</w:t>
        </w:r>
      </w:hyperlink>
      <w:r>
        <w:t>, f. 2.</w:t>
      </w:r>
    </w:p>
    <w:p w14:paraId="1D5B00E6" w14:textId="1DA8EDE9" w:rsidR="00DA359F" w:rsidRDefault="00DA359F" w:rsidP="00DA359F">
      <w:pPr>
        <w:pStyle w:val="SangriaFrancesaArticulo"/>
      </w:pPr>
      <w:r w:rsidRPr="00DA359F">
        <w:rPr>
          <w:rStyle w:val="TextoNormalNegritaCaracter"/>
        </w:rPr>
        <w:t>§ 86 y 88.</w:t>
      </w:r>
      <w:r w:rsidRPr="00DA359F">
        <w:rPr>
          <w:rStyle w:val="TextoNormalCaracter"/>
        </w:rPr>
        <w:t>-</w:t>
      </w:r>
      <w:r>
        <w:t xml:space="preserve"> Auto </w:t>
      </w:r>
      <w:hyperlink w:anchor="AUTO_2023_427" w:history="1">
        <w:r w:rsidRPr="00DA359F">
          <w:rPr>
            <w:rStyle w:val="TextoNormalCaracter"/>
          </w:rPr>
          <w:t>427/2023</w:t>
        </w:r>
      </w:hyperlink>
      <w:r>
        <w:t>, f. 2.</w:t>
      </w:r>
    </w:p>
    <w:p w14:paraId="26813DD8" w14:textId="138E65DA" w:rsidR="00DA359F" w:rsidRDefault="00DA359F" w:rsidP="00DA359F">
      <w:pPr>
        <w:pStyle w:val="SangriaFrancesaArticulo"/>
      </w:pPr>
      <w:r w:rsidRPr="00DA359F">
        <w:rPr>
          <w:rStyle w:val="TextoNormalNegritaCaracter"/>
        </w:rPr>
        <w:t>§ 120.</w:t>
      </w:r>
      <w:r w:rsidRPr="00DA359F">
        <w:rPr>
          <w:rStyle w:val="TextoNormalCaracter"/>
        </w:rPr>
        <w:t>-</w:t>
      </w:r>
      <w:r>
        <w:t xml:space="preserve"> Auto </w:t>
      </w:r>
      <w:hyperlink w:anchor="AUTO_2023_427" w:history="1">
        <w:r w:rsidRPr="00DA359F">
          <w:rPr>
            <w:rStyle w:val="TextoNormalCaracter"/>
          </w:rPr>
          <w:t>427/2023</w:t>
        </w:r>
      </w:hyperlink>
      <w:r>
        <w:t>, f. 2.</w:t>
      </w:r>
    </w:p>
    <w:p w14:paraId="645824CC" w14:textId="24889322" w:rsidR="00DA359F" w:rsidRDefault="00DA359F" w:rsidP="00DA359F">
      <w:pPr>
        <w:pStyle w:val="SangriaFrancesaArticulo"/>
      </w:pPr>
    </w:p>
    <w:p w14:paraId="64FE1A9B" w14:textId="77777777" w:rsidR="00DA359F" w:rsidRDefault="00DA359F" w:rsidP="00DA359F">
      <w:pPr>
        <w:pStyle w:val="TextoNormalNegritaCursivandice"/>
        <w:keepNext/>
      </w:pPr>
      <w:r>
        <w:t>Sentencia del Tribunal de Justicia de la Unión Europea de 16 de julio de 2020 (CY c. Caixabank, S.A. y LG y PK c. Banco Bilbao Vizcaya Argentaria, S.A., asuntos acumulados C-224/19 y C-259/19)</w:t>
      </w:r>
    </w:p>
    <w:p w14:paraId="4CA41912" w14:textId="7DAF6A93"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91" w:history="1">
        <w:r w:rsidRPr="00DA359F">
          <w:rPr>
            <w:rStyle w:val="TextoNormalCaracter"/>
          </w:rPr>
          <w:t>91/2023</w:t>
        </w:r>
      </w:hyperlink>
      <w:r>
        <w:t>, ff. 1, 4.</w:t>
      </w:r>
    </w:p>
    <w:p w14:paraId="5CF8DA04" w14:textId="49534AF6" w:rsidR="00DA359F" w:rsidRDefault="00DA359F" w:rsidP="00DA359F">
      <w:pPr>
        <w:pStyle w:val="SangriaFrancesaArticulo"/>
      </w:pPr>
      <w:r w:rsidRPr="00DA359F">
        <w:rPr>
          <w:rStyle w:val="TextoNormalNegritaCaracter"/>
        </w:rPr>
        <w:t>§ 98.</w:t>
      </w:r>
      <w:r w:rsidRPr="00DA359F">
        <w:rPr>
          <w:rStyle w:val="TextoNormalCaracter"/>
        </w:rPr>
        <w:t>-</w:t>
      </w:r>
      <w:r>
        <w:t xml:space="preserve"> Sentencia </w:t>
      </w:r>
      <w:hyperlink w:anchor="SENTENCIA_2023_91" w:history="1">
        <w:r w:rsidRPr="00DA359F">
          <w:rPr>
            <w:rStyle w:val="TextoNormalCaracter"/>
          </w:rPr>
          <w:t>91/2023</w:t>
        </w:r>
      </w:hyperlink>
      <w:r>
        <w:t>, f. 4.</w:t>
      </w:r>
    </w:p>
    <w:p w14:paraId="4C383862" w14:textId="6F8B0887" w:rsidR="00DA359F" w:rsidRDefault="00DA359F" w:rsidP="00DA359F">
      <w:pPr>
        <w:pStyle w:val="SangriaFrancesaArticulo"/>
      </w:pPr>
      <w:r w:rsidRPr="00DA359F">
        <w:rPr>
          <w:rStyle w:val="TextoNormalNegritaCaracter"/>
        </w:rPr>
        <w:t>§ 99.</w:t>
      </w:r>
      <w:r w:rsidRPr="00DA359F">
        <w:rPr>
          <w:rStyle w:val="TextoNormalCaracter"/>
        </w:rPr>
        <w:t>-</w:t>
      </w:r>
      <w:r>
        <w:t xml:space="preserve"> Sentencias </w:t>
      </w:r>
      <w:hyperlink w:anchor="SENTENCIA_2023_91" w:history="1">
        <w:r w:rsidRPr="00DA359F">
          <w:rPr>
            <w:rStyle w:val="TextoNormalCaracter"/>
          </w:rPr>
          <w:t>91/2023</w:t>
        </w:r>
      </w:hyperlink>
      <w:r>
        <w:t xml:space="preserve">, f. 4; </w:t>
      </w:r>
      <w:hyperlink w:anchor="SENTENCIA_2023_96" w:history="1">
        <w:r w:rsidRPr="00DA359F">
          <w:rPr>
            <w:rStyle w:val="TextoNormalCaracter"/>
          </w:rPr>
          <w:t>96/2023</w:t>
        </w:r>
      </w:hyperlink>
      <w:r>
        <w:t>, ff. 1, 2.</w:t>
      </w:r>
    </w:p>
    <w:p w14:paraId="265D7502" w14:textId="6A5EA6F7" w:rsidR="00DA359F" w:rsidRDefault="00DA359F" w:rsidP="00DA359F">
      <w:pPr>
        <w:pStyle w:val="SangriaFrancesaArticulo"/>
      </w:pPr>
    </w:p>
    <w:p w14:paraId="3E9531D1" w14:textId="77777777" w:rsidR="00DA359F" w:rsidRDefault="00DA359F" w:rsidP="00DA359F">
      <w:pPr>
        <w:pStyle w:val="TextoNormalNegritaCursivandice"/>
        <w:keepNext/>
      </w:pPr>
      <w:r>
        <w:t>Sentencia del Tribunal de Justicia de la Unión Europea de 8 de octubre de 2020 (MO c. Subdelegación del Gobierno en Toledo, asunto C-568/19)</w:t>
      </w:r>
    </w:p>
    <w:p w14:paraId="6BF1FD9D" w14:textId="6485134F"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Sentencias </w:t>
      </w:r>
      <w:hyperlink w:anchor="SENTENCIA_2023_80" w:history="1">
        <w:r w:rsidRPr="00DA359F">
          <w:rPr>
            <w:rStyle w:val="TextoNormalCaracter"/>
          </w:rPr>
          <w:t>80/2023</w:t>
        </w:r>
      </w:hyperlink>
      <w:r>
        <w:t xml:space="preserve">, f. 3; </w:t>
      </w:r>
      <w:hyperlink w:anchor="SENTENCIA_2023_86" w:history="1">
        <w:r w:rsidRPr="00DA359F">
          <w:rPr>
            <w:rStyle w:val="TextoNormalCaracter"/>
          </w:rPr>
          <w:t>86/2023</w:t>
        </w:r>
      </w:hyperlink>
      <w:r>
        <w:t xml:space="preserve">, ff. 1; </w:t>
      </w:r>
      <w:hyperlink w:anchor="SENTENCIA_2023_87" w:history="1">
        <w:r w:rsidRPr="00DA359F">
          <w:rPr>
            <w:rStyle w:val="TextoNormalCaracter"/>
          </w:rPr>
          <w:t>87/2023</w:t>
        </w:r>
      </w:hyperlink>
      <w:r>
        <w:t xml:space="preserve">, ff. 2, 3; </w:t>
      </w:r>
      <w:hyperlink w:anchor="SENTENCIA_2023_130" w:history="1">
        <w:r w:rsidRPr="00DA359F">
          <w:rPr>
            <w:rStyle w:val="TextoNormalCaracter"/>
          </w:rPr>
          <w:t>130/2023</w:t>
        </w:r>
      </w:hyperlink>
      <w:r>
        <w:t xml:space="preserve">, f. único; </w:t>
      </w:r>
      <w:hyperlink w:anchor="SENTENCIA_2023_150" w:history="1">
        <w:r w:rsidRPr="00DA359F">
          <w:rPr>
            <w:rStyle w:val="TextoNormalCaracter"/>
          </w:rPr>
          <w:t>150/2023</w:t>
        </w:r>
      </w:hyperlink>
      <w:r>
        <w:t>, f. 1.</w:t>
      </w:r>
    </w:p>
    <w:p w14:paraId="687735F5" w14:textId="437AEA58" w:rsidR="00DA359F" w:rsidRDefault="00DA359F" w:rsidP="00DA359F">
      <w:pPr>
        <w:pStyle w:val="SangriaFrancesaArticulo"/>
      </w:pPr>
      <w:r w:rsidRPr="00DA359F">
        <w:rPr>
          <w:rStyle w:val="TextoNormalNegritaCaracter"/>
        </w:rPr>
        <w:t>§ 35.</w:t>
      </w:r>
      <w:r w:rsidRPr="00DA359F">
        <w:rPr>
          <w:rStyle w:val="TextoNormalCaracter"/>
        </w:rPr>
        <w:t>-</w:t>
      </w:r>
      <w:r>
        <w:t xml:space="preserve"> Sentencias </w:t>
      </w:r>
      <w:hyperlink w:anchor="SENTENCIA_2023_80" w:history="1">
        <w:r w:rsidRPr="00DA359F">
          <w:rPr>
            <w:rStyle w:val="TextoNormalCaracter"/>
          </w:rPr>
          <w:t>80/2023</w:t>
        </w:r>
      </w:hyperlink>
      <w:r>
        <w:t xml:space="preserve">, f. 3; </w:t>
      </w:r>
      <w:hyperlink w:anchor="SENTENCIA_2023_86" w:history="1">
        <w:r w:rsidRPr="00DA359F">
          <w:rPr>
            <w:rStyle w:val="TextoNormalCaracter"/>
          </w:rPr>
          <w:t>86/2023</w:t>
        </w:r>
      </w:hyperlink>
      <w:r>
        <w:t xml:space="preserve">, f. 3; </w:t>
      </w:r>
      <w:hyperlink w:anchor="SENTENCIA_2023_87" w:history="1">
        <w:r w:rsidRPr="00DA359F">
          <w:rPr>
            <w:rStyle w:val="TextoNormalCaracter"/>
          </w:rPr>
          <w:t>87/2023</w:t>
        </w:r>
      </w:hyperlink>
      <w:r>
        <w:t>, f. 3.</w:t>
      </w:r>
    </w:p>
    <w:p w14:paraId="75FE77D4" w14:textId="3E47EDB6" w:rsidR="00DA359F" w:rsidRDefault="00DA359F" w:rsidP="00DA359F">
      <w:pPr>
        <w:pStyle w:val="SangriaFrancesaArticulo"/>
      </w:pPr>
    </w:p>
    <w:p w14:paraId="73B6ED91" w14:textId="77777777" w:rsidR="00DA359F" w:rsidRDefault="00DA359F" w:rsidP="00DA359F">
      <w:pPr>
        <w:pStyle w:val="TextoNormalNegritaCursivandice"/>
        <w:keepNext/>
      </w:pPr>
      <w:r>
        <w:t>Sentencia del Tribunal de Justicia de la Unión Europea de 11 de febrero de 2021 (M.V. y otros c. Organismos Topikis Aftodioikisis "Dimos Agiou Nikolaou", asunto C-760/18)</w:t>
      </w:r>
    </w:p>
    <w:p w14:paraId="5AF022BA" w14:textId="3E480E7B" w:rsidR="00DA359F" w:rsidRDefault="00DA359F" w:rsidP="00DA359F">
      <w:pPr>
        <w:pStyle w:val="SangriaFrancesaArticulo"/>
      </w:pPr>
      <w:r w:rsidRPr="00DA359F">
        <w:rPr>
          <w:rStyle w:val="TextoNormalNegritaCaracter"/>
        </w:rPr>
        <w:t>§ 63.</w:t>
      </w:r>
      <w:r w:rsidRPr="00DA359F">
        <w:rPr>
          <w:rStyle w:val="TextoNormalCaracter"/>
        </w:rPr>
        <w:t>-</w:t>
      </w:r>
      <w:r>
        <w:t xml:space="preserve"> Auto </w:t>
      </w:r>
      <w:hyperlink w:anchor="AUTO_2023_427" w:history="1">
        <w:r w:rsidRPr="00DA359F">
          <w:rPr>
            <w:rStyle w:val="TextoNormalCaracter"/>
          </w:rPr>
          <w:t>427/2023</w:t>
        </w:r>
      </w:hyperlink>
      <w:r>
        <w:t>, f. 2.</w:t>
      </w:r>
    </w:p>
    <w:p w14:paraId="33398CBC" w14:textId="01815D97" w:rsidR="00DA359F" w:rsidRDefault="00DA359F" w:rsidP="00DA359F">
      <w:pPr>
        <w:pStyle w:val="SangriaFrancesaArticulo"/>
      </w:pPr>
    </w:p>
    <w:p w14:paraId="6E780323" w14:textId="77777777" w:rsidR="00DA359F" w:rsidRDefault="00DA359F" w:rsidP="00DA359F">
      <w:pPr>
        <w:pStyle w:val="TextoNormalNegritaCursivandice"/>
        <w:keepNext/>
      </w:pPr>
      <w:r>
        <w:t>Sentencia del Tribunal de Justicia de la Unión Europea de 2 de marzo de 2021 (A.B. y otros c. Krajowa Rada Sadownictwa y otros, asunto C-824/18)</w:t>
      </w:r>
    </w:p>
    <w:p w14:paraId="6C54D5B5" w14:textId="195AB223"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128" w:history="1">
        <w:r w:rsidRPr="00DA359F">
          <w:rPr>
            <w:rStyle w:val="TextoNormalCaracter"/>
          </w:rPr>
          <w:t>128/2023</w:t>
        </w:r>
      </w:hyperlink>
      <w:r>
        <w:t>, VP.</w:t>
      </w:r>
    </w:p>
    <w:p w14:paraId="0F71F50F" w14:textId="2DA79776" w:rsidR="00DA359F" w:rsidRDefault="00DA359F" w:rsidP="00DA359F">
      <w:pPr>
        <w:pStyle w:val="SangriaFrancesaArticulo"/>
      </w:pPr>
      <w:r w:rsidRPr="00DA359F">
        <w:rPr>
          <w:rStyle w:val="TextoNormalNegritaCaracter"/>
        </w:rPr>
        <w:t>§ 125.</w:t>
      </w:r>
      <w:r w:rsidRPr="00DA359F">
        <w:rPr>
          <w:rStyle w:val="TextoNormalCaracter"/>
        </w:rPr>
        <w:t>-</w:t>
      </w:r>
      <w:r>
        <w:t xml:space="preserve"> Sentencia </w:t>
      </w:r>
      <w:hyperlink w:anchor="SENTENCIA_2023_128" w:history="1">
        <w:r w:rsidRPr="00DA359F">
          <w:rPr>
            <w:rStyle w:val="TextoNormalCaracter"/>
          </w:rPr>
          <w:t>128/2023</w:t>
        </w:r>
      </w:hyperlink>
      <w:r>
        <w:t>, VP.</w:t>
      </w:r>
    </w:p>
    <w:p w14:paraId="39F7F27C" w14:textId="5D3F18ED" w:rsidR="00DA359F" w:rsidRDefault="00DA359F" w:rsidP="00DA359F">
      <w:pPr>
        <w:pStyle w:val="SangriaFrancesaArticulo"/>
      </w:pPr>
      <w:r w:rsidRPr="00DA359F">
        <w:rPr>
          <w:rStyle w:val="TextoNormalNegritaCaracter"/>
        </w:rPr>
        <w:t>§ 131.</w:t>
      </w:r>
      <w:r w:rsidRPr="00DA359F">
        <w:rPr>
          <w:rStyle w:val="TextoNormalCaracter"/>
        </w:rPr>
        <w:t>-</w:t>
      </w:r>
      <w:r>
        <w:t xml:space="preserve"> Sentencia </w:t>
      </w:r>
      <w:hyperlink w:anchor="SENTENCIA_2023_128" w:history="1">
        <w:r w:rsidRPr="00DA359F">
          <w:rPr>
            <w:rStyle w:val="TextoNormalCaracter"/>
          </w:rPr>
          <w:t>128/2023</w:t>
        </w:r>
      </w:hyperlink>
      <w:r>
        <w:t>, VP.</w:t>
      </w:r>
    </w:p>
    <w:p w14:paraId="394C2AC1" w14:textId="3A1104F5" w:rsidR="00DA359F" w:rsidRDefault="00DA359F" w:rsidP="00DA359F">
      <w:pPr>
        <w:pStyle w:val="SangriaFrancesaArticulo"/>
      </w:pPr>
    </w:p>
    <w:p w14:paraId="17475487" w14:textId="77777777" w:rsidR="00DA359F" w:rsidRDefault="00DA359F" w:rsidP="00DA359F">
      <w:pPr>
        <w:pStyle w:val="TextoNormalNegritaCursivandice"/>
        <w:keepNext/>
      </w:pPr>
      <w:r>
        <w:t>Sentencia del Tribunal de Justicia de la Unión Europea de 20 de abril de 2021 (Repubblika c. Il-Prim Ministru, asunto C-896/19)</w:t>
      </w:r>
    </w:p>
    <w:p w14:paraId="6F9EC5B2" w14:textId="08E57DF9" w:rsidR="00DA359F" w:rsidRDefault="00DA359F" w:rsidP="00DA359F">
      <w:pPr>
        <w:pStyle w:val="SangriaFrancesaArticulo"/>
      </w:pPr>
      <w:r w:rsidRPr="00DA359F">
        <w:rPr>
          <w:rStyle w:val="TextoNormalNegritaCaracter"/>
        </w:rPr>
        <w:t>§ 62.</w:t>
      </w:r>
      <w:r w:rsidRPr="00DA359F">
        <w:rPr>
          <w:rStyle w:val="TextoNormalCaracter"/>
        </w:rPr>
        <w:t>-</w:t>
      </w:r>
      <w:r>
        <w:t xml:space="preserve"> Sentencia </w:t>
      </w:r>
      <w:hyperlink w:anchor="SENTENCIA_2023_128" w:history="1">
        <w:r w:rsidRPr="00DA359F">
          <w:rPr>
            <w:rStyle w:val="TextoNormalCaracter"/>
          </w:rPr>
          <w:t>128/2023</w:t>
        </w:r>
      </w:hyperlink>
      <w:r>
        <w:t>, VP.</w:t>
      </w:r>
    </w:p>
    <w:p w14:paraId="05671AC3" w14:textId="6BB2C190" w:rsidR="00DA359F" w:rsidRDefault="00DA359F" w:rsidP="00DA359F">
      <w:pPr>
        <w:pStyle w:val="SangriaFrancesaArticulo"/>
      </w:pPr>
      <w:r w:rsidRPr="00DA359F">
        <w:rPr>
          <w:rStyle w:val="TextoNormalNegritaCaracter"/>
        </w:rPr>
        <w:t>§ 63.</w:t>
      </w:r>
      <w:r w:rsidRPr="00DA359F">
        <w:rPr>
          <w:rStyle w:val="TextoNormalCaracter"/>
        </w:rPr>
        <w:t>-</w:t>
      </w:r>
      <w:r>
        <w:t xml:space="preserve"> Sentencia </w:t>
      </w:r>
      <w:hyperlink w:anchor="SENTENCIA_2023_128" w:history="1">
        <w:r w:rsidRPr="00DA359F">
          <w:rPr>
            <w:rStyle w:val="TextoNormalCaracter"/>
          </w:rPr>
          <w:t>128/2023</w:t>
        </w:r>
      </w:hyperlink>
      <w:r>
        <w:t>, VP.</w:t>
      </w:r>
    </w:p>
    <w:p w14:paraId="3B8D5BC7" w14:textId="5F052AD0" w:rsidR="00DA359F" w:rsidRDefault="00DA359F" w:rsidP="00DA359F">
      <w:pPr>
        <w:pStyle w:val="SangriaFrancesaArticulo"/>
      </w:pPr>
      <w:r w:rsidRPr="00DA359F">
        <w:rPr>
          <w:rStyle w:val="TextoNormalNegritaCaracter"/>
        </w:rPr>
        <w:t>§ 64.</w:t>
      </w:r>
      <w:r w:rsidRPr="00DA359F">
        <w:rPr>
          <w:rStyle w:val="TextoNormalCaracter"/>
        </w:rPr>
        <w:t>-</w:t>
      </w:r>
      <w:r>
        <w:t xml:space="preserve"> Sentencia </w:t>
      </w:r>
      <w:hyperlink w:anchor="SENTENCIA_2023_128" w:history="1">
        <w:r w:rsidRPr="00DA359F">
          <w:rPr>
            <w:rStyle w:val="TextoNormalCaracter"/>
          </w:rPr>
          <w:t>128/2023</w:t>
        </w:r>
      </w:hyperlink>
      <w:r>
        <w:t>, VP.</w:t>
      </w:r>
    </w:p>
    <w:p w14:paraId="1BE15058" w14:textId="2DD41098" w:rsidR="00DA359F" w:rsidRDefault="00DA359F" w:rsidP="00DA359F">
      <w:pPr>
        <w:pStyle w:val="SangriaFrancesaArticulo"/>
      </w:pPr>
    </w:p>
    <w:p w14:paraId="0E74476B" w14:textId="77777777" w:rsidR="00DA359F" w:rsidRDefault="00DA359F" w:rsidP="00DA359F">
      <w:pPr>
        <w:pStyle w:val="TextoNormalNegritaCursivandice"/>
        <w:keepNext/>
      </w:pPr>
      <w:r>
        <w:t>Sentencia del Tribunal de Justicia de la Unión Europea de 11 de mayo de 2021 (R.I. c. Inspectia Judiciara, asunto C-817/21)</w:t>
      </w:r>
    </w:p>
    <w:p w14:paraId="43BFC218" w14:textId="466783BD" w:rsidR="00DA359F" w:rsidRDefault="00DA359F" w:rsidP="00DA359F">
      <w:pPr>
        <w:pStyle w:val="SangriaFrancesaArticulo"/>
      </w:pPr>
      <w:r w:rsidRPr="00DA359F">
        <w:rPr>
          <w:rStyle w:val="TextoNormalNegritaCaracter"/>
        </w:rPr>
        <w:t>§ 50.</w:t>
      </w:r>
      <w:r w:rsidRPr="00DA359F">
        <w:rPr>
          <w:rStyle w:val="TextoNormalCaracter"/>
        </w:rPr>
        <w:t>-</w:t>
      </w:r>
      <w:r>
        <w:t xml:space="preserve"> Sentencia </w:t>
      </w:r>
      <w:hyperlink w:anchor="SENTENCIA_2023_128" w:history="1">
        <w:r w:rsidRPr="00DA359F">
          <w:rPr>
            <w:rStyle w:val="TextoNormalCaracter"/>
          </w:rPr>
          <w:t>128/2023</w:t>
        </w:r>
      </w:hyperlink>
      <w:r>
        <w:t>, VP.</w:t>
      </w:r>
    </w:p>
    <w:p w14:paraId="386E2DF8" w14:textId="25262756" w:rsidR="00DA359F" w:rsidRDefault="00DA359F" w:rsidP="00DA359F">
      <w:pPr>
        <w:pStyle w:val="SangriaFrancesaArticulo"/>
      </w:pPr>
    </w:p>
    <w:p w14:paraId="7C635ABE" w14:textId="77777777" w:rsidR="00DA359F" w:rsidRDefault="00DA359F" w:rsidP="00DA359F">
      <w:pPr>
        <w:pStyle w:val="TextoNormalNegritaCursivandice"/>
        <w:keepNext/>
      </w:pPr>
      <w:r>
        <w:t>Sentencia del Tribunal de Justicia de la Unión Europea de 18 de mayo de 2021 (Asociatia “Forumul Judecatorilor din România”, asuntos acumulados C-83/19, C-127/19, C-195/19, C-291/19, C-355/19 y C-397/19)</w:t>
      </w:r>
    </w:p>
    <w:p w14:paraId="423B73F2" w14:textId="7597031F" w:rsidR="00DA359F" w:rsidRDefault="00DA359F" w:rsidP="00DA359F">
      <w:pPr>
        <w:pStyle w:val="SangriaFrancesaArticulo"/>
      </w:pPr>
      <w:r w:rsidRPr="00DA359F">
        <w:rPr>
          <w:rStyle w:val="TextoNormalNegritaCaracter"/>
        </w:rPr>
        <w:t>§ 198.</w:t>
      </w:r>
      <w:r w:rsidRPr="00DA359F">
        <w:rPr>
          <w:rStyle w:val="TextoNormalCaracter"/>
        </w:rPr>
        <w:t>-</w:t>
      </w:r>
      <w:r>
        <w:t xml:space="preserve"> Sentencia </w:t>
      </w:r>
      <w:hyperlink w:anchor="SENTENCIA_2023_128" w:history="1">
        <w:r w:rsidRPr="00DA359F">
          <w:rPr>
            <w:rStyle w:val="TextoNormalCaracter"/>
          </w:rPr>
          <w:t>128/2023</w:t>
        </w:r>
      </w:hyperlink>
      <w:r>
        <w:t>, VP.</w:t>
      </w:r>
    </w:p>
    <w:p w14:paraId="20DEB37C" w14:textId="14C9804A" w:rsidR="00DA359F" w:rsidRDefault="00DA359F" w:rsidP="00DA359F">
      <w:pPr>
        <w:pStyle w:val="SangriaFrancesaArticulo"/>
      </w:pPr>
      <w:r w:rsidRPr="00DA359F">
        <w:rPr>
          <w:rStyle w:val="TextoNormalNegritaCaracter"/>
        </w:rPr>
        <w:t>§ 200.</w:t>
      </w:r>
      <w:r w:rsidRPr="00DA359F">
        <w:rPr>
          <w:rStyle w:val="TextoNormalCaracter"/>
        </w:rPr>
        <w:t>-</w:t>
      </w:r>
      <w:r>
        <w:t xml:space="preserve"> Sentencia </w:t>
      </w:r>
      <w:hyperlink w:anchor="SENTENCIA_2023_128" w:history="1">
        <w:r w:rsidRPr="00DA359F">
          <w:rPr>
            <w:rStyle w:val="TextoNormalCaracter"/>
          </w:rPr>
          <w:t>128/2023</w:t>
        </w:r>
      </w:hyperlink>
      <w:r>
        <w:t>, VP.</w:t>
      </w:r>
    </w:p>
    <w:p w14:paraId="1B750280" w14:textId="72ED9E4C" w:rsidR="00DA359F" w:rsidRDefault="00DA359F" w:rsidP="00DA359F">
      <w:pPr>
        <w:pStyle w:val="SangriaFrancesaArticulo"/>
      </w:pPr>
    </w:p>
    <w:p w14:paraId="3D5382AA" w14:textId="77777777" w:rsidR="00DA359F" w:rsidRDefault="00DA359F" w:rsidP="00DA359F">
      <w:pPr>
        <w:pStyle w:val="TextoNormalNegritaCursivandice"/>
        <w:keepNext/>
      </w:pPr>
      <w:r>
        <w:t>Sentencia del Tribunal de Justicia de la Unión Europea de 3 de junio de 2021 (Instituto Madrileño de Investigación y Desarrollo Rural, Agrario y Alimentario c. JN, asunto C-726/19)</w:t>
      </w:r>
    </w:p>
    <w:p w14:paraId="460EEE5A" w14:textId="73F75537" w:rsidR="00DA359F" w:rsidRDefault="00DA359F" w:rsidP="00DA359F">
      <w:pPr>
        <w:pStyle w:val="SangriaFrancesaArticulo"/>
        <w:keepNext/>
      </w:pPr>
      <w:r w:rsidRPr="00DA359F">
        <w:rPr>
          <w:rStyle w:val="TextoNormalNegritaCaracter"/>
        </w:rPr>
        <w:t>En general.</w:t>
      </w:r>
      <w:r w:rsidRPr="00DA359F">
        <w:rPr>
          <w:rStyle w:val="TextoNormalCaracter"/>
        </w:rPr>
        <w:t>-</w:t>
      </w:r>
      <w:r>
        <w:t xml:space="preserve"> Sentencia </w:t>
      </w:r>
      <w:hyperlink w:anchor="SENTENCIA_2023_145" w:history="1">
        <w:r w:rsidRPr="00DA359F">
          <w:rPr>
            <w:rStyle w:val="TextoNormalCaracter"/>
          </w:rPr>
          <w:t>145/2023</w:t>
        </w:r>
      </w:hyperlink>
      <w:r>
        <w:t>, ff. 1, 4.</w:t>
      </w:r>
    </w:p>
    <w:p w14:paraId="64DF2050" w14:textId="441E3933" w:rsidR="00DA359F" w:rsidRDefault="00DA359F" w:rsidP="00DA359F">
      <w:pPr>
        <w:pStyle w:val="SangriaIzquierdaArticulo"/>
      </w:pPr>
      <w:r>
        <w:t xml:space="preserve">Auto </w:t>
      </w:r>
      <w:hyperlink w:anchor="AUTO_2023_427" w:history="1">
        <w:r w:rsidRPr="00DA359F">
          <w:rPr>
            <w:rStyle w:val="TextoNormalCaracter"/>
          </w:rPr>
          <w:t>427/2023</w:t>
        </w:r>
      </w:hyperlink>
      <w:r>
        <w:t>, VP.</w:t>
      </w:r>
    </w:p>
    <w:p w14:paraId="29D4A323" w14:textId="613C3D2A" w:rsidR="00DA359F" w:rsidRDefault="00DA359F" w:rsidP="00DA359F">
      <w:pPr>
        <w:pStyle w:val="SangriaFrancesaArticulo"/>
      </w:pPr>
      <w:r w:rsidRPr="00DA359F">
        <w:rPr>
          <w:rStyle w:val="TextoNormalNegritaCaracter"/>
        </w:rPr>
        <w:t>§ 44 y 45.</w:t>
      </w:r>
      <w:r w:rsidRPr="00DA359F">
        <w:rPr>
          <w:rStyle w:val="TextoNormalCaracter"/>
        </w:rPr>
        <w:t>-</w:t>
      </w:r>
      <w:r>
        <w:t xml:space="preserve"> Auto </w:t>
      </w:r>
      <w:hyperlink w:anchor="AUTO_2023_427" w:history="1">
        <w:r w:rsidRPr="00DA359F">
          <w:rPr>
            <w:rStyle w:val="TextoNormalCaracter"/>
          </w:rPr>
          <w:t>427/2023</w:t>
        </w:r>
      </w:hyperlink>
      <w:r>
        <w:t>, VP.</w:t>
      </w:r>
    </w:p>
    <w:p w14:paraId="036A3449" w14:textId="553B5A20" w:rsidR="00DA359F" w:rsidRDefault="00DA359F" w:rsidP="00DA359F">
      <w:pPr>
        <w:pStyle w:val="SangriaFrancesaArticulo"/>
      </w:pPr>
      <w:r w:rsidRPr="00DA359F">
        <w:rPr>
          <w:rStyle w:val="TextoNormalNegritaCaracter"/>
        </w:rPr>
        <w:t>§ 60.</w:t>
      </w:r>
      <w:r w:rsidRPr="00DA359F">
        <w:rPr>
          <w:rStyle w:val="TextoNormalCaracter"/>
        </w:rPr>
        <w:t>-</w:t>
      </w:r>
      <w:r>
        <w:t xml:space="preserve"> Auto </w:t>
      </w:r>
      <w:hyperlink w:anchor="AUTO_2023_427" w:history="1">
        <w:r w:rsidRPr="00DA359F">
          <w:rPr>
            <w:rStyle w:val="TextoNormalCaracter"/>
          </w:rPr>
          <w:t>427/2023</w:t>
        </w:r>
      </w:hyperlink>
      <w:r>
        <w:t>, VP.</w:t>
      </w:r>
    </w:p>
    <w:p w14:paraId="056E4473" w14:textId="3A9CC6DE" w:rsidR="00DA359F" w:rsidRDefault="00DA359F" w:rsidP="00DA359F">
      <w:pPr>
        <w:pStyle w:val="SangriaFrancesaArticulo"/>
      </w:pPr>
      <w:r w:rsidRPr="00DA359F">
        <w:rPr>
          <w:rStyle w:val="TextoNormalNegritaCaracter"/>
        </w:rPr>
        <w:t>§ 67.</w:t>
      </w:r>
      <w:r w:rsidRPr="00DA359F">
        <w:rPr>
          <w:rStyle w:val="TextoNormalCaracter"/>
        </w:rPr>
        <w:t>-</w:t>
      </w:r>
      <w:r>
        <w:t xml:space="preserve"> Auto </w:t>
      </w:r>
      <w:hyperlink w:anchor="AUTO_2023_427" w:history="1">
        <w:r w:rsidRPr="00DA359F">
          <w:rPr>
            <w:rStyle w:val="TextoNormalCaracter"/>
          </w:rPr>
          <w:t>427/2023</w:t>
        </w:r>
      </w:hyperlink>
      <w:r>
        <w:t>, VP.</w:t>
      </w:r>
    </w:p>
    <w:p w14:paraId="4D5D6E2C" w14:textId="1CF2A829" w:rsidR="00DA359F" w:rsidRDefault="00DA359F" w:rsidP="00DA359F">
      <w:pPr>
        <w:pStyle w:val="SangriaFrancesaArticulo"/>
      </w:pPr>
      <w:r w:rsidRPr="00DA359F">
        <w:rPr>
          <w:rStyle w:val="TextoNormalNegritaCaracter"/>
        </w:rPr>
        <w:t>§ 71.</w:t>
      </w:r>
      <w:r w:rsidRPr="00DA359F">
        <w:rPr>
          <w:rStyle w:val="TextoNormalCaracter"/>
        </w:rPr>
        <w:t>-</w:t>
      </w:r>
      <w:r>
        <w:t xml:space="preserve"> Auto </w:t>
      </w:r>
      <w:hyperlink w:anchor="AUTO_2023_427" w:history="1">
        <w:r w:rsidRPr="00DA359F">
          <w:rPr>
            <w:rStyle w:val="TextoNormalCaracter"/>
          </w:rPr>
          <w:t>427/2023</w:t>
        </w:r>
      </w:hyperlink>
      <w:r>
        <w:t>, VP.</w:t>
      </w:r>
    </w:p>
    <w:p w14:paraId="6FD0D249" w14:textId="110A9538" w:rsidR="00DA359F" w:rsidRDefault="00DA359F" w:rsidP="00DA359F">
      <w:pPr>
        <w:pStyle w:val="SangriaFrancesaArticulo"/>
      </w:pPr>
      <w:r w:rsidRPr="00DA359F">
        <w:rPr>
          <w:rStyle w:val="TextoNormalNegritaCaracter"/>
        </w:rPr>
        <w:t>§ 72.</w:t>
      </w:r>
      <w:r w:rsidRPr="00DA359F">
        <w:rPr>
          <w:rStyle w:val="TextoNormalCaracter"/>
        </w:rPr>
        <w:t>-</w:t>
      </w:r>
      <w:r>
        <w:t xml:space="preserve"> Auto </w:t>
      </w:r>
      <w:hyperlink w:anchor="AUTO_2023_427" w:history="1">
        <w:r w:rsidRPr="00DA359F">
          <w:rPr>
            <w:rStyle w:val="TextoNormalCaracter"/>
          </w:rPr>
          <w:t>427/2023</w:t>
        </w:r>
      </w:hyperlink>
      <w:r>
        <w:t>, VP.</w:t>
      </w:r>
    </w:p>
    <w:p w14:paraId="6DA72479" w14:textId="0ABE665A" w:rsidR="00DA359F" w:rsidRDefault="00DA359F" w:rsidP="00DA359F">
      <w:pPr>
        <w:pStyle w:val="SangriaFrancesaArticulo"/>
      </w:pPr>
      <w:r w:rsidRPr="00DA359F">
        <w:rPr>
          <w:rStyle w:val="TextoNormalNegritaCaracter"/>
        </w:rPr>
        <w:t>§ 73.</w:t>
      </w:r>
      <w:r w:rsidRPr="00DA359F">
        <w:rPr>
          <w:rStyle w:val="TextoNormalCaracter"/>
        </w:rPr>
        <w:t>-</w:t>
      </w:r>
      <w:r>
        <w:t xml:space="preserve"> Auto </w:t>
      </w:r>
      <w:hyperlink w:anchor="AUTO_2023_427" w:history="1">
        <w:r w:rsidRPr="00DA359F">
          <w:rPr>
            <w:rStyle w:val="TextoNormalCaracter"/>
          </w:rPr>
          <w:t>427/2023</w:t>
        </w:r>
      </w:hyperlink>
      <w:r>
        <w:t>, f. 2.</w:t>
      </w:r>
    </w:p>
    <w:p w14:paraId="52745428" w14:textId="42DA2DAB" w:rsidR="00DA359F" w:rsidRDefault="00DA359F" w:rsidP="00DA359F">
      <w:pPr>
        <w:pStyle w:val="SangriaFrancesaArticulo"/>
      </w:pPr>
      <w:r w:rsidRPr="00DA359F">
        <w:rPr>
          <w:rStyle w:val="TextoNormalNegritaCaracter"/>
        </w:rPr>
        <w:t>§ 74.</w:t>
      </w:r>
      <w:r w:rsidRPr="00DA359F">
        <w:rPr>
          <w:rStyle w:val="TextoNormalCaracter"/>
        </w:rPr>
        <w:t>-</w:t>
      </w:r>
      <w:r>
        <w:t xml:space="preserve"> Auto </w:t>
      </w:r>
      <w:hyperlink w:anchor="AUTO_2023_427" w:history="1">
        <w:r w:rsidRPr="00DA359F">
          <w:rPr>
            <w:rStyle w:val="TextoNormalCaracter"/>
          </w:rPr>
          <w:t>427/2023</w:t>
        </w:r>
      </w:hyperlink>
      <w:r>
        <w:t>, f. 2.</w:t>
      </w:r>
    </w:p>
    <w:p w14:paraId="7199EE9E" w14:textId="3964288C" w:rsidR="00DA359F" w:rsidRDefault="00DA359F" w:rsidP="00DA359F">
      <w:pPr>
        <w:pStyle w:val="SangriaFrancesaArticulo"/>
      </w:pPr>
    </w:p>
    <w:p w14:paraId="2C0907EE" w14:textId="77777777" w:rsidR="00DA359F" w:rsidRDefault="00DA359F" w:rsidP="00DA359F">
      <w:pPr>
        <w:pStyle w:val="TextoNormalNegritaCursivandice"/>
        <w:keepNext/>
      </w:pPr>
      <w:r>
        <w:t>Sentencia del Tribunal de Justicia de la Unión Europea de 22 de junio de 2021 (Frank Peterson c. Google LLC y otros; y Elsevier Inc. c. Cyando AG, asuntos acumulados C-682/18 y C-683/18)</w:t>
      </w:r>
    </w:p>
    <w:p w14:paraId="0D7AEF69" w14:textId="42CCE718"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83" w:history="1">
        <w:r w:rsidRPr="00DA359F">
          <w:rPr>
            <w:rStyle w:val="TextoNormalCaracter"/>
          </w:rPr>
          <w:t>83/2023</w:t>
        </w:r>
      </w:hyperlink>
      <w:r>
        <w:t>, VP I.</w:t>
      </w:r>
    </w:p>
    <w:p w14:paraId="4DAFE65F" w14:textId="459558C2" w:rsidR="00DA359F" w:rsidRDefault="00DA359F" w:rsidP="00DA359F">
      <w:pPr>
        <w:pStyle w:val="SangriaFrancesaArticulo"/>
      </w:pPr>
    </w:p>
    <w:p w14:paraId="53A7976B" w14:textId="77777777" w:rsidR="00DA359F" w:rsidRDefault="00DA359F" w:rsidP="00DA359F">
      <w:pPr>
        <w:pStyle w:val="TextoNormalNegritaCursivandice"/>
        <w:keepNext/>
      </w:pPr>
      <w:r>
        <w:t>Sentencia del Tribunal de Justicia de la Unión Europea de 6 de octubre de 2021 (Consorzio Italian Management y Catania Multiservizi SpA c. Rete Ferroviaria Italiana SpA, asunto C-561/19)</w:t>
      </w:r>
    </w:p>
    <w:p w14:paraId="3DD09C31" w14:textId="425543F2" w:rsidR="00DA359F" w:rsidRDefault="00DA359F" w:rsidP="00DA359F">
      <w:pPr>
        <w:pStyle w:val="SangriaFrancesaArticulo"/>
      </w:pPr>
      <w:r w:rsidRPr="00DA359F">
        <w:rPr>
          <w:rStyle w:val="TextoNormalNegritaCaracter"/>
        </w:rPr>
        <w:t>§ 66.</w:t>
      </w:r>
      <w:r w:rsidRPr="00DA359F">
        <w:rPr>
          <w:rStyle w:val="TextoNormalCaracter"/>
        </w:rPr>
        <w:t>-</w:t>
      </w:r>
      <w:r>
        <w:t xml:space="preserve"> Auto </w:t>
      </w:r>
      <w:hyperlink w:anchor="AUTO_2023_427" w:history="1">
        <w:r w:rsidRPr="00DA359F">
          <w:rPr>
            <w:rStyle w:val="TextoNormalCaracter"/>
          </w:rPr>
          <w:t>427/2023</w:t>
        </w:r>
      </w:hyperlink>
      <w:r>
        <w:t>, f. 2.</w:t>
      </w:r>
    </w:p>
    <w:p w14:paraId="55AF5CDF" w14:textId="2E423AA5" w:rsidR="00DA359F" w:rsidRDefault="00DA359F" w:rsidP="00DA359F">
      <w:pPr>
        <w:pStyle w:val="SangriaFrancesaArticulo"/>
      </w:pPr>
    </w:p>
    <w:p w14:paraId="0B3CFC1E" w14:textId="77777777" w:rsidR="00DA359F" w:rsidRDefault="00DA359F" w:rsidP="00DA359F">
      <w:pPr>
        <w:pStyle w:val="TextoNormalNegritaCursivandice"/>
        <w:keepNext/>
      </w:pPr>
      <w:r>
        <w:t>Sentencia del Tribunal de Justicia de la Unión Europea de 6 de octubre de 2021 (W.Z., asunto C-487/19)</w:t>
      </w:r>
    </w:p>
    <w:p w14:paraId="36178067" w14:textId="422A849F" w:rsidR="00DA359F" w:rsidRDefault="00DA359F" w:rsidP="00DA359F">
      <w:pPr>
        <w:pStyle w:val="SangriaFrancesaArticulo"/>
      </w:pPr>
      <w:r w:rsidRPr="00DA359F">
        <w:rPr>
          <w:rStyle w:val="TextoNormalNegritaCaracter"/>
        </w:rPr>
        <w:t>§ 152.</w:t>
      </w:r>
      <w:r w:rsidRPr="00DA359F">
        <w:rPr>
          <w:rStyle w:val="TextoNormalCaracter"/>
        </w:rPr>
        <w:t>-</w:t>
      </w:r>
      <w:r>
        <w:t xml:space="preserve"> Sentencia </w:t>
      </w:r>
      <w:hyperlink w:anchor="SENTENCIA_2023_128" w:history="1">
        <w:r w:rsidRPr="00DA359F">
          <w:rPr>
            <w:rStyle w:val="TextoNormalCaracter"/>
          </w:rPr>
          <w:t>128/2023</w:t>
        </w:r>
      </w:hyperlink>
      <w:r>
        <w:t>, VP.</w:t>
      </w:r>
    </w:p>
    <w:p w14:paraId="2B841F97" w14:textId="5B8E329D" w:rsidR="00DA359F" w:rsidRDefault="00DA359F" w:rsidP="00DA359F">
      <w:pPr>
        <w:pStyle w:val="SangriaFrancesaArticulo"/>
      </w:pPr>
      <w:r w:rsidRPr="00DA359F">
        <w:rPr>
          <w:rStyle w:val="TextoNormalNegritaCaracter"/>
        </w:rPr>
        <w:t>§ 153.</w:t>
      </w:r>
      <w:r w:rsidRPr="00DA359F">
        <w:rPr>
          <w:rStyle w:val="TextoNormalCaracter"/>
        </w:rPr>
        <w:t>-</w:t>
      </w:r>
      <w:r>
        <w:t xml:space="preserve"> Sentencia </w:t>
      </w:r>
      <w:hyperlink w:anchor="SENTENCIA_2023_128" w:history="1">
        <w:r w:rsidRPr="00DA359F">
          <w:rPr>
            <w:rStyle w:val="TextoNormalCaracter"/>
          </w:rPr>
          <w:t>128/2023</w:t>
        </w:r>
      </w:hyperlink>
      <w:r>
        <w:t>, VP.</w:t>
      </w:r>
    </w:p>
    <w:p w14:paraId="39FD9982" w14:textId="50F6EA37" w:rsidR="00DA359F" w:rsidRDefault="00DA359F" w:rsidP="00DA359F">
      <w:pPr>
        <w:pStyle w:val="SangriaFrancesaArticulo"/>
      </w:pPr>
    </w:p>
    <w:p w14:paraId="32C40FA7" w14:textId="77777777" w:rsidR="00DA359F" w:rsidRDefault="00DA359F" w:rsidP="00DA359F">
      <w:pPr>
        <w:pStyle w:val="TextoNormalNegritaCursivandice"/>
        <w:keepNext/>
      </w:pPr>
      <w:r>
        <w:t>Sentencia del Tribunal de Justicia de la Unión Europea de 22 de febrero de 2022 (R.S., asunto C-430/21)</w:t>
      </w:r>
    </w:p>
    <w:p w14:paraId="0B682978" w14:textId="51EE5D6E" w:rsidR="00DA359F" w:rsidRDefault="00DA359F" w:rsidP="00DA359F">
      <w:pPr>
        <w:pStyle w:val="SangriaFrancesaArticulo"/>
      </w:pPr>
      <w:r w:rsidRPr="00DA359F">
        <w:rPr>
          <w:rStyle w:val="TextoNormalNegritaCaracter"/>
        </w:rPr>
        <w:t>§ 37.</w:t>
      </w:r>
      <w:r w:rsidRPr="00DA359F">
        <w:rPr>
          <w:rStyle w:val="TextoNormalCaracter"/>
        </w:rPr>
        <w:t>-</w:t>
      </w:r>
      <w:r>
        <w:t xml:space="preserve"> Sentencia </w:t>
      </w:r>
      <w:hyperlink w:anchor="SENTENCIA_2023_128" w:history="1">
        <w:r w:rsidRPr="00DA359F">
          <w:rPr>
            <w:rStyle w:val="TextoNormalCaracter"/>
          </w:rPr>
          <w:t>128/2023</w:t>
        </w:r>
      </w:hyperlink>
      <w:r>
        <w:t>, VP.</w:t>
      </w:r>
    </w:p>
    <w:p w14:paraId="7B62B64A" w14:textId="7BA1DB54" w:rsidR="00DA359F" w:rsidRDefault="00DA359F" w:rsidP="00DA359F">
      <w:pPr>
        <w:pStyle w:val="SangriaFrancesaArticulo"/>
      </w:pPr>
    </w:p>
    <w:p w14:paraId="4196E724" w14:textId="77777777" w:rsidR="00DA359F" w:rsidRDefault="00DA359F" w:rsidP="00DA359F">
      <w:pPr>
        <w:pStyle w:val="TextoNormalNegritaCursivandice"/>
        <w:keepNext/>
      </w:pPr>
      <w:r>
        <w:t>Sentencia del Tribunal de Justicia de la Unión Europea de 3 de marzo de 2022 (UN c. Subdelegación del Gobierno en Pontevedra, asunto C-409/20)</w:t>
      </w:r>
    </w:p>
    <w:p w14:paraId="62E9CA62" w14:textId="177EDB90"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Sentencias </w:t>
      </w:r>
      <w:hyperlink w:anchor="SENTENCIA_2023_80" w:history="1">
        <w:r w:rsidRPr="00DA359F">
          <w:rPr>
            <w:rStyle w:val="TextoNormalCaracter"/>
          </w:rPr>
          <w:t>80/2023</w:t>
        </w:r>
      </w:hyperlink>
      <w:r>
        <w:t xml:space="preserve">, f. 3; </w:t>
      </w:r>
      <w:hyperlink w:anchor="SENTENCIA_2023_87" w:history="1">
        <w:r w:rsidRPr="00DA359F">
          <w:rPr>
            <w:rStyle w:val="TextoNormalCaracter"/>
          </w:rPr>
          <w:t>87/2023</w:t>
        </w:r>
      </w:hyperlink>
      <w:r>
        <w:t xml:space="preserve">, f. 3; </w:t>
      </w:r>
      <w:hyperlink w:anchor="SENTENCIA_2023_130" w:history="1">
        <w:r w:rsidRPr="00DA359F">
          <w:rPr>
            <w:rStyle w:val="TextoNormalCaracter"/>
          </w:rPr>
          <w:t>130/2023</w:t>
        </w:r>
      </w:hyperlink>
      <w:r>
        <w:t>, f. único.</w:t>
      </w:r>
    </w:p>
    <w:p w14:paraId="5BE07175" w14:textId="4BD26E99" w:rsidR="00DA359F" w:rsidRDefault="00DA359F" w:rsidP="00DA359F">
      <w:pPr>
        <w:pStyle w:val="SangriaFrancesaArticulo"/>
      </w:pPr>
    </w:p>
    <w:p w14:paraId="5807CEB4" w14:textId="77777777" w:rsidR="00DA359F" w:rsidRDefault="00DA359F" w:rsidP="00DA359F">
      <w:pPr>
        <w:pStyle w:val="TextoNormalNegritaCursivandice"/>
        <w:keepNext/>
      </w:pPr>
      <w:r>
        <w:t>Sentencia del Tribunal de Justicia de la Unión Europea de 7 de abril de 2022 (EL y TP c. Caixabank, S. A., asunto C-385/20)</w:t>
      </w:r>
    </w:p>
    <w:p w14:paraId="60195DD6" w14:textId="509147B9"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Sentencias </w:t>
      </w:r>
      <w:hyperlink w:anchor="SENTENCIA_2023_91" w:history="1">
        <w:r w:rsidRPr="00DA359F">
          <w:rPr>
            <w:rStyle w:val="TextoNormalCaracter"/>
          </w:rPr>
          <w:t>91/2023</w:t>
        </w:r>
      </w:hyperlink>
      <w:r>
        <w:t xml:space="preserve">, f. 4; </w:t>
      </w:r>
      <w:hyperlink w:anchor="SENTENCIA_2023_96" w:history="1">
        <w:r w:rsidRPr="00DA359F">
          <w:rPr>
            <w:rStyle w:val="TextoNormalCaracter"/>
          </w:rPr>
          <w:t>96/2023</w:t>
        </w:r>
      </w:hyperlink>
      <w:r>
        <w:t>, f. 2.</w:t>
      </w:r>
    </w:p>
    <w:p w14:paraId="2C1ADBD9" w14:textId="0CE59F35" w:rsidR="00DA359F" w:rsidRDefault="00DA359F" w:rsidP="00DA359F">
      <w:pPr>
        <w:pStyle w:val="SangriaFrancesaArticulo"/>
      </w:pPr>
    </w:p>
    <w:p w14:paraId="202864CA" w14:textId="77777777" w:rsidR="00DA359F" w:rsidRDefault="00DA359F" w:rsidP="00DA359F">
      <w:pPr>
        <w:pStyle w:val="TextoNormalNegritaCursivandice"/>
        <w:keepNext/>
      </w:pPr>
      <w:r>
        <w:t>Sentencia del Tribunal de Justicia de la Unión Europea de 17 de mayo de 2022 (M.A. c. Ibercaja Banco, S.A., asunto C-600/19)</w:t>
      </w:r>
    </w:p>
    <w:p w14:paraId="7BD19428" w14:textId="11A9B3D1"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172" w:history="1">
        <w:r w:rsidRPr="00DA359F">
          <w:rPr>
            <w:rStyle w:val="TextoNormalCaracter"/>
          </w:rPr>
          <w:t>172/2023</w:t>
        </w:r>
      </w:hyperlink>
      <w:r>
        <w:t>, f. 3.</w:t>
      </w:r>
    </w:p>
    <w:p w14:paraId="269BE239" w14:textId="41C7F74C" w:rsidR="00DA359F" w:rsidRDefault="00DA359F" w:rsidP="00DA359F">
      <w:pPr>
        <w:pStyle w:val="SangriaFrancesaArticulo"/>
      </w:pPr>
      <w:r w:rsidRPr="00DA359F">
        <w:rPr>
          <w:rStyle w:val="TextoNormalNegritaCaracter"/>
        </w:rPr>
        <w:t>§ 37.</w:t>
      </w:r>
      <w:r w:rsidRPr="00DA359F">
        <w:rPr>
          <w:rStyle w:val="TextoNormalCaracter"/>
        </w:rPr>
        <w:t>-</w:t>
      </w:r>
      <w:r>
        <w:t xml:space="preserve"> Sentencia </w:t>
      </w:r>
      <w:hyperlink w:anchor="SENTENCIA_2023_172" w:history="1">
        <w:r w:rsidRPr="00DA359F">
          <w:rPr>
            <w:rStyle w:val="TextoNormalCaracter"/>
          </w:rPr>
          <w:t>172/2023</w:t>
        </w:r>
      </w:hyperlink>
      <w:r>
        <w:t>, f. 4.</w:t>
      </w:r>
    </w:p>
    <w:p w14:paraId="0279B85B" w14:textId="340663A2" w:rsidR="00DA359F" w:rsidRDefault="00DA359F" w:rsidP="00DA359F">
      <w:pPr>
        <w:pStyle w:val="SangriaFrancesaArticulo"/>
      </w:pPr>
      <w:r w:rsidRPr="00DA359F">
        <w:rPr>
          <w:rStyle w:val="TextoNormalNegritaCaracter"/>
        </w:rPr>
        <w:t>§ 50.</w:t>
      </w:r>
      <w:r w:rsidRPr="00DA359F">
        <w:rPr>
          <w:rStyle w:val="TextoNormalCaracter"/>
        </w:rPr>
        <w:t>-</w:t>
      </w:r>
      <w:r>
        <w:t xml:space="preserve"> Sentencia </w:t>
      </w:r>
      <w:hyperlink w:anchor="SENTENCIA_2023_172" w:history="1">
        <w:r w:rsidRPr="00DA359F">
          <w:rPr>
            <w:rStyle w:val="TextoNormalCaracter"/>
          </w:rPr>
          <w:t>172/2023</w:t>
        </w:r>
      </w:hyperlink>
      <w:r>
        <w:t>, f. 4.</w:t>
      </w:r>
    </w:p>
    <w:p w14:paraId="7D3D7980" w14:textId="503F4AE2" w:rsidR="00DA359F" w:rsidRDefault="00DA359F" w:rsidP="00DA359F">
      <w:pPr>
        <w:pStyle w:val="SangriaFrancesaArticulo"/>
      </w:pPr>
      <w:r w:rsidRPr="00DA359F">
        <w:rPr>
          <w:rStyle w:val="TextoNormalNegritaCaracter"/>
        </w:rPr>
        <w:t>§ 56.</w:t>
      </w:r>
      <w:r w:rsidRPr="00DA359F">
        <w:rPr>
          <w:rStyle w:val="TextoNormalCaracter"/>
        </w:rPr>
        <w:t>-</w:t>
      </w:r>
      <w:r>
        <w:t xml:space="preserve"> Sentencia </w:t>
      </w:r>
      <w:hyperlink w:anchor="SENTENCIA_2023_172" w:history="1">
        <w:r w:rsidRPr="00DA359F">
          <w:rPr>
            <w:rStyle w:val="TextoNormalCaracter"/>
          </w:rPr>
          <w:t>172/2023</w:t>
        </w:r>
      </w:hyperlink>
      <w:r>
        <w:t>, f. 4.</w:t>
      </w:r>
    </w:p>
    <w:p w14:paraId="2B8B0884" w14:textId="2D142659" w:rsidR="00DA359F" w:rsidRDefault="00DA359F" w:rsidP="00DA359F">
      <w:pPr>
        <w:pStyle w:val="SangriaFrancesaArticulo"/>
      </w:pPr>
      <w:r w:rsidRPr="00DA359F">
        <w:rPr>
          <w:rStyle w:val="TextoNormalNegritaCaracter"/>
        </w:rPr>
        <w:t>§ 58.</w:t>
      </w:r>
      <w:r w:rsidRPr="00DA359F">
        <w:rPr>
          <w:rStyle w:val="TextoNormalCaracter"/>
        </w:rPr>
        <w:t>-</w:t>
      </w:r>
      <w:r>
        <w:t xml:space="preserve"> Sentencia </w:t>
      </w:r>
      <w:hyperlink w:anchor="SENTENCIA_2023_172" w:history="1">
        <w:r w:rsidRPr="00DA359F">
          <w:rPr>
            <w:rStyle w:val="TextoNormalCaracter"/>
          </w:rPr>
          <w:t>172/2023</w:t>
        </w:r>
      </w:hyperlink>
      <w:r>
        <w:t>, f. 4.</w:t>
      </w:r>
    </w:p>
    <w:p w14:paraId="47BA8362" w14:textId="190EA36C" w:rsidR="00DA359F" w:rsidRDefault="00DA359F" w:rsidP="00DA359F">
      <w:pPr>
        <w:pStyle w:val="SangriaFrancesaArticulo"/>
      </w:pPr>
      <w:r w:rsidRPr="00DA359F">
        <w:rPr>
          <w:rStyle w:val="TextoNormalNegritaCaracter"/>
        </w:rPr>
        <w:t>§ 59.</w:t>
      </w:r>
      <w:r w:rsidRPr="00DA359F">
        <w:rPr>
          <w:rStyle w:val="TextoNormalCaracter"/>
        </w:rPr>
        <w:t>-</w:t>
      </w:r>
      <w:r>
        <w:t xml:space="preserve"> Sentencia </w:t>
      </w:r>
      <w:hyperlink w:anchor="SENTENCIA_2023_172" w:history="1">
        <w:r w:rsidRPr="00DA359F">
          <w:rPr>
            <w:rStyle w:val="TextoNormalCaracter"/>
          </w:rPr>
          <w:t>172/2023</w:t>
        </w:r>
      </w:hyperlink>
      <w:r>
        <w:t>, f. 4.</w:t>
      </w:r>
    </w:p>
    <w:p w14:paraId="73DEE371" w14:textId="48C85039" w:rsidR="00DA359F" w:rsidRDefault="00DA359F" w:rsidP="00DA359F">
      <w:pPr>
        <w:pStyle w:val="SangriaFrancesaArticulo"/>
      </w:pPr>
    </w:p>
    <w:p w14:paraId="575BAF51" w14:textId="77777777" w:rsidR="00DA359F" w:rsidRDefault="00DA359F" w:rsidP="00DA359F">
      <w:pPr>
        <w:pStyle w:val="TextoNormalNegritaCursivandice"/>
        <w:keepNext/>
      </w:pPr>
      <w:r>
        <w:t>Sentencia del Tribunal General de la Unión Europea de 5 de julio de 2023 (Puigdemont i Casamajó y otros c. el Parlamento Europeo, asunto T-272/21 R)</w:t>
      </w:r>
    </w:p>
    <w:p w14:paraId="745350E1" w14:textId="6CE42E75" w:rsidR="00DA359F" w:rsidRDefault="00DA359F" w:rsidP="00DA359F">
      <w:pPr>
        <w:pStyle w:val="SangriaFrancesaArticulo"/>
      </w:pPr>
      <w:r w:rsidRPr="00DA359F">
        <w:rPr>
          <w:rStyle w:val="TextoNormalNegritaCaracter"/>
        </w:rPr>
        <w:t>En general.</w:t>
      </w:r>
      <w:r w:rsidRPr="00DA359F">
        <w:rPr>
          <w:rStyle w:val="TextoNormalCaracter"/>
        </w:rPr>
        <w:t>-</w:t>
      </w:r>
      <w:r>
        <w:t xml:space="preserve"> Auto </w:t>
      </w:r>
      <w:hyperlink w:anchor="AUTO_2023_378" w:history="1">
        <w:r w:rsidRPr="00DA359F">
          <w:rPr>
            <w:rStyle w:val="TextoNormalCaracter"/>
          </w:rPr>
          <w:t>378/2023</w:t>
        </w:r>
      </w:hyperlink>
      <w:r>
        <w:t>, f. 2, VP.</w:t>
      </w:r>
    </w:p>
    <w:p w14:paraId="63C2317F" w14:textId="6BD8B98D" w:rsidR="003508CA" w:rsidRDefault="003508CA" w:rsidP="00DA359F"/>
    <w:p w14:paraId="3AF8E90D" w14:textId="77777777" w:rsidR="00DA359F" w:rsidRDefault="00DA359F" w:rsidP="00DA359F">
      <w:pPr>
        <w:pStyle w:val="TextoNormalNegritaCursivandice"/>
        <w:keepNext/>
      </w:pPr>
      <w:r>
        <w:t>Sentencia del Tribunal de Justicia de la Unión Europea de 13 de julio de 2023 (Cajasur Banco, S. A. c. JO y IM, asunto C-35/22)</w:t>
      </w:r>
    </w:p>
    <w:p w14:paraId="46197C98" w14:textId="69BD8DCA"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91" w:history="1">
        <w:r w:rsidRPr="00DA359F">
          <w:rPr>
            <w:rStyle w:val="TextoNormalCaracter"/>
          </w:rPr>
          <w:t>91/2023</w:t>
        </w:r>
      </w:hyperlink>
      <w:r>
        <w:t>, f. 4.</w:t>
      </w:r>
    </w:p>
    <w:p w14:paraId="04B4D924" w14:textId="5F039530" w:rsidR="00DA359F" w:rsidRDefault="00DA359F" w:rsidP="00DA359F">
      <w:pPr>
        <w:pStyle w:val="SangriaFrancesaArticulo"/>
      </w:pPr>
      <w:r w:rsidRPr="00DA359F">
        <w:rPr>
          <w:rStyle w:val="TextoNormalNegritaCaracter"/>
        </w:rPr>
        <w:t>§ 37.</w:t>
      </w:r>
      <w:r w:rsidRPr="00DA359F">
        <w:rPr>
          <w:rStyle w:val="TextoNormalCaracter"/>
        </w:rPr>
        <w:t>-</w:t>
      </w:r>
      <w:r>
        <w:t xml:space="preserve"> Sentencia </w:t>
      </w:r>
      <w:hyperlink w:anchor="SENTENCIA_2023_91" w:history="1">
        <w:r w:rsidRPr="00DA359F">
          <w:rPr>
            <w:rStyle w:val="TextoNormalCaracter"/>
          </w:rPr>
          <w:t>91/2023</w:t>
        </w:r>
      </w:hyperlink>
      <w:r>
        <w:t>, f. 4.</w:t>
      </w:r>
    </w:p>
    <w:p w14:paraId="0D9EEDD8" w14:textId="25172A0C" w:rsidR="00DA359F" w:rsidRDefault="00DA359F" w:rsidP="00DA359F">
      <w:pPr>
        <w:pStyle w:val="TextoNormal"/>
      </w:pPr>
    </w:p>
    <w:p w14:paraId="57AF707C" w14:textId="77777777" w:rsidR="00DA359F" w:rsidRDefault="00DA359F" w:rsidP="00DA359F">
      <w:pPr>
        <w:pStyle w:val="SangriaFrancesaArticulo"/>
      </w:pPr>
      <w:bookmarkStart w:id="497" w:name="INDICE22925"/>
    </w:p>
    <w:bookmarkEnd w:id="497"/>
    <w:p w14:paraId="3C62C5A5" w14:textId="77777777" w:rsidR="00DA359F" w:rsidRDefault="00DA359F" w:rsidP="00DA359F">
      <w:pPr>
        <w:pStyle w:val="TextoIndiceNivel2"/>
        <w:suppressAutoHyphens/>
      </w:pPr>
      <w:r>
        <w:t>C) Tribunal Supremo</w:t>
      </w:r>
    </w:p>
    <w:p w14:paraId="0FBAC762" w14:textId="0B7FAED5" w:rsidR="00DA359F" w:rsidRDefault="00DA359F" w:rsidP="00DA359F">
      <w:pPr>
        <w:pStyle w:val="TextoIndiceNivel2"/>
      </w:pPr>
    </w:p>
    <w:p w14:paraId="5EBE625A" w14:textId="77777777" w:rsidR="00DA359F" w:rsidRDefault="00DA359F" w:rsidP="00DA359F">
      <w:pPr>
        <w:pStyle w:val="TextoNormalNegritaCursivandice"/>
        <w:keepNext/>
      </w:pPr>
      <w:r>
        <w:t>Sentencia de 24 de junio, de la Sala de lo Contencioso-Administrativo del Tribunal Supremo (ECLI:ES:TS:2014:2757)</w:t>
      </w:r>
    </w:p>
    <w:p w14:paraId="5129BCC8" w14:textId="52A34E10" w:rsidR="00DA359F" w:rsidRDefault="00DA359F" w:rsidP="00DA359F">
      <w:pPr>
        <w:pStyle w:val="SangriaFrancesaArticulo"/>
      </w:pPr>
      <w:r>
        <w:t xml:space="preserve">Sentencia </w:t>
      </w:r>
      <w:hyperlink w:anchor="SENTENCIA_2023_90" w:history="1">
        <w:r w:rsidRPr="00DA359F">
          <w:rPr>
            <w:rStyle w:val="TextoNormalCaracter"/>
          </w:rPr>
          <w:t>90/2023</w:t>
        </w:r>
      </w:hyperlink>
      <w:r>
        <w:t>, f. 6.</w:t>
      </w:r>
    </w:p>
    <w:p w14:paraId="6D8A9B15" w14:textId="796C774D" w:rsidR="00DA359F" w:rsidRDefault="00DA359F" w:rsidP="00DA359F">
      <w:pPr>
        <w:pStyle w:val="SangriaFrancesaArticulo"/>
      </w:pPr>
    </w:p>
    <w:p w14:paraId="181BFB02" w14:textId="77777777" w:rsidR="00DA359F" w:rsidRDefault="00DA359F" w:rsidP="00DA359F">
      <w:pPr>
        <w:pStyle w:val="TextoNormalNegritaCursivandice"/>
        <w:keepNext/>
      </w:pPr>
      <w:r>
        <w:t>Sentencia 419/2017, de 4 de julio, de la Sala de lo Civil del Tribunal Supremo (ECLI:ES:TS:2017:2501)</w:t>
      </w:r>
    </w:p>
    <w:p w14:paraId="3F2EDCAB" w14:textId="477A9B72"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91" w:history="1">
        <w:r w:rsidRPr="00DA359F">
          <w:rPr>
            <w:rStyle w:val="TextoNormalCaracter"/>
          </w:rPr>
          <w:t>91/2023</w:t>
        </w:r>
      </w:hyperlink>
      <w:r>
        <w:t>, ff. 1, 4.</w:t>
      </w:r>
    </w:p>
    <w:p w14:paraId="63D6283B" w14:textId="4FE8B609" w:rsidR="00DA359F" w:rsidRDefault="00DA359F" w:rsidP="00DA359F">
      <w:pPr>
        <w:pStyle w:val="SangriaFrancesaArticulo"/>
      </w:pPr>
      <w:r>
        <w:t xml:space="preserve">Sentencia </w:t>
      </w:r>
      <w:hyperlink w:anchor="SENTENCIA_2023_96" w:history="1">
        <w:r w:rsidRPr="00DA359F">
          <w:rPr>
            <w:rStyle w:val="TextoNormalCaracter"/>
          </w:rPr>
          <w:t>96/2023</w:t>
        </w:r>
      </w:hyperlink>
      <w:r>
        <w:t>, ff. 1, 2.</w:t>
      </w:r>
    </w:p>
    <w:p w14:paraId="2EFDB6F8" w14:textId="56610A54" w:rsidR="00DA359F" w:rsidRDefault="00DA359F" w:rsidP="00DA359F">
      <w:pPr>
        <w:pStyle w:val="SangriaFrancesaArticulo"/>
      </w:pPr>
    </w:p>
    <w:p w14:paraId="36682FFB" w14:textId="77777777" w:rsidR="00DA359F" w:rsidRDefault="00DA359F" w:rsidP="00DA359F">
      <w:pPr>
        <w:pStyle w:val="TextoNormalNegritaCursivandice"/>
        <w:keepNext/>
      </w:pPr>
      <w:r>
        <w:t>Sentencia 980/2018, de 12 de junio de 2018, de la Sala de lo Contencioso-Administrativo del Tribunal Supremo (ECLI:ES:TS:2018:2523)</w:t>
      </w:r>
    </w:p>
    <w:p w14:paraId="344302F9" w14:textId="73A5B76D"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80" w:history="1">
        <w:r w:rsidRPr="00DA359F">
          <w:rPr>
            <w:rStyle w:val="TextoNormalCaracter"/>
          </w:rPr>
          <w:t>80/2023</w:t>
        </w:r>
      </w:hyperlink>
      <w:r>
        <w:t>, f. 3.</w:t>
      </w:r>
    </w:p>
    <w:p w14:paraId="2CF480B5" w14:textId="3AFA6D61" w:rsidR="00DA359F" w:rsidRDefault="00DA359F" w:rsidP="00DA359F">
      <w:pPr>
        <w:pStyle w:val="SangriaFrancesaArticulo"/>
      </w:pPr>
    </w:p>
    <w:p w14:paraId="16E3EE33" w14:textId="77777777" w:rsidR="00DA359F" w:rsidRDefault="00DA359F" w:rsidP="00DA359F">
      <w:pPr>
        <w:pStyle w:val="TextoNormalNegritaCursivandice"/>
        <w:keepNext/>
      </w:pPr>
      <w:r>
        <w:t>Sentencia 1425/2018, de 26 de septiembre de 2018, de la Sala de lo Contencioso-Administrativo del Tribunal Supremo (ECLI:ES:TS:2018:3250)</w:t>
      </w:r>
    </w:p>
    <w:p w14:paraId="117D59E6" w14:textId="3AE06127" w:rsidR="00DA359F" w:rsidRDefault="00DA359F" w:rsidP="00DA359F">
      <w:pPr>
        <w:pStyle w:val="SangriaFrancesaArticulo"/>
      </w:pPr>
      <w:r>
        <w:t xml:space="preserve">Auto </w:t>
      </w:r>
      <w:hyperlink w:anchor="AUTO_2023_427" w:history="1">
        <w:r w:rsidRPr="00DA359F">
          <w:rPr>
            <w:rStyle w:val="TextoNormalCaracter"/>
          </w:rPr>
          <w:t>427/2023</w:t>
        </w:r>
      </w:hyperlink>
      <w:r>
        <w:t>, VP.</w:t>
      </w:r>
    </w:p>
    <w:p w14:paraId="4BBC050A" w14:textId="071A2801" w:rsidR="00DA359F" w:rsidRDefault="00DA359F" w:rsidP="00DA359F">
      <w:pPr>
        <w:pStyle w:val="SangriaFrancesaArticulo"/>
      </w:pPr>
    </w:p>
    <w:p w14:paraId="26991BFB" w14:textId="77777777" w:rsidR="00DA359F" w:rsidRDefault="00DA359F" w:rsidP="00DA359F">
      <w:pPr>
        <w:pStyle w:val="TextoNormalNegritaCursivandice"/>
        <w:keepNext/>
      </w:pPr>
      <w:r>
        <w:t>Sentencia 1426/2018, de 26 de septiembre de 2018, de la Sala de lo Contencioso-Administrativo del Tribunal Supremo (ECLI:ES:TS:2018:3251 )</w:t>
      </w:r>
    </w:p>
    <w:p w14:paraId="7B27AEF8" w14:textId="354D36AE" w:rsidR="00DA359F" w:rsidRDefault="00DA359F" w:rsidP="00DA359F">
      <w:pPr>
        <w:pStyle w:val="SangriaFrancesaArticulo"/>
      </w:pPr>
      <w:r>
        <w:t xml:space="preserve">Auto </w:t>
      </w:r>
      <w:hyperlink w:anchor="AUTO_2023_427" w:history="1">
        <w:r w:rsidRPr="00DA359F">
          <w:rPr>
            <w:rStyle w:val="TextoNormalCaracter"/>
          </w:rPr>
          <w:t>427/2023</w:t>
        </w:r>
      </w:hyperlink>
      <w:r>
        <w:t>, VP.</w:t>
      </w:r>
    </w:p>
    <w:p w14:paraId="7599CCB4" w14:textId="284F0962" w:rsidR="00DA359F" w:rsidRDefault="00DA359F" w:rsidP="00DA359F">
      <w:pPr>
        <w:pStyle w:val="SangriaFrancesaArticulo"/>
      </w:pPr>
    </w:p>
    <w:p w14:paraId="3FD1D015" w14:textId="77777777" w:rsidR="00DA359F" w:rsidRDefault="00DA359F" w:rsidP="00DA359F">
      <w:pPr>
        <w:pStyle w:val="TextoNormalNegritaCursivandice"/>
        <w:keepNext/>
      </w:pPr>
      <w:r>
        <w:t>Sentencia 1716/2018, de 27 de noviembre de 2018, de la Sala de lo Contencioso-Administrativo del Tribunal Supremo (ECLI:ES:TS:2018:4270)</w:t>
      </w:r>
    </w:p>
    <w:p w14:paraId="42D403D2" w14:textId="76B60610" w:rsidR="00DA359F" w:rsidRDefault="00DA359F" w:rsidP="00DA359F">
      <w:pPr>
        <w:pStyle w:val="SangriaFrancesaArticulo"/>
      </w:pPr>
      <w:r>
        <w:t xml:space="preserve">Sentencia </w:t>
      </w:r>
      <w:hyperlink w:anchor="SENTENCIA_2023_80" w:history="1">
        <w:r w:rsidRPr="00DA359F">
          <w:rPr>
            <w:rStyle w:val="TextoNormalCaracter"/>
          </w:rPr>
          <w:t>80/2023</w:t>
        </w:r>
      </w:hyperlink>
      <w:r>
        <w:t>, f. 3.</w:t>
      </w:r>
    </w:p>
    <w:p w14:paraId="01CFC360" w14:textId="1A86DCDE" w:rsidR="00DA359F" w:rsidRDefault="00DA359F" w:rsidP="00DA359F">
      <w:pPr>
        <w:pStyle w:val="SangriaFrancesaArticulo"/>
      </w:pPr>
    </w:p>
    <w:p w14:paraId="1CBCC1B3" w14:textId="77777777" w:rsidR="00DA359F" w:rsidRDefault="00DA359F" w:rsidP="00DA359F">
      <w:pPr>
        <w:pStyle w:val="TextoNormalNegritaCursivandice"/>
        <w:keepNext/>
      </w:pPr>
      <w:r>
        <w:t>Sentencia 1817/2018, de 19 de diciembre de 2018, de la Sala de lo Contencioso-Administrativo del Tribunal Supremo (ECLI:ES:TS:2018:4386)</w:t>
      </w:r>
    </w:p>
    <w:p w14:paraId="7046089A" w14:textId="6ABA8B04" w:rsidR="00DA359F" w:rsidRDefault="00DA359F" w:rsidP="00DA359F">
      <w:pPr>
        <w:pStyle w:val="SangriaFrancesaArticulo"/>
      </w:pPr>
      <w:r>
        <w:t xml:space="preserve">Sentencia </w:t>
      </w:r>
      <w:hyperlink w:anchor="SENTENCIA_2023_80" w:history="1">
        <w:r w:rsidRPr="00DA359F">
          <w:rPr>
            <w:rStyle w:val="TextoNormalCaracter"/>
          </w:rPr>
          <w:t>80/2023</w:t>
        </w:r>
      </w:hyperlink>
      <w:r>
        <w:t>, f. 3.</w:t>
      </w:r>
    </w:p>
    <w:p w14:paraId="420766E7" w14:textId="31038D07" w:rsidR="00DA359F" w:rsidRDefault="00DA359F" w:rsidP="00DA359F">
      <w:pPr>
        <w:pStyle w:val="SangriaFrancesaArticulo"/>
      </w:pPr>
    </w:p>
    <w:p w14:paraId="67FC5E22" w14:textId="77777777" w:rsidR="00DA359F" w:rsidRDefault="00DA359F" w:rsidP="00DA359F">
      <w:pPr>
        <w:pStyle w:val="TextoNormalNegritaCursivandice"/>
        <w:keepNext/>
      </w:pPr>
      <w:r>
        <w:t>Sentencia 1818/2018, de 19 de diciembre de 2018, de la Sala de lo Contencioso-Administrativo del Tribunal Supremo (ECLI:ES:TS:2018:4387)</w:t>
      </w:r>
    </w:p>
    <w:p w14:paraId="518FE92A" w14:textId="1829186B" w:rsidR="00DA359F" w:rsidRDefault="00DA359F" w:rsidP="00DA359F">
      <w:pPr>
        <w:pStyle w:val="SangriaFrancesaArticulo"/>
      </w:pPr>
      <w:r>
        <w:t xml:space="preserve">Sentencia </w:t>
      </w:r>
      <w:hyperlink w:anchor="SENTENCIA_2023_80" w:history="1">
        <w:r w:rsidRPr="00DA359F">
          <w:rPr>
            <w:rStyle w:val="TextoNormalCaracter"/>
          </w:rPr>
          <w:t>80/2023</w:t>
        </w:r>
      </w:hyperlink>
      <w:r>
        <w:t>, f. 3.</w:t>
      </w:r>
    </w:p>
    <w:p w14:paraId="35894506" w14:textId="6E29B84A" w:rsidR="00DA359F" w:rsidRDefault="00DA359F" w:rsidP="00DA359F">
      <w:pPr>
        <w:pStyle w:val="SangriaFrancesaArticulo"/>
      </w:pPr>
    </w:p>
    <w:p w14:paraId="4CBB9194" w14:textId="77777777" w:rsidR="00DA359F" w:rsidRDefault="00DA359F" w:rsidP="00DA359F">
      <w:pPr>
        <w:pStyle w:val="TextoNormalNegritaCursivandice"/>
        <w:keepNext/>
      </w:pPr>
      <w:r>
        <w:t>Sentencia 381/2019, de 2 de julio, dictada por la Sala de lo Civil del Tribunal Supremo (ECLI:ES:TS:2019:2253)</w:t>
      </w:r>
    </w:p>
    <w:p w14:paraId="0C2C3B0E" w14:textId="0FA95021" w:rsidR="00DA359F" w:rsidRDefault="00DA359F" w:rsidP="00DA359F">
      <w:pPr>
        <w:pStyle w:val="SangriaFrancesaArticulo"/>
      </w:pPr>
      <w:r>
        <w:t xml:space="preserve">Autos </w:t>
      </w:r>
      <w:hyperlink w:anchor="AUTO_2023_532" w:history="1">
        <w:r w:rsidRPr="00DA359F">
          <w:rPr>
            <w:rStyle w:val="TextoNormalCaracter"/>
          </w:rPr>
          <w:t>532/2023</w:t>
        </w:r>
      </w:hyperlink>
      <w:r>
        <w:t xml:space="preserve">, f. 9; </w:t>
      </w:r>
      <w:hyperlink w:anchor="AUTO_2023_535" w:history="1">
        <w:r w:rsidRPr="00DA359F">
          <w:rPr>
            <w:rStyle w:val="TextoNormalCaracter"/>
          </w:rPr>
          <w:t>535/2023</w:t>
        </w:r>
      </w:hyperlink>
      <w:r>
        <w:t>.</w:t>
      </w:r>
    </w:p>
    <w:p w14:paraId="13224582" w14:textId="24D14AB8" w:rsidR="00DA359F" w:rsidRDefault="00DA359F" w:rsidP="00DA359F">
      <w:pPr>
        <w:pStyle w:val="SangriaFrancesaArticulo"/>
      </w:pPr>
    </w:p>
    <w:p w14:paraId="0A737873" w14:textId="77777777" w:rsidR="00DA359F" w:rsidRDefault="00DA359F" w:rsidP="00DA359F">
      <w:pPr>
        <w:pStyle w:val="TextoNormalNegritaCursivandice"/>
        <w:keepNext/>
      </w:pPr>
      <w:r>
        <w:t>Sentencia 1/2020, de 9 de enero de 2020, de la Sección Tercera de la Sala de lo Contencioso-Administrativo del Tribunal Supremo (ECLI:ES:TS:2020:15)</w:t>
      </w:r>
    </w:p>
    <w:p w14:paraId="7815AF2F" w14:textId="77994115" w:rsidR="00DA359F" w:rsidRDefault="00DA359F" w:rsidP="00DA359F">
      <w:pPr>
        <w:pStyle w:val="SangriaFrancesaArticulo"/>
      </w:pPr>
      <w:r>
        <w:t xml:space="preserve">Sentencia </w:t>
      </w:r>
      <w:hyperlink w:anchor="SENTENCIA_2023_89" w:history="1">
        <w:r w:rsidRPr="00DA359F">
          <w:rPr>
            <w:rStyle w:val="TextoNormalCaracter"/>
          </w:rPr>
          <w:t>89/2023</w:t>
        </w:r>
      </w:hyperlink>
      <w:r>
        <w:t>, VP I.</w:t>
      </w:r>
    </w:p>
    <w:p w14:paraId="63FC2B69" w14:textId="5C1A4D55" w:rsidR="00DA359F" w:rsidRDefault="00DA359F" w:rsidP="00DA359F">
      <w:pPr>
        <w:pStyle w:val="SangriaFrancesaArticulo"/>
      </w:pPr>
    </w:p>
    <w:p w14:paraId="47AF51CF" w14:textId="77777777" w:rsidR="00DA359F" w:rsidRDefault="00DA359F" w:rsidP="00DA359F">
      <w:pPr>
        <w:pStyle w:val="TextoNormalNegritaCursivandice"/>
        <w:keepNext/>
      </w:pPr>
      <w:r>
        <w:t>Sentencia 10/2020, de 14 de enero de 2020, de la Sección Tercera de la Sala de lo Contencioso-Administrativo del Tribunal Supremo (ECLI:ES:TS:2020:16)</w:t>
      </w:r>
    </w:p>
    <w:p w14:paraId="42AEA911" w14:textId="6D15C482" w:rsidR="00DA359F" w:rsidRDefault="00DA359F" w:rsidP="00DA359F">
      <w:pPr>
        <w:pStyle w:val="SangriaFrancesaArticulo"/>
      </w:pPr>
      <w:r>
        <w:t xml:space="preserve">Sentencia </w:t>
      </w:r>
      <w:hyperlink w:anchor="SENTENCIA_2023_89" w:history="1">
        <w:r w:rsidRPr="00DA359F">
          <w:rPr>
            <w:rStyle w:val="TextoNormalCaracter"/>
          </w:rPr>
          <w:t>89/2023</w:t>
        </w:r>
      </w:hyperlink>
      <w:r>
        <w:t>, VP I.</w:t>
      </w:r>
    </w:p>
    <w:p w14:paraId="26466DE1" w14:textId="76F22627" w:rsidR="00DA359F" w:rsidRDefault="00DA359F" w:rsidP="00DA359F">
      <w:pPr>
        <w:pStyle w:val="SangriaFrancesaArticulo"/>
      </w:pPr>
    </w:p>
    <w:p w14:paraId="2C829702" w14:textId="77777777" w:rsidR="00DA359F" w:rsidRDefault="00DA359F" w:rsidP="00DA359F">
      <w:pPr>
        <w:pStyle w:val="TextoNormalNegritaCursivandice"/>
        <w:keepNext/>
      </w:pPr>
      <w:r>
        <w:t>Sentencia 472/2020, de 17 de septiembre, de la Sala de lo Civil del Tribunal Supremo (ECLI:ES:TS:2020:2838)</w:t>
      </w:r>
    </w:p>
    <w:p w14:paraId="4DDC09BC" w14:textId="187FF63F"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91" w:history="1">
        <w:r w:rsidRPr="00DA359F">
          <w:rPr>
            <w:rStyle w:val="TextoNormalCaracter"/>
          </w:rPr>
          <w:t>91/2023</w:t>
        </w:r>
      </w:hyperlink>
      <w:r>
        <w:t>, ff. 1, 4.</w:t>
      </w:r>
    </w:p>
    <w:p w14:paraId="3730F505" w14:textId="10A6C3DA" w:rsidR="00DA359F" w:rsidRDefault="00DA359F" w:rsidP="00DA359F">
      <w:pPr>
        <w:pStyle w:val="SangriaFrancesaArticulo"/>
      </w:pPr>
      <w:r>
        <w:t xml:space="preserve">Sentencia </w:t>
      </w:r>
      <w:hyperlink w:anchor="SENTENCIA_2023_96" w:history="1">
        <w:r w:rsidRPr="00DA359F">
          <w:rPr>
            <w:rStyle w:val="TextoNormalCaracter"/>
          </w:rPr>
          <w:t>96/2023</w:t>
        </w:r>
      </w:hyperlink>
      <w:r>
        <w:t>, ff. 1, 2.</w:t>
      </w:r>
    </w:p>
    <w:p w14:paraId="7A2100A0" w14:textId="5F220544" w:rsidR="00DA359F" w:rsidRDefault="00DA359F" w:rsidP="00DA359F">
      <w:pPr>
        <w:pStyle w:val="SangriaFrancesaArticulo"/>
      </w:pPr>
    </w:p>
    <w:p w14:paraId="0751DDFE" w14:textId="77777777" w:rsidR="00DA359F" w:rsidRDefault="00DA359F" w:rsidP="00DA359F">
      <w:pPr>
        <w:pStyle w:val="TextoNormalNegritaCursivandice"/>
        <w:keepNext/>
      </w:pPr>
      <w:r>
        <w:t>Sentencia 805/2020, de 25 de septiembre, de la Sala de lo Social del Tribunal Supremo (ECLI:ES:TS:2020:2924)</w:t>
      </w:r>
    </w:p>
    <w:p w14:paraId="0A8045DC" w14:textId="19C02741" w:rsidR="00DA359F" w:rsidRDefault="00DA359F" w:rsidP="00DA359F">
      <w:pPr>
        <w:pStyle w:val="SangriaFrancesaArticulo"/>
      </w:pPr>
      <w:r>
        <w:t xml:space="preserve">Sentencias </w:t>
      </w:r>
      <w:hyperlink w:anchor="SENTENCIA_2023_144" w:history="1">
        <w:r w:rsidRPr="00DA359F">
          <w:rPr>
            <w:rStyle w:val="TextoNormalCaracter"/>
          </w:rPr>
          <w:t>144/2023</w:t>
        </w:r>
      </w:hyperlink>
      <w:r>
        <w:t xml:space="preserve">, ff. 4, 5, VP; </w:t>
      </w:r>
      <w:hyperlink w:anchor="SENTENCIA_2023_147" w:history="1">
        <w:r w:rsidRPr="00DA359F">
          <w:rPr>
            <w:rStyle w:val="TextoNormalCaracter"/>
          </w:rPr>
          <w:t>147/2023</w:t>
        </w:r>
      </w:hyperlink>
      <w:r>
        <w:t>, f. 2.</w:t>
      </w:r>
    </w:p>
    <w:p w14:paraId="16CB4122" w14:textId="0E8E7738" w:rsidR="00DA359F" w:rsidRDefault="00DA359F" w:rsidP="00DA359F">
      <w:pPr>
        <w:pStyle w:val="SangriaFrancesaArticulo"/>
      </w:pPr>
    </w:p>
    <w:p w14:paraId="55E587D9" w14:textId="77777777" w:rsidR="00DA359F" w:rsidRDefault="00DA359F" w:rsidP="00DA359F">
      <w:pPr>
        <w:pStyle w:val="TextoNormalNegritaCursivandice"/>
        <w:keepNext/>
      </w:pPr>
      <w:r>
        <w:t>Sentencia 1621/2020, de 26 de noviembre de 2020, de la Sección Tercera de la Sala de lo Contencioso-Administrativo del Tribunal Supremo (ECLI:ES:TS:2020:4120)</w:t>
      </w:r>
    </w:p>
    <w:p w14:paraId="3D66EB30" w14:textId="3C4A17D1" w:rsidR="00DA359F" w:rsidRDefault="00DA359F" w:rsidP="00DA359F">
      <w:pPr>
        <w:pStyle w:val="SangriaFrancesaArticulo"/>
      </w:pPr>
      <w:r>
        <w:t xml:space="preserve">Sentencia </w:t>
      </w:r>
      <w:hyperlink w:anchor="SENTENCIA_2023_89" w:history="1">
        <w:r w:rsidRPr="00DA359F">
          <w:rPr>
            <w:rStyle w:val="TextoNormalCaracter"/>
          </w:rPr>
          <w:t>89/2023</w:t>
        </w:r>
      </w:hyperlink>
      <w:r>
        <w:t>, VP I.</w:t>
      </w:r>
    </w:p>
    <w:p w14:paraId="5732693D" w14:textId="43FC3415" w:rsidR="00DA359F" w:rsidRDefault="00DA359F" w:rsidP="00DA359F">
      <w:pPr>
        <w:pStyle w:val="SangriaFrancesaArticulo"/>
      </w:pPr>
    </w:p>
    <w:p w14:paraId="3950A3AA" w14:textId="77777777" w:rsidR="00DA359F" w:rsidRDefault="00DA359F" w:rsidP="00DA359F">
      <w:pPr>
        <w:pStyle w:val="TextoNormalNegritaCursivandice"/>
        <w:keepNext/>
      </w:pPr>
      <w:r>
        <w:t>Sentencia 143/2021, de 4 de febrero de 2021, de la Sección Tercera de la Sala de lo Contencioso-Administrativo del Tribunal Supremo (ECLI:ES:TS:2021:547)</w:t>
      </w:r>
    </w:p>
    <w:p w14:paraId="76E8685D" w14:textId="28BF9138" w:rsidR="00DA359F" w:rsidRDefault="00DA359F" w:rsidP="00DA359F">
      <w:pPr>
        <w:pStyle w:val="SangriaFrancesaArticulo"/>
      </w:pPr>
      <w:r>
        <w:t xml:space="preserve">Sentencia </w:t>
      </w:r>
      <w:hyperlink w:anchor="SENTENCIA_2023_89" w:history="1">
        <w:r w:rsidRPr="00DA359F">
          <w:rPr>
            <w:rStyle w:val="TextoNormalCaracter"/>
          </w:rPr>
          <w:t>89/2023</w:t>
        </w:r>
      </w:hyperlink>
      <w:r>
        <w:t>, VP I.</w:t>
      </w:r>
    </w:p>
    <w:p w14:paraId="4D22EB99" w14:textId="4FB53CC0" w:rsidR="00DA359F" w:rsidRDefault="00DA359F" w:rsidP="00DA359F">
      <w:pPr>
        <w:pStyle w:val="SangriaFrancesaArticulo"/>
      </w:pPr>
    </w:p>
    <w:p w14:paraId="086B71E5" w14:textId="77777777" w:rsidR="00DA359F" w:rsidRDefault="00DA359F" w:rsidP="00DA359F">
      <w:pPr>
        <w:pStyle w:val="TextoNormalNegritaCursivandice"/>
        <w:keepNext/>
      </w:pPr>
      <w:r>
        <w:t>Sentencia 649/2021, de 28 de junio de 2021, de la Sala de lo Contencioso-Administrativo del Tribunal Supremo (ECLI:ES:TS:2021:2454)</w:t>
      </w:r>
    </w:p>
    <w:p w14:paraId="03C60042" w14:textId="71012840"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145" w:history="1">
        <w:r w:rsidRPr="00DA359F">
          <w:rPr>
            <w:rStyle w:val="TextoNormalCaracter"/>
          </w:rPr>
          <w:t>145/2023</w:t>
        </w:r>
      </w:hyperlink>
      <w:r>
        <w:t>, ff. 1, 4, 6, 7.</w:t>
      </w:r>
    </w:p>
    <w:p w14:paraId="791D30BC" w14:textId="1060F4BE" w:rsidR="00DA359F" w:rsidRDefault="00DA359F" w:rsidP="00DA359F">
      <w:pPr>
        <w:pStyle w:val="SangriaFrancesaArticulo"/>
      </w:pPr>
      <w:r>
        <w:t xml:space="preserve">Auto </w:t>
      </w:r>
      <w:hyperlink w:anchor="AUTO_2023_427" w:history="1">
        <w:r w:rsidRPr="00DA359F">
          <w:rPr>
            <w:rStyle w:val="TextoNormalCaracter"/>
          </w:rPr>
          <w:t>427/2023</w:t>
        </w:r>
      </w:hyperlink>
      <w:r>
        <w:t>, VP.</w:t>
      </w:r>
    </w:p>
    <w:p w14:paraId="37D76634" w14:textId="5D78A9F6" w:rsidR="00DA359F" w:rsidRDefault="00DA359F" w:rsidP="00DA359F">
      <w:pPr>
        <w:pStyle w:val="SangriaFrancesaArticulo"/>
      </w:pPr>
    </w:p>
    <w:p w14:paraId="216FE53A" w14:textId="77777777" w:rsidR="00DA359F" w:rsidRDefault="00DA359F" w:rsidP="00DA359F">
      <w:pPr>
        <w:pStyle w:val="TextoNormalNegritaCursivandice"/>
        <w:keepNext/>
      </w:pPr>
      <w:r>
        <w:t>Sentencia 1534/2021, de 20 de diciembre de 2021, de la Sala de lo Contencioso-Administrativo del Tribunal Supremo (ECLI:ES:TS:2021:4824)</w:t>
      </w:r>
    </w:p>
    <w:p w14:paraId="40164B6D" w14:textId="0E530DB3" w:rsidR="00DA359F" w:rsidRDefault="00DA359F" w:rsidP="00DA359F">
      <w:pPr>
        <w:pStyle w:val="SangriaFrancesaArticulo"/>
      </w:pPr>
      <w:r>
        <w:t xml:space="preserve">Auto </w:t>
      </w:r>
      <w:hyperlink w:anchor="AUTO_2023_427" w:history="1">
        <w:r w:rsidRPr="00DA359F">
          <w:rPr>
            <w:rStyle w:val="TextoNormalCaracter"/>
          </w:rPr>
          <w:t>427/2023</w:t>
        </w:r>
      </w:hyperlink>
      <w:r>
        <w:t>, VP.</w:t>
      </w:r>
    </w:p>
    <w:p w14:paraId="58AA9683" w14:textId="235CF456" w:rsidR="00DA359F" w:rsidRDefault="00DA359F" w:rsidP="00DA359F">
      <w:pPr>
        <w:pStyle w:val="SangriaFrancesaArticulo"/>
      </w:pPr>
    </w:p>
    <w:p w14:paraId="6C180CC4" w14:textId="77777777" w:rsidR="00DA359F" w:rsidRDefault="00DA359F" w:rsidP="00DA359F">
      <w:pPr>
        <w:pStyle w:val="TextoNormalNegritaCursivandice"/>
        <w:keepNext/>
      </w:pPr>
      <w:r>
        <w:t>Sentencia 4352/2022, de 30 de noviembre, de la Sala de lo Contencioso-Administrativo del Tribunal Supremo (ECLI:ES:TS:2022:4352)</w:t>
      </w:r>
    </w:p>
    <w:p w14:paraId="3A5E7CF5" w14:textId="780D9432"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82" w:history="1">
        <w:r w:rsidRPr="00DA359F">
          <w:rPr>
            <w:rStyle w:val="TextoNormalCaracter"/>
          </w:rPr>
          <w:t>82/2023</w:t>
        </w:r>
      </w:hyperlink>
      <w:r>
        <w:t>, f. 1.</w:t>
      </w:r>
    </w:p>
    <w:p w14:paraId="566121A6" w14:textId="6754C6E0" w:rsidR="00DA359F" w:rsidRDefault="00DA359F" w:rsidP="00DA359F">
      <w:pPr>
        <w:pStyle w:val="SangriaFrancesaArticulo"/>
      </w:pPr>
    </w:p>
    <w:p w14:paraId="7069DC5F" w14:textId="77777777" w:rsidR="00DA359F" w:rsidRDefault="00DA359F" w:rsidP="00DA359F">
      <w:pPr>
        <w:pStyle w:val="TextoNormalNegritaCursivandice"/>
        <w:keepNext/>
      </w:pPr>
      <w:r>
        <w:t>Sentencia 169/2023, de 2 de marzo de 2023, de la Sala de lo Social del Tribunal Supremo (ECLI:ES:TS:2023:783)</w:t>
      </w:r>
    </w:p>
    <w:p w14:paraId="7B261808" w14:textId="5B08CAE2" w:rsidR="00DA359F" w:rsidRDefault="00DA359F" w:rsidP="00DA359F">
      <w:pPr>
        <w:pStyle w:val="SangriaFrancesaArticulo"/>
      </w:pPr>
      <w:r w:rsidRPr="00DA359F">
        <w:rPr>
          <w:rStyle w:val="TextoNormalNegritaCaracter"/>
        </w:rPr>
        <w:t>En general.</w:t>
      </w:r>
      <w:r w:rsidRPr="00DA359F">
        <w:rPr>
          <w:rStyle w:val="TextoNormalCaracter"/>
        </w:rPr>
        <w:t>-</w:t>
      </w:r>
      <w:r>
        <w:t xml:space="preserve"> Auto </w:t>
      </w:r>
      <w:hyperlink w:anchor="AUTO_2023_446" w:history="1">
        <w:r w:rsidRPr="00DA359F">
          <w:rPr>
            <w:rStyle w:val="TextoNormalCaracter"/>
          </w:rPr>
          <w:t>446/2023</w:t>
        </w:r>
      </w:hyperlink>
      <w:r>
        <w:t>, f. 2.</w:t>
      </w:r>
    </w:p>
    <w:p w14:paraId="0C8D5118" w14:textId="246CC09D" w:rsidR="00DA359F" w:rsidRDefault="00DA359F" w:rsidP="00DA359F">
      <w:pPr>
        <w:pStyle w:val="SangriaFrancesaArticulo"/>
      </w:pPr>
    </w:p>
    <w:p w14:paraId="1EABB4F0" w14:textId="77777777" w:rsidR="00DA359F" w:rsidRDefault="00DA359F" w:rsidP="00DA359F">
      <w:pPr>
        <w:pStyle w:val="TextoNormalNegritaCursivandice"/>
        <w:keepNext/>
      </w:pPr>
      <w:r>
        <w:t>Sentencia 444/2023, de 30 de marzo, de la Sala de lo Contencioso-Administrativo del Tribunal Supremo (ECLI:ES:TS:2023:991)</w:t>
      </w:r>
    </w:p>
    <w:p w14:paraId="537D2B1D" w14:textId="6B7A78EC" w:rsidR="00DA359F" w:rsidRDefault="00DA359F" w:rsidP="00DA359F">
      <w:pPr>
        <w:pStyle w:val="SangriaFrancesaArticulo"/>
      </w:pPr>
      <w:r w:rsidRPr="00DA359F">
        <w:rPr>
          <w:rStyle w:val="TextoNormalNegritaCaracter"/>
        </w:rPr>
        <w:t>En general.</w:t>
      </w:r>
      <w:r w:rsidRPr="00DA359F">
        <w:rPr>
          <w:rStyle w:val="TextoNormalCaracter"/>
        </w:rPr>
        <w:t>-</w:t>
      </w:r>
      <w:r>
        <w:t xml:space="preserve"> Sentencia </w:t>
      </w:r>
      <w:hyperlink w:anchor="SENTENCIA_2023_82" w:history="1">
        <w:r w:rsidRPr="00DA359F">
          <w:rPr>
            <w:rStyle w:val="TextoNormalCaracter"/>
          </w:rPr>
          <w:t>82/2023</w:t>
        </w:r>
      </w:hyperlink>
      <w:r>
        <w:t>, ff. 1, 4.</w:t>
      </w:r>
    </w:p>
    <w:p w14:paraId="5C525402" w14:textId="5D6DAC70" w:rsidR="00DA359F" w:rsidRDefault="00DA359F" w:rsidP="00DA359F">
      <w:pPr>
        <w:pStyle w:val="SangriaFrancesaArticulo"/>
      </w:pPr>
    </w:p>
    <w:p w14:paraId="1400CD5A" w14:textId="77777777" w:rsidR="00DA359F" w:rsidRDefault="00DA359F" w:rsidP="00DA359F">
      <w:pPr>
        <w:pStyle w:val="TextoNormalNegritaCursivandice"/>
        <w:keepNext/>
      </w:pPr>
      <w:r>
        <w:t>Sentencia 1215/2023, de 4 de septiembre, de la Sala de lo Civil del Tribunal Supremo (ECLI:ES:TS:2023:3597)</w:t>
      </w:r>
    </w:p>
    <w:p w14:paraId="21270CA2" w14:textId="6B93E955" w:rsidR="00DA359F" w:rsidRDefault="00DA359F" w:rsidP="00DA359F">
      <w:pPr>
        <w:pStyle w:val="SangriaFrancesaArticulo"/>
      </w:pPr>
      <w:r>
        <w:t xml:space="preserve">Sentencia </w:t>
      </w:r>
      <w:hyperlink w:anchor="SENTENCIA_2023_172" w:history="1">
        <w:r w:rsidRPr="00DA359F">
          <w:rPr>
            <w:rStyle w:val="TextoNormalCaracter"/>
          </w:rPr>
          <w:t>172/2023</w:t>
        </w:r>
      </w:hyperlink>
      <w:r>
        <w:t>, f. 4.</w:t>
      </w:r>
    </w:p>
    <w:p w14:paraId="18880DF1" w14:textId="368B82D6" w:rsidR="00DA359F" w:rsidRDefault="00DA359F" w:rsidP="00DA359F">
      <w:pPr>
        <w:pStyle w:val="SangriaFrancesaArticulo"/>
      </w:pPr>
    </w:p>
    <w:p w14:paraId="60A5E94A" w14:textId="77777777" w:rsidR="00DA359F" w:rsidRDefault="00DA359F" w:rsidP="00DA359F">
      <w:pPr>
        <w:pStyle w:val="TextoNormalNegritaCursivandice"/>
        <w:keepNext/>
      </w:pPr>
      <w:r>
        <w:t>Sentencia 1216/2023, de 7 de septiembre, de la Sala de lo Civil del Tribunal Supremo (ECLI:ES:TS:2023:3598)</w:t>
      </w:r>
    </w:p>
    <w:p w14:paraId="131F21B1" w14:textId="4AF00EEF" w:rsidR="00DA359F" w:rsidRDefault="00DA359F" w:rsidP="00DA359F">
      <w:pPr>
        <w:pStyle w:val="SangriaFrancesaArticulo"/>
      </w:pPr>
      <w:r>
        <w:t xml:space="preserve">Sentencia </w:t>
      </w:r>
      <w:hyperlink w:anchor="SENTENCIA_2023_172" w:history="1">
        <w:r w:rsidRPr="00DA359F">
          <w:rPr>
            <w:rStyle w:val="TextoNormalCaracter"/>
          </w:rPr>
          <w:t>172/2023</w:t>
        </w:r>
      </w:hyperlink>
      <w:r>
        <w:t>, f. 4.</w:t>
      </w:r>
    </w:p>
    <w:p w14:paraId="366E3C1D" w14:textId="3E04F888" w:rsidR="00DA359F" w:rsidRDefault="00DA359F">
      <w:pPr>
        <w:spacing w:after="160" w:line="278" w:lineRule="auto"/>
        <w:rPr>
          <w:rFonts w:ascii="Times New Roman" w:eastAsia="Times New Roman" w:hAnsi="Times New Roman" w:cs="Times New Roman"/>
          <w:sz w:val="24"/>
          <w:szCs w:val="24"/>
          <w:lang w:eastAsia="es-ES"/>
        </w:rPr>
      </w:pPr>
      <w:r>
        <w:br w:type="page"/>
      </w:r>
    </w:p>
    <w:p w14:paraId="5FBF44A2" w14:textId="77777777" w:rsidR="00DA359F" w:rsidRDefault="00DA359F" w:rsidP="00DA359F">
      <w:pPr>
        <w:pStyle w:val="SangriaFrancesaArticulo"/>
      </w:pPr>
      <w:bookmarkStart w:id="498" w:name="DESCRIPTOR1"/>
      <w:bookmarkStart w:id="499" w:name="DESCRIPTOR2"/>
      <w:bookmarkStart w:id="500" w:name="DESCRIPTOR3"/>
      <w:bookmarkStart w:id="501" w:name="DESCRIPTOR4"/>
      <w:bookmarkStart w:id="502" w:name="DESCRIPTOR5"/>
      <w:bookmarkStart w:id="503" w:name="DESCRIPTOR6"/>
      <w:bookmarkStart w:id="504" w:name="DESCRIPTOR7"/>
      <w:bookmarkStart w:id="505" w:name="DESCRIPTOR8"/>
      <w:bookmarkStart w:id="506" w:name="DESCRIPTOR9"/>
      <w:bookmarkStart w:id="507" w:name="DESCRIPTOR10"/>
      <w:bookmarkStart w:id="508" w:name="DESCRIPTOR11"/>
      <w:bookmarkStart w:id="509" w:name="DESCRIPTOR12"/>
      <w:bookmarkStart w:id="510" w:name="DESCRIPTOR13"/>
      <w:bookmarkStart w:id="511" w:name="DESCRIPTOR14"/>
      <w:bookmarkStart w:id="512" w:name="DESCRIPTOR15"/>
      <w:bookmarkStart w:id="513" w:name="DESCRIPTOR16"/>
      <w:bookmarkStart w:id="514" w:name="DESCRIPTOR17"/>
      <w:bookmarkStart w:id="515" w:name="DESCRIPTOR18"/>
      <w:bookmarkStart w:id="516" w:name="DESCRIPTOR19"/>
      <w:bookmarkStart w:id="517" w:name="DESCRIPTOR20"/>
      <w:bookmarkStart w:id="518" w:name="DESCRIPTOR21"/>
      <w:bookmarkStart w:id="519" w:name="DESCRIPTOR22"/>
      <w:bookmarkStart w:id="520" w:name="DESCRIPTOR23"/>
      <w:bookmarkStart w:id="521" w:name="DESCRIPTOR24"/>
      <w:bookmarkStart w:id="522" w:name="DESCRIPTOR25"/>
      <w:bookmarkStart w:id="523" w:name="DESCRIPTOR26"/>
      <w:bookmarkStart w:id="524" w:name="DESCRIPTOR27"/>
      <w:bookmarkStart w:id="525" w:name="DESCRIPTOR28"/>
      <w:bookmarkStart w:id="526" w:name="DESCRIPTOR29"/>
      <w:bookmarkStart w:id="527" w:name="DESCRIPTOR30"/>
      <w:bookmarkStart w:id="528" w:name="DESCRIPTOR31"/>
      <w:bookmarkStart w:id="529" w:name="DESCRIPTOR32"/>
      <w:bookmarkStart w:id="530" w:name="DESCRIPTOR33"/>
      <w:bookmarkStart w:id="531" w:name="DESCRIPTOR34"/>
      <w:bookmarkStart w:id="532" w:name="DESCRIPTOR35"/>
      <w:bookmarkStart w:id="533" w:name="DESCRIPTOR36"/>
      <w:bookmarkStart w:id="534" w:name="DESCRIPTOR37"/>
      <w:bookmarkStart w:id="535" w:name="DESCRIPTOR38"/>
      <w:bookmarkStart w:id="536" w:name="DESCRIPTOR39"/>
      <w:bookmarkStart w:id="537" w:name="DESCRIPTOR40"/>
      <w:bookmarkStart w:id="538" w:name="DESCRIPTOR41"/>
      <w:bookmarkStart w:id="539" w:name="DESCRIPTOR42"/>
      <w:bookmarkStart w:id="540" w:name="DESCRIPTOR43"/>
      <w:bookmarkStart w:id="541" w:name="DESCRIPTOR44"/>
      <w:bookmarkStart w:id="542" w:name="DESCRIPTOR45"/>
      <w:bookmarkStart w:id="543" w:name="DESCRIPTOR46"/>
      <w:bookmarkStart w:id="544" w:name="DESCRIPTOR47"/>
      <w:bookmarkStart w:id="545" w:name="DESCRIPTOR48"/>
      <w:bookmarkStart w:id="546" w:name="DESCRIPTOR49"/>
      <w:bookmarkStart w:id="547" w:name="DESCRIPTOR50"/>
      <w:bookmarkStart w:id="548" w:name="DESCRIPTOR51"/>
      <w:bookmarkStart w:id="549" w:name="DESCRIPTOR52"/>
      <w:bookmarkStart w:id="550" w:name="DESCRIPTOR53"/>
      <w:bookmarkStart w:id="551" w:name="DESCRIPTOR54"/>
      <w:bookmarkStart w:id="552" w:name="DESCRIPTOR55"/>
      <w:bookmarkStart w:id="553" w:name="DESCRIPTOR56"/>
      <w:bookmarkStart w:id="554" w:name="DESCRIPTOR57"/>
      <w:bookmarkStart w:id="555" w:name="DESCRIPTOR58"/>
      <w:bookmarkStart w:id="556" w:name="DESCRIPTOR59"/>
      <w:bookmarkStart w:id="557" w:name="DESCRIPTOR60"/>
      <w:bookmarkStart w:id="558" w:name="DESCRIPTOR61"/>
      <w:bookmarkStart w:id="559" w:name="DESCRIPTOR62"/>
      <w:bookmarkStart w:id="560" w:name="DESCRIPTOR63"/>
      <w:bookmarkStart w:id="561" w:name="DESCRIPTOR64"/>
      <w:bookmarkStart w:id="562" w:name="DESCRIPTOR65"/>
      <w:bookmarkStart w:id="563" w:name="DESCRIPTOR66"/>
      <w:bookmarkStart w:id="564" w:name="DESCRIPTOR67"/>
      <w:bookmarkStart w:id="565" w:name="DESCRIPTOR68"/>
      <w:bookmarkStart w:id="566" w:name="DESCRIPTOR69"/>
      <w:bookmarkStart w:id="567" w:name="DESCRIPTOR70"/>
      <w:bookmarkStart w:id="568" w:name="DESCRIPTOR71"/>
      <w:bookmarkStart w:id="569" w:name="DESCRIPTOR72"/>
      <w:bookmarkStart w:id="570" w:name="DESCRIPTOR73"/>
      <w:bookmarkStart w:id="571" w:name="DESCRIPTOR74"/>
      <w:bookmarkStart w:id="572" w:name="DESCRIPTOR75"/>
      <w:bookmarkStart w:id="573" w:name="DESCRIPTOR76"/>
      <w:bookmarkStart w:id="574" w:name="DESCRIPTOR77"/>
      <w:bookmarkStart w:id="575" w:name="DESCRIPTOR78"/>
      <w:bookmarkStart w:id="576" w:name="DESCRIPTOR79"/>
      <w:bookmarkStart w:id="577" w:name="DESCRIPTOR80"/>
      <w:bookmarkStart w:id="578" w:name="DESCRIPTOR81"/>
      <w:bookmarkStart w:id="579" w:name="DESCRIPTOR82"/>
      <w:bookmarkStart w:id="580" w:name="DESCRIPTOR83"/>
      <w:bookmarkStart w:id="581" w:name="DESCRIPTOR84"/>
      <w:bookmarkStart w:id="582" w:name="DESCRIPTOR85"/>
      <w:bookmarkStart w:id="583" w:name="DESCRIPTOR86"/>
      <w:bookmarkStart w:id="584" w:name="DESCRIPTOR87"/>
      <w:bookmarkStart w:id="585" w:name="DESCRIPTOR88"/>
      <w:bookmarkStart w:id="586" w:name="DESCRIPTOR89"/>
      <w:bookmarkStart w:id="587" w:name="DESCRIPTOR90"/>
      <w:bookmarkStart w:id="588" w:name="DESCRIPTOR91"/>
      <w:bookmarkStart w:id="589" w:name="DESCRIPTOR92"/>
      <w:bookmarkStart w:id="590" w:name="DESCRIPTOR93"/>
      <w:bookmarkStart w:id="591" w:name="DESCRIPTOR94"/>
      <w:bookmarkStart w:id="592" w:name="DESCRIPTOR95"/>
      <w:bookmarkStart w:id="593" w:name="DESCRIPTOR96"/>
      <w:bookmarkStart w:id="594" w:name="DESCRIPTOR97"/>
      <w:bookmarkStart w:id="595" w:name="DESCRIPTOR98"/>
      <w:bookmarkStart w:id="596" w:name="DESCRIPTOR99"/>
      <w:bookmarkStart w:id="597" w:name="DESCRIPTOR100"/>
      <w:bookmarkStart w:id="598" w:name="DESCRIPTOR101"/>
      <w:bookmarkStart w:id="599" w:name="DESCRIPTOR102"/>
      <w:bookmarkStart w:id="600" w:name="DESCRIPTOR103"/>
      <w:bookmarkStart w:id="601" w:name="DESCRIPTOR104"/>
      <w:bookmarkStart w:id="602" w:name="DESCRIPTOR105"/>
      <w:bookmarkStart w:id="603" w:name="DESCRIPTOR106"/>
      <w:bookmarkStart w:id="604" w:name="DESCRIPTOR107"/>
      <w:bookmarkStart w:id="605" w:name="DESCRIPTOR108"/>
      <w:bookmarkStart w:id="606" w:name="DESCRIPTOR109"/>
      <w:bookmarkStart w:id="607" w:name="DESCRIPTOR110"/>
      <w:bookmarkStart w:id="608" w:name="DESCRIPTOR111"/>
      <w:bookmarkStart w:id="609" w:name="DESCRIPTOR112"/>
      <w:bookmarkStart w:id="610" w:name="DESCRIPTOR113"/>
      <w:bookmarkStart w:id="611" w:name="DESCRIPTOR114"/>
      <w:bookmarkStart w:id="612" w:name="DESCRIPTOR115"/>
      <w:bookmarkStart w:id="613" w:name="DESCRIPTOR116"/>
      <w:bookmarkStart w:id="614" w:name="DESCRIPTOR117"/>
      <w:bookmarkStart w:id="615" w:name="DESCRIPTOR118"/>
      <w:bookmarkStart w:id="616" w:name="DESCRIPTOR119"/>
      <w:bookmarkStart w:id="617" w:name="DESCRIPTOR120"/>
      <w:bookmarkStart w:id="618" w:name="DESCRIPTOR121"/>
      <w:bookmarkStart w:id="619" w:name="DESCRIPTOR122"/>
      <w:bookmarkStart w:id="620" w:name="DESCRIPTOR123"/>
      <w:bookmarkStart w:id="621" w:name="DESCRIPTOR124"/>
      <w:bookmarkStart w:id="622" w:name="DESCRIPTOR125"/>
      <w:bookmarkStart w:id="623" w:name="DESCRIPTOR126"/>
      <w:bookmarkStart w:id="624" w:name="DESCRIPTOR127"/>
      <w:bookmarkStart w:id="625" w:name="DESCRIPTOR128"/>
      <w:bookmarkStart w:id="626" w:name="DESCRIPTOR129"/>
      <w:bookmarkStart w:id="627" w:name="DESCRIPTOR130"/>
      <w:bookmarkStart w:id="628" w:name="DESCRIPTOR131"/>
      <w:bookmarkStart w:id="629" w:name="DESCRIPTOR132"/>
      <w:bookmarkStart w:id="630" w:name="DESCRIPTOR133"/>
      <w:bookmarkStart w:id="631" w:name="DESCRIPTOR134"/>
      <w:bookmarkStart w:id="632" w:name="DESCRIPTOR135"/>
      <w:bookmarkStart w:id="633" w:name="DESCRIPTOR136"/>
      <w:bookmarkStart w:id="634" w:name="DESCRIPTOR137"/>
      <w:bookmarkStart w:id="635" w:name="DESCRIPTOR138"/>
      <w:bookmarkStart w:id="636" w:name="DESCRIPTOR139"/>
      <w:bookmarkStart w:id="637" w:name="DESCRIPTOR140"/>
      <w:bookmarkStart w:id="638" w:name="DESCRIPTOR141"/>
      <w:bookmarkStart w:id="639" w:name="DESCRIPTOR142"/>
      <w:bookmarkStart w:id="640" w:name="DESCRIPTOR143"/>
      <w:bookmarkStart w:id="641" w:name="DESCRIPTOR144"/>
      <w:bookmarkStart w:id="642" w:name="DESCRIPTOR145"/>
      <w:bookmarkStart w:id="643" w:name="DESCRIPTOR146"/>
      <w:bookmarkStart w:id="644" w:name="DESCRIPTOR147"/>
      <w:bookmarkStart w:id="645" w:name="DESCRIPTOR148"/>
      <w:bookmarkStart w:id="646" w:name="DESCRIPTOR149"/>
      <w:bookmarkStart w:id="647" w:name="DESCRIPTOR150"/>
      <w:bookmarkStart w:id="648" w:name="DESCRIPTOR151"/>
      <w:bookmarkStart w:id="649" w:name="DESCRIPTOR152"/>
      <w:bookmarkStart w:id="650" w:name="DESCRIPTOR153"/>
      <w:bookmarkStart w:id="651" w:name="DESCRIPTOR154"/>
      <w:bookmarkStart w:id="652" w:name="DESCRIPTOR155"/>
      <w:bookmarkStart w:id="653" w:name="DESCRIPTOR156"/>
      <w:bookmarkStart w:id="654" w:name="DESCRIPTOR157"/>
      <w:bookmarkStart w:id="655" w:name="DESCRIPTOR158"/>
      <w:bookmarkStart w:id="656" w:name="DESCRIPTOR159"/>
      <w:bookmarkStart w:id="657" w:name="DESCRIPTOR160"/>
      <w:bookmarkStart w:id="658" w:name="DESCRIPTOR161"/>
      <w:bookmarkStart w:id="659" w:name="DESCRIPTOR162"/>
      <w:bookmarkStart w:id="660" w:name="DESCRIPTOR163"/>
      <w:bookmarkStart w:id="661" w:name="DESCRIPTOR164"/>
      <w:bookmarkStart w:id="662" w:name="DESCRIPTOR165"/>
      <w:bookmarkStart w:id="663" w:name="DESCRIPTOR166"/>
      <w:bookmarkStart w:id="664" w:name="DESCRIPTOR167"/>
      <w:bookmarkStart w:id="665" w:name="DESCRIPTOR168"/>
      <w:bookmarkStart w:id="666" w:name="DESCRIPTOR169"/>
      <w:bookmarkStart w:id="667" w:name="DESCRIPTOR170"/>
      <w:bookmarkStart w:id="668" w:name="DESCRIPTOR171"/>
      <w:bookmarkStart w:id="669" w:name="DESCRIPTOR172"/>
      <w:bookmarkStart w:id="670" w:name="DESCRIPTOR173"/>
      <w:bookmarkStart w:id="671" w:name="DESCRIPTOR174"/>
      <w:bookmarkStart w:id="672" w:name="DESCRIPTOR175"/>
      <w:bookmarkStart w:id="673" w:name="DESCRIPTOR176"/>
      <w:bookmarkStart w:id="674" w:name="DESCRIPTOR177"/>
      <w:bookmarkStart w:id="675" w:name="DESCRIPTOR178"/>
      <w:bookmarkStart w:id="676" w:name="DESCRIPTOR179"/>
      <w:bookmarkStart w:id="677" w:name="DESCRIPTOR180"/>
      <w:bookmarkStart w:id="678" w:name="DESCRIPTOR181"/>
      <w:bookmarkStart w:id="679" w:name="DESCRIPTOR182"/>
      <w:bookmarkStart w:id="680" w:name="DESCRIPTOR183"/>
      <w:bookmarkStart w:id="681" w:name="DESCRIPTOR184"/>
      <w:bookmarkStart w:id="682" w:name="DESCRIPTOR185"/>
      <w:bookmarkStart w:id="683" w:name="DESCRIPTOR186"/>
      <w:bookmarkStart w:id="684" w:name="DESCRIPTOR187"/>
      <w:bookmarkStart w:id="685" w:name="DESCRIPTOR188"/>
      <w:bookmarkStart w:id="686" w:name="DESCRIPTOR189"/>
      <w:bookmarkStart w:id="687" w:name="DESCRIPTOR190"/>
      <w:bookmarkStart w:id="688" w:name="DESCRIPTOR191"/>
      <w:bookmarkStart w:id="689" w:name="DESCRIPTOR192"/>
      <w:bookmarkStart w:id="690" w:name="DESCRIPTOR193"/>
      <w:bookmarkStart w:id="691" w:name="DESCRIPTOR194"/>
      <w:bookmarkStart w:id="692" w:name="DESCRIPTOR195"/>
      <w:bookmarkStart w:id="693" w:name="DESCRIPTOR196"/>
      <w:bookmarkStart w:id="694" w:name="DESCRIPTOR197"/>
      <w:bookmarkStart w:id="695" w:name="DESCRIPTOR198"/>
      <w:bookmarkStart w:id="696" w:name="DESCRIPTOR199"/>
      <w:bookmarkStart w:id="697" w:name="DESCRIPTOR200"/>
      <w:bookmarkStart w:id="698" w:name="DESCRIPTOR201"/>
      <w:bookmarkStart w:id="699" w:name="DESCRIPTOR202"/>
      <w:bookmarkStart w:id="700" w:name="DESCRIPTOR203"/>
      <w:bookmarkStart w:id="701" w:name="DESCRIPTOR204"/>
      <w:bookmarkStart w:id="702" w:name="DESCRIPTOR205"/>
      <w:bookmarkStart w:id="703" w:name="DESCRIPTOR206"/>
      <w:bookmarkStart w:id="704" w:name="DESCRIPTOR207"/>
      <w:bookmarkStart w:id="705" w:name="DESCRIPTOR208"/>
      <w:bookmarkStart w:id="706" w:name="DESCRIPTOR209"/>
      <w:bookmarkStart w:id="707" w:name="DESCRIPTOR210"/>
      <w:bookmarkStart w:id="708" w:name="DESCRIPTOR211"/>
      <w:bookmarkStart w:id="709" w:name="DESCRIPTOR212"/>
      <w:bookmarkStart w:id="710" w:name="DESCRIPTOR213"/>
      <w:bookmarkStart w:id="711" w:name="DESCRIPTOR214"/>
      <w:bookmarkStart w:id="712" w:name="DESCRIPTOR215"/>
      <w:bookmarkStart w:id="713" w:name="DESCRIPTOR216"/>
      <w:bookmarkStart w:id="714" w:name="DESCRIPTOR217"/>
      <w:bookmarkStart w:id="715" w:name="DESCRIPTOR218"/>
      <w:bookmarkStart w:id="716" w:name="DESCRIPTOR219"/>
      <w:bookmarkStart w:id="717" w:name="DESCRIPTOR220"/>
      <w:bookmarkStart w:id="718" w:name="DESCRIPTOR221"/>
      <w:bookmarkStart w:id="719" w:name="DESCRIPTOR222"/>
      <w:bookmarkStart w:id="720" w:name="DESCRIPTOR223"/>
      <w:bookmarkStart w:id="721" w:name="DESCRIPTOR224"/>
      <w:bookmarkStart w:id="722" w:name="DESCRIPTOR225"/>
      <w:bookmarkStart w:id="723" w:name="DESCRIPTOR226"/>
      <w:bookmarkStart w:id="724" w:name="DESCRIPTOR227"/>
      <w:bookmarkStart w:id="725" w:name="DESCRIPTOR228"/>
      <w:bookmarkStart w:id="726" w:name="DESCRIPTOR229"/>
      <w:bookmarkStart w:id="727" w:name="DESCRIPTOR230"/>
      <w:bookmarkStart w:id="728" w:name="DESCRIPTOR231"/>
      <w:bookmarkStart w:id="729" w:name="DESCRIPTOR232"/>
      <w:bookmarkStart w:id="730" w:name="DESCRIPTOR233"/>
      <w:bookmarkStart w:id="731" w:name="DESCRIPTOR234"/>
      <w:bookmarkStart w:id="732" w:name="DESCRIPTOR235"/>
      <w:bookmarkStart w:id="733" w:name="DESCRIPTOR236"/>
      <w:bookmarkStart w:id="734" w:name="DESCRIPTOR237"/>
      <w:bookmarkStart w:id="735" w:name="DESCRIPTOR238"/>
      <w:bookmarkStart w:id="736" w:name="DESCRIPTOR239"/>
      <w:bookmarkStart w:id="737" w:name="DESCRIPTOR240"/>
      <w:bookmarkStart w:id="738" w:name="DESCRIPTOR241"/>
      <w:bookmarkStart w:id="739" w:name="DESCRIPTOR242"/>
      <w:bookmarkStart w:id="740" w:name="DESCRIPTOR243"/>
      <w:bookmarkStart w:id="741" w:name="DESCRIPTOR244"/>
      <w:bookmarkStart w:id="742" w:name="DESCRIPTOR245"/>
      <w:bookmarkStart w:id="743" w:name="DESCRIPTOR246"/>
      <w:bookmarkStart w:id="744" w:name="DESCRIPTOR247"/>
      <w:bookmarkStart w:id="745" w:name="DESCRIPTOR248"/>
      <w:bookmarkStart w:id="746" w:name="DESCRIPTOR249"/>
      <w:bookmarkStart w:id="747" w:name="DESCRIPTOR250"/>
      <w:bookmarkStart w:id="748" w:name="DESCRIPTOR251"/>
      <w:bookmarkStart w:id="749" w:name="DESCRIPTOR252"/>
      <w:bookmarkStart w:id="750" w:name="DESCRIPTOR253"/>
      <w:bookmarkStart w:id="751" w:name="DESCRIPTOR254"/>
      <w:bookmarkStart w:id="752" w:name="DESCRIPTOR255"/>
      <w:bookmarkStart w:id="753" w:name="DESCRIPTOR256"/>
      <w:bookmarkStart w:id="754" w:name="DESCRIPTOR257"/>
      <w:bookmarkStart w:id="755" w:name="DESCRIPTOR258"/>
      <w:bookmarkStart w:id="756" w:name="DESCRIPTOR259"/>
      <w:bookmarkStart w:id="757" w:name="DESCRIPTOR260"/>
      <w:bookmarkStart w:id="758" w:name="DESCRIPTOR261"/>
      <w:bookmarkStart w:id="759" w:name="DESCRIPTOR262"/>
      <w:bookmarkStart w:id="760" w:name="DESCRIPTOR263"/>
      <w:bookmarkStart w:id="761" w:name="DESCRIPTOR264"/>
      <w:bookmarkStart w:id="762" w:name="DESCRIPTOR265"/>
      <w:bookmarkStart w:id="763" w:name="DESCRIPTOR266"/>
      <w:bookmarkStart w:id="764" w:name="DESCRIPTOR267"/>
      <w:bookmarkStart w:id="765" w:name="DESCRIPTOR268"/>
      <w:bookmarkStart w:id="766" w:name="DESCRIPTOR269"/>
      <w:bookmarkStart w:id="767" w:name="DESCRIPTOR270"/>
      <w:bookmarkStart w:id="768" w:name="DESCRIPTOR271"/>
      <w:bookmarkStart w:id="769" w:name="DESCRIPTOR272"/>
      <w:bookmarkStart w:id="770" w:name="DESCRIPTOR273"/>
      <w:bookmarkStart w:id="771" w:name="DESCRIPTOR274"/>
      <w:bookmarkStart w:id="772" w:name="DESCRIPTOR275"/>
      <w:bookmarkStart w:id="773" w:name="DESCRIPTOR276"/>
      <w:bookmarkStart w:id="774" w:name="DESCRIPTOR277"/>
      <w:bookmarkStart w:id="775" w:name="DESCRIPTOR278"/>
      <w:bookmarkStart w:id="776" w:name="DESCRIPTOR279"/>
      <w:bookmarkStart w:id="777" w:name="DESCRIPTOR280"/>
      <w:bookmarkStart w:id="778" w:name="DESCRIPTOR281"/>
      <w:bookmarkStart w:id="779" w:name="DESCRIPTOR282"/>
      <w:bookmarkStart w:id="780" w:name="DESCRIPTOR283"/>
      <w:bookmarkStart w:id="781" w:name="DESCRIPTOR284"/>
      <w:bookmarkStart w:id="782" w:name="DESCRIPTOR285"/>
      <w:bookmarkStart w:id="783" w:name="DESCRIPTOR286"/>
      <w:bookmarkStart w:id="784" w:name="DESCRIPTOR287"/>
      <w:bookmarkStart w:id="785" w:name="DESCRIPTOR288"/>
      <w:bookmarkStart w:id="786" w:name="DESCRIPTOR289"/>
      <w:bookmarkStart w:id="787" w:name="DESCRIPTOR290"/>
      <w:bookmarkStart w:id="788" w:name="DESCRIPTOR291"/>
      <w:bookmarkStart w:id="789" w:name="DESCRIPTOR292"/>
      <w:bookmarkStart w:id="790" w:name="DESCRIPTOR293"/>
      <w:bookmarkStart w:id="791" w:name="DESCRIPTOR294"/>
      <w:bookmarkStart w:id="792" w:name="DESCRIPTOR295"/>
      <w:bookmarkStart w:id="793" w:name="DESCRIPTOR296"/>
      <w:bookmarkStart w:id="794" w:name="DESCRIPTOR297"/>
      <w:bookmarkStart w:id="795" w:name="DESCRIPTOR298"/>
      <w:bookmarkStart w:id="796" w:name="DESCRIPTOR299"/>
      <w:bookmarkStart w:id="797" w:name="DESCRIPTOR300"/>
      <w:bookmarkStart w:id="798" w:name="DESCRIPTOR301"/>
      <w:bookmarkStart w:id="799" w:name="DESCRIPTOR302"/>
      <w:bookmarkStart w:id="800" w:name="DESCRIPTOR303"/>
      <w:bookmarkStart w:id="801" w:name="DESCRIPTOR304"/>
      <w:bookmarkStart w:id="802" w:name="DESCRIPTOR305"/>
      <w:bookmarkStart w:id="803" w:name="DESCRIPTOR306"/>
      <w:bookmarkStart w:id="804" w:name="DESCRIPTOR307"/>
      <w:bookmarkStart w:id="805" w:name="DESCRIPTOR308"/>
      <w:bookmarkStart w:id="806" w:name="DESCRIPTOR309"/>
      <w:bookmarkStart w:id="807" w:name="DESCRIPTOR310"/>
      <w:bookmarkStart w:id="808" w:name="DESCRIPTOR311"/>
      <w:bookmarkStart w:id="809" w:name="DESCRIPTOR312"/>
      <w:bookmarkStart w:id="810" w:name="DESCRIPTOR313"/>
      <w:bookmarkStart w:id="811" w:name="DESCRIPTOR314"/>
      <w:bookmarkStart w:id="812" w:name="DESCRIPTOR315"/>
      <w:bookmarkStart w:id="813" w:name="DESCRIPTOR316"/>
      <w:bookmarkStart w:id="814" w:name="DESCRIPTOR317"/>
      <w:bookmarkStart w:id="815" w:name="DESCRIPTOR318"/>
      <w:bookmarkStart w:id="816" w:name="DESCRIPTOR319"/>
      <w:bookmarkStart w:id="817" w:name="DESCRIPTOR320"/>
      <w:bookmarkStart w:id="818" w:name="DESCRIPTOR321"/>
      <w:bookmarkStart w:id="819" w:name="DESCRIPTOR322"/>
      <w:bookmarkStart w:id="820" w:name="DESCRIPTOR323"/>
      <w:bookmarkStart w:id="821" w:name="DESCRIPTOR324"/>
      <w:bookmarkStart w:id="822" w:name="DESCRIPTOR325"/>
      <w:bookmarkStart w:id="823" w:name="DESCRIPTOR326"/>
      <w:bookmarkStart w:id="824" w:name="DESCRIPTOR327"/>
      <w:bookmarkStart w:id="825" w:name="DESCRIPTOR328"/>
      <w:bookmarkStart w:id="826" w:name="DESCRIPTOR329"/>
      <w:bookmarkStart w:id="827" w:name="DESCRIPTOR330"/>
      <w:bookmarkStart w:id="828" w:name="DESCRIPTOR331"/>
      <w:bookmarkStart w:id="829" w:name="DESCRIPTOR332"/>
      <w:bookmarkStart w:id="830" w:name="DESCRIPTOR333"/>
      <w:bookmarkStart w:id="831" w:name="DESCRIPTOR334"/>
      <w:bookmarkStart w:id="832" w:name="DESCRIPTOR335"/>
      <w:bookmarkStart w:id="833" w:name="DESCRIPTOR336"/>
      <w:bookmarkStart w:id="834" w:name="DESCRIPTOR337"/>
      <w:bookmarkStart w:id="835" w:name="DESCRIPTOR338"/>
      <w:bookmarkStart w:id="836" w:name="DESCRIPTOR339"/>
      <w:bookmarkStart w:id="837" w:name="DESCRIPTOR340"/>
      <w:bookmarkStart w:id="838" w:name="DESCRIPTOR341"/>
      <w:bookmarkStart w:id="839" w:name="DESCRIPTOR342"/>
      <w:bookmarkStart w:id="840" w:name="DESCRIPTOR343"/>
      <w:bookmarkStart w:id="841" w:name="DESCRIPTOR344"/>
      <w:bookmarkStart w:id="842" w:name="DESCRIPTOR345"/>
      <w:bookmarkStart w:id="843" w:name="DESCRIPTOR346"/>
      <w:bookmarkStart w:id="844" w:name="DESCRIPTOR347"/>
      <w:bookmarkStart w:id="845" w:name="DESCRIPTOR348"/>
      <w:bookmarkStart w:id="846" w:name="DESCRIPTOR349"/>
      <w:bookmarkStart w:id="847" w:name="DESCRIPTOR350"/>
      <w:bookmarkStart w:id="848" w:name="DESCRIPTOR351"/>
      <w:bookmarkStart w:id="849" w:name="DESCRIPTOR352"/>
      <w:bookmarkStart w:id="850" w:name="DESCRIPTOR353"/>
      <w:bookmarkStart w:id="851" w:name="DESCRIPTOR354"/>
      <w:bookmarkStart w:id="852" w:name="DESCRIPTOR355"/>
      <w:bookmarkStart w:id="853" w:name="DESCRIPTOR356"/>
      <w:bookmarkStart w:id="854" w:name="DESCRIPTOR357"/>
      <w:bookmarkStart w:id="855" w:name="DESCRIPTOR358"/>
      <w:bookmarkStart w:id="856" w:name="DESCRIPTOR359"/>
      <w:bookmarkStart w:id="857" w:name="DESCRIPTOR360"/>
      <w:bookmarkStart w:id="858" w:name="DESCRIPTOR361"/>
      <w:bookmarkStart w:id="859" w:name="DESCRIPTOR362"/>
      <w:bookmarkStart w:id="860" w:name="DESCRIPTOR363"/>
      <w:bookmarkStart w:id="861" w:name="DESCRIPTOR364"/>
      <w:bookmarkStart w:id="862" w:name="DESCRIPTOR365"/>
      <w:bookmarkStart w:id="863" w:name="DESCRIPTOR366"/>
      <w:bookmarkStart w:id="864" w:name="DESCRIPTOR367"/>
      <w:bookmarkStart w:id="865" w:name="DESCRIPTOR368"/>
      <w:bookmarkStart w:id="866" w:name="DESCRIPTOR369"/>
      <w:bookmarkStart w:id="867" w:name="DESCRIPTOR370"/>
      <w:bookmarkStart w:id="868" w:name="DESCRIPTOR371"/>
      <w:bookmarkStart w:id="869" w:name="DESCRIPTOR372"/>
      <w:bookmarkStart w:id="870" w:name="DESCRIPTOR373"/>
      <w:bookmarkStart w:id="871" w:name="DESCRIPTOR374"/>
      <w:bookmarkStart w:id="872" w:name="DESCRIPTOR375"/>
      <w:bookmarkStart w:id="873" w:name="DESCRIPTOR376"/>
      <w:bookmarkStart w:id="874" w:name="DESCRIPTOR377"/>
      <w:bookmarkStart w:id="875" w:name="DESCRIPTOR378"/>
      <w:bookmarkStart w:id="876" w:name="DESCRIPTOR379"/>
      <w:bookmarkStart w:id="877" w:name="DESCRIPTOR380"/>
      <w:bookmarkStart w:id="878" w:name="DESCRIPTOR381"/>
      <w:bookmarkStart w:id="879" w:name="DESCRIPTOR382"/>
      <w:bookmarkStart w:id="880" w:name="DESCRIPTOR383"/>
      <w:bookmarkStart w:id="881" w:name="DESCRIPTOR384"/>
      <w:bookmarkStart w:id="882" w:name="DESCRIPTOR385"/>
      <w:bookmarkStart w:id="883" w:name="DESCRIPTOR386"/>
      <w:bookmarkStart w:id="884" w:name="DESCRIPTOR387"/>
      <w:bookmarkStart w:id="885" w:name="DESCRIPTOR388"/>
      <w:bookmarkStart w:id="886" w:name="DESCRIPTOR389"/>
      <w:bookmarkStart w:id="887" w:name="DESCRIPTOR390"/>
      <w:bookmarkStart w:id="888" w:name="DESCRIPTOR391"/>
      <w:bookmarkStart w:id="889" w:name="DESCRIPTOR392"/>
      <w:bookmarkStart w:id="890" w:name="DESCRIPTOR393"/>
      <w:bookmarkStart w:id="891" w:name="DESCRIPTOR394"/>
      <w:bookmarkStart w:id="892" w:name="DESCRIPTOR395"/>
      <w:bookmarkStart w:id="893" w:name="DESCRIPTOR396"/>
      <w:bookmarkStart w:id="894" w:name="DESCRIPTOR397"/>
      <w:bookmarkStart w:id="895" w:name="DESCRIPTOR398"/>
      <w:bookmarkStart w:id="896" w:name="DESCRIPTOR399"/>
      <w:bookmarkStart w:id="897" w:name="DESCRIPTOR400"/>
      <w:bookmarkStart w:id="898" w:name="DESCRIPTOR401"/>
      <w:bookmarkStart w:id="899" w:name="DESCRIPTOR402"/>
      <w:bookmarkStart w:id="900" w:name="DESCRIPTOR403"/>
      <w:bookmarkStart w:id="901" w:name="DESCRIPTOR404"/>
      <w:bookmarkStart w:id="902" w:name="DESCRIPTOR405"/>
      <w:bookmarkStart w:id="903" w:name="DESCRIPTOR406"/>
      <w:bookmarkStart w:id="904" w:name="DESCRIPTOR407"/>
      <w:bookmarkStart w:id="905" w:name="DESCRIPTOR408"/>
      <w:bookmarkStart w:id="906" w:name="DESCRIPTOR409"/>
      <w:bookmarkStart w:id="907" w:name="DESCRIPTOR410"/>
      <w:bookmarkStart w:id="908" w:name="DESCRIPTOR411"/>
      <w:bookmarkStart w:id="909" w:name="DESCRIPTOR412"/>
      <w:bookmarkStart w:id="910" w:name="DESCRIPTOR413"/>
      <w:bookmarkStart w:id="911" w:name="DESCRIPTOR414"/>
      <w:bookmarkStart w:id="912" w:name="DESCRIPTOR415"/>
      <w:bookmarkStart w:id="913" w:name="DESCRIPTOR416"/>
      <w:bookmarkStart w:id="914" w:name="DESCRIPTOR417"/>
      <w:bookmarkStart w:id="915" w:name="DESCRIPTOR418"/>
      <w:bookmarkStart w:id="916" w:name="DESCRIPTOR419"/>
      <w:bookmarkStart w:id="917" w:name="DESCRIPTOR420"/>
      <w:bookmarkStart w:id="918" w:name="DESCRIPTOR421"/>
      <w:bookmarkStart w:id="919" w:name="DESCRIPTOR422"/>
      <w:bookmarkStart w:id="920" w:name="DESCRIPTOR423"/>
      <w:bookmarkStart w:id="921" w:name="DESCRIPTOR424"/>
      <w:bookmarkStart w:id="922" w:name="DESCRIPTOR425"/>
      <w:bookmarkStart w:id="923" w:name="DESCRIPTOR426"/>
      <w:bookmarkStart w:id="924" w:name="DESCRIPTOR427"/>
      <w:bookmarkStart w:id="925" w:name="DESCRIPTOR428"/>
      <w:bookmarkStart w:id="926" w:name="DESCRIPTOR429"/>
      <w:bookmarkStart w:id="927" w:name="DESCRIPTOR430"/>
      <w:bookmarkStart w:id="928" w:name="DESCRIPTOR431"/>
      <w:bookmarkStart w:id="929" w:name="DESCRIPTOR432"/>
      <w:bookmarkStart w:id="930" w:name="DESCRIPTOR433"/>
      <w:bookmarkStart w:id="931" w:name="DESCRIPTOR434"/>
      <w:bookmarkStart w:id="932" w:name="DESCRIPTOR435"/>
      <w:bookmarkStart w:id="933" w:name="DESCRIPTOR436"/>
      <w:bookmarkStart w:id="934" w:name="DESCRIPTOR437"/>
      <w:bookmarkStart w:id="935" w:name="DESCRIPTOR438"/>
      <w:bookmarkStart w:id="936" w:name="DESCRIPTOR439"/>
      <w:bookmarkStart w:id="937" w:name="DESCRIPTOR440"/>
      <w:bookmarkStart w:id="938" w:name="INDICE5ALFABETICO"/>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p>
    <w:p w14:paraId="48E1BAB8" w14:textId="77777777" w:rsidR="00E1708A" w:rsidRDefault="00E1708A" w:rsidP="00E1708A">
      <w:pPr>
        <w:pStyle w:val="TextoNormal"/>
      </w:pPr>
    </w:p>
    <w:p w14:paraId="1E0C7584" w14:textId="77777777" w:rsidR="00E1708A" w:rsidRDefault="00E1708A" w:rsidP="00E1708A">
      <w:pPr>
        <w:pStyle w:val="TextoNormal"/>
      </w:pPr>
    </w:p>
    <w:p w14:paraId="60659653" w14:textId="77777777" w:rsidR="00E1708A" w:rsidRDefault="00E1708A" w:rsidP="00E1708A">
      <w:pPr>
        <w:pStyle w:val="TextoNormal"/>
      </w:pPr>
    </w:p>
    <w:p w14:paraId="342BC84D" w14:textId="77777777" w:rsidR="00E1708A" w:rsidRDefault="00E1708A" w:rsidP="00E1708A">
      <w:pPr>
        <w:pStyle w:val="Ttulondice"/>
      </w:pPr>
      <w:r>
        <w:t>7. ÍNDICE ANALÍTICO</w:t>
      </w:r>
    </w:p>
    <w:p w14:paraId="5187A11A" w14:textId="5B3C523D" w:rsidR="00E1708A" w:rsidRDefault="00E1708A" w:rsidP="00E1708A">
      <w:pPr>
        <w:pStyle w:val="TextoNormal"/>
      </w:pPr>
    </w:p>
    <w:p w14:paraId="0FF63C71" w14:textId="77777777" w:rsidR="00E1708A" w:rsidRDefault="00E1708A" w:rsidP="00E1708A">
      <w:pPr>
        <w:pStyle w:val="Ttulondice"/>
      </w:pPr>
    </w:p>
    <w:p w14:paraId="700DF42C" w14:textId="77777777" w:rsidR="00E1708A" w:rsidRDefault="00E1708A" w:rsidP="00E1708A">
      <w:pPr>
        <w:pStyle w:val="Ttulondice"/>
      </w:pPr>
    </w:p>
    <w:p w14:paraId="2AEF70D0" w14:textId="77777777" w:rsidR="00E1708A" w:rsidRDefault="00E1708A" w:rsidP="00E1708A">
      <w:pPr>
        <w:pStyle w:val="Ttulondice"/>
      </w:pPr>
    </w:p>
    <w:p w14:paraId="0959DDB6" w14:textId="77777777" w:rsidR="00E1708A" w:rsidRDefault="00E1708A" w:rsidP="00E1708A">
      <w:pPr>
        <w:pStyle w:val="Ttulondice"/>
      </w:pPr>
    </w:p>
    <w:p w14:paraId="7D44D122" w14:textId="77777777" w:rsidR="00E1708A" w:rsidRDefault="00E1708A" w:rsidP="00E1708A">
      <w:pPr>
        <w:pStyle w:val="Ttulondice"/>
      </w:pPr>
    </w:p>
    <w:p w14:paraId="38520DA4" w14:textId="77777777" w:rsidR="00E1708A" w:rsidRDefault="00E1708A" w:rsidP="00E1708A">
      <w:pPr>
        <w:pStyle w:val="Ttulondice"/>
      </w:pPr>
    </w:p>
    <w:p w14:paraId="051F4617" w14:textId="77777777" w:rsidR="00E1708A" w:rsidRDefault="00E1708A" w:rsidP="00E1708A">
      <w:pPr>
        <w:pStyle w:val="Ttulondice"/>
      </w:pPr>
    </w:p>
    <w:p w14:paraId="37050E98" w14:textId="77777777" w:rsidR="00E1708A" w:rsidRDefault="00E1708A" w:rsidP="00E1708A">
      <w:pPr>
        <w:pStyle w:val="TextoNormalNegritaCentrado"/>
      </w:pPr>
      <w:r>
        <w:t>A</w:t>
      </w:r>
    </w:p>
    <w:p w14:paraId="50411149" w14:textId="6B40FBB4" w:rsidR="00E1708A" w:rsidRDefault="00E1708A" w:rsidP="00E1708A">
      <w:pPr>
        <w:pStyle w:val="TextoNormalNegritaCentrado"/>
      </w:pPr>
    </w:p>
    <w:p w14:paraId="1E27097F" w14:textId="38F89EEA" w:rsidR="00E1708A" w:rsidRPr="00E1708A" w:rsidRDefault="00E1708A" w:rsidP="00E1708A">
      <w:pPr>
        <w:pStyle w:val="TextoNormalSangraFrancesa"/>
        <w:rPr>
          <w:rStyle w:val="TextoNormalCaracter"/>
        </w:rPr>
      </w:pPr>
      <w:bookmarkStart w:id="939" w:name="DESCRIPTORALFABETICO328"/>
      <w:r w:rsidRPr="00E1708A">
        <w:rPr>
          <w:rStyle w:val="TextoNormalNegritaCaracter"/>
        </w:rPr>
        <w:t>Aborto</w:t>
      </w:r>
      <w:bookmarkEnd w:id="939"/>
      <w:r w:rsidRPr="00E1708A">
        <w:rPr>
          <w:rStyle w:val="TextoNormalCaracter"/>
        </w:rPr>
        <w:t xml:space="preserve">, Sentencia </w:t>
      </w:r>
      <w:hyperlink w:anchor="SENTENCIA_2023_78" w:history="1">
        <w:r w:rsidRPr="00E1708A">
          <w:rPr>
            <w:rStyle w:val="TextoNormalCaracter"/>
          </w:rPr>
          <w:t>78/2023</w:t>
        </w:r>
      </w:hyperlink>
      <w:r w:rsidRPr="00E1708A">
        <w:rPr>
          <w:rStyle w:val="TextoNormalCaracter"/>
        </w:rPr>
        <w:t>, ff. 5 y 6, VP I, VP II.</w:t>
      </w:r>
    </w:p>
    <w:p w14:paraId="2D9ED07E" w14:textId="77777777" w:rsidR="00E1708A" w:rsidRPr="00E1708A" w:rsidRDefault="00E1708A" w:rsidP="00E1708A">
      <w:pPr>
        <w:pStyle w:val="TextoNormalSangraFrancesa"/>
        <w:rPr>
          <w:rStyle w:val="TextoNormalCaracter"/>
        </w:rPr>
      </w:pPr>
      <w:bookmarkStart w:id="940" w:name="DESCRIPTORALFABETICO148"/>
      <w:r w:rsidRPr="00E1708A">
        <w:rPr>
          <w:rStyle w:val="TextoNormalNegritaCaracter"/>
        </w:rPr>
        <w:t>Abstención de magistrados del Tribunal Constitucional</w:t>
      </w:r>
      <w:bookmarkEnd w:id="940"/>
      <w:r w:rsidRPr="00E1708A">
        <w:rPr>
          <w:rStyle w:val="TextoNormalCaracter"/>
        </w:rPr>
        <w:t xml:space="preserve">, </w:t>
      </w:r>
    </w:p>
    <w:p w14:paraId="1BE0402C" w14:textId="7254CD27" w:rsidR="00E1708A" w:rsidRPr="00E1708A" w:rsidRDefault="00E1708A" w:rsidP="00E1708A">
      <w:pPr>
        <w:pStyle w:val="TextoNormalSangraFrancesa"/>
        <w:rPr>
          <w:rStyle w:val="TextoNormalCaracter"/>
        </w:rPr>
      </w:pPr>
      <w:r w:rsidRPr="00E1708A">
        <w:rPr>
          <w:rStyle w:val="TextoNormalCursivaCaracter"/>
        </w:rPr>
        <w:t xml:space="preserve">    Acepta, </w:t>
      </w:r>
      <w:r w:rsidRPr="00E1708A">
        <w:rPr>
          <w:rStyle w:val="TextoNormalCaracter"/>
        </w:rPr>
        <w:t xml:space="preserve">Autos </w:t>
      </w:r>
      <w:hyperlink w:anchor="AUTO_2023_332" w:history="1">
        <w:r w:rsidRPr="00E1708A">
          <w:rPr>
            <w:rStyle w:val="TextoNormalCaracter"/>
          </w:rPr>
          <w:t>332/2023</w:t>
        </w:r>
      </w:hyperlink>
      <w:r w:rsidRPr="00E1708A">
        <w:rPr>
          <w:rStyle w:val="TextoNormalCaracter"/>
        </w:rPr>
        <w:t xml:space="preserve">, f.único; </w:t>
      </w:r>
      <w:hyperlink w:anchor="AUTO_2023_333" w:history="1">
        <w:r w:rsidRPr="00E1708A">
          <w:rPr>
            <w:rStyle w:val="TextoNormalCaracter"/>
          </w:rPr>
          <w:t>333/2023</w:t>
        </w:r>
      </w:hyperlink>
      <w:r w:rsidRPr="00E1708A">
        <w:rPr>
          <w:rStyle w:val="TextoNormalCaracter"/>
        </w:rPr>
        <w:t xml:space="preserve">, f. único; </w:t>
      </w:r>
      <w:hyperlink w:anchor="AUTO_2023_335" w:history="1">
        <w:r w:rsidRPr="00E1708A">
          <w:rPr>
            <w:rStyle w:val="TextoNormalCaracter"/>
          </w:rPr>
          <w:t>335/2023</w:t>
        </w:r>
      </w:hyperlink>
      <w:r w:rsidRPr="00E1708A">
        <w:rPr>
          <w:rStyle w:val="TextoNormalCaracter"/>
        </w:rPr>
        <w:t xml:space="preserve">, f. único; </w:t>
      </w:r>
      <w:hyperlink w:anchor="AUTO_2023_336" w:history="1">
        <w:r w:rsidRPr="00E1708A">
          <w:rPr>
            <w:rStyle w:val="TextoNormalCaracter"/>
          </w:rPr>
          <w:t>336/2023</w:t>
        </w:r>
      </w:hyperlink>
      <w:r w:rsidRPr="00E1708A">
        <w:rPr>
          <w:rStyle w:val="TextoNormalCaracter"/>
        </w:rPr>
        <w:t xml:space="preserve">, f. único; </w:t>
      </w:r>
      <w:hyperlink w:anchor="AUTO_2023_337" w:history="1">
        <w:r w:rsidRPr="00E1708A">
          <w:rPr>
            <w:rStyle w:val="TextoNormalCaracter"/>
          </w:rPr>
          <w:t>337/2023</w:t>
        </w:r>
      </w:hyperlink>
      <w:r w:rsidRPr="00E1708A">
        <w:rPr>
          <w:rStyle w:val="TextoNormalCaracter"/>
        </w:rPr>
        <w:t xml:space="preserve">, f. único; </w:t>
      </w:r>
      <w:hyperlink w:anchor="AUTO_2023_339" w:history="1">
        <w:r w:rsidRPr="00E1708A">
          <w:rPr>
            <w:rStyle w:val="TextoNormalCaracter"/>
          </w:rPr>
          <w:t>339/2023</w:t>
        </w:r>
      </w:hyperlink>
      <w:r w:rsidRPr="00E1708A">
        <w:rPr>
          <w:rStyle w:val="TextoNormalCaracter"/>
        </w:rPr>
        <w:t xml:space="preserve">, f. único; </w:t>
      </w:r>
      <w:hyperlink w:anchor="AUTO_2023_340" w:history="1">
        <w:r w:rsidRPr="00E1708A">
          <w:rPr>
            <w:rStyle w:val="TextoNormalCaracter"/>
          </w:rPr>
          <w:t>340/2023</w:t>
        </w:r>
      </w:hyperlink>
      <w:r w:rsidRPr="00E1708A">
        <w:rPr>
          <w:rStyle w:val="TextoNormalCaracter"/>
        </w:rPr>
        <w:t xml:space="preserve">, f. único; </w:t>
      </w:r>
      <w:hyperlink w:anchor="AUTO_2023_341" w:history="1">
        <w:r w:rsidRPr="00E1708A">
          <w:rPr>
            <w:rStyle w:val="TextoNormalCaracter"/>
          </w:rPr>
          <w:t>341/2023</w:t>
        </w:r>
      </w:hyperlink>
      <w:r w:rsidRPr="00E1708A">
        <w:rPr>
          <w:rStyle w:val="TextoNormalCaracter"/>
        </w:rPr>
        <w:t xml:space="preserve">, f. único; </w:t>
      </w:r>
      <w:hyperlink w:anchor="AUTO_2023_342" w:history="1">
        <w:r w:rsidRPr="00E1708A">
          <w:rPr>
            <w:rStyle w:val="TextoNormalCaracter"/>
          </w:rPr>
          <w:t>342/2023</w:t>
        </w:r>
      </w:hyperlink>
      <w:r w:rsidRPr="00E1708A">
        <w:rPr>
          <w:rStyle w:val="TextoNormalCaracter"/>
        </w:rPr>
        <w:t xml:space="preserve">, f. único; </w:t>
      </w:r>
      <w:hyperlink w:anchor="AUTO_2023_343" w:history="1">
        <w:r w:rsidRPr="00E1708A">
          <w:rPr>
            <w:rStyle w:val="TextoNormalCaracter"/>
          </w:rPr>
          <w:t>343/2023</w:t>
        </w:r>
      </w:hyperlink>
      <w:r w:rsidRPr="00E1708A">
        <w:rPr>
          <w:rStyle w:val="TextoNormalCaracter"/>
        </w:rPr>
        <w:t xml:space="preserve">, f. único; </w:t>
      </w:r>
      <w:hyperlink w:anchor="AUTO_2023_344" w:history="1">
        <w:r w:rsidRPr="00E1708A">
          <w:rPr>
            <w:rStyle w:val="TextoNormalCaracter"/>
          </w:rPr>
          <w:t>344/2023</w:t>
        </w:r>
      </w:hyperlink>
      <w:r w:rsidRPr="00E1708A">
        <w:rPr>
          <w:rStyle w:val="TextoNormalCaracter"/>
        </w:rPr>
        <w:t xml:space="preserve">, f. único; </w:t>
      </w:r>
      <w:hyperlink w:anchor="AUTO_2023_345" w:history="1">
        <w:r w:rsidRPr="00E1708A">
          <w:rPr>
            <w:rStyle w:val="TextoNormalCaracter"/>
          </w:rPr>
          <w:t>345/2023</w:t>
        </w:r>
      </w:hyperlink>
      <w:r w:rsidRPr="00E1708A">
        <w:rPr>
          <w:rStyle w:val="TextoNormalCaracter"/>
        </w:rPr>
        <w:t xml:space="preserve">, f. único; </w:t>
      </w:r>
      <w:hyperlink w:anchor="AUTO_2023_346" w:history="1">
        <w:r w:rsidRPr="00E1708A">
          <w:rPr>
            <w:rStyle w:val="TextoNormalCaracter"/>
          </w:rPr>
          <w:t>346/2023</w:t>
        </w:r>
      </w:hyperlink>
      <w:r w:rsidRPr="00E1708A">
        <w:rPr>
          <w:rStyle w:val="TextoNormalCaracter"/>
        </w:rPr>
        <w:t xml:space="preserve">, f. único; </w:t>
      </w:r>
      <w:hyperlink w:anchor="AUTO_2023_347" w:history="1">
        <w:r w:rsidRPr="00E1708A">
          <w:rPr>
            <w:rStyle w:val="TextoNormalCaracter"/>
          </w:rPr>
          <w:t>347/2023</w:t>
        </w:r>
      </w:hyperlink>
      <w:r w:rsidRPr="00E1708A">
        <w:rPr>
          <w:rStyle w:val="TextoNormalCaracter"/>
        </w:rPr>
        <w:t xml:space="preserve">, f. único; </w:t>
      </w:r>
      <w:hyperlink w:anchor="AUTO_2023_348" w:history="1">
        <w:r w:rsidRPr="00E1708A">
          <w:rPr>
            <w:rStyle w:val="TextoNormalCaracter"/>
          </w:rPr>
          <w:t>348/2023</w:t>
        </w:r>
      </w:hyperlink>
      <w:r w:rsidRPr="00E1708A">
        <w:rPr>
          <w:rStyle w:val="TextoNormalCaracter"/>
        </w:rPr>
        <w:t xml:space="preserve">, f. único; </w:t>
      </w:r>
      <w:hyperlink w:anchor="AUTO_2023_349" w:history="1">
        <w:r w:rsidRPr="00E1708A">
          <w:rPr>
            <w:rStyle w:val="TextoNormalCaracter"/>
          </w:rPr>
          <w:t>349/2023</w:t>
        </w:r>
      </w:hyperlink>
      <w:r w:rsidRPr="00E1708A">
        <w:rPr>
          <w:rStyle w:val="TextoNormalCaracter"/>
        </w:rPr>
        <w:t xml:space="preserve">, f. único; </w:t>
      </w:r>
      <w:hyperlink w:anchor="AUTO_2023_350" w:history="1">
        <w:r w:rsidRPr="00E1708A">
          <w:rPr>
            <w:rStyle w:val="TextoNormalCaracter"/>
          </w:rPr>
          <w:t>350/2023</w:t>
        </w:r>
      </w:hyperlink>
      <w:r w:rsidRPr="00E1708A">
        <w:rPr>
          <w:rStyle w:val="TextoNormalCaracter"/>
        </w:rPr>
        <w:t xml:space="preserve">, f. único; </w:t>
      </w:r>
      <w:hyperlink w:anchor="AUTO_2023_351" w:history="1">
        <w:r w:rsidRPr="00E1708A">
          <w:rPr>
            <w:rStyle w:val="TextoNormalCaracter"/>
          </w:rPr>
          <w:t>351/2023</w:t>
        </w:r>
      </w:hyperlink>
      <w:r w:rsidRPr="00E1708A">
        <w:rPr>
          <w:rStyle w:val="TextoNormalCaracter"/>
        </w:rPr>
        <w:t xml:space="preserve">, f. único; </w:t>
      </w:r>
      <w:hyperlink w:anchor="AUTO_2023_352" w:history="1">
        <w:r w:rsidRPr="00E1708A">
          <w:rPr>
            <w:rStyle w:val="TextoNormalCaracter"/>
          </w:rPr>
          <w:t>352/2023</w:t>
        </w:r>
      </w:hyperlink>
      <w:r w:rsidRPr="00E1708A">
        <w:rPr>
          <w:rStyle w:val="TextoNormalCaracter"/>
        </w:rPr>
        <w:t xml:space="preserve">, f. único; </w:t>
      </w:r>
      <w:hyperlink w:anchor="AUTO_2023_355" w:history="1">
        <w:r w:rsidRPr="00E1708A">
          <w:rPr>
            <w:rStyle w:val="TextoNormalCaracter"/>
          </w:rPr>
          <w:t>355/2023</w:t>
        </w:r>
      </w:hyperlink>
      <w:r w:rsidRPr="00E1708A">
        <w:rPr>
          <w:rStyle w:val="TextoNormalCaracter"/>
        </w:rPr>
        <w:t xml:space="preserve">, f. único; </w:t>
      </w:r>
      <w:hyperlink w:anchor="AUTO_2023_356" w:history="1">
        <w:r w:rsidRPr="00E1708A">
          <w:rPr>
            <w:rStyle w:val="TextoNormalCaracter"/>
          </w:rPr>
          <w:t>356/2023</w:t>
        </w:r>
      </w:hyperlink>
      <w:r w:rsidRPr="00E1708A">
        <w:rPr>
          <w:rStyle w:val="TextoNormalCaracter"/>
        </w:rPr>
        <w:t xml:space="preserve">, f. único; </w:t>
      </w:r>
      <w:hyperlink w:anchor="AUTO_2023_357" w:history="1">
        <w:r w:rsidRPr="00E1708A">
          <w:rPr>
            <w:rStyle w:val="TextoNormalCaracter"/>
          </w:rPr>
          <w:t>357/2023</w:t>
        </w:r>
      </w:hyperlink>
      <w:r w:rsidRPr="00E1708A">
        <w:rPr>
          <w:rStyle w:val="TextoNormalCaracter"/>
        </w:rPr>
        <w:t xml:space="preserve">, f. único; </w:t>
      </w:r>
      <w:hyperlink w:anchor="AUTO_2023_358" w:history="1">
        <w:r w:rsidRPr="00E1708A">
          <w:rPr>
            <w:rStyle w:val="TextoNormalCaracter"/>
          </w:rPr>
          <w:t>358/2023</w:t>
        </w:r>
      </w:hyperlink>
      <w:r w:rsidRPr="00E1708A">
        <w:rPr>
          <w:rStyle w:val="TextoNormalCaracter"/>
        </w:rPr>
        <w:t xml:space="preserve">, f. único; </w:t>
      </w:r>
      <w:hyperlink w:anchor="AUTO_2023_359" w:history="1">
        <w:r w:rsidRPr="00E1708A">
          <w:rPr>
            <w:rStyle w:val="TextoNormalCaracter"/>
          </w:rPr>
          <w:t>359/2023</w:t>
        </w:r>
      </w:hyperlink>
      <w:r w:rsidRPr="00E1708A">
        <w:rPr>
          <w:rStyle w:val="TextoNormalCaracter"/>
        </w:rPr>
        <w:t xml:space="preserve">, f. único; </w:t>
      </w:r>
      <w:hyperlink w:anchor="AUTO_2023_360" w:history="1">
        <w:r w:rsidRPr="00E1708A">
          <w:rPr>
            <w:rStyle w:val="TextoNormalCaracter"/>
          </w:rPr>
          <w:t>360/2023</w:t>
        </w:r>
      </w:hyperlink>
      <w:r w:rsidRPr="00E1708A">
        <w:rPr>
          <w:rStyle w:val="TextoNormalCaracter"/>
        </w:rPr>
        <w:t xml:space="preserve">, f. único; </w:t>
      </w:r>
      <w:hyperlink w:anchor="AUTO_2023_361" w:history="1">
        <w:r w:rsidRPr="00E1708A">
          <w:rPr>
            <w:rStyle w:val="TextoNormalCaracter"/>
          </w:rPr>
          <w:t>361/2023</w:t>
        </w:r>
      </w:hyperlink>
      <w:r w:rsidRPr="00E1708A">
        <w:rPr>
          <w:rStyle w:val="TextoNormalCaracter"/>
        </w:rPr>
        <w:t xml:space="preserve">, f. único; </w:t>
      </w:r>
      <w:hyperlink w:anchor="AUTO_2023_362" w:history="1">
        <w:r w:rsidRPr="00E1708A">
          <w:rPr>
            <w:rStyle w:val="TextoNormalCaracter"/>
          </w:rPr>
          <w:t>362/2023</w:t>
        </w:r>
      </w:hyperlink>
      <w:r w:rsidRPr="00E1708A">
        <w:rPr>
          <w:rStyle w:val="TextoNormalCaracter"/>
        </w:rPr>
        <w:t xml:space="preserve">, f. único; </w:t>
      </w:r>
      <w:hyperlink w:anchor="AUTO_2023_363" w:history="1">
        <w:r w:rsidRPr="00E1708A">
          <w:rPr>
            <w:rStyle w:val="TextoNormalCaracter"/>
          </w:rPr>
          <w:t>363/2023</w:t>
        </w:r>
      </w:hyperlink>
      <w:r w:rsidRPr="00E1708A">
        <w:rPr>
          <w:rStyle w:val="TextoNormalCaracter"/>
        </w:rPr>
        <w:t xml:space="preserve">, f. único; </w:t>
      </w:r>
      <w:hyperlink w:anchor="AUTO_2023_364" w:history="1">
        <w:r w:rsidRPr="00E1708A">
          <w:rPr>
            <w:rStyle w:val="TextoNormalCaracter"/>
          </w:rPr>
          <w:t>364/2023</w:t>
        </w:r>
      </w:hyperlink>
      <w:r w:rsidRPr="00E1708A">
        <w:rPr>
          <w:rStyle w:val="TextoNormalCaracter"/>
        </w:rPr>
        <w:t xml:space="preserve">, f. único; </w:t>
      </w:r>
      <w:hyperlink w:anchor="AUTO_2023_365" w:history="1">
        <w:r w:rsidRPr="00E1708A">
          <w:rPr>
            <w:rStyle w:val="TextoNormalCaracter"/>
          </w:rPr>
          <w:t>365/2023</w:t>
        </w:r>
      </w:hyperlink>
      <w:r w:rsidRPr="00E1708A">
        <w:rPr>
          <w:rStyle w:val="TextoNormalCaracter"/>
        </w:rPr>
        <w:t xml:space="preserve">, f. único; </w:t>
      </w:r>
      <w:hyperlink w:anchor="AUTO_2023_366" w:history="1">
        <w:r w:rsidRPr="00E1708A">
          <w:rPr>
            <w:rStyle w:val="TextoNormalCaracter"/>
          </w:rPr>
          <w:t>366/2023</w:t>
        </w:r>
      </w:hyperlink>
      <w:r w:rsidRPr="00E1708A">
        <w:rPr>
          <w:rStyle w:val="TextoNormalCaracter"/>
        </w:rPr>
        <w:t xml:space="preserve">, f. único; </w:t>
      </w:r>
      <w:hyperlink w:anchor="AUTO_2023_367" w:history="1">
        <w:r w:rsidRPr="00E1708A">
          <w:rPr>
            <w:rStyle w:val="TextoNormalCaracter"/>
          </w:rPr>
          <w:t>367/2023</w:t>
        </w:r>
      </w:hyperlink>
      <w:r w:rsidRPr="00E1708A">
        <w:rPr>
          <w:rStyle w:val="TextoNormalCaracter"/>
        </w:rPr>
        <w:t xml:space="preserve">, f. único; </w:t>
      </w:r>
      <w:hyperlink w:anchor="AUTO_2023_368" w:history="1">
        <w:r w:rsidRPr="00E1708A">
          <w:rPr>
            <w:rStyle w:val="TextoNormalCaracter"/>
          </w:rPr>
          <w:t>368/2023</w:t>
        </w:r>
      </w:hyperlink>
      <w:r w:rsidRPr="00E1708A">
        <w:rPr>
          <w:rStyle w:val="TextoNormalCaracter"/>
        </w:rPr>
        <w:t xml:space="preserve">, f. único; </w:t>
      </w:r>
      <w:hyperlink w:anchor="AUTO_2023_369" w:history="1">
        <w:r w:rsidRPr="00E1708A">
          <w:rPr>
            <w:rStyle w:val="TextoNormalCaracter"/>
          </w:rPr>
          <w:t>369/2023</w:t>
        </w:r>
      </w:hyperlink>
      <w:r w:rsidRPr="00E1708A">
        <w:rPr>
          <w:rStyle w:val="TextoNormalCaracter"/>
        </w:rPr>
        <w:t xml:space="preserve">, f. único; </w:t>
      </w:r>
      <w:hyperlink w:anchor="AUTO_2023_371" w:history="1">
        <w:r w:rsidRPr="00E1708A">
          <w:rPr>
            <w:rStyle w:val="TextoNormalCaracter"/>
          </w:rPr>
          <w:t>371/2023</w:t>
        </w:r>
      </w:hyperlink>
      <w:r w:rsidRPr="00E1708A">
        <w:rPr>
          <w:rStyle w:val="TextoNormalCaracter"/>
        </w:rPr>
        <w:t xml:space="preserve">, f. único; </w:t>
      </w:r>
      <w:hyperlink w:anchor="AUTO_2023_372" w:history="1">
        <w:r w:rsidRPr="00E1708A">
          <w:rPr>
            <w:rStyle w:val="TextoNormalCaracter"/>
          </w:rPr>
          <w:t>372/2023</w:t>
        </w:r>
      </w:hyperlink>
      <w:r w:rsidRPr="00E1708A">
        <w:rPr>
          <w:rStyle w:val="TextoNormalCaracter"/>
        </w:rPr>
        <w:t xml:space="preserve">, f. único; </w:t>
      </w:r>
      <w:hyperlink w:anchor="AUTO_2023_373" w:history="1">
        <w:r w:rsidRPr="00E1708A">
          <w:rPr>
            <w:rStyle w:val="TextoNormalCaracter"/>
          </w:rPr>
          <w:t>373/2023</w:t>
        </w:r>
      </w:hyperlink>
      <w:r w:rsidRPr="00E1708A">
        <w:rPr>
          <w:rStyle w:val="TextoNormalCaracter"/>
        </w:rPr>
        <w:t xml:space="preserve">, f. único; </w:t>
      </w:r>
      <w:hyperlink w:anchor="AUTO_2023_374" w:history="1">
        <w:r w:rsidRPr="00E1708A">
          <w:rPr>
            <w:rStyle w:val="TextoNormalCaracter"/>
          </w:rPr>
          <w:t>374/2023</w:t>
        </w:r>
      </w:hyperlink>
      <w:r w:rsidRPr="00E1708A">
        <w:rPr>
          <w:rStyle w:val="TextoNormalCaracter"/>
        </w:rPr>
        <w:t xml:space="preserve">, f. único; </w:t>
      </w:r>
      <w:hyperlink w:anchor="AUTO_2023_377" w:history="1">
        <w:r w:rsidRPr="00E1708A">
          <w:rPr>
            <w:rStyle w:val="TextoNormalCaracter"/>
          </w:rPr>
          <w:t>377/2023</w:t>
        </w:r>
      </w:hyperlink>
      <w:r w:rsidRPr="00E1708A">
        <w:rPr>
          <w:rStyle w:val="TextoNormalCaracter"/>
        </w:rPr>
        <w:t xml:space="preserve">, f. único; </w:t>
      </w:r>
      <w:hyperlink w:anchor="AUTO_2023_379" w:history="1">
        <w:r w:rsidRPr="00E1708A">
          <w:rPr>
            <w:rStyle w:val="TextoNormalCaracter"/>
          </w:rPr>
          <w:t>379/2023</w:t>
        </w:r>
      </w:hyperlink>
      <w:r w:rsidRPr="00E1708A">
        <w:rPr>
          <w:rStyle w:val="TextoNormalCaracter"/>
        </w:rPr>
        <w:t xml:space="preserve">, f. único; </w:t>
      </w:r>
      <w:hyperlink w:anchor="AUTO_2023_380" w:history="1">
        <w:r w:rsidRPr="00E1708A">
          <w:rPr>
            <w:rStyle w:val="TextoNormalCaracter"/>
          </w:rPr>
          <w:t>380/2023</w:t>
        </w:r>
      </w:hyperlink>
      <w:r w:rsidRPr="00E1708A">
        <w:rPr>
          <w:rStyle w:val="TextoNormalCaracter"/>
        </w:rPr>
        <w:t xml:space="preserve">, f. único; </w:t>
      </w:r>
      <w:hyperlink w:anchor="AUTO_2023_381" w:history="1">
        <w:r w:rsidRPr="00E1708A">
          <w:rPr>
            <w:rStyle w:val="TextoNormalCaracter"/>
          </w:rPr>
          <w:t>381/2023</w:t>
        </w:r>
      </w:hyperlink>
      <w:r w:rsidRPr="00E1708A">
        <w:rPr>
          <w:rStyle w:val="TextoNormalCaracter"/>
        </w:rPr>
        <w:t xml:space="preserve">, f. único; </w:t>
      </w:r>
      <w:hyperlink w:anchor="AUTO_2023_382" w:history="1">
        <w:r w:rsidRPr="00E1708A">
          <w:rPr>
            <w:rStyle w:val="TextoNormalCaracter"/>
          </w:rPr>
          <w:t>382/2023</w:t>
        </w:r>
      </w:hyperlink>
      <w:r w:rsidRPr="00E1708A">
        <w:rPr>
          <w:rStyle w:val="TextoNormalCaracter"/>
        </w:rPr>
        <w:t xml:space="preserve">, f. único; </w:t>
      </w:r>
      <w:hyperlink w:anchor="AUTO_2023_383" w:history="1">
        <w:r w:rsidRPr="00E1708A">
          <w:rPr>
            <w:rStyle w:val="TextoNormalCaracter"/>
          </w:rPr>
          <w:t>383/2023</w:t>
        </w:r>
      </w:hyperlink>
      <w:r w:rsidRPr="00E1708A">
        <w:rPr>
          <w:rStyle w:val="TextoNormalCaracter"/>
        </w:rPr>
        <w:t xml:space="preserve">, f. único; </w:t>
      </w:r>
      <w:hyperlink w:anchor="AUTO_2023_384" w:history="1">
        <w:r w:rsidRPr="00E1708A">
          <w:rPr>
            <w:rStyle w:val="TextoNormalCaracter"/>
          </w:rPr>
          <w:t>384/2023</w:t>
        </w:r>
      </w:hyperlink>
      <w:r w:rsidRPr="00E1708A">
        <w:rPr>
          <w:rStyle w:val="TextoNormalCaracter"/>
        </w:rPr>
        <w:t xml:space="preserve">, f. único; </w:t>
      </w:r>
      <w:hyperlink w:anchor="AUTO_2023_385" w:history="1">
        <w:r w:rsidRPr="00E1708A">
          <w:rPr>
            <w:rStyle w:val="TextoNormalCaracter"/>
          </w:rPr>
          <w:t>385/2023</w:t>
        </w:r>
      </w:hyperlink>
      <w:r w:rsidRPr="00E1708A">
        <w:rPr>
          <w:rStyle w:val="TextoNormalCaracter"/>
        </w:rPr>
        <w:t xml:space="preserve">, f. único; </w:t>
      </w:r>
      <w:hyperlink w:anchor="AUTO_2023_386" w:history="1">
        <w:r w:rsidRPr="00E1708A">
          <w:rPr>
            <w:rStyle w:val="TextoNormalCaracter"/>
          </w:rPr>
          <w:t>386/2023</w:t>
        </w:r>
      </w:hyperlink>
      <w:r w:rsidRPr="00E1708A">
        <w:rPr>
          <w:rStyle w:val="TextoNormalCaracter"/>
        </w:rPr>
        <w:t xml:space="preserve">, f. único; </w:t>
      </w:r>
      <w:hyperlink w:anchor="AUTO_2023_387" w:history="1">
        <w:r w:rsidRPr="00E1708A">
          <w:rPr>
            <w:rStyle w:val="TextoNormalCaracter"/>
          </w:rPr>
          <w:t>387/2023</w:t>
        </w:r>
      </w:hyperlink>
      <w:r w:rsidRPr="00E1708A">
        <w:rPr>
          <w:rStyle w:val="TextoNormalCaracter"/>
        </w:rPr>
        <w:t xml:space="preserve">, f. único; </w:t>
      </w:r>
      <w:hyperlink w:anchor="AUTO_2023_388" w:history="1">
        <w:r w:rsidRPr="00E1708A">
          <w:rPr>
            <w:rStyle w:val="TextoNormalCaracter"/>
          </w:rPr>
          <w:t>388/2023</w:t>
        </w:r>
      </w:hyperlink>
      <w:r w:rsidRPr="00E1708A">
        <w:rPr>
          <w:rStyle w:val="TextoNormalCaracter"/>
        </w:rPr>
        <w:t xml:space="preserve">, f. único; </w:t>
      </w:r>
      <w:hyperlink w:anchor="AUTO_2023_389" w:history="1">
        <w:r w:rsidRPr="00E1708A">
          <w:rPr>
            <w:rStyle w:val="TextoNormalCaracter"/>
          </w:rPr>
          <w:t>389/2023</w:t>
        </w:r>
      </w:hyperlink>
      <w:r w:rsidRPr="00E1708A">
        <w:rPr>
          <w:rStyle w:val="TextoNormalCaracter"/>
        </w:rPr>
        <w:t xml:space="preserve">, f. único; </w:t>
      </w:r>
      <w:hyperlink w:anchor="AUTO_2023_390" w:history="1">
        <w:r w:rsidRPr="00E1708A">
          <w:rPr>
            <w:rStyle w:val="TextoNormalCaracter"/>
          </w:rPr>
          <w:t>390/2023</w:t>
        </w:r>
      </w:hyperlink>
      <w:r w:rsidRPr="00E1708A">
        <w:rPr>
          <w:rStyle w:val="TextoNormalCaracter"/>
        </w:rPr>
        <w:t xml:space="preserve">, f. único; </w:t>
      </w:r>
      <w:hyperlink w:anchor="AUTO_2023_391" w:history="1">
        <w:r w:rsidRPr="00E1708A">
          <w:rPr>
            <w:rStyle w:val="TextoNormalCaracter"/>
          </w:rPr>
          <w:t>391/2023</w:t>
        </w:r>
      </w:hyperlink>
      <w:r w:rsidRPr="00E1708A">
        <w:rPr>
          <w:rStyle w:val="TextoNormalCaracter"/>
        </w:rPr>
        <w:t xml:space="preserve">, f. único; </w:t>
      </w:r>
      <w:hyperlink w:anchor="AUTO_2023_392" w:history="1">
        <w:r w:rsidRPr="00E1708A">
          <w:rPr>
            <w:rStyle w:val="TextoNormalCaracter"/>
          </w:rPr>
          <w:t>392/2023</w:t>
        </w:r>
      </w:hyperlink>
      <w:r w:rsidRPr="00E1708A">
        <w:rPr>
          <w:rStyle w:val="TextoNormalCaracter"/>
        </w:rPr>
        <w:t xml:space="preserve">, f. único; </w:t>
      </w:r>
      <w:hyperlink w:anchor="AUTO_2023_393" w:history="1">
        <w:r w:rsidRPr="00E1708A">
          <w:rPr>
            <w:rStyle w:val="TextoNormalCaracter"/>
          </w:rPr>
          <w:t>393/2023</w:t>
        </w:r>
      </w:hyperlink>
      <w:r w:rsidRPr="00E1708A">
        <w:rPr>
          <w:rStyle w:val="TextoNormalCaracter"/>
        </w:rPr>
        <w:t xml:space="preserve">, f. único; </w:t>
      </w:r>
      <w:hyperlink w:anchor="AUTO_2023_394" w:history="1">
        <w:r w:rsidRPr="00E1708A">
          <w:rPr>
            <w:rStyle w:val="TextoNormalCaracter"/>
          </w:rPr>
          <w:t>394/2023</w:t>
        </w:r>
      </w:hyperlink>
      <w:r w:rsidRPr="00E1708A">
        <w:rPr>
          <w:rStyle w:val="TextoNormalCaracter"/>
        </w:rPr>
        <w:t xml:space="preserve">, f. único; </w:t>
      </w:r>
      <w:hyperlink w:anchor="AUTO_2023_395" w:history="1">
        <w:r w:rsidRPr="00E1708A">
          <w:rPr>
            <w:rStyle w:val="TextoNormalCaracter"/>
          </w:rPr>
          <w:t>395/2023</w:t>
        </w:r>
      </w:hyperlink>
      <w:r w:rsidRPr="00E1708A">
        <w:rPr>
          <w:rStyle w:val="TextoNormalCaracter"/>
        </w:rPr>
        <w:t xml:space="preserve">, f. único; </w:t>
      </w:r>
      <w:hyperlink w:anchor="AUTO_2023_396" w:history="1">
        <w:r w:rsidRPr="00E1708A">
          <w:rPr>
            <w:rStyle w:val="TextoNormalCaracter"/>
          </w:rPr>
          <w:t>396/2023</w:t>
        </w:r>
      </w:hyperlink>
      <w:r w:rsidRPr="00E1708A">
        <w:rPr>
          <w:rStyle w:val="TextoNormalCaracter"/>
        </w:rPr>
        <w:t xml:space="preserve">, f. único; </w:t>
      </w:r>
      <w:hyperlink w:anchor="AUTO_2023_397" w:history="1">
        <w:r w:rsidRPr="00E1708A">
          <w:rPr>
            <w:rStyle w:val="TextoNormalCaracter"/>
          </w:rPr>
          <w:t>397/2023</w:t>
        </w:r>
      </w:hyperlink>
      <w:r w:rsidRPr="00E1708A">
        <w:rPr>
          <w:rStyle w:val="TextoNormalCaracter"/>
        </w:rPr>
        <w:t xml:space="preserve">, f. único; </w:t>
      </w:r>
      <w:hyperlink w:anchor="AUTO_2023_398" w:history="1">
        <w:r w:rsidRPr="00E1708A">
          <w:rPr>
            <w:rStyle w:val="TextoNormalCaracter"/>
          </w:rPr>
          <w:t>398/2023</w:t>
        </w:r>
      </w:hyperlink>
      <w:r w:rsidRPr="00E1708A">
        <w:rPr>
          <w:rStyle w:val="TextoNormalCaracter"/>
        </w:rPr>
        <w:t xml:space="preserve">, f. único; </w:t>
      </w:r>
      <w:hyperlink w:anchor="AUTO_2023_399" w:history="1">
        <w:r w:rsidRPr="00E1708A">
          <w:rPr>
            <w:rStyle w:val="TextoNormalCaracter"/>
          </w:rPr>
          <w:t>399/2023</w:t>
        </w:r>
      </w:hyperlink>
      <w:r w:rsidRPr="00E1708A">
        <w:rPr>
          <w:rStyle w:val="TextoNormalCaracter"/>
        </w:rPr>
        <w:t xml:space="preserve">, f. único; </w:t>
      </w:r>
      <w:hyperlink w:anchor="AUTO_2023_400" w:history="1">
        <w:r w:rsidRPr="00E1708A">
          <w:rPr>
            <w:rStyle w:val="TextoNormalCaracter"/>
          </w:rPr>
          <w:t>400/2023</w:t>
        </w:r>
      </w:hyperlink>
      <w:r w:rsidRPr="00E1708A">
        <w:rPr>
          <w:rStyle w:val="TextoNormalCaracter"/>
        </w:rPr>
        <w:t xml:space="preserve">, f. único; </w:t>
      </w:r>
      <w:hyperlink w:anchor="AUTO_2023_401" w:history="1">
        <w:r w:rsidRPr="00E1708A">
          <w:rPr>
            <w:rStyle w:val="TextoNormalCaracter"/>
          </w:rPr>
          <w:t>401/2023</w:t>
        </w:r>
      </w:hyperlink>
      <w:r w:rsidRPr="00E1708A">
        <w:rPr>
          <w:rStyle w:val="TextoNormalCaracter"/>
        </w:rPr>
        <w:t xml:space="preserve">, f. único; </w:t>
      </w:r>
      <w:hyperlink w:anchor="AUTO_2023_402" w:history="1">
        <w:r w:rsidRPr="00E1708A">
          <w:rPr>
            <w:rStyle w:val="TextoNormalCaracter"/>
          </w:rPr>
          <w:t>402/2023</w:t>
        </w:r>
      </w:hyperlink>
      <w:r w:rsidRPr="00E1708A">
        <w:rPr>
          <w:rStyle w:val="TextoNormalCaracter"/>
        </w:rPr>
        <w:t xml:space="preserve">, f. único; </w:t>
      </w:r>
      <w:hyperlink w:anchor="AUTO_2023_403" w:history="1">
        <w:r w:rsidRPr="00E1708A">
          <w:rPr>
            <w:rStyle w:val="TextoNormalCaracter"/>
          </w:rPr>
          <w:t>403/2023</w:t>
        </w:r>
      </w:hyperlink>
      <w:r w:rsidRPr="00E1708A">
        <w:rPr>
          <w:rStyle w:val="TextoNormalCaracter"/>
        </w:rPr>
        <w:t xml:space="preserve">, f. único; </w:t>
      </w:r>
      <w:hyperlink w:anchor="AUTO_2023_404" w:history="1">
        <w:r w:rsidRPr="00E1708A">
          <w:rPr>
            <w:rStyle w:val="TextoNormalCaracter"/>
          </w:rPr>
          <w:t>404/2023</w:t>
        </w:r>
      </w:hyperlink>
      <w:r w:rsidRPr="00E1708A">
        <w:rPr>
          <w:rStyle w:val="TextoNormalCaracter"/>
        </w:rPr>
        <w:t xml:space="preserve">, f. único; </w:t>
      </w:r>
      <w:hyperlink w:anchor="AUTO_2023_405" w:history="1">
        <w:r w:rsidRPr="00E1708A">
          <w:rPr>
            <w:rStyle w:val="TextoNormalCaracter"/>
          </w:rPr>
          <w:t>405/2023</w:t>
        </w:r>
      </w:hyperlink>
      <w:r w:rsidRPr="00E1708A">
        <w:rPr>
          <w:rStyle w:val="TextoNormalCaracter"/>
        </w:rPr>
        <w:t xml:space="preserve">, f. único; </w:t>
      </w:r>
      <w:hyperlink w:anchor="AUTO_2023_406" w:history="1">
        <w:r w:rsidRPr="00E1708A">
          <w:rPr>
            <w:rStyle w:val="TextoNormalCaracter"/>
          </w:rPr>
          <w:t>406/2023</w:t>
        </w:r>
      </w:hyperlink>
      <w:r w:rsidRPr="00E1708A">
        <w:rPr>
          <w:rStyle w:val="TextoNormalCaracter"/>
        </w:rPr>
        <w:t xml:space="preserve">, f. único; </w:t>
      </w:r>
      <w:hyperlink w:anchor="AUTO_2023_407" w:history="1">
        <w:r w:rsidRPr="00E1708A">
          <w:rPr>
            <w:rStyle w:val="TextoNormalCaracter"/>
          </w:rPr>
          <w:t>407/2023</w:t>
        </w:r>
      </w:hyperlink>
      <w:r w:rsidRPr="00E1708A">
        <w:rPr>
          <w:rStyle w:val="TextoNormalCaracter"/>
        </w:rPr>
        <w:t xml:space="preserve">, f. único; </w:t>
      </w:r>
      <w:hyperlink w:anchor="AUTO_2023_408" w:history="1">
        <w:r w:rsidRPr="00E1708A">
          <w:rPr>
            <w:rStyle w:val="TextoNormalCaracter"/>
          </w:rPr>
          <w:t>408/2023</w:t>
        </w:r>
      </w:hyperlink>
      <w:r w:rsidRPr="00E1708A">
        <w:rPr>
          <w:rStyle w:val="TextoNormalCaracter"/>
        </w:rPr>
        <w:t xml:space="preserve">, f. único; </w:t>
      </w:r>
      <w:hyperlink w:anchor="AUTO_2023_409" w:history="1">
        <w:r w:rsidRPr="00E1708A">
          <w:rPr>
            <w:rStyle w:val="TextoNormalCaracter"/>
          </w:rPr>
          <w:t>409/2023</w:t>
        </w:r>
      </w:hyperlink>
      <w:r w:rsidRPr="00E1708A">
        <w:rPr>
          <w:rStyle w:val="TextoNormalCaracter"/>
        </w:rPr>
        <w:t xml:space="preserve">, f. único; </w:t>
      </w:r>
      <w:hyperlink w:anchor="AUTO_2023_410" w:history="1">
        <w:r w:rsidRPr="00E1708A">
          <w:rPr>
            <w:rStyle w:val="TextoNormalCaracter"/>
          </w:rPr>
          <w:t>410/2023</w:t>
        </w:r>
      </w:hyperlink>
      <w:r w:rsidRPr="00E1708A">
        <w:rPr>
          <w:rStyle w:val="TextoNormalCaracter"/>
        </w:rPr>
        <w:t xml:space="preserve">, f. único; </w:t>
      </w:r>
      <w:hyperlink w:anchor="AUTO_2023_411" w:history="1">
        <w:r w:rsidRPr="00E1708A">
          <w:rPr>
            <w:rStyle w:val="TextoNormalCaracter"/>
          </w:rPr>
          <w:t>411/2023</w:t>
        </w:r>
      </w:hyperlink>
      <w:r w:rsidRPr="00E1708A">
        <w:rPr>
          <w:rStyle w:val="TextoNormalCaracter"/>
        </w:rPr>
        <w:t xml:space="preserve">, f. único; </w:t>
      </w:r>
      <w:hyperlink w:anchor="AUTO_2023_412" w:history="1">
        <w:r w:rsidRPr="00E1708A">
          <w:rPr>
            <w:rStyle w:val="TextoNormalCaracter"/>
          </w:rPr>
          <w:t>412/2023</w:t>
        </w:r>
      </w:hyperlink>
      <w:r w:rsidRPr="00E1708A">
        <w:rPr>
          <w:rStyle w:val="TextoNormalCaracter"/>
        </w:rPr>
        <w:t xml:space="preserve">, f. único; </w:t>
      </w:r>
      <w:hyperlink w:anchor="AUTO_2023_413" w:history="1">
        <w:r w:rsidRPr="00E1708A">
          <w:rPr>
            <w:rStyle w:val="TextoNormalCaracter"/>
          </w:rPr>
          <w:t>413/2023</w:t>
        </w:r>
      </w:hyperlink>
      <w:r w:rsidRPr="00E1708A">
        <w:rPr>
          <w:rStyle w:val="TextoNormalCaracter"/>
        </w:rPr>
        <w:t xml:space="preserve">, f. único; </w:t>
      </w:r>
      <w:hyperlink w:anchor="AUTO_2023_414" w:history="1">
        <w:r w:rsidRPr="00E1708A">
          <w:rPr>
            <w:rStyle w:val="TextoNormalCaracter"/>
          </w:rPr>
          <w:t>414/2023</w:t>
        </w:r>
      </w:hyperlink>
      <w:r w:rsidRPr="00E1708A">
        <w:rPr>
          <w:rStyle w:val="TextoNormalCaracter"/>
        </w:rPr>
        <w:t xml:space="preserve">, f. único; </w:t>
      </w:r>
      <w:hyperlink w:anchor="AUTO_2023_415" w:history="1">
        <w:r w:rsidRPr="00E1708A">
          <w:rPr>
            <w:rStyle w:val="TextoNormalCaracter"/>
          </w:rPr>
          <w:t>415/2023</w:t>
        </w:r>
      </w:hyperlink>
      <w:r w:rsidRPr="00E1708A">
        <w:rPr>
          <w:rStyle w:val="TextoNormalCaracter"/>
        </w:rPr>
        <w:t xml:space="preserve">, f. único; </w:t>
      </w:r>
      <w:hyperlink w:anchor="AUTO_2023_416" w:history="1">
        <w:r w:rsidRPr="00E1708A">
          <w:rPr>
            <w:rStyle w:val="TextoNormalCaracter"/>
          </w:rPr>
          <w:t>416/2023</w:t>
        </w:r>
      </w:hyperlink>
      <w:r w:rsidRPr="00E1708A">
        <w:rPr>
          <w:rStyle w:val="TextoNormalCaracter"/>
        </w:rPr>
        <w:t xml:space="preserve">, f. único; </w:t>
      </w:r>
      <w:hyperlink w:anchor="AUTO_2023_417" w:history="1">
        <w:r w:rsidRPr="00E1708A">
          <w:rPr>
            <w:rStyle w:val="TextoNormalCaracter"/>
          </w:rPr>
          <w:t>417/2023</w:t>
        </w:r>
      </w:hyperlink>
      <w:r w:rsidRPr="00E1708A">
        <w:rPr>
          <w:rStyle w:val="TextoNormalCaracter"/>
        </w:rPr>
        <w:t xml:space="preserve">, f. único; </w:t>
      </w:r>
      <w:hyperlink w:anchor="AUTO_2023_418" w:history="1">
        <w:r w:rsidRPr="00E1708A">
          <w:rPr>
            <w:rStyle w:val="TextoNormalCaracter"/>
          </w:rPr>
          <w:t>418/2023</w:t>
        </w:r>
      </w:hyperlink>
      <w:r w:rsidRPr="00E1708A">
        <w:rPr>
          <w:rStyle w:val="TextoNormalCaracter"/>
        </w:rPr>
        <w:t xml:space="preserve">, f. único; </w:t>
      </w:r>
      <w:hyperlink w:anchor="AUTO_2023_419" w:history="1">
        <w:r w:rsidRPr="00E1708A">
          <w:rPr>
            <w:rStyle w:val="TextoNormalCaracter"/>
          </w:rPr>
          <w:t>419/2023</w:t>
        </w:r>
      </w:hyperlink>
      <w:r w:rsidRPr="00E1708A">
        <w:rPr>
          <w:rStyle w:val="TextoNormalCaracter"/>
        </w:rPr>
        <w:t xml:space="preserve">, f. único; </w:t>
      </w:r>
      <w:hyperlink w:anchor="AUTO_2023_420" w:history="1">
        <w:r w:rsidRPr="00E1708A">
          <w:rPr>
            <w:rStyle w:val="TextoNormalCaracter"/>
          </w:rPr>
          <w:t>420/2023</w:t>
        </w:r>
      </w:hyperlink>
      <w:r w:rsidRPr="00E1708A">
        <w:rPr>
          <w:rStyle w:val="TextoNormalCaracter"/>
        </w:rPr>
        <w:t xml:space="preserve">, f. único; </w:t>
      </w:r>
      <w:hyperlink w:anchor="AUTO_2023_421" w:history="1">
        <w:r w:rsidRPr="00E1708A">
          <w:rPr>
            <w:rStyle w:val="TextoNormalCaracter"/>
          </w:rPr>
          <w:t>421/2023</w:t>
        </w:r>
      </w:hyperlink>
      <w:r w:rsidRPr="00E1708A">
        <w:rPr>
          <w:rStyle w:val="TextoNormalCaracter"/>
        </w:rPr>
        <w:t xml:space="preserve">, f. único; </w:t>
      </w:r>
      <w:hyperlink w:anchor="AUTO_2023_422" w:history="1">
        <w:r w:rsidRPr="00E1708A">
          <w:rPr>
            <w:rStyle w:val="TextoNormalCaracter"/>
          </w:rPr>
          <w:t>422/2023</w:t>
        </w:r>
      </w:hyperlink>
      <w:r w:rsidRPr="00E1708A">
        <w:rPr>
          <w:rStyle w:val="TextoNormalCaracter"/>
        </w:rPr>
        <w:t xml:space="preserve">, f. único; </w:t>
      </w:r>
      <w:hyperlink w:anchor="AUTO_2023_423" w:history="1">
        <w:r w:rsidRPr="00E1708A">
          <w:rPr>
            <w:rStyle w:val="TextoNormalCaracter"/>
          </w:rPr>
          <w:t>423/2023</w:t>
        </w:r>
      </w:hyperlink>
      <w:r w:rsidRPr="00E1708A">
        <w:rPr>
          <w:rStyle w:val="TextoNormalCaracter"/>
        </w:rPr>
        <w:t xml:space="preserve">, f. único; </w:t>
      </w:r>
      <w:hyperlink w:anchor="AUTO_2023_424" w:history="1">
        <w:r w:rsidRPr="00E1708A">
          <w:rPr>
            <w:rStyle w:val="TextoNormalCaracter"/>
          </w:rPr>
          <w:t>424/2023</w:t>
        </w:r>
      </w:hyperlink>
      <w:r w:rsidRPr="00E1708A">
        <w:rPr>
          <w:rStyle w:val="TextoNormalCaracter"/>
        </w:rPr>
        <w:t xml:space="preserve">, f. único; </w:t>
      </w:r>
      <w:hyperlink w:anchor="AUTO_2023_426" w:history="1">
        <w:r w:rsidRPr="00E1708A">
          <w:rPr>
            <w:rStyle w:val="TextoNormalCaracter"/>
          </w:rPr>
          <w:t>426/2023</w:t>
        </w:r>
      </w:hyperlink>
      <w:r w:rsidRPr="00E1708A">
        <w:rPr>
          <w:rStyle w:val="TextoNormalCaracter"/>
        </w:rPr>
        <w:t xml:space="preserve">, f. único; </w:t>
      </w:r>
      <w:hyperlink w:anchor="AUTO_2023_430" w:history="1">
        <w:r w:rsidRPr="00E1708A">
          <w:rPr>
            <w:rStyle w:val="TextoNormalCaracter"/>
          </w:rPr>
          <w:t>430/2023</w:t>
        </w:r>
      </w:hyperlink>
      <w:r w:rsidRPr="00E1708A">
        <w:rPr>
          <w:rStyle w:val="TextoNormalCaracter"/>
        </w:rPr>
        <w:t xml:space="preserve">, f. único; </w:t>
      </w:r>
      <w:hyperlink w:anchor="AUTO_2023_433" w:history="1">
        <w:r w:rsidRPr="00E1708A">
          <w:rPr>
            <w:rStyle w:val="TextoNormalCaracter"/>
          </w:rPr>
          <w:t>433/2023</w:t>
        </w:r>
      </w:hyperlink>
      <w:r w:rsidRPr="00E1708A">
        <w:rPr>
          <w:rStyle w:val="TextoNormalCaracter"/>
        </w:rPr>
        <w:t xml:space="preserve">, f. único; </w:t>
      </w:r>
      <w:hyperlink w:anchor="AUTO_2023_434" w:history="1">
        <w:r w:rsidRPr="00E1708A">
          <w:rPr>
            <w:rStyle w:val="TextoNormalCaracter"/>
          </w:rPr>
          <w:t>434/2023</w:t>
        </w:r>
      </w:hyperlink>
      <w:r w:rsidRPr="00E1708A">
        <w:rPr>
          <w:rStyle w:val="TextoNormalCaracter"/>
        </w:rPr>
        <w:t xml:space="preserve">, f. único; </w:t>
      </w:r>
      <w:hyperlink w:anchor="AUTO_2023_435" w:history="1">
        <w:r w:rsidRPr="00E1708A">
          <w:rPr>
            <w:rStyle w:val="TextoNormalCaracter"/>
          </w:rPr>
          <w:t>435/2023</w:t>
        </w:r>
      </w:hyperlink>
      <w:r w:rsidRPr="00E1708A">
        <w:rPr>
          <w:rStyle w:val="TextoNormalCaracter"/>
        </w:rPr>
        <w:t xml:space="preserve">, f. único; </w:t>
      </w:r>
      <w:hyperlink w:anchor="AUTO_2023_449" w:history="1">
        <w:r w:rsidRPr="00E1708A">
          <w:rPr>
            <w:rStyle w:val="TextoNormalCaracter"/>
          </w:rPr>
          <w:t>449/2023</w:t>
        </w:r>
      </w:hyperlink>
      <w:r w:rsidRPr="00E1708A">
        <w:rPr>
          <w:rStyle w:val="TextoNormalCaracter"/>
        </w:rPr>
        <w:t xml:space="preserve">, f. único; </w:t>
      </w:r>
      <w:hyperlink w:anchor="AUTO_2023_450" w:history="1">
        <w:r w:rsidRPr="00E1708A">
          <w:rPr>
            <w:rStyle w:val="TextoNormalCaracter"/>
          </w:rPr>
          <w:t>450/2023</w:t>
        </w:r>
      </w:hyperlink>
      <w:r w:rsidRPr="00E1708A">
        <w:rPr>
          <w:rStyle w:val="TextoNormalCaracter"/>
        </w:rPr>
        <w:t xml:space="preserve">, f. único; </w:t>
      </w:r>
      <w:hyperlink w:anchor="AUTO_2023_451" w:history="1">
        <w:r w:rsidRPr="00E1708A">
          <w:rPr>
            <w:rStyle w:val="TextoNormalCaracter"/>
          </w:rPr>
          <w:t>451/2023</w:t>
        </w:r>
      </w:hyperlink>
      <w:r w:rsidRPr="00E1708A">
        <w:rPr>
          <w:rStyle w:val="TextoNormalCaracter"/>
        </w:rPr>
        <w:t xml:space="preserve">, f. único; </w:t>
      </w:r>
      <w:hyperlink w:anchor="AUTO_2023_452" w:history="1">
        <w:r w:rsidRPr="00E1708A">
          <w:rPr>
            <w:rStyle w:val="TextoNormalCaracter"/>
          </w:rPr>
          <w:t>452/2023</w:t>
        </w:r>
      </w:hyperlink>
      <w:r w:rsidRPr="00E1708A">
        <w:rPr>
          <w:rStyle w:val="TextoNormalCaracter"/>
        </w:rPr>
        <w:t xml:space="preserve">, f. único; </w:t>
      </w:r>
      <w:hyperlink w:anchor="AUTO_2023_453" w:history="1">
        <w:r w:rsidRPr="00E1708A">
          <w:rPr>
            <w:rStyle w:val="TextoNormalCaracter"/>
          </w:rPr>
          <w:t>453/2023</w:t>
        </w:r>
      </w:hyperlink>
      <w:r w:rsidRPr="00E1708A">
        <w:rPr>
          <w:rStyle w:val="TextoNormalCaracter"/>
        </w:rPr>
        <w:t xml:space="preserve">, f. único; </w:t>
      </w:r>
      <w:hyperlink w:anchor="AUTO_2023_454" w:history="1">
        <w:r w:rsidRPr="00E1708A">
          <w:rPr>
            <w:rStyle w:val="TextoNormalCaracter"/>
          </w:rPr>
          <w:t>454/2023</w:t>
        </w:r>
      </w:hyperlink>
      <w:r w:rsidRPr="00E1708A">
        <w:rPr>
          <w:rStyle w:val="TextoNormalCaracter"/>
        </w:rPr>
        <w:t xml:space="preserve">, f. único; </w:t>
      </w:r>
      <w:hyperlink w:anchor="AUTO_2023_455" w:history="1">
        <w:r w:rsidRPr="00E1708A">
          <w:rPr>
            <w:rStyle w:val="TextoNormalCaracter"/>
          </w:rPr>
          <w:t>455/2023</w:t>
        </w:r>
      </w:hyperlink>
      <w:r w:rsidRPr="00E1708A">
        <w:rPr>
          <w:rStyle w:val="TextoNormalCaracter"/>
        </w:rPr>
        <w:t xml:space="preserve">, f.único; </w:t>
      </w:r>
      <w:hyperlink w:anchor="AUTO_2023_456" w:history="1">
        <w:r w:rsidRPr="00E1708A">
          <w:rPr>
            <w:rStyle w:val="TextoNormalCaracter"/>
          </w:rPr>
          <w:t>456/2023</w:t>
        </w:r>
      </w:hyperlink>
      <w:r w:rsidRPr="00E1708A">
        <w:rPr>
          <w:rStyle w:val="TextoNormalCaracter"/>
        </w:rPr>
        <w:t xml:space="preserve">, f.único; </w:t>
      </w:r>
      <w:hyperlink w:anchor="AUTO_2023_457" w:history="1">
        <w:r w:rsidRPr="00E1708A">
          <w:rPr>
            <w:rStyle w:val="TextoNormalCaracter"/>
          </w:rPr>
          <w:t>457/2023</w:t>
        </w:r>
      </w:hyperlink>
      <w:r w:rsidRPr="00E1708A">
        <w:rPr>
          <w:rStyle w:val="TextoNormalCaracter"/>
        </w:rPr>
        <w:t xml:space="preserve">, f. único; </w:t>
      </w:r>
      <w:hyperlink w:anchor="AUTO_2023_459" w:history="1">
        <w:r w:rsidRPr="00E1708A">
          <w:rPr>
            <w:rStyle w:val="TextoNormalCaracter"/>
          </w:rPr>
          <w:t>459/2023</w:t>
        </w:r>
      </w:hyperlink>
      <w:r w:rsidRPr="00E1708A">
        <w:rPr>
          <w:rStyle w:val="TextoNormalCaracter"/>
        </w:rPr>
        <w:t xml:space="preserve">, f. único; </w:t>
      </w:r>
      <w:hyperlink w:anchor="AUTO_2023_460" w:history="1">
        <w:r w:rsidRPr="00E1708A">
          <w:rPr>
            <w:rStyle w:val="TextoNormalCaracter"/>
          </w:rPr>
          <w:t>460/2023</w:t>
        </w:r>
      </w:hyperlink>
      <w:r w:rsidRPr="00E1708A">
        <w:rPr>
          <w:rStyle w:val="TextoNormalCaracter"/>
        </w:rPr>
        <w:t xml:space="preserve">, f. único; </w:t>
      </w:r>
      <w:hyperlink w:anchor="AUTO_2023_461" w:history="1">
        <w:r w:rsidRPr="00E1708A">
          <w:rPr>
            <w:rStyle w:val="TextoNormalCaracter"/>
          </w:rPr>
          <w:t>461/2023</w:t>
        </w:r>
      </w:hyperlink>
      <w:r w:rsidRPr="00E1708A">
        <w:rPr>
          <w:rStyle w:val="TextoNormalCaracter"/>
        </w:rPr>
        <w:t xml:space="preserve">, f. único; </w:t>
      </w:r>
      <w:hyperlink w:anchor="AUTO_2023_462" w:history="1">
        <w:r w:rsidRPr="00E1708A">
          <w:rPr>
            <w:rStyle w:val="TextoNormalCaracter"/>
          </w:rPr>
          <w:t>462/2023</w:t>
        </w:r>
      </w:hyperlink>
      <w:r w:rsidRPr="00E1708A">
        <w:rPr>
          <w:rStyle w:val="TextoNormalCaracter"/>
        </w:rPr>
        <w:t xml:space="preserve">, f. único; </w:t>
      </w:r>
      <w:hyperlink w:anchor="AUTO_2023_463" w:history="1">
        <w:r w:rsidRPr="00E1708A">
          <w:rPr>
            <w:rStyle w:val="TextoNormalCaracter"/>
          </w:rPr>
          <w:t>463/2023</w:t>
        </w:r>
      </w:hyperlink>
      <w:r w:rsidRPr="00E1708A">
        <w:rPr>
          <w:rStyle w:val="TextoNormalCaracter"/>
        </w:rPr>
        <w:t xml:space="preserve">, f. único; </w:t>
      </w:r>
      <w:hyperlink w:anchor="AUTO_2023_464" w:history="1">
        <w:r w:rsidRPr="00E1708A">
          <w:rPr>
            <w:rStyle w:val="TextoNormalCaracter"/>
          </w:rPr>
          <w:t>464/2023</w:t>
        </w:r>
      </w:hyperlink>
      <w:r w:rsidRPr="00E1708A">
        <w:rPr>
          <w:rStyle w:val="TextoNormalCaracter"/>
        </w:rPr>
        <w:t xml:space="preserve">, f. único; </w:t>
      </w:r>
      <w:hyperlink w:anchor="AUTO_2023_465" w:history="1">
        <w:r w:rsidRPr="00E1708A">
          <w:rPr>
            <w:rStyle w:val="TextoNormalCaracter"/>
          </w:rPr>
          <w:t>465/2023</w:t>
        </w:r>
      </w:hyperlink>
      <w:r w:rsidRPr="00E1708A">
        <w:rPr>
          <w:rStyle w:val="TextoNormalCaracter"/>
        </w:rPr>
        <w:t xml:space="preserve">, f. único; </w:t>
      </w:r>
      <w:hyperlink w:anchor="AUTO_2023_466" w:history="1">
        <w:r w:rsidRPr="00E1708A">
          <w:rPr>
            <w:rStyle w:val="TextoNormalCaracter"/>
          </w:rPr>
          <w:t>466/2023</w:t>
        </w:r>
      </w:hyperlink>
      <w:r w:rsidRPr="00E1708A">
        <w:rPr>
          <w:rStyle w:val="TextoNormalCaracter"/>
        </w:rPr>
        <w:t xml:space="preserve">, f. único; </w:t>
      </w:r>
      <w:hyperlink w:anchor="AUTO_2023_467" w:history="1">
        <w:r w:rsidRPr="00E1708A">
          <w:rPr>
            <w:rStyle w:val="TextoNormalCaracter"/>
          </w:rPr>
          <w:t>467/2023</w:t>
        </w:r>
      </w:hyperlink>
      <w:r w:rsidRPr="00E1708A">
        <w:rPr>
          <w:rStyle w:val="TextoNormalCaracter"/>
        </w:rPr>
        <w:t xml:space="preserve">, f. único; </w:t>
      </w:r>
      <w:hyperlink w:anchor="AUTO_2023_468" w:history="1">
        <w:r w:rsidRPr="00E1708A">
          <w:rPr>
            <w:rStyle w:val="TextoNormalCaracter"/>
          </w:rPr>
          <w:t>468/2023</w:t>
        </w:r>
      </w:hyperlink>
      <w:r w:rsidRPr="00E1708A">
        <w:rPr>
          <w:rStyle w:val="TextoNormalCaracter"/>
        </w:rPr>
        <w:t xml:space="preserve">, f. único; </w:t>
      </w:r>
      <w:hyperlink w:anchor="AUTO_2023_469" w:history="1">
        <w:r w:rsidRPr="00E1708A">
          <w:rPr>
            <w:rStyle w:val="TextoNormalCaracter"/>
          </w:rPr>
          <w:t>469/2023</w:t>
        </w:r>
      </w:hyperlink>
      <w:r w:rsidRPr="00E1708A">
        <w:rPr>
          <w:rStyle w:val="TextoNormalCaracter"/>
        </w:rPr>
        <w:t xml:space="preserve">, f. único; </w:t>
      </w:r>
      <w:hyperlink w:anchor="AUTO_2023_470" w:history="1">
        <w:r w:rsidRPr="00E1708A">
          <w:rPr>
            <w:rStyle w:val="TextoNormalCaracter"/>
          </w:rPr>
          <w:t>470/2023</w:t>
        </w:r>
      </w:hyperlink>
      <w:r w:rsidRPr="00E1708A">
        <w:rPr>
          <w:rStyle w:val="TextoNormalCaracter"/>
        </w:rPr>
        <w:t xml:space="preserve">, f. único; </w:t>
      </w:r>
      <w:hyperlink w:anchor="AUTO_2023_471" w:history="1">
        <w:r w:rsidRPr="00E1708A">
          <w:rPr>
            <w:rStyle w:val="TextoNormalCaracter"/>
          </w:rPr>
          <w:t>471/2023</w:t>
        </w:r>
      </w:hyperlink>
      <w:r w:rsidRPr="00E1708A">
        <w:rPr>
          <w:rStyle w:val="TextoNormalCaracter"/>
        </w:rPr>
        <w:t xml:space="preserve">, f. único; </w:t>
      </w:r>
      <w:hyperlink w:anchor="AUTO_2023_474" w:history="1">
        <w:r w:rsidRPr="00E1708A">
          <w:rPr>
            <w:rStyle w:val="TextoNormalCaracter"/>
          </w:rPr>
          <w:t>474/2023</w:t>
        </w:r>
      </w:hyperlink>
      <w:r w:rsidRPr="00E1708A">
        <w:rPr>
          <w:rStyle w:val="TextoNormalCaracter"/>
        </w:rPr>
        <w:t xml:space="preserve">, f. único; </w:t>
      </w:r>
      <w:hyperlink w:anchor="AUTO_2023_475" w:history="1">
        <w:r w:rsidRPr="00E1708A">
          <w:rPr>
            <w:rStyle w:val="TextoNormalCaracter"/>
          </w:rPr>
          <w:t>475/2023</w:t>
        </w:r>
      </w:hyperlink>
      <w:r w:rsidRPr="00E1708A">
        <w:rPr>
          <w:rStyle w:val="TextoNormalCaracter"/>
        </w:rPr>
        <w:t xml:space="preserve">, f. único; </w:t>
      </w:r>
      <w:hyperlink w:anchor="AUTO_2023_476" w:history="1">
        <w:r w:rsidRPr="00E1708A">
          <w:rPr>
            <w:rStyle w:val="TextoNormalCaracter"/>
          </w:rPr>
          <w:t>476/2023</w:t>
        </w:r>
      </w:hyperlink>
      <w:r w:rsidRPr="00E1708A">
        <w:rPr>
          <w:rStyle w:val="TextoNormalCaracter"/>
        </w:rPr>
        <w:t xml:space="preserve">, f. único; </w:t>
      </w:r>
      <w:hyperlink w:anchor="AUTO_2023_478" w:history="1">
        <w:r w:rsidRPr="00E1708A">
          <w:rPr>
            <w:rStyle w:val="TextoNormalCaracter"/>
          </w:rPr>
          <w:t>478/2023</w:t>
        </w:r>
      </w:hyperlink>
      <w:r w:rsidRPr="00E1708A">
        <w:rPr>
          <w:rStyle w:val="TextoNormalCaracter"/>
        </w:rPr>
        <w:t xml:space="preserve">, f. único; </w:t>
      </w:r>
      <w:hyperlink w:anchor="AUTO_2023_479" w:history="1">
        <w:r w:rsidRPr="00E1708A">
          <w:rPr>
            <w:rStyle w:val="TextoNormalCaracter"/>
          </w:rPr>
          <w:t>479/2023</w:t>
        </w:r>
      </w:hyperlink>
      <w:r w:rsidRPr="00E1708A">
        <w:rPr>
          <w:rStyle w:val="TextoNormalCaracter"/>
        </w:rPr>
        <w:t xml:space="preserve">, f. único; </w:t>
      </w:r>
      <w:hyperlink w:anchor="AUTO_2023_480" w:history="1">
        <w:r w:rsidRPr="00E1708A">
          <w:rPr>
            <w:rStyle w:val="TextoNormalCaracter"/>
          </w:rPr>
          <w:t>480/2023</w:t>
        </w:r>
      </w:hyperlink>
      <w:r w:rsidRPr="00E1708A">
        <w:rPr>
          <w:rStyle w:val="TextoNormalCaracter"/>
        </w:rPr>
        <w:t xml:space="preserve">, f. único; </w:t>
      </w:r>
      <w:hyperlink w:anchor="AUTO_2023_481" w:history="1">
        <w:r w:rsidRPr="00E1708A">
          <w:rPr>
            <w:rStyle w:val="TextoNormalCaracter"/>
          </w:rPr>
          <w:t>481/2023</w:t>
        </w:r>
      </w:hyperlink>
      <w:r w:rsidRPr="00E1708A">
        <w:rPr>
          <w:rStyle w:val="TextoNormalCaracter"/>
        </w:rPr>
        <w:t xml:space="preserve">, f. único; </w:t>
      </w:r>
      <w:hyperlink w:anchor="AUTO_2023_491" w:history="1">
        <w:r w:rsidRPr="00E1708A">
          <w:rPr>
            <w:rStyle w:val="TextoNormalCaracter"/>
          </w:rPr>
          <w:t>491/2023</w:t>
        </w:r>
      </w:hyperlink>
      <w:r w:rsidRPr="00E1708A">
        <w:rPr>
          <w:rStyle w:val="TextoNormalCaracter"/>
        </w:rPr>
        <w:t xml:space="preserve">, f. único; </w:t>
      </w:r>
      <w:hyperlink w:anchor="AUTO_2023_492" w:history="1">
        <w:r w:rsidRPr="00E1708A">
          <w:rPr>
            <w:rStyle w:val="TextoNormalCaracter"/>
          </w:rPr>
          <w:t>492/2023</w:t>
        </w:r>
      </w:hyperlink>
      <w:r w:rsidRPr="00E1708A">
        <w:rPr>
          <w:rStyle w:val="TextoNormalCaracter"/>
        </w:rPr>
        <w:t xml:space="preserve">, f. único; </w:t>
      </w:r>
      <w:hyperlink w:anchor="AUTO_2023_493" w:history="1">
        <w:r w:rsidRPr="00E1708A">
          <w:rPr>
            <w:rStyle w:val="TextoNormalCaracter"/>
          </w:rPr>
          <w:t>493/2023</w:t>
        </w:r>
      </w:hyperlink>
      <w:r w:rsidRPr="00E1708A">
        <w:rPr>
          <w:rStyle w:val="TextoNormalCaracter"/>
        </w:rPr>
        <w:t xml:space="preserve">, f. único; </w:t>
      </w:r>
      <w:hyperlink w:anchor="AUTO_2023_494" w:history="1">
        <w:r w:rsidRPr="00E1708A">
          <w:rPr>
            <w:rStyle w:val="TextoNormalCaracter"/>
          </w:rPr>
          <w:t>494/2023</w:t>
        </w:r>
      </w:hyperlink>
      <w:r w:rsidRPr="00E1708A">
        <w:rPr>
          <w:rStyle w:val="TextoNormalCaracter"/>
        </w:rPr>
        <w:t xml:space="preserve">, f. único; </w:t>
      </w:r>
      <w:hyperlink w:anchor="AUTO_2023_495" w:history="1">
        <w:r w:rsidRPr="00E1708A">
          <w:rPr>
            <w:rStyle w:val="TextoNormalCaracter"/>
          </w:rPr>
          <w:t>495/2023</w:t>
        </w:r>
      </w:hyperlink>
      <w:r w:rsidRPr="00E1708A">
        <w:rPr>
          <w:rStyle w:val="TextoNormalCaracter"/>
        </w:rPr>
        <w:t xml:space="preserve">, f. único; </w:t>
      </w:r>
      <w:hyperlink w:anchor="AUTO_2023_496" w:history="1">
        <w:r w:rsidRPr="00E1708A">
          <w:rPr>
            <w:rStyle w:val="TextoNormalCaracter"/>
          </w:rPr>
          <w:t>496/2023</w:t>
        </w:r>
      </w:hyperlink>
      <w:r w:rsidRPr="00E1708A">
        <w:rPr>
          <w:rStyle w:val="TextoNormalCaracter"/>
        </w:rPr>
        <w:t xml:space="preserve">, f. único; </w:t>
      </w:r>
      <w:hyperlink w:anchor="AUTO_2023_497" w:history="1">
        <w:r w:rsidRPr="00E1708A">
          <w:rPr>
            <w:rStyle w:val="TextoNormalCaracter"/>
          </w:rPr>
          <w:t>497/2023</w:t>
        </w:r>
      </w:hyperlink>
      <w:r w:rsidRPr="00E1708A">
        <w:rPr>
          <w:rStyle w:val="TextoNormalCaracter"/>
        </w:rPr>
        <w:t xml:space="preserve">, f. único; </w:t>
      </w:r>
      <w:hyperlink w:anchor="AUTO_2023_498" w:history="1">
        <w:r w:rsidRPr="00E1708A">
          <w:rPr>
            <w:rStyle w:val="TextoNormalCaracter"/>
          </w:rPr>
          <w:t>498/2023</w:t>
        </w:r>
      </w:hyperlink>
      <w:r w:rsidRPr="00E1708A">
        <w:rPr>
          <w:rStyle w:val="TextoNormalCaracter"/>
        </w:rPr>
        <w:t xml:space="preserve">, f. único; </w:t>
      </w:r>
      <w:hyperlink w:anchor="AUTO_2023_499" w:history="1">
        <w:r w:rsidRPr="00E1708A">
          <w:rPr>
            <w:rStyle w:val="TextoNormalCaracter"/>
          </w:rPr>
          <w:t>499/2023</w:t>
        </w:r>
      </w:hyperlink>
      <w:r w:rsidRPr="00E1708A">
        <w:rPr>
          <w:rStyle w:val="TextoNormalCaracter"/>
        </w:rPr>
        <w:t xml:space="preserve">, f. único; </w:t>
      </w:r>
      <w:hyperlink w:anchor="AUTO_2023_500" w:history="1">
        <w:r w:rsidRPr="00E1708A">
          <w:rPr>
            <w:rStyle w:val="TextoNormalCaracter"/>
          </w:rPr>
          <w:t>500/2023</w:t>
        </w:r>
      </w:hyperlink>
      <w:r w:rsidRPr="00E1708A">
        <w:rPr>
          <w:rStyle w:val="TextoNormalCaracter"/>
        </w:rPr>
        <w:t xml:space="preserve">, f. único; </w:t>
      </w:r>
      <w:hyperlink w:anchor="AUTO_2023_501" w:history="1">
        <w:r w:rsidRPr="00E1708A">
          <w:rPr>
            <w:rStyle w:val="TextoNormalCaracter"/>
          </w:rPr>
          <w:t>501/2023</w:t>
        </w:r>
      </w:hyperlink>
      <w:r w:rsidRPr="00E1708A">
        <w:rPr>
          <w:rStyle w:val="TextoNormalCaracter"/>
        </w:rPr>
        <w:t xml:space="preserve">, f. único; </w:t>
      </w:r>
      <w:hyperlink w:anchor="AUTO_2023_502" w:history="1">
        <w:r w:rsidRPr="00E1708A">
          <w:rPr>
            <w:rStyle w:val="TextoNormalCaracter"/>
          </w:rPr>
          <w:t>502/2023</w:t>
        </w:r>
      </w:hyperlink>
      <w:r w:rsidRPr="00E1708A">
        <w:rPr>
          <w:rStyle w:val="TextoNormalCaracter"/>
        </w:rPr>
        <w:t xml:space="preserve">, f. único; </w:t>
      </w:r>
      <w:hyperlink w:anchor="AUTO_2023_503" w:history="1">
        <w:r w:rsidRPr="00E1708A">
          <w:rPr>
            <w:rStyle w:val="TextoNormalCaracter"/>
          </w:rPr>
          <w:t>503/2023</w:t>
        </w:r>
      </w:hyperlink>
      <w:r w:rsidRPr="00E1708A">
        <w:rPr>
          <w:rStyle w:val="TextoNormalCaracter"/>
        </w:rPr>
        <w:t xml:space="preserve">, f. único; </w:t>
      </w:r>
      <w:hyperlink w:anchor="AUTO_2023_504" w:history="1">
        <w:r w:rsidRPr="00E1708A">
          <w:rPr>
            <w:rStyle w:val="TextoNormalCaracter"/>
          </w:rPr>
          <w:t>504/2023</w:t>
        </w:r>
      </w:hyperlink>
      <w:r w:rsidRPr="00E1708A">
        <w:rPr>
          <w:rStyle w:val="TextoNormalCaracter"/>
        </w:rPr>
        <w:t xml:space="preserve">, f. único; </w:t>
      </w:r>
      <w:hyperlink w:anchor="AUTO_2023_505" w:history="1">
        <w:r w:rsidRPr="00E1708A">
          <w:rPr>
            <w:rStyle w:val="TextoNormalCaracter"/>
          </w:rPr>
          <w:t>505/2023</w:t>
        </w:r>
      </w:hyperlink>
      <w:r w:rsidRPr="00E1708A">
        <w:rPr>
          <w:rStyle w:val="TextoNormalCaracter"/>
        </w:rPr>
        <w:t xml:space="preserve">, f. único; </w:t>
      </w:r>
      <w:hyperlink w:anchor="AUTO_2023_506" w:history="1">
        <w:r w:rsidRPr="00E1708A">
          <w:rPr>
            <w:rStyle w:val="TextoNormalCaracter"/>
          </w:rPr>
          <w:t>506/2023</w:t>
        </w:r>
      </w:hyperlink>
      <w:r w:rsidRPr="00E1708A">
        <w:rPr>
          <w:rStyle w:val="TextoNormalCaracter"/>
        </w:rPr>
        <w:t xml:space="preserve">, f. único; </w:t>
      </w:r>
      <w:hyperlink w:anchor="AUTO_2023_507" w:history="1">
        <w:r w:rsidRPr="00E1708A">
          <w:rPr>
            <w:rStyle w:val="TextoNormalCaracter"/>
          </w:rPr>
          <w:t>507/2023</w:t>
        </w:r>
      </w:hyperlink>
      <w:r w:rsidRPr="00E1708A">
        <w:rPr>
          <w:rStyle w:val="TextoNormalCaracter"/>
        </w:rPr>
        <w:t xml:space="preserve">, f. único; </w:t>
      </w:r>
      <w:hyperlink w:anchor="AUTO_2023_508" w:history="1">
        <w:r w:rsidRPr="00E1708A">
          <w:rPr>
            <w:rStyle w:val="TextoNormalCaracter"/>
          </w:rPr>
          <w:t>508/2023</w:t>
        </w:r>
      </w:hyperlink>
      <w:r w:rsidRPr="00E1708A">
        <w:rPr>
          <w:rStyle w:val="TextoNormalCaracter"/>
        </w:rPr>
        <w:t xml:space="preserve">, f. único; </w:t>
      </w:r>
      <w:hyperlink w:anchor="AUTO_2023_509" w:history="1">
        <w:r w:rsidRPr="00E1708A">
          <w:rPr>
            <w:rStyle w:val="TextoNormalCaracter"/>
          </w:rPr>
          <w:t>509/2023</w:t>
        </w:r>
      </w:hyperlink>
      <w:r w:rsidRPr="00E1708A">
        <w:rPr>
          <w:rStyle w:val="TextoNormalCaracter"/>
        </w:rPr>
        <w:t xml:space="preserve">, f. único; </w:t>
      </w:r>
      <w:hyperlink w:anchor="AUTO_2023_510" w:history="1">
        <w:r w:rsidRPr="00E1708A">
          <w:rPr>
            <w:rStyle w:val="TextoNormalCaracter"/>
          </w:rPr>
          <w:t>510/2023</w:t>
        </w:r>
      </w:hyperlink>
      <w:r w:rsidRPr="00E1708A">
        <w:rPr>
          <w:rStyle w:val="TextoNormalCaracter"/>
        </w:rPr>
        <w:t xml:space="preserve">, f. único; </w:t>
      </w:r>
      <w:hyperlink w:anchor="AUTO_2023_511" w:history="1">
        <w:r w:rsidRPr="00E1708A">
          <w:rPr>
            <w:rStyle w:val="TextoNormalCaracter"/>
          </w:rPr>
          <w:t>511/2023</w:t>
        </w:r>
      </w:hyperlink>
      <w:r w:rsidRPr="00E1708A">
        <w:rPr>
          <w:rStyle w:val="TextoNormalCaracter"/>
        </w:rPr>
        <w:t xml:space="preserve">, f. único; </w:t>
      </w:r>
      <w:hyperlink w:anchor="AUTO_2023_512" w:history="1">
        <w:r w:rsidRPr="00E1708A">
          <w:rPr>
            <w:rStyle w:val="TextoNormalCaracter"/>
          </w:rPr>
          <w:t>512/2023</w:t>
        </w:r>
      </w:hyperlink>
      <w:r w:rsidRPr="00E1708A">
        <w:rPr>
          <w:rStyle w:val="TextoNormalCaracter"/>
        </w:rPr>
        <w:t xml:space="preserve">, f. único; </w:t>
      </w:r>
      <w:hyperlink w:anchor="AUTO_2023_513" w:history="1">
        <w:r w:rsidRPr="00E1708A">
          <w:rPr>
            <w:rStyle w:val="TextoNormalCaracter"/>
          </w:rPr>
          <w:t>513/2023</w:t>
        </w:r>
      </w:hyperlink>
      <w:r w:rsidRPr="00E1708A">
        <w:rPr>
          <w:rStyle w:val="TextoNormalCaracter"/>
        </w:rPr>
        <w:t xml:space="preserve">, f. único; </w:t>
      </w:r>
      <w:hyperlink w:anchor="AUTO_2023_514" w:history="1">
        <w:r w:rsidRPr="00E1708A">
          <w:rPr>
            <w:rStyle w:val="TextoNormalCaracter"/>
          </w:rPr>
          <w:t>514/2023</w:t>
        </w:r>
      </w:hyperlink>
      <w:r w:rsidRPr="00E1708A">
        <w:rPr>
          <w:rStyle w:val="TextoNormalCaracter"/>
        </w:rPr>
        <w:t xml:space="preserve">, f. único; </w:t>
      </w:r>
      <w:hyperlink w:anchor="AUTO_2023_515" w:history="1">
        <w:r w:rsidRPr="00E1708A">
          <w:rPr>
            <w:rStyle w:val="TextoNormalCaracter"/>
          </w:rPr>
          <w:t>515/2023</w:t>
        </w:r>
      </w:hyperlink>
      <w:r w:rsidRPr="00E1708A">
        <w:rPr>
          <w:rStyle w:val="TextoNormalCaracter"/>
        </w:rPr>
        <w:t xml:space="preserve">, f. único; </w:t>
      </w:r>
      <w:hyperlink w:anchor="AUTO_2023_516" w:history="1">
        <w:r w:rsidRPr="00E1708A">
          <w:rPr>
            <w:rStyle w:val="TextoNormalCaracter"/>
          </w:rPr>
          <w:t>516/2023</w:t>
        </w:r>
      </w:hyperlink>
      <w:r w:rsidRPr="00E1708A">
        <w:rPr>
          <w:rStyle w:val="TextoNormalCaracter"/>
        </w:rPr>
        <w:t xml:space="preserve">, f. único; </w:t>
      </w:r>
      <w:hyperlink w:anchor="AUTO_2023_517" w:history="1">
        <w:r w:rsidRPr="00E1708A">
          <w:rPr>
            <w:rStyle w:val="TextoNormalCaracter"/>
          </w:rPr>
          <w:t>517/2023</w:t>
        </w:r>
      </w:hyperlink>
      <w:r w:rsidRPr="00E1708A">
        <w:rPr>
          <w:rStyle w:val="TextoNormalCaracter"/>
        </w:rPr>
        <w:t xml:space="preserve">, f. único; </w:t>
      </w:r>
      <w:hyperlink w:anchor="AUTO_2023_518" w:history="1">
        <w:r w:rsidRPr="00E1708A">
          <w:rPr>
            <w:rStyle w:val="TextoNormalCaracter"/>
          </w:rPr>
          <w:t>518/2023</w:t>
        </w:r>
      </w:hyperlink>
      <w:r w:rsidRPr="00E1708A">
        <w:rPr>
          <w:rStyle w:val="TextoNormalCaracter"/>
        </w:rPr>
        <w:t xml:space="preserve">, f. único; </w:t>
      </w:r>
      <w:hyperlink w:anchor="AUTO_2023_519" w:history="1">
        <w:r w:rsidRPr="00E1708A">
          <w:rPr>
            <w:rStyle w:val="TextoNormalCaracter"/>
          </w:rPr>
          <w:t>519/2023</w:t>
        </w:r>
      </w:hyperlink>
      <w:r w:rsidRPr="00E1708A">
        <w:rPr>
          <w:rStyle w:val="TextoNormalCaracter"/>
        </w:rPr>
        <w:t xml:space="preserve">, f. único; </w:t>
      </w:r>
      <w:hyperlink w:anchor="AUTO_2023_520" w:history="1">
        <w:r w:rsidRPr="00E1708A">
          <w:rPr>
            <w:rStyle w:val="TextoNormalCaracter"/>
          </w:rPr>
          <w:t>520/2023</w:t>
        </w:r>
      </w:hyperlink>
      <w:r w:rsidRPr="00E1708A">
        <w:rPr>
          <w:rStyle w:val="TextoNormalCaracter"/>
        </w:rPr>
        <w:t xml:space="preserve">, f. único; </w:t>
      </w:r>
      <w:hyperlink w:anchor="AUTO_2023_521" w:history="1">
        <w:r w:rsidRPr="00E1708A">
          <w:rPr>
            <w:rStyle w:val="TextoNormalCaracter"/>
          </w:rPr>
          <w:t>521/2023</w:t>
        </w:r>
      </w:hyperlink>
      <w:r w:rsidRPr="00E1708A">
        <w:rPr>
          <w:rStyle w:val="TextoNormalCaracter"/>
        </w:rPr>
        <w:t xml:space="preserve">, f. único; </w:t>
      </w:r>
      <w:hyperlink w:anchor="AUTO_2023_522" w:history="1">
        <w:r w:rsidRPr="00E1708A">
          <w:rPr>
            <w:rStyle w:val="TextoNormalCaracter"/>
          </w:rPr>
          <w:t>522/2023</w:t>
        </w:r>
      </w:hyperlink>
      <w:r w:rsidRPr="00E1708A">
        <w:rPr>
          <w:rStyle w:val="TextoNormalCaracter"/>
        </w:rPr>
        <w:t xml:space="preserve">, f. único; </w:t>
      </w:r>
      <w:hyperlink w:anchor="AUTO_2023_523" w:history="1">
        <w:r w:rsidRPr="00E1708A">
          <w:rPr>
            <w:rStyle w:val="TextoNormalCaracter"/>
          </w:rPr>
          <w:t>523/2023</w:t>
        </w:r>
      </w:hyperlink>
      <w:r w:rsidRPr="00E1708A">
        <w:rPr>
          <w:rStyle w:val="TextoNormalCaracter"/>
        </w:rPr>
        <w:t xml:space="preserve">, f. único; </w:t>
      </w:r>
      <w:hyperlink w:anchor="AUTO_2023_524" w:history="1">
        <w:r w:rsidRPr="00E1708A">
          <w:rPr>
            <w:rStyle w:val="TextoNormalCaracter"/>
          </w:rPr>
          <w:t>524/2023</w:t>
        </w:r>
      </w:hyperlink>
      <w:r w:rsidRPr="00E1708A">
        <w:rPr>
          <w:rStyle w:val="TextoNormalCaracter"/>
        </w:rPr>
        <w:t xml:space="preserve">, f. único; </w:t>
      </w:r>
      <w:hyperlink w:anchor="AUTO_2023_525" w:history="1">
        <w:r w:rsidRPr="00E1708A">
          <w:rPr>
            <w:rStyle w:val="TextoNormalCaracter"/>
          </w:rPr>
          <w:t>525/2023</w:t>
        </w:r>
      </w:hyperlink>
      <w:r w:rsidRPr="00E1708A">
        <w:rPr>
          <w:rStyle w:val="TextoNormalCaracter"/>
        </w:rPr>
        <w:t xml:space="preserve">, f. único; </w:t>
      </w:r>
      <w:hyperlink w:anchor="AUTO_2023_527" w:history="1">
        <w:r w:rsidRPr="00E1708A">
          <w:rPr>
            <w:rStyle w:val="TextoNormalCaracter"/>
          </w:rPr>
          <w:t>527/2023</w:t>
        </w:r>
      </w:hyperlink>
      <w:r w:rsidRPr="00E1708A">
        <w:rPr>
          <w:rStyle w:val="TextoNormalCaracter"/>
        </w:rPr>
        <w:t xml:space="preserve">, f. único; </w:t>
      </w:r>
      <w:hyperlink w:anchor="AUTO_2023_528" w:history="1">
        <w:r w:rsidRPr="00E1708A">
          <w:rPr>
            <w:rStyle w:val="TextoNormalCaracter"/>
          </w:rPr>
          <w:t>528/2023</w:t>
        </w:r>
      </w:hyperlink>
      <w:r w:rsidRPr="00E1708A">
        <w:rPr>
          <w:rStyle w:val="TextoNormalCaracter"/>
        </w:rPr>
        <w:t xml:space="preserve">, f. único; </w:t>
      </w:r>
      <w:hyperlink w:anchor="AUTO_2023_529" w:history="1">
        <w:r w:rsidRPr="00E1708A">
          <w:rPr>
            <w:rStyle w:val="TextoNormalCaracter"/>
          </w:rPr>
          <w:t>529/2023</w:t>
        </w:r>
      </w:hyperlink>
      <w:r w:rsidRPr="00E1708A">
        <w:rPr>
          <w:rStyle w:val="TextoNormalCaracter"/>
        </w:rPr>
        <w:t xml:space="preserve">, f. único; </w:t>
      </w:r>
      <w:hyperlink w:anchor="AUTO_2023_530" w:history="1">
        <w:r w:rsidRPr="00E1708A">
          <w:rPr>
            <w:rStyle w:val="TextoNormalCaracter"/>
          </w:rPr>
          <w:t>530/2023</w:t>
        </w:r>
      </w:hyperlink>
      <w:r w:rsidRPr="00E1708A">
        <w:rPr>
          <w:rStyle w:val="TextoNormalCaracter"/>
        </w:rPr>
        <w:t xml:space="preserve">, f. único; </w:t>
      </w:r>
      <w:hyperlink w:anchor="AUTO_2023_531" w:history="1">
        <w:r w:rsidRPr="00E1708A">
          <w:rPr>
            <w:rStyle w:val="TextoNormalCaracter"/>
          </w:rPr>
          <w:t>531/2023</w:t>
        </w:r>
      </w:hyperlink>
      <w:r w:rsidRPr="00E1708A">
        <w:rPr>
          <w:rStyle w:val="TextoNormalCaracter"/>
        </w:rPr>
        <w:t xml:space="preserve">, f. único; </w:t>
      </w:r>
      <w:hyperlink w:anchor="AUTO_2023_533" w:history="1">
        <w:r w:rsidRPr="00E1708A">
          <w:rPr>
            <w:rStyle w:val="TextoNormalCaracter"/>
          </w:rPr>
          <w:t>533/2023</w:t>
        </w:r>
      </w:hyperlink>
      <w:r w:rsidRPr="00E1708A">
        <w:rPr>
          <w:rStyle w:val="TextoNormalCaracter"/>
        </w:rPr>
        <w:t xml:space="preserve">, f. único; </w:t>
      </w:r>
      <w:hyperlink w:anchor="AUTO_2023_534" w:history="1">
        <w:r w:rsidRPr="00E1708A">
          <w:rPr>
            <w:rStyle w:val="TextoNormalCaracter"/>
          </w:rPr>
          <w:t>534/2023</w:t>
        </w:r>
      </w:hyperlink>
      <w:r w:rsidRPr="00E1708A">
        <w:rPr>
          <w:rStyle w:val="TextoNormalCaracter"/>
        </w:rPr>
        <w:t xml:space="preserve">, f. único; </w:t>
      </w:r>
      <w:hyperlink w:anchor="AUTO_2023_536" w:history="1">
        <w:r w:rsidRPr="00E1708A">
          <w:rPr>
            <w:rStyle w:val="TextoNormalCaracter"/>
          </w:rPr>
          <w:t>536/2023</w:t>
        </w:r>
      </w:hyperlink>
      <w:r w:rsidRPr="00E1708A">
        <w:rPr>
          <w:rStyle w:val="TextoNormalCaracter"/>
        </w:rPr>
        <w:t xml:space="preserve">, f. único; </w:t>
      </w:r>
      <w:hyperlink w:anchor="AUTO_2023_537" w:history="1">
        <w:r w:rsidRPr="00E1708A">
          <w:rPr>
            <w:rStyle w:val="TextoNormalCaracter"/>
          </w:rPr>
          <w:t>537/2023</w:t>
        </w:r>
      </w:hyperlink>
      <w:r w:rsidRPr="00E1708A">
        <w:rPr>
          <w:rStyle w:val="TextoNormalCaracter"/>
        </w:rPr>
        <w:t xml:space="preserve">, f. único; </w:t>
      </w:r>
      <w:hyperlink w:anchor="AUTO_2023_538" w:history="1">
        <w:r w:rsidRPr="00E1708A">
          <w:rPr>
            <w:rStyle w:val="TextoNormalCaracter"/>
          </w:rPr>
          <w:t>538/2023</w:t>
        </w:r>
      </w:hyperlink>
      <w:r w:rsidRPr="00E1708A">
        <w:rPr>
          <w:rStyle w:val="TextoNormalCaracter"/>
        </w:rPr>
        <w:t xml:space="preserve">, f. único; </w:t>
      </w:r>
      <w:hyperlink w:anchor="AUTO_2023_539" w:history="1">
        <w:r w:rsidRPr="00E1708A">
          <w:rPr>
            <w:rStyle w:val="TextoNormalCaracter"/>
          </w:rPr>
          <w:t>539/2023</w:t>
        </w:r>
      </w:hyperlink>
      <w:r w:rsidRPr="00E1708A">
        <w:rPr>
          <w:rStyle w:val="TextoNormalCaracter"/>
        </w:rPr>
        <w:t xml:space="preserve">, f. único; </w:t>
      </w:r>
      <w:hyperlink w:anchor="AUTO_2023_540" w:history="1">
        <w:r w:rsidRPr="00E1708A">
          <w:rPr>
            <w:rStyle w:val="TextoNormalCaracter"/>
          </w:rPr>
          <w:t>540/2023</w:t>
        </w:r>
      </w:hyperlink>
      <w:r w:rsidRPr="00E1708A">
        <w:rPr>
          <w:rStyle w:val="TextoNormalCaracter"/>
        </w:rPr>
        <w:t xml:space="preserve">, f. único; </w:t>
      </w:r>
      <w:hyperlink w:anchor="AUTO_2023_541" w:history="1">
        <w:r w:rsidRPr="00E1708A">
          <w:rPr>
            <w:rStyle w:val="TextoNormalCaracter"/>
          </w:rPr>
          <w:t>541/2023</w:t>
        </w:r>
      </w:hyperlink>
      <w:r w:rsidRPr="00E1708A">
        <w:rPr>
          <w:rStyle w:val="TextoNormalCaracter"/>
        </w:rPr>
        <w:t xml:space="preserve">, f. único; </w:t>
      </w:r>
      <w:hyperlink w:anchor="AUTO_2023_542" w:history="1">
        <w:r w:rsidRPr="00E1708A">
          <w:rPr>
            <w:rStyle w:val="TextoNormalCaracter"/>
          </w:rPr>
          <w:t>542/2023</w:t>
        </w:r>
      </w:hyperlink>
      <w:r w:rsidRPr="00E1708A">
        <w:rPr>
          <w:rStyle w:val="TextoNormalCaracter"/>
        </w:rPr>
        <w:t xml:space="preserve">, f. único; </w:t>
      </w:r>
      <w:hyperlink w:anchor="AUTO_2023_543" w:history="1">
        <w:r w:rsidRPr="00E1708A">
          <w:rPr>
            <w:rStyle w:val="TextoNormalCaracter"/>
          </w:rPr>
          <w:t>543/2023</w:t>
        </w:r>
      </w:hyperlink>
      <w:r w:rsidRPr="00E1708A">
        <w:rPr>
          <w:rStyle w:val="TextoNormalCaracter"/>
        </w:rPr>
        <w:t xml:space="preserve">, f. único; </w:t>
      </w:r>
      <w:hyperlink w:anchor="AUTO_2023_544" w:history="1">
        <w:r w:rsidRPr="00E1708A">
          <w:rPr>
            <w:rStyle w:val="TextoNormalCaracter"/>
          </w:rPr>
          <w:t>544/2023</w:t>
        </w:r>
      </w:hyperlink>
      <w:r w:rsidRPr="00E1708A">
        <w:rPr>
          <w:rStyle w:val="TextoNormalCaracter"/>
        </w:rPr>
        <w:t xml:space="preserve">, f. único; </w:t>
      </w:r>
      <w:hyperlink w:anchor="AUTO_2023_545" w:history="1">
        <w:r w:rsidRPr="00E1708A">
          <w:rPr>
            <w:rStyle w:val="TextoNormalCaracter"/>
          </w:rPr>
          <w:t>545/2023</w:t>
        </w:r>
      </w:hyperlink>
      <w:r w:rsidRPr="00E1708A">
        <w:rPr>
          <w:rStyle w:val="TextoNormalCaracter"/>
        </w:rPr>
        <w:t xml:space="preserve">, f. único; </w:t>
      </w:r>
      <w:hyperlink w:anchor="AUTO_2023_546" w:history="1">
        <w:r w:rsidRPr="00E1708A">
          <w:rPr>
            <w:rStyle w:val="TextoNormalCaracter"/>
          </w:rPr>
          <w:t>546/2023</w:t>
        </w:r>
      </w:hyperlink>
      <w:r w:rsidRPr="00E1708A">
        <w:rPr>
          <w:rStyle w:val="TextoNormalCaracter"/>
        </w:rPr>
        <w:t xml:space="preserve">, f. único; </w:t>
      </w:r>
      <w:hyperlink w:anchor="AUTO_2023_547" w:history="1">
        <w:r w:rsidRPr="00E1708A">
          <w:rPr>
            <w:rStyle w:val="TextoNormalCaracter"/>
          </w:rPr>
          <w:t>547/2023</w:t>
        </w:r>
      </w:hyperlink>
      <w:r w:rsidRPr="00E1708A">
        <w:rPr>
          <w:rStyle w:val="TextoNormalCaracter"/>
        </w:rPr>
        <w:t xml:space="preserve">, f. único; </w:t>
      </w:r>
      <w:hyperlink w:anchor="AUTO_2023_548" w:history="1">
        <w:r w:rsidRPr="00E1708A">
          <w:rPr>
            <w:rStyle w:val="TextoNormalCaracter"/>
          </w:rPr>
          <w:t>548/2023</w:t>
        </w:r>
      </w:hyperlink>
      <w:r w:rsidRPr="00E1708A">
        <w:rPr>
          <w:rStyle w:val="TextoNormalCaracter"/>
        </w:rPr>
        <w:t xml:space="preserve">, f. único; </w:t>
      </w:r>
      <w:hyperlink w:anchor="AUTO_2023_549" w:history="1">
        <w:r w:rsidRPr="00E1708A">
          <w:rPr>
            <w:rStyle w:val="TextoNormalCaracter"/>
          </w:rPr>
          <w:t>549/2023</w:t>
        </w:r>
      </w:hyperlink>
      <w:r w:rsidRPr="00E1708A">
        <w:rPr>
          <w:rStyle w:val="TextoNormalCaracter"/>
        </w:rPr>
        <w:t xml:space="preserve">, f. único; </w:t>
      </w:r>
      <w:hyperlink w:anchor="AUTO_2023_550" w:history="1">
        <w:r w:rsidRPr="00E1708A">
          <w:rPr>
            <w:rStyle w:val="TextoNormalCaracter"/>
          </w:rPr>
          <w:t>550/2023</w:t>
        </w:r>
      </w:hyperlink>
      <w:r w:rsidRPr="00E1708A">
        <w:rPr>
          <w:rStyle w:val="TextoNormalCaracter"/>
        </w:rPr>
        <w:t xml:space="preserve">, f. único; </w:t>
      </w:r>
      <w:hyperlink w:anchor="AUTO_2023_551" w:history="1">
        <w:r w:rsidRPr="00E1708A">
          <w:rPr>
            <w:rStyle w:val="TextoNormalCaracter"/>
          </w:rPr>
          <w:t>551/2023</w:t>
        </w:r>
      </w:hyperlink>
      <w:r w:rsidRPr="00E1708A">
        <w:rPr>
          <w:rStyle w:val="TextoNormalCaracter"/>
        </w:rPr>
        <w:t xml:space="preserve">, f. único; </w:t>
      </w:r>
      <w:hyperlink w:anchor="AUTO_2023_552" w:history="1">
        <w:r w:rsidRPr="00E1708A">
          <w:rPr>
            <w:rStyle w:val="TextoNormalCaracter"/>
          </w:rPr>
          <w:t>552/2023</w:t>
        </w:r>
      </w:hyperlink>
      <w:r w:rsidRPr="00E1708A">
        <w:rPr>
          <w:rStyle w:val="TextoNormalCaracter"/>
        </w:rPr>
        <w:t xml:space="preserve">, f. único; </w:t>
      </w:r>
      <w:hyperlink w:anchor="AUTO_2023_553" w:history="1">
        <w:r w:rsidRPr="00E1708A">
          <w:rPr>
            <w:rStyle w:val="TextoNormalCaracter"/>
          </w:rPr>
          <w:t>553/2023</w:t>
        </w:r>
      </w:hyperlink>
      <w:r w:rsidRPr="00E1708A">
        <w:rPr>
          <w:rStyle w:val="TextoNormalCaracter"/>
        </w:rPr>
        <w:t xml:space="preserve">, f. único; </w:t>
      </w:r>
      <w:hyperlink w:anchor="AUTO_2023_554" w:history="1">
        <w:r w:rsidRPr="00E1708A">
          <w:rPr>
            <w:rStyle w:val="TextoNormalCaracter"/>
          </w:rPr>
          <w:t>554/2023</w:t>
        </w:r>
      </w:hyperlink>
      <w:r w:rsidRPr="00E1708A">
        <w:rPr>
          <w:rStyle w:val="TextoNormalCaracter"/>
        </w:rPr>
        <w:t xml:space="preserve">, f. único; </w:t>
      </w:r>
      <w:hyperlink w:anchor="AUTO_2023_555" w:history="1">
        <w:r w:rsidRPr="00E1708A">
          <w:rPr>
            <w:rStyle w:val="TextoNormalCaracter"/>
          </w:rPr>
          <w:t>555/2023</w:t>
        </w:r>
      </w:hyperlink>
      <w:r w:rsidRPr="00E1708A">
        <w:rPr>
          <w:rStyle w:val="TextoNormalCaracter"/>
        </w:rPr>
        <w:t xml:space="preserve">, f. único; </w:t>
      </w:r>
      <w:hyperlink w:anchor="AUTO_2023_556" w:history="1">
        <w:r w:rsidRPr="00E1708A">
          <w:rPr>
            <w:rStyle w:val="TextoNormalCaracter"/>
          </w:rPr>
          <w:t>556/2023</w:t>
        </w:r>
      </w:hyperlink>
      <w:r w:rsidRPr="00E1708A">
        <w:rPr>
          <w:rStyle w:val="TextoNormalCaracter"/>
        </w:rPr>
        <w:t xml:space="preserve">, f. único; </w:t>
      </w:r>
      <w:hyperlink w:anchor="AUTO_2023_557" w:history="1">
        <w:r w:rsidRPr="00E1708A">
          <w:rPr>
            <w:rStyle w:val="TextoNormalCaracter"/>
          </w:rPr>
          <w:t>557/2023</w:t>
        </w:r>
      </w:hyperlink>
      <w:r w:rsidRPr="00E1708A">
        <w:rPr>
          <w:rStyle w:val="TextoNormalCaracter"/>
        </w:rPr>
        <w:t xml:space="preserve">, f. único; </w:t>
      </w:r>
      <w:hyperlink w:anchor="AUTO_2023_558" w:history="1">
        <w:r w:rsidRPr="00E1708A">
          <w:rPr>
            <w:rStyle w:val="TextoNormalCaracter"/>
          </w:rPr>
          <w:t>558/2023</w:t>
        </w:r>
      </w:hyperlink>
      <w:r w:rsidRPr="00E1708A">
        <w:rPr>
          <w:rStyle w:val="TextoNormalCaracter"/>
        </w:rPr>
        <w:t xml:space="preserve">, f. único; </w:t>
      </w:r>
      <w:hyperlink w:anchor="AUTO_2023_559" w:history="1">
        <w:r w:rsidRPr="00E1708A">
          <w:rPr>
            <w:rStyle w:val="TextoNormalCaracter"/>
          </w:rPr>
          <w:t>559/2023</w:t>
        </w:r>
      </w:hyperlink>
      <w:r w:rsidRPr="00E1708A">
        <w:rPr>
          <w:rStyle w:val="TextoNormalCaracter"/>
        </w:rPr>
        <w:t xml:space="preserve">, f. único; </w:t>
      </w:r>
      <w:hyperlink w:anchor="AUTO_2023_560" w:history="1">
        <w:r w:rsidRPr="00E1708A">
          <w:rPr>
            <w:rStyle w:val="TextoNormalCaracter"/>
          </w:rPr>
          <w:t>560/2023</w:t>
        </w:r>
      </w:hyperlink>
      <w:r w:rsidRPr="00E1708A">
        <w:rPr>
          <w:rStyle w:val="TextoNormalCaracter"/>
        </w:rPr>
        <w:t xml:space="preserve">; </w:t>
      </w:r>
      <w:hyperlink w:anchor="AUTO_2023_561" w:history="1">
        <w:r w:rsidRPr="00E1708A">
          <w:rPr>
            <w:rStyle w:val="TextoNormalCaracter"/>
          </w:rPr>
          <w:t>561/2023</w:t>
        </w:r>
      </w:hyperlink>
      <w:r w:rsidRPr="00E1708A">
        <w:rPr>
          <w:rStyle w:val="TextoNormalCaracter"/>
        </w:rPr>
        <w:t xml:space="preserve">, f. único; </w:t>
      </w:r>
      <w:hyperlink w:anchor="AUTO_2023_562" w:history="1">
        <w:r w:rsidRPr="00E1708A">
          <w:rPr>
            <w:rStyle w:val="TextoNormalCaracter"/>
          </w:rPr>
          <w:t>562/2023</w:t>
        </w:r>
      </w:hyperlink>
      <w:r w:rsidRPr="00E1708A">
        <w:rPr>
          <w:rStyle w:val="TextoNormalCaracter"/>
        </w:rPr>
        <w:t xml:space="preserve">, f. único; </w:t>
      </w:r>
      <w:hyperlink w:anchor="AUTO_2023_563" w:history="1">
        <w:r w:rsidRPr="00E1708A">
          <w:rPr>
            <w:rStyle w:val="TextoNormalCaracter"/>
          </w:rPr>
          <w:t>563/2023</w:t>
        </w:r>
      </w:hyperlink>
      <w:r w:rsidRPr="00E1708A">
        <w:rPr>
          <w:rStyle w:val="TextoNormalCaracter"/>
        </w:rPr>
        <w:t xml:space="preserve">, f. único; </w:t>
      </w:r>
      <w:hyperlink w:anchor="AUTO_2023_564" w:history="1">
        <w:r w:rsidRPr="00E1708A">
          <w:rPr>
            <w:rStyle w:val="TextoNormalCaracter"/>
          </w:rPr>
          <w:t>564/2023</w:t>
        </w:r>
      </w:hyperlink>
      <w:r w:rsidRPr="00E1708A">
        <w:rPr>
          <w:rStyle w:val="TextoNormalCaracter"/>
        </w:rPr>
        <w:t xml:space="preserve">, f. único; </w:t>
      </w:r>
      <w:hyperlink w:anchor="AUTO_2023_565" w:history="1">
        <w:r w:rsidRPr="00E1708A">
          <w:rPr>
            <w:rStyle w:val="TextoNormalCaracter"/>
          </w:rPr>
          <w:t>565/2023</w:t>
        </w:r>
      </w:hyperlink>
      <w:r w:rsidRPr="00E1708A">
        <w:rPr>
          <w:rStyle w:val="TextoNormalCaracter"/>
        </w:rPr>
        <w:t xml:space="preserve">, f. único; </w:t>
      </w:r>
      <w:hyperlink w:anchor="AUTO_2023_566" w:history="1">
        <w:r w:rsidRPr="00E1708A">
          <w:rPr>
            <w:rStyle w:val="TextoNormalCaracter"/>
          </w:rPr>
          <w:t>566/2023</w:t>
        </w:r>
      </w:hyperlink>
      <w:r w:rsidRPr="00E1708A">
        <w:rPr>
          <w:rStyle w:val="TextoNormalCaracter"/>
        </w:rPr>
        <w:t xml:space="preserve">, f. único; </w:t>
      </w:r>
      <w:hyperlink w:anchor="AUTO_2023_567" w:history="1">
        <w:r w:rsidRPr="00E1708A">
          <w:rPr>
            <w:rStyle w:val="TextoNormalCaracter"/>
          </w:rPr>
          <w:t>567/2023</w:t>
        </w:r>
      </w:hyperlink>
      <w:r w:rsidRPr="00E1708A">
        <w:rPr>
          <w:rStyle w:val="TextoNormalCaracter"/>
        </w:rPr>
        <w:t xml:space="preserve">, f. único; </w:t>
      </w:r>
      <w:hyperlink w:anchor="AUTO_2023_568" w:history="1">
        <w:r w:rsidRPr="00E1708A">
          <w:rPr>
            <w:rStyle w:val="TextoNormalCaracter"/>
          </w:rPr>
          <w:t>568/2023</w:t>
        </w:r>
      </w:hyperlink>
      <w:r w:rsidRPr="00E1708A">
        <w:rPr>
          <w:rStyle w:val="TextoNormalCaracter"/>
        </w:rPr>
        <w:t xml:space="preserve">, f. único; </w:t>
      </w:r>
      <w:hyperlink w:anchor="AUTO_2023_569" w:history="1">
        <w:r w:rsidRPr="00E1708A">
          <w:rPr>
            <w:rStyle w:val="TextoNormalCaracter"/>
          </w:rPr>
          <w:t>569/2023</w:t>
        </w:r>
      </w:hyperlink>
      <w:r w:rsidRPr="00E1708A">
        <w:rPr>
          <w:rStyle w:val="TextoNormalCaracter"/>
        </w:rPr>
        <w:t xml:space="preserve">, f. único; </w:t>
      </w:r>
      <w:hyperlink w:anchor="AUTO_2023_570" w:history="1">
        <w:r w:rsidRPr="00E1708A">
          <w:rPr>
            <w:rStyle w:val="TextoNormalCaracter"/>
          </w:rPr>
          <w:t>570/2023</w:t>
        </w:r>
      </w:hyperlink>
      <w:r w:rsidRPr="00E1708A">
        <w:rPr>
          <w:rStyle w:val="TextoNormalCaracter"/>
        </w:rPr>
        <w:t xml:space="preserve">, f. único; </w:t>
      </w:r>
      <w:hyperlink w:anchor="AUTO_2023_571" w:history="1">
        <w:r w:rsidRPr="00E1708A">
          <w:rPr>
            <w:rStyle w:val="TextoNormalCaracter"/>
          </w:rPr>
          <w:t>571/2023</w:t>
        </w:r>
      </w:hyperlink>
      <w:r w:rsidRPr="00E1708A">
        <w:rPr>
          <w:rStyle w:val="TextoNormalCaracter"/>
        </w:rPr>
        <w:t xml:space="preserve">, f. único; </w:t>
      </w:r>
      <w:hyperlink w:anchor="AUTO_2023_572" w:history="1">
        <w:r w:rsidRPr="00E1708A">
          <w:rPr>
            <w:rStyle w:val="TextoNormalCaracter"/>
          </w:rPr>
          <w:t>572/2023</w:t>
        </w:r>
      </w:hyperlink>
      <w:r w:rsidRPr="00E1708A">
        <w:rPr>
          <w:rStyle w:val="TextoNormalCaracter"/>
        </w:rPr>
        <w:t xml:space="preserve">, f. único; </w:t>
      </w:r>
      <w:hyperlink w:anchor="AUTO_2023_573" w:history="1">
        <w:r w:rsidRPr="00E1708A">
          <w:rPr>
            <w:rStyle w:val="TextoNormalCaracter"/>
          </w:rPr>
          <w:t>573/2023</w:t>
        </w:r>
      </w:hyperlink>
      <w:r w:rsidRPr="00E1708A">
        <w:rPr>
          <w:rStyle w:val="TextoNormalCaracter"/>
        </w:rPr>
        <w:t xml:space="preserve">, f. único; </w:t>
      </w:r>
      <w:hyperlink w:anchor="AUTO_2023_574" w:history="1">
        <w:r w:rsidRPr="00E1708A">
          <w:rPr>
            <w:rStyle w:val="TextoNormalCaracter"/>
          </w:rPr>
          <w:t>574/2023</w:t>
        </w:r>
      </w:hyperlink>
      <w:r w:rsidRPr="00E1708A">
        <w:rPr>
          <w:rStyle w:val="TextoNormalCaracter"/>
        </w:rPr>
        <w:t xml:space="preserve">, f. único; </w:t>
      </w:r>
      <w:hyperlink w:anchor="AUTO_2023_575" w:history="1">
        <w:r w:rsidRPr="00E1708A">
          <w:rPr>
            <w:rStyle w:val="TextoNormalCaracter"/>
          </w:rPr>
          <w:t>575/2023</w:t>
        </w:r>
      </w:hyperlink>
      <w:r w:rsidRPr="00E1708A">
        <w:rPr>
          <w:rStyle w:val="TextoNormalCaracter"/>
        </w:rPr>
        <w:t xml:space="preserve">, f. único; </w:t>
      </w:r>
      <w:hyperlink w:anchor="AUTO_2023_576" w:history="1">
        <w:r w:rsidRPr="00E1708A">
          <w:rPr>
            <w:rStyle w:val="TextoNormalCaracter"/>
          </w:rPr>
          <w:t>576/2023</w:t>
        </w:r>
      </w:hyperlink>
      <w:r w:rsidRPr="00E1708A">
        <w:rPr>
          <w:rStyle w:val="TextoNormalCaracter"/>
        </w:rPr>
        <w:t xml:space="preserve">, f. único; </w:t>
      </w:r>
      <w:hyperlink w:anchor="AUTO_2023_577" w:history="1">
        <w:r w:rsidRPr="00E1708A">
          <w:rPr>
            <w:rStyle w:val="TextoNormalCaracter"/>
          </w:rPr>
          <w:t>577/2023</w:t>
        </w:r>
      </w:hyperlink>
      <w:r w:rsidRPr="00E1708A">
        <w:rPr>
          <w:rStyle w:val="TextoNormalCaracter"/>
        </w:rPr>
        <w:t xml:space="preserve">, f. único; </w:t>
      </w:r>
      <w:hyperlink w:anchor="AUTO_2023_578" w:history="1">
        <w:r w:rsidRPr="00E1708A">
          <w:rPr>
            <w:rStyle w:val="TextoNormalCaracter"/>
          </w:rPr>
          <w:t>578/2023</w:t>
        </w:r>
      </w:hyperlink>
      <w:r w:rsidRPr="00E1708A">
        <w:rPr>
          <w:rStyle w:val="TextoNormalCaracter"/>
        </w:rPr>
        <w:t xml:space="preserve">, f. único; </w:t>
      </w:r>
      <w:hyperlink w:anchor="AUTO_2023_579" w:history="1">
        <w:r w:rsidRPr="00E1708A">
          <w:rPr>
            <w:rStyle w:val="TextoNormalCaracter"/>
          </w:rPr>
          <w:t>579/2023</w:t>
        </w:r>
      </w:hyperlink>
      <w:r w:rsidRPr="00E1708A">
        <w:rPr>
          <w:rStyle w:val="TextoNormalCaracter"/>
        </w:rPr>
        <w:t xml:space="preserve">, f. único; </w:t>
      </w:r>
      <w:hyperlink w:anchor="AUTO_2023_580" w:history="1">
        <w:r w:rsidRPr="00E1708A">
          <w:rPr>
            <w:rStyle w:val="TextoNormalCaracter"/>
          </w:rPr>
          <w:t>580/2023</w:t>
        </w:r>
      </w:hyperlink>
      <w:r w:rsidRPr="00E1708A">
        <w:rPr>
          <w:rStyle w:val="TextoNormalCaracter"/>
        </w:rPr>
        <w:t xml:space="preserve">, f. único; </w:t>
      </w:r>
      <w:hyperlink w:anchor="AUTO_2023_581" w:history="1">
        <w:r w:rsidRPr="00E1708A">
          <w:rPr>
            <w:rStyle w:val="TextoNormalCaracter"/>
          </w:rPr>
          <w:t>581/2023</w:t>
        </w:r>
      </w:hyperlink>
      <w:r w:rsidRPr="00E1708A">
        <w:rPr>
          <w:rStyle w:val="TextoNormalCaracter"/>
        </w:rPr>
        <w:t xml:space="preserve">, f. único; </w:t>
      </w:r>
      <w:hyperlink w:anchor="AUTO_2023_582" w:history="1">
        <w:r w:rsidRPr="00E1708A">
          <w:rPr>
            <w:rStyle w:val="TextoNormalCaracter"/>
          </w:rPr>
          <w:t>582/2023</w:t>
        </w:r>
      </w:hyperlink>
      <w:r w:rsidRPr="00E1708A">
        <w:rPr>
          <w:rStyle w:val="TextoNormalCaracter"/>
        </w:rPr>
        <w:t xml:space="preserve">, f. único; </w:t>
      </w:r>
      <w:hyperlink w:anchor="AUTO_2023_583" w:history="1">
        <w:r w:rsidRPr="00E1708A">
          <w:rPr>
            <w:rStyle w:val="TextoNormalCaracter"/>
          </w:rPr>
          <w:t>583/2023</w:t>
        </w:r>
      </w:hyperlink>
      <w:r w:rsidRPr="00E1708A">
        <w:rPr>
          <w:rStyle w:val="TextoNormalCaracter"/>
        </w:rPr>
        <w:t xml:space="preserve">, f. único; </w:t>
      </w:r>
      <w:hyperlink w:anchor="AUTO_2023_584" w:history="1">
        <w:r w:rsidRPr="00E1708A">
          <w:rPr>
            <w:rStyle w:val="TextoNormalCaracter"/>
          </w:rPr>
          <w:t>584/2023</w:t>
        </w:r>
      </w:hyperlink>
      <w:r w:rsidRPr="00E1708A">
        <w:rPr>
          <w:rStyle w:val="TextoNormalCaracter"/>
        </w:rPr>
        <w:t xml:space="preserve">, f. único; </w:t>
      </w:r>
      <w:hyperlink w:anchor="AUTO_2023_585" w:history="1">
        <w:r w:rsidRPr="00E1708A">
          <w:rPr>
            <w:rStyle w:val="TextoNormalCaracter"/>
          </w:rPr>
          <w:t>585/2023</w:t>
        </w:r>
      </w:hyperlink>
      <w:r w:rsidRPr="00E1708A">
        <w:rPr>
          <w:rStyle w:val="TextoNormalCaracter"/>
        </w:rPr>
        <w:t xml:space="preserve">, f. único; </w:t>
      </w:r>
      <w:hyperlink w:anchor="AUTO_2023_586" w:history="1">
        <w:r w:rsidRPr="00E1708A">
          <w:rPr>
            <w:rStyle w:val="TextoNormalCaracter"/>
          </w:rPr>
          <w:t>586/2023</w:t>
        </w:r>
      </w:hyperlink>
      <w:r w:rsidRPr="00E1708A">
        <w:rPr>
          <w:rStyle w:val="TextoNormalCaracter"/>
        </w:rPr>
        <w:t xml:space="preserve">, f. único; </w:t>
      </w:r>
      <w:hyperlink w:anchor="AUTO_2023_587" w:history="1">
        <w:r w:rsidRPr="00E1708A">
          <w:rPr>
            <w:rStyle w:val="TextoNormalCaracter"/>
          </w:rPr>
          <w:t>587/2023</w:t>
        </w:r>
      </w:hyperlink>
      <w:r w:rsidRPr="00E1708A">
        <w:rPr>
          <w:rStyle w:val="TextoNormalCaracter"/>
        </w:rPr>
        <w:t xml:space="preserve">, f. único; </w:t>
      </w:r>
      <w:hyperlink w:anchor="AUTO_2023_588" w:history="1">
        <w:r w:rsidRPr="00E1708A">
          <w:rPr>
            <w:rStyle w:val="TextoNormalCaracter"/>
          </w:rPr>
          <w:t>588/2023</w:t>
        </w:r>
      </w:hyperlink>
      <w:r w:rsidRPr="00E1708A">
        <w:rPr>
          <w:rStyle w:val="TextoNormalCaracter"/>
        </w:rPr>
        <w:t xml:space="preserve">, f. único; </w:t>
      </w:r>
      <w:hyperlink w:anchor="AUTO_2023_589" w:history="1">
        <w:r w:rsidRPr="00E1708A">
          <w:rPr>
            <w:rStyle w:val="TextoNormalCaracter"/>
          </w:rPr>
          <w:t>589/2023</w:t>
        </w:r>
      </w:hyperlink>
      <w:r w:rsidRPr="00E1708A">
        <w:rPr>
          <w:rStyle w:val="TextoNormalCaracter"/>
        </w:rPr>
        <w:t xml:space="preserve">, f. único; </w:t>
      </w:r>
      <w:hyperlink w:anchor="AUTO_2023_590" w:history="1">
        <w:r w:rsidRPr="00E1708A">
          <w:rPr>
            <w:rStyle w:val="TextoNormalCaracter"/>
          </w:rPr>
          <w:t>590/2023</w:t>
        </w:r>
      </w:hyperlink>
      <w:r w:rsidRPr="00E1708A">
        <w:rPr>
          <w:rStyle w:val="TextoNormalCaracter"/>
        </w:rPr>
        <w:t xml:space="preserve">, f. único; </w:t>
      </w:r>
      <w:hyperlink w:anchor="AUTO_2023_591" w:history="1">
        <w:r w:rsidRPr="00E1708A">
          <w:rPr>
            <w:rStyle w:val="TextoNormalCaracter"/>
          </w:rPr>
          <w:t>591/2023</w:t>
        </w:r>
      </w:hyperlink>
      <w:r w:rsidRPr="00E1708A">
        <w:rPr>
          <w:rStyle w:val="TextoNormalCaracter"/>
        </w:rPr>
        <w:t xml:space="preserve">, f. único; </w:t>
      </w:r>
      <w:hyperlink w:anchor="AUTO_2023_592" w:history="1">
        <w:r w:rsidRPr="00E1708A">
          <w:rPr>
            <w:rStyle w:val="TextoNormalCaracter"/>
          </w:rPr>
          <w:t>592/2023</w:t>
        </w:r>
      </w:hyperlink>
      <w:r w:rsidRPr="00E1708A">
        <w:rPr>
          <w:rStyle w:val="TextoNormalCaracter"/>
        </w:rPr>
        <w:t xml:space="preserve">, f. único; </w:t>
      </w:r>
      <w:hyperlink w:anchor="AUTO_2023_593" w:history="1">
        <w:r w:rsidRPr="00E1708A">
          <w:rPr>
            <w:rStyle w:val="TextoNormalCaracter"/>
          </w:rPr>
          <w:t>593/2023</w:t>
        </w:r>
      </w:hyperlink>
      <w:r w:rsidRPr="00E1708A">
        <w:rPr>
          <w:rStyle w:val="TextoNormalCaracter"/>
        </w:rPr>
        <w:t xml:space="preserve">, f. único; </w:t>
      </w:r>
      <w:hyperlink w:anchor="AUTO_2023_594" w:history="1">
        <w:r w:rsidRPr="00E1708A">
          <w:rPr>
            <w:rStyle w:val="TextoNormalCaracter"/>
          </w:rPr>
          <w:t>594/2023</w:t>
        </w:r>
      </w:hyperlink>
      <w:r w:rsidRPr="00E1708A">
        <w:rPr>
          <w:rStyle w:val="TextoNormalCaracter"/>
        </w:rPr>
        <w:t xml:space="preserve">, f. único; </w:t>
      </w:r>
      <w:hyperlink w:anchor="AUTO_2023_595" w:history="1">
        <w:r w:rsidRPr="00E1708A">
          <w:rPr>
            <w:rStyle w:val="TextoNormalCaracter"/>
          </w:rPr>
          <w:t>595/2023</w:t>
        </w:r>
      </w:hyperlink>
      <w:r w:rsidRPr="00E1708A">
        <w:rPr>
          <w:rStyle w:val="TextoNormalCaracter"/>
        </w:rPr>
        <w:t xml:space="preserve">, f. único; </w:t>
      </w:r>
      <w:hyperlink w:anchor="AUTO_2023_596" w:history="1">
        <w:r w:rsidRPr="00E1708A">
          <w:rPr>
            <w:rStyle w:val="TextoNormalCaracter"/>
          </w:rPr>
          <w:t>596/2023</w:t>
        </w:r>
      </w:hyperlink>
      <w:r w:rsidRPr="00E1708A">
        <w:rPr>
          <w:rStyle w:val="TextoNormalCaracter"/>
        </w:rPr>
        <w:t xml:space="preserve">, f. único; </w:t>
      </w:r>
      <w:hyperlink w:anchor="AUTO_2023_597" w:history="1">
        <w:r w:rsidRPr="00E1708A">
          <w:rPr>
            <w:rStyle w:val="TextoNormalCaracter"/>
          </w:rPr>
          <w:t>597/2023</w:t>
        </w:r>
      </w:hyperlink>
      <w:r w:rsidRPr="00E1708A">
        <w:rPr>
          <w:rStyle w:val="TextoNormalCaracter"/>
        </w:rPr>
        <w:t xml:space="preserve">, f. único; </w:t>
      </w:r>
      <w:hyperlink w:anchor="AUTO_2023_605" w:history="1">
        <w:r w:rsidRPr="00E1708A">
          <w:rPr>
            <w:rStyle w:val="TextoNormalCaracter"/>
          </w:rPr>
          <w:t>605/2023</w:t>
        </w:r>
      </w:hyperlink>
      <w:r w:rsidRPr="00E1708A">
        <w:rPr>
          <w:rStyle w:val="TextoNormalCaracter"/>
        </w:rPr>
        <w:t xml:space="preserve">, f. único; </w:t>
      </w:r>
      <w:hyperlink w:anchor="AUTO_2023_606" w:history="1">
        <w:r w:rsidRPr="00E1708A">
          <w:rPr>
            <w:rStyle w:val="TextoNormalCaracter"/>
          </w:rPr>
          <w:t>606/2023</w:t>
        </w:r>
      </w:hyperlink>
      <w:r w:rsidRPr="00E1708A">
        <w:rPr>
          <w:rStyle w:val="TextoNormalCaracter"/>
        </w:rPr>
        <w:t xml:space="preserve">, f. único; </w:t>
      </w:r>
      <w:hyperlink w:anchor="AUTO_2023_607" w:history="1">
        <w:r w:rsidRPr="00E1708A">
          <w:rPr>
            <w:rStyle w:val="TextoNormalCaracter"/>
          </w:rPr>
          <w:t>607/2023</w:t>
        </w:r>
      </w:hyperlink>
      <w:r w:rsidRPr="00E1708A">
        <w:rPr>
          <w:rStyle w:val="TextoNormalCaracter"/>
        </w:rPr>
        <w:t xml:space="preserve">, f. único; </w:t>
      </w:r>
      <w:hyperlink w:anchor="AUTO_2023_608" w:history="1">
        <w:r w:rsidRPr="00E1708A">
          <w:rPr>
            <w:rStyle w:val="TextoNormalCaracter"/>
          </w:rPr>
          <w:t>608/2023</w:t>
        </w:r>
      </w:hyperlink>
      <w:r w:rsidRPr="00E1708A">
        <w:rPr>
          <w:rStyle w:val="TextoNormalCaracter"/>
        </w:rPr>
        <w:t xml:space="preserve">, f. único; </w:t>
      </w:r>
      <w:hyperlink w:anchor="AUTO_2023_609" w:history="1">
        <w:r w:rsidRPr="00E1708A">
          <w:rPr>
            <w:rStyle w:val="TextoNormalCaracter"/>
          </w:rPr>
          <w:t>609/2023</w:t>
        </w:r>
      </w:hyperlink>
      <w:r w:rsidRPr="00E1708A">
        <w:rPr>
          <w:rStyle w:val="TextoNormalCaracter"/>
        </w:rPr>
        <w:t xml:space="preserve">, f. único; </w:t>
      </w:r>
      <w:hyperlink w:anchor="AUTO_2023_610" w:history="1">
        <w:r w:rsidRPr="00E1708A">
          <w:rPr>
            <w:rStyle w:val="TextoNormalCaracter"/>
          </w:rPr>
          <w:t>610/2023</w:t>
        </w:r>
      </w:hyperlink>
      <w:r w:rsidRPr="00E1708A">
        <w:rPr>
          <w:rStyle w:val="TextoNormalCaracter"/>
        </w:rPr>
        <w:t xml:space="preserve">, f. único; </w:t>
      </w:r>
      <w:hyperlink w:anchor="AUTO_2023_611" w:history="1">
        <w:r w:rsidRPr="00E1708A">
          <w:rPr>
            <w:rStyle w:val="TextoNormalCaracter"/>
          </w:rPr>
          <w:t>611/2023</w:t>
        </w:r>
      </w:hyperlink>
      <w:r w:rsidRPr="00E1708A">
        <w:rPr>
          <w:rStyle w:val="TextoNormalCaracter"/>
        </w:rPr>
        <w:t xml:space="preserve">, f. único; </w:t>
      </w:r>
      <w:hyperlink w:anchor="AUTO_2023_612" w:history="1">
        <w:r w:rsidRPr="00E1708A">
          <w:rPr>
            <w:rStyle w:val="TextoNormalCaracter"/>
          </w:rPr>
          <w:t>612/2023</w:t>
        </w:r>
      </w:hyperlink>
      <w:r w:rsidRPr="00E1708A">
        <w:rPr>
          <w:rStyle w:val="TextoNormalCaracter"/>
        </w:rPr>
        <w:t xml:space="preserve">, f. único; </w:t>
      </w:r>
      <w:hyperlink w:anchor="AUTO_2023_613" w:history="1">
        <w:r w:rsidRPr="00E1708A">
          <w:rPr>
            <w:rStyle w:val="TextoNormalCaracter"/>
          </w:rPr>
          <w:t>613/2023</w:t>
        </w:r>
      </w:hyperlink>
      <w:r w:rsidRPr="00E1708A">
        <w:rPr>
          <w:rStyle w:val="TextoNormalCaracter"/>
        </w:rPr>
        <w:t xml:space="preserve">, f. único; </w:t>
      </w:r>
      <w:hyperlink w:anchor="AUTO_2023_614" w:history="1">
        <w:r w:rsidRPr="00E1708A">
          <w:rPr>
            <w:rStyle w:val="TextoNormalCaracter"/>
          </w:rPr>
          <w:t>614/2023</w:t>
        </w:r>
      </w:hyperlink>
      <w:r w:rsidRPr="00E1708A">
        <w:rPr>
          <w:rStyle w:val="TextoNormalCaracter"/>
        </w:rPr>
        <w:t xml:space="preserve">, f. único; </w:t>
      </w:r>
      <w:hyperlink w:anchor="AUTO_2023_615" w:history="1">
        <w:r w:rsidRPr="00E1708A">
          <w:rPr>
            <w:rStyle w:val="TextoNormalCaracter"/>
          </w:rPr>
          <w:t>615/2023</w:t>
        </w:r>
      </w:hyperlink>
      <w:r w:rsidRPr="00E1708A">
        <w:rPr>
          <w:rStyle w:val="TextoNormalCaracter"/>
        </w:rPr>
        <w:t xml:space="preserve">, f. único; </w:t>
      </w:r>
      <w:hyperlink w:anchor="AUTO_2023_616" w:history="1">
        <w:r w:rsidRPr="00E1708A">
          <w:rPr>
            <w:rStyle w:val="TextoNormalCaracter"/>
          </w:rPr>
          <w:t>616/2023</w:t>
        </w:r>
      </w:hyperlink>
      <w:r w:rsidRPr="00E1708A">
        <w:rPr>
          <w:rStyle w:val="TextoNormalCaracter"/>
        </w:rPr>
        <w:t xml:space="preserve">, f. único; </w:t>
      </w:r>
      <w:hyperlink w:anchor="AUTO_2023_617" w:history="1">
        <w:r w:rsidRPr="00E1708A">
          <w:rPr>
            <w:rStyle w:val="TextoNormalCaracter"/>
          </w:rPr>
          <w:t>617/2023</w:t>
        </w:r>
      </w:hyperlink>
      <w:r w:rsidRPr="00E1708A">
        <w:rPr>
          <w:rStyle w:val="TextoNormalCaracter"/>
        </w:rPr>
        <w:t xml:space="preserve">, f. único; </w:t>
      </w:r>
      <w:hyperlink w:anchor="AUTO_2023_618" w:history="1">
        <w:r w:rsidRPr="00E1708A">
          <w:rPr>
            <w:rStyle w:val="TextoNormalCaracter"/>
          </w:rPr>
          <w:t>618/2023</w:t>
        </w:r>
      </w:hyperlink>
      <w:r w:rsidRPr="00E1708A">
        <w:rPr>
          <w:rStyle w:val="TextoNormalCaracter"/>
        </w:rPr>
        <w:t xml:space="preserve">, f. único; </w:t>
      </w:r>
      <w:hyperlink w:anchor="AUTO_2023_619" w:history="1">
        <w:r w:rsidRPr="00E1708A">
          <w:rPr>
            <w:rStyle w:val="TextoNormalCaracter"/>
          </w:rPr>
          <w:t>619/2023</w:t>
        </w:r>
      </w:hyperlink>
      <w:r w:rsidRPr="00E1708A">
        <w:rPr>
          <w:rStyle w:val="TextoNormalCaracter"/>
        </w:rPr>
        <w:t xml:space="preserve">, f. único; </w:t>
      </w:r>
      <w:hyperlink w:anchor="AUTO_2023_620" w:history="1">
        <w:r w:rsidRPr="00E1708A">
          <w:rPr>
            <w:rStyle w:val="TextoNormalCaracter"/>
          </w:rPr>
          <w:t>620/2023</w:t>
        </w:r>
      </w:hyperlink>
      <w:r w:rsidRPr="00E1708A">
        <w:rPr>
          <w:rStyle w:val="TextoNormalCaracter"/>
        </w:rPr>
        <w:t xml:space="preserve">, f. único; </w:t>
      </w:r>
      <w:hyperlink w:anchor="AUTO_2023_621" w:history="1">
        <w:r w:rsidRPr="00E1708A">
          <w:rPr>
            <w:rStyle w:val="TextoNormalCaracter"/>
          </w:rPr>
          <w:t>621/2023</w:t>
        </w:r>
      </w:hyperlink>
      <w:r w:rsidRPr="00E1708A">
        <w:rPr>
          <w:rStyle w:val="TextoNormalCaracter"/>
        </w:rPr>
        <w:t xml:space="preserve">, f. único; </w:t>
      </w:r>
      <w:hyperlink w:anchor="AUTO_2023_622" w:history="1">
        <w:r w:rsidRPr="00E1708A">
          <w:rPr>
            <w:rStyle w:val="TextoNormalCaracter"/>
          </w:rPr>
          <w:t>622/2023</w:t>
        </w:r>
      </w:hyperlink>
      <w:r w:rsidRPr="00E1708A">
        <w:rPr>
          <w:rStyle w:val="TextoNormalCaracter"/>
        </w:rPr>
        <w:t xml:space="preserve">, f. único; </w:t>
      </w:r>
      <w:hyperlink w:anchor="AUTO_2023_623" w:history="1">
        <w:r w:rsidRPr="00E1708A">
          <w:rPr>
            <w:rStyle w:val="TextoNormalCaracter"/>
          </w:rPr>
          <w:t>623/2023</w:t>
        </w:r>
      </w:hyperlink>
      <w:r w:rsidRPr="00E1708A">
        <w:rPr>
          <w:rStyle w:val="TextoNormalCaracter"/>
        </w:rPr>
        <w:t xml:space="preserve">, f. único; </w:t>
      </w:r>
      <w:hyperlink w:anchor="AUTO_2023_624" w:history="1">
        <w:r w:rsidRPr="00E1708A">
          <w:rPr>
            <w:rStyle w:val="TextoNormalCaracter"/>
          </w:rPr>
          <w:t>624/2023</w:t>
        </w:r>
      </w:hyperlink>
      <w:r w:rsidRPr="00E1708A">
        <w:rPr>
          <w:rStyle w:val="TextoNormalCaracter"/>
        </w:rPr>
        <w:t xml:space="preserve">, f. único; </w:t>
      </w:r>
      <w:hyperlink w:anchor="AUTO_2023_625" w:history="1">
        <w:r w:rsidRPr="00E1708A">
          <w:rPr>
            <w:rStyle w:val="TextoNormalCaracter"/>
          </w:rPr>
          <w:t>625/2023</w:t>
        </w:r>
      </w:hyperlink>
      <w:r w:rsidRPr="00E1708A">
        <w:rPr>
          <w:rStyle w:val="TextoNormalCaracter"/>
        </w:rPr>
        <w:t xml:space="preserve">, f. único; </w:t>
      </w:r>
      <w:hyperlink w:anchor="AUTO_2023_626" w:history="1">
        <w:r w:rsidRPr="00E1708A">
          <w:rPr>
            <w:rStyle w:val="TextoNormalCaracter"/>
          </w:rPr>
          <w:t>626/2023</w:t>
        </w:r>
      </w:hyperlink>
      <w:r w:rsidRPr="00E1708A">
        <w:rPr>
          <w:rStyle w:val="TextoNormalCaracter"/>
        </w:rPr>
        <w:t xml:space="preserve">, f. único; </w:t>
      </w:r>
      <w:hyperlink w:anchor="AUTO_2023_627" w:history="1">
        <w:r w:rsidRPr="00E1708A">
          <w:rPr>
            <w:rStyle w:val="TextoNormalCaracter"/>
          </w:rPr>
          <w:t>627/2023</w:t>
        </w:r>
      </w:hyperlink>
      <w:r w:rsidRPr="00E1708A">
        <w:rPr>
          <w:rStyle w:val="TextoNormalCaracter"/>
        </w:rPr>
        <w:t xml:space="preserve">, f. único; </w:t>
      </w:r>
      <w:hyperlink w:anchor="AUTO_2023_628" w:history="1">
        <w:r w:rsidRPr="00E1708A">
          <w:rPr>
            <w:rStyle w:val="TextoNormalCaracter"/>
          </w:rPr>
          <w:t>628/2023</w:t>
        </w:r>
      </w:hyperlink>
      <w:r w:rsidRPr="00E1708A">
        <w:rPr>
          <w:rStyle w:val="TextoNormalCaracter"/>
        </w:rPr>
        <w:t xml:space="preserve">, f. único; </w:t>
      </w:r>
      <w:hyperlink w:anchor="AUTO_2023_629" w:history="1">
        <w:r w:rsidRPr="00E1708A">
          <w:rPr>
            <w:rStyle w:val="TextoNormalCaracter"/>
          </w:rPr>
          <w:t>629/2023</w:t>
        </w:r>
      </w:hyperlink>
      <w:r w:rsidRPr="00E1708A">
        <w:rPr>
          <w:rStyle w:val="TextoNormalCaracter"/>
        </w:rPr>
        <w:t xml:space="preserve">, f. único; </w:t>
      </w:r>
      <w:hyperlink w:anchor="AUTO_2023_630" w:history="1">
        <w:r w:rsidRPr="00E1708A">
          <w:rPr>
            <w:rStyle w:val="TextoNormalCaracter"/>
          </w:rPr>
          <w:t>630/2023</w:t>
        </w:r>
      </w:hyperlink>
      <w:r w:rsidRPr="00E1708A">
        <w:rPr>
          <w:rStyle w:val="TextoNormalCaracter"/>
        </w:rPr>
        <w:t xml:space="preserve">, f. único; </w:t>
      </w:r>
      <w:hyperlink w:anchor="AUTO_2023_631" w:history="1">
        <w:r w:rsidRPr="00E1708A">
          <w:rPr>
            <w:rStyle w:val="TextoNormalCaracter"/>
          </w:rPr>
          <w:t>631/2023</w:t>
        </w:r>
      </w:hyperlink>
      <w:r w:rsidRPr="00E1708A">
        <w:rPr>
          <w:rStyle w:val="TextoNormalCaracter"/>
        </w:rPr>
        <w:t xml:space="preserve">, f. único; </w:t>
      </w:r>
      <w:hyperlink w:anchor="AUTO_2023_632" w:history="1">
        <w:r w:rsidRPr="00E1708A">
          <w:rPr>
            <w:rStyle w:val="TextoNormalCaracter"/>
          </w:rPr>
          <w:t>632/2023</w:t>
        </w:r>
      </w:hyperlink>
      <w:r w:rsidRPr="00E1708A">
        <w:rPr>
          <w:rStyle w:val="TextoNormalCaracter"/>
        </w:rPr>
        <w:t xml:space="preserve">, f. único; </w:t>
      </w:r>
      <w:hyperlink w:anchor="AUTO_2023_633" w:history="1">
        <w:r w:rsidRPr="00E1708A">
          <w:rPr>
            <w:rStyle w:val="TextoNormalCaracter"/>
          </w:rPr>
          <w:t>633/2023</w:t>
        </w:r>
      </w:hyperlink>
      <w:r w:rsidRPr="00E1708A">
        <w:rPr>
          <w:rStyle w:val="TextoNormalCaracter"/>
        </w:rPr>
        <w:t xml:space="preserve">, f. único; </w:t>
      </w:r>
      <w:hyperlink w:anchor="AUTO_2023_634" w:history="1">
        <w:r w:rsidRPr="00E1708A">
          <w:rPr>
            <w:rStyle w:val="TextoNormalCaracter"/>
          </w:rPr>
          <w:t>634/2023</w:t>
        </w:r>
      </w:hyperlink>
      <w:r w:rsidRPr="00E1708A">
        <w:rPr>
          <w:rStyle w:val="TextoNormalCaracter"/>
        </w:rPr>
        <w:t xml:space="preserve">, f. único; </w:t>
      </w:r>
      <w:hyperlink w:anchor="AUTO_2023_635" w:history="1">
        <w:r w:rsidRPr="00E1708A">
          <w:rPr>
            <w:rStyle w:val="TextoNormalCaracter"/>
          </w:rPr>
          <w:t>635/2023</w:t>
        </w:r>
      </w:hyperlink>
      <w:r w:rsidRPr="00E1708A">
        <w:rPr>
          <w:rStyle w:val="TextoNormalCaracter"/>
        </w:rPr>
        <w:t xml:space="preserve">, f. único; </w:t>
      </w:r>
      <w:hyperlink w:anchor="AUTO_2023_636" w:history="1">
        <w:r w:rsidRPr="00E1708A">
          <w:rPr>
            <w:rStyle w:val="TextoNormalCaracter"/>
          </w:rPr>
          <w:t>636/2023</w:t>
        </w:r>
      </w:hyperlink>
      <w:r w:rsidRPr="00E1708A">
        <w:rPr>
          <w:rStyle w:val="TextoNormalCaracter"/>
        </w:rPr>
        <w:t xml:space="preserve">, f. único; </w:t>
      </w:r>
      <w:hyperlink w:anchor="AUTO_2023_637" w:history="1">
        <w:r w:rsidRPr="00E1708A">
          <w:rPr>
            <w:rStyle w:val="TextoNormalCaracter"/>
          </w:rPr>
          <w:t>637/2023</w:t>
        </w:r>
      </w:hyperlink>
      <w:r w:rsidRPr="00E1708A">
        <w:rPr>
          <w:rStyle w:val="TextoNormalCaracter"/>
        </w:rPr>
        <w:t xml:space="preserve">, f. único; </w:t>
      </w:r>
      <w:hyperlink w:anchor="AUTO_2023_638" w:history="1">
        <w:r w:rsidRPr="00E1708A">
          <w:rPr>
            <w:rStyle w:val="TextoNormalCaracter"/>
          </w:rPr>
          <w:t>638/2023</w:t>
        </w:r>
      </w:hyperlink>
      <w:r w:rsidRPr="00E1708A">
        <w:rPr>
          <w:rStyle w:val="TextoNormalCaracter"/>
        </w:rPr>
        <w:t xml:space="preserve">, f. único; </w:t>
      </w:r>
      <w:hyperlink w:anchor="AUTO_2023_639" w:history="1">
        <w:r w:rsidRPr="00E1708A">
          <w:rPr>
            <w:rStyle w:val="TextoNormalCaracter"/>
          </w:rPr>
          <w:t>639/2023</w:t>
        </w:r>
      </w:hyperlink>
      <w:r w:rsidRPr="00E1708A">
        <w:rPr>
          <w:rStyle w:val="TextoNormalCaracter"/>
        </w:rPr>
        <w:t xml:space="preserve">, f. único; </w:t>
      </w:r>
      <w:hyperlink w:anchor="AUTO_2023_640" w:history="1">
        <w:r w:rsidRPr="00E1708A">
          <w:rPr>
            <w:rStyle w:val="TextoNormalCaracter"/>
          </w:rPr>
          <w:t>640/2023</w:t>
        </w:r>
      </w:hyperlink>
      <w:r w:rsidRPr="00E1708A">
        <w:rPr>
          <w:rStyle w:val="TextoNormalCaracter"/>
        </w:rPr>
        <w:t xml:space="preserve">, f. único; </w:t>
      </w:r>
      <w:hyperlink w:anchor="AUTO_2023_641" w:history="1">
        <w:r w:rsidRPr="00E1708A">
          <w:rPr>
            <w:rStyle w:val="TextoNormalCaracter"/>
          </w:rPr>
          <w:t>641/2023</w:t>
        </w:r>
      </w:hyperlink>
      <w:r w:rsidRPr="00E1708A">
        <w:rPr>
          <w:rStyle w:val="TextoNormalCaracter"/>
        </w:rPr>
        <w:t xml:space="preserve">, f. único; </w:t>
      </w:r>
      <w:hyperlink w:anchor="AUTO_2023_642" w:history="1">
        <w:r w:rsidRPr="00E1708A">
          <w:rPr>
            <w:rStyle w:val="TextoNormalCaracter"/>
          </w:rPr>
          <w:t>642/2023</w:t>
        </w:r>
      </w:hyperlink>
      <w:r w:rsidRPr="00E1708A">
        <w:rPr>
          <w:rStyle w:val="TextoNormalCaracter"/>
        </w:rPr>
        <w:t xml:space="preserve">, f. único; </w:t>
      </w:r>
      <w:hyperlink w:anchor="AUTO_2023_643" w:history="1">
        <w:r w:rsidRPr="00E1708A">
          <w:rPr>
            <w:rStyle w:val="TextoNormalCaracter"/>
          </w:rPr>
          <w:t>643/2023</w:t>
        </w:r>
      </w:hyperlink>
      <w:r w:rsidRPr="00E1708A">
        <w:rPr>
          <w:rStyle w:val="TextoNormalCaracter"/>
        </w:rPr>
        <w:t xml:space="preserve">, f. único; </w:t>
      </w:r>
      <w:hyperlink w:anchor="AUTO_2023_644" w:history="1">
        <w:r w:rsidRPr="00E1708A">
          <w:rPr>
            <w:rStyle w:val="TextoNormalCaracter"/>
          </w:rPr>
          <w:t>644/2023</w:t>
        </w:r>
      </w:hyperlink>
      <w:r w:rsidRPr="00E1708A">
        <w:rPr>
          <w:rStyle w:val="TextoNormalCaracter"/>
        </w:rPr>
        <w:t xml:space="preserve">, f. único; </w:t>
      </w:r>
      <w:hyperlink w:anchor="AUTO_2023_645" w:history="1">
        <w:r w:rsidRPr="00E1708A">
          <w:rPr>
            <w:rStyle w:val="TextoNormalCaracter"/>
          </w:rPr>
          <w:t>645/2023</w:t>
        </w:r>
      </w:hyperlink>
      <w:r w:rsidRPr="00E1708A">
        <w:rPr>
          <w:rStyle w:val="TextoNormalCaracter"/>
        </w:rPr>
        <w:t xml:space="preserve">, f. único; </w:t>
      </w:r>
      <w:hyperlink w:anchor="AUTO_2023_646" w:history="1">
        <w:r w:rsidRPr="00E1708A">
          <w:rPr>
            <w:rStyle w:val="TextoNormalCaracter"/>
          </w:rPr>
          <w:t>646/2023</w:t>
        </w:r>
      </w:hyperlink>
      <w:r w:rsidRPr="00E1708A">
        <w:rPr>
          <w:rStyle w:val="TextoNormalCaracter"/>
        </w:rPr>
        <w:t xml:space="preserve">, f. único; </w:t>
      </w:r>
      <w:hyperlink w:anchor="AUTO_2023_647" w:history="1">
        <w:r w:rsidRPr="00E1708A">
          <w:rPr>
            <w:rStyle w:val="TextoNormalCaracter"/>
          </w:rPr>
          <w:t>647/2023</w:t>
        </w:r>
      </w:hyperlink>
      <w:r w:rsidRPr="00E1708A">
        <w:rPr>
          <w:rStyle w:val="TextoNormalCaracter"/>
        </w:rPr>
        <w:t xml:space="preserve">, f. único; </w:t>
      </w:r>
      <w:hyperlink w:anchor="AUTO_2023_648" w:history="1">
        <w:r w:rsidRPr="00E1708A">
          <w:rPr>
            <w:rStyle w:val="TextoNormalCaracter"/>
          </w:rPr>
          <w:t>648/2023</w:t>
        </w:r>
      </w:hyperlink>
      <w:r w:rsidRPr="00E1708A">
        <w:rPr>
          <w:rStyle w:val="TextoNormalCaracter"/>
        </w:rPr>
        <w:t xml:space="preserve">, f. único; </w:t>
      </w:r>
      <w:hyperlink w:anchor="AUTO_2023_649" w:history="1">
        <w:r w:rsidRPr="00E1708A">
          <w:rPr>
            <w:rStyle w:val="TextoNormalCaracter"/>
          </w:rPr>
          <w:t>649/2023</w:t>
        </w:r>
      </w:hyperlink>
      <w:r w:rsidRPr="00E1708A">
        <w:rPr>
          <w:rStyle w:val="TextoNormalCaracter"/>
        </w:rPr>
        <w:t xml:space="preserve">, f. único; </w:t>
      </w:r>
      <w:hyperlink w:anchor="AUTO_2023_650" w:history="1">
        <w:r w:rsidRPr="00E1708A">
          <w:rPr>
            <w:rStyle w:val="TextoNormalCaracter"/>
          </w:rPr>
          <w:t>650/2023</w:t>
        </w:r>
      </w:hyperlink>
      <w:r w:rsidRPr="00E1708A">
        <w:rPr>
          <w:rStyle w:val="TextoNormalCaracter"/>
        </w:rPr>
        <w:t xml:space="preserve">, f. único; </w:t>
      </w:r>
      <w:hyperlink w:anchor="AUTO_2023_651" w:history="1">
        <w:r w:rsidRPr="00E1708A">
          <w:rPr>
            <w:rStyle w:val="TextoNormalCaracter"/>
          </w:rPr>
          <w:t>651/2023</w:t>
        </w:r>
      </w:hyperlink>
      <w:r w:rsidRPr="00E1708A">
        <w:rPr>
          <w:rStyle w:val="TextoNormalCaracter"/>
        </w:rPr>
        <w:t xml:space="preserve">, f. único; </w:t>
      </w:r>
      <w:hyperlink w:anchor="AUTO_2023_652" w:history="1">
        <w:r w:rsidRPr="00E1708A">
          <w:rPr>
            <w:rStyle w:val="TextoNormalCaracter"/>
          </w:rPr>
          <w:t>652/2023</w:t>
        </w:r>
      </w:hyperlink>
      <w:r w:rsidRPr="00E1708A">
        <w:rPr>
          <w:rStyle w:val="TextoNormalCaracter"/>
        </w:rPr>
        <w:t xml:space="preserve">, f. único; </w:t>
      </w:r>
      <w:hyperlink w:anchor="AUTO_2023_653" w:history="1">
        <w:r w:rsidRPr="00E1708A">
          <w:rPr>
            <w:rStyle w:val="TextoNormalCaracter"/>
          </w:rPr>
          <w:t>653/2023</w:t>
        </w:r>
      </w:hyperlink>
      <w:r w:rsidRPr="00E1708A">
        <w:rPr>
          <w:rStyle w:val="TextoNormalCaracter"/>
        </w:rPr>
        <w:t xml:space="preserve">, f. único; </w:t>
      </w:r>
      <w:hyperlink w:anchor="AUTO_2023_654" w:history="1">
        <w:r w:rsidRPr="00E1708A">
          <w:rPr>
            <w:rStyle w:val="TextoNormalCaracter"/>
          </w:rPr>
          <w:t>654/2023</w:t>
        </w:r>
      </w:hyperlink>
      <w:r w:rsidRPr="00E1708A">
        <w:rPr>
          <w:rStyle w:val="TextoNormalCaracter"/>
        </w:rPr>
        <w:t xml:space="preserve">, f. único; </w:t>
      </w:r>
      <w:hyperlink w:anchor="AUTO_2023_655" w:history="1">
        <w:r w:rsidRPr="00E1708A">
          <w:rPr>
            <w:rStyle w:val="TextoNormalCaracter"/>
          </w:rPr>
          <w:t>655/2023</w:t>
        </w:r>
      </w:hyperlink>
      <w:r w:rsidRPr="00E1708A">
        <w:rPr>
          <w:rStyle w:val="TextoNormalCaracter"/>
        </w:rPr>
        <w:t xml:space="preserve">, f. único; </w:t>
      </w:r>
      <w:hyperlink w:anchor="AUTO_2023_656" w:history="1">
        <w:r w:rsidRPr="00E1708A">
          <w:rPr>
            <w:rStyle w:val="TextoNormalCaracter"/>
          </w:rPr>
          <w:t>656/2023</w:t>
        </w:r>
      </w:hyperlink>
      <w:r w:rsidRPr="00E1708A">
        <w:rPr>
          <w:rStyle w:val="TextoNormalCaracter"/>
        </w:rPr>
        <w:t xml:space="preserve">, f. único; </w:t>
      </w:r>
      <w:hyperlink w:anchor="AUTO_2023_657" w:history="1">
        <w:r w:rsidRPr="00E1708A">
          <w:rPr>
            <w:rStyle w:val="TextoNormalCaracter"/>
          </w:rPr>
          <w:t>657/2023</w:t>
        </w:r>
      </w:hyperlink>
      <w:r w:rsidRPr="00E1708A">
        <w:rPr>
          <w:rStyle w:val="TextoNormalCaracter"/>
        </w:rPr>
        <w:t xml:space="preserve">, f. único; </w:t>
      </w:r>
      <w:hyperlink w:anchor="AUTO_2023_658" w:history="1">
        <w:r w:rsidRPr="00E1708A">
          <w:rPr>
            <w:rStyle w:val="TextoNormalCaracter"/>
          </w:rPr>
          <w:t>658/2023</w:t>
        </w:r>
      </w:hyperlink>
      <w:r w:rsidRPr="00E1708A">
        <w:rPr>
          <w:rStyle w:val="TextoNormalCaracter"/>
        </w:rPr>
        <w:t xml:space="preserve">, f. único; </w:t>
      </w:r>
      <w:hyperlink w:anchor="AUTO_2023_659" w:history="1">
        <w:r w:rsidRPr="00E1708A">
          <w:rPr>
            <w:rStyle w:val="TextoNormalCaracter"/>
          </w:rPr>
          <w:t>659/2023</w:t>
        </w:r>
      </w:hyperlink>
      <w:r w:rsidRPr="00E1708A">
        <w:rPr>
          <w:rStyle w:val="TextoNormalCaracter"/>
        </w:rPr>
        <w:t xml:space="preserve">, f. único; </w:t>
      </w:r>
      <w:hyperlink w:anchor="AUTO_2023_660" w:history="1">
        <w:r w:rsidRPr="00E1708A">
          <w:rPr>
            <w:rStyle w:val="TextoNormalCaracter"/>
          </w:rPr>
          <w:t>660/2023</w:t>
        </w:r>
      </w:hyperlink>
      <w:r w:rsidRPr="00E1708A">
        <w:rPr>
          <w:rStyle w:val="TextoNormalCaracter"/>
        </w:rPr>
        <w:t xml:space="preserve">, f. único; </w:t>
      </w:r>
      <w:hyperlink w:anchor="AUTO_2023_662" w:history="1">
        <w:r w:rsidRPr="00E1708A">
          <w:rPr>
            <w:rStyle w:val="TextoNormalCaracter"/>
          </w:rPr>
          <w:t>662/2023</w:t>
        </w:r>
      </w:hyperlink>
      <w:r w:rsidRPr="00E1708A">
        <w:rPr>
          <w:rStyle w:val="TextoNormalCaracter"/>
        </w:rPr>
        <w:t xml:space="preserve">, f. único; </w:t>
      </w:r>
      <w:hyperlink w:anchor="AUTO_2023_664" w:history="1">
        <w:r w:rsidRPr="00E1708A">
          <w:rPr>
            <w:rStyle w:val="TextoNormalCaracter"/>
          </w:rPr>
          <w:t>664/2023</w:t>
        </w:r>
      </w:hyperlink>
      <w:r w:rsidRPr="00E1708A">
        <w:rPr>
          <w:rStyle w:val="TextoNormalCaracter"/>
        </w:rPr>
        <w:t xml:space="preserve">, f. único; </w:t>
      </w:r>
      <w:hyperlink w:anchor="AUTO_2023_670" w:history="1">
        <w:r w:rsidRPr="00E1708A">
          <w:rPr>
            <w:rStyle w:val="TextoNormalCaracter"/>
          </w:rPr>
          <w:t>670/2023</w:t>
        </w:r>
      </w:hyperlink>
      <w:r w:rsidRPr="00E1708A">
        <w:rPr>
          <w:rStyle w:val="TextoNormalCaracter"/>
        </w:rPr>
        <w:t xml:space="preserve">, f. único; </w:t>
      </w:r>
      <w:hyperlink w:anchor="AUTO_2023_671" w:history="1">
        <w:r w:rsidRPr="00E1708A">
          <w:rPr>
            <w:rStyle w:val="TextoNormalCaracter"/>
          </w:rPr>
          <w:t>671/2023</w:t>
        </w:r>
      </w:hyperlink>
      <w:r w:rsidRPr="00E1708A">
        <w:rPr>
          <w:rStyle w:val="TextoNormalCaracter"/>
        </w:rPr>
        <w:t xml:space="preserve">, f. único; </w:t>
      </w:r>
      <w:hyperlink w:anchor="AUTO_2023_672" w:history="1">
        <w:r w:rsidRPr="00E1708A">
          <w:rPr>
            <w:rStyle w:val="TextoNormalCaracter"/>
          </w:rPr>
          <w:t>672/2023</w:t>
        </w:r>
      </w:hyperlink>
      <w:r w:rsidRPr="00E1708A">
        <w:rPr>
          <w:rStyle w:val="TextoNormalCaracter"/>
        </w:rPr>
        <w:t xml:space="preserve">, f. único; </w:t>
      </w:r>
      <w:hyperlink w:anchor="AUTO_2023_673" w:history="1">
        <w:r w:rsidRPr="00E1708A">
          <w:rPr>
            <w:rStyle w:val="TextoNormalCaracter"/>
          </w:rPr>
          <w:t>673/2023</w:t>
        </w:r>
      </w:hyperlink>
      <w:r w:rsidRPr="00E1708A">
        <w:rPr>
          <w:rStyle w:val="TextoNormalCaracter"/>
        </w:rPr>
        <w:t xml:space="preserve">, f. único; </w:t>
      </w:r>
      <w:hyperlink w:anchor="AUTO_2023_674" w:history="1">
        <w:r w:rsidRPr="00E1708A">
          <w:rPr>
            <w:rStyle w:val="TextoNormalCaracter"/>
          </w:rPr>
          <w:t>674/2023</w:t>
        </w:r>
      </w:hyperlink>
      <w:r w:rsidRPr="00E1708A">
        <w:rPr>
          <w:rStyle w:val="TextoNormalCaracter"/>
        </w:rPr>
        <w:t xml:space="preserve">, f. único; </w:t>
      </w:r>
      <w:hyperlink w:anchor="AUTO_2023_675" w:history="1">
        <w:r w:rsidRPr="00E1708A">
          <w:rPr>
            <w:rStyle w:val="TextoNormalCaracter"/>
          </w:rPr>
          <w:t>675/2023</w:t>
        </w:r>
      </w:hyperlink>
      <w:r w:rsidRPr="00E1708A">
        <w:rPr>
          <w:rStyle w:val="TextoNormalCaracter"/>
        </w:rPr>
        <w:t xml:space="preserve">, f. único; </w:t>
      </w:r>
      <w:hyperlink w:anchor="AUTO_2023_676" w:history="1">
        <w:r w:rsidRPr="00E1708A">
          <w:rPr>
            <w:rStyle w:val="TextoNormalCaracter"/>
          </w:rPr>
          <w:t>676/2023</w:t>
        </w:r>
      </w:hyperlink>
      <w:r w:rsidRPr="00E1708A">
        <w:rPr>
          <w:rStyle w:val="TextoNormalCaracter"/>
        </w:rPr>
        <w:t xml:space="preserve">, f. único; </w:t>
      </w:r>
      <w:hyperlink w:anchor="AUTO_2023_677" w:history="1">
        <w:r w:rsidRPr="00E1708A">
          <w:rPr>
            <w:rStyle w:val="TextoNormalCaracter"/>
          </w:rPr>
          <w:t>677/2023</w:t>
        </w:r>
      </w:hyperlink>
      <w:r w:rsidRPr="00E1708A">
        <w:rPr>
          <w:rStyle w:val="TextoNormalCaracter"/>
        </w:rPr>
        <w:t xml:space="preserve">, f. único; </w:t>
      </w:r>
      <w:hyperlink w:anchor="AUTO_2023_678" w:history="1">
        <w:r w:rsidRPr="00E1708A">
          <w:rPr>
            <w:rStyle w:val="TextoNormalCaracter"/>
          </w:rPr>
          <w:t>678/2023</w:t>
        </w:r>
      </w:hyperlink>
      <w:r w:rsidRPr="00E1708A">
        <w:rPr>
          <w:rStyle w:val="TextoNormalCaracter"/>
        </w:rPr>
        <w:t xml:space="preserve">, f. único; </w:t>
      </w:r>
      <w:hyperlink w:anchor="AUTO_2023_679" w:history="1">
        <w:r w:rsidRPr="00E1708A">
          <w:rPr>
            <w:rStyle w:val="TextoNormalCaracter"/>
          </w:rPr>
          <w:t>679/2023</w:t>
        </w:r>
      </w:hyperlink>
      <w:r w:rsidRPr="00E1708A">
        <w:rPr>
          <w:rStyle w:val="TextoNormalCaracter"/>
        </w:rPr>
        <w:t xml:space="preserve">, f. único; </w:t>
      </w:r>
      <w:hyperlink w:anchor="AUTO_2023_680" w:history="1">
        <w:r w:rsidRPr="00E1708A">
          <w:rPr>
            <w:rStyle w:val="TextoNormalCaracter"/>
          </w:rPr>
          <w:t>680/2023</w:t>
        </w:r>
      </w:hyperlink>
      <w:r w:rsidRPr="00E1708A">
        <w:rPr>
          <w:rStyle w:val="TextoNormalCaracter"/>
        </w:rPr>
        <w:t xml:space="preserve">, f. único; </w:t>
      </w:r>
      <w:hyperlink w:anchor="AUTO_2023_681" w:history="1">
        <w:r w:rsidRPr="00E1708A">
          <w:rPr>
            <w:rStyle w:val="TextoNormalCaracter"/>
          </w:rPr>
          <w:t>681/2023</w:t>
        </w:r>
      </w:hyperlink>
      <w:r w:rsidRPr="00E1708A">
        <w:rPr>
          <w:rStyle w:val="TextoNormalCaracter"/>
        </w:rPr>
        <w:t xml:space="preserve">, f. único; </w:t>
      </w:r>
      <w:hyperlink w:anchor="AUTO_2023_682" w:history="1">
        <w:r w:rsidRPr="00E1708A">
          <w:rPr>
            <w:rStyle w:val="TextoNormalCaracter"/>
          </w:rPr>
          <w:t>682/2023</w:t>
        </w:r>
      </w:hyperlink>
      <w:r w:rsidRPr="00E1708A">
        <w:rPr>
          <w:rStyle w:val="TextoNormalCaracter"/>
        </w:rPr>
        <w:t xml:space="preserve">, f. único; </w:t>
      </w:r>
      <w:hyperlink w:anchor="AUTO_2023_683" w:history="1">
        <w:r w:rsidRPr="00E1708A">
          <w:rPr>
            <w:rStyle w:val="TextoNormalCaracter"/>
          </w:rPr>
          <w:t>683/2023</w:t>
        </w:r>
      </w:hyperlink>
      <w:r w:rsidRPr="00E1708A">
        <w:rPr>
          <w:rStyle w:val="TextoNormalCaracter"/>
        </w:rPr>
        <w:t xml:space="preserve">, f. único; </w:t>
      </w:r>
      <w:hyperlink w:anchor="AUTO_2023_684" w:history="1">
        <w:r w:rsidRPr="00E1708A">
          <w:rPr>
            <w:rStyle w:val="TextoNormalCaracter"/>
          </w:rPr>
          <w:t>684/2023</w:t>
        </w:r>
      </w:hyperlink>
      <w:r w:rsidRPr="00E1708A">
        <w:rPr>
          <w:rStyle w:val="TextoNormalCaracter"/>
        </w:rPr>
        <w:t xml:space="preserve">, f. único; </w:t>
      </w:r>
      <w:hyperlink w:anchor="AUTO_2023_685" w:history="1">
        <w:r w:rsidRPr="00E1708A">
          <w:rPr>
            <w:rStyle w:val="TextoNormalCaracter"/>
          </w:rPr>
          <w:t>685/2023</w:t>
        </w:r>
      </w:hyperlink>
      <w:r w:rsidRPr="00E1708A">
        <w:rPr>
          <w:rStyle w:val="TextoNormalCaracter"/>
        </w:rPr>
        <w:t xml:space="preserve">, f. único; </w:t>
      </w:r>
      <w:hyperlink w:anchor="AUTO_2023_686" w:history="1">
        <w:r w:rsidRPr="00E1708A">
          <w:rPr>
            <w:rStyle w:val="TextoNormalCaracter"/>
          </w:rPr>
          <w:t>686/2023</w:t>
        </w:r>
      </w:hyperlink>
      <w:r w:rsidRPr="00E1708A">
        <w:rPr>
          <w:rStyle w:val="TextoNormalCaracter"/>
        </w:rPr>
        <w:t xml:space="preserve">, f. único; </w:t>
      </w:r>
      <w:hyperlink w:anchor="AUTO_2023_687" w:history="1">
        <w:r w:rsidRPr="00E1708A">
          <w:rPr>
            <w:rStyle w:val="TextoNormalCaracter"/>
          </w:rPr>
          <w:t>687/2023</w:t>
        </w:r>
      </w:hyperlink>
      <w:r w:rsidRPr="00E1708A">
        <w:rPr>
          <w:rStyle w:val="TextoNormalCaracter"/>
        </w:rPr>
        <w:t xml:space="preserve">, f. único; </w:t>
      </w:r>
      <w:hyperlink w:anchor="AUTO_2023_688" w:history="1">
        <w:r w:rsidRPr="00E1708A">
          <w:rPr>
            <w:rStyle w:val="TextoNormalCaracter"/>
          </w:rPr>
          <w:t>688/2023</w:t>
        </w:r>
      </w:hyperlink>
      <w:r w:rsidRPr="00E1708A">
        <w:rPr>
          <w:rStyle w:val="TextoNormalCaracter"/>
        </w:rPr>
        <w:t xml:space="preserve">, f. único; </w:t>
      </w:r>
      <w:hyperlink w:anchor="AUTO_2023_689" w:history="1">
        <w:r w:rsidRPr="00E1708A">
          <w:rPr>
            <w:rStyle w:val="TextoNormalCaracter"/>
          </w:rPr>
          <w:t>689/2023</w:t>
        </w:r>
      </w:hyperlink>
      <w:r w:rsidRPr="00E1708A">
        <w:rPr>
          <w:rStyle w:val="TextoNormalCaracter"/>
        </w:rPr>
        <w:t>, f. único.</w:t>
      </w:r>
    </w:p>
    <w:p w14:paraId="206850A9" w14:textId="41F6B99A" w:rsidR="00E1708A" w:rsidRPr="00E1708A" w:rsidRDefault="00E1708A" w:rsidP="00E1708A">
      <w:pPr>
        <w:pStyle w:val="TextoNormalSangraFrancesa"/>
        <w:rPr>
          <w:rStyle w:val="TextoNormalCaracter"/>
        </w:rPr>
      </w:pPr>
      <w:bookmarkStart w:id="941" w:name="DESCRIPTORALFABETICO329"/>
      <w:r w:rsidRPr="00E1708A">
        <w:rPr>
          <w:rStyle w:val="TextoNormalNegritaCaracter"/>
        </w:rPr>
        <w:t>Abusos sexuales a menores</w:t>
      </w:r>
      <w:bookmarkEnd w:id="941"/>
      <w:r w:rsidRPr="00E1708A">
        <w:rPr>
          <w:rStyle w:val="TextoNormalCaracter"/>
        </w:rPr>
        <w:t xml:space="preserve">, Sentencia </w:t>
      </w:r>
      <w:hyperlink w:anchor="SENTENCIA_2023_131" w:history="1">
        <w:r w:rsidRPr="00E1708A">
          <w:rPr>
            <w:rStyle w:val="TextoNormalCaracter"/>
          </w:rPr>
          <w:t>131/2023</w:t>
        </w:r>
      </w:hyperlink>
      <w:r w:rsidRPr="00E1708A">
        <w:rPr>
          <w:rStyle w:val="TextoNormalCaracter"/>
        </w:rPr>
        <w:t>, f. 1 y 3.</w:t>
      </w:r>
    </w:p>
    <w:p w14:paraId="3FF06DF7" w14:textId="0C3E5104" w:rsidR="00E1708A" w:rsidRPr="00E1708A" w:rsidRDefault="00E1708A" w:rsidP="00E1708A">
      <w:pPr>
        <w:pStyle w:val="TextoNormalSangraFrancesa"/>
        <w:rPr>
          <w:rStyle w:val="TextoNormalCaracter"/>
        </w:rPr>
      </w:pPr>
      <w:bookmarkStart w:id="942" w:name="DESCRIPTORALFABETICO46"/>
      <w:r w:rsidRPr="00E1708A">
        <w:rPr>
          <w:rStyle w:val="TextoNormalNegritaCaracter"/>
        </w:rPr>
        <w:t>Acceso a los cargos públicos de representación política</w:t>
      </w:r>
      <w:bookmarkEnd w:id="942"/>
      <w:r w:rsidRPr="00E1708A">
        <w:rPr>
          <w:rStyle w:val="TextoNormalCaracter"/>
        </w:rPr>
        <w:t xml:space="preserve">, Sentencias </w:t>
      </w:r>
      <w:hyperlink w:anchor="SENTENCIA_2023_95" w:history="1">
        <w:r w:rsidRPr="00E1708A">
          <w:rPr>
            <w:rStyle w:val="TextoNormalCaracter"/>
          </w:rPr>
          <w:t>95/2023</w:t>
        </w:r>
      </w:hyperlink>
      <w:r w:rsidRPr="00E1708A">
        <w:rPr>
          <w:rStyle w:val="TextoNormalCaracter"/>
        </w:rPr>
        <w:t xml:space="preserve">, ff. 2 a 6; </w:t>
      </w:r>
      <w:hyperlink w:anchor="SENTENCIA_2023_167" w:history="1">
        <w:r w:rsidRPr="00E1708A">
          <w:rPr>
            <w:rStyle w:val="TextoNormalCaracter"/>
          </w:rPr>
          <w:t>167/2023</w:t>
        </w:r>
      </w:hyperlink>
      <w:r w:rsidRPr="00E1708A">
        <w:rPr>
          <w:rStyle w:val="TextoNormalCaracter"/>
        </w:rPr>
        <w:t>, f. 4.</w:t>
      </w:r>
    </w:p>
    <w:p w14:paraId="452851F9" w14:textId="5F310B34" w:rsidR="00E1708A" w:rsidRPr="00E1708A" w:rsidRDefault="00E1708A" w:rsidP="00E1708A">
      <w:pPr>
        <w:pStyle w:val="TextoNormalSangraFrancesa"/>
        <w:rPr>
          <w:rStyle w:val="TextoNormalCaracter"/>
        </w:rPr>
      </w:pPr>
      <w:bookmarkStart w:id="943" w:name="DESCRIPTORALFABETICO185"/>
      <w:r w:rsidRPr="00E1708A">
        <w:rPr>
          <w:rStyle w:val="TextoNormalNegritaCaracter"/>
        </w:rPr>
        <w:t>Aclaración de doctrina constitucional</w:t>
      </w:r>
      <w:bookmarkEnd w:id="943"/>
      <w:r w:rsidRPr="00E1708A">
        <w:rPr>
          <w:rStyle w:val="TextoNormalCaracter"/>
        </w:rPr>
        <w:t xml:space="preserve">, Sentencia </w:t>
      </w:r>
      <w:hyperlink w:anchor="SENTENCIA_2023_136" w:history="1">
        <w:r w:rsidRPr="00E1708A">
          <w:rPr>
            <w:rStyle w:val="TextoNormalCaracter"/>
          </w:rPr>
          <w:t>136/2023</w:t>
        </w:r>
      </w:hyperlink>
      <w:r w:rsidRPr="00E1708A">
        <w:rPr>
          <w:rStyle w:val="TextoNormalCaracter"/>
        </w:rPr>
        <w:t>, f. 2.</w:t>
      </w:r>
    </w:p>
    <w:p w14:paraId="2D8DA8D6" w14:textId="4803A1A9" w:rsidR="00E1708A" w:rsidRPr="00E1708A" w:rsidRDefault="00E1708A" w:rsidP="00E1708A">
      <w:pPr>
        <w:pStyle w:val="TextoNormalSangraFrancesa"/>
        <w:rPr>
          <w:rStyle w:val="TextoNormalCaracter"/>
        </w:rPr>
      </w:pPr>
      <w:bookmarkStart w:id="944" w:name="DESCRIPTORALFABETICO194"/>
      <w:r w:rsidRPr="00E1708A">
        <w:rPr>
          <w:rStyle w:val="TextoNormalNegritaCaracter"/>
        </w:rPr>
        <w:t>Aclaración de sentencias del Tribunal Constitucional</w:t>
      </w:r>
      <w:bookmarkEnd w:id="944"/>
      <w:r w:rsidRPr="00E1708A">
        <w:rPr>
          <w:rStyle w:val="TextoNormalCaracter"/>
        </w:rPr>
        <w:t xml:space="preserve">, Autos </w:t>
      </w:r>
      <w:hyperlink w:anchor="AUTO_2023_331" w:history="1">
        <w:r w:rsidRPr="00E1708A">
          <w:rPr>
            <w:rStyle w:val="TextoNormalCaracter"/>
          </w:rPr>
          <w:t>331/2023</w:t>
        </w:r>
      </w:hyperlink>
      <w:r w:rsidRPr="00E1708A">
        <w:rPr>
          <w:rStyle w:val="TextoNormalCaracter"/>
        </w:rPr>
        <w:t xml:space="preserve">, f. único; </w:t>
      </w:r>
      <w:hyperlink w:anchor="AUTO_2023_598" w:history="1">
        <w:r w:rsidRPr="00E1708A">
          <w:rPr>
            <w:rStyle w:val="TextoNormalCaracter"/>
          </w:rPr>
          <w:t>598/2023</w:t>
        </w:r>
      </w:hyperlink>
      <w:r w:rsidRPr="00E1708A">
        <w:rPr>
          <w:rStyle w:val="TextoNormalCaracter"/>
        </w:rPr>
        <w:t>, f.2.</w:t>
      </w:r>
    </w:p>
    <w:p w14:paraId="7F44D641" w14:textId="6E648A7C" w:rsidR="00E1708A" w:rsidRPr="00E1708A" w:rsidRDefault="00E1708A" w:rsidP="00E1708A">
      <w:pPr>
        <w:pStyle w:val="TextoNormalSangraFrancesa"/>
        <w:rPr>
          <w:rStyle w:val="TextoNormalCaracter"/>
        </w:rPr>
      </w:pPr>
      <w:bookmarkStart w:id="945" w:name="DESCRIPTORALFABETICO195"/>
      <w:r w:rsidRPr="00E1708A">
        <w:rPr>
          <w:rStyle w:val="TextoNormalNegritaCaracter"/>
        </w:rPr>
        <w:t>Aclaración improcedente</w:t>
      </w:r>
      <w:bookmarkEnd w:id="945"/>
      <w:r w:rsidRPr="00E1708A">
        <w:rPr>
          <w:rStyle w:val="TextoNormalCaracter"/>
        </w:rPr>
        <w:t xml:space="preserve">, Autos </w:t>
      </w:r>
      <w:hyperlink w:anchor="AUTO_2023_331" w:history="1">
        <w:r w:rsidRPr="00E1708A">
          <w:rPr>
            <w:rStyle w:val="TextoNormalCaracter"/>
          </w:rPr>
          <w:t>331/2023</w:t>
        </w:r>
      </w:hyperlink>
      <w:r w:rsidRPr="00E1708A">
        <w:rPr>
          <w:rStyle w:val="TextoNormalCaracter"/>
        </w:rPr>
        <w:t xml:space="preserve">, f. único; </w:t>
      </w:r>
      <w:hyperlink w:anchor="AUTO_2023_598" w:history="1">
        <w:r w:rsidRPr="00E1708A">
          <w:rPr>
            <w:rStyle w:val="TextoNormalCaracter"/>
          </w:rPr>
          <w:t>598/2023</w:t>
        </w:r>
      </w:hyperlink>
      <w:r w:rsidRPr="00E1708A">
        <w:rPr>
          <w:rStyle w:val="TextoNormalCaracter"/>
        </w:rPr>
        <w:t>, f. 2.</w:t>
      </w:r>
    </w:p>
    <w:p w14:paraId="55324561" w14:textId="40E40A99" w:rsidR="00E1708A" w:rsidRPr="00E1708A" w:rsidRDefault="00E1708A" w:rsidP="00E1708A">
      <w:pPr>
        <w:pStyle w:val="TextoNormalSangraFrancesa"/>
        <w:rPr>
          <w:rStyle w:val="TextoNormalCaracter"/>
        </w:rPr>
      </w:pPr>
      <w:bookmarkStart w:id="946" w:name="DESCRIPTORALFABETICO389"/>
      <w:r w:rsidRPr="00E1708A">
        <w:rPr>
          <w:rStyle w:val="TextoNormalNegritaCaracter"/>
        </w:rPr>
        <w:t>Actos de comunicación al domicilio de las partes aún no personadas</w:t>
      </w:r>
      <w:bookmarkEnd w:id="946"/>
      <w:r w:rsidRPr="00E1708A">
        <w:rPr>
          <w:rStyle w:val="TextoNormalCaracter"/>
        </w:rPr>
        <w:t xml:space="preserve">, Sentencias </w:t>
      </w:r>
      <w:hyperlink w:anchor="SENTENCIA_2023_122" w:history="1">
        <w:r w:rsidRPr="00E1708A">
          <w:rPr>
            <w:rStyle w:val="TextoNormalCaracter"/>
          </w:rPr>
          <w:t>122/2023</w:t>
        </w:r>
      </w:hyperlink>
      <w:r w:rsidRPr="00E1708A">
        <w:rPr>
          <w:rStyle w:val="TextoNormalCaracter"/>
        </w:rPr>
        <w:t xml:space="preserve">, f. único; </w:t>
      </w:r>
      <w:hyperlink w:anchor="SENTENCIA_2023_138" w:history="1">
        <w:r w:rsidRPr="00E1708A">
          <w:rPr>
            <w:rStyle w:val="TextoNormalCaracter"/>
          </w:rPr>
          <w:t>138/2023</w:t>
        </w:r>
      </w:hyperlink>
      <w:r w:rsidRPr="00E1708A">
        <w:rPr>
          <w:rStyle w:val="TextoNormalCaracter"/>
        </w:rPr>
        <w:t>, f. único.</w:t>
      </w:r>
    </w:p>
    <w:p w14:paraId="382A3037" w14:textId="5E119D83" w:rsidR="00E1708A" w:rsidRPr="00E1708A" w:rsidRDefault="00E1708A" w:rsidP="00E1708A">
      <w:pPr>
        <w:pStyle w:val="TextoNormalSangraFrancesa"/>
        <w:rPr>
          <w:rStyle w:val="TextoNormalCaracter"/>
        </w:rPr>
      </w:pPr>
      <w:bookmarkStart w:id="947" w:name="DESCRIPTORALFABETICO209"/>
      <w:r w:rsidRPr="00E1708A">
        <w:rPr>
          <w:rStyle w:val="TextoNormalNegritaCaracter"/>
        </w:rPr>
        <w:t>Actos del Gobierno</w:t>
      </w:r>
      <w:bookmarkEnd w:id="947"/>
      <w:r w:rsidRPr="00E1708A">
        <w:rPr>
          <w:rStyle w:val="TextoNormalCaracter"/>
        </w:rPr>
        <w:t xml:space="preserve">, Sentencia </w:t>
      </w:r>
      <w:hyperlink w:anchor="SENTENCIA_2023_179" w:history="1">
        <w:r w:rsidRPr="00E1708A">
          <w:rPr>
            <w:rStyle w:val="TextoNormalCaracter"/>
          </w:rPr>
          <w:t>179/2023</w:t>
        </w:r>
      </w:hyperlink>
      <w:r w:rsidRPr="00E1708A">
        <w:rPr>
          <w:rStyle w:val="TextoNormalCaracter"/>
        </w:rPr>
        <w:t>, ff. 2 y 3.</w:t>
      </w:r>
    </w:p>
    <w:p w14:paraId="08FE8418" w14:textId="1E5CDDCA" w:rsidR="00E1708A" w:rsidRPr="00E1708A" w:rsidRDefault="00E1708A" w:rsidP="00E1708A">
      <w:pPr>
        <w:pStyle w:val="TextoNormalSangraFrancesa"/>
        <w:rPr>
          <w:rStyle w:val="TextoNormalCaracter"/>
        </w:rPr>
      </w:pPr>
      <w:bookmarkStart w:id="948" w:name="DESCRIPTORALFABETICO236"/>
      <w:r w:rsidRPr="00E1708A">
        <w:rPr>
          <w:rStyle w:val="TextoNormalNegritaCaracter"/>
        </w:rPr>
        <w:t>Actos parlamentarios</w:t>
      </w:r>
      <w:bookmarkEnd w:id="948"/>
      <w:r w:rsidRPr="00E1708A">
        <w:rPr>
          <w:rStyle w:val="TextoNormalCaracter"/>
        </w:rPr>
        <w:t xml:space="preserve">, Sentencias </w:t>
      </w:r>
      <w:hyperlink w:anchor="SENTENCIA_2023_125" w:history="1">
        <w:r w:rsidRPr="00E1708A">
          <w:rPr>
            <w:rStyle w:val="TextoNormalCaracter"/>
          </w:rPr>
          <w:t>125/2023</w:t>
        </w:r>
      </w:hyperlink>
      <w:r w:rsidRPr="00E1708A">
        <w:rPr>
          <w:rStyle w:val="TextoNormalCaracter"/>
        </w:rPr>
        <w:t xml:space="preserve">, f. 1; </w:t>
      </w:r>
      <w:hyperlink w:anchor="SENTENCIA_2023_133" w:history="1">
        <w:r w:rsidRPr="00E1708A">
          <w:rPr>
            <w:rStyle w:val="TextoNormalCaracter"/>
          </w:rPr>
          <w:t>133/2023</w:t>
        </w:r>
      </w:hyperlink>
      <w:r w:rsidRPr="00E1708A">
        <w:rPr>
          <w:rStyle w:val="TextoNormalCaracter"/>
        </w:rPr>
        <w:t xml:space="preserve">, ff. 2 y 3; </w:t>
      </w:r>
      <w:hyperlink w:anchor="SENTENCIA_2023_135" w:history="1">
        <w:r w:rsidRPr="00E1708A">
          <w:rPr>
            <w:rStyle w:val="TextoNormalCaracter"/>
          </w:rPr>
          <w:t>135/2023</w:t>
        </w:r>
      </w:hyperlink>
      <w:r w:rsidRPr="00E1708A">
        <w:rPr>
          <w:rStyle w:val="TextoNormalCaracter"/>
        </w:rPr>
        <w:t xml:space="preserve">, ff. 1 y 2; </w:t>
      </w:r>
      <w:hyperlink w:anchor="SENTENCIA_2023_139" w:history="1">
        <w:r w:rsidRPr="00E1708A">
          <w:rPr>
            <w:rStyle w:val="TextoNormalCaracter"/>
          </w:rPr>
          <w:t>139/2023</w:t>
        </w:r>
      </w:hyperlink>
      <w:r w:rsidRPr="00E1708A">
        <w:rPr>
          <w:rStyle w:val="TextoNormalCaracter"/>
        </w:rPr>
        <w:t xml:space="preserve">, ff. 1 a 3; </w:t>
      </w:r>
      <w:hyperlink w:anchor="SENTENCIA_2023_140" w:history="1">
        <w:r w:rsidRPr="00E1708A">
          <w:rPr>
            <w:rStyle w:val="TextoNormalCaracter"/>
          </w:rPr>
          <w:t>140/2023</w:t>
        </w:r>
      </w:hyperlink>
      <w:r w:rsidRPr="00E1708A">
        <w:rPr>
          <w:rStyle w:val="TextoNormalCaracter"/>
        </w:rPr>
        <w:t xml:space="preserve">, f. 1; </w:t>
      </w:r>
      <w:hyperlink w:anchor="SENTENCIA_2023_141" w:history="1">
        <w:r w:rsidRPr="00E1708A">
          <w:rPr>
            <w:rStyle w:val="TextoNormalCaracter"/>
          </w:rPr>
          <w:t>141/2023</w:t>
        </w:r>
      </w:hyperlink>
      <w:r w:rsidRPr="00E1708A">
        <w:rPr>
          <w:rStyle w:val="TextoNormalCaracter"/>
        </w:rPr>
        <w:t xml:space="preserve">, ff. 1 y 3; </w:t>
      </w:r>
      <w:hyperlink w:anchor="SENTENCIA_2023_142" w:history="1">
        <w:r w:rsidRPr="00E1708A">
          <w:rPr>
            <w:rStyle w:val="TextoNormalCaracter"/>
          </w:rPr>
          <w:t>142/2023</w:t>
        </w:r>
      </w:hyperlink>
      <w:r w:rsidRPr="00E1708A">
        <w:rPr>
          <w:rStyle w:val="TextoNormalCaracter"/>
        </w:rPr>
        <w:t>, ff. 1, 2 y 3.</w:t>
      </w:r>
    </w:p>
    <w:p w14:paraId="71189CD3" w14:textId="5C16B14D" w:rsidR="00E1708A" w:rsidRPr="00E1708A" w:rsidRDefault="00E1708A" w:rsidP="00E1708A">
      <w:pPr>
        <w:pStyle w:val="TextoNormalSangraFrancesa"/>
        <w:rPr>
          <w:rStyle w:val="TextoNormalCaracter"/>
        </w:rPr>
      </w:pPr>
      <w:bookmarkStart w:id="949" w:name="DESCRIPTORALFABETICO237"/>
      <w:r w:rsidRPr="00E1708A">
        <w:rPr>
          <w:rStyle w:val="TextoNormalNegritaCaracter"/>
        </w:rPr>
        <w:t>Actos parlamentarios internos</w:t>
      </w:r>
      <w:bookmarkEnd w:id="949"/>
      <w:r w:rsidRPr="00E1708A">
        <w:rPr>
          <w:rStyle w:val="TextoNormalCaracter"/>
        </w:rPr>
        <w:t xml:space="preserve">, Sentencia </w:t>
      </w:r>
      <w:hyperlink w:anchor="SENTENCIA_2023_165" w:history="1">
        <w:r w:rsidRPr="00E1708A">
          <w:rPr>
            <w:rStyle w:val="TextoNormalCaracter"/>
          </w:rPr>
          <w:t>165/2023</w:t>
        </w:r>
      </w:hyperlink>
      <w:r w:rsidRPr="00E1708A">
        <w:rPr>
          <w:rStyle w:val="TextoNormalCaracter"/>
        </w:rPr>
        <w:t>, f. 4.</w:t>
      </w:r>
    </w:p>
    <w:p w14:paraId="7F9E6288" w14:textId="4A8F6D2B" w:rsidR="00E1708A" w:rsidRPr="00E1708A" w:rsidRDefault="00E1708A" w:rsidP="00E1708A">
      <w:pPr>
        <w:pStyle w:val="TextoNormalSangraFrancesa"/>
        <w:rPr>
          <w:rStyle w:val="TextoNormalCaracter"/>
        </w:rPr>
      </w:pPr>
      <w:bookmarkStart w:id="950" w:name="DESCRIPTORALFABETICO240"/>
      <w:r w:rsidRPr="00E1708A">
        <w:rPr>
          <w:rStyle w:val="TextoNormalNegritaCaracter"/>
        </w:rPr>
        <w:t>Acuerdo de la Mesa desestimando solicitud de varios diputados</w:t>
      </w:r>
      <w:bookmarkEnd w:id="950"/>
      <w:r w:rsidRPr="00E1708A">
        <w:rPr>
          <w:rStyle w:val="TextoNormalCaracter"/>
        </w:rPr>
        <w:t xml:space="preserve">, Sentencia </w:t>
      </w:r>
      <w:hyperlink w:anchor="SENTENCIA_2023_165" w:history="1">
        <w:r w:rsidRPr="00E1708A">
          <w:rPr>
            <w:rStyle w:val="TextoNormalCaracter"/>
          </w:rPr>
          <w:t>165/2023</w:t>
        </w:r>
      </w:hyperlink>
      <w:r w:rsidRPr="00E1708A">
        <w:rPr>
          <w:rStyle w:val="TextoNormalCaracter"/>
        </w:rPr>
        <w:t>, ff. 3, 4, VP.</w:t>
      </w:r>
    </w:p>
    <w:p w14:paraId="482ED603" w14:textId="2977CD80" w:rsidR="00E1708A" w:rsidRPr="00E1708A" w:rsidRDefault="00E1708A" w:rsidP="00E1708A">
      <w:pPr>
        <w:pStyle w:val="TextoNormalSangraFrancesa"/>
        <w:rPr>
          <w:rStyle w:val="TextoNormalCaracter"/>
        </w:rPr>
      </w:pPr>
      <w:bookmarkStart w:id="951" w:name="DESCRIPTORALFABETICO202"/>
      <w:r w:rsidRPr="00E1708A">
        <w:rPr>
          <w:rStyle w:val="TextoNormalNegritaCaracter"/>
        </w:rPr>
        <w:t>Administración pública</w:t>
      </w:r>
      <w:bookmarkEnd w:id="951"/>
      <w:r w:rsidRPr="00E1708A">
        <w:rPr>
          <w:rStyle w:val="TextoNormalCaracter"/>
        </w:rPr>
        <w:t xml:space="preserve">, Sentencia </w:t>
      </w:r>
      <w:hyperlink w:anchor="SENTENCIA_2023_145" w:history="1">
        <w:r w:rsidRPr="00E1708A">
          <w:rPr>
            <w:rStyle w:val="TextoNormalCaracter"/>
          </w:rPr>
          <w:t>145/2023</w:t>
        </w:r>
      </w:hyperlink>
      <w:r w:rsidRPr="00E1708A">
        <w:rPr>
          <w:rStyle w:val="TextoNormalCaracter"/>
        </w:rPr>
        <w:t>, ff. 1 a 7.</w:t>
      </w:r>
    </w:p>
    <w:p w14:paraId="2493A48C" w14:textId="52917310" w:rsidR="00E1708A" w:rsidRPr="00E1708A" w:rsidRDefault="00E1708A" w:rsidP="00E1708A">
      <w:pPr>
        <w:pStyle w:val="TextoNormalSangraFrancesa"/>
        <w:rPr>
          <w:rStyle w:val="TextoNormalCaracter"/>
        </w:rPr>
      </w:pPr>
      <w:bookmarkStart w:id="952" w:name="DESCRIPTORALFABETICO183"/>
      <w:r w:rsidRPr="00E1708A">
        <w:rPr>
          <w:rStyle w:val="TextoNormalNegritaCaracter"/>
        </w:rPr>
        <w:t>Admisión de recurso de amparo por auto</w:t>
      </w:r>
      <w:bookmarkEnd w:id="952"/>
      <w:r w:rsidRPr="00E1708A">
        <w:rPr>
          <w:rStyle w:val="TextoNormalCaracter"/>
        </w:rPr>
        <w:t xml:space="preserve">, Autos </w:t>
      </w:r>
      <w:hyperlink w:anchor="AUTO_2023_338" w:history="1">
        <w:r w:rsidRPr="00E1708A">
          <w:rPr>
            <w:rStyle w:val="TextoNormalCaracter"/>
          </w:rPr>
          <w:t>338/2023</w:t>
        </w:r>
      </w:hyperlink>
      <w:r w:rsidRPr="00E1708A">
        <w:rPr>
          <w:rStyle w:val="TextoNormalCaracter"/>
        </w:rPr>
        <w:t xml:space="preserve">, f. 4, VP; </w:t>
      </w:r>
      <w:hyperlink w:anchor="AUTO_2023_425" w:history="1">
        <w:r w:rsidRPr="00E1708A">
          <w:rPr>
            <w:rStyle w:val="TextoNormalCaracter"/>
          </w:rPr>
          <w:t>425/2023</w:t>
        </w:r>
      </w:hyperlink>
      <w:r w:rsidRPr="00E1708A">
        <w:rPr>
          <w:rStyle w:val="TextoNormalCaracter"/>
        </w:rPr>
        <w:t>, ff. 2 a 4.</w:t>
      </w:r>
    </w:p>
    <w:p w14:paraId="1113A21C" w14:textId="37C7F121" w:rsidR="00E1708A" w:rsidRPr="00E1708A" w:rsidRDefault="00E1708A" w:rsidP="00E1708A">
      <w:pPr>
        <w:pStyle w:val="TextoNormalSangraFrancesa"/>
        <w:rPr>
          <w:rStyle w:val="TextoNormalCaracter"/>
        </w:rPr>
      </w:pPr>
      <w:bookmarkStart w:id="953" w:name="DESCRIPTORALFABETICO184"/>
      <w:r w:rsidRPr="00E1708A">
        <w:rPr>
          <w:rStyle w:val="TextoNormalNegritaCaracter"/>
        </w:rPr>
        <w:t>Agotamiento de la vía judicial</w:t>
      </w:r>
      <w:bookmarkEnd w:id="953"/>
      <w:r w:rsidRPr="00E1708A">
        <w:rPr>
          <w:rStyle w:val="TextoNormalCaracter"/>
        </w:rPr>
        <w:t xml:space="preserve">, Sentencias </w:t>
      </w:r>
      <w:hyperlink w:anchor="SENTENCIA_2023_82" w:history="1">
        <w:r w:rsidRPr="00E1708A">
          <w:rPr>
            <w:rStyle w:val="TextoNormalCaracter"/>
          </w:rPr>
          <w:t>82/2023</w:t>
        </w:r>
      </w:hyperlink>
      <w:r w:rsidRPr="00E1708A">
        <w:rPr>
          <w:rStyle w:val="TextoNormalCaracter"/>
        </w:rPr>
        <w:t xml:space="preserve">, f. 3; </w:t>
      </w:r>
      <w:hyperlink w:anchor="SENTENCIA_2023_172" w:history="1">
        <w:r w:rsidRPr="00E1708A">
          <w:rPr>
            <w:rStyle w:val="TextoNormalCaracter"/>
          </w:rPr>
          <w:t>172/2023</w:t>
        </w:r>
      </w:hyperlink>
      <w:r w:rsidRPr="00E1708A">
        <w:rPr>
          <w:rStyle w:val="TextoNormalCaracter"/>
        </w:rPr>
        <w:t>, f. 2.</w:t>
      </w:r>
    </w:p>
    <w:p w14:paraId="35472243" w14:textId="13D55FD1" w:rsidR="00E1708A" w:rsidRPr="00E1708A" w:rsidRDefault="00E1708A" w:rsidP="00E1708A">
      <w:pPr>
        <w:pStyle w:val="TextoNormalSangraFrancesa"/>
        <w:rPr>
          <w:rStyle w:val="TextoNormalCaracter"/>
        </w:rPr>
      </w:pPr>
      <w:bookmarkStart w:id="954" w:name="DESCRIPTORALFABETICO2"/>
      <w:r w:rsidRPr="00E1708A">
        <w:rPr>
          <w:rStyle w:val="TextoNormalNegritaCaracter"/>
        </w:rPr>
        <w:t>Ámbito territorial de competencias</w:t>
      </w:r>
      <w:bookmarkEnd w:id="954"/>
      <w:r w:rsidRPr="00E1708A">
        <w:rPr>
          <w:rStyle w:val="TextoNormalCaracter"/>
        </w:rPr>
        <w:t xml:space="preserve">, Sentencia </w:t>
      </w:r>
      <w:hyperlink w:anchor="SENTENCIA_2023_127" w:history="1">
        <w:r w:rsidRPr="00E1708A">
          <w:rPr>
            <w:rStyle w:val="TextoNormalCaracter"/>
          </w:rPr>
          <w:t>127/2023</w:t>
        </w:r>
      </w:hyperlink>
      <w:r w:rsidRPr="00E1708A">
        <w:rPr>
          <w:rStyle w:val="TextoNormalCaracter"/>
        </w:rPr>
        <w:t>, ff. 2 a 4, VP.</w:t>
      </w:r>
    </w:p>
    <w:p w14:paraId="0B4FE962" w14:textId="7E3E4C6A" w:rsidR="00E1708A" w:rsidRPr="00E1708A" w:rsidRDefault="00E1708A" w:rsidP="00E1708A">
      <w:pPr>
        <w:pStyle w:val="TextoNormalSangraFrancesa"/>
        <w:rPr>
          <w:rStyle w:val="TextoNormalCaracter"/>
        </w:rPr>
      </w:pPr>
      <w:bookmarkStart w:id="955" w:name="DESCRIPTORALFABETICO412"/>
      <w:r w:rsidRPr="00E1708A">
        <w:rPr>
          <w:rStyle w:val="TextoNormalNegritaCaracter"/>
        </w:rPr>
        <w:t>Anotación preventiva de demanda de amparo</w:t>
      </w:r>
      <w:bookmarkEnd w:id="955"/>
      <w:r w:rsidRPr="00E1708A">
        <w:rPr>
          <w:rStyle w:val="TextoNormalCaracter"/>
        </w:rPr>
        <w:t xml:space="preserve">, Autos </w:t>
      </w:r>
      <w:hyperlink w:anchor="AUTO_2023_370" w:history="1">
        <w:r w:rsidRPr="00E1708A">
          <w:rPr>
            <w:rStyle w:val="TextoNormalCaracter"/>
          </w:rPr>
          <w:t>370/2023</w:t>
        </w:r>
      </w:hyperlink>
      <w:r w:rsidRPr="00E1708A">
        <w:rPr>
          <w:rStyle w:val="TextoNormalCaracter"/>
        </w:rPr>
        <w:t xml:space="preserve">, ff. 2 y 3; </w:t>
      </w:r>
      <w:hyperlink w:anchor="AUTO_2023_428" w:history="1">
        <w:r w:rsidRPr="00E1708A">
          <w:rPr>
            <w:rStyle w:val="TextoNormalCaracter"/>
          </w:rPr>
          <w:t>428/2023</w:t>
        </w:r>
      </w:hyperlink>
      <w:r w:rsidRPr="00E1708A">
        <w:rPr>
          <w:rStyle w:val="TextoNormalCaracter"/>
        </w:rPr>
        <w:t xml:space="preserve">, f. 3; </w:t>
      </w:r>
      <w:hyperlink w:anchor="AUTO_2023_601" w:history="1">
        <w:r w:rsidRPr="00E1708A">
          <w:rPr>
            <w:rStyle w:val="TextoNormalCaracter"/>
          </w:rPr>
          <w:t>601/2023</w:t>
        </w:r>
      </w:hyperlink>
      <w:r w:rsidRPr="00E1708A">
        <w:rPr>
          <w:rStyle w:val="TextoNormalCaracter"/>
        </w:rPr>
        <w:t>, f. 4.</w:t>
      </w:r>
    </w:p>
    <w:p w14:paraId="77E3E592" w14:textId="680A4B4E" w:rsidR="00E1708A" w:rsidRPr="00E1708A" w:rsidRDefault="00E1708A" w:rsidP="00E1708A">
      <w:pPr>
        <w:pStyle w:val="TextoNormalSangraFrancesa"/>
        <w:rPr>
          <w:rStyle w:val="TextoNormalCaracter"/>
        </w:rPr>
      </w:pPr>
      <w:bookmarkStart w:id="956" w:name="DESCRIPTORALFABETICO227"/>
      <w:r w:rsidRPr="00E1708A">
        <w:rPr>
          <w:rStyle w:val="TextoNormalNegritaCaracter"/>
        </w:rPr>
        <w:t>Anteproyectos de ley</w:t>
      </w:r>
      <w:bookmarkEnd w:id="956"/>
      <w:r w:rsidRPr="00E1708A">
        <w:rPr>
          <w:rStyle w:val="TextoNormalCaracter"/>
        </w:rPr>
        <w:t xml:space="preserve">, Sentencia </w:t>
      </w:r>
      <w:hyperlink w:anchor="SENTENCIA_2023_128" w:history="1">
        <w:r w:rsidRPr="00E1708A">
          <w:rPr>
            <w:rStyle w:val="TextoNormalCaracter"/>
          </w:rPr>
          <w:t>128/2023</w:t>
        </w:r>
      </w:hyperlink>
      <w:r w:rsidRPr="00E1708A">
        <w:rPr>
          <w:rStyle w:val="TextoNormalCaracter"/>
        </w:rPr>
        <w:t>, f. 3.</w:t>
      </w:r>
    </w:p>
    <w:p w14:paraId="209BA178" w14:textId="44E899A7" w:rsidR="00E1708A" w:rsidRPr="00E1708A" w:rsidRDefault="00E1708A" w:rsidP="00E1708A">
      <w:pPr>
        <w:pStyle w:val="TextoNormalSangraFrancesa"/>
        <w:rPr>
          <w:rStyle w:val="TextoNormalCaracter"/>
        </w:rPr>
      </w:pPr>
      <w:bookmarkStart w:id="957" w:name="DESCRIPTORALFABETICO333"/>
      <w:r w:rsidRPr="00E1708A">
        <w:rPr>
          <w:rStyle w:val="TextoNormalNegritaCaracter"/>
        </w:rPr>
        <w:t>Aplicación del Derecho de la Unión Europea</w:t>
      </w:r>
      <w:bookmarkEnd w:id="957"/>
      <w:r w:rsidRPr="00E1708A">
        <w:rPr>
          <w:rStyle w:val="TextoNormalCaracter"/>
        </w:rPr>
        <w:t xml:space="preserve">, Sentencias </w:t>
      </w:r>
      <w:hyperlink w:anchor="SENTENCIA_2023_91" w:history="1">
        <w:r w:rsidRPr="00E1708A">
          <w:rPr>
            <w:rStyle w:val="TextoNormalCaracter"/>
          </w:rPr>
          <w:t>91/2023</w:t>
        </w:r>
      </w:hyperlink>
      <w:r w:rsidRPr="00E1708A">
        <w:rPr>
          <w:rStyle w:val="TextoNormalCaracter"/>
        </w:rPr>
        <w:t xml:space="preserve">, ff. 3 y 4; </w:t>
      </w:r>
      <w:hyperlink w:anchor="SENTENCIA_2023_96" w:history="1">
        <w:r w:rsidRPr="00E1708A">
          <w:rPr>
            <w:rStyle w:val="TextoNormalCaracter"/>
          </w:rPr>
          <w:t>96/2023</w:t>
        </w:r>
      </w:hyperlink>
      <w:r w:rsidRPr="00E1708A">
        <w:rPr>
          <w:rStyle w:val="TextoNormalCaracter"/>
        </w:rPr>
        <w:t>, ff. 2 y 3.</w:t>
      </w:r>
    </w:p>
    <w:p w14:paraId="0C8DDFA1" w14:textId="49C5A756" w:rsidR="00E1708A" w:rsidRPr="00E1708A" w:rsidRDefault="00E1708A" w:rsidP="00E1708A">
      <w:pPr>
        <w:pStyle w:val="TextoNormalSangraFrancesa"/>
        <w:rPr>
          <w:rStyle w:val="TextoNormalCaracter"/>
        </w:rPr>
      </w:pPr>
      <w:bookmarkStart w:id="958" w:name="DESCRIPTORALFABETICO319"/>
      <w:r w:rsidRPr="00E1708A">
        <w:rPr>
          <w:rStyle w:val="TextoNormalNegritaCaracter"/>
        </w:rPr>
        <w:t>Aprovechamiento de recursos minerales</w:t>
      </w:r>
      <w:bookmarkEnd w:id="958"/>
      <w:r w:rsidRPr="00E1708A">
        <w:rPr>
          <w:rStyle w:val="TextoNormalCaracter"/>
        </w:rPr>
        <w:t xml:space="preserve">, Sentencia </w:t>
      </w:r>
      <w:hyperlink w:anchor="SENTENCIA_2023_127" w:history="1">
        <w:r w:rsidRPr="00E1708A">
          <w:rPr>
            <w:rStyle w:val="TextoNormalCaracter"/>
          </w:rPr>
          <w:t>127/2023</w:t>
        </w:r>
      </w:hyperlink>
      <w:r w:rsidRPr="00E1708A">
        <w:rPr>
          <w:rStyle w:val="TextoNormalCaracter"/>
        </w:rPr>
        <w:t>, ff. 1 a 4.</w:t>
      </w:r>
    </w:p>
    <w:p w14:paraId="2B7CD6FF" w14:textId="3E954BA7" w:rsidR="00E1708A" w:rsidRPr="00E1708A" w:rsidRDefault="00E1708A" w:rsidP="00E1708A">
      <w:pPr>
        <w:pStyle w:val="TextoNormalSangraFrancesa"/>
        <w:rPr>
          <w:rStyle w:val="TextoNormalCaracter"/>
        </w:rPr>
      </w:pPr>
      <w:bookmarkStart w:id="959" w:name="DESCRIPTORALFABETICO7"/>
      <w:r w:rsidRPr="00E1708A">
        <w:rPr>
          <w:rStyle w:val="TextoNormalNegritaCaracter"/>
        </w:rPr>
        <w:t>Aprovechamientos hidráulicos en cuencas supraautonómicas</w:t>
      </w:r>
      <w:bookmarkEnd w:id="959"/>
      <w:r w:rsidRPr="00E1708A">
        <w:rPr>
          <w:rStyle w:val="TextoNormalCaracter"/>
        </w:rPr>
        <w:t xml:space="preserve">, Sentencia </w:t>
      </w:r>
      <w:hyperlink w:anchor="SENTENCIA_2023_126" w:history="1">
        <w:r w:rsidRPr="00E1708A">
          <w:rPr>
            <w:rStyle w:val="TextoNormalCaracter"/>
          </w:rPr>
          <w:t>126/2023</w:t>
        </w:r>
      </w:hyperlink>
      <w:r w:rsidRPr="00E1708A">
        <w:rPr>
          <w:rStyle w:val="TextoNormalCaracter"/>
        </w:rPr>
        <w:t>, ff. 3 a 5.</w:t>
      </w:r>
    </w:p>
    <w:p w14:paraId="556B7463" w14:textId="299E2FCE" w:rsidR="00E1708A" w:rsidRPr="00E1708A" w:rsidRDefault="00E1708A" w:rsidP="00E1708A">
      <w:pPr>
        <w:pStyle w:val="TextoNormalSangraFrancesa"/>
        <w:rPr>
          <w:rStyle w:val="TextoNormalCaracter"/>
        </w:rPr>
      </w:pPr>
      <w:bookmarkStart w:id="960" w:name="DESCRIPTORALFABETICO264"/>
      <w:r w:rsidRPr="00E1708A">
        <w:rPr>
          <w:rStyle w:val="TextoNormalNegritaCaracter"/>
        </w:rPr>
        <w:t>Arbitrariedad del legislador</w:t>
      </w:r>
      <w:bookmarkEnd w:id="960"/>
      <w:r w:rsidRPr="00E1708A">
        <w:rPr>
          <w:rStyle w:val="TextoNormalCaracter"/>
        </w:rPr>
        <w:t xml:space="preserve">, Sentencia </w:t>
      </w:r>
      <w:hyperlink w:anchor="SENTENCIA_2023_144" w:history="1">
        <w:r w:rsidRPr="00E1708A">
          <w:rPr>
            <w:rStyle w:val="TextoNormalCaracter"/>
          </w:rPr>
          <w:t>144/2023</w:t>
        </w:r>
      </w:hyperlink>
      <w:r w:rsidRPr="00E1708A">
        <w:rPr>
          <w:rStyle w:val="TextoNormalCaracter"/>
        </w:rPr>
        <w:t>, f. 5.</w:t>
      </w:r>
    </w:p>
    <w:p w14:paraId="4F3084AD" w14:textId="54E647AC" w:rsidR="00E1708A" w:rsidRPr="00E1708A" w:rsidRDefault="00E1708A" w:rsidP="00E1708A">
      <w:pPr>
        <w:pStyle w:val="TextoNormalSangraFrancesa"/>
        <w:rPr>
          <w:rStyle w:val="TextoNormalCaracter"/>
        </w:rPr>
      </w:pPr>
      <w:bookmarkStart w:id="961" w:name="DESCRIPTORALFABETICO25"/>
      <w:r w:rsidRPr="00E1708A">
        <w:rPr>
          <w:rStyle w:val="TextoNormalNegritaCaracter"/>
        </w:rPr>
        <w:t>Armonización fiscal</w:t>
      </w:r>
      <w:bookmarkEnd w:id="961"/>
      <w:r w:rsidRPr="00E1708A">
        <w:rPr>
          <w:rStyle w:val="TextoNormalCaracter"/>
        </w:rPr>
        <w:t xml:space="preserve">, Sentencias </w:t>
      </w:r>
      <w:hyperlink w:anchor="SENTENCIA_2023_149" w:history="1">
        <w:r w:rsidRPr="00E1708A">
          <w:rPr>
            <w:rStyle w:val="TextoNormalCaracter"/>
          </w:rPr>
          <w:t>149/2023</w:t>
        </w:r>
      </w:hyperlink>
      <w:r w:rsidRPr="00E1708A">
        <w:rPr>
          <w:rStyle w:val="TextoNormalCaracter"/>
        </w:rPr>
        <w:t xml:space="preserve">, f. 3, VP; </w:t>
      </w:r>
      <w:hyperlink w:anchor="SENTENCIA_2023_170" w:history="1">
        <w:r w:rsidRPr="00E1708A">
          <w:rPr>
            <w:rStyle w:val="TextoNormalCaracter"/>
          </w:rPr>
          <w:t>170/2023</w:t>
        </w:r>
      </w:hyperlink>
      <w:r w:rsidRPr="00E1708A">
        <w:rPr>
          <w:rStyle w:val="TextoNormalCaracter"/>
        </w:rPr>
        <w:t xml:space="preserve">, f. 4, VP; </w:t>
      </w:r>
      <w:hyperlink w:anchor="SENTENCIA_2023_171" w:history="1">
        <w:r w:rsidRPr="00E1708A">
          <w:rPr>
            <w:rStyle w:val="TextoNormalCaracter"/>
          </w:rPr>
          <w:t>171/2023</w:t>
        </w:r>
      </w:hyperlink>
      <w:r w:rsidRPr="00E1708A">
        <w:rPr>
          <w:rStyle w:val="TextoNormalCaracter"/>
        </w:rPr>
        <w:t xml:space="preserve">, f. 4, VP; </w:t>
      </w:r>
      <w:hyperlink w:anchor="SENTENCIA_2023_189" w:history="1">
        <w:r w:rsidRPr="00E1708A">
          <w:rPr>
            <w:rStyle w:val="TextoNormalCaracter"/>
          </w:rPr>
          <w:t>189/2023</w:t>
        </w:r>
      </w:hyperlink>
      <w:r w:rsidRPr="00E1708A">
        <w:rPr>
          <w:rStyle w:val="TextoNormalCaracter"/>
        </w:rPr>
        <w:t xml:space="preserve">, f. 4, VP; </w:t>
      </w:r>
      <w:hyperlink w:anchor="SENTENCIA_2023_190" w:history="1">
        <w:r w:rsidRPr="00E1708A">
          <w:rPr>
            <w:rStyle w:val="TextoNormalCaracter"/>
          </w:rPr>
          <w:t>190/2023</w:t>
        </w:r>
      </w:hyperlink>
      <w:r w:rsidRPr="00E1708A">
        <w:rPr>
          <w:rStyle w:val="TextoNormalCaracter"/>
        </w:rPr>
        <w:t>, f. 4, VP.</w:t>
      </w:r>
    </w:p>
    <w:p w14:paraId="1F46AD27" w14:textId="7D014B0F" w:rsidR="00E1708A" w:rsidRPr="00E1708A" w:rsidRDefault="00E1708A" w:rsidP="00E1708A">
      <w:pPr>
        <w:pStyle w:val="TextoNormalSangraFrancesa"/>
        <w:rPr>
          <w:rStyle w:val="TextoNormalCaracter"/>
        </w:rPr>
      </w:pPr>
      <w:bookmarkStart w:id="962" w:name="DESCRIPTORALFABETICO323"/>
      <w:r w:rsidRPr="00E1708A">
        <w:rPr>
          <w:rStyle w:val="TextoNormalNegritaCaracter"/>
        </w:rPr>
        <w:t>Arraigo familiar</w:t>
      </w:r>
      <w:bookmarkEnd w:id="962"/>
      <w:r w:rsidRPr="00E1708A">
        <w:rPr>
          <w:rStyle w:val="TextoNormalCaracter"/>
        </w:rPr>
        <w:t xml:space="preserve">, Sentencias </w:t>
      </w:r>
      <w:hyperlink w:anchor="SENTENCIA_2023_80" w:history="1">
        <w:r w:rsidRPr="00E1708A">
          <w:rPr>
            <w:rStyle w:val="TextoNormalCaracter"/>
          </w:rPr>
          <w:t>80/2023</w:t>
        </w:r>
      </w:hyperlink>
      <w:r w:rsidRPr="00E1708A">
        <w:rPr>
          <w:rStyle w:val="TextoNormalCaracter"/>
        </w:rPr>
        <w:t xml:space="preserve">, f. único; </w:t>
      </w:r>
      <w:hyperlink w:anchor="SENTENCIA_2023_86" w:history="1">
        <w:r w:rsidRPr="00E1708A">
          <w:rPr>
            <w:rStyle w:val="TextoNormalCaracter"/>
          </w:rPr>
          <w:t>86/2023</w:t>
        </w:r>
      </w:hyperlink>
      <w:r w:rsidRPr="00E1708A">
        <w:rPr>
          <w:rStyle w:val="TextoNormalCaracter"/>
        </w:rPr>
        <w:t xml:space="preserve">, f. único; </w:t>
      </w:r>
      <w:hyperlink w:anchor="SENTENCIA_2023_87" w:history="1">
        <w:r w:rsidRPr="00E1708A">
          <w:rPr>
            <w:rStyle w:val="TextoNormalCaracter"/>
          </w:rPr>
          <w:t>87/2023</w:t>
        </w:r>
      </w:hyperlink>
      <w:r w:rsidRPr="00E1708A">
        <w:rPr>
          <w:rStyle w:val="TextoNormalCaracter"/>
        </w:rPr>
        <w:t>, f. 3.</w:t>
      </w:r>
    </w:p>
    <w:p w14:paraId="358D520C" w14:textId="2074FC96" w:rsidR="00E1708A" w:rsidRPr="00E1708A" w:rsidRDefault="00E1708A" w:rsidP="00E1708A">
      <w:pPr>
        <w:pStyle w:val="TextoNormalSangraFrancesa"/>
        <w:rPr>
          <w:rStyle w:val="TextoNormalCaracter"/>
        </w:rPr>
      </w:pPr>
      <w:bookmarkStart w:id="963" w:name="DESCRIPTORALFABETICO363"/>
      <w:r w:rsidRPr="00E1708A">
        <w:rPr>
          <w:rStyle w:val="TextoNormalNegritaCaracter"/>
        </w:rPr>
        <w:t>Asociaciones</w:t>
      </w:r>
      <w:bookmarkEnd w:id="963"/>
      <w:r w:rsidRPr="00E1708A">
        <w:rPr>
          <w:rStyle w:val="TextoNormalCaracter"/>
        </w:rPr>
        <w:t xml:space="preserve">, Sentencia </w:t>
      </w:r>
      <w:hyperlink w:anchor="SENTENCIA_2023_129" w:history="1">
        <w:r w:rsidRPr="00E1708A">
          <w:rPr>
            <w:rStyle w:val="TextoNormalCaracter"/>
          </w:rPr>
          <w:t>129/2023</w:t>
        </w:r>
      </w:hyperlink>
      <w:r w:rsidRPr="00E1708A">
        <w:rPr>
          <w:rStyle w:val="TextoNormalCaracter"/>
        </w:rPr>
        <w:t>, ff. 1 a 4.</w:t>
      </w:r>
    </w:p>
    <w:p w14:paraId="5B5BE565" w14:textId="37B69088" w:rsidR="00E1708A" w:rsidRPr="00E1708A" w:rsidRDefault="00E1708A" w:rsidP="00E1708A">
      <w:pPr>
        <w:pStyle w:val="TextoNormalSangraFrancesa"/>
        <w:rPr>
          <w:rStyle w:val="TextoNormalCaracter"/>
        </w:rPr>
      </w:pPr>
      <w:bookmarkStart w:id="964" w:name="DESCRIPTORALFABETICO210"/>
      <w:r w:rsidRPr="00E1708A">
        <w:rPr>
          <w:rStyle w:val="TextoNormalNegritaCaracter"/>
        </w:rPr>
        <w:t>Atribuciones del Gobierno</w:t>
      </w:r>
      <w:bookmarkEnd w:id="964"/>
      <w:r w:rsidRPr="00E1708A">
        <w:rPr>
          <w:rStyle w:val="TextoNormalCaracter"/>
        </w:rPr>
        <w:t xml:space="preserve">, Sentencia </w:t>
      </w:r>
      <w:hyperlink w:anchor="SENTENCIA_2023_145" w:history="1">
        <w:r w:rsidRPr="00E1708A">
          <w:rPr>
            <w:rStyle w:val="TextoNormalCaracter"/>
          </w:rPr>
          <w:t>145/2023</w:t>
        </w:r>
      </w:hyperlink>
      <w:r w:rsidRPr="00E1708A">
        <w:rPr>
          <w:rStyle w:val="TextoNormalCaracter"/>
        </w:rPr>
        <w:t>, ff. 1, 3, 4, 5, 6.</w:t>
      </w:r>
    </w:p>
    <w:p w14:paraId="1B157DEE" w14:textId="783F4667" w:rsidR="00E1708A" w:rsidRPr="00E1708A" w:rsidRDefault="00E1708A" w:rsidP="00E1708A">
      <w:pPr>
        <w:pStyle w:val="TextoNormalSangraFrancesa"/>
        <w:rPr>
          <w:rStyle w:val="TextoNormalCaracter"/>
        </w:rPr>
      </w:pPr>
      <w:bookmarkStart w:id="965" w:name="DESCRIPTORALFABETICO186"/>
      <w:r w:rsidRPr="00E1708A">
        <w:rPr>
          <w:rStyle w:val="TextoNormalNegritaCaracter"/>
        </w:rPr>
        <w:t>Ausencia de doctrina constitucional</w:t>
      </w:r>
      <w:bookmarkEnd w:id="965"/>
      <w:r w:rsidRPr="00E1708A">
        <w:rPr>
          <w:rStyle w:val="TextoNormalCaracter"/>
        </w:rPr>
        <w:t xml:space="preserve">, Sentencias </w:t>
      </w:r>
      <w:hyperlink w:anchor="SENTENCIA_2023_92" w:history="1">
        <w:r w:rsidRPr="00E1708A">
          <w:rPr>
            <w:rStyle w:val="TextoNormalCaracter"/>
          </w:rPr>
          <w:t>92/2023</w:t>
        </w:r>
      </w:hyperlink>
      <w:r w:rsidRPr="00E1708A">
        <w:rPr>
          <w:rStyle w:val="TextoNormalCaracter"/>
        </w:rPr>
        <w:t xml:space="preserve">, f. 2; </w:t>
      </w:r>
      <w:hyperlink w:anchor="SENTENCIA_2023_131" w:history="1">
        <w:r w:rsidRPr="00E1708A">
          <w:rPr>
            <w:rStyle w:val="TextoNormalCaracter"/>
          </w:rPr>
          <w:t>131/2023</w:t>
        </w:r>
      </w:hyperlink>
      <w:r w:rsidRPr="00E1708A">
        <w:rPr>
          <w:rStyle w:val="TextoNormalCaracter"/>
        </w:rPr>
        <w:t>, VP.</w:t>
      </w:r>
    </w:p>
    <w:p w14:paraId="26200C85" w14:textId="7F1C3E4E" w:rsidR="00E1708A" w:rsidRPr="00E1708A" w:rsidRDefault="00E1708A" w:rsidP="00E1708A">
      <w:pPr>
        <w:pStyle w:val="TextoNormalSangraFrancesa"/>
        <w:rPr>
          <w:rStyle w:val="TextoNormalCaracter"/>
        </w:rPr>
      </w:pPr>
      <w:r w:rsidRPr="00E1708A">
        <w:rPr>
          <w:rStyle w:val="TextoNormalCaracter"/>
        </w:rPr>
        <w:t xml:space="preserve">    Auto </w:t>
      </w:r>
      <w:hyperlink w:anchor="AUTO_2023_338" w:history="1">
        <w:r w:rsidRPr="00E1708A">
          <w:rPr>
            <w:rStyle w:val="TextoNormalCaracter"/>
          </w:rPr>
          <w:t>338/2023</w:t>
        </w:r>
      </w:hyperlink>
      <w:r w:rsidRPr="00E1708A">
        <w:rPr>
          <w:rStyle w:val="TextoNormalCaracter"/>
        </w:rPr>
        <w:t>, ff. 3 y 4, VP.</w:t>
      </w:r>
    </w:p>
    <w:p w14:paraId="7A37AF67" w14:textId="0439E3A9" w:rsidR="00E1708A" w:rsidRPr="00E1708A" w:rsidRDefault="00E1708A" w:rsidP="00E1708A">
      <w:pPr>
        <w:pStyle w:val="TextoNormalSangraFrancesa"/>
        <w:rPr>
          <w:rStyle w:val="TextoNormalCaracter"/>
        </w:rPr>
      </w:pPr>
      <w:bookmarkStart w:id="966" w:name="DESCRIPTORALFABETICO379"/>
      <w:r w:rsidRPr="00E1708A">
        <w:rPr>
          <w:rStyle w:val="TextoNormalNegritaCaracter"/>
        </w:rPr>
        <w:t>Autonomía del paciente</w:t>
      </w:r>
      <w:bookmarkEnd w:id="966"/>
      <w:r w:rsidRPr="00E1708A">
        <w:rPr>
          <w:rStyle w:val="TextoNormalCaracter"/>
        </w:rPr>
        <w:t xml:space="preserve">, Sentencias </w:t>
      </w:r>
      <w:hyperlink w:anchor="SENTENCIA_2023_94" w:history="1">
        <w:r w:rsidRPr="00E1708A">
          <w:rPr>
            <w:rStyle w:val="TextoNormalCaracter"/>
          </w:rPr>
          <w:t>94/2023</w:t>
        </w:r>
      </w:hyperlink>
      <w:r w:rsidRPr="00E1708A">
        <w:rPr>
          <w:rStyle w:val="TextoNormalCaracter"/>
        </w:rPr>
        <w:t xml:space="preserve">, f. 3; </w:t>
      </w:r>
      <w:hyperlink w:anchor="SENTENCIA_2023_148" w:history="1">
        <w:r w:rsidRPr="00E1708A">
          <w:rPr>
            <w:rStyle w:val="TextoNormalCaracter"/>
          </w:rPr>
          <w:t>148/2023</w:t>
        </w:r>
      </w:hyperlink>
      <w:r w:rsidRPr="00E1708A">
        <w:rPr>
          <w:rStyle w:val="TextoNormalCaracter"/>
        </w:rPr>
        <w:t xml:space="preserve">, f. 4; </w:t>
      </w:r>
      <w:hyperlink w:anchor="SENTENCIA_2023_163" w:history="1">
        <w:r w:rsidRPr="00E1708A">
          <w:rPr>
            <w:rStyle w:val="TextoNormalCaracter"/>
          </w:rPr>
          <w:t>163/2023</w:t>
        </w:r>
      </w:hyperlink>
      <w:r w:rsidRPr="00E1708A">
        <w:rPr>
          <w:rStyle w:val="TextoNormalCaracter"/>
        </w:rPr>
        <w:t>, f. único.</w:t>
      </w:r>
    </w:p>
    <w:p w14:paraId="5A7B69B1" w14:textId="1D32AF35" w:rsidR="00E1708A" w:rsidRPr="00E1708A" w:rsidRDefault="00E1708A" w:rsidP="00E1708A">
      <w:pPr>
        <w:pStyle w:val="TextoNormalSangraFrancesa"/>
        <w:rPr>
          <w:rStyle w:val="TextoNormalCaracter"/>
        </w:rPr>
      </w:pPr>
      <w:bookmarkStart w:id="967" w:name="DESCRIPTORALFABETICO18"/>
      <w:r w:rsidRPr="00E1708A">
        <w:rPr>
          <w:rStyle w:val="TextoNormalNegritaCaracter"/>
        </w:rPr>
        <w:t>Autonomía financiera</w:t>
      </w:r>
      <w:bookmarkEnd w:id="967"/>
      <w:r w:rsidRPr="00E1708A">
        <w:rPr>
          <w:rStyle w:val="TextoNormalCaracter"/>
        </w:rPr>
        <w:t xml:space="preserve">, Sentencias </w:t>
      </w:r>
      <w:hyperlink w:anchor="SENTENCIA_2023_149" w:history="1">
        <w:r w:rsidRPr="00E1708A">
          <w:rPr>
            <w:rStyle w:val="TextoNormalCaracter"/>
          </w:rPr>
          <w:t>149/2023</w:t>
        </w:r>
      </w:hyperlink>
      <w:r w:rsidRPr="00E1708A">
        <w:rPr>
          <w:rStyle w:val="TextoNormalCaracter"/>
        </w:rPr>
        <w:t xml:space="preserve">, f. 3 y VP; </w:t>
      </w:r>
      <w:hyperlink w:anchor="SENTENCIA_2023_170" w:history="1">
        <w:r w:rsidRPr="00E1708A">
          <w:rPr>
            <w:rStyle w:val="TextoNormalCaracter"/>
          </w:rPr>
          <w:t>170/2023</w:t>
        </w:r>
      </w:hyperlink>
      <w:r w:rsidRPr="00E1708A">
        <w:rPr>
          <w:rStyle w:val="TextoNormalCaracter"/>
        </w:rPr>
        <w:t xml:space="preserve">, f. 2, VP; </w:t>
      </w:r>
      <w:hyperlink w:anchor="SENTENCIA_2023_171" w:history="1">
        <w:r w:rsidRPr="00E1708A">
          <w:rPr>
            <w:rStyle w:val="TextoNormalCaracter"/>
          </w:rPr>
          <w:t>171/2023</w:t>
        </w:r>
      </w:hyperlink>
      <w:r w:rsidRPr="00E1708A">
        <w:rPr>
          <w:rStyle w:val="TextoNormalCaracter"/>
        </w:rPr>
        <w:t xml:space="preserve">, f. 2, VP; </w:t>
      </w:r>
      <w:hyperlink w:anchor="SENTENCIA_2023_189" w:history="1">
        <w:r w:rsidRPr="00E1708A">
          <w:rPr>
            <w:rStyle w:val="TextoNormalCaracter"/>
          </w:rPr>
          <w:t>189/2023</w:t>
        </w:r>
      </w:hyperlink>
      <w:r w:rsidRPr="00E1708A">
        <w:rPr>
          <w:rStyle w:val="TextoNormalCaracter"/>
        </w:rPr>
        <w:t xml:space="preserve">, f. 2, VP; </w:t>
      </w:r>
      <w:hyperlink w:anchor="SENTENCIA_2023_190" w:history="1">
        <w:r w:rsidRPr="00E1708A">
          <w:rPr>
            <w:rStyle w:val="TextoNormalCaracter"/>
          </w:rPr>
          <w:t>190/2023</w:t>
        </w:r>
      </w:hyperlink>
      <w:r w:rsidRPr="00E1708A">
        <w:rPr>
          <w:rStyle w:val="TextoNormalCaracter"/>
        </w:rPr>
        <w:t>, f. 2, VP.</w:t>
      </w:r>
    </w:p>
    <w:p w14:paraId="6C2FD492" w14:textId="3A104766" w:rsidR="00E1708A" w:rsidRPr="00E1708A" w:rsidRDefault="00E1708A" w:rsidP="00E1708A">
      <w:pPr>
        <w:pStyle w:val="TextoNormalSangraFrancesa"/>
        <w:rPr>
          <w:rStyle w:val="TextoNormalCaracter"/>
        </w:rPr>
      </w:pPr>
      <w:bookmarkStart w:id="968" w:name="DESCRIPTORALFABETICO23"/>
      <w:r w:rsidRPr="00E1708A">
        <w:rPr>
          <w:rStyle w:val="TextoNormalNegritaCaracter"/>
        </w:rPr>
        <w:t>Autonomía financiera de los entes locales</w:t>
      </w:r>
      <w:bookmarkEnd w:id="968"/>
      <w:r w:rsidRPr="00E1708A">
        <w:rPr>
          <w:rStyle w:val="TextoNormalCaracter"/>
        </w:rPr>
        <w:t xml:space="preserve">, Sentencia </w:t>
      </w:r>
      <w:hyperlink w:anchor="SENTENCIA_2023_143" w:history="1">
        <w:r w:rsidRPr="00E1708A">
          <w:rPr>
            <w:rStyle w:val="TextoNormalCaracter"/>
          </w:rPr>
          <w:t>143/2023</w:t>
        </w:r>
      </w:hyperlink>
      <w:r w:rsidRPr="00E1708A">
        <w:rPr>
          <w:rStyle w:val="TextoNormalCaracter"/>
        </w:rPr>
        <w:t>, f. 3.</w:t>
      </w:r>
    </w:p>
    <w:p w14:paraId="6CB1B0B2" w14:textId="17FDC53D" w:rsidR="00E1708A" w:rsidRPr="00E1708A" w:rsidRDefault="00E1708A" w:rsidP="00E1708A">
      <w:pPr>
        <w:pStyle w:val="TextoNormalSangraFrancesa"/>
        <w:rPr>
          <w:rStyle w:val="TextoNormalCaracter"/>
        </w:rPr>
      </w:pPr>
      <w:bookmarkStart w:id="969" w:name="DESCRIPTORALFABETICO262"/>
      <w:r w:rsidRPr="00E1708A">
        <w:rPr>
          <w:rStyle w:val="TextoNormalNegritaCaracter"/>
        </w:rPr>
        <w:t>Autonomía local</w:t>
      </w:r>
      <w:bookmarkEnd w:id="969"/>
      <w:r w:rsidRPr="00E1708A">
        <w:rPr>
          <w:rStyle w:val="TextoNormalCaracter"/>
        </w:rPr>
        <w:t xml:space="preserve">, Sentencia </w:t>
      </w:r>
      <w:hyperlink w:anchor="SENTENCIA_2023_124" w:history="1">
        <w:r w:rsidRPr="00E1708A">
          <w:rPr>
            <w:rStyle w:val="TextoNormalCaracter"/>
          </w:rPr>
          <w:t>124/2023</w:t>
        </w:r>
      </w:hyperlink>
      <w:r w:rsidRPr="00E1708A">
        <w:rPr>
          <w:rStyle w:val="TextoNormalCaracter"/>
        </w:rPr>
        <w:t>, ff. 4 a 8, VP I, VP II.</w:t>
      </w:r>
    </w:p>
    <w:p w14:paraId="738664B9" w14:textId="6729A4AF" w:rsidR="00E1708A" w:rsidRPr="00E1708A" w:rsidRDefault="00E1708A" w:rsidP="00E1708A">
      <w:pPr>
        <w:pStyle w:val="TextoNormalSangraFrancesa"/>
        <w:rPr>
          <w:rStyle w:val="TextoNormalCaracter"/>
        </w:rPr>
      </w:pPr>
      <w:bookmarkStart w:id="970" w:name="DESCRIPTORALFABETICO238"/>
      <w:r w:rsidRPr="00E1708A">
        <w:rPr>
          <w:rStyle w:val="TextoNormalNegritaCaracter"/>
        </w:rPr>
        <w:t>Autonomía parlamentaria</w:t>
      </w:r>
      <w:bookmarkEnd w:id="970"/>
      <w:r w:rsidRPr="00E1708A">
        <w:rPr>
          <w:rStyle w:val="TextoNormalCaracter"/>
        </w:rPr>
        <w:t xml:space="preserve">, Sentencia </w:t>
      </w:r>
      <w:hyperlink w:anchor="SENTENCIA_2023_165" w:history="1">
        <w:r w:rsidRPr="00E1708A">
          <w:rPr>
            <w:rStyle w:val="TextoNormalCaracter"/>
          </w:rPr>
          <w:t>165/2023</w:t>
        </w:r>
      </w:hyperlink>
      <w:r w:rsidRPr="00E1708A">
        <w:rPr>
          <w:rStyle w:val="TextoNormalCaracter"/>
        </w:rPr>
        <w:t>, ff. 3 y 4.</w:t>
      </w:r>
    </w:p>
    <w:p w14:paraId="53F98689" w14:textId="213CD96D" w:rsidR="00E1708A" w:rsidRPr="00E1708A" w:rsidRDefault="00E1708A" w:rsidP="00E1708A">
      <w:pPr>
        <w:pStyle w:val="TextoNormalSangraFrancesa"/>
        <w:rPr>
          <w:rStyle w:val="TextoNormalCaracter"/>
        </w:rPr>
      </w:pPr>
      <w:bookmarkStart w:id="971" w:name="DESCRIPTORALFABETICO263"/>
      <w:r w:rsidRPr="00E1708A">
        <w:rPr>
          <w:rStyle w:val="TextoNormalNegritaCaracter"/>
        </w:rPr>
        <w:t>Autonomía provincial</w:t>
      </w:r>
      <w:bookmarkEnd w:id="971"/>
      <w:r w:rsidRPr="00E1708A">
        <w:rPr>
          <w:rStyle w:val="TextoNormalCaracter"/>
        </w:rPr>
        <w:t xml:space="preserve">, Sentencias </w:t>
      </w:r>
      <w:hyperlink w:anchor="SENTENCIA_2023_124" w:history="1">
        <w:r w:rsidRPr="00E1708A">
          <w:rPr>
            <w:rStyle w:val="TextoNormalCaracter"/>
          </w:rPr>
          <w:t>124/2023</w:t>
        </w:r>
      </w:hyperlink>
      <w:r w:rsidRPr="00E1708A">
        <w:rPr>
          <w:rStyle w:val="TextoNormalCaracter"/>
        </w:rPr>
        <w:t xml:space="preserve">, ff. 4 a 8, VP I, VP II; </w:t>
      </w:r>
      <w:hyperlink w:anchor="SENTENCIA_2023_143" w:history="1">
        <w:r w:rsidRPr="00E1708A">
          <w:rPr>
            <w:rStyle w:val="TextoNormalCaracter"/>
          </w:rPr>
          <w:t>143/2023</w:t>
        </w:r>
      </w:hyperlink>
      <w:r w:rsidRPr="00E1708A">
        <w:rPr>
          <w:rStyle w:val="TextoNormalCaracter"/>
        </w:rPr>
        <w:t>, f. 3.</w:t>
      </w:r>
    </w:p>
    <w:p w14:paraId="4F7623C6" w14:textId="0280D78D" w:rsidR="00E1708A" w:rsidRPr="00E1708A" w:rsidRDefault="00E1708A" w:rsidP="00E1708A">
      <w:pPr>
        <w:pStyle w:val="TextoNormalSangraFrancesa"/>
        <w:rPr>
          <w:rStyle w:val="TextoNormalCaracter"/>
        </w:rPr>
      </w:pPr>
      <w:bookmarkStart w:id="972" w:name="DESCRIPTORALFABETICO398"/>
      <w:r w:rsidRPr="00E1708A">
        <w:rPr>
          <w:rStyle w:val="TextoNormalNegritaCaracter"/>
        </w:rPr>
        <w:t>Autorización judicial</w:t>
      </w:r>
      <w:bookmarkEnd w:id="972"/>
      <w:r w:rsidRPr="00E1708A">
        <w:rPr>
          <w:rStyle w:val="TextoNormalCaracter"/>
        </w:rPr>
        <w:t xml:space="preserve">, Sentencias </w:t>
      </w:r>
      <w:hyperlink w:anchor="SENTENCIA_2023_92" w:history="1">
        <w:r w:rsidRPr="00E1708A">
          <w:rPr>
            <w:rStyle w:val="TextoNormalCaracter"/>
          </w:rPr>
          <w:t>92/2023</w:t>
        </w:r>
      </w:hyperlink>
      <w:r w:rsidRPr="00E1708A">
        <w:rPr>
          <w:rStyle w:val="TextoNormalCaracter"/>
        </w:rPr>
        <w:t xml:space="preserve">, ff. 6 a 8; </w:t>
      </w:r>
      <w:hyperlink w:anchor="SENTENCIA_2023_146" w:history="1">
        <w:r w:rsidRPr="00E1708A">
          <w:rPr>
            <w:rStyle w:val="TextoNormalCaracter"/>
          </w:rPr>
          <w:t>146/2023</w:t>
        </w:r>
      </w:hyperlink>
      <w:r w:rsidRPr="00E1708A">
        <w:rPr>
          <w:rStyle w:val="TextoNormalCaracter"/>
        </w:rPr>
        <w:t>.</w:t>
      </w:r>
    </w:p>
    <w:p w14:paraId="31F2B94C" w14:textId="1BF98BD5" w:rsidR="00E1708A" w:rsidRDefault="00E1708A" w:rsidP="00E1708A">
      <w:pPr>
        <w:pStyle w:val="TextoNormalSangraFrancesa"/>
      </w:pPr>
    </w:p>
    <w:p w14:paraId="79468949" w14:textId="77777777" w:rsidR="00E1708A" w:rsidRDefault="00E1708A" w:rsidP="00E1708A">
      <w:pPr>
        <w:pStyle w:val="TextoNormalSangraFrancesa"/>
      </w:pPr>
    </w:p>
    <w:p w14:paraId="093C503E" w14:textId="77777777" w:rsidR="00E1708A" w:rsidRDefault="00E1708A" w:rsidP="00E1708A">
      <w:pPr>
        <w:pStyle w:val="TextoNormalNegritaCentrado"/>
      </w:pPr>
      <w:r>
        <w:t>B</w:t>
      </w:r>
    </w:p>
    <w:p w14:paraId="071CE6FE" w14:textId="7AD645AF" w:rsidR="00E1708A" w:rsidRDefault="00E1708A" w:rsidP="00E1708A">
      <w:pPr>
        <w:pStyle w:val="TextoNormalNegritaCentrado"/>
      </w:pPr>
    </w:p>
    <w:p w14:paraId="5C0965A8" w14:textId="4E4D6F2F" w:rsidR="00E1708A" w:rsidRPr="00E1708A" w:rsidRDefault="00E1708A" w:rsidP="00E1708A">
      <w:pPr>
        <w:pStyle w:val="TextoNormalSangraFrancesa"/>
        <w:rPr>
          <w:rStyle w:val="TextoNormalCaracter"/>
        </w:rPr>
      </w:pPr>
      <w:bookmarkStart w:id="973" w:name="DESCRIPTORALFABETICO1"/>
      <w:r w:rsidRPr="00E1708A">
        <w:rPr>
          <w:rStyle w:val="TextoNormalNegritaCaracter"/>
        </w:rPr>
        <w:t>Bloque de constitucionalidad</w:t>
      </w:r>
      <w:bookmarkEnd w:id="973"/>
      <w:r w:rsidRPr="00E1708A">
        <w:rPr>
          <w:rStyle w:val="TextoNormalCaracter"/>
        </w:rPr>
        <w:t xml:space="preserve">, Sentencias </w:t>
      </w:r>
      <w:hyperlink w:anchor="SENTENCIA_2023_124" w:history="1">
        <w:r w:rsidRPr="00E1708A">
          <w:rPr>
            <w:rStyle w:val="TextoNormalCaracter"/>
          </w:rPr>
          <w:t>124/2023</w:t>
        </w:r>
      </w:hyperlink>
      <w:r w:rsidRPr="00E1708A">
        <w:rPr>
          <w:rStyle w:val="TextoNormalCaracter"/>
        </w:rPr>
        <w:t xml:space="preserve">, ff. 2, 7 y 8; </w:t>
      </w:r>
      <w:hyperlink w:anchor="SENTENCIA_2023_149" w:history="1">
        <w:r w:rsidRPr="00E1708A">
          <w:rPr>
            <w:rStyle w:val="TextoNormalCaracter"/>
          </w:rPr>
          <w:t>149/2023</w:t>
        </w:r>
      </w:hyperlink>
      <w:r w:rsidRPr="00E1708A">
        <w:rPr>
          <w:rStyle w:val="TextoNormalCaracter"/>
        </w:rPr>
        <w:t>, VP.</w:t>
      </w:r>
    </w:p>
    <w:p w14:paraId="6968BD81" w14:textId="723AFD04" w:rsidR="00E1708A" w:rsidRDefault="00E1708A" w:rsidP="00E1708A">
      <w:pPr>
        <w:pStyle w:val="TextoNormalSangraFrancesa"/>
      </w:pPr>
    </w:p>
    <w:p w14:paraId="5A4ED135" w14:textId="77777777" w:rsidR="00E1708A" w:rsidRDefault="00E1708A" w:rsidP="00E1708A">
      <w:pPr>
        <w:pStyle w:val="TextoNormalSangraFrancesa"/>
      </w:pPr>
    </w:p>
    <w:p w14:paraId="533AD7E3" w14:textId="77777777" w:rsidR="00E1708A" w:rsidRDefault="00E1708A" w:rsidP="00E1708A">
      <w:pPr>
        <w:pStyle w:val="TextoNormalNegritaCentrado"/>
      </w:pPr>
      <w:r>
        <w:t>C</w:t>
      </w:r>
    </w:p>
    <w:p w14:paraId="05F8D31F" w14:textId="35C7F626" w:rsidR="00E1708A" w:rsidRDefault="00E1708A" w:rsidP="00E1708A">
      <w:pPr>
        <w:pStyle w:val="TextoNormalNegritaCentrado"/>
      </w:pPr>
    </w:p>
    <w:p w14:paraId="16ED04C1" w14:textId="036B19C6" w:rsidR="00E1708A" w:rsidRPr="00E1708A" w:rsidRDefault="00E1708A" w:rsidP="00E1708A">
      <w:pPr>
        <w:pStyle w:val="TextoNormalSangraFrancesa"/>
        <w:rPr>
          <w:rStyle w:val="TextoNormalCaracter"/>
        </w:rPr>
      </w:pPr>
      <w:bookmarkStart w:id="974" w:name="DESCRIPTORALFABETICO72"/>
      <w:r w:rsidRPr="00E1708A">
        <w:rPr>
          <w:rStyle w:val="TextoNormalNegritaCaracter"/>
        </w:rPr>
        <w:t>Canon de motivación reforzado cuando afecta a derechos fundamentales</w:t>
      </w:r>
      <w:bookmarkEnd w:id="974"/>
      <w:r w:rsidRPr="00E1708A">
        <w:rPr>
          <w:rStyle w:val="TextoNormalCaracter"/>
        </w:rPr>
        <w:t xml:space="preserve">, Sentencias </w:t>
      </w:r>
      <w:hyperlink w:anchor="SENTENCIA_2023_84" w:history="1">
        <w:r w:rsidRPr="00E1708A">
          <w:rPr>
            <w:rStyle w:val="TextoNormalCaracter"/>
          </w:rPr>
          <w:t>84/2023</w:t>
        </w:r>
      </w:hyperlink>
      <w:r w:rsidRPr="00E1708A">
        <w:rPr>
          <w:rStyle w:val="TextoNormalCaracter"/>
        </w:rPr>
        <w:t xml:space="preserve">, ff. 3 y 4; </w:t>
      </w:r>
      <w:hyperlink w:anchor="SENTENCIA_2023_88" w:history="1">
        <w:r w:rsidRPr="00E1708A">
          <w:rPr>
            <w:rStyle w:val="TextoNormalCaracter"/>
          </w:rPr>
          <w:t>88/2023</w:t>
        </w:r>
      </w:hyperlink>
      <w:r w:rsidRPr="00E1708A">
        <w:rPr>
          <w:rStyle w:val="TextoNormalCaracter"/>
        </w:rPr>
        <w:t>, ff. 4 y 5.</w:t>
      </w:r>
    </w:p>
    <w:p w14:paraId="4F268BFD" w14:textId="7A2BCEAD" w:rsidR="00E1708A" w:rsidRPr="00E1708A" w:rsidRDefault="00E1708A" w:rsidP="00E1708A">
      <w:pPr>
        <w:pStyle w:val="TextoNormalSangraFrancesa"/>
        <w:rPr>
          <w:rStyle w:val="TextoNormalCaracter"/>
        </w:rPr>
      </w:pPr>
      <w:bookmarkStart w:id="975" w:name="DESCRIPTORALFABETICO73"/>
      <w:r w:rsidRPr="00E1708A">
        <w:rPr>
          <w:rStyle w:val="TextoNormalNegritaCaracter"/>
        </w:rPr>
        <w:t>Canon de motivación reforzado cuando afecta a la libertad personal</w:t>
      </w:r>
      <w:bookmarkEnd w:id="975"/>
      <w:r w:rsidRPr="00E1708A">
        <w:rPr>
          <w:rStyle w:val="TextoNormalCaracter"/>
        </w:rPr>
        <w:t xml:space="preserve">, Sentencia </w:t>
      </w:r>
      <w:hyperlink w:anchor="SENTENCIA_2023_184" w:history="1">
        <w:r w:rsidRPr="00E1708A">
          <w:rPr>
            <w:rStyle w:val="TextoNormalCaracter"/>
          </w:rPr>
          <w:t>184/2023</w:t>
        </w:r>
      </w:hyperlink>
      <w:r w:rsidRPr="00E1708A">
        <w:rPr>
          <w:rStyle w:val="TextoNormalCaracter"/>
        </w:rPr>
        <w:t>, f. 3.</w:t>
      </w:r>
    </w:p>
    <w:p w14:paraId="52B1168F" w14:textId="5D1234E2" w:rsidR="00E1708A" w:rsidRPr="00E1708A" w:rsidRDefault="00E1708A" w:rsidP="00E1708A">
      <w:pPr>
        <w:pStyle w:val="TextoNormalSangraFrancesa"/>
        <w:rPr>
          <w:rStyle w:val="TextoNormalCaracter"/>
        </w:rPr>
      </w:pPr>
      <w:bookmarkStart w:id="976" w:name="DESCRIPTORALFABETICO340"/>
      <w:r w:rsidRPr="00E1708A">
        <w:rPr>
          <w:rStyle w:val="TextoNormalNegritaCaracter"/>
        </w:rPr>
        <w:t>Carácter excepcional de los decretos-leyes</w:t>
      </w:r>
      <w:bookmarkEnd w:id="976"/>
      <w:r w:rsidRPr="00E1708A">
        <w:rPr>
          <w:rStyle w:val="TextoNormalCaracter"/>
        </w:rPr>
        <w:t xml:space="preserve">, Sentencia </w:t>
      </w:r>
      <w:hyperlink w:anchor="SENTENCIA_2023_145" w:history="1">
        <w:r w:rsidRPr="00E1708A">
          <w:rPr>
            <w:rStyle w:val="TextoNormalCaracter"/>
          </w:rPr>
          <w:t>145/2023</w:t>
        </w:r>
      </w:hyperlink>
      <w:r w:rsidRPr="00E1708A">
        <w:rPr>
          <w:rStyle w:val="TextoNormalCaracter"/>
        </w:rPr>
        <w:t>, ff. 4 a 6.</w:t>
      </w:r>
    </w:p>
    <w:p w14:paraId="2C0C01AB" w14:textId="4BF2D01A" w:rsidR="00E1708A" w:rsidRPr="00E1708A" w:rsidRDefault="00E1708A" w:rsidP="00E1708A">
      <w:pPr>
        <w:pStyle w:val="TextoNormalSangraFrancesa"/>
        <w:rPr>
          <w:rStyle w:val="TextoNormalCaracter"/>
        </w:rPr>
      </w:pPr>
      <w:bookmarkStart w:id="977" w:name="DESCRIPTORALFABETICO149"/>
      <w:r w:rsidRPr="00E1708A">
        <w:rPr>
          <w:rStyle w:val="TextoNormalNegritaCaracter"/>
        </w:rPr>
        <w:t>Causas de abstención y recusación de magistrados del Tribunal Constitucional</w:t>
      </w:r>
      <w:bookmarkEnd w:id="977"/>
      <w:r w:rsidRPr="00E1708A">
        <w:rPr>
          <w:rStyle w:val="TextoNormalCaracter"/>
        </w:rPr>
        <w:t xml:space="preserve">, Auto </w:t>
      </w:r>
      <w:hyperlink w:anchor="AUTO_2023_665" w:history="1">
        <w:r w:rsidRPr="00E1708A">
          <w:rPr>
            <w:rStyle w:val="TextoNormalCaracter"/>
          </w:rPr>
          <w:t>665/2023</w:t>
        </w:r>
      </w:hyperlink>
      <w:r w:rsidRPr="00E1708A">
        <w:rPr>
          <w:rStyle w:val="TextoNormalCaracter"/>
        </w:rPr>
        <w:t>, f. 2.</w:t>
      </w:r>
    </w:p>
    <w:p w14:paraId="1A9E4AC7" w14:textId="177BB0DB" w:rsidR="00E1708A" w:rsidRPr="00E1708A" w:rsidRDefault="00E1708A" w:rsidP="00E1708A">
      <w:pPr>
        <w:pStyle w:val="TextoNormalSangraFrancesa"/>
        <w:rPr>
          <w:rStyle w:val="TextoNormalCaracter"/>
        </w:rPr>
      </w:pPr>
      <w:bookmarkStart w:id="978" w:name="DESCRIPTORALFABETICO168"/>
      <w:r w:rsidRPr="00E1708A">
        <w:rPr>
          <w:rStyle w:val="TextoNormalNegritaCaracter"/>
        </w:rPr>
        <w:t>Causas de inadmisión de la cuestión de inconstitucionalidad</w:t>
      </w:r>
      <w:bookmarkEnd w:id="978"/>
      <w:r w:rsidRPr="00E1708A">
        <w:rPr>
          <w:rStyle w:val="TextoNormalCaracter"/>
        </w:rPr>
        <w:t xml:space="preserve">, Auto </w:t>
      </w:r>
      <w:hyperlink w:anchor="AUTO_2023_669" w:history="1">
        <w:r w:rsidRPr="00E1708A">
          <w:rPr>
            <w:rStyle w:val="TextoNormalCaracter"/>
          </w:rPr>
          <w:t>669/2023</w:t>
        </w:r>
      </w:hyperlink>
      <w:r w:rsidRPr="00E1708A">
        <w:rPr>
          <w:rStyle w:val="TextoNormalCaracter"/>
        </w:rPr>
        <w:t>, f. 1.</w:t>
      </w:r>
    </w:p>
    <w:p w14:paraId="35E47930" w14:textId="7B480F4E" w:rsidR="00E1708A" w:rsidRPr="00E1708A" w:rsidRDefault="00E1708A" w:rsidP="00E1708A">
      <w:pPr>
        <w:pStyle w:val="TextoNormalSangraFrancesa"/>
        <w:rPr>
          <w:rStyle w:val="TextoNormalCaracter"/>
        </w:rPr>
      </w:pPr>
      <w:bookmarkStart w:id="979" w:name="DESCRIPTORALFABETICO303"/>
      <w:r w:rsidRPr="00E1708A">
        <w:rPr>
          <w:rStyle w:val="TextoNormalNegritaCaracter"/>
        </w:rPr>
        <w:t>Cláusulas abusivas</w:t>
      </w:r>
      <w:bookmarkEnd w:id="979"/>
      <w:r w:rsidRPr="00E1708A">
        <w:rPr>
          <w:rStyle w:val="TextoNormalCaracter"/>
        </w:rPr>
        <w:t xml:space="preserve">, Sentencias </w:t>
      </w:r>
      <w:hyperlink w:anchor="SENTENCIA_2023_91" w:history="1">
        <w:r w:rsidRPr="00E1708A">
          <w:rPr>
            <w:rStyle w:val="TextoNormalCaracter"/>
          </w:rPr>
          <w:t>91/2023</w:t>
        </w:r>
      </w:hyperlink>
      <w:r w:rsidRPr="00E1708A">
        <w:rPr>
          <w:rStyle w:val="TextoNormalCaracter"/>
        </w:rPr>
        <w:t xml:space="preserve">, ff. 3 y 4; </w:t>
      </w:r>
      <w:hyperlink w:anchor="SENTENCIA_2023_96" w:history="1">
        <w:r w:rsidRPr="00E1708A">
          <w:rPr>
            <w:rStyle w:val="TextoNormalCaracter"/>
          </w:rPr>
          <w:t>96/2023</w:t>
        </w:r>
      </w:hyperlink>
      <w:r w:rsidRPr="00E1708A">
        <w:rPr>
          <w:rStyle w:val="TextoNormalCaracter"/>
        </w:rPr>
        <w:t xml:space="preserve">, ff. 2 y 3; </w:t>
      </w:r>
      <w:hyperlink w:anchor="SENTENCIA_2023_151" w:history="1">
        <w:r w:rsidRPr="00E1708A">
          <w:rPr>
            <w:rStyle w:val="TextoNormalCaracter"/>
          </w:rPr>
          <w:t>151/2023</w:t>
        </w:r>
      </w:hyperlink>
      <w:r w:rsidRPr="00E1708A">
        <w:rPr>
          <w:rStyle w:val="TextoNormalCaracter"/>
        </w:rPr>
        <w:t xml:space="preserve">, ff. 1 y 2; </w:t>
      </w:r>
      <w:hyperlink w:anchor="SENTENCIA_2023_172" w:history="1">
        <w:r w:rsidRPr="00E1708A">
          <w:rPr>
            <w:rStyle w:val="TextoNormalCaracter"/>
          </w:rPr>
          <w:t>172/2023</w:t>
        </w:r>
      </w:hyperlink>
      <w:r w:rsidRPr="00E1708A">
        <w:rPr>
          <w:rStyle w:val="TextoNormalCaracter"/>
        </w:rPr>
        <w:t>, ff. 3 y 4.</w:t>
      </w:r>
    </w:p>
    <w:p w14:paraId="31E0D391" w14:textId="0969D485" w:rsidR="00E1708A" w:rsidRPr="00E1708A" w:rsidRDefault="00E1708A" w:rsidP="00E1708A">
      <w:pPr>
        <w:pStyle w:val="TextoNormalSangraFrancesa"/>
        <w:rPr>
          <w:rStyle w:val="TextoNormalCaracter"/>
        </w:rPr>
      </w:pPr>
      <w:bookmarkStart w:id="980" w:name="DESCRIPTORALFABETICO299"/>
      <w:r w:rsidRPr="00E1708A">
        <w:rPr>
          <w:rStyle w:val="TextoNormalNegritaCaracter"/>
        </w:rPr>
        <w:t>Cláusulas suelo</w:t>
      </w:r>
      <w:bookmarkEnd w:id="980"/>
      <w:r w:rsidRPr="00E1708A">
        <w:rPr>
          <w:rStyle w:val="TextoNormalCaracter"/>
        </w:rPr>
        <w:t xml:space="preserve">, Sentencias </w:t>
      </w:r>
      <w:hyperlink w:anchor="SENTENCIA_2023_91" w:history="1">
        <w:r w:rsidRPr="00E1708A">
          <w:rPr>
            <w:rStyle w:val="TextoNormalCaracter"/>
          </w:rPr>
          <w:t>91/2023</w:t>
        </w:r>
      </w:hyperlink>
      <w:r w:rsidRPr="00E1708A">
        <w:rPr>
          <w:rStyle w:val="TextoNormalCaracter"/>
        </w:rPr>
        <w:t xml:space="preserve">, ff. 3 y 4; </w:t>
      </w:r>
      <w:hyperlink w:anchor="SENTENCIA_2023_96" w:history="1">
        <w:r w:rsidRPr="00E1708A">
          <w:rPr>
            <w:rStyle w:val="TextoNormalCaracter"/>
          </w:rPr>
          <w:t>96/2023</w:t>
        </w:r>
      </w:hyperlink>
      <w:r w:rsidRPr="00E1708A">
        <w:rPr>
          <w:rStyle w:val="TextoNormalCaracter"/>
        </w:rPr>
        <w:t>, ff. 2 y 3.</w:t>
      </w:r>
    </w:p>
    <w:p w14:paraId="5DFBEF14" w14:textId="53E482FA" w:rsidR="00E1708A" w:rsidRPr="00E1708A" w:rsidRDefault="00E1708A" w:rsidP="00E1708A">
      <w:pPr>
        <w:pStyle w:val="TextoNormalSangraFrancesa"/>
        <w:rPr>
          <w:rStyle w:val="TextoNormalCaracter"/>
        </w:rPr>
      </w:pPr>
      <w:bookmarkStart w:id="981" w:name="DESCRIPTORALFABETICO129"/>
      <w:r w:rsidRPr="00E1708A">
        <w:rPr>
          <w:rStyle w:val="TextoNormalNegritaCaracter"/>
        </w:rPr>
        <w:t>Cobertura legal de medidas limitativas de derechos fundamentales</w:t>
      </w:r>
      <w:bookmarkEnd w:id="981"/>
      <w:r w:rsidRPr="00E1708A">
        <w:rPr>
          <w:rStyle w:val="TextoNormalCaracter"/>
        </w:rPr>
        <w:t xml:space="preserve">, Sentencia </w:t>
      </w:r>
      <w:hyperlink w:anchor="SENTENCIA_2023_148" w:history="1">
        <w:r w:rsidRPr="00E1708A">
          <w:rPr>
            <w:rStyle w:val="TextoNormalCaracter"/>
          </w:rPr>
          <w:t>148/2023</w:t>
        </w:r>
      </w:hyperlink>
      <w:r w:rsidRPr="00E1708A">
        <w:rPr>
          <w:rStyle w:val="TextoNormalCaracter"/>
        </w:rPr>
        <w:t>, ff. 4 y 5.</w:t>
      </w:r>
    </w:p>
    <w:p w14:paraId="69F295F2" w14:textId="04CA5735" w:rsidR="00E1708A" w:rsidRPr="00E1708A" w:rsidRDefault="00E1708A" w:rsidP="00E1708A">
      <w:pPr>
        <w:pStyle w:val="TextoNormalSangraFrancesa"/>
        <w:rPr>
          <w:rStyle w:val="TextoNormalCaracter"/>
        </w:rPr>
      </w:pPr>
      <w:bookmarkStart w:id="982" w:name="DESCRIPTORALFABETICO387"/>
      <w:r w:rsidRPr="00E1708A">
        <w:rPr>
          <w:rStyle w:val="TextoNormalNegritaCaracter"/>
        </w:rPr>
        <w:t>Colisión de los derechos del trabajador y los intereses del empresario</w:t>
      </w:r>
      <w:bookmarkEnd w:id="982"/>
      <w:r w:rsidRPr="00E1708A">
        <w:rPr>
          <w:rStyle w:val="TextoNormalCaracter"/>
        </w:rPr>
        <w:t xml:space="preserve">, Sentencia </w:t>
      </w:r>
      <w:hyperlink w:anchor="SENTENCIA_2023_79" w:history="1">
        <w:r w:rsidRPr="00E1708A">
          <w:rPr>
            <w:rStyle w:val="TextoNormalCaracter"/>
          </w:rPr>
          <w:t>79/2023</w:t>
        </w:r>
      </w:hyperlink>
      <w:r w:rsidRPr="00E1708A">
        <w:rPr>
          <w:rStyle w:val="TextoNormalCaracter"/>
        </w:rPr>
        <w:t>, f. 4.</w:t>
      </w:r>
    </w:p>
    <w:p w14:paraId="4A25AF58" w14:textId="6750BA74" w:rsidR="00E1708A" w:rsidRPr="00E1708A" w:rsidRDefault="00E1708A" w:rsidP="00E1708A">
      <w:pPr>
        <w:pStyle w:val="TextoNormalSangraFrancesa"/>
        <w:rPr>
          <w:rStyle w:val="TextoNormalCaracter"/>
        </w:rPr>
      </w:pPr>
      <w:bookmarkStart w:id="983" w:name="DESCRIPTORALFABETICO3"/>
      <w:r w:rsidRPr="00E1708A">
        <w:rPr>
          <w:rStyle w:val="TextoNormalNegritaCaracter"/>
        </w:rPr>
        <w:t>Competencias de las Comunidades Autónomas</w:t>
      </w:r>
      <w:bookmarkEnd w:id="983"/>
      <w:r w:rsidRPr="00E1708A">
        <w:rPr>
          <w:rStyle w:val="TextoNormalCaracter"/>
        </w:rPr>
        <w:t xml:space="preserve">, Sentencia </w:t>
      </w:r>
      <w:hyperlink w:anchor="SENTENCIA_2023_146" w:history="1">
        <w:r w:rsidRPr="00E1708A">
          <w:rPr>
            <w:rStyle w:val="TextoNormalCaracter"/>
          </w:rPr>
          <w:t>146/2023</w:t>
        </w:r>
      </w:hyperlink>
      <w:r w:rsidRPr="00E1708A">
        <w:rPr>
          <w:rStyle w:val="TextoNormalCaracter"/>
        </w:rPr>
        <w:t>, ff. 1, 3, 4.</w:t>
      </w:r>
    </w:p>
    <w:p w14:paraId="45CB839E" w14:textId="6D65438E" w:rsidR="00E1708A" w:rsidRPr="00E1708A" w:rsidRDefault="00E1708A" w:rsidP="00E1708A">
      <w:pPr>
        <w:pStyle w:val="TextoNormalSangraFrancesa"/>
        <w:rPr>
          <w:rStyle w:val="TextoNormalCaracter"/>
        </w:rPr>
      </w:pPr>
      <w:bookmarkStart w:id="984" w:name="DESCRIPTORALFABETICO284"/>
      <w:r w:rsidRPr="00E1708A">
        <w:rPr>
          <w:rStyle w:val="TextoNormalNegritaCaracter"/>
        </w:rPr>
        <w:t>Competencias de las diputaciones provinciales</w:t>
      </w:r>
      <w:bookmarkEnd w:id="984"/>
      <w:r w:rsidRPr="00E1708A">
        <w:rPr>
          <w:rStyle w:val="TextoNormalCaracter"/>
        </w:rPr>
        <w:t xml:space="preserve">, Sentencias </w:t>
      </w:r>
      <w:hyperlink w:anchor="SENTENCIA_2023_124" w:history="1">
        <w:r w:rsidRPr="00E1708A">
          <w:rPr>
            <w:rStyle w:val="TextoNormalCaracter"/>
          </w:rPr>
          <w:t>124/2023</w:t>
        </w:r>
      </w:hyperlink>
      <w:r w:rsidRPr="00E1708A">
        <w:rPr>
          <w:rStyle w:val="TextoNormalCaracter"/>
        </w:rPr>
        <w:t xml:space="preserve">, ff. 4 a 8; </w:t>
      </w:r>
      <w:hyperlink w:anchor="SENTENCIA_2023_143" w:history="1">
        <w:r w:rsidRPr="00E1708A">
          <w:rPr>
            <w:rStyle w:val="TextoNormalCaracter"/>
          </w:rPr>
          <w:t>143/2023</w:t>
        </w:r>
      </w:hyperlink>
      <w:r w:rsidRPr="00E1708A">
        <w:rPr>
          <w:rStyle w:val="TextoNormalCaracter"/>
        </w:rPr>
        <w:t>, f. 3.</w:t>
      </w:r>
    </w:p>
    <w:p w14:paraId="4B3750CC" w14:textId="0AE4D76A" w:rsidR="00E1708A" w:rsidRPr="00E1708A" w:rsidRDefault="00E1708A" w:rsidP="00E1708A">
      <w:pPr>
        <w:pStyle w:val="TextoNormalSangraFrancesa"/>
        <w:rPr>
          <w:rStyle w:val="TextoNormalCaracter"/>
        </w:rPr>
      </w:pPr>
      <w:bookmarkStart w:id="985" w:name="DESCRIPTORALFABETICO4"/>
      <w:r w:rsidRPr="00E1708A">
        <w:rPr>
          <w:rStyle w:val="TextoNormalNegritaCaracter"/>
        </w:rPr>
        <w:t>Competencias del Estado</w:t>
      </w:r>
      <w:bookmarkEnd w:id="985"/>
      <w:r w:rsidRPr="00E1708A">
        <w:rPr>
          <w:rStyle w:val="TextoNormalCaracter"/>
        </w:rPr>
        <w:t xml:space="preserve">, Sentencia </w:t>
      </w:r>
      <w:hyperlink w:anchor="SENTENCIA_2023_146" w:history="1">
        <w:r w:rsidRPr="00E1708A">
          <w:rPr>
            <w:rStyle w:val="TextoNormalCaracter"/>
          </w:rPr>
          <w:t>146/2023</w:t>
        </w:r>
      </w:hyperlink>
      <w:r w:rsidRPr="00E1708A">
        <w:rPr>
          <w:rStyle w:val="TextoNormalCaracter"/>
        </w:rPr>
        <w:t>, ff. 1, 3, 4.</w:t>
      </w:r>
    </w:p>
    <w:p w14:paraId="049CA224" w14:textId="53412A7A" w:rsidR="00E1708A" w:rsidRPr="00E1708A" w:rsidRDefault="00E1708A" w:rsidP="00E1708A">
      <w:pPr>
        <w:pStyle w:val="TextoNormalSangraFrancesa"/>
        <w:rPr>
          <w:rStyle w:val="TextoNormalCaracter"/>
        </w:rPr>
      </w:pPr>
      <w:bookmarkStart w:id="986" w:name="DESCRIPTORALFABETICO5"/>
      <w:r w:rsidRPr="00E1708A">
        <w:rPr>
          <w:rStyle w:val="TextoNormalNegritaCaracter"/>
        </w:rPr>
        <w:t>Competencias en materia de agricultura</w:t>
      </w:r>
      <w:bookmarkEnd w:id="986"/>
      <w:r w:rsidRPr="00E1708A">
        <w:rPr>
          <w:rStyle w:val="TextoNormalCaracter"/>
        </w:rPr>
        <w:t xml:space="preserve">, Sentencia </w:t>
      </w:r>
      <w:hyperlink w:anchor="SENTENCIA_2023_126" w:history="1">
        <w:r w:rsidRPr="00E1708A">
          <w:rPr>
            <w:rStyle w:val="TextoNormalCaracter"/>
          </w:rPr>
          <w:t>126/2023</w:t>
        </w:r>
      </w:hyperlink>
      <w:r w:rsidRPr="00E1708A">
        <w:rPr>
          <w:rStyle w:val="TextoNormalCaracter"/>
        </w:rPr>
        <w:t>, ff. 3 a 5.</w:t>
      </w:r>
    </w:p>
    <w:p w14:paraId="0DAA9B9E" w14:textId="1E694C68" w:rsidR="00E1708A" w:rsidRPr="00E1708A" w:rsidRDefault="00E1708A" w:rsidP="00E1708A">
      <w:pPr>
        <w:pStyle w:val="TextoNormalSangraFrancesa"/>
        <w:rPr>
          <w:rStyle w:val="TextoNormalCaracter"/>
        </w:rPr>
      </w:pPr>
      <w:bookmarkStart w:id="987" w:name="DESCRIPTORALFABETICO6"/>
      <w:r w:rsidRPr="00E1708A">
        <w:rPr>
          <w:rStyle w:val="TextoNormalNegritaCaracter"/>
        </w:rPr>
        <w:t>Competencias en materia de aprovechamientos hidráulicos</w:t>
      </w:r>
      <w:bookmarkEnd w:id="987"/>
      <w:r w:rsidRPr="00E1708A">
        <w:rPr>
          <w:rStyle w:val="TextoNormalCaracter"/>
        </w:rPr>
        <w:t xml:space="preserve">, Sentencia </w:t>
      </w:r>
      <w:hyperlink w:anchor="SENTENCIA_2023_126" w:history="1">
        <w:r w:rsidRPr="00E1708A">
          <w:rPr>
            <w:rStyle w:val="TextoNormalCaracter"/>
          </w:rPr>
          <w:t>126/2023</w:t>
        </w:r>
      </w:hyperlink>
      <w:r w:rsidRPr="00E1708A">
        <w:rPr>
          <w:rStyle w:val="TextoNormalCaracter"/>
        </w:rPr>
        <w:t>, ff. 3 a 5.</w:t>
      </w:r>
    </w:p>
    <w:p w14:paraId="4C0D3542" w14:textId="63E733ED" w:rsidR="00E1708A" w:rsidRPr="00E1708A" w:rsidRDefault="00E1708A" w:rsidP="00E1708A">
      <w:pPr>
        <w:pStyle w:val="TextoNormalSangraFrancesa"/>
        <w:rPr>
          <w:rStyle w:val="TextoNormalCaracter"/>
        </w:rPr>
      </w:pPr>
      <w:bookmarkStart w:id="988" w:name="DESCRIPTORALFABETICO8"/>
      <w:r w:rsidRPr="00E1708A">
        <w:rPr>
          <w:rStyle w:val="TextoNormalNegritaCaracter"/>
        </w:rPr>
        <w:t>Competencias en materia de bases del régimen jurídico de las Administraciones públicas</w:t>
      </w:r>
      <w:bookmarkEnd w:id="988"/>
      <w:r w:rsidRPr="00E1708A">
        <w:rPr>
          <w:rStyle w:val="TextoNormalCaracter"/>
        </w:rPr>
        <w:t xml:space="preserve">, Sentencia </w:t>
      </w:r>
      <w:hyperlink w:anchor="SENTENCIA_2023_124" w:history="1">
        <w:r w:rsidRPr="00E1708A">
          <w:rPr>
            <w:rStyle w:val="TextoNormalCaracter"/>
          </w:rPr>
          <w:t>124/2023</w:t>
        </w:r>
      </w:hyperlink>
      <w:r w:rsidRPr="00E1708A">
        <w:rPr>
          <w:rStyle w:val="TextoNormalCaracter"/>
        </w:rPr>
        <w:t>, ff. 4 a 8.</w:t>
      </w:r>
    </w:p>
    <w:p w14:paraId="4CCC8331" w14:textId="6C7F8D57" w:rsidR="00E1708A" w:rsidRPr="00E1708A" w:rsidRDefault="00E1708A" w:rsidP="00E1708A">
      <w:pPr>
        <w:pStyle w:val="TextoNormalSangraFrancesa"/>
        <w:rPr>
          <w:rStyle w:val="TextoNormalCaracter"/>
        </w:rPr>
      </w:pPr>
      <w:bookmarkStart w:id="989" w:name="DESCRIPTORALFABETICO9"/>
      <w:r w:rsidRPr="00E1708A">
        <w:rPr>
          <w:rStyle w:val="TextoNormalNegritaCaracter"/>
        </w:rPr>
        <w:t>Competencias en materia de hacienda pública</w:t>
      </w:r>
      <w:bookmarkEnd w:id="989"/>
      <w:r w:rsidRPr="00E1708A">
        <w:rPr>
          <w:rStyle w:val="TextoNormalCaracter"/>
        </w:rPr>
        <w:t xml:space="preserve">, Sentencias </w:t>
      </w:r>
      <w:hyperlink w:anchor="SENTENCIA_2023_124" w:history="1">
        <w:r w:rsidRPr="00E1708A">
          <w:rPr>
            <w:rStyle w:val="TextoNormalCaracter"/>
          </w:rPr>
          <w:t>124/2023</w:t>
        </w:r>
      </w:hyperlink>
      <w:r w:rsidRPr="00E1708A">
        <w:rPr>
          <w:rStyle w:val="TextoNormalCaracter"/>
        </w:rPr>
        <w:t xml:space="preserve">, ff. 4 a 8; </w:t>
      </w:r>
      <w:hyperlink w:anchor="SENTENCIA_2023_149" w:history="1">
        <w:r w:rsidRPr="00E1708A">
          <w:rPr>
            <w:rStyle w:val="TextoNormalCaracter"/>
          </w:rPr>
          <w:t>149/2023</w:t>
        </w:r>
      </w:hyperlink>
      <w:r w:rsidRPr="00E1708A">
        <w:rPr>
          <w:rStyle w:val="TextoNormalCaracter"/>
        </w:rPr>
        <w:t xml:space="preserve">, f. 3, VP; </w:t>
      </w:r>
      <w:hyperlink w:anchor="SENTENCIA_2023_170" w:history="1">
        <w:r w:rsidRPr="00E1708A">
          <w:rPr>
            <w:rStyle w:val="TextoNormalCaracter"/>
          </w:rPr>
          <w:t>170/2023</w:t>
        </w:r>
      </w:hyperlink>
      <w:r w:rsidRPr="00E1708A">
        <w:rPr>
          <w:rStyle w:val="TextoNormalCaracter"/>
        </w:rPr>
        <w:t xml:space="preserve">, f. 2; </w:t>
      </w:r>
      <w:hyperlink w:anchor="SENTENCIA_2023_171" w:history="1">
        <w:r w:rsidRPr="00E1708A">
          <w:rPr>
            <w:rStyle w:val="TextoNormalCaracter"/>
          </w:rPr>
          <w:t>171/2023</w:t>
        </w:r>
      </w:hyperlink>
      <w:r w:rsidRPr="00E1708A">
        <w:rPr>
          <w:rStyle w:val="TextoNormalCaracter"/>
        </w:rPr>
        <w:t xml:space="preserve">, f. 2; </w:t>
      </w:r>
      <w:hyperlink w:anchor="SENTENCIA_2023_189" w:history="1">
        <w:r w:rsidRPr="00E1708A">
          <w:rPr>
            <w:rStyle w:val="TextoNormalCaracter"/>
          </w:rPr>
          <w:t>189/2023</w:t>
        </w:r>
      </w:hyperlink>
      <w:r w:rsidRPr="00E1708A">
        <w:rPr>
          <w:rStyle w:val="TextoNormalCaracter"/>
        </w:rPr>
        <w:t xml:space="preserve">, f. 2; </w:t>
      </w:r>
      <w:hyperlink w:anchor="SENTENCIA_2023_190" w:history="1">
        <w:r w:rsidRPr="00E1708A">
          <w:rPr>
            <w:rStyle w:val="TextoNormalCaracter"/>
          </w:rPr>
          <w:t>190/2023</w:t>
        </w:r>
      </w:hyperlink>
      <w:r w:rsidRPr="00E1708A">
        <w:rPr>
          <w:rStyle w:val="TextoNormalCaracter"/>
        </w:rPr>
        <w:t>, f. 2.</w:t>
      </w:r>
    </w:p>
    <w:p w14:paraId="77D01294" w14:textId="108EF804" w:rsidR="00E1708A" w:rsidRPr="00E1708A" w:rsidRDefault="00E1708A" w:rsidP="00E1708A">
      <w:pPr>
        <w:pStyle w:val="TextoNormalSangraFrancesa"/>
        <w:rPr>
          <w:rStyle w:val="TextoNormalCaracter"/>
        </w:rPr>
      </w:pPr>
      <w:bookmarkStart w:id="990" w:name="DESCRIPTORALFABETICO10"/>
      <w:r w:rsidRPr="00E1708A">
        <w:rPr>
          <w:rStyle w:val="TextoNormalNegritaCaracter"/>
        </w:rPr>
        <w:t>Competencias en materia de legislación procesal</w:t>
      </w:r>
      <w:bookmarkEnd w:id="990"/>
      <w:r w:rsidRPr="00E1708A">
        <w:rPr>
          <w:rStyle w:val="TextoNormalCaracter"/>
        </w:rPr>
        <w:t xml:space="preserve">, Sentencia </w:t>
      </w:r>
      <w:hyperlink w:anchor="SENTENCIA_2023_146" w:history="1">
        <w:r w:rsidRPr="00E1708A">
          <w:rPr>
            <w:rStyle w:val="TextoNormalCaracter"/>
          </w:rPr>
          <w:t>146/2023</w:t>
        </w:r>
      </w:hyperlink>
      <w:r w:rsidRPr="00E1708A">
        <w:rPr>
          <w:rStyle w:val="TextoNormalCaracter"/>
        </w:rPr>
        <w:t>, ff. 1, 3, 4.</w:t>
      </w:r>
    </w:p>
    <w:p w14:paraId="0D04A0FE" w14:textId="2DDEB934" w:rsidR="00E1708A" w:rsidRPr="00E1708A" w:rsidRDefault="00E1708A" w:rsidP="00E1708A">
      <w:pPr>
        <w:pStyle w:val="TextoNormalSangraFrancesa"/>
        <w:rPr>
          <w:rStyle w:val="TextoNormalCaracter"/>
        </w:rPr>
      </w:pPr>
      <w:bookmarkStart w:id="991" w:name="DESCRIPTORALFABETICO11"/>
      <w:r w:rsidRPr="00E1708A">
        <w:rPr>
          <w:rStyle w:val="TextoNormalNegritaCaracter"/>
        </w:rPr>
        <w:t>Competencias en materia de medios de comunicación audiovisual</w:t>
      </w:r>
      <w:bookmarkEnd w:id="991"/>
      <w:r w:rsidRPr="00E1708A">
        <w:rPr>
          <w:rStyle w:val="TextoNormalCaracter"/>
        </w:rPr>
        <w:t xml:space="preserve">, Sentencia </w:t>
      </w:r>
      <w:hyperlink w:anchor="SENTENCIA_2023_89" w:history="1">
        <w:r w:rsidRPr="00E1708A">
          <w:rPr>
            <w:rStyle w:val="TextoNormalCaracter"/>
          </w:rPr>
          <w:t>89/2023</w:t>
        </w:r>
      </w:hyperlink>
      <w:r w:rsidRPr="00E1708A">
        <w:rPr>
          <w:rStyle w:val="TextoNormalCaracter"/>
        </w:rPr>
        <w:t>, ff. 1,3 y 4, VPI, VPII, VPIII.</w:t>
      </w:r>
    </w:p>
    <w:p w14:paraId="55EF6AA4" w14:textId="4F1F4DA0" w:rsidR="00E1708A" w:rsidRPr="00E1708A" w:rsidRDefault="00E1708A" w:rsidP="00E1708A">
      <w:pPr>
        <w:pStyle w:val="TextoNormalSangraFrancesa"/>
        <w:rPr>
          <w:rStyle w:val="TextoNormalCaracter"/>
        </w:rPr>
      </w:pPr>
      <w:bookmarkStart w:id="992" w:name="DESCRIPTORALFABETICO12"/>
      <w:r w:rsidRPr="00E1708A">
        <w:rPr>
          <w:rStyle w:val="TextoNormalNegritaCaracter"/>
        </w:rPr>
        <w:t>Competencias en materia de planificación económica</w:t>
      </w:r>
      <w:bookmarkEnd w:id="992"/>
      <w:r w:rsidRPr="00E1708A">
        <w:rPr>
          <w:rStyle w:val="TextoNormalCaracter"/>
        </w:rPr>
        <w:t xml:space="preserve">, Sentencia </w:t>
      </w:r>
      <w:hyperlink w:anchor="SENTENCIA_2023_127" w:history="1">
        <w:r w:rsidRPr="00E1708A">
          <w:rPr>
            <w:rStyle w:val="TextoNormalCaracter"/>
          </w:rPr>
          <w:t>127/2023</w:t>
        </w:r>
      </w:hyperlink>
      <w:r w:rsidRPr="00E1708A">
        <w:rPr>
          <w:rStyle w:val="TextoNormalCaracter"/>
        </w:rPr>
        <w:t>, ff. 2 a 4, VP.</w:t>
      </w:r>
    </w:p>
    <w:p w14:paraId="17B58DB5" w14:textId="7FCACAF4" w:rsidR="00E1708A" w:rsidRPr="00E1708A" w:rsidRDefault="00E1708A" w:rsidP="00E1708A">
      <w:pPr>
        <w:pStyle w:val="TextoNormalSangraFrancesa"/>
        <w:rPr>
          <w:rStyle w:val="TextoNormalCaracter"/>
        </w:rPr>
      </w:pPr>
      <w:bookmarkStart w:id="993" w:name="DESCRIPTORALFABETICO13"/>
      <w:r w:rsidRPr="00E1708A">
        <w:rPr>
          <w:rStyle w:val="TextoNormalNegritaCaracter"/>
        </w:rPr>
        <w:t>Competencias en materia de procedimiento administrativo común</w:t>
      </w:r>
      <w:bookmarkEnd w:id="993"/>
      <w:r w:rsidRPr="00E1708A">
        <w:rPr>
          <w:rStyle w:val="TextoNormalCaracter"/>
        </w:rPr>
        <w:t xml:space="preserve">, Sentencia </w:t>
      </w:r>
      <w:hyperlink w:anchor="SENTENCIA_2023_126" w:history="1">
        <w:r w:rsidRPr="00E1708A">
          <w:rPr>
            <w:rStyle w:val="TextoNormalCaracter"/>
          </w:rPr>
          <w:t>126/2023</w:t>
        </w:r>
      </w:hyperlink>
      <w:r w:rsidRPr="00E1708A">
        <w:rPr>
          <w:rStyle w:val="TextoNormalCaracter"/>
        </w:rPr>
        <w:t>, ff. 3 a 5.</w:t>
      </w:r>
    </w:p>
    <w:p w14:paraId="29F16B63" w14:textId="22E1E4D4" w:rsidR="00E1708A" w:rsidRPr="00E1708A" w:rsidRDefault="00E1708A" w:rsidP="00E1708A">
      <w:pPr>
        <w:pStyle w:val="TextoNormalSangraFrancesa"/>
        <w:rPr>
          <w:rStyle w:val="TextoNormalCaracter"/>
        </w:rPr>
      </w:pPr>
      <w:bookmarkStart w:id="994" w:name="DESCRIPTORALFABETICO14"/>
      <w:r w:rsidRPr="00E1708A">
        <w:rPr>
          <w:rStyle w:val="TextoNormalNegritaCaracter"/>
        </w:rPr>
        <w:t>Competencias en materia de régimen minero</w:t>
      </w:r>
      <w:bookmarkEnd w:id="994"/>
      <w:r w:rsidRPr="00E1708A">
        <w:rPr>
          <w:rStyle w:val="TextoNormalCaracter"/>
        </w:rPr>
        <w:t xml:space="preserve">, Sentencia </w:t>
      </w:r>
      <w:hyperlink w:anchor="SENTENCIA_2023_127" w:history="1">
        <w:r w:rsidRPr="00E1708A">
          <w:rPr>
            <w:rStyle w:val="TextoNormalCaracter"/>
          </w:rPr>
          <w:t>127/2023</w:t>
        </w:r>
      </w:hyperlink>
      <w:r w:rsidRPr="00E1708A">
        <w:rPr>
          <w:rStyle w:val="TextoNormalCaracter"/>
        </w:rPr>
        <w:t>, ff. 2 a 4, VP.</w:t>
      </w:r>
    </w:p>
    <w:p w14:paraId="41039C5B" w14:textId="04DEB661" w:rsidR="00E1708A" w:rsidRPr="00E1708A" w:rsidRDefault="00E1708A" w:rsidP="00E1708A">
      <w:pPr>
        <w:pStyle w:val="TextoNormalSangraFrancesa"/>
        <w:rPr>
          <w:rStyle w:val="TextoNormalCaracter"/>
        </w:rPr>
      </w:pPr>
      <w:bookmarkStart w:id="995" w:name="DESCRIPTORALFABETICO15"/>
      <w:r w:rsidRPr="00E1708A">
        <w:rPr>
          <w:rStyle w:val="TextoNormalNegritaCaracter"/>
        </w:rPr>
        <w:t>Competencias en materia de sanidad</w:t>
      </w:r>
      <w:bookmarkEnd w:id="995"/>
      <w:r w:rsidRPr="00E1708A">
        <w:rPr>
          <w:rStyle w:val="TextoNormalCaracter"/>
        </w:rPr>
        <w:t xml:space="preserve">, Sentencia </w:t>
      </w:r>
      <w:hyperlink w:anchor="SENTENCIA_2023_94" w:history="1">
        <w:r w:rsidRPr="00E1708A">
          <w:rPr>
            <w:rStyle w:val="TextoNormalCaracter"/>
          </w:rPr>
          <w:t>94/2023</w:t>
        </w:r>
      </w:hyperlink>
      <w:r w:rsidRPr="00E1708A">
        <w:rPr>
          <w:rStyle w:val="TextoNormalCaracter"/>
        </w:rPr>
        <w:t>, f. 3, VP III.</w:t>
      </w:r>
    </w:p>
    <w:p w14:paraId="2DE32658" w14:textId="69FE999F" w:rsidR="00E1708A" w:rsidRPr="00E1708A" w:rsidRDefault="00E1708A" w:rsidP="00E1708A">
      <w:pPr>
        <w:pStyle w:val="TextoNormalSangraFrancesa"/>
        <w:rPr>
          <w:rStyle w:val="TextoNormalCaracter"/>
        </w:rPr>
      </w:pPr>
      <w:bookmarkStart w:id="996" w:name="DESCRIPTORALFABETICO287"/>
      <w:r w:rsidRPr="00E1708A">
        <w:rPr>
          <w:rStyle w:val="TextoNormalNegritaCaracter"/>
        </w:rPr>
        <w:t>Comunicaciones electrónicas en la Administración de justicia</w:t>
      </w:r>
      <w:bookmarkEnd w:id="996"/>
      <w:r w:rsidRPr="00E1708A">
        <w:rPr>
          <w:rStyle w:val="TextoNormalCaracter"/>
        </w:rPr>
        <w:t xml:space="preserve">, Sentencias </w:t>
      </w:r>
      <w:hyperlink w:anchor="SENTENCIA_2023_122" w:history="1">
        <w:r w:rsidRPr="00E1708A">
          <w:rPr>
            <w:rStyle w:val="TextoNormalCaracter"/>
          </w:rPr>
          <w:t>122/2023</w:t>
        </w:r>
      </w:hyperlink>
      <w:r w:rsidRPr="00E1708A">
        <w:rPr>
          <w:rStyle w:val="TextoNormalCaracter"/>
        </w:rPr>
        <w:t xml:space="preserve">, f. único; </w:t>
      </w:r>
      <w:hyperlink w:anchor="SENTENCIA_2023_138" w:history="1">
        <w:r w:rsidRPr="00E1708A">
          <w:rPr>
            <w:rStyle w:val="TextoNormalCaracter"/>
          </w:rPr>
          <w:t>138/2023</w:t>
        </w:r>
      </w:hyperlink>
      <w:r w:rsidRPr="00E1708A">
        <w:rPr>
          <w:rStyle w:val="TextoNormalCaracter"/>
        </w:rPr>
        <w:t>, f. único.</w:t>
      </w:r>
    </w:p>
    <w:p w14:paraId="2D586AC8" w14:textId="052F2A4C" w:rsidR="00E1708A" w:rsidRPr="00E1708A" w:rsidRDefault="00E1708A" w:rsidP="00E1708A">
      <w:pPr>
        <w:pStyle w:val="TextoNormalSangraFrancesa"/>
        <w:rPr>
          <w:rStyle w:val="TextoNormalCaracter"/>
        </w:rPr>
      </w:pPr>
      <w:bookmarkStart w:id="997" w:name="DESCRIPTORALFABETICO434"/>
      <w:r w:rsidRPr="00E1708A">
        <w:rPr>
          <w:rStyle w:val="TextoNormalNegritaCaracter"/>
        </w:rPr>
        <w:t>Comunidad de Madrid</w:t>
      </w:r>
      <w:bookmarkEnd w:id="997"/>
      <w:r w:rsidRPr="00E1708A">
        <w:rPr>
          <w:rStyle w:val="TextoNormalCaracter"/>
        </w:rPr>
        <w:t xml:space="preserve">, Sentencia </w:t>
      </w:r>
      <w:hyperlink w:anchor="SENTENCIA_2023_146" w:history="1">
        <w:r w:rsidRPr="00E1708A">
          <w:rPr>
            <w:rStyle w:val="TextoNormalCaracter"/>
          </w:rPr>
          <w:t>146/2023</w:t>
        </w:r>
      </w:hyperlink>
      <w:r w:rsidRPr="00E1708A">
        <w:rPr>
          <w:rStyle w:val="TextoNormalCaracter"/>
        </w:rPr>
        <w:t>.</w:t>
      </w:r>
    </w:p>
    <w:p w14:paraId="788C0EBA" w14:textId="641A4A01" w:rsidR="00E1708A" w:rsidRPr="00E1708A" w:rsidRDefault="00E1708A" w:rsidP="00E1708A">
      <w:pPr>
        <w:pStyle w:val="TextoNormalSangraFrancesa"/>
        <w:rPr>
          <w:rStyle w:val="TextoNormalCaracter"/>
        </w:rPr>
      </w:pPr>
      <w:bookmarkStart w:id="998" w:name="DESCRIPTORALFABETICO435"/>
      <w:r w:rsidRPr="00E1708A">
        <w:rPr>
          <w:rStyle w:val="TextoNormalNegritaCaracter"/>
        </w:rPr>
        <w:t>Comunidad Valenciana</w:t>
      </w:r>
      <w:bookmarkEnd w:id="998"/>
      <w:r w:rsidRPr="00E1708A">
        <w:rPr>
          <w:rStyle w:val="TextoNormalCaracter"/>
        </w:rPr>
        <w:t xml:space="preserve">, Sentencias </w:t>
      </w:r>
      <w:hyperlink w:anchor="SENTENCIA_2023_124" w:history="1">
        <w:r w:rsidRPr="00E1708A">
          <w:rPr>
            <w:rStyle w:val="TextoNormalCaracter"/>
          </w:rPr>
          <w:t>124/2023</w:t>
        </w:r>
      </w:hyperlink>
      <w:r w:rsidRPr="00E1708A">
        <w:rPr>
          <w:rStyle w:val="TextoNormalCaracter"/>
        </w:rPr>
        <w:t xml:space="preserve">, ff. 4 a 8; </w:t>
      </w:r>
      <w:hyperlink w:anchor="SENTENCIA_2023_143" w:history="1">
        <w:r w:rsidRPr="00E1708A">
          <w:rPr>
            <w:rStyle w:val="TextoNormalCaracter"/>
          </w:rPr>
          <w:t>143/2023</w:t>
        </w:r>
      </w:hyperlink>
      <w:r w:rsidRPr="00E1708A">
        <w:rPr>
          <w:rStyle w:val="TextoNormalCaracter"/>
        </w:rPr>
        <w:t xml:space="preserve">; </w:t>
      </w:r>
      <w:hyperlink w:anchor="SENTENCIA_2023_168" w:history="1">
        <w:r w:rsidRPr="00E1708A">
          <w:rPr>
            <w:rStyle w:val="TextoNormalCaracter"/>
          </w:rPr>
          <w:t>168/2023</w:t>
        </w:r>
      </w:hyperlink>
      <w:r w:rsidRPr="00E1708A">
        <w:rPr>
          <w:rStyle w:val="TextoNormalCaracter"/>
        </w:rPr>
        <w:t>, f. 1.</w:t>
      </w:r>
    </w:p>
    <w:p w14:paraId="0E5E1110" w14:textId="37C9E169" w:rsidR="00E1708A" w:rsidRPr="00E1708A" w:rsidRDefault="00E1708A" w:rsidP="00E1708A">
      <w:pPr>
        <w:pStyle w:val="TextoNormalSangraFrancesa"/>
        <w:rPr>
          <w:rStyle w:val="TextoNormalCaracter"/>
        </w:rPr>
      </w:pPr>
      <w:bookmarkStart w:id="999" w:name="DESCRIPTORALFABETICO285"/>
      <w:r w:rsidRPr="00E1708A">
        <w:rPr>
          <w:rStyle w:val="TextoNormalNegritaCaracter"/>
        </w:rPr>
        <w:t>Concesiones en materia de recursos minerales</w:t>
      </w:r>
      <w:bookmarkEnd w:id="999"/>
      <w:r w:rsidRPr="00E1708A">
        <w:rPr>
          <w:rStyle w:val="TextoNormalCaracter"/>
        </w:rPr>
        <w:t xml:space="preserve">, Sentencia </w:t>
      </w:r>
      <w:hyperlink w:anchor="SENTENCIA_2023_127" w:history="1">
        <w:r w:rsidRPr="00E1708A">
          <w:rPr>
            <w:rStyle w:val="TextoNormalCaracter"/>
          </w:rPr>
          <w:t>127/2023</w:t>
        </w:r>
      </w:hyperlink>
      <w:r w:rsidRPr="00E1708A">
        <w:rPr>
          <w:rStyle w:val="TextoNormalCaracter"/>
        </w:rPr>
        <w:t>, ff. 2 a 4, VP.</w:t>
      </w:r>
    </w:p>
    <w:p w14:paraId="18198F3E" w14:textId="5438BA9D" w:rsidR="00E1708A" w:rsidRPr="00E1708A" w:rsidRDefault="00E1708A" w:rsidP="00E1708A">
      <w:pPr>
        <w:pStyle w:val="TextoNormalSangraFrancesa"/>
        <w:rPr>
          <w:rStyle w:val="TextoNormalCaracter"/>
        </w:rPr>
      </w:pPr>
      <w:bookmarkStart w:id="1000" w:name="DESCRIPTORALFABETICO288"/>
      <w:r w:rsidRPr="00E1708A">
        <w:rPr>
          <w:rStyle w:val="TextoNormalNegritaCaracter"/>
        </w:rPr>
        <w:t>Concurso público</w:t>
      </w:r>
      <w:bookmarkEnd w:id="1000"/>
      <w:r w:rsidRPr="00E1708A">
        <w:rPr>
          <w:rStyle w:val="TextoNormalCaracter"/>
        </w:rPr>
        <w:t xml:space="preserve">, Sentencia </w:t>
      </w:r>
      <w:hyperlink w:anchor="SENTENCIA_2023_89" w:history="1">
        <w:r w:rsidRPr="00E1708A">
          <w:rPr>
            <w:rStyle w:val="TextoNormalCaracter"/>
          </w:rPr>
          <w:t>89/2023</w:t>
        </w:r>
      </w:hyperlink>
      <w:r w:rsidRPr="00E1708A">
        <w:rPr>
          <w:rStyle w:val="TextoNormalCaracter"/>
        </w:rPr>
        <w:t>, VP I, VP II, VP III.</w:t>
      </w:r>
    </w:p>
    <w:p w14:paraId="019230FD" w14:textId="420C62CF" w:rsidR="00E1708A" w:rsidRPr="00E1708A" w:rsidRDefault="00E1708A" w:rsidP="00E1708A">
      <w:pPr>
        <w:pStyle w:val="TextoNormalSangraFrancesa"/>
        <w:rPr>
          <w:rStyle w:val="TextoNormalCaracter"/>
        </w:rPr>
      </w:pPr>
      <w:bookmarkStart w:id="1001" w:name="DESCRIPTORALFABETICO344"/>
      <w:r w:rsidRPr="00E1708A">
        <w:rPr>
          <w:rStyle w:val="TextoNormalNegritaCaracter"/>
        </w:rPr>
        <w:t>Conexión de sentido entre la situación de urgencia y las medidas adoptadas</w:t>
      </w:r>
      <w:bookmarkEnd w:id="1001"/>
      <w:r w:rsidRPr="00E1708A">
        <w:rPr>
          <w:rStyle w:val="TextoNormalCaracter"/>
        </w:rPr>
        <w:t xml:space="preserve">, Sentencias </w:t>
      </w:r>
      <w:hyperlink w:anchor="SENTENCIA_2023_145" w:history="1">
        <w:r w:rsidRPr="00E1708A">
          <w:rPr>
            <w:rStyle w:val="TextoNormalCaracter"/>
          </w:rPr>
          <w:t>145/2023</w:t>
        </w:r>
      </w:hyperlink>
      <w:r w:rsidRPr="00E1708A">
        <w:rPr>
          <w:rStyle w:val="TextoNormalCaracter"/>
        </w:rPr>
        <w:t xml:space="preserve">, ff. 3, 4, 5, 6, 7; </w:t>
      </w:r>
      <w:hyperlink w:anchor="SENTENCIA_2023_147" w:history="1">
        <w:r w:rsidRPr="00E1708A">
          <w:rPr>
            <w:rStyle w:val="TextoNormalCaracter"/>
          </w:rPr>
          <w:t>147/2023</w:t>
        </w:r>
      </w:hyperlink>
      <w:r w:rsidRPr="00E1708A">
        <w:rPr>
          <w:rStyle w:val="TextoNormalCaracter"/>
        </w:rPr>
        <w:t xml:space="preserve">, f.2; </w:t>
      </w:r>
      <w:hyperlink w:anchor="SENTENCIA_2023_166" w:history="1">
        <w:r w:rsidRPr="00E1708A">
          <w:rPr>
            <w:rStyle w:val="TextoNormalCaracter"/>
          </w:rPr>
          <w:t>166/2023</w:t>
        </w:r>
      </w:hyperlink>
      <w:r w:rsidRPr="00E1708A">
        <w:rPr>
          <w:rStyle w:val="TextoNormalCaracter"/>
        </w:rPr>
        <w:t>, f. 6.</w:t>
      </w:r>
    </w:p>
    <w:p w14:paraId="2BEDE8A9" w14:textId="6F48E141" w:rsidR="00E1708A" w:rsidRPr="00E1708A" w:rsidRDefault="00E1708A" w:rsidP="00E1708A">
      <w:pPr>
        <w:pStyle w:val="TextoNormalSangraFrancesa"/>
        <w:rPr>
          <w:rStyle w:val="TextoNormalCaracter"/>
        </w:rPr>
      </w:pPr>
      <w:bookmarkStart w:id="1002" w:name="DESCRIPTORALFABETICO222"/>
      <w:r w:rsidRPr="00E1708A">
        <w:rPr>
          <w:rStyle w:val="TextoNormalNegritaCaracter"/>
        </w:rPr>
        <w:t>Conexión material entre enmienda e iniciativa legislativa</w:t>
      </w:r>
      <w:bookmarkEnd w:id="1002"/>
      <w:r w:rsidRPr="00E1708A">
        <w:rPr>
          <w:rStyle w:val="TextoNormalCaracter"/>
        </w:rPr>
        <w:t xml:space="preserve">, Sentencias </w:t>
      </w:r>
      <w:hyperlink w:anchor="SENTENCIA_2023_149" w:history="1">
        <w:r w:rsidRPr="00E1708A">
          <w:rPr>
            <w:rStyle w:val="TextoNormalCaracter"/>
          </w:rPr>
          <w:t>149/2023</w:t>
        </w:r>
      </w:hyperlink>
      <w:r w:rsidRPr="00E1708A">
        <w:rPr>
          <w:rStyle w:val="TextoNormalCaracter"/>
        </w:rPr>
        <w:t xml:space="preserve">, f. 2, VP; </w:t>
      </w:r>
      <w:hyperlink w:anchor="SENTENCIA_2023_167" w:history="1">
        <w:r w:rsidRPr="00E1708A">
          <w:rPr>
            <w:rStyle w:val="TextoNormalCaracter"/>
          </w:rPr>
          <w:t>167/2023</w:t>
        </w:r>
      </w:hyperlink>
      <w:r w:rsidRPr="00E1708A">
        <w:rPr>
          <w:rStyle w:val="TextoNormalCaracter"/>
        </w:rPr>
        <w:t>, ff. 6 a 9.</w:t>
      </w:r>
    </w:p>
    <w:p w14:paraId="6D4F8612" w14:textId="009B9D9A" w:rsidR="00E1708A" w:rsidRPr="00E1708A" w:rsidRDefault="00E1708A" w:rsidP="00E1708A">
      <w:pPr>
        <w:pStyle w:val="TextoNormalSangraFrancesa"/>
        <w:rPr>
          <w:rStyle w:val="TextoNormalCaracter"/>
        </w:rPr>
      </w:pPr>
      <w:bookmarkStart w:id="1003" w:name="DESCRIPTORALFABETICO162"/>
      <w:r w:rsidRPr="00E1708A">
        <w:rPr>
          <w:rStyle w:val="TextoNormalNegritaCaracter"/>
        </w:rPr>
        <w:t>Conflictos en defensa de la autonomía local</w:t>
      </w:r>
      <w:bookmarkEnd w:id="1003"/>
      <w:r w:rsidRPr="00E1708A">
        <w:rPr>
          <w:rStyle w:val="TextoNormalCaracter"/>
        </w:rPr>
        <w:t xml:space="preserve">, Auto </w:t>
      </w:r>
      <w:hyperlink w:anchor="AUTO_2023_354" w:history="1">
        <w:r w:rsidRPr="00E1708A">
          <w:rPr>
            <w:rStyle w:val="TextoNormalCaracter"/>
          </w:rPr>
          <w:t>354/2023</w:t>
        </w:r>
      </w:hyperlink>
      <w:r w:rsidRPr="00E1708A">
        <w:rPr>
          <w:rStyle w:val="TextoNormalCaracter"/>
        </w:rPr>
        <w:t>, ff. 1 a 5.</w:t>
      </w:r>
    </w:p>
    <w:p w14:paraId="1FB53914" w14:textId="5B2C0C2E" w:rsidR="00E1708A" w:rsidRPr="00E1708A" w:rsidRDefault="00E1708A" w:rsidP="00E1708A">
      <w:pPr>
        <w:pStyle w:val="TextoNormalSangraFrancesa"/>
        <w:rPr>
          <w:rStyle w:val="TextoNormalCaracter"/>
        </w:rPr>
      </w:pPr>
      <w:bookmarkStart w:id="1004" w:name="DESCRIPTORALFABETICO165"/>
      <w:r w:rsidRPr="00E1708A">
        <w:rPr>
          <w:rStyle w:val="TextoNormalNegritaCaracter"/>
        </w:rPr>
        <w:t>Conflictos entre órganos constitucionales</w:t>
      </w:r>
      <w:bookmarkEnd w:id="1004"/>
      <w:r w:rsidRPr="00E1708A">
        <w:rPr>
          <w:rStyle w:val="TextoNormalCaracter"/>
        </w:rPr>
        <w:t xml:space="preserve">, Sentencia </w:t>
      </w:r>
      <w:hyperlink w:anchor="SENTENCIA_2023_128" w:history="1">
        <w:r w:rsidRPr="00E1708A">
          <w:rPr>
            <w:rStyle w:val="TextoNormalCaracter"/>
          </w:rPr>
          <w:t>128/2023</w:t>
        </w:r>
      </w:hyperlink>
      <w:r w:rsidRPr="00E1708A">
        <w:rPr>
          <w:rStyle w:val="TextoNormalCaracter"/>
        </w:rPr>
        <w:t>, ff. 4 y 5.</w:t>
      </w:r>
    </w:p>
    <w:p w14:paraId="3001294E" w14:textId="686E232E" w:rsidR="00E1708A" w:rsidRPr="00E1708A" w:rsidRDefault="00E1708A" w:rsidP="00E1708A">
      <w:pPr>
        <w:pStyle w:val="TextoNormalSangraFrancesa"/>
        <w:rPr>
          <w:rStyle w:val="TextoNormalCaracter"/>
        </w:rPr>
      </w:pPr>
      <w:bookmarkStart w:id="1005" w:name="DESCRIPTORALFABETICO255"/>
      <w:r w:rsidRPr="00E1708A">
        <w:rPr>
          <w:rStyle w:val="TextoNormalNegritaCaracter"/>
        </w:rPr>
        <w:t>Congreso de los Diputados</w:t>
      </w:r>
      <w:bookmarkEnd w:id="1005"/>
      <w:r w:rsidRPr="00E1708A">
        <w:rPr>
          <w:rStyle w:val="TextoNormalCaracter"/>
        </w:rPr>
        <w:t xml:space="preserve">, Sentencias </w:t>
      </w:r>
      <w:hyperlink w:anchor="SENTENCIA_2023_125" w:history="1">
        <w:r w:rsidRPr="00E1708A">
          <w:rPr>
            <w:rStyle w:val="TextoNormalCaracter"/>
          </w:rPr>
          <w:t>125/2023</w:t>
        </w:r>
      </w:hyperlink>
      <w:r w:rsidRPr="00E1708A">
        <w:rPr>
          <w:rStyle w:val="TextoNormalCaracter"/>
        </w:rPr>
        <w:t xml:space="preserve">, ff. 1 y 2; </w:t>
      </w:r>
      <w:hyperlink w:anchor="SENTENCIA_2023_139" w:history="1">
        <w:r w:rsidRPr="00E1708A">
          <w:rPr>
            <w:rStyle w:val="TextoNormalCaracter"/>
          </w:rPr>
          <w:t>139/2023</w:t>
        </w:r>
      </w:hyperlink>
      <w:r w:rsidRPr="00E1708A">
        <w:rPr>
          <w:rStyle w:val="TextoNormalCaracter"/>
        </w:rPr>
        <w:t xml:space="preserve">, ff. 1 y 3; </w:t>
      </w:r>
      <w:hyperlink w:anchor="SENTENCIA_2023_142" w:history="1">
        <w:r w:rsidRPr="00E1708A">
          <w:rPr>
            <w:rStyle w:val="TextoNormalCaracter"/>
          </w:rPr>
          <w:t>142/2023</w:t>
        </w:r>
      </w:hyperlink>
      <w:r w:rsidRPr="00E1708A">
        <w:rPr>
          <w:rStyle w:val="TextoNormalCaracter"/>
        </w:rPr>
        <w:t xml:space="preserve">, ff. 1, 2 y 3; </w:t>
      </w:r>
      <w:hyperlink w:anchor="SENTENCIA_2023_144" w:history="1">
        <w:r w:rsidRPr="00E1708A">
          <w:rPr>
            <w:rStyle w:val="TextoNormalCaracter"/>
          </w:rPr>
          <w:t>144/2023</w:t>
        </w:r>
      </w:hyperlink>
      <w:r w:rsidRPr="00E1708A">
        <w:rPr>
          <w:rStyle w:val="TextoNormalCaracter"/>
        </w:rPr>
        <w:t xml:space="preserve">; </w:t>
      </w:r>
      <w:hyperlink w:anchor="SENTENCIA_2023_165" w:history="1">
        <w:r w:rsidRPr="00E1708A">
          <w:rPr>
            <w:rStyle w:val="TextoNormalCaracter"/>
          </w:rPr>
          <w:t>165/2023</w:t>
        </w:r>
      </w:hyperlink>
      <w:r w:rsidRPr="00E1708A">
        <w:rPr>
          <w:rStyle w:val="TextoNormalCaracter"/>
        </w:rPr>
        <w:t>, ff. 3, 4, VP.</w:t>
      </w:r>
    </w:p>
    <w:p w14:paraId="5EDF0E7B" w14:textId="6493C106" w:rsidR="00E1708A" w:rsidRPr="00E1708A" w:rsidRDefault="00E1708A" w:rsidP="00E1708A">
      <w:pPr>
        <w:pStyle w:val="TextoNormalSangraFrancesa"/>
        <w:rPr>
          <w:rStyle w:val="TextoNormalCaracter"/>
        </w:rPr>
      </w:pPr>
      <w:bookmarkStart w:id="1006" w:name="DESCRIPTORALFABETICO433"/>
      <w:r w:rsidRPr="00E1708A">
        <w:rPr>
          <w:rStyle w:val="TextoNormalNegritaCaracter"/>
        </w:rPr>
        <w:t>Consejo de política fiscal y financiera de las Comunidades Autónomas</w:t>
      </w:r>
      <w:bookmarkEnd w:id="1006"/>
      <w:r w:rsidRPr="00E1708A">
        <w:rPr>
          <w:rStyle w:val="TextoNormalCaracter"/>
        </w:rPr>
        <w:t xml:space="preserve">, Sentencia </w:t>
      </w:r>
      <w:hyperlink w:anchor="SENTENCIA_2023_149" w:history="1">
        <w:r w:rsidRPr="00E1708A">
          <w:rPr>
            <w:rStyle w:val="TextoNormalCaracter"/>
          </w:rPr>
          <w:t>149/2023</w:t>
        </w:r>
      </w:hyperlink>
      <w:r w:rsidRPr="00E1708A">
        <w:rPr>
          <w:rStyle w:val="TextoNormalCaracter"/>
        </w:rPr>
        <w:t>, VP.</w:t>
      </w:r>
    </w:p>
    <w:p w14:paraId="2410F149" w14:textId="7F538EE7" w:rsidR="00E1708A" w:rsidRPr="00E1708A" w:rsidRDefault="00E1708A" w:rsidP="00E1708A">
      <w:pPr>
        <w:pStyle w:val="TextoNormalSangraFrancesa"/>
        <w:rPr>
          <w:rStyle w:val="TextoNormalCaracter"/>
        </w:rPr>
      </w:pPr>
      <w:bookmarkStart w:id="1007" w:name="DESCRIPTORALFABETICO212"/>
      <w:r w:rsidRPr="00E1708A">
        <w:rPr>
          <w:rStyle w:val="TextoNormalNegritaCaracter"/>
        </w:rPr>
        <w:t>Consejo General del Poder Judicial</w:t>
      </w:r>
      <w:bookmarkEnd w:id="1007"/>
      <w:r w:rsidRPr="00E1708A">
        <w:rPr>
          <w:rStyle w:val="TextoNormalCaracter"/>
        </w:rPr>
        <w:t xml:space="preserve">, Sentencia </w:t>
      </w:r>
      <w:hyperlink w:anchor="SENTENCIA_2023_128" w:history="1">
        <w:r w:rsidRPr="00E1708A">
          <w:rPr>
            <w:rStyle w:val="TextoNormalCaracter"/>
          </w:rPr>
          <w:t>128/2023</w:t>
        </w:r>
      </w:hyperlink>
      <w:r w:rsidRPr="00E1708A">
        <w:rPr>
          <w:rStyle w:val="TextoNormalCaracter"/>
        </w:rPr>
        <w:t>, ff. 1 a 5, VP.</w:t>
      </w:r>
    </w:p>
    <w:p w14:paraId="2208D79A" w14:textId="75D28DBB" w:rsidR="00E1708A" w:rsidRPr="00E1708A" w:rsidRDefault="00E1708A" w:rsidP="00E1708A">
      <w:pPr>
        <w:pStyle w:val="TextoNormalSangraFrancesa"/>
        <w:rPr>
          <w:rStyle w:val="TextoNormalCaracter"/>
        </w:rPr>
      </w:pPr>
      <w:r w:rsidRPr="00E1708A">
        <w:rPr>
          <w:rStyle w:val="TextoNormalCursivaCaracter"/>
        </w:rPr>
        <w:t xml:space="preserve">    Función, </w:t>
      </w:r>
      <w:r w:rsidRPr="00E1708A">
        <w:rPr>
          <w:rStyle w:val="TextoNormalCaracter"/>
        </w:rPr>
        <w:t xml:space="preserve">Sentencia </w:t>
      </w:r>
      <w:hyperlink w:anchor="SENTENCIA_2023_128" w:history="1">
        <w:r w:rsidRPr="00E1708A">
          <w:rPr>
            <w:rStyle w:val="TextoNormalCaracter"/>
          </w:rPr>
          <w:t>128/2023</w:t>
        </w:r>
      </w:hyperlink>
      <w:r w:rsidRPr="00E1708A">
        <w:rPr>
          <w:rStyle w:val="TextoNormalCaracter"/>
        </w:rPr>
        <w:t>, ff. 1 a 5, VP.</w:t>
      </w:r>
    </w:p>
    <w:p w14:paraId="092FB40C" w14:textId="572E658C" w:rsidR="00E1708A" w:rsidRPr="00E1708A" w:rsidRDefault="00E1708A" w:rsidP="00E1708A">
      <w:pPr>
        <w:pStyle w:val="TextoNormalSangraFrancesa"/>
        <w:rPr>
          <w:rStyle w:val="TextoNormalCaracter"/>
        </w:rPr>
      </w:pPr>
      <w:r w:rsidRPr="00E1708A">
        <w:rPr>
          <w:rStyle w:val="TextoNormalCursivaCaracter"/>
        </w:rPr>
        <w:t xml:space="preserve">    Régimen jurídico, </w:t>
      </w:r>
      <w:r w:rsidRPr="00E1708A">
        <w:rPr>
          <w:rStyle w:val="TextoNormalCaracter"/>
        </w:rPr>
        <w:t xml:space="preserve">Sentencia </w:t>
      </w:r>
      <w:hyperlink w:anchor="SENTENCIA_2023_128" w:history="1">
        <w:r w:rsidRPr="00E1708A">
          <w:rPr>
            <w:rStyle w:val="TextoNormalCaracter"/>
          </w:rPr>
          <w:t>128/2023</w:t>
        </w:r>
      </w:hyperlink>
      <w:r w:rsidRPr="00E1708A">
        <w:rPr>
          <w:rStyle w:val="TextoNormalCaracter"/>
        </w:rPr>
        <w:t>, ff. 1 a 5, VP.</w:t>
      </w:r>
    </w:p>
    <w:p w14:paraId="1F2C2E8D" w14:textId="7077D725" w:rsidR="00E1708A" w:rsidRPr="00E1708A" w:rsidRDefault="00E1708A" w:rsidP="00E1708A">
      <w:pPr>
        <w:pStyle w:val="TextoNormalSangraFrancesa"/>
        <w:rPr>
          <w:rStyle w:val="TextoNormalCaracter"/>
        </w:rPr>
      </w:pPr>
      <w:bookmarkStart w:id="1008" w:name="DESCRIPTORALFABETICO354"/>
      <w:r w:rsidRPr="00E1708A">
        <w:rPr>
          <w:rStyle w:val="TextoNormalNegritaCaracter"/>
        </w:rPr>
        <w:t>Consentimiento informado</w:t>
      </w:r>
      <w:bookmarkEnd w:id="1008"/>
      <w:r w:rsidRPr="00E1708A">
        <w:rPr>
          <w:rStyle w:val="TextoNormalCaracter"/>
        </w:rPr>
        <w:t xml:space="preserve">, Sentencias </w:t>
      </w:r>
      <w:hyperlink w:anchor="SENTENCIA_2023_94" w:history="1">
        <w:r w:rsidRPr="00E1708A">
          <w:rPr>
            <w:rStyle w:val="TextoNormalCaracter"/>
          </w:rPr>
          <w:t>94/2023</w:t>
        </w:r>
      </w:hyperlink>
      <w:r w:rsidRPr="00E1708A">
        <w:rPr>
          <w:rStyle w:val="TextoNormalCaracter"/>
        </w:rPr>
        <w:t xml:space="preserve">, f. 3, VP III; </w:t>
      </w:r>
      <w:hyperlink w:anchor="SENTENCIA_2023_148" w:history="1">
        <w:r w:rsidRPr="00E1708A">
          <w:rPr>
            <w:rStyle w:val="TextoNormalCaracter"/>
          </w:rPr>
          <w:t>148/2023</w:t>
        </w:r>
      </w:hyperlink>
      <w:r w:rsidRPr="00E1708A">
        <w:rPr>
          <w:rStyle w:val="TextoNormalCaracter"/>
        </w:rPr>
        <w:t xml:space="preserve">, ff. 2, 4,5; </w:t>
      </w:r>
      <w:hyperlink w:anchor="SENTENCIA_2023_154" w:history="1">
        <w:r w:rsidRPr="00E1708A">
          <w:rPr>
            <w:rStyle w:val="TextoNormalCaracter"/>
          </w:rPr>
          <w:t>154/2023</w:t>
        </w:r>
      </w:hyperlink>
      <w:r w:rsidRPr="00E1708A">
        <w:rPr>
          <w:rStyle w:val="TextoNormalCaracter"/>
        </w:rPr>
        <w:t xml:space="preserve">, f. 3; </w:t>
      </w:r>
      <w:hyperlink w:anchor="SENTENCIA_2023_155" w:history="1">
        <w:r w:rsidRPr="00E1708A">
          <w:rPr>
            <w:rStyle w:val="TextoNormalCaracter"/>
          </w:rPr>
          <w:t>155/2023</w:t>
        </w:r>
      </w:hyperlink>
      <w:r w:rsidRPr="00E1708A">
        <w:rPr>
          <w:rStyle w:val="TextoNormalCaracter"/>
        </w:rPr>
        <w:t xml:space="preserve">, f. 4; </w:t>
      </w:r>
      <w:hyperlink w:anchor="SENTENCIA_2023_156" w:history="1">
        <w:r w:rsidRPr="00E1708A">
          <w:rPr>
            <w:rStyle w:val="TextoNormalCaracter"/>
          </w:rPr>
          <w:t>156/2023</w:t>
        </w:r>
      </w:hyperlink>
      <w:r w:rsidRPr="00E1708A">
        <w:rPr>
          <w:rStyle w:val="TextoNormalCaracter"/>
        </w:rPr>
        <w:t xml:space="preserve">, f. 3; </w:t>
      </w:r>
      <w:hyperlink w:anchor="SENTENCIA_2023_157" w:history="1">
        <w:r w:rsidRPr="00E1708A">
          <w:rPr>
            <w:rStyle w:val="TextoNormalCaracter"/>
          </w:rPr>
          <w:t>157/2023</w:t>
        </w:r>
      </w:hyperlink>
      <w:r w:rsidRPr="00E1708A">
        <w:rPr>
          <w:rStyle w:val="TextoNormalCaracter"/>
        </w:rPr>
        <w:t xml:space="preserve">, f. 3; </w:t>
      </w:r>
      <w:hyperlink w:anchor="SENTENCIA_2023_158" w:history="1">
        <w:r w:rsidRPr="00E1708A">
          <w:rPr>
            <w:rStyle w:val="TextoNormalCaracter"/>
          </w:rPr>
          <w:t>158/2023</w:t>
        </w:r>
      </w:hyperlink>
      <w:r w:rsidRPr="00E1708A">
        <w:rPr>
          <w:rStyle w:val="TextoNormalCaracter"/>
        </w:rPr>
        <w:t xml:space="preserve">, f. 3; </w:t>
      </w:r>
      <w:hyperlink w:anchor="SENTENCIA_2023_159" w:history="1">
        <w:r w:rsidRPr="00E1708A">
          <w:rPr>
            <w:rStyle w:val="TextoNormalCaracter"/>
          </w:rPr>
          <w:t>159/2023</w:t>
        </w:r>
      </w:hyperlink>
      <w:r w:rsidRPr="00E1708A">
        <w:rPr>
          <w:rStyle w:val="TextoNormalCaracter"/>
        </w:rPr>
        <w:t xml:space="preserve">, f. 3; </w:t>
      </w:r>
      <w:hyperlink w:anchor="SENTENCIA_2023_160" w:history="1">
        <w:r w:rsidRPr="00E1708A">
          <w:rPr>
            <w:rStyle w:val="TextoNormalCaracter"/>
          </w:rPr>
          <w:t>160/2023</w:t>
        </w:r>
      </w:hyperlink>
      <w:r w:rsidRPr="00E1708A">
        <w:rPr>
          <w:rStyle w:val="TextoNormalCaracter"/>
        </w:rPr>
        <w:t xml:space="preserve">, ff. 2 y 3; </w:t>
      </w:r>
      <w:hyperlink w:anchor="SENTENCIA_2023_162" w:history="1">
        <w:r w:rsidRPr="00E1708A">
          <w:rPr>
            <w:rStyle w:val="TextoNormalCaracter"/>
          </w:rPr>
          <w:t>162/2023</w:t>
        </w:r>
      </w:hyperlink>
      <w:r w:rsidRPr="00E1708A">
        <w:rPr>
          <w:rStyle w:val="TextoNormalCaracter"/>
        </w:rPr>
        <w:t xml:space="preserve">, f. 3; </w:t>
      </w:r>
      <w:hyperlink w:anchor="SENTENCIA_2023_163" w:history="1">
        <w:r w:rsidRPr="00E1708A">
          <w:rPr>
            <w:rStyle w:val="TextoNormalCaracter"/>
          </w:rPr>
          <w:t>163/2023</w:t>
        </w:r>
      </w:hyperlink>
      <w:r w:rsidRPr="00E1708A">
        <w:rPr>
          <w:rStyle w:val="TextoNormalCaracter"/>
        </w:rPr>
        <w:t xml:space="preserve">, f. único; </w:t>
      </w:r>
      <w:hyperlink w:anchor="SENTENCIA_2023_180" w:history="1">
        <w:r w:rsidRPr="00E1708A">
          <w:rPr>
            <w:rStyle w:val="TextoNormalCaracter"/>
          </w:rPr>
          <w:t>180/2023</w:t>
        </w:r>
      </w:hyperlink>
      <w:r w:rsidRPr="00E1708A">
        <w:rPr>
          <w:rStyle w:val="TextoNormalCaracter"/>
        </w:rPr>
        <w:t xml:space="preserve">, f. 3; </w:t>
      </w:r>
      <w:hyperlink w:anchor="SENTENCIA_2023_182" w:history="1">
        <w:r w:rsidRPr="00E1708A">
          <w:rPr>
            <w:rStyle w:val="TextoNormalCaracter"/>
          </w:rPr>
          <w:t>182/2023</w:t>
        </w:r>
      </w:hyperlink>
      <w:r w:rsidRPr="00E1708A">
        <w:rPr>
          <w:rStyle w:val="TextoNormalCaracter"/>
        </w:rPr>
        <w:t xml:space="preserve">, f. 3; </w:t>
      </w:r>
      <w:hyperlink w:anchor="SENTENCIA_2023_183" w:history="1">
        <w:r w:rsidRPr="00E1708A">
          <w:rPr>
            <w:rStyle w:val="TextoNormalCaracter"/>
          </w:rPr>
          <w:t>183/2023</w:t>
        </w:r>
      </w:hyperlink>
      <w:r w:rsidRPr="00E1708A">
        <w:rPr>
          <w:rStyle w:val="TextoNormalCaracter"/>
        </w:rPr>
        <w:t xml:space="preserve">, f. 3; </w:t>
      </w:r>
      <w:hyperlink w:anchor="SENTENCIA_2023_185" w:history="1">
        <w:r w:rsidRPr="00E1708A">
          <w:rPr>
            <w:rStyle w:val="TextoNormalCaracter"/>
          </w:rPr>
          <w:t>185/2023</w:t>
        </w:r>
      </w:hyperlink>
      <w:r w:rsidRPr="00E1708A">
        <w:rPr>
          <w:rStyle w:val="TextoNormalCaracter"/>
        </w:rPr>
        <w:t xml:space="preserve">, f. 3; </w:t>
      </w:r>
      <w:hyperlink w:anchor="SENTENCIA_2023_186" w:history="1">
        <w:r w:rsidRPr="00E1708A">
          <w:rPr>
            <w:rStyle w:val="TextoNormalCaracter"/>
          </w:rPr>
          <w:t>186/2023</w:t>
        </w:r>
      </w:hyperlink>
      <w:r w:rsidRPr="00E1708A">
        <w:rPr>
          <w:rStyle w:val="TextoNormalCaracter"/>
        </w:rPr>
        <w:t xml:space="preserve">, f. 3; </w:t>
      </w:r>
      <w:hyperlink w:anchor="SENTENCIA_2023_187" w:history="1">
        <w:r w:rsidRPr="00E1708A">
          <w:rPr>
            <w:rStyle w:val="TextoNormalCaracter"/>
          </w:rPr>
          <w:t>187/2023</w:t>
        </w:r>
      </w:hyperlink>
      <w:r w:rsidRPr="00E1708A">
        <w:rPr>
          <w:rStyle w:val="TextoNormalCaracter"/>
        </w:rPr>
        <w:t>, ff. 2 y 3.</w:t>
      </w:r>
    </w:p>
    <w:p w14:paraId="3E5EF789" w14:textId="15B5DF95" w:rsidR="00E1708A" w:rsidRPr="00E1708A" w:rsidRDefault="00E1708A" w:rsidP="00E1708A">
      <w:pPr>
        <w:pStyle w:val="TextoNormalSangraFrancesa"/>
        <w:rPr>
          <w:rStyle w:val="TextoNormalCaracter"/>
        </w:rPr>
      </w:pPr>
      <w:bookmarkStart w:id="1009" w:name="DESCRIPTORALFABETICO109"/>
      <w:r w:rsidRPr="00E1708A">
        <w:rPr>
          <w:rStyle w:val="TextoNormalNegritaCaracter"/>
        </w:rPr>
        <w:t>Contenido de la libertad de expresión</w:t>
      </w:r>
      <w:bookmarkEnd w:id="1009"/>
      <w:r w:rsidRPr="00E1708A">
        <w:rPr>
          <w:rStyle w:val="TextoNormalCaracter"/>
        </w:rPr>
        <w:t xml:space="preserve">, Sentencia </w:t>
      </w:r>
      <w:hyperlink w:anchor="SENTENCIA_2023_83" w:history="1">
        <w:r w:rsidRPr="00E1708A">
          <w:rPr>
            <w:rStyle w:val="TextoNormalCaracter"/>
          </w:rPr>
          <w:t>83/2023</w:t>
        </w:r>
      </w:hyperlink>
      <w:r w:rsidRPr="00E1708A">
        <w:rPr>
          <w:rStyle w:val="TextoNormalCaracter"/>
        </w:rPr>
        <w:t>, ff. 4 a 6, VP I, VP II.</w:t>
      </w:r>
    </w:p>
    <w:p w14:paraId="3FF6DBFD" w14:textId="723536CF" w:rsidR="00E1708A" w:rsidRPr="00E1708A" w:rsidRDefault="00E1708A" w:rsidP="00E1708A">
      <w:pPr>
        <w:pStyle w:val="TextoNormalSangraFrancesa"/>
        <w:rPr>
          <w:rStyle w:val="TextoNormalCaracter"/>
        </w:rPr>
      </w:pPr>
      <w:bookmarkStart w:id="1010" w:name="DESCRIPTORALFABETICO116"/>
      <w:r w:rsidRPr="00E1708A">
        <w:rPr>
          <w:rStyle w:val="TextoNormalNegritaCaracter"/>
        </w:rPr>
        <w:t>Contenido de la libertad de información</w:t>
      </w:r>
      <w:bookmarkEnd w:id="1010"/>
      <w:r w:rsidRPr="00E1708A">
        <w:rPr>
          <w:rStyle w:val="TextoNormalCaracter"/>
        </w:rPr>
        <w:t xml:space="preserve">, Sentencia </w:t>
      </w:r>
      <w:hyperlink w:anchor="SENTENCIA_2023_89" w:history="1">
        <w:r w:rsidRPr="00E1708A">
          <w:rPr>
            <w:rStyle w:val="TextoNormalCaracter"/>
          </w:rPr>
          <w:t>89/2023</w:t>
        </w:r>
      </w:hyperlink>
      <w:r w:rsidRPr="00E1708A">
        <w:rPr>
          <w:rStyle w:val="TextoNormalCaracter"/>
        </w:rPr>
        <w:t>, ff.1 a 4, VP I, VP II, VP III.</w:t>
      </w:r>
    </w:p>
    <w:p w14:paraId="61AD413E" w14:textId="497D2EDB" w:rsidR="00E1708A" w:rsidRPr="00E1708A" w:rsidRDefault="00E1708A" w:rsidP="00E1708A">
      <w:pPr>
        <w:pStyle w:val="TextoNormalSangraFrancesa"/>
        <w:rPr>
          <w:rStyle w:val="TextoNormalCaracter"/>
        </w:rPr>
      </w:pPr>
      <w:bookmarkStart w:id="1011" w:name="DESCRIPTORALFABETICO54"/>
      <w:r w:rsidRPr="00E1708A">
        <w:rPr>
          <w:rStyle w:val="TextoNormalNegritaCaracter"/>
        </w:rPr>
        <w:t>Contenido del derecho a la integridad física y moral</w:t>
      </w:r>
      <w:bookmarkEnd w:id="1011"/>
      <w:r w:rsidRPr="00E1708A">
        <w:rPr>
          <w:rStyle w:val="TextoNormalCaracter"/>
        </w:rPr>
        <w:t xml:space="preserve">, Sentencias </w:t>
      </w:r>
      <w:hyperlink w:anchor="SENTENCIA_2023_78" w:history="1">
        <w:r w:rsidRPr="00E1708A">
          <w:rPr>
            <w:rStyle w:val="TextoNormalCaracter"/>
          </w:rPr>
          <w:t>78/2023</w:t>
        </w:r>
      </w:hyperlink>
      <w:r w:rsidRPr="00E1708A">
        <w:rPr>
          <w:rStyle w:val="TextoNormalCaracter"/>
        </w:rPr>
        <w:t xml:space="preserve">, f. 5 a 7, VP I, VP II; </w:t>
      </w:r>
      <w:hyperlink w:anchor="SENTENCIA_2023_148" w:history="1">
        <w:r w:rsidRPr="00E1708A">
          <w:rPr>
            <w:rStyle w:val="TextoNormalCaracter"/>
          </w:rPr>
          <w:t>148/2023</w:t>
        </w:r>
      </w:hyperlink>
      <w:r w:rsidRPr="00E1708A">
        <w:rPr>
          <w:rStyle w:val="TextoNormalCaracter"/>
        </w:rPr>
        <w:t>, ff. 4 y 5.</w:t>
      </w:r>
    </w:p>
    <w:p w14:paraId="7E3F5A86" w14:textId="5A0F36D1" w:rsidR="00E1708A" w:rsidRPr="00E1708A" w:rsidRDefault="00E1708A" w:rsidP="00E1708A">
      <w:pPr>
        <w:pStyle w:val="TextoNormalSangraFrancesa"/>
        <w:rPr>
          <w:rStyle w:val="TextoNormalCaracter"/>
        </w:rPr>
      </w:pPr>
      <w:bookmarkStart w:id="1012" w:name="DESCRIPTORALFABETICO121"/>
      <w:r w:rsidRPr="00E1708A">
        <w:rPr>
          <w:rStyle w:val="TextoNormalNegritaCaracter"/>
        </w:rPr>
        <w:t>Contenido del derecho a la objeción de conciencia</w:t>
      </w:r>
      <w:bookmarkEnd w:id="1012"/>
      <w:r w:rsidRPr="00E1708A">
        <w:rPr>
          <w:rStyle w:val="TextoNormalCaracter"/>
        </w:rPr>
        <w:t xml:space="preserve">, Sentencia </w:t>
      </w:r>
      <w:hyperlink w:anchor="SENTENCIA_2023_94" w:history="1">
        <w:r w:rsidRPr="00E1708A">
          <w:rPr>
            <w:rStyle w:val="TextoNormalCaracter"/>
          </w:rPr>
          <w:t>94/2023</w:t>
        </w:r>
      </w:hyperlink>
      <w:r w:rsidRPr="00E1708A">
        <w:rPr>
          <w:rStyle w:val="TextoNormalCaracter"/>
        </w:rPr>
        <w:t>, f. 4, VP II.</w:t>
      </w:r>
    </w:p>
    <w:p w14:paraId="4106E5C2" w14:textId="4579B6AD" w:rsidR="00E1708A" w:rsidRPr="00E1708A" w:rsidRDefault="00E1708A" w:rsidP="00E1708A">
      <w:pPr>
        <w:pStyle w:val="TextoNormalSangraFrancesa"/>
        <w:rPr>
          <w:rStyle w:val="TextoNormalCaracter"/>
        </w:rPr>
      </w:pPr>
      <w:bookmarkStart w:id="1013" w:name="DESCRIPTORALFABETICO80"/>
      <w:r w:rsidRPr="00E1708A">
        <w:rPr>
          <w:rStyle w:val="TextoNormalNegritaCaracter"/>
        </w:rPr>
        <w:t>Contenido del derecho a la tutela judicial sin indefensión</w:t>
      </w:r>
      <w:bookmarkEnd w:id="1013"/>
      <w:r w:rsidRPr="00E1708A">
        <w:rPr>
          <w:rStyle w:val="TextoNormalCaracter"/>
        </w:rPr>
        <w:t xml:space="preserve">, Sentencia </w:t>
      </w:r>
      <w:hyperlink w:anchor="SENTENCIA_2023_81" w:history="1">
        <w:r w:rsidRPr="00E1708A">
          <w:rPr>
            <w:rStyle w:val="TextoNormalCaracter"/>
          </w:rPr>
          <w:t>81/2023</w:t>
        </w:r>
      </w:hyperlink>
      <w:r w:rsidRPr="00E1708A">
        <w:rPr>
          <w:rStyle w:val="TextoNormalCaracter"/>
        </w:rPr>
        <w:t>, ff. 2 y 3.</w:t>
      </w:r>
    </w:p>
    <w:p w14:paraId="28399CAA" w14:textId="4EBD84E6" w:rsidR="00E1708A" w:rsidRPr="00E1708A" w:rsidRDefault="00E1708A" w:rsidP="00E1708A">
      <w:pPr>
        <w:pStyle w:val="TextoNormalSangraFrancesa"/>
        <w:rPr>
          <w:rStyle w:val="TextoNormalCaracter"/>
        </w:rPr>
      </w:pPr>
      <w:bookmarkStart w:id="1014" w:name="DESCRIPTORALFABETICO82"/>
      <w:r w:rsidRPr="00E1708A">
        <w:rPr>
          <w:rStyle w:val="TextoNormalNegritaCaracter"/>
        </w:rPr>
        <w:t>Contenido del derecho a la vida</w:t>
      </w:r>
      <w:bookmarkEnd w:id="1014"/>
      <w:r w:rsidRPr="00E1708A">
        <w:rPr>
          <w:rStyle w:val="TextoNormalCaracter"/>
        </w:rPr>
        <w:t xml:space="preserve">, Sentencias </w:t>
      </w:r>
      <w:hyperlink w:anchor="SENTENCIA_2023_78" w:history="1">
        <w:r w:rsidRPr="00E1708A">
          <w:rPr>
            <w:rStyle w:val="TextoNormalCaracter"/>
          </w:rPr>
          <w:t>78/2023</w:t>
        </w:r>
      </w:hyperlink>
      <w:r w:rsidRPr="00E1708A">
        <w:rPr>
          <w:rStyle w:val="TextoNormalCaracter"/>
        </w:rPr>
        <w:t xml:space="preserve">, f. 5 a 7, VP I, VP II; </w:t>
      </w:r>
      <w:hyperlink w:anchor="SENTENCIA_2023_94" w:history="1">
        <w:r w:rsidRPr="00E1708A">
          <w:rPr>
            <w:rStyle w:val="TextoNormalCaracter"/>
          </w:rPr>
          <w:t>94/2023</w:t>
        </w:r>
      </w:hyperlink>
      <w:r w:rsidRPr="00E1708A">
        <w:rPr>
          <w:rStyle w:val="TextoNormalCaracter"/>
        </w:rPr>
        <w:t>, f. 3, VP III.</w:t>
      </w:r>
    </w:p>
    <w:p w14:paraId="06997A5E" w14:textId="2679CB61" w:rsidR="00E1708A" w:rsidRPr="00E1708A" w:rsidRDefault="00E1708A" w:rsidP="00E1708A">
      <w:pPr>
        <w:pStyle w:val="TextoNormalSangraFrancesa"/>
        <w:rPr>
          <w:rStyle w:val="TextoNormalCaracter"/>
        </w:rPr>
      </w:pPr>
      <w:bookmarkStart w:id="1015" w:name="DESCRIPTORALFABETICO69"/>
      <w:r w:rsidRPr="00E1708A">
        <w:rPr>
          <w:rStyle w:val="TextoNormalNegritaCaracter"/>
        </w:rPr>
        <w:t>Contenido del derecho al recurso legal</w:t>
      </w:r>
      <w:bookmarkEnd w:id="1015"/>
      <w:r w:rsidRPr="00E1708A">
        <w:rPr>
          <w:rStyle w:val="TextoNormalCaracter"/>
        </w:rPr>
        <w:t xml:space="preserve">, Sentencia </w:t>
      </w:r>
      <w:hyperlink w:anchor="SENTENCIA_2023_87" w:history="1">
        <w:r w:rsidRPr="00E1708A">
          <w:rPr>
            <w:rStyle w:val="TextoNormalCaracter"/>
          </w:rPr>
          <w:t>87/2023</w:t>
        </w:r>
      </w:hyperlink>
      <w:r w:rsidRPr="00E1708A">
        <w:rPr>
          <w:rStyle w:val="TextoNormalCaracter"/>
        </w:rPr>
        <w:t>.</w:t>
      </w:r>
    </w:p>
    <w:p w14:paraId="38B41027" w14:textId="77AA30E2" w:rsidR="00E1708A" w:rsidRPr="00E1708A" w:rsidRDefault="00E1708A" w:rsidP="00E1708A">
      <w:pPr>
        <w:pStyle w:val="TextoNormalSangraFrancesa"/>
        <w:rPr>
          <w:rStyle w:val="TextoNormalCaracter"/>
        </w:rPr>
      </w:pPr>
      <w:bookmarkStart w:id="1016" w:name="DESCRIPTORALFABETICO102"/>
      <w:r w:rsidRPr="00E1708A">
        <w:rPr>
          <w:rStyle w:val="TextoNormalNegritaCaracter"/>
        </w:rPr>
        <w:t>Contenido del derecho de reunión y de manifestación</w:t>
      </w:r>
      <w:bookmarkEnd w:id="1016"/>
      <w:r w:rsidRPr="00E1708A">
        <w:rPr>
          <w:rStyle w:val="TextoNormalCaracter"/>
        </w:rPr>
        <w:t xml:space="preserve">, Sentencias </w:t>
      </w:r>
      <w:hyperlink w:anchor="SENTENCIA_2023_84" w:history="1">
        <w:r w:rsidRPr="00E1708A">
          <w:rPr>
            <w:rStyle w:val="TextoNormalCaracter"/>
          </w:rPr>
          <w:t>84/2023</w:t>
        </w:r>
      </w:hyperlink>
      <w:r w:rsidRPr="00E1708A">
        <w:rPr>
          <w:rStyle w:val="TextoNormalCaracter"/>
        </w:rPr>
        <w:t xml:space="preserve">, ff. 2 a 4; </w:t>
      </w:r>
      <w:hyperlink w:anchor="SENTENCIA_2023_88" w:history="1">
        <w:r w:rsidRPr="00E1708A">
          <w:rPr>
            <w:rStyle w:val="TextoNormalCaracter"/>
          </w:rPr>
          <w:t>88/2023</w:t>
        </w:r>
      </w:hyperlink>
      <w:r w:rsidRPr="00E1708A">
        <w:rPr>
          <w:rStyle w:val="TextoNormalCaracter"/>
        </w:rPr>
        <w:t xml:space="preserve">, ff. 4 y 5; </w:t>
      </w:r>
      <w:hyperlink w:anchor="SENTENCIA_2023_164" w:history="1">
        <w:r w:rsidRPr="00E1708A">
          <w:rPr>
            <w:rStyle w:val="TextoNormalCaracter"/>
          </w:rPr>
          <w:t>164/2023</w:t>
        </w:r>
      </w:hyperlink>
      <w:r w:rsidRPr="00E1708A">
        <w:rPr>
          <w:rStyle w:val="TextoNormalCaracter"/>
        </w:rPr>
        <w:t>, ff. 2 y 3.</w:t>
      </w:r>
    </w:p>
    <w:p w14:paraId="2B8CDE07" w14:textId="6A22FF84" w:rsidR="00E1708A" w:rsidRPr="00E1708A" w:rsidRDefault="00E1708A" w:rsidP="00E1708A">
      <w:pPr>
        <w:pStyle w:val="TextoNormalSangraFrancesa"/>
        <w:rPr>
          <w:rStyle w:val="TextoNormalCaracter"/>
        </w:rPr>
      </w:pPr>
      <w:bookmarkStart w:id="1017" w:name="DESCRIPTORALFABETICO123"/>
      <w:r w:rsidRPr="00E1708A">
        <w:rPr>
          <w:rStyle w:val="TextoNormalNegritaCaracter"/>
        </w:rPr>
        <w:t>Contenido no absoluto de los derechos fundamentales</w:t>
      </w:r>
      <w:bookmarkEnd w:id="1017"/>
      <w:r w:rsidRPr="00E1708A">
        <w:rPr>
          <w:rStyle w:val="TextoNormalCaracter"/>
        </w:rPr>
        <w:t xml:space="preserve">, Sentencia </w:t>
      </w:r>
      <w:hyperlink w:anchor="SENTENCIA_2023_94" w:history="1">
        <w:r w:rsidRPr="00E1708A">
          <w:rPr>
            <w:rStyle w:val="TextoNormalCaracter"/>
          </w:rPr>
          <w:t>94/2023</w:t>
        </w:r>
      </w:hyperlink>
      <w:r w:rsidRPr="00E1708A">
        <w:rPr>
          <w:rStyle w:val="TextoNormalCaracter"/>
        </w:rPr>
        <w:t>, f. 3.</w:t>
      </w:r>
    </w:p>
    <w:p w14:paraId="6BB2C265" w14:textId="23E3E1F6" w:rsidR="00E1708A" w:rsidRPr="00E1708A" w:rsidRDefault="00E1708A" w:rsidP="00E1708A">
      <w:pPr>
        <w:pStyle w:val="TextoNormalSangraFrancesa"/>
        <w:rPr>
          <w:rStyle w:val="TextoNormalCaracter"/>
        </w:rPr>
      </w:pPr>
      <w:bookmarkStart w:id="1018" w:name="DESCRIPTORALFABETICO414"/>
      <w:r w:rsidRPr="00E1708A">
        <w:rPr>
          <w:rStyle w:val="TextoNormalNegritaCaracter"/>
        </w:rPr>
        <w:t>Contradicción como regla esencial del proceso</w:t>
      </w:r>
      <w:bookmarkEnd w:id="1018"/>
      <w:r w:rsidRPr="00E1708A">
        <w:rPr>
          <w:rStyle w:val="TextoNormalCaracter"/>
        </w:rPr>
        <w:t xml:space="preserve">, Sentencia </w:t>
      </w:r>
      <w:hyperlink w:anchor="SENTENCIA_2023_131" w:history="1">
        <w:r w:rsidRPr="00E1708A">
          <w:rPr>
            <w:rStyle w:val="TextoNormalCaracter"/>
          </w:rPr>
          <w:t>131/2023</w:t>
        </w:r>
      </w:hyperlink>
      <w:r w:rsidRPr="00E1708A">
        <w:rPr>
          <w:rStyle w:val="TextoNormalCaracter"/>
        </w:rPr>
        <w:t>, ff. 2 y 4, VP.</w:t>
      </w:r>
    </w:p>
    <w:p w14:paraId="19AA7757" w14:textId="043A5474" w:rsidR="00E1708A" w:rsidRPr="00E1708A" w:rsidRDefault="00E1708A" w:rsidP="00E1708A">
      <w:pPr>
        <w:pStyle w:val="TextoNormalSangraFrancesa"/>
        <w:rPr>
          <w:rStyle w:val="TextoNormalCaracter"/>
        </w:rPr>
      </w:pPr>
      <w:bookmarkStart w:id="1019" w:name="DESCRIPTORALFABETICO383"/>
      <w:r w:rsidRPr="00E1708A">
        <w:rPr>
          <w:rStyle w:val="TextoNormalNegritaCaracter"/>
        </w:rPr>
        <w:t>Contrato temporal</w:t>
      </w:r>
      <w:bookmarkEnd w:id="1019"/>
      <w:r w:rsidRPr="00E1708A">
        <w:rPr>
          <w:rStyle w:val="TextoNormalCaracter"/>
        </w:rPr>
        <w:t xml:space="preserve">, Sentencia </w:t>
      </w:r>
      <w:hyperlink w:anchor="SENTENCIA_2023_145" w:history="1">
        <w:r w:rsidRPr="00E1708A">
          <w:rPr>
            <w:rStyle w:val="TextoNormalCaracter"/>
          </w:rPr>
          <w:t>145/2023</w:t>
        </w:r>
      </w:hyperlink>
      <w:r w:rsidRPr="00E1708A">
        <w:rPr>
          <w:rStyle w:val="TextoNormalCaracter"/>
        </w:rPr>
        <w:t>, ff. 1, 2, 5, 6.</w:t>
      </w:r>
    </w:p>
    <w:p w14:paraId="1231DE92" w14:textId="44A8A137" w:rsidR="00E1708A" w:rsidRPr="00E1708A" w:rsidRDefault="00E1708A" w:rsidP="00E1708A">
      <w:pPr>
        <w:pStyle w:val="TextoNormalSangraFrancesa"/>
        <w:rPr>
          <w:rStyle w:val="TextoNormalCaracter"/>
        </w:rPr>
      </w:pPr>
      <w:bookmarkStart w:id="1020" w:name="DESCRIPTORALFABETICO139"/>
      <w:r w:rsidRPr="00E1708A">
        <w:rPr>
          <w:rStyle w:val="TextoNormalNegritaCaracter"/>
        </w:rPr>
        <w:t>Control de constitucionalidad de los decretos-leyes</w:t>
      </w:r>
      <w:bookmarkEnd w:id="1020"/>
      <w:r w:rsidRPr="00E1708A">
        <w:rPr>
          <w:rStyle w:val="TextoNormalCaracter"/>
        </w:rPr>
        <w:t xml:space="preserve">, Sentencias </w:t>
      </w:r>
      <w:hyperlink w:anchor="SENTENCIA_2023_144" w:history="1">
        <w:r w:rsidRPr="00E1708A">
          <w:rPr>
            <w:rStyle w:val="TextoNormalCaracter"/>
          </w:rPr>
          <w:t>144/2023</w:t>
        </w:r>
      </w:hyperlink>
      <w:r w:rsidRPr="00E1708A">
        <w:rPr>
          <w:rStyle w:val="TextoNormalCaracter"/>
        </w:rPr>
        <w:t xml:space="preserve">, ff. 3 y 5, VP; </w:t>
      </w:r>
      <w:hyperlink w:anchor="SENTENCIA_2023_145" w:history="1">
        <w:r w:rsidRPr="00E1708A">
          <w:rPr>
            <w:rStyle w:val="TextoNormalCaracter"/>
          </w:rPr>
          <w:t>145/2023</w:t>
        </w:r>
      </w:hyperlink>
      <w:r w:rsidRPr="00E1708A">
        <w:rPr>
          <w:rStyle w:val="TextoNormalCaracter"/>
        </w:rPr>
        <w:t>, ff. 1 a 7.</w:t>
      </w:r>
    </w:p>
    <w:p w14:paraId="6BDABC2E" w14:textId="13EDA471" w:rsidR="00E1708A" w:rsidRPr="00E1708A" w:rsidRDefault="00E1708A" w:rsidP="00E1708A">
      <w:pPr>
        <w:pStyle w:val="TextoNormalSangraFrancesa"/>
        <w:rPr>
          <w:rStyle w:val="TextoNormalCaracter"/>
        </w:rPr>
      </w:pPr>
      <w:bookmarkStart w:id="1021" w:name="DESCRIPTORALFABETICO219"/>
      <w:r w:rsidRPr="00E1708A">
        <w:rPr>
          <w:rStyle w:val="TextoNormalNegritaCaracter"/>
        </w:rPr>
        <w:t>Control judicial de la actividad administrativa</w:t>
      </w:r>
      <w:bookmarkEnd w:id="1021"/>
      <w:r w:rsidRPr="00E1708A">
        <w:rPr>
          <w:rStyle w:val="TextoNormalCaracter"/>
        </w:rPr>
        <w:t xml:space="preserve">, Sentencia </w:t>
      </w:r>
      <w:hyperlink w:anchor="SENTENCIA_2023_94" w:history="1">
        <w:r w:rsidRPr="00E1708A">
          <w:rPr>
            <w:rStyle w:val="TextoNormalCaracter"/>
          </w:rPr>
          <w:t>94/2023</w:t>
        </w:r>
      </w:hyperlink>
      <w:r w:rsidRPr="00E1708A">
        <w:rPr>
          <w:rStyle w:val="TextoNormalCaracter"/>
        </w:rPr>
        <w:t>, ff. 3 y 6, VP III.</w:t>
      </w:r>
    </w:p>
    <w:p w14:paraId="7A20716F" w14:textId="68AD102C" w:rsidR="00E1708A" w:rsidRPr="00E1708A" w:rsidRDefault="00E1708A" w:rsidP="00E1708A">
      <w:pPr>
        <w:pStyle w:val="TextoNormalSangraFrancesa"/>
        <w:rPr>
          <w:rStyle w:val="TextoNormalCaracter"/>
        </w:rPr>
      </w:pPr>
      <w:bookmarkStart w:id="1022" w:name="DESCRIPTORALFABETICO156"/>
      <w:r w:rsidRPr="00E1708A">
        <w:rPr>
          <w:rStyle w:val="TextoNormalNegritaCaracter"/>
        </w:rPr>
        <w:t>Controversias de contenido competencial</w:t>
      </w:r>
      <w:bookmarkEnd w:id="1022"/>
      <w:r w:rsidRPr="00E1708A">
        <w:rPr>
          <w:rStyle w:val="TextoNormalCaracter"/>
        </w:rPr>
        <w:t xml:space="preserve">, Sentencia </w:t>
      </w:r>
      <w:hyperlink w:anchor="SENTENCIA_2023_89" w:history="1">
        <w:r w:rsidRPr="00E1708A">
          <w:rPr>
            <w:rStyle w:val="TextoNormalCaracter"/>
          </w:rPr>
          <w:t>89/2023</w:t>
        </w:r>
      </w:hyperlink>
      <w:r w:rsidRPr="00E1708A">
        <w:rPr>
          <w:rStyle w:val="TextoNormalCaracter"/>
        </w:rPr>
        <w:t>, ff. 3 y 4, VPI, VPII, VPIII.</w:t>
      </w:r>
    </w:p>
    <w:p w14:paraId="1531309C" w14:textId="460177AA" w:rsidR="00E1708A" w:rsidRPr="00E1708A" w:rsidRDefault="00E1708A" w:rsidP="00E1708A">
      <w:pPr>
        <w:pStyle w:val="TextoNormalSangraFrancesa"/>
        <w:rPr>
          <w:rStyle w:val="TextoNormalCaracter"/>
        </w:rPr>
      </w:pPr>
      <w:bookmarkStart w:id="1023" w:name="DESCRIPTORALFABETICO280"/>
      <w:r w:rsidRPr="00E1708A">
        <w:rPr>
          <w:rStyle w:val="TextoNormalNegritaCaracter"/>
        </w:rPr>
        <w:t>Cooficialidad lingüística</w:t>
      </w:r>
      <w:bookmarkEnd w:id="1023"/>
      <w:r w:rsidRPr="00E1708A">
        <w:rPr>
          <w:rStyle w:val="TextoNormalCaracter"/>
        </w:rPr>
        <w:t xml:space="preserve">, Sentencia </w:t>
      </w:r>
      <w:hyperlink w:anchor="SENTENCIA_2023_85" w:history="1">
        <w:r w:rsidRPr="00E1708A">
          <w:rPr>
            <w:rStyle w:val="TextoNormalCaracter"/>
          </w:rPr>
          <w:t>85/2023</w:t>
        </w:r>
      </w:hyperlink>
      <w:r w:rsidRPr="00E1708A">
        <w:rPr>
          <w:rStyle w:val="TextoNormalCaracter"/>
        </w:rPr>
        <w:t>, ff. 2 a 4.</w:t>
      </w:r>
    </w:p>
    <w:p w14:paraId="2F878198" w14:textId="19C26C6A" w:rsidR="00E1708A" w:rsidRPr="00E1708A" w:rsidRDefault="00E1708A" w:rsidP="00E1708A">
      <w:pPr>
        <w:pStyle w:val="TextoNormalSangraFrancesa"/>
        <w:rPr>
          <w:rStyle w:val="TextoNormalCaracter"/>
        </w:rPr>
      </w:pPr>
      <w:bookmarkStart w:id="1024" w:name="DESCRIPTORALFABETICO26"/>
      <w:r w:rsidRPr="00E1708A">
        <w:rPr>
          <w:rStyle w:val="TextoNormalNegritaCaracter"/>
        </w:rPr>
        <w:t>Coordinación entre haciendas públicas</w:t>
      </w:r>
      <w:bookmarkEnd w:id="1024"/>
      <w:r w:rsidRPr="00E1708A">
        <w:rPr>
          <w:rStyle w:val="TextoNormalCaracter"/>
        </w:rPr>
        <w:t xml:space="preserve">, Sentencias </w:t>
      </w:r>
      <w:hyperlink w:anchor="SENTENCIA_2023_124" w:history="1">
        <w:r w:rsidRPr="00E1708A">
          <w:rPr>
            <w:rStyle w:val="TextoNormalCaracter"/>
          </w:rPr>
          <w:t>124/2023</w:t>
        </w:r>
      </w:hyperlink>
      <w:r w:rsidRPr="00E1708A">
        <w:rPr>
          <w:rStyle w:val="TextoNormalCaracter"/>
        </w:rPr>
        <w:t xml:space="preserve">, ff. 4 a 8; </w:t>
      </w:r>
      <w:hyperlink w:anchor="SENTENCIA_2023_143" w:history="1">
        <w:r w:rsidRPr="00E1708A">
          <w:rPr>
            <w:rStyle w:val="TextoNormalCaracter"/>
          </w:rPr>
          <w:t>143/2023</w:t>
        </w:r>
      </w:hyperlink>
      <w:r w:rsidRPr="00E1708A">
        <w:rPr>
          <w:rStyle w:val="TextoNormalCaracter"/>
        </w:rPr>
        <w:t xml:space="preserve">, f. 3; </w:t>
      </w:r>
      <w:hyperlink w:anchor="SENTENCIA_2023_149" w:history="1">
        <w:r w:rsidRPr="00E1708A">
          <w:rPr>
            <w:rStyle w:val="TextoNormalCaracter"/>
          </w:rPr>
          <w:t>149/2023</w:t>
        </w:r>
      </w:hyperlink>
      <w:r w:rsidRPr="00E1708A">
        <w:rPr>
          <w:rStyle w:val="TextoNormalCaracter"/>
        </w:rPr>
        <w:t>, f. 3, VP.</w:t>
      </w:r>
    </w:p>
    <w:p w14:paraId="065310CF" w14:textId="0B803BF6" w:rsidR="00E1708A" w:rsidRPr="00E1708A" w:rsidRDefault="00E1708A" w:rsidP="00E1708A">
      <w:pPr>
        <w:pStyle w:val="TextoNormalSangraFrancesa"/>
        <w:rPr>
          <w:rStyle w:val="TextoNormalCaracter"/>
        </w:rPr>
      </w:pPr>
      <w:bookmarkStart w:id="1025" w:name="DESCRIPTORALFABETICO20"/>
      <w:r w:rsidRPr="00E1708A">
        <w:rPr>
          <w:rStyle w:val="TextoNormalNegritaCaracter"/>
        </w:rPr>
        <w:t>Corresponsabilidad fiscal</w:t>
      </w:r>
      <w:bookmarkEnd w:id="1025"/>
      <w:r w:rsidRPr="00E1708A">
        <w:rPr>
          <w:rStyle w:val="TextoNormalCaracter"/>
        </w:rPr>
        <w:t xml:space="preserve">, Sentencia </w:t>
      </w:r>
      <w:hyperlink w:anchor="SENTENCIA_2023_149" w:history="1">
        <w:r w:rsidRPr="00E1708A">
          <w:rPr>
            <w:rStyle w:val="TextoNormalCaracter"/>
          </w:rPr>
          <w:t>149/2023</w:t>
        </w:r>
      </w:hyperlink>
      <w:r w:rsidRPr="00E1708A">
        <w:rPr>
          <w:rStyle w:val="TextoNormalCaracter"/>
        </w:rPr>
        <w:t>, ff. 3 y 4, VP.</w:t>
      </w:r>
    </w:p>
    <w:p w14:paraId="7306F495" w14:textId="320BC938" w:rsidR="00E1708A" w:rsidRPr="00E1708A" w:rsidRDefault="00E1708A" w:rsidP="00E1708A">
      <w:pPr>
        <w:pStyle w:val="TextoNormalSangraFrancesa"/>
        <w:rPr>
          <w:rStyle w:val="TextoNormalCaracter"/>
        </w:rPr>
      </w:pPr>
      <w:bookmarkStart w:id="1026" w:name="DESCRIPTORALFABETICO254"/>
      <w:r w:rsidRPr="00E1708A">
        <w:rPr>
          <w:rStyle w:val="TextoNormalNegritaCaracter"/>
        </w:rPr>
        <w:t>Cortes Generales</w:t>
      </w:r>
      <w:bookmarkEnd w:id="1026"/>
      <w:r w:rsidRPr="00E1708A">
        <w:rPr>
          <w:rStyle w:val="TextoNormalCaracter"/>
        </w:rPr>
        <w:t xml:space="preserve">, Sentencia </w:t>
      </w:r>
      <w:hyperlink w:anchor="SENTENCIA_2023_95" w:history="1">
        <w:r w:rsidRPr="00E1708A">
          <w:rPr>
            <w:rStyle w:val="TextoNormalCaracter"/>
          </w:rPr>
          <w:t>95/2023</w:t>
        </w:r>
      </w:hyperlink>
      <w:r w:rsidRPr="00E1708A">
        <w:rPr>
          <w:rStyle w:val="TextoNormalCaracter"/>
        </w:rPr>
        <w:t>, f. 1.</w:t>
      </w:r>
    </w:p>
    <w:p w14:paraId="79F3586A" w14:textId="592946FA" w:rsidR="00E1708A" w:rsidRPr="00E1708A" w:rsidRDefault="00E1708A" w:rsidP="00E1708A">
      <w:pPr>
        <w:pStyle w:val="TextoNormalSangraFrancesa"/>
        <w:rPr>
          <w:rStyle w:val="TextoNormalCaracter"/>
        </w:rPr>
      </w:pPr>
      <w:bookmarkStart w:id="1027" w:name="DESCRIPTORALFABETICO401"/>
      <w:r w:rsidRPr="00E1708A">
        <w:rPr>
          <w:rStyle w:val="TextoNormalNegritaCaracter"/>
        </w:rPr>
        <w:t>Costas procesales desiguales</w:t>
      </w:r>
      <w:bookmarkEnd w:id="1027"/>
      <w:r w:rsidRPr="00E1708A">
        <w:rPr>
          <w:rStyle w:val="TextoNormalCaracter"/>
        </w:rPr>
        <w:t xml:space="preserve">, Sentencia </w:t>
      </w:r>
      <w:hyperlink w:anchor="SENTENCIA_2023_91" w:history="1">
        <w:r w:rsidRPr="00E1708A">
          <w:rPr>
            <w:rStyle w:val="TextoNormalCaracter"/>
          </w:rPr>
          <w:t>91/2023</w:t>
        </w:r>
      </w:hyperlink>
      <w:r w:rsidRPr="00E1708A">
        <w:rPr>
          <w:rStyle w:val="TextoNormalCaracter"/>
        </w:rPr>
        <w:t>, ff. 3 y 4.</w:t>
      </w:r>
    </w:p>
    <w:p w14:paraId="33E6301B" w14:textId="4B50C731" w:rsidR="00E1708A" w:rsidRPr="00E1708A" w:rsidRDefault="00E1708A" w:rsidP="00E1708A">
      <w:pPr>
        <w:pStyle w:val="TextoNormalSangraFrancesa"/>
        <w:rPr>
          <w:rStyle w:val="TextoNormalCaracter"/>
        </w:rPr>
      </w:pPr>
      <w:bookmarkStart w:id="1028" w:name="DESCRIPTORALFABETICO304"/>
      <w:r w:rsidRPr="00E1708A">
        <w:rPr>
          <w:rStyle w:val="TextoNormalNegritaCaracter"/>
        </w:rPr>
        <w:t>Crisis derivada de la covid-19</w:t>
      </w:r>
      <w:bookmarkEnd w:id="1028"/>
      <w:r w:rsidRPr="00E1708A">
        <w:rPr>
          <w:rStyle w:val="TextoNormalCaracter"/>
        </w:rPr>
        <w:t xml:space="preserve">, Sentencias </w:t>
      </w:r>
      <w:hyperlink w:anchor="SENTENCIA_2023_84" w:history="1">
        <w:r w:rsidRPr="00E1708A">
          <w:rPr>
            <w:rStyle w:val="TextoNormalCaracter"/>
          </w:rPr>
          <w:t>84/2023</w:t>
        </w:r>
      </w:hyperlink>
      <w:r w:rsidRPr="00E1708A">
        <w:rPr>
          <w:rStyle w:val="TextoNormalCaracter"/>
        </w:rPr>
        <w:t xml:space="preserve">, ff. 2 a 4; </w:t>
      </w:r>
      <w:hyperlink w:anchor="SENTENCIA_2023_88" w:history="1">
        <w:r w:rsidRPr="00E1708A">
          <w:rPr>
            <w:rStyle w:val="TextoNormalCaracter"/>
          </w:rPr>
          <w:t>88/2023</w:t>
        </w:r>
      </w:hyperlink>
      <w:r w:rsidRPr="00E1708A">
        <w:rPr>
          <w:rStyle w:val="TextoNormalCaracter"/>
        </w:rPr>
        <w:t xml:space="preserve">, ff. 2 a 4; </w:t>
      </w:r>
      <w:hyperlink w:anchor="SENTENCIA_2023_144" w:history="1">
        <w:r w:rsidRPr="00E1708A">
          <w:rPr>
            <w:rStyle w:val="TextoNormalCaracter"/>
          </w:rPr>
          <w:t>144/2023</w:t>
        </w:r>
      </w:hyperlink>
      <w:r w:rsidRPr="00E1708A">
        <w:rPr>
          <w:rStyle w:val="TextoNormalCaracter"/>
        </w:rPr>
        <w:t xml:space="preserve">, ff. 4 y 5; </w:t>
      </w:r>
      <w:hyperlink w:anchor="SENTENCIA_2023_147" w:history="1">
        <w:r w:rsidRPr="00E1708A">
          <w:rPr>
            <w:rStyle w:val="TextoNormalCaracter"/>
          </w:rPr>
          <w:t>147/2023</w:t>
        </w:r>
      </w:hyperlink>
      <w:r w:rsidRPr="00E1708A">
        <w:rPr>
          <w:rStyle w:val="TextoNormalCaracter"/>
        </w:rPr>
        <w:t xml:space="preserve">, f. 2; </w:t>
      </w:r>
      <w:hyperlink w:anchor="SENTENCIA_2023_148" w:history="1">
        <w:r w:rsidRPr="00E1708A">
          <w:rPr>
            <w:rStyle w:val="TextoNormalCaracter"/>
          </w:rPr>
          <w:t>148/2023</w:t>
        </w:r>
      </w:hyperlink>
      <w:r w:rsidRPr="00E1708A">
        <w:rPr>
          <w:rStyle w:val="TextoNormalCaracter"/>
        </w:rPr>
        <w:t xml:space="preserve">, ff. 4 y 5; </w:t>
      </w:r>
      <w:hyperlink w:anchor="SENTENCIA_2023_154" w:history="1">
        <w:r w:rsidRPr="00E1708A">
          <w:rPr>
            <w:rStyle w:val="TextoNormalCaracter"/>
          </w:rPr>
          <w:t>154/2023</w:t>
        </w:r>
      </w:hyperlink>
      <w:r w:rsidRPr="00E1708A">
        <w:rPr>
          <w:rStyle w:val="TextoNormalCaracter"/>
        </w:rPr>
        <w:t xml:space="preserve">, f. 3; </w:t>
      </w:r>
      <w:hyperlink w:anchor="SENTENCIA_2023_155" w:history="1">
        <w:r w:rsidRPr="00E1708A">
          <w:rPr>
            <w:rStyle w:val="TextoNormalCaracter"/>
          </w:rPr>
          <w:t>155/2023</w:t>
        </w:r>
      </w:hyperlink>
      <w:r w:rsidRPr="00E1708A">
        <w:rPr>
          <w:rStyle w:val="TextoNormalCaracter"/>
        </w:rPr>
        <w:t xml:space="preserve">, f. 4; </w:t>
      </w:r>
      <w:hyperlink w:anchor="SENTENCIA_2023_159" w:history="1">
        <w:r w:rsidRPr="00E1708A">
          <w:rPr>
            <w:rStyle w:val="TextoNormalCaracter"/>
          </w:rPr>
          <w:t>159/2023</w:t>
        </w:r>
      </w:hyperlink>
      <w:r w:rsidRPr="00E1708A">
        <w:rPr>
          <w:rStyle w:val="TextoNormalCaracter"/>
        </w:rPr>
        <w:t xml:space="preserve">, f. 3; </w:t>
      </w:r>
      <w:hyperlink w:anchor="SENTENCIA_2023_160" w:history="1">
        <w:r w:rsidRPr="00E1708A">
          <w:rPr>
            <w:rStyle w:val="TextoNormalCaracter"/>
          </w:rPr>
          <w:t>160/2023</w:t>
        </w:r>
      </w:hyperlink>
      <w:r w:rsidRPr="00E1708A">
        <w:rPr>
          <w:rStyle w:val="TextoNormalCaracter"/>
        </w:rPr>
        <w:t xml:space="preserve">, f. 1; </w:t>
      </w:r>
      <w:hyperlink w:anchor="SENTENCIA_2023_161" w:history="1">
        <w:r w:rsidRPr="00E1708A">
          <w:rPr>
            <w:rStyle w:val="TextoNormalCaracter"/>
          </w:rPr>
          <w:t>161/2023</w:t>
        </w:r>
      </w:hyperlink>
      <w:r w:rsidRPr="00E1708A">
        <w:rPr>
          <w:rStyle w:val="TextoNormalCaracter"/>
        </w:rPr>
        <w:t xml:space="preserve">, f. 1; </w:t>
      </w:r>
      <w:hyperlink w:anchor="SENTENCIA_2023_162" w:history="1">
        <w:r w:rsidRPr="00E1708A">
          <w:rPr>
            <w:rStyle w:val="TextoNormalCaracter"/>
          </w:rPr>
          <w:t>162/2023</w:t>
        </w:r>
      </w:hyperlink>
      <w:r w:rsidRPr="00E1708A">
        <w:rPr>
          <w:rStyle w:val="TextoNormalCaracter"/>
        </w:rPr>
        <w:t xml:space="preserve">, f. 1; </w:t>
      </w:r>
      <w:hyperlink w:anchor="SENTENCIA_2023_163" w:history="1">
        <w:r w:rsidRPr="00E1708A">
          <w:rPr>
            <w:rStyle w:val="TextoNormalCaracter"/>
          </w:rPr>
          <w:t>163/2023</w:t>
        </w:r>
      </w:hyperlink>
      <w:r w:rsidRPr="00E1708A">
        <w:rPr>
          <w:rStyle w:val="TextoNormalCaracter"/>
        </w:rPr>
        <w:t xml:space="preserve">, f. único; </w:t>
      </w:r>
      <w:hyperlink w:anchor="SENTENCIA_2023_164" w:history="1">
        <w:r w:rsidRPr="00E1708A">
          <w:rPr>
            <w:rStyle w:val="TextoNormalCaracter"/>
          </w:rPr>
          <w:t>164/2023</w:t>
        </w:r>
      </w:hyperlink>
      <w:r w:rsidRPr="00E1708A">
        <w:rPr>
          <w:rStyle w:val="TextoNormalCaracter"/>
        </w:rPr>
        <w:t xml:space="preserve">, ff. 1, 3, VP I, VP II; </w:t>
      </w:r>
      <w:hyperlink w:anchor="SENTENCIA_2023_173" w:history="1">
        <w:r w:rsidRPr="00E1708A">
          <w:rPr>
            <w:rStyle w:val="TextoNormalCaracter"/>
          </w:rPr>
          <w:t>173/2023</w:t>
        </w:r>
      </w:hyperlink>
      <w:r w:rsidRPr="00E1708A">
        <w:rPr>
          <w:rStyle w:val="TextoNormalCaracter"/>
        </w:rPr>
        <w:t xml:space="preserve">, f. único; </w:t>
      </w:r>
      <w:hyperlink w:anchor="SENTENCIA_2023_174" w:history="1">
        <w:r w:rsidRPr="00E1708A">
          <w:rPr>
            <w:rStyle w:val="TextoNormalCaracter"/>
          </w:rPr>
          <w:t>174/2023</w:t>
        </w:r>
      </w:hyperlink>
      <w:r w:rsidRPr="00E1708A">
        <w:rPr>
          <w:rStyle w:val="TextoNormalCaracter"/>
        </w:rPr>
        <w:t xml:space="preserve">, f. 3; </w:t>
      </w:r>
      <w:hyperlink w:anchor="SENTENCIA_2023_175" w:history="1">
        <w:r w:rsidRPr="00E1708A">
          <w:rPr>
            <w:rStyle w:val="TextoNormalCaracter"/>
          </w:rPr>
          <w:t>175/2023</w:t>
        </w:r>
      </w:hyperlink>
      <w:r w:rsidRPr="00E1708A">
        <w:rPr>
          <w:rStyle w:val="TextoNormalCaracter"/>
        </w:rPr>
        <w:t xml:space="preserve">, f. 2; </w:t>
      </w:r>
      <w:hyperlink w:anchor="SENTENCIA_2023_176" w:history="1">
        <w:r w:rsidRPr="00E1708A">
          <w:rPr>
            <w:rStyle w:val="TextoNormalCaracter"/>
          </w:rPr>
          <w:t>176/2023</w:t>
        </w:r>
      </w:hyperlink>
      <w:r w:rsidRPr="00E1708A">
        <w:rPr>
          <w:rStyle w:val="TextoNormalCaracter"/>
        </w:rPr>
        <w:t xml:space="preserve">, f. único; </w:t>
      </w:r>
      <w:hyperlink w:anchor="SENTENCIA_2023_177" w:history="1">
        <w:r w:rsidRPr="00E1708A">
          <w:rPr>
            <w:rStyle w:val="TextoNormalCaracter"/>
          </w:rPr>
          <w:t>177/2023</w:t>
        </w:r>
      </w:hyperlink>
      <w:r w:rsidRPr="00E1708A">
        <w:rPr>
          <w:rStyle w:val="TextoNormalCaracter"/>
        </w:rPr>
        <w:t xml:space="preserve">, f. único; </w:t>
      </w:r>
      <w:hyperlink w:anchor="SENTENCIA_2023_178" w:history="1">
        <w:r w:rsidRPr="00E1708A">
          <w:rPr>
            <w:rStyle w:val="TextoNormalCaracter"/>
          </w:rPr>
          <w:t>178/2023</w:t>
        </w:r>
      </w:hyperlink>
      <w:r w:rsidRPr="00E1708A">
        <w:rPr>
          <w:rStyle w:val="TextoNormalCaracter"/>
        </w:rPr>
        <w:t xml:space="preserve">, f. único; </w:t>
      </w:r>
      <w:hyperlink w:anchor="SENTENCIA_2023_181" w:history="1">
        <w:r w:rsidRPr="00E1708A">
          <w:rPr>
            <w:rStyle w:val="TextoNormalCaracter"/>
          </w:rPr>
          <w:t>181/2023</w:t>
        </w:r>
      </w:hyperlink>
      <w:r w:rsidRPr="00E1708A">
        <w:rPr>
          <w:rStyle w:val="TextoNormalCaracter"/>
        </w:rPr>
        <w:t xml:space="preserve">, f. 1; </w:t>
      </w:r>
      <w:hyperlink w:anchor="SENTENCIA_2023_186" w:history="1">
        <w:r w:rsidRPr="00E1708A">
          <w:rPr>
            <w:rStyle w:val="TextoNormalCaracter"/>
          </w:rPr>
          <w:t>186/2023</w:t>
        </w:r>
      </w:hyperlink>
      <w:r w:rsidRPr="00E1708A">
        <w:rPr>
          <w:rStyle w:val="TextoNormalCaracter"/>
        </w:rPr>
        <w:t xml:space="preserve">, f. 1; </w:t>
      </w:r>
      <w:hyperlink w:anchor="SENTENCIA_2023_187" w:history="1">
        <w:r w:rsidRPr="00E1708A">
          <w:rPr>
            <w:rStyle w:val="TextoNormalCaracter"/>
          </w:rPr>
          <w:t>187/2023</w:t>
        </w:r>
      </w:hyperlink>
      <w:r w:rsidRPr="00E1708A">
        <w:rPr>
          <w:rStyle w:val="TextoNormalCaracter"/>
        </w:rPr>
        <w:t xml:space="preserve">, f. 1; </w:t>
      </w:r>
      <w:hyperlink w:anchor="SENTENCIA_2023_188" w:history="1">
        <w:r w:rsidRPr="00E1708A">
          <w:rPr>
            <w:rStyle w:val="TextoNormalCaracter"/>
          </w:rPr>
          <w:t>188/2023</w:t>
        </w:r>
      </w:hyperlink>
      <w:r w:rsidRPr="00E1708A">
        <w:rPr>
          <w:rStyle w:val="TextoNormalCaracter"/>
        </w:rPr>
        <w:t>, f. único.</w:t>
      </w:r>
    </w:p>
    <w:p w14:paraId="1604B1C9" w14:textId="27AB4B5F" w:rsidR="00E1708A" w:rsidRPr="00E1708A" w:rsidRDefault="00E1708A" w:rsidP="00E1708A">
      <w:pPr>
        <w:pStyle w:val="TextoNormalSangraFrancesa"/>
        <w:rPr>
          <w:rStyle w:val="TextoNormalCaracter"/>
        </w:rPr>
      </w:pPr>
      <w:bookmarkStart w:id="1029" w:name="DESCRIPTORALFABETICO169"/>
      <w:r w:rsidRPr="00E1708A">
        <w:rPr>
          <w:rStyle w:val="TextoNormalNegritaCaracter"/>
        </w:rPr>
        <w:t>Cuestión de inconstitucionalidad notoriamente infundada</w:t>
      </w:r>
      <w:bookmarkEnd w:id="1029"/>
      <w:r w:rsidRPr="00E1708A">
        <w:rPr>
          <w:rStyle w:val="TextoNormalCaracter"/>
        </w:rPr>
        <w:t xml:space="preserve">, Autos </w:t>
      </w:r>
      <w:hyperlink w:anchor="AUTO_2023_532" w:history="1">
        <w:r w:rsidRPr="00E1708A">
          <w:rPr>
            <w:rStyle w:val="TextoNormalCaracter"/>
          </w:rPr>
          <w:t>532/2023</w:t>
        </w:r>
      </w:hyperlink>
      <w:r w:rsidRPr="00E1708A">
        <w:rPr>
          <w:rStyle w:val="TextoNormalCaracter"/>
        </w:rPr>
        <w:t xml:space="preserve">, ff. 2, 5, 6; </w:t>
      </w:r>
      <w:hyperlink w:anchor="AUTO_2023_535" w:history="1">
        <w:r w:rsidRPr="00E1708A">
          <w:rPr>
            <w:rStyle w:val="TextoNormalCaracter"/>
          </w:rPr>
          <w:t>535/2023</w:t>
        </w:r>
      </w:hyperlink>
      <w:r w:rsidRPr="00E1708A">
        <w:rPr>
          <w:rStyle w:val="TextoNormalCaracter"/>
        </w:rPr>
        <w:t xml:space="preserve">, ff. 5 y 6; </w:t>
      </w:r>
      <w:hyperlink w:anchor="AUTO_2023_603" w:history="1">
        <w:r w:rsidRPr="00E1708A">
          <w:rPr>
            <w:rStyle w:val="TextoNormalCaracter"/>
          </w:rPr>
          <w:t>603/2023</w:t>
        </w:r>
      </w:hyperlink>
      <w:r w:rsidRPr="00E1708A">
        <w:rPr>
          <w:rStyle w:val="TextoNormalCaracter"/>
        </w:rPr>
        <w:t>, f. 2.</w:t>
      </w:r>
    </w:p>
    <w:p w14:paraId="3AABD62F" w14:textId="591E845F" w:rsidR="00E1708A" w:rsidRPr="00E1708A" w:rsidRDefault="00E1708A" w:rsidP="00E1708A">
      <w:pPr>
        <w:pStyle w:val="TextoNormalSangraFrancesa"/>
        <w:rPr>
          <w:rStyle w:val="TextoNormalCaracter"/>
        </w:rPr>
      </w:pPr>
      <w:bookmarkStart w:id="1030" w:name="DESCRIPTORALFABETICO296"/>
      <w:r w:rsidRPr="00E1708A">
        <w:rPr>
          <w:rStyle w:val="TextoNormalNegritaCaracter"/>
        </w:rPr>
        <w:t>Cultivo agrícola</w:t>
      </w:r>
      <w:bookmarkEnd w:id="1030"/>
      <w:r w:rsidRPr="00E1708A">
        <w:rPr>
          <w:rStyle w:val="TextoNormalCaracter"/>
        </w:rPr>
        <w:t xml:space="preserve">, Sentencia </w:t>
      </w:r>
      <w:hyperlink w:anchor="SENTENCIA_2023_126" w:history="1">
        <w:r w:rsidRPr="00E1708A">
          <w:rPr>
            <w:rStyle w:val="TextoNormalCaracter"/>
          </w:rPr>
          <w:t>126/2023</w:t>
        </w:r>
      </w:hyperlink>
      <w:r w:rsidRPr="00E1708A">
        <w:rPr>
          <w:rStyle w:val="TextoNormalCaracter"/>
        </w:rPr>
        <w:t>, ff. 3 a 5.</w:t>
      </w:r>
    </w:p>
    <w:p w14:paraId="072C90BD" w14:textId="71A0A376" w:rsidR="00E1708A" w:rsidRDefault="00E1708A" w:rsidP="00E1708A">
      <w:pPr>
        <w:pStyle w:val="TextoNormalSangraFrancesa"/>
      </w:pPr>
    </w:p>
    <w:p w14:paraId="787ECF42" w14:textId="77777777" w:rsidR="00E1708A" w:rsidRDefault="00E1708A" w:rsidP="00E1708A">
      <w:pPr>
        <w:pStyle w:val="TextoNormalSangraFrancesa"/>
      </w:pPr>
    </w:p>
    <w:p w14:paraId="7EA2102B" w14:textId="77777777" w:rsidR="00E1708A" w:rsidRDefault="00E1708A" w:rsidP="00E1708A">
      <w:pPr>
        <w:pStyle w:val="TextoNormalNegritaCentrado"/>
      </w:pPr>
      <w:r>
        <w:t>D</w:t>
      </w:r>
    </w:p>
    <w:p w14:paraId="661D88D1" w14:textId="1616AAC5" w:rsidR="00E1708A" w:rsidRDefault="00E1708A" w:rsidP="00E1708A">
      <w:pPr>
        <w:pStyle w:val="TextoNormalNegritaCentrado"/>
      </w:pPr>
    </w:p>
    <w:p w14:paraId="6B3307BF" w14:textId="0BFEBD7B" w:rsidR="00E1708A" w:rsidRPr="00E1708A" w:rsidRDefault="00E1708A" w:rsidP="00E1708A">
      <w:pPr>
        <w:pStyle w:val="TextoNormalSangraFrancesa"/>
        <w:rPr>
          <w:rStyle w:val="TextoNormalCaracter"/>
        </w:rPr>
      </w:pPr>
      <w:bookmarkStart w:id="1031" w:name="DESCRIPTORALFABETICO341"/>
      <w:r w:rsidRPr="00E1708A">
        <w:rPr>
          <w:rStyle w:val="TextoNormalNegritaCaracter"/>
        </w:rPr>
        <w:t>Decretos-leyes autonómicos</w:t>
      </w:r>
      <w:bookmarkEnd w:id="1031"/>
      <w:r w:rsidRPr="00E1708A">
        <w:rPr>
          <w:rStyle w:val="TextoNormalCaracter"/>
        </w:rPr>
        <w:t xml:space="preserve">, Sentencia </w:t>
      </w:r>
      <w:hyperlink w:anchor="SENTENCIA_2023_126" w:history="1">
        <w:r w:rsidRPr="00E1708A">
          <w:rPr>
            <w:rStyle w:val="TextoNormalCaracter"/>
          </w:rPr>
          <w:t>126/2023</w:t>
        </w:r>
      </w:hyperlink>
      <w:r w:rsidRPr="00E1708A">
        <w:rPr>
          <w:rStyle w:val="TextoNormalCaracter"/>
        </w:rPr>
        <w:t>, ff. 3 a 5.</w:t>
      </w:r>
    </w:p>
    <w:p w14:paraId="75317CAF" w14:textId="27F816B7" w:rsidR="00E1708A" w:rsidRPr="00E1708A" w:rsidRDefault="00E1708A" w:rsidP="00E1708A">
      <w:pPr>
        <w:pStyle w:val="TextoNormalSangraFrancesa"/>
        <w:rPr>
          <w:rStyle w:val="TextoNormalCaracter"/>
        </w:rPr>
      </w:pPr>
      <w:bookmarkStart w:id="1032" w:name="DESCRIPTORALFABETICO402"/>
      <w:r w:rsidRPr="00E1708A">
        <w:rPr>
          <w:rStyle w:val="TextoNormalNegritaCaracter"/>
        </w:rPr>
        <w:t>Defectos procesales imputables al recurrente</w:t>
      </w:r>
      <w:bookmarkEnd w:id="1032"/>
      <w:r w:rsidRPr="00E1708A">
        <w:rPr>
          <w:rStyle w:val="TextoNormalCaracter"/>
        </w:rPr>
        <w:t xml:space="preserve">, Sentencia </w:t>
      </w:r>
      <w:hyperlink w:anchor="SENTENCIA_2023_151" w:history="1">
        <w:r w:rsidRPr="00E1708A">
          <w:rPr>
            <w:rStyle w:val="TextoNormalCaracter"/>
          </w:rPr>
          <w:t>151/2023</w:t>
        </w:r>
      </w:hyperlink>
      <w:r w:rsidRPr="00E1708A">
        <w:rPr>
          <w:rStyle w:val="TextoNormalCaracter"/>
        </w:rPr>
        <w:t>, f. 2.</w:t>
      </w:r>
    </w:p>
    <w:p w14:paraId="19AB9941" w14:textId="26ECE240" w:rsidR="00E1708A" w:rsidRPr="00E1708A" w:rsidRDefault="00E1708A" w:rsidP="00E1708A">
      <w:pPr>
        <w:pStyle w:val="TextoNormalSangraFrancesa"/>
        <w:rPr>
          <w:rStyle w:val="TextoNormalCaracter"/>
        </w:rPr>
      </w:pPr>
      <w:bookmarkStart w:id="1033" w:name="DESCRIPTORALFABETICO305"/>
      <w:r w:rsidRPr="00E1708A">
        <w:rPr>
          <w:rStyle w:val="TextoNormalNegritaCaracter"/>
        </w:rPr>
        <w:t>Defensa de los consumidores</w:t>
      </w:r>
      <w:bookmarkEnd w:id="1033"/>
      <w:r w:rsidRPr="00E1708A">
        <w:rPr>
          <w:rStyle w:val="TextoNormalCaracter"/>
        </w:rPr>
        <w:t xml:space="preserve">, Sentencia </w:t>
      </w:r>
      <w:hyperlink w:anchor="SENTENCIA_2023_91" w:history="1">
        <w:r w:rsidRPr="00E1708A">
          <w:rPr>
            <w:rStyle w:val="TextoNormalCaracter"/>
          </w:rPr>
          <w:t>91/2023</w:t>
        </w:r>
      </w:hyperlink>
      <w:r w:rsidRPr="00E1708A">
        <w:rPr>
          <w:rStyle w:val="TextoNormalCaracter"/>
        </w:rPr>
        <w:t>, ff. 3 y 4.</w:t>
      </w:r>
    </w:p>
    <w:p w14:paraId="21A0D393" w14:textId="0FC9BA00" w:rsidR="00E1708A" w:rsidRPr="00E1708A" w:rsidRDefault="00E1708A" w:rsidP="00E1708A">
      <w:pPr>
        <w:pStyle w:val="TextoNormalSangraFrancesa"/>
        <w:rPr>
          <w:rStyle w:val="TextoNormalCaracter"/>
        </w:rPr>
      </w:pPr>
      <w:bookmarkStart w:id="1034" w:name="DESCRIPTORALFABETICO203"/>
      <w:r w:rsidRPr="00E1708A">
        <w:rPr>
          <w:rStyle w:val="TextoNormalNegritaCaracter"/>
        </w:rPr>
        <w:t>Delegados del Gobierno</w:t>
      </w:r>
      <w:bookmarkEnd w:id="1034"/>
      <w:r w:rsidRPr="00E1708A">
        <w:rPr>
          <w:rStyle w:val="TextoNormalCaracter"/>
        </w:rPr>
        <w:t xml:space="preserve">, Sentencias </w:t>
      </w:r>
      <w:hyperlink w:anchor="SENTENCIA_2023_84" w:history="1">
        <w:r w:rsidRPr="00E1708A">
          <w:rPr>
            <w:rStyle w:val="TextoNormalCaracter"/>
          </w:rPr>
          <w:t>84/2023</w:t>
        </w:r>
      </w:hyperlink>
      <w:r w:rsidRPr="00E1708A">
        <w:rPr>
          <w:rStyle w:val="TextoNormalCaracter"/>
        </w:rPr>
        <w:t xml:space="preserve">, ff. 2 a 4; </w:t>
      </w:r>
      <w:hyperlink w:anchor="SENTENCIA_2023_88" w:history="1">
        <w:r w:rsidRPr="00E1708A">
          <w:rPr>
            <w:rStyle w:val="TextoNormalCaracter"/>
          </w:rPr>
          <w:t>88/2023</w:t>
        </w:r>
      </w:hyperlink>
      <w:r w:rsidRPr="00E1708A">
        <w:rPr>
          <w:rStyle w:val="TextoNormalCaracter"/>
        </w:rPr>
        <w:t>, ff. 2 a 4.</w:t>
      </w:r>
    </w:p>
    <w:p w14:paraId="66021468" w14:textId="4CF2CAA2" w:rsidR="00E1708A" w:rsidRPr="00E1708A" w:rsidRDefault="00E1708A" w:rsidP="00E1708A">
      <w:pPr>
        <w:pStyle w:val="TextoNormalSangraFrancesa"/>
        <w:rPr>
          <w:rStyle w:val="TextoNormalCaracter"/>
        </w:rPr>
      </w:pPr>
      <w:bookmarkStart w:id="1035" w:name="DESCRIPTORALFABETICO111"/>
      <w:r w:rsidRPr="00E1708A">
        <w:rPr>
          <w:rStyle w:val="TextoNormalNegritaCaracter"/>
        </w:rPr>
        <w:t>Delimitación de los derechos a la libre expresión e información</w:t>
      </w:r>
      <w:bookmarkEnd w:id="1035"/>
      <w:r w:rsidRPr="00E1708A">
        <w:rPr>
          <w:rStyle w:val="TextoNormalCaracter"/>
        </w:rPr>
        <w:t xml:space="preserve">, Sentencia </w:t>
      </w:r>
      <w:hyperlink w:anchor="SENTENCIA_2023_89" w:history="1">
        <w:r w:rsidRPr="00E1708A">
          <w:rPr>
            <w:rStyle w:val="TextoNormalCaracter"/>
          </w:rPr>
          <w:t>89/2023</w:t>
        </w:r>
      </w:hyperlink>
      <w:r w:rsidRPr="00E1708A">
        <w:rPr>
          <w:rStyle w:val="TextoNormalCaracter"/>
        </w:rPr>
        <w:t>, ff.1 a 4, VP I, VP II, VP III.</w:t>
      </w:r>
    </w:p>
    <w:p w14:paraId="0CC09A54" w14:textId="08CC7870" w:rsidR="00E1708A" w:rsidRPr="00E1708A" w:rsidRDefault="00E1708A" w:rsidP="00E1708A">
      <w:pPr>
        <w:pStyle w:val="TextoNormalSangraFrancesa"/>
        <w:rPr>
          <w:rStyle w:val="TextoNormalCaracter"/>
        </w:rPr>
      </w:pPr>
      <w:bookmarkStart w:id="1036" w:name="DESCRIPTORALFABETICO177"/>
      <w:r w:rsidRPr="00E1708A">
        <w:rPr>
          <w:rStyle w:val="TextoNormalNegritaCaracter"/>
        </w:rPr>
        <w:t>Delimitación del objeto del recurso de inconstitucionalidad</w:t>
      </w:r>
      <w:bookmarkEnd w:id="1036"/>
      <w:r w:rsidRPr="00E1708A">
        <w:rPr>
          <w:rStyle w:val="TextoNormalCaracter"/>
        </w:rPr>
        <w:t xml:space="preserve">, Sentencia </w:t>
      </w:r>
      <w:hyperlink w:anchor="SENTENCIA_2023_128" w:history="1">
        <w:r w:rsidRPr="00E1708A">
          <w:rPr>
            <w:rStyle w:val="TextoNormalCaracter"/>
          </w:rPr>
          <w:t>128/2023</w:t>
        </w:r>
      </w:hyperlink>
      <w:r w:rsidRPr="00E1708A">
        <w:rPr>
          <w:rStyle w:val="TextoNormalCaracter"/>
        </w:rPr>
        <w:t>, f. 2.</w:t>
      </w:r>
    </w:p>
    <w:p w14:paraId="572F2233" w14:textId="28523181" w:rsidR="00E1708A" w:rsidRPr="00E1708A" w:rsidRDefault="00E1708A" w:rsidP="00E1708A">
      <w:pPr>
        <w:pStyle w:val="TextoNormalSangraFrancesa"/>
        <w:rPr>
          <w:rStyle w:val="TextoNormalCaracter"/>
        </w:rPr>
      </w:pPr>
      <w:bookmarkStart w:id="1037" w:name="DESCRIPTORALFABETICO421"/>
      <w:r w:rsidRPr="00E1708A">
        <w:rPr>
          <w:rStyle w:val="TextoNormalNegritaCaracter"/>
        </w:rPr>
        <w:t>Demanda civil contra el honor</w:t>
      </w:r>
      <w:bookmarkEnd w:id="1037"/>
      <w:r w:rsidRPr="00E1708A">
        <w:rPr>
          <w:rStyle w:val="TextoNormalCaracter"/>
        </w:rPr>
        <w:t xml:space="preserve">, Sentencia </w:t>
      </w:r>
      <w:hyperlink w:anchor="SENTENCIA_2023_83" w:history="1">
        <w:r w:rsidRPr="00E1708A">
          <w:rPr>
            <w:rStyle w:val="TextoNormalCaracter"/>
          </w:rPr>
          <w:t>83/2023</w:t>
        </w:r>
      </w:hyperlink>
      <w:r w:rsidRPr="00E1708A">
        <w:rPr>
          <w:rStyle w:val="TextoNormalCaracter"/>
        </w:rPr>
        <w:t>, ff. 4 a 6.</w:t>
      </w:r>
    </w:p>
    <w:p w14:paraId="7E1B4781" w14:textId="3FCC40C9" w:rsidR="00E1708A" w:rsidRPr="00E1708A" w:rsidRDefault="00E1708A" w:rsidP="00E1708A">
      <w:pPr>
        <w:pStyle w:val="TextoNormalSangraFrancesa"/>
        <w:rPr>
          <w:rStyle w:val="TextoNormalCaracter"/>
        </w:rPr>
      </w:pPr>
      <w:bookmarkStart w:id="1038" w:name="DESCRIPTORALFABETICO143"/>
      <w:r w:rsidRPr="00E1708A">
        <w:rPr>
          <w:rStyle w:val="TextoNormalNegritaCaracter"/>
        </w:rPr>
        <w:t>Denegación de suspensión de resoluciones judiciales</w:t>
      </w:r>
      <w:bookmarkEnd w:id="1038"/>
      <w:r w:rsidRPr="00E1708A">
        <w:rPr>
          <w:rStyle w:val="TextoNormalCaracter"/>
        </w:rPr>
        <w:t xml:space="preserve">, Autos </w:t>
      </w:r>
      <w:hyperlink w:anchor="AUTO_2023_473" w:history="1">
        <w:r w:rsidRPr="00E1708A">
          <w:rPr>
            <w:rStyle w:val="TextoNormalCaracter"/>
          </w:rPr>
          <w:t>473/2023</w:t>
        </w:r>
      </w:hyperlink>
      <w:r w:rsidRPr="00E1708A">
        <w:rPr>
          <w:rStyle w:val="TextoNormalCaracter"/>
        </w:rPr>
        <w:t xml:space="preserve">, f. 4; </w:t>
      </w:r>
      <w:hyperlink w:anchor="AUTO_2023_477" w:history="1">
        <w:r w:rsidRPr="00E1708A">
          <w:rPr>
            <w:rStyle w:val="TextoNormalCaracter"/>
          </w:rPr>
          <w:t>477/2023</w:t>
        </w:r>
      </w:hyperlink>
      <w:r w:rsidRPr="00E1708A">
        <w:rPr>
          <w:rStyle w:val="TextoNormalCaracter"/>
        </w:rPr>
        <w:t>, ff. 2, 3.</w:t>
      </w:r>
    </w:p>
    <w:p w14:paraId="77BA76AE" w14:textId="77777777" w:rsidR="00E1708A" w:rsidRPr="00E1708A" w:rsidRDefault="00E1708A" w:rsidP="00E1708A">
      <w:pPr>
        <w:pStyle w:val="TextoNormalSangraFrancesa"/>
        <w:rPr>
          <w:rStyle w:val="TextoNormalCaracter"/>
        </w:rPr>
      </w:pPr>
      <w:bookmarkStart w:id="1039" w:name="DESCRIPTORALFABETICO43"/>
      <w:r w:rsidRPr="00E1708A">
        <w:rPr>
          <w:rStyle w:val="TextoNormalNegritaCaracter"/>
        </w:rPr>
        <w:t>Derecho a acceder a las funciones públicas</w:t>
      </w:r>
      <w:bookmarkEnd w:id="1039"/>
      <w:r w:rsidRPr="00E1708A">
        <w:rPr>
          <w:rStyle w:val="TextoNormalCaracter"/>
        </w:rPr>
        <w:t xml:space="preserve">, </w:t>
      </w:r>
    </w:p>
    <w:p w14:paraId="250DA82E" w14:textId="44D4EF1D" w:rsidR="00E1708A" w:rsidRPr="00E1708A" w:rsidRDefault="00E1708A" w:rsidP="00E1708A">
      <w:pPr>
        <w:pStyle w:val="TextoNormalSangraFrancesa"/>
        <w:rPr>
          <w:rStyle w:val="TextoNormalCaracter"/>
        </w:rPr>
      </w:pPr>
      <w:r w:rsidRPr="00E1708A">
        <w:rPr>
          <w:rStyle w:val="TextoNormalCursivaCaracter"/>
        </w:rPr>
        <w:t xml:space="preserve">    Respetado, </w:t>
      </w:r>
      <w:r w:rsidRPr="00E1708A">
        <w:rPr>
          <w:rStyle w:val="TextoNormalCaracter"/>
        </w:rPr>
        <w:t xml:space="preserve">Sentencia </w:t>
      </w:r>
      <w:hyperlink w:anchor="SENTENCIA_2023_116" w:history="1">
        <w:r w:rsidRPr="00E1708A">
          <w:rPr>
            <w:rStyle w:val="TextoNormalCaracter"/>
          </w:rPr>
          <w:t>116/2023</w:t>
        </w:r>
      </w:hyperlink>
      <w:r w:rsidRPr="00E1708A">
        <w:rPr>
          <w:rStyle w:val="TextoNormalCaracter"/>
        </w:rPr>
        <w:t>, ff. 1 a 4.</w:t>
      </w:r>
    </w:p>
    <w:p w14:paraId="24686F9A" w14:textId="140E1012" w:rsidR="00E1708A" w:rsidRPr="00E1708A" w:rsidRDefault="00E1708A" w:rsidP="00E1708A">
      <w:pPr>
        <w:pStyle w:val="TextoNormalSangraFrancesa"/>
        <w:rPr>
          <w:rStyle w:val="TextoNormalCaracter"/>
        </w:rPr>
      </w:pPr>
      <w:bookmarkStart w:id="1040" w:name="DESCRIPTORALFABETICO45"/>
      <w:r w:rsidRPr="00E1708A">
        <w:rPr>
          <w:rStyle w:val="TextoNormalNegritaCaracter"/>
        </w:rPr>
        <w:t>Derecho a acceder a los cargos públicos</w:t>
      </w:r>
      <w:bookmarkEnd w:id="1040"/>
      <w:r w:rsidRPr="00E1708A">
        <w:rPr>
          <w:rStyle w:val="TextoNormalCaracter"/>
        </w:rPr>
        <w:t xml:space="preserve">, Sentencia </w:t>
      </w:r>
      <w:hyperlink w:anchor="SENTENCIA_2023_93" w:history="1">
        <w:r w:rsidRPr="00E1708A">
          <w:rPr>
            <w:rStyle w:val="TextoNormalCaracter"/>
          </w:rPr>
          <w:t>93/2023</w:t>
        </w:r>
      </w:hyperlink>
      <w:r w:rsidRPr="00E1708A">
        <w:rPr>
          <w:rStyle w:val="TextoNormalCaracter"/>
        </w:rPr>
        <w:t>, f. 2.</w:t>
      </w:r>
    </w:p>
    <w:p w14:paraId="70867281" w14:textId="78D915B5" w:rsidR="00E1708A" w:rsidRPr="00E1708A" w:rsidRDefault="00E1708A" w:rsidP="00E1708A">
      <w:pPr>
        <w:pStyle w:val="TextoNormalSangraFrancesa"/>
        <w:rPr>
          <w:rStyle w:val="TextoNormalCaracter"/>
        </w:rPr>
      </w:pPr>
      <w:r w:rsidRPr="00E1708A">
        <w:rPr>
          <w:rStyle w:val="TextoNormalCursivaCaracter"/>
        </w:rPr>
        <w:t xml:space="preserve">    Respetado, </w:t>
      </w:r>
      <w:r w:rsidRPr="00E1708A">
        <w:rPr>
          <w:rStyle w:val="TextoNormalCaracter"/>
        </w:rPr>
        <w:t xml:space="preserve">Sentencias </w:t>
      </w:r>
      <w:hyperlink w:anchor="SENTENCIA_2023_95" w:history="1">
        <w:r w:rsidRPr="00E1708A">
          <w:rPr>
            <w:rStyle w:val="TextoNormalCaracter"/>
          </w:rPr>
          <w:t>95/2023</w:t>
        </w:r>
      </w:hyperlink>
      <w:r w:rsidRPr="00E1708A">
        <w:rPr>
          <w:rStyle w:val="TextoNormalCaracter"/>
        </w:rPr>
        <w:t xml:space="preserve">, ff. 2 a 6; </w:t>
      </w:r>
      <w:hyperlink w:anchor="SENTENCIA_2023_125" w:history="1">
        <w:r w:rsidRPr="00E1708A">
          <w:rPr>
            <w:rStyle w:val="TextoNormalCaracter"/>
          </w:rPr>
          <w:t>125/2023</w:t>
        </w:r>
      </w:hyperlink>
      <w:r w:rsidRPr="00E1708A">
        <w:rPr>
          <w:rStyle w:val="TextoNormalCaracter"/>
        </w:rPr>
        <w:t>, f. 2.</w:t>
      </w:r>
    </w:p>
    <w:p w14:paraId="388A847D" w14:textId="77777777" w:rsidR="00E1708A" w:rsidRPr="00E1708A" w:rsidRDefault="00E1708A" w:rsidP="00E1708A">
      <w:pPr>
        <w:pStyle w:val="TextoNormalSangraFrancesa"/>
        <w:rPr>
          <w:rStyle w:val="TextoNormalCaracter"/>
        </w:rPr>
      </w:pPr>
      <w:bookmarkStart w:id="1041" w:name="DESCRIPTORALFABETICO47"/>
      <w:r w:rsidRPr="00E1708A">
        <w:rPr>
          <w:rStyle w:val="TextoNormalNegritaCaracter"/>
        </w:rPr>
        <w:t>Derecho a ejercer los cargos públicos</w:t>
      </w:r>
      <w:bookmarkEnd w:id="1041"/>
      <w:r w:rsidRPr="00E1708A">
        <w:rPr>
          <w:rStyle w:val="TextoNormalCaracter"/>
        </w:rPr>
        <w:t xml:space="preserve">, </w:t>
      </w:r>
    </w:p>
    <w:p w14:paraId="09BD2663" w14:textId="329BCCF1" w:rsidR="00E1708A" w:rsidRPr="00E1708A" w:rsidRDefault="00E1708A" w:rsidP="00E1708A">
      <w:pPr>
        <w:pStyle w:val="TextoNormalSangraFrancesa"/>
        <w:rPr>
          <w:rStyle w:val="TextoNormalCaracter"/>
        </w:rPr>
      </w:pPr>
      <w:r w:rsidRPr="00E1708A">
        <w:rPr>
          <w:rStyle w:val="TextoNormalCursivaCaracter"/>
        </w:rPr>
        <w:t xml:space="preserve">    Respetado, </w:t>
      </w:r>
      <w:r w:rsidRPr="00E1708A">
        <w:rPr>
          <w:rStyle w:val="TextoNormalCaracter"/>
        </w:rPr>
        <w:t xml:space="preserve">Sentencias </w:t>
      </w:r>
      <w:hyperlink w:anchor="SENTENCIA_2023_116" w:history="1">
        <w:r w:rsidRPr="00E1708A">
          <w:rPr>
            <w:rStyle w:val="TextoNormalCaracter"/>
          </w:rPr>
          <w:t>116/2023</w:t>
        </w:r>
      </w:hyperlink>
      <w:r w:rsidRPr="00E1708A">
        <w:rPr>
          <w:rStyle w:val="TextoNormalCaracter"/>
        </w:rPr>
        <w:t xml:space="preserve">, ff. 1 a 4; </w:t>
      </w:r>
      <w:hyperlink w:anchor="SENTENCIA_2023_125" w:history="1">
        <w:r w:rsidRPr="00E1708A">
          <w:rPr>
            <w:rStyle w:val="TextoNormalCaracter"/>
          </w:rPr>
          <w:t>125/2023</w:t>
        </w:r>
      </w:hyperlink>
      <w:r w:rsidRPr="00E1708A">
        <w:rPr>
          <w:rStyle w:val="TextoNormalCaracter"/>
        </w:rPr>
        <w:t xml:space="preserve">, f. 2; </w:t>
      </w:r>
      <w:hyperlink w:anchor="SENTENCIA_2023_132" w:history="1">
        <w:r w:rsidRPr="00E1708A">
          <w:rPr>
            <w:rStyle w:val="TextoNormalCaracter"/>
          </w:rPr>
          <w:t>132/2023</w:t>
        </w:r>
      </w:hyperlink>
      <w:r w:rsidRPr="00E1708A">
        <w:rPr>
          <w:rStyle w:val="TextoNormalCaracter"/>
        </w:rPr>
        <w:t xml:space="preserve">, ff. 1 Y 2; </w:t>
      </w:r>
      <w:hyperlink w:anchor="SENTENCIA_2023_133" w:history="1">
        <w:r w:rsidRPr="00E1708A">
          <w:rPr>
            <w:rStyle w:val="TextoNormalCaracter"/>
          </w:rPr>
          <w:t>133/2023</w:t>
        </w:r>
      </w:hyperlink>
      <w:r w:rsidRPr="00E1708A">
        <w:rPr>
          <w:rStyle w:val="TextoNormalCaracter"/>
        </w:rPr>
        <w:t xml:space="preserve">, f. 3; </w:t>
      </w:r>
      <w:hyperlink w:anchor="SENTENCIA_2023_135" w:history="1">
        <w:r w:rsidRPr="00E1708A">
          <w:rPr>
            <w:rStyle w:val="TextoNormalCaracter"/>
          </w:rPr>
          <w:t>135/2023</w:t>
        </w:r>
      </w:hyperlink>
      <w:r w:rsidRPr="00E1708A">
        <w:rPr>
          <w:rStyle w:val="TextoNormalCaracter"/>
        </w:rPr>
        <w:t xml:space="preserve">, f. 2; </w:t>
      </w:r>
      <w:hyperlink w:anchor="SENTENCIA_2023_140" w:history="1">
        <w:r w:rsidRPr="00E1708A">
          <w:rPr>
            <w:rStyle w:val="TextoNormalCaracter"/>
          </w:rPr>
          <w:t>140/2023</w:t>
        </w:r>
      </w:hyperlink>
      <w:r w:rsidRPr="00E1708A">
        <w:rPr>
          <w:rStyle w:val="TextoNormalCaracter"/>
        </w:rPr>
        <w:t xml:space="preserve">, f. 3; </w:t>
      </w:r>
      <w:hyperlink w:anchor="SENTENCIA_2023_141" w:history="1">
        <w:r w:rsidRPr="00E1708A">
          <w:rPr>
            <w:rStyle w:val="TextoNormalCaracter"/>
          </w:rPr>
          <w:t>141/2023</w:t>
        </w:r>
      </w:hyperlink>
      <w:r w:rsidRPr="00E1708A">
        <w:rPr>
          <w:rStyle w:val="TextoNormalCaracter"/>
        </w:rPr>
        <w:t xml:space="preserve">, f. 3; </w:t>
      </w:r>
      <w:hyperlink w:anchor="SENTENCIA_2023_142" w:history="1">
        <w:r w:rsidRPr="00E1708A">
          <w:rPr>
            <w:rStyle w:val="TextoNormalCaracter"/>
          </w:rPr>
          <w:t>142/2023</w:t>
        </w:r>
      </w:hyperlink>
      <w:r w:rsidRPr="00E1708A">
        <w:rPr>
          <w:rStyle w:val="TextoNormalCaracter"/>
        </w:rPr>
        <w:t xml:space="preserve">, f. 3; </w:t>
      </w:r>
      <w:hyperlink w:anchor="SENTENCIA_2023_165" w:history="1">
        <w:r w:rsidRPr="00E1708A">
          <w:rPr>
            <w:rStyle w:val="TextoNormalCaracter"/>
          </w:rPr>
          <w:t>165/2023</w:t>
        </w:r>
      </w:hyperlink>
      <w:r w:rsidRPr="00E1708A">
        <w:rPr>
          <w:rStyle w:val="TextoNormalCaracter"/>
        </w:rPr>
        <w:t>, f. 3.</w:t>
      </w:r>
    </w:p>
    <w:p w14:paraId="72A298DD" w14:textId="21F6A23B" w:rsidR="00E1708A" w:rsidRPr="00E1708A" w:rsidRDefault="00E1708A" w:rsidP="00E1708A">
      <w:pPr>
        <w:pStyle w:val="TextoNormalSangraFrancesa"/>
        <w:rPr>
          <w:rStyle w:val="TextoNormalCaracter"/>
        </w:rPr>
      </w:pPr>
      <w:r w:rsidRPr="00E1708A">
        <w:rPr>
          <w:rStyle w:val="TextoNormalCursivaCaracter"/>
        </w:rPr>
        <w:t xml:space="preserve">    Vulnerado, </w:t>
      </w:r>
      <w:r w:rsidRPr="00E1708A">
        <w:rPr>
          <w:rStyle w:val="TextoNormalCaracter"/>
        </w:rPr>
        <w:t xml:space="preserve">Sentencias </w:t>
      </w:r>
      <w:hyperlink w:anchor="SENTENCIA_2023_93" w:history="1">
        <w:r w:rsidRPr="00E1708A">
          <w:rPr>
            <w:rStyle w:val="TextoNormalCaracter"/>
          </w:rPr>
          <w:t>93/2023</w:t>
        </w:r>
      </w:hyperlink>
      <w:r w:rsidRPr="00E1708A">
        <w:rPr>
          <w:rStyle w:val="TextoNormalCaracter"/>
        </w:rPr>
        <w:t xml:space="preserve">, ff. 2 a 4; </w:t>
      </w:r>
      <w:hyperlink w:anchor="SENTENCIA_2023_167" w:history="1">
        <w:r w:rsidRPr="00E1708A">
          <w:rPr>
            <w:rStyle w:val="TextoNormalCaracter"/>
          </w:rPr>
          <w:t>167/2023</w:t>
        </w:r>
      </w:hyperlink>
      <w:r w:rsidRPr="00E1708A">
        <w:rPr>
          <w:rStyle w:val="TextoNormalCaracter"/>
        </w:rPr>
        <w:t>, ff. 4 y 8.</w:t>
      </w:r>
    </w:p>
    <w:p w14:paraId="1030F758" w14:textId="173FB8B8" w:rsidR="00E1708A" w:rsidRPr="00E1708A" w:rsidRDefault="00E1708A" w:rsidP="00E1708A">
      <w:pPr>
        <w:pStyle w:val="TextoNormalSangraFrancesa"/>
        <w:rPr>
          <w:rStyle w:val="TextoNormalCaracter"/>
        </w:rPr>
      </w:pPr>
      <w:bookmarkStart w:id="1042" w:name="DESCRIPTORALFABETICO91"/>
      <w:r w:rsidRPr="00E1708A">
        <w:rPr>
          <w:rStyle w:val="TextoNormalNegritaCaracter"/>
        </w:rPr>
        <w:t>Derecho a la asistencia de intérprete</w:t>
      </w:r>
      <w:bookmarkEnd w:id="1042"/>
      <w:r w:rsidRPr="00E1708A">
        <w:rPr>
          <w:rStyle w:val="TextoNormalCaracter"/>
        </w:rPr>
        <w:t xml:space="preserve">, Sentencia </w:t>
      </w:r>
      <w:hyperlink w:anchor="SENTENCIA_2023_152" w:history="1">
        <w:r w:rsidRPr="00E1708A">
          <w:rPr>
            <w:rStyle w:val="TextoNormalCaracter"/>
          </w:rPr>
          <w:t>152/2023</w:t>
        </w:r>
      </w:hyperlink>
      <w:r w:rsidRPr="00E1708A">
        <w:rPr>
          <w:rStyle w:val="TextoNormalCaracter"/>
        </w:rPr>
        <w:t>, f. 1 y 2.</w:t>
      </w:r>
    </w:p>
    <w:p w14:paraId="534C9049" w14:textId="506C8486" w:rsidR="00E1708A" w:rsidRPr="00E1708A" w:rsidRDefault="00E1708A" w:rsidP="00E1708A">
      <w:pPr>
        <w:pStyle w:val="TextoNormalSangraFrancesa"/>
        <w:rPr>
          <w:rStyle w:val="TextoNormalCaracter"/>
        </w:rPr>
      </w:pPr>
      <w:bookmarkStart w:id="1043" w:name="DESCRIPTORALFABETICO378"/>
      <w:r w:rsidRPr="00E1708A">
        <w:rPr>
          <w:rStyle w:val="TextoNormalNegritaCaracter"/>
        </w:rPr>
        <w:t>Derecho a la asistencia sanitaria</w:t>
      </w:r>
      <w:bookmarkEnd w:id="1043"/>
      <w:r w:rsidRPr="00E1708A">
        <w:rPr>
          <w:rStyle w:val="TextoNormalCaracter"/>
        </w:rPr>
        <w:t xml:space="preserve">, Sentencia </w:t>
      </w:r>
      <w:hyperlink w:anchor="SENTENCIA_2023_78" w:history="1">
        <w:r w:rsidRPr="00E1708A">
          <w:rPr>
            <w:rStyle w:val="TextoNormalCaracter"/>
          </w:rPr>
          <w:t>78/2023</w:t>
        </w:r>
      </w:hyperlink>
      <w:r w:rsidRPr="00E1708A">
        <w:rPr>
          <w:rStyle w:val="TextoNormalCaracter"/>
        </w:rPr>
        <w:t>, f. 5 a 7, VP II.</w:t>
      </w:r>
    </w:p>
    <w:p w14:paraId="2833F9BE" w14:textId="77777777" w:rsidR="00E1708A" w:rsidRPr="00E1708A" w:rsidRDefault="00E1708A" w:rsidP="00E1708A">
      <w:pPr>
        <w:pStyle w:val="TextoNormalSangraFrancesa"/>
        <w:rPr>
          <w:rStyle w:val="TextoNormalCaracter"/>
        </w:rPr>
      </w:pPr>
      <w:bookmarkStart w:id="1044" w:name="DESCRIPTORALFABETICO90"/>
      <w:r w:rsidRPr="00E1708A">
        <w:rPr>
          <w:rStyle w:val="TextoNormalNegritaCaracter"/>
        </w:rPr>
        <w:t>Derecho a la defensa</w:t>
      </w:r>
      <w:bookmarkEnd w:id="1044"/>
      <w:r w:rsidRPr="00E1708A">
        <w:rPr>
          <w:rStyle w:val="TextoNormalCaracter"/>
        </w:rPr>
        <w:t xml:space="preserve">, </w:t>
      </w:r>
    </w:p>
    <w:p w14:paraId="0E463749" w14:textId="34C63E84" w:rsidR="00E1708A" w:rsidRPr="00E1708A" w:rsidRDefault="00E1708A" w:rsidP="00E1708A">
      <w:pPr>
        <w:pStyle w:val="TextoNormalSangraFrancesa"/>
        <w:rPr>
          <w:rStyle w:val="TextoNormalCaracter"/>
        </w:rPr>
      </w:pPr>
      <w:r w:rsidRPr="00E1708A">
        <w:rPr>
          <w:rStyle w:val="TextoNormalCursivaCaracter"/>
        </w:rPr>
        <w:t xml:space="preserve">    Vulnerado, </w:t>
      </w:r>
      <w:r w:rsidRPr="00E1708A">
        <w:rPr>
          <w:rStyle w:val="TextoNormalCaracter"/>
        </w:rPr>
        <w:t xml:space="preserve">Sentencias </w:t>
      </w:r>
      <w:hyperlink w:anchor="SENTENCIA_2023_150" w:history="1">
        <w:r w:rsidRPr="00E1708A">
          <w:rPr>
            <w:rStyle w:val="TextoNormalCaracter"/>
          </w:rPr>
          <w:t>150/2023</w:t>
        </w:r>
      </w:hyperlink>
      <w:r w:rsidRPr="00E1708A">
        <w:rPr>
          <w:rStyle w:val="TextoNormalCaracter"/>
        </w:rPr>
        <w:t xml:space="preserve">, f. 3; </w:t>
      </w:r>
      <w:hyperlink w:anchor="SENTENCIA_2023_152" w:history="1">
        <w:r w:rsidRPr="00E1708A">
          <w:rPr>
            <w:rStyle w:val="TextoNormalCaracter"/>
          </w:rPr>
          <w:t>152/2023</w:t>
        </w:r>
      </w:hyperlink>
      <w:r w:rsidRPr="00E1708A">
        <w:rPr>
          <w:rStyle w:val="TextoNormalCaracter"/>
        </w:rPr>
        <w:t>, f. 2 y 3.</w:t>
      </w:r>
    </w:p>
    <w:p w14:paraId="3257788A" w14:textId="1137CB8E" w:rsidR="00E1708A" w:rsidRPr="00E1708A" w:rsidRDefault="00E1708A" w:rsidP="00E1708A">
      <w:pPr>
        <w:pStyle w:val="TextoNormalSangraFrancesa"/>
        <w:rPr>
          <w:rStyle w:val="TextoNormalCaracter"/>
        </w:rPr>
      </w:pPr>
      <w:bookmarkStart w:id="1045" w:name="DESCRIPTORALFABETICO61"/>
      <w:r w:rsidRPr="00E1708A">
        <w:rPr>
          <w:rStyle w:val="TextoNormalNegritaCaracter"/>
        </w:rPr>
        <w:t>Derecho a la información sobre las razones de la detención</w:t>
      </w:r>
      <w:bookmarkEnd w:id="1045"/>
      <w:r w:rsidRPr="00E1708A">
        <w:rPr>
          <w:rStyle w:val="TextoNormalCaracter"/>
        </w:rPr>
        <w:t xml:space="preserve">, Sentencia </w:t>
      </w:r>
      <w:hyperlink w:anchor="SENTENCIA_2023_152" w:history="1">
        <w:r w:rsidRPr="00E1708A">
          <w:rPr>
            <w:rStyle w:val="TextoNormalCaracter"/>
          </w:rPr>
          <w:t>152/2023</w:t>
        </w:r>
      </w:hyperlink>
      <w:r w:rsidRPr="00E1708A">
        <w:rPr>
          <w:rStyle w:val="TextoNormalCaracter"/>
        </w:rPr>
        <w:t>, f. 2 y 3.</w:t>
      </w:r>
    </w:p>
    <w:p w14:paraId="09A75D69" w14:textId="4F5DDBA8" w:rsidR="00E1708A" w:rsidRPr="00E1708A" w:rsidRDefault="00E1708A" w:rsidP="00E1708A">
      <w:pPr>
        <w:pStyle w:val="TextoNormalSangraFrancesa"/>
        <w:rPr>
          <w:rStyle w:val="TextoNormalCaracter"/>
        </w:rPr>
      </w:pPr>
      <w:bookmarkStart w:id="1046" w:name="DESCRIPTORALFABETICO53"/>
      <w:r w:rsidRPr="00E1708A">
        <w:rPr>
          <w:rStyle w:val="TextoNormalNegritaCaracter"/>
        </w:rPr>
        <w:t>Derecho a la integridad física y moral</w:t>
      </w:r>
      <w:bookmarkEnd w:id="1046"/>
      <w:r w:rsidRPr="00E1708A">
        <w:rPr>
          <w:rStyle w:val="TextoNormalCaracter"/>
        </w:rPr>
        <w:t xml:space="preserve">, Sentencia </w:t>
      </w:r>
      <w:hyperlink w:anchor="SENTENCIA_2023_94" w:history="1">
        <w:r w:rsidRPr="00E1708A">
          <w:rPr>
            <w:rStyle w:val="TextoNormalCaracter"/>
          </w:rPr>
          <w:t>94/2023</w:t>
        </w:r>
      </w:hyperlink>
      <w:r w:rsidRPr="00E1708A">
        <w:rPr>
          <w:rStyle w:val="TextoNormalCaracter"/>
        </w:rPr>
        <w:t>, f. 3, VP III.</w:t>
      </w:r>
    </w:p>
    <w:p w14:paraId="682D8F70" w14:textId="6EE04473" w:rsidR="00E1708A" w:rsidRPr="00E1708A" w:rsidRDefault="00E1708A" w:rsidP="00E1708A">
      <w:pPr>
        <w:pStyle w:val="TextoNormalSangraFrancesa"/>
        <w:rPr>
          <w:rStyle w:val="TextoNormalCaracter"/>
        </w:rPr>
      </w:pPr>
      <w:r w:rsidRPr="00E1708A">
        <w:rPr>
          <w:rStyle w:val="TextoNormalCursivaCaracter"/>
        </w:rPr>
        <w:t xml:space="preserve">    Doctrina constitucional, </w:t>
      </w:r>
      <w:r w:rsidRPr="00E1708A">
        <w:rPr>
          <w:rStyle w:val="TextoNormalCaracter"/>
        </w:rPr>
        <w:t xml:space="preserve">Sentencias </w:t>
      </w:r>
      <w:hyperlink w:anchor="SENTENCIA_2023_94" w:history="1">
        <w:r w:rsidRPr="00E1708A">
          <w:rPr>
            <w:rStyle w:val="TextoNormalCaracter"/>
          </w:rPr>
          <w:t>94/2023</w:t>
        </w:r>
      </w:hyperlink>
      <w:r w:rsidRPr="00E1708A">
        <w:rPr>
          <w:rStyle w:val="TextoNormalCaracter"/>
        </w:rPr>
        <w:t xml:space="preserve">, f. 3, VP III; </w:t>
      </w:r>
      <w:hyperlink w:anchor="SENTENCIA_2023_181" w:history="1">
        <w:r w:rsidRPr="00E1708A">
          <w:rPr>
            <w:rStyle w:val="TextoNormalCaracter"/>
          </w:rPr>
          <w:t>181/2023</w:t>
        </w:r>
      </w:hyperlink>
      <w:r w:rsidRPr="00E1708A">
        <w:rPr>
          <w:rStyle w:val="TextoNormalCaracter"/>
        </w:rPr>
        <w:t>, f. 2.</w:t>
      </w:r>
    </w:p>
    <w:p w14:paraId="4F7154AB" w14:textId="5A0FDA7C" w:rsidR="00E1708A" w:rsidRPr="00E1708A" w:rsidRDefault="00E1708A" w:rsidP="00E1708A">
      <w:pPr>
        <w:pStyle w:val="TextoNormalSangraFrancesa"/>
        <w:rPr>
          <w:rStyle w:val="TextoNormalCaracter"/>
        </w:rPr>
      </w:pPr>
      <w:r w:rsidRPr="00E1708A">
        <w:rPr>
          <w:rStyle w:val="TextoNormalCursivaCaracter"/>
        </w:rPr>
        <w:t xml:space="preserve">    Respetado, </w:t>
      </w:r>
      <w:r w:rsidRPr="00E1708A">
        <w:rPr>
          <w:rStyle w:val="TextoNormalCaracter"/>
        </w:rPr>
        <w:t xml:space="preserve">Sentencias </w:t>
      </w:r>
      <w:hyperlink w:anchor="SENTENCIA_2023_148" w:history="1">
        <w:r w:rsidRPr="00E1708A">
          <w:rPr>
            <w:rStyle w:val="TextoNormalCaracter"/>
          </w:rPr>
          <w:t>148/2023</w:t>
        </w:r>
      </w:hyperlink>
      <w:r w:rsidRPr="00E1708A">
        <w:rPr>
          <w:rStyle w:val="TextoNormalCaracter"/>
        </w:rPr>
        <w:t xml:space="preserve">, ff. 4 y 5; </w:t>
      </w:r>
      <w:hyperlink w:anchor="SENTENCIA_2023_154" w:history="1">
        <w:r w:rsidRPr="00E1708A">
          <w:rPr>
            <w:rStyle w:val="TextoNormalCaracter"/>
          </w:rPr>
          <w:t>154/2023</w:t>
        </w:r>
      </w:hyperlink>
      <w:r w:rsidRPr="00E1708A">
        <w:rPr>
          <w:rStyle w:val="TextoNormalCaracter"/>
        </w:rPr>
        <w:t xml:space="preserve">, f. 3; </w:t>
      </w:r>
      <w:hyperlink w:anchor="SENTENCIA_2023_155" w:history="1">
        <w:r w:rsidRPr="00E1708A">
          <w:rPr>
            <w:rStyle w:val="TextoNormalCaracter"/>
          </w:rPr>
          <w:t>155/2023</w:t>
        </w:r>
      </w:hyperlink>
      <w:r w:rsidRPr="00E1708A">
        <w:rPr>
          <w:rStyle w:val="TextoNormalCaracter"/>
        </w:rPr>
        <w:t xml:space="preserve">, f. 4; </w:t>
      </w:r>
      <w:hyperlink w:anchor="SENTENCIA_2023_156" w:history="1">
        <w:r w:rsidRPr="00E1708A">
          <w:rPr>
            <w:rStyle w:val="TextoNormalCaracter"/>
          </w:rPr>
          <w:t>156/2023</w:t>
        </w:r>
      </w:hyperlink>
      <w:r w:rsidRPr="00E1708A">
        <w:rPr>
          <w:rStyle w:val="TextoNormalCaracter"/>
        </w:rPr>
        <w:t xml:space="preserve">, f. 3; </w:t>
      </w:r>
      <w:hyperlink w:anchor="SENTENCIA_2023_157" w:history="1">
        <w:r w:rsidRPr="00E1708A">
          <w:rPr>
            <w:rStyle w:val="TextoNormalCaracter"/>
          </w:rPr>
          <w:t>157/2023</w:t>
        </w:r>
      </w:hyperlink>
      <w:r w:rsidRPr="00E1708A">
        <w:rPr>
          <w:rStyle w:val="TextoNormalCaracter"/>
        </w:rPr>
        <w:t xml:space="preserve">, f. 3; </w:t>
      </w:r>
      <w:hyperlink w:anchor="SENTENCIA_2023_158" w:history="1">
        <w:r w:rsidRPr="00E1708A">
          <w:rPr>
            <w:rStyle w:val="TextoNormalCaracter"/>
          </w:rPr>
          <w:t>158/2023</w:t>
        </w:r>
      </w:hyperlink>
      <w:r w:rsidRPr="00E1708A">
        <w:rPr>
          <w:rStyle w:val="TextoNormalCaracter"/>
        </w:rPr>
        <w:t xml:space="preserve">, f. 3; </w:t>
      </w:r>
      <w:hyperlink w:anchor="SENTENCIA_2023_159" w:history="1">
        <w:r w:rsidRPr="00E1708A">
          <w:rPr>
            <w:rStyle w:val="TextoNormalCaracter"/>
          </w:rPr>
          <w:t>159/2023</w:t>
        </w:r>
      </w:hyperlink>
      <w:r w:rsidRPr="00E1708A">
        <w:rPr>
          <w:rStyle w:val="TextoNormalCaracter"/>
        </w:rPr>
        <w:t xml:space="preserve">, f. 3; </w:t>
      </w:r>
      <w:hyperlink w:anchor="SENTENCIA_2023_160" w:history="1">
        <w:r w:rsidRPr="00E1708A">
          <w:rPr>
            <w:rStyle w:val="TextoNormalCaracter"/>
          </w:rPr>
          <w:t>160/2023</w:t>
        </w:r>
      </w:hyperlink>
      <w:r w:rsidRPr="00E1708A">
        <w:rPr>
          <w:rStyle w:val="TextoNormalCaracter"/>
        </w:rPr>
        <w:t xml:space="preserve">, ff. 2 y 3; </w:t>
      </w:r>
      <w:hyperlink w:anchor="SENTENCIA_2023_162" w:history="1">
        <w:r w:rsidRPr="00E1708A">
          <w:rPr>
            <w:rStyle w:val="TextoNormalCaracter"/>
          </w:rPr>
          <w:t>162/2023</w:t>
        </w:r>
      </w:hyperlink>
      <w:r w:rsidRPr="00E1708A">
        <w:rPr>
          <w:rStyle w:val="TextoNormalCaracter"/>
        </w:rPr>
        <w:t xml:space="preserve">, ff. 2 y 3; </w:t>
      </w:r>
      <w:hyperlink w:anchor="SENTENCIA_2023_163" w:history="1">
        <w:r w:rsidRPr="00E1708A">
          <w:rPr>
            <w:rStyle w:val="TextoNormalCaracter"/>
          </w:rPr>
          <w:t>163/2023</w:t>
        </w:r>
      </w:hyperlink>
      <w:r w:rsidRPr="00E1708A">
        <w:rPr>
          <w:rStyle w:val="TextoNormalCaracter"/>
        </w:rPr>
        <w:t xml:space="preserve">, f. único; </w:t>
      </w:r>
      <w:hyperlink w:anchor="SENTENCIA_2023_180" w:history="1">
        <w:r w:rsidRPr="00E1708A">
          <w:rPr>
            <w:rStyle w:val="TextoNormalCaracter"/>
          </w:rPr>
          <w:t>180/2023</w:t>
        </w:r>
      </w:hyperlink>
      <w:r w:rsidRPr="00E1708A">
        <w:rPr>
          <w:rStyle w:val="TextoNormalCaracter"/>
        </w:rPr>
        <w:t xml:space="preserve">, f. 3; </w:t>
      </w:r>
      <w:hyperlink w:anchor="SENTENCIA_2023_182" w:history="1">
        <w:r w:rsidRPr="00E1708A">
          <w:rPr>
            <w:rStyle w:val="TextoNormalCaracter"/>
          </w:rPr>
          <w:t>182/2023</w:t>
        </w:r>
      </w:hyperlink>
      <w:r w:rsidRPr="00E1708A">
        <w:rPr>
          <w:rStyle w:val="TextoNormalCaracter"/>
        </w:rPr>
        <w:t xml:space="preserve">, f. 3; </w:t>
      </w:r>
      <w:hyperlink w:anchor="SENTENCIA_2023_183" w:history="1">
        <w:r w:rsidRPr="00E1708A">
          <w:rPr>
            <w:rStyle w:val="TextoNormalCaracter"/>
          </w:rPr>
          <w:t>183/2023</w:t>
        </w:r>
      </w:hyperlink>
      <w:r w:rsidRPr="00E1708A">
        <w:rPr>
          <w:rStyle w:val="TextoNormalCaracter"/>
        </w:rPr>
        <w:t xml:space="preserve">, f. 3; </w:t>
      </w:r>
      <w:hyperlink w:anchor="SENTENCIA_2023_185" w:history="1">
        <w:r w:rsidRPr="00E1708A">
          <w:rPr>
            <w:rStyle w:val="TextoNormalCaracter"/>
          </w:rPr>
          <w:t>185/2023</w:t>
        </w:r>
      </w:hyperlink>
      <w:r w:rsidRPr="00E1708A">
        <w:rPr>
          <w:rStyle w:val="TextoNormalCaracter"/>
        </w:rPr>
        <w:t xml:space="preserve">, f. 3; </w:t>
      </w:r>
      <w:hyperlink w:anchor="SENTENCIA_2023_186" w:history="1">
        <w:r w:rsidRPr="00E1708A">
          <w:rPr>
            <w:rStyle w:val="TextoNormalCaracter"/>
          </w:rPr>
          <w:t>186/2023</w:t>
        </w:r>
      </w:hyperlink>
      <w:r w:rsidRPr="00E1708A">
        <w:rPr>
          <w:rStyle w:val="TextoNormalCaracter"/>
        </w:rPr>
        <w:t xml:space="preserve">, ff. 2 y 3; </w:t>
      </w:r>
      <w:hyperlink w:anchor="SENTENCIA_2023_187" w:history="1">
        <w:r w:rsidRPr="00E1708A">
          <w:rPr>
            <w:rStyle w:val="TextoNormalCaracter"/>
          </w:rPr>
          <w:t>187/2023</w:t>
        </w:r>
      </w:hyperlink>
      <w:r w:rsidRPr="00E1708A">
        <w:rPr>
          <w:rStyle w:val="TextoNormalCaracter"/>
        </w:rPr>
        <w:t>, ff. 2 y 3.</w:t>
      </w:r>
    </w:p>
    <w:p w14:paraId="7D7105D2" w14:textId="15A62129" w:rsidR="00E1708A" w:rsidRPr="00E1708A" w:rsidRDefault="00E1708A" w:rsidP="00E1708A">
      <w:pPr>
        <w:pStyle w:val="TextoNormalSangraFrancesa"/>
        <w:rPr>
          <w:rStyle w:val="TextoNormalCaracter"/>
        </w:rPr>
      </w:pPr>
      <w:r w:rsidRPr="00E1708A">
        <w:rPr>
          <w:rStyle w:val="TextoNormalCursivaCaracter"/>
        </w:rPr>
        <w:t xml:space="preserve">    Vulnerado, </w:t>
      </w:r>
      <w:r w:rsidRPr="00E1708A">
        <w:rPr>
          <w:rStyle w:val="TextoNormalCaracter"/>
        </w:rPr>
        <w:t xml:space="preserve">Sentencia </w:t>
      </w:r>
      <w:hyperlink w:anchor="SENTENCIA_2023_78" w:history="1">
        <w:r w:rsidRPr="00E1708A">
          <w:rPr>
            <w:rStyle w:val="TextoNormalCaracter"/>
          </w:rPr>
          <w:t>78/2023</w:t>
        </w:r>
      </w:hyperlink>
      <w:r w:rsidRPr="00E1708A">
        <w:rPr>
          <w:rStyle w:val="TextoNormalCaracter"/>
        </w:rPr>
        <w:t>, ff. 5 y 6, VP I, VP II.</w:t>
      </w:r>
    </w:p>
    <w:p w14:paraId="38EF69CB" w14:textId="08BF0A80" w:rsidR="00E1708A" w:rsidRPr="00E1708A" w:rsidRDefault="00E1708A" w:rsidP="00E1708A">
      <w:pPr>
        <w:pStyle w:val="TextoNormalSangraFrancesa"/>
        <w:rPr>
          <w:rStyle w:val="TextoNormalCaracter"/>
        </w:rPr>
      </w:pPr>
      <w:bookmarkStart w:id="1047" w:name="DESCRIPTORALFABETICO56"/>
      <w:r w:rsidRPr="00E1708A">
        <w:rPr>
          <w:rStyle w:val="TextoNormalNegritaCaracter"/>
        </w:rPr>
        <w:t>Derecho a la intimidad de menores</w:t>
      </w:r>
      <w:bookmarkEnd w:id="1047"/>
      <w:r w:rsidRPr="00E1708A">
        <w:rPr>
          <w:rStyle w:val="TextoNormalCaracter"/>
        </w:rPr>
        <w:t xml:space="preserve">, Sentencia </w:t>
      </w:r>
      <w:hyperlink w:anchor="SENTENCIA_2023_181" w:history="1">
        <w:r w:rsidRPr="00E1708A">
          <w:rPr>
            <w:rStyle w:val="TextoNormalCaracter"/>
          </w:rPr>
          <w:t>181/2023</w:t>
        </w:r>
      </w:hyperlink>
      <w:r w:rsidRPr="00E1708A">
        <w:rPr>
          <w:rStyle w:val="TextoNormalCaracter"/>
        </w:rPr>
        <w:t>, ff. 2 y 3.</w:t>
      </w:r>
    </w:p>
    <w:p w14:paraId="1267371F" w14:textId="77777777" w:rsidR="00E1708A" w:rsidRPr="00E1708A" w:rsidRDefault="00E1708A" w:rsidP="00E1708A">
      <w:pPr>
        <w:pStyle w:val="TextoNormalSangraFrancesa"/>
        <w:rPr>
          <w:rStyle w:val="TextoNormalCaracter"/>
        </w:rPr>
      </w:pPr>
      <w:bookmarkStart w:id="1048" w:name="DESCRIPTORALFABETICO55"/>
      <w:r w:rsidRPr="00E1708A">
        <w:rPr>
          <w:rStyle w:val="TextoNormalNegritaCaracter"/>
        </w:rPr>
        <w:t>Derecho a la intimidad personal y familiar</w:t>
      </w:r>
      <w:bookmarkEnd w:id="1048"/>
      <w:r w:rsidRPr="00E1708A">
        <w:rPr>
          <w:rStyle w:val="TextoNormalCaracter"/>
        </w:rPr>
        <w:t xml:space="preserve">, </w:t>
      </w:r>
    </w:p>
    <w:p w14:paraId="675BBE49" w14:textId="19E1CFC0" w:rsidR="00E1708A" w:rsidRPr="00E1708A" w:rsidRDefault="00E1708A" w:rsidP="00E1708A">
      <w:pPr>
        <w:pStyle w:val="TextoNormalSangraFrancesa"/>
        <w:rPr>
          <w:rStyle w:val="TextoNormalCaracter"/>
        </w:rPr>
      </w:pPr>
      <w:r w:rsidRPr="00E1708A">
        <w:rPr>
          <w:rStyle w:val="TextoNormalCursivaCaracter"/>
        </w:rPr>
        <w:t xml:space="preserve">    Respetado, </w:t>
      </w:r>
      <w:r w:rsidRPr="00E1708A">
        <w:rPr>
          <w:rStyle w:val="TextoNormalCaracter"/>
        </w:rPr>
        <w:t xml:space="preserve">Sentencia </w:t>
      </w:r>
      <w:hyperlink w:anchor="SENTENCIA_2023_181" w:history="1">
        <w:r w:rsidRPr="00E1708A">
          <w:rPr>
            <w:rStyle w:val="TextoNormalCaracter"/>
          </w:rPr>
          <w:t>181/2023</w:t>
        </w:r>
      </w:hyperlink>
      <w:r w:rsidRPr="00E1708A">
        <w:rPr>
          <w:rStyle w:val="TextoNormalCaracter"/>
        </w:rPr>
        <w:t>, ff. 2 y 3.</w:t>
      </w:r>
    </w:p>
    <w:p w14:paraId="2D4D2721" w14:textId="2EEEA029" w:rsidR="00E1708A" w:rsidRPr="00E1708A" w:rsidRDefault="00E1708A" w:rsidP="00E1708A">
      <w:pPr>
        <w:pStyle w:val="TextoNormalSangraFrancesa"/>
        <w:rPr>
          <w:rStyle w:val="TextoNormalCaracter"/>
        </w:rPr>
      </w:pPr>
      <w:r w:rsidRPr="00E1708A">
        <w:rPr>
          <w:rStyle w:val="TextoNormalCursivaCaracter"/>
        </w:rPr>
        <w:t xml:space="preserve">    Vulnerado, </w:t>
      </w:r>
      <w:r w:rsidRPr="00E1708A">
        <w:rPr>
          <w:rStyle w:val="TextoNormalCaracter"/>
        </w:rPr>
        <w:t xml:space="preserve">Sentencia </w:t>
      </w:r>
      <w:hyperlink w:anchor="SENTENCIA_2023_92" w:history="1">
        <w:r w:rsidRPr="00E1708A">
          <w:rPr>
            <w:rStyle w:val="TextoNormalCaracter"/>
          </w:rPr>
          <w:t>92/2023</w:t>
        </w:r>
      </w:hyperlink>
      <w:r w:rsidRPr="00E1708A">
        <w:rPr>
          <w:rStyle w:val="TextoNormalCaracter"/>
        </w:rPr>
        <w:t>, ff. 6 a 8, VP.</w:t>
      </w:r>
    </w:p>
    <w:p w14:paraId="694D4FF1" w14:textId="77777777" w:rsidR="00E1708A" w:rsidRPr="00E1708A" w:rsidRDefault="00E1708A" w:rsidP="00E1708A">
      <w:pPr>
        <w:pStyle w:val="TextoNormalSangraFrancesa"/>
        <w:rPr>
          <w:rStyle w:val="TextoNormalCaracter"/>
        </w:rPr>
      </w:pPr>
      <w:bookmarkStart w:id="1049" w:name="DESCRIPTORALFABETICO57"/>
      <w:r w:rsidRPr="00E1708A">
        <w:rPr>
          <w:rStyle w:val="TextoNormalNegritaCaracter"/>
        </w:rPr>
        <w:t>Derecho a la legalidad penal</w:t>
      </w:r>
      <w:bookmarkEnd w:id="1049"/>
      <w:r w:rsidRPr="00E1708A">
        <w:rPr>
          <w:rStyle w:val="TextoNormalCaracter"/>
        </w:rPr>
        <w:t xml:space="preserve">, </w:t>
      </w:r>
    </w:p>
    <w:p w14:paraId="2655F3A1" w14:textId="2BF59F5B" w:rsidR="00E1708A" w:rsidRPr="00E1708A" w:rsidRDefault="00E1708A" w:rsidP="00E1708A">
      <w:pPr>
        <w:pStyle w:val="TextoNormalSangraFrancesa"/>
        <w:rPr>
          <w:rStyle w:val="TextoNormalCaracter"/>
        </w:rPr>
      </w:pPr>
      <w:r w:rsidRPr="00E1708A">
        <w:rPr>
          <w:rStyle w:val="TextoNormalCursivaCaracter"/>
        </w:rPr>
        <w:t xml:space="preserve">    Vulnerado, </w:t>
      </w:r>
      <w:r w:rsidRPr="00E1708A">
        <w:rPr>
          <w:rStyle w:val="TextoNormalCaracter"/>
        </w:rPr>
        <w:t xml:space="preserve">Sentencias </w:t>
      </w:r>
      <w:hyperlink w:anchor="SENTENCIA_2023_80" w:history="1">
        <w:r w:rsidRPr="00E1708A">
          <w:rPr>
            <w:rStyle w:val="TextoNormalCaracter"/>
          </w:rPr>
          <w:t>80/2023</w:t>
        </w:r>
      </w:hyperlink>
      <w:r w:rsidRPr="00E1708A">
        <w:rPr>
          <w:rStyle w:val="TextoNormalCaracter"/>
        </w:rPr>
        <w:t xml:space="preserve">, f. único; </w:t>
      </w:r>
      <w:hyperlink w:anchor="SENTENCIA_2023_87" w:history="1">
        <w:r w:rsidRPr="00E1708A">
          <w:rPr>
            <w:rStyle w:val="TextoNormalCaracter"/>
          </w:rPr>
          <w:t>87/2023</w:t>
        </w:r>
      </w:hyperlink>
      <w:r w:rsidRPr="00E1708A">
        <w:rPr>
          <w:rStyle w:val="TextoNormalCaracter"/>
        </w:rPr>
        <w:t>, f. 3.</w:t>
      </w:r>
    </w:p>
    <w:p w14:paraId="486C3256" w14:textId="77777777" w:rsidR="00E1708A" w:rsidRPr="00E1708A" w:rsidRDefault="00E1708A" w:rsidP="00E1708A">
      <w:pPr>
        <w:pStyle w:val="TextoNormalSangraFrancesa"/>
        <w:rPr>
          <w:rStyle w:val="TextoNormalCaracter"/>
        </w:rPr>
      </w:pPr>
      <w:bookmarkStart w:id="1050" w:name="DESCRIPTORALFABETICO58"/>
      <w:r w:rsidRPr="00E1708A">
        <w:rPr>
          <w:rStyle w:val="TextoNormalNegritaCaracter"/>
        </w:rPr>
        <w:t>Derecho a la legalidad sancionadora</w:t>
      </w:r>
      <w:bookmarkEnd w:id="1050"/>
      <w:r w:rsidRPr="00E1708A">
        <w:rPr>
          <w:rStyle w:val="TextoNormalCaracter"/>
        </w:rPr>
        <w:t xml:space="preserve">, </w:t>
      </w:r>
    </w:p>
    <w:p w14:paraId="3A4BC74F" w14:textId="403D1824" w:rsidR="00E1708A" w:rsidRPr="00E1708A" w:rsidRDefault="00E1708A" w:rsidP="00E1708A">
      <w:pPr>
        <w:pStyle w:val="TextoNormalSangraFrancesa"/>
        <w:rPr>
          <w:rStyle w:val="TextoNormalCaracter"/>
        </w:rPr>
      </w:pPr>
      <w:r w:rsidRPr="00E1708A">
        <w:rPr>
          <w:rStyle w:val="TextoNormalCursivaCaracter"/>
        </w:rPr>
        <w:t xml:space="preserve">    Respetado, </w:t>
      </w:r>
      <w:r w:rsidRPr="00E1708A">
        <w:rPr>
          <w:rStyle w:val="TextoNormalCaracter"/>
        </w:rPr>
        <w:t xml:space="preserve">Sentencia </w:t>
      </w:r>
      <w:hyperlink w:anchor="SENTENCIA_2023_179" w:history="1">
        <w:r w:rsidRPr="00E1708A">
          <w:rPr>
            <w:rStyle w:val="TextoNormalCaracter"/>
          </w:rPr>
          <w:t>179/2023</w:t>
        </w:r>
      </w:hyperlink>
      <w:r w:rsidRPr="00E1708A">
        <w:rPr>
          <w:rStyle w:val="TextoNormalCaracter"/>
        </w:rPr>
        <w:t>, f. 3.</w:t>
      </w:r>
    </w:p>
    <w:p w14:paraId="2C5246F7" w14:textId="65CC4D23" w:rsidR="00E1708A" w:rsidRPr="00E1708A" w:rsidRDefault="00E1708A" w:rsidP="00E1708A">
      <w:pPr>
        <w:pStyle w:val="TextoNormalSangraFrancesa"/>
        <w:rPr>
          <w:rStyle w:val="TextoNormalCaracter"/>
        </w:rPr>
      </w:pPr>
      <w:r w:rsidRPr="00E1708A">
        <w:rPr>
          <w:rStyle w:val="TextoNormalCursivaCaracter"/>
        </w:rPr>
        <w:t xml:space="preserve">    Vulnerado, </w:t>
      </w:r>
      <w:r w:rsidRPr="00E1708A">
        <w:rPr>
          <w:rStyle w:val="TextoNormalCaracter"/>
        </w:rPr>
        <w:t xml:space="preserve">Sentencias </w:t>
      </w:r>
      <w:hyperlink w:anchor="SENTENCIA_2023_86" w:history="1">
        <w:r w:rsidRPr="00E1708A">
          <w:rPr>
            <w:rStyle w:val="TextoNormalCaracter"/>
          </w:rPr>
          <w:t>86/2023</w:t>
        </w:r>
      </w:hyperlink>
      <w:r w:rsidRPr="00E1708A">
        <w:rPr>
          <w:rStyle w:val="TextoNormalCaracter"/>
        </w:rPr>
        <w:t xml:space="preserve">, f. único; </w:t>
      </w:r>
      <w:hyperlink w:anchor="SENTENCIA_2023_130" w:history="1">
        <w:r w:rsidRPr="00E1708A">
          <w:rPr>
            <w:rStyle w:val="TextoNormalCaracter"/>
          </w:rPr>
          <w:t>130/2023</w:t>
        </w:r>
      </w:hyperlink>
      <w:r w:rsidRPr="00E1708A">
        <w:rPr>
          <w:rStyle w:val="TextoNormalCaracter"/>
        </w:rPr>
        <w:t>, f. único.</w:t>
      </w:r>
    </w:p>
    <w:p w14:paraId="56DC2A57" w14:textId="77777777" w:rsidR="00E1708A" w:rsidRPr="00E1708A" w:rsidRDefault="00E1708A" w:rsidP="00E1708A">
      <w:pPr>
        <w:pStyle w:val="TextoNormalSangraFrancesa"/>
        <w:rPr>
          <w:rStyle w:val="TextoNormalCaracter"/>
        </w:rPr>
      </w:pPr>
      <w:bookmarkStart w:id="1051" w:name="DESCRIPTORALFABETICO60"/>
      <w:r w:rsidRPr="00E1708A">
        <w:rPr>
          <w:rStyle w:val="TextoNormalNegritaCaracter"/>
        </w:rPr>
        <w:t>Derecho a la libertad personal</w:t>
      </w:r>
      <w:bookmarkEnd w:id="1051"/>
      <w:r w:rsidRPr="00E1708A">
        <w:rPr>
          <w:rStyle w:val="TextoNormalCaracter"/>
        </w:rPr>
        <w:t xml:space="preserve">, </w:t>
      </w:r>
    </w:p>
    <w:p w14:paraId="7852D819" w14:textId="044994EA" w:rsidR="00E1708A" w:rsidRPr="00E1708A" w:rsidRDefault="00E1708A" w:rsidP="00E1708A">
      <w:pPr>
        <w:pStyle w:val="TextoNormalSangraFrancesa"/>
        <w:rPr>
          <w:rStyle w:val="TextoNormalCaracter"/>
        </w:rPr>
      </w:pPr>
      <w:r w:rsidRPr="00E1708A">
        <w:rPr>
          <w:rStyle w:val="TextoNormalCursivaCaracter"/>
        </w:rPr>
        <w:t xml:space="preserve">    Vulnerado, </w:t>
      </w:r>
      <w:r w:rsidRPr="00E1708A">
        <w:rPr>
          <w:rStyle w:val="TextoNormalCaracter"/>
        </w:rPr>
        <w:t xml:space="preserve">Sentencias </w:t>
      </w:r>
      <w:hyperlink w:anchor="SENTENCIA_2023_136" w:history="1">
        <w:r w:rsidRPr="00E1708A">
          <w:rPr>
            <w:rStyle w:val="TextoNormalCaracter"/>
          </w:rPr>
          <w:t>136/2023</w:t>
        </w:r>
      </w:hyperlink>
      <w:r w:rsidRPr="00E1708A">
        <w:rPr>
          <w:rStyle w:val="TextoNormalCaracter"/>
        </w:rPr>
        <w:t xml:space="preserve">, ff.1 a 7; </w:t>
      </w:r>
      <w:hyperlink w:anchor="SENTENCIA_2023_152" w:history="1">
        <w:r w:rsidRPr="00E1708A">
          <w:rPr>
            <w:rStyle w:val="TextoNormalCaracter"/>
          </w:rPr>
          <w:t>152/2023</w:t>
        </w:r>
      </w:hyperlink>
      <w:r w:rsidRPr="00E1708A">
        <w:rPr>
          <w:rStyle w:val="TextoNormalCaracter"/>
        </w:rPr>
        <w:t xml:space="preserve">, ff. 2 y 3; </w:t>
      </w:r>
      <w:hyperlink w:anchor="SENTENCIA_2023_184" w:history="1">
        <w:r w:rsidRPr="00E1708A">
          <w:rPr>
            <w:rStyle w:val="TextoNormalCaracter"/>
          </w:rPr>
          <w:t>184/2023</w:t>
        </w:r>
      </w:hyperlink>
      <w:r w:rsidRPr="00E1708A">
        <w:rPr>
          <w:rStyle w:val="TextoNormalCaracter"/>
        </w:rPr>
        <w:t>, ff. 3 y 4.</w:t>
      </w:r>
    </w:p>
    <w:p w14:paraId="7FDDBD1E" w14:textId="60387B34" w:rsidR="00E1708A" w:rsidRPr="00E1708A" w:rsidRDefault="00E1708A" w:rsidP="00E1708A">
      <w:pPr>
        <w:pStyle w:val="TextoNormalSangraFrancesa"/>
        <w:rPr>
          <w:rStyle w:val="TextoNormalCaracter"/>
        </w:rPr>
      </w:pPr>
      <w:bookmarkStart w:id="1052" w:name="DESCRIPTORALFABETICO63"/>
      <w:r w:rsidRPr="00E1708A">
        <w:rPr>
          <w:rStyle w:val="TextoNormalNegritaCaracter"/>
        </w:rPr>
        <w:t>Derecho a la presunción de inocencia</w:t>
      </w:r>
      <w:bookmarkEnd w:id="1052"/>
      <w:r w:rsidRPr="00E1708A">
        <w:rPr>
          <w:rStyle w:val="TextoNormalCaracter"/>
        </w:rPr>
        <w:t xml:space="preserve">, Sentencia </w:t>
      </w:r>
      <w:hyperlink w:anchor="SENTENCIA_2023_92" w:history="1">
        <w:r w:rsidRPr="00E1708A">
          <w:rPr>
            <w:rStyle w:val="TextoNormalCaracter"/>
          </w:rPr>
          <w:t>92/2023</w:t>
        </w:r>
      </w:hyperlink>
      <w:r w:rsidRPr="00E1708A">
        <w:rPr>
          <w:rStyle w:val="TextoNormalCaracter"/>
        </w:rPr>
        <w:t>, f. 9.</w:t>
      </w:r>
    </w:p>
    <w:p w14:paraId="0FCD00FF" w14:textId="07C4991A" w:rsidR="00E1708A" w:rsidRPr="00E1708A" w:rsidRDefault="00E1708A" w:rsidP="00E1708A">
      <w:pPr>
        <w:pStyle w:val="TextoNormalSangraFrancesa"/>
        <w:rPr>
          <w:rStyle w:val="TextoNormalCaracter"/>
        </w:rPr>
      </w:pPr>
      <w:bookmarkStart w:id="1053" w:name="DESCRIPTORALFABETICO64"/>
      <w:r w:rsidRPr="00E1708A">
        <w:rPr>
          <w:rStyle w:val="TextoNormalNegritaCaracter"/>
        </w:rPr>
        <w:t>Derecho a la tutela judicial efectiva</w:t>
      </w:r>
      <w:bookmarkEnd w:id="1053"/>
      <w:r w:rsidRPr="00E1708A">
        <w:rPr>
          <w:rStyle w:val="TextoNormalCaracter"/>
        </w:rPr>
        <w:t xml:space="preserve">, Sentencia </w:t>
      </w:r>
      <w:hyperlink w:anchor="SENTENCIA_2023_151" w:history="1">
        <w:r w:rsidRPr="00E1708A">
          <w:rPr>
            <w:rStyle w:val="TextoNormalCaracter"/>
          </w:rPr>
          <w:t>151/2023</w:t>
        </w:r>
      </w:hyperlink>
      <w:r w:rsidRPr="00E1708A">
        <w:rPr>
          <w:rStyle w:val="TextoNormalCaracter"/>
        </w:rPr>
        <w:t>, ff. 1 y 2.</w:t>
      </w:r>
    </w:p>
    <w:p w14:paraId="53DC869C" w14:textId="56AC6C63" w:rsidR="00E1708A" w:rsidRPr="00E1708A" w:rsidRDefault="00E1708A" w:rsidP="00E1708A">
      <w:pPr>
        <w:pStyle w:val="TextoNormalSangraFrancesa"/>
        <w:rPr>
          <w:rStyle w:val="TextoNormalCaracter"/>
        </w:rPr>
      </w:pPr>
      <w:r w:rsidRPr="00E1708A">
        <w:rPr>
          <w:rStyle w:val="TextoNormalCursivaCaracter"/>
        </w:rPr>
        <w:t xml:space="preserve">    Respetado, </w:t>
      </w:r>
      <w:r w:rsidRPr="00E1708A">
        <w:rPr>
          <w:rStyle w:val="TextoNormalCaracter"/>
        </w:rPr>
        <w:t xml:space="preserve">Sentencias </w:t>
      </w:r>
      <w:hyperlink w:anchor="SENTENCIA_2023_83" w:history="1">
        <w:r w:rsidRPr="00E1708A">
          <w:rPr>
            <w:rStyle w:val="TextoNormalCaracter"/>
          </w:rPr>
          <w:t>83/2023</w:t>
        </w:r>
      </w:hyperlink>
      <w:r w:rsidRPr="00E1708A">
        <w:rPr>
          <w:rStyle w:val="TextoNormalCaracter"/>
        </w:rPr>
        <w:t xml:space="preserve">, f. 7; </w:t>
      </w:r>
      <w:hyperlink w:anchor="SENTENCIA_2023_131" w:history="1">
        <w:r w:rsidRPr="00E1708A">
          <w:rPr>
            <w:rStyle w:val="TextoNormalCaracter"/>
          </w:rPr>
          <w:t>131/2023</w:t>
        </w:r>
      </w:hyperlink>
      <w:r w:rsidRPr="00E1708A">
        <w:rPr>
          <w:rStyle w:val="TextoNormalCaracter"/>
        </w:rPr>
        <w:t xml:space="preserve">, ff. 2 y 4; </w:t>
      </w:r>
      <w:hyperlink w:anchor="SENTENCIA_2023_148" w:history="1">
        <w:r w:rsidRPr="00E1708A">
          <w:rPr>
            <w:rStyle w:val="TextoNormalCaracter"/>
          </w:rPr>
          <w:t>148/2023</w:t>
        </w:r>
      </w:hyperlink>
      <w:r w:rsidRPr="00E1708A">
        <w:rPr>
          <w:rStyle w:val="TextoNormalCaracter"/>
        </w:rPr>
        <w:t xml:space="preserve">, f. 3; </w:t>
      </w:r>
      <w:hyperlink w:anchor="SENTENCIA_2023_163" w:history="1">
        <w:r w:rsidRPr="00E1708A">
          <w:rPr>
            <w:rStyle w:val="TextoNormalCaracter"/>
          </w:rPr>
          <w:t>163/2023</w:t>
        </w:r>
      </w:hyperlink>
      <w:r w:rsidRPr="00E1708A">
        <w:rPr>
          <w:rStyle w:val="TextoNormalCaracter"/>
        </w:rPr>
        <w:t>, f. único.</w:t>
      </w:r>
    </w:p>
    <w:p w14:paraId="5E3F2989" w14:textId="4E110DF9" w:rsidR="00E1708A" w:rsidRPr="00E1708A" w:rsidRDefault="00E1708A" w:rsidP="00E1708A">
      <w:pPr>
        <w:pStyle w:val="TextoNormalSangraFrancesa"/>
        <w:rPr>
          <w:rStyle w:val="TextoNormalCaracter"/>
        </w:rPr>
      </w:pPr>
      <w:r w:rsidRPr="00E1708A">
        <w:rPr>
          <w:rStyle w:val="TextoNormalCursivaCaracter"/>
        </w:rPr>
        <w:t xml:space="preserve">    Vulnerado, </w:t>
      </w:r>
      <w:r w:rsidRPr="00E1708A">
        <w:rPr>
          <w:rStyle w:val="TextoNormalCaracter"/>
        </w:rPr>
        <w:t xml:space="preserve">Sentencias </w:t>
      </w:r>
      <w:hyperlink w:anchor="SENTENCIA_2023_80" w:history="1">
        <w:r w:rsidRPr="00E1708A">
          <w:rPr>
            <w:rStyle w:val="TextoNormalCaracter"/>
          </w:rPr>
          <w:t>80/2023</w:t>
        </w:r>
      </w:hyperlink>
      <w:r w:rsidRPr="00E1708A">
        <w:rPr>
          <w:rStyle w:val="TextoNormalCaracter"/>
        </w:rPr>
        <w:t xml:space="preserve">, f. único; </w:t>
      </w:r>
      <w:hyperlink w:anchor="SENTENCIA_2023_87" w:history="1">
        <w:r w:rsidRPr="00E1708A">
          <w:rPr>
            <w:rStyle w:val="TextoNormalCaracter"/>
          </w:rPr>
          <w:t>87/2023</w:t>
        </w:r>
      </w:hyperlink>
      <w:r w:rsidRPr="00E1708A">
        <w:rPr>
          <w:rStyle w:val="TextoNormalCaracter"/>
        </w:rPr>
        <w:t xml:space="preserve">, f. 3; </w:t>
      </w:r>
      <w:hyperlink w:anchor="SENTENCIA_2023_134" w:history="1">
        <w:r w:rsidRPr="00E1708A">
          <w:rPr>
            <w:rStyle w:val="TextoNormalCaracter"/>
          </w:rPr>
          <w:t>134/2023</w:t>
        </w:r>
      </w:hyperlink>
      <w:r w:rsidRPr="00E1708A">
        <w:rPr>
          <w:rStyle w:val="TextoNormalCaracter"/>
        </w:rPr>
        <w:t xml:space="preserve">, ff. 3 y 4; </w:t>
      </w:r>
      <w:hyperlink w:anchor="SENTENCIA_2023_153" w:history="1">
        <w:r w:rsidRPr="00E1708A">
          <w:rPr>
            <w:rStyle w:val="TextoNormalCaracter"/>
          </w:rPr>
          <w:t>153/2023</w:t>
        </w:r>
      </w:hyperlink>
      <w:r w:rsidRPr="00E1708A">
        <w:rPr>
          <w:rStyle w:val="TextoNormalCaracter"/>
        </w:rPr>
        <w:t xml:space="preserve">, ff. 3 y 4; </w:t>
      </w:r>
      <w:hyperlink w:anchor="SENTENCIA_2023_184" w:history="1">
        <w:r w:rsidRPr="00E1708A">
          <w:rPr>
            <w:rStyle w:val="TextoNormalCaracter"/>
          </w:rPr>
          <w:t>184/2023</w:t>
        </w:r>
      </w:hyperlink>
      <w:r w:rsidRPr="00E1708A">
        <w:rPr>
          <w:rStyle w:val="TextoNormalCaracter"/>
        </w:rPr>
        <w:t>.</w:t>
      </w:r>
    </w:p>
    <w:p w14:paraId="7918478C" w14:textId="0652BAF4" w:rsidR="00E1708A" w:rsidRPr="00E1708A" w:rsidRDefault="00E1708A" w:rsidP="00E1708A">
      <w:pPr>
        <w:pStyle w:val="TextoNormalSangraFrancesa"/>
        <w:rPr>
          <w:rStyle w:val="TextoNormalCaracter"/>
        </w:rPr>
      </w:pPr>
      <w:bookmarkStart w:id="1054" w:name="DESCRIPTORALFABETICO79"/>
      <w:r w:rsidRPr="00E1708A">
        <w:rPr>
          <w:rStyle w:val="TextoNormalNegritaCaracter"/>
        </w:rPr>
        <w:t>Derecho a la tutela judicial sin indefensión</w:t>
      </w:r>
      <w:bookmarkEnd w:id="1054"/>
      <w:r w:rsidRPr="00E1708A">
        <w:rPr>
          <w:rStyle w:val="TextoNormalCaracter"/>
        </w:rPr>
        <w:t xml:space="preserve">, Sentencia </w:t>
      </w:r>
      <w:hyperlink w:anchor="SENTENCIA_2023_92" w:history="1">
        <w:r w:rsidRPr="00E1708A">
          <w:rPr>
            <w:rStyle w:val="TextoNormalCaracter"/>
          </w:rPr>
          <w:t>92/2023</w:t>
        </w:r>
      </w:hyperlink>
      <w:r w:rsidRPr="00E1708A">
        <w:rPr>
          <w:rStyle w:val="TextoNormalCaracter"/>
        </w:rPr>
        <w:t>, f. 2.</w:t>
      </w:r>
    </w:p>
    <w:p w14:paraId="40DCF8B1" w14:textId="52D03D25" w:rsidR="00E1708A" w:rsidRPr="00E1708A" w:rsidRDefault="00E1708A" w:rsidP="00E1708A">
      <w:pPr>
        <w:pStyle w:val="TextoNormalSangraFrancesa"/>
        <w:rPr>
          <w:rStyle w:val="TextoNormalCaracter"/>
        </w:rPr>
      </w:pPr>
      <w:r w:rsidRPr="00E1708A">
        <w:rPr>
          <w:rStyle w:val="TextoNormalCursivaCaracter"/>
        </w:rPr>
        <w:t xml:space="preserve">    Respetado, </w:t>
      </w:r>
      <w:r w:rsidRPr="00E1708A">
        <w:rPr>
          <w:rStyle w:val="TextoNormalCaracter"/>
        </w:rPr>
        <w:t xml:space="preserve">Sentencias </w:t>
      </w:r>
      <w:hyperlink w:anchor="SENTENCIA_2023_90" w:history="1">
        <w:r w:rsidRPr="00E1708A">
          <w:rPr>
            <w:rStyle w:val="TextoNormalCaracter"/>
          </w:rPr>
          <w:t>90/2023</w:t>
        </w:r>
      </w:hyperlink>
      <w:r w:rsidRPr="00E1708A">
        <w:rPr>
          <w:rStyle w:val="TextoNormalCaracter"/>
        </w:rPr>
        <w:t xml:space="preserve">, ff. 4 y 5; </w:t>
      </w:r>
      <w:hyperlink w:anchor="SENTENCIA_2023_181" w:history="1">
        <w:r w:rsidRPr="00E1708A">
          <w:rPr>
            <w:rStyle w:val="TextoNormalCaracter"/>
          </w:rPr>
          <w:t>181/2023</w:t>
        </w:r>
      </w:hyperlink>
      <w:r w:rsidRPr="00E1708A">
        <w:rPr>
          <w:rStyle w:val="TextoNormalCaracter"/>
        </w:rPr>
        <w:t>, ff. 2 y 3.</w:t>
      </w:r>
    </w:p>
    <w:p w14:paraId="072429E3" w14:textId="301AF18E" w:rsidR="00E1708A" w:rsidRPr="00E1708A" w:rsidRDefault="00E1708A" w:rsidP="00E1708A">
      <w:pPr>
        <w:pStyle w:val="TextoNormalSangraFrancesa"/>
        <w:rPr>
          <w:rStyle w:val="TextoNormalCaracter"/>
        </w:rPr>
      </w:pPr>
      <w:r w:rsidRPr="00E1708A">
        <w:rPr>
          <w:rStyle w:val="TextoNormalCursivaCaracter"/>
        </w:rPr>
        <w:t xml:space="preserve">    Vulnerado, </w:t>
      </w:r>
      <w:r w:rsidRPr="00E1708A">
        <w:rPr>
          <w:rStyle w:val="TextoNormalCaracter"/>
        </w:rPr>
        <w:t xml:space="preserve">Sentencias </w:t>
      </w:r>
      <w:hyperlink w:anchor="SENTENCIA_2023_81" w:history="1">
        <w:r w:rsidRPr="00E1708A">
          <w:rPr>
            <w:rStyle w:val="TextoNormalCaracter"/>
          </w:rPr>
          <w:t>81/2023</w:t>
        </w:r>
      </w:hyperlink>
      <w:r w:rsidRPr="00E1708A">
        <w:rPr>
          <w:rStyle w:val="TextoNormalCaracter"/>
        </w:rPr>
        <w:t xml:space="preserve">, ff. 2 y 3; </w:t>
      </w:r>
      <w:hyperlink w:anchor="SENTENCIA_2023_91" w:history="1">
        <w:r w:rsidRPr="00E1708A">
          <w:rPr>
            <w:rStyle w:val="TextoNormalCaracter"/>
          </w:rPr>
          <w:t>91/2023</w:t>
        </w:r>
      </w:hyperlink>
      <w:r w:rsidRPr="00E1708A">
        <w:rPr>
          <w:rStyle w:val="TextoNormalCaracter"/>
        </w:rPr>
        <w:t xml:space="preserve">, ff. 3 y 4; </w:t>
      </w:r>
      <w:hyperlink w:anchor="SENTENCIA_2023_96" w:history="1">
        <w:r w:rsidRPr="00E1708A">
          <w:rPr>
            <w:rStyle w:val="TextoNormalCaracter"/>
          </w:rPr>
          <w:t>96/2023</w:t>
        </w:r>
      </w:hyperlink>
      <w:r w:rsidRPr="00E1708A">
        <w:rPr>
          <w:rStyle w:val="TextoNormalCaracter"/>
        </w:rPr>
        <w:t xml:space="preserve">, ff. 2 y 3; </w:t>
      </w:r>
      <w:hyperlink w:anchor="SENTENCIA_2023_122" w:history="1">
        <w:r w:rsidRPr="00E1708A">
          <w:rPr>
            <w:rStyle w:val="TextoNormalCaracter"/>
          </w:rPr>
          <w:t>122/2023</w:t>
        </w:r>
      </w:hyperlink>
      <w:r w:rsidRPr="00E1708A">
        <w:rPr>
          <w:rStyle w:val="TextoNormalCaracter"/>
        </w:rPr>
        <w:t xml:space="preserve">, f. único; </w:t>
      </w:r>
      <w:hyperlink w:anchor="SENTENCIA_2023_137" w:history="1">
        <w:r w:rsidRPr="00E1708A">
          <w:rPr>
            <w:rStyle w:val="TextoNormalCaracter"/>
          </w:rPr>
          <w:t>137/2023</w:t>
        </w:r>
      </w:hyperlink>
      <w:r w:rsidRPr="00E1708A">
        <w:rPr>
          <w:rStyle w:val="TextoNormalCaracter"/>
        </w:rPr>
        <w:t xml:space="preserve">, f.1; </w:t>
      </w:r>
      <w:hyperlink w:anchor="SENTENCIA_2023_138" w:history="1">
        <w:r w:rsidRPr="00E1708A">
          <w:rPr>
            <w:rStyle w:val="TextoNormalCaracter"/>
          </w:rPr>
          <w:t>138/2023</w:t>
        </w:r>
      </w:hyperlink>
      <w:r w:rsidRPr="00E1708A">
        <w:rPr>
          <w:rStyle w:val="TextoNormalCaracter"/>
        </w:rPr>
        <w:t xml:space="preserve">, f. único; </w:t>
      </w:r>
      <w:hyperlink w:anchor="SENTENCIA_2023_172" w:history="1">
        <w:r w:rsidRPr="00E1708A">
          <w:rPr>
            <w:rStyle w:val="TextoNormalCaracter"/>
          </w:rPr>
          <w:t>172/2023</w:t>
        </w:r>
      </w:hyperlink>
      <w:r w:rsidRPr="00E1708A">
        <w:rPr>
          <w:rStyle w:val="TextoNormalCaracter"/>
        </w:rPr>
        <w:t>.</w:t>
      </w:r>
    </w:p>
    <w:p w14:paraId="048E36A5" w14:textId="0B9D7BEA" w:rsidR="00E1708A" w:rsidRPr="00E1708A" w:rsidRDefault="00E1708A" w:rsidP="00E1708A">
      <w:pPr>
        <w:pStyle w:val="TextoNormalSangraFrancesa"/>
        <w:rPr>
          <w:rStyle w:val="TextoNormalCaracter"/>
        </w:rPr>
      </w:pPr>
      <w:bookmarkStart w:id="1055" w:name="DESCRIPTORALFABETICO81"/>
      <w:r w:rsidRPr="00E1708A">
        <w:rPr>
          <w:rStyle w:val="TextoNormalNegritaCaracter"/>
        </w:rPr>
        <w:t>Derecho a la vida</w:t>
      </w:r>
      <w:bookmarkEnd w:id="1055"/>
      <w:r w:rsidRPr="00E1708A">
        <w:rPr>
          <w:rStyle w:val="TextoNormalCaracter"/>
        </w:rPr>
        <w:t xml:space="preserve">, Sentencias </w:t>
      </w:r>
      <w:hyperlink w:anchor="SENTENCIA_2023_78" w:history="1">
        <w:r w:rsidRPr="00E1708A">
          <w:rPr>
            <w:rStyle w:val="TextoNormalCaracter"/>
          </w:rPr>
          <w:t>78/2023</w:t>
        </w:r>
      </w:hyperlink>
      <w:r w:rsidRPr="00E1708A">
        <w:rPr>
          <w:rStyle w:val="TextoNormalCaracter"/>
        </w:rPr>
        <w:t xml:space="preserve">, ff. 5 a 7, VP I, VP II; </w:t>
      </w:r>
      <w:hyperlink w:anchor="SENTENCIA_2023_94" w:history="1">
        <w:r w:rsidRPr="00E1708A">
          <w:rPr>
            <w:rStyle w:val="TextoNormalCaracter"/>
          </w:rPr>
          <w:t>94/2023</w:t>
        </w:r>
      </w:hyperlink>
      <w:r w:rsidRPr="00E1708A">
        <w:rPr>
          <w:rStyle w:val="TextoNormalCaracter"/>
        </w:rPr>
        <w:t>, ff. 3 y 5, VP III.</w:t>
      </w:r>
    </w:p>
    <w:p w14:paraId="6DC04303" w14:textId="472A9B80" w:rsidR="00E1708A" w:rsidRPr="00E1708A" w:rsidRDefault="00E1708A" w:rsidP="00E1708A">
      <w:pPr>
        <w:pStyle w:val="TextoNormalSangraFrancesa"/>
        <w:rPr>
          <w:rStyle w:val="TextoNormalCaracter"/>
        </w:rPr>
      </w:pPr>
      <w:r w:rsidRPr="00E1708A">
        <w:rPr>
          <w:rStyle w:val="TextoNormalCaracter"/>
        </w:rPr>
        <w:t xml:space="preserve">    Auto </w:t>
      </w:r>
      <w:hyperlink w:anchor="AUTO_2023_338" w:history="1">
        <w:r w:rsidRPr="00E1708A">
          <w:rPr>
            <w:rStyle w:val="TextoNormalCaracter"/>
          </w:rPr>
          <w:t>338/2023</w:t>
        </w:r>
      </w:hyperlink>
      <w:r w:rsidRPr="00E1708A">
        <w:rPr>
          <w:rStyle w:val="TextoNormalCaracter"/>
        </w:rPr>
        <w:t>, f.4, VP.</w:t>
      </w:r>
    </w:p>
    <w:p w14:paraId="7C5F6447" w14:textId="360D1815" w:rsidR="00E1708A" w:rsidRPr="00E1708A" w:rsidRDefault="00E1708A" w:rsidP="00E1708A">
      <w:pPr>
        <w:pStyle w:val="TextoNormalSangraFrancesa"/>
        <w:rPr>
          <w:rStyle w:val="TextoNormalCaracter"/>
        </w:rPr>
      </w:pPr>
      <w:r w:rsidRPr="00E1708A">
        <w:rPr>
          <w:rStyle w:val="TextoNormalCursivaCaracter"/>
        </w:rPr>
        <w:t xml:space="preserve">    Respetado, </w:t>
      </w:r>
      <w:r w:rsidRPr="00E1708A">
        <w:rPr>
          <w:rStyle w:val="TextoNormalCaracter"/>
        </w:rPr>
        <w:t xml:space="preserve">Sentencias </w:t>
      </w:r>
      <w:hyperlink w:anchor="SENTENCIA_2023_84" w:history="1">
        <w:r w:rsidRPr="00E1708A">
          <w:rPr>
            <w:rStyle w:val="TextoNormalCaracter"/>
          </w:rPr>
          <w:t>84/2023</w:t>
        </w:r>
      </w:hyperlink>
      <w:r w:rsidRPr="00E1708A">
        <w:rPr>
          <w:rStyle w:val="TextoNormalCaracter"/>
        </w:rPr>
        <w:t xml:space="preserve">, ff. 2 a 4; </w:t>
      </w:r>
      <w:hyperlink w:anchor="SENTENCIA_2023_88" w:history="1">
        <w:r w:rsidRPr="00E1708A">
          <w:rPr>
            <w:rStyle w:val="TextoNormalCaracter"/>
          </w:rPr>
          <w:t>88/2023</w:t>
        </w:r>
      </w:hyperlink>
      <w:r w:rsidRPr="00E1708A">
        <w:rPr>
          <w:rStyle w:val="TextoNormalCaracter"/>
        </w:rPr>
        <w:t>, ff. 4 y 5.</w:t>
      </w:r>
    </w:p>
    <w:p w14:paraId="0F8D6387" w14:textId="68D04D34" w:rsidR="00E1708A" w:rsidRPr="00E1708A" w:rsidRDefault="00E1708A" w:rsidP="00E1708A">
      <w:pPr>
        <w:pStyle w:val="TextoNormalSangraFrancesa"/>
        <w:rPr>
          <w:rStyle w:val="TextoNormalCaracter"/>
        </w:rPr>
      </w:pPr>
      <w:bookmarkStart w:id="1056" w:name="DESCRIPTORALFABETICO86"/>
      <w:r w:rsidRPr="00E1708A">
        <w:rPr>
          <w:rStyle w:val="TextoNormalNegritaCaracter"/>
        </w:rPr>
        <w:t>Derecho a participar en los asuntos públicos</w:t>
      </w:r>
      <w:bookmarkEnd w:id="1056"/>
      <w:r w:rsidRPr="00E1708A">
        <w:rPr>
          <w:rStyle w:val="TextoNormalCaracter"/>
        </w:rPr>
        <w:t xml:space="preserve">, Sentencias </w:t>
      </w:r>
      <w:hyperlink w:anchor="SENTENCIA_2023_116" w:history="1">
        <w:r w:rsidRPr="00E1708A">
          <w:rPr>
            <w:rStyle w:val="TextoNormalCaracter"/>
          </w:rPr>
          <w:t>116/2023</w:t>
        </w:r>
      </w:hyperlink>
      <w:r w:rsidRPr="00E1708A">
        <w:rPr>
          <w:rStyle w:val="TextoNormalCaracter"/>
        </w:rPr>
        <w:t xml:space="preserve">, ff. 1 a 4; </w:t>
      </w:r>
      <w:hyperlink w:anchor="SENTENCIA_2023_128" w:history="1">
        <w:r w:rsidRPr="00E1708A">
          <w:rPr>
            <w:rStyle w:val="TextoNormalCaracter"/>
          </w:rPr>
          <w:t>128/2023</w:t>
        </w:r>
      </w:hyperlink>
      <w:r w:rsidRPr="00E1708A">
        <w:rPr>
          <w:rStyle w:val="TextoNormalCaracter"/>
        </w:rPr>
        <w:t>, ff. 1 a 5, VP.</w:t>
      </w:r>
    </w:p>
    <w:p w14:paraId="0C0CC26D" w14:textId="5B21F2E7" w:rsidR="00E1708A" w:rsidRPr="00E1708A" w:rsidRDefault="00E1708A" w:rsidP="00E1708A">
      <w:pPr>
        <w:pStyle w:val="TextoNormalSangraFrancesa"/>
        <w:rPr>
          <w:rStyle w:val="TextoNormalCaracter"/>
        </w:rPr>
      </w:pPr>
      <w:r w:rsidRPr="00E1708A">
        <w:rPr>
          <w:rStyle w:val="TextoNormalCursivaCaracter"/>
        </w:rPr>
        <w:t xml:space="preserve">    Respetado, </w:t>
      </w:r>
      <w:r w:rsidRPr="00E1708A">
        <w:rPr>
          <w:rStyle w:val="TextoNormalCaracter"/>
        </w:rPr>
        <w:t xml:space="preserve">Sentencias </w:t>
      </w:r>
      <w:hyperlink w:anchor="SENTENCIA_2023_132" w:history="1">
        <w:r w:rsidRPr="00E1708A">
          <w:rPr>
            <w:rStyle w:val="TextoNormalCaracter"/>
          </w:rPr>
          <w:t>132/2023</w:t>
        </w:r>
      </w:hyperlink>
      <w:r w:rsidRPr="00E1708A">
        <w:rPr>
          <w:rStyle w:val="TextoNormalCaracter"/>
        </w:rPr>
        <w:t xml:space="preserve">, ff. 1 y 2; </w:t>
      </w:r>
      <w:hyperlink w:anchor="SENTENCIA_2023_165" w:history="1">
        <w:r w:rsidRPr="00E1708A">
          <w:rPr>
            <w:rStyle w:val="TextoNormalCaracter"/>
          </w:rPr>
          <w:t>165/2023</w:t>
        </w:r>
      </w:hyperlink>
      <w:r w:rsidRPr="00E1708A">
        <w:rPr>
          <w:rStyle w:val="TextoNormalCaracter"/>
        </w:rPr>
        <w:t>, f. 3.</w:t>
      </w:r>
    </w:p>
    <w:p w14:paraId="272FE50E" w14:textId="7B0EDA65" w:rsidR="00E1708A" w:rsidRPr="00E1708A" w:rsidRDefault="00E1708A" w:rsidP="00E1708A">
      <w:pPr>
        <w:pStyle w:val="TextoNormalSangraFrancesa"/>
        <w:rPr>
          <w:rStyle w:val="TextoNormalCaracter"/>
        </w:rPr>
      </w:pPr>
      <w:r w:rsidRPr="00E1708A">
        <w:rPr>
          <w:rStyle w:val="TextoNormalCursivaCaracter"/>
        </w:rPr>
        <w:t xml:space="preserve">    Vulnerado, </w:t>
      </w:r>
      <w:r w:rsidRPr="00E1708A">
        <w:rPr>
          <w:rStyle w:val="TextoNormalCaracter"/>
        </w:rPr>
        <w:t xml:space="preserve">Sentencias </w:t>
      </w:r>
      <w:hyperlink w:anchor="SENTENCIA_2023_93" w:history="1">
        <w:r w:rsidRPr="00E1708A">
          <w:rPr>
            <w:rStyle w:val="TextoNormalCaracter"/>
          </w:rPr>
          <w:t>93/2023</w:t>
        </w:r>
      </w:hyperlink>
      <w:r w:rsidRPr="00E1708A">
        <w:rPr>
          <w:rStyle w:val="TextoNormalCaracter"/>
        </w:rPr>
        <w:t xml:space="preserve">, ff. 2 a 4; </w:t>
      </w:r>
      <w:hyperlink w:anchor="SENTENCIA_2023_167" w:history="1">
        <w:r w:rsidRPr="00E1708A">
          <w:rPr>
            <w:rStyle w:val="TextoNormalCaracter"/>
          </w:rPr>
          <w:t>167/2023</w:t>
        </w:r>
      </w:hyperlink>
      <w:r w:rsidRPr="00E1708A">
        <w:rPr>
          <w:rStyle w:val="TextoNormalCaracter"/>
        </w:rPr>
        <w:t>, ff. 4, 8, 11.</w:t>
      </w:r>
    </w:p>
    <w:p w14:paraId="1E6BF866" w14:textId="38A51D52" w:rsidR="00E1708A" w:rsidRPr="00E1708A" w:rsidRDefault="00E1708A" w:rsidP="00E1708A">
      <w:pPr>
        <w:pStyle w:val="TextoNormalSangraFrancesa"/>
        <w:rPr>
          <w:rStyle w:val="TextoNormalCaracter"/>
        </w:rPr>
      </w:pPr>
      <w:bookmarkStart w:id="1057" w:name="DESCRIPTORALFABETICO223"/>
      <w:r w:rsidRPr="00E1708A">
        <w:rPr>
          <w:rStyle w:val="TextoNormalNegritaCaracter"/>
        </w:rPr>
        <w:t>Derecho a presentar enmiendas</w:t>
      </w:r>
      <w:bookmarkEnd w:id="1057"/>
      <w:r w:rsidRPr="00E1708A">
        <w:rPr>
          <w:rStyle w:val="TextoNormalCaracter"/>
        </w:rPr>
        <w:t xml:space="preserve">, Sentencia </w:t>
      </w:r>
      <w:hyperlink w:anchor="SENTENCIA_2023_149" w:history="1">
        <w:r w:rsidRPr="00E1708A">
          <w:rPr>
            <w:rStyle w:val="TextoNormalCaracter"/>
          </w:rPr>
          <w:t>149/2023</w:t>
        </w:r>
      </w:hyperlink>
      <w:r w:rsidRPr="00E1708A">
        <w:rPr>
          <w:rStyle w:val="TextoNormalCaracter"/>
        </w:rPr>
        <w:t>, f. 2, VP.</w:t>
      </w:r>
    </w:p>
    <w:p w14:paraId="6A9619B5" w14:textId="77777777" w:rsidR="00E1708A" w:rsidRPr="00E1708A" w:rsidRDefault="00E1708A" w:rsidP="00E1708A">
      <w:pPr>
        <w:pStyle w:val="TextoNormalSangraFrancesa"/>
        <w:rPr>
          <w:rStyle w:val="TextoNormalCaracter"/>
        </w:rPr>
      </w:pPr>
      <w:bookmarkStart w:id="1058" w:name="DESCRIPTORALFABETICO92"/>
      <w:r w:rsidRPr="00E1708A">
        <w:rPr>
          <w:rStyle w:val="TextoNormalNegritaCaracter"/>
        </w:rPr>
        <w:t>Derecho a un juez imparcial</w:t>
      </w:r>
      <w:bookmarkEnd w:id="1058"/>
      <w:r w:rsidRPr="00E1708A">
        <w:rPr>
          <w:rStyle w:val="TextoNormalCaracter"/>
        </w:rPr>
        <w:t xml:space="preserve">, </w:t>
      </w:r>
    </w:p>
    <w:p w14:paraId="6B667B5D" w14:textId="11257129" w:rsidR="00E1708A" w:rsidRPr="00E1708A" w:rsidRDefault="00E1708A" w:rsidP="00E1708A">
      <w:pPr>
        <w:pStyle w:val="TextoNormalSangraFrancesa"/>
        <w:rPr>
          <w:rStyle w:val="TextoNormalCaracter"/>
        </w:rPr>
      </w:pPr>
      <w:r w:rsidRPr="00E1708A">
        <w:rPr>
          <w:rStyle w:val="TextoNormalCursivaCaracter"/>
        </w:rPr>
        <w:t xml:space="preserve">    Respetado, </w:t>
      </w:r>
      <w:r w:rsidRPr="00E1708A">
        <w:rPr>
          <w:rStyle w:val="TextoNormalCaracter"/>
        </w:rPr>
        <w:t xml:space="preserve">Sentencias </w:t>
      </w:r>
      <w:hyperlink w:anchor="SENTENCIA_2023_92" w:history="1">
        <w:r w:rsidRPr="00E1708A">
          <w:rPr>
            <w:rStyle w:val="TextoNormalCaracter"/>
          </w:rPr>
          <w:t>92/2023</w:t>
        </w:r>
      </w:hyperlink>
      <w:r w:rsidRPr="00E1708A">
        <w:rPr>
          <w:rStyle w:val="TextoNormalCaracter"/>
        </w:rPr>
        <w:t xml:space="preserve">, ff. 4 y 5; </w:t>
      </w:r>
      <w:hyperlink w:anchor="SENTENCIA_2023_181" w:history="1">
        <w:r w:rsidRPr="00E1708A">
          <w:rPr>
            <w:rStyle w:val="TextoNormalCaracter"/>
          </w:rPr>
          <w:t>181/2023</w:t>
        </w:r>
      </w:hyperlink>
      <w:r w:rsidRPr="00E1708A">
        <w:rPr>
          <w:rStyle w:val="TextoNormalCaracter"/>
        </w:rPr>
        <w:t>, ff. 2 y 3.</w:t>
      </w:r>
    </w:p>
    <w:p w14:paraId="25CA06D4" w14:textId="7F635B84" w:rsidR="00E1708A" w:rsidRPr="00E1708A" w:rsidRDefault="00E1708A" w:rsidP="00E1708A">
      <w:pPr>
        <w:pStyle w:val="TextoNormalSangraFrancesa"/>
        <w:rPr>
          <w:rStyle w:val="TextoNormalCaracter"/>
        </w:rPr>
      </w:pPr>
      <w:bookmarkStart w:id="1059" w:name="DESCRIPTORALFABETICO89"/>
      <w:r w:rsidRPr="00E1708A">
        <w:rPr>
          <w:rStyle w:val="TextoNormalNegritaCaracter"/>
        </w:rPr>
        <w:t>Derecho a un proceso con todas las garantías</w:t>
      </w:r>
      <w:bookmarkEnd w:id="1059"/>
      <w:r w:rsidRPr="00E1708A">
        <w:rPr>
          <w:rStyle w:val="TextoNormalCaracter"/>
        </w:rPr>
        <w:t xml:space="preserve">, Sentencia </w:t>
      </w:r>
      <w:hyperlink w:anchor="SENTENCIA_2023_150" w:history="1">
        <w:r w:rsidRPr="00E1708A">
          <w:rPr>
            <w:rStyle w:val="TextoNormalCaracter"/>
          </w:rPr>
          <w:t>150/2023</w:t>
        </w:r>
      </w:hyperlink>
      <w:r w:rsidRPr="00E1708A">
        <w:rPr>
          <w:rStyle w:val="TextoNormalCaracter"/>
        </w:rPr>
        <w:t>, ff. 2 y 3.</w:t>
      </w:r>
    </w:p>
    <w:p w14:paraId="7185DC57" w14:textId="607A8948" w:rsidR="00E1708A" w:rsidRPr="00E1708A" w:rsidRDefault="00E1708A" w:rsidP="00E1708A">
      <w:pPr>
        <w:pStyle w:val="TextoNormalSangraFrancesa"/>
        <w:rPr>
          <w:rStyle w:val="TextoNormalCaracter"/>
        </w:rPr>
      </w:pPr>
      <w:r w:rsidRPr="00E1708A">
        <w:rPr>
          <w:rStyle w:val="TextoNormalCursivaCaracter"/>
        </w:rPr>
        <w:t xml:space="preserve">    Respetado, </w:t>
      </w:r>
      <w:r w:rsidRPr="00E1708A">
        <w:rPr>
          <w:rStyle w:val="TextoNormalCaracter"/>
        </w:rPr>
        <w:t xml:space="preserve">Sentencias </w:t>
      </w:r>
      <w:hyperlink w:anchor="SENTENCIA_2023_131" w:history="1">
        <w:r w:rsidRPr="00E1708A">
          <w:rPr>
            <w:rStyle w:val="TextoNormalCaracter"/>
          </w:rPr>
          <w:t>131/2023</w:t>
        </w:r>
      </w:hyperlink>
      <w:r w:rsidRPr="00E1708A">
        <w:rPr>
          <w:rStyle w:val="TextoNormalCaracter"/>
        </w:rPr>
        <w:t xml:space="preserve">, ff. 2 y 4; </w:t>
      </w:r>
      <w:hyperlink w:anchor="SENTENCIA_2023_148" w:history="1">
        <w:r w:rsidRPr="00E1708A">
          <w:rPr>
            <w:rStyle w:val="TextoNormalCaracter"/>
          </w:rPr>
          <w:t>148/2023</w:t>
        </w:r>
      </w:hyperlink>
      <w:r w:rsidRPr="00E1708A">
        <w:rPr>
          <w:rStyle w:val="TextoNormalCaracter"/>
        </w:rPr>
        <w:t xml:space="preserve">, f. 3; </w:t>
      </w:r>
      <w:hyperlink w:anchor="SENTENCIA_2023_181" w:history="1">
        <w:r w:rsidRPr="00E1708A">
          <w:rPr>
            <w:rStyle w:val="TextoNormalCaracter"/>
          </w:rPr>
          <w:t>181/2023</w:t>
        </w:r>
      </w:hyperlink>
      <w:r w:rsidRPr="00E1708A">
        <w:rPr>
          <w:rStyle w:val="TextoNormalCaracter"/>
        </w:rPr>
        <w:t>, ff. 2 y 3.</w:t>
      </w:r>
    </w:p>
    <w:p w14:paraId="017A9D07" w14:textId="77777777" w:rsidR="00E1708A" w:rsidRPr="00E1708A" w:rsidRDefault="00E1708A" w:rsidP="00E1708A">
      <w:pPr>
        <w:pStyle w:val="TextoNormalSangraFrancesa"/>
        <w:rPr>
          <w:rStyle w:val="TextoNormalCaracter"/>
        </w:rPr>
      </w:pPr>
      <w:bookmarkStart w:id="1060" w:name="DESCRIPTORALFABETICO93"/>
      <w:r w:rsidRPr="00E1708A">
        <w:rPr>
          <w:rStyle w:val="TextoNormalNegritaCaracter"/>
        </w:rPr>
        <w:t>Derecho a utilizar medios de prueba</w:t>
      </w:r>
      <w:bookmarkEnd w:id="1060"/>
      <w:r w:rsidRPr="00E1708A">
        <w:rPr>
          <w:rStyle w:val="TextoNormalCaracter"/>
        </w:rPr>
        <w:t xml:space="preserve">, </w:t>
      </w:r>
    </w:p>
    <w:p w14:paraId="667B1311" w14:textId="3FC12765" w:rsidR="00E1708A" w:rsidRPr="00E1708A" w:rsidRDefault="00E1708A" w:rsidP="00E1708A">
      <w:pPr>
        <w:pStyle w:val="TextoNormalSangraFrancesa"/>
        <w:rPr>
          <w:rStyle w:val="TextoNormalCaracter"/>
        </w:rPr>
      </w:pPr>
      <w:r w:rsidRPr="00E1708A">
        <w:rPr>
          <w:rStyle w:val="TextoNormalCursivaCaracter"/>
        </w:rPr>
        <w:t xml:space="preserve">    Respetado, </w:t>
      </w:r>
      <w:r w:rsidRPr="00E1708A">
        <w:rPr>
          <w:rStyle w:val="TextoNormalCaracter"/>
        </w:rPr>
        <w:t xml:space="preserve">Sentencia </w:t>
      </w:r>
      <w:hyperlink w:anchor="SENTENCIA_2023_131" w:history="1">
        <w:r w:rsidRPr="00E1708A">
          <w:rPr>
            <w:rStyle w:val="TextoNormalCaracter"/>
          </w:rPr>
          <w:t>131/2023</w:t>
        </w:r>
      </w:hyperlink>
      <w:r w:rsidRPr="00E1708A">
        <w:rPr>
          <w:rStyle w:val="TextoNormalCaracter"/>
        </w:rPr>
        <w:t>, ff. 2 y 4.</w:t>
      </w:r>
    </w:p>
    <w:p w14:paraId="634B91B2" w14:textId="3852A96E" w:rsidR="00E1708A" w:rsidRPr="00E1708A" w:rsidRDefault="00E1708A" w:rsidP="00E1708A">
      <w:pPr>
        <w:pStyle w:val="TextoNormalSangraFrancesa"/>
        <w:rPr>
          <w:rStyle w:val="TextoNormalCaracter"/>
        </w:rPr>
      </w:pPr>
      <w:bookmarkStart w:id="1061" w:name="DESCRIPTORALFABETICO96"/>
      <w:r w:rsidRPr="00E1708A">
        <w:rPr>
          <w:rStyle w:val="TextoNormalNegritaCaracter"/>
        </w:rPr>
        <w:t>Derecho al honor</w:t>
      </w:r>
      <w:bookmarkEnd w:id="1061"/>
      <w:r w:rsidRPr="00E1708A">
        <w:rPr>
          <w:rStyle w:val="TextoNormalCaracter"/>
        </w:rPr>
        <w:t xml:space="preserve">, Sentencia </w:t>
      </w:r>
      <w:hyperlink w:anchor="SENTENCIA_2023_83" w:history="1">
        <w:r w:rsidRPr="00E1708A">
          <w:rPr>
            <w:rStyle w:val="TextoNormalCaracter"/>
          </w:rPr>
          <w:t>83/2023</w:t>
        </w:r>
      </w:hyperlink>
      <w:r w:rsidRPr="00E1708A">
        <w:rPr>
          <w:rStyle w:val="TextoNormalCaracter"/>
        </w:rPr>
        <w:t>, ff. 4 a 6, VP I, VP II.</w:t>
      </w:r>
    </w:p>
    <w:p w14:paraId="4B4CCD9D" w14:textId="55B6D21B" w:rsidR="00E1708A" w:rsidRPr="00E1708A" w:rsidRDefault="00E1708A" w:rsidP="00E1708A">
      <w:pPr>
        <w:pStyle w:val="TextoNormalSangraFrancesa"/>
        <w:rPr>
          <w:rStyle w:val="TextoNormalCaracter"/>
        </w:rPr>
      </w:pPr>
      <w:bookmarkStart w:id="1062" w:name="DESCRIPTORALFABETICO97"/>
      <w:r w:rsidRPr="00E1708A">
        <w:rPr>
          <w:rStyle w:val="TextoNormalNegritaCaracter"/>
        </w:rPr>
        <w:t>Derecho al libre desarrollo de la personalidad</w:t>
      </w:r>
      <w:bookmarkEnd w:id="1062"/>
      <w:r w:rsidRPr="00E1708A">
        <w:rPr>
          <w:rStyle w:val="TextoNormalCaracter"/>
        </w:rPr>
        <w:t xml:space="preserve">, Sentencias </w:t>
      </w:r>
      <w:hyperlink w:anchor="SENTENCIA_2023_78" w:history="1">
        <w:r w:rsidRPr="00E1708A">
          <w:rPr>
            <w:rStyle w:val="TextoNormalCaracter"/>
          </w:rPr>
          <w:t>78/2023</w:t>
        </w:r>
      </w:hyperlink>
      <w:r w:rsidRPr="00E1708A">
        <w:rPr>
          <w:rStyle w:val="TextoNormalCaracter"/>
        </w:rPr>
        <w:t xml:space="preserve">, ff. 5 a 7, VP I, VP II; </w:t>
      </w:r>
      <w:hyperlink w:anchor="SENTENCIA_2023_94" w:history="1">
        <w:r w:rsidRPr="00E1708A">
          <w:rPr>
            <w:rStyle w:val="TextoNormalCaracter"/>
          </w:rPr>
          <w:t>94/2023</w:t>
        </w:r>
      </w:hyperlink>
      <w:r w:rsidRPr="00E1708A">
        <w:rPr>
          <w:rStyle w:val="TextoNormalCaracter"/>
        </w:rPr>
        <w:t>, f. 3.</w:t>
      </w:r>
    </w:p>
    <w:p w14:paraId="24B96F1F" w14:textId="5D48520D" w:rsidR="00E1708A" w:rsidRPr="00E1708A" w:rsidRDefault="00E1708A" w:rsidP="00E1708A">
      <w:pPr>
        <w:pStyle w:val="TextoNormalSangraFrancesa"/>
        <w:rPr>
          <w:rStyle w:val="TextoNormalCaracter"/>
        </w:rPr>
      </w:pPr>
      <w:bookmarkStart w:id="1063" w:name="DESCRIPTORALFABETICO98"/>
      <w:r w:rsidRPr="00E1708A">
        <w:rPr>
          <w:rStyle w:val="TextoNormalNegritaCaracter"/>
        </w:rPr>
        <w:t>Derecho de acceso a la información</w:t>
      </w:r>
      <w:bookmarkEnd w:id="1063"/>
      <w:r w:rsidRPr="00E1708A">
        <w:rPr>
          <w:rStyle w:val="TextoNormalCaracter"/>
        </w:rPr>
        <w:t xml:space="preserve">, Sentencias </w:t>
      </w:r>
      <w:hyperlink w:anchor="SENTENCIA_2023_78" w:history="1">
        <w:r w:rsidRPr="00E1708A">
          <w:rPr>
            <w:rStyle w:val="TextoNormalCaracter"/>
          </w:rPr>
          <w:t>78/2023</w:t>
        </w:r>
      </w:hyperlink>
      <w:r w:rsidRPr="00E1708A">
        <w:rPr>
          <w:rStyle w:val="TextoNormalCaracter"/>
        </w:rPr>
        <w:t xml:space="preserve">, f. 6 y 7; </w:t>
      </w:r>
      <w:hyperlink w:anchor="SENTENCIA_2023_165" w:history="1">
        <w:r w:rsidRPr="00E1708A">
          <w:rPr>
            <w:rStyle w:val="TextoNormalCaracter"/>
          </w:rPr>
          <w:t>165/2023</w:t>
        </w:r>
      </w:hyperlink>
      <w:r w:rsidRPr="00E1708A">
        <w:rPr>
          <w:rStyle w:val="TextoNormalCaracter"/>
        </w:rPr>
        <w:t>, ff. 4 y VP.</w:t>
      </w:r>
    </w:p>
    <w:p w14:paraId="09934780" w14:textId="5BF0B954" w:rsidR="00E1708A" w:rsidRPr="00E1708A" w:rsidRDefault="00E1708A" w:rsidP="00E1708A">
      <w:pPr>
        <w:pStyle w:val="TextoNormalSangraFrancesa"/>
        <w:rPr>
          <w:rStyle w:val="TextoNormalCaracter"/>
        </w:rPr>
      </w:pPr>
      <w:bookmarkStart w:id="1064" w:name="DESCRIPTORALFABETICO65"/>
      <w:r w:rsidRPr="00E1708A">
        <w:rPr>
          <w:rStyle w:val="TextoNormalNegritaCaracter"/>
        </w:rPr>
        <w:t>Derecho de acceso a la jurisdicción</w:t>
      </w:r>
      <w:bookmarkEnd w:id="1064"/>
      <w:r w:rsidRPr="00E1708A">
        <w:rPr>
          <w:rStyle w:val="TextoNormalCaracter"/>
        </w:rPr>
        <w:t xml:space="preserve">, Sentencia </w:t>
      </w:r>
      <w:hyperlink w:anchor="SENTENCIA_2023_81" w:history="1">
        <w:r w:rsidRPr="00E1708A">
          <w:rPr>
            <w:rStyle w:val="TextoNormalCaracter"/>
          </w:rPr>
          <w:t>81/2023</w:t>
        </w:r>
      </w:hyperlink>
      <w:r w:rsidRPr="00E1708A">
        <w:rPr>
          <w:rStyle w:val="TextoNormalCaracter"/>
        </w:rPr>
        <w:t>, ff. 2 y 3.</w:t>
      </w:r>
    </w:p>
    <w:p w14:paraId="7A14D430" w14:textId="67B673D7" w:rsidR="00E1708A" w:rsidRPr="00E1708A" w:rsidRDefault="00E1708A" w:rsidP="00E1708A">
      <w:pPr>
        <w:pStyle w:val="TextoNormalSangraFrancesa"/>
        <w:rPr>
          <w:rStyle w:val="TextoNormalCaracter"/>
        </w:rPr>
      </w:pPr>
      <w:bookmarkStart w:id="1065" w:name="DESCRIPTORALFABETICO62"/>
      <w:r w:rsidRPr="00E1708A">
        <w:rPr>
          <w:rStyle w:val="TextoNormalNegritaCaracter"/>
        </w:rPr>
        <w:t>Derecho de acceso a las actuaciones durante la detención</w:t>
      </w:r>
      <w:bookmarkEnd w:id="1065"/>
      <w:r w:rsidRPr="00E1708A">
        <w:rPr>
          <w:rStyle w:val="TextoNormalCaracter"/>
        </w:rPr>
        <w:t xml:space="preserve">, Sentencia </w:t>
      </w:r>
      <w:hyperlink w:anchor="SENTENCIA_2023_152" w:history="1">
        <w:r w:rsidRPr="00E1708A">
          <w:rPr>
            <w:rStyle w:val="TextoNormalCaracter"/>
          </w:rPr>
          <w:t>152/2023</w:t>
        </w:r>
      </w:hyperlink>
      <w:r w:rsidRPr="00E1708A">
        <w:rPr>
          <w:rStyle w:val="TextoNormalCaracter"/>
        </w:rPr>
        <w:t>, ff. 2 y 3.</w:t>
      </w:r>
    </w:p>
    <w:p w14:paraId="1B434AF8" w14:textId="1142B189" w:rsidR="00E1708A" w:rsidRPr="00E1708A" w:rsidRDefault="00E1708A" w:rsidP="00E1708A">
      <w:pPr>
        <w:pStyle w:val="TextoNormalSangraFrancesa"/>
        <w:rPr>
          <w:rStyle w:val="TextoNormalCaracter"/>
        </w:rPr>
      </w:pPr>
      <w:bookmarkStart w:id="1066" w:name="DESCRIPTORALFABETICO67"/>
      <w:r w:rsidRPr="00E1708A">
        <w:rPr>
          <w:rStyle w:val="TextoNormalNegritaCaracter"/>
        </w:rPr>
        <w:t>Derecho de acceso a las actuaciones judiciales</w:t>
      </w:r>
      <w:bookmarkEnd w:id="1066"/>
      <w:r w:rsidRPr="00E1708A">
        <w:rPr>
          <w:rStyle w:val="TextoNormalCaracter"/>
        </w:rPr>
        <w:t xml:space="preserve">, Sentencia </w:t>
      </w:r>
      <w:hyperlink w:anchor="SENTENCIA_2023_152" w:history="1">
        <w:r w:rsidRPr="00E1708A">
          <w:rPr>
            <w:rStyle w:val="TextoNormalCaracter"/>
          </w:rPr>
          <w:t>152/2023</w:t>
        </w:r>
      </w:hyperlink>
      <w:r w:rsidRPr="00E1708A">
        <w:rPr>
          <w:rStyle w:val="TextoNormalCaracter"/>
        </w:rPr>
        <w:t>, ff.1 a 3.</w:t>
      </w:r>
    </w:p>
    <w:p w14:paraId="6A6F8175" w14:textId="28DE8A9A" w:rsidR="00E1708A" w:rsidRPr="00E1708A" w:rsidRDefault="00E1708A" w:rsidP="00E1708A">
      <w:pPr>
        <w:pStyle w:val="TextoNormalSangraFrancesa"/>
        <w:rPr>
          <w:rStyle w:val="TextoNormalCaracter"/>
        </w:rPr>
      </w:pPr>
      <w:bookmarkStart w:id="1067" w:name="DESCRIPTORALFABETICO68"/>
      <w:r w:rsidRPr="00E1708A">
        <w:rPr>
          <w:rStyle w:val="TextoNormalNegritaCaracter"/>
        </w:rPr>
        <w:t>Derecho de acceso al recurso legal</w:t>
      </w:r>
      <w:bookmarkEnd w:id="1067"/>
      <w:r w:rsidRPr="00E1708A">
        <w:rPr>
          <w:rStyle w:val="TextoNormalCaracter"/>
        </w:rPr>
        <w:t xml:space="preserve">, Sentencia </w:t>
      </w:r>
      <w:hyperlink w:anchor="SENTENCIA_2023_134" w:history="1">
        <w:r w:rsidRPr="00E1708A">
          <w:rPr>
            <w:rStyle w:val="TextoNormalCaracter"/>
          </w:rPr>
          <w:t>134/2023</w:t>
        </w:r>
      </w:hyperlink>
      <w:r w:rsidRPr="00E1708A">
        <w:rPr>
          <w:rStyle w:val="TextoNormalCaracter"/>
        </w:rPr>
        <w:t>, f. 3.</w:t>
      </w:r>
    </w:p>
    <w:p w14:paraId="2B283F5A" w14:textId="513F800C" w:rsidR="00E1708A" w:rsidRPr="00E1708A" w:rsidRDefault="00E1708A" w:rsidP="00E1708A">
      <w:pPr>
        <w:pStyle w:val="TextoNormalSangraFrancesa"/>
        <w:rPr>
          <w:rStyle w:val="TextoNormalCaracter"/>
        </w:rPr>
      </w:pPr>
      <w:r w:rsidRPr="00E1708A">
        <w:rPr>
          <w:rStyle w:val="TextoNormalCursivaCaracter"/>
        </w:rPr>
        <w:t xml:space="preserve">    Vulnerado, </w:t>
      </w:r>
      <w:r w:rsidRPr="00E1708A">
        <w:rPr>
          <w:rStyle w:val="TextoNormalCaracter"/>
        </w:rPr>
        <w:t xml:space="preserve">Sentencia </w:t>
      </w:r>
      <w:hyperlink w:anchor="SENTENCIA_2023_153" w:history="1">
        <w:r w:rsidRPr="00E1708A">
          <w:rPr>
            <w:rStyle w:val="TextoNormalCaracter"/>
          </w:rPr>
          <w:t>153/2023</w:t>
        </w:r>
      </w:hyperlink>
      <w:r w:rsidRPr="00E1708A">
        <w:rPr>
          <w:rStyle w:val="TextoNormalCaracter"/>
        </w:rPr>
        <w:t>, f. 4.</w:t>
      </w:r>
    </w:p>
    <w:p w14:paraId="069EA954" w14:textId="77777777" w:rsidR="00E1708A" w:rsidRPr="00E1708A" w:rsidRDefault="00E1708A" w:rsidP="00E1708A">
      <w:pPr>
        <w:pStyle w:val="TextoNormalSangraFrancesa"/>
        <w:rPr>
          <w:rStyle w:val="TextoNormalCaracter"/>
        </w:rPr>
      </w:pPr>
      <w:bookmarkStart w:id="1068" w:name="DESCRIPTORALFABETICO99"/>
      <w:r w:rsidRPr="00E1708A">
        <w:rPr>
          <w:rStyle w:val="TextoNormalNegritaCaracter"/>
        </w:rPr>
        <w:t>Derecho de asociación</w:t>
      </w:r>
      <w:bookmarkEnd w:id="1068"/>
      <w:r w:rsidRPr="00E1708A">
        <w:rPr>
          <w:rStyle w:val="TextoNormalCaracter"/>
        </w:rPr>
        <w:t xml:space="preserve">, </w:t>
      </w:r>
    </w:p>
    <w:p w14:paraId="3CACC6EE" w14:textId="40F7E9B3" w:rsidR="00E1708A" w:rsidRPr="00E1708A" w:rsidRDefault="00E1708A" w:rsidP="00E1708A">
      <w:pPr>
        <w:pStyle w:val="TextoNormalSangraFrancesa"/>
        <w:rPr>
          <w:rStyle w:val="TextoNormalCaracter"/>
        </w:rPr>
      </w:pPr>
      <w:r w:rsidRPr="00E1708A">
        <w:rPr>
          <w:rStyle w:val="TextoNormalCursivaCaracter"/>
        </w:rPr>
        <w:t xml:space="preserve">    Respetado, </w:t>
      </w:r>
      <w:r w:rsidRPr="00E1708A">
        <w:rPr>
          <w:rStyle w:val="TextoNormalCaracter"/>
        </w:rPr>
        <w:t xml:space="preserve">Sentencia </w:t>
      </w:r>
      <w:hyperlink w:anchor="SENTENCIA_2023_129" w:history="1">
        <w:r w:rsidRPr="00E1708A">
          <w:rPr>
            <w:rStyle w:val="TextoNormalCaracter"/>
          </w:rPr>
          <w:t>129/2023</w:t>
        </w:r>
      </w:hyperlink>
      <w:r w:rsidRPr="00E1708A">
        <w:rPr>
          <w:rStyle w:val="TextoNormalCaracter"/>
        </w:rPr>
        <w:t>, f. 4.</w:t>
      </w:r>
    </w:p>
    <w:p w14:paraId="1B4DE339" w14:textId="4C806932" w:rsidR="00E1708A" w:rsidRPr="00E1708A" w:rsidRDefault="00E1708A" w:rsidP="00E1708A">
      <w:pPr>
        <w:pStyle w:val="TextoNormalSangraFrancesa"/>
        <w:rPr>
          <w:rStyle w:val="TextoNormalCaracter"/>
        </w:rPr>
      </w:pPr>
      <w:bookmarkStart w:id="1069" w:name="DESCRIPTORALFABETICO325"/>
      <w:r w:rsidRPr="00E1708A">
        <w:rPr>
          <w:rStyle w:val="TextoNormalNegritaCaracter"/>
        </w:rPr>
        <w:t>Derecho de guarda y custodia</w:t>
      </w:r>
      <w:bookmarkEnd w:id="1069"/>
      <w:r w:rsidRPr="00E1708A">
        <w:rPr>
          <w:rStyle w:val="TextoNormalCaracter"/>
        </w:rPr>
        <w:t xml:space="preserve">, Sentencia </w:t>
      </w:r>
      <w:hyperlink w:anchor="SENTENCIA_2023_137" w:history="1">
        <w:r w:rsidRPr="00E1708A">
          <w:rPr>
            <w:rStyle w:val="TextoNormalCaracter"/>
          </w:rPr>
          <w:t>137/2023</w:t>
        </w:r>
      </w:hyperlink>
      <w:r w:rsidRPr="00E1708A">
        <w:rPr>
          <w:rStyle w:val="TextoNormalCaracter"/>
        </w:rPr>
        <w:t>, f.1.</w:t>
      </w:r>
    </w:p>
    <w:p w14:paraId="13F79A5E" w14:textId="2B60FAED" w:rsidR="00E1708A" w:rsidRPr="00E1708A" w:rsidRDefault="00E1708A" w:rsidP="00E1708A">
      <w:pPr>
        <w:pStyle w:val="TextoNormalSangraFrancesa"/>
        <w:rPr>
          <w:rStyle w:val="TextoNormalCaracter"/>
        </w:rPr>
      </w:pPr>
      <w:bookmarkStart w:id="1070" w:name="DESCRIPTORALFABETICO335"/>
      <w:r w:rsidRPr="00E1708A">
        <w:rPr>
          <w:rStyle w:val="TextoNormalNegritaCaracter"/>
        </w:rPr>
        <w:t>Derecho de la Unión Europea no es canon de constitucionalidad autónomo</w:t>
      </w:r>
      <w:bookmarkEnd w:id="1070"/>
      <w:r w:rsidRPr="00E1708A">
        <w:rPr>
          <w:rStyle w:val="TextoNormalCaracter"/>
        </w:rPr>
        <w:t xml:space="preserve">, Sentencia </w:t>
      </w:r>
      <w:hyperlink w:anchor="SENTENCIA_2023_91" w:history="1">
        <w:r w:rsidRPr="00E1708A">
          <w:rPr>
            <w:rStyle w:val="TextoNormalCaracter"/>
          </w:rPr>
          <w:t>91/2023</w:t>
        </w:r>
      </w:hyperlink>
      <w:r w:rsidRPr="00E1708A">
        <w:rPr>
          <w:rStyle w:val="TextoNormalCaracter"/>
        </w:rPr>
        <w:t>, ff. 3 y 4.</w:t>
      </w:r>
    </w:p>
    <w:p w14:paraId="007ED386" w14:textId="240C2287" w:rsidR="00E1708A" w:rsidRPr="00E1708A" w:rsidRDefault="00E1708A" w:rsidP="00E1708A">
      <w:pPr>
        <w:pStyle w:val="TextoNormalSangraFrancesa"/>
        <w:rPr>
          <w:rStyle w:val="TextoNormalCaracter"/>
        </w:rPr>
      </w:pPr>
      <w:bookmarkStart w:id="1071" w:name="DESCRIPTORALFABETICO281"/>
      <w:r w:rsidRPr="00E1708A">
        <w:rPr>
          <w:rStyle w:val="TextoNormalNegritaCaracter"/>
        </w:rPr>
        <w:t>Derecho de opción lingüística</w:t>
      </w:r>
      <w:bookmarkEnd w:id="1071"/>
      <w:r w:rsidRPr="00E1708A">
        <w:rPr>
          <w:rStyle w:val="TextoNormalCaracter"/>
        </w:rPr>
        <w:t xml:space="preserve">, Sentencia </w:t>
      </w:r>
      <w:hyperlink w:anchor="SENTENCIA_2023_85" w:history="1">
        <w:r w:rsidRPr="00E1708A">
          <w:rPr>
            <w:rStyle w:val="TextoNormalCaracter"/>
          </w:rPr>
          <w:t>85/2023</w:t>
        </w:r>
      </w:hyperlink>
      <w:r w:rsidRPr="00E1708A">
        <w:rPr>
          <w:rStyle w:val="TextoNormalCaracter"/>
        </w:rPr>
        <w:t>, ff. 2 a 4.</w:t>
      </w:r>
    </w:p>
    <w:p w14:paraId="1DA19A37" w14:textId="45347097" w:rsidR="00E1708A" w:rsidRPr="00E1708A" w:rsidRDefault="00E1708A" w:rsidP="00E1708A">
      <w:pPr>
        <w:pStyle w:val="TextoNormalSangraFrancesa"/>
        <w:rPr>
          <w:rStyle w:val="TextoNormalCaracter"/>
        </w:rPr>
      </w:pPr>
      <w:bookmarkStart w:id="1072" w:name="DESCRIPTORALFABETICO312"/>
      <w:r w:rsidRPr="00E1708A">
        <w:rPr>
          <w:rStyle w:val="TextoNormalNegritaCaracter"/>
        </w:rPr>
        <w:t>Derecho de propiedad</w:t>
      </w:r>
      <w:bookmarkEnd w:id="1072"/>
      <w:r w:rsidRPr="00E1708A">
        <w:rPr>
          <w:rStyle w:val="TextoNormalCaracter"/>
        </w:rPr>
        <w:t xml:space="preserve">, Sentencia </w:t>
      </w:r>
      <w:hyperlink w:anchor="SENTENCIA_2023_168" w:history="1">
        <w:r w:rsidRPr="00E1708A">
          <w:rPr>
            <w:rStyle w:val="TextoNormalCaracter"/>
          </w:rPr>
          <w:t>168/2023</w:t>
        </w:r>
      </w:hyperlink>
      <w:r w:rsidRPr="00E1708A">
        <w:rPr>
          <w:rStyle w:val="TextoNormalCaracter"/>
        </w:rPr>
        <w:t>, f. 4.</w:t>
      </w:r>
    </w:p>
    <w:p w14:paraId="2CA3EB1B" w14:textId="77777777" w:rsidR="00E1708A" w:rsidRPr="00E1708A" w:rsidRDefault="00E1708A" w:rsidP="00E1708A">
      <w:pPr>
        <w:pStyle w:val="TextoNormalSangraFrancesa"/>
        <w:rPr>
          <w:rStyle w:val="TextoNormalCaracter"/>
        </w:rPr>
      </w:pPr>
      <w:bookmarkStart w:id="1073" w:name="DESCRIPTORALFABETICO49"/>
      <w:r w:rsidRPr="00E1708A">
        <w:rPr>
          <w:rStyle w:val="TextoNormalNegritaCaracter"/>
        </w:rPr>
        <w:t>Derecho de representación política</w:t>
      </w:r>
      <w:bookmarkEnd w:id="1073"/>
      <w:r w:rsidRPr="00E1708A">
        <w:rPr>
          <w:rStyle w:val="TextoNormalCaracter"/>
        </w:rPr>
        <w:t xml:space="preserve">, </w:t>
      </w:r>
    </w:p>
    <w:p w14:paraId="703E6406" w14:textId="3D11D0D0" w:rsidR="00E1708A" w:rsidRPr="00E1708A" w:rsidRDefault="00E1708A" w:rsidP="00E1708A">
      <w:pPr>
        <w:pStyle w:val="TextoNormalSangraFrancesa"/>
        <w:rPr>
          <w:rStyle w:val="TextoNormalCaracter"/>
        </w:rPr>
      </w:pPr>
      <w:r w:rsidRPr="00E1708A">
        <w:rPr>
          <w:rStyle w:val="TextoNormalCursivaCaracter"/>
        </w:rPr>
        <w:t xml:space="preserve">    Respetado, </w:t>
      </w:r>
      <w:r w:rsidRPr="00E1708A">
        <w:rPr>
          <w:rStyle w:val="TextoNormalCaracter"/>
        </w:rPr>
        <w:t xml:space="preserve">Sentencias </w:t>
      </w:r>
      <w:hyperlink w:anchor="SENTENCIA_2023_125" w:history="1">
        <w:r w:rsidRPr="00E1708A">
          <w:rPr>
            <w:rStyle w:val="TextoNormalCaracter"/>
          </w:rPr>
          <w:t>125/2023</w:t>
        </w:r>
      </w:hyperlink>
      <w:r w:rsidRPr="00E1708A">
        <w:rPr>
          <w:rStyle w:val="TextoNormalCaracter"/>
        </w:rPr>
        <w:t xml:space="preserve">, f. 2; </w:t>
      </w:r>
      <w:hyperlink w:anchor="SENTENCIA_2023_133" w:history="1">
        <w:r w:rsidRPr="00E1708A">
          <w:rPr>
            <w:rStyle w:val="TextoNormalCaracter"/>
          </w:rPr>
          <w:t>133/2023</w:t>
        </w:r>
      </w:hyperlink>
      <w:r w:rsidRPr="00E1708A">
        <w:rPr>
          <w:rStyle w:val="TextoNormalCaracter"/>
        </w:rPr>
        <w:t xml:space="preserve">, f.3; </w:t>
      </w:r>
      <w:hyperlink w:anchor="SENTENCIA_2023_135" w:history="1">
        <w:r w:rsidRPr="00E1708A">
          <w:rPr>
            <w:rStyle w:val="TextoNormalCaracter"/>
          </w:rPr>
          <w:t>135/2023</w:t>
        </w:r>
      </w:hyperlink>
      <w:r w:rsidRPr="00E1708A">
        <w:rPr>
          <w:rStyle w:val="TextoNormalCaracter"/>
        </w:rPr>
        <w:t xml:space="preserve">, f. 2; </w:t>
      </w:r>
      <w:hyperlink w:anchor="SENTENCIA_2023_139" w:history="1">
        <w:r w:rsidRPr="00E1708A">
          <w:rPr>
            <w:rStyle w:val="TextoNormalCaracter"/>
          </w:rPr>
          <w:t>139/2023</w:t>
        </w:r>
      </w:hyperlink>
      <w:r w:rsidRPr="00E1708A">
        <w:rPr>
          <w:rStyle w:val="TextoNormalCaracter"/>
        </w:rPr>
        <w:t xml:space="preserve">, f. 3; </w:t>
      </w:r>
      <w:hyperlink w:anchor="SENTENCIA_2023_140" w:history="1">
        <w:r w:rsidRPr="00E1708A">
          <w:rPr>
            <w:rStyle w:val="TextoNormalCaracter"/>
          </w:rPr>
          <w:t>140/2023</w:t>
        </w:r>
      </w:hyperlink>
      <w:r w:rsidRPr="00E1708A">
        <w:rPr>
          <w:rStyle w:val="TextoNormalCaracter"/>
        </w:rPr>
        <w:t xml:space="preserve">, f. 3; </w:t>
      </w:r>
      <w:hyperlink w:anchor="SENTENCIA_2023_141" w:history="1">
        <w:r w:rsidRPr="00E1708A">
          <w:rPr>
            <w:rStyle w:val="TextoNormalCaracter"/>
          </w:rPr>
          <w:t>141/2023</w:t>
        </w:r>
      </w:hyperlink>
      <w:r w:rsidRPr="00E1708A">
        <w:rPr>
          <w:rStyle w:val="TextoNormalCaracter"/>
        </w:rPr>
        <w:t xml:space="preserve">, f. 3; </w:t>
      </w:r>
      <w:hyperlink w:anchor="SENTENCIA_2023_142" w:history="1">
        <w:r w:rsidRPr="00E1708A">
          <w:rPr>
            <w:rStyle w:val="TextoNormalCaracter"/>
          </w:rPr>
          <w:t>142/2023</w:t>
        </w:r>
      </w:hyperlink>
      <w:r w:rsidRPr="00E1708A">
        <w:rPr>
          <w:rStyle w:val="TextoNormalCaracter"/>
        </w:rPr>
        <w:t>, f. 3.</w:t>
      </w:r>
    </w:p>
    <w:p w14:paraId="368F784F" w14:textId="5A51EE65" w:rsidR="00E1708A" w:rsidRPr="00E1708A" w:rsidRDefault="00E1708A" w:rsidP="00E1708A">
      <w:pPr>
        <w:pStyle w:val="TextoNormalSangraFrancesa"/>
        <w:rPr>
          <w:rStyle w:val="TextoNormalCaracter"/>
        </w:rPr>
      </w:pPr>
      <w:r w:rsidRPr="00E1708A">
        <w:rPr>
          <w:rStyle w:val="TextoNormalCursivaCaracter"/>
        </w:rPr>
        <w:t xml:space="preserve">    Vulnerado, </w:t>
      </w:r>
      <w:r w:rsidRPr="00E1708A">
        <w:rPr>
          <w:rStyle w:val="TextoNormalCaracter"/>
        </w:rPr>
        <w:t xml:space="preserve">Sentencia </w:t>
      </w:r>
      <w:hyperlink w:anchor="SENTENCIA_2023_93" w:history="1">
        <w:r w:rsidRPr="00E1708A">
          <w:rPr>
            <w:rStyle w:val="TextoNormalCaracter"/>
          </w:rPr>
          <w:t>93/2023</w:t>
        </w:r>
      </w:hyperlink>
      <w:r w:rsidRPr="00E1708A">
        <w:rPr>
          <w:rStyle w:val="TextoNormalCaracter"/>
        </w:rPr>
        <w:t>, f. 2.</w:t>
      </w:r>
    </w:p>
    <w:p w14:paraId="4F2F1A44" w14:textId="77777777" w:rsidR="00E1708A" w:rsidRPr="00E1708A" w:rsidRDefault="00E1708A" w:rsidP="00E1708A">
      <w:pPr>
        <w:pStyle w:val="TextoNormalSangraFrancesa"/>
        <w:rPr>
          <w:rStyle w:val="TextoNormalCaracter"/>
        </w:rPr>
      </w:pPr>
      <w:bookmarkStart w:id="1074" w:name="DESCRIPTORALFABETICO103"/>
      <w:r w:rsidRPr="00E1708A">
        <w:rPr>
          <w:rStyle w:val="TextoNormalNegritaCaracter"/>
        </w:rPr>
        <w:t>Derecho de reunión</w:t>
      </w:r>
      <w:bookmarkEnd w:id="1074"/>
      <w:r w:rsidRPr="00E1708A">
        <w:rPr>
          <w:rStyle w:val="TextoNormalCaracter"/>
        </w:rPr>
        <w:t xml:space="preserve">, </w:t>
      </w:r>
    </w:p>
    <w:p w14:paraId="235D5F32" w14:textId="7D8BAEBD" w:rsidR="00E1708A" w:rsidRPr="00E1708A" w:rsidRDefault="00E1708A" w:rsidP="00E1708A">
      <w:pPr>
        <w:pStyle w:val="TextoNormalSangraFrancesa"/>
        <w:rPr>
          <w:rStyle w:val="TextoNormalCaracter"/>
        </w:rPr>
      </w:pPr>
      <w:r w:rsidRPr="00E1708A">
        <w:rPr>
          <w:rStyle w:val="TextoNormalCursivaCaracter"/>
        </w:rPr>
        <w:t xml:space="preserve">    Vulnerado, </w:t>
      </w:r>
      <w:r w:rsidRPr="00E1708A">
        <w:rPr>
          <w:rStyle w:val="TextoNormalCaracter"/>
        </w:rPr>
        <w:t xml:space="preserve">Sentencia </w:t>
      </w:r>
      <w:hyperlink w:anchor="SENTENCIA_2023_79" w:history="1">
        <w:r w:rsidRPr="00E1708A">
          <w:rPr>
            <w:rStyle w:val="TextoNormalCaracter"/>
          </w:rPr>
          <w:t>79/2023</w:t>
        </w:r>
      </w:hyperlink>
      <w:r w:rsidRPr="00E1708A">
        <w:rPr>
          <w:rStyle w:val="TextoNormalCaracter"/>
        </w:rPr>
        <w:t>, ff. 3 y 4.</w:t>
      </w:r>
    </w:p>
    <w:p w14:paraId="611D213E" w14:textId="77777777" w:rsidR="00E1708A" w:rsidRPr="00E1708A" w:rsidRDefault="00E1708A" w:rsidP="00E1708A">
      <w:pPr>
        <w:pStyle w:val="TextoNormalSangraFrancesa"/>
        <w:rPr>
          <w:rStyle w:val="TextoNormalCaracter"/>
        </w:rPr>
      </w:pPr>
      <w:bookmarkStart w:id="1075" w:name="DESCRIPTORALFABETICO101"/>
      <w:r w:rsidRPr="00E1708A">
        <w:rPr>
          <w:rStyle w:val="TextoNormalNegritaCaracter"/>
        </w:rPr>
        <w:t>Derecho de reunión y de manifestación</w:t>
      </w:r>
      <w:bookmarkEnd w:id="1075"/>
      <w:r w:rsidRPr="00E1708A">
        <w:rPr>
          <w:rStyle w:val="TextoNormalCaracter"/>
        </w:rPr>
        <w:t xml:space="preserve">, </w:t>
      </w:r>
    </w:p>
    <w:p w14:paraId="0925784C" w14:textId="61483BD3" w:rsidR="00E1708A" w:rsidRPr="00E1708A" w:rsidRDefault="00E1708A" w:rsidP="00E1708A">
      <w:pPr>
        <w:pStyle w:val="TextoNormalSangraFrancesa"/>
        <w:rPr>
          <w:rStyle w:val="TextoNormalCaracter"/>
        </w:rPr>
      </w:pPr>
      <w:r w:rsidRPr="00E1708A">
        <w:rPr>
          <w:rStyle w:val="TextoNormalCursivaCaracter"/>
        </w:rPr>
        <w:t xml:space="preserve">    Doctrina constitucional, </w:t>
      </w:r>
      <w:r w:rsidRPr="00E1708A">
        <w:rPr>
          <w:rStyle w:val="TextoNormalCaracter"/>
        </w:rPr>
        <w:t xml:space="preserve">Sentencia </w:t>
      </w:r>
      <w:hyperlink w:anchor="SENTENCIA_2023_79" w:history="1">
        <w:r w:rsidRPr="00E1708A">
          <w:rPr>
            <w:rStyle w:val="TextoNormalCaracter"/>
          </w:rPr>
          <w:t>79/2023</w:t>
        </w:r>
      </w:hyperlink>
      <w:r w:rsidRPr="00E1708A">
        <w:rPr>
          <w:rStyle w:val="TextoNormalCaracter"/>
        </w:rPr>
        <w:t>, ff. 3 y 4.</w:t>
      </w:r>
    </w:p>
    <w:p w14:paraId="57F12B67" w14:textId="6B84116C" w:rsidR="00E1708A" w:rsidRPr="00E1708A" w:rsidRDefault="00E1708A" w:rsidP="00E1708A">
      <w:pPr>
        <w:pStyle w:val="TextoNormalSangraFrancesa"/>
        <w:rPr>
          <w:rStyle w:val="TextoNormalCaracter"/>
        </w:rPr>
      </w:pPr>
      <w:r w:rsidRPr="00E1708A">
        <w:rPr>
          <w:rStyle w:val="TextoNormalCursivaCaracter"/>
        </w:rPr>
        <w:t xml:space="preserve">    Respetado, </w:t>
      </w:r>
      <w:r w:rsidRPr="00E1708A">
        <w:rPr>
          <w:rStyle w:val="TextoNormalCaracter"/>
        </w:rPr>
        <w:t xml:space="preserve">Sentencias </w:t>
      </w:r>
      <w:hyperlink w:anchor="SENTENCIA_2023_84" w:history="1">
        <w:r w:rsidRPr="00E1708A">
          <w:rPr>
            <w:rStyle w:val="TextoNormalCaracter"/>
          </w:rPr>
          <w:t>84/2023</w:t>
        </w:r>
      </w:hyperlink>
      <w:r w:rsidRPr="00E1708A">
        <w:rPr>
          <w:rStyle w:val="TextoNormalCaracter"/>
        </w:rPr>
        <w:t xml:space="preserve">, ff. 2 a 4; </w:t>
      </w:r>
      <w:hyperlink w:anchor="SENTENCIA_2023_88" w:history="1">
        <w:r w:rsidRPr="00E1708A">
          <w:rPr>
            <w:rStyle w:val="TextoNormalCaracter"/>
          </w:rPr>
          <w:t>88/2023</w:t>
        </w:r>
      </w:hyperlink>
      <w:r w:rsidRPr="00E1708A">
        <w:rPr>
          <w:rStyle w:val="TextoNormalCaracter"/>
        </w:rPr>
        <w:t>, ff. 4 y 5.</w:t>
      </w:r>
    </w:p>
    <w:p w14:paraId="647E584B" w14:textId="36E65829" w:rsidR="00E1708A" w:rsidRPr="00E1708A" w:rsidRDefault="00E1708A" w:rsidP="00E1708A">
      <w:pPr>
        <w:pStyle w:val="TextoNormalSangraFrancesa"/>
        <w:rPr>
          <w:rStyle w:val="TextoNormalCaracter"/>
        </w:rPr>
      </w:pPr>
      <w:r w:rsidRPr="00E1708A">
        <w:rPr>
          <w:rStyle w:val="TextoNormalCursivaCaracter"/>
        </w:rPr>
        <w:t xml:space="preserve">    Vulnerado, </w:t>
      </w:r>
      <w:r w:rsidRPr="00E1708A">
        <w:rPr>
          <w:rStyle w:val="TextoNormalCaracter"/>
        </w:rPr>
        <w:t xml:space="preserve">Sentencias </w:t>
      </w:r>
      <w:hyperlink w:anchor="SENTENCIA_2023_164" w:history="1">
        <w:r w:rsidRPr="00E1708A">
          <w:rPr>
            <w:rStyle w:val="TextoNormalCaracter"/>
          </w:rPr>
          <w:t>164/2023</w:t>
        </w:r>
      </w:hyperlink>
      <w:r w:rsidRPr="00E1708A">
        <w:rPr>
          <w:rStyle w:val="TextoNormalCaracter"/>
        </w:rPr>
        <w:t xml:space="preserve">, f. 3; </w:t>
      </w:r>
      <w:hyperlink w:anchor="SENTENCIA_2023_173" w:history="1">
        <w:r w:rsidRPr="00E1708A">
          <w:rPr>
            <w:rStyle w:val="TextoNormalCaracter"/>
          </w:rPr>
          <w:t>173/2023</w:t>
        </w:r>
      </w:hyperlink>
      <w:r w:rsidRPr="00E1708A">
        <w:rPr>
          <w:rStyle w:val="TextoNormalCaracter"/>
        </w:rPr>
        <w:t xml:space="preserve">, f. único; </w:t>
      </w:r>
      <w:hyperlink w:anchor="SENTENCIA_2023_174" w:history="1">
        <w:r w:rsidRPr="00E1708A">
          <w:rPr>
            <w:rStyle w:val="TextoNormalCaracter"/>
          </w:rPr>
          <w:t>174/2023</w:t>
        </w:r>
      </w:hyperlink>
      <w:r w:rsidRPr="00E1708A">
        <w:rPr>
          <w:rStyle w:val="TextoNormalCaracter"/>
        </w:rPr>
        <w:t xml:space="preserve">, f. 3; </w:t>
      </w:r>
      <w:hyperlink w:anchor="SENTENCIA_2023_175" w:history="1">
        <w:r w:rsidRPr="00E1708A">
          <w:rPr>
            <w:rStyle w:val="TextoNormalCaracter"/>
          </w:rPr>
          <w:t>175/2023</w:t>
        </w:r>
      </w:hyperlink>
      <w:r w:rsidRPr="00E1708A">
        <w:rPr>
          <w:rStyle w:val="TextoNormalCaracter"/>
        </w:rPr>
        <w:t xml:space="preserve">, f. 2; </w:t>
      </w:r>
      <w:hyperlink w:anchor="SENTENCIA_2023_176" w:history="1">
        <w:r w:rsidRPr="00E1708A">
          <w:rPr>
            <w:rStyle w:val="TextoNormalCaracter"/>
          </w:rPr>
          <w:t>176/2023</w:t>
        </w:r>
      </w:hyperlink>
      <w:r w:rsidRPr="00E1708A">
        <w:rPr>
          <w:rStyle w:val="TextoNormalCaracter"/>
        </w:rPr>
        <w:t xml:space="preserve">, f. único; </w:t>
      </w:r>
      <w:hyperlink w:anchor="SENTENCIA_2023_177" w:history="1">
        <w:r w:rsidRPr="00E1708A">
          <w:rPr>
            <w:rStyle w:val="TextoNormalCaracter"/>
          </w:rPr>
          <w:t>177/2023</w:t>
        </w:r>
      </w:hyperlink>
      <w:r w:rsidRPr="00E1708A">
        <w:rPr>
          <w:rStyle w:val="TextoNormalCaracter"/>
        </w:rPr>
        <w:t xml:space="preserve">, f. único; </w:t>
      </w:r>
      <w:hyperlink w:anchor="SENTENCIA_2023_178" w:history="1">
        <w:r w:rsidRPr="00E1708A">
          <w:rPr>
            <w:rStyle w:val="TextoNormalCaracter"/>
          </w:rPr>
          <w:t>178/2023</w:t>
        </w:r>
      </w:hyperlink>
      <w:r w:rsidRPr="00E1708A">
        <w:rPr>
          <w:rStyle w:val="TextoNormalCaracter"/>
        </w:rPr>
        <w:t xml:space="preserve">, f. único; </w:t>
      </w:r>
      <w:hyperlink w:anchor="SENTENCIA_2023_188" w:history="1">
        <w:r w:rsidRPr="00E1708A">
          <w:rPr>
            <w:rStyle w:val="TextoNormalCaracter"/>
          </w:rPr>
          <w:t>188/2023</w:t>
        </w:r>
      </w:hyperlink>
      <w:r w:rsidRPr="00E1708A">
        <w:rPr>
          <w:rStyle w:val="TextoNormalCaracter"/>
        </w:rPr>
        <w:t>, f. único.</w:t>
      </w:r>
    </w:p>
    <w:p w14:paraId="117AC72C" w14:textId="4E1AF090" w:rsidR="00E1708A" w:rsidRPr="00E1708A" w:rsidRDefault="00E1708A" w:rsidP="00E1708A">
      <w:pPr>
        <w:pStyle w:val="TextoNormalSangraFrancesa"/>
        <w:rPr>
          <w:rStyle w:val="TextoNormalCaracter"/>
        </w:rPr>
      </w:pPr>
      <w:bookmarkStart w:id="1076" w:name="DESCRIPTORALFABETICO106"/>
      <w:r w:rsidRPr="00E1708A">
        <w:rPr>
          <w:rStyle w:val="TextoNormalNegritaCaracter"/>
        </w:rPr>
        <w:t>Derechos de la mujer</w:t>
      </w:r>
      <w:bookmarkEnd w:id="1076"/>
      <w:r w:rsidRPr="00E1708A">
        <w:rPr>
          <w:rStyle w:val="TextoNormalCaracter"/>
        </w:rPr>
        <w:t xml:space="preserve">, Sentencia </w:t>
      </w:r>
      <w:hyperlink w:anchor="SENTENCIA_2023_78" w:history="1">
        <w:r w:rsidRPr="00E1708A">
          <w:rPr>
            <w:rStyle w:val="TextoNormalCaracter"/>
          </w:rPr>
          <w:t>78/2023</w:t>
        </w:r>
      </w:hyperlink>
      <w:r w:rsidRPr="00E1708A">
        <w:rPr>
          <w:rStyle w:val="TextoNormalCaracter"/>
        </w:rPr>
        <w:t>, ff. 5 a 7, VP I, VP II.</w:t>
      </w:r>
    </w:p>
    <w:p w14:paraId="23CDC28D" w14:textId="5E3F092D" w:rsidR="00E1708A" w:rsidRPr="00E1708A" w:rsidRDefault="00E1708A" w:rsidP="00E1708A">
      <w:pPr>
        <w:pStyle w:val="TextoNormalSangraFrancesa"/>
        <w:rPr>
          <w:rStyle w:val="TextoNormalCaracter"/>
        </w:rPr>
      </w:pPr>
      <w:bookmarkStart w:id="1077" w:name="DESCRIPTORALFABETICO125"/>
      <w:r w:rsidRPr="00E1708A">
        <w:rPr>
          <w:rStyle w:val="TextoNormalNegritaCaracter"/>
        </w:rPr>
        <w:t>Derechos fundamentales indisponibles</w:t>
      </w:r>
      <w:bookmarkEnd w:id="1077"/>
      <w:r w:rsidRPr="00E1708A">
        <w:rPr>
          <w:rStyle w:val="TextoNormalCaracter"/>
        </w:rPr>
        <w:t xml:space="preserve">, Sentencia </w:t>
      </w:r>
      <w:hyperlink w:anchor="SENTENCIA_2023_94" w:history="1">
        <w:r w:rsidRPr="00E1708A">
          <w:rPr>
            <w:rStyle w:val="TextoNormalCaracter"/>
          </w:rPr>
          <w:t>94/2023</w:t>
        </w:r>
      </w:hyperlink>
      <w:r w:rsidRPr="00E1708A">
        <w:rPr>
          <w:rStyle w:val="TextoNormalCaracter"/>
        </w:rPr>
        <w:t>, f. 3, VP II.</w:t>
      </w:r>
    </w:p>
    <w:p w14:paraId="07C79FE0" w14:textId="05CD3D55" w:rsidR="00E1708A" w:rsidRPr="00E1708A" w:rsidRDefault="00E1708A" w:rsidP="00E1708A">
      <w:pPr>
        <w:pStyle w:val="TextoNormalSangraFrancesa"/>
        <w:rPr>
          <w:rStyle w:val="TextoNormalCaracter"/>
        </w:rPr>
      </w:pPr>
      <w:bookmarkStart w:id="1078" w:name="DESCRIPTORALFABETICO384"/>
      <w:r w:rsidRPr="00E1708A">
        <w:rPr>
          <w:rStyle w:val="TextoNormalNegritaCaracter"/>
        </w:rPr>
        <w:t>Derechos laborales</w:t>
      </w:r>
      <w:bookmarkEnd w:id="1078"/>
      <w:r w:rsidRPr="00E1708A">
        <w:rPr>
          <w:rStyle w:val="TextoNormalCaracter"/>
        </w:rPr>
        <w:t xml:space="preserve">, Sentencias </w:t>
      </w:r>
      <w:hyperlink w:anchor="SENTENCIA_2023_144" w:history="1">
        <w:r w:rsidRPr="00E1708A">
          <w:rPr>
            <w:rStyle w:val="TextoNormalCaracter"/>
          </w:rPr>
          <w:t>144/2023</w:t>
        </w:r>
      </w:hyperlink>
      <w:r w:rsidRPr="00E1708A">
        <w:rPr>
          <w:rStyle w:val="TextoNormalCaracter"/>
        </w:rPr>
        <w:t xml:space="preserve">, ff. 4 y 5, VP; </w:t>
      </w:r>
      <w:hyperlink w:anchor="SENTENCIA_2023_147" w:history="1">
        <w:r w:rsidRPr="00E1708A">
          <w:rPr>
            <w:rStyle w:val="TextoNormalCaracter"/>
          </w:rPr>
          <w:t>147/2023</w:t>
        </w:r>
      </w:hyperlink>
      <w:r w:rsidRPr="00E1708A">
        <w:rPr>
          <w:rStyle w:val="TextoNormalCaracter"/>
        </w:rPr>
        <w:t>, f. 2.</w:t>
      </w:r>
    </w:p>
    <w:p w14:paraId="749D7800" w14:textId="0DFA41AA" w:rsidR="00E1708A" w:rsidRPr="00E1708A" w:rsidRDefault="00E1708A" w:rsidP="00E1708A">
      <w:pPr>
        <w:pStyle w:val="TextoNormalSangraFrancesa"/>
        <w:rPr>
          <w:rStyle w:val="TextoNormalCaracter"/>
        </w:rPr>
      </w:pPr>
      <w:bookmarkStart w:id="1079" w:name="DESCRIPTORALFABETICO314"/>
      <w:r w:rsidRPr="00E1708A">
        <w:rPr>
          <w:rStyle w:val="TextoNormalNegritaCaracter"/>
        </w:rPr>
        <w:t>Derechos prestacionales</w:t>
      </w:r>
      <w:bookmarkEnd w:id="1079"/>
      <w:r w:rsidRPr="00E1708A">
        <w:rPr>
          <w:rStyle w:val="TextoNormalCaracter"/>
        </w:rPr>
        <w:t xml:space="preserve">, Sentencia </w:t>
      </w:r>
      <w:hyperlink w:anchor="SENTENCIA_2023_94" w:history="1">
        <w:r w:rsidRPr="00E1708A">
          <w:rPr>
            <w:rStyle w:val="TextoNormalCaracter"/>
          </w:rPr>
          <w:t>94/2023</w:t>
        </w:r>
      </w:hyperlink>
      <w:r w:rsidRPr="00E1708A">
        <w:rPr>
          <w:rStyle w:val="TextoNormalCaracter"/>
        </w:rPr>
        <w:t>, ff. 3, 4 y 6.</w:t>
      </w:r>
    </w:p>
    <w:p w14:paraId="2AD4B70D" w14:textId="64A411DF" w:rsidR="00E1708A" w:rsidRPr="00E1708A" w:rsidRDefault="00E1708A" w:rsidP="00E1708A">
      <w:pPr>
        <w:pStyle w:val="TextoNormalSangraFrancesa"/>
        <w:rPr>
          <w:rStyle w:val="TextoNormalCaracter"/>
        </w:rPr>
      </w:pPr>
      <w:bookmarkStart w:id="1080" w:name="DESCRIPTORALFABETICO315"/>
      <w:r w:rsidRPr="00E1708A">
        <w:rPr>
          <w:rStyle w:val="TextoNormalNegritaCaracter"/>
        </w:rPr>
        <w:t>Derechos subjetivos</w:t>
      </w:r>
      <w:bookmarkEnd w:id="1080"/>
      <w:r w:rsidRPr="00E1708A">
        <w:rPr>
          <w:rStyle w:val="TextoNormalCaracter"/>
        </w:rPr>
        <w:t xml:space="preserve">, Sentencia </w:t>
      </w:r>
      <w:hyperlink w:anchor="SENTENCIA_2023_94" w:history="1">
        <w:r w:rsidRPr="00E1708A">
          <w:rPr>
            <w:rStyle w:val="TextoNormalCaracter"/>
          </w:rPr>
          <w:t>94/2023</w:t>
        </w:r>
      </w:hyperlink>
      <w:r w:rsidRPr="00E1708A">
        <w:rPr>
          <w:rStyle w:val="TextoNormalCaracter"/>
        </w:rPr>
        <w:t>, f. 3.</w:t>
      </w:r>
    </w:p>
    <w:p w14:paraId="56EC6A5E" w14:textId="533C8740" w:rsidR="00E1708A" w:rsidRPr="00E1708A" w:rsidRDefault="00E1708A" w:rsidP="00E1708A">
      <w:pPr>
        <w:pStyle w:val="TextoNormalSangraFrancesa"/>
        <w:rPr>
          <w:rStyle w:val="TextoNormalCaracter"/>
        </w:rPr>
      </w:pPr>
      <w:bookmarkStart w:id="1081" w:name="DESCRIPTORALFABETICO409"/>
      <w:r w:rsidRPr="00E1708A">
        <w:rPr>
          <w:rStyle w:val="TextoNormalNegritaCaracter"/>
        </w:rPr>
        <w:t>Desestimación de incidente de nulidad de actuaciones</w:t>
      </w:r>
      <w:bookmarkEnd w:id="1081"/>
      <w:r w:rsidRPr="00E1708A">
        <w:rPr>
          <w:rStyle w:val="TextoNormalCaracter"/>
        </w:rPr>
        <w:t xml:space="preserve">, Sentencia </w:t>
      </w:r>
      <w:hyperlink w:anchor="SENTENCIA_2023_137" w:history="1">
        <w:r w:rsidRPr="00E1708A">
          <w:rPr>
            <w:rStyle w:val="TextoNormalCaracter"/>
          </w:rPr>
          <w:t>137/2023</w:t>
        </w:r>
      </w:hyperlink>
      <w:r w:rsidRPr="00E1708A">
        <w:rPr>
          <w:rStyle w:val="TextoNormalCaracter"/>
        </w:rPr>
        <w:t>, ff.1 y 3.</w:t>
      </w:r>
    </w:p>
    <w:p w14:paraId="4B94715E" w14:textId="2AF167D2" w:rsidR="00E1708A" w:rsidRPr="00E1708A" w:rsidRDefault="00E1708A" w:rsidP="00E1708A">
      <w:pPr>
        <w:pStyle w:val="TextoNormalSangraFrancesa"/>
        <w:rPr>
          <w:rStyle w:val="TextoNormalCaracter"/>
        </w:rPr>
      </w:pPr>
      <w:bookmarkStart w:id="1082" w:name="DESCRIPTORALFABETICO157"/>
      <w:r w:rsidRPr="00E1708A">
        <w:rPr>
          <w:rStyle w:val="TextoNormalNegritaCaracter"/>
        </w:rPr>
        <w:t>Desestimación de recurso de súplica contra Autos del Tribunal Constitucional</w:t>
      </w:r>
      <w:bookmarkEnd w:id="1082"/>
      <w:r w:rsidRPr="00E1708A">
        <w:rPr>
          <w:rStyle w:val="TextoNormalCaracter"/>
        </w:rPr>
        <w:t xml:space="preserve">, Auto </w:t>
      </w:r>
      <w:hyperlink w:anchor="AUTO_2023_485" w:history="1">
        <w:r w:rsidRPr="00E1708A">
          <w:rPr>
            <w:rStyle w:val="TextoNormalCaracter"/>
          </w:rPr>
          <w:t>485/2023</w:t>
        </w:r>
      </w:hyperlink>
      <w:r w:rsidRPr="00E1708A">
        <w:rPr>
          <w:rStyle w:val="TextoNormalCaracter"/>
        </w:rPr>
        <w:t>, f. 3.</w:t>
      </w:r>
    </w:p>
    <w:p w14:paraId="77FFAB16" w14:textId="4FAA41FC" w:rsidR="00E1708A" w:rsidRPr="00E1708A" w:rsidRDefault="00E1708A" w:rsidP="00E1708A">
      <w:pPr>
        <w:pStyle w:val="TextoNormalSangraFrancesa"/>
        <w:rPr>
          <w:rStyle w:val="TextoNormalCaracter"/>
        </w:rPr>
      </w:pPr>
      <w:bookmarkStart w:id="1083" w:name="DESCRIPTORALFABETICO213"/>
      <w:r w:rsidRPr="00E1708A">
        <w:rPr>
          <w:rStyle w:val="TextoNormalNegritaCaracter"/>
        </w:rPr>
        <w:t>Designación de miembros del Consejo General del Poder Judicial</w:t>
      </w:r>
      <w:bookmarkEnd w:id="1083"/>
      <w:r w:rsidRPr="00E1708A">
        <w:rPr>
          <w:rStyle w:val="TextoNormalCaracter"/>
        </w:rPr>
        <w:t xml:space="preserve">, Sentencia </w:t>
      </w:r>
      <w:hyperlink w:anchor="SENTENCIA_2023_128" w:history="1">
        <w:r w:rsidRPr="00E1708A">
          <w:rPr>
            <w:rStyle w:val="TextoNormalCaracter"/>
          </w:rPr>
          <w:t>128/2023</w:t>
        </w:r>
      </w:hyperlink>
      <w:r w:rsidRPr="00E1708A">
        <w:rPr>
          <w:rStyle w:val="TextoNormalCaracter"/>
        </w:rPr>
        <w:t>, ff. 4 y 5, VP.</w:t>
      </w:r>
    </w:p>
    <w:p w14:paraId="470D530C" w14:textId="26B6C0FF" w:rsidR="00E1708A" w:rsidRPr="00E1708A" w:rsidRDefault="00E1708A" w:rsidP="00E1708A">
      <w:pPr>
        <w:pStyle w:val="TextoNormalSangraFrancesa"/>
        <w:rPr>
          <w:rStyle w:val="TextoNormalCaracter"/>
        </w:rPr>
      </w:pPr>
      <w:bookmarkStart w:id="1084" w:name="DESCRIPTORALFABETICO250"/>
      <w:r w:rsidRPr="00E1708A">
        <w:rPr>
          <w:rStyle w:val="TextoNormalNegritaCaracter"/>
        </w:rPr>
        <w:t>Designación de senadores</w:t>
      </w:r>
      <w:bookmarkEnd w:id="1084"/>
      <w:r w:rsidRPr="00E1708A">
        <w:rPr>
          <w:rStyle w:val="TextoNormalCaracter"/>
        </w:rPr>
        <w:t xml:space="preserve">, Sentencia </w:t>
      </w:r>
      <w:hyperlink w:anchor="SENTENCIA_2023_116" w:history="1">
        <w:r w:rsidRPr="00E1708A">
          <w:rPr>
            <w:rStyle w:val="TextoNormalCaracter"/>
          </w:rPr>
          <w:t>116/2023</w:t>
        </w:r>
      </w:hyperlink>
      <w:r w:rsidRPr="00E1708A">
        <w:rPr>
          <w:rStyle w:val="TextoNormalCaracter"/>
        </w:rPr>
        <w:t>, ff. 1 a 4.</w:t>
      </w:r>
    </w:p>
    <w:p w14:paraId="22B63C97" w14:textId="51502FF7" w:rsidR="00E1708A" w:rsidRPr="00E1708A" w:rsidRDefault="00E1708A" w:rsidP="00E1708A">
      <w:pPr>
        <w:pStyle w:val="TextoNormalSangraFrancesa"/>
        <w:rPr>
          <w:rStyle w:val="TextoNormalCaracter"/>
        </w:rPr>
      </w:pPr>
      <w:bookmarkStart w:id="1085" w:name="DESCRIPTORALFABETICO140"/>
      <w:r w:rsidRPr="00E1708A">
        <w:rPr>
          <w:rStyle w:val="TextoNormalNegritaCaracter"/>
        </w:rPr>
        <w:t>Desistimiento de la solicitud de suspensión cautelar</w:t>
      </w:r>
      <w:bookmarkEnd w:id="1085"/>
      <w:r w:rsidRPr="00E1708A">
        <w:rPr>
          <w:rStyle w:val="TextoNormalCaracter"/>
        </w:rPr>
        <w:t xml:space="preserve">, Auto </w:t>
      </w:r>
      <w:hyperlink w:anchor="AUTO_2023_472" w:history="1">
        <w:r w:rsidRPr="00E1708A">
          <w:rPr>
            <w:rStyle w:val="TextoNormalCaracter"/>
          </w:rPr>
          <w:t>472/2023</w:t>
        </w:r>
      </w:hyperlink>
      <w:r w:rsidRPr="00E1708A">
        <w:rPr>
          <w:rStyle w:val="TextoNormalCaracter"/>
        </w:rPr>
        <w:t>, f. 2.</w:t>
      </w:r>
    </w:p>
    <w:p w14:paraId="1BE663A2" w14:textId="31A014E2" w:rsidR="00E1708A" w:rsidRPr="00E1708A" w:rsidRDefault="00E1708A" w:rsidP="00E1708A">
      <w:pPr>
        <w:pStyle w:val="TextoNormalSangraFrancesa"/>
        <w:rPr>
          <w:rStyle w:val="TextoNormalCaracter"/>
        </w:rPr>
      </w:pPr>
      <w:bookmarkStart w:id="1086" w:name="DESCRIPTORALFABETICO160"/>
      <w:r w:rsidRPr="00E1708A">
        <w:rPr>
          <w:rStyle w:val="TextoNormalNegritaCaracter"/>
        </w:rPr>
        <w:t>Desistimiento en el conflicto positivo de competencia</w:t>
      </w:r>
      <w:bookmarkEnd w:id="1086"/>
      <w:r w:rsidRPr="00E1708A">
        <w:rPr>
          <w:rStyle w:val="TextoNormalCaracter"/>
        </w:rPr>
        <w:t xml:space="preserve">, Auto </w:t>
      </w:r>
      <w:hyperlink w:anchor="AUTO_2023_602" w:history="1">
        <w:r w:rsidRPr="00E1708A">
          <w:rPr>
            <w:rStyle w:val="TextoNormalCaracter"/>
          </w:rPr>
          <w:t>602/2023</w:t>
        </w:r>
      </w:hyperlink>
      <w:r w:rsidRPr="00E1708A">
        <w:rPr>
          <w:rStyle w:val="TextoNormalCaracter"/>
        </w:rPr>
        <w:t>, f. único.</w:t>
      </w:r>
    </w:p>
    <w:p w14:paraId="435F0BAF" w14:textId="77777777" w:rsidR="00E1708A" w:rsidRPr="00E1708A" w:rsidRDefault="00E1708A" w:rsidP="00E1708A">
      <w:pPr>
        <w:pStyle w:val="TextoNormalSangraFrancesa"/>
        <w:rPr>
          <w:rStyle w:val="TextoNormalCaracter"/>
        </w:rPr>
      </w:pPr>
      <w:bookmarkStart w:id="1087" w:name="DESCRIPTORALFABETICO161"/>
      <w:r w:rsidRPr="00E1708A">
        <w:rPr>
          <w:rStyle w:val="TextoNormalNegritaCaracter"/>
        </w:rPr>
        <w:t>Desistimiento en el recurso de amparo</w:t>
      </w:r>
      <w:bookmarkEnd w:id="1087"/>
      <w:r w:rsidRPr="00E1708A">
        <w:rPr>
          <w:rStyle w:val="TextoNormalCaracter"/>
        </w:rPr>
        <w:t xml:space="preserve">, </w:t>
      </w:r>
    </w:p>
    <w:p w14:paraId="22EB6F59" w14:textId="01163AF9" w:rsidR="00E1708A" w:rsidRPr="00E1708A" w:rsidRDefault="00E1708A" w:rsidP="00E1708A">
      <w:pPr>
        <w:pStyle w:val="TextoNormalSangraFrancesa"/>
        <w:rPr>
          <w:rStyle w:val="TextoNormalCaracter"/>
        </w:rPr>
      </w:pPr>
      <w:r w:rsidRPr="00E1708A">
        <w:rPr>
          <w:rStyle w:val="TextoNormalCursivaCaracter"/>
        </w:rPr>
        <w:t xml:space="preserve">    Procedencia, </w:t>
      </w:r>
      <w:r w:rsidRPr="00E1708A">
        <w:rPr>
          <w:rStyle w:val="TextoNormalCaracter"/>
        </w:rPr>
        <w:t xml:space="preserve">Auto </w:t>
      </w:r>
      <w:hyperlink w:anchor="AUTO_2023_437" w:history="1">
        <w:r w:rsidRPr="00E1708A">
          <w:rPr>
            <w:rStyle w:val="TextoNormalCaracter"/>
          </w:rPr>
          <w:t>437/2023</w:t>
        </w:r>
      </w:hyperlink>
      <w:r w:rsidRPr="00E1708A">
        <w:rPr>
          <w:rStyle w:val="TextoNormalCaracter"/>
        </w:rPr>
        <w:t>, f. único.</w:t>
      </w:r>
    </w:p>
    <w:p w14:paraId="572E9BC9" w14:textId="7773A215" w:rsidR="00E1708A" w:rsidRPr="00E1708A" w:rsidRDefault="00E1708A" w:rsidP="00E1708A">
      <w:pPr>
        <w:pStyle w:val="TextoNormalSangraFrancesa"/>
        <w:rPr>
          <w:rStyle w:val="TextoNormalCaracter"/>
        </w:rPr>
      </w:pPr>
      <w:bookmarkStart w:id="1088" w:name="DESCRIPTORALFABETICO385"/>
      <w:r w:rsidRPr="00E1708A">
        <w:rPr>
          <w:rStyle w:val="TextoNormalNegritaCaracter"/>
        </w:rPr>
        <w:t>Despido radicalmente nulo</w:t>
      </w:r>
      <w:bookmarkEnd w:id="1088"/>
      <w:r w:rsidRPr="00E1708A">
        <w:rPr>
          <w:rStyle w:val="TextoNormalCaracter"/>
        </w:rPr>
        <w:t xml:space="preserve">, Sentencia </w:t>
      </w:r>
      <w:hyperlink w:anchor="SENTENCIA_2023_79" w:history="1">
        <w:r w:rsidRPr="00E1708A">
          <w:rPr>
            <w:rStyle w:val="TextoNormalCaracter"/>
          </w:rPr>
          <w:t>79/2023</w:t>
        </w:r>
      </w:hyperlink>
      <w:r w:rsidRPr="00E1708A">
        <w:rPr>
          <w:rStyle w:val="TextoNormalCaracter"/>
        </w:rPr>
        <w:t>, f. 4.</w:t>
      </w:r>
    </w:p>
    <w:p w14:paraId="3F32C877" w14:textId="7F1EE7B0" w:rsidR="00E1708A" w:rsidRPr="00E1708A" w:rsidRDefault="00E1708A" w:rsidP="00E1708A">
      <w:pPr>
        <w:pStyle w:val="TextoNormalSangraFrancesa"/>
        <w:rPr>
          <w:rStyle w:val="TextoNormalCaracter"/>
        </w:rPr>
      </w:pPr>
      <w:bookmarkStart w:id="1089" w:name="DESCRIPTORALFABETICO355"/>
      <w:r w:rsidRPr="00E1708A">
        <w:rPr>
          <w:rStyle w:val="TextoNormalNegritaCaracter"/>
        </w:rPr>
        <w:t>Dignidad de la persona</w:t>
      </w:r>
      <w:bookmarkEnd w:id="1089"/>
      <w:r w:rsidRPr="00E1708A">
        <w:rPr>
          <w:rStyle w:val="TextoNormalCaracter"/>
        </w:rPr>
        <w:t xml:space="preserve">, Sentencias </w:t>
      </w:r>
      <w:hyperlink w:anchor="SENTENCIA_2023_78" w:history="1">
        <w:r w:rsidRPr="00E1708A">
          <w:rPr>
            <w:rStyle w:val="TextoNormalCaracter"/>
          </w:rPr>
          <w:t>78/2023</w:t>
        </w:r>
      </w:hyperlink>
      <w:r w:rsidRPr="00E1708A">
        <w:rPr>
          <w:rStyle w:val="TextoNormalCaracter"/>
        </w:rPr>
        <w:t xml:space="preserve">, ff. 5, 6, VP I, VP II; </w:t>
      </w:r>
      <w:hyperlink w:anchor="SENTENCIA_2023_94" w:history="1">
        <w:r w:rsidRPr="00E1708A">
          <w:rPr>
            <w:rStyle w:val="TextoNormalCaracter"/>
          </w:rPr>
          <w:t>94/2023</w:t>
        </w:r>
      </w:hyperlink>
      <w:r w:rsidRPr="00E1708A">
        <w:rPr>
          <w:rStyle w:val="TextoNormalCaracter"/>
        </w:rPr>
        <w:t>, f. 3.</w:t>
      </w:r>
    </w:p>
    <w:p w14:paraId="1E137793" w14:textId="715F3E7C" w:rsidR="00E1708A" w:rsidRPr="00E1708A" w:rsidRDefault="00E1708A" w:rsidP="00E1708A">
      <w:pPr>
        <w:pStyle w:val="TextoNormalSangraFrancesa"/>
        <w:rPr>
          <w:rStyle w:val="TextoNormalCaracter"/>
        </w:rPr>
      </w:pPr>
      <w:bookmarkStart w:id="1090" w:name="DESCRIPTORALFABETICO391"/>
      <w:r w:rsidRPr="00E1708A">
        <w:rPr>
          <w:rStyle w:val="TextoNormalNegritaCaracter"/>
        </w:rPr>
        <w:t>Diligencia del órgano judicial en la averiguación del domicilio</w:t>
      </w:r>
      <w:bookmarkEnd w:id="1090"/>
      <w:r w:rsidRPr="00E1708A">
        <w:rPr>
          <w:rStyle w:val="TextoNormalCaracter"/>
        </w:rPr>
        <w:t xml:space="preserve">, Sentencia </w:t>
      </w:r>
      <w:hyperlink w:anchor="SENTENCIA_2023_137" w:history="1">
        <w:r w:rsidRPr="00E1708A">
          <w:rPr>
            <w:rStyle w:val="TextoNormalCaracter"/>
          </w:rPr>
          <w:t>137/2023</w:t>
        </w:r>
      </w:hyperlink>
      <w:r w:rsidRPr="00E1708A">
        <w:rPr>
          <w:rStyle w:val="TextoNormalCaracter"/>
        </w:rPr>
        <w:t>, ff. 1 a 3.</w:t>
      </w:r>
    </w:p>
    <w:p w14:paraId="53C73D40" w14:textId="7C07E30F" w:rsidR="00E1708A" w:rsidRPr="00E1708A" w:rsidRDefault="00E1708A" w:rsidP="00E1708A">
      <w:pPr>
        <w:pStyle w:val="TextoNormalSangraFrancesa"/>
        <w:rPr>
          <w:rStyle w:val="TextoNormalCaracter"/>
        </w:rPr>
      </w:pPr>
      <w:bookmarkStart w:id="1091" w:name="DESCRIPTORALFABETICO283"/>
      <w:r w:rsidRPr="00E1708A">
        <w:rPr>
          <w:rStyle w:val="TextoNormalNegritaCaracter"/>
        </w:rPr>
        <w:t>Diputaciones provinciales</w:t>
      </w:r>
      <w:bookmarkEnd w:id="1091"/>
      <w:r w:rsidRPr="00E1708A">
        <w:rPr>
          <w:rStyle w:val="TextoNormalCaracter"/>
        </w:rPr>
        <w:t xml:space="preserve">, Sentencias </w:t>
      </w:r>
      <w:hyperlink w:anchor="SENTENCIA_2023_124" w:history="1">
        <w:r w:rsidRPr="00E1708A">
          <w:rPr>
            <w:rStyle w:val="TextoNormalCaracter"/>
          </w:rPr>
          <w:t>124/2023</w:t>
        </w:r>
      </w:hyperlink>
      <w:r w:rsidRPr="00E1708A">
        <w:rPr>
          <w:rStyle w:val="TextoNormalCaracter"/>
        </w:rPr>
        <w:t xml:space="preserve">, ff. 4 a 8; </w:t>
      </w:r>
      <w:hyperlink w:anchor="SENTENCIA_2023_143" w:history="1">
        <w:r w:rsidRPr="00E1708A">
          <w:rPr>
            <w:rStyle w:val="TextoNormalCaracter"/>
          </w:rPr>
          <w:t>143/2023</w:t>
        </w:r>
      </w:hyperlink>
      <w:r w:rsidRPr="00E1708A">
        <w:rPr>
          <w:rStyle w:val="TextoNormalCaracter"/>
        </w:rPr>
        <w:t>, f. 3.</w:t>
      </w:r>
    </w:p>
    <w:p w14:paraId="64B43C25" w14:textId="2DF99DCB" w:rsidR="00E1708A" w:rsidRPr="00E1708A" w:rsidRDefault="00E1708A" w:rsidP="00E1708A">
      <w:pPr>
        <w:pStyle w:val="TextoNormalSangraFrancesa"/>
        <w:rPr>
          <w:rStyle w:val="TextoNormalCaracter"/>
        </w:rPr>
      </w:pPr>
      <w:bookmarkStart w:id="1092" w:name="DESCRIPTORALFABETICO245"/>
      <w:r w:rsidRPr="00E1708A">
        <w:rPr>
          <w:rStyle w:val="TextoNormalNegritaCaracter"/>
        </w:rPr>
        <w:t>Diputados</w:t>
      </w:r>
      <w:bookmarkEnd w:id="1092"/>
      <w:r w:rsidRPr="00E1708A">
        <w:rPr>
          <w:rStyle w:val="TextoNormalCaracter"/>
        </w:rPr>
        <w:t xml:space="preserve">, Sentencias </w:t>
      </w:r>
      <w:hyperlink w:anchor="SENTENCIA_2023_125" w:history="1">
        <w:r w:rsidRPr="00E1708A">
          <w:rPr>
            <w:rStyle w:val="TextoNormalCaracter"/>
          </w:rPr>
          <w:t>125/2023</w:t>
        </w:r>
      </w:hyperlink>
      <w:r w:rsidRPr="00E1708A">
        <w:rPr>
          <w:rStyle w:val="TextoNormalCaracter"/>
        </w:rPr>
        <w:t xml:space="preserve">, ff. 1 y 2; </w:t>
      </w:r>
      <w:hyperlink w:anchor="SENTENCIA_2023_139" w:history="1">
        <w:r w:rsidRPr="00E1708A">
          <w:rPr>
            <w:rStyle w:val="TextoNormalCaracter"/>
          </w:rPr>
          <w:t>139/2023</w:t>
        </w:r>
      </w:hyperlink>
      <w:r w:rsidRPr="00E1708A">
        <w:rPr>
          <w:rStyle w:val="TextoNormalCaracter"/>
        </w:rPr>
        <w:t xml:space="preserve">, ff. 1 y 3; </w:t>
      </w:r>
      <w:hyperlink w:anchor="SENTENCIA_2023_142" w:history="1">
        <w:r w:rsidRPr="00E1708A">
          <w:rPr>
            <w:rStyle w:val="TextoNormalCaracter"/>
          </w:rPr>
          <w:t>142/2023</w:t>
        </w:r>
      </w:hyperlink>
      <w:r w:rsidRPr="00E1708A">
        <w:rPr>
          <w:rStyle w:val="TextoNormalCaracter"/>
        </w:rPr>
        <w:t xml:space="preserve">, ff. 1, 2 y 3; </w:t>
      </w:r>
      <w:hyperlink w:anchor="SENTENCIA_2023_165" w:history="1">
        <w:r w:rsidRPr="00E1708A">
          <w:rPr>
            <w:rStyle w:val="TextoNormalCaracter"/>
          </w:rPr>
          <w:t>165/2023</w:t>
        </w:r>
      </w:hyperlink>
      <w:r w:rsidRPr="00E1708A">
        <w:rPr>
          <w:rStyle w:val="TextoNormalCaracter"/>
        </w:rPr>
        <w:t>, ff. 3, 4, VP.</w:t>
      </w:r>
    </w:p>
    <w:p w14:paraId="2078F438" w14:textId="2373E1B2" w:rsidR="00E1708A" w:rsidRPr="00E1708A" w:rsidRDefault="00E1708A" w:rsidP="00E1708A">
      <w:pPr>
        <w:pStyle w:val="TextoNormalSangraFrancesa"/>
        <w:rPr>
          <w:rStyle w:val="TextoNormalCaracter"/>
        </w:rPr>
      </w:pPr>
      <w:bookmarkStart w:id="1093" w:name="DESCRIPTORALFABETICO85"/>
      <w:r w:rsidRPr="00E1708A">
        <w:rPr>
          <w:rStyle w:val="TextoNormalNegritaCaracter"/>
        </w:rPr>
        <w:t>Discriminación por razón de residencia</w:t>
      </w:r>
      <w:bookmarkEnd w:id="1093"/>
      <w:r w:rsidRPr="00E1708A">
        <w:rPr>
          <w:rStyle w:val="TextoNormalCaracter"/>
        </w:rPr>
        <w:t xml:space="preserve">, Sentencia </w:t>
      </w:r>
      <w:hyperlink w:anchor="SENTENCIA_2023_78" w:history="1">
        <w:r w:rsidRPr="00E1708A">
          <w:rPr>
            <w:rStyle w:val="TextoNormalCaracter"/>
          </w:rPr>
          <w:t>78/2023</w:t>
        </w:r>
      </w:hyperlink>
      <w:r w:rsidRPr="00E1708A">
        <w:rPr>
          <w:rStyle w:val="TextoNormalCaracter"/>
        </w:rPr>
        <w:t>, ff. 6, 7, VP II.</w:t>
      </w:r>
    </w:p>
    <w:p w14:paraId="77EF421F" w14:textId="4A0D9215" w:rsidR="00E1708A" w:rsidRPr="00E1708A" w:rsidRDefault="00E1708A" w:rsidP="00E1708A">
      <w:pPr>
        <w:pStyle w:val="TextoNormalSangraFrancesa"/>
        <w:rPr>
          <w:rStyle w:val="TextoNormalCaracter"/>
        </w:rPr>
      </w:pPr>
      <w:bookmarkStart w:id="1094" w:name="DESCRIPTORALFABETICO261"/>
      <w:r w:rsidRPr="00E1708A">
        <w:rPr>
          <w:rStyle w:val="TextoNormalNegritaCaracter"/>
        </w:rPr>
        <w:t>Doctrina del Tribunal de Justicia de la Unión Europea</w:t>
      </w:r>
      <w:bookmarkEnd w:id="1094"/>
      <w:r w:rsidRPr="00E1708A">
        <w:rPr>
          <w:rStyle w:val="TextoNormalCaracter"/>
        </w:rPr>
        <w:t xml:space="preserve">, Sentencias </w:t>
      </w:r>
      <w:hyperlink w:anchor="SENTENCIA_2023_80" w:history="1">
        <w:r w:rsidRPr="00E1708A">
          <w:rPr>
            <w:rStyle w:val="TextoNormalCaracter"/>
          </w:rPr>
          <w:t>80/2023</w:t>
        </w:r>
      </w:hyperlink>
      <w:r w:rsidRPr="00E1708A">
        <w:rPr>
          <w:rStyle w:val="TextoNormalCaracter"/>
        </w:rPr>
        <w:t xml:space="preserve">, f. único; </w:t>
      </w:r>
      <w:hyperlink w:anchor="SENTENCIA_2023_86" w:history="1">
        <w:r w:rsidRPr="00E1708A">
          <w:rPr>
            <w:rStyle w:val="TextoNormalCaracter"/>
          </w:rPr>
          <w:t>86/2023</w:t>
        </w:r>
      </w:hyperlink>
      <w:r w:rsidRPr="00E1708A">
        <w:rPr>
          <w:rStyle w:val="TextoNormalCaracter"/>
        </w:rPr>
        <w:t xml:space="preserve">, f. único; </w:t>
      </w:r>
      <w:hyperlink w:anchor="SENTENCIA_2023_87" w:history="1">
        <w:r w:rsidRPr="00E1708A">
          <w:rPr>
            <w:rStyle w:val="TextoNormalCaracter"/>
          </w:rPr>
          <w:t>87/2023</w:t>
        </w:r>
      </w:hyperlink>
      <w:r w:rsidRPr="00E1708A">
        <w:rPr>
          <w:rStyle w:val="TextoNormalCaracter"/>
        </w:rPr>
        <w:t xml:space="preserve">, f. 3; </w:t>
      </w:r>
      <w:hyperlink w:anchor="SENTENCIA_2023_89" w:history="1">
        <w:r w:rsidRPr="00E1708A">
          <w:rPr>
            <w:rStyle w:val="TextoNormalCaracter"/>
          </w:rPr>
          <w:t>89/2023</w:t>
        </w:r>
      </w:hyperlink>
      <w:r w:rsidRPr="00E1708A">
        <w:rPr>
          <w:rStyle w:val="TextoNormalCaracter"/>
        </w:rPr>
        <w:t xml:space="preserve">, f.3; </w:t>
      </w:r>
      <w:hyperlink w:anchor="SENTENCIA_2023_91" w:history="1">
        <w:r w:rsidRPr="00E1708A">
          <w:rPr>
            <w:rStyle w:val="TextoNormalCaracter"/>
          </w:rPr>
          <w:t>91/2023</w:t>
        </w:r>
      </w:hyperlink>
      <w:r w:rsidRPr="00E1708A">
        <w:rPr>
          <w:rStyle w:val="TextoNormalCaracter"/>
        </w:rPr>
        <w:t xml:space="preserve">, ff. 3 y 4; </w:t>
      </w:r>
      <w:hyperlink w:anchor="SENTENCIA_2023_96" w:history="1">
        <w:r w:rsidRPr="00E1708A">
          <w:rPr>
            <w:rStyle w:val="TextoNormalCaracter"/>
          </w:rPr>
          <w:t>96/2023</w:t>
        </w:r>
      </w:hyperlink>
      <w:r w:rsidRPr="00E1708A">
        <w:rPr>
          <w:rStyle w:val="TextoNormalCaracter"/>
        </w:rPr>
        <w:t xml:space="preserve">, ff. 2 y 3; </w:t>
      </w:r>
      <w:hyperlink w:anchor="SENTENCIA_2023_130" w:history="1">
        <w:r w:rsidRPr="00E1708A">
          <w:rPr>
            <w:rStyle w:val="TextoNormalCaracter"/>
          </w:rPr>
          <w:t>130/2023</w:t>
        </w:r>
      </w:hyperlink>
      <w:r w:rsidRPr="00E1708A">
        <w:rPr>
          <w:rStyle w:val="TextoNormalCaracter"/>
        </w:rPr>
        <w:t xml:space="preserve">, f. único; </w:t>
      </w:r>
      <w:hyperlink w:anchor="SENTENCIA_2023_144" w:history="1">
        <w:r w:rsidRPr="00E1708A">
          <w:rPr>
            <w:rStyle w:val="TextoNormalCaracter"/>
          </w:rPr>
          <w:t>144/2023</w:t>
        </w:r>
      </w:hyperlink>
      <w:r w:rsidRPr="00E1708A">
        <w:rPr>
          <w:rStyle w:val="TextoNormalCaracter"/>
        </w:rPr>
        <w:t xml:space="preserve">, VP; </w:t>
      </w:r>
      <w:hyperlink w:anchor="SENTENCIA_2023_145" w:history="1">
        <w:r w:rsidRPr="00E1708A">
          <w:rPr>
            <w:rStyle w:val="TextoNormalCaracter"/>
          </w:rPr>
          <w:t>145/2023</w:t>
        </w:r>
      </w:hyperlink>
      <w:r w:rsidRPr="00E1708A">
        <w:rPr>
          <w:rStyle w:val="TextoNormalCaracter"/>
        </w:rPr>
        <w:t>, ff. 1, 4, 5, 6.</w:t>
      </w:r>
    </w:p>
    <w:p w14:paraId="7684FCAF" w14:textId="52C6DB87" w:rsidR="00E1708A" w:rsidRPr="00E1708A" w:rsidRDefault="00E1708A" w:rsidP="00E1708A">
      <w:pPr>
        <w:pStyle w:val="TextoNormalSangraFrancesa"/>
        <w:rPr>
          <w:rStyle w:val="TextoNormalCaracter"/>
        </w:rPr>
      </w:pPr>
      <w:bookmarkStart w:id="1095" w:name="DESCRIPTORALFABETICO338"/>
      <w:r w:rsidRPr="00E1708A">
        <w:rPr>
          <w:rStyle w:val="TextoNormalNegritaCaracter"/>
        </w:rPr>
        <w:t>Doctrina del Tribunal Europeo de Derechos Humanos</w:t>
      </w:r>
      <w:bookmarkEnd w:id="1095"/>
      <w:r w:rsidRPr="00E1708A">
        <w:rPr>
          <w:rStyle w:val="TextoNormalCaracter"/>
        </w:rPr>
        <w:t xml:space="preserve">, Sentencias </w:t>
      </w:r>
      <w:hyperlink w:anchor="SENTENCIA_2023_78" w:history="1">
        <w:r w:rsidRPr="00E1708A">
          <w:rPr>
            <w:rStyle w:val="TextoNormalCaracter"/>
          </w:rPr>
          <w:t>78/2023</w:t>
        </w:r>
      </w:hyperlink>
      <w:r w:rsidRPr="00E1708A">
        <w:rPr>
          <w:rStyle w:val="TextoNormalCaracter"/>
        </w:rPr>
        <w:t xml:space="preserve">, f. 7, VP II; </w:t>
      </w:r>
      <w:hyperlink w:anchor="SENTENCIA_2023_81" w:history="1">
        <w:r w:rsidRPr="00E1708A">
          <w:rPr>
            <w:rStyle w:val="TextoNormalCaracter"/>
          </w:rPr>
          <w:t>81/2023</w:t>
        </w:r>
      </w:hyperlink>
      <w:r w:rsidRPr="00E1708A">
        <w:rPr>
          <w:rStyle w:val="TextoNormalCaracter"/>
        </w:rPr>
        <w:t xml:space="preserve">, f. 2; </w:t>
      </w:r>
      <w:hyperlink w:anchor="SENTENCIA_2023_83" w:history="1">
        <w:r w:rsidRPr="00E1708A">
          <w:rPr>
            <w:rStyle w:val="TextoNormalCaracter"/>
          </w:rPr>
          <w:t>83/2023</w:t>
        </w:r>
      </w:hyperlink>
      <w:r w:rsidRPr="00E1708A">
        <w:rPr>
          <w:rStyle w:val="TextoNormalCaracter"/>
        </w:rPr>
        <w:t xml:space="preserve">, ff. 4 y 5, VP I; </w:t>
      </w:r>
      <w:hyperlink w:anchor="SENTENCIA_2023_84" w:history="1">
        <w:r w:rsidRPr="00E1708A">
          <w:rPr>
            <w:rStyle w:val="TextoNormalCaracter"/>
          </w:rPr>
          <w:t>84/2023</w:t>
        </w:r>
      </w:hyperlink>
      <w:r w:rsidRPr="00E1708A">
        <w:rPr>
          <w:rStyle w:val="TextoNormalCaracter"/>
        </w:rPr>
        <w:t xml:space="preserve">, f. 3; </w:t>
      </w:r>
      <w:hyperlink w:anchor="SENTENCIA_2023_88" w:history="1">
        <w:r w:rsidRPr="00E1708A">
          <w:rPr>
            <w:rStyle w:val="TextoNormalCaracter"/>
          </w:rPr>
          <w:t>88/2023</w:t>
        </w:r>
      </w:hyperlink>
      <w:r w:rsidRPr="00E1708A">
        <w:rPr>
          <w:rStyle w:val="TextoNormalCaracter"/>
        </w:rPr>
        <w:t xml:space="preserve">, f. 4; </w:t>
      </w:r>
      <w:hyperlink w:anchor="SENTENCIA_2023_94" w:history="1">
        <w:r w:rsidRPr="00E1708A">
          <w:rPr>
            <w:rStyle w:val="TextoNormalCaracter"/>
          </w:rPr>
          <w:t>94/2023</w:t>
        </w:r>
      </w:hyperlink>
      <w:r w:rsidRPr="00E1708A">
        <w:rPr>
          <w:rStyle w:val="TextoNormalCaracter"/>
        </w:rPr>
        <w:t xml:space="preserve">, f. 2, VP III; </w:t>
      </w:r>
      <w:hyperlink w:anchor="SENTENCIA_2023_131" w:history="1">
        <w:r w:rsidRPr="00E1708A">
          <w:rPr>
            <w:rStyle w:val="TextoNormalCaracter"/>
          </w:rPr>
          <w:t>131/2023</w:t>
        </w:r>
      </w:hyperlink>
      <w:r w:rsidRPr="00E1708A">
        <w:rPr>
          <w:rStyle w:val="TextoNormalCaracter"/>
        </w:rPr>
        <w:t xml:space="preserve">, f. 2, VP; </w:t>
      </w:r>
      <w:hyperlink w:anchor="SENTENCIA_2023_164" w:history="1">
        <w:r w:rsidRPr="00E1708A">
          <w:rPr>
            <w:rStyle w:val="TextoNormalCaracter"/>
          </w:rPr>
          <w:t>164/2023</w:t>
        </w:r>
      </w:hyperlink>
      <w:r w:rsidRPr="00E1708A">
        <w:rPr>
          <w:rStyle w:val="TextoNormalCaracter"/>
        </w:rPr>
        <w:t>, f. 2, VP II.</w:t>
      </w:r>
    </w:p>
    <w:p w14:paraId="02324B26" w14:textId="710D417A" w:rsidR="00E1708A" w:rsidRPr="00E1708A" w:rsidRDefault="00E1708A" w:rsidP="00E1708A">
      <w:pPr>
        <w:pStyle w:val="TextoNormalSangraFrancesa"/>
        <w:rPr>
          <w:rStyle w:val="TextoNormalCaracter"/>
        </w:rPr>
      </w:pPr>
      <w:r w:rsidRPr="00E1708A">
        <w:rPr>
          <w:rStyle w:val="TextoNormalCaracter"/>
        </w:rPr>
        <w:t xml:space="preserve">    Auto </w:t>
      </w:r>
      <w:hyperlink w:anchor="AUTO_2023_338" w:history="1">
        <w:r w:rsidRPr="00E1708A">
          <w:rPr>
            <w:rStyle w:val="TextoNormalCaracter"/>
          </w:rPr>
          <w:t>338/2023</w:t>
        </w:r>
      </w:hyperlink>
      <w:r w:rsidRPr="00E1708A">
        <w:rPr>
          <w:rStyle w:val="TextoNormalCaracter"/>
        </w:rPr>
        <w:t>, f.4,VP.</w:t>
      </w:r>
    </w:p>
    <w:p w14:paraId="08A5D7A8" w14:textId="7027C3D0" w:rsidR="00E1708A" w:rsidRPr="00E1708A" w:rsidRDefault="00E1708A" w:rsidP="00E1708A">
      <w:pPr>
        <w:pStyle w:val="TextoNormalSangraFrancesa"/>
        <w:rPr>
          <w:rStyle w:val="TextoNormalCaracter"/>
        </w:rPr>
      </w:pPr>
      <w:bookmarkStart w:id="1096" w:name="DESCRIPTORALFABETICO217"/>
      <w:r w:rsidRPr="00E1708A">
        <w:rPr>
          <w:rStyle w:val="TextoNormalNegritaCaracter"/>
        </w:rPr>
        <w:t>Doctrina del Tribunal Supremo</w:t>
      </w:r>
      <w:bookmarkEnd w:id="1096"/>
      <w:r w:rsidRPr="00E1708A">
        <w:rPr>
          <w:rStyle w:val="TextoNormalCaracter"/>
        </w:rPr>
        <w:t xml:space="preserve">, Sentencias </w:t>
      </w:r>
      <w:hyperlink w:anchor="SENTENCIA_2023_89" w:history="1">
        <w:r w:rsidRPr="00E1708A">
          <w:rPr>
            <w:rStyle w:val="TextoNormalCaracter"/>
          </w:rPr>
          <w:t>89/2023</w:t>
        </w:r>
      </w:hyperlink>
      <w:r w:rsidRPr="00E1708A">
        <w:rPr>
          <w:rStyle w:val="TextoNormalCaracter"/>
        </w:rPr>
        <w:t xml:space="preserve">, ff. 1 y 2 , VP I , VP II, VP III; </w:t>
      </w:r>
      <w:hyperlink w:anchor="SENTENCIA_2023_91" w:history="1">
        <w:r w:rsidRPr="00E1708A">
          <w:rPr>
            <w:rStyle w:val="TextoNormalCaracter"/>
          </w:rPr>
          <w:t>91/2023</w:t>
        </w:r>
      </w:hyperlink>
      <w:r w:rsidRPr="00E1708A">
        <w:rPr>
          <w:rStyle w:val="TextoNormalCaracter"/>
        </w:rPr>
        <w:t xml:space="preserve">, ff. 3 y 4; </w:t>
      </w:r>
      <w:hyperlink w:anchor="SENTENCIA_2023_96" w:history="1">
        <w:r w:rsidRPr="00E1708A">
          <w:rPr>
            <w:rStyle w:val="TextoNormalCaracter"/>
          </w:rPr>
          <w:t>96/2023</w:t>
        </w:r>
      </w:hyperlink>
      <w:r w:rsidRPr="00E1708A">
        <w:rPr>
          <w:rStyle w:val="TextoNormalCaracter"/>
        </w:rPr>
        <w:t>, ff. 2 y 3.</w:t>
      </w:r>
    </w:p>
    <w:p w14:paraId="6961ADB4" w14:textId="58E68299" w:rsidR="00E1708A" w:rsidRPr="00E1708A" w:rsidRDefault="00E1708A" w:rsidP="00E1708A">
      <w:pPr>
        <w:pStyle w:val="TextoNormalSangraFrancesa"/>
        <w:rPr>
          <w:rStyle w:val="TextoNormalCaracter"/>
        </w:rPr>
      </w:pPr>
      <w:bookmarkStart w:id="1097" w:name="DESCRIPTORALFABETICO308"/>
      <w:r w:rsidRPr="00E1708A">
        <w:rPr>
          <w:rStyle w:val="TextoNormalNegritaCaracter"/>
        </w:rPr>
        <w:t>Documentación del expediente sancionador</w:t>
      </w:r>
      <w:bookmarkEnd w:id="1097"/>
      <w:r w:rsidRPr="00E1708A">
        <w:rPr>
          <w:rStyle w:val="TextoNormalCaracter"/>
        </w:rPr>
        <w:t xml:space="preserve">, Sentencia </w:t>
      </w:r>
      <w:hyperlink w:anchor="SENTENCIA_2023_150" w:history="1">
        <w:r w:rsidRPr="00E1708A">
          <w:rPr>
            <w:rStyle w:val="TextoNormalCaracter"/>
          </w:rPr>
          <w:t>150/2023</w:t>
        </w:r>
      </w:hyperlink>
      <w:r w:rsidRPr="00E1708A">
        <w:rPr>
          <w:rStyle w:val="TextoNormalCaracter"/>
        </w:rPr>
        <w:t>, ff. 1 a 3.</w:t>
      </w:r>
    </w:p>
    <w:p w14:paraId="4177CD84" w14:textId="571EC7DF" w:rsidR="00E1708A" w:rsidRPr="00E1708A" w:rsidRDefault="00E1708A" w:rsidP="00E1708A">
      <w:pPr>
        <w:pStyle w:val="TextoNormalSangraFrancesa"/>
        <w:rPr>
          <w:rStyle w:val="TextoNormalCaracter"/>
        </w:rPr>
      </w:pPr>
      <w:bookmarkStart w:id="1098" w:name="DESCRIPTORALFABETICO369"/>
      <w:r w:rsidRPr="00E1708A">
        <w:rPr>
          <w:rStyle w:val="TextoNormalNegritaCaracter"/>
        </w:rPr>
        <w:t>Documento de instrucciones previas / Testamento vital</w:t>
      </w:r>
      <w:bookmarkEnd w:id="1098"/>
      <w:r w:rsidRPr="00E1708A">
        <w:rPr>
          <w:rStyle w:val="TextoNormalCaracter"/>
        </w:rPr>
        <w:t xml:space="preserve">, Sentencia </w:t>
      </w:r>
      <w:hyperlink w:anchor="SENTENCIA_2023_94" w:history="1">
        <w:r w:rsidRPr="00E1708A">
          <w:rPr>
            <w:rStyle w:val="TextoNormalCaracter"/>
          </w:rPr>
          <w:t>94/2023</w:t>
        </w:r>
      </w:hyperlink>
      <w:r w:rsidRPr="00E1708A">
        <w:rPr>
          <w:rStyle w:val="TextoNormalCaracter"/>
        </w:rPr>
        <w:t>, f. 3.</w:t>
      </w:r>
    </w:p>
    <w:p w14:paraId="3FBEDC5B" w14:textId="2244B8F2" w:rsidR="00E1708A" w:rsidRDefault="00E1708A" w:rsidP="00E1708A">
      <w:pPr>
        <w:pStyle w:val="TextoNormalSangraFrancesa"/>
      </w:pPr>
    </w:p>
    <w:p w14:paraId="7559CB23" w14:textId="77777777" w:rsidR="00E1708A" w:rsidRDefault="00E1708A" w:rsidP="00E1708A">
      <w:pPr>
        <w:pStyle w:val="TextoNormalSangraFrancesa"/>
      </w:pPr>
    </w:p>
    <w:p w14:paraId="3F36A3EB" w14:textId="77777777" w:rsidR="00E1708A" w:rsidRDefault="00E1708A" w:rsidP="00E1708A">
      <w:pPr>
        <w:pStyle w:val="TextoNormalNegritaCentrado"/>
      </w:pPr>
      <w:r>
        <w:t>E</w:t>
      </w:r>
    </w:p>
    <w:p w14:paraId="52AA5E04" w14:textId="6CE5994A" w:rsidR="00E1708A" w:rsidRDefault="00E1708A" w:rsidP="00E1708A">
      <w:pPr>
        <w:pStyle w:val="TextoNormalNegritaCentrado"/>
      </w:pPr>
    </w:p>
    <w:p w14:paraId="5C606B5F" w14:textId="08044861" w:rsidR="00E1708A" w:rsidRPr="00E1708A" w:rsidRDefault="00E1708A" w:rsidP="00E1708A">
      <w:pPr>
        <w:pStyle w:val="TextoNormalSangraFrancesa"/>
        <w:rPr>
          <w:rStyle w:val="TextoNormalCaracter"/>
        </w:rPr>
      </w:pPr>
      <w:bookmarkStart w:id="1099" w:name="DESCRIPTORALFABETICO126"/>
      <w:r w:rsidRPr="00E1708A">
        <w:rPr>
          <w:rStyle w:val="TextoNormalNegritaCaracter"/>
        </w:rPr>
        <w:t>Efecto desaliento del ejercicio de los derechos fundamentales</w:t>
      </w:r>
      <w:bookmarkEnd w:id="1099"/>
      <w:r w:rsidRPr="00E1708A">
        <w:rPr>
          <w:rStyle w:val="TextoNormalCaracter"/>
        </w:rPr>
        <w:t xml:space="preserve">, Sentencias </w:t>
      </w:r>
      <w:hyperlink w:anchor="SENTENCIA_2023_91" w:history="1">
        <w:r w:rsidRPr="00E1708A">
          <w:rPr>
            <w:rStyle w:val="TextoNormalCaracter"/>
          </w:rPr>
          <w:t>91/2023</w:t>
        </w:r>
      </w:hyperlink>
      <w:r w:rsidRPr="00E1708A">
        <w:rPr>
          <w:rStyle w:val="TextoNormalCaracter"/>
        </w:rPr>
        <w:t xml:space="preserve">, ff. 3 y 4; </w:t>
      </w:r>
      <w:hyperlink w:anchor="SENTENCIA_2023_96" w:history="1">
        <w:r w:rsidRPr="00E1708A">
          <w:rPr>
            <w:rStyle w:val="TextoNormalCaracter"/>
          </w:rPr>
          <w:t>96/2023</w:t>
        </w:r>
      </w:hyperlink>
      <w:r w:rsidRPr="00E1708A">
        <w:rPr>
          <w:rStyle w:val="TextoNormalCaracter"/>
        </w:rPr>
        <w:t>, ff. 2 y 3.</w:t>
      </w:r>
    </w:p>
    <w:p w14:paraId="34B96F04" w14:textId="48CE06B0" w:rsidR="00E1708A" w:rsidRPr="00E1708A" w:rsidRDefault="00E1708A" w:rsidP="00E1708A">
      <w:pPr>
        <w:pStyle w:val="TextoNormalSangraFrancesa"/>
        <w:rPr>
          <w:rStyle w:val="TextoNormalCaracter"/>
        </w:rPr>
      </w:pPr>
      <w:bookmarkStart w:id="1100" w:name="DESCRIPTORALFABETICO100"/>
      <w:r w:rsidRPr="00E1708A">
        <w:rPr>
          <w:rStyle w:val="TextoNormalNegritaCaracter"/>
        </w:rPr>
        <w:t xml:space="preserve">Ejercicio </w:t>
      </w:r>
      <w:r w:rsidRPr="00E1708A">
        <w:rPr>
          <w:rStyle w:val="TextoNormalNegritaCaracter"/>
          <w:i/>
        </w:rPr>
        <w:t>inter privatos</w:t>
      </w:r>
      <w:bookmarkEnd w:id="1100"/>
      <w:r w:rsidRPr="00E1708A">
        <w:rPr>
          <w:rStyle w:val="TextoNormalCaracter"/>
        </w:rPr>
        <w:t xml:space="preserve">, Sentencia </w:t>
      </w:r>
      <w:hyperlink w:anchor="SENTENCIA_2023_129" w:history="1">
        <w:r w:rsidRPr="00E1708A">
          <w:rPr>
            <w:rStyle w:val="TextoNormalCaracter"/>
          </w:rPr>
          <w:t>129/2023</w:t>
        </w:r>
      </w:hyperlink>
      <w:r w:rsidRPr="00E1708A">
        <w:rPr>
          <w:rStyle w:val="TextoNormalCaracter"/>
        </w:rPr>
        <w:t>, ff. 3 y 4.</w:t>
      </w:r>
    </w:p>
    <w:p w14:paraId="78BD8988" w14:textId="35CEEEB2" w:rsidR="00E1708A" w:rsidRPr="00E1708A" w:rsidRDefault="00E1708A" w:rsidP="00E1708A">
      <w:pPr>
        <w:pStyle w:val="TextoNormalSangraFrancesa"/>
        <w:rPr>
          <w:rStyle w:val="TextoNormalCaracter"/>
        </w:rPr>
      </w:pPr>
      <w:bookmarkStart w:id="1101" w:name="DESCRIPTORALFABETICO229"/>
      <w:r w:rsidRPr="00E1708A">
        <w:rPr>
          <w:rStyle w:val="TextoNormalNegritaCaracter"/>
        </w:rPr>
        <w:t>Elaboración de informes sobre proyectos de leyes</w:t>
      </w:r>
      <w:bookmarkEnd w:id="1101"/>
      <w:r w:rsidRPr="00E1708A">
        <w:rPr>
          <w:rStyle w:val="TextoNormalCaracter"/>
        </w:rPr>
        <w:t xml:space="preserve">, Sentencia </w:t>
      </w:r>
      <w:hyperlink w:anchor="SENTENCIA_2023_94" w:history="1">
        <w:r w:rsidRPr="00E1708A">
          <w:rPr>
            <w:rStyle w:val="TextoNormalCaracter"/>
          </w:rPr>
          <w:t>94/2023</w:t>
        </w:r>
      </w:hyperlink>
      <w:r w:rsidRPr="00E1708A">
        <w:rPr>
          <w:rStyle w:val="TextoNormalCaracter"/>
        </w:rPr>
        <w:t>, f. 2.</w:t>
      </w:r>
    </w:p>
    <w:p w14:paraId="204DBF22" w14:textId="3AF7E8E8" w:rsidR="00E1708A" w:rsidRPr="00E1708A" w:rsidRDefault="00E1708A" w:rsidP="00E1708A">
      <w:pPr>
        <w:pStyle w:val="TextoNormalSangraFrancesa"/>
        <w:rPr>
          <w:rStyle w:val="TextoNormalCaracter"/>
        </w:rPr>
      </w:pPr>
      <w:bookmarkStart w:id="1102" w:name="DESCRIPTORALFABETICO200"/>
      <w:r w:rsidRPr="00E1708A">
        <w:rPr>
          <w:rStyle w:val="TextoNormalNegritaCaracter"/>
        </w:rPr>
        <w:t>Elección de magistrados por el Consejo General del Poder Judicial</w:t>
      </w:r>
      <w:bookmarkEnd w:id="1102"/>
      <w:r w:rsidRPr="00E1708A">
        <w:rPr>
          <w:rStyle w:val="TextoNormalCaracter"/>
        </w:rPr>
        <w:t xml:space="preserve">, Sentencia </w:t>
      </w:r>
      <w:hyperlink w:anchor="SENTENCIA_2023_128" w:history="1">
        <w:r w:rsidRPr="00E1708A">
          <w:rPr>
            <w:rStyle w:val="TextoNormalCaracter"/>
          </w:rPr>
          <w:t>128/2023</w:t>
        </w:r>
      </w:hyperlink>
      <w:r w:rsidRPr="00E1708A">
        <w:rPr>
          <w:rStyle w:val="TextoNormalCaracter"/>
        </w:rPr>
        <w:t>, f. 2.</w:t>
      </w:r>
    </w:p>
    <w:p w14:paraId="5672CC0C" w14:textId="2A4E1975" w:rsidR="00E1708A" w:rsidRPr="00E1708A" w:rsidRDefault="00E1708A" w:rsidP="00E1708A">
      <w:pPr>
        <w:pStyle w:val="TextoNormalSangraFrancesa"/>
        <w:rPr>
          <w:rStyle w:val="TextoNormalCaracter"/>
        </w:rPr>
      </w:pPr>
      <w:bookmarkStart w:id="1103" w:name="DESCRIPTORALFABETICO358"/>
      <w:r w:rsidRPr="00E1708A">
        <w:rPr>
          <w:rStyle w:val="TextoNormalNegritaCaracter"/>
        </w:rPr>
        <w:t>Embarazo</w:t>
      </w:r>
      <w:bookmarkEnd w:id="1103"/>
      <w:r w:rsidRPr="00E1708A">
        <w:rPr>
          <w:rStyle w:val="TextoNormalCaracter"/>
        </w:rPr>
        <w:t xml:space="preserve">, Sentencia </w:t>
      </w:r>
      <w:hyperlink w:anchor="SENTENCIA_2023_78" w:history="1">
        <w:r w:rsidRPr="00E1708A">
          <w:rPr>
            <w:rStyle w:val="TextoNormalCaracter"/>
          </w:rPr>
          <w:t>78/2023</w:t>
        </w:r>
      </w:hyperlink>
      <w:r w:rsidRPr="00E1708A">
        <w:rPr>
          <w:rStyle w:val="TextoNormalCaracter"/>
        </w:rPr>
        <w:t>, ff. 5 a 7, VP I, VP II.</w:t>
      </w:r>
    </w:p>
    <w:p w14:paraId="398DB201" w14:textId="0622B91E" w:rsidR="00E1708A" w:rsidRPr="00E1708A" w:rsidRDefault="00E1708A" w:rsidP="00E1708A">
      <w:pPr>
        <w:pStyle w:val="TextoNormalSangraFrancesa"/>
        <w:rPr>
          <w:rStyle w:val="TextoNormalCaracter"/>
        </w:rPr>
      </w:pPr>
      <w:bookmarkStart w:id="1104" w:name="DESCRIPTORALFABETICO392"/>
      <w:r w:rsidRPr="00E1708A">
        <w:rPr>
          <w:rStyle w:val="TextoNormalNegritaCaracter"/>
        </w:rPr>
        <w:t>Emplazamiento edictal sin agotar los medios de comunicación efectiva</w:t>
      </w:r>
      <w:bookmarkEnd w:id="1104"/>
      <w:r w:rsidRPr="00E1708A">
        <w:rPr>
          <w:rStyle w:val="TextoNormalCaracter"/>
        </w:rPr>
        <w:t xml:space="preserve">, Sentencia </w:t>
      </w:r>
      <w:hyperlink w:anchor="SENTENCIA_2023_137" w:history="1">
        <w:r w:rsidRPr="00E1708A">
          <w:rPr>
            <w:rStyle w:val="TextoNormalCaracter"/>
          </w:rPr>
          <w:t>137/2023</w:t>
        </w:r>
      </w:hyperlink>
      <w:r w:rsidRPr="00E1708A">
        <w:rPr>
          <w:rStyle w:val="TextoNormalCaracter"/>
        </w:rPr>
        <w:t>, ff. 1 y 2.</w:t>
      </w:r>
    </w:p>
    <w:p w14:paraId="2D26B19D" w14:textId="58844893" w:rsidR="00E1708A" w:rsidRPr="00E1708A" w:rsidRDefault="00E1708A" w:rsidP="00E1708A">
      <w:pPr>
        <w:pStyle w:val="TextoNormalSangraFrancesa"/>
        <w:rPr>
          <w:rStyle w:val="TextoNormalCaracter"/>
        </w:rPr>
      </w:pPr>
      <w:bookmarkStart w:id="1105" w:name="DESCRIPTORALFABETICO292"/>
      <w:r w:rsidRPr="00E1708A">
        <w:rPr>
          <w:rStyle w:val="TextoNormalNegritaCaracter"/>
        </w:rPr>
        <w:t>Empleo público</w:t>
      </w:r>
      <w:bookmarkEnd w:id="1105"/>
      <w:r w:rsidRPr="00E1708A">
        <w:rPr>
          <w:rStyle w:val="TextoNormalCaracter"/>
        </w:rPr>
        <w:t xml:space="preserve">, Sentencia </w:t>
      </w:r>
      <w:hyperlink w:anchor="SENTENCIA_2023_145" w:history="1">
        <w:r w:rsidRPr="00E1708A">
          <w:rPr>
            <w:rStyle w:val="TextoNormalCaracter"/>
          </w:rPr>
          <w:t>145/2023</w:t>
        </w:r>
      </w:hyperlink>
      <w:r w:rsidRPr="00E1708A">
        <w:rPr>
          <w:rStyle w:val="TextoNormalCaracter"/>
        </w:rPr>
        <w:t>, ff. 1, 2, 4, 5, 6.</w:t>
      </w:r>
    </w:p>
    <w:p w14:paraId="48ED4A5B" w14:textId="265894E8" w:rsidR="00E1708A" w:rsidRPr="00E1708A" w:rsidRDefault="00E1708A" w:rsidP="00E1708A">
      <w:pPr>
        <w:pStyle w:val="TextoNormalSangraFrancesa"/>
        <w:rPr>
          <w:rStyle w:val="TextoNormalCaracter"/>
        </w:rPr>
      </w:pPr>
      <w:bookmarkStart w:id="1106" w:name="DESCRIPTORALFABETICO300"/>
      <w:r w:rsidRPr="00E1708A">
        <w:rPr>
          <w:rStyle w:val="TextoNormalNegritaCaracter"/>
        </w:rPr>
        <w:t>Entidades de crédito</w:t>
      </w:r>
      <w:bookmarkEnd w:id="1106"/>
      <w:r w:rsidRPr="00E1708A">
        <w:rPr>
          <w:rStyle w:val="TextoNormalCaracter"/>
        </w:rPr>
        <w:t xml:space="preserve">, Sentencia </w:t>
      </w:r>
      <w:hyperlink w:anchor="SENTENCIA_2023_179" w:history="1">
        <w:r w:rsidRPr="00E1708A">
          <w:rPr>
            <w:rStyle w:val="TextoNormalCaracter"/>
          </w:rPr>
          <w:t>179/2023</w:t>
        </w:r>
      </w:hyperlink>
      <w:r w:rsidRPr="00E1708A">
        <w:rPr>
          <w:rStyle w:val="TextoNormalCaracter"/>
        </w:rPr>
        <w:t>, f. 1.</w:t>
      </w:r>
    </w:p>
    <w:p w14:paraId="671C624B" w14:textId="7C59FB6E" w:rsidR="00E1708A" w:rsidRPr="00E1708A" w:rsidRDefault="00E1708A" w:rsidP="00E1708A">
      <w:pPr>
        <w:pStyle w:val="TextoNormalSangraFrancesa"/>
        <w:rPr>
          <w:rStyle w:val="TextoNormalCaracter"/>
        </w:rPr>
      </w:pPr>
      <w:bookmarkStart w:id="1107" w:name="DESCRIPTORALFABETICO124"/>
      <w:r w:rsidRPr="00E1708A">
        <w:rPr>
          <w:rStyle w:val="TextoNormalNegritaCaracter"/>
        </w:rPr>
        <w:t>Estado de alarma</w:t>
      </w:r>
      <w:bookmarkEnd w:id="1107"/>
      <w:r w:rsidRPr="00E1708A">
        <w:rPr>
          <w:rStyle w:val="TextoNormalCaracter"/>
        </w:rPr>
        <w:t xml:space="preserve">, Sentencias </w:t>
      </w:r>
      <w:hyperlink w:anchor="SENTENCIA_2023_84" w:history="1">
        <w:r w:rsidRPr="00E1708A">
          <w:rPr>
            <w:rStyle w:val="TextoNormalCaracter"/>
          </w:rPr>
          <w:t>84/2023</w:t>
        </w:r>
      </w:hyperlink>
      <w:r w:rsidRPr="00E1708A">
        <w:rPr>
          <w:rStyle w:val="TextoNormalCaracter"/>
        </w:rPr>
        <w:t xml:space="preserve">, ff. 2 a 4; </w:t>
      </w:r>
      <w:hyperlink w:anchor="SENTENCIA_2023_88" w:history="1">
        <w:r w:rsidRPr="00E1708A">
          <w:rPr>
            <w:rStyle w:val="TextoNormalCaracter"/>
          </w:rPr>
          <w:t>88/2023</w:t>
        </w:r>
      </w:hyperlink>
      <w:r w:rsidRPr="00E1708A">
        <w:rPr>
          <w:rStyle w:val="TextoNormalCaracter"/>
        </w:rPr>
        <w:t>, ff. 2 a 4.</w:t>
      </w:r>
    </w:p>
    <w:p w14:paraId="743D7B9C" w14:textId="6E17E82D" w:rsidR="00E1708A" w:rsidRPr="00E1708A" w:rsidRDefault="00E1708A" w:rsidP="00E1708A">
      <w:pPr>
        <w:pStyle w:val="TextoNormalSangraFrancesa"/>
        <w:rPr>
          <w:rStyle w:val="TextoNormalCaracter"/>
        </w:rPr>
      </w:pPr>
      <w:bookmarkStart w:id="1108" w:name="DESCRIPTORALFABETICO277"/>
      <w:r w:rsidRPr="00E1708A">
        <w:rPr>
          <w:rStyle w:val="TextoNormalNegritaCaracter"/>
        </w:rPr>
        <w:t>Estado social y democrático de Derecho</w:t>
      </w:r>
      <w:bookmarkEnd w:id="1108"/>
      <w:r w:rsidRPr="00E1708A">
        <w:rPr>
          <w:rStyle w:val="TextoNormalCaracter"/>
        </w:rPr>
        <w:t xml:space="preserve">, Sentencia </w:t>
      </w:r>
      <w:hyperlink w:anchor="SENTENCIA_2023_79" w:history="1">
        <w:r w:rsidRPr="00E1708A">
          <w:rPr>
            <w:rStyle w:val="TextoNormalCaracter"/>
          </w:rPr>
          <w:t>79/2023</w:t>
        </w:r>
      </w:hyperlink>
      <w:r w:rsidRPr="00E1708A">
        <w:rPr>
          <w:rStyle w:val="TextoNormalCaracter"/>
        </w:rPr>
        <w:t>, f. 3.</w:t>
      </w:r>
    </w:p>
    <w:p w14:paraId="53CEB33B" w14:textId="124C55EF" w:rsidR="00E1708A" w:rsidRPr="00E1708A" w:rsidRDefault="00E1708A" w:rsidP="00E1708A">
      <w:pPr>
        <w:pStyle w:val="TextoNormalSangraFrancesa"/>
        <w:rPr>
          <w:rStyle w:val="TextoNormalCaracter"/>
        </w:rPr>
      </w:pPr>
      <w:bookmarkStart w:id="1109" w:name="DESCRIPTORALFABETICO367"/>
      <w:r w:rsidRPr="00E1708A">
        <w:rPr>
          <w:rStyle w:val="TextoNormalNegritaCaracter"/>
        </w:rPr>
        <w:t>Estatutos sociales</w:t>
      </w:r>
      <w:bookmarkEnd w:id="1109"/>
      <w:r w:rsidRPr="00E1708A">
        <w:rPr>
          <w:rStyle w:val="TextoNormalCaracter"/>
        </w:rPr>
        <w:t xml:space="preserve">, Sentencia </w:t>
      </w:r>
      <w:hyperlink w:anchor="SENTENCIA_2023_129" w:history="1">
        <w:r w:rsidRPr="00E1708A">
          <w:rPr>
            <w:rStyle w:val="TextoNormalCaracter"/>
          </w:rPr>
          <w:t>129/2023</w:t>
        </w:r>
      </w:hyperlink>
      <w:r w:rsidRPr="00E1708A">
        <w:rPr>
          <w:rStyle w:val="TextoNormalCaracter"/>
        </w:rPr>
        <w:t>, ff. 1, 3 y 4.</w:t>
      </w:r>
    </w:p>
    <w:p w14:paraId="5A24DAB5" w14:textId="6D3749AD" w:rsidR="00E1708A" w:rsidRPr="00E1708A" w:rsidRDefault="00E1708A" w:rsidP="00E1708A">
      <w:pPr>
        <w:pStyle w:val="TextoNormalSangraFrancesa"/>
        <w:rPr>
          <w:rStyle w:val="TextoNormalCaracter"/>
        </w:rPr>
      </w:pPr>
      <w:bookmarkStart w:id="1110" w:name="DESCRIPTORALFABETICO158"/>
      <w:r w:rsidRPr="00E1708A">
        <w:rPr>
          <w:rStyle w:val="TextoNormalNegritaCaracter"/>
        </w:rPr>
        <w:t>Estimación de recurso de súplica contra Autos del Tribunal Constitucional</w:t>
      </w:r>
      <w:bookmarkEnd w:id="1110"/>
      <w:r w:rsidRPr="00E1708A">
        <w:rPr>
          <w:rStyle w:val="TextoNormalCaracter"/>
        </w:rPr>
        <w:t xml:space="preserve">, Auto </w:t>
      </w:r>
      <w:hyperlink w:anchor="AUTO_2023_353" w:history="1">
        <w:r w:rsidRPr="00E1708A">
          <w:rPr>
            <w:rStyle w:val="TextoNormalCaracter"/>
          </w:rPr>
          <w:t>353/2023</w:t>
        </w:r>
      </w:hyperlink>
      <w:r w:rsidRPr="00E1708A">
        <w:rPr>
          <w:rStyle w:val="TextoNormalCaracter"/>
        </w:rPr>
        <w:t>, ff. 2 y 3.</w:t>
      </w:r>
    </w:p>
    <w:p w14:paraId="55F94436" w14:textId="44C87D17" w:rsidR="00E1708A" w:rsidRPr="00E1708A" w:rsidRDefault="00E1708A" w:rsidP="00E1708A">
      <w:pPr>
        <w:pStyle w:val="TextoNormalSangraFrancesa"/>
        <w:rPr>
          <w:rStyle w:val="TextoNormalCaracter"/>
        </w:rPr>
      </w:pPr>
      <w:bookmarkStart w:id="1111" w:name="DESCRIPTORALFABETICO159"/>
      <w:r w:rsidRPr="00E1708A">
        <w:rPr>
          <w:rStyle w:val="TextoNormalNegritaCaracter"/>
        </w:rPr>
        <w:t>Estimación e inadmisión de recurso de amparo</w:t>
      </w:r>
      <w:bookmarkEnd w:id="1111"/>
      <w:r w:rsidRPr="00E1708A">
        <w:rPr>
          <w:rStyle w:val="TextoNormalCaracter"/>
        </w:rPr>
        <w:t xml:space="preserve">, Autos </w:t>
      </w:r>
      <w:hyperlink w:anchor="AUTO_2023_375" w:history="1">
        <w:r w:rsidRPr="00E1708A">
          <w:rPr>
            <w:rStyle w:val="TextoNormalCaracter"/>
          </w:rPr>
          <w:t>375/2023</w:t>
        </w:r>
      </w:hyperlink>
      <w:r w:rsidRPr="00E1708A">
        <w:rPr>
          <w:rStyle w:val="TextoNormalCaracter"/>
        </w:rPr>
        <w:t xml:space="preserve">, ff. 1 y 2; </w:t>
      </w:r>
      <w:hyperlink w:anchor="AUTO_2023_447" w:history="1">
        <w:r w:rsidRPr="00E1708A">
          <w:rPr>
            <w:rStyle w:val="TextoNormalCaracter"/>
          </w:rPr>
          <w:t>447/2023</w:t>
        </w:r>
      </w:hyperlink>
      <w:r w:rsidRPr="00E1708A">
        <w:rPr>
          <w:rStyle w:val="TextoNormalCaracter"/>
        </w:rPr>
        <w:t xml:space="preserve">, ff. 1 y 2; </w:t>
      </w:r>
      <w:hyperlink w:anchor="AUTO_2023_448" w:history="1">
        <w:r w:rsidRPr="00E1708A">
          <w:rPr>
            <w:rStyle w:val="TextoNormalCaracter"/>
          </w:rPr>
          <w:t>448/2023</w:t>
        </w:r>
      </w:hyperlink>
      <w:r w:rsidRPr="00E1708A">
        <w:rPr>
          <w:rStyle w:val="TextoNormalCaracter"/>
        </w:rPr>
        <w:t>, ff. 1 a 5.</w:t>
      </w:r>
    </w:p>
    <w:p w14:paraId="58B8F779" w14:textId="3D6221B9" w:rsidR="00E1708A" w:rsidRPr="00E1708A" w:rsidRDefault="00E1708A" w:rsidP="00E1708A">
      <w:pPr>
        <w:pStyle w:val="TextoNormalSangraFrancesa"/>
        <w:rPr>
          <w:rStyle w:val="TextoNormalCaracter"/>
        </w:rPr>
      </w:pPr>
      <w:bookmarkStart w:id="1112" w:name="DESCRIPTORALFABETICO282"/>
      <w:r w:rsidRPr="00E1708A">
        <w:rPr>
          <w:rStyle w:val="TextoNormalNegritaCaracter"/>
        </w:rPr>
        <w:t>Euskera</w:t>
      </w:r>
      <w:bookmarkEnd w:id="1112"/>
      <w:r w:rsidRPr="00E1708A">
        <w:rPr>
          <w:rStyle w:val="TextoNormalCaracter"/>
        </w:rPr>
        <w:t xml:space="preserve">, Sentencia </w:t>
      </w:r>
      <w:hyperlink w:anchor="SENTENCIA_2023_85" w:history="1">
        <w:r w:rsidRPr="00E1708A">
          <w:rPr>
            <w:rStyle w:val="TextoNormalCaracter"/>
          </w:rPr>
          <w:t>85/2023</w:t>
        </w:r>
      </w:hyperlink>
      <w:r w:rsidRPr="00E1708A">
        <w:rPr>
          <w:rStyle w:val="TextoNormalCaracter"/>
        </w:rPr>
        <w:t>, ff. 2 a 4.</w:t>
      </w:r>
    </w:p>
    <w:p w14:paraId="7D79415D" w14:textId="4026106E" w:rsidR="00E1708A" w:rsidRPr="00E1708A" w:rsidRDefault="00E1708A" w:rsidP="00E1708A">
      <w:pPr>
        <w:pStyle w:val="TextoNormalSangraFrancesa"/>
        <w:rPr>
          <w:rStyle w:val="TextoNormalCaracter"/>
        </w:rPr>
      </w:pPr>
      <w:bookmarkStart w:id="1113" w:name="DESCRIPTORALFABETICO320"/>
      <w:r w:rsidRPr="00E1708A">
        <w:rPr>
          <w:rStyle w:val="TextoNormalNegritaCaracter"/>
        </w:rPr>
        <w:t>Eutanasia</w:t>
      </w:r>
      <w:bookmarkEnd w:id="1113"/>
      <w:r w:rsidRPr="00E1708A">
        <w:rPr>
          <w:rStyle w:val="TextoNormalCaracter"/>
        </w:rPr>
        <w:t xml:space="preserve">, Sentencia </w:t>
      </w:r>
      <w:hyperlink w:anchor="SENTENCIA_2023_94" w:history="1">
        <w:r w:rsidRPr="00E1708A">
          <w:rPr>
            <w:rStyle w:val="TextoNormalCaracter"/>
          </w:rPr>
          <w:t>94/2023</w:t>
        </w:r>
      </w:hyperlink>
      <w:r w:rsidRPr="00E1708A">
        <w:rPr>
          <w:rStyle w:val="TextoNormalCaracter"/>
        </w:rPr>
        <w:t>, ff. 3 a 6, VP III.</w:t>
      </w:r>
    </w:p>
    <w:p w14:paraId="79210BB6" w14:textId="38777022" w:rsidR="00E1708A" w:rsidRPr="00E1708A" w:rsidRDefault="00E1708A" w:rsidP="00E1708A">
      <w:pPr>
        <w:pStyle w:val="TextoNormalSangraFrancesa"/>
        <w:rPr>
          <w:rStyle w:val="TextoNormalCaracter"/>
        </w:rPr>
      </w:pPr>
      <w:bookmarkStart w:id="1114" w:name="DESCRIPTORALFABETICO110"/>
      <w:r w:rsidRPr="00E1708A">
        <w:rPr>
          <w:rStyle w:val="TextoNormalNegritaCaracter"/>
        </w:rPr>
        <w:t>Exclusión de un derecho al insulto</w:t>
      </w:r>
      <w:bookmarkEnd w:id="1114"/>
      <w:r w:rsidRPr="00E1708A">
        <w:rPr>
          <w:rStyle w:val="TextoNormalCaracter"/>
        </w:rPr>
        <w:t xml:space="preserve">, Sentencia </w:t>
      </w:r>
      <w:hyperlink w:anchor="SENTENCIA_2023_83" w:history="1">
        <w:r w:rsidRPr="00E1708A">
          <w:rPr>
            <w:rStyle w:val="TextoNormalCaracter"/>
          </w:rPr>
          <w:t>83/2023</w:t>
        </w:r>
      </w:hyperlink>
      <w:r w:rsidRPr="00E1708A">
        <w:rPr>
          <w:rStyle w:val="TextoNormalCaracter"/>
        </w:rPr>
        <w:t>, ff. 2, 3.</w:t>
      </w:r>
    </w:p>
    <w:p w14:paraId="72B81563" w14:textId="06E5EFEC" w:rsidR="00E1708A" w:rsidRPr="00E1708A" w:rsidRDefault="00E1708A" w:rsidP="00E1708A">
      <w:pPr>
        <w:pStyle w:val="TextoNormalSangraFrancesa"/>
        <w:rPr>
          <w:rStyle w:val="TextoNormalCaracter"/>
        </w:rPr>
      </w:pPr>
      <w:bookmarkStart w:id="1115" w:name="DESCRIPTORALFABETICO176"/>
      <w:r w:rsidRPr="00E1708A">
        <w:rPr>
          <w:rStyle w:val="TextoNormalNegritaCaracter"/>
        </w:rPr>
        <w:t>Exigencias del juicio de relevancia</w:t>
      </w:r>
      <w:bookmarkEnd w:id="1115"/>
      <w:r w:rsidRPr="00E1708A">
        <w:rPr>
          <w:rStyle w:val="TextoNormalCaracter"/>
        </w:rPr>
        <w:t xml:space="preserve">, Autos </w:t>
      </w:r>
      <w:hyperlink w:anchor="AUTO_2023_667" w:history="1">
        <w:r w:rsidRPr="00E1708A">
          <w:rPr>
            <w:rStyle w:val="TextoNormalCaracter"/>
          </w:rPr>
          <w:t>667/2023</w:t>
        </w:r>
      </w:hyperlink>
      <w:r w:rsidRPr="00E1708A">
        <w:rPr>
          <w:rStyle w:val="TextoNormalCaracter"/>
        </w:rPr>
        <w:t xml:space="preserve">, ff. 3 y 4; </w:t>
      </w:r>
      <w:hyperlink w:anchor="AUTO_2023_669" w:history="1">
        <w:r w:rsidRPr="00E1708A">
          <w:rPr>
            <w:rStyle w:val="TextoNormalCaracter"/>
          </w:rPr>
          <w:t>669/2023</w:t>
        </w:r>
      </w:hyperlink>
      <w:r w:rsidRPr="00E1708A">
        <w:rPr>
          <w:rStyle w:val="TextoNormalCaracter"/>
        </w:rPr>
        <w:t>, ff. 1 a 3.</w:t>
      </w:r>
    </w:p>
    <w:p w14:paraId="0C55EC1E" w14:textId="0609E033" w:rsidR="00E1708A" w:rsidRPr="00E1708A" w:rsidRDefault="00E1708A" w:rsidP="00E1708A">
      <w:pPr>
        <w:pStyle w:val="TextoNormalSangraFrancesa"/>
        <w:rPr>
          <w:rStyle w:val="TextoNormalCaracter"/>
        </w:rPr>
      </w:pPr>
      <w:bookmarkStart w:id="1116" w:name="DESCRIPTORALFABETICO405"/>
      <w:r w:rsidRPr="00E1708A">
        <w:rPr>
          <w:rStyle w:val="TextoNormalNegritaCaracter"/>
        </w:rPr>
        <w:t>Exploración de menores</w:t>
      </w:r>
      <w:bookmarkEnd w:id="1116"/>
      <w:r w:rsidRPr="00E1708A">
        <w:rPr>
          <w:rStyle w:val="TextoNormalCaracter"/>
        </w:rPr>
        <w:t xml:space="preserve">, Sentencia </w:t>
      </w:r>
      <w:hyperlink w:anchor="SENTENCIA_2023_181" w:history="1">
        <w:r w:rsidRPr="00E1708A">
          <w:rPr>
            <w:rStyle w:val="TextoNormalCaracter"/>
          </w:rPr>
          <w:t>181/2023</w:t>
        </w:r>
      </w:hyperlink>
      <w:r w:rsidRPr="00E1708A">
        <w:rPr>
          <w:rStyle w:val="TextoNormalCaracter"/>
        </w:rPr>
        <w:t>, f. 3.</w:t>
      </w:r>
    </w:p>
    <w:p w14:paraId="5B10523C" w14:textId="1EE13EA8" w:rsidR="00E1708A" w:rsidRPr="00E1708A" w:rsidRDefault="00E1708A" w:rsidP="00E1708A">
      <w:pPr>
        <w:pStyle w:val="TextoNormalSangraFrancesa"/>
        <w:rPr>
          <w:rStyle w:val="TextoNormalCaracter"/>
        </w:rPr>
      </w:pPr>
      <w:bookmarkStart w:id="1117" w:name="DESCRIPTORALFABETICO317"/>
      <w:r w:rsidRPr="00E1708A">
        <w:rPr>
          <w:rStyle w:val="TextoNormalNegritaCaracter"/>
        </w:rPr>
        <w:t>Explotaciones mineras</w:t>
      </w:r>
      <w:bookmarkEnd w:id="1117"/>
      <w:r w:rsidRPr="00E1708A">
        <w:rPr>
          <w:rStyle w:val="TextoNormalCaracter"/>
        </w:rPr>
        <w:t xml:space="preserve">, Sentencia </w:t>
      </w:r>
      <w:hyperlink w:anchor="SENTENCIA_2023_127" w:history="1">
        <w:r w:rsidRPr="00E1708A">
          <w:rPr>
            <w:rStyle w:val="TextoNormalCaracter"/>
          </w:rPr>
          <w:t>127/2023</w:t>
        </w:r>
      </w:hyperlink>
      <w:r w:rsidRPr="00E1708A">
        <w:rPr>
          <w:rStyle w:val="TextoNormalCaracter"/>
        </w:rPr>
        <w:t>, ff. 2 a 4, VP.</w:t>
      </w:r>
    </w:p>
    <w:p w14:paraId="38CED456" w14:textId="6C84F055" w:rsidR="00E1708A" w:rsidRPr="00E1708A" w:rsidRDefault="00E1708A" w:rsidP="00E1708A">
      <w:pPr>
        <w:pStyle w:val="TextoNormalSangraFrancesa"/>
        <w:rPr>
          <w:rStyle w:val="TextoNormalCaracter"/>
        </w:rPr>
      </w:pPr>
      <w:bookmarkStart w:id="1118" w:name="DESCRIPTORALFABETICO112"/>
      <w:r w:rsidRPr="00E1708A">
        <w:rPr>
          <w:rStyle w:val="TextoNormalNegritaCaracter"/>
        </w:rPr>
        <w:t>Expresiones vejatorias</w:t>
      </w:r>
      <w:bookmarkEnd w:id="1118"/>
      <w:r w:rsidRPr="00E1708A">
        <w:rPr>
          <w:rStyle w:val="TextoNormalCaracter"/>
        </w:rPr>
        <w:t xml:space="preserve">, Sentencia </w:t>
      </w:r>
      <w:hyperlink w:anchor="SENTENCIA_2023_83" w:history="1">
        <w:r w:rsidRPr="00E1708A">
          <w:rPr>
            <w:rStyle w:val="TextoNormalCaracter"/>
          </w:rPr>
          <w:t>83/2023</w:t>
        </w:r>
      </w:hyperlink>
      <w:r w:rsidRPr="00E1708A">
        <w:rPr>
          <w:rStyle w:val="TextoNormalCaracter"/>
        </w:rPr>
        <w:t>, f. 6, VP I.</w:t>
      </w:r>
    </w:p>
    <w:p w14:paraId="5E157676" w14:textId="0D79E2E1" w:rsidR="00E1708A" w:rsidRPr="00E1708A" w:rsidRDefault="00E1708A" w:rsidP="00E1708A">
      <w:pPr>
        <w:pStyle w:val="TextoNormalSangraFrancesa"/>
        <w:rPr>
          <w:rStyle w:val="TextoNormalCaracter"/>
        </w:rPr>
      </w:pPr>
      <w:bookmarkStart w:id="1119" w:name="DESCRIPTORALFABETICO321"/>
      <w:r w:rsidRPr="00E1708A">
        <w:rPr>
          <w:rStyle w:val="TextoNormalNegritaCaracter"/>
        </w:rPr>
        <w:t>Expropiación</w:t>
      </w:r>
      <w:bookmarkEnd w:id="1119"/>
      <w:r w:rsidRPr="00E1708A">
        <w:rPr>
          <w:rStyle w:val="TextoNormalCaracter"/>
        </w:rPr>
        <w:t xml:space="preserve">, Sentencia </w:t>
      </w:r>
      <w:hyperlink w:anchor="SENTENCIA_2023_168" w:history="1">
        <w:r w:rsidRPr="00E1708A">
          <w:rPr>
            <w:rStyle w:val="TextoNormalCaracter"/>
          </w:rPr>
          <w:t>168/2023</w:t>
        </w:r>
      </w:hyperlink>
      <w:r w:rsidRPr="00E1708A">
        <w:rPr>
          <w:rStyle w:val="TextoNormalCaracter"/>
        </w:rPr>
        <w:t>, ff. 1- 7.</w:t>
      </w:r>
    </w:p>
    <w:p w14:paraId="16CF11C4" w14:textId="409CFFB4" w:rsidR="00E1708A" w:rsidRPr="00E1708A" w:rsidRDefault="00E1708A" w:rsidP="00E1708A">
      <w:pPr>
        <w:pStyle w:val="TextoNormalSangraFrancesa"/>
        <w:rPr>
          <w:rStyle w:val="TextoNormalCaracter"/>
        </w:rPr>
      </w:pPr>
      <w:bookmarkStart w:id="1120" w:name="DESCRIPTORALFABETICO322"/>
      <w:r w:rsidRPr="00E1708A">
        <w:rPr>
          <w:rStyle w:val="TextoNormalNegritaCaracter"/>
        </w:rPr>
        <w:t>Expropiación rogada</w:t>
      </w:r>
      <w:bookmarkEnd w:id="1120"/>
      <w:r w:rsidRPr="00E1708A">
        <w:rPr>
          <w:rStyle w:val="TextoNormalCaracter"/>
        </w:rPr>
        <w:t xml:space="preserve">, Sentencia </w:t>
      </w:r>
      <w:hyperlink w:anchor="SENTENCIA_2023_168" w:history="1">
        <w:r w:rsidRPr="00E1708A">
          <w:rPr>
            <w:rStyle w:val="TextoNormalCaracter"/>
          </w:rPr>
          <w:t>168/2023</w:t>
        </w:r>
      </w:hyperlink>
      <w:r w:rsidRPr="00E1708A">
        <w:rPr>
          <w:rStyle w:val="TextoNormalCaracter"/>
        </w:rPr>
        <w:t>, ff. 1 - 7.</w:t>
      </w:r>
    </w:p>
    <w:p w14:paraId="7973C5B4" w14:textId="4788382F" w:rsidR="00E1708A" w:rsidRPr="00E1708A" w:rsidRDefault="00E1708A" w:rsidP="00E1708A">
      <w:pPr>
        <w:pStyle w:val="TextoNormalSangraFrancesa"/>
        <w:rPr>
          <w:rStyle w:val="TextoNormalCaracter"/>
        </w:rPr>
      </w:pPr>
      <w:bookmarkStart w:id="1121" w:name="DESCRIPTORALFABETICO324"/>
      <w:r w:rsidRPr="00E1708A">
        <w:rPr>
          <w:rStyle w:val="TextoNormalNegritaCaracter"/>
        </w:rPr>
        <w:t>Expulsión de extranjeros</w:t>
      </w:r>
      <w:bookmarkEnd w:id="1121"/>
      <w:r w:rsidRPr="00E1708A">
        <w:rPr>
          <w:rStyle w:val="TextoNormalCaracter"/>
        </w:rPr>
        <w:t xml:space="preserve">, Sentencias </w:t>
      </w:r>
      <w:hyperlink w:anchor="SENTENCIA_2023_80" w:history="1">
        <w:r w:rsidRPr="00E1708A">
          <w:rPr>
            <w:rStyle w:val="TextoNormalCaracter"/>
          </w:rPr>
          <w:t>80/2023</w:t>
        </w:r>
      </w:hyperlink>
      <w:r w:rsidRPr="00E1708A">
        <w:rPr>
          <w:rStyle w:val="TextoNormalCaracter"/>
        </w:rPr>
        <w:t xml:space="preserve">, f. único; </w:t>
      </w:r>
      <w:hyperlink w:anchor="SENTENCIA_2023_86" w:history="1">
        <w:r w:rsidRPr="00E1708A">
          <w:rPr>
            <w:rStyle w:val="TextoNormalCaracter"/>
          </w:rPr>
          <w:t>86/2023</w:t>
        </w:r>
      </w:hyperlink>
      <w:r w:rsidRPr="00E1708A">
        <w:rPr>
          <w:rStyle w:val="TextoNormalCaracter"/>
        </w:rPr>
        <w:t xml:space="preserve">, f. único; </w:t>
      </w:r>
      <w:hyperlink w:anchor="SENTENCIA_2023_87" w:history="1">
        <w:r w:rsidRPr="00E1708A">
          <w:rPr>
            <w:rStyle w:val="TextoNormalCaracter"/>
          </w:rPr>
          <w:t>87/2023</w:t>
        </w:r>
      </w:hyperlink>
      <w:r w:rsidRPr="00E1708A">
        <w:rPr>
          <w:rStyle w:val="TextoNormalCaracter"/>
        </w:rPr>
        <w:t xml:space="preserve">, f. 3; </w:t>
      </w:r>
      <w:hyperlink w:anchor="SENTENCIA_2023_150" w:history="1">
        <w:r w:rsidRPr="00E1708A">
          <w:rPr>
            <w:rStyle w:val="TextoNormalCaracter"/>
          </w:rPr>
          <w:t>150/2023</w:t>
        </w:r>
      </w:hyperlink>
      <w:r w:rsidRPr="00E1708A">
        <w:rPr>
          <w:rStyle w:val="TextoNormalCaracter"/>
        </w:rPr>
        <w:t>, ff. 1 a 3.</w:t>
      </w:r>
    </w:p>
    <w:p w14:paraId="7EAB06FE" w14:textId="29E668BF" w:rsidR="00E1708A" w:rsidRPr="00E1708A" w:rsidRDefault="00E1708A" w:rsidP="00E1708A">
      <w:pPr>
        <w:pStyle w:val="TextoNormalSangraFrancesa"/>
        <w:rPr>
          <w:rStyle w:val="TextoNormalCaracter"/>
        </w:rPr>
      </w:pPr>
      <w:r w:rsidRPr="00E1708A">
        <w:rPr>
          <w:rStyle w:val="TextoNormalCaracter"/>
        </w:rPr>
        <w:t xml:space="preserve">    Auto </w:t>
      </w:r>
      <w:hyperlink w:anchor="AUTO_2023_603" w:history="1">
        <w:r w:rsidRPr="00E1708A">
          <w:rPr>
            <w:rStyle w:val="TextoNormalCaracter"/>
          </w:rPr>
          <w:t>603/2023</w:t>
        </w:r>
      </w:hyperlink>
      <w:r w:rsidRPr="00E1708A">
        <w:rPr>
          <w:rStyle w:val="TextoNormalCaracter"/>
        </w:rPr>
        <w:t>, f. 1.</w:t>
      </w:r>
    </w:p>
    <w:p w14:paraId="059661B5" w14:textId="31711E76" w:rsidR="00E1708A" w:rsidRPr="00E1708A" w:rsidRDefault="00E1708A" w:rsidP="00E1708A">
      <w:pPr>
        <w:pStyle w:val="TextoNormalSangraFrancesa"/>
        <w:rPr>
          <w:rStyle w:val="TextoNormalCaracter"/>
        </w:rPr>
      </w:pPr>
      <w:bookmarkStart w:id="1122" w:name="DESCRIPTORALFABETICO366"/>
      <w:r w:rsidRPr="00E1708A">
        <w:rPr>
          <w:rStyle w:val="TextoNormalNegritaCaracter"/>
        </w:rPr>
        <w:t>Expulsión de socios</w:t>
      </w:r>
      <w:bookmarkEnd w:id="1122"/>
      <w:r w:rsidRPr="00E1708A">
        <w:rPr>
          <w:rStyle w:val="TextoNormalCaracter"/>
        </w:rPr>
        <w:t xml:space="preserve">, Sentencia </w:t>
      </w:r>
      <w:hyperlink w:anchor="SENTENCIA_2023_129" w:history="1">
        <w:r w:rsidRPr="00E1708A">
          <w:rPr>
            <w:rStyle w:val="TextoNormalCaracter"/>
          </w:rPr>
          <w:t>129/2023</w:t>
        </w:r>
      </w:hyperlink>
      <w:r w:rsidRPr="00E1708A">
        <w:rPr>
          <w:rStyle w:val="TextoNormalCaracter"/>
        </w:rPr>
        <w:t>, ff. 1 a 4.</w:t>
      </w:r>
    </w:p>
    <w:p w14:paraId="4EA5C416" w14:textId="600BAD97" w:rsidR="00E1708A" w:rsidRPr="00E1708A" w:rsidRDefault="00E1708A" w:rsidP="00E1708A">
      <w:pPr>
        <w:pStyle w:val="TextoNormalSangraFrancesa"/>
        <w:rPr>
          <w:rStyle w:val="TextoNormalCaracter"/>
        </w:rPr>
      </w:pPr>
      <w:bookmarkStart w:id="1123" w:name="DESCRIPTORALFABETICO166"/>
      <w:r w:rsidRPr="00E1708A">
        <w:rPr>
          <w:rStyle w:val="TextoNormalNegritaCaracter"/>
        </w:rPr>
        <w:t>Extinción de cuestión de inconstitucionalidad</w:t>
      </w:r>
      <w:bookmarkEnd w:id="1123"/>
      <w:r w:rsidRPr="00E1708A">
        <w:rPr>
          <w:rStyle w:val="TextoNormalCaracter"/>
        </w:rPr>
        <w:t xml:space="preserve">, Sentencia </w:t>
      </w:r>
      <w:hyperlink w:anchor="SENTENCIA_2023_169" w:history="1">
        <w:r w:rsidRPr="00E1708A">
          <w:rPr>
            <w:rStyle w:val="TextoNormalCaracter"/>
          </w:rPr>
          <w:t>169/2023</w:t>
        </w:r>
      </w:hyperlink>
      <w:r w:rsidRPr="00E1708A">
        <w:rPr>
          <w:rStyle w:val="TextoNormalCaracter"/>
        </w:rPr>
        <w:t>, f. 3.</w:t>
      </w:r>
    </w:p>
    <w:p w14:paraId="5F425768" w14:textId="1C0BA8F2" w:rsidR="00E1708A" w:rsidRPr="00E1708A" w:rsidRDefault="00E1708A" w:rsidP="00E1708A">
      <w:pPr>
        <w:pStyle w:val="TextoNormalSangraFrancesa"/>
        <w:rPr>
          <w:rStyle w:val="TextoNormalCaracter"/>
        </w:rPr>
      </w:pPr>
      <w:bookmarkStart w:id="1124" w:name="DESCRIPTORALFABETICO425"/>
      <w:r w:rsidRPr="00E1708A">
        <w:rPr>
          <w:rStyle w:val="TextoNormalNegritaCaracter"/>
        </w:rPr>
        <w:t>Extradición</w:t>
      </w:r>
      <w:bookmarkEnd w:id="1124"/>
      <w:r w:rsidRPr="00E1708A">
        <w:rPr>
          <w:rStyle w:val="TextoNormalCaracter"/>
        </w:rPr>
        <w:t xml:space="preserve">, Sentencia </w:t>
      </w:r>
      <w:hyperlink w:anchor="SENTENCIA_2023_136" w:history="1">
        <w:r w:rsidRPr="00E1708A">
          <w:rPr>
            <w:rStyle w:val="TextoNormalCaracter"/>
          </w:rPr>
          <w:t>136/2023</w:t>
        </w:r>
      </w:hyperlink>
      <w:r w:rsidRPr="00E1708A">
        <w:rPr>
          <w:rStyle w:val="TextoNormalCaracter"/>
        </w:rPr>
        <w:t>, ff. 2, 4, 5, 6.</w:t>
      </w:r>
    </w:p>
    <w:p w14:paraId="354E194B" w14:textId="158DBFEF" w:rsidR="00E1708A" w:rsidRPr="00E1708A" w:rsidRDefault="00E1708A" w:rsidP="00E1708A">
      <w:pPr>
        <w:pStyle w:val="TextoNormalSangraFrancesa"/>
        <w:rPr>
          <w:rStyle w:val="TextoNormalCaracter"/>
        </w:rPr>
      </w:pPr>
      <w:bookmarkStart w:id="1125" w:name="DESCRIPTORALFABETICO436"/>
      <w:r w:rsidRPr="00E1708A">
        <w:rPr>
          <w:rStyle w:val="TextoNormalNegritaCaracter"/>
        </w:rPr>
        <w:t>Extremadura</w:t>
      </w:r>
      <w:bookmarkEnd w:id="1125"/>
      <w:r w:rsidRPr="00E1708A">
        <w:rPr>
          <w:rStyle w:val="TextoNormalCaracter"/>
        </w:rPr>
        <w:t xml:space="preserve">, Sentencia </w:t>
      </w:r>
      <w:hyperlink w:anchor="SENTENCIA_2023_127" w:history="1">
        <w:r w:rsidRPr="00E1708A">
          <w:rPr>
            <w:rStyle w:val="TextoNormalCaracter"/>
          </w:rPr>
          <w:t>127/2023</w:t>
        </w:r>
      </w:hyperlink>
      <w:r w:rsidRPr="00E1708A">
        <w:rPr>
          <w:rStyle w:val="TextoNormalCaracter"/>
        </w:rPr>
        <w:t>.</w:t>
      </w:r>
    </w:p>
    <w:p w14:paraId="3B1735F9" w14:textId="22767408" w:rsidR="00E1708A" w:rsidRDefault="00E1708A" w:rsidP="00E1708A">
      <w:pPr>
        <w:pStyle w:val="TextoNormalSangraFrancesa"/>
      </w:pPr>
    </w:p>
    <w:p w14:paraId="416214DF" w14:textId="77777777" w:rsidR="00E1708A" w:rsidRDefault="00E1708A" w:rsidP="00E1708A">
      <w:pPr>
        <w:pStyle w:val="TextoNormalSangraFrancesa"/>
      </w:pPr>
    </w:p>
    <w:p w14:paraId="4F8BC855" w14:textId="77777777" w:rsidR="00E1708A" w:rsidRDefault="00E1708A" w:rsidP="00E1708A">
      <w:pPr>
        <w:pStyle w:val="TextoNormalNegritaCentrado"/>
      </w:pPr>
      <w:r>
        <w:t>F</w:t>
      </w:r>
    </w:p>
    <w:p w14:paraId="415A2143" w14:textId="39BAD50B" w:rsidR="00E1708A" w:rsidRDefault="00E1708A" w:rsidP="00E1708A">
      <w:pPr>
        <w:pStyle w:val="TextoNormalNegritaCentrado"/>
      </w:pPr>
    </w:p>
    <w:p w14:paraId="36D66AB6" w14:textId="3FC1AD32" w:rsidR="00E1708A" w:rsidRPr="00E1708A" w:rsidRDefault="00E1708A" w:rsidP="00E1708A">
      <w:pPr>
        <w:pStyle w:val="TextoNormalSangraFrancesa"/>
        <w:rPr>
          <w:rStyle w:val="TextoNormalCaracter"/>
        </w:rPr>
      </w:pPr>
      <w:bookmarkStart w:id="1126" w:name="DESCRIPTORALFABETICO188"/>
      <w:r w:rsidRPr="00E1708A">
        <w:rPr>
          <w:rStyle w:val="TextoNormalNegritaCaracter"/>
        </w:rPr>
        <w:t>Falta de agotamiento de la vía judicial</w:t>
      </w:r>
      <w:bookmarkEnd w:id="1126"/>
      <w:r w:rsidRPr="00E1708A">
        <w:rPr>
          <w:rStyle w:val="TextoNormalCaracter"/>
        </w:rPr>
        <w:t xml:space="preserve">, Sentencias </w:t>
      </w:r>
      <w:hyperlink w:anchor="SENTENCIA_2023_90" w:history="1">
        <w:r w:rsidRPr="00E1708A">
          <w:rPr>
            <w:rStyle w:val="TextoNormalCaracter"/>
          </w:rPr>
          <w:t>90/2023</w:t>
        </w:r>
      </w:hyperlink>
      <w:r w:rsidRPr="00E1708A">
        <w:rPr>
          <w:rStyle w:val="TextoNormalCaracter"/>
        </w:rPr>
        <w:t xml:space="preserve">, f. 3; </w:t>
      </w:r>
      <w:hyperlink w:anchor="SENTENCIA_2023_101" w:history="1">
        <w:r w:rsidRPr="00E1708A">
          <w:rPr>
            <w:rStyle w:val="TextoNormalCaracter"/>
          </w:rPr>
          <w:t>101/2023</w:t>
        </w:r>
      </w:hyperlink>
      <w:r w:rsidRPr="00E1708A">
        <w:rPr>
          <w:rStyle w:val="TextoNormalCaracter"/>
        </w:rPr>
        <w:t xml:space="preserve">, f. 3; </w:t>
      </w:r>
      <w:hyperlink w:anchor="SENTENCIA_2023_123" w:history="1">
        <w:r w:rsidRPr="00E1708A">
          <w:rPr>
            <w:rStyle w:val="TextoNormalCaracter"/>
          </w:rPr>
          <w:t>123/2023</w:t>
        </w:r>
      </w:hyperlink>
      <w:r w:rsidRPr="00E1708A">
        <w:rPr>
          <w:rStyle w:val="TextoNormalCaracter"/>
        </w:rPr>
        <w:t xml:space="preserve">, f. 2; </w:t>
      </w:r>
      <w:hyperlink w:anchor="SENTENCIA_2023_151" w:history="1">
        <w:r w:rsidRPr="00E1708A">
          <w:rPr>
            <w:rStyle w:val="TextoNormalCaracter"/>
          </w:rPr>
          <w:t>151/2023</w:t>
        </w:r>
      </w:hyperlink>
      <w:r w:rsidRPr="00E1708A">
        <w:rPr>
          <w:rStyle w:val="TextoNormalCaracter"/>
        </w:rPr>
        <w:t xml:space="preserve">, f. 2; </w:t>
      </w:r>
      <w:hyperlink w:anchor="SENTENCIA_2023_161" w:history="1">
        <w:r w:rsidRPr="00E1708A">
          <w:rPr>
            <w:rStyle w:val="TextoNormalCaracter"/>
          </w:rPr>
          <w:t>161/2023</w:t>
        </w:r>
      </w:hyperlink>
      <w:r w:rsidRPr="00E1708A">
        <w:rPr>
          <w:rStyle w:val="TextoNormalCaracter"/>
        </w:rPr>
        <w:t>, f. 2.</w:t>
      </w:r>
    </w:p>
    <w:p w14:paraId="0246F3F0" w14:textId="5292D604" w:rsidR="00E1708A" w:rsidRPr="00E1708A" w:rsidRDefault="00E1708A" w:rsidP="00E1708A">
      <w:pPr>
        <w:pStyle w:val="TextoNormalSangraFrancesa"/>
        <w:rPr>
          <w:rStyle w:val="TextoNormalCaracter"/>
        </w:rPr>
      </w:pPr>
      <w:bookmarkStart w:id="1127" w:name="DESCRIPTORALFABETICO390"/>
      <w:r w:rsidRPr="00E1708A">
        <w:rPr>
          <w:rStyle w:val="TextoNormalNegritaCaracter"/>
        </w:rPr>
        <w:t>Falta de citación</w:t>
      </w:r>
      <w:bookmarkEnd w:id="1127"/>
      <w:r w:rsidRPr="00E1708A">
        <w:rPr>
          <w:rStyle w:val="TextoNormalCaracter"/>
        </w:rPr>
        <w:t xml:space="preserve">, Sentencia </w:t>
      </w:r>
      <w:hyperlink w:anchor="SENTENCIA_2023_81" w:history="1">
        <w:r w:rsidRPr="00E1708A">
          <w:rPr>
            <w:rStyle w:val="TextoNormalCaracter"/>
          </w:rPr>
          <w:t>81/2023</w:t>
        </w:r>
      </w:hyperlink>
      <w:r w:rsidRPr="00E1708A">
        <w:rPr>
          <w:rStyle w:val="TextoNormalCaracter"/>
        </w:rPr>
        <w:t>, ff. 2 y 3.</w:t>
      </w:r>
    </w:p>
    <w:p w14:paraId="344B12EB" w14:textId="3F599C9A" w:rsidR="00E1708A" w:rsidRPr="00E1708A" w:rsidRDefault="00E1708A" w:rsidP="00E1708A">
      <w:pPr>
        <w:pStyle w:val="TextoNormalSangraFrancesa"/>
        <w:rPr>
          <w:rStyle w:val="TextoNormalCaracter"/>
        </w:rPr>
      </w:pPr>
      <w:bookmarkStart w:id="1128" w:name="DESCRIPTORALFABETICO309"/>
      <w:r w:rsidRPr="00E1708A">
        <w:rPr>
          <w:rStyle w:val="TextoNormalNegritaCaracter"/>
        </w:rPr>
        <w:t>Falta de comunicación de la propuesta de resolución</w:t>
      </w:r>
      <w:bookmarkEnd w:id="1128"/>
      <w:r w:rsidRPr="00E1708A">
        <w:rPr>
          <w:rStyle w:val="TextoNormalCaracter"/>
        </w:rPr>
        <w:t xml:space="preserve">, Sentencia </w:t>
      </w:r>
      <w:hyperlink w:anchor="SENTENCIA_2023_150" w:history="1">
        <w:r w:rsidRPr="00E1708A">
          <w:rPr>
            <w:rStyle w:val="TextoNormalCaracter"/>
          </w:rPr>
          <w:t>150/2023</w:t>
        </w:r>
      </w:hyperlink>
      <w:r w:rsidRPr="00E1708A">
        <w:rPr>
          <w:rStyle w:val="TextoNormalCaracter"/>
        </w:rPr>
        <w:t>, ff. 1 a 3.</w:t>
      </w:r>
    </w:p>
    <w:p w14:paraId="3A5446FD" w14:textId="20B5F69E" w:rsidR="00E1708A" w:rsidRPr="00E1708A" w:rsidRDefault="00E1708A" w:rsidP="00E1708A">
      <w:pPr>
        <w:pStyle w:val="TextoNormalSangraFrancesa"/>
        <w:rPr>
          <w:rStyle w:val="TextoNormalCaracter"/>
        </w:rPr>
      </w:pPr>
      <w:bookmarkStart w:id="1129" w:name="DESCRIPTORALFABETICO393"/>
      <w:r w:rsidRPr="00E1708A">
        <w:rPr>
          <w:rStyle w:val="TextoNormalNegritaCaracter"/>
        </w:rPr>
        <w:t>Falta de emplazamiento personal</w:t>
      </w:r>
      <w:bookmarkEnd w:id="1129"/>
      <w:r w:rsidRPr="00E1708A">
        <w:rPr>
          <w:rStyle w:val="TextoNormalCaracter"/>
        </w:rPr>
        <w:t xml:space="preserve">, Sentencias </w:t>
      </w:r>
      <w:hyperlink w:anchor="SENTENCIA_2023_122" w:history="1">
        <w:r w:rsidRPr="00E1708A">
          <w:rPr>
            <w:rStyle w:val="TextoNormalCaracter"/>
          </w:rPr>
          <w:t>122/2023</w:t>
        </w:r>
      </w:hyperlink>
      <w:r w:rsidRPr="00E1708A">
        <w:rPr>
          <w:rStyle w:val="TextoNormalCaracter"/>
        </w:rPr>
        <w:t xml:space="preserve">, f. único; </w:t>
      </w:r>
      <w:hyperlink w:anchor="SENTENCIA_2023_138" w:history="1">
        <w:r w:rsidRPr="00E1708A">
          <w:rPr>
            <w:rStyle w:val="TextoNormalCaracter"/>
          </w:rPr>
          <w:t>138/2023</w:t>
        </w:r>
      </w:hyperlink>
      <w:r w:rsidRPr="00E1708A">
        <w:rPr>
          <w:rStyle w:val="TextoNormalCaracter"/>
        </w:rPr>
        <w:t>, f. único.</w:t>
      </w:r>
    </w:p>
    <w:p w14:paraId="714D8547" w14:textId="0A8C7743" w:rsidR="00E1708A" w:rsidRPr="00E1708A" w:rsidRDefault="00E1708A" w:rsidP="00E1708A">
      <w:pPr>
        <w:pStyle w:val="TextoNormalSangraFrancesa"/>
        <w:rPr>
          <w:rStyle w:val="TextoNormalCaracter"/>
        </w:rPr>
      </w:pPr>
      <w:bookmarkStart w:id="1130" w:name="DESCRIPTORALFABETICO179"/>
      <w:r w:rsidRPr="00E1708A">
        <w:rPr>
          <w:rStyle w:val="TextoNormalNegritaCaracter"/>
        </w:rPr>
        <w:t>Falta de invocación del derecho vulnerado</w:t>
      </w:r>
      <w:bookmarkEnd w:id="1130"/>
      <w:r w:rsidRPr="00E1708A">
        <w:rPr>
          <w:rStyle w:val="TextoNormalCaracter"/>
        </w:rPr>
        <w:t xml:space="preserve">, Sentencia </w:t>
      </w:r>
      <w:hyperlink w:anchor="SENTENCIA_2023_181" w:history="1">
        <w:r w:rsidRPr="00E1708A">
          <w:rPr>
            <w:rStyle w:val="TextoNormalCaracter"/>
          </w:rPr>
          <w:t>181/2023</w:t>
        </w:r>
      </w:hyperlink>
      <w:r w:rsidRPr="00E1708A">
        <w:rPr>
          <w:rStyle w:val="TextoNormalCaracter"/>
        </w:rPr>
        <w:t>, f. 2.</w:t>
      </w:r>
    </w:p>
    <w:p w14:paraId="1534EAD1" w14:textId="542926BE" w:rsidR="00E1708A" w:rsidRPr="00E1708A" w:rsidRDefault="00E1708A" w:rsidP="00E1708A">
      <w:pPr>
        <w:pStyle w:val="TextoNormalSangraFrancesa"/>
        <w:rPr>
          <w:rStyle w:val="TextoNormalCaracter"/>
        </w:rPr>
      </w:pPr>
      <w:bookmarkStart w:id="1131" w:name="DESCRIPTORALFABETICO74"/>
      <w:r w:rsidRPr="00E1708A">
        <w:rPr>
          <w:rStyle w:val="TextoNormalNegritaCaracter"/>
        </w:rPr>
        <w:t>Falta de motivación de las resoluciones judiciales</w:t>
      </w:r>
      <w:bookmarkEnd w:id="1131"/>
      <w:r w:rsidRPr="00E1708A">
        <w:rPr>
          <w:rStyle w:val="TextoNormalCaracter"/>
        </w:rPr>
        <w:t xml:space="preserve">, Sentencias </w:t>
      </w:r>
      <w:hyperlink w:anchor="SENTENCIA_2023_134" w:history="1">
        <w:r w:rsidRPr="00E1708A">
          <w:rPr>
            <w:rStyle w:val="TextoNormalCaracter"/>
          </w:rPr>
          <w:t>134/2023</w:t>
        </w:r>
      </w:hyperlink>
      <w:r w:rsidRPr="00E1708A">
        <w:rPr>
          <w:rStyle w:val="TextoNormalCaracter"/>
        </w:rPr>
        <w:t xml:space="preserve">, ff. 3 y 4; </w:t>
      </w:r>
      <w:hyperlink w:anchor="SENTENCIA_2023_153" w:history="1">
        <w:r w:rsidRPr="00E1708A">
          <w:rPr>
            <w:rStyle w:val="TextoNormalCaracter"/>
          </w:rPr>
          <w:t>153/2023</w:t>
        </w:r>
      </w:hyperlink>
      <w:r w:rsidRPr="00E1708A">
        <w:rPr>
          <w:rStyle w:val="TextoNormalCaracter"/>
        </w:rPr>
        <w:t>, f. 4.</w:t>
      </w:r>
    </w:p>
    <w:p w14:paraId="1E104503" w14:textId="3D1DF206" w:rsidR="00E1708A" w:rsidRPr="00E1708A" w:rsidRDefault="00E1708A" w:rsidP="00E1708A">
      <w:pPr>
        <w:pStyle w:val="TextoNormalSangraFrancesa"/>
        <w:rPr>
          <w:rStyle w:val="TextoNormalCaracter"/>
        </w:rPr>
      </w:pPr>
      <w:bookmarkStart w:id="1132" w:name="DESCRIPTORALFABETICO394"/>
      <w:r w:rsidRPr="00E1708A">
        <w:rPr>
          <w:rStyle w:val="TextoNormalNegritaCaracter"/>
        </w:rPr>
        <w:t>Falta de notificación</w:t>
      </w:r>
      <w:bookmarkEnd w:id="1132"/>
      <w:r w:rsidRPr="00E1708A">
        <w:rPr>
          <w:rStyle w:val="TextoNormalCaracter"/>
        </w:rPr>
        <w:t xml:space="preserve">, Sentencia </w:t>
      </w:r>
      <w:hyperlink w:anchor="SENTENCIA_2023_90" w:history="1">
        <w:r w:rsidRPr="00E1708A">
          <w:rPr>
            <w:rStyle w:val="TextoNormalCaracter"/>
          </w:rPr>
          <w:t>90/2023</w:t>
        </w:r>
      </w:hyperlink>
      <w:r w:rsidRPr="00E1708A">
        <w:rPr>
          <w:rStyle w:val="TextoNormalCaracter"/>
        </w:rPr>
        <w:t>, f. 4.</w:t>
      </w:r>
    </w:p>
    <w:p w14:paraId="19C0BDDB" w14:textId="63A4B316" w:rsidR="00E1708A" w:rsidRPr="00E1708A" w:rsidRDefault="00E1708A" w:rsidP="00E1708A">
      <w:pPr>
        <w:pStyle w:val="TextoNormalSangraFrancesa"/>
        <w:rPr>
          <w:rStyle w:val="TextoNormalCaracter"/>
        </w:rPr>
      </w:pPr>
      <w:bookmarkStart w:id="1133" w:name="DESCRIPTORALFABETICO370"/>
      <w:r w:rsidRPr="00E1708A">
        <w:rPr>
          <w:rStyle w:val="TextoNormalNegritaCaracter"/>
        </w:rPr>
        <w:t>Falta de notificación administrativa</w:t>
      </w:r>
      <w:bookmarkEnd w:id="1133"/>
      <w:r w:rsidRPr="00E1708A">
        <w:rPr>
          <w:rStyle w:val="TextoNormalCaracter"/>
        </w:rPr>
        <w:t xml:space="preserve">, Sentencia </w:t>
      </w:r>
      <w:hyperlink w:anchor="SENTENCIA_2023_150" w:history="1">
        <w:r w:rsidRPr="00E1708A">
          <w:rPr>
            <w:rStyle w:val="TextoNormalCaracter"/>
          </w:rPr>
          <w:t>150/2023</w:t>
        </w:r>
      </w:hyperlink>
      <w:r w:rsidRPr="00E1708A">
        <w:rPr>
          <w:rStyle w:val="TextoNormalCaracter"/>
        </w:rPr>
        <w:t>, ff. 1 a 3.</w:t>
      </w:r>
    </w:p>
    <w:p w14:paraId="19223724" w14:textId="6A3215EB" w:rsidR="00E1708A" w:rsidRPr="00E1708A" w:rsidRDefault="00E1708A" w:rsidP="00E1708A">
      <w:pPr>
        <w:pStyle w:val="TextoNormalSangraFrancesa"/>
        <w:rPr>
          <w:rStyle w:val="TextoNormalCaracter"/>
        </w:rPr>
      </w:pPr>
      <w:bookmarkStart w:id="1134" w:name="DESCRIPTORALFABETICO395"/>
      <w:r w:rsidRPr="00E1708A">
        <w:rPr>
          <w:rStyle w:val="TextoNormalNegritaCaracter"/>
        </w:rPr>
        <w:t>Falta de notificación personal al interesado</w:t>
      </w:r>
      <w:bookmarkEnd w:id="1134"/>
      <w:r w:rsidRPr="00E1708A">
        <w:rPr>
          <w:rStyle w:val="TextoNormalCaracter"/>
        </w:rPr>
        <w:t xml:space="preserve">, Sentencia </w:t>
      </w:r>
      <w:hyperlink w:anchor="SENTENCIA_2023_137" w:history="1">
        <w:r w:rsidRPr="00E1708A">
          <w:rPr>
            <w:rStyle w:val="TextoNormalCaracter"/>
          </w:rPr>
          <w:t>137/2023</w:t>
        </w:r>
      </w:hyperlink>
      <w:r w:rsidRPr="00E1708A">
        <w:rPr>
          <w:rStyle w:val="TextoNormalCaracter"/>
        </w:rPr>
        <w:t>, ff. 1 a 3.</w:t>
      </w:r>
    </w:p>
    <w:p w14:paraId="3B18C0A6" w14:textId="7C5D78EA" w:rsidR="00E1708A" w:rsidRPr="00E1708A" w:rsidRDefault="00E1708A" w:rsidP="00E1708A">
      <w:pPr>
        <w:pStyle w:val="TextoNormalSangraFrancesa"/>
        <w:rPr>
          <w:rStyle w:val="TextoNormalCaracter"/>
        </w:rPr>
      </w:pPr>
      <w:bookmarkStart w:id="1135" w:name="DESCRIPTORALFABETICO113"/>
      <w:r w:rsidRPr="00E1708A">
        <w:rPr>
          <w:rStyle w:val="TextoNormalNegritaCaracter"/>
        </w:rPr>
        <w:t>Finalidad de difusión del mensaje no esencial</w:t>
      </w:r>
      <w:bookmarkEnd w:id="1135"/>
      <w:r w:rsidRPr="00E1708A">
        <w:rPr>
          <w:rStyle w:val="TextoNormalCaracter"/>
        </w:rPr>
        <w:t xml:space="preserve">, Sentencia </w:t>
      </w:r>
      <w:hyperlink w:anchor="SENTENCIA_2023_83" w:history="1">
        <w:r w:rsidRPr="00E1708A">
          <w:rPr>
            <w:rStyle w:val="TextoNormalCaracter"/>
          </w:rPr>
          <w:t>83/2023</w:t>
        </w:r>
      </w:hyperlink>
      <w:r w:rsidRPr="00E1708A">
        <w:rPr>
          <w:rStyle w:val="TextoNormalCaracter"/>
        </w:rPr>
        <w:t>, ff. 5 y 6.</w:t>
      </w:r>
    </w:p>
    <w:p w14:paraId="689B8769" w14:textId="08DDD4D9" w:rsidR="00E1708A" w:rsidRPr="00E1708A" w:rsidRDefault="00E1708A" w:rsidP="00E1708A">
      <w:pPr>
        <w:pStyle w:val="TextoNormalSangraFrancesa"/>
        <w:rPr>
          <w:rStyle w:val="TextoNormalCaracter"/>
        </w:rPr>
      </w:pPr>
      <w:bookmarkStart w:id="1136" w:name="DESCRIPTORALFABETICO22"/>
      <w:r w:rsidRPr="00E1708A">
        <w:rPr>
          <w:rStyle w:val="TextoNormalNegritaCaracter"/>
        </w:rPr>
        <w:t>Financiación local</w:t>
      </w:r>
      <w:bookmarkEnd w:id="1136"/>
      <w:r w:rsidRPr="00E1708A">
        <w:rPr>
          <w:rStyle w:val="TextoNormalCaracter"/>
        </w:rPr>
        <w:t xml:space="preserve">, Sentencia </w:t>
      </w:r>
      <w:hyperlink w:anchor="SENTENCIA_2023_124" w:history="1">
        <w:r w:rsidRPr="00E1708A">
          <w:rPr>
            <w:rStyle w:val="TextoNormalCaracter"/>
          </w:rPr>
          <w:t>124/2023</w:t>
        </w:r>
      </w:hyperlink>
      <w:r w:rsidRPr="00E1708A">
        <w:rPr>
          <w:rStyle w:val="TextoNormalCaracter"/>
        </w:rPr>
        <w:t>, f. 7, VP I, VP II.</w:t>
      </w:r>
    </w:p>
    <w:p w14:paraId="5140B8F9" w14:textId="47C0F142" w:rsidR="00E1708A" w:rsidRPr="00E1708A" w:rsidRDefault="00E1708A" w:rsidP="00E1708A">
      <w:pPr>
        <w:pStyle w:val="TextoNormalSangraFrancesa"/>
        <w:rPr>
          <w:rStyle w:val="TextoNormalCaracter"/>
        </w:rPr>
      </w:pPr>
      <w:bookmarkStart w:id="1137" w:name="DESCRIPTORALFABETICO16"/>
      <w:r w:rsidRPr="00E1708A">
        <w:rPr>
          <w:rStyle w:val="TextoNormalNegritaCaracter"/>
        </w:rPr>
        <w:t>Fondos públicos</w:t>
      </w:r>
      <w:bookmarkEnd w:id="1137"/>
      <w:r w:rsidRPr="00E1708A">
        <w:rPr>
          <w:rStyle w:val="TextoNormalCaracter"/>
        </w:rPr>
        <w:t xml:space="preserve">, Sentencias </w:t>
      </w:r>
      <w:hyperlink w:anchor="SENTENCIA_2023_124" w:history="1">
        <w:r w:rsidRPr="00E1708A">
          <w:rPr>
            <w:rStyle w:val="TextoNormalCaracter"/>
          </w:rPr>
          <w:t>124/2023</w:t>
        </w:r>
      </w:hyperlink>
      <w:r w:rsidRPr="00E1708A">
        <w:rPr>
          <w:rStyle w:val="TextoNormalCaracter"/>
        </w:rPr>
        <w:t xml:space="preserve">, ff. 4 a 8; </w:t>
      </w:r>
      <w:hyperlink w:anchor="SENTENCIA_2023_143" w:history="1">
        <w:r w:rsidRPr="00E1708A">
          <w:rPr>
            <w:rStyle w:val="TextoNormalCaracter"/>
          </w:rPr>
          <w:t>143/2023</w:t>
        </w:r>
      </w:hyperlink>
      <w:r w:rsidRPr="00E1708A">
        <w:rPr>
          <w:rStyle w:val="TextoNormalCaracter"/>
        </w:rPr>
        <w:t>, f. 3.</w:t>
      </w:r>
    </w:p>
    <w:p w14:paraId="5C7A9B4F" w14:textId="2CF4EFB9" w:rsidR="00E1708A" w:rsidRPr="00E1708A" w:rsidRDefault="00E1708A" w:rsidP="00E1708A">
      <w:pPr>
        <w:pStyle w:val="TextoNormalSangraFrancesa"/>
        <w:rPr>
          <w:rStyle w:val="TextoNormalCaracter"/>
        </w:rPr>
      </w:pPr>
      <w:bookmarkStart w:id="1138" w:name="DESCRIPTORALFABETICO17"/>
      <w:r w:rsidRPr="00E1708A">
        <w:rPr>
          <w:rStyle w:val="TextoNormalNegritaCaracter"/>
        </w:rPr>
        <w:t>Fondos sectoriales</w:t>
      </w:r>
      <w:bookmarkEnd w:id="1138"/>
      <w:r w:rsidRPr="00E1708A">
        <w:rPr>
          <w:rStyle w:val="TextoNormalCaracter"/>
        </w:rPr>
        <w:t xml:space="preserve">, Sentencia </w:t>
      </w:r>
      <w:hyperlink w:anchor="SENTENCIA_2023_124" w:history="1">
        <w:r w:rsidRPr="00E1708A">
          <w:rPr>
            <w:rStyle w:val="TextoNormalCaracter"/>
          </w:rPr>
          <w:t>124/2023</w:t>
        </w:r>
      </w:hyperlink>
      <w:r w:rsidRPr="00E1708A">
        <w:rPr>
          <w:rStyle w:val="TextoNormalCaracter"/>
        </w:rPr>
        <w:t>, ff. 6 y 7.</w:t>
      </w:r>
    </w:p>
    <w:p w14:paraId="56B2F50D" w14:textId="357FB3BA" w:rsidR="00E1708A" w:rsidRPr="00E1708A" w:rsidRDefault="00E1708A" w:rsidP="00E1708A">
      <w:pPr>
        <w:pStyle w:val="TextoNormalSangraFrancesa"/>
        <w:rPr>
          <w:rStyle w:val="TextoNormalCaracter"/>
        </w:rPr>
      </w:pPr>
      <w:bookmarkStart w:id="1139" w:name="DESCRIPTORALFABETICO38"/>
      <w:r w:rsidRPr="00E1708A">
        <w:rPr>
          <w:rStyle w:val="TextoNormalNegritaCaracter"/>
        </w:rPr>
        <w:t>Fórmula de acatamiento</w:t>
      </w:r>
      <w:bookmarkEnd w:id="1139"/>
      <w:r w:rsidRPr="00E1708A">
        <w:rPr>
          <w:rStyle w:val="TextoNormalCaracter"/>
        </w:rPr>
        <w:t xml:space="preserve">, Sentencias </w:t>
      </w:r>
      <w:hyperlink w:anchor="SENTENCIA_2023_125" w:history="1">
        <w:r w:rsidRPr="00E1708A">
          <w:rPr>
            <w:rStyle w:val="TextoNormalCaracter"/>
          </w:rPr>
          <w:t>125/2023</w:t>
        </w:r>
      </w:hyperlink>
      <w:r w:rsidRPr="00E1708A">
        <w:rPr>
          <w:rStyle w:val="TextoNormalCaracter"/>
        </w:rPr>
        <w:t xml:space="preserve">, ff. 1 y 2; </w:t>
      </w:r>
      <w:hyperlink w:anchor="SENTENCIA_2023_133" w:history="1">
        <w:r w:rsidRPr="00E1708A">
          <w:rPr>
            <w:rStyle w:val="TextoNormalCaracter"/>
          </w:rPr>
          <w:t>133/2023</w:t>
        </w:r>
      </w:hyperlink>
      <w:r w:rsidRPr="00E1708A">
        <w:rPr>
          <w:rStyle w:val="TextoNormalCaracter"/>
        </w:rPr>
        <w:t xml:space="preserve">, f. 3; </w:t>
      </w:r>
      <w:hyperlink w:anchor="SENTENCIA_2023_135" w:history="1">
        <w:r w:rsidRPr="00E1708A">
          <w:rPr>
            <w:rStyle w:val="TextoNormalCaracter"/>
          </w:rPr>
          <w:t>135/2023</w:t>
        </w:r>
      </w:hyperlink>
      <w:r w:rsidRPr="00E1708A">
        <w:rPr>
          <w:rStyle w:val="TextoNormalCaracter"/>
        </w:rPr>
        <w:t xml:space="preserve">, ff. 1 y 2; </w:t>
      </w:r>
      <w:hyperlink w:anchor="SENTENCIA_2023_139" w:history="1">
        <w:r w:rsidRPr="00E1708A">
          <w:rPr>
            <w:rStyle w:val="TextoNormalCaracter"/>
          </w:rPr>
          <w:t>139/2023</w:t>
        </w:r>
      </w:hyperlink>
      <w:r w:rsidRPr="00E1708A">
        <w:rPr>
          <w:rStyle w:val="TextoNormalCaracter"/>
        </w:rPr>
        <w:t xml:space="preserve">, ff. 1 y 3; </w:t>
      </w:r>
      <w:hyperlink w:anchor="SENTENCIA_2023_140" w:history="1">
        <w:r w:rsidRPr="00E1708A">
          <w:rPr>
            <w:rStyle w:val="TextoNormalCaracter"/>
          </w:rPr>
          <w:t>140/2023</w:t>
        </w:r>
      </w:hyperlink>
      <w:r w:rsidRPr="00E1708A">
        <w:rPr>
          <w:rStyle w:val="TextoNormalCaracter"/>
        </w:rPr>
        <w:t xml:space="preserve">, ff. 1 y 3; </w:t>
      </w:r>
      <w:hyperlink w:anchor="SENTENCIA_2023_141" w:history="1">
        <w:r w:rsidRPr="00E1708A">
          <w:rPr>
            <w:rStyle w:val="TextoNormalCaracter"/>
          </w:rPr>
          <w:t>141/2023</w:t>
        </w:r>
      </w:hyperlink>
      <w:r w:rsidRPr="00E1708A">
        <w:rPr>
          <w:rStyle w:val="TextoNormalCaracter"/>
        </w:rPr>
        <w:t xml:space="preserve">, f. 3; </w:t>
      </w:r>
      <w:hyperlink w:anchor="SENTENCIA_2023_142" w:history="1">
        <w:r w:rsidRPr="00E1708A">
          <w:rPr>
            <w:rStyle w:val="TextoNormalCaracter"/>
          </w:rPr>
          <w:t>142/2023</w:t>
        </w:r>
      </w:hyperlink>
      <w:r w:rsidRPr="00E1708A">
        <w:rPr>
          <w:rStyle w:val="TextoNormalCaracter"/>
        </w:rPr>
        <w:t>, ff. 1 y 3.</w:t>
      </w:r>
    </w:p>
    <w:p w14:paraId="22D795EE" w14:textId="005B6F9B" w:rsidR="00E1708A" w:rsidRPr="00E1708A" w:rsidRDefault="00E1708A" w:rsidP="00E1708A">
      <w:pPr>
        <w:pStyle w:val="TextoNormalSangraFrancesa"/>
        <w:rPr>
          <w:rStyle w:val="TextoNormalCaracter"/>
        </w:rPr>
      </w:pPr>
      <w:bookmarkStart w:id="1140" w:name="DESCRIPTORALFABETICO348"/>
      <w:r w:rsidRPr="00E1708A">
        <w:rPr>
          <w:rStyle w:val="TextoNormalNegritaCaracter"/>
        </w:rPr>
        <w:t>Fraude de ley</w:t>
      </w:r>
      <w:bookmarkEnd w:id="1140"/>
      <w:r w:rsidRPr="00E1708A">
        <w:rPr>
          <w:rStyle w:val="TextoNormalCaracter"/>
        </w:rPr>
        <w:t xml:space="preserve">, Sentencia </w:t>
      </w:r>
      <w:hyperlink w:anchor="SENTENCIA_2023_128" w:history="1">
        <w:r w:rsidRPr="00E1708A">
          <w:rPr>
            <w:rStyle w:val="TextoNormalCaracter"/>
          </w:rPr>
          <w:t>128/2023</w:t>
        </w:r>
      </w:hyperlink>
      <w:r w:rsidRPr="00E1708A">
        <w:rPr>
          <w:rStyle w:val="TextoNormalCaracter"/>
        </w:rPr>
        <w:t>, f. 3.</w:t>
      </w:r>
    </w:p>
    <w:p w14:paraId="51C18B7D" w14:textId="08967FCC" w:rsidR="00E1708A" w:rsidRPr="00E1708A" w:rsidRDefault="00E1708A" w:rsidP="00E1708A">
      <w:pPr>
        <w:pStyle w:val="TextoNormalSangraFrancesa"/>
        <w:rPr>
          <w:rStyle w:val="TextoNormalCaracter"/>
        </w:rPr>
      </w:pPr>
      <w:bookmarkStart w:id="1141" w:name="DESCRIPTORALFABETICO242"/>
      <w:r w:rsidRPr="00E1708A">
        <w:rPr>
          <w:rStyle w:val="TextoNormalNegritaCaracter"/>
        </w:rPr>
        <w:t>Función calificadora de la mesa</w:t>
      </w:r>
      <w:bookmarkEnd w:id="1141"/>
      <w:r w:rsidRPr="00E1708A">
        <w:rPr>
          <w:rStyle w:val="TextoNormalCaracter"/>
        </w:rPr>
        <w:t xml:space="preserve">, Sentencias </w:t>
      </w:r>
      <w:hyperlink w:anchor="SENTENCIA_2023_132" w:history="1">
        <w:r w:rsidRPr="00E1708A">
          <w:rPr>
            <w:rStyle w:val="TextoNormalCaracter"/>
          </w:rPr>
          <w:t>132/2023</w:t>
        </w:r>
      </w:hyperlink>
      <w:r w:rsidRPr="00E1708A">
        <w:rPr>
          <w:rStyle w:val="TextoNormalCaracter"/>
        </w:rPr>
        <w:t xml:space="preserve">, ff. 3 y 4; </w:t>
      </w:r>
      <w:hyperlink w:anchor="SENTENCIA_2023_167" w:history="1">
        <w:r w:rsidRPr="00E1708A">
          <w:rPr>
            <w:rStyle w:val="TextoNormalCaracter"/>
          </w:rPr>
          <w:t>167/2023</w:t>
        </w:r>
      </w:hyperlink>
      <w:r w:rsidRPr="00E1708A">
        <w:rPr>
          <w:rStyle w:val="TextoNormalCaracter"/>
        </w:rPr>
        <w:t>, ff. 6, 8, 9.</w:t>
      </w:r>
    </w:p>
    <w:p w14:paraId="297D2CA5" w14:textId="64E5B6EB" w:rsidR="00E1708A" w:rsidRPr="00E1708A" w:rsidRDefault="00E1708A" w:rsidP="00E1708A">
      <w:pPr>
        <w:pStyle w:val="TextoNormalSangraFrancesa"/>
        <w:rPr>
          <w:rStyle w:val="TextoNormalCaracter"/>
        </w:rPr>
      </w:pPr>
      <w:bookmarkStart w:id="1142" w:name="DESCRIPTORALFABETICO289"/>
      <w:r w:rsidRPr="00E1708A">
        <w:rPr>
          <w:rStyle w:val="TextoNormalNegritaCaracter"/>
        </w:rPr>
        <w:t>Funcionarios interinos</w:t>
      </w:r>
      <w:bookmarkEnd w:id="1142"/>
      <w:r w:rsidRPr="00E1708A">
        <w:rPr>
          <w:rStyle w:val="TextoNormalCaracter"/>
        </w:rPr>
        <w:t xml:space="preserve">, Sentencia </w:t>
      </w:r>
      <w:hyperlink w:anchor="SENTENCIA_2023_145" w:history="1">
        <w:r w:rsidRPr="00E1708A">
          <w:rPr>
            <w:rStyle w:val="TextoNormalCaracter"/>
          </w:rPr>
          <w:t>145/2023</w:t>
        </w:r>
      </w:hyperlink>
      <w:r w:rsidRPr="00E1708A">
        <w:rPr>
          <w:rStyle w:val="TextoNormalCaracter"/>
        </w:rPr>
        <w:t>, f. 2.</w:t>
      </w:r>
    </w:p>
    <w:p w14:paraId="554F4E59" w14:textId="71C5A2A1" w:rsidR="00E1708A" w:rsidRPr="00E1708A" w:rsidRDefault="00E1708A" w:rsidP="00E1708A">
      <w:pPr>
        <w:pStyle w:val="TextoNormalSangraFrancesa"/>
        <w:rPr>
          <w:rStyle w:val="TextoNormalCaracter"/>
        </w:rPr>
      </w:pPr>
      <w:bookmarkStart w:id="1143" w:name="DESCRIPTORALFABETICO241"/>
      <w:r w:rsidRPr="00E1708A">
        <w:rPr>
          <w:rStyle w:val="TextoNormalNegritaCaracter"/>
        </w:rPr>
        <w:t>Funciones de las mesas parlamentarias</w:t>
      </w:r>
      <w:bookmarkEnd w:id="1143"/>
      <w:r w:rsidRPr="00E1708A">
        <w:rPr>
          <w:rStyle w:val="TextoNormalCaracter"/>
        </w:rPr>
        <w:t xml:space="preserve">, Sentencia </w:t>
      </w:r>
      <w:hyperlink w:anchor="SENTENCIA_2023_132" w:history="1">
        <w:r w:rsidRPr="00E1708A">
          <w:rPr>
            <w:rStyle w:val="TextoNormalCaracter"/>
          </w:rPr>
          <w:t>132/2023</w:t>
        </w:r>
      </w:hyperlink>
      <w:r w:rsidRPr="00E1708A">
        <w:rPr>
          <w:rStyle w:val="TextoNormalCaracter"/>
        </w:rPr>
        <w:t>, ff.1 a 4.</w:t>
      </w:r>
    </w:p>
    <w:p w14:paraId="593719E1" w14:textId="3E7B0AF1" w:rsidR="00E1708A" w:rsidRPr="00E1708A" w:rsidRDefault="00E1708A" w:rsidP="00E1708A">
      <w:pPr>
        <w:pStyle w:val="TextoNormalSangraFrancesa"/>
        <w:rPr>
          <w:rStyle w:val="TextoNormalCaracter"/>
        </w:rPr>
      </w:pPr>
      <w:bookmarkStart w:id="1144" w:name="DESCRIPTORALFABETICO246"/>
      <w:r w:rsidRPr="00E1708A">
        <w:rPr>
          <w:rStyle w:val="TextoNormalNegritaCaracter"/>
        </w:rPr>
        <w:t>Funciones parlamentarias</w:t>
      </w:r>
      <w:bookmarkEnd w:id="1144"/>
      <w:r w:rsidRPr="00E1708A">
        <w:rPr>
          <w:rStyle w:val="TextoNormalCaracter"/>
        </w:rPr>
        <w:t xml:space="preserve">, Sentencia </w:t>
      </w:r>
      <w:hyperlink w:anchor="SENTENCIA_2023_165" w:history="1">
        <w:r w:rsidRPr="00E1708A">
          <w:rPr>
            <w:rStyle w:val="TextoNormalCaracter"/>
          </w:rPr>
          <w:t>165/2023</w:t>
        </w:r>
      </w:hyperlink>
      <w:r w:rsidRPr="00E1708A">
        <w:rPr>
          <w:rStyle w:val="TextoNormalCaracter"/>
        </w:rPr>
        <w:t>, f. 3.</w:t>
      </w:r>
    </w:p>
    <w:p w14:paraId="57DA3B99" w14:textId="6BEF01CB" w:rsidR="00E1708A" w:rsidRPr="00E1708A" w:rsidRDefault="00E1708A" w:rsidP="00E1708A">
      <w:pPr>
        <w:pStyle w:val="TextoNormalSangraFrancesa"/>
        <w:rPr>
          <w:rStyle w:val="TextoNormalCaracter"/>
        </w:rPr>
      </w:pPr>
      <w:bookmarkStart w:id="1145" w:name="DESCRIPTORALFABETICO326"/>
      <w:r w:rsidRPr="00E1708A">
        <w:rPr>
          <w:rStyle w:val="TextoNormalNegritaCaracter"/>
        </w:rPr>
        <w:t>Funciones policiales</w:t>
      </w:r>
      <w:bookmarkEnd w:id="1145"/>
      <w:r w:rsidRPr="00E1708A">
        <w:rPr>
          <w:rStyle w:val="TextoNormalCaracter"/>
        </w:rPr>
        <w:t xml:space="preserve">, Auto </w:t>
      </w:r>
      <w:hyperlink w:anchor="AUTO_2023_338" w:history="1">
        <w:r w:rsidRPr="00E1708A">
          <w:rPr>
            <w:rStyle w:val="TextoNormalCaracter"/>
          </w:rPr>
          <w:t>338/2023</w:t>
        </w:r>
      </w:hyperlink>
      <w:r w:rsidRPr="00E1708A">
        <w:rPr>
          <w:rStyle w:val="TextoNormalCaracter"/>
        </w:rPr>
        <w:t>, f.4,VP.</w:t>
      </w:r>
    </w:p>
    <w:p w14:paraId="68E0C13E" w14:textId="6585D60E" w:rsidR="00E1708A" w:rsidRPr="00E1708A" w:rsidRDefault="00E1708A" w:rsidP="00E1708A">
      <w:pPr>
        <w:pStyle w:val="TextoNormalSangraFrancesa"/>
        <w:rPr>
          <w:rStyle w:val="TextoNormalCaracter"/>
        </w:rPr>
      </w:pPr>
      <w:bookmarkStart w:id="1146" w:name="DESCRIPTORALFABETICO29"/>
      <w:r w:rsidRPr="00E1708A">
        <w:rPr>
          <w:rStyle w:val="TextoNormalNegritaCaracter"/>
        </w:rPr>
        <w:t>Funciones presupuestarias</w:t>
      </w:r>
      <w:bookmarkEnd w:id="1146"/>
      <w:r w:rsidRPr="00E1708A">
        <w:rPr>
          <w:rStyle w:val="TextoNormalCaracter"/>
        </w:rPr>
        <w:t xml:space="preserve">, Sentencia </w:t>
      </w:r>
      <w:hyperlink w:anchor="SENTENCIA_2023_132" w:history="1">
        <w:r w:rsidRPr="00E1708A">
          <w:rPr>
            <w:rStyle w:val="TextoNormalCaracter"/>
          </w:rPr>
          <w:t>132/2023</w:t>
        </w:r>
      </w:hyperlink>
      <w:r w:rsidRPr="00E1708A">
        <w:rPr>
          <w:rStyle w:val="TextoNormalCaracter"/>
        </w:rPr>
        <w:t>, ff. 1 a 4.</w:t>
      </w:r>
    </w:p>
    <w:p w14:paraId="5E0621B5" w14:textId="4518B173" w:rsidR="00E1708A" w:rsidRPr="00E1708A" w:rsidRDefault="00E1708A" w:rsidP="00E1708A">
      <w:pPr>
        <w:pStyle w:val="TextoNormalSangraFrancesa"/>
        <w:rPr>
          <w:rStyle w:val="TextoNormalCaracter"/>
        </w:rPr>
      </w:pPr>
      <w:bookmarkStart w:id="1147" w:name="DESCRIPTORALFABETICO247"/>
      <w:r w:rsidRPr="00E1708A">
        <w:rPr>
          <w:rStyle w:val="TextoNormalNegritaCaracter"/>
        </w:rPr>
        <w:t>Funciones representativas</w:t>
      </w:r>
      <w:bookmarkEnd w:id="1147"/>
      <w:r w:rsidRPr="00E1708A">
        <w:rPr>
          <w:rStyle w:val="TextoNormalCaracter"/>
        </w:rPr>
        <w:t xml:space="preserve">, Sentencias </w:t>
      </w:r>
      <w:hyperlink w:anchor="SENTENCIA_2023_82" w:history="1">
        <w:r w:rsidRPr="00E1708A">
          <w:rPr>
            <w:rStyle w:val="TextoNormalCaracter"/>
          </w:rPr>
          <w:t>82/2023</w:t>
        </w:r>
      </w:hyperlink>
      <w:r w:rsidRPr="00E1708A">
        <w:rPr>
          <w:rStyle w:val="TextoNormalCaracter"/>
        </w:rPr>
        <w:t xml:space="preserve">, ff. 1 a 3; </w:t>
      </w:r>
      <w:hyperlink w:anchor="SENTENCIA_2023_167" w:history="1">
        <w:r w:rsidRPr="00E1708A">
          <w:rPr>
            <w:rStyle w:val="TextoNormalCaracter"/>
          </w:rPr>
          <w:t>167/2023</w:t>
        </w:r>
      </w:hyperlink>
      <w:r w:rsidRPr="00E1708A">
        <w:rPr>
          <w:rStyle w:val="TextoNormalCaracter"/>
        </w:rPr>
        <w:t>, f. 4.</w:t>
      </w:r>
    </w:p>
    <w:p w14:paraId="56C863D4" w14:textId="429EB803" w:rsidR="00E1708A" w:rsidRDefault="00E1708A" w:rsidP="00E1708A">
      <w:pPr>
        <w:pStyle w:val="TextoNormalSangraFrancesa"/>
      </w:pPr>
    </w:p>
    <w:p w14:paraId="73C7B585" w14:textId="77777777" w:rsidR="00E1708A" w:rsidRDefault="00E1708A" w:rsidP="00E1708A">
      <w:pPr>
        <w:pStyle w:val="TextoNormalSangraFrancesa"/>
      </w:pPr>
    </w:p>
    <w:p w14:paraId="3429511B" w14:textId="77777777" w:rsidR="00E1708A" w:rsidRDefault="00E1708A" w:rsidP="00E1708A">
      <w:pPr>
        <w:pStyle w:val="TextoNormalNegritaCentrado"/>
      </w:pPr>
      <w:r>
        <w:t>G</w:t>
      </w:r>
    </w:p>
    <w:p w14:paraId="1DD8E141" w14:textId="24463343" w:rsidR="00E1708A" w:rsidRDefault="00E1708A" w:rsidP="00E1708A">
      <w:pPr>
        <w:pStyle w:val="TextoNormalNegritaCentrado"/>
      </w:pPr>
    </w:p>
    <w:p w14:paraId="71A4A9FC" w14:textId="3D0133FA" w:rsidR="00E1708A" w:rsidRPr="00E1708A" w:rsidRDefault="00E1708A" w:rsidP="00E1708A">
      <w:pPr>
        <w:pStyle w:val="TextoNormalSangraFrancesa"/>
        <w:rPr>
          <w:rStyle w:val="TextoNormalCaracter"/>
        </w:rPr>
      </w:pPr>
      <w:bookmarkStart w:id="1148" w:name="DESCRIPTORALFABETICO59"/>
      <w:r w:rsidRPr="00E1708A">
        <w:rPr>
          <w:rStyle w:val="TextoNormalNegritaCaracter"/>
        </w:rPr>
        <w:t>Garantía material del derecho a la legalidad sancionadora</w:t>
      </w:r>
      <w:bookmarkEnd w:id="1148"/>
      <w:r w:rsidRPr="00E1708A">
        <w:rPr>
          <w:rStyle w:val="TextoNormalCaracter"/>
        </w:rPr>
        <w:t xml:space="preserve">, Sentencias </w:t>
      </w:r>
      <w:hyperlink w:anchor="SENTENCIA_2023_80" w:history="1">
        <w:r w:rsidRPr="00E1708A">
          <w:rPr>
            <w:rStyle w:val="TextoNormalCaracter"/>
          </w:rPr>
          <w:t>80/2023</w:t>
        </w:r>
      </w:hyperlink>
      <w:r w:rsidRPr="00E1708A">
        <w:rPr>
          <w:rStyle w:val="TextoNormalCaracter"/>
        </w:rPr>
        <w:t xml:space="preserve">, f. único; </w:t>
      </w:r>
      <w:hyperlink w:anchor="SENTENCIA_2023_86" w:history="1">
        <w:r w:rsidRPr="00E1708A">
          <w:rPr>
            <w:rStyle w:val="TextoNormalCaracter"/>
          </w:rPr>
          <w:t>86/2023</w:t>
        </w:r>
      </w:hyperlink>
      <w:r w:rsidRPr="00E1708A">
        <w:rPr>
          <w:rStyle w:val="TextoNormalCaracter"/>
        </w:rPr>
        <w:t xml:space="preserve">, f. único; </w:t>
      </w:r>
      <w:hyperlink w:anchor="SENTENCIA_2023_87" w:history="1">
        <w:r w:rsidRPr="00E1708A">
          <w:rPr>
            <w:rStyle w:val="TextoNormalCaracter"/>
          </w:rPr>
          <w:t>87/2023</w:t>
        </w:r>
      </w:hyperlink>
      <w:r w:rsidRPr="00E1708A">
        <w:rPr>
          <w:rStyle w:val="TextoNormalCaracter"/>
        </w:rPr>
        <w:t xml:space="preserve">, f. 3; </w:t>
      </w:r>
      <w:hyperlink w:anchor="SENTENCIA_2023_130" w:history="1">
        <w:r w:rsidRPr="00E1708A">
          <w:rPr>
            <w:rStyle w:val="TextoNormalCaracter"/>
          </w:rPr>
          <w:t>130/2023</w:t>
        </w:r>
      </w:hyperlink>
      <w:r w:rsidRPr="00E1708A">
        <w:rPr>
          <w:rStyle w:val="TextoNormalCaracter"/>
        </w:rPr>
        <w:t>, f. único.</w:t>
      </w:r>
    </w:p>
    <w:p w14:paraId="28CDE3BC" w14:textId="0FD9E859" w:rsidR="00E1708A" w:rsidRPr="00E1708A" w:rsidRDefault="00E1708A" w:rsidP="00E1708A">
      <w:pPr>
        <w:pStyle w:val="TextoNormalSangraFrancesa"/>
        <w:rPr>
          <w:rStyle w:val="TextoNormalCaracter"/>
        </w:rPr>
      </w:pPr>
      <w:bookmarkStart w:id="1149" w:name="DESCRIPTORALFABETICO130"/>
      <w:r w:rsidRPr="00E1708A">
        <w:rPr>
          <w:rStyle w:val="TextoNormalNegritaCaracter"/>
        </w:rPr>
        <w:t>Garantías para la restricción de derechos fundamentales</w:t>
      </w:r>
      <w:bookmarkEnd w:id="1149"/>
      <w:r w:rsidRPr="00E1708A">
        <w:rPr>
          <w:rStyle w:val="TextoNormalCaracter"/>
        </w:rPr>
        <w:t xml:space="preserve">, Sentencia </w:t>
      </w:r>
      <w:hyperlink w:anchor="SENTENCIA_2023_148" w:history="1">
        <w:r w:rsidRPr="00E1708A">
          <w:rPr>
            <w:rStyle w:val="TextoNormalCaracter"/>
          </w:rPr>
          <w:t>148/2023</w:t>
        </w:r>
      </w:hyperlink>
      <w:r w:rsidRPr="00E1708A">
        <w:rPr>
          <w:rStyle w:val="TextoNormalCaracter"/>
        </w:rPr>
        <w:t>, ff. 3 a 5.</w:t>
      </w:r>
    </w:p>
    <w:p w14:paraId="7D3E2603" w14:textId="52A1B135" w:rsidR="00E1708A" w:rsidRPr="00E1708A" w:rsidRDefault="00E1708A" w:rsidP="00E1708A">
      <w:pPr>
        <w:pStyle w:val="TextoNormalSangraFrancesa"/>
        <w:rPr>
          <w:rStyle w:val="TextoNormalCaracter"/>
        </w:rPr>
      </w:pPr>
      <w:bookmarkStart w:id="1150" w:name="DESCRIPTORALFABETICO94"/>
      <w:r w:rsidRPr="00E1708A">
        <w:rPr>
          <w:rStyle w:val="TextoNormalNegritaCaracter"/>
        </w:rPr>
        <w:t>Garantías procesales</w:t>
      </w:r>
      <w:bookmarkEnd w:id="1150"/>
      <w:r w:rsidRPr="00E1708A">
        <w:rPr>
          <w:rStyle w:val="TextoNormalCaracter"/>
        </w:rPr>
        <w:t xml:space="preserve">, Sentencia </w:t>
      </w:r>
      <w:hyperlink w:anchor="SENTENCIA_2023_150" w:history="1">
        <w:r w:rsidRPr="00E1708A">
          <w:rPr>
            <w:rStyle w:val="TextoNormalCaracter"/>
          </w:rPr>
          <w:t>150/2023</w:t>
        </w:r>
      </w:hyperlink>
      <w:r w:rsidRPr="00E1708A">
        <w:rPr>
          <w:rStyle w:val="TextoNormalCaracter"/>
        </w:rPr>
        <w:t>, ff. 2 y 3.</w:t>
      </w:r>
    </w:p>
    <w:p w14:paraId="643833BB" w14:textId="57D0C03B" w:rsidR="00E1708A" w:rsidRPr="00E1708A" w:rsidRDefault="00E1708A" w:rsidP="00E1708A">
      <w:pPr>
        <w:pStyle w:val="TextoNormalSangraFrancesa"/>
        <w:rPr>
          <w:rStyle w:val="TextoNormalCaracter"/>
        </w:rPr>
      </w:pPr>
      <w:bookmarkStart w:id="1151" w:name="DESCRIPTORALFABETICO208"/>
      <w:r w:rsidRPr="00E1708A">
        <w:rPr>
          <w:rStyle w:val="TextoNormalNegritaCaracter"/>
        </w:rPr>
        <w:t>Gobierno</w:t>
      </w:r>
      <w:bookmarkEnd w:id="1151"/>
      <w:r w:rsidRPr="00E1708A">
        <w:rPr>
          <w:rStyle w:val="TextoNormalCaracter"/>
        </w:rPr>
        <w:t xml:space="preserve">, Sentencia </w:t>
      </w:r>
      <w:hyperlink w:anchor="SENTENCIA_2023_165" w:history="1">
        <w:r w:rsidRPr="00E1708A">
          <w:rPr>
            <w:rStyle w:val="TextoNormalCaracter"/>
          </w:rPr>
          <w:t>165/2023</w:t>
        </w:r>
      </w:hyperlink>
      <w:r w:rsidRPr="00E1708A">
        <w:rPr>
          <w:rStyle w:val="TextoNormalCaracter"/>
        </w:rPr>
        <w:t>, ff. 3, 4, VP.</w:t>
      </w:r>
    </w:p>
    <w:p w14:paraId="58A03409" w14:textId="2202E5D7" w:rsidR="00E1708A" w:rsidRDefault="00E1708A" w:rsidP="00E1708A">
      <w:pPr>
        <w:pStyle w:val="TextoNormalSangraFrancesa"/>
      </w:pPr>
    </w:p>
    <w:p w14:paraId="7B5B36CC" w14:textId="77777777" w:rsidR="00E1708A" w:rsidRDefault="00E1708A" w:rsidP="00E1708A">
      <w:pPr>
        <w:pStyle w:val="TextoNormalSangraFrancesa"/>
      </w:pPr>
    </w:p>
    <w:p w14:paraId="2484C6AD" w14:textId="77777777" w:rsidR="00E1708A" w:rsidRDefault="00E1708A" w:rsidP="00E1708A">
      <w:pPr>
        <w:pStyle w:val="TextoNormalNegritaCentrado"/>
      </w:pPr>
      <w:r>
        <w:t>H</w:t>
      </w:r>
    </w:p>
    <w:p w14:paraId="2382B997" w14:textId="6916A354" w:rsidR="00E1708A" w:rsidRDefault="00E1708A" w:rsidP="00E1708A">
      <w:pPr>
        <w:pStyle w:val="TextoNormalNegritaCentrado"/>
      </w:pPr>
    </w:p>
    <w:p w14:paraId="72EA10B1" w14:textId="4F73DCB7" w:rsidR="00E1708A" w:rsidRPr="00E1708A" w:rsidRDefault="00E1708A" w:rsidP="00E1708A">
      <w:pPr>
        <w:pStyle w:val="TextoNormalSangraFrancesa"/>
        <w:rPr>
          <w:rStyle w:val="TextoNormalCaracter"/>
        </w:rPr>
      </w:pPr>
      <w:bookmarkStart w:id="1152" w:name="DESCRIPTORALFABETICO27"/>
      <w:r w:rsidRPr="00E1708A">
        <w:rPr>
          <w:rStyle w:val="TextoNormalNegritaCaracter"/>
        </w:rPr>
        <w:t>Hacienda general</w:t>
      </w:r>
      <w:bookmarkEnd w:id="1152"/>
      <w:r w:rsidRPr="00E1708A">
        <w:rPr>
          <w:rStyle w:val="TextoNormalCaracter"/>
        </w:rPr>
        <w:t xml:space="preserve">, Sentencia </w:t>
      </w:r>
      <w:hyperlink w:anchor="SENTENCIA_2023_149" w:history="1">
        <w:r w:rsidRPr="00E1708A">
          <w:rPr>
            <w:rStyle w:val="TextoNormalCaracter"/>
          </w:rPr>
          <w:t>149/2023</w:t>
        </w:r>
      </w:hyperlink>
      <w:r w:rsidRPr="00E1708A">
        <w:rPr>
          <w:rStyle w:val="TextoNormalCaracter"/>
        </w:rPr>
        <w:t>, VP.</w:t>
      </w:r>
    </w:p>
    <w:p w14:paraId="77690821" w14:textId="4F174AFB" w:rsidR="00E1708A" w:rsidRPr="00E1708A" w:rsidRDefault="00E1708A" w:rsidP="00E1708A">
      <w:pPr>
        <w:pStyle w:val="TextoNormalSangraFrancesa"/>
        <w:rPr>
          <w:rStyle w:val="TextoNormalCaracter"/>
        </w:rPr>
      </w:pPr>
      <w:bookmarkStart w:id="1153" w:name="DESCRIPTORALFABETICO31"/>
      <w:r w:rsidRPr="00E1708A">
        <w:rPr>
          <w:rStyle w:val="TextoNormalNegritaCaracter"/>
        </w:rPr>
        <w:t>Hecho imponible</w:t>
      </w:r>
      <w:bookmarkEnd w:id="1153"/>
      <w:r w:rsidRPr="00E1708A">
        <w:rPr>
          <w:rStyle w:val="TextoNormalCaracter"/>
        </w:rPr>
        <w:t xml:space="preserve">, Sentencia </w:t>
      </w:r>
      <w:hyperlink w:anchor="SENTENCIA_2023_149" w:history="1">
        <w:r w:rsidRPr="00E1708A">
          <w:rPr>
            <w:rStyle w:val="TextoNormalCaracter"/>
          </w:rPr>
          <w:t>149/2023</w:t>
        </w:r>
      </w:hyperlink>
      <w:r w:rsidRPr="00E1708A">
        <w:rPr>
          <w:rStyle w:val="TextoNormalCaracter"/>
        </w:rPr>
        <w:t>, f. 5, VP.</w:t>
      </w:r>
    </w:p>
    <w:p w14:paraId="041A731A" w14:textId="0CCEDFB6" w:rsidR="00E1708A" w:rsidRDefault="00E1708A" w:rsidP="00E1708A">
      <w:pPr>
        <w:pStyle w:val="TextoNormalSangraFrancesa"/>
      </w:pPr>
    </w:p>
    <w:p w14:paraId="7BC143CC" w14:textId="77777777" w:rsidR="00E1708A" w:rsidRDefault="00E1708A" w:rsidP="00E1708A">
      <w:pPr>
        <w:pStyle w:val="TextoNormalSangraFrancesa"/>
      </w:pPr>
    </w:p>
    <w:p w14:paraId="0C3683A7" w14:textId="77777777" w:rsidR="00E1708A" w:rsidRDefault="00E1708A" w:rsidP="00E1708A">
      <w:pPr>
        <w:pStyle w:val="TextoNormalNegritaCentrado"/>
      </w:pPr>
      <w:r>
        <w:t>I</w:t>
      </w:r>
    </w:p>
    <w:p w14:paraId="4A66E9F4" w14:textId="692A0609" w:rsidR="00E1708A" w:rsidRDefault="00E1708A" w:rsidP="00E1708A">
      <w:pPr>
        <w:pStyle w:val="TextoNormalNegritaCentrado"/>
      </w:pPr>
    </w:p>
    <w:p w14:paraId="73F34B2F" w14:textId="129AEB24" w:rsidR="00E1708A" w:rsidRPr="00E1708A" w:rsidRDefault="00E1708A" w:rsidP="00E1708A">
      <w:pPr>
        <w:pStyle w:val="TextoNormalSangraFrancesa"/>
        <w:rPr>
          <w:rStyle w:val="TextoNormalCaracter"/>
        </w:rPr>
      </w:pPr>
      <w:bookmarkStart w:id="1154" w:name="DESCRIPTORALFABETICO95"/>
      <w:r w:rsidRPr="00E1708A">
        <w:rPr>
          <w:rStyle w:val="TextoNormalNegritaCaracter"/>
        </w:rPr>
        <w:t>Igualdad de armas procesales</w:t>
      </w:r>
      <w:bookmarkEnd w:id="1154"/>
      <w:r w:rsidRPr="00E1708A">
        <w:rPr>
          <w:rStyle w:val="TextoNormalCaracter"/>
        </w:rPr>
        <w:t xml:space="preserve">, Sentencia </w:t>
      </w:r>
      <w:hyperlink w:anchor="SENTENCIA_2023_152" w:history="1">
        <w:r w:rsidRPr="00E1708A">
          <w:rPr>
            <w:rStyle w:val="TextoNormalCaracter"/>
          </w:rPr>
          <w:t>152/2023</w:t>
        </w:r>
      </w:hyperlink>
      <w:r w:rsidRPr="00E1708A">
        <w:rPr>
          <w:rStyle w:val="TextoNormalCaracter"/>
        </w:rPr>
        <w:t>, f. 2.</w:t>
      </w:r>
    </w:p>
    <w:p w14:paraId="77B557B8" w14:textId="0B9D9056" w:rsidR="00E1708A" w:rsidRPr="00E1708A" w:rsidRDefault="00E1708A" w:rsidP="00E1708A">
      <w:pPr>
        <w:pStyle w:val="TextoNormalSangraFrancesa"/>
        <w:rPr>
          <w:rStyle w:val="TextoNormalCaracter"/>
        </w:rPr>
      </w:pPr>
      <w:bookmarkStart w:id="1155" w:name="DESCRIPTORALFABETICO44"/>
      <w:r w:rsidRPr="00E1708A">
        <w:rPr>
          <w:rStyle w:val="TextoNormalNegritaCaracter"/>
        </w:rPr>
        <w:t>Igualdad en el acceso a la función pública</w:t>
      </w:r>
      <w:bookmarkEnd w:id="1155"/>
      <w:r w:rsidRPr="00E1708A">
        <w:rPr>
          <w:rStyle w:val="TextoNormalCaracter"/>
        </w:rPr>
        <w:t xml:space="preserve">, Sentencia </w:t>
      </w:r>
      <w:hyperlink w:anchor="SENTENCIA_2023_145" w:history="1">
        <w:r w:rsidRPr="00E1708A">
          <w:rPr>
            <w:rStyle w:val="TextoNormalCaracter"/>
          </w:rPr>
          <w:t>145/2023</w:t>
        </w:r>
      </w:hyperlink>
      <w:r w:rsidRPr="00E1708A">
        <w:rPr>
          <w:rStyle w:val="TextoNormalCaracter"/>
        </w:rPr>
        <w:t>, f. 1.</w:t>
      </w:r>
    </w:p>
    <w:p w14:paraId="62242221" w14:textId="4605524F" w:rsidR="00E1708A" w:rsidRPr="00E1708A" w:rsidRDefault="00E1708A" w:rsidP="00E1708A">
      <w:pPr>
        <w:pStyle w:val="TextoNormalSangraFrancesa"/>
        <w:rPr>
          <w:rStyle w:val="TextoNormalCaracter"/>
        </w:rPr>
      </w:pPr>
      <w:bookmarkStart w:id="1156" w:name="DESCRIPTORALFABETICO50"/>
      <w:r w:rsidRPr="00E1708A">
        <w:rPr>
          <w:rStyle w:val="TextoNormalNegritaCaracter"/>
        </w:rPr>
        <w:t>Igualdad en el acceso a los cargos públicos</w:t>
      </w:r>
      <w:bookmarkEnd w:id="1156"/>
      <w:r w:rsidRPr="00E1708A">
        <w:rPr>
          <w:rStyle w:val="TextoNormalCaracter"/>
        </w:rPr>
        <w:t xml:space="preserve">, Sentencias </w:t>
      </w:r>
      <w:hyperlink w:anchor="SENTENCIA_2023_95" w:history="1">
        <w:r w:rsidRPr="00E1708A">
          <w:rPr>
            <w:rStyle w:val="TextoNormalCaracter"/>
          </w:rPr>
          <w:t>95/2023</w:t>
        </w:r>
      </w:hyperlink>
      <w:r w:rsidRPr="00E1708A">
        <w:rPr>
          <w:rStyle w:val="TextoNormalCaracter"/>
        </w:rPr>
        <w:t xml:space="preserve">, f. 3; </w:t>
      </w:r>
      <w:hyperlink w:anchor="SENTENCIA_2023_116" w:history="1">
        <w:r w:rsidRPr="00E1708A">
          <w:rPr>
            <w:rStyle w:val="TextoNormalCaracter"/>
          </w:rPr>
          <w:t>116/2023</w:t>
        </w:r>
      </w:hyperlink>
      <w:r w:rsidRPr="00E1708A">
        <w:rPr>
          <w:rStyle w:val="TextoNormalCaracter"/>
        </w:rPr>
        <w:t>, ff. 1 a 4.</w:t>
      </w:r>
    </w:p>
    <w:p w14:paraId="72AE0FA8" w14:textId="1FBB24A9" w:rsidR="00E1708A" w:rsidRPr="00E1708A" w:rsidRDefault="00E1708A" w:rsidP="00E1708A">
      <w:pPr>
        <w:pStyle w:val="TextoNormalSangraFrancesa"/>
        <w:rPr>
          <w:rStyle w:val="TextoNormalCaracter"/>
        </w:rPr>
      </w:pPr>
      <w:bookmarkStart w:id="1157" w:name="DESCRIPTORALFABETICO87"/>
      <w:r w:rsidRPr="00E1708A">
        <w:rPr>
          <w:rStyle w:val="TextoNormalNegritaCaracter"/>
        </w:rPr>
        <w:t>Igualdad en el sufragio</w:t>
      </w:r>
      <w:bookmarkEnd w:id="1157"/>
      <w:r w:rsidRPr="00E1708A">
        <w:rPr>
          <w:rStyle w:val="TextoNormalCaracter"/>
        </w:rPr>
        <w:t xml:space="preserve">, Sentencia </w:t>
      </w:r>
      <w:hyperlink w:anchor="SENTENCIA_2023_95" w:history="1">
        <w:r w:rsidRPr="00E1708A">
          <w:rPr>
            <w:rStyle w:val="TextoNormalCaracter"/>
          </w:rPr>
          <w:t>95/2023</w:t>
        </w:r>
      </w:hyperlink>
      <w:r w:rsidRPr="00E1708A">
        <w:rPr>
          <w:rStyle w:val="TextoNormalCaracter"/>
        </w:rPr>
        <w:t>, f. 2.</w:t>
      </w:r>
    </w:p>
    <w:p w14:paraId="2723D58E" w14:textId="77777777" w:rsidR="00E1708A" w:rsidRPr="00E1708A" w:rsidRDefault="00E1708A" w:rsidP="00E1708A">
      <w:pPr>
        <w:pStyle w:val="TextoNormalSangraFrancesa"/>
        <w:rPr>
          <w:rStyle w:val="TextoNormalCaracter"/>
        </w:rPr>
      </w:pPr>
      <w:bookmarkStart w:id="1158" w:name="DESCRIPTORALFABETICO51"/>
      <w:r w:rsidRPr="00E1708A">
        <w:rPr>
          <w:rStyle w:val="TextoNormalNegritaCaracter"/>
        </w:rPr>
        <w:t>Igualdad en la aplicación de la ley</w:t>
      </w:r>
      <w:bookmarkEnd w:id="1158"/>
      <w:r w:rsidRPr="00E1708A">
        <w:rPr>
          <w:rStyle w:val="TextoNormalCaracter"/>
        </w:rPr>
        <w:t xml:space="preserve">, </w:t>
      </w:r>
    </w:p>
    <w:p w14:paraId="57E297CB" w14:textId="616A70C0" w:rsidR="00E1708A" w:rsidRPr="00E1708A" w:rsidRDefault="00E1708A" w:rsidP="00E1708A">
      <w:pPr>
        <w:pStyle w:val="TextoNormalSangraFrancesa"/>
        <w:rPr>
          <w:rStyle w:val="TextoNormalCaracter"/>
        </w:rPr>
      </w:pPr>
      <w:r w:rsidRPr="00E1708A">
        <w:rPr>
          <w:rStyle w:val="TextoNormalCursivaCaracter"/>
        </w:rPr>
        <w:t xml:space="preserve">    Respetada, </w:t>
      </w:r>
      <w:r w:rsidRPr="00E1708A">
        <w:rPr>
          <w:rStyle w:val="TextoNormalCaracter"/>
        </w:rPr>
        <w:t xml:space="preserve">Sentencias </w:t>
      </w:r>
      <w:hyperlink w:anchor="SENTENCIA_2023_89" w:history="1">
        <w:r w:rsidRPr="00E1708A">
          <w:rPr>
            <w:rStyle w:val="TextoNormalCaracter"/>
          </w:rPr>
          <w:t>89/2023</w:t>
        </w:r>
      </w:hyperlink>
      <w:r w:rsidRPr="00E1708A">
        <w:rPr>
          <w:rStyle w:val="TextoNormalCaracter"/>
        </w:rPr>
        <w:t xml:space="preserve">, ff.1 a 3, VP I; </w:t>
      </w:r>
      <w:hyperlink w:anchor="SENTENCIA_2023_90" w:history="1">
        <w:r w:rsidRPr="00E1708A">
          <w:rPr>
            <w:rStyle w:val="TextoNormalCaracter"/>
          </w:rPr>
          <w:t>90/2023</w:t>
        </w:r>
      </w:hyperlink>
      <w:r w:rsidRPr="00E1708A">
        <w:rPr>
          <w:rStyle w:val="TextoNormalCaracter"/>
        </w:rPr>
        <w:t xml:space="preserve">, f. 6; </w:t>
      </w:r>
      <w:hyperlink w:anchor="SENTENCIA_2023_97" w:history="1">
        <w:r w:rsidRPr="00E1708A">
          <w:rPr>
            <w:rStyle w:val="TextoNormalCaracter"/>
          </w:rPr>
          <w:t>97/2023</w:t>
        </w:r>
      </w:hyperlink>
      <w:r w:rsidRPr="00E1708A">
        <w:rPr>
          <w:rStyle w:val="TextoNormalCaracter"/>
        </w:rPr>
        <w:t xml:space="preserve">, f. 3; </w:t>
      </w:r>
      <w:hyperlink w:anchor="SENTENCIA_2023_98" w:history="1">
        <w:r w:rsidRPr="00E1708A">
          <w:rPr>
            <w:rStyle w:val="TextoNormalCaracter"/>
          </w:rPr>
          <w:t>98/2023</w:t>
        </w:r>
      </w:hyperlink>
      <w:r w:rsidRPr="00E1708A">
        <w:rPr>
          <w:rStyle w:val="TextoNormalCaracter"/>
        </w:rPr>
        <w:t xml:space="preserve">, ff. 1 y 2; </w:t>
      </w:r>
      <w:hyperlink w:anchor="SENTENCIA_2023_99" w:history="1">
        <w:r w:rsidRPr="00E1708A">
          <w:rPr>
            <w:rStyle w:val="TextoNormalCaracter"/>
          </w:rPr>
          <w:t>99/2023</w:t>
        </w:r>
      </w:hyperlink>
      <w:r w:rsidRPr="00E1708A">
        <w:rPr>
          <w:rStyle w:val="TextoNormalCaracter"/>
        </w:rPr>
        <w:t xml:space="preserve">, ff. 1 y 2; </w:t>
      </w:r>
      <w:hyperlink w:anchor="SENTENCIA_2023_100" w:history="1">
        <w:r w:rsidRPr="00E1708A">
          <w:rPr>
            <w:rStyle w:val="TextoNormalCaracter"/>
          </w:rPr>
          <w:t>100/2023</w:t>
        </w:r>
      </w:hyperlink>
      <w:r w:rsidRPr="00E1708A">
        <w:rPr>
          <w:rStyle w:val="TextoNormalCaracter"/>
        </w:rPr>
        <w:t xml:space="preserve">, ff. 1 y 2; </w:t>
      </w:r>
      <w:hyperlink w:anchor="SENTENCIA_2023_102" w:history="1">
        <w:r w:rsidRPr="00E1708A">
          <w:rPr>
            <w:rStyle w:val="TextoNormalCaracter"/>
          </w:rPr>
          <w:t>102/2023</w:t>
        </w:r>
      </w:hyperlink>
      <w:r w:rsidRPr="00E1708A">
        <w:rPr>
          <w:rStyle w:val="TextoNormalCaracter"/>
        </w:rPr>
        <w:t xml:space="preserve">, f. 3; </w:t>
      </w:r>
      <w:hyperlink w:anchor="SENTENCIA_2023_103" w:history="1">
        <w:r w:rsidRPr="00E1708A">
          <w:rPr>
            <w:rStyle w:val="TextoNormalCaracter"/>
          </w:rPr>
          <w:t>103/2023</w:t>
        </w:r>
      </w:hyperlink>
      <w:r w:rsidRPr="00E1708A">
        <w:rPr>
          <w:rStyle w:val="TextoNormalCaracter"/>
        </w:rPr>
        <w:t xml:space="preserve">, ff. 1 y 2; </w:t>
      </w:r>
      <w:hyperlink w:anchor="SENTENCIA_2023_104" w:history="1">
        <w:r w:rsidRPr="00E1708A">
          <w:rPr>
            <w:rStyle w:val="TextoNormalCaracter"/>
          </w:rPr>
          <w:t>104/2023</w:t>
        </w:r>
      </w:hyperlink>
      <w:r w:rsidRPr="00E1708A">
        <w:rPr>
          <w:rStyle w:val="TextoNormalCaracter"/>
        </w:rPr>
        <w:t xml:space="preserve">, f. 2; </w:t>
      </w:r>
      <w:hyperlink w:anchor="SENTENCIA_2023_105" w:history="1">
        <w:r w:rsidRPr="00E1708A">
          <w:rPr>
            <w:rStyle w:val="TextoNormalCaracter"/>
          </w:rPr>
          <w:t>105/2023</w:t>
        </w:r>
      </w:hyperlink>
      <w:r w:rsidRPr="00E1708A">
        <w:rPr>
          <w:rStyle w:val="TextoNormalCaracter"/>
        </w:rPr>
        <w:t xml:space="preserve">, f. 2; </w:t>
      </w:r>
      <w:hyperlink w:anchor="SENTENCIA_2023_106" w:history="1">
        <w:r w:rsidRPr="00E1708A">
          <w:rPr>
            <w:rStyle w:val="TextoNormalCaracter"/>
          </w:rPr>
          <w:t>106/2023</w:t>
        </w:r>
      </w:hyperlink>
      <w:r w:rsidRPr="00E1708A">
        <w:rPr>
          <w:rStyle w:val="TextoNormalCaracter"/>
        </w:rPr>
        <w:t xml:space="preserve">, f. 3; </w:t>
      </w:r>
      <w:hyperlink w:anchor="SENTENCIA_2023_107" w:history="1">
        <w:r w:rsidRPr="00E1708A">
          <w:rPr>
            <w:rStyle w:val="TextoNormalCaracter"/>
          </w:rPr>
          <w:t>107/2023</w:t>
        </w:r>
      </w:hyperlink>
      <w:r w:rsidRPr="00E1708A">
        <w:rPr>
          <w:rStyle w:val="TextoNormalCaracter"/>
        </w:rPr>
        <w:t xml:space="preserve">, f. 3; </w:t>
      </w:r>
      <w:hyperlink w:anchor="SENTENCIA_2023_108" w:history="1">
        <w:r w:rsidRPr="00E1708A">
          <w:rPr>
            <w:rStyle w:val="TextoNormalCaracter"/>
          </w:rPr>
          <w:t>108/2023</w:t>
        </w:r>
      </w:hyperlink>
      <w:r w:rsidRPr="00E1708A">
        <w:rPr>
          <w:rStyle w:val="TextoNormalCaracter"/>
        </w:rPr>
        <w:t xml:space="preserve">, f. 2; </w:t>
      </w:r>
      <w:hyperlink w:anchor="SENTENCIA_2023_109" w:history="1">
        <w:r w:rsidRPr="00E1708A">
          <w:rPr>
            <w:rStyle w:val="TextoNormalCaracter"/>
          </w:rPr>
          <w:t>109/2023</w:t>
        </w:r>
      </w:hyperlink>
      <w:r w:rsidRPr="00E1708A">
        <w:rPr>
          <w:rStyle w:val="TextoNormalCaracter"/>
        </w:rPr>
        <w:t xml:space="preserve">, f. 2; </w:t>
      </w:r>
      <w:hyperlink w:anchor="SENTENCIA_2023_110" w:history="1">
        <w:r w:rsidRPr="00E1708A">
          <w:rPr>
            <w:rStyle w:val="TextoNormalCaracter"/>
          </w:rPr>
          <w:t>110/2023</w:t>
        </w:r>
      </w:hyperlink>
      <w:r w:rsidRPr="00E1708A">
        <w:rPr>
          <w:rStyle w:val="TextoNormalCaracter"/>
        </w:rPr>
        <w:t xml:space="preserve">, ff. 1 y 2; </w:t>
      </w:r>
      <w:hyperlink w:anchor="SENTENCIA_2023_111" w:history="1">
        <w:r w:rsidRPr="00E1708A">
          <w:rPr>
            <w:rStyle w:val="TextoNormalCaracter"/>
          </w:rPr>
          <w:t>111/2023</w:t>
        </w:r>
      </w:hyperlink>
      <w:r w:rsidRPr="00E1708A">
        <w:rPr>
          <w:rStyle w:val="TextoNormalCaracter"/>
        </w:rPr>
        <w:t xml:space="preserve">, ff. 1 y 2; </w:t>
      </w:r>
      <w:hyperlink w:anchor="SENTENCIA_2023_112" w:history="1">
        <w:r w:rsidRPr="00E1708A">
          <w:rPr>
            <w:rStyle w:val="TextoNormalCaracter"/>
          </w:rPr>
          <w:t>112/2023</w:t>
        </w:r>
      </w:hyperlink>
      <w:r w:rsidRPr="00E1708A">
        <w:rPr>
          <w:rStyle w:val="TextoNormalCaracter"/>
        </w:rPr>
        <w:t xml:space="preserve">, ff. 1 y 2; </w:t>
      </w:r>
      <w:hyperlink w:anchor="SENTENCIA_2023_113" w:history="1">
        <w:r w:rsidRPr="00E1708A">
          <w:rPr>
            <w:rStyle w:val="TextoNormalCaracter"/>
          </w:rPr>
          <w:t>113/2023</w:t>
        </w:r>
      </w:hyperlink>
      <w:r w:rsidRPr="00E1708A">
        <w:rPr>
          <w:rStyle w:val="TextoNormalCaracter"/>
        </w:rPr>
        <w:t xml:space="preserve">, ff. 1 y 2; </w:t>
      </w:r>
      <w:hyperlink w:anchor="SENTENCIA_2023_114" w:history="1">
        <w:r w:rsidRPr="00E1708A">
          <w:rPr>
            <w:rStyle w:val="TextoNormalCaracter"/>
          </w:rPr>
          <w:t>114/2023</w:t>
        </w:r>
      </w:hyperlink>
      <w:r w:rsidRPr="00E1708A">
        <w:rPr>
          <w:rStyle w:val="TextoNormalCaracter"/>
        </w:rPr>
        <w:t xml:space="preserve">, ff. 1 y 2; </w:t>
      </w:r>
      <w:hyperlink w:anchor="SENTENCIA_2023_115" w:history="1">
        <w:r w:rsidRPr="00E1708A">
          <w:rPr>
            <w:rStyle w:val="TextoNormalCaracter"/>
          </w:rPr>
          <w:t>115/2023</w:t>
        </w:r>
      </w:hyperlink>
      <w:r w:rsidRPr="00E1708A">
        <w:rPr>
          <w:rStyle w:val="TextoNormalCaracter"/>
        </w:rPr>
        <w:t xml:space="preserve">, ff. 1 a 3; </w:t>
      </w:r>
      <w:hyperlink w:anchor="SENTENCIA_2023_117" w:history="1">
        <w:r w:rsidRPr="00E1708A">
          <w:rPr>
            <w:rStyle w:val="TextoNormalCaracter"/>
          </w:rPr>
          <w:t>117/2023</w:t>
        </w:r>
      </w:hyperlink>
      <w:r w:rsidRPr="00E1708A">
        <w:rPr>
          <w:rStyle w:val="TextoNormalCaracter"/>
        </w:rPr>
        <w:t xml:space="preserve">, f. 2; </w:t>
      </w:r>
      <w:hyperlink w:anchor="SENTENCIA_2023_118" w:history="1">
        <w:r w:rsidRPr="00E1708A">
          <w:rPr>
            <w:rStyle w:val="TextoNormalCaracter"/>
          </w:rPr>
          <w:t>118/2023</w:t>
        </w:r>
      </w:hyperlink>
      <w:r w:rsidRPr="00E1708A">
        <w:rPr>
          <w:rStyle w:val="TextoNormalCaracter"/>
        </w:rPr>
        <w:t xml:space="preserve">, f. 3; </w:t>
      </w:r>
      <w:hyperlink w:anchor="SENTENCIA_2023_119" w:history="1">
        <w:r w:rsidRPr="00E1708A">
          <w:rPr>
            <w:rStyle w:val="TextoNormalCaracter"/>
          </w:rPr>
          <w:t>119/2023</w:t>
        </w:r>
      </w:hyperlink>
      <w:r w:rsidRPr="00E1708A">
        <w:rPr>
          <w:rStyle w:val="TextoNormalCaracter"/>
        </w:rPr>
        <w:t xml:space="preserve">, f. 2; </w:t>
      </w:r>
      <w:hyperlink w:anchor="SENTENCIA_2023_120" w:history="1">
        <w:r w:rsidRPr="00E1708A">
          <w:rPr>
            <w:rStyle w:val="TextoNormalCaracter"/>
          </w:rPr>
          <w:t>120/2023</w:t>
        </w:r>
      </w:hyperlink>
      <w:r w:rsidRPr="00E1708A">
        <w:rPr>
          <w:rStyle w:val="TextoNormalCaracter"/>
        </w:rPr>
        <w:t xml:space="preserve">, f. 3; </w:t>
      </w:r>
      <w:hyperlink w:anchor="SENTENCIA_2023_121" w:history="1">
        <w:r w:rsidRPr="00E1708A">
          <w:rPr>
            <w:rStyle w:val="TextoNormalCaracter"/>
          </w:rPr>
          <w:t>121/2023</w:t>
        </w:r>
      </w:hyperlink>
      <w:r w:rsidRPr="00E1708A">
        <w:rPr>
          <w:rStyle w:val="TextoNormalCaracter"/>
        </w:rPr>
        <w:t>, f. 2.</w:t>
      </w:r>
    </w:p>
    <w:p w14:paraId="3F0EA008" w14:textId="3C16FB6C" w:rsidR="00E1708A" w:rsidRPr="00E1708A" w:rsidRDefault="00E1708A" w:rsidP="00E1708A">
      <w:pPr>
        <w:pStyle w:val="TextoNormalSangraFrancesa"/>
        <w:rPr>
          <w:rStyle w:val="TextoNormalCaracter"/>
        </w:rPr>
      </w:pPr>
      <w:bookmarkStart w:id="1159" w:name="DESCRIPTORALFABETICO437"/>
      <w:r w:rsidRPr="00E1708A">
        <w:rPr>
          <w:rStyle w:val="TextoNormalNegritaCaracter"/>
        </w:rPr>
        <w:t>Illes Balears</w:t>
      </w:r>
      <w:bookmarkEnd w:id="1159"/>
      <w:r w:rsidRPr="00E1708A">
        <w:rPr>
          <w:rStyle w:val="TextoNormalCaracter"/>
        </w:rPr>
        <w:t xml:space="preserve">, Auto </w:t>
      </w:r>
      <w:hyperlink w:anchor="AUTO_2023_354" w:history="1">
        <w:r w:rsidRPr="00E1708A">
          <w:rPr>
            <w:rStyle w:val="TextoNormalCaracter"/>
          </w:rPr>
          <w:t>354/2023</w:t>
        </w:r>
      </w:hyperlink>
      <w:r w:rsidRPr="00E1708A">
        <w:rPr>
          <w:rStyle w:val="TextoNormalCaracter"/>
        </w:rPr>
        <w:t>.</w:t>
      </w:r>
    </w:p>
    <w:p w14:paraId="66DDF530" w14:textId="4ED9EB3B" w:rsidR="00E1708A" w:rsidRPr="00E1708A" w:rsidRDefault="00E1708A" w:rsidP="00E1708A">
      <w:pPr>
        <w:pStyle w:val="TextoNormalSangraFrancesa"/>
        <w:rPr>
          <w:rStyle w:val="TextoNormalCaracter"/>
        </w:rPr>
      </w:pPr>
      <w:bookmarkStart w:id="1160" w:name="DESCRIPTORALFABETICO34"/>
      <w:r w:rsidRPr="00E1708A">
        <w:rPr>
          <w:rStyle w:val="TextoNormalNegritaCaracter"/>
        </w:rPr>
        <w:t>Impuesto sobre el patrimonio</w:t>
      </w:r>
      <w:bookmarkEnd w:id="1160"/>
      <w:r w:rsidRPr="00E1708A">
        <w:rPr>
          <w:rStyle w:val="TextoNormalCaracter"/>
        </w:rPr>
        <w:t xml:space="preserve">, Sentencias </w:t>
      </w:r>
      <w:hyperlink w:anchor="SENTENCIA_2023_149" w:history="1">
        <w:r w:rsidRPr="00E1708A">
          <w:rPr>
            <w:rStyle w:val="TextoNormalCaracter"/>
          </w:rPr>
          <w:t>149/2023</w:t>
        </w:r>
      </w:hyperlink>
      <w:r w:rsidRPr="00E1708A">
        <w:rPr>
          <w:rStyle w:val="TextoNormalCaracter"/>
        </w:rPr>
        <w:t xml:space="preserve">, ff.1, 3, 4, 5, VP; </w:t>
      </w:r>
      <w:hyperlink w:anchor="SENTENCIA_2023_170" w:history="1">
        <w:r w:rsidRPr="00E1708A">
          <w:rPr>
            <w:rStyle w:val="TextoNormalCaracter"/>
          </w:rPr>
          <w:t>170/2023</w:t>
        </w:r>
      </w:hyperlink>
      <w:r w:rsidRPr="00E1708A">
        <w:rPr>
          <w:rStyle w:val="TextoNormalCaracter"/>
        </w:rPr>
        <w:t xml:space="preserve">, f. 2, VP; </w:t>
      </w:r>
      <w:hyperlink w:anchor="SENTENCIA_2023_171" w:history="1">
        <w:r w:rsidRPr="00E1708A">
          <w:rPr>
            <w:rStyle w:val="TextoNormalCaracter"/>
          </w:rPr>
          <w:t>171/2023</w:t>
        </w:r>
      </w:hyperlink>
      <w:r w:rsidRPr="00E1708A">
        <w:rPr>
          <w:rStyle w:val="TextoNormalCaracter"/>
        </w:rPr>
        <w:t xml:space="preserve">, f. 2, VP; </w:t>
      </w:r>
      <w:hyperlink w:anchor="SENTENCIA_2023_189" w:history="1">
        <w:r w:rsidRPr="00E1708A">
          <w:rPr>
            <w:rStyle w:val="TextoNormalCaracter"/>
          </w:rPr>
          <w:t>189/2023</w:t>
        </w:r>
      </w:hyperlink>
      <w:r w:rsidRPr="00E1708A">
        <w:rPr>
          <w:rStyle w:val="TextoNormalCaracter"/>
        </w:rPr>
        <w:t xml:space="preserve">, f.2, VP; </w:t>
      </w:r>
      <w:hyperlink w:anchor="SENTENCIA_2023_190" w:history="1">
        <w:r w:rsidRPr="00E1708A">
          <w:rPr>
            <w:rStyle w:val="TextoNormalCaracter"/>
          </w:rPr>
          <w:t>190/2023</w:t>
        </w:r>
      </w:hyperlink>
      <w:r w:rsidRPr="00E1708A">
        <w:rPr>
          <w:rStyle w:val="TextoNormalCaracter"/>
        </w:rPr>
        <w:t>, f. 2, VP.</w:t>
      </w:r>
    </w:p>
    <w:p w14:paraId="0EDFC6F6" w14:textId="4865FB1F" w:rsidR="00E1708A" w:rsidRPr="00E1708A" w:rsidRDefault="00E1708A" w:rsidP="00E1708A">
      <w:pPr>
        <w:pStyle w:val="TextoNormalSangraFrancesa"/>
        <w:rPr>
          <w:rStyle w:val="TextoNormalCaracter"/>
        </w:rPr>
      </w:pPr>
      <w:bookmarkStart w:id="1161" w:name="DESCRIPTORALFABETICO35"/>
      <w:r w:rsidRPr="00E1708A">
        <w:rPr>
          <w:rStyle w:val="TextoNormalNegritaCaracter"/>
        </w:rPr>
        <w:t>Impuesto temporal de solidaridad de las grandes fortunas</w:t>
      </w:r>
      <w:bookmarkEnd w:id="1161"/>
      <w:r w:rsidRPr="00E1708A">
        <w:rPr>
          <w:rStyle w:val="TextoNormalCaracter"/>
        </w:rPr>
        <w:t xml:space="preserve">, Sentencias </w:t>
      </w:r>
      <w:hyperlink w:anchor="SENTENCIA_2023_149" w:history="1">
        <w:r w:rsidRPr="00E1708A">
          <w:rPr>
            <w:rStyle w:val="TextoNormalCaracter"/>
          </w:rPr>
          <w:t>149/2023</w:t>
        </w:r>
      </w:hyperlink>
      <w:r w:rsidRPr="00E1708A">
        <w:rPr>
          <w:rStyle w:val="TextoNormalCaracter"/>
        </w:rPr>
        <w:t xml:space="preserve">, ff.1 a 5, VP; </w:t>
      </w:r>
      <w:hyperlink w:anchor="SENTENCIA_2023_170" w:history="1">
        <w:r w:rsidRPr="00E1708A">
          <w:rPr>
            <w:rStyle w:val="TextoNormalCaracter"/>
          </w:rPr>
          <w:t>170/2023</w:t>
        </w:r>
      </w:hyperlink>
      <w:r w:rsidRPr="00E1708A">
        <w:rPr>
          <w:rStyle w:val="TextoNormalCaracter"/>
        </w:rPr>
        <w:t xml:space="preserve">, ff. 1, 2, 4, 5, VP; </w:t>
      </w:r>
      <w:hyperlink w:anchor="SENTENCIA_2023_171" w:history="1">
        <w:r w:rsidRPr="00E1708A">
          <w:rPr>
            <w:rStyle w:val="TextoNormalCaracter"/>
          </w:rPr>
          <w:t>171/2023</w:t>
        </w:r>
      </w:hyperlink>
      <w:r w:rsidRPr="00E1708A">
        <w:rPr>
          <w:rStyle w:val="TextoNormalCaracter"/>
        </w:rPr>
        <w:t xml:space="preserve">, ff. 1, 2, 4, 5, VP; </w:t>
      </w:r>
      <w:hyperlink w:anchor="SENTENCIA_2023_189" w:history="1">
        <w:r w:rsidRPr="00E1708A">
          <w:rPr>
            <w:rStyle w:val="TextoNormalCaracter"/>
          </w:rPr>
          <w:t>189/2023</w:t>
        </w:r>
      </w:hyperlink>
      <w:r w:rsidRPr="00E1708A">
        <w:rPr>
          <w:rStyle w:val="TextoNormalCaracter"/>
        </w:rPr>
        <w:t xml:space="preserve">, ff. 1, 2, 4, 5, VP; </w:t>
      </w:r>
      <w:hyperlink w:anchor="SENTENCIA_2023_190" w:history="1">
        <w:r w:rsidRPr="00E1708A">
          <w:rPr>
            <w:rStyle w:val="TextoNormalCaracter"/>
          </w:rPr>
          <w:t>190/2023</w:t>
        </w:r>
      </w:hyperlink>
      <w:r w:rsidRPr="00E1708A">
        <w:rPr>
          <w:rStyle w:val="TextoNormalCaracter"/>
        </w:rPr>
        <w:t>, ff. 1, 2, 4, 5, VP.</w:t>
      </w:r>
    </w:p>
    <w:p w14:paraId="322A7140" w14:textId="17D9DAB5" w:rsidR="00E1708A" w:rsidRPr="00E1708A" w:rsidRDefault="00E1708A" w:rsidP="00E1708A">
      <w:pPr>
        <w:pStyle w:val="TextoNormalSangraFrancesa"/>
        <w:rPr>
          <w:rStyle w:val="TextoNormalCaracter"/>
        </w:rPr>
      </w:pPr>
      <w:bookmarkStart w:id="1162" w:name="DESCRIPTORALFABETICO243"/>
      <w:r w:rsidRPr="00E1708A">
        <w:rPr>
          <w:rStyle w:val="TextoNormalNegritaCaracter"/>
        </w:rPr>
        <w:t>Impugnación de acuerdos de las mesas parlamentarias</w:t>
      </w:r>
      <w:bookmarkEnd w:id="1162"/>
      <w:r w:rsidRPr="00E1708A">
        <w:rPr>
          <w:rStyle w:val="TextoNormalCaracter"/>
        </w:rPr>
        <w:t xml:space="preserve">, Sentencia </w:t>
      </w:r>
      <w:hyperlink w:anchor="SENTENCIA_2023_165" w:history="1">
        <w:r w:rsidRPr="00E1708A">
          <w:rPr>
            <w:rStyle w:val="TextoNormalCaracter"/>
          </w:rPr>
          <w:t>165/2023</w:t>
        </w:r>
      </w:hyperlink>
      <w:r w:rsidRPr="00E1708A">
        <w:rPr>
          <w:rStyle w:val="TextoNormalCaracter"/>
        </w:rPr>
        <w:t>, ff. 4 y VP.</w:t>
      </w:r>
    </w:p>
    <w:p w14:paraId="2EF762B4" w14:textId="2B442626" w:rsidR="00E1708A" w:rsidRPr="00E1708A" w:rsidRDefault="00E1708A" w:rsidP="00E1708A">
      <w:pPr>
        <w:pStyle w:val="TextoNormalSangraFrancesa"/>
        <w:rPr>
          <w:rStyle w:val="TextoNormalCaracter"/>
        </w:rPr>
      </w:pPr>
      <w:bookmarkStart w:id="1163" w:name="DESCRIPTORALFABETICO364"/>
      <w:r w:rsidRPr="00E1708A">
        <w:rPr>
          <w:rStyle w:val="TextoNormalNegritaCaracter"/>
        </w:rPr>
        <w:t>Impugnación de acuerdos sociales</w:t>
      </w:r>
      <w:bookmarkEnd w:id="1163"/>
      <w:r w:rsidRPr="00E1708A">
        <w:rPr>
          <w:rStyle w:val="TextoNormalCaracter"/>
        </w:rPr>
        <w:t xml:space="preserve">, Sentencia </w:t>
      </w:r>
      <w:hyperlink w:anchor="SENTENCIA_2023_129" w:history="1">
        <w:r w:rsidRPr="00E1708A">
          <w:rPr>
            <w:rStyle w:val="TextoNormalCaracter"/>
          </w:rPr>
          <w:t>129/2023</w:t>
        </w:r>
      </w:hyperlink>
      <w:r w:rsidRPr="00E1708A">
        <w:rPr>
          <w:rStyle w:val="TextoNormalCaracter"/>
        </w:rPr>
        <w:t>, ff. 1 a 4.</w:t>
      </w:r>
    </w:p>
    <w:p w14:paraId="25BC3C04" w14:textId="488EF2D3" w:rsidR="00E1708A" w:rsidRPr="00E1708A" w:rsidRDefault="00E1708A" w:rsidP="00E1708A">
      <w:pPr>
        <w:pStyle w:val="TextoNormalSangraFrancesa"/>
        <w:rPr>
          <w:rStyle w:val="TextoNormalCaracter"/>
        </w:rPr>
      </w:pPr>
      <w:bookmarkStart w:id="1164" w:name="DESCRIPTORALFABETICO41"/>
      <w:r w:rsidRPr="00E1708A">
        <w:rPr>
          <w:rStyle w:val="TextoNormalNegritaCaracter"/>
        </w:rPr>
        <w:t>Impugnación de la proclamación de Diputados</w:t>
      </w:r>
      <w:bookmarkEnd w:id="1164"/>
      <w:r w:rsidRPr="00E1708A">
        <w:rPr>
          <w:rStyle w:val="TextoNormalCaracter"/>
        </w:rPr>
        <w:t xml:space="preserve">, Sentencia </w:t>
      </w:r>
      <w:hyperlink w:anchor="SENTENCIA_2023_95" w:history="1">
        <w:r w:rsidRPr="00E1708A">
          <w:rPr>
            <w:rStyle w:val="TextoNormalCaracter"/>
          </w:rPr>
          <w:t>95/2023</w:t>
        </w:r>
      </w:hyperlink>
      <w:r w:rsidRPr="00E1708A">
        <w:rPr>
          <w:rStyle w:val="TextoNormalCaracter"/>
        </w:rPr>
        <w:t>, f. 2.</w:t>
      </w:r>
    </w:p>
    <w:p w14:paraId="64B74FBC" w14:textId="5184F4CF" w:rsidR="00E1708A" w:rsidRPr="00E1708A" w:rsidRDefault="00E1708A" w:rsidP="00E1708A">
      <w:pPr>
        <w:pStyle w:val="TextoNormalSangraFrancesa"/>
        <w:rPr>
          <w:rStyle w:val="TextoNormalCaracter"/>
        </w:rPr>
      </w:pPr>
      <w:bookmarkStart w:id="1165" w:name="DESCRIPTORALFABETICO163"/>
      <w:r w:rsidRPr="00E1708A">
        <w:rPr>
          <w:rStyle w:val="TextoNormalNegritaCaracter"/>
        </w:rPr>
        <w:t>Inadmisión de conflictos en defensa de la autonomía local</w:t>
      </w:r>
      <w:bookmarkEnd w:id="1165"/>
      <w:r w:rsidRPr="00E1708A">
        <w:rPr>
          <w:rStyle w:val="TextoNormalCaracter"/>
        </w:rPr>
        <w:t xml:space="preserve">, Auto </w:t>
      </w:r>
      <w:hyperlink w:anchor="AUTO_2023_354" w:history="1">
        <w:r w:rsidRPr="00E1708A">
          <w:rPr>
            <w:rStyle w:val="TextoNormalCaracter"/>
          </w:rPr>
          <w:t>354/2023</w:t>
        </w:r>
      </w:hyperlink>
      <w:r w:rsidRPr="00E1708A">
        <w:rPr>
          <w:rStyle w:val="TextoNormalCaracter"/>
        </w:rPr>
        <w:t>, ff. 1 a 5.</w:t>
      </w:r>
    </w:p>
    <w:p w14:paraId="10EE3BB1" w14:textId="1FB8B45F" w:rsidR="00E1708A" w:rsidRPr="00E1708A" w:rsidRDefault="00E1708A" w:rsidP="00E1708A">
      <w:pPr>
        <w:pStyle w:val="TextoNormalSangraFrancesa"/>
        <w:rPr>
          <w:rStyle w:val="TextoNormalCaracter"/>
        </w:rPr>
      </w:pPr>
      <w:bookmarkStart w:id="1166" w:name="DESCRIPTORALFABETICO167"/>
      <w:r w:rsidRPr="00E1708A">
        <w:rPr>
          <w:rStyle w:val="TextoNormalNegritaCaracter"/>
        </w:rPr>
        <w:t>Inadmisión de cuestión de inconstitucionalidad</w:t>
      </w:r>
      <w:bookmarkEnd w:id="1166"/>
      <w:r w:rsidRPr="00E1708A">
        <w:rPr>
          <w:rStyle w:val="TextoNormalCaracter"/>
        </w:rPr>
        <w:t xml:space="preserve">, Autos </w:t>
      </w:r>
      <w:hyperlink w:anchor="AUTO_2023_376" w:history="1">
        <w:r w:rsidRPr="00E1708A">
          <w:rPr>
            <w:rStyle w:val="TextoNormalCaracter"/>
          </w:rPr>
          <w:t>376/2023</w:t>
        </w:r>
      </w:hyperlink>
      <w:r w:rsidRPr="00E1708A">
        <w:rPr>
          <w:rStyle w:val="TextoNormalCaracter"/>
        </w:rPr>
        <w:t xml:space="preserve">, ff. 1 a 4; </w:t>
      </w:r>
      <w:hyperlink w:anchor="AUTO_2023_446" w:history="1">
        <w:r w:rsidRPr="00E1708A">
          <w:rPr>
            <w:rStyle w:val="TextoNormalCaracter"/>
          </w:rPr>
          <w:t>446/2023</w:t>
        </w:r>
      </w:hyperlink>
      <w:r w:rsidRPr="00E1708A">
        <w:rPr>
          <w:rStyle w:val="TextoNormalCaracter"/>
        </w:rPr>
        <w:t xml:space="preserve">, ff. 1 a 4; </w:t>
      </w:r>
      <w:hyperlink w:anchor="AUTO_2023_535" w:history="1">
        <w:r w:rsidRPr="00E1708A">
          <w:rPr>
            <w:rStyle w:val="TextoNormalCaracter"/>
          </w:rPr>
          <w:t>535/2023</w:t>
        </w:r>
      </w:hyperlink>
      <w:r w:rsidRPr="00E1708A">
        <w:rPr>
          <w:rStyle w:val="TextoNormalCaracter"/>
        </w:rPr>
        <w:t>, ff. 1 a 9.</w:t>
      </w:r>
    </w:p>
    <w:p w14:paraId="10097C75" w14:textId="5CD55B14" w:rsidR="00E1708A" w:rsidRPr="00E1708A" w:rsidRDefault="00E1708A" w:rsidP="00E1708A">
      <w:pPr>
        <w:pStyle w:val="TextoNormalSangraFrancesa"/>
        <w:rPr>
          <w:rStyle w:val="TextoNormalCaracter"/>
        </w:rPr>
      </w:pPr>
      <w:bookmarkStart w:id="1167" w:name="DESCRIPTORALFABETICO170"/>
      <w:r w:rsidRPr="00E1708A">
        <w:rPr>
          <w:rStyle w:val="TextoNormalNegritaCaracter"/>
        </w:rPr>
        <w:t>Inadmisión de cuestión de inconstitucionalidad por falta de requisitos procesales</w:t>
      </w:r>
      <w:bookmarkEnd w:id="1167"/>
      <w:r w:rsidRPr="00E1708A">
        <w:rPr>
          <w:rStyle w:val="TextoNormalCaracter"/>
        </w:rPr>
        <w:t xml:space="preserve">, Autos </w:t>
      </w:r>
      <w:hyperlink w:anchor="AUTO_2023_376" w:history="1">
        <w:r w:rsidRPr="00E1708A">
          <w:rPr>
            <w:rStyle w:val="TextoNormalCaracter"/>
          </w:rPr>
          <w:t>376/2023</w:t>
        </w:r>
      </w:hyperlink>
      <w:r w:rsidRPr="00E1708A">
        <w:rPr>
          <w:rStyle w:val="TextoNormalCaracter"/>
        </w:rPr>
        <w:t xml:space="preserve">, ff. 1 a 4; </w:t>
      </w:r>
      <w:hyperlink w:anchor="AUTO_2023_446" w:history="1">
        <w:r w:rsidRPr="00E1708A">
          <w:rPr>
            <w:rStyle w:val="TextoNormalCaracter"/>
          </w:rPr>
          <w:t>446/2023</w:t>
        </w:r>
      </w:hyperlink>
      <w:r w:rsidRPr="00E1708A">
        <w:rPr>
          <w:rStyle w:val="TextoNormalCaracter"/>
        </w:rPr>
        <w:t xml:space="preserve">, ff. 1 a 4; </w:t>
      </w:r>
      <w:hyperlink w:anchor="AUTO_2023_526" w:history="1">
        <w:r w:rsidRPr="00E1708A">
          <w:rPr>
            <w:rStyle w:val="TextoNormalCaracter"/>
          </w:rPr>
          <w:t>526/2023</w:t>
        </w:r>
      </w:hyperlink>
      <w:r w:rsidRPr="00E1708A">
        <w:rPr>
          <w:rStyle w:val="TextoNormalCaracter"/>
        </w:rPr>
        <w:t xml:space="preserve">, ff. 1 a 4; </w:t>
      </w:r>
      <w:hyperlink w:anchor="AUTO_2023_532" w:history="1">
        <w:r w:rsidRPr="00E1708A">
          <w:rPr>
            <w:rStyle w:val="TextoNormalCaracter"/>
          </w:rPr>
          <w:t>532/2023</w:t>
        </w:r>
      </w:hyperlink>
      <w:r w:rsidRPr="00E1708A">
        <w:rPr>
          <w:rStyle w:val="TextoNormalCaracter"/>
        </w:rPr>
        <w:t xml:space="preserve">, ff. 2 a 4; </w:t>
      </w:r>
      <w:hyperlink w:anchor="AUTO_2023_604" w:history="1">
        <w:r w:rsidRPr="00E1708A">
          <w:rPr>
            <w:rStyle w:val="TextoNormalCaracter"/>
          </w:rPr>
          <w:t>604/2023</w:t>
        </w:r>
      </w:hyperlink>
      <w:r w:rsidRPr="00E1708A">
        <w:rPr>
          <w:rStyle w:val="TextoNormalCaracter"/>
        </w:rPr>
        <w:t xml:space="preserve">, f. 3; </w:t>
      </w:r>
      <w:hyperlink w:anchor="AUTO_2023_667" w:history="1">
        <w:r w:rsidRPr="00E1708A">
          <w:rPr>
            <w:rStyle w:val="TextoNormalCaracter"/>
          </w:rPr>
          <w:t>667/2023</w:t>
        </w:r>
      </w:hyperlink>
      <w:r w:rsidRPr="00E1708A">
        <w:rPr>
          <w:rStyle w:val="TextoNormalCaracter"/>
        </w:rPr>
        <w:t xml:space="preserve">, f. 2; </w:t>
      </w:r>
      <w:hyperlink w:anchor="AUTO_2023_669" w:history="1">
        <w:r w:rsidRPr="00E1708A">
          <w:rPr>
            <w:rStyle w:val="TextoNormalCaracter"/>
          </w:rPr>
          <w:t>669/2023</w:t>
        </w:r>
      </w:hyperlink>
      <w:r w:rsidRPr="00E1708A">
        <w:rPr>
          <w:rStyle w:val="TextoNormalCaracter"/>
        </w:rPr>
        <w:t>, f. 2.</w:t>
      </w:r>
    </w:p>
    <w:p w14:paraId="0E31A205" w14:textId="1042263F" w:rsidR="00E1708A" w:rsidRPr="00E1708A" w:rsidRDefault="00E1708A" w:rsidP="00E1708A">
      <w:pPr>
        <w:pStyle w:val="TextoNormalSangraFrancesa"/>
        <w:rPr>
          <w:rStyle w:val="TextoNormalCaracter"/>
        </w:rPr>
      </w:pPr>
      <w:bookmarkStart w:id="1168" w:name="DESCRIPTORALFABETICO193"/>
      <w:r w:rsidRPr="00E1708A">
        <w:rPr>
          <w:rStyle w:val="TextoNormalNegritaCaracter"/>
        </w:rPr>
        <w:t>Inadmisión de cuestión prejudicial de validez sobre Normas Forales fiscales</w:t>
      </w:r>
      <w:bookmarkEnd w:id="1168"/>
      <w:r w:rsidRPr="00E1708A">
        <w:rPr>
          <w:rStyle w:val="TextoNormalCaracter"/>
        </w:rPr>
        <w:t xml:space="preserve">, Auto </w:t>
      </w:r>
      <w:hyperlink w:anchor="AUTO_2023_486" w:history="1">
        <w:r w:rsidRPr="00E1708A">
          <w:rPr>
            <w:rStyle w:val="TextoNormalCaracter"/>
          </w:rPr>
          <w:t>486/2023</w:t>
        </w:r>
      </w:hyperlink>
      <w:r w:rsidRPr="00E1708A">
        <w:rPr>
          <w:rStyle w:val="TextoNormalCaracter"/>
        </w:rPr>
        <w:t>, f. 2.</w:t>
      </w:r>
    </w:p>
    <w:p w14:paraId="12EB832D" w14:textId="0B02679C" w:rsidR="00E1708A" w:rsidRPr="00E1708A" w:rsidRDefault="00E1708A" w:rsidP="00E1708A">
      <w:pPr>
        <w:pStyle w:val="TextoNormalSangraFrancesa"/>
        <w:rPr>
          <w:rStyle w:val="TextoNormalCaracter"/>
        </w:rPr>
      </w:pPr>
      <w:bookmarkStart w:id="1169" w:name="DESCRIPTORALFABETICO410"/>
      <w:r w:rsidRPr="00E1708A">
        <w:rPr>
          <w:rStyle w:val="TextoNormalNegritaCaracter"/>
        </w:rPr>
        <w:t>Inadmisión de incidente de nulidad de actuaciones</w:t>
      </w:r>
      <w:bookmarkEnd w:id="1169"/>
      <w:r w:rsidRPr="00E1708A">
        <w:rPr>
          <w:rStyle w:val="TextoNormalCaracter"/>
        </w:rPr>
        <w:t xml:space="preserve">, Sentencias </w:t>
      </w:r>
      <w:hyperlink w:anchor="SENTENCIA_2023_134" w:history="1">
        <w:r w:rsidRPr="00E1708A">
          <w:rPr>
            <w:rStyle w:val="TextoNormalCaracter"/>
          </w:rPr>
          <w:t>134/2023</w:t>
        </w:r>
      </w:hyperlink>
      <w:r w:rsidRPr="00E1708A">
        <w:rPr>
          <w:rStyle w:val="TextoNormalCaracter"/>
        </w:rPr>
        <w:t xml:space="preserve">, ff. 3 y 4; </w:t>
      </w:r>
      <w:hyperlink w:anchor="SENTENCIA_2023_151" w:history="1">
        <w:r w:rsidRPr="00E1708A">
          <w:rPr>
            <w:rStyle w:val="TextoNormalCaracter"/>
          </w:rPr>
          <w:t>151/2023</w:t>
        </w:r>
      </w:hyperlink>
      <w:r w:rsidRPr="00E1708A">
        <w:rPr>
          <w:rStyle w:val="TextoNormalCaracter"/>
        </w:rPr>
        <w:t xml:space="preserve">, ff. 1 y 2; </w:t>
      </w:r>
      <w:hyperlink w:anchor="SENTENCIA_2023_153" w:history="1">
        <w:r w:rsidRPr="00E1708A">
          <w:rPr>
            <w:rStyle w:val="TextoNormalCaracter"/>
          </w:rPr>
          <w:t>153/2023</w:t>
        </w:r>
      </w:hyperlink>
      <w:r w:rsidRPr="00E1708A">
        <w:rPr>
          <w:rStyle w:val="TextoNormalCaracter"/>
        </w:rPr>
        <w:t>, ff. 3 y 4.</w:t>
      </w:r>
    </w:p>
    <w:p w14:paraId="744860B7" w14:textId="63A0EC57" w:rsidR="00E1708A" w:rsidRPr="00E1708A" w:rsidRDefault="00E1708A" w:rsidP="00E1708A">
      <w:pPr>
        <w:pStyle w:val="TextoNormalSangraFrancesa"/>
        <w:rPr>
          <w:rStyle w:val="TextoNormalCaracter"/>
        </w:rPr>
      </w:pPr>
      <w:r w:rsidRPr="00E1708A">
        <w:rPr>
          <w:rStyle w:val="TextoNormalCaracter"/>
        </w:rPr>
        <w:t xml:space="preserve">    Auto </w:t>
      </w:r>
      <w:hyperlink w:anchor="AUTO_2023_668" w:history="1">
        <w:r w:rsidRPr="00E1708A">
          <w:rPr>
            <w:rStyle w:val="TextoNormalCaracter"/>
          </w:rPr>
          <w:t>668/2023</w:t>
        </w:r>
      </w:hyperlink>
      <w:r w:rsidRPr="00E1708A">
        <w:rPr>
          <w:rStyle w:val="TextoNormalCaracter"/>
        </w:rPr>
        <w:t>, f. único.</w:t>
      </w:r>
    </w:p>
    <w:p w14:paraId="0CE6DA45" w14:textId="70475B99" w:rsidR="00E1708A" w:rsidRPr="00E1708A" w:rsidRDefault="00E1708A" w:rsidP="00E1708A">
      <w:pPr>
        <w:pStyle w:val="TextoNormalSangraFrancesa"/>
        <w:rPr>
          <w:rStyle w:val="TextoNormalCaracter"/>
        </w:rPr>
      </w:pPr>
      <w:bookmarkStart w:id="1170" w:name="DESCRIPTORALFABETICO189"/>
      <w:r w:rsidRPr="00E1708A">
        <w:rPr>
          <w:rStyle w:val="TextoNormalNegritaCaracter"/>
        </w:rPr>
        <w:t>Inadmisión de recurso de amparo por Auto</w:t>
      </w:r>
      <w:bookmarkEnd w:id="1170"/>
      <w:r w:rsidRPr="00E1708A">
        <w:rPr>
          <w:rStyle w:val="TextoNormalCaracter"/>
        </w:rPr>
        <w:t xml:space="preserve">, Autos </w:t>
      </w:r>
      <w:hyperlink w:anchor="AUTO_2023_378" w:history="1">
        <w:r w:rsidRPr="00E1708A">
          <w:rPr>
            <w:rStyle w:val="TextoNormalCaracter"/>
          </w:rPr>
          <w:t>378/2023</w:t>
        </w:r>
      </w:hyperlink>
      <w:r w:rsidRPr="00E1708A">
        <w:rPr>
          <w:rStyle w:val="TextoNormalCaracter"/>
        </w:rPr>
        <w:t xml:space="preserve">, ff. 1 y 2, VP; </w:t>
      </w:r>
      <w:hyperlink w:anchor="AUTO_2023_427" w:history="1">
        <w:r w:rsidRPr="00E1708A">
          <w:rPr>
            <w:rStyle w:val="TextoNormalCaracter"/>
          </w:rPr>
          <w:t>427/2023</w:t>
        </w:r>
      </w:hyperlink>
      <w:r w:rsidRPr="00E1708A">
        <w:rPr>
          <w:rStyle w:val="TextoNormalCaracter"/>
        </w:rPr>
        <w:t>, f. 2.</w:t>
      </w:r>
    </w:p>
    <w:p w14:paraId="6E06DA9F" w14:textId="08E654E7" w:rsidR="00E1708A" w:rsidRPr="00E1708A" w:rsidRDefault="00E1708A" w:rsidP="00E1708A">
      <w:pPr>
        <w:pStyle w:val="TextoNormalSangraFrancesa"/>
        <w:rPr>
          <w:rStyle w:val="TextoNormalCaracter"/>
        </w:rPr>
      </w:pPr>
      <w:bookmarkStart w:id="1171" w:name="DESCRIPTORALFABETICO190"/>
      <w:r w:rsidRPr="00E1708A">
        <w:rPr>
          <w:rStyle w:val="TextoNormalNegritaCaracter"/>
        </w:rPr>
        <w:t>Inadmisión de recurso de amparo por sentencia</w:t>
      </w:r>
      <w:bookmarkEnd w:id="1171"/>
      <w:r w:rsidRPr="00E1708A">
        <w:rPr>
          <w:rStyle w:val="TextoNormalCaracter"/>
        </w:rPr>
        <w:t xml:space="preserve">, Sentencias </w:t>
      </w:r>
      <w:hyperlink w:anchor="SENTENCIA_2023_82" w:history="1">
        <w:r w:rsidRPr="00E1708A">
          <w:rPr>
            <w:rStyle w:val="TextoNormalCaracter"/>
          </w:rPr>
          <w:t>82/2023</w:t>
        </w:r>
      </w:hyperlink>
      <w:r w:rsidRPr="00E1708A">
        <w:rPr>
          <w:rStyle w:val="TextoNormalCaracter"/>
        </w:rPr>
        <w:t xml:space="preserve">, ff. 1 a 3; </w:t>
      </w:r>
      <w:hyperlink w:anchor="SENTENCIA_2023_101" w:history="1">
        <w:r w:rsidRPr="00E1708A">
          <w:rPr>
            <w:rStyle w:val="TextoNormalCaracter"/>
          </w:rPr>
          <w:t>101/2023</w:t>
        </w:r>
      </w:hyperlink>
      <w:r w:rsidRPr="00E1708A">
        <w:rPr>
          <w:rStyle w:val="TextoNormalCaracter"/>
        </w:rPr>
        <w:t xml:space="preserve">, f. 3; </w:t>
      </w:r>
      <w:hyperlink w:anchor="SENTENCIA_2023_123" w:history="1">
        <w:r w:rsidRPr="00E1708A">
          <w:rPr>
            <w:rStyle w:val="TextoNormalCaracter"/>
          </w:rPr>
          <w:t>123/2023</w:t>
        </w:r>
      </w:hyperlink>
      <w:r w:rsidRPr="00E1708A">
        <w:rPr>
          <w:rStyle w:val="TextoNormalCaracter"/>
        </w:rPr>
        <w:t xml:space="preserve">, ff. 1 a 2; </w:t>
      </w:r>
      <w:hyperlink w:anchor="SENTENCIA_2023_151" w:history="1">
        <w:r w:rsidRPr="00E1708A">
          <w:rPr>
            <w:rStyle w:val="TextoNormalCaracter"/>
          </w:rPr>
          <w:t>151/2023</w:t>
        </w:r>
      </w:hyperlink>
      <w:r w:rsidRPr="00E1708A">
        <w:rPr>
          <w:rStyle w:val="TextoNormalCaracter"/>
        </w:rPr>
        <w:t xml:space="preserve">, f. 2; </w:t>
      </w:r>
      <w:hyperlink w:anchor="SENTENCIA_2023_161" w:history="1">
        <w:r w:rsidRPr="00E1708A">
          <w:rPr>
            <w:rStyle w:val="TextoNormalCaracter"/>
          </w:rPr>
          <w:t>161/2023</w:t>
        </w:r>
      </w:hyperlink>
      <w:r w:rsidRPr="00E1708A">
        <w:rPr>
          <w:rStyle w:val="TextoNormalCaracter"/>
        </w:rPr>
        <w:t>, f. 2.</w:t>
      </w:r>
    </w:p>
    <w:p w14:paraId="043FA525" w14:textId="3FE8DBD9" w:rsidR="00E1708A" w:rsidRPr="00E1708A" w:rsidRDefault="00E1708A" w:rsidP="00E1708A">
      <w:pPr>
        <w:pStyle w:val="TextoNormalSangraFrancesa"/>
        <w:rPr>
          <w:rStyle w:val="TextoNormalCaracter"/>
        </w:rPr>
      </w:pPr>
      <w:bookmarkStart w:id="1172" w:name="DESCRIPTORALFABETICO417"/>
      <w:r w:rsidRPr="00E1708A">
        <w:rPr>
          <w:rStyle w:val="TextoNormalNegritaCaracter"/>
        </w:rPr>
        <w:t>Inadmisión de recurso de casación</w:t>
      </w:r>
      <w:bookmarkEnd w:id="1172"/>
      <w:r w:rsidRPr="00E1708A">
        <w:rPr>
          <w:rStyle w:val="TextoNormalCaracter"/>
        </w:rPr>
        <w:t xml:space="preserve">, Sentencia </w:t>
      </w:r>
      <w:hyperlink w:anchor="SENTENCIA_2023_87" w:history="1">
        <w:r w:rsidRPr="00E1708A">
          <w:rPr>
            <w:rStyle w:val="TextoNormalCaracter"/>
          </w:rPr>
          <w:t>87/2023</w:t>
        </w:r>
      </w:hyperlink>
      <w:r w:rsidRPr="00E1708A">
        <w:rPr>
          <w:rStyle w:val="TextoNormalCaracter"/>
        </w:rPr>
        <w:t>.</w:t>
      </w:r>
    </w:p>
    <w:p w14:paraId="34859883" w14:textId="17DD14F2" w:rsidR="00E1708A" w:rsidRPr="00E1708A" w:rsidRDefault="00E1708A" w:rsidP="00E1708A">
      <w:pPr>
        <w:pStyle w:val="TextoNormalSangraFrancesa"/>
        <w:rPr>
          <w:rStyle w:val="TextoNormalCaracter"/>
        </w:rPr>
      </w:pPr>
      <w:bookmarkStart w:id="1173" w:name="DESCRIPTORALFABETICO152"/>
      <w:r w:rsidRPr="00E1708A">
        <w:rPr>
          <w:rStyle w:val="TextoNormalNegritaCaracter"/>
        </w:rPr>
        <w:t>Inadmisión del incidente de recusación de magistrados del Tribunal Constitucional</w:t>
      </w:r>
      <w:bookmarkEnd w:id="1173"/>
      <w:r w:rsidRPr="00E1708A">
        <w:rPr>
          <w:rStyle w:val="TextoNormalCaracter"/>
        </w:rPr>
        <w:t xml:space="preserve">, Autos </w:t>
      </w:r>
      <w:hyperlink w:anchor="AUTO_2023_483" w:history="1">
        <w:r w:rsidRPr="00E1708A">
          <w:rPr>
            <w:rStyle w:val="TextoNormalCaracter"/>
          </w:rPr>
          <w:t>483/2023</w:t>
        </w:r>
      </w:hyperlink>
      <w:r w:rsidRPr="00E1708A">
        <w:rPr>
          <w:rStyle w:val="TextoNormalCaracter"/>
        </w:rPr>
        <w:t xml:space="preserve">, f. 3; </w:t>
      </w:r>
      <w:hyperlink w:anchor="AUTO_2023_484" w:history="1">
        <w:r w:rsidRPr="00E1708A">
          <w:rPr>
            <w:rStyle w:val="TextoNormalCaracter"/>
          </w:rPr>
          <w:t>484/2023</w:t>
        </w:r>
      </w:hyperlink>
      <w:r w:rsidRPr="00E1708A">
        <w:rPr>
          <w:rStyle w:val="TextoNormalCaracter"/>
        </w:rPr>
        <w:t xml:space="preserve">, f. 4; </w:t>
      </w:r>
      <w:hyperlink w:anchor="AUTO_2023_488" w:history="1">
        <w:r w:rsidRPr="00E1708A">
          <w:rPr>
            <w:rStyle w:val="TextoNormalCaracter"/>
          </w:rPr>
          <w:t>488/2023</w:t>
        </w:r>
      </w:hyperlink>
      <w:r w:rsidRPr="00E1708A">
        <w:rPr>
          <w:rStyle w:val="TextoNormalCaracter"/>
        </w:rPr>
        <w:t xml:space="preserve">, f. 2; </w:t>
      </w:r>
      <w:hyperlink w:anchor="AUTO_2023_489" w:history="1">
        <w:r w:rsidRPr="00E1708A">
          <w:rPr>
            <w:rStyle w:val="TextoNormalCaracter"/>
          </w:rPr>
          <w:t>489/2023</w:t>
        </w:r>
      </w:hyperlink>
      <w:r w:rsidRPr="00E1708A">
        <w:rPr>
          <w:rStyle w:val="TextoNormalCaracter"/>
        </w:rPr>
        <w:t xml:space="preserve">, ff. 3 a 5; </w:t>
      </w:r>
      <w:hyperlink w:anchor="AUTO_2023_490" w:history="1">
        <w:r w:rsidRPr="00E1708A">
          <w:rPr>
            <w:rStyle w:val="TextoNormalCaracter"/>
          </w:rPr>
          <w:t>490/2023</w:t>
        </w:r>
      </w:hyperlink>
      <w:r w:rsidRPr="00E1708A">
        <w:rPr>
          <w:rStyle w:val="TextoNormalCaracter"/>
        </w:rPr>
        <w:t xml:space="preserve">, f. 2; </w:t>
      </w:r>
      <w:hyperlink w:anchor="AUTO_2023_665" w:history="1">
        <w:r w:rsidRPr="00E1708A">
          <w:rPr>
            <w:rStyle w:val="TextoNormalCaracter"/>
          </w:rPr>
          <w:t>665/2023</w:t>
        </w:r>
      </w:hyperlink>
      <w:r w:rsidRPr="00E1708A">
        <w:rPr>
          <w:rStyle w:val="TextoNormalCaracter"/>
        </w:rPr>
        <w:t>, f. 2.</w:t>
      </w:r>
    </w:p>
    <w:p w14:paraId="612CB755" w14:textId="73CA6C46" w:rsidR="00E1708A" w:rsidRPr="00E1708A" w:rsidRDefault="00E1708A" w:rsidP="00E1708A">
      <w:pPr>
        <w:pStyle w:val="TextoNormalSangraFrancesa"/>
        <w:rPr>
          <w:rStyle w:val="TextoNormalCaracter"/>
        </w:rPr>
      </w:pPr>
      <w:bookmarkStart w:id="1174" w:name="DESCRIPTORALFABETICO191"/>
      <w:r w:rsidRPr="00E1708A">
        <w:rPr>
          <w:rStyle w:val="TextoNormalNegritaCaracter"/>
        </w:rPr>
        <w:t>Inadmisión parcial de recurso de amparo</w:t>
      </w:r>
      <w:bookmarkEnd w:id="1174"/>
      <w:r w:rsidRPr="00E1708A">
        <w:rPr>
          <w:rStyle w:val="TextoNormalCaracter"/>
        </w:rPr>
        <w:t xml:space="preserve">, Sentencia </w:t>
      </w:r>
      <w:hyperlink w:anchor="SENTENCIA_2023_181" w:history="1">
        <w:r w:rsidRPr="00E1708A">
          <w:rPr>
            <w:rStyle w:val="TextoNormalCaracter"/>
          </w:rPr>
          <w:t>181/2023</w:t>
        </w:r>
      </w:hyperlink>
      <w:r w:rsidRPr="00E1708A">
        <w:rPr>
          <w:rStyle w:val="TextoNormalCaracter"/>
        </w:rPr>
        <w:t>, f. 2.</w:t>
      </w:r>
    </w:p>
    <w:p w14:paraId="2989D284" w14:textId="53358104" w:rsidR="00E1708A" w:rsidRPr="00E1708A" w:rsidRDefault="00E1708A" w:rsidP="00E1708A">
      <w:pPr>
        <w:pStyle w:val="TextoNormalSangraFrancesa"/>
        <w:rPr>
          <w:rStyle w:val="TextoNormalCaracter"/>
        </w:rPr>
      </w:pPr>
      <w:bookmarkStart w:id="1175" w:name="DESCRIPTORALFABETICO164"/>
      <w:r w:rsidRPr="00E1708A">
        <w:rPr>
          <w:rStyle w:val="TextoNormalNegritaCaracter"/>
        </w:rPr>
        <w:t>Inadmisión por insuficiencia de número de municipios legitimados</w:t>
      </w:r>
      <w:bookmarkEnd w:id="1175"/>
      <w:r w:rsidRPr="00E1708A">
        <w:rPr>
          <w:rStyle w:val="TextoNormalCaracter"/>
        </w:rPr>
        <w:t xml:space="preserve">, Auto </w:t>
      </w:r>
      <w:hyperlink w:anchor="AUTO_2023_354" w:history="1">
        <w:r w:rsidRPr="00E1708A">
          <w:rPr>
            <w:rStyle w:val="TextoNormalCaracter"/>
          </w:rPr>
          <w:t>354/2023</w:t>
        </w:r>
      </w:hyperlink>
      <w:r w:rsidRPr="00E1708A">
        <w:rPr>
          <w:rStyle w:val="TextoNormalCaracter"/>
        </w:rPr>
        <w:t>, ff. 1 a 5.</w:t>
      </w:r>
    </w:p>
    <w:p w14:paraId="6D2A1B98" w14:textId="2980FF75" w:rsidR="00E1708A" w:rsidRPr="00E1708A" w:rsidRDefault="00E1708A" w:rsidP="00E1708A">
      <w:pPr>
        <w:pStyle w:val="TextoNormalSangraFrancesa"/>
        <w:rPr>
          <w:rStyle w:val="TextoNormalCaracter"/>
        </w:rPr>
      </w:pPr>
      <w:bookmarkStart w:id="1176" w:name="DESCRIPTORALFABETICO408"/>
      <w:r w:rsidRPr="00E1708A">
        <w:rPr>
          <w:rStyle w:val="TextoNormalNegritaCaracter"/>
        </w:rPr>
        <w:t>Incidente de nulidad de actuaciones</w:t>
      </w:r>
      <w:bookmarkEnd w:id="1176"/>
      <w:r w:rsidRPr="00E1708A">
        <w:rPr>
          <w:rStyle w:val="TextoNormalCaracter"/>
        </w:rPr>
        <w:t xml:space="preserve">, Sentencia </w:t>
      </w:r>
      <w:hyperlink w:anchor="SENTENCIA_2023_81" w:history="1">
        <w:r w:rsidRPr="00E1708A">
          <w:rPr>
            <w:rStyle w:val="TextoNormalCaracter"/>
          </w:rPr>
          <w:t>81/2023</w:t>
        </w:r>
      </w:hyperlink>
      <w:r w:rsidRPr="00E1708A">
        <w:rPr>
          <w:rStyle w:val="TextoNormalCaracter"/>
        </w:rPr>
        <w:t>, f. 3.</w:t>
      </w:r>
    </w:p>
    <w:p w14:paraId="20755C1B" w14:textId="477C3F06" w:rsidR="00E1708A" w:rsidRPr="00E1708A" w:rsidRDefault="00E1708A" w:rsidP="00E1708A">
      <w:pPr>
        <w:pStyle w:val="TextoNormalSangraFrancesa"/>
        <w:rPr>
          <w:rStyle w:val="TextoNormalCaracter"/>
        </w:rPr>
      </w:pPr>
      <w:bookmarkStart w:id="1177" w:name="DESCRIPTORALFABETICO411"/>
      <w:r w:rsidRPr="00E1708A">
        <w:rPr>
          <w:rStyle w:val="TextoNormalNegritaCaracter"/>
        </w:rPr>
        <w:t>Incidente de nulidad de actuaciones extemporáneo</w:t>
      </w:r>
      <w:bookmarkEnd w:id="1177"/>
      <w:r w:rsidRPr="00E1708A">
        <w:rPr>
          <w:rStyle w:val="TextoNormalCaracter"/>
        </w:rPr>
        <w:t xml:space="preserve">, Sentencia </w:t>
      </w:r>
      <w:hyperlink w:anchor="SENTENCIA_2023_151" w:history="1">
        <w:r w:rsidRPr="00E1708A">
          <w:rPr>
            <w:rStyle w:val="TextoNormalCaracter"/>
          </w:rPr>
          <w:t>151/2023</w:t>
        </w:r>
      </w:hyperlink>
      <w:r w:rsidRPr="00E1708A">
        <w:rPr>
          <w:rStyle w:val="TextoNormalCaracter"/>
        </w:rPr>
        <w:t>, f. 2.</w:t>
      </w:r>
    </w:p>
    <w:p w14:paraId="081DC6FB" w14:textId="7D3BBF94" w:rsidR="00E1708A" w:rsidRPr="00E1708A" w:rsidRDefault="00E1708A" w:rsidP="00E1708A">
      <w:pPr>
        <w:pStyle w:val="TextoNormalSangraFrancesa"/>
        <w:rPr>
          <w:rStyle w:val="TextoNormalCaracter"/>
        </w:rPr>
      </w:pPr>
      <w:bookmarkStart w:id="1178" w:name="DESCRIPTORALFABETICO151"/>
      <w:r w:rsidRPr="00E1708A">
        <w:rPr>
          <w:rStyle w:val="TextoNormalNegritaCaracter"/>
        </w:rPr>
        <w:t>Incidente de recusación de magistrados del Tribunal Constitucional</w:t>
      </w:r>
      <w:bookmarkEnd w:id="1178"/>
      <w:r w:rsidRPr="00E1708A">
        <w:rPr>
          <w:rStyle w:val="TextoNormalCaracter"/>
        </w:rPr>
        <w:t xml:space="preserve">, Auto </w:t>
      </w:r>
      <w:hyperlink w:anchor="AUTO_2023_353" w:history="1">
        <w:r w:rsidRPr="00E1708A">
          <w:rPr>
            <w:rStyle w:val="TextoNormalCaracter"/>
          </w:rPr>
          <w:t>353/2023</w:t>
        </w:r>
      </w:hyperlink>
      <w:r w:rsidRPr="00E1708A">
        <w:rPr>
          <w:rStyle w:val="TextoNormalCaracter"/>
        </w:rPr>
        <w:t>, ff. 2 y 3.</w:t>
      </w:r>
    </w:p>
    <w:p w14:paraId="4E410496" w14:textId="70C5CFBB" w:rsidR="00E1708A" w:rsidRPr="00E1708A" w:rsidRDefault="00E1708A" w:rsidP="00E1708A">
      <w:pPr>
        <w:pStyle w:val="TextoNormalSangraFrancesa"/>
        <w:rPr>
          <w:rStyle w:val="TextoNormalCaracter"/>
        </w:rPr>
      </w:pPr>
      <w:bookmarkStart w:id="1179" w:name="DESCRIPTORALFABETICO70"/>
      <w:r w:rsidRPr="00E1708A">
        <w:rPr>
          <w:rStyle w:val="TextoNormalNegritaCaracter"/>
        </w:rPr>
        <w:t xml:space="preserve">Incongruencia </w:t>
      </w:r>
      <w:r w:rsidRPr="00E1708A">
        <w:rPr>
          <w:rStyle w:val="TextoNormalNegritaCaracter"/>
          <w:i/>
        </w:rPr>
        <w:t>extra petita</w:t>
      </w:r>
      <w:bookmarkEnd w:id="1179"/>
      <w:r w:rsidRPr="00E1708A">
        <w:rPr>
          <w:rStyle w:val="TextoNormalCaracter"/>
        </w:rPr>
        <w:t xml:space="preserve">, Sentencia </w:t>
      </w:r>
      <w:hyperlink w:anchor="SENTENCIA_2023_181" w:history="1">
        <w:r w:rsidRPr="00E1708A">
          <w:rPr>
            <w:rStyle w:val="TextoNormalCaracter"/>
          </w:rPr>
          <w:t>181/2023</w:t>
        </w:r>
      </w:hyperlink>
      <w:r w:rsidRPr="00E1708A">
        <w:rPr>
          <w:rStyle w:val="TextoNormalCaracter"/>
        </w:rPr>
        <w:t>, f. 3.</w:t>
      </w:r>
    </w:p>
    <w:p w14:paraId="08629421" w14:textId="77777777" w:rsidR="00E1708A" w:rsidRPr="00E1708A" w:rsidRDefault="00E1708A" w:rsidP="00E1708A">
      <w:pPr>
        <w:pStyle w:val="TextoNormalSangraFrancesa"/>
        <w:rPr>
          <w:rStyle w:val="TextoNormalCaracter"/>
        </w:rPr>
      </w:pPr>
      <w:bookmarkStart w:id="1180" w:name="DESCRIPTORALFABETICO216"/>
      <w:r w:rsidRPr="00E1708A">
        <w:rPr>
          <w:rStyle w:val="TextoNormalNegritaCaracter"/>
        </w:rPr>
        <w:t>Independencia judicial</w:t>
      </w:r>
      <w:bookmarkEnd w:id="1180"/>
      <w:r w:rsidRPr="00E1708A">
        <w:rPr>
          <w:rStyle w:val="TextoNormalCaracter"/>
        </w:rPr>
        <w:t xml:space="preserve">, </w:t>
      </w:r>
    </w:p>
    <w:p w14:paraId="7DF9E4F1" w14:textId="26C0C173" w:rsidR="00E1708A" w:rsidRPr="00E1708A" w:rsidRDefault="00E1708A" w:rsidP="00E1708A">
      <w:pPr>
        <w:pStyle w:val="TextoNormalSangraFrancesa"/>
        <w:rPr>
          <w:rStyle w:val="TextoNormalCaracter"/>
        </w:rPr>
      </w:pPr>
      <w:r w:rsidRPr="00E1708A">
        <w:rPr>
          <w:rStyle w:val="TextoNormalCursivaCaracter"/>
        </w:rPr>
        <w:t xml:space="preserve">    Concepto, </w:t>
      </w:r>
      <w:r w:rsidRPr="00E1708A">
        <w:rPr>
          <w:rStyle w:val="TextoNormalCaracter"/>
        </w:rPr>
        <w:t xml:space="preserve">Sentencia </w:t>
      </w:r>
      <w:hyperlink w:anchor="SENTENCIA_2023_128" w:history="1">
        <w:r w:rsidRPr="00E1708A">
          <w:rPr>
            <w:rStyle w:val="TextoNormalCaracter"/>
          </w:rPr>
          <w:t>128/2023</w:t>
        </w:r>
      </w:hyperlink>
      <w:r w:rsidRPr="00E1708A">
        <w:rPr>
          <w:rStyle w:val="TextoNormalCaracter"/>
        </w:rPr>
        <w:t>, f. 4 y 5, VP.</w:t>
      </w:r>
    </w:p>
    <w:p w14:paraId="0EC3FC10" w14:textId="3F06C6A8" w:rsidR="00E1708A" w:rsidRPr="00E1708A" w:rsidRDefault="00E1708A" w:rsidP="00E1708A">
      <w:pPr>
        <w:pStyle w:val="TextoNormalSangraFrancesa"/>
        <w:rPr>
          <w:rStyle w:val="TextoNormalCaracter"/>
        </w:rPr>
      </w:pPr>
      <w:bookmarkStart w:id="1181" w:name="DESCRIPTORALFABETICO407"/>
      <w:r w:rsidRPr="00E1708A">
        <w:rPr>
          <w:rStyle w:val="TextoNormalNegritaCaracter"/>
        </w:rPr>
        <w:t>Indicios de discriminación</w:t>
      </w:r>
      <w:bookmarkEnd w:id="1181"/>
      <w:r w:rsidRPr="00E1708A">
        <w:rPr>
          <w:rStyle w:val="TextoNormalCaracter"/>
        </w:rPr>
        <w:t xml:space="preserve">, Sentencia </w:t>
      </w:r>
      <w:hyperlink w:anchor="SENTENCIA_2023_79" w:history="1">
        <w:r w:rsidRPr="00E1708A">
          <w:rPr>
            <w:rStyle w:val="TextoNormalCaracter"/>
          </w:rPr>
          <w:t>79/2023</w:t>
        </w:r>
      </w:hyperlink>
      <w:r w:rsidRPr="00E1708A">
        <w:rPr>
          <w:rStyle w:val="TextoNormalCaracter"/>
        </w:rPr>
        <w:t>, f. 4.</w:t>
      </w:r>
    </w:p>
    <w:p w14:paraId="1BE8F8F4" w14:textId="0AF0FA68" w:rsidR="00E1708A" w:rsidRPr="00E1708A" w:rsidRDefault="00E1708A" w:rsidP="00E1708A">
      <w:pPr>
        <w:pStyle w:val="TextoNormalSangraFrancesa"/>
        <w:rPr>
          <w:rStyle w:val="TextoNormalCaracter"/>
        </w:rPr>
      </w:pPr>
      <w:bookmarkStart w:id="1182" w:name="DESCRIPTORALFABETICO302"/>
      <w:r w:rsidRPr="00E1708A">
        <w:rPr>
          <w:rStyle w:val="TextoNormalNegritaCaracter"/>
        </w:rPr>
        <w:t>Inelegibilidad por condena penal</w:t>
      </w:r>
      <w:bookmarkEnd w:id="1182"/>
      <w:r w:rsidRPr="00E1708A">
        <w:rPr>
          <w:rStyle w:val="TextoNormalCaracter"/>
        </w:rPr>
        <w:t xml:space="preserve">, Sentencia </w:t>
      </w:r>
      <w:hyperlink w:anchor="SENTENCIA_2023_82" w:history="1">
        <w:r w:rsidRPr="00E1708A">
          <w:rPr>
            <w:rStyle w:val="TextoNormalCaracter"/>
          </w:rPr>
          <w:t>82/2023</w:t>
        </w:r>
      </w:hyperlink>
      <w:r w:rsidRPr="00E1708A">
        <w:rPr>
          <w:rStyle w:val="TextoNormalCaracter"/>
        </w:rPr>
        <w:t>, ff. 1 a 2.</w:t>
      </w:r>
    </w:p>
    <w:p w14:paraId="5EC5D478" w14:textId="533D1910" w:rsidR="00E1708A" w:rsidRPr="00E1708A" w:rsidRDefault="00E1708A" w:rsidP="00E1708A">
      <w:pPr>
        <w:pStyle w:val="TextoNormalSangraFrancesa"/>
        <w:rPr>
          <w:rStyle w:val="TextoNormalCaracter"/>
        </w:rPr>
      </w:pPr>
      <w:bookmarkStart w:id="1183" w:name="DESCRIPTORALFABETICO214"/>
      <w:r w:rsidRPr="00E1708A">
        <w:rPr>
          <w:rStyle w:val="TextoNormalNegritaCaracter"/>
        </w:rPr>
        <w:t>Informes del Consejo General del Poder Judicial</w:t>
      </w:r>
      <w:bookmarkEnd w:id="1183"/>
      <w:r w:rsidRPr="00E1708A">
        <w:rPr>
          <w:rStyle w:val="TextoNormalCaracter"/>
        </w:rPr>
        <w:t xml:space="preserve">, Sentencia </w:t>
      </w:r>
      <w:hyperlink w:anchor="SENTENCIA_2023_128" w:history="1">
        <w:r w:rsidRPr="00E1708A">
          <w:rPr>
            <w:rStyle w:val="TextoNormalCaracter"/>
          </w:rPr>
          <w:t>128/2023</w:t>
        </w:r>
      </w:hyperlink>
      <w:r w:rsidRPr="00E1708A">
        <w:rPr>
          <w:rStyle w:val="TextoNormalCaracter"/>
        </w:rPr>
        <w:t>, f. 3.</w:t>
      </w:r>
    </w:p>
    <w:p w14:paraId="2FC3774E" w14:textId="50F1EF26" w:rsidR="00E1708A" w:rsidRPr="00E1708A" w:rsidRDefault="00E1708A" w:rsidP="00E1708A">
      <w:pPr>
        <w:pStyle w:val="TextoNormalSangraFrancesa"/>
        <w:rPr>
          <w:rStyle w:val="TextoNormalCaracter"/>
        </w:rPr>
      </w:pPr>
      <w:bookmarkStart w:id="1184" w:name="DESCRIPTORALFABETICO225"/>
      <w:r w:rsidRPr="00E1708A">
        <w:rPr>
          <w:rStyle w:val="TextoNormalNegritaCaracter"/>
        </w:rPr>
        <w:t>Iniciativa legislativa</w:t>
      </w:r>
      <w:bookmarkEnd w:id="1184"/>
      <w:r w:rsidRPr="00E1708A">
        <w:rPr>
          <w:rStyle w:val="TextoNormalCaracter"/>
        </w:rPr>
        <w:t xml:space="preserve">, Sentencia </w:t>
      </w:r>
      <w:hyperlink w:anchor="SENTENCIA_2023_128" w:history="1">
        <w:r w:rsidRPr="00E1708A">
          <w:rPr>
            <w:rStyle w:val="TextoNormalCaracter"/>
          </w:rPr>
          <w:t>128/2023</w:t>
        </w:r>
      </w:hyperlink>
      <w:r w:rsidRPr="00E1708A">
        <w:rPr>
          <w:rStyle w:val="TextoNormalCaracter"/>
        </w:rPr>
        <w:t>, ff. 4 y 5.</w:t>
      </w:r>
    </w:p>
    <w:p w14:paraId="26348A9D" w14:textId="0E4AD160" w:rsidR="00E1708A" w:rsidRPr="00E1708A" w:rsidRDefault="00E1708A" w:rsidP="00E1708A">
      <w:pPr>
        <w:pStyle w:val="TextoNormalSangraFrancesa"/>
        <w:rPr>
          <w:rStyle w:val="TextoNormalCaracter"/>
        </w:rPr>
      </w:pPr>
      <w:bookmarkStart w:id="1185" w:name="DESCRIPTORALFABETICO226"/>
      <w:r w:rsidRPr="00E1708A">
        <w:rPr>
          <w:rStyle w:val="TextoNormalNegritaCaracter"/>
        </w:rPr>
        <w:t>Iniciativa legislativa del Gobierno</w:t>
      </w:r>
      <w:bookmarkEnd w:id="1185"/>
      <w:r w:rsidRPr="00E1708A">
        <w:rPr>
          <w:rStyle w:val="TextoNormalCaracter"/>
        </w:rPr>
        <w:t xml:space="preserve">, Sentencia </w:t>
      </w:r>
      <w:hyperlink w:anchor="SENTENCIA_2023_128" w:history="1">
        <w:r w:rsidRPr="00E1708A">
          <w:rPr>
            <w:rStyle w:val="TextoNormalCaracter"/>
          </w:rPr>
          <w:t>128/2023</w:t>
        </w:r>
      </w:hyperlink>
      <w:r w:rsidRPr="00E1708A">
        <w:rPr>
          <w:rStyle w:val="TextoNormalCaracter"/>
        </w:rPr>
        <w:t>, f. 3.</w:t>
      </w:r>
    </w:p>
    <w:p w14:paraId="586E84AE" w14:textId="7AA08BFF" w:rsidR="00E1708A" w:rsidRPr="00E1708A" w:rsidRDefault="00E1708A" w:rsidP="00E1708A">
      <w:pPr>
        <w:pStyle w:val="TextoNormalSangraFrancesa"/>
        <w:rPr>
          <w:rStyle w:val="TextoNormalCaracter"/>
        </w:rPr>
      </w:pPr>
      <w:bookmarkStart w:id="1186" w:name="DESCRIPTORALFABETICO248"/>
      <w:r w:rsidRPr="00E1708A">
        <w:rPr>
          <w:rStyle w:val="TextoNormalNegritaCaracter"/>
        </w:rPr>
        <w:t>Inmunidad parlamentaria</w:t>
      </w:r>
      <w:bookmarkEnd w:id="1186"/>
      <w:r w:rsidRPr="00E1708A">
        <w:rPr>
          <w:rStyle w:val="TextoNormalCaracter"/>
        </w:rPr>
        <w:t xml:space="preserve">, Auto </w:t>
      </w:r>
      <w:hyperlink w:anchor="AUTO_2023_378" w:history="1">
        <w:r w:rsidRPr="00E1708A">
          <w:rPr>
            <w:rStyle w:val="TextoNormalCaracter"/>
          </w:rPr>
          <w:t>378/2023</w:t>
        </w:r>
      </w:hyperlink>
      <w:r w:rsidRPr="00E1708A">
        <w:rPr>
          <w:rStyle w:val="TextoNormalCaracter"/>
        </w:rPr>
        <w:t>, ff. 1 y 2 y VP.</w:t>
      </w:r>
    </w:p>
    <w:p w14:paraId="0B85FE8F" w14:textId="6365436F" w:rsidR="00E1708A" w:rsidRPr="00E1708A" w:rsidRDefault="00E1708A" w:rsidP="00E1708A">
      <w:pPr>
        <w:pStyle w:val="TextoNormalSangraFrancesa"/>
        <w:rPr>
          <w:rStyle w:val="TextoNormalCaracter"/>
        </w:rPr>
      </w:pPr>
      <w:bookmarkStart w:id="1187" w:name="DESCRIPTORALFABETICO279"/>
      <w:r w:rsidRPr="00E1708A">
        <w:rPr>
          <w:rStyle w:val="TextoNormalNegritaCaracter"/>
        </w:rPr>
        <w:t>Interés general</w:t>
      </w:r>
      <w:bookmarkEnd w:id="1187"/>
      <w:r w:rsidRPr="00E1708A">
        <w:rPr>
          <w:rStyle w:val="TextoNormalCaracter"/>
        </w:rPr>
        <w:t xml:space="preserve">, Sentencia </w:t>
      </w:r>
      <w:hyperlink w:anchor="SENTENCIA_2023_127" w:history="1">
        <w:r w:rsidRPr="00E1708A">
          <w:rPr>
            <w:rStyle w:val="TextoNormalCaracter"/>
          </w:rPr>
          <w:t>127/2023</w:t>
        </w:r>
      </w:hyperlink>
      <w:r w:rsidRPr="00E1708A">
        <w:rPr>
          <w:rStyle w:val="TextoNormalCaracter"/>
        </w:rPr>
        <w:t>, ff. 1 y 2.</w:t>
      </w:r>
    </w:p>
    <w:p w14:paraId="32AA718D" w14:textId="00E985D9" w:rsidR="00E1708A" w:rsidRPr="00E1708A" w:rsidRDefault="00E1708A" w:rsidP="00E1708A">
      <w:pPr>
        <w:pStyle w:val="TextoNormalSangraFrancesa"/>
        <w:rPr>
          <w:rStyle w:val="TextoNormalCaracter"/>
        </w:rPr>
      </w:pPr>
      <w:bookmarkStart w:id="1188" w:name="DESCRIPTORALFABETICO356"/>
      <w:r w:rsidRPr="00E1708A">
        <w:rPr>
          <w:rStyle w:val="TextoNormalNegritaCaracter"/>
        </w:rPr>
        <w:t>Interés superior del menor</w:t>
      </w:r>
      <w:bookmarkEnd w:id="1188"/>
      <w:r w:rsidRPr="00E1708A">
        <w:rPr>
          <w:rStyle w:val="TextoNormalCaracter"/>
        </w:rPr>
        <w:t xml:space="preserve">, Sentencias </w:t>
      </w:r>
      <w:hyperlink w:anchor="SENTENCIA_2023_131" w:history="1">
        <w:r w:rsidRPr="00E1708A">
          <w:rPr>
            <w:rStyle w:val="TextoNormalCaracter"/>
          </w:rPr>
          <w:t>131/2023</w:t>
        </w:r>
      </w:hyperlink>
      <w:r w:rsidRPr="00E1708A">
        <w:rPr>
          <w:rStyle w:val="TextoNormalCaracter"/>
        </w:rPr>
        <w:t xml:space="preserve">, ff. 3 y 4, VP; </w:t>
      </w:r>
      <w:hyperlink w:anchor="SENTENCIA_2023_148" w:history="1">
        <w:r w:rsidRPr="00E1708A">
          <w:rPr>
            <w:rStyle w:val="TextoNormalCaracter"/>
          </w:rPr>
          <w:t>148/2023</w:t>
        </w:r>
      </w:hyperlink>
      <w:r w:rsidRPr="00E1708A">
        <w:rPr>
          <w:rStyle w:val="TextoNormalCaracter"/>
        </w:rPr>
        <w:t xml:space="preserve">, ff. 4 y 5; </w:t>
      </w:r>
      <w:hyperlink w:anchor="SENTENCIA_2023_154" w:history="1">
        <w:r w:rsidRPr="00E1708A">
          <w:rPr>
            <w:rStyle w:val="TextoNormalCaracter"/>
          </w:rPr>
          <w:t>154/2023</w:t>
        </w:r>
      </w:hyperlink>
      <w:r w:rsidRPr="00E1708A">
        <w:rPr>
          <w:rStyle w:val="TextoNormalCaracter"/>
        </w:rPr>
        <w:t xml:space="preserve">, f. 3; </w:t>
      </w:r>
      <w:hyperlink w:anchor="SENTENCIA_2023_155" w:history="1">
        <w:r w:rsidRPr="00E1708A">
          <w:rPr>
            <w:rStyle w:val="TextoNormalCaracter"/>
          </w:rPr>
          <w:t>155/2023</w:t>
        </w:r>
      </w:hyperlink>
      <w:r w:rsidRPr="00E1708A">
        <w:rPr>
          <w:rStyle w:val="TextoNormalCaracter"/>
        </w:rPr>
        <w:t xml:space="preserve">, f. 4; </w:t>
      </w:r>
      <w:hyperlink w:anchor="SENTENCIA_2023_156" w:history="1">
        <w:r w:rsidRPr="00E1708A">
          <w:rPr>
            <w:rStyle w:val="TextoNormalCaracter"/>
          </w:rPr>
          <w:t>156/2023</w:t>
        </w:r>
      </w:hyperlink>
      <w:r w:rsidRPr="00E1708A">
        <w:rPr>
          <w:rStyle w:val="TextoNormalCaracter"/>
        </w:rPr>
        <w:t xml:space="preserve">, f. 3; </w:t>
      </w:r>
      <w:hyperlink w:anchor="SENTENCIA_2023_157" w:history="1">
        <w:r w:rsidRPr="00E1708A">
          <w:rPr>
            <w:rStyle w:val="TextoNormalCaracter"/>
          </w:rPr>
          <w:t>157/2023</w:t>
        </w:r>
      </w:hyperlink>
      <w:r w:rsidRPr="00E1708A">
        <w:rPr>
          <w:rStyle w:val="TextoNormalCaracter"/>
        </w:rPr>
        <w:t xml:space="preserve">, f. 3; </w:t>
      </w:r>
      <w:hyperlink w:anchor="SENTENCIA_2023_158" w:history="1">
        <w:r w:rsidRPr="00E1708A">
          <w:rPr>
            <w:rStyle w:val="TextoNormalCaracter"/>
          </w:rPr>
          <w:t>158/2023</w:t>
        </w:r>
      </w:hyperlink>
      <w:r w:rsidRPr="00E1708A">
        <w:rPr>
          <w:rStyle w:val="TextoNormalCaracter"/>
        </w:rPr>
        <w:t xml:space="preserve">, f. 3; </w:t>
      </w:r>
      <w:hyperlink w:anchor="SENTENCIA_2023_159" w:history="1">
        <w:r w:rsidRPr="00E1708A">
          <w:rPr>
            <w:rStyle w:val="TextoNormalCaracter"/>
          </w:rPr>
          <w:t>159/2023</w:t>
        </w:r>
      </w:hyperlink>
      <w:r w:rsidRPr="00E1708A">
        <w:rPr>
          <w:rStyle w:val="TextoNormalCaracter"/>
        </w:rPr>
        <w:t xml:space="preserve">, f. 3; </w:t>
      </w:r>
      <w:hyperlink w:anchor="SENTENCIA_2023_160" w:history="1">
        <w:r w:rsidRPr="00E1708A">
          <w:rPr>
            <w:rStyle w:val="TextoNormalCaracter"/>
          </w:rPr>
          <w:t>160/2023</w:t>
        </w:r>
      </w:hyperlink>
      <w:r w:rsidRPr="00E1708A">
        <w:rPr>
          <w:rStyle w:val="TextoNormalCaracter"/>
        </w:rPr>
        <w:t xml:space="preserve">, f. 3; </w:t>
      </w:r>
      <w:hyperlink w:anchor="SENTENCIA_2023_162" w:history="1">
        <w:r w:rsidRPr="00E1708A">
          <w:rPr>
            <w:rStyle w:val="TextoNormalCaracter"/>
          </w:rPr>
          <w:t>162/2023</w:t>
        </w:r>
      </w:hyperlink>
      <w:r w:rsidRPr="00E1708A">
        <w:rPr>
          <w:rStyle w:val="TextoNormalCaracter"/>
        </w:rPr>
        <w:t xml:space="preserve">, f. 3; </w:t>
      </w:r>
      <w:hyperlink w:anchor="SENTENCIA_2023_180" w:history="1">
        <w:r w:rsidRPr="00E1708A">
          <w:rPr>
            <w:rStyle w:val="TextoNormalCaracter"/>
          </w:rPr>
          <w:t>180/2023</w:t>
        </w:r>
      </w:hyperlink>
      <w:r w:rsidRPr="00E1708A">
        <w:rPr>
          <w:rStyle w:val="TextoNormalCaracter"/>
        </w:rPr>
        <w:t xml:space="preserve">, f. 3; </w:t>
      </w:r>
      <w:hyperlink w:anchor="SENTENCIA_2023_182" w:history="1">
        <w:r w:rsidRPr="00E1708A">
          <w:rPr>
            <w:rStyle w:val="TextoNormalCaracter"/>
          </w:rPr>
          <w:t>182/2023</w:t>
        </w:r>
      </w:hyperlink>
      <w:r w:rsidRPr="00E1708A">
        <w:rPr>
          <w:rStyle w:val="TextoNormalCaracter"/>
        </w:rPr>
        <w:t xml:space="preserve">, f. 3; </w:t>
      </w:r>
      <w:hyperlink w:anchor="SENTENCIA_2023_183" w:history="1">
        <w:r w:rsidRPr="00E1708A">
          <w:rPr>
            <w:rStyle w:val="TextoNormalCaracter"/>
          </w:rPr>
          <w:t>183/2023</w:t>
        </w:r>
      </w:hyperlink>
      <w:r w:rsidRPr="00E1708A">
        <w:rPr>
          <w:rStyle w:val="TextoNormalCaracter"/>
        </w:rPr>
        <w:t xml:space="preserve">, f. 3; </w:t>
      </w:r>
      <w:hyperlink w:anchor="SENTENCIA_2023_185" w:history="1">
        <w:r w:rsidRPr="00E1708A">
          <w:rPr>
            <w:rStyle w:val="TextoNormalCaracter"/>
          </w:rPr>
          <w:t>185/2023</w:t>
        </w:r>
      </w:hyperlink>
      <w:r w:rsidRPr="00E1708A">
        <w:rPr>
          <w:rStyle w:val="TextoNormalCaracter"/>
        </w:rPr>
        <w:t xml:space="preserve">, f. 3; </w:t>
      </w:r>
      <w:hyperlink w:anchor="SENTENCIA_2023_186" w:history="1">
        <w:r w:rsidRPr="00E1708A">
          <w:rPr>
            <w:rStyle w:val="TextoNormalCaracter"/>
          </w:rPr>
          <w:t>186/2023</w:t>
        </w:r>
      </w:hyperlink>
      <w:r w:rsidRPr="00E1708A">
        <w:rPr>
          <w:rStyle w:val="TextoNormalCaracter"/>
        </w:rPr>
        <w:t xml:space="preserve">, f. 3; </w:t>
      </w:r>
      <w:hyperlink w:anchor="SENTENCIA_2023_187" w:history="1">
        <w:r w:rsidRPr="00E1708A">
          <w:rPr>
            <w:rStyle w:val="TextoNormalCaracter"/>
          </w:rPr>
          <w:t>187/2023</w:t>
        </w:r>
      </w:hyperlink>
      <w:r w:rsidRPr="00E1708A">
        <w:rPr>
          <w:rStyle w:val="TextoNormalCaracter"/>
        </w:rPr>
        <w:t>, f. 3.</w:t>
      </w:r>
    </w:p>
    <w:p w14:paraId="6CA3179D" w14:textId="6715E2F2" w:rsidR="00E1708A" w:rsidRPr="00E1708A" w:rsidRDefault="00E1708A" w:rsidP="00E1708A">
      <w:pPr>
        <w:pStyle w:val="TextoNormalSangraFrancesa"/>
        <w:rPr>
          <w:rStyle w:val="TextoNormalCaracter"/>
        </w:rPr>
      </w:pPr>
      <w:bookmarkStart w:id="1189" w:name="DESCRIPTORALFABETICO127"/>
      <w:r w:rsidRPr="00E1708A">
        <w:rPr>
          <w:rStyle w:val="TextoNormalNegritaCaracter"/>
        </w:rPr>
        <w:t>Interpretación de los derechos fundamentales conforme al Convenio europeo de derechos humanos</w:t>
      </w:r>
      <w:bookmarkEnd w:id="1189"/>
      <w:r w:rsidRPr="00E1708A">
        <w:rPr>
          <w:rStyle w:val="TextoNormalCaracter"/>
        </w:rPr>
        <w:t xml:space="preserve">, Sentencia </w:t>
      </w:r>
      <w:hyperlink w:anchor="SENTENCIA_2023_94" w:history="1">
        <w:r w:rsidRPr="00E1708A">
          <w:rPr>
            <w:rStyle w:val="TextoNormalCaracter"/>
          </w:rPr>
          <w:t>94/2023</w:t>
        </w:r>
      </w:hyperlink>
      <w:r w:rsidRPr="00E1708A">
        <w:rPr>
          <w:rStyle w:val="TextoNormalCaracter"/>
        </w:rPr>
        <w:t>, f. 3.</w:t>
      </w:r>
    </w:p>
    <w:p w14:paraId="129153EE" w14:textId="0B411B5E" w:rsidR="00E1708A" w:rsidRPr="00E1708A" w:rsidRDefault="00E1708A" w:rsidP="00E1708A">
      <w:pPr>
        <w:pStyle w:val="TextoNormalSangraFrancesa"/>
        <w:rPr>
          <w:rStyle w:val="TextoNormalCaracter"/>
        </w:rPr>
      </w:pPr>
      <w:bookmarkStart w:id="1190" w:name="DESCRIPTORALFABETICO349"/>
      <w:r w:rsidRPr="00E1708A">
        <w:rPr>
          <w:rStyle w:val="TextoNormalNegritaCaracter"/>
        </w:rPr>
        <w:t>Interpretación de Reglamentos parlamentarios</w:t>
      </w:r>
      <w:bookmarkEnd w:id="1190"/>
      <w:r w:rsidRPr="00E1708A">
        <w:rPr>
          <w:rStyle w:val="TextoNormalCaracter"/>
        </w:rPr>
        <w:t xml:space="preserve">, Sentencia </w:t>
      </w:r>
      <w:hyperlink w:anchor="SENTENCIA_2023_165" w:history="1">
        <w:r w:rsidRPr="00E1708A">
          <w:rPr>
            <w:rStyle w:val="TextoNormalCaracter"/>
          </w:rPr>
          <w:t>165/2023</w:t>
        </w:r>
      </w:hyperlink>
      <w:r w:rsidRPr="00E1708A">
        <w:rPr>
          <w:rStyle w:val="TextoNormalCaracter"/>
        </w:rPr>
        <w:t>, f. 3.</w:t>
      </w:r>
    </w:p>
    <w:p w14:paraId="672963E8" w14:textId="33F3D72F" w:rsidR="00E1708A" w:rsidRPr="00E1708A" w:rsidRDefault="00E1708A" w:rsidP="00E1708A">
      <w:pPr>
        <w:pStyle w:val="TextoNormalSangraFrancesa"/>
        <w:rPr>
          <w:rStyle w:val="TextoNormalCaracter"/>
        </w:rPr>
      </w:pPr>
      <w:bookmarkStart w:id="1191" w:name="DESCRIPTORALFABETICO359"/>
      <w:r w:rsidRPr="00E1708A">
        <w:rPr>
          <w:rStyle w:val="TextoNormalNegritaCaracter"/>
        </w:rPr>
        <w:t>Interrupción voluntaria del embarazo</w:t>
      </w:r>
      <w:bookmarkEnd w:id="1191"/>
      <w:r w:rsidRPr="00E1708A">
        <w:rPr>
          <w:rStyle w:val="TextoNormalCaracter"/>
        </w:rPr>
        <w:t xml:space="preserve">, Sentencia </w:t>
      </w:r>
      <w:hyperlink w:anchor="SENTENCIA_2023_78" w:history="1">
        <w:r w:rsidRPr="00E1708A">
          <w:rPr>
            <w:rStyle w:val="TextoNormalCaracter"/>
          </w:rPr>
          <w:t>78/2023</w:t>
        </w:r>
      </w:hyperlink>
      <w:r w:rsidRPr="00E1708A">
        <w:rPr>
          <w:rStyle w:val="TextoNormalCaracter"/>
        </w:rPr>
        <w:t>, ff. 5 a 7, VP I, VP II.</w:t>
      </w:r>
    </w:p>
    <w:p w14:paraId="4561AF0E" w14:textId="6C315DB0" w:rsidR="00E1708A" w:rsidRPr="00E1708A" w:rsidRDefault="00E1708A" w:rsidP="00E1708A">
      <w:pPr>
        <w:pStyle w:val="TextoNormalSangraFrancesa"/>
        <w:rPr>
          <w:rStyle w:val="TextoNormalCaracter"/>
        </w:rPr>
      </w:pPr>
      <w:bookmarkStart w:id="1192" w:name="DESCRIPTORALFABETICO404"/>
      <w:r w:rsidRPr="00E1708A">
        <w:rPr>
          <w:rStyle w:val="TextoNormalNegritaCaracter"/>
        </w:rPr>
        <w:t>Inversión de la carga de la prueba</w:t>
      </w:r>
      <w:bookmarkEnd w:id="1192"/>
      <w:r w:rsidRPr="00E1708A">
        <w:rPr>
          <w:rStyle w:val="TextoNormalCaracter"/>
        </w:rPr>
        <w:t xml:space="preserve">, Sentencia </w:t>
      </w:r>
      <w:hyperlink w:anchor="SENTENCIA_2023_79" w:history="1">
        <w:r w:rsidRPr="00E1708A">
          <w:rPr>
            <w:rStyle w:val="TextoNormalCaracter"/>
          </w:rPr>
          <w:t>79/2023</w:t>
        </w:r>
      </w:hyperlink>
      <w:r w:rsidRPr="00E1708A">
        <w:rPr>
          <w:rStyle w:val="TextoNormalCaracter"/>
        </w:rPr>
        <w:t>, f. 4.</w:t>
      </w:r>
    </w:p>
    <w:p w14:paraId="42FDEC25" w14:textId="072E5EA2" w:rsidR="00E1708A" w:rsidRPr="00E1708A" w:rsidRDefault="00E1708A" w:rsidP="00E1708A">
      <w:pPr>
        <w:pStyle w:val="TextoNormalSangraFrancesa"/>
        <w:rPr>
          <w:rStyle w:val="TextoNormalCaracter"/>
        </w:rPr>
      </w:pPr>
      <w:bookmarkStart w:id="1193" w:name="DESCRIPTORALFABETICO427"/>
      <w:r w:rsidRPr="00E1708A">
        <w:rPr>
          <w:rStyle w:val="TextoNormalNegritaCaracter"/>
        </w:rPr>
        <w:t>Investigación insuficiente</w:t>
      </w:r>
      <w:bookmarkEnd w:id="1193"/>
      <w:r w:rsidRPr="00E1708A">
        <w:rPr>
          <w:rStyle w:val="TextoNormalCaracter"/>
        </w:rPr>
        <w:t xml:space="preserve">, Sentencia </w:t>
      </w:r>
      <w:hyperlink w:anchor="SENTENCIA_2023_131" w:history="1">
        <w:r w:rsidRPr="00E1708A">
          <w:rPr>
            <w:rStyle w:val="TextoNormalCaracter"/>
          </w:rPr>
          <w:t>131/2023</w:t>
        </w:r>
      </w:hyperlink>
      <w:r w:rsidRPr="00E1708A">
        <w:rPr>
          <w:rStyle w:val="TextoNormalCaracter"/>
        </w:rPr>
        <w:t>, VP.</w:t>
      </w:r>
    </w:p>
    <w:p w14:paraId="6B9B335E" w14:textId="5B7728D8" w:rsidR="00E1708A" w:rsidRPr="00E1708A" w:rsidRDefault="00E1708A" w:rsidP="00E1708A">
      <w:pPr>
        <w:pStyle w:val="TextoNormalSangraFrancesa"/>
        <w:rPr>
          <w:rStyle w:val="TextoNormalCaracter"/>
        </w:rPr>
      </w:pPr>
      <w:bookmarkStart w:id="1194" w:name="DESCRIPTORALFABETICO428"/>
      <w:r w:rsidRPr="00E1708A">
        <w:rPr>
          <w:rStyle w:val="TextoNormalNegritaCaracter"/>
        </w:rPr>
        <w:t>Investigación suficiente</w:t>
      </w:r>
      <w:bookmarkEnd w:id="1194"/>
      <w:r w:rsidRPr="00E1708A">
        <w:rPr>
          <w:rStyle w:val="TextoNormalCaracter"/>
        </w:rPr>
        <w:t xml:space="preserve">, Sentencia </w:t>
      </w:r>
      <w:hyperlink w:anchor="SENTENCIA_2023_131" w:history="1">
        <w:r w:rsidRPr="00E1708A">
          <w:rPr>
            <w:rStyle w:val="TextoNormalCaracter"/>
          </w:rPr>
          <w:t>131/2023</w:t>
        </w:r>
      </w:hyperlink>
      <w:r w:rsidRPr="00E1708A">
        <w:rPr>
          <w:rStyle w:val="TextoNormalCaracter"/>
        </w:rPr>
        <w:t>, ff. 2 y 4.</w:t>
      </w:r>
    </w:p>
    <w:p w14:paraId="69EF4913" w14:textId="7CD0637F" w:rsidR="00E1708A" w:rsidRPr="00E1708A" w:rsidRDefault="00E1708A" w:rsidP="00E1708A">
      <w:pPr>
        <w:pStyle w:val="TextoNormalSangraFrancesa"/>
        <w:rPr>
          <w:rStyle w:val="TextoNormalCaracter"/>
        </w:rPr>
      </w:pPr>
      <w:bookmarkStart w:id="1195" w:name="DESCRIPTORALFABETICO66"/>
      <w:r w:rsidRPr="00E1708A">
        <w:rPr>
          <w:rStyle w:val="TextoNormalNegritaCaracter"/>
          <w:i/>
        </w:rPr>
        <w:t>Ius ut procedatur</w:t>
      </w:r>
      <w:bookmarkEnd w:id="1195"/>
      <w:r w:rsidRPr="00E1708A">
        <w:rPr>
          <w:rStyle w:val="TextoNormalCaracter"/>
        </w:rPr>
        <w:t xml:space="preserve">, Auto </w:t>
      </w:r>
      <w:hyperlink w:anchor="AUTO_2023_338" w:history="1">
        <w:r w:rsidRPr="00E1708A">
          <w:rPr>
            <w:rStyle w:val="TextoNormalCaracter"/>
          </w:rPr>
          <w:t>338/2023</w:t>
        </w:r>
      </w:hyperlink>
      <w:r w:rsidRPr="00E1708A">
        <w:rPr>
          <w:rStyle w:val="TextoNormalCaracter"/>
        </w:rPr>
        <w:t>, f.4, VP.</w:t>
      </w:r>
    </w:p>
    <w:p w14:paraId="529600BD" w14:textId="46F96D9F" w:rsidR="00E1708A" w:rsidRDefault="00E1708A" w:rsidP="00E1708A">
      <w:pPr>
        <w:pStyle w:val="TextoNormalSangraFrancesa"/>
      </w:pPr>
    </w:p>
    <w:p w14:paraId="6A657803" w14:textId="77777777" w:rsidR="00E1708A" w:rsidRDefault="00E1708A" w:rsidP="00E1708A">
      <w:pPr>
        <w:pStyle w:val="TextoNormalSangraFrancesa"/>
      </w:pPr>
    </w:p>
    <w:p w14:paraId="61B66A4C" w14:textId="77777777" w:rsidR="00E1708A" w:rsidRDefault="00E1708A" w:rsidP="00E1708A">
      <w:pPr>
        <w:pStyle w:val="TextoNormalNegritaCentrado"/>
      </w:pPr>
      <w:r>
        <w:t>J</w:t>
      </w:r>
    </w:p>
    <w:p w14:paraId="30CA205F" w14:textId="5548B78C" w:rsidR="00E1708A" w:rsidRDefault="00E1708A" w:rsidP="00E1708A">
      <w:pPr>
        <w:pStyle w:val="TextoNormalNegritaCentrado"/>
      </w:pPr>
    </w:p>
    <w:p w14:paraId="1127B790" w14:textId="20F055A6" w:rsidR="00E1708A" w:rsidRPr="00E1708A" w:rsidRDefault="00E1708A" w:rsidP="00E1708A">
      <w:pPr>
        <w:pStyle w:val="TextoNormalSangraFrancesa"/>
        <w:rPr>
          <w:rStyle w:val="TextoNormalCaracter"/>
        </w:rPr>
      </w:pPr>
      <w:bookmarkStart w:id="1196" w:name="DESCRIPTORALFABETICO173"/>
      <w:r w:rsidRPr="00E1708A">
        <w:rPr>
          <w:rStyle w:val="TextoNormalNegritaCaracter"/>
        </w:rPr>
        <w:t>Juicio de aplicabilidad</w:t>
      </w:r>
      <w:bookmarkEnd w:id="1196"/>
      <w:r w:rsidRPr="00E1708A">
        <w:rPr>
          <w:rStyle w:val="TextoNormalCaracter"/>
        </w:rPr>
        <w:t xml:space="preserve">, Sentencia </w:t>
      </w:r>
      <w:hyperlink w:anchor="SENTENCIA_2023_168" w:history="1">
        <w:r w:rsidRPr="00E1708A">
          <w:rPr>
            <w:rStyle w:val="TextoNormalCaracter"/>
          </w:rPr>
          <w:t>168/2023</w:t>
        </w:r>
      </w:hyperlink>
      <w:r w:rsidRPr="00E1708A">
        <w:rPr>
          <w:rStyle w:val="TextoNormalCaracter"/>
        </w:rPr>
        <w:t>, f. 2.</w:t>
      </w:r>
    </w:p>
    <w:p w14:paraId="38637D10" w14:textId="77C1217B" w:rsidR="00E1708A" w:rsidRPr="00E1708A" w:rsidRDefault="00E1708A" w:rsidP="00E1708A">
      <w:pPr>
        <w:pStyle w:val="TextoNormalSangraFrancesa"/>
        <w:rPr>
          <w:rStyle w:val="TextoNormalCaracter"/>
        </w:rPr>
      </w:pPr>
      <w:bookmarkStart w:id="1197" w:name="DESCRIPTORALFABETICO174"/>
      <w:r w:rsidRPr="00E1708A">
        <w:rPr>
          <w:rStyle w:val="TextoNormalNegritaCaracter"/>
        </w:rPr>
        <w:t>Juicio de aplicabilidad inconsistente</w:t>
      </w:r>
      <w:bookmarkEnd w:id="1197"/>
      <w:r w:rsidRPr="00E1708A">
        <w:rPr>
          <w:rStyle w:val="TextoNormalCaracter"/>
        </w:rPr>
        <w:t xml:space="preserve">, Autos </w:t>
      </w:r>
      <w:hyperlink w:anchor="AUTO_2023_446" w:history="1">
        <w:r w:rsidRPr="00E1708A">
          <w:rPr>
            <w:rStyle w:val="TextoNormalCaracter"/>
          </w:rPr>
          <w:t>446/2023</w:t>
        </w:r>
      </w:hyperlink>
      <w:r w:rsidRPr="00E1708A">
        <w:rPr>
          <w:rStyle w:val="TextoNormalCaracter"/>
        </w:rPr>
        <w:t xml:space="preserve">, ff. 1 a 4; </w:t>
      </w:r>
      <w:hyperlink w:anchor="AUTO_2023_535" w:history="1">
        <w:r w:rsidRPr="00E1708A">
          <w:rPr>
            <w:rStyle w:val="TextoNormalCaracter"/>
          </w:rPr>
          <w:t>535/2023</w:t>
        </w:r>
      </w:hyperlink>
      <w:r w:rsidRPr="00E1708A">
        <w:rPr>
          <w:rStyle w:val="TextoNormalCaracter"/>
        </w:rPr>
        <w:t>, ff. 2 a 4.</w:t>
      </w:r>
    </w:p>
    <w:p w14:paraId="718B950E" w14:textId="4B640B05" w:rsidR="00E1708A" w:rsidRPr="00E1708A" w:rsidRDefault="00E1708A" w:rsidP="00E1708A">
      <w:pPr>
        <w:pStyle w:val="TextoNormalSangraFrancesa"/>
        <w:rPr>
          <w:rStyle w:val="TextoNormalCaracter"/>
        </w:rPr>
      </w:pPr>
      <w:bookmarkStart w:id="1198" w:name="DESCRIPTORALFABETICO175"/>
      <w:r w:rsidRPr="00E1708A">
        <w:rPr>
          <w:rStyle w:val="TextoNormalNegritaCaracter"/>
        </w:rPr>
        <w:t>Juicio de relevancia</w:t>
      </w:r>
      <w:bookmarkEnd w:id="1198"/>
      <w:r w:rsidRPr="00E1708A">
        <w:rPr>
          <w:rStyle w:val="TextoNormalCaracter"/>
        </w:rPr>
        <w:t xml:space="preserve">, Sentencia </w:t>
      </w:r>
      <w:hyperlink w:anchor="SENTENCIA_2023_168" w:history="1">
        <w:r w:rsidRPr="00E1708A">
          <w:rPr>
            <w:rStyle w:val="TextoNormalCaracter"/>
          </w:rPr>
          <w:t>168/2023</w:t>
        </w:r>
      </w:hyperlink>
      <w:r w:rsidRPr="00E1708A">
        <w:rPr>
          <w:rStyle w:val="TextoNormalCaracter"/>
        </w:rPr>
        <w:t>, f. 3.</w:t>
      </w:r>
    </w:p>
    <w:p w14:paraId="68E99239" w14:textId="4C033C00" w:rsidR="00E1708A" w:rsidRPr="00E1708A" w:rsidRDefault="00E1708A" w:rsidP="00E1708A">
      <w:pPr>
        <w:pStyle w:val="TextoNormalSangraFrancesa"/>
        <w:rPr>
          <w:rStyle w:val="TextoNormalCaracter"/>
        </w:rPr>
      </w:pPr>
      <w:bookmarkStart w:id="1199" w:name="DESCRIPTORALFABETICO37"/>
      <w:r w:rsidRPr="00E1708A">
        <w:rPr>
          <w:rStyle w:val="TextoNormalNegritaCaracter"/>
        </w:rPr>
        <w:t>Juramento o promesa de acatamiento a la Constitución</w:t>
      </w:r>
      <w:bookmarkEnd w:id="1199"/>
      <w:r w:rsidRPr="00E1708A">
        <w:rPr>
          <w:rStyle w:val="TextoNormalCaracter"/>
        </w:rPr>
        <w:t xml:space="preserve">, Sentencias </w:t>
      </w:r>
      <w:hyperlink w:anchor="SENTENCIA_2023_125" w:history="1">
        <w:r w:rsidRPr="00E1708A">
          <w:rPr>
            <w:rStyle w:val="TextoNormalCaracter"/>
          </w:rPr>
          <w:t>125/2023</w:t>
        </w:r>
      </w:hyperlink>
      <w:r w:rsidRPr="00E1708A">
        <w:rPr>
          <w:rStyle w:val="TextoNormalCaracter"/>
        </w:rPr>
        <w:t xml:space="preserve">, ff. 1 y 2; </w:t>
      </w:r>
      <w:hyperlink w:anchor="SENTENCIA_2023_133" w:history="1">
        <w:r w:rsidRPr="00E1708A">
          <w:rPr>
            <w:rStyle w:val="TextoNormalCaracter"/>
          </w:rPr>
          <w:t>133/2023</w:t>
        </w:r>
      </w:hyperlink>
      <w:r w:rsidRPr="00E1708A">
        <w:rPr>
          <w:rStyle w:val="TextoNormalCaracter"/>
        </w:rPr>
        <w:t xml:space="preserve">; </w:t>
      </w:r>
      <w:hyperlink w:anchor="SENTENCIA_2023_135" w:history="1">
        <w:r w:rsidRPr="00E1708A">
          <w:rPr>
            <w:rStyle w:val="TextoNormalCaracter"/>
          </w:rPr>
          <w:t>135/2023</w:t>
        </w:r>
      </w:hyperlink>
      <w:r w:rsidRPr="00E1708A">
        <w:rPr>
          <w:rStyle w:val="TextoNormalCaracter"/>
        </w:rPr>
        <w:t xml:space="preserve">, ff. 1 y 2; </w:t>
      </w:r>
      <w:hyperlink w:anchor="SENTENCIA_2023_139" w:history="1">
        <w:r w:rsidRPr="00E1708A">
          <w:rPr>
            <w:rStyle w:val="TextoNormalCaracter"/>
          </w:rPr>
          <w:t>139/2023</w:t>
        </w:r>
      </w:hyperlink>
      <w:r w:rsidRPr="00E1708A">
        <w:rPr>
          <w:rStyle w:val="TextoNormalCaracter"/>
        </w:rPr>
        <w:t xml:space="preserve">, ff. 1 y 3; </w:t>
      </w:r>
      <w:hyperlink w:anchor="SENTENCIA_2023_140" w:history="1">
        <w:r w:rsidRPr="00E1708A">
          <w:rPr>
            <w:rStyle w:val="TextoNormalCaracter"/>
          </w:rPr>
          <w:t>140/2023</w:t>
        </w:r>
      </w:hyperlink>
      <w:r w:rsidRPr="00E1708A">
        <w:rPr>
          <w:rStyle w:val="TextoNormalCaracter"/>
        </w:rPr>
        <w:t xml:space="preserve">, ff. 1 y 3; </w:t>
      </w:r>
      <w:hyperlink w:anchor="SENTENCIA_2023_141" w:history="1">
        <w:r w:rsidRPr="00E1708A">
          <w:rPr>
            <w:rStyle w:val="TextoNormalCaracter"/>
          </w:rPr>
          <w:t>141/2023</w:t>
        </w:r>
      </w:hyperlink>
      <w:r w:rsidRPr="00E1708A">
        <w:rPr>
          <w:rStyle w:val="TextoNormalCaracter"/>
        </w:rPr>
        <w:t xml:space="preserve">, ff. 1 y 3; </w:t>
      </w:r>
      <w:hyperlink w:anchor="SENTENCIA_2023_142" w:history="1">
        <w:r w:rsidRPr="00E1708A">
          <w:rPr>
            <w:rStyle w:val="TextoNormalCaracter"/>
          </w:rPr>
          <w:t>142/2023</w:t>
        </w:r>
      </w:hyperlink>
      <w:r w:rsidRPr="00E1708A">
        <w:rPr>
          <w:rStyle w:val="TextoNormalCaracter"/>
        </w:rPr>
        <w:t>, ff. 1 y 3.</w:t>
      </w:r>
    </w:p>
    <w:p w14:paraId="35B895FB" w14:textId="62A1C8C5" w:rsidR="00E1708A" w:rsidRPr="00E1708A" w:rsidRDefault="00E1708A" w:rsidP="00E1708A">
      <w:pPr>
        <w:pStyle w:val="TextoNormalSangraFrancesa"/>
        <w:rPr>
          <w:rStyle w:val="TextoNormalCaracter"/>
        </w:rPr>
      </w:pPr>
      <w:bookmarkStart w:id="1200" w:name="DESCRIPTORALFABETICO388"/>
      <w:r w:rsidRPr="00E1708A">
        <w:rPr>
          <w:rStyle w:val="TextoNormalNegritaCaracter"/>
        </w:rPr>
        <w:t>Jurisdicción voluntaria</w:t>
      </w:r>
      <w:bookmarkEnd w:id="1200"/>
      <w:r w:rsidRPr="00E1708A">
        <w:rPr>
          <w:rStyle w:val="TextoNormalCaracter"/>
        </w:rPr>
        <w:t xml:space="preserve">, Sentencia </w:t>
      </w:r>
      <w:hyperlink w:anchor="SENTENCIA_2023_146" w:history="1">
        <w:r w:rsidRPr="00E1708A">
          <w:rPr>
            <w:rStyle w:val="TextoNormalCaracter"/>
          </w:rPr>
          <w:t>146/2023</w:t>
        </w:r>
      </w:hyperlink>
      <w:r w:rsidRPr="00E1708A">
        <w:rPr>
          <w:rStyle w:val="TextoNormalCaracter"/>
        </w:rPr>
        <w:t>.</w:t>
      </w:r>
    </w:p>
    <w:p w14:paraId="2D03995B" w14:textId="54D620E3" w:rsidR="00E1708A" w:rsidRDefault="00E1708A" w:rsidP="00E1708A">
      <w:pPr>
        <w:pStyle w:val="TextoNormalSangraFrancesa"/>
      </w:pPr>
    </w:p>
    <w:p w14:paraId="604E2FAA" w14:textId="77777777" w:rsidR="00E1708A" w:rsidRDefault="00E1708A" w:rsidP="00E1708A">
      <w:pPr>
        <w:pStyle w:val="TextoNormalSangraFrancesa"/>
      </w:pPr>
    </w:p>
    <w:p w14:paraId="3AABC939" w14:textId="77777777" w:rsidR="00E1708A" w:rsidRDefault="00E1708A" w:rsidP="00E1708A">
      <w:pPr>
        <w:pStyle w:val="TextoNormalNegritaCentrado"/>
      </w:pPr>
      <w:r>
        <w:t>L</w:t>
      </w:r>
    </w:p>
    <w:p w14:paraId="6BCC4478" w14:textId="166BA529" w:rsidR="00E1708A" w:rsidRDefault="00E1708A" w:rsidP="00E1708A">
      <w:pPr>
        <w:pStyle w:val="TextoNormalNegritaCentrado"/>
      </w:pPr>
    </w:p>
    <w:p w14:paraId="47FB1C4F" w14:textId="6418233F" w:rsidR="00E1708A" w:rsidRPr="00E1708A" w:rsidRDefault="00E1708A" w:rsidP="00E1708A">
      <w:pPr>
        <w:pStyle w:val="TextoNormalSangraFrancesa"/>
        <w:rPr>
          <w:rStyle w:val="TextoNormalCaracter"/>
        </w:rPr>
      </w:pPr>
      <w:bookmarkStart w:id="1201" w:name="DESCRIPTORALFABETICO274"/>
      <w:r w:rsidRPr="00E1708A">
        <w:rPr>
          <w:rStyle w:val="TextoNormalNegritaCaracter"/>
        </w:rPr>
        <w:t>Libertad</w:t>
      </w:r>
      <w:bookmarkEnd w:id="1201"/>
      <w:r w:rsidRPr="00E1708A">
        <w:rPr>
          <w:rStyle w:val="TextoNormalCaracter"/>
        </w:rPr>
        <w:t xml:space="preserve">, Sentencia </w:t>
      </w:r>
      <w:hyperlink w:anchor="SENTENCIA_2023_94" w:history="1">
        <w:r w:rsidRPr="00E1708A">
          <w:rPr>
            <w:rStyle w:val="TextoNormalCaracter"/>
          </w:rPr>
          <w:t>94/2023</w:t>
        </w:r>
      </w:hyperlink>
      <w:r w:rsidRPr="00E1708A">
        <w:rPr>
          <w:rStyle w:val="TextoNormalCaracter"/>
        </w:rPr>
        <w:t>, f. 3.</w:t>
      </w:r>
    </w:p>
    <w:p w14:paraId="2BB86F37" w14:textId="33FA415A" w:rsidR="00E1708A" w:rsidRPr="00E1708A" w:rsidRDefault="00E1708A" w:rsidP="00E1708A">
      <w:pPr>
        <w:pStyle w:val="TextoNormalSangraFrancesa"/>
        <w:rPr>
          <w:rStyle w:val="TextoNormalCaracter"/>
        </w:rPr>
      </w:pPr>
      <w:bookmarkStart w:id="1202" w:name="DESCRIPTORALFABETICO107"/>
      <w:r w:rsidRPr="00E1708A">
        <w:rPr>
          <w:rStyle w:val="TextoNormalNegritaCaracter"/>
        </w:rPr>
        <w:t>Libertad de circulación</w:t>
      </w:r>
      <w:bookmarkEnd w:id="1202"/>
      <w:r w:rsidRPr="00E1708A">
        <w:rPr>
          <w:rStyle w:val="TextoNormalCaracter"/>
        </w:rPr>
        <w:t xml:space="preserve">, Sentencias </w:t>
      </w:r>
      <w:hyperlink w:anchor="SENTENCIA_2023_84" w:history="1">
        <w:r w:rsidRPr="00E1708A">
          <w:rPr>
            <w:rStyle w:val="TextoNormalCaracter"/>
          </w:rPr>
          <w:t>84/2023</w:t>
        </w:r>
      </w:hyperlink>
      <w:r w:rsidRPr="00E1708A">
        <w:rPr>
          <w:rStyle w:val="TextoNormalCaracter"/>
        </w:rPr>
        <w:t xml:space="preserve">, ff. 2 y 4; </w:t>
      </w:r>
      <w:hyperlink w:anchor="SENTENCIA_2023_88" w:history="1">
        <w:r w:rsidRPr="00E1708A">
          <w:rPr>
            <w:rStyle w:val="TextoNormalCaracter"/>
          </w:rPr>
          <w:t>88/2023</w:t>
        </w:r>
      </w:hyperlink>
      <w:r w:rsidRPr="00E1708A">
        <w:rPr>
          <w:rStyle w:val="TextoNormalCaracter"/>
        </w:rPr>
        <w:t xml:space="preserve">, ff. 2 a 4; </w:t>
      </w:r>
      <w:hyperlink w:anchor="SENTENCIA_2023_90" w:history="1">
        <w:r w:rsidRPr="00E1708A">
          <w:rPr>
            <w:rStyle w:val="TextoNormalCaracter"/>
          </w:rPr>
          <w:t>90/2023</w:t>
        </w:r>
      </w:hyperlink>
      <w:r w:rsidRPr="00E1708A">
        <w:rPr>
          <w:rStyle w:val="TextoNormalCaracter"/>
        </w:rPr>
        <w:t>, f. 2.</w:t>
      </w:r>
    </w:p>
    <w:p w14:paraId="76BE5BD1" w14:textId="56D3393F" w:rsidR="00E1708A" w:rsidRPr="00E1708A" w:rsidRDefault="00E1708A" w:rsidP="00E1708A">
      <w:pPr>
        <w:pStyle w:val="TextoNormalSangraFrancesa"/>
        <w:rPr>
          <w:rStyle w:val="TextoNormalCaracter"/>
        </w:rPr>
      </w:pPr>
      <w:bookmarkStart w:id="1203" w:name="DESCRIPTORALFABETICO220"/>
      <w:r w:rsidRPr="00E1708A">
        <w:rPr>
          <w:rStyle w:val="TextoNormalNegritaCaracter"/>
        </w:rPr>
        <w:t>Libertad de configuración del legislador</w:t>
      </w:r>
      <w:bookmarkEnd w:id="1203"/>
      <w:r w:rsidRPr="00E1708A">
        <w:rPr>
          <w:rStyle w:val="TextoNormalCaracter"/>
        </w:rPr>
        <w:t xml:space="preserve">, Sentencia </w:t>
      </w:r>
      <w:hyperlink w:anchor="SENTENCIA_2023_94" w:history="1">
        <w:r w:rsidRPr="00E1708A">
          <w:rPr>
            <w:rStyle w:val="TextoNormalCaracter"/>
          </w:rPr>
          <w:t>94/2023</w:t>
        </w:r>
      </w:hyperlink>
      <w:r w:rsidRPr="00E1708A">
        <w:rPr>
          <w:rStyle w:val="TextoNormalCaracter"/>
        </w:rPr>
        <w:t>, ff. 4 y 6.</w:t>
      </w:r>
    </w:p>
    <w:p w14:paraId="760A16B4" w14:textId="39283986" w:rsidR="00E1708A" w:rsidRPr="00E1708A" w:rsidRDefault="00E1708A" w:rsidP="00E1708A">
      <w:pPr>
        <w:pStyle w:val="TextoNormalSangraFrancesa"/>
        <w:rPr>
          <w:rStyle w:val="TextoNormalCaracter"/>
        </w:rPr>
      </w:pPr>
      <w:bookmarkStart w:id="1204" w:name="DESCRIPTORALFABETICO108"/>
      <w:r w:rsidRPr="00E1708A">
        <w:rPr>
          <w:rStyle w:val="TextoNormalNegritaCaracter"/>
        </w:rPr>
        <w:t>Libertad de expresión</w:t>
      </w:r>
      <w:bookmarkEnd w:id="1204"/>
      <w:r w:rsidRPr="00E1708A">
        <w:rPr>
          <w:rStyle w:val="TextoNormalCaracter"/>
        </w:rPr>
        <w:t xml:space="preserve">, Sentencia </w:t>
      </w:r>
      <w:hyperlink w:anchor="SENTENCIA_2023_82" w:history="1">
        <w:r w:rsidRPr="00E1708A">
          <w:rPr>
            <w:rStyle w:val="TextoNormalCaracter"/>
          </w:rPr>
          <w:t>82/2023</w:t>
        </w:r>
      </w:hyperlink>
      <w:r w:rsidRPr="00E1708A">
        <w:rPr>
          <w:rStyle w:val="TextoNormalCaracter"/>
        </w:rPr>
        <w:t>, f. 1.</w:t>
      </w:r>
    </w:p>
    <w:p w14:paraId="4AEC4581" w14:textId="54E450C3" w:rsidR="00E1708A" w:rsidRPr="00E1708A" w:rsidRDefault="00E1708A" w:rsidP="00E1708A">
      <w:pPr>
        <w:pStyle w:val="TextoNormalSangraFrancesa"/>
        <w:rPr>
          <w:rStyle w:val="TextoNormalCaracter"/>
        </w:rPr>
      </w:pPr>
      <w:r w:rsidRPr="00E1708A">
        <w:rPr>
          <w:rStyle w:val="TextoNormalCursivaCaracter"/>
        </w:rPr>
        <w:t xml:space="preserve">    Respetada, </w:t>
      </w:r>
      <w:r w:rsidRPr="00E1708A">
        <w:rPr>
          <w:rStyle w:val="TextoNormalCaracter"/>
        </w:rPr>
        <w:t xml:space="preserve">Sentencias </w:t>
      </w:r>
      <w:hyperlink w:anchor="SENTENCIA_2023_83" w:history="1">
        <w:r w:rsidRPr="00E1708A">
          <w:rPr>
            <w:rStyle w:val="TextoNormalCaracter"/>
          </w:rPr>
          <w:t>83/2023</w:t>
        </w:r>
      </w:hyperlink>
      <w:r w:rsidRPr="00E1708A">
        <w:rPr>
          <w:rStyle w:val="TextoNormalCaracter"/>
        </w:rPr>
        <w:t xml:space="preserve">, ff. 4, 5, VP I, VP II; </w:t>
      </w:r>
      <w:hyperlink w:anchor="SENTENCIA_2023_89" w:history="1">
        <w:r w:rsidRPr="00E1708A">
          <w:rPr>
            <w:rStyle w:val="TextoNormalCaracter"/>
          </w:rPr>
          <w:t>89/2023</w:t>
        </w:r>
      </w:hyperlink>
      <w:r w:rsidRPr="00E1708A">
        <w:rPr>
          <w:rStyle w:val="TextoNormalCaracter"/>
        </w:rPr>
        <w:t xml:space="preserve">, ff.1 a 4, VP I, VP II, VP III; </w:t>
      </w:r>
      <w:hyperlink w:anchor="SENTENCIA_2023_97" w:history="1">
        <w:r w:rsidRPr="00E1708A">
          <w:rPr>
            <w:rStyle w:val="TextoNormalCaracter"/>
          </w:rPr>
          <w:t>97/2023</w:t>
        </w:r>
      </w:hyperlink>
      <w:r w:rsidRPr="00E1708A">
        <w:rPr>
          <w:rStyle w:val="TextoNormalCaracter"/>
        </w:rPr>
        <w:t xml:space="preserve">, f. 3; </w:t>
      </w:r>
      <w:hyperlink w:anchor="SENTENCIA_2023_98" w:history="1">
        <w:r w:rsidRPr="00E1708A">
          <w:rPr>
            <w:rStyle w:val="TextoNormalCaracter"/>
          </w:rPr>
          <w:t>98/2023</w:t>
        </w:r>
      </w:hyperlink>
      <w:r w:rsidRPr="00E1708A">
        <w:rPr>
          <w:rStyle w:val="TextoNormalCaracter"/>
        </w:rPr>
        <w:t xml:space="preserve">, ff. 1 y 2; </w:t>
      </w:r>
      <w:hyperlink w:anchor="SENTENCIA_2023_99" w:history="1">
        <w:r w:rsidRPr="00E1708A">
          <w:rPr>
            <w:rStyle w:val="TextoNormalCaracter"/>
          </w:rPr>
          <w:t>99/2023</w:t>
        </w:r>
      </w:hyperlink>
      <w:r w:rsidRPr="00E1708A">
        <w:rPr>
          <w:rStyle w:val="TextoNormalCaracter"/>
        </w:rPr>
        <w:t xml:space="preserve">, ff. 1 y 2; </w:t>
      </w:r>
      <w:hyperlink w:anchor="SENTENCIA_2023_100" w:history="1">
        <w:r w:rsidRPr="00E1708A">
          <w:rPr>
            <w:rStyle w:val="TextoNormalCaracter"/>
          </w:rPr>
          <w:t>100/2023</w:t>
        </w:r>
      </w:hyperlink>
      <w:r w:rsidRPr="00E1708A">
        <w:rPr>
          <w:rStyle w:val="TextoNormalCaracter"/>
        </w:rPr>
        <w:t xml:space="preserve">, ff. 1 y 2; </w:t>
      </w:r>
      <w:hyperlink w:anchor="SENTENCIA_2023_102" w:history="1">
        <w:r w:rsidRPr="00E1708A">
          <w:rPr>
            <w:rStyle w:val="TextoNormalCaracter"/>
          </w:rPr>
          <w:t>102/2023</w:t>
        </w:r>
      </w:hyperlink>
      <w:r w:rsidRPr="00E1708A">
        <w:rPr>
          <w:rStyle w:val="TextoNormalCaracter"/>
        </w:rPr>
        <w:t xml:space="preserve">, f. 3; </w:t>
      </w:r>
      <w:hyperlink w:anchor="SENTENCIA_2023_103" w:history="1">
        <w:r w:rsidRPr="00E1708A">
          <w:rPr>
            <w:rStyle w:val="TextoNormalCaracter"/>
          </w:rPr>
          <w:t>103/2023</w:t>
        </w:r>
      </w:hyperlink>
      <w:r w:rsidRPr="00E1708A">
        <w:rPr>
          <w:rStyle w:val="TextoNormalCaracter"/>
        </w:rPr>
        <w:t xml:space="preserve">, ff. 1 y 2; </w:t>
      </w:r>
      <w:hyperlink w:anchor="SENTENCIA_2023_104" w:history="1">
        <w:r w:rsidRPr="00E1708A">
          <w:rPr>
            <w:rStyle w:val="TextoNormalCaracter"/>
          </w:rPr>
          <w:t>104/2023</w:t>
        </w:r>
      </w:hyperlink>
      <w:r w:rsidRPr="00E1708A">
        <w:rPr>
          <w:rStyle w:val="TextoNormalCaracter"/>
        </w:rPr>
        <w:t xml:space="preserve">, f. 2; </w:t>
      </w:r>
      <w:hyperlink w:anchor="SENTENCIA_2023_105" w:history="1">
        <w:r w:rsidRPr="00E1708A">
          <w:rPr>
            <w:rStyle w:val="TextoNormalCaracter"/>
          </w:rPr>
          <w:t>105/2023</w:t>
        </w:r>
      </w:hyperlink>
      <w:r w:rsidRPr="00E1708A">
        <w:rPr>
          <w:rStyle w:val="TextoNormalCaracter"/>
        </w:rPr>
        <w:t xml:space="preserve">, f. 2; </w:t>
      </w:r>
      <w:hyperlink w:anchor="SENTENCIA_2023_106" w:history="1">
        <w:r w:rsidRPr="00E1708A">
          <w:rPr>
            <w:rStyle w:val="TextoNormalCaracter"/>
          </w:rPr>
          <w:t>106/2023</w:t>
        </w:r>
      </w:hyperlink>
      <w:r w:rsidRPr="00E1708A">
        <w:rPr>
          <w:rStyle w:val="TextoNormalCaracter"/>
        </w:rPr>
        <w:t xml:space="preserve">, f. 3; </w:t>
      </w:r>
      <w:hyperlink w:anchor="SENTENCIA_2023_107" w:history="1">
        <w:r w:rsidRPr="00E1708A">
          <w:rPr>
            <w:rStyle w:val="TextoNormalCaracter"/>
          </w:rPr>
          <w:t>107/2023</w:t>
        </w:r>
      </w:hyperlink>
      <w:r w:rsidRPr="00E1708A">
        <w:rPr>
          <w:rStyle w:val="TextoNormalCaracter"/>
        </w:rPr>
        <w:t xml:space="preserve">, f. 3; </w:t>
      </w:r>
      <w:hyperlink w:anchor="SENTENCIA_2023_108" w:history="1">
        <w:r w:rsidRPr="00E1708A">
          <w:rPr>
            <w:rStyle w:val="TextoNormalCaracter"/>
          </w:rPr>
          <w:t>108/2023</w:t>
        </w:r>
      </w:hyperlink>
      <w:r w:rsidRPr="00E1708A">
        <w:rPr>
          <w:rStyle w:val="TextoNormalCaracter"/>
        </w:rPr>
        <w:t xml:space="preserve">, f. 2; </w:t>
      </w:r>
      <w:hyperlink w:anchor="SENTENCIA_2023_109" w:history="1">
        <w:r w:rsidRPr="00E1708A">
          <w:rPr>
            <w:rStyle w:val="TextoNormalCaracter"/>
          </w:rPr>
          <w:t>109/2023</w:t>
        </w:r>
      </w:hyperlink>
      <w:r w:rsidRPr="00E1708A">
        <w:rPr>
          <w:rStyle w:val="TextoNormalCaracter"/>
        </w:rPr>
        <w:t xml:space="preserve">, f. 2; </w:t>
      </w:r>
      <w:hyperlink w:anchor="SENTENCIA_2023_110" w:history="1">
        <w:r w:rsidRPr="00E1708A">
          <w:rPr>
            <w:rStyle w:val="TextoNormalCaracter"/>
          </w:rPr>
          <w:t>110/2023</w:t>
        </w:r>
      </w:hyperlink>
      <w:r w:rsidRPr="00E1708A">
        <w:rPr>
          <w:rStyle w:val="TextoNormalCaracter"/>
        </w:rPr>
        <w:t xml:space="preserve">, ff. 1 y 2; </w:t>
      </w:r>
      <w:hyperlink w:anchor="SENTENCIA_2023_111" w:history="1">
        <w:r w:rsidRPr="00E1708A">
          <w:rPr>
            <w:rStyle w:val="TextoNormalCaracter"/>
          </w:rPr>
          <w:t>111/2023</w:t>
        </w:r>
      </w:hyperlink>
      <w:r w:rsidRPr="00E1708A">
        <w:rPr>
          <w:rStyle w:val="TextoNormalCaracter"/>
        </w:rPr>
        <w:t xml:space="preserve">, ff. 1 y 2; </w:t>
      </w:r>
      <w:hyperlink w:anchor="SENTENCIA_2023_112" w:history="1">
        <w:r w:rsidRPr="00E1708A">
          <w:rPr>
            <w:rStyle w:val="TextoNormalCaracter"/>
          </w:rPr>
          <w:t>112/2023</w:t>
        </w:r>
      </w:hyperlink>
      <w:r w:rsidRPr="00E1708A">
        <w:rPr>
          <w:rStyle w:val="TextoNormalCaracter"/>
        </w:rPr>
        <w:t xml:space="preserve">, ff. 1 y 2; </w:t>
      </w:r>
      <w:hyperlink w:anchor="SENTENCIA_2023_113" w:history="1">
        <w:r w:rsidRPr="00E1708A">
          <w:rPr>
            <w:rStyle w:val="TextoNormalCaracter"/>
          </w:rPr>
          <w:t>113/2023</w:t>
        </w:r>
      </w:hyperlink>
      <w:r w:rsidRPr="00E1708A">
        <w:rPr>
          <w:rStyle w:val="TextoNormalCaracter"/>
        </w:rPr>
        <w:t xml:space="preserve">, ff. 1 y 2; </w:t>
      </w:r>
      <w:hyperlink w:anchor="SENTENCIA_2023_114" w:history="1">
        <w:r w:rsidRPr="00E1708A">
          <w:rPr>
            <w:rStyle w:val="TextoNormalCaracter"/>
          </w:rPr>
          <w:t>114/2023</w:t>
        </w:r>
      </w:hyperlink>
      <w:r w:rsidRPr="00E1708A">
        <w:rPr>
          <w:rStyle w:val="TextoNormalCaracter"/>
        </w:rPr>
        <w:t xml:space="preserve">, ff. 1 y 2; </w:t>
      </w:r>
      <w:hyperlink w:anchor="SENTENCIA_2023_115" w:history="1">
        <w:r w:rsidRPr="00E1708A">
          <w:rPr>
            <w:rStyle w:val="TextoNormalCaracter"/>
          </w:rPr>
          <w:t>115/2023</w:t>
        </w:r>
      </w:hyperlink>
      <w:r w:rsidRPr="00E1708A">
        <w:rPr>
          <w:rStyle w:val="TextoNormalCaracter"/>
        </w:rPr>
        <w:t xml:space="preserve">, ff. 1 a 3; </w:t>
      </w:r>
      <w:hyperlink w:anchor="SENTENCIA_2023_117" w:history="1">
        <w:r w:rsidRPr="00E1708A">
          <w:rPr>
            <w:rStyle w:val="TextoNormalCaracter"/>
          </w:rPr>
          <w:t>117/2023</w:t>
        </w:r>
      </w:hyperlink>
      <w:r w:rsidRPr="00E1708A">
        <w:rPr>
          <w:rStyle w:val="TextoNormalCaracter"/>
        </w:rPr>
        <w:t xml:space="preserve">, f. 2; </w:t>
      </w:r>
      <w:hyperlink w:anchor="SENTENCIA_2023_118" w:history="1">
        <w:r w:rsidRPr="00E1708A">
          <w:rPr>
            <w:rStyle w:val="TextoNormalCaracter"/>
          </w:rPr>
          <w:t>118/2023</w:t>
        </w:r>
      </w:hyperlink>
      <w:r w:rsidRPr="00E1708A">
        <w:rPr>
          <w:rStyle w:val="TextoNormalCaracter"/>
        </w:rPr>
        <w:t xml:space="preserve">, f. 3; </w:t>
      </w:r>
      <w:hyperlink w:anchor="SENTENCIA_2023_119" w:history="1">
        <w:r w:rsidRPr="00E1708A">
          <w:rPr>
            <w:rStyle w:val="TextoNormalCaracter"/>
          </w:rPr>
          <w:t>119/2023</w:t>
        </w:r>
      </w:hyperlink>
      <w:r w:rsidRPr="00E1708A">
        <w:rPr>
          <w:rStyle w:val="TextoNormalCaracter"/>
        </w:rPr>
        <w:t xml:space="preserve">, f. 2; </w:t>
      </w:r>
      <w:hyperlink w:anchor="SENTENCIA_2023_120" w:history="1">
        <w:r w:rsidRPr="00E1708A">
          <w:rPr>
            <w:rStyle w:val="TextoNormalCaracter"/>
          </w:rPr>
          <w:t>120/2023</w:t>
        </w:r>
      </w:hyperlink>
      <w:r w:rsidRPr="00E1708A">
        <w:rPr>
          <w:rStyle w:val="TextoNormalCaracter"/>
        </w:rPr>
        <w:t xml:space="preserve">, f. 3; </w:t>
      </w:r>
      <w:hyperlink w:anchor="SENTENCIA_2023_121" w:history="1">
        <w:r w:rsidRPr="00E1708A">
          <w:rPr>
            <w:rStyle w:val="TextoNormalCaracter"/>
          </w:rPr>
          <w:t>121/2023</w:t>
        </w:r>
      </w:hyperlink>
      <w:r w:rsidRPr="00E1708A">
        <w:rPr>
          <w:rStyle w:val="TextoNormalCaracter"/>
        </w:rPr>
        <w:t>, f. 2.</w:t>
      </w:r>
    </w:p>
    <w:p w14:paraId="55512608" w14:textId="0665A5DF" w:rsidR="00E1708A" w:rsidRPr="00E1708A" w:rsidRDefault="00E1708A" w:rsidP="00E1708A">
      <w:pPr>
        <w:pStyle w:val="TextoNormalSangraFrancesa"/>
        <w:rPr>
          <w:rStyle w:val="TextoNormalCaracter"/>
        </w:rPr>
      </w:pPr>
      <w:r w:rsidRPr="00E1708A">
        <w:rPr>
          <w:rStyle w:val="TextoNormalCursivaCaracter"/>
        </w:rPr>
        <w:t xml:space="preserve">    Vulnerada, </w:t>
      </w:r>
      <w:r w:rsidRPr="00E1708A">
        <w:rPr>
          <w:rStyle w:val="TextoNormalCaracter"/>
        </w:rPr>
        <w:t xml:space="preserve">Sentencia </w:t>
      </w:r>
      <w:hyperlink w:anchor="SENTENCIA_2023_79" w:history="1">
        <w:r w:rsidRPr="00E1708A">
          <w:rPr>
            <w:rStyle w:val="TextoNormalCaracter"/>
          </w:rPr>
          <w:t>79/2023</w:t>
        </w:r>
      </w:hyperlink>
      <w:r w:rsidRPr="00E1708A">
        <w:rPr>
          <w:rStyle w:val="TextoNormalCaracter"/>
        </w:rPr>
        <w:t>, ff. 3 y 4.</w:t>
      </w:r>
    </w:p>
    <w:p w14:paraId="67CE351D" w14:textId="77777777" w:rsidR="00E1708A" w:rsidRPr="00E1708A" w:rsidRDefault="00E1708A" w:rsidP="00E1708A">
      <w:pPr>
        <w:pStyle w:val="TextoNormalSangraFrancesa"/>
        <w:rPr>
          <w:rStyle w:val="TextoNormalCaracter"/>
        </w:rPr>
      </w:pPr>
      <w:bookmarkStart w:id="1205" w:name="DESCRIPTORALFABETICO115"/>
      <w:r w:rsidRPr="00E1708A">
        <w:rPr>
          <w:rStyle w:val="TextoNormalNegritaCaracter"/>
        </w:rPr>
        <w:t>Libertad de información</w:t>
      </w:r>
      <w:bookmarkEnd w:id="1205"/>
      <w:r w:rsidRPr="00E1708A">
        <w:rPr>
          <w:rStyle w:val="TextoNormalCaracter"/>
        </w:rPr>
        <w:t xml:space="preserve">, </w:t>
      </w:r>
    </w:p>
    <w:p w14:paraId="3351EAD6" w14:textId="3021956C" w:rsidR="00E1708A" w:rsidRPr="00E1708A" w:rsidRDefault="00E1708A" w:rsidP="00E1708A">
      <w:pPr>
        <w:pStyle w:val="TextoNormalSangraFrancesa"/>
        <w:rPr>
          <w:rStyle w:val="TextoNormalCaracter"/>
        </w:rPr>
      </w:pPr>
      <w:r w:rsidRPr="00E1708A">
        <w:rPr>
          <w:rStyle w:val="TextoNormalCursivaCaracter"/>
        </w:rPr>
        <w:t xml:space="preserve">    Respetada, </w:t>
      </w:r>
      <w:r w:rsidRPr="00E1708A">
        <w:rPr>
          <w:rStyle w:val="TextoNormalCaracter"/>
        </w:rPr>
        <w:t xml:space="preserve">Sentencias </w:t>
      </w:r>
      <w:hyperlink w:anchor="SENTENCIA_2023_89" w:history="1">
        <w:r w:rsidRPr="00E1708A">
          <w:rPr>
            <w:rStyle w:val="TextoNormalCaracter"/>
          </w:rPr>
          <w:t>89/2023</w:t>
        </w:r>
      </w:hyperlink>
      <w:r w:rsidRPr="00E1708A">
        <w:rPr>
          <w:rStyle w:val="TextoNormalCaracter"/>
        </w:rPr>
        <w:t xml:space="preserve">; </w:t>
      </w:r>
      <w:hyperlink w:anchor="SENTENCIA_2023_97" w:history="1">
        <w:r w:rsidRPr="00E1708A">
          <w:rPr>
            <w:rStyle w:val="TextoNormalCaracter"/>
          </w:rPr>
          <w:t>97/2023</w:t>
        </w:r>
      </w:hyperlink>
      <w:r w:rsidRPr="00E1708A">
        <w:rPr>
          <w:rStyle w:val="TextoNormalCaracter"/>
        </w:rPr>
        <w:t xml:space="preserve">, f. 3; </w:t>
      </w:r>
      <w:hyperlink w:anchor="SENTENCIA_2023_98" w:history="1">
        <w:r w:rsidRPr="00E1708A">
          <w:rPr>
            <w:rStyle w:val="TextoNormalCaracter"/>
          </w:rPr>
          <w:t>98/2023</w:t>
        </w:r>
      </w:hyperlink>
      <w:r w:rsidRPr="00E1708A">
        <w:rPr>
          <w:rStyle w:val="TextoNormalCaracter"/>
        </w:rPr>
        <w:t xml:space="preserve">, ff. 1 y 2; </w:t>
      </w:r>
      <w:hyperlink w:anchor="SENTENCIA_2023_99" w:history="1">
        <w:r w:rsidRPr="00E1708A">
          <w:rPr>
            <w:rStyle w:val="TextoNormalCaracter"/>
          </w:rPr>
          <w:t>99/2023</w:t>
        </w:r>
      </w:hyperlink>
      <w:r w:rsidRPr="00E1708A">
        <w:rPr>
          <w:rStyle w:val="TextoNormalCaracter"/>
        </w:rPr>
        <w:t xml:space="preserve">, ff. 1 y 2; </w:t>
      </w:r>
      <w:hyperlink w:anchor="SENTENCIA_2023_100" w:history="1">
        <w:r w:rsidRPr="00E1708A">
          <w:rPr>
            <w:rStyle w:val="TextoNormalCaracter"/>
          </w:rPr>
          <w:t>100/2023</w:t>
        </w:r>
      </w:hyperlink>
      <w:r w:rsidRPr="00E1708A">
        <w:rPr>
          <w:rStyle w:val="TextoNormalCaracter"/>
        </w:rPr>
        <w:t xml:space="preserve">, ff. 1 y 2; </w:t>
      </w:r>
      <w:hyperlink w:anchor="SENTENCIA_2023_102" w:history="1">
        <w:r w:rsidRPr="00E1708A">
          <w:rPr>
            <w:rStyle w:val="TextoNormalCaracter"/>
          </w:rPr>
          <w:t>102/2023</w:t>
        </w:r>
      </w:hyperlink>
      <w:r w:rsidRPr="00E1708A">
        <w:rPr>
          <w:rStyle w:val="TextoNormalCaracter"/>
        </w:rPr>
        <w:t xml:space="preserve">, f. 3; </w:t>
      </w:r>
      <w:hyperlink w:anchor="SENTENCIA_2023_103" w:history="1">
        <w:r w:rsidRPr="00E1708A">
          <w:rPr>
            <w:rStyle w:val="TextoNormalCaracter"/>
          </w:rPr>
          <w:t>103/2023</w:t>
        </w:r>
      </w:hyperlink>
      <w:r w:rsidRPr="00E1708A">
        <w:rPr>
          <w:rStyle w:val="TextoNormalCaracter"/>
        </w:rPr>
        <w:t xml:space="preserve">, ff. 1 y 2; </w:t>
      </w:r>
      <w:hyperlink w:anchor="SENTENCIA_2023_104" w:history="1">
        <w:r w:rsidRPr="00E1708A">
          <w:rPr>
            <w:rStyle w:val="TextoNormalCaracter"/>
          </w:rPr>
          <w:t>104/2023</w:t>
        </w:r>
      </w:hyperlink>
      <w:r w:rsidRPr="00E1708A">
        <w:rPr>
          <w:rStyle w:val="TextoNormalCaracter"/>
        </w:rPr>
        <w:t xml:space="preserve">, f. 2; </w:t>
      </w:r>
      <w:hyperlink w:anchor="SENTENCIA_2023_105" w:history="1">
        <w:r w:rsidRPr="00E1708A">
          <w:rPr>
            <w:rStyle w:val="TextoNormalCaracter"/>
          </w:rPr>
          <w:t>105/2023</w:t>
        </w:r>
      </w:hyperlink>
      <w:r w:rsidRPr="00E1708A">
        <w:rPr>
          <w:rStyle w:val="TextoNormalCaracter"/>
        </w:rPr>
        <w:t xml:space="preserve">, f. 2; </w:t>
      </w:r>
      <w:hyperlink w:anchor="SENTENCIA_2023_106" w:history="1">
        <w:r w:rsidRPr="00E1708A">
          <w:rPr>
            <w:rStyle w:val="TextoNormalCaracter"/>
          </w:rPr>
          <w:t>106/2023</w:t>
        </w:r>
      </w:hyperlink>
      <w:r w:rsidRPr="00E1708A">
        <w:rPr>
          <w:rStyle w:val="TextoNormalCaracter"/>
        </w:rPr>
        <w:t xml:space="preserve">, f. 3; </w:t>
      </w:r>
      <w:hyperlink w:anchor="SENTENCIA_2023_107" w:history="1">
        <w:r w:rsidRPr="00E1708A">
          <w:rPr>
            <w:rStyle w:val="TextoNormalCaracter"/>
          </w:rPr>
          <w:t>107/2023</w:t>
        </w:r>
      </w:hyperlink>
      <w:r w:rsidRPr="00E1708A">
        <w:rPr>
          <w:rStyle w:val="TextoNormalCaracter"/>
        </w:rPr>
        <w:t xml:space="preserve">, f. 3; </w:t>
      </w:r>
      <w:hyperlink w:anchor="SENTENCIA_2023_108" w:history="1">
        <w:r w:rsidRPr="00E1708A">
          <w:rPr>
            <w:rStyle w:val="TextoNormalCaracter"/>
          </w:rPr>
          <w:t>108/2023</w:t>
        </w:r>
      </w:hyperlink>
      <w:r w:rsidRPr="00E1708A">
        <w:rPr>
          <w:rStyle w:val="TextoNormalCaracter"/>
        </w:rPr>
        <w:t xml:space="preserve">, f. 2; </w:t>
      </w:r>
      <w:hyperlink w:anchor="SENTENCIA_2023_109" w:history="1">
        <w:r w:rsidRPr="00E1708A">
          <w:rPr>
            <w:rStyle w:val="TextoNormalCaracter"/>
          </w:rPr>
          <w:t>109/2023</w:t>
        </w:r>
      </w:hyperlink>
      <w:r w:rsidRPr="00E1708A">
        <w:rPr>
          <w:rStyle w:val="TextoNormalCaracter"/>
        </w:rPr>
        <w:t xml:space="preserve">, f. 2; </w:t>
      </w:r>
      <w:hyperlink w:anchor="SENTENCIA_2023_110" w:history="1">
        <w:r w:rsidRPr="00E1708A">
          <w:rPr>
            <w:rStyle w:val="TextoNormalCaracter"/>
          </w:rPr>
          <w:t>110/2023</w:t>
        </w:r>
      </w:hyperlink>
      <w:r w:rsidRPr="00E1708A">
        <w:rPr>
          <w:rStyle w:val="TextoNormalCaracter"/>
        </w:rPr>
        <w:t xml:space="preserve">, ff. 1 y 2; </w:t>
      </w:r>
      <w:hyperlink w:anchor="SENTENCIA_2023_111" w:history="1">
        <w:r w:rsidRPr="00E1708A">
          <w:rPr>
            <w:rStyle w:val="TextoNormalCaracter"/>
          </w:rPr>
          <w:t>111/2023</w:t>
        </w:r>
      </w:hyperlink>
      <w:r w:rsidRPr="00E1708A">
        <w:rPr>
          <w:rStyle w:val="TextoNormalCaracter"/>
        </w:rPr>
        <w:t xml:space="preserve">, ff. 1 y 2; </w:t>
      </w:r>
      <w:hyperlink w:anchor="SENTENCIA_2023_112" w:history="1">
        <w:r w:rsidRPr="00E1708A">
          <w:rPr>
            <w:rStyle w:val="TextoNormalCaracter"/>
          </w:rPr>
          <w:t>112/2023</w:t>
        </w:r>
      </w:hyperlink>
      <w:r w:rsidRPr="00E1708A">
        <w:rPr>
          <w:rStyle w:val="TextoNormalCaracter"/>
        </w:rPr>
        <w:t xml:space="preserve">, ff. 1 y 2; </w:t>
      </w:r>
      <w:hyperlink w:anchor="SENTENCIA_2023_113" w:history="1">
        <w:r w:rsidRPr="00E1708A">
          <w:rPr>
            <w:rStyle w:val="TextoNormalCaracter"/>
          </w:rPr>
          <w:t>113/2023</w:t>
        </w:r>
      </w:hyperlink>
      <w:r w:rsidRPr="00E1708A">
        <w:rPr>
          <w:rStyle w:val="TextoNormalCaracter"/>
        </w:rPr>
        <w:t xml:space="preserve">, ff. 1 y 2; </w:t>
      </w:r>
      <w:hyperlink w:anchor="SENTENCIA_2023_114" w:history="1">
        <w:r w:rsidRPr="00E1708A">
          <w:rPr>
            <w:rStyle w:val="TextoNormalCaracter"/>
          </w:rPr>
          <w:t>114/2023</w:t>
        </w:r>
      </w:hyperlink>
      <w:r w:rsidRPr="00E1708A">
        <w:rPr>
          <w:rStyle w:val="TextoNormalCaracter"/>
        </w:rPr>
        <w:t xml:space="preserve">, ff. 1 y 2; </w:t>
      </w:r>
      <w:hyperlink w:anchor="SENTENCIA_2023_115" w:history="1">
        <w:r w:rsidRPr="00E1708A">
          <w:rPr>
            <w:rStyle w:val="TextoNormalCaracter"/>
          </w:rPr>
          <w:t>115/2023</w:t>
        </w:r>
      </w:hyperlink>
      <w:r w:rsidRPr="00E1708A">
        <w:rPr>
          <w:rStyle w:val="TextoNormalCaracter"/>
        </w:rPr>
        <w:t xml:space="preserve">, ff. 1 a 3; </w:t>
      </w:r>
      <w:hyperlink w:anchor="SENTENCIA_2023_117" w:history="1">
        <w:r w:rsidRPr="00E1708A">
          <w:rPr>
            <w:rStyle w:val="TextoNormalCaracter"/>
          </w:rPr>
          <w:t>117/2023</w:t>
        </w:r>
      </w:hyperlink>
      <w:r w:rsidRPr="00E1708A">
        <w:rPr>
          <w:rStyle w:val="TextoNormalCaracter"/>
        </w:rPr>
        <w:t xml:space="preserve">, f. 2; </w:t>
      </w:r>
      <w:hyperlink w:anchor="SENTENCIA_2023_118" w:history="1">
        <w:r w:rsidRPr="00E1708A">
          <w:rPr>
            <w:rStyle w:val="TextoNormalCaracter"/>
          </w:rPr>
          <w:t>118/2023</w:t>
        </w:r>
      </w:hyperlink>
      <w:r w:rsidRPr="00E1708A">
        <w:rPr>
          <w:rStyle w:val="TextoNormalCaracter"/>
        </w:rPr>
        <w:t xml:space="preserve">, f. 3; </w:t>
      </w:r>
      <w:hyperlink w:anchor="SENTENCIA_2023_119" w:history="1">
        <w:r w:rsidRPr="00E1708A">
          <w:rPr>
            <w:rStyle w:val="TextoNormalCaracter"/>
          </w:rPr>
          <w:t>119/2023</w:t>
        </w:r>
      </w:hyperlink>
      <w:r w:rsidRPr="00E1708A">
        <w:rPr>
          <w:rStyle w:val="TextoNormalCaracter"/>
        </w:rPr>
        <w:t xml:space="preserve">, f. 2; </w:t>
      </w:r>
      <w:hyperlink w:anchor="SENTENCIA_2023_120" w:history="1">
        <w:r w:rsidRPr="00E1708A">
          <w:rPr>
            <w:rStyle w:val="TextoNormalCaracter"/>
          </w:rPr>
          <w:t>120/2023</w:t>
        </w:r>
      </w:hyperlink>
      <w:r w:rsidRPr="00E1708A">
        <w:rPr>
          <w:rStyle w:val="TextoNormalCaracter"/>
        </w:rPr>
        <w:t xml:space="preserve">, f. 3; </w:t>
      </w:r>
      <w:hyperlink w:anchor="SENTENCIA_2023_121" w:history="1">
        <w:r w:rsidRPr="00E1708A">
          <w:rPr>
            <w:rStyle w:val="TextoNormalCaracter"/>
          </w:rPr>
          <w:t>121/2023</w:t>
        </w:r>
      </w:hyperlink>
      <w:r w:rsidRPr="00E1708A">
        <w:rPr>
          <w:rStyle w:val="TextoNormalCaracter"/>
        </w:rPr>
        <w:t>, f. 2.</w:t>
      </w:r>
    </w:p>
    <w:p w14:paraId="0ADF99C6" w14:textId="77777777" w:rsidR="00E1708A" w:rsidRPr="00E1708A" w:rsidRDefault="00E1708A" w:rsidP="00E1708A">
      <w:pPr>
        <w:pStyle w:val="TextoNormalSangraFrancesa"/>
        <w:rPr>
          <w:rStyle w:val="TextoNormalCaracter"/>
        </w:rPr>
      </w:pPr>
      <w:bookmarkStart w:id="1206" w:name="DESCRIPTORALFABETICO118"/>
      <w:r w:rsidRPr="00E1708A">
        <w:rPr>
          <w:rStyle w:val="TextoNormalNegritaCaracter"/>
        </w:rPr>
        <w:t>Libertad ideológica</w:t>
      </w:r>
      <w:bookmarkEnd w:id="1206"/>
      <w:r w:rsidRPr="00E1708A">
        <w:rPr>
          <w:rStyle w:val="TextoNormalCaracter"/>
        </w:rPr>
        <w:t xml:space="preserve">, </w:t>
      </w:r>
    </w:p>
    <w:p w14:paraId="32A5B202" w14:textId="3FEBDE0D" w:rsidR="00E1708A" w:rsidRPr="00E1708A" w:rsidRDefault="00E1708A" w:rsidP="00E1708A">
      <w:pPr>
        <w:pStyle w:val="TextoNormalSangraFrancesa"/>
        <w:rPr>
          <w:rStyle w:val="TextoNormalCaracter"/>
        </w:rPr>
      </w:pPr>
      <w:r w:rsidRPr="00E1708A">
        <w:rPr>
          <w:rStyle w:val="TextoNormalCursivaCaracter"/>
        </w:rPr>
        <w:t xml:space="preserve">    Vulnerada, </w:t>
      </w:r>
      <w:r w:rsidRPr="00E1708A">
        <w:rPr>
          <w:rStyle w:val="TextoNormalCaracter"/>
        </w:rPr>
        <w:t xml:space="preserve">Sentencia </w:t>
      </w:r>
      <w:hyperlink w:anchor="SENTENCIA_2023_79" w:history="1">
        <w:r w:rsidRPr="00E1708A">
          <w:rPr>
            <w:rStyle w:val="TextoNormalCaracter"/>
          </w:rPr>
          <w:t>79/2023</w:t>
        </w:r>
      </w:hyperlink>
      <w:r w:rsidRPr="00E1708A">
        <w:rPr>
          <w:rStyle w:val="TextoNormalCaracter"/>
        </w:rPr>
        <w:t>, ff. 3 y 4.</w:t>
      </w:r>
    </w:p>
    <w:p w14:paraId="461F06FE" w14:textId="271A98EB" w:rsidR="00E1708A" w:rsidRPr="00E1708A" w:rsidRDefault="00E1708A" w:rsidP="00E1708A">
      <w:pPr>
        <w:pStyle w:val="TextoNormalSangraFrancesa"/>
        <w:rPr>
          <w:rStyle w:val="TextoNormalCaracter"/>
        </w:rPr>
      </w:pPr>
      <w:bookmarkStart w:id="1207" w:name="DESCRIPTORALFABETICO327"/>
      <w:r w:rsidRPr="00E1708A">
        <w:rPr>
          <w:rStyle w:val="TextoNormalNegritaCaracter"/>
        </w:rPr>
        <w:t>Licencias de comunicación audiovisual de radiodifusión</w:t>
      </w:r>
      <w:bookmarkEnd w:id="1207"/>
      <w:r w:rsidRPr="00E1708A">
        <w:rPr>
          <w:rStyle w:val="TextoNormalCaracter"/>
        </w:rPr>
        <w:t xml:space="preserve">, Sentencias </w:t>
      </w:r>
      <w:hyperlink w:anchor="SENTENCIA_2023_89" w:history="1">
        <w:r w:rsidRPr="00E1708A">
          <w:rPr>
            <w:rStyle w:val="TextoNormalCaracter"/>
          </w:rPr>
          <w:t>89/2023</w:t>
        </w:r>
      </w:hyperlink>
      <w:r w:rsidRPr="00E1708A">
        <w:rPr>
          <w:rStyle w:val="TextoNormalCaracter"/>
        </w:rPr>
        <w:t xml:space="preserve">, ff.1 a 4, VP I, VP II, VP III; </w:t>
      </w:r>
      <w:hyperlink w:anchor="SENTENCIA_2023_97" w:history="1">
        <w:r w:rsidRPr="00E1708A">
          <w:rPr>
            <w:rStyle w:val="TextoNormalCaracter"/>
          </w:rPr>
          <w:t>97/2023</w:t>
        </w:r>
      </w:hyperlink>
      <w:r w:rsidRPr="00E1708A">
        <w:rPr>
          <w:rStyle w:val="TextoNormalCaracter"/>
        </w:rPr>
        <w:t xml:space="preserve">, ff. 1 a 3; </w:t>
      </w:r>
      <w:hyperlink w:anchor="SENTENCIA_2023_98" w:history="1">
        <w:r w:rsidRPr="00E1708A">
          <w:rPr>
            <w:rStyle w:val="TextoNormalCaracter"/>
          </w:rPr>
          <w:t>98/2023</w:t>
        </w:r>
      </w:hyperlink>
      <w:r w:rsidRPr="00E1708A">
        <w:rPr>
          <w:rStyle w:val="TextoNormalCaracter"/>
        </w:rPr>
        <w:t xml:space="preserve">, ff. 1 y 2; </w:t>
      </w:r>
      <w:hyperlink w:anchor="SENTENCIA_2023_99" w:history="1">
        <w:r w:rsidRPr="00E1708A">
          <w:rPr>
            <w:rStyle w:val="TextoNormalCaracter"/>
          </w:rPr>
          <w:t>99/2023</w:t>
        </w:r>
      </w:hyperlink>
      <w:r w:rsidRPr="00E1708A">
        <w:rPr>
          <w:rStyle w:val="TextoNormalCaracter"/>
        </w:rPr>
        <w:t xml:space="preserve">, ff. 1 y 2; </w:t>
      </w:r>
      <w:hyperlink w:anchor="SENTENCIA_2023_100" w:history="1">
        <w:r w:rsidRPr="00E1708A">
          <w:rPr>
            <w:rStyle w:val="TextoNormalCaracter"/>
          </w:rPr>
          <w:t>100/2023</w:t>
        </w:r>
      </w:hyperlink>
      <w:r w:rsidRPr="00E1708A">
        <w:rPr>
          <w:rStyle w:val="TextoNormalCaracter"/>
        </w:rPr>
        <w:t xml:space="preserve">, ff. 1 y 2; </w:t>
      </w:r>
      <w:hyperlink w:anchor="SENTENCIA_2023_102" w:history="1">
        <w:r w:rsidRPr="00E1708A">
          <w:rPr>
            <w:rStyle w:val="TextoNormalCaracter"/>
          </w:rPr>
          <w:t>102/2023</w:t>
        </w:r>
      </w:hyperlink>
      <w:r w:rsidRPr="00E1708A">
        <w:rPr>
          <w:rStyle w:val="TextoNormalCaracter"/>
        </w:rPr>
        <w:t xml:space="preserve">, ff. 1 a 3; </w:t>
      </w:r>
      <w:hyperlink w:anchor="SENTENCIA_2023_103" w:history="1">
        <w:r w:rsidRPr="00E1708A">
          <w:rPr>
            <w:rStyle w:val="TextoNormalCaracter"/>
          </w:rPr>
          <w:t>103/2023</w:t>
        </w:r>
      </w:hyperlink>
      <w:r w:rsidRPr="00E1708A">
        <w:rPr>
          <w:rStyle w:val="TextoNormalCaracter"/>
        </w:rPr>
        <w:t xml:space="preserve">, ff. 1 y 2; </w:t>
      </w:r>
      <w:hyperlink w:anchor="SENTENCIA_2023_104" w:history="1">
        <w:r w:rsidRPr="00E1708A">
          <w:rPr>
            <w:rStyle w:val="TextoNormalCaracter"/>
          </w:rPr>
          <w:t>104/2023</w:t>
        </w:r>
      </w:hyperlink>
      <w:r w:rsidRPr="00E1708A">
        <w:rPr>
          <w:rStyle w:val="TextoNormalCaracter"/>
        </w:rPr>
        <w:t xml:space="preserve">, ff. 1 y 2; </w:t>
      </w:r>
      <w:hyperlink w:anchor="SENTENCIA_2023_105" w:history="1">
        <w:r w:rsidRPr="00E1708A">
          <w:rPr>
            <w:rStyle w:val="TextoNormalCaracter"/>
          </w:rPr>
          <w:t>105/2023</w:t>
        </w:r>
      </w:hyperlink>
      <w:r w:rsidRPr="00E1708A">
        <w:rPr>
          <w:rStyle w:val="TextoNormalCaracter"/>
        </w:rPr>
        <w:t xml:space="preserve">, ff. 1 y 2; </w:t>
      </w:r>
      <w:hyperlink w:anchor="SENTENCIA_2023_106" w:history="1">
        <w:r w:rsidRPr="00E1708A">
          <w:rPr>
            <w:rStyle w:val="TextoNormalCaracter"/>
          </w:rPr>
          <w:t>106/2023</w:t>
        </w:r>
      </w:hyperlink>
      <w:r w:rsidRPr="00E1708A">
        <w:rPr>
          <w:rStyle w:val="TextoNormalCaracter"/>
        </w:rPr>
        <w:t xml:space="preserve">, ff. 1 a 3; </w:t>
      </w:r>
      <w:hyperlink w:anchor="SENTENCIA_2023_107" w:history="1">
        <w:r w:rsidRPr="00E1708A">
          <w:rPr>
            <w:rStyle w:val="TextoNormalCaracter"/>
          </w:rPr>
          <w:t>107/2023</w:t>
        </w:r>
      </w:hyperlink>
      <w:r w:rsidRPr="00E1708A">
        <w:rPr>
          <w:rStyle w:val="TextoNormalCaracter"/>
        </w:rPr>
        <w:t xml:space="preserve">, ff. 1 y 3; </w:t>
      </w:r>
      <w:hyperlink w:anchor="SENTENCIA_2023_108" w:history="1">
        <w:r w:rsidRPr="00E1708A">
          <w:rPr>
            <w:rStyle w:val="TextoNormalCaracter"/>
          </w:rPr>
          <w:t>108/2023</w:t>
        </w:r>
      </w:hyperlink>
      <w:r w:rsidRPr="00E1708A">
        <w:rPr>
          <w:rStyle w:val="TextoNormalCaracter"/>
        </w:rPr>
        <w:t xml:space="preserve">, ff. 1 y 2; </w:t>
      </w:r>
      <w:hyperlink w:anchor="SENTENCIA_2023_109" w:history="1">
        <w:r w:rsidRPr="00E1708A">
          <w:rPr>
            <w:rStyle w:val="TextoNormalCaracter"/>
          </w:rPr>
          <w:t>109/2023</w:t>
        </w:r>
      </w:hyperlink>
      <w:r w:rsidRPr="00E1708A">
        <w:rPr>
          <w:rStyle w:val="TextoNormalCaracter"/>
        </w:rPr>
        <w:t xml:space="preserve">, ff. 1 y 2; </w:t>
      </w:r>
      <w:hyperlink w:anchor="SENTENCIA_2023_110" w:history="1">
        <w:r w:rsidRPr="00E1708A">
          <w:rPr>
            <w:rStyle w:val="TextoNormalCaracter"/>
          </w:rPr>
          <w:t>110/2023</w:t>
        </w:r>
      </w:hyperlink>
      <w:r w:rsidRPr="00E1708A">
        <w:rPr>
          <w:rStyle w:val="TextoNormalCaracter"/>
        </w:rPr>
        <w:t xml:space="preserve">, ff. 1 y 2; </w:t>
      </w:r>
      <w:hyperlink w:anchor="SENTENCIA_2023_111" w:history="1">
        <w:r w:rsidRPr="00E1708A">
          <w:rPr>
            <w:rStyle w:val="TextoNormalCaracter"/>
          </w:rPr>
          <w:t>111/2023</w:t>
        </w:r>
      </w:hyperlink>
      <w:r w:rsidRPr="00E1708A">
        <w:rPr>
          <w:rStyle w:val="TextoNormalCaracter"/>
        </w:rPr>
        <w:t xml:space="preserve">, ff. 1 y 2; </w:t>
      </w:r>
      <w:hyperlink w:anchor="SENTENCIA_2023_112" w:history="1">
        <w:r w:rsidRPr="00E1708A">
          <w:rPr>
            <w:rStyle w:val="TextoNormalCaracter"/>
          </w:rPr>
          <w:t>112/2023</w:t>
        </w:r>
      </w:hyperlink>
      <w:r w:rsidRPr="00E1708A">
        <w:rPr>
          <w:rStyle w:val="TextoNormalCaracter"/>
        </w:rPr>
        <w:t xml:space="preserve">, ff. 1 y 2; </w:t>
      </w:r>
      <w:hyperlink w:anchor="SENTENCIA_2023_113" w:history="1">
        <w:r w:rsidRPr="00E1708A">
          <w:rPr>
            <w:rStyle w:val="TextoNormalCaracter"/>
          </w:rPr>
          <w:t>113/2023</w:t>
        </w:r>
      </w:hyperlink>
      <w:r w:rsidRPr="00E1708A">
        <w:rPr>
          <w:rStyle w:val="TextoNormalCaracter"/>
        </w:rPr>
        <w:t xml:space="preserve">, ff. 1 y 2; </w:t>
      </w:r>
      <w:hyperlink w:anchor="SENTENCIA_2023_114" w:history="1">
        <w:r w:rsidRPr="00E1708A">
          <w:rPr>
            <w:rStyle w:val="TextoNormalCaracter"/>
          </w:rPr>
          <w:t>114/2023</w:t>
        </w:r>
      </w:hyperlink>
      <w:r w:rsidRPr="00E1708A">
        <w:rPr>
          <w:rStyle w:val="TextoNormalCaracter"/>
        </w:rPr>
        <w:t xml:space="preserve">, ff. 1 y 2; </w:t>
      </w:r>
      <w:hyperlink w:anchor="SENTENCIA_2023_115" w:history="1">
        <w:r w:rsidRPr="00E1708A">
          <w:rPr>
            <w:rStyle w:val="TextoNormalCaracter"/>
          </w:rPr>
          <w:t>115/2023</w:t>
        </w:r>
      </w:hyperlink>
      <w:r w:rsidRPr="00E1708A">
        <w:rPr>
          <w:rStyle w:val="TextoNormalCaracter"/>
        </w:rPr>
        <w:t xml:space="preserve">, ff. 1 y 3; </w:t>
      </w:r>
      <w:hyperlink w:anchor="SENTENCIA_2023_117" w:history="1">
        <w:r w:rsidRPr="00E1708A">
          <w:rPr>
            <w:rStyle w:val="TextoNormalCaracter"/>
          </w:rPr>
          <w:t>117/2023</w:t>
        </w:r>
      </w:hyperlink>
      <w:r w:rsidRPr="00E1708A">
        <w:rPr>
          <w:rStyle w:val="TextoNormalCaracter"/>
        </w:rPr>
        <w:t xml:space="preserve">, ff. 1 y 2; </w:t>
      </w:r>
      <w:hyperlink w:anchor="SENTENCIA_2023_118" w:history="1">
        <w:r w:rsidRPr="00E1708A">
          <w:rPr>
            <w:rStyle w:val="TextoNormalCaracter"/>
          </w:rPr>
          <w:t>118/2023</w:t>
        </w:r>
      </w:hyperlink>
      <w:r w:rsidRPr="00E1708A">
        <w:rPr>
          <w:rStyle w:val="TextoNormalCaracter"/>
        </w:rPr>
        <w:t xml:space="preserve">, ff. 1 y 3; </w:t>
      </w:r>
      <w:hyperlink w:anchor="SENTENCIA_2023_119" w:history="1">
        <w:r w:rsidRPr="00E1708A">
          <w:rPr>
            <w:rStyle w:val="TextoNormalCaracter"/>
          </w:rPr>
          <w:t>119/2023</w:t>
        </w:r>
      </w:hyperlink>
      <w:r w:rsidRPr="00E1708A">
        <w:rPr>
          <w:rStyle w:val="TextoNormalCaracter"/>
        </w:rPr>
        <w:t xml:space="preserve">, ff. 1 y 2; </w:t>
      </w:r>
      <w:hyperlink w:anchor="SENTENCIA_2023_120" w:history="1">
        <w:r w:rsidRPr="00E1708A">
          <w:rPr>
            <w:rStyle w:val="TextoNormalCaracter"/>
          </w:rPr>
          <w:t>120/2023</w:t>
        </w:r>
      </w:hyperlink>
      <w:r w:rsidRPr="00E1708A">
        <w:rPr>
          <w:rStyle w:val="TextoNormalCaracter"/>
        </w:rPr>
        <w:t xml:space="preserve">, ff. 1 y 3; </w:t>
      </w:r>
      <w:hyperlink w:anchor="SENTENCIA_2023_121" w:history="1">
        <w:r w:rsidRPr="00E1708A">
          <w:rPr>
            <w:rStyle w:val="TextoNormalCaracter"/>
          </w:rPr>
          <w:t>121/2023</w:t>
        </w:r>
      </w:hyperlink>
      <w:r w:rsidRPr="00E1708A">
        <w:rPr>
          <w:rStyle w:val="TextoNormalCaracter"/>
        </w:rPr>
        <w:t>, ff. 1 y 2.</w:t>
      </w:r>
    </w:p>
    <w:p w14:paraId="534B4A0A" w14:textId="6AF5575E" w:rsidR="00E1708A" w:rsidRPr="00E1708A" w:rsidRDefault="00E1708A" w:rsidP="00E1708A">
      <w:pPr>
        <w:pStyle w:val="TextoNormalSangraFrancesa"/>
        <w:rPr>
          <w:rStyle w:val="TextoNormalCaracter"/>
        </w:rPr>
      </w:pPr>
      <w:bookmarkStart w:id="1208" w:name="DESCRIPTORALFABETICO128"/>
      <w:r w:rsidRPr="00E1708A">
        <w:rPr>
          <w:rStyle w:val="TextoNormalNegritaCaracter"/>
        </w:rPr>
        <w:t>Limitación de derechos fundamentales</w:t>
      </w:r>
      <w:bookmarkEnd w:id="1208"/>
      <w:r w:rsidRPr="00E1708A">
        <w:rPr>
          <w:rStyle w:val="TextoNormalCaracter"/>
        </w:rPr>
        <w:t xml:space="preserve">, Sentencias </w:t>
      </w:r>
      <w:hyperlink w:anchor="SENTENCIA_2023_84" w:history="1">
        <w:r w:rsidRPr="00E1708A">
          <w:rPr>
            <w:rStyle w:val="TextoNormalCaracter"/>
          </w:rPr>
          <w:t>84/2023</w:t>
        </w:r>
      </w:hyperlink>
      <w:r w:rsidRPr="00E1708A">
        <w:rPr>
          <w:rStyle w:val="TextoNormalCaracter"/>
        </w:rPr>
        <w:t xml:space="preserve">, ff. 2 a 4; </w:t>
      </w:r>
      <w:hyperlink w:anchor="SENTENCIA_2023_88" w:history="1">
        <w:r w:rsidRPr="00E1708A">
          <w:rPr>
            <w:rStyle w:val="TextoNormalCaracter"/>
          </w:rPr>
          <w:t>88/2023</w:t>
        </w:r>
      </w:hyperlink>
      <w:r w:rsidRPr="00E1708A">
        <w:rPr>
          <w:rStyle w:val="TextoNormalCaracter"/>
        </w:rPr>
        <w:t xml:space="preserve">, ff. 4 y 5; </w:t>
      </w:r>
      <w:hyperlink w:anchor="SENTENCIA_2023_164" w:history="1">
        <w:r w:rsidRPr="00E1708A">
          <w:rPr>
            <w:rStyle w:val="TextoNormalCaracter"/>
          </w:rPr>
          <w:t>164/2023</w:t>
        </w:r>
      </w:hyperlink>
      <w:r w:rsidRPr="00E1708A">
        <w:rPr>
          <w:rStyle w:val="TextoNormalCaracter"/>
        </w:rPr>
        <w:t>, ff. 2 y 3, VP I, VP II.</w:t>
      </w:r>
    </w:p>
    <w:p w14:paraId="633B4A0B" w14:textId="48E37B11" w:rsidR="00E1708A" w:rsidRPr="00E1708A" w:rsidRDefault="00E1708A" w:rsidP="00E1708A">
      <w:pPr>
        <w:pStyle w:val="TextoNormalSangraFrancesa"/>
        <w:rPr>
          <w:rStyle w:val="TextoNormalCaracter"/>
        </w:rPr>
      </w:pPr>
      <w:bookmarkStart w:id="1209" w:name="DESCRIPTORALFABETICO342"/>
      <w:r w:rsidRPr="00E1708A">
        <w:rPr>
          <w:rStyle w:val="TextoNormalNegritaCaracter"/>
        </w:rPr>
        <w:t>Límite material de los decretos-leyes</w:t>
      </w:r>
      <w:bookmarkEnd w:id="1209"/>
      <w:r w:rsidRPr="00E1708A">
        <w:rPr>
          <w:rStyle w:val="TextoNormalCaracter"/>
        </w:rPr>
        <w:t xml:space="preserve">, Sentencia </w:t>
      </w:r>
      <w:hyperlink w:anchor="SENTENCIA_2023_145" w:history="1">
        <w:r w:rsidRPr="00E1708A">
          <w:rPr>
            <w:rStyle w:val="TextoNormalCaracter"/>
          </w:rPr>
          <w:t>145/2023</w:t>
        </w:r>
      </w:hyperlink>
      <w:r w:rsidRPr="00E1708A">
        <w:rPr>
          <w:rStyle w:val="TextoNormalCaracter"/>
        </w:rPr>
        <w:t>, ff. 1, 2, 8.</w:t>
      </w:r>
    </w:p>
    <w:p w14:paraId="7B049F5D" w14:textId="00F5CE66" w:rsidR="00E1708A" w:rsidRPr="00E1708A" w:rsidRDefault="00E1708A" w:rsidP="00E1708A">
      <w:pPr>
        <w:pStyle w:val="TextoNormalSangraFrancesa"/>
        <w:rPr>
          <w:rStyle w:val="TextoNormalCaracter"/>
        </w:rPr>
      </w:pPr>
      <w:bookmarkStart w:id="1210" w:name="DESCRIPTORALFABETICO19"/>
      <w:r w:rsidRPr="00E1708A">
        <w:rPr>
          <w:rStyle w:val="TextoNormalNegritaCaracter"/>
        </w:rPr>
        <w:t>Límites a la autonomía financiera</w:t>
      </w:r>
      <w:bookmarkEnd w:id="1210"/>
      <w:r w:rsidRPr="00E1708A">
        <w:rPr>
          <w:rStyle w:val="TextoNormalCaracter"/>
        </w:rPr>
        <w:t xml:space="preserve">, Sentencia </w:t>
      </w:r>
      <w:hyperlink w:anchor="SENTENCIA_2023_143" w:history="1">
        <w:r w:rsidRPr="00E1708A">
          <w:rPr>
            <w:rStyle w:val="TextoNormalCaracter"/>
          </w:rPr>
          <w:t>143/2023</w:t>
        </w:r>
      </w:hyperlink>
      <w:r w:rsidRPr="00E1708A">
        <w:rPr>
          <w:rStyle w:val="TextoNormalCaracter"/>
        </w:rPr>
        <w:t>, f. 3.</w:t>
      </w:r>
    </w:p>
    <w:p w14:paraId="02148286" w14:textId="5D48006A" w:rsidR="00E1708A" w:rsidRPr="00E1708A" w:rsidRDefault="00E1708A" w:rsidP="00E1708A">
      <w:pPr>
        <w:pStyle w:val="TextoNormalSangraFrancesa"/>
        <w:rPr>
          <w:rStyle w:val="TextoNormalCaracter"/>
        </w:rPr>
      </w:pPr>
      <w:bookmarkStart w:id="1211" w:name="DESCRIPTORALFABETICO114"/>
      <w:r w:rsidRPr="00E1708A">
        <w:rPr>
          <w:rStyle w:val="TextoNormalNegritaCaracter"/>
        </w:rPr>
        <w:t>Límites a la libertad de expresión</w:t>
      </w:r>
      <w:bookmarkEnd w:id="1211"/>
      <w:r w:rsidRPr="00E1708A">
        <w:rPr>
          <w:rStyle w:val="TextoNormalCaracter"/>
        </w:rPr>
        <w:t xml:space="preserve">, Sentencias </w:t>
      </w:r>
      <w:hyperlink w:anchor="SENTENCIA_2023_79" w:history="1">
        <w:r w:rsidRPr="00E1708A">
          <w:rPr>
            <w:rStyle w:val="TextoNormalCaracter"/>
          </w:rPr>
          <w:t>79/2023</w:t>
        </w:r>
      </w:hyperlink>
      <w:r w:rsidRPr="00E1708A">
        <w:rPr>
          <w:rStyle w:val="TextoNormalCaracter"/>
        </w:rPr>
        <w:t xml:space="preserve">, f. 4; </w:t>
      </w:r>
      <w:hyperlink w:anchor="SENTENCIA_2023_83" w:history="1">
        <w:r w:rsidRPr="00E1708A">
          <w:rPr>
            <w:rStyle w:val="TextoNormalCaracter"/>
          </w:rPr>
          <w:t>83/2023</w:t>
        </w:r>
      </w:hyperlink>
      <w:r w:rsidRPr="00E1708A">
        <w:rPr>
          <w:rStyle w:val="TextoNormalCaracter"/>
        </w:rPr>
        <w:t>, ff. 4 a 6, VP I, VP II.</w:t>
      </w:r>
    </w:p>
    <w:p w14:paraId="5B2674D9" w14:textId="025225BA" w:rsidR="00E1708A" w:rsidRPr="00E1708A" w:rsidRDefault="00E1708A" w:rsidP="00E1708A">
      <w:pPr>
        <w:pStyle w:val="TextoNormalSangraFrancesa"/>
        <w:rPr>
          <w:rStyle w:val="TextoNormalCaracter"/>
        </w:rPr>
      </w:pPr>
      <w:bookmarkStart w:id="1212" w:name="DESCRIPTORALFABETICO221"/>
      <w:r w:rsidRPr="00E1708A">
        <w:rPr>
          <w:rStyle w:val="TextoNormalNegritaCaracter"/>
        </w:rPr>
        <w:t>Límites de la potestad legislativa</w:t>
      </w:r>
      <w:bookmarkEnd w:id="1212"/>
      <w:r w:rsidRPr="00E1708A">
        <w:rPr>
          <w:rStyle w:val="TextoNormalCaracter"/>
        </w:rPr>
        <w:t xml:space="preserve">, Sentencia </w:t>
      </w:r>
      <w:hyperlink w:anchor="SENTENCIA_2023_128" w:history="1">
        <w:r w:rsidRPr="00E1708A">
          <w:rPr>
            <w:rStyle w:val="TextoNormalCaracter"/>
          </w:rPr>
          <w:t>128/2023</w:t>
        </w:r>
      </w:hyperlink>
      <w:r w:rsidRPr="00E1708A">
        <w:rPr>
          <w:rStyle w:val="TextoNormalCaracter"/>
        </w:rPr>
        <w:t>, ff. 4 y 5, VP.</w:t>
      </w:r>
    </w:p>
    <w:p w14:paraId="220B0531" w14:textId="2B684B88" w:rsidR="00E1708A" w:rsidRDefault="00E1708A" w:rsidP="00E1708A">
      <w:pPr>
        <w:pStyle w:val="TextoNormalSangraFrancesa"/>
      </w:pPr>
    </w:p>
    <w:p w14:paraId="1162928E" w14:textId="77777777" w:rsidR="00E1708A" w:rsidRDefault="00E1708A" w:rsidP="00E1708A">
      <w:pPr>
        <w:pStyle w:val="TextoNormalSangraFrancesa"/>
      </w:pPr>
    </w:p>
    <w:p w14:paraId="07E487AC" w14:textId="77777777" w:rsidR="00E1708A" w:rsidRDefault="00E1708A" w:rsidP="00E1708A">
      <w:pPr>
        <w:pStyle w:val="TextoNormalNegritaCentrado"/>
      </w:pPr>
      <w:r>
        <w:t>M</w:t>
      </w:r>
    </w:p>
    <w:p w14:paraId="49504833" w14:textId="27EE9C07" w:rsidR="00E1708A" w:rsidRDefault="00E1708A" w:rsidP="00E1708A">
      <w:pPr>
        <w:pStyle w:val="TextoNormalNegritaCentrado"/>
      </w:pPr>
    </w:p>
    <w:p w14:paraId="0C679DBC" w14:textId="0B846890" w:rsidR="00E1708A" w:rsidRPr="00E1708A" w:rsidRDefault="00E1708A" w:rsidP="00E1708A">
      <w:pPr>
        <w:pStyle w:val="TextoNormalSangraFrancesa"/>
        <w:rPr>
          <w:rStyle w:val="TextoNormalCaracter"/>
        </w:rPr>
      </w:pPr>
      <w:bookmarkStart w:id="1213" w:name="DESCRIPTORALFABETICO440"/>
      <w:r w:rsidRPr="00E1708A">
        <w:rPr>
          <w:rStyle w:val="TextoNormalNegritaCaracter"/>
        </w:rPr>
        <w:t>Madrid</w:t>
      </w:r>
      <w:bookmarkEnd w:id="1213"/>
      <w:r w:rsidRPr="00E1708A">
        <w:rPr>
          <w:rStyle w:val="TextoNormalCaracter"/>
        </w:rPr>
        <w:t xml:space="preserve">, Auto </w:t>
      </w:r>
      <w:hyperlink w:anchor="AUTO_2023_445" w:history="1">
        <w:r w:rsidRPr="00E1708A">
          <w:rPr>
            <w:rStyle w:val="TextoNormalCaracter"/>
          </w:rPr>
          <w:t>445/2023</w:t>
        </w:r>
      </w:hyperlink>
      <w:r w:rsidRPr="00E1708A">
        <w:rPr>
          <w:rStyle w:val="TextoNormalCaracter"/>
        </w:rPr>
        <w:t>, ff. 1 a 3.</w:t>
      </w:r>
    </w:p>
    <w:p w14:paraId="779D0200" w14:textId="5610CF34" w:rsidR="00E1708A" w:rsidRPr="00E1708A" w:rsidRDefault="00E1708A" w:rsidP="00E1708A">
      <w:pPr>
        <w:pStyle w:val="TextoNormalSangraFrancesa"/>
        <w:rPr>
          <w:rStyle w:val="TextoNormalCaracter"/>
        </w:rPr>
      </w:pPr>
      <w:bookmarkStart w:id="1214" w:name="DESCRIPTORALFABETICO147"/>
      <w:r w:rsidRPr="00E1708A">
        <w:rPr>
          <w:rStyle w:val="TextoNormalNegritaCaracter"/>
        </w:rPr>
        <w:t>Mantenimiento de la suspensión de disposiciones de las Comunidades Autónomas</w:t>
      </w:r>
      <w:bookmarkEnd w:id="1214"/>
      <w:r w:rsidRPr="00E1708A">
        <w:rPr>
          <w:rStyle w:val="TextoNormalCaracter"/>
        </w:rPr>
        <w:t xml:space="preserve">, Auto </w:t>
      </w:r>
      <w:hyperlink w:anchor="AUTO_2023_445" w:history="1">
        <w:r w:rsidRPr="00E1708A">
          <w:rPr>
            <w:rStyle w:val="TextoNormalCaracter"/>
          </w:rPr>
          <w:t>445/2023</w:t>
        </w:r>
      </w:hyperlink>
      <w:r w:rsidRPr="00E1708A">
        <w:rPr>
          <w:rStyle w:val="TextoNormalCaracter"/>
        </w:rPr>
        <w:t>, ff. 1 a 3.</w:t>
      </w:r>
    </w:p>
    <w:p w14:paraId="6B946B99" w14:textId="2A33E3CB" w:rsidR="00E1708A" w:rsidRPr="00E1708A" w:rsidRDefault="00E1708A" w:rsidP="00E1708A">
      <w:pPr>
        <w:pStyle w:val="TextoNormalSangraFrancesa"/>
        <w:rPr>
          <w:rStyle w:val="TextoNormalCaracter"/>
        </w:rPr>
      </w:pPr>
      <w:bookmarkStart w:id="1215" w:name="DESCRIPTORALFABETICO141"/>
      <w:r w:rsidRPr="00E1708A">
        <w:rPr>
          <w:rStyle w:val="TextoNormalNegritaCaracter"/>
        </w:rPr>
        <w:t>Mantenimiento de la suspensión del acto que origina el amparo</w:t>
      </w:r>
      <w:bookmarkEnd w:id="1215"/>
      <w:r w:rsidRPr="00E1708A">
        <w:rPr>
          <w:rStyle w:val="TextoNormalCaracter"/>
        </w:rPr>
        <w:t xml:space="preserve">, Auto </w:t>
      </w:r>
      <w:hyperlink w:anchor="AUTO_2023_482" w:history="1">
        <w:r w:rsidRPr="00E1708A">
          <w:rPr>
            <w:rStyle w:val="TextoNormalCaracter"/>
          </w:rPr>
          <w:t>482/2023</w:t>
        </w:r>
      </w:hyperlink>
      <w:r w:rsidRPr="00E1708A">
        <w:rPr>
          <w:rStyle w:val="TextoNormalCaracter"/>
        </w:rPr>
        <w:t>, ff. 2  y 3.</w:t>
      </w:r>
    </w:p>
    <w:p w14:paraId="115783B0" w14:textId="4666CD4F" w:rsidR="00E1708A" w:rsidRPr="00E1708A" w:rsidRDefault="00E1708A" w:rsidP="00E1708A">
      <w:pPr>
        <w:pStyle w:val="TextoNormalSangraFrancesa"/>
        <w:rPr>
          <w:rStyle w:val="TextoNormalCaracter"/>
        </w:rPr>
      </w:pPr>
      <w:bookmarkStart w:id="1216" w:name="DESCRIPTORALFABETICO430"/>
      <w:r w:rsidRPr="00E1708A">
        <w:rPr>
          <w:rStyle w:val="TextoNormalNegritaCaracter"/>
        </w:rPr>
        <w:t>Mantenimiento de prisión provisional sin prórroga expresa</w:t>
      </w:r>
      <w:bookmarkEnd w:id="1216"/>
      <w:r w:rsidRPr="00E1708A">
        <w:rPr>
          <w:rStyle w:val="TextoNormalCaracter"/>
        </w:rPr>
        <w:t xml:space="preserve">, Sentencia </w:t>
      </w:r>
      <w:hyperlink w:anchor="SENTENCIA_2023_136" w:history="1">
        <w:r w:rsidRPr="00E1708A">
          <w:rPr>
            <w:rStyle w:val="TextoNormalCaracter"/>
          </w:rPr>
          <w:t>136/2023</w:t>
        </w:r>
      </w:hyperlink>
      <w:r w:rsidRPr="00E1708A">
        <w:rPr>
          <w:rStyle w:val="TextoNormalCaracter"/>
        </w:rPr>
        <w:t>, ff.1, 5, 6.</w:t>
      </w:r>
    </w:p>
    <w:p w14:paraId="37BFA168" w14:textId="11D516D0" w:rsidR="00E1708A" w:rsidRPr="00E1708A" w:rsidRDefault="00E1708A" w:rsidP="00E1708A">
      <w:pPr>
        <w:pStyle w:val="TextoNormalSangraFrancesa"/>
        <w:rPr>
          <w:rStyle w:val="TextoNormalCaracter"/>
        </w:rPr>
      </w:pPr>
      <w:bookmarkStart w:id="1217" w:name="DESCRIPTORALFABETICO346"/>
      <w:r w:rsidRPr="00E1708A">
        <w:rPr>
          <w:rStyle w:val="TextoNormalNegritaCaracter"/>
        </w:rPr>
        <w:t>Motivación de la extraordinaria y urgente necesidad</w:t>
      </w:r>
      <w:bookmarkEnd w:id="1217"/>
      <w:r w:rsidRPr="00E1708A">
        <w:rPr>
          <w:rStyle w:val="TextoNormalCaracter"/>
        </w:rPr>
        <w:t xml:space="preserve">, Sentencias </w:t>
      </w:r>
      <w:hyperlink w:anchor="SENTENCIA_2023_126" w:history="1">
        <w:r w:rsidRPr="00E1708A">
          <w:rPr>
            <w:rStyle w:val="TextoNormalCaracter"/>
          </w:rPr>
          <w:t>126/2023</w:t>
        </w:r>
      </w:hyperlink>
      <w:r w:rsidRPr="00E1708A">
        <w:rPr>
          <w:rStyle w:val="TextoNormalCaracter"/>
        </w:rPr>
        <w:t xml:space="preserve">, ff. 3 a 5; </w:t>
      </w:r>
      <w:hyperlink w:anchor="SENTENCIA_2023_145" w:history="1">
        <w:r w:rsidRPr="00E1708A">
          <w:rPr>
            <w:rStyle w:val="TextoNormalCaracter"/>
          </w:rPr>
          <w:t>145/2023</w:t>
        </w:r>
      </w:hyperlink>
      <w:r w:rsidRPr="00E1708A">
        <w:rPr>
          <w:rStyle w:val="TextoNormalCaracter"/>
        </w:rPr>
        <w:t xml:space="preserve">, ff. 1, 3, 4, 5, 6; </w:t>
      </w:r>
      <w:hyperlink w:anchor="SENTENCIA_2023_166" w:history="1">
        <w:r w:rsidRPr="00E1708A">
          <w:rPr>
            <w:rStyle w:val="TextoNormalCaracter"/>
          </w:rPr>
          <w:t>166/2023</w:t>
        </w:r>
      </w:hyperlink>
      <w:r w:rsidRPr="00E1708A">
        <w:rPr>
          <w:rStyle w:val="TextoNormalCaracter"/>
        </w:rPr>
        <w:t>, ff. 3 a 5.</w:t>
      </w:r>
    </w:p>
    <w:p w14:paraId="3ABBD8CA" w14:textId="03DC78F5" w:rsidR="00E1708A" w:rsidRPr="00E1708A" w:rsidRDefault="00E1708A" w:rsidP="00E1708A">
      <w:pPr>
        <w:pStyle w:val="TextoNormalSangraFrancesa"/>
        <w:rPr>
          <w:rStyle w:val="TextoNormalCaracter"/>
        </w:rPr>
      </w:pPr>
      <w:bookmarkStart w:id="1218" w:name="DESCRIPTORALFABETICO431"/>
      <w:r w:rsidRPr="00E1708A">
        <w:rPr>
          <w:rStyle w:val="TextoNormalNegritaCaracter"/>
        </w:rPr>
        <w:t>Motivación de la prisión provisional</w:t>
      </w:r>
      <w:bookmarkEnd w:id="1218"/>
      <w:r w:rsidRPr="00E1708A">
        <w:rPr>
          <w:rStyle w:val="TextoNormalCaracter"/>
        </w:rPr>
        <w:t xml:space="preserve">, Sentencia </w:t>
      </w:r>
      <w:hyperlink w:anchor="SENTENCIA_2023_152" w:history="1">
        <w:r w:rsidRPr="00E1708A">
          <w:rPr>
            <w:rStyle w:val="TextoNormalCaracter"/>
          </w:rPr>
          <w:t>152/2023</w:t>
        </w:r>
      </w:hyperlink>
      <w:r w:rsidRPr="00E1708A">
        <w:rPr>
          <w:rStyle w:val="TextoNormalCaracter"/>
        </w:rPr>
        <w:t>, ff. 2 y 3.</w:t>
      </w:r>
    </w:p>
    <w:p w14:paraId="05C465E6" w14:textId="77777777" w:rsidR="00E1708A" w:rsidRPr="00E1708A" w:rsidRDefault="00E1708A" w:rsidP="00E1708A">
      <w:pPr>
        <w:pStyle w:val="TextoNormalSangraFrancesa"/>
        <w:rPr>
          <w:rStyle w:val="TextoNormalCaracter"/>
        </w:rPr>
      </w:pPr>
      <w:bookmarkStart w:id="1219" w:name="DESCRIPTORALFABETICO71"/>
      <w:r w:rsidRPr="00E1708A">
        <w:rPr>
          <w:rStyle w:val="TextoNormalNegritaCaracter"/>
        </w:rPr>
        <w:t>Motivación de las resoluciones judiciales</w:t>
      </w:r>
      <w:bookmarkEnd w:id="1219"/>
      <w:r w:rsidRPr="00E1708A">
        <w:rPr>
          <w:rStyle w:val="TextoNormalCaracter"/>
        </w:rPr>
        <w:t xml:space="preserve">, </w:t>
      </w:r>
    </w:p>
    <w:p w14:paraId="2C94DB6D" w14:textId="2EA1D1A6" w:rsidR="00E1708A" w:rsidRPr="00E1708A" w:rsidRDefault="00E1708A" w:rsidP="00E1708A">
      <w:pPr>
        <w:pStyle w:val="TextoNormalSangraFrancesa"/>
        <w:rPr>
          <w:rStyle w:val="TextoNormalCaracter"/>
        </w:rPr>
      </w:pPr>
      <w:r w:rsidRPr="00E1708A">
        <w:rPr>
          <w:rStyle w:val="TextoNormalCursivaCaracter"/>
        </w:rPr>
        <w:t xml:space="preserve">    Vulnerado, </w:t>
      </w:r>
      <w:r w:rsidRPr="00E1708A">
        <w:rPr>
          <w:rStyle w:val="TextoNormalCaracter"/>
        </w:rPr>
        <w:t xml:space="preserve">Sentencia </w:t>
      </w:r>
      <w:hyperlink w:anchor="SENTENCIA_2023_134" w:history="1">
        <w:r w:rsidRPr="00E1708A">
          <w:rPr>
            <w:rStyle w:val="TextoNormalCaracter"/>
          </w:rPr>
          <w:t>134/2023</w:t>
        </w:r>
      </w:hyperlink>
      <w:r w:rsidRPr="00E1708A">
        <w:rPr>
          <w:rStyle w:val="TextoNormalCaracter"/>
        </w:rPr>
        <w:t>, ff. 3 y 4.</w:t>
      </w:r>
    </w:p>
    <w:p w14:paraId="04A4BB87" w14:textId="38A75771" w:rsidR="00E1708A" w:rsidRPr="00E1708A" w:rsidRDefault="00E1708A" w:rsidP="00E1708A">
      <w:pPr>
        <w:pStyle w:val="TextoNormalSangraFrancesa"/>
        <w:rPr>
          <w:rStyle w:val="TextoNormalCaracter"/>
        </w:rPr>
      </w:pPr>
      <w:bookmarkStart w:id="1220" w:name="DESCRIPTORALFABETICO132"/>
      <w:r w:rsidRPr="00E1708A">
        <w:rPr>
          <w:rStyle w:val="TextoNormalNegritaCaracter"/>
        </w:rPr>
        <w:t>Motivación de resoluciones restrictivas de derechos fundamentales</w:t>
      </w:r>
      <w:bookmarkEnd w:id="1220"/>
      <w:r w:rsidRPr="00E1708A">
        <w:rPr>
          <w:rStyle w:val="TextoNormalCaracter"/>
        </w:rPr>
        <w:t xml:space="preserve">, Sentencias </w:t>
      </w:r>
      <w:hyperlink w:anchor="SENTENCIA_2023_84" w:history="1">
        <w:r w:rsidRPr="00E1708A">
          <w:rPr>
            <w:rStyle w:val="TextoNormalCaracter"/>
          </w:rPr>
          <w:t>84/2023</w:t>
        </w:r>
      </w:hyperlink>
      <w:r w:rsidRPr="00E1708A">
        <w:rPr>
          <w:rStyle w:val="TextoNormalCaracter"/>
        </w:rPr>
        <w:t xml:space="preserve">, ff. 3 y 4, VP; </w:t>
      </w:r>
      <w:hyperlink w:anchor="SENTENCIA_2023_88" w:history="1">
        <w:r w:rsidRPr="00E1708A">
          <w:rPr>
            <w:rStyle w:val="TextoNormalCaracter"/>
          </w:rPr>
          <w:t>88/2023</w:t>
        </w:r>
      </w:hyperlink>
      <w:r w:rsidRPr="00E1708A">
        <w:rPr>
          <w:rStyle w:val="TextoNormalCaracter"/>
        </w:rPr>
        <w:t xml:space="preserve">, ff. 4 y 5, VP; </w:t>
      </w:r>
      <w:hyperlink w:anchor="SENTENCIA_2023_164" w:history="1">
        <w:r w:rsidRPr="00E1708A">
          <w:rPr>
            <w:rStyle w:val="TextoNormalCaracter"/>
          </w:rPr>
          <w:t>164/2023</w:t>
        </w:r>
      </w:hyperlink>
      <w:r w:rsidRPr="00E1708A">
        <w:rPr>
          <w:rStyle w:val="TextoNormalCaracter"/>
        </w:rPr>
        <w:t>, ff. 2 y 3, VP II.</w:t>
      </w:r>
    </w:p>
    <w:p w14:paraId="356B02B8" w14:textId="68241CAC" w:rsidR="00E1708A" w:rsidRPr="00E1708A" w:rsidRDefault="00E1708A" w:rsidP="00E1708A">
      <w:pPr>
        <w:pStyle w:val="TextoNormalSangraFrancesa"/>
        <w:rPr>
          <w:rStyle w:val="TextoNormalCaracter"/>
        </w:rPr>
      </w:pPr>
      <w:bookmarkStart w:id="1221" w:name="DESCRIPTORALFABETICO76"/>
      <w:r w:rsidRPr="00E1708A">
        <w:rPr>
          <w:rStyle w:val="TextoNormalNegritaCaracter"/>
        </w:rPr>
        <w:t>Motivación insuficiente de resoluciones judiciales</w:t>
      </w:r>
      <w:bookmarkEnd w:id="1221"/>
      <w:r w:rsidRPr="00E1708A">
        <w:rPr>
          <w:rStyle w:val="TextoNormalCaracter"/>
        </w:rPr>
        <w:t xml:space="preserve">, Sentencia </w:t>
      </w:r>
      <w:hyperlink w:anchor="SENTENCIA_2023_131" w:history="1">
        <w:r w:rsidRPr="00E1708A">
          <w:rPr>
            <w:rStyle w:val="TextoNormalCaracter"/>
          </w:rPr>
          <w:t>131/2023</w:t>
        </w:r>
      </w:hyperlink>
      <w:r w:rsidRPr="00E1708A">
        <w:rPr>
          <w:rStyle w:val="TextoNormalCaracter"/>
        </w:rPr>
        <w:t>, VP.</w:t>
      </w:r>
    </w:p>
    <w:p w14:paraId="2AA94B39" w14:textId="0EF5D381" w:rsidR="00E1708A" w:rsidRPr="00E1708A" w:rsidRDefault="00E1708A" w:rsidP="00E1708A">
      <w:pPr>
        <w:pStyle w:val="TextoNormalSangraFrancesa"/>
        <w:rPr>
          <w:rStyle w:val="TextoNormalCaracter"/>
        </w:rPr>
      </w:pPr>
      <w:bookmarkStart w:id="1222" w:name="DESCRIPTORALFABETICO77"/>
      <w:r w:rsidRPr="00E1708A">
        <w:rPr>
          <w:rStyle w:val="TextoNormalNegritaCaracter"/>
        </w:rPr>
        <w:t>Motivación suficiente de resoluciones judiciales</w:t>
      </w:r>
      <w:bookmarkEnd w:id="1222"/>
      <w:r w:rsidRPr="00E1708A">
        <w:rPr>
          <w:rStyle w:val="TextoNormalCaracter"/>
        </w:rPr>
        <w:t xml:space="preserve">, Sentencia </w:t>
      </w:r>
      <w:hyperlink w:anchor="SENTENCIA_2023_131" w:history="1">
        <w:r w:rsidRPr="00E1708A">
          <w:rPr>
            <w:rStyle w:val="TextoNormalCaracter"/>
          </w:rPr>
          <w:t>131/2023</w:t>
        </w:r>
      </w:hyperlink>
      <w:r w:rsidRPr="00E1708A">
        <w:rPr>
          <w:rStyle w:val="TextoNormalCaracter"/>
        </w:rPr>
        <w:t>, ff. 2 y 4.</w:t>
      </w:r>
    </w:p>
    <w:p w14:paraId="593A3DE4" w14:textId="3B8FF486" w:rsidR="00E1708A" w:rsidRPr="00E1708A" w:rsidRDefault="00E1708A" w:rsidP="00E1708A">
      <w:pPr>
        <w:pStyle w:val="TextoNormalSangraFrancesa"/>
        <w:rPr>
          <w:rStyle w:val="TextoNormalCaracter"/>
        </w:rPr>
      </w:pPr>
      <w:bookmarkStart w:id="1223" w:name="DESCRIPTORALFABETICO75"/>
      <w:r w:rsidRPr="00E1708A">
        <w:rPr>
          <w:rStyle w:val="TextoNormalNegritaCaracter"/>
        </w:rPr>
        <w:t>Motivación suficiente de sentencias</w:t>
      </w:r>
      <w:bookmarkEnd w:id="1223"/>
      <w:r w:rsidRPr="00E1708A">
        <w:rPr>
          <w:rStyle w:val="TextoNormalCaracter"/>
        </w:rPr>
        <w:t xml:space="preserve">, Sentencia </w:t>
      </w:r>
      <w:hyperlink w:anchor="SENTENCIA_2023_90" w:history="1">
        <w:r w:rsidRPr="00E1708A">
          <w:rPr>
            <w:rStyle w:val="TextoNormalCaracter"/>
          </w:rPr>
          <w:t>90/2023</w:t>
        </w:r>
      </w:hyperlink>
      <w:r w:rsidRPr="00E1708A">
        <w:rPr>
          <w:rStyle w:val="TextoNormalCaracter"/>
        </w:rPr>
        <w:t>, ff. 5 y 6.</w:t>
      </w:r>
    </w:p>
    <w:p w14:paraId="19219522" w14:textId="7B664D1C" w:rsidR="00E1708A" w:rsidRPr="00E1708A" w:rsidRDefault="00E1708A" w:rsidP="00E1708A">
      <w:pPr>
        <w:pStyle w:val="TextoNormalSangraFrancesa"/>
        <w:rPr>
          <w:rStyle w:val="TextoNormalCaracter"/>
        </w:rPr>
      </w:pPr>
      <w:bookmarkStart w:id="1224" w:name="DESCRIPTORALFABETICO301"/>
      <w:r w:rsidRPr="00E1708A">
        <w:rPr>
          <w:rStyle w:val="TextoNormalNegritaCaracter"/>
        </w:rPr>
        <w:t>Movimientos de capital</w:t>
      </w:r>
      <w:bookmarkEnd w:id="1224"/>
      <w:r w:rsidRPr="00E1708A">
        <w:rPr>
          <w:rStyle w:val="TextoNormalCaracter"/>
        </w:rPr>
        <w:t xml:space="preserve">, Sentencia </w:t>
      </w:r>
      <w:hyperlink w:anchor="SENTENCIA_2023_179" w:history="1">
        <w:r w:rsidRPr="00E1708A">
          <w:rPr>
            <w:rStyle w:val="TextoNormalCaracter"/>
          </w:rPr>
          <w:t>179/2023</w:t>
        </w:r>
      </w:hyperlink>
      <w:r w:rsidRPr="00E1708A">
        <w:rPr>
          <w:rStyle w:val="TextoNormalCaracter"/>
        </w:rPr>
        <w:t>, f. 1.</w:t>
      </w:r>
    </w:p>
    <w:p w14:paraId="6CE9D446" w14:textId="7AA4A381" w:rsidR="00E1708A" w:rsidRDefault="00E1708A" w:rsidP="00E1708A">
      <w:pPr>
        <w:pStyle w:val="TextoNormalSangraFrancesa"/>
      </w:pPr>
    </w:p>
    <w:p w14:paraId="57BE988E" w14:textId="77777777" w:rsidR="00E1708A" w:rsidRDefault="00E1708A" w:rsidP="00E1708A">
      <w:pPr>
        <w:pStyle w:val="TextoNormalSangraFrancesa"/>
      </w:pPr>
    </w:p>
    <w:p w14:paraId="0F608EC9" w14:textId="77777777" w:rsidR="00E1708A" w:rsidRDefault="00E1708A" w:rsidP="00E1708A">
      <w:pPr>
        <w:pStyle w:val="TextoNormalNegritaCentrado"/>
      </w:pPr>
      <w:r>
        <w:t>N</w:t>
      </w:r>
    </w:p>
    <w:p w14:paraId="0C61FB29" w14:textId="25ECFADC" w:rsidR="00E1708A" w:rsidRDefault="00E1708A" w:rsidP="00E1708A">
      <w:pPr>
        <w:pStyle w:val="TextoNormalNegritaCentrado"/>
      </w:pPr>
    </w:p>
    <w:p w14:paraId="0AEE4B32" w14:textId="186BD216" w:rsidR="00E1708A" w:rsidRPr="00E1708A" w:rsidRDefault="00E1708A" w:rsidP="00E1708A">
      <w:pPr>
        <w:pStyle w:val="TextoNormalSangraFrancesa"/>
        <w:rPr>
          <w:rStyle w:val="TextoNormalCaracter"/>
        </w:rPr>
      </w:pPr>
      <w:bookmarkStart w:id="1225" w:name="DESCRIPTORALFABETICO83"/>
      <w:r w:rsidRPr="00E1708A">
        <w:rPr>
          <w:rStyle w:val="TextoNormalNegritaCaracter"/>
          <w:i/>
        </w:rPr>
        <w:t>Nasciturus</w:t>
      </w:r>
      <w:bookmarkEnd w:id="1225"/>
      <w:r w:rsidRPr="00E1708A">
        <w:rPr>
          <w:rStyle w:val="TextoNormalCaracter"/>
        </w:rPr>
        <w:t xml:space="preserve">, Sentencia </w:t>
      </w:r>
      <w:hyperlink w:anchor="SENTENCIA_2023_78" w:history="1">
        <w:r w:rsidRPr="00E1708A">
          <w:rPr>
            <w:rStyle w:val="TextoNormalCaracter"/>
          </w:rPr>
          <w:t>78/2023</w:t>
        </w:r>
      </w:hyperlink>
      <w:r w:rsidRPr="00E1708A">
        <w:rPr>
          <w:rStyle w:val="TextoNormalCaracter"/>
        </w:rPr>
        <w:t>, ff. 5 y 6, VP I, VP II.</w:t>
      </w:r>
    </w:p>
    <w:p w14:paraId="2D57429A" w14:textId="4692584E" w:rsidR="00E1708A" w:rsidRPr="00E1708A" w:rsidRDefault="00E1708A" w:rsidP="00E1708A">
      <w:pPr>
        <w:pStyle w:val="TextoNormalSangraFrancesa"/>
        <w:rPr>
          <w:rStyle w:val="TextoNormalCaracter"/>
        </w:rPr>
      </w:pPr>
      <w:bookmarkStart w:id="1226" w:name="DESCRIPTORALFABETICO119"/>
      <w:r w:rsidRPr="00E1708A">
        <w:rPr>
          <w:rStyle w:val="TextoNormalNegritaCaracter"/>
        </w:rPr>
        <w:t>Neutralidad ideológica</w:t>
      </w:r>
      <w:bookmarkEnd w:id="1226"/>
      <w:r w:rsidRPr="00E1708A">
        <w:rPr>
          <w:rStyle w:val="TextoNormalCaracter"/>
        </w:rPr>
        <w:t xml:space="preserve">, Sentencia </w:t>
      </w:r>
      <w:hyperlink w:anchor="SENTENCIA_2023_79" w:history="1">
        <w:r w:rsidRPr="00E1708A">
          <w:rPr>
            <w:rStyle w:val="TextoNormalCaracter"/>
          </w:rPr>
          <w:t>79/2023</w:t>
        </w:r>
      </w:hyperlink>
      <w:r w:rsidRPr="00E1708A">
        <w:rPr>
          <w:rStyle w:val="TextoNormalCaracter"/>
        </w:rPr>
        <w:t>, ff. 3 y 4.</w:t>
      </w:r>
    </w:p>
    <w:p w14:paraId="6FA0ED93" w14:textId="381AF06E" w:rsidR="00E1708A" w:rsidRPr="00E1708A" w:rsidRDefault="00E1708A" w:rsidP="00E1708A">
      <w:pPr>
        <w:pStyle w:val="TextoNormalSangraFrancesa"/>
        <w:rPr>
          <w:rStyle w:val="TextoNormalCaracter"/>
        </w:rPr>
      </w:pPr>
      <w:bookmarkStart w:id="1227" w:name="DESCRIPTORALFABETICO396"/>
      <w:r w:rsidRPr="00E1708A">
        <w:rPr>
          <w:rStyle w:val="TextoNormalNegritaCaracter"/>
        </w:rPr>
        <w:t>Notificación en domicilio extranjero</w:t>
      </w:r>
      <w:bookmarkEnd w:id="1227"/>
      <w:r w:rsidRPr="00E1708A">
        <w:rPr>
          <w:rStyle w:val="TextoNormalCaracter"/>
        </w:rPr>
        <w:t xml:space="preserve">, Sentencia </w:t>
      </w:r>
      <w:hyperlink w:anchor="SENTENCIA_2023_137" w:history="1">
        <w:r w:rsidRPr="00E1708A">
          <w:rPr>
            <w:rStyle w:val="TextoNormalCaracter"/>
          </w:rPr>
          <w:t>137/2023</w:t>
        </w:r>
      </w:hyperlink>
      <w:r w:rsidRPr="00E1708A">
        <w:rPr>
          <w:rStyle w:val="TextoNormalCaracter"/>
        </w:rPr>
        <w:t>, ff. 1 a 3.</w:t>
      </w:r>
    </w:p>
    <w:p w14:paraId="33E5A3AF" w14:textId="32CCA349" w:rsidR="00E1708A" w:rsidRDefault="00E1708A" w:rsidP="00E1708A">
      <w:pPr>
        <w:pStyle w:val="TextoNormalSangraFrancesa"/>
      </w:pPr>
    </w:p>
    <w:p w14:paraId="4BF0C760" w14:textId="77777777" w:rsidR="00E1708A" w:rsidRDefault="00E1708A" w:rsidP="00E1708A">
      <w:pPr>
        <w:pStyle w:val="TextoNormalSangraFrancesa"/>
      </w:pPr>
    </w:p>
    <w:p w14:paraId="351A5B21" w14:textId="77777777" w:rsidR="00E1708A" w:rsidRDefault="00E1708A" w:rsidP="00E1708A">
      <w:pPr>
        <w:pStyle w:val="TextoNormalNegritaCentrado"/>
      </w:pPr>
      <w:r>
        <w:t>O</w:t>
      </w:r>
    </w:p>
    <w:p w14:paraId="17F5923C" w14:textId="42F7BCFF" w:rsidR="00E1708A" w:rsidRDefault="00E1708A" w:rsidP="00E1708A">
      <w:pPr>
        <w:pStyle w:val="TextoNormalNegritaCentrado"/>
      </w:pPr>
    </w:p>
    <w:p w14:paraId="6275AD61" w14:textId="77777777" w:rsidR="00E1708A" w:rsidRPr="00E1708A" w:rsidRDefault="00E1708A" w:rsidP="00E1708A">
      <w:pPr>
        <w:pStyle w:val="TextoNormalSangraFrancesa"/>
        <w:rPr>
          <w:rStyle w:val="TextoNormalCaracter"/>
        </w:rPr>
      </w:pPr>
      <w:bookmarkStart w:id="1228" w:name="DESCRIPTORALFABETICO120"/>
      <w:r w:rsidRPr="00E1708A">
        <w:rPr>
          <w:rStyle w:val="TextoNormalNegritaCaracter"/>
        </w:rPr>
        <w:t>Objeción de conciencia</w:t>
      </w:r>
      <w:bookmarkEnd w:id="1228"/>
      <w:r w:rsidRPr="00E1708A">
        <w:rPr>
          <w:rStyle w:val="TextoNormalCaracter"/>
        </w:rPr>
        <w:t xml:space="preserve">, </w:t>
      </w:r>
    </w:p>
    <w:p w14:paraId="29896FEE" w14:textId="2B65D41E" w:rsidR="00E1708A" w:rsidRPr="00E1708A" w:rsidRDefault="00E1708A" w:rsidP="00E1708A">
      <w:pPr>
        <w:pStyle w:val="TextoNormalSangraFrancesa"/>
        <w:rPr>
          <w:rStyle w:val="TextoNormalCaracter"/>
        </w:rPr>
      </w:pPr>
      <w:r w:rsidRPr="00E1708A">
        <w:rPr>
          <w:rStyle w:val="TextoNormalCursivaCaracter"/>
        </w:rPr>
        <w:t xml:space="preserve">    Concepto, </w:t>
      </w:r>
      <w:r w:rsidRPr="00E1708A">
        <w:rPr>
          <w:rStyle w:val="TextoNormalCaracter"/>
        </w:rPr>
        <w:t xml:space="preserve">Sentencia </w:t>
      </w:r>
      <w:hyperlink w:anchor="SENTENCIA_2023_78" w:history="1">
        <w:r w:rsidRPr="00E1708A">
          <w:rPr>
            <w:rStyle w:val="TextoNormalCaracter"/>
          </w:rPr>
          <w:t>78/2023</w:t>
        </w:r>
      </w:hyperlink>
      <w:r w:rsidRPr="00E1708A">
        <w:rPr>
          <w:rStyle w:val="TextoNormalCaracter"/>
        </w:rPr>
        <w:t>, f. 7, VP II.</w:t>
      </w:r>
    </w:p>
    <w:p w14:paraId="7207D564" w14:textId="065EAB67" w:rsidR="00E1708A" w:rsidRPr="00E1708A" w:rsidRDefault="00E1708A" w:rsidP="00E1708A">
      <w:pPr>
        <w:pStyle w:val="TextoNormalSangraFrancesa"/>
        <w:rPr>
          <w:rStyle w:val="TextoNormalCaracter"/>
        </w:rPr>
      </w:pPr>
      <w:bookmarkStart w:id="1229" w:name="DESCRIPTORALFABETICO122"/>
      <w:r w:rsidRPr="00E1708A">
        <w:rPr>
          <w:rStyle w:val="TextoNormalNegritaCaracter"/>
        </w:rPr>
        <w:t>Objeción de conciencia a la interrupción voluntaria del embarazo</w:t>
      </w:r>
      <w:bookmarkEnd w:id="1229"/>
      <w:r w:rsidRPr="00E1708A">
        <w:rPr>
          <w:rStyle w:val="TextoNormalCaracter"/>
        </w:rPr>
        <w:t xml:space="preserve">, Sentencia </w:t>
      </w:r>
      <w:hyperlink w:anchor="SENTENCIA_2023_78" w:history="1">
        <w:r w:rsidRPr="00E1708A">
          <w:rPr>
            <w:rStyle w:val="TextoNormalCaracter"/>
          </w:rPr>
          <w:t>78/2023</w:t>
        </w:r>
      </w:hyperlink>
      <w:r w:rsidRPr="00E1708A">
        <w:rPr>
          <w:rStyle w:val="TextoNormalCaracter"/>
        </w:rPr>
        <w:t>, f. 7, VP II.</w:t>
      </w:r>
    </w:p>
    <w:p w14:paraId="4D966CC7" w14:textId="2F246BDE" w:rsidR="00E1708A" w:rsidRPr="00E1708A" w:rsidRDefault="00E1708A" w:rsidP="00E1708A">
      <w:pPr>
        <w:pStyle w:val="TextoNormalSangraFrancesa"/>
        <w:rPr>
          <w:rStyle w:val="TextoNormalCaracter"/>
        </w:rPr>
      </w:pPr>
      <w:bookmarkStart w:id="1230" w:name="DESCRIPTORALFABETICO365"/>
      <w:r w:rsidRPr="00E1708A">
        <w:rPr>
          <w:rStyle w:val="TextoNormalNegritaCaracter"/>
        </w:rPr>
        <w:t>Obligaciones de los socios</w:t>
      </w:r>
      <w:bookmarkEnd w:id="1230"/>
      <w:r w:rsidRPr="00E1708A">
        <w:rPr>
          <w:rStyle w:val="TextoNormalCaracter"/>
        </w:rPr>
        <w:t xml:space="preserve">, Sentencia </w:t>
      </w:r>
      <w:hyperlink w:anchor="SENTENCIA_2023_129" w:history="1">
        <w:r w:rsidRPr="00E1708A">
          <w:rPr>
            <w:rStyle w:val="TextoNormalCaracter"/>
          </w:rPr>
          <w:t>129/2023</w:t>
        </w:r>
      </w:hyperlink>
      <w:r w:rsidRPr="00E1708A">
        <w:rPr>
          <w:rStyle w:val="TextoNormalCaracter"/>
        </w:rPr>
        <w:t>, ff. 1, 3 y 4.</w:t>
      </w:r>
    </w:p>
    <w:p w14:paraId="18465731" w14:textId="2B491357" w:rsidR="00E1708A" w:rsidRPr="00E1708A" w:rsidRDefault="00E1708A" w:rsidP="00E1708A">
      <w:pPr>
        <w:pStyle w:val="TextoNormalSangraFrancesa"/>
        <w:rPr>
          <w:rStyle w:val="TextoNormalCaracter"/>
        </w:rPr>
      </w:pPr>
      <w:bookmarkStart w:id="1231" w:name="DESCRIPTORALFABETICO423"/>
      <w:r w:rsidRPr="00E1708A">
        <w:rPr>
          <w:rStyle w:val="TextoNormalNegritaCaracter"/>
        </w:rPr>
        <w:t>Oposición a la ejecución hipotecaria</w:t>
      </w:r>
      <w:bookmarkEnd w:id="1231"/>
      <w:r w:rsidRPr="00E1708A">
        <w:rPr>
          <w:rStyle w:val="TextoNormalCaracter"/>
        </w:rPr>
        <w:t xml:space="preserve">, Sentencias </w:t>
      </w:r>
      <w:hyperlink w:anchor="SENTENCIA_2023_122" w:history="1">
        <w:r w:rsidRPr="00E1708A">
          <w:rPr>
            <w:rStyle w:val="TextoNormalCaracter"/>
          </w:rPr>
          <w:t>122/2023</w:t>
        </w:r>
      </w:hyperlink>
      <w:r w:rsidRPr="00E1708A">
        <w:rPr>
          <w:rStyle w:val="TextoNormalCaracter"/>
        </w:rPr>
        <w:t xml:space="preserve">, f. único; </w:t>
      </w:r>
      <w:hyperlink w:anchor="SENTENCIA_2023_138" w:history="1">
        <w:r w:rsidRPr="00E1708A">
          <w:rPr>
            <w:rStyle w:val="TextoNormalCaracter"/>
          </w:rPr>
          <w:t>138/2023</w:t>
        </w:r>
      </w:hyperlink>
      <w:r w:rsidRPr="00E1708A">
        <w:rPr>
          <w:rStyle w:val="TextoNormalCaracter"/>
        </w:rPr>
        <w:t>, f. único.</w:t>
      </w:r>
    </w:p>
    <w:p w14:paraId="1D285C15" w14:textId="58A3E5C0" w:rsidR="00E1708A" w:rsidRPr="00E1708A" w:rsidRDefault="00E1708A" w:rsidP="00E1708A">
      <w:pPr>
        <w:pStyle w:val="TextoNormalSangraFrancesa"/>
        <w:rPr>
          <w:rStyle w:val="TextoNormalCaracter"/>
        </w:rPr>
      </w:pPr>
      <w:bookmarkStart w:id="1232" w:name="DESCRIPTORALFABETICO429"/>
      <w:r w:rsidRPr="00E1708A">
        <w:rPr>
          <w:rStyle w:val="TextoNormalNegritaCaracter"/>
        </w:rPr>
        <w:t>Orden europea de detención y entrega</w:t>
      </w:r>
      <w:bookmarkEnd w:id="1232"/>
      <w:r w:rsidRPr="00E1708A">
        <w:rPr>
          <w:rStyle w:val="TextoNormalCaracter"/>
        </w:rPr>
        <w:t xml:space="preserve">, Sentencia </w:t>
      </w:r>
      <w:hyperlink w:anchor="SENTENCIA_2023_136" w:history="1">
        <w:r w:rsidRPr="00E1708A">
          <w:rPr>
            <w:rStyle w:val="TextoNormalCaracter"/>
          </w:rPr>
          <w:t>136/2023</w:t>
        </w:r>
      </w:hyperlink>
      <w:r w:rsidRPr="00E1708A">
        <w:rPr>
          <w:rStyle w:val="TextoNormalCaracter"/>
        </w:rPr>
        <w:t>, ff. 1, 2, 4, 5, 6.</w:t>
      </w:r>
    </w:p>
    <w:p w14:paraId="4FF9C28C" w14:textId="3540A588" w:rsidR="00E1708A" w:rsidRPr="00E1708A" w:rsidRDefault="00E1708A" w:rsidP="00E1708A">
      <w:pPr>
        <w:pStyle w:val="TextoNormalSangraFrancesa"/>
        <w:rPr>
          <w:rStyle w:val="TextoNormalCaracter"/>
        </w:rPr>
      </w:pPr>
      <w:bookmarkStart w:id="1233" w:name="DESCRIPTORALFABETICO204"/>
      <w:r w:rsidRPr="00E1708A">
        <w:rPr>
          <w:rStyle w:val="TextoNormalNegritaCaracter"/>
        </w:rPr>
        <w:t>Organismos de cuenca</w:t>
      </w:r>
      <w:bookmarkEnd w:id="1233"/>
      <w:r w:rsidRPr="00E1708A">
        <w:rPr>
          <w:rStyle w:val="TextoNormalCaracter"/>
        </w:rPr>
        <w:t xml:space="preserve">, Sentencia </w:t>
      </w:r>
      <w:hyperlink w:anchor="SENTENCIA_2023_126" w:history="1">
        <w:r w:rsidRPr="00E1708A">
          <w:rPr>
            <w:rStyle w:val="TextoNormalCaracter"/>
          </w:rPr>
          <w:t>126/2023</w:t>
        </w:r>
      </w:hyperlink>
      <w:r w:rsidRPr="00E1708A">
        <w:rPr>
          <w:rStyle w:val="TextoNormalCaracter"/>
        </w:rPr>
        <w:t>, ff. 3 a 5.</w:t>
      </w:r>
    </w:p>
    <w:p w14:paraId="1DC69E0F" w14:textId="6F70A869" w:rsidR="00E1708A" w:rsidRDefault="00E1708A" w:rsidP="00E1708A">
      <w:pPr>
        <w:pStyle w:val="TextoNormalSangraFrancesa"/>
      </w:pPr>
    </w:p>
    <w:p w14:paraId="05D428B9" w14:textId="77777777" w:rsidR="00E1708A" w:rsidRDefault="00E1708A" w:rsidP="00E1708A">
      <w:pPr>
        <w:pStyle w:val="TextoNormalSangraFrancesa"/>
      </w:pPr>
    </w:p>
    <w:p w14:paraId="01CCE5AE" w14:textId="77777777" w:rsidR="00E1708A" w:rsidRDefault="00E1708A" w:rsidP="00E1708A">
      <w:pPr>
        <w:pStyle w:val="TextoNormalNegritaCentrado"/>
      </w:pPr>
      <w:r>
        <w:t>P</w:t>
      </w:r>
    </w:p>
    <w:p w14:paraId="75111DF3" w14:textId="2CB6F475" w:rsidR="00E1708A" w:rsidRDefault="00E1708A" w:rsidP="00E1708A">
      <w:pPr>
        <w:pStyle w:val="TextoNormalNegritaCentrado"/>
      </w:pPr>
    </w:p>
    <w:p w14:paraId="2EE511BF" w14:textId="2A9D3DDC" w:rsidR="00E1708A" w:rsidRPr="00E1708A" w:rsidRDefault="00E1708A" w:rsidP="00E1708A">
      <w:pPr>
        <w:pStyle w:val="TextoNormalSangraFrancesa"/>
        <w:rPr>
          <w:rStyle w:val="TextoNormalCaracter"/>
        </w:rPr>
      </w:pPr>
      <w:bookmarkStart w:id="1234" w:name="DESCRIPTORALFABETICO438"/>
      <w:r w:rsidRPr="00E1708A">
        <w:rPr>
          <w:rStyle w:val="TextoNormalNegritaCaracter"/>
        </w:rPr>
        <w:t>País Vasco</w:t>
      </w:r>
      <w:bookmarkEnd w:id="1234"/>
      <w:r w:rsidRPr="00E1708A">
        <w:rPr>
          <w:rStyle w:val="TextoNormalCaracter"/>
        </w:rPr>
        <w:t xml:space="preserve">, Sentencia </w:t>
      </w:r>
      <w:hyperlink w:anchor="SENTENCIA_2023_85" w:history="1">
        <w:r w:rsidRPr="00E1708A">
          <w:rPr>
            <w:rStyle w:val="TextoNormalCaracter"/>
          </w:rPr>
          <w:t>85/2023</w:t>
        </w:r>
      </w:hyperlink>
      <w:r w:rsidRPr="00E1708A">
        <w:rPr>
          <w:rStyle w:val="TextoNormalCaracter"/>
        </w:rPr>
        <w:t>.</w:t>
      </w:r>
    </w:p>
    <w:p w14:paraId="17254FEA" w14:textId="7842E07F" w:rsidR="00E1708A" w:rsidRPr="00E1708A" w:rsidRDefault="00E1708A" w:rsidP="00E1708A">
      <w:pPr>
        <w:pStyle w:val="TextoNormalSangraFrancesa"/>
        <w:rPr>
          <w:rStyle w:val="TextoNormalCaracter"/>
        </w:rPr>
      </w:pPr>
      <w:bookmarkStart w:id="1235" w:name="DESCRIPTORALFABETICO252"/>
      <w:r w:rsidRPr="00E1708A">
        <w:rPr>
          <w:rStyle w:val="TextoNormalNegritaCaracter"/>
        </w:rPr>
        <w:t>Parlamentarios autonómicos no adscritos</w:t>
      </w:r>
      <w:bookmarkEnd w:id="1235"/>
      <w:r w:rsidRPr="00E1708A">
        <w:rPr>
          <w:rStyle w:val="TextoNormalCaracter"/>
        </w:rPr>
        <w:t xml:space="preserve">, Sentencia </w:t>
      </w:r>
      <w:hyperlink w:anchor="SENTENCIA_2023_93" w:history="1">
        <w:r w:rsidRPr="00E1708A">
          <w:rPr>
            <w:rStyle w:val="TextoNormalCaracter"/>
          </w:rPr>
          <w:t>93/2023</w:t>
        </w:r>
      </w:hyperlink>
      <w:r w:rsidRPr="00E1708A">
        <w:rPr>
          <w:rStyle w:val="TextoNormalCaracter"/>
        </w:rPr>
        <w:t>, ff. 2 a 4.</w:t>
      </w:r>
    </w:p>
    <w:p w14:paraId="1ACF9BED" w14:textId="12DB6000" w:rsidR="00E1708A" w:rsidRPr="00E1708A" w:rsidRDefault="00E1708A" w:rsidP="00E1708A">
      <w:pPr>
        <w:pStyle w:val="TextoNormalSangraFrancesa"/>
        <w:rPr>
          <w:rStyle w:val="TextoNormalCaracter"/>
        </w:rPr>
      </w:pPr>
      <w:bookmarkStart w:id="1236" w:name="DESCRIPTORALFABETICO253"/>
      <w:r w:rsidRPr="00E1708A">
        <w:rPr>
          <w:rStyle w:val="TextoNormalNegritaCaracter"/>
        </w:rPr>
        <w:t>Parlamento de Andalucía</w:t>
      </w:r>
      <w:bookmarkEnd w:id="1236"/>
      <w:r w:rsidRPr="00E1708A">
        <w:rPr>
          <w:rStyle w:val="TextoNormalCaracter"/>
        </w:rPr>
        <w:t xml:space="preserve">, Sentencia </w:t>
      </w:r>
      <w:hyperlink w:anchor="SENTENCIA_2023_93" w:history="1">
        <w:r w:rsidRPr="00E1708A">
          <w:rPr>
            <w:rStyle w:val="TextoNormalCaracter"/>
          </w:rPr>
          <w:t>93/2023</w:t>
        </w:r>
      </w:hyperlink>
      <w:r w:rsidRPr="00E1708A">
        <w:rPr>
          <w:rStyle w:val="TextoNormalCaracter"/>
        </w:rPr>
        <w:t>, ff. 2 a 4.</w:t>
      </w:r>
    </w:p>
    <w:p w14:paraId="2016EF9C" w14:textId="13646159" w:rsidR="00E1708A" w:rsidRPr="00E1708A" w:rsidRDefault="00E1708A" w:rsidP="00E1708A">
      <w:pPr>
        <w:pStyle w:val="TextoNormalSangraFrancesa"/>
        <w:rPr>
          <w:rStyle w:val="TextoNormalCaracter"/>
        </w:rPr>
      </w:pPr>
      <w:bookmarkStart w:id="1237" w:name="DESCRIPTORALFABETICO257"/>
      <w:r w:rsidRPr="00E1708A">
        <w:rPr>
          <w:rStyle w:val="TextoNormalNegritaCaracter"/>
        </w:rPr>
        <w:t>Parlamento Europeo</w:t>
      </w:r>
      <w:bookmarkEnd w:id="1237"/>
      <w:r w:rsidRPr="00E1708A">
        <w:rPr>
          <w:rStyle w:val="TextoNormalCaracter"/>
        </w:rPr>
        <w:t xml:space="preserve">, Auto </w:t>
      </w:r>
      <w:hyperlink w:anchor="AUTO_2023_378" w:history="1">
        <w:r w:rsidRPr="00E1708A">
          <w:rPr>
            <w:rStyle w:val="TextoNormalCaracter"/>
          </w:rPr>
          <w:t>378/2023</w:t>
        </w:r>
      </w:hyperlink>
      <w:r w:rsidRPr="00E1708A">
        <w:rPr>
          <w:rStyle w:val="TextoNormalCaracter"/>
        </w:rPr>
        <w:t>, f. 1.</w:t>
      </w:r>
    </w:p>
    <w:p w14:paraId="5C733460" w14:textId="44ECCA47" w:rsidR="00E1708A" w:rsidRPr="00E1708A" w:rsidRDefault="00E1708A" w:rsidP="00E1708A">
      <w:pPr>
        <w:pStyle w:val="TextoNormalSangraFrancesa"/>
        <w:rPr>
          <w:rStyle w:val="TextoNormalCaracter"/>
        </w:rPr>
      </w:pPr>
      <w:bookmarkStart w:id="1238" w:name="DESCRIPTORALFABETICO88"/>
      <w:r w:rsidRPr="00E1708A">
        <w:rPr>
          <w:rStyle w:val="TextoNormalNegritaCaracter"/>
        </w:rPr>
        <w:t>Participación política</w:t>
      </w:r>
      <w:bookmarkEnd w:id="1238"/>
      <w:r w:rsidRPr="00E1708A">
        <w:rPr>
          <w:rStyle w:val="TextoNormalCaracter"/>
        </w:rPr>
        <w:t xml:space="preserve">, Sentencias </w:t>
      </w:r>
      <w:hyperlink w:anchor="SENTENCIA_2023_132" w:history="1">
        <w:r w:rsidRPr="00E1708A">
          <w:rPr>
            <w:rStyle w:val="TextoNormalCaracter"/>
          </w:rPr>
          <w:t>132/2023</w:t>
        </w:r>
      </w:hyperlink>
      <w:r w:rsidRPr="00E1708A">
        <w:rPr>
          <w:rStyle w:val="TextoNormalCaracter"/>
        </w:rPr>
        <w:t xml:space="preserve">, ff. 2 y 3; </w:t>
      </w:r>
      <w:hyperlink w:anchor="SENTENCIA_2023_165" w:history="1">
        <w:r w:rsidRPr="00E1708A">
          <w:rPr>
            <w:rStyle w:val="TextoNormalCaracter"/>
          </w:rPr>
          <w:t>165/2023</w:t>
        </w:r>
      </w:hyperlink>
      <w:r w:rsidRPr="00E1708A">
        <w:rPr>
          <w:rStyle w:val="TextoNormalCaracter"/>
        </w:rPr>
        <w:t>, ff. 3 y VP.</w:t>
      </w:r>
    </w:p>
    <w:p w14:paraId="568D7845" w14:textId="69FDFF2B" w:rsidR="00E1708A" w:rsidRPr="00E1708A" w:rsidRDefault="00E1708A" w:rsidP="00E1708A">
      <w:pPr>
        <w:pStyle w:val="TextoNormalSangraFrancesa"/>
        <w:rPr>
          <w:rStyle w:val="TextoNormalCaracter"/>
        </w:rPr>
      </w:pPr>
      <w:bookmarkStart w:id="1239" w:name="DESCRIPTORALFABETICO353"/>
      <w:r w:rsidRPr="00E1708A">
        <w:rPr>
          <w:rStyle w:val="TextoNormalNegritaCaracter"/>
        </w:rPr>
        <w:t>Penas privativas de libertad</w:t>
      </w:r>
      <w:bookmarkEnd w:id="1239"/>
      <w:r w:rsidRPr="00E1708A">
        <w:rPr>
          <w:rStyle w:val="TextoNormalCaracter"/>
        </w:rPr>
        <w:t xml:space="preserve">, Sentencia </w:t>
      </w:r>
      <w:hyperlink w:anchor="SENTENCIA_2023_184" w:history="1">
        <w:r w:rsidRPr="00E1708A">
          <w:rPr>
            <w:rStyle w:val="TextoNormalCaracter"/>
          </w:rPr>
          <w:t>184/2023</w:t>
        </w:r>
      </w:hyperlink>
      <w:r w:rsidRPr="00E1708A">
        <w:rPr>
          <w:rStyle w:val="TextoNormalCaracter"/>
        </w:rPr>
        <w:t>, ff. 3 y 4.</w:t>
      </w:r>
    </w:p>
    <w:p w14:paraId="76D0ECC5" w14:textId="3074B222" w:rsidR="00E1708A" w:rsidRPr="00E1708A" w:rsidRDefault="00E1708A" w:rsidP="00E1708A">
      <w:pPr>
        <w:pStyle w:val="TextoNormalSangraFrancesa"/>
        <w:rPr>
          <w:rStyle w:val="TextoNormalCaracter"/>
        </w:rPr>
      </w:pPr>
      <w:bookmarkStart w:id="1240" w:name="DESCRIPTORALFABETICO153"/>
      <w:r w:rsidRPr="00E1708A">
        <w:rPr>
          <w:rStyle w:val="TextoNormalNegritaCaracter"/>
        </w:rPr>
        <w:t>Pérdida sobrevenida de objeto del proceso constitucional</w:t>
      </w:r>
      <w:bookmarkEnd w:id="1240"/>
      <w:r w:rsidRPr="00E1708A">
        <w:rPr>
          <w:rStyle w:val="TextoNormalCaracter"/>
        </w:rPr>
        <w:t xml:space="preserve">, Sentencia </w:t>
      </w:r>
      <w:hyperlink w:anchor="SENTENCIA_2023_169" w:history="1">
        <w:r w:rsidRPr="00E1708A">
          <w:rPr>
            <w:rStyle w:val="TextoNormalCaracter"/>
          </w:rPr>
          <w:t>169/2023</w:t>
        </w:r>
      </w:hyperlink>
      <w:r w:rsidRPr="00E1708A">
        <w:rPr>
          <w:rStyle w:val="TextoNormalCaracter"/>
        </w:rPr>
        <w:t>, f. 3.</w:t>
      </w:r>
    </w:p>
    <w:p w14:paraId="7C8F1F5B" w14:textId="24B4D739" w:rsidR="00E1708A" w:rsidRPr="00E1708A" w:rsidRDefault="00E1708A" w:rsidP="00E1708A">
      <w:pPr>
        <w:pStyle w:val="TextoNormalSangraFrancesa"/>
        <w:rPr>
          <w:rStyle w:val="TextoNormalCaracter"/>
        </w:rPr>
      </w:pPr>
      <w:bookmarkStart w:id="1241" w:name="DESCRIPTORALFABETICO154"/>
      <w:r w:rsidRPr="00E1708A">
        <w:rPr>
          <w:rStyle w:val="TextoNormalNegritaCaracter"/>
        </w:rPr>
        <w:t>Pérdida sobrevenida de objeto por declaración de inconstitucionalidad de la norma</w:t>
      </w:r>
      <w:bookmarkEnd w:id="1241"/>
      <w:r w:rsidRPr="00E1708A">
        <w:rPr>
          <w:rStyle w:val="TextoNormalCaracter"/>
        </w:rPr>
        <w:t xml:space="preserve">, Sentencia </w:t>
      </w:r>
      <w:hyperlink w:anchor="SENTENCIA_2023_143" w:history="1">
        <w:r w:rsidRPr="00E1708A">
          <w:rPr>
            <w:rStyle w:val="TextoNormalCaracter"/>
          </w:rPr>
          <w:t>143/2023</w:t>
        </w:r>
      </w:hyperlink>
      <w:r w:rsidRPr="00E1708A">
        <w:rPr>
          <w:rStyle w:val="TextoNormalCaracter"/>
        </w:rPr>
        <w:t>, f. 2.</w:t>
      </w:r>
    </w:p>
    <w:p w14:paraId="0AB11AF1" w14:textId="747B9232" w:rsidR="00E1708A" w:rsidRPr="00E1708A" w:rsidRDefault="00E1708A" w:rsidP="00E1708A">
      <w:pPr>
        <w:pStyle w:val="TextoNormalSangraFrancesa"/>
        <w:rPr>
          <w:rStyle w:val="TextoNormalCaracter"/>
        </w:rPr>
      </w:pPr>
      <w:bookmarkStart w:id="1242" w:name="DESCRIPTORALFABETICO155"/>
      <w:r w:rsidRPr="00E1708A">
        <w:rPr>
          <w:rStyle w:val="TextoNormalNegritaCaracter"/>
        </w:rPr>
        <w:t>Pérdida sobrevenida de objeto por modificación de la norma</w:t>
      </w:r>
      <w:bookmarkEnd w:id="1242"/>
      <w:r w:rsidRPr="00E1708A">
        <w:rPr>
          <w:rStyle w:val="TextoNormalCaracter"/>
        </w:rPr>
        <w:t xml:space="preserve">, Sentencia </w:t>
      </w:r>
      <w:hyperlink w:anchor="SENTENCIA_2023_128" w:history="1">
        <w:r w:rsidRPr="00E1708A">
          <w:rPr>
            <w:rStyle w:val="TextoNormalCaracter"/>
          </w:rPr>
          <w:t>128/2023</w:t>
        </w:r>
      </w:hyperlink>
      <w:r w:rsidRPr="00E1708A">
        <w:rPr>
          <w:rStyle w:val="TextoNormalCaracter"/>
        </w:rPr>
        <w:t>, f. 2.</w:t>
      </w:r>
    </w:p>
    <w:p w14:paraId="6A7F60E9" w14:textId="47E56C0B" w:rsidR="00E1708A" w:rsidRPr="00E1708A" w:rsidRDefault="00E1708A" w:rsidP="00E1708A">
      <w:pPr>
        <w:pStyle w:val="TextoNormalSangraFrancesa"/>
        <w:rPr>
          <w:rStyle w:val="TextoNormalCaracter"/>
        </w:rPr>
      </w:pPr>
      <w:bookmarkStart w:id="1243" w:name="DESCRIPTORALFABETICO290"/>
      <w:r w:rsidRPr="00E1708A">
        <w:rPr>
          <w:rStyle w:val="TextoNormalNegritaCaracter"/>
        </w:rPr>
        <w:t>Personal laboral</w:t>
      </w:r>
      <w:bookmarkEnd w:id="1243"/>
      <w:r w:rsidRPr="00E1708A">
        <w:rPr>
          <w:rStyle w:val="TextoNormalCaracter"/>
        </w:rPr>
        <w:t xml:space="preserve">, Sentencia </w:t>
      </w:r>
      <w:hyperlink w:anchor="SENTENCIA_2023_145" w:history="1">
        <w:r w:rsidRPr="00E1708A">
          <w:rPr>
            <w:rStyle w:val="TextoNormalCaracter"/>
          </w:rPr>
          <w:t>145/2023</w:t>
        </w:r>
      </w:hyperlink>
      <w:r w:rsidRPr="00E1708A">
        <w:rPr>
          <w:rStyle w:val="TextoNormalCaracter"/>
        </w:rPr>
        <w:t>, ff. 2 y 4.</w:t>
      </w:r>
    </w:p>
    <w:p w14:paraId="5B293424" w14:textId="4D3967AF" w:rsidR="00E1708A" w:rsidRPr="00E1708A" w:rsidRDefault="00E1708A" w:rsidP="00E1708A">
      <w:pPr>
        <w:pStyle w:val="TextoNormalSangraFrancesa"/>
        <w:rPr>
          <w:rStyle w:val="TextoNormalCaracter"/>
        </w:rPr>
      </w:pPr>
      <w:r w:rsidRPr="00E1708A">
        <w:rPr>
          <w:rStyle w:val="TextoNormalCaracter"/>
        </w:rPr>
        <w:t xml:space="preserve">    Auto </w:t>
      </w:r>
      <w:hyperlink w:anchor="AUTO_2023_427" w:history="1">
        <w:r w:rsidRPr="00E1708A">
          <w:rPr>
            <w:rStyle w:val="TextoNormalCaracter"/>
          </w:rPr>
          <w:t>427/2023</w:t>
        </w:r>
      </w:hyperlink>
      <w:r w:rsidRPr="00E1708A">
        <w:rPr>
          <w:rStyle w:val="TextoNormalCaracter"/>
        </w:rPr>
        <w:t>, f. 1.</w:t>
      </w:r>
    </w:p>
    <w:p w14:paraId="5CB01E63" w14:textId="169B360E" w:rsidR="00E1708A" w:rsidRPr="00E1708A" w:rsidRDefault="00E1708A" w:rsidP="00E1708A">
      <w:pPr>
        <w:pStyle w:val="TextoNormalSangraFrancesa"/>
        <w:rPr>
          <w:rStyle w:val="TextoNormalCaracter"/>
        </w:rPr>
      </w:pPr>
      <w:bookmarkStart w:id="1244" w:name="DESCRIPTORALFABETICO380"/>
      <w:r w:rsidRPr="00E1708A">
        <w:rPr>
          <w:rStyle w:val="TextoNormalNegritaCaracter"/>
        </w:rPr>
        <w:t>Personal sanitario</w:t>
      </w:r>
      <w:bookmarkEnd w:id="1244"/>
      <w:r w:rsidRPr="00E1708A">
        <w:rPr>
          <w:rStyle w:val="TextoNormalCaracter"/>
        </w:rPr>
        <w:t xml:space="preserve">, Sentencia </w:t>
      </w:r>
      <w:hyperlink w:anchor="SENTENCIA_2023_94" w:history="1">
        <w:r w:rsidRPr="00E1708A">
          <w:rPr>
            <w:rStyle w:val="TextoNormalCaracter"/>
          </w:rPr>
          <w:t>94/2023</w:t>
        </w:r>
      </w:hyperlink>
      <w:r w:rsidRPr="00E1708A">
        <w:rPr>
          <w:rStyle w:val="TextoNormalCaracter"/>
        </w:rPr>
        <w:t>, f. 6.</w:t>
      </w:r>
    </w:p>
    <w:p w14:paraId="6DE785ED" w14:textId="058688FC" w:rsidR="00E1708A" w:rsidRPr="00E1708A" w:rsidRDefault="00E1708A" w:rsidP="00E1708A">
      <w:pPr>
        <w:pStyle w:val="TextoNormalSangraFrancesa"/>
        <w:rPr>
          <w:rStyle w:val="TextoNormalCaracter"/>
        </w:rPr>
      </w:pPr>
      <w:bookmarkStart w:id="1245" w:name="DESCRIPTORALFABETICO372"/>
      <w:r w:rsidRPr="00E1708A">
        <w:rPr>
          <w:rStyle w:val="TextoNormalNegritaCaracter"/>
        </w:rPr>
        <w:t>Personas con discapacidad</w:t>
      </w:r>
      <w:bookmarkEnd w:id="1245"/>
      <w:r w:rsidRPr="00E1708A">
        <w:rPr>
          <w:rStyle w:val="TextoNormalCaracter"/>
        </w:rPr>
        <w:t xml:space="preserve">, Sentencia </w:t>
      </w:r>
      <w:hyperlink w:anchor="SENTENCIA_2023_146" w:history="1">
        <w:r w:rsidRPr="00E1708A">
          <w:rPr>
            <w:rStyle w:val="TextoNormalCaracter"/>
          </w:rPr>
          <w:t>146/2023</w:t>
        </w:r>
      </w:hyperlink>
      <w:r w:rsidRPr="00E1708A">
        <w:rPr>
          <w:rStyle w:val="TextoNormalCaracter"/>
        </w:rPr>
        <w:t>.</w:t>
      </w:r>
    </w:p>
    <w:p w14:paraId="082AC436" w14:textId="0850A510" w:rsidR="00E1708A" w:rsidRPr="00E1708A" w:rsidRDefault="00E1708A" w:rsidP="00E1708A">
      <w:pPr>
        <w:pStyle w:val="TextoNormalSangraFrancesa"/>
        <w:rPr>
          <w:rStyle w:val="TextoNormalCaracter"/>
        </w:rPr>
      </w:pPr>
      <w:bookmarkStart w:id="1246" w:name="DESCRIPTORALFABETICO373"/>
      <w:r w:rsidRPr="00E1708A">
        <w:rPr>
          <w:rStyle w:val="TextoNormalNegritaCaracter"/>
        </w:rPr>
        <w:t>Personas con discapacidad intelectual</w:t>
      </w:r>
      <w:bookmarkEnd w:id="1246"/>
      <w:r w:rsidRPr="00E1708A">
        <w:rPr>
          <w:rStyle w:val="TextoNormalCaracter"/>
        </w:rPr>
        <w:t xml:space="preserve">, Sentencia </w:t>
      </w:r>
      <w:hyperlink w:anchor="SENTENCIA_2023_163" w:history="1">
        <w:r w:rsidRPr="00E1708A">
          <w:rPr>
            <w:rStyle w:val="TextoNormalCaracter"/>
          </w:rPr>
          <w:t>163/2023</w:t>
        </w:r>
      </w:hyperlink>
      <w:r w:rsidRPr="00E1708A">
        <w:rPr>
          <w:rStyle w:val="TextoNormalCaracter"/>
        </w:rPr>
        <w:t>, f. único.</w:t>
      </w:r>
    </w:p>
    <w:p w14:paraId="0695234C" w14:textId="1D1FFD8E" w:rsidR="00E1708A" w:rsidRPr="00E1708A" w:rsidRDefault="00E1708A" w:rsidP="00E1708A">
      <w:pPr>
        <w:pStyle w:val="TextoNormalSangraFrancesa"/>
        <w:rPr>
          <w:rStyle w:val="TextoNormalCaracter"/>
        </w:rPr>
      </w:pPr>
      <w:bookmarkStart w:id="1247" w:name="DESCRIPTORALFABETICO360"/>
      <w:r w:rsidRPr="00E1708A">
        <w:rPr>
          <w:rStyle w:val="TextoNormalNegritaCaracter"/>
        </w:rPr>
        <w:t>Personas con incapacidad</w:t>
      </w:r>
      <w:bookmarkEnd w:id="1247"/>
      <w:r w:rsidRPr="00E1708A">
        <w:rPr>
          <w:rStyle w:val="TextoNormalCaracter"/>
        </w:rPr>
        <w:t xml:space="preserve">, Sentencia </w:t>
      </w:r>
      <w:hyperlink w:anchor="SENTENCIA_2023_94" w:history="1">
        <w:r w:rsidRPr="00E1708A">
          <w:rPr>
            <w:rStyle w:val="TextoNormalCaracter"/>
          </w:rPr>
          <w:t>94/2023</w:t>
        </w:r>
      </w:hyperlink>
      <w:r w:rsidRPr="00E1708A">
        <w:rPr>
          <w:rStyle w:val="TextoNormalCaracter"/>
        </w:rPr>
        <w:t>, f. 3.</w:t>
      </w:r>
    </w:p>
    <w:p w14:paraId="5A1136D5" w14:textId="17C19F89" w:rsidR="00E1708A" w:rsidRPr="00E1708A" w:rsidRDefault="00E1708A" w:rsidP="00E1708A">
      <w:pPr>
        <w:pStyle w:val="TextoNormalSangraFrancesa"/>
        <w:rPr>
          <w:rStyle w:val="TextoNormalCaracter"/>
        </w:rPr>
      </w:pPr>
      <w:bookmarkStart w:id="1248" w:name="DESCRIPTORALFABETICO178"/>
      <w:r w:rsidRPr="00E1708A">
        <w:rPr>
          <w:rStyle w:val="TextoNormalNegritaCaracter"/>
        </w:rPr>
        <w:t>Pervivencia del objeto del recurso de inconstitucionalidad</w:t>
      </w:r>
      <w:bookmarkEnd w:id="1248"/>
      <w:r w:rsidRPr="00E1708A">
        <w:rPr>
          <w:rStyle w:val="TextoNormalCaracter"/>
        </w:rPr>
        <w:t xml:space="preserve">, Sentencia </w:t>
      </w:r>
      <w:hyperlink w:anchor="SENTENCIA_2023_166" w:history="1">
        <w:r w:rsidRPr="00E1708A">
          <w:rPr>
            <w:rStyle w:val="TextoNormalCaracter"/>
          </w:rPr>
          <w:t>166/2023</w:t>
        </w:r>
      </w:hyperlink>
      <w:r w:rsidRPr="00E1708A">
        <w:rPr>
          <w:rStyle w:val="TextoNormalCaracter"/>
        </w:rPr>
        <w:t>, f. 2.</w:t>
      </w:r>
    </w:p>
    <w:p w14:paraId="03ABCC16" w14:textId="3E72411D" w:rsidR="00E1708A" w:rsidRPr="00E1708A" w:rsidRDefault="00E1708A" w:rsidP="00E1708A">
      <w:pPr>
        <w:pStyle w:val="TextoNormalSangraFrancesa"/>
        <w:rPr>
          <w:rStyle w:val="TextoNormalCaracter"/>
        </w:rPr>
      </w:pPr>
      <w:bookmarkStart w:id="1249" w:name="DESCRIPTORALFABETICO298"/>
      <w:r w:rsidRPr="00E1708A">
        <w:rPr>
          <w:rStyle w:val="TextoNormalNegritaCaracter"/>
        </w:rPr>
        <w:t>Planificación hidrológica</w:t>
      </w:r>
      <w:bookmarkEnd w:id="1249"/>
      <w:r w:rsidRPr="00E1708A">
        <w:rPr>
          <w:rStyle w:val="TextoNormalCaracter"/>
        </w:rPr>
        <w:t xml:space="preserve">, Sentencia </w:t>
      </w:r>
      <w:hyperlink w:anchor="SENTENCIA_2023_126" w:history="1">
        <w:r w:rsidRPr="00E1708A">
          <w:rPr>
            <w:rStyle w:val="TextoNormalCaracter"/>
          </w:rPr>
          <w:t>126/2023</w:t>
        </w:r>
      </w:hyperlink>
      <w:r w:rsidRPr="00E1708A">
        <w:rPr>
          <w:rStyle w:val="TextoNormalCaracter"/>
        </w:rPr>
        <w:t>, ff. 3 y 4.</w:t>
      </w:r>
    </w:p>
    <w:p w14:paraId="2E1BF98A" w14:textId="24A6871D" w:rsidR="00E1708A" w:rsidRPr="00E1708A" w:rsidRDefault="00E1708A" w:rsidP="00E1708A">
      <w:pPr>
        <w:pStyle w:val="TextoNormalSangraFrancesa"/>
        <w:rPr>
          <w:rStyle w:val="TextoNormalCaracter"/>
        </w:rPr>
      </w:pPr>
      <w:bookmarkStart w:id="1250" w:name="DESCRIPTORALFABETICO432"/>
      <w:r w:rsidRPr="00E1708A">
        <w:rPr>
          <w:rStyle w:val="TextoNormalNegritaCaracter"/>
        </w:rPr>
        <w:t>Plazo máximo de prisión provisional</w:t>
      </w:r>
      <w:bookmarkEnd w:id="1250"/>
      <w:r w:rsidRPr="00E1708A">
        <w:rPr>
          <w:rStyle w:val="TextoNormalCaracter"/>
        </w:rPr>
        <w:t xml:space="preserve">, Sentencia </w:t>
      </w:r>
      <w:hyperlink w:anchor="SENTENCIA_2023_136" w:history="1">
        <w:r w:rsidRPr="00E1708A">
          <w:rPr>
            <w:rStyle w:val="TextoNormalCaracter"/>
          </w:rPr>
          <w:t>136/2023</w:t>
        </w:r>
      </w:hyperlink>
      <w:r w:rsidRPr="00E1708A">
        <w:rPr>
          <w:rStyle w:val="TextoNormalCaracter"/>
        </w:rPr>
        <w:t>, ff.1 a 6.</w:t>
      </w:r>
    </w:p>
    <w:p w14:paraId="5C509A96" w14:textId="10D6980F" w:rsidR="00E1708A" w:rsidRPr="00E1708A" w:rsidRDefault="00E1708A" w:rsidP="00E1708A">
      <w:pPr>
        <w:pStyle w:val="TextoNormalSangraFrancesa"/>
        <w:rPr>
          <w:rStyle w:val="TextoNormalCaracter"/>
        </w:rPr>
      </w:pPr>
      <w:bookmarkStart w:id="1251" w:name="DESCRIPTORALFABETICO371"/>
      <w:r w:rsidRPr="00E1708A">
        <w:rPr>
          <w:rStyle w:val="TextoNormalNegritaCaracter"/>
        </w:rPr>
        <w:t>Plazos en el procedimiento administrativo</w:t>
      </w:r>
      <w:bookmarkEnd w:id="1251"/>
      <w:r w:rsidRPr="00E1708A">
        <w:rPr>
          <w:rStyle w:val="TextoNormalCaracter"/>
        </w:rPr>
        <w:t xml:space="preserve">, Sentencia </w:t>
      </w:r>
      <w:hyperlink w:anchor="SENTENCIA_2023_94" w:history="1">
        <w:r w:rsidRPr="00E1708A">
          <w:rPr>
            <w:rStyle w:val="TextoNormalCaracter"/>
          </w:rPr>
          <w:t>94/2023</w:t>
        </w:r>
      </w:hyperlink>
      <w:r w:rsidRPr="00E1708A">
        <w:rPr>
          <w:rStyle w:val="TextoNormalCaracter"/>
        </w:rPr>
        <w:t>, ff. 5 y 6.</w:t>
      </w:r>
    </w:p>
    <w:p w14:paraId="7EDE0A8B" w14:textId="0192FD92" w:rsidR="00E1708A" w:rsidRPr="00E1708A" w:rsidRDefault="00E1708A" w:rsidP="00E1708A">
      <w:pPr>
        <w:pStyle w:val="TextoNormalSangraFrancesa"/>
        <w:rPr>
          <w:rStyle w:val="TextoNormalCaracter"/>
        </w:rPr>
      </w:pPr>
      <w:bookmarkStart w:id="1252" w:name="DESCRIPTORALFABETICO278"/>
      <w:r w:rsidRPr="00E1708A">
        <w:rPr>
          <w:rStyle w:val="TextoNormalNegritaCaracter"/>
        </w:rPr>
        <w:t>Pluralismo político</w:t>
      </w:r>
      <w:bookmarkEnd w:id="1252"/>
      <w:r w:rsidRPr="00E1708A">
        <w:rPr>
          <w:rStyle w:val="TextoNormalCaracter"/>
        </w:rPr>
        <w:t xml:space="preserve">, Sentencia </w:t>
      </w:r>
      <w:hyperlink w:anchor="SENTENCIA_2023_79" w:history="1">
        <w:r w:rsidRPr="00E1708A">
          <w:rPr>
            <w:rStyle w:val="TextoNormalCaracter"/>
          </w:rPr>
          <w:t>79/2023</w:t>
        </w:r>
      </w:hyperlink>
      <w:r w:rsidRPr="00E1708A">
        <w:rPr>
          <w:rStyle w:val="TextoNormalCaracter"/>
        </w:rPr>
        <w:t>, f. 3.</w:t>
      </w:r>
    </w:p>
    <w:p w14:paraId="5105F84A" w14:textId="241184A3" w:rsidR="00E1708A" w:rsidRPr="00E1708A" w:rsidRDefault="00E1708A" w:rsidP="00E1708A">
      <w:pPr>
        <w:pStyle w:val="TextoNormalSangraFrancesa"/>
        <w:rPr>
          <w:rStyle w:val="TextoNormalCaracter"/>
        </w:rPr>
      </w:pPr>
      <w:bookmarkStart w:id="1253" w:name="DESCRIPTORALFABETICO275"/>
      <w:r w:rsidRPr="00E1708A">
        <w:rPr>
          <w:rStyle w:val="TextoNormalNegritaCaracter"/>
        </w:rPr>
        <w:t>Poder constituyente</w:t>
      </w:r>
      <w:bookmarkEnd w:id="1253"/>
      <w:r w:rsidRPr="00E1708A">
        <w:rPr>
          <w:rStyle w:val="TextoNormalCaracter"/>
        </w:rPr>
        <w:t xml:space="preserve">, Sentencia </w:t>
      </w:r>
      <w:hyperlink w:anchor="SENTENCIA_2023_128" w:history="1">
        <w:r w:rsidRPr="00E1708A">
          <w:rPr>
            <w:rStyle w:val="TextoNormalCaracter"/>
          </w:rPr>
          <w:t>128/2023</w:t>
        </w:r>
      </w:hyperlink>
      <w:r w:rsidRPr="00E1708A">
        <w:rPr>
          <w:rStyle w:val="TextoNormalCaracter"/>
        </w:rPr>
        <w:t>, ff. 4 y 5, VP.</w:t>
      </w:r>
    </w:p>
    <w:p w14:paraId="28829398" w14:textId="729890BE" w:rsidR="00E1708A" w:rsidRPr="00E1708A" w:rsidRDefault="00E1708A" w:rsidP="00E1708A">
      <w:pPr>
        <w:pStyle w:val="TextoNormalSangraFrancesa"/>
        <w:rPr>
          <w:rStyle w:val="TextoNormalCaracter"/>
        </w:rPr>
      </w:pPr>
      <w:bookmarkStart w:id="1254" w:name="DESCRIPTORALFABETICO133"/>
      <w:r w:rsidRPr="00E1708A">
        <w:rPr>
          <w:rStyle w:val="TextoNormalNegritaCaracter"/>
        </w:rPr>
        <w:t>Ponderación de derechos fundamentales</w:t>
      </w:r>
      <w:bookmarkEnd w:id="1254"/>
      <w:r w:rsidRPr="00E1708A">
        <w:rPr>
          <w:rStyle w:val="TextoNormalCaracter"/>
        </w:rPr>
        <w:t xml:space="preserve">, Sentencia </w:t>
      </w:r>
      <w:hyperlink w:anchor="SENTENCIA_2023_94" w:history="1">
        <w:r w:rsidRPr="00E1708A">
          <w:rPr>
            <w:rStyle w:val="TextoNormalCaracter"/>
          </w:rPr>
          <w:t>94/2023</w:t>
        </w:r>
      </w:hyperlink>
      <w:r w:rsidRPr="00E1708A">
        <w:rPr>
          <w:rStyle w:val="TextoNormalCaracter"/>
        </w:rPr>
        <w:t>, ff. 3 a 6.</w:t>
      </w:r>
    </w:p>
    <w:p w14:paraId="0EABF113" w14:textId="1059C253" w:rsidR="00E1708A" w:rsidRPr="00E1708A" w:rsidRDefault="00E1708A" w:rsidP="00E1708A">
      <w:pPr>
        <w:pStyle w:val="TextoNormalSangraFrancesa"/>
        <w:rPr>
          <w:rStyle w:val="TextoNormalCaracter"/>
        </w:rPr>
      </w:pPr>
      <w:bookmarkStart w:id="1255" w:name="DESCRIPTORALFABETICO272"/>
      <w:r w:rsidRPr="00E1708A">
        <w:rPr>
          <w:rStyle w:val="TextoNormalNegritaCaracter"/>
        </w:rPr>
        <w:t>Ponderación de las circunstancias</w:t>
      </w:r>
      <w:bookmarkEnd w:id="1255"/>
      <w:r w:rsidRPr="00E1708A">
        <w:rPr>
          <w:rStyle w:val="TextoNormalCaracter"/>
        </w:rPr>
        <w:t xml:space="preserve">, Sentencias </w:t>
      </w:r>
      <w:hyperlink w:anchor="SENTENCIA_2023_148" w:history="1">
        <w:r w:rsidRPr="00E1708A">
          <w:rPr>
            <w:rStyle w:val="TextoNormalCaracter"/>
          </w:rPr>
          <w:t>148/2023</w:t>
        </w:r>
      </w:hyperlink>
      <w:r w:rsidRPr="00E1708A">
        <w:rPr>
          <w:rStyle w:val="TextoNormalCaracter"/>
        </w:rPr>
        <w:t xml:space="preserve">, ff. 4 y 5; </w:t>
      </w:r>
      <w:hyperlink w:anchor="SENTENCIA_2023_163" w:history="1">
        <w:r w:rsidRPr="00E1708A">
          <w:rPr>
            <w:rStyle w:val="TextoNormalCaracter"/>
          </w:rPr>
          <w:t>163/2023</w:t>
        </w:r>
      </w:hyperlink>
      <w:r w:rsidRPr="00E1708A">
        <w:rPr>
          <w:rStyle w:val="TextoNormalCaracter"/>
        </w:rPr>
        <w:t>, f. único.</w:t>
      </w:r>
    </w:p>
    <w:p w14:paraId="6F6DB227" w14:textId="67CFCCB8" w:rsidR="00E1708A" w:rsidRPr="00E1708A" w:rsidRDefault="00E1708A" w:rsidP="00E1708A">
      <w:pPr>
        <w:pStyle w:val="TextoNormalSangraFrancesa"/>
        <w:rPr>
          <w:rStyle w:val="TextoNormalCaracter"/>
        </w:rPr>
      </w:pPr>
      <w:bookmarkStart w:id="1256" w:name="DESCRIPTORALFABETICO134"/>
      <w:r w:rsidRPr="00E1708A">
        <w:rPr>
          <w:rStyle w:val="TextoNormalNegritaCaracter"/>
        </w:rPr>
        <w:t>Ponderación entre el derecho al honor y la libertad de expresión</w:t>
      </w:r>
      <w:bookmarkEnd w:id="1256"/>
      <w:r w:rsidRPr="00E1708A">
        <w:rPr>
          <w:rStyle w:val="TextoNormalCaracter"/>
        </w:rPr>
        <w:t xml:space="preserve">, Sentencia </w:t>
      </w:r>
      <w:hyperlink w:anchor="SENTENCIA_2023_83" w:history="1">
        <w:r w:rsidRPr="00E1708A">
          <w:rPr>
            <w:rStyle w:val="TextoNormalCaracter"/>
          </w:rPr>
          <w:t>83/2023</w:t>
        </w:r>
      </w:hyperlink>
      <w:r w:rsidRPr="00E1708A">
        <w:rPr>
          <w:rStyle w:val="TextoNormalCaracter"/>
        </w:rPr>
        <w:t>, ff. 4 a 6, VP I, VP II.</w:t>
      </w:r>
    </w:p>
    <w:p w14:paraId="590348A1" w14:textId="6D52DDC3" w:rsidR="00E1708A" w:rsidRPr="00E1708A" w:rsidRDefault="00E1708A" w:rsidP="00E1708A">
      <w:pPr>
        <w:pStyle w:val="TextoNormalSangraFrancesa"/>
        <w:rPr>
          <w:rStyle w:val="TextoNormalCaracter"/>
        </w:rPr>
      </w:pPr>
      <w:bookmarkStart w:id="1257" w:name="DESCRIPTORALFABETICO21"/>
      <w:r w:rsidRPr="00E1708A">
        <w:rPr>
          <w:rStyle w:val="TextoNormalNegritaCaracter"/>
        </w:rPr>
        <w:t>Porcentaje de participación en los ingresos de las Diputaciones Provinciales</w:t>
      </w:r>
      <w:bookmarkEnd w:id="1257"/>
      <w:r w:rsidRPr="00E1708A">
        <w:rPr>
          <w:rStyle w:val="TextoNormalCaracter"/>
        </w:rPr>
        <w:t xml:space="preserve">, Sentencias </w:t>
      </w:r>
      <w:hyperlink w:anchor="SENTENCIA_2023_124" w:history="1">
        <w:r w:rsidRPr="00E1708A">
          <w:rPr>
            <w:rStyle w:val="TextoNormalCaracter"/>
          </w:rPr>
          <w:t>124/2023</w:t>
        </w:r>
      </w:hyperlink>
      <w:r w:rsidRPr="00E1708A">
        <w:rPr>
          <w:rStyle w:val="TextoNormalCaracter"/>
        </w:rPr>
        <w:t xml:space="preserve">, f. 8; </w:t>
      </w:r>
      <w:hyperlink w:anchor="SENTENCIA_2023_143" w:history="1">
        <w:r w:rsidRPr="00E1708A">
          <w:rPr>
            <w:rStyle w:val="TextoNormalCaracter"/>
          </w:rPr>
          <w:t>143/2023</w:t>
        </w:r>
      </w:hyperlink>
      <w:r w:rsidRPr="00E1708A">
        <w:rPr>
          <w:rStyle w:val="TextoNormalCaracter"/>
        </w:rPr>
        <w:t>, f. 3.</w:t>
      </w:r>
    </w:p>
    <w:p w14:paraId="1492CC40" w14:textId="692F7DB1" w:rsidR="00E1708A" w:rsidRPr="00E1708A" w:rsidRDefault="00E1708A" w:rsidP="00E1708A">
      <w:pPr>
        <w:pStyle w:val="TextoNormalSangraFrancesa"/>
        <w:rPr>
          <w:rStyle w:val="TextoNormalCaracter"/>
        </w:rPr>
      </w:pPr>
      <w:bookmarkStart w:id="1258" w:name="DESCRIPTORALFABETICO135"/>
      <w:r w:rsidRPr="00E1708A">
        <w:rPr>
          <w:rStyle w:val="TextoNormalNegritaCaracter"/>
        </w:rPr>
        <w:t>Posición preferente de los derechos fundamentales</w:t>
      </w:r>
      <w:bookmarkEnd w:id="1258"/>
      <w:r w:rsidRPr="00E1708A">
        <w:rPr>
          <w:rStyle w:val="TextoNormalCaracter"/>
        </w:rPr>
        <w:t xml:space="preserve">, Sentencia </w:t>
      </w:r>
      <w:hyperlink w:anchor="SENTENCIA_2023_94" w:history="1">
        <w:r w:rsidRPr="00E1708A">
          <w:rPr>
            <w:rStyle w:val="TextoNormalCaracter"/>
          </w:rPr>
          <w:t>94/2023</w:t>
        </w:r>
      </w:hyperlink>
      <w:r w:rsidRPr="00E1708A">
        <w:rPr>
          <w:rStyle w:val="TextoNormalCaracter"/>
        </w:rPr>
        <w:t>, f. 6, VP II.</w:t>
      </w:r>
    </w:p>
    <w:p w14:paraId="2536318C" w14:textId="33BF0A9F" w:rsidR="00E1708A" w:rsidRPr="00E1708A" w:rsidRDefault="00E1708A" w:rsidP="00E1708A">
      <w:pPr>
        <w:pStyle w:val="TextoNormalSangraFrancesa"/>
        <w:rPr>
          <w:rStyle w:val="TextoNormalCaracter"/>
        </w:rPr>
      </w:pPr>
      <w:bookmarkStart w:id="1259" w:name="DESCRIPTORALFABETICO332"/>
      <w:r w:rsidRPr="00E1708A">
        <w:rPr>
          <w:rStyle w:val="TextoNormalNegritaCaracter"/>
        </w:rPr>
        <w:t>Prensa digital</w:t>
      </w:r>
      <w:bookmarkEnd w:id="1259"/>
      <w:r w:rsidRPr="00E1708A">
        <w:rPr>
          <w:rStyle w:val="TextoNormalCaracter"/>
        </w:rPr>
        <w:t xml:space="preserve">, Sentencia </w:t>
      </w:r>
      <w:hyperlink w:anchor="SENTENCIA_2023_83" w:history="1">
        <w:r w:rsidRPr="00E1708A">
          <w:rPr>
            <w:rStyle w:val="TextoNormalCaracter"/>
          </w:rPr>
          <w:t>83/2023</w:t>
        </w:r>
      </w:hyperlink>
      <w:r w:rsidRPr="00E1708A">
        <w:rPr>
          <w:rStyle w:val="TextoNormalCaracter"/>
        </w:rPr>
        <w:t>, ff. 5 y 6.</w:t>
      </w:r>
    </w:p>
    <w:p w14:paraId="71392891" w14:textId="797D0842" w:rsidR="00E1708A" w:rsidRPr="00E1708A" w:rsidRDefault="00E1708A" w:rsidP="00E1708A">
      <w:pPr>
        <w:pStyle w:val="TextoNormalSangraFrancesa"/>
        <w:rPr>
          <w:rStyle w:val="TextoNormalCaracter"/>
        </w:rPr>
      </w:pPr>
      <w:bookmarkStart w:id="1260" w:name="DESCRIPTORALFABETICO224"/>
      <w:r w:rsidRPr="00E1708A">
        <w:rPr>
          <w:rStyle w:val="TextoNormalNegritaCaracter"/>
        </w:rPr>
        <w:t>Presentación de enmiendas</w:t>
      </w:r>
      <w:bookmarkEnd w:id="1260"/>
      <w:r w:rsidRPr="00E1708A">
        <w:rPr>
          <w:rStyle w:val="TextoNormalCaracter"/>
        </w:rPr>
        <w:t xml:space="preserve">, Sentencia </w:t>
      </w:r>
      <w:hyperlink w:anchor="SENTENCIA_2023_167" w:history="1">
        <w:r w:rsidRPr="00E1708A">
          <w:rPr>
            <w:rStyle w:val="TextoNormalCaracter"/>
          </w:rPr>
          <w:t>167/2023</w:t>
        </w:r>
      </w:hyperlink>
      <w:r w:rsidRPr="00E1708A">
        <w:rPr>
          <w:rStyle w:val="TextoNormalCaracter"/>
        </w:rPr>
        <w:t>, ff. 6 a 9.</w:t>
      </w:r>
    </w:p>
    <w:p w14:paraId="6C66E860" w14:textId="052B0BB8" w:rsidR="00E1708A" w:rsidRPr="00E1708A" w:rsidRDefault="00E1708A" w:rsidP="00E1708A">
      <w:pPr>
        <w:pStyle w:val="TextoNormalSangraFrancesa"/>
        <w:rPr>
          <w:rStyle w:val="TextoNormalCaracter"/>
        </w:rPr>
      </w:pPr>
      <w:bookmarkStart w:id="1261" w:name="DESCRIPTORALFABETICO244"/>
      <w:r w:rsidRPr="00E1708A">
        <w:rPr>
          <w:rStyle w:val="TextoNormalNegritaCaracter"/>
        </w:rPr>
        <w:t>Presidencia del Congreso de los Diputados</w:t>
      </w:r>
      <w:bookmarkEnd w:id="1261"/>
      <w:r w:rsidRPr="00E1708A">
        <w:rPr>
          <w:rStyle w:val="TextoNormalCaracter"/>
        </w:rPr>
        <w:t xml:space="preserve">, Sentencia </w:t>
      </w:r>
      <w:hyperlink w:anchor="SENTENCIA_2023_165" w:history="1">
        <w:r w:rsidRPr="00E1708A">
          <w:rPr>
            <w:rStyle w:val="TextoNormalCaracter"/>
          </w:rPr>
          <w:t>165/2023</w:t>
        </w:r>
      </w:hyperlink>
      <w:r w:rsidRPr="00E1708A">
        <w:rPr>
          <w:rStyle w:val="TextoNormalCaracter"/>
        </w:rPr>
        <w:t>, ff. 4 y VP.</w:t>
      </w:r>
    </w:p>
    <w:p w14:paraId="00A1DAFB" w14:textId="5C42E654" w:rsidR="00E1708A" w:rsidRPr="00E1708A" w:rsidRDefault="00E1708A" w:rsidP="00E1708A">
      <w:pPr>
        <w:pStyle w:val="TextoNormalSangraFrancesa"/>
        <w:rPr>
          <w:rStyle w:val="TextoNormalCaracter"/>
        </w:rPr>
      </w:pPr>
      <w:bookmarkStart w:id="1262" w:name="DESCRIPTORALFABETICO218"/>
      <w:r w:rsidRPr="00E1708A">
        <w:rPr>
          <w:rStyle w:val="TextoNormalNegritaCaracter"/>
        </w:rPr>
        <w:t>Presidente del Tribunal Supremo y del CGPJ</w:t>
      </w:r>
      <w:bookmarkEnd w:id="1262"/>
      <w:r w:rsidRPr="00E1708A">
        <w:rPr>
          <w:rStyle w:val="TextoNormalCaracter"/>
        </w:rPr>
        <w:t xml:space="preserve">, Sentencia </w:t>
      </w:r>
      <w:hyperlink w:anchor="SENTENCIA_2023_128" w:history="1">
        <w:r w:rsidRPr="00E1708A">
          <w:rPr>
            <w:rStyle w:val="TextoNormalCaracter"/>
          </w:rPr>
          <w:t>128/2023</w:t>
        </w:r>
      </w:hyperlink>
      <w:r w:rsidRPr="00E1708A">
        <w:rPr>
          <w:rStyle w:val="TextoNormalCaracter"/>
        </w:rPr>
        <w:t>, ff. 4 y 5.</w:t>
      </w:r>
    </w:p>
    <w:p w14:paraId="2BBC0EC5" w14:textId="7B106C1C" w:rsidR="00E1708A" w:rsidRPr="00E1708A" w:rsidRDefault="00E1708A" w:rsidP="00E1708A">
      <w:pPr>
        <w:pStyle w:val="TextoNormalSangraFrancesa"/>
        <w:rPr>
          <w:rStyle w:val="TextoNormalCaracter"/>
        </w:rPr>
      </w:pPr>
      <w:bookmarkStart w:id="1263" w:name="DESCRIPTORALFABETICO343"/>
      <w:r w:rsidRPr="00E1708A">
        <w:rPr>
          <w:rStyle w:val="TextoNormalNegritaCaracter"/>
        </w:rPr>
        <w:t>Presupuesto habilitante</w:t>
      </w:r>
      <w:bookmarkEnd w:id="1263"/>
      <w:r w:rsidRPr="00E1708A">
        <w:rPr>
          <w:rStyle w:val="TextoNormalCaracter"/>
        </w:rPr>
        <w:t xml:space="preserve">, Sentencias </w:t>
      </w:r>
      <w:hyperlink w:anchor="SENTENCIA_2023_126" w:history="1">
        <w:r w:rsidRPr="00E1708A">
          <w:rPr>
            <w:rStyle w:val="TextoNormalCaracter"/>
          </w:rPr>
          <w:t>126/2023</w:t>
        </w:r>
      </w:hyperlink>
      <w:r w:rsidRPr="00E1708A">
        <w:rPr>
          <w:rStyle w:val="TextoNormalCaracter"/>
        </w:rPr>
        <w:t xml:space="preserve">, ff. 3 a 5; </w:t>
      </w:r>
      <w:hyperlink w:anchor="SENTENCIA_2023_144" w:history="1">
        <w:r w:rsidRPr="00E1708A">
          <w:rPr>
            <w:rStyle w:val="TextoNormalCaracter"/>
          </w:rPr>
          <w:t>144/2023</w:t>
        </w:r>
      </w:hyperlink>
      <w:r w:rsidRPr="00E1708A">
        <w:rPr>
          <w:rStyle w:val="TextoNormalCaracter"/>
        </w:rPr>
        <w:t xml:space="preserve">, ff. 1 a 5, VP; </w:t>
      </w:r>
      <w:hyperlink w:anchor="SENTENCIA_2023_145" w:history="1">
        <w:r w:rsidRPr="00E1708A">
          <w:rPr>
            <w:rStyle w:val="TextoNormalCaracter"/>
          </w:rPr>
          <w:t>145/2023</w:t>
        </w:r>
      </w:hyperlink>
      <w:r w:rsidRPr="00E1708A">
        <w:rPr>
          <w:rStyle w:val="TextoNormalCaracter"/>
        </w:rPr>
        <w:t xml:space="preserve">, ff. 1, 2, 3, 5, 7; </w:t>
      </w:r>
      <w:hyperlink w:anchor="SENTENCIA_2023_147" w:history="1">
        <w:r w:rsidRPr="00E1708A">
          <w:rPr>
            <w:rStyle w:val="TextoNormalCaracter"/>
          </w:rPr>
          <w:t>147/2023</w:t>
        </w:r>
      </w:hyperlink>
      <w:r w:rsidRPr="00E1708A">
        <w:rPr>
          <w:rStyle w:val="TextoNormalCaracter"/>
        </w:rPr>
        <w:t xml:space="preserve">, f. 2; </w:t>
      </w:r>
      <w:hyperlink w:anchor="SENTENCIA_2023_166" w:history="1">
        <w:r w:rsidRPr="00E1708A">
          <w:rPr>
            <w:rStyle w:val="TextoNormalCaracter"/>
          </w:rPr>
          <w:t>166/2023</w:t>
        </w:r>
      </w:hyperlink>
      <w:r w:rsidRPr="00E1708A">
        <w:rPr>
          <w:rStyle w:val="TextoNormalCaracter"/>
        </w:rPr>
        <w:t>, ff. 3 a 5.</w:t>
      </w:r>
    </w:p>
    <w:p w14:paraId="02F982C0" w14:textId="11CC6DFD" w:rsidR="00E1708A" w:rsidRPr="00E1708A" w:rsidRDefault="00E1708A" w:rsidP="00E1708A">
      <w:pPr>
        <w:pStyle w:val="TextoNormalSangraFrancesa"/>
        <w:rPr>
          <w:rStyle w:val="TextoNormalCaracter"/>
        </w:rPr>
      </w:pPr>
      <w:bookmarkStart w:id="1264" w:name="DESCRIPTORALFABETICO330"/>
      <w:r w:rsidRPr="00E1708A">
        <w:rPr>
          <w:rStyle w:val="TextoNormalNegritaCaracter"/>
        </w:rPr>
        <w:t>Prevaricación</w:t>
      </w:r>
      <w:bookmarkEnd w:id="1264"/>
      <w:r w:rsidRPr="00E1708A">
        <w:rPr>
          <w:rStyle w:val="TextoNormalCaracter"/>
        </w:rPr>
        <w:t xml:space="preserve">, Sentencia </w:t>
      </w:r>
      <w:hyperlink w:anchor="SENTENCIA_2023_81" w:history="1">
        <w:r w:rsidRPr="00E1708A">
          <w:rPr>
            <w:rStyle w:val="TextoNormalCaracter"/>
          </w:rPr>
          <w:t>81/2023</w:t>
        </w:r>
      </w:hyperlink>
      <w:r w:rsidRPr="00E1708A">
        <w:rPr>
          <w:rStyle w:val="TextoNormalCaracter"/>
        </w:rPr>
        <w:t>, ff. 2 y 3.</w:t>
      </w:r>
    </w:p>
    <w:p w14:paraId="7D5B9DCD" w14:textId="48BE294C" w:rsidR="00E1708A" w:rsidRPr="00E1708A" w:rsidRDefault="00E1708A" w:rsidP="00E1708A">
      <w:pPr>
        <w:pStyle w:val="TextoNormalSangraFrancesa"/>
        <w:rPr>
          <w:rStyle w:val="TextoNormalCaracter"/>
        </w:rPr>
      </w:pPr>
      <w:bookmarkStart w:id="1265" w:name="DESCRIPTORALFABETICO30"/>
      <w:r w:rsidRPr="00E1708A">
        <w:rPr>
          <w:rStyle w:val="TextoNormalNegritaCaracter"/>
        </w:rPr>
        <w:t>Previsión de ingresos y gastos</w:t>
      </w:r>
      <w:bookmarkEnd w:id="1265"/>
      <w:r w:rsidRPr="00E1708A">
        <w:rPr>
          <w:rStyle w:val="TextoNormalCaracter"/>
        </w:rPr>
        <w:t xml:space="preserve">, Sentencia </w:t>
      </w:r>
      <w:hyperlink w:anchor="SENTENCIA_2023_132" w:history="1">
        <w:r w:rsidRPr="00E1708A">
          <w:rPr>
            <w:rStyle w:val="TextoNormalCaracter"/>
          </w:rPr>
          <w:t>132/2023</w:t>
        </w:r>
      </w:hyperlink>
      <w:r w:rsidRPr="00E1708A">
        <w:rPr>
          <w:rStyle w:val="TextoNormalCaracter"/>
        </w:rPr>
        <w:t>, ff. 3 y 4.</w:t>
      </w:r>
    </w:p>
    <w:p w14:paraId="4D5FA4AA" w14:textId="00250E65" w:rsidR="00E1708A" w:rsidRPr="00E1708A" w:rsidRDefault="00E1708A" w:rsidP="00E1708A">
      <w:pPr>
        <w:pStyle w:val="TextoNormalSangraFrancesa"/>
        <w:rPr>
          <w:rStyle w:val="TextoNormalCaracter"/>
        </w:rPr>
      </w:pPr>
      <w:bookmarkStart w:id="1266" w:name="DESCRIPTORALFABETICO368"/>
      <w:r w:rsidRPr="00E1708A">
        <w:rPr>
          <w:rStyle w:val="TextoNormalNegritaCaracter"/>
        </w:rPr>
        <w:t>Principio de autonomía de la voluntad</w:t>
      </w:r>
      <w:bookmarkEnd w:id="1266"/>
      <w:r w:rsidRPr="00E1708A">
        <w:rPr>
          <w:rStyle w:val="TextoNormalCaracter"/>
        </w:rPr>
        <w:t xml:space="preserve">, Sentencia </w:t>
      </w:r>
      <w:hyperlink w:anchor="SENTENCIA_2023_94" w:history="1">
        <w:r w:rsidRPr="00E1708A">
          <w:rPr>
            <w:rStyle w:val="TextoNormalCaracter"/>
          </w:rPr>
          <w:t>94/2023</w:t>
        </w:r>
      </w:hyperlink>
      <w:r w:rsidRPr="00E1708A">
        <w:rPr>
          <w:rStyle w:val="TextoNormalCaracter"/>
        </w:rPr>
        <w:t>, f. 3.</w:t>
      </w:r>
    </w:p>
    <w:p w14:paraId="28DBA5B2" w14:textId="53A6A00B" w:rsidR="00E1708A" w:rsidRPr="00E1708A" w:rsidRDefault="00E1708A" w:rsidP="00E1708A">
      <w:pPr>
        <w:pStyle w:val="TextoNormalSangraFrancesa"/>
        <w:rPr>
          <w:rStyle w:val="TextoNormalCaracter"/>
        </w:rPr>
      </w:pPr>
      <w:bookmarkStart w:id="1267" w:name="DESCRIPTORALFABETICO32"/>
      <w:r w:rsidRPr="00E1708A">
        <w:rPr>
          <w:rStyle w:val="TextoNormalNegritaCaracter"/>
        </w:rPr>
        <w:t>Principio de capacidad económica</w:t>
      </w:r>
      <w:bookmarkEnd w:id="1267"/>
      <w:r w:rsidRPr="00E1708A">
        <w:rPr>
          <w:rStyle w:val="TextoNormalCaracter"/>
        </w:rPr>
        <w:t xml:space="preserve">, Sentencia </w:t>
      </w:r>
      <w:hyperlink w:anchor="SENTENCIA_2023_149" w:history="1">
        <w:r w:rsidRPr="00E1708A">
          <w:rPr>
            <w:rStyle w:val="TextoNormalCaracter"/>
          </w:rPr>
          <w:t>149/2023</w:t>
        </w:r>
      </w:hyperlink>
      <w:r w:rsidRPr="00E1708A">
        <w:rPr>
          <w:rStyle w:val="TextoNormalCaracter"/>
        </w:rPr>
        <w:t>, f. 4, VP.</w:t>
      </w:r>
    </w:p>
    <w:p w14:paraId="2C29318E" w14:textId="560422A9" w:rsidR="00E1708A" w:rsidRPr="00E1708A" w:rsidRDefault="00E1708A" w:rsidP="00E1708A">
      <w:pPr>
        <w:pStyle w:val="TextoNormalSangraFrancesa"/>
        <w:rPr>
          <w:rStyle w:val="TextoNormalCaracter"/>
        </w:rPr>
      </w:pPr>
      <w:bookmarkStart w:id="1268" w:name="DESCRIPTORALFABETICO205"/>
      <w:r w:rsidRPr="00E1708A">
        <w:rPr>
          <w:rStyle w:val="TextoNormalNegritaCaracter"/>
        </w:rPr>
        <w:t>Principio de colaboración</w:t>
      </w:r>
      <w:bookmarkEnd w:id="1268"/>
      <w:r w:rsidRPr="00E1708A">
        <w:rPr>
          <w:rStyle w:val="TextoNormalCaracter"/>
        </w:rPr>
        <w:t xml:space="preserve">, Sentencia </w:t>
      </w:r>
      <w:hyperlink w:anchor="SENTENCIA_2023_149" w:history="1">
        <w:r w:rsidRPr="00E1708A">
          <w:rPr>
            <w:rStyle w:val="TextoNormalCaracter"/>
          </w:rPr>
          <w:t>149/2023</w:t>
        </w:r>
      </w:hyperlink>
      <w:r w:rsidRPr="00E1708A">
        <w:rPr>
          <w:rStyle w:val="TextoNormalCaracter"/>
        </w:rPr>
        <w:t>, ff. 3 y 4, VP.</w:t>
      </w:r>
    </w:p>
    <w:p w14:paraId="082DA05F" w14:textId="7B71CF40" w:rsidR="00E1708A" w:rsidRPr="00E1708A" w:rsidRDefault="00E1708A" w:rsidP="00E1708A">
      <w:pPr>
        <w:pStyle w:val="TextoNormalSangraFrancesa"/>
        <w:rPr>
          <w:rStyle w:val="TextoNormalCaracter"/>
        </w:rPr>
      </w:pPr>
      <w:bookmarkStart w:id="1269" w:name="DESCRIPTORALFABETICO413"/>
      <w:r w:rsidRPr="00E1708A">
        <w:rPr>
          <w:rStyle w:val="TextoNormalNegritaCaracter"/>
        </w:rPr>
        <w:t>Principio de contradicción</w:t>
      </w:r>
      <w:bookmarkEnd w:id="1269"/>
      <w:r w:rsidRPr="00E1708A">
        <w:rPr>
          <w:rStyle w:val="TextoNormalCaracter"/>
        </w:rPr>
        <w:t xml:space="preserve">, Sentencia </w:t>
      </w:r>
      <w:hyperlink w:anchor="SENTENCIA_2023_150" w:history="1">
        <w:r w:rsidRPr="00E1708A">
          <w:rPr>
            <w:rStyle w:val="TextoNormalCaracter"/>
          </w:rPr>
          <w:t>150/2023</w:t>
        </w:r>
      </w:hyperlink>
      <w:r w:rsidRPr="00E1708A">
        <w:rPr>
          <w:rStyle w:val="TextoNormalCaracter"/>
        </w:rPr>
        <w:t>, ff. 2 y 3.</w:t>
      </w:r>
    </w:p>
    <w:p w14:paraId="3F815921" w14:textId="3C49D871" w:rsidR="00E1708A" w:rsidRPr="00E1708A" w:rsidRDefault="00E1708A" w:rsidP="00E1708A">
      <w:pPr>
        <w:pStyle w:val="TextoNormalSangraFrancesa"/>
        <w:rPr>
          <w:rStyle w:val="TextoNormalCaracter"/>
        </w:rPr>
      </w:pPr>
      <w:bookmarkStart w:id="1270" w:name="DESCRIPTORALFABETICO206"/>
      <w:r w:rsidRPr="00E1708A">
        <w:rPr>
          <w:rStyle w:val="TextoNormalNegritaCaracter"/>
        </w:rPr>
        <w:t>Principio de coordinación</w:t>
      </w:r>
      <w:bookmarkEnd w:id="1270"/>
      <w:r w:rsidRPr="00E1708A">
        <w:rPr>
          <w:rStyle w:val="TextoNormalCaracter"/>
        </w:rPr>
        <w:t xml:space="preserve">, Sentencia </w:t>
      </w:r>
      <w:hyperlink w:anchor="SENTENCIA_2023_149" w:history="1">
        <w:r w:rsidRPr="00E1708A">
          <w:rPr>
            <w:rStyle w:val="TextoNormalCaracter"/>
          </w:rPr>
          <w:t>149/2023</w:t>
        </w:r>
      </w:hyperlink>
      <w:r w:rsidRPr="00E1708A">
        <w:rPr>
          <w:rStyle w:val="TextoNormalCaracter"/>
        </w:rPr>
        <w:t>, ff. 1, 3, 4, VP.</w:t>
      </w:r>
    </w:p>
    <w:p w14:paraId="32E3A70D" w14:textId="2E358E92" w:rsidR="00E1708A" w:rsidRPr="00E1708A" w:rsidRDefault="00E1708A" w:rsidP="00E1708A">
      <w:pPr>
        <w:pStyle w:val="TextoNormalSangraFrancesa"/>
        <w:rPr>
          <w:rStyle w:val="TextoNormalCaracter"/>
        </w:rPr>
      </w:pPr>
      <w:bookmarkStart w:id="1271" w:name="DESCRIPTORALFABETICO267"/>
      <w:r w:rsidRPr="00E1708A">
        <w:rPr>
          <w:rStyle w:val="TextoNormalNegritaCaracter"/>
        </w:rPr>
        <w:t>Principio de culpabilidad</w:t>
      </w:r>
      <w:bookmarkEnd w:id="1271"/>
      <w:r w:rsidRPr="00E1708A">
        <w:rPr>
          <w:rStyle w:val="TextoNormalCaracter"/>
        </w:rPr>
        <w:t xml:space="preserve">, Sentencia </w:t>
      </w:r>
      <w:hyperlink w:anchor="SENTENCIA_2023_179" w:history="1">
        <w:r w:rsidRPr="00E1708A">
          <w:rPr>
            <w:rStyle w:val="TextoNormalCaracter"/>
          </w:rPr>
          <w:t>179/2023</w:t>
        </w:r>
      </w:hyperlink>
      <w:r w:rsidRPr="00E1708A">
        <w:rPr>
          <w:rStyle w:val="TextoNormalCaracter"/>
        </w:rPr>
        <w:t>, ff. 2 y 3.</w:t>
      </w:r>
    </w:p>
    <w:p w14:paraId="6DF48877" w14:textId="3574BC61" w:rsidR="00E1708A" w:rsidRPr="00E1708A" w:rsidRDefault="00E1708A" w:rsidP="00E1708A">
      <w:pPr>
        <w:pStyle w:val="TextoNormalSangraFrancesa"/>
        <w:rPr>
          <w:rStyle w:val="TextoNormalCaracter"/>
        </w:rPr>
      </w:pPr>
      <w:bookmarkStart w:id="1272" w:name="DESCRIPTORALFABETICO336"/>
      <w:r w:rsidRPr="00E1708A">
        <w:rPr>
          <w:rStyle w:val="TextoNormalNegritaCaracter"/>
        </w:rPr>
        <w:t>Principio de efectividad del Derecho de la Unión Europea</w:t>
      </w:r>
      <w:bookmarkEnd w:id="1272"/>
      <w:r w:rsidRPr="00E1708A">
        <w:rPr>
          <w:rStyle w:val="TextoNormalCaracter"/>
        </w:rPr>
        <w:t xml:space="preserve">, Sentencias </w:t>
      </w:r>
      <w:hyperlink w:anchor="SENTENCIA_2023_91" w:history="1">
        <w:r w:rsidRPr="00E1708A">
          <w:rPr>
            <w:rStyle w:val="TextoNormalCaracter"/>
          </w:rPr>
          <w:t>91/2023</w:t>
        </w:r>
      </w:hyperlink>
      <w:r w:rsidRPr="00E1708A">
        <w:rPr>
          <w:rStyle w:val="TextoNormalCaracter"/>
        </w:rPr>
        <w:t xml:space="preserve">, ff. 3 y 4; </w:t>
      </w:r>
      <w:hyperlink w:anchor="SENTENCIA_2023_96" w:history="1">
        <w:r w:rsidRPr="00E1708A">
          <w:rPr>
            <w:rStyle w:val="TextoNormalCaracter"/>
          </w:rPr>
          <w:t>96/2023</w:t>
        </w:r>
      </w:hyperlink>
      <w:r w:rsidRPr="00E1708A">
        <w:rPr>
          <w:rStyle w:val="TextoNormalCaracter"/>
        </w:rPr>
        <w:t>, ff. 2 y 3.</w:t>
      </w:r>
    </w:p>
    <w:p w14:paraId="0685A423" w14:textId="7537DF50" w:rsidR="00E1708A" w:rsidRPr="00E1708A" w:rsidRDefault="00E1708A" w:rsidP="00E1708A">
      <w:pPr>
        <w:pStyle w:val="TextoNormalSangraFrancesa"/>
        <w:rPr>
          <w:rStyle w:val="TextoNormalCaracter"/>
        </w:rPr>
      </w:pPr>
      <w:bookmarkStart w:id="1273" w:name="DESCRIPTORALFABETICO415"/>
      <w:r w:rsidRPr="00E1708A">
        <w:rPr>
          <w:rStyle w:val="TextoNormalNegritaCaracter"/>
        </w:rPr>
        <w:t>Principio de inmediación</w:t>
      </w:r>
      <w:bookmarkEnd w:id="1273"/>
      <w:r w:rsidRPr="00E1708A">
        <w:rPr>
          <w:rStyle w:val="TextoNormalCaracter"/>
        </w:rPr>
        <w:t xml:space="preserve">, Sentencia </w:t>
      </w:r>
      <w:hyperlink w:anchor="SENTENCIA_2023_131" w:history="1">
        <w:r w:rsidRPr="00E1708A">
          <w:rPr>
            <w:rStyle w:val="TextoNormalCaracter"/>
          </w:rPr>
          <w:t>131/2023</w:t>
        </w:r>
      </w:hyperlink>
      <w:r w:rsidRPr="00E1708A">
        <w:rPr>
          <w:rStyle w:val="TextoNormalCaracter"/>
        </w:rPr>
        <w:t>, ff. 2 y 4.</w:t>
      </w:r>
    </w:p>
    <w:p w14:paraId="12214BC6" w14:textId="47835DF0" w:rsidR="00E1708A" w:rsidRPr="00E1708A" w:rsidRDefault="00E1708A" w:rsidP="00E1708A">
      <w:pPr>
        <w:pStyle w:val="TextoNormalSangraFrancesa"/>
        <w:rPr>
          <w:rStyle w:val="TextoNormalCaracter"/>
        </w:rPr>
      </w:pPr>
      <w:bookmarkStart w:id="1274" w:name="DESCRIPTORALFABETICO265"/>
      <w:r w:rsidRPr="00E1708A">
        <w:rPr>
          <w:rStyle w:val="TextoNormalNegritaCaracter"/>
        </w:rPr>
        <w:t>Principio de lealtad constitucional</w:t>
      </w:r>
      <w:bookmarkEnd w:id="1274"/>
      <w:r w:rsidRPr="00E1708A">
        <w:rPr>
          <w:rStyle w:val="TextoNormalCaracter"/>
        </w:rPr>
        <w:t xml:space="preserve">, Sentencia </w:t>
      </w:r>
      <w:hyperlink w:anchor="SENTENCIA_2023_149" w:history="1">
        <w:r w:rsidRPr="00E1708A">
          <w:rPr>
            <w:rStyle w:val="TextoNormalCaracter"/>
          </w:rPr>
          <w:t>149/2023</w:t>
        </w:r>
      </w:hyperlink>
      <w:r w:rsidRPr="00E1708A">
        <w:rPr>
          <w:rStyle w:val="TextoNormalCaracter"/>
        </w:rPr>
        <w:t>, ff. 1, 3, 4, VP.</w:t>
      </w:r>
    </w:p>
    <w:p w14:paraId="383EA999" w14:textId="670964D7" w:rsidR="00E1708A" w:rsidRPr="00E1708A" w:rsidRDefault="00E1708A" w:rsidP="00E1708A">
      <w:pPr>
        <w:pStyle w:val="TextoNormalSangraFrancesa"/>
        <w:rPr>
          <w:rStyle w:val="TextoNormalCaracter"/>
        </w:rPr>
      </w:pPr>
      <w:bookmarkStart w:id="1275" w:name="DESCRIPTORALFABETICO266"/>
      <w:r w:rsidRPr="00E1708A">
        <w:rPr>
          <w:rStyle w:val="TextoNormalNegritaCaracter"/>
        </w:rPr>
        <w:t>Principio de lealtad institucional</w:t>
      </w:r>
      <w:bookmarkEnd w:id="1275"/>
      <w:r w:rsidRPr="00E1708A">
        <w:rPr>
          <w:rStyle w:val="TextoNormalCaracter"/>
        </w:rPr>
        <w:t xml:space="preserve">, Sentencias </w:t>
      </w:r>
      <w:hyperlink w:anchor="SENTENCIA_2023_149" w:history="1">
        <w:r w:rsidRPr="00E1708A">
          <w:rPr>
            <w:rStyle w:val="TextoNormalCaracter"/>
          </w:rPr>
          <w:t>149/2023</w:t>
        </w:r>
      </w:hyperlink>
      <w:r w:rsidRPr="00E1708A">
        <w:rPr>
          <w:rStyle w:val="TextoNormalCaracter"/>
        </w:rPr>
        <w:t xml:space="preserve">, f. 3, VP; </w:t>
      </w:r>
      <w:hyperlink w:anchor="SENTENCIA_2023_170" w:history="1">
        <w:r w:rsidRPr="00E1708A">
          <w:rPr>
            <w:rStyle w:val="TextoNormalCaracter"/>
          </w:rPr>
          <w:t>170/2023</w:t>
        </w:r>
      </w:hyperlink>
      <w:r w:rsidRPr="00E1708A">
        <w:rPr>
          <w:rStyle w:val="TextoNormalCaracter"/>
        </w:rPr>
        <w:t xml:space="preserve">, f. 4, VP; </w:t>
      </w:r>
      <w:hyperlink w:anchor="SENTENCIA_2023_171" w:history="1">
        <w:r w:rsidRPr="00E1708A">
          <w:rPr>
            <w:rStyle w:val="TextoNormalCaracter"/>
          </w:rPr>
          <w:t>171/2023</w:t>
        </w:r>
      </w:hyperlink>
      <w:r w:rsidRPr="00E1708A">
        <w:rPr>
          <w:rStyle w:val="TextoNormalCaracter"/>
        </w:rPr>
        <w:t xml:space="preserve">, f. 2; </w:t>
      </w:r>
      <w:hyperlink w:anchor="SENTENCIA_2023_189" w:history="1">
        <w:r w:rsidRPr="00E1708A">
          <w:rPr>
            <w:rStyle w:val="TextoNormalCaracter"/>
          </w:rPr>
          <w:t>189/2023</w:t>
        </w:r>
      </w:hyperlink>
      <w:r w:rsidRPr="00E1708A">
        <w:rPr>
          <w:rStyle w:val="TextoNormalCaracter"/>
        </w:rPr>
        <w:t xml:space="preserve">, f.4, VP; </w:t>
      </w:r>
      <w:hyperlink w:anchor="SENTENCIA_2023_190" w:history="1">
        <w:r w:rsidRPr="00E1708A">
          <w:rPr>
            <w:rStyle w:val="TextoNormalCaracter"/>
          </w:rPr>
          <w:t>190/2023</w:t>
        </w:r>
      </w:hyperlink>
      <w:r w:rsidRPr="00E1708A">
        <w:rPr>
          <w:rStyle w:val="TextoNormalCaracter"/>
        </w:rPr>
        <w:t>, f. 4, VP.</w:t>
      </w:r>
    </w:p>
    <w:p w14:paraId="1D9F1FA9" w14:textId="717AAEFE" w:rsidR="00E1708A" w:rsidRPr="00E1708A" w:rsidRDefault="00E1708A" w:rsidP="00E1708A">
      <w:pPr>
        <w:pStyle w:val="TextoNormalSangraFrancesa"/>
        <w:rPr>
          <w:rStyle w:val="TextoNormalCaracter"/>
        </w:rPr>
      </w:pPr>
      <w:bookmarkStart w:id="1276" w:name="DESCRIPTORALFABETICO270"/>
      <w:r w:rsidRPr="00E1708A">
        <w:rPr>
          <w:rStyle w:val="TextoNormalNegritaCaracter"/>
        </w:rPr>
        <w:t>Principio de legalidad tributaria</w:t>
      </w:r>
      <w:bookmarkEnd w:id="1276"/>
      <w:r w:rsidRPr="00E1708A">
        <w:rPr>
          <w:rStyle w:val="TextoNormalCaracter"/>
        </w:rPr>
        <w:t xml:space="preserve">, Sentencias </w:t>
      </w:r>
      <w:hyperlink w:anchor="SENTENCIA_2023_149" w:history="1">
        <w:r w:rsidRPr="00E1708A">
          <w:rPr>
            <w:rStyle w:val="TextoNormalCaracter"/>
          </w:rPr>
          <w:t>149/2023</w:t>
        </w:r>
      </w:hyperlink>
      <w:r w:rsidRPr="00E1708A">
        <w:rPr>
          <w:rStyle w:val="TextoNormalCaracter"/>
        </w:rPr>
        <w:t xml:space="preserve">, f. 3, VP; </w:t>
      </w:r>
      <w:hyperlink w:anchor="SENTENCIA_2023_170" w:history="1">
        <w:r w:rsidRPr="00E1708A">
          <w:rPr>
            <w:rStyle w:val="TextoNormalCaracter"/>
          </w:rPr>
          <w:t>170/2023</w:t>
        </w:r>
      </w:hyperlink>
      <w:r w:rsidRPr="00E1708A">
        <w:rPr>
          <w:rStyle w:val="TextoNormalCaracter"/>
        </w:rPr>
        <w:t xml:space="preserve">, VP; </w:t>
      </w:r>
      <w:hyperlink w:anchor="SENTENCIA_2023_171" w:history="1">
        <w:r w:rsidRPr="00E1708A">
          <w:rPr>
            <w:rStyle w:val="TextoNormalCaracter"/>
          </w:rPr>
          <w:t>171/2023</w:t>
        </w:r>
      </w:hyperlink>
      <w:r w:rsidRPr="00E1708A">
        <w:rPr>
          <w:rStyle w:val="TextoNormalCaracter"/>
        </w:rPr>
        <w:t xml:space="preserve">, VP; </w:t>
      </w:r>
      <w:hyperlink w:anchor="SENTENCIA_2023_189" w:history="1">
        <w:r w:rsidRPr="00E1708A">
          <w:rPr>
            <w:rStyle w:val="TextoNormalCaracter"/>
          </w:rPr>
          <w:t>189/2023</w:t>
        </w:r>
      </w:hyperlink>
      <w:r w:rsidRPr="00E1708A">
        <w:rPr>
          <w:rStyle w:val="TextoNormalCaracter"/>
        </w:rPr>
        <w:t xml:space="preserve">, VP; </w:t>
      </w:r>
      <w:hyperlink w:anchor="SENTENCIA_2023_190" w:history="1">
        <w:r w:rsidRPr="00E1708A">
          <w:rPr>
            <w:rStyle w:val="TextoNormalCaracter"/>
          </w:rPr>
          <w:t>190/2023</w:t>
        </w:r>
      </w:hyperlink>
      <w:r w:rsidRPr="00E1708A">
        <w:rPr>
          <w:rStyle w:val="TextoNormalCaracter"/>
        </w:rPr>
        <w:t>, VP.</w:t>
      </w:r>
    </w:p>
    <w:p w14:paraId="6EDBACA8" w14:textId="10FAE408" w:rsidR="00E1708A" w:rsidRPr="00E1708A" w:rsidRDefault="00E1708A" w:rsidP="00E1708A">
      <w:pPr>
        <w:pStyle w:val="TextoNormalSangraFrancesa"/>
        <w:rPr>
          <w:rStyle w:val="TextoNormalCaracter"/>
        </w:rPr>
      </w:pPr>
      <w:bookmarkStart w:id="1277" w:name="DESCRIPTORALFABETICO268"/>
      <w:r w:rsidRPr="00E1708A">
        <w:rPr>
          <w:rStyle w:val="TextoNormalNegritaCaracter"/>
        </w:rPr>
        <w:t>Principio de personalidad de la pena</w:t>
      </w:r>
      <w:bookmarkEnd w:id="1277"/>
      <w:r w:rsidRPr="00E1708A">
        <w:rPr>
          <w:rStyle w:val="TextoNormalCaracter"/>
        </w:rPr>
        <w:t xml:space="preserve">, Sentencia </w:t>
      </w:r>
      <w:hyperlink w:anchor="SENTENCIA_2023_179" w:history="1">
        <w:r w:rsidRPr="00E1708A">
          <w:rPr>
            <w:rStyle w:val="TextoNormalCaracter"/>
          </w:rPr>
          <w:t>179/2023</w:t>
        </w:r>
      </w:hyperlink>
      <w:r w:rsidRPr="00E1708A">
        <w:rPr>
          <w:rStyle w:val="TextoNormalCaracter"/>
        </w:rPr>
        <w:t>, ff. 2 y 3.</w:t>
      </w:r>
    </w:p>
    <w:p w14:paraId="191DF0D3" w14:textId="4ACDBDE8" w:rsidR="00E1708A" w:rsidRPr="00E1708A" w:rsidRDefault="00E1708A" w:rsidP="00E1708A">
      <w:pPr>
        <w:pStyle w:val="TextoNormalSangraFrancesa"/>
        <w:rPr>
          <w:rStyle w:val="TextoNormalCaracter"/>
        </w:rPr>
      </w:pPr>
      <w:bookmarkStart w:id="1278" w:name="DESCRIPTORALFABETICO269"/>
      <w:r w:rsidRPr="00E1708A">
        <w:rPr>
          <w:rStyle w:val="TextoNormalNegritaCaracter"/>
        </w:rPr>
        <w:t>Principio de personalidad de la sanción</w:t>
      </w:r>
      <w:bookmarkEnd w:id="1278"/>
      <w:r w:rsidRPr="00E1708A">
        <w:rPr>
          <w:rStyle w:val="TextoNormalCaracter"/>
        </w:rPr>
        <w:t xml:space="preserve">, Sentencia </w:t>
      </w:r>
      <w:hyperlink w:anchor="SENTENCIA_2023_179" w:history="1">
        <w:r w:rsidRPr="00E1708A">
          <w:rPr>
            <w:rStyle w:val="TextoNormalCaracter"/>
          </w:rPr>
          <w:t>179/2023</w:t>
        </w:r>
      </w:hyperlink>
      <w:r w:rsidRPr="00E1708A">
        <w:rPr>
          <w:rStyle w:val="TextoNormalCaracter"/>
        </w:rPr>
        <w:t>, ff. 2 y 3.</w:t>
      </w:r>
    </w:p>
    <w:p w14:paraId="2A1858D2" w14:textId="6BC9C880" w:rsidR="00E1708A" w:rsidRPr="00E1708A" w:rsidRDefault="00E1708A" w:rsidP="00E1708A">
      <w:pPr>
        <w:pStyle w:val="TextoNormalSangraFrancesa"/>
        <w:rPr>
          <w:rStyle w:val="TextoNormalCaracter"/>
        </w:rPr>
      </w:pPr>
      <w:bookmarkStart w:id="1279" w:name="DESCRIPTORALFABETICO271"/>
      <w:r w:rsidRPr="00E1708A">
        <w:rPr>
          <w:rStyle w:val="TextoNormalNegritaCaracter"/>
        </w:rPr>
        <w:t>Principio de proporcionalidad</w:t>
      </w:r>
      <w:bookmarkEnd w:id="1279"/>
      <w:r w:rsidRPr="00E1708A">
        <w:rPr>
          <w:rStyle w:val="TextoNormalCaracter"/>
        </w:rPr>
        <w:t xml:space="preserve">, Sentencias </w:t>
      </w:r>
      <w:hyperlink w:anchor="SENTENCIA_2023_80" w:history="1">
        <w:r w:rsidRPr="00E1708A">
          <w:rPr>
            <w:rStyle w:val="TextoNormalCaracter"/>
          </w:rPr>
          <w:t>80/2023</w:t>
        </w:r>
      </w:hyperlink>
      <w:r w:rsidRPr="00E1708A">
        <w:rPr>
          <w:rStyle w:val="TextoNormalCaracter"/>
        </w:rPr>
        <w:t xml:space="preserve">, f. único; </w:t>
      </w:r>
      <w:hyperlink w:anchor="SENTENCIA_2023_86" w:history="1">
        <w:r w:rsidRPr="00E1708A">
          <w:rPr>
            <w:rStyle w:val="TextoNormalCaracter"/>
          </w:rPr>
          <w:t>86/2023</w:t>
        </w:r>
      </w:hyperlink>
      <w:r w:rsidRPr="00E1708A">
        <w:rPr>
          <w:rStyle w:val="TextoNormalCaracter"/>
        </w:rPr>
        <w:t xml:space="preserve">, f. único; </w:t>
      </w:r>
      <w:hyperlink w:anchor="SENTENCIA_2023_87" w:history="1">
        <w:r w:rsidRPr="00E1708A">
          <w:rPr>
            <w:rStyle w:val="TextoNormalCaracter"/>
          </w:rPr>
          <w:t>87/2023</w:t>
        </w:r>
      </w:hyperlink>
      <w:r w:rsidRPr="00E1708A">
        <w:rPr>
          <w:rStyle w:val="TextoNormalCaracter"/>
        </w:rPr>
        <w:t xml:space="preserve">, f. 3; </w:t>
      </w:r>
      <w:hyperlink w:anchor="SENTENCIA_2023_94" w:history="1">
        <w:r w:rsidRPr="00E1708A">
          <w:rPr>
            <w:rStyle w:val="TextoNormalCaracter"/>
          </w:rPr>
          <w:t>94/2023</w:t>
        </w:r>
      </w:hyperlink>
      <w:r w:rsidRPr="00E1708A">
        <w:rPr>
          <w:rStyle w:val="TextoNormalCaracter"/>
        </w:rPr>
        <w:t xml:space="preserve">, f. 3; </w:t>
      </w:r>
      <w:hyperlink w:anchor="SENTENCIA_2023_130" w:history="1">
        <w:r w:rsidRPr="00E1708A">
          <w:rPr>
            <w:rStyle w:val="TextoNormalCaracter"/>
          </w:rPr>
          <w:t>130/2023</w:t>
        </w:r>
      </w:hyperlink>
      <w:r w:rsidRPr="00E1708A">
        <w:rPr>
          <w:rStyle w:val="TextoNormalCaracter"/>
        </w:rPr>
        <w:t xml:space="preserve">, f. único; </w:t>
      </w:r>
      <w:hyperlink w:anchor="SENTENCIA_2023_145" w:history="1">
        <w:r w:rsidRPr="00E1708A">
          <w:rPr>
            <w:rStyle w:val="TextoNormalCaracter"/>
          </w:rPr>
          <w:t>145/2023</w:t>
        </w:r>
      </w:hyperlink>
      <w:r w:rsidRPr="00E1708A">
        <w:rPr>
          <w:rStyle w:val="TextoNormalCaracter"/>
        </w:rPr>
        <w:t>, f. 4.</w:t>
      </w:r>
    </w:p>
    <w:p w14:paraId="2DD409D6" w14:textId="1FB9CF59" w:rsidR="00E1708A" w:rsidRPr="00E1708A" w:rsidRDefault="00E1708A" w:rsidP="00E1708A">
      <w:pPr>
        <w:pStyle w:val="TextoNormalSangraFrancesa"/>
        <w:rPr>
          <w:rStyle w:val="TextoNormalCaracter"/>
        </w:rPr>
      </w:pPr>
      <w:bookmarkStart w:id="1280" w:name="DESCRIPTORALFABETICO273"/>
      <w:r w:rsidRPr="00E1708A">
        <w:rPr>
          <w:rStyle w:val="TextoNormalNegritaCaracter"/>
        </w:rPr>
        <w:t>Principio de seguridad jurídica</w:t>
      </w:r>
      <w:bookmarkEnd w:id="1280"/>
      <w:r w:rsidRPr="00E1708A">
        <w:rPr>
          <w:rStyle w:val="TextoNormalCaracter"/>
        </w:rPr>
        <w:t xml:space="preserve">, Sentencias </w:t>
      </w:r>
      <w:hyperlink w:anchor="SENTENCIA_2023_144" w:history="1">
        <w:r w:rsidRPr="00E1708A">
          <w:rPr>
            <w:rStyle w:val="TextoNormalCaracter"/>
          </w:rPr>
          <w:t>144/2023</w:t>
        </w:r>
      </w:hyperlink>
      <w:r w:rsidRPr="00E1708A">
        <w:rPr>
          <w:rStyle w:val="TextoNormalCaracter"/>
        </w:rPr>
        <w:t xml:space="preserve">, ff. 4 y 5, VP; </w:t>
      </w:r>
      <w:hyperlink w:anchor="SENTENCIA_2023_149" w:history="1">
        <w:r w:rsidRPr="00E1708A">
          <w:rPr>
            <w:rStyle w:val="TextoNormalCaracter"/>
          </w:rPr>
          <w:t>149/2023</w:t>
        </w:r>
      </w:hyperlink>
      <w:r w:rsidRPr="00E1708A">
        <w:rPr>
          <w:rStyle w:val="TextoNormalCaracter"/>
        </w:rPr>
        <w:t xml:space="preserve">, f. 5, VP; </w:t>
      </w:r>
      <w:hyperlink w:anchor="SENTENCIA_2023_168" w:history="1">
        <w:r w:rsidRPr="00E1708A">
          <w:rPr>
            <w:rStyle w:val="TextoNormalCaracter"/>
          </w:rPr>
          <w:t>168/2023</w:t>
        </w:r>
      </w:hyperlink>
      <w:r w:rsidRPr="00E1708A">
        <w:rPr>
          <w:rStyle w:val="TextoNormalCaracter"/>
        </w:rPr>
        <w:t xml:space="preserve">, ff. 6 y 7; </w:t>
      </w:r>
      <w:hyperlink w:anchor="SENTENCIA_2023_170" w:history="1">
        <w:r w:rsidRPr="00E1708A">
          <w:rPr>
            <w:rStyle w:val="TextoNormalCaracter"/>
          </w:rPr>
          <w:t>170/2023</w:t>
        </w:r>
      </w:hyperlink>
      <w:r w:rsidRPr="00E1708A">
        <w:rPr>
          <w:rStyle w:val="TextoNormalCaracter"/>
        </w:rPr>
        <w:t xml:space="preserve">, f. 5, VP; </w:t>
      </w:r>
      <w:hyperlink w:anchor="SENTENCIA_2023_171" w:history="1">
        <w:r w:rsidRPr="00E1708A">
          <w:rPr>
            <w:rStyle w:val="TextoNormalCaracter"/>
          </w:rPr>
          <w:t>171/2023</w:t>
        </w:r>
      </w:hyperlink>
      <w:r w:rsidRPr="00E1708A">
        <w:rPr>
          <w:rStyle w:val="TextoNormalCaracter"/>
        </w:rPr>
        <w:t xml:space="preserve">, f. 5, VP; </w:t>
      </w:r>
      <w:hyperlink w:anchor="SENTENCIA_2023_189" w:history="1">
        <w:r w:rsidRPr="00E1708A">
          <w:rPr>
            <w:rStyle w:val="TextoNormalCaracter"/>
          </w:rPr>
          <w:t>189/2023</w:t>
        </w:r>
      </w:hyperlink>
      <w:r w:rsidRPr="00E1708A">
        <w:rPr>
          <w:rStyle w:val="TextoNormalCaracter"/>
        </w:rPr>
        <w:t xml:space="preserve">, f.5, VP; </w:t>
      </w:r>
      <w:hyperlink w:anchor="SENTENCIA_2023_190" w:history="1">
        <w:r w:rsidRPr="00E1708A">
          <w:rPr>
            <w:rStyle w:val="TextoNormalCaracter"/>
          </w:rPr>
          <w:t>190/2023</w:t>
        </w:r>
      </w:hyperlink>
      <w:r w:rsidRPr="00E1708A">
        <w:rPr>
          <w:rStyle w:val="TextoNormalCaracter"/>
        </w:rPr>
        <w:t>, f. 5, VP.</w:t>
      </w:r>
    </w:p>
    <w:p w14:paraId="18A1821D" w14:textId="60303103" w:rsidR="00E1708A" w:rsidRPr="00E1708A" w:rsidRDefault="00E1708A" w:rsidP="00E1708A">
      <w:pPr>
        <w:pStyle w:val="TextoNormalSangraFrancesa"/>
        <w:rPr>
          <w:rStyle w:val="TextoNormalCaracter"/>
        </w:rPr>
      </w:pPr>
      <w:r w:rsidRPr="00E1708A">
        <w:rPr>
          <w:rStyle w:val="TextoNormalCursivaCaracter"/>
        </w:rPr>
        <w:t xml:space="preserve">    Respetado, </w:t>
      </w:r>
      <w:r w:rsidRPr="00E1708A">
        <w:rPr>
          <w:rStyle w:val="TextoNormalCaracter"/>
        </w:rPr>
        <w:t xml:space="preserve">Sentencias </w:t>
      </w:r>
      <w:hyperlink w:anchor="SENTENCIA_2023_94" w:history="1">
        <w:r w:rsidRPr="00E1708A">
          <w:rPr>
            <w:rStyle w:val="TextoNormalCaracter"/>
          </w:rPr>
          <w:t>94/2023</w:t>
        </w:r>
      </w:hyperlink>
      <w:r w:rsidRPr="00E1708A">
        <w:rPr>
          <w:rStyle w:val="TextoNormalCaracter"/>
        </w:rPr>
        <w:t xml:space="preserve">, f. 3; </w:t>
      </w:r>
      <w:hyperlink w:anchor="SENTENCIA_2023_145" w:history="1">
        <w:r w:rsidRPr="00E1708A">
          <w:rPr>
            <w:rStyle w:val="TextoNormalCaracter"/>
          </w:rPr>
          <w:t>145/2023</w:t>
        </w:r>
      </w:hyperlink>
      <w:r w:rsidRPr="00E1708A">
        <w:rPr>
          <w:rStyle w:val="TextoNormalCaracter"/>
        </w:rPr>
        <w:t xml:space="preserve">, f. 4; </w:t>
      </w:r>
      <w:hyperlink w:anchor="SENTENCIA_2023_166" w:history="1">
        <w:r w:rsidRPr="00E1708A">
          <w:rPr>
            <w:rStyle w:val="TextoNormalCaracter"/>
          </w:rPr>
          <w:t>166/2023</w:t>
        </w:r>
      </w:hyperlink>
      <w:r w:rsidRPr="00E1708A">
        <w:rPr>
          <w:rStyle w:val="TextoNormalCaracter"/>
        </w:rPr>
        <w:t>, f. 8.</w:t>
      </w:r>
    </w:p>
    <w:p w14:paraId="318C294A" w14:textId="2B4DBF3B" w:rsidR="00E1708A" w:rsidRPr="00E1708A" w:rsidRDefault="00E1708A" w:rsidP="00E1708A">
      <w:pPr>
        <w:pStyle w:val="TextoNormalSangraFrancesa"/>
        <w:rPr>
          <w:rStyle w:val="TextoNormalCaracter"/>
        </w:rPr>
      </w:pPr>
      <w:bookmarkStart w:id="1281" w:name="DESCRIPTORALFABETICO28"/>
      <w:r w:rsidRPr="00E1708A">
        <w:rPr>
          <w:rStyle w:val="TextoNormalNegritaCaracter"/>
        </w:rPr>
        <w:t>Principio de suficiencia financiera</w:t>
      </w:r>
      <w:bookmarkEnd w:id="1281"/>
      <w:r w:rsidRPr="00E1708A">
        <w:rPr>
          <w:rStyle w:val="TextoNormalCaracter"/>
        </w:rPr>
        <w:t xml:space="preserve">, Sentencia </w:t>
      </w:r>
      <w:hyperlink w:anchor="SENTENCIA_2023_143" w:history="1">
        <w:r w:rsidRPr="00E1708A">
          <w:rPr>
            <w:rStyle w:val="TextoNormalCaracter"/>
          </w:rPr>
          <w:t>143/2023</w:t>
        </w:r>
      </w:hyperlink>
      <w:r w:rsidRPr="00E1708A">
        <w:rPr>
          <w:rStyle w:val="TextoNormalCaracter"/>
        </w:rPr>
        <w:t>, f. 3.</w:t>
      </w:r>
    </w:p>
    <w:p w14:paraId="700CB245" w14:textId="11B593D4" w:rsidR="00E1708A" w:rsidRPr="00E1708A" w:rsidRDefault="00E1708A" w:rsidP="00E1708A">
      <w:pPr>
        <w:pStyle w:val="TextoNormalSangraFrancesa"/>
        <w:rPr>
          <w:rStyle w:val="TextoNormalCaracter"/>
        </w:rPr>
      </w:pPr>
      <w:bookmarkStart w:id="1282" w:name="DESCRIPTORALFABETICO416"/>
      <w:r w:rsidRPr="00E1708A">
        <w:rPr>
          <w:rStyle w:val="TextoNormalNegritaCaracter"/>
        </w:rPr>
        <w:t>Principio in dubio pro libertatis</w:t>
      </w:r>
      <w:bookmarkEnd w:id="1282"/>
      <w:r w:rsidRPr="00E1708A">
        <w:rPr>
          <w:rStyle w:val="TextoNormalCaracter"/>
        </w:rPr>
        <w:t xml:space="preserve">, Sentencia </w:t>
      </w:r>
      <w:hyperlink w:anchor="SENTENCIA_2023_136" w:history="1">
        <w:r w:rsidRPr="00E1708A">
          <w:rPr>
            <w:rStyle w:val="TextoNormalCaracter"/>
          </w:rPr>
          <w:t>136/2023</w:t>
        </w:r>
      </w:hyperlink>
      <w:r w:rsidRPr="00E1708A">
        <w:rPr>
          <w:rStyle w:val="TextoNormalCaracter"/>
        </w:rPr>
        <w:t>, f. 5.</w:t>
      </w:r>
    </w:p>
    <w:p w14:paraId="27E36C6D" w14:textId="42A591CB" w:rsidR="00E1708A" w:rsidRPr="00E1708A" w:rsidRDefault="00E1708A" w:rsidP="00E1708A">
      <w:pPr>
        <w:pStyle w:val="TextoNormalSangraFrancesa"/>
        <w:rPr>
          <w:rStyle w:val="TextoNormalCaracter"/>
        </w:rPr>
      </w:pPr>
      <w:bookmarkStart w:id="1283" w:name="DESCRIPTORALFABETICO207"/>
      <w:r w:rsidRPr="00E1708A">
        <w:rPr>
          <w:rStyle w:val="TextoNormalNegritaCaracter"/>
        </w:rPr>
        <w:t>Principios de mérito y capacidad</w:t>
      </w:r>
      <w:bookmarkEnd w:id="1283"/>
      <w:r w:rsidRPr="00E1708A">
        <w:rPr>
          <w:rStyle w:val="TextoNormalCaracter"/>
        </w:rPr>
        <w:t xml:space="preserve">, Sentencia </w:t>
      </w:r>
      <w:hyperlink w:anchor="SENTENCIA_2023_145" w:history="1">
        <w:r w:rsidRPr="00E1708A">
          <w:rPr>
            <w:rStyle w:val="TextoNormalCaracter"/>
          </w:rPr>
          <w:t>145/2023</w:t>
        </w:r>
      </w:hyperlink>
      <w:r w:rsidRPr="00E1708A">
        <w:rPr>
          <w:rStyle w:val="TextoNormalCaracter"/>
        </w:rPr>
        <w:t>, f. 4.</w:t>
      </w:r>
    </w:p>
    <w:p w14:paraId="25D90D77" w14:textId="54D7DED4" w:rsidR="00E1708A" w:rsidRPr="00E1708A" w:rsidRDefault="00E1708A" w:rsidP="00E1708A">
      <w:pPr>
        <w:pStyle w:val="TextoNormalSangraFrancesa"/>
        <w:rPr>
          <w:rStyle w:val="TextoNormalCaracter"/>
        </w:rPr>
      </w:pPr>
      <w:bookmarkStart w:id="1284" w:name="DESCRIPTORALFABETICO136"/>
      <w:r w:rsidRPr="00E1708A">
        <w:rPr>
          <w:rStyle w:val="TextoNormalNegritaCaracter"/>
        </w:rPr>
        <w:t>Principios de preferencia y sumariedad</w:t>
      </w:r>
      <w:bookmarkEnd w:id="1284"/>
      <w:r w:rsidRPr="00E1708A">
        <w:rPr>
          <w:rStyle w:val="TextoNormalCaracter"/>
        </w:rPr>
        <w:t xml:space="preserve">, Sentencia </w:t>
      </w:r>
      <w:hyperlink w:anchor="SENTENCIA_2023_94" w:history="1">
        <w:r w:rsidRPr="00E1708A">
          <w:rPr>
            <w:rStyle w:val="TextoNormalCaracter"/>
          </w:rPr>
          <w:t>94/2023</w:t>
        </w:r>
      </w:hyperlink>
      <w:r w:rsidRPr="00E1708A">
        <w:rPr>
          <w:rStyle w:val="TextoNormalCaracter"/>
        </w:rPr>
        <w:t>, f. 6.</w:t>
      </w:r>
    </w:p>
    <w:p w14:paraId="16E73602" w14:textId="5A6C4078" w:rsidR="00E1708A" w:rsidRPr="00E1708A" w:rsidRDefault="00E1708A" w:rsidP="00E1708A">
      <w:pPr>
        <w:pStyle w:val="TextoNormalSangraFrancesa"/>
        <w:rPr>
          <w:rStyle w:val="TextoNormalCaracter"/>
        </w:rPr>
      </w:pPr>
      <w:bookmarkStart w:id="1285" w:name="DESCRIPTORALFABETICO307"/>
      <w:r w:rsidRPr="00E1708A">
        <w:rPr>
          <w:rStyle w:val="TextoNormalNegritaCaracter"/>
        </w:rPr>
        <w:t>Procedimiento administrativo sancionador</w:t>
      </w:r>
      <w:bookmarkEnd w:id="1285"/>
      <w:r w:rsidRPr="00E1708A">
        <w:rPr>
          <w:rStyle w:val="TextoNormalCaracter"/>
        </w:rPr>
        <w:t xml:space="preserve">, Sentencia </w:t>
      </w:r>
      <w:hyperlink w:anchor="SENTENCIA_2023_150" w:history="1">
        <w:r w:rsidRPr="00E1708A">
          <w:rPr>
            <w:rStyle w:val="TextoNormalCaracter"/>
          </w:rPr>
          <w:t>150/2023</w:t>
        </w:r>
      </w:hyperlink>
      <w:r w:rsidRPr="00E1708A">
        <w:rPr>
          <w:rStyle w:val="TextoNormalCaracter"/>
        </w:rPr>
        <w:t>, ff. 1 a 3.</w:t>
      </w:r>
    </w:p>
    <w:p w14:paraId="44A67664" w14:textId="69DA446C" w:rsidR="00E1708A" w:rsidRPr="00E1708A" w:rsidRDefault="00E1708A" w:rsidP="00E1708A">
      <w:pPr>
        <w:pStyle w:val="TextoNormalSangraFrancesa"/>
        <w:rPr>
          <w:rStyle w:val="TextoNormalCaracter"/>
        </w:rPr>
      </w:pPr>
      <w:bookmarkStart w:id="1286" w:name="DESCRIPTORALFABETICO426"/>
      <w:r w:rsidRPr="00E1708A">
        <w:rPr>
          <w:rStyle w:val="TextoNormalNegritaCaracter"/>
        </w:rPr>
        <w:t>Procedimiento de extradición</w:t>
      </w:r>
      <w:bookmarkEnd w:id="1286"/>
      <w:r w:rsidRPr="00E1708A">
        <w:rPr>
          <w:rStyle w:val="TextoNormalCaracter"/>
        </w:rPr>
        <w:t xml:space="preserve">, Auto </w:t>
      </w:r>
      <w:hyperlink w:anchor="AUTO_2023_482" w:history="1">
        <w:r w:rsidRPr="00E1708A">
          <w:rPr>
            <w:rStyle w:val="TextoNormalCaracter"/>
          </w:rPr>
          <w:t>482/2023</w:t>
        </w:r>
      </w:hyperlink>
      <w:r w:rsidRPr="00E1708A">
        <w:rPr>
          <w:rStyle w:val="TextoNormalCaracter"/>
        </w:rPr>
        <w:t>, f. 1.</w:t>
      </w:r>
    </w:p>
    <w:p w14:paraId="5C1FD189" w14:textId="622E0F27" w:rsidR="00E1708A" w:rsidRPr="00E1708A" w:rsidRDefault="00E1708A" w:rsidP="00E1708A">
      <w:pPr>
        <w:pStyle w:val="TextoNormalSangraFrancesa"/>
        <w:rPr>
          <w:rStyle w:val="TextoNormalCaracter"/>
        </w:rPr>
      </w:pPr>
      <w:bookmarkStart w:id="1287" w:name="DESCRIPTORALFABETICO40"/>
      <w:r w:rsidRPr="00E1708A">
        <w:rPr>
          <w:rStyle w:val="TextoNormalNegritaCaracter"/>
        </w:rPr>
        <w:t>Procedimiento electoral</w:t>
      </w:r>
      <w:bookmarkEnd w:id="1287"/>
      <w:r w:rsidRPr="00E1708A">
        <w:rPr>
          <w:rStyle w:val="TextoNormalCaracter"/>
        </w:rPr>
        <w:t xml:space="preserve">, Sentencia </w:t>
      </w:r>
      <w:hyperlink w:anchor="SENTENCIA_2023_95" w:history="1">
        <w:r w:rsidRPr="00E1708A">
          <w:rPr>
            <w:rStyle w:val="TextoNormalCaracter"/>
          </w:rPr>
          <w:t>95/2023</w:t>
        </w:r>
      </w:hyperlink>
      <w:r w:rsidRPr="00E1708A">
        <w:rPr>
          <w:rStyle w:val="TextoNormalCaracter"/>
        </w:rPr>
        <w:t>, f. 2.</w:t>
      </w:r>
    </w:p>
    <w:p w14:paraId="7C9728F8" w14:textId="3A9F7E3A" w:rsidR="00E1708A" w:rsidRPr="00E1708A" w:rsidRDefault="00E1708A" w:rsidP="00E1708A">
      <w:pPr>
        <w:pStyle w:val="TextoNormalSangraFrancesa"/>
        <w:rPr>
          <w:rStyle w:val="TextoNormalCaracter"/>
        </w:rPr>
      </w:pPr>
      <w:bookmarkStart w:id="1288" w:name="DESCRIPTORALFABETICO230"/>
      <w:r w:rsidRPr="00E1708A">
        <w:rPr>
          <w:rStyle w:val="TextoNormalNegritaCaracter"/>
        </w:rPr>
        <w:t>Procedimiento legislativo de urgencia</w:t>
      </w:r>
      <w:bookmarkEnd w:id="1288"/>
      <w:r w:rsidRPr="00E1708A">
        <w:rPr>
          <w:rStyle w:val="TextoNormalCaracter"/>
        </w:rPr>
        <w:t xml:space="preserve">, Sentencia </w:t>
      </w:r>
      <w:hyperlink w:anchor="SENTENCIA_2023_94" w:history="1">
        <w:r w:rsidRPr="00E1708A">
          <w:rPr>
            <w:rStyle w:val="TextoNormalCaracter"/>
          </w:rPr>
          <w:t>94/2023</w:t>
        </w:r>
      </w:hyperlink>
      <w:r w:rsidRPr="00E1708A">
        <w:rPr>
          <w:rStyle w:val="TextoNormalCaracter"/>
        </w:rPr>
        <w:t>, f. 2.</w:t>
      </w:r>
    </w:p>
    <w:p w14:paraId="50F3CDBA" w14:textId="24CD01C7" w:rsidR="00E1708A" w:rsidRPr="00E1708A" w:rsidRDefault="00E1708A" w:rsidP="00E1708A">
      <w:pPr>
        <w:pStyle w:val="TextoNormalSangraFrancesa"/>
        <w:rPr>
          <w:rStyle w:val="TextoNormalCaracter"/>
        </w:rPr>
      </w:pPr>
      <w:bookmarkStart w:id="1289" w:name="DESCRIPTORALFABETICO231"/>
      <w:r w:rsidRPr="00E1708A">
        <w:rPr>
          <w:rStyle w:val="TextoNormalNegritaCaracter"/>
        </w:rPr>
        <w:t>Procedimiento legislativo ordinario</w:t>
      </w:r>
      <w:bookmarkEnd w:id="1289"/>
      <w:r w:rsidRPr="00E1708A">
        <w:rPr>
          <w:rStyle w:val="TextoNormalCaracter"/>
        </w:rPr>
        <w:t xml:space="preserve">, Sentencia </w:t>
      </w:r>
      <w:hyperlink w:anchor="SENTENCIA_2023_94" w:history="1">
        <w:r w:rsidRPr="00E1708A">
          <w:rPr>
            <w:rStyle w:val="TextoNormalCaracter"/>
          </w:rPr>
          <w:t>94/2023</w:t>
        </w:r>
      </w:hyperlink>
      <w:r w:rsidRPr="00E1708A">
        <w:rPr>
          <w:rStyle w:val="TextoNormalCaracter"/>
        </w:rPr>
        <w:t>, f. 2.</w:t>
      </w:r>
    </w:p>
    <w:p w14:paraId="15435DD2" w14:textId="09C2C08A" w:rsidR="00E1708A" w:rsidRPr="00E1708A" w:rsidRDefault="00E1708A" w:rsidP="00E1708A">
      <w:pPr>
        <w:pStyle w:val="TextoNormalSangraFrancesa"/>
        <w:rPr>
          <w:rStyle w:val="TextoNormalCaracter"/>
        </w:rPr>
      </w:pPr>
      <w:bookmarkStart w:id="1290" w:name="DESCRIPTORALFABETICO422"/>
      <w:r w:rsidRPr="00E1708A">
        <w:rPr>
          <w:rStyle w:val="TextoNormalNegritaCaracter"/>
        </w:rPr>
        <w:t>Proceso de ejecución hipotecaria</w:t>
      </w:r>
      <w:bookmarkEnd w:id="1290"/>
      <w:r w:rsidRPr="00E1708A">
        <w:rPr>
          <w:rStyle w:val="TextoNormalCaracter"/>
        </w:rPr>
        <w:t xml:space="preserve">, Sentencias </w:t>
      </w:r>
      <w:hyperlink w:anchor="SENTENCIA_2023_151" w:history="1">
        <w:r w:rsidRPr="00E1708A">
          <w:rPr>
            <w:rStyle w:val="TextoNormalCaracter"/>
          </w:rPr>
          <w:t>151/2023</w:t>
        </w:r>
      </w:hyperlink>
      <w:r w:rsidRPr="00E1708A">
        <w:rPr>
          <w:rStyle w:val="TextoNormalCaracter"/>
        </w:rPr>
        <w:t xml:space="preserve">, ff. 1 y 2; </w:t>
      </w:r>
      <w:hyperlink w:anchor="SENTENCIA_2023_172" w:history="1">
        <w:r w:rsidRPr="00E1708A">
          <w:rPr>
            <w:rStyle w:val="TextoNormalCaracter"/>
          </w:rPr>
          <w:t>172/2023</w:t>
        </w:r>
      </w:hyperlink>
      <w:r w:rsidRPr="00E1708A">
        <w:rPr>
          <w:rStyle w:val="TextoNormalCaracter"/>
        </w:rPr>
        <w:t>, f. 1.</w:t>
      </w:r>
    </w:p>
    <w:p w14:paraId="28D64BEC" w14:textId="7E6DAF8F" w:rsidR="00E1708A" w:rsidRPr="00E1708A" w:rsidRDefault="00E1708A" w:rsidP="00E1708A">
      <w:pPr>
        <w:pStyle w:val="TextoNormalSangraFrancesa"/>
        <w:rPr>
          <w:rStyle w:val="TextoNormalCaracter"/>
        </w:rPr>
      </w:pPr>
      <w:bookmarkStart w:id="1291" w:name="DESCRIPTORALFABETICO33"/>
      <w:r w:rsidRPr="00E1708A">
        <w:rPr>
          <w:rStyle w:val="TextoNormalNegritaCaracter"/>
        </w:rPr>
        <w:t>Prohibición de confiscatoriedad</w:t>
      </w:r>
      <w:bookmarkEnd w:id="1291"/>
      <w:r w:rsidRPr="00E1708A">
        <w:rPr>
          <w:rStyle w:val="TextoNormalCaracter"/>
        </w:rPr>
        <w:t xml:space="preserve">, Sentencia </w:t>
      </w:r>
      <w:hyperlink w:anchor="SENTENCIA_2023_149" w:history="1">
        <w:r w:rsidRPr="00E1708A">
          <w:rPr>
            <w:rStyle w:val="TextoNormalCaracter"/>
          </w:rPr>
          <w:t>149/2023</w:t>
        </w:r>
      </w:hyperlink>
      <w:r w:rsidRPr="00E1708A">
        <w:rPr>
          <w:rStyle w:val="TextoNormalCaracter"/>
        </w:rPr>
        <w:t>, f. 4, VP.</w:t>
      </w:r>
    </w:p>
    <w:p w14:paraId="06FB6B33" w14:textId="5294292F" w:rsidR="00E1708A" w:rsidRPr="00E1708A" w:rsidRDefault="00E1708A" w:rsidP="00E1708A">
      <w:pPr>
        <w:pStyle w:val="TextoNormalSangraFrancesa"/>
        <w:rPr>
          <w:rStyle w:val="TextoNormalCaracter"/>
        </w:rPr>
      </w:pPr>
      <w:bookmarkStart w:id="1292" w:name="DESCRIPTORALFABETICO104"/>
      <w:r w:rsidRPr="00E1708A">
        <w:rPr>
          <w:rStyle w:val="TextoNormalNegritaCaracter"/>
        </w:rPr>
        <w:t>Prohibición de manifestación</w:t>
      </w:r>
      <w:bookmarkEnd w:id="1292"/>
      <w:r w:rsidRPr="00E1708A">
        <w:rPr>
          <w:rStyle w:val="TextoNormalCaracter"/>
        </w:rPr>
        <w:t xml:space="preserve">, Sentencias </w:t>
      </w:r>
      <w:hyperlink w:anchor="SENTENCIA_2023_84" w:history="1">
        <w:r w:rsidRPr="00E1708A">
          <w:rPr>
            <w:rStyle w:val="TextoNormalCaracter"/>
          </w:rPr>
          <w:t>84/2023</w:t>
        </w:r>
      </w:hyperlink>
      <w:r w:rsidRPr="00E1708A">
        <w:rPr>
          <w:rStyle w:val="TextoNormalCaracter"/>
        </w:rPr>
        <w:t xml:space="preserve">, ff. 2 a 4; </w:t>
      </w:r>
      <w:hyperlink w:anchor="SENTENCIA_2023_88" w:history="1">
        <w:r w:rsidRPr="00E1708A">
          <w:rPr>
            <w:rStyle w:val="TextoNormalCaracter"/>
          </w:rPr>
          <w:t>88/2023</w:t>
        </w:r>
      </w:hyperlink>
      <w:r w:rsidRPr="00E1708A">
        <w:rPr>
          <w:rStyle w:val="TextoNormalCaracter"/>
        </w:rPr>
        <w:t xml:space="preserve">, ff. 4 y 5; </w:t>
      </w:r>
      <w:hyperlink w:anchor="SENTENCIA_2023_164" w:history="1">
        <w:r w:rsidRPr="00E1708A">
          <w:rPr>
            <w:rStyle w:val="TextoNormalCaracter"/>
          </w:rPr>
          <w:t>164/2023</w:t>
        </w:r>
      </w:hyperlink>
      <w:r w:rsidRPr="00E1708A">
        <w:rPr>
          <w:rStyle w:val="TextoNormalCaracter"/>
        </w:rPr>
        <w:t xml:space="preserve">, ff. 1 a 3, VP I, VP II; </w:t>
      </w:r>
      <w:hyperlink w:anchor="SENTENCIA_2023_173" w:history="1">
        <w:r w:rsidRPr="00E1708A">
          <w:rPr>
            <w:rStyle w:val="TextoNormalCaracter"/>
          </w:rPr>
          <w:t>173/2023</w:t>
        </w:r>
      </w:hyperlink>
      <w:r w:rsidRPr="00E1708A">
        <w:rPr>
          <w:rStyle w:val="TextoNormalCaracter"/>
        </w:rPr>
        <w:t xml:space="preserve">, f. único; </w:t>
      </w:r>
      <w:hyperlink w:anchor="SENTENCIA_2023_174" w:history="1">
        <w:r w:rsidRPr="00E1708A">
          <w:rPr>
            <w:rStyle w:val="TextoNormalCaracter"/>
          </w:rPr>
          <w:t>174/2023</w:t>
        </w:r>
      </w:hyperlink>
      <w:r w:rsidRPr="00E1708A">
        <w:rPr>
          <w:rStyle w:val="TextoNormalCaracter"/>
        </w:rPr>
        <w:t xml:space="preserve">, f. 3; </w:t>
      </w:r>
      <w:hyperlink w:anchor="SENTENCIA_2023_175" w:history="1">
        <w:r w:rsidRPr="00E1708A">
          <w:rPr>
            <w:rStyle w:val="TextoNormalCaracter"/>
          </w:rPr>
          <w:t>175/2023</w:t>
        </w:r>
      </w:hyperlink>
      <w:r w:rsidRPr="00E1708A">
        <w:rPr>
          <w:rStyle w:val="TextoNormalCaracter"/>
        </w:rPr>
        <w:t xml:space="preserve">, f. 2; </w:t>
      </w:r>
      <w:hyperlink w:anchor="SENTENCIA_2023_176" w:history="1">
        <w:r w:rsidRPr="00E1708A">
          <w:rPr>
            <w:rStyle w:val="TextoNormalCaracter"/>
          </w:rPr>
          <w:t>176/2023</w:t>
        </w:r>
      </w:hyperlink>
      <w:r w:rsidRPr="00E1708A">
        <w:rPr>
          <w:rStyle w:val="TextoNormalCaracter"/>
        </w:rPr>
        <w:t xml:space="preserve">, f. único; </w:t>
      </w:r>
      <w:hyperlink w:anchor="SENTENCIA_2023_177" w:history="1">
        <w:r w:rsidRPr="00E1708A">
          <w:rPr>
            <w:rStyle w:val="TextoNormalCaracter"/>
          </w:rPr>
          <w:t>177/2023</w:t>
        </w:r>
      </w:hyperlink>
      <w:r w:rsidRPr="00E1708A">
        <w:rPr>
          <w:rStyle w:val="TextoNormalCaracter"/>
        </w:rPr>
        <w:t xml:space="preserve">, f. único; </w:t>
      </w:r>
      <w:hyperlink w:anchor="SENTENCIA_2023_178" w:history="1">
        <w:r w:rsidRPr="00E1708A">
          <w:rPr>
            <w:rStyle w:val="TextoNormalCaracter"/>
          </w:rPr>
          <w:t>178/2023</w:t>
        </w:r>
      </w:hyperlink>
      <w:r w:rsidRPr="00E1708A">
        <w:rPr>
          <w:rStyle w:val="TextoNormalCaracter"/>
        </w:rPr>
        <w:t xml:space="preserve">, f. único; </w:t>
      </w:r>
      <w:hyperlink w:anchor="SENTENCIA_2023_188" w:history="1">
        <w:r w:rsidRPr="00E1708A">
          <w:rPr>
            <w:rStyle w:val="TextoNormalCaracter"/>
          </w:rPr>
          <w:t>188/2023</w:t>
        </w:r>
      </w:hyperlink>
      <w:r w:rsidRPr="00E1708A">
        <w:rPr>
          <w:rStyle w:val="TextoNormalCaracter"/>
        </w:rPr>
        <w:t>, f. único.</w:t>
      </w:r>
    </w:p>
    <w:p w14:paraId="026DBF26" w14:textId="420F2110" w:rsidR="00E1708A" w:rsidRPr="00E1708A" w:rsidRDefault="00E1708A" w:rsidP="00E1708A">
      <w:pPr>
        <w:pStyle w:val="TextoNormalSangraFrancesa"/>
        <w:rPr>
          <w:rStyle w:val="TextoNormalCaracter"/>
        </w:rPr>
      </w:pPr>
      <w:bookmarkStart w:id="1293" w:name="DESCRIPTORALFABETICO313"/>
      <w:r w:rsidRPr="00E1708A">
        <w:rPr>
          <w:rStyle w:val="TextoNormalNegritaCaracter"/>
        </w:rPr>
        <w:t>Propiedad privada</w:t>
      </w:r>
      <w:bookmarkEnd w:id="1293"/>
      <w:r w:rsidRPr="00E1708A">
        <w:rPr>
          <w:rStyle w:val="TextoNormalCaracter"/>
        </w:rPr>
        <w:t xml:space="preserve">, Sentencia </w:t>
      </w:r>
      <w:hyperlink w:anchor="SENTENCIA_2023_168" w:history="1">
        <w:r w:rsidRPr="00E1708A">
          <w:rPr>
            <w:rStyle w:val="TextoNormalCaracter"/>
          </w:rPr>
          <w:t>168/2023</w:t>
        </w:r>
      </w:hyperlink>
      <w:r w:rsidRPr="00E1708A">
        <w:rPr>
          <w:rStyle w:val="TextoNormalCaracter"/>
        </w:rPr>
        <w:t>, ff. 1 y 4.</w:t>
      </w:r>
    </w:p>
    <w:p w14:paraId="47CD5D94" w14:textId="3C8F0A64" w:rsidR="00E1708A" w:rsidRPr="00E1708A" w:rsidRDefault="00E1708A" w:rsidP="00E1708A">
      <w:pPr>
        <w:pStyle w:val="TextoNormalSangraFrancesa"/>
        <w:rPr>
          <w:rStyle w:val="TextoNormalCaracter"/>
        </w:rPr>
      </w:pPr>
      <w:bookmarkStart w:id="1294" w:name="DESCRIPTORALFABETICO131"/>
      <w:r w:rsidRPr="00E1708A">
        <w:rPr>
          <w:rStyle w:val="TextoNormalNegritaCaracter"/>
        </w:rPr>
        <w:t>Proporcionalidad de las medidas restrictivas de derechos fundamentales</w:t>
      </w:r>
      <w:bookmarkEnd w:id="1294"/>
      <w:r w:rsidRPr="00E1708A">
        <w:rPr>
          <w:rStyle w:val="TextoNormalCaracter"/>
        </w:rPr>
        <w:t xml:space="preserve">, Sentencias </w:t>
      </w:r>
      <w:hyperlink w:anchor="SENTENCIA_2023_84" w:history="1">
        <w:r w:rsidRPr="00E1708A">
          <w:rPr>
            <w:rStyle w:val="TextoNormalCaracter"/>
          </w:rPr>
          <w:t>84/2023</w:t>
        </w:r>
      </w:hyperlink>
      <w:r w:rsidRPr="00E1708A">
        <w:rPr>
          <w:rStyle w:val="TextoNormalCaracter"/>
        </w:rPr>
        <w:t xml:space="preserve">, ff. 3 y 4, VP; </w:t>
      </w:r>
      <w:hyperlink w:anchor="SENTENCIA_2023_88" w:history="1">
        <w:r w:rsidRPr="00E1708A">
          <w:rPr>
            <w:rStyle w:val="TextoNormalCaracter"/>
          </w:rPr>
          <w:t>88/2023</w:t>
        </w:r>
      </w:hyperlink>
      <w:r w:rsidRPr="00E1708A">
        <w:rPr>
          <w:rStyle w:val="TextoNormalCaracter"/>
        </w:rPr>
        <w:t xml:space="preserve">, ff. 4 y 5; </w:t>
      </w:r>
      <w:hyperlink w:anchor="SENTENCIA_2023_164" w:history="1">
        <w:r w:rsidRPr="00E1708A">
          <w:rPr>
            <w:rStyle w:val="TextoNormalCaracter"/>
          </w:rPr>
          <w:t>164/2023</w:t>
        </w:r>
      </w:hyperlink>
      <w:r w:rsidRPr="00E1708A">
        <w:rPr>
          <w:rStyle w:val="TextoNormalCaracter"/>
        </w:rPr>
        <w:t>, f. 3, VP I, VP II.</w:t>
      </w:r>
    </w:p>
    <w:p w14:paraId="4A930EDB" w14:textId="2FED4580" w:rsidR="00E1708A" w:rsidRPr="00E1708A" w:rsidRDefault="00E1708A" w:rsidP="00E1708A">
      <w:pPr>
        <w:pStyle w:val="TextoNormalSangraFrancesa"/>
        <w:rPr>
          <w:rStyle w:val="TextoNormalCaracter"/>
        </w:rPr>
      </w:pPr>
      <w:bookmarkStart w:id="1295" w:name="DESCRIPTORALFABETICO233"/>
      <w:r w:rsidRPr="00E1708A">
        <w:rPr>
          <w:rStyle w:val="TextoNormalNegritaCaracter"/>
        </w:rPr>
        <w:t>Proposición de ley</w:t>
      </w:r>
      <w:bookmarkEnd w:id="1295"/>
      <w:r w:rsidRPr="00E1708A">
        <w:rPr>
          <w:rStyle w:val="TextoNormalCaracter"/>
        </w:rPr>
        <w:t xml:space="preserve">, Sentencias </w:t>
      </w:r>
      <w:hyperlink w:anchor="SENTENCIA_2023_94" w:history="1">
        <w:r w:rsidRPr="00E1708A">
          <w:rPr>
            <w:rStyle w:val="TextoNormalCaracter"/>
          </w:rPr>
          <w:t>94/2023</w:t>
        </w:r>
      </w:hyperlink>
      <w:r w:rsidRPr="00E1708A">
        <w:rPr>
          <w:rStyle w:val="TextoNormalCaracter"/>
        </w:rPr>
        <w:t xml:space="preserve">, f. 2; </w:t>
      </w:r>
      <w:hyperlink w:anchor="SENTENCIA_2023_128" w:history="1">
        <w:r w:rsidRPr="00E1708A">
          <w:rPr>
            <w:rStyle w:val="TextoNormalCaracter"/>
          </w:rPr>
          <w:t>128/2023</w:t>
        </w:r>
      </w:hyperlink>
      <w:r w:rsidRPr="00E1708A">
        <w:rPr>
          <w:rStyle w:val="TextoNormalCaracter"/>
        </w:rPr>
        <w:t>, f. 3.</w:t>
      </w:r>
    </w:p>
    <w:p w14:paraId="192D0E86" w14:textId="68FF0BFE" w:rsidR="00E1708A" w:rsidRPr="00E1708A" w:rsidRDefault="00E1708A" w:rsidP="00E1708A">
      <w:pPr>
        <w:pStyle w:val="TextoNormalSangraFrancesa"/>
        <w:rPr>
          <w:rStyle w:val="TextoNormalCaracter"/>
        </w:rPr>
      </w:pPr>
      <w:bookmarkStart w:id="1296" w:name="DESCRIPTORALFABETICO306"/>
      <w:r w:rsidRPr="00E1708A">
        <w:rPr>
          <w:rStyle w:val="TextoNormalNegritaCaracter"/>
        </w:rPr>
        <w:t>Protección del consumidor</w:t>
      </w:r>
      <w:bookmarkEnd w:id="1296"/>
      <w:r w:rsidRPr="00E1708A">
        <w:rPr>
          <w:rStyle w:val="TextoNormalCaracter"/>
        </w:rPr>
        <w:t xml:space="preserve">, Sentencias </w:t>
      </w:r>
      <w:hyperlink w:anchor="SENTENCIA_2023_91" w:history="1">
        <w:r w:rsidRPr="00E1708A">
          <w:rPr>
            <w:rStyle w:val="TextoNormalCaracter"/>
          </w:rPr>
          <w:t>91/2023</w:t>
        </w:r>
      </w:hyperlink>
      <w:r w:rsidRPr="00E1708A">
        <w:rPr>
          <w:rStyle w:val="TextoNormalCaracter"/>
        </w:rPr>
        <w:t xml:space="preserve">, ff. 3 y 4; </w:t>
      </w:r>
      <w:hyperlink w:anchor="SENTENCIA_2023_96" w:history="1">
        <w:r w:rsidRPr="00E1708A">
          <w:rPr>
            <w:rStyle w:val="TextoNormalCaracter"/>
          </w:rPr>
          <w:t>96/2023</w:t>
        </w:r>
      </w:hyperlink>
      <w:r w:rsidRPr="00E1708A">
        <w:rPr>
          <w:rStyle w:val="TextoNormalCaracter"/>
        </w:rPr>
        <w:t>, ff. 2 y 3.</w:t>
      </w:r>
    </w:p>
    <w:p w14:paraId="7403D734" w14:textId="5CCA52C3" w:rsidR="00E1708A" w:rsidRPr="00E1708A" w:rsidRDefault="00E1708A" w:rsidP="00E1708A">
      <w:pPr>
        <w:pStyle w:val="TextoNormalSangraFrancesa"/>
        <w:rPr>
          <w:rStyle w:val="TextoNormalCaracter"/>
        </w:rPr>
      </w:pPr>
      <w:bookmarkStart w:id="1297" w:name="DESCRIPTORALFABETICO331"/>
      <w:r w:rsidRPr="00E1708A">
        <w:rPr>
          <w:rStyle w:val="TextoNormalNegritaCaracter"/>
        </w:rPr>
        <w:t>Protección del medio ambiente</w:t>
      </w:r>
      <w:bookmarkEnd w:id="1297"/>
      <w:r w:rsidRPr="00E1708A">
        <w:rPr>
          <w:rStyle w:val="TextoNormalCaracter"/>
        </w:rPr>
        <w:t xml:space="preserve">, Sentencia </w:t>
      </w:r>
      <w:hyperlink w:anchor="SENTENCIA_2023_126" w:history="1">
        <w:r w:rsidRPr="00E1708A">
          <w:rPr>
            <w:rStyle w:val="TextoNormalCaracter"/>
          </w:rPr>
          <w:t>126/2023</w:t>
        </w:r>
      </w:hyperlink>
      <w:r w:rsidRPr="00E1708A">
        <w:rPr>
          <w:rStyle w:val="TextoNormalCaracter"/>
        </w:rPr>
        <w:t>, ff. 3 y 4.</w:t>
      </w:r>
    </w:p>
    <w:p w14:paraId="16AE33DA" w14:textId="3AD7B1A4" w:rsidR="00E1708A" w:rsidRPr="00E1708A" w:rsidRDefault="00E1708A" w:rsidP="00E1708A">
      <w:pPr>
        <w:pStyle w:val="TextoNormalSangraFrancesa"/>
        <w:rPr>
          <w:rStyle w:val="TextoNormalCaracter"/>
        </w:rPr>
      </w:pPr>
      <w:bookmarkStart w:id="1298" w:name="DESCRIPTORALFABETICO357"/>
      <w:r w:rsidRPr="00E1708A">
        <w:rPr>
          <w:rStyle w:val="TextoNormalNegritaCaracter"/>
        </w:rPr>
        <w:t>Protección judicial de la intimidad de los menores</w:t>
      </w:r>
      <w:bookmarkEnd w:id="1298"/>
      <w:r w:rsidRPr="00E1708A">
        <w:rPr>
          <w:rStyle w:val="TextoNormalCaracter"/>
        </w:rPr>
        <w:t xml:space="preserve">, Sentencia </w:t>
      </w:r>
      <w:hyperlink w:anchor="SENTENCIA_2023_131" w:history="1">
        <w:r w:rsidRPr="00E1708A">
          <w:rPr>
            <w:rStyle w:val="TextoNormalCaracter"/>
          </w:rPr>
          <w:t>131/2023</w:t>
        </w:r>
      </w:hyperlink>
      <w:r w:rsidRPr="00E1708A">
        <w:rPr>
          <w:rStyle w:val="TextoNormalCaracter"/>
        </w:rPr>
        <w:t>, f. 1.</w:t>
      </w:r>
    </w:p>
    <w:p w14:paraId="0AF225A4" w14:textId="32D926E7" w:rsidR="00E1708A" w:rsidRPr="00E1708A" w:rsidRDefault="00E1708A" w:rsidP="00E1708A">
      <w:pPr>
        <w:pStyle w:val="TextoNormalSangraFrancesa"/>
        <w:rPr>
          <w:rStyle w:val="TextoNormalCaracter"/>
        </w:rPr>
      </w:pPr>
      <w:bookmarkStart w:id="1299" w:name="DESCRIPTORALFABETICO228"/>
      <w:r w:rsidRPr="00E1708A">
        <w:rPr>
          <w:rStyle w:val="TextoNormalNegritaCaracter"/>
        </w:rPr>
        <w:t>Proyectos de ley</w:t>
      </w:r>
      <w:bookmarkEnd w:id="1299"/>
      <w:r w:rsidRPr="00E1708A">
        <w:rPr>
          <w:rStyle w:val="TextoNormalCaracter"/>
        </w:rPr>
        <w:t xml:space="preserve">, Sentencia </w:t>
      </w:r>
      <w:hyperlink w:anchor="SENTENCIA_2023_128" w:history="1">
        <w:r w:rsidRPr="00E1708A">
          <w:rPr>
            <w:rStyle w:val="TextoNormalCaracter"/>
          </w:rPr>
          <w:t>128/2023</w:t>
        </w:r>
      </w:hyperlink>
      <w:r w:rsidRPr="00E1708A">
        <w:rPr>
          <w:rStyle w:val="TextoNormalCaracter"/>
        </w:rPr>
        <w:t>, f. 3.</w:t>
      </w:r>
    </w:p>
    <w:p w14:paraId="2CC4B1DC" w14:textId="2CEDFCD0" w:rsidR="00E1708A" w:rsidRPr="00E1708A" w:rsidRDefault="00E1708A" w:rsidP="00E1708A">
      <w:pPr>
        <w:pStyle w:val="TextoNormalSangraFrancesa"/>
        <w:rPr>
          <w:rStyle w:val="TextoNormalCaracter"/>
        </w:rPr>
      </w:pPr>
      <w:bookmarkStart w:id="1300" w:name="DESCRIPTORALFABETICO406"/>
      <w:r w:rsidRPr="00E1708A">
        <w:rPr>
          <w:rStyle w:val="TextoNormalNegritaCaracter"/>
        </w:rPr>
        <w:t>Prueba ilícita</w:t>
      </w:r>
      <w:bookmarkEnd w:id="1300"/>
      <w:r w:rsidRPr="00E1708A">
        <w:rPr>
          <w:rStyle w:val="TextoNormalCaracter"/>
        </w:rPr>
        <w:t xml:space="preserve">, Sentencia </w:t>
      </w:r>
      <w:hyperlink w:anchor="SENTENCIA_2023_92" w:history="1">
        <w:r w:rsidRPr="00E1708A">
          <w:rPr>
            <w:rStyle w:val="TextoNormalCaracter"/>
          </w:rPr>
          <w:t>92/2023</w:t>
        </w:r>
      </w:hyperlink>
      <w:r w:rsidRPr="00E1708A">
        <w:rPr>
          <w:rStyle w:val="TextoNormalCaracter"/>
        </w:rPr>
        <w:t>, ff. 6 a 8, VP.</w:t>
      </w:r>
    </w:p>
    <w:p w14:paraId="1E291A74" w14:textId="17D04A72" w:rsidR="00E1708A" w:rsidRDefault="00E1708A" w:rsidP="00E1708A">
      <w:pPr>
        <w:pStyle w:val="TextoNormalSangraFrancesa"/>
      </w:pPr>
    </w:p>
    <w:p w14:paraId="7CB6FC84" w14:textId="77777777" w:rsidR="00E1708A" w:rsidRDefault="00E1708A" w:rsidP="00E1708A">
      <w:pPr>
        <w:pStyle w:val="TextoNormalSangraFrancesa"/>
      </w:pPr>
    </w:p>
    <w:p w14:paraId="3E713BCD" w14:textId="77777777" w:rsidR="00E1708A" w:rsidRDefault="00E1708A" w:rsidP="00E1708A">
      <w:pPr>
        <w:pStyle w:val="TextoNormalNegritaCentrado"/>
      </w:pPr>
      <w:r>
        <w:t>R</w:t>
      </w:r>
    </w:p>
    <w:p w14:paraId="7B726297" w14:textId="6E3D3D9A" w:rsidR="00E1708A" w:rsidRDefault="00E1708A" w:rsidP="00E1708A">
      <w:pPr>
        <w:pStyle w:val="TextoNormalNegritaCentrado"/>
      </w:pPr>
    </w:p>
    <w:p w14:paraId="743FA128" w14:textId="433B66C4" w:rsidR="00E1708A" w:rsidRPr="00E1708A" w:rsidRDefault="00E1708A" w:rsidP="00E1708A">
      <w:pPr>
        <w:pStyle w:val="TextoNormalSangraFrancesa"/>
        <w:rPr>
          <w:rStyle w:val="TextoNormalCaracter"/>
        </w:rPr>
      </w:pPr>
      <w:bookmarkStart w:id="1301" w:name="DESCRIPTORALFABETICO377"/>
      <w:r w:rsidRPr="00E1708A">
        <w:rPr>
          <w:rStyle w:val="TextoNormalNegritaCaracter"/>
        </w:rPr>
        <w:t>Rechazo de tratamiento médico</w:t>
      </w:r>
      <w:bookmarkEnd w:id="1301"/>
      <w:r w:rsidRPr="00E1708A">
        <w:rPr>
          <w:rStyle w:val="TextoNormalCaracter"/>
        </w:rPr>
        <w:t xml:space="preserve">, Sentencia </w:t>
      </w:r>
      <w:hyperlink w:anchor="SENTENCIA_2023_163" w:history="1">
        <w:r w:rsidRPr="00E1708A">
          <w:rPr>
            <w:rStyle w:val="TextoNormalCaracter"/>
          </w:rPr>
          <w:t>163/2023</w:t>
        </w:r>
      </w:hyperlink>
      <w:r w:rsidRPr="00E1708A">
        <w:rPr>
          <w:rStyle w:val="TextoNormalCaracter"/>
        </w:rPr>
        <w:t>, f. único.</w:t>
      </w:r>
    </w:p>
    <w:p w14:paraId="1C02DE9C" w14:textId="477CEB4A" w:rsidR="00E1708A" w:rsidRPr="00E1708A" w:rsidRDefault="00E1708A" w:rsidP="00E1708A">
      <w:pPr>
        <w:pStyle w:val="TextoNormalSangraFrancesa"/>
        <w:rPr>
          <w:rStyle w:val="TextoNormalCaracter"/>
        </w:rPr>
      </w:pPr>
      <w:bookmarkStart w:id="1302" w:name="DESCRIPTORALFABETICO286"/>
      <w:r w:rsidRPr="00E1708A">
        <w:rPr>
          <w:rStyle w:val="TextoNormalNegritaCaracter"/>
        </w:rPr>
        <w:t>Reclamación previa a la vía judicial</w:t>
      </w:r>
      <w:bookmarkEnd w:id="1302"/>
      <w:r w:rsidRPr="00E1708A">
        <w:rPr>
          <w:rStyle w:val="TextoNormalCaracter"/>
        </w:rPr>
        <w:t xml:space="preserve">, Sentencia </w:t>
      </w:r>
      <w:hyperlink w:anchor="SENTENCIA_2023_129" w:history="1">
        <w:r w:rsidRPr="00E1708A">
          <w:rPr>
            <w:rStyle w:val="TextoNormalCaracter"/>
          </w:rPr>
          <w:t>129/2023</w:t>
        </w:r>
      </w:hyperlink>
      <w:r w:rsidRPr="00E1708A">
        <w:rPr>
          <w:rStyle w:val="TextoNormalCaracter"/>
        </w:rPr>
        <w:t>, ff. 1, 3 y 4.</w:t>
      </w:r>
    </w:p>
    <w:p w14:paraId="0426228D" w14:textId="06EA9E51" w:rsidR="00E1708A" w:rsidRPr="00E1708A" w:rsidRDefault="00E1708A" w:rsidP="00E1708A">
      <w:pPr>
        <w:pStyle w:val="TextoNormalSangraFrancesa"/>
        <w:rPr>
          <w:rStyle w:val="TextoNormalCaracter"/>
        </w:rPr>
      </w:pPr>
      <w:bookmarkStart w:id="1303" w:name="DESCRIPTORALFABETICO137"/>
      <w:r w:rsidRPr="00E1708A">
        <w:rPr>
          <w:rStyle w:val="TextoNormalNegritaCaracter"/>
        </w:rPr>
        <w:t>Reconocimiento de derechos fundamentales</w:t>
      </w:r>
      <w:bookmarkEnd w:id="1303"/>
      <w:r w:rsidRPr="00E1708A">
        <w:rPr>
          <w:rStyle w:val="TextoNormalCaracter"/>
        </w:rPr>
        <w:t xml:space="preserve">, Sentencia </w:t>
      </w:r>
      <w:hyperlink w:anchor="SENTENCIA_2023_94" w:history="1">
        <w:r w:rsidRPr="00E1708A">
          <w:rPr>
            <w:rStyle w:val="TextoNormalCaracter"/>
          </w:rPr>
          <w:t>94/2023</w:t>
        </w:r>
      </w:hyperlink>
      <w:r w:rsidRPr="00E1708A">
        <w:rPr>
          <w:rStyle w:val="TextoNormalCaracter"/>
        </w:rPr>
        <w:t>, f. 3.</w:t>
      </w:r>
    </w:p>
    <w:p w14:paraId="32A046EB" w14:textId="0C7C7AEB" w:rsidR="00E1708A" w:rsidRPr="00E1708A" w:rsidRDefault="00E1708A" w:rsidP="00E1708A">
      <w:pPr>
        <w:pStyle w:val="TextoNormalSangraFrancesa"/>
        <w:rPr>
          <w:rStyle w:val="TextoNormalCaracter"/>
        </w:rPr>
      </w:pPr>
      <w:bookmarkStart w:id="1304" w:name="DESCRIPTORALFABETICO181"/>
      <w:r w:rsidRPr="00E1708A">
        <w:rPr>
          <w:rStyle w:val="TextoNormalNegritaCaracter"/>
        </w:rPr>
        <w:t>Recurso de amparo contra actos parlamentarios</w:t>
      </w:r>
      <w:bookmarkEnd w:id="1304"/>
      <w:r w:rsidRPr="00E1708A">
        <w:rPr>
          <w:rStyle w:val="TextoNormalCaracter"/>
        </w:rPr>
        <w:t xml:space="preserve">, Sentencias </w:t>
      </w:r>
      <w:hyperlink w:anchor="SENTENCIA_2023_82" w:history="1">
        <w:r w:rsidRPr="00E1708A">
          <w:rPr>
            <w:rStyle w:val="TextoNormalCaracter"/>
          </w:rPr>
          <w:t>82/2023</w:t>
        </w:r>
      </w:hyperlink>
      <w:r w:rsidRPr="00E1708A">
        <w:rPr>
          <w:rStyle w:val="TextoNormalCaracter"/>
        </w:rPr>
        <w:t xml:space="preserve">, f. 3; </w:t>
      </w:r>
      <w:hyperlink w:anchor="SENTENCIA_2023_165" w:history="1">
        <w:r w:rsidRPr="00E1708A">
          <w:rPr>
            <w:rStyle w:val="TextoNormalCaracter"/>
          </w:rPr>
          <w:t>165/2023</w:t>
        </w:r>
      </w:hyperlink>
      <w:r w:rsidRPr="00E1708A">
        <w:rPr>
          <w:rStyle w:val="TextoNormalCaracter"/>
        </w:rPr>
        <w:t>, ff. 4 y VP.</w:t>
      </w:r>
    </w:p>
    <w:p w14:paraId="3A95B0D3" w14:textId="574EC41A" w:rsidR="00E1708A" w:rsidRPr="00E1708A" w:rsidRDefault="00E1708A" w:rsidP="00E1708A">
      <w:pPr>
        <w:pStyle w:val="TextoNormalSangraFrancesa"/>
        <w:rPr>
          <w:rStyle w:val="TextoNormalCaracter"/>
        </w:rPr>
      </w:pPr>
      <w:bookmarkStart w:id="1305" w:name="DESCRIPTORALFABETICO192"/>
      <w:r w:rsidRPr="00E1708A">
        <w:rPr>
          <w:rStyle w:val="TextoNormalNegritaCaracter"/>
        </w:rPr>
        <w:t>Recurso de amparo electoral</w:t>
      </w:r>
      <w:bookmarkEnd w:id="1305"/>
      <w:r w:rsidRPr="00E1708A">
        <w:rPr>
          <w:rStyle w:val="TextoNormalCaracter"/>
        </w:rPr>
        <w:t xml:space="preserve">, Auto </w:t>
      </w:r>
      <w:hyperlink w:anchor="AUTO_2023_425" w:history="1">
        <w:r w:rsidRPr="00E1708A">
          <w:rPr>
            <w:rStyle w:val="TextoNormalCaracter"/>
          </w:rPr>
          <w:t>425/2023</w:t>
        </w:r>
      </w:hyperlink>
      <w:r w:rsidRPr="00E1708A">
        <w:rPr>
          <w:rStyle w:val="TextoNormalCaracter"/>
        </w:rPr>
        <w:t>, f. 2.</w:t>
      </w:r>
    </w:p>
    <w:p w14:paraId="44284FCB" w14:textId="5E023295" w:rsidR="00E1708A" w:rsidRPr="00E1708A" w:rsidRDefault="00E1708A" w:rsidP="00E1708A">
      <w:pPr>
        <w:pStyle w:val="TextoNormalSangraFrancesa"/>
        <w:rPr>
          <w:rStyle w:val="TextoNormalCaracter"/>
        </w:rPr>
      </w:pPr>
      <w:bookmarkStart w:id="1306" w:name="DESCRIPTORALFABETICO180"/>
      <w:r w:rsidRPr="00E1708A">
        <w:rPr>
          <w:rStyle w:val="TextoNormalNegritaCaracter"/>
        </w:rPr>
        <w:t>Recurso de amparo mixto</w:t>
      </w:r>
      <w:bookmarkEnd w:id="1306"/>
      <w:r w:rsidRPr="00E1708A">
        <w:rPr>
          <w:rStyle w:val="TextoNormalCaracter"/>
        </w:rPr>
        <w:t xml:space="preserve">, Sentencias </w:t>
      </w:r>
      <w:hyperlink w:anchor="SENTENCIA_2023_78" w:history="1">
        <w:r w:rsidRPr="00E1708A">
          <w:rPr>
            <w:rStyle w:val="TextoNormalCaracter"/>
          </w:rPr>
          <w:t>78/2023</w:t>
        </w:r>
      </w:hyperlink>
      <w:r w:rsidRPr="00E1708A">
        <w:rPr>
          <w:rStyle w:val="TextoNormalCaracter"/>
        </w:rPr>
        <w:t xml:space="preserve">, f. 4; </w:t>
      </w:r>
      <w:hyperlink w:anchor="SENTENCIA_2023_84" w:history="1">
        <w:r w:rsidRPr="00E1708A">
          <w:rPr>
            <w:rStyle w:val="TextoNormalCaracter"/>
          </w:rPr>
          <w:t>84/2023</w:t>
        </w:r>
      </w:hyperlink>
      <w:r w:rsidRPr="00E1708A">
        <w:rPr>
          <w:rStyle w:val="TextoNormalCaracter"/>
        </w:rPr>
        <w:t xml:space="preserve">, f. 1; </w:t>
      </w:r>
      <w:hyperlink w:anchor="SENTENCIA_2023_150" w:history="1">
        <w:r w:rsidRPr="00E1708A">
          <w:rPr>
            <w:rStyle w:val="TextoNormalCaracter"/>
          </w:rPr>
          <w:t>150/2023</w:t>
        </w:r>
      </w:hyperlink>
      <w:r w:rsidRPr="00E1708A">
        <w:rPr>
          <w:rStyle w:val="TextoNormalCaracter"/>
        </w:rPr>
        <w:t>, f. 2.</w:t>
      </w:r>
    </w:p>
    <w:p w14:paraId="031059C1" w14:textId="0BFD2F5E" w:rsidR="00E1708A" w:rsidRPr="00E1708A" w:rsidRDefault="00E1708A" w:rsidP="00E1708A">
      <w:pPr>
        <w:pStyle w:val="TextoNormalSangraFrancesa"/>
        <w:rPr>
          <w:rStyle w:val="TextoNormalCaracter"/>
        </w:rPr>
      </w:pPr>
      <w:bookmarkStart w:id="1307" w:name="DESCRIPTORALFABETICO418"/>
      <w:r w:rsidRPr="00E1708A">
        <w:rPr>
          <w:rStyle w:val="TextoNormalNegritaCaracter"/>
        </w:rPr>
        <w:t>Recurso de casación por infracción de ley</w:t>
      </w:r>
      <w:bookmarkEnd w:id="1307"/>
      <w:r w:rsidRPr="00E1708A">
        <w:rPr>
          <w:rStyle w:val="TextoNormalCaracter"/>
        </w:rPr>
        <w:t xml:space="preserve">, Sentencia </w:t>
      </w:r>
      <w:hyperlink w:anchor="SENTENCIA_2023_153" w:history="1">
        <w:r w:rsidRPr="00E1708A">
          <w:rPr>
            <w:rStyle w:val="TextoNormalCaracter"/>
          </w:rPr>
          <w:t>153/2023</w:t>
        </w:r>
      </w:hyperlink>
      <w:r w:rsidRPr="00E1708A">
        <w:rPr>
          <w:rStyle w:val="TextoNormalCaracter"/>
        </w:rPr>
        <w:t>, ff. 2 y 4.</w:t>
      </w:r>
    </w:p>
    <w:p w14:paraId="23BD8E50" w14:textId="25EE75CE" w:rsidR="00E1708A" w:rsidRPr="00E1708A" w:rsidRDefault="00E1708A" w:rsidP="00E1708A">
      <w:pPr>
        <w:pStyle w:val="TextoNormalSangraFrancesa"/>
        <w:rPr>
          <w:rStyle w:val="TextoNormalCaracter"/>
        </w:rPr>
      </w:pPr>
      <w:bookmarkStart w:id="1308" w:name="DESCRIPTORALFABETICO419"/>
      <w:r w:rsidRPr="00E1708A">
        <w:rPr>
          <w:rStyle w:val="TextoNormalNegritaCaracter"/>
        </w:rPr>
        <w:t>Recurso de reforma</w:t>
      </w:r>
      <w:bookmarkEnd w:id="1308"/>
      <w:r w:rsidRPr="00E1708A">
        <w:rPr>
          <w:rStyle w:val="TextoNormalCaracter"/>
        </w:rPr>
        <w:t xml:space="preserve">, Sentencia </w:t>
      </w:r>
      <w:hyperlink w:anchor="SENTENCIA_2023_101" w:history="1">
        <w:r w:rsidRPr="00E1708A">
          <w:rPr>
            <w:rStyle w:val="TextoNormalCaracter"/>
          </w:rPr>
          <w:t>101/2023</w:t>
        </w:r>
      </w:hyperlink>
      <w:r w:rsidRPr="00E1708A">
        <w:rPr>
          <w:rStyle w:val="TextoNormalCaracter"/>
        </w:rPr>
        <w:t>, ff. 1 a 3.</w:t>
      </w:r>
    </w:p>
    <w:p w14:paraId="7AF04CE2" w14:textId="76A63EE8" w:rsidR="00E1708A" w:rsidRPr="00E1708A" w:rsidRDefault="00E1708A" w:rsidP="00E1708A">
      <w:pPr>
        <w:pStyle w:val="TextoNormalSangraFrancesa"/>
        <w:rPr>
          <w:rStyle w:val="TextoNormalCaracter"/>
        </w:rPr>
      </w:pPr>
      <w:bookmarkStart w:id="1309" w:name="DESCRIPTORALFABETICO318"/>
      <w:r w:rsidRPr="00E1708A">
        <w:rPr>
          <w:rStyle w:val="TextoNormalNegritaCaracter"/>
        </w:rPr>
        <w:t>Recursos minerales</w:t>
      </w:r>
      <w:bookmarkEnd w:id="1309"/>
      <w:r w:rsidRPr="00E1708A">
        <w:rPr>
          <w:rStyle w:val="TextoNormalCaracter"/>
        </w:rPr>
        <w:t xml:space="preserve">, Sentencia </w:t>
      </w:r>
      <w:hyperlink w:anchor="SENTENCIA_2023_127" w:history="1">
        <w:r w:rsidRPr="00E1708A">
          <w:rPr>
            <w:rStyle w:val="TextoNormalCaracter"/>
          </w:rPr>
          <w:t>127/2023</w:t>
        </w:r>
      </w:hyperlink>
      <w:r w:rsidRPr="00E1708A">
        <w:rPr>
          <w:rStyle w:val="TextoNormalCaracter"/>
        </w:rPr>
        <w:t>, ff. 1 a 4.</w:t>
      </w:r>
    </w:p>
    <w:p w14:paraId="342F9292" w14:textId="77777777" w:rsidR="00E1708A" w:rsidRPr="00E1708A" w:rsidRDefault="00E1708A" w:rsidP="00E1708A">
      <w:pPr>
        <w:pStyle w:val="TextoNormalSangraFrancesa"/>
        <w:rPr>
          <w:rStyle w:val="TextoNormalCaracter"/>
        </w:rPr>
      </w:pPr>
      <w:bookmarkStart w:id="1310" w:name="DESCRIPTORALFABETICO150"/>
      <w:r w:rsidRPr="00E1708A">
        <w:rPr>
          <w:rStyle w:val="TextoNormalNegritaCaracter"/>
        </w:rPr>
        <w:t>Recusación de magistrados del Tribunal Constitucional</w:t>
      </w:r>
      <w:bookmarkEnd w:id="1310"/>
      <w:r w:rsidRPr="00E1708A">
        <w:rPr>
          <w:rStyle w:val="TextoNormalCaracter"/>
        </w:rPr>
        <w:t xml:space="preserve">, </w:t>
      </w:r>
    </w:p>
    <w:p w14:paraId="4EB45EA0" w14:textId="4FD4DFE4" w:rsidR="00E1708A" w:rsidRPr="00E1708A" w:rsidRDefault="00E1708A" w:rsidP="00E1708A">
      <w:pPr>
        <w:pStyle w:val="TextoNormalSangraFrancesa"/>
        <w:rPr>
          <w:rStyle w:val="TextoNormalCaracter"/>
        </w:rPr>
      </w:pPr>
      <w:r w:rsidRPr="00E1708A">
        <w:rPr>
          <w:rStyle w:val="TextoNormalCursivaCaracter"/>
        </w:rPr>
        <w:t xml:space="preserve">    Deniega, </w:t>
      </w:r>
      <w:r w:rsidRPr="00E1708A">
        <w:rPr>
          <w:rStyle w:val="TextoNormalCaracter"/>
        </w:rPr>
        <w:t xml:space="preserve">Auto </w:t>
      </w:r>
      <w:hyperlink w:anchor="AUTO_2023_432" w:history="1">
        <w:r w:rsidRPr="00E1708A">
          <w:rPr>
            <w:rStyle w:val="TextoNormalCaracter"/>
          </w:rPr>
          <w:t>432/2023</w:t>
        </w:r>
      </w:hyperlink>
      <w:r w:rsidRPr="00E1708A">
        <w:rPr>
          <w:rStyle w:val="TextoNormalCaracter"/>
        </w:rPr>
        <w:t>, f. 3.</w:t>
      </w:r>
    </w:p>
    <w:p w14:paraId="4D4E3382" w14:textId="5795A94D" w:rsidR="00E1708A" w:rsidRPr="00E1708A" w:rsidRDefault="00E1708A" w:rsidP="00E1708A">
      <w:pPr>
        <w:pStyle w:val="TextoNormalSangraFrancesa"/>
        <w:rPr>
          <w:rStyle w:val="TextoNormalCaracter"/>
        </w:rPr>
      </w:pPr>
      <w:bookmarkStart w:id="1311" w:name="DESCRIPTORALFABETICO374"/>
      <w:r w:rsidRPr="00E1708A">
        <w:rPr>
          <w:rStyle w:val="TextoNormalNegritaCaracter"/>
        </w:rPr>
        <w:t>Redes sociales</w:t>
      </w:r>
      <w:bookmarkEnd w:id="1311"/>
      <w:r w:rsidRPr="00E1708A">
        <w:rPr>
          <w:rStyle w:val="TextoNormalCaracter"/>
        </w:rPr>
        <w:t xml:space="preserve">, Sentencia </w:t>
      </w:r>
      <w:hyperlink w:anchor="SENTENCIA_2023_83" w:history="1">
        <w:r w:rsidRPr="00E1708A">
          <w:rPr>
            <w:rStyle w:val="TextoNormalCaracter"/>
          </w:rPr>
          <w:t>83/2023</w:t>
        </w:r>
      </w:hyperlink>
      <w:r w:rsidRPr="00E1708A">
        <w:rPr>
          <w:rStyle w:val="TextoNormalCaracter"/>
        </w:rPr>
        <w:t>, ff. 5 y 6, VP I, VP II.</w:t>
      </w:r>
    </w:p>
    <w:p w14:paraId="6F6AE1EE" w14:textId="0E6C7F86" w:rsidR="00E1708A" w:rsidRPr="00E1708A" w:rsidRDefault="00E1708A" w:rsidP="00E1708A">
      <w:pPr>
        <w:pStyle w:val="TextoNormalSangraFrancesa"/>
        <w:rPr>
          <w:rStyle w:val="TextoNormalCaracter"/>
        </w:rPr>
      </w:pPr>
      <w:bookmarkStart w:id="1312" w:name="DESCRIPTORALFABETICO297"/>
      <w:r w:rsidRPr="00E1708A">
        <w:rPr>
          <w:rStyle w:val="TextoNormalNegritaCaracter"/>
        </w:rPr>
        <w:t>Regadío</w:t>
      </w:r>
      <w:bookmarkEnd w:id="1312"/>
      <w:r w:rsidRPr="00E1708A">
        <w:rPr>
          <w:rStyle w:val="TextoNormalCaracter"/>
        </w:rPr>
        <w:t xml:space="preserve">, Sentencia </w:t>
      </w:r>
      <w:hyperlink w:anchor="SENTENCIA_2023_126" w:history="1">
        <w:r w:rsidRPr="00E1708A">
          <w:rPr>
            <w:rStyle w:val="TextoNormalCaracter"/>
          </w:rPr>
          <w:t>126/2023</w:t>
        </w:r>
      </w:hyperlink>
      <w:r w:rsidRPr="00E1708A">
        <w:rPr>
          <w:rStyle w:val="TextoNormalCaracter"/>
        </w:rPr>
        <w:t>, ff. 3 a 5.</w:t>
      </w:r>
    </w:p>
    <w:p w14:paraId="6535DC01" w14:textId="072404A9" w:rsidR="00E1708A" w:rsidRPr="00E1708A" w:rsidRDefault="00E1708A" w:rsidP="00E1708A">
      <w:pPr>
        <w:pStyle w:val="TextoNormalSangraFrancesa"/>
        <w:rPr>
          <w:rStyle w:val="TextoNormalCaracter"/>
        </w:rPr>
      </w:pPr>
      <w:bookmarkStart w:id="1313" w:name="DESCRIPTORALFABETICO291"/>
      <w:r w:rsidRPr="00E1708A">
        <w:rPr>
          <w:rStyle w:val="TextoNormalNegritaCaracter"/>
        </w:rPr>
        <w:t>Régimen estatutario</w:t>
      </w:r>
      <w:bookmarkEnd w:id="1313"/>
      <w:r w:rsidRPr="00E1708A">
        <w:rPr>
          <w:rStyle w:val="TextoNormalCaracter"/>
        </w:rPr>
        <w:t xml:space="preserve">, Sentencia </w:t>
      </w:r>
      <w:hyperlink w:anchor="SENTENCIA_2023_145" w:history="1">
        <w:r w:rsidRPr="00E1708A">
          <w:rPr>
            <w:rStyle w:val="TextoNormalCaracter"/>
          </w:rPr>
          <w:t>145/2023</w:t>
        </w:r>
      </w:hyperlink>
      <w:r w:rsidRPr="00E1708A">
        <w:rPr>
          <w:rStyle w:val="TextoNormalCaracter"/>
        </w:rPr>
        <w:t>, f. 4.</w:t>
      </w:r>
    </w:p>
    <w:p w14:paraId="1DEB48B5" w14:textId="61DC8519" w:rsidR="00E1708A" w:rsidRPr="00E1708A" w:rsidRDefault="00E1708A" w:rsidP="00E1708A">
      <w:pPr>
        <w:pStyle w:val="TextoNormalSangraFrancesa"/>
        <w:rPr>
          <w:rStyle w:val="TextoNormalCaracter"/>
        </w:rPr>
      </w:pPr>
      <w:bookmarkStart w:id="1314" w:name="DESCRIPTORALFABETICO316"/>
      <w:r w:rsidRPr="00E1708A">
        <w:rPr>
          <w:rStyle w:val="TextoNormalNegritaCaracter"/>
        </w:rPr>
        <w:t>Régimen minero</w:t>
      </w:r>
      <w:bookmarkEnd w:id="1314"/>
      <w:r w:rsidRPr="00E1708A">
        <w:rPr>
          <w:rStyle w:val="TextoNormalCaracter"/>
        </w:rPr>
        <w:t xml:space="preserve">, Sentencia </w:t>
      </w:r>
      <w:hyperlink w:anchor="SENTENCIA_2023_127" w:history="1">
        <w:r w:rsidRPr="00E1708A">
          <w:rPr>
            <w:rStyle w:val="TextoNormalCaracter"/>
          </w:rPr>
          <w:t>127/2023</w:t>
        </w:r>
      </w:hyperlink>
      <w:r w:rsidRPr="00E1708A">
        <w:rPr>
          <w:rStyle w:val="TextoNormalCaracter"/>
        </w:rPr>
        <w:t>, ff. 1 a 4.</w:t>
      </w:r>
    </w:p>
    <w:p w14:paraId="323F21D7" w14:textId="5BF7CFFC" w:rsidR="00E1708A" w:rsidRPr="00E1708A" w:rsidRDefault="00E1708A" w:rsidP="00E1708A">
      <w:pPr>
        <w:pStyle w:val="TextoNormalSangraFrancesa"/>
        <w:rPr>
          <w:rStyle w:val="TextoNormalCaracter"/>
        </w:rPr>
      </w:pPr>
      <w:bookmarkStart w:id="1315" w:name="DESCRIPTORALFABETICO439"/>
      <w:r w:rsidRPr="00E1708A">
        <w:rPr>
          <w:rStyle w:val="TextoNormalNegritaCaracter"/>
        </w:rPr>
        <w:t>Región de Murcia</w:t>
      </w:r>
      <w:bookmarkEnd w:id="1315"/>
      <w:r w:rsidRPr="00E1708A">
        <w:rPr>
          <w:rStyle w:val="TextoNormalCaracter"/>
        </w:rPr>
        <w:t xml:space="preserve">, Sentencia </w:t>
      </w:r>
      <w:hyperlink w:anchor="SENTENCIA_2023_126" w:history="1">
        <w:r w:rsidRPr="00E1708A">
          <w:rPr>
            <w:rStyle w:val="TextoNormalCaracter"/>
          </w:rPr>
          <w:t>126/2023</w:t>
        </w:r>
      </w:hyperlink>
      <w:r w:rsidRPr="00E1708A">
        <w:rPr>
          <w:rStyle w:val="TextoNormalCaracter"/>
        </w:rPr>
        <w:t>, ff. 3 a 5.</w:t>
      </w:r>
    </w:p>
    <w:p w14:paraId="1BE72626" w14:textId="0DBDA896" w:rsidR="00E1708A" w:rsidRPr="00E1708A" w:rsidRDefault="00E1708A" w:rsidP="00E1708A">
      <w:pPr>
        <w:pStyle w:val="TextoNormalSangraFrancesa"/>
        <w:rPr>
          <w:rStyle w:val="TextoNormalCaracter"/>
        </w:rPr>
      </w:pPr>
      <w:bookmarkStart w:id="1316" w:name="DESCRIPTORALFABETICO42"/>
      <w:r w:rsidRPr="00E1708A">
        <w:rPr>
          <w:rStyle w:val="TextoNormalNegritaCaracter"/>
        </w:rPr>
        <w:t>Regla D'Hondt</w:t>
      </w:r>
      <w:bookmarkEnd w:id="1316"/>
      <w:r w:rsidRPr="00E1708A">
        <w:rPr>
          <w:rStyle w:val="TextoNormalCaracter"/>
        </w:rPr>
        <w:t xml:space="preserve">, Sentencia </w:t>
      </w:r>
      <w:hyperlink w:anchor="SENTENCIA_2023_116" w:history="1">
        <w:r w:rsidRPr="00E1708A">
          <w:rPr>
            <w:rStyle w:val="TextoNormalCaracter"/>
          </w:rPr>
          <w:t>116/2023</w:t>
        </w:r>
      </w:hyperlink>
      <w:r w:rsidRPr="00E1708A">
        <w:rPr>
          <w:rStyle w:val="TextoNormalCaracter"/>
        </w:rPr>
        <w:t>, ff. 3 y 4.</w:t>
      </w:r>
    </w:p>
    <w:p w14:paraId="6BF93706" w14:textId="22953C35" w:rsidR="00E1708A" w:rsidRPr="00E1708A" w:rsidRDefault="00E1708A" w:rsidP="00E1708A">
      <w:pPr>
        <w:pStyle w:val="TextoNormalSangraFrancesa"/>
        <w:rPr>
          <w:rStyle w:val="TextoNormalCaracter"/>
        </w:rPr>
      </w:pPr>
      <w:bookmarkStart w:id="1317" w:name="DESCRIPTORALFABETICO259"/>
      <w:r w:rsidRPr="00E1708A">
        <w:rPr>
          <w:rStyle w:val="TextoNormalNegritaCaracter"/>
        </w:rPr>
        <w:t>Reglamento del Congreso de los Diputados</w:t>
      </w:r>
      <w:bookmarkEnd w:id="1317"/>
      <w:r w:rsidRPr="00E1708A">
        <w:rPr>
          <w:rStyle w:val="TextoNormalCaracter"/>
        </w:rPr>
        <w:t xml:space="preserve">, Sentencia </w:t>
      </w:r>
      <w:hyperlink w:anchor="SENTENCIA_2023_165" w:history="1">
        <w:r w:rsidRPr="00E1708A">
          <w:rPr>
            <w:rStyle w:val="TextoNormalCaracter"/>
          </w:rPr>
          <w:t>165/2023</w:t>
        </w:r>
      </w:hyperlink>
      <w:r w:rsidRPr="00E1708A">
        <w:rPr>
          <w:rStyle w:val="TextoNormalCaracter"/>
        </w:rPr>
        <w:t>, ff. 3, 4, VP.</w:t>
      </w:r>
    </w:p>
    <w:p w14:paraId="0DA28F51" w14:textId="0959EFAF" w:rsidR="00E1708A" w:rsidRPr="00E1708A" w:rsidRDefault="00E1708A" w:rsidP="00E1708A">
      <w:pPr>
        <w:pStyle w:val="TextoNormalSangraFrancesa"/>
        <w:rPr>
          <w:rStyle w:val="TextoNormalCaracter"/>
        </w:rPr>
      </w:pPr>
      <w:bookmarkStart w:id="1318" w:name="DESCRIPTORALFABETICO258"/>
      <w:r w:rsidRPr="00E1708A">
        <w:rPr>
          <w:rStyle w:val="TextoNormalNegritaCaracter"/>
        </w:rPr>
        <w:t>Reglamentos parlamentarios</w:t>
      </w:r>
      <w:bookmarkEnd w:id="1318"/>
      <w:r w:rsidRPr="00E1708A">
        <w:rPr>
          <w:rStyle w:val="TextoNormalCaracter"/>
        </w:rPr>
        <w:t xml:space="preserve">, Sentencia </w:t>
      </w:r>
      <w:hyperlink w:anchor="SENTENCIA_2023_167" w:history="1">
        <w:r w:rsidRPr="00E1708A">
          <w:rPr>
            <w:rStyle w:val="TextoNormalCaracter"/>
          </w:rPr>
          <w:t>167/2023</w:t>
        </w:r>
      </w:hyperlink>
      <w:r w:rsidRPr="00E1708A">
        <w:rPr>
          <w:rStyle w:val="TextoNormalCaracter"/>
        </w:rPr>
        <w:t>, ff. 4, 6, 7, 8,.</w:t>
      </w:r>
    </w:p>
    <w:p w14:paraId="77D731C3" w14:textId="432AE45D" w:rsidR="00E1708A" w:rsidRPr="00E1708A" w:rsidRDefault="00E1708A" w:rsidP="00E1708A">
      <w:pPr>
        <w:pStyle w:val="TextoNormalSangraFrancesa"/>
        <w:rPr>
          <w:rStyle w:val="TextoNormalCaracter"/>
        </w:rPr>
      </w:pPr>
      <w:bookmarkStart w:id="1319" w:name="DESCRIPTORALFABETICO386"/>
      <w:r w:rsidRPr="00E1708A">
        <w:rPr>
          <w:rStyle w:val="TextoNormalNegritaCaracter"/>
        </w:rPr>
        <w:t>Relaciones laborales</w:t>
      </w:r>
      <w:bookmarkEnd w:id="1319"/>
      <w:r w:rsidRPr="00E1708A">
        <w:rPr>
          <w:rStyle w:val="TextoNormalCaracter"/>
        </w:rPr>
        <w:t xml:space="preserve">, Sentencia </w:t>
      </w:r>
      <w:hyperlink w:anchor="SENTENCIA_2023_79" w:history="1">
        <w:r w:rsidRPr="00E1708A">
          <w:rPr>
            <w:rStyle w:val="TextoNormalCaracter"/>
          </w:rPr>
          <w:t>79/2023</w:t>
        </w:r>
      </w:hyperlink>
      <w:r w:rsidRPr="00E1708A">
        <w:rPr>
          <w:rStyle w:val="TextoNormalCaracter"/>
        </w:rPr>
        <w:t>, ff. 3 y 4.</w:t>
      </w:r>
    </w:p>
    <w:p w14:paraId="2C18DCA9" w14:textId="2D0D010C" w:rsidR="00E1708A" w:rsidRPr="00E1708A" w:rsidRDefault="00E1708A" w:rsidP="00E1708A">
      <w:pPr>
        <w:pStyle w:val="TextoNormalSangraFrancesa"/>
        <w:rPr>
          <w:rStyle w:val="TextoNormalCaracter"/>
        </w:rPr>
      </w:pPr>
      <w:bookmarkStart w:id="1320" w:name="DESCRIPTORALFABETICO187"/>
      <w:r w:rsidRPr="00E1708A">
        <w:rPr>
          <w:rStyle w:val="TextoNormalNegritaCaracter"/>
        </w:rPr>
        <w:t>Repercusión social o económica del asunto</w:t>
      </w:r>
      <w:bookmarkEnd w:id="1320"/>
      <w:r w:rsidRPr="00E1708A">
        <w:rPr>
          <w:rStyle w:val="TextoNormalCaracter"/>
        </w:rPr>
        <w:t xml:space="preserve">, Sentencia </w:t>
      </w:r>
      <w:hyperlink w:anchor="SENTENCIA_2023_134" w:history="1">
        <w:r w:rsidRPr="00E1708A">
          <w:rPr>
            <w:rStyle w:val="TextoNormalCaracter"/>
          </w:rPr>
          <w:t>134/2023</w:t>
        </w:r>
      </w:hyperlink>
      <w:r w:rsidRPr="00E1708A">
        <w:rPr>
          <w:rStyle w:val="TextoNormalCaracter"/>
        </w:rPr>
        <w:t>, f. 2.</w:t>
      </w:r>
    </w:p>
    <w:p w14:paraId="22940A23" w14:textId="42CEFE1B" w:rsidR="00E1708A" w:rsidRPr="00E1708A" w:rsidRDefault="00E1708A" w:rsidP="00E1708A">
      <w:pPr>
        <w:pStyle w:val="TextoNormalSangraFrancesa"/>
        <w:rPr>
          <w:rStyle w:val="TextoNormalCaracter"/>
        </w:rPr>
      </w:pPr>
      <w:bookmarkStart w:id="1321" w:name="DESCRIPTORALFABETICO215"/>
      <w:r w:rsidRPr="00E1708A">
        <w:rPr>
          <w:rStyle w:val="TextoNormalNegritaCaracter"/>
        </w:rPr>
        <w:t>Representación del poder judicial</w:t>
      </w:r>
      <w:bookmarkEnd w:id="1321"/>
      <w:r w:rsidRPr="00E1708A">
        <w:rPr>
          <w:rStyle w:val="TextoNormalCaracter"/>
        </w:rPr>
        <w:t xml:space="preserve">, Sentencia </w:t>
      </w:r>
      <w:hyperlink w:anchor="SENTENCIA_2023_128" w:history="1">
        <w:r w:rsidRPr="00E1708A">
          <w:rPr>
            <w:rStyle w:val="TextoNormalCaracter"/>
          </w:rPr>
          <w:t>128/2023</w:t>
        </w:r>
      </w:hyperlink>
      <w:r w:rsidRPr="00E1708A">
        <w:rPr>
          <w:rStyle w:val="TextoNormalCaracter"/>
        </w:rPr>
        <w:t>, ff. 4 y 5, VP.</w:t>
      </w:r>
    </w:p>
    <w:p w14:paraId="08794F4B" w14:textId="00F826FB" w:rsidR="00E1708A" w:rsidRPr="00E1708A" w:rsidRDefault="00E1708A" w:rsidP="00E1708A">
      <w:pPr>
        <w:pStyle w:val="TextoNormalSangraFrancesa"/>
        <w:rPr>
          <w:rStyle w:val="TextoNormalCaracter"/>
        </w:rPr>
      </w:pPr>
      <w:bookmarkStart w:id="1322" w:name="DESCRIPTORALFABETICO260"/>
      <w:r w:rsidRPr="00E1708A">
        <w:rPr>
          <w:rStyle w:val="TextoNormalNegritaCaracter"/>
        </w:rPr>
        <w:t>Representación proporcional</w:t>
      </w:r>
      <w:bookmarkEnd w:id="1322"/>
      <w:r w:rsidRPr="00E1708A">
        <w:rPr>
          <w:rStyle w:val="TextoNormalCaracter"/>
        </w:rPr>
        <w:t xml:space="preserve">, Sentencia </w:t>
      </w:r>
      <w:hyperlink w:anchor="SENTENCIA_2023_116" w:history="1">
        <w:r w:rsidRPr="00E1708A">
          <w:rPr>
            <w:rStyle w:val="TextoNormalCaracter"/>
          </w:rPr>
          <w:t>116/2023</w:t>
        </w:r>
      </w:hyperlink>
      <w:r w:rsidRPr="00E1708A">
        <w:rPr>
          <w:rStyle w:val="TextoNormalCaracter"/>
        </w:rPr>
        <w:t>, ff. 1 a 4.</w:t>
      </w:r>
    </w:p>
    <w:p w14:paraId="13203CC1" w14:textId="3EBB389F" w:rsidR="00E1708A" w:rsidRPr="00E1708A" w:rsidRDefault="00E1708A" w:rsidP="00E1708A">
      <w:pPr>
        <w:pStyle w:val="TextoNormalSangraFrancesa"/>
        <w:rPr>
          <w:rStyle w:val="TextoNormalCaracter"/>
        </w:rPr>
      </w:pPr>
      <w:bookmarkStart w:id="1323" w:name="DESCRIPTORALFABETICO172"/>
      <w:r w:rsidRPr="00E1708A">
        <w:rPr>
          <w:rStyle w:val="TextoNormalNegritaCaracter"/>
        </w:rPr>
        <w:t>Requisitos procesales de la cuestión de inconstitucionalidad</w:t>
      </w:r>
      <w:bookmarkEnd w:id="1323"/>
      <w:r w:rsidRPr="00E1708A">
        <w:rPr>
          <w:rStyle w:val="TextoNormalCaracter"/>
        </w:rPr>
        <w:t xml:space="preserve">, Sentencias </w:t>
      </w:r>
      <w:hyperlink w:anchor="SENTENCIA_2023_168" w:history="1">
        <w:r w:rsidRPr="00E1708A">
          <w:rPr>
            <w:rStyle w:val="TextoNormalCaracter"/>
          </w:rPr>
          <w:t>168/2023</w:t>
        </w:r>
      </w:hyperlink>
      <w:r w:rsidRPr="00E1708A">
        <w:rPr>
          <w:rStyle w:val="TextoNormalCaracter"/>
        </w:rPr>
        <w:t xml:space="preserve">, f. 3; </w:t>
      </w:r>
      <w:hyperlink w:anchor="SENTENCIA_2023_169" w:history="1">
        <w:r w:rsidRPr="00E1708A">
          <w:rPr>
            <w:rStyle w:val="TextoNormalCaracter"/>
          </w:rPr>
          <w:t>169/2023</w:t>
        </w:r>
      </w:hyperlink>
      <w:r w:rsidRPr="00E1708A">
        <w:rPr>
          <w:rStyle w:val="TextoNormalCaracter"/>
        </w:rPr>
        <w:t>, ff. 2 y 3.</w:t>
      </w:r>
    </w:p>
    <w:p w14:paraId="205FF2E6" w14:textId="77777777" w:rsidR="00E1708A" w:rsidRPr="00E1708A" w:rsidRDefault="00E1708A" w:rsidP="00E1708A">
      <w:pPr>
        <w:pStyle w:val="TextoNormalSangraFrancesa"/>
        <w:rPr>
          <w:rStyle w:val="TextoNormalCaracter"/>
        </w:rPr>
      </w:pPr>
      <w:bookmarkStart w:id="1324" w:name="DESCRIPTORALFABETICO78"/>
      <w:r w:rsidRPr="00E1708A">
        <w:rPr>
          <w:rStyle w:val="TextoNormalNegritaCaracter"/>
        </w:rPr>
        <w:t>Resolución fundada en Derecho</w:t>
      </w:r>
      <w:bookmarkEnd w:id="1324"/>
      <w:r w:rsidRPr="00E1708A">
        <w:rPr>
          <w:rStyle w:val="TextoNormalCaracter"/>
        </w:rPr>
        <w:t xml:space="preserve">, </w:t>
      </w:r>
    </w:p>
    <w:p w14:paraId="38C69569" w14:textId="2898EE87" w:rsidR="00E1708A" w:rsidRPr="00E1708A" w:rsidRDefault="00E1708A" w:rsidP="00E1708A">
      <w:pPr>
        <w:pStyle w:val="TextoNormalSangraFrancesa"/>
        <w:rPr>
          <w:rStyle w:val="TextoNormalCaracter"/>
        </w:rPr>
      </w:pPr>
      <w:r w:rsidRPr="00E1708A">
        <w:rPr>
          <w:rStyle w:val="TextoNormalCursivaCaracter"/>
        </w:rPr>
        <w:t xml:space="preserve">    Vulnerado, </w:t>
      </w:r>
      <w:r w:rsidRPr="00E1708A">
        <w:rPr>
          <w:rStyle w:val="TextoNormalCaracter"/>
        </w:rPr>
        <w:t xml:space="preserve">Sentencia </w:t>
      </w:r>
      <w:hyperlink w:anchor="SENTENCIA_2023_134" w:history="1">
        <w:r w:rsidRPr="00E1708A">
          <w:rPr>
            <w:rStyle w:val="TextoNormalCaracter"/>
          </w:rPr>
          <w:t>134/2023</w:t>
        </w:r>
      </w:hyperlink>
      <w:r w:rsidRPr="00E1708A">
        <w:rPr>
          <w:rStyle w:val="TextoNormalCaracter"/>
        </w:rPr>
        <w:t>, ff. 3 y 4.</w:t>
      </w:r>
    </w:p>
    <w:p w14:paraId="07A6B431" w14:textId="37166393" w:rsidR="00E1708A" w:rsidRPr="00E1708A" w:rsidRDefault="00E1708A" w:rsidP="00E1708A">
      <w:pPr>
        <w:pStyle w:val="TextoNormalSangraFrancesa"/>
        <w:rPr>
          <w:rStyle w:val="TextoNormalCaracter"/>
        </w:rPr>
      </w:pPr>
      <w:bookmarkStart w:id="1325" w:name="DESCRIPTORALFABETICO375"/>
      <w:r w:rsidRPr="00E1708A">
        <w:rPr>
          <w:rStyle w:val="TextoNormalNegritaCaracter"/>
        </w:rPr>
        <w:t>Responsabilidad civil derivada de delito</w:t>
      </w:r>
      <w:bookmarkEnd w:id="1325"/>
      <w:r w:rsidRPr="00E1708A">
        <w:rPr>
          <w:rStyle w:val="TextoNormalCaracter"/>
        </w:rPr>
        <w:t xml:space="preserve">, Sentencia </w:t>
      </w:r>
      <w:hyperlink w:anchor="SENTENCIA_2023_184" w:history="1">
        <w:r w:rsidRPr="00E1708A">
          <w:rPr>
            <w:rStyle w:val="TextoNormalCaracter"/>
          </w:rPr>
          <w:t>184/2023</w:t>
        </w:r>
      </w:hyperlink>
      <w:r w:rsidRPr="00E1708A">
        <w:rPr>
          <w:rStyle w:val="TextoNormalCaracter"/>
        </w:rPr>
        <w:t>, f. 3.</w:t>
      </w:r>
    </w:p>
    <w:p w14:paraId="5BF5D367" w14:textId="79CA6CD2" w:rsidR="00E1708A" w:rsidRPr="00E1708A" w:rsidRDefault="00E1708A" w:rsidP="00E1708A">
      <w:pPr>
        <w:pStyle w:val="TextoNormalSangraFrancesa"/>
        <w:rPr>
          <w:rStyle w:val="TextoNormalCaracter"/>
        </w:rPr>
      </w:pPr>
      <w:bookmarkStart w:id="1326" w:name="DESCRIPTORALFABETICO293"/>
      <w:r w:rsidRPr="00E1708A">
        <w:rPr>
          <w:rStyle w:val="TextoNormalNegritaCaracter"/>
        </w:rPr>
        <w:t>Responsabilidad patrimonial de las Administraciones públicas</w:t>
      </w:r>
      <w:bookmarkEnd w:id="1326"/>
      <w:r w:rsidRPr="00E1708A">
        <w:rPr>
          <w:rStyle w:val="TextoNormalCaracter"/>
        </w:rPr>
        <w:t xml:space="preserve">, Sentencia </w:t>
      </w:r>
      <w:hyperlink w:anchor="SENTENCIA_2023_78" w:history="1">
        <w:r w:rsidRPr="00E1708A">
          <w:rPr>
            <w:rStyle w:val="TextoNormalCaracter"/>
          </w:rPr>
          <w:t>78/2023</w:t>
        </w:r>
      </w:hyperlink>
      <w:r w:rsidRPr="00E1708A">
        <w:rPr>
          <w:rStyle w:val="TextoNormalCaracter"/>
        </w:rPr>
        <w:t>, ff. 5 a 7.</w:t>
      </w:r>
    </w:p>
    <w:p w14:paraId="2D0C03A4" w14:textId="4867F4E2" w:rsidR="00E1708A" w:rsidRPr="00E1708A" w:rsidRDefault="00E1708A" w:rsidP="00E1708A">
      <w:pPr>
        <w:pStyle w:val="TextoNormalSangraFrancesa"/>
        <w:rPr>
          <w:rStyle w:val="TextoNormalCaracter"/>
        </w:rPr>
      </w:pPr>
      <w:bookmarkStart w:id="1327" w:name="DESCRIPTORALFABETICO397"/>
      <w:r w:rsidRPr="00E1708A">
        <w:rPr>
          <w:rStyle w:val="TextoNormalNegritaCaracter"/>
        </w:rPr>
        <w:t>Retroacción de actuaciones judiciales</w:t>
      </w:r>
      <w:bookmarkEnd w:id="1327"/>
      <w:r w:rsidRPr="00E1708A">
        <w:rPr>
          <w:rStyle w:val="TextoNormalCaracter"/>
        </w:rPr>
        <w:t xml:space="preserve">, Sentencia </w:t>
      </w:r>
      <w:hyperlink w:anchor="SENTENCIA_2023_137" w:history="1">
        <w:r w:rsidRPr="00E1708A">
          <w:rPr>
            <w:rStyle w:val="TextoNormalCaracter"/>
          </w:rPr>
          <w:t>137/2023</w:t>
        </w:r>
      </w:hyperlink>
      <w:r w:rsidRPr="00E1708A">
        <w:rPr>
          <w:rStyle w:val="TextoNormalCaracter"/>
        </w:rPr>
        <w:t>, f.3.</w:t>
      </w:r>
    </w:p>
    <w:p w14:paraId="34BAB8A0" w14:textId="7A595747" w:rsidR="00E1708A" w:rsidRPr="00E1708A" w:rsidRDefault="00E1708A" w:rsidP="00E1708A">
      <w:pPr>
        <w:pStyle w:val="TextoNormalSangraFrancesa"/>
        <w:rPr>
          <w:rStyle w:val="TextoNormalCaracter"/>
        </w:rPr>
      </w:pPr>
      <w:bookmarkStart w:id="1328" w:name="DESCRIPTORALFABETICO347"/>
      <w:r w:rsidRPr="00E1708A">
        <w:rPr>
          <w:rStyle w:val="TextoNormalNegritaCaracter"/>
        </w:rPr>
        <w:t>Retroactividad de normas tributarias</w:t>
      </w:r>
      <w:bookmarkEnd w:id="1328"/>
      <w:r w:rsidRPr="00E1708A">
        <w:rPr>
          <w:rStyle w:val="TextoNormalCaracter"/>
        </w:rPr>
        <w:t xml:space="preserve">, Sentencias </w:t>
      </w:r>
      <w:hyperlink w:anchor="SENTENCIA_2023_149" w:history="1">
        <w:r w:rsidRPr="00E1708A">
          <w:rPr>
            <w:rStyle w:val="TextoNormalCaracter"/>
          </w:rPr>
          <w:t>149/2023</w:t>
        </w:r>
      </w:hyperlink>
      <w:r w:rsidRPr="00E1708A">
        <w:rPr>
          <w:rStyle w:val="TextoNormalCaracter"/>
        </w:rPr>
        <w:t xml:space="preserve">, f. 5, VP; </w:t>
      </w:r>
      <w:hyperlink w:anchor="SENTENCIA_2023_170" w:history="1">
        <w:r w:rsidRPr="00E1708A">
          <w:rPr>
            <w:rStyle w:val="TextoNormalCaracter"/>
          </w:rPr>
          <w:t>170/2023</w:t>
        </w:r>
      </w:hyperlink>
      <w:r w:rsidRPr="00E1708A">
        <w:rPr>
          <w:rStyle w:val="TextoNormalCaracter"/>
        </w:rPr>
        <w:t xml:space="preserve">, f. 5, VP; </w:t>
      </w:r>
      <w:hyperlink w:anchor="SENTENCIA_2023_171" w:history="1">
        <w:r w:rsidRPr="00E1708A">
          <w:rPr>
            <w:rStyle w:val="TextoNormalCaracter"/>
          </w:rPr>
          <w:t>171/2023</w:t>
        </w:r>
      </w:hyperlink>
      <w:r w:rsidRPr="00E1708A">
        <w:rPr>
          <w:rStyle w:val="TextoNormalCaracter"/>
        </w:rPr>
        <w:t xml:space="preserve">, f. 5, VP; </w:t>
      </w:r>
      <w:hyperlink w:anchor="SENTENCIA_2023_189" w:history="1">
        <w:r w:rsidRPr="00E1708A">
          <w:rPr>
            <w:rStyle w:val="TextoNormalCaracter"/>
          </w:rPr>
          <w:t>189/2023</w:t>
        </w:r>
      </w:hyperlink>
      <w:r w:rsidRPr="00E1708A">
        <w:rPr>
          <w:rStyle w:val="TextoNormalCaracter"/>
        </w:rPr>
        <w:t xml:space="preserve">, f. 5, VP; </w:t>
      </w:r>
      <w:hyperlink w:anchor="SENTENCIA_2023_190" w:history="1">
        <w:r w:rsidRPr="00E1708A">
          <w:rPr>
            <w:rStyle w:val="TextoNormalCaracter"/>
          </w:rPr>
          <w:t>190/2023</w:t>
        </w:r>
      </w:hyperlink>
      <w:r w:rsidRPr="00E1708A">
        <w:rPr>
          <w:rStyle w:val="TextoNormalCaracter"/>
        </w:rPr>
        <w:t>, f. 5, VP.</w:t>
      </w:r>
    </w:p>
    <w:p w14:paraId="6E328504" w14:textId="1252BFA0" w:rsidR="00E1708A" w:rsidRPr="00E1708A" w:rsidRDefault="00E1708A" w:rsidP="00E1708A">
      <w:pPr>
        <w:pStyle w:val="TextoNormalSangraFrancesa"/>
        <w:rPr>
          <w:rStyle w:val="TextoNormalCaracter"/>
        </w:rPr>
      </w:pPr>
      <w:bookmarkStart w:id="1329" w:name="DESCRIPTORALFABETICO399"/>
      <w:r w:rsidRPr="00E1708A">
        <w:rPr>
          <w:rStyle w:val="TextoNormalNegritaCaracter"/>
        </w:rPr>
        <w:t>Revisión de diligencias de ordenación</w:t>
      </w:r>
      <w:bookmarkEnd w:id="1329"/>
      <w:r w:rsidRPr="00E1708A">
        <w:rPr>
          <w:rStyle w:val="TextoNormalCaracter"/>
        </w:rPr>
        <w:t xml:space="preserve">, Autos </w:t>
      </w:r>
      <w:hyperlink w:anchor="AUTO_2023_487" w:history="1">
        <w:r w:rsidRPr="00E1708A">
          <w:rPr>
            <w:rStyle w:val="TextoNormalCaracter"/>
          </w:rPr>
          <w:t>487/2023</w:t>
        </w:r>
      </w:hyperlink>
      <w:r w:rsidRPr="00E1708A">
        <w:rPr>
          <w:rStyle w:val="TextoNormalCaracter"/>
        </w:rPr>
        <w:t xml:space="preserve">, f. único; </w:t>
      </w:r>
      <w:hyperlink w:anchor="AUTO_2023_666" w:history="1">
        <w:r w:rsidRPr="00E1708A">
          <w:rPr>
            <w:rStyle w:val="TextoNormalCaracter"/>
          </w:rPr>
          <w:t>666/2023</w:t>
        </w:r>
      </w:hyperlink>
      <w:r w:rsidRPr="00E1708A">
        <w:rPr>
          <w:rStyle w:val="TextoNormalCaracter"/>
        </w:rPr>
        <w:t>, f. único.</w:t>
      </w:r>
    </w:p>
    <w:p w14:paraId="613F26B2" w14:textId="1CF1400A" w:rsidR="00E1708A" w:rsidRDefault="00E1708A" w:rsidP="00E1708A">
      <w:pPr>
        <w:pStyle w:val="TextoNormalSangraFrancesa"/>
      </w:pPr>
    </w:p>
    <w:p w14:paraId="6298C734" w14:textId="77777777" w:rsidR="00E1708A" w:rsidRDefault="00E1708A" w:rsidP="00E1708A">
      <w:pPr>
        <w:pStyle w:val="TextoNormalSangraFrancesa"/>
      </w:pPr>
    </w:p>
    <w:p w14:paraId="06572D6B" w14:textId="77777777" w:rsidR="00E1708A" w:rsidRDefault="00E1708A" w:rsidP="00E1708A">
      <w:pPr>
        <w:pStyle w:val="TextoNormalNegritaCentrado"/>
      </w:pPr>
      <w:r>
        <w:t>S</w:t>
      </w:r>
    </w:p>
    <w:p w14:paraId="0E078912" w14:textId="52223BA6" w:rsidR="00E1708A" w:rsidRDefault="00E1708A" w:rsidP="00E1708A">
      <w:pPr>
        <w:pStyle w:val="TextoNormalNegritaCentrado"/>
      </w:pPr>
    </w:p>
    <w:p w14:paraId="5F9BE5A9" w14:textId="05C04FD3" w:rsidR="00E1708A" w:rsidRPr="00E1708A" w:rsidRDefault="00E1708A" w:rsidP="00E1708A">
      <w:pPr>
        <w:pStyle w:val="TextoNormalSangraFrancesa"/>
        <w:rPr>
          <w:rStyle w:val="TextoNormalCaracter"/>
        </w:rPr>
      </w:pPr>
      <w:bookmarkStart w:id="1330" w:name="DESCRIPTORALFABETICO376"/>
      <w:r w:rsidRPr="00E1708A">
        <w:rPr>
          <w:rStyle w:val="TextoNormalNegritaCaracter"/>
        </w:rPr>
        <w:t>Salud pública</w:t>
      </w:r>
      <w:bookmarkEnd w:id="1330"/>
      <w:r w:rsidRPr="00E1708A">
        <w:rPr>
          <w:rStyle w:val="TextoNormalCaracter"/>
        </w:rPr>
        <w:t xml:space="preserve">, Sentencias </w:t>
      </w:r>
      <w:hyperlink w:anchor="SENTENCIA_2023_84" w:history="1">
        <w:r w:rsidRPr="00E1708A">
          <w:rPr>
            <w:rStyle w:val="TextoNormalCaracter"/>
          </w:rPr>
          <w:t>84/2023</w:t>
        </w:r>
      </w:hyperlink>
      <w:r w:rsidRPr="00E1708A">
        <w:rPr>
          <w:rStyle w:val="TextoNormalCaracter"/>
        </w:rPr>
        <w:t xml:space="preserve">, ff. 2 a 4; </w:t>
      </w:r>
      <w:hyperlink w:anchor="SENTENCIA_2023_88" w:history="1">
        <w:r w:rsidRPr="00E1708A">
          <w:rPr>
            <w:rStyle w:val="TextoNormalCaracter"/>
          </w:rPr>
          <w:t>88/2023</w:t>
        </w:r>
      </w:hyperlink>
      <w:r w:rsidRPr="00E1708A">
        <w:rPr>
          <w:rStyle w:val="TextoNormalCaracter"/>
        </w:rPr>
        <w:t xml:space="preserve">, ff. 2 a 4; </w:t>
      </w:r>
      <w:hyperlink w:anchor="SENTENCIA_2023_164" w:history="1">
        <w:r w:rsidRPr="00E1708A">
          <w:rPr>
            <w:rStyle w:val="TextoNormalCaracter"/>
          </w:rPr>
          <w:t>164/2023</w:t>
        </w:r>
      </w:hyperlink>
      <w:r w:rsidRPr="00E1708A">
        <w:rPr>
          <w:rStyle w:val="TextoNormalCaracter"/>
        </w:rPr>
        <w:t xml:space="preserve">, ff. 1 a 3, VP I, VP II; </w:t>
      </w:r>
      <w:hyperlink w:anchor="SENTENCIA_2023_173" w:history="1">
        <w:r w:rsidRPr="00E1708A">
          <w:rPr>
            <w:rStyle w:val="TextoNormalCaracter"/>
          </w:rPr>
          <w:t>173/2023</w:t>
        </w:r>
      </w:hyperlink>
      <w:r w:rsidRPr="00E1708A">
        <w:rPr>
          <w:rStyle w:val="TextoNormalCaracter"/>
        </w:rPr>
        <w:t xml:space="preserve">, f. único; </w:t>
      </w:r>
      <w:hyperlink w:anchor="SENTENCIA_2023_174" w:history="1">
        <w:r w:rsidRPr="00E1708A">
          <w:rPr>
            <w:rStyle w:val="TextoNormalCaracter"/>
          </w:rPr>
          <w:t>174/2023</w:t>
        </w:r>
      </w:hyperlink>
      <w:r w:rsidRPr="00E1708A">
        <w:rPr>
          <w:rStyle w:val="TextoNormalCaracter"/>
        </w:rPr>
        <w:t xml:space="preserve">, f. 3; </w:t>
      </w:r>
      <w:hyperlink w:anchor="SENTENCIA_2023_175" w:history="1">
        <w:r w:rsidRPr="00E1708A">
          <w:rPr>
            <w:rStyle w:val="TextoNormalCaracter"/>
          </w:rPr>
          <w:t>175/2023</w:t>
        </w:r>
      </w:hyperlink>
      <w:r w:rsidRPr="00E1708A">
        <w:rPr>
          <w:rStyle w:val="TextoNormalCaracter"/>
        </w:rPr>
        <w:t xml:space="preserve">, f. 2; </w:t>
      </w:r>
      <w:hyperlink w:anchor="SENTENCIA_2023_176" w:history="1">
        <w:r w:rsidRPr="00E1708A">
          <w:rPr>
            <w:rStyle w:val="TextoNormalCaracter"/>
          </w:rPr>
          <w:t>176/2023</w:t>
        </w:r>
      </w:hyperlink>
      <w:r w:rsidRPr="00E1708A">
        <w:rPr>
          <w:rStyle w:val="TextoNormalCaracter"/>
        </w:rPr>
        <w:t xml:space="preserve">, f. único; </w:t>
      </w:r>
      <w:hyperlink w:anchor="SENTENCIA_2023_177" w:history="1">
        <w:r w:rsidRPr="00E1708A">
          <w:rPr>
            <w:rStyle w:val="TextoNormalCaracter"/>
          </w:rPr>
          <w:t>177/2023</w:t>
        </w:r>
      </w:hyperlink>
      <w:r w:rsidRPr="00E1708A">
        <w:rPr>
          <w:rStyle w:val="TextoNormalCaracter"/>
        </w:rPr>
        <w:t xml:space="preserve">, f. único; </w:t>
      </w:r>
      <w:hyperlink w:anchor="SENTENCIA_2023_178" w:history="1">
        <w:r w:rsidRPr="00E1708A">
          <w:rPr>
            <w:rStyle w:val="TextoNormalCaracter"/>
          </w:rPr>
          <w:t>178/2023</w:t>
        </w:r>
      </w:hyperlink>
      <w:r w:rsidRPr="00E1708A">
        <w:rPr>
          <w:rStyle w:val="TextoNormalCaracter"/>
        </w:rPr>
        <w:t xml:space="preserve">, f. único; </w:t>
      </w:r>
      <w:hyperlink w:anchor="SENTENCIA_2023_188" w:history="1">
        <w:r w:rsidRPr="00E1708A">
          <w:rPr>
            <w:rStyle w:val="TextoNormalCaracter"/>
          </w:rPr>
          <w:t>188/2023</w:t>
        </w:r>
      </w:hyperlink>
      <w:r w:rsidRPr="00E1708A">
        <w:rPr>
          <w:rStyle w:val="TextoNormalCaracter"/>
        </w:rPr>
        <w:t>, f. único.</w:t>
      </w:r>
    </w:p>
    <w:p w14:paraId="03A49DA1" w14:textId="521FA82A" w:rsidR="00E1708A" w:rsidRPr="00E1708A" w:rsidRDefault="00E1708A" w:rsidP="00E1708A">
      <w:pPr>
        <w:pStyle w:val="TextoNormalSangraFrancesa"/>
        <w:rPr>
          <w:rStyle w:val="TextoNormalCaracter"/>
        </w:rPr>
      </w:pPr>
      <w:bookmarkStart w:id="1331" w:name="DESCRIPTORALFABETICO310"/>
      <w:r w:rsidRPr="00E1708A">
        <w:rPr>
          <w:rStyle w:val="TextoNormalNegritaCaracter"/>
        </w:rPr>
        <w:t>Sanciones administrativas</w:t>
      </w:r>
      <w:bookmarkEnd w:id="1331"/>
      <w:r w:rsidRPr="00E1708A">
        <w:rPr>
          <w:rStyle w:val="TextoNormalCaracter"/>
        </w:rPr>
        <w:t xml:space="preserve">, Sentencia </w:t>
      </w:r>
      <w:hyperlink w:anchor="SENTENCIA_2023_179" w:history="1">
        <w:r w:rsidRPr="00E1708A">
          <w:rPr>
            <w:rStyle w:val="TextoNormalCaracter"/>
          </w:rPr>
          <w:t>179/2023</w:t>
        </w:r>
      </w:hyperlink>
      <w:r w:rsidRPr="00E1708A">
        <w:rPr>
          <w:rStyle w:val="TextoNormalCaracter"/>
        </w:rPr>
        <w:t>, ff. 2 y 3.</w:t>
      </w:r>
    </w:p>
    <w:p w14:paraId="6E36111F" w14:textId="3B1F98CC" w:rsidR="00E1708A" w:rsidRPr="00E1708A" w:rsidRDefault="00E1708A" w:rsidP="00E1708A">
      <w:pPr>
        <w:pStyle w:val="TextoNormalSangraFrancesa"/>
        <w:rPr>
          <w:rStyle w:val="TextoNormalCaracter"/>
        </w:rPr>
      </w:pPr>
      <w:bookmarkStart w:id="1332" w:name="DESCRIPTORALFABETICO201"/>
      <w:r w:rsidRPr="00E1708A">
        <w:rPr>
          <w:rStyle w:val="TextoNormalNegritaCaracter"/>
        </w:rPr>
        <w:t>Sección de Vacaciones del Tribunal Constitucional</w:t>
      </w:r>
      <w:bookmarkEnd w:id="1332"/>
      <w:r w:rsidRPr="00E1708A">
        <w:rPr>
          <w:rStyle w:val="TextoNormalCaracter"/>
        </w:rPr>
        <w:t xml:space="preserve">, Auto </w:t>
      </w:r>
      <w:hyperlink w:anchor="AUTO_2023_378" w:history="1">
        <w:r w:rsidRPr="00E1708A">
          <w:rPr>
            <w:rStyle w:val="TextoNormalCaracter"/>
          </w:rPr>
          <w:t>378/2023</w:t>
        </w:r>
      </w:hyperlink>
      <w:r w:rsidRPr="00E1708A">
        <w:rPr>
          <w:rStyle w:val="TextoNormalCaracter"/>
        </w:rPr>
        <w:t>, f. 1, VP.</w:t>
      </w:r>
    </w:p>
    <w:p w14:paraId="19AE3593" w14:textId="1CB4E74A" w:rsidR="00E1708A" w:rsidRPr="00E1708A" w:rsidRDefault="00E1708A" w:rsidP="00E1708A">
      <w:pPr>
        <w:pStyle w:val="TextoNormalSangraFrancesa"/>
        <w:rPr>
          <w:rStyle w:val="TextoNormalCaracter"/>
        </w:rPr>
      </w:pPr>
      <w:bookmarkStart w:id="1333" w:name="DESCRIPTORALFABETICO424"/>
      <w:r w:rsidRPr="00E1708A">
        <w:rPr>
          <w:rStyle w:val="TextoNormalNegritaCaracter"/>
        </w:rPr>
        <w:t>Secreto sumarial</w:t>
      </w:r>
      <w:bookmarkEnd w:id="1333"/>
      <w:r w:rsidRPr="00E1708A">
        <w:rPr>
          <w:rStyle w:val="TextoNormalCaracter"/>
        </w:rPr>
        <w:t xml:space="preserve">, Sentencia </w:t>
      </w:r>
      <w:hyperlink w:anchor="SENTENCIA_2023_152" w:history="1">
        <w:r w:rsidRPr="00E1708A">
          <w:rPr>
            <w:rStyle w:val="TextoNormalCaracter"/>
          </w:rPr>
          <w:t>152/2023</w:t>
        </w:r>
      </w:hyperlink>
      <w:r w:rsidRPr="00E1708A">
        <w:rPr>
          <w:rStyle w:val="TextoNormalCaracter"/>
        </w:rPr>
        <w:t>, ff. 2 y 3.</w:t>
      </w:r>
    </w:p>
    <w:p w14:paraId="6536F1F1" w14:textId="18FDA0C2" w:rsidR="00E1708A" w:rsidRPr="00E1708A" w:rsidRDefault="00E1708A" w:rsidP="00E1708A">
      <w:pPr>
        <w:pStyle w:val="TextoNormalSangraFrancesa"/>
        <w:rPr>
          <w:rStyle w:val="TextoNormalCaracter"/>
        </w:rPr>
      </w:pPr>
      <w:bookmarkStart w:id="1334" w:name="DESCRIPTORALFABETICO334"/>
      <w:r w:rsidRPr="00E1708A">
        <w:rPr>
          <w:rStyle w:val="TextoNormalNegritaCaracter"/>
        </w:rPr>
        <w:t>Selección e interpretación del Derecho de la Unión Europea por el Juez nacional</w:t>
      </w:r>
      <w:bookmarkEnd w:id="1334"/>
      <w:r w:rsidRPr="00E1708A">
        <w:rPr>
          <w:rStyle w:val="TextoNormalCaracter"/>
        </w:rPr>
        <w:t xml:space="preserve">, Sentencia </w:t>
      </w:r>
      <w:hyperlink w:anchor="SENTENCIA_2023_172" w:history="1">
        <w:r w:rsidRPr="00E1708A">
          <w:rPr>
            <w:rStyle w:val="TextoNormalCaracter"/>
          </w:rPr>
          <w:t>172/2023</w:t>
        </w:r>
      </w:hyperlink>
      <w:r w:rsidRPr="00E1708A">
        <w:rPr>
          <w:rStyle w:val="TextoNormalCaracter"/>
        </w:rPr>
        <w:t>, ff. 3 y 4.</w:t>
      </w:r>
    </w:p>
    <w:p w14:paraId="765B2488" w14:textId="11D0F381" w:rsidR="00E1708A" w:rsidRPr="00E1708A" w:rsidRDefault="00E1708A" w:rsidP="00E1708A">
      <w:pPr>
        <w:pStyle w:val="TextoNormalSangraFrancesa"/>
        <w:rPr>
          <w:rStyle w:val="TextoNormalCaracter"/>
        </w:rPr>
      </w:pPr>
      <w:bookmarkStart w:id="1335" w:name="DESCRIPTORALFABETICO256"/>
      <w:r w:rsidRPr="00E1708A">
        <w:rPr>
          <w:rStyle w:val="TextoNormalNegritaCaracter"/>
        </w:rPr>
        <w:t>Senado</w:t>
      </w:r>
      <w:bookmarkEnd w:id="1335"/>
      <w:r w:rsidRPr="00E1708A">
        <w:rPr>
          <w:rStyle w:val="TextoNormalCaracter"/>
        </w:rPr>
        <w:t xml:space="preserve">, Sentencias </w:t>
      </w:r>
      <w:hyperlink w:anchor="SENTENCIA_2023_133" w:history="1">
        <w:r w:rsidRPr="00E1708A">
          <w:rPr>
            <w:rStyle w:val="TextoNormalCaracter"/>
          </w:rPr>
          <w:t>133/2023</w:t>
        </w:r>
      </w:hyperlink>
      <w:r w:rsidRPr="00E1708A">
        <w:rPr>
          <w:rStyle w:val="TextoNormalCaracter"/>
        </w:rPr>
        <w:t xml:space="preserve">; </w:t>
      </w:r>
      <w:hyperlink w:anchor="SENTENCIA_2023_135" w:history="1">
        <w:r w:rsidRPr="00E1708A">
          <w:rPr>
            <w:rStyle w:val="TextoNormalCaracter"/>
          </w:rPr>
          <w:t>135/2023</w:t>
        </w:r>
      </w:hyperlink>
      <w:r w:rsidRPr="00E1708A">
        <w:rPr>
          <w:rStyle w:val="TextoNormalCaracter"/>
        </w:rPr>
        <w:t xml:space="preserve">, ff. 1 y 2; </w:t>
      </w:r>
      <w:hyperlink w:anchor="SENTENCIA_2023_140" w:history="1">
        <w:r w:rsidRPr="00E1708A">
          <w:rPr>
            <w:rStyle w:val="TextoNormalCaracter"/>
          </w:rPr>
          <w:t>140/2023</w:t>
        </w:r>
      </w:hyperlink>
      <w:r w:rsidRPr="00E1708A">
        <w:rPr>
          <w:rStyle w:val="TextoNormalCaracter"/>
        </w:rPr>
        <w:t xml:space="preserve">, f. 1; </w:t>
      </w:r>
      <w:hyperlink w:anchor="SENTENCIA_2023_141" w:history="1">
        <w:r w:rsidRPr="00E1708A">
          <w:rPr>
            <w:rStyle w:val="TextoNormalCaracter"/>
          </w:rPr>
          <w:t>141/2023</w:t>
        </w:r>
      </w:hyperlink>
      <w:r w:rsidRPr="00E1708A">
        <w:rPr>
          <w:rStyle w:val="TextoNormalCaracter"/>
        </w:rPr>
        <w:t xml:space="preserve">, f.1; </w:t>
      </w:r>
      <w:hyperlink w:anchor="SENTENCIA_2023_167" w:history="1">
        <w:r w:rsidRPr="00E1708A">
          <w:rPr>
            <w:rStyle w:val="TextoNormalCaracter"/>
          </w:rPr>
          <w:t>167/2023</w:t>
        </w:r>
      </w:hyperlink>
      <w:r w:rsidRPr="00E1708A">
        <w:rPr>
          <w:rStyle w:val="TextoNormalCaracter"/>
        </w:rPr>
        <w:t>.</w:t>
      </w:r>
    </w:p>
    <w:p w14:paraId="2CC1E912" w14:textId="27F01F09" w:rsidR="00E1708A" w:rsidRPr="00E1708A" w:rsidRDefault="00E1708A" w:rsidP="00E1708A">
      <w:pPr>
        <w:pStyle w:val="TextoNormalSangraFrancesa"/>
        <w:rPr>
          <w:rStyle w:val="TextoNormalCaracter"/>
        </w:rPr>
      </w:pPr>
      <w:bookmarkStart w:id="1336" w:name="DESCRIPTORALFABETICO249"/>
      <w:r w:rsidRPr="00E1708A">
        <w:rPr>
          <w:rStyle w:val="TextoNormalNegritaCaracter"/>
        </w:rPr>
        <w:t>Senadores</w:t>
      </w:r>
      <w:bookmarkEnd w:id="1336"/>
      <w:r w:rsidRPr="00E1708A">
        <w:rPr>
          <w:rStyle w:val="TextoNormalCaracter"/>
        </w:rPr>
        <w:t xml:space="preserve">, Sentencias </w:t>
      </w:r>
      <w:hyperlink w:anchor="SENTENCIA_2023_133" w:history="1">
        <w:r w:rsidRPr="00E1708A">
          <w:rPr>
            <w:rStyle w:val="TextoNormalCaracter"/>
          </w:rPr>
          <w:t>133/2023</w:t>
        </w:r>
      </w:hyperlink>
      <w:r w:rsidRPr="00E1708A">
        <w:rPr>
          <w:rStyle w:val="TextoNormalCaracter"/>
        </w:rPr>
        <w:t xml:space="preserve">; </w:t>
      </w:r>
      <w:hyperlink w:anchor="SENTENCIA_2023_135" w:history="1">
        <w:r w:rsidRPr="00E1708A">
          <w:rPr>
            <w:rStyle w:val="TextoNormalCaracter"/>
          </w:rPr>
          <w:t>135/2023</w:t>
        </w:r>
      </w:hyperlink>
      <w:r w:rsidRPr="00E1708A">
        <w:rPr>
          <w:rStyle w:val="TextoNormalCaracter"/>
        </w:rPr>
        <w:t xml:space="preserve">, ff. 1 y 2; </w:t>
      </w:r>
      <w:hyperlink w:anchor="SENTENCIA_2023_140" w:history="1">
        <w:r w:rsidRPr="00E1708A">
          <w:rPr>
            <w:rStyle w:val="TextoNormalCaracter"/>
          </w:rPr>
          <w:t>140/2023</w:t>
        </w:r>
      </w:hyperlink>
      <w:r w:rsidRPr="00E1708A">
        <w:rPr>
          <w:rStyle w:val="TextoNormalCaracter"/>
        </w:rPr>
        <w:t xml:space="preserve">, f. 1; </w:t>
      </w:r>
      <w:hyperlink w:anchor="SENTENCIA_2023_141" w:history="1">
        <w:r w:rsidRPr="00E1708A">
          <w:rPr>
            <w:rStyle w:val="TextoNormalCaracter"/>
          </w:rPr>
          <w:t>141/2023</w:t>
        </w:r>
      </w:hyperlink>
      <w:r w:rsidRPr="00E1708A">
        <w:rPr>
          <w:rStyle w:val="TextoNormalCaracter"/>
        </w:rPr>
        <w:t xml:space="preserve">, f.1; </w:t>
      </w:r>
      <w:hyperlink w:anchor="SENTENCIA_2023_167" w:history="1">
        <w:r w:rsidRPr="00E1708A">
          <w:rPr>
            <w:rStyle w:val="TextoNormalCaracter"/>
          </w:rPr>
          <w:t>167/2023</w:t>
        </w:r>
      </w:hyperlink>
      <w:r w:rsidRPr="00E1708A">
        <w:rPr>
          <w:rStyle w:val="TextoNormalCaracter"/>
        </w:rPr>
        <w:t>.</w:t>
      </w:r>
    </w:p>
    <w:p w14:paraId="0C501D16" w14:textId="1B5DC443" w:rsidR="00E1708A" w:rsidRPr="00E1708A" w:rsidRDefault="00E1708A" w:rsidP="00E1708A">
      <w:pPr>
        <w:pStyle w:val="TextoNormalSangraFrancesa"/>
        <w:rPr>
          <w:rStyle w:val="TextoNormalCaracter"/>
        </w:rPr>
      </w:pPr>
      <w:bookmarkStart w:id="1337" w:name="DESCRIPTORALFABETICO251"/>
      <w:r w:rsidRPr="00E1708A">
        <w:rPr>
          <w:rStyle w:val="TextoNormalNegritaCaracter"/>
        </w:rPr>
        <w:t>Senadores autonómicos</w:t>
      </w:r>
      <w:bookmarkEnd w:id="1337"/>
      <w:r w:rsidRPr="00E1708A">
        <w:rPr>
          <w:rStyle w:val="TextoNormalCaracter"/>
        </w:rPr>
        <w:t xml:space="preserve">, Sentencia </w:t>
      </w:r>
      <w:hyperlink w:anchor="SENTENCIA_2023_116" w:history="1">
        <w:r w:rsidRPr="00E1708A">
          <w:rPr>
            <w:rStyle w:val="TextoNormalCaracter"/>
          </w:rPr>
          <w:t>116/2023</w:t>
        </w:r>
      </w:hyperlink>
      <w:r w:rsidRPr="00E1708A">
        <w:rPr>
          <w:rStyle w:val="TextoNormalCaracter"/>
        </w:rPr>
        <w:t>, ff. 1 a 4.</w:t>
      </w:r>
    </w:p>
    <w:p w14:paraId="08BAC655" w14:textId="60970869" w:rsidR="00E1708A" w:rsidRPr="00E1708A" w:rsidRDefault="00E1708A" w:rsidP="00E1708A">
      <w:pPr>
        <w:pStyle w:val="TextoNormalSangraFrancesa"/>
        <w:rPr>
          <w:rStyle w:val="TextoNormalCaracter"/>
        </w:rPr>
      </w:pPr>
      <w:bookmarkStart w:id="1338" w:name="DESCRIPTORALFABETICO276"/>
      <w:r w:rsidRPr="00E1708A">
        <w:rPr>
          <w:rStyle w:val="TextoNormalNegritaCaracter"/>
        </w:rPr>
        <w:t>Separación de poderes</w:t>
      </w:r>
      <w:bookmarkEnd w:id="1338"/>
      <w:r w:rsidRPr="00E1708A">
        <w:rPr>
          <w:rStyle w:val="TextoNormalCaracter"/>
        </w:rPr>
        <w:t xml:space="preserve">, Sentencias </w:t>
      </w:r>
      <w:hyperlink w:anchor="SENTENCIA_2023_128" w:history="1">
        <w:r w:rsidRPr="00E1708A">
          <w:rPr>
            <w:rStyle w:val="TextoNormalCaracter"/>
          </w:rPr>
          <w:t>128/2023</w:t>
        </w:r>
      </w:hyperlink>
      <w:r w:rsidRPr="00E1708A">
        <w:rPr>
          <w:rStyle w:val="TextoNormalCaracter"/>
        </w:rPr>
        <w:t xml:space="preserve">, ff. 4 y 5, VP; </w:t>
      </w:r>
      <w:hyperlink w:anchor="SENTENCIA_2023_144" w:history="1">
        <w:r w:rsidRPr="00E1708A">
          <w:rPr>
            <w:rStyle w:val="TextoNormalCaracter"/>
          </w:rPr>
          <w:t>144/2023</w:t>
        </w:r>
      </w:hyperlink>
      <w:r w:rsidRPr="00E1708A">
        <w:rPr>
          <w:rStyle w:val="TextoNormalCaracter"/>
        </w:rPr>
        <w:t>, VP.</w:t>
      </w:r>
    </w:p>
    <w:p w14:paraId="46633A4F" w14:textId="11BD1BE2" w:rsidR="00E1708A" w:rsidRPr="00E1708A" w:rsidRDefault="00E1708A" w:rsidP="00E1708A">
      <w:pPr>
        <w:pStyle w:val="TextoNormalSangraFrancesa"/>
        <w:rPr>
          <w:rStyle w:val="TextoNormalCaracter"/>
        </w:rPr>
      </w:pPr>
      <w:bookmarkStart w:id="1339" w:name="DESCRIPTORALFABETICO361"/>
      <w:r w:rsidRPr="00E1708A">
        <w:rPr>
          <w:rStyle w:val="TextoNormalNegritaCaracter"/>
        </w:rPr>
        <w:t>Ser humano</w:t>
      </w:r>
      <w:bookmarkEnd w:id="1339"/>
      <w:r w:rsidRPr="00E1708A">
        <w:rPr>
          <w:rStyle w:val="TextoNormalCaracter"/>
        </w:rPr>
        <w:t xml:space="preserve">, Sentencia </w:t>
      </w:r>
      <w:hyperlink w:anchor="SENTENCIA_2023_78" w:history="1">
        <w:r w:rsidRPr="00E1708A">
          <w:rPr>
            <w:rStyle w:val="TextoNormalCaracter"/>
          </w:rPr>
          <w:t>78/2023</w:t>
        </w:r>
      </w:hyperlink>
      <w:r w:rsidRPr="00E1708A">
        <w:rPr>
          <w:rStyle w:val="TextoNormalCaracter"/>
        </w:rPr>
        <w:t>, ff. 5 a 7, VP I, VP II.</w:t>
      </w:r>
    </w:p>
    <w:p w14:paraId="110F92A9" w14:textId="321F518D" w:rsidR="00E1708A" w:rsidRPr="00E1708A" w:rsidRDefault="00E1708A" w:rsidP="00E1708A">
      <w:pPr>
        <w:pStyle w:val="TextoNormalSangraFrancesa"/>
        <w:rPr>
          <w:rStyle w:val="TextoNormalCaracter"/>
        </w:rPr>
      </w:pPr>
      <w:bookmarkStart w:id="1340" w:name="DESCRIPTORALFABETICO294"/>
      <w:r w:rsidRPr="00E1708A">
        <w:rPr>
          <w:rStyle w:val="TextoNormalNegritaCaracter"/>
        </w:rPr>
        <w:t>Servicios públicos</w:t>
      </w:r>
      <w:bookmarkEnd w:id="1340"/>
      <w:r w:rsidRPr="00E1708A">
        <w:rPr>
          <w:rStyle w:val="TextoNormalCaracter"/>
        </w:rPr>
        <w:t xml:space="preserve">, Sentencia </w:t>
      </w:r>
      <w:hyperlink w:anchor="SENTENCIA_2023_145" w:history="1">
        <w:r w:rsidRPr="00E1708A">
          <w:rPr>
            <w:rStyle w:val="TextoNormalCaracter"/>
          </w:rPr>
          <w:t>145/2023</w:t>
        </w:r>
      </w:hyperlink>
      <w:r w:rsidRPr="00E1708A">
        <w:rPr>
          <w:rStyle w:val="TextoNormalCaracter"/>
        </w:rPr>
        <w:t>, ff. 3, 4, 6.</w:t>
      </w:r>
    </w:p>
    <w:p w14:paraId="3529BA3E" w14:textId="17E2D9B2" w:rsidR="00E1708A" w:rsidRPr="00E1708A" w:rsidRDefault="00E1708A" w:rsidP="00E1708A">
      <w:pPr>
        <w:pStyle w:val="TextoNormalSangraFrancesa"/>
        <w:rPr>
          <w:rStyle w:val="TextoNormalCaracter"/>
        </w:rPr>
      </w:pPr>
      <w:bookmarkStart w:id="1341" w:name="DESCRIPTORALFABETICO295"/>
      <w:r w:rsidRPr="00E1708A">
        <w:rPr>
          <w:rStyle w:val="TextoNormalNegritaCaracter"/>
        </w:rPr>
        <w:t>Servicios públicos de salud</w:t>
      </w:r>
      <w:bookmarkEnd w:id="1341"/>
      <w:r w:rsidRPr="00E1708A">
        <w:rPr>
          <w:rStyle w:val="TextoNormalCaracter"/>
        </w:rPr>
        <w:t xml:space="preserve">, Sentencias </w:t>
      </w:r>
      <w:hyperlink w:anchor="SENTENCIA_2023_78" w:history="1">
        <w:r w:rsidRPr="00E1708A">
          <w:rPr>
            <w:rStyle w:val="TextoNormalCaracter"/>
          </w:rPr>
          <w:t>78/2023</w:t>
        </w:r>
      </w:hyperlink>
      <w:r w:rsidRPr="00E1708A">
        <w:rPr>
          <w:rStyle w:val="TextoNormalCaracter"/>
        </w:rPr>
        <w:t xml:space="preserve">, ff. 5 a 7; </w:t>
      </w:r>
      <w:hyperlink w:anchor="SENTENCIA_2023_94" w:history="1">
        <w:r w:rsidRPr="00E1708A">
          <w:rPr>
            <w:rStyle w:val="TextoNormalCaracter"/>
          </w:rPr>
          <w:t>94/2023</w:t>
        </w:r>
      </w:hyperlink>
      <w:r w:rsidRPr="00E1708A">
        <w:rPr>
          <w:rStyle w:val="TextoNormalCaracter"/>
        </w:rPr>
        <w:t>, f. 6.</w:t>
      </w:r>
    </w:p>
    <w:p w14:paraId="187382D3" w14:textId="1CC14418" w:rsidR="00E1708A" w:rsidRPr="00E1708A" w:rsidRDefault="00E1708A" w:rsidP="00E1708A">
      <w:pPr>
        <w:pStyle w:val="TextoNormalSangraFrancesa"/>
        <w:rPr>
          <w:rStyle w:val="TextoNormalCaracter"/>
        </w:rPr>
      </w:pPr>
      <w:bookmarkStart w:id="1342" w:name="DESCRIPTORALFABETICO382"/>
      <w:r w:rsidRPr="00E1708A">
        <w:rPr>
          <w:rStyle w:val="TextoNormalNegritaCaracter"/>
        </w:rPr>
        <w:t>Sistemas de cámara o videocámara</w:t>
      </w:r>
      <w:bookmarkEnd w:id="1342"/>
      <w:r w:rsidRPr="00E1708A">
        <w:rPr>
          <w:rStyle w:val="TextoNormalCaracter"/>
        </w:rPr>
        <w:t xml:space="preserve">, Sentencia </w:t>
      </w:r>
      <w:hyperlink w:anchor="SENTENCIA_2023_92" w:history="1">
        <w:r w:rsidRPr="00E1708A">
          <w:rPr>
            <w:rStyle w:val="TextoNormalCaracter"/>
          </w:rPr>
          <w:t>92/2023</w:t>
        </w:r>
      </w:hyperlink>
      <w:r w:rsidRPr="00E1708A">
        <w:rPr>
          <w:rStyle w:val="TextoNormalCaracter"/>
        </w:rPr>
        <w:t>, ff.  6 a 8, VP.</w:t>
      </w:r>
    </w:p>
    <w:p w14:paraId="7DC074E7" w14:textId="374B4159" w:rsidR="00E1708A" w:rsidRPr="00E1708A" w:rsidRDefault="00E1708A" w:rsidP="00E1708A">
      <w:pPr>
        <w:pStyle w:val="TextoNormalSangraFrancesa"/>
        <w:rPr>
          <w:rStyle w:val="TextoNormalCaracter"/>
        </w:rPr>
      </w:pPr>
      <w:bookmarkStart w:id="1343" w:name="DESCRIPTORALFABETICO400"/>
      <w:r w:rsidRPr="00E1708A">
        <w:rPr>
          <w:rStyle w:val="TextoNormalNegritaCaracter"/>
        </w:rPr>
        <w:t>Sistemas de imposición de costas</w:t>
      </w:r>
      <w:bookmarkEnd w:id="1343"/>
      <w:r w:rsidRPr="00E1708A">
        <w:rPr>
          <w:rStyle w:val="TextoNormalCaracter"/>
        </w:rPr>
        <w:t xml:space="preserve">, Sentencias </w:t>
      </w:r>
      <w:hyperlink w:anchor="SENTENCIA_2023_91" w:history="1">
        <w:r w:rsidRPr="00E1708A">
          <w:rPr>
            <w:rStyle w:val="TextoNormalCaracter"/>
          </w:rPr>
          <w:t>91/2023</w:t>
        </w:r>
      </w:hyperlink>
      <w:r w:rsidRPr="00E1708A">
        <w:rPr>
          <w:rStyle w:val="TextoNormalCaracter"/>
        </w:rPr>
        <w:t xml:space="preserve">, ff. 3 y 4; </w:t>
      </w:r>
      <w:hyperlink w:anchor="SENTENCIA_2023_96" w:history="1">
        <w:r w:rsidRPr="00E1708A">
          <w:rPr>
            <w:rStyle w:val="TextoNormalCaracter"/>
          </w:rPr>
          <w:t>96/2023</w:t>
        </w:r>
      </w:hyperlink>
      <w:r w:rsidRPr="00E1708A">
        <w:rPr>
          <w:rStyle w:val="TextoNormalCaracter"/>
        </w:rPr>
        <w:t>, ff. 2 y 3.</w:t>
      </w:r>
    </w:p>
    <w:p w14:paraId="3BEF234E" w14:textId="6FAF8E02" w:rsidR="00E1708A" w:rsidRPr="00E1708A" w:rsidRDefault="00E1708A" w:rsidP="00E1708A">
      <w:pPr>
        <w:pStyle w:val="TextoNormalSangraFrancesa"/>
        <w:rPr>
          <w:rStyle w:val="TextoNormalCaracter"/>
        </w:rPr>
      </w:pPr>
      <w:bookmarkStart w:id="1344" w:name="DESCRIPTORALFABETICO345"/>
      <w:r w:rsidRPr="00E1708A">
        <w:rPr>
          <w:rStyle w:val="TextoNormalNegritaCaracter"/>
        </w:rPr>
        <w:t>Situación de extraordinaria y urgente necesidad</w:t>
      </w:r>
      <w:bookmarkEnd w:id="1344"/>
      <w:r w:rsidRPr="00E1708A">
        <w:rPr>
          <w:rStyle w:val="TextoNormalCaracter"/>
        </w:rPr>
        <w:t xml:space="preserve">, Sentencias </w:t>
      </w:r>
      <w:hyperlink w:anchor="SENTENCIA_2023_144" w:history="1">
        <w:r w:rsidRPr="00E1708A">
          <w:rPr>
            <w:rStyle w:val="TextoNormalCaracter"/>
          </w:rPr>
          <w:t>144/2023</w:t>
        </w:r>
      </w:hyperlink>
      <w:r w:rsidRPr="00E1708A">
        <w:rPr>
          <w:rStyle w:val="TextoNormalCaracter"/>
        </w:rPr>
        <w:t xml:space="preserve">, ff. 1 a 5, VP; </w:t>
      </w:r>
      <w:hyperlink w:anchor="SENTENCIA_2023_147" w:history="1">
        <w:r w:rsidRPr="00E1708A">
          <w:rPr>
            <w:rStyle w:val="TextoNormalCaracter"/>
          </w:rPr>
          <w:t>147/2023</w:t>
        </w:r>
      </w:hyperlink>
      <w:r w:rsidRPr="00E1708A">
        <w:rPr>
          <w:rStyle w:val="TextoNormalCaracter"/>
        </w:rPr>
        <w:t>, f. 2.</w:t>
      </w:r>
    </w:p>
    <w:p w14:paraId="512345D9" w14:textId="64C79645" w:rsidR="00E1708A" w:rsidRPr="00E1708A" w:rsidRDefault="00E1708A" w:rsidP="00E1708A">
      <w:pPr>
        <w:pStyle w:val="TextoNormalSangraFrancesa"/>
        <w:rPr>
          <w:rStyle w:val="TextoNormalCaracter"/>
        </w:rPr>
      </w:pPr>
      <w:bookmarkStart w:id="1345" w:name="DESCRIPTORALFABETICO105"/>
      <w:r w:rsidRPr="00E1708A">
        <w:rPr>
          <w:rStyle w:val="TextoNormalNegritaCaracter"/>
        </w:rPr>
        <w:t>Sufragio pasivo</w:t>
      </w:r>
      <w:bookmarkEnd w:id="1345"/>
      <w:r w:rsidRPr="00E1708A">
        <w:rPr>
          <w:rStyle w:val="TextoNormalCaracter"/>
        </w:rPr>
        <w:t xml:space="preserve">, Auto </w:t>
      </w:r>
      <w:hyperlink w:anchor="AUTO_2023_425" w:history="1">
        <w:r w:rsidRPr="00E1708A">
          <w:rPr>
            <w:rStyle w:val="TextoNormalCaracter"/>
          </w:rPr>
          <w:t>425/2023</w:t>
        </w:r>
      </w:hyperlink>
      <w:r w:rsidRPr="00E1708A">
        <w:rPr>
          <w:rStyle w:val="TextoNormalCaracter"/>
        </w:rPr>
        <w:t>, f. 3.</w:t>
      </w:r>
    </w:p>
    <w:p w14:paraId="0EAF1B27" w14:textId="77777777" w:rsidR="00E1708A" w:rsidRPr="00E1708A" w:rsidRDefault="00E1708A" w:rsidP="00E1708A">
      <w:pPr>
        <w:pStyle w:val="TextoNormalSangraFrancesa"/>
        <w:rPr>
          <w:rStyle w:val="TextoNormalCaracter"/>
        </w:rPr>
      </w:pPr>
      <w:bookmarkStart w:id="1346" w:name="DESCRIPTORALFABETICO144"/>
      <w:r w:rsidRPr="00E1708A">
        <w:rPr>
          <w:rStyle w:val="TextoNormalNegritaCaracter"/>
        </w:rPr>
        <w:t>Suspensión cautelar de resoluciones civiles</w:t>
      </w:r>
      <w:bookmarkEnd w:id="1346"/>
      <w:r w:rsidRPr="00E1708A">
        <w:rPr>
          <w:rStyle w:val="TextoNormalCaracter"/>
        </w:rPr>
        <w:t xml:space="preserve">, </w:t>
      </w:r>
    </w:p>
    <w:p w14:paraId="493B9872" w14:textId="6B96AE5B" w:rsidR="00E1708A" w:rsidRPr="00E1708A" w:rsidRDefault="00E1708A" w:rsidP="00E1708A">
      <w:pPr>
        <w:pStyle w:val="TextoNormalSangraFrancesa"/>
        <w:rPr>
          <w:rStyle w:val="TextoNormalCaracter"/>
        </w:rPr>
      </w:pPr>
      <w:r w:rsidRPr="00E1708A">
        <w:rPr>
          <w:rStyle w:val="TextoNormalCursivaCaracter"/>
        </w:rPr>
        <w:t xml:space="preserve">    No suspende, </w:t>
      </w:r>
      <w:r w:rsidRPr="00E1708A">
        <w:rPr>
          <w:rStyle w:val="TextoNormalCaracter"/>
        </w:rPr>
        <w:t xml:space="preserve">Autos </w:t>
      </w:r>
      <w:hyperlink w:anchor="AUTO_2023_370" w:history="1">
        <w:r w:rsidRPr="00E1708A">
          <w:rPr>
            <w:rStyle w:val="TextoNormalCaracter"/>
          </w:rPr>
          <w:t>370/2023</w:t>
        </w:r>
      </w:hyperlink>
      <w:r w:rsidRPr="00E1708A">
        <w:rPr>
          <w:rStyle w:val="TextoNormalCaracter"/>
        </w:rPr>
        <w:t xml:space="preserve">, ff. 2 y 3; </w:t>
      </w:r>
      <w:hyperlink w:anchor="AUTO_2023_428" w:history="1">
        <w:r w:rsidRPr="00E1708A">
          <w:rPr>
            <w:rStyle w:val="TextoNormalCaracter"/>
          </w:rPr>
          <w:t>428/2023</w:t>
        </w:r>
      </w:hyperlink>
      <w:r w:rsidRPr="00E1708A">
        <w:rPr>
          <w:rStyle w:val="TextoNormalCaracter"/>
        </w:rPr>
        <w:t xml:space="preserve">, f. 2; </w:t>
      </w:r>
      <w:hyperlink w:anchor="AUTO_2023_429" w:history="1">
        <w:r w:rsidRPr="00E1708A">
          <w:rPr>
            <w:rStyle w:val="TextoNormalCaracter"/>
          </w:rPr>
          <w:t>429/2023</w:t>
        </w:r>
      </w:hyperlink>
      <w:r w:rsidRPr="00E1708A">
        <w:rPr>
          <w:rStyle w:val="TextoNormalCaracter"/>
        </w:rPr>
        <w:t xml:space="preserve">, f. 3; </w:t>
      </w:r>
      <w:hyperlink w:anchor="AUTO_2023_431" w:history="1">
        <w:r w:rsidRPr="00E1708A">
          <w:rPr>
            <w:rStyle w:val="TextoNormalCaracter"/>
          </w:rPr>
          <w:t>431/2023</w:t>
        </w:r>
      </w:hyperlink>
      <w:r w:rsidRPr="00E1708A">
        <w:rPr>
          <w:rStyle w:val="TextoNormalCaracter"/>
        </w:rPr>
        <w:t xml:space="preserve">, f. 3; </w:t>
      </w:r>
      <w:hyperlink w:anchor="AUTO_2023_458" w:history="1">
        <w:r w:rsidRPr="00E1708A">
          <w:rPr>
            <w:rStyle w:val="TextoNormalCaracter"/>
          </w:rPr>
          <w:t>458/2023</w:t>
        </w:r>
      </w:hyperlink>
      <w:r w:rsidRPr="00E1708A">
        <w:rPr>
          <w:rStyle w:val="TextoNormalCaracter"/>
        </w:rPr>
        <w:t xml:space="preserve">, ff. 1 a 3; </w:t>
      </w:r>
      <w:hyperlink w:anchor="AUTO_2023_601" w:history="1">
        <w:r w:rsidRPr="00E1708A">
          <w:rPr>
            <w:rStyle w:val="TextoNormalCaracter"/>
          </w:rPr>
          <w:t>601/2023</w:t>
        </w:r>
      </w:hyperlink>
      <w:r w:rsidRPr="00E1708A">
        <w:rPr>
          <w:rStyle w:val="TextoNormalCaracter"/>
        </w:rPr>
        <w:t xml:space="preserve">, f. 4; </w:t>
      </w:r>
      <w:hyperlink w:anchor="AUTO_2023_661" w:history="1">
        <w:r w:rsidRPr="00E1708A">
          <w:rPr>
            <w:rStyle w:val="TextoNormalCaracter"/>
          </w:rPr>
          <w:t>661/2023</w:t>
        </w:r>
      </w:hyperlink>
      <w:r w:rsidRPr="00E1708A">
        <w:rPr>
          <w:rStyle w:val="TextoNormalCaracter"/>
        </w:rPr>
        <w:t>, f. 2.</w:t>
      </w:r>
    </w:p>
    <w:p w14:paraId="061AAD48" w14:textId="40F4F009" w:rsidR="00E1708A" w:rsidRPr="00E1708A" w:rsidRDefault="00E1708A" w:rsidP="00E1708A">
      <w:pPr>
        <w:pStyle w:val="TextoNormalSangraFrancesa"/>
        <w:rPr>
          <w:rStyle w:val="TextoNormalCaracter"/>
        </w:rPr>
      </w:pPr>
      <w:r w:rsidRPr="00E1708A">
        <w:rPr>
          <w:rStyle w:val="TextoNormalCursivaCaracter"/>
        </w:rPr>
        <w:t xml:space="preserve">    Suspende, </w:t>
      </w:r>
      <w:r w:rsidRPr="00E1708A">
        <w:rPr>
          <w:rStyle w:val="TextoNormalCaracter"/>
        </w:rPr>
        <w:t xml:space="preserve">Auto </w:t>
      </w:r>
      <w:hyperlink w:anchor="AUTO_2023_600" w:history="1">
        <w:r w:rsidRPr="00E1708A">
          <w:rPr>
            <w:rStyle w:val="TextoNormalCaracter"/>
          </w:rPr>
          <w:t>600/2023</w:t>
        </w:r>
      </w:hyperlink>
      <w:r w:rsidRPr="00E1708A">
        <w:rPr>
          <w:rStyle w:val="TextoNormalCaracter"/>
        </w:rPr>
        <w:t>, f. 2.</w:t>
      </w:r>
    </w:p>
    <w:p w14:paraId="725033A9" w14:textId="77777777" w:rsidR="00E1708A" w:rsidRPr="00E1708A" w:rsidRDefault="00E1708A" w:rsidP="00E1708A">
      <w:pPr>
        <w:pStyle w:val="TextoNormalSangraFrancesa"/>
        <w:rPr>
          <w:rStyle w:val="TextoNormalCaracter"/>
        </w:rPr>
      </w:pPr>
      <w:bookmarkStart w:id="1347" w:name="DESCRIPTORALFABETICO142"/>
      <w:r w:rsidRPr="00E1708A">
        <w:rPr>
          <w:rStyle w:val="TextoNormalNegritaCaracter"/>
        </w:rPr>
        <w:t>Suspensión cautelar de resoluciones judiciales</w:t>
      </w:r>
      <w:bookmarkEnd w:id="1347"/>
      <w:r w:rsidRPr="00E1708A">
        <w:rPr>
          <w:rStyle w:val="TextoNormalCaracter"/>
        </w:rPr>
        <w:t xml:space="preserve">, </w:t>
      </w:r>
    </w:p>
    <w:p w14:paraId="55B77460" w14:textId="7EE6830C" w:rsidR="00E1708A" w:rsidRPr="00E1708A" w:rsidRDefault="00E1708A" w:rsidP="00E1708A">
      <w:pPr>
        <w:pStyle w:val="TextoNormalSangraFrancesa"/>
        <w:rPr>
          <w:rStyle w:val="TextoNormalCaracter"/>
        </w:rPr>
      </w:pPr>
      <w:r w:rsidRPr="00E1708A">
        <w:rPr>
          <w:rStyle w:val="TextoNormalCursivaCaracter"/>
        </w:rPr>
        <w:t xml:space="preserve">    No suspende, </w:t>
      </w:r>
      <w:r w:rsidRPr="00E1708A">
        <w:rPr>
          <w:rStyle w:val="TextoNormalCaracter"/>
        </w:rPr>
        <w:t xml:space="preserve">Auto </w:t>
      </w:r>
      <w:hyperlink w:anchor="AUTO_2023_334" w:history="1">
        <w:r w:rsidRPr="00E1708A">
          <w:rPr>
            <w:rStyle w:val="TextoNormalCaracter"/>
          </w:rPr>
          <w:t>334/2023</w:t>
        </w:r>
      </w:hyperlink>
      <w:r w:rsidRPr="00E1708A">
        <w:rPr>
          <w:rStyle w:val="TextoNormalCaracter"/>
        </w:rPr>
        <w:t>, f. 2.</w:t>
      </w:r>
    </w:p>
    <w:p w14:paraId="75945EEA" w14:textId="77777777" w:rsidR="00E1708A" w:rsidRPr="00E1708A" w:rsidRDefault="00E1708A" w:rsidP="00E1708A">
      <w:pPr>
        <w:pStyle w:val="TextoNormalSangraFrancesa"/>
        <w:rPr>
          <w:rStyle w:val="TextoNormalCaracter"/>
        </w:rPr>
      </w:pPr>
      <w:bookmarkStart w:id="1348" w:name="DESCRIPTORALFABETICO146"/>
      <w:r w:rsidRPr="00E1708A">
        <w:rPr>
          <w:rStyle w:val="TextoNormalNegritaCaracter"/>
        </w:rPr>
        <w:t>Suspensión cautelar de resoluciones penales</w:t>
      </w:r>
      <w:bookmarkEnd w:id="1348"/>
      <w:r w:rsidRPr="00E1708A">
        <w:rPr>
          <w:rStyle w:val="TextoNormalCaracter"/>
        </w:rPr>
        <w:t xml:space="preserve">, </w:t>
      </w:r>
    </w:p>
    <w:p w14:paraId="7E74350A" w14:textId="4AEC3028" w:rsidR="00E1708A" w:rsidRPr="00E1708A" w:rsidRDefault="00E1708A" w:rsidP="00E1708A">
      <w:pPr>
        <w:pStyle w:val="TextoNormalSangraFrancesa"/>
        <w:rPr>
          <w:rStyle w:val="TextoNormalCaracter"/>
        </w:rPr>
      </w:pPr>
      <w:r w:rsidRPr="00E1708A">
        <w:rPr>
          <w:rStyle w:val="TextoNormalCursivaCaracter"/>
        </w:rPr>
        <w:t xml:space="preserve">    No suspende, </w:t>
      </w:r>
      <w:r w:rsidRPr="00E1708A">
        <w:rPr>
          <w:rStyle w:val="TextoNormalCaracter"/>
        </w:rPr>
        <w:t xml:space="preserve">Autos </w:t>
      </w:r>
      <w:hyperlink w:anchor="AUTO_2023_438" w:history="1">
        <w:r w:rsidRPr="00E1708A">
          <w:rPr>
            <w:rStyle w:val="TextoNormalCaracter"/>
          </w:rPr>
          <w:t>438/2023</w:t>
        </w:r>
      </w:hyperlink>
      <w:r w:rsidRPr="00E1708A">
        <w:rPr>
          <w:rStyle w:val="TextoNormalCaracter"/>
        </w:rPr>
        <w:t xml:space="preserve">, ff. 1 y 2; </w:t>
      </w:r>
      <w:hyperlink w:anchor="AUTO_2023_439" w:history="1">
        <w:r w:rsidRPr="00E1708A">
          <w:rPr>
            <w:rStyle w:val="TextoNormalCaracter"/>
          </w:rPr>
          <w:t>439/2023</w:t>
        </w:r>
      </w:hyperlink>
      <w:r w:rsidRPr="00E1708A">
        <w:rPr>
          <w:rStyle w:val="TextoNormalCaracter"/>
        </w:rPr>
        <w:t xml:space="preserve">, ff. 1 y 2; </w:t>
      </w:r>
      <w:hyperlink w:anchor="AUTO_2023_440" w:history="1">
        <w:r w:rsidRPr="00E1708A">
          <w:rPr>
            <w:rStyle w:val="TextoNormalCaracter"/>
          </w:rPr>
          <w:t>440/2023</w:t>
        </w:r>
      </w:hyperlink>
      <w:r w:rsidRPr="00E1708A">
        <w:rPr>
          <w:rStyle w:val="TextoNormalCaracter"/>
        </w:rPr>
        <w:t xml:space="preserve">, ff. 1 a 3; </w:t>
      </w:r>
      <w:hyperlink w:anchor="AUTO_2023_441" w:history="1">
        <w:r w:rsidRPr="00E1708A">
          <w:rPr>
            <w:rStyle w:val="TextoNormalCaracter"/>
          </w:rPr>
          <w:t>441/2023</w:t>
        </w:r>
      </w:hyperlink>
      <w:r w:rsidRPr="00E1708A">
        <w:rPr>
          <w:rStyle w:val="TextoNormalCaracter"/>
        </w:rPr>
        <w:t xml:space="preserve">, ff. 1 a 3; </w:t>
      </w:r>
      <w:hyperlink w:anchor="AUTO_2023_442" w:history="1">
        <w:r w:rsidRPr="00E1708A">
          <w:rPr>
            <w:rStyle w:val="TextoNormalCaracter"/>
          </w:rPr>
          <w:t>442/2023</w:t>
        </w:r>
      </w:hyperlink>
      <w:r w:rsidRPr="00E1708A">
        <w:rPr>
          <w:rStyle w:val="TextoNormalCaracter"/>
        </w:rPr>
        <w:t xml:space="preserve">, ff. 1 a 3; </w:t>
      </w:r>
      <w:hyperlink w:anchor="AUTO_2023_443" w:history="1">
        <w:r w:rsidRPr="00E1708A">
          <w:rPr>
            <w:rStyle w:val="TextoNormalCaracter"/>
          </w:rPr>
          <w:t>443/2023</w:t>
        </w:r>
      </w:hyperlink>
      <w:r w:rsidRPr="00E1708A">
        <w:rPr>
          <w:rStyle w:val="TextoNormalCaracter"/>
        </w:rPr>
        <w:t xml:space="preserve">, ff. 1 a 3; </w:t>
      </w:r>
      <w:hyperlink w:anchor="AUTO_2023_444" w:history="1">
        <w:r w:rsidRPr="00E1708A">
          <w:rPr>
            <w:rStyle w:val="TextoNormalCaracter"/>
          </w:rPr>
          <w:t>444/2023</w:t>
        </w:r>
      </w:hyperlink>
      <w:r w:rsidRPr="00E1708A">
        <w:rPr>
          <w:rStyle w:val="TextoNormalCaracter"/>
        </w:rPr>
        <w:t xml:space="preserve">, ff. 1 a 3; </w:t>
      </w:r>
      <w:hyperlink w:anchor="AUTO_2023_599" w:history="1">
        <w:r w:rsidRPr="00E1708A">
          <w:rPr>
            <w:rStyle w:val="TextoNormalCaracter"/>
          </w:rPr>
          <w:t>599/2023</w:t>
        </w:r>
      </w:hyperlink>
      <w:r w:rsidRPr="00E1708A">
        <w:rPr>
          <w:rStyle w:val="TextoNormalCaracter"/>
        </w:rPr>
        <w:t>, f. 2.</w:t>
      </w:r>
    </w:p>
    <w:p w14:paraId="0D38ADA0" w14:textId="5BBCAD37" w:rsidR="00E1708A" w:rsidRPr="00E1708A" w:rsidRDefault="00E1708A" w:rsidP="00E1708A">
      <w:pPr>
        <w:pStyle w:val="TextoNormalSangraFrancesa"/>
        <w:rPr>
          <w:rStyle w:val="TextoNormalCaracter"/>
        </w:rPr>
      </w:pPr>
      <w:r w:rsidRPr="00E1708A">
        <w:rPr>
          <w:rStyle w:val="TextoNormalCursivaCaracter"/>
        </w:rPr>
        <w:t xml:space="preserve">    Suspende, </w:t>
      </w:r>
      <w:r w:rsidRPr="00E1708A">
        <w:rPr>
          <w:rStyle w:val="TextoNormalCaracter"/>
        </w:rPr>
        <w:t xml:space="preserve">Auto </w:t>
      </w:r>
      <w:hyperlink w:anchor="AUTO_2023_663" w:history="1">
        <w:r w:rsidRPr="00E1708A">
          <w:rPr>
            <w:rStyle w:val="TextoNormalCaracter"/>
          </w:rPr>
          <w:t>663/2023</w:t>
        </w:r>
      </w:hyperlink>
      <w:r w:rsidRPr="00E1708A">
        <w:rPr>
          <w:rStyle w:val="TextoNormalCaracter"/>
        </w:rPr>
        <w:t>, ff. 1 a 3.</w:t>
      </w:r>
    </w:p>
    <w:p w14:paraId="035B22F4" w14:textId="77777777" w:rsidR="00E1708A" w:rsidRPr="00E1708A" w:rsidRDefault="00E1708A" w:rsidP="00E1708A">
      <w:pPr>
        <w:pStyle w:val="TextoNormalSangraFrancesa"/>
        <w:rPr>
          <w:rStyle w:val="TextoNormalCaracter"/>
        </w:rPr>
      </w:pPr>
      <w:bookmarkStart w:id="1349" w:name="DESCRIPTORALFABETICO145"/>
      <w:r w:rsidRPr="00E1708A">
        <w:rPr>
          <w:rStyle w:val="TextoNormalNegritaCaracter"/>
        </w:rPr>
        <w:t>Suspensión cautelar de sentencias civiles</w:t>
      </w:r>
      <w:bookmarkEnd w:id="1349"/>
      <w:r w:rsidRPr="00E1708A">
        <w:rPr>
          <w:rStyle w:val="TextoNormalCaracter"/>
        </w:rPr>
        <w:t xml:space="preserve">, </w:t>
      </w:r>
    </w:p>
    <w:p w14:paraId="240DF03F" w14:textId="65D3C987" w:rsidR="00E1708A" w:rsidRPr="00E1708A" w:rsidRDefault="00E1708A" w:rsidP="00E1708A">
      <w:pPr>
        <w:pStyle w:val="TextoNormalSangraFrancesa"/>
        <w:rPr>
          <w:rStyle w:val="TextoNormalCaracter"/>
        </w:rPr>
      </w:pPr>
      <w:r w:rsidRPr="00E1708A">
        <w:rPr>
          <w:rStyle w:val="TextoNormalCursivaCaracter"/>
        </w:rPr>
        <w:t xml:space="preserve">    No suspende, </w:t>
      </w:r>
      <w:r w:rsidRPr="00E1708A">
        <w:rPr>
          <w:rStyle w:val="TextoNormalCaracter"/>
        </w:rPr>
        <w:t xml:space="preserve">Auto </w:t>
      </w:r>
      <w:hyperlink w:anchor="AUTO_2023_436" w:history="1">
        <w:r w:rsidRPr="00E1708A">
          <w:rPr>
            <w:rStyle w:val="TextoNormalCaracter"/>
          </w:rPr>
          <w:t>436/2023</w:t>
        </w:r>
      </w:hyperlink>
      <w:r w:rsidRPr="00E1708A">
        <w:rPr>
          <w:rStyle w:val="TextoNormalCaracter"/>
        </w:rPr>
        <w:t>, ff. 2 a 4.</w:t>
      </w:r>
    </w:p>
    <w:p w14:paraId="5E554286" w14:textId="30D8F1CF" w:rsidR="00E1708A" w:rsidRPr="00E1708A" w:rsidRDefault="00E1708A" w:rsidP="00E1708A">
      <w:pPr>
        <w:pStyle w:val="TextoNormalSangraFrancesa"/>
        <w:rPr>
          <w:rStyle w:val="TextoNormalCaracter"/>
        </w:rPr>
      </w:pPr>
      <w:bookmarkStart w:id="1350" w:name="DESCRIPTORALFABETICO352"/>
      <w:r w:rsidRPr="00E1708A">
        <w:rPr>
          <w:rStyle w:val="TextoNormalNegritaCaracter"/>
        </w:rPr>
        <w:t>Suspensión condicionada al pago de una cantidad</w:t>
      </w:r>
      <w:bookmarkEnd w:id="1350"/>
      <w:r w:rsidRPr="00E1708A">
        <w:rPr>
          <w:rStyle w:val="TextoNormalCaracter"/>
        </w:rPr>
        <w:t xml:space="preserve">, Sentencia </w:t>
      </w:r>
      <w:hyperlink w:anchor="SENTENCIA_2023_184" w:history="1">
        <w:r w:rsidRPr="00E1708A">
          <w:rPr>
            <w:rStyle w:val="TextoNormalCaracter"/>
          </w:rPr>
          <w:t>184/2023</w:t>
        </w:r>
      </w:hyperlink>
      <w:r w:rsidRPr="00E1708A">
        <w:rPr>
          <w:rStyle w:val="TextoNormalCaracter"/>
        </w:rPr>
        <w:t>, f. 3.</w:t>
      </w:r>
    </w:p>
    <w:p w14:paraId="3FE0F965" w14:textId="6F1D4D70" w:rsidR="00E1708A" w:rsidRPr="00E1708A" w:rsidRDefault="00E1708A" w:rsidP="00E1708A">
      <w:pPr>
        <w:pStyle w:val="TextoNormalSangraFrancesa"/>
        <w:rPr>
          <w:rStyle w:val="TextoNormalCaracter"/>
        </w:rPr>
      </w:pPr>
      <w:bookmarkStart w:id="1351" w:name="DESCRIPTORALFABETICO138"/>
      <w:r w:rsidRPr="00E1708A">
        <w:rPr>
          <w:rStyle w:val="TextoNormalNegritaCaracter"/>
        </w:rPr>
        <w:t>Suspensión de derechos fundamentales</w:t>
      </w:r>
      <w:bookmarkEnd w:id="1351"/>
      <w:r w:rsidRPr="00E1708A">
        <w:rPr>
          <w:rStyle w:val="TextoNormalCaracter"/>
        </w:rPr>
        <w:t xml:space="preserve">, Sentencias </w:t>
      </w:r>
      <w:hyperlink w:anchor="SENTENCIA_2023_84" w:history="1">
        <w:r w:rsidRPr="00E1708A">
          <w:rPr>
            <w:rStyle w:val="TextoNormalCaracter"/>
          </w:rPr>
          <w:t>84/2023</w:t>
        </w:r>
      </w:hyperlink>
      <w:r w:rsidRPr="00E1708A">
        <w:rPr>
          <w:rStyle w:val="TextoNormalCaracter"/>
        </w:rPr>
        <w:t xml:space="preserve">, ff. 2 a 4; </w:t>
      </w:r>
      <w:hyperlink w:anchor="SENTENCIA_2023_88" w:history="1">
        <w:r w:rsidRPr="00E1708A">
          <w:rPr>
            <w:rStyle w:val="TextoNormalCaracter"/>
          </w:rPr>
          <w:t>88/2023</w:t>
        </w:r>
      </w:hyperlink>
      <w:r w:rsidRPr="00E1708A">
        <w:rPr>
          <w:rStyle w:val="TextoNormalCaracter"/>
        </w:rPr>
        <w:t>, ff. 2 a 4.</w:t>
      </w:r>
    </w:p>
    <w:p w14:paraId="4A8BFF14" w14:textId="627114D0" w:rsidR="00E1708A" w:rsidRPr="00E1708A" w:rsidRDefault="00E1708A" w:rsidP="00E1708A">
      <w:pPr>
        <w:pStyle w:val="TextoNormalSangraFrancesa"/>
        <w:rPr>
          <w:rStyle w:val="TextoNormalCaracter"/>
        </w:rPr>
      </w:pPr>
      <w:bookmarkStart w:id="1352" w:name="DESCRIPTORALFABETICO351"/>
      <w:r w:rsidRPr="00E1708A">
        <w:rPr>
          <w:rStyle w:val="TextoNormalNegritaCaracter"/>
        </w:rPr>
        <w:t>Suspensión de la ejecución de la pena</w:t>
      </w:r>
      <w:bookmarkEnd w:id="1352"/>
      <w:r w:rsidRPr="00E1708A">
        <w:rPr>
          <w:rStyle w:val="TextoNormalCaracter"/>
        </w:rPr>
        <w:t xml:space="preserve">, Sentencia </w:t>
      </w:r>
      <w:hyperlink w:anchor="SENTENCIA_2023_184" w:history="1">
        <w:r w:rsidRPr="00E1708A">
          <w:rPr>
            <w:rStyle w:val="TextoNormalCaracter"/>
          </w:rPr>
          <w:t>184/2023</w:t>
        </w:r>
      </w:hyperlink>
      <w:r w:rsidRPr="00E1708A">
        <w:rPr>
          <w:rStyle w:val="TextoNormalCaracter"/>
        </w:rPr>
        <w:t>, ff. 3 y 4.</w:t>
      </w:r>
    </w:p>
    <w:p w14:paraId="06CAFAC9" w14:textId="0AC8C31F" w:rsidR="00E1708A" w:rsidRPr="00E1708A" w:rsidRDefault="00E1708A" w:rsidP="00E1708A">
      <w:pPr>
        <w:pStyle w:val="TextoNormalSangraFrancesa"/>
        <w:rPr>
          <w:rStyle w:val="TextoNormalCaracter"/>
        </w:rPr>
      </w:pPr>
      <w:bookmarkStart w:id="1353" w:name="DESCRIPTORALFABETICO311"/>
      <w:r w:rsidRPr="00E1708A">
        <w:rPr>
          <w:rStyle w:val="TextoNormalNegritaCaracter"/>
        </w:rPr>
        <w:t>Sustitución de multa por expulsión de extranjero</w:t>
      </w:r>
      <w:bookmarkEnd w:id="1353"/>
      <w:r w:rsidRPr="00E1708A">
        <w:rPr>
          <w:rStyle w:val="TextoNormalCaracter"/>
        </w:rPr>
        <w:t xml:space="preserve">, Sentencia </w:t>
      </w:r>
      <w:hyperlink w:anchor="SENTENCIA_2023_150" w:history="1">
        <w:r w:rsidRPr="00E1708A">
          <w:rPr>
            <w:rStyle w:val="TextoNormalCaracter"/>
          </w:rPr>
          <w:t>150/2023</w:t>
        </w:r>
      </w:hyperlink>
      <w:r w:rsidRPr="00E1708A">
        <w:rPr>
          <w:rStyle w:val="TextoNormalCaracter"/>
        </w:rPr>
        <w:t>, ff. 2 y 3.</w:t>
      </w:r>
    </w:p>
    <w:p w14:paraId="3719B26F" w14:textId="0A194725" w:rsidR="00E1708A" w:rsidRDefault="00E1708A" w:rsidP="00E1708A">
      <w:pPr>
        <w:pStyle w:val="TextoNormalSangraFrancesa"/>
      </w:pPr>
    </w:p>
    <w:p w14:paraId="31464A03" w14:textId="77777777" w:rsidR="00E1708A" w:rsidRDefault="00E1708A" w:rsidP="00E1708A">
      <w:pPr>
        <w:pStyle w:val="TextoNormalSangraFrancesa"/>
      </w:pPr>
    </w:p>
    <w:p w14:paraId="6DC30464" w14:textId="77777777" w:rsidR="00E1708A" w:rsidRDefault="00E1708A" w:rsidP="00E1708A">
      <w:pPr>
        <w:pStyle w:val="TextoNormalNegritaCentrado"/>
      </w:pPr>
      <w:r>
        <w:t>T</w:t>
      </w:r>
    </w:p>
    <w:p w14:paraId="43CB0721" w14:textId="5EDD6044" w:rsidR="00E1708A" w:rsidRDefault="00E1708A" w:rsidP="00E1708A">
      <w:pPr>
        <w:pStyle w:val="TextoNormalNegritaCentrado"/>
      </w:pPr>
    </w:p>
    <w:p w14:paraId="4987FCAE" w14:textId="5488DC32" w:rsidR="00E1708A" w:rsidRPr="00E1708A" w:rsidRDefault="00E1708A" w:rsidP="00E1708A">
      <w:pPr>
        <w:pStyle w:val="TextoNormalSangraFrancesa"/>
        <w:rPr>
          <w:rStyle w:val="TextoNormalCaracter"/>
        </w:rPr>
      </w:pPr>
      <w:bookmarkStart w:id="1354" w:name="DESCRIPTORALFABETICO52"/>
      <w:r w:rsidRPr="00E1708A">
        <w:rPr>
          <w:rStyle w:val="TextoNormalNegritaCaracter"/>
        </w:rPr>
        <w:t>Término de comparación inexistente</w:t>
      </w:r>
      <w:bookmarkEnd w:id="1354"/>
      <w:r w:rsidRPr="00E1708A">
        <w:rPr>
          <w:rStyle w:val="TextoNormalCaracter"/>
        </w:rPr>
        <w:t xml:space="preserve">, Sentencia </w:t>
      </w:r>
      <w:hyperlink w:anchor="SENTENCIA_2023_163" w:history="1">
        <w:r w:rsidRPr="00E1708A">
          <w:rPr>
            <w:rStyle w:val="TextoNormalCaracter"/>
          </w:rPr>
          <w:t>163/2023</w:t>
        </w:r>
      </w:hyperlink>
      <w:r w:rsidRPr="00E1708A">
        <w:rPr>
          <w:rStyle w:val="TextoNormalCaracter"/>
        </w:rPr>
        <w:t>, f. único.</w:t>
      </w:r>
    </w:p>
    <w:p w14:paraId="579F1E04" w14:textId="4EA73B08" w:rsidR="00E1708A" w:rsidRPr="00E1708A" w:rsidRDefault="00E1708A" w:rsidP="00E1708A">
      <w:pPr>
        <w:pStyle w:val="TextoNormalSangraFrancesa"/>
        <w:rPr>
          <w:rStyle w:val="TextoNormalCaracter"/>
        </w:rPr>
      </w:pPr>
      <w:bookmarkStart w:id="1355" w:name="DESCRIPTORALFABETICO117"/>
      <w:r w:rsidRPr="00E1708A">
        <w:rPr>
          <w:rStyle w:val="TextoNormalNegritaCaracter"/>
        </w:rPr>
        <w:t>Titulares de noticias de prensa</w:t>
      </w:r>
      <w:bookmarkEnd w:id="1355"/>
      <w:r w:rsidRPr="00E1708A">
        <w:rPr>
          <w:rStyle w:val="TextoNormalCaracter"/>
        </w:rPr>
        <w:t xml:space="preserve">, Sentencia </w:t>
      </w:r>
      <w:hyperlink w:anchor="SENTENCIA_2023_83" w:history="1">
        <w:r w:rsidRPr="00E1708A">
          <w:rPr>
            <w:rStyle w:val="TextoNormalCaracter"/>
          </w:rPr>
          <w:t>83/2023</w:t>
        </w:r>
      </w:hyperlink>
      <w:r w:rsidRPr="00E1708A">
        <w:rPr>
          <w:rStyle w:val="TextoNormalCaracter"/>
        </w:rPr>
        <w:t>, ff. 5 y 6.</w:t>
      </w:r>
    </w:p>
    <w:p w14:paraId="6F7C975D" w14:textId="26EB46B1" w:rsidR="00E1708A" w:rsidRPr="00E1708A" w:rsidRDefault="00E1708A" w:rsidP="00E1708A">
      <w:pPr>
        <w:pStyle w:val="TextoNormalSangraFrancesa"/>
        <w:rPr>
          <w:rStyle w:val="TextoNormalCaracter"/>
        </w:rPr>
      </w:pPr>
      <w:bookmarkStart w:id="1356" w:name="DESCRIPTORALFABETICO403"/>
      <w:r w:rsidRPr="00E1708A">
        <w:rPr>
          <w:rStyle w:val="TextoNormalNegritaCaracter"/>
        </w:rPr>
        <w:t>Traducción de documentos a lenguas cooficiales</w:t>
      </w:r>
      <w:bookmarkEnd w:id="1356"/>
      <w:r w:rsidRPr="00E1708A">
        <w:rPr>
          <w:rStyle w:val="TextoNormalCaracter"/>
        </w:rPr>
        <w:t xml:space="preserve">, Sentencia </w:t>
      </w:r>
      <w:hyperlink w:anchor="SENTENCIA_2023_85" w:history="1">
        <w:r w:rsidRPr="00E1708A">
          <w:rPr>
            <w:rStyle w:val="TextoNormalCaracter"/>
          </w:rPr>
          <w:t>85/2023</w:t>
        </w:r>
      </w:hyperlink>
      <w:r w:rsidRPr="00E1708A">
        <w:rPr>
          <w:rStyle w:val="TextoNormalCaracter"/>
        </w:rPr>
        <w:t>, ff. 2 a 4.</w:t>
      </w:r>
    </w:p>
    <w:p w14:paraId="6096B359" w14:textId="0FB71855" w:rsidR="00E1708A" w:rsidRPr="00E1708A" w:rsidRDefault="00E1708A" w:rsidP="00E1708A">
      <w:pPr>
        <w:pStyle w:val="TextoNormalSangraFrancesa"/>
        <w:rPr>
          <w:rStyle w:val="TextoNormalCaracter"/>
        </w:rPr>
      </w:pPr>
      <w:bookmarkStart w:id="1357" w:name="DESCRIPTORALFABETICO234"/>
      <w:r w:rsidRPr="00E1708A">
        <w:rPr>
          <w:rStyle w:val="TextoNormalNegritaCaracter"/>
        </w:rPr>
        <w:t>Tramitación de enmiendas</w:t>
      </w:r>
      <w:bookmarkEnd w:id="1357"/>
      <w:r w:rsidRPr="00E1708A">
        <w:rPr>
          <w:rStyle w:val="TextoNormalCaracter"/>
        </w:rPr>
        <w:t xml:space="preserve">, Sentencia </w:t>
      </w:r>
      <w:hyperlink w:anchor="SENTENCIA_2023_167" w:history="1">
        <w:r w:rsidRPr="00E1708A">
          <w:rPr>
            <w:rStyle w:val="TextoNormalCaracter"/>
          </w:rPr>
          <w:t>167/2023</w:t>
        </w:r>
      </w:hyperlink>
      <w:r w:rsidRPr="00E1708A">
        <w:rPr>
          <w:rStyle w:val="TextoNormalCaracter"/>
        </w:rPr>
        <w:t>, f. 7.</w:t>
      </w:r>
    </w:p>
    <w:p w14:paraId="7B401269" w14:textId="11692FFE" w:rsidR="00E1708A" w:rsidRPr="00E1708A" w:rsidRDefault="00E1708A" w:rsidP="00E1708A">
      <w:pPr>
        <w:pStyle w:val="TextoNormalSangraFrancesa"/>
        <w:rPr>
          <w:rStyle w:val="TextoNormalCaracter"/>
        </w:rPr>
      </w:pPr>
      <w:bookmarkStart w:id="1358" w:name="DESCRIPTORALFABETICO232"/>
      <w:r w:rsidRPr="00E1708A">
        <w:rPr>
          <w:rStyle w:val="TextoNormalNegritaCaracter"/>
        </w:rPr>
        <w:t>Tramitación parlamentaria</w:t>
      </w:r>
      <w:bookmarkEnd w:id="1358"/>
      <w:r w:rsidRPr="00E1708A">
        <w:rPr>
          <w:rStyle w:val="TextoNormalCaracter"/>
        </w:rPr>
        <w:t xml:space="preserve">, Sentencia </w:t>
      </w:r>
      <w:hyperlink w:anchor="SENTENCIA_2023_132" w:history="1">
        <w:r w:rsidRPr="00E1708A">
          <w:rPr>
            <w:rStyle w:val="TextoNormalCaracter"/>
          </w:rPr>
          <w:t>132/2023</w:t>
        </w:r>
      </w:hyperlink>
      <w:r w:rsidRPr="00E1708A">
        <w:rPr>
          <w:rStyle w:val="TextoNormalCaracter"/>
        </w:rPr>
        <w:t>, ff. 1 y 4.</w:t>
      </w:r>
    </w:p>
    <w:p w14:paraId="0F91FA4A" w14:textId="14C94AB8" w:rsidR="00E1708A" w:rsidRPr="00E1708A" w:rsidRDefault="00E1708A" w:rsidP="00E1708A">
      <w:pPr>
        <w:pStyle w:val="TextoNormalSangraFrancesa"/>
        <w:rPr>
          <w:rStyle w:val="TextoNormalCaracter"/>
        </w:rPr>
      </w:pPr>
      <w:bookmarkStart w:id="1359" w:name="DESCRIPTORALFABETICO182"/>
      <w:r w:rsidRPr="00E1708A">
        <w:rPr>
          <w:rStyle w:val="TextoNormalNegritaCaracter"/>
        </w:rPr>
        <w:t>Trámite de admisión en el recurso de amparo</w:t>
      </w:r>
      <w:bookmarkEnd w:id="1359"/>
      <w:r w:rsidRPr="00E1708A">
        <w:rPr>
          <w:rStyle w:val="TextoNormalCaracter"/>
        </w:rPr>
        <w:t xml:space="preserve">, Autos </w:t>
      </w:r>
      <w:hyperlink w:anchor="AUTO_2023_338" w:history="1">
        <w:r w:rsidRPr="00E1708A">
          <w:rPr>
            <w:rStyle w:val="TextoNormalCaracter"/>
          </w:rPr>
          <w:t>338/2023</w:t>
        </w:r>
      </w:hyperlink>
      <w:r w:rsidRPr="00E1708A">
        <w:rPr>
          <w:rStyle w:val="TextoNormalCaracter"/>
        </w:rPr>
        <w:t xml:space="preserve">, ff. 3 y 4, VP; </w:t>
      </w:r>
      <w:hyperlink w:anchor="AUTO_2023_425" w:history="1">
        <w:r w:rsidRPr="00E1708A">
          <w:rPr>
            <w:rStyle w:val="TextoNormalCaracter"/>
          </w:rPr>
          <w:t>425/2023</w:t>
        </w:r>
      </w:hyperlink>
      <w:r w:rsidRPr="00E1708A">
        <w:rPr>
          <w:rStyle w:val="TextoNormalCaracter"/>
        </w:rPr>
        <w:t xml:space="preserve">, ff. 2 a 4; </w:t>
      </w:r>
      <w:hyperlink w:anchor="AUTO_2023_666" w:history="1">
        <w:r w:rsidRPr="00E1708A">
          <w:rPr>
            <w:rStyle w:val="TextoNormalCaracter"/>
          </w:rPr>
          <w:t>666/2023</w:t>
        </w:r>
      </w:hyperlink>
      <w:r w:rsidRPr="00E1708A">
        <w:rPr>
          <w:rStyle w:val="TextoNormalCaracter"/>
        </w:rPr>
        <w:t>, f. único.</w:t>
      </w:r>
    </w:p>
    <w:p w14:paraId="2BEB34FC" w14:textId="2E7CCCEA" w:rsidR="00E1708A" w:rsidRPr="00E1708A" w:rsidRDefault="00E1708A" w:rsidP="00E1708A">
      <w:pPr>
        <w:pStyle w:val="TextoNormalSangraFrancesa"/>
        <w:rPr>
          <w:rStyle w:val="TextoNormalCaracter"/>
        </w:rPr>
      </w:pPr>
      <w:bookmarkStart w:id="1360" w:name="DESCRIPTORALFABETICO171"/>
      <w:r w:rsidRPr="00E1708A">
        <w:rPr>
          <w:rStyle w:val="TextoNormalNegritaCaracter"/>
        </w:rPr>
        <w:t>Trámite de audiencia a las partes defectuoso</w:t>
      </w:r>
      <w:bookmarkEnd w:id="1360"/>
      <w:r w:rsidRPr="00E1708A">
        <w:rPr>
          <w:rStyle w:val="TextoNormalCaracter"/>
        </w:rPr>
        <w:t xml:space="preserve">, Auto </w:t>
      </w:r>
      <w:hyperlink w:anchor="AUTO_2023_526" w:history="1">
        <w:r w:rsidRPr="00E1708A">
          <w:rPr>
            <w:rStyle w:val="TextoNormalCaracter"/>
          </w:rPr>
          <w:t>526/2023</w:t>
        </w:r>
      </w:hyperlink>
      <w:r w:rsidRPr="00E1708A">
        <w:rPr>
          <w:rStyle w:val="TextoNormalCaracter"/>
        </w:rPr>
        <w:t>, ff. 2 a 4.</w:t>
      </w:r>
    </w:p>
    <w:p w14:paraId="4E5A4D2B" w14:textId="0972DDBD" w:rsidR="00E1708A" w:rsidRPr="00E1708A" w:rsidRDefault="00E1708A" w:rsidP="00E1708A">
      <w:pPr>
        <w:pStyle w:val="TextoNormalSangraFrancesa"/>
        <w:rPr>
          <w:rStyle w:val="TextoNormalCaracter"/>
        </w:rPr>
      </w:pPr>
      <w:bookmarkStart w:id="1361" w:name="DESCRIPTORALFABETICO48"/>
      <w:r w:rsidRPr="00E1708A">
        <w:rPr>
          <w:rStyle w:val="TextoNormalNegritaCaracter"/>
        </w:rPr>
        <w:t>Transfuguismo</w:t>
      </w:r>
      <w:bookmarkEnd w:id="1361"/>
      <w:r w:rsidRPr="00E1708A">
        <w:rPr>
          <w:rStyle w:val="TextoNormalCaracter"/>
        </w:rPr>
        <w:t xml:space="preserve">, Sentencia </w:t>
      </w:r>
      <w:hyperlink w:anchor="SENTENCIA_2023_93" w:history="1">
        <w:r w:rsidRPr="00E1708A">
          <w:rPr>
            <w:rStyle w:val="TextoNormalCaracter"/>
          </w:rPr>
          <w:t>93/2023</w:t>
        </w:r>
      </w:hyperlink>
      <w:r w:rsidRPr="00E1708A">
        <w:rPr>
          <w:rStyle w:val="TextoNormalCaracter"/>
        </w:rPr>
        <w:t>, ff. 2 a 4.</w:t>
      </w:r>
    </w:p>
    <w:p w14:paraId="4E3CD80B" w14:textId="4D27D360" w:rsidR="00E1708A" w:rsidRPr="00E1708A" w:rsidRDefault="00E1708A" w:rsidP="00E1708A">
      <w:pPr>
        <w:pStyle w:val="TextoNormalSangraFrancesa"/>
        <w:rPr>
          <w:rStyle w:val="TextoNormalCaracter"/>
        </w:rPr>
      </w:pPr>
      <w:bookmarkStart w:id="1362" w:name="DESCRIPTORALFABETICO36"/>
      <w:r w:rsidRPr="00E1708A">
        <w:rPr>
          <w:rStyle w:val="TextoNormalNegritaCaracter"/>
        </w:rPr>
        <w:t>Tributos cedidos</w:t>
      </w:r>
      <w:bookmarkEnd w:id="1362"/>
      <w:r w:rsidRPr="00E1708A">
        <w:rPr>
          <w:rStyle w:val="TextoNormalCaracter"/>
        </w:rPr>
        <w:t xml:space="preserve">, Sentencias </w:t>
      </w:r>
      <w:hyperlink w:anchor="SENTENCIA_2023_149" w:history="1">
        <w:r w:rsidRPr="00E1708A">
          <w:rPr>
            <w:rStyle w:val="TextoNormalCaracter"/>
          </w:rPr>
          <w:t>149/2023</w:t>
        </w:r>
      </w:hyperlink>
      <w:r w:rsidRPr="00E1708A">
        <w:rPr>
          <w:rStyle w:val="TextoNormalCaracter"/>
        </w:rPr>
        <w:t xml:space="preserve">, f. 3, VP; </w:t>
      </w:r>
      <w:hyperlink w:anchor="SENTENCIA_2023_170" w:history="1">
        <w:r w:rsidRPr="00E1708A">
          <w:rPr>
            <w:rStyle w:val="TextoNormalCaracter"/>
          </w:rPr>
          <w:t>170/2023</w:t>
        </w:r>
      </w:hyperlink>
      <w:r w:rsidRPr="00E1708A">
        <w:rPr>
          <w:rStyle w:val="TextoNormalCaracter"/>
        </w:rPr>
        <w:t xml:space="preserve">, f. 2, VP; </w:t>
      </w:r>
      <w:hyperlink w:anchor="SENTENCIA_2023_171" w:history="1">
        <w:r w:rsidRPr="00E1708A">
          <w:rPr>
            <w:rStyle w:val="TextoNormalCaracter"/>
          </w:rPr>
          <w:t>171/2023</w:t>
        </w:r>
      </w:hyperlink>
      <w:r w:rsidRPr="00E1708A">
        <w:rPr>
          <w:rStyle w:val="TextoNormalCaracter"/>
        </w:rPr>
        <w:t xml:space="preserve">, f. 2, VP; </w:t>
      </w:r>
      <w:hyperlink w:anchor="SENTENCIA_2023_189" w:history="1">
        <w:r w:rsidRPr="00E1708A">
          <w:rPr>
            <w:rStyle w:val="TextoNormalCaracter"/>
          </w:rPr>
          <w:t>189/2023</w:t>
        </w:r>
      </w:hyperlink>
      <w:r w:rsidRPr="00E1708A">
        <w:rPr>
          <w:rStyle w:val="TextoNormalCaracter"/>
        </w:rPr>
        <w:t xml:space="preserve">, f.2, VP; </w:t>
      </w:r>
      <w:hyperlink w:anchor="SENTENCIA_2023_190" w:history="1">
        <w:r w:rsidRPr="00E1708A">
          <w:rPr>
            <w:rStyle w:val="TextoNormalCaracter"/>
          </w:rPr>
          <w:t>190/2023</w:t>
        </w:r>
      </w:hyperlink>
      <w:r w:rsidRPr="00E1708A">
        <w:rPr>
          <w:rStyle w:val="TextoNormalCaracter"/>
        </w:rPr>
        <w:t>, f. 2, VP.</w:t>
      </w:r>
    </w:p>
    <w:p w14:paraId="2DED6417" w14:textId="33152BC4" w:rsidR="00E1708A" w:rsidRDefault="00E1708A" w:rsidP="00E1708A">
      <w:pPr>
        <w:pStyle w:val="TextoNormalSangraFrancesa"/>
      </w:pPr>
    </w:p>
    <w:p w14:paraId="653A8995" w14:textId="77777777" w:rsidR="00E1708A" w:rsidRDefault="00E1708A" w:rsidP="00E1708A">
      <w:pPr>
        <w:pStyle w:val="TextoNormalSangraFrancesa"/>
      </w:pPr>
    </w:p>
    <w:p w14:paraId="322F4AB5" w14:textId="77777777" w:rsidR="00E1708A" w:rsidRDefault="00E1708A" w:rsidP="00E1708A">
      <w:pPr>
        <w:pStyle w:val="TextoNormalNegritaCentrado"/>
      </w:pPr>
      <w:r>
        <w:t>U</w:t>
      </w:r>
    </w:p>
    <w:p w14:paraId="53698E9B" w14:textId="1390B9A9" w:rsidR="00E1708A" w:rsidRDefault="00E1708A" w:rsidP="00E1708A">
      <w:pPr>
        <w:pStyle w:val="TextoNormalNegritaCentrado"/>
      </w:pPr>
    </w:p>
    <w:p w14:paraId="50898363" w14:textId="64CB3855" w:rsidR="00E1708A" w:rsidRPr="00E1708A" w:rsidRDefault="00E1708A" w:rsidP="00E1708A">
      <w:pPr>
        <w:pStyle w:val="TextoNormalSangraFrancesa"/>
        <w:rPr>
          <w:rStyle w:val="TextoNormalCaracter"/>
        </w:rPr>
      </w:pPr>
      <w:bookmarkStart w:id="1363" w:name="DESCRIPTORALFABETICO24"/>
      <w:r w:rsidRPr="00E1708A">
        <w:rPr>
          <w:rStyle w:val="TextoNormalNegritaCaracter"/>
        </w:rPr>
        <w:t>Unidad de mercado</w:t>
      </w:r>
      <w:bookmarkEnd w:id="1363"/>
      <w:r w:rsidRPr="00E1708A">
        <w:rPr>
          <w:rStyle w:val="TextoNormalCaracter"/>
        </w:rPr>
        <w:t xml:space="preserve">, Sentencia </w:t>
      </w:r>
      <w:hyperlink w:anchor="SENTENCIA_2023_127" w:history="1">
        <w:r w:rsidRPr="00E1708A">
          <w:rPr>
            <w:rStyle w:val="TextoNormalCaracter"/>
          </w:rPr>
          <w:t>127/2023</w:t>
        </w:r>
      </w:hyperlink>
      <w:r w:rsidRPr="00E1708A">
        <w:rPr>
          <w:rStyle w:val="TextoNormalCaracter"/>
        </w:rPr>
        <w:t>, f. 5, VP I.</w:t>
      </w:r>
    </w:p>
    <w:p w14:paraId="6851915C" w14:textId="424F6D94" w:rsidR="00E1708A" w:rsidRPr="00E1708A" w:rsidRDefault="00E1708A" w:rsidP="00E1708A">
      <w:pPr>
        <w:pStyle w:val="TextoNormalSangraFrancesa"/>
        <w:rPr>
          <w:rStyle w:val="TextoNormalCaracter"/>
        </w:rPr>
      </w:pPr>
      <w:bookmarkStart w:id="1364" w:name="DESCRIPTORALFABETICO239"/>
      <w:r w:rsidRPr="00E1708A">
        <w:rPr>
          <w:rStyle w:val="TextoNormalNegritaCaracter"/>
        </w:rPr>
        <w:t>Usos parlamentarios</w:t>
      </w:r>
      <w:bookmarkEnd w:id="1364"/>
      <w:r w:rsidRPr="00E1708A">
        <w:rPr>
          <w:rStyle w:val="TextoNormalCaracter"/>
        </w:rPr>
        <w:t xml:space="preserve">, Sentencia </w:t>
      </w:r>
      <w:hyperlink w:anchor="SENTENCIA_2023_116" w:history="1">
        <w:r w:rsidRPr="00E1708A">
          <w:rPr>
            <w:rStyle w:val="TextoNormalCaracter"/>
          </w:rPr>
          <w:t>116/2023</w:t>
        </w:r>
      </w:hyperlink>
      <w:r w:rsidRPr="00E1708A">
        <w:rPr>
          <w:rStyle w:val="TextoNormalCaracter"/>
        </w:rPr>
        <w:t>, ff. 1 a 4.</w:t>
      </w:r>
    </w:p>
    <w:p w14:paraId="37C66AAA" w14:textId="18F0C8BC" w:rsidR="00E1708A" w:rsidRDefault="00E1708A" w:rsidP="00E1708A">
      <w:pPr>
        <w:pStyle w:val="TextoNormalSangraFrancesa"/>
      </w:pPr>
    </w:p>
    <w:p w14:paraId="30DFAA6E" w14:textId="77777777" w:rsidR="00E1708A" w:rsidRDefault="00E1708A" w:rsidP="00E1708A">
      <w:pPr>
        <w:pStyle w:val="TextoNormalSangraFrancesa"/>
      </w:pPr>
    </w:p>
    <w:p w14:paraId="64254314" w14:textId="77777777" w:rsidR="00E1708A" w:rsidRDefault="00E1708A" w:rsidP="00E1708A">
      <w:pPr>
        <w:pStyle w:val="TextoNormalNegritaCentrado"/>
      </w:pPr>
      <w:r>
        <w:t>V</w:t>
      </w:r>
    </w:p>
    <w:p w14:paraId="0A64D3CB" w14:textId="591DB7E9" w:rsidR="00E1708A" w:rsidRDefault="00E1708A" w:rsidP="00E1708A">
      <w:pPr>
        <w:pStyle w:val="TextoNormalNegritaCentrado"/>
      </w:pPr>
    </w:p>
    <w:p w14:paraId="165B02EC" w14:textId="556A291C" w:rsidR="00E1708A" w:rsidRPr="00E1708A" w:rsidRDefault="00E1708A" w:rsidP="00E1708A">
      <w:pPr>
        <w:pStyle w:val="TextoNormalSangraFrancesa"/>
        <w:rPr>
          <w:rStyle w:val="TextoNormalCaracter"/>
        </w:rPr>
      </w:pPr>
      <w:bookmarkStart w:id="1365" w:name="DESCRIPTORALFABETICO350"/>
      <w:r w:rsidRPr="00E1708A">
        <w:rPr>
          <w:rStyle w:val="TextoNormalNegritaCaracter"/>
        </w:rPr>
        <w:t>Vacatio legis</w:t>
      </w:r>
      <w:bookmarkEnd w:id="1365"/>
      <w:r w:rsidRPr="00E1708A">
        <w:rPr>
          <w:rStyle w:val="TextoNormalCaracter"/>
        </w:rPr>
        <w:t xml:space="preserve">, Sentencia </w:t>
      </w:r>
      <w:hyperlink w:anchor="SENTENCIA_2023_144" w:history="1">
        <w:r w:rsidRPr="00E1708A">
          <w:rPr>
            <w:rStyle w:val="TextoNormalCaracter"/>
          </w:rPr>
          <w:t>144/2023</w:t>
        </w:r>
      </w:hyperlink>
      <w:r w:rsidRPr="00E1708A">
        <w:rPr>
          <w:rStyle w:val="TextoNormalCaracter"/>
        </w:rPr>
        <w:t>, ff. 4 y 5, VP.</w:t>
      </w:r>
    </w:p>
    <w:p w14:paraId="7478A5F4" w14:textId="7EAF618E" w:rsidR="00E1708A" w:rsidRPr="00E1708A" w:rsidRDefault="00E1708A" w:rsidP="00E1708A">
      <w:pPr>
        <w:pStyle w:val="TextoNormalSangraFrancesa"/>
        <w:rPr>
          <w:rStyle w:val="TextoNormalCaracter"/>
        </w:rPr>
      </w:pPr>
      <w:bookmarkStart w:id="1366" w:name="DESCRIPTORALFABETICO381"/>
      <w:r w:rsidRPr="00E1708A">
        <w:rPr>
          <w:rStyle w:val="TextoNormalNegritaCaracter"/>
        </w:rPr>
        <w:t>Vacunación</w:t>
      </w:r>
      <w:bookmarkEnd w:id="1366"/>
      <w:r w:rsidRPr="00E1708A">
        <w:rPr>
          <w:rStyle w:val="TextoNormalCaracter"/>
        </w:rPr>
        <w:t xml:space="preserve">, Sentencias </w:t>
      </w:r>
      <w:hyperlink w:anchor="SENTENCIA_2023_148" w:history="1">
        <w:r w:rsidRPr="00E1708A">
          <w:rPr>
            <w:rStyle w:val="TextoNormalCaracter"/>
          </w:rPr>
          <w:t>148/2023</w:t>
        </w:r>
      </w:hyperlink>
      <w:r w:rsidRPr="00E1708A">
        <w:rPr>
          <w:rStyle w:val="TextoNormalCaracter"/>
        </w:rPr>
        <w:t xml:space="preserve">, ff. 3 a 5; </w:t>
      </w:r>
      <w:hyperlink w:anchor="SENTENCIA_2023_154" w:history="1">
        <w:r w:rsidRPr="00E1708A">
          <w:rPr>
            <w:rStyle w:val="TextoNormalCaracter"/>
          </w:rPr>
          <w:t>154/2023</w:t>
        </w:r>
      </w:hyperlink>
      <w:r w:rsidRPr="00E1708A">
        <w:rPr>
          <w:rStyle w:val="TextoNormalCaracter"/>
        </w:rPr>
        <w:t xml:space="preserve">, f. 3; </w:t>
      </w:r>
      <w:hyperlink w:anchor="SENTENCIA_2023_155" w:history="1">
        <w:r w:rsidRPr="00E1708A">
          <w:rPr>
            <w:rStyle w:val="TextoNormalCaracter"/>
          </w:rPr>
          <w:t>155/2023</w:t>
        </w:r>
      </w:hyperlink>
      <w:r w:rsidRPr="00E1708A">
        <w:rPr>
          <w:rStyle w:val="TextoNormalCaracter"/>
        </w:rPr>
        <w:t xml:space="preserve">, f. 4; </w:t>
      </w:r>
      <w:hyperlink w:anchor="SENTENCIA_2023_156" w:history="1">
        <w:r w:rsidRPr="00E1708A">
          <w:rPr>
            <w:rStyle w:val="TextoNormalCaracter"/>
          </w:rPr>
          <w:t>156/2023</w:t>
        </w:r>
      </w:hyperlink>
      <w:r w:rsidRPr="00E1708A">
        <w:rPr>
          <w:rStyle w:val="TextoNormalCaracter"/>
        </w:rPr>
        <w:t xml:space="preserve">, f. 3; </w:t>
      </w:r>
      <w:hyperlink w:anchor="SENTENCIA_2023_157" w:history="1">
        <w:r w:rsidRPr="00E1708A">
          <w:rPr>
            <w:rStyle w:val="TextoNormalCaracter"/>
          </w:rPr>
          <w:t>157/2023</w:t>
        </w:r>
      </w:hyperlink>
      <w:r w:rsidRPr="00E1708A">
        <w:rPr>
          <w:rStyle w:val="TextoNormalCaracter"/>
        </w:rPr>
        <w:t xml:space="preserve">, f. 3; </w:t>
      </w:r>
      <w:hyperlink w:anchor="SENTENCIA_2023_158" w:history="1">
        <w:r w:rsidRPr="00E1708A">
          <w:rPr>
            <w:rStyle w:val="TextoNormalCaracter"/>
          </w:rPr>
          <w:t>158/2023</w:t>
        </w:r>
      </w:hyperlink>
      <w:r w:rsidRPr="00E1708A">
        <w:rPr>
          <w:rStyle w:val="TextoNormalCaracter"/>
        </w:rPr>
        <w:t xml:space="preserve">, f. 3; </w:t>
      </w:r>
      <w:hyperlink w:anchor="SENTENCIA_2023_159" w:history="1">
        <w:r w:rsidRPr="00E1708A">
          <w:rPr>
            <w:rStyle w:val="TextoNormalCaracter"/>
          </w:rPr>
          <w:t>159/2023</w:t>
        </w:r>
      </w:hyperlink>
      <w:r w:rsidRPr="00E1708A">
        <w:rPr>
          <w:rStyle w:val="TextoNormalCaracter"/>
        </w:rPr>
        <w:t xml:space="preserve">, f. 3; </w:t>
      </w:r>
      <w:hyperlink w:anchor="SENTENCIA_2023_160" w:history="1">
        <w:r w:rsidRPr="00E1708A">
          <w:rPr>
            <w:rStyle w:val="TextoNormalCaracter"/>
          </w:rPr>
          <w:t>160/2023</w:t>
        </w:r>
      </w:hyperlink>
      <w:r w:rsidRPr="00E1708A">
        <w:rPr>
          <w:rStyle w:val="TextoNormalCaracter"/>
        </w:rPr>
        <w:t xml:space="preserve">, ff. 1 a 3; </w:t>
      </w:r>
      <w:hyperlink w:anchor="SENTENCIA_2023_161" w:history="1">
        <w:r w:rsidRPr="00E1708A">
          <w:rPr>
            <w:rStyle w:val="TextoNormalCaracter"/>
          </w:rPr>
          <w:t>161/2023</w:t>
        </w:r>
      </w:hyperlink>
      <w:r w:rsidRPr="00E1708A">
        <w:rPr>
          <w:rStyle w:val="TextoNormalCaracter"/>
        </w:rPr>
        <w:t xml:space="preserve">, f. 1; </w:t>
      </w:r>
      <w:hyperlink w:anchor="SENTENCIA_2023_162" w:history="1">
        <w:r w:rsidRPr="00E1708A">
          <w:rPr>
            <w:rStyle w:val="TextoNormalCaracter"/>
          </w:rPr>
          <w:t>162/2023</w:t>
        </w:r>
      </w:hyperlink>
      <w:r w:rsidRPr="00E1708A">
        <w:rPr>
          <w:rStyle w:val="TextoNormalCaracter"/>
        </w:rPr>
        <w:t xml:space="preserve">, ff. 1 a 3; </w:t>
      </w:r>
      <w:hyperlink w:anchor="SENTENCIA_2023_163" w:history="1">
        <w:r w:rsidRPr="00E1708A">
          <w:rPr>
            <w:rStyle w:val="TextoNormalCaracter"/>
          </w:rPr>
          <w:t>163/2023</w:t>
        </w:r>
      </w:hyperlink>
      <w:r w:rsidRPr="00E1708A">
        <w:rPr>
          <w:rStyle w:val="TextoNormalCaracter"/>
        </w:rPr>
        <w:t xml:space="preserve">, f. único; </w:t>
      </w:r>
      <w:hyperlink w:anchor="SENTENCIA_2023_180" w:history="1">
        <w:r w:rsidRPr="00E1708A">
          <w:rPr>
            <w:rStyle w:val="TextoNormalCaracter"/>
          </w:rPr>
          <w:t>180/2023</w:t>
        </w:r>
      </w:hyperlink>
      <w:r w:rsidRPr="00E1708A">
        <w:rPr>
          <w:rStyle w:val="TextoNormalCaracter"/>
        </w:rPr>
        <w:t xml:space="preserve">, f. 3; </w:t>
      </w:r>
      <w:hyperlink w:anchor="SENTENCIA_2023_182" w:history="1">
        <w:r w:rsidRPr="00E1708A">
          <w:rPr>
            <w:rStyle w:val="TextoNormalCaracter"/>
          </w:rPr>
          <w:t>182/2023</w:t>
        </w:r>
      </w:hyperlink>
      <w:r w:rsidRPr="00E1708A">
        <w:rPr>
          <w:rStyle w:val="TextoNormalCaracter"/>
        </w:rPr>
        <w:t xml:space="preserve">, f. 3; </w:t>
      </w:r>
      <w:hyperlink w:anchor="SENTENCIA_2023_183" w:history="1">
        <w:r w:rsidRPr="00E1708A">
          <w:rPr>
            <w:rStyle w:val="TextoNormalCaracter"/>
          </w:rPr>
          <w:t>183/2023</w:t>
        </w:r>
      </w:hyperlink>
      <w:r w:rsidRPr="00E1708A">
        <w:rPr>
          <w:rStyle w:val="TextoNormalCaracter"/>
        </w:rPr>
        <w:t xml:space="preserve">, f. 3; </w:t>
      </w:r>
      <w:hyperlink w:anchor="SENTENCIA_2023_185" w:history="1">
        <w:r w:rsidRPr="00E1708A">
          <w:rPr>
            <w:rStyle w:val="TextoNormalCaracter"/>
          </w:rPr>
          <w:t>185/2023</w:t>
        </w:r>
      </w:hyperlink>
      <w:r w:rsidRPr="00E1708A">
        <w:rPr>
          <w:rStyle w:val="TextoNormalCaracter"/>
        </w:rPr>
        <w:t xml:space="preserve">, f. 3; </w:t>
      </w:r>
      <w:hyperlink w:anchor="SENTENCIA_2023_186" w:history="1">
        <w:r w:rsidRPr="00E1708A">
          <w:rPr>
            <w:rStyle w:val="TextoNormalCaracter"/>
          </w:rPr>
          <w:t>186/2023</w:t>
        </w:r>
      </w:hyperlink>
      <w:r w:rsidRPr="00E1708A">
        <w:rPr>
          <w:rStyle w:val="TextoNormalCaracter"/>
        </w:rPr>
        <w:t xml:space="preserve">, f. 1; </w:t>
      </w:r>
      <w:hyperlink w:anchor="SENTENCIA_2023_187" w:history="1">
        <w:r w:rsidRPr="00E1708A">
          <w:rPr>
            <w:rStyle w:val="TextoNormalCaracter"/>
          </w:rPr>
          <w:t>187/2023</w:t>
        </w:r>
      </w:hyperlink>
      <w:r w:rsidRPr="00E1708A">
        <w:rPr>
          <w:rStyle w:val="TextoNormalCaracter"/>
        </w:rPr>
        <w:t>, f. 1.</w:t>
      </w:r>
    </w:p>
    <w:p w14:paraId="35573B31" w14:textId="0122191F" w:rsidR="00E1708A" w:rsidRPr="00E1708A" w:rsidRDefault="00E1708A" w:rsidP="00E1708A">
      <w:pPr>
        <w:pStyle w:val="TextoNormalSangraFrancesa"/>
        <w:rPr>
          <w:rStyle w:val="TextoNormalCaracter"/>
        </w:rPr>
      </w:pPr>
      <w:bookmarkStart w:id="1367" w:name="DESCRIPTORALFABETICO339"/>
      <w:r w:rsidRPr="00E1708A">
        <w:rPr>
          <w:rStyle w:val="TextoNormalNegritaCaracter"/>
        </w:rPr>
        <w:t>Valor constitucional de la doctrina del Tribunal Europeo de Derechos Humanos</w:t>
      </w:r>
      <w:bookmarkEnd w:id="1367"/>
      <w:r w:rsidRPr="00E1708A">
        <w:rPr>
          <w:rStyle w:val="TextoNormalCaracter"/>
        </w:rPr>
        <w:t xml:space="preserve">, Sentencia </w:t>
      </w:r>
      <w:hyperlink w:anchor="SENTENCIA_2023_89" w:history="1">
        <w:r w:rsidRPr="00E1708A">
          <w:rPr>
            <w:rStyle w:val="TextoNormalCaracter"/>
          </w:rPr>
          <w:t>89/2023</w:t>
        </w:r>
      </w:hyperlink>
      <w:r w:rsidRPr="00E1708A">
        <w:rPr>
          <w:rStyle w:val="TextoNormalCaracter"/>
        </w:rPr>
        <w:t>, f.3.</w:t>
      </w:r>
    </w:p>
    <w:p w14:paraId="0BDA1650" w14:textId="5BC54FD6" w:rsidR="00E1708A" w:rsidRPr="00E1708A" w:rsidRDefault="00E1708A" w:rsidP="00E1708A">
      <w:pPr>
        <w:pStyle w:val="TextoNormalSangraFrancesa"/>
        <w:rPr>
          <w:rStyle w:val="TextoNormalCaracter"/>
        </w:rPr>
      </w:pPr>
      <w:bookmarkStart w:id="1368" w:name="DESCRIPTORALFABETICO337"/>
      <w:r w:rsidRPr="00E1708A">
        <w:rPr>
          <w:rStyle w:val="TextoNormalNegritaCaracter"/>
        </w:rPr>
        <w:t>Valor interpretativo del Derecho de la Unión Europea</w:t>
      </w:r>
      <w:bookmarkEnd w:id="1368"/>
      <w:r w:rsidRPr="00E1708A">
        <w:rPr>
          <w:rStyle w:val="TextoNormalCaracter"/>
        </w:rPr>
        <w:t xml:space="preserve">, Sentencia </w:t>
      </w:r>
      <w:hyperlink w:anchor="SENTENCIA_2023_145" w:history="1">
        <w:r w:rsidRPr="00E1708A">
          <w:rPr>
            <w:rStyle w:val="TextoNormalCaracter"/>
          </w:rPr>
          <w:t>145/2023</w:t>
        </w:r>
      </w:hyperlink>
      <w:r w:rsidRPr="00E1708A">
        <w:rPr>
          <w:rStyle w:val="TextoNormalCaracter"/>
        </w:rPr>
        <w:t>, ff. 1, 4, 5, 6.</w:t>
      </w:r>
    </w:p>
    <w:p w14:paraId="36FF3225" w14:textId="652D524C" w:rsidR="00E1708A" w:rsidRPr="00E1708A" w:rsidRDefault="00E1708A" w:rsidP="00E1708A">
      <w:pPr>
        <w:pStyle w:val="TextoNormalSangraFrancesa"/>
        <w:rPr>
          <w:rStyle w:val="TextoNormalCaracter"/>
        </w:rPr>
      </w:pPr>
      <w:bookmarkStart w:id="1369" w:name="DESCRIPTORALFABETICO211"/>
      <w:r w:rsidRPr="00E1708A">
        <w:rPr>
          <w:rStyle w:val="TextoNormalNegritaCaracter"/>
        </w:rPr>
        <w:t>Veto presupuestario</w:t>
      </w:r>
      <w:bookmarkEnd w:id="1369"/>
      <w:r w:rsidRPr="00E1708A">
        <w:rPr>
          <w:rStyle w:val="TextoNormalCaracter"/>
        </w:rPr>
        <w:t xml:space="preserve">, Sentencias </w:t>
      </w:r>
      <w:hyperlink w:anchor="SENTENCIA_2023_132" w:history="1">
        <w:r w:rsidRPr="00E1708A">
          <w:rPr>
            <w:rStyle w:val="TextoNormalCaracter"/>
          </w:rPr>
          <w:t>132/2023</w:t>
        </w:r>
      </w:hyperlink>
      <w:r w:rsidRPr="00E1708A">
        <w:rPr>
          <w:rStyle w:val="TextoNormalCaracter"/>
        </w:rPr>
        <w:t xml:space="preserve">, ff. 1 y 3; </w:t>
      </w:r>
      <w:hyperlink w:anchor="SENTENCIA_2023_167" w:history="1">
        <w:r w:rsidRPr="00E1708A">
          <w:rPr>
            <w:rStyle w:val="TextoNormalCaracter"/>
          </w:rPr>
          <w:t>167/2023</w:t>
        </w:r>
      </w:hyperlink>
      <w:r w:rsidRPr="00E1708A">
        <w:rPr>
          <w:rStyle w:val="TextoNormalCaracter"/>
        </w:rPr>
        <w:t>, ff. 3, 5, 6, 7, 8, 9, 10.</w:t>
      </w:r>
    </w:p>
    <w:p w14:paraId="2C054012" w14:textId="6C2252CD" w:rsidR="00E1708A" w:rsidRPr="00E1708A" w:rsidRDefault="00E1708A" w:rsidP="00E1708A">
      <w:pPr>
        <w:pStyle w:val="TextoNormalSangraFrancesa"/>
        <w:rPr>
          <w:rStyle w:val="TextoNormalCaracter"/>
        </w:rPr>
      </w:pPr>
      <w:bookmarkStart w:id="1370" w:name="DESCRIPTORALFABETICO420"/>
      <w:r w:rsidRPr="00E1708A">
        <w:rPr>
          <w:rStyle w:val="TextoNormalNegritaCaracter"/>
        </w:rPr>
        <w:t>Vía judicial</w:t>
      </w:r>
      <w:bookmarkEnd w:id="1370"/>
      <w:r w:rsidRPr="00E1708A">
        <w:rPr>
          <w:rStyle w:val="TextoNormalCaracter"/>
        </w:rPr>
        <w:t xml:space="preserve">, Sentencia </w:t>
      </w:r>
      <w:hyperlink w:anchor="SENTENCIA_2023_129" w:history="1">
        <w:r w:rsidRPr="00E1708A">
          <w:rPr>
            <w:rStyle w:val="TextoNormalCaracter"/>
          </w:rPr>
          <w:t>129/2023</w:t>
        </w:r>
      </w:hyperlink>
      <w:r w:rsidRPr="00E1708A">
        <w:rPr>
          <w:rStyle w:val="TextoNormalCaracter"/>
        </w:rPr>
        <w:t>, ff. 1 a 4.</w:t>
      </w:r>
    </w:p>
    <w:p w14:paraId="48133140" w14:textId="111CA8BB" w:rsidR="00E1708A" w:rsidRPr="00E1708A" w:rsidRDefault="00E1708A" w:rsidP="00E1708A">
      <w:pPr>
        <w:pStyle w:val="TextoNormalSangraFrancesa"/>
        <w:rPr>
          <w:rStyle w:val="TextoNormalCaracter"/>
        </w:rPr>
      </w:pPr>
      <w:bookmarkStart w:id="1371" w:name="DESCRIPTORALFABETICO362"/>
      <w:r w:rsidRPr="00E1708A">
        <w:rPr>
          <w:rStyle w:val="TextoNormalNegritaCaracter"/>
        </w:rPr>
        <w:t>Viabilidad del feto</w:t>
      </w:r>
      <w:bookmarkEnd w:id="1371"/>
      <w:r w:rsidRPr="00E1708A">
        <w:rPr>
          <w:rStyle w:val="TextoNormalCaracter"/>
        </w:rPr>
        <w:t xml:space="preserve">, Sentencia </w:t>
      </w:r>
      <w:hyperlink w:anchor="SENTENCIA_2023_78" w:history="1">
        <w:r w:rsidRPr="00E1708A">
          <w:rPr>
            <w:rStyle w:val="TextoNormalCaracter"/>
          </w:rPr>
          <w:t>78/2023</w:t>
        </w:r>
      </w:hyperlink>
      <w:r w:rsidRPr="00E1708A">
        <w:rPr>
          <w:rStyle w:val="TextoNormalCaracter"/>
        </w:rPr>
        <w:t>, ff. 6, 7, VP I, VP II.</w:t>
      </w:r>
    </w:p>
    <w:p w14:paraId="35A69784" w14:textId="32FF5650" w:rsidR="00E1708A" w:rsidRPr="00E1708A" w:rsidRDefault="00E1708A" w:rsidP="00E1708A">
      <w:pPr>
        <w:pStyle w:val="TextoNormalSangraFrancesa"/>
        <w:rPr>
          <w:rStyle w:val="TextoNormalCaracter"/>
        </w:rPr>
      </w:pPr>
      <w:bookmarkStart w:id="1372" w:name="DESCRIPTORALFABETICO235"/>
      <w:r w:rsidRPr="00E1708A">
        <w:rPr>
          <w:rStyle w:val="TextoNormalNegritaCaracter"/>
        </w:rPr>
        <w:t>Vicios en el procedimiento legislativo</w:t>
      </w:r>
      <w:bookmarkEnd w:id="1372"/>
      <w:r w:rsidRPr="00E1708A">
        <w:rPr>
          <w:rStyle w:val="TextoNormalCaracter"/>
        </w:rPr>
        <w:t xml:space="preserve">, Sentencia </w:t>
      </w:r>
      <w:hyperlink w:anchor="SENTENCIA_2023_128" w:history="1">
        <w:r w:rsidRPr="00E1708A">
          <w:rPr>
            <w:rStyle w:val="TextoNormalCaracter"/>
          </w:rPr>
          <w:t>128/2023</w:t>
        </w:r>
      </w:hyperlink>
      <w:r w:rsidRPr="00E1708A">
        <w:rPr>
          <w:rStyle w:val="TextoNormalCaracter"/>
        </w:rPr>
        <w:t>, f. 3.</w:t>
      </w:r>
    </w:p>
    <w:p w14:paraId="6FCFD103" w14:textId="1319F674" w:rsidR="00E1708A" w:rsidRPr="00E1708A" w:rsidRDefault="00E1708A" w:rsidP="00E1708A">
      <w:pPr>
        <w:pStyle w:val="TextoNormalSangraFrancesa"/>
        <w:rPr>
          <w:rStyle w:val="TextoNormalCaracter"/>
        </w:rPr>
      </w:pPr>
      <w:bookmarkStart w:id="1373" w:name="DESCRIPTORALFABETICO84"/>
      <w:r w:rsidRPr="00E1708A">
        <w:rPr>
          <w:rStyle w:val="TextoNormalNegritaCaracter"/>
        </w:rPr>
        <w:t>Vida humana</w:t>
      </w:r>
      <w:bookmarkEnd w:id="1373"/>
      <w:r w:rsidRPr="00E1708A">
        <w:rPr>
          <w:rStyle w:val="TextoNormalCaracter"/>
        </w:rPr>
        <w:t xml:space="preserve">, Sentencia </w:t>
      </w:r>
      <w:hyperlink w:anchor="SENTENCIA_2023_94" w:history="1">
        <w:r w:rsidRPr="00E1708A">
          <w:rPr>
            <w:rStyle w:val="TextoNormalCaracter"/>
          </w:rPr>
          <w:t>94/2023</w:t>
        </w:r>
      </w:hyperlink>
      <w:r w:rsidRPr="00E1708A">
        <w:rPr>
          <w:rStyle w:val="TextoNormalCaracter"/>
        </w:rPr>
        <w:t>, f. 3.</w:t>
      </w:r>
    </w:p>
    <w:p w14:paraId="7040B40E" w14:textId="7EF41618" w:rsidR="00E1708A" w:rsidRPr="00E1708A" w:rsidRDefault="00E1708A" w:rsidP="00E1708A">
      <w:pPr>
        <w:pStyle w:val="TextoNormalSangraFrancesa"/>
        <w:rPr>
          <w:rStyle w:val="TextoNormalCaracter"/>
        </w:rPr>
      </w:pPr>
      <w:bookmarkStart w:id="1374" w:name="DESCRIPTORALFABETICO196"/>
      <w:r w:rsidRPr="00E1708A">
        <w:rPr>
          <w:rStyle w:val="TextoNormalNegritaCaracter"/>
        </w:rPr>
        <w:t>Voto particular, formulado uno</w:t>
      </w:r>
      <w:bookmarkEnd w:id="1374"/>
      <w:r w:rsidRPr="00E1708A">
        <w:rPr>
          <w:rStyle w:val="TextoNormalCaracter"/>
        </w:rPr>
        <w:t xml:space="preserve">, Sentencias </w:t>
      </w:r>
      <w:hyperlink w:anchor="SENTENCIA_2023_84" w:history="1">
        <w:r w:rsidRPr="00E1708A">
          <w:rPr>
            <w:rStyle w:val="TextoNormalCaracter"/>
          </w:rPr>
          <w:t>84/2023</w:t>
        </w:r>
      </w:hyperlink>
      <w:r w:rsidRPr="00E1708A">
        <w:rPr>
          <w:rStyle w:val="TextoNormalCaracter"/>
        </w:rPr>
        <w:t xml:space="preserve">; </w:t>
      </w:r>
      <w:hyperlink w:anchor="SENTENCIA_2023_85" w:history="1">
        <w:r w:rsidRPr="00E1708A">
          <w:rPr>
            <w:rStyle w:val="TextoNormalCaracter"/>
          </w:rPr>
          <w:t>85/2023</w:t>
        </w:r>
      </w:hyperlink>
      <w:r w:rsidRPr="00E1708A">
        <w:rPr>
          <w:rStyle w:val="TextoNormalCaracter"/>
        </w:rPr>
        <w:t xml:space="preserve">; </w:t>
      </w:r>
      <w:hyperlink w:anchor="SENTENCIA_2023_88" w:history="1">
        <w:r w:rsidRPr="00E1708A">
          <w:rPr>
            <w:rStyle w:val="TextoNormalCaracter"/>
          </w:rPr>
          <w:t>88/2023</w:t>
        </w:r>
      </w:hyperlink>
      <w:r w:rsidRPr="00E1708A">
        <w:rPr>
          <w:rStyle w:val="TextoNormalCaracter"/>
        </w:rPr>
        <w:t xml:space="preserve">; </w:t>
      </w:r>
      <w:hyperlink w:anchor="SENTENCIA_2023_95" w:history="1">
        <w:r w:rsidRPr="00E1708A">
          <w:rPr>
            <w:rStyle w:val="TextoNormalCaracter"/>
          </w:rPr>
          <w:t>95/2023</w:t>
        </w:r>
      </w:hyperlink>
      <w:r w:rsidRPr="00E1708A">
        <w:rPr>
          <w:rStyle w:val="TextoNormalCaracter"/>
        </w:rPr>
        <w:t xml:space="preserve">; </w:t>
      </w:r>
      <w:hyperlink w:anchor="SENTENCIA_2023_97" w:history="1">
        <w:r w:rsidRPr="00E1708A">
          <w:rPr>
            <w:rStyle w:val="TextoNormalCaracter"/>
          </w:rPr>
          <w:t>97/2023</w:t>
        </w:r>
      </w:hyperlink>
      <w:r w:rsidRPr="00E1708A">
        <w:rPr>
          <w:rStyle w:val="TextoNormalCaracter"/>
        </w:rPr>
        <w:t xml:space="preserve">; </w:t>
      </w:r>
      <w:hyperlink w:anchor="SENTENCIA_2023_98" w:history="1">
        <w:r w:rsidRPr="00E1708A">
          <w:rPr>
            <w:rStyle w:val="TextoNormalCaracter"/>
          </w:rPr>
          <w:t>98/2023</w:t>
        </w:r>
      </w:hyperlink>
      <w:r w:rsidRPr="00E1708A">
        <w:rPr>
          <w:rStyle w:val="TextoNormalCaracter"/>
        </w:rPr>
        <w:t xml:space="preserve">; </w:t>
      </w:r>
      <w:hyperlink w:anchor="SENTENCIA_2023_99" w:history="1">
        <w:r w:rsidRPr="00E1708A">
          <w:rPr>
            <w:rStyle w:val="TextoNormalCaracter"/>
          </w:rPr>
          <w:t>99/2023</w:t>
        </w:r>
      </w:hyperlink>
      <w:r w:rsidRPr="00E1708A">
        <w:rPr>
          <w:rStyle w:val="TextoNormalCaracter"/>
        </w:rPr>
        <w:t xml:space="preserve">; </w:t>
      </w:r>
      <w:hyperlink w:anchor="SENTENCIA_2023_100" w:history="1">
        <w:r w:rsidRPr="00E1708A">
          <w:rPr>
            <w:rStyle w:val="TextoNormalCaracter"/>
          </w:rPr>
          <w:t>100/2023</w:t>
        </w:r>
      </w:hyperlink>
      <w:r w:rsidRPr="00E1708A">
        <w:rPr>
          <w:rStyle w:val="TextoNormalCaracter"/>
        </w:rPr>
        <w:t xml:space="preserve">; </w:t>
      </w:r>
      <w:hyperlink w:anchor="SENTENCIA_2023_102" w:history="1">
        <w:r w:rsidRPr="00E1708A">
          <w:rPr>
            <w:rStyle w:val="TextoNormalCaracter"/>
          </w:rPr>
          <w:t>102/2023</w:t>
        </w:r>
      </w:hyperlink>
      <w:r w:rsidRPr="00E1708A">
        <w:rPr>
          <w:rStyle w:val="TextoNormalCaracter"/>
        </w:rPr>
        <w:t xml:space="preserve">; </w:t>
      </w:r>
      <w:hyperlink w:anchor="SENTENCIA_2023_103" w:history="1">
        <w:r w:rsidRPr="00E1708A">
          <w:rPr>
            <w:rStyle w:val="TextoNormalCaracter"/>
          </w:rPr>
          <w:t>103/2023</w:t>
        </w:r>
      </w:hyperlink>
      <w:r w:rsidRPr="00E1708A">
        <w:rPr>
          <w:rStyle w:val="TextoNormalCaracter"/>
        </w:rPr>
        <w:t xml:space="preserve">; </w:t>
      </w:r>
      <w:hyperlink w:anchor="SENTENCIA_2023_104" w:history="1">
        <w:r w:rsidRPr="00E1708A">
          <w:rPr>
            <w:rStyle w:val="TextoNormalCaracter"/>
          </w:rPr>
          <w:t>104/2023</w:t>
        </w:r>
      </w:hyperlink>
      <w:r w:rsidRPr="00E1708A">
        <w:rPr>
          <w:rStyle w:val="TextoNormalCaracter"/>
        </w:rPr>
        <w:t xml:space="preserve">; </w:t>
      </w:r>
      <w:hyperlink w:anchor="SENTENCIA_2023_105" w:history="1">
        <w:r w:rsidRPr="00E1708A">
          <w:rPr>
            <w:rStyle w:val="TextoNormalCaracter"/>
          </w:rPr>
          <w:t>105/2023</w:t>
        </w:r>
      </w:hyperlink>
      <w:r w:rsidRPr="00E1708A">
        <w:rPr>
          <w:rStyle w:val="TextoNormalCaracter"/>
        </w:rPr>
        <w:t xml:space="preserve">; </w:t>
      </w:r>
      <w:hyperlink w:anchor="SENTENCIA_2023_106" w:history="1">
        <w:r w:rsidRPr="00E1708A">
          <w:rPr>
            <w:rStyle w:val="TextoNormalCaracter"/>
          </w:rPr>
          <w:t>106/2023</w:t>
        </w:r>
      </w:hyperlink>
      <w:r w:rsidRPr="00E1708A">
        <w:rPr>
          <w:rStyle w:val="TextoNormalCaracter"/>
        </w:rPr>
        <w:t xml:space="preserve">; </w:t>
      </w:r>
      <w:hyperlink w:anchor="SENTENCIA_2023_107" w:history="1">
        <w:r w:rsidRPr="00E1708A">
          <w:rPr>
            <w:rStyle w:val="TextoNormalCaracter"/>
          </w:rPr>
          <w:t>107/2023</w:t>
        </w:r>
      </w:hyperlink>
      <w:r w:rsidRPr="00E1708A">
        <w:rPr>
          <w:rStyle w:val="TextoNormalCaracter"/>
        </w:rPr>
        <w:t xml:space="preserve">; </w:t>
      </w:r>
      <w:hyperlink w:anchor="SENTENCIA_2023_108" w:history="1">
        <w:r w:rsidRPr="00E1708A">
          <w:rPr>
            <w:rStyle w:val="TextoNormalCaracter"/>
          </w:rPr>
          <w:t>108/2023</w:t>
        </w:r>
      </w:hyperlink>
      <w:r w:rsidRPr="00E1708A">
        <w:rPr>
          <w:rStyle w:val="TextoNormalCaracter"/>
        </w:rPr>
        <w:t xml:space="preserve">; </w:t>
      </w:r>
      <w:hyperlink w:anchor="SENTENCIA_2023_109" w:history="1">
        <w:r w:rsidRPr="00E1708A">
          <w:rPr>
            <w:rStyle w:val="TextoNormalCaracter"/>
          </w:rPr>
          <w:t>109/2023</w:t>
        </w:r>
      </w:hyperlink>
      <w:r w:rsidRPr="00E1708A">
        <w:rPr>
          <w:rStyle w:val="TextoNormalCaracter"/>
        </w:rPr>
        <w:t xml:space="preserve">; </w:t>
      </w:r>
      <w:hyperlink w:anchor="SENTENCIA_2023_110" w:history="1">
        <w:r w:rsidRPr="00E1708A">
          <w:rPr>
            <w:rStyle w:val="TextoNormalCaracter"/>
          </w:rPr>
          <w:t>110/2023</w:t>
        </w:r>
      </w:hyperlink>
      <w:r w:rsidRPr="00E1708A">
        <w:rPr>
          <w:rStyle w:val="TextoNormalCaracter"/>
        </w:rPr>
        <w:t xml:space="preserve">; </w:t>
      </w:r>
      <w:hyperlink w:anchor="SENTENCIA_2023_111" w:history="1">
        <w:r w:rsidRPr="00E1708A">
          <w:rPr>
            <w:rStyle w:val="TextoNormalCaracter"/>
          </w:rPr>
          <w:t>111/2023</w:t>
        </w:r>
      </w:hyperlink>
      <w:r w:rsidRPr="00E1708A">
        <w:rPr>
          <w:rStyle w:val="TextoNormalCaracter"/>
        </w:rPr>
        <w:t xml:space="preserve">; </w:t>
      </w:r>
      <w:hyperlink w:anchor="SENTENCIA_2023_112" w:history="1">
        <w:r w:rsidRPr="00E1708A">
          <w:rPr>
            <w:rStyle w:val="TextoNormalCaracter"/>
          </w:rPr>
          <w:t>112/2023</w:t>
        </w:r>
      </w:hyperlink>
      <w:r w:rsidRPr="00E1708A">
        <w:rPr>
          <w:rStyle w:val="TextoNormalCaracter"/>
        </w:rPr>
        <w:t xml:space="preserve">; </w:t>
      </w:r>
      <w:hyperlink w:anchor="SENTENCIA_2023_113" w:history="1">
        <w:r w:rsidRPr="00E1708A">
          <w:rPr>
            <w:rStyle w:val="TextoNormalCaracter"/>
          </w:rPr>
          <w:t>113/2023</w:t>
        </w:r>
      </w:hyperlink>
      <w:r w:rsidRPr="00E1708A">
        <w:rPr>
          <w:rStyle w:val="TextoNormalCaracter"/>
        </w:rPr>
        <w:t xml:space="preserve">; </w:t>
      </w:r>
      <w:hyperlink w:anchor="SENTENCIA_2023_114" w:history="1">
        <w:r w:rsidRPr="00E1708A">
          <w:rPr>
            <w:rStyle w:val="TextoNormalCaracter"/>
          </w:rPr>
          <w:t>114/2023</w:t>
        </w:r>
      </w:hyperlink>
      <w:r w:rsidRPr="00E1708A">
        <w:rPr>
          <w:rStyle w:val="TextoNormalCaracter"/>
        </w:rPr>
        <w:t xml:space="preserve">; </w:t>
      </w:r>
      <w:hyperlink w:anchor="SENTENCIA_2023_115" w:history="1">
        <w:r w:rsidRPr="00E1708A">
          <w:rPr>
            <w:rStyle w:val="TextoNormalCaracter"/>
          </w:rPr>
          <w:t>115/2023</w:t>
        </w:r>
      </w:hyperlink>
      <w:r w:rsidRPr="00E1708A">
        <w:rPr>
          <w:rStyle w:val="TextoNormalCaracter"/>
        </w:rPr>
        <w:t xml:space="preserve">; </w:t>
      </w:r>
      <w:hyperlink w:anchor="SENTENCIA_2023_117" w:history="1">
        <w:r w:rsidRPr="00E1708A">
          <w:rPr>
            <w:rStyle w:val="TextoNormalCaracter"/>
          </w:rPr>
          <w:t>117/2023</w:t>
        </w:r>
      </w:hyperlink>
      <w:r w:rsidRPr="00E1708A">
        <w:rPr>
          <w:rStyle w:val="TextoNormalCaracter"/>
        </w:rPr>
        <w:t xml:space="preserve">; </w:t>
      </w:r>
      <w:hyperlink w:anchor="SENTENCIA_2023_118" w:history="1">
        <w:r w:rsidRPr="00E1708A">
          <w:rPr>
            <w:rStyle w:val="TextoNormalCaracter"/>
          </w:rPr>
          <w:t>118/2023</w:t>
        </w:r>
      </w:hyperlink>
      <w:r w:rsidRPr="00E1708A">
        <w:rPr>
          <w:rStyle w:val="TextoNormalCaracter"/>
        </w:rPr>
        <w:t xml:space="preserve">; </w:t>
      </w:r>
      <w:hyperlink w:anchor="SENTENCIA_2023_119" w:history="1">
        <w:r w:rsidRPr="00E1708A">
          <w:rPr>
            <w:rStyle w:val="TextoNormalCaracter"/>
          </w:rPr>
          <w:t>119/2023</w:t>
        </w:r>
      </w:hyperlink>
      <w:r w:rsidRPr="00E1708A">
        <w:rPr>
          <w:rStyle w:val="TextoNormalCaracter"/>
        </w:rPr>
        <w:t xml:space="preserve">; </w:t>
      </w:r>
      <w:hyperlink w:anchor="SENTENCIA_2023_120" w:history="1">
        <w:r w:rsidRPr="00E1708A">
          <w:rPr>
            <w:rStyle w:val="TextoNormalCaracter"/>
          </w:rPr>
          <w:t>120/2023</w:t>
        </w:r>
      </w:hyperlink>
      <w:r w:rsidRPr="00E1708A">
        <w:rPr>
          <w:rStyle w:val="TextoNormalCaracter"/>
        </w:rPr>
        <w:t xml:space="preserve">; </w:t>
      </w:r>
      <w:hyperlink w:anchor="SENTENCIA_2023_121" w:history="1">
        <w:r w:rsidRPr="00E1708A">
          <w:rPr>
            <w:rStyle w:val="TextoNormalCaracter"/>
          </w:rPr>
          <w:t>121/2023</w:t>
        </w:r>
      </w:hyperlink>
      <w:r w:rsidRPr="00E1708A">
        <w:rPr>
          <w:rStyle w:val="TextoNormalCaracter"/>
        </w:rPr>
        <w:t xml:space="preserve">; </w:t>
      </w:r>
      <w:hyperlink w:anchor="SENTENCIA_2023_127" w:history="1">
        <w:r w:rsidRPr="00E1708A">
          <w:rPr>
            <w:rStyle w:val="TextoNormalCaracter"/>
          </w:rPr>
          <w:t>127/2023</w:t>
        </w:r>
      </w:hyperlink>
      <w:r w:rsidRPr="00E1708A">
        <w:rPr>
          <w:rStyle w:val="TextoNormalCaracter"/>
        </w:rPr>
        <w:t xml:space="preserve">; </w:t>
      </w:r>
      <w:hyperlink w:anchor="SENTENCIA_2023_128" w:history="1">
        <w:r w:rsidRPr="00E1708A">
          <w:rPr>
            <w:rStyle w:val="TextoNormalCaracter"/>
          </w:rPr>
          <w:t>128/2023</w:t>
        </w:r>
      </w:hyperlink>
      <w:r w:rsidRPr="00E1708A">
        <w:rPr>
          <w:rStyle w:val="TextoNormalCaracter"/>
        </w:rPr>
        <w:t xml:space="preserve">, VP; </w:t>
      </w:r>
      <w:hyperlink w:anchor="SENTENCIA_2023_131" w:history="1">
        <w:r w:rsidRPr="00E1708A">
          <w:rPr>
            <w:rStyle w:val="TextoNormalCaracter"/>
          </w:rPr>
          <w:t>131/2023</w:t>
        </w:r>
      </w:hyperlink>
      <w:r w:rsidRPr="00E1708A">
        <w:rPr>
          <w:rStyle w:val="TextoNormalCaracter"/>
        </w:rPr>
        <w:t xml:space="preserve">; </w:t>
      </w:r>
      <w:hyperlink w:anchor="SENTENCIA_2023_132" w:history="1">
        <w:r w:rsidRPr="00E1708A">
          <w:rPr>
            <w:rStyle w:val="TextoNormalCaracter"/>
          </w:rPr>
          <w:t>132/2023</w:t>
        </w:r>
      </w:hyperlink>
      <w:r w:rsidRPr="00E1708A">
        <w:rPr>
          <w:rStyle w:val="TextoNormalCaracter"/>
        </w:rPr>
        <w:t xml:space="preserve">; </w:t>
      </w:r>
      <w:hyperlink w:anchor="SENTENCIA_2023_133" w:history="1">
        <w:r w:rsidRPr="00E1708A">
          <w:rPr>
            <w:rStyle w:val="TextoNormalCaracter"/>
          </w:rPr>
          <w:t>133/2023</w:t>
        </w:r>
      </w:hyperlink>
      <w:r w:rsidRPr="00E1708A">
        <w:rPr>
          <w:rStyle w:val="TextoNormalCaracter"/>
        </w:rPr>
        <w:t xml:space="preserve">; </w:t>
      </w:r>
      <w:hyperlink w:anchor="SENTENCIA_2023_135" w:history="1">
        <w:r w:rsidRPr="00E1708A">
          <w:rPr>
            <w:rStyle w:val="TextoNormalCaracter"/>
          </w:rPr>
          <w:t>135/2023</w:t>
        </w:r>
      </w:hyperlink>
      <w:r w:rsidRPr="00E1708A">
        <w:rPr>
          <w:rStyle w:val="TextoNormalCaracter"/>
        </w:rPr>
        <w:t xml:space="preserve">; </w:t>
      </w:r>
      <w:hyperlink w:anchor="SENTENCIA_2023_139" w:history="1">
        <w:r w:rsidRPr="00E1708A">
          <w:rPr>
            <w:rStyle w:val="TextoNormalCaracter"/>
          </w:rPr>
          <w:t>139/2023</w:t>
        </w:r>
      </w:hyperlink>
      <w:r w:rsidRPr="00E1708A">
        <w:rPr>
          <w:rStyle w:val="TextoNormalCaracter"/>
        </w:rPr>
        <w:t xml:space="preserve">; </w:t>
      </w:r>
      <w:hyperlink w:anchor="SENTENCIA_2023_140" w:history="1">
        <w:r w:rsidRPr="00E1708A">
          <w:rPr>
            <w:rStyle w:val="TextoNormalCaracter"/>
          </w:rPr>
          <w:t>140/2023</w:t>
        </w:r>
      </w:hyperlink>
      <w:r w:rsidRPr="00E1708A">
        <w:rPr>
          <w:rStyle w:val="TextoNormalCaracter"/>
        </w:rPr>
        <w:t xml:space="preserve">; </w:t>
      </w:r>
      <w:hyperlink w:anchor="SENTENCIA_2023_141" w:history="1">
        <w:r w:rsidRPr="00E1708A">
          <w:rPr>
            <w:rStyle w:val="TextoNormalCaracter"/>
          </w:rPr>
          <w:t>141/2023</w:t>
        </w:r>
      </w:hyperlink>
      <w:r w:rsidRPr="00E1708A">
        <w:rPr>
          <w:rStyle w:val="TextoNormalCaracter"/>
        </w:rPr>
        <w:t xml:space="preserve">; </w:t>
      </w:r>
      <w:hyperlink w:anchor="SENTENCIA_2023_142" w:history="1">
        <w:r w:rsidRPr="00E1708A">
          <w:rPr>
            <w:rStyle w:val="TextoNormalCaracter"/>
          </w:rPr>
          <w:t>142/2023</w:t>
        </w:r>
      </w:hyperlink>
      <w:r w:rsidRPr="00E1708A">
        <w:rPr>
          <w:rStyle w:val="TextoNormalCaracter"/>
        </w:rPr>
        <w:t xml:space="preserve">; </w:t>
      </w:r>
      <w:hyperlink w:anchor="SENTENCIA_2023_144" w:history="1">
        <w:r w:rsidRPr="00E1708A">
          <w:rPr>
            <w:rStyle w:val="TextoNormalCaracter"/>
          </w:rPr>
          <w:t>144/2023</w:t>
        </w:r>
      </w:hyperlink>
      <w:r w:rsidRPr="00E1708A">
        <w:rPr>
          <w:rStyle w:val="TextoNormalCaracter"/>
        </w:rPr>
        <w:t xml:space="preserve">; </w:t>
      </w:r>
      <w:hyperlink w:anchor="SENTENCIA_2023_147" w:history="1">
        <w:r w:rsidRPr="00E1708A">
          <w:rPr>
            <w:rStyle w:val="TextoNormalCaracter"/>
          </w:rPr>
          <w:t>147/2023</w:t>
        </w:r>
      </w:hyperlink>
      <w:r w:rsidRPr="00E1708A">
        <w:rPr>
          <w:rStyle w:val="TextoNormalCaracter"/>
        </w:rPr>
        <w:t xml:space="preserve">; </w:t>
      </w:r>
      <w:hyperlink w:anchor="SENTENCIA_2023_149" w:history="1">
        <w:r w:rsidRPr="00E1708A">
          <w:rPr>
            <w:rStyle w:val="TextoNormalCaracter"/>
          </w:rPr>
          <w:t>149/2023</w:t>
        </w:r>
      </w:hyperlink>
      <w:r w:rsidRPr="00E1708A">
        <w:rPr>
          <w:rStyle w:val="TextoNormalCaracter"/>
        </w:rPr>
        <w:t xml:space="preserve">; </w:t>
      </w:r>
      <w:hyperlink w:anchor="SENTENCIA_2023_165" w:history="1">
        <w:r w:rsidRPr="00E1708A">
          <w:rPr>
            <w:rStyle w:val="TextoNormalCaracter"/>
          </w:rPr>
          <w:t>165/2023</w:t>
        </w:r>
      </w:hyperlink>
      <w:r w:rsidRPr="00E1708A">
        <w:rPr>
          <w:rStyle w:val="TextoNormalCaracter"/>
        </w:rPr>
        <w:t xml:space="preserve">; </w:t>
      </w:r>
      <w:hyperlink w:anchor="SENTENCIA_2023_170" w:history="1">
        <w:r w:rsidRPr="00E1708A">
          <w:rPr>
            <w:rStyle w:val="TextoNormalCaracter"/>
          </w:rPr>
          <w:t>170/2023</w:t>
        </w:r>
      </w:hyperlink>
      <w:r w:rsidRPr="00E1708A">
        <w:rPr>
          <w:rStyle w:val="TextoNormalCaracter"/>
        </w:rPr>
        <w:t xml:space="preserve">; </w:t>
      </w:r>
      <w:hyperlink w:anchor="SENTENCIA_2023_171" w:history="1">
        <w:r w:rsidRPr="00E1708A">
          <w:rPr>
            <w:rStyle w:val="TextoNormalCaracter"/>
          </w:rPr>
          <w:t>171/2023</w:t>
        </w:r>
      </w:hyperlink>
      <w:r w:rsidRPr="00E1708A">
        <w:rPr>
          <w:rStyle w:val="TextoNormalCaracter"/>
        </w:rPr>
        <w:t xml:space="preserve">; </w:t>
      </w:r>
      <w:hyperlink w:anchor="SENTENCIA_2023_189" w:history="1">
        <w:r w:rsidRPr="00E1708A">
          <w:rPr>
            <w:rStyle w:val="TextoNormalCaracter"/>
          </w:rPr>
          <w:t>189/2023</w:t>
        </w:r>
      </w:hyperlink>
      <w:r w:rsidRPr="00E1708A">
        <w:rPr>
          <w:rStyle w:val="TextoNormalCaracter"/>
        </w:rPr>
        <w:t xml:space="preserve">; </w:t>
      </w:r>
      <w:hyperlink w:anchor="SENTENCIA_2023_190" w:history="1">
        <w:r w:rsidRPr="00E1708A">
          <w:rPr>
            <w:rStyle w:val="TextoNormalCaracter"/>
          </w:rPr>
          <w:t>190/2023</w:t>
        </w:r>
      </w:hyperlink>
      <w:r w:rsidRPr="00E1708A">
        <w:rPr>
          <w:rStyle w:val="TextoNormalCaracter"/>
        </w:rPr>
        <w:t>.</w:t>
      </w:r>
    </w:p>
    <w:p w14:paraId="10D8AA6B" w14:textId="3EBBFC38" w:rsidR="00E1708A" w:rsidRPr="00E1708A" w:rsidRDefault="00E1708A" w:rsidP="00E1708A">
      <w:pPr>
        <w:pStyle w:val="TextoNormalSangraFrancesa"/>
        <w:rPr>
          <w:rStyle w:val="TextoNormalCaracter"/>
        </w:rPr>
      </w:pPr>
      <w:r w:rsidRPr="00E1708A">
        <w:rPr>
          <w:rStyle w:val="TextoNormalCaracter"/>
        </w:rPr>
        <w:t xml:space="preserve">    Auto </w:t>
      </w:r>
      <w:hyperlink w:anchor="AUTO_2023_338" w:history="1">
        <w:r w:rsidRPr="00E1708A">
          <w:rPr>
            <w:rStyle w:val="TextoNormalCaracter"/>
          </w:rPr>
          <w:t>338/2023</w:t>
        </w:r>
      </w:hyperlink>
      <w:r w:rsidRPr="00E1708A">
        <w:rPr>
          <w:rStyle w:val="TextoNormalCaracter"/>
        </w:rPr>
        <w:t>.</w:t>
      </w:r>
    </w:p>
    <w:p w14:paraId="32682607" w14:textId="4A24B980" w:rsidR="00E1708A" w:rsidRPr="00E1708A" w:rsidRDefault="00E1708A" w:rsidP="00E1708A">
      <w:pPr>
        <w:pStyle w:val="TextoNormalSangraFrancesa"/>
        <w:rPr>
          <w:rStyle w:val="TextoNormalCaracter"/>
        </w:rPr>
      </w:pPr>
      <w:bookmarkStart w:id="1375" w:name="DESCRIPTORALFABETICO39"/>
      <w:r w:rsidRPr="00E1708A">
        <w:rPr>
          <w:rStyle w:val="TextoNormalNegritaCaracter"/>
        </w:rPr>
        <w:t>Votos nulos</w:t>
      </w:r>
      <w:bookmarkEnd w:id="1375"/>
      <w:r w:rsidRPr="00E1708A">
        <w:rPr>
          <w:rStyle w:val="TextoNormalCaracter"/>
        </w:rPr>
        <w:t xml:space="preserve">, Sentencia </w:t>
      </w:r>
      <w:hyperlink w:anchor="SENTENCIA_2023_95" w:history="1">
        <w:r w:rsidRPr="00E1708A">
          <w:rPr>
            <w:rStyle w:val="TextoNormalCaracter"/>
          </w:rPr>
          <w:t>95/2023</w:t>
        </w:r>
      </w:hyperlink>
      <w:r w:rsidRPr="00E1708A">
        <w:rPr>
          <w:rStyle w:val="TextoNormalCaracter"/>
        </w:rPr>
        <w:t>, ff. 2 a 6.</w:t>
      </w:r>
    </w:p>
    <w:p w14:paraId="281F3351" w14:textId="4C3F51CD" w:rsidR="00E1708A" w:rsidRPr="00E1708A" w:rsidRDefault="00E1708A" w:rsidP="00E1708A">
      <w:pPr>
        <w:pStyle w:val="TextoNormalSangraFrancesa"/>
        <w:rPr>
          <w:rStyle w:val="TextoNormalCaracter"/>
        </w:rPr>
      </w:pPr>
      <w:bookmarkStart w:id="1376" w:name="DESCRIPTORALFABETICO197"/>
      <w:r w:rsidRPr="00E1708A">
        <w:rPr>
          <w:rStyle w:val="TextoNormalNegritaCaracter"/>
        </w:rPr>
        <w:t>Votos particulares concurrentes</w:t>
      </w:r>
      <w:bookmarkEnd w:id="1376"/>
      <w:r w:rsidRPr="00E1708A">
        <w:rPr>
          <w:rStyle w:val="TextoNormalCaracter"/>
        </w:rPr>
        <w:t xml:space="preserve">, Sentencia </w:t>
      </w:r>
      <w:hyperlink w:anchor="SENTENCIA_2023_94" w:history="1">
        <w:r w:rsidRPr="00E1708A">
          <w:rPr>
            <w:rStyle w:val="TextoNormalCaracter"/>
          </w:rPr>
          <w:t>94/2023</w:t>
        </w:r>
      </w:hyperlink>
      <w:r w:rsidRPr="00E1708A">
        <w:rPr>
          <w:rStyle w:val="TextoNormalCaracter"/>
        </w:rPr>
        <w:t>.</w:t>
      </w:r>
    </w:p>
    <w:p w14:paraId="54C36B63" w14:textId="6CE85138" w:rsidR="00E1708A" w:rsidRPr="00E1708A" w:rsidRDefault="00E1708A" w:rsidP="00E1708A">
      <w:pPr>
        <w:pStyle w:val="TextoNormalSangraFrancesa"/>
        <w:rPr>
          <w:rStyle w:val="TextoNormalCaracter"/>
        </w:rPr>
      </w:pPr>
      <w:bookmarkStart w:id="1377" w:name="DESCRIPTORALFABETICO198"/>
      <w:r w:rsidRPr="00E1708A">
        <w:rPr>
          <w:rStyle w:val="TextoNormalNegritaCaracter"/>
        </w:rPr>
        <w:t xml:space="preserve">Votos particulares, formulados dos </w:t>
      </w:r>
      <w:bookmarkEnd w:id="1377"/>
      <w:r w:rsidRPr="00E1708A">
        <w:rPr>
          <w:rStyle w:val="TextoNormalCaracter"/>
        </w:rPr>
        <w:t xml:space="preserve">, Sentencias </w:t>
      </w:r>
      <w:hyperlink w:anchor="SENTENCIA_2023_78" w:history="1">
        <w:r w:rsidRPr="00E1708A">
          <w:rPr>
            <w:rStyle w:val="TextoNormalCaracter"/>
          </w:rPr>
          <w:t>78/2023</w:t>
        </w:r>
      </w:hyperlink>
      <w:r w:rsidRPr="00E1708A">
        <w:rPr>
          <w:rStyle w:val="TextoNormalCaracter"/>
        </w:rPr>
        <w:t xml:space="preserve">, VP I, VP II; </w:t>
      </w:r>
      <w:hyperlink w:anchor="SENTENCIA_2023_83" w:history="1">
        <w:r w:rsidRPr="00E1708A">
          <w:rPr>
            <w:rStyle w:val="TextoNormalCaracter"/>
          </w:rPr>
          <w:t>83/2023</w:t>
        </w:r>
      </w:hyperlink>
      <w:r w:rsidRPr="00E1708A">
        <w:rPr>
          <w:rStyle w:val="TextoNormalCaracter"/>
        </w:rPr>
        <w:t xml:space="preserve">; </w:t>
      </w:r>
      <w:hyperlink w:anchor="SENTENCIA_2023_124" w:history="1">
        <w:r w:rsidRPr="00E1708A">
          <w:rPr>
            <w:rStyle w:val="TextoNormalCaracter"/>
          </w:rPr>
          <w:t>124/2023</w:t>
        </w:r>
      </w:hyperlink>
      <w:r w:rsidRPr="00E1708A">
        <w:rPr>
          <w:rStyle w:val="TextoNormalCaracter"/>
        </w:rPr>
        <w:t xml:space="preserve">; </w:t>
      </w:r>
      <w:hyperlink w:anchor="SENTENCIA_2023_125" w:history="1">
        <w:r w:rsidRPr="00E1708A">
          <w:rPr>
            <w:rStyle w:val="TextoNormalCaracter"/>
          </w:rPr>
          <w:t>125/2023</w:t>
        </w:r>
      </w:hyperlink>
      <w:r w:rsidRPr="00E1708A">
        <w:rPr>
          <w:rStyle w:val="TextoNormalCaracter"/>
        </w:rPr>
        <w:t xml:space="preserve">; </w:t>
      </w:r>
      <w:hyperlink w:anchor="SENTENCIA_2023_143" w:history="1">
        <w:r w:rsidRPr="00E1708A">
          <w:rPr>
            <w:rStyle w:val="TextoNormalCaracter"/>
          </w:rPr>
          <w:t>143/2023</w:t>
        </w:r>
      </w:hyperlink>
      <w:r w:rsidRPr="00E1708A">
        <w:rPr>
          <w:rStyle w:val="TextoNormalCaracter"/>
        </w:rPr>
        <w:t xml:space="preserve">; </w:t>
      </w:r>
      <w:hyperlink w:anchor="SENTENCIA_2023_164" w:history="1">
        <w:r w:rsidRPr="00E1708A">
          <w:rPr>
            <w:rStyle w:val="TextoNormalCaracter"/>
          </w:rPr>
          <w:t>164/2023</w:t>
        </w:r>
      </w:hyperlink>
      <w:r w:rsidRPr="00E1708A">
        <w:rPr>
          <w:rStyle w:val="TextoNormalCaracter"/>
        </w:rPr>
        <w:t xml:space="preserve">; </w:t>
      </w:r>
      <w:hyperlink w:anchor="SENTENCIA_2023_175" w:history="1">
        <w:r w:rsidRPr="00E1708A">
          <w:rPr>
            <w:rStyle w:val="TextoNormalCaracter"/>
          </w:rPr>
          <w:t>175/2023</w:t>
        </w:r>
      </w:hyperlink>
      <w:r w:rsidRPr="00E1708A">
        <w:rPr>
          <w:rStyle w:val="TextoNormalCaracter"/>
        </w:rPr>
        <w:t xml:space="preserve">; </w:t>
      </w:r>
      <w:hyperlink w:anchor="SENTENCIA_2023_176" w:history="1">
        <w:r w:rsidRPr="00E1708A">
          <w:rPr>
            <w:rStyle w:val="TextoNormalCaracter"/>
          </w:rPr>
          <w:t>176/2023</w:t>
        </w:r>
      </w:hyperlink>
      <w:r w:rsidRPr="00E1708A">
        <w:rPr>
          <w:rStyle w:val="TextoNormalCaracter"/>
        </w:rPr>
        <w:t xml:space="preserve">; </w:t>
      </w:r>
      <w:hyperlink w:anchor="SENTENCIA_2023_178" w:history="1">
        <w:r w:rsidRPr="00E1708A">
          <w:rPr>
            <w:rStyle w:val="TextoNormalCaracter"/>
          </w:rPr>
          <w:t>178/2023</w:t>
        </w:r>
      </w:hyperlink>
      <w:r w:rsidRPr="00E1708A">
        <w:rPr>
          <w:rStyle w:val="TextoNormalCaracter"/>
        </w:rPr>
        <w:t xml:space="preserve">; </w:t>
      </w:r>
      <w:hyperlink w:anchor="SENTENCIA_2023_188" w:history="1">
        <w:r w:rsidRPr="00E1708A">
          <w:rPr>
            <w:rStyle w:val="TextoNormalCaracter"/>
          </w:rPr>
          <w:t>188/2023</w:t>
        </w:r>
      </w:hyperlink>
      <w:r w:rsidRPr="00E1708A">
        <w:rPr>
          <w:rStyle w:val="TextoNormalCaracter"/>
        </w:rPr>
        <w:t>, f. único.</w:t>
      </w:r>
    </w:p>
    <w:p w14:paraId="2B6208E7" w14:textId="54663EEA" w:rsidR="00E1708A" w:rsidRPr="00E1708A" w:rsidRDefault="00E1708A" w:rsidP="00E1708A">
      <w:pPr>
        <w:pStyle w:val="TextoNormalSangraFrancesa"/>
        <w:rPr>
          <w:rStyle w:val="TextoNormalCaracter"/>
        </w:rPr>
      </w:pPr>
      <w:bookmarkStart w:id="1378" w:name="DESCRIPTORALFABETICO199"/>
      <w:r w:rsidRPr="00E1708A">
        <w:rPr>
          <w:rStyle w:val="TextoNormalNegritaCaracter"/>
        </w:rPr>
        <w:t>Votos particulares, formulados tres</w:t>
      </w:r>
      <w:bookmarkEnd w:id="1378"/>
      <w:r w:rsidRPr="00E1708A">
        <w:rPr>
          <w:rStyle w:val="TextoNormalCaracter"/>
        </w:rPr>
        <w:t xml:space="preserve">, Sentencias </w:t>
      </w:r>
      <w:hyperlink w:anchor="SENTENCIA_2023_89" w:history="1">
        <w:r w:rsidRPr="00E1708A">
          <w:rPr>
            <w:rStyle w:val="TextoNormalCaracter"/>
          </w:rPr>
          <w:t>89/2023</w:t>
        </w:r>
      </w:hyperlink>
      <w:r w:rsidRPr="00E1708A">
        <w:rPr>
          <w:rStyle w:val="TextoNormalCaracter"/>
        </w:rPr>
        <w:t xml:space="preserve">; </w:t>
      </w:r>
      <w:hyperlink w:anchor="SENTENCIA_2023_94" w:history="1">
        <w:r w:rsidRPr="00E1708A">
          <w:rPr>
            <w:rStyle w:val="TextoNormalCaracter"/>
          </w:rPr>
          <w:t>94/2023</w:t>
        </w:r>
      </w:hyperlink>
      <w:r w:rsidRPr="00E1708A">
        <w:rPr>
          <w:rStyle w:val="TextoNormalCaracter"/>
        </w:rPr>
        <w:t>.</w:t>
      </w:r>
    </w:p>
    <w:p w14:paraId="1E1E1B50" w14:textId="6D7514A6" w:rsidR="00E1708A" w:rsidRDefault="00E1708A">
      <w:pPr>
        <w:spacing w:after="160" w:line="278" w:lineRule="auto"/>
        <w:rPr>
          <w:rFonts w:ascii="Times New Roman" w:eastAsia="Times New Roman" w:hAnsi="Times New Roman" w:cs="Times New Roman"/>
          <w:sz w:val="24"/>
          <w:szCs w:val="24"/>
          <w:lang w:eastAsia="es-ES"/>
        </w:rPr>
      </w:pPr>
      <w:r>
        <w:br w:type="page"/>
      </w:r>
    </w:p>
    <w:p w14:paraId="3FA61107" w14:textId="77777777" w:rsidR="00E1708A" w:rsidRDefault="00E1708A" w:rsidP="00E1708A">
      <w:pPr>
        <w:pStyle w:val="TextoNormalSangraFrancesa"/>
      </w:pPr>
    </w:p>
    <w:p w14:paraId="29FE6A38" w14:textId="77777777" w:rsidR="00D91E1B" w:rsidRDefault="00D91E1B" w:rsidP="00D91E1B">
      <w:pPr>
        <w:pStyle w:val="TextoNormalSangraFrancesa"/>
      </w:pPr>
    </w:p>
    <w:p w14:paraId="7A229257" w14:textId="77777777" w:rsidR="00D91E1B" w:rsidRDefault="00D91E1B" w:rsidP="00D91E1B">
      <w:pPr>
        <w:pStyle w:val="TextoNormalSangraFrancesa"/>
      </w:pPr>
    </w:p>
    <w:p w14:paraId="297B62CF" w14:textId="77777777" w:rsidR="00D91E1B" w:rsidRDefault="00D91E1B" w:rsidP="00D91E1B">
      <w:pPr>
        <w:pStyle w:val="TextoNormalSangraFrancesa"/>
      </w:pPr>
    </w:p>
    <w:p w14:paraId="407292EC" w14:textId="77777777" w:rsidR="00D91E1B" w:rsidRDefault="00D91E1B" w:rsidP="00D91E1B">
      <w:pPr>
        <w:pStyle w:val="TextoNormalSangraFrancesa"/>
      </w:pPr>
    </w:p>
    <w:p w14:paraId="41DA32B6" w14:textId="77777777" w:rsidR="00D91E1B" w:rsidRDefault="00D91E1B" w:rsidP="00D91E1B">
      <w:pPr>
        <w:pStyle w:val="TextoNormalSangraFrancesa"/>
      </w:pPr>
    </w:p>
    <w:p w14:paraId="07B980BF" w14:textId="77777777" w:rsidR="00D91E1B" w:rsidRDefault="00D91E1B" w:rsidP="00D91E1B">
      <w:pPr>
        <w:pStyle w:val="TextoNormalSangraFrancesa"/>
      </w:pPr>
    </w:p>
    <w:p w14:paraId="20F22968" w14:textId="77777777" w:rsidR="00D91E1B" w:rsidRDefault="00D91E1B" w:rsidP="00D91E1B">
      <w:pPr>
        <w:pStyle w:val="TextoNormalSangraFrancesa"/>
      </w:pPr>
    </w:p>
    <w:p w14:paraId="7D858C07" w14:textId="77777777" w:rsidR="00D91E1B" w:rsidRDefault="00D91E1B" w:rsidP="00D91E1B">
      <w:pPr>
        <w:pStyle w:val="Ttulondice"/>
      </w:pPr>
      <w:bookmarkStart w:id="1379" w:name="ACRONIMOS"/>
      <w:r>
        <w:t>8. ABREVIATURAS Y ACRÓNIMOS</w:t>
      </w:r>
    </w:p>
    <w:bookmarkEnd w:id="1379"/>
    <w:p w14:paraId="65FEDB9C" w14:textId="7D3BE322" w:rsidR="00D91E1B" w:rsidRDefault="00D91E1B" w:rsidP="00D91E1B">
      <w:pPr>
        <w:pStyle w:val="Ttulondice"/>
      </w:pPr>
    </w:p>
    <w:p w14:paraId="20B2A895" w14:textId="77777777" w:rsidR="00D91E1B" w:rsidRDefault="00D91E1B" w:rsidP="00D91E1B">
      <w:pPr>
        <w:pStyle w:val="Ttulondice"/>
      </w:pPr>
    </w:p>
    <w:p w14:paraId="169F832E" w14:textId="77777777" w:rsidR="00D91E1B" w:rsidRDefault="00D91E1B" w:rsidP="00D91E1B">
      <w:pPr>
        <w:pStyle w:val="Ttulondice"/>
      </w:pPr>
    </w:p>
    <w:p w14:paraId="2ADC32DE" w14:textId="77777777" w:rsidR="00D91E1B" w:rsidRDefault="00D91E1B" w:rsidP="00D91E1B">
      <w:pPr>
        <w:pStyle w:val="Ttulondice"/>
      </w:pPr>
    </w:p>
    <w:p w14:paraId="0D6260DD" w14:textId="77777777" w:rsidR="00D91E1B" w:rsidRDefault="00D91E1B" w:rsidP="00D91E1B">
      <w:pPr>
        <w:pStyle w:val="TextoAbreviaturas"/>
      </w:pPr>
      <w:r>
        <w:t>§</w:t>
      </w:r>
      <w:r>
        <w:tab/>
        <w:t>Parágrafo (usual en SSTEDH)</w:t>
      </w:r>
    </w:p>
    <w:p w14:paraId="0CD3BA8D" w14:textId="77777777" w:rsidR="00D91E1B" w:rsidRDefault="00D91E1B" w:rsidP="00D91E1B">
      <w:pPr>
        <w:pStyle w:val="TextoAbreviaturas"/>
      </w:pPr>
      <w:r>
        <w:t>AEAT</w:t>
      </w:r>
      <w:r>
        <w:tab/>
        <w:t>Agencia estatal de la administración tributaria</w:t>
      </w:r>
    </w:p>
    <w:p w14:paraId="2992213F" w14:textId="77777777" w:rsidR="00D91E1B" w:rsidRDefault="00D91E1B" w:rsidP="00D91E1B">
      <w:pPr>
        <w:pStyle w:val="TextoAbreviaturas"/>
      </w:pPr>
      <w:r>
        <w:t>APM</w:t>
      </w:r>
      <w:r>
        <w:tab/>
        <w:t>Asociación Profesional de la Magistratura</w:t>
      </w:r>
    </w:p>
    <w:p w14:paraId="56C8018D" w14:textId="77777777" w:rsidR="00D91E1B" w:rsidRDefault="00D91E1B" w:rsidP="00D91E1B">
      <w:pPr>
        <w:pStyle w:val="TextoAbreviaturas"/>
      </w:pPr>
      <w:r>
        <w:t>ATC</w:t>
      </w:r>
      <w:r>
        <w:tab/>
        <w:t>Auto del Tribunal Constitucional</w:t>
      </w:r>
    </w:p>
    <w:p w14:paraId="7C09FB31" w14:textId="77777777" w:rsidR="00D91E1B" w:rsidRDefault="00D91E1B" w:rsidP="00D91E1B">
      <w:pPr>
        <w:pStyle w:val="TextoAbreviaturas"/>
      </w:pPr>
      <w:r>
        <w:t>ATS</w:t>
      </w:r>
      <w:r>
        <w:tab/>
        <w:t>Auto del Tribunal Supremo</w:t>
      </w:r>
    </w:p>
    <w:p w14:paraId="3A324B2D" w14:textId="77777777" w:rsidR="00D91E1B" w:rsidRDefault="00D91E1B" w:rsidP="00D91E1B">
      <w:pPr>
        <w:pStyle w:val="TextoAbreviaturas"/>
      </w:pPr>
      <w:r>
        <w:t>BBVA</w:t>
      </w:r>
      <w:r>
        <w:tab/>
        <w:t>Banco Bilbao Vizcaya Argentaria</w:t>
      </w:r>
    </w:p>
    <w:p w14:paraId="376A03C2" w14:textId="77777777" w:rsidR="00D91E1B" w:rsidRDefault="00D91E1B" w:rsidP="00D91E1B">
      <w:pPr>
        <w:pStyle w:val="TextoAbreviaturas"/>
      </w:pPr>
      <w:r>
        <w:t>BNG</w:t>
      </w:r>
      <w:r>
        <w:tab/>
        <w:t>Bloque Nacionalista Galego</w:t>
      </w:r>
    </w:p>
    <w:p w14:paraId="570AF9BF" w14:textId="77777777" w:rsidR="00D91E1B" w:rsidRDefault="00D91E1B" w:rsidP="00D91E1B">
      <w:pPr>
        <w:pStyle w:val="TextoAbreviaturas"/>
      </w:pPr>
      <w:r>
        <w:t>BOE</w:t>
      </w:r>
      <w:r>
        <w:tab/>
        <w:t>Boletín Oficial del Estado</w:t>
      </w:r>
    </w:p>
    <w:p w14:paraId="24F4FBBB" w14:textId="77777777" w:rsidR="00D91E1B" w:rsidRDefault="00D91E1B" w:rsidP="00D91E1B">
      <w:pPr>
        <w:pStyle w:val="TextoAbreviaturas"/>
      </w:pPr>
      <w:r>
        <w:t>BORM</w:t>
      </w:r>
      <w:r>
        <w:tab/>
        <w:t>Boletín Oficial de la Región de Murcia</w:t>
      </w:r>
    </w:p>
    <w:p w14:paraId="66C9CA7B" w14:textId="77777777" w:rsidR="00D91E1B" w:rsidRDefault="00D91E1B" w:rsidP="00D91E1B">
      <w:pPr>
        <w:pStyle w:val="TextoAbreviaturas"/>
      </w:pPr>
      <w:r>
        <w:t>CC</w:t>
      </w:r>
      <w:r>
        <w:tab/>
        <w:t>Código civil</w:t>
      </w:r>
    </w:p>
    <w:p w14:paraId="56374A06" w14:textId="77777777" w:rsidR="00D91E1B" w:rsidRDefault="00D91E1B" w:rsidP="00D91E1B">
      <w:pPr>
        <w:pStyle w:val="TextoAbreviaturas"/>
      </w:pPr>
      <w:r>
        <w:t>CCOO</w:t>
      </w:r>
      <w:r>
        <w:tab/>
        <w:t>Comisiones Obreras</w:t>
      </w:r>
    </w:p>
    <w:p w14:paraId="2ECBC814" w14:textId="77777777" w:rsidR="00D91E1B" w:rsidRDefault="00D91E1B" w:rsidP="00D91E1B">
      <w:pPr>
        <w:pStyle w:val="TextoAbreviaturas"/>
      </w:pPr>
      <w:r>
        <w:t>CDFUE</w:t>
      </w:r>
      <w:r>
        <w:tab/>
        <w:t>Carta de los derechos fundamentales de la Unión Europea</w:t>
      </w:r>
    </w:p>
    <w:p w14:paraId="04207FF4" w14:textId="77777777" w:rsidR="00D91E1B" w:rsidRDefault="00D91E1B" w:rsidP="00D91E1B">
      <w:pPr>
        <w:pStyle w:val="TextoAbreviaturas"/>
      </w:pPr>
      <w:r>
        <w:t>CE</w:t>
      </w:r>
      <w:r>
        <w:tab/>
        <w:t>Constitución española</w:t>
      </w:r>
    </w:p>
    <w:p w14:paraId="0E609D4F" w14:textId="77777777" w:rsidR="00D91E1B" w:rsidRDefault="00D91E1B" w:rsidP="00D91E1B">
      <w:pPr>
        <w:pStyle w:val="TextoAbreviaturas"/>
      </w:pPr>
      <w:r>
        <w:t>CEDH</w:t>
      </w:r>
      <w:r>
        <w:tab/>
        <w:t>Convenio europeo para la protección de los derechos humanos y de las libertades fundamentales</w:t>
      </w:r>
    </w:p>
    <w:p w14:paraId="2F87B9C9" w14:textId="77777777" w:rsidR="00D91E1B" w:rsidRDefault="00D91E1B" w:rsidP="00D91E1B">
      <w:pPr>
        <w:pStyle w:val="TextoAbreviaturas"/>
      </w:pPr>
      <w:r>
        <w:t>CEE</w:t>
      </w:r>
      <w:r>
        <w:tab/>
        <w:t>Comunidad Económica Europea</w:t>
      </w:r>
    </w:p>
    <w:p w14:paraId="560E70A3" w14:textId="77777777" w:rsidR="00D91E1B" w:rsidRDefault="00D91E1B" w:rsidP="00D91E1B">
      <w:pPr>
        <w:pStyle w:val="TextoAbreviaturas"/>
      </w:pPr>
      <w:r>
        <w:t>CEOE</w:t>
      </w:r>
      <w:r>
        <w:tab/>
        <w:t>Confederación española de organizaciones empresariales</w:t>
      </w:r>
    </w:p>
    <w:p w14:paraId="722327C1" w14:textId="77777777" w:rsidR="00D91E1B" w:rsidRDefault="00D91E1B" w:rsidP="00D91E1B">
      <w:pPr>
        <w:pStyle w:val="TextoAbreviaturas"/>
      </w:pPr>
      <w:r>
        <w:t>CEPYME</w:t>
      </w:r>
      <w:r>
        <w:tab/>
        <w:t>Confederación española de la pequeña y mediana empresa</w:t>
      </w:r>
    </w:p>
    <w:p w14:paraId="2B7334EC" w14:textId="77777777" w:rsidR="00D91E1B" w:rsidRDefault="00D91E1B" w:rsidP="00D91E1B">
      <w:pPr>
        <w:pStyle w:val="TextoAbreviaturas"/>
      </w:pPr>
      <w:r>
        <w:t>CES</w:t>
      </w:r>
      <w:r>
        <w:tab/>
        <w:t>Consejo Económico y Social</w:t>
      </w:r>
    </w:p>
    <w:p w14:paraId="4E4C3A8F" w14:textId="77777777" w:rsidR="00D91E1B" w:rsidRDefault="00D91E1B" w:rsidP="00D91E1B">
      <w:pPr>
        <w:pStyle w:val="TextoAbreviaturas"/>
      </w:pPr>
      <w:r>
        <w:t>CGPJ</w:t>
      </w:r>
      <w:r>
        <w:tab/>
        <w:t>Consejo General del Poder Judicial</w:t>
      </w:r>
    </w:p>
    <w:p w14:paraId="23A9E4D8" w14:textId="77777777" w:rsidR="00D91E1B" w:rsidRDefault="00D91E1B" w:rsidP="00D91E1B">
      <w:pPr>
        <w:pStyle w:val="TextoAbreviaturas"/>
      </w:pPr>
      <w:r>
        <w:t>CP</w:t>
      </w:r>
      <w:r>
        <w:tab/>
        <w:t>Código penal</w:t>
      </w:r>
    </w:p>
    <w:p w14:paraId="020CD64F" w14:textId="77777777" w:rsidR="00D91E1B" w:rsidRDefault="00D91E1B" w:rsidP="00D91E1B">
      <w:pPr>
        <w:pStyle w:val="TextoAbreviaturas"/>
      </w:pPr>
      <w:r>
        <w:t>CSIF</w:t>
      </w:r>
      <w:r>
        <w:tab/>
        <w:t>Confederación Sindical Independiente de Funcionarios</w:t>
      </w:r>
    </w:p>
    <w:p w14:paraId="09C26BA3" w14:textId="77777777" w:rsidR="00D91E1B" w:rsidRDefault="00D91E1B" w:rsidP="00D91E1B">
      <w:pPr>
        <w:pStyle w:val="TextoAbreviaturas"/>
      </w:pPr>
      <w:r>
        <w:t>CUP</w:t>
      </w:r>
      <w:r>
        <w:tab/>
        <w:t>Candidatura d'Unitat Popular</w:t>
      </w:r>
    </w:p>
    <w:p w14:paraId="6CC48CE8" w14:textId="77777777" w:rsidR="00D91E1B" w:rsidRDefault="00D91E1B" w:rsidP="00D91E1B">
      <w:pPr>
        <w:pStyle w:val="TextoAbreviaturas"/>
      </w:pPr>
      <w:r>
        <w:t>DOUE</w:t>
      </w:r>
      <w:r>
        <w:tab/>
        <w:t>Diario Oficial de la Unión Europea</w:t>
      </w:r>
    </w:p>
    <w:p w14:paraId="2569EF24" w14:textId="77777777" w:rsidR="00D91E1B" w:rsidRDefault="00D91E1B" w:rsidP="00D91E1B">
      <w:pPr>
        <w:pStyle w:val="TextoAbreviaturas"/>
      </w:pPr>
      <w:r>
        <w:t>EAAnd</w:t>
      </w:r>
      <w:r>
        <w:tab/>
        <w:t>Estatuto de Autonomía para Andalucía</w:t>
      </w:r>
    </w:p>
    <w:p w14:paraId="3B758977" w14:textId="77777777" w:rsidR="00D91E1B" w:rsidRDefault="00D91E1B" w:rsidP="00D91E1B">
      <w:pPr>
        <w:pStyle w:val="TextoAbreviaturas"/>
      </w:pPr>
      <w:r>
        <w:t>EAC</w:t>
      </w:r>
      <w:r>
        <w:tab/>
        <w:t>Estatuto de Autonomía de Cataluña</w:t>
      </w:r>
    </w:p>
    <w:p w14:paraId="5E2D8E5D" w14:textId="77777777" w:rsidR="00D91E1B" w:rsidRDefault="00D91E1B" w:rsidP="00D91E1B">
      <w:pPr>
        <w:pStyle w:val="TextoAbreviaturas"/>
      </w:pPr>
      <w:r>
        <w:t>EAE</w:t>
      </w:r>
      <w:r>
        <w:tab/>
        <w:t>Estatuto de Autonomía de Extremadura</w:t>
      </w:r>
    </w:p>
    <w:p w14:paraId="232D936D" w14:textId="77777777" w:rsidR="00D91E1B" w:rsidRDefault="00D91E1B" w:rsidP="00D91E1B">
      <w:pPr>
        <w:pStyle w:val="TextoAbreviaturas"/>
      </w:pPr>
      <w:r>
        <w:t>EAIB</w:t>
      </w:r>
      <w:r>
        <w:tab/>
        <w:t>Estatuto de Autonomía de las Illes Balears</w:t>
      </w:r>
    </w:p>
    <w:p w14:paraId="6F82CCE9" w14:textId="77777777" w:rsidR="00D91E1B" w:rsidRDefault="00D91E1B" w:rsidP="00D91E1B">
      <w:pPr>
        <w:pStyle w:val="TextoAbreviaturas"/>
      </w:pPr>
      <w:r>
        <w:t>EAPV</w:t>
      </w:r>
      <w:r>
        <w:tab/>
        <w:t>Estatuto de Autonomía para el País Vasco</w:t>
      </w:r>
    </w:p>
    <w:p w14:paraId="3965254A" w14:textId="77777777" w:rsidR="00D91E1B" w:rsidRDefault="00D91E1B" w:rsidP="00D91E1B">
      <w:pPr>
        <w:pStyle w:val="TextoAbreviaturas"/>
      </w:pPr>
      <w:r>
        <w:t>EARM</w:t>
      </w:r>
      <w:r>
        <w:tab/>
        <w:t>Estatuto de Autonomía para la Región de Murcia</w:t>
      </w:r>
    </w:p>
    <w:p w14:paraId="1BC3714E" w14:textId="77777777" w:rsidR="00D91E1B" w:rsidRDefault="00D91E1B" w:rsidP="00D91E1B">
      <w:pPr>
        <w:pStyle w:val="TextoAbreviaturas"/>
      </w:pPr>
      <w:r>
        <w:t>EAV</w:t>
      </w:r>
      <w:r>
        <w:tab/>
        <w:t>Estatuto de Autonomía de la Comunidad Valenciana</w:t>
      </w:r>
    </w:p>
    <w:p w14:paraId="2AFF04CA" w14:textId="77777777" w:rsidR="00D91E1B" w:rsidRDefault="00D91E1B" w:rsidP="00D91E1B">
      <w:pPr>
        <w:pStyle w:val="TextoAbreviaturas"/>
      </w:pPr>
      <w:r>
        <w:t>ERC</w:t>
      </w:r>
      <w:r>
        <w:tab/>
        <w:t>Esquerra Republicana de Catalunya</w:t>
      </w:r>
    </w:p>
    <w:p w14:paraId="2951FBFE" w14:textId="77777777" w:rsidR="00D91E1B" w:rsidRDefault="00D91E1B" w:rsidP="00D91E1B">
      <w:pPr>
        <w:pStyle w:val="TextoAbreviaturas"/>
      </w:pPr>
      <w:r>
        <w:t>FJ</w:t>
      </w:r>
      <w:r>
        <w:tab/>
        <w:t>Fundamento jurídico</w:t>
      </w:r>
    </w:p>
    <w:p w14:paraId="6C33D013" w14:textId="77777777" w:rsidR="00D91E1B" w:rsidRDefault="00D91E1B" w:rsidP="00D91E1B">
      <w:pPr>
        <w:pStyle w:val="TextoAbreviaturas"/>
      </w:pPr>
      <w:r>
        <w:t>FP</w:t>
      </w:r>
      <w:r>
        <w:tab/>
        <w:t>Formación Profesional</w:t>
      </w:r>
    </w:p>
    <w:p w14:paraId="3D1E1590" w14:textId="77777777" w:rsidR="00D91E1B" w:rsidRDefault="00D91E1B" w:rsidP="00D91E1B">
      <w:pPr>
        <w:pStyle w:val="TextoAbreviaturas"/>
      </w:pPr>
      <w:r>
        <w:t>HB</w:t>
      </w:r>
      <w:r>
        <w:tab/>
        <w:t>Herri Batasuna</w:t>
      </w:r>
    </w:p>
    <w:p w14:paraId="251601EE" w14:textId="77777777" w:rsidR="00D91E1B" w:rsidRDefault="00D91E1B" w:rsidP="00D91E1B">
      <w:pPr>
        <w:pStyle w:val="TextoAbreviaturas"/>
      </w:pPr>
      <w:r>
        <w:t>IIVTNU</w:t>
      </w:r>
      <w:r>
        <w:tab/>
        <w:t>Impuesto sobre el incremento del valor de los terrenos de naturaleza urbana</w:t>
      </w:r>
    </w:p>
    <w:p w14:paraId="0D0BE180" w14:textId="77777777" w:rsidR="00D91E1B" w:rsidRDefault="00D91E1B" w:rsidP="00D91E1B">
      <w:pPr>
        <w:pStyle w:val="TextoAbreviaturas"/>
      </w:pPr>
      <w:r>
        <w:t>IRPF</w:t>
      </w:r>
      <w:r>
        <w:tab/>
        <w:t>Impuesto sobre la renta de las personas físicas</w:t>
      </w:r>
    </w:p>
    <w:p w14:paraId="242B3C54" w14:textId="77777777" w:rsidR="00D91E1B" w:rsidRDefault="00D91E1B" w:rsidP="00D91E1B">
      <w:pPr>
        <w:pStyle w:val="TextoAbreviaturas"/>
      </w:pPr>
      <w:r>
        <w:t>IVA</w:t>
      </w:r>
      <w:r>
        <w:tab/>
        <w:t>Impuesto sobre el valor añadido</w:t>
      </w:r>
    </w:p>
    <w:p w14:paraId="11B43AD6" w14:textId="77777777" w:rsidR="00D91E1B" w:rsidRDefault="00D91E1B" w:rsidP="00D91E1B">
      <w:pPr>
        <w:pStyle w:val="TextoAbreviaturas"/>
      </w:pPr>
      <w:r>
        <w:t>LA</w:t>
      </w:r>
      <w:r>
        <w:tab/>
        <w:t>Ley de aguas (Ley de arbitraje para SSTC 17/2021, 55/2021, 65/2021, 79/2022, 146/2024 y ATC 1/2023)</w:t>
      </w:r>
    </w:p>
    <w:p w14:paraId="638A818E" w14:textId="77777777" w:rsidR="00D91E1B" w:rsidRDefault="00D91E1B" w:rsidP="00D91E1B">
      <w:pPr>
        <w:pStyle w:val="TextoAbreviaturas"/>
      </w:pPr>
      <w:r>
        <w:t>LBRL</w:t>
      </w:r>
      <w:r>
        <w:tab/>
        <w:t>Ley reguladora de las bases de régimen local</w:t>
      </w:r>
    </w:p>
    <w:p w14:paraId="4DFAEB28" w14:textId="77777777" w:rsidR="00D91E1B" w:rsidRDefault="00D91E1B" w:rsidP="00D91E1B">
      <w:pPr>
        <w:pStyle w:val="TextoAbreviaturas"/>
      </w:pPr>
      <w:r>
        <w:t>LC</w:t>
      </w:r>
      <w:r>
        <w:tab/>
        <w:t>Ley de costas</w:t>
      </w:r>
    </w:p>
    <w:p w14:paraId="09FE626F" w14:textId="77777777" w:rsidR="00D91E1B" w:rsidRDefault="00D91E1B" w:rsidP="00D91E1B">
      <w:pPr>
        <w:pStyle w:val="TextoAbreviaturas"/>
      </w:pPr>
      <w:r>
        <w:t>LCD</w:t>
      </w:r>
      <w:r>
        <w:tab/>
        <w:t>Ley de competencia desleal</w:t>
      </w:r>
    </w:p>
    <w:p w14:paraId="6F86BC26" w14:textId="77777777" w:rsidR="00D91E1B" w:rsidRDefault="00D91E1B" w:rsidP="00D91E1B">
      <w:pPr>
        <w:pStyle w:val="TextoAbreviaturas"/>
      </w:pPr>
      <w:r>
        <w:t>LCT</w:t>
      </w:r>
      <w:r>
        <w:tab/>
        <w:t>Ley de contrato de trabajo</w:t>
      </w:r>
    </w:p>
    <w:p w14:paraId="26181E8E" w14:textId="77777777" w:rsidR="00D91E1B" w:rsidRDefault="00D91E1B" w:rsidP="00D91E1B">
      <w:pPr>
        <w:pStyle w:val="TextoAbreviaturas"/>
      </w:pPr>
      <w:r>
        <w:t>LDC</w:t>
      </w:r>
      <w:r>
        <w:tab/>
        <w:t>Ley de defensa de la competencia</w:t>
      </w:r>
    </w:p>
    <w:p w14:paraId="0FED26A6" w14:textId="77777777" w:rsidR="00D91E1B" w:rsidRDefault="00D91E1B" w:rsidP="00D91E1B">
      <w:pPr>
        <w:pStyle w:val="TextoAbreviaturas"/>
      </w:pPr>
      <w:r>
        <w:t>LEC</w:t>
      </w:r>
      <w:r>
        <w:tab/>
        <w:t>Ley de enjuiciamiento civil</w:t>
      </w:r>
    </w:p>
    <w:p w14:paraId="17E8947E" w14:textId="77777777" w:rsidR="00D91E1B" w:rsidRDefault="00D91E1B" w:rsidP="00D91E1B">
      <w:pPr>
        <w:pStyle w:val="TextoAbreviaturas"/>
      </w:pPr>
      <w:r>
        <w:t>LECrim</w:t>
      </w:r>
      <w:r>
        <w:tab/>
        <w:t>Ley de enjuiciamiento criminal</w:t>
      </w:r>
    </w:p>
    <w:p w14:paraId="00B3A67B" w14:textId="77777777" w:rsidR="00D91E1B" w:rsidRDefault="00D91E1B" w:rsidP="00D91E1B">
      <w:pPr>
        <w:pStyle w:val="TextoAbreviaturas"/>
      </w:pPr>
      <w:r>
        <w:t>LEF</w:t>
      </w:r>
      <w:r>
        <w:tab/>
        <w:t>Ley de expropiación forzosa</w:t>
      </w:r>
    </w:p>
    <w:p w14:paraId="33D0998F" w14:textId="77777777" w:rsidR="00D91E1B" w:rsidRDefault="00D91E1B" w:rsidP="00D91E1B">
      <w:pPr>
        <w:pStyle w:val="TextoAbreviaturas"/>
      </w:pPr>
      <w:r>
        <w:t>LET</w:t>
      </w:r>
      <w:r>
        <w:tab/>
        <w:t>Ley del estatuto de los trabajadores</w:t>
      </w:r>
    </w:p>
    <w:p w14:paraId="2CECDC57" w14:textId="77777777" w:rsidR="00D91E1B" w:rsidRDefault="00D91E1B" w:rsidP="00D91E1B">
      <w:pPr>
        <w:pStyle w:val="TextoAbreviaturas"/>
      </w:pPr>
      <w:r>
        <w:t>LGCA</w:t>
      </w:r>
      <w:r>
        <w:tab/>
        <w:t>Ley general de la comunicación audiovisual</w:t>
      </w:r>
    </w:p>
    <w:p w14:paraId="3197F6BF" w14:textId="77777777" w:rsidR="00D91E1B" w:rsidRDefault="00D91E1B" w:rsidP="00D91E1B">
      <w:pPr>
        <w:pStyle w:val="TextoAbreviaturas"/>
      </w:pPr>
      <w:r>
        <w:t>LGSS</w:t>
      </w:r>
      <w:r>
        <w:tab/>
        <w:t>Ley general de la Seguridad Social</w:t>
      </w:r>
    </w:p>
    <w:p w14:paraId="54EF05EE" w14:textId="77777777" w:rsidR="00D91E1B" w:rsidRDefault="00D91E1B" w:rsidP="00D91E1B">
      <w:pPr>
        <w:pStyle w:val="TextoAbreviaturas"/>
      </w:pPr>
      <w:r>
        <w:t>LGT</w:t>
      </w:r>
      <w:r>
        <w:tab/>
        <w:t>Ley general tributaria</w:t>
      </w:r>
    </w:p>
    <w:p w14:paraId="68C5BB7C" w14:textId="77777777" w:rsidR="00D91E1B" w:rsidRDefault="00D91E1B" w:rsidP="00D91E1B">
      <w:pPr>
        <w:pStyle w:val="TextoAbreviaturas"/>
      </w:pPr>
      <w:r>
        <w:t>LHL</w:t>
      </w:r>
      <w:r>
        <w:tab/>
        <w:t>Ley reguladora de haciendas locales</w:t>
      </w:r>
    </w:p>
    <w:p w14:paraId="36D384A6" w14:textId="77777777" w:rsidR="00D91E1B" w:rsidRDefault="00D91E1B" w:rsidP="00D91E1B">
      <w:pPr>
        <w:pStyle w:val="TextoAbreviaturas"/>
      </w:pPr>
      <w:r>
        <w:t>LJCA</w:t>
      </w:r>
      <w:r>
        <w:tab/>
        <w:t>Ley reguladora de la jurisdicción contencioso-administrativa</w:t>
      </w:r>
    </w:p>
    <w:p w14:paraId="045F856C" w14:textId="77777777" w:rsidR="00D91E1B" w:rsidRDefault="00D91E1B" w:rsidP="00D91E1B">
      <w:pPr>
        <w:pStyle w:val="TextoAbreviaturas"/>
      </w:pPr>
      <w:r>
        <w:t>LJS</w:t>
      </w:r>
      <w:r>
        <w:tab/>
        <w:t>Ley reguladora de la jurisdicción social</w:t>
      </w:r>
    </w:p>
    <w:p w14:paraId="313AF183" w14:textId="77777777" w:rsidR="00D91E1B" w:rsidRDefault="00D91E1B" w:rsidP="00D91E1B">
      <w:pPr>
        <w:pStyle w:val="TextoAbreviaturas"/>
      </w:pPr>
      <w:r>
        <w:t>LM</w:t>
      </w:r>
      <w:r>
        <w:tab/>
        <w:t>Ley del medicamento (Ley de montes para STC 96/2020)</w:t>
      </w:r>
    </w:p>
    <w:p w14:paraId="22244588" w14:textId="77777777" w:rsidR="00D91E1B" w:rsidRDefault="00D91E1B" w:rsidP="00D91E1B">
      <w:pPr>
        <w:pStyle w:val="TextoAbreviaturas"/>
      </w:pPr>
      <w:r>
        <w:t>LODA</w:t>
      </w:r>
      <w:r>
        <w:tab/>
        <w:t>Ley Orgánica reguladora del derecho de asociación</w:t>
      </w:r>
    </w:p>
    <w:p w14:paraId="7434C6A7" w14:textId="77777777" w:rsidR="00D91E1B" w:rsidRDefault="00D91E1B" w:rsidP="00D91E1B">
      <w:pPr>
        <w:pStyle w:val="TextoAbreviaturas"/>
      </w:pPr>
      <w:r>
        <w:t>LODR</w:t>
      </w:r>
      <w:r>
        <w:tab/>
        <w:t>Ley Orgánica reguladora del derecho de reunión</w:t>
      </w:r>
    </w:p>
    <w:p w14:paraId="7E04C33C" w14:textId="77777777" w:rsidR="00D91E1B" w:rsidRDefault="00D91E1B" w:rsidP="00D91E1B">
      <w:pPr>
        <w:pStyle w:val="TextoAbreviaturas"/>
      </w:pPr>
      <w:r>
        <w:t>LOEx</w:t>
      </w:r>
      <w:r>
        <w:tab/>
        <w:t>Ley Orgánica sobre derechos y libertades de los extranjeros en España y su integración social</w:t>
      </w:r>
    </w:p>
    <w:p w14:paraId="4D4C0901" w14:textId="77777777" w:rsidR="00D91E1B" w:rsidRDefault="00D91E1B" w:rsidP="00D91E1B">
      <w:pPr>
        <w:pStyle w:val="TextoAbreviaturas"/>
      </w:pPr>
      <w:r>
        <w:t>LOFCA</w:t>
      </w:r>
      <w:r>
        <w:tab/>
        <w:t>Ley Orgánica de financiación de las comunidades autónomas</w:t>
      </w:r>
    </w:p>
    <w:p w14:paraId="627F4BCF" w14:textId="77777777" w:rsidR="00D91E1B" w:rsidRDefault="00D91E1B" w:rsidP="00D91E1B">
      <w:pPr>
        <w:pStyle w:val="TextoAbreviaturas"/>
      </w:pPr>
      <w:r>
        <w:t>LOPJ</w:t>
      </w:r>
      <w:r>
        <w:tab/>
        <w:t>Ley Orgánica del Poder Judicial</w:t>
      </w:r>
    </w:p>
    <w:p w14:paraId="1B73D40C" w14:textId="77777777" w:rsidR="00D91E1B" w:rsidRDefault="00D91E1B" w:rsidP="00D91E1B">
      <w:pPr>
        <w:pStyle w:val="TextoAbreviaturas"/>
      </w:pPr>
      <w:r>
        <w:t>LORE</w:t>
      </w:r>
      <w:r>
        <w:tab/>
        <w:t>Ley Orgánica de regulación de la eutanasia</w:t>
      </w:r>
    </w:p>
    <w:p w14:paraId="0D36854F" w14:textId="77777777" w:rsidR="00D91E1B" w:rsidRDefault="00D91E1B" w:rsidP="00D91E1B">
      <w:pPr>
        <w:pStyle w:val="TextoAbreviaturas"/>
      </w:pPr>
      <w:r>
        <w:t>LOREG</w:t>
      </w:r>
      <w:r>
        <w:tab/>
        <w:t>Ley Orgánica del régimen electoral general</w:t>
      </w:r>
    </w:p>
    <w:p w14:paraId="2B8CBF93" w14:textId="77777777" w:rsidR="00D91E1B" w:rsidRDefault="00D91E1B" w:rsidP="00D91E1B">
      <w:pPr>
        <w:pStyle w:val="TextoAbreviaturas"/>
      </w:pPr>
      <w:r>
        <w:t>LOTC</w:t>
      </w:r>
      <w:r>
        <w:tab/>
        <w:t>Ley Orgánica del Tribunal Constitucional</w:t>
      </w:r>
    </w:p>
    <w:p w14:paraId="6725F496" w14:textId="77777777" w:rsidR="00D91E1B" w:rsidRDefault="00D91E1B" w:rsidP="00D91E1B">
      <w:pPr>
        <w:pStyle w:val="TextoAbreviaturas"/>
      </w:pPr>
      <w:r>
        <w:t>LSV</w:t>
      </w:r>
      <w:r>
        <w:tab/>
        <w:t>Ley sobre tráfico, circulación de vehículos a motor y seguridad vial</w:t>
      </w:r>
    </w:p>
    <w:p w14:paraId="5E179A88" w14:textId="77777777" w:rsidR="00D91E1B" w:rsidRDefault="00D91E1B" w:rsidP="00D91E1B">
      <w:pPr>
        <w:pStyle w:val="TextoAbreviaturas"/>
      </w:pPr>
      <w:r>
        <w:t>Núm.</w:t>
      </w:r>
      <w:r>
        <w:tab/>
        <w:t>Número</w:t>
      </w:r>
    </w:p>
    <w:p w14:paraId="5B458001" w14:textId="77777777" w:rsidR="00D91E1B" w:rsidRDefault="00D91E1B" w:rsidP="00D91E1B">
      <w:pPr>
        <w:pStyle w:val="TextoAbreviaturas"/>
      </w:pPr>
      <w:r>
        <w:t>OIT</w:t>
      </w:r>
      <w:r>
        <w:tab/>
        <w:t>Organización Internacional del Trabajo</w:t>
      </w:r>
    </w:p>
    <w:p w14:paraId="28F6D495" w14:textId="77777777" w:rsidR="00D91E1B" w:rsidRDefault="00D91E1B" w:rsidP="00D91E1B">
      <w:pPr>
        <w:pStyle w:val="TextoAbreviaturas"/>
      </w:pPr>
      <w:r>
        <w:t>OMS</w:t>
      </w:r>
      <w:r>
        <w:tab/>
        <w:t>Organización Mundial de la Salud</w:t>
      </w:r>
    </w:p>
    <w:p w14:paraId="7AAD2C72" w14:textId="77777777" w:rsidR="00D91E1B" w:rsidRDefault="00D91E1B" w:rsidP="00D91E1B">
      <w:pPr>
        <w:pStyle w:val="TextoAbreviaturas"/>
      </w:pPr>
      <w:r>
        <w:t>ONCE</w:t>
      </w:r>
      <w:r>
        <w:tab/>
        <w:t>Organización Nacional de Ciegos Españoles</w:t>
      </w:r>
    </w:p>
    <w:p w14:paraId="3D590C53" w14:textId="77777777" w:rsidR="00D91E1B" w:rsidRDefault="00D91E1B" w:rsidP="00D91E1B">
      <w:pPr>
        <w:pStyle w:val="TextoAbreviaturas"/>
      </w:pPr>
      <w:r>
        <w:t>ONU</w:t>
      </w:r>
      <w:r>
        <w:tab/>
        <w:t>Organización de Naciones Unidas</w:t>
      </w:r>
    </w:p>
    <w:p w14:paraId="6E265A21" w14:textId="77777777" w:rsidR="00D91E1B" w:rsidRDefault="00D91E1B" w:rsidP="00D91E1B">
      <w:pPr>
        <w:pStyle w:val="TextoAbreviaturas"/>
      </w:pPr>
      <w:r>
        <w:t>PNV</w:t>
      </w:r>
      <w:r>
        <w:tab/>
        <w:t>Partido Nacionalista Vasco</w:t>
      </w:r>
    </w:p>
    <w:p w14:paraId="7E7B7A28" w14:textId="77777777" w:rsidR="00D91E1B" w:rsidRDefault="00D91E1B" w:rsidP="00D91E1B">
      <w:pPr>
        <w:pStyle w:val="TextoAbreviaturas"/>
      </w:pPr>
      <w:r>
        <w:t>PP</w:t>
      </w:r>
      <w:r>
        <w:tab/>
        <w:t>Partido Popular</w:t>
      </w:r>
    </w:p>
    <w:p w14:paraId="285BCEE3" w14:textId="77777777" w:rsidR="00D91E1B" w:rsidRDefault="00D91E1B" w:rsidP="00D91E1B">
      <w:pPr>
        <w:pStyle w:val="TextoAbreviaturas"/>
      </w:pPr>
      <w:r>
        <w:t>PSOE</w:t>
      </w:r>
      <w:r>
        <w:tab/>
        <w:t>Partido Socialista Obrero Español</w:t>
      </w:r>
    </w:p>
    <w:p w14:paraId="40A3C20F" w14:textId="77777777" w:rsidR="00D91E1B" w:rsidRDefault="00D91E1B" w:rsidP="00D91E1B">
      <w:pPr>
        <w:pStyle w:val="TextoAbreviaturas"/>
      </w:pPr>
      <w:r>
        <w:t>RCD</w:t>
      </w:r>
      <w:r>
        <w:tab/>
        <w:t>Reglamento del Congreso de los Diputados</w:t>
      </w:r>
    </w:p>
    <w:p w14:paraId="346BC11E" w14:textId="77777777" w:rsidR="00D91E1B" w:rsidRDefault="00D91E1B" w:rsidP="00D91E1B">
      <w:pPr>
        <w:pStyle w:val="TextoAbreviaturas"/>
      </w:pPr>
      <w:r>
        <w:t>RPC</w:t>
      </w:r>
      <w:r>
        <w:tab/>
        <w:t>Reglamento del Parlamento de Cataluña</w:t>
      </w:r>
    </w:p>
    <w:p w14:paraId="532FFB8E" w14:textId="77777777" w:rsidR="00D91E1B" w:rsidRDefault="00D91E1B" w:rsidP="00D91E1B">
      <w:pPr>
        <w:pStyle w:val="TextoAbreviaturas"/>
      </w:pPr>
      <w:r>
        <w:t>RPT</w:t>
      </w:r>
      <w:r>
        <w:tab/>
        <w:t>Relación de puestos de trabajo</w:t>
      </w:r>
    </w:p>
    <w:p w14:paraId="261C0BDA" w14:textId="77777777" w:rsidR="00D91E1B" w:rsidRDefault="00D91E1B" w:rsidP="00D91E1B">
      <w:pPr>
        <w:pStyle w:val="TextoAbreviaturas"/>
      </w:pPr>
      <w:r>
        <w:t>RS</w:t>
      </w:r>
      <w:r>
        <w:tab/>
        <w:t>Reglamento del Senado</w:t>
      </w:r>
    </w:p>
    <w:p w14:paraId="6321E305" w14:textId="77777777" w:rsidR="00D91E1B" w:rsidRDefault="00D91E1B" w:rsidP="00D91E1B">
      <w:pPr>
        <w:pStyle w:val="TextoAbreviaturas"/>
      </w:pPr>
      <w:r>
        <w:t>RTVE</w:t>
      </w:r>
      <w:r>
        <w:tab/>
        <w:t>Radio Televisión Española</w:t>
      </w:r>
    </w:p>
    <w:p w14:paraId="7A8C6F49" w14:textId="77777777" w:rsidR="00D91E1B" w:rsidRDefault="00D91E1B" w:rsidP="00D91E1B">
      <w:pPr>
        <w:pStyle w:val="TextoAbreviaturas"/>
      </w:pPr>
      <w:r>
        <w:t>SSTJUE</w:t>
      </w:r>
      <w:r>
        <w:tab/>
        <w:t>Sentencias del Tribunal de Justicia de la Unión Europea</w:t>
      </w:r>
    </w:p>
    <w:p w14:paraId="5FB906CB" w14:textId="77777777" w:rsidR="00D91E1B" w:rsidRDefault="00D91E1B" w:rsidP="00D91E1B">
      <w:pPr>
        <w:pStyle w:val="TextoAbreviaturas"/>
      </w:pPr>
      <w:r>
        <w:t>STC</w:t>
      </w:r>
      <w:r>
        <w:tab/>
        <w:t>Sentencia del Tribunal Constitucional</w:t>
      </w:r>
    </w:p>
    <w:p w14:paraId="2EE05954" w14:textId="77777777" w:rsidR="00D91E1B" w:rsidRDefault="00D91E1B" w:rsidP="00D91E1B">
      <w:pPr>
        <w:pStyle w:val="TextoAbreviaturas"/>
      </w:pPr>
      <w:r>
        <w:t>SSTC</w:t>
      </w:r>
      <w:r>
        <w:tab/>
        <w:t>Sentencias del Tribunal Constitucional</w:t>
      </w:r>
    </w:p>
    <w:p w14:paraId="7BA299D7" w14:textId="77777777" w:rsidR="00D91E1B" w:rsidRDefault="00D91E1B" w:rsidP="00D91E1B">
      <w:pPr>
        <w:pStyle w:val="TextoAbreviaturas"/>
      </w:pPr>
      <w:r>
        <w:t>STEDH</w:t>
      </w:r>
      <w:r>
        <w:tab/>
        <w:t>Sentencia del Tribunal Europeo de Derechos Humanos</w:t>
      </w:r>
    </w:p>
    <w:p w14:paraId="17EE76D2" w14:textId="77777777" w:rsidR="00D91E1B" w:rsidRDefault="00D91E1B" w:rsidP="00D91E1B">
      <w:pPr>
        <w:pStyle w:val="TextoAbreviaturas"/>
      </w:pPr>
      <w:r>
        <w:t>SSTEDH</w:t>
      </w:r>
      <w:r>
        <w:tab/>
        <w:t>Sentencias del Tribunal Europeo de Derechos Humanos</w:t>
      </w:r>
    </w:p>
    <w:p w14:paraId="32B90878" w14:textId="77777777" w:rsidR="00D91E1B" w:rsidRDefault="00D91E1B" w:rsidP="00D91E1B">
      <w:pPr>
        <w:pStyle w:val="TextoAbreviaturas"/>
      </w:pPr>
      <w:r>
        <w:t>STJCE</w:t>
      </w:r>
      <w:r>
        <w:tab/>
        <w:t>Sentencia del Tribunal de Justicia de las Comunidades Europeas</w:t>
      </w:r>
    </w:p>
    <w:p w14:paraId="3692A485" w14:textId="77777777" w:rsidR="00D91E1B" w:rsidRDefault="00D91E1B" w:rsidP="00D91E1B">
      <w:pPr>
        <w:pStyle w:val="TextoAbreviaturas"/>
      </w:pPr>
      <w:r>
        <w:t>STJUE</w:t>
      </w:r>
      <w:r>
        <w:tab/>
        <w:t>Sentencia del Tribunal de Justicia de la Unión Europea</w:t>
      </w:r>
    </w:p>
    <w:p w14:paraId="6B8CA98F" w14:textId="77777777" w:rsidR="00D91E1B" w:rsidRDefault="00D91E1B" w:rsidP="00D91E1B">
      <w:pPr>
        <w:pStyle w:val="TextoAbreviaturas"/>
      </w:pPr>
      <w:r>
        <w:t>STS</w:t>
      </w:r>
      <w:r>
        <w:tab/>
        <w:t>Sentencia del Tribunal Supremo</w:t>
      </w:r>
    </w:p>
    <w:p w14:paraId="1AF5D26B" w14:textId="77777777" w:rsidR="00D91E1B" w:rsidRDefault="00D91E1B" w:rsidP="00D91E1B">
      <w:pPr>
        <w:pStyle w:val="TextoAbreviaturas"/>
      </w:pPr>
      <w:r>
        <w:t>SSTS</w:t>
      </w:r>
      <w:r>
        <w:tab/>
        <w:t>Sentencias del Tribunal Supremo</w:t>
      </w:r>
    </w:p>
    <w:p w14:paraId="7BF71400" w14:textId="77777777" w:rsidR="00D91E1B" w:rsidRDefault="00D91E1B" w:rsidP="00D91E1B">
      <w:pPr>
        <w:pStyle w:val="TextoAbreviaturas"/>
      </w:pPr>
      <w:r>
        <w:t>TCE</w:t>
      </w:r>
      <w:r>
        <w:tab/>
        <w:t>Tratado constitutivo de la Comunidad Europea</w:t>
      </w:r>
    </w:p>
    <w:p w14:paraId="0BACB125" w14:textId="77777777" w:rsidR="00D91E1B" w:rsidRDefault="00D91E1B" w:rsidP="00D91E1B">
      <w:pPr>
        <w:pStyle w:val="TextoAbreviaturas"/>
      </w:pPr>
      <w:r>
        <w:t>TFUE</w:t>
      </w:r>
      <w:r>
        <w:tab/>
        <w:t>Tratado de funcionamiento de la Unión Europea</w:t>
      </w:r>
    </w:p>
    <w:p w14:paraId="10EEA563" w14:textId="77777777" w:rsidR="00D91E1B" w:rsidRDefault="00D91E1B" w:rsidP="00D91E1B">
      <w:pPr>
        <w:pStyle w:val="TextoAbreviaturas"/>
      </w:pPr>
      <w:r>
        <w:t>TRLEEP</w:t>
      </w:r>
      <w:r>
        <w:tab/>
        <w:t>Texto refundido de la Ley del estatuto del empleado público</w:t>
      </w:r>
    </w:p>
    <w:p w14:paraId="15461A0F" w14:textId="77777777" w:rsidR="00D91E1B" w:rsidRDefault="00D91E1B" w:rsidP="00D91E1B">
      <w:pPr>
        <w:pStyle w:val="TextoAbreviaturas"/>
      </w:pPr>
      <w:r>
        <w:t>TRLHL</w:t>
      </w:r>
      <w:r>
        <w:tab/>
        <w:t>Texto refundido de la Ley reguladora de las haciendas locales</w:t>
      </w:r>
    </w:p>
    <w:p w14:paraId="25ECE2C2" w14:textId="77777777" w:rsidR="00D91E1B" w:rsidRDefault="00D91E1B" w:rsidP="00D91E1B">
      <w:pPr>
        <w:pStyle w:val="TextoAbreviaturas"/>
      </w:pPr>
      <w:r>
        <w:t>TUE</w:t>
      </w:r>
      <w:r>
        <w:tab/>
        <w:t>Tratado de la Unión Europea</w:t>
      </w:r>
    </w:p>
    <w:p w14:paraId="67E28FB7" w14:textId="77777777" w:rsidR="00D91E1B" w:rsidRDefault="00D91E1B" w:rsidP="00D91E1B">
      <w:pPr>
        <w:pStyle w:val="TextoAbreviaturas"/>
      </w:pPr>
      <w:r>
        <w:t>UGT</w:t>
      </w:r>
      <w:r>
        <w:tab/>
        <w:t>Unión General de Trabajadores</w:t>
      </w:r>
    </w:p>
    <w:p w14:paraId="29E11C0C" w14:textId="77777777" w:rsidR="00D91E1B" w:rsidRDefault="00D91E1B" w:rsidP="00D91E1B">
      <w:pPr>
        <w:pStyle w:val="TextoAbreviaturas"/>
      </w:pPr>
      <w:r>
        <w:t>UNESCO</w:t>
      </w:r>
      <w:r>
        <w:tab/>
        <w:t>Organización de las Naciones Unidas para la educación, la ciencia y la cultura</w:t>
      </w:r>
    </w:p>
    <w:p w14:paraId="1C02D16B" w14:textId="77777777" w:rsidR="00D91E1B" w:rsidRDefault="00D91E1B" w:rsidP="00D91E1B">
      <w:pPr>
        <w:pStyle w:val="TextoAbreviaturas"/>
      </w:pPr>
      <w:r>
        <w:t>UNICEF</w:t>
      </w:r>
      <w:r>
        <w:tab/>
        <w:t>Fondo de las Naciones Unidas para la infancia</w:t>
      </w:r>
    </w:p>
    <w:p w14:paraId="12BAE89C" w14:textId="277A5B07" w:rsidR="00D91E1B" w:rsidRDefault="00D91E1B" w:rsidP="00D91E1B">
      <w:pPr>
        <w:pStyle w:val="TextoAbreviaturas"/>
      </w:pPr>
    </w:p>
    <w:sectPr w:rsidR="00D91E1B" w:rsidSect="007309D3">
      <w:headerReference w:type="even" r:id="rId8"/>
      <w:headerReference w:type="default" r:id="rId9"/>
      <w:footerReference w:type="even" r:id="rId10"/>
      <w:footerReference w:type="default" r:id="rId11"/>
      <w:headerReference w:type="first" r:id="rId12"/>
      <w:footerReference w:type="first" r:id="rId13"/>
      <w:pgSz w:w="11906" w:h="16838"/>
      <w:pgMar w:top="1559" w:right="1588" w:bottom="1843" w:left="158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A6283B" w14:textId="77777777" w:rsidR="008D479B" w:rsidRDefault="008D479B" w:rsidP="008D479B">
      <w:pPr>
        <w:spacing w:after="0" w:line="240" w:lineRule="auto"/>
      </w:pPr>
      <w:r>
        <w:separator/>
      </w:r>
    </w:p>
  </w:endnote>
  <w:endnote w:type="continuationSeparator" w:id="0">
    <w:p w14:paraId="019A0C27" w14:textId="77777777" w:rsidR="008D479B" w:rsidRDefault="008D479B" w:rsidP="008D47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Bodoni MT Condensed">
    <w:panose1 w:val="02070606080606020203"/>
    <w:charset w:val="00"/>
    <w:family w:val="roman"/>
    <w:pitch w:val="variable"/>
    <w:sig w:usb0="00000003" w:usb1="00000000" w:usb2="00000000" w:usb3="00000000" w:csb0="00000001" w:csb1="00000000"/>
  </w:font>
  <w:font w:name="Batang">
    <w:altName w:val="바탕"/>
    <w:panose1 w:val="02030600000101010101"/>
    <w:charset w:val="81"/>
    <w:family w:val="auto"/>
    <w:notTrueType/>
    <w:pitch w:val="fixed"/>
    <w:sig w:usb0="00000000"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B7EAB" w14:textId="77777777" w:rsidR="007309D3" w:rsidRDefault="007309D3" w:rsidP="007309D3">
    <w:pPr>
      <w:pStyle w:val="Piedepgina"/>
      <w:framePr w:wrap="around"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end"/>
    </w:r>
  </w:p>
  <w:p w14:paraId="1954E4C6" w14:textId="77777777" w:rsidR="008D479B" w:rsidRDefault="008D479B" w:rsidP="007309D3">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71B78" w14:textId="42A4F245" w:rsidR="007309D3" w:rsidRDefault="007309D3" w:rsidP="007309D3">
    <w:pPr>
      <w:pStyle w:val="Piedepgina"/>
      <w:framePr w:wrap="around"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2</w:t>
    </w:r>
    <w:r>
      <w:rPr>
        <w:rStyle w:val="Nmerodepgina"/>
      </w:rPr>
      <w:fldChar w:fldCharType="end"/>
    </w:r>
  </w:p>
  <w:p w14:paraId="71D1F4B7" w14:textId="77777777" w:rsidR="008D479B" w:rsidRDefault="008D479B" w:rsidP="007309D3">
    <w:pPr>
      <w:pStyle w:val="Piedepgin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EEEAC" w14:textId="77777777" w:rsidR="008D479B" w:rsidRDefault="008D479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AAFD5E" w14:textId="77777777" w:rsidR="008D479B" w:rsidRDefault="008D479B" w:rsidP="008D479B">
      <w:pPr>
        <w:spacing w:after="0" w:line="240" w:lineRule="auto"/>
      </w:pPr>
      <w:r>
        <w:separator/>
      </w:r>
    </w:p>
  </w:footnote>
  <w:footnote w:type="continuationSeparator" w:id="0">
    <w:p w14:paraId="4B0FDB0D" w14:textId="77777777" w:rsidR="008D479B" w:rsidRDefault="008D479B" w:rsidP="008D47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F219C" w14:textId="77777777" w:rsidR="008D479B" w:rsidRDefault="008D479B">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C44BC" w14:textId="35525EDC" w:rsidR="008D479B" w:rsidRDefault="007309D3" w:rsidP="007309D3">
    <w:pPr>
      <w:pStyle w:val="Cabecera"/>
    </w:pPr>
    <w:r>
      <w:t>JURISPRUDENCIA CONSTITUCIONAL - Tomo: julio a diciembre 2023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ED4FB" w14:textId="77777777" w:rsidR="008D479B" w:rsidRDefault="008D479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5B236E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9DC71C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A66FA0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DBC52D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730358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21885A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AB416B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C16941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8A627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62E6C58"/>
    <w:lvl w:ilvl="0">
      <w:start w:val="1"/>
      <w:numFmt w:val="bullet"/>
      <w:lvlText w:val=""/>
      <w:lvlJc w:val="left"/>
      <w:pPr>
        <w:tabs>
          <w:tab w:val="num" w:pos="360"/>
        </w:tabs>
        <w:ind w:left="360" w:hanging="360"/>
      </w:pPr>
      <w:rPr>
        <w:rFonts w:ascii="Symbol" w:hAnsi="Symbol" w:hint="default"/>
      </w:rPr>
    </w:lvl>
  </w:abstractNum>
  <w:num w:numId="1" w16cid:durableId="1473134698">
    <w:abstractNumId w:val="8"/>
  </w:num>
  <w:num w:numId="2" w16cid:durableId="1280992570">
    <w:abstractNumId w:val="3"/>
  </w:num>
  <w:num w:numId="3" w16cid:durableId="257715033">
    <w:abstractNumId w:val="2"/>
  </w:num>
  <w:num w:numId="4" w16cid:durableId="1427536279">
    <w:abstractNumId w:val="1"/>
  </w:num>
  <w:num w:numId="5" w16cid:durableId="650057618">
    <w:abstractNumId w:val="0"/>
  </w:num>
  <w:num w:numId="6" w16cid:durableId="1590887048">
    <w:abstractNumId w:val="9"/>
  </w:num>
  <w:num w:numId="7" w16cid:durableId="751856566">
    <w:abstractNumId w:val="7"/>
  </w:num>
  <w:num w:numId="8" w16cid:durableId="292952028">
    <w:abstractNumId w:val="6"/>
  </w:num>
  <w:num w:numId="9" w16cid:durableId="701594782">
    <w:abstractNumId w:val="5"/>
  </w:num>
  <w:num w:numId="10" w16cid:durableId="1607813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ttachedTemplate r:id="rId1"/>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B2C"/>
    <w:rsid w:val="003508CA"/>
    <w:rsid w:val="007309D3"/>
    <w:rsid w:val="00830B2C"/>
    <w:rsid w:val="008961E2"/>
    <w:rsid w:val="008D479B"/>
    <w:rsid w:val="00C73693"/>
    <w:rsid w:val="00D91E1B"/>
    <w:rsid w:val="00DA359F"/>
    <w:rsid w:val="00E1708A"/>
    <w:rsid w:val="00F6477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91B382"/>
  <w15:chartTrackingRefBased/>
  <w15:docId w15:val="{5D4D0421-C58D-4891-A9A9-DF720E753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0B2C"/>
    <w:pPr>
      <w:spacing w:after="200" w:line="276" w:lineRule="auto"/>
    </w:pPr>
    <w:rPr>
      <w:kern w:val="0"/>
      <w:sz w:val="22"/>
      <w:szCs w:val="22"/>
      <w14:ligatures w14:val="none"/>
    </w:rPr>
  </w:style>
  <w:style w:type="paragraph" w:styleId="Ttulo1">
    <w:name w:val="heading 1"/>
    <w:basedOn w:val="Normal"/>
    <w:next w:val="Normal"/>
    <w:link w:val="Ttulo1Car"/>
    <w:uiPriority w:val="9"/>
    <w:rsid w:val="00830B2C"/>
    <w:pPr>
      <w:keepNext/>
      <w:keepLines/>
      <w:spacing w:before="480" w:after="0" w:line="240" w:lineRule="auto"/>
      <w:jc w:val="both"/>
      <w:outlineLvl w:val="0"/>
    </w:pPr>
    <w:rPr>
      <w:rFonts w:asciiTheme="majorHAnsi" w:eastAsiaTheme="majorEastAsia" w:hAnsiTheme="majorHAnsi" w:cstheme="majorBidi"/>
      <w:b/>
      <w:bCs/>
      <w:color w:val="0F4761" w:themeColor="accent1" w:themeShade="BF"/>
      <w:sz w:val="28"/>
      <w:szCs w:val="28"/>
      <w:lang w:eastAsia="es-ES"/>
    </w:rPr>
  </w:style>
  <w:style w:type="paragraph" w:styleId="Ttulo2">
    <w:name w:val="heading 2"/>
    <w:basedOn w:val="Normal"/>
    <w:next w:val="Normal"/>
    <w:link w:val="Ttulo2Car"/>
    <w:uiPriority w:val="9"/>
    <w:semiHidden/>
    <w:rsid w:val="00830B2C"/>
    <w:pPr>
      <w:keepNext/>
      <w:keepLines/>
      <w:spacing w:before="200" w:after="0" w:line="240" w:lineRule="auto"/>
      <w:jc w:val="both"/>
      <w:outlineLvl w:val="1"/>
    </w:pPr>
    <w:rPr>
      <w:rFonts w:asciiTheme="majorHAnsi" w:eastAsiaTheme="majorEastAsia" w:hAnsiTheme="majorHAnsi" w:cstheme="majorBidi"/>
      <w:b/>
      <w:bCs/>
      <w:color w:val="156082" w:themeColor="accent1"/>
      <w:sz w:val="26"/>
      <w:szCs w:val="26"/>
      <w:lang w:eastAsia="es-ES"/>
    </w:rPr>
  </w:style>
  <w:style w:type="paragraph" w:styleId="Ttulo3">
    <w:name w:val="heading 3"/>
    <w:basedOn w:val="Normal"/>
    <w:next w:val="Normal"/>
    <w:link w:val="Ttulo3Car"/>
    <w:uiPriority w:val="9"/>
    <w:semiHidden/>
    <w:unhideWhenUsed/>
    <w:qFormat/>
    <w:rsid w:val="00830B2C"/>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830B2C"/>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rsid w:val="00830B2C"/>
    <w:pPr>
      <w:keepNext/>
      <w:keepLines/>
      <w:spacing w:before="200" w:after="0" w:line="240" w:lineRule="auto"/>
      <w:jc w:val="both"/>
      <w:outlineLvl w:val="4"/>
    </w:pPr>
    <w:rPr>
      <w:rFonts w:asciiTheme="majorHAnsi" w:eastAsiaTheme="majorEastAsia" w:hAnsiTheme="majorHAnsi" w:cstheme="majorBidi"/>
      <w:color w:val="0A2F40" w:themeColor="accent1" w:themeShade="7F"/>
      <w:sz w:val="24"/>
      <w:szCs w:val="24"/>
      <w:lang w:eastAsia="es-ES"/>
    </w:rPr>
  </w:style>
  <w:style w:type="paragraph" w:styleId="Ttulo6">
    <w:name w:val="heading 6"/>
    <w:basedOn w:val="Normal"/>
    <w:next w:val="Normal"/>
    <w:link w:val="Ttulo6Car"/>
    <w:uiPriority w:val="9"/>
    <w:semiHidden/>
    <w:unhideWhenUsed/>
    <w:qFormat/>
    <w:rsid w:val="00830B2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qFormat/>
    <w:rsid w:val="00830B2C"/>
    <w:pPr>
      <w:keepNext/>
      <w:keepLines/>
      <w:spacing w:before="200" w:after="0" w:line="240" w:lineRule="auto"/>
      <w:jc w:val="both"/>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qFormat/>
    <w:rsid w:val="00830B2C"/>
    <w:pPr>
      <w:keepNext/>
      <w:keepLines/>
      <w:spacing w:before="200" w:after="0" w:line="240" w:lineRule="auto"/>
      <w:jc w:val="both"/>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qFormat/>
    <w:rsid w:val="00830B2C"/>
    <w:pPr>
      <w:keepNext/>
      <w:keepLines/>
      <w:spacing w:before="200" w:after="0" w:line="240" w:lineRule="auto"/>
      <w:jc w:val="both"/>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rsid w:val="00830B2C"/>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rsid w:val="00830B2C"/>
  </w:style>
  <w:style w:type="character" w:customStyle="1" w:styleId="Ttulo1Car">
    <w:name w:val="Título 1 Car"/>
    <w:basedOn w:val="Fuentedeprrafopredeter"/>
    <w:link w:val="Ttulo1"/>
    <w:uiPriority w:val="9"/>
    <w:rsid w:val="00830B2C"/>
    <w:rPr>
      <w:rFonts w:asciiTheme="majorHAnsi" w:eastAsiaTheme="majorEastAsia" w:hAnsiTheme="majorHAnsi" w:cstheme="majorBidi"/>
      <w:b/>
      <w:bCs/>
      <w:color w:val="0F4761" w:themeColor="accent1" w:themeShade="BF"/>
      <w:kern w:val="0"/>
      <w:sz w:val="28"/>
      <w:szCs w:val="28"/>
      <w:lang w:eastAsia="es-ES"/>
      <w14:ligatures w14:val="none"/>
    </w:rPr>
  </w:style>
  <w:style w:type="character" w:customStyle="1" w:styleId="Ttulo2Car">
    <w:name w:val="Título 2 Car"/>
    <w:basedOn w:val="Fuentedeprrafopredeter"/>
    <w:link w:val="Ttulo2"/>
    <w:uiPriority w:val="9"/>
    <w:semiHidden/>
    <w:rsid w:val="00830B2C"/>
    <w:rPr>
      <w:rFonts w:asciiTheme="majorHAnsi" w:eastAsiaTheme="majorEastAsia" w:hAnsiTheme="majorHAnsi" w:cstheme="majorBidi"/>
      <w:b/>
      <w:bCs/>
      <w:color w:val="156082" w:themeColor="accent1"/>
      <w:kern w:val="0"/>
      <w:sz w:val="26"/>
      <w:szCs w:val="26"/>
      <w:lang w:eastAsia="es-ES"/>
      <w14:ligatures w14:val="none"/>
    </w:rPr>
  </w:style>
  <w:style w:type="character" w:customStyle="1" w:styleId="Ttulo3Car">
    <w:name w:val="Título 3 Car"/>
    <w:basedOn w:val="Fuentedeprrafopredeter"/>
    <w:link w:val="Ttulo3"/>
    <w:uiPriority w:val="9"/>
    <w:semiHidden/>
    <w:rsid w:val="00830B2C"/>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830B2C"/>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830B2C"/>
    <w:rPr>
      <w:rFonts w:asciiTheme="majorHAnsi" w:eastAsiaTheme="majorEastAsia" w:hAnsiTheme="majorHAnsi" w:cstheme="majorBidi"/>
      <w:color w:val="0A2F40" w:themeColor="accent1" w:themeShade="7F"/>
      <w:kern w:val="0"/>
      <w:lang w:eastAsia="es-ES"/>
      <w14:ligatures w14:val="none"/>
    </w:rPr>
  </w:style>
  <w:style w:type="character" w:customStyle="1" w:styleId="Ttulo6Car">
    <w:name w:val="Título 6 Car"/>
    <w:basedOn w:val="Fuentedeprrafopredeter"/>
    <w:link w:val="Ttulo6"/>
    <w:uiPriority w:val="9"/>
    <w:semiHidden/>
    <w:rsid w:val="00830B2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30B2C"/>
    <w:rPr>
      <w:rFonts w:asciiTheme="majorHAnsi" w:eastAsiaTheme="majorEastAsia" w:hAnsiTheme="majorHAnsi" w:cstheme="majorBidi"/>
      <w:i/>
      <w:iCs/>
      <w:color w:val="404040" w:themeColor="text1" w:themeTint="BF"/>
      <w:kern w:val="0"/>
      <w:sz w:val="22"/>
      <w:szCs w:val="22"/>
      <w14:ligatures w14:val="none"/>
    </w:rPr>
  </w:style>
  <w:style w:type="character" w:customStyle="1" w:styleId="Ttulo8Car">
    <w:name w:val="Título 8 Car"/>
    <w:basedOn w:val="Fuentedeprrafopredeter"/>
    <w:link w:val="Ttulo8"/>
    <w:uiPriority w:val="9"/>
    <w:semiHidden/>
    <w:rsid w:val="00830B2C"/>
    <w:rPr>
      <w:rFonts w:asciiTheme="majorHAnsi" w:eastAsiaTheme="majorEastAsia" w:hAnsiTheme="majorHAnsi" w:cstheme="majorBidi"/>
      <w:color w:val="404040" w:themeColor="text1" w:themeTint="BF"/>
      <w:kern w:val="0"/>
      <w:sz w:val="20"/>
      <w:szCs w:val="20"/>
      <w14:ligatures w14:val="none"/>
    </w:rPr>
  </w:style>
  <w:style w:type="character" w:customStyle="1" w:styleId="Ttulo9Car">
    <w:name w:val="Título 9 Car"/>
    <w:basedOn w:val="Fuentedeprrafopredeter"/>
    <w:link w:val="Ttulo9"/>
    <w:uiPriority w:val="9"/>
    <w:semiHidden/>
    <w:rsid w:val="00830B2C"/>
    <w:rPr>
      <w:rFonts w:asciiTheme="majorHAnsi" w:eastAsiaTheme="majorEastAsia" w:hAnsiTheme="majorHAnsi" w:cstheme="majorBidi"/>
      <w:i/>
      <w:iCs/>
      <w:color w:val="404040" w:themeColor="text1" w:themeTint="BF"/>
      <w:kern w:val="0"/>
      <w:sz w:val="20"/>
      <w:szCs w:val="20"/>
      <w14:ligatures w14:val="none"/>
    </w:rPr>
  </w:style>
  <w:style w:type="paragraph" w:styleId="Ttulo">
    <w:name w:val="Title"/>
    <w:basedOn w:val="Normal"/>
    <w:next w:val="Normal"/>
    <w:link w:val="TtuloCar"/>
    <w:uiPriority w:val="10"/>
    <w:qFormat/>
    <w:rsid w:val="00830B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830B2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830B2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830B2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30B2C"/>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830B2C"/>
    <w:rPr>
      <w:i/>
      <w:iCs/>
      <w:color w:val="404040" w:themeColor="text1" w:themeTint="BF"/>
      <w:kern w:val="0"/>
      <w:sz w:val="22"/>
      <w:szCs w:val="22"/>
      <w14:ligatures w14:val="none"/>
    </w:rPr>
  </w:style>
  <w:style w:type="paragraph" w:styleId="Prrafodelista">
    <w:name w:val="List Paragraph"/>
    <w:basedOn w:val="Normal"/>
    <w:uiPriority w:val="34"/>
    <w:qFormat/>
    <w:rsid w:val="00830B2C"/>
    <w:pPr>
      <w:ind w:left="720"/>
      <w:contextualSpacing/>
    </w:pPr>
  </w:style>
  <w:style w:type="character" w:styleId="nfasisintenso">
    <w:name w:val="Intense Emphasis"/>
    <w:basedOn w:val="Fuentedeprrafopredeter"/>
    <w:uiPriority w:val="21"/>
    <w:qFormat/>
    <w:rsid w:val="00830B2C"/>
    <w:rPr>
      <w:i/>
      <w:iCs/>
      <w:color w:val="0F4761" w:themeColor="accent1" w:themeShade="BF"/>
    </w:rPr>
  </w:style>
  <w:style w:type="paragraph" w:styleId="Citadestacada">
    <w:name w:val="Intense Quote"/>
    <w:basedOn w:val="Normal"/>
    <w:next w:val="Normal"/>
    <w:link w:val="CitadestacadaCar"/>
    <w:uiPriority w:val="30"/>
    <w:qFormat/>
    <w:rsid w:val="00830B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830B2C"/>
    <w:rPr>
      <w:i/>
      <w:iCs/>
      <w:color w:val="0F4761" w:themeColor="accent1" w:themeShade="BF"/>
    </w:rPr>
  </w:style>
  <w:style w:type="character" w:styleId="Referenciaintensa">
    <w:name w:val="Intense Reference"/>
    <w:basedOn w:val="Fuentedeprrafopredeter"/>
    <w:uiPriority w:val="32"/>
    <w:qFormat/>
    <w:rsid w:val="00830B2C"/>
    <w:rPr>
      <w:b/>
      <w:bCs/>
      <w:smallCaps/>
      <w:color w:val="0F4761" w:themeColor="accent1" w:themeShade="BF"/>
      <w:spacing w:val="5"/>
    </w:rPr>
  </w:style>
  <w:style w:type="paragraph" w:styleId="Sinespaciado">
    <w:name w:val="No Spacing"/>
    <w:uiPriority w:val="1"/>
    <w:rsid w:val="00830B2C"/>
    <w:pPr>
      <w:spacing w:after="0" w:line="240" w:lineRule="auto"/>
    </w:pPr>
    <w:rPr>
      <w:kern w:val="0"/>
      <w:sz w:val="22"/>
      <w:szCs w:val="22"/>
      <w14:ligatures w14:val="none"/>
    </w:rPr>
  </w:style>
  <w:style w:type="paragraph" w:styleId="Textocomentario">
    <w:name w:val="annotation text"/>
    <w:basedOn w:val="Normal"/>
    <w:link w:val="TextocomentarioCar"/>
    <w:uiPriority w:val="99"/>
    <w:semiHidden/>
    <w:rsid w:val="00830B2C"/>
    <w:pPr>
      <w:spacing w:after="0" w:line="240" w:lineRule="auto"/>
      <w:jc w:val="both"/>
    </w:pPr>
    <w:rPr>
      <w:rFonts w:ascii="Times New Roman" w:eastAsia="Times New Roman" w:hAnsi="Times New Roman" w:cs="Times New Roman"/>
      <w:sz w:val="20"/>
      <w:szCs w:val="20"/>
      <w:lang w:eastAsia="es-ES"/>
    </w:rPr>
  </w:style>
  <w:style w:type="character" w:customStyle="1" w:styleId="TextocomentarioCar">
    <w:name w:val="Texto comentario Car"/>
    <w:basedOn w:val="Fuentedeprrafopredeter"/>
    <w:link w:val="Textocomentario"/>
    <w:uiPriority w:val="99"/>
    <w:semiHidden/>
    <w:rsid w:val="00830B2C"/>
    <w:rPr>
      <w:rFonts w:ascii="Times New Roman" w:eastAsia="Times New Roman" w:hAnsi="Times New Roman" w:cs="Times New Roman"/>
      <w:kern w:val="0"/>
      <w:sz w:val="20"/>
      <w:szCs w:val="20"/>
      <w:lang w:eastAsia="es-ES"/>
      <w14:ligatures w14:val="none"/>
    </w:rPr>
  </w:style>
  <w:style w:type="paragraph" w:styleId="Continuarlista4">
    <w:name w:val="List Continue 4"/>
    <w:basedOn w:val="Normal"/>
    <w:uiPriority w:val="99"/>
    <w:semiHidden/>
    <w:rsid w:val="00830B2C"/>
    <w:pPr>
      <w:spacing w:after="120" w:line="240" w:lineRule="auto"/>
      <w:ind w:left="1132"/>
      <w:contextualSpacing/>
      <w:jc w:val="both"/>
    </w:pPr>
    <w:rPr>
      <w:rFonts w:ascii="Times New Roman" w:eastAsia="Times New Roman" w:hAnsi="Times New Roman" w:cs="Times New Roman"/>
      <w:sz w:val="24"/>
      <w:szCs w:val="24"/>
      <w:lang w:eastAsia="es-ES"/>
    </w:rPr>
  </w:style>
  <w:style w:type="paragraph" w:customStyle="1" w:styleId="TtuloResolucin">
    <w:name w:val="Título Resolución"/>
    <w:basedOn w:val="Normal"/>
    <w:link w:val="TtuloResolucinCar"/>
    <w:qFormat/>
    <w:rsid w:val="00830B2C"/>
    <w:pPr>
      <w:spacing w:after="0" w:line="240" w:lineRule="auto"/>
      <w:jc w:val="center"/>
    </w:pPr>
    <w:rPr>
      <w:rFonts w:ascii="Times New Roman" w:eastAsia="Times New Roman" w:hAnsi="Times New Roman" w:cs="Times New Roman"/>
      <w:b/>
      <w:sz w:val="24"/>
      <w:szCs w:val="24"/>
      <w:lang w:eastAsia="es-ES"/>
    </w:rPr>
  </w:style>
  <w:style w:type="paragraph" w:customStyle="1" w:styleId="TtuloBOE">
    <w:name w:val="Título BOE"/>
    <w:basedOn w:val="Normal"/>
    <w:link w:val="TtuloBOECar"/>
    <w:qFormat/>
    <w:rsid w:val="00830B2C"/>
    <w:pPr>
      <w:spacing w:after="0" w:line="240" w:lineRule="auto"/>
      <w:jc w:val="center"/>
    </w:pPr>
    <w:rPr>
      <w:rFonts w:ascii="Times New Roman" w:eastAsia="Times New Roman" w:hAnsi="Times New Roman" w:cs="Times New Roman"/>
      <w:i/>
      <w:sz w:val="24"/>
      <w:szCs w:val="24"/>
      <w:lang w:eastAsia="es-ES"/>
    </w:rPr>
  </w:style>
  <w:style w:type="character" w:customStyle="1" w:styleId="TtuloResolucinCar">
    <w:name w:val="Título Resolución Car"/>
    <w:basedOn w:val="Fuentedeprrafopredeter"/>
    <w:link w:val="TtuloResolucin"/>
    <w:rsid w:val="00830B2C"/>
    <w:rPr>
      <w:rFonts w:ascii="Times New Roman" w:eastAsia="Times New Roman" w:hAnsi="Times New Roman" w:cs="Times New Roman"/>
      <w:b/>
      <w:kern w:val="0"/>
      <w:lang w:eastAsia="es-ES"/>
      <w14:ligatures w14:val="none"/>
    </w:rPr>
  </w:style>
  <w:style w:type="character" w:customStyle="1" w:styleId="TextoNormalCaracter">
    <w:name w:val="Texto Normal Caracter"/>
    <w:basedOn w:val="Fuentedeprrafopredeter"/>
    <w:uiPriority w:val="1"/>
    <w:qFormat/>
    <w:rsid w:val="00830B2C"/>
    <w:rPr>
      <w:rFonts w:ascii="Times New Roman" w:hAnsi="Times New Roman"/>
      <w:i w:val="0"/>
      <w:sz w:val="24"/>
    </w:rPr>
  </w:style>
  <w:style w:type="character" w:customStyle="1" w:styleId="TtuloBOECar">
    <w:name w:val="Título BOE Car"/>
    <w:basedOn w:val="Fuentedeprrafopredeter"/>
    <w:link w:val="TtuloBOE"/>
    <w:rsid w:val="00830B2C"/>
    <w:rPr>
      <w:rFonts w:ascii="Times New Roman" w:eastAsia="Times New Roman" w:hAnsi="Times New Roman" w:cs="Times New Roman"/>
      <w:i/>
      <w:kern w:val="0"/>
      <w:lang w:eastAsia="es-ES"/>
      <w14:ligatures w14:val="none"/>
    </w:rPr>
  </w:style>
  <w:style w:type="character" w:customStyle="1" w:styleId="TextoNormalCursivaCaracter">
    <w:name w:val="Texto Normal Cursiva Caracter"/>
    <w:basedOn w:val="TextoNormalCaracter"/>
    <w:uiPriority w:val="1"/>
    <w:qFormat/>
    <w:rsid w:val="00830B2C"/>
    <w:rPr>
      <w:rFonts w:ascii="Times New Roman" w:hAnsi="Times New Roman"/>
      <w:i/>
      <w:sz w:val="24"/>
    </w:rPr>
  </w:style>
  <w:style w:type="paragraph" w:customStyle="1" w:styleId="Extracto">
    <w:name w:val="Extracto"/>
    <w:basedOn w:val="Normal"/>
    <w:link w:val="ExtractoCar"/>
    <w:qFormat/>
    <w:rsid w:val="00830B2C"/>
    <w:pPr>
      <w:tabs>
        <w:tab w:val="left" w:pos="749"/>
      </w:tabs>
      <w:spacing w:after="0" w:line="240" w:lineRule="auto"/>
      <w:ind w:left="425" w:hanging="425"/>
      <w:jc w:val="both"/>
    </w:pPr>
    <w:rPr>
      <w:rFonts w:ascii="Times New Roman" w:eastAsia="Times New Roman" w:hAnsi="Times New Roman" w:cs="Times New Roman"/>
      <w:b/>
      <w:color w:val="000000"/>
      <w:sz w:val="24"/>
      <w:szCs w:val="24"/>
      <w:lang w:eastAsia="es-ES"/>
    </w:rPr>
  </w:style>
  <w:style w:type="character" w:customStyle="1" w:styleId="ExtractoCar">
    <w:name w:val="Extracto Car"/>
    <w:basedOn w:val="Fuentedeprrafopredeter"/>
    <w:link w:val="Extracto"/>
    <w:rsid w:val="00830B2C"/>
    <w:rPr>
      <w:rFonts w:ascii="Times New Roman" w:eastAsia="Times New Roman" w:hAnsi="Times New Roman" w:cs="Times New Roman"/>
      <w:b/>
      <w:color w:val="000000"/>
      <w:kern w:val="0"/>
      <w:lang w:eastAsia="es-ES"/>
      <w14:ligatures w14:val="none"/>
    </w:rPr>
  </w:style>
  <w:style w:type="paragraph" w:customStyle="1" w:styleId="TextoNormal">
    <w:name w:val="Texto Normal"/>
    <w:basedOn w:val="Normal"/>
    <w:link w:val="TextoNormalCar"/>
    <w:qFormat/>
    <w:rsid w:val="00830B2C"/>
    <w:pPr>
      <w:spacing w:after="120" w:line="240" w:lineRule="auto"/>
      <w:ind w:firstLine="284"/>
      <w:contextualSpacing/>
      <w:jc w:val="both"/>
    </w:pPr>
    <w:rPr>
      <w:rFonts w:ascii="Times New Roman" w:eastAsia="Times New Roman" w:hAnsi="Times New Roman" w:cs="Times New Roman"/>
      <w:sz w:val="24"/>
      <w:szCs w:val="24"/>
      <w:lang w:eastAsia="es-ES"/>
    </w:rPr>
  </w:style>
  <w:style w:type="paragraph" w:customStyle="1" w:styleId="TextoNormalCentrado">
    <w:name w:val="Texto Normal Centrado"/>
    <w:basedOn w:val="Normal"/>
    <w:link w:val="TextoNormalCentradoCar"/>
    <w:qFormat/>
    <w:rsid w:val="00830B2C"/>
    <w:pPr>
      <w:spacing w:after="0" w:line="240" w:lineRule="auto"/>
      <w:ind w:firstLine="283"/>
      <w:jc w:val="center"/>
    </w:pPr>
    <w:rPr>
      <w:rFonts w:ascii="Times New Roman" w:eastAsia="Times New Roman" w:hAnsi="Times New Roman" w:cs="Times New Roman"/>
      <w:sz w:val="24"/>
      <w:szCs w:val="24"/>
      <w:lang w:eastAsia="es-ES"/>
    </w:rPr>
  </w:style>
  <w:style w:type="character" w:customStyle="1" w:styleId="TextoNormalCar">
    <w:name w:val="Texto Normal Car"/>
    <w:basedOn w:val="Fuentedeprrafopredeter"/>
    <w:link w:val="TextoNormal"/>
    <w:rsid w:val="00830B2C"/>
    <w:rPr>
      <w:rFonts w:ascii="Times New Roman" w:eastAsia="Times New Roman" w:hAnsi="Times New Roman" w:cs="Times New Roman"/>
      <w:kern w:val="0"/>
      <w:lang w:eastAsia="es-ES"/>
      <w14:ligatures w14:val="none"/>
    </w:rPr>
  </w:style>
  <w:style w:type="character" w:customStyle="1" w:styleId="TextoNormalCentradoCar">
    <w:name w:val="Texto Normal Centrado Car"/>
    <w:basedOn w:val="Fuentedeprrafopredeter"/>
    <w:link w:val="TextoNormalCentrado"/>
    <w:rsid w:val="00830B2C"/>
    <w:rPr>
      <w:rFonts w:ascii="Times New Roman" w:eastAsia="Times New Roman" w:hAnsi="Times New Roman" w:cs="Times New Roman"/>
      <w:kern w:val="0"/>
      <w:lang w:eastAsia="es-ES"/>
      <w14:ligatures w14:val="none"/>
    </w:rPr>
  </w:style>
  <w:style w:type="paragraph" w:customStyle="1" w:styleId="TextoNormalNegritaCentrado">
    <w:name w:val="Texto Normal Negrita Centrado"/>
    <w:basedOn w:val="Normal"/>
    <w:link w:val="TextoNormalNegritaCentradoCar"/>
    <w:qFormat/>
    <w:rsid w:val="00830B2C"/>
    <w:pPr>
      <w:spacing w:after="0" w:line="240" w:lineRule="auto"/>
      <w:ind w:firstLine="283"/>
      <w:jc w:val="center"/>
    </w:pPr>
    <w:rPr>
      <w:rFonts w:ascii="Times New Roman" w:eastAsia="Times New Roman" w:hAnsi="Times New Roman" w:cs="Times New Roman"/>
      <w:b/>
      <w:sz w:val="26"/>
      <w:szCs w:val="24"/>
      <w:lang w:eastAsia="es-ES"/>
    </w:rPr>
  </w:style>
  <w:style w:type="character" w:customStyle="1" w:styleId="TextoNormalNegritaCentradoCar">
    <w:name w:val="Texto Normal Negrita Centrado Car"/>
    <w:basedOn w:val="Fuentedeprrafopredeter"/>
    <w:link w:val="TextoNormalNegritaCentrado"/>
    <w:rsid w:val="00830B2C"/>
    <w:rPr>
      <w:rFonts w:ascii="Times New Roman" w:eastAsia="Times New Roman" w:hAnsi="Times New Roman" w:cs="Times New Roman"/>
      <w:b/>
      <w:kern w:val="0"/>
      <w:sz w:val="26"/>
      <w:lang w:eastAsia="es-ES"/>
      <w14:ligatures w14:val="none"/>
    </w:rPr>
  </w:style>
  <w:style w:type="paragraph" w:customStyle="1" w:styleId="CabeceraApartado">
    <w:name w:val="Cabecera Apartado"/>
    <w:basedOn w:val="Normal"/>
    <w:link w:val="CabeceraApartadoCar"/>
    <w:qFormat/>
    <w:rsid w:val="00830B2C"/>
    <w:pPr>
      <w:spacing w:after="0" w:line="240" w:lineRule="auto"/>
      <w:ind w:firstLine="283"/>
      <w:jc w:val="center"/>
    </w:pPr>
    <w:rPr>
      <w:rFonts w:ascii="Times New Roman" w:eastAsia="Times New Roman" w:hAnsi="Times New Roman" w:cs="Times New Roman"/>
      <w:sz w:val="48"/>
      <w:szCs w:val="24"/>
      <w:lang w:eastAsia="es-ES"/>
    </w:rPr>
  </w:style>
  <w:style w:type="character" w:customStyle="1" w:styleId="CabeceraApartadoCar">
    <w:name w:val="Cabecera Apartado Car"/>
    <w:basedOn w:val="Fuentedeprrafopredeter"/>
    <w:link w:val="CabeceraApartado"/>
    <w:rsid w:val="00830B2C"/>
    <w:rPr>
      <w:rFonts w:ascii="Times New Roman" w:eastAsia="Times New Roman" w:hAnsi="Times New Roman" w:cs="Times New Roman"/>
      <w:kern w:val="0"/>
      <w:sz w:val="48"/>
      <w:lang w:eastAsia="es-ES"/>
      <w14:ligatures w14:val="none"/>
    </w:rPr>
  </w:style>
  <w:style w:type="paragraph" w:customStyle="1" w:styleId="CabeceraApartadoDerecha">
    <w:name w:val="Cabecera Apartado Derecha"/>
    <w:basedOn w:val="Normal"/>
    <w:link w:val="CabeceraApartadoDerechaCar"/>
    <w:qFormat/>
    <w:rsid w:val="00830B2C"/>
    <w:pPr>
      <w:spacing w:after="0" w:line="240" w:lineRule="auto"/>
      <w:ind w:left="283" w:right="90" w:hanging="283"/>
      <w:jc w:val="right"/>
    </w:pPr>
    <w:rPr>
      <w:rFonts w:ascii="Times New Roman" w:eastAsia="Times New Roman" w:hAnsi="Times New Roman" w:cs="Times New Roman"/>
      <w:sz w:val="48"/>
      <w:szCs w:val="24"/>
      <w:lang w:eastAsia="es-ES"/>
    </w:rPr>
  </w:style>
  <w:style w:type="paragraph" w:customStyle="1" w:styleId="EntradandiceSentencia">
    <w:name w:val="Entrada Índice Sentencia"/>
    <w:basedOn w:val="Normal"/>
    <w:link w:val="EntradandiceSentenciaCar"/>
    <w:qFormat/>
    <w:rsid w:val="00830B2C"/>
    <w:pPr>
      <w:keepNext/>
      <w:tabs>
        <w:tab w:val="right" w:leader="dot" w:pos="8080"/>
        <w:tab w:val="right" w:pos="8789"/>
      </w:tabs>
      <w:spacing w:after="0" w:line="240" w:lineRule="auto"/>
      <w:ind w:right="758"/>
      <w:jc w:val="both"/>
    </w:pPr>
    <w:rPr>
      <w:rFonts w:ascii="Times New Roman" w:eastAsia="Times New Roman" w:hAnsi="Times New Roman" w:cs="Times New Roman"/>
      <w:b/>
      <w:sz w:val="24"/>
      <w:szCs w:val="24"/>
      <w:lang w:eastAsia="es-ES"/>
    </w:rPr>
  </w:style>
  <w:style w:type="character" w:customStyle="1" w:styleId="CabeceraApartadoDerechaCar">
    <w:name w:val="Cabecera Apartado Derecha Car"/>
    <w:basedOn w:val="Fuentedeprrafopredeter"/>
    <w:link w:val="CabeceraApartadoDerecha"/>
    <w:rsid w:val="00830B2C"/>
    <w:rPr>
      <w:rFonts w:ascii="Times New Roman" w:eastAsia="Times New Roman" w:hAnsi="Times New Roman" w:cs="Times New Roman"/>
      <w:kern w:val="0"/>
      <w:sz w:val="48"/>
      <w:lang w:eastAsia="es-ES"/>
      <w14:ligatures w14:val="none"/>
    </w:rPr>
  </w:style>
  <w:style w:type="paragraph" w:customStyle="1" w:styleId="EntradandiceAuto">
    <w:name w:val="Entrada Índice Auto"/>
    <w:basedOn w:val="Normal"/>
    <w:link w:val="EntradandiceAutoCar"/>
    <w:qFormat/>
    <w:rsid w:val="00830B2C"/>
    <w:pPr>
      <w:tabs>
        <w:tab w:val="right" w:leader="dot" w:pos="8080"/>
        <w:tab w:val="right" w:pos="8789"/>
      </w:tabs>
      <w:spacing w:after="0" w:line="240" w:lineRule="auto"/>
      <w:ind w:left="284" w:right="758" w:hanging="284"/>
      <w:jc w:val="both"/>
    </w:pPr>
    <w:rPr>
      <w:rFonts w:ascii="Times New Roman" w:eastAsia="Times New Roman" w:hAnsi="Times New Roman" w:cs="Times New Roman"/>
      <w:sz w:val="24"/>
      <w:szCs w:val="24"/>
      <w:lang w:eastAsia="es-ES"/>
    </w:rPr>
  </w:style>
  <w:style w:type="character" w:customStyle="1" w:styleId="EntradandiceSentenciaCar">
    <w:name w:val="Entrada Índice Sentencia Car"/>
    <w:basedOn w:val="Fuentedeprrafopredeter"/>
    <w:link w:val="EntradandiceSentencia"/>
    <w:rsid w:val="00830B2C"/>
    <w:rPr>
      <w:rFonts w:ascii="Times New Roman" w:eastAsia="Times New Roman" w:hAnsi="Times New Roman" w:cs="Times New Roman"/>
      <w:b/>
      <w:kern w:val="0"/>
      <w:lang w:eastAsia="es-ES"/>
      <w14:ligatures w14:val="none"/>
    </w:rPr>
  </w:style>
  <w:style w:type="character" w:customStyle="1" w:styleId="EntradandiceAutoCar">
    <w:name w:val="Entrada Índice Auto Car"/>
    <w:basedOn w:val="Fuentedeprrafopredeter"/>
    <w:link w:val="EntradandiceAuto"/>
    <w:rsid w:val="00830B2C"/>
    <w:rPr>
      <w:rFonts w:ascii="Times New Roman" w:eastAsia="Times New Roman" w:hAnsi="Times New Roman" w:cs="Times New Roman"/>
      <w:kern w:val="0"/>
      <w:lang w:eastAsia="es-ES"/>
      <w14:ligatures w14:val="none"/>
    </w:rPr>
  </w:style>
  <w:style w:type="paragraph" w:customStyle="1" w:styleId="TtuloAbreviaturas">
    <w:name w:val="Título Abreviaturas"/>
    <w:basedOn w:val="Normal"/>
    <w:link w:val="TtuloAbreviaturasCar"/>
    <w:qFormat/>
    <w:rsid w:val="00830B2C"/>
    <w:pPr>
      <w:spacing w:after="0" w:line="240" w:lineRule="auto"/>
      <w:jc w:val="center"/>
    </w:pPr>
    <w:rPr>
      <w:rFonts w:ascii="Times New Roman" w:eastAsia="Times New Roman" w:hAnsi="Times New Roman" w:cs="Times New Roman"/>
      <w:sz w:val="32"/>
      <w:szCs w:val="32"/>
      <w:lang w:eastAsia="es-ES"/>
    </w:rPr>
  </w:style>
  <w:style w:type="character" w:customStyle="1" w:styleId="TtuloAbreviaturasCar">
    <w:name w:val="Título Abreviaturas Car"/>
    <w:basedOn w:val="Fuentedeprrafopredeter"/>
    <w:link w:val="TtuloAbreviaturas"/>
    <w:rsid w:val="00830B2C"/>
    <w:rPr>
      <w:rFonts w:ascii="Times New Roman" w:eastAsia="Times New Roman" w:hAnsi="Times New Roman" w:cs="Times New Roman"/>
      <w:kern w:val="0"/>
      <w:sz w:val="32"/>
      <w:szCs w:val="32"/>
      <w:lang w:eastAsia="es-ES"/>
      <w14:ligatures w14:val="none"/>
    </w:rPr>
  </w:style>
  <w:style w:type="paragraph" w:customStyle="1" w:styleId="ParrafoNormal">
    <w:name w:val="Parrafo Normal"/>
    <w:basedOn w:val="Normal"/>
    <w:link w:val="ParrafoNormalCar"/>
    <w:qFormat/>
    <w:rsid w:val="00830B2C"/>
    <w:pPr>
      <w:spacing w:after="0" w:line="240" w:lineRule="auto"/>
      <w:jc w:val="both"/>
    </w:pPr>
    <w:rPr>
      <w:rFonts w:ascii="Times New Roman" w:eastAsia="Times New Roman" w:hAnsi="Times New Roman" w:cs="Times New Roman"/>
      <w:sz w:val="24"/>
      <w:szCs w:val="24"/>
      <w:lang w:eastAsia="es-ES"/>
    </w:rPr>
  </w:style>
  <w:style w:type="paragraph" w:customStyle="1" w:styleId="TextoAbreviaturas">
    <w:name w:val="Texto Abreviaturas"/>
    <w:basedOn w:val="Normal"/>
    <w:link w:val="TextoAbreviaturasCar"/>
    <w:qFormat/>
    <w:rsid w:val="00830B2C"/>
    <w:pPr>
      <w:tabs>
        <w:tab w:val="left" w:pos="1680"/>
      </w:tabs>
      <w:spacing w:after="0" w:line="240" w:lineRule="auto"/>
      <w:ind w:left="1701" w:hanging="1341"/>
    </w:pPr>
    <w:rPr>
      <w:rFonts w:ascii="Times New Roman" w:eastAsia="Times New Roman" w:hAnsi="Times New Roman" w:cs="Times New Roman"/>
      <w:sz w:val="24"/>
      <w:szCs w:val="24"/>
      <w:lang w:eastAsia="es-ES"/>
    </w:rPr>
  </w:style>
  <w:style w:type="character" w:customStyle="1" w:styleId="TextoAbreviaturasCar">
    <w:name w:val="Texto Abreviaturas Car"/>
    <w:basedOn w:val="Fuentedeprrafopredeter"/>
    <w:link w:val="TextoAbreviaturas"/>
    <w:rsid w:val="00830B2C"/>
    <w:rPr>
      <w:rFonts w:ascii="Times New Roman" w:eastAsia="Times New Roman" w:hAnsi="Times New Roman" w:cs="Times New Roman"/>
      <w:kern w:val="0"/>
      <w:lang w:eastAsia="es-ES"/>
      <w14:ligatures w14:val="none"/>
    </w:rPr>
  </w:style>
  <w:style w:type="paragraph" w:customStyle="1" w:styleId="Ttulondice">
    <w:name w:val="Título Índice"/>
    <w:basedOn w:val="Normal"/>
    <w:link w:val="TtulondiceCar"/>
    <w:qFormat/>
    <w:rsid w:val="00830B2C"/>
    <w:pPr>
      <w:spacing w:after="0" w:line="240" w:lineRule="auto"/>
      <w:ind w:left="283" w:hanging="283"/>
      <w:jc w:val="right"/>
    </w:pPr>
    <w:rPr>
      <w:rFonts w:ascii="Times New Roman" w:eastAsia="Times New Roman" w:hAnsi="Times New Roman" w:cs="Times New Roman"/>
      <w:sz w:val="40"/>
      <w:szCs w:val="24"/>
      <w:lang w:eastAsia="es-ES"/>
    </w:rPr>
  </w:style>
  <w:style w:type="paragraph" w:customStyle="1" w:styleId="TextoNormalNegritaCursiva">
    <w:name w:val="Texto Normal Negrita Cursiva"/>
    <w:basedOn w:val="Normal"/>
    <w:link w:val="TextoNormalNegritaCursivaCar"/>
    <w:qFormat/>
    <w:rsid w:val="00830B2C"/>
    <w:pPr>
      <w:spacing w:after="0" w:line="240" w:lineRule="auto"/>
      <w:jc w:val="both"/>
    </w:pPr>
    <w:rPr>
      <w:rFonts w:ascii="Times New Roman" w:eastAsia="Times New Roman" w:hAnsi="Times New Roman" w:cs="Times New Roman"/>
      <w:b/>
      <w:i/>
      <w:sz w:val="24"/>
      <w:szCs w:val="24"/>
      <w:lang w:eastAsia="es-ES"/>
    </w:rPr>
  </w:style>
  <w:style w:type="character" w:customStyle="1" w:styleId="TtulondiceCar">
    <w:name w:val="Título Índice Car"/>
    <w:basedOn w:val="Fuentedeprrafopredeter"/>
    <w:link w:val="Ttulondice"/>
    <w:rsid w:val="00830B2C"/>
    <w:rPr>
      <w:rFonts w:ascii="Times New Roman" w:eastAsia="Times New Roman" w:hAnsi="Times New Roman" w:cs="Times New Roman"/>
      <w:kern w:val="0"/>
      <w:sz w:val="40"/>
      <w:lang w:eastAsia="es-ES"/>
      <w14:ligatures w14:val="none"/>
    </w:rPr>
  </w:style>
  <w:style w:type="character" w:customStyle="1" w:styleId="TextoNormalNegritaCaracter">
    <w:name w:val="Texto Normal Negrita Caracter"/>
    <w:basedOn w:val="Fuentedeprrafopredeter"/>
    <w:uiPriority w:val="1"/>
    <w:qFormat/>
    <w:rsid w:val="00830B2C"/>
    <w:rPr>
      <w:rFonts w:ascii="Times New Roman" w:hAnsi="Times New Roman"/>
      <w:b/>
      <w:sz w:val="24"/>
    </w:rPr>
  </w:style>
  <w:style w:type="character" w:customStyle="1" w:styleId="TextoNormalNegritaCursivaCar">
    <w:name w:val="Texto Normal Negrita Cursiva Car"/>
    <w:basedOn w:val="Fuentedeprrafopredeter"/>
    <w:link w:val="TextoNormalNegritaCursiva"/>
    <w:rsid w:val="00830B2C"/>
    <w:rPr>
      <w:rFonts w:ascii="Times New Roman" w:eastAsia="Times New Roman" w:hAnsi="Times New Roman" w:cs="Times New Roman"/>
      <w:b/>
      <w:i/>
      <w:kern w:val="0"/>
      <w:lang w:eastAsia="es-ES"/>
      <w14:ligatures w14:val="none"/>
    </w:rPr>
  </w:style>
  <w:style w:type="paragraph" w:customStyle="1" w:styleId="TextoNormalNegrita">
    <w:name w:val="Texto Normal Negrita"/>
    <w:basedOn w:val="Normal"/>
    <w:link w:val="TextoNormalNegritaCar"/>
    <w:qFormat/>
    <w:rsid w:val="00830B2C"/>
    <w:pPr>
      <w:spacing w:after="0" w:line="240" w:lineRule="auto"/>
      <w:jc w:val="both"/>
    </w:pPr>
    <w:rPr>
      <w:rFonts w:ascii="Times New Roman" w:eastAsia="Times New Roman" w:hAnsi="Times New Roman" w:cs="Times New Roman"/>
      <w:b/>
      <w:sz w:val="24"/>
      <w:szCs w:val="24"/>
      <w:lang w:eastAsia="es-ES"/>
    </w:rPr>
  </w:style>
  <w:style w:type="character" w:customStyle="1" w:styleId="TextoNormalNegritaCar">
    <w:name w:val="Texto Normal Negrita Car"/>
    <w:basedOn w:val="Fuentedeprrafopredeter"/>
    <w:link w:val="TextoNormalNegrita"/>
    <w:rsid w:val="00830B2C"/>
    <w:rPr>
      <w:rFonts w:ascii="Times New Roman" w:eastAsia="Times New Roman" w:hAnsi="Times New Roman" w:cs="Times New Roman"/>
      <w:b/>
      <w:kern w:val="0"/>
      <w:lang w:eastAsia="es-ES"/>
      <w14:ligatures w14:val="none"/>
    </w:rPr>
  </w:style>
  <w:style w:type="paragraph" w:customStyle="1" w:styleId="IndiceNivel1">
    <w:name w:val="Indice Nivel 1"/>
    <w:basedOn w:val="Normal"/>
    <w:link w:val="IndiceNivel1Car"/>
    <w:qFormat/>
    <w:rsid w:val="00830B2C"/>
    <w:pPr>
      <w:tabs>
        <w:tab w:val="left" w:pos="720"/>
        <w:tab w:val="right" w:leader="dot" w:pos="8080"/>
        <w:tab w:val="right" w:pos="8789"/>
      </w:tabs>
      <w:spacing w:after="0" w:line="240" w:lineRule="auto"/>
      <w:ind w:left="360" w:right="758"/>
      <w:jc w:val="both"/>
    </w:pPr>
    <w:rPr>
      <w:rFonts w:ascii="Times New Roman" w:eastAsia="Times New Roman" w:hAnsi="Times New Roman" w:cs="Times New Roman"/>
      <w:sz w:val="24"/>
      <w:szCs w:val="24"/>
      <w:lang w:eastAsia="es-ES"/>
    </w:rPr>
  </w:style>
  <w:style w:type="paragraph" w:customStyle="1" w:styleId="IndiceNivel2">
    <w:name w:val="Indice Nivel 2"/>
    <w:basedOn w:val="Normal"/>
    <w:link w:val="IndiceNivel2Car"/>
    <w:qFormat/>
    <w:rsid w:val="00830B2C"/>
    <w:pPr>
      <w:tabs>
        <w:tab w:val="right" w:leader="dot" w:pos="1080"/>
        <w:tab w:val="right" w:leader="dot" w:pos="8080"/>
        <w:tab w:val="right" w:pos="8789"/>
      </w:tabs>
      <w:spacing w:after="0" w:line="240" w:lineRule="auto"/>
      <w:ind w:left="708" w:right="758"/>
      <w:jc w:val="both"/>
    </w:pPr>
    <w:rPr>
      <w:rFonts w:ascii="Times New Roman" w:eastAsia="Times New Roman" w:hAnsi="Times New Roman" w:cs="Times New Roman"/>
      <w:sz w:val="24"/>
      <w:szCs w:val="24"/>
      <w:lang w:eastAsia="es-ES"/>
    </w:rPr>
  </w:style>
  <w:style w:type="character" w:customStyle="1" w:styleId="IndiceNivel1Car">
    <w:name w:val="Indice Nivel 1 Car"/>
    <w:basedOn w:val="Fuentedeprrafopredeter"/>
    <w:link w:val="IndiceNivel1"/>
    <w:rsid w:val="00830B2C"/>
    <w:rPr>
      <w:rFonts w:ascii="Times New Roman" w:eastAsia="Times New Roman" w:hAnsi="Times New Roman" w:cs="Times New Roman"/>
      <w:kern w:val="0"/>
      <w:lang w:eastAsia="es-ES"/>
      <w14:ligatures w14:val="none"/>
    </w:rPr>
  </w:style>
  <w:style w:type="character" w:customStyle="1" w:styleId="IndiceNivel2Car">
    <w:name w:val="Indice Nivel 2 Car"/>
    <w:basedOn w:val="Fuentedeprrafopredeter"/>
    <w:link w:val="IndiceNivel2"/>
    <w:rsid w:val="00830B2C"/>
    <w:rPr>
      <w:rFonts w:ascii="Times New Roman" w:eastAsia="Times New Roman" w:hAnsi="Times New Roman" w:cs="Times New Roman"/>
      <w:kern w:val="0"/>
      <w:lang w:eastAsia="es-ES"/>
      <w14:ligatures w14:val="none"/>
    </w:rPr>
  </w:style>
  <w:style w:type="paragraph" w:customStyle="1" w:styleId="SntesisDescriptiva">
    <w:name w:val="Síntesis Descriptiva"/>
    <w:basedOn w:val="ParrafoNormal"/>
    <w:link w:val="SntesisDescriptivaCar"/>
    <w:qFormat/>
    <w:rsid w:val="00830B2C"/>
  </w:style>
  <w:style w:type="paragraph" w:customStyle="1" w:styleId="SntesisAnaltica">
    <w:name w:val="Síntesis Analítica"/>
    <w:basedOn w:val="ParrafoNormal"/>
    <w:link w:val="SntesisAnalticaCar"/>
    <w:qFormat/>
    <w:rsid w:val="00830B2C"/>
    <w:rPr>
      <w:i/>
    </w:rPr>
  </w:style>
  <w:style w:type="character" w:customStyle="1" w:styleId="ParrafoNormalCar">
    <w:name w:val="Parrafo Normal Car"/>
    <w:basedOn w:val="Fuentedeprrafopredeter"/>
    <w:link w:val="ParrafoNormal"/>
    <w:rsid w:val="00830B2C"/>
    <w:rPr>
      <w:rFonts w:ascii="Times New Roman" w:eastAsia="Times New Roman" w:hAnsi="Times New Roman" w:cs="Times New Roman"/>
      <w:kern w:val="0"/>
      <w:lang w:eastAsia="es-ES"/>
      <w14:ligatures w14:val="none"/>
    </w:rPr>
  </w:style>
  <w:style w:type="character" w:customStyle="1" w:styleId="SntesisDescriptivaCar">
    <w:name w:val="Síntesis Descriptiva Car"/>
    <w:basedOn w:val="ParrafoNormalCar"/>
    <w:link w:val="SntesisDescriptiva"/>
    <w:rsid w:val="00830B2C"/>
    <w:rPr>
      <w:rFonts w:ascii="Times New Roman" w:eastAsia="Times New Roman" w:hAnsi="Times New Roman" w:cs="Times New Roman"/>
      <w:kern w:val="0"/>
      <w:lang w:eastAsia="es-ES"/>
      <w14:ligatures w14:val="none"/>
    </w:rPr>
  </w:style>
  <w:style w:type="character" w:customStyle="1" w:styleId="SntesisAnalticaCar">
    <w:name w:val="Síntesis Analítica Car"/>
    <w:basedOn w:val="ParrafoNormalCar"/>
    <w:link w:val="SntesisAnaltica"/>
    <w:rsid w:val="00830B2C"/>
    <w:rPr>
      <w:rFonts w:ascii="Times New Roman" w:eastAsia="Times New Roman" w:hAnsi="Times New Roman" w:cs="Times New Roman"/>
      <w:i/>
      <w:kern w:val="0"/>
      <w:lang w:eastAsia="es-ES"/>
      <w14:ligatures w14:val="none"/>
    </w:rPr>
  </w:style>
  <w:style w:type="paragraph" w:customStyle="1" w:styleId="TextoNormalSangraFrancesa">
    <w:name w:val="Texto Normal Sangría Francesa"/>
    <w:basedOn w:val="Normal"/>
    <w:link w:val="TextoNormalSangraFrancesaCar"/>
    <w:qFormat/>
    <w:rsid w:val="00830B2C"/>
    <w:pPr>
      <w:spacing w:after="0" w:line="240" w:lineRule="auto"/>
      <w:ind w:left="284" w:hanging="284"/>
      <w:jc w:val="both"/>
    </w:pPr>
    <w:rPr>
      <w:rFonts w:ascii="Times New Roman" w:eastAsia="Times New Roman" w:hAnsi="Times New Roman" w:cs="Times New Roman"/>
      <w:sz w:val="24"/>
      <w:szCs w:val="24"/>
      <w:lang w:eastAsia="es-ES"/>
    </w:rPr>
  </w:style>
  <w:style w:type="character" w:customStyle="1" w:styleId="TextoNormalSangraFrancesaCar">
    <w:name w:val="Texto Normal Sangría Francesa Car"/>
    <w:basedOn w:val="Fuentedeprrafopredeter"/>
    <w:link w:val="TextoNormalSangraFrancesa"/>
    <w:rsid w:val="00830B2C"/>
    <w:rPr>
      <w:rFonts w:ascii="Times New Roman" w:eastAsia="Times New Roman" w:hAnsi="Times New Roman" w:cs="Times New Roman"/>
      <w:kern w:val="0"/>
      <w:lang w:eastAsia="es-ES"/>
      <w14:ligatures w14:val="none"/>
    </w:rPr>
  </w:style>
  <w:style w:type="paragraph" w:customStyle="1" w:styleId="DescriptoresJerarquicoTextoNormal">
    <w:name w:val="Descriptores Jerarquico Texto Normal"/>
    <w:basedOn w:val="TextoNormalSangraFrancesa"/>
    <w:link w:val="DescriptoresJerarquicoTextoNormalCar"/>
    <w:qFormat/>
    <w:rsid w:val="00830B2C"/>
    <w:pPr>
      <w:tabs>
        <w:tab w:val="left" w:pos="1134"/>
      </w:tabs>
      <w:ind w:left="3969" w:hanging="4536"/>
      <w:jc w:val="left"/>
    </w:pPr>
  </w:style>
  <w:style w:type="character" w:customStyle="1" w:styleId="DescriptoresJerarquicoTextoNormalCar">
    <w:name w:val="Descriptores Jerarquico Texto Normal Car"/>
    <w:basedOn w:val="TextoNormalSangraFrancesaCar"/>
    <w:link w:val="DescriptoresJerarquicoTextoNormal"/>
    <w:rsid w:val="00830B2C"/>
    <w:rPr>
      <w:rFonts w:ascii="Times New Roman" w:eastAsia="Times New Roman" w:hAnsi="Times New Roman" w:cs="Times New Roman"/>
      <w:kern w:val="0"/>
      <w:lang w:eastAsia="es-ES"/>
      <w14:ligatures w14:val="none"/>
    </w:rPr>
  </w:style>
  <w:style w:type="paragraph" w:styleId="Textodeglobo">
    <w:name w:val="Balloon Text"/>
    <w:basedOn w:val="Normal"/>
    <w:link w:val="TextodegloboCar"/>
    <w:uiPriority w:val="99"/>
    <w:semiHidden/>
    <w:unhideWhenUsed/>
    <w:rsid w:val="00830B2C"/>
    <w:pPr>
      <w:spacing w:after="0" w:line="240" w:lineRule="auto"/>
      <w:jc w:val="both"/>
    </w:pPr>
    <w:rPr>
      <w:rFonts w:ascii="Tahoma" w:eastAsia="Times New Roman" w:hAnsi="Tahoma" w:cs="Tahoma"/>
      <w:sz w:val="16"/>
      <w:szCs w:val="16"/>
      <w:lang w:eastAsia="es-ES"/>
    </w:rPr>
  </w:style>
  <w:style w:type="character" w:customStyle="1" w:styleId="TextodegloboCar">
    <w:name w:val="Texto de globo Car"/>
    <w:basedOn w:val="Fuentedeprrafopredeter"/>
    <w:link w:val="Textodeglobo"/>
    <w:uiPriority w:val="99"/>
    <w:semiHidden/>
    <w:rsid w:val="00830B2C"/>
    <w:rPr>
      <w:rFonts w:ascii="Tahoma" w:eastAsia="Times New Roman" w:hAnsi="Tahoma" w:cs="Tahoma"/>
      <w:kern w:val="0"/>
      <w:sz w:val="16"/>
      <w:szCs w:val="16"/>
      <w:lang w:eastAsia="es-ES"/>
      <w14:ligatures w14:val="none"/>
    </w:rPr>
  </w:style>
  <w:style w:type="paragraph" w:customStyle="1" w:styleId="Portada1">
    <w:name w:val="Portada 1"/>
    <w:basedOn w:val="Normal"/>
    <w:link w:val="Portada1Car"/>
    <w:qFormat/>
    <w:rsid w:val="00830B2C"/>
    <w:pPr>
      <w:spacing w:after="0" w:line="240" w:lineRule="auto"/>
      <w:jc w:val="center"/>
    </w:pPr>
    <w:rPr>
      <w:rFonts w:ascii="Times New Roman" w:eastAsia="Times New Roman" w:hAnsi="Times New Roman" w:cs="Times New Roman"/>
      <w:sz w:val="32"/>
      <w:szCs w:val="24"/>
      <w:lang w:eastAsia="es-ES"/>
    </w:rPr>
  </w:style>
  <w:style w:type="paragraph" w:customStyle="1" w:styleId="Portada2">
    <w:name w:val="Portada 2"/>
    <w:basedOn w:val="Normal"/>
    <w:link w:val="Portada2Car"/>
    <w:qFormat/>
    <w:rsid w:val="00830B2C"/>
    <w:pPr>
      <w:spacing w:after="0" w:line="240" w:lineRule="auto"/>
      <w:jc w:val="center"/>
    </w:pPr>
    <w:rPr>
      <w:rFonts w:ascii="Times New Roman" w:eastAsia="Times New Roman" w:hAnsi="Times New Roman" w:cs="Times New Roman"/>
      <w:sz w:val="24"/>
      <w:szCs w:val="24"/>
      <w:lang w:eastAsia="es-ES"/>
    </w:rPr>
  </w:style>
  <w:style w:type="character" w:customStyle="1" w:styleId="Portada1Car">
    <w:name w:val="Portada 1 Car"/>
    <w:basedOn w:val="Fuentedeprrafopredeter"/>
    <w:link w:val="Portada1"/>
    <w:rsid w:val="00830B2C"/>
    <w:rPr>
      <w:rFonts w:ascii="Times New Roman" w:eastAsia="Times New Roman" w:hAnsi="Times New Roman" w:cs="Times New Roman"/>
      <w:kern w:val="0"/>
      <w:sz w:val="32"/>
      <w:lang w:eastAsia="es-ES"/>
      <w14:ligatures w14:val="none"/>
    </w:rPr>
  </w:style>
  <w:style w:type="paragraph" w:customStyle="1" w:styleId="PortadaPrincipal">
    <w:name w:val="Portada Principal"/>
    <w:basedOn w:val="Normal"/>
    <w:link w:val="PortadaPrincipalCar"/>
    <w:qFormat/>
    <w:rsid w:val="00830B2C"/>
    <w:pPr>
      <w:spacing w:after="0" w:line="240" w:lineRule="auto"/>
      <w:jc w:val="center"/>
    </w:pPr>
    <w:rPr>
      <w:rFonts w:ascii="Times New Roman" w:eastAsia="Times New Roman" w:hAnsi="Times New Roman" w:cs="Times New Roman"/>
      <w:sz w:val="96"/>
      <w:szCs w:val="24"/>
      <w:lang w:eastAsia="es-ES"/>
    </w:rPr>
  </w:style>
  <w:style w:type="character" w:customStyle="1" w:styleId="Portada2Car">
    <w:name w:val="Portada 2 Car"/>
    <w:basedOn w:val="Fuentedeprrafopredeter"/>
    <w:link w:val="Portada2"/>
    <w:rsid w:val="00830B2C"/>
    <w:rPr>
      <w:rFonts w:ascii="Times New Roman" w:eastAsia="Times New Roman" w:hAnsi="Times New Roman" w:cs="Times New Roman"/>
      <w:kern w:val="0"/>
      <w:lang w:eastAsia="es-ES"/>
      <w14:ligatures w14:val="none"/>
    </w:rPr>
  </w:style>
  <w:style w:type="character" w:customStyle="1" w:styleId="PortadaPrincipalCar">
    <w:name w:val="Portada Principal Car"/>
    <w:basedOn w:val="Fuentedeprrafopredeter"/>
    <w:link w:val="PortadaPrincipal"/>
    <w:rsid w:val="00830B2C"/>
    <w:rPr>
      <w:rFonts w:ascii="Times New Roman" w:eastAsia="Times New Roman" w:hAnsi="Times New Roman" w:cs="Times New Roman"/>
      <w:kern w:val="0"/>
      <w:sz w:val="96"/>
      <w:lang w:eastAsia="es-ES"/>
      <w14:ligatures w14:val="none"/>
    </w:rPr>
  </w:style>
  <w:style w:type="paragraph" w:customStyle="1" w:styleId="EntradaSumario">
    <w:name w:val="Entrada Sumario"/>
    <w:basedOn w:val="Normal"/>
    <w:link w:val="EntradaSumarioCar"/>
    <w:qFormat/>
    <w:rsid w:val="00830B2C"/>
    <w:pPr>
      <w:tabs>
        <w:tab w:val="right" w:leader="dot" w:pos="8080"/>
        <w:tab w:val="right" w:pos="8789"/>
      </w:tabs>
      <w:spacing w:line="240" w:lineRule="auto"/>
      <w:ind w:left="284" w:right="760"/>
      <w:jc w:val="both"/>
    </w:pPr>
    <w:rPr>
      <w:rFonts w:ascii="Times New Roman" w:hAnsi="Times New Roman"/>
      <w:sz w:val="24"/>
    </w:rPr>
  </w:style>
  <w:style w:type="character" w:customStyle="1" w:styleId="EntradaSumarioCar">
    <w:name w:val="Entrada Sumario Car"/>
    <w:basedOn w:val="Fuentedeprrafopredeter"/>
    <w:link w:val="EntradaSumario"/>
    <w:rsid w:val="00830B2C"/>
    <w:rPr>
      <w:rFonts w:ascii="Times New Roman" w:hAnsi="Times New Roman"/>
      <w:kern w:val="0"/>
      <w:szCs w:val="22"/>
      <w14:ligatures w14:val="none"/>
    </w:rPr>
  </w:style>
  <w:style w:type="paragraph" w:customStyle="1" w:styleId="Prueba">
    <w:name w:val="Prueba"/>
    <w:basedOn w:val="Normal"/>
    <w:link w:val="PruebaCar"/>
    <w:qFormat/>
    <w:rsid w:val="00830B2C"/>
    <w:pPr>
      <w:pBdr>
        <w:bottom w:val="single" w:sz="4" w:space="1" w:color="auto"/>
      </w:pBdr>
      <w:ind w:left="8080" w:right="-484"/>
      <w:jc w:val="center"/>
    </w:pPr>
    <w:rPr>
      <w:rFonts w:ascii="Times New Roman" w:hAnsi="Times New Roman" w:cs="Times New Roman"/>
      <w:sz w:val="24"/>
      <w:szCs w:val="24"/>
    </w:rPr>
  </w:style>
  <w:style w:type="character" w:customStyle="1" w:styleId="PruebaCar">
    <w:name w:val="Prueba Car"/>
    <w:basedOn w:val="Fuentedeprrafopredeter"/>
    <w:link w:val="Prueba"/>
    <w:rsid w:val="00830B2C"/>
    <w:rPr>
      <w:rFonts w:ascii="Times New Roman" w:hAnsi="Times New Roman" w:cs="Times New Roman"/>
      <w:kern w:val="0"/>
      <w14:ligatures w14:val="none"/>
    </w:rPr>
  </w:style>
  <w:style w:type="paragraph" w:customStyle="1" w:styleId="Paginas">
    <w:name w:val="Paginas"/>
    <w:basedOn w:val="Prueba"/>
    <w:link w:val="PaginasCar"/>
    <w:qFormat/>
    <w:rsid w:val="00830B2C"/>
  </w:style>
  <w:style w:type="character" w:customStyle="1" w:styleId="PaginasCar">
    <w:name w:val="Paginas Car"/>
    <w:basedOn w:val="PruebaCar"/>
    <w:link w:val="Paginas"/>
    <w:rsid w:val="00830B2C"/>
    <w:rPr>
      <w:rFonts w:ascii="Times New Roman" w:hAnsi="Times New Roman" w:cs="Times New Roman"/>
      <w:kern w:val="0"/>
      <w14:ligatures w14:val="none"/>
    </w:rPr>
  </w:style>
  <w:style w:type="paragraph" w:customStyle="1" w:styleId="SangriaFrancesaArticulo">
    <w:name w:val="Sangria Francesa Articulo"/>
    <w:basedOn w:val="ParrafoNormal"/>
    <w:link w:val="SangriaFrancesaArticuloCar"/>
    <w:qFormat/>
    <w:rsid w:val="00830B2C"/>
    <w:pPr>
      <w:ind w:left="568" w:hanging="284"/>
    </w:pPr>
  </w:style>
  <w:style w:type="paragraph" w:customStyle="1" w:styleId="SangriaIzquierdaArticulo">
    <w:name w:val="Sangria Izquierda Articulo"/>
    <w:basedOn w:val="SangriaFrancesaArticulo"/>
    <w:link w:val="SangriaIzquierdaArticuloCar"/>
    <w:qFormat/>
    <w:rsid w:val="00830B2C"/>
    <w:pPr>
      <w:ind w:firstLine="0"/>
    </w:pPr>
  </w:style>
  <w:style w:type="character" w:customStyle="1" w:styleId="SangriaFrancesaArticuloCar">
    <w:name w:val="Sangria Francesa Articulo Car"/>
    <w:basedOn w:val="ParrafoNormalCar"/>
    <w:link w:val="SangriaFrancesaArticulo"/>
    <w:rsid w:val="00830B2C"/>
    <w:rPr>
      <w:rFonts w:ascii="Times New Roman" w:eastAsia="Times New Roman" w:hAnsi="Times New Roman" w:cs="Times New Roman"/>
      <w:kern w:val="0"/>
      <w:lang w:eastAsia="es-ES"/>
      <w14:ligatures w14:val="none"/>
    </w:rPr>
  </w:style>
  <w:style w:type="character" w:customStyle="1" w:styleId="SangriaIzquierdaArticuloCar">
    <w:name w:val="Sangria Izquierda Articulo Car"/>
    <w:basedOn w:val="SangriaFrancesaArticuloCar"/>
    <w:link w:val="SangriaIzquierdaArticulo"/>
    <w:rsid w:val="00830B2C"/>
    <w:rPr>
      <w:rFonts w:ascii="Times New Roman" w:eastAsia="Times New Roman" w:hAnsi="Times New Roman" w:cs="Times New Roman"/>
      <w:kern w:val="0"/>
      <w:lang w:eastAsia="es-ES"/>
      <w14:ligatures w14:val="none"/>
    </w:rPr>
  </w:style>
  <w:style w:type="paragraph" w:customStyle="1" w:styleId="DescriptoresJerarquicoNegrita">
    <w:name w:val="Descriptores Jerarquico Negrita"/>
    <w:basedOn w:val="TextoNormalNegrita"/>
    <w:link w:val="DescriptoresJerarquicoNegritaCar"/>
    <w:qFormat/>
    <w:rsid w:val="00830B2C"/>
    <w:pPr>
      <w:tabs>
        <w:tab w:val="left" w:pos="1134"/>
      </w:tabs>
      <w:ind w:left="-567"/>
    </w:pPr>
  </w:style>
  <w:style w:type="character" w:customStyle="1" w:styleId="DescriptoresJerarquicoNegritaCar">
    <w:name w:val="Descriptores Jerarquico Negrita Car"/>
    <w:basedOn w:val="TextoNormalNegritaCar"/>
    <w:link w:val="DescriptoresJerarquicoNegrita"/>
    <w:rsid w:val="00830B2C"/>
    <w:rPr>
      <w:rFonts w:ascii="Times New Roman" w:eastAsia="Times New Roman" w:hAnsi="Times New Roman" w:cs="Times New Roman"/>
      <w:b/>
      <w:kern w:val="0"/>
      <w:lang w:eastAsia="es-ES"/>
      <w14:ligatures w14:val="none"/>
    </w:rPr>
  </w:style>
  <w:style w:type="paragraph" w:customStyle="1" w:styleId="Notaalpie">
    <w:name w:val="Nota al pie"/>
    <w:basedOn w:val="TextoNormal"/>
    <w:qFormat/>
    <w:rsid w:val="00830B2C"/>
    <w:pPr>
      <w:spacing w:after="0"/>
      <w:ind w:firstLine="0"/>
      <w:jc w:val="left"/>
    </w:pPr>
    <w:rPr>
      <w:sz w:val="20"/>
      <w:szCs w:val="20"/>
    </w:rPr>
  </w:style>
  <w:style w:type="character" w:customStyle="1" w:styleId="TextoNormalNegritaCursivaCaracter">
    <w:name w:val="Texto Normal Negrita Cursiva Caracter"/>
    <w:basedOn w:val="TextoNormalNegritaCaracter"/>
    <w:uiPriority w:val="1"/>
    <w:qFormat/>
    <w:rsid w:val="00830B2C"/>
    <w:rPr>
      <w:rFonts w:ascii="Times New Roman" w:hAnsi="Times New Roman"/>
      <w:b/>
      <w:i/>
      <w:sz w:val="24"/>
    </w:rPr>
  </w:style>
  <w:style w:type="paragraph" w:customStyle="1" w:styleId="EntradandiceSumario">
    <w:name w:val="Entrada Índice Sumario"/>
    <w:basedOn w:val="EntradandiceSentencia"/>
    <w:qFormat/>
    <w:rsid w:val="00830B2C"/>
    <w:pPr>
      <w:tabs>
        <w:tab w:val="clear" w:pos="8080"/>
        <w:tab w:val="right" w:leader="dot" w:pos="7371"/>
      </w:tabs>
      <w:spacing w:line="260" w:lineRule="exact"/>
      <w:ind w:right="0"/>
    </w:pPr>
    <w:rPr>
      <w:b w:val="0"/>
    </w:rPr>
  </w:style>
  <w:style w:type="paragraph" w:customStyle="1" w:styleId="FechasPortadaGaceta">
    <w:name w:val="Fechas Portada Gaceta"/>
    <w:basedOn w:val="Normal"/>
    <w:qFormat/>
    <w:rsid w:val="00830B2C"/>
    <w:pPr>
      <w:jc w:val="center"/>
    </w:pPr>
    <w:rPr>
      <w:rFonts w:ascii="Arial Black" w:hAnsi="Arial Black"/>
      <w:color w:val="A6A6A6" w:themeColor="background1" w:themeShade="A6"/>
      <w:sz w:val="32"/>
    </w:rPr>
  </w:style>
  <w:style w:type="paragraph" w:customStyle="1" w:styleId="TtuloPrincipalGaceta">
    <w:name w:val="Título Principal Gaceta"/>
    <w:basedOn w:val="Normal"/>
    <w:link w:val="TtuloPrincipalGacetaCar"/>
    <w:qFormat/>
    <w:rsid w:val="00830B2C"/>
    <w:pPr>
      <w:jc w:val="center"/>
    </w:pPr>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TtuloPrincipalGacetaCar">
    <w:name w:val="Título Principal Gaceta Car"/>
    <w:basedOn w:val="Fuentedeprrafopredeter"/>
    <w:link w:val="TtuloPrincipalGaceta"/>
    <w:rsid w:val="00830B2C"/>
    <w:rPr>
      <w:rFonts w:ascii="Bodoni MT Condensed" w:hAnsi="Bodoni MT Condensed"/>
      <w:b/>
      <w:i/>
      <w:color w:val="A6A6A6" w:themeColor="background1" w:themeShade="A6"/>
      <w:kern w:val="0"/>
      <w:sz w:val="68"/>
      <w:szCs w:val="22"/>
      <w14:textOutline w14:w="9525" w14:cap="rnd" w14:cmpd="sng" w14:algn="ctr">
        <w14:solidFill>
          <w14:schemeClr w14:val="tx1"/>
        </w14:solidFill>
        <w14:prstDash w14:val="solid"/>
        <w14:bevel/>
      </w14:textOutline>
      <w14:props3d w14:extrusionH="57150" w14:contourW="0" w14:prstMaterial="warmMatte">
        <w14:bevelT w14:w="63500" w14:h="12700" w14:prst="angle"/>
      </w14:props3d>
      <w14:ligatures w14:val="none"/>
    </w:rPr>
  </w:style>
  <w:style w:type="character" w:customStyle="1" w:styleId="SntesisDescriptivaTtulo">
    <w:name w:val="Síntesis Descriptiva Título"/>
    <w:basedOn w:val="Fuentedeprrafopredeter"/>
    <w:uiPriority w:val="1"/>
    <w:qFormat/>
    <w:rsid w:val="00830B2C"/>
    <w:rPr>
      <w:rFonts w:ascii="Times New Roman" w:hAnsi="Times New Roman"/>
      <w:color w:val="A7599E"/>
      <w:sz w:val="24"/>
    </w:rPr>
  </w:style>
  <w:style w:type="character" w:customStyle="1" w:styleId="SntesisAnalticaTtulo">
    <w:name w:val="Síntesis Analítica Título"/>
    <w:basedOn w:val="SntesisDescriptivaTtulo"/>
    <w:uiPriority w:val="1"/>
    <w:qFormat/>
    <w:rsid w:val="00830B2C"/>
    <w:rPr>
      <w:rFonts w:ascii="Times New Roman" w:hAnsi="Times New Roman"/>
      <w:i w:val="0"/>
      <w:color w:val="A7599E"/>
      <w:sz w:val="24"/>
    </w:rPr>
  </w:style>
  <w:style w:type="paragraph" w:customStyle="1" w:styleId="CabeceraGaceta">
    <w:name w:val="Cabecera Gaceta"/>
    <w:next w:val="Normal"/>
    <w:link w:val="CabeceraGacetaCar"/>
    <w:qFormat/>
    <w:rsid w:val="00830B2C"/>
    <w:pPr>
      <w:pBdr>
        <w:top w:val="single" w:sz="4" w:space="10" w:color="A7599E"/>
        <w:bottom w:val="single" w:sz="4" w:space="10" w:color="A7599E"/>
      </w:pBdr>
      <w:spacing w:after="200" w:line="276" w:lineRule="auto"/>
      <w:contextualSpacing/>
    </w:pPr>
    <w:rPr>
      <w:rFonts w:ascii="Batang" w:hAnsi="Batang"/>
      <w:color w:val="000000" w:themeColor="text1"/>
      <w:kern w:val="0"/>
      <w:sz w:val="20"/>
      <w:szCs w:val="22"/>
      <w14:textOutline w14:w="9525" w14:cap="rnd" w14:cmpd="sng" w14:algn="ctr">
        <w14:noFill/>
        <w14:prstDash w14:val="solid"/>
        <w14:bevel/>
      </w14:textOutline>
      <w14:ligatures w14:val="none"/>
    </w:rPr>
  </w:style>
  <w:style w:type="character" w:customStyle="1" w:styleId="CabeceraGacetaCar">
    <w:name w:val="Cabecera Gaceta Car"/>
    <w:basedOn w:val="Fuentedeprrafopredeter"/>
    <w:link w:val="CabeceraGaceta"/>
    <w:rsid w:val="00830B2C"/>
    <w:rPr>
      <w:rFonts w:ascii="Batang" w:hAnsi="Batang"/>
      <w:color w:val="000000" w:themeColor="text1"/>
      <w:kern w:val="0"/>
      <w:sz w:val="20"/>
      <w:szCs w:val="22"/>
      <w14:textOutline w14:w="9525" w14:cap="rnd" w14:cmpd="sng" w14:algn="ctr">
        <w14:noFill/>
        <w14:prstDash w14:val="solid"/>
        <w14:bevel/>
      </w14:textOutline>
      <w14:ligatures w14:val="none"/>
    </w:rPr>
  </w:style>
  <w:style w:type="paragraph" w:customStyle="1" w:styleId="TextoNormalSeparacionUltimoParrafo">
    <w:name w:val="Texto Normal Separacion Ultimo Parrafo"/>
    <w:basedOn w:val="TextoNormal"/>
    <w:qFormat/>
    <w:rsid w:val="00830B2C"/>
    <w:pPr>
      <w:spacing w:after="1800"/>
    </w:pPr>
  </w:style>
  <w:style w:type="character" w:styleId="nfasis">
    <w:name w:val="Emphasis"/>
    <w:basedOn w:val="Fuentedeprrafopredeter"/>
    <w:uiPriority w:val="20"/>
    <w:qFormat/>
    <w:rsid w:val="00830B2C"/>
    <w:rPr>
      <w:i/>
      <w:iCs/>
    </w:rPr>
  </w:style>
  <w:style w:type="character" w:styleId="Hipervnculo">
    <w:name w:val="Hyperlink"/>
    <w:basedOn w:val="Fuentedeprrafopredeter"/>
    <w:uiPriority w:val="99"/>
    <w:unhideWhenUsed/>
    <w:rsid w:val="00830B2C"/>
    <w:rPr>
      <w:b w:val="0"/>
      <w:color w:val="000000" w:themeColor="text1"/>
      <w:u w:val="none"/>
    </w:rPr>
  </w:style>
  <w:style w:type="paragraph" w:customStyle="1" w:styleId="SntesisDescriptivaConSeparacion">
    <w:name w:val="Síntesis Descriptiva Con Separacion"/>
    <w:basedOn w:val="SntesisDescriptiva"/>
    <w:qFormat/>
    <w:rsid w:val="00830B2C"/>
    <w:pPr>
      <w:spacing w:after="600"/>
    </w:pPr>
  </w:style>
  <w:style w:type="paragraph" w:customStyle="1" w:styleId="SntesisAnalticaConSeparacin">
    <w:name w:val="Síntesis Analítica Con Separación"/>
    <w:basedOn w:val="SntesisAnaltica"/>
    <w:qFormat/>
    <w:rsid w:val="00830B2C"/>
    <w:pPr>
      <w:spacing w:after="600"/>
    </w:pPr>
  </w:style>
  <w:style w:type="paragraph" w:customStyle="1" w:styleId="TtuloListado">
    <w:name w:val="Título Listado"/>
    <w:basedOn w:val="TextoNormal"/>
    <w:qFormat/>
    <w:rsid w:val="00830B2C"/>
    <w:pPr>
      <w:spacing w:line="360" w:lineRule="auto"/>
      <w:jc w:val="center"/>
    </w:pPr>
    <w:rPr>
      <w:b/>
      <w:u w:val="single"/>
    </w:rPr>
  </w:style>
  <w:style w:type="paragraph" w:customStyle="1" w:styleId="TextoNormalCentradoCursiva">
    <w:name w:val="Texto Normal Centrado Cursiva"/>
    <w:basedOn w:val="TextoNormalCentrado"/>
    <w:qFormat/>
    <w:rsid w:val="00830B2C"/>
    <w:rPr>
      <w:i/>
    </w:rPr>
  </w:style>
  <w:style w:type="paragraph" w:customStyle="1" w:styleId="TextoConBorde">
    <w:name w:val="Texto Con Borde"/>
    <w:qFormat/>
    <w:rsid w:val="00830B2C"/>
    <w:pPr>
      <w:pBdr>
        <w:top w:val="single" w:sz="4" w:space="1" w:color="A7599E"/>
        <w:left w:val="single" w:sz="4" w:space="4" w:color="A7599E"/>
        <w:bottom w:val="single" w:sz="4" w:space="1" w:color="A7599E"/>
        <w:right w:val="single" w:sz="4" w:space="4" w:color="A7599E"/>
      </w:pBdr>
      <w:spacing w:after="200" w:line="276" w:lineRule="auto"/>
    </w:pPr>
    <w:rPr>
      <w:rFonts w:ascii="Times New Roman" w:eastAsia="Times New Roman" w:hAnsi="Times New Roman" w:cs="Times New Roman"/>
      <w:i/>
      <w:kern w:val="0"/>
      <w:lang w:eastAsia="es-ES"/>
      <w14:ligatures w14:val="none"/>
    </w:rPr>
  </w:style>
  <w:style w:type="paragraph" w:customStyle="1" w:styleId="TtuloSecundarioGaceta">
    <w:name w:val="Título Secundario Gaceta"/>
    <w:basedOn w:val="TtuloPrincipalGaceta"/>
    <w:qFormat/>
    <w:rsid w:val="00830B2C"/>
    <w:rPr>
      <w:sz w:val="148"/>
    </w:rPr>
  </w:style>
  <w:style w:type="paragraph" w:customStyle="1" w:styleId="TextoNormalNegritaCentradoSubrayado">
    <w:name w:val="Texto Normal Negrita Centrado Subrayado"/>
    <w:basedOn w:val="TextoNormalNegritaCentrado"/>
    <w:qFormat/>
    <w:rsid w:val="00830B2C"/>
    <w:rPr>
      <w:sz w:val="28"/>
      <w:u w:val="single"/>
    </w:rPr>
  </w:style>
  <w:style w:type="paragraph" w:customStyle="1" w:styleId="TextoIndiceNivel2">
    <w:name w:val="TextoIndice Nivel2"/>
    <w:basedOn w:val="TextoNormalNegritaCentrado"/>
    <w:qFormat/>
    <w:rsid w:val="00830B2C"/>
    <w:rPr>
      <w:sz w:val="36"/>
    </w:rPr>
  </w:style>
  <w:style w:type="character" w:customStyle="1" w:styleId="TextoNormalNegritaCentradoSombreado">
    <w:name w:val="Texto Normal Negrita Centrado Sombreado"/>
    <w:basedOn w:val="TextoNormalNegritaCaracter"/>
    <w:uiPriority w:val="1"/>
    <w:qFormat/>
    <w:rsid w:val="00830B2C"/>
    <w:rPr>
      <w:rFonts w:ascii="Times New Roman" w:hAnsi="Times New Roman"/>
      <w:b/>
      <w:sz w:val="32"/>
      <w:bdr w:val="none" w:sz="0" w:space="0" w:color="auto"/>
      <w:shd w:val="clear" w:color="auto" w:fill="E8E8E8" w:themeFill="background2"/>
    </w:rPr>
  </w:style>
  <w:style w:type="paragraph" w:customStyle="1" w:styleId="TextoNormalNegritaCursivandice">
    <w:name w:val="Texto Normal Negrita Cursiva Índice"/>
    <w:basedOn w:val="TextoNormalNegritaCursiva"/>
    <w:link w:val="TextoNormalNegritaCursivandiceCar"/>
    <w:qFormat/>
    <w:rsid w:val="00830B2C"/>
    <w:rPr>
      <w:sz w:val="26"/>
    </w:rPr>
  </w:style>
  <w:style w:type="character" w:customStyle="1" w:styleId="ndiceJerrquicoDescriptor">
    <w:name w:val="Índice Jerárquico Descriptor"/>
    <w:basedOn w:val="TextoNormalCar"/>
    <w:uiPriority w:val="1"/>
    <w:qFormat/>
    <w:rsid w:val="00830B2C"/>
    <w:rPr>
      <w:rFonts w:ascii="Times New Roman" w:eastAsia="Times New Roman" w:hAnsi="Times New Roman" w:cs="Times New Roman"/>
      <w:kern w:val="0"/>
      <w:sz w:val="18"/>
      <w:lang w:eastAsia="es-ES"/>
      <w14:ligatures w14:val="none"/>
    </w:rPr>
  </w:style>
  <w:style w:type="character" w:customStyle="1" w:styleId="ndiceJerrquicoDescriptorNegrita">
    <w:name w:val="Índice Jerárquico Descriptor Negrita"/>
    <w:basedOn w:val="ndiceJerrquicoDescriptor"/>
    <w:uiPriority w:val="1"/>
    <w:qFormat/>
    <w:rsid w:val="00830B2C"/>
    <w:rPr>
      <w:rFonts w:ascii="Times New Roman" w:eastAsia="Times New Roman" w:hAnsi="Times New Roman" w:cs="Times New Roman"/>
      <w:b/>
      <w:kern w:val="0"/>
      <w:sz w:val="18"/>
      <w:lang w:eastAsia="es-ES"/>
      <w14:ligatures w14:val="none"/>
    </w:rPr>
  </w:style>
  <w:style w:type="paragraph" w:customStyle="1" w:styleId="DescriptoresJerarquicoNegritaTitulo">
    <w:name w:val="Descriptores Jerarquico Negrita Titulo"/>
    <w:basedOn w:val="DescriptoresJerarquicoNegrita"/>
    <w:qFormat/>
    <w:rsid w:val="00830B2C"/>
    <w:pPr>
      <w:ind w:left="0"/>
    </w:pPr>
    <w:rPr>
      <w:sz w:val="28"/>
    </w:rPr>
  </w:style>
  <w:style w:type="character" w:styleId="Hipervnculovisitado">
    <w:name w:val="FollowedHyperlink"/>
    <w:basedOn w:val="Fuentedeprrafopredeter"/>
    <w:uiPriority w:val="99"/>
    <w:semiHidden/>
    <w:unhideWhenUsed/>
    <w:rsid w:val="00830B2C"/>
    <w:rPr>
      <w:color w:val="auto"/>
      <w:u w:val="none"/>
    </w:rPr>
  </w:style>
  <w:style w:type="paragraph" w:customStyle="1" w:styleId="EntradandiceSumarioNivel2">
    <w:name w:val="Entrada Índice Sumario Nivel2"/>
    <w:basedOn w:val="EntradandiceSumario"/>
    <w:qFormat/>
    <w:rsid w:val="00830B2C"/>
    <w:pPr>
      <w:spacing w:line="240" w:lineRule="exact"/>
      <w:ind w:firstLine="113"/>
    </w:pPr>
    <w:rPr>
      <w:sz w:val="23"/>
    </w:rPr>
  </w:style>
  <w:style w:type="paragraph" w:customStyle="1" w:styleId="TtuloSumariondices">
    <w:name w:val="Título Sumario Índices"/>
    <w:basedOn w:val="TextoNormal"/>
    <w:qFormat/>
    <w:rsid w:val="00830B2C"/>
    <w:pPr>
      <w:ind w:firstLine="0"/>
      <w:jc w:val="center"/>
    </w:pPr>
    <w:rPr>
      <w:sz w:val="32"/>
    </w:rPr>
  </w:style>
  <w:style w:type="paragraph" w:styleId="Cierre">
    <w:name w:val="Closing"/>
    <w:basedOn w:val="Normal"/>
    <w:link w:val="CierreCar"/>
    <w:uiPriority w:val="99"/>
    <w:unhideWhenUsed/>
    <w:rsid w:val="00830B2C"/>
    <w:pPr>
      <w:spacing w:after="0" w:line="240" w:lineRule="auto"/>
      <w:ind w:left="4252"/>
    </w:pPr>
  </w:style>
  <w:style w:type="character" w:customStyle="1" w:styleId="CierreCar">
    <w:name w:val="Cierre Car"/>
    <w:basedOn w:val="Fuentedeprrafopredeter"/>
    <w:link w:val="Cierre"/>
    <w:uiPriority w:val="99"/>
    <w:rsid w:val="00830B2C"/>
    <w:rPr>
      <w:kern w:val="0"/>
      <w:sz w:val="22"/>
      <w:szCs w:val="22"/>
      <w14:ligatures w14:val="none"/>
    </w:rPr>
  </w:style>
  <w:style w:type="paragraph" w:customStyle="1" w:styleId="Cabecera">
    <w:name w:val="Cabecera"/>
    <w:link w:val="CabeceraCar"/>
    <w:qFormat/>
    <w:rsid w:val="00830B2C"/>
    <w:pPr>
      <w:pBdr>
        <w:bottom w:val="single" w:sz="4" w:space="1" w:color="538135"/>
      </w:pBdr>
      <w:spacing w:after="200" w:line="276" w:lineRule="auto"/>
    </w:pPr>
    <w:rPr>
      <w:rFonts w:ascii="Arial" w:hAnsi="Arial"/>
      <w:b/>
      <w:iCs/>
      <w:color w:val="538135"/>
      <w:kern w:val="0"/>
      <w:sz w:val="20"/>
      <w:szCs w:val="22"/>
      <w14:ligatures w14:val="none"/>
    </w:rPr>
  </w:style>
  <w:style w:type="character" w:customStyle="1" w:styleId="CabeceraCar">
    <w:name w:val="Cabecera Car"/>
    <w:basedOn w:val="Fuentedeprrafopredeter"/>
    <w:link w:val="Cabecera"/>
    <w:rsid w:val="00830B2C"/>
    <w:rPr>
      <w:rFonts w:ascii="Arial" w:hAnsi="Arial"/>
      <w:b/>
      <w:iCs/>
      <w:color w:val="538135"/>
      <w:kern w:val="0"/>
      <w:sz w:val="20"/>
      <w:szCs w:val="22"/>
      <w14:ligatures w14:val="none"/>
    </w:rPr>
  </w:style>
  <w:style w:type="paragraph" w:customStyle="1" w:styleId="TtuloSumarioResoluciones">
    <w:name w:val="Título Sumario Resoluciones"/>
    <w:basedOn w:val="TextoNormal"/>
    <w:link w:val="TtuloSumarioResolucionesCar"/>
    <w:qFormat/>
    <w:rsid w:val="00830B2C"/>
    <w:pPr>
      <w:jc w:val="center"/>
    </w:pPr>
    <w:rPr>
      <w:color w:val="404040" w:themeColor="text1" w:themeTint="BF"/>
      <w:sz w:val="32"/>
    </w:rPr>
  </w:style>
  <w:style w:type="character" w:customStyle="1" w:styleId="TtuloSumarioResolucionesCar">
    <w:name w:val="Título Sumario Resoluciones Car"/>
    <w:basedOn w:val="TextoNormalCar"/>
    <w:link w:val="TtuloSumarioResoluciones"/>
    <w:rsid w:val="00830B2C"/>
    <w:rPr>
      <w:rFonts w:ascii="Times New Roman" w:eastAsia="Times New Roman" w:hAnsi="Times New Roman" w:cs="Times New Roman"/>
      <w:color w:val="404040" w:themeColor="text1" w:themeTint="BF"/>
      <w:kern w:val="0"/>
      <w:sz w:val="32"/>
      <w:lang w:eastAsia="es-ES"/>
      <w14:ligatures w14:val="none"/>
    </w:rPr>
  </w:style>
  <w:style w:type="character" w:customStyle="1" w:styleId="NumeroAFNegritaCaracter">
    <w:name w:val="NumeroAF Negrita Caracter"/>
    <w:basedOn w:val="TextoNormalNegritaCaracter"/>
    <w:uiPriority w:val="1"/>
    <w:qFormat/>
    <w:rsid w:val="00830B2C"/>
    <w:rPr>
      <w:rFonts w:ascii="Times New Roman" w:hAnsi="Times New Roman"/>
      <w:b/>
      <w:color w:val="538135"/>
      <w:sz w:val="32"/>
    </w:rPr>
  </w:style>
  <w:style w:type="paragraph" w:customStyle="1" w:styleId="Portada3">
    <w:name w:val="Portada 3"/>
    <w:basedOn w:val="NormalWeb"/>
    <w:link w:val="Portada3Car"/>
    <w:qFormat/>
    <w:rsid w:val="00830B2C"/>
    <w:pPr>
      <w:jc w:val="center"/>
    </w:pPr>
    <w:rPr>
      <w:sz w:val="22"/>
    </w:rPr>
  </w:style>
  <w:style w:type="paragraph" w:styleId="NormalWeb">
    <w:name w:val="Normal (Web)"/>
    <w:basedOn w:val="Normal"/>
    <w:link w:val="NormalWebCar"/>
    <w:uiPriority w:val="99"/>
    <w:semiHidden/>
    <w:unhideWhenUsed/>
    <w:rsid w:val="00830B2C"/>
    <w:rPr>
      <w:rFonts w:ascii="Times New Roman" w:hAnsi="Times New Roman" w:cs="Times New Roman"/>
      <w:sz w:val="24"/>
      <w:szCs w:val="24"/>
    </w:rPr>
  </w:style>
  <w:style w:type="character" w:customStyle="1" w:styleId="NormalWebCar">
    <w:name w:val="Normal (Web) Car"/>
    <w:basedOn w:val="Fuentedeprrafopredeter"/>
    <w:link w:val="NormalWeb"/>
    <w:uiPriority w:val="99"/>
    <w:semiHidden/>
    <w:rsid w:val="00830B2C"/>
    <w:rPr>
      <w:rFonts w:ascii="Times New Roman" w:hAnsi="Times New Roman" w:cs="Times New Roman"/>
      <w:kern w:val="0"/>
      <w14:ligatures w14:val="none"/>
    </w:rPr>
  </w:style>
  <w:style w:type="character" w:customStyle="1" w:styleId="Portada3Car">
    <w:name w:val="Portada 3 Car"/>
    <w:basedOn w:val="NormalWebCar"/>
    <w:link w:val="Portada3"/>
    <w:rsid w:val="00830B2C"/>
    <w:rPr>
      <w:rFonts w:ascii="Times New Roman" w:hAnsi="Times New Roman" w:cs="Times New Roman"/>
      <w:kern w:val="0"/>
      <w:sz w:val="22"/>
      <w14:ligatures w14:val="none"/>
    </w:rPr>
  </w:style>
  <w:style w:type="paragraph" w:customStyle="1" w:styleId="EntradandiceAutoContenidoEspecifico">
    <w:name w:val="Entrada Índice Auto Contenido Especifico"/>
    <w:basedOn w:val="EntradaSumario"/>
    <w:link w:val="EntradandiceAutoContenidoEspecificoCar"/>
    <w:qFormat/>
    <w:rsid w:val="00830B2C"/>
    <w:pPr>
      <w:spacing w:before="240"/>
    </w:pPr>
  </w:style>
  <w:style w:type="character" w:customStyle="1" w:styleId="EntradandiceAutoContenidoEspecificoCar">
    <w:name w:val="Entrada Índice Auto Contenido Especifico Car"/>
    <w:basedOn w:val="EntradaSumarioCar"/>
    <w:link w:val="EntradandiceAutoContenidoEspecifico"/>
    <w:rsid w:val="00830B2C"/>
    <w:rPr>
      <w:rFonts w:ascii="Times New Roman" w:hAnsi="Times New Roman"/>
      <w:kern w:val="0"/>
      <w:szCs w:val="22"/>
      <w14:ligatures w14:val="none"/>
    </w:rPr>
  </w:style>
  <w:style w:type="paragraph" w:customStyle="1" w:styleId="TextoNormalNegritaCursivaSubrayadondice">
    <w:name w:val="Texto Normal Negrita Cursiva Subrayado Índice"/>
    <w:basedOn w:val="TextoNormalNegritaCursivandice"/>
    <w:link w:val="TextoNormalNegritaCursivaSubrayadondiceCar"/>
    <w:qFormat/>
    <w:rsid w:val="00830B2C"/>
    <w:rPr>
      <w:b w:val="0"/>
      <w:i w:val="0"/>
      <w:u w:val="single"/>
    </w:rPr>
  </w:style>
  <w:style w:type="character" w:customStyle="1" w:styleId="TextoNormalNegritaCursivaSubrayadondiceCaracter">
    <w:name w:val="Texto Normal Negrita Cursiva Subrayado Índice Caracter"/>
    <w:basedOn w:val="TextoNormalCar"/>
    <w:uiPriority w:val="1"/>
    <w:qFormat/>
    <w:rsid w:val="00830B2C"/>
    <w:rPr>
      <w:rFonts w:ascii="Times New Roman" w:eastAsia="Times New Roman" w:hAnsi="Times New Roman" w:cs="Times New Roman"/>
      <w:kern w:val="0"/>
      <w:sz w:val="26"/>
      <w:u w:val="single"/>
      <w:lang w:eastAsia="es-ES"/>
      <w14:ligatures w14:val="none"/>
    </w:rPr>
  </w:style>
  <w:style w:type="character" w:customStyle="1" w:styleId="TextoNormalNegritaCursivandiceCar">
    <w:name w:val="Texto Normal Negrita Cursiva Índice Car"/>
    <w:basedOn w:val="TextoNormalNegritaCursivaCar"/>
    <w:link w:val="TextoNormalNegritaCursivandice"/>
    <w:rsid w:val="00830B2C"/>
    <w:rPr>
      <w:rFonts w:ascii="Times New Roman" w:eastAsia="Times New Roman" w:hAnsi="Times New Roman" w:cs="Times New Roman"/>
      <w:b/>
      <w:i/>
      <w:kern w:val="0"/>
      <w:sz w:val="26"/>
      <w:lang w:eastAsia="es-ES"/>
      <w14:ligatures w14:val="none"/>
    </w:rPr>
  </w:style>
  <w:style w:type="character" w:customStyle="1" w:styleId="TextoNormalNegritaCursivaSubrayadondiceCar">
    <w:name w:val="Texto Normal Negrita Cursiva Subrayado Índice Car"/>
    <w:basedOn w:val="TextoNormalNegritaCursivandiceCar"/>
    <w:link w:val="TextoNormalNegritaCursivaSubrayadondice"/>
    <w:rsid w:val="00830B2C"/>
    <w:rPr>
      <w:rFonts w:ascii="Times New Roman" w:eastAsia="Times New Roman" w:hAnsi="Times New Roman" w:cs="Times New Roman"/>
      <w:b w:val="0"/>
      <w:i w:val="0"/>
      <w:kern w:val="0"/>
      <w:sz w:val="26"/>
      <w:u w:val="single"/>
      <w:lang w:eastAsia="es-ES"/>
      <w14:ligatures w14:val="none"/>
    </w:rPr>
  </w:style>
  <w:style w:type="paragraph" w:styleId="Encabezado">
    <w:name w:val="header"/>
    <w:basedOn w:val="Normal"/>
    <w:link w:val="EncabezadoCar"/>
    <w:uiPriority w:val="99"/>
    <w:unhideWhenUsed/>
    <w:rsid w:val="008D479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D479B"/>
    <w:rPr>
      <w:kern w:val="0"/>
      <w:sz w:val="22"/>
      <w:szCs w:val="22"/>
      <w14:ligatures w14:val="none"/>
    </w:rPr>
  </w:style>
  <w:style w:type="paragraph" w:styleId="Piedepgina">
    <w:name w:val="footer"/>
    <w:basedOn w:val="Normal"/>
    <w:link w:val="PiedepginaCar"/>
    <w:uiPriority w:val="99"/>
    <w:unhideWhenUsed/>
    <w:rsid w:val="008D479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D479B"/>
    <w:rPr>
      <w:kern w:val="0"/>
      <w:sz w:val="22"/>
      <w:szCs w:val="22"/>
      <w14:ligatures w14:val="none"/>
    </w:rPr>
  </w:style>
  <w:style w:type="character" w:styleId="Mencinsinresolver">
    <w:name w:val="Unresolved Mention"/>
    <w:basedOn w:val="Fuentedeprrafopredeter"/>
    <w:uiPriority w:val="99"/>
    <w:semiHidden/>
    <w:unhideWhenUsed/>
    <w:rsid w:val="00DA359F"/>
    <w:rPr>
      <w:color w:val="605E5C"/>
      <w:shd w:val="clear" w:color="auto" w:fill="E1DFDD"/>
    </w:rPr>
  </w:style>
  <w:style w:type="character" w:styleId="Nmerodepgina">
    <w:name w:val="page number"/>
    <w:basedOn w:val="Fuentedeprrafopredeter"/>
    <w:uiPriority w:val="99"/>
    <w:semiHidden/>
    <w:unhideWhenUsed/>
    <w:rsid w:val="007309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tribunalconstitucional.es\tribunaldfs\hj_documentos\GeneracionTomoVerde\Plantilla\1742547029Resolucion.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1742547029Resolucion</Template>
  <TotalTime>205</TotalTime>
  <Pages>3093</Pages>
  <Words>1450659</Words>
  <Characters>7557937</Characters>
  <Application>Microsoft Office Word</Application>
  <DocSecurity>0</DocSecurity>
  <Lines>134963</Lines>
  <Paragraphs>27718</Paragraphs>
  <ScaleCrop>false</ScaleCrop>
  <HeadingPairs>
    <vt:vector size="2" baseType="variant">
      <vt:variant>
        <vt:lpstr>Título</vt:lpstr>
      </vt:variant>
      <vt:variant>
        <vt:i4>1</vt:i4>
      </vt:variant>
    </vt:vector>
  </HeadingPairs>
  <TitlesOfParts>
    <vt:vector size="1" baseType="lpstr">
      <vt:lpstr/>
    </vt:vector>
  </TitlesOfParts>
  <Manager>TC</Manager>
  <Company>TC</Company>
  <LinksUpToDate>false</LinksUpToDate>
  <CharactersWithSpaces>8980878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Tomo 113</dc:title>
  <dc:subject>Tomo 113</dc:subject>
  <dc:creator>Tribunal Constitucional</dc:creator>
  <cp:keywords/>
  <dc:description>Tomo 113</dc:description>
  <cp:lastModifiedBy>RECIO BLÁZQUEZ, Julia</cp:lastModifiedBy>
  <cp:revision>8</cp:revision>
  <cp:lastPrinted>2025-03-21T12:11:00Z</cp:lastPrinted>
  <dcterms:created xsi:type="dcterms:W3CDTF">2025-03-21T08:50:00Z</dcterms:created>
  <dcterms:modified xsi:type="dcterms:W3CDTF">2025-03-21T12:15:00Z</dcterms:modified>
</cp:coreProperties>
</file>